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9D1" w:rsidRPr="0044459B" w:rsidRDefault="000C39D1" w:rsidP="00D8452E">
      <w:pPr>
        <w:pStyle w:val="libCenter"/>
        <w:rPr>
          <w:rtl/>
        </w:rPr>
      </w:pPr>
      <w:r w:rsidRPr="0044459B">
        <w:rPr>
          <w:rFonts w:hint="cs"/>
          <w:noProof/>
        </w:rPr>
        <w:drawing>
          <wp:inline distT="0" distB="0" distL="0" distR="0">
            <wp:extent cx="4674235" cy="7404100"/>
            <wp:effectExtent l="19050" t="0" r="0" b="0"/>
            <wp:docPr id="3"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0C39D1" w:rsidRDefault="000C39D1" w:rsidP="000C39D1">
      <w:pPr>
        <w:rPr>
          <w:rtl/>
        </w:rPr>
      </w:pPr>
      <w:r>
        <w:rPr>
          <w:rtl/>
        </w:rPr>
        <w:br w:type="page"/>
      </w:r>
    </w:p>
    <w:p w:rsidR="000C39D1" w:rsidRDefault="000C39D1" w:rsidP="00475EC8">
      <w:pPr>
        <w:pStyle w:val="libCenter"/>
        <w:rPr>
          <w:rtl/>
        </w:rPr>
      </w:pPr>
      <w:r>
        <w:rPr>
          <w:rFonts w:hint="cs"/>
          <w:rtl/>
        </w:rPr>
        <w:lastRenderedPageBreak/>
        <w:t>مركز بحوث دار الح</w:t>
      </w:r>
      <w:r w:rsidR="00475EC8">
        <w:rPr>
          <w:rFonts w:hint="cs"/>
          <w:rtl/>
        </w:rPr>
        <w:t>د</w:t>
      </w:r>
      <w:r>
        <w:rPr>
          <w:rFonts w:hint="cs"/>
          <w:rtl/>
        </w:rPr>
        <w:t>يث :181</w:t>
      </w:r>
    </w:p>
    <w:p w:rsidR="000C39D1" w:rsidRDefault="000C39D1" w:rsidP="000C39D1">
      <w:pPr>
        <w:pStyle w:val="libNormal"/>
        <w:rPr>
          <w:rtl/>
        </w:rPr>
      </w:pPr>
      <w:r>
        <w:rPr>
          <w:rFonts w:hint="cs"/>
          <w:rtl/>
        </w:rPr>
        <w:t>كليني رازي ، محمد بن يعقوب ح259-329ق.</w:t>
      </w:r>
    </w:p>
    <w:p w:rsidR="000C39D1" w:rsidRDefault="000C39D1" w:rsidP="000C39D1">
      <w:pPr>
        <w:pStyle w:val="libNormal"/>
        <w:rPr>
          <w:rtl/>
        </w:rPr>
      </w:pPr>
      <w:r>
        <w:rPr>
          <w:rFonts w:hint="cs"/>
          <w:rtl/>
        </w:rPr>
        <w:t>الكافي / ثقة الإسلام أبو جعفر محمّد بن يعقوب الكليني الرازي ؛ باهتمام: محمّد حسين الدرايتي .-قم: دار الحديث،1429ق=1387ش.</w:t>
      </w:r>
    </w:p>
    <w:p w:rsidR="000C39D1" w:rsidRDefault="000C39D1" w:rsidP="000C39D1">
      <w:pPr>
        <w:pStyle w:val="libNormal"/>
        <w:rPr>
          <w:rtl/>
        </w:rPr>
      </w:pPr>
      <w:r>
        <w:rPr>
          <w:rFonts w:hint="cs"/>
          <w:rtl/>
        </w:rPr>
        <w:t>ج.-</w:t>
      </w:r>
      <w:r w:rsidR="002662BD">
        <w:rPr>
          <w:rFonts w:hint="cs"/>
          <w:rtl/>
        </w:rPr>
        <w:t xml:space="preserve"> </w:t>
      </w:r>
      <w:r>
        <w:rPr>
          <w:rFonts w:hint="cs"/>
          <w:rtl/>
        </w:rPr>
        <w:t>(مركز بحوث دار الحديث ؛ 181).</w:t>
      </w:r>
    </w:p>
    <w:p w:rsidR="000C39D1" w:rsidRDefault="000C39D1" w:rsidP="000C39D1">
      <w:pPr>
        <w:pStyle w:val="libNormal"/>
        <w:rPr>
          <w:rtl/>
          <w:lang w:bidi="fa-IR"/>
        </w:rPr>
      </w:pPr>
      <w:r>
        <w:rPr>
          <w:rFonts w:hint="cs"/>
          <w:rtl/>
        </w:rPr>
        <w:t xml:space="preserve">فهرست نويسى </w:t>
      </w:r>
      <w:r>
        <w:rPr>
          <w:rFonts w:hint="cs"/>
          <w:rtl/>
          <w:lang w:bidi="fa-IR"/>
        </w:rPr>
        <w:t>پ</w:t>
      </w:r>
      <w:r>
        <w:rPr>
          <w:rFonts w:hint="cs"/>
          <w:rtl/>
        </w:rPr>
        <w:t>يش از انتشار براساس اطلاعات في</w:t>
      </w:r>
      <w:r>
        <w:rPr>
          <w:rFonts w:hint="cs"/>
          <w:rtl/>
          <w:lang w:bidi="fa-IR"/>
        </w:rPr>
        <w:t>پا.</w:t>
      </w:r>
    </w:p>
    <w:p w:rsidR="000C39D1" w:rsidRDefault="000C39D1" w:rsidP="000C39D1">
      <w:pPr>
        <w:pStyle w:val="libNormal"/>
        <w:rPr>
          <w:rtl/>
          <w:lang w:bidi="fa-IR"/>
        </w:rPr>
      </w:pPr>
      <w:r>
        <w:rPr>
          <w:rFonts w:hint="cs"/>
          <w:rtl/>
          <w:lang w:bidi="fa-IR"/>
        </w:rPr>
        <w:t>كتاب نامه: به صورت زيرنويس.</w:t>
      </w:r>
    </w:p>
    <w:p w:rsidR="000C39D1" w:rsidRDefault="000C39D1" w:rsidP="000C39D1">
      <w:pPr>
        <w:pStyle w:val="libNormal"/>
        <w:rPr>
          <w:rtl/>
          <w:lang w:bidi="fa-IR"/>
        </w:rPr>
      </w:pPr>
      <w:r>
        <w:rPr>
          <w:rFonts w:hint="cs"/>
          <w:rtl/>
          <w:lang w:bidi="fa-IR"/>
        </w:rPr>
        <w:t>1.احاديث شيعه قرن 4ق.الف.كلينى،محمّد بن يعقوب،329ق.الكافى.ب.درايتى، محمّد حسين.1343، محقق.ج.عنوان.</w:t>
      </w:r>
    </w:p>
    <w:p w:rsidR="000C39D1" w:rsidRDefault="000C39D1" w:rsidP="000C39D1">
      <w:pPr>
        <w:pStyle w:val="libCenterBold2"/>
        <w:rPr>
          <w:rtl/>
          <w:lang w:bidi="fa-IR"/>
        </w:rPr>
      </w:pPr>
      <w:r>
        <w:rPr>
          <w:rFonts w:hint="cs"/>
          <w:rtl/>
          <w:lang w:bidi="fa-IR"/>
        </w:rPr>
        <w:t>فهرست نويسى پيش از انتشار ، توسط كتاب خانه تخصصي  حديث /قم</w:t>
      </w:r>
    </w:p>
    <w:p w:rsidR="000C39D1" w:rsidRDefault="000C39D1" w:rsidP="000C39D1">
      <w:pPr>
        <w:pStyle w:val="libNormal"/>
        <w:rPr>
          <w:rtl/>
        </w:rPr>
      </w:pPr>
      <w:r>
        <w:rPr>
          <w:rtl/>
        </w:rPr>
        <w:br w:type="page"/>
      </w:r>
    </w:p>
    <w:p w:rsidR="000C39D1" w:rsidRDefault="000C39D1" w:rsidP="000C39D1">
      <w:pPr>
        <w:pStyle w:val="libCenter"/>
        <w:rPr>
          <w:rtl/>
        </w:rPr>
      </w:pPr>
      <w:r>
        <w:rPr>
          <w:noProof/>
        </w:rPr>
        <w:lastRenderedPageBreak/>
        <w:drawing>
          <wp:inline distT="0" distB="0" distL="0" distR="0">
            <wp:extent cx="4674235" cy="7404100"/>
            <wp:effectExtent l="19050" t="0" r="0" b="0"/>
            <wp:docPr id="4"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0C39D1" w:rsidRDefault="000C39D1" w:rsidP="000C39D1">
      <w:pPr>
        <w:rPr>
          <w:rtl/>
        </w:rPr>
      </w:pPr>
      <w:r>
        <w:rPr>
          <w:rtl/>
        </w:rPr>
        <w:br w:type="page"/>
      </w:r>
      <w:bookmarkStart w:id="0" w:name="_GoBack"/>
      <w:bookmarkEnd w:id="0"/>
    </w:p>
    <w:p w:rsidR="000C39D1" w:rsidRDefault="000C39D1" w:rsidP="000C39D1">
      <w:pPr>
        <w:rPr>
          <w:rtl/>
        </w:rPr>
      </w:pPr>
      <w:r>
        <w:rPr>
          <w:rFonts w:hint="cs"/>
          <w:rtl/>
        </w:rPr>
        <w:lastRenderedPageBreak/>
        <w:t>الكافى/ ج2</w:t>
      </w:r>
    </w:p>
    <w:p w:rsidR="000C39D1" w:rsidRDefault="000C39D1" w:rsidP="000C39D1">
      <w:pPr>
        <w:rPr>
          <w:rtl/>
        </w:rPr>
      </w:pPr>
      <w:r>
        <w:rPr>
          <w:rFonts w:hint="cs"/>
          <w:rtl/>
        </w:rPr>
        <w:t>ثقة الإسلام أبو جعفر محمّد بن يعقوب الكليني الرازي</w:t>
      </w:r>
    </w:p>
    <w:p w:rsidR="000C39D1" w:rsidRDefault="000C39D1" w:rsidP="000C39D1">
      <w:pPr>
        <w:rPr>
          <w:rtl/>
        </w:rPr>
      </w:pPr>
      <w:r>
        <w:rPr>
          <w:rFonts w:hint="cs"/>
          <w:rtl/>
        </w:rPr>
        <w:t>باهتمام :محمّد حسين الدرايتي</w:t>
      </w:r>
    </w:p>
    <w:p w:rsidR="000C39D1" w:rsidRDefault="000C39D1" w:rsidP="000C39D1">
      <w:pPr>
        <w:rPr>
          <w:rtl/>
        </w:rPr>
      </w:pPr>
      <w:r>
        <w:rPr>
          <w:rFonts w:hint="cs"/>
          <w:rtl/>
        </w:rPr>
        <w:t>تقويم نصّ المتن : نعمة الله الجليلي،عليّ الحميداوي</w:t>
      </w:r>
    </w:p>
    <w:p w:rsidR="000C39D1" w:rsidRDefault="000C39D1" w:rsidP="000C39D1">
      <w:pPr>
        <w:rPr>
          <w:rtl/>
          <w:lang w:bidi="fa-IR"/>
        </w:rPr>
      </w:pPr>
      <w:r>
        <w:rPr>
          <w:rFonts w:hint="cs"/>
          <w:rtl/>
        </w:rPr>
        <w:t>تقويم نصّ الأسناد و تحقيقها: السيّد علّي رضا الحسيني،بمراجعة:محمّد رضا جديدي ن</w:t>
      </w:r>
      <w:r>
        <w:rPr>
          <w:rFonts w:hint="cs"/>
          <w:rtl/>
          <w:lang w:bidi="fa-IR"/>
        </w:rPr>
        <w:t>ژاد</w:t>
      </w:r>
    </w:p>
    <w:p w:rsidR="000C39D1" w:rsidRDefault="000C39D1" w:rsidP="000C39D1">
      <w:pPr>
        <w:rPr>
          <w:rtl/>
        </w:rPr>
      </w:pPr>
      <w:r>
        <w:rPr>
          <w:rFonts w:hint="cs"/>
          <w:rtl/>
        </w:rPr>
        <w:t>الإعراب ووضع العلامات : نعمة الله الجليلي</w:t>
      </w:r>
    </w:p>
    <w:p w:rsidR="000C39D1" w:rsidRDefault="000C39D1" w:rsidP="000C39D1">
      <w:pPr>
        <w:rPr>
          <w:rtl/>
        </w:rPr>
      </w:pPr>
      <w:r>
        <w:rPr>
          <w:rFonts w:hint="cs"/>
          <w:rtl/>
        </w:rPr>
        <w:t>إيضاح المفردات و شرح الأحاديث : جواد فاضل بخشايشي</w:t>
      </w:r>
    </w:p>
    <w:p w:rsidR="000C39D1" w:rsidRDefault="00475EC8" w:rsidP="000C39D1">
      <w:pPr>
        <w:rPr>
          <w:rtl/>
        </w:rPr>
      </w:pPr>
      <w:r>
        <w:rPr>
          <w:rFonts w:hint="cs"/>
          <w:rtl/>
        </w:rPr>
        <w:t>التخريج</w:t>
      </w:r>
      <w:r w:rsidR="000C39D1">
        <w:rPr>
          <w:rFonts w:hint="cs"/>
          <w:rtl/>
        </w:rPr>
        <w:t xml:space="preserve"> وذكر المتشابهات : السيّد محمود الطباطبا</w:t>
      </w:r>
      <w:r w:rsidR="000C39D1">
        <w:rPr>
          <w:rFonts w:hint="cs"/>
          <w:rtl/>
          <w:lang w:bidi="fa-IR"/>
        </w:rPr>
        <w:t>ئ</w:t>
      </w:r>
      <w:r w:rsidR="000C39D1">
        <w:rPr>
          <w:rFonts w:hint="cs"/>
          <w:rtl/>
        </w:rPr>
        <w:t>ي ،مسلم مهدي زاده،حميد الكنعاني ،</w:t>
      </w:r>
    </w:p>
    <w:p w:rsidR="000C39D1" w:rsidRDefault="000C39D1" w:rsidP="000C39D1">
      <w:pPr>
        <w:pStyle w:val="libCenter"/>
        <w:rPr>
          <w:rtl/>
        </w:rPr>
      </w:pPr>
      <w:r>
        <w:rPr>
          <w:rFonts w:hint="cs"/>
          <w:rtl/>
        </w:rPr>
        <w:t>أحمد رضا شاه جعفري محمود طيّار مراغه اي</w:t>
      </w:r>
    </w:p>
    <w:p w:rsidR="000C39D1" w:rsidRDefault="000C39D1" w:rsidP="000C39D1">
      <w:pPr>
        <w:rPr>
          <w:rtl/>
        </w:rPr>
      </w:pPr>
      <w:r>
        <w:rPr>
          <w:rFonts w:hint="cs"/>
          <w:rtl/>
        </w:rPr>
        <w:t>مقابلة النسخ الخطية:السيّد محمّد الموسوي،السيّد هاشم الشهرستاني ، مسلم مهدي زاده،حميد الكنعاني ، لطيف فرادي،</w:t>
      </w:r>
    </w:p>
    <w:p w:rsidR="000C39D1" w:rsidRDefault="000C39D1" w:rsidP="000C39D1">
      <w:pPr>
        <w:pStyle w:val="libCenter"/>
        <w:rPr>
          <w:rtl/>
        </w:rPr>
      </w:pPr>
      <w:r>
        <w:rPr>
          <w:rFonts w:hint="cs"/>
          <w:rtl/>
        </w:rPr>
        <w:t>جواد فاضل بخشايشي ،حميد الأحمدي الجلفا</w:t>
      </w:r>
      <w:r>
        <w:rPr>
          <w:rFonts w:hint="cs"/>
          <w:rtl/>
          <w:lang w:bidi="fa-IR"/>
        </w:rPr>
        <w:t>ئ</w:t>
      </w:r>
      <w:r>
        <w:rPr>
          <w:rFonts w:hint="cs"/>
          <w:rtl/>
        </w:rPr>
        <w:t>ي ،أحمد عاليشاهي</w:t>
      </w:r>
    </w:p>
    <w:p w:rsidR="000C39D1" w:rsidRDefault="000C39D1" w:rsidP="000C39D1">
      <w:pPr>
        <w:pStyle w:val="libNormal"/>
        <w:rPr>
          <w:rtl/>
        </w:rPr>
      </w:pPr>
      <w:r>
        <w:rPr>
          <w:rFonts w:hint="cs"/>
          <w:rtl/>
        </w:rPr>
        <w:t>تنظيم الهوامش : حميد الأحمدي، غلامحسين قيصرّيه ها</w:t>
      </w:r>
    </w:p>
    <w:p w:rsidR="000C39D1" w:rsidRDefault="000C39D1" w:rsidP="002662BD">
      <w:pPr>
        <w:pStyle w:val="libNormal"/>
        <w:rPr>
          <w:rtl/>
        </w:rPr>
      </w:pPr>
      <w:r>
        <w:rPr>
          <w:rFonts w:hint="cs"/>
          <w:rtl/>
        </w:rPr>
        <w:t>المقابلة المطبعية:أحمد رضا شاه جعفري محمود طراز كوهي ، محمود س</w:t>
      </w:r>
      <w:r>
        <w:rPr>
          <w:rFonts w:hint="cs"/>
          <w:rtl/>
          <w:lang w:bidi="fa-IR"/>
        </w:rPr>
        <w:t>پ</w:t>
      </w:r>
      <w:r>
        <w:rPr>
          <w:rFonts w:hint="cs"/>
          <w:rtl/>
        </w:rPr>
        <w:t>اسي ،مه</w:t>
      </w:r>
      <w:r w:rsidR="002662BD">
        <w:rPr>
          <w:rFonts w:hint="cs"/>
          <w:rtl/>
        </w:rPr>
        <w:t>د</w:t>
      </w:r>
      <w:r>
        <w:rPr>
          <w:rFonts w:hint="cs"/>
          <w:rtl/>
        </w:rPr>
        <w:t xml:space="preserve">ي </w:t>
      </w:r>
      <w:r w:rsidR="002662BD">
        <w:rPr>
          <w:rFonts w:hint="cs"/>
          <w:rtl/>
        </w:rPr>
        <w:t>ج</w:t>
      </w:r>
      <w:r>
        <w:rPr>
          <w:rFonts w:hint="cs"/>
          <w:rtl/>
        </w:rPr>
        <w:t>وهر</w:t>
      </w:r>
      <w:r>
        <w:rPr>
          <w:rFonts w:hint="cs"/>
          <w:rtl/>
          <w:lang w:bidi="fa-IR"/>
        </w:rPr>
        <w:t>چ</w:t>
      </w:r>
      <w:r>
        <w:rPr>
          <w:rFonts w:hint="cs"/>
          <w:rtl/>
        </w:rPr>
        <w:t xml:space="preserve">ي، مصطفي اُوجي </w:t>
      </w:r>
    </w:p>
    <w:p w:rsidR="000C39D1" w:rsidRDefault="000C39D1" w:rsidP="000C39D1">
      <w:pPr>
        <w:pStyle w:val="libNormal"/>
        <w:rPr>
          <w:rtl/>
        </w:rPr>
      </w:pPr>
      <w:r>
        <w:rPr>
          <w:rFonts w:hint="cs"/>
          <w:rtl/>
        </w:rPr>
        <w:t>نضدالحروف:مجيد بابكي رسكتي ،علي أكبري</w:t>
      </w:r>
    </w:p>
    <w:p w:rsidR="000C39D1" w:rsidRPr="00201C0E" w:rsidRDefault="000C39D1" w:rsidP="000C39D1">
      <w:pPr>
        <w:pStyle w:val="libNormal"/>
        <w:rPr>
          <w:rtl/>
        </w:rPr>
      </w:pPr>
      <w:r>
        <w:rPr>
          <w:rFonts w:hint="cs"/>
          <w:rtl/>
        </w:rPr>
        <w:t>الاخراج : السيّد عليّ موسوي كيا</w:t>
      </w:r>
    </w:p>
    <w:p w:rsidR="000C39D1" w:rsidRDefault="000C39D1" w:rsidP="000C39D1">
      <w:pPr>
        <w:rPr>
          <w:rtl/>
        </w:rPr>
      </w:pPr>
      <w:r>
        <w:rPr>
          <w:rtl/>
        </w:rPr>
        <w:br w:type="page"/>
      </w:r>
    </w:p>
    <w:p w:rsidR="000C39D1" w:rsidRDefault="000C39D1" w:rsidP="000C39D1">
      <w:pPr>
        <w:pStyle w:val="libLeftBold"/>
        <w:rPr>
          <w:rtl/>
          <w:lang w:bidi="fa-IR"/>
        </w:rPr>
      </w:pPr>
      <w:r>
        <w:rPr>
          <w:rFonts w:hint="cs"/>
          <w:rtl/>
          <w:lang w:bidi="fa-IR"/>
        </w:rPr>
        <w:lastRenderedPageBreak/>
        <w:t>تتمة كتاب الحجة</w:t>
      </w:r>
    </w:p>
    <w:p w:rsidR="000C39D1" w:rsidRDefault="000C39D1" w:rsidP="000C39D1">
      <w:pPr>
        <w:rPr>
          <w:rtl/>
        </w:rPr>
      </w:pPr>
      <w:r>
        <w:rPr>
          <w:rtl/>
        </w:rPr>
        <w:br w:type="page"/>
      </w:r>
    </w:p>
    <w:p w:rsidR="000C39D1" w:rsidRDefault="000C39D1" w:rsidP="000C39D1">
      <w:pPr>
        <w:rPr>
          <w:rtl/>
        </w:rPr>
      </w:pPr>
      <w:bookmarkStart w:id="1" w:name="_Toc459459089"/>
      <w:r>
        <w:rPr>
          <w:rtl/>
        </w:rPr>
        <w:lastRenderedPageBreak/>
        <w:br w:type="page"/>
      </w:r>
    </w:p>
    <w:p w:rsidR="000C39D1" w:rsidRDefault="000C39D1" w:rsidP="000C39D1">
      <w:pPr>
        <w:pStyle w:val="Heading1Center"/>
        <w:rPr>
          <w:rtl/>
        </w:rPr>
      </w:pPr>
      <w:bookmarkStart w:id="2" w:name="_Toc34663058"/>
      <w:r w:rsidRPr="006450A5">
        <w:rPr>
          <w:rtl/>
        </w:rPr>
        <w:lastRenderedPageBreak/>
        <w:t>[ تتمّة كتاب الحجّة ]</w:t>
      </w:r>
      <w:bookmarkStart w:id="3" w:name="_Toc459459090"/>
      <w:bookmarkEnd w:id="1"/>
      <w:bookmarkEnd w:id="2"/>
    </w:p>
    <w:p w:rsidR="000C39D1" w:rsidRPr="006450A5" w:rsidRDefault="000C39D1" w:rsidP="000C39D1">
      <w:pPr>
        <w:pStyle w:val="Heading2Center"/>
        <w:rPr>
          <w:rtl/>
        </w:rPr>
      </w:pPr>
      <w:bookmarkStart w:id="4" w:name="_Toc34663059"/>
      <w:r w:rsidRPr="006450A5">
        <w:rPr>
          <w:rStyle w:val="Heading2Char"/>
          <w:rFonts w:hint="cs"/>
          <w:rtl/>
        </w:rPr>
        <w:t>64</w:t>
      </w:r>
      <w:r>
        <w:rPr>
          <w:rtl/>
          <w:lang w:bidi="fa-IR"/>
        </w:rPr>
        <w:t xml:space="preserve"> -</w:t>
      </w:r>
      <w:r>
        <w:rPr>
          <w:rFonts w:hint="cs"/>
          <w:rtl/>
          <w:lang w:bidi="fa-IR"/>
        </w:rPr>
        <w:t xml:space="preserve"> </w:t>
      </w:r>
      <w:r w:rsidRPr="006450A5">
        <w:rPr>
          <w:rtl/>
        </w:rPr>
        <w:t>بَابُ مَا نَصَّ اللهُ عَزَّ و</w:t>
      </w:r>
      <w:r>
        <w:rPr>
          <w:rFonts w:hint="cs"/>
          <w:rtl/>
        </w:rPr>
        <w:t>َ</w:t>
      </w:r>
      <w:r w:rsidRPr="006450A5">
        <w:rPr>
          <w:rtl/>
        </w:rPr>
        <w:t>جَلَّ</w:t>
      </w:r>
      <w:bookmarkEnd w:id="3"/>
      <w:bookmarkEnd w:id="4"/>
    </w:p>
    <w:p w:rsidR="000C39D1" w:rsidRPr="00132E65" w:rsidRDefault="000C39D1" w:rsidP="000C39D1">
      <w:pPr>
        <w:pStyle w:val="Heading2Center"/>
        <w:rPr>
          <w:rtl/>
          <w:lang w:bidi="fa-IR"/>
        </w:rPr>
      </w:pPr>
      <w:bookmarkStart w:id="5" w:name="_Toc459455072"/>
      <w:bookmarkStart w:id="6" w:name="_Toc459459091"/>
      <w:bookmarkStart w:id="7" w:name="_Toc34663060"/>
      <w:r w:rsidRPr="006450A5">
        <w:rPr>
          <w:rtl/>
        </w:rPr>
        <w:t>و</w:t>
      </w:r>
      <w:r>
        <w:rPr>
          <w:rFonts w:hint="cs"/>
          <w:rtl/>
        </w:rPr>
        <w:t>َ</w:t>
      </w:r>
      <w:r w:rsidRPr="006450A5">
        <w:rPr>
          <w:rtl/>
        </w:rPr>
        <w:t xml:space="preserve">رَسُولُهُ عَلَى الْأَئِمَّةِ </w:t>
      </w:r>
      <w:r w:rsidRPr="00071CF9">
        <w:rPr>
          <w:rStyle w:val="libAlaemChar"/>
          <w:rtl/>
        </w:rPr>
        <w:t>عليهم‌السلام</w:t>
      </w:r>
      <w:r w:rsidRPr="006450A5">
        <w:rPr>
          <w:rtl/>
        </w:rPr>
        <w:t xml:space="preserve"> و</w:t>
      </w:r>
      <w:r>
        <w:rPr>
          <w:rFonts w:hint="cs"/>
          <w:rtl/>
        </w:rPr>
        <w:t>َ</w:t>
      </w:r>
      <w:r w:rsidRPr="006450A5">
        <w:rPr>
          <w:rtl/>
        </w:rPr>
        <w:t>احِداً فَوَاحِداً‌</w:t>
      </w:r>
      <w:bookmarkEnd w:id="5"/>
      <w:bookmarkEnd w:id="6"/>
      <w:bookmarkEnd w:id="7"/>
    </w:p>
    <w:p w:rsidR="000C39D1" w:rsidRDefault="000C39D1" w:rsidP="000C39D1">
      <w:pPr>
        <w:pStyle w:val="libNormal"/>
        <w:rPr>
          <w:rtl/>
          <w:lang w:bidi="fa-IR"/>
        </w:rPr>
      </w:pPr>
      <w:r w:rsidRPr="006E281B">
        <w:rPr>
          <w:rtl/>
        </w:rPr>
        <w:t>759</w:t>
      </w:r>
      <w:r w:rsidRPr="004325D8">
        <w:rPr>
          <w:rStyle w:val="libBold2Char"/>
          <w:rtl/>
        </w:rPr>
        <w:t xml:space="preserve"> / 1.</w:t>
      </w:r>
      <w:r w:rsidRPr="00132E65">
        <w:rPr>
          <w:rtl/>
          <w:lang w:bidi="fa-IR"/>
        </w:rPr>
        <w:t xml:space="preserve"> عَلِيُّ بْنُ إِبْرَاهِيمَ ، عَنْ مُحَمَّدِ بْنِ عِيسى ، عَنْ يُونُسَ ؛</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(1)</w:t>
      </w:r>
      <w:r w:rsidRPr="00132E65">
        <w:rPr>
          <w:rtl/>
          <w:lang w:bidi="fa-IR"/>
        </w:rPr>
        <w:t xml:space="preserve"> عَلِيُّ بْنُ مُحَمَّدٍ ، عَنْ سَهْلِ بْنِ زِيَادٍ أَبِي سَعِيدٍ ، عَنْ مُحَمَّدِ بْنِ عِيسى ، عَنْ يُونُسَ ، عَنِ ابْنِ مُسْكَانَ ، عَنْ أَبِي بَصِيرٍ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أَطِيعُوا اللهَ وَأَطِيعُوا الرَّسُولَ وَأُولِ</w:t>
      </w:r>
      <w:r>
        <w:rPr>
          <w:rStyle w:val="libAieChar"/>
          <w:rFonts w:hint="cs"/>
          <w:rtl/>
        </w:rPr>
        <w:t>ى</w:t>
      </w:r>
      <w:r w:rsidRPr="00071CF9">
        <w:rPr>
          <w:rStyle w:val="libAieChar"/>
          <w:rtl/>
        </w:rPr>
        <w:t xml:space="preserve"> الْأَمْرِ مِنْكُمْ</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فَقَالَ : « نَزَلَتْ فِي عَلِيِّ بْنِ أَبِي طَالِبٍ </w:t>
      </w:r>
      <w:r w:rsidRPr="006450A5">
        <w:rPr>
          <w:rtl/>
        </w:rPr>
        <w:t>و</w:t>
      </w:r>
      <w:r>
        <w:rPr>
          <w:rFonts w:hint="cs"/>
          <w:rtl/>
        </w:rPr>
        <w:t>َ</w:t>
      </w:r>
      <w:r w:rsidRPr="00132E65">
        <w:rPr>
          <w:rtl/>
          <w:lang w:bidi="fa-IR"/>
        </w:rPr>
        <w:t xml:space="preserve">الْحَسَنِ </w:t>
      </w:r>
      <w:r w:rsidRPr="006450A5">
        <w:rPr>
          <w:rtl/>
        </w:rPr>
        <w:t>و</w:t>
      </w:r>
      <w:r>
        <w:rPr>
          <w:rFonts w:hint="cs"/>
          <w:rtl/>
        </w:rPr>
        <w:t>َ</w:t>
      </w:r>
      <w:r w:rsidRPr="00132E65">
        <w:rPr>
          <w:rtl/>
          <w:lang w:bidi="fa-IR"/>
        </w:rPr>
        <w:t xml:space="preserve">الْحُسَيْنِ </w:t>
      </w:r>
      <w:r w:rsidRPr="00071CF9">
        <w:rPr>
          <w:rStyle w:val="libAlaemChar"/>
          <w:rtl/>
        </w:rPr>
        <w:t>عليهم‌السلام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فَقُلْتُ لَهُ : إِنَّ النَّاسَ يَقُولُونَ : فَمَا لَهُ لَمْ يُسَمِّ عَلِيّاً وأَهْلَ بَيْتِهِ </w:t>
      </w:r>
      <w:r w:rsidRPr="00071CF9">
        <w:rPr>
          <w:rStyle w:val="libAlaemChar"/>
          <w:rtl/>
        </w:rPr>
        <w:t>عليهم‌السلام</w:t>
      </w:r>
      <w:r w:rsidRPr="00132E65">
        <w:rPr>
          <w:rtl/>
          <w:lang w:bidi="fa-IR"/>
        </w:rPr>
        <w:t xml:space="preserve"> فِي كِتَابِ اللهِ عَزَّ وَجَلَّ</w:t>
      </w:r>
      <w:r>
        <w:rPr>
          <w:rtl/>
          <w:lang w:bidi="fa-IR"/>
        </w:rPr>
        <w:t>؟</w:t>
      </w:r>
    </w:p>
    <w:p w:rsidR="000C39D1" w:rsidRPr="00132E65" w:rsidRDefault="000C39D1" w:rsidP="000C39D1">
      <w:pPr>
        <w:pStyle w:val="libNormal"/>
        <w:rPr>
          <w:rtl/>
          <w:lang w:bidi="fa-IR"/>
        </w:rPr>
      </w:pPr>
      <w:r w:rsidRPr="00132E65">
        <w:rPr>
          <w:rtl/>
          <w:lang w:bidi="fa-IR"/>
        </w:rPr>
        <w:t xml:space="preserve">قَالَ : فَقَالَ : « قُولُوا لَهُمْ : إِنَّ رَسُولَ اللهِ </w:t>
      </w:r>
      <w:r>
        <w:rPr>
          <w:rStyle w:val="libAlaemChar"/>
          <w:rtl/>
        </w:rPr>
        <w:t>صلى‌الله‌عليه‌وآله‌</w:t>
      </w:r>
      <w:r w:rsidRPr="00132E65">
        <w:rPr>
          <w:rtl/>
          <w:lang w:bidi="fa-IR"/>
        </w:rPr>
        <w:t xml:space="preserve"> نَزَلَتْ عَلَيْهِ الصَّلَاةُ ، و</w:t>
      </w:r>
      <w:r>
        <w:rPr>
          <w:rFonts w:hint="cs"/>
          <w:rtl/>
          <w:lang w:bidi="fa-IR"/>
        </w:rPr>
        <w:t>َ</w:t>
      </w:r>
      <w:r w:rsidRPr="00132E65">
        <w:rPr>
          <w:rtl/>
          <w:lang w:bidi="fa-IR"/>
        </w:rPr>
        <w:t>لَمْ يُسَمِّ اللهُ لَهُمْ ثَلَاثاً و</w:t>
      </w:r>
      <w:r>
        <w:rPr>
          <w:rFonts w:hint="cs"/>
          <w:rtl/>
          <w:lang w:bidi="fa-IR"/>
        </w:rPr>
        <w:t>َ</w:t>
      </w:r>
      <w:r w:rsidRPr="00132E65">
        <w:rPr>
          <w:rtl/>
          <w:lang w:bidi="fa-IR"/>
        </w:rPr>
        <w:t>لَا</w:t>
      </w:r>
      <w:r>
        <w:rPr>
          <w:rFonts w:hint="cs"/>
          <w:rtl/>
          <w:lang w:bidi="fa-IR"/>
        </w:rPr>
        <w:t xml:space="preserve"> </w:t>
      </w:r>
      <w:r w:rsidRPr="00132E65">
        <w:rPr>
          <w:rtl/>
          <w:lang w:bidi="fa-IR"/>
        </w:rPr>
        <w:t xml:space="preserve">أَرْبَعاً حَتّى كَانَ رَسُولُ اللهِ </w:t>
      </w:r>
      <w:r>
        <w:rPr>
          <w:rStyle w:val="libAlaemChar"/>
          <w:rtl/>
        </w:rPr>
        <w:t>صلى‌الله‌عليه‌وآله‌</w:t>
      </w:r>
      <w:r w:rsidRPr="00132E65">
        <w:rPr>
          <w:rtl/>
          <w:lang w:bidi="fa-IR"/>
        </w:rPr>
        <w:t xml:space="preserve"> هُوَ الَّذِي فَسَّرَ ذلِكَ لَهُمْ ؛ ونَزَلَتْ عَلَيْهِ الزَّكَاةُ ، وَلَمْ يُسَمِّ لَهُمْ مِنْ كُلِّ أَرْبَعِينَ دِرْهَماً دِرْهَمٌ </w:t>
      </w:r>
      <w:r>
        <w:rPr>
          <w:rStyle w:val="libFootnotenumChar"/>
          <w:rtl/>
        </w:rPr>
        <w:t>(3)</w:t>
      </w:r>
      <w:r w:rsidRPr="00132E65">
        <w:rPr>
          <w:rtl/>
          <w:lang w:bidi="fa-IR"/>
        </w:rPr>
        <w:t xml:space="preserve"> حَتّى كَانَ رَسُولُ اللهِ </w:t>
      </w:r>
      <w:r>
        <w:rPr>
          <w:rStyle w:val="libAlaemChar"/>
          <w:rtl/>
        </w:rPr>
        <w:t>صلى‌الله‌عليه‌وآله‌</w:t>
      </w:r>
      <w:r w:rsidRPr="00132E65">
        <w:rPr>
          <w:rtl/>
          <w:lang w:bidi="fa-IR"/>
        </w:rPr>
        <w:t xml:space="preserve"> هُوَ الَّذِي فَسَّرَ‌</w:t>
      </w:r>
    </w:p>
    <w:p w:rsidR="000C39D1" w:rsidRPr="00132E65" w:rsidRDefault="000C39D1" w:rsidP="000C39D1">
      <w:pPr>
        <w:pStyle w:val="libLine"/>
        <w:rPr>
          <w:rtl/>
          <w:lang w:bidi="fa-IR"/>
        </w:rPr>
      </w:pPr>
      <w:r w:rsidRPr="00132E65">
        <w:rPr>
          <w:rtl/>
          <w:lang w:bidi="fa-IR"/>
        </w:rPr>
        <w:t>__________________</w:t>
      </w:r>
    </w:p>
    <w:p w:rsidR="000C39D1" w:rsidRPr="002472BE" w:rsidRDefault="000C39D1" w:rsidP="000C39D1">
      <w:pPr>
        <w:pStyle w:val="libFootnote0"/>
        <w:rPr>
          <w:rtl/>
        </w:rPr>
      </w:pPr>
      <w:r>
        <w:rPr>
          <w:rtl/>
        </w:rPr>
        <w:t>(1).</w:t>
      </w:r>
      <w:r w:rsidRPr="002472BE">
        <w:rPr>
          <w:rtl/>
        </w:rPr>
        <w:t xml:space="preserve"> في السند تحويل بعطف « عليّ بن محمّد ، عن سهل بن زياد أبي سعيد ، عن محمّد بن عيسى ، عن يونس » على « عليّ بن إبراهيم ، عن محمّد بن عيسى ، عن يونس ».</w:t>
      </w:r>
    </w:p>
    <w:p w:rsidR="000C39D1" w:rsidRPr="00132E65" w:rsidRDefault="000C39D1" w:rsidP="000C39D1">
      <w:pPr>
        <w:pStyle w:val="libFootnote0"/>
        <w:rPr>
          <w:rtl/>
          <w:lang w:bidi="fa-IR"/>
        </w:rPr>
      </w:pPr>
      <w:r>
        <w:rPr>
          <w:rtl/>
        </w:rPr>
        <w:t>(2).</w:t>
      </w:r>
      <w:r w:rsidRPr="00132E65">
        <w:rPr>
          <w:rtl/>
        </w:rPr>
        <w:t xml:space="preserve"> النساء </w:t>
      </w:r>
      <w:r>
        <w:rPr>
          <w:rtl/>
        </w:rPr>
        <w:t>(4).</w:t>
      </w:r>
      <w:r w:rsidRPr="00132E65">
        <w:rPr>
          <w:rtl/>
        </w:rPr>
        <w:t xml:space="preserve"> : 59. وفي « ب ، ف » و</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(3).</w:t>
      </w:r>
      <w:r w:rsidRPr="00132E65">
        <w:rPr>
          <w:rtl/>
        </w:rPr>
        <w:t xml:space="preserve"> في « ألف ، ج ، و، بح ، بف » : « درهماً »</w:t>
      </w:r>
      <w:r>
        <w:rPr>
          <w:rtl/>
        </w:rPr>
        <w:t>.</w:t>
      </w:r>
    </w:p>
    <w:p w:rsidR="000C39D1" w:rsidRDefault="000C39D1" w:rsidP="000C39D1">
      <w:pPr>
        <w:rPr>
          <w:rtl/>
        </w:rPr>
      </w:pPr>
      <w:r>
        <w:rPr>
          <w:rtl/>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ذلِكَ لَهُمْ </w:t>
      </w:r>
      <w:r>
        <w:rPr>
          <w:rStyle w:val="libFootnotenumChar"/>
          <w:rtl/>
        </w:rPr>
        <w:t>(1)</w:t>
      </w:r>
      <w:r w:rsidRPr="00132E65">
        <w:rPr>
          <w:rtl/>
          <w:lang w:bidi="fa-IR"/>
        </w:rPr>
        <w:t xml:space="preserve"> ؛ ونَزَلَ </w:t>
      </w:r>
      <w:r>
        <w:rPr>
          <w:rStyle w:val="libFootnotenumChar"/>
          <w:rtl/>
        </w:rPr>
        <w:t>(2)</w:t>
      </w:r>
      <w:r w:rsidRPr="00132E65">
        <w:rPr>
          <w:rtl/>
          <w:lang w:bidi="fa-IR"/>
        </w:rPr>
        <w:t xml:space="preserve"> الْحَجُّ ، فَلَمْ يَقُلْ لَهُمْ : طُوفُوا أُسْبُوعاً حَتّى كَانَ رَسُولُ اللهِ </w:t>
      </w:r>
      <w:r w:rsidRPr="00071CF9">
        <w:rPr>
          <w:rStyle w:val="libAlaemChar"/>
          <w:rtl/>
        </w:rPr>
        <w:t>صلى‌الله‌عليه‌وآله</w:t>
      </w:r>
      <w:r w:rsidRPr="00132E65">
        <w:rPr>
          <w:rtl/>
          <w:lang w:bidi="fa-IR"/>
        </w:rPr>
        <w:t xml:space="preserve"> هُوَ الَّذِي فَسَّرَ ذلِكَ لَهُمْ ؛ ونَزَلَتْ</w:t>
      </w:r>
      <w:r>
        <w:rPr>
          <w:rFonts w:hint="cs"/>
          <w:rtl/>
          <w:lang w:bidi="fa-IR"/>
        </w:rPr>
        <w:t xml:space="preserve"> </w:t>
      </w:r>
      <w:r w:rsidRPr="00071CF9">
        <w:rPr>
          <w:rStyle w:val="libAlaemChar"/>
          <w:rtl/>
        </w:rPr>
        <w:t>(</w:t>
      </w:r>
      <w:r w:rsidRPr="00071CF9">
        <w:rPr>
          <w:rStyle w:val="libAieChar"/>
          <w:rtl/>
        </w:rPr>
        <w:t xml:space="preserve"> أَطِيعُوا اللهَ وَأَطِيعُوا الرَّسُولَ وَأُولِ</w:t>
      </w:r>
      <w:r>
        <w:rPr>
          <w:rStyle w:val="libAieChar"/>
          <w:rFonts w:hint="cs"/>
          <w:rtl/>
        </w:rPr>
        <w:t>ى</w:t>
      </w:r>
      <w:r w:rsidRPr="00071CF9">
        <w:rPr>
          <w:rStyle w:val="libAieChar"/>
          <w:rtl/>
        </w:rPr>
        <w:t xml:space="preserve"> الْأَمْرِ مِنْكُمْ </w:t>
      </w:r>
      <w:r w:rsidRPr="00071CF9">
        <w:rPr>
          <w:rStyle w:val="libAlaemChar"/>
          <w:rtl/>
        </w:rPr>
        <w:t>)</w:t>
      </w:r>
      <w:r w:rsidRPr="00132E65">
        <w:rPr>
          <w:rtl/>
          <w:lang w:bidi="fa-IR"/>
        </w:rPr>
        <w:t xml:space="preserve"> و</w:t>
      </w:r>
      <w:r>
        <w:rPr>
          <w:rFonts w:hint="cs"/>
          <w:rtl/>
          <w:lang w:bidi="fa-IR"/>
        </w:rPr>
        <w:t>َ</w:t>
      </w:r>
      <w:r w:rsidRPr="00132E65">
        <w:rPr>
          <w:rtl/>
          <w:lang w:bidi="fa-IR"/>
        </w:rPr>
        <w:t xml:space="preserve">نَزَلَتْ فِي عَلِيٍّ والْحَسَنِ والْحُسَيْنِ </w:t>
      </w:r>
      <w:r w:rsidRPr="00071CF9">
        <w:rPr>
          <w:rStyle w:val="libAlaemChar"/>
          <w:rtl/>
        </w:rPr>
        <w:t>عليهم‌السلام</w:t>
      </w:r>
      <w:r w:rsidRPr="00132E65">
        <w:rPr>
          <w:rtl/>
          <w:lang w:bidi="fa-IR"/>
        </w:rPr>
        <w:t xml:space="preserve"> ، فَقَالَ رَسُولُ اللهِ </w:t>
      </w:r>
      <w:r w:rsidRPr="00071CF9">
        <w:rPr>
          <w:rStyle w:val="libAlaemChar"/>
          <w:rtl/>
        </w:rPr>
        <w:t>صلى‌الله‌عليه‌وآله</w:t>
      </w:r>
      <w:r w:rsidRPr="00132E65">
        <w:rPr>
          <w:rtl/>
          <w:lang w:bidi="fa-IR"/>
        </w:rPr>
        <w:t xml:space="preserve"> فِي عَلِيٍّ </w:t>
      </w:r>
      <w:r w:rsidRPr="00071CF9">
        <w:rPr>
          <w:rStyle w:val="libAlaemChar"/>
          <w:rtl/>
        </w:rPr>
        <w:t>عليه‌السلام</w:t>
      </w:r>
      <w:r w:rsidRPr="00132E65">
        <w:rPr>
          <w:rtl/>
          <w:lang w:bidi="fa-IR"/>
        </w:rPr>
        <w:t xml:space="preserve"> : مَنْ كُنْتُ مَوْلَاهُ فَعَلِيٌّ مَوْلَاهُ ؛ وقَالَ </w:t>
      </w:r>
      <w:r w:rsidRPr="00071CF9">
        <w:rPr>
          <w:rStyle w:val="libAlaemChar"/>
          <w:rtl/>
        </w:rPr>
        <w:t>عليه‌السلام</w:t>
      </w:r>
      <w:r w:rsidRPr="00132E65">
        <w:rPr>
          <w:rtl/>
          <w:lang w:bidi="fa-IR"/>
        </w:rPr>
        <w:t xml:space="preserve"> </w:t>
      </w:r>
      <w:r>
        <w:rPr>
          <w:rStyle w:val="libFootnotenumChar"/>
          <w:rtl/>
        </w:rPr>
        <w:t>(3)</w:t>
      </w:r>
      <w:r w:rsidRPr="00132E65">
        <w:rPr>
          <w:rtl/>
          <w:lang w:bidi="fa-IR"/>
        </w:rPr>
        <w:t xml:space="preserve"> : أُوصِيكُمْ بِكِتَابِ اللهِ وأَهْلِ بَيْتِي ؛ فَإِنِّي سَأَلْتُ اللهَ</w:t>
      </w:r>
      <w:r>
        <w:rPr>
          <w:rtl/>
          <w:lang w:bidi="fa-IR"/>
        </w:rPr>
        <w:t xml:space="preserve"> - </w:t>
      </w:r>
      <w:r w:rsidRPr="00132E65">
        <w:rPr>
          <w:rtl/>
          <w:lang w:bidi="fa-IR"/>
        </w:rPr>
        <w:t>عَزَّ وجَلَّ</w:t>
      </w:r>
      <w:r>
        <w:rPr>
          <w:rtl/>
          <w:lang w:bidi="fa-IR"/>
        </w:rPr>
        <w:t xml:space="preserve"> - </w:t>
      </w:r>
      <w:r w:rsidRPr="00132E65">
        <w:rPr>
          <w:rtl/>
          <w:lang w:bidi="fa-IR"/>
        </w:rPr>
        <w:t xml:space="preserve">أَنْ لَا يُفَرِّقَ بَيْنَهُمَا حَتّى يُورِدَهُمَا عَلَيَّ الْحَوْضَ ، فَأَعْطَانِي ذلِكَ ؛ وقَالَ : لَاتُعَلِّمُوهُمْ ؛ فَهُمْ </w:t>
      </w:r>
      <w:r>
        <w:rPr>
          <w:rStyle w:val="libFootnotenumChar"/>
          <w:rtl/>
        </w:rPr>
        <w:t>(4)</w:t>
      </w:r>
      <w:r w:rsidRPr="00132E65">
        <w:rPr>
          <w:rtl/>
          <w:lang w:bidi="fa-IR"/>
        </w:rPr>
        <w:t xml:space="preserve"> أَعْلَمُ مِنْكُمْ ، و</w:t>
      </w:r>
      <w:r>
        <w:rPr>
          <w:rFonts w:hint="cs"/>
          <w:rtl/>
          <w:lang w:bidi="fa-IR"/>
        </w:rPr>
        <w:t>َ</w:t>
      </w:r>
      <w:r w:rsidRPr="00132E65">
        <w:rPr>
          <w:rtl/>
          <w:lang w:bidi="fa-IR"/>
        </w:rPr>
        <w:t>قَالَ : إِنَّهُمْ لَنْ يُخْرِجُوكُمْ مِنْ بَابِ هُدًى ، و</w:t>
      </w:r>
      <w:r>
        <w:rPr>
          <w:rFonts w:hint="cs"/>
          <w:rtl/>
          <w:lang w:bidi="fa-IR"/>
        </w:rPr>
        <w:t>َ</w:t>
      </w:r>
      <w:r w:rsidRPr="00132E65">
        <w:rPr>
          <w:rtl/>
          <w:lang w:bidi="fa-IR"/>
        </w:rPr>
        <w:t xml:space="preserve">لَنْ يُدْخِلُوكُمْ فِي </w:t>
      </w:r>
      <w:r>
        <w:rPr>
          <w:rStyle w:val="libFootnotenumChar"/>
          <w:rtl/>
        </w:rPr>
        <w:t>(5)</w:t>
      </w:r>
      <w:r w:rsidRPr="00132E65">
        <w:rPr>
          <w:rtl/>
          <w:lang w:bidi="fa-IR"/>
        </w:rPr>
        <w:t xml:space="preserve"> بَابِ ضَلَالَةٍ </w:t>
      </w:r>
      <w:r>
        <w:rPr>
          <w:rStyle w:val="libFootnotenumChar"/>
          <w:rtl/>
        </w:rPr>
        <w:t>(6)</w:t>
      </w:r>
      <w:r w:rsidRPr="00132E65">
        <w:rPr>
          <w:rtl/>
          <w:lang w:bidi="fa-IR"/>
        </w:rPr>
        <w:t xml:space="preserve"> ، فَلَوْ سَكَتَ رَسُولُ اللهِ </w:t>
      </w:r>
      <w:r w:rsidRPr="00071CF9">
        <w:rPr>
          <w:rStyle w:val="libAlaemChar"/>
          <w:rtl/>
        </w:rPr>
        <w:t>صلى‌الله‌عليه‌وآله</w:t>
      </w:r>
      <w:r w:rsidRPr="00132E65">
        <w:rPr>
          <w:rtl/>
          <w:lang w:bidi="fa-IR"/>
        </w:rPr>
        <w:t xml:space="preserve"> فَلَمْ </w:t>
      </w:r>
      <w:r>
        <w:rPr>
          <w:rStyle w:val="libFootnotenumChar"/>
          <w:rtl/>
        </w:rPr>
        <w:t>(7)</w:t>
      </w:r>
      <w:r w:rsidRPr="00132E65">
        <w:rPr>
          <w:rtl/>
          <w:lang w:bidi="fa-IR"/>
        </w:rPr>
        <w:t xml:space="preserve"> يُبَيِّنْ مَنْ أَهْلُ بَيْتِهِ لَادَّعَاهَا آلُ فُلَانٍ وآلُ فُلَانٍ ، و</w:t>
      </w:r>
      <w:r>
        <w:rPr>
          <w:rFonts w:hint="cs"/>
          <w:rtl/>
          <w:lang w:bidi="fa-IR"/>
        </w:rPr>
        <w:t>َ</w:t>
      </w:r>
      <w:r w:rsidRPr="00132E65">
        <w:rPr>
          <w:rtl/>
          <w:lang w:bidi="fa-IR"/>
        </w:rPr>
        <w:t>لكِنَّ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أَنْزَلَهُ </w:t>
      </w:r>
      <w:r>
        <w:rPr>
          <w:rStyle w:val="libFootnotenumChar"/>
          <w:rtl/>
        </w:rPr>
        <w:t>(8)</w:t>
      </w:r>
      <w:r w:rsidRPr="00132E65">
        <w:rPr>
          <w:rtl/>
          <w:lang w:bidi="fa-IR"/>
        </w:rPr>
        <w:t xml:space="preserve"> فِي كِتَابِهِ ، تَصْدِيقاً لِنَبِيِّهِ </w:t>
      </w:r>
      <w:r w:rsidRPr="00071CF9">
        <w:rPr>
          <w:rStyle w:val="libAlaemChar"/>
          <w:rtl/>
        </w:rPr>
        <w:t>صلى‌الله‌عليه‌وآله</w:t>
      </w:r>
      <w:r w:rsidRPr="00132E65">
        <w:rPr>
          <w:rtl/>
          <w:lang w:bidi="fa-IR"/>
        </w:rPr>
        <w:t xml:space="preserve">: </w:t>
      </w:r>
      <w:r w:rsidRPr="00071CF9">
        <w:rPr>
          <w:rStyle w:val="libAlaemChar"/>
          <w:rtl/>
        </w:rPr>
        <w:t>(</w:t>
      </w:r>
      <w:r w:rsidRPr="00071CF9">
        <w:rPr>
          <w:rStyle w:val="libAieChar"/>
          <w:rtl/>
        </w:rPr>
        <w:t xml:space="preserve"> إِنَّما يُرِيدُ اللهُ لِيُذْهِبَ عَنْكُمُ الرِّجْسَ أَهْلَ الْبَيْتِ وَيُطَهِّرَكُمْ تَطْهِيراً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فَكَانَ </w:t>
      </w:r>
      <w:r>
        <w:rPr>
          <w:rStyle w:val="libFootnotenumChar"/>
          <w:rtl/>
        </w:rPr>
        <w:t>(10)</w:t>
      </w:r>
      <w:r w:rsidRPr="00132E65">
        <w:rPr>
          <w:rtl/>
          <w:lang w:bidi="fa-IR"/>
        </w:rPr>
        <w:t xml:space="preserve"> عَلِيٌّ و</w:t>
      </w:r>
      <w:r>
        <w:rPr>
          <w:rFonts w:hint="cs"/>
          <w:rtl/>
          <w:lang w:bidi="fa-IR"/>
        </w:rPr>
        <w:t>َ</w:t>
      </w:r>
      <w:r w:rsidRPr="00132E65">
        <w:rPr>
          <w:rtl/>
          <w:lang w:bidi="fa-IR"/>
        </w:rPr>
        <w:t>الْحَسَنُ و</w:t>
      </w:r>
      <w:r>
        <w:rPr>
          <w:rFonts w:hint="cs"/>
          <w:rtl/>
          <w:lang w:bidi="fa-IR"/>
        </w:rPr>
        <w:t>َ</w:t>
      </w:r>
      <w:r w:rsidRPr="00132E65">
        <w:rPr>
          <w:rtl/>
          <w:lang w:bidi="fa-IR"/>
        </w:rPr>
        <w:t xml:space="preserve">الْحُسَيْنُ وَفَاطِمَةُ </w:t>
      </w:r>
      <w:r w:rsidRPr="00071CF9">
        <w:rPr>
          <w:rStyle w:val="libAlaemChar"/>
          <w:rtl/>
        </w:rPr>
        <w:t>عليهم‌السلام</w:t>
      </w:r>
      <w:r w:rsidRPr="00132E65">
        <w:rPr>
          <w:rtl/>
          <w:lang w:bidi="fa-IR"/>
        </w:rPr>
        <w:t xml:space="preserve"> ، فَأَدْخَلَهُمْ رَسُولُ اللهِ </w:t>
      </w:r>
      <w:r w:rsidRPr="00071CF9">
        <w:rPr>
          <w:rStyle w:val="libAlaemChar"/>
          <w:rtl/>
        </w:rPr>
        <w:t>صلى‌الله‌عليه‌وآله</w:t>
      </w:r>
      <w:r w:rsidRPr="00132E65">
        <w:rPr>
          <w:rtl/>
          <w:lang w:bidi="fa-IR"/>
        </w:rPr>
        <w:t xml:space="preserve"> تَحْتَ الْكِسَاءِ فِي بَيْتِ أُمِّ سَلَمَةَ ، ثُمَّ قَالَ </w:t>
      </w:r>
      <w:r>
        <w:rPr>
          <w:rStyle w:val="libFootnotenumChar"/>
          <w:rtl/>
        </w:rPr>
        <w:t>(11)</w:t>
      </w:r>
      <w:r w:rsidRPr="00132E65">
        <w:rPr>
          <w:rtl/>
          <w:lang w:bidi="fa-IR"/>
        </w:rPr>
        <w:t xml:space="preserve"> : الل</w:t>
      </w:r>
      <w:r>
        <w:rPr>
          <w:rFonts w:hint="cs"/>
          <w:rtl/>
          <w:lang w:bidi="fa-IR"/>
        </w:rPr>
        <w:t>ّ</w:t>
      </w:r>
      <w:r w:rsidRPr="00132E65">
        <w:rPr>
          <w:rtl/>
          <w:lang w:bidi="fa-IR"/>
        </w:rPr>
        <w:t xml:space="preserve">هُمَّ ، إِنَّ لِكُلِّ نَبِيٍّ أَهْلاً وثَقَلاً ، وهؤُلَاءِ أَهْلُ بَيْتِي وثَقَلِي </w:t>
      </w:r>
      <w:r>
        <w:rPr>
          <w:rStyle w:val="libFootnotenumChar"/>
          <w:rtl/>
        </w:rPr>
        <w:t>(12)</w:t>
      </w:r>
      <w:r w:rsidRPr="00132E65">
        <w:rPr>
          <w:rtl/>
          <w:lang w:bidi="fa-IR"/>
        </w:rPr>
        <w:t xml:space="preserve"> </w:t>
      </w:r>
      <w:r>
        <w:rPr>
          <w:rtl/>
          <w:lang w:bidi="fa-IR"/>
        </w:rPr>
        <w:t>، فَقَالَتْ أُمُّ سَلَمَةَ : أَ</w:t>
      </w:r>
      <w:r w:rsidRPr="00132E65">
        <w:rPr>
          <w:rtl/>
          <w:lang w:bidi="fa-IR"/>
        </w:rPr>
        <w:t>لَسْتُ مِنْ أَهْلِكَ</w:t>
      </w:r>
      <w:r>
        <w:rPr>
          <w:rtl/>
          <w:lang w:bidi="fa-IR"/>
        </w:rPr>
        <w:t>؟ فَقَالَ : إِنَّك</w:t>
      </w:r>
      <w:r>
        <w:rPr>
          <w:rFonts w:hint="cs"/>
          <w:rtl/>
          <w:lang w:bidi="fa-IR"/>
        </w:rPr>
        <w:t>ِ</w:t>
      </w:r>
      <w:r w:rsidRPr="00132E65">
        <w:rPr>
          <w:rtl/>
          <w:lang w:bidi="fa-IR"/>
        </w:rPr>
        <w:t xml:space="preserve"> إِلى خَيْرٍ ، و</w:t>
      </w:r>
      <w:r>
        <w:rPr>
          <w:rFonts w:hint="cs"/>
          <w:rtl/>
          <w:lang w:bidi="fa-IR"/>
        </w:rPr>
        <w:t>َ</w:t>
      </w:r>
      <w:r w:rsidRPr="00132E65">
        <w:rPr>
          <w:rtl/>
          <w:lang w:bidi="fa-IR"/>
        </w:rPr>
        <w:t xml:space="preserve">لَكِنَّ هؤُلَاءِ أَهْلِي </w:t>
      </w:r>
      <w:r w:rsidRPr="00F543F1">
        <w:rPr>
          <w:rStyle w:val="libFootnotenumChar"/>
          <w:rtl/>
        </w:rPr>
        <w:t>(13)</w:t>
      </w:r>
      <w:r w:rsidRPr="00132E65">
        <w:rPr>
          <w:rtl/>
          <w:lang w:bidi="fa-IR"/>
        </w:rPr>
        <w:t xml:space="preserve"> و</w:t>
      </w:r>
      <w:r>
        <w:rPr>
          <w:rFonts w:hint="cs"/>
          <w:rtl/>
          <w:lang w:bidi="fa-IR"/>
        </w:rPr>
        <w:t>َ</w:t>
      </w:r>
      <w:r w:rsidRPr="00132E65">
        <w:rPr>
          <w:rtl/>
          <w:lang w:bidi="fa-IR"/>
        </w:rPr>
        <w:t>ثَقَلِي.</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ج » : « لهم ذلك »</w:t>
            </w:r>
            <w:r>
              <w:rPr>
                <w:rtl/>
              </w:rPr>
              <w:t>.</w:t>
            </w:r>
          </w:p>
        </w:tc>
        <w:tc>
          <w:tcPr>
            <w:tcW w:w="4006" w:type="dxa"/>
          </w:tcPr>
          <w:p w:rsidR="000C39D1" w:rsidRDefault="000C39D1" w:rsidP="00B53873">
            <w:pPr>
              <w:pStyle w:val="libFootnote0"/>
              <w:rPr>
                <w:rtl/>
              </w:rPr>
            </w:pPr>
            <w:r>
              <w:rPr>
                <w:rtl/>
              </w:rPr>
              <w:t>(2).</w:t>
            </w:r>
            <w:r w:rsidRPr="00132E65">
              <w:rPr>
                <w:rtl/>
              </w:rPr>
              <w:t xml:space="preserve"> في « ف » :</w:t>
            </w:r>
            <w:r>
              <w:rPr>
                <w:rtl/>
              </w:rPr>
              <w:t xml:space="preserve"> + </w:t>
            </w:r>
            <w:r w:rsidRPr="00132E65">
              <w:rPr>
                <w:rtl/>
              </w:rPr>
              <w:t>« عليه »</w:t>
            </w:r>
            <w:r>
              <w:rPr>
                <w:rtl/>
              </w:rPr>
              <w:t>.</w:t>
            </w:r>
          </w:p>
        </w:tc>
      </w:tr>
    </w:tbl>
    <w:p w:rsidR="000C39D1" w:rsidRPr="00132E65" w:rsidRDefault="000C39D1" w:rsidP="000C39D1">
      <w:pPr>
        <w:pStyle w:val="libFootnote0"/>
        <w:rPr>
          <w:rtl/>
          <w:lang w:bidi="fa-IR"/>
        </w:rPr>
      </w:pPr>
      <w:r>
        <w:rPr>
          <w:rtl/>
        </w:rPr>
        <w:t>(3).</w:t>
      </w:r>
      <w:r w:rsidRPr="00132E65">
        <w:rPr>
          <w:rtl/>
        </w:rPr>
        <w:t xml:space="preserve"> هكذا في النسخ التي قوبلت. وفي المطبوع : « </w:t>
      </w:r>
      <w:r w:rsidRPr="000C5BAC">
        <w:rPr>
          <w:rtl/>
        </w:rPr>
        <w:t>صل</w:t>
      </w:r>
      <w:r>
        <w:rPr>
          <w:rFonts w:hint="cs"/>
          <w:rtl/>
        </w:rPr>
        <w:t>ّ</w:t>
      </w:r>
      <w:r w:rsidRPr="000C5BAC">
        <w:rPr>
          <w:rtl/>
        </w:rPr>
        <w:t>ى‌</w:t>
      </w:r>
      <w:r>
        <w:rPr>
          <w:rFonts w:hint="cs"/>
          <w:rtl/>
        </w:rPr>
        <w:t xml:space="preserve"> </w:t>
      </w:r>
      <w:r w:rsidRPr="000C5BAC">
        <w:rPr>
          <w:rtl/>
        </w:rPr>
        <w:t>الله</w:t>
      </w:r>
      <w:r>
        <w:rPr>
          <w:rFonts w:hint="cs"/>
          <w:rtl/>
        </w:rPr>
        <w:t xml:space="preserve"> </w:t>
      </w:r>
      <w:r w:rsidRPr="000C5BAC">
        <w:rPr>
          <w:rtl/>
        </w:rPr>
        <w:t>‌عليه</w:t>
      </w:r>
      <w:r>
        <w:rPr>
          <w:rFonts w:hint="cs"/>
          <w:rtl/>
        </w:rPr>
        <w:t xml:space="preserve"> </w:t>
      </w:r>
      <w:r w:rsidRPr="000C5BAC">
        <w:rPr>
          <w:rtl/>
        </w:rPr>
        <w:t>‌و</w:t>
      </w:r>
      <w:r>
        <w:rPr>
          <w:rFonts w:hint="cs"/>
          <w:rtl/>
        </w:rPr>
        <w:t xml:space="preserve"> </w:t>
      </w:r>
      <w:r w:rsidRPr="000C5BAC">
        <w:rPr>
          <w:rtl/>
        </w:rPr>
        <w:t>آله</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في حاشية « ج ، ض » وشرح المازندراني : « فإنّهم »</w:t>
      </w:r>
      <w:r>
        <w:rPr>
          <w:rtl/>
        </w:rPr>
        <w:t>.</w:t>
      </w:r>
    </w:p>
    <w:p w:rsidR="000C39D1" w:rsidRPr="00132E65" w:rsidRDefault="000C39D1" w:rsidP="000C39D1">
      <w:pPr>
        <w:pStyle w:val="libFootnote0"/>
        <w:rPr>
          <w:rtl/>
          <w:lang w:bidi="fa-IR"/>
        </w:rPr>
      </w:pPr>
      <w:r>
        <w:rPr>
          <w:rtl/>
        </w:rPr>
        <w:t>(5).</w:t>
      </w:r>
      <w:r w:rsidRPr="00132E65">
        <w:rPr>
          <w:rtl/>
        </w:rPr>
        <w:t xml:space="preserve"> في « ج ، ف » : « من »</w:t>
      </w:r>
      <w:r>
        <w:rPr>
          <w:rtl/>
        </w:rPr>
        <w:t>.</w:t>
      </w:r>
    </w:p>
    <w:p w:rsidR="000C39D1" w:rsidRPr="00132E65" w:rsidRDefault="000C39D1" w:rsidP="000C39D1">
      <w:pPr>
        <w:pStyle w:val="libFootnote0"/>
        <w:rPr>
          <w:rtl/>
          <w:lang w:bidi="fa-IR"/>
        </w:rPr>
      </w:pPr>
      <w:r>
        <w:rPr>
          <w:rtl/>
        </w:rPr>
        <w:t>(6).</w:t>
      </w:r>
      <w:r w:rsidRPr="00132E65">
        <w:rPr>
          <w:rtl/>
        </w:rPr>
        <w:t xml:space="preserve"> « الضَلالة » : الخفاء والغيبوبة حتّى لا يرى ، والهلاك ، والبطلان ، والفساد ، والاضمحلال ، ومعنى مقابل للهدى‌والرشاد. راجع : </w:t>
      </w:r>
      <w:r w:rsidRPr="006E281B">
        <w:rPr>
          <w:rtl/>
        </w:rPr>
        <w:t>الصحاح</w:t>
      </w:r>
      <w:r w:rsidRPr="00132E65">
        <w:rPr>
          <w:rtl/>
        </w:rPr>
        <w:t xml:space="preserve"> ، ج 5 ، ص 1748 ؛ </w:t>
      </w:r>
      <w:r w:rsidRPr="006E281B">
        <w:rPr>
          <w:rtl/>
        </w:rPr>
        <w:t>المفردات</w:t>
      </w:r>
      <w:r w:rsidRPr="00132E65">
        <w:rPr>
          <w:rtl/>
        </w:rPr>
        <w:t xml:space="preserve"> للراغب ، ص 509 ( ضلل )</w:t>
      </w:r>
      <w:r>
        <w:rPr>
          <w:rtl/>
        </w:rPr>
        <w:t>.</w:t>
      </w:r>
    </w:p>
    <w:p w:rsidR="000C39D1" w:rsidRPr="00132E65" w:rsidRDefault="000C39D1" w:rsidP="000C39D1">
      <w:pPr>
        <w:pStyle w:val="libFootnote0"/>
        <w:rPr>
          <w:rtl/>
          <w:lang w:bidi="fa-IR"/>
        </w:rPr>
      </w:pPr>
      <w:r>
        <w:rPr>
          <w:rtl/>
        </w:rPr>
        <w:t>(7).</w:t>
      </w:r>
      <w:r w:rsidRPr="00132E65">
        <w:rPr>
          <w:rtl/>
        </w:rPr>
        <w:t xml:space="preserve"> في « ج ، ض ، بح ، بر » : « ولم »</w:t>
      </w:r>
      <w:r>
        <w:rPr>
          <w:rtl/>
        </w:rPr>
        <w:t>.</w:t>
      </w:r>
    </w:p>
    <w:p w:rsidR="000C39D1" w:rsidRPr="00132E65" w:rsidRDefault="000C39D1" w:rsidP="000C39D1">
      <w:pPr>
        <w:pStyle w:val="libFootnote0"/>
        <w:rPr>
          <w:rtl/>
          <w:lang w:bidi="fa-IR"/>
        </w:rPr>
      </w:pPr>
      <w:r>
        <w:rPr>
          <w:rtl/>
        </w:rPr>
        <w:t>(8).</w:t>
      </w:r>
      <w:r w:rsidRPr="00132E65">
        <w:rPr>
          <w:rtl/>
        </w:rPr>
        <w:t xml:space="preserve"> في « ب ، ف » وحاشية « بف » و</w:t>
      </w:r>
      <w:r w:rsidRPr="009D1ACE">
        <w:rPr>
          <w:rStyle w:val="libFootnoteBoldChar"/>
          <w:rtl/>
        </w:rPr>
        <w:t>مرآة العقول</w:t>
      </w:r>
      <w:r w:rsidRPr="00132E65">
        <w:rPr>
          <w:rtl/>
        </w:rPr>
        <w:t xml:space="preserve"> و</w:t>
      </w:r>
      <w:r w:rsidRPr="009D1ACE">
        <w:rPr>
          <w:rStyle w:val="libFootnoteBoldChar"/>
          <w:rtl/>
        </w:rPr>
        <w:t>الوافي</w:t>
      </w:r>
      <w:r w:rsidRPr="00132E65">
        <w:rPr>
          <w:rtl/>
        </w:rPr>
        <w:t xml:space="preserve"> : « أنزل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الأحزاب (33) : 33.</w:t>
            </w:r>
          </w:p>
        </w:tc>
        <w:tc>
          <w:tcPr>
            <w:tcW w:w="4006" w:type="dxa"/>
          </w:tcPr>
          <w:p w:rsidR="000C39D1" w:rsidRDefault="000C39D1" w:rsidP="00B53873">
            <w:pPr>
              <w:pStyle w:val="libFootnote0"/>
              <w:rPr>
                <w:rtl/>
              </w:rPr>
            </w:pPr>
            <w:r>
              <w:rPr>
                <w:rtl/>
              </w:rPr>
              <w:t>(10).</w:t>
            </w:r>
            <w:r w:rsidRPr="00132E65">
              <w:rPr>
                <w:rtl/>
              </w:rPr>
              <w:t xml:space="preserve"> «كان»تامّة</w:t>
            </w:r>
            <w:r>
              <w:rPr>
                <w:rFonts w:hint="cs"/>
                <w:rtl/>
              </w:rPr>
              <w:t xml:space="preserve"> </w:t>
            </w:r>
            <w:r w:rsidRPr="00132E65">
              <w:rPr>
                <w:rtl/>
              </w:rPr>
              <w:t>أو</w:t>
            </w:r>
            <w:r>
              <w:rPr>
                <w:rFonts w:hint="cs"/>
                <w:rtl/>
              </w:rPr>
              <w:t xml:space="preserve"> </w:t>
            </w:r>
            <w:r w:rsidRPr="00132E65">
              <w:rPr>
                <w:rtl/>
              </w:rPr>
              <w:t>خبرها</w:t>
            </w:r>
            <w:r>
              <w:rPr>
                <w:rFonts w:hint="cs"/>
                <w:rtl/>
              </w:rPr>
              <w:t xml:space="preserve"> </w:t>
            </w:r>
            <w:r w:rsidRPr="00132E65">
              <w:rPr>
                <w:rtl/>
              </w:rPr>
              <w:t>محذوف.وفي«ج»:«وكان»</w:t>
            </w:r>
            <w:r>
              <w:rPr>
                <w:rtl/>
              </w:rPr>
              <w:t>.</w:t>
            </w:r>
          </w:p>
        </w:tc>
      </w:tr>
    </w:tbl>
    <w:p w:rsidR="000C39D1" w:rsidRPr="00132E65" w:rsidRDefault="000C39D1" w:rsidP="000C39D1">
      <w:pPr>
        <w:pStyle w:val="libFootnote0"/>
        <w:rPr>
          <w:rtl/>
          <w:lang w:bidi="fa-IR"/>
        </w:rPr>
      </w:pPr>
      <w:r>
        <w:rPr>
          <w:rtl/>
        </w:rPr>
        <w:t>(11).</w:t>
      </w:r>
      <w:r w:rsidRPr="00132E65">
        <w:rPr>
          <w:rtl/>
        </w:rPr>
        <w:t xml:space="preserve"> في « بر » : « وقال »</w:t>
      </w:r>
      <w:r>
        <w:rPr>
          <w:rtl/>
        </w:rPr>
        <w:t>.</w:t>
      </w:r>
    </w:p>
    <w:p w:rsidR="000C39D1" w:rsidRPr="00132E65" w:rsidRDefault="000C39D1" w:rsidP="000C39D1">
      <w:pPr>
        <w:pStyle w:val="libFootnote0"/>
        <w:rPr>
          <w:rtl/>
          <w:lang w:bidi="fa-IR"/>
        </w:rPr>
      </w:pPr>
      <w:r>
        <w:rPr>
          <w:rtl/>
        </w:rPr>
        <w:t>(12).</w:t>
      </w:r>
      <w:r w:rsidRPr="00132E65">
        <w:rPr>
          <w:rtl/>
        </w:rPr>
        <w:t xml:space="preserve"> يقال لكلّ شي‌ء خطير نفيس : ثَقَل ، فسمّاهم </w:t>
      </w:r>
      <w:r w:rsidRPr="00CE1F23">
        <w:rPr>
          <w:rStyle w:val="libFootnoteAlaemChar"/>
          <w:rtl/>
        </w:rPr>
        <w:t>عليهم‌السلام</w:t>
      </w:r>
      <w:r w:rsidRPr="00132E65">
        <w:rPr>
          <w:rtl/>
        </w:rPr>
        <w:t xml:space="preserve"> ثَقَلاً إعظاماً لقدرهم وتفخيماً لشأنهم. راجع : </w:t>
      </w:r>
      <w:r w:rsidRPr="006E281B">
        <w:rPr>
          <w:rtl/>
        </w:rPr>
        <w:t>النهاية</w:t>
      </w:r>
      <w:r w:rsidRPr="00132E65">
        <w:rPr>
          <w:rtl/>
        </w:rPr>
        <w:t xml:space="preserve"> ، ج 1 ، ص 216 ( ثقل )</w:t>
      </w:r>
      <w:r>
        <w:rPr>
          <w:rtl/>
        </w:rPr>
        <w:t>.</w:t>
      </w:r>
      <w:r>
        <w:rPr>
          <w:rFonts w:hint="cs"/>
          <w:rtl/>
        </w:rPr>
        <w:t xml:space="preserve">                                  </w:t>
      </w:r>
      <w:r>
        <w:rPr>
          <w:rtl/>
        </w:rPr>
        <w:t>(13)</w:t>
      </w:r>
      <w:r>
        <w:rPr>
          <w:rFonts w:hint="cs"/>
          <w:rtl/>
        </w:rPr>
        <w:t>.</w:t>
      </w:r>
      <w:r w:rsidRPr="00132E65">
        <w:rPr>
          <w:rtl/>
        </w:rPr>
        <w:t xml:space="preserve"> في « ف » : « أهل بيتي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فَلَمَّا قُبِضَ رَسُولُ اللهِ </w:t>
      </w:r>
      <w:r w:rsidRPr="00071CF9">
        <w:rPr>
          <w:rStyle w:val="libAlaemChar"/>
          <w:rtl/>
        </w:rPr>
        <w:t>صلى‌الله‌عليه‌وآله‌</w:t>
      </w:r>
      <w:r w:rsidRPr="00132E65">
        <w:rPr>
          <w:rtl/>
          <w:lang w:bidi="fa-IR"/>
        </w:rPr>
        <w:t xml:space="preserve"> ، كَانَ عَلِيٌّ </w:t>
      </w:r>
      <w:r>
        <w:rPr>
          <w:rStyle w:val="libFootnotenumChar"/>
          <w:rtl/>
        </w:rPr>
        <w:t>(1)</w:t>
      </w:r>
      <w:r w:rsidRPr="00132E65">
        <w:rPr>
          <w:rtl/>
          <w:lang w:bidi="fa-IR"/>
        </w:rPr>
        <w:t xml:space="preserve"> أَوْلَى النَّاسِ بِالنَّاسِ ؛ لِكَثْرَةِ مَا بَلَّغَ فِيهِ رَسُولُ اللهِ </w:t>
      </w:r>
      <w:r w:rsidRPr="00071CF9">
        <w:rPr>
          <w:rStyle w:val="libAlaemChar"/>
          <w:rtl/>
        </w:rPr>
        <w:t>صلى‌الله‌عليه‌وآله‌</w:t>
      </w:r>
      <w:r w:rsidRPr="00132E65">
        <w:rPr>
          <w:rtl/>
          <w:lang w:bidi="fa-IR"/>
        </w:rPr>
        <w:t xml:space="preserve"> ، و</w:t>
      </w:r>
      <w:r>
        <w:rPr>
          <w:rFonts w:hint="cs"/>
          <w:rtl/>
          <w:lang w:bidi="fa-IR"/>
        </w:rPr>
        <w:t>َ</w:t>
      </w:r>
      <w:r w:rsidRPr="00132E65">
        <w:rPr>
          <w:rtl/>
          <w:lang w:bidi="fa-IR"/>
        </w:rPr>
        <w:t>إِقَامَتِهِ لِلنَّاسِ ، و</w:t>
      </w:r>
      <w:r>
        <w:rPr>
          <w:rFonts w:hint="cs"/>
          <w:rtl/>
          <w:lang w:bidi="fa-IR"/>
        </w:rPr>
        <w:t>َ</w:t>
      </w:r>
      <w:r w:rsidRPr="00132E65">
        <w:rPr>
          <w:rtl/>
          <w:lang w:bidi="fa-IR"/>
        </w:rPr>
        <w:t>أَخْذِهِ بِيَدِهِ.</w:t>
      </w:r>
    </w:p>
    <w:p w:rsidR="000C39D1" w:rsidRPr="00132E65" w:rsidRDefault="000C39D1" w:rsidP="000C39D1">
      <w:pPr>
        <w:pStyle w:val="libNormal"/>
        <w:rPr>
          <w:rtl/>
          <w:lang w:bidi="fa-IR"/>
        </w:rPr>
      </w:pPr>
      <w:r w:rsidRPr="00132E65">
        <w:rPr>
          <w:rtl/>
          <w:lang w:bidi="fa-IR"/>
        </w:rPr>
        <w:t xml:space="preserve">فَلَمَّا مَضى عَلِيٌّ </w:t>
      </w:r>
      <w:r w:rsidRPr="00071CF9">
        <w:rPr>
          <w:rStyle w:val="libAlaemChar"/>
          <w:rtl/>
        </w:rPr>
        <w:t>عليه‌السلام</w:t>
      </w:r>
      <w:r w:rsidRPr="00132E65">
        <w:rPr>
          <w:rtl/>
          <w:lang w:bidi="fa-IR"/>
        </w:rPr>
        <w:t xml:space="preserve"> ، لَمْ يَكُنْ يَسْتَطِيعُ عَلِيٌّ </w:t>
      </w:r>
      <w:r>
        <w:rPr>
          <w:rStyle w:val="libFootnotenumChar"/>
          <w:rtl/>
        </w:rPr>
        <w:t>(2)</w:t>
      </w:r>
      <w:r>
        <w:rPr>
          <w:rtl/>
          <w:lang w:bidi="fa-IR"/>
        </w:rPr>
        <w:t xml:space="preserve"> - </w:t>
      </w:r>
      <w:r w:rsidRPr="00132E65">
        <w:rPr>
          <w:rtl/>
          <w:lang w:bidi="fa-IR"/>
        </w:rPr>
        <w:t>و</w:t>
      </w:r>
      <w:r>
        <w:rPr>
          <w:rFonts w:hint="cs"/>
          <w:rtl/>
          <w:lang w:bidi="fa-IR"/>
        </w:rPr>
        <w:t>َ</w:t>
      </w:r>
      <w:r w:rsidRPr="00132E65">
        <w:rPr>
          <w:rtl/>
          <w:lang w:bidi="fa-IR"/>
        </w:rPr>
        <w:t>لَمْ يَكُنْ لِيَفْعَلَ</w:t>
      </w:r>
      <w:r>
        <w:rPr>
          <w:rtl/>
          <w:lang w:bidi="fa-IR"/>
        </w:rPr>
        <w:t xml:space="preserve"> - </w:t>
      </w:r>
      <w:r w:rsidRPr="00132E65">
        <w:rPr>
          <w:rtl/>
          <w:lang w:bidi="fa-IR"/>
        </w:rPr>
        <w:t>أَنْ يُدْخِلَ مُحَمَّدَ بْنَ عَلِيٍّ و</w:t>
      </w:r>
      <w:r>
        <w:rPr>
          <w:rFonts w:hint="cs"/>
          <w:rtl/>
          <w:lang w:bidi="fa-IR"/>
        </w:rPr>
        <w:t>َ</w:t>
      </w:r>
      <w:r w:rsidRPr="00132E65">
        <w:rPr>
          <w:rtl/>
          <w:lang w:bidi="fa-IR"/>
        </w:rPr>
        <w:t>لَا</w:t>
      </w:r>
      <w:r>
        <w:rPr>
          <w:rFonts w:hint="cs"/>
          <w:rtl/>
          <w:lang w:bidi="fa-IR"/>
        </w:rPr>
        <w:t xml:space="preserve"> </w:t>
      </w:r>
      <w:r w:rsidRPr="00132E65">
        <w:rPr>
          <w:rtl/>
          <w:lang w:bidi="fa-IR"/>
        </w:rPr>
        <w:t>الْعَبَّاسَ بْنَ عَلِيٍّ و</w:t>
      </w:r>
      <w:r>
        <w:rPr>
          <w:rFonts w:hint="cs"/>
          <w:rtl/>
          <w:lang w:bidi="fa-IR"/>
        </w:rPr>
        <w:t>َ</w:t>
      </w:r>
      <w:r w:rsidRPr="00132E65">
        <w:rPr>
          <w:rtl/>
          <w:lang w:bidi="fa-IR"/>
        </w:rPr>
        <w:t xml:space="preserve">لَاوَاحِداً </w:t>
      </w:r>
      <w:r>
        <w:rPr>
          <w:rStyle w:val="libFootnotenumChar"/>
          <w:rtl/>
        </w:rPr>
        <w:t>(3)</w:t>
      </w:r>
      <w:r w:rsidRPr="00132E65">
        <w:rPr>
          <w:rtl/>
          <w:lang w:bidi="fa-IR"/>
        </w:rPr>
        <w:t xml:space="preserve"> مِنْ</w:t>
      </w:r>
      <w:r>
        <w:rPr>
          <w:rFonts w:hint="cs"/>
          <w:rtl/>
          <w:lang w:bidi="fa-IR"/>
        </w:rPr>
        <w:t xml:space="preserve"> </w:t>
      </w:r>
      <w:r w:rsidRPr="00132E65">
        <w:rPr>
          <w:rtl/>
          <w:lang w:bidi="fa-IR"/>
        </w:rPr>
        <w:t>ولْدِهِ ، إِذاً لَقَالَ الْحَسَنُ وَالْحُسَيْنُ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أَنْزَلَ فِينَا كَمَا أَنْزَلَ فِيكَ ، فَأَمَرَ </w:t>
      </w:r>
      <w:r>
        <w:rPr>
          <w:rStyle w:val="libFootnotenumChar"/>
          <w:rtl/>
        </w:rPr>
        <w:t>(4)</w:t>
      </w:r>
      <w:r w:rsidRPr="00132E65">
        <w:rPr>
          <w:rtl/>
          <w:lang w:bidi="fa-IR"/>
        </w:rPr>
        <w:t xml:space="preserve"> بِطَاعَتِنَا كَمَا أَمَرَ بِطَاعَتِكَ ، وبَلَّغَ فِينَا رَسُولُ اللهِ </w:t>
      </w:r>
      <w:r w:rsidRPr="00071CF9">
        <w:rPr>
          <w:rStyle w:val="libAlaemChar"/>
          <w:rtl/>
        </w:rPr>
        <w:t>صلى‌الله‌عليه‌وآله‌</w:t>
      </w:r>
      <w:r w:rsidRPr="00132E65">
        <w:rPr>
          <w:rtl/>
          <w:lang w:bidi="fa-IR"/>
        </w:rPr>
        <w:t xml:space="preserve"> كَمَا بَلَّغَ فِيكَ ، وأَذْهَبَ عَنَّا الرِّجْسَ </w:t>
      </w:r>
      <w:r>
        <w:rPr>
          <w:rStyle w:val="libFootnotenumChar"/>
          <w:rtl/>
        </w:rPr>
        <w:t>(5)</w:t>
      </w:r>
      <w:r w:rsidRPr="00132E65">
        <w:rPr>
          <w:rtl/>
          <w:lang w:bidi="fa-IR"/>
        </w:rPr>
        <w:t xml:space="preserve"> كَمَا أَذْهَبَهُ عَنْكَ.</w:t>
      </w:r>
    </w:p>
    <w:p w:rsidR="000C39D1" w:rsidRPr="00132E65" w:rsidRDefault="000C39D1" w:rsidP="000C39D1">
      <w:pPr>
        <w:pStyle w:val="libNormal"/>
        <w:rPr>
          <w:rtl/>
          <w:lang w:bidi="fa-IR"/>
        </w:rPr>
      </w:pPr>
      <w:r w:rsidRPr="00132E65">
        <w:rPr>
          <w:rtl/>
          <w:lang w:bidi="fa-IR"/>
        </w:rPr>
        <w:t xml:space="preserve">فَلَمَّا مَضى عَلِيٌّ </w:t>
      </w:r>
      <w:r w:rsidRPr="00071CF9">
        <w:rPr>
          <w:rStyle w:val="libAlaemChar"/>
          <w:rtl/>
        </w:rPr>
        <w:t>عليه‌السلام</w:t>
      </w:r>
      <w:r w:rsidRPr="00132E65">
        <w:rPr>
          <w:rtl/>
          <w:lang w:bidi="fa-IR"/>
        </w:rPr>
        <w:t xml:space="preserve"> ، كَانَ الْحَسَنُ </w:t>
      </w:r>
      <w:r w:rsidRPr="00071CF9">
        <w:rPr>
          <w:rStyle w:val="libAlaemChar"/>
          <w:rtl/>
        </w:rPr>
        <w:t>عليه‌السلام</w:t>
      </w:r>
      <w:r w:rsidRPr="00132E65">
        <w:rPr>
          <w:rtl/>
          <w:lang w:bidi="fa-IR"/>
        </w:rPr>
        <w:t xml:space="preserve"> أَوْلى بِهَا ؛ لِكِبَرِهِ.</w:t>
      </w:r>
    </w:p>
    <w:p w:rsidR="000C39D1" w:rsidRPr="00132E65" w:rsidRDefault="000C39D1" w:rsidP="000C39D1">
      <w:pPr>
        <w:pStyle w:val="libNormal"/>
        <w:rPr>
          <w:rtl/>
          <w:lang w:bidi="fa-IR"/>
        </w:rPr>
      </w:pPr>
      <w:r w:rsidRPr="00132E65">
        <w:rPr>
          <w:rtl/>
          <w:lang w:bidi="fa-IR"/>
        </w:rPr>
        <w:t>فَلَمَّا تُوُفِّيَ ، لَمْ يَسْتَطِعْ أَنْ يُدْخِلَ و</w:t>
      </w:r>
      <w:r>
        <w:rPr>
          <w:rFonts w:hint="cs"/>
          <w:rtl/>
          <w:lang w:bidi="fa-IR"/>
        </w:rPr>
        <w:t>ُ</w:t>
      </w:r>
      <w:r w:rsidRPr="00132E65">
        <w:rPr>
          <w:rtl/>
          <w:lang w:bidi="fa-IR"/>
        </w:rPr>
        <w:t>لْدَهُ ، و</w:t>
      </w:r>
      <w:r>
        <w:rPr>
          <w:rFonts w:hint="cs"/>
          <w:rtl/>
          <w:lang w:bidi="fa-IR"/>
        </w:rPr>
        <w:t>َ</w:t>
      </w:r>
      <w:r w:rsidRPr="00132E65">
        <w:rPr>
          <w:rtl/>
          <w:lang w:bidi="fa-IR"/>
        </w:rPr>
        <w:t xml:space="preserve">لَمْ يَكُنْ </w:t>
      </w:r>
      <w:r>
        <w:rPr>
          <w:rStyle w:val="libFootnotenumChar"/>
          <w:rtl/>
        </w:rPr>
        <w:t>(6)</w:t>
      </w:r>
      <w:r w:rsidRPr="00132E65">
        <w:rPr>
          <w:rtl/>
          <w:lang w:bidi="fa-IR"/>
        </w:rPr>
        <w:t xml:space="preserve"> لِيَفْعَلَ ذلِكَ </w:t>
      </w:r>
      <w:r>
        <w:rPr>
          <w:rStyle w:val="libFootnotenumChar"/>
          <w:rtl/>
        </w:rPr>
        <w:t>(7)</w:t>
      </w:r>
      <w:r w:rsidRPr="00132E65">
        <w:rPr>
          <w:rtl/>
          <w:lang w:bidi="fa-IR"/>
        </w:rPr>
        <w:t xml:space="preserve"> ، واللهُ</w:t>
      </w:r>
      <w:r>
        <w:rPr>
          <w:rtl/>
          <w:lang w:bidi="fa-IR"/>
        </w:rPr>
        <w:t xml:space="preserve"> - </w:t>
      </w:r>
      <w:r w:rsidRPr="00132E65">
        <w:rPr>
          <w:rtl/>
          <w:lang w:bidi="fa-IR"/>
        </w:rPr>
        <w:t>عَزَّ وَجَلَّ</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وَأُولُوا الْأَرْحامِ بَعْضُهُمْ أَوْلى بِبَعْضٍ فِي كِتابِ اللهِ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فَيَجْعَلَهَا فِي ولْدِهِ ، إِذاً لَقَالَ الْحُسَيْنُ </w:t>
      </w:r>
      <w:r w:rsidRPr="00071CF9">
        <w:rPr>
          <w:rStyle w:val="libAlaemChar"/>
          <w:rtl/>
        </w:rPr>
        <w:t>عليه‌السلام</w:t>
      </w:r>
      <w:r w:rsidRPr="00132E65">
        <w:rPr>
          <w:rtl/>
          <w:lang w:bidi="fa-IR"/>
        </w:rPr>
        <w:t xml:space="preserve"> : أَمَرَ اللهُ بِطَاعَتِي كَمَا أَمَرَ بِطَاعَتِكَ وطَاعَةِ أَبِيكَ ، و</w:t>
      </w:r>
      <w:r>
        <w:rPr>
          <w:rFonts w:hint="cs"/>
          <w:rtl/>
          <w:lang w:bidi="fa-IR"/>
        </w:rPr>
        <w:t>َ</w:t>
      </w:r>
      <w:r w:rsidRPr="00132E65">
        <w:rPr>
          <w:rtl/>
          <w:lang w:bidi="fa-IR"/>
        </w:rPr>
        <w:t xml:space="preserve">بَلَّغَ فِيَّ رَسُولُ اللهِ </w:t>
      </w:r>
      <w:r w:rsidRPr="00071CF9">
        <w:rPr>
          <w:rStyle w:val="libAlaemChar"/>
          <w:rtl/>
        </w:rPr>
        <w:t>صلى‌الله‌عليه‌وآله‌</w:t>
      </w:r>
      <w:r w:rsidRPr="00132E65">
        <w:rPr>
          <w:rtl/>
          <w:lang w:bidi="fa-IR"/>
        </w:rPr>
        <w:t xml:space="preserve"> كَمَا بَلَّغَ فِيكَ و</w:t>
      </w:r>
      <w:r>
        <w:rPr>
          <w:rFonts w:hint="cs"/>
          <w:rtl/>
          <w:lang w:bidi="fa-IR"/>
        </w:rPr>
        <w:t>َ</w:t>
      </w:r>
      <w:r w:rsidRPr="00132E65">
        <w:rPr>
          <w:rtl/>
          <w:lang w:bidi="fa-IR"/>
        </w:rPr>
        <w:t>فِي أَبِيكَ ، و</w:t>
      </w:r>
      <w:r>
        <w:rPr>
          <w:rFonts w:hint="cs"/>
          <w:rtl/>
          <w:lang w:bidi="fa-IR"/>
        </w:rPr>
        <w:t>َ</w:t>
      </w:r>
      <w:r w:rsidRPr="00132E65">
        <w:rPr>
          <w:rtl/>
          <w:lang w:bidi="fa-IR"/>
        </w:rPr>
        <w:t>أَذْهَبَ اللهُ عَنِّي الرِّجْسَ كَمَا أَذْهَبَ عَنْكَ وعَنْ أَبِيكَ.</w:t>
      </w:r>
    </w:p>
    <w:p w:rsidR="000C39D1" w:rsidRPr="00132E65" w:rsidRDefault="000C39D1" w:rsidP="000C39D1">
      <w:pPr>
        <w:pStyle w:val="libNormal"/>
        <w:rPr>
          <w:rtl/>
          <w:lang w:bidi="fa-IR"/>
        </w:rPr>
      </w:pPr>
      <w:r w:rsidRPr="00132E65">
        <w:rPr>
          <w:rtl/>
          <w:lang w:bidi="fa-IR"/>
        </w:rPr>
        <w:t xml:space="preserve">فَلَمَّا صَارَتْ إِلَى الْحُسَيْنِ </w:t>
      </w:r>
      <w:r w:rsidRPr="00071CF9">
        <w:rPr>
          <w:rStyle w:val="libAlaemChar"/>
          <w:rtl/>
        </w:rPr>
        <w:t>عليه‌السلام</w:t>
      </w:r>
      <w:r w:rsidRPr="00132E65">
        <w:rPr>
          <w:rtl/>
          <w:lang w:bidi="fa-IR"/>
        </w:rPr>
        <w:t xml:space="preserve"> ، لَمْ يَكُنْ أَحَدٌ مِنْ أَهْلِ بَيْتِهِ يَسْتَطِيعُ </w:t>
      </w:r>
      <w:r>
        <w:rPr>
          <w:rStyle w:val="libFootnotenumChar"/>
          <w:rtl/>
        </w:rPr>
        <w:t>(9)</w:t>
      </w:r>
      <w:r w:rsidRPr="00132E65">
        <w:rPr>
          <w:rtl/>
          <w:lang w:bidi="fa-IR"/>
        </w:rPr>
        <w:t xml:space="preserve"> أَنْ يَدَّعِيَ عَلَيْهِ كَمَا كَانَ هُوَ يَدَّعِي عَلى أَخِيهِ و</w:t>
      </w:r>
      <w:r>
        <w:rPr>
          <w:rFonts w:hint="cs"/>
          <w:rtl/>
          <w:lang w:bidi="fa-IR"/>
        </w:rPr>
        <w:t>َ</w:t>
      </w:r>
      <w:r w:rsidRPr="00132E65">
        <w:rPr>
          <w:rtl/>
          <w:lang w:bidi="fa-IR"/>
        </w:rPr>
        <w:t xml:space="preserve">عَلى أَبِيهِ لَوْ أَرَادَا أَنْ يَصْرِفَا الْأَمْرَ عَنْهُ ، ولَمْ يَكُونَا لِيَفْعَلَا ؛ ثُمَّ صَارَتْ حِينَ أَفْضَتْ </w:t>
      </w:r>
      <w:r>
        <w:rPr>
          <w:rStyle w:val="libFootnotenumChar"/>
          <w:rtl/>
        </w:rPr>
        <w:t>(10)</w:t>
      </w:r>
      <w:r w:rsidRPr="00132E65">
        <w:rPr>
          <w:rtl/>
          <w:lang w:bidi="fa-IR"/>
        </w:rPr>
        <w:t xml:space="preserve"> إِلَى الْحُسَيْنِ </w:t>
      </w:r>
      <w:r w:rsidRPr="00071CF9">
        <w:rPr>
          <w:rStyle w:val="libAlaemChar"/>
          <w:rtl/>
        </w:rPr>
        <w:t>عليه‌السلام</w:t>
      </w:r>
      <w:r w:rsidRPr="00132E65">
        <w:rPr>
          <w:rtl/>
          <w:lang w:bidi="fa-IR"/>
        </w:rPr>
        <w:t xml:space="preserve"> ، فَجَرى </w:t>
      </w:r>
      <w:r>
        <w:rPr>
          <w:rStyle w:val="libFootnotenumChar"/>
          <w:rtl/>
        </w:rPr>
        <w:t>(11)</w:t>
      </w:r>
      <w:r w:rsidRPr="00132E65">
        <w:rPr>
          <w:rtl/>
          <w:lang w:bidi="fa-IR"/>
        </w:rPr>
        <w:t xml:space="preserve"> تَأْوِيلُ هذِهِ الْآيَةِ : </w:t>
      </w:r>
      <w:r w:rsidRPr="00071CF9">
        <w:rPr>
          <w:rStyle w:val="libAlaemChar"/>
          <w:rtl/>
        </w:rPr>
        <w:t>(</w:t>
      </w:r>
      <w:r w:rsidRPr="00071CF9">
        <w:rPr>
          <w:rStyle w:val="libAieChar"/>
          <w:rtl/>
        </w:rPr>
        <w:t xml:space="preserve"> وَأُولُوا</w:t>
      </w:r>
      <w:r>
        <w:rPr>
          <w:rStyle w:val="libAieChar"/>
          <w:rFonts w:hint="cs"/>
          <w:rtl/>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3990"/>
        <w:gridCol w:w="18"/>
        <w:gridCol w:w="4139"/>
      </w:tblGrid>
      <w:tr w:rsidR="000C39D1" w:rsidTr="00B53873">
        <w:tc>
          <w:tcPr>
            <w:tcW w:w="3990" w:type="dxa"/>
          </w:tcPr>
          <w:p w:rsidR="000C39D1" w:rsidRDefault="000C39D1" w:rsidP="00B53873">
            <w:pPr>
              <w:pStyle w:val="libFootnote0"/>
              <w:rPr>
                <w:rtl/>
              </w:rPr>
            </w:pPr>
            <w:r>
              <w:rPr>
                <w:rtl/>
              </w:rPr>
              <w:t>(1).</w:t>
            </w:r>
            <w:r w:rsidRPr="00132E65">
              <w:rPr>
                <w:rtl/>
              </w:rPr>
              <w:t xml:space="preserve"> في « ج » : « عليّاً »</w:t>
            </w:r>
            <w:r>
              <w:rPr>
                <w:rtl/>
              </w:rPr>
              <w:t>.</w:t>
            </w:r>
          </w:p>
        </w:tc>
        <w:tc>
          <w:tcPr>
            <w:tcW w:w="4022" w:type="dxa"/>
            <w:gridSpan w:val="2"/>
          </w:tcPr>
          <w:p w:rsidR="000C39D1" w:rsidRDefault="000C39D1" w:rsidP="00B53873">
            <w:pPr>
              <w:pStyle w:val="libFootnote0"/>
              <w:rPr>
                <w:rtl/>
              </w:rPr>
            </w:pPr>
            <w:r>
              <w:rPr>
                <w:rtl/>
              </w:rPr>
              <w:t>(2).</w:t>
            </w:r>
            <w:r w:rsidRPr="00132E65">
              <w:rPr>
                <w:rtl/>
              </w:rPr>
              <w:t xml:space="preserve"> وفي « بف » : « عليّ يستطيع »</w:t>
            </w:r>
            <w:r>
              <w:rPr>
                <w:rtl/>
              </w:rPr>
              <w:t>.</w:t>
            </w:r>
          </w:p>
        </w:tc>
      </w:tr>
      <w:tr w:rsidR="000C39D1" w:rsidTr="00B53873">
        <w:tc>
          <w:tcPr>
            <w:tcW w:w="3990" w:type="dxa"/>
          </w:tcPr>
          <w:p w:rsidR="000C39D1" w:rsidRDefault="000C39D1" w:rsidP="00B53873">
            <w:pPr>
              <w:pStyle w:val="libFootnote0"/>
              <w:rPr>
                <w:rtl/>
                <w:lang w:bidi="fa-IR"/>
              </w:rPr>
            </w:pPr>
            <w:r>
              <w:rPr>
                <w:rtl/>
              </w:rPr>
              <w:t>(3).</w:t>
            </w:r>
            <w:r w:rsidRPr="00132E65">
              <w:rPr>
                <w:rtl/>
              </w:rPr>
              <w:t xml:space="preserve"> في « ض ، بح » : « ولا أحداً »</w:t>
            </w:r>
            <w:r>
              <w:rPr>
                <w:rtl/>
              </w:rPr>
              <w:t>.</w:t>
            </w:r>
          </w:p>
        </w:tc>
        <w:tc>
          <w:tcPr>
            <w:tcW w:w="4022" w:type="dxa"/>
            <w:gridSpan w:val="2"/>
          </w:tcPr>
          <w:p w:rsidR="000C39D1" w:rsidRDefault="000C39D1" w:rsidP="00B53873">
            <w:pPr>
              <w:pStyle w:val="libFootnote0"/>
              <w:rPr>
                <w:rtl/>
                <w:lang w:bidi="fa-IR"/>
              </w:rPr>
            </w:pPr>
            <w:r>
              <w:rPr>
                <w:rtl/>
              </w:rPr>
              <w:t>(4).</w:t>
            </w:r>
            <w:r w:rsidRPr="00132E65">
              <w:rPr>
                <w:rtl/>
              </w:rPr>
              <w:t>في«ف،بح</w:t>
            </w:r>
            <w:r>
              <w:rPr>
                <w:rFonts w:hint="cs"/>
                <w:rtl/>
              </w:rPr>
              <w:t>،</w:t>
            </w:r>
            <w:r w:rsidRPr="00132E65">
              <w:rPr>
                <w:rtl/>
              </w:rPr>
              <w:t>بس»وحاشية«ض،بر،بف»و</w:t>
            </w:r>
            <w:r w:rsidRPr="009D1ACE">
              <w:rPr>
                <w:rStyle w:val="libFootnoteBoldChar"/>
                <w:rtl/>
              </w:rPr>
              <w:t>الوافي</w:t>
            </w:r>
            <w:r w:rsidRPr="00132E65">
              <w:rPr>
                <w:rtl/>
              </w:rPr>
              <w:t>:«وأمر»</w:t>
            </w:r>
            <w:r>
              <w:rPr>
                <w:rtl/>
              </w:rPr>
              <w:t>.</w:t>
            </w:r>
          </w:p>
        </w:tc>
      </w:tr>
      <w:tr w:rsidR="000C39D1" w:rsidTr="00B53873">
        <w:tc>
          <w:tcPr>
            <w:tcW w:w="4006" w:type="dxa"/>
            <w:gridSpan w:val="2"/>
          </w:tcPr>
          <w:p w:rsidR="000C39D1" w:rsidRDefault="000C39D1" w:rsidP="00B53873">
            <w:pPr>
              <w:pStyle w:val="libFootnote0"/>
              <w:rPr>
                <w:rtl/>
              </w:rPr>
            </w:pPr>
            <w:r>
              <w:rPr>
                <w:rtl/>
              </w:rPr>
              <w:t>(5).</w:t>
            </w:r>
            <w:r w:rsidRPr="00132E65">
              <w:rPr>
                <w:rtl/>
              </w:rPr>
              <w:t xml:space="preserve"> سيأتي معنى « الرجس » بُعيد هذا.</w:t>
            </w:r>
          </w:p>
        </w:tc>
        <w:tc>
          <w:tcPr>
            <w:tcW w:w="4006" w:type="dxa"/>
          </w:tcPr>
          <w:p w:rsidR="000C39D1" w:rsidRDefault="000C39D1" w:rsidP="00B53873">
            <w:pPr>
              <w:pStyle w:val="libFootnote0"/>
              <w:rPr>
                <w:rtl/>
              </w:rPr>
            </w:pPr>
            <w:r>
              <w:rPr>
                <w:rtl/>
              </w:rPr>
              <w:t>(6).</w:t>
            </w:r>
            <w:r w:rsidRPr="00132E65">
              <w:rPr>
                <w:rtl/>
              </w:rPr>
              <w:t xml:space="preserve"> في « ب » :</w:t>
            </w:r>
            <w:r>
              <w:rPr>
                <w:rtl/>
              </w:rPr>
              <w:t xml:space="preserve"> + </w:t>
            </w:r>
            <w:r w:rsidRPr="00132E65">
              <w:rPr>
                <w:rtl/>
              </w:rPr>
              <w:t>« له »</w:t>
            </w:r>
            <w:r>
              <w:rPr>
                <w:rtl/>
              </w:rPr>
              <w:t>.</w:t>
            </w:r>
          </w:p>
        </w:tc>
      </w:tr>
      <w:tr w:rsidR="000C39D1" w:rsidTr="00B53873">
        <w:tc>
          <w:tcPr>
            <w:tcW w:w="4006" w:type="dxa"/>
            <w:gridSpan w:val="2"/>
          </w:tcPr>
          <w:p w:rsidR="000C39D1" w:rsidRDefault="000C39D1" w:rsidP="00B53873">
            <w:pPr>
              <w:pStyle w:val="libFootnote0"/>
              <w:rPr>
                <w:rtl/>
              </w:rPr>
            </w:pPr>
            <w:r>
              <w:rPr>
                <w:rtl/>
              </w:rPr>
              <w:t>(7).</w:t>
            </w:r>
            <w:r w:rsidRPr="00132E65">
              <w:rPr>
                <w:rtl/>
              </w:rPr>
              <w:t xml:space="preserve"> في « بر » </w:t>
            </w:r>
            <w:r>
              <w:rPr>
                <w:rtl/>
              </w:rPr>
              <w:t xml:space="preserve">: - </w:t>
            </w:r>
            <w:r w:rsidRPr="00132E65">
              <w:rPr>
                <w:rtl/>
              </w:rPr>
              <w:t>« ذلك »</w:t>
            </w:r>
            <w:r>
              <w:rPr>
                <w:rtl/>
              </w:rPr>
              <w:t>.</w:t>
            </w:r>
          </w:p>
        </w:tc>
        <w:tc>
          <w:tcPr>
            <w:tcW w:w="4006" w:type="dxa"/>
          </w:tcPr>
          <w:p w:rsidR="000C39D1" w:rsidRDefault="000C39D1" w:rsidP="00B53873">
            <w:pPr>
              <w:pStyle w:val="libFootnote0"/>
              <w:rPr>
                <w:rtl/>
              </w:rPr>
            </w:pPr>
            <w:r>
              <w:rPr>
                <w:rtl/>
              </w:rPr>
              <w:t>(8).</w:t>
            </w:r>
            <w:r w:rsidRPr="00132E65">
              <w:rPr>
                <w:rtl/>
              </w:rPr>
              <w:t xml:space="preserve"> الأنفال </w:t>
            </w:r>
            <w:r>
              <w:rPr>
                <w:rtl/>
              </w:rPr>
              <w:t>(8).</w:t>
            </w:r>
            <w:r w:rsidRPr="00132E65">
              <w:rPr>
                <w:rtl/>
              </w:rPr>
              <w:t xml:space="preserve"> : 75 ؛ الأحزاب (33) : 6.</w:t>
            </w:r>
          </w:p>
        </w:tc>
      </w:tr>
    </w:tbl>
    <w:p w:rsidR="000C39D1" w:rsidRPr="00132E65" w:rsidRDefault="000C39D1" w:rsidP="000C39D1">
      <w:pPr>
        <w:pStyle w:val="libFootnote0"/>
        <w:rPr>
          <w:rtl/>
          <w:lang w:bidi="fa-IR"/>
        </w:rPr>
      </w:pPr>
      <w:r>
        <w:rPr>
          <w:rtl/>
        </w:rPr>
        <w:t>(9).</w:t>
      </w:r>
      <w:r w:rsidRPr="00132E65">
        <w:rPr>
          <w:rtl/>
        </w:rPr>
        <w:t xml:space="preserve"> في « ب » : « ليستطيع »</w:t>
      </w:r>
      <w:r>
        <w:rPr>
          <w:rtl/>
        </w:rPr>
        <w:t>.</w:t>
      </w:r>
    </w:p>
    <w:p w:rsidR="000C39D1" w:rsidRPr="00132E65" w:rsidRDefault="000C39D1" w:rsidP="000C39D1">
      <w:pPr>
        <w:pStyle w:val="libFootnote0"/>
        <w:rPr>
          <w:rtl/>
          <w:lang w:bidi="fa-IR"/>
        </w:rPr>
      </w:pPr>
      <w:r>
        <w:rPr>
          <w:rtl/>
        </w:rPr>
        <w:t>(10).</w:t>
      </w:r>
      <w:r w:rsidRPr="00132E65">
        <w:rPr>
          <w:rtl/>
        </w:rPr>
        <w:t xml:space="preserve"> في « ج » : « أفضيت »</w:t>
      </w:r>
      <w:r>
        <w:rPr>
          <w:rtl/>
        </w:rPr>
        <w:t>.</w:t>
      </w:r>
      <w:r w:rsidRPr="00132E65">
        <w:rPr>
          <w:rtl/>
        </w:rPr>
        <w:t xml:space="preserve"> </w:t>
      </w:r>
      <w:r>
        <w:rPr>
          <w:rtl/>
        </w:rPr>
        <w:t>و «</w:t>
      </w:r>
      <w:r w:rsidRPr="00132E65">
        <w:rPr>
          <w:rtl/>
        </w:rPr>
        <w:t xml:space="preserve"> الفضاء » : المكان الواسع. ويقال : أفضى فلان إلى فلان ، أي وصل إليه. وأصله أنّه صارفي فُرجته وفضائه. راجع : </w:t>
      </w:r>
      <w:r w:rsidRPr="006E281B">
        <w:rPr>
          <w:rtl/>
        </w:rPr>
        <w:t>ترتيب كتاب العين</w:t>
      </w:r>
      <w:r w:rsidRPr="00132E65">
        <w:rPr>
          <w:rtl/>
        </w:rPr>
        <w:t xml:space="preserve"> ، ج 3 ، ص 1403 ( فضو )</w:t>
      </w:r>
      <w:r>
        <w:rPr>
          <w:rtl/>
        </w:rPr>
        <w:t>.</w:t>
      </w:r>
    </w:p>
    <w:p w:rsidR="000C39D1" w:rsidRPr="00132E65" w:rsidRDefault="000C39D1" w:rsidP="000C39D1">
      <w:pPr>
        <w:pStyle w:val="libFootnote0"/>
        <w:rPr>
          <w:rtl/>
          <w:lang w:bidi="fa-IR"/>
        </w:rPr>
      </w:pPr>
      <w:r>
        <w:rPr>
          <w:rtl/>
        </w:rPr>
        <w:t>(11).</w:t>
      </w:r>
      <w:r w:rsidRPr="00132E65">
        <w:rPr>
          <w:rtl/>
        </w:rPr>
        <w:t xml:space="preserve"> في حاشية « ج » وشرح المازندراني و</w:t>
      </w:r>
      <w:r w:rsidRPr="009D1ACE">
        <w:rPr>
          <w:rStyle w:val="libFootnoteBoldChar"/>
          <w:rtl/>
        </w:rPr>
        <w:t>مرآة العقول</w:t>
      </w:r>
      <w:r w:rsidRPr="00132E65">
        <w:rPr>
          <w:rtl/>
        </w:rPr>
        <w:t xml:space="preserve"> : « يجري »</w:t>
      </w:r>
      <w:r>
        <w:rPr>
          <w:rtl/>
        </w:rPr>
        <w:t>.</w:t>
      </w:r>
      <w:r w:rsidRPr="00132E65">
        <w:rPr>
          <w:rtl/>
        </w:rPr>
        <w:t xml:space="preserve"> قال في المرآة : « قوله : « يجري » خبر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lastRenderedPageBreak/>
        <w:t xml:space="preserve">الْأَرْحامِ بَعْضُهُمْ أَوْلى بِبَعْضٍ فِي كِتابِ اللهِ </w:t>
      </w:r>
      <w:r w:rsidRPr="00071CF9">
        <w:rPr>
          <w:rStyle w:val="libAlaemChar"/>
          <w:rtl/>
        </w:rPr>
        <w:t>)</w:t>
      </w:r>
      <w:r w:rsidRPr="00132E65">
        <w:rPr>
          <w:rtl/>
          <w:lang w:bidi="fa-IR"/>
        </w:rPr>
        <w:t xml:space="preserve"> ثُمَّ صَارَتْ مِنْ </w:t>
      </w:r>
      <w:r>
        <w:rPr>
          <w:rStyle w:val="libFootnotenumChar"/>
          <w:rtl/>
        </w:rPr>
        <w:t>(1)</w:t>
      </w:r>
      <w:r w:rsidRPr="00132E65">
        <w:rPr>
          <w:rtl/>
          <w:lang w:bidi="fa-IR"/>
        </w:rPr>
        <w:t xml:space="preserve"> بَعْدِ الْحُسَيْنِ </w:t>
      </w:r>
      <w:r>
        <w:rPr>
          <w:rStyle w:val="libFootnotenumChar"/>
          <w:rtl/>
        </w:rPr>
        <w:t>(2)</w:t>
      </w:r>
      <w:r w:rsidRPr="00132E65">
        <w:rPr>
          <w:rtl/>
          <w:lang w:bidi="fa-IR"/>
        </w:rPr>
        <w:t xml:space="preserve"> لِعَلِيِّ بْنِ الْحُسَيْنِ </w:t>
      </w:r>
      <w:r w:rsidRPr="00071CF9">
        <w:rPr>
          <w:rStyle w:val="libAlaemChar"/>
          <w:rtl/>
        </w:rPr>
        <w:t>عليه‌السلام</w:t>
      </w:r>
      <w:r w:rsidRPr="00132E65">
        <w:rPr>
          <w:rtl/>
          <w:lang w:bidi="fa-IR"/>
        </w:rPr>
        <w:t xml:space="preserve"> ، ثُمَّ صَارَتْ مِنْ بَعْدِ عَلِيِّ بْنِ الْحُسَيْنِ إِلى مُحَمَّدِ بْنِ عَلِيًّ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وقَالَ :</w:t>
      </w:r>
      <w:r>
        <w:rPr>
          <w:rFonts w:hint="cs"/>
          <w:rtl/>
          <w:lang w:bidi="fa-IR"/>
        </w:rPr>
        <w:t xml:space="preserve"> </w:t>
      </w:r>
      <w:r w:rsidRPr="00132E65">
        <w:rPr>
          <w:rtl/>
          <w:lang w:bidi="fa-IR"/>
        </w:rPr>
        <w:t xml:space="preserve">« الرِّجْسُ </w:t>
      </w:r>
      <w:r>
        <w:rPr>
          <w:rStyle w:val="libFootnotenumChar"/>
          <w:rtl/>
        </w:rPr>
        <w:t>(3)</w:t>
      </w:r>
      <w:r w:rsidRPr="00132E65">
        <w:rPr>
          <w:rtl/>
          <w:lang w:bidi="fa-IR"/>
        </w:rPr>
        <w:t xml:space="preserve"> هُوَ الشَّكُّ ، واللهِ لَانَشُكُّ </w:t>
      </w:r>
      <w:r>
        <w:rPr>
          <w:rStyle w:val="libFootnotenumChar"/>
          <w:rtl/>
        </w:rPr>
        <w:t>(4)</w:t>
      </w:r>
      <w:r w:rsidRPr="00132E65">
        <w:rPr>
          <w:rtl/>
          <w:lang w:bidi="fa-IR"/>
        </w:rPr>
        <w:t xml:space="preserve"> فِي رَبِّنَا أَبَداً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Pr>
          <w:rFonts w:hint="cs"/>
          <w:rtl/>
          <w:lang w:bidi="fa-IR"/>
        </w:rPr>
        <w:t xml:space="preserve">* </w:t>
      </w:r>
      <w:r w:rsidRPr="00132E65">
        <w:rPr>
          <w:rtl/>
          <w:lang w:bidi="fa-IR"/>
        </w:rPr>
        <w:t xml:space="preserve">مُحَمَّدُ بْنُ يَحْيى ، عَنْ أَحْمَدَ بْنِ مُحَمَّدِ بْنِ عِيسى ، عَنْ مُحَمَّدِ بْنِ خَالِدٍ والْحُسَيْنِ بْنِ سَعِيدٍ ، عَنِ النَّضْرِ بْنِ سُوَيْدٍ ، عَنْ يَحْيَى بْنِ عِمْرَانَ الْحَلَبِيِّ ، عَنْ أَيُّوبَ بْنِ الْحُرِّ وعِمْرَانَ بْنِ عَلِيٍّ الْحَلَبِيِّ ، عَنْ أَبِي بَصِيرٍ ، عَنْ أَبِي عَبْدِ اللهِ </w:t>
      </w:r>
      <w:r w:rsidRPr="00071CF9">
        <w:rPr>
          <w:rStyle w:val="libAlaemChar"/>
          <w:rtl/>
        </w:rPr>
        <w:t>عليه‌السلام</w:t>
      </w:r>
      <w:r w:rsidRPr="00132E65">
        <w:rPr>
          <w:rtl/>
          <w:lang w:bidi="fa-IR"/>
        </w:rPr>
        <w:t xml:space="preserve"> مِثْلَ ذلِكَ.</w:t>
      </w:r>
    </w:p>
    <w:p w:rsidR="000C39D1" w:rsidRPr="00132E65" w:rsidRDefault="000C39D1" w:rsidP="000C39D1">
      <w:pPr>
        <w:pStyle w:val="libNormal"/>
        <w:rPr>
          <w:rtl/>
          <w:lang w:bidi="fa-IR"/>
        </w:rPr>
      </w:pPr>
      <w:r w:rsidRPr="006E281B">
        <w:rPr>
          <w:rtl/>
        </w:rPr>
        <w:t>760</w:t>
      </w:r>
      <w:r w:rsidRPr="004325D8">
        <w:rPr>
          <w:rStyle w:val="libBold2Char"/>
          <w:rtl/>
        </w:rPr>
        <w:t xml:space="preserve"> / 2.</w:t>
      </w:r>
      <w:r w:rsidRPr="00132E65">
        <w:rPr>
          <w:rtl/>
          <w:lang w:bidi="fa-IR"/>
        </w:rPr>
        <w:t xml:space="preserve"> مُحَمَّدُ بْنُ يَحْيى ، عَنْ أَحْمَدَ بْنِ مُحَمَّدِ بْنِ عِيسى ، عَنْ أَبِيهِ ، عَنْ عَبْدِ اللهِ بْنِ الْمُغِيرَةِ ، عَنِ ابْنِ مُسْكَانَ ، عَنْ عَبْدِ الرَّحِيمِ بْنِ رَوْحٍ الْقَصِيرِ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النَّبِيُّ أَوْلى بِالْمُؤْمِنِينَ مِنْ أَنْفُسِهِمْ وَأَزْواجُهُ أُمَّهاتُهُمْ وَأُولُوا الْأَرْحامِ بَعْضُهُمْ أَوْلى بِبَعْضٍ فِي كِتابِ اللهِ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فِيمَنْ نَزَلَتْ</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(7)</w:t>
      </w:r>
      <w:r w:rsidRPr="00132E65">
        <w:rPr>
          <w:rtl/>
          <w:lang w:bidi="fa-IR"/>
        </w:rPr>
        <w:t xml:space="preserve"> : « نَزَلَتْ </w:t>
      </w:r>
      <w:r>
        <w:rPr>
          <w:rStyle w:val="libFootnotenumChar"/>
          <w:rtl/>
        </w:rPr>
        <w:t>(8)</w:t>
      </w:r>
      <w:r w:rsidRPr="00132E65">
        <w:rPr>
          <w:rtl/>
          <w:lang w:bidi="fa-IR"/>
        </w:rPr>
        <w:t xml:space="preserve"> فِي الْإِمْرَةِ </w:t>
      </w:r>
      <w:r>
        <w:rPr>
          <w:rStyle w:val="libFootnotenumChar"/>
          <w:rtl/>
        </w:rPr>
        <w:t>(9)</w:t>
      </w:r>
      <w:r w:rsidRPr="00132E65">
        <w:rPr>
          <w:rtl/>
          <w:lang w:bidi="fa-IR"/>
        </w:rPr>
        <w:t xml:space="preserve"> ، إِنَّ هذِهِ الْآيَةَ جَرَتْ فِي و</w:t>
      </w:r>
      <w:r>
        <w:rPr>
          <w:rFonts w:hint="cs"/>
          <w:rtl/>
          <w:lang w:bidi="fa-IR"/>
        </w:rPr>
        <w:t>ُ</w:t>
      </w:r>
      <w:r w:rsidRPr="00132E65">
        <w:rPr>
          <w:rtl/>
          <w:lang w:bidi="fa-IR"/>
        </w:rPr>
        <w:t>لْدِ الْحُسَيْنِ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صارت » بحذف العائد ، أي يجري فيها تأويل هذه الآية. وفي أكثر النسخ : « فجرى » ، فالخبر مقدّر ، أو « صارت » تامّة ، بمعنى تغيّرت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w:t>
            </w:r>
            <w:r w:rsidRPr="00132E65">
              <w:rPr>
                <w:rtl/>
              </w:rPr>
              <w:t xml:space="preserve"> في«ج،ض،بر،بس</w:t>
            </w:r>
            <w:r>
              <w:rPr>
                <w:rtl/>
              </w:rPr>
              <w:t>،</w:t>
            </w:r>
            <w:r w:rsidRPr="00132E65">
              <w:rPr>
                <w:rtl/>
              </w:rPr>
              <w:t>بف»</w:t>
            </w:r>
            <w:r>
              <w:rPr>
                <w:rtl/>
              </w:rPr>
              <w:t>:-</w:t>
            </w:r>
            <w:r w:rsidRPr="00132E65">
              <w:rPr>
                <w:rtl/>
              </w:rPr>
              <w:t>«من»</w:t>
            </w:r>
            <w:r>
              <w:rPr>
                <w:rtl/>
              </w:rPr>
              <w:t>.</w:t>
            </w:r>
          </w:p>
        </w:tc>
        <w:tc>
          <w:tcPr>
            <w:tcW w:w="4006" w:type="dxa"/>
          </w:tcPr>
          <w:p w:rsidR="000C39D1" w:rsidRDefault="000C39D1" w:rsidP="00B53873">
            <w:pPr>
              <w:pStyle w:val="libFootnote0"/>
              <w:rPr>
                <w:rtl/>
                <w:lang w:bidi="fa-IR"/>
              </w:rPr>
            </w:pPr>
            <w:r>
              <w:rPr>
                <w:rtl/>
              </w:rPr>
              <w:t>(2). في«</w:t>
            </w:r>
            <w:r w:rsidRPr="00132E65">
              <w:rPr>
                <w:rtl/>
              </w:rPr>
              <w:t>ب،ف،بس</w:t>
            </w:r>
            <w:r>
              <w:rPr>
                <w:rtl/>
              </w:rPr>
              <w:t>،</w:t>
            </w:r>
            <w:r w:rsidRPr="00132E65">
              <w:rPr>
                <w:rtl/>
              </w:rPr>
              <w:t>بف»:«حسين»</w:t>
            </w:r>
            <w:r>
              <w:rPr>
                <w:rtl/>
              </w:rPr>
              <w:t>.</w:t>
            </w:r>
          </w:p>
        </w:tc>
      </w:tr>
    </w:tbl>
    <w:p w:rsidR="000C39D1" w:rsidRPr="00132E65" w:rsidRDefault="000C39D1" w:rsidP="000C39D1">
      <w:pPr>
        <w:pStyle w:val="libFootnote0"/>
        <w:rPr>
          <w:rtl/>
          <w:lang w:bidi="fa-IR"/>
        </w:rPr>
      </w:pPr>
      <w:r>
        <w:rPr>
          <w:rtl/>
        </w:rPr>
        <w:t>(3).</w:t>
      </w:r>
      <w:r w:rsidRPr="00132E65">
        <w:rPr>
          <w:rtl/>
        </w:rPr>
        <w:t xml:space="preserve"> في شرح المازندراني : « والرجس »</w:t>
      </w:r>
      <w:r>
        <w:rPr>
          <w:rtl/>
        </w:rPr>
        <w:t>.</w:t>
      </w:r>
      <w:r w:rsidRPr="00132E65">
        <w:rPr>
          <w:rtl/>
        </w:rPr>
        <w:t xml:space="preserve"> وقال الفيروزآبادي : « الرِجس ، بالكسر : القَذَر</w:t>
      </w:r>
      <w:r>
        <w:rPr>
          <w:rtl/>
        </w:rPr>
        <w:t xml:space="preserve"> - </w:t>
      </w:r>
      <w:r w:rsidRPr="00132E65">
        <w:rPr>
          <w:rtl/>
        </w:rPr>
        <w:t>ويُحرَّك وتفتح الراء وتكسر الجيم</w:t>
      </w:r>
      <w:r>
        <w:rPr>
          <w:rtl/>
        </w:rPr>
        <w:t xml:space="preserve"> - </w:t>
      </w:r>
      <w:r w:rsidRPr="00132E65">
        <w:rPr>
          <w:rtl/>
        </w:rPr>
        <w:t>والمآثم ، وكلّ ما استُقذر من العمل ، والعمل المؤدّي إلى العذاب ، والشكّ ، والعقاب ، والغضب »</w:t>
      </w:r>
      <w:r>
        <w:rPr>
          <w:rtl/>
        </w:rPr>
        <w:t>.</w:t>
      </w:r>
      <w:r w:rsidRPr="00132E65">
        <w:rPr>
          <w:rtl/>
        </w:rPr>
        <w:t xml:space="preserve"> </w:t>
      </w:r>
      <w:r w:rsidRPr="006E281B">
        <w:rPr>
          <w:rtl/>
        </w:rPr>
        <w:t>القاموس المحيط</w:t>
      </w:r>
      <w:r w:rsidRPr="00132E65">
        <w:rPr>
          <w:rtl/>
        </w:rPr>
        <w:t xml:space="preserve"> ، ج 1 ، ص 752 ( رجس )</w:t>
      </w:r>
      <w:r>
        <w:rPr>
          <w:rtl/>
        </w:rPr>
        <w:t>.</w:t>
      </w:r>
    </w:p>
    <w:p w:rsidR="000C39D1" w:rsidRPr="00132E65" w:rsidRDefault="000C39D1" w:rsidP="000C39D1">
      <w:pPr>
        <w:pStyle w:val="libFootnote0"/>
        <w:rPr>
          <w:rtl/>
          <w:lang w:bidi="fa-IR"/>
        </w:rPr>
      </w:pPr>
      <w:r>
        <w:rPr>
          <w:rtl/>
        </w:rPr>
        <w:t>(4).</w:t>
      </w:r>
      <w:r w:rsidRPr="00132E65">
        <w:rPr>
          <w:rtl/>
        </w:rPr>
        <w:t xml:space="preserve"> في « ف » : « ما نشكّ »</w:t>
      </w:r>
      <w:r>
        <w:rPr>
          <w:rtl/>
        </w:rPr>
        <w:t>.</w:t>
      </w:r>
    </w:p>
    <w:p w:rsidR="000C39D1" w:rsidRPr="00132E65" w:rsidRDefault="000C39D1" w:rsidP="000C39D1">
      <w:pPr>
        <w:pStyle w:val="libFootnote0"/>
        <w:rPr>
          <w:rtl/>
          <w:lang w:bidi="fa-IR"/>
        </w:rPr>
      </w:pPr>
      <w:r>
        <w:rPr>
          <w:rtl/>
        </w:rPr>
        <w:t>(5).</w:t>
      </w:r>
      <w:r w:rsidRPr="00132E65">
        <w:rPr>
          <w:rtl/>
        </w:rPr>
        <w:t xml:space="preserve"> </w:t>
      </w:r>
      <w:r w:rsidRPr="006E281B">
        <w:rPr>
          <w:rtl/>
        </w:rPr>
        <w:t>تفسير العيّاشي</w:t>
      </w:r>
      <w:r w:rsidRPr="00132E65">
        <w:rPr>
          <w:rtl/>
        </w:rPr>
        <w:t xml:space="preserve"> ، ج 1 ، ص 249 ، ح 169 عن أبي بصير عن أبي جعفر </w:t>
      </w:r>
      <w:r w:rsidRPr="00D01B05">
        <w:rPr>
          <w:rStyle w:val="libFootnoteAlaemChar"/>
          <w:rtl/>
        </w:rPr>
        <w:t>عليه‌السلام</w:t>
      </w:r>
      <w:r w:rsidRPr="00132E65">
        <w:rPr>
          <w:rtl/>
        </w:rPr>
        <w:t xml:space="preserve"> ؛ </w:t>
      </w:r>
      <w:r w:rsidRPr="006E281B">
        <w:rPr>
          <w:rtl/>
        </w:rPr>
        <w:t>وفيه</w:t>
      </w:r>
      <w:r w:rsidRPr="00132E65">
        <w:rPr>
          <w:rtl/>
        </w:rPr>
        <w:t xml:space="preserve"> ، ص 251 ، ح 170 ، عن أبي بصير عن أبي عبدالله </w:t>
      </w:r>
      <w:r w:rsidRPr="00D01B05">
        <w:rPr>
          <w:rStyle w:val="libFootnoteAlaemChar"/>
          <w:rtl/>
        </w:rPr>
        <w:t>عليه‌السلام</w:t>
      </w:r>
      <w:r w:rsidRPr="00132E65">
        <w:rPr>
          <w:rtl/>
        </w:rPr>
        <w:t xml:space="preserve"> </w:t>
      </w:r>
      <w:r>
        <w:rPr>
          <w:rFonts w:hint="cs"/>
          <w:rtl/>
        </w:rPr>
        <w:t>.</w:t>
      </w:r>
      <w:r w:rsidRPr="009D1ACE">
        <w:rPr>
          <w:rStyle w:val="libFootnoteBoldChar"/>
          <w:rtl/>
        </w:rPr>
        <w:t>الوافي</w:t>
      </w:r>
      <w:r w:rsidRPr="00132E65">
        <w:rPr>
          <w:rtl/>
        </w:rPr>
        <w:t xml:space="preserve"> ، ج 2 ، ص 269 ، ح 745.</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الأحزاب (33) : 6.</w:t>
            </w:r>
          </w:p>
        </w:tc>
        <w:tc>
          <w:tcPr>
            <w:tcW w:w="4006" w:type="dxa"/>
          </w:tcPr>
          <w:p w:rsidR="000C39D1" w:rsidRDefault="000C39D1" w:rsidP="00B53873">
            <w:pPr>
              <w:pStyle w:val="libFootnote0"/>
              <w:rPr>
                <w:rtl/>
              </w:rPr>
            </w:pPr>
            <w:r>
              <w:rPr>
                <w:rtl/>
              </w:rPr>
              <w:t>(7).</w:t>
            </w:r>
            <w:r w:rsidRPr="00132E65">
              <w:rPr>
                <w:rtl/>
              </w:rPr>
              <w:t xml:space="preserve"> في « ب » والعلل : « قال »</w:t>
            </w:r>
            <w:r>
              <w:rPr>
                <w:rtl/>
              </w:rPr>
              <w:t>.</w:t>
            </w:r>
          </w:p>
        </w:tc>
      </w:tr>
    </w:tbl>
    <w:p w:rsidR="000C39D1" w:rsidRPr="00132E65" w:rsidRDefault="000C39D1" w:rsidP="000C39D1">
      <w:pPr>
        <w:pStyle w:val="libFootnote0"/>
        <w:rPr>
          <w:rtl/>
          <w:lang w:bidi="fa-IR"/>
        </w:rPr>
      </w:pPr>
      <w:r>
        <w:rPr>
          <w:rtl/>
        </w:rPr>
        <w:t>(8).</w:t>
      </w:r>
      <w:r w:rsidRPr="00132E65">
        <w:rPr>
          <w:rtl/>
        </w:rPr>
        <w:t xml:space="preserve"> في « ج » </w:t>
      </w:r>
      <w:r>
        <w:rPr>
          <w:rtl/>
        </w:rPr>
        <w:t xml:space="preserve">: - </w:t>
      </w:r>
      <w:r w:rsidRPr="00132E65">
        <w:rPr>
          <w:rtl/>
        </w:rPr>
        <w:t>« نزلت »</w:t>
      </w:r>
      <w:r>
        <w:rPr>
          <w:rtl/>
        </w:rPr>
        <w:t>.</w:t>
      </w:r>
    </w:p>
    <w:p w:rsidR="000C39D1" w:rsidRPr="00132E65" w:rsidRDefault="000C39D1" w:rsidP="000C39D1">
      <w:pPr>
        <w:pStyle w:val="libFootnote0"/>
        <w:rPr>
          <w:rtl/>
          <w:lang w:bidi="fa-IR"/>
        </w:rPr>
      </w:pPr>
      <w:r>
        <w:rPr>
          <w:rtl/>
        </w:rPr>
        <w:t>(9).</w:t>
      </w:r>
      <w:r w:rsidRPr="00132E65">
        <w:rPr>
          <w:rtl/>
        </w:rPr>
        <w:t xml:space="preserve"> في « ج ، بر » : « الأمَرَة »</w:t>
      </w:r>
      <w:r>
        <w:rPr>
          <w:rtl/>
        </w:rPr>
        <w:t>.</w:t>
      </w:r>
      <w:r w:rsidRPr="00132E65">
        <w:rPr>
          <w:rtl/>
        </w:rPr>
        <w:t xml:space="preserve"> جمع « أمير »</w:t>
      </w:r>
      <w:r>
        <w:rPr>
          <w:rtl/>
        </w:rPr>
        <w:t>.</w:t>
      </w:r>
      <w:r w:rsidRPr="00132E65">
        <w:rPr>
          <w:rtl/>
        </w:rPr>
        <w:t xml:space="preserve"> </w:t>
      </w:r>
      <w:r>
        <w:rPr>
          <w:rtl/>
        </w:rPr>
        <w:t>و «</w:t>
      </w:r>
      <w:r w:rsidRPr="00132E65">
        <w:rPr>
          <w:rtl/>
        </w:rPr>
        <w:t xml:space="preserve"> الإمْرَة » </w:t>
      </w:r>
      <w:r>
        <w:rPr>
          <w:rtl/>
        </w:rPr>
        <w:t>و «</w:t>
      </w:r>
      <w:r w:rsidRPr="00132E65">
        <w:rPr>
          <w:rtl/>
        </w:rPr>
        <w:t xml:space="preserve"> الإمارة » : الولاية. يقال : أمَرَ فلان وأمُرَ فلان ، أي صار أميراً</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بَعْدِهِ </w:t>
      </w:r>
      <w:r>
        <w:rPr>
          <w:rStyle w:val="libFootnotenumChar"/>
          <w:rtl/>
        </w:rPr>
        <w:t>(1)</w:t>
      </w:r>
      <w:r w:rsidRPr="00132E65">
        <w:rPr>
          <w:rtl/>
          <w:lang w:bidi="fa-IR"/>
        </w:rPr>
        <w:t xml:space="preserve"> ، فَنَحْنُ أَوْلى بِالْأَمْرِ و</w:t>
      </w:r>
      <w:r>
        <w:rPr>
          <w:rFonts w:hint="cs"/>
          <w:rtl/>
          <w:lang w:bidi="fa-IR"/>
        </w:rPr>
        <w:t>َ</w:t>
      </w:r>
      <w:r w:rsidRPr="00132E65">
        <w:rPr>
          <w:rtl/>
          <w:lang w:bidi="fa-IR"/>
        </w:rPr>
        <w:t xml:space="preserve">بِرَسُولِ اللهِ </w:t>
      </w:r>
      <w:r w:rsidRPr="00071CF9">
        <w:rPr>
          <w:rStyle w:val="libAlaemChar"/>
          <w:rtl/>
        </w:rPr>
        <w:t>صلى‌الله‌عليه‌وآل</w:t>
      </w:r>
      <w:r>
        <w:rPr>
          <w:rStyle w:val="libAlaemChar"/>
          <w:rFonts w:hint="cs"/>
          <w:rtl/>
        </w:rPr>
        <w:t>ه</w:t>
      </w:r>
      <w:r w:rsidRPr="00132E65">
        <w:rPr>
          <w:rtl/>
          <w:lang w:bidi="fa-IR"/>
        </w:rPr>
        <w:t xml:space="preserve"> مِنَ الْمُؤْمِنِينَ والْمُهَاجِرِينَ والْأَنْصَارِ »</w:t>
      </w:r>
      <w:r>
        <w:rPr>
          <w:rtl/>
          <w:lang w:bidi="fa-IR"/>
        </w:rPr>
        <w:t>.</w:t>
      </w:r>
    </w:p>
    <w:p w:rsidR="000C39D1" w:rsidRPr="00132E65" w:rsidRDefault="000C39D1" w:rsidP="000C39D1">
      <w:pPr>
        <w:pStyle w:val="libNormal"/>
        <w:rPr>
          <w:rtl/>
          <w:lang w:bidi="fa-IR"/>
        </w:rPr>
      </w:pPr>
      <w:r w:rsidRPr="00132E65">
        <w:rPr>
          <w:rtl/>
          <w:lang w:bidi="fa-IR"/>
        </w:rPr>
        <w:t xml:space="preserve">قُلْتُ : فَوُلْدُ </w:t>
      </w:r>
      <w:r>
        <w:rPr>
          <w:rStyle w:val="libFootnotenumChar"/>
          <w:rtl/>
        </w:rPr>
        <w:t>(2)</w:t>
      </w:r>
      <w:r w:rsidRPr="00132E65">
        <w:rPr>
          <w:rtl/>
          <w:lang w:bidi="fa-IR"/>
        </w:rPr>
        <w:t xml:space="preserve"> جَعْفَرٍ لَهُمْ </w:t>
      </w:r>
      <w:r>
        <w:rPr>
          <w:rStyle w:val="libFootnotenumChar"/>
          <w:rtl/>
        </w:rPr>
        <w:t>(3)</w:t>
      </w:r>
      <w:r w:rsidRPr="00132E65">
        <w:rPr>
          <w:rtl/>
          <w:lang w:bidi="fa-IR"/>
        </w:rPr>
        <w:t xml:space="preserve"> فِيهَا نَصِيبٌ</w:t>
      </w:r>
      <w:r>
        <w:rPr>
          <w:rtl/>
          <w:lang w:bidi="fa-IR"/>
        </w:rPr>
        <w:t>؟</w:t>
      </w:r>
      <w:r w:rsidRPr="00132E65">
        <w:rPr>
          <w:rtl/>
          <w:lang w:bidi="fa-IR"/>
        </w:rPr>
        <w:t xml:space="preserve"> قَالَ </w:t>
      </w:r>
      <w:r>
        <w:rPr>
          <w:rStyle w:val="libFootnotenumChar"/>
          <w:rtl/>
        </w:rPr>
        <w:t>(4)</w:t>
      </w:r>
      <w:r w:rsidRPr="00132E65">
        <w:rPr>
          <w:rtl/>
          <w:lang w:bidi="fa-IR"/>
        </w:rPr>
        <w:t xml:space="preserve"> : « لَا » </w:t>
      </w:r>
      <w:r>
        <w:rPr>
          <w:rStyle w:val="libFootnotenumChar"/>
          <w:rtl/>
        </w:rPr>
        <w:t>(5)</w:t>
      </w:r>
      <w:r w:rsidRPr="00132E65">
        <w:rPr>
          <w:rtl/>
          <w:lang w:bidi="fa-IR"/>
        </w:rPr>
        <w:t xml:space="preserve"> قُلْتُ : فَلِوُلْدِ الْعَبَّاسِ </w:t>
      </w:r>
      <w:r>
        <w:rPr>
          <w:rStyle w:val="libFootnotenumChar"/>
          <w:rtl/>
        </w:rPr>
        <w:t>(6)</w:t>
      </w:r>
      <w:r w:rsidRPr="00132E65">
        <w:rPr>
          <w:rtl/>
          <w:lang w:bidi="fa-IR"/>
        </w:rPr>
        <w:t xml:space="preserve"> فِيهَا نَصِيبٌ</w:t>
      </w:r>
      <w:r>
        <w:rPr>
          <w:rtl/>
          <w:lang w:bidi="fa-IR"/>
        </w:rPr>
        <w:t>؟</w:t>
      </w:r>
      <w:r w:rsidRPr="00132E65">
        <w:rPr>
          <w:rtl/>
          <w:lang w:bidi="fa-IR"/>
        </w:rPr>
        <w:t xml:space="preserve"> فَقَالَ : « لَا » ، فَعَدَدْتُ </w:t>
      </w:r>
      <w:r>
        <w:rPr>
          <w:rStyle w:val="libFootnotenumChar"/>
          <w:rtl/>
        </w:rPr>
        <w:t>(7)</w:t>
      </w:r>
      <w:r w:rsidRPr="00132E65">
        <w:rPr>
          <w:rtl/>
          <w:lang w:bidi="fa-IR"/>
        </w:rPr>
        <w:t xml:space="preserve"> عَلَيْهِ بُطُونَ </w:t>
      </w:r>
      <w:r>
        <w:rPr>
          <w:rStyle w:val="libFootnotenumChar"/>
          <w:rtl/>
        </w:rPr>
        <w:t>(8)</w:t>
      </w:r>
      <w:r w:rsidRPr="00132E65">
        <w:rPr>
          <w:rtl/>
          <w:lang w:bidi="fa-IR"/>
        </w:rPr>
        <w:t xml:space="preserve"> بَنِي عَبْدِ الْمُطَّلِبِ ، كُلَّ ذلِكَ يَقُولُ : « لَا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(9)</w:t>
      </w:r>
      <w:r w:rsidRPr="00132E65">
        <w:rPr>
          <w:rtl/>
          <w:lang w:bidi="fa-IR"/>
        </w:rPr>
        <w:t xml:space="preserve"> : ونَسِيتُ و</w:t>
      </w:r>
      <w:r>
        <w:rPr>
          <w:rFonts w:hint="cs"/>
          <w:rtl/>
          <w:lang w:bidi="fa-IR"/>
        </w:rPr>
        <w:t>ُ</w:t>
      </w:r>
      <w:r w:rsidRPr="00132E65">
        <w:rPr>
          <w:rtl/>
          <w:lang w:bidi="fa-IR"/>
        </w:rPr>
        <w:t xml:space="preserve">لْدَ الْحَسَنِ </w:t>
      </w:r>
      <w:r w:rsidRPr="00071CF9">
        <w:rPr>
          <w:rStyle w:val="libAlaemChar"/>
          <w:rtl/>
        </w:rPr>
        <w:t>عليه‌السلام</w:t>
      </w:r>
      <w:r w:rsidRPr="00132E65">
        <w:rPr>
          <w:rtl/>
          <w:lang w:bidi="fa-IR"/>
        </w:rPr>
        <w:t xml:space="preserve"> ، فَدَخَلْتُ بَعْدَ ذلِكَ عَلَيْهِ </w:t>
      </w:r>
      <w:r>
        <w:rPr>
          <w:rStyle w:val="libFootnotenumChar"/>
          <w:rtl/>
        </w:rPr>
        <w:t>(10)</w:t>
      </w:r>
      <w:r w:rsidRPr="00132E65">
        <w:rPr>
          <w:rtl/>
          <w:lang w:bidi="fa-IR"/>
        </w:rPr>
        <w:t xml:space="preserve"> ، فَقُلْتُ لَهُ : هَلْ لِوُلْدِ الْحَسَنِ فِيهَا نَصِيبٌ</w:t>
      </w:r>
      <w:r>
        <w:rPr>
          <w:rtl/>
          <w:lang w:bidi="fa-IR"/>
        </w:rPr>
        <w:t>؟</w:t>
      </w:r>
      <w:r w:rsidRPr="00132E65">
        <w:rPr>
          <w:rtl/>
          <w:lang w:bidi="fa-IR"/>
        </w:rPr>
        <w:t xml:space="preserve"> فَقَالَ : « لَا واللهِ يَا عَبْدَ الرَّحِيمِ ، مَا لِمُحَمَّدِيٍّ فِيهَا </w:t>
      </w:r>
      <w:r>
        <w:rPr>
          <w:rStyle w:val="libFootnotenumChar"/>
          <w:rtl/>
        </w:rPr>
        <w:t>(11)</w:t>
      </w:r>
      <w:r w:rsidRPr="00132E65">
        <w:rPr>
          <w:rtl/>
          <w:lang w:bidi="fa-IR"/>
        </w:rPr>
        <w:t xml:space="preserve"> نَصِيبٌ غَيْرَنَا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6E281B">
        <w:rPr>
          <w:rtl/>
        </w:rPr>
        <w:t>761</w:t>
      </w:r>
      <w:r w:rsidRPr="004325D8">
        <w:rPr>
          <w:rStyle w:val="libBold2Char"/>
          <w:rtl/>
        </w:rPr>
        <w:t xml:space="preserve"> / 3.</w:t>
      </w:r>
      <w:r w:rsidRPr="00132E65">
        <w:rPr>
          <w:rtl/>
          <w:lang w:bidi="fa-IR"/>
        </w:rPr>
        <w:t xml:space="preserve"> الْحُسَيْنُ بْنُ مُحَمَّدٍ ، عَنْ مُعَلَّى بْنِ مُحَمَّدٍ ، عَنْ أَحْمَدَ بْنِ مُحَمَّدٍ ، عَنِ الْحَسَنِ </w:t>
      </w:r>
      <w:r w:rsidRPr="00F543F1">
        <w:rPr>
          <w:rStyle w:val="libFootnotenumChar"/>
          <w:rtl/>
        </w:rPr>
        <w:t>(13)</w:t>
      </w:r>
      <w:r w:rsidRPr="00132E65">
        <w:rPr>
          <w:rtl/>
          <w:lang w:bidi="fa-IR"/>
        </w:rPr>
        <w:t xml:space="preserve"> بْنِ مُحَمَّدٍ الْهَاشِمِيِّ ، عَنْ أَبِيهِ ، عَنْ أَحْمَدَ بْنِ عِيسى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إِنَّما وَلِيُّكُمُ اللهُ وَرَسُولُهُ وَالَّذِينَ آمَنُوا </w:t>
      </w:r>
      <w:r w:rsidRPr="00071CF9">
        <w:rPr>
          <w:rStyle w:val="libAlaemChar"/>
          <w:rtl/>
        </w:rPr>
        <w:t>)</w:t>
      </w:r>
      <w:r w:rsidRPr="00132E65">
        <w:rPr>
          <w:rtl/>
          <w:lang w:bidi="fa-IR"/>
        </w:rPr>
        <w:t xml:space="preserve"> قَالَ : « إِنَّمَا يَعْنِي </w:t>
      </w:r>
      <w:r w:rsidRPr="00F543F1">
        <w:rPr>
          <w:rStyle w:val="libFootnotenumChar"/>
          <w:rtl/>
        </w:rPr>
        <w:t>(14)</w:t>
      </w:r>
      <w:r w:rsidRPr="00132E65">
        <w:rPr>
          <w:rtl/>
          <w:lang w:bidi="fa-IR"/>
        </w:rPr>
        <w:t xml:space="preserve"> أَوْلى بِكُمْ ، أَيْ أَحَقُّ بِكُمْ وبِأُمُورِكُمْ و</w:t>
      </w:r>
      <w:r>
        <w:rPr>
          <w:rFonts w:hint="cs"/>
          <w:rtl/>
          <w:lang w:bidi="fa-IR"/>
        </w:rPr>
        <w:t>َ</w:t>
      </w:r>
      <w:r w:rsidRPr="00F543F1">
        <w:rPr>
          <w:rStyle w:val="libFootnotenumChar"/>
          <w:rtl/>
        </w:rPr>
        <w:t>(15)</w:t>
      </w:r>
      <w:r w:rsidRPr="00132E65">
        <w:rPr>
          <w:rtl/>
          <w:lang w:bidi="fa-IR"/>
        </w:rPr>
        <w:t xml:space="preserve"> أَنْفُسِكُمْ </w:t>
      </w:r>
      <w:r w:rsidRPr="00E3020D">
        <w:rPr>
          <w:rtl/>
        </w:rPr>
        <w:t>و</w:t>
      </w:r>
      <w:r w:rsidRPr="00E3020D">
        <w:rPr>
          <w:rFonts w:hint="cs"/>
          <w:rtl/>
        </w:rPr>
        <w:t>َ</w:t>
      </w:r>
      <w:r w:rsidRPr="00E3020D">
        <w:rPr>
          <w:rtl/>
        </w:rPr>
        <w:t>أَمْوَالِكُمُ</w:t>
      </w:r>
      <w:r w:rsidRPr="00E3020D">
        <w:rPr>
          <w:rFonts w:hint="cs"/>
          <w:rtl/>
        </w:rPr>
        <w:t xml:space="preserve"> </w:t>
      </w:r>
      <w:r w:rsidRPr="00E3020D">
        <w:rPr>
          <w:rtl/>
        </w:rPr>
        <w:t>اللهُ وَرَسُولُهُ ، وَالَّذِينَ آمَنُوا</w:t>
      </w:r>
      <w:r>
        <w:rPr>
          <w:rFonts w:hint="cs"/>
          <w:rtl/>
        </w:rPr>
        <w:t xml:space="preserve"> </w:t>
      </w:r>
      <w:r w:rsidRPr="00132E65">
        <w:rPr>
          <w:rtl/>
          <w:lang w:bidi="fa-IR"/>
        </w:rPr>
        <w:t xml:space="preserve">: يَعْنِي عَلِيّاً وأَوْلَادَهُ الْأَئِمَّةَ </w:t>
      </w:r>
      <w:r w:rsidRPr="00071CF9">
        <w:rPr>
          <w:rStyle w:val="libAlaemChar"/>
          <w:rtl/>
        </w:rPr>
        <w:t>عليهم‌السلام</w:t>
      </w:r>
      <w:r w:rsidRPr="00132E65">
        <w:rPr>
          <w:rtl/>
          <w:lang w:bidi="fa-IR"/>
        </w:rPr>
        <w:t xml:space="preserve"> إِلى يَوْمِ الْقِيَامَةِ.</w:t>
      </w:r>
    </w:p>
    <w:p w:rsidR="000C39D1" w:rsidRPr="00132E65" w:rsidRDefault="000C39D1" w:rsidP="000C39D1">
      <w:pPr>
        <w:pStyle w:val="libNormal"/>
        <w:rPr>
          <w:rtl/>
          <w:lang w:bidi="fa-IR"/>
        </w:rPr>
      </w:pPr>
      <w:r w:rsidRPr="00132E65">
        <w:rPr>
          <w:rtl/>
          <w:lang w:bidi="fa-IR"/>
        </w:rPr>
        <w:t>ثُمَّ وصَفَهُمُ اللهُ</w:t>
      </w:r>
      <w:r>
        <w:rPr>
          <w:rtl/>
          <w:lang w:bidi="fa-IR"/>
        </w:rPr>
        <w:t xml:space="preserve"> - </w:t>
      </w:r>
      <w:r w:rsidRPr="00132E65">
        <w:rPr>
          <w:rtl/>
          <w:lang w:bidi="fa-IR"/>
        </w:rPr>
        <w:t>عَزَّ و</w:t>
      </w:r>
      <w:r>
        <w:rPr>
          <w:rFonts w:hint="cs"/>
          <w:rtl/>
          <w:lang w:bidi="fa-IR"/>
        </w:rPr>
        <w:t>َ</w:t>
      </w:r>
      <w:r w:rsidRPr="00132E65">
        <w:rPr>
          <w:rtl/>
          <w:lang w:bidi="fa-IR"/>
        </w:rPr>
        <w:t>جَلَّ</w:t>
      </w:r>
      <w:r>
        <w:rPr>
          <w:rtl/>
          <w:lang w:bidi="fa-IR"/>
        </w:rPr>
        <w:t xml:space="preserve"> - </w:t>
      </w:r>
      <w:r w:rsidRPr="00132E65">
        <w:rPr>
          <w:rtl/>
          <w:lang w:bidi="fa-IR"/>
        </w:rPr>
        <w:t xml:space="preserve">فَقَالَ : </w:t>
      </w:r>
      <w:r w:rsidRPr="00071CF9">
        <w:rPr>
          <w:rStyle w:val="libAlaemChar"/>
          <w:rtl/>
        </w:rPr>
        <w:t>(</w:t>
      </w:r>
      <w:r w:rsidRPr="00071CF9">
        <w:rPr>
          <w:rStyle w:val="libAieChar"/>
          <w:rtl/>
        </w:rPr>
        <w:t xml:space="preserve"> الَّذِينَ يُقِيمُونَ الصَّلاةَ وَيُؤْتُونَ الزَّكاةَ وَهُمْ </w:t>
      </w:r>
    </w:p>
    <w:p w:rsidR="000C39D1" w:rsidRPr="00132E65" w:rsidRDefault="000C39D1" w:rsidP="000C39D1">
      <w:pPr>
        <w:pStyle w:val="libLine"/>
        <w:rPr>
          <w:rtl/>
          <w:lang w:bidi="fa-IR"/>
        </w:rPr>
      </w:pPr>
      <w:r w:rsidRPr="00132E65">
        <w:rPr>
          <w:rtl/>
          <w:lang w:bidi="fa-IR"/>
        </w:rPr>
        <w:t>__________________</w:t>
      </w:r>
    </w:p>
    <w:p w:rsidR="000C39D1" w:rsidRDefault="000C39D1" w:rsidP="000C39D1">
      <w:pPr>
        <w:pStyle w:val="libFootnote0"/>
        <w:rPr>
          <w:rtl/>
        </w:rPr>
      </w:pPr>
      <w:r>
        <w:rPr>
          <w:rFonts w:hint="cs"/>
          <w:rtl/>
        </w:rPr>
        <w:t>=</w:t>
      </w:r>
      <w:r w:rsidRPr="00132E65">
        <w:rPr>
          <w:rtl/>
        </w:rPr>
        <w:t xml:space="preserve">. والأمير : ذو الأمر. ويعدّى بالتضعيف ، فيقال : أمّرته تأميراً. راجع : </w:t>
      </w:r>
      <w:r w:rsidRPr="006E281B">
        <w:rPr>
          <w:rtl/>
        </w:rPr>
        <w:t>الصحاح</w:t>
      </w:r>
      <w:r w:rsidRPr="00132E65">
        <w:rPr>
          <w:rtl/>
        </w:rPr>
        <w:t xml:space="preserve"> ، ج 2 ، ص 581 ؛ </w:t>
      </w:r>
      <w:r w:rsidRPr="006E281B">
        <w:rPr>
          <w:rtl/>
        </w:rPr>
        <w:t>المصباح المنير</w:t>
      </w:r>
      <w:r w:rsidRPr="00132E65">
        <w:rPr>
          <w:rtl/>
        </w:rPr>
        <w:t xml:space="preserve"> ، ص 22 ( أمر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بر » </w:t>
            </w:r>
            <w:r>
              <w:rPr>
                <w:rtl/>
              </w:rPr>
              <w:t xml:space="preserve">: - </w:t>
            </w:r>
            <w:r w:rsidRPr="00132E65">
              <w:rPr>
                <w:rtl/>
              </w:rPr>
              <w:t>« من بعده »</w:t>
            </w:r>
            <w:r>
              <w:rPr>
                <w:rtl/>
              </w:rPr>
              <w:t>.</w:t>
            </w:r>
          </w:p>
        </w:tc>
        <w:tc>
          <w:tcPr>
            <w:tcW w:w="4006" w:type="dxa"/>
          </w:tcPr>
          <w:p w:rsidR="000C39D1" w:rsidRDefault="000C39D1" w:rsidP="00B53873">
            <w:pPr>
              <w:pStyle w:val="libFootnote0"/>
              <w:rPr>
                <w:rtl/>
              </w:rPr>
            </w:pPr>
            <w:r>
              <w:rPr>
                <w:rtl/>
              </w:rPr>
              <w:t>(2).</w:t>
            </w:r>
            <w:r w:rsidRPr="00132E65">
              <w:rPr>
                <w:rtl/>
              </w:rPr>
              <w:t xml:space="preserve"> في حاشية « ب ، ج ، ف ، بف » : « فلولد »</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في«ب،ج،ف،بح،بف»و</w:t>
            </w:r>
            <w:r w:rsidRPr="009D1ACE">
              <w:rPr>
                <w:rStyle w:val="libFootnoteBoldChar"/>
                <w:rtl/>
              </w:rPr>
              <w:t>الوافي</w:t>
            </w:r>
            <w:r>
              <w:rPr>
                <w:rtl/>
              </w:rPr>
              <w:t>:-«</w:t>
            </w:r>
            <w:r w:rsidRPr="00132E65">
              <w:rPr>
                <w:rtl/>
              </w:rPr>
              <w:t>لهم»</w:t>
            </w:r>
            <w:r>
              <w:rPr>
                <w:rtl/>
              </w:rPr>
              <w:t>.</w:t>
            </w:r>
          </w:p>
        </w:tc>
        <w:tc>
          <w:tcPr>
            <w:tcW w:w="4006" w:type="dxa"/>
          </w:tcPr>
          <w:p w:rsidR="000C39D1" w:rsidRDefault="000C39D1" w:rsidP="00B53873">
            <w:pPr>
              <w:pStyle w:val="libFootnote0"/>
              <w:rPr>
                <w:rtl/>
              </w:rPr>
            </w:pPr>
            <w:r>
              <w:rPr>
                <w:rtl/>
              </w:rPr>
              <w:t>(4).</w:t>
            </w:r>
            <w:r w:rsidRPr="00132E65">
              <w:rPr>
                <w:rtl/>
              </w:rPr>
              <w:t xml:space="preserve"> في « ج ، بح ، بر » و</w:t>
            </w:r>
            <w:r w:rsidRPr="009D1ACE">
              <w:rPr>
                <w:rStyle w:val="libFootnoteBoldChar"/>
                <w:rtl/>
              </w:rPr>
              <w:t>الوافي</w:t>
            </w:r>
            <w:r w:rsidRPr="00132E65">
              <w:rPr>
                <w:rtl/>
              </w:rPr>
              <w:t xml:space="preserve"> : « فقال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بح ، بر »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(6).</w:t>
            </w:r>
            <w:r w:rsidRPr="00132E65">
              <w:rPr>
                <w:rtl/>
              </w:rPr>
              <w:t xml:space="preserve"> في « ب » :</w:t>
            </w:r>
            <w:r>
              <w:rPr>
                <w:rtl/>
              </w:rPr>
              <w:t xml:space="preserve"> + </w:t>
            </w:r>
            <w:r w:rsidRPr="00132E65">
              <w:rPr>
                <w:rtl/>
              </w:rPr>
              <w:t>« لهم »</w:t>
            </w:r>
            <w:r>
              <w:rPr>
                <w:rtl/>
              </w:rPr>
              <w:t>.</w:t>
            </w:r>
          </w:p>
        </w:tc>
      </w:tr>
    </w:tbl>
    <w:p w:rsidR="000C39D1" w:rsidRPr="00132E65" w:rsidRDefault="000C39D1" w:rsidP="000C39D1">
      <w:pPr>
        <w:pStyle w:val="libFootnote0"/>
        <w:rPr>
          <w:rtl/>
        </w:rPr>
      </w:pPr>
      <w:r>
        <w:rPr>
          <w:rtl/>
        </w:rPr>
        <w:t>(7).</w:t>
      </w:r>
      <w:r w:rsidRPr="00132E65">
        <w:rPr>
          <w:rtl/>
        </w:rPr>
        <w:t xml:space="preserve"> هكذا في « ألف ، ب ، ض ، و، ه‍ ، بح ، بر ، بس ، بف »</w:t>
      </w:r>
      <w:r>
        <w:rPr>
          <w:rtl/>
        </w:rPr>
        <w:t>.</w:t>
      </w:r>
      <w:r w:rsidRPr="00132E65">
        <w:rPr>
          <w:rtl/>
        </w:rPr>
        <w:t xml:space="preserve"> وفي « ج » والمطبوع : « فعدّدت »</w:t>
      </w:r>
      <w:r>
        <w:rPr>
          <w:rtl/>
        </w:rPr>
        <w:t>.</w:t>
      </w:r>
    </w:p>
    <w:p w:rsidR="000C39D1" w:rsidRPr="00132E65" w:rsidRDefault="000C39D1" w:rsidP="000C39D1">
      <w:pPr>
        <w:pStyle w:val="libFootnote0"/>
        <w:rPr>
          <w:rtl/>
          <w:lang w:bidi="fa-IR"/>
        </w:rPr>
      </w:pPr>
      <w:r>
        <w:rPr>
          <w:rtl/>
        </w:rPr>
        <w:t>(8).</w:t>
      </w:r>
      <w:r w:rsidRPr="00132E65">
        <w:rPr>
          <w:rtl/>
        </w:rPr>
        <w:t xml:space="preserve"> « بطون » : جمع بطن ، وهو دون القبيلة. راجع : </w:t>
      </w:r>
      <w:r w:rsidRPr="006E281B">
        <w:rPr>
          <w:rtl/>
        </w:rPr>
        <w:t>الصحاح</w:t>
      </w:r>
      <w:r w:rsidRPr="00132E65">
        <w:rPr>
          <w:rtl/>
        </w:rPr>
        <w:t xml:space="preserve"> ، ج 5 ، ص 2079 ( بطن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ف » والعلل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(10).</w:t>
            </w:r>
            <w:r w:rsidRPr="00132E65">
              <w:rPr>
                <w:rtl/>
              </w:rPr>
              <w:t xml:space="preserve"> في « ف ، بف » والعلل : « عليه بعد ذلك »</w:t>
            </w:r>
            <w:r>
              <w:rPr>
                <w:rtl/>
              </w:rPr>
              <w:t>.</w:t>
            </w:r>
          </w:p>
        </w:tc>
      </w:tr>
    </w:tbl>
    <w:p w:rsidR="000C39D1" w:rsidRPr="00132E65" w:rsidRDefault="000C39D1" w:rsidP="000C39D1">
      <w:pPr>
        <w:pStyle w:val="libFootnote0"/>
        <w:rPr>
          <w:rtl/>
          <w:lang w:bidi="fa-IR"/>
        </w:rPr>
      </w:pPr>
      <w:r>
        <w:rPr>
          <w:rtl/>
        </w:rPr>
        <w:t>(11).</w:t>
      </w:r>
      <w:r w:rsidRPr="00132E65">
        <w:rPr>
          <w:rtl/>
        </w:rPr>
        <w:t xml:space="preserve"> في « ب » </w:t>
      </w:r>
      <w:r>
        <w:rPr>
          <w:rtl/>
        </w:rPr>
        <w:t xml:space="preserve">: - </w:t>
      </w:r>
      <w:r w:rsidRPr="00132E65">
        <w:rPr>
          <w:rtl/>
        </w:rPr>
        <w:t>« فيها »</w:t>
      </w:r>
      <w:r>
        <w:rPr>
          <w:rtl/>
        </w:rPr>
        <w:t>.</w:t>
      </w:r>
    </w:p>
    <w:p w:rsidR="000C39D1" w:rsidRPr="00132E65" w:rsidRDefault="000C39D1" w:rsidP="000C39D1">
      <w:pPr>
        <w:pStyle w:val="libFootnote0"/>
        <w:rPr>
          <w:rtl/>
          <w:lang w:bidi="fa-IR"/>
        </w:rPr>
      </w:pPr>
      <w:r>
        <w:rPr>
          <w:rtl/>
        </w:rPr>
        <w:t>(12).</w:t>
      </w:r>
      <w:r w:rsidRPr="00132E65">
        <w:rPr>
          <w:rtl/>
        </w:rPr>
        <w:t xml:space="preserve"> </w:t>
      </w:r>
      <w:r w:rsidRPr="006E281B">
        <w:rPr>
          <w:rtl/>
        </w:rPr>
        <w:t>علل الشرائع</w:t>
      </w:r>
      <w:r w:rsidRPr="00132E65">
        <w:rPr>
          <w:rtl/>
        </w:rPr>
        <w:t xml:space="preserve"> ، ص 206 ، ح 4 ، بسنده عن أحمد بن محمّد بن عيسى </w:t>
      </w:r>
      <w:r>
        <w:rPr>
          <w:rFonts w:hint="cs"/>
          <w:rtl/>
        </w:rPr>
        <w:t>.</w:t>
      </w:r>
      <w:r w:rsidRPr="009D1ACE">
        <w:rPr>
          <w:rStyle w:val="libFootnoteBoldChar"/>
          <w:rtl/>
        </w:rPr>
        <w:t>الوافي</w:t>
      </w:r>
      <w:r w:rsidRPr="00132E65">
        <w:rPr>
          <w:rtl/>
        </w:rPr>
        <w:t xml:space="preserve"> ، ج 2 ، ص 279 ، ح 749.</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(13)</w:t>
            </w:r>
            <w:r>
              <w:rPr>
                <w:rFonts w:hint="cs"/>
                <w:rtl/>
              </w:rPr>
              <w:t>.</w:t>
            </w:r>
            <w:r w:rsidRPr="00132E65">
              <w:rPr>
                <w:rtl/>
              </w:rPr>
              <w:t xml:space="preserve"> في الوسائل ، ج 9 : « الحسين »</w:t>
            </w:r>
            <w:r>
              <w:rPr>
                <w:rtl/>
              </w:rPr>
              <w:t>.</w:t>
            </w:r>
          </w:p>
        </w:tc>
        <w:tc>
          <w:tcPr>
            <w:tcW w:w="4006" w:type="dxa"/>
          </w:tcPr>
          <w:p w:rsidR="000C39D1" w:rsidRDefault="000C39D1" w:rsidP="00B53873">
            <w:pPr>
              <w:pStyle w:val="libFootnote0"/>
              <w:rPr>
                <w:rtl/>
              </w:rPr>
            </w:pPr>
            <w:r>
              <w:rPr>
                <w:rtl/>
              </w:rPr>
              <w:t>(14)</w:t>
            </w:r>
            <w:r>
              <w:rPr>
                <w:rFonts w:hint="cs"/>
                <w:rtl/>
              </w:rPr>
              <w:t>.</w:t>
            </w:r>
            <w:r w:rsidRPr="00132E65">
              <w:rPr>
                <w:rtl/>
              </w:rPr>
              <w:t xml:space="preserve"> في « بر » وحاشية « ج » :</w:t>
            </w:r>
            <w:r>
              <w:rPr>
                <w:rtl/>
              </w:rPr>
              <w:t xml:space="preserve"> + </w:t>
            </w:r>
            <w:r w:rsidRPr="00132E65">
              <w:rPr>
                <w:rtl/>
              </w:rPr>
              <w:t>« بالوليّ »</w:t>
            </w:r>
            <w:r>
              <w:rPr>
                <w:rtl/>
              </w:rPr>
              <w:t>.</w:t>
            </w:r>
          </w:p>
        </w:tc>
      </w:tr>
    </w:tbl>
    <w:p w:rsidR="000C39D1" w:rsidRPr="00132E65" w:rsidRDefault="000C39D1" w:rsidP="000C39D1">
      <w:pPr>
        <w:pStyle w:val="libFootnote0"/>
        <w:rPr>
          <w:rtl/>
          <w:lang w:bidi="fa-IR"/>
        </w:rPr>
      </w:pPr>
      <w:r>
        <w:rPr>
          <w:rtl/>
        </w:rPr>
        <w:t>(15)</w:t>
      </w:r>
      <w:r>
        <w:rPr>
          <w:rFonts w:hint="cs"/>
          <w:rtl/>
        </w:rPr>
        <w:t>.</w:t>
      </w:r>
      <w:r w:rsidRPr="00132E65">
        <w:rPr>
          <w:rtl/>
        </w:rPr>
        <w:t xml:space="preserve"> في « ب ، ض ، بح ، بس » والوسائل ، ج 9 : « من » بدل «</w:t>
      </w:r>
      <w:r>
        <w:rPr>
          <w:rtl/>
        </w:rPr>
        <w:t xml:space="preserve"> و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lastRenderedPageBreak/>
        <w:t xml:space="preserve">راكِعُونَ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وكَانَ أَمِيرُ الْمُؤْمِنِينَ </w:t>
      </w:r>
      <w:r w:rsidRPr="00071CF9">
        <w:rPr>
          <w:rStyle w:val="libAlaemChar"/>
          <w:rtl/>
        </w:rPr>
        <w:t>عليه‌السلام</w:t>
      </w:r>
      <w:r w:rsidRPr="00132E65">
        <w:rPr>
          <w:rtl/>
          <w:lang w:bidi="fa-IR"/>
        </w:rPr>
        <w:t xml:space="preserve"> فِي صَلَاةِ الظُّهْرِ و</w:t>
      </w:r>
      <w:r>
        <w:rPr>
          <w:rFonts w:hint="cs"/>
          <w:rtl/>
          <w:lang w:bidi="fa-IR"/>
        </w:rPr>
        <w:t xml:space="preserve">َ </w:t>
      </w:r>
      <w:r w:rsidRPr="00132E65">
        <w:rPr>
          <w:rtl/>
          <w:lang w:bidi="fa-IR"/>
        </w:rPr>
        <w:t>قَدْ صَلّى رَكْعَتَيْنِ و</w:t>
      </w:r>
      <w:r>
        <w:rPr>
          <w:rFonts w:hint="cs"/>
          <w:rtl/>
          <w:lang w:bidi="fa-IR"/>
        </w:rPr>
        <w:t xml:space="preserve">َ </w:t>
      </w:r>
      <w:r w:rsidRPr="00132E65">
        <w:rPr>
          <w:rtl/>
          <w:lang w:bidi="fa-IR"/>
        </w:rPr>
        <w:t xml:space="preserve">هُوَ رَاكِعٌ ، وَعَلَيْهِ حُلَّةٌ </w:t>
      </w:r>
      <w:r>
        <w:rPr>
          <w:rStyle w:val="libFootnotenumChar"/>
          <w:rtl/>
        </w:rPr>
        <w:t>(2)</w:t>
      </w:r>
      <w:r w:rsidRPr="00132E65">
        <w:rPr>
          <w:rtl/>
          <w:lang w:bidi="fa-IR"/>
        </w:rPr>
        <w:t xml:space="preserve"> قِيمَتُهَا أَلْفُ دِينَارٍ ، و</w:t>
      </w:r>
      <w:r>
        <w:rPr>
          <w:rFonts w:hint="cs"/>
          <w:rtl/>
          <w:lang w:bidi="fa-IR"/>
        </w:rPr>
        <w:t xml:space="preserve">َ </w:t>
      </w:r>
      <w:r w:rsidRPr="00132E65">
        <w:rPr>
          <w:rtl/>
          <w:lang w:bidi="fa-IR"/>
        </w:rPr>
        <w:t xml:space="preserve">كَانَ النَّبِيُّ </w:t>
      </w:r>
      <w:r w:rsidRPr="00071CF9">
        <w:rPr>
          <w:rStyle w:val="libAlaemChar"/>
          <w:rtl/>
        </w:rPr>
        <w:t>صلى‌الله‌عليه‌وآله</w:t>
      </w:r>
      <w:r w:rsidRPr="00132E65">
        <w:rPr>
          <w:rtl/>
          <w:lang w:bidi="fa-IR"/>
        </w:rPr>
        <w:t xml:space="preserve"> كَسَاهُ </w:t>
      </w:r>
      <w:r>
        <w:rPr>
          <w:rStyle w:val="libFootnotenumChar"/>
          <w:rtl/>
        </w:rPr>
        <w:t>(3)</w:t>
      </w:r>
      <w:r w:rsidRPr="00132E65">
        <w:rPr>
          <w:rtl/>
          <w:lang w:bidi="fa-IR"/>
        </w:rPr>
        <w:t xml:space="preserve"> إِيَّاهَا ، و</w:t>
      </w:r>
      <w:r>
        <w:rPr>
          <w:rFonts w:hint="cs"/>
          <w:rtl/>
          <w:lang w:bidi="fa-IR"/>
        </w:rPr>
        <w:t xml:space="preserve">َ </w:t>
      </w:r>
      <w:r w:rsidRPr="00132E65">
        <w:rPr>
          <w:rtl/>
          <w:lang w:bidi="fa-IR"/>
        </w:rPr>
        <w:t xml:space="preserve">كَانَ النَّجَاشِيُّ </w:t>
      </w:r>
      <w:r>
        <w:rPr>
          <w:rStyle w:val="libFootnotenumChar"/>
          <w:rtl/>
        </w:rPr>
        <w:t>(4)</w:t>
      </w:r>
      <w:r w:rsidRPr="00132E65">
        <w:rPr>
          <w:rtl/>
          <w:lang w:bidi="fa-IR"/>
        </w:rPr>
        <w:t xml:space="preserve"> أَهْدَاهَا لَهُ ، فَجَاءَ سَائِلٌ ، فَقَالَ : السَّلَامُ عَلَيْكَ يَا ولِيَّ اللهِ و</w:t>
      </w:r>
      <w:r>
        <w:rPr>
          <w:rFonts w:hint="cs"/>
          <w:rtl/>
          <w:lang w:bidi="fa-IR"/>
        </w:rPr>
        <w:t>َ</w:t>
      </w:r>
      <w:r w:rsidRPr="00132E65">
        <w:rPr>
          <w:rtl/>
          <w:lang w:bidi="fa-IR"/>
        </w:rPr>
        <w:t xml:space="preserve">أَوْلى بِالْمُؤْمِنِينَ مِنْ أَنْفُسِهِمْ ، تَصَدَّقْ عَلى </w:t>
      </w:r>
      <w:r>
        <w:rPr>
          <w:rStyle w:val="libFootnotenumChar"/>
          <w:rtl/>
        </w:rPr>
        <w:t>(5)</w:t>
      </w:r>
      <w:r w:rsidRPr="00132E65">
        <w:rPr>
          <w:rtl/>
          <w:lang w:bidi="fa-IR"/>
        </w:rPr>
        <w:t xml:space="preserve"> مِسْكِينٍ </w:t>
      </w:r>
      <w:r>
        <w:rPr>
          <w:rStyle w:val="libFootnotenumChar"/>
          <w:rtl/>
        </w:rPr>
        <w:t>(6)</w:t>
      </w:r>
      <w:r w:rsidRPr="00132E65">
        <w:rPr>
          <w:rtl/>
          <w:lang w:bidi="fa-IR"/>
        </w:rPr>
        <w:t xml:space="preserve"> ، فَطَرَحَ الْحُلَّةَ إِلَيْهِ ، وأَوْمَأَ بِيَدِهِ </w:t>
      </w:r>
      <w:r>
        <w:rPr>
          <w:rStyle w:val="libFootnotenumChar"/>
          <w:rtl/>
        </w:rPr>
        <w:t>(7)</w:t>
      </w:r>
      <w:r w:rsidRPr="00132E65">
        <w:rPr>
          <w:rtl/>
          <w:lang w:bidi="fa-IR"/>
        </w:rPr>
        <w:t xml:space="preserve"> إِلَيْهِ : أَنِ احْمِلْهَا ، فَأَنْزَلَ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فِيهِ </w:t>
      </w:r>
      <w:r>
        <w:rPr>
          <w:rStyle w:val="libFootnotenumChar"/>
          <w:rtl/>
        </w:rPr>
        <w:t>(8)</w:t>
      </w:r>
      <w:r w:rsidRPr="00132E65">
        <w:rPr>
          <w:rtl/>
          <w:lang w:bidi="fa-IR"/>
        </w:rPr>
        <w:t xml:space="preserve"> هذِهِ الْآيَةَ ، و</w:t>
      </w:r>
      <w:r>
        <w:rPr>
          <w:rFonts w:hint="cs"/>
          <w:rtl/>
          <w:lang w:bidi="fa-IR"/>
        </w:rPr>
        <w:t>َ</w:t>
      </w:r>
      <w:r w:rsidRPr="00132E65">
        <w:rPr>
          <w:rtl/>
          <w:lang w:bidi="fa-IR"/>
        </w:rPr>
        <w:t xml:space="preserve">صَيَّرَ نِعْمَةَ أَوْلَادِهِ بِنِعْمَتِهِ </w:t>
      </w:r>
      <w:r>
        <w:rPr>
          <w:rStyle w:val="libFootnotenumChar"/>
          <w:rtl/>
        </w:rPr>
        <w:t>(9)</w:t>
      </w:r>
      <w:r w:rsidRPr="00132E65">
        <w:rPr>
          <w:rtl/>
          <w:lang w:bidi="fa-IR"/>
        </w:rPr>
        <w:t xml:space="preserve"> ، فَكُلُّ </w:t>
      </w:r>
      <w:r>
        <w:rPr>
          <w:rStyle w:val="libFootnotenumChar"/>
          <w:rtl/>
        </w:rPr>
        <w:t>(10)</w:t>
      </w:r>
      <w:r w:rsidRPr="00132E65">
        <w:rPr>
          <w:rtl/>
          <w:lang w:bidi="fa-IR"/>
        </w:rPr>
        <w:t xml:space="preserve"> مَنْ بَلَغَ مِنْ أَوْلَادِهِ مَبْلَغَ الْإِمَامَةِ يَكُونُ بِهذِهِ الصِّفَةِ </w:t>
      </w:r>
      <w:r>
        <w:rPr>
          <w:rStyle w:val="libFootnotenumChar"/>
          <w:rtl/>
        </w:rPr>
        <w:t>(11)</w:t>
      </w:r>
      <w:r w:rsidRPr="00132E65">
        <w:rPr>
          <w:rtl/>
          <w:lang w:bidi="fa-IR"/>
        </w:rPr>
        <w:t xml:space="preserve"> مِثْلَهُ ، فَيَتَصَدَّقُونَ و</w:t>
      </w:r>
      <w:r>
        <w:rPr>
          <w:rFonts w:hint="cs"/>
          <w:rtl/>
          <w:lang w:bidi="fa-IR"/>
        </w:rPr>
        <w:t>َ</w:t>
      </w:r>
      <w:r w:rsidRPr="00132E65">
        <w:rPr>
          <w:rtl/>
          <w:lang w:bidi="fa-IR"/>
        </w:rPr>
        <w:t xml:space="preserve">هُمْ رَاكِعُونَ ، والسَّائِلُ الَّذِي سَأَلَ أَمِيرَ الْمُؤْمِنِينَ </w:t>
      </w:r>
      <w:r w:rsidRPr="00071CF9">
        <w:rPr>
          <w:rStyle w:val="libAlaemChar"/>
          <w:rtl/>
        </w:rPr>
        <w:t>عليه‌السلام</w:t>
      </w:r>
      <w:r w:rsidRPr="00132E65">
        <w:rPr>
          <w:rtl/>
          <w:lang w:bidi="fa-IR"/>
        </w:rPr>
        <w:t xml:space="preserve"> مِنَ الْمَلَائِكَةِ ، والَّذِينَ يَسْأَلُونَ الْأَئِمَّةَ مِنْ أَوْلَادِهِ يَكُونُونَ مِنَ الْمَلَائِكَةِ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6E281B">
        <w:rPr>
          <w:rtl/>
        </w:rPr>
        <w:t>762</w:t>
      </w:r>
      <w:r w:rsidRPr="004325D8">
        <w:rPr>
          <w:rStyle w:val="libBold2Char"/>
          <w:rtl/>
        </w:rPr>
        <w:t xml:space="preserve"> / 4.</w:t>
      </w:r>
      <w:r w:rsidRPr="00132E65">
        <w:rPr>
          <w:rtl/>
          <w:lang w:bidi="fa-IR"/>
        </w:rPr>
        <w:t xml:space="preserve"> عَلِيُّ بْنُ إِبْرَاهِيمَ ، عَنْ أَبِيهِ ، عَنِ ابْنِ أَبِي عُمَيْرٍ ، عَنْ عُمَرَ بْنِ أُذَيْنَةَ ، عَنْ زُرَارَةَ وَالْفُضَيْلِ بْنِ يَسَارٍ و</w:t>
      </w:r>
      <w:r>
        <w:rPr>
          <w:rFonts w:hint="cs"/>
          <w:rtl/>
          <w:lang w:bidi="fa-IR"/>
        </w:rPr>
        <w:t xml:space="preserve">َ </w:t>
      </w:r>
      <w:r w:rsidRPr="00132E65">
        <w:rPr>
          <w:rtl/>
          <w:lang w:bidi="fa-IR"/>
        </w:rPr>
        <w:t>بُكَيْرِ بْنِ أَعْيَنَ و</w:t>
      </w:r>
      <w:r>
        <w:rPr>
          <w:rFonts w:hint="cs"/>
          <w:rtl/>
          <w:lang w:bidi="fa-IR"/>
        </w:rPr>
        <w:t xml:space="preserve">َ </w:t>
      </w:r>
      <w:r w:rsidRPr="00132E65">
        <w:rPr>
          <w:rtl/>
          <w:lang w:bidi="fa-IR"/>
        </w:rPr>
        <w:t>مُحَمَّدِ بْنِ مُسْلِمٍ و</w:t>
      </w:r>
      <w:r>
        <w:rPr>
          <w:rFonts w:hint="cs"/>
          <w:rtl/>
          <w:lang w:bidi="fa-IR"/>
        </w:rPr>
        <w:t>َ</w:t>
      </w:r>
      <w:r w:rsidRPr="00132E65">
        <w:rPr>
          <w:rtl/>
          <w:lang w:bidi="fa-IR"/>
        </w:rPr>
        <w:t>بُرَيْدِ بْنِ مُعَاوِيَةَ و</w:t>
      </w:r>
      <w:r>
        <w:rPr>
          <w:rFonts w:hint="cs"/>
          <w:rtl/>
          <w:lang w:bidi="fa-IR"/>
        </w:rPr>
        <w:t xml:space="preserve">َ </w:t>
      </w:r>
      <w:r w:rsidRPr="00132E65">
        <w:rPr>
          <w:rtl/>
          <w:lang w:bidi="fa-IR"/>
        </w:rPr>
        <w:t>أَبِي الْجَارُودِ‌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المائدة </w:t>
      </w:r>
      <w:r>
        <w:rPr>
          <w:rtl/>
        </w:rPr>
        <w:t>(5).</w:t>
      </w:r>
      <w:r w:rsidRPr="00132E65">
        <w:rPr>
          <w:rtl/>
        </w:rPr>
        <w:t xml:space="preserve"> : 55.</w:t>
      </w:r>
    </w:p>
    <w:p w:rsidR="000C39D1" w:rsidRPr="00132E65" w:rsidRDefault="000C39D1" w:rsidP="000C39D1">
      <w:pPr>
        <w:pStyle w:val="libFootnote0"/>
        <w:rPr>
          <w:rtl/>
          <w:lang w:bidi="fa-IR"/>
        </w:rPr>
      </w:pPr>
      <w:r>
        <w:rPr>
          <w:rtl/>
        </w:rPr>
        <w:t>(2).</w:t>
      </w:r>
      <w:r w:rsidRPr="00132E65">
        <w:rPr>
          <w:rtl/>
        </w:rPr>
        <w:t xml:space="preserve"> « الحُلَّة » : إزار ورداء ، لا تسمّى حُلَّةً حتّى تكون ثوبين. والجمع الحُلَل ، وهي بُرُود اليمن. </w:t>
      </w:r>
      <w:r w:rsidRPr="006E281B">
        <w:rPr>
          <w:rtl/>
        </w:rPr>
        <w:t>الصحاح</w:t>
      </w:r>
      <w:r w:rsidRPr="00132E65">
        <w:rPr>
          <w:rtl/>
        </w:rPr>
        <w:t xml:space="preserve"> ، ج 4 ، ص 1673 ( حلل )</w:t>
      </w:r>
      <w:r>
        <w:rPr>
          <w:rtl/>
        </w:rPr>
        <w:t>.</w:t>
      </w:r>
      <w:r>
        <w:rPr>
          <w:rFonts w:hint="cs"/>
          <w:rtl/>
        </w:rPr>
        <w:t xml:space="preserve">                                      </w:t>
      </w:r>
      <w:r>
        <w:rPr>
          <w:rtl/>
        </w:rPr>
        <w:t>(3).</w:t>
      </w:r>
      <w:r w:rsidRPr="00132E65">
        <w:rPr>
          <w:rtl/>
        </w:rPr>
        <w:t xml:space="preserve"> في « ف » و</w:t>
      </w:r>
      <w:r w:rsidRPr="009D1ACE">
        <w:rPr>
          <w:rStyle w:val="libFootnoteBoldChar"/>
          <w:rtl/>
        </w:rPr>
        <w:t>الوافي</w:t>
      </w:r>
      <w:r w:rsidRPr="00132E65">
        <w:rPr>
          <w:rtl/>
        </w:rPr>
        <w:t xml:space="preserve"> : « قد كساه »</w:t>
      </w:r>
      <w:r>
        <w:rPr>
          <w:rtl/>
        </w:rPr>
        <w:t>.</w:t>
      </w:r>
    </w:p>
    <w:p w:rsidR="000C39D1" w:rsidRPr="00132E65" w:rsidRDefault="000C39D1" w:rsidP="000C39D1">
      <w:pPr>
        <w:pStyle w:val="libFootnote0"/>
        <w:rPr>
          <w:rtl/>
          <w:lang w:bidi="fa-IR"/>
        </w:rPr>
      </w:pPr>
      <w:r>
        <w:rPr>
          <w:rtl/>
        </w:rPr>
        <w:t>(4).</w:t>
      </w:r>
      <w:r w:rsidRPr="00132E65">
        <w:rPr>
          <w:rtl/>
        </w:rPr>
        <w:t xml:space="preserve"> النَجاشيّ : كلمة تسمّى به ملوك الحبش ، والياء مشدّدة ، وقيل : الصواب تخفيفها. والنجاشي الذي في زمن الرسول </w:t>
      </w:r>
      <w:r w:rsidRPr="009D1ACE">
        <w:rPr>
          <w:rStyle w:val="libFootnoteAlaemChar"/>
          <w:rtl/>
        </w:rPr>
        <w:t>صلى‌الله‌عليه‌وآله</w:t>
      </w:r>
      <w:r w:rsidRPr="00132E65">
        <w:rPr>
          <w:rtl/>
        </w:rPr>
        <w:t xml:space="preserve"> اسمه أصْحَمَة. وقيل : أصْمَحة. وقيل : صَحْمَة. وقيل : صَمْحَة. والصواب هو الأوّل. راجع : </w:t>
      </w:r>
      <w:r w:rsidRPr="006E281B">
        <w:rPr>
          <w:rtl/>
        </w:rPr>
        <w:t>النهاية</w:t>
      </w:r>
      <w:r w:rsidRPr="00132E65">
        <w:rPr>
          <w:rtl/>
        </w:rPr>
        <w:t xml:space="preserve"> ، ج 5 ، ص 22 ؛ </w:t>
      </w:r>
      <w:r w:rsidRPr="009D1ACE">
        <w:rPr>
          <w:rStyle w:val="libFootnoteBoldChar"/>
          <w:rtl/>
        </w:rPr>
        <w:t>لسان العرب</w:t>
      </w:r>
      <w:r w:rsidRPr="00132E65">
        <w:rPr>
          <w:rtl/>
        </w:rPr>
        <w:t xml:space="preserve"> ، ج 6 ، ص 351 ( نجش )</w:t>
      </w:r>
      <w:r>
        <w:rPr>
          <w:rtl/>
        </w:rPr>
        <w:t>.</w:t>
      </w:r>
    </w:p>
    <w:p w:rsidR="000C39D1" w:rsidRPr="00132E65" w:rsidRDefault="000C39D1" w:rsidP="000C39D1">
      <w:pPr>
        <w:pStyle w:val="libFootnote0"/>
        <w:rPr>
          <w:rtl/>
          <w:lang w:bidi="fa-IR"/>
        </w:rPr>
      </w:pPr>
      <w:r>
        <w:rPr>
          <w:rtl/>
        </w:rPr>
        <w:t>(5).</w:t>
      </w:r>
      <w:r w:rsidRPr="00132E65">
        <w:rPr>
          <w:rtl/>
        </w:rPr>
        <w:t xml:space="preserve"> في « ج ، بس » : « عليّ »</w:t>
      </w:r>
      <w:r>
        <w:rPr>
          <w:rtl/>
        </w:rPr>
        <w:t>.</w:t>
      </w:r>
    </w:p>
    <w:p w:rsidR="000C39D1" w:rsidRPr="00132E65" w:rsidRDefault="000C39D1" w:rsidP="000C39D1">
      <w:pPr>
        <w:pStyle w:val="libFootnote0"/>
        <w:rPr>
          <w:rtl/>
          <w:lang w:bidi="fa-IR"/>
        </w:rPr>
      </w:pPr>
      <w:r>
        <w:rPr>
          <w:rtl/>
        </w:rPr>
        <w:t>(6).</w:t>
      </w:r>
      <w:r w:rsidRPr="00132E65">
        <w:rPr>
          <w:rtl/>
        </w:rPr>
        <w:t xml:space="preserve"> « المِسْكين » : من لا شي‌ء عنده. وقيل : الذي لا شي‌ء له يكفي عياله. وقيل : المسكين أسوأ حالاً من الفقير. وقيل : بل بالعكس. ولكلٍّ أدلّة. راجع : </w:t>
      </w:r>
      <w:r w:rsidRPr="009D1ACE">
        <w:rPr>
          <w:rStyle w:val="libFootnoteBoldChar"/>
          <w:rtl/>
        </w:rPr>
        <w:t>لسان العرب</w:t>
      </w:r>
      <w:r w:rsidRPr="00132E65">
        <w:rPr>
          <w:rtl/>
        </w:rPr>
        <w:t xml:space="preserve"> ، ج 13 ، ص 214 ( سكن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ه‍ » والوسائل ، ج 5 </w:t>
            </w:r>
            <w:r>
              <w:rPr>
                <w:rtl/>
              </w:rPr>
              <w:t xml:space="preserve">: - </w:t>
            </w:r>
            <w:r w:rsidRPr="00132E65">
              <w:rPr>
                <w:rtl/>
              </w:rPr>
              <w:t>« بيده »</w:t>
            </w:r>
            <w:r>
              <w:rPr>
                <w:rtl/>
              </w:rPr>
              <w:t>.</w:t>
            </w:r>
          </w:p>
        </w:tc>
        <w:tc>
          <w:tcPr>
            <w:tcW w:w="4006" w:type="dxa"/>
          </w:tcPr>
          <w:p w:rsidR="000C39D1" w:rsidRDefault="000C39D1" w:rsidP="00B53873">
            <w:pPr>
              <w:pStyle w:val="libFootnote0"/>
              <w:rPr>
                <w:rtl/>
              </w:rPr>
            </w:pPr>
            <w:r>
              <w:rPr>
                <w:rtl/>
              </w:rPr>
              <w:t>(8).</w:t>
            </w:r>
            <w:r w:rsidRPr="00132E65">
              <w:rPr>
                <w:rtl/>
              </w:rPr>
              <w:t xml:space="preserve"> في « ف » </w:t>
            </w:r>
            <w:r>
              <w:rPr>
                <w:rtl/>
              </w:rPr>
              <w:t xml:space="preserve">: - </w:t>
            </w:r>
            <w:r w:rsidRPr="00132E65">
              <w:rPr>
                <w:rtl/>
              </w:rPr>
              <w:t>« فيه »</w:t>
            </w:r>
            <w:r>
              <w:rPr>
                <w:rtl/>
              </w:rPr>
              <w:t>.</w:t>
            </w:r>
          </w:p>
        </w:tc>
      </w:tr>
    </w:tbl>
    <w:p w:rsidR="00CE1F23" w:rsidRDefault="000C39D1" w:rsidP="00CE1F23">
      <w:pPr>
        <w:pStyle w:val="libFootnote0"/>
        <w:rPr>
          <w:rtl/>
        </w:rPr>
      </w:pPr>
      <w:r>
        <w:rPr>
          <w:rtl/>
        </w:rPr>
        <w:t>(9).</w:t>
      </w:r>
      <w:r w:rsidRPr="00132E65">
        <w:rPr>
          <w:rtl/>
        </w:rPr>
        <w:t xml:space="preserve"> يعني أتى بصيغة الجمع بعد أن جعل نعمة أولاد أميرالمؤمنين </w:t>
      </w:r>
      <w:r w:rsidRPr="009D1ACE">
        <w:rPr>
          <w:rStyle w:val="libFootnoteAlaemChar"/>
          <w:rtl/>
        </w:rPr>
        <w:t>عليه‌السلام</w:t>
      </w:r>
      <w:r w:rsidRPr="00132E65">
        <w:rPr>
          <w:rtl/>
        </w:rPr>
        <w:t xml:space="preserve"> شبيهة بنعمته ، نظيرة لها ، منضمّة إليها ؛ فالباء في « بنعمته » للإلصاق ، ويحتمل التعليل أيضاً ، راجع : </w:t>
      </w:r>
      <w:r w:rsidRPr="009D1ACE">
        <w:rPr>
          <w:rStyle w:val="libFootnoteBoldChar"/>
          <w:rtl/>
        </w:rPr>
        <w:t>الوافي</w:t>
      </w:r>
      <w:r w:rsidRPr="00132E65">
        <w:rPr>
          <w:rtl/>
        </w:rPr>
        <w:t xml:space="preserve"> ، ج 2 ، ص 278 ؛ </w:t>
      </w:r>
      <w:r w:rsidRPr="009D1ACE">
        <w:rPr>
          <w:rStyle w:val="libFootnoteBoldChar"/>
          <w:rtl/>
        </w:rPr>
        <w:t>مرآة العقول</w:t>
      </w:r>
      <w:r w:rsidRPr="00132E65">
        <w:rPr>
          <w:rtl/>
        </w:rPr>
        <w:t xml:space="preserve"> ، ج 3 ، ص 250.</w:t>
      </w:r>
    </w:p>
    <w:p w:rsidR="000C39D1" w:rsidRPr="00132E65" w:rsidRDefault="000C39D1" w:rsidP="00CE1F23">
      <w:pPr>
        <w:pStyle w:val="libFootnote0"/>
        <w:rPr>
          <w:rtl/>
          <w:lang w:bidi="fa-IR"/>
        </w:rPr>
      </w:pPr>
      <w:r>
        <w:rPr>
          <w:rtl/>
        </w:rPr>
        <w:t>(10).</w:t>
      </w:r>
      <w:r>
        <w:rPr>
          <w:rFonts w:hint="cs"/>
          <w:rtl/>
        </w:rPr>
        <w:t xml:space="preserve"> </w:t>
      </w:r>
      <w:r w:rsidRPr="00132E65">
        <w:rPr>
          <w:rtl/>
        </w:rPr>
        <w:t>في « بح » والوسائل ، ج 9 : « وكلّ »</w:t>
      </w:r>
      <w:r>
        <w:rPr>
          <w:rtl/>
        </w:rPr>
        <w:t>.</w:t>
      </w:r>
    </w:p>
    <w:p w:rsidR="000C39D1" w:rsidRPr="00132E65" w:rsidRDefault="000C39D1" w:rsidP="000C39D1">
      <w:pPr>
        <w:pStyle w:val="libFootnote0"/>
        <w:rPr>
          <w:rtl/>
          <w:lang w:bidi="fa-IR"/>
        </w:rPr>
      </w:pPr>
      <w:r>
        <w:rPr>
          <w:rtl/>
        </w:rPr>
        <w:t>(11).</w:t>
      </w:r>
      <w:r w:rsidRPr="00132E65">
        <w:rPr>
          <w:rtl/>
        </w:rPr>
        <w:t xml:space="preserve"> هكذا في « ج ، ف ، بح » وحاشية « ه‍ ، بر ، بف »</w:t>
      </w:r>
      <w:r>
        <w:rPr>
          <w:rtl/>
        </w:rPr>
        <w:t>.</w:t>
      </w:r>
      <w:r w:rsidRPr="00132E65">
        <w:rPr>
          <w:rtl/>
        </w:rPr>
        <w:t xml:space="preserve"> وفي سائر النسخ والمطبوع وال</w:t>
      </w:r>
      <w:r>
        <w:rPr>
          <w:rtl/>
        </w:rPr>
        <w:t>وسائل ، ج 9 : «النعمة</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2 ، ص 277 ، ح 748 ؛ </w:t>
      </w:r>
      <w:r w:rsidRPr="006E281B">
        <w:rPr>
          <w:rtl/>
        </w:rPr>
        <w:t>الوسائل</w:t>
      </w:r>
      <w:r w:rsidRPr="00132E65">
        <w:rPr>
          <w:rtl/>
        </w:rPr>
        <w:t xml:space="preserve"> ، ج 5 ، ص 18 ، ح 5774 ؛ وج 9 ، ص 477 ، ح 12534.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جَمِيعاً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أَمَرَ اللهُ</w:t>
      </w:r>
      <w:r>
        <w:rPr>
          <w:rtl/>
          <w:lang w:bidi="fa-IR"/>
        </w:rPr>
        <w:t xml:space="preserve"> - </w:t>
      </w:r>
      <w:r w:rsidRPr="00132E65">
        <w:rPr>
          <w:rtl/>
          <w:lang w:bidi="fa-IR"/>
        </w:rPr>
        <w:t>عَزَّ وجَلَّ</w:t>
      </w:r>
      <w:r>
        <w:rPr>
          <w:rtl/>
          <w:lang w:bidi="fa-IR"/>
        </w:rPr>
        <w:t xml:space="preserve"> - </w:t>
      </w:r>
      <w:r w:rsidRPr="00132E65">
        <w:rPr>
          <w:rtl/>
          <w:lang w:bidi="fa-IR"/>
        </w:rPr>
        <w:t xml:space="preserve">رَسُولَهُ بِوَلَايَةِ </w:t>
      </w:r>
      <w:r>
        <w:rPr>
          <w:rStyle w:val="libFootnotenumChar"/>
          <w:rtl/>
        </w:rPr>
        <w:t>(1)</w:t>
      </w:r>
      <w:r w:rsidRPr="00132E65">
        <w:rPr>
          <w:rtl/>
          <w:lang w:bidi="fa-IR"/>
        </w:rPr>
        <w:t xml:space="preserve"> عَلِيٍّ ، وأَنْزَلَ عَلَيْهِ :</w:t>
      </w:r>
      <w:r>
        <w:rPr>
          <w:rFonts w:hint="cs"/>
          <w:rtl/>
          <w:lang w:bidi="fa-IR"/>
        </w:rPr>
        <w:t xml:space="preserve"> </w:t>
      </w:r>
      <w:r w:rsidRPr="00071CF9">
        <w:rPr>
          <w:rStyle w:val="libAlaemChar"/>
          <w:rtl/>
        </w:rPr>
        <w:t>(</w:t>
      </w:r>
      <w:r w:rsidRPr="00071CF9">
        <w:rPr>
          <w:rStyle w:val="libAieChar"/>
          <w:rtl/>
        </w:rPr>
        <w:t xml:space="preserve">إِنَّما وَلِيُّكُمُ اللهُ وَرَسُولُهُ وَالَّذِينَ آمَنُوا الَّذِينَ يُقِيمُونَ الصَّلاةَ وَيُؤْتُونَ الزَّكاةَ وَهُمْ راكِعُونَ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وَفَرَضَ ولَايَةَ أُولِي الْأَمْرِ </w:t>
      </w:r>
      <w:r>
        <w:rPr>
          <w:rStyle w:val="libFootnotenumChar"/>
          <w:rtl/>
        </w:rPr>
        <w:t>(3)</w:t>
      </w:r>
      <w:r w:rsidRPr="00132E65">
        <w:rPr>
          <w:rtl/>
          <w:lang w:bidi="fa-IR"/>
        </w:rPr>
        <w:t xml:space="preserve"> ، فَلَمْ يَدْرُوا </w:t>
      </w:r>
      <w:r>
        <w:rPr>
          <w:rStyle w:val="libFootnotenumChar"/>
          <w:rtl/>
        </w:rPr>
        <w:t>(4)</w:t>
      </w:r>
      <w:r w:rsidRPr="00132E65">
        <w:rPr>
          <w:rtl/>
          <w:lang w:bidi="fa-IR"/>
        </w:rPr>
        <w:t xml:space="preserve"> مَا هِيَ</w:t>
      </w:r>
      <w:r>
        <w:rPr>
          <w:rtl/>
          <w:lang w:bidi="fa-IR"/>
        </w:rPr>
        <w:t>؟</w:t>
      </w:r>
      <w:r w:rsidRPr="00132E65">
        <w:rPr>
          <w:rtl/>
          <w:lang w:bidi="fa-IR"/>
        </w:rPr>
        <w:t xml:space="preserve"> فَأَمَرَ اللهُ مُحَمَّداً </w:t>
      </w:r>
      <w:r w:rsidRPr="00071CF9">
        <w:rPr>
          <w:rStyle w:val="libAlaemChar"/>
          <w:rtl/>
        </w:rPr>
        <w:t>صلى‌الله‌عليه‌وآله‌وسلم</w:t>
      </w:r>
      <w:r w:rsidRPr="00132E65">
        <w:rPr>
          <w:rtl/>
          <w:lang w:bidi="fa-IR"/>
        </w:rPr>
        <w:t xml:space="preserve"> أَنْ يُفَسِّرَ لَهُمُ الْوَلَايَةَ كَمَا فَسَّرَ لَهُمُ الصَّلَاةَ والزَّكَاةَ والصَّوْمَ والْحَجَّ ، فَلَمَّا أَتَاهُ ذلِكَ مِنَ اللهِ ، ضَاقَ بِذلِكَ صَدْرُ </w:t>
      </w:r>
      <w:r>
        <w:rPr>
          <w:rStyle w:val="libFootnotenumChar"/>
          <w:rtl/>
        </w:rPr>
        <w:t>(5)</w:t>
      </w:r>
      <w:r w:rsidRPr="00132E65">
        <w:rPr>
          <w:rtl/>
          <w:lang w:bidi="fa-IR"/>
        </w:rPr>
        <w:t xml:space="preserve"> رَسُولِ اللهِ </w:t>
      </w:r>
      <w:r w:rsidRPr="00071CF9">
        <w:rPr>
          <w:rStyle w:val="libAlaemChar"/>
          <w:rtl/>
        </w:rPr>
        <w:t>صلى‌الله‌عليه‌وآله</w:t>
      </w:r>
      <w:r w:rsidRPr="00132E65">
        <w:rPr>
          <w:rtl/>
          <w:lang w:bidi="fa-IR"/>
        </w:rPr>
        <w:t xml:space="preserve"> ، وتَخَوَّفَ أَنْ يَرْتَدُّوا </w:t>
      </w:r>
      <w:r>
        <w:rPr>
          <w:rStyle w:val="libFootnotenumChar"/>
          <w:rtl/>
        </w:rPr>
        <w:t>(6)</w:t>
      </w:r>
      <w:r w:rsidRPr="00132E65">
        <w:rPr>
          <w:rtl/>
          <w:lang w:bidi="fa-IR"/>
        </w:rPr>
        <w:t xml:space="preserve"> عَنْ دِينِهِمْ </w:t>
      </w:r>
      <w:r>
        <w:rPr>
          <w:rStyle w:val="libFootnotenumChar"/>
          <w:rtl/>
        </w:rPr>
        <w:t>(7)</w:t>
      </w:r>
      <w:r w:rsidRPr="00132E65">
        <w:rPr>
          <w:rtl/>
          <w:lang w:bidi="fa-IR"/>
        </w:rPr>
        <w:t xml:space="preserve"> وأَنْ يُكَذِّبُوهُ ، فَضَاقَ صَدْرُهُ ، وَرَاجَعَ رَبَّهُ عَزَّ وجَلَّ ، فَأَوْحَى اللهُ</w:t>
      </w:r>
      <w:r>
        <w:rPr>
          <w:rtl/>
          <w:lang w:bidi="fa-IR"/>
        </w:rPr>
        <w:t xml:space="preserve"> - </w:t>
      </w:r>
      <w:r w:rsidRPr="00132E65">
        <w:rPr>
          <w:rtl/>
          <w:lang w:bidi="fa-IR"/>
        </w:rPr>
        <w:t>عَزَّ وجَلَّ</w:t>
      </w:r>
      <w:r>
        <w:rPr>
          <w:rtl/>
          <w:lang w:bidi="fa-IR"/>
        </w:rPr>
        <w:t xml:space="preserve"> - </w:t>
      </w:r>
      <w:r w:rsidRPr="00132E65">
        <w:rPr>
          <w:rtl/>
          <w:lang w:bidi="fa-IR"/>
        </w:rPr>
        <w:t xml:space="preserve">إِلَيْهِ </w:t>
      </w:r>
      <w:r>
        <w:rPr>
          <w:rStyle w:val="libFootnotenumChar"/>
          <w:rtl/>
        </w:rPr>
        <w:t>(8)</w:t>
      </w:r>
      <w:r w:rsidRPr="00132E65">
        <w:rPr>
          <w:rtl/>
          <w:lang w:bidi="fa-IR"/>
        </w:rPr>
        <w:t xml:space="preserve"> : </w:t>
      </w:r>
      <w:r w:rsidRPr="00071CF9">
        <w:rPr>
          <w:rStyle w:val="libAlaemChar"/>
          <w:rtl/>
        </w:rPr>
        <w:t>(</w:t>
      </w:r>
      <w:r w:rsidRPr="00071CF9">
        <w:rPr>
          <w:rStyle w:val="libAieChar"/>
          <w:rtl/>
        </w:rPr>
        <w:t xml:space="preserve"> يا أَيُّهَا الرَّسُولُ بَلِّغْ ما أُنْزِلَ إِلَيْكَ مِنْ رَبِّكَ وَإِنْ لَمْ تَفْعَلْ فَما بَلَّغْتَ رِسالَتَهُ وَاللهُ يَعْصِمُكَ مِنَ النّاسِ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فَصَدَعَ بِأَمْرِ اللهِ </w:t>
      </w:r>
      <w:r>
        <w:rPr>
          <w:rStyle w:val="libFootnotenumChar"/>
          <w:rtl/>
        </w:rPr>
        <w:t>(10)</w:t>
      </w:r>
      <w:r>
        <w:rPr>
          <w:rtl/>
          <w:lang w:bidi="fa-IR"/>
        </w:rPr>
        <w:t xml:space="preserve"> - </w:t>
      </w:r>
      <w:r w:rsidRPr="00132E65">
        <w:rPr>
          <w:rtl/>
          <w:lang w:bidi="fa-IR"/>
        </w:rPr>
        <w:t xml:space="preserve">تَعَالى ذِكْرُهُ </w:t>
      </w:r>
      <w:r>
        <w:rPr>
          <w:rStyle w:val="libFootnotenumChar"/>
          <w:rtl/>
        </w:rPr>
        <w:t>(11)</w:t>
      </w:r>
      <w:r>
        <w:rPr>
          <w:rtl/>
          <w:lang w:bidi="fa-IR"/>
        </w:rPr>
        <w:t xml:space="preserve"> - </w:t>
      </w:r>
      <w:r w:rsidRPr="00132E65">
        <w:rPr>
          <w:rtl/>
          <w:lang w:bidi="fa-IR"/>
        </w:rPr>
        <w:t xml:space="preserve">فَقَامَ بِوَلَايَةِ عَلِيٍّ </w:t>
      </w:r>
      <w:r w:rsidRPr="00071CF9">
        <w:rPr>
          <w:rStyle w:val="libAlaemChar"/>
          <w:rtl/>
        </w:rPr>
        <w:t>عليه‌السلام</w:t>
      </w:r>
      <w:r w:rsidRPr="00132E65">
        <w:rPr>
          <w:rtl/>
          <w:lang w:bidi="fa-IR"/>
        </w:rPr>
        <w:t xml:space="preserve"> يَوْمَ غَدِيرِ خُمٍّ ، فَنَادَى : الصَّلَاةَ جَامِعَةً </w:t>
      </w:r>
      <w:r>
        <w:rPr>
          <w:rStyle w:val="libFootnotenumChar"/>
          <w:rtl/>
        </w:rPr>
        <w:t>(12)</w:t>
      </w:r>
      <w:r w:rsidRPr="00132E65">
        <w:rPr>
          <w:rtl/>
          <w:lang w:bidi="fa-IR"/>
        </w:rPr>
        <w:t xml:space="preserve"> ، وأَمَرَ النَّاسَ أَنْ يُبَلِّغَ الشَّاهِدُ الْغَائِبَ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الوِلاية » </w:t>
      </w:r>
      <w:r>
        <w:rPr>
          <w:rtl/>
        </w:rPr>
        <w:t>و «</w:t>
      </w:r>
      <w:r w:rsidRPr="00132E65">
        <w:rPr>
          <w:rtl/>
        </w:rPr>
        <w:t xml:space="preserve"> الوَلاية » نحو الدِلالة والدَلالة ، وحقيقته تولّي الأمر. </w:t>
      </w:r>
      <w:r w:rsidRPr="006E281B">
        <w:rPr>
          <w:rtl/>
        </w:rPr>
        <w:t>المفردات</w:t>
      </w:r>
      <w:r w:rsidRPr="00132E65">
        <w:rPr>
          <w:rtl/>
        </w:rPr>
        <w:t xml:space="preserve"> للراغب ، ص 885 ( ولى )</w:t>
      </w:r>
      <w:r>
        <w:rPr>
          <w:rtl/>
        </w:rPr>
        <w:t>.</w:t>
      </w:r>
    </w:p>
    <w:p w:rsidR="000C39D1" w:rsidRPr="00132E65" w:rsidRDefault="000C39D1" w:rsidP="000C39D1">
      <w:pPr>
        <w:pStyle w:val="libFootnote0"/>
        <w:rPr>
          <w:rtl/>
          <w:lang w:bidi="fa-IR"/>
        </w:rPr>
      </w:pPr>
      <w:r>
        <w:rPr>
          <w:rtl/>
        </w:rPr>
        <w:t>(2).</w:t>
      </w:r>
      <w:r w:rsidRPr="00132E65">
        <w:rPr>
          <w:rtl/>
        </w:rPr>
        <w:t xml:space="preserve"> في « ألف ، ج ، و، بس ، بف » والمطبوع </w:t>
      </w:r>
      <w:r>
        <w:rPr>
          <w:rtl/>
        </w:rPr>
        <w:t>: -</w:t>
      </w:r>
      <w:r w:rsidRPr="00132E65">
        <w:rPr>
          <w:rtl/>
        </w:rPr>
        <w:t xml:space="preserve">/ </w:t>
      </w:r>
      <w:r w:rsidRPr="0014098F">
        <w:rPr>
          <w:rStyle w:val="libFootnoteAlaemChar"/>
          <w:rtl/>
        </w:rPr>
        <w:t>(</w:t>
      </w:r>
      <w:r w:rsidRPr="0014098F">
        <w:rPr>
          <w:rStyle w:val="libFootnoteAieChar"/>
          <w:rFonts w:hint="cs"/>
          <w:rtl/>
        </w:rPr>
        <w:t xml:space="preserve"> </w:t>
      </w:r>
      <w:r w:rsidRPr="0014098F">
        <w:rPr>
          <w:rStyle w:val="libFootnoteAieChar"/>
          <w:rtl/>
        </w:rPr>
        <w:t>وَهُمْ راكِعُونَ</w:t>
      </w:r>
      <w:r w:rsidRPr="0014098F">
        <w:rPr>
          <w:rStyle w:val="libFootnoteAieChar"/>
          <w:rFonts w:hint="cs"/>
          <w:rtl/>
        </w:rPr>
        <w:t xml:space="preserve"> </w:t>
      </w:r>
      <w:r w:rsidRPr="0014098F">
        <w:rPr>
          <w:rStyle w:val="libFootnoteAlaemChar"/>
          <w:rtl/>
        </w:rPr>
        <w:t>)</w:t>
      </w:r>
      <w:r w:rsidRPr="00132E65">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منكم »</w:t>
      </w:r>
      <w:r>
        <w:rPr>
          <w:rtl/>
        </w:rPr>
        <w:t>.</w:t>
      </w:r>
    </w:p>
    <w:p w:rsidR="000C39D1" w:rsidRPr="00132E65" w:rsidRDefault="000C39D1" w:rsidP="000C39D1">
      <w:pPr>
        <w:pStyle w:val="libFootnote0"/>
        <w:rPr>
          <w:rtl/>
          <w:lang w:bidi="fa-IR"/>
        </w:rPr>
      </w:pPr>
      <w:r>
        <w:rPr>
          <w:rtl/>
        </w:rPr>
        <w:t>(4).</w:t>
      </w:r>
      <w:r w:rsidRPr="00132E65">
        <w:rPr>
          <w:rtl/>
        </w:rPr>
        <w:t xml:space="preserve"> « فلم يَدْرُوا » ، أي فلم يعرفوا ، من الدراية. راجع : </w:t>
      </w:r>
      <w:r w:rsidRPr="006E281B">
        <w:rPr>
          <w:rtl/>
        </w:rPr>
        <w:t>المفردات</w:t>
      </w:r>
      <w:r w:rsidRPr="00132E65">
        <w:rPr>
          <w:rtl/>
        </w:rPr>
        <w:t xml:space="preserve"> للراغب ، ص 313 ( درى )</w:t>
      </w:r>
      <w:r>
        <w:rPr>
          <w:rtl/>
        </w:rPr>
        <w:t>.</w:t>
      </w:r>
    </w:p>
    <w:p w:rsidR="000C39D1" w:rsidRPr="00132E65" w:rsidRDefault="000C39D1" w:rsidP="00CE1F23">
      <w:pPr>
        <w:pStyle w:val="libFootnote0"/>
        <w:rPr>
          <w:rtl/>
          <w:lang w:bidi="fa-IR"/>
        </w:rPr>
      </w:pPr>
      <w:r>
        <w:rPr>
          <w:rtl/>
        </w:rPr>
        <w:t>(5).</w:t>
      </w:r>
      <w:r w:rsidRPr="00132E65">
        <w:rPr>
          <w:rtl/>
        </w:rPr>
        <w:t xml:space="preserve"> في « ه‍ </w:t>
      </w:r>
      <w:r w:rsidR="00CE1F23" w:rsidRPr="00132E65">
        <w:rPr>
          <w:rtl/>
        </w:rPr>
        <w:t>»</w:t>
      </w:r>
      <w:r w:rsidRPr="00132E65">
        <w:rPr>
          <w:rtl/>
        </w:rPr>
        <w:t xml:space="preserve"> </w:t>
      </w:r>
      <w:r>
        <w:rPr>
          <w:rtl/>
        </w:rPr>
        <w:t xml:space="preserve">: - </w:t>
      </w:r>
      <w:r w:rsidRPr="00132E65">
        <w:rPr>
          <w:rtl/>
        </w:rPr>
        <w:t>« صدر »</w:t>
      </w:r>
      <w:r>
        <w:rPr>
          <w:rtl/>
        </w:rPr>
        <w:t>.</w:t>
      </w:r>
    </w:p>
    <w:p w:rsidR="000C39D1" w:rsidRPr="00132E65" w:rsidRDefault="000C39D1" w:rsidP="000C39D1">
      <w:pPr>
        <w:pStyle w:val="libFootnote0"/>
        <w:rPr>
          <w:rtl/>
          <w:lang w:bidi="fa-IR"/>
        </w:rPr>
      </w:pPr>
      <w:r>
        <w:rPr>
          <w:rtl/>
        </w:rPr>
        <w:t>(6). « أن يرتدّوا » ، أي يرجعوا.</w:t>
      </w:r>
      <w:r>
        <w:rPr>
          <w:rFonts w:hint="cs"/>
          <w:rtl/>
        </w:rPr>
        <w:t xml:space="preserve"> </w:t>
      </w:r>
      <w:r w:rsidRPr="00132E65">
        <w:rPr>
          <w:rtl/>
        </w:rPr>
        <w:t>قال الراغب : « الرَدّ : صرف الشي‌ء بذاته أو بحالة من أحواله. يقال : رَدَدْتُه فارتدّ. والارتداد والرِدَّةُ : الرجوع في الطريق الذي جاء منه ، لكنّ الرِدَّة تختصّ بالكفر ، والارتداد يستعمل فيه وفي غيره »</w:t>
      </w:r>
      <w:r>
        <w:rPr>
          <w:rtl/>
        </w:rPr>
        <w:t>.</w:t>
      </w:r>
      <w:r w:rsidRPr="00132E65">
        <w:rPr>
          <w:rtl/>
        </w:rPr>
        <w:t xml:space="preserve"> راجع : </w:t>
      </w:r>
      <w:r w:rsidRPr="006E281B">
        <w:rPr>
          <w:rtl/>
        </w:rPr>
        <w:t>المفردات</w:t>
      </w:r>
      <w:r w:rsidRPr="00132E65">
        <w:rPr>
          <w:rtl/>
        </w:rPr>
        <w:t xml:space="preserve"> للراغب ، ص 348 ( ردد )</w:t>
      </w:r>
      <w:r>
        <w:rPr>
          <w:rtl/>
        </w:rPr>
        <w:t>.</w:t>
      </w:r>
    </w:p>
    <w:p w:rsidR="000C39D1" w:rsidRPr="00132E65" w:rsidRDefault="000C39D1" w:rsidP="000C39D1">
      <w:pPr>
        <w:pStyle w:val="libFootnote0"/>
        <w:rPr>
          <w:rtl/>
          <w:lang w:bidi="fa-IR"/>
        </w:rPr>
      </w:pPr>
      <w:r>
        <w:rPr>
          <w:rtl/>
        </w:rPr>
        <w:t>(7).</w:t>
      </w:r>
      <w:r w:rsidRPr="00132E65">
        <w:rPr>
          <w:rtl/>
        </w:rPr>
        <w:t xml:space="preserve"> في حاشية « ف » : « عن دينه </w:t>
      </w:r>
      <w:r w:rsidRPr="0014098F">
        <w:rPr>
          <w:rStyle w:val="libFootnoteAlaemChar"/>
          <w:rFonts w:eastAsiaTheme="minorHAnsi"/>
          <w:rtl/>
        </w:rPr>
        <w:t>صلى‌الله‌عليه‌وآله</w:t>
      </w:r>
      <w:r w:rsidRPr="00132E65">
        <w:rPr>
          <w:rtl/>
        </w:rPr>
        <w:t xml:space="preserve"> »</w:t>
      </w:r>
      <w:r>
        <w:rPr>
          <w:rtl/>
        </w:rPr>
        <w:t>.</w:t>
      </w:r>
    </w:p>
    <w:p w:rsidR="000C39D1" w:rsidRPr="00132E65" w:rsidRDefault="000C39D1" w:rsidP="00CE1F23">
      <w:pPr>
        <w:pStyle w:val="libFootnote0"/>
        <w:rPr>
          <w:rtl/>
          <w:lang w:bidi="fa-IR"/>
        </w:rPr>
      </w:pPr>
      <w:r>
        <w:rPr>
          <w:rtl/>
        </w:rPr>
        <w:t>(8).</w:t>
      </w:r>
      <w:r w:rsidRPr="00132E65">
        <w:rPr>
          <w:rtl/>
        </w:rPr>
        <w:t xml:space="preserve"> في « ه‍ </w:t>
      </w:r>
      <w:r w:rsidR="00CE1F23" w:rsidRPr="00132E65">
        <w:rPr>
          <w:rtl/>
        </w:rPr>
        <w:t>»</w:t>
      </w:r>
      <w:r w:rsidRPr="00132E65">
        <w:rPr>
          <w:rtl/>
        </w:rPr>
        <w:t xml:space="preserve"> </w:t>
      </w:r>
      <w:r>
        <w:rPr>
          <w:rtl/>
        </w:rPr>
        <w:t xml:space="preserve">: - </w:t>
      </w:r>
      <w:r w:rsidRPr="00132E65">
        <w:rPr>
          <w:rtl/>
        </w:rPr>
        <w:t>« إليه »</w:t>
      </w:r>
      <w:r>
        <w:rPr>
          <w:rtl/>
        </w:rPr>
        <w:t>.</w:t>
      </w:r>
    </w:p>
    <w:p w:rsidR="000C39D1" w:rsidRPr="00132E65" w:rsidRDefault="000C39D1" w:rsidP="000C39D1">
      <w:pPr>
        <w:pStyle w:val="libFootnote0"/>
        <w:rPr>
          <w:rtl/>
          <w:lang w:bidi="fa-IR"/>
        </w:rPr>
      </w:pPr>
      <w:r>
        <w:rPr>
          <w:rtl/>
        </w:rPr>
        <w:t>(9).</w:t>
      </w:r>
      <w:r w:rsidRPr="00132E65">
        <w:rPr>
          <w:rtl/>
        </w:rPr>
        <w:t xml:space="preserve"> المائدة </w:t>
      </w:r>
      <w:r>
        <w:rPr>
          <w:rtl/>
        </w:rPr>
        <w:t>(5).</w:t>
      </w:r>
      <w:r w:rsidRPr="00132E65">
        <w:rPr>
          <w:rtl/>
        </w:rPr>
        <w:t xml:space="preserve"> : 67.</w:t>
      </w:r>
    </w:p>
    <w:p w:rsidR="000C39D1" w:rsidRPr="00132E65" w:rsidRDefault="000C39D1" w:rsidP="000C39D1">
      <w:pPr>
        <w:pStyle w:val="libFootnote0"/>
        <w:rPr>
          <w:rtl/>
          <w:lang w:bidi="fa-IR"/>
        </w:rPr>
      </w:pPr>
      <w:r>
        <w:rPr>
          <w:rtl/>
        </w:rPr>
        <w:t>(10). « فصدع</w:t>
      </w:r>
      <w:r>
        <w:rPr>
          <w:rFonts w:hint="cs"/>
          <w:rtl/>
        </w:rPr>
        <w:t xml:space="preserve"> </w:t>
      </w:r>
      <w:r w:rsidRPr="00132E65">
        <w:rPr>
          <w:rtl/>
        </w:rPr>
        <w:t xml:space="preserve">بأمر الله تعالى » ، أي أظهره. راجع : </w:t>
      </w:r>
      <w:r w:rsidRPr="006E281B">
        <w:rPr>
          <w:rtl/>
        </w:rPr>
        <w:t>الصحاح</w:t>
      </w:r>
      <w:r w:rsidRPr="00132E65">
        <w:rPr>
          <w:rtl/>
        </w:rPr>
        <w:t xml:space="preserve"> ، ج 3 ، ص 1242 ( صدع )</w:t>
      </w:r>
      <w:r>
        <w:rPr>
          <w:rtl/>
        </w:rPr>
        <w:t>.</w:t>
      </w:r>
    </w:p>
    <w:p w:rsidR="000C39D1" w:rsidRPr="00132E65" w:rsidRDefault="000C39D1" w:rsidP="000C39D1">
      <w:pPr>
        <w:pStyle w:val="libFootnote0"/>
        <w:rPr>
          <w:rtl/>
          <w:lang w:bidi="fa-IR"/>
        </w:rPr>
      </w:pPr>
      <w:r>
        <w:rPr>
          <w:rtl/>
        </w:rPr>
        <w:t>(11).</w:t>
      </w:r>
      <w:r w:rsidRPr="00132E65">
        <w:rPr>
          <w:rtl/>
        </w:rPr>
        <w:t xml:space="preserve"> في « ج ، ف » : « عزّ ذكره »</w:t>
      </w:r>
      <w:r>
        <w:rPr>
          <w:rtl/>
        </w:rPr>
        <w:t>.</w:t>
      </w:r>
      <w:r w:rsidRPr="00132E65">
        <w:rPr>
          <w:rtl/>
        </w:rPr>
        <w:t xml:space="preserve"> وفي « ض » </w:t>
      </w:r>
      <w:r>
        <w:rPr>
          <w:rtl/>
        </w:rPr>
        <w:t xml:space="preserve">: - </w:t>
      </w:r>
      <w:r w:rsidRPr="00132E65">
        <w:rPr>
          <w:rtl/>
        </w:rPr>
        <w:t>« ذكره »</w:t>
      </w:r>
      <w:r>
        <w:rPr>
          <w:rtl/>
        </w:rPr>
        <w:t>.</w:t>
      </w:r>
      <w:r w:rsidRPr="00132E65">
        <w:rPr>
          <w:rtl/>
        </w:rPr>
        <w:t xml:space="preserve"> وفي « بح</w:t>
      </w:r>
      <w:r>
        <w:rPr>
          <w:rtl/>
        </w:rPr>
        <w:t xml:space="preserve"> ، بس ، بف » : « تعالى عزّ ذكره</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 الصلاة » منصوبة على الإغراء ، </w:t>
      </w:r>
      <w:r>
        <w:rPr>
          <w:rtl/>
        </w:rPr>
        <w:t>و «</w:t>
      </w:r>
      <w:r w:rsidRPr="00132E65">
        <w:rPr>
          <w:rtl/>
        </w:rPr>
        <w:t xml:space="preserve"> جامعة » حال ، أي الزموا الصلاة حال كونها في جماعة. وقال المجلسي : « أوهما مرفوعان بالابتدائيّة والخبريّة ، فيكون خبراً في معنى الأمر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قَالَ عُمَرُ بْنُ أُذَيْنَةَ : قَالُوا جَمِيعاً غَيْرَ أَبِي الْجَارُودِ : و</w:t>
      </w:r>
      <w:r>
        <w:rPr>
          <w:rFonts w:hint="cs"/>
          <w:rtl/>
          <w:lang w:bidi="fa-IR"/>
        </w:rPr>
        <w:t xml:space="preserve">َ </w:t>
      </w:r>
      <w:r>
        <w:rPr>
          <w:rStyle w:val="libFootnotenumChar"/>
          <w:rtl/>
        </w:rPr>
        <w:t>(1)</w:t>
      </w:r>
      <w:r w:rsidRPr="00132E65">
        <w:rPr>
          <w:rtl/>
          <w:lang w:bidi="fa-IR"/>
        </w:rPr>
        <w:t xml:space="preserve"> قَالَ أَبُو جَعْفَرٍ </w:t>
      </w:r>
      <w:r w:rsidRPr="00071CF9">
        <w:rPr>
          <w:rStyle w:val="libAlaemChar"/>
          <w:rtl/>
        </w:rPr>
        <w:t>عليه‌السلام</w:t>
      </w:r>
      <w:r w:rsidRPr="00132E65">
        <w:rPr>
          <w:rtl/>
          <w:lang w:bidi="fa-IR"/>
        </w:rPr>
        <w:t xml:space="preserve"> : « وَكَانَتِ الْفَرِيضَةُ تَنْزِلُ بَعْدَ الْفَرِيضَةِ الْأُخْرى ، وكَانَتِ الْوَلَايَةُ آخِرَ الْفَرَائِضِ ، فَأَنْزَلَ اللهُ عَزَّ وجَلَّ :</w:t>
      </w:r>
      <w:r>
        <w:rPr>
          <w:rFonts w:hint="cs"/>
          <w:rtl/>
          <w:lang w:bidi="fa-IR"/>
        </w:rPr>
        <w:t xml:space="preserve"> </w:t>
      </w:r>
      <w:r w:rsidRPr="00071CF9">
        <w:rPr>
          <w:rStyle w:val="libAlaemChar"/>
          <w:rtl/>
        </w:rPr>
        <w:t>(</w:t>
      </w:r>
      <w:r w:rsidRPr="00071CF9">
        <w:rPr>
          <w:rStyle w:val="libAieChar"/>
          <w:rtl/>
        </w:rPr>
        <w:t xml:space="preserve"> الْيَوْمَ أَكْمَلْتُ لَكُمْ دِينَكُمْ وَأَتْمَمْتُ عَلَيْكُمْ نِعْمَتِي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أَبُو جَعْفَرٍ </w:t>
      </w:r>
      <w:r w:rsidRPr="00071CF9">
        <w:rPr>
          <w:rStyle w:val="libAlaemChar"/>
          <w:rtl/>
        </w:rPr>
        <w:t>عليه‌السلام</w:t>
      </w:r>
      <w:r w:rsidRPr="00132E65">
        <w:rPr>
          <w:rtl/>
          <w:lang w:bidi="fa-IR"/>
        </w:rPr>
        <w:t xml:space="preserve"> : « يَقُولُ اللهُ عَزَّ وجَلَّ : لَا</w:t>
      </w:r>
      <w:r>
        <w:rPr>
          <w:rFonts w:hint="cs"/>
          <w:rtl/>
          <w:lang w:bidi="fa-IR"/>
        </w:rPr>
        <w:t xml:space="preserve"> </w:t>
      </w:r>
      <w:r w:rsidRPr="00132E65">
        <w:rPr>
          <w:rtl/>
          <w:lang w:bidi="fa-IR"/>
        </w:rPr>
        <w:t xml:space="preserve">أُنْزِلُ عَلَيْكُمْ بَعْدَ هذِهِ </w:t>
      </w:r>
      <w:r>
        <w:rPr>
          <w:rStyle w:val="libFootnotenumChar"/>
          <w:rtl/>
        </w:rPr>
        <w:t>(3)</w:t>
      </w:r>
      <w:r w:rsidRPr="00132E65">
        <w:rPr>
          <w:rtl/>
          <w:lang w:bidi="fa-IR"/>
        </w:rPr>
        <w:t xml:space="preserve"> فَرِيضَةً ، قَدْ أَكْمَلْتُ لَكُمُ الْفَرَائِضَ »</w:t>
      </w:r>
      <w:r>
        <w:rPr>
          <w:rtl/>
          <w:lang w:bidi="fa-IR"/>
        </w:rPr>
        <w:t>.</w:t>
      </w:r>
      <w:r w:rsidRPr="00132E65">
        <w:rPr>
          <w:rtl/>
          <w:lang w:bidi="fa-IR"/>
        </w:rPr>
        <w:t xml:space="preserve"> </w:t>
      </w:r>
      <w:r>
        <w:rPr>
          <w:rStyle w:val="libFootnotenumChar"/>
          <w:rtl/>
        </w:rPr>
        <w:t>(4)</w:t>
      </w:r>
    </w:p>
    <w:p w:rsidR="000C39D1" w:rsidRPr="00132E65" w:rsidRDefault="000C39D1" w:rsidP="000C39D1">
      <w:pPr>
        <w:pStyle w:val="libNormal"/>
        <w:rPr>
          <w:rtl/>
          <w:lang w:bidi="fa-IR"/>
        </w:rPr>
      </w:pPr>
      <w:r w:rsidRPr="006E281B">
        <w:rPr>
          <w:rtl/>
        </w:rPr>
        <w:t>763</w:t>
      </w:r>
      <w:r w:rsidRPr="004325D8">
        <w:rPr>
          <w:rStyle w:val="libBold2Char"/>
          <w:rtl/>
        </w:rPr>
        <w:t xml:space="preserve"> / 5.</w:t>
      </w:r>
      <w:r w:rsidRPr="00132E65">
        <w:rPr>
          <w:rtl/>
          <w:lang w:bidi="fa-IR"/>
        </w:rPr>
        <w:t xml:space="preserve"> عَلِيُّ بْنُ إِبْرَاهِيمَ ، عَنْ صَالِحِ بْنِ السِّنْدِيِّ ، عَنْ جَعْفَرِ بْنِ بَشِيرٍ ، عَنْ هَارُونَ بْنِ خَارِجَةَ ، عَنْ أَبِي بَصِيرٍ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كُنْتُ عِنْدَهُ جَالِساً ، فَقَالَ لَهُ رَجُلٌ : حَدّ</w:t>
      </w:r>
      <w:r>
        <w:rPr>
          <w:rtl/>
          <w:lang w:bidi="fa-IR"/>
        </w:rPr>
        <w:t>ِثْنِي عَنْ ولَايَةِ عَلِيٍّ أَ</w:t>
      </w:r>
      <w:r w:rsidRPr="00132E65">
        <w:rPr>
          <w:rtl/>
          <w:lang w:bidi="fa-IR"/>
        </w:rPr>
        <w:t>مِنَ اللهِ أَوْ مِنْ رَسُولِهِ</w:t>
      </w:r>
      <w:r>
        <w:rPr>
          <w:rtl/>
          <w:lang w:bidi="fa-IR"/>
        </w:rPr>
        <w:t>؟</w:t>
      </w:r>
      <w:r w:rsidRPr="00132E65">
        <w:rPr>
          <w:rtl/>
          <w:lang w:bidi="fa-IR"/>
        </w:rPr>
        <w:t xml:space="preserve"> فَغَضِبَ ، ثُمَّ قَالَ : « وَيْحَكَ ، كَانَ رَسُولُ اللهِ </w:t>
      </w:r>
      <w:r w:rsidRPr="00071CF9">
        <w:rPr>
          <w:rStyle w:val="libAlaemChar"/>
          <w:rtl/>
        </w:rPr>
        <w:t>صلى‌الله‌عليه‌وآله</w:t>
      </w:r>
      <w:r w:rsidRPr="00132E65">
        <w:rPr>
          <w:rtl/>
          <w:lang w:bidi="fa-IR"/>
        </w:rPr>
        <w:t xml:space="preserve"> أَخْوَفَ لِلّهِ مِنْ أَنْ يَقُولَ مَا لَمْ يَأْمُرْهُ بِهِ اللهُ ، بَلِ افْتَرَضَهُ </w:t>
      </w:r>
      <w:r>
        <w:rPr>
          <w:rStyle w:val="libFootnotenumChar"/>
          <w:rtl/>
        </w:rPr>
        <w:t>(5)</w:t>
      </w:r>
      <w:r w:rsidRPr="00132E65">
        <w:rPr>
          <w:rtl/>
          <w:lang w:bidi="fa-IR"/>
        </w:rPr>
        <w:t xml:space="preserve"> كَمَا افْتَرَضَ اللهُ الصَّلَاةَ والزَّكَاةَ والصَّوْمَ وَالْحَجَّ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6E281B">
        <w:rPr>
          <w:rtl/>
        </w:rPr>
        <w:t>764</w:t>
      </w:r>
      <w:r w:rsidRPr="004325D8">
        <w:rPr>
          <w:rStyle w:val="libBold2Char"/>
          <w:rtl/>
        </w:rPr>
        <w:t xml:space="preserve"> / 6.</w:t>
      </w:r>
      <w:r w:rsidRPr="00132E65">
        <w:rPr>
          <w:rtl/>
          <w:lang w:bidi="fa-IR"/>
        </w:rPr>
        <w:t xml:space="preserve"> مُحَمَّدُ بْنُ يَحْيى ، عَنْ أَحْمَدَ بْنِ مُحَمَّدٍ ومُحَمَّدِ بْنِ الْحُسَيْنِ جَمِيعاً ، عَنْ مُحَمَّدِ بْنِ إِسْمَاعِيلَ بْنِ بَزِيعٍ ، عَنْ مَنْصُورِ بْنِ يُونُسَ ، عَنْ أَبِي الْجَارُودِ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w:t>
      </w:r>
      <w:r>
        <w:rPr>
          <w:rStyle w:val="libFootnotenumChar"/>
          <w:rtl/>
        </w:rPr>
        <w:t>(7)</w:t>
      </w:r>
      <w:r w:rsidRPr="00132E65">
        <w:rPr>
          <w:rtl/>
          <w:lang w:bidi="fa-IR"/>
        </w:rPr>
        <w:t xml:space="preserve"> ، قَالَ : سَمِعْتُ أَبَا جَعْفَرٍ </w:t>
      </w:r>
      <w:r w:rsidRPr="00071CF9">
        <w:rPr>
          <w:rStyle w:val="libAlaemChar"/>
          <w:rtl/>
        </w:rPr>
        <w:t>عليه‌السلام</w:t>
      </w:r>
      <w:r w:rsidRPr="00132E65">
        <w:rPr>
          <w:rtl/>
          <w:lang w:bidi="fa-IR"/>
        </w:rPr>
        <w:t xml:space="preserve"> يَقُولُ </w:t>
      </w:r>
      <w:r>
        <w:rPr>
          <w:rStyle w:val="libFootnotenumChar"/>
          <w:rtl/>
        </w:rPr>
        <w:t>(8)</w:t>
      </w:r>
      <w:r w:rsidRPr="00132E65">
        <w:rPr>
          <w:rtl/>
          <w:lang w:bidi="fa-IR"/>
        </w:rPr>
        <w:t xml:space="preserve"> : « فَرَضَ اللهُ</w:t>
      </w:r>
      <w:r>
        <w:rPr>
          <w:rtl/>
          <w:lang w:bidi="fa-IR"/>
        </w:rPr>
        <w:t xml:space="preserve"> - </w:t>
      </w:r>
      <w:r w:rsidRPr="00132E65">
        <w:rPr>
          <w:rtl/>
          <w:lang w:bidi="fa-IR"/>
        </w:rPr>
        <w:t>عَزَّ وجَلَّ</w:t>
      </w:r>
      <w:r>
        <w:rPr>
          <w:rtl/>
          <w:lang w:bidi="fa-IR"/>
        </w:rPr>
        <w:t xml:space="preserve"> - </w:t>
      </w:r>
      <w:r w:rsidRPr="00132E65">
        <w:rPr>
          <w:rtl/>
          <w:lang w:bidi="fa-IR"/>
        </w:rPr>
        <w:t xml:space="preserve">عَلَى الْعِبَادِ خَمْساً ، أَخَذُوا أَرْبَعاً ، وتَرَكُوا واحِدَةً </w:t>
      </w:r>
      <w:r>
        <w:rPr>
          <w:rStyle w:val="libFootnotenumChar"/>
          <w:rtl/>
        </w:rPr>
        <w:t>(9)</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ف ، بر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(2).</w:t>
      </w:r>
      <w:r w:rsidRPr="00132E65">
        <w:rPr>
          <w:rtl/>
        </w:rPr>
        <w:t xml:space="preserve"> المائدة </w:t>
      </w:r>
      <w:r>
        <w:rPr>
          <w:rtl/>
        </w:rPr>
        <w:t>(5).</w:t>
      </w:r>
      <w:r w:rsidRPr="00132E65">
        <w:rPr>
          <w:rtl/>
        </w:rPr>
        <w:t xml:space="preserve"> : 3. وفي « ف ، بس » وحاشية « بر » :</w:t>
      </w:r>
      <w:r>
        <w:rPr>
          <w:rtl/>
        </w:rPr>
        <w:t xml:space="preserve"> + </w:t>
      </w:r>
      <w:r w:rsidRPr="000B3B50">
        <w:rPr>
          <w:rStyle w:val="libFootnoteAlaemChar"/>
          <w:rtl/>
        </w:rPr>
        <w:t>(</w:t>
      </w:r>
      <w:r w:rsidRPr="000B3B50">
        <w:rPr>
          <w:rStyle w:val="libFootnoteAieChar"/>
          <w:rFonts w:hint="cs"/>
          <w:rtl/>
        </w:rPr>
        <w:t xml:space="preserve"> </w:t>
      </w:r>
      <w:r w:rsidRPr="000B3B50">
        <w:rPr>
          <w:rStyle w:val="libFootnoteAieChar"/>
          <w:rtl/>
        </w:rPr>
        <w:t>وَرَضِيتُ لَكُمُ الْإِسْلامَ دِيناً</w:t>
      </w:r>
      <w:r w:rsidRPr="000B3B50">
        <w:rPr>
          <w:rStyle w:val="libFootnoteAieChar"/>
          <w:rFonts w:hint="cs"/>
          <w:rtl/>
        </w:rPr>
        <w:t xml:space="preserve"> </w:t>
      </w:r>
      <w:r w:rsidRPr="000B3B50">
        <w:rPr>
          <w:rStyle w:val="libFootnoteAlaemChar"/>
          <w:rtl/>
        </w:rPr>
        <w:t>)</w:t>
      </w:r>
      <w:r w:rsidRPr="00132E65">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 « بعده » بدل « بعد هذه »</w:t>
            </w:r>
            <w:r>
              <w:rPr>
                <w:rtl/>
              </w:rPr>
              <w:t>.</w:t>
            </w:r>
          </w:p>
        </w:tc>
        <w:tc>
          <w:tcPr>
            <w:tcW w:w="4006" w:type="dxa"/>
          </w:tcPr>
          <w:p w:rsidR="000C39D1" w:rsidRDefault="000C39D1" w:rsidP="00B53873">
            <w:pPr>
              <w:pStyle w:val="libFootnote0"/>
              <w:rPr>
                <w:rtl/>
              </w:rPr>
            </w:pPr>
            <w:r>
              <w:rPr>
                <w:rtl/>
              </w:rPr>
              <w:t>(4).</w:t>
            </w:r>
            <w:r w:rsidRPr="00132E65">
              <w:rPr>
                <w:rtl/>
              </w:rPr>
              <w:t xml:space="preserve"> </w:t>
            </w:r>
            <w:r w:rsidRPr="009D1ACE">
              <w:rPr>
                <w:rStyle w:val="libFootnoteBoldChar"/>
                <w:rtl/>
              </w:rPr>
              <w:t>الوافي</w:t>
            </w:r>
            <w:r w:rsidRPr="00132E65">
              <w:rPr>
                <w:rtl/>
              </w:rPr>
              <w:t xml:space="preserve"> ، ج 2 ، ص 276 ، ح 747.</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ب ، ه‍ » : « فريضة »</w:t>
            </w:r>
            <w:r>
              <w:rPr>
                <w:rtl/>
              </w:rPr>
              <w:t>.</w:t>
            </w:r>
          </w:p>
        </w:tc>
        <w:tc>
          <w:tcPr>
            <w:tcW w:w="4006" w:type="dxa"/>
          </w:tcPr>
          <w:p w:rsidR="000C39D1" w:rsidRDefault="000C39D1" w:rsidP="00B53873">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2 ، ص 325 ، ح 784.</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xml:space="preserve">« عن أبي جعفر </w:t>
            </w:r>
            <w:r w:rsidRPr="000B3B50">
              <w:rPr>
                <w:rStyle w:val="libFootnoteAlaemChar"/>
                <w:rtl/>
              </w:rPr>
              <w:t>عليه‌السلام</w:t>
            </w:r>
            <w:r w:rsidRPr="00132E65">
              <w:rPr>
                <w:rtl/>
              </w:rPr>
              <w:t xml:space="preserve"> »</w:t>
            </w:r>
            <w:r>
              <w:rPr>
                <w:rtl/>
              </w:rPr>
              <w:t>.</w:t>
            </w:r>
          </w:p>
        </w:tc>
        <w:tc>
          <w:tcPr>
            <w:tcW w:w="4006" w:type="dxa"/>
          </w:tcPr>
          <w:p w:rsidR="000C39D1" w:rsidRDefault="000C39D1" w:rsidP="00B53873">
            <w:pPr>
              <w:pStyle w:val="libFootnote0"/>
              <w:rPr>
                <w:rtl/>
              </w:rPr>
            </w:pPr>
            <w:r>
              <w:rPr>
                <w:rtl/>
              </w:rPr>
              <w:t>(8).</w:t>
            </w:r>
            <w:r w:rsidRPr="00132E65">
              <w:rPr>
                <w:rtl/>
              </w:rPr>
              <w:t xml:space="preserve"> في « ف » : « قال سمعته يقول »</w:t>
            </w:r>
            <w:r>
              <w:rPr>
                <w:rtl/>
              </w:rPr>
              <w:t>.</w:t>
            </w:r>
          </w:p>
        </w:tc>
      </w:tr>
    </w:tbl>
    <w:p w:rsidR="000C39D1" w:rsidRPr="00132E65" w:rsidRDefault="000C39D1" w:rsidP="000C39D1">
      <w:pPr>
        <w:pStyle w:val="libFootnote0"/>
        <w:rPr>
          <w:rtl/>
          <w:lang w:bidi="fa-IR"/>
        </w:rPr>
      </w:pPr>
      <w:r>
        <w:rPr>
          <w:rtl/>
        </w:rPr>
        <w:t>(9).</w:t>
      </w:r>
      <w:r w:rsidRPr="00132E65">
        <w:rPr>
          <w:rtl/>
        </w:rPr>
        <w:t xml:space="preserve"> هكذا في « ألف ، ب ، ج ، ض ، ف ، ه‍ ، بح » و</w:t>
      </w:r>
      <w:r w:rsidRPr="009D1ACE">
        <w:rPr>
          <w:rStyle w:val="libFootnoteBoldChar"/>
          <w:rtl/>
        </w:rPr>
        <w:t>الوافي</w:t>
      </w:r>
      <w:r w:rsidRPr="00132E65">
        <w:rPr>
          <w:rtl/>
        </w:rPr>
        <w:t>. وتقتضيه القو</w:t>
      </w:r>
      <w:r>
        <w:rPr>
          <w:rtl/>
        </w:rPr>
        <w:t>اعد. وفي المطبوع وبعض النسخ : «</w:t>
      </w:r>
      <w:r w:rsidRPr="00132E65">
        <w:rPr>
          <w:rtl/>
        </w:rPr>
        <w:t>واحداً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Pr>
          <w:rtl/>
          <w:lang w:bidi="fa-IR"/>
        </w:rPr>
        <w:lastRenderedPageBreak/>
        <w:t>قُلْتُ : أَ</w:t>
      </w:r>
      <w:r w:rsidRPr="00132E65">
        <w:rPr>
          <w:rtl/>
          <w:lang w:bidi="fa-IR"/>
        </w:rPr>
        <w:t xml:space="preserve">تُسَمِّيهِنَّ لِي </w:t>
      </w:r>
      <w:r>
        <w:rPr>
          <w:rStyle w:val="libFootnotenumChar"/>
          <w:rtl/>
        </w:rPr>
        <w:t>(1)</w:t>
      </w:r>
      <w:r w:rsidRPr="00132E65">
        <w:rPr>
          <w:rtl/>
          <w:lang w:bidi="fa-IR"/>
        </w:rPr>
        <w:t xml:space="preserve"> جُعِلْتُ فِدَاكَ </w:t>
      </w:r>
      <w:r>
        <w:rPr>
          <w:rStyle w:val="libFootnotenumChar"/>
          <w:rtl/>
        </w:rPr>
        <w:t>(2)</w:t>
      </w:r>
      <w:r>
        <w:rPr>
          <w:rtl/>
          <w:lang w:bidi="fa-IR"/>
        </w:rPr>
        <w:t>؟</w:t>
      </w:r>
    </w:p>
    <w:p w:rsidR="000C39D1" w:rsidRPr="00132E65" w:rsidRDefault="000C39D1" w:rsidP="000C39D1">
      <w:pPr>
        <w:pStyle w:val="libNormal"/>
        <w:rPr>
          <w:rtl/>
          <w:lang w:bidi="fa-IR"/>
        </w:rPr>
      </w:pPr>
      <w:r w:rsidRPr="00132E65">
        <w:rPr>
          <w:rtl/>
          <w:lang w:bidi="fa-IR"/>
        </w:rPr>
        <w:t xml:space="preserve">فَقَالَ : « الصَّلَاةُ ، وكَانَ </w:t>
      </w:r>
      <w:r>
        <w:rPr>
          <w:rStyle w:val="libFootnotenumChar"/>
          <w:rtl/>
        </w:rPr>
        <w:t>(3)</w:t>
      </w:r>
      <w:r w:rsidRPr="00132E65">
        <w:rPr>
          <w:rtl/>
          <w:lang w:bidi="fa-IR"/>
        </w:rPr>
        <w:t xml:space="preserve"> النَّاسُ لَايَدْرُونَ كَيْفَ يُصَلُّونَ ، فَنَزَلَ جَبْرَئِيلُ </w:t>
      </w:r>
      <w:r w:rsidRPr="00071CF9">
        <w:rPr>
          <w:rStyle w:val="libAlaemChar"/>
          <w:rtl/>
        </w:rPr>
        <w:t>عليه‌السلام</w:t>
      </w:r>
      <w:r w:rsidRPr="00132E65">
        <w:rPr>
          <w:rtl/>
          <w:lang w:bidi="fa-IR"/>
        </w:rPr>
        <w:t xml:space="preserve"> ، فَقَالَ : يَا مُحَمَّدُ ، أَخْبِرْهُمْ بِمَوَاقِيتِ صَلَاتِهِمْ </w:t>
      </w:r>
      <w:r>
        <w:rPr>
          <w:rStyle w:val="libFootnotenumChar"/>
          <w:rtl/>
        </w:rPr>
        <w:t>(4)</w:t>
      </w:r>
      <w:r w:rsidRPr="000B3B50">
        <w:rPr>
          <w:rFonts w:hint="cs"/>
          <w:rtl/>
        </w:rPr>
        <w:t>.</w:t>
      </w:r>
    </w:p>
    <w:p w:rsidR="000C39D1" w:rsidRPr="00132E65" w:rsidRDefault="000C39D1" w:rsidP="000C39D1">
      <w:pPr>
        <w:pStyle w:val="libNormal"/>
        <w:rPr>
          <w:rtl/>
          <w:lang w:bidi="fa-IR"/>
        </w:rPr>
      </w:pPr>
      <w:r w:rsidRPr="00132E65">
        <w:rPr>
          <w:rtl/>
          <w:lang w:bidi="fa-IR"/>
        </w:rPr>
        <w:t xml:space="preserve">ثُمَّ نَزَلَتِ الزَّكَاةُ ، فَقَالَ : يَا مُحَمَّدُ ، أَخْبِرْهُمْ مِنْ زَكَاتِهِمْ مَا أَخْبَرْتَهُمْ مِنْ </w:t>
      </w:r>
      <w:r>
        <w:rPr>
          <w:rStyle w:val="libFootnotenumChar"/>
          <w:rtl/>
        </w:rPr>
        <w:t>(5)</w:t>
      </w:r>
      <w:r w:rsidRPr="00132E65">
        <w:rPr>
          <w:rtl/>
          <w:lang w:bidi="fa-IR"/>
        </w:rPr>
        <w:t xml:space="preserve"> صَلَاتِهِمْ.</w:t>
      </w:r>
    </w:p>
    <w:p w:rsidR="000C39D1" w:rsidRPr="00132E65" w:rsidRDefault="000C39D1" w:rsidP="000C39D1">
      <w:pPr>
        <w:pStyle w:val="libNormal"/>
        <w:rPr>
          <w:rtl/>
          <w:lang w:bidi="fa-IR"/>
        </w:rPr>
      </w:pPr>
      <w:r w:rsidRPr="00132E65">
        <w:rPr>
          <w:rtl/>
          <w:lang w:bidi="fa-IR"/>
        </w:rPr>
        <w:t xml:space="preserve">ثُمَّ نَزَلَ الصَّوْمُ ، فَكَانَ رَسُولُ اللهِ </w:t>
      </w:r>
      <w:r w:rsidRPr="00071CF9">
        <w:rPr>
          <w:rStyle w:val="libAlaemChar"/>
          <w:rtl/>
        </w:rPr>
        <w:t>صلى‌الله‌عليه‌وآله</w:t>
      </w:r>
      <w:r w:rsidRPr="00132E65">
        <w:rPr>
          <w:rtl/>
          <w:lang w:bidi="fa-IR"/>
        </w:rPr>
        <w:t xml:space="preserve"> إِذَا كَانَ يَوْمُ عَاشُورَاءَ ، بَعَثَ إِلى مَا حَوْلَهُ مِنَ الْقُرى ، فَصَامُوا ذلِكَ الْيَوْمَ ، فَنَزَلَ شَهْرُ رَمَضَانَ بَيْنَ شَعْبَانَ وشَوَّالٍ.</w:t>
      </w:r>
    </w:p>
    <w:p w:rsidR="000C39D1" w:rsidRPr="00132E65" w:rsidRDefault="000C39D1" w:rsidP="000C39D1">
      <w:pPr>
        <w:pStyle w:val="libNormal"/>
        <w:rPr>
          <w:rtl/>
          <w:lang w:bidi="fa-IR"/>
        </w:rPr>
      </w:pPr>
      <w:r w:rsidRPr="00132E65">
        <w:rPr>
          <w:rtl/>
          <w:lang w:bidi="fa-IR"/>
        </w:rPr>
        <w:t xml:space="preserve">ثُمَّ نَزَلَ الْحَجُّ ، فَنَزَلَ جَبْرَئِيلُ </w:t>
      </w:r>
      <w:r w:rsidRPr="00071CF9">
        <w:rPr>
          <w:rStyle w:val="libAlaemChar"/>
          <w:rtl/>
        </w:rPr>
        <w:t>عليه‌السلام</w:t>
      </w:r>
      <w:r w:rsidRPr="00132E65">
        <w:rPr>
          <w:rtl/>
          <w:lang w:bidi="fa-IR"/>
        </w:rPr>
        <w:t xml:space="preserve"> ، فَقَالَ : أَخْبِرْهُمْ مِنْ </w:t>
      </w:r>
      <w:r>
        <w:rPr>
          <w:rStyle w:val="libFootnotenumChar"/>
          <w:rtl/>
        </w:rPr>
        <w:t>(6)</w:t>
      </w:r>
      <w:r w:rsidRPr="00132E65">
        <w:rPr>
          <w:rtl/>
          <w:lang w:bidi="fa-IR"/>
        </w:rPr>
        <w:t xml:space="preserve"> حَجِّهِمْ مَا أَخْبَرْتَهُمْ مِنْ </w:t>
      </w:r>
      <w:r>
        <w:rPr>
          <w:rStyle w:val="libFootnotenumChar"/>
          <w:rtl/>
        </w:rPr>
        <w:t>(7)</w:t>
      </w:r>
      <w:r w:rsidRPr="00132E65">
        <w:rPr>
          <w:rtl/>
          <w:lang w:bidi="fa-IR"/>
        </w:rPr>
        <w:t xml:space="preserve"> صَلَاتِهِمْ وزَكَاتِهِمْ وصَوْمِهِمْ.</w:t>
      </w:r>
    </w:p>
    <w:p w:rsidR="000C39D1" w:rsidRPr="00132E65" w:rsidRDefault="000C39D1" w:rsidP="000C39D1">
      <w:pPr>
        <w:pStyle w:val="libNormal"/>
        <w:rPr>
          <w:rtl/>
          <w:lang w:bidi="fa-IR"/>
        </w:rPr>
      </w:pPr>
      <w:r w:rsidRPr="00132E65">
        <w:rPr>
          <w:rtl/>
          <w:lang w:bidi="fa-IR"/>
        </w:rPr>
        <w:t>ثُمَّ نَزَلَتِ الْوَلَايَةُ ، و</w:t>
      </w:r>
      <w:r>
        <w:rPr>
          <w:rFonts w:hint="cs"/>
          <w:rtl/>
          <w:lang w:bidi="fa-IR"/>
        </w:rPr>
        <w:t>َ</w:t>
      </w:r>
      <w:r w:rsidRPr="00132E65">
        <w:rPr>
          <w:rtl/>
          <w:lang w:bidi="fa-IR"/>
        </w:rPr>
        <w:t>إِنَّمَا أَتَاهُ ذلِكَ فِي يَوْمِ الْجُمُعَةِ بِعَرَفَةَ ، أَنْزَلَ اللهُ عَزَّ و</w:t>
      </w:r>
      <w:r>
        <w:rPr>
          <w:rFonts w:hint="cs"/>
          <w:rtl/>
          <w:lang w:bidi="fa-IR"/>
        </w:rPr>
        <w:t xml:space="preserve">َ </w:t>
      </w:r>
      <w:r w:rsidRPr="00132E65">
        <w:rPr>
          <w:rtl/>
          <w:lang w:bidi="fa-IR"/>
        </w:rPr>
        <w:t>جَلَّ :</w:t>
      </w:r>
      <w:r>
        <w:rPr>
          <w:rFonts w:hint="cs"/>
          <w:rtl/>
          <w:lang w:bidi="fa-IR"/>
        </w:rPr>
        <w:t xml:space="preserve"> </w:t>
      </w:r>
      <w:r w:rsidRPr="00071CF9">
        <w:rPr>
          <w:rStyle w:val="libAlaemChar"/>
          <w:rtl/>
        </w:rPr>
        <w:t>(</w:t>
      </w:r>
      <w:r w:rsidRPr="00071CF9">
        <w:rPr>
          <w:rStyle w:val="libAieChar"/>
          <w:rtl/>
        </w:rPr>
        <w:t xml:space="preserve"> الْيَوْمَ أَكْمَلْتُ لَكُمْ دِينَكُمْ وَأَتْمَمْتُ عَلَيْكُمْ نِعْمَتِي </w:t>
      </w:r>
      <w:r w:rsidRPr="00071CF9">
        <w:rPr>
          <w:rStyle w:val="libAlaemChar"/>
          <w:rtl/>
        </w:rPr>
        <w:t>)</w:t>
      </w:r>
      <w:r w:rsidRPr="00132E65">
        <w:rPr>
          <w:rtl/>
          <w:lang w:bidi="fa-IR"/>
        </w:rPr>
        <w:t xml:space="preserve"> و</w:t>
      </w:r>
      <w:r>
        <w:rPr>
          <w:rFonts w:hint="cs"/>
          <w:rtl/>
          <w:lang w:bidi="fa-IR"/>
        </w:rPr>
        <w:t>َ</w:t>
      </w:r>
      <w:r w:rsidRPr="00132E65">
        <w:rPr>
          <w:rtl/>
          <w:lang w:bidi="fa-IR"/>
        </w:rPr>
        <w:t xml:space="preserve">كَانَ كَمَالُ الدِّينِ بِوَلَايَةِ عَلِيِّ بْنِ أَبِي طَالِبٍ </w:t>
      </w:r>
      <w:r>
        <w:rPr>
          <w:rStyle w:val="libFootnotenumChar"/>
          <w:rtl/>
        </w:rPr>
        <w:t>(8)</w:t>
      </w:r>
      <w:r w:rsidRPr="00132E65">
        <w:rPr>
          <w:rtl/>
          <w:lang w:bidi="fa-IR"/>
        </w:rPr>
        <w:t xml:space="preserve"> </w:t>
      </w:r>
      <w:r w:rsidRPr="00071CF9">
        <w:rPr>
          <w:rStyle w:val="libAlaemChar"/>
          <w:rtl/>
        </w:rPr>
        <w:t>عليه‌السلام</w:t>
      </w:r>
      <w:r w:rsidRPr="00132E65">
        <w:rPr>
          <w:rtl/>
          <w:lang w:bidi="fa-IR"/>
        </w:rPr>
        <w:t xml:space="preserve"> ، فَقَالَ عِنْدَ ذلِكَ رَسُولُ اللهِ </w:t>
      </w:r>
      <w:r w:rsidRPr="00071CF9">
        <w:rPr>
          <w:rStyle w:val="libAlaemChar"/>
          <w:rtl/>
        </w:rPr>
        <w:t>صلى‌الله‌عليه‌وآله</w:t>
      </w:r>
      <w:r w:rsidRPr="00132E65">
        <w:rPr>
          <w:rtl/>
          <w:lang w:bidi="fa-IR"/>
        </w:rPr>
        <w:t xml:space="preserve"> : أُمَّتِي حَدِيثُو </w:t>
      </w:r>
      <w:r>
        <w:rPr>
          <w:rStyle w:val="libFootnotenumChar"/>
          <w:rtl/>
        </w:rPr>
        <w:t>(9)</w:t>
      </w:r>
      <w:r w:rsidRPr="00132E65">
        <w:rPr>
          <w:rtl/>
          <w:lang w:bidi="fa-IR"/>
        </w:rPr>
        <w:t xml:space="preserve"> عَهْدٍ </w:t>
      </w:r>
      <w:r>
        <w:rPr>
          <w:rStyle w:val="libFootnotenumChar"/>
          <w:rtl/>
        </w:rPr>
        <w:t>(10)</w:t>
      </w:r>
      <w:r w:rsidRPr="00132E65">
        <w:rPr>
          <w:rtl/>
          <w:lang w:bidi="fa-IR"/>
        </w:rPr>
        <w:t xml:space="preserve"> بِالْجَاهِلِيَّةِ </w:t>
      </w:r>
      <w:r>
        <w:rPr>
          <w:rStyle w:val="libFootnotenumChar"/>
          <w:rtl/>
        </w:rPr>
        <w:t>(11)</w:t>
      </w:r>
      <w:r w:rsidRPr="00132E65">
        <w:rPr>
          <w:rtl/>
          <w:lang w:bidi="fa-IR"/>
        </w:rPr>
        <w:t xml:space="preserve"> ، وَمَتى أَخْبَرْتُهُمْ بِهذَا فِي ابْنِ عَمِّي ، يَقُولُ قَائِلٌ ، ويَقُولُ قَائِلٌ</w:t>
      </w:r>
      <w:r>
        <w:rPr>
          <w:rtl/>
          <w:lang w:bidi="fa-IR"/>
        </w:rPr>
        <w:t xml:space="preserve"> - </w:t>
      </w:r>
      <w:r w:rsidRPr="00132E65">
        <w:rPr>
          <w:rtl/>
          <w:lang w:bidi="fa-IR"/>
        </w:rPr>
        <w:t>فَقُلْتُ فِي نَفْسِي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(2).</w:t>
      </w:r>
      <w:r w:rsidRPr="00132E65">
        <w:rPr>
          <w:rtl/>
        </w:rPr>
        <w:t xml:space="preserve"> في حاشية « بر » : « جعلني الله فداك »</w:t>
      </w:r>
      <w:r>
        <w:rPr>
          <w:rtl/>
        </w:rPr>
        <w:t>.</w:t>
      </w:r>
    </w:p>
    <w:p w:rsidR="000C39D1" w:rsidRPr="00132E65" w:rsidRDefault="000C39D1" w:rsidP="000C39D1">
      <w:pPr>
        <w:pStyle w:val="libFootnote0"/>
        <w:rPr>
          <w:rtl/>
          <w:lang w:bidi="fa-IR"/>
        </w:rPr>
      </w:pPr>
      <w:r>
        <w:rPr>
          <w:rtl/>
        </w:rPr>
        <w:t>(3).</w:t>
      </w:r>
      <w:r w:rsidRPr="00132E65">
        <w:rPr>
          <w:rtl/>
        </w:rPr>
        <w:t xml:space="preserve"> في « ض » : « فكان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الصلاة »</w:t>
      </w:r>
      <w:r>
        <w:rPr>
          <w:rtl/>
        </w:rPr>
        <w:t>.</w:t>
      </w:r>
    </w:p>
    <w:p w:rsidR="000C39D1" w:rsidRPr="00132E65" w:rsidRDefault="000C39D1" w:rsidP="000C39D1">
      <w:pPr>
        <w:pStyle w:val="libFootnote0"/>
        <w:rPr>
          <w:rtl/>
          <w:lang w:bidi="fa-IR"/>
        </w:rPr>
      </w:pPr>
      <w:r>
        <w:rPr>
          <w:rtl/>
        </w:rPr>
        <w:t>(5).</w:t>
      </w:r>
      <w:r w:rsidRPr="00132E65">
        <w:rPr>
          <w:rtl/>
        </w:rPr>
        <w:t xml:space="preserve"> في حاشية « ج » : « عن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ف » : « عن »</w:t>
            </w:r>
            <w:r>
              <w:rPr>
                <w:rtl/>
              </w:rPr>
              <w:t>.</w:t>
            </w:r>
          </w:p>
        </w:tc>
        <w:tc>
          <w:tcPr>
            <w:tcW w:w="4006" w:type="dxa"/>
          </w:tcPr>
          <w:p w:rsidR="000C39D1" w:rsidRDefault="000C39D1" w:rsidP="00B53873">
            <w:pPr>
              <w:pStyle w:val="libFootnote0"/>
              <w:rPr>
                <w:rtl/>
              </w:rPr>
            </w:pPr>
            <w:r>
              <w:rPr>
                <w:rtl/>
              </w:rPr>
              <w:t>(7).</w:t>
            </w:r>
            <w:r w:rsidRPr="00132E65">
              <w:rPr>
                <w:rtl/>
              </w:rPr>
              <w:t xml:space="preserve"> في « ف » : « عن »</w:t>
            </w:r>
            <w:r>
              <w:rPr>
                <w:rtl/>
              </w:rPr>
              <w:t>.</w:t>
            </w:r>
          </w:p>
        </w:tc>
      </w:tr>
    </w:tbl>
    <w:p w:rsidR="000C39D1" w:rsidRPr="00132E65" w:rsidRDefault="000C39D1" w:rsidP="000C39D1">
      <w:pPr>
        <w:pStyle w:val="libFootnote0"/>
        <w:rPr>
          <w:rtl/>
          <w:lang w:bidi="fa-IR"/>
        </w:rPr>
      </w:pPr>
      <w:r>
        <w:rPr>
          <w:rtl/>
        </w:rPr>
        <w:t>(8).</w:t>
      </w:r>
      <w:r w:rsidRPr="00132E65">
        <w:rPr>
          <w:rtl/>
        </w:rPr>
        <w:t xml:space="preserve"> في « ب ، ه‍ ، ف » وشرح المازندراني </w:t>
      </w:r>
      <w:r>
        <w:rPr>
          <w:rtl/>
        </w:rPr>
        <w:t xml:space="preserve">: - </w:t>
      </w:r>
      <w:r w:rsidRPr="00132E65">
        <w:rPr>
          <w:rtl/>
        </w:rPr>
        <w:t>« بن أبي طالب »</w:t>
      </w:r>
      <w:r>
        <w:rPr>
          <w:rtl/>
        </w:rPr>
        <w:t>.</w:t>
      </w:r>
      <w:r w:rsidRPr="00132E65">
        <w:rPr>
          <w:rtl/>
        </w:rPr>
        <w:t xml:space="preserve"> وفي </w:t>
      </w:r>
      <w:r w:rsidRPr="009D1ACE">
        <w:rPr>
          <w:rStyle w:val="libFootnoteBoldChar"/>
          <w:rtl/>
        </w:rPr>
        <w:t>الوافي</w:t>
      </w:r>
      <w:r w:rsidRPr="00132E65">
        <w:rPr>
          <w:rtl/>
        </w:rPr>
        <w:t xml:space="preserve"> : « إنّما كان كمال الدين بولاية عليّ </w:t>
      </w:r>
      <w:r w:rsidRPr="006E4304">
        <w:rPr>
          <w:rStyle w:val="libFootnoteAlaemChar"/>
          <w:rtl/>
        </w:rPr>
        <w:t>عليه‌السلام</w:t>
      </w:r>
      <w:r w:rsidRPr="00132E65">
        <w:rPr>
          <w:rtl/>
        </w:rPr>
        <w:t xml:space="preserve"> </w:t>
      </w:r>
      <w:r>
        <w:rPr>
          <w:rtl/>
        </w:rPr>
        <w:t>لأنّه‌</w:t>
      </w:r>
      <w:r>
        <w:rPr>
          <w:rFonts w:hint="cs"/>
          <w:rtl/>
        </w:rPr>
        <w:t xml:space="preserve"> </w:t>
      </w:r>
      <w:r>
        <w:rPr>
          <w:rtl/>
        </w:rPr>
        <w:t>لم</w:t>
      </w:r>
      <w:r>
        <w:rPr>
          <w:rFonts w:hint="cs"/>
          <w:rtl/>
        </w:rPr>
        <w:t>ـّا</w:t>
      </w:r>
      <w:r w:rsidRPr="00132E65">
        <w:rPr>
          <w:rtl/>
        </w:rPr>
        <w:t xml:space="preserve"> نصب للناس وليّاً واقيم لهم إماماً صار معوّلهم على أقواله وأفعاله في جميع ما يحتاجون إليه في أمر دينهم ، ثمّ على خليفته من بعده ، وهكذا إلى يوم القيامة ؛ فلم يبق لهم في أمر دينهم مالايمكنهم الوصول إلى علمه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w:t>
            </w:r>
            <w:r w:rsidRPr="009D1ACE">
              <w:rPr>
                <w:rStyle w:val="libFootnoteBoldChar"/>
                <w:rtl/>
              </w:rPr>
              <w:t>الوافي</w:t>
            </w:r>
            <w:r w:rsidRPr="00132E65">
              <w:rPr>
                <w:rtl/>
              </w:rPr>
              <w:t xml:space="preserve"> : « حديث »</w:t>
            </w:r>
            <w:r>
              <w:rPr>
                <w:rtl/>
              </w:rPr>
              <w:t>.</w:t>
            </w:r>
          </w:p>
        </w:tc>
        <w:tc>
          <w:tcPr>
            <w:tcW w:w="4006" w:type="dxa"/>
          </w:tcPr>
          <w:p w:rsidR="000C39D1" w:rsidRDefault="000C39D1" w:rsidP="00B53873">
            <w:pPr>
              <w:pStyle w:val="libFootnote0"/>
              <w:rPr>
                <w:rtl/>
              </w:rPr>
            </w:pPr>
            <w:r>
              <w:rPr>
                <w:rtl/>
              </w:rPr>
              <w:t>(10).</w:t>
            </w:r>
            <w:r w:rsidRPr="00132E65">
              <w:rPr>
                <w:rtl/>
              </w:rPr>
              <w:t xml:space="preserve"> في « ب ، ج » وحاشية « بف » : « العهد »</w:t>
            </w:r>
            <w:r>
              <w:rPr>
                <w:rtl/>
              </w:rPr>
              <w:t>.</w:t>
            </w:r>
          </w:p>
        </w:tc>
      </w:tr>
    </w:tbl>
    <w:p w:rsidR="000C39D1" w:rsidRPr="00132E65" w:rsidRDefault="000C39D1" w:rsidP="000C39D1">
      <w:pPr>
        <w:pStyle w:val="libFootnote0"/>
        <w:rPr>
          <w:rtl/>
          <w:lang w:bidi="fa-IR"/>
        </w:rPr>
      </w:pPr>
      <w:r>
        <w:rPr>
          <w:rtl/>
        </w:rPr>
        <w:t>(11).</w:t>
      </w:r>
      <w:r w:rsidRPr="00132E65">
        <w:rPr>
          <w:rtl/>
        </w:rPr>
        <w:t xml:space="preserve"> « الجاهليّة » : هي الحال التي كانت عليها العرب قبل الإسلام من الجهل بالله ورسوله وشرائع الدين ، والمفاخرة بالأنساب ، والكِبْر والتجبّر ، وغير ذلك. </w:t>
      </w:r>
      <w:r w:rsidRPr="006E281B">
        <w:rPr>
          <w:rtl/>
        </w:rPr>
        <w:t>النهاية</w:t>
      </w:r>
      <w:r w:rsidRPr="00132E65">
        <w:rPr>
          <w:rtl/>
        </w:rPr>
        <w:t xml:space="preserve"> ، ج 1 ، ص 323 ( جهل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غَيْرِ أَنْ يَنْطِقَ بِهِ لِسَانِي </w:t>
      </w:r>
      <w:r>
        <w:rPr>
          <w:rStyle w:val="libFootnotenumChar"/>
          <w:rtl/>
        </w:rPr>
        <w:t>(1)</w:t>
      </w:r>
      <w:r>
        <w:rPr>
          <w:rtl/>
          <w:lang w:bidi="fa-IR"/>
        </w:rPr>
        <w:t xml:space="preserve"> - </w:t>
      </w:r>
      <w:r w:rsidRPr="00132E65">
        <w:rPr>
          <w:rtl/>
          <w:lang w:bidi="fa-IR"/>
        </w:rPr>
        <w:t xml:space="preserve">فَأَتَتْنِي عَزِيمَةٌ </w:t>
      </w:r>
      <w:r>
        <w:rPr>
          <w:rStyle w:val="libFootnotenumChar"/>
          <w:rtl/>
        </w:rPr>
        <w:t>(2)</w:t>
      </w:r>
      <w:r w:rsidRPr="00132E65">
        <w:rPr>
          <w:rtl/>
          <w:lang w:bidi="fa-IR"/>
        </w:rPr>
        <w:t xml:space="preserve"> مِنَ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بَتْلَةٌ </w:t>
      </w:r>
      <w:r>
        <w:rPr>
          <w:rStyle w:val="libFootnotenumChar"/>
          <w:rtl/>
        </w:rPr>
        <w:t>(3)</w:t>
      </w:r>
      <w:r w:rsidRPr="00132E65">
        <w:rPr>
          <w:rtl/>
          <w:lang w:bidi="fa-IR"/>
        </w:rPr>
        <w:t xml:space="preserve"> أَوْعَدَنِي إِنْ لَمْ أُبَلِّغْ أَنْ يُعَذِّبَنِي ، فَنَزَلَتْ : </w:t>
      </w:r>
      <w:r w:rsidRPr="00071CF9">
        <w:rPr>
          <w:rStyle w:val="libAlaemChar"/>
          <w:rtl/>
        </w:rPr>
        <w:t>(</w:t>
      </w:r>
      <w:r w:rsidRPr="00071CF9">
        <w:rPr>
          <w:rStyle w:val="libAieChar"/>
          <w:rtl/>
        </w:rPr>
        <w:t xml:space="preserve"> يا أَيُّهَا الرَّسُولُ بَلِّغْ ما أُنْزِلَ إِلَيْكَ مِنْ رَبِّكَ وَإِنْ لَمْ تَفْعَلْ فَما بَلَّغْتَ رِسالَتَهُ وَاللهُ يَعْصِمُكَ مِنَ النّاسِ إِنَّ اللهَ لا يَهْدِي الْقَوْمَ الْكافِرِينَ </w:t>
      </w:r>
      <w:r w:rsidRPr="00071CF9">
        <w:rPr>
          <w:rStyle w:val="libAlaemChar"/>
          <w:rtl/>
        </w:rPr>
        <w:t>)</w:t>
      </w:r>
      <w:r w:rsidRPr="00132E65">
        <w:rPr>
          <w:rtl/>
          <w:lang w:bidi="fa-IR"/>
        </w:rPr>
        <w:t xml:space="preserve"> فَأَخَذَ رَسُولُ اللهِ </w:t>
      </w:r>
      <w:r w:rsidRPr="00071CF9">
        <w:rPr>
          <w:rStyle w:val="libAlaemChar"/>
          <w:rtl/>
        </w:rPr>
        <w:t>صلى‌الله‌عليه‌وآله</w:t>
      </w:r>
      <w:r w:rsidRPr="00132E65">
        <w:rPr>
          <w:rtl/>
          <w:lang w:bidi="fa-IR"/>
        </w:rPr>
        <w:t xml:space="preserve"> بِيَدِ عَلِيٍّ </w:t>
      </w:r>
      <w:r w:rsidRPr="00071CF9">
        <w:rPr>
          <w:rStyle w:val="libAlaemChar"/>
          <w:rtl/>
        </w:rPr>
        <w:t>عليه‌السلام</w:t>
      </w:r>
      <w:r w:rsidRPr="00132E65">
        <w:rPr>
          <w:rtl/>
          <w:lang w:bidi="fa-IR"/>
        </w:rPr>
        <w:t xml:space="preserve"> ، فَقَالَ </w:t>
      </w:r>
      <w:r>
        <w:rPr>
          <w:rStyle w:val="libFootnotenumChar"/>
          <w:rtl/>
        </w:rPr>
        <w:t>(4)</w:t>
      </w:r>
      <w:r w:rsidRPr="00132E65">
        <w:rPr>
          <w:rtl/>
          <w:lang w:bidi="fa-IR"/>
        </w:rPr>
        <w:t xml:space="preserve"> : أَيُّهَا </w:t>
      </w:r>
      <w:r>
        <w:rPr>
          <w:rStyle w:val="libFootnotenumChar"/>
          <w:rtl/>
        </w:rPr>
        <w:t>(5)</w:t>
      </w:r>
      <w:r w:rsidRPr="00132E65">
        <w:rPr>
          <w:rtl/>
          <w:lang w:bidi="fa-IR"/>
        </w:rPr>
        <w:t xml:space="preserve"> النَّاسُ ، إِنَّهُ لَمْ يَكُنْ نَبِيٌّ مِنَ الْأَنْبِيَ</w:t>
      </w:r>
      <w:r>
        <w:rPr>
          <w:rtl/>
          <w:lang w:bidi="fa-IR"/>
        </w:rPr>
        <w:t>اءِ مِمَّنْ كَانَ قَبْلِي إِل</w:t>
      </w:r>
      <w:r>
        <w:rPr>
          <w:rFonts w:hint="cs"/>
          <w:rtl/>
          <w:lang w:bidi="fa-IR"/>
        </w:rPr>
        <w:t>َّ</w:t>
      </w:r>
      <w:r>
        <w:rPr>
          <w:rtl/>
          <w:lang w:bidi="fa-IR"/>
        </w:rPr>
        <w:t>ا</w:t>
      </w:r>
      <w:r w:rsidRPr="00132E65">
        <w:rPr>
          <w:rtl/>
          <w:lang w:bidi="fa-IR"/>
        </w:rPr>
        <w:t xml:space="preserve"> و</w:t>
      </w:r>
      <w:r>
        <w:rPr>
          <w:rFonts w:hint="cs"/>
          <w:rtl/>
          <w:lang w:bidi="fa-IR"/>
        </w:rPr>
        <w:t xml:space="preserve">َ </w:t>
      </w:r>
      <w:r w:rsidRPr="00132E65">
        <w:rPr>
          <w:rtl/>
          <w:lang w:bidi="fa-IR"/>
        </w:rPr>
        <w:t>قَدْ عَمَّرَهُ اللهُ ، ثُمَّ دَعَاهُ فَأَجَابَهُ ، فَأَوْشَكَ أَنْ أُدْعى فَأُجِيبَ ، و</w:t>
      </w:r>
      <w:r>
        <w:rPr>
          <w:rFonts w:hint="cs"/>
          <w:rtl/>
          <w:lang w:bidi="fa-IR"/>
        </w:rPr>
        <w:t xml:space="preserve">َ </w:t>
      </w:r>
      <w:r w:rsidRPr="00132E65">
        <w:rPr>
          <w:rtl/>
          <w:lang w:bidi="fa-IR"/>
        </w:rPr>
        <w:t>أَنَا مَسْؤُولٌ و</w:t>
      </w:r>
      <w:r>
        <w:rPr>
          <w:rFonts w:hint="cs"/>
          <w:rtl/>
          <w:lang w:bidi="fa-IR"/>
        </w:rPr>
        <w:t xml:space="preserve">َ </w:t>
      </w:r>
      <w:r w:rsidRPr="00132E65">
        <w:rPr>
          <w:rtl/>
          <w:lang w:bidi="fa-IR"/>
        </w:rPr>
        <w:t xml:space="preserve">أَنْتُمْ مَسْؤُولُونَ ؛ فَمَاذَا </w:t>
      </w:r>
      <w:r>
        <w:rPr>
          <w:rStyle w:val="libFootnotenumChar"/>
          <w:rtl/>
        </w:rPr>
        <w:t>(6)</w:t>
      </w:r>
      <w:r w:rsidRPr="00132E65">
        <w:rPr>
          <w:rtl/>
          <w:lang w:bidi="fa-IR"/>
        </w:rPr>
        <w:t xml:space="preserve"> أَنْتُمْ قَائِلُونَ</w:t>
      </w:r>
      <w:r>
        <w:rPr>
          <w:rtl/>
          <w:lang w:bidi="fa-IR"/>
        </w:rPr>
        <w:t>؟</w:t>
      </w:r>
    </w:p>
    <w:p w:rsidR="000C39D1" w:rsidRPr="00132E65" w:rsidRDefault="000C39D1" w:rsidP="000C39D1">
      <w:pPr>
        <w:pStyle w:val="libNormal"/>
        <w:rPr>
          <w:rtl/>
          <w:lang w:bidi="fa-IR"/>
        </w:rPr>
      </w:pPr>
      <w:r w:rsidRPr="00132E65">
        <w:rPr>
          <w:rtl/>
          <w:lang w:bidi="fa-IR"/>
        </w:rPr>
        <w:t xml:space="preserve">فَقَالُوا </w:t>
      </w:r>
      <w:r>
        <w:rPr>
          <w:rStyle w:val="libFootnotenumChar"/>
          <w:rtl/>
        </w:rPr>
        <w:t>(7)</w:t>
      </w:r>
      <w:r w:rsidRPr="00132E65">
        <w:rPr>
          <w:rtl/>
          <w:lang w:bidi="fa-IR"/>
        </w:rPr>
        <w:t xml:space="preserve"> : نَشْهَدُ أَنَّكَ قَدْ بَلَّغْتَ ، و</w:t>
      </w:r>
      <w:r>
        <w:rPr>
          <w:rFonts w:hint="cs"/>
          <w:rtl/>
          <w:lang w:bidi="fa-IR"/>
        </w:rPr>
        <w:t>َ</w:t>
      </w:r>
      <w:r w:rsidRPr="00132E65">
        <w:rPr>
          <w:rtl/>
          <w:lang w:bidi="fa-IR"/>
        </w:rPr>
        <w:t xml:space="preserve">نَصَحْتَ </w:t>
      </w:r>
      <w:r>
        <w:rPr>
          <w:rStyle w:val="libFootnotenumChar"/>
          <w:rtl/>
        </w:rPr>
        <w:t>(8)</w:t>
      </w:r>
      <w:r w:rsidRPr="00132E65">
        <w:rPr>
          <w:rtl/>
          <w:lang w:bidi="fa-IR"/>
        </w:rPr>
        <w:t xml:space="preserve"> ، و</w:t>
      </w:r>
      <w:r>
        <w:rPr>
          <w:rFonts w:hint="cs"/>
          <w:rtl/>
          <w:lang w:bidi="fa-IR"/>
        </w:rPr>
        <w:t xml:space="preserve">َ </w:t>
      </w:r>
      <w:r w:rsidRPr="00132E65">
        <w:rPr>
          <w:rtl/>
          <w:lang w:bidi="fa-IR"/>
        </w:rPr>
        <w:t>أَدَّيْتَ مَا عَلَيْكَ ؛ فَجَزَاكَ اللهُ أَفْضَلَ جَزَاءِ الْمُرْسَلِينَ.</w:t>
      </w:r>
    </w:p>
    <w:p w:rsidR="000C39D1" w:rsidRPr="00132E65" w:rsidRDefault="000C39D1" w:rsidP="000C39D1">
      <w:pPr>
        <w:pStyle w:val="libNormal"/>
        <w:rPr>
          <w:rtl/>
          <w:lang w:bidi="fa-IR"/>
        </w:rPr>
      </w:pPr>
      <w:r w:rsidRPr="00132E65">
        <w:rPr>
          <w:rtl/>
          <w:lang w:bidi="fa-IR"/>
        </w:rPr>
        <w:t>فَقَالَ : الل</w:t>
      </w:r>
      <w:r>
        <w:rPr>
          <w:rFonts w:hint="cs"/>
          <w:rtl/>
          <w:lang w:bidi="fa-IR"/>
        </w:rPr>
        <w:t>ّ</w:t>
      </w:r>
      <w:r w:rsidRPr="00132E65">
        <w:rPr>
          <w:rtl/>
          <w:lang w:bidi="fa-IR"/>
        </w:rPr>
        <w:t>هُمَّ اشْهَدْ</w:t>
      </w:r>
      <w:r>
        <w:rPr>
          <w:rtl/>
          <w:lang w:bidi="fa-IR"/>
        </w:rPr>
        <w:t xml:space="preserve"> - </w:t>
      </w:r>
      <w:r w:rsidRPr="00132E65">
        <w:rPr>
          <w:rtl/>
          <w:lang w:bidi="fa-IR"/>
        </w:rPr>
        <w:t>ثَلَاثَ مَرَّاتٍ</w:t>
      </w:r>
      <w:r>
        <w:rPr>
          <w:rtl/>
          <w:lang w:bidi="fa-IR"/>
        </w:rPr>
        <w:t xml:space="preserve"> - </w:t>
      </w:r>
      <w:r w:rsidRPr="00132E65">
        <w:rPr>
          <w:rtl/>
          <w:lang w:bidi="fa-IR"/>
        </w:rPr>
        <w:t xml:space="preserve">ثُمَّ قَالَ : يَا مَعْشَرَ </w:t>
      </w:r>
      <w:r>
        <w:rPr>
          <w:rStyle w:val="libFootnotenumChar"/>
          <w:rtl/>
        </w:rPr>
        <w:t>(9)</w:t>
      </w:r>
      <w:r w:rsidRPr="00132E65">
        <w:rPr>
          <w:rtl/>
          <w:lang w:bidi="fa-IR"/>
        </w:rPr>
        <w:t xml:space="preserve"> الْمُسْلِمِينَ ، هذَا و</w:t>
      </w:r>
      <w:r>
        <w:rPr>
          <w:rFonts w:hint="cs"/>
          <w:rtl/>
          <w:lang w:bidi="fa-IR"/>
        </w:rPr>
        <w:t>َ</w:t>
      </w:r>
      <w:r w:rsidRPr="00132E65">
        <w:rPr>
          <w:rtl/>
          <w:lang w:bidi="fa-IR"/>
        </w:rPr>
        <w:t xml:space="preserve">لِيُّكُمْ مِنْ بَعْدِي ؛ فَلْيُبَلِّغِ الشَّاهِدُ مِنْكُمُ </w:t>
      </w:r>
      <w:r>
        <w:rPr>
          <w:rStyle w:val="libFootnotenumChar"/>
          <w:rtl/>
        </w:rPr>
        <w:t>(10)</w:t>
      </w:r>
      <w:r w:rsidRPr="00132E65">
        <w:rPr>
          <w:rtl/>
          <w:lang w:bidi="fa-IR"/>
        </w:rPr>
        <w:t xml:space="preserve"> الْغَائِبَ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لسانه »</w:t>
      </w:r>
      <w:r>
        <w:rPr>
          <w:rtl/>
        </w:rPr>
        <w:t>.</w:t>
      </w:r>
    </w:p>
    <w:p w:rsidR="000C39D1" w:rsidRPr="00132E65" w:rsidRDefault="000C39D1" w:rsidP="000C39D1">
      <w:pPr>
        <w:pStyle w:val="libFootnote0"/>
        <w:rPr>
          <w:rtl/>
          <w:lang w:bidi="fa-IR"/>
        </w:rPr>
      </w:pPr>
      <w:r>
        <w:rPr>
          <w:rtl/>
        </w:rPr>
        <w:t>(2).</w:t>
      </w:r>
      <w:r w:rsidRPr="00132E65">
        <w:rPr>
          <w:rtl/>
        </w:rPr>
        <w:t xml:space="preserve"> « عزيمة » ، أي آية حتم لا رخصة فيها ، من قولهم : عَزائم الله تعالى ، أي موجباته. والأمر المقطوع الذي لا ريب ولا شبهة ولا تأويل فيه ولا نسخ. أو هي فرائضه التي أوجبها وأمرنا بها. راجع : </w:t>
      </w:r>
      <w:r w:rsidRPr="009D1ACE">
        <w:rPr>
          <w:rStyle w:val="libFootnoteBoldChar"/>
          <w:rtl/>
        </w:rPr>
        <w:t>لسان العرب</w:t>
      </w:r>
      <w:r w:rsidRPr="00132E65">
        <w:rPr>
          <w:rtl/>
        </w:rPr>
        <w:t xml:space="preserve"> ، ج 12 ، ص 400 ؛ </w:t>
      </w:r>
      <w:r w:rsidRPr="006E281B">
        <w:rPr>
          <w:rtl/>
        </w:rPr>
        <w:t>مجمع البحرين</w:t>
      </w:r>
      <w:r w:rsidRPr="00132E65">
        <w:rPr>
          <w:rtl/>
        </w:rPr>
        <w:t xml:space="preserve"> ، ج 6 ، ص 114 ( عزم )</w:t>
      </w:r>
      <w:r>
        <w:rPr>
          <w:rtl/>
        </w:rPr>
        <w:t>.</w:t>
      </w:r>
    </w:p>
    <w:p w:rsidR="000C39D1" w:rsidRPr="00132E65" w:rsidRDefault="000C39D1" w:rsidP="000C39D1">
      <w:pPr>
        <w:pStyle w:val="libFootnote0"/>
        <w:rPr>
          <w:rtl/>
          <w:lang w:bidi="fa-IR"/>
        </w:rPr>
      </w:pPr>
      <w:r>
        <w:rPr>
          <w:rtl/>
        </w:rPr>
        <w:t>(3).</w:t>
      </w:r>
      <w:r w:rsidRPr="00132E65">
        <w:rPr>
          <w:rtl/>
        </w:rPr>
        <w:t xml:space="preserve"> « بتلة » ، أي فريضة جازمة مقطوع بها غير مردودة ، ومحكمة لا تردّ ولا تتبدّل ولا يتطرّق إليها نقص. والكلمة هنا مشتقّة صفة لعزيمة ، فهي مرفوعة. ويحتمل كونها منصوبة بالحاليّة عن عزيمة ؛ لتخصّصها بقوله : « من الله »</w:t>
      </w:r>
      <w:r>
        <w:rPr>
          <w:rtl/>
        </w:rPr>
        <w:t>.</w:t>
      </w:r>
      <w:r w:rsidRPr="00132E65">
        <w:rPr>
          <w:rtl/>
        </w:rPr>
        <w:t xml:space="preserve"> راجع : </w:t>
      </w:r>
      <w:r w:rsidRPr="006E281B">
        <w:rPr>
          <w:rtl/>
        </w:rPr>
        <w:t>النهاية</w:t>
      </w:r>
      <w:r w:rsidRPr="00132E65">
        <w:rPr>
          <w:rtl/>
        </w:rPr>
        <w:t xml:space="preserve"> ، ج 1 ، ص 94 ( بتل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وقال »</w:t>
      </w:r>
      <w:r>
        <w:rPr>
          <w:rtl/>
        </w:rPr>
        <w:t>.</w:t>
      </w:r>
    </w:p>
    <w:p w:rsidR="000C39D1" w:rsidRPr="00132E65" w:rsidRDefault="000C39D1" w:rsidP="000C39D1">
      <w:pPr>
        <w:pStyle w:val="libFootnote0"/>
        <w:rPr>
          <w:rtl/>
          <w:lang w:bidi="fa-IR"/>
        </w:rPr>
      </w:pPr>
      <w:r>
        <w:rPr>
          <w:rtl/>
        </w:rPr>
        <w:t>(5).</w:t>
      </w:r>
      <w:r w:rsidRPr="00132E65">
        <w:rPr>
          <w:rtl/>
        </w:rPr>
        <w:t xml:space="preserve"> في « ب ، ض ، ف ، بس ، بف » : « يا أيّها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w:t>
            </w:r>
            <w:r w:rsidRPr="009D1ACE">
              <w:rPr>
                <w:rStyle w:val="libFootnoteBoldChar"/>
                <w:rtl/>
              </w:rPr>
              <w:t>مرآة العقول</w:t>
            </w:r>
            <w:r w:rsidRPr="00132E65">
              <w:rPr>
                <w:rtl/>
              </w:rPr>
              <w:t xml:space="preserve"> : « ماذا »</w:t>
            </w:r>
            <w:r>
              <w:rPr>
                <w:rtl/>
              </w:rPr>
              <w:t>.</w:t>
            </w:r>
          </w:p>
        </w:tc>
        <w:tc>
          <w:tcPr>
            <w:tcW w:w="4006" w:type="dxa"/>
          </w:tcPr>
          <w:p w:rsidR="000C39D1" w:rsidRDefault="000C39D1" w:rsidP="00B53873">
            <w:pPr>
              <w:pStyle w:val="libFootnote0"/>
              <w:rPr>
                <w:rtl/>
              </w:rPr>
            </w:pPr>
            <w:r>
              <w:rPr>
                <w:rtl/>
              </w:rPr>
              <w:t>(7).</w:t>
            </w:r>
            <w:r w:rsidRPr="00132E65">
              <w:rPr>
                <w:rtl/>
              </w:rPr>
              <w:t xml:space="preserve"> في « ب ، ه‍ » : « قالوا »</w:t>
            </w:r>
            <w:r>
              <w:rPr>
                <w:rtl/>
              </w:rPr>
              <w:t>.</w:t>
            </w:r>
          </w:p>
        </w:tc>
      </w:tr>
    </w:tbl>
    <w:p w:rsidR="000C39D1" w:rsidRPr="00132E65" w:rsidRDefault="000C39D1" w:rsidP="000C39D1">
      <w:pPr>
        <w:pStyle w:val="libFootnote0"/>
        <w:rPr>
          <w:rtl/>
          <w:lang w:bidi="fa-IR"/>
        </w:rPr>
      </w:pPr>
      <w:r>
        <w:rPr>
          <w:rtl/>
        </w:rPr>
        <w:t>(8).</w:t>
      </w:r>
      <w:r w:rsidRPr="00132E65">
        <w:rPr>
          <w:rtl/>
        </w:rPr>
        <w:t xml:space="preserve"> قال ابن الأثير : « النصيحة : كلمة يعبّر بها عن جملة هي إرادة الخير للمنصوح له ، وليس يمكن أن يعبّر هذا المعنى بكلمة واحدة تجمع معناه غيرها. وأصل النصح في اللغة الخلوص ، يقال : نصحته ونصحت له »</w:t>
      </w:r>
      <w:r>
        <w:rPr>
          <w:rtl/>
        </w:rPr>
        <w:t>.</w:t>
      </w:r>
      <w:r w:rsidRPr="00132E65">
        <w:rPr>
          <w:rtl/>
        </w:rPr>
        <w:t xml:space="preserve"> </w:t>
      </w:r>
      <w:r w:rsidRPr="006E281B">
        <w:rPr>
          <w:rtl/>
        </w:rPr>
        <w:t>النهاية</w:t>
      </w:r>
      <w:r w:rsidRPr="00132E65">
        <w:rPr>
          <w:rtl/>
        </w:rPr>
        <w:t xml:space="preserve"> ، ج 5 ، ص 63 ( نصح )</w:t>
      </w:r>
      <w:r>
        <w:rPr>
          <w:rtl/>
        </w:rPr>
        <w:t>.</w:t>
      </w:r>
    </w:p>
    <w:p w:rsidR="000C39D1" w:rsidRPr="00132E65" w:rsidRDefault="000C39D1" w:rsidP="000C39D1">
      <w:pPr>
        <w:pStyle w:val="libFootnote0"/>
        <w:rPr>
          <w:rtl/>
          <w:lang w:bidi="fa-IR"/>
        </w:rPr>
      </w:pPr>
      <w:r>
        <w:rPr>
          <w:rtl/>
        </w:rPr>
        <w:t>(9). « الم</w:t>
      </w:r>
      <w:r>
        <w:rPr>
          <w:rFonts w:hint="cs"/>
          <w:rtl/>
        </w:rPr>
        <w:t>ـَ</w:t>
      </w:r>
      <w:r w:rsidRPr="00132E65">
        <w:rPr>
          <w:rtl/>
        </w:rPr>
        <w:t xml:space="preserve">عْشَر » : كلّ جماعة أمرهم واحد ، أو جماعة الناس. راجع : </w:t>
      </w:r>
      <w:r w:rsidRPr="006E281B">
        <w:rPr>
          <w:rtl/>
        </w:rPr>
        <w:t>ترتيب كتاب العين</w:t>
      </w:r>
      <w:r w:rsidRPr="00132E65">
        <w:rPr>
          <w:rtl/>
        </w:rPr>
        <w:t xml:space="preserve"> ، ج 2 ، ص 1206 ؛ </w:t>
      </w:r>
      <w:r w:rsidRPr="006E281B">
        <w:rPr>
          <w:rtl/>
        </w:rPr>
        <w:t>الصحاح</w:t>
      </w:r>
      <w:r w:rsidRPr="00132E65">
        <w:rPr>
          <w:rtl/>
        </w:rPr>
        <w:t xml:space="preserve"> ، ج 2 ، ص 747 ( عشر )</w:t>
      </w:r>
      <w:r>
        <w:rPr>
          <w:rtl/>
        </w:rPr>
        <w:t>.</w:t>
      </w:r>
      <w:r>
        <w:rPr>
          <w:rFonts w:hint="cs"/>
          <w:rtl/>
        </w:rPr>
        <w:t xml:space="preserve">                     </w:t>
      </w:r>
      <w:r>
        <w:rPr>
          <w:rtl/>
        </w:rPr>
        <w:t>(10).</w:t>
      </w:r>
      <w:r w:rsidRPr="00132E65">
        <w:rPr>
          <w:rtl/>
        </w:rPr>
        <w:t xml:space="preserve"> في « ف » وتفسير العيّاشي </w:t>
      </w:r>
      <w:r>
        <w:rPr>
          <w:rtl/>
        </w:rPr>
        <w:t xml:space="preserve">: - </w:t>
      </w:r>
      <w:r w:rsidRPr="00132E65">
        <w:rPr>
          <w:rtl/>
        </w:rPr>
        <w:t>« منكم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قَالَ أَبُو جَعْفَرٍ </w:t>
      </w:r>
      <w:r w:rsidRPr="00071CF9">
        <w:rPr>
          <w:rStyle w:val="libAlaemChar"/>
          <w:rtl/>
        </w:rPr>
        <w:t>عليه‌السلام</w:t>
      </w:r>
      <w:r w:rsidRPr="00132E65">
        <w:rPr>
          <w:rtl/>
          <w:lang w:bidi="fa-IR"/>
        </w:rPr>
        <w:t xml:space="preserve"> : « كَانَ و</w:t>
      </w:r>
      <w:r>
        <w:rPr>
          <w:rFonts w:hint="cs"/>
          <w:rtl/>
          <w:lang w:bidi="fa-IR"/>
        </w:rPr>
        <w:t>َ</w:t>
      </w:r>
      <w:r w:rsidRPr="00132E65">
        <w:rPr>
          <w:rtl/>
          <w:lang w:bidi="fa-IR"/>
        </w:rPr>
        <w:t xml:space="preserve">اللهِ </w:t>
      </w:r>
      <w:r>
        <w:rPr>
          <w:rStyle w:val="libFootnotenumChar"/>
          <w:rtl/>
        </w:rPr>
        <w:t>(1)</w:t>
      </w:r>
      <w:r w:rsidRPr="00132E65">
        <w:rPr>
          <w:rtl/>
          <w:lang w:bidi="fa-IR"/>
        </w:rPr>
        <w:t xml:space="preserve"> أَمِينَ اللهِ عَلى خَلْقِهِ وغَيْبِهِ و</w:t>
      </w:r>
      <w:r>
        <w:rPr>
          <w:rFonts w:hint="cs"/>
          <w:rtl/>
          <w:lang w:bidi="fa-IR"/>
        </w:rPr>
        <w:t>َ</w:t>
      </w:r>
      <w:r w:rsidRPr="00132E65">
        <w:rPr>
          <w:rtl/>
          <w:lang w:bidi="fa-IR"/>
        </w:rPr>
        <w:t xml:space="preserve">دِينِهِ الَّذِي ارْتَضَاهُ </w:t>
      </w:r>
      <w:r>
        <w:rPr>
          <w:rStyle w:val="libFootnotenumChar"/>
          <w:rtl/>
        </w:rPr>
        <w:t>(2)</w:t>
      </w:r>
      <w:r w:rsidRPr="00132E65">
        <w:rPr>
          <w:rtl/>
          <w:lang w:bidi="fa-IR"/>
        </w:rPr>
        <w:t xml:space="preserve"> لِنَفْسِهِ.</w:t>
      </w:r>
    </w:p>
    <w:p w:rsidR="000C39D1" w:rsidRPr="00132E65" w:rsidRDefault="000C39D1" w:rsidP="000C39D1">
      <w:pPr>
        <w:pStyle w:val="libNormal"/>
        <w:rPr>
          <w:rtl/>
          <w:lang w:bidi="fa-IR"/>
        </w:rPr>
      </w:pPr>
      <w:r w:rsidRPr="00132E65">
        <w:rPr>
          <w:rtl/>
          <w:lang w:bidi="fa-IR"/>
        </w:rPr>
        <w:t xml:space="preserve">ثُمَّ إِنَّ رَسُولَ اللهِ </w:t>
      </w:r>
      <w:r w:rsidRPr="00071CF9">
        <w:rPr>
          <w:rStyle w:val="libAlaemChar"/>
          <w:rtl/>
        </w:rPr>
        <w:t>صلى‌الله‌عليه‌وآله</w:t>
      </w:r>
      <w:r w:rsidRPr="00132E65">
        <w:rPr>
          <w:rtl/>
          <w:lang w:bidi="fa-IR"/>
        </w:rPr>
        <w:t xml:space="preserve"> حَضَرَهُ الَّذِي حَضَرَ </w:t>
      </w:r>
      <w:r>
        <w:rPr>
          <w:rStyle w:val="libFootnotenumChar"/>
          <w:rtl/>
        </w:rPr>
        <w:t>(3)</w:t>
      </w:r>
      <w:r w:rsidRPr="00132E65">
        <w:rPr>
          <w:rtl/>
          <w:lang w:bidi="fa-IR"/>
        </w:rPr>
        <w:t xml:space="preserve"> ، فَدَعَا عَلِيّاً </w:t>
      </w:r>
      <w:r w:rsidRPr="00071CF9">
        <w:rPr>
          <w:rStyle w:val="libAlaemChar"/>
          <w:rtl/>
        </w:rPr>
        <w:t>عليه‌السلام</w:t>
      </w:r>
      <w:r w:rsidRPr="00132E65">
        <w:rPr>
          <w:rtl/>
          <w:lang w:bidi="fa-IR"/>
        </w:rPr>
        <w:t xml:space="preserve"> ، فَقَالَ : يَا عَلِيُّ ، إِنِّي </w:t>
      </w:r>
      <w:r>
        <w:rPr>
          <w:rStyle w:val="libFootnotenumChar"/>
          <w:rtl/>
        </w:rPr>
        <w:t>(4)</w:t>
      </w:r>
      <w:r w:rsidRPr="00132E65">
        <w:rPr>
          <w:rtl/>
          <w:lang w:bidi="fa-IR"/>
        </w:rPr>
        <w:t xml:space="preserve"> أُرِيدُ أَنْ أَئْتَمِنَكَ عَلى مَا ائْتَمَنَنِيَ اللهُ عَلَيْهِ مِنْ غَيْبِهِ و</w:t>
      </w:r>
      <w:r>
        <w:rPr>
          <w:rFonts w:hint="cs"/>
          <w:rtl/>
          <w:lang w:bidi="fa-IR"/>
        </w:rPr>
        <w:t xml:space="preserve">َ </w:t>
      </w:r>
      <w:r w:rsidRPr="00132E65">
        <w:rPr>
          <w:rtl/>
          <w:lang w:bidi="fa-IR"/>
        </w:rPr>
        <w:t>عِلْمِهِ ، و</w:t>
      </w:r>
      <w:r>
        <w:rPr>
          <w:rFonts w:hint="cs"/>
          <w:rtl/>
          <w:lang w:bidi="fa-IR"/>
        </w:rPr>
        <w:t xml:space="preserve">َ </w:t>
      </w:r>
      <w:r w:rsidRPr="00132E65">
        <w:rPr>
          <w:rtl/>
          <w:lang w:bidi="fa-IR"/>
        </w:rPr>
        <w:t xml:space="preserve">مِنْ </w:t>
      </w:r>
      <w:r>
        <w:rPr>
          <w:rStyle w:val="libFootnotenumChar"/>
          <w:rtl/>
        </w:rPr>
        <w:t>(5)</w:t>
      </w:r>
      <w:r w:rsidRPr="00132E65">
        <w:rPr>
          <w:rtl/>
          <w:lang w:bidi="fa-IR"/>
        </w:rPr>
        <w:t xml:space="preserve"> خَلْقِهِ ، و</w:t>
      </w:r>
      <w:r>
        <w:rPr>
          <w:rFonts w:hint="cs"/>
          <w:rtl/>
          <w:lang w:bidi="fa-IR"/>
        </w:rPr>
        <w:t xml:space="preserve">َ </w:t>
      </w:r>
      <w:r w:rsidRPr="00132E65">
        <w:rPr>
          <w:rtl/>
          <w:lang w:bidi="fa-IR"/>
        </w:rPr>
        <w:t>مِنْ دِينِهِ الَّذِي ارْتَضَاهُ لِنَفْسِهِ ، فَلَمْ يُشْرِكْ واللهِ فِيهَا</w:t>
      </w:r>
      <w:r>
        <w:rPr>
          <w:rtl/>
          <w:lang w:bidi="fa-IR"/>
        </w:rPr>
        <w:t xml:space="preserve"> - </w:t>
      </w:r>
      <w:r w:rsidRPr="00132E65">
        <w:rPr>
          <w:rtl/>
          <w:lang w:bidi="fa-IR"/>
        </w:rPr>
        <w:t xml:space="preserve">يَا زِيَادُ </w:t>
      </w:r>
      <w:r>
        <w:rPr>
          <w:rStyle w:val="libFootnotenumChar"/>
          <w:rtl/>
        </w:rPr>
        <w:t>(6)</w:t>
      </w:r>
      <w:r>
        <w:rPr>
          <w:rtl/>
          <w:lang w:bidi="fa-IR"/>
        </w:rPr>
        <w:t xml:space="preserve"> - </w:t>
      </w:r>
      <w:r w:rsidRPr="00132E65">
        <w:rPr>
          <w:rtl/>
          <w:lang w:bidi="fa-IR"/>
        </w:rPr>
        <w:t>أَحَداً مِنَ الْخَلْقِ.</w:t>
      </w:r>
    </w:p>
    <w:p w:rsidR="000C39D1" w:rsidRPr="00132E65" w:rsidRDefault="000C39D1" w:rsidP="000C39D1">
      <w:pPr>
        <w:pStyle w:val="libNormal"/>
        <w:rPr>
          <w:rtl/>
          <w:lang w:bidi="fa-IR"/>
        </w:rPr>
      </w:pPr>
      <w:r w:rsidRPr="00132E65">
        <w:rPr>
          <w:rtl/>
          <w:lang w:bidi="fa-IR"/>
        </w:rPr>
        <w:t xml:space="preserve">ثُمَّ إِنَّ عَلِيّاً </w:t>
      </w:r>
      <w:r w:rsidRPr="00071CF9">
        <w:rPr>
          <w:rStyle w:val="libAlaemChar"/>
          <w:rtl/>
        </w:rPr>
        <w:t>عليه‌السلام</w:t>
      </w:r>
      <w:r w:rsidRPr="00132E65">
        <w:rPr>
          <w:rtl/>
          <w:lang w:bidi="fa-IR"/>
        </w:rPr>
        <w:t xml:space="preserve"> حَضَرَهُ الَّذِي حَضَرَهُ ، فَدَعَا و</w:t>
      </w:r>
      <w:r>
        <w:rPr>
          <w:rFonts w:hint="cs"/>
          <w:rtl/>
          <w:lang w:bidi="fa-IR"/>
        </w:rPr>
        <w:t>ُ</w:t>
      </w:r>
      <w:r w:rsidRPr="00132E65">
        <w:rPr>
          <w:rtl/>
          <w:lang w:bidi="fa-IR"/>
        </w:rPr>
        <w:t>لْدَهُ</w:t>
      </w:r>
      <w:r>
        <w:rPr>
          <w:rtl/>
          <w:lang w:bidi="fa-IR"/>
        </w:rPr>
        <w:t xml:space="preserve"> - </w:t>
      </w:r>
      <w:r w:rsidRPr="00132E65">
        <w:rPr>
          <w:rtl/>
          <w:lang w:bidi="fa-IR"/>
        </w:rPr>
        <w:t>و</w:t>
      </w:r>
      <w:r>
        <w:rPr>
          <w:rFonts w:hint="cs"/>
          <w:rtl/>
          <w:lang w:bidi="fa-IR"/>
        </w:rPr>
        <w:t>َ</w:t>
      </w:r>
      <w:r w:rsidRPr="00132E65">
        <w:rPr>
          <w:rtl/>
          <w:lang w:bidi="fa-IR"/>
        </w:rPr>
        <w:t>كَانُوا اثْنَيْ عَشَرَ ذَكَراً</w:t>
      </w:r>
      <w:r>
        <w:rPr>
          <w:rtl/>
          <w:lang w:bidi="fa-IR"/>
        </w:rPr>
        <w:t xml:space="preserve"> - </w:t>
      </w:r>
      <w:r w:rsidRPr="00132E65">
        <w:rPr>
          <w:rtl/>
          <w:lang w:bidi="fa-IR"/>
        </w:rPr>
        <w:t>فَقَالَ لَهُمْ :</w:t>
      </w:r>
      <w:r>
        <w:rPr>
          <w:rFonts w:hint="cs"/>
          <w:rtl/>
          <w:lang w:bidi="fa-IR"/>
        </w:rPr>
        <w:t xml:space="preserve"> </w:t>
      </w:r>
      <w:r w:rsidRPr="00132E65">
        <w:rPr>
          <w:rtl/>
          <w:lang w:bidi="fa-IR"/>
        </w:rPr>
        <w:t>يَا بَنِيَّ ، إِنَّ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قَدْ أَبى إِل</w:t>
      </w:r>
      <w:r>
        <w:rPr>
          <w:rFonts w:hint="cs"/>
          <w:rtl/>
          <w:lang w:bidi="fa-IR"/>
        </w:rPr>
        <w:t>َّ</w:t>
      </w:r>
      <w:r>
        <w:rPr>
          <w:rtl/>
          <w:lang w:bidi="fa-IR"/>
        </w:rPr>
        <w:t>ا</w:t>
      </w:r>
      <w:r w:rsidRPr="00132E65">
        <w:rPr>
          <w:rtl/>
          <w:lang w:bidi="fa-IR"/>
        </w:rPr>
        <w:t xml:space="preserve"> أَنْ يَجْعَلَ فِيَّ سُنَّةً </w:t>
      </w:r>
      <w:r>
        <w:rPr>
          <w:rStyle w:val="libFootnotenumChar"/>
          <w:rtl/>
        </w:rPr>
        <w:t>(7)</w:t>
      </w:r>
      <w:r w:rsidRPr="00132E65">
        <w:rPr>
          <w:rtl/>
          <w:lang w:bidi="fa-IR"/>
        </w:rPr>
        <w:t xml:space="preserve"> مِنْ يَعْقُوبَ ، و</w:t>
      </w:r>
      <w:r>
        <w:rPr>
          <w:rFonts w:hint="cs"/>
          <w:rtl/>
          <w:lang w:bidi="fa-IR"/>
        </w:rPr>
        <w:t xml:space="preserve">َ </w:t>
      </w:r>
      <w:r w:rsidRPr="00132E65">
        <w:rPr>
          <w:rtl/>
          <w:lang w:bidi="fa-IR"/>
        </w:rPr>
        <w:t>إِنَّ يَعْقُوبَ دَعَا وُلْدَهُ</w:t>
      </w:r>
      <w:r>
        <w:rPr>
          <w:rtl/>
          <w:lang w:bidi="fa-IR"/>
        </w:rPr>
        <w:t xml:space="preserve"> - </w:t>
      </w:r>
      <w:r w:rsidRPr="00132E65">
        <w:rPr>
          <w:rtl/>
          <w:lang w:bidi="fa-IR"/>
        </w:rPr>
        <w:t>وكَانُوا اثْنَيْ عَشَرَ ذَكَراً</w:t>
      </w:r>
      <w:r>
        <w:rPr>
          <w:rtl/>
          <w:lang w:bidi="fa-IR"/>
        </w:rPr>
        <w:t xml:space="preserve"> - </w:t>
      </w:r>
      <w:r w:rsidRPr="00132E65">
        <w:rPr>
          <w:rtl/>
          <w:lang w:bidi="fa-IR"/>
        </w:rPr>
        <w:t>فَأَخْبَرَهُمْ بِصَاحِبِهِمْ ، أَلَا و</w:t>
      </w:r>
      <w:r>
        <w:rPr>
          <w:rFonts w:hint="cs"/>
          <w:rtl/>
          <w:lang w:bidi="fa-IR"/>
        </w:rPr>
        <w:t>َ</w:t>
      </w:r>
      <w:r w:rsidRPr="00132E65">
        <w:rPr>
          <w:rtl/>
          <w:lang w:bidi="fa-IR"/>
        </w:rPr>
        <w:t xml:space="preserve">إِنِّي أُخْبِرُكُمْ بِصَاحِبِكُمْ ، أَلَا إِنَّ هذَيْنِ ابْنَا رَسُولِ اللهِ </w:t>
      </w:r>
      <w:r w:rsidRPr="00071CF9">
        <w:rPr>
          <w:rStyle w:val="libAlaemChar"/>
          <w:rtl/>
        </w:rPr>
        <w:t>صلى‌الله‌عليه‌وآله</w:t>
      </w:r>
      <w:r w:rsidRPr="00132E65">
        <w:rPr>
          <w:rtl/>
          <w:lang w:bidi="fa-IR"/>
        </w:rPr>
        <w:t xml:space="preserve"> الْحَسَنَ والْحُسَيْنَ </w:t>
      </w:r>
      <w:r w:rsidRPr="00713432">
        <w:rPr>
          <w:rStyle w:val="libAlaemChar"/>
          <w:rFonts w:eastAsiaTheme="minorHAnsi"/>
          <w:rtl/>
        </w:rPr>
        <w:t>عليهما‌السلام</w:t>
      </w:r>
      <w:r w:rsidRPr="00132E65">
        <w:rPr>
          <w:rtl/>
          <w:lang w:bidi="fa-IR"/>
        </w:rPr>
        <w:t>، فَاسْمَعُوا لَهُمَا ، وأَطِيعُوا ، وَو</w:t>
      </w:r>
      <w:r>
        <w:rPr>
          <w:rFonts w:hint="cs"/>
          <w:rtl/>
          <w:lang w:bidi="fa-IR"/>
        </w:rPr>
        <w:t>َ</w:t>
      </w:r>
      <w:r w:rsidRPr="00132E65">
        <w:rPr>
          <w:rtl/>
          <w:lang w:bidi="fa-IR"/>
        </w:rPr>
        <w:t xml:space="preserve">ازِرُوهُمَا </w:t>
      </w:r>
      <w:r>
        <w:rPr>
          <w:rStyle w:val="libFootnotenumChar"/>
          <w:rtl/>
        </w:rPr>
        <w:t>(8)</w:t>
      </w:r>
      <w:r w:rsidRPr="00132E65">
        <w:rPr>
          <w:rtl/>
          <w:lang w:bidi="fa-IR"/>
        </w:rPr>
        <w:t xml:space="preserve"> ؛ فَإِنِّي قَدِ ائْتَمَنْتُهُمَا عَلى مَا ائْتَمَنَنِي عَلَيْهِ </w:t>
      </w:r>
      <w:r>
        <w:rPr>
          <w:rStyle w:val="libFootnotenumChar"/>
          <w:rtl/>
        </w:rPr>
        <w:t>(9)</w:t>
      </w:r>
      <w:r w:rsidRPr="00132E65">
        <w:rPr>
          <w:rtl/>
          <w:lang w:bidi="fa-IR"/>
        </w:rPr>
        <w:t xml:space="preserve"> رَسُولُ اللهِ </w:t>
      </w:r>
      <w:r w:rsidRPr="00071CF9">
        <w:rPr>
          <w:rStyle w:val="libAlaemChar"/>
          <w:rtl/>
        </w:rPr>
        <w:t>صلى‌الله‌عليه‌وآله</w:t>
      </w:r>
      <w:r w:rsidRPr="00132E65">
        <w:rPr>
          <w:rtl/>
          <w:lang w:bidi="fa-IR"/>
        </w:rPr>
        <w:t xml:space="preserve"> مِمَّا ائْتَمَنَهُ اللهُ عَلَيْهِ مِنْ خَلْقِهِ ، و</w:t>
      </w:r>
      <w:r>
        <w:rPr>
          <w:rFonts w:hint="cs"/>
          <w:rtl/>
          <w:lang w:bidi="fa-IR"/>
        </w:rPr>
        <w:t>َ</w:t>
      </w:r>
      <w:r w:rsidRPr="00132E65">
        <w:rPr>
          <w:rtl/>
          <w:lang w:bidi="fa-IR"/>
        </w:rPr>
        <w:t>مِنْ غَيْبِهِ ، و</w:t>
      </w:r>
      <w:r>
        <w:rPr>
          <w:rFonts w:hint="cs"/>
          <w:rtl/>
          <w:lang w:bidi="fa-IR"/>
        </w:rPr>
        <w:t xml:space="preserve">َ </w:t>
      </w:r>
      <w:r w:rsidRPr="00132E65">
        <w:rPr>
          <w:rtl/>
          <w:lang w:bidi="fa-IR"/>
        </w:rPr>
        <w:t xml:space="preserve">مِنْ دِينِهِ الَّذِي ارْتَضَاهُ لِنَفْسِهِ ، فَأَوْجَبَ اللهُ لَهُمَا مِنْ عَلِيٍّ </w:t>
      </w:r>
      <w:r w:rsidRPr="00071CF9">
        <w:rPr>
          <w:rStyle w:val="libAlaemChar"/>
          <w:rtl/>
        </w:rPr>
        <w:t>عليه‌السلام</w:t>
      </w:r>
      <w:r w:rsidRPr="00132E65">
        <w:rPr>
          <w:rtl/>
          <w:lang w:bidi="fa-IR"/>
        </w:rPr>
        <w:t xml:space="preserve"> مَا أَوْجَبَ </w:t>
      </w:r>
      <w:r>
        <w:rPr>
          <w:rStyle w:val="libFootnotenumChar"/>
          <w:rtl/>
        </w:rPr>
        <w:t>(10)</w:t>
      </w:r>
      <w:r w:rsidRPr="00132E65">
        <w:rPr>
          <w:rtl/>
          <w:lang w:bidi="fa-IR"/>
        </w:rPr>
        <w:t xml:space="preserve"> لِعَلِيٍّ </w:t>
      </w:r>
      <w:r w:rsidRPr="00071CF9">
        <w:rPr>
          <w:rStyle w:val="libAlaemChar"/>
          <w:rtl/>
        </w:rPr>
        <w:t>عليه‌السلام</w:t>
      </w:r>
      <w:r w:rsidRPr="00132E65">
        <w:rPr>
          <w:rtl/>
          <w:lang w:bidi="fa-IR"/>
        </w:rPr>
        <w:t xml:space="preserve"> مِنْ رَسُولِ اللهِ </w:t>
      </w:r>
      <w:r w:rsidRPr="00071CF9">
        <w:rPr>
          <w:rStyle w:val="libAlaemChar"/>
          <w:rtl/>
        </w:rPr>
        <w:t>صلى‌الله‌عليه‌وآله</w:t>
      </w:r>
      <w:r w:rsidRPr="00132E65">
        <w:rPr>
          <w:rtl/>
          <w:lang w:bidi="fa-IR"/>
        </w:rPr>
        <w:t xml:space="preserve"> ، فَلَمْ يَكُنْ لِأَحَدٍ مِنْهُ</w:t>
      </w:r>
      <w:r>
        <w:rPr>
          <w:rtl/>
          <w:lang w:bidi="fa-IR"/>
        </w:rPr>
        <w:t>مَا فَضْلٌ عَلى صَاحِبِهِ إِل</w:t>
      </w:r>
      <w:r>
        <w:rPr>
          <w:rFonts w:hint="cs"/>
          <w:rtl/>
          <w:lang w:bidi="fa-IR"/>
        </w:rPr>
        <w:t>َّ</w:t>
      </w:r>
      <w:r>
        <w:rPr>
          <w:rtl/>
          <w:lang w:bidi="fa-IR"/>
        </w:rPr>
        <w:t>ا</w:t>
      </w:r>
      <w:r w:rsidRPr="00132E65">
        <w:rPr>
          <w:rtl/>
          <w:lang w:bidi="fa-IR"/>
        </w:rPr>
        <w:t xml:space="preserve"> بِكِبَرِهِ ، و</w:t>
      </w:r>
      <w:r>
        <w:rPr>
          <w:rFonts w:hint="cs"/>
          <w:rtl/>
          <w:lang w:bidi="fa-IR"/>
        </w:rPr>
        <w:t>َ</w:t>
      </w:r>
      <w:r w:rsidRPr="00132E65">
        <w:rPr>
          <w:rtl/>
          <w:lang w:bidi="fa-IR"/>
        </w:rPr>
        <w:t xml:space="preserve">إِنَّ الْحُسَيْنَ </w:t>
      </w:r>
      <w:r w:rsidRPr="00071CF9">
        <w:rPr>
          <w:rStyle w:val="libAlaemChar"/>
          <w:rtl/>
        </w:rPr>
        <w:t>عليه‌السلام</w:t>
      </w:r>
      <w:r w:rsidRPr="00132E65">
        <w:rPr>
          <w:rtl/>
          <w:lang w:bidi="fa-IR"/>
        </w:rPr>
        <w:t xml:space="preserve"> كَانَ إِذَا حَضَرَ الْحَسَنُ </w:t>
      </w:r>
      <w:r w:rsidRPr="00071CF9">
        <w:rPr>
          <w:rStyle w:val="libAlaemChar"/>
          <w:rtl/>
        </w:rPr>
        <w:t>عليه‌السلام</w:t>
      </w:r>
      <w:r w:rsidRPr="00132E65">
        <w:rPr>
          <w:rtl/>
          <w:lang w:bidi="fa-IR"/>
        </w:rPr>
        <w:t xml:space="preserve"> لَمْ يَنْطِقْ فِي ذلِكَ الْمَجْلِسِ حَتّى يَقُومَ.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وشرح المازندراني و</w:t>
      </w:r>
      <w:r w:rsidRPr="009D1ACE">
        <w:rPr>
          <w:rStyle w:val="libFootnoteBoldChar"/>
          <w:rtl/>
        </w:rPr>
        <w:t>الوافي</w:t>
      </w:r>
      <w:r w:rsidRPr="00132E65">
        <w:rPr>
          <w:rtl/>
        </w:rPr>
        <w:t>. وفي المطبوع :</w:t>
      </w:r>
      <w:r>
        <w:rPr>
          <w:rtl/>
        </w:rPr>
        <w:t xml:space="preserve"> + </w:t>
      </w:r>
      <w:r w:rsidRPr="00132E65">
        <w:rPr>
          <w:rtl/>
        </w:rPr>
        <w:t xml:space="preserve">« [ عليّ </w:t>
      </w:r>
      <w:r w:rsidRPr="000F5FEC">
        <w:rPr>
          <w:rStyle w:val="libFootnoteAlaemChar"/>
          <w:rtl/>
        </w:rPr>
        <w:t>عليه‌السلام</w:t>
      </w:r>
      <w:r w:rsidRPr="00132E65">
        <w:rPr>
          <w:rtl/>
        </w:rPr>
        <w:t xml:space="preserve"> ] »</w:t>
      </w:r>
      <w:r>
        <w:rPr>
          <w:rtl/>
        </w:rPr>
        <w:t>.</w:t>
      </w:r>
    </w:p>
    <w:p w:rsidR="000C39D1" w:rsidRPr="00132E65" w:rsidRDefault="000C39D1" w:rsidP="000C39D1">
      <w:pPr>
        <w:pStyle w:val="libFootnote0"/>
        <w:rPr>
          <w:rtl/>
          <w:lang w:bidi="fa-IR"/>
        </w:rPr>
      </w:pPr>
      <w:r>
        <w:rPr>
          <w:rtl/>
        </w:rPr>
        <w:t>(2).</w:t>
      </w:r>
      <w:r w:rsidRPr="00132E65">
        <w:rPr>
          <w:rtl/>
        </w:rPr>
        <w:t xml:space="preserve"> « ارتضاه » ، أي اختاره. راجع : </w:t>
      </w:r>
      <w:r w:rsidRPr="006E281B">
        <w:rPr>
          <w:rtl/>
        </w:rPr>
        <w:t>المصباح المنير</w:t>
      </w:r>
      <w:r w:rsidRPr="00132E65">
        <w:rPr>
          <w:rtl/>
        </w:rPr>
        <w:t xml:space="preserve"> ، ص 229 ( رضى )</w:t>
      </w:r>
      <w:r>
        <w:rPr>
          <w:rtl/>
        </w:rPr>
        <w:t>.</w:t>
      </w:r>
    </w:p>
    <w:p w:rsidR="000C39D1" w:rsidRPr="00132E65" w:rsidRDefault="000C39D1" w:rsidP="000C39D1">
      <w:pPr>
        <w:pStyle w:val="libFootnote0"/>
        <w:rPr>
          <w:rtl/>
          <w:lang w:bidi="fa-IR"/>
        </w:rPr>
      </w:pPr>
      <w:r>
        <w:rPr>
          <w:rtl/>
        </w:rPr>
        <w:t>(3).</w:t>
      </w:r>
      <w:r w:rsidRPr="00132E65">
        <w:rPr>
          <w:rtl/>
        </w:rPr>
        <w:t xml:space="preserve"> في « ف ، بح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حضره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حاشية « ج » : « أنا »</w:t>
            </w:r>
            <w:r>
              <w:rPr>
                <w:rtl/>
              </w:rPr>
              <w:t>.</w:t>
            </w:r>
          </w:p>
        </w:tc>
        <w:tc>
          <w:tcPr>
            <w:tcW w:w="4006" w:type="dxa"/>
          </w:tcPr>
          <w:p w:rsidR="000C39D1" w:rsidRDefault="000C39D1" w:rsidP="00B53873">
            <w:pPr>
              <w:pStyle w:val="libFootnote0"/>
              <w:rPr>
                <w:rtl/>
              </w:rPr>
            </w:pPr>
            <w:r>
              <w:rPr>
                <w:rtl/>
              </w:rPr>
              <w:t>(5).</w:t>
            </w:r>
            <w:r w:rsidRPr="00132E65">
              <w:rPr>
                <w:rtl/>
              </w:rPr>
              <w:t xml:space="preserve"> في « ب ، ج ، ف ، بف »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(6).</w:t>
      </w:r>
      <w:r w:rsidRPr="00132E65">
        <w:rPr>
          <w:rtl/>
        </w:rPr>
        <w:t xml:space="preserve"> قوله </w:t>
      </w:r>
      <w:r w:rsidRPr="000F5FEC">
        <w:rPr>
          <w:rStyle w:val="libFootnoteAlaemChar"/>
          <w:rtl/>
        </w:rPr>
        <w:t>عليه‌السلام</w:t>
      </w:r>
      <w:r w:rsidRPr="00132E65">
        <w:rPr>
          <w:rtl/>
        </w:rPr>
        <w:t xml:space="preserve"> : « يا زياد » معترض ، وزياد هو اسم أبي الجارود بن المنذر الراوي للحديث ، وهو الذي ينسب إليه الجاروديّة. </w:t>
      </w:r>
      <w:r w:rsidRPr="009D1ACE">
        <w:rPr>
          <w:rStyle w:val="libFootnoteBoldChar"/>
          <w:rtl/>
        </w:rPr>
        <w:t>الوافي</w:t>
      </w:r>
      <w:r w:rsidRPr="00132E65">
        <w:rPr>
          <w:rtl/>
        </w:rPr>
        <w:t xml:space="preserve"> ، ج 2 ، ص 275.</w:t>
      </w:r>
    </w:p>
    <w:p w:rsidR="000C39D1" w:rsidRPr="00132E65" w:rsidRDefault="000C39D1" w:rsidP="000C39D1">
      <w:pPr>
        <w:pStyle w:val="libFootnote0"/>
        <w:rPr>
          <w:rtl/>
          <w:lang w:bidi="fa-IR"/>
        </w:rPr>
      </w:pPr>
      <w:r>
        <w:rPr>
          <w:rtl/>
        </w:rPr>
        <w:t>(7).</w:t>
      </w:r>
      <w:r w:rsidRPr="00132E65">
        <w:rPr>
          <w:rtl/>
        </w:rPr>
        <w:t xml:space="preserve"> الأصل في السنّة : الطريقة والسيرة. راجع : </w:t>
      </w:r>
      <w:r w:rsidRPr="006E281B">
        <w:rPr>
          <w:rtl/>
        </w:rPr>
        <w:t>النهاية</w:t>
      </w:r>
      <w:r w:rsidRPr="00132E65">
        <w:rPr>
          <w:rtl/>
        </w:rPr>
        <w:t xml:space="preserve"> ، ج 2 ، ص 409 ( سنن )</w:t>
      </w:r>
      <w:r>
        <w:rPr>
          <w:rtl/>
        </w:rPr>
        <w:t>.</w:t>
      </w:r>
    </w:p>
    <w:p w:rsidR="000C39D1" w:rsidRPr="00132E65" w:rsidRDefault="000C39D1" w:rsidP="000C39D1">
      <w:pPr>
        <w:pStyle w:val="libFootnote0"/>
        <w:rPr>
          <w:rtl/>
          <w:lang w:bidi="fa-IR"/>
        </w:rPr>
      </w:pPr>
      <w:r>
        <w:rPr>
          <w:rtl/>
        </w:rPr>
        <w:t>(8).</w:t>
      </w:r>
      <w:r w:rsidRPr="00132E65">
        <w:rPr>
          <w:rtl/>
        </w:rPr>
        <w:t xml:space="preserve"> « وازِرُوهما » ، أي أعينوهما ؛ من الوِزْر بمعنى الحِمْل والثقل. يقال : وزَرَ يَزِرُ فهو وازِرٌ ، إذا حمل ما يُثقِل ظهرَه‌من الأشياء الم</w:t>
      </w:r>
      <w:r>
        <w:rPr>
          <w:rFonts w:hint="cs"/>
          <w:rtl/>
        </w:rPr>
        <w:t>ـُ</w:t>
      </w:r>
      <w:r w:rsidRPr="00132E65">
        <w:rPr>
          <w:rtl/>
        </w:rPr>
        <w:t xml:space="preserve">ثْقَلَة. راجع : </w:t>
      </w:r>
      <w:r w:rsidRPr="006E281B">
        <w:rPr>
          <w:rtl/>
        </w:rPr>
        <w:t>المفردات</w:t>
      </w:r>
      <w:r w:rsidRPr="00132E65">
        <w:rPr>
          <w:rtl/>
        </w:rPr>
        <w:t xml:space="preserve"> للراغب ، ص 868 ؛ </w:t>
      </w:r>
      <w:r w:rsidRPr="006E281B">
        <w:rPr>
          <w:rtl/>
        </w:rPr>
        <w:t>النهاية</w:t>
      </w:r>
      <w:r w:rsidRPr="00132E65">
        <w:rPr>
          <w:rtl/>
        </w:rPr>
        <w:t xml:space="preserve"> ، ج 5 ، ص 179 ( وزر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ه‍ </w:t>
            </w:r>
            <w:r w:rsidR="00CE1F23" w:rsidRPr="00132E65">
              <w:rPr>
                <w:rtl/>
              </w:rPr>
              <w:t>»</w:t>
            </w:r>
            <w:r w:rsidRPr="00132E65">
              <w:rPr>
                <w:rtl/>
              </w:rPr>
              <w:t xml:space="preserve"> </w:t>
            </w:r>
            <w:r>
              <w:rPr>
                <w:rtl/>
              </w:rPr>
              <w:t xml:space="preserve">: - </w:t>
            </w:r>
            <w:r w:rsidRPr="00132E65">
              <w:rPr>
                <w:rtl/>
              </w:rPr>
              <w:t>« عليه »</w:t>
            </w:r>
            <w:r>
              <w:rPr>
                <w:rtl/>
              </w:rPr>
              <w:t>.</w:t>
            </w:r>
          </w:p>
        </w:tc>
        <w:tc>
          <w:tcPr>
            <w:tcW w:w="4006" w:type="dxa"/>
          </w:tcPr>
          <w:p w:rsidR="000C39D1" w:rsidRDefault="000C39D1" w:rsidP="00B53873">
            <w:pPr>
              <w:pStyle w:val="libFootnote0"/>
              <w:rPr>
                <w:rtl/>
              </w:rPr>
            </w:pPr>
            <w:r>
              <w:rPr>
                <w:rtl/>
              </w:rPr>
              <w:t>(10).</w:t>
            </w:r>
            <w:r w:rsidRPr="00132E65">
              <w:rPr>
                <w:rtl/>
              </w:rPr>
              <w:t xml:space="preserve"> في « ف » :</w:t>
            </w:r>
            <w:r>
              <w:rPr>
                <w:rtl/>
              </w:rPr>
              <w:t xml:space="preserve"> + </w:t>
            </w:r>
            <w:r w:rsidRPr="00132E65">
              <w:rPr>
                <w:rtl/>
              </w:rPr>
              <w:t>« الله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ثُمَّ إِنَّ الْحَسَنَ </w:t>
      </w:r>
      <w:r w:rsidRPr="00071CF9">
        <w:rPr>
          <w:rStyle w:val="libAlaemChar"/>
          <w:rtl/>
        </w:rPr>
        <w:t>عليه‌السلام</w:t>
      </w:r>
      <w:r w:rsidRPr="00132E65">
        <w:rPr>
          <w:rtl/>
          <w:lang w:bidi="fa-IR"/>
        </w:rPr>
        <w:t xml:space="preserve"> حَضَرَهُ الَّذِي حَضَرَهُ ، فَسَلَّمَ ذلِكَ إِلَى الْحُسَيْنِ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ثُمَّ إِنَّ حُسَيْناً </w:t>
      </w:r>
      <w:r w:rsidRPr="00071CF9">
        <w:rPr>
          <w:rStyle w:val="libAlaemChar"/>
          <w:rtl/>
        </w:rPr>
        <w:t>عليه‌السلام</w:t>
      </w:r>
      <w:r w:rsidRPr="00132E65">
        <w:rPr>
          <w:rtl/>
          <w:lang w:bidi="fa-IR"/>
        </w:rPr>
        <w:t xml:space="preserve"> حَضَرَهُ الَّذِي حَضَرَهُ ، فَدَعَا ابْنَتَهُ الْكُبْرى فَاطِمَةَ بِنْتَ الْحُسَيْنِ ، فَدَفَعَ إِلَيْهَا كِتَاباً مَلْفُوفاً ، وو صِيَّةً ظَاهِرَةً </w:t>
      </w:r>
      <w:r>
        <w:rPr>
          <w:rStyle w:val="libFootnotenumChar"/>
          <w:rtl/>
        </w:rPr>
        <w:t>(1)</w:t>
      </w:r>
      <w:r>
        <w:rPr>
          <w:rtl/>
          <w:lang w:bidi="fa-IR"/>
        </w:rPr>
        <w:t xml:space="preserve"> - </w:t>
      </w:r>
      <w:r w:rsidRPr="00132E65">
        <w:rPr>
          <w:rtl/>
          <w:lang w:bidi="fa-IR"/>
        </w:rPr>
        <w:t xml:space="preserve">وكَانَ عَلِيُّ بْنُ الْحُسَيْنِ </w:t>
      </w:r>
      <w:r w:rsidRPr="00071CF9">
        <w:rPr>
          <w:rStyle w:val="libAlaemChar"/>
          <w:rtl/>
        </w:rPr>
        <w:t>عليه‌السلام</w:t>
      </w:r>
      <w:r w:rsidRPr="00132E65">
        <w:rPr>
          <w:rtl/>
          <w:lang w:bidi="fa-IR"/>
        </w:rPr>
        <w:t xml:space="preserve"> مَبْطُوناً </w:t>
      </w:r>
      <w:r>
        <w:rPr>
          <w:rStyle w:val="libFootnotenumChar"/>
          <w:rtl/>
        </w:rPr>
        <w:t>(2)</w:t>
      </w:r>
      <w:r>
        <w:rPr>
          <w:rtl/>
          <w:lang w:bidi="fa-IR"/>
        </w:rPr>
        <w:t xml:space="preserve"> لَايَرَوْنَ إِل</w:t>
      </w:r>
      <w:r>
        <w:rPr>
          <w:rFonts w:hint="cs"/>
          <w:rtl/>
          <w:lang w:bidi="fa-IR"/>
        </w:rPr>
        <w:t>َّ</w:t>
      </w:r>
      <w:r>
        <w:rPr>
          <w:rtl/>
          <w:lang w:bidi="fa-IR"/>
        </w:rPr>
        <w:t>ا</w:t>
      </w:r>
      <w:r w:rsidRPr="00132E65">
        <w:rPr>
          <w:rtl/>
          <w:lang w:bidi="fa-IR"/>
        </w:rPr>
        <w:t xml:space="preserve"> أَنَّهُ لِمَا </w:t>
      </w:r>
      <w:r>
        <w:rPr>
          <w:rStyle w:val="libFootnotenumChar"/>
          <w:rtl/>
        </w:rPr>
        <w:t>(3)</w:t>
      </w:r>
      <w:r w:rsidRPr="00132E65">
        <w:rPr>
          <w:rtl/>
          <w:lang w:bidi="fa-IR"/>
        </w:rPr>
        <w:t xml:space="preserve"> بِهِ</w:t>
      </w:r>
      <w:r>
        <w:rPr>
          <w:rtl/>
          <w:lang w:bidi="fa-IR"/>
        </w:rPr>
        <w:t xml:space="preserve"> - </w:t>
      </w:r>
      <w:r w:rsidRPr="00132E65">
        <w:rPr>
          <w:rtl/>
          <w:lang w:bidi="fa-IR"/>
        </w:rPr>
        <w:t>فَدَفَعَتْ فَاطِمَةُ الْكِتَابَ إِلى عَلِيِّ بْنِ</w:t>
      </w:r>
      <w:r>
        <w:rPr>
          <w:rFonts w:hint="cs"/>
          <w:rtl/>
          <w:lang w:bidi="fa-IR"/>
        </w:rPr>
        <w:t xml:space="preserve"> </w:t>
      </w:r>
      <w:r w:rsidRPr="00132E65">
        <w:rPr>
          <w:rtl/>
          <w:lang w:bidi="fa-IR"/>
        </w:rPr>
        <w:t xml:space="preserve">الْحُسَيْنِ </w:t>
      </w:r>
      <w:r w:rsidRPr="00071CF9">
        <w:rPr>
          <w:rStyle w:val="libAlaemChar"/>
          <w:rtl/>
        </w:rPr>
        <w:t>عليه‌السلام</w:t>
      </w:r>
      <w:r w:rsidRPr="00132E65">
        <w:rPr>
          <w:rtl/>
          <w:lang w:bidi="fa-IR"/>
        </w:rPr>
        <w:t xml:space="preserve"> ، ثُمَّ صَارَ و</w:t>
      </w:r>
      <w:r>
        <w:rPr>
          <w:rFonts w:hint="cs"/>
          <w:rtl/>
          <w:lang w:bidi="fa-IR"/>
        </w:rPr>
        <w:t>َ</w:t>
      </w:r>
      <w:r w:rsidRPr="00132E65">
        <w:rPr>
          <w:rtl/>
          <w:lang w:bidi="fa-IR"/>
        </w:rPr>
        <w:t>اللهِ ذلِكَ الْكِتَابُ إِلَيْنَا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Pr>
          <w:rFonts w:hint="cs"/>
          <w:rtl/>
          <w:lang w:bidi="fa-IR"/>
        </w:rPr>
        <w:t xml:space="preserve">* </w:t>
      </w:r>
      <w:r w:rsidRPr="00132E65">
        <w:rPr>
          <w:rtl/>
          <w:lang w:bidi="fa-IR"/>
        </w:rPr>
        <w:t xml:space="preserve">الْحُسَيْنُ بْنُ مُحَمَّدٍ ، عَنْ مُعَلَّى بْنِ مُحَمَّدٍ ، عَنْ مُحَمَّدِ بْنِ جُمْهُورٍ ، عَنْ مُحَمَّدِ بْنِ إِسْمَاعِيلَ بْنِ بَزِيعٍ ، عَنْ مَنْصُورِ بْنِ يُونُسَ ، عَنْ أَبِي الْجَارُودِ ، عَنْ أَبِي جَعْفَرٍ </w:t>
      </w:r>
      <w:r w:rsidRPr="00071CF9">
        <w:rPr>
          <w:rStyle w:val="libAlaemChar"/>
          <w:rtl/>
        </w:rPr>
        <w:t>عليه‌السلام</w:t>
      </w:r>
      <w:r w:rsidRPr="00132E65">
        <w:rPr>
          <w:rtl/>
          <w:lang w:bidi="fa-IR"/>
        </w:rPr>
        <w:t xml:space="preserve"> ، مِثْلَهُ.</w:t>
      </w:r>
    </w:p>
    <w:p w:rsidR="000C39D1" w:rsidRPr="00132E65" w:rsidRDefault="000C39D1" w:rsidP="000C39D1">
      <w:pPr>
        <w:pStyle w:val="libNormal"/>
        <w:rPr>
          <w:rtl/>
          <w:lang w:bidi="fa-IR"/>
        </w:rPr>
      </w:pPr>
      <w:r w:rsidRPr="006E281B">
        <w:rPr>
          <w:rtl/>
        </w:rPr>
        <w:t>765</w:t>
      </w:r>
      <w:r w:rsidRPr="004325D8">
        <w:rPr>
          <w:rStyle w:val="libBold2Char"/>
          <w:rtl/>
        </w:rPr>
        <w:t xml:space="preserve"> / 7.</w:t>
      </w:r>
      <w:r w:rsidRPr="00132E65">
        <w:rPr>
          <w:rtl/>
          <w:lang w:bidi="fa-IR"/>
        </w:rPr>
        <w:t xml:space="preserve"> مُحَمَّدُ بْنُ الْحَسَنِ ، عَنْ سَهْلِ بْنِ زِيَادٍ ، عَنْ مُحَمَّدِ بْنِ عِيسى ، عَنْ صَفْوَانَ بْنِ يَحْيى ، عَنْ صَبَّاحٍ الْأَزْرَقِ ، عَنْ أَبِي بَصِيرٍ ، قَالَ :</w:t>
      </w:r>
    </w:p>
    <w:p w:rsidR="000C39D1" w:rsidRPr="00132E65" w:rsidRDefault="000C39D1" w:rsidP="000C39D1">
      <w:pPr>
        <w:pStyle w:val="libNormal"/>
        <w:rPr>
          <w:rtl/>
          <w:lang w:bidi="fa-IR"/>
        </w:rPr>
      </w:pPr>
      <w:r w:rsidRPr="00132E65">
        <w:rPr>
          <w:rtl/>
          <w:lang w:bidi="fa-IR"/>
        </w:rPr>
        <w:t xml:space="preserve">قُلْتُ لِأَبِي جَعْفَرٍ </w:t>
      </w:r>
      <w:r w:rsidRPr="00071CF9">
        <w:rPr>
          <w:rStyle w:val="libAlaemChar"/>
          <w:rtl/>
        </w:rPr>
        <w:t>عليه‌السلام</w:t>
      </w:r>
      <w:r>
        <w:rPr>
          <w:rtl/>
          <w:lang w:bidi="fa-IR"/>
        </w:rPr>
        <w:t xml:space="preserve"> : إِنَّ رَجُل</w:t>
      </w:r>
      <w:r>
        <w:rPr>
          <w:rFonts w:hint="cs"/>
          <w:rtl/>
          <w:lang w:bidi="fa-IR"/>
        </w:rPr>
        <w:t>ً</w:t>
      </w:r>
      <w:r>
        <w:rPr>
          <w:rtl/>
          <w:lang w:bidi="fa-IR"/>
        </w:rPr>
        <w:t>ا</w:t>
      </w:r>
      <w:r w:rsidRPr="00132E65">
        <w:rPr>
          <w:rtl/>
          <w:lang w:bidi="fa-IR"/>
        </w:rPr>
        <w:t xml:space="preserve"> مِنَ الْمُخْتَارِيَّةِ لَقِيَنِي ، فَزَعَمَ أَنَّ مُحَمَّدَ بْنَ الْحَنَفِيَّةِ إِمَامٌ</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كتاباً ملفوفاً</w:t>
      </w:r>
      <w:r>
        <w:rPr>
          <w:rtl/>
        </w:rPr>
        <w:t xml:space="preserve"> ..</w:t>
      </w:r>
      <w:r w:rsidRPr="00132E65">
        <w:rPr>
          <w:rtl/>
        </w:rPr>
        <w:t xml:space="preserve">. لعلّه كان فيه الأسرار التي لاينبغي أن يطّلع عليها المخالفون بل غير أهل البيت </w:t>
      </w:r>
      <w:r w:rsidRPr="00083D31">
        <w:rPr>
          <w:rStyle w:val="libFootnoteAlaemChar"/>
          <w:rtl/>
        </w:rPr>
        <w:t>عليهم‌السلام</w:t>
      </w:r>
      <w:r w:rsidRPr="00132E65">
        <w:rPr>
          <w:rtl/>
        </w:rPr>
        <w:t xml:space="preserve"> ، ووصيّة ظاهرة » أي كتاباً كتب فيه أنّه وصيّه وهو أولى بامور من غيره ، وبالجملة مالاينبغي ستره ، بل يجب إظهاره للناس ؛ ليعرف شيعته بهذه العلامة إمامته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0577A7">
        <w:rPr>
          <w:rStyle w:val="libFootnoteBoldChar"/>
          <w:rtl/>
        </w:rPr>
        <w:t>الكافي</w:t>
      </w:r>
      <w:r w:rsidRPr="00132E65">
        <w:rPr>
          <w:rtl/>
        </w:rPr>
        <w:t xml:space="preserve"> ، ح 785 والبصائر ، ص 163 :</w:t>
      </w:r>
      <w:r>
        <w:rPr>
          <w:rtl/>
        </w:rPr>
        <w:t xml:space="preserve"> + </w:t>
      </w:r>
      <w:r w:rsidRPr="00132E65">
        <w:rPr>
          <w:rtl/>
        </w:rPr>
        <w:t>« معهم »</w:t>
      </w:r>
      <w:r>
        <w:rPr>
          <w:rtl/>
        </w:rPr>
        <w:t>.</w:t>
      </w:r>
      <w:r w:rsidRPr="00132E65">
        <w:rPr>
          <w:rtl/>
        </w:rPr>
        <w:t xml:space="preserve"> وقال الجوهري : « المبطون : العليل البطن »</w:t>
      </w:r>
      <w:r>
        <w:rPr>
          <w:rtl/>
        </w:rPr>
        <w:t>.</w:t>
      </w:r>
      <w:r w:rsidRPr="00132E65">
        <w:rPr>
          <w:rtl/>
        </w:rPr>
        <w:t xml:space="preserve"> </w:t>
      </w:r>
      <w:r w:rsidRPr="006E281B">
        <w:rPr>
          <w:rtl/>
        </w:rPr>
        <w:t>الصحاح</w:t>
      </w:r>
      <w:r w:rsidRPr="00132E65">
        <w:rPr>
          <w:rtl/>
        </w:rPr>
        <w:t xml:space="preserve"> ، ج 5 ، ص 2080 ( بطن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ينزل »</w:t>
      </w:r>
      <w:r>
        <w:rPr>
          <w:rtl/>
        </w:rPr>
        <w:t>.</w:t>
      </w:r>
      <w:r w:rsidRPr="00132E65">
        <w:rPr>
          <w:rtl/>
        </w:rPr>
        <w:t xml:space="preserve"> وفي </w:t>
      </w:r>
      <w:r w:rsidRPr="009D1ACE">
        <w:rPr>
          <w:rStyle w:val="libFootnoteBoldChar"/>
          <w:rtl/>
        </w:rPr>
        <w:t>الوافي</w:t>
      </w:r>
      <w:r>
        <w:rPr>
          <w:rtl/>
        </w:rPr>
        <w:t xml:space="preserve"> : « أي لايعتقدون إل</w:t>
      </w:r>
      <w:r>
        <w:rPr>
          <w:rFonts w:hint="cs"/>
          <w:rtl/>
        </w:rPr>
        <w:t>ّ</w:t>
      </w:r>
      <w:r>
        <w:rPr>
          <w:rtl/>
        </w:rPr>
        <w:t>ا</w:t>
      </w:r>
      <w:r>
        <w:rPr>
          <w:rFonts w:hint="cs"/>
          <w:rtl/>
        </w:rPr>
        <w:t xml:space="preserve"> </w:t>
      </w:r>
      <w:r w:rsidRPr="00132E65">
        <w:rPr>
          <w:rtl/>
        </w:rPr>
        <w:t>أنّه متهيّؤ لما ينزل به ، يعني الموت. وبالجملةهذه الكلمة كفاية عن الإشراف على الموت »</w:t>
      </w:r>
      <w:r>
        <w:rPr>
          <w:rtl/>
        </w:rPr>
        <w:t>.</w:t>
      </w:r>
    </w:p>
    <w:p w:rsidR="000C39D1" w:rsidRPr="00132E65" w:rsidRDefault="000C39D1" w:rsidP="000C39D1">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الحجّة ، باب الإشارة والنصّ على عليّ بن الحسين صلوات الله عليهما ، ح 785 ، من قوله : « ثمّ إنّ حسيناً </w:t>
      </w:r>
      <w:r w:rsidRPr="00083D31">
        <w:rPr>
          <w:rStyle w:val="libFootnoteAlaemChar"/>
          <w:rtl/>
        </w:rPr>
        <w:t>عليه‌السلام</w:t>
      </w:r>
      <w:r w:rsidRPr="00132E65">
        <w:rPr>
          <w:rtl/>
        </w:rPr>
        <w:t xml:space="preserve"> حضره » مع زيادة في آخره. </w:t>
      </w:r>
      <w:r w:rsidRPr="007A1104">
        <w:rPr>
          <w:rStyle w:val="libFootnoteBoldChar"/>
          <w:rtl/>
        </w:rPr>
        <w:t>بصائر الدرجات</w:t>
      </w:r>
      <w:r w:rsidRPr="00132E65">
        <w:rPr>
          <w:rtl/>
        </w:rPr>
        <w:t xml:space="preserve"> ، ص 163 ، ح 3 ، عن أحمد بن محمّد ؛ </w:t>
      </w:r>
      <w:r w:rsidRPr="007A103C">
        <w:rPr>
          <w:rtl/>
        </w:rPr>
        <w:t xml:space="preserve">وفيه </w:t>
      </w:r>
      <w:r w:rsidRPr="00132E65">
        <w:rPr>
          <w:rtl/>
        </w:rPr>
        <w:t xml:space="preserve">، ص 164 ، ح 6 ، بسنده عن منصور عن أبي الجارود ؛ </w:t>
      </w:r>
      <w:r w:rsidRPr="007A103C">
        <w:rPr>
          <w:rtl/>
        </w:rPr>
        <w:t>وفيه</w:t>
      </w:r>
      <w:r w:rsidRPr="00132E65">
        <w:rPr>
          <w:rtl/>
        </w:rPr>
        <w:t xml:space="preserve"> ، ص 148 ، ح 9 ، بسنده عن أبي الجارود ، وفي كلّها من قوله : « ثمّ إنّ حسيناً حضره الذي حضره » مع اختلاف يسير. وراجع : </w:t>
      </w:r>
      <w:r w:rsidRPr="007A103C">
        <w:rPr>
          <w:rtl/>
        </w:rPr>
        <w:t>تفسير العيّاشي</w:t>
      </w:r>
      <w:r w:rsidRPr="00132E65">
        <w:rPr>
          <w:rtl/>
        </w:rPr>
        <w:t xml:space="preserve"> ، ج 1 ، ص 334 ، ح 155 ؛ و</w:t>
      </w:r>
      <w:r w:rsidRPr="007A103C">
        <w:rPr>
          <w:rtl/>
        </w:rPr>
        <w:t>الأمالي</w:t>
      </w:r>
      <w:r w:rsidRPr="00132E65">
        <w:rPr>
          <w:rtl/>
        </w:rPr>
        <w:t xml:space="preserve"> للمفيد ، ص 139 ، المجلس 17 ، ح 3 ؛ و</w:t>
      </w:r>
      <w:r w:rsidRPr="007A103C">
        <w:rPr>
          <w:rtl/>
        </w:rPr>
        <w:t>تفسير فرات</w:t>
      </w:r>
      <w:r w:rsidRPr="00132E65">
        <w:rPr>
          <w:rtl/>
        </w:rPr>
        <w:t xml:space="preserve"> ، ص 119 ، ح 125 </w:t>
      </w:r>
      <w:r>
        <w:rPr>
          <w:rFonts w:hint="cs"/>
          <w:rtl/>
        </w:rPr>
        <w:t>.</w:t>
      </w:r>
      <w:r w:rsidRPr="009D1ACE">
        <w:rPr>
          <w:rStyle w:val="libFootnoteBoldChar"/>
          <w:rtl/>
        </w:rPr>
        <w:t>الوافي</w:t>
      </w:r>
      <w:r w:rsidRPr="00132E65">
        <w:rPr>
          <w:rtl/>
        </w:rPr>
        <w:t xml:space="preserve"> ، ج 2 ، ص 272 ، ح 746.</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فَغَضِبَ أَبُو جَعْفَرٍ </w:t>
      </w:r>
      <w:r w:rsidRPr="00071CF9">
        <w:rPr>
          <w:rStyle w:val="libAlaemChar"/>
          <w:rtl/>
        </w:rPr>
        <w:t>عليه‌السلام</w:t>
      </w:r>
      <w:r>
        <w:rPr>
          <w:rtl/>
          <w:lang w:bidi="fa-IR"/>
        </w:rPr>
        <w:t xml:space="preserve"> ، ثُمَّ قَالَ : « أَ</w:t>
      </w:r>
      <w:r w:rsidRPr="00132E65">
        <w:rPr>
          <w:rtl/>
          <w:lang w:bidi="fa-IR"/>
        </w:rPr>
        <w:t>فَلَا قُلْتَ لَهُ</w:t>
      </w:r>
      <w:r>
        <w:rPr>
          <w:rtl/>
          <w:lang w:bidi="fa-IR"/>
        </w:rPr>
        <w:t>؟</w:t>
      </w:r>
      <w:r w:rsidRPr="00132E65">
        <w:rPr>
          <w:rtl/>
          <w:lang w:bidi="fa-IR"/>
        </w:rPr>
        <w:t xml:space="preserve"> » قَالَ : قُلْتُ </w:t>
      </w:r>
      <w:r>
        <w:rPr>
          <w:rStyle w:val="libFootnotenumChar"/>
          <w:rtl/>
        </w:rPr>
        <w:t>(1)</w:t>
      </w:r>
      <w:r w:rsidRPr="00132E65">
        <w:rPr>
          <w:rtl/>
          <w:lang w:bidi="fa-IR"/>
        </w:rPr>
        <w:t xml:space="preserve"> : لَاوَ اللهِ ، مَا دَرَيْتُ </w:t>
      </w:r>
      <w:r>
        <w:rPr>
          <w:rStyle w:val="libFootnotenumChar"/>
          <w:rtl/>
        </w:rPr>
        <w:t>(2)</w:t>
      </w:r>
      <w:r w:rsidRPr="00132E65">
        <w:rPr>
          <w:rtl/>
          <w:lang w:bidi="fa-IR"/>
        </w:rPr>
        <w:t xml:space="preserve"> مَا أَقُولُ.</w:t>
      </w:r>
    </w:p>
    <w:p w:rsidR="000C39D1" w:rsidRPr="00132E65" w:rsidRDefault="000C39D1" w:rsidP="000C39D1">
      <w:pPr>
        <w:pStyle w:val="libNormal"/>
        <w:rPr>
          <w:rtl/>
          <w:lang w:bidi="fa-IR"/>
        </w:rPr>
      </w:pPr>
      <w:r>
        <w:rPr>
          <w:rtl/>
          <w:lang w:bidi="fa-IR"/>
        </w:rPr>
        <w:t>قَالَ : « أَ</w:t>
      </w:r>
      <w:r w:rsidRPr="00132E65">
        <w:rPr>
          <w:rtl/>
          <w:lang w:bidi="fa-IR"/>
        </w:rPr>
        <w:t xml:space="preserve">فَلَا قُلْتَ لَهُ </w:t>
      </w:r>
      <w:r>
        <w:rPr>
          <w:rStyle w:val="libFootnotenumChar"/>
          <w:rtl/>
        </w:rPr>
        <w:t>(3)</w:t>
      </w:r>
      <w:r w:rsidRPr="00132E65">
        <w:rPr>
          <w:rtl/>
          <w:lang w:bidi="fa-IR"/>
        </w:rPr>
        <w:t xml:space="preserve"> : إِنَّ رَسُولَ اللهِ</w:t>
      </w:r>
      <w:r>
        <w:rPr>
          <w:rFonts w:hint="cs"/>
          <w:rtl/>
          <w:lang w:bidi="fa-IR"/>
        </w:rPr>
        <w:t xml:space="preserve"> </w:t>
      </w:r>
      <w:r w:rsidRPr="00071CF9">
        <w:rPr>
          <w:rStyle w:val="libAlaemChar"/>
          <w:rtl/>
        </w:rPr>
        <w:t>صلى‌الله‌عليه‌وآله</w:t>
      </w:r>
      <w:r w:rsidRPr="00132E65">
        <w:rPr>
          <w:rtl/>
          <w:lang w:bidi="fa-IR"/>
        </w:rPr>
        <w:t xml:space="preserve"> أَوْصى إِلى عَلِيٍّ والْحَسَنِ والْحُسَيْنِ ، فَلَمَّا مَضى عَلِيٌّ </w:t>
      </w:r>
      <w:r w:rsidRPr="00071CF9">
        <w:rPr>
          <w:rStyle w:val="libAlaemChar"/>
          <w:rtl/>
        </w:rPr>
        <w:t>عليه‌السلام</w:t>
      </w:r>
      <w:r w:rsidRPr="00132E65">
        <w:rPr>
          <w:rtl/>
          <w:lang w:bidi="fa-IR"/>
        </w:rPr>
        <w:t xml:space="preserve"> ، أَوْصى إِلَى الْحَسَنِ والْحُسَيْنِ ، ولَوْ </w:t>
      </w:r>
      <w:r>
        <w:rPr>
          <w:rStyle w:val="libFootnotenumChar"/>
          <w:rtl/>
        </w:rPr>
        <w:t>(4)</w:t>
      </w:r>
      <w:r w:rsidRPr="00132E65">
        <w:rPr>
          <w:rtl/>
          <w:lang w:bidi="fa-IR"/>
        </w:rPr>
        <w:t xml:space="preserve"> ذَهَبَ يَزْوِيهَا </w:t>
      </w:r>
      <w:r>
        <w:rPr>
          <w:rStyle w:val="libFootnotenumChar"/>
          <w:rtl/>
        </w:rPr>
        <w:t>(5)</w:t>
      </w:r>
      <w:r w:rsidRPr="00132E65">
        <w:rPr>
          <w:rtl/>
          <w:lang w:bidi="fa-IR"/>
        </w:rPr>
        <w:t xml:space="preserve"> عَنْهُمَا ، لَقَالَا لَهُ </w:t>
      </w:r>
      <w:r>
        <w:rPr>
          <w:rStyle w:val="libFootnotenumChar"/>
          <w:rtl/>
        </w:rPr>
        <w:t>(6)</w:t>
      </w:r>
      <w:r w:rsidRPr="00132E65">
        <w:rPr>
          <w:rtl/>
          <w:lang w:bidi="fa-IR"/>
        </w:rPr>
        <w:t xml:space="preserve"> :</w:t>
      </w:r>
      <w:r>
        <w:rPr>
          <w:rFonts w:hint="cs"/>
          <w:rtl/>
          <w:lang w:bidi="fa-IR"/>
        </w:rPr>
        <w:t xml:space="preserve"> </w:t>
      </w:r>
      <w:r w:rsidRPr="00132E65">
        <w:rPr>
          <w:rtl/>
          <w:lang w:bidi="fa-IR"/>
        </w:rPr>
        <w:t>نَحْنُ و</w:t>
      </w:r>
      <w:r>
        <w:rPr>
          <w:rFonts w:hint="cs"/>
          <w:rtl/>
          <w:lang w:bidi="fa-IR"/>
        </w:rPr>
        <w:t>َ</w:t>
      </w:r>
      <w:r w:rsidRPr="00132E65">
        <w:rPr>
          <w:rtl/>
          <w:lang w:bidi="fa-IR"/>
        </w:rPr>
        <w:t>صِيَّانِ مِثْلُكَ ولَمْ يَكُنْ لِيَفْعَلَ ذلِكَ.</w:t>
      </w:r>
    </w:p>
    <w:p w:rsidR="000C39D1" w:rsidRPr="00132E65" w:rsidRDefault="000C39D1" w:rsidP="00CE1F23">
      <w:pPr>
        <w:pStyle w:val="libNormal"/>
        <w:rPr>
          <w:rtl/>
          <w:lang w:bidi="fa-IR"/>
        </w:rPr>
      </w:pPr>
      <w:r w:rsidRPr="00132E65">
        <w:rPr>
          <w:rtl/>
          <w:lang w:bidi="fa-IR"/>
        </w:rPr>
        <w:t xml:space="preserve">وَأَوْصَى </w:t>
      </w:r>
      <w:r>
        <w:rPr>
          <w:rStyle w:val="libFootnotenumChar"/>
          <w:rtl/>
        </w:rPr>
        <w:t>(7)</w:t>
      </w:r>
      <w:r w:rsidRPr="00132E65">
        <w:rPr>
          <w:rtl/>
          <w:lang w:bidi="fa-IR"/>
        </w:rPr>
        <w:t xml:space="preserve"> الْحَسَنُ إِلَى الْحُسَيْنِ ، و</w:t>
      </w:r>
      <w:r>
        <w:rPr>
          <w:rFonts w:hint="cs"/>
          <w:rtl/>
          <w:lang w:bidi="fa-IR"/>
        </w:rPr>
        <w:t>َ</w:t>
      </w:r>
      <w:r w:rsidRPr="00132E65">
        <w:rPr>
          <w:rtl/>
          <w:lang w:bidi="fa-IR"/>
        </w:rPr>
        <w:t xml:space="preserve">لَوْ ذَهَبَ يَزْوِيهَا عَنْهُ ، لَقَالَ </w:t>
      </w:r>
      <w:r>
        <w:rPr>
          <w:rStyle w:val="libFootnotenumChar"/>
          <w:rtl/>
        </w:rPr>
        <w:t>(8)</w:t>
      </w:r>
      <w:r w:rsidRPr="00132E65">
        <w:rPr>
          <w:rtl/>
          <w:lang w:bidi="fa-IR"/>
        </w:rPr>
        <w:t xml:space="preserve"> : أَنَا و</w:t>
      </w:r>
      <w:r>
        <w:rPr>
          <w:rFonts w:hint="cs"/>
          <w:rtl/>
          <w:lang w:bidi="fa-IR"/>
        </w:rPr>
        <w:t>َ</w:t>
      </w:r>
      <w:r w:rsidRPr="00132E65">
        <w:rPr>
          <w:rtl/>
          <w:lang w:bidi="fa-IR"/>
        </w:rPr>
        <w:t xml:space="preserve">صِيٌّ مِثْلُكَ مِنْ رَسُولِ اللهِ </w:t>
      </w:r>
      <w:r w:rsidR="00CE1F23" w:rsidRPr="00071CF9">
        <w:rPr>
          <w:rStyle w:val="libAlaemChar"/>
          <w:rtl/>
        </w:rPr>
        <w:t>صلى‌الله‌عليه‌وآله</w:t>
      </w:r>
      <w:r w:rsidR="00CE1F23" w:rsidRPr="00132E65">
        <w:rPr>
          <w:rtl/>
          <w:lang w:bidi="fa-IR"/>
        </w:rPr>
        <w:t xml:space="preserve"> </w:t>
      </w:r>
      <w:r w:rsidRPr="00132E65">
        <w:rPr>
          <w:rtl/>
          <w:lang w:bidi="fa-IR"/>
        </w:rPr>
        <w:t>و</w:t>
      </w:r>
      <w:r>
        <w:rPr>
          <w:rFonts w:hint="cs"/>
          <w:rtl/>
          <w:lang w:bidi="fa-IR"/>
        </w:rPr>
        <w:t>َ</w:t>
      </w:r>
      <w:r w:rsidRPr="00132E65">
        <w:rPr>
          <w:rtl/>
          <w:lang w:bidi="fa-IR"/>
        </w:rPr>
        <w:t>مِنْ أَبِي ، و</w:t>
      </w:r>
      <w:r>
        <w:rPr>
          <w:rFonts w:hint="cs"/>
          <w:rtl/>
          <w:lang w:bidi="fa-IR"/>
        </w:rPr>
        <w:t>َ</w:t>
      </w:r>
      <w:r w:rsidRPr="00132E65">
        <w:rPr>
          <w:rtl/>
          <w:lang w:bidi="fa-IR"/>
        </w:rPr>
        <w:t>لَمْ يَكُنْ لِيَفْعَلَ ذلِكَ ، قَالَ اللهُ عَزَّ و</w:t>
      </w:r>
      <w:r>
        <w:rPr>
          <w:rFonts w:hint="cs"/>
          <w:rtl/>
          <w:lang w:bidi="fa-IR"/>
        </w:rPr>
        <w:t xml:space="preserve">َ </w:t>
      </w:r>
      <w:r w:rsidRPr="00132E65">
        <w:rPr>
          <w:rtl/>
          <w:lang w:bidi="fa-IR"/>
        </w:rPr>
        <w:t xml:space="preserve">جَلَّ : </w:t>
      </w:r>
      <w:r w:rsidRPr="00071CF9">
        <w:rPr>
          <w:rStyle w:val="libAlaemChar"/>
          <w:rtl/>
        </w:rPr>
        <w:t>(</w:t>
      </w:r>
      <w:r w:rsidRPr="00071CF9">
        <w:rPr>
          <w:rStyle w:val="libAieChar"/>
          <w:rtl/>
        </w:rPr>
        <w:t xml:space="preserve"> وَأُولُوا الْأَرْحامِ بَعْضُهُمْ أَوْلى بِبَعْضٍ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هِيَ فِينَا و</w:t>
      </w:r>
      <w:r>
        <w:rPr>
          <w:rFonts w:hint="cs"/>
          <w:rtl/>
          <w:lang w:bidi="fa-IR"/>
        </w:rPr>
        <w:t>َ</w:t>
      </w:r>
      <w:r w:rsidRPr="00132E65">
        <w:rPr>
          <w:rtl/>
          <w:lang w:bidi="fa-IR"/>
        </w:rPr>
        <w:t xml:space="preserve">فِي أَبْنَائِنَا </w:t>
      </w:r>
      <w:r>
        <w:rPr>
          <w:rStyle w:val="libFootnotenumChar"/>
          <w:rtl/>
        </w:rPr>
        <w:t>(10)</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6450A5" w:rsidRDefault="000C39D1" w:rsidP="000C39D1">
      <w:pPr>
        <w:pStyle w:val="Heading2Center"/>
        <w:rPr>
          <w:rtl/>
        </w:rPr>
      </w:pPr>
      <w:bookmarkStart w:id="8" w:name="_Toc459459092"/>
      <w:bookmarkStart w:id="9" w:name="_Toc34663061"/>
      <w:r w:rsidRPr="006450A5">
        <w:rPr>
          <w:rtl/>
        </w:rPr>
        <w:t xml:space="preserve">65 </w:t>
      </w:r>
      <w:r>
        <w:rPr>
          <w:rtl/>
        </w:rPr>
        <w:t>-</w:t>
      </w:r>
      <w:r w:rsidRPr="006450A5">
        <w:rPr>
          <w:rtl/>
        </w:rPr>
        <w:t xml:space="preserve"> بَابُ الْإِشَارَةِ والنَّصِّ عَلى أَمِيرِ الْمُؤْمِنِينَ </w:t>
      </w:r>
      <w:r w:rsidRPr="00071CF9">
        <w:rPr>
          <w:rStyle w:val="libAlaemChar"/>
          <w:rtl/>
        </w:rPr>
        <w:t>عليه‌السلام</w:t>
      </w:r>
      <w:r w:rsidRPr="006450A5">
        <w:rPr>
          <w:rtl/>
        </w:rPr>
        <w:t xml:space="preserve"> </w:t>
      </w:r>
      <w:r>
        <w:rPr>
          <w:rStyle w:val="libFootnotenumChar"/>
          <w:rtl/>
        </w:rPr>
        <w:t>(12)</w:t>
      </w:r>
      <w:r w:rsidRPr="006450A5">
        <w:rPr>
          <w:rtl/>
        </w:rPr>
        <w:t xml:space="preserve"> ‌</w:t>
      </w:r>
      <w:bookmarkEnd w:id="8"/>
      <w:bookmarkEnd w:id="9"/>
    </w:p>
    <w:p w:rsidR="000C39D1" w:rsidRPr="00132E65" w:rsidRDefault="000C39D1" w:rsidP="000C39D1">
      <w:pPr>
        <w:pStyle w:val="libNormal"/>
        <w:rPr>
          <w:rtl/>
          <w:lang w:bidi="fa-IR"/>
        </w:rPr>
      </w:pPr>
      <w:r w:rsidRPr="007A103C">
        <w:rPr>
          <w:rtl/>
        </w:rPr>
        <w:t>766</w:t>
      </w:r>
      <w:r w:rsidRPr="004325D8">
        <w:rPr>
          <w:rStyle w:val="libBold2Char"/>
          <w:rtl/>
        </w:rPr>
        <w:t xml:space="preserve"> / 1.</w:t>
      </w:r>
      <w:r w:rsidRPr="00132E65">
        <w:rPr>
          <w:rtl/>
          <w:lang w:bidi="fa-IR"/>
        </w:rPr>
        <w:t xml:space="preserve"> مُحَمَّدُ بْنُ يَحْيى ، عَنْ مُحَمَّدِ بْنِ الْحُسَيْنِ ، عَنْ مُحَمَّدِ بْنِ إِسْمَاعِيلَ ، عَنْ مَنْصُورِ بْنِ يُونُسَ ، عَنْ زَيْدِ بْنِ الْجَهْمِ الْهِلَالِيِّ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لَمَّا نَزَلَتْ و</w:t>
      </w:r>
      <w:r>
        <w:rPr>
          <w:rFonts w:hint="cs"/>
          <w:rtl/>
          <w:lang w:bidi="fa-IR"/>
        </w:rPr>
        <w:t>َ</w:t>
      </w:r>
      <w:r w:rsidRPr="00132E65">
        <w:rPr>
          <w:rtl/>
          <w:lang w:bidi="fa-IR"/>
        </w:rPr>
        <w:t xml:space="preserve">لَايَةُ </w:t>
      </w:r>
      <w:r w:rsidRPr="00F543F1">
        <w:rPr>
          <w:rStyle w:val="libFootnotenumChar"/>
          <w:rtl/>
        </w:rPr>
        <w:t>(13)</w:t>
      </w:r>
      <w:r w:rsidRPr="00132E65">
        <w:rPr>
          <w:rtl/>
          <w:lang w:bidi="fa-IR"/>
        </w:rPr>
        <w:t xml:space="preserve"> عَلِيِّ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 ما دَرَيْتُ » ، أي ما عرفتُ ؛ من الدِراية. راجع : </w:t>
      </w:r>
      <w:r w:rsidRPr="007A103C">
        <w:rPr>
          <w:rtl/>
        </w:rPr>
        <w:t>المفردات</w:t>
      </w:r>
      <w:r w:rsidRPr="00132E65">
        <w:rPr>
          <w:rtl/>
        </w:rPr>
        <w:t xml:space="preserve"> للراغب ، ص 312 ( درى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ه‍ ، بف »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(4).</w:t>
            </w:r>
            <w:r w:rsidRPr="00132E65">
              <w:rPr>
                <w:rtl/>
              </w:rPr>
              <w:t xml:space="preserve"> في « بر » : « فلو »</w:t>
            </w:r>
            <w:r>
              <w:rPr>
                <w:rtl/>
              </w:rPr>
              <w:t>.</w:t>
            </w:r>
          </w:p>
        </w:tc>
      </w:tr>
    </w:tbl>
    <w:p w:rsidR="000C39D1" w:rsidRPr="00132E65" w:rsidRDefault="000C39D1" w:rsidP="000C39D1">
      <w:pPr>
        <w:pStyle w:val="libFootnote0"/>
        <w:rPr>
          <w:rtl/>
          <w:lang w:bidi="fa-IR"/>
        </w:rPr>
      </w:pPr>
      <w:r>
        <w:rPr>
          <w:rtl/>
        </w:rPr>
        <w:t>(5).</w:t>
      </w:r>
      <w:r w:rsidRPr="00132E65">
        <w:rPr>
          <w:rtl/>
        </w:rPr>
        <w:t xml:space="preserve"> « يَزْوِيها » : من زَوَيْتُه أزْوِيه زيّاً ، أي جمعته وطويته ونحّيته ؛ أو من زواه عنّي ، أي صرفه عنّي وقبضه. راجع : </w:t>
      </w:r>
      <w:r w:rsidRPr="007A103C">
        <w:rPr>
          <w:rtl/>
        </w:rPr>
        <w:t>النهاية</w:t>
      </w:r>
      <w:r w:rsidRPr="00132E65">
        <w:rPr>
          <w:rtl/>
        </w:rPr>
        <w:t xml:space="preserve"> ، ج 2 ، ص 320 ( زوى )</w:t>
      </w:r>
      <w:r>
        <w:rPr>
          <w:rtl/>
        </w:rPr>
        <w:t>.</w:t>
      </w:r>
      <w:r>
        <w:rPr>
          <w:rFonts w:hint="cs"/>
          <w:rtl/>
        </w:rPr>
        <w:t xml:space="preserve">               </w:t>
      </w:r>
      <w:r w:rsidR="00CE1F23">
        <w:rPr>
          <w:rFonts w:hint="cs"/>
          <w:rtl/>
        </w:rPr>
        <w:t xml:space="preserve">      </w:t>
      </w:r>
      <w:r>
        <w:rPr>
          <w:rFonts w:hint="cs"/>
          <w:rtl/>
        </w:rPr>
        <w:t xml:space="preserve">          </w:t>
      </w:r>
      <w:r>
        <w:rPr>
          <w:rtl/>
        </w:rPr>
        <w:t>(6).</w:t>
      </w:r>
      <w:r>
        <w:rPr>
          <w:rFonts w:hint="cs"/>
          <w:rtl/>
        </w:rPr>
        <w:t xml:space="preserve"> </w:t>
      </w:r>
      <w:r w:rsidRPr="00132E65">
        <w:rPr>
          <w:rtl/>
        </w:rPr>
        <w:t>في « ف » : « إنّه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ه‍ » : « فأوصى »</w:t>
            </w:r>
            <w:r>
              <w:rPr>
                <w:rtl/>
              </w:rPr>
              <w:t>.</w:t>
            </w:r>
          </w:p>
        </w:tc>
        <w:tc>
          <w:tcPr>
            <w:tcW w:w="4006" w:type="dxa"/>
          </w:tcPr>
          <w:p w:rsidR="000C39D1" w:rsidRDefault="000C39D1" w:rsidP="00B53873">
            <w:pPr>
              <w:pStyle w:val="libFootnote0"/>
              <w:rPr>
                <w:rtl/>
              </w:rPr>
            </w:pPr>
            <w:r>
              <w:rPr>
                <w:rtl/>
              </w:rPr>
              <w:t>(8).</w:t>
            </w:r>
            <w:r w:rsidRPr="00132E65">
              <w:rPr>
                <w:rtl/>
              </w:rPr>
              <w:t xml:space="preserve"> في«</w:t>
            </w:r>
            <w:r>
              <w:rPr>
                <w:rtl/>
              </w:rPr>
              <w:t>ب</w:t>
            </w:r>
            <w:r w:rsidRPr="00132E65">
              <w:rPr>
                <w:rtl/>
              </w:rPr>
              <w:t>،ج،ض،بر،بس،بف»و</w:t>
            </w:r>
            <w:r w:rsidRPr="009D1ACE">
              <w:rPr>
                <w:rStyle w:val="libFootnoteBoldChar"/>
                <w:rtl/>
              </w:rPr>
              <w:t>الوافي</w:t>
            </w:r>
            <w:r w:rsidRPr="00132E65">
              <w:rPr>
                <w:rtl/>
              </w:rPr>
              <w:t>:</w:t>
            </w:r>
            <w:r>
              <w:rPr>
                <w:rtl/>
              </w:rPr>
              <w:t>+</w:t>
            </w:r>
            <w:r w:rsidRPr="00132E65">
              <w:rPr>
                <w:rtl/>
              </w:rPr>
              <w:t>«له»</w:t>
            </w:r>
            <w:r>
              <w:rPr>
                <w:rtl/>
              </w:rPr>
              <w:t>.</w:t>
            </w:r>
          </w:p>
        </w:tc>
      </w:tr>
    </w:tbl>
    <w:p w:rsidR="000C39D1" w:rsidRPr="00132E65" w:rsidRDefault="000C39D1" w:rsidP="000C39D1">
      <w:pPr>
        <w:pStyle w:val="libFootnote0"/>
        <w:rPr>
          <w:rtl/>
          <w:lang w:bidi="fa-IR"/>
        </w:rPr>
      </w:pPr>
      <w:r>
        <w:rPr>
          <w:rtl/>
        </w:rPr>
        <w:t>(9).</w:t>
      </w:r>
      <w:r w:rsidRPr="00132E65">
        <w:rPr>
          <w:rtl/>
        </w:rPr>
        <w:t xml:space="preserve"> الأنفال </w:t>
      </w:r>
      <w:r>
        <w:rPr>
          <w:rtl/>
        </w:rPr>
        <w:t>(8).</w:t>
      </w:r>
      <w:r w:rsidRPr="00132E65">
        <w:rPr>
          <w:rtl/>
        </w:rPr>
        <w:t xml:space="preserve"> : 75 ؛ الأحزاب (33) : 6. وفي « ف » :</w:t>
      </w:r>
      <w:r>
        <w:rPr>
          <w:rtl/>
        </w:rPr>
        <w:t xml:space="preserve"> + </w:t>
      </w:r>
      <w:r w:rsidRPr="002B3E91">
        <w:rPr>
          <w:rStyle w:val="libFootnoteAlaemChar"/>
          <w:rFonts w:hint="cs"/>
          <w:rtl/>
        </w:rPr>
        <w:t>(</w:t>
      </w:r>
      <w:r w:rsidRPr="00132E65">
        <w:rPr>
          <w:rtl/>
        </w:rPr>
        <w:t xml:space="preserve"> </w:t>
      </w:r>
      <w:r w:rsidRPr="002B3E91">
        <w:rPr>
          <w:rStyle w:val="libFootnoteAieChar"/>
          <w:rtl/>
        </w:rPr>
        <w:t>فِى كِتَاب الله</w:t>
      </w:r>
      <w:r w:rsidRPr="00132E65">
        <w:rPr>
          <w:rtl/>
        </w:rPr>
        <w:t xml:space="preserve"> </w:t>
      </w:r>
      <w:r w:rsidRPr="002B3E91">
        <w:rPr>
          <w:rStyle w:val="libFootnoteAlaemChar"/>
          <w:rFonts w:hint="cs"/>
          <w:rtl/>
        </w:rPr>
        <w:t>)</w:t>
      </w:r>
      <w:r>
        <w:rPr>
          <w:rtl/>
        </w:rPr>
        <w:t>.</w:t>
      </w:r>
    </w:p>
    <w:p w:rsidR="000C39D1" w:rsidRPr="00132E65" w:rsidRDefault="000C39D1" w:rsidP="000C39D1">
      <w:pPr>
        <w:pStyle w:val="libFootnote0"/>
        <w:rPr>
          <w:rtl/>
          <w:lang w:bidi="fa-IR"/>
        </w:rPr>
      </w:pPr>
      <w:r>
        <w:rPr>
          <w:rtl/>
        </w:rPr>
        <w:t>(10).</w:t>
      </w:r>
      <w:r w:rsidRPr="00132E65">
        <w:rPr>
          <w:rtl/>
        </w:rPr>
        <w:t xml:space="preserve"> في « ف » : « آبائنا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2 ، ص 279 ، باب ما نصّ الله ورسوله </w:t>
      </w:r>
      <w:r w:rsidRPr="00E04C9D">
        <w:rPr>
          <w:rStyle w:val="libFootnoteAlaemChar"/>
          <w:rtl/>
        </w:rPr>
        <w:t>صلى‌الله‌عليه‌وآله</w:t>
      </w:r>
      <w:r w:rsidRPr="00132E65">
        <w:rPr>
          <w:rtl/>
        </w:rPr>
        <w:t xml:space="preserve"> عليهم ، ح 750.</w:t>
      </w:r>
    </w:p>
    <w:p w:rsidR="000C39D1" w:rsidRPr="00132E65" w:rsidRDefault="000C39D1" w:rsidP="000C39D1">
      <w:pPr>
        <w:pStyle w:val="libFootnote0"/>
        <w:rPr>
          <w:rtl/>
          <w:lang w:bidi="fa-IR"/>
        </w:rPr>
      </w:pPr>
      <w:r>
        <w:rPr>
          <w:rtl/>
        </w:rPr>
        <w:t>(12).</w:t>
      </w:r>
      <w:r w:rsidRPr="00132E65">
        <w:rPr>
          <w:rtl/>
        </w:rPr>
        <w:t xml:space="preserve"> في « ب ، ف ، ه‍ ، بح ، بس ، بف » و</w:t>
      </w:r>
      <w:r w:rsidRPr="009D1ACE">
        <w:rPr>
          <w:rStyle w:val="libFootnoteBoldChar"/>
          <w:rtl/>
        </w:rPr>
        <w:t>مرآة العقول</w:t>
      </w:r>
      <w:r w:rsidRPr="00132E65">
        <w:rPr>
          <w:rtl/>
        </w:rPr>
        <w:t xml:space="preserve"> </w:t>
      </w:r>
      <w:r>
        <w:rPr>
          <w:rtl/>
        </w:rPr>
        <w:t xml:space="preserve">: - </w:t>
      </w:r>
      <w:r w:rsidRPr="00132E65">
        <w:rPr>
          <w:rtl/>
        </w:rPr>
        <w:t>« باب الإشارة</w:t>
      </w:r>
      <w:r>
        <w:rPr>
          <w:rtl/>
        </w:rPr>
        <w:t xml:space="preserve"> - </w:t>
      </w:r>
      <w:r w:rsidRPr="00132E65">
        <w:rPr>
          <w:rtl/>
        </w:rPr>
        <w:t>إلى</w:t>
      </w:r>
      <w:r>
        <w:rPr>
          <w:rtl/>
        </w:rPr>
        <w:t xml:space="preserve"> –</w:t>
      </w:r>
      <w:r>
        <w:rPr>
          <w:rFonts w:hint="cs"/>
          <w:rtl/>
        </w:rPr>
        <w:t xml:space="preserve"> عليه السلام</w:t>
      </w:r>
      <w:r w:rsidRPr="00132E65">
        <w:rPr>
          <w:rtl/>
        </w:rPr>
        <w:t>»</w:t>
      </w:r>
      <w:r>
        <w:rPr>
          <w:rtl/>
        </w:rPr>
        <w:t>.</w:t>
      </w:r>
    </w:p>
    <w:p w:rsidR="000C39D1" w:rsidRPr="00132E65" w:rsidRDefault="000C39D1" w:rsidP="000C39D1">
      <w:pPr>
        <w:pStyle w:val="libFootnote0"/>
        <w:rPr>
          <w:rtl/>
          <w:lang w:bidi="fa-IR"/>
        </w:rPr>
      </w:pPr>
      <w:r>
        <w:rPr>
          <w:rtl/>
        </w:rPr>
        <w:t>(13)</w:t>
      </w:r>
      <w:r>
        <w:rPr>
          <w:rFonts w:hint="cs"/>
          <w:rtl/>
        </w:rPr>
        <w:t>.</w:t>
      </w:r>
      <w:r w:rsidRPr="00132E65">
        <w:rPr>
          <w:rtl/>
        </w:rPr>
        <w:t xml:space="preserve"> « الوِلاية والوَلاية » ، نحو الدِلالة والدَلالة. وحقيقته تولّي الأمر. </w:t>
      </w:r>
      <w:r w:rsidRPr="007A103C">
        <w:rPr>
          <w:rtl/>
        </w:rPr>
        <w:t>المفردات</w:t>
      </w:r>
      <w:r w:rsidRPr="00132E65">
        <w:rPr>
          <w:rtl/>
        </w:rPr>
        <w:t xml:space="preserve"> للراغب ، ص 885 ( ولى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أَبِي طَالِبٍ </w:t>
      </w:r>
      <w:r>
        <w:rPr>
          <w:rStyle w:val="libFootnotenumChar"/>
          <w:rtl/>
        </w:rPr>
        <w:t>(1)</w:t>
      </w:r>
      <w:r w:rsidRPr="00132E65">
        <w:rPr>
          <w:rtl/>
          <w:lang w:bidi="fa-IR"/>
        </w:rPr>
        <w:t xml:space="preserve"> </w:t>
      </w:r>
      <w:r w:rsidRPr="00071CF9">
        <w:rPr>
          <w:rStyle w:val="libAlaemChar"/>
          <w:rtl/>
        </w:rPr>
        <w:t>عليه‌السلام</w:t>
      </w:r>
      <w:r w:rsidRPr="00132E65">
        <w:rPr>
          <w:rtl/>
          <w:lang w:bidi="fa-IR"/>
        </w:rPr>
        <w:t xml:space="preserve"> ، و</w:t>
      </w:r>
      <w:r>
        <w:rPr>
          <w:rFonts w:hint="cs"/>
          <w:rtl/>
          <w:lang w:bidi="fa-IR"/>
        </w:rPr>
        <w:t xml:space="preserve">َ </w:t>
      </w:r>
      <w:r w:rsidRPr="00132E65">
        <w:rPr>
          <w:rtl/>
          <w:lang w:bidi="fa-IR"/>
        </w:rPr>
        <w:t xml:space="preserve">كَانَ </w:t>
      </w:r>
      <w:r>
        <w:rPr>
          <w:rStyle w:val="libFootnotenumChar"/>
          <w:rtl/>
        </w:rPr>
        <w:t>(2)</w:t>
      </w:r>
      <w:r w:rsidRPr="00132E65">
        <w:rPr>
          <w:rtl/>
          <w:lang w:bidi="fa-IR"/>
        </w:rPr>
        <w:t xml:space="preserve"> مِنْ قَوْلِ رَسُولِ اللهِ </w:t>
      </w:r>
      <w:r w:rsidRPr="00071CF9">
        <w:rPr>
          <w:rStyle w:val="libAlaemChar"/>
          <w:rtl/>
        </w:rPr>
        <w:t>صلى‌الله‌عليه‌وآله</w:t>
      </w:r>
      <w:r w:rsidRPr="00132E65">
        <w:rPr>
          <w:rtl/>
          <w:lang w:bidi="fa-IR"/>
        </w:rPr>
        <w:t xml:space="preserve"> : سَلِّمُوا عَلى عَلِيٍّ بِإِمْرَةِ </w:t>
      </w:r>
      <w:r>
        <w:rPr>
          <w:rStyle w:val="libFootnotenumChar"/>
          <w:rtl/>
        </w:rPr>
        <w:t>(3)</w:t>
      </w:r>
      <w:r w:rsidRPr="00132E65">
        <w:rPr>
          <w:rtl/>
          <w:lang w:bidi="fa-IR"/>
        </w:rPr>
        <w:t xml:space="preserve"> الْمُؤْمِنِينَ ، فَكَانَ </w:t>
      </w:r>
      <w:r>
        <w:rPr>
          <w:rStyle w:val="libFootnotenumChar"/>
          <w:rtl/>
        </w:rPr>
        <w:t>(4)</w:t>
      </w:r>
      <w:r w:rsidRPr="00132E65">
        <w:rPr>
          <w:rtl/>
          <w:lang w:bidi="fa-IR"/>
        </w:rPr>
        <w:t xml:space="preserve"> مِمَّا أَكَّدَ اللهُ عَلَيْهِمَا فِي ذلِكَ الْيَوْمِ يَا زَيْدُ ، قَوْلُ رَسُولِ اللهِ </w:t>
      </w:r>
      <w:r w:rsidRPr="00071CF9">
        <w:rPr>
          <w:rStyle w:val="libAlaemChar"/>
          <w:rtl/>
        </w:rPr>
        <w:t>صلى‌الله‌عليه‌وآله</w:t>
      </w:r>
      <w:r w:rsidRPr="00132E65">
        <w:rPr>
          <w:rtl/>
          <w:lang w:bidi="fa-IR"/>
        </w:rPr>
        <w:t xml:space="preserve"> لَهُمَا : قُومَا فَسَلِّمَا عَلَيْهِ بِإِمْرَةِ</w:t>
      </w:r>
      <w:r>
        <w:rPr>
          <w:rtl/>
          <w:lang w:bidi="fa-IR"/>
        </w:rPr>
        <w:t xml:space="preserve"> الْمُؤْمِنِينَ ، فَقَالَا : أَ</w:t>
      </w:r>
      <w:r w:rsidRPr="00132E65">
        <w:rPr>
          <w:rtl/>
          <w:lang w:bidi="fa-IR"/>
        </w:rPr>
        <w:t xml:space="preserve">مِنَ اللهِ أَوْ </w:t>
      </w:r>
      <w:r>
        <w:rPr>
          <w:rStyle w:val="libFootnotenumChar"/>
          <w:rtl/>
        </w:rPr>
        <w:t>(5)</w:t>
      </w:r>
      <w:r w:rsidRPr="00132E65">
        <w:rPr>
          <w:rtl/>
          <w:lang w:bidi="fa-IR"/>
        </w:rPr>
        <w:t xml:space="preserve"> مِنْ رَسُولِهِ يَا رَسُولَ اللهِ</w:t>
      </w:r>
      <w:r>
        <w:rPr>
          <w:rtl/>
          <w:lang w:bidi="fa-IR"/>
        </w:rPr>
        <w:t>؟</w:t>
      </w:r>
      <w:r w:rsidRPr="00132E65">
        <w:rPr>
          <w:rtl/>
          <w:lang w:bidi="fa-IR"/>
        </w:rPr>
        <w:t xml:space="preserve"> فَقَالَ لَهُمَا رَسُولُ اللهِ </w:t>
      </w:r>
      <w:r w:rsidRPr="00071CF9">
        <w:rPr>
          <w:rStyle w:val="libAlaemChar"/>
          <w:rtl/>
        </w:rPr>
        <w:t>صلى‌الله‌عليه‌وآله</w:t>
      </w:r>
      <w:r w:rsidRPr="00132E65">
        <w:rPr>
          <w:rtl/>
          <w:lang w:bidi="fa-IR"/>
        </w:rPr>
        <w:t>: مِنَ اللهِ و</w:t>
      </w:r>
      <w:r>
        <w:rPr>
          <w:rFonts w:hint="cs"/>
          <w:rtl/>
          <w:lang w:bidi="fa-IR"/>
        </w:rPr>
        <w:t>َ</w:t>
      </w:r>
      <w:r w:rsidRPr="00132E65">
        <w:rPr>
          <w:rtl/>
          <w:lang w:bidi="fa-IR"/>
        </w:rPr>
        <w:t>مِنْ رَسُولِهِ.</w:t>
      </w:r>
    </w:p>
    <w:p w:rsidR="000C39D1" w:rsidRPr="00132E65" w:rsidRDefault="000C39D1" w:rsidP="000C39D1">
      <w:pPr>
        <w:pStyle w:val="libNormal"/>
        <w:rPr>
          <w:rtl/>
          <w:lang w:bidi="fa-IR"/>
        </w:rPr>
      </w:pPr>
      <w:r w:rsidRPr="00132E65">
        <w:rPr>
          <w:rtl/>
          <w:lang w:bidi="fa-IR"/>
        </w:rPr>
        <w:t>فَأَنْزَلَ اللهُ عَزَّ و</w:t>
      </w:r>
      <w:r>
        <w:rPr>
          <w:rFonts w:hint="cs"/>
          <w:rtl/>
          <w:lang w:bidi="fa-IR"/>
        </w:rPr>
        <w:t xml:space="preserve">َ </w:t>
      </w:r>
      <w:r w:rsidRPr="00132E65">
        <w:rPr>
          <w:rtl/>
          <w:lang w:bidi="fa-IR"/>
        </w:rPr>
        <w:t xml:space="preserve">جَلَّ : </w:t>
      </w:r>
      <w:r w:rsidRPr="00071CF9">
        <w:rPr>
          <w:rStyle w:val="libAlaemChar"/>
          <w:rtl/>
        </w:rPr>
        <w:t>(</w:t>
      </w:r>
      <w:r w:rsidRPr="00071CF9">
        <w:rPr>
          <w:rStyle w:val="libAieChar"/>
          <w:rtl/>
        </w:rPr>
        <w:t xml:space="preserve"> وَلا تَنْقُضُوا الْأَيْمانَ بَعْدَ تَوْكِيدِها وَقَدْ جَعَ</w:t>
      </w:r>
      <w:r>
        <w:rPr>
          <w:rStyle w:val="libAieChar"/>
          <w:rtl/>
        </w:rPr>
        <w:t>لْتُمُ اللهَ عَلَيْكُمْ كَفِيل</w:t>
      </w:r>
      <w:r>
        <w:rPr>
          <w:rStyle w:val="libAieChar"/>
          <w:rFonts w:hint="cs"/>
          <w:rtl/>
        </w:rPr>
        <w:t>ً</w:t>
      </w:r>
      <w:r>
        <w:rPr>
          <w:rStyle w:val="libAieChar"/>
          <w:rtl/>
        </w:rPr>
        <w:t>ا</w:t>
      </w:r>
      <w:r w:rsidRPr="00071CF9">
        <w:rPr>
          <w:rStyle w:val="libAieChar"/>
          <w:rtl/>
        </w:rPr>
        <w:t xml:space="preserve"> إِنَّ اللهَ يَعْلَمُ ما تَفْعَلُونَ </w:t>
      </w:r>
      <w:r w:rsidRPr="00071CF9">
        <w:rPr>
          <w:rStyle w:val="libAlaemChar"/>
          <w:rtl/>
        </w:rPr>
        <w:t>)</w:t>
      </w:r>
      <w:r w:rsidRPr="00132E65">
        <w:rPr>
          <w:rtl/>
          <w:lang w:bidi="fa-IR"/>
        </w:rPr>
        <w:t xml:space="preserve"> يَعْنِي بِهِ قَوْلَ رَسُولِ اللهِ </w:t>
      </w:r>
      <w:r w:rsidRPr="00071CF9">
        <w:rPr>
          <w:rStyle w:val="libAlaemChar"/>
          <w:rtl/>
        </w:rPr>
        <w:t>صلى‌الله‌عليه‌وآله</w:t>
      </w:r>
      <w:r w:rsidRPr="00132E65">
        <w:rPr>
          <w:rtl/>
          <w:lang w:bidi="fa-IR"/>
        </w:rPr>
        <w:t xml:space="preserve"> </w:t>
      </w:r>
      <w:r>
        <w:rPr>
          <w:rtl/>
          <w:lang w:bidi="fa-IR"/>
        </w:rPr>
        <w:t>لَهُمَا ، وقَوْلَهُمَا : أَ</w:t>
      </w:r>
      <w:r w:rsidRPr="00132E65">
        <w:rPr>
          <w:rtl/>
          <w:lang w:bidi="fa-IR"/>
        </w:rPr>
        <w:t>مِنَ اللهِ أَوْ مِنْ رَسُولِهِ</w:t>
      </w:r>
      <w:r>
        <w:rPr>
          <w:rtl/>
          <w:lang w:bidi="fa-IR"/>
        </w:rPr>
        <w:t>؟</w:t>
      </w:r>
      <w:r>
        <w:rPr>
          <w:rFonts w:hint="cs"/>
          <w:rtl/>
          <w:lang w:bidi="fa-IR"/>
        </w:rPr>
        <w:t xml:space="preserve"> </w:t>
      </w:r>
      <w:r w:rsidRPr="00071CF9">
        <w:rPr>
          <w:rStyle w:val="libAlaemChar"/>
          <w:rtl/>
        </w:rPr>
        <w:t>(</w:t>
      </w:r>
      <w:r w:rsidRPr="00071CF9">
        <w:rPr>
          <w:rStyle w:val="libAieChar"/>
          <w:rtl/>
        </w:rPr>
        <w:t xml:space="preserve"> وَلا تَكُونُوا كَالَّتِي نَقَضَتْ غَزْلَها مِنْ بَعْدِ قُوَّةٍ أَنْكاثاً تَتَّخِذُونَ أَيْمانَكُمْ دَخَلاً بَيْنَكُمْ أَنْ تَكُونَ </w:t>
      </w:r>
      <w:r w:rsidRPr="00132E65">
        <w:rPr>
          <w:rtl/>
          <w:lang w:bidi="fa-IR"/>
        </w:rPr>
        <w:t xml:space="preserve">( أَئِمَّةٌ </w:t>
      </w:r>
      <w:r>
        <w:rPr>
          <w:rStyle w:val="libFootnotenumChar"/>
          <w:rtl/>
        </w:rPr>
        <w:t>(6)</w:t>
      </w:r>
      <w:r w:rsidRPr="00132E65">
        <w:rPr>
          <w:rtl/>
          <w:lang w:bidi="fa-IR"/>
        </w:rPr>
        <w:t xml:space="preserve"> هِىَ أَزْكَى مِنْ أَئِمَّتِكُمْ ) </w:t>
      </w:r>
      <w:r>
        <w:rPr>
          <w:rStyle w:val="libFootnotenumChar"/>
          <w:rtl/>
        </w:rPr>
        <w:t>(7)</w:t>
      </w:r>
      <w:r w:rsidRPr="00DE5A53">
        <w:rPr>
          <w:rStyle w:val="libAlaemChar"/>
          <w:rtl/>
        </w:rPr>
        <w:t xml:space="preserve"> </w:t>
      </w:r>
      <w:r w:rsidRPr="00071CF9">
        <w:rPr>
          <w:rStyle w:val="libAlaemChar"/>
          <w:rtl/>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قُلْتُ : جُعِلْتُ فِدَاكَ ، أَئِمَّةٌ</w:t>
      </w:r>
      <w:r>
        <w:rPr>
          <w:rtl/>
          <w:lang w:bidi="fa-IR"/>
        </w:rPr>
        <w:t>؟</w:t>
      </w:r>
      <w:r w:rsidRPr="00132E65">
        <w:rPr>
          <w:rtl/>
          <w:lang w:bidi="fa-IR"/>
        </w:rPr>
        <w:t xml:space="preserve"> قَالَ : « إِي و</w:t>
      </w:r>
      <w:r>
        <w:rPr>
          <w:rFonts w:hint="cs"/>
          <w:rtl/>
          <w:lang w:bidi="fa-IR"/>
        </w:rPr>
        <w:t xml:space="preserve">َ </w:t>
      </w:r>
      <w:r w:rsidRPr="00132E65">
        <w:rPr>
          <w:rtl/>
          <w:lang w:bidi="fa-IR"/>
        </w:rPr>
        <w:t>اللهِ أَئِمَّةٌ » قُلْتُ : فَإِنَّا نَقْرَأُ</w:t>
      </w:r>
      <w:r>
        <w:rPr>
          <w:rFonts w:hint="cs"/>
          <w:rtl/>
          <w:lang w:bidi="fa-IR"/>
        </w:rPr>
        <w:t xml:space="preserve"> </w:t>
      </w:r>
      <w:r w:rsidRPr="00071CF9">
        <w:rPr>
          <w:rStyle w:val="libAlaemChar"/>
          <w:rtl/>
        </w:rPr>
        <w:t>(</w:t>
      </w:r>
      <w:r w:rsidRPr="00071CF9">
        <w:rPr>
          <w:rStyle w:val="libAieChar"/>
          <w:rtl/>
        </w:rPr>
        <w:t xml:space="preserve"> أَرْبى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فَقَالَ </w:t>
      </w:r>
      <w:r>
        <w:rPr>
          <w:rStyle w:val="libFootnotenumChar"/>
          <w:rtl/>
        </w:rPr>
        <w:t>(9)</w:t>
      </w:r>
      <w:r w:rsidRPr="00132E65">
        <w:rPr>
          <w:rtl/>
          <w:lang w:bidi="fa-IR"/>
        </w:rPr>
        <w:t xml:space="preserve"> : « مَا أَرْبى</w:t>
      </w:r>
      <w:r>
        <w:rPr>
          <w:rtl/>
          <w:lang w:bidi="fa-IR"/>
        </w:rPr>
        <w:t xml:space="preserve">؟ - </w:t>
      </w:r>
      <w:r w:rsidRPr="00132E65">
        <w:rPr>
          <w:rtl/>
          <w:lang w:bidi="fa-IR"/>
        </w:rPr>
        <w:t>و</w:t>
      </w:r>
      <w:r>
        <w:rPr>
          <w:rFonts w:hint="cs"/>
          <w:rtl/>
          <w:lang w:bidi="fa-IR"/>
        </w:rPr>
        <w:t xml:space="preserve">َ </w:t>
      </w:r>
      <w:r w:rsidRPr="00132E65">
        <w:rPr>
          <w:rtl/>
          <w:lang w:bidi="fa-IR"/>
        </w:rPr>
        <w:t xml:space="preserve">أَوْمَأَ بِيَدِهِ فَطَرَحَهَا </w:t>
      </w:r>
      <w:r>
        <w:rPr>
          <w:rStyle w:val="libFootnotenumChar"/>
          <w:rtl/>
        </w:rPr>
        <w:t>(10)</w:t>
      </w:r>
      <w:r>
        <w:rPr>
          <w:rtl/>
          <w:lang w:bidi="fa-IR"/>
        </w:rPr>
        <w:t xml:space="preserve"> - </w:t>
      </w:r>
      <w:r w:rsidRPr="00071CF9">
        <w:rPr>
          <w:rStyle w:val="libAlaemChar"/>
          <w:rtl/>
        </w:rPr>
        <w:t>(</w:t>
      </w:r>
      <w:r w:rsidRPr="00071CF9">
        <w:rPr>
          <w:rStyle w:val="libAieChar"/>
          <w:rtl/>
        </w:rPr>
        <w:t xml:space="preserve"> إِنَّما يَبْلُوكُمُ اللهُ بِهِ </w:t>
      </w:r>
      <w:r w:rsidRPr="00071CF9">
        <w:rPr>
          <w:rStyle w:val="libAlaemChar"/>
          <w:rtl/>
        </w:rPr>
        <w:t>)</w:t>
      </w:r>
      <w:r w:rsidRPr="00132E65">
        <w:rPr>
          <w:rtl/>
          <w:lang w:bidi="fa-IR"/>
        </w:rPr>
        <w:t xml:space="preserve"> يَعْنِي بِعَلِيٍّ </w:t>
      </w:r>
      <w:r w:rsidRPr="00071CF9">
        <w:rPr>
          <w:rStyle w:val="libAlaemChar"/>
          <w:rtl/>
        </w:rPr>
        <w:t>عليه‌السلام(</w:t>
      </w:r>
      <w:r w:rsidRPr="00071CF9">
        <w:rPr>
          <w:rStyle w:val="libAieChar"/>
          <w:rtl/>
        </w:rPr>
        <w:t xml:space="preserve"> وَلَيُبَيِّنَنَّ لَكُمْ يَوْمَ الْقِيامَةِ ما كُنْتُمْ فِيهِ تَخْتَلِفُونَ</w:t>
      </w:r>
      <w:r>
        <w:rPr>
          <w:rStyle w:val="libAieChar"/>
          <w:rFonts w:hint="cs"/>
          <w:rtl/>
        </w:rPr>
        <w:t>*</w:t>
      </w:r>
      <w:r w:rsidRPr="00071CF9">
        <w:rPr>
          <w:rStyle w:val="libAieChar"/>
          <w:rtl/>
        </w:rPr>
        <w:t xml:space="preserve">وَلَوْ شاءَ اللهُ لَجَعَلَكُمْ أُمَّةً واحِدَةً وَلكِنْ يُضِلُّ مَنْ يَشاءُ وَيَهْدِي مَنْ يَشاءُ وَلَتُسْئَلُنَّ </w:t>
      </w:r>
      <w:r w:rsidRPr="00071CF9">
        <w:rPr>
          <w:rStyle w:val="libAlaemChar"/>
          <w:rtl/>
        </w:rPr>
        <w:t>)</w:t>
      </w:r>
      <w:r w:rsidRPr="00132E65">
        <w:rPr>
          <w:rtl/>
          <w:lang w:bidi="fa-IR"/>
        </w:rPr>
        <w:t xml:space="preserve"> يَوْمَ الْقِيَامَةِ </w:t>
      </w:r>
      <w:r>
        <w:rPr>
          <w:rStyle w:val="libFootnotenumChar"/>
          <w:rtl/>
        </w:rPr>
        <w:t>(11)</w:t>
      </w:r>
      <w:r w:rsidRPr="00132E65">
        <w:rPr>
          <w:rtl/>
          <w:lang w:bidi="fa-IR"/>
        </w:rPr>
        <w:t xml:space="preserve"> </w:t>
      </w:r>
      <w:r w:rsidRPr="00071CF9">
        <w:rPr>
          <w:rStyle w:val="libAlaemChar"/>
          <w:rtl/>
        </w:rPr>
        <w:t>(</w:t>
      </w:r>
      <w:r w:rsidRPr="00071CF9">
        <w:rPr>
          <w:rStyle w:val="libAieChar"/>
          <w:rtl/>
        </w:rPr>
        <w:t xml:space="preserve"> عَمّا كُنْتُمْ تَعْمَلُونَ</w:t>
      </w:r>
      <w:r>
        <w:rPr>
          <w:rStyle w:val="libAieChar"/>
          <w:rFonts w:hint="cs"/>
          <w:rtl/>
        </w:rPr>
        <w:t xml:space="preserve"> *</w:t>
      </w:r>
      <w:r w:rsidRPr="00071CF9">
        <w:rPr>
          <w:rStyle w:val="libAieChar"/>
          <w:rtl/>
        </w:rPr>
        <w:t xml:space="preserve"> وَلا </w:t>
      </w:r>
      <w:r>
        <w:rPr>
          <w:rStyle w:val="libAieChar"/>
          <w:rtl/>
        </w:rPr>
        <w:t>تَتَّخِذُوا أَيْمانَكُمْ دَخَل</w:t>
      </w:r>
      <w:r>
        <w:rPr>
          <w:rStyle w:val="libAieChar"/>
          <w:rFonts w:hint="cs"/>
          <w:rtl/>
        </w:rPr>
        <w:t>ً</w:t>
      </w:r>
      <w:r>
        <w:rPr>
          <w:rStyle w:val="libAieChar"/>
          <w:rtl/>
        </w:rPr>
        <w:t>ا</w:t>
      </w:r>
      <w:r w:rsidRPr="00071CF9">
        <w:rPr>
          <w:rStyle w:val="libAieChar"/>
          <w:rtl/>
        </w:rPr>
        <w:t xml:space="preserve"> بَيْنَكُمْ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ف ، ه‍ ، بف » و</w:t>
      </w:r>
      <w:r w:rsidRPr="009D1ACE">
        <w:rPr>
          <w:rStyle w:val="libFootnoteBoldChar"/>
          <w:rtl/>
        </w:rPr>
        <w:t>الوافي</w:t>
      </w:r>
      <w:r w:rsidRPr="00132E65">
        <w:rPr>
          <w:rtl/>
        </w:rPr>
        <w:t xml:space="preserve"> </w:t>
      </w:r>
      <w:r>
        <w:rPr>
          <w:rtl/>
        </w:rPr>
        <w:t xml:space="preserve">: - </w:t>
      </w:r>
      <w:r w:rsidRPr="00132E65">
        <w:rPr>
          <w:rtl/>
        </w:rPr>
        <w:t>« بن أبي طالب »</w:t>
      </w:r>
      <w:r>
        <w:rPr>
          <w:rtl/>
        </w:rPr>
        <w:t>.</w:t>
      </w:r>
    </w:p>
    <w:p w:rsidR="000C39D1" w:rsidRPr="00132E65" w:rsidRDefault="000C39D1" w:rsidP="000C39D1">
      <w:pPr>
        <w:pStyle w:val="libFootnote0"/>
        <w:rPr>
          <w:rtl/>
          <w:lang w:bidi="fa-IR"/>
        </w:rPr>
      </w:pPr>
      <w:r>
        <w:rPr>
          <w:rtl/>
        </w:rPr>
        <w:t>(2).</w:t>
      </w:r>
      <w:r w:rsidRPr="00132E65">
        <w:rPr>
          <w:rtl/>
        </w:rPr>
        <w:t xml:space="preserve"> في « ه‍ » : « فكان »</w:t>
      </w:r>
      <w:r>
        <w:rPr>
          <w:rtl/>
        </w:rPr>
        <w:t>.</w:t>
      </w:r>
    </w:p>
    <w:p w:rsidR="000C39D1" w:rsidRPr="00132E65" w:rsidRDefault="000C39D1" w:rsidP="000C39D1">
      <w:pPr>
        <w:pStyle w:val="libFootnote0"/>
        <w:rPr>
          <w:rtl/>
          <w:lang w:bidi="fa-IR"/>
        </w:rPr>
      </w:pPr>
      <w:r>
        <w:rPr>
          <w:rtl/>
        </w:rPr>
        <w:t>(3).</w:t>
      </w:r>
      <w:r w:rsidRPr="00132E65">
        <w:rPr>
          <w:rtl/>
        </w:rPr>
        <w:t xml:space="preserve"> « الإمرة » </w:t>
      </w:r>
      <w:r>
        <w:rPr>
          <w:rtl/>
        </w:rPr>
        <w:t>و «</w:t>
      </w:r>
      <w:r w:rsidRPr="00132E65">
        <w:rPr>
          <w:rtl/>
        </w:rPr>
        <w:t xml:space="preserve"> الإمارة » : الولاية. راجع : </w:t>
      </w:r>
      <w:r w:rsidRPr="007A103C">
        <w:rPr>
          <w:rtl/>
        </w:rPr>
        <w:t>الصحاح</w:t>
      </w:r>
      <w:r w:rsidRPr="00132E65">
        <w:rPr>
          <w:rtl/>
        </w:rPr>
        <w:t xml:space="preserve"> ، ج 2 ، ص 581 ؛ </w:t>
      </w:r>
      <w:r w:rsidRPr="007A103C">
        <w:rPr>
          <w:rtl/>
        </w:rPr>
        <w:t>المصباح المنير</w:t>
      </w:r>
      <w:r w:rsidRPr="00132E65">
        <w:rPr>
          <w:rtl/>
        </w:rPr>
        <w:t xml:space="preserve"> ، ص 22 ( أمر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(4).</w:t>
            </w:r>
            <w:r w:rsidRPr="00132E65">
              <w:rPr>
                <w:rtl/>
              </w:rPr>
              <w:t xml:space="preserve"> في « ج ، ف » : « وكان »</w:t>
            </w:r>
            <w:r>
              <w:rPr>
                <w:rtl/>
              </w:rPr>
              <w:t>.</w:t>
            </w:r>
          </w:p>
        </w:tc>
        <w:tc>
          <w:tcPr>
            <w:tcW w:w="4006" w:type="dxa"/>
          </w:tcPr>
          <w:p w:rsidR="000C39D1" w:rsidRDefault="000C39D1" w:rsidP="00B53873">
            <w:pPr>
              <w:pStyle w:val="libFootnote0"/>
              <w:rPr>
                <w:rtl/>
                <w:lang w:bidi="fa-IR"/>
              </w:rPr>
            </w:pPr>
            <w:r>
              <w:rPr>
                <w:rtl/>
              </w:rPr>
              <w:t>(5).</w:t>
            </w:r>
            <w:r w:rsidRPr="00132E65">
              <w:rPr>
                <w:rtl/>
              </w:rPr>
              <w:t xml:space="preserve"> في حاشية « بر » : « أم »</w:t>
            </w:r>
            <w:r>
              <w:rPr>
                <w:rtl/>
              </w:rPr>
              <w:t>.</w:t>
            </w:r>
          </w:p>
        </w:tc>
      </w:tr>
    </w:tbl>
    <w:p w:rsidR="000C39D1" w:rsidRPr="00132E65" w:rsidRDefault="000C39D1" w:rsidP="000C39D1">
      <w:pPr>
        <w:pStyle w:val="libFootnote0"/>
        <w:rPr>
          <w:rtl/>
          <w:lang w:bidi="fa-IR"/>
        </w:rPr>
      </w:pPr>
      <w:r>
        <w:rPr>
          <w:rtl/>
        </w:rPr>
        <w:t>(6).</w:t>
      </w:r>
      <w:r w:rsidRPr="00132E65">
        <w:rPr>
          <w:rtl/>
        </w:rPr>
        <w:t xml:space="preserve"> في « بف » : « ا</w:t>
      </w:r>
      <w:r>
        <w:rPr>
          <w:rFonts w:hint="cs"/>
          <w:rtl/>
        </w:rPr>
        <w:t>ُ</w:t>
      </w:r>
      <w:r w:rsidRPr="00132E65">
        <w:rPr>
          <w:rtl/>
        </w:rPr>
        <w:t>مّة »</w:t>
      </w:r>
      <w:r>
        <w:rPr>
          <w:rtl/>
        </w:rPr>
        <w:t>.</w:t>
      </w:r>
      <w:r w:rsidRPr="00132E65">
        <w:rPr>
          <w:rtl/>
        </w:rPr>
        <w:t xml:space="preserve"> وفي </w:t>
      </w:r>
      <w:r w:rsidRPr="009D1ACE">
        <w:rPr>
          <w:rStyle w:val="libFootnoteBoldChar"/>
          <w:rtl/>
        </w:rPr>
        <w:t>الوافي</w:t>
      </w:r>
      <w:r w:rsidRPr="00132E65">
        <w:rPr>
          <w:rtl/>
        </w:rPr>
        <w:t xml:space="preserve"> : « والمشهور « ا</w:t>
      </w:r>
      <w:r>
        <w:rPr>
          <w:rFonts w:hint="cs"/>
          <w:rtl/>
        </w:rPr>
        <w:t>ُ</w:t>
      </w:r>
      <w:r w:rsidRPr="00132E65">
        <w:rPr>
          <w:rtl/>
        </w:rPr>
        <w:t>مّة » يعني لاتنقضوا العهد لأجل أن تكون قوم أزكى من قوم وا</w:t>
      </w:r>
      <w:r>
        <w:rPr>
          <w:rFonts w:hint="cs"/>
          <w:rtl/>
        </w:rPr>
        <w:t>ُ</w:t>
      </w:r>
      <w:r w:rsidRPr="00132E65">
        <w:rPr>
          <w:rtl/>
        </w:rPr>
        <w:t xml:space="preserve">مّةأعلى من امّة. وكأنّه </w:t>
      </w:r>
      <w:r w:rsidRPr="00B32A48">
        <w:rPr>
          <w:rStyle w:val="libFootnoteAlaemChar"/>
          <w:rtl/>
        </w:rPr>
        <w:t>عليه‌السلام</w:t>
      </w:r>
      <w:r w:rsidRPr="00132E65">
        <w:rPr>
          <w:rtl/>
        </w:rPr>
        <w:t xml:space="preserve"> أراد بقوله « ما أربى » وتعجّبه وطرح</w:t>
      </w:r>
      <w:r>
        <w:rPr>
          <w:rtl/>
        </w:rPr>
        <w:t xml:space="preserve"> يده : أنّ أربى هاهنا معناه إل</w:t>
      </w:r>
      <w:r>
        <w:rPr>
          <w:rFonts w:hint="cs"/>
          <w:rtl/>
        </w:rPr>
        <w:t>ّ</w:t>
      </w:r>
      <w:r>
        <w:rPr>
          <w:rtl/>
        </w:rPr>
        <w:t>ا</w:t>
      </w:r>
      <w:r>
        <w:rPr>
          <w:rFonts w:hint="cs"/>
          <w:rtl/>
        </w:rPr>
        <w:t xml:space="preserve"> </w:t>
      </w:r>
      <w:r w:rsidRPr="00132E65">
        <w:rPr>
          <w:rtl/>
        </w:rPr>
        <w:t>أزكى</w:t>
      </w:r>
      <w:r>
        <w:rPr>
          <w:rtl/>
        </w:rPr>
        <w:t>؟</w:t>
      </w:r>
      <w:r w:rsidRPr="00132E65">
        <w:rPr>
          <w:rtl/>
        </w:rPr>
        <w:t xml:space="preserve"> وكذلك قراءته</w:t>
      </w:r>
      <w:r>
        <w:rPr>
          <w:rtl/>
        </w:rPr>
        <w:t xml:space="preserve"> ب</w:t>
      </w:r>
      <w:r>
        <w:rPr>
          <w:rFonts w:hint="cs"/>
          <w:rtl/>
        </w:rPr>
        <w:t>ـ</w:t>
      </w:r>
      <w:r>
        <w:rPr>
          <w:rtl/>
        </w:rPr>
        <w:t>«</w:t>
      </w:r>
      <w:r w:rsidRPr="00132E65">
        <w:rPr>
          <w:rtl/>
        </w:rPr>
        <w:t xml:space="preserve"> الأئمّة » إشارة إلى أنّ الا</w:t>
      </w:r>
      <w:r>
        <w:rPr>
          <w:rFonts w:hint="cs"/>
          <w:rtl/>
        </w:rPr>
        <w:t>ُ</w:t>
      </w:r>
      <w:r w:rsidRPr="00132E65">
        <w:rPr>
          <w:rtl/>
        </w:rPr>
        <w:t>مّة في الموضعين ا</w:t>
      </w:r>
      <w:r>
        <w:rPr>
          <w:rFonts w:hint="cs"/>
          <w:rtl/>
        </w:rPr>
        <w:t>ُ</w:t>
      </w:r>
      <w:r w:rsidRPr="00132E65">
        <w:rPr>
          <w:rtl/>
        </w:rPr>
        <w:t>ريد بها الأئمّة خاصّة »</w:t>
      </w:r>
      <w:r>
        <w:rPr>
          <w:rtl/>
        </w:rPr>
        <w:t>.</w:t>
      </w:r>
    </w:p>
    <w:p w:rsidR="000C39D1" w:rsidRPr="00132E65" w:rsidRDefault="000C39D1" w:rsidP="000C39D1">
      <w:pPr>
        <w:pStyle w:val="libFootnote0"/>
        <w:rPr>
          <w:rtl/>
          <w:lang w:bidi="fa-IR"/>
        </w:rPr>
      </w:pPr>
      <w:r>
        <w:rPr>
          <w:rtl/>
        </w:rPr>
        <w:t>(7).</w:t>
      </w:r>
      <w:r w:rsidRPr="00132E65">
        <w:rPr>
          <w:rtl/>
        </w:rPr>
        <w:t xml:space="preserve"> كذا في النسخ والمطبوع. وفي القرآن و</w:t>
      </w:r>
      <w:r w:rsidRPr="009D1ACE">
        <w:rPr>
          <w:rStyle w:val="libFootnoteBoldChar"/>
          <w:rtl/>
        </w:rPr>
        <w:t>مرآة العقول</w:t>
      </w:r>
      <w:r w:rsidRPr="00132E65">
        <w:rPr>
          <w:rtl/>
        </w:rPr>
        <w:t xml:space="preserve"> بدل مابين الهلالين : </w:t>
      </w:r>
      <w:r w:rsidRPr="00B32A48">
        <w:rPr>
          <w:rStyle w:val="libFootnoteAlaemChar"/>
          <w:rFonts w:hint="cs"/>
          <w:rtl/>
        </w:rPr>
        <w:t>(</w:t>
      </w:r>
      <w:r w:rsidRPr="00132E65">
        <w:rPr>
          <w:rtl/>
        </w:rPr>
        <w:t xml:space="preserve"> </w:t>
      </w:r>
      <w:r w:rsidRPr="00B32A48">
        <w:rPr>
          <w:rStyle w:val="libFootnoteAieChar"/>
          <w:rtl/>
        </w:rPr>
        <w:t>أُمَّة هِى أَرْبَى مِنْ أُمَّةٍ</w:t>
      </w:r>
      <w:r w:rsidRPr="00132E65">
        <w:rPr>
          <w:rtl/>
        </w:rPr>
        <w:t xml:space="preserve"> </w:t>
      </w:r>
      <w:r w:rsidRPr="00B32A48">
        <w:rPr>
          <w:rStyle w:val="libFootnoteAlaemChar"/>
          <w:rFonts w:hint="cs"/>
          <w:rtl/>
        </w:rPr>
        <w:t>)</w:t>
      </w:r>
      <w:r>
        <w:rPr>
          <w:rtl/>
        </w:rPr>
        <w:t>.</w:t>
      </w:r>
    </w:p>
    <w:p w:rsidR="000C39D1" w:rsidRPr="00132E65" w:rsidRDefault="000C39D1" w:rsidP="000C39D1">
      <w:pPr>
        <w:pStyle w:val="libFootnote0"/>
        <w:rPr>
          <w:rtl/>
          <w:lang w:bidi="fa-IR"/>
        </w:rPr>
      </w:pPr>
      <w:r>
        <w:rPr>
          <w:rtl/>
        </w:rPr>
        <w:t>(8).</w:t>
      </w:r>
      <w:r w:rsidRPr="00132E65">
        <w:rPr>
          <w:rtl/>
        </w:rPr>
        <w:t xml:space="preserve"> في « ج » :</w:t>
      </w:r>
      <w:r>
        <w:rPr>
          <w:rtl/>
        </w:rPr>
        <w:t xml:space="preserve"> + </w:t>
      </w:r>
      <w:r w:rsidRPr="00132E65">
        <w:rPr>
          <w:rtl/>
        </w:rPr>
        <w:t>« قال »</w:t>
      </w:r>
      <w:r>
        <w:rPr>
          <w:rtl/>
        </w:rPr>
        <w:t>.</w:t>
      </w:r>
      <w:r w:rsidRPr="00132E65">
        <w:rPr>
          <w:rtl/>
        </w:rPr>
        <w:t xml:space="preserve"> وقوله : « أربى » ، أي أزيد وأكثر ، من ربا المال إذا زاد وارتفع. والمراد : أزيد عدداً وأوفَرمالاً. راجع : </w:t>
      </w:r>
      <w:r w:rsidRPr="009D1ACE">
        <w:rPr>
          <w:rStyle w:val="libFootnoteBoldChar"/>
          <w:rtl/>
        </w:rPr>
        <w:t>لسان العرب</w:t>
      </w:r>
      <w:r w:rsidRPr="00132E65">
        <w:rPr>
          <w:rtl/>
        </w:rPr>
        <w:t xml:space="preserve"> ، ج 14 ، ص 305 ( ربا ) ؛ </w:t>
      </w:r>
      <w:r w:rsidRPr="009D1ACE">
        <w:rPr>
          <w:rStyle w:val="libFootnoteBoldChar"/>
          <w:rtl/>
        </w:rPr>
        <w:t>مرآة العقول</w:t>
      </w:r>
      <w:r w:rsidRPr="00132E65">
        <w:rPr>
          <w:rtl/>
        </w:rPr>
        <w:t xml:space="preserve"> ، ج 3 ، ص 267.</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 ، ض » وحاشية « بر » :</w:t>
            </w:r>
            <w:r>
              <w:rPr>
                <w:rtl/>
              </w:rPr>
              <w:t xml:space="preserve"> + </w:t>
            </w:r>
            <w:r w:rsidRPr="00132E65">
              <w:rPr>
                <w:rtl/>
              </w:rPr>
              <w:t>«</w:t>
            </w:r>
            <w:r>
              <w:rPr>
                <w:rtl/>
              </w:rPr>
              <w:t xml:space="preserve"> و ».</w:t>
            </w:r>
          </w:p>
        </w:tc>
        <w:tc>
          <w:tcPr>
            <w:tcW w:w="4006" w:type="dxa"/>
          </w:tcPr>
          <w:p w:rsidR="000C39D1" w:rsidRDefault="000C39D1" w:rsidP="00B53873">
            <w:pPr>
              <w:pStyle w:val="libFootnote0"/>
              <w:rPr>
                <w:rtl/>
              </w:rPr>
            </w:pPr>
            <w:r>
              <w:rPr>
                <w:rtl/>
              </w:rPr>
              <w:t>(10).</w:t>
            </w:r>
            <w:r w:rsidRPr="00132E65">
              <w:rPr>
                <w:rtl/>
              </w:rPr>
              <w:t xml:space="preserve"> في « بر » : « وطرحها »</w:t>
            </w:r>
            <w:r>
              <w:rPr>
                <w:rtl/>
              </w:rPr>
              <w:t>.</w:t>
            </w:r>
          </w:p>
        </w:tc>
      </w:tr>
    </w:tbl>
    <w:p w:rsidR="000C39D1" w:rsidRPr="00132E65" w:rsidRDefault="000C39D1" w:rsidP="000C39D1">
      <w:pPr>
        <w:pStyle w:val="libFootnote0"/>
        <w:rPr>
          <w:rtl/>
          <w:lang w:bidi="fa-IR"/>
        </w:rPr>
      </w:pPr>
      <w:r>
        <w:rPr>
          <w:rtl/>
        </w:rPr>
        <w:t>(11).</w:t>
      </w:r>
      <w:r w:rsidRPr="00132E65">
        <w:rPr>
          <w:rtl/>
        </w:rPr>
        <w:t xml:space="preserve"> في « ج » و</w:t>
      </w:r>
      <w:r w:rsidRPr="009D1ACE">
        <w:rPr>
          <w:rStyle w:val="libFootnoteBoldChar"/>
          <w:rtl/>
        </w:rPr>
        <w:t>مرآة العقول</w:t>
      </w:r>
      <w:r w:rsidRPr="00132E65">
        <w:rPr>
          <w:rtl/>
        </w:rPr>
        <w:t xml:space="preserve"> </w:t>
      </w:r>
      <w:r>
        <w:rPr>
          <w:rtl/>
        </w:rPr>
        <w:t xml:space="preserve">: - </w:t>
      </w:r>
      <w:r w:rsidRPr="00132E65">
        <w:rPr>
          <w:rtl/>
        </w:rPr>
        <w:t>« يوم القيامة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lastRenderedPageBreak/>
        <w:t xml:space="preserve">فَتَزِلَّ قَدَمٌ بَعْدَ ثُبُوتِها </w:t>
      </w:r>
      <w:r w:rsidRPr="00071CF9">
        <w:rPr>
          <w:rStyle w:val="libAlaemChar"/>
          <w:rtl/>
        </w:rPr>
        <w:t>)</w:t>
      </w:r>
      <w:r w:rsidRPr="00132E65">
        <w:rPr>
          <w:rtl/>
          <w:lang w:bidi="fa-IR"/>
        </w:rPr>
        <w:t xml:space="preserve"> يَعْنِي بَعْدَ مَقَالَةِ رَسُولِ اللهِ </w:t>
      </w:r>
      <w:r w:rsidRPr="00071CF9">
        <w:rPr>
          <w:rStyle w:val="libAlaemChar"/>
          <w:rtl/>
        </w:rPr>
        <w:t>صلى‌الله‌عليه‌وآله</w:t>
      </w:r>
      <w:r w:rsidRPr="00132E65">
        <w:rPr>
          <w:rtl/>
          <w:lang w:bidi="fa-IR"/>
        </w:rPr>
        <w:t xml:space="preserve"> فِي عَلِيٍّ </w:t>
      </w:r>
      <w:r w:rsidRPr="00071CF9">
        <w:rPr>
          <w:rStyle w:val="libAlaemChar"/>
          <w:rtl/>
        </w:rPr>
        <w:t>عليه‌السلام(</w:t>
      </w:r>
      <w:r w:rsidRPr="00071CF9">
        <w:rPr>
          <w:rStyle w:val="libAieChar"/>
          <w:rtl/>
        </w:rPr>
        <w:t xml:space="preserve"> وَتَذُوقُوا السُّوءَ بِما صَدَدْتُمْ عَنْ سَبِيلِ اللهِ </w:t>
      </w:r>
      <w:r w:rsidRPr="00071CF9">
        <w:rPr>
          <w:rStyle w:val="libAlaemChar"/>
          <w:rtl/>
        </w:rPr>
        <w:t>)</w:t>
      </w:r>
      <w:r w:rsidRPr="00132E65">
        <w:rPr>
          <w:rtl/>
          <w:lang w:bidi="fa-IR"/>
        </w:rPr>
        <w:t xml:space="preserve"> يَعْنِي بِهِ </w:t>
      </w:r>
      <w:r>
        <w:rPr>
          <w:rStyle w:val="libFootnotenumChar"/>
          <w:rtl/>
        </w:rPr>
        <w:t>(1)</w:t>
      </w:r>
      <w:r w:rsidRPr="00132E65">
        <w:rPr>
          <w:rtl/>
          <w:lang w:bidi="fa-IR"/>
        </w:rPr>
        <w:t xml:space="preserve"> عَلِيّاً </w:t>
      </w:r>
      <w:r w:rsidRPr="00071CF9">
        <w:rPr>
          <w:rStyle w:val="libAlaemChar"/>
          <w:rtl/>
        </w:rPr>
        <w:t>عليه‌السلام(</w:t>
      </w:r>
      <w:r w:rsidRPr="00071CF9">
        <w:rPr>
          <w:rStyle w:val="libAieChar"/>
          <w:rtl/>
        </w:rPr>
        <w:t xml:space="preserve"> وَلَكُمْ عَذابٌ عَظِيمٌ </w:t>
      </w:r>
      <w:r w:rsidRPr="00071CF9">
        <w:rPr>
          <w:rStyle w:val="libAlaemChar"/>
          <w:rtl/>
        </w:rPr>
        <w:t>)</w:t>
      </w:r>
      <w:r>
        <w:rPr>
          <w:rStyle w:val="libFootnotenumChar"/>
          <w:rtl/>
        </w:rPr>
        <w:t>(2)</w:t>
      </w:r>
      <w:r w:rsidRPr="00132E65">
        <w:rPr>
          <w:rtl/>
          <w:lang w:bidi="fa-IR"/>
        </w:rPr>
        <w:t>»</w:t>
      </w:r>
      <w:r>
        <w:rPr>
          <w:rtl/>
          <w:lang w:bidi="fa-IR"/>
        </w:rPr>
        <w:t>.</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7A103C">
        <w:rPr>
          <w:rtl/>
        </w:rPr>
        <w:t>767</w:t>
      </w:r>
      <w:r w:rsidRPr="004325D8">
        <w:rPr>
          <w:rStyle w:val="libBold2Char"/>
          <w:rtl/>
        </w:rPr>
        <w:t xml:space="preserve"> / 2.</w:t>
      </w:r>
      <w:r w:rsidRPr="00132E65">
        <w:rPr>
          <w:rtl/>
          <w:lang w:bidi="fa-IR"/>
        </w:rPr>
        <w:t xml:space="preserve"> مُحَمَّدُ بْنُ يَحْيى ، عَنْ مُحَمَّدِ بْنِ الْحُسَيْنِ و</w:t>
      </w:r>
      <w:r>
        <w:rPr>
          <w:rFonts w:hint="cs"/>
          <w:rtl/>
          <w:lang w:bidi="fa-IR"/>
        </w:rPr>
        <w:t>َ</w:t>
      </w:r>
      <w:r w:rsidRPr="00132E65">
        <w:rPr>
          <w:rtl/>
          <w:lang w:bidi="fa-IR"/>
        </w:rPr>
        <w:t>أَحْمَدَ بْنِ مُحَمَّدٍ ، عَنِ ابْنِ مَحْبُوبٍ ، عَنْ مُحَمَّدِ بْنِ الْفُضَيْلِ ، عَنْ أَبِي حَمْزَةَ الثُّمَالِيِّ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سَمِعْتُهُ يَقُولُ : « لَمَّا أَنْ قَضى </w:t>
      </w:r>
      <w:r>
        <w:rPr>
          <w:rStyle w:val="libFootnotenumChar"/>
          <w:rtl/>
        </w:rPr>
        <w:t>(4)</w:t>
      </w:r>
      <w:r w:rsidRPr="00132E65">
        <w:rPr>
          <w:rtl/>
          <w:lang w:bidi="fa-IR"/>
        </w:rPr>
        <w:t xml:space="preserve"> مُحَمَّدٌ نُبُوَّتَهُ ، و</w:t>
      </w:r>
      <w:r>
        <w:rPr>
          <w:rFonts w:hint="cs"/>
          <w:rtl/>
          <w:lang w:bidi="fa-IR"/>
        </w:rPr>
        <w:t>َ</w:t>
      </w:r>
      <w:r w:rsidRPr="00132E65">
        <w:rPr>
          <w:rtl/>
          <w:lang w:bidi="fa-IR"/>
        </w:rPr>
        <w:t>اسْتَكْمَلَ أَيَّامَهُ ، أَوْحَى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إِلَيْهِ : أَنْ يَا مُحَمَّدُ ، قَدْ قَضَيْتَ نُبُوَّتَكَ ، و</w:t>
      </w:r>
      <w:r>
        <w:rPr>
          <w:rFonts w:hint="cs"/>
          <w:rtl/>
          <w:lang w:bidi="fa-IR"/>
        </w:rPr>
        <w:t>َ</w:t>
      </w:r>
      <w:r w:rsidRPr="00132E65">
        <w:rPr>
          <w:rtl/>
          <w:lang w:bidi="fa-IR"/>
        </w:rPr>
        <w:t>اسْتَكْمَلْتَ أَيَّامَكَ ؛ فَاجْعَلِ الْعِلْمَ الَّذِي عِنْدَكَ و</w:t>
      </w:r>
      <w:r>
        <w:rPr>
          <w:rFonts w:hint="cs"/>
          <w:rtl/>
          <w:lang w:bidi="fa-IR"/>
        </w:rPr>
        <w:t xml:space="preserve">َ </w:t>
      </w:r>
      <w:r w:rsidRPr="00132E65">
        <w:rPr>
          <w:rtl/>
          <w:lang w:bidi="fa-IR"/>
        </w:rPr>
        <w:t xml:space="preserve">الْإِيْمَانَ </w:t>
      </w:r>
      <w:r>
        <w:rPr>
          <w:rStyle w:val="libFootnotenumChar"/>
          <w:rtl/>
        </w:rPr>
        <w:t>(5)</w:t>
      </w:r>
      <w:r w:rsidRPr="00132E65">
        <w:rPr>
          <w:rtl/>
          <w:lang w:bidi="fa-IR"/>
        </w:rPr>
        <w:t xml:space="preserve"> و</w:t>
      </w:r>
      <w:r>
        <w:rPr>
          <w:rFonts w:hint="cs"/>
          <w:rtl/>
          <w:lang w:bidi="fa-IR"/>
        </w:rPr>
        <w:t xml:space="preserve">َ </w:t>
      </w:r>
      <w:r w:rsidRPr="00132E65">
        <w:rPr>
          <w:rtl/>
          <w:lang w:bidi="fa-IR"/>
        </w:rPr>
        <w:t>الِاسْمَ الْأَكْبَرَ و</w:t>
      </w:r>
      <w:r>
        <w:rPr>
          <w:rFonts w:hint="cs"/>
          <w:rtl/>
          <w:lang w:bidi="fa-IR"/>
        </w:rPr>
        <w:t>َ</w:t>
      </w:r>
      <w:r w:rsidRPr="00132E65">
        <w:rPr>
          <w:rtl/>
          <w:lang w:bidi="fa-IR"/>
        </w:rPr>
        <w:t>مِيرَاثَ الْعِلْمِ و</w:t>
      </w:r>
      <w:r>
        <w:rPr>
          <w:rFonts w:hint="cs"/>
          <w:rtl/>
          <w:lang w:bidi="fa-IR"/>
        </w:rPr>
        <w:t xml:space="preserve">َ </w:t>
      </w:r>
      <w:r w:rsidRPr="00132E65">
        <w:rPr>
          <w:rtl/>
          <w:lang w:bidi="fa-IR"/>
        </w:rPr>
        <w:t xml:space="preserve">آثَارَ عِلْمِ النُّبُوَّةِ فِي أَهْلِ بَيْتِكَ ، عِنْدَ عَلِيِّ بْنِ أَبِي طَالِبٍ </w:t>
      </w:r>
      <w:r w:rsidRPr="00071CF9">
        <w:rPr>
          <w:rStyle w:val="libAlaemChar"/>
          <w:rtl/>
        </w:rPr>
        <w:t>عليه‌السلام</w:t>
      </w:r>
      <w:r w:rsidRPr="00132E65">
        <w:rPr>
          <w:rtl/>
          <w:lang w:bidi="fa-IR"/>
        </w:rPr>
        <w:t xml:space="preserve"> ؛ فَإِنِّي لَنْ أَقْطَعَ </w:t>
      </w:r>
      <w:r>
        <w:rPr>
          <w:rStyle w:val="libFootnotenumChar"/>
          <w:rtl/>
        </w:rPr>
        <w:t>(6)</w:t>
      </w:r>
      <w:r w:rsidRPr="00132E65">
        <w:rPr>
          <w:rtl/>
          <w:lang w:bidi="fa-IR"/>
        </w:rPr>
        <w:t xml:space="preserve"> الْعِلْمَ والْإِيمَانَ وَالِاسْمَ الْأَكْبَرَ و</w:t>
      </w:r>
      <w:r>
        <w:rPr>
          <w:rFonts w:hint="cs"/>
          <w:rtl/>
          <w:lang w:bidi="fa-IR"/>
        </w:rPr>
        <w:t>َ</w:t>
      </w:r>
      <w:r w:rsidRPr="00132E65">
        <w:rPr>
          <w:rtl/>
          <w:lang w:bidi="fa-IR"/>
        </w:rPr>
        <w:t xml:space="preserve">مِيرَاثَ الْعِلْمِ وآثَارَ عِلْمِ النُّبُوَّةِ مِنَ الْعَقِبِ </w:t>
      </w:r>
      <w:r>
        <w:rPr>
          <w:rStyle w:val="libFootnotenumChar"/>
          <w:rtl/>
        </w:rPr>
        <w:t>(7)</w:t>
      </w:r>
      <w:r w:rsidRPr="00132E65">
        <w:rPr>
          <w:rtl/>
          <w:lang w:bidi="fa-IR"/>
        </w:rPr>
        <w:t xml:space="preserve"> مِنْ ذُرِّيَّتِكَ ، كَمَا لَمْ أَقْطَعْهَا مِنْ ذُرِّيَّاتِ </w:t>
      </w:r>
      <w:r>
        <w:rPr>
          <w:rStyle w:val="libFootnotenumChar"/>
          <w:rtl/>
        </w:rPr>
        <w:t>(8)</w:t>
      </w:r>
      <w:r w:rsidRPr="00132E65">
        <w:rPr>
          <w:rtl/>
          <w:lang w:bidi="fa-IR"/>
        </w:rPr>
        <w:t xml:space="preserve"> الْأَنْبِيَاءِ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 ، ه‍ » </w:t>
            </w:r>
            <w:r>
              <w:rPr>
                <w:rtl/>
              </w:rPr>
              <w:t xml:space="preserve">: - </w:t>
            </w:r>
            <w:r w:rsidRPr="00132E65">
              <w:rPr>
                <w:rtl/>
              </w:rPr>
              <w:t>« به »</w:t>
            </w:r>
            <w:r>
              <w:rPr>
                <w:rtl/>
              </w:rPr>
              <w:t>.</w:t>
            </w:r>
          </w:p>
        </w:tc>
        <w:tc>
          <w:tcPr>
            <w:tcW w:w="4006" w:type="dxa"/>
          </w:tcPr>
          <w:p w:rsidR="000C39D1" w:rsidRDefault="000C39D1" w:rsidP="00B53873">
            <w:pPr>
              <w:pStyle w:val="libFootnote0"/>
              <w:rPr>
                <w:rtl/>
              </w:rPr>
            </w:pPr>
            <w:r>
              <w:rPr>
                <w:rtl/>
              </w:rPr>
              <w:t>(2).</w:t>
            </w:r>
            <w:r w:rsidRPr="00132E65">
              <w:rPr>
                <w:rtl/>
              </w:rPr>
              <w:t xml:space="preserve"> النحل (16) : 91</w:t>
            </w:r>
            <w:r>
              <w:rPr>
                <w:rtl/>
              </w:rPr>
              <w:t xml:space="preserve"> - </w:t>
            </w:r>
            <w:r w:rsidRPr="00132E65">
              <w:rPr>
                <w:rtl/>
              </w:rPr>
              <w:t>94.</w:t>
            </w:r>
          </w:p>
        </w:tc>
      </w:tr>
    </w:tbl>
    <w:p w:rsidR="000C39D1" w:rsidRPr="00132E65" w:rsidRDefault="000C39D1" w:rsidP="000C39D1">
      <w:pPr>
        <w:pStyle w:val="libFootnote0"/>
        <w:rPr>
          <w:rtl/>
          <w:lang w:bidi="fa-IR"/>
        </w:rPr>
      </w:pPr>
      <w:r>
        <w:rPr>
          <w:rtl/>
        </w:rPr>
        <w:t>(3).</w:t>
      </w:r>
      <w:r w:rsidRPr="00132E65">
        <w:rPr>
          <w:rtl/>
        </w:rPr>
        <w:t xml:space="preserve"> </w:t>
      </w:r>
      <w:r w:rsidRPr="007A103C">
        <w:rPr>
          <w:rtl/>
        </w:rPr>
        <w:t>تفسير العيّاشي</w:t>
      </w:r>
      <w:r w:rsidRPr="00132E65">
        <w:rPr>
          <w:rtl/>
        </w:rPr>
        <w:t xml:space="preserve"> ، ج 2 ، ص 268 ، ح 64 ، عن زيد بن الجهم ، مع زيادة ؛ </w:t>
      </w:r>
      <w:r w:rsidRPr="007A103C">
        <w:rPr>
          <w:rtl/>
        </w:rPr>
        <w:t>تفسير القمّي</w:t>
      </w:r>
      <w:r w:rsidRPr="00132E65">
        <w:rPr>
          <w:rtl/>
        </w:rPr>
        <w:t xml:space="preserve"> ، ج 1 ، ص 389 ، مرسلاً عن أبي عبدالله </w:t>
      </w:r>
      <w:r w:rsidRPr="0073033B">
        <w:rPr>
          <w:rStyle w:val="libFootnoteAlaemChar"/>
          <w:rtl/>
        </w:rPr>
        <w:t>عليه‌السلام</w:t>
      </w:r>
      <w:r w:rsidRPr="00132E65">
        <w:rPr>
          <w:rtl/>
        </w:rPr>
        <w:t xml:space="preserve"> ، وفيهما مع اختلاف يسير. وراجع : </w:t>
      </w:r>
      <w:r w:rsidRPr="007A103C">
        <w:rPr>
          <w:rtl/>
        </w:rPr>
        <w:t>الإرشاد</w:t>
      </w:r>
      <w:r w:rsidRPr="00132E65">
        <w:rPr>
          <w:rtl/>
        </w:rPr>
        <w:t xml:space="preserve"> ، ج 1 ، ص 48</w:t>
      </w:r>
      <w:r>
        <w:rPr>
          <w:rFonts w:hint="cs"/>
          <w:rtl/>
        </w:rPr>
        <w:t>.</w:t>
      </w:r>
      <w:r w:rsidRPr="009D1ACE">
        <w:rPr>
          <w:rStyle w:val="libFootnoteBoldChar"/>
          <w:rtl/>
        </w:rPr>
        <w:t>الوافي</w:t>
      </w:r>
      <w:r w:rsidRPr="00132E65">
        <w:rPr>
          <w:rtl/>
        </w:rPr>
        <w:t xml:space="preserve"> ، ج 2 ، ص 280 ، ح 751.</w:t>
      </w:r>
    </w:p>
    <w:p w:rsidR="000C39D1" w:rsidRPr="00132E65" w:rsidRDefault="000C39D1" w:rsidP="000C39D1">
      <w:pPr>
        <w:pStyle w:val="libFootnote0"/>
        <w:rPr>
          <w:rtl/>
          <w:lang w:bidi="fa-IR"/>
        </w:rPr>
      </w:pPr>
      <w:r>
        <w:rPr>
          <w:rtl/>
        </w:rPr>
        <w:t>(4).</w:t>
      </w:r>
      <w:r w:rsidRPr="00132E65">
        <w:rPr>
          <w:rtl/>
        </w:rPr>
        <w:t xml:space="preserve"> قال ابن الأثير : « القضاء ، أصله القطع والفصل. يقال : قَضَى يَقْضِي قضاءً فهو قاض ، إذا حكم وفصل ، وقضاءالشي‌ء : إحكامه وإمضاؤه والفراغ منه »</w:t>
      </w:r>
      <w:r>
        <w:rPr>
          <w:rtl/>
        </w:rPr>
        <w:t>.</w:t>
      </w:r>
      <w:r w:rsidRPr="00132E65">
        <w:rPr>
          <w:rtl/>
        </w:rPr>
        <w:t xml:space="preserve"> </w:t>
      </w:r>
      <w:r w:rsidRPr="007A103C">
        <w:rPr>
          <w:rtl/>
        </w:rPr>
        <w:t>النهاية</w:t>
      </w:r>
      <w:r w:rsidRPr="00132E65">
        <w:rPr>
          <w:rtl/>
        </w:rPr>
        <w:t xml:space="preserve"> ، ج 4 ، ص 78 ( قضا )</w:t>
      </w:r>
      <w:r>
        <w:rPr>
          <w:rtl/>
        </w:rPr>
        <w:t>.</w:t>
      </w:r>
    </w:p>
    <w:p w:rsidR="000C39D1" w:rsidRPr="00132E65" w:rsidRDefault="000C39D1" w:rsidP="000C39D1">
      <w:pPr>
        <w:pStyle w:val="libFootnote0"/>
        <w:rPr>
          <w:rtl/>
          <w:lang w:bidi="fa-IR"/>
        </w:rPr>
      </w:pPr>
      <w:r>
        <w:rPr>
          <w:rtl/>
        </w:rPr>
        <w:t>(5).</w:t>
      </w:r>
      <w:r w:rsidRPr="00132E65">
        <w:rPr>
          <w:rtl/>
        </w:rPr>
        <w:t xml:space="preserve"> في « بر » : « الأيمان »</w:t>
      </w:r>
      <w:r>
        <w:rPr>
          <w:rtl/>
        </w:rPr>
        <w:t>.</w:t>
      </w:r>
      <w:r w:rsidRPr="00132E65">
        <w:rPr>
          <w:rtl/>
        </w:rPr>
        <w:t xml:space="preserve"> وفي </w:t>
      </w:r>
      <w:r w:rsidRPr="007A103C">
        <w:rPr>
          <w:rtl/>
        </w:rPr>
        <w:t>البصائر</w:t>
      </w:r>
      <w:r w:rsidRPr="00132E65">
        <w:rPr>
          <w:rtl/>
        </w:rPr>
        <w:t xml:space="preserve"> ، ص 468 : « الآثار »</w:t>
      </w:r>
      <w:r>
        <w:rPr>
          <w:rtl/>
        </w:rPr>
        <w:t>.</w:t>
      </w:r>
      <w:r w:rsidRPr="00132E65">
        <w:rPr>
          <w:rtl/>
        </w:rPr>
        <w:t xml:space="preserve"> واحتمل المازندراني كونه بفتح الهمزة بمعنى الميثاق‌والعهد بالولاية. واستبعده المجلسي.</w:t>
      </w:r>
    </w:p>
    <w:p w:rsidR="000C39D1" w:rsidRPr="00132E65" w:rsidRDefault="000C39D1" w:rsidP="000C39D1">
      <w:pPr>
        <w:pStyle w:val="libFootnote0"/>
        <w:rPr>
          <w:rtl/>
          <w:lang w:bidi="fa-IR"/>
        </w:rPr>
      </w:pPr>
      <w:r>
        <w:rPr>
          <w:rtl/>
        </w:rPr>
        <w:t>(6).</w:t>
      </w:r>
      <w:r w:rsidRPr="00132E65">
        <w:rPr>
          <w:rtl/>
        </w:rPr>
        <w:t xml:space="preserve"> في « ف » و</w:t>
      </w:r>
      <w:r w:rsidRPr="000577A7">
        <w:rPr>
          <w:rStyle w:val="libFootnoteBoldChar"/>
          <w:rtl/>
        </w:rPr>
        <w:t>الكافي</w:t>
      </w:r>
      <w:r w:rsidRPr="00132E65">
        <w:rPr>
          <w:rtl/>
        </w:rPr>
        <w:t xml:space="preserve"> ، ح 14907 ، والبصائر ، ص 469 وتفسير العيّاشي : « لم أقطع »</w:t>
      </w:r>
      <w:r>
        <w:rPr>
          <w:rtl/>
        </w:rPr>
        <w:t>.</w:t>
      </w:r>
    </w:p>
    <w:p w:rsidR="000C39D1" w:rsidRPr="00132E65" w:rsidRDefault="000C39D1" w:rsidP="000C39D1">
      <w:pPr>
        <w:pStyle w:val="libFootnote0"/>
        <w:rPr>
          <w:rtl/>
          <w:lang w:bidi="fa-IR"/>
        </w:rPr>
      </w:pPr>
      <w:r>
        <w:rPr>
          <w:rtl/>
        </w:rPr>
        <w:t>(7).</w:t>
      </w:r>
      <w:r w:rsidRPr="00132E65">
        <w:rPr>
          <w:rtl/>
        </w:rPr>
        <w:t xml:space="preserve"> « العَقِب » : مؤخّر القدم. وعَقِبُ الرجل أيضاً : ولَده ووَلَدُ ولده. </w:t>
      </w:r>
      <w:r w:rsidRPr="007A103C">
        <w:rPr>
          <w:rtl/>
        </w:rPr>
        <w:t>الصحاح</w:t>
      </w:r>
      <w:r w:rsidRPr="00132E65">
        <w:rPr>
          <w:rtl/>
        </w:rPr>
        <w:t xml:space="preserve"> ، ج 1 ، ص 184 ( عقب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 ح 14907 والبصائر وتفسير العيّاشي وكمال الدين : « بيوتات »</w:t>
      </w:r>
      <w:r>
        <w:rPr>
          <w:rtl/>
        </w:rPr>
        <w:t>.</w:t>
      </w:r>
    </w:p>
    <w:p w:rsidR="000C39D1" w:rsidRPr="00132E65"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469 ، ح 3 ، عن محمّد بن الحسين عن ابن محبوب ؛ </w:t>
      </w:r>
      <w:r w:rsidRPr="000577A7">
        <w:rPr>
          <w:rStyle w:val="libFootnoteBoldChar"/>
          <w:rtl/>
        </w:rPr>
        <w:t>الكافي</w:t>
      </w:r>
      <w:r w:rsidRPr="00132E65">
        <w:rPr>
          <w:rtl/>
        </w:rPr>
        <w:t xml:space="preserve"> ، كتاب الروضة ، ضمن الحديث الطويل 14907 ، بسنده عن الحسن بن محبوب. وفي </w:t>
      </w:r>
      <w:r w:rsidRPr="007A1104">
        <w:rPr>
          <w:rStyle w:val="libFootnoteBoldChar"/>
          <w:rtl/>
        </w:rPr>
        <w:t>بصائر الدرجات</w:t>
      </w:r>
      <w:r w:rsidRPr="00132E65">
        <w:rPr>
          <w:rtl/>
        </w:rPr>
        <w:t xml:space="preserve"> ، ص 468 ، ح 2 ، و</w:t>
      </w:r>
      <w:r w:rsidRPr="007A103C">
        <w:rPr>
          <w:rtl/>
        </w:rPr>
        <w:t>كمال الدين</w:t>
      </w:r>
      <w:r w:rsidRPr="00132E65">
        <w:rPr>
          <w:rtl/>
        </w:rPr>
        <w:t xml:space="preserve"> ، ص 216 ، بسندهما عن محمّد بن الفضيل. وفي </w:t>
      </w:r>
      <w:r w:rsidRPr="007A1104">
        <w:rPr>
          <w:rStyle w:val="libFootnoteBoldChar"/>
          <w:rtl/>
        </w:rPr>
        <w:t>بصائر الدرجات</w:t>
      </w:r>
      <w:r w:rsidRPr="00132E65">
        <w:rPr>
          <w:rtl/>
        </w:rPr>
        <w:t xml:space="preserve"> ، ص 468</w:t>
      </w:r>
      <w:r>
        <w:rPr>
          <w:rtl/>
        </w:rPr>
        <w:t xml:space="preserve"> - </w:t>
      </w:r>
      <w:r w:rsidRPr="00132E65">
        <w:rPr>
          <w:rtl/>
        </w:rPr>
        <w:t xml:space="preserve">469 ، ح 1 </w:t>
      </w:r>
      <w:r>
        <w:rPr>
          <w:rtl/>
        </w:rPr>
        <w:t>و 4</w:t>
      </w:r>
      <w:r w:rsidRPr="00132E65">
        <w:rPr>
          <w:rtl/>
        </w:rPr>
        <w:t xml:space="preserve"> ، بسند آخر عن أبي عبد الله </w:t>
      </w:r>
      <w:r w:rsidRPr="00B27960">
        <w:rPr>
          <w:rStyle w:val="libFootnoteAlaemChar"/>
          <w:rtl/>
        </w:rPr>
        <w:t>عليه‌السلام</w:t>
      </w:r>
      <w:r w:rsidRPr="00132E65">
        <w:rPr>
          <w:rtl/>
        </w:rPr>
        <w:t xml:space="preserve"> ، مع اختلاف يسير ، وفي الأخيرة مع زيادة في أوّله. وفي </w:t>
      </w:r>
      <w:r w:rsidRPr="007A103C">
        <w:rPr>
          <w:rtl/>
        </w:rPr>
        <w:t>تفسير فرات</w:t>
      </w:r>
      <w:r w:rsidRPr="00132E65">
        <w:rPr>
          <w:rtl/>
        </w:rPr>
        <w:t xml:space="preserve"> ، ص 39 ، ح 530 ؛ و</w:t>
      </w:r>
      <w:r w:rsidRPr="007A103C">
        <w:rPr>
          <w:rtl/>
        </w:rPr>
        <w:t>كفاية</w:t>
      </w:r>
      <w:r>
        <w:rPr>
          <w:rFonts w:hint="cs"/>
          <w:rtl/>
        </w:rPr>
        <w:t>=</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7A103C">
        <w:rPr>
          <w:rtl/>
        </w:rPr>
        <w:lastRenderedPageBreak/>
        <w:t>768</w:t>
      </w:r>
      <w:r w:rsidRPr="004325D8">
        <w:rPr>
          <w:rStyle w:val="libBold2Char"/>
          <w:rtl/>
        </w:rPr>
        <w:t xml:space="preserve"> / 3.</w:t>
      </w:r>
      <w:r w:rsidRPr="00132E65">
        <w:rPr>
          <w:rtl/>
          <w:lang w:bidi="fa-IR"/>
        </w:rPr>
        <w:t xml:space="preserve"> مُحَمَّدُ بْنُ الْحَسَنِ </w:t>
      </w:r>
      <w:r>
        <w:rPr>
          <w:rStyle w:val="libFootnotenumChar"/>
          <w:rtl/>
        </w:rPr>
        <w:t>(1)</w:t>
      </w:r>
      <w:r w:rsidRPr="00132E65">
        <w:rPr>
          <w:rtl/>
          <w:lang w:bidi="fa-IR"/>
        </w:rPr>
        <w:t xml:space="preserve"> و</w:t>
      </w:r>
      <w:r>
        <w:rPr>
          <w:rFonts w:hint="cs"/>
          <w:rtl/>
          <w:lang w:bidi="fa-IR"/>
        </w:rPr>
        <w:t>َ</w:t>
      </w:r>
      <w:r w:rsidRPr="00132E65">
        <w:rPr>
          <w:rtl/>
          <w:lang w:bidi="fa-IR"/>
        </w:rPr>
        <w:t>غَيْرُهُ ، عَنْ سَهْلٍ ، عَنْ مُحَمَّدِ بْنِ عِيسى ؛</w:t>
      </w:r>
    </w:p>
    <w:p w:rsidR="000C39D1" w:rsidRPr="00132E65" w:rsidRDefault="000C39D1" w:rsidP="000C39D1">
      <w:pPr>
        <w:pStyle w:val="libNormal"/>
        <w:rPr>
          <w:rtl/>
          <w:lang w:bidi="fa-IR"/>
        </w:rPr>
      </w:pPr>
      <w:r w:rsidRPr="00132E65">
        <w:rPr>
          <w:rtl/>
          <w:lang w:bidi="fa-IR"/>
        </w:rPr>
        <w:t>و</w:t>
      </w:r>
      <w:r>
        <w:rPr>
          <w:rFonts w:hint="cs"/>
          <w:rtl/>
          <w:lang w:bidi="fa-IR"/>
        </w:rPr>
        <w:t>َ</w:t>
      </w:r>
      <w:r w:rsidRPr="00132E65">
        <w:rPr>
          <w:rtl/>
          <w:lang w:bidi="fa-IR"/>
        </w:rPr>
        <w:t xml:space="preserve">مُحَمَّدُ بْنُ يَحْيى ، عَنْ </w:t>
      </w:r>
      <w:r>
        <w:rPr>
          <w:rStyle w:val="libFootnotenumChar"/>
          <w:rtl/>
        </w:rPr>
        <w:t>(2)</w:t>
      </w:r>
      <w:r w:rsidRPr="00132E65">
        <w:rPr>
          <w:rtl/>
          <w:lang w:bidi="fa-IR"/>
        </w:rPr>
        <w:t xml:space="preserve"> مُحَمَّدِ بْنِ الْحُسَيْنِ جَمِيعاً ، عَنْ مُحَمَّدِ بْنِ سِنَانٍ ، عَنْ إِسْمَاعِيلَ بْنِ جَابِرٍ و</w:t>
      </w:r>
      <w:r>
        <w:rPr>
          <w:rFonts w:hint="cs"/>
          <w:rtl/>
          <w:lang w:bidi="fa-IR"/>
        </w:rPr>
        <w:t xml:space="preserve">َ </w:t>
      </w:r>
      <w:r w:rsidRPr="00132E65">
        <w:rPr>
          <w:rtl/>
          <w:lang w:bidi="fa-IR"/>
        </w:rPr>
        <w:t>عَبْدِ الْكَرِيمِ بْنِ عَمْرٍو ، عَنْ عَبْدِ الْحَمِيدِ بْنِ أَبِي الدَّيْلَمِ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أَوْصى مُوسى </w:t>
      </w:r>
      <w:r w:rsidRPr="00071CF9">
        <w:rPr>
          <w:rStyle w:val="libAlaemChar"/>
          <w:rtl/>
        </w:rPr>
        <w:t>عليه‌السلام</w:t>
      </w:r>
      <w:r w:rsidRPr="00132E65">
        <w:rPr>
          <w:rtl/>
          <w:lang w:bidi="fa-IR"/>
        </w:rPr>
        <w:t xml:space="preserve"> إِلى يُوشَعَ بْنِ نُونٍ </w:t>
      </w:r>
      <w:r>
        <w:rPr>
          <w:rStyle w:val="libFootnotenumChar"/>
          <w:rtl/>
        </w:rPr>
        <w:t>(3)</w:t>
      </w:r>
      <w:r w:rsidRPr="00132E65">
        <w:rPr>
          <w:rtl/>
          <w:lang w:bidi="fa-IR"/>
        </w:rPr>
        <w:t xml:space="preserve"> ، و</w:t>
      </w:r>
      <w:r>
        <w:rPr>
          <w:rFonts w:hint="cs"/>
          <w:rtl/>
          <w:lang w:bidi="fa-IR"/>
        </w:rPr>
        <w:t>َ</w:t>
      </w:r>
      <w:r w:rsidRPr="00132E65">
        <w:rPr>
          <w:rtl/>
          <w:lang w:bidi="fa-IR"/>
        </w:rPr>
        <w:t xml:space="preserve">أَوْصى يُوشَعُ بْنُ نُونٍ </w:t>
      </w:r>
      <w:r>
        <w:rPr>
          <w:rStyle w:val="libFootnotenumChar"/>
          <w:rtl/>
        </w:rPr>
        <w:t>(4)</w:t>
      </w:r>
      <w:r w:rsidRPr="00132E65">
        <w:rPr>
          <w:rtl/>
          <w:lang w:bidi="fa-IR"/>
        </w:rPr>
        <w:t xml:space="preserve"> إِلى و</w:t>
      </w:r>
      <w:r>
        <w:rPr>
          <w:rFonts w:hint="cs"/>
          <w:rtl/>
          <w:lang w:bidi="fa-IR"/>
        </w:rPr>
        <w:t>َ</w:t>
      </w:r>
      <w:r w:rsidRPr="00132E65">
        <w:rPr>
          <w:rtl/>
          <w:lang w:bidi="fa-IR"/>
        </w:rPr>
        <w:t>لَدِ هَارُونَ ، و</w:t>
      </w:r>
      <w:r>
        <w:rPr>
          <w:rFonts w:hint="cs"/>
          <w:rtl/>
          <w:lang w:bidi="fa-IR"/>
        </w:rPr>
        <w:t>َ</w:t>
      </w:r>
      <w:r w:rsidRPr="00132E65">
        <w:rPr>
          <w:rtl/>
          <w:lang w:bidi="fa-IR"/>
        </w:rPr>
        <w:t>لَمْ يُوصِ إِلى و</w:t>
      </w:r>
      <w:r>
        <w:rPr>
          <w:rFonts w:hint="cs"/>
          <w:rtl/>
          <w:lang w:bidi="fa-IR"/>
        </w:rPr>
        <w:t>َ</w:t>
      </w:r>
      <w:r w:rsidRPr="00132E65">
        <w:rPr>
          <w:rtl/>
          <w:lang w:bidi="fa-IR"/>
        </w:rPr>
        <w:t>لَدِهِ ، و</w:t>
      </w:r>
      <w:r>
        <w:rPr>
          <w:rFonts w:hint="cs"/>
          <w:rtl/>
          <w:lang w:bidi="fa-IR"/>
        </w:rPr>
        <w:t>َ</w:t>
      </w:r>
      <w:r w:rsidRPr="00132E65">
        <w:rPr>
          <w:rtl/>
          <w:lang w:bidi="fa-IR"/>
        </w:rPr>
        <w:t>لَا</w:t>
      </w:r>
      <w:r>
        <w:rPr>
          <w:rFonts w:hint="cs"/>
          <w:rtl/>
          <w:lang w:bidi="fa-IR"/>
        </w:rPr>
        <w:t xml:space="preserve"> </w:t>
      </w:r>
      <w:r w:rsidRPr="00132E65">
        <w:rPr>
          <w:rtl/>
          <w:lang w:bidi="fa-IR"/>
        </w:rPr>
        <w:t>إِلى ولَدِ مُوسى ؛ إِنَّ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لَهُ الْخِيَرَةُ ، يَخْتَارُ مَنْ يَشَاءُ مِمَّنْ يَشَاءُ ، و</w:t>
      </w:r>
      <w:r>
        <w:rPr>
          <w:rFonts w:hint="cs"/>
          <w:rtl/>
          <w:lang w:bidi="fa-IR"/>
        </w:rPr>
        <w:t>َ</w:t>
      </w:r>
      <w:r w:rsidRPr="00132E65">
        <w:rPr>
          <w:rtl/>
          <w:lang w:bidi="fa-IR"/>
        </w:rPr>
        <w:t>بَشَّرَ مُوسى و</w:t>
      </w:r>
      <w:r>
        <w:rPr>
          <w:rFonts w:hint="cs"/>
          <w:rtl/>
          <w:lang w:bidi="fa-IR"/>
        </w:rPr>
        <w:t xml:space="preserve">َ </w:t>
      </w:r>
      <w:r w:rsidRPr="00132E65">
        <w:rPr>
          <w:rtl/>
          <w:lang w:bidi="fa-IR"/>
        </w:rPr>
        <w:t xml:space="preserve">يُوشَعُ بِالْمَسِيحِ </w:t>
      </w:r>
      <w:r w:rsidRPr="00071CF9">
        <w:rPr>
          <w:rStyle w:val="libAlaemChar"/>
          <w:rtl/>
        </w:rPr>
        <w:t>عليهم‌السلام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فَلَمَّا أَنْ بَعَثَ اللهُ </w:t>
      </w:r>
      <w:r>
        <w:rPr>
          <w:rStyle w:val="libFootnotenumChar"/>
          <w:rtl/>
        </w:rPr>
        <w:t>(5)</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الْمَسِيحَ </w:t>
      </w:r>
      <w:r w:rsidRPr="00071CF9">
        <w:rPr>
          <w:rStyle w:val="libAlaemChar"/>
          <w:rtl/>
        </w:rPr>
        <w:t>عليه‌السلام</w:t>
      </w:r>
      <w:r w:rsidRPr="00132E65">
        <w:rPr>
          <w:rtl/>
          <w:lang w:bidi="fa-IR"/>
        </w:rPr>
        <w:t xml:space="preserve"> ، قَالَ الْمَسِيحُ </w:t>
      </w:r>
      <w:r w:rsidRPr="00071CF9">
        <w:rPr>
          <w:rStyle w:val="libAlaemChar"/>
          <w:rtl/>
        </w:rPr>
        <w:t>عليه‌السلام</w:t>
      </w:r>
      <w:r w:rsidRPr="00132E65">
        <w:rPr>
          <w:rtl/>
          <w:lang w:bidi="fa-IR"/>
        </w:rPr>
        <w:t xml:space="preserve"> لَهُمْ </w:t>
      </w:r>
      <w:r>
        <w:rPr>
          <w:rStyle w:val="libFootnotenumChar"/>
          <w:rtl/>
        </w:rPr>
        <w:t>(6)</w:t>
      </w:r>
      <w:r w:rsidRPr="00132E65">
        <w:rPr>
          <w:rtl/>
          <w:lang w:bidi="fa-IR"/>
        </w:rPr>
        <w:t xml:space="preserve"> : إِنَّهُ سَوْفَ يَأْتِي مِنْ بَعْدِي نَبِيٌّ اسْمُهُ أَحْمَدُ مِنْ و</w:t>
      </w:r>
      <w:r>
        <w:rPr>
          <w:rFonts w:hint="cs"/>
          <w:rtl/>
          <w:lang w:bidi="fa-IR"/>
        </w:rPr>
        <w:t>ُ</w:t>
      </w:r>
      <w:r w:rsidRPr="00132E65">
        <w:rPr>
          <w:rtl/>
          <w:lang w:bidi="fa-IR"/>
        </w:rPr>
        <w:t xml:space="preserve">لْدِ إِسْمَاعِيلَ </w:t>
      </w:r>
      <w:r w:rsidRPr="00071CF9">
        <w:rPr>
          <w:rStyle w:val="libAlaemChar"/>
          <w:rtl/>
        </w:rPr>
        <w:t>عليه‌السلام</w:t>
      </w:r>
      <w:r w:rsidRPr="00132E65">
        <w:rPr>
          <w:rtl/>
          <w:lang w:bidi="fa-IR"/>
        </w:rPr>
        <w:t xml:space="preserve"> ، يَجِي‌ءُ بِتَصْدِيقِي و</w:t>
      </w:r>
      <w:r>
        <w:rPr>
          <w:rFonts w:hint="cs"/>
          <w:rtl/>
          <w:lang w:bidi="fa-IR"/>
        </w:rPr>
        <w:t xml:space="preserve">َ </w:t>
      </w:r>
      <w:r w:rsidRPr="00132E65">
        <w:rPr>
          <w:rtl/>
          <w:lang w:bidi="fa-IR"/>
        </w:rPr>
        <w:t xml:space="preserve">تَصْدِيقِكُمْ </w:t>
      </w:r>
      <w:r>
        <w:rPr>
          <w:rStyle w:val="libFootnotenumChar"/>
          <w:rtl/>
        </w:rPr>
        <w:t>(7)</w:t>
      </w:r>
      <w:r w:rsidRPr="00132E65">
        <w:rPr>
          <w:rtl/>
          <w:lang w:bidi="fa-IR"/>
        </w:rPr>
        <w:t xml:space="preserve"> ، وَعُذْرِي </w:t>
      </w:r>
      <w:r>
        <w:rPr>
          <w:rStyle w:val="libFootnotenumChar"/>
          <w:rtl/>
        </w:rPr>
        <w:t>(8)</w:t>
      </w:r>
      <w:r w:rsidRPr="00132E65">
        <w:rPr>
          <w:rtl/>
          <w:lang w:bidi="fa-IR"/>
        </w:rPr>
        <w:t xml:space="preserve"> و</w:t>
      </w:r>
      <w:r>
        <w:rPr>
          <w:rFonts w:hint="cs"/>
          <w:rtl/>
          <w:lang w:bidi="fa-IR"/>
        </w:rPr>
        <w:t xml:space="preserve">َ </w:t>
      </w:r>
      <w:r w:rsidRPr="00132E65">
        <w:rPr>
          <w:rtl/>
          <w:lang w:bidi="fa-IR"/>
        </w:rPr>
        <w:t>عُذْرِكُمْ ، و</w:t>
      </w:r>
      <w:r>
        <w:rPr>
          <w:rFonts w:hint="cs"/>
          <w:rtl/>
          <w:lang w:bidi="fa-IR"/>
        </w:rPr>
        <w:t xml:space="preserve">َ </w:t>
      </w:r>
      <w:r w:rsidRPr="00132E65">
        <w:rPr>
          <w:rtl/>
          <w:lang w:bidi="fa-IR"/>
        </w:rPr>
        <w:t xml:space="preserve">جَرَتْ مِنْ بَعْدِهِ فِي الْحَوَارِيِّينَ </w:t>
      </w:r>
      <w:r>
        <w:rPr>
          <w:rStyle w:val="libFootnotenumChar"/>
          <w:rtl/>
        </w:rPr>
        <w:t>(9)</w:t>
      </w:r>
      <w:r w:rsidRPr="00132E65">
        <w:rPr>
          <w:rtl/>
          <w:lang w:bidi="fa-IR"/>
        </w:rPr>
        <w:t xml:space="preserve"> فِي الْمُسْتَحْفَظِينَ.</w:t>
      </w:r>
    </w:p>
    <w:p w:rsidR="000C39D1" w:rsidRPr="00132E65" w:rsidRDefault="000C39D1" w:rsidP="000C39D1">
      <w:pPr>
        <w:pStyle w:val="libLine"/>
        <w:rPr>
          <w:rtl/>
          <w:lang w:bidi="fa-IR"/>
        </w:rPr>
      </w:pPr>
      <w:r w:rsidRPr="00132E65">
        <w:rPr>
          <w:rtl/>
          <w:lang w:bidi="fa-IR"/>
        </w:rPr>
        <w:t>__________________</w:t>
      </w:r>
    </w:p>
    <w:p w:rsidR="000C39D1" w:rsidRDefault="000C39D1" w:rsidP="000C39D1">
      <w:pPr>
        <w:pStyle w:val="libFootnote0"/>
        <w:rPr>
          <w:rtl/>
        </w:rPr>
      </w:pPr>
      <w:r>
        <w:rPr>
          <w:rFonts w:hint="cs"/>
          <w:rtl/>
        </w:rPr>
        <w:t>=</w:t>
      </w:r>
      <w:r w:rsidRPr="007A103C">
        <w:rPr>
          <w:rtl/>
        </w:rPr>
        <w:t>الأثر</w:t>
      </w:r>
      <w:r w:rsidRPr="00132E65">
        <w:rPr>
          <w:rtl/>
        </w:rPr>
        <w:t xml:space="preserve"> ، ص 178 ، بسند آخر ، مع زيادة واختلاف ؛ </w:t>
      </w:r>
      <w:r w:rsidRPr="007A103C">
        <w:rPr>
          <w:rtl/>
        </w:rPr>
        <w:t>تفسير العيّاشي</w:t>
      </w:r>
      <w:r w:rsidRPr="00132E65">
        <w:rPr>
          <w:rtl/>
        </w:rPr>
        <w:t xml:space="preserve"> ، ج 1 ، ص 168 ، ح 31 ، عن أبي حمزة ، مع زيادة في آخره </w:t>
      </w:r>
      <w:r>
        <w:rPr>
          <w:rFonts w:hint="cs"/>
          <w:rtl/>
        </w:rPr>
        <w:t>.</w:t>
      </w:r>
      <w:r w:rsidRPr="009D1ACE">
        <w:rPr>
          <w:rStyle w:val="libFootnoteBoldChar"/>
          <w:rtl/>
        </w:rPr>
        <w:t>الوافي</w:t>
      </w:r>
      <w:r w:rsidRPr="00132E65">
        <w:rPr>
          <w:rtl/>
        </w:rPr>
        <w:t xml:space="preserve"> ، ج 2 ، ص 281 ، ح 752.</w:t>
      </w:r>
    </w:p>
    <w:p w:rsidR="000C39D1" w:rsidRPr="00132E65" w:rsidRDefault="000C39D1" w:rsidP="000C39D1">
      <w:pPr>
        <w:pStyle w:val="libFootnote0"/>
        <w:rPr>
          <w:rtl/>
          <w:lang w:bidi="fa-IR"/>
        </w:rPr>
      </w:pPr>
      <w:r>
        <w:rPr>
          <w:rtl/>
        </w:rPr>
        <w:t>(1).</w:t>
      </w:r>
      <w:r w:rsidRPr="00132E65">
        <w:rPr>
          <w:rtl/>
        </w:rPr>
        <w:t xml:space="preserve"> هكذا في « ب ، ض ، بر » وحاشية بدرالدين والوسائل والبحار ، ج 13 </w:t>
      </w:r>
      <w:r>
        <w:rPr>
          <w:rtl/>
        </w:rPr>
        <w:t>و 1</w:t>
      </w:r>
      <w:r w:rsidRPr="00132E65">
        <w:rPr>
          <w:rtl/>
        </w:rPr>
        <w:t>7. وفي سائر النسخ والمطبوع : « محمّد بن الحسين »</w:t>
      </w:r>
      <w:r>
        <w:rPr>
          <w:rtl/>
        </w:rPr>
        <w:t>.</w:t>
      </w:r>
      <w:r w:rsidRPr="00132E65">
        <w:rPr>
          <w:rtl/>
        </w:rPr>
        <w:t xml:space="preserve"> والصواب ما أثبتناه ، كما تقدّم ذيل ح 250 </w:t>
      </w:r>
      <w:r>
        <w:rPr>
          <w:rtl/>
        </w:rPr>
        <w:t>و 5</w:t>
      </w:r>
      <w:r w:rsidRPr="00132E65">
        <w:rPr>
          <w:rtl/>
        </w:rPr>
        <w:t>25.</w:t>
      </w:r>
    </w:p>
    <w:p w:rsidR="000C39D1" w:rsidRPr="00132E65" w:rsidRDefault="000C39D1" w:rsidP="000C39D1">
      <w:pPr>
        <w:pStyle w:val="libFootnote0"/>
        <w:rPr>
          <w:rtl/>
          <w:lang w:bidi="fa-IR"/>
        </w:rPr>
      </w:pPr>
      <w:r>
        <w:rPr>
          <w:rtl/>
        </w:rPr>
        <w:t>(2).</w:t>
      </w:r>
      <w:r w:rsidRPr="00132E65">
        <w:rPr>
          <w:rtl/>
        </w:rPr>
        <w:t xml:space="preserve"> هكذا في « ب ، ض ، بر » والوسائل والبحار ، ج 7 </w:t>
      </w:r>
      <w:r>
        <w:rPr>
          <w:rtl/>
        </w:rPr>
        <w:t>و 1</w:t>
      </w:r>
      <w:r w:rsidRPr="00132E65">
        <w:rPr>
          <w:rtl/>
        </w:rPr>
        <w:t xml:space="preserve">3 </w:t>
      </w:r>
      <w:r>
        <w:rPr>
          <w:rtl/>
        </w:rPr>
        <w:t>و 1</w:t>
      </w:r>
      <w:r w:rsidRPr="00132E65">
        <w:rPr>
          <w:rtl/>
        </w:rPr>
        <w:t>7. وفي سائر النسخ والمطبوع : «</w:t>
      </w:r>
      <w:r>
        <w:rPr>
          <w:rtl/>
        </w:rPr>
        <w:t xml:space="preserve"> و »</w:t>
      </w:r>
      <w:r w:rsidRPr="00132E65">
        <w:rPr>
          <w:rtl/>
        </w:rPr>
        <w:t xml:space="preserve"> بدل « عن »</w:t>
      </w:r>
      <w:r>
        <w:rPr>
          <w:rtl/>
        </w:rPr>
        <w:t>.</w:t>
      </w:r>
      <w:r w:rsidRPr="00132E65">
        <w:rPr>
          <w:rtl/>
        </w:rPr>
        <w:t xml:space="preserve"> والصواب ما أثبتناه ؛ فقد روى محمّد بن يحيى عن محمّد بن الحسين [ بن أبي الخطّاب ] كتب محمّد بن سنان وتوسّط محمّد بن الحسين بينه وبين محمّد بن يحيى في عددٍ من الأسناد. راجع : </w:t>
      </w:r>
      <w:r w:rsidRPr="007A103C">
        <w:rPr>
          <w:rtl/>
        </w:rPr>
        <w:t>رجال النجاشي</w:t>
      </w:r>
      <w:r w:rsidRPr="00132E65">
        <w:rPr>
          <w:rtl/>
        </w:rPr>
        <w:t xml:space="preserve"> ، ص 328 ، الرقم 888 ؛ </w:t>
      </w:r>
      <w:r w:rsidRPr="007A103C">
        <w:rPr>
          <w:rtl/>
        </w:rPr>
        <w:t>الفهرست</w:t>
      </w:r>
      <w:r w:rsidRPr="00132E65">
        <w:rPr>
          <w:rtl/>
        </w:rPr>
        <w:t xml:space="preserve"> للطوسي ، ص 406 ، الرقم 620 ؛ </w:t>
      </w:r>
      <w:r w:rsidRPr="007A103C">
        <w:rPr>
          <w:rtl/>
        </w:rPr>
        <w:t>معجم رجال الحديث</w:t>
      </w:r>
      <w:r w:rsidRPr="00132E65">
        <w:rPr>
          <w:rtl/>
        </w:rPr>
        <w:t xml:space="preserve"> ، ج 15 ، ص 420</w:t>
      </w:r>
      <w:r>
        <w:rPr>
          <w:rtl/>
        </w:rPr>
        <w:t xml:space="preserve"> - </w:t>
      </w:r>
      <w:r w:rsidRPr="00132E65">
        <w:rPr>
          <w:rtl/>
        </w:rPr>
        <w:t>41 ، ص 432.</w:t>
      </w:r>
    </w:p>
    <w:p w:rsidR="000C39D1" w:rsidRPr="00F24C1F" w:rsidRDefault="000C39D1" w:rsidP="00E55206">
      <w:pPr>
        <w:pStyle w:val="libFootnote0"/>
        <w:rPr>
          <w:rtl/>
        </w:rPr>
      </w:pPr>
      <w:r w:rsidRPr="00F24C1F">
        <w:rPr>
          <w:rtl/>
        </w:rPr>
        <w:t>فعليه في السند تحويل بعطف « محمّد بن يحيى عن محمّد بن الحسين » على « محمّد بن الحسن وغيره عن سهل عن محمّد بن عيسى » ويروي عن محمّد بن سنان ، محمّد بن عيسى ومحمّد بن الحسين معاً.</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 ، ه‍ ، بح ، بف » </w:t>
            </w:r>
            <w:r>
              <w:rPr>
                <w:rtl/>
              </w:rPr>
              <w:t xml:space="preserve">: - </w:t>
            </w:r>
            <w:r w:rsidRPr="00132E65">
              <w:rPr>
                <w:rtl/>
              </w:rPr>
              <w:t>« بن نون »</w:t>
            </w:r>
            <w:r>
              <w:rPr>
                <w:rtl/>
              </w:rPr>
              <w:t>.</w:t>
            </w:r>
          </w:p>
        </w:tc>
        <w:tc>
          <w:tcPr>
            <w:tcW w:w="4006" w:type="dxa"/>
          </w:tcPr>
          <w:p w:rsidR="000C39D1" w:rsidRDefault="000C39D1" w:rsidP="00B53873">
            <w:pPr>
              <w:pStyle w:val="libFootnote0"/>
              <w:rPr>
                <w:rtl/>
              </w:rPr>
            </w:pPr>
            <w:r>
              <w:rPr>
                <w:rtl/>
              </w:rPr>
              <w:t>(4).</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بن نون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ج » </w:t>
            </w:r>
            <w:r>
              <w:rPr>
                <w:rtl/>
              </w:rPr>
              <w:t xml:space="preserve">: - </w:t>
            </w:r>
            <w:r w:rsidRPr="00132E65">
              <w:rPr>
                <w:rtl/>
              </w:rPr>
              <w:t>« الله »</w:t>
            </w:r>
            <w:r>
              <w:rPr>
                <w:rtl/>
              </w:rPr>
              <w:t>.</w:t>
            </w:r>
          </w:p>
        </w:tc>
        <w:tc>
          <w:tcPr>
            <w:tcW w:w="4006" w:type="dxa"/>
          </w:tcPr>
          <w:p w:rsidR="000C39D1" w:rsidRDefault="000C39D1" w:rsidP="00B53873">
            <w:pPr>
              <w:pStyle w:val="libFootnote0"/>
              <w:rPr>
                <w:rtl/>
              </w:rPr>
            </w:pPr>
            <w:r>
              <w:rPr>
                <w:rtl/>
              </w:rPr>
              <w:t>(6).</w:t>
            </w:r>
            <w:r w:rsidRPr="00132E65">
              <w:rPr>
                <w:rtl/>
              </w:rPr>
              <w:t xml:space="preserve"> في « ف » </w:t>
            </w:r>
            <w:r>
              <w:rPr>
                <w:rtl/>
              </w:rPr>
              <w:t xml:space="preserve">: - </w:t>
            </w:r>
            <w:r w:rsidRPr="00132E65">
              <w:rPr>
                <w:rtl/>
              </w:rPr>
              <w:t>« لهم »</w:t>
            </w:r>
            <w:r>
              <w:rPr>
                <w:rtl/>
              </w:rPr>
              <w:t>.</w:t>
            </w:r>
          </w:p>
        </w:tc>
      </w:tr>
    </w:tbl>
    <w:p w:rsidR="000C39D1" w:rsidRPr="00132E65" w:rsidRDefault="000C39D1" w:rsidP="000C39D1">
      <w:pPr>
        <w:pStyle w:val="libFootnote0"/>
        <w:rPr>
          <w:rtl/>
          <w:lang w:bidi="fa-IR"/>
        </w:rPr>
      </w:pPr>
      <w:r>
        <w:rPr>
          <w:rtl/>
        </w:rPr>
        <w:t>(7).</w:t>
      </w:r>
      <w:r w:rsidRPr="00132E65">
        <w:rPr>
          <w:rtl/>
        </w:rPr>
        <w:t xml:space="preserve"> في « بح » : « بتصديقكم »</w:t>
      </w:r>
      <w:r>
        <w:rPr>
          <w:rtl/>
        </w:rPr>
        <w:t>.</w:t>
      </w:r>
    </w:p>
    <w:p w:rsidR="000C39D1" w:rsidRPr="00132E65" w:rsidRDefault="000C39D1" w:rsidP="000C39D1">
      <w:pPr>
        <w:pStyle w:val="libFootnote0"/>
        <w:rPr>
          <w:rtl/>
          <w:lang w:bidi="fa-IR"/>
        </w:rPr>
      </w:pPr>
      <w:r>
        <w:rPr>
          <w:rtl/>
        </w:rPr>
        <w:t>(8).</w:t>
      </w:r>
      <w:r w:rsidRPr="00132E65">
        <w:rPr>
          <w:rtl/>
        </w:rPr>
        <w:t xml:space="preserve"> « العُذْر » : الحجّة ، من تعذّر بمعنى اعتذر واحتجّ لنفسه. أو البراءة من السوء ، من عَذَرتُ بمعنى مَحَوتُ الإساءة ، وطمستُها. أو مصدر بمعنى العاذِر وهو الأثر. راجع : </w:t>
      </w:r>
      <w:r w:rsidRPr="007A103C">
        <w:rPr>
          <w:rtl/>
        </w:rPr>
        <w:t>الصحاح</w:t>
      </w:r>
      <w:r w:rsidRPr="00132E65">
        <w:rPr>
          <w:rtl/>
        </w:rPr>
        <w:t xml:space="preserve"> ، ج 2 ، ص 740 ؛ </w:t>
      </w:r>
      <w:r w:rsidRPr="007A103C">
        <w:rPr>
          <w:rtl/>
        </w:rPr>
        <w:t>النهاية</w:t>
      </w:r>
      <w:r w:rsidRPr="00132E65">
        <w:rPr>
          <w:rtl/>
        </w:rPr>
        <w:t xml:space="preserve"> ، ج 3 ، ص 197</w:t>
      </w:r>
      <w:r>
        <w:rPr>
          <w:rtl/>
        </w:rPr>
        <w:t xml:space="preserve"> - </w:t>
      </w:r>
      <w:r w:rsidRPr="00132E65">
        <w:rPr>
          <w:rtl/>
        </w:rPr>
        <w:t>198 ( عذر )</w:t>
      </w:r>
      <w:r>
        <w:rPr>
          <w:rtl/>
        </w:rPr>
        <w:t>.</w:t>
      </w:r>
    </w:p>
    <w:p w:rsidR="000C39D1" w:rsidRPr="00132E65" w:rsidRDefault="000C39D1" w:rsidP="000C39D1">
      <w:pPr>
        <w:pStyle w:val="libFootnote0"/>
        <w:rPr>
          <w:rtl/>
          <w:lang w:bidi="fa-IR"/>
        </w:rPr>
      </w:pPr>
      <w:r>
        <w:rPr>
          <w:rtl/>
        </w:rPr>
        <w:t>(9).</w:t>
      </w:r>
      <w:r w:rsidRPr="00132E65">
        <w:rPr>
          <w:rtl/>
        </w:rPr>
        <w:t xml:space="preserve"> « الحَواريّون » : جمع الحواري ، وهم خُلْصان المسيح </w:t>
      </w:r>
      <w:r w:rsidRPr="005C697A">
        <w:rPr>
          <w:rStyle w:val="libFootnoteAlaemChar"/>
          <w:rtl/>
        </w:rPr>
        <w:t>عليه‌السلام</w:t>
      </w:r>
      <w:r w:rsidRPr="00132E65">
        <w:rPr>
          <w:rtl/>
        </w:rPr>
        <w:t xml:space="preserve"> وأنصاره. وأصله من التحوير بمعنى التبييض.</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وَإِنَّمَا سَمَّاهُمُ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الْمُسْتَحْفَظِينَ ؛ لِأَنَّهُمُ اسْتُحْفِظُوا الِاسْمَ الْأَكْبَرَ ، وَهُوَ الْكِتَابُ الَّذِي يُعْلَمُ بِهِ عِلْمُ كُلِّ شَيْ‌ءٍ الَّذِي كَانَ مَعَ الْأَنْبِيَاءِ صَلَوَاتُ اللهِ عَلَيْهِمْ ، يَقُولُ اللهُ عزَّ و</w:t>
      </w:r>
      <w:r>
        <w:rPr>
          <w:rFonts w:hint="cs"/>
          <w:rtl/>
          <w:lang w:bidi="fa-IR"/>
        </w:rPr>
        <w:t xml:space="preserve">َ </w:t>
      </w:r>
      <w:r w:rsidRPr="00132E65">
        <w:rPr>
          <w:rtl/>
          <w:lang w:bidi="fa-IR"/>
        </w:rPr>
        <w:t xml:space="preserve">جَلَّ : </w:t>
      </w:r>
      <w:r w:rsidRPr="00071CF9">
        <w:rPr>
          <w:rStyle w:val="libAlaemChar"/>
          <w:rtl/>
        </w:rPr>
        <w:t>(</w:t>
      </w:r>
      <w:r w:rsidRPr="00071CF9">
        <w:rPr>
          <w:rStyle w:val="libAieChar"/>
          <w:rtl/>
        </w:rPr>
        <w:t xml:space="preserve"> لَقَدْ أَرْسَلْنا رُسُلَنا بِالْبَيِّناتِ </w:t>
      </w:r>
      <w:r>
        <w:rPr>
          <w:rStyle w:val="libFootnotenumChar"/>
          <w:rtl/>
        </w:rPr>
        <w:t>(1)</w:t>
      </w:r>
      <w:r w:rsidRPr="00071CF9">
        <w:rPr>
          <w:rStyle w:val="libAieChar"/>
          <w:rtl/>
        </w:rPr>
        <w:t xml:space="preserve"> وَأَنْزَلْنا مَعَهُمُ الْكِتابَ وَالْمِيزانَ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الْكِتَابُ :</w:t>
      </w:r>
      <w:r>
        <w:rPr>
          <w:rFonts w:hint="cs"/>
          <w:rtl/>
          <w:lang w:bidi="fa-IR"/>
        </w:rPr>
        <w:t xml:space="preserve"> </w:t>
      </w:r>
      <w:r w:rsidRPr="00132E65">
        <w:rPr>
          <w:rtl/>
          <w:lang w:bidi="fa-IR"/>
        </w:rPr>
        <w:t>الِاسْمُ الْأَكْبَرُ ، و</w:t>
      </w:r>
      <w:r>
        <w:rPr>
          <w:rFonts w:hint="cs"/>
          <w:rtl/>
          <w:lang w:bidi="fa-IR"/>
        </w:rPr>
        <w:t>َ</w:t>
      </w:r>
      <w:r w:rsidRPr="00132E65">
        <w:rPr>
          <w:rtl/>
          <w:lang w:bidi="fa-IR"/>
        </w:rPr>
        <w:t>إِنَّمَا عُرِفَ</w:t>
      </w:r>
      <w:r>
        <w:rPr>
          <w:rtl/>
          <w:lang w:bidi="fa-IR"/>
        </w:rPr>
        <w:t xml:space="preserve"> - </w:t>
      </w:r>
      <w:r w:rsidRPr="00132E65">
        <w:rPr>
          <w:rtl/>
          <w:lang w:bidi="fa-IR"/>
        </w:rPr>
        <w:t>مِمَّا يُدْعَى الْكِتَابَ</w:t>
      </w:r>
      <w:r>
        <w:rPr>
          <w:rtl/>
          <w:lang w:bidi="fa-IR"/>
        </w:rPr>
        <w:t xml:space="preserve"> - </w:t>
      </w:r>
      <w:r w:rsidRPr="00132E65">
        <w:rPr>
          <w:rtl/>
          <w:lang w:bidi="fa-IR"/>
        </w:rPr>
        <w:t>التَّوْرَاةُ و</w:t>
      </w:r>
      <w:r>
        <w:rPr>
          <w:rFonts w:hint="cs"/>
          <w:rtl/>
          <w:lang w:bidi="fa-IR"/>
        </w:rPr>
        <w:t xml:space="preserve">َ </w:t>
      </w:r>
      <w:r w:rsidRPr="00132E65">
        <w:rPr>
          <w:rtl/>
          <w:lang w:bidi="fa-IR"/>
        </w:rPr>
        <w:t xml:space="preserve">الْإِنْجِيلُ والْفُرْقَانُ ، فِيهَا كِتَابُ نُوحٍ </w:t>
      </w:r>
      <w:r w:rsidRPr="00071CF9">
        <w:rPr>
          <w:rStyle w:val="libAlaemChar"/>
          <w:rtl/>
        </w:rPr>
        <w:t>عليه‌السلام</w:t>
      </w:r>
      <w:r w:rsidRPr="00132E65">
        <w:rPr>
          <w:rtl/>
          <w:lang w:bidi="fa-IR"/>
        </w:rPr>
        <w:t xml:space="preserve"> ، وفِيهَا كِتَابُ صَالِحٍ وشُعَيْبٍ وإِبْرَاهِيمَ </w:t>
      </w:r>
      <w:r w:rsidRPr="00071CF9">
        <w:rPr>
          <w:rStyle w:val="libAlaemChar"/>
          <w:rtl/>
        </w:rPr>
        <w:t>عليهم‌السلام</w:t>
      </w:r>
      <w:r w:rsidRPr="00132E65">
        <w:rPr>
          <w:rtl/>
          <w:lang w:bidi="fa-IR"/>
        </w:rPr>
        <w:t xml:space="preserve"> ، فَأَخْبَرَ </w:t>
      </w:r>
      <w:r>
        <w:rPr>
          <w:rStyle w:val="libFootnotenumChar"/>
          <w:rtl/>
        </w:rPr>
        <w:t>(3)</w:t>
      </w:r>
      <w:r w:rsidRPr="00132E65">
        <w:rPr>
          <w:rtl/>
          <w:lang w:bidi="fa-IR"/>
        </w:rPr>
        <w:t xml:space="preserve"> اللهُ عَزَّ وجَلَّ : </w:t>
      </w:r>
      <w:r w:rsidRPr="00071CF9">
        <w:rPr>
          <w:rStyle w:val="libAlaemChar"/>
          <w:rtl/>
        </w:rPr>
        <w:t>(</w:t>
      </w:r>
      <w:r w:rsidRPr="00071CF9">
        <w:rPr>
          <w:rStyle w:val="libAieChar"/>
          <w:rtl/>
        </w:rPr>
        <w:t xml:space="preserve"> إِنَّ هذا لَفِي الصُّحُفِ الْأُولى </w:t>
      </w:r>
      <w:r>
        <w:rPr>
          <w:rStyle w:val="libAieChar"/>
          <w:rFonts w:hint="cs"/>
          <w:rtl/>
        </w:rPr>
        <w:t xml:space="preserve">* </w:t>
      </w:r>
      <w:r w:rsidRPr="00071CF9">
        <w:rPr>
          <w:rStyle w:val="libAieChar"/>
          <w:rtl/>
        </w:rPr>
        <w:t xml:space="preserve">صُحُفِ إِبْراهِيمَ وَمُوسى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فَأَيْنَ صُحُفُ </w:t>
      </w:r>
      <w:r>
        <w:rPr>
          <w:rStyle w:val="libFootnotenumChar"/>
          <w:rtl/>
        </w:rPr>
        <w:t>(5)</w:t>
      </w:r>
      <w:r w:rsidRPr="00132E65">
        <w:rPr>
          <w:rtl/>
          <w:lang w:bidi="fa-IR"/>
        </w:rPr>
        <w:t xml:space="preserve"> إِبْرَاهِيمَ</w:t>
      </w:r>
      <w:r>
        <w:rPr>
          <w:rtl/>
          <w:lang w:bidi="fa-IR"/>
        </w:rPr>
        <w:t>؟</w:t>
      </w:r>
      <w:r w:rsidRPr="00132E65">
        <w:rPr>
          <w:rtl/>
          <w:lang w:bidi="fa-IR"/>
        </w:rPr>
        <w:t xml:space="preserve"> إِنَّمَا </w:t>
      </w:r>
      <w:r>
        <w:rPr>
          <w:rStyle w:val="libFootnotenumChar"/>
          <w:rtl/>
        </w:rPr>
        <w:t>(6)</w:t>
      </w:r>
      <w:r w:rsidRPr="00132E65">
        <w:rPr>
          <w:rtl/>
          <w:lang w:bidi="fa-IR"/>
        </w:rPr>
        <w:t xml:space="preserve"> صُحُفُ إِبْرَاهِيمَ الِاسْمُ الْأَكْبَرُ ، و</w:t>
      </w:r>
      <w:r>
        <w:rPr>
          <w:rFonts w:hint="cs"/>
          <w:rtl/>
          <w:lang w:bidi="fa-IR"/>
        </w:rPr>
        <w:t>َ</w:t>
      </w:r>
      <w:r w:rsidRPr="00132E65">
        <w:rPr>
          <w:rtl/>
          <w:lang w:bidi="fa-IR"/>
        </w:rPr>
        <w:t>صُحُفُ مُوسَى الِاسْمُ الْأَكْبَرُ.</w:t>
      </w:r>
    </w:p>
    <w:p w:rsidR="000C39D1" w:rsidRPr="00132E65" w:rsidRDefault="000C39D1" w:rsidP="000C39D1">
      <w:pPr>
        <w:pStyle w:val="libNormal"/>
        <w:rPr>
          <w:rtl/>
          <w:lang w:bidi="fa-IR"/>
        </w:rPr>
      </w:pPr>
      <w:r w:rsidRPr="00132E65">
        <w:rPr>
          <w:rtl/>
          <w:lang w:bidi="fa-IR"/>
        </w:rPr>
        <w:t xml:space="preserve">فَلَمْ تَزَلِ الْوَصِيَّةُ فِي عَالِمٍ بَعْدَ عَالِمٍ حَتّى دَفَعُوهَا إِلى مُحَمَّدٍ </w:t>
      </w:r>
      <w:r w:rsidRPr="002F47CB">
        <w:rPr>
          <w:rStyle w:val="libAlaemChar"/>
          <w:rFonts w:eastAsiaTheme="minorHAnsi"/>
          <w:rtl/>
        </w:rPr>
        <w:t>صلى‌الله‌عليه‌وآله</w:t>
      </w:r>
      <w:r w:rsidRPr="00132E65">
        <w:rPr>
          <w:rtl/>
          <w:lang w:bidi="fa-IR"/>
        </w:rPr>
        <w:t xml:space="preserve"> ، فَلَمَّا بَعَثَ اللهُ</w:t>
      </w:r>
      <w:r>
        <w:rPr>
          <w:rtl/>
          <w:lang w:bidi="fa-IR"/>
        </w:rPr>
        <w:t xml:space="preserve"> - </w:t>
      </w:r>
      <w:r w:rsidRPr="00132E65">
        <w:rPr>
          <w:rtl/>
          <w:lang w:bidi="fa-IR"/>
        </w:rPr>
        <w:t>عَزَّ وَجَلَّ</w:t>
      </w:r>
      <w:r>
        <w:rPr>
          <w:rtl/>
          <w:lang w:bidi="fa-IR"/>
        </w:rPr>
        <w:t xml:space="preserve"> - </w:t>
      </w:r>
      <w:r w:rsidRPr="00132E65">
        <w:rPr>
          <w:rtl/>
          <w:lang w:bidi="fa-IR"/>
        </w:rPr>
        <w:t xml:space="preserve">مُحَمَّداً </w:t>
      </w:r>
      <w:r w:rsidRPr="002F47CB">
        <w:rPr>
          <w:rStyle w:val="libAlaemChar"/>
          <w:rFonts w:eastAsiaTheme="minorHAnsi"/>
          <w:rtl/>
        </w:rPr>
        <w:t>صلى‌الله‌عليه‌وآله</w:t>
      </w:r>
      <w:r w:rsidRPr="00132E65">
        <w:rPr>
          <w:rtl/>
          <w:lang w:bidi="fa-IR"/>
        </w:rPr>
        <w:t xml:space="preserve"> ، أَسْلَمَ لَهُ الْعَقِبُ مِنَ الْمُسْتَحْفَظِينَ ، وكَذَّبَهُ </w:t>
      </w:r>
      <w:r>
        <w:rPr>
          <w:rStyle w:val="libFootnotenumChar"/>
          <w:rtl/>
        </w:rPr>
        <w:t>(7)</w:t>
      </w:r>
      <w:r w:rsidRPr="00132E65">
        <w:rPr>
          <w:rtl/>
          <w:lang w:bidi="fa-IR"/>
        </w:rPr>
        <w:t xml:space="preserve"> بَنُو إِسْرَائِيلَ ، ودَعَا إِلَى اللهِ عَزَّ وجَلَّ ، وجَاهَدَ فِي سَبِيلِهِ.</w:t>
      </w:r>
    </w:p>
    <w:p w:rsidR="000C39D1" w:rsidRPr="00132E65" w:rsidRDefault="000C39D1" w:rsidP="000C39D1">
      <w:pPr>
        <w:pStyle w:val="libNormal"/>
        <w:rPr>
          <w:rtl/>
          <w:lang w:bidi="fa-IR"/>
        </w:rPr>
      </w:pPr>
      <w:r w:rsidRPr="00132E65">
        <w:rPr>
          <w:rtl/>
          <w:lang w:bidi="fa-IR"/>
        </w:rPr>
        <w:t>ثُمَّ أَنْزَلَ اللهُ</w:t>
      </w:r>
      <w:r>
        <w:rPr>
          <w:rtl/>
          <w:lang w:bidi="fa-IR"/>
        </w:rPr>
        <w:t xml:space="preserve"> - </w:t>
      </w:r>
      <w:r w:rsidRPr="00132E65">
        <w:rPr>
          <w:rtl/>
          <w:lang w:bidi="fa-IR"/>
        </w:rPr>
        <w:t>جَلَّ ذِكْرُهُ</w:t>
      </w:r>
      <w:r>
        <w:rPr>
          <w:rtl/>
          <w:lang w:bidi="fa-IR"/>
        </w:rPr>
        <w:t xml:space="preserve"> - </w:t>
      </w:r>
      <w:r w:rsidRPr="00132E65">
        <w:rPr>
          <w:rtl/>
          <w:lang w:bidi="fa-IR"/>
        </w:rPr>
        <w:t xml:space="preserve">عَلَيْهِ </w:t>
      </w:r>
      <w:r>
        <w:rPr>
          <w:rStyle w:val="libFootnotenumChar"/>
          <w:rtl/>
        </w:rPr>
        <w:t>(8)</w:t>
      </w:r>
      <w:r w:rsidRPr="00132E65">
        <w:rPr>
          <w:rtl/>
          <w:lang w:bidi="fa-IR"/>
        </w:rPr>
        <w:t xml:space="preserve"> : أَنْ أَعْلِنْ فَضْلَ و</w:t>
      </w:r>
      <w:r>
        <w:rPr>
          <w:rFonts w:hint="cs"/>
          <w:rtl/>
          <w:lang w:bidi="fa-IR"/>
        </w:rPr>
        <w:t>َ</w:t>
      </w:r>
      <w:r w:rsidRPr="00132E65">
        <w:rPr>
          <w:rtl/>
          <w:lang w:bidi="fa-IR"/>
        </w:rPr>
        <w:t xml:space="preserve">صِيِّكَ ، فَقَالَ : رَبِّ </w:t>
      </w:r>
      <w:r>
        <w:rPr>
          <w:rStyle w:val="libFootnotenumChar"/>
          <w:rtl/>
        </w:rPr>
        <w:t>(9)</w:t>
      </w:r>
      <w:r w:rsidRPr="00132E65">
        <w:rPr>
          <w:rtl/>
          <w:lang w:bidi="fa-IR"/>
        </w:rPr>
        <w:t xml:space="preserve"> ، إِنَّ الْعَرَبَ قَوْمٌ جُفَاةٌ </w:t>
      </w:r>
      <w:r>
        <w:rPr>
          <w:rStyle w:val="libFootnotenumChar"/>
          <w:rtl/>
        </w:rPr>
        <w:t>(10)</w:t>
      </w:r>
      <w:r w:rsidRPr="00132E65">
        <w:rPr>
          <w:rtl/>
          <w:lang w:bidi="fa-IR"/>
        </w:rPr>
        <w:t xml:space="preserve"> ، لَمْ يَكُنْ فِيهِمْ كِتَابٌ ، ولَمْ يُبْعَثْ إِلَيْهِمْ نَبِيٌّ ، ولَايَعْرِفُونَ فَضْلَ </w:t>
      </w:r>
      <w:r>
        <w:rPr>
          <w:rStyle w:val="libFootnotenumChar"/>
          <w:rtl/>
        </w:rPr>
        <w:t>(11)</w:t>
      </w:r>
      <w:r w:rsidRPr="00132E65">
        <w:rPr>
          <w:rtl/>
          <w:lang w:bidi="fa-IR"/>
        </w:rPr>
        <w:t xml:space="preserve"> نُبُوَّاتِ‌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 xml:space="preserve">إنّما سمّوا حواريّين لأنّهم كانوا يطهّرون نفوس الناس ، أو أُخْلِصُوا ونُقُّوا من كلّ عيب ، أو كانوا قصّارين يحوّرون الثياب ، أي يبيّضونها. راجع : </w:t>
      </w:r>
      <w:r w:rsidRPr="007A103C">
        <w:rPr>
          <w:rtl/>
        </w:rPr>
        <w:t>المفردات</w:t>
      </w:r>
      <w:r w:rsidRPr="00132E65">
        <w:rPr>
          <w:rtl/>
        </w:rPr>
        <w:t xml:space="preserve"> للراغب ، ص 263 ؛ </w:t>
      </w:r>
      <w:r w:rsidRPr="007A103C">
        <w:rPr>
          <w:rtl/>
        </w:rPr>
        <w:t>النهاية</w:t>
      </w:r>
      <w:r w:rsidRPr="00132E65">
        <w:rPr>
          <w:rtl/>
        </w:rPr>
        <w:t xml:space="preserve"> ، ج 1 ، ص 458 ( حور )</w:t>
      </w:r>
      <w:r>
        <w:rPr>
          <w:rtl/>
        </w:rPr>
        <w:t>.</w:t>
      </w:r>
    </w:p>
    <w:p w:rsidR="000C39D1" w:rsidRPr="00132E65" w:rsidRDefault="000C39D1" w:rsidP="000C39D1">
      <w:pPr>
        <w:pStyle w:val="libFootnote0"/>
        <w:rPr>
          <w:rtl/>
          <w:lang w:bidi="fa-IR"/>
        </w:rPr>
      </w:pPr>
      <w:r>
        <w:rPr>
          <w:rtl/>
        </w:rPr>
        <w:t>(1).</w:t>
      </w:r>
      <w:r w:rsidRPr="00132E65">
        <w:rPr>
          <w:rtl/>
        </w:rPr>
        <w:t xml:space="preserve"> هكذا في القرآن والبصائر ، ص 469. وفي النسخ والمطبوع </w:t>
      </w:r>
      <w:r w:rsidRPr="002B5ACB">
        <w:rPr>
          <w:rtl/>
        </w:rPr>
        <w:t xml:space="preserve">: </w:t>
      </w:r>
      <w:r w:rsidRPr="00132E65">
        <w:rPr>
          <w:rtl/>
        </w:rPr>
        <w:t>«</w:t>
      </w:r>
      <w:r w:rsidRPr="002B5ACB">
        <w:rPr>
          <w:rFonts w:hint="cs"/>
          <w:rtl/>
        </w:rPr>
        <w:t xml:space="preserve"> </w:t>
      </w:r>
      <w:r w:rsidRPr="002B5ACB">
        <w:rPr>
          <w:rtl/>
        </w:rPr>
        <w:t>و</w:t>
      </w:r>
      <w:r>
        <w:rPr>
          <w:rtl/>
        </w:rPr>
        <w:t>لقد أرسلنا رسلاً من قبلك</w:t>
      </w:r>
      <w:r w:rsidRPr="002B5ACB">
        <w:rPr>
          <w:rFonts w:hint="cs"/>
          <w:rtl/>
        </w:rPr>
        <w:t xml:space="preserve"> </w:t>
      </w:r>
      <w:r w:rsidRPr="00132E65">
        <w:rPr>
          <w:rtl/>
        </w:rPr>
        <w:t>»</w:t>
      </w:r>
      <w:r w:rsidRPr="002B5ACB">
        <w:rPr>
          <w:rtl/>
        </w:rPr>
        <w:t>. ولعلّ</w:t>
      </w:r>
      <w:r w:rsidRPr="00132E65">
        <w:rPr>
          <w:rtl/>
        </w:rPr>
        <w:t xml:space="preserve"> هذا</w:t>
      </w:r>
      <w:r>
        <w:rPr>
          <w:rFonts w:hint="cs"/>
          <w:rtl/>
        </w:rPr>
        <w:t xml:space="preserve"> </w:t>
      </w:r>
      <w:r w:rsidRPr="00132E65">
        <w:rPr>
          <w:rtl/>
        </w:rPr>
        <w:t xml:space="preserve">تصحيف من النسّاخ ، أو خلط بين الآية 38 من سورة الرعد (13) ؛ </w:t>
      </w:r>
      <w:r w:rsidRPr="00071CF9">
        <w:rPr>
          <w:rStyle w:val="libAlaemChar"/>
          <w:rtl/>
        </w:rPr>
        <w:t>(</w:t>
      </w:r>
      <w:r>
        <w:rPr>
          <w:rFonts w:hint="cs"/>
          <w:rtl/>
        </w:rPr>
        <w:t xml:space="preserve"> </w:t>
      </w:r>
      <w:r w:rsidRPr="00C2691A">
        <w:rPr>
          <w:rStyle w:val="libFootnoteAieChar"/>
          <w:rtl/>
        </w:rPr>
        <w:t>لَقَدْ أَرْسَلْن</w:t>
      </w:r>
      <w:r>
        <w:rPr>
          <w:rStyle w:val="libFootnoteAieChar"/>
          <w:rFonts w:hint="cs"/>
          <w:rtl/>
        </w:rPr>
        <w:t>َ</w:t>
      </w:r>
      <w:r w:rsidRPr="00C2691A">
        <w:rPr>
          <w:rStyle w:val="libFootnoteAieChar"/>
          <w:rtl/>
        </w:rPr>
        <w:t>ا رُسُلاً مِنْ قَبْلِكَ</w:t>
      </w:r>
      <w:r>
        <w:rPr>
          <w:rFonts w:hint="cs"/>
          <w:rtl/>
        </w:rPr>
        <w:t xml:space="preserve"> </w:t>
      </w:r>
      <w:r w:rsidRPr="00071CF9">
        <w:rPr>
          <w:rStyle w:val="libAlaemChar"/>
          <w:rtl/>
        </w:rPr>
        <w:t>)</w:t>
      </w:r>
      <w:r w:rsidRPr="00132E65">
        <w:rPr>
          <w:rtl/>
        </w:rPr>
        <w:t xml:space="preserve"> والآية 25 من سورة الحديد (57)</w:t>
      </w:r>
      <w:r>
        <w:rPr>
          <w:rtl/>
        </w:rPr>
        <w:t>.</w:t>
      </w:r>
      <w:r>
        <w:rPr>
          <w:rFonts w:hint="cs"/>
          <w:rtl/>
        </w:rPr>
        <w:t xml:space="preserve">                                 </w:t>
      </w:r>
      <w:r w:rsidR="00CE1F23">
        <w:rPr>
          <w:rFonts w:hint="cs"/>
          <w:rtl/>
        </w:rPr>
        <w:t xml:space="preserve">              </w:t>
      </w:r>
      <w:r>
        <w:rPr>
          <w:rFonts w:hint="cs"/>
          <w:rtl/>
        </w:rPr>
        <w:t xml:space="preserve">     </w:t>
      </w:r>
      <w:r>
        <w:rPr>
          <w:rtl/>
        </w:rPr>
        <w:t>(2).</w:t>
      </w:r>
      <w:r w:rsidRPr="00132E65">
        <w:rPr>
          <w:rtl/>
        </w:rPr>
        <w:t xml:space="preserve"> الحديد (57) : 25.</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حاشية « ج ، بح » : « وأخبر »</w:t>
            </w:r>
            <w:r>
              <w:rPr>
                <w:rtl/>
              </w:rPr>
              <w:t>.</w:t>
            </w:r>
          </w:p>
        </w:tc>
        <w:tc>
          <w:tcPr>
            <w:tcW w:w="4006" w:type="dxa"/>
          </w:tcPr>
          <w:p w:rsidR="000C39D1" w:rsidRDefault="000C39D1" w:rsidP="00B53873">
            <w:pPr>
              <w:pStyle w:val="libFootnote0"/>
              <w:rPr>
                <w:rtl/>
              </w:rPr>
            </w:pPr>
            <w:r>
              <w:rPr>
                <w:rtl/>
              </w:rPr>
              <w:t>(4).</w:t>
            </w:r>
            <w:r w:rsidRPr="00132E65">
              <w:rPr>
                <w:rtl/>
              </w:rPr>
              <w:t xml:space="preserve"> الأعلى (87) : 18</w:t>
            </w:r>
            <w:r>
              <w:rPr>
                <w:rtl/>
              </w:rPr>
              <w:t xml:space="preserve"> - </w:t>
            </w:r>
            <w:r w:rsidRPr="00132E65">
              <w:rPr>
                <w:rtl/>
              </w:rPr>
              <w:t>19.</w:t>
            </w:r>
          </w:p>
        </w:tc>
      </w:tr>
    </w:tbl>
    <w:p w:rsidR="000C39D1" w:rsidRPr="00132E65" w:rsidRDefault="000C39D1" w:rsidP="000C39D1">
      <w:pPr>
        <w:pStyle w:val="libFootnote0"/>
        <w:rPr>
          <w:rtl/>
          <w:lang w:bidi="fa-IR"/>
        </w:rPr>
      </w:pPr>
      <w:r>
        <w:rPr>
          <w:rtl/>
        </w:rPr>
        <w:t>(5).</w:t>
      </w:r>
      <w:r w:rsidRPr="00132E65">
        <w:rPr>
          <w:rtl/>
        </w:rPr>
        <w:t xml:space="preserve"> « الصُحُف » : جمع الصحيفة ، وهي قطعة من جلد أو قرطاس كتب فيه. راجع : </w:t>
      </w:r>
      <w:r w:rsidRPr="007A103C">
        <w:rPr>
          <w:rtl/>
        </w:rPr>
        <w:t>المصباح المنير</w:t>
      </w:r>
      <w:r>
        <w:rPr>
          <w:rtl/>
        </w:rPr>
        <w:t xml:space="preserve"> ، ص 334 (</w:t>
      </w:r>
      <w:r w:rsidRPr="00132E65">
        <w:rPr>
          <w:rtl/>
        </w:rPr>
        <w:t>صحف )</w:t>
      </w:r>
      <w:r>
        <w:rPr>
          <w:rtl/>
        </w:rPr>
        <w:t>.</w:t>
      </w:r>
      <w:r>
        <w:rPr>
          <w:rFonts w:hint="cs"/>
          <w:rtl/>
        </w:rPr>
        <w:t xml:space="preserve">                                         </w:t>
      </w:r>
      <w:r w:rsidR="00CE1F23">
        <w:rPr>
          <w:rFonts w:hint="cs"/>
          <w:rtl/>
        </w:rPr>
        <w:t xml:space="preserve">             </w:t>
      </w:r>
      <w:r>
        <w:rPr>
          <w:rFonts w:hint="cs"/>
          <w:rtl/>
        </w:rPr>
        <w:t xml:space="preserve">   </w:t>
      </w:r>
      <w:r>
        <w:rPr>
          <w:rtl/>
        </w:rPr>
        <w:t>(6).في حاشية «ج»:«إنّ</w:t>
      </w:r>
      <w:r w:rsidRPr="00132E65">
        <w:rPr>
          <w:rtl/>
        </w:rPr>
        <w:t>»</w:t>
      </w:r>
      <w:r>
        <w:rPr>
          <w:rtl/>
        </w:rPr>
        <w:t>.وفي البصائر ، ص 469 : «أمّا</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بس » : « كذّبوه »</w:t>
            </w:r>
            <w:r>
              <w:rPr>
                <w:rtl/>
              </w:rPr>
              <w:t>.</w:t>
            </w:r>
          </w:p>
        </w:tc>
        <w:tc>
          <w:tcPr>
            <w:tcW w:w="4006" w:type="dxa"/>
          </w:tcPr>
          <w:p w:rsidR="000C39D1" w:rsidRDefault="000C39D1" w:rsidP="00B53873">
            <w:pPr>
              <w:pStyle w:val="libFootnote0"/>
              <w:rPr>
                <w:rtl/>
              </w:rPr>
            </w:pPr>
            <w:r>
              <w:rPr>
                <w:rtl/>
              </w:rPr>
              <w:t>(8).</w:t>
            </w:r>
            <w:r w:rsidRPr="00132E65">
              <w:rPr>
                <w:rtl/>
              </w:rPr>
              <w:t xml:space="preserve"> في « بس » </w:t>
            </w:r>
            <w:r>
              <w:rPr>
                <w:rtl/>
              </w:rPr>
              <w:t xml:space="preserve">: - </w:t>
            </w:r>
            <w:r w:rsidRPr="00132E65">
              <w:rPr>
                <w:rtl/>
              </w:rPr>
              <w:t>« عليه »</w:t>
            </w:r>
            <w:r>
              <w:rPr>
                <w:rtl/>
              </w:rPr>
              <w:t>.</w:t>
            </w:r>
          </w:p>
        </w:tc>
      </w:tr>
    </w:tbl>
    <w:p w:rsidR="000C39D1" w:rsidRPr="00132E65" w:rsidRDefault="000C39D1" w:rsidP="000C39D1">
      <w:pPr>
        <w:pStyle w:val="libFootnote0"/>
        <w:rPr>
          <w:rtl/>
          <w:lang w:bidi="fa-IR"/>
        </w:rPr>
      </w:pPr>
      <w:r>
        <w:rPr>
          <w:rtl/>
        </w:rPr>
        <w:t>(9).</w:t>
      </w:r>
      <w:r w:rsidRPr="00132E65">
        <w:rPr>
          <w:rtl/>
        </w:rPr>
        <w:t xml:space="preserve"> في « ف » : « ياربّ »</w:t>
      </w:r>
      <w:r>
        <w:rPr>
          <w:rtl/>
        </w:rPr>
        <w:t>.</w:t>
      </w:r>
    </w:p>
    <w:p w:rsidR="000C39D1" w:rsidRPr="00132E65" w:rsidRDefault="000C39D1" w:rsidP="000C39D1">
      <w:pPr>
        <w:pStyle w:val="libFootnote0"/>
        <w:rPr>
          <w:rtl/>
          <w:lang w:bidi="fa-IR"/>
        </w:rPr>
      </w:pPr>
      <w:r>
        <w:rPr>
          <w:rtl/>
        </w:rPr>
        <w:t>(10).</w:t>
      </w:r>
      <w:r w:rsidRPr="00132E65">
        <w:rPr>
          <w:rtl/>
        </w:rPr>
        <w:t xml:space="preserve"> « الجُفاة » : جمع الجافي ؛ من الجفاء ، وهو الغلظ في العشرة ، والخرق في المعاملة ، وترك الرفق. راجع : </w:t>
      </w:r>
      <w:r w:rsidRPr="007A103C">
        <w:rPr>
          <w:rtl/>
        </w:rPr>
        <w:t>المغرب</w:t>
      </w:r>
      <w:r w:rsidRPr="00132E65">
        <w:rPr>
          <w:rtl/>
        </w:rPr>
        <w:t xml:space="preserve"> ، ص 86 ( جفا )</w:t>
      </w:r>
      <w:r>
        <w:rPr>
          <w:rtl/>
        </w:rPr>
        <w:t>.</w:t>
      </w:r>
      <w:r>
        <w:rPr>
          <w:rFonts w:hint="cs"/>
          <w:rtl/>
        </w:rPr>
        <w:t xml:space="preserve">                            </w:t>
      </w:r>
      <w:r w:rsidR="00CE1F23">
        <w:rPr>
          <w:rFonts w:hint="cs"/>
          <w:rtl/>
        </w:rPr>
        <w:t xml:space="preserve">   </w:t>
      </w:r>
      <w:r>
        <w:rPr>
          <w:rFonts w:hint="cs"/>
          <w:rtl/>
        </w:rPr>
        <w:t xml:space="preserve">             </w:t>
      </w:r>
      <w:r>
        <w:rPr>
          <w:rtl/>
        </w:rPr>
        <w:t>(11).</w:t>
      </w:r>
      <w:r w:rsidRPr="00132E65">
        <w:rPr>
          <w:rtl/>
        </w:rPr>
        <w:t xml:space="preserve"> في « ف » : « فضائل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الْأَنْبِيَاءِ و</w:t>
      </w:r>
      <w:r>
        <w:rPr>
          <w:rFonts w:hint="cs"/>
          <w:rtl/>
          <w:lang w:bidi="fa-IR"/>
        </w:rPr>
        <w:t>َ</w:t>
      </w:r>
      <w:r w:rsidRPr="00132E65">
        <w:rPr>
          <w:rtl/>
          <w:lang w:bidi="fa-IR"/>
        </w:rPr>
        <w:t xml:space="preserve">لَاشَرَفَهُمْ ، ولَايُؤْمِنُونَ بِي إِنْ أَنَا أَخْبَرْتُهُمْ بِفَضْلِ أَهْلِ بَيْتِي ، فَقَالَ اللهُ جَلَّ ذِكْرُهُ : </w:t>
      </w:r>
      <w:r w:rsidRPr="00071CF9">
        <w:rPr>
          <w:rStyle w:val="libAlaemChar"/>
          <w:rtl/>
        </w:rPr>
        <w:t>(</w:t>
      </w:r>
      <w:r w:rsidRPr="00071CF9">
        <w:rPr>
          <w:rStyle w:val="libAieChar"/>
          <w:rtl/>
        </w:rPr>
        <w:t xml:space="preserve"> وَلا تَحْزَنْ عَلَيْهِمْ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 </w:t>
      </w:r>
      <w:r w:rsidRPr="00071CF9">
        <w:rPr>
          <w:rStyle w:val="libAlaemChar"/>
          <w:rtl/>
        </w:rPr>
        <w:t>(</w:t>
      </w:r>
      <w:r w:rsidRPr="00071CF9">
        <w:rPr>
          <w:rStyle w:val="libAieChar"/>
          <w:rtl/>
        </w:rPr>
        <w:t xml:space="preserve"> وَقُلْ سَلامٌ فَسَوْفَ يَعْلَمُونَ </w:t>
      </w:r>
      <w:r w:rsidRPr="00071CF9">
        <w:rPr>
          <w:rStyle w:val="libAlaemChar"/>
          <w:rtl/>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132E65">
        <w:rPr>
          <w:rtl/>
          <w:lang w:bidi="fa-IR"/>
        </w:rPr>
        <w:t xml:space="preserve">فَذَكَرَ مِنْ فَضْلِ وصِيِّهِ ذِكْراً ، فَوَقَعَ النِّفَاقُ فِي قُلُوبِهِمْ ، فَعَلِمَ رَسُولُ اللهِ </w:t>
      </w:r>
      <w:r w:rsidRPr="00071CF9">
        <w:rPr>
          <w:rStyle w:val="libAlaemChar"/>
          <w:rtl/>
        </w:rPr>
        <w:t>صلى‌الله‌عليه‌وآله‌وسلم</w:t>
      </w:r>
      <w:r w:rsidRPr="00132E65">
        <w:rPr>
          <w:rtl/>
          <w:lang w:bidi="fa-IR"/>
        </w:rPr>
        <w:t xml:space="preserve"> ذلِكَ ومَا يَقُولُونَ ، فَقَالَ اللهُ جَلَّ ذِكْرُهُ : يَا مُحَمَّدُ ، </w:t>
      </w:r>
      <w:r w:rsidRPr="00071CF9">
        <w:rPr>
          <w:rStyle w:val="libAlaemChar"/>
          <w:rtl/>
        </w:rPr>
        <w:t>(</w:t>
      </w:r>
      <w:r w:rsidRPr="00071CF9">
        <w:rPr>
          <w:rStyle w:val="libAieChar"/>
          <w:rtl/>
        </w:rPr>
        <w:t xml:space="preserve"> وَلَقَدْ نَعْلَمُ أَنَّكَ يَضِيقُ صَدْرُكَ بِما يَقُولُونَ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 </w:t>
      </w:r>
      <w:r w:rsidRPr="00071CF9">
        <w:rPr>
          <w:rStyle w:val="libAlaemChar"/>
          <w:rtl/>
        </w:rPr>
        <w:t>(</w:t>
      </w:r>
      <w:r w:rsidRPr="00071CF9">
        <w:rPr>
          <w:rStyle w:val="libAieChar"/>
          <w:rtl/>
        </w:rPr>
        <w:t xml:space="preserve"> فَإِنَّهُمْ لا يُكَذِّبُونَكَ وَلكِنَّ الظّالِمِينَ بِآياتِ اللهِ يَجْحَدُونَ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لكِنَّهُمْ </w:t>
      </w:r>
      <w:r>
        <w:rPr>
          <w:rStyle w:val="libFootnotenumChar"/>
          <w:rtl/>
        </w:rPr>
        <w:t>(5)</w:t>
      </w:r>
      <w:r w:rsidRPr="00132E65">
        <w:rPr>
          <w:rtl/>
          <w:lang w:bidi="fa-IR"/>
        </w:rPr>
        <w:t xml:space="preserve"> يَجْحَدُونَ بِغَيْرِ حُجَّةٍ لَهُمْ.</w:t>
      </w:r>
    </w:p>
    <w:p w:rsidR="000C39D1" w:rsidRPr="00132E65" w:rsidRDefault="000C39D1" w:rsidP="000C39D1">
      <w:pPr>
        <w:pStyle w:val="libNormal"/>
        <w:rPr>
          <w:rtl/>
          <w:lang w:bidi="fa-IR"/>
        </w:rPr>
      </w:pPr>
      <w:r w:rsidRPr="00132E65">
        <w:rPr>
          <w:rtl/>
          <w:lang w:bidi="fa-IR"/>
        </w:rPr>
        <w:t xml:space="preserve">وَكَانَ رَسُولُ اللهِ </w:t>
      </w:r>
      <w:r w:rsidRPr="00071CF9">
        <w:rPr>
          <w:rStyle w:val="libAlaemChar"/>
          <w:rtl/>
        </w:rPr>
        <w:t>صلى‌الله‌عليه‌وآله</w:t>
      </w:r>
      <w:r w:rsidRPr="00132E65">
        <w:rPr>
          <w:rtl/>
          <w:lang w:bidi="fa-IR"/>
        </w:rPr>
        <w:t xml:space="preserve"> يَتَأَلَّفُهُمْ ، ويَسْتَعِينُ بِبَعْضِهِمْ عَلى بَعْضٍ ، ولَايَزَالُ يُخْرِجُ لَهُمْ شَيْئاً فِي فَضْلِ وصِيِّهِ حَتّى نَزَلَتْ هذِهِ السُّورَةُ </w:t>
      </w:r>
      <w:r>
        <w:rPr>
          <w:rStyle w:val="libFootnotenumChar"/>
          <w:rtl/>
        </w:rPr>
        <w:t>(6)</w:t>
      </w:r>
      <w:r w:rsidRPr="00132E65">
        <w:rPr>
          <w:rtl/>
          <w:lang w:bidi="fa-IR"/>
        </w:rPr>
        <w:t xml:space="preserve"> ، فَاحْتَجَّ عَلَيْهِمْ حِينَ أُعْلِمَ بِمَوْتِهِ ونُعِيَتْ إِلَيْهِ نَفْسُهُ </w:t>
      </w:r>
      <w:r>
        <w:rPr>
          <w:rStyle w:val="libFootnotenumChar"/>
          <w:rtl/>
        </w:rPr>
        <w:t>(7)</w:t>
      </w:r>
      <w:r w:rsidRPr="00132E65">
        <w:rPr>
          <w:rtl/>
          <w:lang w:bidi="fa-IR"/>
        </w:rPr>
        <w:t xml:space="preserve"> ، فَقَالَ اللهُ</w:t>
      </w:r>
      <w:r>
        <w:rPr>
          <w:rtl/>
          <w:lang w:bidi="fa-IR"/>
        </w:rPr>
        <w:t xml:space="preserve"> - </w:t>
      </w:r>
      <w:r w:rsidRPr="00132E65">
        <w:rPr>
          <w:rtl/>
          <w:lang w:bidi="fa-IR"/>
        </w:rPr>
        <w:t xml:space="preserve">جَلَّ ذِكْرُهُ </w:t>
      </w:r>
      <w:r>
        <w:rPr>
          <w:rtl/>
          <w:lang w:bidi="fa-IR"/>
        </w:rPr>
        <w:t>- :</w:t>
      </w:r>
      <w:r w:rsidRPr="00132E65">
        <w:rPr>
          <w:rtl/>
          <w:lang w:bidi="fa-IR"/>
        </w:rPr>
        <w:t xml:space="preserve"> </w:t>
      </w:r>
      <w:r w:rsidRPr="00071CF9">
        <w:rPr>
          <w:rStyle w:val="libAlaemChar"/>
          <w:rtl/>
        </w:rPr>
        <w:t>(</w:t>
      </w:r>
      <w:r w:rsidRPr="00071CF9">
        <w:rPr>
          <w:rStyle w:val="libAieChar"/>
          <w:rtl/>
        </w:rPr>
        <w:t xml:space="preserve"> فَإِذا فَرَغْتَ فَانْصَبْ وَإِلى رَبِّكَ فَارْغَبْ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يَقُولُ :</w:t>
      </w:r>
      <w:r>
        <w:rPr>
          <w:rFonts w:hint="cs"/>
          <w:rtl/>
          <w:lang w:bidi="fa-IR"/>
        </w:rPr>
        <w:t xml:space="preserve"> </w:t>
      </w:r>
      <w:r w:rsidRPr="00132E65">
        <w:rPr>
          <w:rtl/>
          <w:lang w:bidi="fa-IR"/>
        </w:rPr>
        <w:t xml:space="preserve">فَإِذَا </w:t>
      </w:r>
      <w:r>
        <w:rPr>
          <w:rStyle w:val="libFootnotenumChar"/>
          <w:rtl/>
        </w:rPr>
        <w:t>(9)</w:t>
      </w:r>
      <w:r w:rsidRPr="00132E65">
        <w:rPr>
          <w:rtl/>
          <w:lang w:bidi="fa-IR"/>
        </w:rPr>
        <w:t xml:space="preserve"> فَرَغْتَ فَانْصَبْ </w:t>
      </w:r>
      <w:r>
        <w:rPr>
          <w:rStyle w:val="libFootnotenumChar"/>
          <w:rtl/>
        </w:rPr>
        <w:t>(10)</w:t>
      </w:r>
      <w:r w:rsidRPr="00132E65">
        <w:rPr>
          <w:rtl/>
          <w:lang w:bidi="fa-IR"/>
        </w:rPr>
        <w:t xml:space="preserve"> عَلَمَكَ ، وأَعْلِنْ وصِيَّكَ ، فَأَعْلِمْهُمْ </w:t>
      </w:r>
      <w:r>
        <w:rPr>
          <w:rStyle w:val="libFootnotenumChar"/>
          <w:rtl/>
        </w:rPr>
        <w:t>(11)</w:t>
      </w:r>
      <w:r w:rsidRPr="00132E65">
        <w:rPr>
          <w:rtl/>
          <w:lang w:bidi="fa-IR"/>
        </w:rPr>
        <w:t xml:space="preserve"> فَضْلَهُ </w:t>
      </w:r>
      <w:r>
        <w:rPr>
          <w:rStyle w:val="libFootnotenumChar"/>
          <w:rtl/>
        </w:rPr>
        <w:t>(12)</w:t>
      </w:r>
      <w:r w:rsidRPr="00132E65">
        <w:rPr>
          <w:rtl/>
          <w:lang w:bidi="fa-IR"/>
        </w:rPr>
        <w:t xml:space="preserve"> عَلَانِيَةً ، فَقَالَ </w:t>
      </w:r>
      <w:r w:rsidRPr="00071CF9">
        <w:rPr>
          <w:rStyle w:val="libAlaemChar"/>
          <w:rtl/>
        </w:rPr>
        <w:t>عليه‌السلام</w:t>
      </w:r>
      <w:r w:rsidRPr="00132E65">
        <w:rPr>
          <w:rtl/>
          <w:lang w:bidi="fa-IR"/>
        </w:rPr>
        <w:t xml:space="preserve"> </w:t>
      </w:r>
      <w:r w:rsidRPr="00F543F1">
        <w:rPr>
          <w:rStyle w:val="libFootnotenumChar"/>
          <w:rtl/>
        </w:rPr>
        <w:t>(13)</w:t>
      </w:r>
      <w:r w:rsidRPr="00132E65">
        <w:rPr>
          <w:rtl/>
          <w:lang w:bidi="fa-IR"/>
        </w:rPr>
        <w:t xml:space="preserve"> :</w:t>
      </w:r>
      <w:r>
        <w:rPr>
          <w:rFonts w:hint="cs"/>
          <w:rtl/>
          <w:lang w:bidi="fa-IR"/>
        </w:rPr>
        <w:t xml:space="preserve"> </w:t>
      </w:r>
      <w:r w:rsidRPr="00132E65">
        <w:rPr>
          <w:rtl/>
          <w:lang w:bidi="fa-IR"/>
        </w:rPr>
        <w:t>مَنْ كُنْتُ مَوْلَاهُ فَعَلِيٌّ مَوْلَاهُ ، الل</w:t>
      </w:r>
      <w:r>
        <w:rPr>
          <w:rFonts w:hint="cs"/>
          <w:rtl/>
          <w:lang w:bidi="fa-IR"/>
        </w:rPr>
        <w:t>ّ</w:t>
      </w:r>
      <w:r w:rsidRPr="00132E65">
        <w:rPr>
          <w:rtl/>
          <w:lang w:bidi="fa-IR"/>
        </w:rPr>
        <w:t>هُمَّ و</w:t>
      </w:r>
      <w:r>
        <w:rPr>
          <w:rFonts w:hint="cs"/>
          <w:rtl/>
          <w:lang w:bidi="fa-IR"/>
        </w:rPr>
        <w:t>َ</w:t>
      </w:r>
      <w:r w:rsidRPr="00132E65">
        <w:rPr>
          <w:rtl/>
          <w:lang w:bidi="fa-IR"/>
        </w:rPr>
        <w:t>الِ مَنْ و</w:t>
      </w:r>
      <w:r>
        <w:rPr>
          <w:rFonts w:hint="cs"/>
          <w:rtl/>
          <w:lang w:bidi="fa-IR"/>
        </w:rPr>
        <w:t>َ</w:t>
      </w:r>
      <w:r w:rsidRPr="00132E65">
        <w:rPr>
          <w:rtl/>
          <w:lang w:bidi="fa-IR"/>
        </w:rPr>
        <w:t>الَاهُ ، و</w:t>
      </w:r>
      <w:r>
        <w:rPr>
          <w:rFonts w:hint="cs"/>
          <w:rtl/>
          <w:lang w:bidi="fa-IR"/>
        </w:rPr>
        <w:t>َ</w:t>
      </w:r>
      <w:r w:rsidRPr="00132E65">
        <w:rPr>
          <w:rtl/>
          <w:lang w:bidi="fa-IR"/>
        </w:rPr>
        <w:t>عَادِ مَنْ عَادَاهُ ؛ ثَلَاثَ مَرَّاتٍ.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الحجر (15) : 88 ؛ النحل (16) : 127 ؛ النمل (27) : 70.</w:t>
      </w:r>
    </w:p>
    <w:p w:rsidR="000C39D1" w:rsidRPr="00132E65" w:rsidRDefault="000C39D1" w:rsidP="000C39D1">
      <w:pPr>
        <w:pStyle w:val="libFootnote0"/>
        <w:rPr>
          <w:rtl/>
          <w:lang w:bidi="fa-IR"/>
        </w:rPr>
      </w:pPr>
      <w:r>
        <w:rPr>
          <w:rtl/>
        </w:rPr>
        <w:t>(2).</w:t>
      </w:r>
      <w:r w:rsidRPr="00132E65">
        <w:rPr>
          <w:rtl/>
        </w:rPr>
        <w:t xml:space="preserve"> الزخرف (43) : 89. وفي أكثر النسخ و</w:t>
      </w:r>
      <w:r w:rsidRPr="009D1ACE">
        <w:rPr>
          <w:rStyle w:val="libFootnoteBoldChar"/>
          <w:rtl/>
        </w:rPr>
        <w:t>الوافي</w:t>
      </w:r>
      <w:r w:rsidRPr="00132E65">
        <w:rPr>
          <w:rtl/>
        </w:rPr>
        <w:t xml:space="preserve"> : « تعلمون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الحجر (15) : 97.</w:t>
            </w:r>
          </w:p>
        </w:tc>
        <w:tc>
          <w:tcPr>
            <w:tcW w:w="4006" w:type="dxa"/>
          </w:tcPr>
          <w:p w:rsidR="000C39D1" w:rsidRDefault="000C39D1" w:rsidP="00B53873">
            <w:pPr>
              <w:pStyle w:val="libFootnote0"/>
              <w:rPr>
                <w:rtl/>
              </w:rPr>
            </w:pPr>
            <w:r>
              <w:rPr>
                <w:rtl/>
              </w:rPr>
              <w:t>(4).</w:t>
            </w:r>
            <w:r w:rsidRPr="00132E65">
              <w:rPr>
                <w:rtl/>
              </w:rPr>
              <w:t xml:space="preserve"> الأنعام </w:t>
            </w:r>
            <w:r>
              <w:rPr>
                <w:rtl/>
              </w:rPr>
              <w:t>(6)</w:t>
            </w:r>
            <w:r w:rsidRPr="00132E65">
              <w:rPr>
                <w:rtl/>
              </w:rPr>
              <w:t xml:space="preserve"> : 33.</w:t>
            </w:r>
          </w:p>
        </w:tc>
      </w:tr>
    </w:tbl>
    <w:p w:rsidR="000C39D1" w:rsidRPr="00132E65" w:rsidRDefault="000C39D1" w:rsidP="000C39D1">
      <w:pPr>
        <w:pStyle w:val="libFootnote0"/>
        <w:rPr>
          <w:rtl/>
          <w:lang w:bidi="fa-IR"/>
        </w:rPr>
      </w:pPr>
      <w:r>
        <w:rPr>
          <w:rtl/>
        </w:rPr>
        <w:t>(5).</w:t>
      </w:r>
      <w:r w:rsidRPr="00132E65">
        <w:rPr>
          <w:rtl/>
        </w:rPr>
        <w:t xml:space="preserve"> هكذا في النسخ التي قوبلت وشرح المازندراني و</w:t>
      </w:r>
      <w:r w:rsidRPr="009D1ACE">
        <w:rPr>
          <w:rStyle w:val="libFootnoteBoldChar"/>
          <w:rtl/>
        </w:rPr>
        <w:t>الوافي</w:t>
      </w:r>
      <w:r w:rsidRPr="00132E65">
        <w:rPr>
          <w:rtl/>
        </w:rPr>
        <w:t>. وفي المطبوع : « ولكنّهم »</w:t>
      </w:r>
      <w:r>
        <w:rPr>
          <w:rtl/>
        </w:rPr>
        <w:t>.</w:t>
      </w:r>
    </w:p>
    <w:p w:rsidR="000C39D1" w:rsidRPr="00132E65" w:rsidRDefault="000C39D1" w:rsidP="000C39D1">
      <w:pPr>
        <w:pStyle w:val="libFootnote0"/>
        <w:rPr>
          <w:rtl/>
          <w:lang w:bidi="fa-IR"/>
        </w:rPr>
      </w:pPr>
      <w:r>
        <w:rPr>
          <w:rtl/>
        </w:rPr>
        <w:t>(6).</w:t>
      </w:r>
      <w:r w:rsidRPr="00132E65">
        <w:rPr>
          <w:rtl/>
        </w:rPr>
        <w:t xml:space="preserve"> في « بف » وحاشية « ج ، ض ، ف ، بح ، بر » : « الآية »</w:t>
      </w:r>
      <w:r>
        <w:rPr>
          <w:rtl/>
        </w:rPr>
        <w:t>.</w:t>
      </w:r>
      <w:r w:rsidRPr="00132E65">
        <w:rPr>
          <w:rtl/>
        </w:rPr>
        <w:t xml:space="preserve"> وقو</w:t>
      </w:r>
      <w:r>
        <w:rPr>
          <w:rtl/>
        </w:rPr>
        <w:t>له : « هذه السورة » ، أي سورة أ</w:t>
      </w:r>
      <w:r w:rsidRPr="00132E65">
        <w:rPr>
          <w:rtl/>
        </w:rPr>
        <w:t xml:space="preserve">لم نشرح ، بقرينة مابعده. وجملة : « فاحتجّ عليهم » معترضة. راجع : </w:t>
      </w:r>
      <w:r w:rsidRPr="007A103C">
        <w:rPr>
          <w:rtl/>
        </w:rPr>
        <w:t>شرح المازندراني</w:t>
      </w:r>
      <w:r w:rsidRPr="00132E65">
        <w:rPr>
          <w:rtl/>
        </w:rPr>
        <w:t xml:space="preserve"> ، ج 6 ، ص 120 ؛ </w:t>
      </w:r>
      <w:r w:rsidRPr="009D1ACE">
        <w:rPr>
          <w:rStyle w:val="libFootnoteBoldChar"/>
          <w:rtl/>
        </w:rPr>
        <w:t>مرآة العقول</w:t>
      </w:r>
      <w:r w:rsidRPr="00132E65">
        <w:rPr>
          <w:rtl/>
        </w:rPr>
        <w:t xml:space="preserve"> ، ج 3 ، ص 275.</w:t>
      </w:r>
    </w:p>
    <w:p w:rsidR="000C39D1" w:rsidRPr="00132E65" w:rsidRDefault="000C39D1" w:rsidP="000C39D1">
      <w:pPr>
        <w:pStyle w:val="libFootnote0"/>
        <w:rPr>
          <w:rtl/>
          <w:lang w:bidi="fa-IR"/>
        </w:rPr>
      </w:pPr>
      <w:r>
        <w:rPr>
          <w:rtl/>
        </w:rPr>
        <w:t>(7).</w:t>
      </w:r>
      <w:r w:rsidRPr="00132E65">
        <w:rPr>
          <w:rtl/>
        </w:rPr>
        <w:t xml:space="preserve"> « نُعيت إليه نفسه » ، أي ا</w:t>
      </w:r>
      <w:r>
        <w:rPr>
          <w:rFonts w:hint="cs"/>
          <w:rtl/>
        </w:rPr>
        <w:t>ُ</w:t>
      </w:r>
      <w:r w:rsidRPr="00132E65">
        <w:rPr>
          <w:rtl/>
        </w:rPr>
        <w:t>خبر بموته ؛ من النعي وهو خبر الموت. والتعدية</w:t>
      </w:r>
      <w:r>
        <w:rPr>
          <w:rtl/>
        </w:rPr>
        <w:t xml:space="preserve"> ب</w:t>
      </w:r>
      <w:r>
        <w:rPr>
          <w:rFonts w:hint="cs"/>
          <w:rtl/>
        </w:rPr>
        <w:t>ـ</w:t>
      </w:r>
      <w:r>
        <w:rPr>
          <w:rtl/>
        </w:rPr>
        <w:t xml:space="preserve"> «</w:t>
      </w:r>
      <w:r w:rsidRPr="00132E65">
        <w:rPr>
          <w:rtl/>
        </w:rPr>
        <w:t xml:space="preserve"> إلى » للتأكيد. راجع : </w:t>
      </w:r>
      <w:r w:rsidRPr="007A103C">
        <w:rPr>
          <w:rtl/>
        </w:rPr>
        <w:t>النهاية</w:t>
      </w:r>
      <w:r w:rsidRPr="00132E65">
        <w:rPr>
          <w:rtl/>
        </w:rPr>
        <w:t xml:space="preserve"> ، ج 5 ، ص 85 ( نعا )</w:t>
      </w:r>
      <w:r>
        <w:rPr>
          <w:rtl/>
        </w:rPr>
        <w:t>.</w:t>
      </w:r>
      <w:r>
        <w:rPr>
          <w:rFonts w:hint="cs"/>
          <w:rtl/>
        </w:rPr>
        <w:t xml:space="preserve">                              </w:t>
      </w:r>
      <w:r w:rsidR="007437BB">
        <w:rPr>
          <w:rFonts w:hint="cs"/>
          <w:rtl/>
        </w:rPr>
        <w:t xml:space="preserve">    </w:t>
      </w:r>
      <w:r>
        <w:rPr>
          <w:rFonts w:hint="cs"/>
          <w:rtl/>
        </w:rPr>
        <w:t xml:space="preserve">       </w:t>
      </w:r>
      <w:r>
        <w:rPr>
          <w:rtl/>
        </w:rPr>
        <w:t>(8).</w:t>
      </w:r>
      <w:r w:rsidRPr="00132E65">
        <w:rPr>
          <w:rtl/>
        </w:rPr>
        <w:t xml:space="preserve"> الشرح (94) : 7</w:t>
      </w:r>
      <w:r>
        <w:rPr>
          <w:rtl/>
        </w:rPr>
        <w:t xml:space="preserve"> - </w:t>
      </w:r>
      <w:r w:rsidRPr="00132E65">
        <w:rPr>
          <w:rtl/>
        </w:rPr>
        <w:t>8.</w:t>
      </w:r>
    </w:p>
    <w:p w:rsidR="000C39D1" w:rsidRPr="00132E65" w:rsidRDefault="000C39D1" w:rsidP="000C39D1">
      <w:pPr>
        <w:pStyle w:val="libFootnote0"/>
        <w:rPr>
          <w:rtl/>
          <w:lang w:bidi="fa-IR"/>
        </w:rPr>
      </w:pPr>
      <w:r>
        <w:rPr>
          <w:rtl/>
        </w:rPr>
        <w:t>(9).</w:t>
      </w:r>
      <w:r w:rsidRPr="00132E65">
        <w:rPr>
          <w:rtl/>
        </w:rPr>
        <w:t xml:space="preserve"> هكذا في النسخ التي قوبلت وشرح المازندراني و</w:t>
      </w:r>
      <w:r w:rsidRPr="009D1ACE">
        <w:rPr>
          <w:rStyle w:val="libFootnoteBoldChar"/>
          <w:rtl/>
        </w:rPr>
        <w:t>الوافي</w:t>
      </w:r>
      <w:r w:rsidRPr="00132E65">
        <w:rPr>
          <w:rtl/>
        </w:rPr>
        <w:t>. وفي المطبوع : « إذا »</w:t>
      </w:r>
      <w:r>
        <w:rPr>
          <w:rtl/>
        </w:rPr>
        <w:t>.</w:t>
      </w:r>
    </w:p>
    <w:p w:rsidR="000C39D1" w:rsidRPr="00132E65" w:rsidRDefault="000C39D1" w:rsidP="000C39D1">
      <w:pPr>
        <w:pStyle w:val="libFootnote0"/>
        <w:rPr>
          <w:rtl/>
          <w:lang w:bidi="fa-IR"/>
        </w:rPr>
      </w:pPr>
      <w:r>
        <w:rPr>
          <w:rtl/>
        </w:rPr>
        <w:t>(10).</w:t>
      </w:r>
      <w:r w:rsidRPr="00132E65">
        <w:rPr>
          <w:rtl/>
        </w:rPr>
        <w:t xml:space="preserve"> « فانصب » ، بفتح الصاد من النَصَب بمعنى التعب والاجتهاد ، أي اتعب نفسك في نصب وصيّك بما تسمع من المنافقين في ذلك ، ولكنّ المستفاد من هذا الحديث أنّه بكسر الصاد من النَصْب بمعنى الرفع والوضع. وهذا مخالف لما في القرآن ، فيحتمل أن يقال : لعلّه ورد بالفتح أيضاً بمعنى النَصْب وإن لم يذكر في كتب اللغة. راجع : </w:t>
      </w:r>
      <w:r w:rsidRPr="009D1ACE">
        <w:rPr>
          <w:rStyle w:val="libFootnoteBoldChar"/>
          <w:rtl/>
        </w:rPr>
        <w:t>مرآة العقول</w:t>
      </w:r>
      <w:r w:rsidRPr="00132E65">
        <w:rPr>
          <w:rtl/>
        </w:rPr>
        <w:t xml:space="preserve"> ، ج 3 ، ص 275</w:t>
      </w:r>
      <w:r>
        <w:rPr>
          <w:rtl/>
        </w:rPr>
        <w:t xml:space="preserve"> - </w:t>
      </w:r>
      <w:r w:rsidRPr="00132E65">
        <w:rPr>
          <w:rtl/>
        </w:rPr>
        <w:t>276.</w:t>
      </w:r>
      <w:r>
        <w:rPr>
          <w:rFonts w:hint="cs"/>
          <w:rtl/>
        </w:rPr>
        <w:t xml:space="preserve">                       </w:t>
      </w:r>
      <w:r w:rsidR="007437BB">
        <w:rPr>
          <w:rFonts w:hint="cs"/>
          <w:rtl/>
        </w:rPr>
        <w:t xml:space="preserve">               </w:t>
      </w:r>
      <w:r>
        <w:rPr>
          <w:rFonts w:hint="cs"/>
          <w:rtl/>
        </w:rPr>
        <w:t xml:space="preserve">         </w:t>
      </w:r>
      <w:r>
        <w:rPr>
          <w:rtl/>
        </w:rPr>
        <w:t>(11). في «ب، ف » : «فأعْلَمَهم»،</w:t>
      </w:r>
      <w:r w:rsidRPr="00132E65">
        <w:rPr>
          <w:rtl/>
        </w:rPr>
        <w:t>أي بصيغة الماضي.</w:t>
      </w:r>
    </w:p>
    <w:p w:rsidR="000C39D1" w:rsidRPr="00132E65" w:rsidRDefault="000C39D1" w:rsidP="000C39D1">
      <w:pPr>
        <w:pStyle w:val="libFootnote0"/>
        <w:rPr>
          <w:rtl/>
          <w:lang w:bidi="fa-IR"/>
        </w:rPr>
      </w:pPr>
      <w:r>
        <w:rPr>
          <w:rtl/>
        </w:rPr>
        <w:t>(12).</w:t>
      </w:r>
      <w:r w:rsidRPr="00132E65">
        <w:rPr>
          <w:rtl/>
        </w:rPr>
        <w:t xml:space="preserve"> في حاشية « ج » : « فضلاً »</w:t>
      </w:r>
      <w:r>
        <w:rPr>
          <w:rtl/>
        </w:rPr>
        <w:t>.</w:t>
      </w:r>
    </w:p>
    <w:p w:rsidR="000C39D1" w:rsidRPr="00132E65" w:rsidRDefault="000C39D1" w:rsidP="000C39D1">
      <w:pPr>
        <w:pStyle w:val="libFootnote0"/>
        <w:rPr>
          <w:rtl/>
          <w:lang w:bidi="fa-IR"/>
        </w:rPr>
      </w:pPr>
      <w:r>
        <w:rPr>
          <w:rtl/>
        </w:rPr>
        <w:t>(13)</w:t>
      </w:r>
      <w:r w:rsidRPr="00132E65">
        <w:rPr>
          <w:rtl/>
        </w:rPr>
        <w:t xml:space="preserve"> هكذا في النسخ التي قوبلت وشرح المازندراني. وفي المطبوع : « </w:t>
      </w:r>
      <w:r w:rsidRPr="00D85E3D">
        <w:rPr>
          <w:rFonts w:eastAsiaTheme="minorHAnsi"/>
          <w:rtl/>
        </w:rPr>
        <w:t>صل</w:t>
      </w:r>
      <w:r w:rsidRPr="00D85E3D">
        <w:rPr>
          <w:rFonts w:eastAsiaTheme="minorHAnsi" w:hint="cs"/>
          <w:rtl/>
        </w:rPr>
        <w:t>ّ</w:t>
      </w:r>
      <w:r w:rsidRPr="00D85E3D">
        <w:rPr>
          <w:rFonts w:eastAsiaTheme="minorHAnsi"/>
          <w:rtl/>
        </w:rPr>
        <w:t>ى‌</w:t>
      </w:r>
      <w:r w:rsidRPr="00D85E3D">
        <w:rPr>
          <w:rFonts w:eastAsiaTheme="minorHAnsi" w:hint="cs"/>
          <w:rtl/>
        </w:rPr>
        <w:t xml:space="preserve"> </w:t>
      </w:r>
      <w:r w:rsidRPr="00D85E3D">
        <w:rPr>
          <w:rFonts w:eastAsiaTheme="minorHAnsi"/>
          <w:rtl/>
        </w:rPr>
        <w:t>الله‌</w:t>
      </w:r>
      <w:r w:rsidRPr="00D85E3D">
        <w:rPr>
          <w:rFonts w:eastAsiaTheme="minorHAnsi" w:hint="cs"/>
          <w:rtl/>
        </w:rPr>
        <w:t xml:space="preserve"> </w:t>
      </w:r>
      <w:r w:rsidRPr="00D85E3D">
        <w:rPr>
          <w:rFonts w:eastAsiaTheme="minorHAnsi"/>
          <w:rtl/>
        </w:rPr>
        <w:t>عليه‌</w:t>
      </w:r>
      <w:r w:rsidRPr="00D85E3D">
        <w:rPr>
          <w:rFonts w:eastAsiaTheme="minorHAnsi" w:hint="cs"/>
          <w:rtl/>
        </w:rPr>
        <w:t xml:space="preserve"> </w:t>
      </w:r>
      <w:r w:rsidRPr="00D85E3D">
        <w:rPr>
          <w:rFonts w:eastAsiaTheme="minorHAnsi"/>
          <w:rtl/>
        </w:rPr>
        <w:t>و</w:t>
      </w:r>
      <w:r w:rsidRPr="00D85E3D">
        <w:rPr>
          <w:rFonts w:eastAsiaTheme="minorHAnsi" w:hint="cs"/>
          <w:rtl/>
        </w:rPr>
        <w:t xml:space="preserve"> </w:t>
      </w:r>
      <w:r w:rsidRPr="00D85E3D">
        <w:rPr>
          <w:rFonts w:eastAsiaTheme="minorHAnsi"/>
          <w:rtl/>
        </w:rPr>
        <w:t>آله</w:t>
      </w:r>
      <w:r w:rsidRPr="00132E65">
        <w:rPr>
          <w:rtl/>
        </w:rPr>
        <w:t xml:space="preserve">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ثُمَّ قَالَ : لَأَبْعَثَنَّ رَجُلاً يُحِبُّ اللهَ ورَسُولَهُ ، ويُحِبُّهُ اللهُ ورَسُولُهُ ، لَيْسَ بِفَرَّارٍ ؛ يُعَرِّضُ </w:t>
      </w:r>
      <w:r>
        <w:rPr>
          <w:rStyle w:val="libFootnotenumChar"/>
          <w:rtl/>
        </w:rPr>
        <w:t>(1)</w:t>
      </w:r>
      <w:r w:rsidRPr="00132E65">
        <w:rPr>
          <w:rtl/>
          <w:lang w:bidi="fa-IR"/>
        </w:rPr>
        <w:t xml:space="preserve"> بِمَنْ رَجَعَ ، يُجَبِّنُ أَصْحَابَهُ </w:t>
      </w:r>
      <w:r>
        <w:rPr>
          <w:rStyle w:val="libFootnotenumChar"/>
          <w:rtl/>
        </w:rPr>
        <w:t>(2)</w:t>
      </w:r>
      <w:r w:rsidRPr="00132E65">
        <w:rPr>
          <w:rtl/>
          <w:lang w:bidi="fa-IR"/>
        </w:rPr>
        <w:t xml:space="preserve"> ويُجَبِّنُونَهُ.</w:t>
      </w:r>
    </w:p>
    <w:p w:rsidR="000C39D1" w:rsidRPr="00132E65" w:rsidRDefault="000C39D1" w:rsidP="000C39D1">
      <w:pPr>
        <w:pStyle w:val="libNormal"/>
        <w:rPr>
          <w:rtl/>
          <w:lang w:bidi="fa-IR"/>
        </w:rPr>
      </w:pPr>
      <w:r w:rsidRPr="00132E65">
        <w:rPr>
          <w:rtl/>
          <w:lang w:bidi="fa-IR"/>
        </w:rPr>
        <w:t xml:space="preserve">وَقَالَ </w:t>
      </w:r>
      <w:r w:rsidRPr="002B5ACB">
        <w:rPr>
          <w:rStyle w:val="libAlaemChar"/>
          <w:rFonts w:eastAsiaTheme="minorHAnsi"/>
          <w:rtl/>
        </w:rPr>
        <w:t>صلى‌الله‌عليه‌وآله</w:t>
      </w:r>
      <w:r w:rsidRPr="00132E65">
        <w:rPr>
          <w:rtl/>
          <w:lang w:bidi="fa-IR"/>
        </w:rPr>
        <w:t>: عَلِيٌّ سَيِّدُ الْمُؤْمِنِينَ.</w:t>
      </w:r>
    </w:p>
    <w:p w:rsidR="000C39D1" w:rsidRPr="00132E65" w:rsidRDefault="000C39D1" w:rsidP="000C39D1">
      <w:pPr>
        <w:pStyle w:val="libNormal"/>
        <w:rPr>
          <w:rtl/>
          <w:lang w:bidi="fa-IR"/>
        </w:rPr>
      </w:pPr>
      <w:r w:rsidRPr="00132E65">
        <w:rPr>
          <w:rtl/>
          <w:lang w:bidi="fa-IR"/>
        </w:rPr>
        <w:t xml:space="preserve">وَقَالَ </w:t>
      </w:r>
      <w:r>
        <w:rPr>
          <w:rStyle w:val="libFootnotenumChar"/>
          <w:rtl/>
        </w:rPr>
        <w:t>(3)</w:t>
      </w:r>
      <w:r w:rsidRPr="00132E65">
        <w:rPr>
          <w:rtl/>
          <w:lang w:bidi="fa-IR"/>
        </w:rPr>
        <w:t xml:space="preserve"> : عَلِيٌّ عَمُودُ الدِّينِ </w:t>
      </w:r>
      <w:r>
        <w:rPr>
          <w:rStyle w:val="libFootnotenumChar"/>
          <w:rtl/>
        </w:rPr>
        <w:t>(4)</w:t>
      </w:r>
    </w:p>
    <w:p w:rsidR="000C39D1" w:rsidRPr="00132E65" w:rsidRDefault="000C39D1" w:rsidP="000C39D1">
      <w:pPr>
        <w:pStyle w:val="libNormal"/>
        <w:rPr>
          <w:rtl/>
          <w:lang w:bidi="fa-IR"/>
        </w:rPr>
      </w:pPr>
      <w:r w:rsidRPr="00132E65">
        <w:rPr>
          <w:rtl/>
          <w:lang w:bidi="fa-IR"/>
        </w:rPr>
        <w:t xml:space="preserve">وَقَالَ : هذَا هُوَ </w:t>
      </w:r>
      <w:r>
        <w:rPr>
          <w:rStyle w:val="libFootnotenumChar"/>
          <w:rtl/>
        </w:rPr>
        <w:t>(5)</w:t>
      </w:r>
      <w:r w:rsidRPr="00132E65">
        <w:rPr>
          <w:rtl/>
          <w:lang w:bidi="fa-IR"/>
        </w:rPr>
        <w:t xml:space="preserve"> الَّذِي يَضْرِبُ النَّاسَ بِالسَّيْفِ عَلَى الْحَقِّ بَعْدِي.</w:t>
      </w:r>
    </w:p>
    <w:p w:rsidR="000C39D1" w:rsidRPr="00132E65" w:rsidRDefault="000C39D1" w:rsidP="000C39D1">
      <w:pPr>
        <w:pStyle w:val="libNormal"/>
        <w:rPr>
          <w:rtl/>
          <w:lang w:bidi="fa-IR"/>
        </w:rPr>
      </w:pPr>
      <w:r w:rsidRPr="00132E65">
        <w:rPr>
          <w:rtl/>
          <w:lang w:bidi="fa-IR"/>
        </w:rPr>
        <w:t>وَقَالَ : الْحَقُّ مَعَ عَلِيٍّ أَيْنَمَا مَالَ.</w:t>
      </w:r>
    </w:p>
    <w:p w:rsidR="000C39D1" w:rsidRPr="00132E65" w:rsidRDefault="000C39D1" w:rsidP="000C39D1">
      <w:pPr>
        <w:pStyle w:val="libNormal"/>
        <w:rPr>
          <w:rtl/>
          <w:lang w:bidi="fa-IR"/>
        </w:rPr>
      </w:pPr>
      <w:r w:rsidRPr="00132E65">
        <w:rPr>
          <w:rtl/>
          <w:lang w:bidi="fa-IR"/>
        </w:rPr>
        <w:t xml:space="preserve">وَقَالَ : إِنِّي تَارِكٌ فِيكُمْ أَمْرَيْنِ إِنْ أَخَذْتُمْ بِهِمَا لَنْ تَضِلُّوا : كِتَابَ اللهِ </w:t>
      </w:r>
      <w:r>
        <w:rPr>
          <w:rStyle w:val="libFootnotenumChar"/>
          <w:rtl/>
        </w:rPr>
        <w:t>(6)</w:t>
      </w:r>
      <w:r w:rsidRPr="00132E65">
        <w:rPr>
          <w:rtl/>
          <w:lang w:bidi="fa-IR"/>
        </w:rPr>
        <w:t xml:space="preserve"> عَزَّ وجَلَّ ، وَأَهْلَ بَيْتِي عِتْرَتِي ؛ أَيُّهَا النَّاسُ ، اسْمَعُوا و</w:t>
      </w:r>
      <w:r>
        <w:rPr>
          <w:rFonts w:hint="cs"/>
          <w:rtl/>
          <w:lang w:bidi="fa-IR"/>
        </w:rPr>
        <w:t xml:space="preserve"> </w:t>
      </w:r>
      <w:r>
        <w:rPr>
          <w:rStyle w:val="libFootnotenumChar"/>
          <w:rtl/>
        </w:rPr>
        <w:t>(7)</w:t>
      </w:r>
      <w:r w:rsidRPr="00132E65">
        <w:rPr>
          <w:rtl/>
          <w:lang w:bidi="fa-IR"/>
        </w:rPr>
        <w:t xml:space="preserve"> قَدْ بَلَّغْتُ </w:t>
      </w:r>
      <w:r>
        <w:rPr>
          <w:rStyle w:val="libFootnotenumChar"/>
          <w:rtl/>
        </w:rPr>
        <w:t>(8)</w:t>
      </w:r>
      <w:r w:rsidRPr="00132E65">
        <w:rPr>
          <w:rtl/>
          <w:lang w:bidi="fa-IR"/>
        </w:rPr>
        <w:t xml:space="preserve"> ، إِنَّكُمْ سَتَرِدُونَ عَلَيَّ الْحَوْضَ ، فَأَسْأَلُكُمْ </w:t>
      </w:r>
      <w:r>
        <w:rPr>
          <w:rStyle w:val="libFootnotenumChar"/>
          <w:rtl/>
        </w:rPr>
        <w:t>(9)</w:t>
      </w:r>
      <w:r w:rsidRPr="00132E65">
        <w:rPr>
          <w:rtl/>
          <w:lang w:bidi="fa-IR"/>
        </w:rPr>
        <w:t xml:space="preserve"> عَمَّا فَعَلْتُمْ فِي الثَّقَلَيْنِ </w:t>
      </w:r>
      <w:r>
        <w:rPr>
          <w:rStyle w:val="libFootnotenumChar"/>
          <w:rtl/>
        </w:rPr>
        <w:t>(10)</w:t>
      </w:r>
      <w:r w:rsidRPr="00132E65">
        <w:rPr>
          <w:rtl/>
          <w:lang w:bidi="fa-IR"/>
        </w:rPr>
        <w:t xml:space="preserve"> ، والثَّقَلَانِ كِتَابُ اللهِ</w:t>
      </w:r>
      <w:r>
        <w:rPr>
          <w:rtl/>
          <w:lang w:bidi="fa-IR"/>
        </w:rPr>
        <w:t xml:space="preserve"> - </w:t>
      </w:r>
      <w:r w:rsidRPr="00132E65">
        <w:rPr>
          <w:rtl/>
          <w:lang w:bidi="fa-IR"/>
        </w:rPr>
        <w:t>جَلَّ ذِكْرُهُ</w:t>
      </w:r>
      <w:r>
        <w:rPr>
          <w:rtl/>
          <w:lang w:bidi="fa-IR"/>
        </w:rPr>
        <w:t xml:space="preserve"> - </w:t>
      </w:r>
      <w:r w:rsidRPr="00132E65">
        <w:rPr>
          <w:rtl/>
          <w:lang w:bidi="fa-IR"/>
        </w:rPr>
        <w:t xml:space="preserve">وأَهْلُ بَيْتِي ، فَلَا تَسْبِقُوهُمْ </w:t>
      </w:r>
      <w:r>
        <w:rPr>
          <w:rStyle w:val="libFootnotenumChar"/>
          <w:rtl/>
        </w:rPr>
        <w:t>(11)</w:t>
      </w:r>
      <w:r w:rsidRPr="00132E65">
        <w:rPr>
          <w:rtl/>
          <w:lang w:bidi="fa-IR"/>
        </w:rPr>
        <w:t xml:space="preserve"> ؛ فَتَهْلِكُوا ، ولَاتُعَلِّمُوهُمْ ؛ فَإِنَّهُمْ أَعْلَمُ مِنْكُمْ.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ه‍ ، بح ، بس ، بف » وشرح المازندراني : « معرّض » ، أي هو معرّض. وفي حاشية « ج » و</w:t>
      </w:r>
      <w:r w:rsidRPr="009D1ACE">
        <w:rPr>
          <w:rStyle w:val="libFootnoteBoldChar"/>
          <w:rtl/>
        </w:rPr>
        <w:t>مرآة العقول</w:t>
      </w:r>
      <w:r w:rsidRPr="00132E65">
        <w:rPr>
          <w:rtl/>
        </w:rPr>
        <w:t xml:space="preserve"> : « معرّضاً »</w:t>
      </w:r>
      <w:r>
        <w:rPr>
          <w:rtl/>
        </w:rPr>
        <w:t>.</w:t>
      </w:r>
      <w:r w:rsidRPr="00132E65">
        <w:rPr>
          <w:rtl/>
        </w:rPr>
        <w:t xml:space="preserve"> وقال الخليل : « وعرّضت لفلان وبفلان ، إذا قلت قولاً وأنت تعيبه بذلك »</w:t>
      </w:r>
      <w:r>
        <w:rPr>
          <w:rtl/>
        </w:rPr>
        <w:t>.</w:t>
      </w:r>
      <w:r w:rsidRPr="00132E65">
        <w:rPr>
          <w:rtl/>
        </w:rPr>
        <w:t xml:space="preserve"> وقال الجوهري : « التعريض ، خلاف التصريح. يقال : عرّضت لفلان وبفلان ، إذا قلت قولاً وأنت تعنيه »</w:t>
      </w:r>
      <w:r>
        <w:rPr>
          <w:rtl/>
        </w:rPr>
        <w:t>.</w:t>
      </w:r>
      <w:r w:rsidRPr="00132E65">
        <w:rPr>
          <w:rtl/>
        </w:rPr>
        <w:t xml:space="preserve"> وفي </w:t>
      </w:r>
      <w:r w:rsidRPr="009D1ACE">
        <w:rPr>
          <w:rStyle w:val="libFootnoteBoldChar"/>
          <w:rtl/>
        </w:rPr>
        <w:t>الوافي</w:t>
      </w:r>
      <w:r w:rsidRPr="00132E65">
        <w:rPr>
          <w:rtl/>
        </w:rPr>
        <w:t xml:space="preserve"> : « جملة حاليّة ، يعني قال : ليس بفرّار تعريضاً بمن فرّ »</w:t>
      </w:r>
      <w:r>
        <w:rPr>
          <w:rtl/>
        </w:rPr>
        <w:t>.</w:t>
      </w:r>
      <w:r w:rsidRPr="00132E65">
        <w:rPr>
          <w:rtl/>
        </w:rPr>
        <w:t xml:space="preserve"> راجع : </w:t>
      </w:r>
      <w:r w:rsidRPr="00F93E55">
        <w:rPr>
          <w:rtl/>
        </w:rPr>
        <w:t>ترتيب كتاب العين</w:t>
      </w:r>
      <w:r w:rsidRPr="00132E65">
        <w:rPr>
          <w:rtl/>
        </w:rPr>
        <w:t xml:space="preserve"> ، ج 2 ، ص 1175 ؛ </w:t>
      </w:r>
      <w:r w:rsidRPr="00F93E55">
        <w:rPr>
          <w:rtl/>
        </w:rPr>
        <w:t>الصحاح</w:t>
      </w:r>
      <w:r w:rsidRPr="00132E65">
        <w:rPr>
          <w:rtl/>
        </w:rPr>
        <w:t xml:space="preserve"> ، ج 3 ، ص 1087 ( عرض )</w:t>
      </w:r>
      <w:r>
        <w:rPr>
          <w:rtl/>
        </w:rPr>
        <w:t>.</w:t>
      </w:r>
    </w:p>
    <w:p w:rsidR="000C39D1" w:rsidRPr="00132E65" w:rsidRDefault="000C39D1" w:rsidP="000C39D1">
      <w:pPr>
        <w:pStyle w:val="libFootnote0"/>
        <w:rPr>
          <w:rtl/>
          <w:lang w:bidi="fa-IR"/>
        </w:rPr>
      </w:pPr>
      <w:r>
        <w:rPr>
          <w:rtl/>
        </w:rPr>
        <w:t>(2).</w:t>
      </w:r>
      <w:r w:rsidRPr="00132E65">
        <w:rPr>
          <w:rtl/>
        </w:rPr>
        <w:t xml:space="preserve"> « يُجَبِّنُ أصحابه » ، أي ينسبهم إلى الجُبْن. تقول : جبّنتُهُ تجبيناً ، إذا نسبته إلى الجبن. قال المجلسي : « أي يخوّف أصحابه ويدعوهم إلى الجبن عند الحرب »</w:t>
      </w:r>
      <w:r>
        <w:rPr>
          <w:rtl/>
        </w:rPr>
        <w:t>.</w:t>
      </w:r>
      <w:r w:rsidRPr="00132E65">
        <w:rPr>
          <w:rtl/>
        </w:rPr>
        <w:t xml:space="preserve"> راجع : </w:t>
      </w:r>
      <w:r w:rsidRPr="00F93E55">
        <w:rPr>
          <w:rtl/>
        </w:rPr>
        <w:t>الصحاح</w:t>
      </w:r>
      <w:r w:rsidRPr="00132E65">
        <w:rPr>
          <w:rtl/>
        </w:rPr>
        <w:t xml:space="preserve"> ، ج 5 ، ص 2090 ( جبن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بح » وشرح المازندراني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(4).</w:t>
            </w:r>
            <w:r w:rsidRPr="00132E65">
              <w:rPr>
                <w:rtl/>
              </w:rPr>
              <w:t xml:space="preserve"> وفي حاشية « بح ، بف » : « الإيمان »</w:t>
            </w:r>
            <w:r>
              <w:rPr>
                <w:rtl/>
              </w:rPr>
              <w:t>.</w:t>
            </w:r>
          </w:p>
        </w:tc>
      </w:tr>
    </w:tbl>
    <w:p w:rsidR="000C39D1" w:rsidRPr="00132E65" w:rsidRDefault="000C39D1" w:rsidP="000C39D1">
      <w:pPr>
        <w:pStyle w:val="libFootnote0"/>
        <w:rPr>
          <w:rtl/>
          <w:lang w:bidi="fa-IR"/>
        </w:rPr>
      </w:pPr>
      <w:r>
        <w:rPr>
          <w:rtl/>
        </w:rPr>
        <w:t>(5).</w:t>
      </w:r>
      <w:r w:rsidRPr="00132E65">
        <w:rPr>
          <w:rtl/>
        </w:rPr>
        <w:t xml:space="preserve"> في « ف ، ه‍ ، بف » و</w:t>
      </w:r>
      <w:r w:rsidRPr="009D1ACE">
        <w:rPr>
          <w:rStyle w:val="libFootnoteBoldChar"/>
          <w:rtl/>
        </w:rPr>
        <w:t>الوافي</w:t>
      </w:r>
      <w:r w:rsidRPr="00132E65">
        <w:rPr>
          <w:rtl/>
        </w:rPr>
        <w:t xml:space="preserve"> </w:t>
      </w:r>
      <w:r>
        <w:rPr>
          <w:rtl/>
        </w:rPr>
        <w:t xml:space="preserve">: - </w:t>
      </w:r>
      <w:r w:rsidRPr="00132E65">
        <w:rPr>
          <w:rtl/>
        </w:rPr>
        <w:t>« هو »</w:t>
      </w:r>
      <w:r>
        <w:rPr>
          <w:rtl/>
        </w:rPr>
        <w:t>.</w:t>
      </w:r>
      <w:r w:rsidRPr="00132E65">
        <w:rPr>
          <w:rtl/>
        </w:rPr>
        <w:t xml:space="preserve"> وفي حاشية « ج ، بر » : « هو هذا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كتاب الله ، مرفوع بتقدير : هما كتاب الله ، أو منصوب بدل تفصيل لأمرين »</w:t>
      </w:r>
      <w:r>
        <w:rPr>
          <w:rtl/>
        </w:rPr>
        <w:t>.</w:t>
      </w:r>
    </w:p>
    <w:p w:rsidR="000C39D1" w:rsidRPr="00132E65" w:rsidRDefault="000C39D1" w:rsidP="000C39D1">
      <w:pPr>
        <w:pStyle w:val="libFootnote0"/>
        <w:rPr>
          <w:rtl/>
          <w:lang w:bidi="fa-IR"/>
        </w:rPr>
      </w:pPr>
      <w:r>
        <w:rPr>
          <w:rtl/>
        </w:rPr>
        <w:t>(7).</w:t>
      </w:r>
      <w:r w:rsidRPr="00132E65">
        <w:rPr>
          <w:rtl/>
        </w:rPr>
        <w:t xml:space="preserve"> في « ف ، ه‍ ، بف » و</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(8).</w:t>
      </w:r>
      <w:r w:rsidRPr="00132E65">
        <w:rPr>
          <w:rtl/>
        </w:rPr>
        <w:t xml:space="preserve"> في « ب » :</w:t>
      </w:r>
      <w:r>
        <w:rPr>
          <w:rtl/>
        </w:rPr>
        <w:t xml:space="preserve"> + </w:t>
      </w:r>
      <w:r w:rsidRPr="00132E65">
        <w:rPr>
          <w:rtl/>
        </w:rPr>
        <w:t>« وقال »</w:t>
      </w:r>
      <w:r>
        <w:rPr>
          <w:rtl/>
        </w:rPr>
        <w:t>.</w:t>
      </w:r>
      <w:r w:rsidRPr="00132E65">
        <w:rPr>
          <w:rtl/>
        </w:rPr>
        <w:t xml:space="preserve"> وفي « بح » : « بُلِّغْتُ » مبنيّاً للمفعول. وفي </w:t>
      </w:r>
      <w:r w:rsidRPr="009D1ACE">
        <w:rPr>
          <w:rStyle w:val="libFootnoteBoldChar"/>
          <w:rtl/>
        </w:rPr>
        <w:t>مرآة العقول</w:t>
      </w:r>
      <w:r w:rsidRPr="00132E65">
        <w:rPr>
          <w:rtl/>
        </w:rPr>
        <w:t xml:space="preserve"> : « وقد بلّغت ، على صيغة المعلوم ، أي بلّغت ما يلزمني تبليغه في أهل بيتي ، أو على المجهول ، أي بلّغني جبرئيل عن الله بالوحي »</w:t>
      </w:r>
      <w:r>
        <w:rPr>
          <w:rtl/>
        </w:rPr>
        <w:t>.</w:t>
      </w:r>
    </w:p>
    <w:p w:rsidR="000C39D1" w:rsidRPr="00132E65" w:rsidRDefault="000C39D1" w:rsidP="000C39D1">
      <w:pPr>
        <w:pStyle w:val="libFootnote0"/>
        <w:rPr>
          <w:rtl/>
          <w:lang w:bidi="fa-IR"/>
        </w:rPr>
      </w:pPr>
      <w:r>
        <w:rPr>
          <w:rtl/>
        </w:rPr>
        <w:t>(9).</w:t>
      </w:r>
      <w:r w:rsidRPr="00132E65">
        <w:rPr>
          <w:rtl/>
        </w:rPr>
        <w:t xml:space="preserve"> في « ب » : « فأسأل لكم »</w:t>
      </w:r>
      <w:r>
        <w:rPr>
          <w:rtl/>
        </w:rPr>
        <w:t>.</w:t>
      </w:r>
      <w:r w:rsidRPr="00132E65">
        <w:rPr>
          <w:rtl/>
        </w:rPr>
        <w:t xml:space="preserve"> وفي « بح » : « أسألكم »</w:t>
      </w:r>
      <w:r>
        <w:rPr>
          <w:rtl/>
        </w:rPr>
        <w:t>.</w:t>
      </w:r>
    </w:p>
    <w:p w:rsidR="000C39D1" w:rsidRPr="00132E65" w:rsidRDefault="000C39D1" w:rsidP="000C39D1">
      <w:pPr>
        <w:pStyle w:val="libFootnote0"/>
        <w:rPr>
          <w:rtl/>
          <w:lang w:bidi="fa-IR"/>
        </w:rPr>
      </w:pPr>
      <w:r>
        <w:rPr>
          <w:rtl/>
        </w:rPr>
        <w:t>(10).</w:t>
      </w:r>
      <w:r w:rsidRPr="00132E65">
        <w:rPr>
          <w:rtl/>
        </w:rPr>
        <w:t xml:space="preserve"> يقال لكلّ شي‌ء خطير نفيس : ثَقَل ، فسمّاهما ثَقَلَين إعظاماً لقدرهما وتفخيماً لشأنهما. راجع : </w:t>
      </w:r>
      <w:r w:rsidRPr="00412BA5">
        <w:rPr>
          <w:rtl/>
        </w:rPr>
        <w:t>النهاية</w:t>
      </w:r>
      <w:r w:rsidRPr="00132E65">
        <w:rPr>
          <w:rtl/>
        </w:rPr>
        <w:t xml:space="preserve"> ، ج 1 ، ص 216 ( ثقل )</w:t>
      </w:r>
      <w:r>
        <w:rPr>
          <w:rtl/>
        </w:rPr>
        <w:t>.</w:t>
      </w:r>
      <w:r>
        <w:rPr>
          <w:rFonts w:hint="cs"/>
          <w:rtl/>
        </w:rPr>
        <w:t xml:space="preserve">                                         </w:t>
      </w:r>
      <w:r>
        <w:rPr>
          <w:rtl/>
        </w:rPr>
        <w:t>(11).</w:t>
      </w:r>
      <w:r w:rsidRPr="00132E65">
        <w:rPr>
          <w:rtl/>
        </w:rPr>
        <w:t xml:space="preserve"> في « ج » : « فلا تستبقوهم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فَوَقَعَتِ الْحُجَّةُ بِقَوْلِ النَّبِيِّ </w:t>
      </w:r>
      <w:r w:rsidRPr="002B5ACB">
        <w:rPr>
          <w:rStyle w:val="libAlaemChar"/>
          <w:rFonts w:eastAsiaTheme="minorHAnsi"/>
          <w:rtl/>
        </w:rPr>
        <w:t>صلى‌الله‌عليه‌وآله</w:t>
      </w:r>
      <w:r w:rsidRPr="00132E65">
        <w:rPr>
          <w:rtl/>
          <w:lang w:bidi="fa-IR"/>
        </w:rPr>
        <w:t xml:space="preserve"> وبِالْكِتَابِ الَّذِي يَقْرَؤُهُ النَّاسُ ، فَلَمْ يَزَلْ </w:t>
      </w:r>
      <w:r>
        <w:rPr>
          <w:rStyle w:val="libFootnotenumChar"/>
          <w:rtl/>
        </w:rPr>
        <w:t>(1)</w:t>
      </w:r>
      <w:r w:rsidRPr="00132E65">
        <w:rPr>
          <w:rtl/>
          <w:lang w:bidi="fa-IR"/>
        </w:rPr>
        <w:t xml:space="preserve"> يُلْقِي فَضْلَ أَهْلِ بَيْتِهِ بِالْكَلَامِ ، ويُبَيِّنُ لَهُمْ بِالْقُرْآنِ : </w:t>
      </w:r>
      <w:r w:rsidRPr="00071CF9">
        <w:rPr>
          <w:rStyle w:val="libAlaemChar"/>
          <w:rtl/>
        </w:rPr>
        <w:t>(</w:t>
      </w:r>
      <w:r w:rsidRPr="00071CF9">
        <w:rPr>
          <w:rStyle w:val="libAieChar"/>
          <w:rtl/>
        </w:rPr>
        <w:t xml:space="preserve"> إِنَّما يُرِيدُ اللهُ لِيُذْهِبَ عَنْكُمُ الرِّجْسَ أَهْلَ الْبَيْتِ وَيُطَهِّرَكُمْ تَطْهِيراً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وقَالَ عَزَّ ذِكْرُهُ : </w:t>
      </w:r>
      <w:r w:rsidRPr="00071CF9">
        <w:rPr>
          <w:rStyle w:val="libAlaemChar"/>
          <w:rtl/>
        </w:rPr>
        <w:t>(</w:t>
      </w:r>
      <w:r w:rsidRPr="00071CF9">
        <w:rPr>
          <w:rStyle w:val="libAieChar"/>
          <w:rtl/>
        </w:rPr>
        <w:t xml:space="preserve"> وَاعْلَمُوا أَنَّما غَنِمْتُمْ مِنْ شَيْ‌ءٍ فَأَنَّ لِلّهِ</w:t>
      </w:r>
      <w:r>
        <w:rPr>
          <w:rStyle w:val="libAieChar"/>
          <w:rFonts w:hint="cs"/>
          <w:rtl/>
        </w:rPr>
        <w:t>ِ</w:t>
      </w:r>
      <w:r w:rsidRPr="00071CF9">
        <w:rPr>
          <w:rStyle w:val="libAieChar"/>
          <w:rtl/>
        </w:rPr>
        <w:t xml:space="preserve"> خُمُسَهُ وَلِلرَّسُولِ وَلِذِي الْقُرْبى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ثُمَّ قَالَ جَلَّ ذِكْرُهُ : </w:t>
      </w:r>
      <w:r w:rsidRPr="00071CF9">
        <w:rPr>
          <w:rStyle w:val="libAlaemChar"/>
          <w:rtl/>
        </w:rPr>
        <w:t>(</w:t>
      </w:r>
      <w:r w:rsidRPr="00071CF9">
        <w:rPr>
          <w:rStyle w:val="libAieChar"/>
          <w:rtl/>
        </w:rPr>
        <w:t xml:space="preserve"> وَآتِ ذَا الْقُرْبى حَقَّهُ </w:t>
      </w:r>
      <w:r w:rsidRPr="00071CF9">
        <w:rPr>
          <w:rStyle w:val="libAlaemChar"/>
          <w:rtl/>
        </w:rPr>
        <w:t>)</w:t>
      </w:r>
      <w:r w:rsidRPr="00132E65">
        <w:rPr>
          <w:rtl/>
          <w:lang w:bidi="fa-IR"/>
        </w:rPr>
        <w:t xml:space="preserve"> </w:t>
      </w:r>
      <w:r>
        <w:rPr>
          <w:rStyle w:val="libFootnotenumChar"/>
          <w:rtl/>
        </w:rPr>
        <w:t>(4)</w:t>
      </w:r>
    </w:p>
    <w:p w:rsidR="000C39D1" w:rsidRPr="00132E65" w:rsidRDefault="000C39D1" w:rsidP="000C39D1">
      <w:pPr>
        <w:pStyle w:val="libNormal"/>
        <w:rPr>
          <w:rtl/>
          <w:lang w:bidi="fa-IR"/>
        </w:rPr>
      </w:pPr>
      <w:r w:rsidRPr="00132E65">
        <w:rPr>
          <w:rtl/>
          <w:lang w:bidi="fa-IR"/>
        </w:rPr>
        <w:t xml:space="preserve">فَكَانَ عَلِيٌّ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وكَانَ حَقُّهُ الْوَصِيَّةَ الَّتِي جُعِلَتْ لَهُ ، والِاسْمَ الْأَكْبَرَ ، ومِيرَاثَ الْعِلْمِ ، وآثَارَ عِلْمِ النُّبُوَّةِ ، فَقَالَ : </w:t>
      </w:r>
      <w:r w:rsidRPr="00071CF9">
        <w:rPr>
          <w:rStyle w:val="libAlaemChar"/>
          <w:rtl/>
        </w:rPr>
        <w:t>(</w:t>
      </w:r>
      <w:r w:rsidRPr="00071CF9">
        <w:rPr>
          <w:rStyle w:val="libAieChar"/>
          <w:rtl/>
        </w:rPr>
        <w:t xml:space="preserve"> قُلْ لا أَسْ</w:t>
      </w:r>
      <w:r>
        <w:rPr>
          <w:rStyle w:val="libAieChar"/>
          <w:rtl/>
        </w:rPr>
        <w:t>ئَلُكُمْ عَلَيْهِ أَجْراً إِل</w:t>
      </w:r>
      <w:r>
        <w:rPr>
          <w:rStyle w:val="libAieChar"/>
          <w:rFonts w:hint="cs"/>
          <w:rtl/>
        </w:rPr>
        <w:t>َّ</w:t>
      </w:r>
      <w:r>
        <w:rPr>
          <w:rStyle w:val="libAieChar"/>
          <w:rtl/>
        </w:rPr>
        <w:t>ا</w:t>
      </w:r>
      <w:r w:rsidRPr="00071CF9">
        <w:rPr>
          <w:rStyle w:val="libAieChar"/>
          <w:rtl/>
        </w:rPr>
        <w:t xml:space="preserve"> الْمَوَدَّةَ فِي الْقُرْبى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ثُمَّ قَالَ :</w:t>
      </w:r>
      <w:r>
        <w:rPr>
          <w:rFonts w:hint="cs"/>
          <w:rtl/>
          <w:lang w:bidi="fa-IR"/>
        </w:rPr>
        <w:t xml:space="preserve"> </w:t>
      </w:r>
      <w:r w:rsidRPr="00071CF9">
        <w:rPr>
          <w:rStyle w:val="libAlaemChar"/>
          <w:rtl/>
        </w:rPr>
        <w:t>(</w:t>
      </w:r>
      <w:r w:rsidRPr="00071CF9">
        <w:rPr>
          <w:rStyle w:val="libAieChar"/>
          <w:rtl/>
        </w:rPr>
        <w:t xml:space="preserve"> وَإِذَا </w:t>
      </w:r>
      <w:r w:rsidRPr="00132E65">
        <w:rPr>
          <w:rtl/>
          <w:lang w:bidi="fa-IR"/>
        </w:rPr>
        <w:t xml:space="preserve">( الْمَوَدَّةُ ) </w:t>
      </w:r>
      <w:r>
        <w:rPr>
          <w:rStyle w:val="libFootnotenumChar"/>
          <w:rtl/>
        </w:rPr>
        <w:t>(7)</w:t>
      </w:r>
      <w:r w:rsidRPr="00132E65">
        <w:rPr>
          <w:rtl/>
          <w:lang w:bidi="fa-IR"/>
        </w:rPr>
        <w:t xml:space="preserve"> </w:t>
      </w:r>
      <w:r w:rsidRPr="00071CF9">
        <w:rPr>
          <w:rStyle w:val="libAieChar"/>
          <w:rtl/>
        </w:rPr>
        <w:t xml:space="preserve">سُئِلَتْ </w:t>
      </w:r>
      <w:r>
        <w:rPr>
          <w:rStyle w:val="libAieChar"/>
          <w:rFonts w:hint="cs"/>
          <w:rtl/>
        </w:rPr>
        <w:t xml:space="preserve">* </w:t>
      </w:r>
      <w:r w:rsidRPr="00071CF9">
        <w:rPr>
          <w:rStyle w:val="libAieChar"/>
          <w:rtl/>
        </w:rPr>
        <w:t xml:space="preserve">بِأَيِّ ذَنْبٍ قُتِلَتْ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يَقُولُ : أَسْأَلُكُمْ عَنِ الْمَوَدَّةِ</w:t>
      </w:r>
      <w:r>
        <w:rPr>
          <w:rtl/>
          <w:lang w:bidi="fa-IR"/>
        </w:rPr>
        <w:t xml:space="preserve"> - </w:t>
      </w:r>
      <w:r w:rsidRPr="00132E65">
        <w:rPr>
          <w:rtl/>
          <w:lang w:bidi="fa-IR"/>
        </w:rPr>
        <w:t xml:space="preserve">الَّتِي أَنْزَلْتُ </w:t>
      </w:r>
      <w:r>
        <w:rPr>
          <w:rStyle w:val="libFootnotenumChar"/>
          <w:rtl/>
        </w:rPr>
        <w:t>(9)</w:t>
      </w:r>
      <w:r w:rsidRPr="00132E65">
        <w:rPr>
          <w:rtl/>
          <w:lang w:bidi="fa-IR"/>
        </w:rPr>
        <w:t xml:space="preserve"> عَلَيْكُمْ فَضْلَهَا</w:t>
      </w:r>
      <w:r>
        <w:rPr>
          <w:rtl/>
          <w:lang w:bidi="fa-IR"/>
        </w:rPr>
        <w:t xml:space="preserve"> - </w:t>
      </w:r>
      <w:r w:rsidRPr="00132E65">
        <w:rPr>
          <w:rtl/>
          <w:lang w:bidi="fa-IR"/>
        </w:rPr>
        <w:t>مَوَدَّةِ الْقُرْبى بِأَيِّ ذَنْبٍ قَتَلْتُمُوهُمْ.</w:t>
      </w:r>
    </w:p>
    <w:p w:rsidR="000C39D1" w:rsidRPr="00132E65" w:rsidRDefault="000C39D1" w:rsidP="000C39D1">
      <w:pPr>
        <w:pStyle w:val="libNormal"/>
        <w:rPr>
          <w:rtl/>
          <w:lang w:bidi="fa-IR"/>
        </w:rPr>
      </w:pPr>
      <w:r w:rsidRPr="00132E65">
        <w:rPr>
          <w:rtl/>
          <w:lang w:bidi="fa-IR"/>
        </w:rPr>
        <w:t xml:space="preserve">وَقَالَ جَلَّ ذِكْرُهُ : </w:t>
      </w:r>
      <w:r w:rsidRPr="00071CF9">
        <w:rPr>
          <w:rStyle w:val="libAlaemChar"/>
          <w:rtl/>
        </w:rPr>
        <w:t>(</w:t>
      </w:r>
      <w:r w:rsidRPr="00071CF9">
        <w:rPr>
          <w:rStyle w:val="libAieChar"/>
          <w:rtl/>
        </w:rPr>
        <w:t xml:space="preserve"> فَسْئَلُوا أَهْلَ الذِّكْرِ إِنْ كُنْتُمْ لا تَعْلَمُونَ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قَالَ : الْكِتَابُ : </w:t>
      </w:r>
      <w:r>
        <w:rPr>
          <w:rStyle w:val="libFootnotenumChar"/>
          <w:rtl/>
        </w:rPr>
        <w:t>(11)</w:t>
      </w:r>
      <w:r w:rsidRPr="00132E65">
        <w:rPr>
          <w:rtl/>
          <w:lang w:bidi="fa-IR"/>
        </w:rPr>
        <w:t xml:space="preserve"> الذِّكْرُ ، وَأَهْلُهُ : آلُ مُحَمَّدٍ </w:t>
      </w:r>
      <w:r w:rsidRPr="00071CF9">
        <w:rPr>
          <w:rStyle w:val="libAlaemChar"/>
          <w:rtl/>
        </w:rPr>
        <w:t>عليهم‌السلام</w:t>
      </w:r>
      <w:r w:rsidRPr="00132E65">
        <w:rPr>
          <w:rtl/>
          <w:lang w:bidi="fa-IR"/>
        </w:rPr>
        <w:t xml:space="preserve"> ، أَمَرَ اللهُ</w:t>
      </w:r>
      <w:r>
        <w:rPr>
          <w:rtl/>
          <w:lang w:bidi="fa-IR"/>
        </w:rPr>
        <w:t xml:space="preserve"> - </w:t>
      </w:r>
      <w:r w:rsidRPr="00132E65">
        <w:rPr>
          <w:rtl/>
          <w:lang w:bidi="fa-IR"/>
        </w:rPr>
        <w:t>عَزَّ وجَلَّ</w:t>
      </w:r>
      <w:r>
        <w:rPr>
          <w:rtl/>
          <w:lang w:bidi="fa-IR"/>
        </w:rPr>
        <w:t xml:space="preserve"> - </w:t>
      </w:r>
      <w:r w:rsidRPr="00132E65">
        <w:rPr>
          <w:rtl/>
          <w:lang w:bidi="fa-IR"/>
        </w:rPr>
        <w:t>بِسُؤَالِهِمْ ، ولَمْ يُؤْمَرُوا بِسُؤَالِ الْجُهَّالِ ، وَسَمَّى اللهُ</w:t>
      </w:r>
      <w:r>
        <w:rPr>
          <w:rtl/>
          <w:lang w:bidi="fa-IR"/>
        </w:rPr>
        <w:t xml:space="preserve"> - </w:t>
      </w:r>
      <w:r w:rsidRPr="00132E65">
        <w:rPr>
          <w:rtl/>
          <w:lang w:bidi="fa-IR"/>
        </w:rPr>
        <w:t>عَزَّ وجَلَّ</w:t>
      </w:r>
      <w:r>
        <w:rPr>
          <w:rtl/>
          <w:lang w:bidi="fa-IR"/>
        </w:rPr>
        <w:t xml:space="preserve"> - </w:t>
      </w:r>
      <w:r w:rsidRPr="00132E65">
        <w:rPr>
          <w:rtl/>
          <w:lang w:bidi="fa-IR"/>
        </w:rPr>
        <w:t xml:space="preserve">الْقُرْآنَ </w:t>
      </w:r>
      <w:r>
        <w:rPr>
          <w:rStyle w:val="libFootnotenumChar"/>
          <w:rtl/>
        </w:rPr>
        <w:t>(12)</w:t>
      </w:r>
      <w:r w:rsidRPr="00132E65">
        <w:rPr>
          <w:rtl/>
          <w:lang w:bidi="fa-IR"/>
        </w:rPr>
        <w:t xml:space="preserve"> ذِكْراً ، فَقَالَ </w:t>
      </w:r>
      <w:r w:rsidRPr="00F543F1">
        <w:rPr>
          <w:rStyle w:val="libFootnotenumChar"/>
          <w:rtl/>
        </w:rPr>
        <w:t>(13)</w:t>
      </w:r>
      <w:r w:rsidRPr="00132E65">
        <w:rPr>
          <w:rtl/>
          <w:lang w:bidi="fa-IR"/>
        </w:rPr>
        <w:t xml:space="preserve"> تَبَارَكَ وتَعَالى : </w:t>
      </w:r>
      <w:r w:rsidRPr="00071CF9">
        <w:rPr>
          <w:rStyle w:val="libAlaemChar"/>
          <w:rtl/>
        </w:rPr>
        <w:t>(</w:t>
      </w:r>
      <w:r w:rsidRPr="00071CF9">
        <w:rPr>
          <w:rStyle w:val="libAieChar"/>
          <w:rtl/>
        </w:rPr>
        <w:t xml:space="preserve"> وَأَنْزَلْنا إِلَيْكَ الذِّكْرَ لِتُبَيِّنَ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 « لم يزل »</w:t>
      </w:r>
      <w:r>
        <w:rPr>
          <w:rtl/>
        </w:rPr>
        <w:t>.</w:t>
      </w:r>
      <w:r w:rsidRPr="00132E65">
        <w:rPr>
          <w:rtl/>
        </w:rPr>
        <w:t xml:space="preserve"> وفي « بف » : « ولم يزل »</w:t>
      </w:r>
      <w:r>
        <w:rPr>
          <w:rtl/>
        </w:rPr>
        <w:t>.</w:t>
      </w:r>
    </w:p>
    <w:p w:rsidR="000C39D1" w:rsidRPr="00132E65" w:rsidRDefault="000C39D1" w:rsidP="000C39D1">
      <w:pPr>
        <w:pStyle w:val="libFootnote0"/>
        <w:rPr>
          <w:rtl/>
          <w:lang w:bidi="fa-IR"/>
        </w:rPr>
      </w:pPr>
      <w:r>
        <w:rPr>
          <w:rtl/>
        </w:rPr>
        <w:t>(2).</w:t>
      </w:r>
      <w:r w:rsidRPr="00132E65">
        <w:rPr>
          <w:rtl/>
        </w:rPr>
        <w:t xml:space="preserve"> الأحزاب (33) : 33.</w:t>
      </w:r>
    </w:p>
    <w:p w:rsidR="000C39D1" w:rsidRPr="00132E65" w:rsidRDefault="000C39D1" w:rsidP="000C39D1">
      <w:pPr>
        <w:pStyle w:val="libFootnote0"/>
        <w:rPr>
          <w:rtl/>
          <w:lang w:bidi="fa-IR"/>
        </w:rPr>
      </w:pPr>
      <w:r>
        <w:rPr>
          <w:rtl/>
        </w:rPr>
        <w:t>(3).</w:t>
      </w:r>
      <w:r w:rsidRPr="00132E65">
        <w:rPr>
          <w:rtl/>
        </w:rPr>
        <w:t xml:space="preserve"> الأنفال </w:t>
      </w:r>
      <w:r>
        <w:rPr>
          <w:rtl/>
        </w:rPr>
        <w:t>(8)</w:t>
      </w:r>
      <w:r w:rsidRPr="00132E65">
        <w:rPr>
          <w:rtl/>
        </w:rPr>
        <w:t xml:space="preserve"> : 41.</w:t>
      </w:r>
    </w:p>
    <w:p w:rsidR="000C39D1" w:rsidRPr="00132E65" w:rsidRDefault="000C39D1" w:rsidP="000C39D1">
      <w:pPr>
        <w:pStyle w:val="libFootnote0"/>
        <w:rPr>
          <w:rtl/>
          <w:lang w:bidi="fa-IR"/>
        </w:rPr>
      </w:pPr>
      <w:r>
        <w:rPr>
          <w:rtl/>
        </w:rPr>
        <w:t>(4).</w:t>
      </w:r>
      <w:r w:rsidRPr="00132E65">
        <w:rPr>
          <w:rtl/>
        </w:rPr>
        <w:t xml:space="preserve"> الإسراء (17) : 26.</w:t>
      </w:r>
    </w:p>
    <w:p w:rsidR="000C39D1" w:rsidRPr="00132E65" w:rsidRDefault="000C39D1" w:rsidP="000C39D1">
      <w:pPr>
        <w:pStyle w:val="libFootnote0"/>
        <w:rPr>
          <w:rtl/>
          <w:lang w:bidi="fa-IR"/>
        </w:rPr>
      </w:pPr>
      <w:r>
        <w:rPr>
          <w:rtl/>
        </w:rPr>
        <w:t>(5).</w:t>
      </w:r>
      <w:r w:rsidRPr="00132E65">
        <w:rPr>
          <w:rtl/>
        </w:rPr>
        <w:t xml:space="preserve"> « فكان عليّ </w:t>
      </w:r>
      <w:r w:rsidRPr="002B5ACB">
        <w:rPr>
          <w:rStyle w:val="libFootnoteAlaemChar"/>
          <w:rtl/>
        </w:rPr>
        <w:t>عليه‌السلام</w:t>
      </w:r>
      <w:r w:rsidRPr="00132E65">
        <w:rPr>
          <w:rtl/>
        </w:rPr>
        <w:t xml:space="preserve"> » ، أي فكان </w:t>
      </w:r>
      <w:r w:rsidRPr="002B5ACB">
        <w:rPr>
          <w:rStyle w:val="libFootnoteAlaemChar"/>
          <w:rtl/>
        </w:rPr>
        <w:t>عليه‌السلام</w:t>
      </w:r>
      <w:r w:rsidRPr="00132E65">
        <w:rPr>
          <w:rtl/>
        </w:rPr>
        <w:t xml:space="preserve"> ذا القربى ، على حذف الخبر بقرينة المقام. أو كان تامّة. راجع : </w:t>
      </w:r>
      <w:r w:rsidRPr="006A3651">
        <w:rPr>
          <w:rtl/>
        </w:rPr>
        <w:t>شرح‌المازندراني</w:t>
      </w:r>
      <w:r w:rsidRPr="00132E65">
        <w:rPr>
          <w:rtl/>
        </w:rPr>
        <w:t xml:space="preserve"> ، ج 6 ، ص 126 ؛ </w:t>
      </w:r>
      <w:r w:rsidRPr="009D1ACE">
        <w:rPr>
          <w:rStyle w:val="libFootnoteBoldChar"/>
          <w:rtl/>
        </w:rPr>
        <w:t>مرآة العقول</w:t>
      </w:r>
      <w:r w:rsidRPr="00132E65">
        <w:rPr>
          <w:rtl/>
        </w:rPr>
        <w:t xml:space="preserve"> ، ج 3 ، ص 279.</w:t>
      </w:r>
    </w:p>
    <w:p w:rsidR="000C39D1" w:rsidRPr="00132E65" w:rsidRDefault="000C39D1" w:rsidP="000C39D1">
      <w:pPr>
        <w:pStyle w:val="libFootnote0"/>
        <w:rPr>
          <w:rtl/>
          <w:lang w:bidi="fa-IR"/>
        </w:rPr>
      </w:pPr>
      <w:r>
        <w:rPr>
          <w:rtl/>
        </w:rPr>
        <w:t>(6).</w:t>
      </w:r>
      <w:r w:rsidRPr="00132E65">
        <w:rPr>
          <w:rtl/>
        </w:rPr>
        <w:t xml:space="preserve"> الشورى (42) : 23.</w:t>
      </w:r>
    </w:p>
    <w:p w:rsidR="000C39D1" w:rsidRPr="00132E65" w:rsidRDefault="000C39D1" w:rsidP="000C39D1">
      <w:pPr>
        <w:pStyle w:val="libFootnote0"/>
        <w:rPr>
          <w:rtl/>
          <w:lang w:bidi="fa-IR"/>
        </w:rPr>
      </w:pPr>
      <w:r>
        <w:rPr>
          <w:rtl/>
        </w:rPr>
        <w:t>(7).</w:t>
      </w:r>
      <w:r w:rsidRPr="00132E65">
        <w:rPr>
          <w:rtl/>
        </w:rPr>
        <w:t xml:space="preserve"> كذا في « ألف ، ب ، ض ، و، بح ، بف » والمطبوع وشرح المازندراني </w:t>
      </w:r>
      <w:r w:rsidRPr="006A3651">
        <w:rPr>
          <w:rtl/>
        </w:rPr>
        <w:t>و</w:t>
      </w:r>
      <w:r w:rsidRPr="009D1ACE">
        <w:rPr>
          <w:rStyle w:val="libFootnoteBoldChar"/>
          <w:rtl/>
        </w:rPr>
        <w:t>الوافي</w:t>
      </w:r>
      <w:r w:rsidRPr="00132E65">
        <w:rPr>
          <w:rtl/>
        </w:rPr>
        <w:t>. ويقتضيه المقام. وكانت القراءة</w:t>
      </w:r>
      <w:r>
        <w:rPr>
          <w:rFonts w:hint="cs"/>
          <w:rtl/>
        </w:rPr>
        <w:t xml:space="preserve"> </w:t>
      </w:r>
      <w:r w:rsidRPr="00132E65">
        <w:rPr>
          <w:rtl/>
        </w:rPr>
        <w:t>المشهورة</w:t>
      </w:r>
      <w:r>
        <w:rPr>
          <w:rFonts w:hint="cs"/>
          <w:rtl/>
        </w:rPr>
        <w:t xml:space="preserve"> </w:t>
      </w:r>
      <w:r w:rsidRPr="00071CF9">
        <w:rPr>
          <w:rStyle w:val="libAlaemChar"/>
          <w:rtl/>
        </w:rPr>
        <w:t>(</w:t>
      </w:r>
      <w:r>
        <w:rPr>
          <w:rFonts w:hint="cs"/>
          <w:rtl/>
        </w:rPr>
        <w:t xml:space="preserve"> </w:t>
      </w:r>
      <w:r w:rsidRPr="00C2691A">
        <w:rPr>
          <w:rStyle w:val="libFootnoteAieChar"/>
          <w:rtl/>
        </w:rPr>
        <w:t>الْمَوْؤُدَةُ</w:t>
      </w:r>
      <w:r>
        <w:rPr>
          <w:rFonts w:hint="cs"/>
          <w:rtl/>
        </w:rPr>
        <w:t xml:space="preserve"> </w:t>
      </w:r>
      <w:r w:rsidRPr="00071CF9">
        <w:rPr>
          <w:rStyle w:val="libAlaemChar"/>
          <w:rtl/>
        </w:rPr>
        <w:t>)</w:t>
      </w:r>
      <w:r w:rsidRPr="00132E65">
        <w:rPr>
          <w:rtl/>
        </w:rPr>
        <w:t xml:space="preserve"> من الوأد ، وعليها ظاهر بعض النسخ. قال الفيض في </w:t>
      </w:r>
      <w:r w:rsidRPr="009D1ACE">
        <w:rPr>
          <w:rStyle w:val="libFootnoteBoldChar"/>
          <w:rtl/>
        </w:rPr>
        <w:t>الوافي</w:t>
      </w:r>
      <w:r w:rsidRPr="00132E65">
        <w:rPr>
          <w:rtl/>
        </w:rPr>
        <w:t xml:space="preserve"> : « بفتح الواو وتشديد الدال من غير همز ، ويستفاد من تأويله أنّهم </w:t>
      </w:r>
      <w:r w:rsidRPr="00D85E3D">
        <w:rPr>
          <w:rStyle w:val="libFootnoteAlaemChar"/>
          <w:rtl/>
        </w:rPr>
        <w:t>عليهم‌السلام</w:t>
      </w:r>
      <w:r w:rsidRPr="00132E65">
        <w:rPr>
          <w:rtl/>
        </w:rPr>
        <w:t xml:space="preserve"> هكذا كانوا يقرؤونه »</w:t>
      </w:r>
      <w:r>
        <w:rPr>
          <w:rtl/>
        </w:rPr>
        <w:t>.</w:t>
      </w:r>
    </w:p>
    <w:p w:rsidR="000C39D1" w:rsidRPr="00132E65" w:rsidRDefault="000C39D1" w:rsidP="000C39D1">
      <w:pPr>
        <w:pStyle w:val="libFootnote0"/>
        <w:rPr>
          <w:rtl/>
          <w:lang w:bidi="fa-IR"/>
        </w:rPr>
      </w:pPr>
      <w:r>
        <w:rPr>
          <w:rtl/>
        </w:rPr>
        <w:t>(8).</w:t>
      </w:r>
      <w:r w:rsidRPr="00132E65">
        <w:rPr>
          <w:rtl/>
        </w:rPr>
        <w:t xml:space="preserve"> التكوير (81) : 8 </w:t>
      </w:r>
      <w:r>
        <w:rPr>
          <w:rtl/>
        </w:rPr>
        <w:t>و 9</w:t>
      </w:r>
      <w:r w:rsidRPr="00132E65">
        <w:rPr>
          <w:rtl/>
        </w:rPr>
        <w:t>. وفي البحار ، ج 7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 في«ج ، بح ، بس» والبحار ، ج</w:t>
            </w:r>
            <w:r w:rsidRPr="00132E65">
              <w:rPr>
                <w:rtl/>
              </w:rPr>
              <w:t>7: « نزلت »</w:t>
            </w:r>
            <w:r>
              <w:rPr>
                <w:rtl/>
              </w:rPr>
              <w:t>.</w:t>
            </w:r>
          </w:p>
        </w:tc>
        <w:tc>
          <w:tcPr>
            <w:tcW w:w="4006" w:type="dxa"/>
          </w:tcPr>
          <w:p w:rsidR="000C39D1" w:rsidRDefault="000C39D1" w:rsidP="00B53873">
            <w:pPr>
              <w:pStyle w:val="libFootnote0"/>
              <w:rPr>
                <w:rtl/>
              </w:rPr>
            </w:pPr>
            <w:r>
              <w:rPr>
                <w:rtl/>
              </w:rPr>
              <w:t>(10).</w:t>
            </w:r>
            <w:r w:rsidRPr="00132E65">
              <w:rPr>
                <w:rtl/>
              </w:rPr>
              <w:t xml:space="preserve"> النحل (16) : 43 ؛ الأنبياء (21) : 7.</w:t>
            </w:r>
          </w:p>
        </w:tc>
      </w:tr>
    </w:tbl>
    <w:p w:rsidR="000C39D1" w:rsidRPr="00132E65" w:rsidRDefault="000C39D1" w:rsidP="000C39D1">
      <w:pPr>
        <w:pStyle w:val="libFootnote0"/>
        <w:rPr>
          <w:rtl/>
          <w:lang w:bidi="fa-IR"/>
        </w:rPr>
      </w:pPr>
      <w:r>
        <w:rPr>
          <w:rtl/>
        </w:rPr>
        <w:t>(11).</w:t>
      </w:r>
      <w:r w:rsidRPr="00132E65">
        <w:rPr>
          <w:rtl/>
        </w:rPr>
        <w:t xml:space="preserve"> هكذا في النسخ التي قوبلت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والوسائل. وفي المطبوع :</w:t>
      </w:r>
      <w:r>
        <w:rPr>
          <w:rtl/>
        </w:rPr>
        <w:t xml:space="preserve"> + </w:t>
      </w:r>
      <w:r w:rsidRPr="00132E65">
        <w:rPr>
          <w:rtl/>
        </w:rPr>
        <w:t>« [ هو ]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(12).</w:t>
            </w:r>
            <w:r w:rsidRPr="00132E65">
              <w:rPr>
                <w:rtl/>
              </w:rPr>
              <w:t xml:space="preserve"> في شرح المازندراني : « الكتاب »</w:t>
            </w:r>
            <w:r>
              <w:rPr>
                <w:rtl/>
              </w:rPr>
              <w:t>.</w:t>
            </w:r>
          </w:p>
        </w:tc>
        <w:tc>
          <w:tcPr>
            <w:tcW w:w="4006" w:type="dxa"/>
          </w:tcPr>
          <w:p w:rsidR="000C39D1" w:rsidRDefault="000C39D1" w:rsidP="00B53873">
            <w:pPr>
              <w:pStyle w:val="libFootnote0"/>
              <w:rPr>
                <w:rtl/>
                <w:lang w:bidi="fa-IR"/>
              </w:rPr>
            </w:pPr>
            <w:r>
              <w:rPr>
                <w:rtl/>
              </w:rPr>
              <w:t>(13)</w:t>
            </w:r>
            <w:r w:rsidRPr="00132E65">
              <w:rPr>
                <w:rtl/>
              </w:rPr>
              <w:t xml:space="preserve"> في « ض ، ه‍ » :</w:t>
            </w:r>
            <w:r>
              <w:rPr>
                <w:rtl/>
              </w:rPr>
              <w:t xml:space="preserve"> + </w:t>
            </w:r>
            <w:r w:rsidRPr="00132E65">
              <w:rPr>
                <w:rtl/>
              </w:rPr>
              <w:t>« الله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lastRenderedPageBreak/>
        <w:t xml:space="preserve">لِلنّاسِ ما نُزِّلَ إِلَيْهِمْ وَلَعَلَّهُمْ يَتَفَكَّرُونَ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وقَالَ عَزَّ وجَلَّ : </w:t>
      </w:r>
      <w:r w:rsidRPr="00071CF9">
        <w:rPr>
          <w:rStyle w:val="libAlaemChar"/>
          <w:rtl/>
        </w:rPr>
        <w:t>(</w:t>
      </w:r>
      <w:r w:rsidRPr="00071CF9">
        <w:rPr>
          <w:rStyle w:val="libAieChar"/>
          <w:rtl/>
        </w:rPr>
        <w:t xml:space="preserve"> وَإِنَّهُ لَذِكْرٌ لَكَ وَلِقَوْمِكَ وَسَوْفَ تُسْئَلُونَ </w:t>
      </w:r>
      <w:r w:rsidRPr="00071CF9">
        <w:rPr>
          <w:rStyle w:val="libAlaemChar"/>
          <w:rtl/>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132E65">
        <w:rPr>
          <w:rtl/>
          <w:lang w:bidi="fa-IR"/>
        </w:rPr>
        <w:t xml:space="preserve">وَقَالَ عَزَّ وجَلَّ : </w:t>
      </w:r>
      <w:r w:rsidRPr="00071CF9">
        <w:rPr>
          <w:rStyle w:val="libAlaemChar"/>
          <w:rtl/>
        </w:rPr>
        <w:t>(</w:t>
      </w:r>
      <w:r w:rsidRPr="00071CF9">
        <w:rPr>
          <w:rStyle w:val="libAieChar"/>
          <w:rtl/>
        </w:rPr>
        <w:t xml:space="preserve"> أَطِيعُوا اللهَ وَأَطِيعُوا الرَّسُولَ وَأُولِي الْأَمْرِ مِنْكُمْ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وقَالَ </w:t>
      </w:r>
      <w:r>
        <w:rPr>
          <w:rStyle w:val="libFootnotenumChar"/>
          <w:rtl/>
        </w:rPr>
        <w:t>(4)</w:t>
      </w:r>
      <w:r w:rsidRPr="00132E65">
        <w:rPr>
          <w:rtl/>
          <w:lang w:bidi="fa-IR"/>
        </w:rPr>
        <w:t xml:space="preserve"> عَزَّ وجَلَّ : </w:t>
      </w:r>
      <w:r w:rsidRPr="00071CF9">
        <w:rPr>
          <w:rStyle w:val="libAlaemChar"/>
          <w:rtl/>
        </w:rPr>
        <w:t>(</w:t>
      </w:r>
      <w:r w:rsidRPr="00071CF9">
        <w:rPr>
          <w:rStyle w:val="libAieChar"/>
          <w:rtl/>
        </w:rPr>
        <w:t xml:space="preserve"> وَلَوْ رَدُّوهُ </w:t>
      </w:r>
      <w:r>
        <w:rPr>
          <w:rStyle w:val="libFootnotenumChar"/>
          <w:rtl/>
        </w:rPr>
        <w:t>(5)</w:t>
      </w:r>
      <w:r w:rsidRPr="00132E65">
        <w:rPr>
          <w:rtl/>
          <w:lang w:bidi="fa-IR"/>
        </w:rPr>
        <w:t xml:space="preserve"> </w:t>
      </w:r>
      <w:r w:rsidRPr="00071CF9">
        <w:rPr>
          <w:rStyle w:val="libAieChar"/>
          <w:rtl/>
        </w:rPr>
        <w:t xml:space="preserve">إِلَى الرَّسُولِ وَإِلى أُولِي الْأَمْرِ مِنْهُمْ لَعَلِمَهُ الَّذِينَ يَسْتَنْبِطُونَهُ مِنْهُمْ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فَرَدَّ الْأَمْرَ</w:t>
      </w:r>
      <w:r>
        <w:rPr>
          <w:rtl/>
          <w:lang w:bidi="fa-IR"/>
        </w:rPr>
        <w:t xml:space="preserve"> - </w:t>
      </w:r>
      <w:r w:rsidRPr="00132E65">
        <w:rPr>
          <w:rtl/>
          <w:lang w:bidi="fa-IR"/>
        </w:rPr>
        <w:t>أَمْرَ النَّاسِ</w:t>
      </w:r>
      <w:r>
        <w:rPr>
          <w:rtl/>
          <w:lang w:bidi="fa-IR"/>
        </w:rPr>
        <w:t xml:space="preserve"> - </w:t>
      </w:r>
      <w:r w:rsidRPr="00132E65">
        <w:rPr>
          <w:rtl/>
          <w:lang w:bidi="fa-IR"/>
        </w:rPr>
        <w:t xml:space="preserve">إِلى أُولِي الْأَمْرِ مِنْهُمُ الَّذِينَ أَمَرَ </w:t>
      </w:r>
      <w:r>
        <w:rPr>
          <w:rStyle w:val="libFootnotenumChar"/>
          <w:rtl/>
        </w:rPr>
        <w:t>(7)</w:t>
      </w:r>
      <w:r w:rsidRPr="00132E65">
        <w:rPr>
          <w:rtl/>
          <w:lang w:bidi="fa-IR"/>
        </w:rPr>
        <w:t xml:space="preserve"> بِطَاعَتِهِمْ وبِالرَّدِّ </w:t>
      </w:r>
      <w:r>
        <w:rPr>
          <w:rStyle w:val="libFootnotenumChar"/>
          <w:rtl/>
        </w:rPr>
        <w:t>(8)</w:t>
      </w:r>
      <w:r w:rsidRPr="00132E65">
        <w:rPr>
          <w:rtl/>
          <w:lang w:bidi="fa-IR"/>
        </w:rPr>
        <w:t xml:space="preserve"> إِلَيْهِمْ.</w:t>
      </w:r>
    </w:p>
    <w:p w:rsidR="000C39D1" w:rsidRPr="00132E65" w:rsidRDefault="000C39D1" w:rsidP="000C39D1">
      <w:pPr>
        <w:pStyle w:val="libNormal"/>
        <w:rPr>
          <w:rtl/>
          <w:lang w:bidi="fa-IR"/>
        </w:rPr>
      </w:pPr>
      <w:r w:rsidRPr="00132E65">
        <w:rPr>
          <w:rtl/>
          <w:lang w:bidi="fa-IR"/>
        </w:rPr>
        <w:t xml:space="preserve">فَلَمَّا رَجَعَ رَسُولُ اللهِ </w:t>
      </w:r>
      <w:r w:rsidRPr="00D85E3D">
        <w:rPr>
          <w:rStyle w:val="libAlaemChar"/>
          <w:rFonts w:eastAsiaTheme="minorHAnsi"/>
          <w:rtl/>
        </w:rPr>
        <w:t>صلى‌الله‌عليه‌وآله</w:t>
      </w:r>
      <w:r w:rsidRPr="00132E65">
        <w:rPr>
          <w:rtl/>
          <w:lang w:bidi="fa-IR"/>
        </w:rPr>
        <w:t xml:space="preserve"> مِنْ حَجَّةِ الْوَدَاعِ ، نَزَلَ عَلَيْهِ جَبْرَئِيلُ </w:t>
      </w:r>
      <w:r w:rsidRPr="00071CF9">
        <w:rPr>
          <w:rStyle w:val="libAlaemChar"/>
          <w:rtl/>
        </w:rPr>
        <w:t>عليه‌السلام</w:t>
      </w:r>
      <w:r w:rsidRPr="00132E65">
        <w:rPr>
          <w:rtl/>
          <w:lang w:bidi="fa-IR"/>
        </w:rPr>
        <w:t xml:space="preserve"> ، فَقَالَ : </w:t>
      </w:r>
      <w:r w:rsidRPr="00071CF9">
        <w:rPr>
          <w:rStyle w:val="libAlaemChar"/>
          <w:rtl/>
        </w:rPr>
        <w:t>(</w:t>
      </w:r>
      <w:r w:rsidRPr="00071CF9">
        <w:rPr>
          <w:rStyle w:val="libAieChar"/>
          <w:rtl/>
        </w:rPr>
        <w:t xml:space="preserve"> يا أَيُّهَا الرَّسُولُ بَلِّغْ ما أُنْزِلَ إِلَيْكَ مِنْ رَبِّكَ وَإِنْ لَمْ تَفْعَلْ فَما بَلَّغْتَ رِسالَتَهُ وَاللهُ يَعْصِمُكَ مِنَ النّاسِ إِنَّ اللهَ لا يَهْدِي الْقَوْمَ الْكافِرِينَ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فَنَادَى النَّاسَ ؛ فَاجْتَمَعُوا ، وأَمَرَ </w:t>
      </w:r>
      <w:r>
        <w:rPr>
          <w:rStyle w:val="libFootnotenumChar"/>
          <w:rtl/>
        </w:rPr>
        <w:t>(10)</w:t>
      </w:r>
      <w:r w:rsidRPr="00132E65">
        <w:rPr>
          <w:rtl/>
          <w:lang w:bidi="fa-IR"/>
        </w:rPr>
        <w:t xml:space="preserve"> بِسَمُرَاتٍ </w:t>
      </w:r>
      <w:r>
        <w:rPr>
          <w:rStyle w:val="libFootnotenumChar"/>
          <w:rtl/>
        </w:rPr>
        <w:t>(11)</w:t>
      </w:r>
      <w:r w:rsidRPr="00132E65">
        <w:rPr>
          <w:rtl/>
          <w:lang w:bidi="fa-IR"/>
        </w:rPr>
        <w:t xml:space="preserve"> ؛ فَقُمَّ </w:t>
      </w:r>
      <w:r>
        <w:rPr>
          <w:rStyle w:val="libFootnotenumChar"/>
          <w:rtl/>
        </w:rPr>
        <w:t>(12)</w:t>
      </w:r>
      <w:r w:rsidRPr="00132E65">
        <w:rPr>
          <w:rtl/>
          <w:lang w:bidi="fa-IR"/>
        </w:rPr>
        <w:t xml:space="preserve"> شَوْكُهُنَّ ، ثُمَّ قَالَ </w:t>
      </w:r>
      <w:r w:rsidRPr="00F543F1">
        <w:rPr>
          <w:rStyle w:val="libFootnotenumChar"/>
          <w:rtl/>
        </w:rPr>
        <w:t>(13)</w:t>
      </w:r>
      <w:r w:rsidRPr="00132E65">
        <w:rPr>
          <w:rtl/>
          <w:lang w:bidi="fa-IR"/>
        </w:rPr>
        <w:t xml:space="preserve"> </w:t>
      </w:r>
      <w:r w:rsidRPr="00D85E3D">
        <w:rPr>
          <w:rStyle w:val="libAlaemChar"/>
          <w:rFonts w:eastAsiaTheme="minorHAnsi"/>
          <w:rtl/>
        </w:rPr>
        <w:t>صلى‌الله‌عليه‌وآله</w:t>
      </w:r>
      <w:r w:rsidRPr="00132E65">
        <w:rPr>
          <w:rtl/>
          <w:lang w:bidi="fa-IR"/>
        </w:rPr>
        <w:t xml:space="preserve">: يَا أَيُّهَا النَّاسُ </w:t>
      </w:r>
      <w:r w:rsidRPr="00F543F1">
        <w:rPr>
          <w:rStyle w:val="libFootnotenumChar"/>
          <w:rtl/>
        </w:rPr>
        <w:t>(14)</w:t>
      </w:r>
      <w:r w:rsidRPr="00132E65">
        <w:rPr>
          <w:rtl/>
          <w:lang w:bidi="fa-IR"/>
        </w:rPr>
        <w:t xml:space="preserve"> ، مَنْ ولِيُّكُمْ وأَوْلى بِكُمْ مِنْ أَنْفُسِكُمْ</w:t>
      </w:r>
      <w:r>
        <w:rPr>
          <w:rtl/>
          <w:lang w:bidi="fa-IR"/>
        </w:rPr>
        <w:t>؟</w:t>
      </w:r>
      <w:r w:rsidRPr="00132E65">
        <w:rPr>
          <w:rtl/>
          <w:lang w:bidi="fa-IR"/>
        </w:rPr>
        <w:t xml:space="preserve"> فَقَالُوا : اللهُ ورَسُولُهُ ، فَقَالَ : مَنْ كُنْتُ مَوْلَاهُ فَعَلِيٌّ مَوْلَاهُ ، الل</w:t>
      </w:r>
      <w:r>
        <w:rPr>
          <w:rFonts w:hint="cs"/>
          <w:rtl/>
          <w:lang w:bidi="fa-IR"/>
        </w:rPr>
        <w:t>ّ</w:t>
      </w:r>
      <w:r w:rsidRPr="00132E65">
        <w:rPr>
          <w:rtl/>
          <w:lang w:bidi="fa-IR"/>
        </w:rPr>
        <w:t>هُمَّ والِ مَنْ والَاهُ ، وعَادِ مَنْ عَادَاهُ ؛ ثَلَاثَ مَرَّاتٍ.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النحل (16) : 44.</w:t>
      </w:r>
    </w:p>
    <w:p w:rsidR="000C39D1" w:rsidRPr="00132E65" w:rsidRDefault="000C39D1" w:rsidP="000C39D1">
      <w:pPr>
        <w:pStyle w:val="libFootnote0"/>
        <w:rPr>
          <w:rtl/>
          <w:lang w:bidi="fa-IR"/>
        </w:rPr>
      </w:pPr>
      <w:r>
        <w:rPr>
          <w:rtl/>
        </w:rPr>
        <w:t>(2).</w:t>
      </w:r>
      <w:r w:rsidRPr="00132E65">
        <w:rPr>
          <w:rtl/>
        </w:rPr>
        <w:t xml:space="preserve"> الزخرف (43) : 44. وفي الوسائل : </w:t>
      </w:r>
      <w:r w:rsidRPr="00D85E3D">
        <w:rPr>
          <w:rStyle w:val="libFootnoteAlaemChar"/>
          <w:rtl/>
        </w:rPr>
        <w:t>(</w:t>
      </w:r>
      <w:r>
        <w:rPr>
          <w:rFonts w:hint="cs"/>
          <w:rtl/>
        </w:rPr>
        <w:t xml:space="preserve"> </w:t>
      </w:r>
      <w:r w:rsidRPr="00C2691A">
        <w:rPr>
          <w:rStyle w:val="libFootnoteAieChar"/>
          <w:rtl/>
        </w:rPr>
        <w:t>إِنَّهُ لَذِكْرٌ لَكَ وَلِقَوْمِكَ وَسَوْفَ تُسْئَلُونَ</w:t>
      </w:r>
      <w:r>
        <w:rPr>
          <w:rFonts w:hint="cs"/>
          <w:rtl/>
        </w:rPr>
        <w:t xml:space="preserve"> </w:t>
      </w:r>
      <w:r w:rsidRPr="00D85E3D">
        <w:rPr>
          <w:rStyle w:val="libFootnoteAlaemChar"/>
          <w:rtl/>
        </w:rPr>
        <w:t>)</w:t>
      </w:r>
      <w:r w:rsidRPr="00132E65">
        <w:rPr>
          <w:rtl/>
        </w:rPr>
        <w:t xml:space="preserve">. وقال : </w:t>
      </w:r>
      <w:r w:rsidRPr="00D85E3D">
        <w:rPr>
          <w:rStyle w:val="libFootnoteAlaemChar"/>
          <w:rtl/>
        </w:rPr>
        <w:t>(</w:t>
      </w:r>
      <w:r>
        <w:rPr>
          <w:rFonts w:hint="cs"/>
          <w:rtl/>
        </w:rPr>
        <w:t xml:space="preserve"> </w:t>
      </w:r>
      <w:r w:rsidRPr="00C2691A">
        <w:rPr>
          <w:rStyle w:val="libFootnoteAieChar"/>
          <w:rtl/>
        </w:rPr>
        <w:t>وَأَنْزَلْنا إِلَيْكَ الذِّكْرَ لِتُبَيِّنَ لِلنّاسِ ما نُزِّلَ إِلَيْهِمْ</w:t>
      </w:r>
      <w:r>
        <w:rPr>
          <w:rFonts w:hint="cs"/>
          <w:rtl/>
        </w:rPr>
        <w:t xml:space="preserve"> </w:t>
      </w:r>
      <w:r w:rsidRPr="00D85E3D">
        <w:rPr>
          <w:rStyle w:val="libFootnoteAlaemChar"/>
          <w:rtl/>
        </w:rPr>
        <w:t>)</w:t>
      </w:r>
      <w:r w:rsidRPr="00132E65">
        <w:rPr>
          <w:rtl/>
        </w:rPr>
        <w:t xml:space="preserve"> بدل « وأنزلنا إليك</w:t>
      </w:r>
      <w:r>
        <w:rPr>
          <w:rtl/>
        </w:rPr>
        <w:t xml:space="preserve"> - </w:t>
      </w:r>
      <w:r w:rsidRPr="00132E65">
        <w:rPr>
          <w:rtl/>
        </w:rPr>
        <w:t>إلى تسئلون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النساء </w:t>
            </w:r>
            <w:r>
              <w:rPr>
                <w:rtl/>
              </w:rPr>
              <w:t>(4)</w:t>
            </w:r>
            <w:r w:rsidRPr="00132E65">
              <w:rPr>
                <w:rtl/>
              </w:rPr>
              <w:t xml:space="preserve"> : 59.</w:t>
            </w:r>
          </w:p>
        </w:tc>
        <w:tc>
          <w:tcPr>
            <w:tcW w:w="4006" w:type="dxa"/>
          </w:tcPr>
          <w:p w:rsidR="000C39D1" w:rsidRDefault="000C39D1" w:rsidP="00B53873">
            <w:pPr>
              <w:pStyle w:val="libFootnote0"/>
              <w:rPr>
                <w:rtl/>
              </w:rPr>
            </w:pPr>
            <w:r>
              <w:rPr>
                <w:rtl/>
              </w:rPr>
              <w:t>(4).</w:t>
            </w:r>
            <w:r w:rsidRPr="00132E65">
              <w:rPr>
                <w:rtl/>
              </w:rPr>
              <w:t xml:space="preserve"> في « ج » :</w:t>
            </w:r>
            <w:r>
              <w:rPr>
                <w:rtl/>
              </w:rPr>
              <w:t xml:space="preserve"> + </w:t>
            </w:r>
            <w:r w:rsidRPr="00132E65">
              <w:rPr>
                <w:rtl/>
              </w:rPr>
              <w:t>« الله »</w:t>
            </w:r>
            <w:r>
              <w:rPr>
                <w:rtl/>
              </w:rPr>
              <w:t>.</w:t>
            </w:r>
          </w:p>
        </w:tc>
      </w:tr>
    </w:tbl>
    <w:p w:rsidR="000C39D1" w:rsidRDefault="000C39D1" w:rsidP="000C39D1">
      <w:pPr>
        <w:pStyle w:val="libFootnote0"/>
        <w:rPr>
          <w:rtl/>
        </w:rPr>
      </w:pPr>
      <w:r>
        <w:rPr>
          <w:rtl/>
        </w:rPr>
        <w:t>(5).</w:t>
      </w:r>
      <w:r w:rsidRPr="00132E65">
        <w:rPr>
          <w:rtl/>
        </w:rPr>
        <w:t xml:space="preserve"> هكذا في القرآن </w:t>
      </w:r>
      <w:r>
        <w:rPr>
          <w:rtl/>
        </w:rPr>
        <w:t>و «</w:t>
      </w:r>
      <w:r w:rsidRPr="00132E65">
        <w:rPr>
          <w:rtl/>
        </w:rPr>
        <w:t xml:space="preserve"> ب ، ه‍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والوسائل. وفي أكثر النسخ والمطبوع :</w:t>
      </w:r>
      <w:r>
        <w:rPr>
          <w:rtl/>
        </w:rPr>
        <w:t xml:space="preserve"> + </w:t>
      </w:r>
      <w:r w:rsidRPr="00132E65">
        <w:rPr>
          <w:rtl/>
        </w:rPr>
        <w:t>« إلى الله</w:t>
      </w:r>
      <w:r>
        <w:rPr>
          <w:rtl/>
        </w:rPr>
        <w:t xml:space="preserve"> و ».</w:t>
      </w:r>
      <w:r w:rsidRPr="00132E65">
        <w:rPr>
          <w:rtl/>
        </w:rPr>
        <w:t xml:space="preserve"> قال في </w:t>
      </w:r>
      <w:r w:rsidRPr="00D85E3D">
        <w:rPr>
          <w:rStyle w:val="libFootnoteBoldChar"/>
          <w:rtl/>
        </w:rPr>
        <w:t>المرآة</w:t>
      </w:r>
      <w:r w:rsidRPr="00132E65">
        <w:rPr>
          <w:rtl/>
        </w:rPr>
        <w:t xml:space="preserve"> : « وفي أكثر النسخ : ولو ردّوه إلى الله وإلى الرسول ، فيكون نقلاً بالمعنى ؛ للإشعار بأنّ الردّ إلى الرسول ردّ إلى الله »</w:t>
      </w:r>
      <w:r>
        <w:rPr>
          <w:rtl/>
        </w:rPr>
        <w:t>.</w:t>
      </w:r>
      <w:r>
        <w:rPr>
          <w:rFonts w:hint="cs"/>
          <w:rtl/>
        </w:rPr>
        <w:t xml:space="preserve">                                       </w:t>
      </w:r>
      <w:r>
        <w:rPr>
          <w:rtl/>
        </w:rPr>
        <w:t>(6).</w:t>
      </w:r>
      <w:r w:rsidRPr="00132E65">
        <w:rPr>
          <w:rtl/>
        </w:rPr>
        <w:t xml:space="preserve"> النساء </w:t>
      </w:r>
      <w:r>
        <w:rPr>
          <w:rtl/>
        </w:rPr>
        <w:t>(4) : 83.</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 في «</w:t>
            </w:r>
            <w:r w:rsidRPr="00132E65">
              <w:rPr>
                <w:rtl/>
              </w:rPr>
              <w:t>ف</w:t>
            </w:r>
            <w:r>
              <w:rPr>
                <w:rtl/>
              </w:rPr>
              <w:t>»</w:t>
            </w:r>
            <w:r w:rsidRPr="00132E65">
              <w:rPr>
                <w:rtl/>
              </w:rPr>
              <w:t>: « ا</w:t>
            </w:r>
            <w:r>
              <w:rPr>
                <w:rFonts w:hint="cs"/>
                <w:rtl/>
              </w:rPr>
              <w:t>ُ</w:t>
            </w:r>
            <w:r w:rsidRPr="00132E65">
              <w:rPr>
                <w:rtl/>
              </w:rPr>
              <w:t>مِرَ »</w:t>
            </w:r>
            <w:r>
              <w:rPr>
                <w:rtl/>
              </w:rPr>
              <w:t>.</w:t>
            </w:r>
            <w:r w:rsidRPr="00132E65">
              <w:rPr>
                <w:rtl/>
              </w:rPr>
              <w:t xml:space="preserve"> وفي الوسائل :</w:t>
            </w:r>
            <w:r>
              <w:rPr>
                <w:rtl/>
              </w:rPr>
              <w:t xml:space="preserve"> + </w:t>
            </w:r>
            <w:r w:rsidRPr="00132E65">
              <w:rPr>
                <w:rtl/>
              </w:rPr>
              <w:t>« الله »</w:t>
            </w:r>
            <w:r>
              <w:rPr>
                <w:rtl/>
              </w:rPr>
              <w:t>.</w:t>
            </w:r>
          </w:p>
        </w:tc>
        <w:tc>
          <w:tcPr>
            <w:tcW w:w="4006" w:type="dxa"/>
          </w:tcPr>
          <w:p w:rsidR="000C39D1" w:rsidRDefault="000C39D1" w:rsidP="00B53873">
            <w:pPr>
              <w:pStyle w:val="libFootnote0"/>
              <w:rPr>
                <w:rtl/>
              </w:rPr>
            </w:pPr>
            <w:r>
              <w:rPr>
                <w:rtl/>
              </w:rPr>
              <w:t>(8).</w:t>
            </w:r>
            <w:r w:rsidRPr="00132E65">
              <w:rPr>
                <w:rtl/>
              </w:rPr>
              <w:t xml:space="preserve"> في « ب » والوسائل : « والردّ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المائدة </w:t>
            </w:r>
            <w:r>
              <w:rPr>
                <w:rtl/>
              </w:rPr>
              <w:t>(5)</w:t>
            </w:r>
            <w:r w:rsidRPr="00132E65">
              <w:rPr>
                <w:rtl/>
              </w:rPr>
              <w:t xml:space="preserve"> : 67.</w:t>
            </w:r>
          </w:p>
        </w:tc>
        <w:tc>
          <w:tcPr>
            <w:tcW w:w="4006" w:type="dxa"/>
          </w:tcPr>
          <w:p w:rsidR="000C39D1" w:rsidRDefault="000C39D1" w:rsidP="00B53873">
            <w:pPr>
              <w:pStyle w:val="libFootnote0"/>
              <w:rPr>
                <w:rtl/>
              </w:rPr>
            </w:pPr>
            <w:r>
              <w:rPr>
                <w:rtl/>
              </w:rPr>
              <w:t>(10).</w:t>
            </w:r>
            <w:r w:rsidRPr="00132E65">
              <w:rPr>
                <w:rtl/>
              </w:rPr>
              <w:t xml:space="preserve"> في « ب » : « فأمر »</w:t>
            </w:r>
            <w:r>
              <w:rPr>
                <w:rtl/>
              </w:rPr>
              <w:t>.</w:t>
            </w:r>
          </w:p>
        </w:tc>
      </w:tr>
    </w:tbl>
    <w:p w:rsidR="000C39D1" w:rsidRPr="00132E65" w:rsidRDefault="000C39D1" w:rsidP="000C39D1">
      <w:pPr>
        <w:pStyle w:val="libFootnote0"/>
        <w:rPr>
          <w:rtl/>
          <w:lang w:bidi="fa-IR"/>
        </w:rPr>
      </w:pPr>
      <w:r>
        <w:rPr>
          <w:rtl/>
        </w:rPr>
        <w:t>(11).</w:t>
      </w:r>
      <w:r w:rsidRPr="00132E65">
        <w:rPr>
          <w:rtl/>
        </w:rPr>
        <w:t xml:space="preserve"> « سَمُرات » : جمع سَمُرَة ، وهي من شجر الطَلْح</w:t>
      </w:r>
      <w:r>
        <w:rPr>
          <w:rtl/>
        </w:rPr>
        <w:t xml:space="preserve"> - </w:t>
      </w:r>
      <w:r w:rsidRPr="00132E65">
        <w:rPr>
          <w:rtl/>
        </w:rPr>
        <w:t>وهو شجر عظيم من شجر العِضاه له شوك وليس في العضاه أكثر صمغاً منه</w:t>
      </w:r>
      <w:r>
        <w:rPr>
          <w:rtl/>
        </w:rPr>
        <w:t xml:space="preserve"> - </w:t>
      </w:r>
      <w:r w:rsidRPr="00132E65">
        <w:rPr>
          <w:rtl/>
        </w:rPr>
        <w:t xml:space="preserve">وضرب من العضاه ، وهو جمع عِضاهة وعِضَةٌ وهما كلّ شجر يعظم وله شوك. وقيل : السَمُرَة من الشجر صغار الورق قصار الشوك ، وله بَرَمة صفراء يأكلها الناس ، وليس في العضاه شي‌ء أجود خشباً من السَمُر. راجع : </w:t>
      </w:r>
      <w:r w:rsidRPr="009D1ACE">
        <w:rPr>
          <w:rStyle w:val="libFootnoteBoldChar"/>
          <w:rtl/>
        </w:rPr>
        <w:t>لسان العرب</w:t>
      </w:r>
      <w:r w:rsidRPr="00132E65">
        <w:rPr>
          <w:rtl/>
        </w:rPr>
        <w:t xml:space="preserve"> ، ج 4 ، ص 379 ( سمر )</w:t>
      </w:r>
      <w:r>
        <w:rPr>
          <w:rtl/>
        </w:rPr>
        <w:t>.</w:t>
      </w:r>
    </w:p>
    <w:p w:rsidR="000C39D1" w:rsidRPr="00132E65" w:rsidRDefault="000C39D1" w:rsidP="000C39D1">
      <w:pPr>
        <w:pStyle w:val="libFootnote0"/>
        <w:rPr>
          <w:rtl/>
          <w:lang w:bidi="fa-IR"/>
        </w:rPr>
      </w:pPr>
      <w:r>
        <w:rPr>
          <w:rtl/>
        </w:rPr>
        <w:t>(12).</w:t>
      </w:r>
      <w:r w:rsidRPr="00132E65">
        <w:rPr>
          <w:rtl/>
        </w:rPr>
        <w:t xml:space="preserve"> « فَقُمَّ » ، أي كُنِسَ ، من القُمامة بمعنى الكُناسة. يقال : قَمَّ البيتَ قَمّاً</w:t>
      </w:r>
      <w:r>
        <w:rPr>
          <w:rtl/>
        </w:rPr>
        <w:t xml:space="preserve"> - </w:t>
      </w:r>
      <w:r w:rsidRPr="00132E65">
        <w:rPr>
          <w:rtl/>
        </w:rPr>
        <w:t>من باب قتل</w:t>
      </w:r>
      <w:r>
        <w:rPr>
          <w:rtl/>
        </w:rPr>
        <w:t xml:space="preserve"> - </w:t>
      </w:r>
      <w:r w:rsidRPr="00132E65">
        <w:rPr>
          <w:rtl/>
        </w:rPr>
        <w:t>: كَنَسَهُ. والمراد : ا</w:t>
      </w:r>
      <w:r>
        <w:rPr>
          <w:rFonts w:hint="cs"/>
          <w:rtl/>
        </w:rPr>
        <w:t>ُ</w:t>
      </w:r>
      <w:r w:rsidRPr="00132E65">
        <w:rPr>
          <w:rtl/>
        </w:rPr>
        <w:t xml:space="preserve">زيل. راجع : </w:t>
      </w:r>
      <w:r w:rsidRPr="006A3651">
        <w:rPr>
          <w:rtl/>
        </w:rPr>
        <w:t>المصباح المنير</w:t>
      </w:r>
      <w:r w:rsidRPr="00132E65">
        <w:rPr>
          <w:rtl/>
        </w:rPr>
        <w:t xml:space="preserve"> ، ص 516 ( قمم ) ؛ </w:t>
      </w:r>
      <w:r w:rsidRPr="009D1ACE">
        <w:rPr>
          <w:rStyle w:val="libFootnoteBoldChar"/>
          <w:rtl/>
        </w:rPr>
        <w:t>الوافي</w:t>
      </w:r>
      <w:r w:rsidRPr="00132E65">
        <w:rPr>
          <w:rtl/>
        </w:rPr>
        <w:t xml:space="preserve"> ، ج 2 ، ص 322.</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(13)</w:t>
            </w:r>
            <w:r w:rsidRPr="00132E65">
              <w:rPr>
                <w:rtl/>
              </w:rPr>
              <w:t xml:space="preserve"> في « ج ، بح ، بر » :</w:t>
            </w:r>
            <w:r>
              <w:rPr>
                <w:rtl/>
              </w:rPr>
              <w:t xml:space="preserve"> + </w:t>
            </w:r>
            <w:r w:rsidRPr="00132E65">
              <w:rPr>
                <w:rtl/>
              </w:rPr>
              <w:t>« رسول الله »</w:t>
            </w:r>
            <w:r>
              <w:rPr>
                <w:rtl/>
              </w:rPr>
              <w:t>.</w:t>
            </w:r>
          </w:p>
        </w:tc>
        <w:tc>
          <w:tcPr>
            <w:tcW w:w="4006" w:type="dxa"/>
          </w:tcPr>
          <w:p w:rsidR="000C39D1" w:rsidRDefault="000C39D1" w:rsidP="00B53873">
            <w:pPr>
              <w:pStyle w:val="libFootnote0"/>
              <w:rPr>
                <w:rtl/>
                <w:lang w:bidi="fa-IR"/>
              </w:rPr>
            </w:pPr>
            <w:r>
              <w:rPr>
                <w:rtl/>
              </w:rPr>
              <w:t>(14)</w:t>
            </w:r>
            <w:r w:rsidRPr="00132E65">
              <w:rPr>
                <w:rtl/>
              </w:rPr>
              <w:t xml:space="preserve"> في « ه‍ ، بس ، بف » </w:t>
            </w:r>
            <w:r>
              <w:rPr>
                <w:rtl/>
              </w:rPr>
              <w:t xml:space="preserve">: - </w:t>
            </w:r>
            <w:r w:rsidRPr="00132E65">
              <w:rPr>
                <w:rtl/>
              </w:rPr>
              <w:t>« يا أيّها الناس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فَوَقَعَتْ حَسَكَةُ </w:t>
      </w:r>
      <w:r>
        <w:rPr>
          <w:rStyle w:val="libFootnotenumChar"/>
          <w:rtl/>
        </w:rPr>
        <w:t>(1)</w:t>
      </w:r>
      <w:r w:rsidRPr="00132E65">
        <w:rPr>
          <w:rtl/>
          <w:lang w:bidi="fa-IR"/>
        </w:rPr>
        <w:t xml:space="preserve"> النِّفَاقِ فِي قُلُوبِ الْقَوْمِ ، وقَالُوا : مَا أَنْزَلَ اللهُ</w:t>
      </w:r>
      <w:r>
        <w:rPr>
          <w:rtl/>
          <w:lang w:bidi="fa-IR"/>
        </w:rPr>
        <w:t xml:space="preserve"> - </w:t>
      </w:r>
      <w:r w:rsidRPr="00132E65">
        <w:rPr>
          <w:rtl/>
          <w:lang w:bidi="fa-IR"/>
        </w:rPr>
        <w:t>جَلَّ ذِكْرُهُ</w:t>
      </w:r>
      <w:r>
        <w:rPr>
          <w:rtl/>
          <w:lang w:bidi="fa-IR"/>
        </w:rPr>
        <w:t xml:space="preserve"> - </w:t>
      </w:r>
      <w:r w:rsidRPr="00132E65">
        <w:rPr>
          <w:rtl/>
          <w:lang w:bidi="fa-IR"/>
        </w:rPr>
        <w:t>هذَا عَلى مُحَم</w:t>
      </w:r>
      <w:r>
        <w:rPr>
          <w:rtl/>
          <w:lang w:bidi="fa-IR"/>
        </w:rPr>
        <w:t>َّدٍ قَطُّ ، ومَا يُرِيدُ إِل</w:t>
      </w:r>
      <w:r>
        <w:rPr>
          <w:rFonts w:hint="cs"/>
          <w:rtl/>
          <w:lang w:bidi="fa-IR"/>
        </w:rPr>
        <w:t>َّ</w:t>
      </w:r>
      <w:r>
        <w:rPr>
          <w:rtl/>
          <w:lang w:bidi="fa-IR"/>
        </w:rPr>
        <w:t>ا</w:t>
      </w:r>
      <w:r w:rsidRPr="00132E65">
        <w:rPr>
          <w:rtl/>
          <w:lang w:bidi="fa-IR"/>
        </w:rPr>
        <w:t xml:space="preserve"> أَنْ يَرْفَعَ بِضَبْعِ </w:t>
      </w:r>
      <w:r>
        <w:rPr>
          <w:rStyle w:val="libFootnotenumChar"/>
          <w:rtl/>
        </w:rPr>
        <w:t>(2)</w:t>
      </w:r>
      <w:r w:rsidRPr="00132E65">
        <w:rPr>
          <w:rtl/>
          <w:lang w:bidi="fa-IR"/>
        </w:rPr>
        <w:t xml:space="preserve"> ابْنِ عَمِّهِ.</w:t>
      </w:r>
    </w:p>
    <w:p w:rsidR="000C39D1" w:rsidRPr="00132E65" w:rsidRDefault="000C39D1" w:rsidP="000C39D1">
      <w:pPr>
        <w:pStyle w:val="libNormal"/>
        <w:rPr>
          <w:rtl/>
          <w:lang w:bidi="fa-IR"/>
        </w:rPr>
      </w:pPr>
      <w:r w:rsidRPr="00132E65">
        <w:rPr>
          <w:rtl/>
          <w:lang w:bidi="fa-IR"/>
        </w:rPr>
        <w:t xml:space="preserve">فَلَمَّا قَدِمَ الْمَدِينَةَ ، أَتَتْهُ </w:t>
      </w:r>
      <w:r>
        <w:rPr>
          <w:rStyle w:val="libFootnotenumChar"/>
          <w:rtl/>
        </w:rPr>
        <w:t>(3)</w:t>
      </w:r>
      <w:r w:rsidRPr="00132E65">
        <w:rPr>
          <w:rtl/>
          <w:lang w:bidi="fa-IR"/>
        </w:rPr>
        <w:t xml:space="preserve"> الْأَنْصَارُ ، فَقَالُوا : يَا رَسُولَ اللهِ ، إِنَّ اللهَ</w:t>
      </w:r>
      <w:r>
        <w:rPr>
          <w:rtl/>
          <w:lang w:bidi="fa-IR"/>
        </w:rPr>
        <w:t xml:space="preserve"> - </w:t>
      </w:r>
      <w:r w:rsidRPr="00132E65">
        <w:rPr>
          <w:rtl/>
          <w:lang w:bidi="fa-IR"/>
        </w:rPr>
        <w:t>جَلَّ ذِكْرُهُ</w:t>
      </w:r>
      <w:r>
        <w:rPr>
          <w:rtl/>
          <w:lang w:bidi="fa-IR"/>
        </w:rPr>
        <w:t xml:space="preserve"> - </w:t>
      </w:r>
      <w:r w:rsidRPr="00132E65">
        <w:rPr>
          <w:rtl/>
          <w:lang w:bidi="fa-IR"/>
        </w:rPr>
        <w:t xml:space="preserve">قَدْ أَحْسَنَ إِلَيْنَا ، وشَرَّفَنَا بِكَ وبِنُزُولِكَ </w:t>
      </w:r>
      <w:r>
        <w:rPr>
          <w:rStyle w:val="libFootnotenumChar"/>
          <w:rtl/>
        </w:rPr>
        <w:t>(4)</w:t>
      </w:r>
      <w:r w:rsidRPr="00132E65">
        <w:rPr>
          <w:rtl/>
          <w:lang w:bidi="fa-IR"/>
        </w:rPr>
        <w:t xml:space="preserve"> بَيْنَ ظَهْرَانَيْنَا </w:t>
      </w:r>
      <w:r>
        <w:rPr>
          <w:rStyle w:val="libFootnotenumChar"/>
          <w:rtl/>
        </w:rPr>
        <w:t>(5)</w:t>
      </w:r>
      <w:r w:rsidRPr="00132E65">
        <w:rPr>
          <w:rtl/>
          <w:lang w:bidi="fa-IR"/>
        </w:rPr>
        <w:t xml:space="preserve"> ، فَقَدْ فَرَّحَ اللهُ </w:t>
      </w:r>
      <w:r>
        <w:rPr>
          <w:rStyle w:val="libFootnotenumChar"/>
          <w:rtl/>
        </w:rPr>
        <w:t>(6)</w:t>
      </w:r>
      <w:r w:rsidRPr="00132E65">
        <w:rPr>
          <w:rtl/>
          <w:lang w:bidi="fa-IR"/>
        </w:rPr>
        <w:t xml:space="preserve"> صَدِيقَنَا ، وكَبَتَ </w:t>
      </w:r>
      <w:r>
        <w:rPr>
          <w:rStyle w:val="libFootnotenumChar"/>
          <w:rtl/>
        </w:rPr>
        <w:t>(7)</w:t>
      </w:r>
      <w:r w:rsidRPr="00132E65">
        <w:rPr>
          <w:rtl/>
          <w:lang w:bidi="fa-IR"/>
        </w:rPr>
        <w:t xml:space="preserve"> عَدُوَّنَا ، وقَدْ يَأْتِيكَ وفُودٌ ، فَلَا تَجِدُ مَا تُعْطِيهِمْ ، فَيَشْمَتُ بِكَ الْعَدُوُّ </w:t>
      </w:r>
      <w:r>
        <w:rPr>
          <w:rStyle w:val="libFootnotenumChar"/>
          <w:rtl/>
        </w:rPr>
        <w:t>(8)</w:t>
      </w:r>
      <w:r w:rsidRPr="00132E65">
        <w:rPr>
          <w:rtl/>
          <w:lang w:bidi="fa-IR"/>
        </w:rPr>
        <w:t xml:space="preserve"> ، فَنُحِبُّ أَنْ تَأْخُذَ ثُلُثَ أَمْوَالِنَا حَتّى إِذَا قَدِمَ عَلَيْكَ وفْدُ مَكَّةَ ، وجَدْتَ مَا تُعْطِيهِمْ ، فَلَمْ يَرُدَّ رَسُولُ اللهِ </w:t>
      </w:r>
      <w:r w:rsidRPr="00D87D76">
        <w:rPr>
          <w:rStyle w:val="libAlaemChar"/>
          <w:rFonts w:eastAsiaTheme="minorHAnsi"/>
          <w:rtl/>
        </w:rPr>
        <w:t>صلى‌الله‌عليه‌وآله</w:t>
      </w:r>
      <w:r w:rsidRPr="00132E65">
        <w:rPr>
          <w:rtl/>
          <w:lang w:bidi="fa-IR"/>
        </w:rPr>
        <w:t xml:space="preserve"> عَلَيْهِمْ شَيْئاً ، وكَانَ يَنْتَظِرُ مَا يَأْتِيهِ مِنْ رَبِّهِ ، فَنَزَلَ </w:t>
      </w:r>
      <w:r>
        <w:rPr>
          <w:rStyle w:val="libFootnotenumChar"/>
          <w:rtl/>
        </w:rPr>
        <w:t>(9)</w:t>
      </w:r>
      <w:r w:rsidRPr="00132E65">
        <w:rPr>
          <w:rtl/>
          <w:lang w:bidi="fa-IR"/>
        </w:rPr>
        <w:t xml:space="preserve"> جَبْرَئِيلُ </w:t>
      </w:r>
      <w:r w:rsidRPr="00071CF9">
        <w:rPr>
          <w:rStyle w:val="libAlaemChar"/>
          <w:rtl/>
        </w:rPr>
        <w:t>عليه‌السلام</w:t>
      </w:r>
      <w:r w:rsidRPr="00132E65">
        <w:rPr>
          <w:rtl/>
          <w:lang w:bidi="fa-IR"/>
        </w:rPr>
        <w:t xml:space="preserve"> ، وقَالَ : </w:t>
      </w:r>
      <w:r w:rsidRPr="00071CF9">
        <w:rPr>
          <w:rStyle w:val="libAlaemChar"/>
          <w:rtl/>
        </w:rPr>
        <w:t>(</w:t>
      </w:r>
      <w:r w:rsidRPr="00071CF9">
        <w:rPr>
          <w:rStyle w:val="libAieChar"/>
          <w:rtl/>
        </w:rPr>
        <w:t xml:space="preserve"> قُلْ لا أَسْ</w:t>
      </w:r>
      <w:r>
        <w:rPr>
          <w:rStyle w:val="libAieChar"/>
          <w:rtl/>
        </w:rPr>
        <w:t>ئَلُكُمْ عَلَيْهِ أَجْراً إِل</w:t>
      </w:r>
      <w:r>
        <w:rPr>
          <w:rStyle w:val="libAieChar"/>
          <w:rFonts w:hint="cs"/>
          <w:rtl/>
        </w:rPr>
        <w:t>َّ</w:t>
      </w:r>
      <w:r>
        <w:rPr>
          <w:rStyle w:val="libAieChar"/>
          <w:rtl/>
        </w:rPr>
        <w:t>ا</w:t>
      </w:r>
      <w:r w:rsidRPr="00071CF9">
        <w:rPr>
          <w:rStyle w:val="libAieChar"/>
          <w:rtl/>
        </w:rPr>
        <w:t xml:space="preserve"> الْمَوَدَّةَ فِي الْقُرْبى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 ولَمْ يَقْبَلْ أَمْوَالَهُمْ.</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(11)</w:t>
      </w:r>
      <w:r w:rsidRPr="00132E65">
        <w:rPr>
          <w:rtl/>
          <w:lang w:bidi="fa-IR"/>
        </w:rPr>
        <w:t xml:space="preserve"> الْمُنَافِقُونَ : مَا أَنْزَلَ اللهُ هذَا عَلى</w:t>
      </w:r>
      <w:r>
        <w:rPr>
          <w:rtl/>
          <w:lang w:bidi="fa-IR"/>
        </w:rPr>
        <w:t xml:space="preserve"> مُحَمَّدٍ ، ومَا يُرِيدُ إِل</w:t>
      </w:r>
      <w:r>
        <w:rPr>
          <w:rFonts w:hint="cs"/>
          <w:rtl/>
          <w:lang w:bidi="fa-IR"/>
        </w:rPr>
        <w:t>َّ</w:t>
      </w:r>
      <w:r>
        <w:rPr>
          <w:rtl/>
          <w:lang w:bidi="fa-IR"/>
        </w:rPr>
        <w:t>ا</w:t>
      </w:r>
      <w:r w:rsidRPr="00132E65">
        <w:rPr>
          <w:rtl/>
          <w:lang w:bidi="fa-IR"/>
        </w:rPr>
        <w:t xml:space="preserve"> أَنْ يَرْفَعَ بِضَبْعِ ابْنِ‌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الحَسَكَةُ » : واحدة الحَسَك ، وهي نبات تَعْلَق ثمرته بصوف الغنم ، ورَقُه كورق الرِجْلَة وأدقّ ، وعند ورَقه‌</w:t>
      </w:r>
      <w:r>
        <w:rPr>
          <w:rFonts w:hint="cs"/>
          <w:rtl/>
        </w:rPr>
        <w:t xml:space="preserve"> </w:t>
      </w:r>
      <w:r w:rsidRPr="00132E65">
        <w:rPr>
          <w:rtl/>
        </w:rPr>
        <w:t xml:space="preserve">شوك مُلَزَّز صُلْب ذو ثلاثة شعب ، وله ثمر شربه يفتّت حَصَى الكليتين والمثانة. والحَسَك أيضاً : الحقد والعداوة. </w:t>
      </w:r>
      <w:r w:rsidRPr="006A3651">
        <w:rPr>
          <w:rtl/>
        </w:rPr>
        <w:t>القاموس المحيط</w:t>
      </w:r>
      <w:r w:rsidRPr="00132E65">
        <w:rPr>
          <w:rtl/>
        </w:rPr>
        <w:t xml:space="preserve"> ، ج 2 ، ص 1240 ( حسك )</w:t>
      </w:r>
      <w:r>
        <w:rPr>
          <w:rtl/>
        </w:rPr>
        <w:t>.</w:t>
      </w:r>
    </w:p>
    <w:p w:rsidR="000C39D1" w:rsidRPr="00132E65" w:rsidRDefault="000C39D1" w:rsidP="000C39D1">
      <w:pPr>
        <w:pStyle w:val="libFootnote0"/>
        <w:rPr>
          <w:rtl/>
          <w:lang w:bidi="fa-IR"/>
        </w:rPr>
      </w:pPr>
      <w:r>
        <w:rPr>
          <w:rtl/>
        </w:rPr>
        <w:t>(2).</w:t>
      </w:r>
      <w:r w:rsidRPr="00132E65">
        <w:rPr>
          <w:rtl/>
        </w:rPr>
        <w:t xml:space="preserve"> « الضَبْعُ » : العَضُد كلّها ، أو وسطها بلحمها ، أو الإبط ، أو ما بين الإبط إلى نصف العضد من أعلاه. </w:t>
      </w:r>
      <w:r w:rsidRPr="006A3651">
        <w:rPr>
          <w:rtl/>
        </w:rPr>
        <w:t>القاموس المحيط</w:t>
      </w:r>
      <w:r w:rsidRPr="00132E65">
        <w:rPr>
          <w:rtl/>
        </w:rPr>
        <w:t xml:space="preserve"> ، ج 2 ، ص 992 ( ضبع )</w:t>
      </w:r>
      <w:r>
        <w:rPr>
          <w:rtl/>
        </w:rPr>
        <w:t>.</w:t>
      </w:r>
    </w:p>
    <w:p w:rsidR="000C39D1" w:rsidRPr="00132E65" w:rsidRDefault="000C39D1" w:rsidP="000C39D1">
      <w:pPr>
        <w:pStyle w:val="libFootnote0"/>
        <w:rPr>
          <w:rtl/>
          <w:lang w:bidi="fa-IR"/>
        </w:rPr>
      </w:pPr>
      <w:r>
        <w:rPr>
          <w:rtl/>
        </w:rPr>
        <w:t>(3).</w:t>
      </w:r>
      <w:r w:rsidRPr="00132E65">
        <w:rPr>
          <w:rtl/>
        </w:rPr>
        <w:t xml:space="preserve"> في « ف » : « وأتته »</w:t>
      </w:r>
      <w:r>
        <w:rPr>
          <w:rtl/>
        </w:rPr>
        <w:t>.</w:t>
      </w:r>
      <w:r w:rsidRPr="00132E65">
        <w:rPr>
          <w:rtl/>
        </w:rPr>
        <w:t xml:space="preserve"> وفي « بح » : « وأتت »</w:t>
      </w:r>
      <w:r>
        <w:rPr>
          <w:rtl/>
        </w:rPr>
        <w:t>.</w:t>
      </w:r>
    </w:p>
    <w:p w:rsidR="000C39D1" w:rsidRPr="00132E65" w:rsidRDefault="000C39D1" w:rsidP="000C39D1">
      <w:pPr>
        <w:pStyle w:val="libFootnote0"/>
        <w:rPr>
          <w:rtl/>
          <w:lang w:bidi="fa-IR"/>
        </w:rPr>
      </w:pPr>
      <w:r>
        <w:rPr>
          <w:rtl/>
        </w:rPr>
        <w:t>(4).</w:t>
      </w:r>
      <w:r w:rsidRPr="00132E65">
        <w:rPr>
          <w:rtl/>
        </w:rPr>
        <w:t xml:space="preserve"> في « ف » : « نزولك »</w:t>
      </w:r>
      <w:r>
        <w:rPr>
          <w:rtl/>
        </w:rPr>
        <w:t>.</w:t>
      </w:r>
    </w:p>
    <w:p w:rsidR="000C39D1" w:rsidRPr="00132E65" w:rsidRDefault="000C39D1" w:rsidP="000C39D1">
      <w:pPr>
        <w:pStyle w:val="libFootnote0"/>
        <w:rPr>
          <w:rtl/>
          <w:lang w:bidi="fa-IR"/>
        </w:rPr>
      </w:pPr>
      <w:r>
        <w:rPr>
          <w:rtl/>
        </w:rPr>
        <w:t>(5).</w:t>
      </w:r>
      <w:r w:rsidRPr="00132E65">
        <w:rPr>
          <w:rtl/>
        </w:rPr>
        <w:t xml:space="preserve"> « بَيْنَ ظَهْرانَيْنا » ، المراد بها أنّه </w:t>
      </w:r>
      <w:r w:rsidRPr="00D87D76">
        <w:rPr>
          <w:rStyle w:val="libFootnoteAlaemChar"/>
          <w:rFonts w:eastAsiaTheme="minorHAnsi"/>
          <w:rtl/>
        </w:rPr>
        <w:t>صلى‌الله‌عليه‌وآله</w:t>
      </w:r>
      <w:r w:rsidRPr="00132E65">
        <w:rPr>
          <w:rtl/>
        </w:rPr>
        <w:t xml:space="preserve"> أقام بينهم على سبيل الاستظهار والاستناد إليهم. زيدت فيه ألف ونون مفتوحة للتأكيد. ومعناه : كأنّ ظهراً منّا قدّامك وظهراً منّا وراءك فأنت مكنوف من جانبيك ومن جوانبك</w:t>
      </w:r>
      <w:r>
        <w:rPr>
          <w:rtl/>
        </w:rPr>
        <w:t xml:space="preserve"> - </w:t>
      </w:r>
      <w:r w:rsidRPr="00132E65">
        <w:rPr>
          <w:rtl/>
        </w:rPr>
        <w:t>إذا قيل : بين أظْهُرِنا</w:t>
      </w:r>
      <w:r>
        <w:rPr>
          <w:rtl/>
        </w:rPr>
        <w:t xml:space="preserve"> - </w:t>
      </w:r>
      <w:r w:rsidRPr="00132E65">
        <w:rPr>
          <w:rtl/>
        </w:rPr>
        <w:t xml:space="preserve">ثمّ كثر حتّى استعمل في الإقامة بين القوم مطلقاً. راجع : </w:t>
      </w:r>
      <w:r w:rsidRPr="006A3651">
        <w:rPr>
          <w:rtl/>
        </w:rPr>
        <w:t>النهاية</w:t>
      </w:r>
      <w:r w:rsidRPr="00132E65">
        <w:rPr>
          <w:rtl/>
        </w:rPr>
        <w:t xml:space="preserve"> ، ج 3 ، ص 166 ( ظهر )</w:t>
      </w:r>
      <w:r>
        <w:rPr>
          <w:rtl/>
        </w:rPr>
        <w:t>.</w:t>
      </w:r>
    </w:p>
    <w:p w:rsidR="000C39D1" w:rsidRPr="00132E65" w:rsidRDefault="000C39D1" w:rsidP="000C39D1">
      <w:pPr>
        <w:pStyle w:val="libFootnote0"/>
        <w:rPr>
          <w:rtl/>
          <w:lang w:bidi="fa-IR"/>
        </w:rPr>
      </w:pPr>
      <w:r>
        <w:rPr>
          <w:rtl/>
        </w:rPr>
        <w:t>(6).</w:t>
      </w:r>
      <w:r w:rsidRPr="00132E65">
        <w:rPr>
          <w:rtl/>
        </w:rPr>
        <w:t xml:space="preserve"> في « ج »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(7).</w:t>
      </w:r>
      <w:r w:rsidRPr="00132E65">
        <w:rPr>
          <w:rtl/>
        </w:rPr>
        <w:t xml:space="preserve"> في « ه‍ » : « كبّب »</w:t>
      </w:r>
      <w:r>
        <w:rPr>
          <w:rtl/>
        </w:rPr>
        <w:t>.</w:t>
      </w:r>
      <w:r w:rsidRPr="00132E65">
        <w:rPr>
          <w:rtl/>
        </w:rPr>
        <w:t xml:space="preserve"> وفي « ف » : « كبّ »</w:t>
      </w:r>
      <w:r>
        <w:rPr>
          <w:rtl/>
        </w:rPr>
        <w:t>.</w:t>
      </w:r>
      <w:r w:rsidRPr="00132E65">
        <w:rPr>
          <w:rtl/>
        </w:rPr>
        <w:t xml:space="preserve"> وظاهر الشروح : « كَبَتَ » ، من باب ضرب ، من الكَبْت بمعنى الصرف والإذلال. يقال : كَبَتَ الله العدوَّ ، أي صرفه وأذلّه ، وكَبَتَهُ لوجهه ، أي صرعه. وهو الموافق لما في اللغة. راجع : </w:t>
      </w:r>
      <w:r w:rsidRPr="006A3651">
        <w:rPr>
          <w:rtl/>
        </w:rPr>
        <w:t>الصحاح</w:t>
      </w:r>
      <w:r w:rsidRPr="00132E65">
        <w:rPr>
          <w:rtl/>
        </w:rPr>
        <w:t xml:space="preserve"> ، ج 1 ، ص 262 ( كبت )</w:t>
      </w:r>
      <w:r>
        <w:rPr>
          <w:rtl/>
        </w:rPr>
        <w:t>.</w:t>
      </w:r>
    </w:p>
    <w:p w:rsidR="000C39D1" w:rsidRPr="00132E65" w:rsidRDefault="000C39D1" w:rsidP="000C39D1">
      <w:pPr>
        <w:pStyle w:val="libFootnote0"/>
        <w:rPr>
          <w:rtl/>
          <w:lang w:bidi="fa-IR"/>
        </w:rPr>
      </w:pPr>
      <w:r>
        <w:rPr>
          <w:rtl/>
        </w:rPr>
        <w:t>(8).</w:t>
      </w:r>
      <w:r w:rsidRPr="00132E65">
        <w:rPr>
          <w:rtl/>
        </w:rPr>
        <w:t xml:space="preserve"> « فيشمت بك العدوّ » ، أي يفرح ببليّتك ، من الشَماتَة ، وهو الفرح ببليّة العدوّ. راجع : </w:t>
      </w:r>
      <w:r w:rsidRPr="006A3651">
        <w:rPr>
          <w:rtl/>
        </w:rPr>
        <w:t>الصحاح</w:t>
      </w:r>
      <w:r w:rsidRPr="00132E65">
        <w:rPr>
          <w:rtl/>
        </w:rPr>
        <w:t xml:space="preserve"> ، ج 1 ، ص 255 ( شمت )</w:t>
      </w:r>
      <w:r>
        <w:rPr>
          <w:rtl/>
        </w:rPr>
        <w:t>.</w:t>
      </w:r>
      <w:r>
        <w:rPr>
          <w:rFonts w:hint="cs"/>
          <w:rtl/>
        </w:rPr>
        <w:t xml:space="preserve">                             </w:t>
      </w:r>
      <w:r w:rsidR="007437BB">
        <w:rPr>
          <w:rFonts w:hint="cs"/>
          <w:rtl/>
        </w:rPr>
        <w:t xml:space="preserve">         </w:t>
      </w:r>
      <w:r>
        <w:rPr>
          <w:rFonts w:hint="cs"/>
          <w:rtl/>
        </w:rPr>
        <w:t xml:space="preserve">        </w:t>
      </w:r>
      <w:r>
        <w:rPr>
          <w:rtl/>
        </w:rPr>
        <w:t>(9).في«ض، ف، بح ، بر ، بس ، بف</w:t>
      </w:r>
      <w:r w:rsidRPr="00132E65">
        <w:rPr>
          <w:rtl/>
        </w:rPr>
        <w:t>» و</w:t>
      </w:r>
      <w:r w:rsidRPr="009D1ACE">
        <w:rPr>
          <w:rStyle w:val="libFootnoteBoldChar"/>
          <w:rtl/>
        </w:rPr>
        <w:t>الوافي</w:t>
      </w:r>
      <w:r w:rsidRPr="00132E65">
        <w:rPr>
          <w:rtl/>
        </w:rPr>
        <w:t>:</w:t>
      </w:r>
      <w:r>
        <w:rPr>
          <w:rtl/>
        </w:rPr>
        <w:t>+«عليه</w:t>
      </w:r>
      <w:r w:rsidRPr="00132E65">
        <w:rPr>
          <w:rtl/>
        </w:rPr>
        <w:t>»</w:t>
      </w:r>
      <w:r>
        <w:rPr>
          <w:rtl/>
        </w:rPr>
        <w:t>.</w:t>
      </w:r>
    </w:p>
    <w:tbl>
      <w:tblPr>
        <w:tblStyle w:val="TableGrid"/>
        <w:bidiVisual/>
        <w:tblW w:w="0" w:type="auto"/>
        <w:tblLook w:val="04A0" w:firstRow="1" w:lastRow="0" w:firstColumn="1" w:lastColumn="0" w:noHBand="0" w:noVBand="1"/>
      </w:tblPr>
      <w:tblGrid>
        <w:gridCol w:w="3801"/>
        <w:gridCol w:w="4211"/>
      </w:tblGrid>
      <w:tr w:rsidR="000C39D1" w:rsidTr="00B53873">
        <w:tc>
          <w:tcPr>
            <w:tcW w:w="3801" w:type="dxa"/>
          </w:tcPr>
          <w:p w:rsidR="000C39D1" w:rsidRDefault="000C39D1" w:rsidP="00B53873">
            <w:pPr>
              <w:pStyle w:val="libFootnote0"/>
              <w:rPr>
                <w:rtl/>
              </w:rPr>
            </w:pPr>
            <w:r>
              <w:rPr>
                <w:rtl/>
              </w:rPr>
              <w:t>(10).</w:t>
            </w:r>
            <w:r w:rsidRPr="00132E65">
              <w:rPr>
                <w:rtl/>
              </w:rPr>
              <w:t xml:space="preserve"> الشورى (42) : 23.</w:t>
            </w:r>
          </w:p>
        </w:tc>
        <w:tc>
          <w:tcPr>
            <w:tcW w:w="4211" w:type="dxa"/>
          </w:tcPr>
          <w:p w:rsidR="000C39D1" w:rsidRDefault="000C39D1" w:rsidP="00B53873">
            <w:pPr>
              <w:pStyle w:val="libFootnote0"/>
              <w:rPr>
                <w:rtl/>
              </w:rPr>
            </w:pPr>
            <w:r>
              <w:rPr>
                <w:rtl/>
              </w:rPr>
              <w:t>(11).</w:t>
            </w:r>
            <w:r w:rsidRPr="00132E65">
              <w:rPr>
                <w:rtl/>
              </w:rPr>
              <w:t xml:space="preserve"> في « ه‍ » : « قال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عَمِّهِ ، ويَحْمِلَ عَلَيْنَا أَهْلَ بَيْتِهِ ، يَقُولُ أَمْسِ : مَنْ كُنْتُ مَوْلَاهُ فَعَلِيٌّ مَوْلَاهُ ، والْيَوْمَ </w:t>
      </w:r>
      <w:r>
        <w:rPr>
          <w:rStyle w:val="libFootnotenumChar"/>
          <w:rtl/>
        </w:rPr>
        <w:t>(1)</w:t>
      </w:r>
      <w:r w:rsidRPr="00132E65">
        <w:rPr>
          <w:rtl/>
          <w:lang w:bidi="fa-IR"/>
        </w:rPr>
        <w:t xml:space="preserve"> :</w:t>
      </w:r>
      <w:r>
        <w:rPr>
          <w:rFonts w:hint="cs"/>
          <w:rtl/>
          <w:lang w:bidi="fa-IR"/>
        </w:rPr>
        <w:t xml:space="preserve"> </w:t>
      </w:r>
      <w:r w:rsidRPr="00071CF9">
        <w:rPr>
          <w:rStyle w:val="libAlaemChar"/>
          <w:rtl/>
        </w:rPr>
        <w:t>(</w:t>
      </w:r>
      <w:r w:rsidRPr="00071CF9">
        <w:rPr>
          <w:rStyle w:val="libAieChar"/>
          <w:rtl/>
        </w:rPr>
        <w:t xml:space="preserve"> قُلْ لا أَسْ</w:t>
      </w:r>
      <w:r>
        <w:rPr>
          <w:rStyle w:val="libAieChar"/>
          <w:rtl/>
        </w:rPr>
        <w:t>ئَلُكُمْ عَلَيْهِ أَجْراً إِل</w:t>
      </w:r>
      <w:r>
        <w:rPr>
          <w:rStyle w:val="libAieChar"/>
          <w:rFonts w:hint="cs"/>
          <w:rtl/>
        </w:rPr>
        <w:t>َّ</w:t>
      </w:r>
      <w:r>
        <w:rPr>
          <w:rStyle w:val="libAieChar"/>
          <w:rtl/>
        </w:rPr>
        <w:t>ا</w:t>
      </w:r>
      <w:r w:rsidRPr="00071CF9">
        <w:rPr>
          <w:rStyle w:val="libAieChar"/>
          <w:rtl/>
        </w:rPr>
        <w:t xml:space="preserve"> الْمَوَدَّةَ فِي الْقُرْبى </w:t>
      </w:r>
      <w:r w:rsidRPr="00071CF9">
        <w:rPr>
          <w:rStyle w:val="libAlaemChar"/>
          <w:rtl/>
        </w:rPr>
        <w:t>)</w:t>
      </w:r>
      <w:r w:rsidRPr="00132E65">
        <w:rPr>
          <w:rtl/>
          <w:lang w:bidi="fa-IR"/>
        </w:rPr>
        <w:t xml:space="preserve"> ، ثُمَّ نَزَلَ عَلَيْهِ آيَةُ الْخُمُسِ ، فَقَالُوا : يُرِيدُ أَنْ يُعْطِيَهُمْ </w:t>
      </w:r>
      <w:r>
        <w:rPr>
          <w:rStyle w:val="libFootnotenumChar"/>
          <w:rtl/>
        </w:rPr>
        <w:t>(2)</w:t>
      </w:r>
      <w:r w:rsidRPr="00132E65">
        <w:rPr>
          <w:rtl/>
          <w:lang w:bidi="fa-IR"/>
        </w:rPr>
        <w:t xml:space="preserve"> أَمْوَالَنَا وفَيْئَنَا </w:t>
      </w:r>
      <w:r>
        <w:rPr>
          <w:rStyle w:val="libFootnotenumChar"/>
          <w:rtl/>
        </w:rPr>
        <w:t>(3)</w:t>
      </w:r>
      <w:r w:rsidRPr="001C19BE">
        <w:rPr>
          <w:rStyle w:val="libNormalChar"/>
          <w:rFonts w:hint="cs"/>
          <w:rtl/>
        </w:rPr>
        <w:t>.</w:t>
      </w:r>
    </w:p>
    <w:p w:rsidR="000C39D1" w:rsidRPr="00132E65" w:rsidRDefault="000C39D1" w:rsidP="000C39D1">
      <w:pPr>
        <w:pStyle w:val="libNormal"/>
        <w:rPr>
          <w:rtl/>
          <w:lang w:bidi="fa-IR"/>
        </w:rPr>
      </w:pPr>
      <w:r w:rsidRPr="00132E65">
        <w:rPr>
          <w:rtl/>
          <w:lang w:bidi="fa-IR"/>
        </w:rPr>
        <w:t xml:space="preserve">ثُمَّ أَتَاهُ جَبْرَئِيلُ ، فَقَالَ : يَا مُحَمَّدُ ، إِنَّكَ قَدْ قَضَيْتَ </w:t>
      </w:r>
      <w:r>
        <w:rPr>
          <w:rStyle w:val="libFootnotenumChar"/>
          <w:rtl/>
        </w:rPr>
        <w:t>(4)</w:t>
      </w:r>
      <w:r w:rsidRPr="00132E65">
        <w:rPr>
          <w:rtl/>
          <w:lang w:bidi="fa-IR"/>
        </w:rPr>
        <w:t xml:space="preserve"> نُبُوَّتَكَ ، واسْتَكْمَلْتَ أَيَّامَكَ ، فَاجْعَلِ الِاسْمَ الْأَكْبَرَ ومِيرَاثَ الْعِلْمِ وآثَارَ عِلْمِ النُّبُوَّةِ عِنْدَ عَلِيٍّ ؛ فَإِنِّ</w:t>
      </w:r>
      <w:r>
        <w:rPr>
          <w:rtl/>
          <w:lang w:bidi="fa-IR"/>
        </w:rPr>
        <w:t>ي لَمْ أَتْرُكِ الْأَرْضَ إِل</w:t>
      </w:r>
      <w:r>
        <w:rPr>
          <w:rFonts w:hint="cs"/>
          <w:rtl/>
          <w:lang w:bidi="fa-IR"/>
        </w:rPr>
        <w:t>َّ</w:t>
      </w:r>
      <w:r>
        <w:rPr>
          <w:rtl/>
          <w:lang w:bidi="fa-IR"/>
        </w:rPr>
        <w:t>ا</w:t>
      </w:r>
      <w:r w:rsidRPr="00132E65">
        <w:rPr>
          <w:rtl/>
          <w:lang w:bidi="fa-IR"/>
        </w:rPr>
        <w:t xml:space="preserve"> وَلِيَ فِيهَا عَالِمٌ تُعْرَفُ </w:t>
      </w:r>
      <w:r>
        <w:rPr>
          <w:rStyle w:val="libFootnotenumChar"/>
          <w:rtl/>
        </w:rPr>
        <w:t>(5)</w:t>
      </w:r>
      <w:r w:rsidRPr="00132E65">
        <w:rPr>
          <w:rtl/>
          <w:lang w:bidi="fa-IR"/>
        </w:rPr>
        <w:t xml:space="preserve"> بِهِ طَاعَتِي ، وتُعْرَفُ بِهِ ولَايَتِي </w:t>
      </w:r>
      <w:r>
        <w:rPr>
          <w:rStyle w:val="libFootnotenumChar"/>
          <w:rtl/>
        </w:rPr>
        <w:t>(6)</w:t>
      </w:r>
      <w:r w:rsidRPr="00132E65">
        <w:rPr>
          <w:rtl/>
          <w:lang w:bidi="fa-IR"/>
        </w:rPr>
        <w:t xml:space="preserve"> ، ويَكُونُ حُجَّةً لِمَنْ يُولَدُ بَيْنَ قَبْضِ النَّبِيِّ إِلى خُرُوجِ النَّبِيِّ الْآخَرِ ، قَالَ : فَأَوْصى إِلَيْهِ بِالِاسْمِ الْأَكْبَرِ ومِيرَاثِ الْعِلْمِ وَآثَارِ عِلْمِ النُّبُوَّةِ </w:t>
      </w:r>
      <w:r>
        <w:rPr>
          <w:rStyle w:val="libFootnotenumChar"/>
          <w:rtl/>
        </w:rPr>
        <w:t>(7)</w:t>
      </w:r>
      <w:r w:rsidRPr="00132E65">
        <w:rPr>
          <w:rtl/>
          <w:lang w:bidi="fa-IR"/>
        </w:rPr>
        <w:t xml:space="preserve"> ، و</w:t>
      </w:r>
      <w:r>
        <w:rPr>
          <w:rFonts w:hint="cs"/>
          <w:rtl/>
          <w:lang w:bidi="fa-IR"/>
        </w:rPr>
        <w:t>َ</w:t>
      </w:r>
      <w:r w:rsidRPr="00132E65">
        <w:rPr>
          <w:rtl/>
          <w:lang w:bidi="fa-IR"/>
        </w:rPr>
        <w:t xml:space="preserve">أَوْصى إِلَيْهِ بِأَلْفِ كَلِمَةٍ وأَلْفِ بَابٍ ، يَفْتَحُ </w:t>
      </w:r>
      <w:r>
        <w:rPr>
          <w:rStyle w:val="libFootnotenumChar"/>
          <w:rtl/>
        </w:rPr>
        <w:t>(8)</w:t>
      </w:r>
      <w:r w:rsidRPr="00132E65">
        <w:rPr>
          <w:rtl/>
          <w:lang w:bidi="fa-IR"/>
        </w:rPr>
        <w:t xml:space="preserve"> كُلُّ كَلِمَةٍ وكُلُّ بَابٍ أَلْفَ كَلِمَةٍ وأَلْفَ بَابٍ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ف »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(2).</w:t>
            </w:r>
            <w:r w:rsidRPr="00132E65">
              <w:rPr>
                <w:rtl/>
              </w:rPr>
              <w:t xml:space="preserve"> </w:t>
            </w:r>
            <w:r w:rsidRPr="001C19BE">
              <w:rPr>
                <w:rtl/>
              </w:rPr>
              <w:t>في الوافي</w:t>
            </w:r>
            <w:r w:rsidRPr="00132E65">
              <w:rPr>
                <w:rtl/>
              </w:rPr>
              <w:t xml:space="preserve"> : « نعطيهم »</w:t>
            </w:r>
            <w:r>
              <w:rPr>
                <w:rtl/>
              </w:rPr>
              <w:t>.</w:t>
            </w:r>
          </w:p>
        </w:tc>
      </w:tr>
    </w:tbl>
    <w:p w:rsidR="000C39D1" w:rsidRPr="00132E65" w:rsidRDefault="000C39D1" w:rsidP="000C39D1">
      <w:pPr>
        <w:pStyle w:val="libFootnote0"/>
        <w:rPr>
          <w:rtl/>
          <w:lang w:bidi="fa-IR"/>
        </w:rPr>
      </w:pPr>
      <w:r>
        <w:rPr>
          <w:rtl/>
        </w:rPr>
        <w:t>(3).</w:t>
      </w:r>
      <w:r w:rsidRPr="00132E65">
        <w:rPr>
          <w:rtl/>
        </w:rPr>
        <w:t xml:space="preserve"> « الفَي‌ءُ » : هو ما حصل للمسلمين من أموال الكفّار من غير حَرْب ولا جهاد وأصل الفي‌ء : الرجوع ، يقال : فاء يفي ، فِئَةً وفُيُوءًاً ، كأنّه كان في الأصل لهم فرجع. </w:t>
      </w:r>
      <w:r w:rsidRPr="006A3651">
        <w:rPr>
          <w:rtl/>
        </w:rPr>
        <w:t>النهاية</w:t>
      </w:r>
      <w:r w:rsidRPr="00132E65">
        <w:rPr>
          <w:rtl/>
        </w:rPr>
        <w:t xml:space="preserve"> ، ج 3 ، ص 482 ( فيأ )</w:t>
      </w:r>
      <w:r>
        <w:rPr>
          <w:rtl/>
        </w:rPr>
        <w:t>.</w:t>
      </w:r>
    </w:p>
    <w:p w:rsidR="000C39D1" w:rsidRPr="00132E65" w:rsidRDefault="000C39D1" w:rsidP="000C39D1">
      <w:pPr>
        <w:pStyle w:val="libFootnote0"/>
        <w:rPr>
          <w:rtl/>
          <w:lang w:bidi="fa-IR"/>
        </w:rPr>
      </w:pPr>
      <w:r>
        <w:rPr>
          <w:rtl/>
        </w:rPr>
        <w:t>(4).</w:t>
      </w:r>
      <w:r w:rsidRPr="00132E65">
        <w:rPr>
          <w:rtl/>
        </w:rPr>
        <w:t xml:space="preserve"> قال ابن الأثير : « القضاء ، أصله القطع والفصل. يقال : قضى يَقْضي قضاءً فهو قاض ، إذا حكم وفصل. وقضاء</w:t>
      </w:r>
      <w:r>
        <w:rPr>
          <w:rFonts w:hint="cs"/>
          <w:rtl/>
        </w:rPr>
        <w:t xml:space="preserve"> </w:t>
      </w:r>
      <w:r w:rsidRPr="00132E65">
        <w:rPr>
          <w:rtl/>
        </w:rPr>
        <w:t>الشي‌ء إحكامه وإمضاؤه والفراغ منه »</w:t>
      </w:r>
      <w:r>
        <w:rPr>
          <w:rtl/>
        </w:rPr>
        <w:t>.</w:t>
      </w:r>
      <w:r w:rsidRPr="00132E65">
        <w:rPr>
          <w:rtl/>
        </w:rPr>
        <w:t xml:space="preserve"> </w:t>
      </w:r>
      <w:r w:rsidRPr="006A3651">
        <w:rPr>
          <w:rtl/>
        </w:rPr>
        <w:t>النهاية</w:t>
      </w:r>
      <w:r w:rsidRPr="00132E65">
        <w:rPr>
          <w:rtl/>
        </w:rPr>
        <w:t xml:space="preserve"> ، ج 4 ، ص 78 ( قضا )</w:t>
      </w:r>
      <w:r>
        <w:rPr>
          <w:rtl/>
        </w:rPr>
        <w:t>.</w:t>
      </w:r>
    </w:p>
    <w:p w:rsidR="000C39D1" w:rsidRPr="00132E65" w:rsidRDefault="000C39D1" w:rsidP="000C39D1">
      <w:pPr>
        <w:pStyle w:val="libFootnote0"/>
        <w:rPr>
          <w:rtl/>
          <w:lang w:bidi="fa-IR"/>
        </w:rPr>
      </w:pPr>
      <w:r>
        <w:rPr>
          <w:rtl/>
        </w:rPr>
        <w:t>(5).</w:t>
      </w:r>
      <w:r w:rsidRPr="00132E65">
        <w:rPr>
          <w:rtl/>
        </w:rPr>
        <w:t xml:space="preserve"> في « ف ، بف » والبصائر ، ص 469 : « يعرف »</w:t>
      </w:r>
      <w:r>
        <w:rPr>
          <w:rtl/>
        </w:rPr>
        <w:t>.</w:t>
      </w:r>
    </w:p>
    <w:p w:rsidR="000C39D1" w:rsidRPr="00132E65" w:rsidRDefault="000C39D1" w:rsidP="000C39D1">
      <w:pPr>
        <w:pStyle w:val="libFootnote0"/>
        <w:rPr>
          <w:rtl/>
          <w:lang w:bidi="fa-IR"/>
        </w:rPr>
      </w:pPr>
      <w:r>
        <w:rPr>
          <w:rtl/>
        </w:rPr>
        <w:t>(6).</w:t>
      </w:r>
      <w:r w:rsidRPr="00132E65">
        <w:rPr>
          <w:rtl/>
        </w:rPr>
        <w:t xml:space="preserve"> « الوِلاية » </w:t>
      </w:r>
      <w:r>
        <w:rPr>
          <w:rtl/>
        </w:rPr>
        <w:t>و «</w:t>
      </w:r>
      <w:r w:rsidRPr="00132E65">
        <w:rPr>
          <w:rtl/>
        </w:rPr>
        <w:t xml:space="preserve"> الوَلاية » ، نحوُ الدِلالة والدَلالة ، وحقيقته تولّي الأمر. </w:t>
      </w:r>
      <w:r w:rsidRPr="006A3651">
        <w:rPr>
          <w:rtl/>
        </w:rPr>
        <w:t>المفردات</w:t>
      </w:r>
      <w:r w:rsidRPr="00132E65">
        <w:rPr>
          <w:rtl/>
        </w:rPr>
        <w:t xml:space="preserve"> للراغب ، ص 885 ( ولى )</w:t>
      </w:r>
      <w:r>
        <w:rPr>
          <w:rtl/>
        </w:rPr>
        <w:t>.</w:t>
      </w:r>
    </w:p>
    <w:p w:rsidR="000C39D1" w:rsidRPr="00132E65" w:rsidRDefault="000C39D1" w:rsidP="000C39D1">
      <w:pPr>
        <w:pStyle w:val="libFootnote0"/>
        <w:rPr>
          <w:rtl/>
          <w:lang w:bidi="fa-IR"/>
        </w:rPr>
      </w:pPr>
      <w:r>
        <w:rPr>
          <w:rtl/>
        </w:rPr>
        <w:t>(7).</w:t>
      </w:r>
      <w:r w:rsidRPr="00132E65">
        <w:rPr>
          <w:rtl/>
        </w:rPr>
        <w:t xml:space="preserve"> في البصائر ، ص 469 :</w:t>
      </w:r>
      <w:r>
        <w:rPr>
          <w:rtl/>
        </w:rPr>
        <w:t xml:space="preserve"> + </w:t>
      </w:r>
      <w:r w:rsidRPr="00132E65">
        <w:rPr>
          <w:rtl/>
        </w:rPr>
        <w:t xml:space="preserve">« إلى عليّ بن أبي طالب </w:t>
      </w:r>
      <w:r w:rsidRPr="001C19BE">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(8).</w:t>
      </w:r>
      <w:r w:rsidRPr="00132E65">
        <w:rPr>
          <w:rtl/>
        </w:rPr>
        <w:t xml:space="preserve"> في « ب ، ض ، ف ، بح ، بر ، بس ، بف » : « تفتح »</w:t>
      </w:r>
      <w:r>
        <w:rPr>
          <w:rtl/>
        </w:rPr>
        <w:t>.</w:t>
      </w:r>
    </w:p>
    <w:p w:rsidR="000C39D1" w:rsidRPr="00132E65"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41 ، ح 19 ، عن عبد الله بن جعفر ، عن محمّد بن عيسى ، من قوله : </w:t>
      </w:r>
      <w:r w:rsidRPr="001C19BE">
        <w:rPr>
          <w:rStyle w:val="libFootnoteAlaemChar"/>
          <w:rtl/>
        </w:rPr>
        <w:t>(</w:t>
      </w:r>
      <w:r>
        <w:rPr>
          <w:rFonts w:hint="cs"/>
          <w:rtl/>
        </w:rPr>
        <w:t xml:space="preserve"> </w:t>
      </w:r>
      <w:r w:rsidRPr="00C2691A">
        <w:rPr>
          <w:rStyle w:val="libFootnoteAieChar"/>
          <w:rtl/>
        </w:rPr>
        <w:t>فَسْئَلُوا أَهْلَ الذِّكْ</w:t>
      </w:r>
      <w:r w:rsidRPr="001C19BE">
        <w:rPr>
          <w:rStyle w:val="libFootnoteAieChar"/>
          <w:rtl/>
        </w:rPr>
        <w:t>رِ</w:t>
      </w:r>
      <w:r w:rsidRPr="001C19BE">
        <w:rPr>
          <w:rStyle w:val="libFootnoteAieChar"/>
          <w:rFonts w:hint="cs"/>
          <w:rtl/>
        </w:rPr>
        <w:t xml:space="preserve"> </w:t>
      </w:r>
      <w:r w:rsidRPr="001C19BE">
        <w:rPr>
          <w:rStyle w:val="libFootnoteAlaemChar"/>
          <w:rtl/>
        </w:rPr>
        <w:t>)</w:t>
      </w:r>
      <w:r w:rsidRPr="00132E65">
        <w:rPr>
          <w:rtl/>
        </w:rPr>
        <w:t xml:space="preserve"> إلى قوله : </w:t>
      </w:r>
      <w:r w:rsidRPr="001C19BE">
        <w:rPr>
          <w:rStyle w:val="libFootnoteAlaemChar"/>
          <w:rtl/>
        </w:rPr>
        <w:t>(</w:t>
      </w:r>
      <w:r>
        <w:rPr>
          <w:rFonts w:hint="cs"/>
          <w:rtl/>
        </w:rPr>
        <w:t xml:space="preserve"> </w:t>
      </w:r>
      <w:r w:rsidRPr="00C2691A">
        <w:rPr>
          <w:rStyle w:val="libFootnoteAieChar"/>
          <w:rtl/>
        </w:rPr>
        <w:t>لَعَلَّهُمْ يَتَفَكَّرُونَ</w:t>
      </w:r>
      <w:r>
        <w:rPr>
          <w:rFonts w:hint="cs"/>
          <w:rtl/>
        </w:rPr>
        <w:t xml:space="preserve"> </w:t>
      </w:r>
      <w:r w:rsidRPr="001C19BE">
        <w:rPr>
          <w:rStyle w:val="libFootnoteAlaemChar"/>
          <w:rtl/>
        </w:rPr>
        <w:t>)</w:t>
      </w:r>
      <w:r w:rsidRPr="00132E65">
        <w:rPr>
          <w:rtl/>
        </w:rPr>
        <w:t xml:space="preserve"> ؛ و</w:t>
      </w:r>
      <w:r w:rsidRPr="006A3651">
        <w:rPr>
          <w:rtl/>
        </w:rPr>
        <w:t xml:space="preserve">فيه </w:t>
      </w:r>
      <w:r w:rsidRPr="00132E65">
        <w:rPr>
          <w:rtl/>
        </w:rPr>
        <w:t xml:space="preserve">، ص 469 ، ح 4 ، عن محمّد بن عيسى ، عن إسماعيل بن جابر ، عن عبدالكريم بن عمرو ، عن عبدالحميد بن أبي الديلم ، إلى قوله : « حتّى دفعوها إلى محمّد </w:t>
      </w:r>
      <w:r w:rsidRPr="001C19BE">
        <w:rPr>
          <w:rStyle w:val="libFootnoteAlaemChar"/>
          <w:rFonts w:eastAsiaTheme="minorHAnsi"/>
          <w:rtl/>
        </w:rPr>
        <w:t>صلى‌الله‌عليه‌وآله</w:t>
      </w:r>
      <w:r w:rsidRPr="00132E65">
        <w:rPr>
          <w:rtl/>
          <w:lang w:bidi="fa-IR"/>
        </w:rPr>
        <w:t xml:space="preserve"> </w:t>
      </w:r>
      <w:r w:rsidRPr="00132E65">
        <w:rPr>
          <w:rtl/>
        </w:rPr>
        <w:t xml:space="preserve">» مع اختلاف يسير. وراجع : </w:t>
      </w:r>
      <w:r w:rsidRPr="006A3651">
        <w:rPr>
          <w:rtl/>
        </w:rPr>
        <w:t>تفسير فرات</w:t>
      </w:r>
      <w:r w:rsidRPr="00132E65">
        <w:rPr>
          <w:rtl/>
        </w:rPr>
        <w:t xml:space="preserve"> ، ص 130 ، ح 151 ؛ وص 398 ، ح 530 ؛ وص 574 ، ح 738 ؛ و</w:t>
      </w:r>
      <w:r w:rsidRPr="006A3651">
        <w:rPr>
          <w:rtl/>
        </w:rPr>
        <w:t xml:space="preserve">كمال الدين </w:t>
      </w:r>
      <w:r w:rsidRPr="00132E65">
        <w:rPr>
          <w:rtl/>
        </w:rPr>
        <w:t>، ص 237 ، ح 54 ؛ و</w:t>
      </w:r>
      <w:r w:rsidRPr="006A3651">
        <w:rPr>
          <w:rtl/>
        </w:rPr>
        <w:t xml:space="preserve">قرب الإسناد </w:t>
      </w:r>
      <w:r w:rsidRPr="00132E65">
        <w:rPr>
          <w:rtl/>
        </w:rPr>
        <w:t xml:space="preserve">، ص 57 ، ح 186 </w:t>
      </w:r>
      <w:r>
        <w:rPr>
          <w:rFonts w:hint="cs"/>
          <w:rtl/>
        </w:rPr>
        <w:t>.</w:t>
      </w:r>
      <w:r w:rsidRPr="009D1ACE">
        <w:rPr>
          <w:rStyle w:val="libFootnoteBoldChar"/>
          <w:rtl/>
        </w:rPr>
        <w:t>الوافي</w:t>
      </w:r>
      <w:r w:rsidRPr="00132E65">
        <w:rPr>
          <w:rtl/>
        </w:rPr>
        <w:t xml:space="preserve"> ، ج 2 ، ص 314 ، ح 777 ؛ </w:t>
      </w:r>
      <w:r w:rsidRPr="006A3651">
        <w:rPr>
          <w:rtl/>
        </w:rPr>
        <w:t>الوسائل</w:t>
      </w:r>
      <w:r w:rsidRPr="00132E65">
        <w:rPr>
          <w:rtl/>
        </w:rPr>
        <w:t xml:space="preserve"> ، ج 27 ، ص 66 ، ح 3321 ، من قوله : « وقال جلّ ذكره</w:t>
      </w:r>
      <w:r>
        <w:rPr>
          <w:rFonts w:hint="cs"/>
          <w:rtl/>
        </w:rPr>
        <w:t xml:space="preserve"> </w:t>
      </w:r>
      <w:r w:rsidRPr="001C19BE">
        <w:rPr>
          <w:rStyle w:val="libFootnoteAlaemChar"/>
          <w:rtl/>
        </w:rPr>
        <w:t>(</w:t>
      </w:r>
      <w:r>
        <w:rPr>
          <w:rFonts w:hint="cs"/>
          <w:rtl/>
        </w:rPr>
        <w:t xml:space="preserve"> </w:t>
      </w:r>
      <w:r w:rsidRPr="00C2691A">
        <w:rPr>
          <w:rStyle w:val="libFootnoteAieChar"/>
          <w:rtl/>
        </w:rPr>
        <w:t>فَسْئَلُوا أَهْلَ الذِّكْرِ إِنْ كُنْتُمْ لا تَعْلَمُونَ</w:t>
      </w:r>
      <w:r>
        <w:rPr>
          <w:rFonts w:hint="cs"/>
          <w:rtl/>
        </w:rPr>
        <w:t xml:space="preserve"> </w:t>
      </w:r>
      <w:r w:rsidRPr="001C19BE">
        <w:rPr>
          <w:rStyle w:val="libFootnoteAlaemChar"/>
          <w:rtl/>
        </w:rPr>
        <w:t>)</w:t>
      </w:r>
      <w:r w:rsidRPr="00132E65">
        <w:rPr>
          <w:rtl/>
        </w:rPr>
        <w:t xml:space="preserve"> إلى قوله : « الذين أمر بطاعتهم وبالردّ إليهم » ؛ </w:t>
      </w:r>
      <w:r w:rsidRPr="006A3651">
        <w:rPr>
          <w:rtl/>
        </w:rPr>
        <w:t>البحار</w:t>
      </w:r>
      <w:r w:rsidRPr="00132E65">
        <w:rPr>
          <w:rtl/>
        </w:rPr>
        <w:t xml:space="preserve"> ، ج 7 ، ص 272 ، ح 38 ، وفيه من قوله : </w:t>
      </w:r>
      <w:r w:rsidRPr="001C19BE">
        <w:rPr>
          <w:rStyle w:val="libFootnoteAlaemChar"/>
          <w:rtl/>
        </w:rPr>
        <w:t>(</w:t>
      </w:r>
      <w:r>
        <w:rPr>
          <w:rFonts w:hint="cs"/>
          <w:rtl/>
        </w:rPr>
        <w:t xml:space="preserve"> </w:t>
      </w:r>
      <w:r w:rsidRPr="00C2691A">
        <w:rPr>
          <w:rStyle w:val="libFootnoteAieChar"/>
          <w:rtl/>
        </w:rPr>
        <w:t>وَإِذَا الْمَوْؤُدَةُ سُئِلَتْ</w:t>
      </w:r>
      <w:r>
        <w:rPr>
          <w:rFonts w:hint="cs"/>
          <w:rtl/>
        </w:rPr>
        <w:t xml:space="preserve"> </w:t>
      </w:r>
      <w:r w:rsidRPr="001C19BE">
        <w:rPr>
          <w:rStyle w:val="libFootnoteAlaemChar"/>
          <w:rtl/>
        </w:rPr>
        <w:t>)</w:t>
      </w:r>
      <w:r w:rsidRPr="00132E65">
        <w:rPr>
          <w:rtl/>
        </w:rPr>
        <w:t xml:space="preserve"> إلى قوله : « بأيّ ذنب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A3651">
        <w:rPr>
          <w:rtl/>
        </w:rPr>
        <w:lastRenderedPageBreak/>
        <w:t>769</w:t>
      </w:r>
      <w:r w:rsidRPr="004325D8">
        <w:rPr>
          <w:rStyle w:val="libBold2Char"/>
          <w:rtl/>
        </w:rPr>
        <w:t xml:space="preserve"> / 4.</w:t>
      </w:r>
      <w:r w:rsidRPr="00132E65">
        <w:rPr>
          <w:rtl/>
          <w:lang w:bidi="fa-IR"/>
        </w:rPr>
        <w:t xml:space="preserve"> عَلِيُّ بْنُ إِبْرَاهِيمَ ، عَنْ أَبِيهِ و</w:t>
      </w:r>
      <w:r>
        <w:rPr>
          <w:rFonts w:hint="cs"/>
          <w:rtl/>
          <w:lang w:bidi="fa-IR"/>
        </w:rPr>
        <w:t>َ</w:t>
      </w:r>
      <w:r w:rsidRPr="00132E65">
        <w:rPr>
          <w:rtl/>
          <w:lang w:bidi="fa-IR"/>
        </w:rPr>
        <w:t>صَالِحِ بْنِ السِّنْدِيِّ ، عَنْ جَعْفَرِ بْنِ بَشِيرٍ ، عَنْ يَحْيَى بْنِ مُعَمَّرٍ الْعَطَّارِ ، عَنْ بَشِيرٍ الدَّهَّانِ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قَالَ رَسُولُ اللهِ </w:t>
      </w:r>
      <w:r w:rsidRPr="00071CF9">
        <w:rPr>
          <w:rStyle w:val="libAlaemChar"/>
          <w:rtl/>
        </w:rPr>
        <w:t>صلى‌الله‌عليه‌وآله</w:t>
      </w:r>
      <w:r w:rsidRPr="00132E65">
        <w:rPr>
          <w:rtl/>
          <w:lang w:bidi="fa-IR"/>
        </w:rPr>
        <w:t xml:space="preserve"> فِي مَرَضِهِ الَّذِي تُوُفِّيَ فِيهِ </w:t>
      </w:r>
      <w:r>
        <w:rPr>
          <w:rStyle w:val="libFootnotenumChar"/>
          <w:rtl/>
        </w:rPr>
        <w:t>(1)</w:t>
      </w:r>
      <w:r w:rsidRPr="00132E65">
        <w:rPr>
          <w:rtl/>
          <w:lang w:bidi="fa-IR"/>
        </w:rPr>
        <w:t xml:space="preserve"> : ادْعُوا لِي خَلِيلِي </w:t>
      </w:r>
      <w:r>
        <w:rPr>
          <w:rStyle w:val="libFootnotenumChar"/>
          <w:rtl/>
        </w:rPr>
        <w:t>(2)</w:t>
      </w:r>
      <w:r w:rsidRPr="00132E65">
        <w:rPr>
          <w:rtl/>
          <w:lang w:bidi="fa-IR"/>
        </w:rPr>
        <w:t xml:space="preserve"> ، فَأَرْسَلَتَا إِلى أَبَوَيْهِمَا ، فَلَمَّا نَظَرَ إِلَيْهِمَا رَسُولُ اللهِ </w:t>
      </w:r>
      <w:r w:rsidRPr="00071CF9">
        <w:rPr>
          <w:rStyle w:val="libAlaemChar"/>
          <w:rtl/>
        </w:rPr>
        <w:t>صلى‌الله‌عليه‌وآله</w:t>
      </w:r>
      <w:r w:rsidRPr="00132E65">
        <w:rPr>
          <w:rtl/>
          <w:lang w:bidi="fa-IR"/>
        </w:rPr>
        <w:t xml:space="preserve"> أَعْرَضَ عَنْهُمَا ، ثُمَّ قَالَ : ادْعُوا لِي خَلِيلِي ، فَأُرْسِلَ إِلى عَلِيٍّ </w:t>
      </w:r>
      <w:r w:rsidRPr="00071CF9">
        <w:rPr>
          <w:rStyle w:val="libAlaemChar"/>
          <w:rtl/>
        </w:rPr>
        <w:t>عليه‌السلام</w:t>
      </w:r>
      <w:r w:rsidRPr="00132E65">
        <w:rPr>
          <w:rtl/>
          <w:lang w:bidi="fa-IR"/>
        </w:rPr>
        <w:t xml:space="preserve"> ، فَلَمَّا نَظَرَ إِلَيْهِ أَكَبَّ عَلَيْهِ </w:t>
      </w:r>
      <w:r>
        <w:rPr>
          <w:rStyle w:val="libFootnotenumChar"/>
          <w:rtl/>
        </w:rPr>
        <w:t>(3)</w:t>
      </w:r>
      <w:r w:rsidRPr="00132E65">
        <w:rPr>
          <w:rtl/>
          <w:lang w:bidi="fa-IR"/>
        </w:rPr>
        <w:t xml:space="preserve"> يُحَدِّثُهُ ، فَلَمَّا خَرَجَ لَقِيَاهُ فَقَالَا لَهُ </w:t>
      </w:r>
      <w:r>
        <w:rPr>
          <w:rStyle w:val="libFootnotenumChar"/>
          <w:rtl/>
        </w:rPr>
        <w:t>(4)</w:t>
      </w:r>
      <w:r w:rsidRPr="00132E65">
        <w:rPr>
          <w:rtl/>
          <w:lang w:bidi="fa-IR"/>
        </w:rPr>
        <w:t xml:space="preserve"> : مَا حَدَّثَكَ خَلِيلُكَ</w:t>
      </w:r>
      <w:r>
        <w:rPr>
          <w:rtl/>
          <w:lang w:bidi="fa-IR"/>
        </w:rPr>
        <w:t>؟</w:t>
      </w:r>
      <w:r w:rsidRPr="00132E65">
        <w:rPr>
          <w:rtl/>
          <w:lang w:bidi="fa-IR"/>
        </w:rPr>
        <w:t xml:space="preserve"> فَقَالَ : حَدَّثَنِي أَلْفَ بَابٍ ، يَفْتَحُ كُلُّ بَابٍ أَلْفَ بَابٍ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6A3651">
        <w:rPr>
          <w:rtl/>
        </w:rPr>
        <w:t>770</w:t>
      </w:r>
      <w:r w:rsidRPr="004325D8">
        <w:rPr>
          <w:rStyle w:val="libBold2Char"/>
          <w:rtl/>
        </w:rPr>
        <w:t xml:space="preserve"> / 5.</w:t>
      </w:r>
      <w:r w:rsidRPr="00132E65">
        <w:rPr>
          <w:rtl/>
          <w:lang w:bidi="fa-IR"/>
        </w:rPr>
        <w:t xml:space="preserve"> أَحْمَدُ بْنُ إِدْرِيسَ ، عَنْ مُحَمَّدِ بْنِ عَبْدِ الْجَبَّارِ ، عَنْ مُحَمَّدِ بْنِ إِسْمَاعِيلَ ، عَنْ مَنْصُورِ بْنِ يُونُسَ ، عَنْ أَبِي بَكْرٍ الْحَضْرَمِيِّ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عَلَّمَ رَسُولُ اللهِ </w:t>
      </w:r>
      <w:r w:rsidRPr="00071CF9">
        <w:rPr>
          <w:rStyle w:val="libAlaemChar"/>
          <w:rtl/>
        </w:rPr>
        <w:t>صلى‌الله‌عليه‌وآله</w:t>
      </w:r>
      <w:r w:rsidRPr="00132E65">
        <w:rPr>
          <w:rtl/>
          <w:lang w:bidi="fa-IR"/>
        </w:rPr>
        <w:t xml:space="preserve"> عَلِيّاً </w:t>
      </w:r>
      <w:r w:rsidRPr="00071CF9">
        <w:rPr>
          <w:rStyle w:val="libAlaemChar"/>
          <w:rtl/>
        </w:rPr>
        <w:t>عليه‌السلام</w:t>
      </w:r>
      <w:r w:rsidRPr="00132E65">
        <w:rPr>
          <w:rtl/>
          <w:lang w:bidi="fa-IR"/>
        </w:rPr>
        <w:t xml:space="preserve"> أَلْفَ حَرْفٍ ، كُلُّ حَرْفٍ يَفْتَحُ‌</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قتلتموهم » ؛ وج 13 ، ص 364 ، ح 3 ، إلى قوله : « وبشّر موسى ويوشع بالمسيح » ؛ وج 17 ، ص 142 ، ح 29 ، إلى قوله : « ودعا إلى الله عزّ وجلّ وجاهد في سبيله »</w:t>
      </w:r>
      <w:r>
        <w:rPr>
          <w:rtl/>
        </w:rPr>
        <w:t>.</w:t>
      </w:r>
    </w:p>
    <w:p w:rsidR="000C39D1" w:rsidRPr="00132E65" w:rsidRDefault="000C39D1" w:rsidP="000C39D1">
      <w:pPr>
        <w:pStyle w:val="libFootnote0"/>
        <w:rPr>
          <w:rtl/>
          <w:lang w:bidi="fa-IR"/>
        </w:rPr>
      </w:pPr>
      <w:r>
        <w:rPr>
          <w:rtl/>
        </w:rPr>
        <w:t>(1).</w:t>
      </w:r>
      <w:r w:rsidRPr="00132E65">
        <w:rPr>
          <w:rtl/>
        </w:rPr>
        <w:t xml:space="preserve"> في البصائر ، ص 314 :</w:t>
      </w:r>
      <w:r>
        <w:rPr>
          <w:rtl/>
        </w:rPr>
        <w:t xml:space="preserve"> + </w:t>
      </w:r>
      <w:r w:rsidRPr="00132E65">
        <w:rPr>
          <w:rtl/>
        </w:rPr>
        <w:t>« لعائشة وحفصة »</w:t>
      </w:r>
      <w:r>
        <w:rPr>
          <w:rtl/>
        </w:rPr>
        <w:t>.</w:t>
      </w:r>
    </w:p>
    <w:p w:rsidR="000C39D1" w:rsidRPr="00132E65" w:rsidRDefault="000C39D1" w:rsidP="000C39D1">
      <w:pPr>
        <w:pStyle w:val="libFootnote0"/>
        <w:rPr>
          <w:rtl/>
          <w:lang w:bidi="fa-IR"/>
        </w:rPr>
      </w:pPr>
      <w:r>
        <w:rPr>
          <w:rtl/>
        </w:rPr>
        <w:t>(2).</w:t>
      </w:r>
      <w:r w:rsidRPr="00132E65">
        <w:rPr>
          <w:rtl/>
        </w:rPr>
        <w:t xml:space="preserve"> « الخليل » : الصديق ، من الخُلَّة ، وهي الصداقة والمحبّة التي تخلّلت القلب فصارت خِلالَه ، أي في باطنه. فالخليل مَنْ خُلَّتُه كانت مقصورة على حبّ الله تعالى فليس فيها لغيره متّسع ولا شَرِكة من محابّ الدنيا والآخرة ، وهذه حال شريفة لا ينالها أحد بكسب واجتهاد ، فإنّ الطباع غالبة ، وإنّما يخصّ الله بها من يشاء من عباده. وخليل الرسول </w:t>
      </w:r>
      <w:r w:rsidRPr="00BD75ED">
        <w:rPr>
          <w:rStyle w:val="libFootnoteAlaemChar"/>
          <w:rtl/>
        </w:rPr>
        <w:t>صلى‌الله‌عليه‌وآله</w:t>
      </w:r>
      <w:r w:rsidRPr="00132E65">
        <w:rPr>
          <w:rtl/>
          <w:lang w:bidi="fa-IR"/>
        </w:rPr>
        <w:t xml:space="preserve"> </w:t>
      </w:r>
      <w:r w:rsidRPr="00132E65">
        <w:rPr>
          <w:rtl/>
        </w:rPr>
        <w:t xml:space="preserve">خليل الله تعالى. راجع : </w:t>
      </w:r>
      <w:r w:rsidRPr="006A3651">
        <w:rPr>
          <w:rtl/>
        </w:rPr>
        <w:t>النهاية</w:t>
      </w:r>
      <w:r w:rsidRPr="00132E65">
        <w:rPr>
          <w:rtl/>
        </w:rPr>
        <w:t xml:space="preserve"> ، ج 2 ، ص 72 ( خلل )</w:t>
      </w:r>
      <w:r>
        <w:rPr>
          <w:rtl/>
        </w:rPr>
        <w:t>.</w:t>
      </w:r>
    </w:p>
    <w:p w:rsidR="000C39D1" w:rsidRPr="00132E65" w:rsidRDefault="000C39D1" w:rsidP="000C39D1">
      <w:pPr>
        <w:pStyle w:val="libFootnote0"/>
        <w:rPr>
          <w:rtl/>
          <w:lang w:bidi="fa-IR"/>
        </w:rPr>
      </w:pPr>
      <w:r>
        <w:rPr>
          <w:rtl/>
        </w:rPr>
        <w:t>(3).</w:t>
      </w:r>
      <w:r w:rsidRPr="00132E65">
        <w:rPr>
          <w:rtl/>
        </w:rPr>
        <w:t xml:space="preserve"> « أكَبَّ عليه » ، أي أقبل ولزم. </w:t>
      </w:r>
      <w:r w:rsidRPr="006A3651">
        <w:rPr>
          <w:rtl/>
        </w:rPr>
        <w:t>القاموس المحيط</w:t>
      </w:r>
      <w:r w:rsidRPr="00132E65">
        <w:rPr>
          <w:rtl/>
        </w:rPr>
        <w:t xml:space="preserve"> ، ج 1 ، ص 218 ( كبب )</w:t>
      </w:r>
      <w:r>
        <w:rPr>
          <w:rtl/>
        </w:rPr>
        <w:t>.</w:t>
      </w:r>
    </w:p>
    <w:p w:rsidR="000C39D1" w:rsidRPr="00132E65" w:rsidRDefault="000C39D1" w:rsidP="000C39D1">
      <w:pPr>
        <w:pStyle w:val="libFootnote0"/>
        <w:rPr>
          <w:rtl/>
          <w:lang w:bidi="fa-IR"/>
        </w:rPr>
      </w:pPr>
      <w:r>
        <w:rPr>
          <w:rtl/>
        </w:rPr>
        <w:t>(4).</w:t>
      </w:r>
      <w:r w:rsidRPr="00132E65">
        <w:rPr>
          <w:rtl/>
        </w:rPr>
        <w:t xml:space="preserve"> في « ه‍ » والبصائر ، ص 303 </w:t>
      </w:r>
      <w:r>
        <w:rPr>
          <w:rtl/>
        </w:rPr>
        <w:t>و 3</w:t>
      </w:r>
      <w:r w:rsidRPr="00132E65">
        <w:rPr>
          <w:rtl/>
        </w:rPr>
        <w:t xml:space="preserve">14 والخصال ، ص 646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303 ، ح 2 ، عن السنديّ بن محمّد ، عن صفوان بن يحيى ، عن محمّد بن بشير ، عن أبي عبد الله </w:t>
      </w:r>
      <w:r w:rsidRPr="00BD75ED">
        <w:rPr>
          <w:rStyle w:val="libFootnoteAlaemChar"/>
          <w:rtl/>
        </w:rPr>
        <w:t>عليه‌السلام</w:t>
      </w:r>
      <w:r w:rsidRPr="00132E65">
        <w:rPr>
          <w:rtl/>
        </w:rPr>
        <w:t xml:space="preserve"> ؛ </w:t>
      </w:r>
      <w:r w:rsidRPr="006A3651">
        <w:rPr>
          <w:rtl/>
        </w:rPr>
        <w:t>وفيه</w:t>
      </w:r>
      <w:r w:rsidRPr="00132E65">
        <w:rPr>
          <w:rtl/>
        </w:rPr>
        <w:t xml:space="preserve"> ، ص 304 ، ح 8 ، بسنده عن يحيى بن معمّر العطّار ؛ </w:t>
      </w:r>
      <w:r w:rsidRPr="006A3651">
        <w:rPr>
          <w:rtl/>
        </w:rPr>
        <w:t>وفيه</w:t>
      </w:r>
      <w:r w:rsidRPr="00132E65">
        <w:rPr>
          <w:rtl/>
        </w:rPr>
        <w:t xml:space="preserve"> أيضاً ، ص 314 ، ح 5 ، بسنده عن جعفر بن بشير ؛ </w:t>
      </w:r>
      <w:r w:rsidRPr="006A3651">
        <w:rPr>
          <w:rtl/>
        </w:rPr>
        <w:t>الخصال</w:t>
      </w:r>
      <w:r w:rsidRPr="00132E65">
        <w:rPr>
          <w:rtl/>
        </w:rPr>
        <w:t xml:space="preserve"> ، ص 646 ، أبواب المائة وما فوقها ، ح 32 ، بسنده عن جعفر بن بشير البجلي ، عن أبي يحيى معمّر القطّان ، عن بشير الدهّان ، عن أبي عبد الله </w:t>
      </w:r>
      <w:r w:rsidRPr="00071CF9">
        <w:rPr>
          <w:rStyle w:val="libAlaemChar"/>
          <w:rtl/>
        </w:rPr>
        <w:t>عليه‌السلام</w:t>
      </w:r>
      <w:r w:rsidRPr="00132E65">
        <w:rPr>
          <w:rtl/>
        </w:rPr>
        <w:t xml:space="preserve"> ؛ </w:t>
      </w:r>
      <w:r w:rsidRPr="006A3651">
        <w:rPr>
          <w:rtl/>
        </w:rPr>
        <w:t>وفيه</w:t>
      </w:r>
      <w:r w:rsidRPr="00132E65">
        <w:rPr>
          <w:rtl/>
        </w:rPr>
        <w:t xml:space="preserve"> ، ص 647 ، ح 38 ، بسنده عن بشير الدهّان. </w:t>
      </w:r>
      <w:r w:rsidRPr="000577A7">
        <w:rPr>
          <w:rStyle w:val="libFootnoteBoldChar"/>
          <w:rtl/>
        </w:rPr>
        <w:t>الكافي</w:t>
      </w:r>
      <w:r w:rsidRPr="00132E65">
        <w:rPr>
          <w:rtl/>
        </w:rPr>
        <w:t xml:space="preserve"> ، كتاب الروضة ، ذيل ح 14938 بسند آخر ؛ </w:t>
      </w:r>
      <w:r w:rsidRPr="007A1104">
        <w:rPr>
          <w:rStyle w:val="libFootnoteBoldChar"/>
          <w:rtl/>
        </w:rPr>
        <w:t>بصائر الدرجات</w:t>
      </w:r>
      <w:r w:rsidRPr="00132E65">
        <w:rPr>
          <w:rtl/>
        </w:rPr>
        <w:t xml:space="preserve"> ، ص 313 ، ح 1 ، بسند آخر عن ا</w:t>
      </w:r>
      <w:r>
        <w:rPr>
          <w:rFonts w:hint="cs"/>
          <w:rtl/>
        </w:rPr>
        <w:t>ُ</w:t>
      </w:r>
      <w:r w:rsidRPr="00132E65">
        <w:rPr>
          <w:rtl/>
        </w:rPr>
        <w:t xml:space="preserve">مّ سلمة عن رسول الله </w:t>
      </w:r>
      <w:r w:rsidRPr="00BD75ED">
        <w:rPr>
          <w:rStyle w:val="libFootnoteAlaemChar"/>
          <w:rtl/>
        </w:rPr>
        <w:t>صلى‌الله‌عليه‌وآله</w:t>
      </w:r>
      <w:r w:rsidRPr="00132E65">
        <w:rPr>
          <w:rtl/>
          <w:lang w:bidi="fa-IR"/>
        </w:rPr>
        <w:t xml:space="preserve"> </w:t>
      </w:r>
      <w:r w:rsidRPr="00132E65">
        <w:rPr>
          <w:rtl/>
        </w:rPr>
        <w:t xml:space="preserve">، وفي كلّها مع اختلاف يسير </w:t>
      </w:r>
      <w:r>
        <w:rPr>
          <w:rFonts w:hint="cs"/>
          <w:rtl/>
        </w:rPr>
        <w:t>.</w:t>
      </w:r>
      <w:r w:rsidRPr="009D1ACE">
        <w:rPr>
          <w:rStyle w:val="libFootnoteBoldChar"/>
          <w:rtl/>
        </w:rPr>
        <w:t>الوافي</w:t>
      </w:r>
      <w:r w:rsidRPr="00132E65">
        <w:rPr>
          <w:rtl/>
        </w:rPr>
        <w:t xml:space="preserve"> ، ج 2 ، ص 322 ، ح 778.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أَلْفَ حَرْفٍ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41444D">
        <w:rPr>
          <w:rtl/>
        </w:rPr>
        <w:t>771</w:t>
      </w:r>
      <w:r w:rsidRPr="004325D8">
        <w:rPr>
          <w:rStyle w:val="libBold2Char"/>
          <w:rtl/>
        </w:rPr>
        <w:t xml:space="preserve"> / 6.</w:t>
      </w:r>
      <w:r w:rsidRPr="00132E65">
        <w:rPr>
          <w:rtl/>
          <w:lang w:bidi="fa-IR"/>
        </w:rPr>
        <w:t xml:space="preserve"> عِدَّةٌ مِنْ أَصْحَابِنَا ، عَنْ أَحْمَدَ بْنِ مُحَمَّدٍ ، عَنْ عَلِيِّ بْنِ الْحَكَمِ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كَانَ فِي ذُؤَابَةِ </w:t>
      </w:r>
      <w:r>
        <w:rPr>
          <w:rStyle w:val="libFootnotenumChar"/>
          <w:rtl/>
        </w:rPr>
        <w:t>(3)</w:t>
      </w:r>
      <w:r w:rsidRPr="00132E65">
        <w:rPr>
          <w:rtl/>
          <w:lang w:bidi="fa-IR"/>
        </w:rPr>
        <w:t xml:space="preserve"> سَيْفِ رَسُولِ اللهِ </w:t>
      </w:r>
      <w:r w:rsidRPr="00071CF9">
        <w:rPr>
          <w:rStyle w:val="libAlaemChar"/>
          <w:rtl/>
        </w:rPr>
        <w:t>صلى‌الله‌عليه‌وآله</w:t>
      </w:r>
      <w:r w:rsidRPr="00132E65">
        <w:rPr>
          <w:rtl/>
          <w:lang w:bidi="fa-IR"/>
        </w:rPr>
        <w:t xml:space="preserve"> صَحِيفَةٌ صَغِيرَةٌ »</w:t>
      </w:r>
      <w:r>
        <w:rPr>
          <w:rtl/>
          <w:lang w:bidi="fa-IR"/>
        </w:rPr>
        <w:t>.</w:t>
      </w:r>
    </w:p>
    <w:p w:rsidR="000C39D1" w:rsidRPr="00132E65" w:rsidRDefault="000C39D1" w:rsidP="000C39D1">
      <w:pPr>
        <w:pStyle w:val="libNormal"/>
        <w:rPr>
          <w:rtl/>
          <w:lang w:bidi="fa-IR"/>
        </w:rPr>
      </w:pPr>
      <w:r w:rsidRPr="00132E65">
        <w:rPr>
          <w:rtl/>
          <w:lang w:bidi="fa-IR"/>
        </w:rPr>
        <w:t xml:space="preserve">فَقُلْتُ لِأَبِي عَبْدِ اللهِ </w:t>
      </w:r>
      <w:r w:rsidRPr="00071CF9">
        <w:rPr>
          <w:rStyle w:val="libAlaemChar"/>
          <w:rtl/>
        </w:rPr>
        <w:t>عليه‌السلام</w:t>
      </w:r>
      <w:r w:rsidRPr="00132E65">
        <w:rPr>
          <w:rtl/>
          <w:lang w:bidi="fa-IR"/>
        </w:rPr>
        <w:t xml:space="preserve"> : أَيُّ شَيْ‌ءٍ كَانَ فِي تِلْكَ الصَّحِيفَةِ</w:t>
      </w:r>
      <w:r>
        <w:rPr>
          <w:rtl/>
          <w:lang w:bidi="fa-IR"/>
        </w:rPr>
        <w:t>؟</w:t>
      </w:r>
    </w:p>
    <w:p w:rsidR="000C39D1" w:rsidRPr="00132E65" w:rsidRDefault="000C39D1" w:rsidP="000C39D1">
      <w:pPr>
        <w:pStyle w:val="libNormal"/>
        <w:rPr>
          <w:rtl/>
          <w:lang w:bidi="fa-IR"/>
        </w:rPr>
      </w:pPr>
      <w:r w:rsidRPr="00132E65">
        <w:rPr>
          <w:rtl/>
          <w:lang w:bidi="fa-IR"/>
        </w:rPr>
        <w:t>قَالَ : « هِيَ الْأَحْرُفُ الَّتِي يَفْتَحُ كُلُّ حَرْفٍ أَلْفَ حَرْفٍ »</w:t>
      </w:r>
      <w:r>
        <w:rPr>
          <w:rtl/>
          <w:lang w:bidi="fa-IR"/>
        </w:rPr>
        <w:t>.</w:t>
      </w:r>
    </w:p>
    <w:p w:rsidR="000C39D1" w:rsidRPr="00132E65" w:rsidRDefault="000C39D1" w:rsidP="000C39D1">
      <w:pPr>
        <w:pStyle w:val="libNormal"/>
        <w:rPr>
          <w:rtl/>
          <w:lang w:bidi="fa-IR"/>
        </w:rPr>
      </w:pPr>
      <w:r w:rsidRPr="00132E65">
        <w:rPr>
          <w:rtl/>
          <w:lang w:bidi="fa-IR"/>
        </w:rPr>
        <w:t xml:space="preserve">قَالَ أَبُو بَصِيرٍ : قَالَ أَبُو عَبْدِ اللهِ </w:t>
      </w:r>
      <w:r w:rsidRPr="00071CF9">
        <w:rPr>
          <w:rStyle w:val="libAlaemChar"/>
          <w:rtl/>
        </w:rPr>
        <w:t>عليه‌السلام</w:t>
      </w:r>
      <w:r w:rsidRPr="00132E65">
        <w:rPr>
          <w:rtl/>
          <w:lang w:bidi="fa-IR"/>
        </w:rPr>
        <w:t xml:space="preserve"> : « فَمَا خَرَجَ مِنْهَا </w:t>
      </w:r>
      <w:r>
        <w:rPr>
          <w:rStyle w:val="libFootnotenumChar"/>
          <w:rtl/>
        </w:rPr>
        <w:t>(4)</w:t>
      </w:r>
      <w:r w:rsidRPr="00132E65">
        <w:rPr>
          <w:rtl/>
          <w:lang w:bidi="fa-IR"/>
        </w:rPr>
        <w:t xml:space="preserve"> حَرْفَانِ حَتَّى السَّاعَةِ »</w:t>
      </w:r>
      <w:r>
        <w:rPr>
          <w:rtl/>
          <w:lang w:bidi="fa-IR"/>
        </w:rPr>
        <w:t>.</w:t>
      </w:r>
      <w:r w:rsidRPr="00132E65">
        <w:rPr>
          <w:rtl/>
          <w:lang w:bidi="fa-IR"/>
        </w:rPr>
        <w:t xml:space="preserve"> </w:t>
      </w:r>
      <w:r>
        <w:rPr>
          <w:rStyle w:val="libFootnotenumChar"/>
          <w:rtl/>
        </w:rPr>
        <w:t>(5)</w:t>
      </w:r>
      <w:r w:rsidRPr="00132E65">
        <w:rPr>
          <w:rtl/>
          <w:lang w:bidi="fa-IR"/>
        </w:rPr>
        <w:t xml:space="preserve"> ‌</w:t>
      </w:r>
      <w:r w:rsidRPr="0041444D">
        <w:rPr>
          <w:rtl/>
        </w:rPr>
        <w:t>772</w:t>
      </w:r>
      <w:r w:rsidRPr="004325D8">
        <w:rPr>
          <w:rStyle w:val="libBold2Char"/>
          <w:rtl/>
        </w:rPr>
        <w:t xml:space="preserve"> / 7.</w:t>
      </w:r>
      <w:r w:rsidRPr="00132E65">
        <w:rPr>
          <w:rtl/>
          <w:lang w:bidi="fa-IR"/>
        </w:rPr>
        <w:t xml:space="preserve"> عِدَّةٌ مِنْ أَصْحَابِنَا ، عَنْ أَحْمَدَ بْنِ مُحَمَّدٍ ، عَنِ ابْنِ أَبِي نَصْرٍ ، عَنْ فُضَيْلِ بْنِ </w:t>
      </w:r>
      <w:r>
        <w:rPr>
          <w:rStyle w:val="libFootnotenumChar"/>
          <w:rtl/>
        </w:rPr>
        <w:t>(6)</w:t>
      </w:r>
      <w:r w:rsidRPr="00132E65">
        <w:rPr>
          <w:rtl/>
          <w:lang w:bidi="fa-IR"/>
        </w:rPr>
        <w:t xml:space="preserve"> سُكَّرَةَ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جُعِلْتُ فِدَاكَ ، هَلْ لِلْمَاءِ الَّذِي يُغَسَّلُ بِهِ الْمَيِّتُ حَدٌّ‌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ه‍ »</w:t>
      </w:r>
      <w:r>
        <w:rPr>
          <w:rtl/>
        </w:rPr>
        <w:t xml:space="preserve"> + </w:t>
      </w:r>
      <w:r w:rsidRPr="00132E65">
        <w:rPr>
          <w:rtl/>
        </w:rPr>
        <w:t>« والألف حرف ، كلّ حرف منها يفتح ألف حرف »</w:t>
      </w:r>
      <w:r>
        <w:rPr>
          <w:rtl/>
        </w:rPr>
        <w:t>.</w:t>
      </w:r>
    </w:p>
    <w:p w:rsidR="000C39D1" w:rsidRPr="00132E65" w:rsidRDefault="000C39D1" w:rsidP="000C39D1">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307 ، ح 2 ؛ و</w:t>
      </w:r>
      <w:r w:rsidRPr="0041444D">
        <w:rPr>
          <w:rtl/>
        </w:rPr>
        <w:t>الاختصاص</w:t>
      </w:r>
      <w:r w:rsidRPr="00132E65">
        <w:rPr>
          <w:rtl/>
        </w:rPr>
        <w:t xml:space="preserve"> ، ص 284 عن محمّد بن عبد الجبّار ؛ وفي </w:t>
      </w:r>
      <w:r w:rsidRPr="007A1104">
        <w:rPr>
          <w:rStyle w:val="libFootnoteBoldChar"/>
          <w:rtl/>
        </w:rPr>
        <w:t>بصائر الدرجات</w:t>
      </w:r>
      <w:r w:rsidRPr="00132E65">
        <w:rPr>
          <w:rtl/>
        </w:rPr>
        <w:t xml:space="preserve"> ، ص 308 ، ح 5 ؛ و</w:t>
      </w:r>
      <w:r w:rsidRPr="0041444D">
        <w:rPr>
          <w:rtl/>
        </w:rPr>
        <w:t>الخصال</w:t>
      </w:r>
      <w:r w:rsidRPr="00132E65">
        <w:rPr>
          <w:rtl/>
        </w:rPr>
        <w:t xml:space="preserve"> ، ص 648 ، أبواب المائة وما فوقها ، ح 41 ، بسندهما عن منصور بن يونس. </w:t>
      </w:r>
      <w:r w:rsidRPr="007A1104">
        <w:rPr>
          <w:rStyle w:val="libFootnoteBoldChar"/>
          <w:rtl/>
        </w:rPr>
        <w:t>بصائر الدرجات</w:t>
      </w:r>
      <w:r w:rsidRPr="00132E65">
        <w:rPr>
          <w:rtl/>
        </w:rPr>
        <w:t xml:space="preserve"> ، ص 308 ، ح 3 ، بسند آخر عن أبي عبد الله </w:t>
      </w:r>
      <w:r w:rsidRPr="000577A7">
        <w:rPr>
          <w:rStyle w:val="libFootnoteAlaemChar"/>
          <w:rtl/>
        </w:rPr>
        <w:t>عليه‌السلام</w:t>
      </w:r>
      <w:r w:rsidRPr="00132E65">
        <w:rPr>
          <w:rtl/>
        </w:rPr>
        <w:t xml:space="preserve"> ، وفي كلّها مع اختلاف يسير. راجع : </w:t>
      </w:r>
      <w:r w:rsidRPr="000577A7">
        <w:rPr>
          <w:rStyle w:val="libFootnoteBoldChar"/>
          <w:rtl/>
        </w:rPr>
        <w:t>الكافي</w:t>
      </w:r>
      <w:r w:rsidRPr="0041444D">
        <w:rPr>
          <w:rtl/>
        </w:rPr>
        <w:t>‌كتاب</w:t>
      </w:r>
      <w:r w:rsidRPr="00132E65">
        <w:rPr>
          <w:rtl/>
        </w:rPr>
        <w:t xml:space="preserve"> الحجّة ، باب فيه ذكر الصحيفة والجفر و</w:t>
      </w:r>
      <w:r>
        <w:rPr>
          <w:rtl/>
        </w:rPr>
        <w:t xml:space="preserve"> ..</w:t>
      </w:r>
      <w:r w:rsidRPr="00132E65">
        <w:rPr>
          <w:rtl/>
        </w:rPr>
        <w:t>. ، ح 637 ؛ و</w:t>
      </w:r>
      <w:r w:rsidRPr="0041444D">
        <w:rPr>
          <w:rtl/>
        </w:rPr>
        <w:t xml:space="preserve">الخصال </w:t>
      </w:r>
      <w:r w:rsidRPr="00132E65">
        <w:rPr>
          <w:rtl/>
        </w:rPr>
        <w:t xml:space="preserve">، ص 648 ، نفس الباب ، ح 40 </w:t>
      </w:r>
      <w:r>
        <w:rPr>
          <w:rFonts w:hint="cs"/>
          <w:rtl/>
        </w:rPr>
        <w:t>.</w:t>
      </w:r>
      <w:r w:rsidRPr="009D1ACE">
        <w:rPr>
          <w:rStyle w:val="libFootnoteBoldChar"/>
          <w:rtl/>
        </w:rPr>
        <w:t>الوافي</w:t>
      </w:r>
      <w:r w:rsidRPr="00132E65">
        <w:rPr>
          <w:rtl/>
        </w:rPr>
        <w:t xml:space="preserve"> ، ج 2 ، ص 325 ، ح 782.</w:t>
      </w:r>
    </w:p>
    <w:p w:rsidR="000C39D1" w:rsidRPr="00132E65" w:rsidRDefault="000C39D1" w:rsidP="000C39D1">
      <w:pPr>
        <w:pStyle w:val="libFootnote0"/>
        <w:rPr>
          <w:rtl/>
          <w:lang w:bidi="fa-IR"/>
        </w:rPr>
      </w:pPr>
      <w:r>
        <w:rPr>
          <w:rtl/>
        </w:rPr>
        <w:t>(3).</w:t>
      </w:r>
      <w:r w:rsidRPr="00132E65">
        <w:rPr>
          <w:rtl/>
        </w:rPr>
        <w:t xml:space="preserve"> ذُؤابة كلّ شي‌ء : أعلاه ، وذُؤابة السيف : مقبضه ، أو عِلاقة قائمه. راجع : </w:t>
      </w:r>
      <w:r w:rsidRPr="009D1ACE">
        <w:rPr>
          <w:rStyle w:val="libFootnoteBoldChar"/>
          <w:rtl/>
        </w:rPr>
        <w:t>لسان العرب</w:t>
      </w:r>
      <w:r w:rsidRPr="00132E65">
        <w:rPr>
          <w:rtl/>
        </w:rPr>
        <w:t xml:space="preserve"> ، ج 1 ، ص 379</w:t>
      </w:r>
      <w:r>
        <w:rPr>
          <w:rtl/>
        </w:rPr>
        <w:t xml:space="preserve"> - </w:t>
      </w:r>
      <w:r w:rsidRPr="00132E65">
        <w:rPr>
          <w:rtl/>
        </w:rPr>
        <w:t>380 ( ذأب )</w:t>
      </w:r>
      <w:r>
        <w:rPr>
          <w:rtl/>
        </w:rPr>
        <w:t>.</w:t>
      </w:r>
      <w:r>
        <w:rPr>
          <w:rFonts w:hint="cs"/>
          <w:rtl/>
        </w:rPr>
        <w:t xml:space="preserve">                           </w:t>
      </w:r>
      <w:r w:rsidR="007437BB">
        <w:rPr>
          <w:rFonts w:hint="cs"/>
          <w:rtl/>
        </w:rPr>
        <w:t xml:space="preserve">       </w:t>
      </w:r>
      <w:r>
        <w:rPr>
          <w:rFonts w:hint="cs"/>
          <w:rtl/>
        </w:rPr>
        <w:t xml:space="preserve">            </w:t>
      </w:r>
      <w:r>
        <w:rPr>
          <w:rtl/>
        </w:rPr>
        <w:t>(4).</w:t>
      </w:r>
      <w:r w:rsidRPr="00132E65">
        <w:rPr>
          <w:rtl/>
        </w:rPr>
        <w:t xml:space="preserve"> في البصائر والخصال :</w:t>
      </w:r>
      <w:r>
        <w:rPr>
          <w:rtl/>
        </w:rPr>
        <w:t xml:space="preserve"> + « إل</w:t>
      </w:r>
      <w:r>
        <w:rPr>
          <w:rFonts w:hint="cs"/>
          <w:rtl/>
        </w:rPr>
        <w:t>ّ</w:t>
      </w:r>
      <w:r>
        <w:rPr>
          <w:rtl/>
        </w:rPr>
        <w:t>ا</w:t>
      </w:r>
      <w:r w:rsidRPr="00132E65">
        <w:rPr>
          <w:rtl/>
        </w:rPr>
        <w:t xml:space="preserve"> »</w:t>
      </w:r>
      <w:r>
        <w:rPr>
          <w:rtl/>
        </w:rPr>
        <w:t>.</w:t>
      </w:r>
    </w:p>
    <w:p w:rsidR="000C39D1" w:rsidRPr="00132E65" w:rsidRDefault="000C39D1" w:rsidP="000C39D1">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308 ، ح 4 ، عن أحمد بن محمّد ؛ </w:t>
      </w:r>
      <w:r w:rsidRPr="0041444D">
        <w:rPr>
          <w:rtl/>
        </w:rPr>
        <w:t>الخصال</w:t>
      </w:r>
      <w:r w:rsidRPr="00132E65">
        <w:rPr>
          <w:rtl/>
        </w:rPr>
        <w:t xml:space="preserve"> ، ص 649 ، أبواب المائة وما فوقها ، ح 42 ، بسنده عن أحمد بن محمّد بن عيسى. </w:t>
      </w:r>
      <w:r w:rsidRPr="007A1104">
        <w:rPr>
          <w:rStyle w:val="libFootnoteBoldChar"/>
          <w:rtl/>
        </w:rPr>
        <w:t>بصائر الدرجات</w:t>
      </w:r>
      <w:r w:rsidRPr="00132E65">
        <w:rPr>
          <w:rtl/>
        </w:rPr>
        <w:t xml:space="preserve"> ، ص 307 ، ح 1 ، بسند آخر عن عليّ بن أبي حمزة ، عن حمران الحلبي ، عن أبان بن تغلب ، عن أبي عبد الله ؛ </w:t>
      </w:r>
      <w:r w:rsidRPr="0041444D">
        <w:rPr>
          <w:rtl/>
        </w:rPr>
        <w:t>الاختصاص</w:t>
      </w:r>
      <w:r w:rsidRPr="00132E65">
        <w:rPr>
          <w:rtl/>
        </w:rPr>
        <w:t xml:space="preserve"> ، ص 284 ، بسنده عن عليّ بن أبي حمزة ، عن عمران بن عليّ الحلبي ، عن أبان بن تغلب ، عن أبي عبدالله </w:t>
      </w:r>
      <w:r w:rsidRPr="000577A7">
        <w:rPr>
          <w:rStyle w:val="libFootnoteAlaemChar"/>
          <w:rtl/>
        </w:rPr>
        <w:t>عليهما‌السلام</w:t>
      </w:r>
      <w:r w:rsidRPr="00132E65">
        <w:rPr>
          <w:rtl/>
        </w:rPr>
        <w:t xml:space="preserve"> ، وفيهما : « كان في ذؤابة سيف علي </w:t>
      </w:r>
      <w:r w:rsidRPr="000577A7">
        <w:rPr>
          <w:rStyle w:val="libFootnoteAlaemChar"/>
          <w:rtl/>
        </w:rPr>
        <w:t>عليه‌السلام</w:t>
      </w:r>
      <w:r w:rsidRPr="00132E65">
        <w:rPr>
          <w:rtl/>
        </w:rPr>
        <w:t xml:space="preserve"> صحيفة صغيرة</w:t>
      </w:r>
      <w:r>
        <w:rPr>
          <w:rtl/>
        </w:rPr>
        <w:t xml:space="preserve"> ..</w:t>
      </w:r>
      <w:r w:rsidRPr="00132E65">
        <w:rPr>
          <w:rtl/>
        </w:rPr>
        <w:t xml:space="preserve">. » مع زيادة </w:t>
      </w:r>
      <w:r>
        <w:rPr>
          <w:rFonts w:hint="cs"/>
          <w:rtl/>
        </w:rPr>
        <w:t>.</w:t>
      </w:r>
      <w:r w:rsidRPr="009D1ACE">
        <w:rPr>
          <w:rStyle w:val="libFootnoteBoldChar"/>
          <w:rtl/>
        </w:rPr>
        <w:t>الوافي</w:t>
      </w:r>
      <w:r w:rsidRPr="00132E65">
        <w:rPr>
          <w:rtl/>
        </w:rPr>
        <w:t xml:space="preserve"> ، ج 2 ، ص 325 ، ح 783.</w:t>
      </w:r>
    </w:p>
    <w:p w:rsidR="000C39D1" w:rsidRPr="00132E65" w:rsidRDefault="000C39D1" w:rsidP="000C39D1">
      <w:pPr>
        <w:pStyle w:val="libFootnote0"/>
        <w:rPr>
          <w:rtl/>
          <w:lang w:bidi="fa-IR"/>
        </w:rPr>
      </w:pPr>
      <w:r>
        <w:rPr>
          <w:rtl/>
        </w:rPr>
        <w:t>(6).</w:t>
      </w:r>
      <w:r w:rsidRPr="00132E65">
        <w:rPr>
          <w:rtl/>
        </w:rPr>
        <w:t xml:space="preserve"> في « ألف ، ب ، ج ، ض ، و، بر ، بس ، بف » و</w:t>
      </w:r>
      <w:r w:rsidRPr="000577A7">
        <w:rPr>
          <w:rStyle w:val="libFootnoteBoldChar"/>
          <w:rtl/>
        </w:rPr>
        <w:t>الكافي</w:t>
      </w:r>
      <w:r w:rsidRPr="00132E65">
        <w:rPr>
          <w:rtl/>
        </w:rPr>
        <w:t xml:space="preserve"> ، ج 4373 ، والوسائل </w:t>
      </w:r>
      <w:r>
        <w:rPr>
          <w:rtl/>
        </w:rPr>
        <w:t xml:space="preserve">: - </w:t>
      </w:r>
      <w:r w:rsidRPr="00132E65">
        <w:rPr>
          <w:rtl/>
        </w:rPr>
        <w:t>« بن »</w:t>
      </w:r>
      <w:r>
        <w:rPr>
          <w:rtl/>
        </w:rPr>
        <w:t>.</w:t>
      </w:r>
      <w:r w:rsidRPr="00132E65">
        <w:rPr>
          <w:rtl/>
        </w:rPr>
        <w:t xml:space="preserve"> وقد تقدّم في </w:t>
      </w:r>
      <w:r w:rsidRPr="000577A7">
        <w:rPr>
          <w:rStyle w:val="libFootnoteBoldChar"/>
          <w:rtl/>
        </w:rPr>
        <w:t>الكافي</w:t>
      </w:r>
      <w:r w:rsidRPr="00132E65">
        <w:rPr>
          <w:rtl/>
        </w:rPr>
        <w:t xml:space="preserve"> ، ح 644 ، خلوّ بعض نسخ الكتب الرجاليّة من لفظة « بن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مَحْدُودٌ</w:t>
      </w:r>
      <w:r>
        <w:rPr>
          <w:rtl/>
          <w:lang w:bidi="fa-IR"/>
        </w:rPr>
        <w:t>؟</w:t>
      </w:r>
    </w:p>
    <w:p w:rsidR="000C39D1" w:rsidRPr="00132E65" w:rsidRDefault="000C39D1" w:rsidP="000C39D1">
      <w:pPr>
        <w:pStyle w:val="libNormal"/>
        <w:rPr>
          <w:rtl/>
          <w:lang w:bidi="fa-IR"/>
        </w:rPr>
      </w:pPr>
      <w:r w:rsidRPr="00132E65">
        <w:rPr>
          <w:rtl/>
          <w:lang w:bidi="fa-IR"/>
        </w:rPr>
        <w:t xml:space="preserve">قَالَ : « إِنَّ رَسُولَ اللهِ </w:t>
      </w:r>
      <w:r w:rsidRPr="00071CF9">
        <w:rPr>
          <w:rStyle w:val="libAlaemChar"/>
          <w:rtl/>
        </w:rPr>
        <w:t>صلى‌الله‌عليه‌وآله</w:t>
      </w:r>
      <w:r w:rsidRPr="00132E65">
        <w:rPr>
          <w:rtl/>
          <w:lang w:bidi="fa-IR"/>
        </w:rPr>
        <w:t xml:space="preserve"> قَالَ لِعَلِيٍّ </w:t>
      </w:r>
      <w:r w:rsidRPr="00071CF9">
        <w:rPr>
          <w:rStyle w:val="libAlaemChar"/>
          <w:rtl/>
        </w:rPr>
        <w:t>عليه‌السلام</w:t>
      </w:r>
      <w:r w:rsidRPr="00132E65">
        <w:rPr>
          <w:rtl/>
          <w:lang w:bidi="fa-IR"/>
        </w:rPr>
        <w:t xml:space="preserve"> : إِذَا أَنَا </w:t>
      </w:r>
      <w:r>
        <w:rPr>
          <w:rStyle w:val="libFootnotenumChar"/>
          <w:rtl/>
        </w:rPr>
        <w:t>(1)</w:t>
      </w:r>
      <w:r w:rsidRPr="00132E65">
        <w:rPr>
          <w:rtl/>
          <w:lang w:bidi="fa-IR"/>
        </w:rPr>
        <w:t xml:space="preserve"> مِتُّ فَاسْتَقِ </w:t>
      </w:r>
      <w:r>
        <w:rPr>
          <w:rStyle w:val="libFootnotenumChar"/>
          <w:rtl/>
        </w:rPr>
        <w:t>(2)</w:t>
      </w:r>
      <w:r w:rsidRPr="00132E65">
        <w:rPr>
          <w:rtl/>
          <w:lang w:bidi="fa-IR"/>
        </w:rPr>
        <w:t xml:space="preserve"> سِتَّ قِرَبٍ </w:t>
      </w:r>
      <w:r>
        <w:rPr>
          <w:rStyle w:val="libFootnotenumChar"/>
          <w:rtl/>
        </w:rPr>
        <w:t>(3)</w:t>
      </w:r>
      <w:r w:rsidRPr="00132E65">
        <w:rPr>
          <w:rtl/>
          <w:lang w:bidi="fa-IR"/>
        </w:rPr>
        <w:t xml:space="preserve"> مِنْ مَاءِ بِئْرِ غَرْسٍ </w:t>
      </w:r>
      <w:r>
        <w:rPr>
          <w:rStyle w:val="libFootnotenumChar"/>
          <w:rtl/>
        </w:rPr>
        <w:t>(4)</w:t>
      </w:r>
      <w:r w:rsidRPr="00132E65">
        <w:rPr>
          <w:rtl/>
          <w:lang w:bidi="fa-IR"/>
        </w:rPr>
        <w:t xml:space="preserve"> ، فَغَسِّلْنِي </w:t>
      </w:r>
      <w:r>
        <w:rPr>
          <w:rStyle w:val="libFootnotenumChar"/>
          <w:rtl/>
        </w:rPr>
        <w:t>(5)</w:t>
      </w:r>
      <w:r w:rsidRPr="00132E65">
        <w:rPr>
          <w:rtl/>
          <w:lang w:bidi="fa-IR"/>
        </w:rPr>
        <w:t xml:space="preserve"> وكَفِّنِّي وحَنِّطْنِي </w:t>
      </w:r>
      <w:r>
        <w:rPr>
          <w:rStyle w:val="libFootnotenumChar"/>
          <w:rtl/>
        </w:rPr>
        <w:t>(6)</w:t>
      </w:r>
      <w:r w:rsidRPr="00132E65">
        <w:rPr>
          <w:rtl/>
          <w:lang w:bidi="fa-IR"/>
        </w:rPr>
        <w:t xml:space="preserve"> ، فَإِذَا فَرَغْتَ مِنْ غُسْلِي وكَفْنِي ، فَخُذْ بِجَوَامِعِ </w:t>
      </w:r>
      <w:r>
        <w:rPr>
          <w:rStyle w:val="libFootnotenumChar"/>
          <w:rtl/>
        </w:rPr>
        <w:t>(7)</w:t>
      </w:r>
      <w:r w:rsidRPr="00132E65">
        <w:rPr>
          <w:rtl/>
          <w:lang w:bidi="fa-IR"/>
        </w:rPr>
        <w:t xml:space="preserve"> كَفَنِي ، وأَجْلِسْنِي ، ثُمَّ سَلْنِي عَمَّا شِئْتَ ، فَوَ اللهِ ، لَ</w:t>
      </w:r>
      <w:r>
        <w:rPr>
          <w:rtl/>
          <w:lang w:bidi="fa-IR"/>
        </w:rPr>
        <w:t>اتَسْأَلُنِي عَنْ شَيْ‌ءٍ إِل</w:t>
      </w:r>
      <w:r>
        <w:rPr>
          <w:rFonts w:hint="cs"/>
          <w:rtl/>
          <w:lang w:bidi="fa-IR"/>
        </w:rPr>
        <w:t>َّ</w:t>
      </w:r>
      <w:r>
        <w:rPr>
          <w:rtl/>
          <w:lang w:bidi="fa-IR"/>
        </w:rPr>
        <w:t>ا</w:t>
      </w:r>
      <w:r w:rsidRPr="00132E65">
        <w:rPr>
          <w:rtl/>
          <w:lang w:bidi="fa-IR"/>
        </w:rPr>
        <w:t xml:space="preserve"> أَجَبْتُكَ فِيهِ </w:t>
      </w:r>
      <w:r>
        <w:rPr>
          <w:rStyle w:val="libFootnotenumChar"/>
          <w:rtl/>
        </w:rPr>
        <w:t>(8)</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41444D">
        <w:rPr>
          <w:rtl/>
        </w:rPr>
        <w:t>773</w:t>
      </w:r>
      <w:r w:rsidRPr="004325D8">
        <w:rPr>
          <w:rStyle w:val="libBold2Char"/>
          <w:rtl/>
        </w:rPr>
        <w:t xml:space="preserve"> / 8.</w:t>
      </w:r>
      <w:r w:rsidRPr="00132E65">
        <w:rPr>
          <w:rtl/>
          <w:lang w:bidi="fa-IR"/>
        </w:rPr>
        <w:t xml:space="preserve"> مُحَمَّدُ بْنُ يَحْيى ، عَنْ أَحْمَدَ بْنِ مُحَمَّدٍ ، عَنِ الْحُسَيْنِ بْنِ سَعِيدٍ ، عَنِ الْقَاسِمِ بْنِ مُحَمَّدٍ ، عَنْ عَلِيِّ بْنِ أَبِي حَمْزَةَ ، عَنِ ابْنِ أَبِي سَعِيدٍ </w:t>
      </w:r>
      <w:r>
        <w:rPr>
          <w:rStyle w:val="libFootnotenumChar"/>
          <w:rtl/>
        </w:rPr>
        <w:t>(10)</w:t>
      </w:r>
      <w:r w:rsidRPr="00132E65">
        <w:rPr>
          <w:rtl/>
          <w:lang w:bidi="fa-IR"/>
        </w:rPr>
        <w:t xml:space="preserve"> ، عَنْ أَبَانِ بْنِ تَغْلِبَ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والوسائل و</w:t>
      </w:r>
      <w:r w:rsidRPr="009D1ACE">
        <w:rPr>
          <w:rStyle w:val="libFootnoteBoldChar"/>
          <w:rtl/>
        </w:rPr>
        <w:t>الوافي</w:t>
      </w:r>
      <w:r w:rsidRPr="00132E65">
        <w:rPr>
          <w:rtl/>
        </w:rPr>
        <w:t xml:space="preserve"> و</w:t>
      </w:r>
      <w:r w:rsidRPr="000577A7">
        <w:rPr>
          <w:rStyle w:val="libFootnoteBoldChar"/>
          <w:rtl/>
        </w:rPr>
        <w:t>الكافي</w:t>
      </w:r>
      <w:r w:rsidRPr="00132E65">
        <w:rPr>
          <w:rtl/>
        </w:rPr>
        <w:t xml:space="preserve"> ، ح 4373 والتهذيب و</w:t>
      </w:r>
      <w:r w:rsidRPr="007A1104">
        <w:rPr>
          <w:rStyle w:val="libFootnoteBoldChar"/>
          <w:rtl/>
        </w:rPr>
        <w:t>الاستبصار</w:t>
      </w:r>
      <w:r w:rsidRPr="00132E65">
        <w:rPr>
          <w:rtl/>
        </w:rPr>
        <w:t xml:space="preserve"> والبصائر ، ح 8 </w:t>
      </w:r>
      <w:r>
        <w:rPr>
          <w:rtl/>
        </w:rPr>
        <w:t>و 9</w:t>
      </w:r>
      <w:r w:rsidRPr="00132E65">
        <w:rPr>
          <w:rtl/>
        </w:rPr>
        <w:t xml:space="preserve">. وفي المطبوع </w:t>
      </w:r>
      <w:r>
        <w:rPr>
          <w:rtl/>
        </w:rPr>
        <w:t xml:space="preserve">: - </w:t>
      </w:r>
      <w:r w:rsidRPr="00132E65">
        <w:rPr>
          <w:rtl/>
        </w:rPr>
        <w:t>« أنا »</w:t>
      </w:r>
      <w:r>
        <w:rPr>
          <w:rtl/>
        </w:rPr>
        <w:t>.</w:t>
      </w:r>
    </w:p>
    <w:p w:rsidR="000C39D1" w:rsidRPr="00132E65" w:rsidRDefault="000C39D1" w:rsidP="000C39D1">
      <w:pPr>
        <w:pStyle w:val="libFootnote0"/>
        <w:rPr>
          <w:rtl/>
          <w:lang w:bidi="fa-IR"/>
        </w:rPr>
      </w:pPr>
      <w:r>
        <w:rPr>
          <w:rtl/>
        </w:rPr>
        <w:t>(2).</w:t>
      </w:r>
      <w:r w:rsidRPr="00132E65">
        <w:rPr>
          <w:rtl/>
        </w:rPr>
        <w:t xml:space="preserve"> في الوسائل و</w:t>
      </w:r>
      <w:r w:rsidRPr="000577A7">
        <w:rPr>
          <w:rStyle w:val="libFootnoteBoldChar"/>
          <w:rtl/>
        </w:rPr>
        <w:t>الكافي</w:t>
      </w:r>
      <w:r w:rsidRPr="00132E65">
        <w:rPr>
          <w:rtl/>
        </w:rPr>
        <w:t xml:space="preserve"> ، ح 4373 والتهذيب و</w:t>
      </w:r>
      <w:r w:rsidRPr="007A1104">
        <w:rPr>
          <w:rStyle w:val="libFootnoteBoldChar"/>
          <w:rtl/>
        </w:rPr>
        <w:t>الاستبصار</w:t>
      </w:r>
      <w:r w:rsidRPr="00132E65">
        <w:rPr>
          <w:rtl/>
        </w:rPr>
        <w:t xml:space="preserve"> ، والبصائر ، ح 8 </w:t>
      </w:r>
      <w:r>
        <w:rPr>
          <w:rtl/>
        </w:rPr>
        <w:t>و 9</w:t>
      </w:r>
      <w:r w:rsidRPr="00132E65">
        <w:rPr>
          <w:rtl/>
        </w:rPr>
        <w:t xml:space="preserve">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(3).</w:t>
      </w:r>
      <w:r w:rsidRPr="00132E65">
        <w:rPr>
          <w:rtl/>
        </w:rPr>
        <w:t xml:space="preserve"> قال الجوهري : « والقِرْبَة ، ما يستقى فيه الماء. والجمع في أدنى العدد : قِرَبات وقِرِبات وقِرْبات ، ول</w:t>
      </w:r>
      <w:r>
        <w:rPr>
          <w:rtl/>
        </w:rPr>
        <w:t>لكثير : قِرَب</w:t>
      </w:r>
      <w:r w:rsidRPr="00132E65">
        <w:rPr>
          <w:rtl/>
        </w:rPr>
        <w:t>»</w:t>
      </w:r>
      <w:r>
        <w:rPr>
          <w:rtl/>
        </w:rPr>
        <w:t>.</w:t>
      </w:r>
      <w:r w:rsidRPr="00132E65">
        <w:rPr>
          <w:rtl/>
        </w:rPr>
        <w:t xml:space="preserve"> </w:t>
      </w:r>
      <w:r w:rsidRPr="007A1104">
        <w:rPr>
          <w:rStyle w:val="libFootnoteBoldChar"/>
          <w:rtl/>
        </w:rPr>
        <w:t>الصحاح</w:t>
      </w:r>
      <w:r w:rsidRPr="00132E65">
        <w:rPr>
          <w:rtl/>
        </w:rPr>
        <w:t xml:space="preserve"> ، ج 1 ، ص 199 ( قرب )</w:t>
      </w:r>
      <w:r>
        <w:rPr>
          <w:rtl/>
        </w:rPr>
        <w:t>.</w:t>
      </w:r>
    </w:p>
    <w:p w:rsidR="000C39D1" w:rsidRPr="00132E65" w:rsidRDefault="000C39D1" w:rsidP="000C39D1">
      <w:pPr>
        <w:pStyle w:val="libFootnote0"/>
        <w:rPr>
          <w:rtl/>
          <w:lang w:bidi="fa-IR"/>
        </w:rPr>
      </w:pPr>
      <w:r>
        <w:rPr>
          <w:rtl/>
        </w:rPr>
        <w:t>(4).</w:t>
      </w:r>
      <w:r w:rsidRPr="00132E65">
        <w:rPr>
          <w:rtl/>
        </w:rPr>
        <w:t xml:space="preserve"> « الغَرْس » : بئر بالمدينة. </w:t>
      </w:r>
      <w:r w:rsidRPr="0041444D">
        <w:rPr>
          <w:rtl/>
        </w:rPr>
        <w:t>النهاية</w:t>
      </w:r>
      <w:r w:rsidRPr="00132E65">
        <w:rPr>
          <w:rtl/>
        </w:rPr>
        <w:t xml:space="preserve"> ، ج 3 ، ص 359 ( غرس )</w:t>
      </w:r>
      <w:r>
        <w:rPr>
          <w:rtl/>
        </w:rPr>
        <w:t>.</w:t>
      </w:r>
    </w:p>
    <w:tbl>
      <w:tblPr>
        <w:tblStyle w:val="TableGrid"/>
        <w:bidiVisual/>
        <w:tblW w:w="0" w:type="auto"/>
        <w:tblLook w:val="04A0" w:firstRow="1" w:lastRow="0" w:firstColumn="1" w:lastColumn="0" w:noHBand="0" w:noVBand="1"/>
      </w:tblPr>
      <w:tblGrid>
        <w:gridCol w:w="3891"/>
        <w:gridCol w:w="4121"/>
      </w:tblGrid>
      <w:tr w:rsidR="000C39D1" w:rsidTr="00B53873">
        <w:tc>
          <w:tcPr>
            <w:tcW w:w="3891" w:type="dxa"/>
          </w:tcPr>
          <w:p w:rsidR="000C39D1" w:rsidRDefault="000C39D1" w:rsidP="00B53873">
            <w:pPr>
              <w:pStyle w:val="libFootnote0"/>
              <w:rPr>
                <w:rtl/>
              </w:rPr>
            </w:pPr>
            <w:r>
              <w:rPr>
                <w:rtl/>
              </w:rPr>
              <w:t>(5).</w:t>
            </w:r>
            <w:r w:rsidRPr="00132E65">
              <w:rPr>
                <w:rtl/>
              </w:rPr>
              <w:t xml:space="preserve">في </w:t>
            </w:r>
            <w:r>
              <w:rPr>
                <w:rtl/>
              </w:rPr>
              <w:t>الوسائل والتهذيب و</w:t>
            </w:r>
            <w:r w:rsidRPr="007A1104">
              <w:rPr>
                <w:rStyle w:val="libFootnoteBoldChar"/>
                <w:rtl/>
              </w:rPr>
              <w:t>الاستبصار</w:t>
            </w:r>
            <w:r>
              <w:rPr>
                <w:rtl/>
              </w:rPr>
              <w:t xml:space="preserve"> : «فاغسلني</w:t>
            </w:r>
            <w:r w:rsidRPr="00132E65">
              <w:rPr>
                <w:rtl/>
              </w:rPr>
              <w:t>»</w:t>
            </w:r>
            <w:r>
              <w:rPr>
                <w:rtl/>
              </w:rPr>
              <w:t>.</w:t>
            </w:r>
          </w:p>
        </w:tc>
        <w:tc>
          <w:tcPr>
            <w:tcW w:w="4121" w:type="dxa"/>
          </w:tcPr>
          <w:p w:rsidR="000C39D1" w:rsidRDefault="000C39D1" w:rsidP="00B53873">
            <w:pPr>
              <w:pStyle w:val="libFootnote0"/>
              <w:rPr>
                <w:rtl/>
              </w:rPr>
            </w:pPr>
            <w:r>
              <w:rPr>
                <w:rtl/>
              </w:rPr>
              <w:t>(6).في الوسائل</w:t>
            </w:r>
            <w:r>
              <w:rPr>
                <w:rFonts w:hint="cs"/>
                <w:rtl/>
              </w:rPr>
              <w:t xml:space="preserve"> </w:t>
            </w:r>
            <w:r w:rsidRPr="00132E65">
              <w:rPr>
                <w:rtl/>
              </w:rPr>
              <w:t>و</w:t>
            </w:r>
            <w:r w:rsidRPr="000577A7">
              <w:rPr>
                <w:rStyle w:val="libFootnoteBoldChar"/>
                <w:rtl/>
              </w:rPr>
              <w:t>الكافي</w:t>
            </w:r>
            <w:r>
              <w:rPr>
                <w:rtl/>
              </w:rPr>
              <w:t>،ح 4373 : «كفني</w:t>
            </w:r>
            <w:r>
              <w:rPr>
                <w:rFonts w:hint="cs"/>
                <w:rtl/>
              </w:rPr>
              <w:t xml:space="preserve"> </w:t>
            </w:r>
            <w:r>
              <w:rPr>
                <w:rtl/>
              </w:rPr>
              <w:t>وتحنيطي</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في الوسائل و</w:t>
      </w:r>
      <w:r w:rsidRPr="000577A7">
        <w:rPr>
          <w:rStyle w:val="libFootnoteBoldChar"/>
          <w:rtl/>
        </w:rPr>
        <w:t>الكافي</w:t>
      </w:r>
      <w:r w:rsidRPr="00132E65">
        <w:rPr>
          <w:rtl/>
        </w:rPr>
        <w:t xml:space="preserve"> ، ح 4373 ، والتهذيب والبصائر ، ح 8 </w:t>
      </w:r>
      <w:r>
        <w:rPr>
          <w:rtl/>
        </w:rPr>
        <w:t>و 9</w:t>
      </w:r>
      <w:r w:rsidRPr="00132E65">
        <w:rPr>
          <w:rtl/>
        </w:rPr>
        <w:t xml:space="preserve"> : « بمجامع »</w:t>
      </w:r>
      <w:r>
        <w:rPr>
          <w:rtl/>
        </w:rPr>
        <w:t>.</w:t>
      </w:r>
      <w:r w:rsidRPr="00132E65">
        <w:rPr>
          <w:rtl/>
        </w:rPr>
        <w:t xml:space="preserve"> وفي </w:t>
      </w:r>
      <w:r w:rsidRPr="009D1ACE">
        <w:rPr>
          <w:rStyle w:val="libFootnoteBoldChar"/>
          <w:rtl/>
        </w:rPr>
        <w:t>مرآة العقول</w:t>
      </w:r>
      <w:r w:rsidRPr="00132E65">
        <w:rPr>
          <w:rtl/>
        </w:rPr>
        <w:t xml:space="preserve"> « والجوامع : جمع الجامعة ، وهي المواضع التي جمعت طرفي الثوب الملفوف على شي‌ء »</w:t>
      </w:r>
      <w:r>
        <w:rPr>
          <w:rtl/>
        </w:rPr>
        <w:t>.</w:t>
      </w:r>
    </w:p>
    <w:p w:rsidR="000C39D1" w:rsidRPr="00132E65" w:rsidRDefault="000C39D1" w:rsidP="000C39D1">
      <w:pPr>
        <w:pStyle w:val="libFootnote0"/>
        <w:rPr>
          <w:rtl/>
          <w:lang w:bidi="fa-IR"/>
        </w:rPr>
      </w:pPr>
      <w:r>
        <w:rPr>
          <w:rtl/>
        </w:rPr>
        <w:t>(8).</w:t>
      </w:r>
      <w:r w:rsidRPr="00132E65">
        <w:rPr>
          <w:rtl/>
        </w:rPr>
        <w:t xml:space="preserve"> في « ف » : « عنه »</w:t>
      </w:r>
      <w:r>
        <w:rPr>
          <w:rtl/>
        </w:rPr>
        <w:t>.</w:t>
      </w:r>
    </w:p>
    <w:p w:rsidR="000C39D1" w:rsidRPr="00132E65" w:rsidRDefault="000C39D1" w:rsidP="000C39D1">
      <w:pPr>
        <w:pStyle w:val="libFootnote0"/>
        <w:rPr>
          <w:rtl/>
          <w:lang w:bidi="fa-IR"/>
        </w:rPr>
      </w:pPr>
      <w:r>
        <w:rPr>
          <w:rtl/>
        </w:rPr>
        <w:t>(9).</w:t>
      </w:r>
      <w:r w:rsidRPr="00132E65">
        <w:rPr>
          <w:rtl/>
        </w:rPr>
        <w:t xml:space="preserve"> </w:t>
      </w:r>
      <w:r w:rsidRPr="000577A7">
        <w:rPr>
          <w:rStyle w:val="libFootnoteBoldChar"/>
          <w:rtl/>
        </w:rPr>
        <w:t>الكافي</w:t>
      </w:r>
      <w:r w:rsidRPr="00132E65">
        <w:rPr>
          <w:rtl/>
        </w:rPr>
        <w:t xml:space="preserve"> ، كتاب الجنائز ، باب حدّ الماء الذي يغسل به الميّت والكافور ، ح 4373 ، وفيه : « عدّة من أصحابنا ، عن سهل بن زياد ، عن أحمد بن محمّد بن أبي نصر ، عن فضيل سكّرة »</w:t>
      </w:r>
      <w:r>
        <w:rPr>
          <w:rtl/>
        </w:rPr>
        <w:t>.</w:t>
      </w:r>
      <w:r w:rsidRPr="00132E65">
        <w:rPr>
          <w:rtl/>
        </w:rPr>
        <w:t xml:space="preserve"> </w:t>
      </w:r>
      <w:r w:rsidRPr="007A1104">
        <w:rPr>
          <w:rStyle w:val="libFootnoteBoldChar"/>
          <w:rtl/>
        </w:rPr>
        <w:t>بصائر الدرجات</w:t>
      </w:r>
      <w:r w:rsidRPr="00132E65">
        <w:rPr>
          <w:rtl/>
        </w:rPr>
        <w:t xml:space="preserve"> ، ص 284 ، ح 9 ، عن أحمد بن محمّد بن عيسى ، عن أحمد بن محمّد بن أبي نصر ، عن فضيل سكّرة ؛ </w:t>
      </w:r>
      <w:r w:rsidRPr="0041444D">
        <w:rPr>
          <w:rtl/>
        </w:rPr>
        <w:t>وفيه</w:t>
      </w:r>
      <w:r w:rsidRPr="00132E65">
        <w:rPr>
          <w:rtl/>
        </w:rPr>
        <w:t xml:space="preserve"> ، ص 284 ، ح 8 ، عن محمّد بن الحسين ، عن ابن أبي نصر عن فضيل سكّرة ؛ </w:t>
      </w:r>
      <w:r w:rsidRPr="0041444D">
        <w:rPr>
          <w:rtl/>
        </w:rPr>
        <w:t>التهذيب</w:t>
      </w:r>
      <w:r w:rsidRPr="00132E65">
        <w:rPr>
          <w:rtl/>
        </w:rPr>
        <w:t xml:space="preserve"> ، ج 1 ، ص 435 ، ح 1397 ؛ </w:t>
      </w:r>
      <w:r w:rsidRPr="007A1104">
        <w:rPr>
          <w:rStyle w:val="libFootnoteBoldChar"/>
          <w:rtl/>
        </w:rPr>
        <w:t>الاستبصار</w:t>
      </w:r>
      <w:r w:rsidRPr="00132E65">
        <w:rPr>
          <w:rtl/>
        </w:rPr>
        <w:t xml:space="preserve"> ، ج 1 ، ص 196 ، ح 688 إلى قوله : « فغسّلني وكفّني » ، وفيهما : عن سهل بن زياد ، عن أحمد بن محمّد بن أبي نصر ، عن فضيل سكّرة. </w:t>
      </w:r>
      <w:r w:rsidRPr="007A1104">
        <w:rPr>
          <w:rStyle w:val="libFootnoteBoldChar"/>
          <w:rtl/>
        </w:rPr>
        <w:t>بصائر الدرجات</w:t>
      </w:r>
      <w:r w:rsidRPr="00132E65">
        <w:rPr>
          <w:rtl/>
        </w:rPr>
        <w:t xml:space="preserve"> ، ص 283 ، ح 2 </w:t>
      </w:r>
      <w:r>
        <w:rPr>
          <w:rtl/>
        </w:rPr>
        <w:t>و 3</w:t>
      </w:r>
      <w:r w:rsidRPr="00132E65">
        <w:rPr>
          <w:rtl/>
        </w:rPr>
        <w:t xml:space="preserve"> ، بطرق مختلفة ، مع اختلاف يسير ؛ وفي </w:t>
      </w:r>
      <w:r w:rsidRPr="000577A7">
        <w:rPr>
          <w:rStyle w:val="libFootnoteBoldChar"/>
          <w:rtl/>
        </w:rPr>
        <w:t>الكافي</w:t>
      </w:r>
      <w:r w:rsidRPr="00132E65">
        <w:rPr>
          <w:rtl/>
        </w:rPr>
        <w:t xml:space="preserve"> ، كتاب الجنائز ، باب حدّ الماء الذي</w:t>
      </w:r>
      <w:r>
        <w:rPr>
          <w:rtl/>
        </w:rPr>
        <w:t xml:space="preserve"> ..</w:t>
      </w:r>
      <w:r w:rsidRPr="00132E65">
        <w:rPr>
          <w:rtl/>
        </w:rPr>
        <w:t>. ، ح 4374 ؛ و</w:t>
      </w:r>
      <w:r w:rsidRPr="0041444D">
        <w:rPr>
          <w:rtl/>
        </w:rPr>
        <w:t xml:space="preserve">التهذيب </w:t>
      </w:r>
      <w:r w:rsidRPr="00132E65">
        <w:rPr>
          <w:rtl/>
        </w:rPr>
        <w:t>، ج 1 ، ص 435 ، ح 1398 ؛ و</w:t>
      </w:r>
      <w:r w:rsidRPr="007A1104">
        <w:rPr>
          <w:rStyle w:val="libFootnoteBoldChar"/>
          <w:rtl/>
        </w:rPr>
        <w:t>الاستبصار</w:t>
      </w:r>
      <w:r w:rsidRPr="00132E65">
        <w:rPr>
          <w:rtl/>
        </w:rPr>
        <w:t xml:space="preserve"> ، ج 1 ، ص 196 ، ح 687 بسند آخر هكذا : « قال رسول الله </w:t>
      </w:r>
      <w:r w:rsidRPr="007437BB">
        <w:rPr>
          <w:rStyle w:val="libFootnoteAlaemChar"/>
          <w:rtl/>
        </w:rPr>
        <w:t>صلى‌الله‌عليه‌وآله</w:t>
      </w:r>
      <w:r w:rsidRPr="00132E65">
        <w:rPr>
          <w:rtl/>
          <w:lang w:bidi="fa-IR"/>
        </w:rPr>
        <w:t xml:space="preserve"> </w:t>
      </w:r>
      <w:r w:rsidRPr="00132E65">
        <w:rPr>
          <w:rtl/>
        </w:rPr>
        <w:t xml:space="preserve">لعليّ </w:t>
      </w:r>
      <w:r w:rsidRPr="007437BB">
        <w:rPr>
          <w:rStyle w:val="libFootnoteAlaemChar"/>
          <w:rtl/>
        </w:rPr>
        <w:t>عليه‌السلام</w:t>
      </w:r>
      <w:r w:rsidRPr="00132E65">
        <w:rPr>
          <w:rtl/>
        </w:rPr>
        <w:t xml:space="preserve"> : يا عليّ إذا أنا متّ فاغسلني بسبع غرف من ماء بئر غرس » </w:t>
      </w:r>
      <w:r>
        <w:rPr>
          <w:rFonts w:hint="cs"/>
          <w:rtl/>
        </w:rPr>
        <w:t>.</w:t>
      </w:r>
      <w:r w:rsidRPr="009D1ACE">
        <w:rPr>
          <w:rStyle w:val="libFootnoteBoldChar"/>
          <w:rtl/>
        </w:rPr>
        <w:t>الوافي</w:t>
      </w:r>
      <w:r w:rsidRPr="00132E65">
        <w:rPr>
          <w:rtl/>
        </w:rPr>
        <w:t xml:space="preserve"> ، ج 2 ، ص 324 ، ح 781 ؛ </w:t>
      </w:r>
      <w:r w:rsidRPr="0041444D">
        <w:rPr>
          <w:rtl/>
        </w:rPr>
        <w:t>الوسائل</w:t>
      </w:r>
      <w:r w:rsidRPr="00132E65">
        <w:rPr>
          <w:rtl/>
        </w:rPr>
        <w:t xml:space="preserve"> ، ج 2 ، ص 537 ، ح 2846.</w:t>
      </w:r>
    </w:p>
    <w:p w:rsidR="000C39D1" w:rsidRPr="00132E65" w:rsidRDefault="000C39D1" w:rsidP="000C39D1">
      <w:pPr>
        <w:pStyle w:val="libFootnote0"/>
        <w:rPr>
          <w:rtl/>
          <w:lang w:bidi="fa-IR"/>
        </w:rPr>
      </w:pPr>
      <w:r>
        <w:rPr>
          <w:rtl/>
        </w:rPr>
        <w:t>(10).</w:t>
      </w:r>
      <w:r w:rsidRPr="00132E65">
        <w:rPr>
          <w:rtl/>
        </w:rPr>
        <w:t xml:space="preserve"> في « ج ، ض » : أبي سعيد. وفي «</w:t>
      </w:r>
      <w:r>
        <w:rPr>
          <w:rtl/>
        </w:rPr>
        <w:t xml:space="preserve"> و »</w:t>
      </w:r>
      <w:r w:rsidRPr="00132E65">
        <w:rPr>
          <w:rtl/>
        </w:rPr>
        <w:t xml:space="preserve"> وحاشية « ج » : « ابن سعيد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عَنْ أَبِي عَبْدِ اللهِ </w:t>
      </w:r>
      <w:r w:rsidRPr="00071CF9">
        <w:rPr>
          <w:rStyle w:val="libAlaemChar"/>
          <w:rtl/>
        </w:rPr>
        <w:t>عليه‌السلام</w:t>
      </w:r>
      <w:r w:rsidRPr="00132E65">
        <w:rPr>
          <w:rtl/>
          <w:lang w:bidi="fa-IR"/>
        </w:rPr>
        <w:t xml:space="preserve"> ، قَالَ : « لَمَّا حَضَرَ رَسُولَ اللهِ </w:t>
      </w:r>
      <w:r w:rsidRPr="00071CF9">
        <w:rPr>
          <w:rStyle w:val="libAlaemChar"/>
          <w:rtl/>
        </w:rPr>
        <w:t>صلى‌الله‌عليه‌وآله</w:t>
      </w:r>
      <w:r w:rsidRPr="00132E65">
        <w:rPr>
          <w:rtl/>
          <w:lang w:bidi="fa-IR"/>
        </w:rPr>
        <w:t xml:space="preserve"> الْمَوْتُ ، دَخَلَ عَلَيْهِ عَلِيٌّ </w:t>
      </w:r>
      <w:r w:rsidRPr="00071CF9">
        <w:rPr>
          <w:rStyle w:val="libAlaemChar"/>
          <w:rtl/>
        </w:rPr>
        <w:t>عليه‌السلام</w:t>
      </w:r>
      <w:r w:rsidRPr="00132E65">
        <w:rPr>
          <w:rtl/>
          <w:lang w:bidi="fa-IR"/>
        </w:rPr>
        <w:t xml:space="preserve"> ، فَأَدْخَلَ رَأْسَهُ ، ثُمَّ قَالَ : يَا عَلِيُّ ، إِذَا أَنَا مِتُّ فَغَسِّلْنِي وكَفِّنِّي ، ثُمَّ أَقْعِدْنِي وسَلْنِي </w:t>
      </w:r>
      <w:r>
        <w:rPr>
          <w:rStyle w:val="libFootnotenumChar"/>
          <w:rtl/>
        </w:rPr>
        <w:t>(1)</w:t>
      </w:r>
      <w:r w:rsidRPr="00132E65">
        <w:rPr>
          <w:rtl/>
          <w:lang w:bidi="fa-IR"/>
        </w:rPr>
        <w:t xml:space="preserve"> وَاكْتُبْ </w:t>
      </w:r>
      <w:r>
        <w:rPr>
          <w:rStyle w:val="libFootnotenumChar"/>
          <w:rtl/>
        </w:rPr>
        <w:t>(2)</w:t>
      </w:r>
      <w:r w:rsidRPr="00132E65">
        <w:rPr>
          <w:rtl/>
          <w:lang w:bidi="fa-IR"/>
        </w:rPr>
        <w:t xml:space="preserve"> »</w:t>
      </w:r>
      <w:r>
        <w:rPr>
          <w:rtl/>
          <w:lang w:bidi="fa-IR"/>
        </w:rPr>
        <w:t>.</w:t>
      </w:r>
      <w:r>
        <w:rPr>
          <w:rStyle w:val="libFootnotenumChar"/>
          <w:rtl/>
        </w:rPr>
        <w:t>(3)</w:t>
      </w:r>
    </w:p>
    <w:p w:rsidR="000C39D1" w:rsidRPr="00132E65" w:rsidRDefault="000C39D1" w:rsidP="000C39D1">
      <w:pPr>
        <w:pStyle w:val="libNormal"/>
        <w:rPr>
          <w:rtl/>
          <w:lang w:bidi="fa-IR"/>
        </w:rPr>
      </w:pPr>
      <w:r w:rsidRPr="0041444D">
        <w:rPr>
          <w:rtl/>
        </w:rPr>
        <w:t>774</w:t>
      </w:r>
      <w:r w:rsidRPr="004325D8">
        <w:rPr>
          <w:rStyle w:val="libBold2Char"/>
          <w:rtl/>
        </w:rPr>
        <w:t xml:space="preserve"> / 9.</w:t>
      </w:r>
      <w:r w:rsidRPr="00132E65">
        <w:rPr>
          <w:rtl/>
          <w:lang w:bidi="fa-IR"/>
        </w:rPr>
        <w:t xml:space="preserve"> عَلِيُّ بْنُ مُحَمَّدٍ ، عَنْ سَهْلِ بْنِ زِيَادٍ ، عَنْ مُحَمَّدِ بْنِ الْوَلِيدِ شَبَابٍ الصَّيْرَفِيِّ ، عَنْ يُونُسَ بْنِ رِبَاطٍ ، قَالَ :</w:t>
      </w:r>
    </w:p>
    <w:p w:rsidR="000C39D1" w:rsidRPr="00132E65" w:rsidRDefault="000C39D1" w:rsidP="007437BB">
      <w:pPr>
        <w:pStyle w:val="libNormal"/>
        <w:rPr>
          <w:rtl/>
          <w:lang w:bidi="fa-IR"/>
        </w:rPr>
      </w:pPr>
      <w:r w:rsidRPr="00132E65">
        <w:rPr>
          <w:rtl/>
          <w:lang w:bidi="fa-IR"/>
        </w:rPr>
        <w:t xml:space="preserve">دَخَلْتُ أَنَا وكَامِلٌ التَّمَّارُ عَلى أَبِي عَبْدِ اللهِ </w:t>
      </w:r>
      <w:r w:rsidRPr="00071CF9">
        <w:rPr>
          <w:rStyle w:val="libAlaemChar"/>
          <w:rtl/>
        </w:rPr>
        <w:t>عليه‌السلام</w:t>
      </w:r>
      <w:r w:rsidRPr="00132E65">
        <w:rPr>
          <w:rtl/>
          <w:lang w:bidi="fa-IR"/>
        </w:rPr>
        <w:t xml:space="preserve"> ، فَقَالَ لَهُ كَامِلٌ : جُعِلْتُ فِدَاكَ ، حَدِيثٌ رَوَاهُ فُلَانٌ</w:t>
      </w:r>
      <w:r>
        <w:rPr>
          <w:rtl/>
          <w:lang w:bidi="fa-IR"/>
        </w:rPr>
        <w:t>؟</w:t>
      </w:r>
      <w:r w:rsidRPr="00132E65">
        <w:rPr>
          <w:rtl/>
          <w:lang w:bidi="fa-IR"/>
        </w:rPr>
        <w:t xml:space="preserve"> فَقَالَ : « اذْكُرْهُ »</w:t>
      </w:r>
      <w:r>
        <w:rPr>
          <w:rtl/>
          <w:lang w:bidi="fa-IR"/>
        </w:rPr>
        <w:t>.</w:t>
      </w:r>
      <w:r w:rsidRPr="00132E65">
        <w:rPr>
          <w:rtl/>
          <w:lang w:bidi="fa-IR"/>
        </w:rPr>
        <w:t xml:space="preserve"> فَقَالَ </w:t>
      </w:r>
      <w:r>
        <w:rPr>
          <w:rStyle w:val="libFootnotenumChar"/>
          <w:rtl/>
        </w:rPr>
        <w:t>(4)</w:t>
      </w:r>
      <w:r w:rsidRPr="00132E65">
        <w:rPr>
          <w:rtl/>
          <w:lang w:bidi="fa-IR"/>
        </w:rPr>
        <w:t xml:space="preserve"> : حَدَّثَنِي أَنَّ النَّبِيَّ </w:t>
      </w:r>
      <w:r w:rsidRPr="00071CF9">
        <w:rPr>
          <w:rStyle w:val="libAlaemChar"/>
          <w:rtl/>
        </w:rPr>
        <w:t>صلى‌الله‌عليه‌وآله</w:t>
      </w:r>
      <w:r w:rsidRPr="00132E65">
        <w:rPr>
          <w:rtl/>
          <w:lang w:bidi="fa-IR"/>
        </w:rPr>
        <w:t xml:space="preserve"> حَدَّثَ عَلِيّاً </w:t>
      </w:r>
      <w:r w:rsidR="007437BB" w:rsidRPr="00071CF9">
        <w:rPr>
          <w:rStyle w:val="libAlaemChar"/>
          <w:rtl/>
        </w:rPr>
        <w:t>عليه‌السلام</w:t>
      </w:r>
      <w:r w:rsidR="007437BB" w:rsidRPr="00132E65">
        <w:rPr>
          <w:rtl/>
          <w:lang w:bidi="fa-IR"/>
        </w:rPr>
        <w:t xml:space="preserve"> </w:t>
      </w:r>
      <w:r w:rsidRPr="00132E65">
        <w:rPr>
          <w:rtl/>
          <w:lang w:bidi="fa-IR"/>
        </w:rPr>
        <w:t xml:space="preserve">بِأَلْفِ بَابٍ يَوْمَ تُوُفِّىَ رَسُولُ اللهِ </w:t>
      </w:r>
      <w:r w:rsidRPr="00071CF9">
        <w:rPr>
          <w:rStyle w:val="libAlaemChar"/>
          <w:rtl/>
        </w:rPr>
        <w:t>صلى‌الله‌عليه‌وآله</w:t>
      </w:r>
      <w:r w:rsidRPr="00132E65">
        <w:rPr>
          <w:rtl/>
          <w:lang w:bidi="fa-IR"/>
        </w:rPr>
        <w:t xml:space="preserve"> </w:t>
      </w:r>
      <w:r>
        <w:rPr>
          <w:rStyle w:val="libFootnotenumChar"/>
          <w:rtl/>
        </w:rPr>
        <w:t>(5)</w:t>
      </w:r>
      <w:r w:rsidRPr="00132E65">
        <w:rPr>
          <w:rtl/>
          <w:lang w:bidi="fa-IR"/>
        </w:rPr>
        <w:t xml:space="preserve"> ، كُلُّ بَابٍ يَفْتَحُ أَلْفَ بَابٍ ، فَذلِكَ أَلْفُ أَلْفِ بَابٍ</w:t>
      </w:r>
      <w:r>
        <w:rPr>
          <w:rtl/>
          <w:lang w:bidi="fa-IR"/>
        </w:rPr>
        <w:t>؟</w:t>
      </w:r>
      <w:r w:rsidRPr="00132E65">
        <w:rPr>
          <w:rtl/>
          <w:lang w:bidi="fa-IR"/>
        </w:rPr>
        <w:t xml:space="preserve"> فَقَالَ : « لَقَدْ كَانَ ذلِكَ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5627DE" w:rsidRDefault="000C39D1" w:rsidP="000C39D1">
      <w:pPr>
        <w:pStyle w:val="libFootnote0"/>
        <w:rPr>
          <w:rtl/>
        </w:rPr>
      </w:pPr>
      <w:r>
        <w:rPr>
          <w:rFonts w:hint="cs"/>
          <w:rtl/>
        </w:rPr>
        <w:t>=</w:t>
      </w:r>
      <w:r w:rsidRPr="005627DE">
        <w:rPr>
          <w:rtl/>
        </w:rPr>
        <w:t xml:space="preserve">والخبر رواه الصفّار في </w:t>
      </w:r>
      <w:r w:rsidRPr="007A1104">
        <w:rPr>
          <w:rStyle w:val="libFootnoteBoldChar"/>
          <w:rtl/>
        </w:rPr>
        <w:t>بصائر الدرجات</w:t>
      </w:r>
      <w:r w:rsidRPr="005627DE">
        <w:rPr>
          <w:rtl/>
        </w:rPr>
        <w:t xml:space="preserve"> ، ص 282 ، ح 1 ، بسنده عن عمر بن أبي شعبة ، من دون الإسناد إلى المعصوم </w:t>
      </w:r>
      <w:r w:rsidRPr="007A1104">
        <w:rPr>
          <w:rStyle w:val="libFootnoteAlaemChar"/>
          <w:rtl/>
        </w:rPr>
        <w:t>عليه‌السلام</w:t>
      </w:r>
      <w:r w:rsidRPr="005627DE">
        <w:rPr>
          <w:rtl/>
        </w:rPr>
        <w:t xml:space="preserve">. ورواه أيضاً في ص 283 ، ح 5 ، بالسند المذكور إلى عمر بن أبي شعبة ، عن أبان بن تغلب ، عن أبي عبد الله </w:t>
      </w:r>
      <w:r w:rsidRPr="007437BB">
        <w:rPr>
          <w:rStyle w:val="libFootnoteAlaemChar"/>
          <w:rtl/>
        </w:rPr>
        <w:t>عليه‌السلام</w:t>
      </w:r>
      <w:r w:rsidRPr="005627DE">
        <w:rPr>
          <w:rtl/>
        </w:rPr>
        <w:t>.</w:t>
      </w:r>
    </w:p>
    <w:p w:rsidR="000C39D1" w:rsidRPr="006E0790" w:rsidRDefault="000C39D1" w:rsidP="00E55206">
      <w:pPr>
        <w:pStyle w:val="libFootnote0"/>
        <w:rPr>
          <w:rtl/>
        </w:rPr>
      </w:pPr>
      <w:r w:rsidRPr="006E0790">
        <w:rPr>
          <w:rtl/>
        </w:rPr>
        <w:t xml:space="preserve">ثمّ إنّه قد روى أحمد بن عمر الحلبي </w:t>
      </w:r>
      <w:r>
        <w:rPr>
          <w:rtl/>
        </w:rPr>
        <w:t>-</w:t>
      </w:r>
      <w:r w:rsidRPr="006E0790">
        <w:rPr>
          <w:rtl/>
        </w:rPr>
        <w:t xml:space="preserve"> وهو أحمد بن عمر بن أبي شعبه </w:t>
      </w:r>
      <w:r>
        <w:rPr>
          <w:rtl/>
        </w:rPr>
        <w:t>-</w:t>
      </w:r>
      <w:r w:rsidRPr="006E0790">
        <w:rPr>
          <w:rtl/>
        </w:rPr>
        <w:t xml:space="preserve"> عن أبيه عن أبان بن تغلب في الكافي ، ح 5050.</w:t>
      </w:r>
    </w:p>
    <w:p w:rsidR="000C39D1" w:rsidRPr="00E55206" w:rsidRDefault="000C39D1" w:rsidP="000C39D1">
      <w:pPr>
        <w:pStyle w:val="libNormal"/>
        <w:rPr>
          <w:rStyle w:val="libFootnote0Char"/>
          <w:rtl/>
        </w:rPr>
      </w:pPr>
      <w:r w:rsidRPr="00E55206">
        <w:rPr>
          <w:rStyle w:val="libFootnote0Char"/>
          <w:rtl/>
        </w:rPr>
        <w:t xml:space="preserve">وأمّا ما ورد في التهذيب ، ج 2 ، ص 299 ، ح 1205 من رواية أحمد بن عمر الحلبى عن أبان بن تغلب - وهو نفس الخبر الذي ورد في الكافي ، ح 5050 - ففيه سقط لا محالة ؛ فإنّ أحمد بن عمر من أصحاب الرضا </w:t>
      </w:r>
      <w:r w:rsidRPr="007437BB">
        <w:rPr>
          <w:rStyle w:val="libFootnoteAlaemChar"/>
          <w:rtl/>
        </w:rPr>
        <w:t>عليه‌السلام</w:t>
      </w:r>
      <w:r w:rsidRPr="00E55206">
        <w:rPr>
          <w:rStyle w:val="libFootnote0Char"/>
          <w:rtl/>
        </w:rPr>
        <w:t xml:space="preserve"> ، وأبان بن تغلب مات في حياة أبي عبد الله </w:t>
      </w:r>
      <w:r w:rsidRPr="007437BB">
        <w:rPr>
          <w:rStyle w:val="libFootnoteAlaemChar"/>
          <w:rtl/>
        </w:rPr>
        <w:t>عليه‌السلام</w:t>
      </w:r>
      <w:r w:rsidRPr="00E55206">
        <w:rPr>
          <w:rStyle w:val="libFootnote0Char"/>
          <w:rtl/>
        </w:rPr>
        <w:t xml:space="preserve"> ، فيبعد إدراك أحمد إيّاه وأخذ الرواية عنه. راجع : </w:t>
      </w:r>
      <w:r w:rsidRPr="007A1104">
        <w:rPr>
          <w:rStyle w:val="libFootnoteBoldChar"/>
          <w:rtl/>
        </w:rPr>
        <w:t>رجال النجاشى</w:t>
      </w:r>
      <w:r w:rsidRPr="00E55206">
        <w:rPr>
          <w:rStyle w:val="libFootnote0Char"/>
          <w:rtl/>
        </w:rPr>
        <w:t xml:space="preserve"> ، ص 13 وص 98 ، الرقم 245 ؛ </w:t>
      </w:r>
      <w:r w:rsidRPr="007A1104">
        <w:rPr>
          <w:rStyle w:val="libFootnoteBoldChar"/>
          <w:rtl/>
        </w:rPr>
        <w:t>رجال الكشّي</w:t>
      </w:r>
      <w:r w:rsidRPr="00E55206">
        <w:rPr>
          <w:rStyle w:val="libFootnote0Char"/>
          <w:rtl/>
        </w:rPr>
        <w:t xml:space="preserve"> ، ص 597 ، الرقم 1116 ؛ الفهرست للطوسي ، ص 44 ، الرقم 61.</w:t>
      </w:r>
      <w:r w:rsidRPr="00E55206">
        <w:rPr>
          <w:rStyle w:val="libFootnote0Char"/>
          <w:rFonts w:hint="cs"/>
          <w:rtl/>
        </w:rPr>
        <w:t xml:space="preserve"> </w:t>
      </w:r>
      <w:r w:rsidRPr="00E55206">
        <w:rPr>
          <w:rStyle w:val="libFootnote0Char"/>
          <w:rtl/>
        </w:rPr>
        <w:t>فالمحتمل في ما نحن فيه ، وقوع التصحيف في العنوان ، وكون الصواب « ابن أبي شعبة ».</w:t>
      </w:r>
    </w:p>
    <w:p w:rsidR="000C39D1" w:rsidRPr="00132E65" w:rsidRDefault="000C39D1" w:rsidP="000C39D1">
      <w:pPr>
        <w:pStyle w:val="libFootnote0"/>
        <w:rPr>
          <w:rtl/>
          <w:lang w:bidi="fa-IR"/>
        </w:rPr>
      </w:pPr>
      <w:r>
        <w:rPr>
          <w:rtl/>
        </w:rPr>
        <w:t>(1).</w:t>
      </w:r>
      <w:r w:rsidRPr="00132E65">
        <w:rPr>
          <w:rtl/>
        </w:rPr>
        <w:t xml:space="preserve"> في البصائر : « واسألني »</w:t>
      </w:r>
      <w:r>
        <w:rPr>
          <w:rtl/>
        </w:rPr>
        <w:t>.</w:t>
      </w:r>
    </w:p>
    <w:p w:rsidR="000C39D1" w:rsidRPr="00132E65" w:rsidRDefault="000C39D1" w:rsidP="000C39D1">
      <w:pPr>
        <w:pStyle w:val="libFootnote0"/>
        <w:rPr>
          <w:rtl/>
          <w:lang w:bidi="fa-IR"/>
        </w:rPr>
      </w:pPr>
      <w:r>
        <w:rPr>
          <w:rtl/>
        </w:rPr>
        <w:t>(2).</w:t>
      </w:r>
      <w:r w:rsidRPr="00132E65">
        <w:rPr>
          <w:rtl/>
        </w:rPr>
        <w:t xml:space="preserve"> في « ف » : « فاكتب »</w:t>
      </w:r>
      <w:r>
        <w:rPr>
          <w:rtl/>
        </w:rPr>
        <w:t>.</w:t>
      </w:r>
    </w:p>
    <w:p w:rsidR="000C39D1" w:rsidRPr="00132E65" w:rsidRDefault="000C39D1" w:rsidP="000C39D1">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282 ، ح 1 ، عن أحمد بن محمّد</w:t>
      </w:r>
      <w:r>
        <w:rPr>
          <w:rtl/>
        </w:rPr>
        <w:t xml:space="preserve"> ..</w:t>
      </w:r>
      <w:r w:rsidRPr="00132E65">
        <w:rPr>
          <w:rtl/>
        </w:rPr>
        <w:t xml:space="preserve">. عن عليّ بن أبي حمزة ، عن عمر بن أبي شعبة من دون الإسناد إلى المعصوم </w:t>
      </w:r>
      <w:r w:rsidRPr="007437BB">
        <w:rPr>
          <w:rStyle w:val="libFootnoteAlaemChar"/>
          <w:rtl/>
        </w:rPr>
        <w:t>عليه‌السلام</w:t>
      </w:r>
      <w:r w:rsidRPr="00132E65">
        <w:rPr>
          <w:rtl/>
        </w:rPr>
        <w:t xml:space="preserve"> ؛ </w:t>
      </w:r>
      <w:r w:rsidRPr="0041444D">
        <w:rPr>
          <w:rtl/>
        </w:rPr>
        <w:t>وفيه</w:t>
      </w:r>
      <w:r w:rsidRPr="00132E65">
        <w:rPr>
          <w:rtl/>
        </w:rPr>
        <w:t xml:space="preserve"> ، ح 5 ، عن أحمد بن محمّد ، عن عليّ بن أبي حمزة ، عن عمر بن أبي شعبة ، عن أبان بن تغلب ، عن أبي عبد الله </w:t>
      </w:r>
      <w:r w:rsidRPr="007437BB">
        <w:rPr>
          <w:rStyle w:val="libFootnoteAlaemChar"/>
          <w:rtl/>
        </w:rPr>
        <w:t>عليه‌السلام</w:t>
      </w:r>
      <w:r w:rsidRPr="00132E65">
        <w:rPr>
          <w:rtl/>
        </w:rPr>
        <w:t xml:space="preserve">. </w:t>
      </w:r>
      <w:r w:rsidRPr="0041444D">
        <w:rPr>
          <w:rtl/>
        </w:rPr>
        <w:t>وفيه</w:t>
      </w:r>
      <w:r w:rsidRPr="00132E65">
        <w:rPr>
          <w:rtl/>
        </w:rPr>
        <w:t xml:space="preserve"> أيضاً ، ص 283</w:t>
      </w:r>
      <w:r>
        <w:rPr>
          <w:rtl/>
        </w:rPr>
        <w:t xml:space="preserve"> - </w:t>
      </w:r>
      <w:r w:rsidRPr="00132E65">
        <w:rPr>
          <w:rtl/>
        </w:rPr>
        <w:t xml:space="preserve">284 ، ح 4 </w:t>
      </w:r>
      <w:r>
        <w:rPr>
          <w:rtl/>
        </w:rPr>
        <w:t>و 6</w:t>
      </w:r>
      <w:r w:rsidRPr="00132E65">
        <w:rPr>
          <w:rtl/>
        </w:rPr>
        <w:t xml:space="preserve"> </w:t>
      </w:r>
      <w:r>
        <w:rPr>
          <w:rtl/>
        </w:rPr>
        <w:t>و 7</w:t>
      </w:r>
      <w:r w:rsidRPr="00132E65">
        <w:rPr>
          <w:rtl/>
        </w:rPr>
        <w:t xml:space="preserve"> ، بسند آخر ، مع اختلاف يسير </w:t>
      </w:r>
      <w:r>
        <w:rPr>
          <w:rFonts w:hint="cs"/>
          <w:rtl/>
        </w:rPr>
        <w:t>.</w:t>
      </w:r>
      <w:r w:rsidRPr="009D1ACE">
        <w:rPr>
          <w:rStyle w:val="libFootnoteBoldChar"/>
          <w:rtl/>
        </w:rPr>
        <w:t>الوافي</w:t>
      </w:r>
      <w:r w:rsidRPr="00132E65">
        <w:rPr>
          <w:rtl/>
        </w:rPr>
        <w:t xml:space="preserve"> ، ج 2 ، ص 324 ، ح 780.</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ه‍ » : « قال »</w:t>
            </w:r>
            <w:r>
              <w:rPr>
                <w:rtl/>
              </w:rPr>
              <w:t>.</w:t>
            </w:r>
          </w:p>
        </w:tc>
        <w:tc>
          <w:tcPr>
            <w:tcW w:w="4006" w:type="dxa"/>
          </w:tcPr>
          <w:p w:rsidR="000C39D1" w:rsidRDefault="000C39D1" w:rsidP="00B53873">
            <w:pPr>
              <w:pStyle w:val="libFootnote0"/>
              <w:rPr>
                <w:rtl/>
              </w:rPr>
            </w:pPr>
            <w:r>
              <w:rPr>
                <w:rtl/>
              </w:rPr>
              <w:t>(5).</w:t>
            </w:r>
            <w:r w:rsidRPr="00132E65">
              <w:rPr>
                <w:rtl/>
              </w:rPr>
              <w:t xml:space="preserve"> في « بح » :</w:t>
            </w:r>
            <w:r>
              <w:rPr>
                <w:rtl/>
              </w:rPr>
              <w:t xml:space="preserve"> + </w:t>
            </w:r>
            <w:r w:rsidRPr="00132E65">
              <w:rPr>
                <w:rtl/>
              </w:rPr>
              <w:t>« فيه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lastRenderedPageBreak/>
        <w:t xml:space="preserve">قُلْتُ : جُعِلْتُ فِدَاكَ ، فَظَهَرَ </w:t>
      </w:r>
      <w:r>
        <w:rPr>
          <w:rStyle w:val="libFootnotenumChar"/>
          <w:rtl/>
        </w:rPr>
        <w:t>(1)</w:t>
      </w:r>
      <w:r w:rsidRPr="00132E65">
        <w:rPr>
          <w:rtl/>
          <w:lang w:bidi="fa-IR"/>
        </w:rPr>
        <w:t xml:space="preserve"> ذلِكَ لِشِيعَتِكُمْ ومَوَالِيكُمْ </w:t>
      </w:r>
      <w:r>
        <w:rPr>
          <w:rStyle w:val="libFootnotenumChar"/>
          <w:rtl/>
        </w:rPr>
        <w:t>(2)</w:t>
      </w:r>
      <w:r>
        <w:rPr>
          <w:rtl/>
          <w:lang w:bidi="fa-IR"/>
        </w:rPr>
        <w:t>؟</w:t>
      </w:r>
      <w:r w:rsidRPr="00132E65">
        <w:rPr>
          <w:rtl/>
          <w:lang w:bidi="fa-IR"/>
        </w:rPr>
        <w:t xml:space="preserve"> فَقَالَ : « يَ</w:t>
      </w:r>
      <w:r w:rsidR="007437BB">
        <w:rPr>
          <w:rtl/>
          <w:lang w:bidi="fa-IR"/>
        </w:rPr>
        <w:t>ا كَامِلُ ، بَابٌ أَوْ بَابَانِ</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فَقُلْتُ </w:t>
      </w:r>
      <w:r>
        <w:rPr>
          <w:rStyle w:val="libFootnotenumChar"/>
          <w:rtl/>
        </w:rPr>
        <w:t>(3)</w:t>
      </w:r>
      <w:r w:rsidRPr="00132E65">
        <w:rPr>
          <w:rtl/>
          <w:lang w:bidi="fa-IR"/>
        </w:rPr>
        <w:t xml:space="preserve"> لَهُ </w:t>
      </w:r>
      <w:r>
        <w:rPr>
          <w:rStyle w:val="libFootnotenumChar"/>
          <w:rtl/>
        </w:rPr>
        <w:t>(4)</w:t>
      </w:r>
      <w:r w:rsidRPr="00132E65">
        <w:rPr>
          <w:rtl/>
          <w:lang w:bidi="fa-IR"/>
        </w:rPr>
        <w:t xml:space="preserve"> : جُعِلْتُ فِدَاكَ ، فَمَا يُرْوى مِنْ فَضْلِكُمْ</w:t>
      </w:r>
      <w:r>
        <w:rPr>
          <w:rtl/>
          <w:lang w:bidi="fa-IR"/>
        </w:rPr>
        <w:t xml:space="preserve"> مِنْ أَلْفِ أَلْفِ بَابٍ إِل</w:t>
      </w:r>
      <w:r>
        <w:rPr>
          <w:rFonts w:hint="cs"/>
          <w:rtl/>
          <w:lang w:bidi="fa-IR"/>
        </w:rPr>
        <w:t>َّ</w:t>
      </w:r>
      <w:r>
        <w:rPr>
          <w:rtl/>
          <w:lang w:bidi="fa-IR"/>
        </w:rPr>
        <w:t>ا</w:t>
      </w:r>
      <w:r w:rsidRPr="00132E65">
        <w:rPr>
          <w:rtl/>
          <w:lang w:bidi="fa-IR"/>
        </w:rPr>
        <w:t xml:space="preserve"> بَابٌ أَوْ بَابَانِ</w:t>
      </w:r>
      <w:r>
        <w:rPr>
          <w:rtl/>
          <w:lang w:bidi="fa-IR"/>
        </w:rPr>
        <w:t>؟</w:t>
      </w:r>
      <w:r w:rsidRPr="00132E65">
        <w:rPr>
          <w:rtl/>
          <w:lang w:bidi="fa-IR"/>
        </w:rPr>
        <w:t xml:space="preserve"> قَالَ : فَقَالَ : « وَمَا عَسَيْتُمْ أَنْ تَرْوُوا مِنْ فَضْلِنَا ، مَا</w:t>
      </w:r>
      <w:r>
        <w:rPr>
          <w:rtl/>
          <w:lang w:bidi="fa-IR"/>
        </w:rPr>
        <w:t xml:space="preserve"> تَرْوُونَ مِنْ فَضْلِنَا إِل</w:t>
      </w:r>
      <w:r>
        <w:rPr>
          <w:rFonts w:hint="cs"/>
          <w:rtl/>
          <w:lang w:bidi="fa-IR"/>
        </w:rPr>
        <w:t>َّ</w:t>
      </w:r>
      <w:r>
        <w:rPr>
          <w:rtl/>
          <w:lang w:bidi="fa-IR"/>
        </w:rPr>
        <w:t>ا</w:t>
      </w:r>
      <w:r w:rsidRPr="00132E65">
        <w:rPr>
          <w:rtl/>
          <w:lang w:bidi="fa-IR"/>
        </w:rPr>
        <w:t xml:space="preserve"> أَلِفاً </w:t>
      </w:r>
      <w:r>
        <w:rPr>
          <w:rStyle w:val="libFootnotenumChar"/>
          <w:rtl/>
        </w:rPr>
        <w:t>(5)</w:t>
      </w:r>
      <w:r w:rsidRPr="00132E65">
        <w:rPr>
          <w:rtl/>
          <w:lang w:bidi="fa-IR"/>
        </w:rPr>
        <w:t xml:space="preserve"> غَيْرَ مَعْطُوفَةٍ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p>
    <w:p w:rsidR="000C39D1" w:rsidRPr="00132E65" w:rsidRDefault="000C39D1" w:rsidP="000C39D1">
      <w:pPr>
        <w:pStyle w:val="Heading2Center"/>
        <w:rPr>
          <w:rtl/>
          <w:lang w:bidi="fa-IR"/>
        </w:rPr>
      </w:pPr>
      <w:bookmarkStart w:id="10" w:name="_Toc459459093"/>
      <w:bookmarkStart w:id="11" w:name="_Toc34663062"/>
      <w:r w:rsidRPr="00132E65">
        <w:rPr>
          <w:rtl/>
          <w:lang w:bidi="fa-IR"/>
        </w:rPr>
        <w:t>66</w:t>
      </w:r>
      <w:r>
        <w:rPr>
          <w:rtl/>
          <w:lang w:bidi="fa-IR"/>
        </w:rPr>
        <w:t xml:space="preserve"> - </w:t>
      </w:r>
      <w:r w:rsidRPr="00132E65">
        <w:rPr>
          <w:rtl/>
          <w:lang w:bidi="fa-IR"/>
        </w:rPr>
        <w:t xml:space="preserve">بَابُ الْإِشَارَةِ والنَّصِّ عَلَى الْحَسَنِ بْنِ عَلِيٍّ </w:t>
      </w:r>
      <w:r w:rsidRPr="00071CF9">
        <w:rPr>
          <w:rStyle w:val="libAlaemChar"/>
          <w:rtl/>
        </w:rPr>
        <w:t>عليهما‌السلام</w:t>
      </w:r>
      <w:r w:rsidRPr="00132E65">
        <w:rPr>
          <w:rtl/>
          <w:lang w:bidi="fa-IR"/>
        </w:rPr>
        <w:t>‌</w:t>
      </w:r>
      <w:bookmarkEnd w:id="10"/>
      <w:bookmarkEnd w:id="11"/>
    </w:p>
    <w:p w:rsidR="000C39D1" w:rsidRPr="00132E65" w:rsidRDefault="000C39D1" w:rsidP="000C39D1">
      <w:pPr>
        <w:pStyle w:val="libNormal"/>
        <w:rPr>
          <w:rtl/>
          <w:lang w:bidi="fa-IR"/>
        </w:rPr>
      </w:pPr>
      <w:r w:rsidRPr="0041444D">
        <w:rPr>
          <w:rtl/>
        </w:rPr>
        <w:t>775</w:t>
      </w:r>
      <w:r w:rsidRPr="004325D8">
        <w:rPr>
          <w:rStyle w:val="libBold2Char"/>
          <w:rtl/>
        </w:rPr>
        <w:t xml:space="preserve"> / 1.</w:t>
      </w:r>
      <w:r w:rsidRPr="00132E65">
        <w:rPr>
          <w:rtl/>
          <w:lang w:bidi="fa-IR"/>
        </w:rPr>
        <w:t xml:space="preserve"> عَلِيُّ بْنُ إِبْرَاهِيمَ ، عَنْ أَبِيهِ ، عَنْ حَمَّادِ بْنِ عِيسى ، عَنْ إِبْرَاهِيمَ بْنِ عُمَرَ الْيَمَانِيِّ وعُمَرَ بْنِ أُذَيْنَةَ ، عَنْ أَبَانٍ ، عَنْ سُلَيْمِ بْنِ قَيْسٍ ، قَالَ :</w:t>
      </w:r>
    </w:p>
    <w:p w:rsidR="000C39D1" w:rsidRPr="00132E65" w:rsidRDefault="000C39D1" w:rsidP="000C39D1">
      <w:pPr>
        <w:pStyle w:val="libNormal"/>
        <w:rPr>
          <w:rtl/>
          <w:lang w:bidi="fa-IR"/>
        </w:rPr>
      </w:pPr>
      <w:r w:rsidRPr="00132E65">
        <w:rPr>
          <w:rtl/>
          <w:lang w:bidi="fa-IR"/>
        </w:rPr>
        <w:t xml:space="preserve">شَهِدْتُ وصِيَّةَ أَمِيرِ الْمُؤْمِنِينَ </w:t>
      </w:r>
      <w:r w:rsidRPr="00071CF9">
        <w:rPr>
          <w:rStyle w:val="libAlaemChar"/>
          <w:rtl/>
        </w:rPr>
        <w:t>عليه‌السلام</w:t>
      </w:r>
      <w:r w:rsidRPr="00132E65">
        <w:rPr>
          <w:rtl/>
          <w:lang w:bidi="fa-IR"/>
        </w:rPr>
        <w:t xml:space="preserve"> حِينَ أَوْصى إِلَى ابْنِهِ الْحَسَنِ </w:t>
      </w:r>
      <w:r w:rsidRPr="00071CF9">
        <w:rPr>
          <w:rStyle w:val="libAlaemChar"/>
          <w:rtl/>
        </w:rPr>
        <w:t>عليه‌السلام</w:t>
      </w:r>
      <w:r w:rsidRPr="00132E65">
        <w:rPr>
          <w:rtl/>
          <w:lang w:bidi="fa-IR"/>
        </w:rPr>
        <w:t xml:space="preserve"> ، وأَشْهَدَ عَلى وَصِيَّتِهِ الْحُسَيْنَ ومُحَمَّداً </w:t>
      </w:r>
      <w:r w:rsidRPr="00071CF9">
        <w:rPr>
          <w:rStyle w:val="libAlaemChar"/>
          <w:rtl/>
        </w:rPr>
        <w:t>عليهما‌السلام</w:t>
      </w:r>
      <w:r w:rsidRPr="00132E65">
        <w:rPr>
          <w:rtl/>
          <w:lang w:bidi="fa-IR"/>
        </w:rPr>
        <w:t xml:space="preserve"> ، وجَمِيعَ و</w:t>
      </w:r>
      <w:r>
        <w:rPr>
          <w:rFonts w:hint="cs"/>
          <w:rtl/>
          <w:lang w:bidi="fa-IR"/>
        </w:rPr>
        <w:t>ُ</w:t>
      </w:r>
      <w:r w:rsidRPr="00132E65">
        <w:rPr>
          <w:rtl/>
          <w:lang w:bidi="fa-IR"/>
        </w:rPr>
        <w:t xml:space="preserve">لْدِهِ ، ورُؤَسَاءَ شِيعَتِهِ ، وأَهْلَ بَيْتِهِ ، ثُمَّ دَفَعَ إِلَيْهِ الْكِتَابَ والسِّلَاحَ ، وقَالَ </w:t>
      </w:r>
      <w:r>
        <w:rPr>
          <w:rStyle w:val="libFootnotenumChar"/>
          <w:rtl/>
        </w:rPr>
        <w:t>(8)</w:t>
      </w:r>
      <w:r w:rsidRPr="00132E65">
        <w:rPr>
          <w:rtl/>
          <w:lang w:bidi="fa-IR"/>
        </w:rPr>
        <w:t xml:space="preserve"> لِابْنِهِ الْحَسَنِ </w:t>
      </w:r>
      <w:r w:rsidRPr="00071CF9">
        <w:rPr>
          <w:rStyle w:val="libAlaemChar"/>
          <w:rtl/>
        </w:rPr>
        <w:t>عليه‌السلام</w:t>
      </w:r>
      <w:r w:rsidRPr="00132E65">
        <w:rPr>
          <w:rtl/>
          <w:lang w:bidi="fa-IR"/>
        </w:rPr>
        <w:t xml:space="preserve"> : « يَا بُنَيَّ ، أَمَرَنِي رَسُولُ اللهِ </w:t>
      </w:r>
      <w:r w:rsidRPr="00071CF9">
        <w:rPr>
          <w:rStyle w:val="libAlaemChar"/>
          <w:rtl/>
        </w:rPr>
        <w:t>صلى‌الله‌عليه‌وآله</w:t>
      </w:r>
      <w:r w:rsidRPr="00132E65">
        <w:rPr>
          <w:rtl/>
          <w:lang w:bidi="fa-IR"/>
        </w:rPr>
        <w:t xml:space="preserve"> أَنْ أُوصِيَ إِلَيْكَ ، وأَنْ أَدْفَعَ إِلَيْكَ كُتُبِي وسِلَاحِي ، كَمَا أَوْصى إِلَيَّ رَسُولُ اللهِ </w:t>
      </w:r>
      <w:r w:rsidRPr="00071CF9">
        <w:rPr>
          <w:rStyle w:val="libAlaemChar"/>
          <w:rtl/>
        </w:rPr>
        <w:t>صلى‌الله‌عليه‌وآله</w:t>
      </w:r>
      <w:r w:rsidRPr="00132E65">
        <w:rPr>
          <w:rtl/>
          <w:lang w:bidi="fa-IR"/>
        </w:rPr>
        <w:t xml:space="preserve"> ودَفَعَ إِلَيَّ‌</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بر » : « ظهر »</w:t>
            </w:r>
            <w:r>
              <w:rPr>
                <w:rtl/>
              </w:rPr>
              <w:t>.</w:t>
            </w:r>
          </w:p>
        </w:tc>
        <w:tc>
          <w:tcPr>
            <w:tcW w:w="4006" w:type="dxa"/>
          </w:tcPr>
          <w:p w:rsidR="000C39D1" w:rsidRDefault="000C39D1" w:rsidP="00B53873">
            <w:pPr>
              <w:pStyle w:val="libFootnote0"/>
              <w:rPr>
                <w:rtl/>
              </w:rPr>
            </w:pPr>
            <w:r>
              <w:rPr>
                <w:rtl/>
              </w:rPr>
              <w:t>(2).</w:t>
            </w:r>
            <w:r w:rsidRPr="00132E65">
              <w:rPr>
                <w:rtl/>
              </w:rPr>
              <w:t xml:space="preserve"> في « ف » : « لشيعتك ومواليك »</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في « ه‍ » : « قال فقال »</w:t>
            </w:r>
            <w:r>
              <w:rPr>
                <w:rtl/>
              </w:rPr>
              <w:t>.</w:t>
            </w:r>
          </w:p>
        </w:tc>
        <w:tc>
          <w:tcPr>
            <w:tcW w:w="4006" w:type="dxa"/>
          </w:tcPr>
          <w:p w:rsidR="000C39D1" w:rsidRDefault="000C39D1" w:rsidP="00B53873">
            <w:pPr>
              <w:pStyle w:val="libFootnote0"/>
              <w:rPr>
                <w:rtl/>
              </w:rPr>
            </w:pPr>
            <w:r>
              <w:rPr>
                <w:rtl/>
              </w:rPr>
              <w:t>(4).</w:t>
            </w:r>
            <w:r w:rsidRPr="00132E65">
              <w:rPr>
                <w:rtl/>
              </w:rPr>
              <w:t xml:space="preserve"> في « ض ، بس »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(5).</w:t>
      </w:r>
      <w:r w:rsidRPr="00132E65">
        <w:rPr>
          <w:rtl/>
        </w:rPr>
        <w:t xml:space="preserve"> كذا في « ب ، ج ، و، بح ، بر » والمطبوع. وفسّره في حاشية « ض » وشرح المازندراني و</w:t>
      </w:r>
      <w:r w:rsidRPr="009D1ACE">
        <w:rPr>
          <w:rStyle w:val="libFootnoteBoldChar"/>
          <w:rtl/>
        </w:rPr>
        <w:t>مرآة العقول</w:t>
      </w:r>
      <w:r w:rsidRPr="00132E65">
        <w:rPr>
          <w:rtl/>
        </w:rPr>
        <w:t xml:space="preserve"> بالألف. ويقتضيها تأنيث « معطوفة » أيضاً. واحتمل المازندراني كونه بفتح الهمزة وسكون اللام. وللمزيد راجع : </w:t>
      </w:r>
      <w:r w:rsidRPr="009110A3">
        <w:rPr>
          <w:rStyle w:val="libFootnoteBoldChar"/>
          <w:rtl/>
        </w:rPr>
        <w:t>شرح المازندراني</w:t>
      </w:r>
      <w:r w:rsidRPr="00132E65">
        <w:rPr>
          <w:rtl/>
        </w:rPr>
        <w:t xml:space="preserve"> ، ج 6 ، ص 133 ؛ </w:t>
      </w:r>
      <w:r w:rsidRPr="009D1ACE">
        <w:rPr>
          <w:rStyle w:val="libFootnoteBoldChar"/>
          <w:rtl/>
        </w:rPr>
        <w:t>مرآة العقول</w:t>
      </w:r>
      <w:r w:rsidRPr="00132E65">
        <w:rPr>
          <w:rtl/>
        </w:rPr>
        <w:t xml:space="preserve"> ، ج 3 ، ص 290.</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من فضلكم ، أي من علمكم « إل</w:t>
      </w:r>
      <w:r>
        <w:rPr>
          <w:rtl/>
        </w:rPr>
        <w:t>اّ ألِفاً غير معطوفة » يعني إل</w:t>
      </w:r>
      <w:r>
        <w:rPr>
          <w:rFonts w:hint="cs"/>
          <w:rtl/>
        </w:rPr>
        <w:t>ّ</w:t>
      </w:r>
      <w:r>
        <w:rPr>
          <w:rtl/>
        </w:rPr>
        <w:t>ا</w:t>
      </w:r>
      <w:r w:rsidRPr="00132E65">
        <w:rPr>
          <w:rtl/>
        </w:rPr>
        <w:t xml:space="preserve">حرفاً واحداً ناقصاً ، أي أقلّ من حرف واحد. وإنّما اختار الألِف لأنّها أقلّ الحروف وأبسطها وأخفّها مؤونة ، وعدم عطفها كناية عن نقصانها ، فإنّها تكتب في رسم الخطّ الكوفي هكذا « </w:t>
      </w:r>
      <w:r>
        <w:rPr>
          <w:rFonts w:hint="cs"/>
          <w:rtl/>
        </w:rPr>
        <w:t>ـ</w:t>
      </w:r>
      <w:r w:rsidRPr="00132E65">
        <w:rPr>
          <w:rtl/>
        </w:rPr>
        <w:t>ا » فإذا كان طرفها غير مائل كان ناقصاً »</w:t>
      </w:r>
      <w:r>
        <w:rPr>
          <w:rtl/>
        </w:rPr>
        <w:t>.</w:t>
      </w:r>
    </w:p>
    <w:p w:rsidR="000C39D1" w:rsidRPr="00132E65" w:rsidRDefault="000C39D1" w:rsidP="000C39D1">
      <w:pPr>
        <w:pStyle w:val="libFootnote0"/>
        <w:rPr>
          <w:rtl/>
          <w:lang w:bidi="fa-IR"/>
        </w:rPr>
      </w:pPr>
      <w:r>
        <w:rPr>
          <w:rtl/>
        </w:rPr>
        <w:t>(7).</w:t>
      </w:r>
      <w:r w:rsidRPr="00132E65">
        <w:rPr>
          <w:rtl/>
        </w:rPr>
        <w:t xml:space="preserve"> راجع : </w:t>
      </w:r>
      <w:r w:rsidRPr="007A1104">
        <w:rPr>
          <w:rStyle w:val="libFootnoteBoldChar"/>
          <w:rtl/>
        </w:rPr>
        <w:t>بصائر الدرجات</w:t>
      </w:r>
      <w:r w:rsidRPr="00132E65">
        <w:rPr>
          <w:rtl/>
        </w:rPr>
        <w:t xml:space="preserve"> ، ص 305 ، ح 11 ؛ و</w:t>
      </w:r>
      <w:r w:rsidRPr="0041444D">
        <w:rPr>
          <w:rtl/>
        </w:rPr>
        <w:t xml:space="preserve">الاختصاص </w:t>
      </w:r>
      <w:r w:rsidRPr="00132E65">
        <w:rPr>
          <w:rtl/>
        </w:rPr>
        <w:t>، ص 282</w:t>
      </w:r>
      <w:r>
        <w:rPr>
          <w:rtl/>
        </w:rPr>
        <w:t xml:space="preserve"> - </w:t>
      </w:r>
      <w:r w:rsidRPr="00132E65">
        <w:rPr>
          <w:rtl/>
        </w:rPr>
        <w:t>283 ؛ و</w:t>
      </w:r>
      <w:r w:rsidRPr="0041444D">
        <w:rPr>
          <w:rtl/>
        </w:rPr>
        <w:t xml:space="preserve">الخصال </w:t>
      </w:r>
      <w:r w:rsidRPr="00132E65">
        <w:rPr>
          <w:rtl/>
        </w:rPr>
        <w:t>، ص 642</w:t>
      </w:r>
      <w:r>
        <w:rPr>
          <w:rtl/>
        </w:rPr>
        <w:t xml:space="preserve"> - </w:t>
      </w:r>
      <w:r w:rsidRPr="00132E65">
        <w:rPr>
          <w:rtl/>
        </w:rPr>
        <w:t>649 ، فصل ما بعد الألف ، ح 22</w:t>
      </w:r>
      <w:r>
        <w:rPr>
          <w:rtl/>
        </w:rPr>
        <w:t xml:space="preserve"> – </w:t>
      </w:r>
      <w:r w:rsidRPr="00132E65">
        <w:rPr>
          <w:rtl/>
        </w:rPr>
        <w:t>41</w:t>
      </w:r>
      <w:r>
        <w:rPr>
          <w:rFonts w:hint="cs"/>
          <w:rtl/>
        </w:rPr>
        <w:t>.</w:t>
      </w:r>
      <w:r w:rsidRPr="009D1ACE">
        <w:rPr>
          <w:rStyle w:val="libFootnoteBoldChar"/>
          <w:rtl/>
        </w:rPr>
        <w:t>الوافي</w:t>
      </w:r>
      <w:r w:rsidRPr="00132E65">
        <w:rPr>
          <w:rtl/>
        </w:rPr>
        <w:t xml:space="preserve"> ، ج 2 ، ص 323 ، ح 779.</w:t>
      </w:r>
    </w:p>
    <w:p w:rsidR="000C39D1" w:rsidRPr="00132E65" w:rsidRDefault="000C39D1" w:rsidP="000C39D1">
      <w:pPr>
        <w:pStyle w:val="libFootnote0"/>
        <w:rPr>
          <w:rtl/>
          <w:lang w:bidi="fa-IR"/>
        </w:rPr>
      </w:pPr>
      <w:r>
        <w:rPr>
          <w:rtl/>
        </w:rPr>
        <w:t>(8).</w:t>
      </w:r>
      <w:r w:rsidRPr="00132E65">
        <w:rPr>
          <w:rtl/>
        </w:rPr>
        <w:t xml:space="preserve"> في حاشية « ف » وكتاب سليم بن قيس والفقيه والتهذيب : « ثمّ 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كُتُبَهُ وسِلَاحَهُ </w:t>
      </w:r>
      <w:r>
        <w:rPr>
          <w:rStyle w:val="libFootnotenumChar"/>
          <w:rtl/>
        </w:rPr>
        <w:t>(1)</w:t>
      </w:r>
      <w:r w:rsidRPr="00132E65">
        <w:rPr>
          <w:rtl/>
          <w:lang w:bidi="fa-IR"/>
        </w:rPr>
        <w:t xml:space="preserve"> ، وأَمَرَنِي‌أَنْ آمُرَكَ إِذَا حَضَرَكَ‌الْمَوْتُ أَنْ تَدْفَعَهَا إِلى أَخِيكَ الْحُسَيْنِ »</w:t>
      </w:r>
      <w:r>
        <w:rPr>
          <w:rtl/>
          <w:lang w:bidi="fa-IR"/>
        </w:rPr>
        <w:t>.</w:t>
      </w:r>
      <w:r w:rsidRPr="00132E65">
        <w:rPr>
          <w:rtl/>
          <w:lang w:bidi="fa-IR"/>
        </w:rPr>
        <w:t xml:space="preserve"> ثُمَّ أَقْبَلَ عَلَى </w:t>
      </w:r>
      <w:r>
        <w:rPr>
          <w:rStyle w:val="libFootnotenumChar"/>
          <w:rtl/>
        </w:rPr>
        <w:t>(2)</w:t>
      </w:r>
      <w:r w:rsidRPr="00132E65">
        <w:rPr>
          <w:rtl/>
          <w:lang w:bidi="fa-IR"/>
        </w:rPr>
        <w:t xml:space="preserve"> ابْنِهِ الْحُسَيْنِ </w:t>
      </w:r>
      <w:r w:rsidRPr="00071CF9">
        <w:rPr>
          <w:rStyle w:val="libAlaemChar"/>
          <w:rtl/>
        </w:rPr>
        <w:t>عليه‌السلام</w:t>
      </w:r>
      <w:r w:rsidRPr="00132E65">
        <w:rPr>
          <w:rtl/>
          <w:lang w:bidi="fa-IR"/>
        </w:rPr>
        <w:t xml:space="preserve"> ، فَقَالَ </w:t>
      </w:r>
      <w:r>
        <w:rPr>
          <w:rStyle w:val="libFootnotenumChar"/>
          <w:rtl/>
        </w:rPr>
        <w:t>(3)</w:t>
      </w:r>
      <w:r w:rsidRPr="00132E65">
        <w:rPr>
          <w:rtl/>
          <w:lang w:bidi="fa-IR"/>
        </w:rPr>
        <w:t xml:space="preserve"> : « وَأَمَرَكَ رَسُولُ اللهِ </w:t>
      </w:r>
      <w:r w:rsidRPr="00071CF9">
        <w:rPr>
          <w:rStyle w:val="libAlaemChar"/>
          <w:rtl/>
        </w:rPr>
        <w:t>صلى‌الله‌عليه‌وآله</w:t>
      </w:r>
      <w:r w:rsidRPr="00132E65">
        <w:rPr>
          <w:rtl/>
          <w:lang w:bidi="fa-IR"/>
        </w:rPr>
        <w:t xml:space="preserve"> أَنْ تَدْفَعَهَا إِلى ابْنِكَ </w:t>
      </w:r>
      <w:r>
        <w:rPr>
          <w:rStyle w:val="libFootnotenumChar"/>
          <w:rtl/>
        </w:rPr>
        <w:t>(4)</w:t>
      </w:r>
      <w:r w:rsidRPr="00132E65">
        <w:rPr>
          <w:rtl/>
          <w:lang w:bidi="fa-IR"/>
        </w:rPr>
        <w:t xml:space="preserve"> هذَا »</w:t>
      </w:r>
      <w:r>
        <w:rPr>
          <w:rtl/>
          <w:lang w:bidi="fa-IR"/>
        </w:rPr>
        <w:t>.</w:t>
      </w:r>
      <w:r>
        <w:rPr>
          <w:rFonts w:hint="cs"/>
          <w:rtl/>
          <w:lang w:bidi="fa-IR"/>
        </w:rPr>
        <w:t xml:space="preserve"> </w:t>
      </w:r>
      <w:r w:rsidRPr="00132E65">
        <w:rPr>
          <w:rtl/>
          <w:lang w:bidi="fa-IR"/>
        </w:rPr>
        <w:t xml:space="preserve">ثُمَّ أَخَذَ بِيَدِ عَلِيِّ بْنِ الْحُسَيْنِ </w:t>
      </w:r>
      <w:r w:rsidRPr="00071CF9">
        <w:rPr>
          <w:rStyle w:val="libAlaemChar"/>
          <w:rtl/>
        </w:rPr>
        <w:t>عليه‌السلام</w:t>
      </w:r>
      <w:r w:rsidRPr="00132E65">
        <w:rPr>
          <w:rtl/>
          <w:lang w:bidi="fa-IR"/>
        </w:rPr>
        <w:t xml:space="preserve"> ، ثُمَّ قَالَ لِعَلِيِّ بْنِ الْحُسَيْنِ : « وَأَمَرَكَ رَسُولُ اللهِ </w:t>
      </w:r>
      <w:r w:rsidRPr="00071CF9">
        <w:rPr>
          <w:rStyle w:val="libAlaemChar"/>
          <w:rtl/>
        </w:rPr>
        <w:t>صلى‌الله‌عليه‌وآله</w:t>
      </w:r>
      <w:r w:rsidRPr="00132E65">
        <w:rPr>
          <w:rtl/>
          <w:lang w:bidi="fa-IR"/>
        </w:rPr>
        <w:t xml:space="preserve"> أَنْ تَدْفَعَهَا إِلَى ابْنِكَ مُحَمَّدِ بْنِ عَلِيٍّ ، وأَقْرِئْهُ </w:t>
      </w:r>
      <w:r>
        <w:rPr>
          <w:rStyle w:val="libFootnotenumChar"/>
          <w:rtl/>
        </w:rPr>
        <w:t>(5)</w:t>
      </w:r>
      <w:r w:rsidRPr="00132E65">
        <w:rPr>
          <w:rtl/>
          <w:lang w:bidi="fa-IR"/>
        </w:rPr>
        <w:t xml:space="preserve"> مِنْ رَسُولِ اللهِ </w:t>
      </w:r>
      <w:r w:rsidRPr="00071CF9">
        <w:rPr>
          <w:rStyle w:val="libAlaemChar"/>
          <w:rtl/>
        </w:rPr>
        <w:t>صلى‌الله‌عليه‌وآله</w:t>
      </w:r>
      <w:r w:rsidRPr="00132E65">
        <w:rPr>
          <w:rtl/>
          <w:lang w:bidi="fa-IR"/>
        </w:rPr>
        <w:t xml:space="preserve"> ومِنِّي السَّلَامَ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41444D">
        <w:rPr>
          <w:rtl/>
        </w:rPr>
        <w:t>776</w:t>
      </w:r>
      <w:r w:rsidRPr="004325D8">
        <w:rPr>
          <w:rStyle w:val="libBold2Char"/>
          <w:rtl/>
        </w:rPr>
        <w:t xml:space="preserve"> / 2.</w:t>
      </w:r>
      <w:r w:rsidRPr="00132E65">
        <w:rPr>
          <w:rtl/>
          <w:lang w:bidi="fa-IR"/>
        </w:rPr>
        <w:t xml:space="preserve"> عَلِيُّ بْنُ إِبْرَاهِيمَ ، عَنْ أَبِيهِ ، عَنِ ابْنِ أَبِي عُمَيْرٍ ، عَنْ عَبْدِ الصَّمَدِ بْنِ بَشِيرٍ ، عَنْ أَبِي الْجَارُودِ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إِنَّ أَمِيرَ الْمُؤْمِنِينَ</w:t>
      </w:r>
      <w:r>
        <w:rPr>
          <w:rtl/>
          <w:lang w:bidi="fa-IR"/>
        </w:rPr>
        <w:t xml:space="preserve"> - </w:t>
      </w:r>
      <w:r w:rsidRPr="00132E65">
        <w:rPr>
          <w:rtl/>
          <w:lang w:bidi="fa-IR"/>
        </w:rPr>
        <w:t>صَلَوَاتُ اللهِ عَلَيْهِ</w:t>
      </w:r>
      <w:r>
        <w:rPr>
          <w:rtl/>
          <w:lang w:bidi="fa-IR"/>
        </w:rPr>
        <w:t xml:space="preserve"> - </w:t>
      </w:r>
      <w:r w:rsidRPr="00132E65">
        <w:rPr>
          <w:rtl/>
          <w:lang w:bidi="fa-IR"/>
        </w:rPr>
        <w:t xml:space="preserve">لَمَّا حَضَرَهُ الَّذِي حَضَرَهُ ، قَالَ لِابْنِهِ الْحَسَنِ </w:t>
      </w:r>
      <w:r w:rsidRPr="00071CF9">
        <w:rPr>
          <w:rStyle w:val="libAlaemChar"/>
          <w:rtl/>
        </w:rPr>
        <w:t>عليه‌السلام</w:t>
      </w:r>
      <w:r w:rsidRPr="00132E65">
        <w:rPr>
          <w:rtl/>
          <w:lang w:bidi="fa-IR"/>
        </w:rPr>
        <w:t xml:space="preserve"> : ادْنُ مِنِّي حَتّى أُسِرَّ </w:t>
      </w:r>
      <w:r>
        <w:rPr>
          <w:rStyle w:val="libFootnotenumChar"/>
          <w:rtl/>
        </w:rPr>
        <w:t>(7)</w:t>
      </w:r>
      <w:r w:rsidRPr="00132E65">
        <w:rPr>
          <w:rtl/>
          <w:lang w:bidi="fa-IR"/>
        </w:rPr>
        <w:t xml:space="preserve"> إِلَيْكَ مَا أَسَرَّ رَسُولُ اللهِ </w:t>
      </w:r>
      <w:r w:rsidRPr="00071CF9">
        <w:rPr>
          <w:rStyle w:val="libAlaemChar"/>
          <w:rtl/>
        </w:rPr>
        <w:t>صلى‌الله‌عليه‌وآله</w:t>
      </w:r>
      <w:r w:rsidRPr="00132E65">
        <w:rPr>
          <w:rtl/>
          <w:lang w:bidi="fa-IR"/>
        </w:rPr>
        <w:t xml:space="preserve"> إِلَيَّ </w:t>
      </w:r>
      <w:r>
        <w:rPr>
          <w:rStyle w:val="libFootnotenumChar"/>
          <w:rtl/>
        </w:rPr>
        <w:t>(8)</w:t>
      </w:r>
      <w:r w:rsidRPr="00132E65">
        <w:rPr>
          <w:rtl/>
          <w:lang w:bidi="fa-IR"/>
        </w:rPr>
        <w:t xml:space="preserve"> ، وَأَئْتَمِنَكَ عَلى مَا ائْتَمَنَنِي عَلَيْهِ ، فَفَعَلَ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41444D">
        <w:rPr>
          <w:rtl/>
        </w:rPr>
        <w:t>777</w:t>
      </w:r>
      <w:r w:rsidRPr="004325D8">
        <w:rPr>
          <w:rStyle w:val="libBold2Char"/>
          <w:rtl/>
        </w:rPr>
        <w:t xml:space="preserve"> / 3.</w:t>
      </w:r>
      <w:r w:rsidRPr="00132E65">
        <w:rPr>
          <w:rtl/>
          <w:lang w:bidi="fa-IR"/>
        </w:rPr>
        <w:t xml:space="preserve"> عِدَّةٌ مِنْ أَصْحَابِنَا ، عَنْ أَحْمَدَ بْنِ مُحَمَّدٍ ، عَنْ عَلِيِّ بْنِ الْحَكَمِ ، عَنْ سَيْفِ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ه‍ » </w:t>
      </w:r>
      <w:r>
        <w:rPr>
          <w:rtl/>
        </w:rPr>
        <w:t xml:space="preserve">: - </w:t>
      </w:r>
      <w:r w:rsidRPr="00132E65">
        <w:rPr>
          <w:rtl/>
        </w:rPr>
        <w:t>« كتبه وسلاحه »</w:t>
      </w:r>
      <w:r>
        <w:rPr>
          <w:rtl/>
        </w:rPr>
        <w:t>.</w:t>
      </w:r>
    </w:p>
    <w:p w:rsidR="000C39D1" w:rsidRPr="00132E65" w:rsidRDefault="000C39D1" w:rsidP="000C39D1">
      <w:pPr>
        <w:pStyle w:val="libFootnote0"/>
        <w:rPr>
          <w:rtl/>
          <w:lang w:bidi="fa-IR"/>
        </w:rPr>
      </w:pPr>
      <w:r>
        <w:rPr>
          <w:rtl/>
        </w:rPr>
        <w:t>(2).</w:t>
      </w:r>
      <w:r w:rsidRPr="00132E65">
        <w:rPr>
          <w:rtl/>
        </w:rPr>
        <w:t xml:space="preserve"> في « ج » : « إلى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w:t>
            </w:r>
            <w:r w:rsidRPr="009D1ACE">
              <w:rPr>
                <w:rStyle w:val="libFootnoteBoldChar"/>
                <w:rtl/>
              </w:rPr>
              <w:t>الوافي</w:t>
            </w:r>
            <w:r w:rsidRPr="00132E65">
              <w:rPr>
                <w:rtl/>
              </w:rPr>
              <w:t xml:space="preserve"> وكتاب سليم بن قيس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(4).</w:t>
            </w:r>
            <w:r w:rsidRPr="00132E65">
              <w:rPr>
                <w:rtl/>
              </w:rPr>
              <w:t xml:space="preserve"> في « ه‍ » :</w:t>
            </w:r>
            <w:r>
              <w:rPr>
                <w:rtl/>
              </w:rPr>
              <w:t xml:space="preserve"> + </w:t>
            </w:r>
            <w:r w:rsidRPr="00132E65">
              <w:rPr>
                <w:rtl/>
              </w:rPr>
              <w:t>« عليّ »</w:t>
            </w:r>
            <w:r>
              <w:rPr>
                <w:rtl/>
              </w:rPr>
              <w:t>.</w:t>
            </w:r>
          </w:p>
        </w:tc>
      </w:tr>
    </w:tbl>
    <w:p w:rsidR="000C39D1" w:rsidRPr="00132E65" w:rsidRDefault="000C39D1" w:rsidP="000C39D1">
      <w:pPr>
        <w:pStyle w:val="libFootnote0"/>
        <w:rPr>
          <w:rtl/>
          <w:lang w:bidi="fa-IR"/>
        </w:rPr>
      </w:pPr>
      <w:r>
        <w:rPr>
          <w:rtl/>
        </w:rPr>
        <w:t>(5).</w:t>
      </w:r>
      <w:r w:rsidRPr="00132E65">
        <w:rPr>
          <w:rtl/>
        </w:rPr>
        <w:t xml:space="preserve"> في </w:t>
      </w:r>
      <w:r w:rsidRPr="0041444D">
        <w:rPr>
          <w:rtl/>
        </w:rPr>
        <w:t>شرح المازندراني</w:t>
      </w:r>
      <w:r w:rsidRPr="00132E65">
        <w:rPr>
          <w:rtl/>
        </w:rPr>
        <w:t xml:space="preserve"> ، ج 6 ، ص 134 : « اقرأه ، أمر من المجرّد ، أو من المزيد. يقال : قرأ عليه وأقرأه عليه ، إذا بلّغه »</w:t>
      </w:r>
      <w:r>
        <w:rPr>
          <w:rtl/>
        </w:rPr>
        <w:t>.</w:t>
      </w:r>
      <w:r w:rsidRPr="00132E65">
        <w:rPr>
          <w:rtl/>
        </w:rPr>
        <w:t xml:space="preserve"> وفي </w:t>
      </w:r>
      <w:r w:rsidRPr="0041444D">
        <w:rPr>
          <w:rtl/>
        </w:rPr>
        <w:t>الصحاح</w:t>
      </w:r>
      <w:r w:rsidRPr="00132E65">
        <w:rPr>
          <w:rtl/>
        </w:rPr>
        <w:t xml:space="preserve"> ، ج 1 ، ص 65 ( قرأ ) : « وفلان قرأ عليك السلام وأقرأك السلامَ بمعنى »</w:t>
      </w:r>
      <w:r>
        <w:rPr>
          <w:rtl/>
        </w:rPr>
        <w:t>.</w:t>
      </w:r>
    </w:p>
    <w:p w:rsidR="000C39D1" w:rsidRPr="00132E65" w:rsidRDefault="000C39D1" w:rsidP="000C39D1">
      <w:pPr>
        <w:pStyle w:val="libFootnote0"/>
        <w:rPr>
          <w:rtl/>
          <w:lang w:bidi="fa-IR"/>
        </w:rPr>
      </w:pPr>
      <w:r>
        <w:rPr>
          <w:rtl/>
        </w:rPr>
        <w:t>(6).</w:t>
      </w:r>
      <w:r w:rsidRPr="00132E65">
        <w:rPr>
          <w:rtl/>
        </w:rPr>
        <w:t xml:space="preserve"> </w:t>
      </w:r>
      <w:r w:rsidRPr="0041444D">
        <w:rPr>
          <w:rtl/>
        </w:rPr>
        <w:t>كتاب سليم بن قيس</w:t>
      </w:r>
      <w:r w:rsidRPr="00132E65">
        <w:rPr>
          <w:rtl/>
        </w:rPr>
        <w:t xml:space="preserve"> ، ص 924 ، الحديث 69 ؛ </w:t>
      </w:r>
      <w:r w:rsidRPr="0041444D">
        <w:rPr>
          <w:rtl/>
        </w:rPr>
        <w:t>التهذيب</w:t>
      </w:r>
      <w:r w:rsidRPr="00132E65">
        <w:rPr>
          <w:rtl/>
        </w:rPr>
        <w:t xml:space="preserve"> ، ج 9 ، ص 176 ، ح 714 ، بسنده عن إبراهيم بن عمر ، عن أبان رفعه إلى سليم بن قيس الهلالي ؛ وأيضاً بسند آخر عن جابر ، عن أبي جعفر </w:t>
      </w:r>
      <w:r w:rsidRPr="008779AB">
        <w:rPr>
          <w:rStyle w:val="libFootnoteAlaemChar"/>
          <w:rtl/>
        </w:rPr>
        <w:t>عليه‌السلام</w:t>
      </w:r>
      <w:r w:rsidRPr="00132E65">
        <w:rPr>
          <w:rtl/>
        </w:rPr>
        <w:t xml:space="preserve"> ؛ </w:t>
      </w:r>
      <w:r w:rsidRPr="0041444D">
        <w:rPr>
          <w:rtl/>
        </w:rPr>
        <w:t>الفقيه</w:t>
      </w:r>
      <w:r w:rsidRPr="00132E65">
        <w:rPr>
          <w:rtl/>
        </w:rPr>
        <w:t xml:space="preserve"> ، ج 4 ، ص 189 ، ح 5433 عن سليم بن قيس ؛ </w:t>
      </w:r>
      <w:r w:rsidRPr="0041444D">
        <w:rPr>
          <w:rtl/>
        </w:rPr>
        <w:t>الغيبة</w:t>
      </w:r>
      <w:r w:rsidRPr="00132E65">
        <w:rPr>
          <w:rtl/>
        </w:rPr>
        <w:t xml:space="preserve"> للطوسي ، ص 194 ، ح 157 بسند آخر عن جابر عن أبي جعفر </w:t>
      </w:r>
      <w:r w:rsidRPr="008779AB">
        <w:rPr>
          <w:rStyle w:val="libFootnoteAlaemChar"/>
          <w:rtl/>
        </w:rPr>
        <w:t>عليه‌السلام</w:t>
      </w:r>
      <w:r w:rsidRPr="00132E65">
        <w:rPr>
          <w:rtl/>
        </w:rPr>
        <w:t xml:space="preserve"> مع اختلاف</w:t>
      </w:r>
      <w:r>
        <w:rPr>
          <w:rFonts w:hint="cs"/>
          <w:rtl/>
        </w:rPr>
        <w:t>.</w:t>
      </w:r>
      <w:r w:rsidRPr="009D1ACE">
        <w:rPr>
          <w:rStyle w:val="libFootnoteBoldChar"/>
          <w:rtl/>
        </w:rPr>
        <w:t>الوافي</w:t>
      </w:r>
      <w:r w:rsidRPr="00132E65">
        <w:rPr>
          <w:rtl/>
        </w:rPr>
        <w:t xml:space="preserve"> ، ج 2 ، ص 328 ، ح 790.</w:t>
      </w:r>
    </w:p>
    <w:p w:rsidR="000C39D1" w:rsidRPr="00132E65" w:rsidRDefault="000C39D1" w:rsidP="000C39D1">
      <w:pPr>
        <w:pStyle w:val="libFootnote0"/>
        <w:rPr>
          <w:rtl/>
          <w:lang w:bidi="fa-IR"/>
        </w:rPr>
      </w:pPr>
      <w:r>
        <w:rPr>
          <w:rtl/>
        </w:rPr>
        <w:t>(7).</w:t>
      </w:r>
      <w:r w:rsidRPr="00132E65">
        <w:rPr>
          <w:rtl/>
        </w:rPr>
        <w:t xml:space="preserve"> « ا</w:t>
      </w:r>
      <w:r>
        <w:rPr>
          <w:rFonts w:hint="cs"/>
          <w:rtl/>
        </w:rPr>
        <w:t>ُ</w:t>
      </w:r>
      <w:r w:rsidRPr="00132E65">
        <w:rPr>
          <w:rtl/>
        </w:rPr>
        <w:t>سِرُّ » ، أي ا</w:t>
      </w:r>
      <w:r>
        <w:rPr>
          <w:rFonts w:hint="cs"/>
          <w:rtl/>
        </w:rPr>
        <w:t>ُ</w:t>
      </w:r>
      <w:r w:rsidRPr="00132E65">
        <w:rPr>
          <w:rtl/>
        </w:rPr>
        <w:t xml:space="preserve">فضِي. يقال : أسْرَرْتُ إلى فلان حديثاً ، أي أفضيتُ إليه في خفية. وقد يفسَّر بالإظهار ، وهذاصحيح ؛ فإنّ الإسرار إلى الغير يقتضي إظهار ذلك لمن يُفْضى إليه بالسرّ ، وإن كان يقتضي إخفاءه عن غيره ، وهو من الأضداد. راجع : </w:t>
      </w:r>
      <w:r w:rsidRPr="0041444D">
        <w:rPr>
          <w:rtl/>
        </w:rPr>
        <w:t>المفردات</w:t>
      </w:r>
      <w:r w:rsidRPr="00132E65">
        <w:rPr>
          <w:rtl/>
        </w:rPr>
        <w:t xml:space="preserve"> للراغب ، ص 404 ( سرر )</w:t>
      </w:r>
      <w:r>
        <w:rPr>
          <w:rtl/>
        </w:rPr>
        <w:t>.</w:t>
      </w:r>
    </w:p>
    <w:p w:rsidR="000C39D1" w:rsidRPr="00132E65" w:rsidRDefault="000C39D1" w:rsidP="000C39D1">
      <w:pPr>
        <w:pStyle w:val="libFootnote0"/>
        <w:rPr>
          <w:rtl/>
          <w:lang w:bidi="fa-IR"/>
        </w:rPr>
      </w:pPr>
      <w:r>
        <w:rPr>
          <w:rtl/>
        </w:rPr>
        <w:t>(8).</w:t>
      </w:r>
      <w:r w:rsidRPr="00132E65">
        <w:rPr>
          <w:rtl/>
        </w:rPr>
        <w:t xml:space="preserve"> في « ه‍ » </w:t>
      </w:r>
      <w:r>
        <w:rPr>
          <w:rtl/>
        </w:rPr>
        <w:t xml:space="preserve">: - </w:t>
      </w:r>
      <w:r w:rsidRPr="00132E65">
        <w:rPr>
          <w:rtl/>
        </w:rPr>
        <w:t>« إلىّ »</w:t>
      </w:r>
      <w:r>
        <w:rPr>
          <w:rtl/>
        </w:rPr>
        <w:t>.</w:t>
      </w:r>
    </w:p>
    <w:p w:rsidR="000C39D1" w:rsidRPr="00132E65"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377 ، ح 5 ، بسنده عن ابن أبي عمير ؛ </w:t>
      </w:r>
      <w:r w:rsidRPr="0041444D">
        <w:rPr>
          <w:rtl/>
        </w:rPr>
        <w:t>وفيه</w:t>
      </w:r>
      <w:r w:rsidRPr="00132E65">
        <w:rPr>
          <w:rtl/>
        </w:rPr>
        <w:t xml:space="preserve"> ، ح 1 </w:t>
      </w:r>
      <w:r>
        <w:rPr>
          <w:rtl/>
        </w:rPr>
        <w:t>و 2</w:t>
      </w:r>
      <w:r w:rsidRPr="00132E65">
        <w:rPr>
          <w:rtl/>
        </w:rPr>
        <w:t xml:space="preserve"> ، بسنده عن عبد الصمد بن بشير ، مع زيادة واختلاف</w:t>
      </w:r>
      <w:r>
        <w:rPr>
          <w:rFonts w:hint="cs"/>
          <w:rtl/>
        </w:rPr>
        <w:t>.</w:t>
      </w:r>
      <w:r w:rsidRPr="009D1ACE">
        <w:rPr>
          <w:rStyle w:val="libFootnoteBoldChar"/>
          <w:rtl/>
        </w:rPr>
        <w:t>الوافي</w:t>
      </w:r>
      <w:r w:rsidRPr="00132E65">
        <w:rPr>
          <w:rtl/>
        </w:rPr>
        <w:t xml:space="preserve"> ، ج 2 ، ص 332 ، ح 793.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عَمِيرَةَ ، عَنْ أَبِي بَكْرٍ الْحَضْرَمِيِّ ، قَالَ : حَدَّثَنِي الْأَجْلَحُ وسَلَمَةُ بْنُ كُهَيْلٍ ودَاوُدُ بْنُ أَبِي يَزِيدَ </w:t>
      </w:r>
      <w:r>
        <w:rPr>
          <w:rStyle w:val="libFootnotenumChar"/>
          <w:rtl/>
        </w:rPr>
        <w:t>(1)</w:t>
      </w:r>
      <w:r w:rsidRPr="00132E65">
        <w:rPr>
          <w:rtl/>
          <w:lang w:bidi="fa-IR"/>
        </w:rPr>
        <w:t xml:space="preserve"> وَزَيْدٌ الْيَمَامِيُّ </w:t>
      </w:r>
      <w:r>
        <w:rPr>
          <w:rStyle w:val="libFootnotenumChar"/>
          <w:rtl/>
        </w:rPr>
        <w:t>(2)</w:t>
      </w:r>
      <w:r w:rsidRPr="00132E65">
        <w:rPr>
          <w:rtl/>
          <w:lang w:bidi="fa-IR"/>
        </w:rPr>
        <w:t xml:space="preserve"> ، قَالُوا :</w:t>
      </w:r>
    </w:p>
    <w:p w:rsidR="000C39D1" w:rsidRPr="00132E65" w:rsidRDefault="000C39D1" w:rsidP="000C39D1">
      <w:pPr>
        <w:pStyle w:val="libNormal"/>
        <w:rPr>
          <w:rtl/>
          <w:lang w:bidi="fa-IR"/>
        </w:rPr>
      </w:pPr>
      <w:r w:rsidRPr="00132E65">
        <w:rPr>
          <w:rtl/>
          <w:lang w:bidi="fa-IR"/>
        </w:rPr>
        <w:t xml:space="preserve">حَدَّثَنَا شَهْرُ بْنُ حَوْشَبٍ أَنَّ عَلِيّاً </w:t>
      </w:r>
      <w:r w:rsidRPr="00071CF9">
        <w:rPr>
          <w:rStyle w:val="libAlaemChar"/>
          <w:rtl/>
        </w:rPr>
        <w:t>عليه‌السلام</w:t>
      </w:r>
      <w:r w:rsidRPr="00132E65">
        <w:rPr>
          <w:rtl/>
          <w:lang w:bidi="fa-IR"/>
        </w:rPr>
        <w:t xml:space="preserve"> حِينَ سَارَ إِلَى الْكُوفَةِ ، اسْتَوْدَعَ أُمَّ سَلَمَةَ كُتُبَهُ وَالْوَصِيَّةَ ، فَلَمَّا رَجَعَ الْحَسَنُ </w:t>
      </w:r>
      <w:r w:rsidRPr="00071CF9">
        <w:rPr>
          <w:rStyle w:val="libAlaemChar"/>
          <w:rtl/>
        </w:rPr>
        <w:t>عليه‌السلام</w:t>
      </w:r>
      <w:r w:rsidRPr="00132E65">
        <w:rPr>
          <w:rtl/>
          <w:lang w:bidi="fa-IR"/>
        </w:rPr>
        <w:t xml:space="preserve"> ، دَفَعَتْهَا إِلَيْهِ.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1444D">
        <w:rPr>
          <w:rtl/>
        </w:rPr>
        <w:t>778</w:t>
      </w:r>
      <w:r w:rsidRPr="004325D8">
        <w:rPr>
          <w:rStyle w:val="libBold2Char"/>
          <w:rtl/>
        </w:rPr>
        <w:t xml:space="preserve"> / 4.</w:t>
      </w:r>
      <w:r w:rsidRPr="00132E65">
        <w:rPr>
          <w:rtl/>
          <w:lang w:bidi="fa-IR"/>
        </w:rPr>
        <w:t xml:space="preserve"> وفِي نُسْخَةِ الصَّفْوَانِيِّ : أَحْمَدُ بْنُ مُحَمَّدٍ </w:t>
      </w:r>
      <w:r>
        <w:rPr>
          <w:rStyle w:val="libFootnotenumChar"/>
          <w:rtl/>
        </w:rPr>
        <w:t>(4)</w:t>
      </w:r>
      <w:r w:rsidRPr="00132E65">
        <w:rPr>
          <w:rtl/>
          <w:lang w:bidi="fa-IR"/>
        </w:rPr>
        <w:t xml:space="preserve"> ، عَنْ عَلِيِّ بْنِ الْحَكَمِ ، عَنْ سَيْفٍ ، عَنْ أَبِي بَكْرٍ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 أَنَّ عَلِيّاً</w:t>
      </w:r>
      <w:r>
        <w:rPr>
          <w:rtl/>
          <w:lang w:bidi="fa-IR"/>
        </w:rPr>
        <w:t xml:space="preserve"> - </w:t>
      </w:r>
      <w:r w:rsidRPr="00132E65">
        <w:rPr>
          <w:rtl/>
          <w:lang w:bidi="fa-IR"/>
        </w:rPr>
        <w:t>صَلَوَاتُ اللهِ عَلَيْهِ</w:t>
      </w:r>
      <w:r>
        <w:rPr>
          <w:rtl/>
          <w:lang w:bidi="fa-IR"/>
        </w:rPr>
        <w:t xml:space="preserve"> - </w:t>
      </w:r>
      <w:r w:rsidRPr="00132E65">
        <w:rPr>
          <w:rtl/>
          <w:lang w:bidi="fa-IR"/>
        </w:rPr>
        <w:t xml:space="preserve">حِينَ سَارَ إِلَى الْكُوفَةِ ، اسْتَوْدَعَ أُمَّ سَلَمَةَ كُتُبَهُ والْوَصِيَّةَ ، فَلَمَّا رَجَعَ الْحَسَنُ </w:t>
      </w:r>
      <w:r w:rsidRPr="00071CF9">
        <w:rPr>
          <w:rStyle w:val="libAlaemChar"/>
          <w:rtl/>
        </w:rPr>
        <w:t>عليه‌السلام</w:t>
      </w:r>
      <w:r w:rsidRPr="00132E65">
        <w:rPr>
          <w:rtl/>
          <w:lang w:bidi="fa-IR"/>
        </w:rPr>
        <w:t xml:space="preserve"> دَفَعَتْهَا إِلَيْهِ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41444D">
        <w:rPr>
          <w:rtl/>
        </w:rPr>
        <w:t>779</w:t>
      </w:r>
      <w:r w:rsidRPr="004325D8">
        <w:rPr>
          <w:rStyle w:val="libBold2Char"/>
          <w:rtl/>
        </w:rPr>
        <w:t xml:space="preserve"> / 5.</w:t>
      </w:r>
      <w:r w:rsidRPr="00132E65">
        <w:rPr>
          <w:rtl/>
          <w:lang w:bidi="fa-IR"/>
        </w:rPr>
        <w:t xml:space="preserve"> عِدَّةٌ مِنْ أَصْحَابِنَا ، عَنْ أَحْمَدَ بْنِ مُحَمَّدٍ ، عَنِ الْحُسَيْنِ بْنِ سَعِيدٍ ، عَنْ حَمَّادِ بْنِ عِيسى ، عَنْ عَمْرِو بْنِ شِمْرٍ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أَوْصى أَمِيرُ الْمُؤْمِنِينَ </w:t>
      </w:r>
      <w:r w:rsidRPr="00071CF9">
        <w:rPr>
          <w:rStyle w:val="libAlaemChar"/>
          <w:rtl/>
        </w:rPr>
        <w:t>عليه‌السلام</w:t>
      </w:r>
      <w:r w:rsidRPr="00132E65">
        <w:rPr>
          <w:rtl/>
          <w:lang w:bidi="fa-IR"/>
        </w:rPr>
        <w:t xml:space="preserve"> إِلَى الْحَسَنِ </w:t>
      </w:r>
      <w:r w:rsidRPr="00071CF9">
        <w:rPr>
          <w:rStyle w:val="libAlaemChar"/>
          <w:rtl/>
        </w:rPr>
        <w:t>عليه‌السلام</w:t>
      </w:r>
      <w:r w:rsidRPr="00132E65">
        <w:rPr>
          <w:rtl/>
          <w:lang w:bidi="fa-IR"/>
        </w:rPr>
        <w:t xml:space="preserve"> ، وأَشْهَدَ عَلى وَصِيَّتِهِ الْحُسَيْنَ ومُحَمَّداً </w:t>
      </w:r>
      <w:r w:rsidRPr="00071CF9">
        <w:rPr>
          <w:rStyle w:val="libAlaemChar"/>
          <w:rtl/>
        </w:rPr>
        <w:t>عليهما‌السلام</w:t>
      </w:r>
      <w:r w:rsidRPr="00132E65">
        <w:rPr>
          <w:rtl/>
          <w:lang w:bidi="fa-IR"/>
        </w:rPr>
        <w:t xml:space="preserve"> ، وجَمِيعَ و</w:t>
      </w:r>
      <w:r>
        <w:rPr>
          <w:rFonts w:hint="cs"/>
          <w:rtl/>
          <w:lang w:bidi="fa-IR"/>
        </w:rPr>
        <w:t>ُ</w:t>
      </w:r>
      <w:r w:rsidRPr="00132E65">
        <w:rPr>
          <w:rtl/>
          <w:lang w:bidi="fa-IR"/>
        </w:rPr>
        <w:t xml:space="preserve">لْدِهِ ، ورُؤَسَاءَ شِيعَتِهِ ، وأَهْلَ بَيْتِهِ ، ثُمَّ دَفَعَ إِلَيْهِ الْكِتَابَ والسِّلَاحَ ، ثُمَّ قَالَ لِابْنِهِ الْحَسَنِ : يَا بُنَيَّ ، أَمَرَنِي رَسُولُ اللهِ </w:t>
      </w:r>
      <w:r w:rsidRPr="00071CF9">
        <w:rPr>
          <w:rStyle w:val="libAlaemChar"/>
          <w:rtl/>
        </w:rPr>
        <w:t>صلى‌الله‌عليه‌وآله</w:t>
      </w:r>
      <w:r w:rsidRPr="00132E65">
        <w:rPr>
          <w:rtl/>
          <w:lang w:bidi="fa-IR"/>
        </w:rPr>
        <w:t xml:space="preserve"> أَنْ أُوصِيَ إِلَيْكَ ، وأَنْ أَدْفَعَ إِلَيْكَ كُتُبِي وسِلَاحِي </w:t>
      </w:r>
      <w:r>
        <w:rPr>
          <w:rStyle w:val="libFootnotenumChar"/>
          <w:rtl/>
        </w:rPr>
        <w:t>(6)</w:t>
      </w:r>
      <w:r w:rsidRPr="00132E65">
        <w:rPr>
          <w:rtl/>
          <w:lang w:bidi="fa-IR"/>
        </w:rPr>
        <w:t xml:space="preserve"> ، كَمَا أَوْصى إِلَيَّ رَسُولُ اللهِ </w:t>
      </w:r>
      <w:r w:rsidRPr="00071CF9">
        <w:rPr>
          <w:rStyle w:val="libAlaemChar"/>
          <w:rtl/>
        </w:rPr>
        <w:t>صلى‌الله‌عليه‌وآله</w:t>
      </w:r>
      <w:r w:rsidRPr="00132E65">
        <w:rPr>
          <w:rtl/>
          <w:lang w:bidi="fa-IR"/>
        </w:rPr>
        <w:t xml:space="preserve"> ، ودَفَعَ إِلَيَّ‌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كذا في النسخ والمطبوع ، لكنّ الظاهر وقوع التحريف في العنوان ، والصواب إمّا « داود بن يزيد » أو « داودأبو يزيد »</w:t>
      </w:r>
      <w:r>
        <w:rPr>
          <w:rtl/>
        </w:rPr>
        <w:t>.</w:t>
      </w:r>
      <w:r w:rsidRPr="00132E65">
        <w:rPr>
          <w:rtl/>
        </w:rPr>
        <w:t xml:space="preserve"> وداود هذا ، هو داود بن يزيد بن عبد الرحمن الأودي الزعافري ، أبو يزيد ، روى عن شهر بن حوشب. راجع : </w:t>
      </w:r>
      <w:r w:rsidRPr="0041444D">
        <w:rPr>
          <w:rtl/>
        </w:rPr>
        <w:t>تهذيب الكمال</w:t>
      </w:r>
      <w:r w:rsidRPr="00132E65">
        <w:rPr>
          <w:rtl/>
        </w:rPr>
        <w:t xml:space="preserve"> ، ج 8 ، ص 467 ، الرقم 1791.</w:t>
      </w:r>
    </w:p>
    <w:p w:rsidR="000C39D1" w:rsidRPr="00132E65" w:rsidRDefault="000C39D1" w:rsidP="000C39D1">
      <w:pPr>
        <w:pStyle w:val="libFootnote0"/>
        <w:rPr>
          <w:rtl/>
          <w:lang w:bidi="fa-IR"/>
        </w:rPr>
      </w:pPr>
      <w:r>
        <w:rPr>
          <w:rtl/>
        </w:rPr>
        <w:t>(2).</w:t>
      </w:r>
      <w:r w:rsidRPr="00132E65">
        <w:rPr>
          <w:rtl/>
        </w:rPr>
        <w:t xml:space="preserve"> في « ألف ، ب ، ف » و</w:t>
      </w:r>
      <w:r w:rsidRPr="009D1ACE">
        <w:rPr>
          <w:rStyle w:val="libFootnoteBoldChar"/>
          <w:rtl/>
        </w:rPr>
        <w:t>الوافي</w:t>
      </w:r>
      <w:r w:rsidRPr="00132E65">
        <w:rPr>
          <w:rtl/>
        </w:rPr>
        <w:t xml:space="preserve"> : « اليماني »</w:t>
      </w:r>
      <w:r>
        <w:rPr>
          <w:rtl/>
        </w:rPr>
        <w:t>.</w:t>
      </w:r>
      <w:r w:rsidRPr="00132E65">
        <w:rPr>
          <w:rtl/>
        </w:rPr>
        <w:t xml:space="preserve"> والظاهر أنّ كلا العنوانين مصحّف. والصواب « زُبَيْد اليامي » ، وهو زُبَيد بن الحارث بن عبد الكريم اليامي ، روى عن شهر بن حوشب. راجع : </w:t>
      </w:r>
      <w:r w:rsidRPr="0041444D">
        <w:rPr>
          <w:rtl/>
        </w:rPr>
        <w:t>تهذيب الكمال</w:t>
      </w:r>
      <w:r w:rsidRPr="00132E65">
        <w:rPr>
          <w:rtl/>
        </w:rPr>
        <w:t xml:space="preserve"> ، ج 9 ، ص 289 ، الرقم 1958 ؛ وج 12 ، ص 580.</w:t>
      </w:r>
    </w:p>
    <w:p w:rsidR="000C39D1" w:rsidRPr="00132E65" w:rsidRDefault="000C39D1" w:rsidP="000C39D1">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162 ، ح 1 ، بسند آخر ، مع زيادة</w:t>
      </w:r>
      <w:r>
        <w:rPr>
          <w:rFonts w:hint="cs"/>
          <w:rtl/>
        </w:rPr>
        <w:t>.</w:t>
      </w:r>
      <w:r w:rsidRPr="009D1ACE">
        <w:rPr>
          <w:rStyle w:val="libFootnoteBoldChar"/>
          <w:rtl/>
        </w:rPr>
        <w:t>الوافي</w:t>
      </w:r>
      <w:r w:rsidRPr="00132E65">
        <w:rPr>
          <w:rtl/>
        </w:rPr>
        <w:t xml:space="preserve"> ، ج 2 ، ص 332 ، ح 794.</w:t>
      </w:r>
    </w:p>
    <w:p w:rsidR="000C39D1" w:rsidRPr="00132E65" w:rsidRDefault="000C39D1" w:rsidP="000C39D1">
      <w:pPr>
        <w:pStyle w:val="libFootnote0"/>
        <w:rPr>
          <w:rtl/>
          <w:lang w:bidi="fa-IR"/>
        </w:rPr>
      </w:pPr>
      <w:r>
        <w:rPr>
          <w:rtl/>
        </w:rPr>
        <w:t>(4).</w:t>
      </w:r>
      <w:r w:rsidRPr="00132E65">
        <w:rPr>
          <w:rtl/>
        </w:rPr>
        <w:t xml:space="preserve"> السند معلّق على سابقه ، ويروى عن أحمد بن محمّد ، عدّة من أصحابنا.</w:t>
      </w:r>
    </w:p>
    <w:p w:rsidR="000C39D1" w:rsidRPr="00132E65" w:rsidRDefault="000C39D1" w:rsidP="000C39D1">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162 ، ح 1 ، بسند آخر ، مع زيادة</w:t>
      </w:r>
      <w:r>
        <w:rPr>
          <w:rFonts w:hint="cs"/>
          <w:rtl/>
        </w:rPr>
        <w:t>.</w:t>
      </w:r>
      <w:r w:rsidRPr="009D1ACE">
        <w:rPr>
          <w:rStyle w:val="libFootnoteBoldChar"/>
          <w:rtl/>
        </w:rPr>
        <w:t>الوافي</w:t>
      </w:r>
      <w:r w:rsidRPr="00132E65">
        <w:rPr>
          <w:rtl/>
        </w:rPr>
        <w:t xml:space="preserve"> ، ج 2 ، ص 332 ، ح 795.</w:t>
      </w:r>
    </w:p>
    <w:p w:rsidR="000C39D1" w:rsidRPr="00132E65" w:rsidRDefault="000C39D1" w:rsidP="000C39D1">
      <w:pPr>
        <w:pStyle w:val="libFootnote0"/>
        <w:rPr>
          <w:rtl/>
          <w:lang w:bidi="fa-IR"/>
        </w:rPr>
      </w:pPr>
      <w:r>
        <w:rPr>
          <w:rtl/>
        </w:rPr>
        <w:t>(6).</w:t>
      </w:r>
      <w:r w:rsidRPr="00132E65">
        <w:rPr>
          <w:rtl/>
        </w:rPr>
        <w:t xml:space="preserve"> في « ب » : « كتبه وسلاحه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كُتُبَهُ وسِلَاحَهُ ، وأَمَرَنِي أَنْ آمُرَكَ إِذَا حَضَرَكَ الْمَوْتُ أَنْ تَدْفَعَهُ </w:t>
      </w:r>
      <w:r>
        <w:rPr>
          <w:rStyle w:val="libFootnotenumChar"/>
          <w:rtl/>
        </w:rPr>
        <w:t>(1)</w:t>
      </w:r>
      <w:r w:rsidRPr="00132E65">
        <w:rPr>
          <w:rtl/>
          <w:lang w:bidi="fa-IR"/>
        </w:rPr>
        <w:t xml:space="preserve"> إِلى أَخِيكَ الْحُسَيْنِ.</w:t>
      </w:r>
    </w:p>
    <w:p w:rsidR="000C39D1" w:rsidRPr="00132E65" w:rsidRDefault="000C39D1" w:rsidP="000C39D1">
      <w:pPr>
        <w:pStyle w:val="libNormal"/>
        <w:rPr>
          <w:rtl/>
          <w:lang w:bidi="fa-IR"/>
        </w:rPr>
      </w:pPr>
      <w:r w:rsidRPr="00132E65">
        <w:rPr>
          <w:rtl/>
          <w:lang w:bidi="fa-IR"/>
        </w:rPr>
        <w:t xml:space="preserve">ثُمَّ أَقْبَلَ عَلى ابْنِهِ الْحُسَيْنِ ، وقَالَ : أَمَرَكَ رَسُولُ اللهِ </w:t>
      </w:r>
      <w:r w:rsidRPr="00071CF9">
        <w:rPr>
          <w:rStyle w:val="libAlaemChar"/>
          <w:rtl/>
        </w:rPr>
        <w:t>صلى‌الله‌عليه‌وآله</w:t>
      </w:r>
      <w:r w:rsidRPr="00132E65">
        <w:rPr>
          <w:rtl/>
          <w:lang w:bidi="fa-IR"/>
        </w:rPr>
        <w:t xml:space="preserve"> أَنْ تَدْفَعَهُ إِلَى ابْنِكَ </w:t>
      </w:r>
      <w:r>
        <w:rPr>
          <w:rStyle w:val="libFootnotenumChar"/>
          <w:rtl/>
        </w:rPr>
        <w:t>(2)</w:t>
      </w:r>
      <w:r w:rsidRPr="00132E65">
        <w:rPr>
          <w:rtl/>
          <w:lang w:bidi="fa-IR"/>
        </w:rPr>
        <w:t xml:space="preserve"> هذَا ، ثُمَّ أَخَذَ بِيَدِ ابْنِ ابْنِهِ عَلِيِّ بْنِ الْحُسَيْنِ ، ثُمَّ قَالَ لِعَلِيِّ بْنِ الْحُسَيْنِ : يَا بُنَيَّ ، و</w:t>
      </w:r>
      <w:r>
        <w:rPr>
          <w:rFonts w:hint="cs"/>
          <w:rtl/>
          <w:lang w:bidi="fa-IR"/>
        </w:rPr>
        <w:t xml:space="preserve"> </w:t>
      </w:r>
      <w:r>
        <w:rPr>
          <w:rStyle w:val="libFootnotenumChar"/>
          <w:rtl/>
        </w:rPr>
        <w:t>(3)</w:t>
      </w:r>
      <w:r w:rsidRPr="00132E65">
        <w:rPr>
          <w:rtl/>
          <w:lang w:bidi="fa-IR"/>
        </w:rPr>
        <w:t xml:space="preserve"> أَمَرَكَ رَسُولُ اللهِ </w:t>
      </w:r>
      <w:r w:rsidRPr="00071CF9">
        <w:rPr>
          <w:rStyle w:val="libAlaemChar"/>
          <w:rtl/>
        </w:rPr>
        <w:t>صلى‌الله‌عليه‌وآله</w:t>
      </w:r>
      <w:r w:rsidRPr="00132E65">
        <w:rPr>
          <w:rtl/>
          <w:lang w:bidi="fa-IR"/>
        </w:rPr>
        <w:t xml:space="preserve"> أَنْ تَدْفَعَهُ إِلَى ابْنِكَ مُحَمَّدِ بْنِ عَلِيٍّ ، وأَقْرِئْهُ مِنْ رَسُولِ اللهِ </w:t>
      </w:r>
      <w:r w:rsidRPr="00071CF9">
        <w:rPr>
          <w:rStyle w:val="libAlaemChar"/>
          <w:rtl/>
        </w:rPr>
        <w:t>صلى‌الله‌عليه‌وآله</w:t>
      </w:r>
      <w:r w:rsidRPr="00132E65">
        <w:rPr>
          <w:rtl/>
          <w:lang w:bidi="fa-IR"/>
        </w:rPr>
        <w:t xml:space="preserve"> ومِنِّي السَّلَامَ.</w:t>
      </w:r>
    </w:p>
    <w:p w:rsidR="000C39D1" w:rsidRPr="00132E65" w:rsidRDefault="000C39D1" w:rsidP="000C39D1">
      <w:pPr>
        <w:pStyle w:val="libNormal"/>
        <w:rPr>
          <w:rtl/>
          <w:lang w:bidi="fa-IR"/>
        </w:rPr>
      </w:pPr>
      <w:r w:rsidRPr="00132E65">
        <w:rPr>
          <w:rtl/>
          <w:lang w:bidi="fa-IR"/>
        </w:rPr>
        <w:t>ثُمَّ أَقْبَلَ عَلَى ابْنِهِ الْحَسَنِ ، فَقَالَ : يَا بُنَيَّ ، أَنْتَ ولِيُّ الْأَمْرِ و</w:t>
      </w:r>
      <w:r>
        <w:rPr>
          <w:rFonts w:hint="cs"/>
          <w:rtl/>
          <w:lang w:bidi="fa-IR"/>
        </w:rPr>
        <w:t xml:space="preserve">َ </w:t>
      </w:r>
      <w:r>
        <w:rPr>
          <w:rtl/>
          <w:lang w:bidi="fa-IR"/>
        </w:rPr>
        <w:t>و</w:t>
      </w:r>
      <w:r>
        <w:rPr>
          <w:rFonts w:hint="cs"/>
          <w:rtl/>
          <w:lang w:bidi="fa-IR"/>
        </w:rPr>
        <w:t>َ</w:t>
      </w:r>
      <w:r w:rsidRPr="00132E65">
        <w:rPr>
          <w:rtl/>
          <w:lang w:bidi="fa-IR"/>
        </w:rPr>
        <w:t xml:space="preserve">لِيُّ الدَّمِ ، فَإِنْ عَفَوْتَ فَلَكَ ، وإِنْ قَتَلْتَ فَضَرْبَةٌ </w:t>
      </w:r>
      <w:r>
        <w:rPr>
          <w:rStyle w:val="libFootnotenumChar"/>
          <w:rtl/>
        </w:rPr>
        <w:t>(4)</w:t>
      </w:r>
      <w:r w:rsidRPr="00132E65">
        <w:rPr>
          <w:rtl/>
          <w:lang w:bidi="fa-IR"/>
        </w:rPr>
        <w:t xml:space="preserve"> مَكَانَ ضَرْبَةٍ </w:t>
      </w:r>
      <w:r>
        <w:rPr>
          <w:rStyle w:val="libFootnotenumChar"/>
          <w:rtl/>
        </w:rPr>
        <w:t>(5)</w:t>
      </w:r>
      <w:r w:rsidRPr="00132E65">
        <w:rPr>
          <w:rtl/>
          <w:lang w:bidi="fa-IR"/>
        </w:rPr>
        <w:t xml:space="preserve"> ، ولَاتَأْثَمْ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Default="000C39D1" w:rsidP="000C39D1">
      <w:pPr>
        <w:pStyle w:val="libNormal"/>
        <w:rPr>
          <w:rtl/>
          <w:lang w:bidi="fa-IR"/>
        </w:rPr>
      </w:pPr>
      <w:r w:rsidRPr="0041444D">
        <w:rPr>
          <w:rtl/>
        </w:rPr>
        <w:t>780</w:t>
      </w:r>
      <w:r w:rsidRPr="004325D8">
        <w:rPr>
          <w:rStyle w:val="libBold2Char"/>
          <w:rtl/>
        </w:rPr>
        <w:t xml:space="preserve"> / 6.</w:t>
      </w:r>
      <w:r w:rsidRPr="00132E65">
        <w:rPr>
          <w:rtl/>
          <w:lang w:bidi="fa-IR"/>
        </w:rPr>
        <w:t xml:space="preserve"> الْحُسَيْنُ بْنُ الْحَسَنِ الْحَسَنِيُّ </w:t>
      </w:r>
      <w:r>
        <w:rPr>
          <w:rStyle w:val="libFootnotenumChar"/>
          <w:rtl/>
        </w:rPr>
        <w:t>(8)</w:t>
      </w:r>
      <w:r w:rsidRPr="00132E65">
        <w:rPr>
          <w:rtl/>
          <w:lang w:bidi="fa-IR"/>
        </w:rPr>
        <w:t xml:space="preserve"> رَفَعَهُ ؛</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(9)</w:t>
      </w:r>
      <w:r w:rsidRPr="00132E65">
        <w:rPr>
          <w:rtl/>
          <w:lang w:bidi="fa-IR"/>
        </w:rPr>
        <w:t xml:space="preserve"> مُحَمَّدُ بْنُ الْحَسَنِ ، عَنْ إِبْرَاهِيمَ بْنِ إِسْحَاقَ الْأَحْمَرِيِّ رَفَعَهُ ، قَالَ :</w:t>
      </w:r>
    </w:p>
    <w:p w:rsidR="000C39D1" w:rsidRPr="00132E65" w:rsidRDefault="000C39D1" w:rsidP="007437BB">
      <w:pPr>
        <w:pStyle w:val="libNormal"/>
        <w:rPr>
          <w:rtl/>
          <w:lang w:bidi="fa-IR"/>
        </w:rPr>
      </w:pPr>
      <w:r w:rsidRPr="00132E65">
        <w:rPr>
          <w:rtl/>
          <w:lang w:bidi="fa-IR"/>
        </w:rPr>
        <w:t xml:space="preserve">لَمَّا ضُرِبَ أَمِيرُ الْمُؤْمِنِينَ </w:t>
      </w:r>
      <w:r w:rsidRPr="00071CF9">
        <w:rPr>
          <w:rStyle w:val="libAlaemChar"/>
          <w:rtl/>
        </w:rPr>
        <w:t>عليه‌السلام</w:t>
      </w:r>
      <w:r w:rsidRPr="00132E65">
        <w:rPr>
          <w:rtl/>
          <w:lang w:bidi="fa-IR"/>
        </w:rPr>
        <w:t xml:space="preserve"> ، حَفَّ بِهِ </w:t>
      </w:r>
      <w:r>
        <w:rPr>
          <w:rStyle w:val="libFootnotenumChar"/>
          <w:rtl/>
        </w:rPr>
        <w:t>(10)</w:t>
      </w:r>
      <w:r w:rsidRPr="00132E65">
        <w:rPr>
          <w:rtl/>
          <w:lang w:bidi="fa-IR"/>
        </w:rPr>
        <w:t xml:space="preserve"> الْعُوَّادُ </w:t>
      </w:r>
      <w:r>
        <w:rPr>
          <w:rStyle w:val="libFootnotenumChar"/>
          <w:rtl/>
        </w:rPr>
        <w:t>(11)</w:t>
      </w:r>
      <w:r w:rsidRPr="00132E65">
        <w:rPr>
          <w:rtl/>
          <w:lang w:bidi="fa-IR"/>
        </w:rPr>
        <w:t xml:space="preserve"> ، وقِيلَ لَهُ : يَا أَمِيرَ الْمُؤْمِنِينَ ، أَوْصِ ، فَقَالَ : « اثْنُوا لِي وسَادَةً </w:t>
      </w:r>
      <w:r>
        <w:rPr>
          <w:rStyle w:val="libFootnotenumChar"/>
          <w:rtl/>
        </w:rPr>
        <w:t>(12)</w:t>
      </w:r>
      <w:r w:rsidRPr="00132E65">
        <w:rPr>
          <w:rtl/>
          <w:lang w:bidi="fa-IR"/>
        </w:rPr>
        <w:t xml:space="preserve"> » ، ثُمَّ قَالَ : « الْحَمْدُ لِلّهِ</w:t>
      </w:r>
      <w:r w:rsidR="007437BB">
        <w:rPr>
          <w:rFonts w:hint="cs"/>
          <w:rtl/>
          <w:lang w:bidi="fa-IR"/>
        </w:rPr>
        <w:t>.....................................</w:t>
      </w:r>
      <w:r>
        <w:rPr>
          <w:rFonts w:hint="cs"/>
          <w:rtl/>
          <w:lang w:bidi="fa-IR"/>
        </w:rPr>
        <w:tab/>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حاشية « بح » : « تدفعها »</w:t>
            </w:r>
            <w:r>
              <w:rPr>
                <w:rtl/>
              </w:rPr>
              <w:t>.</w:t>
            </w:r>
          </w:p>
        </w:tc>
        <w:tc>
          <w:tcPr>
            <w:tcW w:w="4006" w:type="dxa"/>
          </w:tcPr>
          <w:p w:rsidR="000C39D1" w:rsidRDefault="000C39D1" w:rsidP="00B53873">
            <w:pPr>
              <w:pStyle w:val="libFootnote0"/>
              <w:rPr>
                <w:rtl/>
              </w:rPr>
            </w:pPr>
            <w:r>
              <w:rPr>
                <w:rtl/>
              </w:rPr>
              <w:t>(2).</w:t>
            </w:r>
            <w:r w:rsidRPr="00132E65">
              <w:rPr>
                <w:rtl/>
              </w:rPr>
              <w:t xml:space="preserve"> في « ه‍ </w:t>
            </w:r>
            <w:r>
              <w:rPr>
                <w:rtl/>
              </w:rPr>
              <w:t>»</w:t>
            </w:r>
            <w:r w:rsidRPr="00132E65">
              <w:rPr>
                <w:rtl/>
              </w:rPr>
              <w:t xml:space="preserve"> :</w:t>
            </w:r>
            <w:r>
              <w:rPr>
                <w:rtl/>
              </w:rPr>
              <w:t xml:space="preserve"> + </w:t>
            </w:r>
            <w:r w:rsidRPr="00132E65">
              <w:rPr>
                <w:rtl/>
              </w:rPr>
              <w:t>« عليّ »</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في « ج ، ف ، ه‍ </w:t>
            </w:r>
            <w:r>
              <w:rPr>
                <w:rtl/>
              </w:rPr>
              <w:t>»</w:t>
            </w:r>
            <w:r w:rsidRPr="00132E65">
              <w:rPr>
                <w:rtl/>
              </w:rPr>
              <w:t xml:space="preserve"> </w:t>
            </w:r>
            <w:r>
              <w:rPr>
                <w:rtl/>
              </w:rPr>
              <w:t xml:space="preserve">: - </w:t>
            </w:r>
            <w:r w:rsidRPr="00132E65">
              <w:rPr>
                <w:rtl/>
              </w:rPr>
              <w:t>«</w:t>
            </w:r>
            <w:r>
              <w:rPr>
                <w:rtl/>
              </w:rPr>
              <w:t xml:space="preserve"> و ».</w:t>
            </w:r>
          </w:p>
        </w:tc>
        <w:tc>
          <w:tcPr>
            <w:tcW w:w="4006" w:type="dxa"/>
          </w:tcPr>
          <w:p w:rsidR="000C39D1" w:rsidRDefault="000C39D1" w:rsidP="00B53873">
            <w:pPr>
              <w:pStyle w:val="libFootnote0"/>
              <w:rPr>
                <w:rtl/>
              </w:rPr>
            </w:pPr>
            <w:r>
              <w:rPr>
                <w:rtl/>
              </w:rPr>
              <w:t>(4).</w:t>
            </w:r>
            <w:r w:rsidRPr="00132E65">
              <w:rPr>
                <w:rtl/>
              </w:rPr>
              <w:t xml:space="preserve"> في « ف » وحاشية « بح » :</w:t>
            </w:r>
            <w:r>
              <w:rPr>
                <w:rtl/>
              </w:rPr>
              <w:t xml:space="preserve"> + </w:t>
            </w:r>
            <w:r w:rsidRPr="00132E65">
              <w:rPr>
                <w:rtl/>
              </w:rPr>
              <w:t>« واحدة »</w:t>
            </w:r>
            <w:r>
              <w:rPr>
                <w:rtl/>
              </w:rPr>
              <w:t>.</w:t>
            </w:r>
          </w:p>
        </w:tc>
      </w:tr>
    </w:tbl>
    <w:p w:rsidR="000C39D1" w:rsidRPr="00132E65" w:rsidRDefault="000C39D1" w:rsidP="000C39D1">
      <w:pPr>
        <w:pStyle w:val="libFootnote0"/>
        <w:rPr>
          <w:rtl/>
          <w:lang w:bidi="fa-IR"/>
        </w:rPr>
      </w:pPr>
      <w:r>
        <w:rPr>
          <w:rtl/>
        </w:rPr>
        <w:t>(5).</w:t>
      </w:r>
      <w:r w:rsidRPr="00132E65">
        <w:rPr>
          <w:rtl/>
        </w:rPr>
        <w:t xml:space="preserve"> في « بس » :</w:t>
      </w:r>
      <w:r>
        <w:rPr>
          <w:rtl/>
        </w:rPr>
        <w:t xml:space="preserve"> + </w:t>
      </w:r>
      <w:r w:rsidRPr="00132E65">
        <w:rPr>
          <w:rtl/>
        </w:rPr>
        <w:t>« واحدة »</w:t>
      </w:r>
      <w:r>
        <w:rPr>
          <w:rtl/>
        </w:rPr>
        <w:t>.</w:t>
      </w:r>
    </w:p>
    <w:p w:rsidR="000C39D1" w:rsidRPr="00132E65" w:rsidRDefault="000C39D1" w:rsidP="000C39D1">
      <w:pPr>
        <w:pStyle w:val="libFootnote0"/>
        <w:rPr>
          <w:rtl/>
          <w:lang w:bidi="fa-IR"/>
        </w:rPr>
      </w:pPr>
      <w:r>
        <w:rPr>
          <w:rtl/>
        </w:rPr>
        <w:t>(6).</w:t>
      </w:r>
      <w:r w:rsidRPr="00132E65">
        <w:rPr>
          <w:rtl/>
        </w:rPr>
        <w:t xml:space="preserve"> « لا تأثم » إمّا نفي ، أو نهي ، من باب المجرّد ، أو من باب التفعّل.</w:t>
      </w:r>
    </w:p>
    <w:p w:rsidR="000C39D1" w:rsidRPr="00132E65" w:rsidRDefault="000C39D1" w:rsidP="007437BB">
      <w:pPr>
        <w:pStyle w:val="libFootnote0"/>
        <w:rPr>
          <w:rtl/>
          <w:lang w:bidi="fa-IR"/>
        </w:rPr>
      </w:pPr>
      <w:r>
        <w:rPr>
          <w:rtl/>
        </w:rPr>
        <w:t>(7).</w:t>
      </w:r>
      <w:r w:rsidRPr="00132E65">
        <w:rPr>
          <w:rtl/>
        </w:rPr>
        <w:t xml:space="preserve"> </w:t>
      </w:r>
      <w:r w:rsidRPr="0041444D">
        <w:rPr>
          <w:rtl/>
        </w:rPr>
        <w:t>التهذيب</w:t>
      </w:r>
      <w:r w:rsidRPr="00132E65">
        <w:rPr>
          <w:rtl/>
        </w:rPr>
        <w:t xml:space="preserve"> ، ج 9 ، ص 176 ، ح 714 ، بسنده عن الحسين بن سعيد ؛ </w:t>
      </w:r>
      <w:r w:rsidRPr="0041444D">
        <w:rPr>
          <w:rtl/>
        </w:rPr>
        <w:t>الغيبة</w:t>
      </w:r>
      <w:r w:rsidRPr="00132E65">
        <w:rPr>
          <w:rtl/>
        </w:rPr>
        <w:t xml:space="preserve"> للطوسي ، ص 194 ، ح 157 ، بسنده عن عمرو بن شمر. وراجع أيضاً المصادر التي ذكرنا ذيل الحديث الأوّل من هذا الباب</w:t>
      </w:r>
      <w:r>
        <w:rPr>
          <w:rFonts w:hint="cs"/>
          <w:rtl/>
        </w:rPr>
        <w:t>.</w:t>
      </w:r>
      <w:r w:rsidRPr="009D1ACE">
        <w:rPr>
          <w:rStyle w:val="libFootnoteBoldChar"/>
          <w:rtl/>
        </w:rPr>
        <w:t>الوافي</w:t>
      </w:r>
      <w:r w:rsidRPr="00132E65">
        <w:rPr>
          <w:rtl/>
        </w:rPr>
        <w:t xml:space="preserve"> ، ج 2 ، ص 329 ، ح 791.</w:t>
      </w:r>
      <w:r>
        <w:rPr>
          <w:rFonts w:hint="cs"/>
          <w:rtl/>
        </w:rPr>
        <w:t xml:space="preserve">                              </w:t>
      </w:r>
      <w:r w:rsidR="007437BB">
        <w:rPr>
          <w:rFonts w:hint="cs"/>
          <w:rtl/>
        </w:rPr>
        <w:t xml:space="preserve">            </w:t>
      </w:r>
      <w:r>
        <w:rPr>
          <w:rFonts w:hint="cs"/>
          <w:rtl/>
        </w:rPr>
        <w:t xml:space="preserve">         </w:t>
      </w:r>
      <w:r>
        <w:rPr>
          <w:rtl/>
        </w:rPr>
        <w:t>(8).</w:t>
      </w:r>
      <w:r w:rsidRPr="00132E65">
        <w:rPr>
          <w:rtl/>
        </w:rPr>
        <w:t xml:space="preserve"> في « ألف ، ض ، ف » : « الحسيني »</w:t>
      </w:r>
      <w:r>
        <w:rPr>
          <w:rtl/>
        </w:rPr>
        <w:t>.</w:t>
      </w:r>
    </w:p>
    <w:p w:rsidR="000C39D1" w:rsidRPr="00132E65" w:rsidRDefault="000C39D1" w:rsidP="000C39D1">
      <w:pPr>
        <w:pStyle w:val="libFootnote0"/>
        <w:rPr>
          <w:rtl/>
          <w:lang w:bidi="fa-IR"/>
        </w:rPr>
      </w:pPr>
      <w:r>
        <w:rPr>
          <w:rtl/>
        </w:rPr>
        <w:t>(9).</w:t>
      </w:r>
      <w:r w:rsidRPr="00132E65">
        <w:rPr>
          <w:rtl/>
        </w:rPr>
        <w:t xml:space="preserve"> في السند تحويل بعطف « محمّد بن الحسن عن إبراهيم بن إسحاق الأحمري رفعه » على « الحسين بن الحسن الحسني رفعه »</w:t>
      </w:r>
      <w:r>
        <w:rPr>
          <w:rtl/>
        </w:rPr>
        <w:t>.</w:t>
      </w:r>
    </w:p>
    <w:p w:rsidR="000C39D1" w:rsidRPr="00132E65" w:rsidRDefault="000C39D1" w:rsidP="000C39D1">
      <w:pPr>
        <w:pStyle w:val="libFootnote0"/>
        <w:rPr>
          <w:rtl/>
          <w:lang w:bidi="fa-IR"/>
        </w:rPr>
      </w:pPr>
      <w:r>
        <w:rPr>
          <w:rtl/>
        </w:rPr>
        <w:t>(10).</w:t>
      </w:r>
      <w:r w:rsidRPr="00132E65">
        <w:rPr>
          <w:rtl/>
        </w:rPr>
        <w:t xml:space="preserve"> « حفّ به » ، أي أطاف به. راجع : </w:t>
      </w:r>
      <w:r w:rsidRPr="0041444D">
        <w:rPr>
          <w:rtl/>
        </w:rPr>
        <w:t>المصباح المنير</w:t>
      </w:r>
      <w:r w:rsidRPr="00132E65">
        <w:rPr>
          <w:rtl/>
        </w:rPr>
        <w:t xml:space="preserve"> ، ص 14 ( حفف )</w:t>
      </w:r>
      <w:r>
        <w:rPr>
          <w:rtl/>
        </w:rPr>
        <w:t>.</w:t>
      </w:r>
    </w:p>
    <w:p w:rsidR="000C39D1" w:rsidRPr="00132E65" w:rsidRDefault="000C39D1" w:rsidP="000C39D1">
      <w:pPr>
        <w:pStyle w:val="libFootnote0"/>
        <w:rPr>
          <w:rtl/>
          <w:lang w:bidi="fa-IR"/>
        </w:rPr>
      </w:pPr>
      <w:r>
        <w:rPr>
          <w:rtl/>
        </w:rPr>
        <w:t>(11).</w:t>
      </w:r>
      <w:r w:rsidRPr="00132E65">
        <w:rPr>
          <w:rtl/>
        </w:rPr>
        <w:t xml:space="preserve"> « العُوّاد » : جمع العائد ، من العِيادة بمعنى زيارة المريض. راجع : </w:t>
      </w:r>
      <w:r w:rsidRPr="0041444D">
        <w:rPr>
          <w:rtl/>
        </w:rPr>
        <w:t>المصباح المنير</w:t>
      </w:r>
      <w:r w:rsidRPr="00132E65">
        <w:rPr>
          <w:rtl/>
        </w:rPr>
        <w:t xml:space="preserve"> ، ص 436 ( عود )</w:t>
      </w:r>
      <w:r>
        <w:rPr>
          <w:rtl/>
        </w:rPr>
        <w:t>.</w:t>
      </w:r>
    </w:p>
    <w:p w:rsidR="000C39D1" w:rsidRPr="00132E65" w:rsidRDefault="000C39D1" w:rsidP="000C39D1">
      <w:pPr>
        <w:pStyle w:val="libFootnote0"/>
        <w:rPr>
          <w:rtl/>
          <w:lang w:bidi="fa-IR"/>
        </w:rPr>
      </w:pPr>
      <w:r>
        <w:rPr>
          <w:rtl/>
        </w:rPr>
        <w:t>(12).</w:t>
      </w:r>
      <w:r w:rsidRPr="00132E65">
        <w:rPr>
          <w:rtl/>
        </w:rPr>
        <w:t xml:space="preserve"> في « بر ، بف » و</w:t>
      </w:r>
      <w:r w:rsidRPr="009D1ACE">
        <w:rPr>
          <w:rStyle w:val="libFootnoteBoldChar"/>
          <w:rtl/>
        </w:rPr>
        <w:t>الوافي</w:t>
      </w:r>
      <w:r w:rsidRPr="00132E65">
        <w:rPr>
          <w:rtl/>
        </w:rPr>
        <w:t xml:space="preserve"> : « الوسادة »</w:t>
      </w:r>
      <w:r>
        <w:rPr>
          <w:rtl/>
        </w:rPr>
        <w:t>.</w:t>
      </w:r>
      <w:r w:rsidRPr="00132E65">
        <w:rPr>
          <w:rtl/>
        </w:rPr>
        <w:t xml:space="preserve"> </w:t>
      </w:r>
      <w:r>
        <w:rPr>
          <w:rtl/>
        </w:rPr>
        <w:t>و «</w:t>
      </w:r>
      <w:r w:rsidRPr="00132E65">
        <w:rPr>
          <w:rtl/>
        </w:rPr>
        <w:t xml:space="preserve"> اثْنُوا لي وسادةً » ، أي رُدُّوا بعضها على بعض لنرتفع فيكون لي حسن‌مراىً للناس حين أجلس عليها ، أو للاتّكاء عليها لعدم قدرته على الجلوس مستقلاًّ. يقال : ثَنَى الشي‌ءَ ثَنْياً ، أي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حَقَّ </w:t>
      </w:r>
      <w:r>
        <w:rPr>
          <w:rStyle w:val="libFootnotenumChar"/>
          <w:rtl/>
        </w:rPr>
        <w:t>(1)</w:t>
      </w:r>
      <w:r w:rsidRPr="00132E65">
        <w:rPr>
          <w:rtl/>
          <w:lang w:bidi="fa-IR"/>
        </w:rPr>
        <w:t xml:space="preserve"> قَدْرِهِ </w:t>
      </w:r>
      <w:r>
        <w:rPr>
          <w:rStyle w:val="libFootnotenumChar"/>
          <w:rtl/>
        </w:rPr>
        <w:t>(2)</w:t>
      </w:r>
      <w:r w:rsidRPr="00132E65">
        <w:rPr>
          <w:rtl/>
          <w:lang w:bidi="fa-IR"/>
        </w:rPr>
        <w:t xml:space="preserve"> مُتَّبِعِينَ أَمْرَهُ ، و</w:t>
      </w:r>
      <w:r>
        <w:rPr>
          <w:rFonts w:hint="cs"/>
          <w:rtl/>
          <w:lang w:bidi="fa-IR"/>
        </w:rPr>
        <w:t xml:space="preserve">َ </w:t>
      </w:r>
      <w:r>
        <w:rPr>
          <w:rStyle w:val="libFootnotenumChar"/>
          <w:rtl/>
        </w:rPr>
        <w:t>(3)</w:t>
      </w:r>
      <w:r w:rsidRPr="00132E65">
        <w:rPr>
          <w:rtl/>
          <w:lang w:bidi="fa-IR"/>
        </w:rPr>
        <w:t xml:space="preserve"> أَحْمَدُهُ كَمَا أَحَبَّ </w:t>
      </w:r>
      <w:r>
        <w:rPr>
          <w:rStyle w:val="libFootnotenumChar"/>
          <w:rtl/>
        </w:rPr>
        <w:t>(4)</w:t>
      </w:r>
      <w:r w:rsidRPr="00132E65">
        <w:rPr>
          <w:rtl/>
          <w:lang w:bidi="fa-IR"/>
        </w:rPr>
        <w:t xml:space="preserve"> ، و</w:t>
      </w:r>
      <w:r>
        <w:rPr>
          <w:rFonts w:hint="cs"/>
          <w:rtl/>
          <w:lang w:bidi="fa-IR"/>
        </w:rPr>
        <w:t xml:space="preserve">َ </w:t>
      </w:r>
      <w:r w:rsidRPr="00132E65">
        <w:rPr>
          <w:rtl/>
          <w:lang w:bidi="fa-IR"/>
        </w:rPr>
        <w:t>لَا</w:t>
      </w:r>
      <w:r>
        <w:rPr>
          <w:rFonts w:hint="cs"/>
          <w:rtl/>
          <w:lang w:bidi="fa-IR"/>
        </w:rPr>
        <w:t xml:space="preserve"> </w:t>
      </w:r>
      <w:r>
        <w:rPr>
          <w:rtl/>
          <w:lang w:bidi="fa-IR"/>
        </w:rPr>
        <w:t>إِلهَ إِل</w:t>
      </w:r>
      <w:r>
        <w:rPr>
          <w:rFonts w:hint="cs"/>
          <w:rtl/>
          <w:lang w:bidi="fa-IR"/>
        </w:rPr>
        <w:t>َّ</w:t>
      </w:r>
      <w:r>
        <w:rPr>
          <w:rtl/>
          <w:lang w:bidi="fa-IR"/>
        </w:rPr>
        <w:t>ا</w:t>
      </w:r>
      <w:r w:rsidRPr="00132E65">
        <w:rPr>
          <w:rtl/>
          <w:lang w:bidi="fa-IR"/>
        </w:rPr>
        <w:t xml:space="preserve"> اللهُ الْوَاحِدُ الْأَحَدُ الصَّمَدُ كَمَا انْتَسَبَ </w:t>
      </w:r>
      <w:r>
        <w:rPr>
          <w:rStyle w:val="libFootnotenumChar"/>
          <w:rtl/>
        </w:rPr>
        <w:t>(5)</w:t>
      </w:r>
      <w:r w:rsidRPr="00132E65">
        <w:rPr>
          <w:rtl/>
          <w:lang w:bidi="fa-IR"/>
        </w:rPr>
        <w:t xml:space="preserve"> ؛ أَيُّهَا النَّاسُ ، كُلُّ امْرِىً لَاقٍ فِي فِرَارِهِ مَا مِنْهُ يَفِرُّ </w:t>
      </w:r>
      <w:r>
        <w:rPr>
          <w:rStyle w:val="libFootnotenumChar"/>
          <w:rtl/>
        </w:rPr>
        <w:t>(6)</w:t>
      </w:r>
      <w:r w:rsidRPr="00132E65">
        <w:rPr>
          <w:rtl/>
          <w:lang w:bidi="fa-IR"/>
        </w:rPr>
        <w:t xml:space="preserve"> ، والْأَجَلُ </w:t>
      </w:r>
      <w:r>
        <w:rPr>
          <w:rStyle w:val="libFootnotenumChar"/>
          <w:rtl/>
        </w:rPr>
        <w:t>(7)</w:t>
      </w:r>
      <w:r w:rsidRPr="00132E65">
        <w:rPr>
          <w:rtl/>
          <w:lang w:bidi="fa-IR"/>
        </w:rPr>
        <w:t xml:space="preserve"> مَسَاقُ النَّفْسِ إِلَيْهِ ، والْهَرَبُ مِنْهُ مُوَافَاتُهُ </w:t>
      </w:r>
      <w:r>
        <w:rPr>
          <w:rStyle w:val="libFootnotenumChar"/>
          <w:rtl/>
        </w:rPr>
        <w:t>(8)</w:t>
      </w:r>
      <w:r w:rsidRPr="00132E65">
        <w:rPr>
          <w:rtl/>
          <w:lang w:bidi="fa-IR"/>
        </w:rPr>
        <w:t xml:space="preserve"> ، كَمْ أَطْرَدْتُ </w:t>
      </w:r>
      <w:r>
        <w:rPr>
          <w:rStyle w:val="libFootnotenumChar"/>
          <w:rtl/>
        </w:rPr>
        <w:t>(9)</w:t>
      </w:r>
      <w:r w:rsidRPr="00132E65">
        <w:rPr>
          <w:rtl/>
          <w:lang w:bidi="fa-IR"/>
        </w:rPr>
        <w:t xml:space="preserve"> الْأَيَّامَ أَبْحَثُهَا </w:t>
      </w:r>
      <w:r>
        <w:rPr>
          <w:rStyle w:val="libFootnotenumChar"/>
          <w:rtl/>
        </w:rPr>
        <w:t>(10)</w:t>
      </w:r>
      <w:r w:rsidRPr="00132E65">
        <w:rPr>
          <w:rtl/>
          <w:lang w:bidi="fa-IR"/>
        </w:rPr>
        <w:t xml:space="preserve"> عَنْ مَكْنُونِ </w:t>
      </w:r>
      <w:r>
        <w:rPr>
          <w:rStyle w:val="libFootnotenumChar"/>
          <w:rtl/>
        </w:rPr>
        <w:t>(11)</w:t>
      </w:r>
      <w:r w:rsidRPr="00132E65">
        <w:rPr>
          <w:rtl/>
          <w:lang w:bidi="fa-IR"/>
        </w:rPr>
        <w:t xml:space="preserve"> هذَا الْأَمْرِ ، فَأَبَى اللهُ</w:t>
      </w:r>
      <w:r>
        <w:rPr>
          <w:rtl/>
          <w:lang w:bidi="fa-IR"/>
        </w:rPr>
        <w:t xml:space="preserve"> - </w:t>
      </w:r>
      <w:r w:rsidRPr="00132E65">
        <w:rPr>
          <w:rtl/>
          <w:lang w:bidi="fa-IR"/>
        </w:rPr>
        <w:t>عَزَّ ذِكْرُهُ</w:t>
      </w:r>
      <w:r>
        <w:rPr>
          <w:rtl/>
          <w:lang w:bidi="fa-IR"/>
        </w:rPr>
        <w:t xml:space="preserve"> - إِل</w:t>
      </w:r>
      <w:r>
        <w:rPr>
          <w:rFonts w:hint="cs"/>
          <w:rtl/>
          <w:lang w:bidi="fa-IR"/>
        </w:rPr>
        <w:t>َّ</w:t>
      </w:r>
      <w:r>
        <w:rPr>
          <w:rtl/>
          <w:lang w:bidi="fa-IR"/>
        </w:rPr>
        <w:t>ا</w:t>
      </w:r>
      <w:r w:rsidRPr="00132E65">
        <w:rPr>
          <w:rtl/>
          <w:lang w:bidi="fa-IR"/>
        </w:rPr>
        <w:t xml:space="preserve"> إِخْفَاءَهُ ، هَيْهَاتَ </w:t>
      </w:r>
      <w:r>
        <w:rPr>
          <w:rStyle w:val="libFootnotenumChar"/>
          <w:rtl/>
        </w:rPr>
        <w:t>(12)</w:t>
      </w:r>
      <w:r w:rsidRPr="00132E65">
        <w:rPr>
          <w:rtl/>
          <w:lang w:bidi="fa-IR"/>
        </w:rPr>
        <w:t xml:space="preserve"> عِلْمٌ مَكْنُونٌ </w:t>
      </w:r>
      <w:r w:rsidRPr="00F543F1">
        <w:rPr>
          <w:rStyle w:val="libFootnotenumChar"/>
          <w:rtl/>
        </w:rPr>
        <w:t>(13)</w:t>
      </w:r>
    </w:p>
    <w:p w:rsidR="000C39D1" w:rsidRPr="00132E65" w:rsidRDefault="000C39D1" w:rsidP="000C39D1">
      <w:pPr>
        <w:pStyle w:val="libNormal"/>
        <w:rPr>
          <w:rtl/>
          <w:lang w:bidi="fa-IR"/>
        </w:rPr>
      </w:pPr>
      <w:r w:rsidRPr="00132E65">
        <w:rPr>
          <w:rtl/>
          <w:lang w:bidi="fa-IR"/>
        </w:rPr>
        <w:t>أَمَّا و</w:t>
      </w:r>
      <w:r>
        <w:rPr>
          <w:rFonts w:hint="cs"/>
          <w:rtl/>
          <w:lang w:bidi="fa-IR"/>
        </w:rPr>
        <w:t>َ</w:t>
      </w:r>
      <w:r w:rsidRPr="00132E65">
        <w:rPr>
          <w:rtl/>
          <w:lang w:bidi="fa-IR"/>
        </w:rPr>
        <w:t>صِيَّتِي ، فَأَنْ لَاتُشْرِكُوا بِاللهِ</w:t>
      </w:r>
      <w:r>
        <w:rPr>
          <w:rtl/>
          <w:lang w:bidi="fa-IR"/>
        </w:rPr>
        <w:t xml:space="preserve"> - </w:t>
      </w:r>
      <w:r w:rsidRPr="00132E65">
        <w:rPr>
          <w:rtl/>
          <w:lang w:bidi="fa-IR"/>
        </w:rPr>
        <w:t>جَلَّ ثَنَاؤُهُ</w:t>
      </w:r>
      <w:r>
        <w:rPr>
          <w:rtl/>
          <w:lang w:bidi="fa-IR"/>
        </w:rPr>
        <w:t xml:space="preserve"> - </w:t>
      </w:r>
      <w:r w:rsidRPr="00132E65">
        <w:rPr>
          <w:rtl/>
          <w:lang w:bidi="fa-IR"/>
        </w:rPr>
        <w:t xml:space="preserve">شَيْئاً ، ومُحَمَّداً </w:t>
      </w:r>
      <w:r w:rsidRPr="00071CF9">
        <w:rPr>
          <w:rStyle w:val="libAlaemChar"/>
          <w:rtl/>
        </w:rPr>
        <w:t>صلى‌الله‌عليه‌وآله</w:t>
      </w:r>
      <w:r w:rsidRPr="00132E65">
        <w:rPr>
          <w:rtl/>
          <w:lang w:bidi="fa-IR"/>
        </w:rPr>
        <w:t xml:space="preserve"> فَلَا تُضَيِّعُوا </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ردّ بعضه على بعض ، وقد تَثَنّى وانثنى. </w:t>
      </w:r>
      <w:r>
        <w:rPr>
          <w:rtl/>
        </w:rPr>
        <w:t>و «</w:t>
      </w:r>
      <w:r w:rsidRPr="00132E65">
        <w:rPr>
          <w:rtl/>
        </w:rPr>
        <w:t xml:space="preserve"> الوسادُ » </w:t>
      </w:r>
      <w:r>
        <w:rPr>
          <w:rtl/>
        </w:rPr>
        <w:t>و «</w:t>
      </w:r>
      <w:r w:rsidRPr="00132E65">
        <w:rPr>
          <w:rtl/>
        </w:rPr>
        <w:t xml:space="preserve"> الوسادة » : المتّكأ والمِخَدّة ، ويثلَّث. والجمع : و</w:t>
      </w:r>
      <w:r>
        <w:rPr>
          <w:rFonts w:hint="cs"/>
          <w:rtl/>
        </w:rPr>
        <w:t>ُ</w:t>
      </w:r>
      <w:r w:rsidRPr="00132E65">
        <w:rPr>
          <w:rtl/>
        </w:rPr>
        <w:t xml:space="preserve">سُد ، ووَسائد. راجع : </w:t>
      </w:r>
      <w:r w:rsidRPr="009D1ACE">
        <w:rPr>
          <w:rStyle w:val="libFootnoteBoldChar"/>
          <w:rtl/>
        </w:rPr>
        <w:t>لسان العرب</w:t>
      </w:r>
      <w:r w:rsidRPr="00132E65">
        <w:rPr>
          <w:rtl/>
        </w:rPr>
        <w:t xml:space="preserve"> ، ج 14 ، ص 115 ( ثنى ؛ </w:t>
      </w:r>
      <w:r w:rsidRPr="0041444D">
        <w:rPr>
          <w:rtl/>
        </w:rPr>
        <w:t>القاموس المحيط</w:t>
      </w:r>
      <w:r w:rsidRPr="00132E65">
        <w:rPr>
          <w:rtl/>
        </w:rPr>
        <w:t xml:space="preserve"> ، ج 1 ، ص 469 ( وسد )</w:t>
      </w:r>
      <w:r>
        <w:rPr>
          <w:rtl/>
        </w:rPr>
        <w:t>.</w:t>
      </w:r>
    </w:p>
    <w:p w:rsidR="000C39D1" w:rsidRPr="00132E65" w:rsidRDefault="000C39D1" w:rsidP="000C39D1">
      <w:pPr>
        <w:pStyle w:val="libFootnote0"/>
        <w:rPr>
          <w:rtl/>
          <w:lang w:bidi="fa-IR"/>
        </w:rPr>
      </w:pPr>
      <w:r>
        <w:rPr>
          <w:rtl/>
        </w:rPr>
        <w:t>(1).</w:t>
      </w:r>
      <w:r w:rsidRPr="00132E65">
        <w:rPr>
          <w:rtl/>
        </w:rPr>
        <w:t xml:space="preserve"> في « ألف ، ب ، ج ، ف ، بح ، بر ، بس ، بف » وحاشية بدرالدين و</w:t>
      </w:r>
      <w:r w:rsidRPr="009D1ACE">
        <w:rPr>
          <w:rStyle w:val="libFootnoteBoldChar"/>
          <w:rtl/>
        </w:rPr>
        <w:t>مرآة العقول</w:t>
      </w:r>
      <w:r w:rsidRPr="00132E65">
        <w:rPr>
          <w:rtl/>
        </w:rPr>
        <w:t xml:space="preserve"> </w:t>
      </w:r>
      <w:r>
        <w:rPr>
          <w:rtl/>
        </w:rPr>
        <w:t xml:space="preserve">: - </w:t>
      </w:r>
      <w:r w:rsidRPr="00132E65">
        <w:rPr>
          <w:rtl/>
        </w:rPr>
        <w:t>« حقّ »</w:t>
      </w:r>
      <w:r>
        <w:rPr>
          <w:rtl/>
        </w:rPr>
        <w:t>.</w:t>
      </w:r>
    </w:p>
    <w:p w:rsidR="000C39D1" w:rsidRPr="00132E65" w:rsidRDefault="000C39D1" w:rsidP="000C39D1">
      <w:pPr>
        <w:pStyle w:val="libFootnote0"/>
        <w:rPr>
          <w:rtl/>
          <w:lang w:bidi="fa-IR"/>
        </w:rPr>
      </w:pPr>
      <w:r>
        <w:rPr>
          <w:rtl/>
        </w:rPr>
        <w:t>(2).</w:t>
      </w:r>
      <w:r w:rsidRPr="00132E65">
        <w:rPr>
          <w:rtl/>
        </w:rPr>
        <w:t xml:space="preserve"> قال الجوهري : « قَدرُ الله وقَدْرُه بمعنى ، وهو في الأصل مصدر ، قال الله تعالى : </w:t>
      </w:r>
      <w:r w:rsidRPr="007437BB">
        <w:rPr>
          <w:rStyle w:val="libFootnoteAlaemChar"/>
          <w:rtl/>
        </w:rPr>
        <w:t>(</w:t>
      </w:r>
      <w:r>
        <w:rPr>
          <w:rFonts w:hint="cs"/>
          <w:rtl/>
        </w:rPr>
        <w:t xml:space="preserve"> </w:t>
      </w:r>
      <w:r w:rsidRPr="00C2691A">
        <w:rPr>
          <w:rStyle w:val="libFootnoteAieChar"/>
          <w:rtl/>
        </w:rPr>
        <w:t>ما قَدَرُوا اللهَ حَقَّ قَدْرِهِ</w:t>
      </w:r>
      <w:r>
        <w:rPr>
          <w:rFonts w:hint="cs"/>
          <w:rtl/>
        </w:rPr>
        <w:t xml:space="preserve"> </w:t>
      </w:r>
      <w:r w:rsidRPr="001C7EB5">
        <w:rPr>
          <w:rStyle w:val="libFootnoteAlaemChar"/>
          <w:rtl/>
        </w:rPr>
        <w:t>)</w:t>
      </w:r>
      <w:r w:rsidRPr="00132E65">
        <w:rPr>
          <w:rtl/>
        </w:rPr>
        <w:t xml:space="preserve"> [ الأنعام </w:t>
      </w:r>
      <w:r>
        <w:rPr>
          <w:rtl/>
        </w:rPr>
        <w:t>(6)</w:t>
      </w:r>
      <w:r w:rsidRPr="00132E65">
        <w:rPr>
          <w:rtl/>
        </w:rPr>
        <w:t xml:space="preserve"> : 91 ؛ و</w:t>
      </w:r>
      <w:r>
        <w:rPr>
          <w:rtl/>
        </w:rPr>
        <w:t xml:space="preserve"> ..</w:t>
      </w:r>
      <w:r w:rsidRPr="00132E65">
        <w:rPr>
          <w:rtl/>
        </w:rPr>
        <w:t>. ] أي ما عظّموا اللهَ حقَّ تعظيمه »</w:t>
      </w:r>
      <w:r>
        <w:rPr>
          <w:rtl/>
        </w:rPr>
        <w:t>.</w:t>
      </w:r>
      <w:r w:rsidRPr="00132E65">
        <w:rPr>
          <w:rtl/>
        </w:rPr>
        <w:t xml:space="preserve"> </w:t>
      </w:r>
      <w:r w:rsidRPr="0041444D">
        <w:rPr>
          <w:rtl/>
        </w:rPr>
        <w:t>الصحاح</w:t>
      </w:r>
      <w:r w:rsidRPr="00132E65">
        <w:rPr>
          <w:rtl/>
        </w:rPr>
        <w:t xml:space="preserve"> ، ج 2 ، ص 786 ( قدر )</w:t>
      </w:r>
      <w:r>
        <w:rPr>
          <w:rtl/>
        </w:rPr>
        <w:t>.</w:t>
      </w:r>
    </w:p>
    <w:p w:rsidR="000C39D1" w:rsidRPr="00132E65" w:rsidRDefault="000C39D1" w:rsidP="000C39D1">
      <w:pPr>
        <w:pStyle w:val="libFootnote0"/>
        <w:rPr>
          <w:rtl/>
          <w:lang w:bidi="fa-IR"/>
        </w:rPr>
      </w:pPr>
      <w:r>
        <w:rPr>
          <w:rtl/>
        </w:rPr>
        <w:t>(3).</w:t>
      </w:r>
      <w:r w:rsidRPr="00132E65">
        <w:rPr>
          <w:rtl/>
        </w:rPr>
        <w:t xml:space="preserve"> في « ض ، بر ، بس » والبحار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(4).</w:t>
      </w:r>
      <w:r w:rsidRPr="00132E65">
        <w:rPr>
          <w:rtl/>
        </w:rPr>
        <w:t xml:space="preserve"> في شرح المازندراني : « كما أحبّه »</w:t>
      </w:r>
      <w:r>
        <w:rPr>
          <w:rtl/>
        </w:rPr>
        <w:t>.</w:t>
      </w:r>
    </w:p>
    <w:p w:rsidR="000C39D1" w:rsidRPr="00132E65" w:rsidRDefault="000C39D1" w:rsidP="000C39D1">
      <w:pPr>
        <w:pStyle w:val="libFootnote0"/>
        <w:rPr>
          <w:rtl/>
          <w:lang w:bidi="fa-IR"/>
        </w:rPr>
      </w:pPr>
      <w:r>
        <w:rPr>
          <w:rtl/>
        </w:rPr>
        <w:t>(5).</w:t>
      </w:r>
      <w:r w:rsidRPr="00132E65">
        <w:rPr>
          <w:rtl/>
        </w:rPr>
        <w:t xml:space="preserve"> « انتسب » </w:t>
      </w:r>
      <w:r>
        <w:rPr>
          <w:rtl/>
        </w:rPr>
        <w:t>و «</w:t>
      </w:r>
      <w:r w:rsidRPr="00132E65">
        <w:rPr>
          <w:rtl/>
        </w:rPr>
        <w:t xml:space="preserve"> استنسب » ، أي ذكر نسبه. والمعنى : أي كما انتسب إلى هذه الصفات في سورة التوحيد وغيرها. راجع : </w:t>
      </w:r>
      <w:r w:rsidRPr="0041444D">
        <w:rPr>
          <w:rtl/>
        </w:rPr>
        <w:t>شرح المازندراني</w:t>
      </w:r>
      <w:r w:rsidRPr="00132E65">
        <w:rPr>
          <w:rtl/>
        </w:rPr>
        <w:t xml:space="preserve"> ، ج 6 ، ص 137 ؛ </w:t>
      </w:r>
      <w:r w:rsidRPr="009D1ACE">
        <w:rPr>
          <w:rStyle w:val="libFootnoteBoldChar"/>
          <w:rtl/>
        </w:rPr>
        <w:t>لسان العرب</w:t>
      </w:r>
      <w:r w:rsidRPr="00132E65">
        <w:rPr>
          <w:rtl/>
        </w:rPr>
        <w:t xml:space="preserve"> ، ج 1 ، ص 755 ( نسب )</w:t>
      </w:r>
      <w:r>
        <w:rPr>
          <w:rtl/>
        </w:rPr>
        <w:t>.</w:t>
      </w:r>
    </w:p>
    <w:p w:rsidR="000C39D1" w:rsidRPr="00132E65" w:rsidRDefault="000C39D1" w:rsidP="000C39D1">
      <w:pPr>
        <w:pStyle w:val="libFootnote0"/>
        <w:rPr>
          <w:rtl/>
          <w:lang w:bidi="fa-IR"/>
        </w:rPr>
      </w:pPr>
      <w:r>
        <w:rPr>
          <w:rtl/>
        </w:rPr>
        <w:t>(6).</w:t>
      </w:r>
      <w:r w:rsidRPr="00132E65">
        <w:rPr>
          <w:rtl/>
        </w:rPr>
        <w:t xml:space="preserve"> إشارة إلى الآية 8 من سورة الجمعة (62</w:t>
      </w:r>
      <w:r>
        <w:rPr>
          <w:rtl/>
        </w:rPr>
        <w:t>) :</w:t>
      </w:r>
      <w:r w:rsidRPr="00132E65">
        <w:rPr>
          <w:rtl/>
        </w:rPr>
        <w:t xml:space="preserve"> </w:t>
      </w:r>
      <w:r w:rsidRPr="001C7EB5">
        <w:rPr>
          <w:rStyle w:val="libFootnoteAlaemChar"/>
          <w:rtl/>
        </w:rPr>
        <w:t>(</w:t>
      </w:r>
      <w:r>
        <w:rPr>
          <w:rFonts w:hint="cs"/>
          <w:rtl/>
        </w:rPr>
        <w:t xml:space="preserve"> </w:t>
      </w:r>
      <w:r w:rsidRPr="00C2691A">
        <w:rPr>
          <w:rStyle w:val="libFootnoteAieChar"/>
          <w:rtl/>
        </w:rPr>
        <w:t>قُلْ إِنَّ الْمَوْتَ الَّذِي تَفِرُّونَ مِنْهُ فَإِنَّهُ مُلاقِيكُمْ</w:t>
      </w:r>
      <w:r>
        <w:rPr>
          <w:rFonts w:hint="cs"/>
          <w:rtl/>
        </w:rPr>
        <w:t xml:space="preserve"> </w:t>
      </w:r>
      <w:r w:rsidRPr="001C7EB5">
        <w:rPr>
          <w:rStyle w:val="libFootnoteAlaemChar"/>
          <w:rtl/>
        </w:rPr>
        <w:t>)</w:t>
      </w:r>
      <w:r w:rsidRPr="00132E65">
        <w:rPr>
          <w:rtl/>
        </w:rPr>
        <w:t>.</w:t>
      </w:r>
    </w:p>
    <w:p w:rsidR="000C39D1" w:rsidRPr="00132E65" w:rsidRDefault="000C39D1" w:rsidP="000C39D1">
      <w:pPr>
        <w:pStyle w:val="libFootnote0"/>
        <w:rPr>
          <w:rtl/>
          <w:lang w:bidi="fa-IR"/>
        </w:rPr>
      </w:pPr>
      <w:r>
        <w:rPr>
          <w:rtl/>
        </w:rPr>
        <w:t>(7).</w:t>
      </w:r>
      <w:r w:rsidRPr="00132E65">
        <w:rPr>
          <w:rtl/>
        </w:rPr>
        <w:t xml:space="preserve"> قال الخليل : « الأجَلُ : غاية الوقت في الموت. وقال ابن الأثير : « هو الوقت المضروب المحدود في المستقبل »</w:t>
      </w:r>
      <w:r>
        <w:rPr>
          <w:rtl/>
        </w:rPr>
        <w:t>.</w:t>
      </w:r>
      <w:r w:rsidRPr="00132E65">
        <w:rPr>
          <w:rtl/>
        </w:rPr>
        <w:t xml:space="preserve"> راجع : </w:t>
      </w:r>
      <w:r w:rsidRPr="0041444D">
        <w:rPr>
          <w:rtl/>
        </w:rPr>
        <w:t>ترتيب كتاب العين</w:t>
      </w:r>
      <w:r w:rsidRPr="00132E65">
        <w:rPr>
          <w:rtl/>
        </w:rPr>
        <w:t xml:space="preserve"> ، ج 1 ، ص 68 ؛ </w:t>
      </w:r>
      <w:r w:rsidRPr="0041444D">
        <w:rPr>
          <w:rtl/>
        </w:rPr>
        <w:t>النهاية</w:t>
      </w:r>
      <w:r w:rsidRPr="00132E65">
        <w:rPr>
          <w:rtl/>
        </w:rPr>
        <w:t xml:space="preserve"> ، ج 1 ، ص 26 ( أجل )</w:t>
      </w:r>
      <w:r>
        <w:rPr>
          <w:rtl/>
        </w:rPr>
        <w:t>.</w:t>
      </w:r>
    </w:p>
    <w:p w:rsidR="000C39D1" w:rsidRPr="00132E65" w:rsidRDefault="000C39D1" w:rsidP="000C39D1">
      <w:pPr>
        <w:pStyle w:val="libFootnote0"/>
        <w:rPr>
          <w:rtl/>
          <w:lang w:bidi="fa-IR"/>
        </w:rPr>
      </w:pPr>
      <w:r>
        <w:rPr>
          <w:rtl/>
        </w:rPr>
        <w:t>(8).</w:t>
      </w:r>
      <w:r w:rsidRPr="00132E65">
        <w:rPr>
          <w:rtl/>
        </w:rPr>
        <w:t xml:space="preserve"> « مُوافاتُه » ، أي إتيانه. يقال : وافيتُه موافاةً ، أي أتيتُه. راجع : </w:t>
      </w:r>
      <w:r w:rsidRPr="0041444D">
        <w:rPr>
          <w:rtl/>
        </w:rPr>
        <w:t>المصباح المنير</w:t>
      </w:r>
      <w:r w:rsidRPr="00132E65">
        <w:rPr>
          <w:rtl/>
        </w:rPr>
        <w:t xml:space="preserve"> ، ص 667 ( وفى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اطّردت »</w:t>
      </w:r>
      <w:r>
        <w:rPr>
          <w:rtl/>
        </w:rPr>
        <w:t>.</w:t>
      </w:r>
      <w:r w:rsidRPr="00132E65">
        <w:rPr>
          <w:rtl/>
        </w:rPr>
        <w:t xml:space="preserve"> ونقل عن البعض : « أطْرَدَتْ » بمعنى جَرَتْ. و: « الاطّراد » : الإخراج. يقال : أطْرَدُه السلطان وطرّده ، إذا أخرجه عن بلده ، وحقيقته أنّه صيّره طَريداً. راجع : </w:t>
      </w:r>
      <w:r w:rsidRPr="0041444D">
        <w:rPr>
          <w:rtl/>
        </w:rPr>
        <w:t>النهاية</w:t>
      </w:r>
      <w:r w:rsidRPr="00132E65">
        <w:rPr>
          <w:rtl/>
        </w:rPr>
        <w:t xml:space="preserve"> ، ج 3 ، ص 118 ( طرد )</w:t>
      </w:r>
      <w:r>
        <w:rPr>
          <w:rtl/>
        </w:rPr>
        <w:t>.</w:t>
      </w:r>
    </w:p>
    <w:p w:rsidR="000C39D1" w:rsidRPr="00132E65" w:rsidRDefault="000C39D1" w:rsidP="000C39D1">
      <w:pPr>
        <w:pStyle w:val="libFootnote0"/>
        <w:rPr>
          <w:rtl/>
          <w:lang w:bidi="fa-IR"/>
        </w:rPr>
      </w:pPr>
      <w:r>
        <w:rPr>
          <w:rtl/>
        </w:rPr>
        <w:t>(10).</w:t>
      </w:r>
      <w:r w:rsidRPr="00132E65">
        <w:rPr>
          <w:rtl/>
        </w:rPr>
        <w:t xml:space="preserve"> « أبحثها » ، أي ا</w:t>
      </w:r>
      <w:r>
        <w:rPr>
          <w:rFonts w:hint="cs"/>
          <w:rtl/>
        </w:rPr>
        <w:t>ُ</w:t>
      </w:r>
      <w:r w:rsidRPr="00132E65">
        <w:rPr>
          <w:rtl/>
        </w:rPr>
        <w:t xml:space="preserve">فتّشها. راجع : </w:t>
      </w:r>
      <w:r w:rsidRPr="0041444D">
        <w:rPr>
          <w:rtl/>
        </w:rPr>
        <w:t>الصحاح</w:t>
      </w:r>
      <w:r w:rsidRPr="00132E65">
        <w:rPr>
          <w:rtl/>
        </w:rPr>
        <w:t xml:space="preserve"> ، ج 1 ، ص 273 ( بحث )</w:t>
      </w:r>
      <w:r>
        <w:rPr>
          <w:rtl/>
        </w:rPr>
        <w:t>.</w:t>
      </w:r>
    </w:p>
    <w:p w:rsidR="000C39D1" w:rsidRPr="00132E65" w:rsidRDefault="000C39D1" w:rsidP="000C39D1">
      <w:pPr>
        <w:pStyle w:val="libFootnote0"/>
        <w:rPr>
          <w:rtl/>
          <w:lang w:bidi="fa-IR"/>
        </w:rPr>
      </w:pPr>
      <w:r>
        <w:rPr>
          <w:rtl/>
        </w:rPr>
        <w:t>(11).</w:t>
      </w:r>
      <w:r w:rsidRPr="00132E65">
        <w:rPr>
          <w:rtl/>
        </w:rPr>
        <w:t xml:space="preserve"> في حاشية « ج » : « مخزون »</w:t>
      </w:r>
      <w:r>
        <w:rPr>
          <w:rtl/>
        </w:rPr>
        <w:t>.</w:t>
      </w:r>
    </w:p>
    <w:p w:rsidR="000C39D1" w:rsidRPr="00132E65" w:rsidRDefault="000C39D1" w:rsidP="000C39D1">
      <w:pPr>
        <w:pStyle w:val="libFootnote0"/>
        <w:rPr>
          <w:rtl/>
          <w:lang w:bidi="fa-IR"/>
        </w:rPr>
      </w:pPr>
      <w:r>
        <w:rPr>
          <w:rtl/>
        </w:rPr>
        <w:t>(12).</w:t>
      </w:r>
      <w:r w:rsidRPr="00132E65">
        <w:rPr>
          <w:rtl/>
        </w:rPr>
        <w:t xml:space="preserve"> في حاشية « ج ، بح ، بر » :</w:t>
      </w:r>
      <w:r>
        <w:rPr>
          <w:rtl/>
        </w:rPr>
        <w:t xml:space="preserve"> + </w:t>
      </w:r>
      <w:r w:rsidRPr="00132E65">
        <w:rPr>
          <w:rtl/>
        </w:rPr>
        <w:t>« هيهات »</w:t>
      </w:r>
      <w:r>
        <w:rPr>
          <w:rtl/>
        </w:rPr>
        <w:t>.</w:t>
      </w:r>
      <w:r w:rsidRPr="00132E65">
        <w:rPr>
          <w:rtl/>
        </w:rPr>
        <w:t xml:space="preserve"> وقال ابن الأثير : « هَيْهاتَ ، هي كلمة تبعيد مبنيّة على الفتح ، وناسٌ يكسرونها. وقد تبدل الهاءُ همزةً فيقال : أيْهاتَ. ومن فتح وقف بالتاء ، ومن كسر وقف بالهاء »</w:t>
      </w:r>
      <w:r>
        <w:rPr>
          <w:rtl/>
        </w:rPr>
        <w:t>.</w:t>
      </w:r>
      <w:r w:rsidRPr="00132E65">
        <w:rPr>
          <w:rtl/>
        </w:rPr>
        <w:t xml:space="preserve"> </w:t>
      </w:r>
      <w:r w:rsidRPr="0041444D">
        <w:rPr>
          <w:rtl/>
        </w:rPr>
        <w:t>النهاية</w:t>
      </w:r>
      <w:r w:rsidRPr="00132E65">
        <w:rPr>
          <w:rtl/>
        </w:rPr>
        <w:t xml:space="preserve"> ، ج 5 ، ص 290 ( هيه )</w:t>
      </w:r>
      <w:r>
        <w:rPr>
          <w:rtl/>
        </w:rPr>
        <w:t>.</w:t>
      </w:r>
    </w:p>
    <w:p w:rsidR="000C39D1" w:rsidRPr="00132E65" w:rsidRDefault="000C39D1" w:rsidP="000C39D1">
      <w:pPr>
        <w:pStyle w:val="libFootnote0"/>
        <w:rPr>
          <w:rtl/>
          <w:lang w:bidi="fa-IR"/>
        </w:rPr>
      </w:pPr>
      <w:r>
        <w:rPr>
          <w:rtl/>
        </w:rPr>
        <w:t>(13)</w:t>
      </w:r>
      <w:r w:rsidRPr="00132E65">
        <w:rPr>
          <w:rtl/>
        </w:rPr>
        <w:t xml:space="preserve"> في « ب » وحاشية « بح » و</w:t>
      </w:r>
      <w:r w:rsidRPr="009D1ACE">
        <w:rPr>
          <w:rStyle w:val="libFootnoteBoldChar"/>
          <w:rtl/>
        </w:rPr>
        <w:t>الوافي</w:t>
      </w:r>
      <w:r w:rsidRPr="00132E65">
        <w:rPr>
          <w:rtl/>
        </w:rPr>
        <w:t xml:space="preserve"> :</w:t>
      </w:r>
      <w:r>
        <w:rPr>
          <w:rtl/>
        </w:rPr>
        <w:t xml:space="preserve"> + </w:t>
      </w:r>
      <w:r w:rsidRPr="00132E65">
        <w:rPr>
          <w:rtl/>
        </w:rPr>
        <w:t>« مخزون »</w:t>
      </w:r>
      <w:r>
        <w:rPr>
          <w:rtl/>
        </w:rPr>
        <w:t>.</w:t>
      </w:r>
      <w:r w:rsidRPr="00132E65">
        <w:rPr>
          <w:rtl/>
        </w:rPr>
        <w:t xml:space="preserve"> وفي حاشية « ج ، بر »</w:t>
      </w:r>
      <w:r w:rsidR="007437BB">
        <w:rPr>
          <w:rtl/>
        </w:rPr>
        <w:t xml:space="preserve"> ونهج البلاغة ، ص 270 : « مخزون</w:t>
      </w:r>
      <w:r w:rsidRPr="00132E65">
        <w:rPr>
          <w:rtl/>
        </w:rPr>
        <w:t>»</w:t>
      </w:r>
      <w:r>
        <w:rPr>
          <w:rtl/>
        </w:rPr>
        <w:t>.</w:t>
      </w:r>
    </w:p>
    <w:p w:rsidR="000C39D1" w:rsidRPr="00132E65" w:rsidRDefault="000C39D1" w:rsidP="000C39D1">
      <w:pPr>
        <w:pStyle w:val="libFootnote0"/>
        <w:rPr>
          <w:rtl/>
          <w:lang w:bidi="fa-IR"/>
        </w:rPr>
      </w:pPr>
      <w:r>
        <w:rPr>
          <w:rtl/>
        </w:rPr>
        <w:t>(14)</w:t>
      </w:r>
      <w:r w:rsidRPr="00132E65">
        <w:rPr>
          <w:rtl/>
        </w:rPr>
        <w:t xml:space="preserve"> « فلا تضيّعوا » ، أي لا تُهْمِلوا. يقال : ضيّع الشي‌ء ، وأضاعه ، أي أهمله وأهلكه. راجع : </w:t>
      </w:r>
      <w:r w:rsidRPr="0041444D">
        <w:rPr>
          <w:rtl/>
        </w:rPr>
        <w:t>القاموس المحيط</w:t>
      </w:r>
      <w:r w:rsidRPr="00132E65">
        <w:rPr>
          <w:rtl/>
        </w:rPr>
        <w:t xml:space="preserve"> ، ج 2 ، ص 996 ( ضيع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سُنَّتَهُ </w:t>
      </w:r>
      <w:r>
        <w:rPr>
          <w:rStyle w:val="libFootnotenumChar"/>
          <w:rtl/>
        </w:rPr>
        <w:t>(1)</w:t>
      </w:r>
      <w:r w:rsidRPr="00132E65">
        <w:rPr>
          <w:rtl/>
          <w:lang w:bidi="fa-IR"/>
        </w:rPr>
        <w:t xml:space="preserve"> ، أَقِيمُوا هذَيْنِ الْعَمُودَيْنِ ، وأَوْقِدُوا </w:t>
      </w:r>
      <w:r>
        <w:rPr>
          <w:rStyle w:val="libFootnotenumChar"/>
          <w:rtl/>
        </w:rPr>
        <w:t>(2)</w:t>
      </w:r>
      <w:r w:rsidRPr="00132E65">
        <w:rPr>
          <w:rtl/>
          <w:lang w:bidi="fa-IR"/>
        </w:rPr>
        <w:t xml:space="preserve"> هذَيْنِ الْمِصْبَاحَيْنِ ، وخَلَاكُمْ </w:t>
      </w:r>
      <w:r>
        <w:rPr>
          <w:rStyle w:val="libFootnotenumChar"/>
          <w:rtl/>
        </w:rPr>
        <w:t>(3)</w:t>
      </w:r>
      <w:r w:rsidRPr="00132E65">
        <w:rPr>
          <w:rtl/>
          <w:lang w:bidi="fa-IR"/>
        </w:rPr>
        <w:t xml:space="preserve"> ذَمٌّ مَا لَمْ تَشْرُدُوا </w:t>
      </w:r>
      <w:r>
        <w:rPr>
          <w:rStyle w:val="libFootnotenumChar"/>
          <w:rtl/>
        </w:rPr>
        <w:t>(4)</w:t>
      </w:r>
      <w:r w:rsidRPr="00132E65">
        <w:rPr>
          <w:rtl/>
          <w:lang w:bidi="fa-IR"/>
        </w:rPr>
        <w:t xml:space="preserve"> ، حُمِّلَ </w:t>
      </w:r>
      <w:r>
        <w:rPr>
          <w:rStyle w:val="libFootnotenumChar"/>
          <w:rtl/>
        </w:rPr>
        <w:t>(5)</w:t>
      </w:r>
      <w:r w:rsidRPr="00132E65">
        <w:rPr>
          <w:rtl/>
          <w:lang w:bidi="fa-IR"/>
        </w:rPr>
        <w:t xml:space="preserve"> كُلُّ امْرِىً </w:t>
      </w:r>
      <w:r>
        <w:rPr>
          <w:rStyle w:val="libFootnotenumChar"/>
          <w:rtl/>
        </w:rPr>
        <w:t>(6)</w:t>
      </w:r>
      <w:r w:rsidRPr="00132E65">
        <w:rPr>
          <w:rtl/>
          <w:lang w:bidi="fa-IR"/>
        </w:rPr>
        <w:t xml:space="preserve"> مَجْهُودَهُ ، وخُفِّفَ عَنِ الْجَهَلَةِ ، رَبٌّ رَحِيمٌ ، وإِمَامٌ عَلِيمٌ ، وَدِينٌ قَوِيمٌ </w:t>
      </w:r>
      <w:r>
        <w:rPr>
          <w:rStyle w:val="libFootnotenumChar"/>
          <w:rtl/>
        </w:rPr>
        <w:t>(7)</w:t>
      </w:r>
    </w:p>
    <w:p w:rsidR="000C39D1" w:rsidRPr="00132E65" w:rsidRDefault="000C39D1" w:rsidP="000C39D1">
      <w:pPr>
        <w:pStyle w:val="libNormal"/>
        <w:rPr>
          <w:rtl/>
          <w:lang w:bidi="fa-IR"/>
        </w:rPr>
      </w:pPr>
      <w:r w:rsidRPr="00132E65">
        <w:rPr>
          <w:rtl/>
          <w:lang w:bidi="fa-IR"/>
        </w:rPr>
        <w:t xml:space="preserve">أَنَا </w:t>
      </w:r>
      <w:r>
        <w:rPr>
          <w:rStyle w:val="libFootnotenumChar"/>
          <w:rtl/>
        </w:rPr>
        <w:t>(8)</w:t>
      </w:r>
      <w:r w:rsidRPr="00132E65">
        <w:rPr>
          <w:rtl/>
          <w:lang w:bidi="fa-IR"/>
        </w:rPr>
        <w:t xml:space="preserve"> بِالْأَمْسِ صَاحِبُكُمْ ، والْيَوْمَ </w:t>
      </w:r>
      <w:r>
        <w:rPr>
          <w:rStyle w:val="libFootnotenumChar"/>
          <w:rtl/>
        </w:rPr>
        <w:t>(9)</w:t>
      </w:r>
      <w:r w:rsidRPr="00132E65">
        <w:rPr>
          <w:rtl/>
          <w:lang w:bidi="fa-IR"/>
        </w:rPr>
        <w:t xml:space="preserve"> عِبْرَةٌ </w:t>
      </w:r>
      <w:r>
        <w:rPr>
          <w:rStyle w:val="libFootnotenumChar"/>
          <w:rtl/>
        </w:rPr>
        <w:t>(10)</w:t>
      </w:r>
      <w:r w:rsidRPr="00132E65">
        <w:rPr>
          <w:rtl/>
          <w:lang w:bidi="fa-IR"/>
        </w:rPr>
        <w:t xml:space="preserve"> لَكُمْ ، و</w:t>
      </w:r>
      <w:r>
        <w:rPr>
          <w:rFonts w:hint="cs"/>
          <w:rtl/>
          <w:lang w:bidi="fa-IR"/>
        </w:rPr>
        <w:t>َ</w:t>
      </w:r>
      <w:r w:rsidRPr="00132E65">
        <w:rPr>
          <w:rtl/>
          <w:lang w:bidi="fa-IR"/>
        </w:rPr>
        <w:t xml:space="preserve">غَداً مُفَارِقُكُمْ </w:t>
      </w:r>
      <w:r>
        <w:rPr>
          <w:rStyle w:val="libFootnotenumChar"/>
          <w:rtl/>
        </w:rPr>
        <w:t>(11)</w:t>
      </w:r>
      <w:r w:rsidRPr="00132E65">
        <w:rPr>
          <w:rtl/>
          <w:lang w:bidi="fa-IR"/>
        </w:rPr>
        <w:t xml:space="preserve"> ، إِنْ تَثْبُتِ </w:t>
      </w:r>
      <w:r>
        <w:rPr>
          <w:rStyle w:val="libFootnotenumChar"/>
          <w:rtl/>
        </w:rPr>
        <w:t>(12)</w:t>
      </w:r>
      <w:r w:rsidRPr="00132E65">
        <w:rPr>
          <w:rtl/>
          <w:lang w:bidi="fa-IR"/>
        </w:rPr>
        <w:t xml:space="preserve"> ‌__________________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ج 1 ، ص 302 : « السنّة في الأصل الطريقة ، ثمّ خصّت بطريقة الحقّ التي وضعها الله للناس وجاءبها الرسول </w:t>
      </w:r>
      <w:r w:rsidRPr="00BD482F">
        <w:rPr>
          <w:rStyle w:val="libFootnoteAlaemChar"/>
          <w:rtl/>
        </w:rPr>
        <w:t>صلى‌الله‌عليه‌وآله</w:t>
      </w:r>
      <w:r w:rsidRPr="00132E65">
        <w:rPr>
          <w:rtl/>
          <w:lang w:bidi="fa-IR"/>
        </w:rPr>
        <w:t xml:space="preserve"> </w:t>
      </w:r>
      <w:r w:rsidRPr="00132E65">
        <w:rPr>
          <w:rtl/>
        </w:rPr>
        <w:t>؛ ليتقرّبوا بها إلى الله عزّ وجلّ ويدخل فيها كلّ عمل شرعيّ واعتقاد حقّ ، وتقابلها البدعة »</w:t>
      </w:r>
      <w:r>
        <w:rPr>
          <w:rtl/>
        </w:rPr>
        <w:t>.</w:t>
      </w:r>
      <w:r w:rsidRPr="00132E65">
        <w:rPr>
          <w:rtl/>
        </w:rPr>
        <w:t xml:space="preserve"> وراجع : </w:t>
      </w:r>
      <w:r w:rsidRPr="0041444D">
        <w:rPr>
          <w:rtl/>
        </w:rPr>
        <w:t>النهاية</w:t>
      </w:r>
      <w:r w:rsidRPr="00132E65">
        <w:rPr>
          <w:rtl/>
        </w:rPr>
        <w:t xml:space="preserve"> ، ج 2 ، ص 409 ( سنن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وفي بعض النسخ : وارفدوا هذين المصباحين بالراء والفاء ، أي انصروهما »</w:t>
      </w:r>
      <w:r>
        <w:rPr>
          <w:rtl/>
        </w:rPr>
        <w:t>.</w:t>
      </w:r>
    </w:p>
    <w:p w:rsidR="000C39D1" w:rsidRPr="00132E65" w:rsidRDefault="000C39D1" w:rsidP="000C39D1">
      <w:pPr>
        <w:pStyle w:val="libFootnote0"/>
        <w:rPr>
          <w:rtl/>
          <w:lang w:bidi="fa-IR"/>
        </w:rPr>
      </w:pPr>
      <w:r>
        <w:rPr>
          <w:rtl/>
        </w:rPr>
        <w:t>(3).</w:t>
      </w:r>
      <w:r w:rsidRPr="00132E65">
        <w:rPr>
          <w:rtl/>
        </w:rPr>
        <w:t xml:space="preserve"> في « بح » :</w:t>
      </w:r>
      <w:r>
        <w:rPr>
          <w:rtl/>
        </w:rPr>
        <w:t xml:space="preserve"> + </w:t>
      </w:r>
      <w:r w:rsidRPr="00132E65">
        <w:rPr>
          <w:rtl/>
        </w:rPr>
        <w:t>فيه. وقال الجوهري : « وقولهم : افعل كذا وخَلاك ذمٌّ ، أي ا</w:t>
      </w:r>
      <w:r>
        <w:rPr>
          <w:rFonts w:hint="cs"/>
          <w:rtl/>
        </w:rPr>
        <w:t>ُ</w:t>
      </w:r>
      <w:r w:rsidRPr="00132E65">
        <w:rPr>
          <w:rtl/>
        </w:rPr>
        <w:t xml:space="preserve">عْذِرْتَ وسقط عنك الذمّ. واستصوبه الفيض إذا فتحت الذال. وأمّا إذا كسرت الذال فالمعنى عنده : مضى لكم ذمّة وأمان. واستبعده المجلسي. راجع : </w:t>
      </w:r>
      <w:r w:rsidRPr="0041444D">
        <w:rPr>
          <w:rtl/>
        </w:rPr>
        <w:t>الصحاح</w:t>
      </w:r>
      <w:r w:rsidRPr="00132E65">
        <w:rPr>
          <w:rtl/>
        </w:rPr>
        <w:t xml:space="preserve"> ، ج 6 ، ص 2331 ( خلا )</w:t>
      </w:r>
      <w:r>
        <w:rPr>
          <w:rtl/>
        </w:rPr>
        <w:t>.</w:t>
      </w:r>
    </w:p>
    <w:p w:rsidR="000C39D1" w:rsidRPr="00132E65" w:rsidRDefault="000C39D1" w:rsidP="000C39D1">
      <w:pPr>
        <w:pStyle w:val="libFootnote0"/>
        <w:rPr>
          <w:rtl/>
          <w:lang w:bidi="fa-IR"/>
        </w:rPr>
      </w:pPr>
      <w:r>
        <w:rPr>
          <w:rtl/>
        </w:rPr>
        <w:t>(4).</w:t>
      </w:r>
      <w:r w:rsidRPr="00132E65">
        <w:rPr>
          <w:rtl/>
        </w:rPr>
        <w:t xml:space="preserve"> في « ب ، ض ، ف » : « لم تشرَّدوا »</w:t>
      </w:r>
      <w:r>
        <w:rPr>
          <w:rtl/>
        </w:rPr>
        <w:t>.</w:t>
      </w:r>
      <w:r w:rsidRPr="00132E65">
        <w:rPr>
          <w:rtl/>
        </w:rPr>
        <w:t xml:space="preserve"> وفي حاشية « بح » : « لم تنفروا »</w:t>
      </w:r>
      <w:r>
        <w:rPr>
          <w:rtl/>
        </w:rPr>
        <w:t>.</w:t>
      </w:r>
      <w:r w:rsidRPr="00132E65">
        <w:rPr>
          <w:rtl/>
        </w:rPr>
        <w:t xml:space="preserve"> وقوله : « ما لم تَشْرُدُوا » ، أي تنفروا. يقال : شَرَدَ البعيرُ يَشْرُدُ شُرُوداً وشِراداً ، إذا نفر وذهب في الأرض. راجع : </w:t>
      </w:r>
      <w:r w:rsidRPr="0041444D">
        <w:rPr>
          <w:rtl/>
        </w:rPr>
        <w:t>النهاية</w:t>
      </w:r>
      <w:r w:rsidRPr="00132E65">
        <w:rPr>
          <w:rtl/>
        </w:rPr>
        <w:t xml:space="preserve"> ، ج 2 ، ص 457 ( شرد )</w:t>
      </w:r>
      <w:r>
        <w:rPr>
          <w:rtl/>
        </w:rPr>
        <w:t>.</w:t>
      </w:r>
    </w:p>
    <w:p w:rsidR="000C39D1" w:rsidRPr="00132E65" w:rsidRDefault="000C39D1" w:rsidP="000C39D1">
      <w:pPr>
        <w:pStyle w:val="libFootnote0"/>
        <w:rPr>
          <w:rtl/>
          <w:lang w:bidi="fa-IR"/>
        </w:rPr>
      </w:pPr>
      <w:r>
        <w:rPr>
          <w:rtl/>
        </w:rPr>
        <w:t>(5).</w:t>
      </w:r>
      <w:r w:rsidRPr="00132E65">
        <w:rPr>
          <w:rtl/>
        </w:rPr>
        <w:t xml:space="preserve"> في « بف » : « وحمّل »</w:t>
      </w:r>
      <w:r>
        <w:rPr>
          <w:rtl/>
        </w:rPr>
        <w:t>.</w:t>
      </w:r>
      <w:r w:rsidRPr="00132E65">
        <w:rPr>
          <w:rtl/>
        </w:rPr>
        <w:t xml:space="preserve"> اعلم أنّ في قوله : « حمّل » </w:t>
      </w:r>
      <w:r>
        <w:rPr>
          <w:rtl/>
        </w:rPr>
        <w:t>و «</w:t>
      </w:r>
      <w:r w:rsidRPr="00132E65">
        <w:rPr>
          <w:rtl/>
        </w:rPr>
        <w:t xml:space="preserve"> خفّف » احتمالات ثلاثاً : الأوّل : أن يكونا مجهولين من باب التفعيل</w:t>
      </w:r>
      <w:r>
        <w:rPr>
          <w:rtl/>
        </w:rPr>
        <w:t xml:space="preserve"> - </w:t>
      </w:r>
      <w:r w:rsidRPr="00132E65">
        <w:rPr>
          <w:rtl/>
        </w:rPr>
        <w:t>كما في المتن</w:t>
      </w:r>
      <w:r>
        <w:rPr>
          <w:rtl/>
        </w:rPr>
        <w:t xml:space="preserve"> - </w:t>
      </w:r>
      <w:r w:rsidRPr="00132E65">
        <w:rPr>
          <w:rtl/>
        </w:rPr>
        <w:t xml:space="preserve">وحينئذٍ قوله : « ربّ رحيم » إمّا خبر مبتدأ محذوف ، أو مبتدأ محذوف الخبر ، أو فاعل فعل محذوف يفسّره قوله : « حمّل » ، أي حمّلهم ربّ رحيم. الثاني : أن يكونا معلومين منه ، وقوله : « ربّ رحيم » وما عطف عليه فاعلهما على سبيل التنازع ، أو الفاعل هو الضمير. الثالث : أن يكون « حمل » كضرب على المعلوم ، </w:t>
      </w:r>
      <w:r>
        <w:rPr>
          <w:rtl/>
        </w:rPr>
        <w:t>و «</w:t>
      </w:r>
      <w:r w:rsidRPr="00132E65">
        <w:rPr>
          <w:rtl/>
        </w:rPr>
        <w:t xml:space="preserve"> كلّ » فاعله ، </w:t>
      </w:r>
      <w:r>
        <w:rPr>
          <w:rtl/>
        </w:rPr>
        <w:t>و «</w:t>
      </w:r>
      <w:r w:rsidRPr="00132E65">
        <w:rPr>
          <w:rtl/>
        </w:rPr>
        <w:t xml:space="preserve"> خفّف » إمّا معلوم أو مجهول من التفعيل. راجع : </w:t>
      </w:r>
      <w:r w:rsidRPr="0041444D">
        <w:rPr>
          <w:rtl/>
        </w:rPr>
        <w:t>شرح المازندراني</w:t>
      </w:r>
      <w:r w:rsidRPr="00132E65">
        <w:rPr>
          <w:rtl/>
        </w:rPr>
        <w:t xml:space="preserve"> ، ج 6 ، ص 139 ؛ </w:t>
      </w:r>
      <w:r w:rsidRPr="009D1ACE">
        <w:rPr>
          <w:rStyle w:val="libFootnoteBoldChar"/>
          <w:rtl/>
        </w:rPr>
        <w:t>الوافي</w:t>
      </w:r>
      <w:r w:rsidRPr="00132E65">
        <w:rPr>
          <w:rtl/>
        </w:rPr>
        <w:t xml:space="preserve"> ، ج 2 ، ص 334 ؛ </w:t>
      </w:r>
      <w:r w:rsidRPr="009D1ACE">
        <w:rPr>
          <w:rStyle w:val="libFootnoteBoldChar"/>
          <w:rtl/>
        </w:rPr>
        <w:t>مرآة العقول</w:t>
      </w:r>
      <w:r w:rsidRPr="00132E65">
        <w:rPr>
          <w:rtl/>
        </w:rPr>
        <w:t xml:space="preserve"> ، ج 3 ، ص 297.</w:t>
      </w:r>
    </w:p>
    <w:p w:rsidR="000C39D1" w:rsidRPr="00132E65" w:rsidRDefault="000C39D1" w:rsidP="000C39D1">
      <w:pPr>
        <w:pStyle w:val="libFootnote0"/>
        <w:rPr>
          <w:rtl/>
          <w:lang w:bidi="fa-IR"/>
        </w:rPr>
      </w:pPr>
      <w:r>
        <w:rPr>
          <w:rtl/>
        </w:rPr>
        <w:t>(6).</w:t>
      </w:r>
      <w:r w:rsidRPr="00132E65">
        <w:rPr>
          <w:rtl/>
        </w:rPr>
        <w:t xml:space="preserve"> في « ب ، ض ، بر ، بس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ونهج البلاغة ، ص 207 :</w:t>
      </w:r>
      <w:r>
        <w:rPr>
          <w:rtl/>
        </w:rPr>
        <w:t xml:space="preserve"> + </w:t>
      </w:r>
      <w:r w:rsidRPr="00132E65">
        <w:rPr>
          <w:rtl/>
        </w:rPr>
        <w:t>« منكم »</w:t>
      </w:r>
      <w:r>
        <w:rPr>
          <w:rtl/>
        </w:rPr>
        <w:t>.</w:t>
      </w:r>
    </w:p>
    <w:p w:rsidR="000C39D1" w:rsidRPr="00132E65" w:rsidRDefault="000C39D1" w:rsidP="000C39D1">
      <w:pPr>
        <w:pStyle w:val="libFootnote0"/>
        <w:rPr>
          <w:rtl/>
          <w:lang w:bidi="fa-IR"/>
        </w:rPr>
      </w:pPr>
      <w:r>
        <w:rPr>
          <w:rtl/>
        </w:rPr>
        <w:t>(7).</w:t>
      </w:r>
      <w:r w:rsidRPr="00132E65">
        <w:rPr>
          <w:rtl/>
        </w:rPr>
        <w:t xml:space="preserve"> « قَوِيمٌ » ، أي ثابتٌ مُقوّمٌ لُامور معاش الناس ومعادهم ، من قام بمعنى ثبت وركذ ، ومعتدلٌ مستقيمٌ لا اعوجاج فيه ولا صعوبة. راجع : </w:t>
      </w:r>
      <w:r w:rsidRPr="0041444D">
        <w:rPr>
          <w:rtl/>
        </w:rPr>
        <w:t>المفردات</w:t>
      </w:r>
      <w:r w:rsidRPr="00132E65">
        <w:rPr>
          <w:rtl/>
        </w:rPr>
        <w:t xml:space="preserve"> للراغب ، ص 691 ؛ </w:t>
      </w:r>
      <w:r w:rsidRPr="009D1ACE">
        <w:rPr>
          <w:rStyle w:val="libFootnoteBoldChar"/>
          <w:rtl/>
        </w:rPr>
        <w:t>لسان العرب</w:t>
      </w:r>
      <w:r w:rsidRPr="00132E65">
        <w:rPr>
          <w:rtl/>
        </w:rPr>
        <w:t xml:space="preserve"> ، ج 12 ، ص 503 ( قوم )</w:t>
      </w:r>
      <w:r>
        <w:rPr>
          <w:rtl/>
        </w:rPr>
        <w:t>.</w:t>
      </w:r>
    </w:p>
    <w:p w:rsidR="000C39D1" w:rsidRPr="00132E65" w:rsidRDefault="000C39D1" w:rsidP="000C39D1">
      <w:pPr>
        <w:pStyle w:val="libFootnote0"/>
        <w:rPr>
          <w:rtl/>
          <w:lang w:bidi="fa-IR"/>
        </w:rPr>
      </w:pPr>
      <w:r>
        <w:rPr>
          <w:rtl/>
        </w:rPr>
        <w:t>(8).</w:t>
      </w:r>
      <w:r w:rsidRPr="00132E65">
        <w:rPr>
          <w:rtl/>
        </w:rPr>
        <w:t xml:space="preserve"> في « ه‍ » : « وأنا »</w:t>
      </w:r>
      <w:r>
        <w:rPr>
          <w:rtl/>
        </w:rPr>
        <w:t>.</w:t>
      </w:r>
    </w:p>
    <w:p w:rsidR="000C39D1" w:rsidRPr="00132E65" w:rsidRDefault="000C39D1" w:rsidP="000C39D1">
      <w:pPr>
        <w:pStyle w:val="libFootnote0"/>
        <w:rPr>
          <w:rtl/>
          <w:lang w:bidi="fa-IR"/>
        </w:rPr>
      </w:pPr>
      <w:r>
        <w:rPr>
          <w:rtl/>
        </w:rPr>
        <w:t>(9).</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 « و [ أنا ] اليوم »</w:t>
      </w:r>
      <w:r>
        <w:rPr>
          <w:rtl/>
        </w:rPr>
        <w:t>.</w:t>
      </w:r>
    </w:p>
    <w:p w:rsidR="000C39D1" w:rsidRPr="00132E65" w:rsidRDefault="000C39D1" w:rsidP="000C39D1">
      <w:pPr>
        <w:pStyle w:val="libFootnote0"/>
        <w:rPr>
          <w:rtl/>
          <w:lang w:bidi="fa-IR"/>
        </w:rPr>
      </w:pPr>
      <w:r>
        <w:rPr>
          <w:rtl/>
        </w:rPr>
        <w:t>(10).</w:t>
      </w:r>
      <w:r w:rsidRPr="00132E65">
        <w:rPr>
          <w:rtl/>
        </w:rPr>
        <w:t xml:space="preserve"> قال الراغب : « الاعتبار والعِبْرَة مختصّان بالحالة التي يتوصّل بها من معرفة ال</w:t>
      </w:r>
      <w:r>
        <w:rPr>
          <w:rFonts w:hint="cs"/>
          <w:rtl/>
        </w:rPr>
        <w:t>ـ</w:t>
      </w:r>
      <w:r w:rsidRPr="00132E65">
        <w:rPr>
          <w:rtl/>
        </w:rPr>
        <w:t>مُشاهَد إلى ما ليس بمُشاهَد »</w:t>
      </w:r>
      <w:r>
        <w:rPr>
          <w:rtl/>
        </w:rPr>
        <w:t>.</w:t>
      </w:r>
      <w:r w:rsidRPr="00132E65">
        <w:rPr>
          <w:rtl/>
        </w:rPr>
        <w:t xml:space="preserve"> وقال ابن الأثير : « العِبْرَة كالموعظة ممّا يتّعظ به الإنسان ويعمل به ويعتبر ؛ ليستدلّ به على غيره »</w:t>
      </w:r>
      <w:r>
        <w:rPr>
          <w:rtl/>
        </w:rPr>
        <w:t>.</w:t>
      </w:r>
      <w:r w:rsidRPr="00132E65">
        <w:rPr>
          <w:rtl/>
        </w:rPr>
        <w:t xml:space="preserve"> راجع : </w:t>
      </w:r>
      <w:r w:rsidRPr="0041444D">
        <w:rPr>
          <w:rtl/>
        </w:rPr>
        <w:t>المفردات</w:t>
      </w:r>
      <w:r w:rsidRPr="00132E65">
        <w:rPr>
          <w:rtl/>
        </w:rPr>
        <w:t xml:space="preserve"> للراغب ، ص 543 ؛ </w:t>
      </w:r>
      <w:r w:rsidRPr="0041444D">
        <w:rPr>
          <w:rtl/>
        </w:rPr>
        <w:t>النهاية</w:t>
      </w:r>
      <w:r w:rsidRPr="00132E65">
        <w:rPr>
          <w:rtl/>
        </w:rPr>
        <w:t xml:space="preserve"> ، ج 3 ، ص 170 ( عبر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حاشية « ف » : « ا</w:t>
            </w:r>
            <w:r>
              <w:rPr>
                <w:rFonts w:hint="cs"/>
                <w:rtl/>
              </w:rPr>
              <w:t>ُ</w:t>
            </w:r>
            <w:r w:rsidRPr="00132E65">
              <w:rPr>
                <w:rtl/>
              </w:rPr>
              <w:t>فارقكم »</w:t>
            </w:r>
            <w:r>
              <w:rPr>
                <w:rtl/>
              </w:rPr>
              <w:t>.</w:t>
            </w:r>
          </w:p>
        </w:tc>
        <w:tc>
          <w:tcPr>
            <w:tcW w:w="4006" w:type="dxa"/>
          </w:tcPr>
          <w:p w:rsidR="000C39D1" w:rsidRDefault="000C39D1" w:rsidP="00B53873">
            <w:pPr>
              <w:pStyle w:val="libFootnote0"/>
              <w:rPr>
                <w:rtl/>
              </w:rPr>
            </w:pPr>
            <w:r>
              <w:rPr>
                <w:rtl/>
              </w:rPr>
              <w:t>(12). في«</w:t>
            </w:r>
            <w:r w:rsidRPr="00132E65">
              <w:rPr>
                <w:rtl/>
              </w:rPr>
              <w:t>ه‍ »</w:t>
            </w:r>
            <w:r>
              <w:rPr>
                <w:rtl/>
              </w:rPr>
              <w:t>:« أتيت</w:t>
            </w:r>
            <w:r w:rsidRPr="00132E65">
              <w:rPr>
                <w:rtl/>
              </w:rPr>
              <w:t>»</w:t>
            </w:r>
            <w:r>
              <w:rPr>
                <w:rtl/>
              </w:rPr>
              <w:t>.وفي حاشية«ج،بر»</w:t>
            </w:r>
            <w:r w:rsidRPr="00132E65">
              <w:rPr>
                <w:rtl/>
              </w:rPr>
              <w:t>:</w:t>
            </w:r>
            <w:r>
              <w:rPr>
                <w:rtl/>
              </w:rPr>
              <w:t>«ثبتت</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الْوَطْأَةُ </w:t>
      </w:r>
      <w:r>
        <w:rPr>
          <w:rStyle w:val="libFootnotenumChar"/>
          <w:rtl/>
        </w:rPr>
        <w:t>(1)</w:t>
      </w:r>
      <w:r w:rsidRPr="00132E65">
        <w:rPr>
          <w:rtl/>
          <w:lang w:bidi="fa-IR"/>
        </w:rPr>
        <w:t xml:space="preserve"> فِي هذِهِ الْمَزَلَّةِ ، فَذَاكَ </w:t>
      </w:r>
      <w:r>
        <w:rPr>
          <w:rStyle w:val="libFootnotenumChar"/>
          <w:rtl/>
        </w:rPr>
        <w:t>(2)</w:t>
      </w:r>
      <w:r w:rsidRPr="00132E65">
        <w:rPr>
          <w:rtl/>
          <w:lang w:bidi="fa-IR"/>
        </w:rPr>
        <w:t xml:space="preserve"> الْمُرَادُ ، وإِنْ تَدْحَضِ </w:t>
      </w:r>
      <w:r>
        <w:rPr>
          <w:rStyle w:val="libFootnotenumChar"/>
          <w:rtl/>
        </w:rPr>
        <w:t>(3)</w:t>
      </w:r>
      <w:r w:rsidRPr="00132E65">
        <w:rPr>
          <w:rtl/>
          <w:lang w:bidi="fa-IR"/>
        </w:rPr>
        <w:t xml:space="preserve"> الْقَدَمُ ، فَإِنَّا كُنَّا فِي أَفْيَاءِ </w:t>
      </w:r>
      <w:r>
        <w:rPr>
          <w:rStyle w:val="libFootnotenumChar"/>
          <w:rtl/>
        </w:rPr>
        <w:t>(4)</w:t>
      </w:r>
      <w:r w:rsidRPr="00132E65">
        <w:rPr>
          <w:rtl/>
          <w:lang w:bidi="fa-IR"/>
        </w:rPr>
        <w:t xml:space="preserve"> أَغْصَانٍ ، وذَرى </w:t>
      </w:r>
      <w:r>
        <w:rPr>
          <w:rStyle w:val="libFootnotenumChar"/>
          <w:rtl/>
        </w:rPr>
        <w:t>(5)</w:t>
      </w:r>
      <w:r w:rsidRPr="00132E65">
        <w:rPr>
          <w:rtl/>
          <w:lang w:bidi="fa-IR"/>
        </w:rPr>
        <w:t xml:space="preserve"> رِيَاحٍ ، وتَحْتَ ظِلِّ غَمَامَةٍ اضْمَحَلَّ فِي الْجَوِّ مُتَلَفِّقُهَا </w:t>
      </w:r>
      <w:r>
        <w:rPr>
          <w:rStyle w:val="libFootnotenumChar"/>
          <w:rtl/>
        </w:rPr>
        <w:t>(6)</w:t>
      </w:r>
      <w:r w:rsidRPr="00132E65">
        <w:rPr>
          <w:rtl/>
          <w:lang w:bidi="fa-IR"/>
        </w:rPr>
        <w:t xml:space="preserve"> ، وعَفَا </w:t>
      </w:r>
      <w:r>
        <w:rPr>
          <w:rStyle w:val="libFootnotenumChar"/>
          <w:rtl/>
        </w:rPr>
        <w:t>(7)</w:t>
      </w:r>
      <w:r w:rsidRPr="00132E65">
        <w:rPr>
          <w:rtl/>
          <w:lang w:bidi="fa-IR"/>
        </w:rPr>
        <w:t xml:space="preserve"> فِي الْأَرْضِ مَخَطُّها </w:t>
      </w:r>
      <w:r>
        <w:rPr>
          <w:rStyle w:val="libFootnotenumChar"/>
          <w:rtl/>
        </w:rPr>
        <w:t>(8)</w:t>
      </w:r>
    </w:p>
    <w:p w:rsidR="000C39D1" w:rsidRPr="00132E65" w:rsidRDefault="000C39D1" w:rsidP="007437BB">
      <w:pPr>
        <w:pStyle w:val="libNormal"/>
        <w:rPr>
          <w:rtl/>
          <w:lang w:bidi="fa-IR"/>
        </w:rPr>
      </w:pPr>
      <w:r w:rsidRPr="00132E65">
        <w:rPr>
          <w:rtl/>
          <w:lang w:bidi="fa-IR"/>
        </w:rPr>
        <w:t xml:space="preserve">وَإِنَّمَا كُنْتُ </w:t>
      </w:r>
      <w:r>
        <w:rPr>
          <w:rStyle w:val="libFootnotenumChar"/>
          <w:rtl/>
        </w:rPr>
        <w:t>(9)</w:t>
      </w:r>
      <w:r w:rsidRPr="00132E65">
        <w:rPr>
          <w:rtl/>
          <w:lang w:bidi="fa-IR"/>
        </w:rPr>
        <w:t xml:space="preserve"> جَاراً جَاوَرَكُمْ بَدَنِي أَيَّاماً ، وسَتُعْقَبُونَ </w:t>
      </w:r>
      <w:r>
        <w:rPr>
          <w:rStyle w:val="libFootnotenumChar"/>
          <w:rtl/>
        </w:rPr>
        <w:t>(10)</w:t>
      </w:r>
      <w:r w:rsidRPr="00132E65">
        <w:rPr>
          <w:rtl/>
          <w:lang w:bidi="fa-IR"/>
        </w:rPr>
        <w:t xml:space="preserve"> مِنِّي جُثَّةً </w:t>
      </w:r>
      <w:r>
        <w:rPr>
          <w:rStyle w:val="libFootnotenumChar"/>
          <w:rtl/>
        </w:rPr>
        <w:t>(11)</w:t>
      </w:r>
      <w:r w:rsidRPr="00132E65">
        <w:rPr>
          <w:rtl/>
          <w:lang w:bidi="fa-IR"/>
        </w:rPr>
        <w:t xml:space="preserve"> خَلَاءً ، سَاكِنَةً بَعْدَ حَرَكَةٍ ، وكَاظِمَةً </w:t>
      </w:r>
      <w:r>
        <w:rPr>
          <w:rStyle w:val="libFootnotenumChar"/>
          <w:rtl/>
        </w:rPr>
        <w:t>(12)</w:t>
      </w:r>
      <w:r w:rsidRPr="00132E65">
        <w:rPr>
          <w:rtl/>
          <w:lang w:bidi="fa-IR"/>
        </w:rPr>
        <w:t xml:space="preserve"> بَعْدَ نُطْقٍ ؛ لِيَعِظَكُمْ </w:t>
      </w:r>
      <w:r w:rsidRPr="00F543F1">
        <w:rPr>
          <w:rStyle w:val="libFootnotenumChar"/>
          <w:rtl/>
        </w:rPr>
        <w:t>(13)</w:t>
      </w:r>
      <w:r w:rsidRPr="00132E65">
        <w:rPr>
          <w:rtl/>
          <w:lang w:bidi="fa-IR"/>
        </w:rPr>
        <w:t xml:space="preserve"> هُدُوِّي </w:t>
      </w:r>
      <w:r w:rsidRPr="00F543F1">
        <w:rPr>
          <w:rStyle w:val="libFootnotenumChar"/>
          <w:rtl/>
        </w:rPr>
        <w:t>(14)</w:t>
      </w:r>
      <w:r w:rsidRPr="00132E65">
        <w:rPr>
          <w:rtl/>
          <w:lang w:bidi="fa-IR"/>
        </w:rPr>
        <w:t xml:space="preserve"> ، وخُفُوتُ </w:t>
      </w:r>
      <w:r w:rsidRPr="00F543F1">
        <w:rPr>
          <w:rStyle w:val="libFootnotenumChar"/>
          <w:rtl/>
        </w:rPr>
        <w:t>(15)</w:t>
      </w:r>
      <w:r w:rsidR="007437BB">
        <w:rPr>
          <w:rFonts w:hint="cs"/>
          <w:rtl/>
        </w:rPr>
        <w:t>.........................</w:t>
      </w:r>
      <w:r>
        <w:rPr>
          <w:rFonts w:hint="cs"/>
          <w:rtl/>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الوَطْأَةُ » : موضع القدم ، من الوَطْء وهو في الأصل الدَوْسُ بالقدم ؛ يعني إن برئت وسلمت من الموت. راجع : </w:t>
      </w:r>
      <w:r w:rsidRPr="009D1ACE">
        <w:rPr>
          <w:rStyle w:val="libFootnoteBoldChar"/>
          <w:rtl/>
        </w:rPr>
        <w:t>لسان العرب</w:t>
      </w:r>
      <w:r w:rsidRPr="00132E65">
        <w:rPr>
          <w:rtl/>
        </w:rPr>
        <w:t xml:space="preserve"> ، ج 1 ، ص 197 ( وطأ )</w:t>
      </w:r>
      <w:r>
        <w:rPr>
          <w:rtl/>
        </w:rPr>
        <w:t>.</w:t>
      </w:r>
      <w:r w:rsidRPr="00132E65">
        <w:rPr>
          <w:rtl/>
        </w:rPr>
        <w:t xml:space="preserve"> </w:t>
      </w:r>
      <w:r>
        <w:rPr>
          <w:rFonts w:hint="cs"/>
          <w:rtl/>
        </w:rPr>
        <w:t xml:space="preserve">                         </w:t>
      </w:r>
      <w:r>
        <w:rPr>
          <w:rtl/>
        </w:rPr>
        <w:t>(2).</w:t>
      </w:r>
      <w:r w:rsidRPr="00132E65">
        <w:rPr>
          <w:rtl/>
        </w:rPr>
        <w:t xml:space="preserve"> في حاشية « ب ، ج » : « فذلك »</w:t>
      </w:r>
      <w:r>
        <w:rPr>
          <w:rtl/>
        </w:rPr>
        <w:t>.</w:t>
      </w:r>
    </w:p>
    <w:p w:rsidR="000C39D1" w:rsidRPr="00132E65" w:rsidRDefault="000C39D1" w:rsidP="000C39D1">
      <w:pPr>
        <w:pStyle w:val="libFootnote0"/>
        <w:rPr>
          <w:rtl/>
          <w:lang w:bidi="fa-IR"/>
        </w:rPr>
      </w:pPr>
      <w:r>
        <w:rPr>
          <w:rtl/>
        </w:rPr>
        <w:t>(3).</w:t>
      </w:r>
      <w:r w:rsidRPr="00132E65">
        <w:rPr>
          <w:rtl/>
        </w:rPr>
        <w:t xml:space="preserve"> « تَدْحَضُ » ، أي تَزْلُقُ وتزلّ ولم تثبت. راجع : </w:t>
      </w:r>
      <w:r w:rsidRPr="0041444D">
        <w:rPr>
          <w:rtl/>
        </w:rPr>
        <w:t>الصحاح</w:t>
      </w:r>
      <w:r w:rsidRPr="00132E65">
        <w:rPr>
          <w:rtl/>
        </w:rPr>
        <w:t xml:space="preserve"> ، ج 3 ، ص 1075 ( دحض )</w:t>
      </w:r>
      <w:r>
        <w:rPr>
          <w:rtl/>
        </w:rPr>
        <w:t>.</w:t>
      </w:r>
    </w:p>
    <w:p w:rsidR="000C39D1" w:rsidRDefault="000C39D1" w:rsidP="000C39D1">
      <w:pPr>
        <w:pStyle w:val="libFootnote0"/>
        <w:rPr>
          <w:rtl/>
        </w:rPr>
      </w:pPr>
      <w:r>
        <w:rPr>
          <w:rtl/>
        </w:rPr>
        <w:t>(4).</w:t>
      </w:r>
      <w:r w:rsidRPr="00132E65">
        <w:rPr>
          <w:rtl/>
        </w:rPr>
        <w:t xml:space="preserve"> « الأفياء » : جمع الفي‌ء ، وأصله : الرجوع ، ومنه قيل للظلّ الذي يكون بعد الزوال في‌ءٌ ؛ لأنّه يرجع من </w:t>
      </w:r>
      <w:r>
        <w:rPr>
          <w:rFonts w:hint="cs"/>
          <w:rtl/>
        </w:rPr>
        <w:t>=</w:t>
      </w:r>
    </w:p>
    <w:p w:rsidR="000C39D1" w:rsidRPr="00132E65" w:rsidRDefault="000C39D1" w:rsidP="000C39D1">
      <w:pPr>
        <w:pStyle w:val="libFootnote0"/>
        <w:rPr>
          <w:rtl/>
          <w:lang w:bidi="fa-IR"/>
        </w:rPr>
      </w:pPr>
      <w:r w:rsidRPr="00132E65">
        <w:rPr>
          <w:rtl/>
        </w:rPr>
        <w:t xml:space="preserve">جانب الغرب إلى جانب الشرق. راجع : </w:t>
      </w:r>
      <w:r w:rsidRPr="0041444D">
        <w:rPr>
          <w:rtl/>
        </w:rPr>
        <w:t>النهاية</w:t>
      </w:r>
      <w:r w:rsidRPr="00132E65">
        <w:rPr>
          <w:rtl/>
        </w:rPr>
        <w:t xml:space="preserve"> ، ج 3 ، ص 482 ( فيأ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41444D">
        <w:rPr>
          <w:rtl/>
        </w:rPr>
        <w:t>شرح المازندراني</w:t>
      </w:r>
      <w:r w:rsidRPr="00132E65">
        <w:rPr>
          <w:rtl/>
        </w:rPr>
        <w:t xml:space="preserve"> : « وذَرَى الرياح</w:t>
      </w:r>
      <w:r>
        <w:rPr>
          <w:rtl/>
        </w:rPr>
        <w:t xml:space="preserve"> - </w:t>
      </w:r>
      <w:r w:rsidRPr="00132E65">
        <w:rPr>
          <w:rtl/>
        </w:rPr>
        <w:t>بالفتح</w:t>
      </w:r>
      <w:r>
        <w:rPr>
          <w:rtl/>
        </w:rPr>
        <w:t xml:space="preserve"> - </w:t>
      </w:r>
      <w:r w:rsidRPr="00132E65">
        <w:rPr>
          <w:rtl/>
        </w:rPr>
        <w:t>: كَنَفُها ومَهَبُّها. يقال : أنا في ذَرى فلان ، أي في كنفه. وذُرَى‌الرياح</w:t>
      </w:r>
      <w:r>
        <w:rPr>
          <w:rtl/>
        </w:rPr>
        <w:t xml:space="preserve"> - </w:t>
      </w:r>
      <w:r w:rsidRPr="00132E65">
        <w:rPr>
          <w:rtl/>
        </w:rPr>
        <w:t>بالضمّ</w:t>
      </w:r>
      <w:r>
        <w:rPr>
          <w:rtl/>
        </w:rPr>
        <w:t xml:space="preserve"> - </w:t>
      </w:r>
      <w:r w:rsidRPr="00132E65">
        <w:rPr>
          <w:rtl/>
        </w:rPr>
        <w:t>: اسم لما ذَرَتْهُ الريح وأ</w:t>
      </w:r>
      <w:r>
        <w:rPr>
          <w:rtl/>
        </w:rPr>
        <w:t>طارته ، ولا يمكن إرادته هنا إل</w:t>
      </w:r>
      <w:r>
        <w:rPr>
          <w:rFonts w:hint="cs"/>
          <w:rtl/>
        </w:rPr>
        <w:t>ّ</w:t>
      </w:r>
      <w:r>
        <w:rPr>
          <w:rtl/>
        </w:rPr>
        <w:t>ا</w:t>
      </w:r>
      <w:r w:rsidRPr="00132E65">
        <w:rPr>
          <w:rtl/>
        </w:rPr>
        <w:t>بتكلّف »</w:t>
      </w:r>
      <w:r>
        <w:rPr>
          <w:rtl/>
        </w:rPr>
        <w:t>.</w:t>
      </w:r>
      <w:r w:rsidRPr="00132E65">
        <w:rPr>
          <w:rtl/>
        </w:rPr>
        <w:t xml:space="preserve"> وراجع : </w:t>
      </w:r>
      <w:r w:rsidRPr="0041444D">
        <w:rPr>
          <w:rtl/>
        </w:rPr>
        <w:t>الصحاح</w:t>
      </w:r>
      <w:r w:rsidRPr="00132E65">
        <w:rPr>
          <w:rtl/>
        </w:rPr>
        <w:t xml:space="preserve"> ، ج 6 ، ص 245 ( ذرا )</w:t>
      </w:r>
      <w:r>
        <w:rPr>
          <w:rtl/>
        </w:rPr>
        <w:t>.</w:t>
      </w:r>
    </w:p>
    <w:p w:rsidR="000C39D1" w:rsidRPr="00132E65" w:rsidRDefault="000C39D1" w:rsidP="000C39D1">
      <w:pPr>
        <w:pStyle w:val="libFootnote0"/>
        <w:rPr>
          <w:rtl/>
          <w:lang w:bidi="fa-IR"/>
        </w:rPr>
      </w:pPr>
      <w:r>
        <w:rPr>
          <w:rtl/>
        </w:rPr>
        <w:t>(6).</w:t>
      </w:r>
      <w:r w:rsidRPr="00132E65">
        <w:rPr>
          <w:rtl/>
        </w:rPr>
        <w:t xml:space="preserve"> « مُتلفّقها » ، إمّا بكسر الفاء بمعنى ما انضمّ واجتمع. يقال : لَفَقَ الثوب يَلْفِقُهُ لَفْقاً ، أي ضمّ شقّة إلى اخرى فخاطهما ، فتلفّق ، أي انضمّ. أو بفتح الفاء مصدر ميمي بمعنى الانضمام والاجتماع. راجع : </w:t>
      </w:r>
      <w:r w:rsidRPr="0041444D">
        <w:rPr>
          <w:rtl/>
        </w:rPr>
        <w:t>شرح المازندراني</w:t>
      </w:r>
      <w:r w:rsidRPr="00132E65">
        <w:rPr>
          <w:rtl/>
        </w:rPr>
        <w:t xml:space="preserve"> ، ج 6 ، ص 140 ؛ </w:t>
      </w:r>
      <w:r w:rsidRPr="009D1ACE">
        <w:rPr>
          <w:rStyle w:val="libFootnoteBoldChar"/>
          <w:rtl/>
        </w:rPr>
        <w:t>مرآة العقول</w:t>
      </w:r>
      <w:r w:rsidRPr="00132E65">
        <w:rPr>
          <w:rtl/>
        </w:rPr>
        <w:t xml:space="preserve"> ، ج 3 ، ص 299 ؛ </w:t>
      </w:r>
      <w:r w:rsidRPr="009D1ACE">
        <w:rPr>
          <w:rStyle w:val="libFootnoteBoldChar"/>
          <w:rtl/>
        </w:rPr>
        <w:t>لسان العرب</w:t>
      </w:r>
      <w:r w:rsidRPr="00132E65">
        <w:rPr>
          <w:rtl/>
        </w:rPr>
        <w:t xml:space="preserve"> ، ج 10 ، ص 330 ( لفق )</w:t>
      </w:r>
      <w:r>
        <w:rPr>
          <w:rtl/>
        </w:rPr>
        <w:t>.</w:t>
      </w:r>
    </w:p>
    <w:p w:rsidR="000C39D1" w:rsidRPr="00132E65" w:rsidRDefault="000C39D1" w:rsidP="000C39D1">
      <w:pPr>
        <w:pStyle w:val="libFootnote0"/>
        <w:rPr>
          <w:rtl/>
          <w:lang w:bidi="fa-IR"/>
        </w:rPr>
      </w:pPr>
      <w:r>
        <w:rPr>
          <w:rtl/>
        </w:rPr>
        <w:t>(7).</w:t>
      </w:r>
      <w:r w:rsidRPr="00132E65">
        <w:rPr>
          <w:rtl/>
        </w:rPr>
        <w:t xml:space="preserve"> « عَفا » ، أي درس وانمحى ولم يبق له أثر. راجع : </w:t>
      </w:r>
      <w:r w:rsidRPr="009D1ACE">
        <w:rPr>
          <w:rStyle w:val="libFootnoteBoldChar"/>
          <w:rtl/>
        </w:rPr>
        <w:t>لسان العرب</w:t>
      </w:r>
      <w:r w:rsidRPr="00132E65">
        <w:rPr>
          <w:rtl/>
        </w:rPr>
        <w:t xml:space="preserve"> ، ج 15 ، ص 76 ( عفا )</w:t>
      </w:r>
      <w:r>
        <w:rPr>
          <w:rtl/>
        </w:rPr>
        <w:t>.</w:t>
      </w:r>
    </w:p>
    <w:p w:rsidR="007437BB" w:rsidRDefault="000C39D1" w:rsidP="007437BB">
      <w:pPr>
        <w:pStyle w:val="libFootnote0"/>
        <w:rPr>
          <w:rtl/>
        </w:rPr>
      </w:pPr>
      <w:r>
        <w:rPr>
          <w:rtl/>
        </w:rPr>
        <w:t>(8).</w:t>
      </w:r>
      <w:r w:rsidRPr="00132E65">
        <w:rPr>
          <w:rtl/>
        </w:rPr>
        <w:t xml:space="preserve"> هكذا في « ألف ، ب ، ج ، ض ، ه‍ ، و، بح ، بر ، بس ، بف » و</w:t>
      </w:r>
      <w:r w:rsidRPr="009D1ACE">
        <w:rPr>
          <w:rStyle w:val="libFootnoteBoldChar"/>
          <w:rtl/>
        </w:rPr>
        <w:t>مرآة العقول</w:t>
      </w:r>
      <w:r w:rsidRPr="00132E65">
        <w:rPr>
          <w:rtl/>
        </w:rPr>
        <w:t xml:space="preserve"> والبحار ونهج البلاغة ، ص 207 ، </w:t>
      </w:r>
      <w:r>
        <w:rPr>
          <w:rtl/>
        </w:rPr>
        <w:t>و «</w:t>
      </w:r>
      <w:r w:rsidRPr="00132E65">
        <w:rPr>
          <w:rtl/>
        </w:rPr>
        <w:t xml:space="preserve"> المخطّ » : ما يحدث في الأرض من الخطّ الفاصل بين الظلّ والنور كما في المرآة. وفي المطبوع و</w:t>
      </w:r>
      <w:r w:rsidRPr="009D1ACE">
        <w:rPr>
          <w:rStyle w:val="libFootnoteBoldChar"/>
          <w:rtl/>
        </w:rPr>
        <w:t>الوافي</w:t>
      </w:r>
      <w:r w:rsidRPr="00132E65">
        <w:rPr>
          <w:rtl/>
        </w:rPr>
        <w:t xml:space="preserve"> : « محطّها »</w:t>
      </w:r>
      <w:r>
        <w:rPr>
          <w:rtl/>
        </w:rPr>
        <w:t>.</w:t>
      </w:r>
    </w:p>
    <w:p w:rsidR="000C39D1" w:rsidRPr="00132E65" w:rsidRDefault="000C39D1" w:rsidP="007437BB">
      <w:pPr>
        <w:pStyle w:val="libFootnote0"/>
        <w:rPr>
          <w:rtl/>
          <w:lang w:bidi="fa-IR"/>
        </w:rPr>
      </w:pPr>
      <w:r>
        <w:rPr>
          <w:rtl/>
        </w:rPr>
        <w:t>(9).</w:t>
      </w:r>
      <w:r w:rsidRPr="00132E65">
        <w:rPr>
          <w:rtl/>
        </w:rPr>
        <w:t xml:space="preserve"> في « ه‍ </w:t>
      </w:r>
      <w:r w:rsidR="007437BB" w:rsidRPr="00132E65">
        <w:rPr>
          <w:rtl/>
        </w:rPr>
        <w:t>»</w:t>
      </w:r>
      <w:r w:rsidRPr="00132E65">
        <w:rPr>
          <w:rtl/>
        </w:rPr>
        <w:t xml:space="preserve"> :</w:t>
      </w:r>
      <w:r>
        <w:rPr>
          <w:rtl/>
        </w:rPr>
        <w:t xml:space="preserve"> + </w:t>
      </w:r>
      <w:r w:rsidRPr="00132E65">
        <w:rPr>
          <w:rtl/>
        </w:rPr>
        <w:t>« في الأرض »</w:t>
      </w:r>
      <w:r>
        <w:rPr>
          <w:rtl/>
        </w:rPr>
        <w:t>.</w:t>
      </w:r>
    </w:p>
    <w:p w:rsidR="000C39D1" w:rsidRPr="00132E65" w:rsidRDefault="000C39D1" w:rsidP="000C39D1">
      <w:pPr>
        <w:pStyle w:val="libFootnote0"/>
        <w:rPr>
          <w:rtl/>
          <w:lang w:bidi="fa-IR"/>
        </w:rPr>
      </w:pPr>
      <w:r>
        <w:rPr>
          <w:rtl/>
        </w:rPr>
        <w:t>(10).</w:t>
      </w:r>
      <w:r w:rsidRPr="00132E65">
        <w:rPr>
          <w:rtl/>
        </w:rPr>
        <w:t xml:space="preserve"> « سَتُعْقَبُون » ، أي تُورَثُون. راجع : </w:t>
      </w:r>
      <w:r w:rsidRPr="0041444D">
        <w:rPr>
          <w:rtl/>
        </w:rPr>
        <w:t>الصحاح</w:t>
      </w:r>
      <w:r w:rsidRPr="00132E65">
        <w:rPr>
          <w:rtl/>
        </w:rPr>
        <w:t xml:space="preserve"> ، ج 1 ، ص 187 ( عقب )</w:t>
      </w:r>
      <w:r>
        <w:rPr>
          <w:rtl/>
        </w:rPr>
        <w:t>.</w:t>
      </w:r>
    </w:p>
    <w:p w:rsidR="000C39D1" w:rsidRPr="00132E65" w:rsidRDefault="000C39D1" w:rsidP="007437BB">
      <w:pPr>
        <w:pStyle w:val="libFootnote0"/>
        <w:rPr>
          <w:rtl/>
          <w:lang w:bidi="fa-IR"/>
        </w:rPr>
      </w:pPr>
      <w:r>
        <w:rPr>
          <w:rtl/>
        </w:rPr>
        <w:t>(11).</w:t>
      </w:r>
      <w:r w:rsidRPr="00132E65">
        <w:rPr>
          <w:rtl/>
        </w:rPr>
        <w:t xml:space="preserve"> في « ه‍ </w:t>
      </w:r>
      <w:r w:rsidR="007437BB" w:rsidRPr="00132E65">
        <w:rPr>
          <w:rtl/>
        </w:rPr>
        <w:t>»</w:t>
      </w:r>
      <w:r w:rsidRPr="00132E65">
        <w:rPr>
          <w:rtl/>
        </w:rPr>
        <w:t xml:space="preserve"> :</w:t>
      </w:r>
      <w:r>
        <w:rPr>
          <w:rtl/>
        </w:rPr>
        <w:t xml:space="preserve"> + </w:t>
      </w:r>
      <w:r w:rsidRPr="00132E65">
        <w:rPr>
          <w:rtl/>
        </w:rPr>
        <w:t>« في الأرض »</w:t>
      </w:r>
      <w:r>
        <w:rPr>
          <w:rtl/>
        </w:rPr>
        <w:t>.</w:t>
      </w:r>
    </w:p>
    <w:p w:rsidR="000C39D1" w:rsidRPr="00132E65" w:rsidRDefault="000C39D1" w:rsidP="000C39D1">
      <w:pPr>
        <w:pStyle w:val="libFootnote0"/>
        <w:rPr>
          <w:rtl/>
          <w:lang w:bidi="fa-IR"/>
        </w:rPr>
      </w:pPr>
      <w:r>
        <w:rPr>
          <w:rtl/>
        </w:rPr>
        <w:t>(12).</w:t>
      </w:r>
      <w:r w:rsidRPr="00132E65">
        <w:rPr>
          <w:rtl/>
        </w:rPr>
        <w:t xml:space="preserve"> « كاظِمَةً » ، أي ساكتة. والكُظُوم احتباس النَفَس ، ويعبَّر به عن السكوت. راجع : </w:t>
      </w:r>
      <w:r w:rsidRPr="0041444D">
        <w:rPr>
          <w:rtl/>
        </w:rPr>
        <w:t>المفردات</w:t>
      </w:r>
      <w:r w:rsidRPr="00132E65">
        <w:rPr>
          <w:rtl/>
        </w:rPr>
        <w:t xml:space="preserve"> للراغب ، ص 712 ؛ </w:t>
      </w:r>
      <w:r w:rsidRPr="009D1ACE">
        <w:rPr>
          <w:rStyle w:val="libFootnoteBoldChar"/>
          <w:rtl/>
        </w:rPr>
        <w:t>لسان العرب</w:t>
      </w:r>
      <w:r w:rsidRPr="00132E65">
        <w:rPr>
          <w:rtl/>
        </w:rPr>
        <w:t xml:space="preserve"> ، ج 12 ، ص 520 ( كظم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مرآة العقول</w:t>
      </w:r>
      <w:r w:rsidRPr="00132E65">
        <w:rPr>
          <w:rtl/>
        </w:rPr>
        <w:t xml:space="preserve"> : « ليعظكم ، بكسر اللام والنصب كما ضبط في أكثر نسخ النهج ، ويحتمل الجزم ؛ لكونه أمراً ، وفتح اللام والرفع أيضاً »</w:t>
      </w:r>
      <w:r>
        <w:rPr>
          <w:rtl/>
        </w:rPr>
        <w:t>.</w:t>
      </w:r>
    </w:p>
    <w:p w:rsidR="000C39D1" w:rsidRPr="00132E65" w:rsidRDefault="000C39D1" w:rsidP="000C39D1">
      <w:pPr>
        <w:pStyle w:val="libFootnote0"/>
        <w:rPr>
          <w:rtl/>
          <w:lang w:bidi="fa-IR"/>
        </w:rPr>
      </w:pPr>
      <w:r>
        <w:rPr>
          <w:rtl/>
        </w:rPr>
        <w:t>(14)</w:t>
      </w:r>
      <w:r w:rsidRPr="00132E65">
        <w:rPr>
          <w:rtl/>
        </w:rPr>
        <w:t xml:space="preserve"> « هُدُوِّي » ، أي سُكُوني. يقال : هَدَأَ هَدْءاً ، وهُدُوءاً ، أي سكن. راجع : </w:t>
      </w:r>
      <w:r w:rsidRPr="004E57D0">
        <w:rPr>
          <w:rtl/>
        </w:rPr>
        <w:t>الصحاح</w:t>
      </w:r>
      <w:r>
        <w:rPr>
          <w:rtl/>
        </w:rPr>
        <w:t xml:space="preserve"> ، ج 1 ، ص 82 (هدأ</w:t>
      </w:r>
      <w:r w:rsidRPr="00132E65">
        <w:rPr>
          <w:rtl/>
        </w:rPr>
        <w:t>)</w:t>
      </w:r>
      <w:r>
        <w:rPr>
          <w:rtl/>
        </w:rPr>
        <w:t>.</w:t>
      </w:r>
    </w:p>
    <w:p w:rsidR="000C39D1" w:rsidRPr="00132E65" w:rsidRDefault="000C39D1" w:rsidP="000C39D1">
      <w:pPr>
        <w:pStyle w:val="libFootnote0"/>
        <w:rPr>
          <w:rtl/>
          <w:lang w:bidi="fa-IR"/>
        </w:rPr>
      </w:pPr>
      <w:r>
        <w:rPr>
          <w:rtl/>
        </w:rPr>
        <w:t>(15)</w:t>
      </w:r>
      <w:r w:rsidRPr="00132E65">
        <w:rPr>
          <w:rtl/>
        </w:rPr>
        <w:t xml:space="preserve"> « الخُفُوت » : السكون. قال الجوهري : « خَفَتَ الصوتُ خُفُوتاً : سكن ، ولهذا قيل للميّت : خَفَتَ ، إذا انقطع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إِطْرَاقِي </w:t>
      </w:r>
      <w:r>
        <w:rPr>
          <w:rStyle w:val="libFootnotenumChar"/>
          <w:rtl/>
        </w:rPr>
        <w:t>(1)</w:t>
      </w:r>
      <w:r w:rsidRPr="00132E65">
        <w:rPr>
          <w:rtl/>
          <w:lang w:bidi="fa-IR"/>
        </w:rPr>
        <w:t xml:space="preserve"> ، وسُكُونُ أَطْرَافِي </w:t>
      </w:r>
      <w:r>
        <w:rPr>
          <w:rStyle w:val="libFootnotenumChar"/>
          <w:rtl/>
        </w:rPr>
        <w:t>(2)</w:t>
      </w:r>
      <w:r w:rsidRPr="00132E65">
        <w:rPr>
          <w:rtl/>
          <w:lang w:bidi="fa-IR"/>
        </w:rPr>
        <w:t xml:space="preserve"> ؛ فَإِنَّهُ أَوْعَظُ لَكُمْ مِنَ النَّاطِقِ الْبَلِيغِ.</w:t>
      </w:r>
    </w:p>
    <w:p w:rsidR="000C39D1" w:rsidRPr="00132E65" w:rsidRDefault="000C39D1" w:rsidP="000C39D1">
      <w:pPr>
        <w:pStyle w:val="libNormal"/>
        <w:rPr>
          <w:rtl/>
          <w:lang w:bidi="fa-IR"/>
        </w:rPr>
      </w:pPr>
      <w:r w:rsidRPr="00132E65">
        <w:rPr>
          <w:rtl/>
          <w:lang w:bidi="fa-IR"/>
        </w:rPr>
        <w:t xml:space="preserve">وَدَّعْتُكُمْ ودَاعَ مُرْصِدٍ </w:t>
      </w:r>
      <w:r>
        <w:rPr>
          <w:rStyle w:val="libFootnotenumChar"/>
          <w:rtl/>
        </w:rPr>
        <w:t>(3)</w:t>
      </w:r>
      <w:r w:rsidRPr="00132E65">
        <w:rPr>
          <w:rtl/>
          <w:lang w:bidi="fa-IR"/>
        </w:rPr>
        <w:t xml:space="preserve"> لِلتَّلَاقِي ، غَداً تَرَوْنَ أَيَّامِي ، ويَكْشِفُ اللهُ</w:t>
      </w:r>
      <w:r>
        <w:rPr>
          <w:rtl/>
          <w:lang w:bidi="fa-IR"/>
        </w:rPr>
        <w:t xml:space="preserve"> - </w:t>
      </w:r>
      <w:r w:rsidRPr="00132E65">
        <w:rPr>
          <w:rtl/>
          <w:lang w:bidi="fa-IR"/>
        </w:rPr>
        <w:t>عَزَّ وجَلَّ</w:t>
      </w:r>
      <w:r>
        <w:rPr>
          <w:rtl/>
          <w:lang w:bidi="fa-IR"/>
        </w:rPr>
        <w:t xml:space="preserve"> - </w:t>
      </w:r>
      <w:r w:rsidRPr="00132E65">
        <w:rPr>
          <w:rtl/>
          <w:lang w:bidi="fa-IR"/>
        </w:rPr>
        <w:t xml:space="preserve">عَنْ سَرَائِرِي ، وتَعْرِفُونِّي </w:t>
      </w:r>
      <w:r>
        <w:rPr>
          <w:rStyle w:val="libFootnotenumChar"/>
          <w:rtl/>
        </w:rPr>
        <w:t>(4)</w:t>
      </w:r>
      <w:r w:rsidRPr="00132E65">
        <w:rPr>
          <w:rtl/>
          <w:lang w:bidi="fa-IR"/>
        </w:rPr>
        <w:t xml:space="preserve"> بَعْدَ خُلُوِّ مَكَانِي ، وقِيَامِ غَيْرِي مَقَامِي </w:t>
      </w:r>
      <w:r>
        <w:rPr>
          <w:rStyle w:val="libFootnotenumChar"/>
          <w:rtl/>
        </w:rPr>
        <w:t>(5)</w:t>
      </w:r>
    </w:p>
    <w:p w:rsidR="000C39D1" w:rsidRPr="00132E65" w:rsidRDefault="000C39D1" w:rsidP="007437BB">
      <w:pPr>
        <w:pStyle w:val="libNormal"/>
        <w:rPr>
          <w:rtl/>
          <w:lang w:bidi="fa-IR"/>
        </w:rPr>
      </w:pPr>
      <w:r w:rsidRPr="00132E65">
        <w:rPr>
          <w:rtl/>
          <w:lang w:bidi="fa-IR"/>
        </w:rPr>
        <w:t xml:space="preserve">إِنْ </w:t>
      </w:r>
      <w:r>
        <w:rPr>
          <w:rStyle w:val="libFootnotenumChar"/>
          <w:rtl/>
        </w:rPr>
        <w:t>(6)</w:t>
      </w:r>
      <w:r w:rsidRPr="00132E65">
        <w:rPr>
          <w:rtl/>
          <w:lang w:bidi="fa-IR"/>
        </w:rPr>
        <w:t xml:space="preserve"> أَبْقَ فَأَنَا ولِيُّ دَمِي ؛ وإِنْ أَفْنَ فَالْفَنَاءُ مِيعَادِي ؛ و</w:t>
      </w:r>
      <w:r>
        <w:rPr>
          <w:rFonts w:hint="cs"/>
          <w:rtl/>
          <w:lang w:bidi="fa-IR"/>
        </w:rPr>
        <w:t xml:space="preserve">َ </w:t>
      </w:r>
      <w:r>
        <w:rPr>
          <w:rStyle w:val="libFootnotenumChar"/>
          <w:rtl/>
        </w:rPr>
        <w:t>(7)</w:t>
      </w:r>
      <w:r w:rsidRPr="00132E65">
        <w:rPr>
          <w:rtl/>
          <w:lang w:bidi="fa-IR"/>
        </w:rPr>
        <w:t xml:space="preserve"> إِنْ أَعْفُ فَالْعَفْوُ </w:t>
      </w:r>
      <w:r>
        <w:rPr>
          <w:rStyle w:val="libFootnotenumChar"/>
          <w:rtl/>
        </w:rPr>
        <w:t>(8)</w:t>
      </w:r>
      <w:r w:rsidRPr="00132E65">
        <w:rPr>
          <w:rtl/>
          <w:lang w:bidi="fa-IR"/>
        </w:rPr>
        <w:t xml:space="preserve"> لِي قُرْبَةٌ ولَكُمْ حَسَنَةٌ ، فَاعْفُوا واصْفَحُوا </w:t>
      </w:r>
      <w:r>
        <w:rPr>
          <w:rStyle w:val="libFootnotenumChar"/>
          <w:rtl/>
        </w:rPr>
        <w:t>(9)</w:t>
      </w:r>
      <w:r>
        <w:rPr>
          <w:rtl/>
          <w:lang w:bidi="fa-IR"/>
        </w:rPr>
        <w:t xml:space="preserve"> ، أَ</w:t>
      </w:r>
      <w:r w:rsidRPr="00132E65">
        <w:rPr>
          <w:rtl/>
          <w:lang w:bidi="fa-IR"/>
        </w:rPr>
        <w:t>لَاتُحِبُّونَ أَنْ يَغْفِرَ اللهُ</w:t>
      </w:r>
      <w:r w:rsidR="007437BB">
        <w:rPr>
          <w:rFonts w:hint="cs"/>
          <w:rtl/>
          <w:lang w:bidi="fa-IR"/>
        </w:rPr>
        <w:t>...........................................</w:t>
      </w:r>
      <w:r>
        <w:rPr>
          <w:rFonts w:hint="cs"/>
          <w:rtl/>
          <w:lang w:bidi="fa-IR"/>
        </w:rPr>
        <w:tab/>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كلامه وسكت فهو خافِتٌ »</w:t>
      </w:r>
      <w:r>
        <w:rPr>
          <w:rtl/>
        </w:rPr>
        <w:t>.</w:t>
      </w:r>
      <w:r w:rsidRPr="00132E65">
        <w:rPr>
          <w:rtl/>
        </w:rPr>
        <w:t xml:space="preserve"> راجع : </w:t>
      </w:r>
      <w:r w:rsidRPr="004E57D0">
        <w:rPr>
          <w:rtl/>
        </w:rPr>
        <w:t>الصحاح</w:t>
      </w:r>
      <w:r w:rsidRPr="00132E65">
        <w:rPr>
          <w:rtl/>
        </w:rPr>
        <w:t xml:space="preserve"> ، ج 1 ، ص 248 ( خفت )</w:t>
      </w:r>
      <w:r>
        <w:rPr>
          <w:rtl/>
        </w:rPr>
        <w:t>.</w:t>
      </w:r>
    </w:p>
    <w:p w:rsidR="000C39D1" w:rsidRPr="00132E65" w:rsidRDefault="000C39D1" w:rsidP="000C39D1">
      <w:pPr>
        <w:pStyle w:val="libFootnote0"/>
        <w:rPr>
          <w:rtl/>
          <w:lang w:bidi="fa-IR"/>
        </w:rPr>
      </w:pPr>
      <w:r>
        <w:rPr>
          <w:rtl/>
        </w:rPr>
        <w:t>(1).</w:t>
      </w:r>
      <w:r w:rsidRPr="00132E65">
        <w:rPr>
          <w:rtl/>
        </w:rPr>
        <w:t xml:space="preserve"> « إطْراقِي » ، إمّا بكسر الهمزة ، بمعنى إرخاء العينين ، من أطْرَقَ ، أي أرخى عينيه ينظر إلى الأرض وسكت ، كناية عن عدم تحريك الأجفان. أو بفتحها جمع طِرْقٍ بمعنى القوّة ، أو جمع طَرْقٍ بمعنى الضرب بالمطرقة ، أو جمع طَرْقَة بالفتح بمعنى صنائع الكلام ، يقال : هذه طَرْقَتُهُ ، أي صنعته. والأوّل أظهر وأضبط. راجع : </w:t>
      </w:r>
      <w:r w:rsidRPr="004E57D0">
        <w:rPr>
          <w:rtl/>
        </w:rPr>
        <w:t>شرح المازندراني</w:t>
      </w:r>
      <w:r w:rsidRPr="00132E65">
        <w:rPr>
          <w:rtl/>
        </w:rPr>
        <w:t xml:space="preserve"> ، ج 6 ، ص 141 ؛ </w:t>
      </w:r>
      <w:r w:rsidRPr="009D1ACE">
        <w:rPr>
          <w:rStyle w:val="libFootnoteBoldChar"/>
          <w:rtl/>
        </w:rPr>
        <w:t>الوافي</w:t>
      </w:r>
      <w:r w:rsidRPr="00132E65">
        <w:rPr>
          <w:rtl/>
        </w:rPr>
        <w:t xml:space="preserve"> ، ج 2 ، ص 335 ؛ </w:t>
      </w:r>
      <w:r w:rsidRPr="009D1ACE">
        <w:rPr>
          <w:rStyle w:val="libFootnoteBoldChar"/>
          <w:rtl/>
        </w:rPr>
        <w:t>مرآة العقول</w:t>
      </w:r>
      <w:r w:rsidRPr="00132E65">
        <w:rPr>
          <w:rtl/>
        </w:rPr>
        <w:t xml:space="preserve"> ، ج 3 ، ص 300 ؛ </w:t>
      </w:r>
      <w:r w:rsidRPr="004E57D0">
        <w:rPr>
          <w:rtl/>
        </w:rPr>
        <w:t>القاموس المحيط</w:t>
      </w:r>
      <w:r w:rsidRPr="00132E65">
        <w:rPr>
          <w:rtl/>
        </w:rPr>
        <w:t xml:space="preserve"> ، ج 2 ، ص 1198 ( طرق )</w:t>
      </w:r>
      <w:r>
        <w:rPr>
          <w:rtl/>
        </w:rPr>
        <w:t>.</w:t>
      </w:r>
    </w:p>
    <w:p w:rsidR="000C39D1" w:rsidRPr="00132E65" w:rsidRDefault="000C39D1" w:rsidP="000C39D1">
      <w:pPr>
        <w:pStyle w:val="libFootnote0"/>
        <w:rPr>
          <w:rtl/>
          <w:lang w:bidi="fa-IR"/>
        </w:rPr>
      </w:pPr>
      <w:r>
        <w:rPr>
          <w:rtl/>
        </w:rPr>
        <w:t>(2).</w:t>
      </w:r>
      <w:r w:rsidRPr="00132E65">
        <w:rPr>
          <w:rtl/>
        </w:rPr>
        <w:t xml:space="preserve"> « أطْرافي » ، جمع طَرَف. والمراد بها الأعضاء والجوارح. أو جمع الطَرْف بمعنى تحريك العين والجفن على رأي القتيبي ؛ فإنّ الطَرْف مصدر لا يثنّى ولا يجمع. راجع : </w:t>
      </w:r>
      <w:r w:rsidRPr="004E57D0">
        <w:rPr>
          <w:rtl/>
        </w:rPr>
        <w:t>النهاية</w:t>
      </w:r>
      <w:r w:rsidRPr="00132E65">
        <w:rPr>
          <w:rtl/>
        </w:rPr>
        <w:t xml:space="preserve"> ، ج 3 ، ص 120 ؛ </w:t>
      </w:r>
      <w:r w:rsidRPr="009D1ACE">
        <w:rPr>
          <w:rStyle w:val="libFootnoteBoldChar"/>
          <w:rtl/>
        </w:rPr>
        <w:t>لسان العرب</w:t>
      </w:r>
      <w:r w:rsidRPr="00132E65">
        <w:rPr>
          <w:rtl/>
        </w:rPr>
        <w:t xml:space="preserve"> ، ج 9 ، ص 213 ( طرف )</w:t>
      </w:r>
      <w:r>
        <w:rPr>
          <w:rtl/>
        </w:rPr>
        <w:t>.</w:t>
      </w:r>
    </w:p>
    <w:p w:rsidR="000C39D1" w:rsidRPr="00132E65" w:rsidRDefault="000C39D1" w:rsidP="000C39D1">
      <w:pPr>
        <w:pStyle w:val="libFootnote0"/>
        <w:rPr>
          <w:rtl/>
          <w:lang w:bidi="fa-IR"/>
        </w:rPr>
      </w:pPr>
      <w:r>
        <w:rPr>
          <w:rtl/>
        </w:rPr>
        <w:t>(3).</w:t>
      </w:r>
      <w:r w:rsidRPr="00132E65">
        <w:rPr>
          <w:rtl/>
        </w:rPr>
        <w:t xml:space="preserve"> « مُرْصِد » ، أي مترقّب ، منتظر ، معدّ ، مهيّئ. ونقل المجلسي عن بعض نسخ النهج : مُرْصَد على صيغةالمفعول. وقال المازندراني : « ويجوز أن يكون اسم مكان من الرصد</w:t>
      </w:r>
      <w:r>
        <w:rPr>
          <w:rtl/>
        </w:rPr>
        <w:t xml:space="preserve"> - </w:t>
      </w:r>
      <w:r w:rsidRPr="00132E65">
        <w:rPr>
          <w:rtl/>
        </w:rPr>
        <w:t>بالتحريك والتسكين</w:t>
      </w:r>
      <w:r>
        <w:rPr>
          <w:rtl/>
        </w:rPr>
        <w:t xml:space="preserve"> - </w:t>
      </w:r>
      <w:r w:rsidRPr="00132E65">
        <w:rPr>
          <w:rtl/>
        </w:rPr>
        <w:t>بمعنى المراقبة والانتظار »</w:t>
      </w:r>
      <w:r>
        <w:rPr>
          <w:rtl/>
        </w:rPr>
        <w:t>.</w:t>
      </w:r>
      <w:r w:rsidRPr="00132E65">
        <w:rPr>
          <w:rtl/>
        </w:rPr>
        <w:t xml:space="preserve"> راجع : </w:t>
      </w:r>
      <w:r w:rsidRPr="004E57D0">
        <w:rPr>
          <w:rtl/>
        </w:rPr>
        <w:t>النهاية</w:t>
      </w:r>
      <w:r w:rsidRPr="00132E65">
        <w:rPr>
          <w:rtl/>
        </w:rPr>
        <w:t xml:space="preserve"> ، ج 2 ، ص 226 ( رصد ) ؛ </w:t>
      </w:r>
      <w:r w:rsidRPr="004E57D0">
        <w:rPr>
          <w:rtl/>
        </w:rPr>
        <w:t>شرح المازندراني</w:t>
      </w:r>
      <w:r w:rsidRPr="00132E65">
        <w:rPr>
          <w:rtl/>
        </w:rPr>
        <w:t xml:space="preserve"> ، ج 6 ، ص 141 ؛ </w:t>
      </w:r>
      <w:r w:rsidRPr="009D1ACE">
        <w:rPr>
          <w:rStyle w:val="libFootnoteBoldChar"/>
          <w:rtl/>
        </w:rPr>
        <w:t>مرآة العقول</w:t>
      </w:r>
      <w:r w:rsidRPr="00132E65">
        <w:rPr>
          <w:rtl/>
        </w:rPr>
        <w:t xml:space="preserve"> ، ج 3 ، ص 301.</w:t>
      </w:r>
    </w:p>
    <w:p w:rsidR="000C39D1" w:rsidRPr="00132E65" w:rsidRDefault="000C39D1" w:rsidP="000C39D1">
      <w:pPr>
        <w:pStyle w:val="libFootnote0"/>
        <w:rPr>
          <w:rtl/>
          <w:lang w:bidi="fa-IR"/>
        </w:rPr>
      </w:pPr>
      <w:r>
        <w:rPr>
          <w:rtl/>
        </w:rPr>
        <w:t>(4).</w:t>
      </w:r>
      <w:r w:rsidRPr="00132E65">
        <w:rPr>
          <w:rtl/>
        </w:rPr>
        <w:t xml:space="preserve"> في « ف » ونهج البلاغة ، ص 207 : « تعرفونني »</w:t>
      </w:r>
      <w:r>
        <w:rPr>
          <w:rtl/>
        </w:rPr>
        <w:t>.</w:t>
      </w:r>
      <w:r w:rsidRPr="00132E65">
        <w:rPr>
          <w:rtl/>
        </w:rPr>
        <w:t xml:space="preserve"> قال في </w:t>
      </w:r>
      <w:r w:rsidRPr="004E57D0">
        <w:rPr>
          <w:rtl/>
        </w:rPr>
        <w:t xml:space="preserve">النحو </w:t>
      </w:r>
      <w:r w:rsidRPr="009D1ACE">
        <w:rPr>
          <w:rStyle w:val="libFootnoteBoldChar"/>
          <w:rtl/>
        </w:rPr>
        <w:t>الوافي</w:t>
      </w:r>
      <w:r w:rsidRPr="00132E65">
        <w:rPr>
          <w:rtl/>
        </w:rPr>
        <w:t xml:space="preserve"> ، ج 1 ، ص 163 : « وهناك لغة تحذف نون الرفع ، أي نون الأفعال الخمسة في غير ما سبق »</w:t>
      </w:r>
      <w:r>
        <w:rPr>
          <w:rtl/>
        </w:rPr>
        <w:t>.</w:t>
      </w:r>
    </w:p>
    <w:p w:rsidR="000C39D1" w:rsidRPr="00132E65" w:rsidRDefault="000C39D1" w:rsidP="000C39D1">
      <w:pPr>
        <w:pStyle w:val="libFootnote0"/>
        <w:rPr>
          <w:rtl/>
          <w:lang w:bidi="fa-IR"/>
        </w:rPr>
      </w:pPr>
      <w:r>
        <w:rPr>
          <w:rtl/>
        </w:rPr>
        <w:t>(5).</w:t>
      </w:r>
      <w:r w:rsidRPr="00132E65">
        <w:rPr>
          <w:rtl/>
        </w:rPr>
        <w:t xml:space="preserve"> في « ب ، ج ، ض ، بر » : « وقيامي غير مقامي »</w:t>
      </w:r>
      <w:r>
        <w:rPr>
          <w:rtl/>
        </w:rPr>
        <w:t>.</w:t>
      </w:r>
      <w:r w:rsidRPr="00132E65">
        <w:rPr>
          <w:rtl/>
        </w:rPr>
        <w:t xml:space="preserve"> وفي شرح المازندراني : « وقيام غير مقامي »</w:t>
      </w:r>
      <w:r>
        <w:rPr>
          <w:rtl/>
        </w:rPr>
        <w:t>.</w:t>
      </w:r>
      <w:r w:rsidRPr="00132E65">
        <w:rPr>
          <w:rtl/>
        </w:rPr>
        <w:t xml:space="preserve"> وفي </w:t>
      </w:r>
      <w:r w:rsidRPr="009D1ACE">
        <w:rPr>
          <w:rStyle w:val="libFootnoteBoldChar"/>
          <w:rtl/>
        </w:rPr>
        <w:t>الوافي</w:t>
      </w:r>
      <w:r w:rsidRPr="00132E65">
        <w:rPr>
          <w:rtl/>
        </w:rPr>
        <w:t xml:space="preserve"> : « وقيامي غير مقامي »</w:t>
      </w:r>
      <w:r>
        <w:rPr>
          <w:rtl/>
        </w:rPr>
        <w:t>.</w:t>
      </w:r>
      <w:r>
        <w:rPr>
          <w:rFonts w:hint="cs"/>
          <w:rtl/>
        </w:rPr>
        <w:t xml:space="preserve">                                           </w:t>
      </w:r>
      <w:r>
        <w:rPr>
          <w:rtl/>
        </w:rPr>
        <w:t>(6).</w:t>
      </w:r>
      <w:r w:rsidRPr="00132E65">
        <w:rPr>
          <w:rtl/>
        </w:rPr>
        <w:t xml:space="preserve"> في « ف » : « وإن »</w:t>
      </w:r>
      <w:r>
        <w:rPr>
          <w:rtl/>
        </w:rPr>
        <w:t>.</w:t>
      </w:r>
    </w:p>
    <w:p w:rsidR="000C39D1" w:rsidRPr="00132E65" w:rsidRDefault="000C39D1" w:rsidP="000C39D1">
      <w:pPr>
        <w:pStyle w:val="libFootnote0"/>
        <w:rPr>
          <w:rtl/>
          <w:lang w:bidi="fa-IR"/>
        </w:rPr>
      </w:pPr>
      <w:r>
        <w:rPr>
          <w:rtl/>
        </w:rPr>
        <w:t>(7).</w:t>
      </w:r>
      <w:r w:rsidRPr="00132E65">
        <w:rPr>
          <w:rtl/>
        </w:rPr>
        <w:t xml:space="preserve"> في « ج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(8).</w:t>
      </w:r>
      <w:r w:rsidRPr="00132E65">
        <w:rPr>
          <w:rtl/>
        </w:rPr>
        <w:t xml:space="preserve"> في « ب ، ف ، ه‍ ، بح ، بر ، بس » و</w:t>
      </w:r>
      <w:r w:rsidRPr="009D1ACE">
        <w:rPr>
          <w:rStyle w:val="libFootnoteBoldChar"/>
          <w:rtl/>
        </w:rPr>
        <w:t>الوافي</w:t>
      </w:r>
      <w:r w:rsidRPr="00132E65">
        <w:rPr>
          <w:rtl/>
        </w:rPr>
        <w:t xml:space="preserve"> : « العفو » مكان « وإن أعف فالعفو »</w:t>
      </w:r>
      <w:r>
        <w:rPr>
          <w:rtl/>
        </w:rPr>
        <w:t>.</w:t>
      </w:r>
    </w:p>
    <w:p w:rsidR="000C39D1" w:rsidRPr="00132E65" w:rsidRDefault="000C39D1" w:rsidP="000C39D1">
      <w:pPr>
        <w:pStyle w:val="libFootnote0"/>
        <w:rPr>
          <w:rtl/>
          <w:lang w:bidi="fa-IR"/>
        </w:rPr>
      </w:pPr>
      <w:r>
        <w:rPr>
          <w:rtl/>
        </w:rPr>
        <w:t>(9).</w:t>
      </w:r>
      <w:r w:rsidRPr="00132E65">
        <w:rPr>
          <w:rtl/>
        </w:rPr>
        <w:t xml:space="preserve"> « الصَفْحُ » : العفو والتجاوز عن الذنب. وأصله من الإعراض بصفحة الوجه ، كأنّه أعرض بوجهه عن ذنبه. ظاهر الأمر بالعفو والصفح يناقض قوله </w:t>
      </w:r>
      <w:r w:rsidRPr="00F84F63">
        <w:rPr>
          <w:rStyle w:val="libFootnoteAlaemChar"/>
          <w:rtl/>
        </w:rPr>
        <w:t>عليه‌السلام</w:t>
      </w:r>
      <w:r w:rsidRPr="00132E65">
        <w:rPr>
          <w:rtl/>
        </w:rPr>
        <w:t xml:space="preserve"> : « ضربة مكان ضربة » فالمراد العفو عمّن حمل قاتله على القتل ، أو عمّن يجني عليهم بمثل ما جني عليه ، أو يكون المعنى : ضربة إن لم تعفوا مكان ضربة. راجع : </w:t>
      </w:r>
      <w:r w:rsidRPr="004E57D0">
        <w:rPr>
          <w:rtl/>
        </w:rPr>
        <w:t>النهاية</w:t>
      </w:r>
      <w:r w:rsidRPr="00132E65">
        <w:rPr>
          <w:rtl/>
        </w:rPr>
        <w:t xml:space="preserve"> ، ج 3 ، ص 34 ( صفح ) ؛ </w:t>
      </w:r>
      <w:r w:rsidRPr="009D1ACE">
        <w:rPr>
          <w:rStyle w:val="libFootnoteBoldChar"/>
          <w:rtl/>
        </w:rPr>
        <w:t>الوافي</w:t>
      </w:r>
      <w:r w:rsidRPr="00132E65">
        <w:rPr>
          <w:rtl/>
        </w:rPr>
        <w:t xml:space="preserve"> ، ج 2 ، ص 335 ؛ </w:t>
      </w:r>
      <w:r w:rsidRPr="009D1ACE">
        <w:rPr>
          <w:rStyle w:val="libFootnoteBoldChar"/>
          <w:rtl/>
        </w:rPr>
        <w:t>مرآة العقول</w:t>
      </w:r>
      <w:r w:rsidRPr="00132E65">
        <w:rPr>
          <w:rtl/>
        </w:rPr>
        <w:t xml:space="preserve"> ، ج 3 ، ص 303.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لَكُمْ </w:t>
      </w:r>
      <w:r>
        <w:rPr>
          <w:rStyle w:val="libFootnotenumChar"/>
          <w:rtl/>
        </w:rPr>
        <w:t>(1)</w:t>
      </w:r>
      <w:r>
        <w:rPr>
          <w:rtl/>
          <w:lang w:bidi="fa-IR"/>
        </w:rPr>
        <w:t>؟</w:t>
      </w:r>
    </w:p>
    <w:p w:rsidR="000C39D1" w:rsidRPr="00132E65" w:rsidRDefault="000C39D1" w:rsidP="000C39D1">
      <w:pPr>
        <w:pStyle w:val="libNormal"/>
        <w:rPr>
          <w:rtl/>
          <w:lang w:bidi="fa-IR"/>
        </w:rPr>
      </w:pPr>
      <w:r w:rsidRPr="00132E65">
        <w:rPr>
          <w:rtl/>
          <w:lang w:bidi="fa-IR"/>
        </w:rPr>
        <w:t xml:space="preserve">فَيَا لَهَا حَسْرَةً عَلى كُلِّ ذِي غَفْلَةٍ أَنْ يَكُونَ عُمُرُهُ عَلَيْهِ حُجَّةً ، أَوْ تُؤَدِّيَهُ أَيَّامُهُ إِلى شِقْوَةٍ ؛ جَعَلَنَا اللهُ وإِيَّاكُمْ مِمَّنْ لَايَقْصُرُ </w:t>
      </w:r>
      <w:r>
        <w:rPr>
          <w:rStyle w:val="libFootnotenumChar"/>
          <w:rtl/>
        </w:rPr>
        <w:t>(2)</w:t>
      </w:r>
      <w:r w:rsidRPr="00132E65">
        <w:rPr>
          <w:rtl/>
          <w:lang w:bidi="fa-IR"/>
        </w:rPr>
        <w:t xml:space="preserve"> بِهِ عَنْ طَاعَةِ اللهِ رَغْبَةٌ </w:t>
      </w:r>
      <w:r>
        <w:rPr>
          <w:rStyle w:val="libFootnotenumChar"/>
          <w:rtl/>
        </w:rPr>
        <w:t>(3)</w:t>
      </w:r>
      <w:r w:rsidRPr="00132E65">
        <w:rPr>
          <w:rtl/>
          <w:lang w:bidi="fa-IR"/>
        </w:rPr>
        <w:t xml:space="preserve"> ، أَوْ تَحُلُّ </w:t>
      </w:r>
      <w:r>
        <w:rPr>
          <w:rStyle w:val="libFootnotenumChar"/>
          <w:rtl/>
        </w:rPr>
        <w:t>(4)</w:t>
      </w:r>
      <w:r w:rsidRPr="00132E65">
        <w:rPr>
          <w:rtl/>
          <w:lang w:bidi="fa-IR"/>
        </w:rPr>
        <w:t xml:space="preserve"> بِهِ بَعْدَ الْمَوْتِ نَقِمَةٌ </w:t>
      </w:r>
      <w:r>
        <w:rPr>
          <w:rStyle w:val="libFootnotenumChar"/>
          <w:rtl/>
        </w:rPr>
        <w:t>(5)</w:t>
      </w:r>
      <w:r w:rsidR="007437BB">
        <w:rPr>
          <w:rtl/>
          <w:lang w:bidi="fa-IR"/>
        </w:rPr>
        <w:t xml:space="preserve"> ، فَإِنَّمَا نَحْنُ لَهُ وبِهِ</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ثُمَّ أَقْبَلَ عَلَى الْحَسَنِ </w:t>
      </w:r>
      <w:r w:rsidRPr="00071CF9">
        <w:rPr>
          <w:rStyle w:val="libAlaemChar"/>
          <w:rtl/>
        </w:rPr>
        <w:t>عليه‌السلام</w:t>
      </w:r>
      <w:r w:rsidRPr="00132E65">
        <w:rPr>
          <w:rtl/>
          <w:lang w:bidi="fa-IR"/>
        </w:rPr>
        <w:t xml:space="preserve"> ، فَقَالَ : « يَا بُنَيَّ ، ضَرْبَةً مَكَانَ ضَرْبَةٍ ، ولَاتَأْثَمْ »</w:t>
      </w:r>
      <w:r>
        <w:rPr>
          <w:rtl/>
          <w:lang w:bidi="fa-IR"/>
        </w:rPr>
        <w:t>.</w:t>
      </w:r>
      <w:r w:rsidRPr="00132E65">
        <w:rPr>
          <w:rtl/>
          <w:lang w:bidi="fa-IR"/>
        </w:rPr>
        <w:t xml:space="preserve"> </w:t>
      </w:r>
      <w:r>
        <w:rPr>
          <w:rStyle w:val="libFootnotenumChar"/>
          <w:rtl/>
        </w:rPr>
        <w:t>(6)</w:t>
      </w:r>
      <w:r w:rsidRPr="00132E65">
        <w:rPr>
          <w:rtl/>
          <w:lang w:bidi="fa-IR"/>
        </w:rPr>
        <w:t>‌</w:t>
      </w:r>
    </w:p>
    <w:p w:rsidR="000C39D1" w:rsidRPr="00132E65" w:rsidRDefault="000C39D1" w:rsidP="000C39D1">
      <w:pPr>
        <w:pStyle w:val="libNormal"/>
        <w:rPr>
          <w:rtl/>
          <w:lang w:bidi="fa-IR"/>
        </w:rPr>
      </w:pPr>
      <w:r w:rsidRPr="004E57D0">
        <w:rPr>
          <w:rtl/>
        </w:rPr>
        <w:t>781</w:t>
      </w:r>
      <w:r w:rsidRPr="004325D8">
        <w:rPr>
          <w:rStyle w:val="libBold2Char"/>
          <w:rtl/>
        </w:rPr>
        <w:t xml:space="preserve"> / 7.</w:t>
      </w:r>
      <w:r w:rsidRPr="00132E65">
        <w:rPr>
          <w:rtl/>
          <w:lang w:bidi="fa-IR"/>
        </w:rPr>
        <w:t xml:space="preserve"> مُحَمَّدُ بْنُ يَحْيى ، عَنْ عَلِيِّ بْنِ الْحَسَنِ ، عَنْ عَلِيِّ بْنِ إِبْرَاهِيمَ الْعَقِيلِيِّ يَرْفَعُهُ </w:t>
      </w:r>
      <w:r>
        <w:rPr>
          <w:rStyle w:val="libFootnotenumChar"/>
          <w:rtl/>
        </w:rPr>
        <w:t>(7)</w:t>
      </w:r>
      <w:r w:rsidRPr="00132E65">
        <w:rPr>
          <w:rtl/>
          <w:lang w:bidi="fa-IR"/>
        </w:rPr>
        <w:t xml:space="preserve"> ، قَالَ </w:t>
      </w:r>
      <w:r>
        <w:rPr>
          <w:rStyle w:val="libFootnotenumChar"/>
          <w:rtl/>
        </w:rPr>
        <w:t>(8)</w:t>
      </w:r>
      <w:r w:rsidRPr="00132E65">
        <w:rPr>
          <w:rtl/>
          <w:lang w:bidi="fa-IR"/>
        </w:rPr>
        <w:t xml:space="preserve"> :</w:t>
      </w:r>
    </w:p>
    <w:p w:rsidR="000C39D1" w:rsidRPr="00132E65" w:rsidRDefault="000C39D1" w:rsidP="007437BB">
      <w:pPr>
        <w:pStyle w:val="libNormal"/>
        <w:rPr>
          <w:rtl/>
          <w:lang w:bidi="fa-IR"/>
        </w:rPr>
      </w:pPr>
      <w:r w:rsidRPr="00132E65">
        <w:rPr>
          <w:rtl/>
          <w:lang w:bidi="fa-IR"/>
        </w:rPr>
        <w:t xml:space="preserve">قَالَ : لَمَّا ضَرَبَ ابْنُ مُلْجَمٍ أَمِيرَ الْمُؤْمِنِينَ </w:t>
      </w:r>
      <w:r w:rsidRPr="00071CF9">
        <w:rPr>
          <w:rStyle w:val="libAlaemChar"/>
          <w:rtl/>
        </w:rPr>
        <w:t>عليه‌السلام</w:t>
      </w:r>
      <w:r w:rsidRPr="00132E65">
        <w:rPr>
          <w:rtl/>
          <w:lang w:bidi="fa-IR"/>
        </w:rPr>
        <w:t xml:space="preserve"> ، قَالَ لِلْحَسَنِ : « يَا بُنَيَّ ، إِذَا أَنَا مِتُّ فَاقْتُلِ ابْنَ مُلْجَمٍ ، واحْفِرْ </w:t>
      </w:r>
      <w:r>
        <w:rPr>
          <w:rStyle w:val="libFootnotenumChar"/>
          <w:rtl/>
        </w:rPr>
        <w:t>(9)</w:t>
      </w:r>
      <w:r w:rsidRPr="00132E65">
        <w:rPr>
          <w:rtl/>
          <w:lang w:bidi="fa-IR"/>
        </w:rPr>
        <w:t xml:space="preserve"> لَهُ فِي الْكُنَاسَةِ </w:t>
      </w:r>
      <w:r>
        <w:rPr>
          <w:rStyle w:val="libFootnotenumChar"/>
          <w:rtl/>
        </w:rPr>
        <w:t>(10)</w:t>
      </w:r>
      <w:r>
        <w:rPr>
          <w:rtl/>
          <w:lang w:bidi="fa-IR"/>
        </w:rPr>
        <w:t xml:space="preserve"> </w:t>
      </w:r>
      <w:r w:rsidR="007437BB">
        <w:rPr>
          <w:rFonts w:hint="cs"/>
          <w:rtl/>
          <w:lang w:bidi="fa-IR"/>
        </w:rPr>
        <w:t>-</w:t>
      </w:r>
      <w:r>
        <w:rPr>
          <w:rtl/>
          <w:lang w:bidi="fa-IR"/>
        </w:rPr>
        <w:t xml:space="preserve"> و</w:t>
      </w:r>
      <w:r>
        <w:rPr>
          <w:rFonts w:hint="cs"/>
          <w:rtl/>
          <w:lang w:bidi="fa-IR"/>
        </w:rPr>
        <w:t xml:space="preserve">َ </w:t>
      </w:r>
      <w:r>
        <w:rPr>
          <w:rtl/>
          <w:lang w:bidi="fa-IR"/>
        </w:rPr>
        <w:t>و</w:t>
      </w:r>
      <w:r>
        <w:rPr>
          <w:rFonts w:hint="cs"/>
          <w:rtl/>
          <w:lang w:bidi="fa-IR"/>
        </w:rPr>
        <w:t>َ</w:t>
      </w:r>
      <w:r w:rsidRPr="00132E65">
        <w:rPr>
          <w:rtl/>
          <w:lang w:bidi="fa-IR"/>
        </w:rPr>
        <w:t xml:space="preserve">صَفَ </w:t>
      </w:r>
      <w:r>
        <w:rPr>
          <w:rStyle w:val="libFootnotenumChar"/>
          <w:rtl/>
        </w:rPr>
        <w:t>(11)</w:t>
      </w:r>
      <w:r w:rsidRPr="00132E65">
        <w:rPr>
          <w:rtl/>
          <w:lang w:bidi="fa-IR"/>
        </w:rPr>
        <w:t xml:space="preserve"> الْعَقِيلِيُّ الْمَوْضِعَ : عَلى بَابِ طَاقِ الْمَحَامِلِ ، مَوْضِعُ </w:t>
      </w:r>
      <w:r>
        <w:rPr>
          <w:rStyle w:val="libFootnotenumChar"/>
          <w:rtl/>
        </w:rPr>
        <w:t>(12)</w:t>
      </w:r>
      <w:r w:rsidRPr="00132E65">
        <w:rPr>
          <w:rtl/>
          <w:lang w:bidi="fa-IR"/>
        </w:rPr>
        <w:t xml:space="preserve"> الشُّوَّاءِ </w:t>
      </w:r>
      <w:r w:rsidRPr="00F543F1">
        <w:rPr>
          <w:rStyle w:val="libFootnotenumChar"/>
          <w:rtl/>
        </w:rPr>
        <w:t>(13)</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إشاره إلى الآية 22 من سورة النور (24</w:t>
      </w:r>
      <w:r>
        <w:rPr>
          <w:rtl/>
        </w:rPr>
        <w:t>) :</w:t>
      </w:r>
      <w:r w:rsidRPr="00132E65">
        <w:rPr>
          <w:rtl/>
        </w:rPr>
        <w:t xml:space="preserve"> </w:t>
      </w:r>
      <w:r w:rsidRPr="00DC6BEA">
        <w:rPr>
          <w:rStyle w:val="libFootnoteAlaemChar"/>
          <w:rtl/>
        </w:rPr>
        <w:t>(</w:t>
      </w:r>
      <w:r>
        <w:rPr>
          <w:rFonts w:hint="cs"/>
          <w:rtl/>
        </w:rPr>
        <w:t xml:space="preserve"> </w:t>
      </w:r>
      <w:r w:rsidRPr="00C2691A">
        <w:rPr>
          <w:rStyle w:val="libFootnoteAieChar"/>
          <w:rtl/>
        </w:rPr>
        <w:t>وَلْيَعْفُوا وَلْيَصْفَحُوا أَل</w:t>
      </w:r>
      <w:r>
        <w:rPr>
          <w:rStyle w:val="libFootnoteAieChar"/>
          <w:rFonts w:hint="cs"/>
          <w:rtl/>
        </w:rPr>
        <w:t>َ</w:t>
      </w:r>
      <w:r w:rsidRPr="00C2691A">
        <w:rPr>
          <w:rStyle w:val="libFootnoteAieChar"/>
          <w:rtl/>
        </w:rPr>
        <w:t>ا تُحِبُّونَ أَنْ يَغْفِرَ اللهُ لَكُمْ</w:t>
      </w:r>
      <w:r>
        <w:rPr>
          <w:rFonts w:hint="cs"/>
          <w:rtl/>
        </w:rPr>
        <w:t xml:space="preserve"> </w:t>
      </w:r>
      <w:r w:rsidRPr="00DC6BEA">
        <w:rPr>
          <w:rStyle w:val="libFootnoteAlaemChar"/>
          <w:rtl/>
        </w:rPr>
        <w:t>)</w:t>
      </w:r>
      <w:r w:rsidRPr="00132E65">
        <w:rPr>
          <w:rtl/>
        </w:rPr>
        <w:t>.</w:t>
      </w:r>
    </w:p>
    <w:p w:rsidR="000C39D1" w:rsidRPr="00132E65" w:rsidRDefault="000C39D1" w:rsidP="000C39D1">
      <w:pPr>
        <w:pStyle w:val="libFootnote0"/>
        <w:rPr>
          <w:rtl/>
          <w:lang w:bidi="fa-IR"/>
        </w:rPr>
      </w:pPr>
      <w:r>
        <w:rPr>
          <w:rtl/>
        </w:rPr>
        <w:t>(2).</w:t>
      </w:r>
      <w:r w:rsidRPr="00132E65">
        <w:rPr>
          <w:rtl/>
        </w:rPr>
        <w:t xml:space="preserve"> في « ب » : « لا تقصر »</w:t>
      </w:r>
      <w:r>
        <w:rPr>
          <w:rtl/>
        </w:rPr>
        <w:t>.</w:t>
      </w:r>
      <w:r w:rsidRPr="00132E65">
        <w:rPr>
          <w:rtl/>
        </w:rPr>
        <w:t xml:space="preserve"> </w:t>
      </w:r>
      <w:r>
        <w:rPr>
          <w:rtl/>
        </w:rPr>
        <w:t>و «</w:t>
      </w:r>
      <w:r w:rsidRPr="00132E65">
        <w:rPr>
          <w:rtl/>
        </w:rPr>
        <w:t xml:space="preserve"> لا يَقْصُرُ » أي لا يعجز. راجع : </w:t>
      </w:r>
      <w:r w:rsidRPr="004E57D0">
        <w:rPr>
          <w:rtl/>
        </w:rPr>
        <w:t>الصحاح</w:t>
      </w:r>
      <w:r w:rsidRPr="00132E65">
        <w:rPr>
          <w:rtl/>
        </w:rPr>
        <w:t xml:space="preserve"> ، ج 2 ، ص 794 ( قصر )</w:t>
      </w:r>
      <w:r>
        <w:rPr>
          <w:rtl/>
        </w:rPr>
        <w:t>.</w:t>
      </w:r>
    </w:p>
    <w:p w:rsidR="000C39D1" w:rsidRPr="00132E65" w:rsidRDefault="000C39D1" w:rsidP="000C39D1">
      <w:pPr>
        <w:pStyle w:val="libFootnote0"/>
        <w:rPr>
          <w:rtl/>
          <w:lang w:bidi="fa-IR"/>
        </w:rPr>
      </w:pPr>
      <w:r>
        <w:rPr>
          <w:rtl/>
        </w:rPr>
        <w:t>(3).</w:t>
      </w:r>
      <w:r w:rsidRPr="00132E65">
        <w:rPr>
          <w:rtl/>
        </w:rPr>
        <w:t xml:space="preserve"> « رَغْبَةٌ » ، فاعل « يقصر » ، وعليه لزم خلاف المعنى المقصود عند المازندراني ، فلذا نصبه تمييزاً عن النسبة في الفعل ، واستبعده المجلسي. راجع : </w:t>
      </w:r>
      <w:r w:rsidRPr="004E57D0">
        <w:rPr>
          <w:rtl/>
        </w:rPr>
        <w:t>شرح المازندراني</w:t>
      </w:r>
      <w:r w:rsidRPr="00132E65">
        <w:rPr>
          <w:rtl/>
        </w:rPr>
        <w:t xml:space="preserve"> ، ج 6 ، ص 142 ؛ </w:t>
      </w:r>
      <w:r w:rsidRPr="009D1ACE">
        <w:rPr>
          <w:rStyle w:val="libFootnoteBoldChar"/>
          <w:rtl/>
        </w:rPr>
        <w:t>مرآة العقول</w:t>
      </w:r>
      <w:r w:rsidRPr="00132E65">
        <w:rPr>
          <w:rtl/>
        </w:rPr>
        <w:t xml:space="preserve"> ، ج 3 ، ص 303.</w:t>
      </w:r>
    </w:p>
    <w:p w:rsidR="000C39D1" w:rsidRPr="00132E65" w:rsidRDefault="000C39D1" w:rsidP="000C39D1">
      <w:pPr>
        <w:pStyle w:val="libFootnote0"/>
        <w:rPr>
          <w:rtl/>
          <w:lang w:bidi="fa-IR"/>
        </w:rPr>
      </w:pPr>
      <w:r>
        <w:rPr>
          <w:rtl/>
        </w:rPr>
        <w:t>(4).</w:t>
      </w:r>
      <w:r w:rsidRPr="00132E65">
        <w:rPr>
          <w:rtl/>
        </w:rPr>
        <w:t xml:space="preserve"> في « ب ، ه‍ ، بح ، بس ، بف » : « يحلّ »</w:t>
      </w:r>
      <w:r>
        <w:rPr>
          <w:rtl/>
        </w:rPr>
        <w:t>.</w:t>
      </w:r>
    </w:p>
    <w:p w:rsidR="000C39D1" w:rsidRPr="00132E65" w:rsidRDefault="000C39D1" w:rsidP="000C39D1">
      <w:pPr>
        <w:pStyle w:val="libFootnote0"/>
        <w:rPr>
          <w:rtl/>
          <w:lang w:bidi="fa-IR"/>
        </w:rPr>
      </w:pPr>
      <w:r>
        <w:rPr>
          <w:rtl/>
        </w:rPr>
        <w:t>(5).</w:t>
      </w:r>
      <w:r w:rsidRPr="00132E65">
        <w:rPr>
          <w:rtl/>
        </w:rPr>
        <w:t xml:space="preserve"> في « ف » : « نعمة »</w:t>
      </w:r>
      <w:r>
        <w:rPr>
          <w:rtl/>
        </w:rPr>
        <w:t>.</w:t>
      </w:r>
      <w:r w:rsidRPr="00132E65">
        <w:rPr>
          <w:rtl/>
        </w:rPr>
        <w:t xml:space="preserve"> وفي « ه‍ » :</w:t>
      </w:r>
      <w:r>
        <w:rPr>
          <w:rtl/>
        </w:rPr>
        <w:t xml:space="preserve"> + </w:t>
      </w:r>
      <w:r w:rsidRPr="00132E65">
        <w:rPr>
          <w:rtl/>
        </w:rPr>
        <w:t>« منكم »</w:t>
      </w:r>
      <w:r>
        <w:rPr>
          <w:rtl/>
        </w:rPr>
        <w:t>.</w:t>
      </w:r>
      <w:r w:rsidRPr="00132E65">
        <w:rPr>
          <w:rtl/>
        </w:rPr>
        <w:t xml:space="preserve"> </w:t>
      </w:r>
      <w:r>
        <w:rPr>
          <w:rtl/>
        </w:rPr>
        <w:t>و «</w:t>
      </w:r>
      <w:r w:rsidRPr="00132E65">
        <w:rPr>
          <w:rtl/>
        </w:rPr>
        <w:t xml:space="preserve"> النَقَمَةُ » </w:t>
      </w:r>
      <w:r>
        <w:rPr>
          <w:rtl/>
        </w:rPr>
        <w:t>و «</w:t>
      </w:r>
      <w:r w:rsidRPr="00132E65">
        <w:rPr>
          <w:rtl/>
        </w:rPr>
        <w:t xml:space="preserve"> النِقَمَة » : العذاب والعقوبة ، والمكافأة بها. راجع : </w:t>
      </w:r>
      <w:r w:rsidRPr="009D1ACE">
        <w:rPr>
          <w:rStyle w:val="libFootnoteBoldChar"/>
          <w:rtl/>
        </w:rPr>
        <w:t>لسان العرب</w:t>
      </w:r>
      <w:r w:rsidRPr="00132E65">
        <w:rPr>
          <w:rtl/>
        </w:rPr>
        <w:t xml:space="preserve"> ، ج 12 ، ص 590 ( نقم )</w:t>
      </w:r>
      <w:r>
        <w:rPr>
          <w:rtl/>
        </w:rPr>
        <w:t>.</w:t>
      </w:r>
    </w:p>
    <w:p w:rsidR="000C39D1" w:rsidRPr="00132E65" w:rsidRDefault="000C39D1" w:rsidP="000C39D1">
      <w:pPr>
        <w:pStyle w:val="libFootnote0"/>
        <w:rPr>
          <w:rtl/>
          <w:lang w:bidi="fa-IR"/>
        </w:rPr>
      </w:pPr>
      <w:r>
        <w:rPr>
          <w:rtl/>
        </w:rPr>
        <w:t>(6).</w:t>
      </w:r>
      <w:r w:rsidRPr="00132E65">
        <w:rPr>
          <w:rtl/>
        </w:rPr>
        <w:t xml:space="preserve"> </w:t>
      </w:r>
      <w:r w:rsidRPr="004E57D0">
        <w:rPr>
          <w:rtl/>
        </w:rPr>
        <w:t>نهج البلاغة</w:t>
      </w:r>
      <w:r w:rsidRPr="00132E65">
        <w:rPr>
          <w:rtl/>
        </w:rPr>
        <w:t xml:space="preserve"> ، ص 207 ، الخطبة 149 ، من قوله : « أيّها الناس كلّ امرئ لاق » إلى قوله : « وقيام غيري مقامي »</w:t>
      </w:r>
      <w:r>
        <w:rPr>
          <w:rtl/>
        </w:rPr>
        <w:t>.</w:t>
      </w:r>
      <w:r w:rsidRPr="00132E65">
        <w:rPr>
          <w:rtl/>
        </w:rPr>
        <w:t xml:space="preserve"> وراجع : </w:t>
      </w:r>
      <w:r w:rsidRPr="004E57D0">
        <w:rPr>
          <w:rtl/>
        </w:rPr>
        <w:t>الإرشاد</w:t>
      </w:r>
      <w:r w:rsidRPr="00132E65">
        <w:rPr>
          <w:rtl/>
        </w:rPr>
        <w:t xml:space="preserve"> ، ج 1 ، ص 234 ؛ و</w:t>
      </w:r>
      <w:r w:rsidRPr="004E57D0">
        <w:rPr>
          <w:rtl/>
        </w:rPr>
        <w:t xml:space="preserve">تفسير القمّي </w:t>
      </w:r>
      <w:r w:rsidRPr="00132E65">
        <w:rPr>
          <w:rtl/>
        </w:rPr>
        <w:t>، ج 2 ، ص 366 ؛ و</w:t>
      </w:r>
      <w:r w:rsidRPr="004E57D0">
        <w:rPr>
          <w:rtl/>
        </w:rPr>
        <w:t xml:space="preserve">نهج البلاغة </w:t>
      </w:r>
      <w:r w:rsidRPr="00132E65">
        <w:rPr>
          <w:rtl/>
        </w:rPr>
        <w:t>، ص 378 ، الكتاب 23 ؛ و</w:t>
      </w:r>
      <w:r w:rsidRPr="004E57D0">
        <w:rPr>
          <w:rtl/>
        </w:rPr>
        <w:t>خصائص الأئمّة</w:t>
      </w:r>
      <w:r w:rsidRPr="00132E65">
        <w:rPr>
          <w:rtl/>
        </w:rPr>
        <w:t xml:space="preserve"> ، ص 108</w:t>
      </w:r>
      <w:r>
        <w:rPr>
          <w:rFonts w:hint="cs"/>
          <w:rtl/>
        </w:rPr>
        <w:t>.</w:t>
      </w:r>
      <w:r w:rsidRPr="009D1ACE">
        <w:rPr>
          <w:rStyle w:val="libFootnoteBoldChar"/>
          <w:rtl/>
        </w:rPr>
        <w:t>الوافي</w:t>
      </w:r>
      <w:r w:rsidRPr="00132E65">
        <w:rPr>
          <w:rtl/>
        </w:rPr>
        <w:t xml:space="preserve"> ، ج 2 ، ص 332 ، ح 796 ؛ </w:t>
      </w:r>
      <w:r w:rsidRPr="004E57D0">
        <w:rPr>
          <w:rtl/>
        </w:rPr>
        <w:t>البحار</w:t>
      </w:r>
      <w:r w:rsidRPr="00132E65">
        <w:rPr>
          <w:rtl/>
        </w:rPr>
        <w:t xml:space="preserve"> ، ج 42 ، ص 206 ، ح 11.</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ج » و</w:t>
            </w:r>
            <w:r w:rsidRPr="009D1ACE">
              <w:rPr>
                <w:rStyle w:val="libFootnoteBoldChar"/>
                <w:rtl/>
              </w:rPr>
              <w:t>الوافي</w:t>
            </w:r>
            <w:r w:rsidRPr="00132E65">
              <w:rPr>
                <w:rtl/>
              </w:rPr>
              <w:t xml:space="preserve"> : « رفعه »</w:t>
            </w:r>
            <w:r>
              <w:rPr>
                <w:rtl/>
              </w:rPr>
              <w:t>.</w:t>
            </w:r>
          </w:p>
        </w:tc>
        <w:tc>
          <w:tcPr>
            <w:tcW w:w="4006" w:type="dxa"/>
          </w:tcPr>
          <w:p w:rsidR="000C39D1" w:rsidRDefault="000C39D1" w:rsidP="00B53873">
            <w:pPr>
              <w:pStyle w:val="libFootnote0"/>
              <w:rPr>
                <w:rtl/>
              </w:rPr>
            </w:pPr>
            <w:r>
              <w:rPr>
                <w:rtl/>
              </w:rPr>
              <w:t>(8). في«ج،ف،</w:t>
            </w:r>
            <w:r w:rsidRPr="00132E65">
              <w:rPr>
                <w:rtl/>
              </w:rPr>
              <w:t>ه‍ ، بف » و</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ف » : « فاحفر »</w:t>
            </w:r>
            <w:r>
              <w:rPr>
                <w:rtl/>
              </w:rPr>
              <w:t>.</w:t>
            </w:r>
          </w:p>
        </w:tc>
        <w:tc>
          <w:tcPr>
            <w:tcW w:w="4006" w:type="dxa"/>
          </w:tcPr>
          <w:p w:rsidR="000C39D1" w:rsidRDefault="000C39D1" w:rsidP="00B53873">
            <w:pPr>
              <w:pStyle w:val="libFootnote0"/>
              <w:rPr>
                <w:rtl/>
              </w:rPr>
            </w:pPr>
            <w:r>
              <w:rPr>
                <w:rtl/>
              </w:rPr>
              <w:t>(10).</w:t>
            </w:r>
            <w:r w:rsidRPr="00132E65">
              <w:rPr>
                <w:rtl/>
              </w:rPr>
              <w:t xml:space="preserve"> في « بح » : « بالكناسة »</w:t>
            </w:r>
            <w:r>
              <w:rPr>
                <w:rtl/>
              </w:rPr>
              <w:t>.</w:t>
            </w:r>
          </w:p>
        </w:tc>
      </w:tr>
    </w:tbl>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 ووصف ، كلام عليّ بن الحسين »</w:t>
      </w:r>
      <w:r>
        <w:rPr>
          <w:rtl/>
        </w:rPr>
        <w:t>.</w:t>
      </w:r>
    </w:p>
    <w:p w:rsidR="000C39D1" w:rsidRPr="00132E65" w:rsidRDefault="000C39D1" w:rsidP="000C39D1">
      <w:pPr>
        <w:pStyle w:val="libFootnote0"/>
        <w:rPr>
          <w:rtl/>
          <w:lang w:bidi="fa-IR"/>
        </w:rPr>
      </w:pPr>
      <w:r>
        <w:rPr>
          <w:rtl/>
        </w:rPr>
        <w:t>(12).</w:t>
      </w:r>
      <w:r w:rsidRPr="00132E65">
        <w:rPr>
          <w:rtl/>
        </w:rPr>
        <w:t xml:space="preserve"> يجوز فيه الرفع خبراً لمبتدأ محذوف ، والجرّ بدلاً عن « طاق المحامل »</w:t>
      </w:r>
      <w:r>
        <w:rPr>
          <w:rtl/>
        </w:rPr>
        <w:t>.</w:t>
      </w:r>
    </w:p>
    <w:p w:rsidR="000C39D1" w:rsidRPr="00132E65" w:rsidRDefault="000C39D1" w:rsidP="000C39D1">
      <w:pPr>
        <w:pStyle w:val="libFootnote0"/>
        <w:rPr>
          <w:rtl/>
          <w:lang w:bidi="fa-IR"/>
        </w:rPr>
      </w:pPr>
      <w:r>
        <w:rPr>
          <w:rtl/>
        </w:rPr>
        <w:t>(13)</w:t>
      </w:r>
      <w:r w:rsidRPr="00132E65">
        <w:rPr>
          <w:rtl/>
        </w:rPr>
        <w:t xml:space="preserve"> « الشُوّاء » : جمع الشاوي ، وهو الذي يَشْوِي اللحمَ ، أي يعرّضه للنار فينضج. قرأه المازندراني : الشِواء ،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وَالرُّؤَّاسِ </w:t>
      </w:r>
      <w:r>
        <w:rPr>
          <w:rStyle w:val="libFootnotenumChar"/>
          <w:rtl/>
        </w:rPr>
        <w:t>(1)</w:t>
      </w:r>
      <w:r>
        <w:rPr>
          <w:rtl/>
          <w:lang w:bidi="fa-IR"/>
        </w:rPr>
        <w:t xml:space="preserve"> - </w:t>
      </w:r>
      <w:r w:rsidRPr="00132E65">
        <w:rPr>
          <w:rtl/>
          <w:lang w:bidi="fa-IR"/>
        </w:rPr>
        <w:t>ثُمَّ ارْمِ بِهِ فِيهِ ؛ فَإِنَّهُ وادٍ مِنْ أَوْدِيَةِ جَهَنَّمَ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Heading2Center"/>
        <w:rPr>
          <w:rtl/>
          <w:lang w:bidi="fa-IR"/>
        </w:rPr>
      </w:pPr>
      <w:bookmarkStart w:id="12" w:name="_Toc459459094"/>
      <w:bookmarkStart w:id="13" w:name="_Toc34663063"/>
      <w:r w:rsidRPr="00132E65">
        <w:rPr>
          <w:rtl/>
          <w:lang w:bidi="fa-IR"/>
        </w:rPr>
        <w:t>67</w:t>
      </w:r>
      <w:r>
        <w:rPr>
          <w:rtl/>
          <w:lang w:bidi="fa-IR"/>
        </w:rPr>
        <w:t xml:space="preserve"> - </w:t>
      </w:r>
      <w:r w:rsidRPr="00132E65">
        <w:rPr>
          <w:rtl/>
          <w:lang w:bidi="fa-IR"/>
        </w:rPr>
        <w:t xml:space="preserve">بَابُ الْإِشَارَةِ والنَّصِّ </w:t>
      </w:r>
      <w:r>
        <w:rPr>
          <w:rStyle w:val="libFootnotenumChar"/>
          <w:rtl/>
        </w:rPr>
        <w:t>(3)</w:t>
      </w:r>
      <w:r>
        <w:rPr>
          <w:rtl/>
        </w:rPr>
        <w:t xml:space="preserve"> </w:t>
      </w:r>
      <w:r w:rsidRPr="00132E65">
        <w:rPr>
          <w:rtl/>
          <w:lang w:bidi="fa-IR"/>
        </w:rPr>
        <w:t xml:space="preserve">عَلَى </w:t>
      </w:r>
      <w:r>
        <w:rPr>
          <w:rStyle w:val="libFootnotenumChar"/>
          <w:rtl/>
        </w:rPr>
        <w:t>(4)</w:t>
      </w:r>
      <w:r>
        <w:rPr>
          <w:rtl/>
        </w:rPr>
        <w:t xml:space="preserve"> </w:t>
      </w:r>
      <w:r w:rsidRPr="00132E65">
        <w:rPr>
          <w:rtl/>
          <w:lang w:bidi="fa-IR"/>
        </w:rPr>
        <w:t xml:space="preserve">الْحُسَيْنِ بْنِ عَلِيٍّ </w:t>
      </w:r>
      <w:r w:rsidRPr="00071CF9">
        <w:rPr>
          <w:rStyle w:val="libAlaemChar"/>
          <w:rtl/>
        </w:rPr>
        <w:t>عليهما‌السلام</w:t>
      </w:r>
      <w:r w:rsidRPr="00132E65">
        <w:rPr>
          <w:rtl/>
          <w:lang w:bidi="fa-IR"/>
        </w:rPr>
        <w:t>‌</w:t>
      </w:r>
      <w:bookmarkEnd w:id="12"/>
      <w:bookmarkEnd w:id="13"/>
    </w:p>
    <w:p w:rsidR="000C39D1" w:rsidRDefault="000C39D1" w:rsidP="000C39D1">
      <w:pPr>
        <w:pStyle w:val="libNormal"/>
        <w:rPr>
          <w:rtl/>
          <w:lang w:bidi="fa-IR"/>
        </w:rPr>
      </w:pPr>
      <w:r w:rsidRPr="004E57D0">
        <w:rPr>
          <w:rtl/>
        </w:rPr>
        <w:t>782</w:t>
      </w:r>
      <w:r w:rsidRPr="004325D8">
        <w:rPr>
          <w:rStyle w:val="libBold2Char"/>
          <w:rtl/>
        </w:rPr>
        <w:t xml:space="preserve"> / 1.</w:t>
      </w:r>
      <w:r w:rsidRPr="00132E65">
        <w:rPr>
          <w:rtl/>
          <w:lang w:bidi="fa-IR"/>
        </w:rPr>
        <w:t xml:space="preserve"> عَلِيُّ بْنُ إِبْرَاهِيمَ ، عَنْ أَبِيهِ ، عَنْ بَكْرِ بْنِ صَالِحٍ ؛</w:t>
      </w:r>
    </w:p>
    <w:p w:rsidR="000C39D1" w:rsidRPr="00132E65" w:rsidRDefault="000C39D1" w:rsidP="000C39D1">
      <w:pPr>
        <w:pStyle w:val="libNormal"/>
        <w:rPr>
          <w:rtl/>
          <w:lang w:bidi="fa-IR"/>
        </w:rPr>
      </w:pPr>
      <w:r w:rsidRPr="00132E65">
        <w:rPr>
          <w:rtl/>
          <w:lang w:bidi="fa-IR"/>
        </w:rPr>
        <w:t xml:space="preserve">قَالَ الْكُلَيْنِيُّ </w:t>
      </w:r>
      <w:r>
        <w:rPr>
          <w:rStyle w:val="libFootnotenumChar"/>
          <w:rtl/>
        </w:rPr>
        <w:t>(5)</w:t>
      </w:r>
      <w:r w:rsidRPr="00132E65">
        <w:rPr>
          <w:rtl/>
          <w:lang w:bidi="fa-IR"/>
        </w:rPr>
        <w:t xml:space="preserve"> : و</w:t>
      </w:r>
      <w:r>
        <w:rPr>
          <w:rFonts w:hint="cs"/>
          <w:rtl/>
          <w:lang w:bidi="fa-IR"/>
        </w:rPr>
        <w:t xml:space="preserve">َ </w:t>
      </w:r>
      <w:r>
        <w:rPr>
          <w:rStyle w:val="libFootnotenumChar"/>
          <w:rtl/>
        </w:rPr>
        <w:t>(6)</w:t>
      </w:r>
      <w:r w:rsidRPr="00132E65">
        <w:rPr>
          <w:rtl/>
          <w:lang w:bidi="fa-IR"/>
        </w:rPr>
        <w:t xml:space="preserve"> عِدَّةٌ مِنْ أَصْحَابِنَا ، عَنِ ابْنِ زِيَادٍ ، عَنْ مُحَمَّدِ بْنِ سُلَيْمَانَ الدَّيْلَمِيِّ ، عَنْ هَارُونَ بْنِ الْجَهْمِ ، عَنْ مُحَمَّدِ بْنِ مُسْلِمٍ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لَمَّا حَضَرَ </w:t>
      </w:r>
      <w:r>
        <w:rPr>
          <w:rStyle w:val="libFootnotenumChar"/>
          <w:rtl/>
        </w:rPr>
        <w:t>(7)</w:t>
      </w:r>
      <w:r w:rsidRPr="00132E65">
        <w:rPr>
          <w:rtl/>
          <w:lang w:bidi="fa-IR"/>
        </w:rPr>
        <w:t xml:space="preserve"> الْحَسَنَ بْنَ عَلِيٍّ </w:t>
      </w:r>
      <w:r w:rsidRPr="00071CF9">
        <w:rPr>
          <w:rStyle w:val="libAlaemChar"/>
          <w:rtl/>
        </w:rPr>
        <w:t>عليهما‌السلام</w:t>
      </w:r>
      <w:r w:rsidRPr="00132E65">
        <w:rPr>
          <w:rtl/>
          <w:lang w:bidi="fa-IR"/>
        </w:rPr>
        <w:t xml:space="preserve"> الْوَفَاةُ </w:t>
      </w:r>
      <w:r>
        <w:rPr>
          <w:rStyle w:val="libFootnotenumChar"/>
          <w:rtl/>
        </w:rPr>
        <w:t>(8)</w:t>
      </w:r>
      <w:r w:rsidRPr="00132E65">
        <w:rPr>
          <w:rtl/>
          <w:lang w:bidi="fa-IR"/>
        </w:rPr>
        <w:t xml:space="preserve"> ، قَالَ لِلْحُسَيْنِ </w:t>
      </w:r>
      <w:r w:rsidRPr="00071CF9">
        <w:rPr>
          <w:rStyle w:val="libAlaemChar"/>
          <w:rtl/>
        </w:rPr>
        <w:t>عليه‌السلام</w:t>
      </w:r>
      <w:r w:rsidRPr="00132E65">
        <w:rPr>
          <w:rtl/>
          <w:lang w:bidi="fa-IR"/>
        </w:rPr>
        <w:t xml:space="preserve"> : يَا أَخِي ، إِنِّي أُوصِيكَ بِوَصِيَّةٍ فَاحْفَظْهَا : إِذَا </w:t>
      </w:r>
      <w:r>
        <w:rPr>
          <w:rStyle w:val="libFootnotenumChar"/>
          <w:rtl/>
        </w:rPr>
        <w:t>(9)</w:t>
      </w:r>
      <w:r w:rsidRPr="00132E65">
        <w:rPr>
          <w:rtl/>
          <w:lang w:bidi="fa-IR"/>
        </w:rPr>
        <w:t xml:space="preserve"> أَنَا مِتُّ فَهَيِّئْنِي ، ثُمَّ </w:t>
      </w:r>
      <w:r>
        <w:rPr>
          <w:rStyle w:val="libFootnotenumChar"/>
          <w:rtl/>
        </w:rPr>
        <w:t>(10)</w:t>
      </w:r>
      <w:r w:rsidRPr="00132E65">
        <w:rPr>
          <w:rtl/>
          <w:lang w:bidi="fa-IR"/>
        </w:rPr>
        <w:t xml:space="preserve"> و</w:t>
      </w:r>
      <w:r>
        <w:rPr>
          <w:rFonts w:hint="cs"/>
          <w:rtl/>
          <w:lang w:bidi="fa-IR"/>
        </w:rPr>
        <w:t>َ</w:t>
      </w:r>
      <w:r w:rsidRPr="00132E65">
        <w:rPr>
          <w:rtl/>
          <w:lang w:bidi="fa-IR"/>
        </w:rPr>
        <w:t xml:space="preserve">جِّهْنِي إِلى رَسُولِ اللهِ </w:t>
      </w:r>
      <w:r w:rsidRPr="00071CF9">
        <w:rPr>
          <w:rStyle w:val="libAlaemChar"/>
          <w:rtl/>
        </w:rPr>
        <w:t>صلى‌الله‌عليه‌وآله</w:t>
      </w:r>
      <w:r w:rsidRPr="00132E65">
        <w:rPr>
          <w:rtl/>
          <w:lang w:bidi="fa-IR"/>
        </w:rPr>
        <w:t xml:space="preserve"> لِأُحْدِثَ </w:t>
      </w:r>
      <w:r>
        <w:rPr>
          <w:rStyle w:val="libFootnotenumChar"/>
          <w:rtl/>
        </w:rPr>
        <w:t>(11)</w:t>
      </w:r>
      <w:r w:rsidRPr="00132E65">
        <w:rPr>
          <w:rtl/>
          <w:lang w:bidi="fa-IR"/>
        </w:rPr>
        <w:t xml:space="preserve"> بِهِ عَهْداً ، ثُمَّ اصْرِفْنِي إِلى أُمِّي </w:t>
      </w:r>
      <w:r>
        <w:rPr>
          <w:rStyle w:val="libFootnotenumChar"/>
          <w:rtl/>
        </w:rPr>
        <w:t>(12)</w:t>
      </w:r>
      <w:r w:rsidRPr="00132E65">
        <w:rPr>
          <w:rtl/>
          <w:lang w:bidi="fa-IR"/>
        </w:rPr>
        <w:t xml:space="preserve"> </w:t>
      </w:r>
      <w:r w:rsidRPr="00071CF9">
        <w:rPr>
          <w:rStyle w:val="libAlaemChar"/>
          <w:rtl/>
        </w:rPr>
        <w:t>عليها‌السلام</w:t>
      </w:r>
      <w:r w:rsidRPr="00132E65">
        <w:rPr>
          <w:rtl/>
          <w:lang w:bidi="fa-IR"/>
        </w:rPr>
        <w:t xml:space="preserve"> ، ثُمَّ رُدَّنِي فَادْفِنِّي بِالْبَقِيعِ ، واعْلَمْ أَنَّهُ سَيُصِيبُنِي مِنْ عَائِشَةَ </w:t>
      </w:r>
      <w:r w:rsidRPr="00F543F1">
        <w:rPr>
          <w:rStyle w:val="libFootnotenumChar"/>
          <w:rtl/>
        </w:rPr>
        <w:t>(13)</w:t>
      </w:r>
      <w:r w:rsidRPr="00132E65">
        <w:rPr>
          <w:rtl/>
          <w:lang w:bidi="fa-IR"/>
        </w:rPr>
        <w:t xml:space="preserve"> مَا يَعْلَمُ اللهُ </w:t>
      </w:r>
      <w:r w:rsidRPr="00F543F1">
        <w:rPr>
          <w:rStyle w:val="libFootnotenumChar"/>
          <w:rtl/>
        </w:rPr>
        <w:t>(14)</w:t>
      </w:r>
      <w:r w:rsidRPr="00132E65">
        <w:rPr>
          <w:rtl/>
          <w:lang w:bidi="fa-IR"/>
        </w:rPr>
        <w:t xml:space="preserve"> والنَّاسُ‌</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وهو اسم من شويت اللحم شَيّاً. واحتمل المجلسي كونه شَوّاً ، وهو بيّاع الشِواء. راجع : </w:t>
      </w:r>
      <w:r w:rsidRPr="004E57D0">
        <w:rPr>
          <w:rtl/>
        </w:rPr>
        <w:t>الصحاح</w:t>
      </w:r>
      <w:r w:rsidRPr="00132E65">
        <w:rPr>
          <w:rtl/>
        </w:rPr>
        <w:t xml:space="preserve"> ، ج 6 ، ص 2396 ( شوى )</w:t>
      </w:r>
      <w:r>
        <w:rPr>
          <w:rtl/>
        </w:rPr>
        <w:t>.</w:t>
      </w:r>
    </w:p>
    <w:p w:rsidR="000C39D1" w:rsidRPr="00132E65" w:rsidRDefault="000C39D1" w:rsidP="000C39D1">
      <w:pPr>
        <w:pStyle w:val="libFootnote0"/>
        <w:rPr>
          <w:rtl/>
          <w:lang w:bidi="fa-IR"/>
        </w:rPr>
      </w:pPr>
      <w:r>
        <w:rPr>
          <w:rtl/>
        </w:rPr>
        <w:t>(1).</w:t>
      </w:r>
      <w:r w:rsidRPr="00132E65">
        <w:rPr>
          <w:rtl/>
        </w:rPr>
        <w:t xml:space="preserve"> قرأ المازندراني : الرَءّاس ، وهو بائع الرُؤوس. وقرأ المجلسي : الرُؤّاس جمع الرَءّاس. وأمّا القراءة بالواو فردّه الجوهري ؛ حيث قال : « يقال لبائع الرؤوس : رَءّاس ، والعامّة تقول : رَوّاس »</w:t>
      </w:r>
      <w:r>
        <w:rPr>
          <w:rtl/>
        </w:rPr>
        <w:t>.</w:t>
      </w:r>
      <w:r w:rsidRPr="00132E65">
        <w:rPr>
          <w:rtl/>
        </w:rPr>
        <w:t xml:space="preserve"> راجع : </w:t>
      </w:r>
      <w:r w:rsidRPr="004E57D0">
        <w:rPr>
          <w:rtl/>
        </w:rPr>
        <w:t>الصحاح</w:t>
      </w:r>
      <w:r w:rsidRPr="00132E65">
        <w:rPr>
          <w:rtl/>
        </w:rPr>
        <w:t xml:space="preserve"> ، ج 3 ، ص 932 ( رأس )</w:t>
      </w:r>
      <w:r>
        <w:rPr>
          <w:rtl/>
        </w:rPr>
        <w:t>.</w:t>
      </w:r>
    </w:p>
    <w:p w:rsidR="000C39D1" w:rsidRPr="00132E65" w:rsidRDefault="000C39D1" w:rsidP="000C39D1">
      <w:pPr>
        <w:pStyle w:val="libFootnote0"/>
        <w:rPr>
          <w:rtl/>
          <w:lang w:bidi="fa-IR"/>
        </w:rPr>
      </w:pPr>
      <w:r>
        <w:rPr>
          <w:rtl/>
        </w:rPr>
        <w:t>(2).</w:t>
      </w:r>
      <w:r w:rsidRPr="00132E65">
        <w:rPr>
          <w:rtl/>
        </w:rPr>
        <w:t xml:space="preserve"> </w:t>
      </w:r>
      <w:r w:rsidRPr="004E57D0">
        <w:rPr>
          <w:rtl/>
        </w:rPr>
        <w:t>التهذيب</w:t>
      </w:r>
      <w:r w:rsidRPr="00132E65">
        <w:rPr>
          <w:rtl/>
        </w:rPr>
        <w:t xml:space="preserve"> ، ج 6 ، ص 33 ، ح 66 ، بسند آخر عن أبي مَطَر ، مع اختلاف يسير</w:t>
      </w:r>
      <w:r>
        <w:rPr>
          <w:rFonts w:hint="cs"/>
          <w:rtl/>
        </w:rPr>
        <w:t>.</w:t>
      </w:r>
      <w:r w:rsidRPr="009D1ACE">
        <w:rPr>
          <w:rStyle w:val="libFootnoteBoldChar"/>
          <w:rtl/>
        </w:rPr>
        <w:t>الوافي</w:t>
      </w:r>
      <w:r w:rsidRPr="00132E65">
        <w:rPr>
          <w:rtl/>
        </w:rPr>
        <w:t xml:space="preserve"> ، ج 2 ، ص 335 ، ح 797.</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 xml:space="preserve">(3). في « ض ، ف ، ه‍ ، بح ، بر»: - </w:t>
            </w:r>
            <w:r w:rsidRPr="00132E65">
              <w:rPr>
                <w:rtl/>
              </w:rPr>
              <w:t>« والنصّ »</w:t>
            </w:r>
            <w:r>
              <w:rPr>
                <w:rtl/>
              </w:rPr>
              <w:t>.</w:t>
            </w:r>
          </w:p>
        </w:tc>
        <w:tc>
          <w:tcPr>
            <w:tcW w:w="4006" w:type="dxa"/>
          </w:tcPr>
          <w:p w:rsidR="000C39D1" w:rsidRDefault="000C39D1" w:rsidP="00B53873">
            <w:pPr>
              <w:pStyle w:val="libFootnote0"/>
              <w:rPr>
                <w:rtl/>
              </w:rPr>
            </w:pPr>
            <w:r>
              <w:rPr>
                <w:rtl/>
              </w:rPr>
              <w:t>(4).</w:t>
            </w:r>
            <w:r w:rsidRPr="00132E65">
              <w:rPr>
                <w:rtl/>
              </w:rPr>
              <w:t xml:space="preserve"> في « ج ، ض ، ف ، ه‍ ، بر » : « إلى »</w:t>
            </w:r>
            <w:r>
              <w:rPr>
                <w:rtl/>
              </w:rPr>
              <w:t>.</w:t>
            </w:r>
          </w:p>
        </w:tc>
      </w:tr>
    </w:tbl>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 </w:t>
      </w:r>
      <w:r>
        <w:rPr>
          <w:rtl/>
        </w:rPr>
        <w:t>و «</w:t>
      </w:r>
      <w:r w:rsidRPr="00132E65">
        <w:rPr>
          <w:rtl/>
        </w:rPr>
        <w:t xml:space="preserve"> قال الكليني » ، كلام تلامذته ، وهو في هذا الموضع غريب »</w:t>
      </w:r>
      <w:r>
        <w:rPr>
          <w:rtl/>
        </w:rPr>
        <w:t>.</w:t>
      </w:r>
    </w:p>
    <w:p w:rsidR="000C39D1" w:rsidRPr="00132E65" w:rsidRDefault="000C39D1" w:rsidP="000C39D1">
      <w:pPr>
        <w:pStyle w:val="libFootnote0"/>
        <w:rPr>
          <w:rtl/>
          <w:lang w:bidi="fa-IR"/>
        </w:rPr>
      </w:pPr>
      <w:r>
        <w:rPr>
          <w:rtl/>
        </w:rPr>
        <w:t>(6).</w:t>
      </w:r>
      <w:r w:rsidRPr="00132E65">
        <w:rPr>
          <w:rtl/>
        </w:rPr>
        <w:t xml:space="preserve"> في السند تحويل كما لا يخفى. ويروي عن محمّد بن سليمان الديلمي بكر بن صالح وابن زياد ، والمراد به سهل بن زياد. هذا ، وقد روى بكر بن صالح عن محمّد بن سليمان في </w:t>
      </w:r>
      <w:r w:rsidRPr="000577A7">
        <w:rPr>
          <w:rStyle w:val="libFootnoteBoldChar"/>
          <w:rtl/>
        </w:rPr>
        <w:t>الكافي</w:t>
      </w:r>
      <w:r w:rsidRPr="00132E65">
        <w:rPr>
          <w:rtl/>
        </w:rPr>
        <w:t xml:space="preserve"> ، ح 740.</w:t>
      </w:r>
    </w:p>
    <w:p w:rsidR="000C39D1" w:rsidRPr="00132E65" w:rsidRDefault="000C39D1" w:rsidP="000C39D1">
      <w:pPr>
        <w:pStyle w:val="libFootnote0"/>
        <w:rPr>
          <w:rtl/>
          <w:lang w:bidi="fa-IR"/>
        </w:rPr>
      </w:pPr>
      <w:r>
        <w:rPr>
          <w:rtl/>
        </w:rPr>
        <w:t>(7).</w:t>
      </w:r>
      <w:r w:rsidRPr="00132E65">
        <w:rPr>
          <w:rtl/>
        </w:rPr>
        <w:t xml:space="preserve"> في « ف » والوسائل ، ح 15362 : « حضرت »</w:t>
      </w:r>
      <w:r>
        <w:rPr>
          <w:rtl/>
        </w:rPr>
        <w:t>.</w:t>
      </w:r>
      <w:r w:rsidRPr="00132E65">
        <w:rPr>
          <w:rtl/>
        </w:rPr>
        <w:t xml:space="preserve"> وفي الوسائل ، ح 3298 « احتُضر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الوسائل ، ح 3298 </w:t>
            </w:r>
            <w:r>
              <w:rPr>
                <w:rtl/>
              </w:rPr>
              <w:t xml:space="preserve">: - </w:t>
            </w:r>
            <w:r w:rsidRPr="00132E65">
              <w:rPr>
                <w:rtl/>
              </w:rPr>
              <w:t>« الوفاة »</w:t>
            </w:r>
            <w:r>
              <w:rPr>
                <w:rtl/>
              </w:rPr>
              <w:t>.</w:t>
            </w:r>
          </w:p>
        </w:tc>
        <w:tc>
          <w:tcPr>
            <w:tcW w:w="4006" w:type="dxa"/>
          </w:tcPr>
          <w:p w:rsidR="000C39D1" w:rsidRDefault="000C39D1" w:rsidP="00B53873">
            <w:pPr>
              <w:pStyle w:val="libFootnote0"/>
              <w:rPr>
                <w:rtl/>
              </w:rPr>
            </w:pPr>
            <w:r>
              <w:rPr>
                <w:rtl/>
              </w:rPr>
              <w:t>(9).</w:t>
            </w:r>
            <w:r w:rsidRPr="00132E65">
              <w:rPr>
                <w:rtl/>
              </w:rPr>
              <w:t xml:space="preserve"> في الوسائل ، ح 3298 : « فإذا »</w:t>
            </w:r>
            <w:r>
              <w:rPr>
                <w:rtl/>
              </w:rPr>
              <w:t>.</w:t>
            </w:r>
          </w:p>
        </w:tc>
      </w:tr>
      <w:tr w:rsidR="000C39D1" w:rsidTr="00B53873">
        <w:tc>
          <w:tcPr>
            <w:tcW w:w="4006" w:type="dxa"/>
          </w:tcPr>
          <w:p w:rsidR="000C39D1" w:rsidRDefault="000C39D1" w:rsidP="00B53873">
            <w:pPr>
              <w:pStyle w:val="libFootnote0"/>
              <w:rPr>
                <w:rtl/>
              </w:rPr>
            </w:pPr>
            <w:r>
              <w:rPr>
                <w:rtl/>
              </w:rPr>
              <w:t>(10).</w:t>
            </w:r>
            <w:r w:rsidRPr="00132E65">
              <w:rPr>
                <w:rtl/>
              </w:rPr>
              <w:t xml:space="preserve"> في البحار : «</w:t>
            </w:r>
            <w:r>
              <w:rPr>
                <w:rtl/>
              </w:rPr>
              <w:t xml:space="preserve"> و ».</w:t>
            </w:r>
          </w:p>
        </w:tc>
        <w:tc>
          <w:tcPr>
            <w:tcW w:w="4006" w:type="dxa"/>
          </w:tcPr>
          <w:p w:rsidR="000C39D1" w:rsidRDefault="000C39D1" w:rsidP="00B53873">
            <w:pPr>
              <w:pStyle w:val="libFootnote0"/>
              <w:rPr>
                <w:rtl/>
              </w:rPr>
            </w:pPr>
            <w:r>
              <w:rPr>
                <w:rtl/>
              </w:rPr>
              <w:t>(11).</w:t>
            </w:r>
            <w:r w:rsidRPr="00132E65">
              <w:rPr>
                <w:rtl/>
              </w:rPr>
              <w:t xml:space="preserve"> في « بس ، بف » : « لُاحدّث »</w:t>
            </w:r>
            <w:r>
              <w:rPr>
                <w:rtl/>
              </w:rPr>
              <w:t>.</w:t>
            </w:r>
          </w:p>
        </w:tc>
      </w:tr>
      <w:tr w:rsidR="000C39D1" w:rsidTr="00B53873">
        <w:tc>
          <w:tcPr>
            <w:tcW w:w="4006" w:type="dxa"/>
          </w:tcPr>
          <w:p w:rsidR="000C39D1" w:rsidRDefault="000C39D1" w:rsidP="00B53873">
            <w:pPr>
              <w:pStyle w:val="libFootnote0"/>
              <w:rPr>
                <w:rtl/>
              </w:rPr>
            </w:pPr>
            <w:r>
              <w:rPr>
                <w:rtl/>
              </w:rPr>
              <w:t>(12).</w:t>
            </w:r>
            <w:r w:rsidRPr="00132E65">
              <w:rPr>
                <w:rtl/>
              </w:rPr>
              <w:t xml:space="preserve"> في الوسائل ، ح 3298 :</w:t>
            </w:r>
            <w:r>
              <w:rPr>
                <w:rtl/>
              </w:rPr>
              <w:t xml:space="preserve"> + </w:t>
            </w:r>
            <w:r w:rsidRPr="00132E65">
              <w:rPr>
                <w:rtl/>
              </w:rPr>
              <w:t>« فاطمة »</w:t>
            </w:r>
            <w:r>
              <w:rPr>
                <w:rtl/>
              </w:rPr>
              <w:t>.</w:t>
            </w:r>
          </w:p>
        </w:tc>
        <w:tc>
          <w:tcPr>
            <w:tcW w:w="4006" w:type="dxa"/>
          </w:tcPr>
          <w:p w:rsidR="000C39D1" w:rsidRDefault="000C39D1" w:rsidP="00B53873">
            <w:pPr>
              <w:pStyle w:val="libFootnote0"/>
              <w:rPr>
                <w:rtl/>
              </w:rPr>
            </w:pPr>
            <w:r>
              <w:rPr>
                <w:rtl/>
              </w:rPr>
              <w:t>(13)</w:t>
            </w:r>
            <w:r w:rsidRPr="00132E65">
              <w:rPr>
                <w:rtl/>
              </w:rPr>
              <w:t xml:space="preserve"> في الوسائل ، ح 3298 : « من الحميراء »</w:t>
            </w:r>
            <w:r>
              <w:rPr>
                <w:rtl/>
              </w:rPr>
              <w:t>.</w:t>
            </w:r>
          </w:p>
        </w:tc>
      </w:tr>
    </w:tbl>
    <w:p w:rsidR="000C39D1" w:rsidRPr="00132E65" w:rsidRDefault="000C39D1" w:rsidP="000C39D1">
      <w:pPr>
        <w:pStyle w:val="libFootnote0"/>
        <w:rPr>
          <w:rtl/>
          <w:lang w:bidi="fa-IR"/>
        </w:rPr>
      </w:pPr>
      <w:r>
        <w:rPr>
          <w:rtl/>
        </w:rPr>
        <w:t>(14)</w:t>
      </w:r>
      <w:r w:rsidRPr="00132E65">
        <w:rPr>
          <w:rtl/>
        </w:rPr>
        <w:t xml:space="preserve"> في الوسائل ، ح 3298 </w:t>
      </w:r>
      <w:r>
        <w:rPr>
          <w:rtl/>
        </w:rPr>
        <w:t xml:space="preserve">: - </w:t>
      </w:r>
      <w:r w:rsidRPr="00132E65">
        <w:rPr>
          <w:rtl/>
        </w:rPr>
        <w:t>« الله</w:t>
      </w:r>
      <w:r>
        <w:rPr>
          <w:rtl/>
        </w:rPr>
        <w:t xml:space="preserve"> و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صَنِيعَهَا </w:t>
      </w:r>
      <w:r>
        <w:rPr>
          <w:rStyle w:val="libFootnotenumChar"/>
          <w:rtl/>
        </w:rPr>
        <w:t>(1)</w:t>
      </w:r>
      <w:r w:rsidRPr="00132E65">
        <w:rPr>
          <w:rtl/>
          <w:lang w:bidi="fa-IR"/>
        </w:rPr>
        <w:t xml:space="preserve"> وعَدَاوَتَهَا لِلّهِ ولِرَسُولِهِ وعَدَاوَتَهَا لَنَا أَهْلَ الْبَيْتِ.</w:t>
      </w:r>
    </w:p>
    <w:p w:rsidR="000C39D1" w:rsidRPr="00132E65" w:rsidRDefault="000C39D1" w:rsidP="000C39D1">
      <w:pPr>
        <w:pStyle w:val="libNormal"/>
        <w:rPr>
          <w:rtl/>
          <w:lang w:bidi="fa-IR"/>
        </w:rPr>
      </w:pPr>
      <w:r w:rsidRPr="00132E65">
        <w:rPr>
          <w:rtl/>
          <w:lang w:bidi="fa-IR"/>
        </w:rPr>
        <w:t xml:space="preserve">فَلَمَّا قُبِضَ الْحَسَنُ </w:t>
      </w:r>
      <w:r w:rsidRPr="00071CF9">
        <w:rPr>
          <w:rStyle w:val="libAlaemChar"/>
          <w:rtl/>
        </w:rPr>
        <w:t>عليه‌السلام</w:t>
      </w:r>
      <w:r>
        <w:rPr>
          <w:rtl/>
          <w:lang w:bidi="fa-IR"/>
        </w:rPr>
        <w:t xml:space="preserve"> و</w:t>
      </w:r>
      <w:r>
        <w:rPr>
          <w:rFonts w:hint="cs"/>
          <w:rtl/>
          <w:lang w:bidi="fa-IR"/>
        </w:rPr>
        <w:t xml:space="preserve">َ </w:t>
      </w:r>
      <w:r>
        <w:rPr>
          <w:rtl/>
          <w:lang w:bidi="fa-IR"/>
        </w:rPr>
        <w:t>و</w:t>
      </w:r>
      <w:r>
        <w:rPr>
          <w:rFonts w:hint="cs"/>
          <w:rtl/>
          <w:lang w:bidi="fa-IR"/>
        </w:rPr>
        <w:t>ُ</w:t>
      </w:r>
      <w:r w:rsidRPr="00132E65">
        <w:rPr>
          <w:rtl/>
          <w:lang w:bidi="fa-IR"/>
        </w:rPr>
        <w:t xml:space="preserve">ضِعَ عَلَى السَّرِيرِ ، ثُمَّ </w:t>
      </w:r>
      <w:r>
        <w:rPr>
          <w:rStyle w:val="libFootnotenumChar"/>
          <w:rtl/>
        </w:rPr>
        <w:t>(2)</w:t>
      </w:r>
      <w:r w:rsidRPr="00132E65">
        <w:rPr>
          <w:rtl/>
          <w:lang w:bidi="fa-IR"/>
        </w:rPr>
        <w:t xml:space="preserve"> انْطَلَقُوا بِهِ </w:t>
      </w:r>
      <w:r>
        <w:rPr>
          <w:rStyle w:val="libFootnotenumChar"/>
          <w:rtl/>
        </w:rPr>
        <w:t>(3)</w:t>
      </w:r>
      <w:r w:rsidRPr="00132E65">
        <w:rPr>
          <w:rtl/>
          <w:lang w:bidi="fa-IR"/>
        </w:rPr>
        <w:t xml:space="preserve"> إِلى مُصَلّى رَسُولِ اللهِ </w:t>
      </w:r>
      <w:r w:rsidRPr="00071CF9">
        <w:rPr>
          <w:rStyle w:val="libAlaemChar"/>
          <w:rtl/>
        </w:rPr>
        <w:t>صلى‌الله‌عليه‌وآله</w:t>
      </w:r>
      <w:r w:rsidRPr="00132E65">
        <w:rPr>
          <w:rtl/>
          <w:lang w:bidi="fa-IR"/>
        </w:rPr>
        <w:t xml:space="preserve"> </w:t>
      </w:r>
      <w:r>
        <w:rPr>
          <w:rtl/>
          <w:lang w:bidi="fa-IR"/>
        </w:rPr>
        <w:t xml:space="preserve">- </w:t>
      </w:r>
      <w:r w:rsidRPr="00132E65">
        <w:rPr>
          <w:rtl/>
          <w:lang w:bidi="fa-IR"/>
        </w:rPr>
        <w:t>الَّذِي كَانَ يُصَلِّي فِيهِ عَلَى الْجَنَائِزِ</w:t>
      </w:r>
      <w:r>
        <w:rPr>
          <w:rtl/>
          <w:lang w:bidi="fa-IR"/>
        </w:rPr>
        <w:t xml:space="preserve"> - </w:t>
      </w:r>
      <w:r w:rsidRPr="00132E65">
        <w:rPr>
          <w:rtl/>
          <w:lang w:bidi="fa-IR"/>
        </w:rPr>
        <w:t xml:space="preserve">فَصَلّى عَلَيْهِ الْحُسَيْنُ </w:t>
      </w:r>
      <w:r w:rsidRPr="00071CF9">
        <w:rPr>
          <w:rStyle w:val="libAlaemChar"/>
          <w:rtl/>
        </w:rPr>
        <w:t>عليه‌السلام</w:t>
      </w:r>
      <w:r w:rsidRPr="00132E65">
        <w:rPr>
          <w:rtl/>
          <w:lang w:bidi="fa-IR"/>
        </w:rPr>
        <w:t xml:space="preserve"> ، وحُمِلَ وأُدْخِلَ إِلَى </w:t>
      </w:r>
      <w:r>
        <w:rPr>
          <w:rStyle w:val="libFootnotenumChar"/>
          <w:rtl/>
        </w:rPr>
        <w:t>(4)</w:t>
      </w:r>
      <w:r w:rsidRPr="00132E65">
        <w:rPr>
          <w:rtl/>
          <w:lang w:bidi="fa-IR"/>
        </w:rPr>
        <w:t xml:space="preserve"> الْمَسْجِدِ ، فَلَمَّا أُوقِفَ </w:t>
      </w:r>
      <w:r>
        <w:rPr>
          <w:rStyle w:val="libFootnotenumChar"/>
          <w:rtl/>
        </w:rPr>
        <w:t>(5)</w:t>
      </w:r>
      <w:r w:rsidRPr="00132E65">
        <w:rPr>
          <w:rtl/>
          <w:lang w:bidi="fa-IR"/>
        </w:rPr>
        <w:t xml:space="preserve"> عَلى قَبْرِ رَسُولِ اللهِ </w:t>
      </w:r>
      <w:r w:rsidRPr="00071CF9">
        <w:rPr>
          <w:rStyle w:val="libAlaemChar"/>
          <w:rtl/>
        </w:rPr>
        <w:t>صلى‌الله‌عليه‌وآله</w:t>
      </w:r>
      <w:r w:rsidRPr="00132E65">
        <w:rPr>
          <w:rtl/>
          <w:lang w:bidi="fa-IR"/>
        </w:rPr>
        <w:t xml:space="preserve"> ، ذَهَبَ ذُو الْعَيْنَيْنِ </w:t>
      </w:r>
      <w:r>
        <w:rPr>
          <w:rStyle w:val="libFootnotenumChar"/>
          <w:rtl/>
        </w:rPr>
        <w:t>(6)</w:t>
      </w:r>
      <w:r w:rsidRPr="00132E65">
        <w:rPr>
          <w:rtl/>
          <w:lang w:bidi="fa-IR"/>
        </w:rPr>
        <w:t xml:space="preserve"> إِلى عَائِشَةَ ، فَقَالَ لَهَا : إِنَّهُمْ قَدْ أَقْبَلُوا </w:t>
      </w:r>
      <w:r>
        <w:rPr>
          <w:rStyle w:val="libFootnotenumChar"/>
          <w:rtl/>
        </w:rPr>
        <w:t>(7)</w:t>
      </w:r>
      <w:r w:rsidRPr="00132E65">
        <w:rPr>
          <w:rtl/>
          <w:lang w:bidi="fa-IR"/>
        </w:rPr>
        <w:t xml:space="preserve"> بِالْحَسَنِ لِيَدْفِنُوهُ </w:t>
      </w:r>
      <w:r>
        <w:rPr>
          <w:rStyle w:val="libFootnotenumChar"/>
          <w:rtl/>
        </w:rPr>
        <w:t>(8)</w:t>
      </w:r>
      <w:r w:rsidRPr="00132E65">
        <w:rPr>
          <w:rtl/>
          <w:lang w:bidi="fa-IR"/>
        </w:rPr>
        <w:t xml:space="preserve"> مَعَ النَّبِيِّ </w:t>
      </w:r>
      <w:r w:rsidRPr="00071CF9">
        <w:rPr>
          <w:rStyle w:val="libAlaemChar"/>
          <w:rtl/>
        </w:rPr>
        <w:t>صلى‌الله‌عليه‌وآله</w:t>
      </w:r>
      <w:r w:rsidRPr="00132E65">
        <w:rPr>
          <w:rtl/>
          <w:lang w:bidi="fa-IR"/>
        </w:rPr>
        <w:t xml:space="preserve"> ، فَخَرَجَتْ </w:t>
      </w:r>
      <w:r>
        <w:rPr>
          <w:rStyle w:val="libFootnotenumChar"/>
          <w:rtl/>
        </w:rPr>
        <w:t>(9)</w:t>
      </w:r>
      <w:r>
        <w:rPr>
          <w:rtl/>
          <w:lang w:bidi="fa-IR"/>
        </w:rPr>
        <w:t xml:space="preserve"> - </w:t>
      </w:r>
      <w:r w:rsidRPr="00132E65">
        <w:rPr>
          <w:rtl/>
          <w:lang w:bidi="fa-IR"/>
        </w:rPr>
        <w:t xml:space="preserve">مُبَادِرَةً </w:t>
      </w:r>
      <w:r>
        <w:rPr>
          <w:rStyle w:val="libFootnotenumChar"/>
          <w:rtl/>
        </w:rPr>
        <w:t>(10)</w:t>
      </w:r>
      <w:r>
        <w:rPr>
          <w:rtl/>
          <w:lang w:bidi="fa-IR"/>
        </w:rPr>
        <w:t xml:space="preserve"> - </w:t>
      </w:r>
      <w:r w:rsidRPr="00132E65">
        <w:rPr>
          <w:rtl/>
          <w:lang w:bidi="fa-IR"/>
        </w:rPr>
        <w:t xml:space="preserve">عَلى بَغْلٍ بِسَرْجٍ </w:t>
      </w:r>
      <w:r>
        <w:rPr>
          <w:rStyle w:val="libFootnotenumChar"/>
          <w:rtl/>
        </w:rPr>
        <w:t>(11)</w:t>
      </w:r>
      <w:r w:rsidRPr="00132E65">
        <w:rPr>
          <w:rtl/>
          <w:lang w:bidi="fa-IR"/>
        </w:rPr>
        <w:t xml:space="preserve"> ، فَكَانَتْ أَوَّلَ امْرَأَةٍ رَكِبَتْ فِي الْإِسْلَامِ سَرْجاً ، فَقَالَتْ : نَحُّوا </w:t>
      </w:r>
      <w:r>
        <w:rPr>
          <w:rStyle w:val="libFootnotenumChar"/>
          <w:rtl/>
        </w:rPr>
        <w:t>(12)</w:t>
      </w:r>
      <w:r w:rsidRPr="00132E65">
        <w:rPr>
          <w:rtl/>
          <w:lang w:bidi="fa-IR"/>
        </w:rPr>
        <w:t xml:space="preserve"> ابْنَكُمْ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ف ، بر ، بس » وحاشية « بح » : « بغضها »</w:t>
      </w:r>
      <w:r>
        <w:rPr>
          <w:rtl/>
        </w:rPr>
        <w:t>.</w:t>
      </w:r>
      <w:r w:rsidRPr="00132E65">
        <w:rPr>
          <w:rtl/>
        </w:rPr>
        <w:t xml:space="preserve"> وفي « ض » :</w:t>
      </w:r>
      <w:r>
        <w:rPr>
          <w:rtl/>
        </w:rPr>
        <w:t xml:space="preserve"> + </w:t>
      </w:r>
      <w:r w:rsidRPr="00132E65">
        <w:rPr>
          <w:rtl/>
        </w:rPr>
        <w:t>« بغضها »</w:t>
      </w:r>
      <w:r>
        <w:rPr>
          <w:rtl/>
        </w:rPr>
        <w:t>.</w:t>
      </w:r>
      <w:r w:rsidRPr="00132E65">
        <w:rPr>
          <w:rtl/>
        </w:rPr>
        <w:t xml:space="preserve"> وفي الوسائل ، ح 3298 : « من‌صنيعها »</w:t>
      </w:r>
      <w:r>
        <w:rPr>
          <w:rtl/>
        </w:rPr>
        <w:t>.</w:t>
      </w:r>
      <w:r w:rsidRPr="00132E65">
        <w:rPr>
          <w:rtl/>
        </w:rPr>
        <w:t xml:space="preserve"> ويجوز فيه وما عُطف عليه الرفع خبراً لمبتدأ محذوف ، أو بدلاً أو بياناً عن الموصول ، والنصب مفعولاً ليعلم ، أو بدلاً أو بياناً عن العائد إلى الموصول. ويؤيّد البدليّة أو البيانيّة ما يأتي في الحديث الثالث من قوله : « ما يعلم الناس من صنيعها »</w:t>
      </w:r>
      <w:r>
        <w:rPr>
          <w:rtl/>
        </w:rPr>
        <w:t>.</w:t>
      </w:r>
      <w:r w:rsidRPr="00132E65">
        <w:rPr>
          <w:rtl/>
        </w:rPr>
        <w:t xml:space="preserve"> </w:t>
      </w:r>
      <w:r>
        <w:rPr>
          <w:rtl/>
        </w:rPr>
        <w:t>و «</w:t>
      </w:r>
      <w:r w:rsidRPr="00132E65">
        <w:rPr>
          <w:rtl/>
        </w:rPr>
        <w:t xml:space="preserve"> الصنيع » : الفعل القبيح. راجع : </w:t>
      </w:r>
      <w:r w:rsidRPr="004E57D0">
        <w:rPr>
          <w:rtl/>
        </w:rPr>
        <w:t>الصحاح</w:t>
      </w:r>
      <w:r w:rsidRPr="00132E65">
        <w:rPr>
          <w:rtl/>
        </w:rPr>
        <w:t xml:space="preserve"> ، ج 3 ، ص 1245 ( صنع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ج 3 ، ص 305 : « قرأ بعض الأفاضل : ثَمَّ ، إشارة للمكان ، أي في بيته. فقوله : انطلقوا ، جواب « ل</w:t>
      </w:r>
      <w:r>
        <w:rPr>
          <w:rFonts w:hint="cs"/>
          <w:rtl/>
        </w:rPr>
        <w:t>ـ</w:t>
      </w:r>
      <w:r w:rsidRPr="00132E65">
        <w:rPr>
          <w:rtl/>
        </w:rPr>
        <w:t>مّا »</w:t>
      </w:r>
      <w:r>
        <w:rPr>
          <w:rtl/>
        </w:rPr>
        <w:t>.</w:t>
      </w:r>
      <w:r w:rsidRPr="00132E65">
        <w:rPr>
          <w:rtl/>
        </w:rPr>
        <w:t xml:space="preserve"> ويحتمل أن يكون بالضمّ ، ويكون قوله : فصلّى ، جواب « ل</w:t>
      </w:r>
      <w:r>
        <w:rPr>
          <w:rFonts w:hint="cs"/>
          <w:rtl/>
        </w:rPr>
        <w:t>ـ</w:t>
      </w:r>
      <w:r w:rsidRPr="00132E65">
        <w:rPr>
          <w:rtl/>
        </w:rPr>
        <w:t>مّا » ا</w:t>
      </w:r>
      <w:r>
        <w:rPr>
          <w:rFonts w:hint="cs"/>
          <w:rtl/>
        </w:rPr>
        <w:t>ُ</w:t>
      </w:r>
      <w:r w:rsidRPr="00132E65">
        <w:rPr>
          <w:rtl/>
        </w:rPr>
        <w:t>دخل الفاء عليه للفاصلة »</w:t>
      </w:r>
      <w:r>
        <w:rPr>
          <w:rtl/>
        </w:rPr>
        <w:t>.</w:t>
      </w:r>
    </w:p>
    <w:p w:rsidR="000C39D1" w:rsidRDefault="000C39D1" w:rsidP="000C39D1">
      <w:pPr>
        <w:pStyle w:val="libFootnote0"/>
        <w:rPr>
          <w:rtl/>
        </w:rPr>
      </w:pPr>
      <w:r>
        <w:rPr>
          <w:rtl/>
        </w:rPr>
        <w:t>(3).</w:t>
      </w:r>
      <w:r w:rsidRPr="00132E65">
        <w:rPr>
          <w:rtl/>
        </w:rPr>
        <w:t xml:space="preserve"> « انطلقوا به » ، أي ذهبوا به. يقال : أطلقتُ الأسير ، إذا حللتَ إساره وخلّيت عنه فانطلق ، أي ذهب في سبيله. راجع : </w:t>
      </w:r>
      <w:r w:rsidRPr="004E57D0">
        <w:rPr>
          <w:rtl/>
        </w:rPr>
        <w:t>المصباح المنير</w:t>
      </w:r>
      <w:r w:rsidRPr="00132E65">
        <w:rPr>
          <w:rtl/>
        </w:rPr>
        <w:t xml:space="preserve"> ، ص 376 ( طلق )</w:t>
      </w:r>
      <w:r>
        <w:rPr>
          <w:rtl/>
        </w:rPr>
        <w:t>.</w:t>
      </w:r>
      <w:r>
        <w:rPr>
          <w:rFonts w:hint="cs"/>
          <w:rtl/>
        </w:rPr>
        <w:t xml:space="preserve">                 </w:t>
      </w:r>
      <w:r>
        <w:rPr>
          <w:rtl/>
        </w:rPr>
        <w:t>(4).</w:t>
      </w:r>
      <w:r w:rsidRPr="00132E65">
        <w:rPr>
          <w:rtl/>
        </w:rPr>
        <w:t xml:space="preserve"> في « ه‍ ، بف » و</w:t>
      </w:r>
      <w:r w:rsidRPr="009D1ACE">
        <w:rPr>
          <w:rStyle w:val="libFootnoteBoldChar"/>
          <w:rtl/>
        </w:rPr>
        <w:t>الوافي</w:t>
      </w:r>
      <w:r w:rsidRPr="00132E65">
        <w:rPr>
          <w:rtl/>
        </w:rPr>
        <w:t xml:space="preserve"> </w:t>
      </w:r>
      <w:r>
        <w:rPr>
          <w:rtl/>
        </w:rPr>
        <w:t xml:space="preserve">: - </w:t>
      </w:r>
      <w:r w:rsidRPr="00132E65">
        <w:rPr>
          <w:rtl/>
        </w:rPr>
        <w:t>« إلى »</w:t>
      </w:r>
      <w:r>
        <w:rPr>
          <w:rtl/>
        </w:rPr>
        <w:t>.</w:t>
      </w:r>
      <w:r w:rsidRPr="00132E65">
        <w:rPr>
          <w:rtl/>
        </w:rPr>
        <w:t xml:space="preserve"> </w:t>
      </w:r>
    </w:p>
    <w:p w:rsidR="000C39D1" w:rsidRPr="00132E65" w:rsidRDefault="000C39D1" w:rsidP="000C39D1">
      <w:pPr>
        <w:pStyle w:val="libFootnote0"/>
        <w:rPr>
          <w:rtl/>
          <w:lang w:bidi="fa-IR"/>
        </w:rPr>
      </w:pPr>
      <w:r>
        <w:rPr>
          <w:rtl/>
        </w:rPr>
        <w:t>(5).</w:t>
      </w:r>
      <w:r w:rsidRPr="00132E65">
        <w:rPr>
          <w:rtl/>
        </w:rPr>
        <w:t xml:space="preserve"> في « ف » : « وقف »</w:t>
      </w:r>
      <w:r>
        <w:rPr>
          <w:rtl/>
        </w:rPr>
        <w:t>.</w:t>
      </w:r>
    </w:p>
    <w:p w:rsidR="007437BB" w:rsidRDefault="000C39D1" w:rsidP="007437BB">
      <w:pPr>
        <w:pStyle w:val="libFootnote0"/>
        <w:rPr>
          <w:rtl/>
        </w:rPr>
      </w:pPr>
      <w:r>
        <w:rPr>
          <w:rtl/>
        </w:rPr>
        <w:t>(6).</w:t>
      </w:r>
      <w:r w:rsidRPr="00132E65">
        <w:rPr>
          <w:rtl/>
        </w:rPr>
        <w:t xml:space="preserve"> هكذا في « ألف ، ض »</w:t>
      </w:r>
      <w:r>
        <w:rPr>
          <w:rtl/>
        </w:rPr>
        <w:t>.</w:t>
      </w:r>
      <w:r w:rsidRPr="00132E65">
        <w:rPr>
          <w:rtl/>
        </w:rPr>
        <w:t xml:space="preserve"> وفي « ج ، و، بح ، بر ، بس ، بف » والمطبوع : « ذو العوينين »</w:t>
      </w:r>
      <w:r>
        <w:rPr>
          <w:rtl/>
        </w:rPr>
        <w:t>.</w:t>
      </w:r>
      <w:r w:rsidRPr="00132E65">
        <w:rPr>
          <w:rtl/>
        </w:rPr>
        <w:t xml:space="preserve"> وفي حاشية « ج » : « ذو العوينتين »</w:t>
      </w:r>
      <w:r>
        <w:rPr>
          <w:rtl/>
        </w:rPr>
        <w:t>.</w:t>
      </w:r>
      <w:r w:rsidRPr="00132E65">
        <w:rPr>
          <w:rtl/>
        </w:rPr>
        <w:t xml:space="preserve"> والصحيح في الكلمة ثلاث لغات : ذو العينين ، ذُو العوينتين ، ذُو العُيَيْنَتَيْن فما في المطبوع خارج عن اللغات. ونقل في اللسان عن ابن السكّيت أنّه قال : « لا تقل : ذو العوينتين »</w:t>
      </w:r>
      <w:r>
        <w:rPr>
          <w:rtl/>
        </w:rPr>
        <w:t>.</w:t>
      </w:r>
      <w:r w:rsidRPr="00132E65">
        <w:rPr>
          <w:rtl/>
        </w:rPr>
        <w:t xml:space="preserve"> </w:t>
      </w:r>
      <w:r>
        <w:rPr>
          <w:rtl/>
        </w:rPr>
        <w:t>و «</w:t>
      </w:r>
      <w:r w:rsidRPr="00132E65">
        <w:rPr>
          <w:rtl/>
        </w:rPr>
        <w:t xml:space="preserve"> العين » : الذي تبعثه لتجسّس الخبر. وتصغيرها : « عُيَيْنَة »</w:t>
      </w:r>
      <w:r>
        <w:rPr>
          <w:rtl/>
        </w:rPr>
        <w:t>.</w:t>
      </w:r>
      <w:r w:rsidRPr="00132E65">
        <w:rPr>
          <w:rtl/>
        </w:rPr>
        <w:t xml:space="preserve"> وفي حاشية بدرالدين : « ذوالغويّين ، وهو مروان عليه اللعنة. وهذا تثنية الغويّ ، وهو كثير الغواية »</w:t>
      </w:r>
      <w:r>
        <w:rPr>
          <w:rtl/>
        </w:rPr>
        <w:t>.</w:t>
      </w:r>
      <w:r w:rsidRPr="00132E65">
        <w:rPr>
          <w:rtl/>
        </w:rPr>
        <w:t xml:space="preserve"> راجع : </w:t>
      </w:r>
      <w:r w:rsidRPr="004E57D0">
        <w:rPr>
          <w:rtl/>
        </w:rPr>
        <w:t>حاشية بدرالدين</w:t>
      </w:r>
      <w:r w:rsidRPr="00132E65">
        <w:rPr>
          <w:rtl/>
        </w:rPr>
        <w:t xml:space="preserve"> ، ص 199 ؛ </w:t>
      </w:r>
      <w:r w:rsidRPr="004E57D0">
        <w:rPr>
          <w:rtl/>
        </w:rPr>
        <w:t>ترتيب كتاب العين</w:t>
      </w:r>
      <w:r w:rsidRPr="00132E65">
        <w:rPr>
          <w:rtl/>
        </w:rPr>
        <w:t xml:space="preserve"> ، ج 2 ، ص 1323 ؛ </w:t>
      </w:r>
      <w:r w:rsidRPr="004E57D0">
        <w:rPr>
          <w:rtl/>
        </w:rPr>
        <w:t>الصحاح</w:t>
      </w:r>
      <w:r w:rsidRPr="00132E65">
        <w:rPr>
          <w:rtl/>
        </w:rPr>
        <w:t xml:space="preserve"> ، ج 6 ، ص 2170 ( عين )</w:t>
      </w:r>
      <w:r>
        <w:rPr>
          <w:rtl/>
        </w:rPr>
        <w:t>.</w:t>
      </w:r>
    </w:p>
    <w:p w:rsidR="000C39D1" w:rsidRDefault="000C39D1" w:rsidP="007437BB">
      <w:pPr>
        <w:pStyle w:val="libFootnote0"/>
        <w:rPr>
          <w:rtl/>
        </w:rPr>
      </w:pPr>
      <w:r>
        <w:rPr>
          <w:rtl/>
        </w:rPr>
        <w:t>(7).</w:t>
      </w:r>
      <w:r w:rsidRPr="00132E65">
        <w:rPr>
          <w:rtl/>
        </w:rPr>
        <w:t xml:space="preserve"> في « ض » : « ذهب ذوالعينين ، فقال : قد أقبلوا »</w:t>
      </w:r>
      <w:r>
        <w:rPr>
          <w:rtl/>
        </w:rPr>
        <w:t>.</w:t>
      </w:r>
      <w:r w:rsidRPr="00132E65">
        <w:rPr>
          <w:rtl/>
        </w:rPr>
        <w:t xml:space="preserve"> </w:t>
      </w:r>
    </w:p>
    <w:p w:rsidR="000C39D1" w:rsidRDefault="000C39D1" w:rsidP="000C39D1">
      <w:pPr>
        <w:pStyle w:val="libFootnote0"/>
        <w:rPr>
          <w:rtl/>
        </w:rPr>
      </w:pPr>
      <w:r>
        <w:rPr>
          <w:rtl/>
        </w:rPr>
        <w:t>(8).</w:t>
      </w:r>
      <w:r w:rsidRPr="00132E65">
        <w:rPr>
          <w:rtl/>
        </w:rPr>
        <w:t xml:space="preserve"> هكذا في النسخ التي قوبلت و</w:t>
      </w:r>
      <w:r w:rsidRPr="009D1ACE">
        <w:rPr>
          <w:rStyle w:val="libFootnoteBoldChar"/>
          <w:rtl/>
        </w:rPr>
        <w:t>الوافي</w:t>
      </w:r>
      <w:r w:rsidRPr="00132E65">
        <w:rPr>
          <w:rtl/>
        </w:rPr>
        <w:t>. وفي المطبوع : « ليدفنوا »</w:t>
      </w:r>
      <w:r>
        <w:rPr>
          <w:rtl/>
        </w:rPr>
        <w:t>.</w:t>
      </w:r>
      <w:r w:rsidRPr="00132E65">
        <w:rPr>
          <w:rtl/>
        </w:rPr>
        <w:t xml:space="preserve"> </w:t>
      </w:r>
    </w:p>
    <w:p w:rsidR="000C39D1" w:rsidRPr="00132E65" w:rsidRDefault="000C39D1" w:rsidP="000C39D1">
      <w:pPr>
        <w:pStyle w:val="libFootnote0"/>
        <w:rPr>
          <w:rtl/>
          <w:lang w:bidi="fa-IR"/>
        </w:rPr>
      </w:pPr>
      <w:r>
        <w:rPr>
          <w:rtl/>
        </w:rPr>
        <w:t>(9).</w:t>
      </w:r>
      <w:r w:rsidRPr="00132E65">
        <w:rPr>
          <w:rtl/>
        </w:rPr>
        <w:t xml:space="preserve"> في الوسائل ، ج 11 :</w:t>
      </w:r>
      <w:r>
        <w:rPr>
          <w:rtl/>
        </w:rPr>
        <w:t xml:space="preserve"> + </w:t>
      </w:r>
      <w:r w:rsidRPr="00132E65">
        <w:rPr>
          <w:rtl/>
        </w:rPr>
        <w:t>« عائشة »</w:t>
      </w:r>
      <w:r>
        <w:rPr>
          <w:rtl/>
        </w:rPr>
        <w:t>.</w:t>
      </w:r>
    </w:p>
    <w:p w:rsidR="000C39D1" w:rsidRPr="00132E65" w:rsidRDefault="000C39D1" w:rsidP="000C39D1">
      <w:pPr>
        <w:pStyle w:val="libFootnote0"/>
        <w:rPr>
          <w:rtl/>
          <w:lang w:bidi="fa-IR"/>
        </w:rPr>
      </w:pPr>
      <w:r>
        <w:rPr>
          <w:rtl/>
        </w:rPr>
        <w:t>(10).</w:t>
      </w:r>
      <w:r w:rsidRPr="00132E65">
        <w:rPr>
          <w:rtl/>
        </w:rPr>
        <w:t xml:space="preserve"> « مبادِرَةً » ، أي مسرعة. يقال : بدر إلى الشي‌ء بُدُوراً ، وبادر إليه مبادرةً وبداراً ، من باب قَعَد وقاتل ، أي أسرع. راجع : </w:t>
      </w:r>
      <w:r w:rsidRPr="004E57D0">
        <w:rPr>
          <w:rtl/>
        </w:rPr>
        <w:t>المصباح المنير</w:t>
      </w:r>
      <w:r w:rsidRPr="00132E65">
        <w:rPr>
          <w:rtl/>
        </w:rPr>
        <w:t xml:space="preserve"> ، ص 38 ( بدر )</w:t>
      </w:r>
      <w:r>
        <w:rPr>
          <w:rtl/>
        </w:rPr>
        <w:t>.</w:t>
      </w:r>
      <w:r>
        <w:rPr>
          <w:rFonts w:hint="cs"/>
          <w:rtl/>
        </w:rPr>
        <w:t xml:space="preserve">     </w:t>
      </w:r>
      <w:r w:rsidR="007437BB">
        <w:rPr>
          <w:rFonts w:hint="cs"/>
          <w:rtl/>
        </w:rPr>
        <w:t xml:space="preserve">        </w:t>
      </w:r>
      <w:r>
        <w:rPr>
          <w:rFonts w:hint="cs"/>
          <w:rtl/>
        </w:rPr>
        <w:t xml:space="preserve">   </w:t>
      </w:r>
      <w:r>
        <w:rPr>
          <w:rtl/>
        </w:rPr>
        <w:t>(11).في «ف» :«يسرج</w:t>
      </w:r>
      <w:r w:rsidRPr="00132E65">
        <w:rPr>
          <w:rtl/>
        </w:rPr>
        <w:t>»</w:t>
      </w:r>
      <w:r>
        <w:rPr>
          <w:rtl/>
        </w:rPr>
        <w:t>.وفي الوسائل،ج 11 : «مسرج</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 نَحُّوا » ، أي رُدّوا. من نحّ ينحّ نَحياً ونَحْنَح ، إذا ردّ السائل ردّاً قبيحاً. راجع : </w:t>
      </w:r>
      <w:r w:rsidRPr="009D1ACE">
        <w:rPr>
          <w:rStyle w:val="libFootnoteBoldChar"/>
          <w:rtl/>
        </w:rPr>
        <w:t>لسان العرب</w:t>
      </w:r>
      <w:r w:rsidRPr="00132E65">
        <w:rPr>
          <w:rtl/>
        </w:rPr>
        <w:t xml:space="preserve"> ، ج 2 ، ص 612 ( نحح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بَيْتِي ؛ فَإِنَّهُ لَايُدْفَنُ فِي بَيْتِي ، ويُهْتَكُ عَلى رَسُولِ اللهِ </w:t>
      </w:r>
      <w:r w:rsidRPr="00071CF9">
        <w:rPr>
          <w:rStyle w:val="libAlaemChar"/>
          <w:rtl/>
        </w:rPr>
        <w:t>صلى‌الله‌عليه‌وآله</w:t>
      </w:r>
      <w:r w:rsidRPr="00132E65">
        <w:rPr>
          <w:rtl/>
          <w:lang w:bidi="fa-IR"/>
        </w:rPr>
        <w:t xml:space="preserve"> حِجَابُهُ.</w:t>
      </w:r>
    </w:p>
    <w:p w:rsidR="000C39D1" w:rsidRPr="00132E65" w:rsidRDefault="000C39D1" w:rsidP="000C39D1">
      <w:pPr>
        <w:pStyle w:val="libNormal"/>
        <w:rPr>
          <w:rtl/>
          <w:lang w:bidi="fa-IR"/>
        </w:rPr>
      </w:pPr>
      <w:r w:rsidRPr="00132E65">
        <w:rPr>
          <w:rtl/>
          <w:lang w:bidi="fa-IR"/>
        </w:rPr>
        <w:t xml:space="preserve">فَقَالَ لَهَا الْحُسَيْنُ </w:t>
      </w:r>
      <w:r w:rsidRPr="00071CF9">
        <w:rPr>
          <w:rStyle w:val="libAlaemChar"/>
          <w:rtl/>
        </w:rPr>
        <w:t>عليه‌السلام</w:t>
      </w:r>
      <w:r w:rsidRPr="00132E65">
        <w:rPr>
          <w:rtl/>
          <w:lang w:bidi="fa-IR"/>
        </w:rPr>
        <w:t xml:space="preserve"> : قَدِيماً هَتَكْتِ أَنْتِ وأَبُوكِ حِجَابَ رَسُولِ اللهِ </w:t>
      </w:r>
      <w:r w:rsidRPr="00071CF9">
        <w:rPr>
          <w:rStyle w:val="libAlaemChar"/>
          <w:rtl/>
        </w:rPr>
        <w:t>صلى‌الله‌عليه‌وآله</w:t>
      </w:r>
      <w:r w:rsidRPr="00132E65">
        <w:rPr>
          <w:rtl/>
          <w:lang w:bidi="fa-IR"/>
        </w:rPr>
        <w:t xml:space="preserve"> ، وأَدْخَلْتِ عَلَيْهِ بَيْتَهُ </w:t>
      </w:r>
      <w:r>
        <w:rPr>
          <w:rStyle w:val="libFootnotenumChar"/>
          <w:rtl/>
        </w:rPr>
        <w:t>(1)</w:t>
      </w:r>
      <w:r w:rsidRPr="00132E65">
        <w:rPr>
          <w:rtl/>
          <w:lang w:bidi="fa-IR"/>
        </w:rPr>
        <w:t xml:space="preserve"> مَنْ لَايُحِبُّ قُرْبَهُ ، وإِنَّ اللهَ تَعَالى سَائِلُكِ </w:t>
      </w:r>
      <w:r>
        <w:rPr>
          <w:rStyle w:val="libFootnotenumChar"/>
          <w:rtl/>
        </w:rPr>
        <w:t>(2)</w:t>
      </w:r>
      <w:r w:rsidRPr="00132E65">
        <w:rPr>
          <w:rtl/>
          <w:lang w:bidi="fa-IR"/>
        </w:rPr>
        <w:t xml:space="preserve"> عَنْ ذلِكِ يَا عَائِشَةُ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E57D0">
        <w:rPr>
          <w:rtl/>
        </w:rPr>
        <w:t>783</w:t>
      </w:r>
      <w:r w:rsidRPr="004325D8">
        <w:rPr>
          <w:rStyle w:val="libBold2Char"/>
          <w:rtl/>
        </w:rPr>
        <w:t xml:space="preserve"> / 2.</w:t>
      </w:r>
      <w:r w:rsidRPr="00132E65">
        <w:rPr>
          <w:rtl/>
          <w:lang w:bidi="fa-IR"/>
        </w:rPr>
        <w:t xml:space="preserve"> مُحَمَّدُ بْنُ الْحَسَنِ وعَلِيُّ بْنُ مُحَمَّدٍ ، عَنْ سَهْلِ بْنِ زِيَادٍ ، عَنْ مُحَمَّدِ بْنِ سُلَيْمَانَ الدَّيْلَمِيِّ ، عَنْ بَعْضِ أَصْحَابِنَا ، عَنِ الْمُفَضَّلِ بْنِ عُمَرَ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حَضَرَتِ </w:t>
      </w:r>
      <w:r>
        <w:rPr>
          <w:rStyle w:val="libFootnotenumChar"/>
          <w:rtl/>
        </w:rPr>
        <w:t>(4)</w:t>
      </w:r>
      <w:r w:rsidRPr="00132E65">
        <w:rPr>
          <w:rtl/>
          <w:lang w:bidi="fa-IR"/>
        </w:rPr>
        <w:t xml:space="preserve"> الْحَسَنَ بْنَ عَلِيٍّ </w:t>
      </w:r>
      <w:r w:rsidRPr="00071CF9">
        <w:rPr>
          <w:rStyle w:val="libAlaemChar"/>
          <w:rtl/>
        </w:rPr>
        <w:t>عليهما‌السلام</w:t>
      </w:r>
      <w:r w:rsidRPr="00132E65">
        <w:rPr>
          <w:rtl/>
          <w:lang w:bidi="fa-IR"/>
        </w:rPr>
        <w:t xml:space="preserve"> الْوَفَاةُ ، قَالَ : يَا قَنْبَرُ ، انْظُرْ هَلْ تَرى مِنْ ورَاءِ بَابِكَ مُؤْمِناً مِنْ غَيْرِ آلِ مُحَمَّدٍ </w:t>
      </w:r>
      <w:r w:rsidRPr="00071CF9">
        <w:rPr>
          <w:rStyle w:val="libAlaemChar"/>
          <w:rtl/>
        </w:rPr>
        <w:t>عليهم‌السلام</w:t>
      </w:r>
      <w:r>
        <w:rPr>
          <w:rtl/>
          <w:lang w:bidi="fa-IR"/>
        </w:rPr>
        <w:t>؟</w:t>
      </w:r>
      <w:r w:rsidRPr="00132E65">
        <w:rPr>
          <w:rtl/>
          <w:lang w:bidi="fa-IR"/>
        </w:rPr>
        <w:t xml:space="preserve"> فَقَالَ : اللهُ تَعَالى ورَسُولُهُ وَابْنُ رَسُولِهِ أَعْلَمُ بِهِ </w:t>
      </w:r>
      <w:r>
        <w:rPr>
          <w:rStyle w:val="libFootnotenumChar"/>
          <w:rtl/>
        </w:rPr>
        <w:t>(5)</w:t>
      </w:r>
      <w:r w:rsidRPr="00132E65">
        <w:rPr>
          <w:rtl/>
          <w:lang w:bidi="fa-IR"/>
        </w:rPr>
        <w:t xml:space="preserve"> مِنِّي ، قَالَ : ادْعُ لِي مُحَمَّدَ بْنَ عَلِيٍّ </w:t>
      </w:r>
      <w:r>
        <w:rPr>
          <w:rStyle w:val="libFootnotenumChar"/>
          <w:rtl/>
        </w:rPr>
        <w:t>(6)</w:t>
      </w:r>
      <w:r w:rsidRPr="00132E65">
        <w:rPr>
          <w:rtl/>
          <w:lang w:bidi="fa-IR"/>
        </w:rPr>
        <w:t xml:space="preserve"> ، فَأَتَيْتُهُ فَلَمَّا دَخَلْتُ عَلَيْهِ ، قَالَ </w:t>
      </w:r>
      <w:r>
        <w:rPr>
          <w:rStyle w:val="libFootnotenumChar"/>
          <w:rtl/>
        </w:rPr>
        <w:t>(7)</w:t>
      </w:r>
      <w:r w:rsidRPr="00132E65">
        <w:rPr>
          <w:rtl/>
          <w:lang w:bidi="fa-IR"/>
        </w:rPr>
        <w:t xml:space="preserve"> : هَلْ حَدَثَ إِلاَّ خَيْرٌ</w:t>
      </w:r>
      <w:r>
        <w:rPr>
          <w:rtl/>
          <w:lang w:bidi="fa-IR"/>
        </w:rPr>
        <w:t>؟</w:t>
      </w:r>
      <w:r w:rsidRPr="00132E65">
        <w:rPr>
          <w:rtl/>
          <w:lang w:bidi="fa-IR"/>
        </w:rPr>
        <w:t xml:space="preserve"> قُلْتُ : أَجِبْ أَبَا مُحَمَّدٍ ، فَعَجَّلَ عَلى </w:t>
      </w:r>
      <w:r>
        <w:rPr>
          <w:rStyle w:val="libFootnotenumChar"/>
          <w:rtl/>
        </w:rPr>
        <w:t>(8)</w:t>
      </w:r>
      <w:r w:rsidRPr="00132E65">
        <w:rPr>
          <w:rtl/>
          <w:lang w:bidi="fa-IR"/>
        </w:rPr>
        <w:t xml:space="preserve"> شِسْعِ </w:t>
      </w:r>
      <w:r>
        <w:rPr>
          <w:rStyle w:val="libFootnotenumChar"/>
          <w:rtl/>
        </w:rPr>
        <w:t>(9)</w:t>
      </w:r>
      <w:r w:rsidRPr="00132E65">
        <w:rPr>
          <w:rtl/>
          <w:lang w:bidi="fa-IR"/>
        </w:rPr>
        <w:t xml:space="preserve"> نَعْلِهِ ، فَلَمْ يُسَوِّهِ </w:t>
      </w:r>
      <w:r>
        <w:rPr>
          <w:rStyle w:val="libFootnotenumChar"/>
          <w:rtl/>
        </w:rPr>
        <w:t>(10)</w:t>
      </w:r>
      <w:r w:rsidRPr="00132E65">
        <w:rPr>
          <w:rtl/>
          <w:lang w:bidi="fa-IR"/>
        </w:rPr>
        <w:t xml:space="preserve"> ، وخَرَجَ مَعِي يَعْدُو </w:t>
      </w:r>
      <w:r>
        <w:rPr>
          <w:rStyle w:val="libFootnotenumChar"/>
          <w:rtl/>
        </w:rPr>
        <w:t>(11)</w:t>
      </w:r>
      <w:r w:rsidRPr="00F35268">
        <w:rPr>
          <w:rFonts w:hint="cs"/>
          <w:rtl/>
        </w:rPr>
        <w:t>.</w:t>
      </w:r>
    </w:p>
    <w:p w:rsidR="000C39D1" w:rsidRPr="00132E65" w:rsidRDefault="000C39D1" w:rsidP="000C39D1">
      <w:pPr>
        <w:pStyle w:val="libNormal"/>
        <w:rPr>
          <w:rtl/>
          <w:lang w:bidi="fa-IR"/>
        </w:rPr>
      </w:pPr>
      <w:r w:rsidRPr="00132E65">
        <w:rPr>
          <w:rtl/>
          <w:lang w:bidi="fa-IR"/>
        </w:rPr>
        <w:t xml:space="preserve">فَلَمَّا قَامَ بَيْنَ يَدَيْهِ ، سَلَّمَ ، فَقَالَ لَهُ الْحَسَنُ بْنُ عَلِيٍّ </w:t>
      </w:r>
      <w:r>
        <w:rPr>
          <w:rStyle w:val="libFootnotenumChar"/>
          <w:rtl/>
        </w:rPr>
        <w:t>(12)</w:t>
      </w:r>
      <w:r w:rsidRPr="00132E65">
        <w:rPr>
          <w:rtl/>
          <w:lang w:bidi="fa-IR"/>
        </w:rPr>
        <w:t xml:space="preserve"> </w:t>
      </w:r>
      <w:r w:rsidRPr="00071CF9">
        <w:rPr>
          <w:rStyle w:val="libAlaemChar"/>
          <w:rtl/>
        </w:rPr>
        <w:t>عليهما‌السلام</w:t>
      </w:r>
      <w:r w:rsidRPr="00132E65">
        <w:rPr>
          <w:rtl/>
          <w:lang w:bidi="fa-IR"/>
        </w:rPr>
        <w:t xml:space="preserve"> : اجْلِسْ ؛ فَإِنَّهُ لَيْسَ‌</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بح ، بف » وحاشية « ب ، ج ، ض ، بر » و</w:t>
      </w:r>
      <w:r w:rsidRPr="009D1ACE">
        <w:rPr>
          <w:rStyle w:val="libFootnoteBoldChar"/>
          <w:rtl/>
        </w:rPr>
        <w:t>الوافي</w:t>
      </w:r>
      <w:r w:rsidRPr="00132E65">
        <w:rPr>
          <w:rtl/>
        </w:rPr>
        <w:t xml:space="preserve"> : « على بيته »</w:t>
      </w:r>
      <w:r>
        <w:rPr>
          <w:rtl/>
        </w:rPr>
        <w:t>.</w:t>
      </w:r>
      <w:r w:rsidRPr="00132E65">
        <w:rPr>
          <w:rtl/>
        </w:rPr>
        <w:t xml:space="preserve"> وفي « ه‍ ،</w:t>
      </w:r>
      <w:r>
        <w:rPr>
          <w:rtl/>
        </w:rPr>
        <w:t xml:space="preserve"> و »</w:t>
      </w:r>
      <w:r w:rsidR="007437BB">
        <w:rPr>
          <w:rtl/>
        </w:rPr>
        <w:t xml:space="preserve"> : « أدخلت بيته</w:t>
      </w:r>
      <w:r w:rsidRPr="00132E65">
        <w:rPr>
          <w:rtl/>
        </w:rPr>
        <w:t>»</w:t>
      </w:r>
      <w:r>
        <w:rPr>
          <w:rtl/>
        </w:rPr>
        <w:t>.</w:t>
      </w:r>
    </w:p>
    <w:p w:rsidR="000C39D1" w:rsidRPr="00132E65" w:rsidRDefault="000C39D1" w:rsidP="000C39D1">
      <w:pPr>
        <w:pStyle w:val="libFootnote0"/>
        <w:rPr>
          <w:rtl/>
          <w:lang w:bidi="fa-IR"/>
        </w:rPr>
      </w:pPr>
      <w:r>
        <w:rPr>
          <w:rtl/>
        </w:rPr>
        <w:t>(2).</w:t>
      </w:r>
      <w:r w:rsidRPr="00132E65">
        <w:rPr>
          <w:rtl/>
        </w:rPr>
        <w:t xml:space="preserve"> في حاشية « بر » : « يسألك »</w:t>
      </w:r>
      <w:r>
        <w:rPr>
          <w:rtl/>
        </w:rPr>
        <w:t>.</w:t>
      </w:r>
    </w:p>
    <w:p w:rsidR="000C39D1" w:rsidRPr="00132E65" w:rsidRDefault="000C39D1" w:rsidP="000C39D1">
      <w:pPr>
        <w:pStyle w:val="libFootnote0"/>
        <w:rPr>
          <w:rtl/>
          <w:lang w:bidi="fa-IR"/>
        </w:rPr>
      </w:pPr>
      <w:r>
        <w:rPr>
          <w:rtl/>
        </w:rPr>
        <w:t>(3).</w:t>
      </w:r>
      <w:r w:rsidRPr="00132E65">
        <w:rPr>
          <w:rtl/>
        </w:rPr>
        <w:t xml:space="preserve"> </w:t>
      </w:r>
      <w:r w:rsidRPr="004E57D0">
        <w:rPr>
          <w:rtl/>
        </w:rPr>
        <w:t>الإرشاد</w:t>
      </w:r>
      <w:r w:rsidRPr="00132E65">
        <w:rPr>
          <w:rtl/>
        </w:rPr>
        <w:t xml:space="preserve"> ، ج 2 ، ص 17</w:t>
      </w:r>
      <w:r>
        <w:rPr>
          <w:rFonts w:hint="cs"/>
          <w:rtl/>
        </w:rPr>
        <w:t>.</w:t>
      </w:r>
      <w:r w:rsidRPr="009D1ACE">
        <w:rPr>
          <w:rStyle w:val="libFootnoteBoldChar"/>
          <w:rtl/>
        </w:rPr>
        <w:t>الوافي</w:t>
      </w:r>
      <w:r w:rsidRPr="00132E65">
        <w:rPr>
          <w:rtl/>
        </w:rPr>
        <w:t xml:space="preserve"> ، ج 2 ، ص 339 ، ح 799 ؛ </w:t>
      </w:r>
      <w:r w:rsidRPr="004E57D0">
        <w:rPr>
          <w:rtl/>
        </w:rPr>
        <w:t>الوسائل</w:t>
      </w:r>
      <w:r w:rsidRPr="00132E65">
        <w:rPr>
          <w:rtl/>
        </w:rPr>
        <w:t xml:space="preserve"> ، ج 3 ، ص 163</w:t>
      </w:r>
      <w:r>
        <w:rPr>
          <w:rtl/>
        </w:rPr>
        <w:t xml:space="preserve"> - </w:t>
      </w:r>
      <w:r w:rsidRPr="00132E65">
        <w:rPr>
          <w:rtl/>
        </w:rPr>
        <w:t xml:space="preserve">164 ، ح 3296 </w:t>
      </w:r>
      <w:r>
        <w:rPr>
          <w:rtl/>
        </w:rPr>
        <w:t>و 3</w:t>
      </w:r>
      <w:r w:rsidRPr="00132E65">
        <w:rPr>
          <w:rtl/>
        </w:rPr>
        <w:t xml:space="preserve">298 ، إلى قوله : « ما يعلم الله والناس صنيعها » ؛ وج 11 ، ص 497 ، ح 15362 </w:t>
      </w:r>
      <w:r w:rsidR="007437BB">
        <w:rPr>
          <w:rtl/>
        </w:rPr>
        <w:t>، إلى قوله : « في الإسلام سرجاً</w:t>
      </w:r>
      <w:r w:rsidRPr="00132E65">
        <w:rPr>
          <w:rtl/>
        </w:rPr>
        <w:t xml:space="preserve">» ؛ </w:t>
      </w:r>
      <w:r w:rsidRPr="004E57D0">
        <w:rPr>
          <w:rtl/>
        </w:rPr>
        <w:t>البحار</w:t>
      </w:r>
      <w:r w:rsidRPr="00132E65">
        <w:rPr>
          <w:rtl/>
        </w:rPr>
        <w:t xml:space="preserve"> ، ج 102 ، ص 264 ، ح 1 ، إلى قوله : « ثمّ ردّني فادفنّي بالبقيع »</w:t>
      </w:r>
      <w:r>
        <w:rPr>
          <w:rtl/>
        </w:rPr>
        <w:t>.</w:t>
      </w:r>
    </w:p>
    <w:p w:rsidR="000C39D1" w:rsidRDefault="000C39D1" w:rsidP="007437BB">
      <w:pPr>
        <w:pStyle w:val="libFootnote0"/>
        <w:rPr>
          <w:rtl/>
        </w:rPr>
      </w:pPr>
      <w:r>
        <w:rPr>
          <w:rtl/>
        </w:rPr>
        <w:t>(4).</w:t>
      </w:r>
      <w:r w:rsidRPr="00132E65">
        <w:rPr>
          <w:rtl/>
        </w:rPr>
        <w:t xml:space="preserve"> في « ه‍ </w:t>
      </w:r>
      <w:r w:rsidR="007437BB" w:rsidRPr="00132E65">
        <w:rPr>
          <w:rtl/>
        </w:rPr>
        <w:t>»</w:t>
      </w:r>
      <w:r w:rsidRPr="00132E65">
        <w:rPr>
          <w:rtl/>
        </w:rPr>
        <w:t xml:space="preserve"> و</w:t>
      </w:r>
      <w:r w:rsidRPr="009D1ACE">
        <w:rPr>
          <w:rStyle w:val="libFootnoteBoldChar"/>
          <w:rtl/>
        </w:rPr>
        <w:t>الوافي</w:t>
      </w:r>
      <w:r w:rsidRPr="00132E65">
        <w:rPr>
          <w:rtl/>
        </w:rPr>
        <w:t xml:space="preserve"> : « حضر »</w:t>
      </w:r>
      <w:r>
        <w:rPr>
          <w:rtl/>
        </w:rPr>
        <w:t>.</w:t>
      </w:r>
      <w:r w:rsidRPr="00132E65">
        <w:rPr>
          <w:rtl/>
        </w:rPr>
        <w:t xml:space="preserve"> </w:t>
      </w:r>
    </w:p>
    <w:p w:rsidR="000C39D1" w:rsidRPr="00132E65" w:rsidRDefault="000C39D1" w:rsidP="007437BB">
      <w:pPr>
        <w:pStyle w:val="libFootnote0"/>
        <w:rPr>
          <w:rtl/>
          <w:lang w:bidi="fa-IR"/>
        </w:rPr>
      </w:pPr>
      <w:r>
        <w:rPr>
          <w:rtl/>
        </w:rPr>
        <w:t>(5).</w:t>
      </w:r>
      <w:r w:rsidRPr="00132E65">
        <w:rPr>
          <w:rtl/>
        </w:rPr>
        <w:t xml:space="preserve"> في « ب ، ه‍ </w:t>
      </w:r>
      <w:r w:rsidR="007437BB" w:rsidRPr="00132E65">
        <w:rPr>
          <w:rtl/>
        </w:rPr>
        <w:t>»</w:t>
      </w:r>
      <w:r w:rsidRPr="00132E65">
        <w:rPr>
          <w:rtl/>
        </w:rPr>
        <w:t xml:space="preserve"> </w:t>
      </w:r>
      <w:r>
        <w:rPr>
          <w:rtl/>
        </w:rPr>
        <w:t xml:space="preserve">: - </w:t>
      </w:r>
      <w:r w:rsidRPr="00132E65">
        <w:rPr>
          <w:rtl/>
        </w:rPr>
        <w:t>« به »</w:t>
      </w:r>
      <w:r>
        <w:rPr>
          <w:rtl/>
        </w:rPr>
        <w:t>.</w:t>
      </w:r>
    </w:p>
    <w:p w:rsidR="000C39D1" w:rsidRDefault="000C39D1" w:rsidP="000C39D1">
      <w:pPr>
        <w:pStyle w:val="libFootnote0"/>
        <w:rPr>
          <w:rtl/>
        </w:rPr>
      </w:pPr>
      <w:r>
        <w:rPr>
          <w:rtl/>
        </w:rPr>
        <w:t>(6).</w:t>
      </w:r>
      <w:r w:rsidRPr="00132E65">
        <w:rPr>
          <w:rtl/>
        </w:rPr>
        <w:t xml:space="preserve"> في </w:t>
      </w:r>
      <w:r w:rsidRPr="009D1ACE">
        <w:rPr>
          <w:rStyle w:val="libFootnoteBoldChar"/>
          <w:rtl/>
        </w:rPr>
        <w:t>الوافي</w:t>
      </w:r>
      <w:r w:rsidRPr="00132E65">
        <w:rPr>
          <w:rtl/>
        </w:rPr>
        <w:t xml:space="preserve"> : « محمّد بن عليّ ، يعني به أخاه ابن الحنفيّة »</w:t>
      </w:r>
      <w:r>
        <w:rPr>
          <w:rtl/>
        </w:rPr>
        <w:t>.</w:t>
      </w:r>
      <w:r w:rsidRPr="00132E65">
        <w:rPr>
          <w:rtl/>
        </w:rPr>
        <w:t xml:space="preserve"> </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بح » : « فقال </w:t>
            </w:r>
            <w:r w:rsidR="007437BB" w:rsidRPr="00132E65">
              <w:rPr>
                <w:rtl/>
              </w:rPr>
              <w:t>»</w:t>
            </w:r>
            <w:r>
              <w:rPr>
                <w:rtl/>
              </w:rPr>
              <w:t>.</w:t>
            </w:r>
          </w:p>
        </w:tc>
        <w:tc>
          <w:tcPr>
            <w:tcW w:w="4006" w:type="dxa"/>
          </w:tcPr>
          <w:p w:rsidR="000C39D1" w:rsidRDefault="000C39D1" w:rsidP="00B53873">
            <w:pPr>
              <w:pStyle w:val="libFootnote0"/>
              <w:rPr>
                <w:rtl/>
              </w:rPr>
            </w:pPr>
            <w:r>
              <w:rPr>
                <w:rtl/>
              </w:rPr>
              <w:t>(8).</w:t>
            </w:r>
            <w:r w:rsidRPr="00132E65">
              <w:rPr>
                <w:rtl/>
              </w:rPr>
              <w:t xml:space="preserve"> في « بس » و</w:t>
            </w:r>
            <w:r w:rsidRPr="009D1ACE">
              <w:rPr>
                <w:rStyle w:val="libFootnoteBoldChar"/>
                <w:rtl/>
              </w:rPr>
              <w:t>الوافي</w:t>
            </w:r>
            <w:r w:rsidRPr="00132E65">
              <w:rPr>
                <w:rtl/>
              </w:rPr>
              <w:t xml:space="preserve"> : « عن »</w:t>
            </w:r>
            <w:r>
              <w:rPr>
                <w:rtl/>
              </w:rPr>
              <w:t>.</w:t>
            </w:r>
          </w:p>
        </w:tc>
      </w:tr>
    </w:tbl>
    <w:p w:rsidR="000C39D1" w:rsidRPr="00132E65" w:rsidRDefault="000C39D1" w:rsidP="000C39D1">
      <w:pPr>
        <w:pStyle w:val="libFootnote0"/>
        <w:rPr>
          <w:rtl/>
          <w:lang w:bidi="fa-IR"/>
        </w:rPr>
      </w:pPr>
      <w:r>
        <w:rPr>
          <w:rtl/>
        </w:rPr>
        <w:t>(9).</w:t>
      </w:r>
      <w:r w:rsidRPr="00132E65">
        <w:rPr>
          <w:rtl/>
        </w:rPr>
        <w:t xml:space="preserve"> قال ابن الأثير : « الشِسْعُ : أحد سُيور النعل ، وهو الذي يُدْخَل بين الأصبَعَين ، ويُدْخَلُ طَرَفه في الثقب الذي في صدر النعل المشدود في الزِمام ، والزِمامُ السَيْر الذي يُعْقَدُ فيه الشسْعُ »</w:t>
      </w:r>
      <w:r>
        <w:rPr>
          <w:rtl/>
        </w:rPr>
        <w:t>.</w:t>
      </w:r>
      <w:r w:rsidRPr="00132E65">
        <w:rPr>
          <w:rtl/>
        </w:rPr>
        <w:t xml:space="preserve"> </w:t>
      </w:r>
      <w:r w:rsidRPr="004E57D0">
        <w:rPr>
          <w:rtl/>
        </w:rPr>
        <w:t>النهاية</w:t>
      </w:r>
      <w:r w:rsidRPr="00132E65">
        <w:rPr>
          <w:rtl/>
        </w:rPr>
        <w:t xml:space="preserve"> ، ج 2 ، ص 472 ( شسع )</w:t>
      </w:r>
      <w:r>
        <w:rPr>
          <w:rtl/>
        </w:rPr>
        <w:t>.</w:t>
      </w:r>
    </w:p>
    <w:p w:rsidR="000C39D1" w:rsidRPr="00132E65" w:rsidRDefault="000C39D1" w:rsidP="000C39D1">
      <w:pPr>
        <w:pStyle w:val="libFootnote0"/>
        <w:rPr>
          <w:rtl/>
          <w:lang w:bidi="fa-IR"/>
        </w:rPr>
      </w:pPr>
      <w:r>
        <w:rPr>
          <w:rtl/>
        </w:rPr>
        <w:t>(10).</w:t>
      </w:r>
      <w:r w:rsidRPr="00132E65">
        <w:rPr>
          <w:rtl/>
        </w:rPr>
        <w:t xml:space="preserve"> في « ج » : « فلم يسوّ نعله »</w:t>
      </w:r>
      <w:r>
        <w:rPr>
          <w:rtl/>
        </w:rPr>
        <w:t>.</w:t>
      </w:r>
    </w:p>
    <w:p w:rsidR="000C39D1" w:rsidRPr="00132E65" w:rsidRDefault="000C39D1" w:rsidP="000C39D1">
      <w:pPr>
        <w:pStyle w:val="libFootnote0"/>
        <w:rPr>
          <w:rtl/>
          <w:lang w:bidi="fa-IR"/>
        </w:rPr>
      </w:pPr>
      <w:r>
        <w:rPr>
          <w:rtl/>
        </w:rPr>
        <w:t>(11).</w:t>
      </w:r>
      <w:r w:rsidRPr="00132E65">
        <w:rPr>
          <w:rtl/>
        </w:rPr>
        <w:t xml:space="preserve"> قال الفيّومي : « عَدا في مَشية عَدْواً ، من باب قال أيضاً : قارب الهَرْوَلَة وهو دون الجَرْي »</w:t>
      </w:r>
      <w:r>
        <w:rPr>
          <w:rtl/>
        </w:rPr>
        <w:t>.</w:t>
      </w:r>
      <w:r w:rsidRPr="00132E65">
        <w:rPr>
          <w:rtl/>
        </w:rPr>
        <w:t xml:space="preserve"> </w:t>
      </w:r>
      <w:r w:rsidRPr="004E57D0">
        <w:rPr>
          <w:rtl/>
        </w:rPr>
        <w:t>المصباح المنير</w:t>
      </w:r>
      <w:r w:rsidRPr="00132E65">
        <w:rPr>
          <w:rtl/>
        </w:rPr>
        <w:t xml:space="preserve"> ، ص 397 ( عدو )</w:t>
      </w:r>
      <w:r>
        <w:rPr>
          <w:rtl/>
        </w:rPr>
        <w:t>.</w:t>
      </w:r>
      <w:r>
        <w:rPr>
          <w:rFonts w:hint="cs"/>
          <w:rtl/>
        </w:rPr>
        <w:t xml:space="preserve">                               </w:t>
      </w:r>
      <w:r w:rsidR="007437BB">
        <w:rPr>
          <w:rFonts w:hint="cs"/>
          <w:rtl/>
        </w:rPr>
        <w:t xml:space="preserve">           </w:t>
      </w:r>
      <w:r>
        <w:rPr>
          <w:rFonts w:hint="cs"/>
          <w:rtl/>
        </w:rPr>
        <w:t xml:space="preserve">     </w:t>
      </w:r>
      <w:r>
        <w:rPr>
          <w:rtl/>
        </w:rPr>
        <w:t>(12).</w:t>
      </w:r>
      <w:r w:rsidRPr="00132E65">
        <w:rPr>
          <w:rtl/>
        </w:rPr>
        <w:t xml:space="preserve"> في « ب ، ف ، ه‍ » و</w:t>
      </w:r>
      <w:r w:rsidRPr="009D1ACE">
        <w:rPr>
          <w:rStyle w:val="libFootnoteBoldChar"/>
          <w:rtl/>
        </w:rPr>
        <w:t>الوافي</w:t>
      </w:r>
      <w:r w:rsidRPr="00132E65">
        <w:rPr>
          <w:rtl/>
        </w:rPr>
        <w:t xml:space="preserve"> </w:t>
      </w:r>
      <w:r>
        <w:rPr>
          <w:rtl/>
        </w:rPr>
        <w:t xml:space="preserve">: - </w:t>
      </w:r>
      <w:r w:rsidRPr="00132E65">
        <w:rPr>
          <w:rtl/>
        </w:rPr>
        <w:t>« بن عليّ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lastRenderedPageBreak/>
        <w:t xml:space="preserve">مِثْلُكَ يَغِيبُ عَنْ سَمَاعِ كَلَامٍ </w:t>
      </w:r>
      <w:r>
        <w:rPr>
          <w:rStyle w:val="libFootnotenumChar"/>
          <w:rtl/>
        </w:rPr>
        <w:t>(1)</w:t>
      </w:r>
      <w:r w:rsidRPr="00132E65">
        <w:rPr>
          <w:rtl/>
          <w:lang w:bidi="fa-IR"/>
        </w:rPr>
        <w:t xml:space="preserve"> يَحْيَا </w:t>
      </w:r>
      <w:r>
        <w:rPr>
          <w:rStyle w:val="libFootnotenumChar"/>
          <w:rtl/>
        </w:rPr>
        <w:t>(2)</w:t>
      </w:r>
      <w:r w:rsidRPr="00132E65">
        <w:rPr>
          <w:rtl/>
          <w:lang w:bidi="fa-IR"/>
        </w:rPr>
        <w:t xml:space="preserve"> بِهِ الْأَمْوَاتُ ، ويَمُوتُ </w:t>
      </w:r>
      <w:r>
        <w:rPr>
          <w:rStyle w:val="libFootnotenumChar"/>
          <w:rtl/>
        </w:rPr>
        <w:t>(3)</w:t>
      </w:r>
      <w:r w:rsidRPr="00132E65">
        <w:rPr>
          <w:rtl/>
          <w:lang w:bidi="fa-IR"/>
        </w:rPr>
        <w:t xml:space="preserve"> بِهِ الْأَحْيَاءُ ، كُونُوا أَوْعِيَةَ الْعِلْمِ ومَصَابِيحَ الْهُدى ؛ فَإِنَّ ضَوْءَ النَّهَارِ بَعْضُهُ أَضْوَأُ مِنْ بَعْضٍ.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Pr>
          <w:rtl/>
          <w:lang w:bidi="fa-IR"/>
        </w:rPr>
        <w:t>أَ</w:t>
      </w:r>
      <w:r w:rsidRPr="00132E65">
        <w:rPr>
          <w:rtl/>
          <w:lang w:bidi="fa-IR"/>
        </w:rPr>
        <w:t>مَا عَلِمْتَ أَنَّ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جَعَلَ ولْدَ إِبْرَاهِيمَ </w:t>
      </w:r>
      <w:r w:rsidRPr="00071CF9">
        <w:rPr>
          <w:rStyle w:val="libAlaemChar"/>
          <w:rtl/>
        </w:rPr>
        <w:t>عليه‌السلام</w:t>
      </w:r>
      <w:r w:rsidRPr="00132E65">
        <w:rPr>
          <w:rtl/>
          <w:lang w:bidi="fa-IR"/>
        </w:rPr>
        <w:t xml:space="preserve"> أَئِمَّةً ، وفَضَّلَ بَعْضَهُمْ عَلى بَعْضٍ ، وآتى دَاوُدَ </w:t>
      </w:r>
      <w:r w:rsidRPr="00071CF9">
        <w:rPr>
          <w:rStyle w:val="libAlaemChar"/>
          <w:rtl/>
        </w:rPr>
        <w:t>عليه‌السلام</w:t>
      </w:r>
      <w:r w:rsidRPr="00132E65">
        <w:rPr>
          <w:rtl/>
          <w:lang w:bidi="fa-IR"/>
        </w:rPr>
        <w:t xml:space="preserve"> زَبُوراً ، وقَدْ عَلِمْتَ بِمَا اسْتَأْثَرَ </w:t>
      </w:r>
      <w:r>
        <w:rPr>
          <w:rStyle w:val="libFootnotenumChar"/>
          <w:rtl/>
        </w:rPr>
        <w:t>(5)</w:t>
      </w:r>
      <w:r w:rsidRPr="00132E65">
        <w:rPr>
          <w:rtl/>
          <w:lang w:bidi="fa-IR"/>
        </w:rPr>
        <w:t xml:space="preserve"> بِهِ مُحَمَّداً </w:t>
      </w:r>
      <w:r w:rsidRPr="00071CF9">
        <w:rPr>
          <w:rStyle w:val="libAlaemChar"/>
          <w:rtl/>
        </w:rPr>
        <w:t>صلى‌الله‌عليه‌وآله</w:t>
      </w:r>
      <w:r w:rsidRPr="00132E65">
        <w:rPr>
          <w:rtl/>
          <w:lang w:bidi="fa-IR"/>
        </w:rPr>
        <w:t>.</w:t>
      </w:r>
    </w:p>
    <w:p w:rsidR="000C39D1" w:rsidRPr="00132E65" w:rsidRDefault="000C39D1" w:rsidP="000C39D1">
      <w:pPr>
        <w:pStyle w:val="libNormal"/>
        <w:rPr>
          <w:rtl/>
          <w:lang w:bidi="fa-IR"/>
        </w:rPr>
      </w:pPr>
      <w:r w:rsidRPr="00132E65">
        <w:rPr>
          <w:rtl/>
          <w:lang w:bidi="fa-IR"/>
        </w:rPr>
        <w:t xml:space="preserve">يَا مُحَمَّدَ بْنَ عَلِيٍّ </w:t>
      </w:r>
      <w:r>
        <w:rPr>
          <w:rStyle w:val="libFootnotenumChar"/>
          <w:rtl/>
        </w:rPr>
        <w:t>(6)</w:t>
      </w:r>
      <w:r w:rsidRPr="00132E65">
        <w:rPr>
          <w:rtl/>
          <w:lang w:bidi="fa-IR"/>
        </w:rPr>
        <w:t xml:space="preserve"> ، إِنِّي أَخَافُ </w:t>
      </w:r>
      <w:r>
        <w:rPr>
          <w:rStyle w:val="libFootnotenumChar"/>
          <w:rtl/>
        </w:rPr>
        <w:t>(7)</w:t>
      </w:r>
      <w:r w:rsidRPr="00132E65">
        <w:rPr>
          <w:rtl/>
          <w:lang w:bidi="fa-IR"/>
        </w:rPr>
        <w:t xml:space="preserve"> عَلَيْكَ الْحَسَدَ ، وإِنَّمَا وصَفَ اللهُ بِهِ الْكَافِرِينَ ، فَقَالَ اللهُ عَزَّ وجَلَّ : </w:t>
      </w:r>
      <w:r w:rsidRPr="00071CF9">
        <w:rPr>
          <w:rStyle w:val="libAlaemChar"/>
          <w:rtl/>
        </w:rPr>
        <w:t>(</w:t>
      </w:r>
      <w:r w:rsidRPr="00071CF9">
        <w:rPr>
          <w:rStyle w:val="libAieChar"/>
          <w:rtl/>
        </w:rPr>
        <w:t xml:space="preserve"> كُفّاراً حَسَداً مِنْ عِنْدِ أَنْفُسِهِمْ مِنْ بَعْدِ ما تَبَيَّنَ لَهُمُ الْحَقُّ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ولَمْ يَجْعَلِ اللهُ</w:t>
      </w:r>
      <w:r>
        <w:rPr>
          <w:rtl/>
          <w:lang w:bidi="fa-IR"/>
        </w:rPr>
        <w:t xml:space="preserve"> - </w:t>
      </w:r>
      <w:r w:rsidRPr="00132E65">
        <w:rPr>
          <w:rtl/>
          <w:lang w:bidi="fa-IR"/>
        </w:rPr>
        <w:t>عَزَّ وَجَلَّ</w:t>
      </w:r>
      <w:r>
        <w:rPr>
          <w:rtl/>
          <w:lang w:bidi="fa-IR"/>
        </w:rPr>
        <w:t xml:space="preserve"> - </w:t>
      </w:r>
      <w:r w:rsidRPr="00132E65">
        <w:rPr>
          <w:rtl/>
          <w:lang w:bidi="fa-IR"/>
        </w:rPr>
        <w:t>لِلشَّيْطَانِ عَلَيْكَ سُلْطَاناً.</w:t>
      </w:r>
    </w:p>
    <w:p w:rsidR="000C39D1" w:rsidRPr="00132E65" w:rsidRDefault="000C39D1" w:rsidP="000C39D1">
      <w:pPr>
        <w:pStyle w:val="libNormal"/>
        <w:rPr>
          <w:rtl/>
          <w:lang w:bidi="fa-IR"/>
        </w:rPr>
      </w:pPr>
      <w:r>
        <w:rPr>
          <w:rtl/>
          <w:lang w:bidi="fa-IR"/>
        </w:rPr>
        <w:t>يَا مُحَمَّدَ بْنَ عَلِيٍّ ، أَ</w:t>
      </w:r>
      <w:r w:rsidRPr="00132E65">
        <w:rPr>
          <w:rtl/>
          <w:lang w:bidi="fa-IR"/>
        </w:rPr>
        <w:t>لَا</w:t>
      </w:r>
      <w:r>
        <w:rPr>
          <w:rFonts w:hint="cs"/>
          <w:rtl/>
          <w:lang w:bidi="fa-IR"/>
        </w:rPr>
        <w:t xml:space="preserve"> </w:t>
      </w:r>
      <w:r w:rsidRPr="00132E65">
        <w:rPr>
          <w:rtl/>
          <w:lang w:bidi="fa-IR"/>
        </w:rPr>
        <w:t>أُخْبِرُكَ بِمَا سَمِعْتُ مِنْ أَبِيكَ فِيكَ</w:t>
      </w:r>
      <w:r>
        <w:rPr>
          <w:rtl/>
          <w:lang w:bidi="fa-IR"/>
        </w:rPr>
        <w:t>؟</w:t>
      </w:r>
      <w:r w:rsidRPr="00132E65">
        <w:rPr>
          <w:rtl/>
          <w:lang w:bidi="fa-IR"/>
        </w:rPr>
        <w:t xml:space="preserve"> قَالَ : بَلى ، قَالَ : سَمِعْتُ أَبَاكَ </w:t>
      </w:r>
      <w:r w:rsidRPr="00071CF9">
        <w:rPr>
          <w:rStyle w:val="libAlaemChar"/>
          <w:rtl/>
        </w:rPr>
        <w:t>عليه‌السلام</w:t>
      </w:r>
      <w:r w:rsidRPr="00132E65">
        <w:rPr>
          <w:rtl/>
          <w:lang w:bidi="fa-IR"/>
        </w:rPr>
        <w:t xml:space="preserve"> يَقُولُ يَوْمَ الْبَصْرَةِ </w:t>
      </w:r>
      <w:r>
        <w:rPr>
          <w:rStyle w:val="libFootnotenumChar"/>
          <w:rtl/>
        </w:rPr>
        <w:t>(9)</w:t>
      </w:r>
      <w:r w:rsidRPr="00132E65">
        <w:rPr>
          <w:rtl/>
          <w:lang w:bidi="fa-IR"/>
        </w:rPr>
        <w:t xml:space="preserve"> : مَنْ أَحَبَّ أَنْ يَبَرَّنِي </w:t>
      </w:r>
      <w:r>
        <w:rPr>
          <w:rStyle w:val="libFootnotenumChar"/>
          <w:rtl/>
        </w:rPr>
        <w:t>(10)</w:t>
      </w:r>
      <w:r w:rsidRPr="00132E65">
        <w:rPr>
          <w:rtl/>
          <w:lang w:bidi="fa-IR"/>
        </w:rPr>
        <w:t xml:space="preserve"> فِي الدُّنْيَا والْآخِرَةِ ، فَلْيَبَرَّ مُحَمَّداً وَلَدِي </w:t>
      </w:r>
      <w:r>
        <w:rPr>
          <w:rStyle w:val="libFootnotenumChar"/>
          <w:rtl/>
        </w:rPr>
        <w:t>(11)</w:t>
      </w:r>
      <w:r w:rsidRPr="00BE3D93">
        <w:rPr>
          <w:rFonts w:hint="cs"/>
          <w:rtl/>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ألف ، ج ، ض ، بح ، بس » وحاشية « بر » : « أن يسمع كلاماً »</w:t>
      </w:r>
      <w:r>
        <w:rPr>
          <w:rtl/>
        </w:rPr>
        <w:t>.</w:t>
      </w:r>
    </w:p>
    <w:p w:rsidR="000C39D1" w:rsidRPr="00132E65" w:rsidRDefault="000C39D1" w:rsidP="000C39D1">
      <w:pPr>
        <w:pStyle w:val="libFootnote0"/>
        <w:rPr>
          <w:rtl/>
          <w:lang w:bidi="fa-IR"/>
        </w:rPr>
      </w:pPr>
      <w:r>
        <w:rPr>
          <w:rtl/>
        </w:rPr>
        <w:t>(2).</w:t>
      </w:r>
      <w:r w:rsidRPr="00132E65">
        <w:rPr>
          <w:rtl/>
        </w:rPr>
        <w:t xml:space="preserve"> في « ض ، ف ، ه‍ ، و، بف » : « تحيا »</w:t>
      </w:r>
      <w:r>
        <w:rPr>
          <w:rtl/>
        </w:rPr>
        <w:t>.</w:t>
      </w:r>
      <w:r w:rsidRPr="00132E65">
        <w:rPr>
          <w:rtl/>
        </w:rPr>
        <w:t xml:space="preserve"> وفي </w:t>
      </w:r>
      <w:r w:rsidRPr="009D1ACE">
        <w:rPr>
          <w:rStyle w:val="libFootnoteBoldChar"/>
          <w:rtl/>
        </w:rPr>
        <w:t>الوافي</w:t>
      </w:r>
      <w:r w:rsidRPr="00132E65">
        <w:rPr>
          <w:rtl/>
        </w:rPr>
        <w:t xml:space="preserve"> : « يحيى به الأموات ، أي أموات الجهل. ويموت به الأحياء ، أي بالموت الإرادي عن لذّات هذه النشأة ، الذي هو حياة ا</w:t>
      </w:r>
      <w:r>
        <w:rPr>
          <w:rFonts w:hint="cs"/>
          <w:rtl/>
        </w:rPr>
        <w:t>ُ</w:t>
      </w:r>
      <w:r w:rsidRPr="00132E65">
        <w:rPr>
          <w:rtl/>
        </w:rPr>
        <w:t>خرويّة في دارالدنيا »</w:t>
      </w:r>
      <w:r>
        <w:rPr>
          <w:rtl/>
        </w:rPr>
        <w:t>.</w:t>
      </w:r>
    </w:p>
    <w:p w:rsidR="000C39D1" w:rsidRPr="00132E65" w:rsidRDefault="000C39D1" w:rsidP="000C39D1">
      <w:pPr>
        <w:pStyle w:val="libFootnote0"/>
        <w:rPr>
          <w:rtl/>
          <w:lang w:bidi="fa-IR"/>
        </w:rPr>
      </w:pPr>
      <w:r>
        <w:rPr>
          <w:rtl/>
        </w:rPr>
        <w:t>(3).</w:t>
      </w:r>
      <w:r w:rsidRPr="00132E65">
        <w:rPr>
          <w:rtl/>
        </w:rPr>
        <w:t xml:space="preserve"> في « ألف ، ب ، ج ، ض ، ف ، بح ، بر ، بف » : « تموت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يعني لاتستنكفوا من التعلّم وإن كنتم علماء ؛ فإنّ فوق كلّ ذي علم عليم »</w:t>
      </w:r>
      <w:r>
        <w:rPr>
          <w:rtl/>
        </w:rPr>
        <w:t>.</w:t>
      </w:r>
    </w:p>
    <w:p w:rsidR="000C39D1" w:rsidRPr="00132E65" w:rsidRDefault="000C39D1" w:rsidP="000C39D1">
      <w:pPr>
        <w:pStyle w:val="libFootnote0"/>
        <w:rPr>
          <w:rtl/>
          <w:lang w:bidi="fa-IR"/>
        </w:rPr>
      </w:pPr>
      <w:r>
        <w:rPr>
          <w:rtl/>
        </w:rPr>
        <w:t>(5).</w:t>
      </w:r>
      <w:r w:rsidRPr="00132E65">
        <w:rPr>
          <w:rtl/>
        </w:rPr>
        <w:t xml:space="preserve"> في « ب ، ف ، بف » وحاشية « ض ، بح ، بر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w:t>
      </w:r>
      <w:r>
        <w:rPr>
          <w:rtl/>
        </w:rPr>
        <w:t xml:space="preserve"> + </w:t>
      </w:r>
      <w:r w:rsidRPr="00132E65">
        <w:rPr>
          <w:rtl/>
        </w:rPr>
        <w:t>« الله »</w:t>
      </w:r>
      <w:r>
        <w:rPr>
          <w:rtl/>
        </w:rPr>
        <w:t>.</w:t>
      </w:r>
      <w:r w:rsidRPr="00132E65">
        <w:rPr>
          <w:rtl/>
        </w:rPr>
        <w:t xml:space="preserve"> وقال الراغب : « الاستئثار : التفرّد بالشي‌ء دون غيره ، وقولُهم : استأثر الله بفلان كنايةً عن موته ، تنبيهٌ على أنّه ممّن اصطفاه وتفرّد تعالى به من دون الورى تشريفاً له »</w:t>
      </w:r>
      <w:r>
        <w:rPr>
          <w:rtl/>
        </w:rPr>
        <w:t>.</w:t>
      </w:r>
      <w:r w:rsidRPr="00132E65">
        <w:rPr>
          <w:rtl/>
        </w:rPr>
        <w:t xml:space="preserve"> وقال المجلسي : « وقد علمت بما استأثر الله به ، الباء لتقوية التعدية ، وليس « به » في </w:t>
      </w:r>
      <w:r w:rsidRPr="004E57D0">
        <w:rPr>
          <w:rtl/>
        </w:rPr>
        <w:t>إعلام الورى</w:t>
      </w:r>
      <w:r w:rsidRPr="00132E65">
        <w:rPr>
          <w:rtl/>
        </w:rPr>
        <w:t xml:space="preserve"> [ ص 216 ] وهو أظهر. والاستيثار : التفضيل »</w:t>
      </w:r>
      <w:r>
        <w:rPr>
          <w:rtl/>
        </w:rPr>
        <w:t>.</w:t>
      </w:r>
      <w:r w:rsidRPr="00132E65">
        <w:rPr>
          <w:rtl/>
        </w:rPr>
        <w:t xml:space="preserve"> راجع : </w:t>
      </w:r>
      <w:r w:rsidRPr="004E57D0">
        <w:rPr>
          <w:rtl/>
        </w:rPr>
        <w:t>المفردات</w:t>
      </w:r>
      <w:r w:rsidRPr="00132E65">
        <w:rPr>
          <w:rtl/>
        </w:rPr>
        <w:t xml:space="preserve"> للراغب ، ص 62 ( أثر ) ؛ </w:t>
      </w:r>
      <w:r w:rsidRPr="009D1ACE">
        <w:rPr>
          <w:rStyle w:val="libFootnoteBoldChar"/>
          <w:rtl/>
        </w:rPr>
        <w:t>مرآة العقول</w:t>
      </w:r>
      <w:r w:rsidRPr="00132E65">
        <w:rPr>
          <w:rtl/>
        </w:rPr>
        <w:t xml:space="preserve"> ، ج 3 ، ص 308.</w:t>
      </w:r>
      <w:r>
        <w:rPr>
          <w:rFonts w:hint="cs"/>
          <w:rtl/>
        </w:rPr>
        <w:t xml:space="preserve">                   </w:t>
      </w:r>
      <w:r w:rsidR="007437BB">
        <w:rPr>
          <w:rFonts w:hint="cs"/>
          <w:rtl/>
        </w:rPr>
        <w:t xml:space="preserve">                       </w:t>
      </w:r>
      <w:r>
        <w:rPr>
          <w:rFonts w:hint="cs"/>
          <w:rtl/>
        </w:rPr>
        <w:t xml:space="preserve">      </w:t>
      </w:r>
      <w:r>
        <w:rPr>
          <w:rtl/>
        </w:rPr>
        <w:t>(6).</w:t>
      </w:r>
      <w:r w:rsidRPr="00132E65">
        <w:rPr>
          <w:rtl/>
        </w:rPr>
        <w:t xml:space="preserve"> في « بس »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ج 3 ، ص 308 : « في إعلام الورى : إنّي لا أخاف ، وهو أظهر وأنسب بحال المخاطَب بل المخاطِب أيضاً »</w:t>
      </w:r>
      <w:r>
        <w:rPr>
          <w:rtl/>
        </w:rPr>
        <w:t>.</w:t>
      </w:r>
      <w:r w:rsidRPr="00132E65">
        <w:rPr>
          <w:rtl/>
        </w:rPr>
        <w:t xml:space="preserve"> وفي إعلام الورى المطبوع ، ص 216 : « إنّي أخاف » كما في </w:t>
      </w:r>
      <w:r w:rsidRPr="000577A7">
        <w:rPr>
          <w:rStyle w:val="libFootnoteBoldChar"/>
          <w:rtl/>
        </w:rPr>
        <w:t>الكافي</w:t>
      </w:r>
      <w:r w:rsidRPr="00132E65">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البقرة </w:t>
            </w:r>
            <w:r>
              <w:rPr>
                <w:rtl/>
              </w:rPr>
              <w:t>(2).</w:t>
            </w:r>
            <w:r w:rsidRPr="00132E65">
              <w:rPr>
                <w:rtl/>
              </w:rPr>
              <w:t>: 109.</w:t>
            </w:r>
          </w:p>
        </w:tc>
        <w:tc>
          <w:tcPr>
            <w:tcW w:w="4006" w:type="dxa"/>
          </w:tcPr>
          <w:p w:rsidR="000C39D1" w:rsidRDefault="000C39D1" w:rsidP="00B53873">
            <w:pPr>
              <w:pStyle w:val="libFootnote0"/>
              <w:rPr>
                <w:rtl/>
              </w:rPr>
            </w:pPr>
            <w:r>
              <w:rPr>
                <w:rtl/>
              </w:rPr>
              <w:t>(9).</w:t>
            </w:r>
            <w:r w:rsidRPr="00132E65">
              <w:rPr>
                <w:rtl/>
              </w:rPr>
              <w:t xml:space="preserve"> في « ج » : « يوم الظلّة »</w:t>
            </w:r>
            <w:r>
              <w:rPr>
                <w:rtl/>
              </w:rPr>
              <w:t>.</w:t>
            </w:r>
          </w:p>
        </w:tc>
      </w:tr>
    </w:tbl>
    <w:p w:rsidR="000C39D1" w:rsidRPr="00132E65" w:rsidRDefault="000C39D1" w:rsidP="000C39D1">
      <w:pPr>
        <w:pStyle w:val="libFootnote0"/>
        <w:rPr>
          <w:rtl/>
          <w:lang w:bidi="fa-IR"/>
        </w:rPr>
      </w:pPr>
      <w:r>
        <w:rPr>
          <w:rtl/>
        </w:rPr>
        <w:t>(10).</w:t>
      </w:r>
      <w:r w:rsidRPr="00132E65">
        <w:rPr>
          <w:rtl/>
        </w:rPr>
        <w:t xml:space="preserve"> « أن يَبَرَّني » ، من البِرّ بمعنى الإحسان والإطاعة والإتيان بالحقوق. راجع : </w:t>
      </w:r>
      <w:r w:rsidRPr="004E57D0">
        <w:rPr>
          <w:rtl/>
        </w:rPr>
        <w:t>المصباح المنير</w:t>
      </w:r>
      <w:r w:rsidRPr="00132E65">
        <w:rPr>
          <w:rtl/>
        </w:rPr>
        <w:t xml:space="preserve"> ، ص 43 ( برر )</w:t>
      </w:r>
      <w:r>
        <w:rPr>
          <w:rtl/>
        </w:rPr>
        <w:t>.</w:t>
      </w:r>
    </w:p>
    <w:p w:rsidR="000C39D1" w:rsidRPr="00132E65" w:rsidRDefault="000C39D1" w:rsidP="000C39D1">
      <w:pPr>
        <w:pStyle w:val="libFootnote0"/>
        <w:rPr>
          <w:rtl/>
          <w:lang w:bidi="fa-IR"/>
        </w:rPr>
      </w:pPr>
      <w:r>
        <w:rPr>
          <w:rtl/>
        </w:rPr>
        <w:t>(11).</w:t>
      </w:r>
      <w:r w:rsidRPr="00132E65">
        <w:rPr>
          <w:rtl/>
        </w:rPr>
        <w:t xml:space="preserve"> في « ه‍ » </w:t>
      </w:r>
      <w:r>
        <w:rPr>
          <w:rtl/>
        </w:rPr>
        <w:t xml:space="preserve">: - </w:t>
      </w:r>
      <w:r w:rsidRPr="00132E65">
        <w:rPr>
          <w:rtl/>
        </w:rPr>
        <w:t>« ولدي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يَا مُحَمَّدَ بْنَ عَلِيٍّ ، لَوْ شِئْتُ أَنْ أُخْبِرَكَ وأَنْتَ نُطْفَةٌ فِي ظَهْرِ أَبِيكَ ، لَأَخْبَرْتُكَ.</w:t>
      </w:r>
    </w:p>
    <w:p w:rsidR="000C39D1" w:rsidRPr="00132E65" w:rsidRDefault="000C39D1" w:rsidP="000C39D1">
      <w:pPr>
        <w:pStyle w:val="libNormal"/>
        <w:rPr>
          <w:rtl/>
          <w:lang w:bidi="fa-IR"/>
        </w:rPr>
      </w:pPr>
      <w:r>
        <w:rPr>
          <w:rtl/>
          <w:lang w:bidi="fa-IR"/>
        </w:rPr>
        <w:t>يَا مُحَمَّدَ بْنَ عَلِيٍّ ، أَ</w:t>
      </w:r>
      <w:r w:rsidRPr="00132E65">
        <w:rPr>
          <w:rtl/>
          <w:lang w:bidi="fa-IR"/>
        </w:rPr>
        <w:t xml:space="preserve">مَا عَلِمْتَ أَنَّ الْحُسَيْنَ بْنَ عَلِيٍّ </w:t>
      </w:r>
      <w:r w:rsidRPr="00071CF9">
        <w:rPr>
          <w:rStyle w:val="libAlaemChar"/>
          <w:rtl/>
        </w:rPr>
        <w:t>عليهما‌السلام</w:t>
      </w:r>
      <w:r w:rsidRPr="00132E65">
        <w:rPr>
          <w:rtl/>
          <w:lang w:bidi="fa-IR"/>
        </w:rPr>
        <w:t xml:space="preserve"> بَعْدَ وفَاةِ نَفْسِي ومُفَارَقَةِ رُوحِي جِسْمِي إِمَامٌ مِنْ </w:t>
      </w:r>
      <w:r>
        <w:rPr>
          <w:rStyle w:val="libFootnotenumChar"/>
          <w:rtl/>
        </w:rPr>
        <w:t>(1)</w:t>
      </w:r>
      <w:r w:rsidRPr="00132E65">
        <w:rPr>
          <w:rtl/>
          <w:lang w:bidi="fa-IR"/>
        </w:rPr>
        <w:t xml:space="preserve"> بَعْدِي ، وعِنْدَ اللهِ</w:t>
      </w:r>
      <w:r>
        <w:rPr>
          <w:rtl/>
          <w:lang w:bidi="fa-IR"/>
        </w:rPr>
        <w:t xml:space="preserve"> - </w:t>
      </w:r>
      <w:r w:rsidRPr="00132E65">
        <w:rPr>
          <w:rtl/>
          <w:lang w:bidi="fa-IR"/>
        </w:rPr>
        <w:t>جَلَّ اسْمُهُ</w:t>
      </w:r>
      <w:r>
        <w:rPr>
          <w:rtl/>
          <w:lang w:bidi="fa-IR"/>
        </w:rPr>
        <w:t xml:space="preserve"> - </w:t>
      </w:r>
      <w:r w:rsidRPr="00132E65">
        <w:rPr>
          <w:rtl/>
          <w:lang w:bidi="fa-IR"/>
        </w:rPr>
        <w:t xml:space="preserve">فِي الْكِتَابِ </w:t>
      </w:r>
      <w:r>
        <w:rPr>
          <w:rStyle w:val="libFootnotenumChar"/>
          <w:rtl/>
        </w:rPr>
        <w:t>(2)</w:t>
      </w:r>
      <w:r w:rsidRPr="00132E65">
        <w:rPr>
          <w:rtl/>
          <w:lang w:bidi="fa-IR"/>
        </w:rPr>
        <w:t xml:space="preserve"> ورَاثَةً مِنَ النَّبِيِّ </w:t>
      </w:r>
      <w:r w:rsidRPr="00071CF9">
        <w:rPr>
          <w:rStyle w:val="libAlaemChar"/>
          <w:rtl/>
        </w:rPr>
        <w:t>صلى‌الله‌عليه‌وآله</w:t>
      </w:r>
      <w:r w:rsidRPr="00132E65">
        <w:rPr>
          <w:rtl/>
          <w:lang w:bidi="fa-IR"/>
        </w:rPr>
        <w:t xml:space="preserve"> أَضَافَهَا اللهُ</w:t>
      </w:r>
      <w:r>
        <w:rPr>
          <w:rtl/>
          <w:lang w:bidi="fa-IR"/>
        </w:rPr>
        <w:t xml:space="preserve"> - </w:t>
      </w:r>
      <w:r w:rsidRPr="00132E65">
        <w:rPr>
          <w:rtl/>
          <w:lang w:bidi="fa-IR"/>
        </w:rPr>
        <w:t>عَزَّ وجَلَّ</w:t>
      </w:r>
      <w:r>
        <w:rPr>
          <w:rtl/>
          <w:lang w:bidi="fa-IR"/>
        </w:rPr>
        <w:t xml:space="preserve"> - </w:t>
      </w:r>
      <w:r w:rsidRPr="00132E65">
        <w:rPr>
          <w:rtl/>
          <w:lang w:bidi="fa-IR"/>
        </w:rPr>
        <w:t xml:space="preserve">لَهُ فِي ورَاثَةِ أَبِيهِ وأُمِّهِ ، فَعَلِمَ اللهُ أَنَّكُمْ خِيَرَةُ خَلْقِهِ ، فَاصْطَفى مِنْكُمْ مُحَمَّداً </w:t>
      </w:r>
      <w:r w:rsidRPr="00071CF9">
        <w:rPr>
          <w:rStyle w:val="libAlaemChar"/>
          <w:rtl/>
        </w:rPr>
        <w:t>صلى‌الله‌عليه‌وآله</w:t>
      </w:r>
      <w:r w:rsidRPr="00132E65">
        <w:rPr>
          <w:rtl/>
          <w:lang w:bidi="fa-IR"/>
        </w:rPr>
        <w:t xml:space="preserve"> ، واخْتَارَ مُحَمَّدٌ عَلِيّاً </w:t>
      </w:r>
      <w:r w:rsidRPr="00071CF9">
        <w:rPr>
          <w:rStyle w:val="libAlaemChar"/>
          <w:rtl/>
        </w:rPr>
        <w:t>عليه‌السلام</w:t>
      </w:r>
      <w:r w:rsidRPr="00132E65">
        <w:rPr>
          <w:rtl/>
          <w:lang w:bidi="fa-IR"/>
        </w:rPr>
        <w:t xml:space="preserve"> ، واخْتَارَنِي عَلِيٌّ </w:t>
      </w:r>
      <w:r w:rsidRPr="00071CF9">
        <w:rPr>
          <w:rStyle w:val="libAlaemChar"/>
          <w:rtl/>
        </w:rPr>
        <w:t>عليه‌السلام</w:t>
      </w:r>
      <w:r w:rsidRPr="00132E65">
        <w:rPr>
          <w:rtl/>
          <w:lang w:bidi="fa-IR"/>
        </w:rPr>
        <w:t xml:space="preserve"> بِالْإِمَامَةِ ، وَاخْتَرْتُ أَنَا </w:t>
      </w:r>
      <w:r>
        <w:rPr>
          <w:rStyle w:val="libFootnotenumChar"/>
          <w:rtl/>
        </w:rPr>
        <w:t>(3)</w:t>
      </w:r>
      <w:r w:rsidRPr="00132E65">
        <w:rPr>
          <w:rtl/>
          <w:lang w:bidi="fa-IR"/>
        </w:rPr>
        <w:t xml:space="preserve"> الْحُسَيْنَ </w:t>
      </w:r>
      <w:r w:rsidRPr="00071CF9">
        <w:rPr>
          <w:rStyle w:val="libAlaemChar"/>
          <w:rtl/>
        </w:rPr>
        <w:t>عليه‌السلام</w:t>
      </w:r>
      <w:r>
        <w:rPr>
          <w:rtl/>
          <w:lang w:bidi="fa-IR"/>
        </w:rPr>
        <w:t>؟</w:t>
      </w:r>
    </w:p>
    <w:p w:rsidR="000C39D1" w:rsidRPr="00132E65" w:rsidRDefault="000C39D1" w:rsidP="000C39D1">
      <w:pPr>
        <w:pStyle w:val="libNormal"/>
        <w:rPr>
          <w:rtl/>
          <w:lang w:bidi="fa-IR"/>
        </w:rPr>
      </w:pPr>
      <w:r w:rsidRPr="00132E65">
        <w:rPr>
          <w:rtl/>
          <w:lang w:bidi="fa-IR"/>
        </w:rPr>
        <w:t xml:space="preserve">فَقَالَ لَهُ مُحَمَّدُ بْنُ عَلِيٍّ : أَنْتَ إِمَامٌ ، وأَنْتَ وسِيلَتِي إِلى مُحَمَّدٍ </w:t>
      </w:r>
      <w:r w:rsidRPr="00071CF9">
        <w:rPr>
          <w:rStyle w:val="libAlaemChar"/>
          <w:rtl/>
        </w:rPr>
        <w:t>صلى‌الله‌عليه‌وآله</w:t>
      </w:r>
      <w:r w:rsidRPr="00132E65">
        <w:rPr>
          <w:rtl/>
          <w:lang w:bidi="fa-IR"/>
        </w:rPr>
        <w:t xml:space="preserve"> ؛ واللهِ ، لَوَدِدْتُ أَنَّ نَفْسِي ذَهَبَتْ قَبْلَ أَنْ أَسْمَعَ مِنْكَ هذَا الْكَلَامَ ، أَلَا وإِنَّ فِي رَأْسِي كَلَاماً لَاتَنْزِفُهُ </w:t>
      </w:r>
      <w:r>
        <w:rPr>
          <w:rStyle w:val="libFootnotenumChar"/>
          <w:rtl/>
        </w:rPr>
        <w:t>(4)</w:t>
      </w:r>
      <w:r w:rsidRPr="00132E65">
        <w:rPr>
          <w:rtl/>
          <w:lang w:bidi="fa-IR"/>
        </w:rPr>
        <w:t xml:space="preserve"> الدِّلَاءُ ، ولَاتُغَيِّرُهُ </w:t>
      </w:r>
      <w:r>
        <w:rPr>
          <w:rStyle w:val="libFootnotenumChar"/>
          <w:rtl/>
        </w:rPr>
        <w:t>(5)</w:t>
      </w:r>
      <w:r w:rsidRPr="00132E65">
        <w:rPr>
          <w:rtl/>
          <w:lang w:bidi="fa-IR"/>
        </w:rPr>
        <w:t xml:space="preserve"> نَغْمَةُ الرِّيَاحِ </w:t>
      </w:r>
      <w:r>
        <w:rPr>
          <w:rStyle w:val="libFootnotenumChar"/>
          <w:rtl/>
        </w:rPr>
        <w:t>(6)</w:t>
      </w:r>
      <w:r w:rsidRPr="00132E65">
        <w:rPr>
          <w:rtl/>
          <w:lang w:bidi="fa-IR"/>
        </w:rPr>
        <w:t xml:space="preserve"> ، كَالْكِتَابِ الْمُعْجَمِ </w:t>
      </w:r>
      <w:r>
        <w:rPr>
          <w:rStyle w:val="libFootnotenumChar"/>
          <w:rtl/>
        </w:rPr>
        <w:t>(7)</w:t>
      </w:r>
      <w:r w:rsidRPr="00132E65">
        <w:rPr>
          <w:rtl/>
          <w:lang w:bidi="fa-IR"/>
        </w:rPr>
        <w:t xml:space="preserve"> ، فِي الرَّقِّ </w:t>
      </w:r>
      <w:r>
        <w:rPr>
          <w:rStyle w:val="libFootnotenumChar"/>
          <w:rtl/>
        </w:rPr>
        <w:t>(8)</w:t>
      </w:r>
      <w:r w:rsidRPr="00132E65">
        <w:rPr>
          <w:rtl/>
          <w:lang w:bidi="fa-IR"/>
        </w:rPr>
        <w:t xml:space="preserve"> الْمُنَمْنَمِ </w:t>
      </w:r>
      <w:r>
        <w:rPr>
          <w:rStyle w:val="libFootnotenumChar"/>
          <w:rtl/>
        </w:rPr>
        <w:t>(9)</w:t>
      </w:r>
      <w:r w:rsidRPr="00132E65">
        <w:rPr>
          <w:rtl/>
          <w:lang w:bidi="fa-IR"/>
        </w:rPr>
        <w:t xml:space="preserve"> ، أَهُمُّ‌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بف » </w:t>
      </w:r>
      <w:r>
        <w:rPr>
          <w:rtl/>
        </w:rPr>
        <w:t xml:space="preserve">: - </w:t>
      </w:r>
      <w:r w:rsidRPr="00132E65">
        <w:rPr>
          <w:rtl/>
        </w:rPr>
        <w:t>« من »</w:t>
      </w:r>
      <w:r>
        <w:rPr>
          <w:rtl/>
        </w:rPr>
        <w:t>.</w:t>
      </w:r>
    </w:p>
    <w:p w:rsidR="000C39D1" w:rsidRPr="00132E65" w:rsidRDefault="000C39D1" w:rsidP="007437BB">
      <w:pPr>
        <w:pStyle w:val="libFootnote0"/>
        <w:rPr>
          <w:rtl/>
          <w:lang w:bidi="fa-IR"/>
        </w:rPr>
      </w:pPr>
      <w:r>
        <w:rPr>
          <w:rtl/>
        </w:rPr>
        <w:t>(2).</w:t>
      </w:r>
      <w:r w:rsidRPr="00132E65">
        <w:rPr>
          <w:rtl/>
        </w:rPr>
        <w:t xml:space="preserve"> في « ه‍ </w:t>
      </w:r>
      <w:r w:rsidR="007437BB" w:rsidRPr="00132E65">
        <w:rPr>
          <w:rtl/>
        </w:rPr>
        <w:t>»</w:t>
      </w:r>
      <w:r w:rsidRPr="00132E65">
        <w:rPr>
          <w:rtl/>
        </w:rPr>
        <w:t xml:space="preserve"> :</w:t>
      </w:r>
      <w:r>
        <w:rPr>
          <w:rtl/>
        </w:rPr>
        <w:t xml:space="preserve"> + </w:t>
      </w:r>
      <w:r w:rsidRPr="00132E65">
        <w:rPr>
          <w:rtl/>
        </w:rPr>
        <w:t>« الماضي »</w:t>
      </w:r>
      <w:r>
        <w:rPr>
          <w:rtl/>
        </w:rPr>
        <w:t>.</w:t>
      </w:r>
      <w:r w:rsidRPr="00132E65">
        <w:rPr>
          <w:rtl/>
        </w:rPr>
        <w:t xml:space="preserve"> وفي </w:t>
      </w:r>
      <w:r w:rsidRPr="009D1ACE">
        <w:rPr>
          <w:rStyle w:val="libFootnoteBoldChar"/>
          <w:rtl/>
        </w:rPr>
        <w:t>الوافي</w:t>
      </w:r>
      <w:r w:rsidRPr="00132E65">
        <w:rPr>
          <w:rtl/>
        </w:rPr>
        <w:t xml:space="preserve"> : « في الكتاب ، يعني في ا</w:t>
      </w:r>
      <w:r>
        <w:rPr>
          <w:rFonts w:hint="cs"/>
          <w:rtl/>
        </w:rPr>
        <w:t>ُ</w:t>
      </w:r>
      <w:r w:rsidRPr="00132E65">
        <w:rPr>
          <w:rtl/>
        </w:rPr>
        <w:t>مّ الكتاب واللوح المحفوظ »</w:t>
      </w:r>
      <w:r>
        <w:rPr>
          <w:rtl/>
        </w:rPr>
        <w:t>.</w:t>
      </w:r>
    </w:p>
    <w:p w:rsidR="000C39D1" w:rsidRPr="00132E65" w:rsidRDefault="000C39D1" w:rsidP="007437BB">
      <w:pPr>
        <w:pStyle w:val="libFootnote0"/>
        <w:rPr>
          <w:rtl/>
          <w:lang w:bidi="fa-IR"/>
        </w:rPr>
      </w:pPr>
      <w:r>
        <w:rPr>
          <w:rtl/>
        </w:rPr>
        <w:t>(3).</w:t>
      </w:r>
      <w:r w:rsidRPr="00132E65">
        <w:rPr>
          <w:rtl/>
        </w:rPr>
        <w:t xml:space="preserve"> في « ه‍ </w:t>
      </w:r>
      <w:r w:rsidR="007437BB" w:rsidRPr="00132E65">
        <w:rPr>
          <w:rtl/>
        </w:rPr>
        <w:t>»</w:t>
      </w:r>
      <w:r w:rsidRPr="00132E65">
        <w:rPr>
          <w:rtl/>
        </w:rPr>
        <w:t xml:space="preserve"> </w:t>
      </w:r>
      <w:r>
        <w:rPr>
          <w:rtl/>
        </w:rPr>
        <w:t xml:space="preserve">: - </w:t>
      </w:r>
      <w:r w:rsidRPr="00132E65">
        <w:rPr>
          <w:rtl/>
        </w:rPr>
        <w:t>« أنا »</w:t>
      </w:r>
      <w:r>
        <w:rPr>
          <w:rtl/>
        </w:rPr>
        <w:t>.</w:t>
      </w:r>
    </w:p>
    <w:p w:rsidR="000C39D1" w:rsidRPr="00132E65" w:rsidRDefault="000C39D1" w:rsidP="000C39D1">
      <w:pPr>
        <w:pStyle w:val="libFootnote0"/>
        <w:rPr>
          <w:rtl/>
          <w:lang w:bidi="fa-IR"/>
        </w:rPr>
      </w:pPr>
      <w:r>
        <w:rPr>
          <w:rtl/>
        </w:rPr>
        <w:t>(4).</w:t>
      </w:r>
      <w:r w:rsidRPr="00132E65">
        <w:rPr>
          <w:rtl/>
        </w:rPr>
        <w:t xml:space="preserve"> في « ج ، ه‍ ، بف » : « لا ينزفه »</w:t>
      </w:r>
      <w:r>
        <w:rPr>
          <w:rtl/>
        </w:rPr>
        <w:t>.</w:t>
      </w:r>
      <w:r w:rsidRPr="00132E65">
        <w:rPr>
          <w:rtl/>
        </w:rPr>
        <w:t xml:space="preserve"> وفي « ف » : « لا ينزّفه »</w:t>
      </w:r>
      <w:r>
        <w:rPr>
          <w:rtl/>
        </w:rPr>
        <w:t>.</w:t>
      </w:r>
      <w:r w:rsidRPr="00132E65">
        <w:rPr>
          <w:rtl/>
        </w:rPr>
        <w:t xml:space="preserve"> وفي حاشية بدرالدين : « لاتنزحه » وفي شرح‌المازندراني : « ما تنزفه »</w:t>
      </w:r>
      <w:r>
        <w:rPr>
          <w:rtl/>
        </w:rPr>
        <w:t>.</w:t>
      </w:r>
      <w:r w:rsidRPr="00132E65">
        <w:rPr>
          <w:rtl/>
        </w:rPr>
        <w:t xml:space="preserve"> </w:t>
      </w:r>
      <w:r>
        <w:rPr>
          <w:rtl/>
        </w:rPr>
        <w:t>و «</w:t>
      </w:r>
      <w:r w:rsidRPr="00132E65">
        <w:rPr>
          <w:rtl/>
        </w:rPr>
        <w:t xml:space="preserve"> لا تَنْزِفُهُ » ، أي لا تنزحه ولا تفنيه ؛ كنايةً عن كثرته. يقال : نَزَفْتُ ماء البئر ، أي نزحتُه كلَّه. راجع : </w:t>
      </w:r>
      <w:r w:rsidRPr="004E57D0">
        <w:rPr>
          <w:rtl/>
        </w:rPr>
        <w:t>الصحاح</w:t>
      </w:r>
      <w:r w:rsidRPr="00132E65">
        <w:rPr>
          <w:rtl/>
        </w:rPr>
        <w:t xml:space="preserve"> ، ج 4 ، ص 1430 ( نزف )</w:t>
      </w:r>
      <w:r>
        <w:rPr>
          <w:rtl/>
        </w:rPr>
        <w:t>.</w:t>
      </w:r>
    </w:p>
    <w:p w:rsidR="000C39D1" w:rsidRPr="00132E65" w:rsidRDefault="000C39D1" w:rsidP="007437BB">
      <w:pPr>
        <w:pStyle w:val="libFootnote0"/>
        <w:rPr>
          <w:rtl/>
          <w:lang w:bidi="fa-IR"/>
        </w:rPr>
      </w:pPr>
      <w:r>
        <w:rPr>
          <w:rtl/>
        </w:rPr>
        <w:t>(5).</w:t>
      </w:r>
      <w:r w:rsidRPr="00132E65">
        <w:rPr>
          <w:rtl/>
        </w:rPr>
        <w:t xml:space="preserve"> في « ه‍ </w:t>
      </w:r>
      <w:r w:rsidR="007437BB" w:rsidRPr="00132E65">
        <w:rPr>
          <w:rtl/>
        </w:rPr>
        <w:t>»</w:t>
      </w:r>
      <w:r w:rsidRPr="00132E65">
        <w:rPr>
          <w:rtl/>
        </w:rPr>
        <w:t xml:space="preserve"> : « لا يغيّره »</w:t>
      </w:r>
      <w:r>
        <w:rPr>
          <w:rtl/>
        </w:rPr>
        <w:t>.</w:t>
      </w:r>
    </w:p>
    <w:p w:rsidR="000C39D1" w:rsidRPr="00132E65" w:rsidRDefault="000C39D1" w:rsidP="000C39D1">
      <w:pPr>
        <w:pStyle w:val="libFootnote0"/>
        <w:rPr>
          <w:rtl/>
          <w:lang w:bidi="fa-IR"/>
        </w:rPr>
      </w:pPr>
      <w:r>
        <w:rPr>
          <w:rtl/>
        </w:rPr>
        <w:t>(6).</w:t>
      </w:r>
      <w:r w:rsidRPr="00132E65">
        <w:rPr>
          <w:rtl/>
        </w:rPr>
        <w:t xml:space="preserve"> كناية عن ثباته وعذوبته. والنغمة : الصوت الخفيّ. وعبّر بالرياح عن الشبهات التي تخرج من أفواه المخالفين الطاعنين في الحقّ. راجع : </w:t>
      </w:r>
      <w:r w:rsidRPr="009D1ACE">
        <w:rPr>
          <w:rStyle w:val="libFootnoteBoldChar"/>
          <w:rtl/>
        </w:rPr>
        <w:t>مرآة العقول</w:t>
      </w:r>
      <w:r w:rsidRPr="00132E65">
        <w:rPr>
          <w:rtl/>
        </w:rPr>
        <w:t xml:space="preserve"> ، ج 3 ، ص 311 ؛ </w:t>
      </w:r>
      <w:r w:rsidRPr="009D1ACE">
        <w:rPr>
          <w:rStyle w:val="libFootnoteBoldChar"/>
          <w:rtl/>
        </w:rPr>
        <w:t>لسان العرب</w:t>
      </w:r>
      <w:r w:rsidRPr="00132E65">
        <w:rPr>
          <w:rtl/>
        </w:rPr>
        <w:t xml:space="preserve"> ، ج 12 ، ص 590 ( نغم )</w:t>
      </w:r>
      <w:r>
        <w:rPr>
          <w:rtl/>
        </w:rPr>
        <w:t>.</w:t>
      </w:r>
    </w:p>
    <w:p w:rsidR="000C39D1" w:rsidRPr="00132E65" w:rsidRDefault="000C39D1" w:rsidP="000C39D1">
      <w:pPr>
        <w:pStyle w:val="libFootnote0"/>
        <w:rPr>
          <w:rtl/>
          <w:lang w:bidi="fa-IR"/>
        </w:rPr>
      </w:pPr>
      <w:r>
        <w:rPr>
          <w:rtl/>
        </w:rPr>
        <w:t>(7).</w:t>
      </w:r>
      <w:r w:rsidRPr="00132E65">
        <w:rPr>
          <w:rtl/>
        </w:rPr>
        <w:t xml:space="preserve"> « الكتاب ال</w:t>
      </w:r>
      <w:r>
        <w:rPr>
          <w:rFonts w:hint="cs"/>
          <w:rtl/>
        </w:rPr>
        <w:t>ـ</w:t>
      </w:r>
      <w:r w:rsidRPr="00132E65">
        <w:rPr>
          <w:rtl/>
        </w:rPr>
        <w:t>مُعْجَمُ » ، أي المختوم المقفّل. من أعجمت الباب ، أي أقفلتُه ؛ أشار به إلى أنّه من الأسرار والرموز. أو ال</w:t>
      </w:r>
      <w:r>
        <w:rPr>
          <w:rFonts w:hint="cs"/>
          <w:rtl/>
        </w:rPr>
        <w:t>ـ</w:t>
      </w:r>
      <w:r w:rsidRPr="00132E65">
        <w:rPr>
          <w:rtl/>
        </w:rPr>
        <w:t xml:space="preserve">مُزال عدم إفصاحه ، يقال : أعجمتُ الحرفَ ، أي أزلت عُجْمتَه بما يميّزه عن غيره بنقط وشكل ؛ وأشار به إلى إبانته عن المكنونات. راجع : </w:t>
      </w:r>
      <w:r w:rsidRPr="009D1ACE">
        <w:rPr>
          <w:rStyle w:val="libFootnoteBoldChar"/>
          <w:rtl/>
        </w:rPr>
        <w:t>الوافي</w:t>
      </w:r>
      <w:r w:rsidRPr="00132E65">
        <w:rPr>
          <w:rtl/>
        </w:rPr>
        <w:t xml:space="preserve"> ، ج 2 ، ص 339 ؛ </w:t>
      </w:r>
      <w:r w:rsidRPr="004E57D0">
        <w:rPr>
          <w:rtl/>
        </w:rPr>
        <w:t>المصباح المنير</w:t>
      </w:r>
      <w:r w:rsidRPr="00132E65">
        <w:rPr>
          <w:rtl/>
        </w:rPr>
        <w:t xml:space="preserve"> ، ص 395 ( عجم )</w:t>
      </w:r>
      <w:r>
        <w:rPr>
          <w:rtl/>
        </w:rPr>
        <w:t>.</w:t>
      </w:r>
    </w:p>
    <w:p w:rsidR="000C39D1" w:rsidRPr="00132E65" w:rsidRDefault="000C39D1" w:rsidP="000C39D1">
      <w:pPr>
        <w:pStyle w:val="libFootnote0"/>
        <w:rPr>
          <w:rtl/>
          <w:lang w:bidi="fa-IR"/>
        </w:rPr>
      </w:pPr>
      <w:r>
        <w:rPr>
          <w:rtl/>
        </w:rPr>
        <w:t>(8).</w:t>
      </w:r>
      <w:r w:rsidRPr="00132E65">
        <w:rPr>
          <w:rtl/>
        </w:rPr>
        <w:t xml:space="preserve"> « الرَقُّ » </w:t>
      </w:r>
      <w:r>
        <w:rPr>
          <w:rtl/>
        </w:rPr>
        <w:t>و «</w:t>
      </w:r>
      <w:r w:rsidRPr="00132E65">
        <w:rPr>
          <w:rtl/>
        </w:rPr>
        <w:t xml:space="preserve"> الرِقُّ » : جِلْدٌ رقيق يكتب فيه ، وضدُّ الغليظ كالرقيق ، والصحيفةُ البيضاء. </w:t>
      </w:r>
      <w:r w:rsidRPr="004E57D0">
        <w:rPr>
          <w:rtl/>
        </w:rPr>
        <w:t>القاموس المحيط</w:t>
      </w:r>
      <w:r w:rsidRPr="00132E65">
        <w:rPr>
          <w:rtl/>
        </w:rPr>
        <w:t xml:space="preserve"> ، ج 2 ، ص 1178 ( رقق )</w:t>
      </w:r>
      <w:r>
        <w:rPr>
          <w:rtl/>
        </w:rPr>
        <w:t>.</w:t>
      </w:r>
    </w:p>
    <w:p w:rsidR="000C39D1" w:rsidRPr="00132E65" w:rsidRDefault="000C39D1" w:rsidP="000C39D1">
      <w:pPr>
        <w:pStyle w:val="libFootnote0"/>
        <w:rPr>
          <w:rtl/>
          <w:lang w:bidi="fa-IR"/>
        </w:rPr>
      </w:pPr>
      <w:r>
        <w:rPr>
          <w:rtl/>
        </w:rPr>
        <w:t>(9).</w:t>
      </w:r>
      <w:r w:rsidRPr="00132E65">
        <w:rPr>
          <w:rtl/>
        </w:rPr>
        <w:t xml:space="preserve"> في « ب » وحاشية بدرالدين : « المبهم »</w:t>
      </w:r>
      <w:r>
        <w:rPr>
          <w:rtl/>
        </w:rPr>
        <w:t>.</w:t>
      </w:r>
      <w:r w:rsidRPr="00132E65">
        <w:rPr>
          <w:rtl/>
        </w:rPr>
        <w:t xml:space="preserve"> وفي « ف ، بف » و</w:t>
      </w:r>
      <w:r w:rsidRPr="009D1ACE">
        <w:rPr>
          <w:rStyle w:val="libFootnoteBoldChar"/>
          <w:rtl/>
        </w:rPr>
        <w:t>الوافي</w:t>
      </w:r>
      <w:r w:rsidRPr="00132E65">
        <w:rPr>
          <w:rtl/>
        </w:rPr>
        <w:t xml:space="preserve"> : « المنهم » وهو إمّا بسكون النون وفتح الهاء وتشديد الميم ، من قولهم : انهمّ البرد والشحم ، أي ذابا ؛ كنايةً عن إغلاقه وبُعده عن الأفهام كأنّه قد ذاب ومحا ،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بِإِبْدَائِهِ </w:t>
      </w:r>
      <w:r>
        <w:rPr>
          <w:rStyle w:val="libFootnotenumChar"/>
          <w:rtl/>
        </w:rPr>
        <w:t>(1)</w:t>
      </w:r>
      <w:r w:rsidRPr="00132E65">
        <w:rPr>
          <w:rtl/>
          <w:lang w:bidi="fa-IR"/>
        </w:rPr>
        <w:t xml:space="preserve"> ، فَأَجِدُنِي سُبِقْتُ </w:t>
      </w:r>
      <w:r>
        <w:rPr>
          <w:rStyle w:val="libFootnotenumChar"/>
          <w:rtl/>
        </w:rPr>
        <w:t>(2)</w:t>
      </w:r>
      <w:r w:rsidRPr="00132E65">
        <w:rPr>
          <w:rtl/>
          <w:lang w:bidi="fa-IR"/>
        </w:rPr>
        <w:t xml:space="preserve"> إِلَيْهِ ، سَبَقَ </w:t>
      </w:r>
      <w:r>
        <w:rPr>
          <w:rStyle w:val="libFootnotenumChar"/>
          <w:rtl/>
        </w:rPr>
        <w:t>(3)</w:t>
      </w:r>
      <w:r w:rsidRPr="00132E65">
        <w:rPr>
          <w:rtl/>
          <w:lang w:bidi="fa-IR"/>
        </w:rPr>
        <w:t xml:space="preserve"> الْكِتَابُ الْمُنْزَلُ </w:t>
      </w:r>
      <w:r>
        <w:rPr>
          <w:rStyle w:val="libFootnotenumChar"/>
          <w:rtl/>
        </w:rPr>
        <w:t>(4)</w:t>
      </w:r>
      <w:r w:rsidRPr="00132E65">
        <w:rPr>
          <w:rtl/>
          <w:lang w:bidi="fa-IR"/>
        </w:rPr>
        <w:t xml:space="preserve"> أَوْ مَا جَاءَتْ </w:t>
      </w:r>
      <w:r>
        <w:rPr>
          <w:rStyle w:val="libFootnotenumChar"/>
          <w:rtl/>
        </w:rPr>
        <w:t>(5)</w:t>
      </w:r>
      <w:r w:rsidRPr="00132E65">
        <w:rPr>
          <w:rtl/>
          <w:lang w:bidi="fa-IR"/>
        </w:rPr>
        <w:t xml:space="preserve"> بِهِ الرُّسُلُ ، وإِنَّهُ لَكَلَامٌ يَكِلُّ </w:t>
      </w:r>
      <w:r>
        <w:rPr>
          <w:rStyle w:val="libFootnotenumChar"/>
          <w:rtl/>
        </w:rPr>
        <w:t>(6)</w:t>
      </w:r>
      <w:r w:rsidRPr="00132E65">
        <w:rPr>
          <w:rtl/>
          <w:lang w:bidi="fa-IR"/>
        </w:rPr>
        <w:t xml:space="preserve"> بِهِ لِسَانُ النَّاطِقِ </w:t>
      </w:r>
      <w:r>
        <w:rPr>
          <w:rStyle w:val="libFootnotenumChar"/>
          <w:rtl/>
        </w:rPr>
        <w:t>(7)</w:t>
      </w:r>
      <w:r w:rsidRPr="00132E65">
        <w:rPr>
          <w:rtl/>
          <w:lang w:bidi="fa-IR"/>
        </w:rPr>
        <w:t xml:space="preserve"> ويَدُ الْكَاتِبِ حَتّى لَايَجِدَ قَلَماً ، ويُؤْتَوْا </w:t>
      </w:r>
      <w:r>
        <w:rPr>
          <w:rStyle w:val="libFootnotenumChar"/>
          <w:rtl/>
        </w:rPr>
        <w:t>(8)</w:t>
      </w:r>
      <w:r w:rsidRPr="00132E65">
        <w:rPr>
          <w:rtl/>
          <w:lang w:bidi="fa-IR"/>
        </w:rPr>
        <w:t xml:space="preserve"> بِالْقِرْطَاسِ حُمَماً </w:t>
      </w:r>
      <w:r>
        <w:rPr>
          <w:rStyle w:val="libFootnotenumChar"/>
          <w:rtl/>
        </w:rPr>
        <w:t>(9)</w:t>
      </w:r>
      <w:r w:rsidRPr="00132E65">
        <w:rPr>
          <w:rtl/>
          <w:lang w:bidi="fa-IR"/>
        </w:rPr>
        <w:t xml:space="preserve"> ، فَلَا </w:t>
      </w:r>
      <w:r>
        <w:rPr>
          <w:rStyle w:val="libFootnotenumChar"/>
          <w:rtl/>
        </w:rPr>
        <w:t>(10)</w:t>
      </w:r>
      <w:r w:rsidRPr="00132E65">
        <w:rPr>
          <w:rtl/>
          <w:lang w:bidi="fa-IR"/>
        </w:rPr>
        <w:t xml:space="preserve"> يَبْلُغُ </w:t>
      </w:r>
      <w:r>
        <w:rPr>
          <w:rStyle w:val="libFootnotenumChar"/>
          <w:rtl/>
        </w:rPr>
        <w:t>(11)</w:t>
      </w:r>
      <w:r w:rsidRPr="00132E65">
        <w:rPr>
          <w:rtl/>
          <w:lang w:bidi="fa-IR"/>
        </w:rPr>
        <w:t xml:space="preserve"> فَضْلَكَ ، وكَذلِكَ يَجْزِي اللهُ الْ</w:t>
      </w:r>
      <w:r>
        <w:rPr>
          <w:rtl/>
          <w:lang w:bidi="fa-IR"/>
        </w:rPr>
        <w:t>مُحْسِنِينَ ، ولَاقُوَّةَ إِل</w:t>
      </w:r>
      <w:r>
        <w:rPr>
          <w:rFonts w:hint="cs"/>
          <w:rtl/>
          <w:lang w:bidi="fa-IR"/>
        </w:rPr>
        <w:t>َّ</w:t>
      </w:r>
      <w:r>
        <w:rPr>
          <w:rtl/>
          <w:lang w:bidi="fa-IR"/>
        </w:rPr>
        <w:t>ا</w:t>
      </w:r>
      <w:r w:rsidRPr="00132E65">
        <w:rPr>
          <w:rtl/>
          <w:lang w:bidi="fa-IR"/>
        </w:rPr>
        <w:t xml:space="preserve"> بِاللهِ :</w:t>
      </w:r>
    </w:p>
    <w:p w:rsidR="000C39D1" w:rsidRPr="00132E65" w:rsidRDefault="000C39D1" w:rsidP="000C39D1">
      <w:pPr>
        <w:pStyle w:val="libLine"/>
        <w:rPr>
          <w:rtl/>
          <w:lang w:bidi="fa-IR"/>
        </w:rPr>
      </w:pPr>
      <w:r w:rsidRPr="00132E65">
        <w:rPr>
          <w:rtl/>
          <w:lang w:bidi="fa-IR"/>
        </w:rPr>
        <w:t>__________________</w:t>
      </w:r>
    </w:p>
    <w:p w:rsidR="000C39D1" w:rsidRPr="00ED48BF" w:rsidRDefault="000C39D1" w:rsidP="000C39D1">
      <w:pPr>
        <w:pStyle w:val="libFootnote0"/>
        <w:rPr>
          <w:rtl/>
        </w:rPr>
      </w:pPr>
      <w:r>
        <w:rPr>
          <w:rFonts w:hint="cs"/>
          <w:rtl/>
        </w:rPr>
        <w:t xml:space="preserve">= </w:t>
      </w:r>
      <w:r>
        <w:rPr>
          <w:rtl/>
        </w:rPr>
        <w:t>فلا يمكن قراءته إل</w:t>
      </w:r>
      <w:r>
        <w:rPr>
          <w:rFonts w:hint="cs"/>
          <w:rtl/>
        </w:rPr>
        <w:t>ّ</w:t>
      </w:r>
      <w:r>
        <w:rPr>
          <w:rtl/>
        </w:rPr>
        <w:t>ا</w:t>
      </w:r>
      <w:r w:rsidRPr="00ED48BF">
        <w:rPr>
          <w:rtl/>
        </w:rPr>
        <w:t>بعسر. أو بفتح النون وتشديد الهاء المفتوحة من النهمة ، أي بلوغ الهمّة في الشي‌ء ؛ كنايةً عن كونه ممتلياً بحيث لم يبق شي‌ء غير مكتوب. وفي حاشية « بف » : « المنهنم ». وقوله : « ال</w:t>
      </w:r>
      <w:r>
        <w:rPr>
          <w:rFonts w:hint="cs"/>
          <w:rtl/>
        </w:rPr>
        <w:t>ـ</w:t>
      </w:r>
      <w:r w:rsidRPr="00ED48BF">
        <w:rPr>
          <w:rtl/>
        </w:rPr>
        <w:t>مُنَمْنَمُ » : ال</w:t>
      </w:r>
      <w:r>
        <w:rPr>
          <w:rFonts w:hint="cs"/>
          <w:rtl/>
        </w:rPr>
        <w:t>ـ</w:t>
      </w:r>
      <w:r w:rsidRPr="00ED48BF">
        <w:rPr>
          <w:rtl/>
        </w:rPr>
        <w:t>مُزَيَّن. يقال : نَمْنَمَ الشي‌ءَ نَمْنَمَةً ، أي زيّنه وزخرفه ورقّشه. أو الملتفّ المجتمع. يقال : النبتُ ال</w:t>
      </w:r>
      <w:r>
        <w:rPr>
          <w:rFonts w:hint="cs"/>
          <w:rtl/>
        </w:rPr>
        <w:t>ـ</w:t>
      </w:r>
      <w:r w:rsidRPr="00ED48BF">
        <w:rPr>
          <w:rtl/>
        </w:rPr>
        <w:t>مُنَمْنَم ، أي ال</w:t>
      </w:r>
      <w:r>
        <w:rPr>
          <w:rFonts w:hint="cs"/>
          <w:rtl/>
        </w:rPr>
        <w:t>ـ</w:t>
      </w:r>
      <w:r w:rsidRPr="00ED48BF">
        <w:rPr>
          <w:rtl/>
        </w:rPr>
        <w:t xml:space="preserve">مُلتفّ المجتمع. راجع : </w:t>
      </w:r>
      <w:r w:rsidRPr="009D1ACE">
        <w:rPr>
          <w:rStyle w:val="libFootnoteBoldChar"/>
          <w:rtl/>
        </w:rPr>
        <w:t>لسان العرب</w:t>
      </w:r>
      <w:r w:rsidRPr="00ED48BF">
        <w:rPr>
          <w:rtl/>
        </w:rPr>
        <w:t xml:space="preserve"> ، ج 12 ، ص 593 ( نمم ) ؛ شرح المازندراني ، ج 6 ، ص 149 ؛ </w:t>
      </w:r>
      <w:r w:rsidRPr="009D1ACE">
        <w:rPr>
          <w:rStyle w:val="libFootnoteBoldChar"/>
          <w:rtl/>
        </w:rPr>
        <w:t>مرآة العقول</w:t>
      </w:r>
      <w:r w:rsidRPr="00ED48BF">
        <w:rPr>
          <w:rtl/>
        </w:rPr>
        <w:t xml:space="preserve"> ، ج 3 ، ص 311. </w:t>
      </w:r>
    </w:p>
    <w:p w:rsidR="000C39D1" w:rsidRPr="00132E65" w:rsidRDefault="000C39D1" w:rsidP="007437BB">
      <w:pPr>
        <w:pStyle w:val="libFootnote0"/>
        <w:rPr>
          <w:rtl/>
          <w:lang w:bidi="fa-IR"/>
        </w:rPr>
      </w:pPr>
      <w:r>
        <w:rPr>
          <w:rtl/>
        </w:rPr>
        <w:t>(1).</w:t>
      </w:r>
      <w:r w:rsidRPr="00132E65">
        <w:rPr>
          <w:rtl/>
        </w:rPr>
        <w:t xml:space="preserve"> في « ب ، ج » وشرح المازندراني و</w:t>
      </w:r>
      <w:r w:rsidRPr="009D1ACE">
        <w:rPr>
          <w:rStyle w:val="libFootnoteBoldChar"/>
          <w:rtl/>
        </w:rPr>
        <w:t>مرآة العقول</w:t>
      </w:r>
      <w:r w:rsidRPr="00132E65">
        <w:rPr>
          <w:rtl/>
        </w:rPr>
        <w:t xml:space="preserve"> : « بأدائه »</w:t>
      </w:r>
      <w:r>
        <w:rPr>
          <w:rtl/>
        </w:rPr>
        <w:t>.</w:t>
      </w:r>
      <w:r w:rsidRPr="00132E65">
        <w:rPr>
          <w:rtl/>
        </w:rPr>
        <w:t xml:space="preserve"> وفي « ف » وحاشية « بر » : « بادّائه »</w:t>
      </w:r>
      <w:r>
        <w:rPr>
          <w:rtl/>
        </w:rPr>
        <w:t>.</w:t>
      </w:r>
      <w:r w:rsidRPr="00132E65">
        <w:rPr>
          <w:rtl/>
        </w:rPr>
        <w:t xml:space="preserve"> وفي « ه‍ </w:t>
      </w:r>
      <w:r w:rsidR="007437BB" w:rsidRPr="00132E65">
        <w:rPr>
          <w:rtl/>
        </w:rPr>
        <w:t>»</w:t>
      </w:r>
      <w:r w:rsidRPr="00132E65">
        <w:rPr>
          <w:rtl/>
        </w:rPr>
        <w:t xml:space="preserve"> : « بإيدائه »</w:t>
      </w:r>
      <w:r>
        <w:rPr>
          <w:rtl/>
        </w:rPr>
        <w:t>.</w:t>
      </w:r>
      <w:r w:rsidRPr="00132E65">
        <w:rPr>
          <w:rtl/>
        </w:rPr>
        <w:t xml:space="preserve"> ونسب المازندراني والمجلسي ما في </w:t>
      </w:r>
      <w:r w:rsidRPr="000577A7">
        <w:rPr>
          <w:rStyle w:val="libFootnoteBoldChar"/>
          <w:rtl/>
        </w:rPr>
        <w:t>الكافي</w:t>
      </w:r>
      <w:r w:rsidRPr="00132E65">
        <w:rPr>
          <w:rtl/>
        </w:rPr>
        <w:t xml:space="preserve"> إلى بعض النسخ.</w:t>
      </w:r>
    </w:p>
    <w:p w:rsidR="000C39D1" w:rsidRPr="00132E65" w:rsidRDefault="000C39D1" w:rsidP="000C39D1">
      <w:pPr>
        <w:pStyle w:val="libFootnote0"/>
        <w:rPr>
          <w:rtl/>
          <w:lang w:bidi="fa-IR"/>
        </w:rPr>
      </w:pPr>
      <w:r>
        <w:rPr>
          <w:rtl/>
        </w:rPr>
        <w:t>(2).</w:t>
      </w:r>
      <w:r w:rsidRPr="00132E65">
        <w:rPr>
          <w:rtl/>
        </w:rPr>
        <w:t xml:space="preserve"> في « ف » : « مضيت »</w:t>
      </w:r>
      <w:r>
        <w:rPr>
          <w:rtl/>
        </w:rPr>
        <w:t>.</w:t>
      </w:r>
    </w:p>
    <w:p w:rsidR="000C39D1" w:rsidRPr="00132E65" w:rsidRDefault="000C39D1" w:rsidP="000C39D1">
      <w:pPr>
        <w:pStyle w:val="libFootnote0"/>
        <w:rPr>
          <w:rtl/>
          <w:lang w:bidi="fa-IR"/>
        </w:rPr>
      </w:pPr>
      <w:r>
        <w:rPr>
          <w:rtl/>
        </w:rPr>
        <w:t>(3).</w:t>
      </w:r>
      <w:r w:rsidRPr="00132E65">
        <w:rPr>
          <w:rtl/>
        </w:rPr>
        <w:t xml:space="preserve"> قال المجلسي : « ويمكن أن يقرأ سَبْق بصيغة المصدر مضافاً إلى الكتاب ؛ ليكون مفعولاً مطلقاً للتشبيه. والحاصل : أنّي كلّما أقصد أن أذكر شيئاً ممّا في رأسي من فضائلك ، أو فضائلك ومناقب أخيك ، أجده مذك</w:t>
      </w:r>
      <w:r w:rsidR="007437BB">
        <w:rPr>
          <w:rtl/>
        </w:rPr>
        <w:t>وراً في كتاب الله وكتب الأنبياء</w:t>
      </w:r>
      <w:r w:rsidRPr="00132E65">
        <w:rPr>
          <w:rtl/>
        </w:rPr>
        <w:t xml:space="preserve">» ، وقال في </w:t>
      </w:r>
      <w:r w:rsidRPr="009D1ACE">
        <w:rPr>
          <w:rStyle w:val="libFootnoteBoldChar"/>
          <w:rtl/>
        </w:rPr>
        <w:t>الوافي</w:t>
      </w:r>
      <w:r w:rsidRPr="00132E65">
        <w:rPr>
          <w:rtl/>
        </w:rPr>
        <w:t xml:space="preserve"> : « سُبقت إليه ، أي أنت سبقتني إليه وأخوك سبق القرآن ، فإنّ فيه كلّ شي‌ء »</w:t>
      </w:r>
      <w:r>
        <w:rPr>
          <w:rtl/>
        </w:rPr>
        <w:t>.</w:t>
      </w:r>
    </w:p>
    <w:p w:rsidR="000C39D1" w:rsidRPr="00132E65" w:rsidRDefault="000C39D1" w:rsidP="000C39D1">
      <w:pPr>
        <w:pStyle w:val="libFootnote0"/>
        <w:rPr>
          <w:rtl/>
          <w:lang w:bidi="fa-IR"/>
        </w:rPr>
      </w:pPr>
      <w:r>
        <w:rPr>
          <w:rtl/>
        </w:rPr>
        <w:t>(4).</w:t>
      </w:r>
      <w:r w:rsidRPr="00132E65">
        <w:rPr>
          <w:rtl/>
        </w:rPr>
        <w:t xml:space="preserve"> في « ب » : « المنزّل »</w:t>
      </w:r>
      <w:r>
        <w:rPr>
          <w:rtl/>
        </w:rPr>
        <w:t>.</w:t>
      </w:r>
    </w:p>
    <w:p w:rsidR="000C39D1" w:rsidRPr="00132E65" w:rsidRDefault="000C39D1" w:rsidP="007437BB">
      <w:pPr>
        <w:pStyle w:val="libFootnote0"/>
        <w:rPr>
          <w:rtl/>
          <w:lang w:bidi="fa-IR"/>
        </w:rPr>
      </w:pPr>
      <w:r>
        <w:rPr>
          <w:rtl/>
        </w:rPr>
        <w:t>(5).</w:t>
      </w:r>
      <w:r w:rsidRPr="00132E65">
        <w:rPr>
          <w:rtl/>
        </w:rPr>
        <w:t xml:space="preserve"> في « ب ، ف ، بف » وحاشية « بس » وحاشية بدرالدين : « وما خلت »</w:t>
      </w:r>
      <w:r>
        <w:rPr>
          <w:rtl/>
        </w:rPr>
        <w:t>.</w:t>
      </w:r>
      <w:r w:rsidRPr="00132E65">
        <w:rPr>
          <w:rtl/>
        </w:rPr>
        <w:t xml:space="preserve"> وفي « ج ، بح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 أو ما خلت »</w:t>
      </w:r>
      <w:r>
        <w:rPr>
          <w:rtl/>
        </w:rPr>
        <w:t>.</w:t>
      </w:r>
      <w:r w:rsidRPr="00132E65">
        <w:rPr>
          <w:rtl/>
        </w:rPr>
        <w:t xml:space="preserve"> وفي حاشية « ج » : « أو ما مضت »</w:t>
      </w:r>
      <w:r>
        <w:rPr>
          <w:rtl/>
        </w:rPr>
        <w:t>.</w:t>
      </w:r>
      <w:r w:rsidRPr="00132E65">
        <w:rPr>
          <w:rtl/>
        </w:rPr>
        <w:t xml:space="preserve"> وفي حاشية « بر ، بف » : « وما جاءت »</w:t>
      </w:r>
      <w:r>
        <w:rPr>
          <w:rtl/>
        </w:rPr>
        <w:t>.</w:t>
      </w:r>
      <w:r w:rsidRPr="00132E65">
        <w:rPr>
          <w:rtl/>
        </w:rPr>
        <w:t xml:space="preserve"> وفي « ه‍ </w:t>
      </w:r>
      <w:r w:rsidR="007437BB" w:rsidRPr="00132E65">
        <w:rPr>
          <w:rtl/>
        </w:rPr>
        <w:t>»</w:t>
      </w:r>
      <w:r w:rsidRPr="00132E65">
        <w:rPr>
          <w:rtl/>
        </w:rPr>
        <w:t xml:space="preserve"> وحاشية « بف » الا</w:t>
      </w:r>
      <w:r>
        <w:rPr>
          <w:rFonts w:hint="cs"/>
          <w:rtl/>
        </w:rPr>
        <w:t>ُ</w:t>
      </w:r>
      <w:r w:rsidRPr="00132E65">
        <w:rPr>
          <w:rtl/>
        </w:rPr>
        <w:t>خرى : « وما مضت »</w:t>
      </w:r>
      <w:r>
        <w:rPr>
          <w:rtl/>
        </w:rPr>
        <w:t>.</w:t>
      </w:r>
      <w:r w:rsidRPr="00132E65">
        <w:rPr>
          <w:rtl/>
        </w:rPr>
        <w:t xml:space="preserve"> وفي شرح المازندراني : « أو ما حلّت »</w:t>
      </w:r>
      <w:r>
        <w:rPr>
          <w:rtl/>
        </w:rPr>
        <w:t>.</w:t>
      </w:r>
    </w:p>
    <w:p w:rsidR="000C39D1" w:rsidRPr="00132E65" w:rsidRDefault="000C39D1" w:rsidP="000C39D1">
      <w:pPr>
        <w:pStyle w:val="libFootnote0"/>
        <w:rPr>
          <w:rtl/>
          <w:lang w:bidi="fa-IR"/>
        </w:rPr>
      </w:pPr>
      <w:r>
        <w:rPr>
          <w:rtl/>
        </w:rPr>
        <w:t>(6).</w:t>
      </w:r>
      <w:r w:rsidRPr="00132E65">
        <w:rPr>
          <w:rtl/>
        </w:rPr>
        <w:t xml:space="preserve"> « يكلّ » ، من الكلّ بمعنى العجز والإعياء والثقل والتعب والوهن. راجع : </w:t>
      </w:r>
      <w:r w:rsidRPr="009D1ACE">
        <w:rPr>
          <w:rStyle w:val="libFootnoteBoldChar"/>
          <w:rtl/>
        </w:rPr>
        <w:t>لسان العرب</w:t>
      </w:r>
      <w:r w:rsidRPr="00132E65">
        <w:rPr>
          <w:rtl/>
        </w:rPr>
        <w:t xml:space="preserve"> ، ج 11 ، ص 590 </w:t>
      </w:r>
      <w:r>
        <w:rPr>
          <w:rtl/>
        </w:rPr>
        <w:t>و 5</w:t>
      </w:r>
      <w:r w:rsidRPr="00132E65">
        <w:rPr>
          <w:rtl/>
        </w:rPr>
        <w:t>94 ( كلل )</w:t>
      </w:r>
      <w:r>
        <w:rPr>
          <w:rtl/>
        </w:rPr>
        <w:t>.</w:t>
      </w:r>
    </w:p>
    <w:p w:rsidR="000C39D1" w:rsidRPr="00132E65" w:rsidRDefault="000C39D1" w:rsidP="000C39D1">
      <w:pPr>
        <w:pStyle w:val="libFootnote0"/>
        <w:rPr>
          <w:rtl/>
          <w:lang w:bidi="fa-IR"/>
        </w:rPr>
      </w:pPr>
      <w:r>
        <w:rPr>
          <w:rtl/>
        </w:rPr>
        <w:t>(7).</w:t>
      </w:r>
      <w:r w:rsidRPr="00132E65">
        <w:rPr>
          <w:rtl/>
        </w:rPr>
        <w:t xml:space="preserve"> في « ج ، ض ، ف ، ه‍ ، و، بح ، بر ، بس ، بف » وشرح المازندراني :</w:t>
      </w:r>
      <w:r>
        <w:rPr>
          <w:rtl/>
        </w:rPr>
        <w:t xml:space="preserve"> + </w:t>
      </w:r>
      <w:r w:rsidRPr="00132E65">
        <w:rPr>
          <w:rtl/>
        </w:rPr>
        <w:t>« حتّى يكلّ لسانُه »</w:t>
      </w:r>
      <w:r>
        <w:rPr>
          <w:rtl/>
        </w:rPr>
        <w:t>. واستظهر العل</w:t>
      </w:r>
      <w:r>
        <w:rPr>
          <w:rFonts w:hint="cs"/>
          <w:rtl/>
        </w:rPr>
        <w:t>ّ</w:t>
      </w:r>
      <w:r>
        <w:rPr>
          <w:rtl/>
        </w:rPr>
        <w:t>ا</w:t>
      </w:r>
      <w:r w:rsidRPr="00132E65">
        <w:rPr>
          <w:rtl/>
        </w:rPr>
        <w:t>مة المازندراني في شرحه عدمه ، وقال : « ولعلّ المعنى على تقدير وجوده أنّ الكلام الذي في رأسي يكلّ به لسان الناطق الفصيح ويعجز عن إبدائه حتّى يبلغ غاية الكمال ويعجز عن النطق به بالكلّية »</w:t>
      </w:r>
      <w:r>
        <w:rPr>
          <w:rtl/>
        </w:rPr>
        <w:t>.</w:t>
      </w:r>
    </w:p>
    <w:p w:rsidR="000C39D1" w:rsidRPr="00132E65" w:rsidRDefault="000C39D1" w:rsidP="000C39D1">
      <w:pPr>
        <w:pStyle w:val="libFootnote0"/>
        <w:rPr>
          <w:rtl/>
          <w:lang w:bidi="fa-IR"/>
        </w:rPr>
      </w:pPr>
      <w:r>
        <w:rPr>
          <w:rtl/>
        </w:rPr>
        <w:t>(8).</w:t>
      </w:r>
      <w:r w:rsidRPr="00132E65">
        <w:rPr>
          <w:rtl/>
        </w:rPr>
        <w:t xml:space="preserve"> في « ض ، ف ، بح ، بر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يؤتى » ، أي من يُكتب له أولهم.</w:t>
      </w:r>
    </w:p>
    <w:p w:rsidR="000C39D1" w:rsidRPr="00132E65" w:rsidRDefault="000C39D1" w:rsidP="000C39D1">
      <w:pPr>
        <w:pStyle w:val="libFootnote0"/>
        <w:rPr>
          <w:rtl/>
          <w:lang w:bidi="fa-IR"/>
        </w:rPr>
      </w:pPr>
      <w:r>
        <w:rPr>
          <w:rtl/>
        </w:rPr>
        <w:t>(9).</w:t>
      </w:r>
      <w:r w:rsidRPr="00132E65">
        <w:rPr>
          <w:rtl/>
        </w:rPr>
        <w:t xml:space="preserve"> في « ب » : « جمّاً »</w:t>
      </w:r>
      <w:r>
        <w:rPr>
          <w:rtl/>
        </w:rPr>
        <w:t>.</w:t>
      </w:r>
      <w:r w:rsidRPr="00132E65">
        <w:rPr>
          <w:rtl/>
        </w:rPr>
        <w:t xml:space="preserve"> وفي « بر » : « جميعاً »</w:t>
      </w:r>
      <w:r>
        <w:rPr>
          <w:rtl/>
        </w:rPr>
        <w:t>.</w:t>
      </w:r>
      <w:r w:rsidRPr="00132E65">
        <w:rPr>
          <w:rtl/>
        </w:rPr>
        <w:t xml:space="preserve"> </w:t>
      </w:r>
      <w:r>
        <w:rPr>
          <w:rtl/>
        </w:rPr>
        <w:t>و «</w:t>
      </w:r>
      <w:r w:rsidRPr="00132E65">
        <w:rPr>
          <w:rtl/>
        </w:rPr>
        <w:t xml:space="preserve"> الحمم » : الفحم ، واحدته : حُمَمَة. والحُمَم : الرماد والفحم وكلّ ما احترق من النار. </w:t>
      </w:r>
      <w:r w:rsidRPr="009D1ACE">
        <w:rPr>
          <w:rStyle w:val="libFootnoteBoldChar"/>
          <w:rtl/>
        </w:rPr>
        <w:t>لسان العرب</w:t>
      </w:r>
      <w:r w:rsidRPr="00132E65">
        <w:rPr>
          <w:rtl/>
        </w:rPr>
        <w:t xml:space="preserve"> ، ج 12 ، ص 157 ( حمم )</w:t>
      </w:r>
      <w:r>
        <w:rPr>
          <w:rtl/>
        </w:rPr>
        <w:t>.</w:t>
      </w:r>
    </w:p>
    <w:p w:rsidR="000C39D1" w:rsidRPr="00132E65" w:rsidRDefault="000C39D1" w:rsidP="000C39D1">
      <w:pPr>
        <w:pStyle w:val="libFootnote0"/>
        <w:rPr>
          <w:rtl/>
          <w:lang w:bidi="fa-IR"/>
        </w:rPr>
      </w:pPr>
      <w:r>
        <w:rPr>
          <w:rtl/>
        </w:rPr>
        <w:t>(10).</w:t>
      </w:r>
      <w:r w:rsidRPr="00132E65">
        <w:rPr>
          <w:rtl/>
        </w:rPr>
        <w:t xml:space="preserve"> في « ب ، ج ، و، بر ، بس » و</w:t>
      </w:r>
      <w:r w:rsidRPr="009D1ACE">
        <w:rPr>
          <w:rStyle w:val="libFootnoteBoldChar"/>
          <w:rtl/>
        </w:rPr>
        <w:t>الوافي</w:t>
      </w:r>
      <w:r w:rsidRPr="00132E65">
        <w:rPr>
          <w:rtl/>
        </w:rPr>
        <w:t xml:space="preserve"> : « ولا » ، وجعله المازندراني في شرحه أظهر ، بجعل الواو للحال.</w:t>
      </w:r>
    </w:p>
    <w:p w:rsidR="000C39D1" w:rsidRPr="00132E65" w:rsidRDefault="000C39D1" w:rsidP="000C39D1">
      <w:pPr>
        <w:pStyle w:val="libFootnote0"/>
        <w:rPr>
          <w:rtl/>
          <w:lang w:bidi="fa-IR"/>
        </w:rPr>
      </w:pPr>
      <w:r>
        <w:rPr>
          <w:rtl/>
        </w:rPr>
        <w:t>(11).</w:t>
      </w:r>
      <w:r w:rsidRPr="00132E65">
        <w:rPr>
          <w:rtl/>
        </w:rPr>
        <w:t xml:space="preserve"> هكذا في النسخ التي قوبلت. وفي المطبوع :</w:t>
      </w:r>
      <w:r>
        <w:rPr>
          <w:rtl/>
        </w:rPr>
        <w:t xml:space="preserve"> + </w:t>
      </w:r>
      <w:r w:rsidRPr="00132E65">
        <w:rPr>
          <w:rtl/>
        </w:rPr>
        <w:t>« إلى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الْحُسَيْنُ </w:t>
      </w:r>
      <w:r w:rsidRPr="00071CF9">
        <w:rPr>
          <w:rStyle w:val="libAlaemChar"/>
          <w:rtl/>
        </w:rPr>
        <w:t>عليه‌السلام</w:t>
      </w:r>
      <w:r w:rsidRPr="00132E65">
        <w:rPr>
          <w:rtl/>
          <w:lang w:bidi="fa-IR"/>
        </w:rPr>
        <w:t xml:space="preserve"> أَعْلَمُنَا عِلْماً ، وأَثْقَلُنَا حِلْماً </w:t>
      </w:r>
      <w:r>
        <w:rPr>
          <w:rStyle w:val="libFootnotenumChar"/>
          <w:rtl/>
        </w:rPr>
        <w:t>(1)</w:t>
      </w:r>
      <w:r w:rsidRPr="00132E65">
        <w:rPr>
          <w:rtl/>
          <w:lang w:bidi="fa-IR"/>
        </w:rPr>
        <w:t xml:space="preserve"> ، وأَقْرَبُنَا مِنْ رَسُولِ اللهِ </w:t>
      </w:r>
      <w:r w:rsidRPr="00071CF9">
        <w:rPr>
          <w:rStyle w:val="libAlaemChar"/>
          <w:rtl/>
        </w:rPr>
        <w:t>صلى‌الله‌عليه‌وآله</w:t>
      </w:r>
      <w:r w:rsidRPr="00132E65">
        <w:rPr>
          <w:rtl/>
          <w:lang w:bidi="fa-IR"/>
        </w:rPr>
        <w:t xml:space="preserve"> رَحِماً ، كَانَ فَقِيهاً قَبْلَ أَنْ يُخْلَقَ ، وقَرَأَ الْوَحْيَ قَبْلَ أَنْ يَنْطِقَ ، ولَوْ عَلِمَ اللهُ فِي أَحَدٍ </w:t>
      </w:r>
      <w:r>
        <w:rPr>
          <w:rStyle w:val="libFootnotenumChar"/>
          <w:rtl/>
        </w:rPr>
        <w:t>(2)</w:t>
      </w:r>
      <w:r w:rsidRPr="00132E65">
        <w:rPr>
          <w:rtl/>
          <w:lang w:bidi="fa-IR"/>
        </w:rPr>
        <w:t xml:space="preserve"> خَيْراً مَا اصْطَفى </w:t>
      </w:r>
      <w:r>
        <w:rPr>
          <w:rStyle w:val="libFootnotenumChar"/>
          <w:rtl/>
        </w:rPr>
        <w:t>(3)</w:t>
      </w:r>
      <w:r w:rsidRPr="00132E65">
        <w:rPr>
          <w:rtl/>
          <w:lang w:bidi="fa-IR"/>
        </w:rPr>
        <w:t xml:space="preserve"> مُحَمَّداً </w:t>
      </w:r>
      <w:r w:rsidRPr="00071CF9">
        <w:rPr>
          <w:rStyle w:val="libAlaemChar"/>
          <w:rtl/>
        </w:rPr>
        <w:t>صلى‌الله‌عليه‌وآله</w:t>
      </w:r>
      <w:r w:rsidRPr="00132E65">
        <w:rPr>
          <w:rtl/>
          <w:lang w:bidi="fa-IR"/>
        </w:rPr>
        <w:t xml:space="preserve"> ، فَلَمَّا اخْتَارَ اللهُ مُحَمَّداً ، واخْتَارَ مُحَمَّدٌ عَلِيّاً </w:t>
      </w:r>
      <w:r w:rsidRPr="00071CF9">
        <w:rPr>
          <w:rStyle w:val="libAlaemChar"/>
          <w:rtl/>
        </w:rPr>
        <w:t>عليه‌السلام</w:t>
      </w:r>
      <w:r w:rsidRPr="00132E65">
        <w:rPr>
          <w:rtl/>
          <w:lang w:bidi="fa-IR"/>
        </w:rPr>
        <w:t xml:space="preserve"> ، واخْتَارَكَ عَلِيٌّ إِمَاماً ، واخْتَرْتَ الْحُسَيْنَ ، سَلَّمْنَا ورَضِينَا ؛ مَنْ </w:t>
      </w:r>
      <w:r>
        <w:rPr>
          <w:rStyle w:val="libFootnotenumChar"/>
          <w:rtl/>
        </w:rPr>
        <w:t>(4)</w:t>
      </w:r>
      <w:r w:rsidRPr="00132E65">
        <w:rPr>
          <w:rtl/>
          <w:lang w:bidi="fa-IR"/>
        </w:rPr>
        <w:t xml:space="preserve"> بِغَيْرِهِ </w:t>
      </w:r>
      <w:r>
        <w:rPr>
          <w:rStyle w:val="libFootnotenumChar"/>
          <w:rtl/>
        </w:rPr>
        <w:t>(5)</w:t>
      </w:r>
      <w:r w:rsidRPr="00132E65">
        <w:rPr>
          <w:rtl/>
          <w:lang w:bidi="fa-IR"/>
        </w:rPr>
        <w:t xml:space="preserve"> يَرْضَى </w:t>
      </w:r>
      <w:r>
        <w:rPr>
          <w:rStyle w:val="libFootnotenumChar"/>
          <w:rtl/>
        </w:rPr>
        <w:t>(6)</w:t>
      </w:r>
      <w:r>
        <w:rPr>
          <w:rtl/>
          <w:lang w:bidi="fa-IR"/>
        </w:rPr>
        <w:t>؟</w:t>
      </w:r>
      <w:r w:rsidRPr="00132E65">
        <w:rPr>
          <w:rtl/>
          <w:lang w:bidi="fa-IR"/>
        </w:rPr>
        <w:t xml:space="preserve"> ومَنْ </w:t>
      </w:r>
      <w:r>
        <w:rPr>
          <w:rStyle w:val="libFootnotenumChar"/>
          <w:rtl/>
        </w:rPr>
        <w:t>(7)</w:t>
      </w:r>
      <w:r w:rsidRPr="00132E65">
        <w:rPr>
          <w:rtl/>
          <w:lang w:bidi="fa-IR"/>
        </w:rPr>
        <w:t xml:space="preserve"> كُنَّا </w:t>
      </w:r>
      <w:r>
        <w:rPr>
          <w:rStyle w:val="libFootnotenumChar"/>
          <w:rtl/>
        </w:rPr>
        <w:t>(8)</w:t>
      </w:r>
      <w:r w:rsidRPr="00132E65">
        <w:rPr>
          <w:rtl/>
          <w:lang w:bidi="fa-IR"/>
        </w:rPr>
        <w:t xml:space="preserve"> نَسْلَمُ </w:t>
      </w:r>
      <w:r>
        <w:rPr>
          <w:rStyle w:val="libFootnotenumChar"/>
          <w:rtl/>
        </w:rPr>
        <w:t>(9)</w:t>
      </w:r>
      <w:r w:rsidRPr="00132E65">
        <w:rPr>
          <w:rtl/>
          <w:lang w:bidi="fa-IR"/>
        </w:rPr>
        <w:t xml:space="preserve"> بِهِ مِنْ مُشْكِلَاتِ أَمْرِنَا</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(10)</w:t>
      </w:r>
    </w:p>
    <w:p w:rsidR="000C39D1" w:rsidRPr="00132E65" w:rsidRDefault="000C39D1" w:rsidP="000C39D1">
      <w:pPr>
        <w:pStyle w:val="libNormal"/>
        <w:rPr>
          <w:rtl/>
          <w:lang w:bidi="fa-IR"/>
        </w:rPr>
      </w:pPr>
      <w:r w:rsidRPr="00E47874">
        <w:rPr>
          <w:rtl/>
        </w:rPr>
        <w:t>784</w:t>
      </w:r>
      <w:r w:rsidRPr="004325D8">
        <w:rPr>
          <w:rStyle w:val="libBold2Char"/>
          <w:rtl/>
        </w:rPr>
        <w:t xml:space="preserve"> / 3.</w:t>
      </w:r>
      <w:r w:rsidRPr="00132E65">
        <w:rPr>
          <w:rtl/>
          <w:lang w:bidi="fa-IR"/>
        </w:rPr>
        <w:t xml:space="preserve"> وبِهذَا الْإِسْنَادِ </w:t>
      </w:r>
      <w:r>
        <w:rPr>
          <w:rStyle w:val="libFootnotenumChar"/>
          <w:rtl/>
        </w:rPr>
        <w:t>(11)</w:t>
      </w:r>
      <w:r w:rsidRPr="00132E65">
        <w:rPr>
          <w:rtl/>
          <w:lang w:bidi="fa-IR"/>
        </w:rPr>
        <w:t xml:space="preserve"> ، عَنْ سَهْلٍ ، عَنْ مُحَمَّدِ بْنِ سُلَيْمَانَ ، عَنْ هَارُونَ بْنِ الْجَهْمِ ، عَنْ مُحَمَّدِ بْنِ مُسْلِمٍ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لَمَّا احْتُضِرَ الْحَسَنُ بْنُ عَلِيٍّ </w:t>
      </w:r>
      <w:r w:rsidRPr="00071CF9">
        <w:rPr>
          <w:rStyle w:val="libAlaemChar"/>
          <w:rtl/>
        </w:rPr>
        <w:t>عليهما‌السلام</w:t>
      </w:r>
      <w:r w:rsidRPr="00132E65">
        <w:rPr>
          <w:rtl/>
          <w:lang w:bidi="fa-IR"/>
        </w:rPr>
        <w:t xml:space="preserve"> ، قَالَ لِلْحُسَيْنِ </w:t>
      </w:r>
      <w:r w:rsidRPr="00071CF9">
        <w:rPr>
          <w:rStyle w:val="libAlaemChar"/>
          <w:rtl/>
        </w:rPr>
        <w:t>عليه‌السلام</w:t>
      </w:r>
      <w:r w:rsidRPr="00132E65">
        <w:rPr>
          <w:rtl/>
          <w:lang w:bidi="fa-IR"/>
        </w:rPr>
        <w:t xml:space="preserve"> :يَا أَخِي ، إِنِّي أُوصِيكَ بِوَصِيَّةٍ فَاحْفَظْهَا ، فَإِذَا أَنَا مِتُّ فَهَيِّئْنِي ، ثُمَّ وجِّهْنِي إِلى رَسُولِ اللهِ </w:t>
      </w:r>
      <w:r w:rsidRPr="00071CF9">
        <w:rPr>
          <w:rStyle w:val="libAlaemChar"/>
          <w:rtl/>
        </w:rPr>
        <w:t>صلى‌الله‌عليه‌وآله</w:t>
      </w:r>
      <w:r w:rsidRPr="00132E65">
        <w:rPr>
          <w:rtl/>
          <w:lang w:bidi="fa-IR"/>
        </w:rPr>
        <w:t xml:space="preserve"> لِأُحْدِثَ </w:t>
      </w:r>
      <w:r>
        <w:rPr>
          <w:rStyle w:val="libFootnotenumChar"/>
          <w:rtl/>
        </w:rPr>
        <w:t>(12)</w:t>
      </w:r>
      <w:r w:rsidRPr="00132E65">
        <w:rPr>
          <w:rtl/>
          <w:lang w:bidi="fa-IR"/>
        </w:rPr>
        <w:t xml:space="preserve"> بِهِ عَهْداً ، ثُمَّ اصْرِفْنِي إِلى أُمِّي فَاطِمَةَ عَلَيْها مِنَ اللهِ‌</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 في «ف</w:t>
            </w:r>
            <w:r w:rsidRPr="00132E65">
              <w:rPr>
                <w:rtl/>
              </w:rPr>
              <w:t>» : « حملاً »</w:t>
            </w:r>
            <w:r>
              <w:rPr>
                <w:rtl/>
              </w:rPr>
              <w:t>.</w:t>
            </w:r>
            <w:r w:rsidRPr="00132E65">
              <w:rPr>
                <w:rtl/>
              </w:rPr>
              <w:t xml:space="preserve"> وفي « بح » : « علماً »</w:t>
            </w:r>
            <w:r>
              <w:rPr>
                <w:rtl/>
              </w:rPr>
              <w:t>.</w:t>
            </w:r>
          </w:p>
        </w:tc>
        <w:tc>
          <w:tcPr>
            <w:tcW w:w="4006" w:type="dxa"/>
          </w:tcPr>
          <w:p w:rsidR="000C39D1" w:rsidRDefault="000C39D1" w:rsidP="00B53873">
            <w:pPr>
              <w:pStyle w:val="libFootnote0"/>
              <w:rPr>
                <w:rtl/>
              </w:rPr>
            </w:pPr>
            <w:r>
              <w:rPr>
                <w:rtl/>
              </w:rPr>
              <w:t>(2). في «ض ، ف ، بح»</w:t>
            </w:r>
            <w:r w:rsidRPr="00132E65">
              <w:rPr>
                <w:rtl/>
              </w:rPr>
              <w:t>و</w:t>
            </w:r>
            <w:r w:rsidRPr="009D1ACE">
              <w:rPr>
                <w:rStyle w:val="libFootnoteBoldChar"/>
                <w:rtl/>
              </w:rPr>
              <w:t>الوافي</w:t>
            </w:r>
            <w:r w:rsidRPr="00132E65">
              <w:rPr>
                <w:rtl/>
              </w:rPr>
              <w:t xml:space="preserve"> :</w:t>
            </w:r>
            <w:r>
              <w:rPr>
                <w:rtl/>
              </w:rPr>
              <w:t xml:space="preserve">+ </w:t>
            </w:r>
            <w:r w:rsidRPr="00132E65">
              <w:rPr>
                <w:rtl/>
              </w:rPr>
              <w:t>« غير محمّد »</w:t>
            </w:r>
            <w:r>
              <w:rPr>
                <w:rtl/>
              </w:rPr>
              <w:t>.</w:t>
            </w:r>
          </w:p>
        </w:tc>
      </w:tr>
    </w:tbl>
    <w:p w:rsidR="000C39D1" w:rsidRPr="00132E65" w:rsidRDefault="000C39D1" w:rsidP="000C39D1">
      <w:pPr>
        <w:pStyle w:val="libFootnote0"/>
        <w:rPr>
          <w:rtl/>
          <w:lang w:bidi="fa-IR"/>
        </w:rPr>
      </w:pPr>
      <w:r>
        <w:rPr>
          <w:rtl/>
        </w:rPr>
        <w:t>(3).</w:t>
      </w:r>
      <w:r w:rsidRPr="00132E65">
        <w:rPr>
          <w:rtl/>
        </w:rPr>
        <w:t xml:space="preserve"> في « بح » وحاشية « بر »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(4).</w:t>
      </w:r>
      <w:r w:rsidRPr="00132E65">
        <w:rPr>
          <w:rtl/>
        </w:rPr>
        <w:t xml:space="preserve"> هكذا في النسخ التي قوبلت وشرح المازندراني و</w:t>
      </w:r>
      <w:r w:rsidRPr="009D1ACE">
        <w:rPr>
          <w:rStyle w:val="libFootnoteBoldChar"/>
          <w:rtl/>
        </w:rPr>
        <w:t>مرآة العقول</w:t>
      </w:r>
      <w:r w:rsidRPr="00132E65">
        <w:rPr>
          <w:rtl/>
        </w:rPr>
        <w:t>. وفي المطبوع وحاشية بدرالدين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(5).</w:t>
      </w:r>
      <w:r w:rsidRPr="00132E65">
        <w:rPr>
          <w:rtl/>
        </w:rPr>
        <w:t xml:space="preserve"> في حاشية « بس » : « بعزّه »</w:t>
      </w:r>
      <w:r>
        <w:rPr>
          <w:rtl/>
        </w:rPr>
        <w:t>.</w:t>
      </w:r>
    </w:p>
    <w:p w:rsidR="000C39D1" w:rsidRPr="00132E65" w:rsidRDefault="000C39D1" w:rsidP="000C39D1">
      <w:pPr>
        <w:pStyle w:val="libFootnote0"/>
        <w:rPr>
          <w:rtl/>
          <w:lang w:bidi="fa-IR"/>
        </w:rPr>
      </w:pPr>
      <w:r>
        <w:rPr>
          <w:rtl/>
        </w:rPr>
        <w:t>(6).</w:t>
      </w:r>
      <w:r w:rsidRPr="00132E65">
        <w:rPr>
          <w:rtl/>
        </w:rPr>
        <w:t xml:space="preserve"> في « ألف ، بس ، بف » : « نرضى »</w:t>
      </w:r>
      <w:r>
        <w:rPr>
          <w:rtl/>
        </w:rPr>
        <w:t>.</w:t>
      </w:r>
      <w:r w:rsidRPr="00132E65">
        <w:rPr>
          <w:rtl/>
        </w:rPr>
        <w:t xml:space="preserve"> وفي حاشية بدرالدين و</w:t>
      </w:r>
      <w:r w:rsidRPr="009D1ACE">
        <w:rPr>
          <w:rStyle w:val="libFootnoteBoldChar"/>
          <w:rtl/>
        </w:rPr>
        <w:t>الوافي</w:t>
      </w:r>
      <w:r w:rsidRPr="00132E65">
        <w:rPr>
          <w:rtl/>
        </w:rPr>
        <w:t xml:space="preserve"> : « الرضا »</w:t>
      </w:r>
      <w:r>
        <w:rPr>
          <w:rtl/>
        </w:rPr>
        <w:t>.</w:t>
      </w:r>
      <w:r w:rsidRPr="00132E65">
        <w:rPr>
          <w:rtl/>
        </w:rPr>
        <w:t xml:space="preserve"> وقال المازندراني : « وأمّا قراءة نرضى بالنون على أن يكون متكلّماً مع الغير</w:t>
      </w:r>
      <w:r>
        <w:rPr>
          <w:rtl/>
        </w:rPr>
        <w:t xml:space="preserve"> - </w:t>
      </w:r>
      <w:r w:rsidRPr="00132E65">
        <w:rPr>
          <w:rtl/>
        </w:rPr>
        <w:t>كما في بعض النسخ</w:t>
      </w:r>
      <w:r>
        <w:rPr>
          <w:rtl/>
        </w:rPr>
        <w:t xml:space="preserve"> - </w:t>
      </w:r>
      <w:r w:rsidRPr="00132E65">
        <w:rPr>
          <w:rtl/>
        </w:rPr>
        <w:t>فلا يخلو ما فيه ؛ لخ</w:t>
      </w:r>
      <w:r>
        <w:rPr>
          <w:rtl/>
        </w:rPr>
        <w:t>لوّ « مَنْ » عن العائد إليه إل</w:t>
      </w:r>
      <w:r>
        <w:rPr>
          <w:rFonts w:hint="cs"/>
          <w:rtl/>
        </w:rPr>
        <w:t>ّ</w:t>
      </w:r>
      <w:r>
        <w:rPr>
          <w:rtl/>
        </w:rPr>
        <w:t>ا</w:t>
      </w:r>
      <w:r>
        <w:rPr>
          <w:rFonts w:hint="cs"/>
          <w:rtl/>
        </w:rPr>
        <w:t xml:space="preserve"> </w:t>
      </w:r>
      <w:r w:rsidRPr="00132E65">
        <w:rPr>
          <w:rtl/>
        </w:rPr>
        <w:t>أن يقدّر أو يجعل ضمير المجرور له ، والأخير واه »</w:t>
      </w:r>
      <w:r>
        <w:rPr>
          <w:rtl/>
        </w:rPr>
        <w:t>.</w:t>
      </w:r>
      <w:r w:rsidRPr="00132E65">
        <w:rPr>
          <w:rtl/>
        </w:rPr>
        <w:t xml:space="preserve"> والمجلسي بعد ما نقله عن بعض </w:t>
      </w:r>
      <w:r>
        <w:rPr>
          <w:rtl/>
        </w:rPr>
        <w:t>النسخ قال : « وهو لا يستقيم إل</w:t>
      </w:r>
      <w:r>
        <w:rPr>
          <w:rFonts w:hint="cs"/>
          <w:rtl/>
        </w:rPr>
        <w:t>ّ</w:t>
      </w:r>
      <w:r>
        <w:rPr>
          <w:rtl/>
        </w:rPr>
        <w:t>ا</w:t>
      </w:r>
      <w:r w:rsidRPr="00132E65">
        <w:rPr>
          <w:rtl/>
        </w:rPr>
        <w:t>بتقدير الباء في أوّل الكلام ، أي بمن بغيره نرضى. وفي بعض النسخ : من بعزة ترضى »</w:t>
      </w:r>
      <w:r>
        <w:rPr>
          <w:rtl/>
        </w:rPr>
        <w:t>.</w:t>
      </w:r>
    </w:p>
    <w:p w:rsidR="000C39D1" w:rsidRPr="00132E65" w:rsidRDefault="000C39D1" w:rsidP="000C39D1">
      <w:pPr>
        <w:pStyle w:val="libFootnote0"/>
        <w:rPr>
          <w:rtl/>
          <w:lang w:bidi="fa-IR"/>
        </w:rPr>
      </w:pPr>
      <w:r>
        <w:rPr>
          <w:rtl/>
        </w:rPr>
        <w:t>(7).</w:t>
      </w:r>
      <w:r w:rsidRPr="00132E65">
        <w:rPr>
          <w:rtl/>
        </w:rPr>
        <w:t xml:space="preserve"> هكذا في النسخ التي قوبلت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وفي المطبوع : « [ من غيره ] »</w:t>
      </w:r>
      <w:r>
        <w:rPr>
          <w:rtl/>
        </w:rPr>
        <w:t>.</w:t>
      </w:r>
      <w:r w:rsidRPr="00132E65">
        <w:rPr>
          <w:rtl/>
        </w:rPr>
        <w:t xml:space="preserve"> وجعل في </w:t>
      </w:r>
      <w:r w:rsidRPr="00E47874">
        <w:rPr>
          <w:rtl/>
        </w:rPr>
        <w:t>المرآة</w:t>
      </w:r>
      <w:r w:rsidRPr="00132E65">
        <w:rPr>
          <w:rtl/>
        </w:rPr>
        <w:t xml:space="preserve"> « غيره » مقدّراً على تقدير كون « مَنْ » للاستفهام الإنكاري.</w:t>
      </w:r>
    </w:p>
    <w:p w:rsidR="000C39D1" w:rsidRPr="00132E65" w:rsidRDefault="000C39D1" w:rsidP="000C39D1">
      <w:pPr>
        <w:pStyle w:val="libFootnote0"/>
        <w:rPr>
          <w:rtl/>
          <w:lang w:bidi="fa-IR"/>
        </w:rPr>
      </w:pPr>
      <w:r>
        <w:rPr>
          <w:rtl/>
        </w:rPr>
        <w:t>(8).</w:t>
      </w:r>
      <w:r w:rsidRPr="00132E65">
        <w:rPr>
          <w:rtl/>
        </w:rPr>
        <w:t xml:space="preserve"> في « بس » </w:t>
      </w:r>
      <w:r>
        <w:rPr>
          <w:rtl/>
        </w:rPr>
        <w:t xml:space="preserve">: - </w:t>
      </w:r>
      <w:r w:rsidRPr="00132E65">
        <w:rPr>
          <w:rtl/>
        </w:rPr>
        <w:t>« كنّا »</w:t>
      </w:r>
      <w:r>
        <w:rPr>
          <w:rtl/>
        </w:rPr>
        <w:t>.</w:t>
      </w:r>
    </w:p>
    <w:p w:rsidR="000C39D1" w:rsidRPr="00132E65" w:rsidRDefault="000C39D1" w:rsidP="000C39D1">
      <w:pPr>
        <w:pStyle w:val="libFootnote0"/>
        <w:rPr>
          <w:rtl/>
          <w:lang w:bidi="fa-IR"/>
        </w:rPr>
      </w:pPr>
      <w:r>
        <w:rPr>
          <w:rtl/>
        </w:rPr>
        <w:t>(9).</w:t>
      </w:r>
      <w:r w:rsidRPr="00132E65">
        <w:rPr>
          <w:rtl/>
        </w:rPr>
        <w:t xml:space="preserve"> في « ف » : « نسلّم »</w:t>
      </w:r>
      <w:r>
        <w:rPr>
          <w:rtl/>
        </w:rPr>
        <w:t>.</w:t>
      </w:r>
      <w:r w:rsidRPr="00132E65">
        <w:rPr>
          <w:rtl/>
        </w:rPr>
        <w:t xml:space="preserve"> وفي </w:t>
      </w:r>
      <w:r w:rsidRPr="009D1ACE">
        <w:rPr>
          <w:rStyle w:val="libFootnoteBoldChar"/>
          <w:rtl/>
        </w:rPr>
        <w:t>مرآة العقول</w:t>
      </w:r>
      <w:r w:rsidRPr="00132E65">
        <w:rPr>
          <w:rtl/>
        </w:rPr>
        <w:t xml:space="preserve"> ، ج 3 ، ص 313 : «</w:t>
      </w:r>
      <w:r>
        <w:rPr>
          <w:rtl/>
        </w:rPr>
        <w:t xml:space="preserve"> ..</w:t>
      </w:r>
      <w:r w:rsidRPr="00132E65">
        <w:rPr>
          <w:rtl/>
        </w:rPr>
        <w:t>. ونسلم إمّا بالتشديد فكلمة مِنْ تعليليّة ؛ أو بالتخفيف ، أي نصير به سالماً من الابتلاء بالمشكلات »</w:t>
      </w:r>
      <w:r>
        <w:rPr>
          <w:rtl/>
        </w:rPr>
        <w:t>.</w:t>
      </w:r>
    </w:p>
    <w:p w:rsidR="000C39D1" w:rsidRPr="00132E65" w:rsidRDefault="000C39D1" w:rsidP="000C39D1">
      <w:pPr>
        <w:pStyle w:val="libFootnote0"/>
        <w:rPr>
          <w:rtl/>
          <w:lang w:bidi="fa-IR"/>
        </w:rPr>
      </w:pPr>
      <w:r>
        <w:rPr>
          <w:rtl/>
        </w:rPr>
        <w:t>(10).</w:t>
      </w:r>
      <w:r w:rsidRPr="00132E65">
        <w:rPr>
          <w:rtl/>
        </w:rPr>
        <w:t xml:space="preserve"> </w:t>
      </w:r>
      <w:r w:rsidRPr="009D1ACE">
        <w:rPr>
          <w:rStyle w:val="libFootnoteBoldChar"/>
          <w:rtl/>
        </w:rPr>
        <w:t>الوافي</w:t>
      </w:r>
      <w:r w:rsidRPr="00132E65">
        <w:rPr>
          <w:rtl/>
        </w:rPr>
        <w:t xml:space="preserve"> ، ج 2 ، ص 337 ، ح 798.</w:t>
      </w:r>
    </w:p>
    <w:p w:rsidR="000C39D1" w:rsidRPr="00132E65" w:rsidRDefault="000C39D1" w:rsidP="000C39D1">
      <w:pPr>
        <w:pStyle w:val="libFootnote0"/>
        <w:rPr>
          <w:rtl/>
          <w:lang w:bidi="fa-IR"/>
        </w:rPr>
      </w:pPr>
      <w:r>
        <w:rPr>
          <w:rtl/>
        </w:rPr>
        <w:t>(11).</w:t>
      </w:r>
      <w:r w:rsidRPr="00132E65">
        <w:rPr>
          <w:rtl/>
        </w:rPr>
        <w:t xml:space="preserve"> إشارة إلى « محمّد بن الحسن وعليّ بن محمّد » المذكورين صدر السند السابق.</w:t>
      </w:r>
    </w:p>
    <w:p w:rsidR="000C39D1" w:rsidRPr="00132E65" w:rsidRDefault="000C39D1" w:rsidP="000C39D1">
      <w:pPr>
        <w:pStyle w:val="libFootnote0"/>
        <w:rPr>
          <w:rtl/>
          <w:lang w:bidi="fa-IR"/>
        </w:rPr>
      </w:pPr>
      <w:r>
        <w:rPr>
          <w:rtl/>
        </w:rPr>
        <w:t>(12).</w:t>
      </w:r>
      <w:r w:rsidRPr="00132E65">
        <w:rPr>
          <w:rtl/>
        </w:rPr>
        <w:t xml:space="preserve"> في « ف ، بس ، بف » : « لُاحدّث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السَّلَامُ </w:t>
      </w:r>
      <w:r>
        <w:rPr>
          <w:rStyle w:val="libFootnotenumChar"/>
          <w:rtl/>
        </w:rPr>
        <w:t>(1)</w:t>
      </w:r>
      <w:r w:rsidRPr="00132E65">
        <w:rPr>
          <w:rtl/>
          <w:lang w:bidi="fa-IR"/>
        </w:rPr>
        <w:t xml:space="preserve"> ، ثُمَّ رُدَّنِي فَادْفِنِّي بِالْبَقِيعِ ، واعْلَمْ أَنَّهُ سَيُصِيبُنِي مِنَ الْحُمَيْرَاءِ مَا يَعْلَمُ النَّاسُ مِنْ صَنِيعِهَا </w:t>
      </w:r>
      <w:r>
        <w:rPr>
          <w:rStyle w:val="libFootnotenumChar"/>
          <w:rtl/>
        </w:rPr>
        <w:t>(2)</w:t>
      </w:r>
      <w:r w:rsidRPr="00132E65">
        <w:rPr>
          <w:rtl/>
          <w:lang w:bidi="fa-IR"/>
        </w:rPr>
        <w:t xml:space="preserve"> وعَدَاوَتِهَا لِلّهِ ولِرَسُولِهِ </w:t>
      </w:r>
      <w:r w:rsidRPr="00071CF9">
        <w:rPr>
          <w:rStyle w:val="libAlaemChar"/>
          <w:rtl/>
        </w:rPr>
        <w:t>صلى‌الله‌عليه‌وآله</w:t>
      </w:r>
      <w:r w:rsidRPr="00132E65">
        <w:rPr>
          <w:rtl/>
          <w:lang w:bidi="fa-IR"/>
        </w:rPr>
        <w:t xml:space="preserve"> وعَدَاوَتِهَا لَنَا أَهْلَ الْبَيْتِ.</w:t>
      </w:r>
    </w:p>
    <w:p w:rsidR="000C39D1" w:rsidRPr="00132E65" w:rsidRDefault="000C39D1" w:rsidP="000C39D1">
      <w:pPr>
        <w:pStyle w:val="libNormal"/>
        <w:rPr>
          <w:rtl/>
          <w:lang w:bidi="fa-IR"/>
        </w:rPr>
      </w:pPr>
      <w:r w:rsidRPr="00132E65">
        <w:rPr>
          <w:rtl/>
          <w:lang w:bidi="fa-IR"/>
        </w:rPr>
        <w:t xml:space="preserve">فَلَمَّا قُبِضَ الْحَسَنُ </w:t>
      </w:r>
      <w:r w:rsidRPr="00071CF9">
        <w:rPr>
          <w:rStyle w:val="libAlaemChar"/>
          <w:rtl/>
        </w:rPr>
        <w:t>عليه‌السلام</w:t>
      </w:r>
      <w:r w:rsidRPr="00132E65">
        <w:rPr>
          <w:rtl/>
          <w:lang w:bidi="fa-IR"/>
        </w:rPr>
        <w:t xml:space="preserve"> ، وضِعَ </w:t>
      </w:r>
      <w:r>
        <w:rPr>
          <w:rStyle w:val="libFootnotenumChar"/>
          <w:rtl/>
        </w:rPr>
        <w:t>(3)</w:t>
      </w:r>
      <w:r w:rsidRPr="00132E65">
        <w:rPr>
          <w:rtl/>
          <w:lang w:bidi="fa-IR"/>
        </w:rPr>
        <w:t xml:space="preserve"> عَلى سَرِيرِهِ ، وانْطَلَقُوا </w:t>
      </w:r>
      <w:r>
        <w:rPr>
          <w:rStyle w:val="libFootnotenumChar"/>
          <w:rtl/>
        </w:rPr>
        <w:t>(4)</w:t>
      </w:r>
      <w:r w:rsidRPr="00132E65">
        <w:rPr>
          <w:rtl/>
          <w:lang w:bidi="fa-IR"/>
        </w:rPr>
        <w:t xml:space="preserve"> بِهِ إِلى مُصَلّى رَسُولِ اللهِ </w:t>
      </w:r>
      <w:r w:rsidRPr="00071CF9">
        <w:rPr>
          <w:rStyle w:val="libAlaemChar"/>
          <w:rtl/>
        </w:rPr>
        <w:t>صلى‌الله‌عليه‌وآله</w:t>
      </w:r>
      <w:r w:rsidRPr="00132E65">
        <w:rPr>
          <w:rtl/>
          <w:lang w:bidi="fa-IR"/>
        </w:rPr>
        <w:t xml:space="preserve"> </w:t>
      </w:r>
      <w:r>
        <w:rPr>
          <w:rtl/>
          <w:lang w:bidi="fa-IR"/>
        </w:rPr>
        <w:t xml:space="preserve">- </w:t>
      </w:r>
      <w:r w:rsidRPr="00132E65">
        <w:rPr>
          <w:rtl/>
          <w:lang w:bidi="fa-IR"/>
        </w:rPr>
        <w:t>الَّذِي كَانَ يُصَلِّي فِيهِ عَلَى الْجَنَائِزِ</w:t>
      </w:r>
      <w:r>
        <w:rPr>
          <w:rtl/>
          <w:lang w:bidi="fa-IR"/>
        </w:rPr>
        <w:t xml:space="preserve"> - </w:t>
      </w:r>
      <w:r w:rsidRPr="00132E65">
        <w:rPr>
          <w:rtl/>
          <w:lang w:bidi="fa-IR"/>
        </w:rPr>
        <w:t xml:space="preserve">فَصَلّى </w:t>
      </w:r>
      <w:r>
        <w:rPr>
          <w:rStyle w:val="libFootnotenumChar"/>
          <w:rtl/>
        </w:rPr>
        <w:t>(5)</w:t>
      </w:r>
      <w:r w:rsidRPr="00132E65">
        <w:rPr>
          <w:rtl/>
          <w:lang w:bidi="fa-IR"/>
        </w:rPr>
        <w:t xml:space="preserve"> عَلَى الْحَسَنِ </w:t>
      </w:r>
      <w:r w:rsidRPr="00071CF9">
        <w:rPr>
          <w:rStyle w:val="libAlaemChar"/>
          <w:rtl/>
        </w:rPr>
        <w:t>عليه‌السلام</w:t>
      </w:r>
      <w:r w:rsidRPr="00132E65">
        <w:rPr>
          <w:rtl/>
          <w:lang w:bidi="fa-IR"/>
        </w:rPr>
        <w:t xml:space="preserve"> ، فَلَمَّا أَنْ صَلّى </w:t>
      </w:r>
      <w:r>
        <w:rPr>
          <w:rStyle w:val="libFootnotenumChar"/>
          <w:rtl/>
        </w:rPr>
        <w:t>(6)</w:t>
      </w:r>
      <w:r w:rsidRPr="00132E65">
        <w:rPr>
          <w:rtl/>
          <w:lang w:bidi="fa-IR"/>
        </w:rPr>
        <w:t xml:space="preserve"> عَلَيْهِ ، حُمِلَ فَأُدْخِلَ الْمَسْجِدَ ، فَلَمَّا أُوقِفَ عَلى قَبْرِ رَسُولِ اللهِ </w:t>
      </w:r>
      <w:r w:rsidRPr="00071CF9">
        <w:rPr>
          <w:rStyle w:val="libAlaemChar"/>
          <w:rtl/>
        </w:rPr>
        <w:t>صلى‌الله‌عليه‌وآله</w:t>
      </w:r>
      <w:r w:rsidRPr="00132E65">
        <w:rPr>
          <w:rtl/>
          <w:lang w:bidi="fa-IR"/>
        </w:rPr>
        <w:t xml:space="preserve"> ، بَلَغَ عَائِشَةَ الْخَبَرُ ، وقِيلَ لَهَا : إِنَّهُمْ قَدْ أَقْبَلُوا </w:t>
      </w:r>
      <w:r>
        <w:rPr>
          <w:rStyle w:val="libFootnotenumChar"/>
          <w:rtl/>
        </w:rPr>
        <w:t>(7)</w:t>
      </w:r>
      <w:r w:rsidRPr="00132E65">
        <w:rPr>
          <w:rtl/>
          <w:lang w:bidi="fa-IR"/>
        </w:rPr>
        <w:t xml:space="preserve"> بِالْحَسَنِ بْنِ عَلِيٍّ لِيُدْفَنَ مَعَ رَسُولِ اللهِ </w:t>
      </w:r>
      <w:r w:rsidRPr="00071CF9">
        <w:rPr>
          <w:rStyle w:val="libAlaemChar"/>
          <w:rtl/>
        </w:rPr>
        <w:t>صلى‌الله‌عليه‌وآله</w:t>
      </w:r>
      <w:r w:rsidRPr="00132E65">
        <w:rPr>
          <w:rtl/>
          <w:lang w:bidi="fa-IR"/>
        </w:rPr>
        <w:t xml:space="preserve"> ، فَخَرَجَتْ</w:t>
      </w:r>
      <w:r>
        <w:rPr>
          <w:rtl/>
          <w:lang w:bidi="fa-IR"/>
        </w:rPr>
        <w:t xml:space="preserve"> - </w:t>
      </w:r>
      <w:r w:rsidRPr="00132E65">
        <w:rPr>
          <w:rtl/>
          <w:lang w:bidi="fa-IR"/>
        </w:rPr>
        <w:t xml:space="preserve">مُبَادِرَةً </w:t>
      </w:r>
      <w:r>
        <w:rPr>
          <w:rStyle w:val="libFootnotenumChar"/>
          <w:rtl/>
        </w:rPr>
        <w:t>(8)</w:t>
      </w:r>
      <w:r>
        <w:rPr>
          <w:rtl/>
          <w:lang w:bidi="fa-IR"/>
        </w:rPr>
        <w:t xml:space="preserve"> - </w:t>
      </w:r>
      <w:r w:rsidRPr="00132E65">
        <w:rPr>
          <w:rtl/>
          <w:lang w:bidi="fa-IR"/>
        </w:rPr>
        <w:t xml:space="preserve">عَلى بَغْلٍ بِسَرْجٍ </w:t>
      </w:r>
      <w:r>
        <w:rPr>
          <w:rStyle w:val="libFootnotenumChar"/>
          <w:rtl/>
        </w:rPr>
        <w:t>(9)</w:t>
      </w:r>
      <w:r w:rsidRPr="00132E65">
        <w:rPr>
          <w:rtl/>
          <w:lang w:bidi="fa-IR"/>
        </w:rPr>
        <w:t xml:space="preserve"> ، فَكَانَتْ </w:t>
      </w:r>
      <w:r>
        <w:rPr>
          <w:rStyle w:val="libFootnotenumChar"/>
          <w:rtl/>
        </w:rPr>
        <w:t>(10)</w:t>
      </w:r>
      <w:r w:rsidRPr="00132E65">
        <w:rPr>
          <w:rtl/>
          <w:lang w:bidi="fa-IR"/>
        </w:rPr>
        <w:t xml:space="preserve"> أَوَّلَ امْرَأَةٍ رَكِبَتْ فِي الْإِسْلَامِ سَرْجاً ، فَوَقَفَتْ وقَالَتْ </w:t>
      </w:r>
      <w:r>
        <w:rPr>
          <w:rStyle w:val="libFootnotenumChar"/>
          <w:rtl/>
        </w:rPr>
        <w:t>(11)</w:t>
      </w:r>
      <w:r w:rsidRPr="00132E65">
        <w:rPr>
          <w:rtl/>
          <w:lang w:bidi="fa-IR"/>
        </w:rPr>
        <w:t xml:space="preserve"> : نَحُّوا ابْنَكُمْ عَنْ بَيْتِي ؛ فَإِنَّهُ لَايُدْفَنُ فِيهِ شَيْ‌ءٌ ، ولَايُهْتَكُ عَلى رَسُولِ اللهِ </w:t>
      </w:r>
      <w:r w:rsidRPr="00071CF9">
        <w:rPr>
          <w:rStyle w:val="libAlaemChar"/>
          <w:rtl/>
        </w:rPr>
        <w:t>صلى‌الله‌عليه‌وآله</w:t>
      </w:r>
      <w:r w:rsidRPr="00132E65">
        <w:rPr>
          <w:rtl/>
          <w:lang w:bidi="fa-IR"/>
        </w:rPr>
        <w:t xml:space="preserve"> حِجَابُهُ.</w:t>
      </w:r>
    </w:p>
    <w:p w:rsidR="000C39D1" w:rsidRPr="00132E65" w:rsidRDefault="000C39D1" w:rsidP="000C39D1">
      <w:pPr>
        <w:pStyle w:val="libNormal"/>
        <w:rPr>
          <w:rtl/>
          <w:lang w:bidi="fa-IR"/>
        </w:rPr>
      </w:pPr>
      <w:r w:rsidRPr="00132E65">
        <w:rPr>
          <w:rtl/>
          <w:lang w:bidi="fa-IR"/>
        </w:rPr>
        <w:t xml:space="preserve">فَقَالَ لَهَا الْحُسَيْنُ بْنُ عَلِيٍّ صَلَوَاتُ اللهِ عَلَيْهِمَا : قَدِيماً هَتَكْتِ أَنْتِ وأَبُوكِ حِجَابَ رَسُولِ اللهِ </w:t>
      </w:r>
      <w:r w:rsidRPr="00071CF9">
        <w:rPr>
          <w:rStyle w:val="libAlaemChar"/>
          <w:rtl/>
        </w:rPr>
        <w:t>صلى‌الله‌عليه‌وآله</w:t>
      </w:r>
      <w:r w:rsidRPr="00132E65">
        <w:rPr>
          <w:rtl/>
          <w:lang w:bidi="fa-IR"/>
        </w:rPr>
        <w:t xml:space="preserve"> ، وأَدْخَلْتِ بَيْتَهُ مَنْ لَايُحِبُّ رَسُولُ اللهِ </w:t>
      </w:r>
      <w:r w:rsidRPr="00071CF9">
        <w:rPr>
          <w:rStyle w:val="libAlaemChar"/>
          <w:rtl/>
        </w:rPr>
        <w:t>صلى‌الله‌عليه‌وآله</w:t>
      </w:r>
      <w:r w:rsidRPr="00132E65">
        <w:rPr>
          <w:rtl/>
          <w:lang w:bidi="fa-IR"/>
        </w:rPr>
        <w:t xml:space="preserve"> قُرْبَهُ ، وإِنَّ اللهَ سَائِلُكِ </w:t>
      </w:r>
      <w:r>
        <w:rPr>
          <w:rStyle w:val="libFootnotenumChar"/>
          <w:rtl/>
        </w:rPr>
        <w:t>(12)</w:t>
      </w:r>
      <w:r w:rsidRPr="00132E65">
        <w:rPr>
          <w:rtl/>
          <w:lang w:bidi="fa-IR"/>
        </w:rPr>
        <w:t xml:space="preserve"> عَنْ ذلِكِ يَا عَائِشَةُ ؛ إِنَّ </w:t>
      </w:r>
      <w:r w:rsidRPr="00F543F1">
        <w:rPr>
          <w:rStyle w:val="libFootnotenumChar"/>
          <w:rtl/>
        </w:rPr>
        <w:t>(13)</w:t>
      </w:r>
      <w:r w:rsidRPr="00132E65">
        <w:rPr>
          <w:rtl/>
          <w:lang w:bidi="fa-IR"/>
        </w:rPr>
        <w:t xml:space="preserve"> أَخِي أَمَرَنِي أَنْ أُقَرِّبَهُ مِنْ أَبِيهِ رَسُولِ اللهِ </w:t>
      </w:r>
      <w:r w:rsidRPr="00071CF9">
        <w:rPr>
          <w:rStyle w:val="libAlaemChar"/>
          <w:rtl/>
        </w:rPr>
        <w:t>صلى‌الله‌عليه‌وآله</w:t>
      </w:r>
      <w:r w:rsidRPr="00132E65">
        <w:rPr>
          <w:rtl/>
          <w:lang w:bidi="fa-IR"/>
        </w:rPr>
        <w:t xml:space="preserve"> لِيُحْدِثَ </w:t>
      </w:r>
      <w:r w:rsidRPr="00F543F1">
        <w:rPr>
          <w:rStyle w:val="libFootnotenumChar"/>
          <w:rtl/>
        </w:rPr>
        <w:t>(14)</w:t>
      </w:r>
      <w:r w:rsidRPr="00132E65">
        <w:rPr>
          <w:rtl/>
          <w:lang w:bidi="fa-IR"/>
        </w:rPr>
        <w:t xml:space="preserve"> بِهِ عَهْداً.</w:t>
      </w:r>
    </w:p>
    <w:p w:rsidR="000C39D1" w:rsidRPr="00132E65" w:rsidRDefault="000C39D1" w:rsidP="000C39D1">
      <w:pPr>
        <w:pStyle w:val="libNormal"/>
        <w:rPr>
          <w:rtl/>
          <w:lang w:bidi="fa-IR"/>
        </w:rPr>
      </w:pPr>
      <w:r w:rsidRPr="00132E65">
        <w:rPr>
          <w:rtl/>
          <w:lang w:bidi="fa-IR"/>
        </w:rPr>
        <w:t xml:space="preserve">وَاعْلَمِي أَنَّ أَخِي أَعْلَمُ النَّاسِ بِاللهِ ورَسُولِهِ </w:t>
      </w:r>
      <w:r w:rsidRPr="00F543F1">
        <w:rPr>
          <w:rStyle w:val="libFootnotenumChar"/>
          <w:rtl/>
        </w:rPr>
        <w:t>(15)</w:t>
      </w:r>
      <w:r w:rsidRPr="00132E65">
        <w:rPr>
          <w:rtl/>
          <w:lang w:bidi="fa-IR"/>
        </w:rPr>
        <w:t xml:space="preserve"> ، وأَعْلَمُ بِتَأْوِيلِ كِتَابِهِ مِنْ أَنْ يَهْتِكَ‌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ه‍ ، بح ، بر ، بس ، بف »</w:t>
      </w:r>
      <w:r>
        <w:rPr>
          <w:rtl/>
        </w:rPr>
        <w:t>.</w:t>
      </w:r>
      <w:r w:rsidRPr="00132E65">
        <w:rPr>
          <w:rtl/>
        </w:rPr>
        <w:t xml:space="preserve"> وفي « ض ، ف » والمطبوع : « </w:t>
      </w:r>
      <w:r w:rsidRPr="00066A88">
        <w:rPr>
          <w:rStyle w:val="libFootnoteAlaemChar"/>
          <w:rtl/>
        </w:rPr>
        <w:t>عليها‌السلام</w:t>
      </w:r>
      <w:r w:rsidRPr="00132E65">
        <w:rPr>
          <w:rtl/>
        </w:rPr>
        <w:t xml:space="preserve"> »</w:t>
      </w:r>
      <w:r>
        <w:rPr>
          <w:rtl/>
        </w:rPr>
        <w:t>.</w:t>
      </w:r>
    </w:p>
    <w:p w:rsidR="000C39D1" w:rsidRPr="00132E65" w:rsidRDefault="000C39D1" w:rsidP="000C39D1">
      <w:pPr>
        <w:pStyle w:val="libFootnote0"/>
        <w:rPr>
          <w:rtl/>
          <w:lang w:bidi="fa-IR"/>
        </w:rPr>
      </w:pPr>
      <w:r>
        <w:rPr>
          <w:rtl/>
        </w:rPr>
        <w:t>(2).</w:t>
      </w:r>
      <w:r w:rsidRPr="00132E65">
        <w:rPr>
          <w:rtl/>
        </w:rPr>
        <w:t xml:space="preserve"> « الصنيع » : الفعل القبيح وصنع به صنيعاً قبيحاً أي فعل. راجع : </w:t>
      </w:r>
      <w:r w:rsidRPr="00E47874">
        <w:rPr>
          <w:rtl/>
        </w:rPr>
        <w:t>الصحاح</w:t>
      </w:r>
      <w:r w:rsidRPr="00132E65">
        <w:rPr>
          <w:rtl/>
        </w:rPr>
        <w:t xml:space="preserve"> ، ج 3 ، ص 1245 ( صنع )</w:t>
      </w:r>
      <w:r>
        <w:rPr>
          <w:rtl/>
        </w:rPr>
        <w:t>.</w:t>
      </w:r>
    </w:p>
    <w:p w:rsidR="000C39D1" w:rsidRPr="00132E65" w:rsidRDefault="000C39D1" w:rsidP="000C39D1">
      <w:pPr>
        <w:pStyle w:val="libFootnote0"/>
        <w:rPr>
          <w:rtl/>
          <w:lang w:bidi="fa-IR"/>
        </w:rPr>
      </w:pPr>
      <w:r>
        <w:rPr>
          <w:rtl/>
        </w:rPr>
        <w:t>(3).</w:t>
      </w:r>
      <w:r w:rsidRPr="00132E65">
        <w:rPr>
          <w:rtl/>
        </w:rPr>
        <w:t xml:space="preserve"> هكذا في « ألف ، ج ، ه‍ ، و، بح » والبحار ، ج 44. وفي سائر النسخ والمطبوع : « وو ضع »</w:t>
      </w:r>
      <w:r>
        <w:rPr>
          <w:rtl/>
        </w:rPr>
        <w:t>.</w:t>
      </w:r>
    </w:p>
    <w:p w:rsidR="000C39D1" w:rsidRPr="00132E65" w:rsidRDefault="000C39D1" w:rsidP="000C39D1">
      <w:pPr>
        <w:pStyle w:val="libFootnote0"/>
        <w:rPr>
          <w:rtl/>
          <w:lang w:bidi="fa-IR"/>
        </w:rPr>
      </w:pPr>
      <w:r>
        <w:rPr>
          <w:rtl/>
        </w:rPr>
        <w:t>(4).</w:t>
      </w:r>
      <w:r w:rsidRPr="00132E65">
        <w:rPr>
          <w:rtl/>
        </w:rPr>
        <w:t xml:space="preserve"> هكذا في النسخ التي قوبلت. وفي المطبوع : « فانطلقوا »</w:t>
      </w:r>
      <w:r>
        <w:rPr>
          <w:rtl/>
        </w:rPr>
        <w:t>.</w:t>
      </w:r>
      <w:r w:rsidRPr="00132E65">
        <w:rPr>
          <w:rtl/>
        </w:rPr>
        <w:t xml:space="preserve"> وفي البحار : « وانطلق »</w:t>
      </w:r>
      <w:r>
        <w:rPr>
          <w:rtl/>
        </w:rPr>
        <w:t>.</w:t>
      </w:r>
      <w:r w:rsidRPr="00132E65">
        <w:rPr>
          <w:rtl/>
        </w:rPr>
        <w:t xml:space="preserve"> وقوله : « وانطلقوا به » ، أي ذهبوا به. راجع : </w:t>
      </w:r>
      <w:r w:rsidRPr="00E47874">
        <w:rPr>
          <w:rtl/>
        </w:rPr>
        <w:t>المصباح المنير</w:t>
      </w:r>
      <w:r w:rsidRPr="00132E65">
        <w:rPr>
          <w:rtl/>
        </w:rPr>
        <w:t xml:space="preserve"> ، ص 376 ( طلق )</w:t>
      </w:r>
      <w:r>
        <w:rPr>
          <w:rtl/>
        </w:rPr>
        <w:t>.</w:t>
      </w:r>
    </w:p>
    <w:p w:rsidR="007437BB" w:rsidRDefault="000C39D1" w:rsidP="007437BB">
      <w:pPr>
        <w:pStyle w:val="libFootnote0"/>
        <w:rPr>
          <w:rtl/>
        </w:rPr>
      </w:pPr>
      <w:r>
        <w:rPr>
          <w:rtl/>
        </w:rPr>
        <w:t>(5).</w:t>
      </w:r>
      <w:r w:rsidRPr="00132E65">
        <w:rPr>
          <w:rtl/>
        </w:rPr>
        <w:t xml:space="preserve"> في « ب ، بر » : « فصُلّي »</w:t>
      </w:r>
      <w:r>
        <w:rPr>
          <w:rtl/>
        </w:rPr>
        <w:t>.</w:t>
      </w:r>
      <w:r w:rsidRPr="00132E65">
        <w:rPr>
          <w:rtl/>
        </w:rPr>
        <w:t xml:space="preserve"> وفي « ف » : « فصلّوا »</w:t>
      </w:r>
      <w:r>
        <w:rPr>
          <w:rtl/>
        </w:rPr>
        <w:t>.</w:t>
      </w:r>
      <w:r w:rsidRPr="00132E65">
        <w:rPr>
          <w:rtl/>
        </w:rPr>
        <w:t xml:space="preserve"> وفي </w:t>
      </w:r>
      <w:r w:rsidRPr="009D1ACE">
        <w:rPr>
          <w:rStyle w:val="libFootnoteBoldChar"/>
          <w:rtl/>
        </w:rPr>
        <w:t>مرآة العقول</w:t>
      </w:r>
      <w:r w:rsidRPr="00132E65">
        <w:rPr>
          <w:rtl/>
        </w:rPr>
        <w:t xml:space="preserve"> : « فصلّي ، على بناء المجهول ، ويحتمل</w:t>
      </w:r>
      <w:r>
        <w:rPr>
          <w:rFonts w:hint="cs"/>
          <w:rtl/>
        </w:rPr>
        <w:t xml:space="preserve"> </w:t>
      </w:r>
      <w:r w:rsidRPr="00132E65">
        <w:rPr>
          <w:rtl/>
        </w:rPr>
        <w:t xml:space="preserve">‌المعلوم ، فالمرفوع راجع إلى الحسين </w:t>
      </w:r>
      <w:r w:rsidRPr="00066A88">
        <w:rPr>
          <w:rStyle w:val="libFootnoteAlaemChar"/>
          <w:rtl/>
        </w:rPr>
        <w:t>عليه‌السلام</w:t>
      </w:r>
      <w:r w:rsidRPr="00132E65">
        <w:rPr>
          <w:rtl/>
        </w:rPr>
        <w:t>. وكذا قوله : فلمّا أن صلّى ، يحتمل الوجهين ، وأن زائدة لتأكيد الاتّصال »</w:t>
      </w:r>
      <w:r>
        <w:rPr>
          <w:rtl/>
        </w:rPr>
        <w:t>.</w:t>
      </w:r>
    </w:p>
    <w:p w:rsidR="000C39D1" w:rsidRDefault="000C39D1" w:rsidP="007437BB">
      <w:pPr>
        <w:pStyle w:val="libFootnote0"/>
        <w:rPr>
          <w:rtl/>
        </w:rPr>
      </w:pPr>
      <w:r>
        <w:rPr>
          <w:rtl/>
        </w:rPr>
        <w:t>(6).</w:t>
      </w:r>
      <w:r w:rsidRPr="00132E65">
        <w:rPr>
          <w:rtl/>
        </w:rPr>
        <w:t xml:space="preserve"> في « ب ، ف » : « صلّي » بدل « أن صلّى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حاشية « ف » : « أبلغوا »</w:t>
            </w:r>
            <w:r>
              <w:rPr>
                <w:rtl/>
              </w:rPr>
              <w:t>.</w:t>
            </w:r>
          </w:p>
        </w:tc>
        <w:tc>
          <w:tcPr>
            <w:tcW w:w="4006" w:type="dxa"/>
          </w:tcPr>
          <w:p w:rsidR="000C39D1" w:rsidRDefault="000C39D1" w:rsidP="00B53873">
            <w:pPr>
              <w:pStyle w:val="libFootnote0"/>
              <w:rPr>
                <w:rtl/>
              </w:rPr>
            </w:pPr>
            <w:r>
              <w:rPr>
                <w:rtl/>
              </w:rPr>
              <w:t>(8).</w:t>
            </w:r>
            <w:r w:rsidRPr="00132E65">
              <w:rPr>
                <w:rtl/>
              </w:rPr>
              <w:t xml:space="preserve"> تقدّم معناه ذيل الحديث 1 من هذا الباب.</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ف » : « يسرج »</w:t>
            </w:r>
            <w:r>
              <w:rPr>
                <w:rtl/>
              </w:rPr>
              <w:t>.</w:t>
            </w:r>
          </w:p>
        </w:tc>
        <w:tc>
          <w:tcPr>
            <w:tcW w:w="4006" w:type="dxa"/>
          </w:tcPr>
          <w:p w:rsidR="000C39D1" w:rsidRDefault="000C39D1" w:rsidP="00B53873">
            <w:pPr>
              <w:pStyle w:val="libFootnote0"/>
              <w:rPr>
                <w:rtl/>
              </w:rPr>
            </w:pPr>
            <w:r>
              <w:rPr>
                <w:rtl/>
              </w:rPr>
              <w:t>(10).</w:t>
            </w:r>
            <w:r w:rsidRPr="00132E65">
              <w:rPr>
                <w:rtl/>
              </w:rPr>
              <w:t xml:space="preserve"> في « ف » : « وكانت »</w:t>
            </w:r>
            <w:r>
              <w:rPr>
                <w:rtl/>
              </w:rPr>
              <w:t>.</w:t>
            </w:r>
          </w:p>
        </w:tc>
      </w:tr>
      <w:tr w:rsidR="000C39D1" w:rsidTr="00B53873">
        <w:tc>
          <w:tcPr>
            <w:tcW w:w="4006" w:type="dxa"/>
          </w:tcPr>
          <w:p w:rsidR="000C39D1" w:rsidRDefault="000C39D1" w:rsidP="00B53873">
            <w:pPr>
              <w:pStyle w:val="libFootnote0"/>
              <w:rPr>
                <w:rtl/>
              </w:rPr>
            </w:pPr>
            <w:r>
              <w:rPr>
                <w:rtl/>
              </w:rPr>
              <w:t>(11).</w:t>
            </w:r>
            <w:r w:rsidRPr="00132E65">
              <w:rPr>
                <w:rtl/>
              </w:rPr>
              <w:t xml:space="preserve"> في البحار : « فقالت »</w:t>
            </w:r>
            <w:r>
              <w:rPr>
                <w:rtl/>
              </w:rPr>
              <w:t>.</w:t>
            </w:r>
          </w:p>
        </w:tc>
        <w:tc>
          <w:tcPr>
            <w:tcW w:w="4006" w:type="dxa"/>
          </w:tcPr>
          <w:p w:rsidR="000C39D1" w:rsidRDefault="000C39D1" w:rsidP="00B53873">
            <w:pPr>
              <w:pStyle w:val="libFootnote0"/>
              <w:rPr>
                <w:rtl/>
              </w:rPr>
            </w:pPr>
            <w:r>
              <w:rPr>
                <w:rtl/>
              </w:rPr>
              <w:t>(12). في «ف، بح ، بر» وحاشية « ج »:«</w:t>
            </w:r>
            <w:r w:rsidRPr="00132E65">
              <w:rPr>
                <w:rtl/>
              </w:rPr>
              <w:t>ي</w:t>
            </w:r>
            <w:r>
              <w:rPr>
                <w:rtl/>
              </w:rPr>
              <w:t>سألك</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(13)</w:t>
            </w:r>
            <w:r w:rsidRPr="00132E65">
              <w:rPr>
                <w:rtl/>
              </w:rPr>
              <w:t xml:space="preserve"> في « ب ، ف » : « وإنّ »</w:t>
            </w:r>
            <w:r>
              <w:rPr>
                <w:rtl/>
              </w:rPr>
              <w:t>.</w:t>
            </w:r>
          </w:p>
        </w:tc>
        <w:tc>
          <w:tcPr>
            <w:tcW w:w="4006" w:type="dxa"/>
          </w:tcPr>
          <w:p w:rsidR="000C39D1" w:rsidRDefault="000C39D1" w:rsidP="00B53873">
            <w:pPr>
              <w:pStyle w:val="libFootnote0"/>
              <w:rPr>
                <w:rtl/>
              </w:rPr>
            </w:pPr>
            <w:r>
              <w:rPr>
                <w:rtl/>
              </w:rPr>
              <w:t>(14)</w:t>
            </w:r>
            <w:r w:rsidRPr="00132E65">
              <w:rPr>
                <w:rtl/>
              </w:rPr>
              <w:t xml:space="preserve"> في « ف » : « ليحدّث »</w:t>
            </w:r>
            <w:r>
              <w:rPr>
                <w:rtl/>
              </w:rPr>
              <w:t>.</w:t>
            </w:r>
          </w:p>
        </w:tc>
      </w:tr>
    </w:tbl>
    <w:p w:rsidR="000C39D1" w:rsidRPr="00132E65" w:rsidRDefault="000C39D1" w:rsidP="007437BB">
      <w:pPr>
        <w:pStyle w:val="libFootnote0"/>
        <w:rPr>
          <w:rtl/>
          <w:lang w:bidi="fa-IR"/>
        </w:rPr>
      </w:pPr>
      <w:r>
        <w:rPr>
          <w:rtl/>
        </w:rPr>
        <w:t>(15)</w:t>
      </w:r>
      <w:r w:rsidRPr="00132E65">
        <w:rPr>
          <w:rtl/>
        </w:rPr>
        <w:t xml:space="preserve"> في « ه‍ </w:t>
      </w:r>
      <w:r w:rsidR="007437BB" w:rsidRPr="00132E65">
        <w:rPr>
          <w:rtl/>
        </w:rPr>
        <w:t>»</w:t>
      </w:r>
      <w:r w:rsidRPr="00132E65">
        <w:rPr>
          <w:rtl/>
        </w:rPr>
        <w:t xml:space="preserve"> : « وبرسوله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عَلى رَسُولِ اللهِ </w:t>
      </w:r>
      <w:r w:rsidRPr="00071CF9">
        <w:rPr>
          <w:rStyle w:val="libAlaemChar"/>
          <w:rtl/>
        </w:rPr>
        <w:t>صلى‌الله‌عليه‌وآله</w:t>
      </w:r>
      <w:r w:rsidRPr="00132E65">
        <w:rPr>
          <w:rtl/>
          <w:lang w:bidi="fa-IR"/>
        </w:rPr>
        <w:t xml:space="preserve"> سِتْرَهُ ؛ لِأَنَّ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يا أَيُّهَا الَّذِينَ آمَنُوا لا تَدْخُلُوا بُيُوتَ النَّبِي</w:t>
      </w:r>
      <w:r>
        <w:rPr>
          <w:rStyle w:val="libAieChar"/>
          <w:rtl/>
        </w:rPr>
        <w:t>ِّ إِل</w:t>
      </w:r>
      <w:r>
        <w:rPr>
          <w:rStyle w:val="libAieChar"/>
          <w:rFonts w:hint="cs"/>
          <w:rtl/>
        </w:rPr>
        <w:t>ّ</w:t>
      </w:r>
      <w:r>
        <w:rPr>
          <w:rStyle w:val="libAieChar"/>
          <w:rtl/>
        </w:rPr>
        <w:t>ا</w:t>
      </w:r>
      <w:r w:rsidRPr="00071CF9">
        <w:rPr>
          <w:rStyle w:val="libAieChar"/>
          <w:rtl/>
        </w:rPr>
        <w:t xml:space="preserve"> أَنْ يُؤْذَنَ لَكُمْ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و</w:t>
      </w:r>
      <w:r>
        <w:rPr>
          <w:rFonts w:hint="cs"/>
          <w:rtl/>
          <w:lang w:bidi="fa-IR"/>
        </w:rPr>
        <w:t>َ</w:t>
      </w:r>
      <w:r w:rsidRPr="00132E65">
        <w:rPr>
          <w:rtl/>
          <w:lang w:bidi="fa-IR"/>
        </w:rPr>
        <w:t xml:space="preserve">قَدْ أَدْخَلْتِ أَنْتِ بَيْتَ رَسُولِ اللهِ </w:t>
      </w:r>
      <w:r w:rsidRPr="00071CF9">
        <w:rPr>
          <w:rStyle w:val="libAlaemChar"/>
          <w:rtl/>
        </w:rPr>
        <w:t>صلى‌الله‌عليه‌وآله</w:t>
      </w:r>
      <w:r w:rsidRPr="00132E65">
        <w:rPr>
          <w:rtl/>
          <w:lang w:bidi="fa-IR"/>
        </w:rPr>
        <w:t xml:space="preserve"> الرِّجَالَ بِغَيْرِ إِذْنِهِ ، وَقَدْ قَالَ اللهُ عَزَّ وجَلَّ : </w:t>
      </w:r>
      <w:r w:rsidRPr="00071CF9">
        <w:rPr>
          <w:rStyle w:val="libAlaemChar"/>
          <w:rtl/>
        </w:rPr>
        <w:t>(</w:t>
      </w:r>
      <w:r w:rsidRPr="00071CF9">
        <w:rPr>
          <w:rStyle w:val="libAieChar"/>
          <w:rtl/>
        </w:rPr>
        <w:t xml:space="preserve"> يا أَيُّهَا الَّذِينَ آمَنُوا لا تَرْفَعُوا أَصْواتَكُمْ فَوْقَ صَوْتِ النَّبِيِّ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وَلَعَمْرِي لَقَدْ ضَرَبْتِ أَنْتِ </w:t>
      </w:r>
      <w:r>
        <w:rPr>
          <w:rStyle w:val="libFootnotenumChar"/>
          <w:rtl/>
        </w:rPr>
        <w:t>(3)</w:t>
      </w:r>
      <w:r w:rsidRPr="00132E65">
        <w:rPr>
          <w:rtl/>
          <w:lang w:bidi="fa-IR"/>
        </w:rPr>
        <w:t xml:space="preserve"> لِأَبِيكِ وفَارُوقِهِ عِنْدَ أُذُنِ رَسُولِ اللهِ </w:t>
      </w:r>
      <w:r w:rsidRPr="00071CF9">
        <w:rPr>
          <w:rStyle w:val="libAlaemChar"/>
          <w:rtl/>
        </w:rPr>
        <w:t>صلى‌الله‌عليه‌وآله</w:t>
      </w:r>
      <w:r w:rsidRPr="00132E65">
        <w:rPr>
          <w:rtl/>
          <w:lang w:bidi="fa-IR"/>
        </w:rPr>
        <w:t xml:space="preserve"> الْمَعَاوِلَ </w:t>
      </w:r>
      <w:r>
        <w:rPr>
          <w:rStyle w:val="libFootnotenumChar"/>
          <w:rtl/>
        </w:rPr>
        <w:t>(4)</w:t>
      </w:r>
      <w:r w:rsidRPr="00132E65">
        <w:rPr>
          <w:rtl/>
          <w:lang w:bidi="fa-IR"/>
        </w:rPr>
        <w:t xml:space="preserve"> ، و</w:t>
      </w:r>
      <w:r>
        <w:rPr>
          <w:rFonts w:hint="cs"/>
          <w:rtl/>
          <w:lang w:bidi="fa-IR"/>
        </w:rPr>
        <w:t xml:space="preserve">َ </w:t>
      </w:r>
      <w:r>
        <w:rPr>
          <w:rStyle w:val="libFootnotenumChar"/>
          <w:rtl/>
        </w:rPr>
        <w:t>(5)</w:t>
      </w:r>
      <w:r w:rsidRPr="00132E65">
        <w:rPr>
          <w:rtl/>
          <w:lang w:bidi="fa-IR"/>
        </w:rPr>
        <w:t xml:space="preserve"> قَالَ اللهُ عَزَّ وجَلَّ : </w:t>
      </w:r>
      <w:r w:rsidRPr="00071CF9">
        <w:rPr>
          <w:rStyle w:val="libAlaemChar"/>
          <w:rtl/>
        </w:rPr>
        <w:t>(</w:t>
      </w:r>
      <w:r w:rsidRPr="00071CF9">
        <w:rPr>
          <w:rStyle w:val="libAieChar"/>
          <w:rtl/>
        </w:rPr>
        <w:t xml:space="preserve"> إِنَّ الَّذِينَ يَغُضُّونَ أَصْواتَهُمْ عِنْدَ رَسُولِ اللهِ أُولئِكَ الَّذِينَ امْتَحَنَ اللهُ قُلُوبَهُمْ لِلتَّقْوى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ولَعَمْرِي لَقَدْ أَدْخَلَ أَبُوكِ وفَارُوقُهُ عَلى رَسُولِ اللهِ </w:t>
      </w:r>
      <w:r w:rsidRPr="00071CF9">
        <w:rPr>
          <w:rStyle w:val="libAlaemChar"/>
          <w:rtl/>
        </w:rPr>
        <w:t>صلى‌الله‌عليه‌وآله</w:t>
      </w:r>
      <w:r w:rsidRPr="00132E65">
        <w:rPr>
          <w:rtl/>
          <w:lang w:bidi="fa-IR"/>
        </w:rPr>
        <w:t xml:space="preserve"> بِقُرْبِهِمَا مِنْهُ الْأَذى ، وَمَا رَعَيَا مِنْ حَقِّهِ مَا أَمَرَهُمَا اللهُ بِهِ عَلى لِسَانِ رَسُولِ اللهِ </w:t>
      </w:r>
      <w:r w:rsidRPr="00071CF9">
        <w:rPr>
          <w:rStyle w:val="libAlaemChar"/>
          <w:rtl/>
        </w:rPr>
        <w:t>صلى‌الله‌عليه‌وآله</w:t>
      </w:r>
      <w:r w:rsidRPr="00132E65">
        <w:rPr>
          <w:rtl/>
          <w:lang w:bidi="fa-IR"/>
        </w:rPr>
        <w:t xml:space="preserve">: إِنَّ اللهَ حَرَّمَ مِنَ الْمُؤْمِنِينَ أَمْوَاتاً مَا حَرَّمَ مِنْهُمْ أَحْيَاءً ؛ وتَاللهِ يَا عَائِشَةُ ، لَوْ كَانَ هذَا الَّذِي كَرِهْتِيهِ </w:t>
      </w:r>
      <w:r>
        <w:rPr>
          <w:rStyle w:val="libFootnotenumChar"/>
          <w:rtl/>
        </w:rPr>
        <w:t>(7)</w:t>
      </w:r>
      <w:r>
        <w:rPr>
          <w:rtl/>
          <w:lang w:bidi="fa-IR"/>
        </w:rPr>
        <w:t xml:space="preserve"> - </w:t>
      </w:r>
      <w:r w:rsidRPr="00132E65">
        <w:rPr>
          <w:rtl/>
          <w:lang w:bidi="fa-IR"/>
        </w:rPr>
        <w:t xml:space="preserve">مِنْ دَفْنِ الْحَسَنِ عِنْدَ أَبِيهِ </w:t>
      </w:r>
      <w:r>
        <w:rPr>
          <w:rStyle w:val="libFootnotenumChar"/>
          <w:rtl/>
        </w:rPr>
        <w:t>(8)</w:t>
      </w:r>
      <w:r w:rsidRPr="00132E65">
        <w:rPr>
          <w:rtl/>
          <w:lang w:bidi="fa-IR"/>
        </w:rPr>
        <w:t xml:space="preserve"> صَلَوَاتُ اللهِ عَلَيْهِمَا</w:t>
      </w:r>
      <w:r>
        <w:rPr>
          <w:rtl/>
          <w:lang w:bidi="fa-IR"/>
        </w:rPr>
        <w:t xml:space="preserve"> - </w:t>
      </w:r>
      <w:r w:rsidRPr="00132E65">
        <w:rPr>
          <w:rtl/>
          <w:lang w:bidi="fa-IR"/>
        </w:rPr>
        <w:t xml:space="preserve">جَائِزاً فِيمَا بَيْنَنَا وبَيْنَ اللهِ ، لَعَلِمْتِ أَنَّهُ سَيُدْفَنُ وإِنْ رَغِمَ </w:t>
      </w:r>
      <w:r>
        <w:rPr>
          <w:rStyle w:val="libFootnotenumChar"/>
          <w:rtl/>
        </w:rPr>
        <w:t>(9)</w:t>
      </w:r>
      <w:r w:rsidRPr="00132E65">
        <w:rPr>
          <w:rtl/>
          <w:lang w:bidi="fa-IR"/>
        </w:rPr>
        <w:t xml:space="preserve"> مَعْطِسُكِ</w:t>
      </w:r>
      <w:r>
        <w:rPr>
          <w:rStyle w:val="libFootnotenumChar"/>
          <w:rtl/>
        </w:rPr>
        <w:t>(10)</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قَالَ : « ثُمَّ تَكَلَّمَ مُحَمَّدُ بْنُ الْحَنَفِيَّةِ ، وقَالَ : يَا عَائِشَةُ ، يَوْماً عَلى بَغْلٍ ، ويَوْماً عَلى جَمَلٍ ، فَمَا تَمْلِكِينَ نَفْسَكِ ، ولَاتَمْلِكِينَ الْأَرْضَ عَدَاوَةً لِبَنِي هَاشِمٍ.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الأحزاب (33) : 53.</w:t>
      </w:r>
    </w:p>
    <w:p w:rsidR="000C39D1" w:rsidRPr="00132E65" w:rsidRDefault="000C39D1" w:rsidP="000C39D1">
      <w:pPr>
        <w:pStyle w:val="libFootnote0"/>
        <w:rPr>
          <w:rtl/>
          <w:lang w:bidi="fa-IR"/>
        </w:rPr>
      </w:pPr>
      <w:r>
        <w:rPr>
          <w:rtl/>
        </w:rPr>
        <w:t>(2).</w:t>
      </w:r>
      <w:r w:rsidRPr="00132E65">
        <w:rPr>
          <w:rtl/>
        </w:rPr>
        <w:t xml:space="preserve"> الحجرات (49) : 2.</w:t>
      </w:r>
    </w:p>
    <w:p w:rsidR="000C39D1" w:rsidRPr="00132E65" w:rsidRDefault="000C39D1" w:rsidP="007437BB">
      <w:pPr>
        <w:pStyle w:val="libFootnote0"/>
        <w:rPr>
          <w:rtl/>
          <w:lang w:bidi="fa-IR"/>
        </w:rPr>
      </w:pPr>
      <w:r>
        <w:rPr>
          <w:rtl/>
        </w:rPr>
        <w:t>(3).</w:t>
      </w:r>
      <w:r w:rsidRPr="00132E65">
        <w:rPr>
          <w:rtl/>
        </w:rPr>
        <w:t xml:space="preserve"> في « ه‍ </w:t>
      </w:r>
      <w:r w:rsidR="007437BB" w:rsidRPr="00132E65">
        <w:rPr>
          <w:rtl/>
        </w:rPr>
        <w:t>»</w:t>
      </w:r>
      <w:r w:rsidRPr="00132E65">
        <w:rPr>
          <w:rtl/>
        </w:rPr>
        <w:t xml:space="preserve"> </w:t>
      </w:r>
      <w:r>
        <w:rPr>
          <w:rtl/>
        </w:rPr>
        <w:t xml:space="preserve">: - </w:t>
      </w:r>
      <w:r w:rsidRPr="00132E65">
        <w:rPr>
          <w:rtl/>
        </w:rPr>
        <w:t>« أنت »</w:t>
      </w:r>
      <w:r>
        <w:rPr>
          <w:rtl/>
        </w:rPr>
        <w:t>.</w:t>
      </w:r>
    </w:p>
    <w:p w:rsidR="000C39D1" w:rsidRPr="00132E65" w:rsidRDefault="000C39D1" w:rsidP="000C39D1">
      <w:pPr>
        <w:pStyle w:val="libFootnote0"/>
        <w:rPr>
          <w:rtl/>
          <w:lang w:bidi="fa-IR"/>
        </w:rPr>
      </w:pPr>
      <w:r>
        <w:rPr>
          <w:rtl/>
        </w:rPr>
        <w:t>(4).</w:t>
      </w:r>
      <w:r w:rsidRPr="00132E65">
        <w:rPr>
          <w:rtl/>
        </w:rPr>
        <w:t xml:space="preserve"> « ال</w:t>
      </w:r>
      <w:r>
        <w:rPr>
          <w:rFonts w:hint="cs"/>
          <w:rtl/>
        </w:rPr>
        <w:t>ـ</w:t>
      </w:r>
      <w:r w:rsidRPr="00132E65">
        <w:rPr>
          <w:rtl/>
        </w:rPr>
        <w:t>مَعاوِل » : جمع ال</w:t>
      </w:r>
      <w:r>
        <w:rPr>
          <w:rFonts w:hint="cs"/>
          <w:rtl/>
        </w:rPr>
        <w:t>ـ</w:t>
      </w:r>
      <w:r w:rsidRPr="00132E65">
        <w:rPr>
          <w:rtl/>
        </w:rPr>
        <w:t xml:space="preserve">مِعْوَل ، وهو حديدة يُنْقَر بها الجبال. </w:t>
      </w:r>
      <w:r w:rsidRPr="00E47874">
        <w:rPr>
          <w:rtl/>
        </w:rPr>
        <w:t>ترتيب كتاب العين</w:t>
      </w:r>
      <w:r w:rsidRPr="00132E65">
        <w:rPr>
          <w:rtl/>
        </w:rPr>
        <w:t xml:space="preserve"> ، ج 2 ، ص 1315 ( عول )</w:t>
      </w:r>
      <w:r>
        <w:rPr>
          <w:rtl/>
        </w:rPr>
        <w:t>.</w:t>
      </w:r>
    </w:p>
    <w:p w:rsidR="000C39D1" w:rsidRPr="00132E65" w:rsidRDefault="000C39D1" w:rsidP="000C39D1">
      <w:pPr>
        <w:pStyle w:val="libFootnote0"/>
        <w:rPr>
          <w:rtl/>
          <w:lang w:bidi="fa-IR"/>
        </w:rPr>
      </w:pPr>
      <w:r>
        <w:rPr>
          <w:rtl/>
        </w:rPr>
        <w:t>(5).</w:t>
      </w:r>
      <w:r w:rsidRPr="00132E65">
        <w:rPr>
          <w:rtl/>
        </w:rPr>
        <w:t xml:space="preserve"> في حاشية « بح » : « وقد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الحجرات (49) : 3.</w:t>
            </w:r>
          </w:p>
        </w:tc>
        <w:tc>
          <w:tcPr>
            <w:tcW w:w="4006" w:type="dxa"/>
          </w:tcPr>
          <w:p w:rsidR="000C39D1" w:rsidRDefault="000C39D1" w:rsidP="00B53873">
            <w:pPr>
              <w:pStyle w:val="libFootnote0"/>
              <w:rPr>
                <w:rtl/>
              </w:rPr>
            </w:pPr>
            <w:r>
              <w:rPr>
                <w:rtl/>
              </w:rPr>
              <w:t>(7).</w:t>
            </w:r>
            <w:r w:rsidRPr="00132E65">
              <w:rPr>
                <w:rtl/>
              </w:rPr>
              <w:t xml:space="preserve"> في « ف ، ه‍ </w:t>
            </w:r>
            <w:r w:rsidR="007437BB" w:rsidRPr="00132E65">
              <w:rPr>
                <w:rtl/>
              </w:rPr>
              <w:t>»</w:t>
            </w:r>
            <w:r w:rsidRPr="00132E65">
              <w:rPr>
                <w:rtl/>
              </w:rPr>
              <w:t xml:space="preserve"> و</w:t>
            </w:r>
            <w:r w:rsidRPr="009D1ACE">
              <w:rPr>
                <w:rStyle w:val="libFootnoteBoldChar"/>
                <w:rtl/>
              </w:rPr>
              <w:t>الوافي</w:t>
            </w:r>
            <w:r w:rsidRPr="00132E65">
              <w:rPr>
                <w:rtl/>
              </w:rPr>
              <w:t xml:space="preserve"> : « كرهته »</w:t>
            </w:r>
            <w:r>
              <w:rPr>
                <w:rtl/>
              </w:rPr>
              <w:t>.</w:t>
            </w:r>
          </w:p>
        </w:tc>
      </w:tr>
    </w:tbl>
    <w:p w:rsidR="000C39D1" w:rsidRPr="00132E65" w:rsidRDefault="000C39D1" w:rsidP="000C39D1">
      <w:pPr>
        <w:pStyle w:val="libFootnote0"/>
        <w:rPr>
          <w:rtl/>
          <w:lang w:bidi="fa-IR"/>
        </w:rPr>
      </w:pPr>
      <w:r>
        <w:rPr>
          <w:rtl/>
        </w:rPr>
        <w:t>(8).</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w:t>
      </w:r>
      <w:r>
        <w:rPr>
          <w:rtl/>
        </w:rPr>
        <w:t xml:space="preserve"> + </w:t>
      </w:r>
      <w:r w:rsidRPr="00132E65">
        <w:rPr>
          <w:rtl/>
        </w:rPr>
        <w:t>« رسول الله »</w:t>
      </w:r>
      <w:r>
        <w:rPr>
          <w:rtl/>
        </w:rPr>
        <w:t>.</w:t>
      </w:r>
    </w:p>
    <w:p w:rsidR="000C39D1" w:rsidRPr="00132E65" w:rsidRDefault="000C39D1" w:rsidP="000C39D1">
      <w:pPr>
        <w:pStyle w:val="libFootnote0"/>
        <w:rPr>
          <w:rtl/>
          <w:lang w:bidi="fa-IR"/>
        </w:rPr>
      </w:pPr>
      <w:r>
        <w:rPr>
          <w:rtl/>
        </w:rPr>
        <w:t>(9).</w:t>
      </w:r>
      <w:r w:rsidRPr="00132E65">
        <w:rPr>
          <w:rtl/>
        </w:rPr>
        <w:t xml:space="preserve"> يقال : رَغِمَ رَغَمَ أنْفُه يَرْغَمُ رَغْماً ورِغْماً ورُغْماً ، أي لصق بالرَغام ، وهو التراب ، وأرغم الله أنفَه ، أي ألصقه بالرَغام. هذا هو الأصل ، ثمّ استعمل في الذُلّ والعجز عن الانتصاف ، والانقياد على كُرْه. </w:t>
      </w:r>
      <w:r w:rsidRPr="00E47874">
        <w:rPr>
          <w:rtl/>
        </w:rPr>
        <w:t>النهاية</w:t>
      </w:r>
      <w:r w:rsidRPr="00132E65">
        <w:rPr>
          <w:rtl/>
        </w:rPr>
        <w:t xml:space="preserve"> ، ج 2 ، ص 238 ( رغم )</w:t>
      </w:r>
      <w:r>
        <w:rPr>
          <w:rtl/>
        </w:rPr>
        <w:t>.</w:t>
      </w:r>
    </w:p>
    <w:p w:rsidR="000C39D1" w:rsidRPr="00132E65" w:rsidRDefault="000C39D1" w:rsidP="000C39D1">
      <w:pPr>
        <w:pStyle w:val="libFootnote0"/>
        <w:rPr>
          <w:rtl/>
          <w:lang w:bidi="fa-IR"/>
        </w:rPr>
      </w:pPr>
      <w:r>
        <w:rPr>
          <w:rtl/>
        </w:rPr>
        <w:t>(10).</w:t>
      </w:r>
      <w:r w:rsidRPr="00132E65">
        <w:rPr>
          <w:rtl/>
        </w:rPr>
        <w:t xml:space="preserve"> « ال</w:t>
      </w:r>
      <w:r>
        <w:rPr>
          <w:rFonts w:hint="cs"/>
          <w:rtl/>
        </w:rPr>
        <w:t>ـ</w:t>
      </w:r>
      <w:r w:rsidRPr="00132E65">
        <w:rPr>
          <w:rtl/>
        </w:rPr>
        <w:t xml:space="preserve">مَعْطِسُ » : الأنف ؛ لأنّ العُطاس منه يخرج. وقد جاء بفتح الطاء ، ولكنّ الكسر أجود. راجع : </w:t>
      </w:r>
      <w:r w:rsidRPr="00E47874">
        <w:rPr>
          <w:rtl/>
        </w:rPr>
        <w:t>لسان‌العرب</w:t>
      </w:r>
      <w:r w:rsidRPr="00132E65">
        <w:rPr>
          <w:rtl/>
        </w:rPr>
        <w:t xml:space="preserve"> ، ج 6 ، ص 142 ( عطس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 فَأَقْبَلَتْ عَلَيْهِ ، فَقَالَتْ : يَا ابْنَ الْحَنَفِيَّةِ ، هؤُلَاءِ الْفَوَاطِمُ </w:t>
      </w:r>
      <w:r>
        <w:rPr>
          <w:rStyle w:val="libFootnotenumChar"/>
          <w:rtl/>
        </w:rPr>
        <w:t>(1)</w:t>
      </w:r>
      <w:r w:rsidRPr="00132E65">
        <w:rPr>
          <w:rtl/>
          <w:lang w:bidi="fa-IR"/>
        </w:rPr>
        <w:t xml:space="preserve"> يَتَكَلَّمُونَ ، فَمَا كَلَامُكَ</w:t>
      </w:r>
      <w:r>
        <w:rPr>
          <w:rtl/>
          <w:lang w:bidi="fa-IR"/>
        </w:rPr>
        <w:t>؟</w:t>
      </w:r>
      <w:r w:rsidRPr="00132E65">
        <w:rPr>
          <w:rtl/>
          <w:lang w:bidi="fa-IR"/>
        </w:rPr>
        <w:t xml:space="preserve"> فَقَالَ لَهَا الْحُسَيْنُ </w:t>
      </w:r>
      <w:r w:rsidRPr="00071CF9">
        <w:rPr>
          <w:rStyle w:val="libAlaemChar"/>
          <w:rtl/>
        </w:rPr>
        <w:t>عليه‌السلام</w:t>
      </w:r>
      <w:r w:rsidRPr="00132E65">
        <w:rPr>
          <w:rtl/>
          <w:lang w:bidi="fa-IR"/>
        </w:rPr>
        <w:t xml:space="preserve"> : وأَنّى </w:t>
      </w:r>
      <w:r>
        <w:rPr>
          <w:rStyle w:val="libFootnotenumChar"/>
          <w:rtl/>
        </w:rPr>
        <w:t>(2)</w:t>
      </w:r>
      <w:r w:rsidRPr="00132E65">
        <w:rPr>
          <w:rtl/>
          <w:lang w:bidi="fa-IR"/>
        </w:rPr>
        <w:t xml:space="preserve"> تُبْعِدِينَ </w:t>
      </w:r>
      <w:r>
        <w:rPr>
          <w:rStyle w:val="libFootnotenumChar"/>
          <w:rtl/>
        </w:rPr>
        <w:t>(3)</w:t>
      </w:r>
      <w:r w:rsidRPr="00132E65">
        <w:rPr>
          <w:rtl/>
          <w:lang w:bidi="fa-IR"/>
        </w:rPr>
        <w:t xml:space="preserve"> مُحَمَّداً مِنَ الْفَوَاطِمِ ، فَوَ اللهِ ، لَقَدْ وَلَدَتْهُ ثَلَاثُ فَوَاطِمَ : فَاطِمَةُ بِنْتُ عِمْرَانَ بْنِ عَائِذِ بْنِ عَمْرِو بْنِ مَخْزُومٍ ، وفَاطِمَةُ بِنْتُ أَسَدِ بْنِ هَاشِمٍ ، وفَاطِمَةُ بِنْتُ زَائِدَةَ بْنِ الْأَصَمِّ </w:t>
      </w:r>
      <w:r>
        <w:rPr>
          <w:rStyle w:val="libFootnotenumChar"/>
          <w:rtl/>
        </w:rPr>
        <w:t>(4)</w:t>
      </w:r>
      <w:r w:rsidRPr="00132E65">
        <w:rPr>
          <w:rtl/>
          <w:lang w:bidi="fa-IR"/>
        </w:rPr>
        <w:t xml:space="preserve"> بْنِ رَوَاحَةَ بْنِ حِجْرِ بْنِ عَبْدِ مَعِيصِ </w:t>
      </w:r>
      <w:r>
        <w:rPr>
          <w:rStyle w:val="libFootnotenumChar"/>
          <w:rtl/>
        </w:rPr>
        <w:t>(5)</w:t>
      </w:r>
      <w:r w:rsidRPr="00132E65">
        <w:rPr>
          <w:rtl/>
          <w:lang w:bidi="fa-IR"/>
        </w:rPr>
        <w:t xml:space="preserve"> بْنِ عَامِرٍ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(6)</w:t>
      </w:r>
      <w:r w:rsidRPr="00132E65">
        <w:rPr>
          <w:rtl/>
          <w:lang w:bidi="fa-IR"/>
        </w:rPr>
        <w:t xml:space="preserve"> : « فَقَالَتْ عَائِشَةُ لِلْحُسَيْنِ </w:t>
      </w:r>
      <w:r w:rsidRPr="00071CF9">
        <w:rPr>
          <w:rStyle w:val="libAlaemChar"/>
          <w:rtl/>
        </w:rPr>
        <w:t>عليه‌السلام</w:t>
      </w:r>
      <w:r w:rsidRPr="00132E65">
        <w:rPr>
          <w:rtl/>
          <w:lang w:bidi="fa-IR"/>
        </w:rPr>
        <w:t xml:space="preserve"> : نَحُّوا ابْنَكُمْ ، واذْهَبُوا بِهِ </w:t>
      </w:r>
      <w:r>
        <w:rPr>
          <w:rStyle w:val="libFootnotenumChar"/>
          <w:rtl/>
        </w:rPr>
        <w:t>(7)</w:t>
      </w:r>
      <w:r w:rsidRPr="00132E65">
        <w:rPr>
          <w:rtl/>
          <w:lang w:bidi="fa-IR"/>
        </w:rPr>
        <w:t xml:space="preserve"> ؛ فَإِنَّكُمْ قَوْمٌ خَصِمُونَ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 فَمَضَى الْحُسَيْنُ </w:t>
      </w:r>
      <w:r w:rsidRPr="00071CF9">
        <w:rPr>
          <w:rStyle w:val="libAlaemChar"/>
          <w:rtl/>
        </w:rPr>
        <w:t>عليه‌السلام</w:t>
      </w:r>
      <w:r w:rsidRPr="00132E65">
        <w:rPr>
          <w:rtl/>
          <w:lang w:bidi="fa-IR"/>
        </w:rPr>
        <w:t xml:space="preserve"> إِلى قَبْرِ أُمِّهِ ، ثُمَّ أَخْرَجَهُ ، فَدَفَنَهُ بِالْبَقِيعِ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Heading2Center"/>
        <w:rPr>
          <w:rtl/>
          <w:lang w:bidi="fa-IR"/>
        </w:rPr>
      </w:pPr>
      <w:bookmarkStart w:id="14" w:name="_Toc459459095"/>
      <w:bookmarkStart w:id="15" w:name="_Toc34663064"/>
      <w:r w:rsidRPr="00132E65">
        <w:rPr>
          <w:rtl/>
          <w:lang w:bidi="fa-IR"/>
        </w:rPr>
        <w:t>68</w:t>
      </w:r>
      <w:r>
        <w:rPr>
          <w:rtl/>
          <w:lang w:bidi="fa-IR"/>
        </w:rPr>
        <w:t xml:space="preserve"> - </w:t>
      </w:r>
      <w:r w:rsidRPr="00132E65">
        <w:rPr>
          <w:rtl/>
          <w:lang w:bidi="fa-IR"/>
        </w:rPr>
        <w:t>بَابُ الْإِشَارَةِ والنَّصِّ عَلى عَلِيِّ بْنِ الْحُسَيْنِ صَلَوَاتُ اللهِ عَلَيْهِمَا‌</w:t>
      </w:r>
      <w:bookmarkEnd w:id="14"/>
      <w:bookmarkEnd w:id="15"/>
    </w:p>
    <w:p w:rsidR="000C39D1" w:rsidRPr="00132E65" w:rsidRDefault="000C39D1" w:rsidP="000C39D1">
      <w:pPr>
        <w:pStyle w:val="libNormal"/>
        <w:rPr>
          <w:rtl/>
          <w:lang w:bidi="fa-IR"/>
        </w:rPr>
      </w:pPr>
      <w:r w:rsidRPr="00E47874">
        <w:rPr>
          <w:rtl/>
        </w:rPr>
        <w:t>785</w:t>
      </w:r>
      <w:r w:rsidRPr="004325D8">
        <w:rPr>
          <w:rStyle w:val="libBold2Char"/>
          <w:rtl/>
        </w:rPr>
        <w:t xml:space="preserve"> / 1.</w:t>
      </w:r>
      <w:r w:rsidRPr="00132E65">
        <w:rPr>
          <w:rtl/>
          <w:lang w:bidi="fa-IR"/>
        </w:rPr>
        <w:t xml:space="preserve"> مُحَمَّدُ بْنُ يَحْيى ، عَنْ مُحَمَّدِ بْنِ الْحُسَيْنِ وأَحْمَدَ بْنِ مُحَمَّدٍ ، عَنْ مُحَمَّدِ بْنِ إِسْمَاعِيلَ ، عَنْ مَنْصُورِ بْنِ يُونُسَ ، عَنْ أَبِي الْجَارُودِ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7437BB">
      <w:pPr>
        <w:pStyle w:val="libFootnote0"/>
        <w:rPr>
          <w:rtl/>
          <w:lang w:bidi="fa-IR"/>
        </w:rPr>
      </w:pPr>
      <w:r>
        <w:rPr>
          <w:rtl/>
        </w:rPr>
        <w:t>(1).</w:t>
      </w:r>
      <w:r w:rsidRPr="00132E65">
        <w:rPr>
          <w:rtl/>
        </w:rPr>
        <w:t xml:space="preserve"> « الفَواطِم » ، أي المنسوبون إلى فاطمة ، فالجمعيّة باعتبار المنسوب ، لا باعتبار المنسوب إليه ؛ فالفاطم بمنزلةالفاطميّ جمع على الفواطم : فاطمة البتول والفواطم الآتية. والمراد : الفاطميّون. وقيل : المنسوبون إلى الفواطم : فاطمة البتول والفواطم الآتية. وهو أظهر لفظاً لكنّه بعيد عن السياق. راجع : </w:t>
      </w:r>
      <w:r w:rsidRPr="009D1ACE">
        <w:rPr>
          <w:rStyle w:val="libFootnoteBoldChar"/>
          <w:rtl/>
        </w:rPr>
        <w:t>مرآة العقول</w:t>
      </w:r>
      <w:r w:rsidRPr="00132E65">
        <w:rPr>
          <w:rtl/>
        </w:rPr>
        <w:t xml:space="preserve"> ، ج 3 ، ص 319.</w:t>
      </w:r>
      <w:r>
        <w:rPr>
          <w:rFonts w:hint="cs"/>
          <w:rtl/>
        </w:rPr>
        <w:t xml:space="preserve">   </w:t>
      </w:r>
      <w:r>
        <w:rPr>
          <w:rtl/>
        </w:rPr>
        <w:t>(2).</w:t>
      </w:r>
      <w:r w:rsidRPr="00132E65">
        <w:rPr>
          <w:rtl/>
        </w:rPr>
        <w:t xml:space="preserve"> في « ب » وحاشية « ض ، ه‍ </w:t>
      </w:r>
      <w:r w:rsidR="007437BB" w:rsidRPr="00132E65">
        <w:rPr>
          <w:rtl/>
        </w:rPr>
        <w:t>»</w:t>
      </w:r>
      <w:r w:rsidRPr="00132E65">
        <w:rPr>
          <w:rtl/>
        </w:rPr>
        <w:t xml:space="preserve"> : « وأنت »</w:t>
      </w:r>
      <w:r>
        <w:rPr>
          <w:rtl/>
        </w:rPr>
        <w:t>.</w:t>
      </w:r>
    </w:p>
    <w:p w:rsidR="000C39D1" w:rsidRPr="00132E65" w:rsidRDefault="000C39D1" w:rsidP="000C39D1">
      <w:pPr>
        <w:pStyle w:val="libFootnote0"/>
        <w:rPr>
          <w:rtl/>
          <w:lang w:bidi="fa-IR"/>
        </w:rPr>
      </w:pPr>
      <w:r>
        <w:rPr>
          <w:rtl/>
        </w:rPr>
        <w:t>(3).</w:t>
      </w:r>
      <w:r w:rsidRPr="00132E65">
        <w:rPr>
          <w:rtl/>
        </w:rPr>
        <w:t xml:space="preserve"> في « ج ، ض ، ف » : « تبعّدين »</w:t>
      </w:r>
      <w:r>
        <w:rPr>
          <w:rtl/>
        </w:rPr>
        <w:t>.</w:t>
      </w:r>
      <w:r w:rsidRPr="00132E65">
        <w:rPr>
          <w:rtl/>
        </w:rPr>
        <w:t xml:space="preserve"> وقوله : « وأنّى تبعّدين » وقوله : « وأنّى تبعدين » : من الإبعاد ، أو التبعيد. والاستفهام للإنكار. </w:t>
      </w:r>
      <w:r w:rsidRPr="00E47874">
        <w:rPr>
          <w:rtl/>
        </w:rPr>
        <w:t>شرح المازندراني</w:t>
      </w:r>
      <w:r w:rsidRPr="00132E65">
        <w:rPr>
          <w:rtl/>
        </w:rPr>
        <w:t xml:space="preserve"> ، ج 6 ، ص 153 ؛ </w:t>
      </w:r>
      <w:r w:rsidRPr="009D1ACE">
        <w:rPr>
          <w:rStyle w:val="libFootnoteBoldChar"/>
          <w:rtl/>
        </w:rPr>
        <w:t>مرآة العقول</w:t>
      </w:r>
      <w:r w:rsidRPr="00132E65">
        <w:rPr>
          <w:rtl/>
        </w:rPr>
        <w:t xml:space="preserve"> ، ج 3 ، ص 319.</w:t>
      </w:r>
    </w:p>
    <w:p w:rsidR="000C39D1" w:rsidRPr="00132E65" w:rsidRDefault="000C39D1" w:rsidP="000C39D1">
      <w:pPr>
        <w:pStyle w:val="libFootnote0"/>
        <w:rPr>
          <w:rtl/>
          <w:lang w:bidi="fa-IR"/>
        </w:rPr>
      </w:pPr>
      <w:r>
        <w:rPr>
          <w:rtl/>
        </w:rPr>
        <w:t>(4).</w:t>
      </w:r>
      <w:r w:rsidRPr="00132E65">
        <w:rPr>
          <w:rtl/>
        </w:rPr>
        <w:t xml:space="preserve"> في « بر » : « أصمّ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E47874">
        <w:rPr>
          <w:rtl/>
        </w:rPr>
        <w:t>شرح المازندراني</w:t>
      </w:r>
      <w:r w:rsidRPr="00132E65">
        <w:rPr>
          <w:rtl/>
        </w:rPr>
        <w:t xml:space="preserve"> : « المعيص</w:t>
      </w:r>
      <w:r>
        <w:rPr>
          <w:rtl/>
        </w:rPr>
        <w:t xml:space="preserve"> - </w:t>
      </w:r>
      <w:r w:rsidRPr="00132E65">
        <w:rPr>
          <w:rtl/>
        </w:rPr>
        <w:t>بالعين والصاد المهملتين</w:t>
      </w:r>
      <w:r>
        <w:rPr>
          <w:rtl/>
        </w:rPr>
        <w:t xml:space="preserve"> - </w:t>
      </w:r>
      <w:r w:rsidRPr="00132E65">
        <w:rPr>
          <w:rtl/>
        </w:rPr>
        <w:t>كأمير : بطن من قريش ، وفي بعض النسخ : المغيض بالمعجمتين »</w:t>
      </w:r>
      <w:r>
        <w:rPr>
          <w:rtl/>
        </w:rPr>
        <w:t>.</w:t>
      </w:r>
      <w:r>
        <w:rPr>
          <w:rFonts w:hint="cs"/>
          <w:rtl/>
        </w:rPr>
        <w:t xml:space="preserve">                                        </w:t>
      </w:r>
      <w:r>
        <w:rPr>
          <w:rtl/>
        </w:rPr>
        <w:t>(6).</w:t>
      </w:r>
      <w:r w:rsidRPr="00132E65">
        <w:rPr>
          <w:rtl/>
        </w:rPr>
        <w:t xml:space="preserve"> في « ج ، ض ، ه‍ ، بس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(7).</w:t>
      </w:r>
      <w:r w:rsidRPr="00132E65">
        <w:rPr>
          <w:rtl/>
        </w:rPr>
        <w:t xml:space="preserve"> في « ه‍ » وحاشية بدرالدين : « بحقّ أبيكم اذهبوا » بدل « نحّوا ابنكم واذهبوا به »</w:t>
      </w:r>
      <w:r>
        <w:rPr>
          <w:rtl/>
        </w:rPr>
        <w:t>.</w:t>
      </w:r>
    </w:p>
    <w:p w:rsidR="000C39D1" w:rsidRPr="00132E65" w:rsidRDefault="000C39D1" w:rsidP="000C39D1">
      <w:pPr>
        <w:pStyle w:val="libFootnote0"/>
        <w:rPr>
          <w:rtl/>
          <w:lang w:bidi="fa-IR"/>
        </w:rPr>
      </w:pPr>
      <w:r>
        <w:rPr>
          <w:rtl/>
        </w:rPr>
        <w:t>(8).</w:t>
      </w:r>
      <w:r w:rsidRPr="00132E65">
        <w:rPr>
          <w:rtl/>
        </w:rPr>
        <w:t xml:space="preserve"> قال الجوهري : « الخَصِمُ بكسر الصاد : الشديد الخُصُومةِ »</w:t>
      </w:r>
      <w:r>
        <w:rPr>
          <w:rtl/>
        </w:rPr>
        <w:t>.</w:t>
      </w:r>
      <w:r w:rsidRPr="00132E65">
        <w:rPr>
          <w:rtl/>
        </w:rPr>
        <w:t xml:space="preserve"> </w:t>
      </w:r>
      <w:r w:rsidRPr="00E47874">
        <w:rPr>
          <w:rtl/>
        </w:rPr>
        <w:t>الصحاح</w:t>
      </w:r>
      <w:r w:rsidRPr="00132E65">
        <w:rPr>
          <w:rtl/>
        </w:rPr>
        <w:t xml:space="preserve"> ، ج 5 ، ص 1913 ( خصم )</w:t>
      </w:r>
      <w:r>
        <w:rPr>
          <w:rtl/>
        </w:rPr>
        <w:t>.</w:t>
      </w:r>
    </w:p>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2 ، ص 340 ، ح 800 ؛ </w:t>
      </w:r>
      <w:r w:rsidRPr="00E47874">
        <w:rPr>
          <w:rtl/>
        </w:rPr>
        <w:t>البحار</w:t>
      </w:r>
      <w:r w:rsidRPr="00132E65">
        <w:rPr>
          <w:rtl/>
        </w:rPr>
        <w:t xml:space="preserve"> ، ج 44 ، ص 142 ، ح 9 ؛ وج 17 ، ص 31 ، ح 13 ؛ وج 100 ، ص 125 ، ح 1 ، وفي الأخيرين إلى قوله : « وإن رغم معطسك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إِنَّ الْحُسَيْنَ بْنَ عَلِيٍّ </w:t>
      </w:r>
      <w:r>
        <w:rPr>
          <w:rStyle w:val="libFootnotenumChar"/>
          <w:rtl/>
        </w:rPr>
        <w:t>(1)</w:t>
      </w:r>
      <w:r w:rsidRPr="00132E65">
        <w:rPr>
          <w:rtl/>
          <w:lang w:bidi="fa-IR"/>
        </w:rPr>
        <w:t xml:space="preserve"> </w:t>
      </w:r>
      <w:r w:rsidRPr="00071CF9">
        <w:rPr>
          <w:rStyle w:val="libAlaemChar"/>
          <w:rtl/>
        </w:rPr>
        <w:t>عليهما‌السلام</w:t>
      </w:r>
      <w:r w:rsidRPr="00132E65">
        <w:rPr>
          <w:rtl/>
          <w:lang w:bidi="fa-IR"/>
        </w:rPr>
        <w:t xml:space="preserve"> لَمَّا حَضَرَهُ الَّذِي حَضَرَهُ ، دَعَا </w:t>
      </w:r>
      <w:r>
        <w:rPr>
          <w:rStyle w:val="libFootnotenumChar"/>
          <w:rtl/>
        </w:rPr>
        <w:t>(2)</w:t>
      </w:r>
      <w:r w:rsidRPr="00132E65">
        <w:rPr>
          <w:rtl/>
          <w:lang w:bidi="fa-IR"/>
        </w:rPr>
        <w:t xml:space="preserve"> ابْنَتَهُ الْكُبْرى فَاطِمَةَ بِنْتَ </w:t>
      </w:r>
      <w:r>
        <w:rPr>
          <w:rStyle w:val="libFootnotenumChar"/>
          <w:rtl/>
        </w:rPr>
        <w:t>(3)</w:t>
      </w:r>
      <w:r w:rsidRPr="00132E65">
        <w:rPr>
          <w:rtl/>
          <w:lang w:bidi="fa-IR"/>
        </w:rPr>
        <w:t xml:space="preserve"> الْحُسَيْنِ </w:t>
      </w:r>
      <w:r w:rsidRPr="00071CF9">
        <w:rPr>
          <w:rStyle w:val="libAlaemChar"/>
          <w:rtl/>
        </w:rPr>
        <w:t>عليه‌السلام</w:t>
      </w:r>
      <w:r w:rsidRPr="00132E65">
        <w:rPr>
          <w:rtl/>
          <w:lang w:bidi="fa-IR"/>
        </w:rPr>
        <w:t xml:space="preserve"> ، فَدَفَعَ إِل</w:t>
      </w:r>
      <w:r>
        <w:rPr>
          <w:rtl/>
          <w:lang w:bidi="fa-IR"/>
        </w:rPr>
        <w:t>َيْهَا كِتَاباً مَلْفُوفاً ، و</w:t>
      </w:r>
      <w:r>
        <w:rPr>
          <w:rFonts w:hint="cs"/>
          <w:rtl/>
          <w:lang w:bidi="fa-IR"/>
        </w:rPr>
        <w:t xml:space="preserve">َ </w:t>
      </w:r>
      <w:r>
        <w:rPr>
          <w:rtl/>
          <w:lang w:bidi="fa-IR"/>
        </w:rPr>
        <w:t>و</w:t>
      </w:r>
      <w:r>
        <w:rPr>
          <w:rFonts w:hint="cs"/>
          <w:rtl/>
          <w:lang w:bidi="fa-IR"/>
        </w:rPr>
        <w:t>َ</w:t>
      </w:r>
      <w:r w:rsidRPr="00132E65">
        <w:rPr>
          <w:rtl/>
          <w:lang w:bidi="fa-IR"/>
        </w:rPr>
        <w:t xml:space="preserve">صِيَّةً ظَاهِرَةً ، وَكَانَ عَلِيُّ بْنُ الْحُسَيْنِ </w:t>
      </w:r>
      <w:r w:rsidRPr="00071CF9">
        <w:rPr>
          <w:rStyle w:val="libAlaemChar"/>
          <w:rtl/>
        </w:rPr>
        <w:t>عليهما‌السلام</w:t>
      </w:r>
      <w:r w:rsidRPr="00132E65">
        <w:rPr>
          <w:rtl/>
          <w:lang w:bidi="fa-IR"/>
        </w:rPr>
        <w:t xml:space="preserve"> مَبْطُوناً </w:t>
      </w:r>
      <w:r>
        <w:rPr>
          <w:rStyle w:val="libFootnotenumChar"/>
          <w:rtl/>
        </w:rPr>
        <w:t>(4)</w:t>
      </w:r>
      <w:r w:rsidRPr="00132E65">
        <w:rPr>
          <w:rtl/>
          <w:lang w:bidi="fa-IR"/>
        </w:rPr>
        <w:t xml:space="preserve"> مَعَهُمْ </w:t>
      </w:r>
      <w:r>
        <w:rPr>
          <w:rStyle w:val="libFootnotenumChar"/>
          <w:rtl/>
        </w:rPr>
        <w:t>(5)</w:t>
      </w:r>
      <w:r>
        <w:rPr>
          <w:rtl/>
          <w:lang w:bidi="fa-IR"/>
        </w:rPr>
        <w:t xml:space="preserve"> لَايَرَوْنَ إِل</w:t>
      </w:r>
      <w:r>
        <w:rPr>
          <w:rFonts w:hint="cs"/>
          <w:rtl/>
          <w:lang w:bidi="fa-IR"/>
        </w:rPr>
        <w:t>َّ</w:t>
      </w:r>
      <w:r>
        <w:rPr>
          <w:rtl/>
          <w:lang w:bidi="fa-IR"/>
        </w:rPr>
        <w:t>ا</w:t>
      </w:r>
      <w:r w:rsidRPr="00132E65">
        <w:rPr>
          <w:rtl/>
          <w:lang w:bidi="fa-IR"/>
        </w:rPr>
        <w:t xml:space="preserve"> أَنَّهُ لِمَا بِهِ ، فَدَفَعَتْ فَاطِمَةُ الْكِتَابَ إِلى عَلِيِّ بْنِ الْحُسَيْنِ </w:t>
      </w:r>
      <w:r w:rsidRPr="00071CF9">
        <w:rPr>
          <w:rStyle w:val="libAlaemChar"/>
          <w:rtl/>
        </w:rPr>
        <w:t>عليه‌السلام</w:t>
      </w:r>
      <w:r w:rsidRPr="00132E65">
        <w:rPr>
          <w:rtl/>
          <w:lang w:bidi="fa-IR"/>
        </w:rPr>
        <w:t xml:space="preserve"> ، ثُمَّ صَارَ واللهِ ذلِكَ الْكِتَابُ إِلَيْنَا يَا زِيَادُ »</w:t>
      </w:r>
      <w:r>
        <w:rPr>
          <w:rtl/>
          <w:lang w:bidi="fa-IR"/>
        </w:rPr>
        <w:t>.</w:t>
      </w:r>
    </w:p>
    <w:p w:rsidR="000C39D1" w:rsidRPr="00132E65" w:rsidRDefault="000C39D1" w:rsidP="000C39D1">
      <w:pPr>
        <w:pStyle w:val="libNormal"/>
        <w:rPr>
          <w:rtl/>
          <w:lang w:bidi="fa-IR"/>
        </w:rPr>
      </w:pPr>
      <w:r w:rsidRPr="00132E65">
        <w:rPr>
          <w:rtl/>
          <w:lang w:bidi="fa-IR"/>
        </w:rPr>
        <w:t>قَالَ : قُلْتُ : مَا فِي ذلِكَ الْكِتَابِ جَعَلَنِيَ اللهُ فِدَاكَ</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(6)</w:t>
      </w:r>
      <w:r w:rsidRPr="00132E65">
        <w:rPr>
          <w:rtl/>
          <w:lang w:bidi="fa-IR"/>
        </w:rPr>
        <w:t xml:space="preserve"> : « فِيهِ واللهِ مَا يَحْتَاجُ إِلَيْهِ ولْدُ آدَمَ مُنْذُ خَلَقَ اللهُ آدَمَ إِلى أَنْ تَفْنَى الدُّنْيَا ؛ وَاللهِ ، إِنَّ فِيهِ الْحُدُودَ حَتّى أَنَّ فِيهِ أَرْشَ </w:t>
      </w:r>
      <w:r>
        <w:rPr>
          <w:rStyle w:val="libFootnotenumChar"/>
          <w:rtl/>
        </w:rPr>
        <w:t>(7)</w:t>
      </w:r>
      <w:r w:rsidRPr="00132E65">
        <w:rPr>
          <w:rtl/>
          <w:lang w:bidi="fa-IR"/>
        </w:rPr>
        <w:t xml:space="preserve"> الْخَدْشِ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E47874">
        <w:rPr>
          <w:rtl/>
        </w:rPr>
        <w:t>786</w:t>
      </w:r>
      <w:r w:rsidRPr="004325D8">
        <w:rPr>
          <w:rStyle w:val="libBold2Char"/>
          <w:rtl/>
        </w:rPr>
        <w:t xml:space="preserve"> / 2.</w:t>
      </w:r>
      <w:r w:rsidRPr="00132E65">
        <w:rPr>
          <w:rtl/>
          <w:lang w:bidi="fa-IR"/>
        </w:rPr>
        <w:t xml:space="preserve"> عِدَّةٌ مِنْ أَصْحَابِنَا ، عَنْ أَحْمَدَ بْنِ مُحَمَّدٍ ، عَنِ الْحُسَيْنِ بْنِ سَعِيدٍ ، عَنِ ابْنِ سِنَانٍ ، عَنْ أَبِي الْجَارُودِ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حَضَرَ الْحُسَيْنَ </w:t>
      </w:r>
      <w:r w:rsidRPr="00071CF9">
        <w:rPr>
          <w:rStyle w:val="libAlaemChar"/>
          <w:rtl/>
        </w:rPr>
        <w:t>عليه‌السلام</w:t>
      </w:r>
      <w:r w:rsidRPr="00132E65">
        <w:rPr>
          <w:rtl/>
          <w:lang w:bidi="fa-IR"/>
        </w:rPr>
        <w:t xml:space="preserve"> مَا حَضَرَهُ ، دَفَعَ وصِيَّتَهُ إِلَى ابْنَتِهِ فَاطِمَةَ ، ظَاهِرَةً فِي كِتَابٍ مُدْرَجٍ </w:t>
      </w:r>
      <w:r>
        <w:rPr>
          <w:rStyle w:val="libFootnotenumChar"/>
          <w:rtl/>
        </w:rPr>
        <w:t>(9)</w:t>
      </w:r>
      <w:r w:rsidRPr="00132E65">
        <w:rPr>
          <w:rtl/>
          <w:lang w:bidi="fa-IR"/>
        </w:rPr>
        <w:t xml:space="preserve"> ، فَلَمَّا أَنْ </w:t>
      </w:r>
      <w:r>
        <w:rPr>
          <w:rStyle w:val="libFootnotenumChar"/>
          <w:rtl/>
        </w:rPr>
        <w:t>(10)</w:t>
      </w:r>
      <w:r w:rsidRPr="00132E65">
        <w:rPr>
          <w:rtl/>
          <w:lang w:bidi="fa-IR"/>
        </w:rPr>
        <w:t xml:space="preserve"> كَانَ مِنْ أَمْرِ الْحُسَيْنِ </w:t>
      </w:r>
      <w:r w:rsidRPr="00071CF9">
        <w:rPr>
          <w:rStyle w:val="libAlaemChar"/>
          <w:rtl/>
        </w:rPr>
        <w:t>عليه‌السلام</w:t>
      </w:r>
      <w:r w:rsidRPr="00132E65">
        <w:rPr>
          <w:rtl/>
          <w:lang w:bidi="fa-IR"/>
        </w:rPr>
        <w:t xml:space="preserve"> مَا كَانَ ، دَفَعَتْ‌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242766">
      <w:pPr>
        <w:pStyle w:val="libFootnote0"/>
        <w:rPr>
          <w:rtl/>
          <w:lang w:bidi="fa-IR"/>
        </w:rPr>
      </w:pPr>
      <w:r>
        <w:rPr>
          <w:rtl/>
        </w:rPr>
        <w:t>(1).</w:t>
      </w:r>
      <w:r w:rsidRPr="00132E65">
        <w:rPr>
          <w:rtl/>
        </w:rPr>
        <w:t xml:space="preserve"> في « ف ، ه‍ </w:t>
      </w:r>
      <w:r w:rsidR="00242766" w:rsidRPr="00132E65">
        <w:rPr>
          <w:rtl/>
        </w:rPr>
        <w:t>»</w:t>
      </w:r>
      <w:r w:rsidRPr="00132E65">
        <w:rPr>
          <w:rtl/>
        </w:rPr>
        <w:t xml:space="preserve"> و</w:t>
      </w:r>
      <w:r w:rsidRPr="009D1ACE">
        <w:rPr>
          <w:rStyle w:val="libFootnoteBoldChar"/>
          <w:rtl/>
        </w:rPr>
        <w:t>الوافي</w:t>
      </w:r>
      <w:r w:rsidRPr="00132E65">
        <w:rPr>
          <w:rtl/>
        </w:rPr>
        <w:t xml:space="preserve">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0577A7">
        <w:rPr>
          <w:rStyle w:val="libFootnoteBoldChar"/>
          <w:rtl/>
        </w:rPr>
        <w:t>الكافي</w:t>
      </w:r>
      <w:r w:rsidRPr="00132E65">
        <w:rPr>
          <w:rtl/>
        </w:rPr>
        <w:t xml:space="preserve"> ، ح 764 : « فدعا »</w:t>
      </w:r>
      <w:r>
        <w:rPr>
          <w:rtl/>
        </w:rPr>
        <w:t>.</w:t>
      </w:r>
    </w:p>
    <w:p w:rsidR="000C39D1" w:rsidRPr="00132E65" w:rsidRDefault="000C39D1" w:rsidP="000C39D1">
      <w:pPr>
        <w:pStyle w:val="libFootnote0"/>
        <w:rPr>
          <w:rtl/>
          <w:lang w:bidi="fa-IR"/>
        </w:rPr>
      </w:pPr>
      <w:r>
        <w:rPr>
          <w:rtl/>
        </w:rPr>
        <w:t>(3).</w:t>
      </w:r>
      <w:r w:rsidRPr="00132E65">
        <w:rPr>
          <w:rtl/>
        </w:rPr>
        <w:t xml:space="preserve"> في « ه‍ ، بف » وحاشية « بح ، بس » والبصائر ، ص 163 : « ابنة »</w:t>
      </w:r>
      <w:r>
        <w:rPr>
          <w:rtl/>
        </w:rPr>
        <w:t>.</w:t>
      </w:r>
    </w:p>
    <w:p w:rsidR="000C39D1" w:rsidRPr="00132E65" w:rsidRDefault="000C39D1" w:rsidP="000C39D1">
      <w:pPr>
        <w:pStyle w:val="libFootnote0"/>
        <w:rPr>
          <w:rtl/>
          <w:lang w:bidi="fa-IR"/>
        </w:rPr>
      </w:pPr>
      <w:r>
        <w:rPr>
          <w:rtl/>
        </w:rPr>
        <w:t>(4).</w:t>
      </w:r>
      <w:r w:rsidRPr="00132E65">
        <w:rPr>
          <w:rtl/>
        </w:rPr>
        <w:t xml:space="preserve"> « المبطون » : العليل البطن. </w:t>
      </w:r>
      <w:r w:rsidRPr="00E47874">
        <w:rPr>
          <w:rtl/>
        </w:rPr>
        <w:t>الصحاح</w:t>
      </w:r>
      <w:r w:rsidRPr="00132E65">
        <w:rPr>
          <w:rtl/>
        </w:rPr>
        <w:t xml:space="preserve"> ، ج 5 ، ص 2080 ( بطن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w:t>
            </w:r>
            <w:r w:rsidRPr="000577A7">
              <w:rPr>
                <w:rStyle w:val="libFootnoteBoldChar"/>
                <w:rtl/>
              </w:rPr>
              <w:t>الكافي</w:t>
            </w:r>
            <w:r w:rsidRPr="00132E65">
              <w:rPr>
                <w:rtl/>
              </w:rPr>
              <w:t xml:space="preserve"> ، ح 764 </w:t>
            </w:r>
            <w:r>
              <w:rPr>
                <w:rtl/>
              </w:rPr>
              <w:t xml:space="preserve">: - </w:t>
            </w:r>
            <w:r w:rsidRPr="00132E65">
              <w:rPr>
                <w:rtl/>
              </w:rPr>
              <w:t>« معهم »</w:t>
            </w:r>
            <w:r>
              <w:rPr>
                <w:rtl/>
              </w:rPr>
              <w:t>.</w:t>
            </w:r>
          </w:p>
        </w:tc>
        <w:tc>
          <w:tcPr>
            <w:tcW w:w="4006" w:type="dxa"/>
          </w:tcPr>
          <w:p w:rsidR="000C39D1" w:rsidRDefault="000C39D1" w:rsidP="00B53873">
            <w:pPr>
              <w:pStyle w:val="libFootnote0"/>
              <w:rPr>
                <w:rtl/>
              </w:rPr>
            </w:pPr>
            <w:r>
              <w:rPr>
                <w:rtl/>
              </w:rPr>
              <w:t>(6).</w:t>
            </w:r>
            <w:r w:rsidRPr="00132E65">
              <w:rPr>
                <w:rtl/>
              </w:rPr>
              <w:t xml:space="preserve"> في « ف » : « فقال »</w:t>
            </w:r>
            <w:r>
              <w:rPr>
                <w:rtl/>
              </w:rPr>
              <w:t>.</w:t>
            </w:r>
          </w:p>
        </w:tc>
      </w:tr>
    </w:tbl>
    <w:p w:rsidR="000C39D1" w:rsidRPr="00132E65" w:rsidRDefault="000C39D1" w:rsidP="000C39D1">
      <w:pPr>
        <w:pStyle w:val="libFootnote0"/>
        <w:rPr>
          <w:rtl/>
          <w:lang w:bidi="fa-IR"/>
        </w:rPr>
      </w:pPr>
      <w:r>
        <w:rPr>
          <w:rtl/>
        </w:rPr>
        <w:t>(7).</w:t>
      </w:r>
      <w:r w:rsidRPr="00132E65">
        <w:rPr>
          <w:rtl/>
        </w:rPr>
        <w:t xml:space="preserve"> « الأرْش » : ما يأخذه المشتري من البائع إذا اطّلع على عيب في المبيع ، وأُرُوش الجراحات من ذلك ؛ لأنّها جابرة عمّا حصل فيها من النقص. </w:t>
      </w:r>
      <w:r w:rsidRPr="00E47874">
        <w:rPr>
          <w:rtl/>
        </w:rPr>
        <w:t>النهاية</w:t>
      </w:r>
      <w:r w:rsidRPr="00132E65">
        <w:rPr>
          <w:rtl/>
        </w:rPr>
        <w:t xml:space="preserve"> ، ج 1 ، ص 39 ( أرش )</w:t>
      </w:r>
      <w:r>
        <w:rPr>
          <w:rtl/>
        </w:rPr>
        <w:t>.</w:t>
      </w:r>
    </w:p>
    <w:p w:rsidR="000C39D1" w:rsidRPr="00132E65" w:rsidRDefault="000C39D1" w:rsidP="000C39D1">
      <w:pPr>
        <w:pStyle w:val="libFootnote0"/>
        <w:rPr>
          <w:rtl/>
          <w:lang w:bidi="fa-IR"/>
        </w:rPr>
      </w:pPr>
      <w:r>
        <w:rPr>
          <w:rtl/>
        </w:rPr>
        <w:t>(8).</w:t>
      </w:r>
      <w:r w:rsidRPr="00132E65">
        <w:rPr>
          <w:rtl/>
        </w:rPr>
        <w:t xml:space="preserve"> </w:t>
      </w:r>
      <w:r w:rsidRPr="000577A7">
        <w:rPr>
          <w:rStyle w:val="libFootnoteBoldChar"/>
          <w:rtl/>
        </w:rPr>
        <w:t>الكافي</w:t>
      </w:r>
      <w:r w:rsidRPr="00132E65">
        <w:rPr>
          <w:rtl/>
        </w:rPr>
        <w:t xml:space="preserve"> ، كتاب الحجّة ، باب ما نصّ الله عزّ وجلّ ورسوله على الأئمّة</w:t>
      </w:r>
      <w:r>
        <w:rPr>
          <w:rtl/>
        </w:rPr>
        <w:t xml:space="preserve"> ..</w:t>
      </w:r>
      <w:r w:rsidRPr="00132E65">
        <w:rPr>
          <w:rtl/>
        </w:rPr>
        <w:t xml:space="preserve">. ، ذيل ح 764 ، إلى قوله : « ثمّ صار والله ذلك الكتاب إلينا » ، مع زيادة في أوّله. </w:t>
      </w:r>
      <w:r w:rsidRPr="007A1104">
        <w:rPr>
          <w:rStyle w:val="libFootnoteBoldChar"/>
          <w:rtl/>
        </w:rPr>
        <w:t>بصائر الدرجات</w:t>
      </w:r>
      <w:r w:rsidRPr="00132E65">
        <w:rPr>
          <w:rtl/>
        </w:rPr>
        <w:t xml:space="preserve"> ، ص 163 ، ح 3 ، عن أحمد بن محمّد ؛ </w:t>
      </w:r>
      <w:r w:rsidRPr="00E47874">
        <w:rPr>
          <w:rtl/>
        </w:rPr>
        <w:t>وفيه</w:t>
      </w:r>
      <w:r w:rsidRPr="00132E65">
        <w:rPr>
          <w:rtl/>
        </w:rPr>
        <w:t xml:space="preserve"> ، ص 164 ، ح 6 بسنده عن منصور ، إلى قوله : « إلى أن تفنى الدنيا » ؛ </w:t>
      </w:r>
      <w:r w:rsidRPr="00E47874">
        <w:rPr>
          <w:rtl/>
        </w:rPr>
        <w:t>وفيه</w:t>
      </w:r>
      <w:r w:rsidRPr="00132E65">
        <w:rPr>
          <w:rtl/>
        </w:rPr>
        <w:t xml:space="preserve"> ، ص 148 ، ح 9 ، بسنده عن أبي الجارود ، وفيهما مع اختلاف يسير</w:t>
      </w:r>
      <w:r>
        <w:rPr>
          <w:rFonts w:hint="cs"/>
          <w:rtl/>
        </w:rPr>
        <w:t>.</w:t>
      </w:r>
      <w:r w:rsidRPr="009D1ACE">
        <w:rPr>
          <w:rStyle w:val="libFootnoteBoldChar"/>
          <w:rtl/>
        </w:rPr>
        <w:t>الوافي</w:t>
      </w:r>
      <w:r w:rsidRPr="00132E65">
        <w:rPr>
          <w:rtl/>
        </w:rPr>
        <w:t xml:space="preserve"> ، ج 2 ، ص 342 ، ح 801.</w:t>
      </w:r>
    </w:p>
    <w:p w:rsidR="000C39D1" w:rsidRPr="00132E65" w:rsidRDefault="000C39D1" w:rsidP="000C39D1">
      <w:pPr>
        <w:pStyle w:val="libFootnote0"/>
        <w:rPr>
          <w:rtl/>
          <w:lang w:bidi="fa-IR"/>
        </w:rPr>
      </w:pPr>
      <w:r>
        <w:rPr>
          <w:rtl/>
        </w:rPr>
        <w:t>(9).</w:t>
      </w:r>
      <w:r w:rsidRPr="00132E65">
        <w:rPr>
          <w:rtl/>
        </w:rPr>
        <w:t xml:space="preserve"> هكذا في أكثر النسخ والشروح. وفي «</w:t>
      </w:r>
      <w:r>
        <w:rPr>
          <w:rtl/>
        </w:rPr>
        <w:t xml:space="preserve"> و »</w:t>
      </w:r>
      <w:r w:rsidRPr="00132E65">
        <w:rPr>
          <w:rtl/>
        </w:rPr>
        <w:t xml:space="preserve"> والمطبوع : « مُدَرّج » بالتشديد. </w:t>
      </w:r>
      <w:r>
        <w:rPr>
          <w:rtl/>
        </w:rPr>
        <w:t>و «</w:t>
      </w:r>
      <w:r w:rsidRPr="00132E65">
        <w:rPr>
          <w:rtl/>
        </w:rPr>
        <w:t xml:space="preserve"> مُدْرَج » : اسم مفعول من الإدراج ، أي المطويّ. راجع : </w:t>
      </w:r>
      <w:r w:rsidRPr="00E47874">
        <w:rPr>
          <w:rtl/>
        </w:rPr>
        <w:t>شرح المازندراني</w:t>
      </w:r>
      <w:r w:rsidRPr="00132E65">
        <w:rPr>
          <w:rtl/>
        </w:rPr>
        <w:t xml:space="preserve"> ، ج 6 ، ص 154 ؛ </w:t>
      </w:r>
      <w:r w:rsidRPr="009D1ACE">
        <w:rPr>
          <w:rStyle w:val="libFootnoteBoldChar"/>
          <w:rtl/>
        </w:rPr>
        <w:t>مرآة العقول</w:t>
      </w:r>
      <w:r w:rsidRPr="00132E65">
        <w:rPr>
          <w:rtl/>
        </w:rPr>
        <w:t xml:space="preserve"> ، ج 3 ، ص 321.</w:t>
      </w:r>
    </w:p>
    <w:p w:rsidR="000C39D1" w:rsidRPr="00132E65" w:rsidRDefault="000C39D1" w:rsidP="000C39D1">
      <w:pPr>
        <w:pStyle w:val="libFootnote0"/>
        <w:rPr>
          <w:rtl/>
          <w:lang w:bidi="fa-IR"/>
        </w:rPr>
      </w:pPr>
      <w:r>
        <w:rPr>
          <w:rtl/>
        </w:rPr>
        <w:t>(10).</w:t>
      </w:r>
      <w:r w:rsidRPr="00132E65">
        <w:rPr>
          <w:rtl/>
        </w:rPr>
        <w:t xml:space="preserve"> في « بح » والبصائر ، ص 168 </w:t>
      </w:r>
      <w:r>
        <w:rPr>
          <w:rtl/>
        </w:rPr>
        <w:t xml:space="preserve">: - </w:t>
      </w:r>
      <w:r w:rsidRPr="00132E65">
        <w:rPr>
          <w:rtl/>
        </w:rPr>
        <w:t>« أن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ذلِكَ إِلى عَلِيِّ بْنِ الْحُسَيْنِ »</w:t>
      </w:r>
      <w:r>
        <w:rPr>
          <w:rtl/>
          <w:lang w:bidi="fa-IR"/>
        </w:rPr>
        <w:t>.</w:t>
      </w:r>
    </w:p>
    <w:p w:rsidR="000C39D1" w:rsidRPr="00132E65" w:rsidRDefault="000C39D1" w:rsidP="000C39D1">
      <w:pPr>
        <w:pStyle w:val="libNormal"/>
        <w:rPr>
          <w:rtl/>
          <w:lang w:bidi="fa-IR"/>
        </w:rPr>
      </w:pPr>
      <w:r w:rsidRPr="00132E65">
        <w:rPr>
          <w:rtl/>
          <w:lang w:bidi="fa-IR"/>
        </w:rPr>
        <w:t>قُلْتُ لَهُ : فَمَا فِيهِ يَرْحَمُكَ اللهُ</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(1)</w:t>
      </w:r>
      <w:r w:rsidRPr="00132E65">
        <w:rPr>
          <w:rtl/>
          <w:lang w:bidi="fa-IR"/>
        </w:rPr>
        <w:t xml:space="preserve"> : « مَا يَحْتَاجُ إِلَيْهِ ولْدُ آدَمَ مُنْذُ كَانَتِ الدُّنْيَا إِلى أَنْ تَفْنى </w:t>
      </w:r>
      <w:r>
        <w:rPr>
          <w:rStyle w:val="libFootnotenumChar"/>
          <w:rtl/>
        </w:rPr>
        <w:t>(2)</w:t>
      </w:r>
      <w:r w:rsidRPr="00132E65">
        <w:rPr>
          <w:rtl/>
          <w:lang w:bidi="fa-IR"/>
        </w:rPr>
        <w:t xml:space="preserve"> »</w:t>
      </w:r>
      <w:r>
        <w:rPr>
          <w:rtl/>
          <w:lang w:bidi="fa-IR"/>
        </w:rPr>
        <w:t>.</w:t>
      </w:r>
      <w:r>
        <w:rPr>
          <w:rStyle w:val="libFootnotenumChar"/>
          <w:rtl/>
        </w:rPr>
        <w:t>(3)</w:t>
      </w:r>
      <w:r w:rsidRPr="00132E65">
        <w:rPr>
          <w:rtl/>
          <w:lang w:bidi="fa-IR"/>
        </w:rPr>
        <w:t>‌</w:t>
      </w:r>
    </w:p>
    <w:p w:rsidR="000C39D1" w:rsidRPr="00132E65" w:rsidRDefault="000C39D1" w:rsidP="000C39D1">
      <w:pPr>
        <w:pStyle w:val="libNormal"/>
        <w:rPr>
          <w:rtl/>
          <w:lang w:bidi="fa-IR"/>
        </w:rPr>
      </w:pPr>
      <w:r w:rsidRPr="00E47874">
        <w:rPr>
          <w:rtl/>
        </w:rPr>
        <w:t>787</w:t>
      </w:r>
      <w:r w:rsidRPr="004325D8">
        <w:rPr>
          <w:rStyle w:val="libBold2Char"/>
          <w:rtl/>
        </w:rPr>
        <w:t xml:space="preserve"> / 3.</w:t>
      </w:r>
      <w:r w:rsidRPr="00132E65">
        <w:rPr>
          <w:rtl/>
          <w:lang w:bidi="fa-IR"/>
        </w:rPr>
        <w:t xml:space="preserve"> عِدَّةٌ مِنْ أَصْحَابِنَا ، عَنْ أَحْمَدَ بْنِ مُحَمَّدٍ ، عَنْ عَلِيِّ بْنِ الْحَكَمِ ، عَنْ سَيْفِ بْنِ عَمِيرَةَ ، عَنْ أَبِي بَكْرٍ الْحَضْرَمِيِّ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الْحُسَيْنَ </w:t>
      </w:r>
      <w:r>
        <w:rPr>
          <w:rStyle w:val="libFootnotenumChar"/>
          <w:rtl/>
        </w:rPr>
        <w:t>(4)</w:t>
      </w:r>
      <w:r>
        <w:rPr>
          <w:rtl/>
          <w:lang w:bidi="fa-IR"/>
        </w:rPr>
        <w:t xml:space="preserve"> - </w:t>
      </w:r>
      <w:r w:rsidRPr="00132E65">
        <w:rPr>
          <w:rtl/>
          <w:lang w:bidi="fa-IR"/>
        </w:rPr>
        <w:t>صَلَوَاتُ اللهِ عَلَيْهِ</w:t>
      </w:r>
      <w:r>
        <w:rPr>
          <w:rtl/>
          <w:lang w:bidi="fa-IR"/>
        </w:rPr>
        <w:t xml:space="preserve"> - </w:t>
      </w:r>
      <w:r w:rsidRPr="00132E65">
        <w:rPr>
          <w:rtl/>
          <w:lang w:bidi="fa-IR"/>
        </w:rPr>
        <w:t xml:space="preserve">لَمَّا صَارَ </w:t>
      </w:r>
      <w:r>
        <w:rPr>
          <w:rStyle w:val="libFootnotenumChar"/>
          <w:rtl/>
        </w:rPr>
        <w:t>(5)</w:t>
      </w:r>
      <w:r w:rsidRPr="00132E65">
        <w:rPr>
          <w:rtl/>
          <w:lang w:bidi="fa-IR"/>
        </w:rPr>
        <w:t xml:space="preserve"> إِلَى الْعِرَاقِ ، اسْتَوْدَعَ أُمَّ سَلَمَةَ</w:t>
      </w:r>
      <w:r>
        <w:rPr>
          <w:rtl/>
          <w:lang w:bidi="fa-IR"/>
        </w:rPr>
        <w:t xml:space="preserve"> - </w:t>
      </w:r>
      <w:r w:rsidRPr="00132E65">
        <w:rPr>
          <w:rtl/>
          <w:lang w:bidi="fa-IR"/>
        </w:rPr>
        <w:t>رَضِيَ اللهُ عَنْهَا</w:t>
      </w:r>
      <w:r>
        <w:rPr>
          <w:rtl/>
          <w:lang w:bidi="fa-IR"/>
        </w:rPr>
        <w:t xml:space="preserve"> - </w:t>
      </w:r>
      <w:r w:rsidRPr="00132E65">
        <w:rPr>
          <w:rtl/>
          <w:lang w:bidi="fa-IR"/>
        </w:rPr>
        <w:t xml:space="preserve">الْكُتُبَ والْوَصِيَّةَ ، فَلَمَّا رَجَعَ عَلِيُّ بْنُ الْحُسَيْنِ </w:t>
      </w:r>
      <w:r w:rsidRPr="00071CF9">
        <w:rPr>
          <w:rStyle w:val="libAlaemChar"/>
          <w:rtl/>
        </w:rPr>
        <w:t>عليه‌السلام</w:t>
      </w:r>
      <w:r w:rsidR="00242766">
        <w:rPr>
          <w:rtl/>
          <w:lang w:bidi="fa-IR"/>
        </w:rPr>
        <w:t xml:space="preserve"> ، دَفَعَتْهَا إِلَيْهِ</w:t>
      </w:r>
      <w:r w:rsidRPr="00132E65">
        <w:rPr>
          <w:rtl/>
          <w:lang w:bidi="fa-IR"/>
        </w:rPr>
        <w:t>»</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E47874">
        <w:rPr>
          <w:rtl/>
        </w:rPr>
        <w:t>788</w:t>
      </w:r>
      <w:r w:rsidRPr="004325D8">
        <w:rPr>
          <w:rStyle w:val="libBold2Char"/>
          <w:rtl/>
        </w:rPr>
        <w:t xml:space="preserve"> / 4.</w:t>
      </w:r>
      <w:r w:rsidRPr="00132E65">
        <w:rPr>
          <w:rtl/>
          <w:lang w:bidi="fa-IR"/>
        </w:rPr>
        <w:t xml:space="preserve"> وفِي نُسْخَةِ الصَّفْوَانِيِّ : عَلِيُّ بْنُ إِبْرَاهِيمَ ، عَنْ أَبِيهِ ، عَنْ حَنَانِ بْنِ سَدِيرٍ ، عَنْ فُلَيْحِ بْنِ أَبِي بَكْرٍ الشَّيْبَانِيِّ ، قَالَ :</w:t>
      </w:r>
    </w:p>
    <w:p w:rsidR="000C39D1" w:rsidRPr="00132E65" w:rsidRDefault="000C39D1" w:rsidP="000C39D1">
      <w:pPr>
        <w:pStyle w:val="libNormal"/>
        <w:rPr>
          <w:rtl/>
          <w:lang w:bidi="fa-IR"/>
        </w:rPr>
      </w:pPr>
      <w:r w:rsidRPr="00132E65">
        <w:rPr>
          <w:rtl/>
          <w:lang w:bidi="fa-IR"/>
        </w:rPr>
        <w:t xml:space="preserve">وَاللهِ ، إِنِّي لَجَالِسٌ عِنْدَ عَلِيِّ بْنِ الْحُسَيْنِ وعِنْدَهُ ولْدُهُ إِذْ جَاءَهُ </w:t>
      </w:r>
      <w:r>
        <w:rPr>
          <w:rStyle w:val="libFootnotenumChar"/>
          <w:rtl/>
        </w:rPr>
        <w:t>(7)</w:t>
      </w:r>
      <w:r w:rsidRPr="00132E65">
        <w:rPr>
          <w:rtl/>
          <w:lang w:bidi="fa-IR"/>
        </w:rPr>
        <w:t xml:space="preserve"> جَابِرُ بْنُ عَبْدِ اللهِ الْأَنْصَارِيُّ ، فَسَلَّمَ عَلَيْهِ ، ثُمَّ أَخَذَ بِيَدِ أَبِي جَعْفَرٍ </w:t>
      </w:r>
      <w:r w:rsidRPr="00071CF9">
        <w:rPr>
          <w:rStyle w:val="libAlaemChar"/>
          <w:rtl/>
        </w:rPr>
        <w:t>عليه‌السلام</w:t>
      </w:r>
      <w:r w:rsidRPr="00132E65">
        <w:rPr>
          <w:rtl/>
          <w:lang w:bidi="fa-IR"/>
        </w:rPr>
        <w:t xml:space="preserve"> ، فَخَلَا بِهِ </w:t>
      </w:r>
      <w:r>
        <w:rPr>
          <w:rStyle w:val="libFootnotenumChar"/>
          <w:rtl/>
        </w:rPr>
        <w:t>(8)</w:t>
      </w:r>
      <w:r w:rsidRPr="00132E65">
        <w:rPr>
          <w:rtl/>
          <w:lang w:bidi="fa-IR"/>
        </w:rPr>
        <w:t xml:space="preserve"> ، فَقَالَ : إِنَّ رَسُولَ اللهِ </w:t>
      </w:r>
      <w:r w:rsidRPr="00071CF9">
        <w:rPr>
          <w:rStyle w:val="libAlaemChar"/>
          <w:rtl/>
        </w:rPr>
        <w:t>صلى‌الله‌عليه‌وآله‌وسلم</w:t>
      </w:r>
      <w:r w:rsidRPr="00132E65">
        <w:rPr>
          <w:rtl/>
          <w:lang w:bidi="fa-IR"/>
        </w:rPr>
        <w:t xml:space="preserve"> أَخْبَرَنِي أَنِّي سَأُدْرِكُ رَجُلاً مِنْ أَهْلِ بَيْتِهِ يُقَالُ لَهُ : مُحَمَّدُ بْنُ عَلِيٍّ يُكَنّى أَبَا جَعْفَرٍ ، فَإِذَا‌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 في« ف »</w:t>
            </w:r>
            <w:r w:rsidRPr="00132E65">
              <w:rPr>
                <w:rtl/>
              </w:rPr>
              <w:t>و</w:t>
            </w:r>
            <w:r w:rsidRPr="009D1ACE">
              <w:rPr>
                <w:rStyle w:val="libFootnoteBoldChar"/>
                <w:rtl/>
              </w:rPr>
              <w:t>الوافي</w:t>
            </w:r>
            <w:r>
              <w:rPr>
                <w:rtl/>
              </w:rPr>
              <w:t xml:space="preserve"> والبصائر، ص 168</w:t>
            </w:r>
            <w:r w:rsidRPr="00132E65">
              <w:rPr>
                <w:rtl/>
              </w:rPr>
              <w:t>: « قال »</w:t>
            </w:r>
            <w:r>
              <w:rPr>
                <w:rtl/>
              </w:rPr>
              <w:t>.</w:t>
            </w:r>
          </w:p>
        </w:tc>
        <w:tc>
          <w:tcPr>
            <w:tcW w:w="4006" w:type="dxa"/>
          </w:tcPr>
          <w:p w:rsidR="000C39D1" w:rsidRDefault="000C39D1" w:rsidP="00B53873">
            <w:pPr>
              <w:pStyle w:val="libFootnote0"/>
              <w:rPr>
                <w:rtl/>
              </w:rPr>
            </w:pPr>
            <w:r>
              <w:rPr>
                <w:rtl/>
              </w:rPr>
              <w:t>(2).</w:t>
            </w:r>
            <w:r w:rsidRPr="00132E65">
              <w:rPr>
                <w:rtl/>
              </w:rPr>
              <w:t xml:space="preserve"> في البصائر ، ص 168 : « أن ينتهي »</w:t>
            </w:r>
            <w:r>
              <w:rPr>
                <w:rtl/>
              </w:rPr>
              <w:t>.</w:t>
            </w:r>
          </w:p>
        </w:tc>
      </w:tr>
    </w:tbl>
    <w:p w:rsidR="000C39D1" w:rsidRPr="00132E65" w:rsidRDefault="000C39D1" w:rsidP="000C39D1">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168 ، ح 24 ، عن أحمد بن محمّد ، عن الحسين بن سعيد ومحمّد بن عبد الجبّار ، عن عبد الرحمن بن أبي نجران جميعاً ، عن محمّد بن سنان. </w:t>
      </w:r>
      <w:r w:rsidRPr="00E47874">
        <w:rPr>
          <w:rtl/>
        </w:rPr>
        <w:t>وفيه</w:t>
      </w:r>
      <w:r w:rsidRPr="00132E65">
        <w:rPr>
          <w:rtl/>
        </w:rPr>
        <w:t xml:space="preserve"> ، ص 148 ، ح 12 ، بسنده عن محمّد بن عبد الجبّار ، عن ابن أبي نجران ، عن أبي الجارود ، من دون الإسناد إلى المعصوم </w:t>
      </w:r>
      <w:r w:rsidRPr="00134212">
        <w:rPr>
          <w:rStyle w:val="libFootnoteAlaemChar"/>
          <w:rtl/>
        </w:rPr>
        <w:t>عليه‌السلام</w:t>
      </w:r>
      <w:r w:rsidRPr="00132E65">
        <w:rPr>
          <w:rtl/>
        </w:rPr>
        <w:t xml:space="preserve"> ، مع اختلاف يسير</w:t>
      </w:r>
      <w:r>
        <w:rPr>
          <w:rFonts w:hint="cs"/>
          <w:rtl/>
        </w:rPr>
        <w:t>.</w:t>
      </w:r>
      <w:r w:rsidRPr="009D1ACE">
        <w:rPr>
          <w:rStyle w:val="libFootnoteBoldChar"/>
          <w:rtl/>
        </w:rPr>
        <w:t>الوافي</w:t>
      </w:r>
      <w:r w:rsidRPr="00132E65">
        <w:rPr>
          <w:rtl/>
        </w:rPr>
        <w:t xml:space="preserve"> ، ج 2 ، ص 342 ، ح 802.</w:t>
      </w:r>
    </w:p>
    <w:p w:rsidR="000C39D1" w:rsidRPr="00132E65" w:rsidRDefault="000C39D1" w:rsidP="000C39D1">
      <w:pPr>
        <w:pStyle w:val="libFootnote0"/>
        <w:rPr>
          <w:rtl/>
          <w:lang w:bidi="fa-IR"/>
        </w:rPr>
      </w:pPr>
      <w:r>
        <w:rPr>
          <w:rtl/>
        </w:rPr>
        <w:t>(4).</w:t>
      </w:r>
      <w:r w:rsidRPr="00132E65">
        <w:rPr>
          <w:rtl/>
        </w:rPr>
        <w:t xml:space="preserve"> في « ج ، ض ، بر ، بس ، بف »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(5).</w:t>
      </w:r>
      <w:r w:rsidRPr="00132E65">
        <w:rPr>
          <w:rtl/>
        </w:rPr>
        <w:t xml:space="preserve"> في « ف » : « سار »</w:t>
      </w:r>
      <w:r>
        <w:rPr>
          <w:rtl/>
        </w:rPr>
        <w:t>.</w:t>
      </w:r>
    </w:p>
    <w:p w:rsidR="000C39D1" w:rsidRPr="00132E65" w:rsidRDefault="000C39D1" w:rsidP="000C39D1">
      <w:pPr>
        <w:pStyle w:val="libFootnote0"/>
        <w:rPr>
          <w:rtl/>
          <w:lang w:bidi="fa-IR"/>
        </w:rPr>
      </w:pPr>
      <w:r>
        <w:rPr>
          <w:rtl/>
        </w:rPr>
        <w:t>(6).</w:t>
      </w:r>
      <w:r w:rsidRPr="00132E65">
        <w:rPr>
          <w:rtl/>
        </w:rPr>
        <w:t xml:space="preserve"> </w:t>
      </w:r>
      <w:r w:rsidRPr="00E47874">
        <w:rPr>
          <w:rtl/>
        </w:rPr>
        <w:t>الغيبة</w:t>
      </w:r>
      <w:r w:rsidRPr="00132E65">
        <w:rPr>
          <w:rtl/>
        </w:rPr>
        <w:t xml:space="preserve"> للطوسي ، ص 195 ، ح 159 ، بسند آخر عن أبي جعفر </w:t>
      </w:r>
      <w:r w:rsidRPr="00134212">
        <w:rPr>
          <w:rStyle w:val="libFootnoteAlaemChar"/>
          <w:rtl/>
        </w:rPr>
        <w:t>عليه‌السلام</w:t>
      </w:r>
      <w:r w:rsidRPr="00132E65">
        <w:rPr>
          <w:rtl/>
        </w:rPr>
        <w:t xml:space="preserve"> مع اختلاف يسير</w:t>
      </w:r>
      <w:r>
        <w:rPr>
          <w:rFonts w:hint="cs"/>
          <w:rtl/>
        </w:rPr>
        <w:t>.</w:t>
      </w:r>
      <w:r w:rsidRPr="009D1ACE">
        <w:rPr>
          <w:rStyle w:val="libFootnoteBoldChar"/>
          <w:rtl/>
        </w:rPr>
        <w:t>الوافي</w:t>
      </w:r>
      <w:r w:rsidRPr="00132E65">
        <w:rPr>
          <w:rtl/>
        </w:rPr>
        <w:t xml:space="preserve"> ، ج 2 ، ص 343 ، ح 803.</w:t>
      </w:r>
      <w:r>
        <w:rPr>
          <w:rFonts w:hint="cs"/>
          <w:rtl/>
        </w:rPr>
        <w:t xml:space="preserve">                                       </w:t>
      </w:r>
      <w:r w:rsidR="00242766">
        <w:rPr>
          <w:rFonts w:hint="cs"/>
          <w:rtl/>
        </w:rPr>
        <w:t xml:space="preserve">         </w:t>
      </w:r>
      <w:r>
        <w:rPr>
          <w:rFonts w:hint="cs"/>
          <w:rtl/>
        </w:rPr>
        <w:t xml:space="preserve">   </w:t>
      </w:r>
      <w:r>
        <w:rPr>
          <w:rtl/>
        </w:rPr>
        <w:t>(7).</w:t>
      </w:r>
      <w:r w:rsidRPr="00132E65">
        <w:rPr>
          <w:rtl/>
        </w:rPr>
        <w:t xml:space="preserve"> في « ب » : « إذ جاء »</w:t>
      </w:r>
      <w:r>
        <w:rPr>
          <w:rtl/>
        </w:rPr>
        <w:t>.</w:t>
      </w:r>
    </w:p>
    <w:p w:rsidR="000C39D1" w:rsidRPr="00132E65" w:rsidRDefault="000C39D1" w:rsidP="000C39D1">
      <w:pPr>
        <w:pStyle w:val="libFootnote0"/>
        <w:rPr>
          <w:rtl/>
          <w:lang w:bidi="fa-IR"/>
        </w:rPr>
      </w:pPr>
      <w:r>
        <w:rPr>
          <w:rtl/>
        </w:rPr>
        <w:t>(8).</w:t>
      </w:r>
      <w:r w:rsidRPr="00132E65">
        <w:rPr>
          <w:rtl/>
        </w:rPr>
        <w:t xml:space="preserve"> « خلا به » وإليه ومعه خَلْواً وخلاءً وخلوَةً : سأله أن يجتمع به في خلوة ففعل. </w:t>
      </w:r>
      <w:r w:rsidRPr="00E47874">
        <w:rPr>
          <w:rtl/>
        </w:rPr>
        <w:t>القاموس المحيط</w:t>
      </w:r>
      <w:r w:rsidRPr="00132E65">
        <w:rPr>
          <w:rtl/>
        </w:rPr>
        <w:t xml:space="preserve"> ، ج 2 ، ص 1680 ( خلا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أَدْرَكْتَهُ فَأَقْرِئْهُ مِنِّي السَّلَامَ.</w:t>
      </w:r>
    </w:p>
    <w:p w:rsidR="000C39D1" w:rsidRPr="00132E65" w:rsidRDefault="000C39D1" w:rsidP="000C39D1">
      <w:pPr>
        <w:pStyle w:val="libNormal"/>
        <w:rPr>
          <w:rtl/>
          <w:lang w:bidi="fa-IR"/>
        </w:rPr>
      </w:pPr>
      <w:r w:rsidRPr="00132E65">
        <w:rPr>
          <w:rtl/>
          <w:lang w:bidi="fa-IR"/>
        </w:rPr>
        <w:t xml:space="preserve">قَالَ : ومَضى جَابِرٌ ، ورَجَعَ أَبُو جَعْفَرٍ </w:t>
      </w:r>
      <w:r w:rsidRPr="00071CF9">
        <w:rPr>
          <w:rStyle w:val="libAlaemChar"/>
          <w:rtl/>
        </w:rPr>
        <w:t>عليه‌السلام</w:t>
      </w:r>
      <w:r w:rsidRPr="00132E65">
        <w:rPr>
          <w:rtl/>
          <w:lang w:bidi="fa-IR"/>
        </w:rPr>
        <w:t xml:space="preserve"> ، فَجَلَسَ مَعَ أَبِيهِ عَلِيِّ بْنِ الْحُسَيْنِ </w:t>
      </w:r>
      <w:r w:rsidRPr="00071CF9">
        <w:rPr>
          <w:rStyle w:val="libAlaemChar"/>
          <w:rtl/>
        </w:rPr>
        <w:t>عليهما‌السلام</w:t>
      </w:r>
      <w:r w:rsidRPr="00132E65">
        <w:rPr>
          <w:rtl/>
          <w:lang w:bidi="fa-IR"/>
        </w:rPr>
        <w:t xml:space="preserve"> وَإِخْوَتِهِ ، فَلَمَّا صَلَّى الْمَغْرِبَ ، قَالَ عَلِيُّ بْنُ الْحُسَيْنِ لِأَبِي جَعْفَرٍ </w:t>
      </w:r>
      <w:r w:rsidRPr="00071CF9">
        <w:rPr>
          <w:rStyle w:val="libAlaemChar"/>
          <w:rtl/>
        </w:rPr>
        <w:t>عليه‌السلام</w:t>
      </w:r>
      <w:r w:rsidRPr="00132E65">
        <w:rPr>
          <w:rtl/>
          <w:lang w:bidi="fa-IR"/>
        </w:rPr>
        <w:t xml:space="preserve"> : « أَيَّ شَيْ‌ءٍ قَالَ لَكَ جَابِرُ بْنُ عَبْدِ اللهِ الْأَنْصَارِيُّ </w:t>
      </w:r>
      <w:r>
        <w:rPr>
          <w:rStyle w:val="libFootnotenumChar"/>
          <w:rtl/>
        </w:rPr>
        <w:t>(1)</w:t>
      </w:r>
      <w:r>
        <w:rPr>
          <w:rtl/>
          <w:lang w:bidi="fa-IR"/>
        </w:rPr>
        <w:t>؟</w:t>
      </w:r>
      <w:r w:rsidRPr="00132E65">
        <w:rPr>
          <w:rtl/>
          <w:lang w:bidi="fa-IR"/>
        </w:rPr>
        <w:t xml:space="preserve"> » فَقَالَ </w:t>
      </w:r>
      <w:r>
        <w:rPr>
          <w:rStyle w:val="libFootnotenumChar"/>
          <w:rtl/>
        </w:rPr>
        <w:t>(2)</w:t>
      </w:r>
      <w:r w:rsidRPr="00132E65">
        <w:rPr>
          <w:rtl/>
          <w:lang w:bidi="fa-IR"/>
        </w:rPr>
        <w:t xml:space="preserve"> : « قَالَ : إِنَّ رَسُولَ اللهِ </w:t>
      </w:r>
      <w:r w:rsidRPr="00071CF9">
        <w:rPr>
          <w:rStyle w:val="libAlaemChar"/>
          <w:rtl/>
        </w:rPr>
        <w:t>صلى‌الله‌عليه‌وآله</w:t>
      </w:r>
      <w:r w:rsidRPr="00132E65">
        <w:rPr>
          <w:rtl/>
          <w:lang w:bidi="fa-IR"/>
        </w:rPr>
        <w:t xml:space="preserve"> قَالَ : إِنَّكَ سَتُدْرِكُ رَجُلاً مِنْ أَهْلِ بَيْتِيَ اسْمُهُ مُحَمَّدُ بْنُ عَلِيٍّ ، يُكَنّى أَبَا جَعْفَرٍ ، فَأَقْرِئْهُ مِنِّي </w:t>
      </w:r>
      <w:r>
        <w:rPr>
          <w:rStyle w:val="libFootnotenumChar"/>
          <w:rtl/>
        </w:rPr>
        <w:t>(3)</w:t>
      </w:r>
      <w:r w:rsidRPr="00132E65">
        <w:rPr>
          <w:rtl/>
          <w:lang w:bidi="fa-IR"/>
        </w:rPr>
        <w:t xml:space="preserve"> السَّلَامَ »</w:t>
      </w:r>
      <w:r>
        <w:rPr>
          <w:rtl/>
          <w:lang w:bidi="fa-IR"/>
        </w:rPr>
        <w:t>.</w:t>
      </w:r>
    </w:p>
    <w:p w:rsidR="000C39D1" w:rsidRPr="00132E65" w:rsidRDefault="000C39D1" w:rsidP="000C39D1">
      <w:pPr>
        <w:pStyle w:val="libNormal"/>
        <w:rPr>
          <w:rtl/>
          <w:lang w:bidi="fa-IR"/>
        </w:rPr>
      </w:pPr>
      <w:r w:rsidRPr="00132E65">
        <w:rPr>
          <w:rtl/>
          <w:lang w:bidi="fa-IR"/>
        </w:rPr>
        <w:t xml:space="preserve">فَقَالَ لَهُ أَبُوهُ </w:t>
      </w:r>
      <w:r>
        <w:rPr>
          <w:rStyle w:val="libFootnotenumChar"/>
          <w:rtl/>
        </w:rPr>
        <w:t>(4)</w:t>
      </w:r>
      <w:r w:rsidRPr="00132E65">
        <w:rPr>
          <w:rtl/>
          <w:lang w:bidi="fa-IR"/>
        </w:rPr>
        <w:t xml:space="preserve"> : « هَنِيئاً لَكَ</w:t>
      </w:r>
      <w:r>
        <w:rPr>
          <w:rtl/>
          <w:lang w:bidi="fa-IR"/>
        </w:rPr>
        <w:t xml:space="preserve"> - </w:t>
      </w:r>
      <w:r w:rsidRPr="00132E65">
        <w:rPr>
          <w:rtl/>
          <w:lang w:bidi="fa-IR"/>
        </w:rPr>
        <w:t>يَا بُنَيَّ</w:t>
      </w:r>
      <w:r>
        <w:rPr>
          <w:rtl/>
          <w:lang w:bidi="fa-IR"/>
        </w:rPr>
        <w:t xml:space="preserve"> - </w:t>
      </w:r>
      <w:r w:rsidRPr="00132E65">
        <w:rPr>
          <w:rtl/>
          <w:lang w:bidi="fa-IR"/>
        </w:rPr>
        <w:t xml:space="preserve">مَا خَصَّكَ اللهُ بِهِ مِنْ رَسُولِهِ مِنْ بَيْنِ أَهْلِ بَيْتِكَ ، لَا تُطْلِعْ </w:t>
      </w:r>
      <w:r>
        <w:rPr>
          <w:rStyle w:val="libFootnotenumChar"/>
          <w:rtl/>
        </w:rPr>
        <w:t>(5)</w:t>
      </w:r>
      <w:r w:rsidRPr="00132E65">
        <w:rPr>
          <w:rtl/>
          <w:lang w:bidi="fa-IR"/>
        </w:rPr>
        <w:t xml:space="preserve"> إِخْوَتَكَ عَلى هذَا ، فَيَكِيدُوا لَكَ كَيْداً ، كَمَا كَادَ </w:t>
      </w:r>
      <w:r>
        <w:rPr>
          <w:rStyle w:val="libFootnotenumChar"/>
          <w:rtl/>
        </w:rPr>
        <w:t>(6)</w:t>
      </w:r>
      <w:r w:rsidRPr="00132E65">
        <w:rPr>
          <w:rtl/>
          <w:lang w:bidi="fa-IR"/>
        </w:rPr>
        <w:t xml:space="preserve"> إِخْوَةُ يُوسُفَ لِيُوسُفَ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w:t>
      </w:r>
      <w:r>
        <w:rPr>
          <w:rtl/>
          <w:lang w:bidi="fa-IR"/>
        </w:rPr>
        <w:t>.</w:t>
      </w:r>
      <w:r>
        <w:rPr>
          <w:rStyle w:val="libFootnotenumChar"/>
          <w:rtl/>
        </w:rPr>
        <w:t>(8)</w:t>
      </w:r>
    </w:p>
    <w:p w:rsidR="000C39D1" w:rsidRPr="00132E65" w:rsidRDefault="000C39D1" w:rsidP="000C39D1">
      <w:pPr>
        <w:pStyle w:val="Heading2Center"/>
        <w:rPr>
          <w:rtl/>
          <w:lang w:bidi="fa-IR"/>
        </w:rPr>
      </w:pPr>
      <w:bookmarkStart w:id="16" w:name="_Toc459459096"/>
      <w:bookmarkStart w:id="17" w:name="_Toc34663065"/>
      <w:r w:rsidRPr="00132E65">
        <w:rPr>
          <w:rtl/>
          <w:lang w:bidi="fa-IR"/>
        </w:rPr>
        <w:t>69</w:t>
      </w:r>
      <w:r>
        <w:rPr>
          <w:rtl/>
          <w:lang w:bidi="fa-IR"/>
        </w:rPr>
        <w:t xml:space="preserve"> - </w:t>
      </w:r>
      <w:r w:rsidRPr="00132E65">
        <w:rPr>
          <w:rtl/>
          <w:lang w:bidi="fa-IR"/>
        </w:rPr>
        <w:t xml:space="preserve">بَابُ الْإِشَارَةِ والنَّصِّ عَلى أَبِي جَعْفَرٍ </w:t>
      </w:r>
      <w:r>
        <w:rPr>
          <w:rStyle w:val="libFootnotenumChar"/>
          <w:rtl/>
        </w:rPr>
        <w:t>(9)</w:t>
      </w:r>
      <w:r>
        <w:rPr>
          <w:rtl/>
        </w:rPr>
        <w:t xml:space="preserve"> </w:t>
      </w:r>
      <w:r w:rsidRPr="00071CF9">
        <w:rPr>
          <w:rStyle w:val="libAlaemChar"/>
          <w:rtl/>
        </w:rPr>
        <w:t>عليه‌السلام</w:t>
      </w:r>
      <w:r w:rsidRPr="00132E65">
        <w:rPr>
          <w:rtl/>
          <w:lang w:bidi="fa-IR"/>
        </w:rPr>
        <w:t>‌</w:t>
      </w:r>
      <w:bookmarkEnd w:id="16"/>
      <w:bookmarkEnd w:id="17"/>
    </w:p>
    <w:p w:rsidR="000C39D1" w:rsidRPr="00132E65" w:rsidRDefault="000C39D1" w:rsidP="000C39D1">
      <w:pPr>
        <w:pStyle w:val="libNormal"/>
        <w:rPr>
          <w:rtl/>
          <w:lang w:bidi="fa-IR"/>
        </w:rPr>
      </w:pPr>
      <w:r w:rsidRPr="00E47874">
        <w:rPr>
          <w:rtl/>
        </w:rPr>
        <w:t>789</w:t>
      </w:r>
      <w:r w:rsidRPr="004325D8">
        <w:rPr>
          <w:rStyle w:val="libBold2Char"/>
          <w:rtl/>
        </w:rPr>
        <w:t xml:space="preserve"> / 1.</w:t>
      </w:r>
      <w:r w:rsidRPr="00132E65">
        <w:rPr>
          <w:rtl/>
          <w:lang w:bidi="fa-IR"/>
        </w:rPr>
        <w:t xml:space="preserve"> أَحْمَدُ بْنُ إِدْرِيسَ ، عَنْ مُحَمَّدِ بْنِ عَبْدِ الْجَبَّارِ ، عَنْ أَبِي الْقَاسِمِ الْكُوفِيِّ ، عَنْ مُحَمَّدِ بْنِ سَهْلٍ ، عَنْ إِبْرَاهِيمَ بْنِ أَبِي الْبِلَادِ ، عَنْ إِسْمَاعِيلَ </w:t>
      </w:r>
      <w:r>
        <w:rPr>
          <w:rStyle w:val="libFootnotenumChar"/>
          <w:rtl/>
        </w:rPr>
        <w:t>(10)</w:t>
      </w:r>
      <w:r w:rsidRPr="00132E65">
        <w:rPr>
          <w:rtl/>
          <w:lang w:bidi="fa-IR"/>
        </w:rPr>
        <w:t xml:space="preserve"> بْنِ مُحَمَّدِ بْنِ عَبْدِ اللهِ بْنِ عَلِيِّ‌</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ه‍ </w:t>
            </w:r>
            <w:r w:rsidR="00242766" w:rsidRPr="00132E65">
              <w:rPr>
                <w:rtl/>
              </w:rPr>
              <w:t>»</w:t>
            </w:r>
            <w:r w:rsidRPr="00132E65">
              <w:rPr>
                <w:rtl/>
              </w:rPr>
              <w:t xml:space="preserve"> </w:t>
            </w:r>
            <w:r>
              <w:rPr>
                <w:rtl/>
              </w:rPr>
              <w:t xml:space="preserve">: - </w:t>
            </w:r>
            <w:r w:rsidRPr="00132E65">
              <w:rPr>
                <w:rtl/>
              </w:rPr>
              <w:t>« الأنصاري »</w:t>
            </w:r>
            <w:r>
              <w:rPr>
                <w:rtl/>
              </w:rPr>
              <w:t>.</w:t>
            </w:r>
          </w:p>
        </w:tc>
        <w:tc>
          <w:tcPr>
            <w:tcW w:w="4006" w:type="dxa"/>
          </w:tcPr>
          <w:p w:rsidR="000C39D1" w:rsidRDefault="000C39D1" w:rsidP="00B53873">
            <w:pPr>
              <w:pStyle w:val="libFootnote0"/>
              <w:rPr>
                <w:rtl/>
              </w:rPr>
            </w:pPr>
            <w:r>
              <w:rPr>
                <w:rtl/>
              </w:rPr>
              <w:t>(2). في«ف،بح»:« قال فقال</w:t>
            </w:r>
            <w:r w:rsidRPr="00132E65">
              <w:rPr>
                <w:rtl/>
              </w:rPr>
              <w:t>»</w:t>
            </w:r>
            <w:r>
              <w:rPr>
                <w:rtl/>
              </w:rPr>
              <w:t>.</w:t>
            </w:r>
            <w:r w:rsidRPr="00132E65">
              <w:rPr>
                <w:rtl/>
              </w:rPr>
              <w:t>وف</w:t>
            </w:r>
            <w:r>
              <w:rPr>
                <w:rtl/>
              </w:rPr>
              <w:t>ي«بر»:«قال قال</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في « ب » : « عنّي »</w:t>
            </w:r>
            <w:r>
              <w:rPr>
                <w:rtl/>
              </w:rPr>
              <w:t>.</w:t>
            </w:r>
          </w:p>
        </w:tc>
        <w:tc>
          <w:tcPr>
            <w:tcW w:w="4006" w:type="dxa"/>
          </w:tcPr>
          <w:p w:rsidR="000C39D1" w:rsidRDefault="000C39D1" w:rsidP="00B53873">
            <w:pPr>
              <w:pStyle w:val="libFootnote0"/>
              <w:rPr>
                <w:rtl/>
              </w:rPr>
            </w:pPr>
            <w:r>
              <w:rPr>
                <w:rtl/>
              </w:rPr>
              <w:t>(4).</w:t>
            </w:r>
            <w:r w:rsidRPr="00132E65">
              <w:rPr>
                <w:rtl/>
              </w:rPr>
              <w:t xml:space="preserve"> في « ب » </w:t>
            </w:r>
            <w:r>
              <w:rPr>
                <w:rtl/>
              </w:rPr>
              <w:t xml:space="preserve">: - </w:t>
            </w:r>
            <w:r w:rsidRPr="00132E65">
              <w:rPr>
                <w:rtl/>
              </w:rPr>
              <w:t>« أبوه »</w:t>
            </w:r>
            <w:r>
              <w:rPr>
                <w:rtl/>
              </w:rPr>
              <w:t>.</w:t>
            </w:r>
          </w:p>
        </w:tc>
      </w:tr>
    </w:tbl>
    <w:p w:rsidR="000C39D1" w:rsidRPr="00132E65" w:rsidRDefault="000C39D1" w:rsidP="000C39D1">
      <w:pPr>
        <w:pStyle w:val="libFootnote0"/>
        <w:rPr>
          <w:rtl/>
          <w:lang w:bidi="fa-IR"/>
        </w:rPr>
      </w:pPr>
      <w:r>
        <w:rPr>
          <w:rtl/>
        </w:rPr>
        <w:t>(5).</w:t>
      </w:r>
      <w:r w:rsidRPr="00132E65">
        <w:rPr>
          <w:rtl/>
        </w:rPr>
        <w:t xml:space="preserve"> في « ج ، ض ،</w:t>
      </w:r>
      <w:r>
        <w:rPr>
          <w:rtl/>
        </w:rPr>
        <w:t xml:space="preserve"> و »</w:t>
      </w:r>
      <w:r w:rsidRPr="00132E65">
        <w:rPr>
          <w:rtl/>
        </w:rPr>
        <w:t xml:space="preserve"> : « لا تطّلع »</w:t>
      </w:r>
      <w:r>
        <w:rPr>
          <w:rtl/>
        </w:rPr>
        <w:t>.</w:t>
      </w:r>
    </w:p>
    <w:p w:rsidR="000C39D1" w:rsidRPr="00132E65" w:rsidRDefault="000C39D1" w:rsidP="000C39D1">
      <w:pPr>
        <w:pStyle w:val="libFootnote0"/>
        <w:rPr>
          <w:rtl/>
          <w:lang w:bidi="fa-IR"/>
        </w:rPr>
      </w:pPr>
      <w:r>
        <w:rPr>
          <w:rtl/>
        </w:rPr>
        <w:t>(6).</w:t>
      </w:r>
      <w:r w:rsidRPr="00132E65">
        <w:rPr>
          <w:rtl/>
        </w:rPr>
        <w:t xml:space="preserve"> هكذا في « ألف ، ب ، ج ، ه‍ ، بر ، بف » وحاشية « ض ، ف ، بح » و</w:t>
      </w:r>
      <w:r w:rsidRPr="009D1ACE">
        <w:rPr>
          <w:rStyle w:val="libFootnoteBoldChar"/>
          <w:rtl/>
        </w:rPr>
        <w:t>الوافي</w:t>
      </w:r>
      <w:r w:rsidRPr="00132E65">
        <w:rPr>
          <w:rtl/>
        </w:rPr>
        <w:t>. وتقتضيه القواعد. وفي « ف » : « كادت »</w:t>
      </w:r>
      <w:r>
        <w:rPr>
          <w:rtl/>
        </w:rPr>
        <w:t>.</w:t>
      </w:r>
      <w:r w:rsidRPr="00132E65">
        <w:rPr>
          <w:rtl/>
        </w:rPr>
        <w:t xml:space="preserve"> وفي « ض ، و، بح ، بس » والمطبوع : « كادوا »</w:t>
      </w:r>
      <w:r>
        <w:rPr>
          <w:rtl/>
        </w:rPr>
        <w:t>.</w:t>
      </w:r>
      <w:r w:rsidRPr="00132E65">
        <w:rPr>
          <w:rtl/>
        </w:rPr>
        <w:t xml:space="preserve"> وهو صحيح على لغة : أكلوني البراغيث ، أو ك</w:t>
      </w:r>
      <w:r w:rsidR="00242766">
        <w:rPr>
          <w:rtl/>
        </w:rPr>
        <w:t>ون « إخوة</w:t>
      </w:r>
      <w:r w:rsidRPr="00132E65">
        <w:rPr>
          <w:rtl/>
        </w:rPr>
        <w:t>» بدلاً عن الضمير.</w:t>
      </w:r>
      <w:r>
        <w:rPr>
          <w:rFonts w:hint="cs"/>
          <w:rtl/>
        </w:rPr>
        <w:t xml:space="preserve">                </w:t>
      </w:r>
      <w:r w:rsidR="00242766">
        <w:rPr>
          <w:rFonts w:hint="cs"/>
          <w:rtl/>
        </w:rPr>
        <w:t xml:space="preserve">                 </w:t>
      </w:r>
      <w:r>
        <w:rPr>
          <w:rFonts w:hint="cs"/>
          <w:rtl/>
        </w:rPr>
        <w:t xml:space="preserve">         </w:t>
      </w:r>
      <w:r w:rsidR="00242766">
        <w:rPr>
          <w:rFonts w:hint="cs"/>
          <w:rtl/>
        </w:rPr>
        <w:t xml:space="preserve"> </w:t>
      </w:r>
      <w:r>
        <w:rPr>
          <w:rtl/>
        </w:rPr>
        <w:t>(7).</w:t>
      </w:r>
      <w:r w:rsidRPr="00132E65">
        <w:rPr>
          <w:rtl/>
        </w:rPr>
        <w:t xml:space="preserve"> في « بح » : « على يوسف »</w:t>
      </w:r>
      <w:r>
        <w:rPr>
          <w:rtl/>
        </w:rPr>
        <w:t>.</w:t>
      </w:r>
    </w:p>
    <w:p w:rsidR="000C39D1" w:rsidRPr="00132E65" w:rsidRDefault="000C39D1" w:rsidP="000C39D1">
      <w:pPr>
        <w:pStyle w:val="libFootnote0"/>
        <w:rPr>
          <w:rtl/>
          <w:lang w:bidi="fa-IR"/>
        </w:rPr>
      </w:pPr>
      <w:r>
        <w:rPr>
          <w:rtl/>
        </w:rPr>
        <w:t>(8).</w:t>
      </w:r>
      <w:r w:rsidRPr="00132E65">
        <w:rPr>
          <w:rtl/>
        </w:rPr>
        <w:t xml:space="preserve"> راجع : </w:t>
      </w:r>
      <w:r w:rsidRPr="000577A7">
        <w:rPr>
          <w:rStyle w:val="libFootnoteBoldChar"/>
          <w:rtl/>
        </w:rPr>
        <w:t>الكافي</w:t>
      </w:r>
      <w:r w:rsidRPr="00132E65">
        <w:rPr>
          <w:rtl/>
        </w:rPr>
        <w:t xml:space="preserve"> ، كتاب الحجّة ، باب مولد أبي جعفر محمّد بن عليّ </w:t>
      </w:r>
      <w:r w:rsidRPr="00080C20">
        <w:rPr>
          <w:rStyle w:val="libFootnoteAlaemChar"/>
          <w:rtl/>
        </w:rPr>
        <w:t>عليه‌السلام</w:t>
      </w:r>
      <w:r w:rsidRPr="00132E65">
        <w:rPr>
          <w:rtl/>
        </w:rPr>
        <w:t xml:space="preserve"> ، ح 1276 ؛ </w:t>
      </w:r>
      <w:r w:rsidRPr="00E47874">
        <w:rPr>
          <w:rtl/>
        </w:rPr>
        <w:t>الأمالي</w:t>
      </w:r>
      <w:r w:rsidRPr="00132E65">
        <w:rPr>
          <w:rtl/>
        </w:rPr>
        <w:t xml:space="preserve"> للصدوق ، ص 353 ، المجلس 56 ، ح 9 ؛ </w:t>
      </w:r>
      <w:r w:rsidRPr="00E47874">
        <w:rPr>
          <w:rtl/>
        </w:rPr>
        <w:t>علل الشرائع</w:t>
      </w:r>
      <w:r w:rsidRPr="00132E65">
        <w:rPr>
          <w:rtl/>
        </w:rPr>
        <w:t xml:space="preserve"> ، ص 233 ، ح 1 ؛ </w:t>
      </w:r>
      <w:r w:rsidRPr="00E47874">
        <w:rPr>
          <w:rtl/>
        </w:rPr>
        <w:t>الاختصاص</w:t>
      </w:r>
      <w:r w:rsidRPr="00132E65">
        <w:rPr>
          <w:rtl/>
        </w:rPr>
        <w:t xml:space="preserve"> ، ص 62 ؛ </w:t>
      </w:r>
      <w:r w:rsidRPr="00E47874">
        <w:rPr>
          <w:rtl/>
        </w:rPr>
        <w:t>الإرشاد</w:t>
      </w:r>
      <w:r w:rsidRPr="00132E65">
        <w:rPr>
          <w:rtl/>
        </w:rPr>
        <w:t xml:space="preserve"> ، ج 2 ، ص 158</w:t>
      </w:r>
      <w:r>
        <w:rPr>
          <w:rtl/>
        </w:rPr>
        <w:t xml:space="preserve"> – </w:t>
      </w:r>
      <w:r w:rsidRPr="00132E65">
        <w:rPr>
          <w:rtl/>
        </w:rPr>
        <w:t>159</w:t>
      </w:r>
      <w:r>
        <w:rPr>
          <w:rFonts w:hint="cs"/>
          <w:rtl/>
        </w:rPr>
        <w:t>.</w:t>
      </w:r>
      <w:r w:rsidRPr="009D1ACE">
        <w:rPr>
          <w:rStyle w:val="libFootnoteBoldChar"/>
          <w:rtl/>
        </w:rPr>
        <w:t>الوافي</w:t>
      </w:r>
      <w:r w:rsidRPr="00132E65">
        <w:rPr>
          <w:rtl/>
        </w:rPr>
        <w:t xml:space="preserve"> ، ج 2 ، ص 344 ، ح 804.</w:t>
      </w:r>
      <w:r>
        <w:rPr>
          <w:rFonts w:hint="cs"/>
          <w:rtl/>
        </w:rPr>
        <w:t xml:space="preserve">    </w:t>
      </w:r>
      <w:r w:rsidR="00242766">
        <w:rPr>
          <w:rFonts w:hint="cs"/>
          <w:rtl/>
        </w:rPr>
        <w:t xml:space="preserve">         </w:t>
      </w:r>
      <w:r>
        <w:rPr>
          <w:rFonts w:hint="cs"/>
          <w:rtl/>
        </w:rPr>
        <w:t xml:space="preserve"> </w:t>
      </w:r>
      <w:r>
        <w:rPr>
          <w:rtl/>
        </w:rPr>
        <w:t>(9).</w:t>
      </w:r>
      <w:r w:rsidRPr="00132E65">
        <w:rPr>
          <w:rtl/>
        </w:rPr>
        <w:t xml:space="preserve"> في « بر » :</w:t>
      </w:r>
      <w:r>
        <w:rPr>
          <w:rtl/>
        </w:rPr>
        <w:t xml:space="preserve"> + </w:t>
      </w:r>
      <w:r w:rsidRPr="00132E65">
        <w:rPr>
          <w:rtl/>
        </w:rPr>
        <w:t>« محمّد بن عليّ »</w:t>
      </w:r>
      <w:r>
        <w:rPr>
          <w:rtl/>
        </w:rPr>
        <w:t>.</w:t>
      </w:r>
    </w:p>
    <w:p w:rsidR="000C39D1" w:rsidRPr="00132E65" w:rsidRDefault="000C39D1" w:rsidP="000C39D1">
      <w:pPr>
        <w:pStyle w:val="libFootnote0"/>
        <w:rPr>
          <w:rtl/>
          <w:lang w:bidi="fa-IR"/>
        </w:rPr>
      </w:pPr>
      <w:r>
        <w:rPr>
          <w:rtl/>
        </w:rPr>
        <w:t>(10).</w:t>
      </w:r>
      <w:r w:rsidRPr="00132E65">
        <w:rPr>
          <w:rtl/>
        </w:rPr>
        <w:t xml:space="preserve"> إسماعيل هذا ، هو إسماعيل بن محمّد بن عبدالله بن علي بن الحسين بن علي بن أبي طالب ، ولم يثبت روايته‌عن أبي جعفر </w:t>
      </w:r>
      <w:r w:rsidRPr="00080C20">
        <w:rPr>
          <w:rStyle w:val="libFootnoteAlaemChar"/>
          <w:rtl/>
        </w:rPr>
        <w:t>عليه‌السلام</w:t>
      </w:r>
      <w:r w:rsidRPr="00132E65">
        <w:rPr>
          <w:rtl/>
        </w:rPr>
        <w:t xml:space="preserve"> الظاهر منه الباقر </w:t>
      </w:r>
      <w:r w:rsidRPr="00080C20">
        <w:rPr>
          <w:rStyle w:val="libFootnoteAlaemChar"/>
          <w:rtl/>
        </w:rPr>
        <w:t>عليه‌السلام</w:t>
      </w:r>
      <w:r w:rsidRPr="00132E65">
        <w:rPr>
          <w:rtl/>
        </w:rPr>
        <w:t xml:space="preserve"> بقرينة رواية إبراهيم بن أبي البلاد عن إسماعيل ، فلايبعد وقوع خلل في السند من سقط أو إرسال. راجع : </w:t>
      </w:r>
      <w:r w:rsidRPr="00E47874">
        <w:rPr>
          <w:rtl/>
        </w:rPr>
        <w:t>تهذيب الأنساب</w:t>
      </w:r>
      <w:r w:rsidRPr="00132E65">
        <w:rPr>
          <w:rtl/>
        </w:rPr>
        <w:t xml:space="preserve"> ، ص 184.</w:t>
      </w:r>
    </w:p>
    <w:p w:rsidR="000C39D1" w:rsidRPr="00132E65" w:rsidRDefault="000C39D1" w:rsidP="000C39D1">
      <w:pPr>
        <w:pStyle w:val="libFootnote0"/>
        <w:rPr>
          <w:rtl/>
          <w:lang w:bidi="fa-IR"/>
        </w:rPr>
      </w:pPr>
      <w:r w:rsidRPr="00F24C1F">
        <w:rPr>
          <w:rtl/>
        </w:rPr>
        <w:t>وأما كون الصواب في العنوان « إسماعيل بن محمّد عن عبدالله بن علي بن الحسين » كما استظهره العل</w:t>
      </w:r>
      <w:r>
        <w:rPr>
          <w:rFonts w:hint="cs"/>
          <w:rtl/>
        </w:rPr>
        <w:t>ّ</w:t>
      </w:r>
      <w:r>
        <w:rPr>
          <w:rtl/>
        </w:rPr>
        <w:t>ا</w:t>
      </w:r>
      <w:r w:rsidRPr="00F24C1F">
        <w:rPr>
          <w:rtl/>
        </w:rPr>
        <w:t xml:space="preserve">مة المجلسي في </w:t>
      </w:r>
      <w:r w:rsidRPr="009D1ACE">
        <w:rPr>
          <w:rStyle w:val="libFootnoteBoldChar"/>
          <w:rtl/>
        </w:rPr>
        <w:t>مرآة العقول</w:t>
      </w:r>
      <w:r w:rsidRPr="00F24C1F">
        <w:rPr>
          <w:rtl/>
        </w:rPr>
        <w:t xml:space="preserve"> ، ج 3 ، ص 322 ، فلم نجد له شاهداً.</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بْنِ الْحُسَيْنِ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حَضَرَ </w:t>
      </w:r>
      <w:r>
        <w:rPr>
          <w:rStyle w:val="libFootnotenumChar"/>
          <w:rtl/>
        </w:rPr>
        <w:t>(1)</w:t>
      </w:r>
      <w:r w:rsidRPr="00132E65">
        <w:rPr>
          <w:rtl/>
          <w:lang w:bidi="fa-IR"/>
        </w:rPr>
        <w:t xml:space="preserve"> عَلِيَّ بْنَ الْحُسَيْنِ </w:t>
      </w:r>
      <w:r w:rsidRPr="00071CF9">
        <w:rPr>
          <w:rStyle w:val="libAlaemChar"/>
          <w:rtl/>
        </w:rPr>
        <w:t>عليهما‌السلام</w:t>
      </w:r>
      <w:r w:rsidRPr="00132E65">
        <w:rPr>
          <w:rtl/>
          <w:lang w:bidi="fa-IR"/>
        </w:rPr>
        <w:t xml:space="preserve"> الْوَفَاةُ قَبْلَ ذلِكَ ، أَخْرَجَ سَفَطاً </w:t>
      </w:r>
      <w:r>
        <w:rPr>
          <w:rStyle w:val="libFootnotenumChar"/>
          <w:rtl/>
        </w:rPr>
        <w:t>(2)</w:t>
      </w:r>
      <w:r w:rsidRPr="00132E65">
        <w:rPr>
          <w:rtl/>
          <w:lang w:bidi="fa-IR"/>
        </w:rPr>
        <w:t xml:space="preserve"> أَوْ صُنْدُوقاً عِنْدَهُ ، فَقَالَ : يَا مُحَمَّدُ ، احْمِلْ هذَا الصُّنْدُوقَ »</w:t>
      </w:r>
      <w:r>
        <w:rPr>
          <w:rtl/>
          <w:lang w:bidi="fa-IR"/>
        </w:rPr>
        <w:t>.</w:t>
      </w:r>
      <w:r w:rsidRPr="00132E65">
        <w:rPr>
          <w:rtl/>
          <w:lang w:bidi="fa-IR"/>
        </w:rPr>
        <w:t xml:space="preserve"> قَالَ : « فَحَمَلَ بَيْنَ أَرْبَعَةٍ </w:t>
      </w:r>
      <w:r>
        <w:rPr>
          <w:rStyle w:val="libFootnotenumChar"/>
          <w:rtl/>
        </w:rPr>
        <w:t>(3)</w:t>
      </w:r>
      <w:r w:rsidRPr="00132E65">
        <w:rPr>
          <w:rtl/>
          <w:lang w:bidi="fa-IR"/>
        </w:rPr>
        <w:t xml:space="preserve"> ، فَلَمَّا تُوُفِّيَ </w:t>
      </w:r>
      <w:r>
        <w:rPr>
          <w:rStyle w:val="libFootnotenumChar"/>
          <w:rtl/>
        </w:rPr>
        <w:t>(4)</w:t>
      </w:r>
      <w:r w:rsidRPr="00132E65">
        <w:rPr>
          <w:rtl/>
          <w:lang w:bidi="fa-IR"/>
        </w:rPr>
        <w:t xml:space="preserve"> ، جَاءَ </w:t>
      </w:r>
      <w:r>
        <w:rPr>
          <w:rStyle w:val="libFootnotenumChar"/>
          <w:rtl/>
        </w:rPr>
        <w:t>(5)</w:t>
      </w:r>
      <w:r w:rsidRPr="00132E65">
        <w:rPr>
          <w:rtl/>
          <w:lang w:bidi="fa-IR"/>
        </w:rPr>
        <w:t xml:space="preserve"> إِخْوَتُهُ يَدَّعُونَ فِي </w:t>
      </w:r>
      <w:r>
        <w:rPr>
          <w:rStyle w:val="libFootnotenumChar"/>
          <w:rtl/>
        </w:rPr>
        <w:t>(6)</w:t>
      </w:r>
      <w:r w:rsidRPr="00132E65">
        <w:rPr>
          <w:rtl/>
          <w:lang w:bidi="fa-IR"/>
        </w:rPr>
        <w:t xml:space="preserve"> الصُّنْدُوقِ ، فَقَالُوا : أَعْطِنَا نَصِيبَنَا فِي </w:t>
      </w:r>
      <w:r>
        <w:rPr>
          <w:rStyle w:val="libFootnotenumChar"/>
          <w:rtl/>
        </w:rPr>
        <w:t>(7)</w:t>
      </w:r>
      <w:r w:rsidRPr="00132E65">
        <w:rPr>
          <w:rtl/>
          <w:lang w:bidi="fa-IR"/>
        </w:rPr>
        <w:t xml:space="preserve"> الصُّنْدُوقِ ، فَقَالَ : واللهِ ، مَا لَكُمْ فِيهِ شَيْ‌ءٌ ، ولَوْ كَانَ لَكُمْ فِيهِ شَ</w:t>
      </w:r>
      <w:r>
        <w:rPr>
          <w:rtl/>
          <w:lang w:bidi="fa-IR"/>
        </w:rPr>
        <w:t>يْ‌ءٌ ، مَا دَفَعَهُ إِلَيَّ »</w:t>
      </w:r>
    </w:p>
    <w:p w:rsidR="000C39D1" w:rsidRPr="00132E65" w:rsidRDefault="000C39D1" w:rsidP="000C39D1">
      <w:pPr>
        <w:pStyle w:val="libNormal"/>
        <w:rPr>
          <w:rtl/>
          <w:lang w:bidi="fa-IR"/>
        </w:rPr>
      </w:pPr>
      <w:r w:rsidRPr="00132E65">
        <w:rPr>
          <w:rtl/>
          <w:lang w:bidi="fa-IR"/>
        </w:rPr>
        <w:t xml:space="preserve">وَكَانَ فِي الصُّنْدُوقِ سِلَاحُ رَسُولِ اللهِ </w:t>
      </w:r>
      <w:r w:rsidRPr="00071CF9">
        <w:rPr>
          <w:rStyle w:val="libAlaemChar"/>
          <w:rtl/>
        </w:rPr>
        <w:t>صلى‌الله‌عليه‌وآله</w:t>
      </w:r>
      <w:r w:rsidRPr="00132E65">
        <w:rPr>
          <w:rtl/>
          <w:lang w:bidi="fa-IR"/>
        </w:rPr>
        <w:t xml:space="preserve"> وكُتُبُهُ. </w:t>
      </w:r>
      <w:r>
        <w:rPr>
          <w:rStyle w:val="libFootnotenumChar"/>
          <w:rtl/>
        </w:rPr>
        <w:t>(8)</w:t>
      </w:r>
    </w:p>
    <w:p w:rsidR="000C39D1" w:rsidRPr="00132E65" w:rsidRDefault="000C39D1" w:rsidP="000C39D1">
      <w:pPr>
        <w:pStyle w:val="libNormal"/>
        <w:rPr>
          <w:rtl/>
          <w:lang w:bidi="fa-IR"/>
        </w:rPr>
      </w:pPr>
      <w:r w:rsidRPr="00E47874">
        <w:rPr>
          <w:rtl/>
        </w:rPr>
        <w:t>790</w:t>
      </w:r>
      <w:r w:rsidRPr="004325D8">
        <w:rPr>
          <w:rStyle w:val="libBold2Char"/>
          <w:rtl/>
        </w:rPr>
        <w:t xml:space="preserve"> / 2.</w:t>
      </w:r>
      <w:r w:rsidRPr="00132E65">
        <w:rPr>
          <w:rtl/>
          <w:lang w:bidi="fa-IR"/>
        </w:rPr>
        <w:t xml:space="preserve"> مُحَمَّدُ بْنُ يَحْيى ، عَنْ عِمْرَانَ بْنِ مُوسى ، عَنْ مُحَمَّدِ بْنِ الْحُسَيْنِ ، عَنْ مُحَمَّدِ بْنِ </w:t>
      </w:r>
      <w:r>
        <w:rPr>
          <w:rStyle w:val="libFootnotenumChar"/>
          <w:rtl/>
        </w:rPr>
        <w:t>(9)</w:t>
      </w:r>
      <w:r w:rsidRPr="00132E65">
        <w:rPr>
          <w:rtl/>
          <w:lang w:bidi="fa-IR"/>
        </w:rPr>
        <w:t xml:space="preserve"> عَبْدِ اللهِ ، عَنْ عِيسَى بْنِ عَبْدِ اللهِ ، عَنْ أَبِيهِ ، عَنْ جَدِّهِ ، قَالَ :</w:t>
      </w:r>
    </w:p>
    <w:p w:rsidR="000C39D1" w:rsidRPr="00132E65" w:rsidRDefault="000C39D1" w:rsidP="000C39D1">
      <w:pPr>
        <w:pStyle w:val="libNormal"/>
        <w:rPr>
          <w:rtl/>
          <w:lang w:bidi="fa-IR"/>
        </w:rPr>
      </w:pPr>
      <w:r w:rsidRPr="00132E65">
        <w:rPr>
          <w:rtl/>
          <w:lang w:bidi="fa-IR"/>
        </w:rPr>
        <w:t xml:space="preserve">الْتَفَتَ عَلِيُّ بْنُ الْحُسَيْنِ </w:t>
      </w:r>
      <w:r w:rsidRPr="00071CF9">
        <w:rPr>
          <w:rStyle w:val="libAlaemChar"/>
          <w:rtl/>
        </w:rPr>
        <w:t>عليهما‌السلام</w:t>
      </w:r>
      <w:r w:rsidRPr="00132E65">
        <w:rPr>
          <w:rtl/>
          <w:lang w:bidi="fa-IR"/>
        </w:rPr>
        <w:t xml:space="preserve"> إِلى ولْدِهِ</w:t>
      </w:r>
      <w:r>
        <w:rPr>
          <w:rtl/>
          <w:lang w:bidi="fa-IR"/>
        </w:rPr>
        <w:t xml:space="preserve"> - </w:t>
      </w:r>
      <w:r w:rsidRPr="00132E65">
        <w:rPr>
          <w:rtl/>
          <w:lang w:bidi="fa-IR"/>
        </w:rPr>
        <w:t>وهُوَ فِي الْمَوْتِ وهُمْ مُجْتَمِعُونَ عِنْدَهُ</w:t>
      </w:r>
      <w:r>
        <w:rPr>
          <w:rtl/>
          <w:lang w:bidi="fa-IR"/>
        </w:rPr>
        <w:t xml:space="preserve"> - </w:t>
      </w:r>
      <w:r w:rsidRPr="00132E65">
        <w:rPr>
          <w:rtl/>
          <w:lang w:bidi="fa-IR"/>
        </w:rPr>
        <w:t>ثُمَّ الْتَفَتَ إِلى مُحَمَّدِ بْنِ عَلِيٍّ ، فَقَالَ : « يَا مُحَمَّدُ ، هذَا الصُّنْدُوقُ اذْهَبْ بِهِ إِلى بَيْتِكَ » ، قَالَ :</w:t>
      </w:r>
      <w:r>
        <w:rPr>
          <w:rFonts w:hint="cs"/>
          <w:rtl/>
          <w:lang w:bidi="fa-IR"/>
        </w:rPr>
        <w:t xml:space="preserve"> </w:t>
      </w:r>
      <w:r w:rsidRPr="00132E65">
        <w:rPr>
          <w:rtl/>
          <w:lang w:bidi="fa-IR"/>
        </w:rPr>
        <w:t xml:space="preserve">« أَمَا إِنَّهُ لَمْ يَكُنْ فِيهِ دِينَارٌ ولَادِرْهَمٌ ، ولكِنْ </w:t>
      </w:r>
      <w:r>
        <w:rPr>
          <w:rStyle w:val="libFootnotenumChar"/>
          <w:rtl/>
        </w:rPr>
        <w:t>(10)</w:t>
      </w:r>
      <w:r w:rsidRPr="00132E65">
        <w:rPr>
          <w:rtl/>
          <w:lang w:bidi="fa-IR"/>
        </w:rPr>
        <w:t xml:space="preserve"> كَانَ مَمْلُوءاً عِلْماً »</w:t>
      </w:r>
      <w:r>
        <w:rPr>
          <w:rtl/>
          <w:lang w:bidi="fa-IR"/>
        </w:rPr>
        <w:t>.</w:t>
      </w:r>
      <w:r w:rsidRPr="00132E65">
        <w:rPr>
          <w:rtl/>
          <w:lang w:bidi="fa-IR"/>
        </w:rPr>
        <w:t xml:space="preserve">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بس » والبصائر ، ص 180 </w:t>
      </w:r>
      <w:r>
        <w:rPr>
          <w:rtl/>
        </w:rPr>
        <w:t>و 1</w:t>
      </w:r>
      <w:r w:rsidRPr="00132E65">
        <w:rPr>
          <w:rtl/>
        </w:rPr>
        <w:t>81 : « حضرت »</w:t>
      </w:r>
      <w:r>
        <w:rPr>
          <w:rtl/>
        </w:rPr>
        <w:t>.</w:t>
      </w:r>
    </w:p>
    <w:p w:rsidR="000C39D1" w:rsidRPr="00132E65" w:rsidRDefault="000C39D1" w:rsidP="000C39D1">
      <w:pPr>
        <w:pStyle w:val="libFootnote0"/>
        <w:rPr>
          <w:rtl/>
          <w:lang w:bidi="fa-IR"/>
        </w:rPr>
      </w:pPr>
      <w:r>
        <w:rPr>
          <w:rtl/>
        </w:rPr>
        <w:t>(2).</w:t>
      </w:r>
      <w:r w:rsidRPr="00132E65">
        <w:rPr>
          <w:rtl/>
        </w:rPr>
        <w:t xml:space="preserve"> قال المطرّزي : « السَفَطُ : واحد الأسفاط ، وهو ما يُعَبّى فيه الطيب وما أشبهه من آلات النساء ، ويستعار</w:t>
      </w:r>
      <w:r>
        <w:rPr>
          <w:rFonts w:hint="cs"/>
          <w:rtl/>
        </w:rPr>
        <w:t xml:space="preserve"> </w:t>
      </w:r>
      <w:r w:rsidRPr="00132E65">
        <w:rPr>
          <w:rtl/>
        </w:rPr>
        <w:t>للتابوت الصغير »</w:t>
      </w:r>
      <w:r>
        <w:rPr>
          <w:rtl/>
        </w:rPr>
        <w:t>.</w:t>
      </w:r>
      <w:r w:rsidRPr="00132E65">
        <w:rPr>
          <w:rtl/>
        </w:rPr>
        <w:t xml:space="preserve"> </w:t>
      </w:r>
      <w:r w:rsidRPr="00E47874">
        <w:rPr>
          <w:rtl/>
        </w:rPr>
        <w:t>المغرب</w:t>
      </w:r>
      <w:r w:rsidRPr="00132E65">
        <w:rPr>
          <w:rtl/>
        </w:rPr>
        <w:t xml:space="preserve"> ، ص 226 ( سفط )</w:t>
      </w:r>
      <w:r>
        <w:rPr>
          <w:rtl/>
        </w:rPr>
        <w:t>.</w:t>
      </w:r>
      <w:r>
        <w:rPr>
          <w:rFonts w:hint="cs"/>
          <w:rtl/>
        </w:rPr>
        <w:t xml:space="preserve">                          </w:t>
      </w:r>
      <w:r>
        <w:rPr>
          <w:rtl/>
        </w:rPr>
        <w:t>(3).</w:t>
      </w:r>
      <w:r w:rsidRPr="00132E65">
        <w:rPr>
          <w:rtl/>
        </w:rPr>
        <w:t xml:space="preserve"> في شرح المازندراني :</w:t>
      </w:r>
      <w:r>
        <w:rPr>
          <w:rtl/>
        </w:rPr>
        <w:t xml:space="preserve"> + </w:t>
      </w:r>
      <w:r w:rsidRPr="00132E65">
        <w:rPr>
          <w:rtl/>
        </w:rPr>
        <w:t>« رجال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فلمّا تُوفّي ، إمّا كلام الباقر </w:t>
      </w:r>
      <w:r w:rsidRPr="00661FAB">
        <w:rPr>
          <w:rStyle w:val="libFootnoteAlaemChar"/>
          <w:rtl/>
        </w:rPr>
        <w:t>عليه‌السلام</w:t>
      </w:r>
      <w:r w:rsidRPr="00132E65">
        <w:rPr>
          <w:rtl/>
        </w:rPr>
        <w:t xml:space="preserve"> على سبيل الالتفات ، أو كلام الراوي »</w:t>
      </w:r>
      <w:r>
        <w:rPr>
          <w:rtl/>
        </w:rPr>
        <w:t>.</w:t>
      </w:r>
    </w:p>
    <w:p w:rsidR="000C39D1" w:rsidRPr="00132E65" w:rsidRDefault="000C39D1" w:rsidP="000C39D1">
      <w:pPr>
        <w:pStyle w:val="libFootnote0"/>
        <w:rPr>
          <w:rtl/>
          <w:lang w:bidi="fa-IR"/>
        </w:rPr>
      </w:pPr>
      <w:r>
        <w:rPr>
          <w:rtl/>
        </w:rPr>
        <w:t>(5).</w:t>
      </w:r>
      <w:r w:rsidRPr="00132E65">
        <w:rPr>
          <w:rtl/>
        </w:rPr>
        <w:t xml:space="preserve"> في « ف » : « جاءت »</w:t>
      </w:r>
      <w:r>
        <w:rPr>
          <w:rtl/>
        </w:rPr>
        <w:t>.</w:t>
      </w:r>
    </w:p>
    <w:p w:rsidR="000C39D1" w:rsidRPr="00132E65" w:rsidRDefault="000C39D1" w:rsidP="000C39D1">
      <w:pPr>
        <w:pStyle w:val="libFootnote0"/>
        <w:rPr>
          <w:rtl/>
          <w:lang w:bidi="fa-IR"/>
        </w:rPr>
      </w:pPr>
      <w:r>
        <w:rPr>
          <w:rtl/>
        </w:rPr>
        <w:t>(6).</w:t>
      </w:r>
      <w:r w:rsidRPr="00132E65">
        <w:rPr>
          <w:rtl/>
        </w:rPr>
        <w:t xml:space="preserve"> هكذا في النسخ التي قوبلت و</w:t>
      </w:r>
      <w:r w:rsidRPr="009D1ACE">
        <w:rPr>
          <w:rStyle w:val="libFootnoteBoldChar"/>
          <w:rtl/>
        </w:rPr>
        <w:t>الوافي</w:t>
      </w:r>
      <w:r w:rsidRPr="00132E65">
        <w:rPr>
          <w:rtl/>
        </w:rPr>
        <w:t xml:space="preserve"> والبصائر ، ص 180 </w:t>
      </w:r>
      <w:r>
        <w:rPr>
          <w:rtl/>
        </w:rPr>
        <w:t>و 1</w:t>
      </w:r>
      <w:r w:rsidRPr="00132E65">
        <w:rPr>
          <w:rtl/>
        </w:rPr>
        <w:t>81. وفي المطبوع : « [ ما ] في »</w:t>
      </w:r>
      <w:r>
        <w:rPr>
          <w:rtl/>
        </w:rPr>
        <w:t>.</w:t>
      </w:r>
    </w:p>
    <w:p w:rsidR="000C39D1" w:rsidRPr="00132E65" w:rsidRDefault="000C39D1" w:rsidP="000C39D1">
      <w:pPr>
        <w:pStyle w:val="libFootnote0"/>
        <w:rPr>
          <w:rtl/>
          <w:lang w:bidi="fa-IR"/>
        </w:rPr>
      </w:pPr>
      <w:r>
        <w:rPr>
          <w:rtl/>
        </w:rPr>
        <w:t>(7).</w:t>
      </w:r>
      <w:r w:rsidRPr="00132E65">
        <w:rPr>
          <w:rtl/>
        </w:rPr>
        <w:t xml:space="preserve"> في « بح » وحاشية « ه‍ ، بس ، بف » : « من »</w:t>
      </w:r>
      <w:r>
        <w:rPr>
          <w:rtl/>
        </w:rPr>
        <w:t>.</w:t>
      </w:r>
    </w:p>
    <w:p w:rsidR="000C39D1" w:rsidRPr="00132E65" w:rsidRDefault="000C39D1" w:rsidP="000C39D1">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180 ، ح 18 ، بسنده عن أبي القاسم ؛ </w:t>
      </w:r>
      <w:r w:rsidRPr="00E47874">
        <w:rPr>
          <w:rtl/>
        </w:rPr>
        <w:t>وفيه</w:t>
      </w:r>
      <w:r w:rsidRPr="00132E65">
        <w:rPr>
          <w:rtl/>
        </w:rPr>
        <w:t xml:space="preserve"> ، وص 181 ، ح 24 ، عن محمّد بن عبد الجبّار ، عن أبي القاسم الكوفي ومحمّد بن إسماعيل القمّي ، عن إبراهيم بن أبي البلاد ، عن عيسى بن عبد الله ، عن الصادق </w:t>
      </w:r>
      <w:r w:rsidRPr="00661FAB">
        <w:rPr>
          <w:rStyle w:val="libFootnoteAlaemChar"/>
          <w:rtl/>
        </w:rPr>
        <w:t>عليه‌السلام</w:t>
      </w:r>
      <w:r>
        <w:rPr>
          <w:rFonts w:hint="cs"/>
          <w:rtl/>
        </w:rPr>
        <w:t>.</w:t>
      </w:r>
      <w:r w:rsidRPr="009D1ACE">
        <w:rPr>
          <w:rStyle w:val="libFootnoteBoldChar"/>
          <w:rtl/>
        </w:rPr>
        <w:t>الوافي</w:t>
      </w:r>
      <w:r w:rsidRPr="00132E65">
        <w:rPr>
          <w:rtl/>
        </w:rPr>
        <w:t xml:space="preserve"> ، ج 2 ، ص 344 ، ح 805.</w:t>
      </w:r>
    </w:p>
    <w:p w:rsidR="00242766" w:rsidRDefault="000C39D1" w:rsidP="00242766">
      <w:pPr>
        <w:pStyle w:val="libFootnote0"/>
        <w:rPr>
          <w:rtl/>
        </w:rPr>
      </w:pPr>
      <w:r>
        <w:rPr>
          <w:rtl/>
        </w:rPr>
        <w:t>(9).</w:t>
      </w:r>
      <w:r w:rsidRPr="00132E65">
        <w:rPr>
          <w:rtl/>
        </w:rPr>
        <w:t xml:space="preserve"> في « ف ، بف » : « عن »</w:t>
      </w:r>
      <w:r>
        <w:rPr>
          <w:rtl/>
        </w:rPr>
        <w:t>.</w:t>
      </w:r>
      <w:r w:rsidRPr="00132E65">
        <w:rPr>
          <w:rtl/>
        </w:rPr>
        <w:t xml:space="preserve"> وهو سهو ؛ فإنّ محمّد بن عبد الله ، هو محمّد بن عبد الله بن زرارة ، توسّط بين محمّد بن الحسين وبين عيسى بن عبد الله [ الهاشمي ] ، في بعض الأسناد. راجع : </w:t>
      </w:r>
      <w:r w:rsidRPr="00E47874">
        <w:rPr>
          <w:rtl/>
        </w:rPr>
        <w:t>معجم رجال الحديث</w:t>
      </w:r>
      <w:r w:rsidRPr="00132E65">
        <w:rPr>
          <w:rtl/>
        </w:rPr>
        <w:t xml:space="preserve"> ، ج 16 ، ص 431</w:t>
      </w:r>
      <w:r>
        <w:rPr>
          <w:rtl/>
        </w:rPr>
        <w:t xml:space="preserve"> - </w:t>
      </w:r>
      <w:r w:rsidRPr="00132E65">
        <w:rPr>
          <w:rtl/>
        </w:rPr>
        <w:t>432.</w:t>
      </w:r>
    </w:p>
    <w:p w:rsidR="000C39D1" w:rsidRPr="00132E65" w:rsidRDefault="000C39D1" w:rsidP="00242766">
      <w:pPr>
        <w:pStyle w:val="libFootnote0"/>
        <w:rPr>
          <w:rtl/>
          <w:lang w:bidi="fa-IR"/>
        </w:rPr>
      </w:pPr>
      <w:r>
        <w:rPr>
          <w:rtl/>
        </w:rPr>
        <w:t>(10).</w:t>
      </w:r>
      <w:r w:rsidRPr="00132E65">
        <w:rPr>
          <w:rtl/>
        </w:rPr>
        <w:t xml:space="preserve"> في « ب ، ف ، ه‍ ، بف » و</w:t>
      </w:r>
      <w:r w:rsidRPr="009D1ACE">
        <w:rPr>
          <w:rStyle w:val="libFootnoteBoldChar"/>
          <w:rtl/>
        </w:rPr>
        <w:t>الوافي</w:t>
      </w:r>
      <w:r w:rsidRPr="00132E65">
        <w:rPr>
          <w:rtl/>
        </w:rPr>
        <w:t xml:space="preserve"> : « ولكنّه »</w:t>
      </w:r>
      <w:r>
        <w:rPr>
          <w:rtl/>
        </w:rPr>
        <w:t>.</w:t>
      </w:r>
    </w:p>
    <w:p w:rsidR="000C39D1" w:rsidRPr="00132E65" w:rsidRDefault="000C39D1" w:rsidP="000C39D1">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165 ، ح 13 ، عن عمران بن موسى</w:t>
      </w:r>
      <w:r>
        <w:rPr>
          <w:rFonts w:hint="cs"/>
          <w:rtl/>
        </w:rPr>
        <w:t>.</w:t>
      </w:r>
      <w:r w:rsidRPr="009D1ACE">
        <w:rPr>
          <w:rStyle w:val="libFootnoteBoldChar"/>
          <w:rtl/>
        </w:rPr>
        <w:t>الوافي</w:t>
      </w:r>
      <w:r w:rsidRPr="00132E65">
        <w:rPr>
          <w:rtl/>
        </w:rPr>
        <w:t xml:space="preserve"> ، ج 2 ، ص 345 ، ح 806.</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E47874">
        <w:rPr>
          <w:rtl/>
        </w:rPr>
        <w:t>791</w:t>
      </w:r>
      <w:r w:rsidRPr="004325D8">
        <w:rPr>
          <w:rStyle w:val="libBold2Char"/>
          <w:rtl/>
        </w:rPr>
        <w:t xml:space="preserve"> / 3.</w:t>
      </w:r>
      <w:r w:rsidRPr="00132E65">
        <w:rPr>
          <w:rtl/>
          <w:lang w:bidi="fa-IR"/>
        </w:rPr>
        <w:t xml:space="preserve"> مُحَمَّدُ بْنُ الْحَسَنِ ، عَنْ سَهْلٍ ، عَنْ مُحَمَّدِ بْنِ عِيسى ، عَنْ فَضَالَةَ بْنِ أَيُّوبَ ، عَنِ الْحُسَيْنِ بْنِ أَبِي الْعَلَاءِ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إِنَّ عُمَرَ بْنَ عَبْدِ الْعَزِيزِ كَتَبَ إِلَى ابْنِ حَزْمٍ : أَنْ يُرْسِلَ إِلَيْهِ بِصَدَقَةِ </w:t>
      </w:r>
      <w:r>
        <w:rPr>
          <w:rStyle w:val="libFootnotenumChar"/>
          <w:rtl/>
        </w:rPr>
        <w:t>(1)</w:t>
      </w:r>
      <w:r w:rsidRPr="00132E65">
        <w:rPr>
          <w:rtl/>
          <w:lang w:bidi="fa-IR"/>
        </w:rPr>
        <w:t xml:space="preserve"> عَلِيٍّ وعُمَرَ وعُثْمَانَ ، وإِنَّ </w:t>
      </w:r>
      <w:r>
        <w:rPr>
          <w:rStyle w:val="libFootnotenumChar"/>
          <w:rtl/>
        </w:rPr>
        <w:t>(2)</w:t>
      </w:r>
      <w:r w:rsidRPr="00132E65">
        <w:rPr>
          <w:rtl/>
          <w:lang w:bidi="fa-IR"/>
        </w:rPr>
        <w:t xml:space="preserve"> ابْنَ حَزْمٍ بَعَثَ إِلى زَيْدِ بْنِ الْحَسَنِ</w:t>
      </w:r>
      <w:r>
        <w:rPr>
          <w:rtl/>
          <w:lang w:bidi="fa-IR"/>
        </w:rPr>
        <w:t xml:space="preserve"> - </w:t>
      </w:r>
      <w:r w:rsidRPr="00132E65">
        <w:rPr>
          <w:rtl/>
          <w:lang w:bidi="fa-IR"/>
        </w:rPr>
        <w:t>وكَانَ أَكْبَرَهُمْ</w:t>
      </w:r>
      <w:r>
        <w:rPr>
          <w:rtl/>
          <w:lang w:bidi="fa-IR"/>
        </w:rPr>
        <w:t xml:space="preserve"> - </w:t>
      </w:r>
      <w:r w:rsidRPr="00132E65">
        <w:rPr>
          <w:rtl/>
          <w:lang w:bidi="fa-IR"/>
        </w:rPr>
        <w:t xml:space="preserve">فَسَأَلَهُ الصَّدَقَةَ ، فَقَالَ زَيْدٌ : إِنَّ الْوَالِيَ </w:t>
      </w:r>
      <w:r>
        <w:rPr>
          <w:rStyle w:val="libFootnotenumChar"/>
          <w:rtl/>
        </w:rPr>
        <w:t>(3)</w:t>
      </w:r>
      <w:r w:rsidRPr="00132E65">
        <w:rPr>
          <w:rtl/>
          <w:lang w:bidi="fa-IR"/>
        </w:rPr>
        <w:t xml:space="preserve"> كَانَ بَعْدَ عَلِيٍّ الْحَسَنَ ، وَبَعْدَ الْحَسَنِ الْحُسَيْنَ ، وبَعْدَ الْحُسَيْنِ عَلِيَّ بْنَ الْحُسَيْنِ ، وبَعْدَ عَلِيِّ بْنِ الْحُسَيْنِ مُحَمَّدَ بْنَ عَلِيٍّ </w:t>
      </w:r>
      <w:r w:rsidRPr="00071CF9">
        <w:rPr>
          <w:rStyle w:val="libAlaemChar"/>
          <w:rtl/>
        </w:rPr>
        <w:t>عليهم‌السلام</w:t>
      </w:r>
      <w:r w:rsidRPr="00132E65">
        <w:rPr>
          <w:rtl/>
          <w:lang w:bidi="fa-IR"/>
        </w:rPr>
        <w:t xml:space="preserve"> فَابْعَثْ إِلَيْهِ ؛ فَبَعَثَ ابْنُ حَزْمٍ إِلى أَبِي ، فَأَرْسَلَنِي أَبِي بِالْكِتَابِ إِلَيْهِ حَتّى دَفَعْتُهُ إِلَى ابْنِ حَزْمٍ »</w:t>
      </w:r>
      <w:r>
        <w:rPr>
          <w:rtl/>
          <w:lang w:bidi="fa-IR"/>
        </w:rPr>
        <w:t>.</w:t>
      </w:r>
    </w:p>
    <w:p w:rsidR="000C39D1" w:rsidRPr="00132E65" w:rsidRDefault="000C39D1" w:rsidP="000C39D1">
      <w:pPr>
        <w:pStyle w:val="libNormal"/>
        <w:rPr>
          <w:rtl/>
          <w:lang w:bidi="fa-IR"/>
        </w:rPr>
      </w:pPr>
      <w:r w:rsidRPr="00132E65">
        <w:rPr>
          <w:rtl/>
          <w:lang w:bidi="fa-IR"/>
        </w:rPr>
        <w:t xml:space="preserve">فَقَالَ لَهُ بَعْضُنَا </w:t>
      </w:r>
      <w:r>
        <w:rPr>
          <w:rStyle w:val="libFootnotenumChar"/>
          <w:rtl/>
        </w:rPr>
        <w:t>(4)</w:t>
      </w:r>
      <w:r w:rsidRPr="00132E65">
        <w:rPr>
          <w:rtl/>
          <w:lang w:bidi="fa-IR"/>
        </w:rPr>
        <w:t xml:space="preserve"> : يَعْرِفُ هذَا ولْدُ الْحَسَنِ</w:t>
      </w:r>
      <w:r>
        <w:rPr>
          <w:rtl/>
          <w:lang w:bidi="fa-IR"/>
        </w:rPr>
        <w:t>؟</w:t>
      </w:r>
    </w:p>
    <w:p w:rsidR="000C39D1" w:rsidRPr="00132E65" w:rsidRDefault="000C39D1" w:rsidP="000C39D1">
      <w:pPr>
        <w:pStyle w:val="libNormal"/>
        <w:rPr>
          <w:rtl/>
          <w:lang w:bidi="fa-IR"/>
        </w:rPr>
      </w:pPr>
      <w:r w:rsidRPr="00132E65">
        <w:rPr>
          <w:rtl/>
          <w:lang w:bidi="fa-IR"/>
        </w:rPr>
        <w:t xml:space="preserve">قَالَ : « نَعَمْ ، كَمَا يَعْرِفُونَ </w:t>
      </w:r>
      <w:r>
        <w:rPr>
          <w:rStyle w:val="libFootnotenumChar"/>
          <w:rtl/>
        </w:rPr>
        <w:t>(5)</w:t>
      </w:r>
      <w:r w:rsidRPr="00132E65">
        <w:rPr>
          <w:rtl/>
          <w:lang w:bidi="fa-IR"/>
        </w:rPr>
        <w:t xml:space="preserve"> أَنَّ هذَا لَيْلٌ ، ولكِنَّهُمْ </w:t>
      </w:r>
      <w:r>
        <w:rPr>
          <w:rStyle w:val="libFootnotenumChar"/>
          <w:rtl/>
        </w:rPr>
        <w:t>(6)</w:t>
      </w:r>
      <w:r w:rsidRPr="00132E65">
        <w:rPr>
          <w:rtl/>
          <w:lang w:bidi="fa-IR"/>
        </w:rPr>
        <w:t xml:space="preserve"> يَحْمِلُهُمُ </w:t>
      </w:r>
      <w:r>
        <w:rPr>
          <w:rStyle w:val="libFootnotenumChar"/>
          <w:rtl/>
        </w:rPr>
        <w:t>(7)</w:t>
      </w:r>
      <w:r w:rsidRPr="00132E65">
        <w:rPr>
          <w:rtl/>
          <w:lang w:bidi="fa-IR"/>
        </w:rPr>
        <w:t xml:space="preserve"> الْحَسَدُ ، ولَوْ طَلَبُوا الْحَقَّ بِالْحَقِّ </w:t>
      </w:r>
      <w:r>
        <w:rPr>
          <w:rStyle w:val="libFootnotenumChar"/>
          <w:rtl/>
        </w:rPr>
        <w:t>(8)</w:t>
      </w:r>
      <w:r w:rsidRPr="00132E65">
        <w:rPr>
          <w:rtl/>
          <w:lang w:bidi="fa-IR"/>
        </w:rPr>
        <w:t xml:space="preserve"> ، لَكَانَ خَيْراً لَهُمْ ، ولكِنَّهُمْ يَطْلُبُونَ الدُّنْيَا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E47874">
        <w:rPr>
          <w:rtl/>
        </w:rPr>
        <w:t>792</w:t>
      </w:r>
      <w:r w:rsidRPr="004325D8">
        <w:rPr>
          <w:rStyle w:val="libBold2Char"/>
          <w:rtl/>
        </w:rPr>
        <w:t xml:space="preserve"> / 4.</w:t>
      </w:r>
      <w:r w:rsidRPr="00132E65">
        <w:rPr>
          <w:rtl/>
          <w:lang w:bidi="fa-IR"/>
        </w:rPr>
        <w:t xml:space="preserve"> الْحُسَيْنُ بْنُ مُحَمَّدٍ ، عَنْ مُعَلَّى بْنِ مُحَمَّدٍ ، عَنِ الْحَسَنِ بْنِ عَلِيٍّ الْوَشَّاءِ ، عَنْ عَبْدِ الْكَرِيمِ بْنِ عَمْرٍو ، عَنِ ابْنِ أَبِي يَعْفُورٍ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بصدقة</w:t>
      </w:r>
      <w:r>
        <w:rPr>
          <w:rtl/>
        </w:rPr>
        <w:t xml:space="preserve"> ..</w:t>
      </w:r>
      <w:r w:rsidRPr="00132E65">
        <w:rPr>
          <w:rtl/>
        </w:rPr>
        <w:t>. ، أي بما وقفوا من أموالهم وحبسوه »</w:t>
      </w:r>
      <w:r>
        <w:rPr>
          <w:rtl/>
        </w:rPr>
        <w:t>.</w:t>
      </w:r>
    </w:p>
    <w:p w:rsidR="000C39D1" w:rsidRPr="00132E65" w:rsidRDefault="000C39D1" w:rsidP="00242766">
      <w:pPr>
        <w:pStyle w:val="libFootnote0"/>
        <w:rPr>
          <w:rtl/>
          <w:lang w:bidi="fa-IR"/>
        </w:rPr>
      </w:pPr>
      <w:r>
        <w:rPr>
          <w:rtl/>
        </w:rPr>
        <w:t>(2).</w:t>
      </w:r>
      <w:r w:rsidRPr="00132E65">
        <w:rPr>
          <w:rtl/>
        </w:rPr>
        <w:t xml:space="preserve"> في « ه‍ </w:t>
      </w:r>
      <w:r w:rsidR="00242766" w:rsidRPr="00132E65">
        <w:rPr>
          <w:rtl/>
        </w:rPr>
        <w:t>»</w:t>
      </w:r>
      <w:r w:rsidRPr="00132E65">
        <w:rPr>
          <w:rtl/>
        </w:rPr>
        <w:t xml:space="preserve">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إنّ الوالي ، يعني على الصدقات »</w:t>
      </w:r>
      <w:r>
        <w:rPr>
          <w:rtl/>
        </w:rPr>
        <w:t>.</w:t>
      </w:r>
      <w:r w:rsidRPr="00132E65">
        <w:rPr>
          <w:rtl/>
        </w:rPr>
        <w:t xml:space="preserve"> وفي </w:t>
      </w:r>
      <w:r w:rsidRPr="009D1ACE">
        <w:rPr>
          <w:rStyle w:val="libFootnoteBoldChar"/>
          <w:rtl/>
        </w:rPr>
        <w:t>مرآة العقول</w:t>
      </w:r>
      <w:r w:rsidRPr="00132E65">
        <w:rPr>
          <w:rtl/>
        </w:rPr>
        <w:t xml:space="preserve"> : « وفي بعض النسخ : الوليّ ، أي متولّي تلك‌الصدقات ، أو المتولّي لجميع الا</w:t>
      </w:r>
      <w:r>
        <w:rPr>
          <w:rFonts w:hint="cs"/>
          <w:rtl/>
        </w:rPr>
        <w:t>ُ</w:t>
      </w:r>
      <w:r w:rsidRPr="00132E65">
        <w:rPr>
          <w:rtl/>
        </w:rPr>
        <w:t>مور المتعلّقة بهم ، من الخلافة وتولية الأوقاف وغيرها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E47874">
        <w:rPr>
          <w:rtl/>
        </w:rPr>
        <w:t>شرح المازندراني</w:t>
      </w:r>
      <w:r w:rsidRPr="00132E65">
        <w:rPr>
          <w:rtl/>
        </w:rPr>
        <w:t xml:space="preserve"> : « قوله : فقال له بعضنا ، كلام الحسين بن أبي العلاء ، وضمير « له » لأبي عبد الله </w:t>
      </w:r>
      <w:r w:rsidRPr="002C0D1D">
        <w:rPr>
          <w:rStyle w:val="libFootnoteAlaemChar"/>
          <w:rtl/>
        </w:rPr>
        <w:t>عليه‌السلام</w:t>
      </w:r>
      <w:r w:rsidRPr="00132E65">
        <w:rPr>
          <w:rtl/>
        </w:rPr>
        <w:t xml:space="preserve"> ، وهذا إشارة إلى ما ذكره زيد بن الحسن ، أو إلى كون الوالي هؤلاء. والمآل واحد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ج ، ف ، ه‍ ، بح » : « تعرفون »</w:t>
            </w:r>
            <w:r>
              <w:rPr>
                <w:rtl/>
              </w:rPr>
              <w:t>.</w:t>
            </w:r>
          </w:p>
        </w:tc>
        <w:tc>
          <w:tcPr>
            <w:tcW w:w="4006" w:type="dxa"/>
          </w:tcPr>
          <w:p w:rsidR="000C39D1" w:rsidRDefault="000C39D1" w:rsidP="00B53873">
            <w:pPr>
              <w:pStyle w:val="libFootnote0"/>
              <w:rPr>
                <w:rtl/>
              </w:rPr>
            </w:pPr>
            <w:r>
              <w:rPr>
                <w:rtl/>
              </w:rPr>
              <w:t>(6).</w:t>
            </w:r>
            <w:r w:rsidRPr="00132E65">
              <w:rPr>
                <w:rtl/>
              </w:rPr>
              <w:t xml:space="preserve"> في « ه‍ » : « ولكن »</w:t>
            </w:r>
            <w:r>
              <w:rPr>
                <w:rtl/>
              </w:rPr>
              <w:t>.</w:t>
            </w:r>
          </w:p>
        </w:tc>
      </w:tr>
    </w:tbl>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ولكن غلبهم » بدل « ولكنّهم يحملهم »</w:t>
      </w:r>
      <w:r>
        <w:rPr>
          <w:rtl/>
        </w:rPr>
        <w:t>.</w:t>
      </w:r>
    </w:p>
    <w:p w:rsidR="000C39D1" w:rsidRPr="00132E65" w:rsidRDefault="000C39D1" w:rsidP="000C39D1">
      <w:pPr>
        <w:pStyle w:val="libFootnote0"/>
        <w:rPr>
          <w:rtl/>
          <w:lang w:bidi="fa-IR"/>
        </w:rPr>
      </w:pPr>
      <w:r>
        <w:rPr>
          <w:rtl/>
        </w:rPr>
        <w:t>(8).</w:t>
      </w:r>
      <w:r w:rsidRPr="00132E65">
        <w:rPr>
          <w:rtl/>
        </w:rPr>
        <w:t xml:space="preserve"> في « بر » </w:t>
      </w:r>
      <w:r>
        <w:rPr>
          <w:rtl/>
        </w:rPr>
        <w:t xml:space="preserve">: - </w:t>
      </w:r>
      <w:r w:rsidRPr="00132E65">
        <w:rPr>
          <w:rtl/>
        </w:rPr>
        <w:t>« بالحقّ »</w:t>
      </w:r>
      <w:r>
        <w:rPr>
          <w:rtl/>
        </w:rPr>
        <w:t>.</w:t>
      </w:r>
    </w:p>
    <w:p w:rsidR="000C39D1" w:rsidRPr="00132E65" w:rsidRDefault="000C39D1" w:rsidP="000C39D1">
      <w:pPr>
        <w:pStyle w:val="libFootnote0"/>
        <w:rPr>
          <w:rtl/>
          <w:lang w:bidi="fa-IR"/>
        </w:rPr>
      </w:pPr>
      <w:r>
        <w:rPr>
          <w:rtl/>
        </w:rPr>
        <w:t>(9).</w:t>
      </w:r>
      <w:r w:rsidRPr="00132E65">
        <w:rPr>
          <w:rtl/>
        </w:rPr>
        <w:t xml:space="preserve"> راجع : </w:t>
      </w:r>
      <w:r w:rsidRPr="000577A7">
        <w:rPr>
          <w:rStyle w:val="libFootnoteBoldChar"/>
          <w:rtl/>
        </w:rPr>
        <w:t>الكافي</w:t>
      </w:r>
      <w:r w:rsidRPr="00132E65">
        <w:rPr>
          <w:rtl/>
        </w:rPr>
        <w:t xml:space="preserve"> ، كتاب الحجّة ، باب فيه ذكر الصحيفة والجفر</w:t>
      </w:r>
      <w:r>
        <w:rPr>
          <w:rtl/>
        </w:rPr>
        <w:t xml:space="preserve"> ..</w:t>
      </w:r>
      <w:r w:rsidRPr="00132E65">
        <w:rPr>
          <w:rtl/>
        </w:rPr>
        <w:t>. ، ح 639 ومصادره</w:t>
      </w:r>
      <w:r>
        <w:rPr>
          <w:rFonts w:hint="cs"/>
          <w:rtl/>
        </w:rPr>
        <w:t>.</w:t>
      </w:r>
      <w:r w:rsidRPr="009D1ACE">
        <w:rPr>
          <w:rStyle w:val="libFootnoteBoldChar"/>
          <w:rtl/>
        </w:rPr>
        <w:t>الوافي</w:t>
      </w:r>
      <w:r w:rsidRPr="00132E65">
        <w:rPr>
          <w:rtl/>
        </w:rPr>
        <w:t xml:space="preserve"> ، ج 2 ، ص 345 ، ح 807.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عُمَرَ بْنَ عَبْدِ الْعَزِيزِ كَتَبَ إِلَى ابْنِ حَزْم</w:t>
      </w:r>
      <w:r>
        <w:rPr>
          <w:rtl/>
          <w:lang w:bidi="fa-IR"/>
        </w:rPr>
        <w:t>ٍ » ثُمَّ ذَكَرَ مِثْلَهُ إِل</w:t>
      </w:r>
      <w:r>
        <w:rPr>
          <w:rFonts w:hint="cs"/>
          <w:rtl/>
          <w:lang w:bidi="fa-IR"/>
        </w:rPr>
        <w:t>َّ</w:t>
      </w:r>
      <w:r>
        <w:rPr>
          <w:rtl/>
          <w:lang w:bidi="fa-IR"/>
        </w:rPr>
        <w:t>ا</w:t>
      </w:r>
      <w:r w:rsidRPr="00132E65">
        <w:rPr>
          <w:rtl/>
          <w:lang w:bidi="fa-IR"/>
        </w:rPr>
        <w:t xml:space="preserve"> أَنَّهُ قَالَ : « بَعَثَ ابْنُ حَزْمٍ إِلى زَيْدِ بْنِ الْحَسَنِ وكَانَ أَكْبَرَ مِنْ أَبِي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w:t>
      </w:r>
    </w:p>
    <w:p w:rsidR="000C39D1" w:rsidRPr="00132E65" w:rsidRDefault="000C39D1" w:rsidP="000C39D1">
      <w:pPr>
        <w:pStyle w:val="libNormal"/>
        <w:rPr>
          <w:rtl/>
          <w:lang w:bidi="fa-IR"/>
        </w:rPr>
      </w:pPr>
      <w:r>
        <w:rPr>
          <w:rFonts w:hint="cs"/>
          <w:rtl/>
          <w:lang w:bidi="fa-IR"/>
        </w:rPr>
        <w:t xml:space="preserve">* </w:t>
      </w:r>
      <w:r w:rsidRPr="00132E65">
        <w:rPr>
          <w:rtl/>
          <w:lang w:bidi="fa-IR"/>
        </w:rPr>
        <w:t>عِدَّةٌ مِنْ أَصْحَابِنَا ، عَنْ أَحْمَدَ بْنِ مُحَمَّدٍ ، عَنِ الْوَشَّاءِ مِثْلَهُ.</w:t>
      </w:r>
    </w:p>
    <w:p w:rsidR="000C39D1" w:rsidRPr="006450A5" w:rsidRDefault="000C39D1" w:rsidP="000C39D1">
      <w:pPr>
        <w:pStyle w:val="Heading2Center"/>
        <w:rPr>
          <w:rtl/>
        </w:rPr>
      </w:pPr>
      <w:bookmarkStart w:id="18" w:name="_Toc459459097"/>
      <w:bookmarkStart w:id="19" w:name="_Toc34663066"/>
      <w:r w:rsidRPr="006450A5">
        <w:rPr>
          <w:rtl/>
        </w:rPr>
        <w:t xml:space="preserve">70 </w:t>
      </w:r>
      <w:r>
        <w:rPr>
          <w:rtl/>
        </w:rPr>
        <w:t>-</w:t>
      </w:r>
      <w:r w:rsidRPr="006450A5">
        <w:rPr>
          <w:rtl/>
        </w:rPr>
        <w:t xml:space="preserve"> بَابُ الْإِشَارَةِ والنَّصِّ عَلى أَبِي عَبْدِ اللهِ</w:t>
      </w:r>
      <w:bookmarkEnd w:id="18"/>
      <w:bookmarkEnd w:id="19"/>
      <w:r w:rsidRPr="006450A5">
        <w:rPr>
          <w:rtl/>
        </w:rPr>
        <w:t xml:space="preserve"> </w:t>
      </w:r>
    </w:p>
    <w:p w:rsidR="000C39D1" w:rsidRPr="006450A5" w:rsidRDefault="000C39D1" w:rsidP="000C39D1">
      <w:pPr>
        <w:pStyle w:val="Heading2Center"/>
        <w:rPr>
          <w:rtl/>
        </w:rPr>
      </w:pPr>
      <w:bookmarkStart w:id="20" w:name="_Toc459455079"/>
      <w:bookmarkStart w:id="21" w:name="_Toc459459098"/>
      <w:bookmarkStart w:id="22" w:name="_Toc34663067"/>
      <w:r w:rsidRPr="006450A5">
        <w:rPr>
          <w:rtl/>
        </w:rPr>
        <w:t>جَعْفَرِ بْنِ مُحَمَّدٍ الصَّادِقِ صَلَوَاتُ اللهِ عَلَيْهِمَا‌</w:t>
      </w:r>
      <w:bookmarkEnd w:id="20"/>
      <w:bookmarkEnd w:id="21"/>
      <w:bookmarkEnd w:id="22"/>
    </w:p>
    <w:p w:rsidR="000C39D1" w:rsidRPr="00132E65" w:rsidRDefault="000C39D1" w:rsidP="000C39D1">
      <w:pPr>
        <w:pStyle w:val="libNormal"/>
        <w:rPr>
          <w:rtl/>
          <w:lang w:bidi="fa-IR"/>
        </w:rPr>
      </w:pPr>
      <w:r w:rsidRPr="00E47874">
        <w:rPr>
          <w:rtl/>
        </w:rPr>
        <w:t>793</w:t>
      </w:r>
      <w:r w:rsidRPr="004325D8">
        <w:rPr>
          <w:rStyle w:val="libBold2Char"/>
          <w:rtl/>
        </w:rPr>
        <w:t xml:space="preserve"> / 1.</w:t>
      </w:r>
      <w:r w:rsidRPr="00132E65">
        <w:rPr>
          <w:rtl/>
          <w:lang w:bidi="fa-IR"/>
        </w:rPr>
        <w:t xml:space="preserve"> الْحُسَيْنُ بْنُ مُحَمَّدٍ ، عَنْ مُعَلَّى بْنِ مُحَمَّدٍ ، عَنِ الْوَشَّاءِ ، عَنْ أَبَانِ بْنِ عُثْمَانَ ، عَنْ أَبِي الصَّبَّاحِ الْكِنَانِيِّ </w:t>
      </w:r>
      <w:r>
        <w:rPr>
          <w:rStyle w:val="libFootnotenumChar"/>
          <w:rtl/>
        </w:rPr>
        <w:t>(2)</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نَظَرَ أَبُو جَعْفَرٍ </w:t>
      </w:r>
      <w:r w:rsidRPr="00071CF9">
        <w:rPr>
          <w:rStyle w:val="libAlaemChar"/>
          <w:rtl/>
        </w:rPr>
        <w:t>عليه‌السلام</w:t>
      </w:r>
      <w:r w:rsidRPr="00132E65">
        <w:rPr>
          <w:rtl/>
          <w:lang w:bidi="fa-IR"/>
        </w:rPr>
        <w:t xml:space="preserve"> إِلى أَبِي عَبْدِ اللهِ </w:t>
      </w:r>
      <w:r w:rsidRPr="00071CF9">
        <w:rPr>
          <w:rStyle w:val="libAlaemChar"/>
          <w:rtl/>
        </w:rPr>
        <w:t>عليه‌السلام</w:t>
      </w:r>
      <w:r w:rsidRPr="00132E65">
        <w:rPr>
          <w:rtl/>
          <w:lang w:bidi="fa-IR"/>
        </w:rPr>
        <w:t xml:space="preserve"> يَمْشِي ، فَقَالَ : « تَرى هذَا</w:t>
      </w:r>
      <w:r>
        <w:rPr>
          <w:rtl/>
          <w:lang w:bidi="fa-IR"/>
        </w:rPr>
        <w:t>؟</w:t>
      </w:r>
      <w:r w:rsidRPr="00132E65">
        <w:rPr>
          <w:rtl/>
          <w:lang w:bidi="fa-IR"/>
        </w:rPr>
        <w:t xml:space="preserve"> هذَا مِنَ الَّذِينَ قَالَ اللهُ عَزَّ وجَلَّ : </w:t>
      </w:r>
      <w:r w:rsidRPr="00071CF9">
        <w:rPr>
          <w:rStyle w:val="libAlaemChar"/>
          <w:rtl/>
        </w:rPr>
        <w:t>(</w:t>
      </w:r>
      <w:r w:rsidRPr="00071CF9">
        <w:rPr>
          <w:rStyle w:val="libAieChar"/>
          <w:rtl/>
        </w:rPr>
        <w:t xml:space="preserve"> وَنُرِيدُ أَنْ نَمُنَّ عَلَى الَّذِينَ اسْتُضْعِفُوا فِي الْأَرْضِ وَنَجْعَلَهُمْ أَئِمَّةً وَنَجْعَلَهُمُ الْوارِثِينَ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r>
        <w:rPr>
          <w:rStyle w:val="libFootnotenumChar"/>
          <w:rtl/>
        </w:rPr>
        <w:t>(4)</w:t>
      </w:r>
    </w:p>
    <w:p w:rsidR="000C39D1" w:rsidRPr="00132E65" w:rsidRDefault="000C39D1" w:rsidP="000C39D1">
      <w:pPr>
        <w:pStyle w:val="libNormal"/>
        <w:rPr>
          <w:rtl/>
          <w:lang w:bidi="fa-IR"/>
        </w:rPr>
      </w:pPr>
      <w:r w:rsidRPr="00E47874">
        <w:rPr>
          <w:rtl/>
        </w:rPr>
        <w:t>794</w:t>
      </w:r>
      <w:r w:rsidRPr="004325D8">
        <w:rPr>
          <w:rStyle w:val="libBold2Char"/>
          <w:rtl/>
        </w:rPr>
        <w:t xml:space="preserve"> / 2.</w:t>
      </w:r>
      <w:r w:rsidRPr="00132E65">
        <w:rPr>
          <w:rtl/>
          <w:lang w:bidi="fa-IR"/>
        </w:rPr>
        <w:t xml:space="preserve"> مُحَمَّدُ بْنُ يَحْيى ، عَنْ أَحْمَدَ بْنِ مُحَمَّدٍ ، عَنِ ابْنِ أَبِي عُمَيْرٍ ، عَنْ هِشَامِ بْنِ سَالِمٍ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حَضَرَتْ أَبِي </w:t>
      </w:r>
      <w:r w:rsidRPr="00071CF9">
        <w:rPr>
          <w:rStyle w:val="libAlaemChar"/>
          <w:rtl/>
        </w:rPr>
        <w:t>عليه‌السلام</w:t>
      </w:r>
      <w:r w:rsidRPr="00132E65">
        <w:rPr>
          <w:rtl/>
          <w:lang w:bidi="fa-IR"/>
        </w:rPr>
        <w:t xml:space="preserve"> الْوَفَاةُ ، قَالَ : يَا جَعْفَرُ ، أُوصِيكَ بِأَصْحَابِي خَيْراً ، قُلْتُ : جُعِلْتُ فِدَاكَ ، واللهِ لَأَدَعَنَّهُمْ </w:t>
      </w:r>
      <w:r>
        <w:rPr>
          <w:rStyle w:val="libFootnotenumChar"/>
          <w:rtl/>
        </w:rPr>
        <w:t>(5)</w:t>
      </w:r>
      <w:r w:rsidRPr="00132E65">
        <w:rPr>
          <w:rtl/>
          <w:lang w:bidi="fa-IR"/>
        </w:rPr>
        <w:t xml:space="preserve"> والرَّجُلُ مِنْهُمْ يَكُونُ </w:t>
      </w:r>
      <w:r>
        <w:rPr>
          <w:rStyle w:val="libFootnotenumChar"/>
          <w:rtl/>
        </w:rPr>
        <w:t>(6)</w:t>
      </w:r>
      <w:r w:rsidRPr="00132E65">
        <w:rPr>
          <w:rtl/>
          <w:lang w:bidi="fa-IR"/>
        </w:rPr>
        <w:t xml:space="preserve"> فِي الْ</w:t>
      </w:r>
      <w:r w:rsidR="00242766">
        <w:rPr>
          <w:rtl/>
          <w:lang w:bidi="fa-IR"/>
        </w:rPr>
        <w:t>مِصْرِ ، فَلَا يَسْأَلُ أَحَداً</w:t>
      </w:r>
      <w:r w:rsidRPr="00132E65">
        <w:rPr>
          <w:rtl/>
          <w:lang w:bidi="fa-IR"/>
        </w:rPr>
        <w:t>»</w:t>
      </w:r>
      <w:r>
        <w:rPr>
          <w:rtl/>
          <w:lang w:bidi="fa-IR"/>
        </w:rPr>
        <w:t>.</w:t>
      </w:r>
      <w:r>
        <w:rPr>
          <w:rStyle w:val="libFootnotenumChar"/>
          <w:rtl/>
        </w:rPr>
        <w:t>(7)</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w:t>
            </w:r>
            <w:r w:rsidRPr="009D1ACE">
              <w:rPr>
                <w:rStyle w:val="libFootnoteBoldChar"/>
                <w:rtl/>
              </w:rPr>
              <w:t>الوافي</w:t>
            </w:r>
            <w:r w:rsidRPr="00132E65">
              <w:rPr>
                <w:rtl/>
              </w:rPr>
              <w:t xml:space="preserve"> ، ج 2 ، ص 346 ، ح 808.</w:t>
            </w:r>
          </w:p>
        </w:tc>
        <w:tc>
          <w:tcPr>
            <w:tcW w:w="4006" w:type="dxa"/>
          </w:tcPr>
          <w:p w:rsidR="000C39D1" w:rsidRDefault="000C39D1" w:rsidP="00B53873">
            <w:pPr>
              <w:pStyle w:val="libFootnote0"/>
              <w:rPr>
                <w:rtl/>
              </w:rPr>
            </w:pPr>
            <w:r>
              <w:rPr>
                <w:rtl/>
              </w:rPr>
              <w:t>(2).</w:t>
            </w:r>
            <w:r w:rsidRPr="00132E65">
              <w:rPr>
                <w:rtl/>
              </w:rPr>
              <w:t xml:space="preserve"> في « ه‍ » </w:t>
            </w:r>
            <w:r>
              <w:rPr>
                <w:rtl/>
              </w:rPr>
              <w:t xml:space="preserve">: - </w:t>
            </w:r>
            <w:r w:rsidRPr="00132E65">
              <w:rPr>
                <w:rtl/>
              </w:rPr>
              <w:t>« الكناني »</w:t>
            </w:r>
            <w:r>
              <w:rPr>
                <w:rtl/>
              </w:rPr>
              <w:t>.</w:t>
            </w:r>
          </w:p>
        </w:tc>
      </w:tr>
    </w:tbl>
    <w:p w:rsidR="000C39D1" w:rsidRPr="00132E65" w:rsidRDefault="000C39D1" w:rsidP="000C39D1">
      <w:pPr>
        <w:pStyle w:val="libFootnote0"/>
        <w:rPr>
          <w:rtl/>
          <w:lang w:bidi="fa-IR"/>
        </w:rPr>
      </w:pPr>
      <w:r>
        <w:rPr>
          <w:rtl/>
        </w:rPr>
        <w:t>(3).</w:t>
      </w:r>
      <w:r w:rsidRPr="00132E65">
        <w:rPr>
          <w:rtl/>
        </w:rPr>
        <w:t xml:space="preserve"> القصص (28) : 5.</w:t>
      </w:r>
    </w:p>
    <w:p w:rsidR="000C39D1" w:rsidRPr="00132E65" w:rsidRDefault="000C39D1" w:rsidP="000C39D1">
      <w:pPr>
        <w:pStyle w:val="libFootnote0"/>
        <w:rPr>
          <w:rtl/>
          <w:lang w:bidi="fa-IR"/>
        </w:rPr>
      </w:pPr>
      <w:r>
        <w:rPr>
          <w:rtl/>
        </w:rPr>
        <w:t>(4).</w:t>
      </w:r>
      <w:r w:rsidRPr="00132E65">
        <w:rPr>
          <w:rtl/>
        </w:rPr>
        <w:t xml:space="preserve"> </w:t>
      </w:r>
      <w:r w:rsidRPr="00E47874">
        <w:rPr>
          <w:rtl/>
        </w:rPr>
        <w:t>الإرشاد</w:t>
      </w:r>
      <w:r w:rsidRPr="00132E65">
        <w:rPr>
          <w:rtl/>
        </w:rPr>
        <w:t xml:space="preserve"> ، ج 2 ، ص 180 ، عن أبان بن عثمان</w:t>
      </w:r>
      <w:r>
        <w:rPr>
          <w:rFonts w:hint="cs"/>
          <w:rtl/>
        </w:rPr>
        <w:t>.</w:t>
      </w:r>
      <w:r w:rsidRPr="009D1ACE">
        <w:rPr>
          <w:rStyle w:val="libFootnoteBoldChar"/>
          <w:rtl/>
        </w:rPr>
        <w:t>الوافي</w:t>
      </w:r>
      <w:r w:rsidRPr="00132E65">
        <w:rPr>
          <w:rtl/>
        </w:rPr>
        <w:t xml:space="preserve"> ، ج 2 ، ص 347 ، ح 809.</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لأدعنّهم ، أي لأتركنّهم علماء أغنياء ، لايحتاجون إلى أحد في السؤال » وفي </w:t>
      </w:r>
      <w:r w:rsidRPr="00E47874">
        <w:rPr>
          <w:rtl/>
        </w:rPr>
        <w:t>شرح المازندراني</w:t>
      </w:r>
      <w:r w:rsidRPr="00132E65">
        <w:rPr>
          <w:rtl/>
        </w:rPr>
        <w:t xml:space="preserve"> ، ج 6 ، ص 158 : « وفي بعض النسخ : لأرْعَنَّهُم ، بسكون الراء من الرعاية »</w:t>
      </w:r>
      <w:r>
        <w:rPr>
          <w:rtl/>
        </w:rPr>
        <w:t>.</w:t>
      </w:r>
    </w:p>
    <w:p w:rsidR="000C39D1" w:rsidRPr="00132E65" w:rsidRDefault="000C39D1" w:rsidP="000C39D1">
      <w:pPr>
        <w:pStyle w:val="libFootnote0"/>
        <w:rPr>
          <w:rtl/>
          <w:lang w:bidi="fa-IR"/>
        </w:rPr>
      </w:pPr>
      <w:r>
        <w:rPr>
          <w:rtl/>
        </w:rPr>
        <w:t>(6).</w:t>
      </w:r>
      <w:r w:rsidRPr="00132E65">
        <w:rPr>
          <w:rtl/>
        </w:rPr>
        <w:t xml:space="preserve"> في « ج ، ض ، ف ، ه‍ ، بر ، بس ، بف » و</w:t>
      </w:r>
      <w:r w:rsidRPr="009D1ACE">
        <w:rPr>
          <w:rStyle w:val="libFootnoteBoldChar"/>
          <w:rtl/>
        </w:rPr>
        <w:t>الوافي</w:t>
      </w:r>
      <w:r w:rsidRPr="00132E65">
        <w:rPr>
          <w:rtl/>
        </w:rPr>
        <w:t xml:space="preserve"> : « يكون منهم »</w:t>
      </w:r>
      <w:r>
        <w:rPr>
          <w:rtl/>
        </w:rPr>
        <w:t>.</w:t>
      </w:r>
    </w:p>
    <w:p w:rsidR="000C39D1" w:rsidRPr="00132E65" w:rsidRDefault="000C39D1" w:rsidP="000C39D1">
      <w:pPr>
        <w:pStyle w:val="libFootnote0"/>
        <w:rPr>
          <w:rtl/>
          <w:lang w:bidi="fa-IR"/>
        </w:rPr>
      </w:pPr>
      <w:r>
        <w:rPr>
          <w:rtl/>
        </w:rPr>
        <w:t>(7).</w:t>
      </w:r>
      <w:r w:rsidRPr="00132E65">
        <w:rPr>
          <w:rtl/>
        </w:rPr>
        <w:t xml:space="preserve"> </w:t>
      </w:r>
      <w:r w:rsidRPr="00E47874">
        <w:rPr>
          <w:rtl/>
        </w:rPr>
        <w:t>الإرشاد</w:t>
      </w:r>
      <w:r w:rsidRPr="00132E65">
        <w:rPr>
          <w:rtl/>
        </w:rPr>
        <w:t xml:space="preserve"> ، ج 2 ، ص 180 ، بسنده عن محمّد بن أبي عمير</w:t>
      </w:r>
      <w:r>
        <w:rPr>
          <w:rFonts w:hint="cs"/>
          <w:rtl/>
        </w:rPr>
        <w:t>.</w:t>
      </w:r>
      <w:r w:rsidRPr="009D1ACE">
        <w:rPr>
          <w:rStyle w:val="libFootnoteBoldChar"/>
          <w:rtl/>
        </w:rPr>
        <w:t>الوافي</w:t>
      </w:r>
      <w:r w:rsidRPr="00132E65">
        <w:rPr>
          <w:rtl/>
        </w:rPr>
        <w:t xml:space="preserve"> ، ج 2 ، ص 347 ، ح 810.</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243115">
        <w:rPr>
          <w:rtl/>
        </w:rPr>
        <w:t>795</w:t>
      </w:r>
      <w:r w:rsidRPr="004325D8">
        <w:rPr>
          <w:rStyle w:val="libBold2Char"/>
          <w:rtl/>
        </w:rPr>
        <w:t xml:space="preserve"> / 3.</w:t>
      </w:r>
      <w:r w:rsidRPr="00132E65">
        <w:rPr>
          <w:rtl/>
          <w:lang w:bidi="fa-IR"/>
        </w:rPr>
        <w:t xml:space="preserve"> عَلِيُّ بْنُ إِبْرَاهِيمَ ، عَنْ أَبِيهِ ، عَنِ ابْنِ أَبِي عُمَيْرٍ ، عَنْ هِشَامِ بْنِ الْمُثَنّى ، عَنْ سَدِيرٍ الصَّيْرَفِيِّ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إِنَّ مِنْ سَعَادَةِ الرَّجُلِ أَنْ يَكُونَ لَهُ الْوَلَدُ يَعْرِفُ فِيهِ شِبْهَ </w:t>
      </w:r>
      <w:r>
        <w:rPr>
          <w:rStyle w:val="libFootnotenumChar"/>
          <w:rtl/>
        </w:rPr>
        <w:t>(1)</w:t>
      </w:r>
      <w:r w:rsidRPr="00132E65">
        <w:rPr>
          <w:rtl/>
          <w:lang w:bidi="fa-IR"/>
        </w:rPr>
        <w:t xml:space="preserve"> خَلْقِهِ وخُلُقِهِ </w:t>
      </w:r>
      <w:r>
        <w:rPr>
          <w:rStyle w:val="libFootnotenumChar"/>
          <w:rtl/>
        </w:rPr>
        <w:t>(2)</w:t>
      </w:r>
      <w:r w:rsidRPr="00132E65">
        <w:rPr>
          <w:rtl/>
          <w:lang w:bidi="fa-IR"/>
        </w:rPr>
        <w:t xml:space="preserve"> وشَمَائِلِهِ </w:t>
      </w:r>
      <w:r>
        <w:rPr>
          <w:rStyle w:val="libFootnotenumChar"/>
          <w:rtl/>
        </w:rPr>
        <w:t>(3)</w:t>
      </w:r>
      <w:r w:rsidRPr="00132E65">
        <w:rPr>
          <w:rtl/>
          <w:lang w:bidi="fa-IR"/>
        </w:rPr>
        <w:t xml:space="preserve"> ، وإِنِّي لَأَعْرِفُ مِنِ ابْنِي هذَا شِبْهَ خَلْقِي وخُلُقِي وَشَمَائِلِي » يَعْنِي أَبَا عَبْدِ اللهِ </w:t>
      </w:r>
      <w:r w:rsidRPr="00071CF9">
        <w:rPr>
          <w:rStyle w:val="libAlaemChar"/>
          <w:rtl/>
        </w:rPr>
        <w:t>عليه‌السلام</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243115">
        <w:rPr>
          <w:rtl/>
        </w:rPr>
        <w:t>796</w:t>
      </w:r>
      <w:r w:rsidRPr="004325D8">
        <w:rPr>
          <w:rStyle w:val="libBold2Char"/>
          <w:rtl/>
        </w:rPr>
        <w:t xml:space="preserve"> / 4.</w:t>
      </w:r>
      <w:r w:rsidRPr="00132E65">
        <w:rPr>
          <w:rtl/>
          <w:lang w:bidi="fa-IR"/>
        </w:rPr>
        <w:t xml:space="preserve"> عِدَّةٌ مِنْ أَصْحَابِنَا ، عَنْ أَحْمَدَ بْنِ مُحَمَّدٍ ، عَنْ عَلِيِّ بْنِ الْحَكَمِ ، عَنْ طَاهِرٍ ، قَالَ :</w:t>
      </w:r>
    </w:p>
    <w:p w:rsidR="000C39D1" w:rsidRPr="00132E65" w:rsidRDefault="000C39D1" w:rsidP="00242766">
      <w:pPr>
        <w:pStyle w:val="libNormal"/>
        <w:rPr>
          <w:rtl/>
          <w:lang w:bidi="fa-IR"/>
        </w:rPr>
      </w:pPr>
      <w:r w:rsidRPr="00132E65">
        <w:rPr>
          <w:rtl/>
          <w:lang w:bidi="fa-IR"/>
        </w:rPr>
        <w:t xml:space="preserve">كُنْتُ عِنْدَ أَبِي جَعْفَرٍ </w:t>
      </w:r>
      <w:r w:rsidR="00242766" w:rsidRPr="00071CF9">
        <w:rPr>
          <w:rStyle w:val="libAlaemChar"/>
          <w:rtl/>
        </w:rPr>
        <w:t>عليه‌السلام</w:t>
      </w:r>
      <w:r w:rsidR="00242766" w:rsidRPr="00132E65">
        <w:rPr>
          <w:rtl/>
          <w:lang w:bidi="fa-IR"/>
        </w:rPr>
        <w:t xml:space="preserve"> </w:t>
      </w:r>
      <w:r w:rsidRPr="00132E65">
        <w:rPr>
          <w:rtl/>
          <w:lang w:bidi="fa-IR"/>
        </w:rPr>
        <w:t xml:space="preserve">، فَأَقْبَلَ جَعْفَرٌ </w:t>
      </w:r>
      <w:r w:rsidRPr="00071CF9">
        <w:rPr>
          <w:rStyle w:val="libAlaemChar"/>
          <w:rtl/>
        </w:rPr>
        <w:t>عليه‌السلام</w:t>
      </w:r>
      <w:r w:rsidRPr="00132E65">
        <w:rPr>
          <w:rtl/>
          <w:lang w:bidi="fa-IR"/>
        </w:rPr>
        <w:t xml:space="preserve"> ، فَقَالَ أَبُو جَعْفَرٍ </w:t>
      </w:r>
      <w:r w:rsidRPr="00071CF9">
        <w:rPr>
          <w:rStyle w:val="libAlaemChar"/>
          <w:rtl/>
        </w:rPr>
        <w:t>عليه‌السلام</w:t>
      </w:r>
      <w:r w:rsidRPr="00132E65">
        <w:rPr>
          <w:rtl/>
          <w:lang w:bidi="fa-IR"/>
        </w:rPr>
        <w:t xml:space="preserve"> : « هذَا خَيْرُ الْبَرِيَّةِ</w:t>
      </w:r>
      <w:r>
        <w:rPr>
          <w:rtl/>
          <w:lang w:bidi="fa-IR"/>
        </w:rPr>
        <w:t xml:space="preserve"> - </w:t>
      </w:r>
      <w:r w:rsidRPr="00132E65">
        <w:rPr>
          <w:rtl/>
          <w:lang w:bidi="fa-IR"/>
        </w:rPr>
        <w:t xml:space="preserve">أَوْ أَخْيَرُ </w:t>
      </w:r>
      <w:r>
        <w:rPr>
          <w:rStyle w:val="libFootnotenumChar"/>
          <w:rtl/>
        </w:rPr>
        <w:t>(5)</w:t>
      </w:r>
      <w:r>
        <w:rPr>
          <w:rtl/>
          <w:lang w:bidi="fa-IR"/>
        </w:rPr>
        <w:t xml:space="preserve"> - </w:t>
      </w:r>
      <w:r w:rsidRPr="00132E65">
        <w:rPr>
          <w:rtl/>
          <w:lang w:bidi="fa-IR"/>
        </w:rPr>
        <w:t>»</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243115">
        <w:rPr>
          <w:rtl/>
        </w:rPr>
        <w:t>797</w:t>
      </w:r>
      <w:r w:rsidRPr="004325D8">
        <w:rPr>
          <w:rStyle w:val="libBold2Char"/>
          <w:rtl/>
        </w:rPr>
        <w:t xml:space="preserve"> / 5.</w:t>
      </w:r>
      <w:r w:rsidRPr="00132E65">
        <w:rPr>
          <w:rtl/>
          <w:lang w:bidi="fa-IR"/>
        </w:rPr>
        <w:t xml:space="preserve"> أَحْمَدُ بْنُ مُحَمَّدٍ </w:t>
      </w:r>
      <w:r>
        <w:rPr>
          <w:rStyle w:val="libFootnotenumChar"/>
          <w:rtl/>
        </w:rPr>
        <w:t>(7)</w:t>
      </w:r>
      <w:r w:rsidRPr="00132E65">
        <w:rPr>
          <w:rtl/>
          <w:lang w:bidi="fa-IR"/>
        </w:rPr>
        <w:t xml:space="preserve"> ، عَنْ مُحَمَّدِ بْنِ خَالِدٍ ، عَنْ بَعْضِ أَصْحَابِنَا ، عَنْ يُونُسَ بْنِ يَعْقُوبَ ، عَنْ طَاهِرٍ ، قَالَ :</w:t>
      </w:r>
    </w:p>
    <w:p w:rsidR="000C39D1" w:rsidRPr="00132E65" w:rsidRDefault="000C39D1" w:rsidP="000C39D1">
      <w:pPr>
        <w:pStyle w:val="libNormal"/>
        <w:rPr>
          <w:rtl/>
          <w:lang w:bidi="fa-IR"/>
        </w:rPr>
      </w:pPr>
      <w:r w:rsidRPr="00132E65">
        <w:rPr>
          <w:rtl/>
          <w:lang w:bidi="fa-IR"/>
        </w:rPr>
        <w:t xml:space="preserve">كُنْتُ عِنْدَ أَبِي جَعْفَرٍ </w:t>
      </w:r>
      <w:r w:rsidRPr="00071CF9">
        <w:rPr>
          <w:rStyle w:val="libAlaemChar"/>
          <w:rtl/>
        </w:rPr>
        <w:t>عليه‌السلام</w:t>
      </w:r>
      <w:r w:rsidRPr="00132E65">
        <w:rPr>
          <w:rtl/>
          <w:lang w:bidi="fa-IR"/>
        </w:rPr>
        <w:t xml:space="preserve"> ، فَأَقْبَلَ جَعْفَرٌ </w:t>
      </w:r>
      <w:r w:rsidRPr="00071CF9">
        <w:rPr>
          <w:rStyle w:val="libAlaemChar"/>
          <w:rtl/>
        </w:rPr>
        <w:t>عليه‌السلام</w:t>
      </w:r>
      <w:r w:rsidRPr="00132E65">
        <w:rPr>
          <w:rtl/>
          <w:lang w:bidi="fa-IR"/>
        </w:rPr>
        <w:t xml:space="preserve"> ، فَقَالَ أَبُو جَعْفَرٍ </w:t>
      </w:r>
      <w:r w:rsidRPr="00071CF9">
        <w:rPr>
          <w:rStyle w:val="libAlaemChar"/>
          <w:rtl/>
        </w:rPr>
        <w:t>عليه‌السلام</w:t>
      </w:r>
      <w:r w:rsidRPr="00132E65">
        <w:rPr>
          <w:rtl/>
          <w:lang w:bidi="fa-IR"/>
        </w:rPr>
        <w:t xml:space="preserve"> : « هذَا خَيْرُ الْبَرِيَّةِ </w:t>
      </w:r>
      <w:r>
        <w:rPr>
          <w:rStyle w:val="libFootnotenumChar"/>
          <w:rtl/>
        </w:rPr>
        <w:t>(8)</w:t>
      </w:r>
      <w:r w:rsidRPr="00132E65">
        <w:rPr>
          <w:rtl/>
          <w:lang w:bidi="fa-IR"/>
        </w:rPr>
        <w:t>»</w:t>
      </w:r>
      <w:r>
        <w:rPr>
          <w:rtl/>
          <w:lang w:bidi="fa-IR"/>
        </w:rPr>
        <w:t>.</w:t>
      </w:r>
      <w:r>
        <w:rPr>
          <w:rStyle w:val="libFootnotenumChar"/>
          <w:rtl/>
        </w:rPr>
        <w:t>(9)</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10424 : « شبهه »</w:t>
      </w:r>
      <w:r>
        <w:rPr>
          <w:rtl/>
        </w:rPr>
        <w:t>.</w:t>
      </w:r>
    </w:p>
    <w:p w:rsidR="000C39D1" w:rsidRPr="00132E65" w:rsidRDefault="000C39D1" w:rsidP="000C39D1">
      <w:pPr>
        <w:pStyle w:val="libFootnote0"/>
        <w:rPr>
          <w:rtl/>
          <w:lang w:bidi="fa-IR"/>
        </w:rPr>
      </w:pPr>
      <w:r>
        <w:rPr>
          <w:rtl/>
        </w:rPr>
        <w:t>(2).</w:t>
      </w:r>
      <w:r w:rsidRPr="00132E65">
        <w:rPr>
          <w:rtl/>
        </w:rPr>
        <w:t xml:space="preserve"> « الخُلُق » </w:t>
      </w:r>
      <w:r>
        <w:rPr>
          <w:rtl/>
        </w:rPr>
        <w:t>و «</w:t>
      </w:r>
      <w:r w:rsidRPr="00132E65">
        <w:rPr>
          <w:rtl/>
        </w:rPr>
        <w:t xml:space="preserve"> الخُلْق » : الدين والطبع والسَجيّة ، وحقيقته أنّه لصورة الإنسان الباطنة بمنزلة الخَلْق لصورته الظاهرة وأوصافها ومعانيها ، ولهما أوصاف حسنة وقبيحة. </w:t>
      </w:r>
      <w:r w:rsidRPr="00243115">
        <w:rPr>
          <w:rtl/>
        </w:rPr>
        <w:t>النهاية</w:t>
      </w:r>
      <w:r w:rsidRPr="00132E65">
        <w:rPr>
          <w:rtl/>
        </w:rPr>
        <w:t xml:space="preserve"> ، ج 2 ، ص 70 ( خلق )</w:t>
      </w:r>
      <w:r>
        <w:rPr>
          <w:rtl/>
        </w:rPr>
        <w:t>.</w:t>
      </w:r>
    </w:p>
    <w:p w:rsidR="000C39D1" w:rsidRPr="00132E65" w:rsidRDefault="000C39D1" w:rsidP="000C39D1">
      <w:pPr>
        <w:pStyle w:val="libFootnote0"/>
        <w:rPr>
          <w:rtl/>
          <w:lang w:bidi="fa-IR"/>
        </w:rPr>
      </w:pPr>
      <w:r>
        <w:rPr>
          <w:rtl/>
        </w:rPr>
        <w:t>(3).</w:t>
      </w:r>
      <w:r w:rsidRPr="00132E65">
        <w:rPr>
          <w:rtl/>
        </w:rPr>
        <w:t xml:space="preserve"> « الشمائل » : جمع الشِمال ، وهو الطبع والخُلُق. وقال المجلسي : « جمع شمال كسحاب ، أي الطبائع الظاهرة كالهيئة والصورة والقامة »</w:t>
      </w:r>
      <w:r>
        <w:rPr>
          <w:rtl/>
        </w:rPr>
        <w:t>.</w:t>
      </w:r>
      <w:r w:rsidRPr="00132E65">
        <w:rPr>
          <w:rtl/>
        </w:rPr>
        <w:t xml:space="preserve"> راجع : </w:t>
      </w:r>
      <w:r w:rsidRPr="009D1ACE">
        <w:rPr>
          <w:rStyle w:val="libFootnoteBoldChar"/>
          <w:rtl/>
        </w:rPr>
        <w:t>لسان العرب</w:t>
      </w:r>
      <w:r w:rsidRPr="00132E65">
        <w:rPr>
          <w:rtl/>
        </w:rPr>
        <w:t xml:space="preserve"> ، ج 11 ، ص 365 ( شمل )</w:t>
      </w:r>
      <w:r>
        <w:rPr>
          <w:rtl/>
        </w:rPr>
        <w:t>.</w:t>
      </w:r>
    </w:p>
    <w:p w:rsidR="000C39D1" w:rsidRPr="00132E65" w:rsidRDefault="000C39D1" w:rsidP="000C39D1">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العقيقة ، باب شبه الولد ، ح 10424 وفيه إلى قوله : « خلقه وشمائله »</w:t>
      </w:r>
      <w:r>
        <w:rPr>
          <w:rFonts w:hint="cs"/>
          <w:rtl/>
        </w:rPr>
        <w:t>.</w:t>
      </w:r>
      <w:r w:rsidRPr="009D1ACE">
        <w:rPr>
          <w:rStyle w:val="libFootnoteBoldChar"/>
          <w:rtl/>
        </w:rPr>
        <w:t>الوافي</w:t>
      </w:r>
      <w:r w:rsidRPr="00132E65">
        <w:rPr>
          <w:rtl/>
        </w:rPr>
        <w:t xml:space="preserve"> ، ج 2 ، ص 347 ، ح 811 ؛ </w:t>
      </w:r>
      <w:r w:rsidRPr="00243115">
        <w:rPr>
          <w:rtl/>
        </w:rPr>
        <w:t>الوسائل</w:t>
      </w:r>
      <w:r w:rsidRPr="00132E65">
        <w:rPr>
          <w:rtl/>
        </w:rPr>
        <w:t xml:space="preserve"> ، ج 21 ، ص 356 ، ح 27285.</w:t>
      </w:r>
    </w:p>
    <w:p w:rsidR="000C39D1" w:rsidRPr="00132E65" w:rsidRDefault="000C39D1" w:rsidP="000C39D1">
      <w:pPr>
        <w:pStyle w:val="libFootnote0"/>
        <w:rPr>
          <w:rtl/>
          <w:lang w:bidi="fa-IR"/>
        </w:rPr>
      </w:pPr>
      <w:r>
        <w:rPr>
          <w:rtl/>
        </w:rPr>
        <w:t>(5).</w:t>
      </w:r>
      <w:r w:rsidRPr="00132E65">
        <w:rPr>
          <w:rtl/>
        </w:rPr>
        <w:t xml:space="preserve"> في الإرشاد </w:t>
      </w:r>
      <w:r>
        <w:rPr>
          <w:rtl/>
        </w:rPr>
        <w:t xml:space="preserve">: - </w:t>
      </w:r>
      <w:r w:rsidRPr="00132E65">
        <w:rPr>
          <w:rtl/>
        </w:rPr>
        <w:t>« أو أخير »</w:t>
      </w:r>
      <w:r>
        <w:rPr>
          <w:rtl/>
        </w:rPr>
        <w:t>.</w:t>
      </w:r>
    </w:p>
    <w:p w:rsidR="000C39D1" w:rsidRPr="00132E65" w:rsidRDefault="000C39D1" w:rsidP="000C39D1">
      <w:pPr>
        <w:pStyle w:val="libFootnote0"/>
        <w:rPr>
          <w:rtl/>
          <w:lang w:bidi="fa-IR"/>
        </w:rPr>
      </w:pPr>
      <w:r>
        <w:rPr>
          <w:rtl/>
        </w:rPr>
        <w:t>(6).</w:t>
      </w:r>
      <w:r w:rsidRPr="00132E65">
        <w:rPr>
          <w:rtl/>
        </w:rPr>
        <w:t xml:space="preserve"> </w:t>
      </w:r>
      <w:r w:rsidRPr="00243115">
        <w:rPr>
          <w:rtl/>
        </w:rPr>
        <w:t>الإرشاد</w:t>
      </w:r>
      <w:r w:rsidRPr="00132E65">
        <w:rPr>
          <w:rtl/>
        </w:rPr>
        <w:t xml:space="preserve"> ، ج 2 ، ص 181 ، عن عليّ بن الحكم عن طاهر</w:t>
      </w:r>
      <w:r>
        <w:rPr>
          <w:rFonts w:hint="cs"/>
          <w:rtl/>
        </w:rPr>
        <w:t>.</w:t>
      </w:r>
      <w:r w:rsidRPr="009D1ACE">
        <w:rPr>
          <w:rStyle w:val="libFootnoteBoldChar"/>
          <w:rtl/>
        </w:rPr>
        <w:t>الوافي</w:t>
      </w:r>
      <w:r w:rsidRPr="00132E65">
        <w:rPr>
          <w:rtl/>
        </w:rPr>
        <w:t xml:space="preserve"> ، ج 2 ، ص 348 ، ح 812 ؛ </w:t>
      </w:r>
      <w:r w:rsidRPr="00243115">
        <w:rPr>
          <w:rtl/>
        </w:rPr>
        <w:t>البحار</w:t>
      </w:r>
      <w:r w:rsidRPr="00132E65">
        <w:rPr>
          <w:rtl/>
        </w:rPr>
        <w:t xml:space="preserve"> ، ج 47 ، ص 1 ، ح 8.</w:t>
      </w:r>
    </w:p>
    <w:p w:rsidR="000C39D1" w:rsidRPr="00132E65" w:rsidRDefault="000C39D1" w:rsidP="000C39D1">
      <w:pPr>
        <w:pStyle w:val="libFootnote0"/>
        <w:rPr>
          <w:rtl/>
          <w:lang w:bidi="fa-IR"/>
        </w:rPr>
      </w:pPr>
      <w:r>
        <w:rPr>
          <w:rtl/>
        </w:rPr>
        <w:t>(7).</w:t>
      </w:r>
      <w:r w:rsidRPr="00132E65">
        <w:rPr>
          <w:rtl/>
        </w:rPr>
        <w:t xml:space="preserve"> السند معلّق على سابقه. ويروي عن أحمد بن محمّد ، عدّة من أصحابنا.</w:t>
      </w:r>
    </w:p>
    <w:p w:rsidR="000C39D1" w:rsidRPr="00132E65" w:rsidRDefault="000C39D1" w:rsidP="000C39D1">
      <w:pPr>
        <w:pStyle w:val="libFootnote0"/>
        <w:rPr>
          <w:rtl/>
          <w:lang w:bidi="fa-IR"/>
        </w:rPr>
      </w:pPr>
      <w:r>
        <w:rPr>
          <w:rtl/>
        </w:rPr>
        <w:t>(8).</w:t>
      </w:r>
      <w:r w:rsidRPr="00132E65">
        <w:rPr>
          <w:rtl/>
        </w:rPr>
        <w:t xml:space="preserve"> في « ب » وحاشية « بف » :</w:t>
      </w:r>
      <w:r>
        <w:rPr>
          <w:rtl/>
        </w:rPr>
        <w:t xml:space="preserve"> + </w:t>
      </w:r>
      <w:r w:rsidRPr="00132E65">
        <w:rPr>
          <w:rtl/>
        </w:rPr>
        <w:t>« أو أخير »</w:t>
      </w:r>
      <w:r>
        <w:rPr>
          <w:rtl/>
        </w:rPr>
        <w:t>.</w:t>
      </w:r>
    </w:p>
    <w:p w:rsidR="000C39D1" w:rsidRPr="00132E65" w:rsidRDefault="000C39D1" w:rsidP="000C39D1">
      <w:pPr>
        <w:pStyle w:val="libFootnote0"/>
        <w:rPr>
          <w:rtl/>
          <w:lang w:bidi="fa-IR"/>
        </w:rPr>
      </w:pPr>
      <w:r>
        <w:rPr>
          <w:rtl/>
        </w:rPr>
        <w:t>(9).</w:t>
      </w:r>
      <w:r w:rsidRPr="00132E65">
        <w:rPr>
          <w:rtl/>
        </w:rPr>
        <w:t xml:space="preserve"> </w:t>
      </w:r>
      <w:r w:rsidRPr="00243115">
        <w:rPr>
          <w:rtl/>
        </w:rPr>
        <w:t>الإرشاد</w:t>
      </w:r>
      <w:r w:rsidRPr="00132E65">
        <w:rPr>
          <w:rtl/>
        </w:rPr>
        <w:t xml:space="preserve"> ، ج 2 ، ص 181 ، عن عليّ بن الحكم ، عن طاهر</w:t>
      </w:r>
      <w:r>
        <w:rPr>
          <w:rFonts w:hint="cs"/>
          <w:rtl/>
        </w:rPr>
        <w:t>.</w:t>
      </w:r>
      <w:r w:rsidRPr="009D1ACE">
        <w:rPr>
          <w:rStyle w:val="libFootnoteBoldChar"/>
          <w:rtl/>
        </w:rPr>
        <w:t>الوافي</w:t>
      </w:r>
      <w:r w:rsidRPr="00132E65">
        <w:rPr>
          <w:rtl/>
        </w:rPr>
        <w:t xml:space="preserve"> ، ج 2 ، ص 348 ، ح 812 ؛ </w:t>
      </w:r>
      <w:r w:rsidRPr="00243115">
        <w:rPr>
          <w:rtl/>
        </w:rPr>
        <w:t>البحار</w:t>
      </w:r>
      <w:r w:rsidRPr="00132E65">
        <w:rPr>
          <w:rtl/>
        </w:rPr>
        <w:t xml:space="preserve"> ، ج 47 ،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243115">
        <w:rPr>
          <w:rtl/>
        </w:rPr>
        <w:t>798</w:t>
      </w:r>
      <w:r w:rsidRPr="004325D8">
        <w:rPr>
          <w:rStyle w:val="libBold2Char"/>
          <w:rtl/>
        </w:rPr>
        <w:t xml:space="preserve"> / 6.</w:t>
      </w:r>
      <w:r w:rsidRPr="00132E65">
        <w:rPr>
          <w:rtl/>
          <w:lang w:bidi="fa-IR"/>
        </w:rPr>
        <w:t xml:space="preserve"> أَحْمَدُ بْنُ مِهْرَانَ ، عَنْ مُحَمَّدِ بْنِ عَلِيٍّ ، عَنْ فُضَيْلِ بْنِ عُثْمَانَ ، عَنْ طَاهِرٍ ، قَالَ :</w:t>
      </w:r>
    </w:p>
    <w:p w:rsidR="000C39D1" w:rsidRPr="00132E65" w:rsidRDefault="000C39D1" w:rsidP="000C39D1">
      <w:pPr>
        <w:pStyle w:val="libNormal"/>
        <w:rPr>
          <w:rtl/>
          <w:lang w:bidi="fa-IR"/>
        </w:rPr>
      </w:pPr>
      <w:r w:rsidRPr="00132E65">
        <w:rPr>
          <w:rtl/>
          <w:lang w:bidi="fa-IR"/>
        </w:rPr>
        <w:t xml:space="preserve">كُنْتُ قَاعِداً عِنْدَ أَبِي جَعْفَرٍ </w:t>
      </w:r>
      <w:r w:rsidRPr="00071CF9">
        <w:rPr>
          <w:rStyle w:val="libAlaemChar"/>
          <w:rtl/>
        </w:rPr>
        <w:t>عليه‌السلام</w:t>
      </w:r>
      <w:r w:rsidRPr="00132E65">
        <w:rPr>
          <w:rtl/>
          <w:lang w:bidi="fa-IR"/>
        </w:rPr>
        <w:t xml:space="preserve"> ، فَأَقْبَلَ جَعْفَرٌ </w:t>
      </w:r>
      <w:r w:rsidRPr="00071CF9">
        <w:rPr>
          <w:rStyle w:val="libAlaemChar"/>
          <w:rtl/>
        </w:rPr>
        <w:t>عليه‌السلام</w:t>
      </w:r>
      <w:r w:rsidRPr="00132E65">
        <w:rPr>
          <w:rtl/>
          <w:lang w:bidi="fa-IR"/>
        </w:rPr>
        <w:t xml:space="preserve"> ، فَقَالَ أَبُو جَعْفَرٍ </w:t>
      </w:r>
      <w:r w:rsidRPr="00071CF9">
        <w:rPr>
          <w:rStyle w:val="libAlaemChar"/>
          <w:rtl/>
        </w:rPr>
        <w:t>عليه‌السلام</w:t>
      </w:r>
      <w:r w:rsidRPr="00132E65">
        <w:rPr>
          <w:rtl/>
          <w:lang w:bidi="fa-IR"/>
        </w:rPr>
        <w:t xml:space="preserve"> : « هذَا خَيْرُ الْبَرِيَّةِ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243115">
        <w:rPr>
          <w:rtl/>
        </w:rPr>
        <w:t>799</w:t>
      </w:r>
      <w:r w:rsidRPr="004325D8">
        <w:rPr>
          <w:rStyle w:val="libBold2Char"/>
          <w:rtl/>
        </w:rPr>
        <w:t xml:space="preserve"> / 7.</w:t>
      </w:r>
      <w:r w:rsidRPr="00132E65">
        <w:rPr>
          <w:rtl/>
          <w:lang w:bidi="fa-IR"/>
        </w:rPr>
        <w:t xml:space="preserve"> مُحَمَّدُ بْنُ يَحْيى ، عَنْ أَحْمَدَ بْنِ مُحَمَّدٍ ، عَنِ ابْنِ مَحْبُوبٍ ، عَنْ هِشَامِ بْنِ سَالِمٍ </w:t>
      </w:r>
      <w:r>
        <w:rPr>
          <w:rStyle w:val="libFootnotenumChar"/>
          <w:rtl/>
        </w:rPr>
        <w:t>(3)</w:t>
      </w:r>
      <w:r w:rsidRPr="00132E65">
        <w:rPr>
          <w:rtl/>
          <w:lang w:bidi="fa-IR"/>
        </w:rPr>
        <w:t xml:space="preserve"> ، عَنْ جَابِرِ بْنِ يَزِيدَ الْجُعْفِيِّ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سُئِلَ عَنِ الْقَائِمِ </w:t>
      </w:r>
      <w:r w:rsidRPr="00071CF9">
        <w:rPr>
          <w:rStyle w:val="libAlaemChar"/>
          <w:rtl/>
        </w:rPr>
        <w:t>عليه‌السلام</w:t>
      </w:r>
      <w:r w:rsidRPr="00132E65">
        <w:rPr>
          <w:rtl/>
          <w:lang w:bidi="fa-IR"/>
        </w:rPr>
        <w:t xml:space="preserve"> ، فَضَرَبَ بِيَدِهِ عَلى أَبِي عَبْدِ اللهِ </w:t>
      </w:r>
      <w:r w:rsidRPr="00071CF9">
        <w:rPr>
          <w:rStyle w:val="libAlaemChar"/>
          <w:rtl/>
        </w:rPr>
        <w:t>عليه‌السلام</w:t>
      </w:r>
      <w:r w:rsidRPr="00132E65">
        <w:rPr>
          <w:rtl/>
          <w:lang w:bidi="fa-IR"/>
        </w:rPr>
        <w:t xml:space="preserve"> ، فَقَالَ : « هذَا واللهِ قَائِمُ آلِ مُحَمَّدٍ </w:t>
      </w:r>
      <w:r w:rsidRPr="00071CF9">
        <w:rPr>
          <w:rStyle w:val="libAlaemChar"/>
          <w:rtl/>
        </w:rPr>
        <w:t>صلى‌الله‌عليه‌وآله</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Default="000C39D1" w:rsidP="000C39D1">
      <w:pPr>
        <w:pStyle w:val="libFootnote0"/>
        <w:rPr>
          <w:rtl/>
        </w:rPr>
      </w:pPr>
      <w:r>
        <w:rPr>
          <w:rFonts w:hint="cs"/>
          <w:rtl/>
        </w:rPr>
        <w:t xml:space="preserve">= </w:t>
      </w:r>
      <w:r w:rsidRPr="00132E65">
        <w:rPr>
          <w:rtl/>
        </w:rPr>
        <w:t>ص 13 ، ح 8.</w:t>
      </w:r>
    </w:p>
    <w:p w:rsidR="000C39D1" w:rsidRPr="00132E65" w:rsidRDefault="000C39D1" w:rsidP="000C39D1">
      <w:pPr>
        <w:pStyle w:val="libFootnote0"/>
        <w:rPr>
          <w:rtl/>
          <w:lang w:bidi="fa-IR"/>
        </w:rPr>
      </w:pPr>
      <w:r>
        <w:rPr>
          <w:rtl/>
        </w:rPr>
        <w:t>(1).</w:t>
      </w:r>
      <w:r w:rsidRPr="00132E65">
        <w:rPr>
          <w:rtl/>
        </w:rPr>
        <w:t xml:space="preserve"> في حاشية « بر » :</w:t>
      </w:r>
      <w:r>
        <w:rPr>
          <w:rtl/>
        </w:rPr>
        <w:t xml:space="preserve"> + </w:t>
      </w:r>
      <w:r w:rsidRPr="00132E65">
        <w:rPr>
          <w:rtl/>
        </w:rPr>
        <w:t>« أو أخير »</w:t>
      </w:r>
      <w:r>
        <w:rPr>
          <w:rtl/>
        </w:rPr>
        <w:t>.</w:t>
      </w:r>
    </w:p>
    <w:p w:rsidR="000C39D1" w:rsidRPr="00132E65" w:rsidRDefault="000C39D1" w:rsidP="000C39D1">
      <w:pPr>
        <w:pStyle w:val="libFootnote0"/>
        <w:rPr>
          <w:rtl/>
          <w:lang w:bidi="fa-IR"/>
        </w:rPr>
      </w:pPr>
      <w:r>
        <w:rPr>
          <w:rtl/>
        </w:rPr>
        <w:t>(2).</w:t>
      </w:r>
      <w:r w:rsidRPr="00132E65">
        <w:rPr>
          <w:rtl/>
        </w:rPr>
        <w:t xml:space="preserve"> </w:t>
      </w:r>
      <w:r w:rsidRPr="00243115">
        <w:rPr>
          <w:rtl/>
        </w:rPr>
        <w:t>الإرشاد</w:t>
      </w:r>
      <w:r w:rsidRPr="00132E65">
        <w:rPr>
          <w:rtl/>
        </w:rPr>
        <w:t xml:space="preserve"> ، ج 2 ، ص 181 ، عن عليّ بن الحكم ، عن طاهر</w:t>
      </w:r>
      <w:r>
        <w:rPr>
          <w:rFonts w:hint="cs"/>
          <w:rtl/>
        </w:rPr>
        <w:t>.</w:t>
      </w:r>
      <w:r w:rsidRPr="009D1ACE">
        <w:rPr>
          <w:rStyle w:val="libFootnoteBoldChar"/>
          <w:rtl/>
        </w:rPr>
        <w:t>الوافي</w:t>
      </w:r>
      <w:r w:rsidRPr="00132E65">
        <w:rPr>
          <w:rtl/>
        </w:rPr>
        <w:t xml:space="preserve"> ، ج 2 ، ص 348 ، ح 812 ؛ </w:t>
      </w:r>
      <w:r w:rsidRPr="00243115">
        <w:rPr>
          <w:rtl/>
        </w:rPr>
        <w:t>البحار</w:t>
      </w:r>
      <w:r w:rsidRPr="00132E65">
        <w:rPr>
          <w:rtl/>
        </w:rPr>
        <w:t xml:space="preserve"> ، ج 47 ، ص 13 ، ح 8.</w:t>
      </w:r>
    </w:p>
    <w:p w:rsidR="000C39D1" w:rsidRPr="00132E65" w:rsidRDefault="000C39D1" w:rsidP="000C39D1">
      <w:pPr>
        <w:pStyle w:val="libFootnote0"/>
        <w:rPr>
          <w:rtl/>
          <w:lang w:bidi="fa-IR"/>
        </w:rPr>
      </w:pPr>
      <w:r>
        <w:rPr>
          <w:rtl/>
        </w:rPr>
        <w:t>(3).</w:t>
      </w:r>
      <w:r w:rsidRPr="00132E65">
        <w:rPr>
          <w:rtl/>
        </w:rPr>
        <w:t xml:space="preserve"> كذا في النسخ والمطبوع ، ورواية هشام بن سالم عن جابر بن يزيد غير معهودة. ويبعِّدها بُعد طبقتهما ، فإنّ جابراً كان من أصحاب أبي جعفر الباقر </w:t>
      </w:r>
      <w:r w:rsidRPr="00823C57">
        <w:rPr>
          <w:rStyle w:val="libFootnoteAlaemChar"/>
          <w:rtl/>
        </w:rPr>
        <w:t>عليه‌السلام</w:t>
      </w:r>
      <w:r w:rsidRPr="00132E65">
        <w:rPr>
          <w:rtl/>
        </w:rPr>
        <w:t xml:space="preserve"> وأدرك أبا عبد الله </w:t>
      </w:r>
      <w:r w:rsidRPr="00823C57">
        <w:rPr>
          <w:rStyle w:val="libFootnoteAlaemChar"/>
          <w:rtl/>
        </w:rPr>
        <w:t>عليه‌السلام</w:t>
      </w:r>
      <w:r w:rsidRPr="00132E65">
        <w:rPr>
          <w:rtl/>
        </w:rPr>
        <w:t xml:space="preserve"> ومات في حياته سنة 127 أو 128 أو 132. وهشام بن سالم كان من أصحاب أبي عبدالله وأبي الحسن موسى </w:t>
      </w:r>
      <w:r w:rsidRPr="00823C57">
        <w:rPr>
          <w:rStyle w:val="libFootnoteAlaemChar"/>
          <w:rtl/>
        </w:rPr>
        <w:t>عليهما‌السلام</w:t>
      </w:r>
      <w:r w:rsidRPr="00132E65">
        <w:rPr>
          <w:rtl/>
        </w:rPr>
        <w:t xml:space="preserve">. راجع : </w:t>
      </w:r>
      <w:r w:rsidRPr="00243115">
        <w:rPr>
          <w:rtl/>
        </w:rPr>
        <w:t>رجال النجاشي</w:t>
      </w:r>
      <w:r w:rsidRPr="00132E65">
        <w:rPr>
          <w:rtl/>
        </w:rPr>
        <w:t xml:space="preserve"> ، ص 128 ، الرقم 332 ؛ وص 434 ، الرقم 1165 ؛ </w:t>
      </w:r>
      <w:r w:rsidRPr="00243115">
        <w:rPr>
          <w:rtl/>
        </w:rPr>
        <w:t>رجال البرقي</w:t>
      </w:r>
      <w:r w:rsidRPr="00132E65">
        <w:rPr>
          <w:rtl/>
        </w:rPr>
        <w:t xml:space="preserve"> ، ص 34 ، ص 48 ؛ </w:t>
      </w:r>
      <w:r w:rsidRPr="00243115">
        <w:rPr>
          <w:rtl/>
        </w:rPr>
        <w:t>تهذيب الكمال</w:t>
      </w:r>
      <w:r w:rsidRPr="00132E65">
        <w:rPr>
          <w:rtl/>
        </w:rPr>
        <w:t xml:space="preserve"> ، ج 4 ، ص 465 ، الرقم 879.</w:t>
      </w:r>
    </w:p>
    <w:p w:rsidR="000C39D1" w:rsidRPr="00501E9B" w:rsidRDefault="000C39D1" w:rsidP="00E55206">
      <w:pPr>
        <w:pStyle w:val="libFootnote0"/>
        <w:rPr>
          <w:rtl/>
        </w:rPr>
      </w:pPr>
      <w:r w:rsidRPr="00F543F1">
        <w:rPr>
          <w:rtl/>
        </w:rPr>
        <w:t xml:space="preserve">فعليه يحتمل سقوط الواسطة بينهما ، ويقوّي هذا الاحتمال ما ورد في ذيل الخبر : « قال عنبسة : فلمّا قبض أبو جعفر </w:t>
      </w:r>
      <w:r w:rsidRPr="00823C57">
        <w:rPr>
          <w:rStyle w:val="libFootnoteAlaemChar"/>
          <w:rtl/>
        </w:rPr>
        <w:t>عليه‌السلام</w:t>
      </w:r>
      <w:r w:rsidRPr="00501E9B">
        <w:rPr>
          <w:rtl/>
        </w:rPr>
        <w:t xml:space="preserve"> » إلخ.</w:t>
      </w:r>
    </w:p>
    <w:p w:rsidR="000C39D1" w:rsidRPr="00ED48BF" w:rsidRDefault="000C39D1" w:rsidP="00E55206">
      <w:pPr>
        <w:pStyle w:val="libFootnote0"/>
        <w:rPr>
          <w:rtl/>
        </w:rPr>
      </w:pPr>
      <w:r w:rsidRPr="00ED48BF">
        <w:rPr>
          <w:rtl/>
        </w:rPr>
        <w:t xml:space="preserve">فإنّ هذا يقتضي أنّ عنبسة سمع الخبر عن جابر بن يزيد عن أبي جعفر </w:t>
      </w:r>
      <w:r w:rsidRPr="00823C57">
        <w:rPr>
          <w:rStyle w:val="libFootnoteAlaemChar"/>
          <w:rtl/>
        </w:rPr>
        <w:t>عليه‌السلام</w:t>
      </w:r>
      <w:r w:rsidRPr="00501E9B">
        <w:rPr>
          <w:rtl/>
        </w:rPr>
        <w:t xml:space="preserve"> </w:t>
      </w:r>
      <w:r w:rsidRPr="00ED48BF">
        <w:rPr>
          <w:rtl/>
        </w:rPr>
        <w:t xml:space="preserve">، ثمّ عرضه على أبي عبد الله </w:t>
      </w:r>
      <w:r w:rsidRPr="00823C57">
        <w:rPr>
          <w:rStyle w:val="libFootnoteAlaemChar"/>
          <w:rtl/>
        </w:rPr>
        <w:t>عليه‌السلام</w:t>
      </w:r>
      <w:r w:rsidRPr="00501E9B">
        <w:rPr>
          <w:rtl/>
        </w:rPr>
        <w:t xml:space="preserve"> </w:t>
      </w:r>
      <w:r w:rsidRPr="00ED48BF">
        <w:rPr>
          <w:rtl/>
        </w:rPr>
        <w:t>فصحّحه وصدّق جابراً.</w:t>
      </w:r>
    </w:p>
    <w:p w:rsidR="000C39D1" w:rsidRPr="00D47311" w:rsidRDefault="000C39D1" w:rsidP="00E55206">
      <w:pPr>
        <w:pStyle w:val="libFootnote0"/>
        <w:rPr>
          <w:rtl/>
        </w:rPr>
      </w:pPr>
      <w:r w:rsidRPr="00D47311">
        <w:rPr>
          <w:rtl/>
        </w:rPr>
        <w:t>لكن هذا الاحتمال ضعيف غاية الضعف ؛ لعدم ثبوت رواية هشام عن عنبسة عن جابر في شي‌ءٍ من الأسناد.</w:t>
      </w:r>
    </w:p>
    <w:p w:rsidR="000C39D1" w:rsidRPr="00501E9B" w:rsidRDefault="000C39D1" w:rsidP="00E55206">
      <w:pPr>
        <w:pStyle w:val="libFootnote0"/>
        <w:rPr>
          <w:rtl/>
        </w:rPr>
      </w:pPr>
      <w:r w:rsidRPr="00501E9B">
        <w:rPr>
          <w:rtl/>
        </w:rPr>
        <w:t>هذا ، واحتمل الا</w:t>
      </w:r>
      <w:r>
        <w:rPr>
          <w:rFonts w:hint="cs"/>
          <w:rtl/>
        </w:rPr>
        <w:t>ُ</w:t>
      </w:r>
      <w:r w:rsidRPr="00501E9B">
        <w:rPr>
          <w:rtl/>
        </w:rPr>
        <w:t xml:space="preserve">ستاد السيّد محمّد جواد الشبيري </w:t>
      </w:r>
      <w:r>
        <w:rPr>
          <w:rtl/>
        </w:rPr>
        <w:t>-</w:t>
      </w:r>
      <w:r w:rsidRPr="00501E9B">
        <w:rPr>
          <w:rtl/>
        </w:rPr>
        <w:t xml:space="preserve"> دام توفيقه </w:t>
      </w:r>
      <w:r>
        <w:rPr>
          <w:rtl/>
        </w:rPr>
        <w:t>-</w:t>
      </w:r>
      <w:r w:rsidRPr="00501E9B">
        <w:rPr>
          <w:rtl/>
        </w:rPr>
        <w:t xml:space="preserve"> في تعليقته على السند أنّ الأصل في السند كان هكذا : عنبسة عن جابر بن يزيد الجعفي ، ثمّ صُحِّفَ عنسبة بهشام لتشابههما في الخطوط القديمة الكوفية بعد حذف « الألف » من هشام ، ثمّ ا</w:t>
      </w:r>
      <w:r>
        <w:rPr>
          <w:rFonts w:hint="cs"/>
          <w:rtl/>
        </w:rPr>
        <w:t>ُ</w:t>
      </w:r>
      <w:r w:rsidRPr="00501E9B">
        <w:rPr>
          <w:rtl/>
        </w:rPr>
        <w:t>ضيف « بن سالم » تفسيراً لهشام ، فادرج التفسير في المتن.</w:t>
      </w:r>
    </w:p>
    <w:p w:rsidR="000C39D1" w:rsidRPr="00501E9B" w:rsidRDefault="000C39D1" w:rsidP="00E55206">
      <w:pPr>
        <w:pStyle w:val="libFootnote0"/>
        <w:rPr>
          <w:rtl/>
        </w:rPr>
      </w:pPr>
      <w:r w:rsidRPr="00501E9B">
        <w:rPr>
          <w:rtl/>
        </w:rPr>
        <w:t xml:space="preserve">يؤيّد هذا الاحتمال ما ورد في بعض الأسناد من رواية ابن محبوب عن عنبسة العابد. راجع : الكافي ، ح 1748 </w:t>
      </w:r>
      <w:r>
        <w:rPr>
          <w:rtl/>
        </w:rPr>
        <w:t>و 2</w:t>
      </w:r>
      <w:r w:rsidRPr="00501E9B">
        <w:rPr>
          <w:rtl/>
        </w:rPr>
        <w:t xml:space="preserve">526 </w:t>
      </w:r>
      <w:r>
        <w:rPr>
          <w:rtl/>
        </w:rPr>
        <w:t>و 3</w:t>
      </w:r>
      <w:r w:rsidRPr="00501E9B">
        <w:rPr>
          <w:rtl/>
        </w:rPr>
        <w:t>137 ؛ الأمالي للصدوق ، ص 231 ، المجلس 47 ، ح 11 ، وص 340 ، المجلس 65 ، ح 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عَنْبَسَةُ : فَلَمَّا قُبِضَ أَبُو جَعْفَرٍ </w:t>
      </w:r>
      <w:r w:rsidRPr="00071CF9">
        <w:rPr>
          <w:rStyle w:val="libAlaemChar"/>
          <w:rtl/>
        </w:rPr>
        <w:t>عليه‌السلام</w:t>
      </w:r>
      <w:r w:rsidRPr="00132E65">
        <w:rPr>
          <w:rtl/>
          <w:lang w:bidi="fa-IR"/>
        </w:rPr>
        <w:t xml:space="preserve"> ، دَخَلْتُ عَلى أَبِي عَبْدِ اللهِ </w:t>
      </w:r>
      <w:r w:rsidRPr="00071CF9">
        <w:rPr>
          <w:rStyle w:val="libAlaemChar"/>
          <w:rtl/>
        </w:rPr>
        <w:t>عليه‌السلام</w:t>
      </w:r>
      <w:r w:rsidRPr="00132E65">
        <w:rPr>
          <w:rtl/>
          <w:lang w:bidi="fa-IR"/>
        </w:rPr>
        <w:t xml:space="preserve"> ، فَأَخْبَرْتُهُ بِذلِكَ ، فَقَالَ : « صَدَقَ جَابِرٌ »</w:t>
      </w:r>
      <w:r>
        <w:rPr>
          <w:rtl/>
          <w:lang w:bidi="fa-IR"/>
        </w:rPr>
        <w:t>.</w:t>
      </w:r>
      <w:r w:rsidRPr="00132E65">
        <w:rPr>
          <w:rtl/>
          <w:lang w:bidi="fa-IR"/>
        </w:rPr>
        <w:t xml:space="preserve"> ثُمَّ قَالَ : « لَعَلَّكُمْ تَرَوْنَ </w:t>
      </w:r>
      <w:r>
        <w:rPr>
          <w:rStyle w:val="libFootnotenumChar"/>
          <w:rtl/>
        </w:rPr>
        <w:t>(1)</w:t>
      </w:r>
      <w:r w:rsidRPr="00132E65">
        <w:rPr>
          <w:rtl/>
          <w:lang w:bidi="fa-IR"/>
        </w:rPr>
        <w:t xml:space="preserve"> أَنْ لَيْسَ كُلُّ إِمَامٍ هُوَ الْقَائِمَ بَعْدَ الْإِمَامِ الَّذِي كَانَ قَبْلَهُ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243115">
        <w:rPr>
          <w:rtl/>
        </w:rPr>
        <w:t>800</w:t>
      </w:r>
      <w:r w:rsidRPr="004325D8">
        <w:rPr>
          <w:rStyle w:val="libBold2Char"/>
          <w:rtl/>
        </w:rPr>
        <w:t xml:space="preserve"> / 8.</w:t>
      </w:r>
      <w:r w:rsidRPr="00132E65">
        <w:rPr>
          <w:rtl/>
          <w:lang w:bidi="fa-IR"/>
        </w:rPr>
        <w:t xml:space="preserve"> عَلِيُّ بْنُ إِبْرَاهِيمَ ، عَنْ مُحَمَّدِ بْنِ عِيسى ، عَنْ يُونُسَ بْنِ عَبْدِ الرَّحْمنِ </w:t>
      </w:r>
      <w:r>
        <w:rPr>
          <w:rStyle w:val="libFootnotenumChar"/>
          <w:rtl/>
        </w:rPr>
        <w:t>(4)</w:t>
      </w:r>
      <w:r w:rsidRPr="00132E65">
        <w:rPr>
          <w:rtl/>
          <w:lang w:bidi="fa-IR"/>
        </w:rPr>
        <w:t xml:space="preserve"> ، عَنْ عَبْدِ الْأَعْلى :</w:t>
      </w:r>
    </w:p>
    <w:p w:rsidR="000C39D1" w:rsidRPr="00132E65" w:rsidRDefault="000C39D1" w:rsidP="00242766">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أَبِي </w:t>
      </w:r>
      <w:r w:rsidRPr="00071CF9">
        <w:rPr>
          <w:rStyle w:val="libAlaemChar"/>
          <w:rtl/>
        </w:rPr>
        <w:t>عليه‌السلام</w:t>
      </w:r>
      <w:r w:rsidRPr="00132E65">
        <w:rPr>
          <w:rtl/>
          <w:lang w:bidi="fa-IR"/>
        </w:rPr>
        <w:t xml:space="preserve"> اسْتَوْدَعَنِي مَا هُنَاكَ </w:t>
      </w:r>
      <w:r>
        <w:rPr>
          <w:rStyle w:val="libFootnotenumChar"/>
          <w:rtl/>
        </w:rPr>
        <w:t>(5)</w:t>
      </w:r>
      <w:r w:rsidRPr="00132E65">
        <w:rPr>
          <w:rtl/>
          <w:lang w:bidi="fa-IR"/>
        </w:rPr>
        <w:t xml:space="preserve"> ، فَلَمَّا حَضَرَتْهُ الْوَفَاةُ ، قَالَ : ادْعُ لِي شُهُوداً ، فَدَعَوْتُ لَهُ </w:t>
      </w:r>
      <w:r>
        <w:rPr>
          <w:rStyle w:val="libFootnotenumChar"/>
          <w:rtl/>
        </w:rPr>
        <w:t>(6)</w:t>
      </w:r>
      <w:r w:rsidRPr="00132E65">
        <w:rPr>
          <w:rtl/>
          <w:lang w:bidi="fa-IR"/>
        </w:rPr>
        <w:t xml:space="preserve"> أَرْبَعَةً مِنْ قُرَيْشٍ ، فِيهِمْ نَافِعٌ مَوْلى عَبْدِ اللهِ بْنِ عُمَرَ ، فَقَالَ : اكْتُبْ : هذَا مَا أَوْصى بِهِ يَعْقُوبُ بَنِيهِ : </w:t>
      </w:r>
      <w:r w:rsidRPr="00071CF9">
        <w:rPr>
          <w:rStyle w:val="libAlaemChar"/>
          <w:rtl/>
        </w:rPr>
        <w:t>(</w:t>
      </w:r>
      <w:r w:rsidRPr="00071CF9">
        <w:rPr>
          <w:rStyle w:val="libAieChar"/>
          <w:rtl/>
        </w:rPr>
        <w:t xml:space="preserve"> يا بَنِيَّ إِنَّ اللهَ اصْطَفى لَكُم</w:t>
      </w:r>
      <w:r>
        <w:rPr>
          <w:rStyle w:val="libAieChar"/>
          <w:rtl/>
        </w:rPr>
        <w:t>ُ الدِّينَ فَلا تَمُوتُنَّ إِل</w:t>
      </w:r>
      <w:r>
        <w:rPr>
          <w:rStyle w:val="libAieChar"/>
          <w:rFonts w:hint="cs"/>
          <w:rtl/>
        </w:rPr>
        <w:t>ّ</w:t>
      </w:r>
      <w:r>
        <w:rPr>
          <w:rStyle w:val="libAieChar"/>
          <w:rtl/>
        </w:rPr>
        <w:t>ا</w:t>
      </w:r>
      <w:r w:rsidRPr="00071CF9">
        <w:rPr>
          <w:rStyle w:val="libAieChar"/>
          <w:rtl/>
        </w:rPr>
        <w:t xml:space="preserve"> وَأَنْتُمْ مُسْلِمُونَ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 وأَوْصى مُحَمَّدُ بْنُ عَلِيٍّ إِلى </w:t>
      </w:r>
      <w:r>
        <w:rPr>
          <w:rStyle w:val="libFootnotenumChar"/>
          <w:rtl/>
        </w:rPr>
        <w:t>(8)</w:t>
      </w:r>
      <w:r w:rsidRPr="00132E65">
        <w:rPr>
          <w:rtl/>
          <w:lang w:bidi="fa-IR"/>
        </w:rPr>
        <w:t xml:space="preserve"> جَعْفَرِ بْنِ مُحَمَّدٍ ، وأَمَرَهُ أَنْ يُكَفِّنَهُ فِي بُرْدِهِ </w:t>
      </w:r>
      <w:r>
        <w:rPr>
          <w:rStyle w:val="libFootnotenumChar"/>
          <w:rtl/>
        </w:rPr>
        <w:t>(9)</w:t>
      </w:r>
      <w:r w:rsidR="00242766">
        <w:rPr>
          <w:rFonts w:hint="cs"/>
          <w:rtl/>
          <w:lang w:bidi="fa-IR"/>
        </w:rPr>
        <w:t>..............</w:t>
      </w:r>
      <w:r w:rsidR="00242766">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ج 3 ، ص 328 : « ترون ، على المعلوم أو المجهول ، أي تظنّون »</w:t>
      </w:r>
      <w:r>
        <w:rPr>
          <w:rtl/>
        </w:rPr>
        <w:t>.</w:t>
      </w:r>
    </w:p>
    <w:p w:rsidR="000C39D1" w:rsidRPr="00132E65" w:rsidRDefault="000C39D1" w:rsidP="000C39D1">
      <w:pPr>
        <w:pStyle w:val="libFootnote0"/>
        <w:rPr>
          <w:rtl/>
          <w:lang w:bidi="fa-IR"/>
        </w:rPr>
      </w:pPr>
      <w:r>
        <w:rPr>
          <w:rtl/>
        </w:rPr>
        <w:t>(2).</w:t>
      </w:r>
      <w:r w:rsidRPr="00132E65">
        <w:rPr>
          <w:rtl/>
        </w:rPr>
        <w:t xml:space="preserve"> في « ب » : « قبل »</w:t>
      </w:r>
      <w:r>
        <w:rPr>
          <w:rtl/>
        </w:rPr>
        <w:t>.</w:t>
      </w:r>
    </w:p>
    <w:p w:rsidR="000C39D1" w:rsidRPr="00132E65" w:rsidRDefault="000C39D1" w:rsidP="000C39D1">
      <w:pPr>
        <w:pStyle w:val="libFootnote0"/>
        <w:rPr>
          <w:rtl/>
          <w:lang w:bidi="fa-IR"/>
        </w:rPr>
      </w:pPr>
      <w:r>
        <w:rPr>
          <w:rtl/>
        </w:rPr>
        <w:t>(3).</w:t>
      </w:r>
      <w:r w:rsidRPr="00132E65">
        <w:rPr>
          <w:rtl/>
        </w:rPr>
        <w:t xml:space="preserve"> </w:t>
      </w:r>
      <w:r w:rsidRPr="00243115">
        <w:rPr>
          <w:rtl/>
        </w:rPr>
        <w:t>الإرشاد</w:t>
      </w:r>
      <w:r w:rsidRPr="00132E65">
        <w:rPr>
          <w:rtl/>
        </w:rPr>
        <w:t xml:space="preserve"> ، ج 2 ، ص 180 ، عن هشام بن سالم ، وفيه إلى قوله : « هذا والله قائم آل محمّد </w:t>
      </w:r>
      <w:r w:rsidRPr="00036D19">
        <w:rPr>
          <w:rStyle w:val="libFootnoteAlaemChar"/>
          <w:rtl/>
        </w:rPr>
        <w:t>صلى‌الله‌عليه‌وآله</w:t>
      </w:r>
      <w:r w:rsidRPr="00132E65">
        <w:rPr>
          <w:rtl/>
          <w:lang w:bidi="fa-IR"/>
        </w:rPr>
        <w:t xml:space="preserve"> </w:t>
      </w:r>
      <w:r w:rsidRPr="00132E65">
        <w:rPr>
          <w:rtl/>
        </w:rPr>
        <w:t>»</w:t>
      </w:r>
      <w:r>
        <w:rPr>
          <w:rFonts w:hint="cs"/>
          <w:rtl/>
        </w:rPr>
        <w:t>.</w:t>
      </w:r>
      <w:r w:rsidRPr="009D1ACE">
        <w:rPr>
          <w:rStyle w:val="libFootnoteBoldChar"/>
          <w:rtl/>
        </w:rPr>
        <w:t>الوافي</w:t>
      </w:r>
      <w:r w:rsidRPr="00132E65">
        <w:rPr>
          <w:rtl/>
        </w:rPr>
        <w:t xml:space="preserve"> ، ج 2 ، ص 348. ح 813.</w:t>
      </w:r>
    </w:p>
    <w:p w:rsidR="000C39D1" w:rsidRPr="00132E65" w:rsidRDefault="000C39D1" w:rsidP="000C39D1">
      <w:pPr>
        <w:pStyle w:val="libFootnote0"/>
        <w:rPr>
          <w:rtl/>
          <w:lang w:bidi="fa-IR"/>
        </w:rPr>
      </w:pPr>
      <w:r>
        <w:rPr>
          <w:rtl/>
        </w:rPr>
        <w:t>(4).</w:t>
      </w:r>
      <w:r w:rsidRPr="00132E65">
        <w:rPr>
          <w:rtl/>
        </w:rPr>
        <w:t xml:space="preserve"> لم يثبت رواية يونس بن عبدالرحمن عن عبدالأعلى. ويأتي تفصيل الخبر في </w:t>
      </w:r>
      <w:r w:rsidRPr="000577A7">
        <w:rPr>
          <w:rStyle w:val="libFootnoteBoldChar"/>
          <w:rtl/>
        </w:rPr>
        <w:t>الكافي</w:t>
      </w:r>
      <w:r w:rsidRPr="00132E65">
        <w:rPr>
          <w:rtl/>
        </w:rPr>
        <w:t xml:space="preserve"> ، ح 987 ، بنفس السندعن يونس بن عبدالرحمن قال : حدّثنا حمّاد عن عبدالأعلى. وهو الظاهر ؛ فقد روى عليّ بن إبراهيم ، عن محمّد بن عيسى ، عن يونس [ بن عبدالرحمن ] عن حمّاد ، عن عبدالأعلى في </w:t>
      </w:r>
      <w:r w:rsidRPr="000577A7">
        <w:rPr>
          <w:rStyle w:val="libFootnoteBoldChar"/>
          <w:rtl/>
        </w:rPr>
        <w:t>الكافي</w:t>
      </w:r>
      <w:r w:rsidRPr="00132E65">
        <w:rPr>
          <w:rtl/>
        </w:rPr>
        <w:t xml:space="preserve"> ، ح 423 </w:t>
      </w:r>
      <w:r>
        <w:rPr>
          <w:rtl/>
        </w:rPr>
        <w:t>و 4</w:t>
      </w:r>
      <w:r w:rsidRPr="00132E65">
        <w:rPr>
          <w:rtl/>
        </w:rPr>
        <w:t xml:space="preserve">99. وروي يونس بن عبدالرحمن عن حمّاد [ بن عثمان ] عن عبدالأعلى في </w:t>
      </w:r>
      <w:r w:rsidRPr="00243115">
        <w:rPr>
          <w:rtl/>
        </w:rPr>
        <w:t>المحاسن</w:t>
      </w:r>
      <w:r w:rsidRPr="00132E65">
        <w:rPr>
          <w:rtl/>
        </w:rPr>
        <w:t xml:space="preserve"> ، ص 276 ، ح 392 ؛ و</w:t>
      </w:r>
      <w:r w:rsidRPr="00243115">
        <w:rPr>
          <w:rtl/>
        </w:rPr>
        <w:t>التوحيد</w:t>
      </w:r>
      <w:r w:rsidRPr="00132E65">
        <w:rPr>
          <w:rtl/>
        </w:rPr>
        <w:t xml:space="preserve"> ، ص 414 ، ح 11.</w:t>
      </w:r>
    </w:p>
    <w:p w:rsidR="000C39D1" w:rsidRPr="00F24C1F" w:rsidRDefault="000C39D1" w:rsidP="00E55206">
      <w:pPr>
        <w:pStyle w:val="libFootnote0"/>
        <w:rPr>
          <w:rtl/>
        </w:rPr>
      </w:pPr>
      <w:r w:rsidRPr="00F24C1F">
        <w:rPr>
          <w:rtl/>
        </w:rPr>
        <w:t>والواسطة بين يونس بن عبدالرحمن وبين عبدالأعلى منحصرة في حمّاد [ بن عثمان ] حسب تتبّعنا ؛ فعليه الظاهر سقوط الواسطة في سندنا بين يونس بن عبدالرحمن وبين عبدالأعلى ، وهو حمّاد [ بن عثمان ].</w:t>
      </w:r>
    </w:p>
    <w:p w:rsidR="000C39D1" w:rsidRPr="00132E65" w:rsidRDefault="000C39D1" w:rsidP="000C39D1">
      <w:pPr>
        <w:pStyle w:val="libFootnote0"/>
        <w:rPr>
          <w:rtl/>
          <w:lang w:bidi="fa-IR"/>
        </w:rPr>
      </w:pPr>
      <w:r>
        <w:rPr>
          <w:rtl/>
        </w:rPr>
        <w:t>(5).</w:t>
      </w:r>
      <w:r w:rsidRPr="00132E65">
        <w:rPr>
          <w:rtl/>
        </w:rPr>
        <w:t xml:space="preserve"> « استَودَعني ما هناك » ، أي جعله عنده وديعة وطلب منه حفظه. يقال : استودعته وديعةً ، إذا استحفظتَه إيّاها. راجع : </w:t>
      </w:r>
      <w:r w:rsidRPr="00243115">
        <w:rPr>
          <w:rtl/>
        </w:rPr>
        <w:t>الصحاح</w:t>
      </w:r>
      <w:r w:rsidRPr="00132E65">
        <w:rPr>
          <w:rtl/>
        </w:rPr>
        <w:t xml:space="preserve"> ، ج 3 ، ص 1296 ( ودع )</w:t>
      </w:r>
      <w:r>
        <w:rPr>
          <w:rtl/>
        </w:rPr>
        <w:t>.</w:t>
      </w:r>
      <w:r>
        <w:rPr>
          <w:rFonts w:hint="cs"/>
          <w:rtl/>
        </w:rPr>
        <w:t xml:space="preserve">   </w:t>
      </w:r>
      <w:r w:rsidR="00242766">
        <w:rPr>
          <w:rFonts w:hint="cs"/>
          <w:rtl/>
        </w:rPr>
        <w:t xml:space="preserve">             </w:t>
      </w:r>
      <w:r>
        <w:rPr>
          <w:rFonts w:hint="cs"/>
          <w:rtl/>
        </w:rPr>
        <w:t xml:space="preserve"> </w:t>
      </w:r>
      <w:r>
        <w:rPr>
          <w:rtl/>
        </w:rPr>
        <w:t>(6). في« ف،ه‍،بف»</w:t>
      </w:r>
      <w:r w:rsidRPr="00132E65">
        <w:rPr>
          <w:rtl/>
        </w:rPr>
        <w:t>و</w:t>
      </w:r>
      <w:r w:rsidRPr="000577A7">
        <w:rPr>
          <w:rStyle w:val="libFootnoteBoldChar"/>
          <w:rtl/>
        </w:rPr>
        <w:t>الكافي</w:t>
      </w:r>
      <w:r>
        <w:rPr>
          <w:rtl/>
        </w:rPr>
        <w:t>،ح 987،والإرشاد:-«له</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البقرة </w:t>
            </w:r>
            <w:r>
              <w:rPr>
                <w:rtl/>
              </w:rPr>
              <w:t>(2)</w:t>
            </w:r>
            <w:r w:rsidRPr="00132E65">
              <w:rPr>
                <w:rtl/>
              </w:rPr>
              <w:t>: 132.</w:t>
            </w:r>
          </w:p>
        </w:tc>
        <w:tc>
          <w:tcPr>
            <w:tcW w:w="4006" w:type="dxa"/>
          </w:tcPr>
          <w:p w:rsidR="000C39D1" w:rsidRDefault="000C39D1" w:rsidP="00B53873">
            <w:pPr>
              <w:pStyle w:val="libFootnote0"/>
              <w:rPr>
                <w:rtl/>
              </w:rPr>
            </w:pPr>
            <w:r>
              <w:rPr>
                <w:rtl/>
              </w:rPr>
              <w:t>(8).</w:t>
            </w:r>
            <w:r w:rsidRPr="00132E65">
              <w:rPr>
                <w:rtl/>
              </w:rPr>
              <w:t xml:space="preserve"> في </w:t>
            </w:r>
            <w:r w:rsidRPr="000577A7">
              <w:rPr>
                <w:rStyle w:val="libFootnoteBoldChar"/>
                <w:rtl/>
              </w:rPr>
              <w:t>الكافي</w:t>
            </w:r>
            <w:r w:rsidRPr="00132E65">
              <w:rPr>
                <w:rtl/>
              </w:rPr>
              <w:t xml:space="preserve"> ، ح 987 :</w:t>
            </w:r>
            <w:r>
              <w:rPr>
                <w:rtl/>
              </w:rPr>
              <w:t xml:space="preserve"> + </w:t>
            </w:r>
            <w:r w:rsidRPr="00132E65">
              <w:rPr>
                <w:rtl/>
              </w:rPr>
              <w:t>« ابنه »</w:t>
            </w:r>
            <w:r>
              <w:rPr>
                <w:rtl/>
              </w:rPr>
              <w:t>.</w:t>
            </w:r>
          </w:p>
        </w:tc>
      </w:tr>
    </w:tbl>
    <w:p w:rsidR="000C39D1" w:rsidRPr="00132E65" w:rsidRDefault="000C39D1" w:rsidP="000C39D1">
      <w:pPr>
        <w:pStyle w:val="libFootnote0"/>
        <w:rPr>
          <w:rtl/>
          <w:lang w:bidi="fa-IR"/>
        </w:rPr>
      </w:pPr>
      <w:r>
        <w:rPr>
          <w:rtl/>
        </w:rPr>
        <w:t>(9).</w:t>
      </w:r>
      <w:r w:rsidRPr="00132E65">
        <w:rPr>
          <w:rtl/>
        </w:rPr>
        <w:t xml:space="preserve"> « البُرْد » : ثوب فيه خطوط. وقيل : البُرد : معروف من بُرود العصب والوشي ، وأمّا البُرْدَة فكساء مربّع أسود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الَّذِي كَانَ يُصَلِّي فِيهِ الْجُمُعَةَ </w:t>
      </w:r>
      <w:r>
        <w:rPr>
          <w:rStyle w:val="libFootnotenumChar"/>
          <w:rtl/>
        </w:rPr>
        <w:t>(1)</w:t>
      </w:r>
      <w:r w:rsidRPr="00132E65">
        <w:rPr>
          <w:rtl/>
          <w:lang w:bidi="fa-IR"/>
        </w:rPr>
        <w:t xml:space="preserve"> ، وأَنْ يُعَمِّمَهُ بِعِمَامَتِهِ </w:t>
      </w:r>
      <w:r>
        <w:rPr>
          <w:rStyle w:val="libFootnotenumChar"/>
          <w:rtl/>
        </w:rPr>
        <w:t>(2)</w:t>
      </w:r>
      <w:r w:rsidRPr="00132E65">
        <w:rPr>
          <w:rtl/>
          <w:lang w:bidi="fa-IR"/>
        </w:rPr>
        <w:t xml:space="preserve"> ، وأَنْ يُرَبِّعَ قَبْرَهُ ، ويَرْفَعَهُ </w:t>
      </w:r>
      <w:r>
        <w:rPr>
          <w:rStyle w:val="libFootnotenumChar"/>
          <w:rtl/>
        </w:rPr>
        <w:t>(3)</w:t>
      </w:r>
      <w:r w:rsidRPr="00132E65">
        <w:rPr>
          <w:rtl/>
          <w:lang w:bidi="fa-IR"/>
        </w:rPr>
        <w:t xml:space="preserve"> أَرْبَعَ أَصَابِعَ ، وأَنْ </w:t>
      </w:r>
      <w:r>
        <w:rPr>
          <w:rStyle w:val="libFootnotenumChar"/>
          <w:rtl/>
        </w:rPr>
        <w:t>(4)</w:t>
      </w:r>
      <w:r w:rsidRPr="00132E65">
        <w:rPr>
          <w:rtl/>
          <w:lang w:bidi="fa-IR"/>
        </w:rPr>
        <w:t xml:space="preserve"> يَحُلَّ عَنْهُ أَطْمَارَهُ </w:t>
      </w:r>
      <w:r>
        <w:rPr>
          <w:rStyle w:val="libFootnotenumChar"/>
          <w:rtl/>
        </w:rPr>
        <w:t>(5)</w:t>
      </w:r>
      <w:r w:rsidRPr="00132E65">
        <w:rPr>
          <w:rtl/>
          <w:lang w:bidi="fa-IR"/>
        </w:rPr>
        <w:t xml:space="preserve"> عِنْدَ دَفْنِهِ </w:t>
      </w:r>
      <w:r>
        <w:rPr>
          <w:rStyle w:val="libFootnotenumChar"/>
          <w:rtl/>
        </w:rPr>
        <w:t>(6)</w:t>
      </w:r>
      <w:r w:rsidRPr="00132E65">
        <w:rPr>
          <w:rtl/>
          <w:lang w:bidi="fa-IR"/>
        </w:rPr>
        <w:t xml:space="preserve"> ، ثُمَّ قَالَ لِلشُّهُودِ : انْصَرِفُوا رَحِمَكُمُ اللهُ.</w:t>
      </w:r>
    </w:p>
    <w:p w:rsidR="000C39D1" w:rsidRPr="00132E65" w:rsidRDefault="000C39D1" w:rsidP="000C39D1">
      <w:pPr>
        <w:pStyle w:val="libNormal"/>
        <w:rPr>
          <w:rtl/>
          <w:lang w:bidi="fa-IR"/>
        </w:rPr>
      </w:pPr>
      <w:r w:rsidRPr="00132E65">
        <w:rPr>
          <w:rtl/>
          <w:lang w:bidi="fa-IR"/>
        </w:rPr>
        <w:t xml:space="preserve">فَقُلْتُ لَهُ </w:t>
      </w:r>
      <w:r>
        <w:rPr>
          <w:rStyle w:val="libFootnotenumChar"/>
          <w:rtl/>
        </w:rPr>
        <w:t>(7)</w:t>
      </w:r>
      <w:r>
        <w:rPr>
          <w:rtl/>
          <w:lang w:bidi="fa-IR"/>
        </w:rPr>
        <w:t xml:space="preserve"> - </w:t>
      </w:r>
      <w:r w:rsidRPr="00132E65">
        <w:rPr>
          <w:rtl/>
          <w:lang w:bidi="fa-IR"/>
        </w:rPr>
        <w:t>بَعْدَ مَا انْصَرَفُوا</w:t>
      </w:r>
      <w:r>
        <w:rPr>
          <w:rtl/>
          <w:lang w:bidi="fa-IR"/>
        </w:rPr>
        <w:t xml:space="preserve"> - </w:t>
      </w:r>
      <w:r w:rsidRPr="00132E65">
        <w:rPr>
          <w:rtl/>
          <w:lang w:bidi="fa-IR"/>
        </w:rPr>
        <w:t xml:space="preserve">: يَا أَبَتِ </w:t>
      </w:r>
      <w:r>
        <w:rPr>
          <w:rStyle w:val="libFootnotenumChar"/>
          <w:rtl/>
        </w:rPr>
        <w:t>(8)</w:t>
      </w:r>
      <w:r w:rsidRPr="00132E65">
        <w:rPr>
          <w:rtl/>
          <w:lang w:bidi="fa-IR"/>
        </w:rPr>
        <w:t xml:space="preserve"> مَا كَانَ فِي هذَا </w:t>
      </w:r>
      <w:r>
        <w:rPr>
          <w:rStyle w:val="libFootnotenumChar"/>
          <w:rtl/>
        </w:rPr>
        <w:t>(9)</w:t>
      </w:r>
      <w:r w:rsidRPr="00132E65">
        <w:rPr>
          <w:rtl/>
          <w:lang w:bidi="fa-IR"/>
        </w:rPr>
        <w:t xml:space="preserve"> بِأَنْ تُشْهِدَ عَلَيْهِ </w:t>
      </w:r>
      <w:r>
        <w:rPr>
          <w:rStyle w:val="libFootnotenumChar"/>
          <w:rtl/>
        </w:rPr>
        <w:t>(10)</w:t>
      </w:r>
      <w:r>
        <w:rPr>
          <w:rtl/>
          <w:lang w:bidi="fa-IR"/>
        </w:rPr>
        <w:t>؟</w:t>
      </w:r>
    </w:p>
    <w:p w:rsidR="000C39D1" w:rsidRPr="00132E65" w:rsidRDefault="000C39D1" w:rsidP="000C39D1">
      <w:pPr>
        <w:pStyle w:val="libNormal"/>
        <w:rPr>
          <w:rtl/>
          <w:lang w:bidi="fa-IR"/>
        </w:rPr>
      </w:pPr>
      <w:r w:rsidRPr="00132E65">
        <w:rPr>
          <w:rtl/>
          <w:lang w:bidi="fa-IR"/>
        </w:rPr>
        <w:t xml:space="preserve">فَقَالَ : يَا بُنَيَّ </w:t>
      </w:r>
      <w:r>
        <w:rPr>
          <w:rStyle w:val="libFootnotenumChar"/>
          <w:rtl/>
        </w:rPr>
        <w:t>(11)</w:t>
      </w:r>
      <w:r w:rsidRPr="00132E65">
        <w:rPr>
          <w:rtl/>
          <w:lang w:bidi="fa-IR"/>
        </w:rPr>
        <w:t xml:space="preserve"> كَرِهْتُ أَنْ تُغْلَبَ ، وأَنْ يُقَالَ : إِنَّهُ </w:t>
      </w:r>
      <w:r>
        <w:rPr>
          <w:rStyle w:val="libFootnotenumChar"/>
          <w:rtl/>
        </w:rPr>
        <w:t>(12)</w:t>
      </w:r>
      <w:r w:rsidRPr="00132E65">
        <w:rPr>
          <w:rtl/>
          <w:lang w:bidi="fa-IR"/>
        </w:rPr>
        <w:t xml:space="preserve"> لَمْ يُوصَ إِلَيْهِ </w:t>
      </w:r>
      <w:r w:rsidRPr="00F543F1">
        <w:rPr>
          <w:rStyle w:val="libFootnotenumChar"/>
          <w:rtl/>
        </w:rPr>
        <w:t>(13)</w:t>
      </w:r>
      <w:r w:rsidRPr="00132E65">
        <w:rPr>
          <w:rtl/>
          <w:lang w:bidi="fa-IR"/>
        </w:rPr>
        <w:t xml:space="preserve"> ، فَأَرَدْتُ أَنْ تَكُونَ </w:t>
      </w:r>
      <w:r w:rsidRPr="00F543F1">
        <w:rPr>
          <w:rStyle w:val="libFootnotenumChar"/>
          <w:rtl/>
        </w:rPr>
        <w:t>(14)</w:t>
      </w:r>
      <w:r w:rsidRPr="00132E65">
        <w:rPr>
          <w:rtl/>
          <w:lang w:bidi="fa-IR"/>
        </w:rPr>
        <w:t xml:space="preserve"> لَكَ الْحُجَّةُ »</w:t>
      </w:r>
      <w:r>
        <w:rPr>
          <w:rtl/>
          <w:lang w:bidi="fa-IR"/>
        </w:rPr>
        <w:t>.</w:t>
      </w:r>
      <w:r w:rsidRPr="00132E65">
        <w:rPr>
          <w:rtl/>
          <w:lang w:bidi="fa-IR"/>
        </w:rPr>
        <w:t xml:space="preserve"> </w:t>
      </w:r>
      <w:r w:rsidRPr="00F543F1">
        <w:rPr>
          <w:rStyle w:val="libFootnotenumChar"/>
          <w:rtl/>
        </w:rPr>
        <w:t>(15)</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فيه صفر تلبسه العرب. راجع : </w:t>
      </w:r>
      <w:r w:rsidRPr="009D1ACE">
        <w:rPr>
          <w:rStyle w:val="libFootnoteBoldChar"/>
          <w:rtl/>
        </w:rPr>
        <w:t>لسان العرب</w:t>
      </w:r>
      <w:r w:rsidRPr="00132E65">
        <w:rPr>
          <w:rtl/>
        </w:rPr>
        <w:t xml:space="preserve"> ، ج 3 ، ص 87 ( برد )</w:t>
      </w:r>
      <w:r>
        <w:rPr>
          <w:rtl/>
        </w:rPr>
        <w:t>.</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987 : « الجُمع »</w:t>
      </w:r>
      <w:r>
        <w:rPr>
          <w:rtl/>
        </w:rPr>
        <w:t>.</w:t>
      </w:r>
    </w:p>
    <w:p w:rsidR="000C39D1" w:rsidRPr="00132E65" w:rsidRDefault="000C39D1" w:rsidP="000C39D1">
      <w:pPr>
        <w:pStyle w:val="libFootnote0"/>
        <w:rPr>
          <w:rtl/>
          <w:lang w:bidi="fa-IR"/>
        </w:rPr>
      </w:pPr>
      <w:r>
        <w:rPr>
          <w:rtl/>
        </w:rPr>
        <w:t>(2).</w:t>
      </w:r>
      <w:r w:rsidRPr="00132E65">
        <w:rPr>
          <w:rtl/>
        </w:rPr>
        <w:t xml:space="preserve"> في « بر » : « بعمامة »</w:t>
      </w:r>
      <w:r>
        <w:rPr>
          <w:rtl/>
        </w:rPr>
        <w:t>.</w:t>
      </w:r>
    </w:p>
    <w:p w:rsidR="000C39D1" w:rsidRPr="00132E65" w:rsidRDefault="000C39D1" w:rsidP="000C39D1">
      <w:pPr>
        <w:pStyle w:val="libFootnote0"/>
        <w:rPr>
          <w:rtl/>
          <w:lang w:bidi="fa-IR"/>
        </w:rPr>
      </w:pPr>
      <w:r>
        <w:rPr>
          <w:rtl/>
        </w:rPr>
        <w:t>(3).</w:t>
      </w:r>
      <w:r w:rsidRPr="00132E65">
        <w:rPr>
          <w:rtl/>
        </w:rPr>
        <w:t xml:space="preserve"> في « ج » : « ويرفع قبره »</w:t>
      </w:r>
      <w:r>
        <w:rPr>
          <w:rtl/>
        </w:rPr>
        <w:t>.</w:t>
      </w:r>
      <w:r w:rsidRPr="00132E65">
        <w:rPr>
          <w:rtl/>
        </w:rPr>
        <w:t xml:space="preserve"> وفي « بح » : « ويرفع »</w:t>
      </w:r>
      <w:r>
        <w:rPr>
          <w:rtl/>
        </w:rPr>
        <w:t>.</w:t>
      </w:r>
    </w:p>
    <w:p w:rsidR="000C39D1" w:rsidRPr="00132E65" w:rsidRDefault="000C39D1" w:rsidP="00242766">
      <w:pPr>
        <w:pStyle w:val="libFootnote0"/>
        <w:rPr>
          <w:rtl/>
          <w:lang w:bidi="fa-IR"/>
        </w:rPr>
      </w:pPr>
      <w:r>
        <w:rPr>
          <w:rtl/>
        </w:rPr>
        <w:t>(4).</w:t>
      </w:r>
      <w:r w:rsidRPr="00132E65">
        <w:rPr>
          <w:rtl/>
        </w:rPr>
        <w:t xml:space="preserve"> في « ه‍ </w:t>
      </w:r>
      <w:r w:rsidR="00242766" w:rsidRPr="00132E65">
        <w:rPr>
          <w:rtl/>
        </w:rPr>
        <w:t>»</w:t>
      </w:r>
      <w:r w:rsidRPr="00132E65">
        <w:rPr>
          <w:rtl/>
        </w:rPr>
        <w:t xml:space="preserve"> : « ثمّ » بدل « وأن »</w:t>
      </w:r>
      <w:r>
        <w:rPr>
          <w:rtl/>
        </w:rPr>
        <w:t>.</w:t>
      </w:r>
    </w:p>
    <w:p w:rsidR="000C39D1" w:rsidRPr="00132E65" w:rsidRDefault="000C39D1" w:rsidP="000C39D1">
      <w:pPr>
        <w:pStyle w:val="libFootnote0"/>
        <w:rPr>
          <w:rtl/>
          <w:lang w:bidi="fa-IR"/>
        </w:rPr>
      </w:pPr>
      <w:r>
        <w:rPr>
          <w:rtl/>
        </w:rPr>
        <w:t>(5).</w:t>
      </w:r>
      <w:r w:rsidRPr="00132E65">
        <w:rPr>
          <w:rtl/>
        </w:rPr>
        <w:t xml:space="preserve"> « الأطمار » : جمع الطِمْر ، وهو الثوب الخَلَق ، أو الكِساء البالي من غير الصوف. </w:t>
      </w:r>
      <w:r w:rsidRPr="00243115">
        <w:rPr>
          <w:rtl/>
        </w:rPr>
        <w:t>القاموس المحيط</w:t>
      </w:r>
      <w:r w:rsidRPr="00132E65">
        <w:rPr>
          <w:rtl/>
        </w:rPr>
        <w:t xml:space="preserve"> ، ج 1 ، ص 604 ( طمر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0577A7">
        <w:rPr>
          <w:rStyle w:val="libFootnoteBoldChar"/>
          <w:rtl/>
        </w:rPr>
        <w:t>الكافي</w:t>
      </w:r>
      <w:r w:rsidRPr="00132E65">
        <w:rPr>
          <w:rtl/>
        </w:rPr>
        <w:t xml:space="preserve"> ، ح 987 : « ثمّ يُخلّي عنه فقال اطووه » بدل « وأن يحلّ عنه أطماره عند دفنه »</w:t>
      </w:r>
      <w:r>
        <w:rPr>
          <w:rtl/>
        </w:rPr>
        <w:t>.</w:t>
      </w:r>
    </w:p>
    <w:p w:rsidR="000C39D1" w:rsidRPr="00132E65" w:rsidRDefault="000C39D1" w:rsidP="00242766">
      <w:pPr>
        <w:pStyle w:val="libFootnote0"/>
        <w:rPr>
          <w:rtl/>
          <w:lang w:bidi="fa-IR"/>
        </w:rPr>
      </w:pPr>
      <w:r>
        <w:rPr>
          <w:rtl/>
        </w:rPr>
        <w:t>(7).</w:t>
      </w:r>
      <w:r w:rsidRPr="00132E65">
        <w:rPr>
          <w:rtl/>
        </w:rPr>
        <w:t xml:space="preserve"> في « ه‍ </w:t>
      </w:r>
      <w:r w:rsidR="00242766" w:rsidRPr="00132E65">
        <w:rPr>
          <w:rtl/>
        </w:rPr>
        <w:t>»</w:t>
      </w:r>
      <w:r w:rsidRPr="00132E65">
        <w:rPr>
          <w:rtl/>
        </w:rPr>
        <w:t xml:space="preserve"> و</w:t>
      </w:r>
      <w:r w:rsidRPr="000577A7">
        <w:rPr>
          <w:rStyle w:val="libFootnoteBoldChar"/>
          <w:rtl/>
        </w:rPr>
        <w:t>الكافي</w:t>
      </w:r>
      <w:r w:rsidRPr="00132E65">
        <w:rPr>
          <w:rtl/>
        </w:rPr>
        <w:t xml:space="preserve"> ، ح 987 </w:t>
      </w:r>
      <w:r>
        <w:rPr>
          <w:rtl/>
        </w:rPr>
        <w:t xml:space="preserve">: - </w:t>
      </w:r>
      <w:r w:rsidRPr="00132E65">
        <w:rPr>
          <w:rtl/>
        </w:rPr>
        <w:t>« له »</w:t>
      </w:r>
      <w:r>
        <w:rPr>
          <w:rtl/>
        </w:rPr>
        <w:t>.</w:t>
      </w:r>
    </w:p>
    <w:p w:rsidR="000C39D1" w:rsidRPr="00132E65" w:rsidRDefault="000C39D1" w:rsidP="00242766">
      <w:pPr>
        <w:pStyle w:val="libFootnote0"/>
        <w:rPr>
          <w:rtl/>
          <w:lang w:bidi="fa-IR"/>
        </w:rPr>
      </w:pPr>
      <w:r>
        <w:rPr>
          <w:rtl/>
        </w:rPr>
        <w:t>(8).</w:t>
      </w:r>
      <w:r w:rsidRPr="00132E65">
        <w:rPr>
          <w:rtl/>
        </w:rPr>
        <w:t xml:space="preserve"> هكذا في « ب »</w:t>
      </w:r>
      <w:r>
        <w:rPr>
          <w:rtl/>
        </w:rPr>
        <w:t>.</w:t>
      </w:r>
      <w:r w:rsidRPr="00132E65">
        <w:rPr>
          <w:rtl/>
        </w:rPr>
        <w:t xml:space="preserve"> وفي المطبوع وبعض النسخ : « فقلت له : يا أبت بعد ما انصرفوا »</w:t>
      </w:r>
      <w:r>
        <w:rPr>
          <w:rtl/>
        </w:rPr>
        <w:t>.</w:t>
      </w:r>
      <w:r w:rsidRPr="00132E65">
        <w:rPr>
          <w:rtl/>
        </w:rPr>
        <w:t xml:space="preserve"> وفي « ه‍ </w:t>
      </w:r>
      <w:r w:rsidR="00242766" w:rsidRPr="00132E65">
        <w:rPr>
          <w:rtl/>
        </w:rPr>
        <w:t>»</w:t>
      </w:r>
      <w:r w:rsidRPr="00132E65">
        <w:rPr>
          <w:rtl/>
        </w:rPr>
        <w:t xml:space="preserve"> : « فقلت بعد ما انصرفوا : ما كان في هذا يا أبه أن تشهد »</w:t>
      </w:r>
      <w:r>
        <w:rPr>
          <w:rtl/>
        </w:rPr>
        <w:t>.</w:t>
      </w:r>
      <w:r w:rsidRPr="00132E65">
        <w:rPr>
          <w:rtl/>
        </w:rPr>
        <w:t xml:space="preserve"> وفي « بس ، بف » و</w:t>
      </w:r>
      <w:r w:rsidRPr="009D1ACE">
        <w:rPr>
          <w:rStyle w:val="libFootnoteBoldChar"/>
          <w:rtl/>
        </w:rPr>
        <w:t>الوافي</w:t>
      </w:r>
      <w:r w:rsidRPr="00132E65">
        <w:rPr>
          <w:rtl/>
        </w:rPr>
        <w:t xml:space="preserve"> والإرشاد </w:t>
      </w:r>
      <w:r>
        <w:rPr>
          <w:rtl/>
        </w:rPr>
        <w:t xml:space="preserve">: - </w:t>
      </w:r>
      <w:r w:rsidRPr="00132E65">
        <w:rPr>
          <w:rtl/>
        </w:rPr>
        <w:t>« بعد ما انصرفوا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ما كان في هذا ، « ما » نافية ، أي لم تكن لك حاجة في ذلك بأن تشهد ، أي إلى أن تشهد. أو استفهاميّة ، أي أيّ فائدة في هذا »</w:t>
      </w:r>
      <w:r>
        <w:rPr>
          <w:rtl/>
        </w:rPr>
        <w:t>.</w:t>
      </w:r>
    </w:p>
    <w:p w:rsidR="000C39D1" w:rsidRPr="00132E65" w:rsidRDefault="000C39D1" w:rsidP="000C39D1">
      <w:pPr>
        <w:pStyle w:val="libFootnote0"/>
        <w:rPr>
          <w:rtl/>
          <w:lang w:bidi="fa-IR"/>
        </w:rPr>
      </w:pPr>
      <w:r>
        <w:rPr>
          <w:rtl/>
        </w:rPr>
        <w:t>(10).</w:t>
      </w:r>
      <w:r w:rsidRPr="00132E65">
        <w:rPr>
          <w:rtl/>
        </w:rPr>
        <w:t xml:space="preserve"> في « بح ، بس ، بف » و</w:t>
      </w:r>
      <w:r w:rsidRPr="009D1ACE">
        <w:rPr>
          <w:rStyle w:val="libFootnoteBoldChar"/>
          <w:rtl/>
        </w:rPr>
        <w:t>الوافي</w:t>
      </w:r>
      <w:r w:rsidRPr="00132E65">
        <w:rPr>
          <w:rtl/>
        </w:rPr>
        <w:t xml:space="preserve"> والإرشاد : « يشهد عليه »</w:t>
      </w:r>
      <w:r>
        <w:rPr>
          <w:rtl/>
        </w:rPr>
        <w:t>.</w:t>
      </w:r>
      <w:r w:rsidRPr="00132E65">
        <w:rPr>
          <w:rtl/>
        </w:rPr>
        <w:t xml:space="preserve"> وفي </w:t>
      </w:r>
      <w:r w:rsidRPr="000577A7">
        <w:rPr>
          <w:rStyle w:val="libFootnoteBoldChar"/>
          <w:rtl/>
        </w:rPr>
        <w:t>الكافي</w:t>
      </w:r>
      <w:r w:rsidRPr="00132E65">
        <w:rPr>
          <w:rtl/>
        </w:rPr>
        <w:t xml:space="preserve"> ، ح 987 : « ما كان في هذا يا أبت ، أن تشهد عليه » بدل « يا أبت</w:t>
      </w:r>
      <w:r>
        <w:rPr>
          <w:rtl/>
        </w:rPr>
        <w:t xml:space="preserve"> - </w:t>
      </w:r>
      <w:r w:rsidRPr="00132E65">
        <w:rPr>
          <w:rtl/>
        </w:rPr>
        <w:t>إلى</w:t>
      </w:r>
      <w:r>
        <w:rPr>
          <w:rtl/>
        </w:rPr>
        <w:t xml:space="preserve"> - </w:t>
      </w:r>
      <w:r w:rsidRPr="00132E65">
        <w:rPr>
          <w:rtl/>
        </w:rPr>
        <w:t>تشهد عليه »</w:t>
      </w:r>
      <w:r>
        <w:rPr>
          <w:rtl/>
        </w:rPr>
        <w:t>.</w:t>
      </w:r>
      <w:r w:rsidRPr="00132E65">
        <w:rPr>
          <w:rtl/>
        </w:rPr>
        <w:t xml:space="preserve"> وفي </w:t>
      </w:r>
      <w:r w:rsidRPr="009D1ACE">
        <w:rPr>
          <w:rStyle w:val="libFootnoteBoldChar"/>
          <w:rtl/>
        </w:rPr>
        <w:t>مرآة العقول</w:t>
      </w:r>
      <w:r w:rsidRPr="00132E65">
        <w:rPr>
          <w:rtl/>
        </w:rPr>
        <w:t xml:space="preserve"> : « تشهد ، بصيغة الخطاب المعلوم ، أو بصيغة الغائب المجهول »</w:t>
      </w:r>
      <w:r>
        <w:rPr>
          <w:rtl/>
        </w:rPr>
        <w:t>.</w:t>
      </w:r>
    </w:p>
    <w:p w:rsidR="000C39D1" w:rsidRPr="00132E65" w:rsidRDefault="000C39D1" w:rsidP="00242766">
      <w:pPr>
        <w:pStyle w:val="libFootnote0"/>
        <w:rPr>
          <w:rtl/>
          <w:lang w:bidi="fa-IR"/>
        </w:rPr>
      </w:pPr>
      <w:r>
        <w:rPr>
          <w:rtl/>
        </w:rPr>
        <w:t>(11).</w:t>
      </w:r>
      <w:r w:rsidRPr="00132E65">
        <w:rPr>
          <w:rtl/>
        </w:rPr>
        <w:t xml:space="preserve"> في « ف ، بح » :</w:t>
      </w:r>
      <w:r>
        <w:rPr>
          <w:rtl/>
        </w:rPr>
        <w:t xml:space="preserve"> + </w:t>
      </w:r>
      <w:r w:rsidRPr="00132E65">
        <w:rPr>
          <w:rtl/>
        </w:rPr>
        <w:t>« إنّي »</w:t>
      </w:r>
      <w:r>
        <w:rPr>
          <w:rtl/>
        </w:rPr>
        <w:t>.</w:t>
      </w:r>
      <w:r w:rsidRPr="00132E65">
        <w:rPr>
          <w:rtl/>
        </w:rPr>
        <w:t xml:space="preserve"> وفي « ه‍ </w:t>
      </w:r>
      <w:r w:rsidR="00242766" w:rsidRPr="00132E65">
        <w:rPr>
          <w:rtl/>
        </w:rPr>
        <w:t>»</w:t>
      </w:r>
      <w:r w:rsidRPr="00132E65">
        <w:rPr>
          <w:rtl/>
        </w:rPr>
        <w:t xml:space="preserve"> و</w:t>
      </w:r>
      <w:r w:rsidRPr="000577A7">
        <w:rPr>
          <w:rStyle w:val="libFootnoteBoldChar"/>
          <w:rtl/>
        </w:rPr>
        <w:t>الكافي</w:t>
      </w:r>
      <w:r w:rsidRPr="00132E65">
        <w:rPr>
          <w:rtl/>
        </w:rPr>
        <w:t xml:space="preserve"> ، ح 987 : « إنّي » بدل « يا بُنيّ »</w:t>
      </w:r>
      <w:r>
        <w:rPr>
          <w:rtl/>
        </w:rPr>
        <w:t>.</w:t>
      </w:r>
    </w:p>
    <w:p w:rsidR="000C39D1" w:rsidRPr="00132E65" w:rsidRDefault="000C39D1" w:rsidP="000C39D1">
      <w:pPr>
        <w:pStyle w:val="libFootnote0"/>
        <w:rPr>
          <w:rtl/>
          <w:lang w:bidi="fa-IR"/>
        </w:rPr>
      </w:pPr>
      <w:r>
        <w:rPr>
          <w:rtl/>
        </w:rPr>
        <w:t>(12).</w:t>
      </w:r>
      <w:r w:rsidRPr="00132E65">
        <w:rPr>
          <w:rtl/>
        </w:rPr>
        <w:t xml:space="preserve"> في « ف » والإرشاد </w:t>
      </w:r>
      <w:r>
        <w:rPr>
          <w:rtl/>
        </w:rPr>
        <w:t xml:space="preserve">: - </w:t>
      </w:r>
      <w:r w:rsidRPr="00132E65">
        <w:rPr>
          <w:rtl/>
        </w:rPr>
        <w:t>« إنّه »</w:t>
      </w:r>
      <w:r>
        <w:rPr>
          <w:rtl/>
        </w:rPr>
        <w:t>.</w:t>
      </w:r>
    </w:p>
    <w:p w:rsidR="000C39D1" w:rsidRPr="00132E65" w:rsidRDefault="000C39D1" w:rsidP="00242766">
      <w:pPr>
        <w:pStyle w:val="libFootnote0"/>
        <w:rPr>
          <w:rtl/>
          <w:lang w:bidi="fa-IR"/>
        </w:rPr>
      </w:pPr>
      <w:r>
        <w:rPr>
          <w:rtl/>
        </w:rPr>
        <w:t>(13)</w:t>
      </w:r>
      <w:r w:rsidRPr="00132E65">
        <w:rPr>
          <w:rtl/>
        </w:rPr>
        <w:t xml:space="preserve"> في « ف » : « إليك »</w:t>
      </w:r>
      <w:r>
        <w:rPr>
          <w:rtl/>
        </w:rPr>
        <w:t>.</w:t>
      </w:r>
      <w:r w:rsidRPr="00132E65">
        <w:rPr>
          <w:rtl/>
        </w:rPr>
        <w:t xml:space="preserve"> وفي « ه‍ </w:t>
      </w:r>
      <w:r w:rsidR="00242766" w:rsidRPr="00132E65">
        <w:rPr>
          <w:rtl/>
        </w:rPr>
        <w:t>»</w:t>
      </w:r>
      <w:r w:rsidRPr="00132E65">
        <w:rPr>
          <w:rtl/>
        </w:rPr>
        <w:t xml:space="preserve"> و</w:t>
      </w:r>
      <w:r w:rsidRPr="000577A7">
        <w:rPr>
          <w:rStyle w:val="libFootnoteBoldChar"/>
          <w:rtl/>
        </w:rPr>
        <w:t>الكافي</w:t>
      </w:r>
      <w:r w:rsidRPr="00132E65">
        <w:rPr>
          <w:rtl/>
        </w:rPr>
        <w:t xml:space="preserve"> ، ح 987 </w:t>
      </w:r>
      <w:r>
        <w:rPr>
          <w:rtl/>
        </w:rPr>
        <w:t xml:space="preserve">: - </w:t>
      </w:r>
      <w:r w:rsidRPr="00132E65">
        <w:rPr>
          <w:rtl/>
        </w:rPr>
        <w:t>« إليه »</w:t>
      </w:r>
      <w:r>
        <w:rPr>
          <w:rtl/>
        </w:rPr>
        <w:t>.</w:t>
      </w:r>
    </w:p>
    <w:p w:rsidR="000C39D1" w:rsidRPr="00132E65" w:rsidRDefault="000C39D1" w:rsidP="00242766">
      <w:pPr>
        <w:pStyle w:val="libFootnote0"/>
        <w:rPr>
          <w:rtl/>
          <w:lang w:bidi="fa-IR"/>
        </w:rPr>
      </w:pPr>
      <w:r>
        <w:rPr>
          <w:rtl/>
        </w:rPr>
        <w:t>(14)</w:t>
      </w:r>
      <w:r w:rsidRPr="00132E65">
        <w:rPr>
          <w:rtl/>
        </w:rPr>
        <w:t xml:space="preserve"> في « ه‍ </w:t>
      </w:r>
      <w:r w:rsidR="00242766" w:rsidRPr="00132E65">
        <w:rPr>
          <w:rtl/>
        </w:rPr>
        <w:t>»</w:t>
      </w:r>
      <w:r w:rsidRPr="00132E65">
        <w:rPr>
          <w:rtl/>
        </w:rPr>
        <w:t xml:space="preserve"> : « يكون »</w:t>
      </w:r>
      <w:r>
        <w:rPr>
          <w:rtl/>
        </w:rPr>
        <w:t>.</w:t>
      </w:r>
    </w:p>
    <w:p w:rsidR="000C39D1" w:rsidRPr="00132E65" w:rsidRDefault="000C39D1" w:rsidP="000C39D1">
      <w:pPr>
        <w:pStyle w:val="libFootnote0"/>
        <w:rPr>
          <w:rtl/>
          <w:lang w:bidi="fa-IR"/>
        </w:rPr>
      </w:pPr>
      <w:r>
        <w:rPr>
          <w:rtl/>
        </w:rPr>
        <w:t>(15)</w:t>
      </w:r>
      <w:r w:rsidRPr="00132E65">
        <w:rPr>
          <w:rtl/>
        </w:rPr>
        <w:t xml:space="preserve"> </w:t>
      </w:r>
      <w:r w:rsidRPr="000577A7">
        <w:rPr>
          <w:rStyle w:val="libFootnoteBoldChar"/>
          <w:rtl/>
        </w:rPr>
        <w:t>الكافي</w:t>
      </w:r>
      <w:r w:rsidRPr="00132E65">
        <w:rPr>
          <w:rtl/>
        </w:rPr>
        <w:t xml:space="preserve"> ، كتاب الحجّة ، باب ما يجب على الناس عند مضيّ الإمام ، ح 987 ، مع زيادة في أوّله وآخره. الإرشاد ، ج 2 ، ص 181 ، عن يونس بن عبد الرحمن</w:t>
      </w:r>
      <w:r>
        <w:rPr>
          <w:rFonts w:hint="cs"/>
          <w:rtl/>
        </w:rPr>
        <w:t>.</w:t>
      </w:r>
      <w:r w:rsidRPr="009D1ACE">
        <w:rPr>
          <w:rStyle w:val="libFootnoteBoldChar"/>
          <w:rtl/>
        </w:rPr>
        <w:t>الوافي</w:t>
      </w:r>
      <w:r w:rsidRPr="00132E65">
        <w:rPr>
          <w:rtl/>
        </w:rPr>
        <w:t xml:space="preserve"> ، ج 2 ، ص 349 ، ح 814 ؛ </w:t>
      </w:r>
      <w:r w:rsidRPr="00243115">
        <w:rPr>
          <w:rtl/>
        </w:rPr>
        <w:t>الوسائل</w:t>
      </w:r>
      <w:r w:rsidRPr="00132E65">
        <w:rPr>
          <w:rtl/>
        </w:rPr>
        <w:t xml:space="preserve"> ، ج 3 ، ص 194 ، ذيل ح 3384.</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23" w:name="_Toc459459099"/>
      <w:bookmarkStart w:id="24" w:name="_Toc34663068"/>
      <w:r w:rsidRPr="00132E65">
        <w:rPr>
          <w:rtl/>
          <w:lang w:bidi="fa-IR"/>
        </w:rPr>
        <w:t>71</w:t>
      </w:r>
      <w:r>
        <w:rPr>
          <w:rtl/>
          <w:lang w:bidi="fa-IR"/>
        </w:rPr>
        <w:t xml:space="preserve"> - </w:t>
      </w:r>
      <w:r w:rsidRPr="00132E65">
        <w:rPr>
          <w:rtl/>
          <w:lang w:bidi="fa-IR"/>
        </w:rPr>
        <w:t xml:space="preserve">بَابُ الْإِشَارَةِ والنَّصِّ عَلى أَبِي الْحَسَنِ مُوسى </w:t>
      </w:r>
      <w:r w:rsidRPr="00071CF9">
        <w:rPr>
          <w:rStyle w:val="libAlaemChar"/>
          <w:rtl/>
        </w:rPr>
        <w:t>عليه‌السلام</w:t>
      </w:r>
      <w:r w:rsidRPr="00132E65">
        <w:rPr>
          <w:rtl/>
          <w:lang w:bidi="fa-IR"/>
        </w:rPr>
        <w:t>‌</w:t>
      </w:r>
      <w:bookmarkEnd w:id="23"/>
      <w:bookmarkEnd w:id="24"/>
    </w:p>
    <w:p w:rsidR="000C39D1" w:rsidRPr="00132E65" w:rsidRDefault="000C39D1" w:rsidP="000C39D1">
      <w:pPr>
        <w:pStyle w:val="libNormal"/>
        <w:rPr>
          <w:rtl/>
          <w:lang w:bidi="fa-IR"/>
        </w:rPr>
      </w:pPr>
      <w:r w:rsidRPr="00243115">
        <w:rPr>
          <w:rtl/>
        </w:rPr>
        <w:t>801</w:t>
      </w:r>
      <w:r w:rsidRPr="004325D8">
        <w:rPr>
          <w:rStyle w:val="libBold2Char"/>
          <w:rtl/>
        </w:rPr>
        <w:t xml:space="preserve"> / 1.</w:t>
      </w:r>
      <w:r w:rsidRPr="00132E65">
        <w:rPr>
          <w:rtl/>
          <w:lang w:bidi="fa-IR"/>
        </w:rPr>
        <w:t xml:space="preserve"> أَحْمَدُ بْنُ مِهْرَانَ ، عَنْ مُحَمَّدِ بْنِ عَلِيٍّ ، عَنْ عَبْدِ اللهِ الْقَلاَّءِ ، عَنِ الْفَيْضِ بْنِ الْمُخْتَارِ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خُذْ بِيَدِي مِنَ النَّارِ ، مَنْ لَنَا بَعْدَكَ</w:t>
      </w:r>
      <w:r>
        <w:rPr>
          <w:rtl/>
          <w:lang w:bidi="fa-IR"/>
        </w:rPr>
        <w:t>؟</w:t>
      </w:r>
      <w:r w:rsidRPr="00132E65">
        <w:rPr>
          <w:rtl/>
          <w:lang w:bidi="fa-IR"/>
        </w:rPr>
        <w:t xml:space="preserve"> فَدَخَلَ عَلَيْهِ أَبُو إِبْرَاهِيمَ </w:t>
      </w:r>
      <w:r w:rsidRPr="00071CF9">
        <w:rPr>
          <w:rStyle w:val="libAlaemChar"/>
          <w:rtl/>
        </w:rPr>
        <w:t>عليه‌السلام</w:t>
      </w:r>
      <w:r>
        <w:rPr>
          <w:rtl/>
          <w:lang w:bidi="fa-IR"/>
        </w:rPr>
        <w:t xml:space="preserve"> - </w:t>
      </w:r>
      <w:r w:rsidRPr="00132E65">
        <w:rPr>
          <w:rtl/>
          <w:lang w:bidi="fa-IR"/>
        </w:rPr>
        <w:t>وهُوَ يَوْمَئِذٍ غُلَامٌ</w:t>
      </w:r>
      <w:r>
        <w:rPr>
          <w:rtl/>
          <w:lang w:bidi="fa-IR"/>
        </w:rPr>
        <w:t xml:space="preserve"> - </w:t>
      </w:r>
      <w:r w:rsidRPr="00132E65">
        <w:rPr>
          <w:rtl/>
          <w:lang w:bidi="fa-IR"/>
        </w:rPr>
        <w:t xml:space="preserve">فَقَالَ : « هذَا صَاحِبُكُمْ ، فَتَمَسَّكْ </w:t>
      </w:r>
      <w:r>
        <w:rPr>
          <w:rStyle w:val="libFootnotenumChar"/>
          <w:rtl/>
        </w:rPr>
        <w:t>(1)</w:t>
      </w:r>
      <w:r w:rsidRPr="00132E65">
        <w:rPr>
          <w:rtl/>
          <w:lang w:bidi="fa-IR"/>
        </w:rPr>
        <w:t xml:space="preserve"> بِهِ »</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243115">
        <w:rPr>
          <w:rtl/>
        </w:rPr>
        <w:t>802</w:t>
      </w:r>
      <w:r w:rsidRPr="004325D8">
        <w:rPr>
          <w:rStyle w:val="libBold2Char"/>
          <w:rtl/>
        </w:rPr>
        <w:t xml:space="preserve"> / 2.</w:t>
      </w:r>
      <w:r w:rsidRPr="00132E65">
        <w:rPr>
          <w:rtl/>
          <w:lang w:bidi="fa-IR"/>
        </w:rPr>
        <w:t xml:space="preserve"> عِدَّةٌ مِنْ أَصْحَابِنَا ، عَنْ أَحْمَدَ بْنِ مُحَمَّدٍ ، عَنْ عَلِيِّ بْنِ الْحَكَمِ ، عَنْ أَبِي أَيُّوبَ الْخَرَّازِ </w:t>
      </w:r>
      <w:r>
        <w:rPr>
          <w:rStyle w:val="libFootnotenumChar"/>
          <w:rtl/>
        </w:rPr>
        <w:t>(3)</w:t>
      </w:r>
      <w:r w:rsidRPr="00132E65">
        <w:rPr>
          <w:rtl/>
          <w:lang w:bidi="fa-IR"/>
        </w:rPr>
        <w:t xml:space="preserve"> ، عَنْ ثُبَيْتٍ ، عَنْ مُعَاذِ بْنِ كَثِيرٍ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قُلْتُ لَهُ : أَسْأَلُ اللهَ</w:t>
      </w:r>
      <w:r>
        <w:rPr>
          <w:rtl/>
          <w:lang w:bidi="fa-IR"/>
        </w:rPr>
        <w:t xml:space="preserve"> - </w:t>
      </w:r>
      <w:r w:rsidRPr="00132E65">
        <w:rPr>
          <w:rtl/>
          <w:lang w:bidi="fa-IR"/>
        </w:rPr>
        <w:t xml:space="preserve">الَّذِي رَزَقَ أَبَاكَ مِنْكَ </w:t>
      </w:r>
      <w:r>
        <w:rPr>
          <w:rStyle w:val="libFootnotenumChar"/>
          <w:rtl/>
        </w:rPr>
        <w:t>(4)</w:t>
      </w:r>
      <w:r w:rsidRPr="00132E65">
        <w:rPr>
          <w:rtl/>
          <w:lang w:bidi="fa-IR"/>
        </w:rPr>
        <w:t xml:space="preserve"> هذِهِ الْمَنْزِلَةَ</w:t>
      </w:r>
      <w:r>
        <w:rPr>
          <w:rtl/>
          <w:lang w:bidi="fa-IR"/>
        </w:rPr>
        <w:t xml:space="preserve"> - </w:t>
      </w:r>
      <w:r w:rsidRPr="00132E65">
        <w:rPr>
          <w:rtl/>
          <w:lang w:bidi="fa-IR"/>
        </w:rPr>
        <w:t xml:space="preserve">أَنْ يَرْزُقَكَ مِنْ عَقِبِكَ </w:t>
      </w:r>
      <w:r>
        <w:rPr>
          <w:rStyle w:val="libFootnotenumChar"/>
          <w:rtl/>
        </w:rPr>
        <w:t>(5)</w:t>
      </w:r>
      <w:r w:rsidRPr="00132E65">
        <w:rPr>
          <w:rtl/>
          <w:lang w:bidi="fa-IR"/>
        </w:rPr>
        <w:t xml:space="preserve"> قَبْلَ الْمَمَاتِ مِثْلَهَا ، فَقَالَ </w:t>
      </w:r>
      <w:r>
        <w:rPr>
          <w:rStyle w:val="libFootnotenumChar"/>
          <w:rtl/>
        </w:rPr>
        <w:t>(6)</w:t>
      </w:r>
      <w:r w:rsidRPr="00132E65">
        <w:rPr>
          <w:rtl/>
          <w:lang w:bidi="fa-IR"/>
        </w:rPr>
        <w:t xml:space="preserve"> : « قَدْ فَعَلَ اللهُ </w:t>
      </w:r>
      <w:r>
        <w:rPr>
          <w:rStyle w:val="libFootnotenumChar"/>
          <w:rtl/>
        </w:rPr>
        <w:t>(7)</w:t>
      </w:r>
      <w:r w:rsidRPr="00132E65">
        <w:rPr>
          <w:rtl/>
          <w:lang w:bidi="fa-IR"/>
        </w:rPr>
        <w:t xml:space="preserve"> ذلِكَ »</w:t>
      </w:r>
      <w:r>
        <w:rPr>
          <w:rtl/>
          <w:lang w:bidi="fa-IR"/>
        </w:rPr>
        <w:t>.</w:t>
      </w:r>
    </w:p>
    <w:p w:rsidR="000C39D1" w:rsidRPr="00132E65" w:rsidRDefault="000C39D1" w:rsidP="000C39D1">
      <w:pPr>
        <w:pStyle w:val="libNormal"/>
        <w:rPr>
          <w:rtl/>
          <w:lang w:bidi="fa-IR"/>
        </w:rPr>
      </w:pPr>
      <w:r w:rsidRPr="00132E65">
        <w:rPr>
          <w:rtl/>
          <w:lang w:bidi="fa-IR"/>
        </w:rPr>
        <w:t>قَالَ : قُلْتُ : مَنْ هُوَ جُعِلْتُ فِدَاكَ</w:t>
      </w:r>
      <w:r>
        <w:rPr>
          <w:rtl/>
          <w:lang w:bidi="fa-IR"/>
        </w:rPr>
        <w:t>؟</w:t>
      </w:r>
      <w:r w:rsidRPr="00132E65">
        <w:rPr>
          <w:rtl/>
          <w:lang w:bidi="fa-IR"/>
        </w:rPr>
        <w:t xml:space="preserve"> فَأَشَارَ إِلَى الْعَبْدِ الصَّالِحِ وهُوَ رَاقِدٌ </w:t>
      </w:r>
      <w:r>
        <w:rPr>
          <w:rStyle w:val="libFootnotenumChar"/>
          <w:rtl/>
        </w:rPr>
        <w:t>(8)</w:t>
      </w:r>
      <w:r w:rsidRPr="00132E65">
        <w:rPr>
          <w:rtl/>
          <w:lang w:bidi="fa-IR"/>
        </w:rPr>
        <w:t xml:space="preserve"> ، فَقَالَ : « هذَا الرَّاقِدُ » وهُوَ غُلَامٌ. </w:t>
      </w:r>
      <w:r>
        <w:rPr>
          <w:rStyle w:val="libFootnotenumChar"/>
          <w:rtl/>
        </w:rPr>
        <w:t>(9)</w:t>
      </w:r>
      <w:r w:rsidRPr="00132E65">
        <w:rPr>
          <w:rtl/>
          <w:lang w:bidi="fa-IR"/>
        </w:rPr>
        <w:t>‌</w:t>
      </w:r>
    </w:p>
    <w:p w:rsidR="000C39D1" w:rsidRPr="00132E65" w:rsidRDefault="000C39D1" w:rsidP="000C39D1">
      <w:pPr>
        <w:pStyle w:val="libNormal"/>
        <w:rPr>
          <w:rtl/>
          <w:lang w:bidi="fa-IR"/>
        </w:rPr>
      </w:pPr>
      <w:r w:rsidRPr="00243115">
        <w:rPr>
          <w:rtl/>
        </w:rPr>
        <w:t>803</w:t>
      </w:r>
      <w:r w:rsidRPr="004325D8">
        <w:rPr>
          <w:rStyle w:val="libBold2Char"/>
          <w:rtl/>
        </w:rPr>
        <w:t xml:space="preserve"> / 3.</w:t>
      </w:r>
      <w:r w:rsidRPr="00132E65">
        <w:rPr>
          <w:rtl/>
          <w:lang w:bidi="fa-IR"/>
        </w:rPr>
        <w:t xml:space="preserve"> وبِهذَا الْإِسْنَادِ ، عَنْ أَحْمَدَ بْنِ مُحَمَّدٍ ، قَالَ : حَدَّثَنِي أَبُو عَلِيٍّ الْأَرَّجَانِيُّ‌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بر » وحاشية « ض ، بح » و</w:t>
      </w:r>
      <w:r w:rsidRPr="009D1ACE">
        <w:rPr>
          <w:rStyle w:val="libFootnoteBoldChar"/>
          <w:rtl/>
        </w:rPr>
        <w:t>الوافي</w:t>
      </w:r>
      <w:r w:rsidRPr="00132E65">
        <w:rPr>
          <w:rtl/>
        </w:rPr>
        <w:t xml:space="preserve"> : « فتمسّكوا »</w:t>
      </w:r>
      <w:r>
        <w:rPr>
          <w:rtl/>
        </w:rPr>
        <w:t>.</w:t>
      </w:r>
    </w:p>
    <w:p w:rsidR="000C39D1" w:rsidRPr="00132E65" w:rsidRDefault="000C39D1" w:rsidP="000C39D1">
      <w:pPr>
        <w:pStyle w:val="libFootnote0"/>
        <w:rPr>
          <w:rtl/>
          <w:lang w:bidi="fa-IR"/>
        </w:rPr>
      </w:pPr>
      <w:r>
        <w:rPr>
          <w:rtl/>
        </w:rPr>
        <w:t>(2).</w:t>
      </w:r>
      <w:r w:rsidRPr="00132E65">
        <w:rPr>
          <w:rtl/>
        </w:rPr>
        <w:t xml:space="preserve"> </w:t>
      </w:r>
      <w:r w:rsidRPr="00243115">
        <w:rPr>
          <w:rtl/>
        </w:rPr>
        <w:t>الإرشاد</w:t>
      </w:r>
      <w:r w:rsidRPr="00132E65">
        <w:rPr>
          <w:rtl/>
        </w:rPr>
        <w:t xml:space="preserve"> ، ج 2 ، ص 217 ، بسنده عن الفيض بن المختار</w:t>
      </w:r>
      <w:r>
        <w:rPr>
          <w:rFonts w:hint="cs"/>
          <w:rtl/>
        </w:rPr>
        <w:t>.</w:t>
      </w:r>
      <w:r w:rsidRPr="009D1ACE">
        <w:rPr>
          <w:rStyle w:val="libFootnoteBoldChar"/>
          <w:rtl/>
        </w:rPr>
        <w:t>الوافي</w:t>
      </w:r>
      <w:r w:rsidRPr="00132E65">
        <w:rPr>
          <w:rtl/>
        </w:rPr>
        <w:t xml:space="preserve"> ، ج 2 ، ص 350 ، ح 816.</w:t>
      </w:r>
    </w:p>
    <w:p w:rsidR="000C39D1" w:rsidRPr="00132E65" w:rsidRDefault="000C39D1" w:rsidP="000C39D1">
      <w:pPr>
        <w:pStyle w:val="libFootnote0"/>
        <w:rPr>
          <w:rtl/>
          <w:lang w:bidi="fa-IR"/>
        </w:rPr>
      </w:pPr>
      <w:r>
        <w:rPr>
          <w:rtl/>
        </w:rPr>
        <w:t>(3).</w:t>
      </w:r>
      <w:r w:rsidRPr="00132E65">
        <w:rPr>
          <w:rtl/>
        </w:rPr>
        <w:t xml:space="preserve"> هكذا في « ب ، و، بر ، بف » و</w:t>
      </w:r>
      <w:r w:rsidRPr="009D1ACE">
        <w:rPr>
          <w:rStyle w:val="libFootnoteBoldChar"/>
          <w:rtl/>
        </w:rPr>
        <w:t>الوافي</w:t>
      </w:r>
      <w:r w:rsidRPr="00132E65">
        <w:rPr>
          <w:rtl/>
        </w:rPr>
        <w:t>. وفي سائر النسخ والمطبوع : « الخزّاز »</w:t>
      </w:r>
      <w:r>
        <w:rPr>
          <w:rtl/>
        </w:rPr>
        <w:t>.</w:t>
      </w:r>
      <w:r w:rsidRPr="00132E65">
        <w:rPr>
          <w:rtl/>
        </w:rPr>
        <w:t xml:space="preserve"> وهو سهو ، كما تقدّم في </w:t>
      </w:r>
      <w:r w:rsidRPr="000577A7">
        <w:rPr>
          <w:rStyle w:val="libFootnoteBoldChar"/>
          <w:rtl/>
        </w:rPr>
        <w:t>الكافي</w:t>
      </w:r>
      <w:r w:rsidRPr="00132E65">
        <w:rPr>
          <w:rtl/>
        </w:rPr>
        <w:t xml:space="preserve"> ، ذيل ح 75.</w:t>
      </w:r>
      <w:r>
        <w:rPr>
          <w:rFonts w:hint="cs"/>
          <w:rtl/>
        </w:rPr>
        <w:t xml:space="preserve">                    </w:t>
      </w:r>
      <w:r w:rsidR="00242766">
        <w:rPr>
          <w:rFonts w:hint="cs"/>
          <w:rtl/>
        </w:rPr>
        <w:t xml:space="preserve">               </w:t>
      </w:r>
      <w:r>
        <w:rPr>
          <w:rFonts w:hint="cs"/>
          <w:rtl/>
        </w:rPr>
        <w:t xml:space="preserve">           </w:t>
      </w:r>
      <w:r>
        <w:rPr>
          <w:rtl/>
        </w:rPr>
        <w:t>(4).</w:t>
      </w:r>
      <w:r w:rsidRPr="00132E65">
        <w:rPr>
          <w:rtl/>
        </w:rPr>
        <w:t xml:space="preserve"> في حاشية « ج » : « معك »</w:t>
      </w:r>
      <w:r>
        <w:rPr>
          <w:rtl/>
        </w:rPr>
        <w:t>.</w:t>
      </w:r>
    </w:p>
    <w:p w:rsidR="000C39D1" w:rsidRPr="00132E65" w:rsidRDefault="000C39D1" w:rsidP="000C39D1">
      <w:pPr>
        <w:pStyle w:val="libFootnote0"/>
        <w:rPr>
          <w:rtl/>
          <w:lang w:bidi="fa-IR"/>
        </w:rPr>
      </w:pPr>
      <w:r>
        <w:rPr>
          <w:rtl/>
        </w:rPr>
        <w:t>(5).</w:t>
      </w:r>
      <w:r w:rsidRPr="00132E65">
        <w:rPr>
          <w:rtl/>
        </w:rPr>
        <w:t xml:space="preserve"> « العَقِب » : مؤخّر القدم. وعَقِبُ الرجل أيضاً ولَدُه ووَلَدُ ولَدِه. </w:t>
      </w:r>
      <w:r w:rsidRPr="00243115">
        <w:rPr>
          <w:rtl/>
        </w:rPr>
        <w:t>الصحاح</w:t>
      </w:r>
      <w:r w:rsidRPr="00132E65">
        <w:rPr>
          <w:rtl/>
        </w:rPr>
        <w:t xml:space="preserve"> ، ج 1 ، ص 184 ( عقب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ب » : « قال »</w:t>
            </w:r>
            <w:r>
              <w:rPr>
                <w:rtl/>
              </w:rPr>
              <w:t>.</w:t>
            </w:r>
          </w:p>
        </w:tc>
        <w:tc>
          <w:tcPr>
            <w:tcW w:w="4006" w:type="dxa"/>
          </w:tcPr>
          <w:p w:rsidR="000C39D1" w:rsidRDefault="000C39D1" w:rsidP="00B53873">
            <w:pPr>
              <w:pStyle w:val="libFootnote0"/>
              <w:rPr>
                <w:rtl/>
              </w:rPr>
            </w:pPr>
            <w:r>
              <w:rPr>
                <w:rtl/>
              </w:rPr>
              <w:t>(7).</w:t>
            </w:r>
            <w:r w:rsidRPr="00132E65">
              <w:rPr>
                <w:rtl/>
              </w:rPr>
              <w:t xml:space="preserve"> في « ف »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(8).</w:t>
      </w:r>
      <w:r w:rsidRPr="00132E65">
        <w:rPr>
          <w:rtl/>
        </w:rPr>
        <w:t xml:space="preserve"> « الراقد » : النائم. </w:t>
      </w:r>
      <w:r w:rsidRPr="00243115">
        <w:rPr>
          <w:rtl/>
        </w:rPr>
        <w:t>المصباح المنير</w:t>
      </w:r>
      <w:r w:rsidRPr="00132E65">
        <w:rPr>
          <w:rtl/>
        </w:rPr>
        <w:t xml:space="preserve"> ، ص 234 ( رقد )</w:t>
      </w:r>
      <w:r>
        <w:rPr>
          <w:rtl/>
        </w:rPr>
        <w:t>.</w:t>
      </w:r>
    </w:p>
    <w:p w:rsidR="000C39D1" w:rsidRPr="00132E65" w:rsidRDefault="000C39D1" w:rsidP="000C39D1">
      <w:pPr>
        <w:pStyle w:val="libFootnote0"/>
        <w:rPr>
          <w:rtl/>
          <w:lang w:bidi="fa-IR"/>
        </w:rPr>
      </w:pPr>
      <w:r>
        <w:rPr>
          <w:rtl/>
        </w:rPr>
        <w:t>(9).</w:t>
      </w:r>
      <w:r w:rsidRPr="00132E65">
        <w:rPr>
          <w:rtl/>
        </w:rPr>
        <w:t xml:space="preserve"> </w:t>
      </w:r>
      <w:r w:rsidRPr="000577A7">
        <w:rPr>
          <w:rStyle w:val="libFootnoteBoldChar"/>
          <w:rtl/>
        </w:rPr>
        <w:t>الكافي</w:t>
      </w:r>
      <w:r w:rsidRPr="00132E65">
        <w:rPr>
          <w:rtl/>
        </w:rPr>
        <w:t xml:space="preserve"> ، كتاب الحجّة ، باب أنّ الأئمّة </w:t>
      </w:r>
      <w:r w:rsidRPr="00B306AF">
        <w:rPr>
          <w:rStyle w:val="libFootnoteAlaemChar"/>
          <w:rtl/>
        </w:rPr>
        <w:t>عليهم‌السلام</w:t>
      </w:r>
      <w:r w:rsidRPr="00132E65">
        <w:rPr>
          <w:rtl/>
        </w:rPr>
        <w:t xml:space="preserve"> لم يفعلوا شيئاً</w:t>
      </w:r>
      <w:r>
        <w:rPr>
          <w:rtl/>
        </w:rPr>
        <w:t xml:space="preserve"> ..</w:t>
      </w:r>
      <w:r w:rsidRPr="00132E65">
        <w:rPr>
          <w:rtl/>
        </w:rPr>
        <w:t xml:space="preserve">. ، ح 742 ، بسنده عن معاذ بن كثير ، مع زيادة في أوّله ، واختلاف يسير ؛ </w:t>
      </w:r>
      <w:r w:rsidRPr="00243115">
        <w:rPr>
          <w:rtl/>
        </w:rPr>
        <w:t>الإرشاد</w:t>
      </w:r>
      <w:r w:rsidRPr="00132E65">
        <w:rPr>
          <w:rtl/>
        </w:rPr>
        <w:t xml:space="preserve"> ، ج 2 ، ص 217 ، عن ثبيت ، عن معاذ بن كثير</w:t>
      </w:r>
      <w:r>
        <w:rPr>
          <w:rFonts w:hint="cs"/>
          <w:rtl/>
        </w:rPr>
        <w:t>.</w:t>
      </w:r>
      <w:r w:rsidRPr="009D1ACE">
        <w:rPr>
          <w:rStyle w:val="libFootnoteBoldChar"/>
          <w:rtl/>
        </w:rPr>
        <w:t>الوافي</w:t>
      </w:r>
      <w:r w:rsidRPr="00132E65">
        <w:rPr>
          <w:rtl/>
        </w:rPr>
        <w:t xml:space="preserve"> ، ج 2 ، ص 350 ، ح 815 ؛ </w:t>
      </w:r>
      <w:r w:rsidRPr="00243115">
        <w:rPr>
          <w:rtl/>
        </w:rPr>
        <w:t>البحار</w:t>
      </w:r>
      <w:r w:rsidRPr="00132E65">
        <w:rPr>
          <w:rtl/>
        </w:rPr>
        <w:t xml:space="preserve"> ، ج 48 ، ص 27 ، ح 46.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الْفَارِسِيُّ ، عَنْ عَبْدِ الرَّحْمنِ بْنِ الْحَجَّاجِ </w:t>
      </w:r>
      <w:r>
        <w:rPr>
          <w:rStyle w:val="libFootnotenumChar"/>
          <w:rtl/>
        </w:rPr>
        <w:t>(1)</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سَأَلْتُ عَبْدَ الرَّحْمنِ فِي السَّنَةِ الَّتِي أُخِذَ فِيهَا أَبُو الْحَسَنِ الْمَاضِي </w:t>
      </w:r>
      <w:r w:rsidRPr="00071CF9">
        <w:rPr>
          <w:rStyle w:val="libAlaemChar"/>
          <w:rtl/>
        </w:rPr>
        <w:t>عليه‌السلام</w:t>
      </w:r>
      <w:r w:rsidRPr="00132E65">
        <w:rPr>
          <w:rtl/>
          <w:lang w:bidi="fa-IR"/>
        </w:rPr>
        <w:t xml:space="preserve"> ، فَقُلْتُ لَهُ : إِنَّ هذَا الرَّجُلَ قَدْ صَارَ فِي يَدِ هذَا ، ومَا نَدْرِي </w:t>
      </w:r>
      <w:r>
        <w:rPr>
          <w:rStyle w:val="libFootnotenumChar"/>
          <w:rtl/>
        </w:rPr>
        <w:t>(2)</w:t>
      </w:r>
      <w:r w:rsidRPr="00132E65">
        <w:rPr>
          <w:rtl/>
          <w:lang w:bidi="fa-IR"/>
        </w:rPr>
        <w:t xml:space="preserve"> إِلى مَا يَصِيرُ</w:t>
      </w:r>
      <w:r>
        <w:rPr>
          <w:rtl/>
          <w:lang w:bidi="fa-IR"/>
        </w:rPr>
        <w:t>؟</w:t>
      </w:r>
      <w:r w:rsidRPr="00132E65">
        <w:rPr>
          <w:rtl/>
          <w:lang w:bidi="fa-IR"/>
        </w:rPr>
        <w:t xml:space="preserve"> فَهَلْ بَلَغَكَ عَنْهُ فِي أَحَدٍ مِنْ وُلْدِهِ شَيْ‌ءٌ</w:t>
      </w:r>
      <w:r>
        <w:rPr>
          <w:rtl/>
          <w:lang w:bidi="fa-IR"/>
        </w:rPr>
        <w:t>؟</w:t>
      </w:r>
    </w:p>
    <w:p w:rsidR="000C39D1" w:rsidRPr="00132E65" w:rsidRDefault="000C39D1" w:rsidP="000C39D1">
      <w:pPr>
        <w:pStyle w:val="libNormal"/>
        <w:rPr>
          <w:rtl/>
          <w:lang w:bidi="fa-IR"/>
        </w:rPr>
      </w:pPr>
      <w:r w:rsidRPr="00132E65">
        <w:rPr>
          <w:rtl/>
          <w:lang w:bidi="fa-IR"/>
        </w:rPr>
        <w:t xml:space="preserve">فَقَالَ لِي : مَا ظَنَنْتُ أَنَّ أَحَداً يَسْأَلُنِي عَنْ </w:t>
      </w:r>
      <w:r>
        <w:rPr>
          <w:rStyle w:val="libFootnotenumChar"/>
          <w:rtl/>
        </w:rPr>
        <w:t>(3)</w:t>
      </w:r>
      <w:r w:rsidRPr="00132E65">
        <w:rPr>
          <w:rtl/>
          <w:lang w:bidi="fa-IR"/>
        </w:rPr>
        <w:t xml:space="preserve"> هذِهِ الْمَسْأَلَةِ </w:t>
      </w:r>
      <w:r>
        <w:rPr>
          <w:rStyle w:val="libFootnotenumChar"/>
          <w:rtl/>
        </w:rPr>
        <w:t>(4)</w:t>
      </w:r>
      <w:r w:rsidRPr="00132E65">
        <w:rPr>
          <w:rtl/>
          <w:lang w:bidi="fa-IR"/>
        </w:rPr>
        <w:t xml:space="preserve"> ؛ دَخَلْتُ عَلى جَعْفَرِ بْنِ مُحَمَّدٍ </w:t>
      </w:r>
      <w:r w:rsidRPr="00071CF9">
        <w:rPr>
          <w:rStyle w:val="libAlaemChar"/>
          <w:rtl/>
        </w:rPr>
        <w:t>عليه‌السلام</w:t>
      </w:r>
      <w:r w:rsidRPr="00132E65">
        <w:rPr>
          <w:rtl/>
          <w:lang w:bidi="fa-IR"/>
        </w:rPr>
        <w:t xml:space="preserve"> فِي مَنْزِلِهِ ، فَإِذَا هُوَ فِي بَيْتٍ كَذَا فِي </w:t>
      </w:r>
      <w:r>
        <w:rPr>
          <w:rStyle w:val="libFootnotenumChar"/>
          <w:rtl/>
        </w:rPr>
        <w:t>(5)</w:t>
      </w:r>
      <w:r w:rsidRPr="00132E65">
        <w:rPr>
          <w:rtl/>
          <w:lang w:bidi="fa-IR"/>
        </w:rPr>
        <w:t xml:space="preserve"> دَارِهِ فِي مَسْجِدٍ لَهُ ، وهُوَ يَدْعُو ، وعَلى يَمِينِهِ مُوسَى بْنُ جَعْفَرٍ </w:t>
      </w:r>
      <w:r w:rsidRPr="00071CF9">
        <w:rPr>
          <w:rStyle w:val="libAlaemChar"/>
          <w:rtl/>
        </w:rPr>
        <w:t>عليه‌السلام</w:t>
      </w:r>
      <w:r w:rsidRPr="00132E65">
        <w:rPr>
          <w:rtl/>
          <w:lang w:bidi="fa-IR"/>
        </w:rPr>
        <w:t xml:space="preserve"> يُؤَمِّنُ عَلى دُعَائِهِ ، فَقُلْتُ لَهُ : جَعَلَنِيَ اللهُ فِدَاكَ </w:t>
      </w:r>
      <w:r>
        <w:rPr>
          <w:rStyle w:val="libFootnotenumChar"/>
          <w:rtl/>
        </w:rPr>
        <w:t>(6)</w:t>
      </w:r>
      <w:r w:rsidRPr="00132E65">
        <w:rPr>
          <w:rtl/>
          <w:lang w:bidi="fa-IR"/>
        </w:rPr>
        <w:t xml:space="preserve"> ، قَدْ </w:t>
      </w:r>
      <w:r>
        <w:rPr>
          <w:rStyle w:val="libFootnotenumChar"/>
          <w:rtl/>
        </w:rPr>
        <w:t>(7)</w:t>
      </w:r>
      <w:r w:rsidRPr="00132E65">
        <w:rPr>
          <w:rtl/>
          <w:lang w:bidi="fa-IR"/>
        </w:rPr>
        <w:t xml:space="preserve"> عَرَفْتَ انْقِطَاعِي إِلَيْكَ ، وخِدْمَتِي لَكَ ، فَمَنْ ولِيُّ النَّاسِ بَعْدَكَ</w:t>
      </w:r>
      <w:r>
        <w:rPr>
          <w:rtl/>
          <w:lang w:bidi="fa-IR"/>
        </w:rPr>
        <w:t>؟</w:t>
      </w:r>
    </w:p>
    <w:p w:rsidR="000C39D1" w:rsidRPr="00132E65" w:rsidRDefault="000C39D1" w:rsidP="000C39D1">
      <w:pPr>
        <w:pStyle w:val="libNormal"/>
        <w:rPr>
          <w:rtl/>
          <w:lang w:bidi="fa-IR"/>
        </w:rPr>
      </w:pPr>
      <w:r w:rsidRPr="00132E65">
        <w:rPr>
          <w:rtl/>
          <w:lang w:bidi="fa-IR"/>
        </w:rPr>
        <w:t xml:space="preserve">فَقَالَ : « إِنَّ مُوسى قَدْ لَبِسَ الدِّرْعَ وسَاوى عَلَيْهِ » </w:t>
      </w:r>
      <w:r>
        <w:rPr>
          <w:rStyle w:val="libFootnotenumChar"/>
          <w:rtl/>
        </w:rPr>
        <w:t>(8)</w:t>
      </w:r>
      <w:r w:rsidRPr="00132E65">
        <w:rPr>
          <w:rtl/>
          <w:lang w:bidi="fa-IR"/>
        </w:rPr>
        <w:t xml:space="preserve"> فَقُلْتُ لَهُ : لَا</w:t>
      </w:r>
      <w:r>
        <w:rPr>
          <w:rFonts w:hint="cs"/>
          <w:rtl/>
          <w:lang w:bidi="fa-IR"/>
        </w:rPr>
        <w:t xml:space="preserve"> </w:t>
      </w:r>
      <w:r w:rsidRPr="00132E65">
        <w:rPr>
          <w:rtl/>
          <w:lang w:bidi="fa-IR"/>
        </w:rPr>
        <w:t xml:space="preserve">أَحْتَاجُ بَعْدَ هذَا إِلى شَيْ‌ءٍ. </w:t>
      </w:r>
      <w:r>
        <w:rPr>
          <w:rStyle w:val="libFootnotenumChar"/>
          <w:rtl/>
        </w:rPr>
        <w:t>(9)</w:t>
      </w:r>
      <w:r w:rsidRPr="00132E65">
        <w:rPr>
          <w:rtl/>
          <w:lang w:bidi="fa-IR"/>
        </w:rPr>
        <w:t>‌</w:t>
      </w:r>
    </w:p>
    <w:p w:rsidR="000C39D1" w:rsidRPr="00132E65" w:rsidRDefault="000C39D1" w:rsidP="000C39D1">
      <w:pPr>
        <w:pStyle w:val="libNormal"/>
        <w:rPr>
          <w:rtl/>
          <w:lang w:bidi="fa-IR"/>
        </w:rPr>
      </w:pPr>
      <w:r w:rsidRPr="00243115">
        <w:rPr>
          <w:rtl/>
        </w:rPr>
        <w:t>804</w:t>
      </w:r>
      <w:r w:rsidRPr="004325D8">
        <w:rPr>
          <w:rStyle w:val="libBold2Char"/>
          <w:rtl/>
        </w:rPr>
        <w:t xml:space="preserve"> / 4.</w:t>
      </w:r>
      <w:r w:rsidRPr="00132E65">
        <w:rPr>
          <w:rtl/>
          <w:lang w:bidi="fa-IR"/>
        </w:rPr>
        <w:t xml:space="preserve"> أَحْمَدُ بْنُ مِهْرَانَ ، عَنْ مُحَمَّدِ بْنِ عَلِيٍّ ، عَنْ مُوسى الصَّيْقَلِ ، عَنِ الْمُفَضَّلِ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عن عبد الرحمن بن الحجّاج »</w:t>
      </w:r>
      <w:r>
        <w:rPr>
          <w:rtl/>
        </w:rPr>
        <w:t>.</w:t>
      </w:r>
    </w:p>
    <w:p w:rsidR="000C39D1" w:rsidRPr="00132E65" w:rsidRDefault="000C39D1" w:rsidP="000C39D1">
      <w:pPr>
        <w:pStyle w:val="libFootnote0"/>
        <w:rPr>
          <w:rtl/>
          <w:lang w:bidi="fa-IR"/>
        </w:rPr>
      </w:pPr>
      <w:r>
        <w:rPr>
          <w:rtl/>
        </w:rPr>
        <w:t>(2).</w:t>
      </w:r>
      <w:r w:rsidRPr="00132E65">
        <w:rPr>
          <w:rtl/>
        </w:rPr>
        <w:t xml:space="preserve"> في « ب ، بف » : « وما يدري »</w:t>
      </w:r>
      <w:r>
        <w:rPr>
          <w:rtl/>
        </w:rPr>
        <w:t>.</w:t>
      </w:r>
      <w:r w:rsidRPr="00132E65">
        <w:rPr>
          <w:rtl/>
        </w:rPr>
        <w:t xml:space="preserve"> وفي « ج ، بس » : « وما يدرى »</w:t>
      </w:r>
      <w:r>
        <w:rPr>
          <w:rtl/>
        </w:rPr>
        <w:t>.</w:t>
      </w:r>
    </w:p>
    <w:p w:rsidR="000C39D1" w:rsidRPr="00132E65" w:rsidRDefault="000C39D1" w:rsidP="000C39D1">
      <w:pPr>
        <w:pStyle w:val="libFootnote0"/>
        <w:rPr>
          <w:rtl/>
          <w:lang w:bidi="fa-IR"/>
        </w:rPr>
      </w:pPr>
      <w:r>
        <w:rPr>
          <w:rtl/>
        </w:rPr>
        <w:t>(3).</w:t>
      </w:r>
      <w:r w:rsidRPr="00132E65">
        <w:rPr>
          <w:rtl/>
        </w:rPr>
        <w:t xml:space="preserve"> في « بح » </w:t>
      </w:r>
      <w:r>
        <w:rPr>
          <w:rtl/>
        </w:rPr>
        <w:t xml:space="preserve">: - </w:t>
      </w:r>
      <w:r w:rsidRPr="00132E65">
        <w:rPr>
          <w:rtl/>
        </w:rPr>
        <w:t>« عن »</w:t>
      </w:r>
      <w:r>
        <w:rPr>
          <w:rtl/>
        </w:rPr>
        <w:t>.</w:t>
      </w:r>
    </w:p>
    <w:p w:rsidR="000C39D1" w:rsidRPr="00132E65" w:rsidRDefault="000C39D1" w:rsidP="000C39D1">
      <w:pPr>
        <w:pStyle w:val="libFootnote0"/>
        <w:rPr>
          <w:rtl/>
          <w:lang w:bidi="fa-IR"/>
        </w:rPr>
      </w:pPr>
      <w:r>
        <w:rPr>
          <w:rtl/>
        </w:rPr>
        <w:t>(4).</w:t>
      </w:r>
      <w:r w:rsidRPr="00132E65">
        <w:rPr>
          <w:rtl/>
        </w:rPr>
        <w:t xml:space="preserve"> في « ه‍ »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والإرشاد : « من »</w:t>
            </w:r>
            <w:r>
              <w:rPr>
                <w:rtl/>
              </w:rPr>
              <w:t>.</w:t>
            </w:r>
          </w:p>
        </w:tc>
        <w:tc>
          <w:tcPr>
            <w:tcW w:w="4006" w:type="dxa"/>
          </w:tcPr>
          <w:p w:rsidR="000C39D1" w:rsidRDefault="000C39D1" w:rsidP="00B53873">
            <w:pPr>
              <w:pStyle w:val="libFootnote0"/>
              <w:rPr>
                <w:rtl/>
              </w:rPr>
            </w:pPr>
            <w:r>
              <w:rPr>
                <w:rtl/>
              </w:rPr>
              <w:t>(6). في« ج، بح، بس »وحاشية«بر»:«جعلت</w:t>
            </w:r>
            <w:r>
              <w:rPr>
                <w:rFonts w:hint="cs"/>
                <w:rtl/>
              </w:rPr>
              <w:t xml:space="preserve"> </w:t>
            </w:r>
            <w:r>
              <w:rPr>
                <w:rtl/>
              </w:rPr>
              <w:t>فداك</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قد »</w:t>
      </w:r>
      <w:r>
        <w:rPr>
          <w:rtl/>
        </w:rPr>
        <w:t>.</w:t>
      </w:r>
    </w:p>
    <w:p w:rsidR="000C39D1" w:rsidRPr="00132E65" w:rsidRDefault="000C39D1" w:rsidP="000C39D1">
      <w:pPr>
        <w:pStyle w:val="libFootnote0"/>
        <w:rPr>
          <w:rtl/>
          <w:lang w:bidi="fa-IR"/>
        </w:rPr>
      </w:pPr>
      <w:r>
        <w:rPr>
          <w:rtl/>
        </w:rPr>
        <w:t>(8).</w:t>
      </w:r>
      <w:r w:rsidRPr="00132E65">
        <w:rPr>
          <w:rtl/>
        </w:rPr>
        <w:t xml:space="preserve"> هاهنا إشكال بأنّ الجواب لا يطابق السؤال ؛ فإنّ السؤال عن النصّ على الإمام الرضا </w:t>
      </w:r>
      <w:r w:rsidRPr="00B65075">
        <w:rPr>
          <w:rStyle w:val="libFootnoteAlaemChar"/>
          <w:rtl/>
        </w:rPr>
        <w:t>عليه‌السلام</w:t>
      </w:r>
      <w:r w:rsidRPr="00132E65">
        <w:rPr>
          <w:rtl/>
        </w:rPr>
        <w:t xml:space="preserve"> ، والجواب على النصّ‌بالإمام موسى </w:t>
      </w:r>
      <w:r w:rsidRPr="00B65075">
        <w:rPr>
          <w:rStyle w:val="libFootnoteAlaemChar"/>
          <w:rtl/>
        </w:rPr>
        <w:t>عليه‌السلام</w:t>
      </w:r>
      <w:r w:rsidRPr="00132E65">
        <w:rPr>
          <w:rtl/>
        </w:rPr>
        <w:t>.</w:t>
      </w:r>
    </w:p>
    <w:p w:rsidR="000C39D1" w:rsidRPr="00132E65" w:rsidRDefault="000C39D1" w:rsidP="000C39D1">
      <w:pPr>
        <w:pStyle w:val="libFootnote0"/>
        <w:rPr>
          <w:rtl/>
          <w:lang w:bidi="fa-IR"/>
        </w:rPr>
      </w:pPr>
      <w:r w:rsidRPr="00F24C1F">
        <w:rPr>
          <w:rtl/>
        </w:rPr>
        <w:t>ا</w:t>
      </w:r>
      <w:r>
        <w:rPr>
          <w:rFonts w:hint="cs"/>
          <w:rtl/>
        </w:rPr>
        <w:t>ُ</w:t>
      </w:r>
      <w:r w:rsidRPr="00F24C1F">
        <w:rPr>
          <w:rtl/>
        </w:rPr>
        <w:t xml:space="preserve">جيب بأنّ للحديث تتمّة فيها النصّ على الإمام الرضا </w:t>
      </w:r>
      <w:r w:rsidRPr="00B33DF1">
        <w:rPr>
          <w:rStyle w:val="libFootnoteAlaemChar"/>
          <w:rtl/>
        </w:rPr>
        <w:t>عليه‌السلام</w:t>
      </w:r>
      <w:r w:rsidRPr="00F24C1F">
        <w:rPr>
          <w:rtl/>
        </w:rPr>
        <w:t xml:space="preserve"> ، لم يذكرها المصنّف ؛ لعدم تعلّق الغرض بذكره في هذا الباب المقصود فيه ذكر النصّ على الإمام موسى </w:t>
      </w:r>
      <w:r w:rsidRPr="00B65075">
        <w:rPr>
          <w:rStyle w:val="libFootnoteAlaemChar"/>
          <w:rtl/>
        </w:rPr>
        <w:t>عليه‌السلام</w:t>
      </w:r>
      <w:r w:rsidRPr="00F24C1F">
        <w:rPr>
          <w:rtl/>
        </w:rPr>
        <w:t>.</w:t>
      </w:r>
    </w:p>
    <w:p w:rsidR="000C39D1" w:rsidRPr="00132E65" w:rsidRDefault="000C39D1" w:rsidP="000C39D1">
      <w:pPr>
        <w:pStyle w:val="libFootnote0"/>
        <w:rPr>
          <w:rtl/>
          <w:lang w:bidi="fa-IR"/>
        </w:rPr>
      </w:pPr>
      <w:r w:rsidRPr="00F24C1F">
        <w:rPr>
          <w:rtl/>
        </w:rPr>
        <w:t>وبأنّ مراد السائل عدم احتياجه إلى التفحّص عنها ؛ لوجود العلامة عنده وهو مساواة الدِرع. وا</w:t>
      </w:r>
      <w:r>
        <w:rPr>
          <w:rFonts w:hint="cs"/>
          <w:rtl/>
        </w:rPr>
        <w:t>ُ</w:t>
      </w:r>
      <w:r w:rsidRPr="00F24C1F">
        <w:rPr>
          <w:rtl/>
        </w:rPr>
        <w:t>جيب بوجوه ا</w:t>
      </w:r>
      <w:r>
        <w:rPr>
          <w:rFonts w:hint="cs"/>
          <w:rtl/>
        </w:rPr>
        <w:t>ُ</w:t>
      </w:r>
      <w:r w:rsidRPr="00F24C1F">
        <w:rPr>
          <w:rtl/>
        </w:rPr>
        <w:t xml:space="preserve">خر. راجع : </w:t>
      </w:r>
      <w:r w:rsidRPr="00243115">
        <w:rPr>
          <w:rtl/>
        </w:rPr>
        <w:t>شرح المازندراني</w:t>
      </w:r>
      <w:r w:rsidRPr="00F24C1F">
        <w:rPr>
          <w:rtl/>
        </w:rPr>
        <w:t xml:space="preserve"> ، ج 6 ، ص 161 ؛ </w:t>
      </w:r>
      <w:r w:rsidRPr="009D1ACE">
        <w:rPr>
          <w:rStyle w:val="libFootnoteBoldChar"/>
          <w:rtl/>
        </w:rPr>
        <w:t>الوافي</w:t>
      </w:r>
      <w:r w:rsidRPr="00F24C1F">
        <w:rPr>
          <w:rtl/>
        </w:rPr>
        <w:t xml:space="preserve"> ، ج 2 ، ص 357 ؛ </w:t>
      </w:r>
      <w:r w:rsidRPr="009D1ACE">
        <w:rPr>
          <w:rStyle w:val="libFootnoteBoldChar"/>
          <w:rtl/>
        </w:rPr>
        <w:t>مرآة العقول</w:t>
      </w:r>
      <w:r w:rsidRPr="00F24C1F">
        <w:rPr>
          <w:rtl/>
        </w:rPr>
        <w:t xml:space="preserve"> ، ج 3 ، ص 331.</w:t>
      </w:r>
    </w:p>
    <w:p w:rsidR="000C39D1" w:rsidRPr="00132E65" w:rsidRDefault="000C39D1" w:rsidP="000C39D1">
      <w:pPr>
        <w:pStyle w:val="libFootnote0"/>
        <w:rPr>
          <w:rtl/>
          <w:lang w:bidi="fa-IR"/>
        </w:rPr>
      </w:pPr>
      <w:r>
        <w:rPr>
          <w:rtl/>
        </w:rPr>
        <w:t>(9).</w:t>
      </w:r>
      <w:r w:rsidRPr="00132E65">
        <w:rPr>
          <w:rtl/>
        </w:rPr>
        <w:t xml:space="preserve"> </w:t>
      </w:r>
      <w:r w:rsidRPr="00243115">
        <w:rPr>
          <w:rtl/>
        </w:rPr>
        <w:t>الإرشاد</w:t>
      </w:r>
      <w:r w:rsidRPr="00132E65">
        <w:rPr>
          <w:rtl/>
        </w:rPr>
        <w:t xml:space="preserve"> ، ج 2 ، ص 217 ، عن أبي عليّ الأرّجاني ، من قوله : « دخلت على جعفر بن محمّد في منزله</w:t>
      </w:r>
      <w:r>
        <w:rPr>
          <w:rtl/>
        </w:rPr>
        <w:t xml:space="preserve"> ..</w:t>
      </w:r>
      <w:r w:rsidRPr="00132E65">
        <w:rPr>
          <w:rtl/>
        </w:rPr>
        <w:t>. »</w:t>
      </w:r>
      <w:r>
        <w:rPr>
          <w:rFonts w:hint="cs"/>
          <w:rtl/>
        </w:rPr>
        <w:t>.</w:t>
      </w:r>
      <w:r w:rsidRPr="009D1ACE">
        <w:rPr>
          <w:rStyle w:val="libFootnoteBoldChar"/>
          <w:rtl/>
        </w:rPr>
        <w:t>الوافي</w:t>
      </w:r>
      <w:r w:rsidRPr="00132E65">
        <w:rPr>
          <w:rtl/>
        </w:rPr>
        <w:t xml:space="preserve"> ، ج 2 ، ص 356 ، ح 830.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عُمَرَ ، قَالَ :</w:t>
      </w:r>
    </w:p>
    <w:p w:rsidR="000C39D1" w:rsidRPr="00132E65" w:rsidRDefault="000C39D1" w:rsidP="000C39D1">
      <w:pPr>
        <w:pStyle w:val="libNormal"/>
        <w:rPr>
          <w:rtl/>
          <w:lang w:bidi="fa-IR"/>
        </w:rPr>
      </w:pPr>
      <w:r w:rsidRPr="00132E65">
        <w:rPr>
          <w:rtl/>
          <w:lang w:bidi="fa-IR"/>
        </w:rPr>
        <w:t xml:space="preserve">كُنْتُ عِنْدَ أَبِي عَبْدِ اللهِ </w:t>
      </w:r>
      <w:r w:rsidRPr="00071CF9">
        <w:rPr>
          <w:rStyle w:val="libAlaemChar"/>
          <w:rtl/>
        </w:rPr>
        <w:t>عليه‌السلام</w:t>
      </w:r>
      <w:r w:rsidRPr="00132E65">
        <w:rPr>
          <w:rtl/>
          <w:lang w:bidi="fa-IR"/>
        </w:rPr>
        <w:t xml:space="preserve"> ، فَدَخَلَ أَبُو إِبْرَاهِيمَ </w:t>
      </w:r>
      <w:r>
        <w:rPr>
          <w:rStyle w:val="libFootnotenumChar"/>
          <w:rtl/>
        </w:rPr>
        <w:t>(1)</w:t>
      </w:r>
      <w:r w:rsidRPr="00132E65">
        <w:rPr>
          <w:rtl/>
          <w:lang w:bidi="fa-IR"/>
        </w:rPr>
        <w:t xml:space="preserve"> </w:t>
      </w:r>
      <w:r w:rsidRPr="00071CF9">
        <w:rPr>
          <w:rStyle w:val="libAlaemChar"/>
          <w:rtl/>
        </w:rPr>
        <w:t>عليه‌السلام</w:t>
      </w:r>
      <w:r>
        <w:rPr>
          <w:rtl/>
          <w:lang w:bidi="fa-IR"/>
        </w:rPr>
        <w:t xml:space="preserve"> - </w:t>
      </w:r>
      <w:r w:rsidRPr="00132E65">
        <w:rPr>
          <w:rtl/>
          <w:lang w:bidi="fa-IR"/>
        </w:rPr>
        <w:t>وهُوَ غُلَامٌ</w:t>
      </w:r>
      <w:r>
        <w:rPr>
          <w:rtl/>
          <w:lang w:bidi="fa-IR"/>
        </w:rPr>
        <w:t xml:space="preserve"> - </w:t>
      </w:r>
      <w:r w:rsidRPr="00132E65">
        <w:rPr>
          <w:rtl/>
          <w:lang w:bidi="fa-IR"/>
        </w:rPr>
        <w:t xml:space="preserve">فَقَالَ </w:t>
      </w:r>
      <w:r>
        <w:rPr>
          <w:rStyle w:val="libFootnotenumChar"/>
          <w:rtl/>
        </w:rPr>
        <w:t>(2)</w:t>
      </w:r>
      <w:r w:rsidRPr="00132E65">
        <w:rPr>
          <w:rtl/>
          <w:lang w:bidi="fa-IR"/>
        </w:rPr>
        <w:t xml:space="preserve"> : « اسْتَوْصِ بِهِ </w:t>
      </w:r>
      <w:r>
        <w:rPr>
          <w:rStyle w:val="libFootnotenumChar"/>
          <w:rtl/>
        </w:rPr>
        <w:t>(3)</w:t>
      </w:r>
      <w:r w:rsidRPr="00132E65">
        <w:rPr>
          <w:rtl/>
          <w:lang w:bidi="fa-IR"/>
        </w:rPr>
        <w:t xml:space="preserve"> ، وضَعْ أَمْرَهُ عِنْدَ مَنْ تَثِقُ بِهِ مِنْ أَصْحَابِكَ »</w:t>
      </w:r>
      <w:r>
        <w:rPr>
          <w:rtl/>
          <w:lang w:bidi="fa-IR"/>
        </w:rPr>
        <w:t>.</w:t>
      </w:r>
      <w:r w:rsidRPr="00132E65">
        <w:rPr>
          <w:rtl/>
          <w:lang w:bidi="fa-IR"/>
        </w:rPr>
        <w:t xml:space="preserve"> </w:t>
      </w:r>
      <w:r>
        <w:rPr>
          <w:rStyle w:val="libFootnotenumChar"/>
          <w:rtl/>
        </w:rPr>
        <w:t>(4)</w:t>
      </w:r>
    </w:p>
    <w:p w:rsidR="000C39D1" w:rsidRPr="00132E65" w:rsidRDefault="000C39D1" w:rsidP="000C39D1">
      <w:pPr>
        <w:pStyle w:val="libNormal"/>
        <w:rPr>
          <w:rtl/>
          <w:lang w:bidi="fa-IR"/>
        </w:rPr>
      </w:pPr>
      <w:r w:rsidRPr="00243115">
        <w:rPr>
          <w:rtl/>
        </w:rPr>
        <w:t>805</w:t>
      </w:r>
      <w:r w:rsidRPr="004325D8">
        <w:rPr>
          <w:rStyle w:val="libBold2Char"/>
          <w:rtl/>
        </w:rPr>
        <w:t xml:space="preserve"> / 5.</w:t>
      </w:r>
      <w:r w:rsidRPr="00132E65">
        <w:rPr>
          <w:rtl/>
          <w:lang w:bidi="fa-IR"/>
        </w:rPr>
        <w:t xml:space="preserve"> أَحْمَدُ بْنُ مِهْرَانَ ، عَنْ مُحَمَّدِ بْنِ عَلِيٍّ ، عَنْ يَعْقُوبَ بْنِ جَعْفَرٍ الْجَعْفَرِيِّ ، قَالَ : حَدَّثَنِي إِسْحَاقُ بْنُ جَعْفَرٍ ، قَالَ :</w:t>
      </w:r>
    </w:p>
    <w:p w:rsidR="000C39D1" w:rsidRPr="00132E65" w:rsidRDefault="000C39D1" w:rsidP="000C39D1">
      <w:pPr>
        <w:pStyle w:val="libNormal"/>
        <w:rPr>
          <w:rtl/>
          <w:lang w:bidi="fa-IR"/>
        </w:rPr>
      </w:pPr>
      <w:r w:rsidRPr="00132E65">
        <w:rPr>
          <w:rtl/>
          <w:lang w:bidi="fa-IR"/>
        </w:rPr>
        <w:t xml:space="preserve">كُنْتُ عِنْدَ أَبِي يَوْماً ، فَسَأَلَهُ عَلِيُّ بْنُ عُمَرَ بْنِ عَلِيٍّ ، فَقَالَ : جُعِلْتُ فِدَاكَ ، إِلى مَنْ نَفْزَعُ </w:t>
      </w:r>
      <w:r>
        <w:rPr>
          <w:rStyle w:val="libFootnotenumChar"/>
          <w:rtl/>
        </w:rPr>
        <w:t>(5)</w:t>
      </w:r>
      <w:r w:rsidRPr="00132E65">
        <w:rPr>
          <w:rtl/>
          <w:lang w:bidi="fa-IR"/>
        </w:rPr>
        <w:t xml:space="preserve"> ويَفْزَعُ </w:t>
      </w:r>
      <w:r>
        <w:rPr>
          <w:rStyle w:val="libFootnotenumChar"/>
          <w:rtl/>
        </w:rPr>
        <w:t>(6)</w:t>
      </w:r>
      <w:r w:rsidRPr="00132E65">
        <w:rPr>
          <w:rtl/>
          <w:lang w:bidi="fa-IR"/>
        </w:rPr>
        <w:t xml:space="preserve"> النَّاسُ بَعْدَكَ</w:t>
      </w:r>
      <w:r>
        <w:rPr>
          <w:rtl/>
          <w:lang w:bidi="fa-IR"/>
        </w:rPr>
        <w:t>؟</w:t>
      </w:r>
    </w:p>
    <w:p w:rsidR="000C39D1" w:rsidRPr="00132E65" w:rsidRDefault="000C39D1" w:rsidP="00242766">
      <w:pPr>
        <w:pStyle w:val="libNormal"/>
        <w:rPr>
          <w:rtl/>
          <w:lang w:bidi="fa-IR"/>
        </w:rPr>
      </w:pPr>
      <w:r w:rsidRPr="00132E65">
        <w:rPr>
          <w:rtl/>
          <w:lang w:bidi="fa-IR"/>
        </w:rPr>
        <w:t xml:space="preserve">فَقَالَ : « إِلى صَاحِبِ الثَّوْبَيْنِ الْأَصْفَرَيْنِ </w:t>
      </w:r>
      <w:r>
        <w:rPr>
          <w:rStyle w:val="libFootnotenumChar"/>
          <w:rtl/>
        </w:rPr>
        <w:t>(7)</w:t>
      </w:r>
      <w:r w:rsidRPr="00132E65">
        <w:rPr>
          <w:rtl/>
          <w:lang w:bidi="fa-IR"/>
        </w:rPr>
        <w:t xml:space="preserve"> والْغَدِيرَتَيْنِ</w:t>
      </w:r>
      <w:r>
        <w:rPr>
          <w:rtl/>
          <w:lang w:bidi="fa-IR"/>
        </w:rPr>
        <w:t xml:space="preserve"> - </w:t>
      </w:r>
      <w:r w:rsidRPr="00132E65">
        <w:rPr>
          <w:rtl/>
          <w:lang w:bidi="fa-IR"/>
        </w:rPr>
        <w:t xml:space="preserve">يَعْنِي الذُّؤَابَتَيْنِ </w:t>
      </w:r>
      <w:r>
        <w:rPr>
          <w:rStyle w:val="libFootnotenumChar"/>
          <w:rtl/>
        </w:rPr>
        <w:t>(8)</w:t>
      </w:r>
      <w:r>
        <w:rPr>
          <w:rtl/>
          <w:lang w:bidi="fa-IR"/>
        </w:rPr>
        <w:t xml:space="preserve"> - </w:t>
      </w:r>
      <w:r w:rsidRPr="00132E65">
        <w:rPr>
          <w:rtl/>
          <w:lang w:bidi="fa-IR"/>
        </w:rPr>
        <w:t xml:space="preserve">وَهُوَ الطَّالِعُ عَلَيْكَ مِنْ هذَا </w:t>
      </w:r>
      <w:r>
        <w:rPr>
          <w:rStyle w:val="libFootnotenumChar"/>
          <w:rtl/>
        </w:rPr>
        <w:t>(9)</w:t>
      </w:r>
      <w:r w:rsidRPr="00132E65">
        <w:rPr>
          <w:rtl/>
          <w:lang w:bidi="fa-IR"/>
        </w:rPr>
        <w:t xml:space="preserve"> الْبَابِ ، يَفْتَحُ الْبَابَيْنِ </w:t>
      </w:r>
      <w:r>
        <w:rPr>
          <w:rStyle w:val="libFootnotenumChar"/>
          <w:rtl/>
        </w:rPr>
        <w:t>(10)</w:t>
      </w:r>
      <w:r w:rsidRPr="00132E65">
        <w:rPr>
          <w:rtl/>
          <w:lang w:bidi="fa-IR"/>
        </w:rPr>
        <w:t xml:space="preserve"> بِيَدِهِ </w:t>
      </w:r>
      <w:r>
        <w:rPr>
          <w:rStyle w:val="libFootnotenumChar"/>
          <w:rtl/>
        </w:rPr>
        <w:t>(11)</w:t>
      </w:r>
      <w:r w:rsidRPr="00132E65">
        <w:rPr>
          <w:rtl/>
          <w:lang w:bidi="fa-IR"/>
        </w:rPr>
        <w:t xml:space="preserve"> جَمِيعاً </w:t>
      </w:r>
      <w:r>
        <w:rPr>
          <w:rStyle w:val="libFootnotenumChar"/>
          <w:rtl/>
        </w:rPr>
        <w:t>(12)</w:t>
      </w:r>
      <w:r w:rsidRPr="00132E65">
        <w:rPr>
          <w:rtl/>
          <w:lang w:bidi="fa-IR"/>
        </w:rPr>
        <w:t xml:space="preserve"> » ، فَمَا لَبِثْنَا </w:t>
      </w:r>
      <w:r w:rsidRPr="00F543F1">
        <w:rPr>
          <w:rStyle w:val="libFootnotenumChar"/>
          <w:rtl/>
        </w:rPr>
        <w:t>(13)</w:t>
      </w:r>
      <w:r w:rsidRPr="00132E65">
        <w:rPr>
          <w:rtl/>
          <w:lang w:bidi="fa-IR"/>
        </w:rPr>
        <w:t xml:space="preserve"> أَنْ طَلَعَتْ عَلَيْنَا كَفَّانِ آخِذَةً </w:t>
      </w:r>
      <w:r w:rsidRPr="00F543F1">
        <w:rPr>
          <w:rStyle w:val="libFootnotenumChar"/>
          <w:rtl/>
        </w:rPr>
        <w:t>(14)</w:t>
      </w:r>
      <w:r w:rsidRPr="00132E65">
        <w:rPr>
          <w:rtl/>
          <w:lang w:bidi="fa-IR"/>
        </w:rPr>
        <w:t xml:space="preserve"> بِالْبَابَيْنِ ، فَفَتَحَهُمَا </w:t>
      </w:r>
      <w:r w:rsidRPr="00F543F1">
        <w:rPr>
          <w:rStyle w:val="libFootnotenumChar"/>
          <w:rtl/>
        </w:rPr>
        <w:t>(15)</w:t>
      </w:r>
      <w:r w:rsidRPr="00132E65">
        <w:rPr>
          <w:rtl/>
          <w:lang w:bidi="fa-IR"/>
        </w:rPr>
        <w:t xml:space="preserve"> ، ثُمَّ دَخَلَ عَلَيْنَا‌</w:t>
      </w:r>
      <w:r w:rsidR="00242766">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موسى »</w:t>
      </w:r>
      <w:r>
        <w:rPr>
          <w:rtl/>
        </w:rPr>
        <w:t>.</w:t>
      </w:r>
    </w:p>
    <w:p w:rsidR="000C39D1" w:rsidRPr="00132E65" w:rsidRDefault="000C39D1" w:rsidP="000C39D1">
      <w:pPr>
        <w:pStyle w:val="libFootnote0"/>
        <w:rPr>
          <w:rtl/>
          <w:lang w:bidi="fa-IR"/>
        </w:rPr>
      </w:pPr>
      <w:r>
        <w:rPr>
          <w:rtl/>
        </w:rPr>
        <w:t>(2).</w:t>
      </w:r>
      <w:r w:rsidRPr="00132E65">
        <w:rPr>
          <w:rtl/>
        </w:rPr>
        <w:t xml:space="preserve"> في الإرشاد :</w:t>
      </w:r>
      <w:r>
        <w:rPr>
          <w:rtl/>
        </w:rPr>
        <w:t xml:space="preserve"> + </w:t>
      </w:r>
      <w:r w:rsidRPr="00132E65">
        <w:rPr>
          <w:rtl/>
        </w:rPr>
        <w:t>« لي أبو عبد الله »</w:t>
      </w:r>
      <w:r>
        <w:rPr>
          <w:rtl/>
        </w:rPr>
        <w:t>.</w:t>
      </w:r>
    </w:p>
    <w:p w:rsidR="000C39D1" w:rsidRPr="00132E65" w:rsidRDefault="000C39D1" w:rsidP="000C39D1">
      <w:pPr>
        <w:pStyle w:val="libFootnote0"/>
        <w:rPr>
          <w:rtl/>
          <w:lang w:bidi="fa-IR"/>
        </w:rPr>
      </w:pPr>
      <w:r>
        <w:rPr>
          <w:rtl/>
        </w:rPr>
        <w:t>(3).</w:t>
      </w:r>
      <w:r w:rsidRPr="00132E65">
        <w:rPr>
          <w:rtl/>
        </w:rPr>
        <w:t xml:space="preserve"> « اسْتَوْصِ به » ، أي اطلب العهد بتعظيمه ورعاية حاله ، وتعاهد أمره من نفسك ومن غيرك ، قاله الفيض ؛ أو اقبل وصيّتي فيه ؛ قاله المجلسي ناقلاً عن المغرب. راجع : </w:t>
      </w:r>
      <w:r w:rsidRPr="00243115">
        <w:rPr>
          <w:rtl/>
        </w:rPr>
        <w:t>المغرب</w:t>
      </w:r>
      <w:r w:rsidRPr="00132E65">
        <w:rPr>
          <w:rtl/>
        </w:rPr>
        <w:t xml:space="preserve"> ، ص 487 ( وصى )</w:t>
      </w:r>
      <w:r>
        <w:rPr>
          <w:rtl/>
        </w:rPr>
        <w:t>.</w:t>
      </w:r>
    </w:p>
    <w:p w:rsidR="000C39D1" w:rsidRPr="00132E65" w:rsidRDefault="000C39D1" w:rsidP="000C39D1">
      <w:pPr>
        <w:pStyle w:val="libFootnote0"/>
        <w:rPr>
          <w:rtl/>
          <w:lang w:bidi="fa-IR"/>
        </w:rPr>
      </w:pPr>
      <w:r>
        <w:rPr>
          <w:rtl/>
        </w:rPr>
        <w:t>(4).</w:t>
      </w:r>
      <w:r w:rsidRPr="00132E65">
        <w:rPr>
          <w:rtl/>
        </w:rPr>
        <w:t xml:space="preserve"> </w:t>
      </w:r>
      <w:r w:rsidRPr="00243115">
        <w:rPr>
          <w:rtl/>
        </w:rPr>
        <w:t>الإرشاد</w:t>
      </w:r>
      <w:r w:rsidRPr="00132E65">
        <w:rPr>
          <w:rtl/>
        </w:rPr>
        <w:t xml:space="preserve"> ، ج 2 ، ص 216 ، عن موسى الصيقل</w:t>
      </w:r>
      <w:r>
        <w:rPr>
          <w:rFonts w:hint="cs"/>
          <w:rtl/>
        </w:rPr>
        <w:t>.</w:t>
      </w:r>
      <w:r w:rsidRPr="009D1ACE">
        <w:rPr>
          <w:rStyle w:val="libFootnoteBoldChar"/>
          <w:rtl/>
        </w:rPr>
        <w:t>الوافي</w:t>
      </w:r>
      <w:r w:rsidRPr="00132E65">
        <w:rPr>
          <w:rtl/>
        </w:rPr>
        <w:t xml:space="preserve"> ، ج 2 ، ص 350 ، ح 817.</w:t>
      </w:r>
    </w:p>
    <w:p w:rsidR="000C39D1" w:rsidRPr="00132E65" w:rsidRDefault="000C39D1" w:rsidP="000C39D1">
      <w:pPr>
        <w:pStyle w:val="libFootnote0"/>
        <w:rPr>
          <w:rtl/>
          <w:lang w:bidi="fa-IR"/>
        </w:rPr>
      </w:pPr>
      <w:r>
        <w:rPr>
          <w:rtl/>
        </w:rPr>
        <w:t>(5).</w:t>
      </w:r>
      <w:r w:rsidRPr="00132E65">
        <w:rPr>
          <w:rtl/>
        </w:rPr>
        <w:t xml:space="preserve"> في « بف » : « تفزع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بر » :</w:t>
            </w:r>
            <w:r>
              <w:rPr>
                <w:rtl/>
              </w:rPr>
              <w:t xml:space="preserve"> + </w:t>
            </w:r>
            <w:r w:rsidRPr="00132E65">
              <w:rPr>
                <w:rtl/>
              </w:rPr>
              <w:t>« اليوم »</w:t>
            </w:r>
            <w:r>
              <w:rPr>
                <w:rtl/>
              </w:rPr>
              <w:t>.</w:t>
            </w:r>
          </w:p>
        </w:tc>
        <w:tc>
          <w:tcPr>
            <w:tcW w:w="4006" w:type="dxa"/>
          </w:tcPr>
          <w:p w:rsidR="000C39D1" w:rsidRDefault="000C39D1" w:rsidP="00B53873">
            <w:pPr>
              <w:pStyle w:val="libFootnote0"/>
              <w:rPr>
                <w:rtl/>
              </w:rPr>
            </w:pPr>
            <w:r>
              <w:rPr>
                <w:rtl/>
              </w:rPr>
              <w:t>(7).</w:t>
            </w:r>
            <w:r w:rsidRPr="00132E65">
              <w:rPr>
                <w:rtl/>
              </w:rPr>
              <w:t xml:space="preserve"> في « بر » :</w:t>
            </w:r>
            <w:r>
              <w:rPr>
                <w:rtl/>
              </w:rPr>
              <w:t xml:space="preserve"> + </w:t>
            </w:r>
            <w:r w:rsidRPr="00132E65">
              <w:rPr>
                <w:rtl/>
              </w:rPr>
              <w:t>« اليوم »</w:t>
            </w:r>
            <w:r>
              <w:rPr>
                <w:rtl/>
              </w:rPr>
              <w:t>.</w:t>
            </w:r>
          </w:p>
        </w:tc>
      </w:tr>
    </w:tbl>
    <w:p w:rsidR="000C39D1" w:rsidRPr="00132E65" w:rsidRDefault="000C39D1" w:rsidP="000C39D1">
      <w:pPr>
        <w:pStyle w:val="libFootnote0"/>
        <w:rPr>
          <w:rtl/>
          <w:lang w:bidi="fa-IR"/>
        </w:rPr>
      </w:pPr>
      <w:r>
        <w:rPr>
          <w:rtl/>
        </w:rPr>
        <w:t>(8).</w:t>
      </w:r>
      <w:r w:rsidRPr="00132E65">
        <w:rPr>
          <w:rtl/>
        </w:rPr>
        <w:t xml:space="preserve"> « الذؤابة » : الضفيرة</w:t>
      </w:r>
      <w:r>
        <w:rPr>
          <w:rtl/>
        </w:rPr>
        <w:t xml:space="preserve"> - </w:t>
      </w:r>
      <w:r w:rsidRPr="00132E65">
        <w:rPr>
          <w:rtl/>
        </w:rPr>
        <w:t>أي المفتولة</w:t>
      </w:r>
      <w:r>
        <w:rPr>
          <w:rtl/>
        </w:rPr>
        <w:t xml:space="preserve"> - </w:t>
      </w:r>
      <w:r w:rsidRPr="00132E65">
        <w:rPr>
          <w:rtl/>
        </w:rPr>
        <w:t xml:space="preserve">من الشعر إذا كانت مرسلة. </w:t>
      </w:r>
      <w:r w:rsidRPr="00243115">
        <w:rPr>
          <w:rtl/>
        </w:rPr>
        <w:t>المصباح المنير</w:t>
      </w:r>
      <w:r w:rsidRPr="00132E65">
        <w:rPr>
          <w:rtl/>
        </w:rPr>
        <w:t xml:space="preserve"> ، ص 211 ( ذأب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ض ، ه‍ ، بح » </w:t>
            </w:r>
            <w:r>
              <w:rPr>
                <w:rtl/>
              </w:rPr>
              <w:t xml:space="preserve">: - </w:t>
            </w:r>
            <w:r w:rsidRPr="00132E65">
              <w:rPr>
                <w:rtl/>
              </w:rPr>
              <w:t>« هذا »</w:t>
            </w:r>
            <w:r>
              <w:rPr>
                <w:rtl/>
              </w:rPr>
              <w:t>.</w:t>
            </w:r>
          </w:p>
        </w:tc>
        <w:tc>
          <w:tcPr>
            <w:tcW w:w="4006" w:type="dxa"/>
          </w:tcPr>
          <w:p w:rsidR="000C39D1" w:rsidRDefault="000C39D1" w:rsidP="00B53873">
            <w:pPr>
              <w:pStyle w:val="libFootnote0"/>
              <w:rPr>
                <w:rtl/>
              </w:rPr>
            </w:pPr>
            <w:r>
              <w:rPr>
                <w:rtl/>
              </w:rPr>
              <w:t>(10).</w:t>
            </w:r>
            <w:r w:rsidRPr="00132E65">
              <w:rPr>
                <w:rtl/>
              </w:rPr>
              <w:t xml:space="preserve"> في حاشية « ج ، بح ، بر » : « الباب »</w:t>
            </w:r>
            <w:r>
              <w:rPr>
                <w:rtl/>
              </w:rPr>
              <w:t>.</w:t>
            </w:r>
          </w:p>
        </w:tc>
      </w:tr>
    </w:tbl>
    <w:p w:rsidR="000C39D1" w:rsidRPr="00132E65" w:rsidRDefault="000C39D1" w:rsidP="000C39D1">
      <w:pPr>
        <w:pStyle w:val="libFootnote0"/>
        <w:rPr>
          <w:rtl/>
          <w:lang w:bidi="fa-IR"/>
        </w:rPr>
      </w:pPr>
      <w:r>
        <w:rPr>
          <w:rtl/>
        </w:rPr>
        <w:t>(11).</w:t>
      </w:r>
      <w:r w:rsidRPr="00132E65">
        <w:rPr>
          <w:rtl/>
        </w:rPr>
        <w:t xml:space="preserve"> في « ج » وحاشية « ف ، بر » : « بيديه »</w:t>
      </w:r>
      <w:r>
        <w:rPr>
          <w:rtl/>
        </w:rPr>
        <w:t>.</w:t>
      </w:r>
    </w:p>
    <w:p w:rsidR="000C39D1" w:rsidRPr="00132E65" w:rsidRDefault="000C39D1" w:rsidP="000C39D1">
      <w:pPr>
        <w:pStyle w:val="libFootnote0"/>
        <w:rPr>
          <w:rtl/>
          <w:lang w:bidi="fa-IR"/>
        </w:rPr>
      </w:pPr>
      <w:r>
        <w:rPr>
          <w:rtl/>
        </w:rPr>
        <w:t>(12).</w:t>
      </w:r>
      <w:r w:rsidRPr="00132E65">
        <w:rPr>
          <w:rtl/>
        </w:rPr>
        <w:t xml:space="preserve"> في « ب ، ه‍ ، بس ، بف » وحاشية « ج » و</w:t>
      </w:r>
      <w:r w:rsidRPr="009D1ACE">
        <w:rPr>
          <w:rStyle w:val="libFootnoteBoldChar"/>
          <w:rtl/>
        </w:rPr>
        <w:t>الوافي</w:t>
      </w:r>
      <w:r w:rsidRPr="00132E65">
        <w:rPr>
          <w:rtl/>
        </w:rPr>
        <w:t xml:space="preserve"> : « جميعاً بيده »</w:t>
      </w:r>
      <w:r>
        <w:rPr>
          <w:rtl/>
        </w:rPr>
        <w:t>.</w:t>
      </w:r>
    </w:p>
    <w:p w:rsidR="000C39D1" w:rsidRPr="00132E65" w:rsidRDefault="000C39D1" w:rsidP="000C39D1">
      <w:pPr>
        <w:pStyle w:val="libFootnote0"/>
        <w:rPr>
          <w:rtl/>
          <w:lang w:bidi="fa-IR"/>
        </w:rPr>
      </w:pPr>
      <w:r>
        <w:rPr>
          <w:rtl/>
        </w:rPr>
        <w:t>(13)</w:t>
      </w:r>
      <w:r w:rsidRPr="00132E65">
        <w:rPr>
          <w:rtl/>
        </w:rPr>
        <w:t xml:space="preserve"> في « بف » : « فما لبث »</w:t>
      </w:r>
      <w:r>
        <w:rPr>
          <w:rtl/>
        </w:rPr>
        <w:t>.</w:t>
      </w:r>
    </w:p>
    <w:p w:rsidR="000C39D1" w:rsidRPr="00132E65" w:rsidRDefault="000C39D1" w:rsidP="000C39D1">
      <w:pPr>
        <w:pStyle w:val="libFootnote0"/>
        <w:rPr>
          <w:rtl/>
          <w:lang w:bidi="fa-IR"/>
        </w:rPr>
      </w:pPr>
      <w:r>
        <w:rPr>
          <w:rtl/>
        </w:rPr>
        <w:t>(14)</w:t>
      </w:r>
      <w:r w:rsidRPr="00132E65">
        <w:rPr>
          <w:rtl/>
        </w:rPr>
        <w:t xml:space="preserve"> في الإرشاد : « آخذتان »</w:t>
      </w:r>
      <w:r>
        <w:rPr>
          <w:rtl/>
        </w:rPr>
        <w:t>.</w:t>
      </w:r>
      <w:r w:rsidRPr="00132E65">
        <w:rPr>
          <w:rtl/>
        </w:rPr>
        <w:t xml:space="preserve"> وفي </w:t>
      </w:r>
      <w:r w:rsidRPr="009D1ACE">
        <w:rPr>
          <w:rStyle w:val="libFootnoteBoldChar"/>
          <w:rtl/>
        </w:rPr>
        <w:t>مرآة العقول</w:t>
      </w:r>
      <w:r w:rsidRPr="00132E65">
        <w:rPr>
          <w:rtl/>
        </w:rPr>
        <w:t xml:space="preserve"> ، ج 3 ، ص 332 : « آخذةً ، بصيغة الفاعل حالاً عن كلّ من الكفّين ، أويعدّهما واحداً ، أو بصيغة المصدر مفعولاً لأجله. وفي إرشاد</w:t>
      </w:r>
      <w:r>
        <w:rPr>
          <w:rFonts w:hint="cs"/>
          <w:rtl/>
        </w:rPr>
        <w:t xml:space="preserve"> </w:t>
      </w:r>
      <w:r w:rsidRPr="00F24C1F">
        <w:rPr>
          <w:rtl/>
        </w:rPr>
        <w:t>المفيد : آخذتان ، وهو أصوب ».</w:t>
      </w:r>
    </w:p>
    <w:p w:rsidR="000C39D1" w:rsidRPr="00132E65" w:rsidRDefault="000C39D1" w:rsidP="000C39D1">
      <w:pPr>
        <w:pStyle w:val="libFootnote0"/>
        <w:rPr>
          <w:rtl/>
          <w:lang w:bidi="fa-IR"/>
        </w:rPr>
      </w:pPr>
      <w:r>
        <w:rPr>
          <w:rtl/>
        </w:rPr>
        <w:t>(15)</w:t>
      </w:r>
      <w:r w:rsidRPr="00132E65">
        <w:rPr>
          <w:rtl/>
        </w:rPr>
        <w:t xml:space="preserve"> في « ه‍ » : « تفتحهما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أَبُو إِبْرَاهِيمَ </w:t>
      </w:r>
      <w:r>
        <w:rPr>
          <w:rStyle w:val="libFootnotenumChar"/>
          <w:rtl/>
        </w:rPr>
        <w:t>(1)</w:t>
      </w:r>
      <w:r w:rsidRPr="00132E65">
        <w:rPr>
          <w:rtl/>
          <w:lang w:bidi="fa-IR"/>
        </w:rPr>
        <w:t xml:space="preserve"> </w:t>
      </w:r>
      <w:r w:rsidRPr="00071CF9">
        <w:rPr>
          <w:rStyle w:val="libAlaemChar"/>
          <w:rtl/>
        </w:rPr>
        <w:t>عليه‌السلام</w:t>
      </w:r>
      <w:r w:rsidRPr="00132E65">
        <w:rPr>
          <w:rtl/>
          <w:lang w:bidi="fa-IR"/>
        </w:rPr>
        <w:t xml:space="preserve">. </w:t>
      </w:r>
      <w:r>
        <w:rPr>
          <w:rStyle w:val="libFootnotenumChar"/>
          <w:rtl/>
        </w:rPr>
        <w:t>(2)</w:t>
      </w:r>
      <w:r w:rsidRPr="00132E65">
        <w:rPr>
          <w:rtl/>
          <w:lang w:bidi="fa-IR"/>
        </w:rPr>
        <w:t>‌</w:t>
      </w:r>
    </w:p>
    <w:p w:rsidR="000C39D1" w:rsidRPr="00132E65" w:rsidRDefault="000C39D1" w:rsidP="000C39D1">
      <w:pPr>
        <w:pStyle w:val="libNormal"/>
        <w:rPr>
          <w:rtl/>
          <w:lang w:bidi="fa-IR"/>
        </w:rPr>
      </w:pPr>
      <w:r w:rsidRPr="00243115">
        <w:rPr>
          <w:rtl/>
        </w:rPr>
        <w:t>806</w:t>
      </w:r>
      <w:r w:rsidRPr="004325D8">
        <w:rPr>
          <w:rStyle w:val="libBold2Char"/>
          <w:rtl/>
        </w:rPr>
        <w:t xml:space="preserve"> / 6.</w:t>
      </w:r>
      <w:r w:rsidRPr="00132E65">
        <w:rPr>
          <w:rtl/>
          <w:lang w:bidi="fa-IR"/>
        </w:rPr>
        <w:t xml:space="preserve"> عَلِيُّ بْنُ إِبْرَاهِيمَ ، عَنْ أَبِيهِ ، عَنِ ابْنِ أَبِي نَجْرَانَ ، عَنْ صَفْوَانَ الْجَمَّالِ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قَالَ لَهُ مَنْصُورُ بْنُ حَازِمٍ : بِأَبِي أَنْتَ وأُمِّي ، إِنَّ الْأَنْفُسَ يُغْدى عَلَيْهَا ويُرَاحُ </w:t>
      </w:r>
      <w:r>
        <w:rPr>
          <w:rStyle w:val="libFootnotenumChar"/>
          <w:rtl/>
        </w:rPr>
        <w:t>(3)</w:t>
      </w:r>
      <w:r w:rsidRPr="00132E65">
        <w:rPr>
          <w:rtl/>
          <w:lang w:bidi="fa-IR"/>
        </w:rPr>
        <w:t xml:space="preserve"> ، فَإِذَا </w:t>
      </w:r>
      <w:r>
        <w:rPr>
          <w:rStyle w:val="libFootnotenumChar"/>
          <w:rtl/>
        </w:rPr>
        <w:t>(4)</w:t>
      </w:r>
      <w:r w:rsidRPr="00132E65">
        <w:rPr>
          <w:rtl/>
          <w:lang w:bidi="fa-IR"/>
        </w:rPr>
        <w:t xml:space="preserve"> كَانَ ذلِكَ ، فَمَنْ</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(5)</w:t>
      </w:r>
      <w:r w:rsidRPr="00132E65">
        <w:rPr>
          <w:rtl/>
          <w:lang w:bidi="fa-IR"/>
        </w:rPr>
        <w:t xml:space="preserve"> أَبُو عَبْدِ اللهِ </w:t>
      </w:r>
      <w:r w:rsidRPr="00071CF9">
        <w:rPr>
          <w:rStyle w:val="libAlaemChar"/>
          <w:rtl/>
        </w:rPr>
        <w:t>عليه‌السلام</w:t>
      </w:r>
      <w:r w:rsidRPr="00132E65">
        <w:rPr>
          <w:rtl/>
          <w:lang w:bidi="fa-IR"/>
        </w:rPr>
        <w:t xml:space="preserve"> : « إِذَا كَانَ ذلِكَ ، فَهُوَ صَاحِبُكُمْ » وضَرَبَ بِيَدِهِ </w:t>
      </w:r>
      <w:r>
        <w:rPr>
          <w:rStyle w:val="libFootnotenumChar"/>
          <w:rtl/>
        </w:rPr>
        <w:t>(6)</w:t>
      </w:r>
      <w:r w:rsidRPr="00132E65">
        <w:rPr>
          <w:rtl/>
          <w:lang w:bidi="fa-IR"/>
        </w:rPr>
        <w:t xml:space="preserve"> عَلى مَنْكِبِ أَبِي الْحَسَنِ </w:t>
      </w:r>
      <w:r w:rsidRPr="00071CF9">
        <w:rPr>
          <w:rStyle w:val="libAlaemChar"/>
          <w:rtl/>
        </w:rPr>
        <w:t>عليه‌السلام</w:t>
      </w:r>
      <w:r w:rsidRPr="00132E65">
        <w:rPr>
          <w:rtl/>
          <w:lang w:bidi="fa-IR"/>
        </w:rPr>
        <w:t xml:space="preserve"> الْأَيْمَنِ</w:t>
      </w:r>
      <w:r>
        <w:rPr>
          <w:rtl/>
          <w:lang w:bidi="fa-IR"/>
        </w:rPr>
        <w:t xml:space="preserve"> - </w:t>
      </w:r>
      <w:r w:rsidRPr="00132E65">
        <w:rPr>
          <w:rtl/>
          <w:lang w:bidi="fa-IR"/>
        </w:rPr>
        <w:t>فِيمَا أَعْلَمُ</w:t>
      </w:r>
      <w:r>
        <w:rPr>
          <w:rtl/>
          <w:lang w:bidi="fa-IR"/>
        </w:rPr>
        <w:t xml:space="preserve"> - </w:t>
      </w:r>
      <w:r w:rsidRPr="00132E65">
        <w:rPr>
          <w:rtl/>
          <w:lang w:bidi="fa-IR"/>
        </w:rPr>
        <w:t xml:space="preserve">وهُوَ يَوْمَئِذٍ خُمَاسِيٌّ </w:t>
      </w:r>
      <w:r>
        <w:rPr>
          <w:rStyle w:val="libFootnotenumChar"/>
          <w:rtl/>
        </w:rPr>
        <w:t>(7)</w:t>
      </w:r>
      <w:r w:rsidRPr="00132E65">
        <w:rPr>
          <w:rtl/>
          <w:lang w:bidi="fa-IR"/>
        </w:rPr>
        <w:t xml:space="preserve"> ، وعَبْدُ اللهِ بْنُ جَعْفَرٍ جَالِسٌ مَعَنَا.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243115">
        <w:rPr>
          <w:rtl/>
        </w:rPr>
        <w:t>807</w:t>
      </w:r>
      <w:r w:rsidRPr="004325D8">
        <w:rPr>
          <w:rStyle w:val="libBold2Char"/>
          <w:rtl/>
        </w:rPr>
        <w:t xml:space="preserve"> / 7.</w:t>
      </w:r>
      <w:r w:rsidRPr="00132E65">
        <w:rPr>
          <w:rtl/>
          <w:lang w:bidi="fa-IR"/>
        </w:rPr>
        <w:t xml:space="preserve"> مُحَمَّدُ بْنُ يَحْيى ، عَنْ مُحَمَّدِ بْنِ الْحُسَيْنِ ، عَنْ عَبْدِ الرَّحْمنِ بْنِ أَبِي نَجْرَانَ ، عَنْ عِيسَى بْنِ عَبْدِ اللهِ بْنِ مُحَمَّدِ </w:t>
      </w:r>
      <w:r>
        <w:rPr>
          <w:rStyle w:val="libFootnotenumChar"/>
          <w:rtl/>
        </w:rPr>
        <w:t>(9)</w:t>
      </w:r>
      <w:r w:rsidRPr="00132E65">
        <w:rPr>
          <w:rtl/>
          <w:lang w:bidi="fa-IR"/>
        </w:rPr>
        <w:t xml:space="preserve"> بْنِ عُمَرَ بْنِ عَلِيِّ بْنِ أَبِي طَالِبٍ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قُلْتُ لَهُ : إِنْ كَانَ كَوْنٌ</w:t>
      </w:r>
      <w:r>
        <w:rPr>
          <w:rtl/>
          <w:lang w:bidi="fa-IR"/>
        </w:rPr>
        <w:t xml:space="preserve"> - </w:t>
      </w:r>
      <w:r w:rsidRPr="00132E65">
        <w:rPr>
          <w:rtl/>
          <w:lang w:bidi="fa-IR"/>
        </w:rPr>
        <w:t>ولَا</w:t>
      </w:r>
      <w:r>
        <w:rPr>
          <w:rFonts w:hint="cs"/>
          <w:rtl/>
          <w:lang w:bidi="fa-IR"/>
        </w:rPr>
        <w:t xml:space="preserve"> </w:t>
      </w:r>
      <w:r w:rsidRPr="00132E65">
        <w:rPr>
          <w:rtl/>
          <w:lang w:bidi="fa-IR"/>
        </w:rPr>
        <w:t xml:space="preserve">أَرَانِي اللهُ ذلِكَ </w:t>
      </w:r>
      <w:r>
        <w:rPr>
          <w:rStyle w:val="libFootnotenumChar"/>
          <w:rtl/>
        </w:rPr>
        <w:t>(10)</w:t>
      </w:r>
      <w:r>
        <w:rPr>
          <w:rtl/>
          <w:lang w:bidi="fa-IR"/>
        </w:rPr>
        <w:t xml:space="preserve"> - </w:t>
      </w:r>
      <w:r w:rsidRPr="00132E65">
        <w:rPr>
          <w:rtl/>
          <w:lang w:bidi="fa-IR"/>
        </w:rPr>
        <w:t>فَبِمَنْ‌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xml:space="preserve">« موسى </w:t>
      </w:r>
      <w:r w:rsidRPr="0072160F">
        <w:rPr>
          <w:rStyle w:val="libFootnoteAlaemChar"/>
          <w:rtl/>
        </w:rPr>
        <w:t>عليه‌السلام</w:t>
      </w:r>
      <w:r w:rsidRPr="00132E65">
        <w:rPr>
          <w:rtl/>
        </w:rPr>
        <w:t xml:space="preserve"> وهو صبيّ وعليه ثوبان أصفران »</w:t>
      </w:r>
      <w:r>
        <w:rPr>
          <w:rtl/>
        </w:rPr>
        <w:t>.</w:t>
      </w:r>
    </w:p>
    <w:p w:rsidR="000C39D1" w:rsidRPr="00132E65" w:rsidRDefault="000C39D1" w:rsidP="000C39D1">
      <w:pPr>
        <w:pStyle w:val="libFootnote0"/>
        <w:rPr>
          <w:rtl/>
          <w:lang w:bidi="fa-IR"/>
        </w:rPr>
      </w:pPr>
      <w:r>
        <w:rPr>
          <w:rtl/>
        </w:rPr>
        <w:t>(2).</w:t>
      </w:r>
      <w:r w:rsidRPr="00132E65">
        <w:rPr>
          <w:rtl/>
        </w:rPr>
        <w:t xml:space="preserve"> </w:t>
      </w:r>
      <w:r w:rsidRPr="00243115">
        <w:rPr>
          <w:rtl/>
        </w:rPr>
        <w:t>الإرشاد</w:t>
      </w:r>
      <w:r w:rsidRPr="00132E65">
        <w:rPr>
          <w:rtl/>
        </w:rPr>
        <w:t xml:space="preserve"> ، ج 2 ، ص 219 ، عن يعقوب بن جعفر الجعفري</w:t>
      </w:r>
      <w:r>
        <w:rPr>
          <w:rFonts w:hint="cs"/>
          <w:rtl/>
        </w:rPr>
        <w:t>.</w:t>
      </w:r>
      <w:r w:rsidRPr="009D1ACE">
        <w:rPr>
          <w:rStyle w:val="libFootnoteBoldChar"/>
          <w:rtl/>
        </w:rPr>
        <w:t>الوافي</w:t>
      </w:r>
      <w:r w:rsidRPr="00132E65">
        <w:rPr>
          <w:rtl/>
        </w:rPr>
        <w:t xml:space="preserve"> ، ج 2 ، ص 351 ، ح 818.</w:t>
      </w:r>
    </w:p>
    <w:p w:rsidR="000C39D1" w:rsidRPr="00132E65" w:rsidRDefault="000C39D1" w:rsidP="000C39D1">
      <w:pPr>
        <w:pStyle w:val="libFootnote0"/>
        <w:rPr>
          <w:rtl/>
          <w:lang w:bidi="fa-IR"/>
        </w:rPr>
      </w:pPr>
      <w:r>
        <w:rPr>
          <w:rtl/>
        </w:rPr>
        <w:t>(3).</w:t>
      </w:r>
      <w:r w:rsidRPr="00132E65">
        <w:rPr>
          <w:rtl/>
        </w:rPr>
        <w:t xml:space="preserve"> في </w:t>
      </w:r>
      <w:r w:rsidRPr="00243115">
        <w:rPr>
          <w:rtl/>
        </w:rPr>
        <w:t>شرح المازندراني</w:t>
      </w:r>
      <w:r w:rsidRPr="00132E65">
        <w:rPr>
          <w:rtl/>
        </w:rPr>
        <w:t xml:space="preserve"> ، ج 6 ، ص 162 : « أي يأتي أجلها وقت الغداة ووقت الرواح</w:t>
      </w:r>
      <w:r>
        <w:rPr>
          <w:rtl/>
        </w:rPr>
        <w:t xml:space="preserve"> ..</w:t>
      </w:r>
      <w:r w:rsidRPr="00132E65">
        <w:rPr>
          <w:rtl/>
        </w:rPr>
        <w:t>. والظاهر أنّ الفعلين مجهولان من باب الإفعال ؛ لأنّ غدا يَغْدو غدوّاً وراح يروح رواحاً لازمان ، بخلاف أغداه وأراحه ، فإنّهما متعدّيان ، بمعنى إذهابه في هاتين الوقتين »</w:t>
      </w:r>
      <w:r>
        <w:rPr>
          <w:rtl/>
        </w:rPr>
        <w:t>.</w:t>
      </w:r>
      <w:r w:rsidRPr="00132E65">
        <w:rPr>
          <w:rtl/>
        </w:rPr>
        <w:t xml:space="preserve"> وراجع : </w:t>
      </w:r>
      <w:r w:rsidRPr="00243115">
        <w:rPr>
          <w:rtl/>
        </w:rPr>
        <w:t>الصحاح</w:t>
      </w:r>
      <w:r w:rsidRPr="00132E65">
        <w:rPr>
          <w:rtl/>
        </w:rPr>
        <w:t xml:space="preserve"> ، ج 1 ، ص 368 ( روح )</w:t>
      </w:r>
      <w:r>
        <w:rPr>
          <w:rtl/>
        </w:rPr>
        <w:t>.</w:t>
      </w:r>
    </w:p>
    <w:p w:rsidR="000C39D1" w:rsidRPr="00132E65" w:rsidRDefault="000C39D1" w:rsidP="000C39D1">
      <w:pPr>
        <w:pStyle w:val="libFootnote0"/>
        <w:rPr>
          <w:rtl/>
          <w:lang w:bidi="fa-IR"/>
        </w:rPr>
      </w:pPr>
      <w:r>
        <w:rPr>
          <w:rtl/>
        </w:rPr>
        <w:t>(4).</w:t>
      </w:r>
      <w:r w:rsidRPr="00132E65">
        <w:rPr>
          <w:rtl/>
        </w:rPr>
        <w:t xml:space="preserve"> في « بح » : « فإن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قال »</w:t>
      </w:r>
      <w:r>
        <w:rPr>
          <w:rtl/>
        </w:rPr>
        <w:t>.</w:t>
      </w:r>
    </w:p>
    <w:p w:rsidR="000C39D1" w:rsidRPr="00132E65" w:rsidRDefault="000C39D1" w:rsidP="000C39D1">
      <w:pPr>
        <w:pStyle w:val="libFootnote0"/>
        <w:rPr>
          <w:rtl/>
          <w:lang w:bidi="fa-IR"/>
        </w:rPr>
      </w:pPr>
      <w:r>
        <w:rPr>
          <w:rtl/>
        </w:rPr>
        <w:t>(6).</w:t>
      </w:r>
      <w:r w:rsidRPr="00132E65">
        <w:rPr>
          <w:rtl/>
        </w:rPr>
        <w:t xml:space="preserve"> في « ه‍ » والإرشاد </w:t>
      </w:r>
      <w:r>
        <w:rPr>
          <w:rtl/>
        </w:rPr>
        <w:t xml:space="preserve">: - </w:t>
      </w:r>
      <w:r w:rsidRPr="00132E65">
        <w:rPr>
          <w:rtl/>
        </w:rPr>
        <w:t>« بيده »</w:t>
      </w:r>
      <w:r>
        <w:rPr>
          <w:rtl/>
        </w:rPr>
        <w:t>.</w:t>
      </w:r>
    </w:p>
    <w:p w:rsidR="000C39D1" w:rsidRPr="00132E65" w:rsidRDefault="000C39D1" w:rsidP="000C39D1">
      <w:pPr>
        <w:pStyle w:val="libFootnote0"/>
        <w:rPr>
          <w:rtl/>
          <w:lang w:bidi="fa-IR"/>
        </w:rPr>
      </w:pPr>
      <w:r>
        <w:rPr>
          <w:rtl/>
        </w:rPr>
        <w:t>(7).</w:t>
      </w:r>
      <w:r w:rsidRPr="00132E65">
        <w:rPr>
          <w:rtl/>
        </w:rPr>
        <w:t xml:space="preserve"> في الإرشاد : « وهو فيما أعلم يومئذٍ خماسيّ »</w:t>
      </w:r>
      <w:r>
        <w:rPr>
          <w:rtl/>
        </w:rPr>
        <w:t>.</w:t>
      </w:r>
      <w:r w:rsidRPr="00132E65">
        <w:rPr>
          <w:rtl/>
        </w:rPr>
        <w:t xml:space="preserve"> </w:t>
      </w:r>
      <w:r>
        <w:rPr>
          <w:rtl/>
        </w:rPr>
        <w:t>و «</w:t>
      </w:r>
      <w:r w:rsidRPr="00132E65">
        <w:rPr>
          <w:rtl/>
        </w:rPr>
        <w:t xml:space="preserve"> الخُماسِيّ » : من طوله خمسة أشبار ، ولا يقال : سُداسيّ ولاسُباعيّ ولا في غير الخمسة ؛ لأنّه إذا بلغ سبعة أشبار صار رجلاً. والا</w:t>
      </w:r>
      <w:r>
        <w:rPr>
          <w:rFonts w:hint="cs"/>
          <w:rtl/>
        </w:rPr>
        <w:t>ُ</w:t>
      </w:r>
      <w:r w:rsidRPr="00132E65">
        <w:rPr>
          <w:rtl/>
        </w:rPr>
        <w:t>نثى خُماسيّة. قال المجلسي : « الخُماسيّ : من قدّه خمسة أشبار ، أو من سنّه خمس سنين ، والأوّل أشهر »</w:t>
      </w:r>
      <w:r>
        <w:rPr>
          <w:rtl/>
        </w:rPr>
        <w:t>.</w:t>
      </w:r>
      <w:r w:rsidRPr="00132E65">
        <w:rPr>
          <w:rtl/>
        </w:rPr>
        <w:t xml:space="preserve"> راجع : </w:t>
      </w:r>
      <w:r w:rsidRPr="009D1ACE">
        <w:rPr>
          <w:rStyle w:val="libFootnoteBoldChar"/>
          <w:rtl/>
        </w:rPr>
        <w:t>لسان العرب</w:t>
      </w:r>
      <w:r w:rsidRPr="00132E65">
        <w:rPr>
          <w:rtl/>
        </w:rPr>
        <w:t xml:space="preserve"> ، ج 6 ، ص 69 ( خمس ) ؛ </w:t>
      </w:r>
      <w:r w:rsidRPr="009D1ACE">
        <w:rPr>
          <w:rStyle w:val="libFootnoteBoldChar"/>
          <w:rtl/>
        </w:rPr>
        <w:t>مرآة العقول</w:t>
      </w:r>
      <w:r w:rsidRPr="00132E65">
        <w:rPr>
          <w:rtl/>
        </w:rPr>
        <w:t xml:space="preserve"> ، ج 3 ، ص 333.</w:t>
      </w:r>
    </w:p>
    <w:p w:rsidR="000C39D1" w:rsidRPr="00132E65" w:rsidRDefault="000C39D1" w:rsidP="000C39D1">
      <w:pPr>
        <w:pStyle w:val="libFootnote0"/>
        <w:rPr>
          <w:rtl/>
          <w:lang w:bidi="fa-IR"/>
        </w:rPr>
      </w:pPr>
      <w:r>
        <w:rPr>
          <w:rtl/>
        </w:rPr>
        <w:t>(8).</w:t>
      </w:r>
      <w:r w:rsidRPr="00132E65">
        <w:rPr>
          <w:rtl/>
        </w:rPr>
        <w:t xml:space="preserve"> </w:t>
      </w:r>
      <w:r w:rsidRPr="00243115">
        <w:rPr>
          <w:rtl/>
        </w:rPr>
        <w:t>الغيبة</w:t>
      </w:r>
      <w:r w:rsidRPr="00132E65">
        <w:rPr>
          <w:rtl/>
        </w:rPr>
        <w:t xml:space="preserve"> للنعماني ، ص 329 ، ح 9 ، بسنده عن صفوان بن مهران الجمّال ، مع اختلاف يسير ؛ </w:t>
      </w:r>
      <w:r w:rsidRPr="00243115">
        <w:rPr>
          <w:rtl/>
        </w:rPr>
        <w:t>الإرشاد</w:t>
      </w:r>
      <w:r w:rsidRPr="00132E65">
        <w:rPr>
          <w:rtl/>
        </w:rPr>
        <w:t xml:space="preserve"> ، ج 2 ، ص 218 ، عن ابن أبي نجران ، عن منصور بن حازم</w:t>
      </w:r>
      <w:r>
        <w:rPr>
          <w:rFonts w:hint="cs"/>
          <w:rtl/>
        </w:rPr>
        <w:t>.</w:t>
      </w:r>
      <w:r w:rsidRPr="009D1ACE">
        <w:rPr>
          <w:rStyle w:val="libFootnoteBoldChar"/>
          <w:rtl/>
        </w:rPr>
        <w:t>الوافي</w:t>
      </w:r>
      <w:r w:rsidRPr="00132E65">
        <w:rPr>
          <w:rtl/>
        </w:rPr>
        <w:t xml:space="preserve"> ، ج 2 ، ص 351 ، ح 820.</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w:t>
            </w:r>
            <w:r w:rsidRPr="000577A7">
              <w:rPr>
                <w:rStyle w:val="libFootnoteBoldChar"/>
                <w:rtl/>
              </w:rPr>
              <w:t>الكافي</w:t>
            </w:r>
            <w:r w:rsidRPr="00132E65">
              <w:rPr>
                <w:rtl/>
              </w:rPr>
              <w:t xml:space="preserve"> ، ح 758 </w:t>
            </w:r>
            <w:r>
              <w:rPr>
                <w:rtl/>
              </w:rPr>
              <w:t xml:space="preserve">: - </w:t>
            </w:r>
            <w:r w:rsidRPr="00132E65">
              <w:rPr>
                <w:rtl/>
              </w:rPr>
              <w:t>« بن محمّد »</w:t>
            </w:r>
            <w:r>
              <w:rPr>
                <w:rtl/>
              </w:rPr>
              <w:t>.</w:t>
            </w:r>
          </w:p>
        </w:tc>
        <w:tc>
          <w:tcPr>
            <w:tcW w:w="4006" w:type="dxa"/>
          </w:tcPr>
          <w:p w:rsidR="000C39D1" w:rsidRDefault="000C39D1" w:rsidP="00B53873">
            <w:pPr>
              <w:pStyle w:val="libFootnote0"/>
              <w:rPr>
                <w:rtl/>
              </w:rPr>
            </w:pPr>
            <w:r>
              <w:rPr>
                <w:rtl/>
              </w:rPr>
              <w:t>(10).</w:t>
            </w:r>
            <w:r w:rsidRPr="00132E65">
              <w:rPr>
                <w:rtl/>
              </w:rPr>
              <w:t xml:space="preserve"> في </w:t>
            </w:r>
            <w:r w:rsidRPr="000577A7">
              <w:rPr>
                <w:rStyle w:val="libFootnoteBoldChar"/>
                <w:rtl/>
              </w:rPr>
              <w:t>الكافي</w:t>
            </w:r>
            <w:r w:rsidRPr="00132E65">
              <w:rPr>
                <w:rtl/>
              </w:rPr>
              <w:t xml:space="preserve"> ، ص 758 </w:t>
            </w:r>
            <w:r>
              <w:rPr>
                <w:rtl/>
              </w:rPr>
              <w:t xml:space="preserve">: - </w:t>
            </w:r>
            <w:r w:rsidRPr="00132E65">
              <w:rPr>
                <w:rtl/>
              </w:rPr>
              <w:t>« ذلك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أَئْتَمُّ </w:t>
      </w:r>
      <w:r>
        <w:rPr>
          <w:rStyle w:val="libFootnotenumChar"/>
          <w:rtl/>
        </w:rPr>
        <w:t>(1)</w:t>
      </w:r>
      <w:r>
        <w:rPr>
          <w:rtl/>
          <w:lang w:bidi="fa-IR"/>
        </w:rPr>
        <w:t>؟</w:t>
      </w:r>
      <w:r w:rsidRPr="00132E65">
        <w:rPr>
          <w:rtl/>
          <w:lang w:bidi="fa-IR"/>
        </w:rPr>
        <w:t xml:space="preserve"> قَالَ </w:t>
      </w:r>
      <w:r>
        <w:rPr>
          <w:rStyle w:val="libFootnotenumChar"/>
          <w:rtl/>
        </w:rPr>
        <w:t>(2)</w:t>
      </w:r>
      <w:r w:rsidRPr="00132E65">
        <w:rPr>
          <w:rtl/>
          <w:lang w:bidi="fa-IR"/>
        </w:rPr>
        <w:t xml:space="preserve"> : فَأَوْمَأَ إِلَى ابْنِهِ مُوسى.</w:t>
      </w:r>
    </w:p>
    <w:p w:rsidR="000C39D1" w:rsidRPr="00132E65" w:rsidRDefault="000C39D1" w:rsidP="000C39D1">
      <w:pPr>
        <w:pStyle w:val="libNormal"/>
        <w:rPr>
          <w:rtl/>
          <w:lang w:bidi="fa-IR"/>
        </w:rPr>
      </w:pPr>
      <w:r w:rsidRPr="00132E65">
        <w:rPr>
          <w:rtl/>
          <w:lang w:bidi="fa-IR"/>
        </w:rPr>
        <w:t xml:space="preserve">قُلْتُ </w:t>
      </w:r>
      <w:r>
        <w:rPr>
          <w:rStyle w:val="libFootnotenumChar"/>
          <w:rtl/>
        </w:rPr>
        <w:t>(3)</w:t>
      </w:r>
      <w:r w:rsidRPr="00132E65">
        <w:rPr>
          <w:rtl/>
          <w:lang w:bidi="fa-IR"/>
        </w:rPr>
        <w:t xml:space="preserve"> : فَإِنْ حَدَثَ بِمُوسى حَدَثٌ ، فَبِمَنْ أَئْتَمُّ</w:t>
      </w:r>
      <w:r>
        <w:rPr>
          <w:rtl/>
          <w:lang w:bidi="fa-IR"/>
        </w:rPr>
        <w:t>؟</w:t>
      </w:r>
      <w:r w:rsidRPr="00132E65">
        <w:rPr>
          <w:rtl/>
          <w:lang w:bidi="fa-IR"/>
        </w:rPr>
        <w:t xml:space="preserve"> قَالَ : « بِوَلَدِهِ »</w:t>
      </w:r>
      <w:r>
        <w:rPr>
          <w:rtl/>
          <w:lang w:bidi="fa-IR"/>
        </w:rPr>
        <w:t>.</w:t>
      </w:r>
    </w:p>
    <w:p w:rsidR="000C39D1" w:rsidRPr="00132E65" w:rsidRDefault="000C39D1" w:rsidP="000C39D1">
      <w:pPr>
        <w:pStyle w:val="libNormal"/>
        <w:rPr>
          <w:rtl/>
          <w:lang w:bidi="fa-IR"/>
        </w:rPr>
      </w:pPr>
      <w:r w:rsidRPr="00132E65">
        <w:rPr>
          <w:rtl/>
          <w:lang w:bidi="fa-IR"/>
        </w:rPr>
        <w:t>قُلْتُ : فَإِنْ حَدَثَ بِوَلَدِهِ حَدَثٌ ، وتَرَكَ أَخاً كَبِيراً وابْناً صَغِيراً ، فَبِمَنْ أَئْتَمُّ</w:t>
      </w:r>
      <w:r>
        <w:rPr>
          <w:rtl/>
          <w:lang w:bidi="fa-IR"/>
        </w:rPr>
        <w:t>؟</w:t>
      </w:r>
      <w:r w:rsidRPr="00132E65">
        <w:rPr>
          <w:rtl/>
          <w:lang w:bidi="fa-IR"/>
        </w:rPr>
        <w:t xml:space="preserve"> قَالَ :</w:t>
      </w:r>
      <w:r>
        <w:rPr>
          <w:rFonts w:hint="cs"/>
          <w:rtl/>
          <w:lang w:bidi="fa-IR"/>
        </w:rPr>
        <w:t xml:space="preserve"> </w:t>
      </w:r>
      <w:r w:rsidRPr="00132E65">
        <w:rPr>
          <w:rtl/>
          <w:lang w:bidi="fa-IR"/>
        </w:rPr>
        <w:t xml:space="preserve">« بِوَلَدِهِ » ، ثُمَّ قَالَ </w:t>
      </w:r>
      <w:r>
        <w:rPr>
          <w:rStyle w:val="libFootnotenumChar"/>
          <w:rtl/>
        </w:rPr>
        <w:t>(4)</w:t>
      </w:r>
      <w:r w:rsidRPr="00132E65">
        <w:rPr>
          <w:rtl/>
          <w:lang w:bidi="fa-IR"/>
        </w:rPr>
        <w:t xml:space="preserve"> : « هكَذَا </w:t>
      </w:r>
      <w:r>
        <w:rPr>
          <w:rStyle w:val="libFootnotenumChar"/>
          <w:rtl/>
        </w:rPr>
        <w:t>(5)</w:t>
      </w:r>
      <w:r w:rsidRPr="00132E65">
        <w:rPr>
          <w:rtl/>
          <w:lang w:bidi="fa-IR"/>
        </w:rPr>
        <w:t xml:space="preserve"> أَبَداً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قُلْتُ : فَإِنْ لَمْ أَعْرِفْهُ ولَا</w:t>
      </w:r>
      <w:r>
        <w:rPr>
          <w:rFonts w:hint="cs"/>
          <w:rtl/>
          <w:lang w:bidi="fa-IR"/>
        </w:rPr>
        <w:t xml:space="preserve"> </w:t>
      </w:r>
      <w:r w:rsidRPr="00132E65">
        <w:rPr>
          <w:rtl/>
          <w:lang w:bidi="fa-IR"/>
        </w:rPr>
        <w:t xml:space="preserve">أَعْرِفْ </w:t>
      </w:r>
      <w:r>
        <w:rPr>
          <w:rStyle w:val="libFootnotenumChar"/>
          <w:rtl/>
        </w:rPr>
        <w:t>(7)</w:t>
      </w:r>
      <w:r w:rsidRPr="00132E65">
        <w:rPr>
          <w:rtl/>
          <w:lang w:bidi="fa-IR"/>
        </w:rPr>
        <w:t xml:space="preserve"> مَوْضِعَهُ</w:t>
      </w:r>
      <w:r>
        <w:rPr>
          <w:rtl/>
          <w:lang w:bidi="fa-IR"/>
        </w:rPr>
        <w:t>؟</w:t>
      </w:r>
      <w:r w:rsidRPr="00132E65">
        <w:rPr>
          <w:rtl/>
          <w:lang w:bidi="fa-IR"/>
        </w:rPr>
        <w:t xml:space="preserve"> قَالَ : « تَقُولُ : اللهُمَّ ، إِنِّي أَتَوَلّى </w:t>
      </w:r>
      <w:r>
        <w:rPr>
          <w:rStyle w:val="libFootnotenumChar"/>
          <w:rtl/>
        </w:rPr>
        <w:t>(8)</w:t>
      </w:r>
      <w:r w:rsidRPr="00132E65">
        <w:rPr>
          <w:rtl/>
          <w:lang w:bidi="fa-IR"/>
        </w:rPr>
        <w:t xml:space="preserve"> مَنْ بَقِيَ مِنْ حُجَجِكَ مِنْ ولْدِ الْإِمَامِ الْمَاضِي ؛ فَإِنَّ ذلِكَ يُجْزِيكَ إِنْ شَاءَ اللهُ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243115">
        <w:rPr>
          <w:rtl/>
        </w:rPr>
        <w:t>808</w:t>
      </w:r>
      <w:r w:rsidRPr="004325D8">
        <w:rPr>
          <w:rStyle w:val="libBold2Char"/>
          <w:rtl/>
        </w:rPr>
        <w:t xml:space="preserve"> / 8.</w:t>
      </w:r>
      <w:r w:rsidRPr="00132E65">
        <w:rPr>
          <w:rtl/>
          <w:lang w:bidi="fa-IR"/>
        </w:rPr>
        <w:t xml:space="preserve"> أَحْمَدُ بْنُ مِهْرَانَ ، عَنْ مُحَمَّدِ بْنِ عَلِيٍّ ، عَنْ عَبْدِ اللهِ الْقَلاَّءِ ، عَنِ ا</w:t>
      </w:r>
      <w:r w:rsidR="00242766">
        <w:rPr>
          <w:rtl/>
          <w:lang w:bidi="fa-IR"/>
        </w:rPr>
        <w:t>لْمُفَضَّلِ بْنِ عُمَرَ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ذَكَرَ أَبُو عَبْدِ اللهِ أَبَا الْحَسَنِ </w:t>
      </w:r>
      <w:r w:rsidRPr="00071CF9">
        <w:rPr>
          <w:rStyle w:val="libAlaemChar"/>
          <w:rtl/>
        </w:rPr>
        <w:t>عليهما‌السلام</w:t>
      </w:r>
      <w:r w:rsidRPr="00132E65">
        <w:rPr>
          <w:rtl/>
          <w:lang w:bidi="fa-IR"/>
        </w:rPr>
        <w:t xml:space="preserve"> وهُوَ يَوْمَئِذٍ غُلَامٌ ، فَقَالَ : « هذَا الْمَوْلُودُ الَّذِي لَمْ يُولَدْ فِينَا مَوْلُودٌ أَعْظَمُ بَرَكَةً عَلى شِيعَتِنَا مِنْهُ » ثُمَّ قَالَ لِي </w:t>
      </w:r>
      <w:r>
        <w:rPr>
          <w:rStyle w:val="libFootnotenumChar"/>
          <w:rtl/>
        </w:rPr>
        <w:t>(10)</w:t>
      </w:r>
      <w:r w:rsidRPr="00132E65">
        <w:rPr>
          <w:rtl/>
          <w:lang w:bidi="fa-IR"/>
        </w:rPr>
        <w:t xml:space="preserve"> : « لَا تَجْفُوا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أئتمُّ » ، أي أقتدي. راجع : </w:t>
      </w:r>
      <w:r w:rsidRPr="00243115">
        <w:rPr>
          <w:rtl/>
        </w:rPr>
        <w:t>المصباح المنير</w:t>
      </w:r>
      <w:r w:rsidRPr="00132E65">
        <w:rPr>
          <w:rtl/>
        </w:rPr>
        <w:t xml:space="preserve"> ، ص 24 : ( أمم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w:t>
            </w:r>
            <w:r w:rsidRPr="000577A7">
              <w:rPr>
                <w:rStyle w:val="libFootnoteBoldChar"/>
                <w:rtl/>
              </w:rPr>
              <w:t>الكافي</w:t>
            </w:r>
            <w:r w:rsidRPr="00132E65">
              <w:rPr>
                <w:rtl/>
              </w:rPr>
              <w:t xml:space="preserve"> ، ح 758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(3).</w:t>
            </w:r>
            <w:r w:rsidRPr="00132E65">
              <w:rPr>
                <w:rtl/>
              </w:rPr>
              <w:t xml:space="preserve"> في </w:t>
            </w:r>
            <w:r w:rsidRPr="000577A7">
              <w:rPr>
                <w:rStyle w:val="libFootnoteBoldChar"/>
                <w:rtl/>
              </w:rPr>
              <w:t>الكافي</w:t>
            </w:r>
            <w:r w:rsidRPr="00132E65">
              <w:rPr>
                <w:rtl/>
              </w:rPr>
              <w:t xml:space="preserve"> ، ح 758 : « قال : قلت »</w:t>
            </w:r>
            <w:r>
              <w:rPr>
                <w:rtl/>
              </w:rPr>
              <w:t>.</w:t>
            </w:r>
          </w:p>
        </w:tc>
      </w:tr>
      <w:tr w:rsidR="000C39D1" w:rsidTr="00B53873">
        <w:tc>
          <w:tcPr>
            <w:tcW w:w="4006" w:type="dxa"/>
          </w:tcPr>
          <w:p w:rsidR="000C39D1" w:rsidRDefault="000C39D1" w:rsidP="00B53873">
            <w:pPr>
              <w:pStyle w:val="libFootnote0"/>
              <w:rPr>
                <w:rtl/>
              </w:rPr>
            </w:pPr>
            <w:r>
              <w:rPr>
                <w:rtl/>
              </w:rPr>
              <w:t>(4). في « ب ، ف ، ه‍ ، بر »</w:t>
            </w:r>
            <w:r w:rsidRPr="00132E65">
              <w:rPr>
                <w:rtl/>
              </w:rPr>
              <w:t xml:space="preserve">والإرشاد </w:t>
            </w:r>
            <w:r>
              <w:rPr>
                <w:rtl/>
              </w:rPr>
              <w:t>: -</w:t>
            </w:r>
            <w:r w:rsidRPr="00132E65">
              <w:rPr>
                <w:rtl/>
              </w:rPr>
              <w:t>« قال »</w:t>
            </w:r>
            <w:r>
              <w:rPr>
                <w:rtl/>
              </w:rPr>
              <w:t>.</w:t>
            </w:r>
          </w:p>
        </w:tc>
        <w:tc>
          <w:tcPr>
            <w:tcW w:w="4006" w:type="dxa"/>
          </w:tcPr>
          <w:p w:rsidR="000C39D1" w:rsidRDefault="000C39D1" w:rsidP="00B53873">
            <w:pPr>
              <w:pStyle w:val="libFootnote0"/>
              <w:rPr>
                <w:rtl/>
              </w:rPr>
            </w:pPr>
            <w:r>
              <w:rPr>
                <w:rtl/>
              </w:rPr>
              <w:t>(5).</w:t>
            </w:r>
            <w:r w:rsidRPr="00132E65">
              <w:rPr>
                <w:rtl/>
              </w:rPr>
              <w:t xml:space="preserve"> في « بر » : « كذا »</w:t>
            </w:r>
            <w:r>
              <w:rPr>
                <w:rtl/>
              </w:rPr>
              <w:t>.</w:t>
            </w:r>
          </w:p>
        </w:tc>
      </w:tr>
    </w:tbl>
    <w:p w:rsidR="000C39D1" w:rsidRPr="00132E65" w:rsidRDefault="000C39D1" w:rsidP="000C39D1">
      <w:pPr>
        <w:pStyle w:val="libFootnote0"/>
        <w:rPr>
          <w:rtl/>
          <w:lang w:bidi="fa-IR"/>
        </w:rPr>
      </w:pPr>
      <w:r>
        <w:rPr>
          <w:rtl/>
        </w:rPr>
        <w:t>(6).</w:t>
      </w:r>
      <w:r w:rsidRPr="00132E65">
        <w:rPr>
          <w:rtl/>
        </w:rPr>
        <w:t xml:space="preserve"> في </w:t>
      </w:r>
      <w:r w:rsidRPr="000577A7">
        <w:rPr>
          <w:rStyle w:val="libFootnoteBoldChar"/>
          <w:rtl/>
        </w:rPr>
        <w:t>الكافي</w:t>
      </w:r>
      <w:r w:rsidRPr="00132E65">
        <w:rPr>
          <w:rtl/>
        </w:rPr>
        <w:t xml:space="preserve"> ، ح 758 : « ثمّ واحداً فواحداً. وفي نسخة الصفواني : ثمّ هكذا أبداً » بدل « ثمّ قال هكذا أبداً »</w:t>
      </w:r>
      <w:r>
        <w:rPr>
          <w:rtl/>
        </w:rPr>
        <w:t>.</w:t>
      </w:r>
    </w:p>
    <w:p w:rsidR="000C39D1" w:rsidRPr="00132E65" w:rsidRDefault="000C39D1" w:rsidP="000C39D1">
      <w:pPr>
        <w:pStyle w:val="libFootnote0"/>
        <w:rPr>
          <w:rtl/>
          <w:lang w:bidi="fa-IR"/>
        </w:rPr>
      </w:pPr>
      <w:r>
        <w:rPr>
          <w:rtl/>
        </w:rPr>
        <w:t>(7).</w:t>
      </w:r>
      <w:r w:rsidRPr="00132E65">
        <w:rPr>
          <w:rtl/>
        </w:rPr>
        <w:t xml:space="preserve"> مجزوم</w:t>
      </w:r>
      <w:r>
        <w:rPr>
          <w:rtl/>
        </w:rPr>
        <w:t xml:space="preserve"> ب</w:t>
      </w:r>
      <w:r>
        <w:rPr>
          <w:rFonts w:hint="cs"/>
          <w:rtl/>
        </w:rPr>
        <w:t>ـ</w:t>
      </w:r>
      <w:r>
        <w:rPr>
          <w:rtl/>
        </w:rPr>
        <w:t xml:space="preserve"> «</w:t>
      </w:r>
      <w:r w:rsidRPr="00132E65">
        <w:rPr>
          <w:rtl/>
        </w:rPr>
        <w:t xml:space="preserve"> إن » الشرطيّة. وفي « ج ، ض ، بح ، بر ، بس » : « ولم أعرف »</w:t>
      </w:r>
      <w:r>
        <w:rPr>
          <w:rtl/>
        </w:rPr>
        <w:t>.</w:t>
      </w:r>
    </w:p>
    <w:p w:rsidR="000C39D1" w:rsidRPr="00132E65" w:rsidRDefault="000C39D1" w:rsidP="000C39D1">
      <w:pPr>
        <w:pStyle w:val="libFootnote0"/>
        <w:rPr>
          <w:rtl/>
          <w:lang w:bidi="fa-IR"/>
        </w:rPr>
      </w:pPr>
      <w:r>
        <w:rPr>
          <w:rtl/>
        </w:rPr>
        <w:t>(8).</w:t>
      </w:r>
      <w:r w:rsidRPr="00132E65">
        <w:rPr>
          <w:rtl/>
        </w:rPr>
        <w:t xml:space="preserve"> « أتولّى » </w:t>
      </w:r>
      <w:r>
        <w:rPr>
          <w:rtl/>
        </w:rPr>
        <w:t>، أي أتّخذه وليّاً. يقال : تول</w:t>
      </w:r>
      <w:r>
        <w:rPr>
          <w:rFonts w:hint="cs"/>
          <w:rtl/>
        </w:rPr>
        <w:t>ّ</w:t>
      </w:r>
      <w:r>
        <w:rPr>
          <w:rtl/>
        </w:rPr>
        <w:t>ا</w:t>
      </w:r>
      <w:r w:rsidRPr="00132E65">
        <w:rPr>
          <w:rtl/>
        </w:rPr>
        <w:t xml:space="preserve">ه ، أي اتّخذه وليّاً. والمراد : أعتقد إمامته وولايته. راجع : </w:t>
      </w:r>
      <w:r w:rsidRPr="00243115">
        <w:rPr>
          <w:rtl/>
        </w:rPr>
        <w:t>القاموس المحيط</w:t>
      </w:r>
      <w:r w:rsidRPr="00132E65">
        <w:rPr>
          <w:rtl/>
        </w:rPr>
        <w:t xml:space="preserve"> ، ج 2 ، ص 1761 ( ولى ) ؛ </w:t>
      </w:r>
      <w:r w:rsidRPr="009D1ACE">
        <w:rPr>
          <w:rStyle w:val="libFootnoteBoldChar"/>
          <w:rtl/>
        </w:rPr>
        <w:t>مرآة العقول</w:t>
      </w:r>
      <w:r w:rsidRPr="00132E65">
        <w:rPr>
          <w:rtl/>
        </w:rPr>
        <w:t xml:space="preserve"> ، ج 3 ، ص 334.</w:t>
      </w:r>
    </w:p>
    <w:p w:rsidR="000C39D1" w:rsidRPr="00132E65" w:rsidRDefault="000C39D1" w:rsidP="000C39D1">
      <w:pPr>
        <w:pStyle w:val="libFootnote0"/>
        <w:rPr>
          <w:rtl/>
          <w:lang w:bidi="fa-IR"/>
        </w:rPr>
      </w:pPr>
      <w:r>
        <w:rPr>
          <w:rtl/>
        </w:rPr>
        <w:t>(9).</w:t>
      </w:r>
      <w:r w:rsidRPr="00132E65">
        <w:rPr>
          <w:rtl/>
        </w:rPr>
        <w:t xml:space="preserve"> </w:t>
      </w:r>
      <w:r w:rsidRPr="000577A7">
        <w:rPr>
          <w:rStyle w:val="libFootnoteBoldChar"/>
          <w:rtl/>
        </w:rPr>
        <w:t>الكافي</w:t>
      </w:r>
      <w:r w:rsidRPr="00132E65">
        <w:rPr>
          <w:rtl/>
        </w:rPr>
        <w:t xml:space="preserve"> ، كتاب الحجّة ، باب ثبات الإمامة في الأعقاب</w:t>
      </w:r>
      <w:r>
        <w:rPr>
          <w:rtl/>
        </w:rPr>
        <w:t xml:space="preserve"> ..</w:t>
      </w:r>
      <w:r w:rsidRPr="00132E65">
        <w:rPr>
          <w:rtl/>
        </w:rPr>
        <w:t>. ، ح 758 ، إلى قوله : « هكذا أبداً »</w:t>
      </w:r>
      <w:r>
        <w:rPr>
          <w:rtl/>
        </w:rPr>
        <w:t>.</w:t>
      </w:r>
      <w:r w:rsidRPr="00132E65">
        <w:rPr>
          <w:rtl/>
        </w:rPr>
        <w:t xml:space="preserve"> وفي </w:t>
      </w:r>
      <w:r w:rsidRPr="00243115">
        <w:rPr>
          <w:rtl/>
        </w:rPr>
        <w:t xml:space="preserve">كمال الدين </w:t>
      </w:r>
      <w:r w:rsidRPr="00132E65">
        <w:rPr>
          <w:rtl/>
        </w:rPr>
        <w:t xml:space="preserve">، ص 349 ، ح 43 ؛ وص 415 ، ح 7 ، بسندهما عن محمّد بن الحسين بن أبي الخطّاب ، مع اختلاف يسير. </w:t>
      </w:r>
      <w:r w:rsidRPr="00243115">
        <w:rPr>
          <w:rtl/>
        </w:rPr>
        <w:t>الإرشاد</w:t>
      </w:r>
      <w:r w:rsidRPr="00132E65">
        <w:rPr>
          <w:rtl/>
        </w:rPr>
        <w:t xml:space="preserve"> ، ج 2 ، ص 218 ، عن ابن أبي نجران إلى قوله : « هكذا أبداً »</w:t>
      </w:r>
      <w:r>
        <w:rPr>
          <w:rtl/>
        </w:rPr>
        <w:t>.</w:t>
      </w:r>
      <w:r w:rsidRPr="00132E65">
        <w:rPr>
          <w:rtl/>
        </w:rPr>
        <w:t xml:space="preserve"> راجع : </w:t>
      </w:r>
      <w:r w:rsidRPr="00243115">
        <w:rPr>
          <w:rtl/>
        </w:rPr>
        <w:t>عيون الأخبار</w:t>
      </w:r>
      <w:r w:rsidRPr="00132E65">
        <w:rPr>
          <w:rtl/>
        </w:rPr>
        <w:t xml:space="preserve"> ، ج 1 ، ص 22 ، ح 6</w:t>
      </w:r>
      <w:r>
        <w:rPr>
          <w:rFonts w:hint="cs"/>
          <w:rtl/>
        </w:rPr>
        <w:t>.</w:t>
      </w:r>
      <w:r w:rsidRPr="009D1ACE">
        <w:rPr>
          <w:rStyle w:val="libFootnoteBoldChar"/>
          <w:rtl/>
        </w:rPr>
        <w:t>الوافي</w:t>
      </w:r>
      <w:r w:rsidRPr="00132E65">
        <w:rPr>
          <w:rtl/>
        </w:rPr>
        <w:t xml:space="preserve"> ، ج 2 ، ص 352 ، ح 821 ؛ </w:t>
      </w:r>
      <w:r w:rsidRPr="00243115">
        <w:rPr>
          <w:rtl/>
        </w:rPr>
        <w:t>البحار</w:t>
      </w:r>
      <w:r w:rsidRPr="00132E65">
        <w:rPr>
          <w:rtl/>
        </w:rPr>
        <w:t xml:space="preserve"> ، ج 25 ، ص 253 ، ح 11.</w:t>
      </w:r>
    </w:p>
    <w:p w:rsidR="000C39D1" w:rsidRPr="00132E65" w:rsidRDefault="000C39D1" w:rsidP="000C39D1">
      <w:pPr>
        <w:pStyle w:val="libFootnote0"/>
        <w:rPr>
          <w:rtl/>
          <w:lang w:bidi="fa-IR"/>
        </w:rPr>
      </w:pPr>
      <w:r>
        <w:rPr>
          <w:rtl/>
        </w:rPr>
        <w:t>(10).</w:t>
      </w:r>
      <w:r w:rsidRPr="00132E65">
        <w:rPr>
          <w:rtl/>
        </w:rPr>
        <w:t xml:space="preserve"> في « ب » و</w:t>
      </w:r>
      <w:r w:rsidRPr="009D1ACE">
        <w:rPr>
          <w:rStyle w:val="libFootnoteBoldChar"/>
          <w:rtl/>
        </w:rPr>
        <w:t>الوافي</w:t>
      </w:r>
      <w:r w:rsidRPr="00132E65">
        <w:rPr>
          <w:rtl/>
        </w:rPr>
        <w:t xml:space="preserve">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(11).</w:t>
      </w:r>
      <w:r w:rsidRPr="00132E65">
        <w:rPr>
          <w:rtl/>
        </w:rPr>
        <w:t xml:space="preserve"> في « ف » : « لا تجفّوا » بتشديد الفاء. وفي حاشية « ف » : « لا تجف »</w:t>
      </w:r>
      <w:r>
        <w:rPr>
          <w:rtl/>
        </w:rPr>
        <w:t>.</w:t>
      </w:r>
      <w:r w:rsidRPr="00132E65">
        <w:rPr>
          <w:rtl/>
        </w:rPr>
        <w:t xml:space="preserve"> وقال المازندراني : « وقيل : لا تجفّوه</w:t>
      </w:r>
      <w:r>
        <w:rPr>
          <w:rtl/>
        </w:rPr>
        <w:t xml:space="preserve"> - </w:t>
      </w:r>
      <w:r w:rsidRPr="00132E65">
        <w:rPr>
          <w:rtl/>
        </w:rPr>
        <w:t>بتشديد الفاء</w:t>
      </w:r>
      <w:r>
        <w:rPr>
          <w:rtl/>
        </w:rPr>
        <w:t xml:space="preserve"> - </w:t>
      </w:r>
      <w:r w:rsidRPr="00132E65">
        <w:rPr>
          <w:rtl/>
        </w:rPr>
        <w:t>بمعنى لا تذهبوا به ، أي لا تخبروه بذلك فتجفّوه وتذهبوا به »</w:t>
      </w:r>
      <w:r>
        <w:rPr>
          <w:rtl/>
        </w:rPr>
        <w:t>.</w:t>
      </w:r>
      <w:r w:rsidRPr="00132E65">
        <w:rPr>
          <w:rtl/>
        </w:rPr>
        <w:t xml:space="preserve"> وقال المجلسي : « وعلى بعض الوجوه يمكن أن يقرأ من باب الإفعال من أجفاه ، إذا أتعبه »</w:t>
      </w:r>
      <w:r>
        <w:rPr>
          <w:rtl/>
        </w:rPr>
        <w:t>.</w:t>
      </w:r>
      <w:r w:rsidRPr="00132E65">
        <w:rPr>
          <w:rtl/>
        </w:rPr>
        <w:t xml:space="preserve"> راجع : </w:t>
      </w:r>
      <w:r w:rsidRPr="00243115">
        <w:rPr>
          <w:rtl/>
        </w:rPr>
        <w:t>النهاية</w:t>
      </w:r>
      <w:r w:rsidRPr="00132E65">
        <w:rPr>
          <w:rtl/>
        </w:rPr>
        <w:t xml:space="preserve"> ، ج 1 ، ص 280 ( جفا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إِسْمَاعِيلَ »</w:t>
      </w:r>
      <w:r>
        <w:rPr>
          <w:rtl/>
          <w:lang w:bidi="fa-IR"/>
        </w:rPr>
        <w:t>.</w:t>
      </w:r>
      <w:r w:rsidRPr="00132E65">
        <w:rPr>
          <w:rtl/>
          <w:lang w:bidi="fa-IR"/>
        </w:rPr>
        <w:t xml:space="preserve"> </w:t>
      </w:r>
      <w:r>
        <w:rPr>
          <w:rStyle w:val="libFootnotenumChar"/>
          <w:rtl/>
        </w:rPr>
        <w:t>(1)</w:t>
      </w:r>
    </w:p>
    <w:p w:rsidR="000C39D1" w:rsidRPr="00132E65" w:rsidRDefault="000C39D1" w:rsidP="000C39D1">
      <w:pPr>
        <w:pStyle w:val="libNormal"/>
        <w:rPr>
          <w:rtl/>
          <w:lang w:bidi="fa-IR"/>
        </w:rPr>
      </w:pPr>
      <w:r w:rsidRPr="00243115">
        <w:rPr>
          <w:rtl/>
        </w:rPr>
        <w:t>809</w:t>
      </w:r>
      <w:r w:rsidRPr="004325D8">
        <w:rPr>
          <w:rStyle w:val="libBold2Char"/>
          <w:rtl/>
        </w:rPr>
        <w:t xml:space="preserve"> / 9.</w:t>
      </w:r>
      <w:r w:rsidRPr="00132E65">
        <w:rPr>
          <w:rtl/>
          <w:lang w:bidi="fa-IR"/>
        </w:rPr>
        <w:t xml:space="preserve"> مُحَمَّدُ بْنُ يَحْيى وأَحْمَدُ بْنُ إِدْرِيسَ ، عَنْ مُحَمَّدِ بْنِ عَبْدِ الْجَبَّارِ ، عَنِ الْحَسَنِ بْنِ الْحُسَيْنِ ، عَنْ أَحْمَدَ بْنِ الْحَسَنِ الْمِيثَمِيِّ :</w:t>
      </w:r>
    </w:p>
    <w:p w:rsidR="000C39D1" w:rsidRPr="00132E65" w:rsidRDefault="000C39D1" w:rsidP="000C39D1">
      <w:pPr>
        <w:pStyle w:val="libNormal"/>
        <w:rPr>
          <w:rtl/>
          <w:lang w:bidi="fa-IR"/>
        </w:rPr>
      </w:pPr>
      <w:r w:rsidRPr="00132E65">
        <w:rPr>
          <w:rtl/>
          <w:lang w:bidi="fa-IR"/>
        </w:rPr>
        <w:t xml:space="preserve">عَنْ فَيْضِ بْنِ الْمُخْتَارِ ، فِي حَدِيثٍ طَوِيلٍ فِي أَمْرِ أَبِي الْحَسَنِ </w:t>
      </w:r>
      <w:r w:rsidRPr="00071CF9">
        <w:rPr>
          <w:rStyle w:val="libAlaemChar"/>
          <w:rtl/>
        </w:rPr>
        <w:t>عليه‌السلام</w:t>
      </w:r>
      <w:r w:rsidRPr="00132E65">
        <w:rPr>
          <w:rtl/>
          <w:lang w:bidi="fa-IR"/>
        </w:rPr>
        <w:t xml:space="preserve"> حَتّى قَالَ لَهُ أَبُو عَبْدِ اللهِ </w:t>
      </w:r>
      <w:r w:rsidRPr="00071CF9">
        <w:rPr>
          <w:rStyle w:val="libAlaemChar"/>
          <w:rtl/>
        </w:rPr>
        <w:t>عليه‌السلام</w:t>
      </w:r>
      <w:r w:rsidRPr="00132E65">
        <w:rPr>
          <w:rtl/>
          <w:lang w:bidi="fa-IR"/>
        </w:rPr>
        <w:t xml:space="preserve"> : « هُوَ صَاحِبُكَ الَّذِي سَأَلْتَ عَنْهُ ، فَقُمْ إِلَيْهِ ، فَأَقِرَّ لَهُ بِحَقِّهِ »</w:t>
      </w:r>
      <w:r>
        <w:rPr>
          <w:rtl/>
          <w:lang w:bidi="fa-IR"/>
        </w:rPr>
        <w:t>.</w:t>
      </w:r>
      <w:r w:rsidRPr="00132E65">
        <w:rPr>
          <w:rtl/>
          <w:lang w:bidi="fa-IR"/>
        </w:rPr>
        <w:t xml:space="preserve"> فَقُمْتُ حَتّى قَبَّلْتُ رَأْسَهُ ويَدَهُ ، ودَعَوْتُ اللهَ</w:t>
      </w:r>
      <w:r>
        <w:rPr>
          <w:rtl/>
          <w:lang w:bidi="fa-IR"/>
        </w:rPr>
        <w:t xml:space="preserve"> - </w:t>
      </w:r>
      <w:r w:rsidRPr="00132E65">
        <w:rPr>
          <w:rtl/>
          <w:lang w:bidi="fa-IR"/>
        </w:rPr>
        <w:t>عَزَّ وجَلَّ</w:t>
      </w:r>
      <w:r>
        <w:rPr>
          <w:rtl/>
          <w:lang w:bidi="fa-IR"/>
        </w:rPr>
        <w:t xml:space="preserve"> - </w:t>
      </w:r>
      <w:r w:rsidRPr="00132E65">
        <w:rPr>
          <w:rtl/>
          <w:lang w:bidi="fa-IR"/>
        </w:rPr>
        <w:t xml:space="preserve">لَهُ ، فَقَالَ أَبُو عَبْدِ اللهِ </w:t>
      </w:r>
      <w:r w:rsidRPr="00071CF9">
        <w:rPr>
          <w:rStyle w:val="libAlaemChar"/>
          <w:rtl/>
        </w:rPr>
        <w:t>عليه‌السلام</w:t>
      </w:r>
      <w:r w:rsidRPr="00132E65">
        <w:rPr>
          <w:rtl/>
          <w:lang w:bidi="fa-IR"/>
        </w:rPr>
        <w:t xml:space="preserve"> : « أَمَا إِنَّهُ لَمْ يُؤْذَنْ لَنَا فِي أَوَّلَ مِنْكَ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قُلْتُ : جُعِلْتُ فِدَاكَ ، فَأُخْبِرُ بِهِ أَحَداً</w:t>
      </w:r>
      <w:r>
        <w:rPr>
          <w:rtl/>
          <w:lang w:bidi="fa-IR"/>
        </w:rPr>
        <w:t>؟</w:t>
      </w:r>
      <w:r w:rsidRPr="00132E65">
        <w:rPr>
          <w:rtl/>
          <w:lang w:bidi="fa-IR"/>
        </w:rPr>
        <w:t xml:space="preserve"> فَقَالَ </w:t>
      </w:r>
      <w:r>
        <w:rPr>
          <w:rStyle w:val="libFootnotenumChar"/>
          <w:rtl/>
        </w:rPr>
        <w:t>(3)</w:t>
      </w:r>
      <w:r w:rsidRPr="00132E65">
        <w:rPr>
          <w:rtl/>
          <w:lang w:bidi="fa-IR"/>
        </w:rPr>
        <w:t xml:space="preserve"> : « نَعَمْ ، أَهْلَكَ وو لْدَكَ </w:t>
      </w:r>
      <w:r>
        <w:rPr>
          <w:rStyle w:val="libFootnotenumChar"/>
          <w:rtl/>
        </w:rPr>
        <w:t>(4)</w:t>
      </w:r>
      <w:r w:rsidRPr="00132E65">
        <w:rPr>
          <w:rtl/>
          <w:lang w:bidi="fa-IR"/>
        </w:rPr>
        <w:t xml:space="preserve"> »</w:t>
      </w:r>
      <w:r>
        <w:rPr>
          <w:rtl/>
          <w:lang w:bidi="fa-IR"/>
        </w:rPr>
        <w:t>.</w:t>
      </w:r>
      <w:r w:rsidRPr="00132E65">
        <w:rPr>
          <w:rtl/>
          <w:lang w:bidi="fa-IR"/>
        </w:rPr>
        <w:t xml:space="preserve"> وكَانَ مَعِي أَهْلِي وو لْدِي ورُفَقَائِي ، وكَانَ يُونُسُ بْنُ ظَبْيَانَ مِنْ رُفَقَائِي ؛ فَلَمَّا أَخْبَرْتُهُمْ ، حَمِدُوا اللهَ عَزَّ وجَلَّ.</w:t>
      </w:r>
    </w:p>
    <w:p w:rsidR="000C39D1" w:rsidRPr="00132E65" w:rsidRDefault="000C39D1" w:rsidP="000C39D1">
      <w:pPr>
        <w:pStyle w:val="libNormal"/>
        <w:rPr>
          <w:rtl/>
          <w:lang w:bidi="fa-IR"/>
        </w:rPr>
      </w:pPr>
      <w:r w:rsidRPr="00132E65">
        <w:rPr>
          <w:rtl/>
          <w:lang w:bidi="fa-IR"/>
        </w:rPr>
        <w:t xml:space="preserve">وَقَالَ يُونُسُ : لَاوَ اللهِ حَتّى أَسْمَعَ ذلِكَ مِنْهُ ، وكَانَتْ بِهِ عَجَلَةٌ ، فَخَرَجَ فَأتْبَعْتُهُ </w:t>
      </w:r>
      <w:r>
        <w:rPr>
          <w:rStyle w:val="libFootnotenumChar"/>
          <w:rtl/>
        </w:rPr>
        <w:t>(5)</w:t>
      </w:r>
      <w:r w:rsidRPr="00132E65">
        <w:rPr>
          <w:rtl/>
          <w:lang w:bidi="fa-IR"/>
        </w:rPr>
        <w:t xml:space="preserve"> ، فَلَمَّا انْتَهَيْتُ إِلَى الْبَابِ ، سَمِعْتُ أَبَا عَبْدِ اللهِ </w:t>
      </w:r>
      <w:r w:rsidRPr="00071CF9">
        <w:rPr>
          <w:rStyle w:val="libAlaemChar"/>
          <w:rtl/>
        </w:rPr>
        <w:t>عليه‌السلام</w:t>
      </w:r>
      <w:r w:rsidRPr="00132E65">
        <w:rPr>
          <w:rtl/>
          <w:lang w:bidi="fa-IR"/>
        </w:rPr>
        <w:t xml:space="preserve"> يَقُولُ لَهُ </w:t>
      </w:r>
      <w:r>
        <w:rPr>
          <w:rStyle w:val="libFootnotenumChar"/>
          <w:rtl/>
        </w:rPr>
        <w:t>(6)</w:t>
      </w:r>
      <w:r>
        <w:rPr>
          <w:rtl/>
          <w:lang w:bidi="fa-IR"/>
        </w:rPr>
        <w:t xml:space="preserve"> - </w:t>
      </w:r>
      <w:r w:rsidRPr="00132E65">
        <w:rPr>
          <w:rtl/>
          <w:lang w:bidi="fa-IR"/>
        </w:rPr>
        <w:t xml:space="preserve">وقَدْ سَبَقَنِي إِلَيْهِ </w:t>
      </w:r>
      <w:r>
        <w:rPr>
          <w:rtl/>
          <w:lang w:bidi="fa-IR"/>
        </w:rPr>
        <w:t>- :</w:t>
      </w:r>
      <w:r>
        <w:rPr>
          <w:rFonts w:hint="cs"/>
          <w:rtl/>
          <w:lang w:bidi="fa-IR"/>
        </w:rPr>
        <w:t xml:space="preserve"> </w:t>
      </w:r>
      <w:r w:rsidRPr="00132E65">
        <w:rPr>
          <w:rtl/>
          <w:lang w:bidi="fa-IR"/>
        </w:rPr>
        <w:t>« يَا يُونُسُ ، الْأَمْرُ كَمَا قَالَ لَكَ فَيْضٌ »</w:t>
      </w:r>
      <w:r>
        <w:rPr>
          <w:rtl/>
          <w:lang w:bidi="fa-IR"/>
        </w:rPr>
        <w:t>.</w:t>
      </w:r>
      <w:r w:rsidRPr="00132E65">
        <w:rPr>
          <w:rtl/>
          <w:lang w:bidi="fa-IR"/>
        </w:rPr>
        <w:t xml:space="preserve"> قَالَ : فَقَالَ : سَمِعْتُ وأَطَعْتُ ، فَقَالَ لِي أَبُو عَبْدِ اللهِ </w:t>
      </w:r>
      <w:r w:rsidRPr="00071CF9">
        <w:rPr>
          <w:rStyle w:val="libAlaemChar"/>
          <w:rtl/>
        </w:rPr>
        <w:t>عليه‌السلام</w:t>
      </w:r>
      <w:r w:rsidRPr="00132E65">
        <w:rPr>
          <w:rtl/>
          <w:lang w:bidi="fa-IR"/>
        </w:rPr>
        <w:t xml:space="preserve"> : « خُذْهُ </w:t>
      </w:r>
      <w:r>
        <w:rPr>
          <w:rStyle w:val="libFootnotenumChar"/>
          <w:rtl/>
        </w:rPr>
        <w:t>(7)</w:t>
      </w:r>
      <w:r w:rsidRPr="00132E65">
        <w:rPr>
          <w:rtl/>
          <w:lang w:bidi="fa-IR"/>
        </w:rPr>
        <w:t xml:space="preserve"> إِلَيْكَ يَا فَيْضُ »</w:t>
      </w:r>
      <w:r>
        <w:rPr>
          <w:rtl/>
          <w:lang w:bidi="fa-IR"/>
        </w:rPr>
        <w:t>.</w:t>
      </w:r>
      <w:r w:rsidRPr="00132E65">
        <w:rPr>
          <w:rtl/>
          <w:lang w:bidi="fa-IR"/>
        </w:rPr>
        <w:t xml:space="preserve"> </w:t>
      </w:r>
      <w:r>
        <w:rPr>
          <w:rStyle w:val="libFootnotenumChar"/>
          <w:rtl/>
        </w:rPr>
        <w:t>(8)</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9D1ACE">
        <w:rPr>
          <w:rStyle w:val="libFootnoteBoldChar"/>
          <w:rtl/>
        </w:rPr>
        <w:t>الوافي</w:t>
      </w:r>
      <w:r w:rsidRPr="00132E65">
        <w:rPr>
          <w:rtl/>
        </w:rPr>
        <w:t xml:space="preserve"> ، ج 2 ، ص 355 ، ح 826.</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يعني لم يؤذن لنا في شأن أحد قبلك أن نخبره بذلك ، فأنت أوّل من أخبرناه بإمامته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بف » : « قال »</w:t>
            </w:r>
            <w:r>
              <w:rPr>
                <w:rtl/>
              </w:rPr>
              <w:t>.</w:t>
            </w:r>
          </w:p>
        </w:tc>
        <w:tc>
          <w:tcPr>
            <w:tcW w:w="4006" w:type="dxa"/>
          </w:tcPr>
          <w:p w:rsidR="000C39D1" w:rsidRDefault="000C39D1" w:rsidP="00B53873">
            <w:pPr>
              <w:pStyle w:val="libFootnote0"/>
              <w:rPr>
                <w:rtl/>
              </w:rPr>
            </w:pPr>
            <w:r>
              <w:rPr>
                <w:rtl/>
              </w:rPr>
              <w:t>(4).</w:t>
            </w:r>
            <w:r w:rsidRPr="00132E65">
              <w:rPr>
                <w:rtl/>
              </w:rPr>
              <w:t xml:space="preserve"> في البصائر والغيبة :</w:t>
            </w:r>
            <w:r>
              <w:rPr>
                <w:rtl/>
              </w:rPr>
              <w:t xml:space="preserve"> + </w:t>
            </w:r>
            <w:r w:rsidRPr="00132E65">
              <w:rPr>
                <w:rtl/>
              </w:rPr>
              <w:t>« ورفقائك »</w:t>
            </w:r>
            <w:r>
              <w:rPr>
                <w:rtl/>
              </w:rPr>
              <w:t>.</w:t>
            </w:r>
          </w:p>
        </w:tc>
      </w:tr>
    </w:tbl>
    <w:p w:rsidR="000C39D1" w:rsidRPr="00132E65" w:rsidRDefault="000C39D1" w:rsidP="000C39D1">
      <w:pPr>
        <w:pStyle w:val="libFootnote0"/>
        <w:rPr>
          <w:rtl/>
          <w:lang w:bidi="fa-IR"/>
        </w:rPr>
      </w:pPr>
      <w:r>
        <w:rPr>
          <w:rtl/>
        </w:rPr>
        <w:t>(5).</w:t>
      </w:r>
      <w:r w:rsidRPr="00132E65">
        <w:rPr>
          <w:rtl/>
        </w:rPr>
        <w:t xml:space="preserve"> هكذا في ظاهر « ألف ، ب ، ج ، ض ، ه‍ ، و، بح ، بس ، بف »</w:t>
      </w:r>
      <w:r>
        <w:rPr>
          <w:rtl/>
        </w:rPr>
        <w:t>.</w:t>
      </w:r>
      <w:r w:rsidRPr="00132E65">
        <w:rPr>
          <w:rtl/>
        </w:rPr>
        <w:t xml:space="preserve"> وفي « بر » : « فاتّبعته »</w:t>
      </w:r>
      <w:r>
        <w:rPr>
          <w:rtl/>
        </w:rPr>
        <w:t>.</w:t>
      </w:r>
      <w:r w:rsidRPr="00132E65">
        <w:rPr>
          <w:rtl/>
        </w:rPr>
        <w:t xml:space="preserve"> وفي الإتباع معنى زائد على‌المشي خَلفَه ، وهو اللحوق ، وهو المراد هنا ؛ فاخترنا الإفعال على الافتعال.</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(6).</w:t>
            </w:r>
            <w:r w:rsidRPr="00132E65">
              <w:rPr>
                <w:rtl/>
              </w:rPr>
              <w:t xml:space="preserve"> في « بر » والبصائر والغيبة </w:t>
            </w:r>
            <w:r>
              <w:rPr>
                <w:rtl/>
              </w:rPr>
              <w:t xml:space="preserve">: - </w:t>
            </w:r>
            <w:r w:rsidRPr="00132E65">
              <w:rPr>
                <w:rtl/>
              </w:rPr>
              <w:t>« له »</w:t>
            </w:r>
            <w:r>
              <w:rPr>
                <w:rtl/>
              </w:rPr>
              <w:t>.</w:t>
            </w:r>
          </w:p>
        </w:tc>
        <w:tc>
          <w:tcPr>
            <w:tcW w:w="4006" w:type="dxa"/>
          </w:tcPr>
          <w:p w:rsidR="000C39D1" w:rsidRDefault="000C39D1" w:rsidP="00B53873">
            <w:pPr>
              <w:pStyle w:val="libFootnote0"/>
              <w:rPr>
                <w:rtl/>
                <w:lang w:bidi="fa-IR"/>
              </w:rPr>
            </w:pPr>
            <w:r>
              <w:rPr>
                <w:rtl/>
              </w:rPr>
              <w:t>(7).</w:t>
            </w:r>
            <w:r w:rsidRPr="00132E65">
              <w:rPr>
                <w:rtl/>
              </w:rPr>
              <w:t xml:space="preserve"> في « ف ، بح » : « خُذ »</w:t>
            </w:r>
            <w:r>
              <w:rPr>
                <w:rtl/>
              </w:rPr>
              <w:t>.</w:t>
            </w:r>
          </w:p>
        </w:tc>
      </w:tr>
    </w:tbl>
    <w:p w:rsidR="000C39D1" w:rsidRPr="00132E65" w:rsidRDefault="000C39D1" w:rsidP="000C39D1">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336 ، ح 11 ، عن محمّد بن عبد الجبّار ، مع اختلاف يسير. </w:t>
      </w:r>
      <w:r w:rsidRPr="00243115">
        <w:rPr>
          <w:rtl/>
        </w:rPr>
        <w:t>الغيبة</w:t>
      </w:r>
      <w:r w:rsidRPr="00132E65">
        <w:rPr>
          <w:rtl/>
        </w:rPr>
        <w:t xml:space="preserve"> للنعماني ، ص 324 ، ح 2 ، بسنده عن أحمد بن الحسن الميثمي ، عن أبي نجيح المسمعي ، عن الفيض بن المختار ، مع اختلاف يسير وزيادة في أوّله</w:t>
      </w:r>
      <w:r>
        <w:rPr>
          <w:rFonts w:hint="cs"/>
          <w:rtl/>
        </w:rPr>
        <w:t>.</w:t>
      </w:r>
      <w:r w:rsidRPr="009D1ACE">
        <w:rPr>
          <w:rStyle w:val="libFootnoteBoldChar"/>
          <w:rtl/>
        </w:rPr>
        <w:t>الوافي</w:t>
      </w:r>
      <w:r w:rsidRPr="00132E65">
        <w:rPr>
          <w:rtl/>
        </w:rPr>
        <w:t xml:space="preserve"> ، ج 2 ، ص 352 ، ح 822.</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243115">
        <w:rPr>
          <w:rtl/>
        </w:rPr>
        <w:t>810</w:t>
      </w:r>
      <w:r w:rsidRPr="004325D8">
        <w:rPr>
          <w:rStyle w:val="libBold2Char"/>
          <w:rtl/>
        </w:rPr>
        <w:t xml:space="preserve"> / 10.</w:t>
      </w:r>
      <w:r w:rsidRPr="00132E65">
        <w:rPr>
          <w:rtl/>
          <w:lang w:bidi="fa-IR"/>
        </w:rPr>
        <w:t xml:space="preserve"> مُحَمَّدُ بْنُ يَحْيى ، عَنْ مُحَمَّدِ بْنِ الْحُسَيْنِ ، عَنْ جَعْفَرِ بْنِ بَشِيرٍ</w:t>
      </w:r>
      <w:r w:rsidR="00242766">
        <w:rPr>
          <w:rtl/>
          <w:lang w:bidi="fa-IR"/>
        </w:rPr>
        <w:t xml:space="preserve"> ، عَنْ فُضَيْلٍ ، عَنْ طَاهِرٍ</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 قَالَ : كَانَ أَبُو عَبْدِ اللهِ </w:t>
      </w:r>
      <w:r w:rsidRPr="00071CF9">
        <w:rPr>
          <w:rStyle w:val="libAlaemChar"/>
          <w:rtl/>
        </w:rPr>
        <w:t>عليه‌السلام</w:t>
      </w:r>
      <w:r w:rsidRPr="00132E65">
        <w:rPr>
          <w:rtl/>
          <w:lang w:bidi="fa-IR"/>
        </w:rPr>
        <w:t xml:space="preserve"> يَلُومُ عَبْدَ اللهِ </w:t>
      </w:r>
      <w:r>
        <w:rPr>
          <w:rStyle w:val="libFootnotenumChar"/>
          <w:rtl/>
        </w:rPr>
        <w:t>(2)</w:t>
      </w:r>
      <w:r w:rsidRPr="00132E65">
        <w:rPr>
          <w:rtl/>
          <w:lang w:bidi="fa-IR"/>
        </w:rPr>
        <w:t xml:space="preserve"> ويُعَاتِبُهُ </w:t>
      </w:r>
      <w:r>
        <w:rPr>
          <w:rStyle w:val="libFootnotenumChar"/>
          <w:rtl/>
        </w:rPr>
        <w:t>(3)</w:t>
      </w:r>
      <w:r w:rsidR="00242766">
        <w:rPr>
          <w:rtl/>
          <w:lang w:bidi="fa-IR"/>
        </w:rPr>
        <w:t xml:space="preserve"> ويَعِظُهُ ، وَيَقُولُ</w:t>
      </w:r>
      <w:r w:rsidRPr="00132E65">
        <w:rPr>
          <w:rtl/>
          <w:lang w:bidi="fa-IR"/>
        </w:rPr>
        <w:t>: « مَا مَنَعَكَ أَنْ تَكُونَ مِثْلَ أَخِيكَ ، فَوَ اللهِ ، إِنِّي لَأَعْرِفُ النُّورَ فِي وجْهِهِ</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فَقَالَ عَبْدُ اللهِ : لِمَ</w:t>
      </w:r>
      <w:r>
        <w:rPr>
          <w:rtl/>
          <w:lang w:bidi="fa-IR"/>
        </w:rPr>
        <w:t>؟ أَ</w:t>
      </w:r>
      <w:r w:rsidRPr="00132E65">
        <w:rPr>
          <w:rtl/>
          <w:lang w:bidi="fa-IR"/>
        </w:rPr>
        <w:t xml:space="preserve">لَيْسَ أَبِي وأَبُوهُ واحِداً ، وأُمِّي وأُمُّهُ واحِدَةً </w:t>
      </w:r>
      <w:r>
        <w:rPr>
          <w:rStyle w:val="libFootnotenumChar"/>
          <w:rtl/>
        </w:rPr>
        <w:t>(4)</w:t>
      </w:r>
      <w:r>
        <w:rPr>
          <w:rtl/>
          <w:lang w:bidi="fa-IR"/>
        </w:rPr>
        <w:t>؟</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إِنَّهُ مِنْ نَفْسِي وأَنْتَ ابْنِي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243115">
        <w:rPr>
          <w:rtl/>
        </w:rPr>
        <w:t>811</w:t>
      </w:r>
      <w:r w:rsidRPr="004325D8">
        <w:rPr>
          <w:rStyle w:val="libBold2Char"/>
          <w:rtl/>
        </w:rPr>
        <w:t xml:space="preserve"> / 11.</w:t>
      </w:r>
      <w:r w:rsidRPr="00132E65">
        <w:rPr>
          <w:rtl/>
          <w:lang w:bidi="fa-IR"/>
        </w:rPr>
        <w:t xml:space="preserve"> الْحُسَيْنُ بْنُ مُحَمَّدٍ ، عَنْ مُعَلَّى بْنِ مُحَمَّدٍ ، عَنِ الْوَشَّاءِ ، عَنْ مُحَمَّدِ بْنِ سِنَانٍ ، عَنْ يَعْقُوبَ السَّرَّاجِ ، قَالَ :</w:t>
      </w:r>
    </w:p>
    <w:p w:rsidR="000C39D1" w:rsidRPr="00132E65" w:rsidRDefault="000C39D1" w:rsidP="000C39D1">
      <w:pPr>
        <w:pStyle w:val="libNormal"/>
        <w:rPr>
          <w:rtl/>
          <w:lang w:bidi="fa-IR"/>
        </w:rPr>
      </w:pPr>
      <w:r w:rsidRPr="00132E65">
        <w:rPr>
          <w:rtl/>
          <w:lang w:bidi="fa-IR"/>
        </w:rPr>
        <w:t xml:space="preserve">دَخَلْتُ عَلى أَبِي عَبْدِ اللهِ </w:t>
      </w:r>
      <w:r w:rsidRPr="00071CF9">
        <w:rPr>
          <w:rStyle w:val="libAlaemChar"/>
          <w:rtl/>
        </w:rPr>
        <w:t>عليه‌السلام</w:t>
      </w:r>
      <w:r w:rsidRPr="00132E65">
        <w:rPr>
          <w:rtl/>
          <w:lang w:bidi="fa-IR"/>
        </w:rPr>
        <w:t xml:space="preserve"> وهُوَ واقِفٌ عَلى رَأْسِ أَبِي الْحَسَنِ مُوسى </w:t>
      </w:r>
      <w:r w:rsidRPr="00071CF9">
        <w:rPr>
          <w:rStyle w:val="libAlaemChar"/>
          <w:rtl/>
        </w:rPr>
        <w:t>عليه‌السلام</w:t>
      </w:r>
      <w:r w:rsidRPr="00132E65">
        <w:rPr>
          <w:rtl/>
          <w:lang w:bidi="fa-IR"/>
        </w:rPr>
        <w:t xml:space="preserve"> وهُوَ فِي الْمَهْدِ ، فَجَعَلَ يُسَارُّهُ </w:t>
      </w:r>
      <w:r>
        <w:rPr>
          <w:rStyle w:val="libFootnotenumChar"/>
          <w:rtl/>
        </w:rPr>
        <w:t>(6)</w:t>
      </w:r>
      <w:r w:rsidRPr="00132E65">
        <w:rPr>
          <w:rtl/>
          <w:lang w:bidi="fa-IR"/>
        </w:rPr>
        <w:t xml:space="preserve"> طَوِيلاً ، فَجَلَسْتُ حَتّى فَرَغَ ، فَقُمْتُ إِلَيْهِ ، فَقَالَ لِي </w:t>
      </w:r>
      <w:r>
        <w:rPr>
          <w:rStyle w:val="libFootnotenumChar"/>
          <w:rtl/>
        </w:rPr>
        <w:t>(7)</w:t>
      </w:r>
      <w:r w:rsidRPr="00132E65">
        <w:rPr>
          <w:rtl/>
          <w:lang w:bidi="fa-IR"/>
        </w:rPr>
        <w:t xml:space="preserve"> : « ادْنُ مِنْ مَوْلَاكَ ، فَسَلِّمْ </w:t>
      </w:r>
      <w:r>
        <w:rPr>
          <w:rStyle w:val="libFootnotenumChar"/>
          <w:rtl/>
        </w:rPr>
        <w:t>(8)</w:t>
      </w:r>
      <w:r w:rsidRPr="00132E65">
        <w:rPr>
          <w:rtl/>
          <w:lang w:bidi="fa-IR"/>
        </w:rPr>
        <w:t xml:space="preserve"> » ، فَدَنَوْتُ </w:t>
      </w:r>
      <w:r>
        <w:rPr>
          <w:rStyle w:val="libFootnotenumChar"/>
          <w:rtl/>
        </w:rPr>
        <w:t>(9)</w:t>
      </w:r>
      <w:r w:rsidRPr="00132E65">
        <w:rPr>
          <w:rtl/>
          <w:lang w:bidi="fa-IR"/>
        </w:rPr>
        <w:t xml:space="preserve"> ، فَسَلَّمْتُ عَلَيْهِ ، فَرَدَّ عَلَيَّ السَّلَامَ </w:t>
      </w:r>
      <w:r>
        <w:rPr>
          <w:rStyle w:val="libFootnotenumChar"/>
          <w:rtl/>
        </w:rPr>
        <w:t>(10)</w:t>
      </w:r>
      <w:r w:rsidRPr="00132E65">
        <w:rPr>
          <w:rtl/>
          <w:lang w:bidi="fa-IR"/>
        </w:rPr>
        <w:t xml:space="preserve"> بِلِسَانٍ </w:t>
      </w:r>
      <w:r>
        <w:rPr>
          <w:rStyle w:val="libFootnotenumChar"/>
          <w:rtl/>
        </w:rPr>
        <w:t>(11)</w:t>
      </w:r>
      <w:r w:rsidRPr="00132E65">
        <w:rPr>
          <w:rtl/>
          <w:lang w:bidi="fa-IR"/>
        </w:rPr>
        <w:t xml:space="preserve"> فَصِيحٍ ، ثُمَّ قَالَ‌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xml:space="preserve">« عن أبي عبد الله </w:t>
      </w:r>
      <w:r w:rsidRPr="00D12FA7">
        <w:rPr>
          <w:rStyle w:val="libFootnoteAlaemChar"/>
          <w:rtl/>
        </w:rPr>
        <w:t>عليه‌السلام</w:t>
      </w:r>
      <w:r w:rsidRPr="00132E65">
        <w:rPr>
          <w:rtl/>
        </w:rPr>
        <w:t xml:space="preserve"> »</w:t>
      </w:r>
      <w:r>
        <w:rPr>
          <w:rtl/>
        </w:rPr>
        <w:t>.</w:t>
      </w:r>
      <w:r w:rsidRPr="00132E65">
        <w:rPr>
          <w:rtl/>
        </w:rPr>
        <w:t xml:space="preserve"> وحكاه أيضاً المازندراني في شرحه قال : « وفي أكثر النسخ لم يوجدقوله : عن أبي عبد الله </w:t>
      </w:r>
      <w:r w:rsidRPr="00D12FA7">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(2).</w:t>
      </w:r>
      <w:r w:rsidRPr="00132E65">
        <w:rPr>
          <w:rtl/>
        </w:rPr>
        <w:t xml:space="preserve"> « يَلُومُ عبدَ الله » ، أي عَذَلَه وعَنَّفَهُ. يقال : لامَه يلُومُه لَوْماً ، إذا عذله وعنّفه. راجع : </w:t>
      </w:r>
      <w:r w:rsidRPr="00243115">
        <w:rPr>
          <w:rtl/>
        </w:rPr>
        <w:t>النهاية</w:t>
      </w:r>
      <w:r w:rsidRPr="00132E65">
        <w:rPr>
          <w:rtl/>
        </w:rPr>
        <w:t xml:space="preserve"> ، ج 4 ، ص 278 ( لوم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243115">
        <w:rPr>
          <w:rtl/>
        </w:rPr>
        <w:t>شرح المازندراني</w:t>
      </w:r>
      <w:r w:rsidRPr="00132E65">
        <w:rPr>
          <w:rtl/>
        </w:rPr>
        <w:t xml:space="preserve"> : « العتاب هو التوبيخ على الذنب البالغ إلى حدّ ال</w:t>
      </w:r>
      <w:r>
        <w:rPr>
          <w:rFonts w:hint="cs"/>
          <w:rtl/>
        </w:rPr>
        <w:t>ـ</w:t>
      </w:r>
      <w:r w:rsidRPr="00132E65">
        <w:rPr>
          <w:rtl/>
        </w:rPr>
        <w:t>مَوْجِدَة والغضب ، فهو أشدّ من اللوم وأخصّ منه »</w:t>
      </w:r>
      <w:r>
        <w:rPr>
          <w:rtl/>
        </w:rPr>
        <w:t>.</w:t>
      </w:r>
      <w:r w:rsidRPr="00132E65">
        <w:rPr>
          <w:rtl/>
        </w:rPr>
        <w:t xml:space="preserve"> وراجع : </w:t>
      </w:r>
      <w:r w:rsidRPr="00243115">
        <w:rPr>
          <w:rtl/>
        </w:rPr>
        <w:t>النهاية</w:t>
      </w:r>
      <w:r w:rsidRPr="00132E65">
        <w:rPr>
          <w:rtl/>
        </w:rPr>
        <w:t xml:space="preserve"> ، ج 3 ، ص 175 ( عتب )</w:t>
      </w:r>
      <w:r>
        <w:rPr>
          <w:rtl/>
        </w:rPr>
        <w:t>.</w:t>
      </w:r>
    </w:p>
    <w:p w:rsidR="000C39D1" w:rsidRPr="00132E65" w:rsidRDefault="000C39D1" w:rsidP="000C39D1">
      <w:pPr>
        <w:pStyle w:val="libFootnote0"/>
        <w:rPr>
          <w:rtl/>
          <w:lang w:bidi="fa-IR"/>
        </w:rPr>
      </w:pPr>
      <w:r>
        <w:rPr>
          <w:rtl/>
        </w:rPr>
        <w:t>(4).</w:t>
      </w:r>
      <w:r w:rsidRPr="00132E65">
        <w:rPr>
          <w:rtl/>
        </w:rPr>
        <w:t xml:space="preserve"> في الإرشاد : « وأصلي وأصله واحداً » بدل « وا</w:t>
      </w:r>
      <w:r>
        <w:rPr>
          <w:rFonts w:hint="cs"/>
          <w:rtl/>
        </w:rPr>
        <w:t>ُ</w:t>
      </w:r>
      <w:r w:rsidRPr="00132E65">
        <w:rPr>
          <w:rtl/>
        </w:rPr>
        <w:t>مّي وا</w:t>
      </w:r>
      <w:r>
        <w:rPr>
          <w:rFonts w:hint="cs"/>
          <w:rtl/>
        </w:rPr>
        <w:t>ُ</w:t>
      </w:r>
      <w:r w:rsidRPr="00132E65">
        <w:rPr>
          <w:rtl/>
        </w:rPr>
        <w:t>مّه واحدة »</w:t>
      </w:r>
      <w:r>
        <w:rPr>
          <w:rtl/>
        </w:rPr>
        <w:t>.</w:t>
      </w:r>
      <w:r w:rsidRPr="00132E65">
        <w:rPr>
          <w:rtl/>
        </w:rPr>
        <w:t xml:space="preserve"> وفي </w:t>
      </w:r>
      <w:r w:rsidRPr="009D1ACE">
        <w:rPr>
          <w:rStyle w:val="libFootnoteBoldChar"/>
          <w:rtl/>
        </w:rPr>
        <w:t>مرآة العقول</w:t>
      </w:r>
      <w:r w:rsidRPr="00132E65">
        <w:rPr>
          <w:rtl/>
        </w:rPr>
        <w:t xml:space="preserve"> : « قوله : وا</w:t>
      </w:r>
      <w:r>
        <w:rPr>
          <w:rFonts w:hint="cs"/>
          <w:rtl/>
        </w:rPr>
        <w:t>ُ</w:t>
      </w:r>
      <w:r w:rsidRPr="00132E65">
        <w:rPr>
          <w:rtl/>
        </w:rPr>
        <w:t>مّي وا</w:t>
      </w:r>
      <w:r>
        <w:rPr>
          <w:rFonts w:hint="cs"/>
          <w:rtl/>
        </w:rPr>
        <w:t>ُ</w:t>
      </w:r>
      <w:r w:rsidRPr="00132E65">
        <w:rPr>
          <w:rtl/>
        </w:rPr>
        <w:t>مّه واحدة ، فيه : أنّه لم تكن ا</w:t>
      </w:r>
      <w:r>
        <w:rPr>
          <w:rFonts w:hint="cs"/>
          <w:rtl/>
        </w:rPr>
        <w:t>ُ</w:t>
      </w:r>
      <w:r w:rsidRPr="00132E65">
        <w:rPr>
          <w:rtl/>
        </w:rPr>
        <w:t>مّهما واحدة ، فيحتمل أن يكون المراد بها الا</w:t>
      </w:r>
      <w:r>
        <w:rPr>
          <w:rFonts w:hint="cs"/>
          <w:rtl/>
        </w:rPr>
        <w:t>ُ</w:t>
      </w:r>
      <w:r w:rsidRPr="00132E65">
        <w:rPr>
          <w:rtl/>
        </w:rPr>
        <w:t xml:space="preserve">مّ العليا فاطمة </w:t>
      </w:r>
      <w:r w:rsidRPr="00D12FA7">
        <w:rPr>
          <w:rStyle w:val="libFootnoteAlaemChar"/>
          <w:rtl/>
        </w:rPr>
        <w:t>عليها‌السلام</w:t>
      </w:r>
      <w:r w:rsidRPr="00132E65">
        <w:rPr>
          <w:rtl/>
        </w:rPr>
        <w:t xml:space="preserve"> ؛ فإنّ الانتساب إليها سبب الإمامة. وفي ربيع الشيعة وإعلام الورى وإرشاد المفيد : وأصلي وأصله واحداً ، وهو أظهر »</w:t>
      </w:r>
      <w:r>
        <w:rPr>
          <w:rtl/>
        </w:rPr>
        <w:t>.</w:t>
      </w:r>
    </w:p>
    <w:p w:rsidR="000C39D1" w:rsidRPr="00132E65" w:rsidRDefault="000C39D1" w:rsidP="000C39D1">
      <w:pPr>
        <w:pStyle w:val="libFootnote0"/>
        <w:rPr>
          <w:rtl/>
          <w:lang w:bidi="fa-IR"/>
        </w:rPr>
      </w:pPr>
      <w:r>
        <w:rPr>
          <w:rtl/>
        </w:rPr>
        <w:t>(5).</w:t>
      </w:r>
      <w:r w:rsidRPr="00132E65">
        <w:rPr>
          <w:rtl/>
        </w:rPr>
        <w:t xml:space="preserve"> </w:t>
      </w:r>
      <w:r w:rsidRPr="00243115">
        <w:rPr>
          <w:rtl/>
        </w:rPr>
        <w:t>الإرشاد</w:t>
      </w:r>
      <w:r w:rsidRPr="00132E65">
        <w:rPr>
          <w:rtl/>
        </w:rPr>
        <w:t xml:space="preserve"> ، ج 2 ، ص 218 ، عن الفضل ، عن طاهر بن محمّد ، مع اختلاف يسير</w:t>
      </w:r>
      <w:r>
        <w:rPr>
          <w:rFonts w:hint="cs"/>
          <w:rtl/>
        </w:rPr>
        <w:t>.</w:t>
      </w:r>
      <w:r w:rsidRPr="009D1ACE">
        <w:rPr>
          <w:rStyle w:val="libFootnoteBoldChar"/>
          <w:rtl/>
        </w:rPr>
        <w:t>الوافي</w:t>
      </w:r>
      <w:r w:rsidRPr="00132E65">
        <w:rPr>
          <w:rtl/>
        </w:rPr>
        <w:t xml:space="preserve"> ، ج 2 ، ص 355 ، ح 827.</w:t>
      </w:r>
    </w:p>
    <w:p w:rsidR="000C39D1" w:rsidRPr="00132E65" w:rsidRDefault="000C39D1" w:rsidP="000C39D1">
      <w:pPr>
        <w:pStyle w:val="libFootnote0"/>
        <w:rPr>
          <w:rtl/>
          <w:lang w:bidi="fa-IR"/>
        </w:rPr>
      </w:pPr>
      <w:r>
        <w:rPr>
          <w:rtl/>
        </w:rPr>
        <w:t>(6).</w:t>
      </w:r>
      <w:r w:rsidRPr="00132E65">
        <w:rPr>
          <w:rtl/>
        </w:rPr>
        <w:t xml:space="preserve"> « فجعل يسارّه » ، أي فشرع يناجيه ويتكلّم معه سرّاً. راجع : </w:t>
      </w:r>
      <w:r w:rsidRPr="00243115">
        <w:rPr>
          <w:rtl/>
        </w:rPr>
        <w:t>الصحاح</w:t>
      </w:r>
      <w:r w:rsidRPr="00132E65">
        <w:rPr>
          <w:rtl/>
        </w:rPr>
        <w:t xml:space="preserve"> ، ج 2 ، ص 684 ( سرر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الوسائل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(8).</w:t>
            </w:r>
            <w:r w:rsidRPr="00132E65">
              <w:rPr>
                <w:rtl/>
              </w:rPr>
              <w:t xml:space="preserve"> ف</w:t>
            </w:r>
            <w:r>
              <w:rPr>
                <w:rtl/>
              </w:rPr>
              <w:t>ي حاشية«ج ، ض ، بر» والإرشاد</w:t>
            </w:r>
            <w:r w:rsidRPr="00132E65">
              <w:rPr>
                <w:rtl/>
              </w:rPr>
              <w:t>:</w:t>
            </w:r>
            <w:r>
              <w:rPr>
                <w:rtl/>
              </w:rPr>
              <w:t xml:space="preserve"> +</w:t>
            </w:r>
            <w:r w:rsidRPr="00132E65">
              <w:rPr>
                <w:rtl/>
              </w:rPr>
              <w:t>« عليه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بح » والوسائل :</w:t>
            </w:r>
            <w:r>
              <w:rPr>
                <w:rtl/>
              </w:rPr>
              <w:t xml:space="preserve"> + </w:t>
            </w:r>
            <w:r w:rsidRPr="00132E65">
              <w:rPr>
                <w:rtl/>
              </w:rPr>
              <w:t>« منه »</w:t>
            </w:r>
            <w:r>
              <w:rPr>
                <w:rtl/>
              </w:rPr>
              <w:t>.</w:t>
            </w:r>
          </w:p>
        </w:tc>
        <w:tc>
          <w:tcPr>
            <w:tcW w:w="4006" w:type="dxa"/>
          </w:tcPr>
          <w:p w:rsidR="000C39D1" w:rsidRDefault="000C39D1" w:rsidP="00B53873">
            <w:pPr>
              <w:pStyle w:val="libFootnote0"/>
              <w:rPr>
                <w:rtl/>
              </w:rPr>
            </w:pPr>
            <w:r>
              <w:rPr>
                <w:rtl/>
              </w:rPr>
              <w:t>(10).</w:t>
            </w:r>
            <w:r w:rsidRPr="00132E65">
              <w:rPr>
                <w:rtl/>
              </w:rPr>
              <w:t xml:space="preserve"> في « ه‍ » والإرشاد </w:t>
            </w:r>
            <w:r>
              <w:rPr>
                <w:rtl/>
              </w:rPr>
              <w:t xml:space="preserve">: - </w:t>
            </w:r>
            <w:r w:rsidRPr="00132E65">
              <w:rPr>
                <w:rtl/>
              </w:rPr>
              <w:t>« السلام »</w:t>
            </w:r>
            <w:r>
              <w:rPr>
                <w:rtl/>
              </w:rPr>
              <w:t>.</w:t>
            </w:r>
          </w:p>
        </w:tc>
      </w:tr>
    </w:tbl>
    <w:p w:rsidR="000C39D1" w:rsidRPr="00132E65" w:rsidRDefault="000C39D1" w:rsidP="000C39D1">
      <w:pPr>
        <w:pStyle w:val="libFootnote0"/>
        <w:rPr>
          <w:rtl/>
          <w:lang w:bidi="fa-IR"/>
        </w:rPr>
      </w:pPr>
      <w:r>
        <w:rPr>
          <w:rtl/>
        </w:rPr>
        <w:t>(11).</w:t>
      </w:r>
      <w:r w:rsidRPr="00132E65">
        <w:rPr>
          <w:rtl/>
        </w:rPr>
        <w:t xml:space="preserve"> في الوسائل : « فسلّمت فردّ عليّ بكلام » بدل « فسلّمت</w:t>
      </w:r>
      <w:r>
        <w:rPr>
          <w:rtl/>
        </w:rPr>
        <w:t xml:space="preserve"> - </w:t>
      </w:r>
      <w:r w:rsidRPr="00132E65">
        <w:rPr>
          <w:rtl/>
        </w:rPr>
        <w:t>إلى</w:t>
      </w:r>
      <w:r>
        <w:rPr>
          <w:rtl/>
        </w:rPr>
        <w:t xml:space="preserve"> - </w:t>
      </w:r>
      <w:r w:rsidRPr="00132E65">
        <w:rPr>
          <w:rtl/>
        </w:rPr>
        <w:t>بلسان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لِيَ : « اذْهَبْ ، فَغَيِّرِ اسْمَ ابْنَتِكَ الَّتِي سَمَّيْتَهَا أَمْسِ ؛ فَإِنَّهُ اسْمٌ يُبْغِضُهُ اللهُ » ، وكَانَ </w:t>
      </w:r>
      <w:r>
        <w:rPr>
          <w:rStyle w:val="libFootnotenumChar"/>
          <w:rtl/>
        </w:rPr>
        <w:t>(1)</w:t>
      </w:r>
      <w:r w:rsidRPr="00132E65">
        <w:rPr>
          <w:rtl/>
          <w:lang w:bidi="fa-IR"/>
        </w:rPr>
        <w:t xml:space="preserve"> ولِدَتْ لِيَ ابْنَةٌ سَمَّيْتُهَا </w:t>
      </w:r>
      <w:r>
        <w:rPr>
          <w:rStyle w:val="libFootnotenumChar"/>
          <w:rtl/>
        </w:rPr>
        <w:t>(2)</w:t>
      </w:r>
      <w:r w:rsidRPr="00132E65">
        <w:rPr>
          <w:rtl/>
          <w:lang w:bidi="fa-IR"/>
        </w:rPr>
        <w:t xml:space="preserve"> بِالْحُمَيْرَاءِ ، فَقَالَ أَبُو عَبْدِ اللهِ </w:t>
      </w:r>
      <w:r w:rsidRPr="00071CF9">
        <w:rPr>
          <w:rStyle w:val="libAlaemChar"/>
          <w:rtl/>
        </w:rPr>
        <w:t>عليه‌السلام</w:t>
      </w:r>
      <w:r w:rsidRPr="00132E65">
        <w:rPr>
          <w:rtl/>
          <w:lang w:bidi="fa-IR"/>
        </w:rPr>
        <w:t xml:space="preserve"> : « انْتَهِ إِلى أَمْرِهِ ؛ تُرْشَدْ </w:t>
      </w:r>
      <w:r>
        <w:rPr>
          <w:rStyle w:val="libFootnotenumChar"/>
          <w:rtl/>
        </w:rPr>
        <w:t>(3)</w:t>
      </w:r>
      <w:r w:rsidRPr="00132E65">
        <w:rPr>
          <w:rtl/>
          <w:lang w:bidi="fa-IR"/>
        </w:rPr>
        <w:t xml:space="preserve"> » ، فَغَيَّرْتُ اسْمَهَا. </w:t>
      </w:r>
      <w:r>
        <w:rPr>
          <w:rStyle w:val="libFootnotenumChar"/>
          <w:rtl/>
        </w:rPr>
        <w:t>(4)</w:t>
      </w:r>
    </w:p>
    <w:p w:rsidR="000C39D1" w:rsidRPr="00132E65" w:rsidRDefault="000C39D1" w:rsidP="000C39D1">
      <w:pPr>
        <w:pStyle w:val="libNormal"/>
        <w:rPr>
          <w:rtl/>
          <w:lang w:bidi="fa-IR"/>
        </w:rPr>
      </w:pPr>
      <w:r w:rsidRPr="00243115">
        <w:rPr>
          <w:rtl/>
        </w:rPr>
        <w:t>812</w:t>
      </w:r>
      <w:r w:rsidRPr="004325D8">
        <w:rPr>
          <w:rStyle w:val="libBold2Char"/>
          <w:rtl/>
        </w:rPr>
        <w:t xml:space="preserve"> / 12.</w:t>
      </w:r>
      <w:r w:rsidRPr="00132E65">
        <w:rPr>
          <w:rtl/>
          <w:lang w:bidi="fa-IR"/>
        </w:rPr>
        <w:t xml:space="preserve"> أَحْمَدُ بْنُ إِدْرِيسَ ، عَنْ مُحَمَّدِ بْنِ عَبْدِ الْجَبَّارِ ، عَنْ صَفْوَانَ ، عَنِ ابْنِ مُسْكَانَ ، عَنْ سُلَيْمَانَ بْنِ خَالِدٍ ، قَالَ :</w:t>
      </w:r>
    </w:p>
    <w:p w:rsidR="000C39D1" w:rsidRPr="00132E65" w:rsidRDefault="000C39D1" w:rsidP="000C39D1">
      <w:pPr>
        <w:pStyle w:val="libNormal"/>
        <w:rPr>
          <w:rtl/>
          <w:lang w:bidi="fa-IR"/>
        </w:rPr>
      </w:pPr>
      <w:r w:rsidRPr="00132E65">
        <w:rPr>
          <w:rtl/>
          <w:lang w:bidi="fa-IR"/>
        </w:rPr>
        <w:t xml:space="preserve">دَعَا أَبُو عَبْدِ اللهِ </w:t>
      </w:r>
      <w:r w:rsidRPr="00071CF9">
        <w:rPr>
          <w:rStyle w:val="libAlaemChar"/>
          <w:rtl/>
        </w:rPr>
        <w:t>عليه‌السلام</w:t>
      </w:r>
      <w:r w:rsidRPr="00132E65">
        <w:rPr>
          <w:rtl/>
          <w:lang w:bidi="fa-IR"/>
        </w:rPr>
        <w:t xml:space="preserve"> أَبَا الْحَسَنِ </w:t>
      </w:r>
      <w:r w:rsidRPr="00071CF9">
        <w:rPr>
          <w:rStyle w:val="libAlaemChar"/>
          <w:rtl/>
        </w:rPr>
        <w:t>عليه‌السلام</w:t>
      </w:r>
      <w:r w:rsidRPr="00132E65">
        <w:rPr>
          <w:rtl/>
          <w:lang w:bidi="fa-IR"/>
        </w:rPr>
        <w:t xml:space="preserve"> يَوْماً ونَحْنُ عِنْدَهُ ، فَقَالَ لَنَا : « عَلَيْكُمْ </w:t>
      </w:r>
      <w:r>
        <w:rPr>
          <w:rStyle w:val="libFootnotenumChar"/>
          <w:rtl/>
        </w:rPr>
        <w:t>(5)</w:t>
      </w:r>
      <w:r w:rsidRPr="00132E65">
        <w:rPr>
          <w:rtl/>
          <w:lang w:bidi="fa-IR"/>
        </w:rPr>
        <w:t xml:space="preserve"> بِهذَا </w:t>
      </w:r>
      <w:r>
        <w:rPr>
          <w:rStyle w:val="libFootnotenumChar"/>
          <w:rtl/>
        </w:rPr>
        <w:t>(6)</w:t>
      </w:r>
      <w:r w:rsidRPr="00132E65">
        <w:rPr>
          <w:rtl/>
          <w:lang w:bidi="fa-IR"/>
        </w:rPr>
        <w:t xml:space="preserve"> ؛ فَهُوَ وَاللهِ صَاحِبُكُمْ بَعْدِي »</w:t>
      </w:r>
      <w:r>
        <w:rPr>
          <w:rtl/>
          <w:lang w:bidi="fa-IR"/>
        </w:rPr>
        <w:t>.</w:t>
      </w:r>
      <w:r w:rsidRPr="00132E65">
        <w:rPr>
          <w:rtl/>
          <w:lang w:bidi="fa-IR"/>
        </w:rPr>
        <w:t xml:space="preserve"> </w:t>
      </w:r>
      <w:r>
        <w:rPr>
          <w:rStyle w:val="libFootnotenumChar"/>
          <w:rtl/>
        </w:rPr>
        <w:t>(7)</w:t>
      </w:r>
    </w:p>
    <w:p w:rsidR="000C39D1" w:rsidRPr="00132E65" w:rsidRDefault="000C39D1" w:rsidP="000C39D1">
      <w:pPr>
        <w:pStyle w:val="libNormal"/>
        <w:rPr>
          <w:rtl/>
          <w:lang w:bidi="fa-IR"/>
        </w:rPr>
      </w:pPr>
      <w:r w:rsidRPr="00243115">
        <w:rPr>
          <w:rtl/>
        </w:rPr>
        <w:t>813</w:t>
      </w:r>
      <w:r w:rsidRPr="004325D8">
        <w:rPr>
          <w:rStyle w:val="libBold2Char"/>
          <w:rtl/>
        </w:rPr>
        <w:t xml:space="preserve"> / 13.</w:t>
      </w:r>
      <w:r w:rsidRPr="00132E65">
        <w:rPr>
          <w:rtl/>
          <w:lang w:bidi="fa-IR"/>
        </w:rPr>
        <w:t xml:space="preserve"> عَلِيُّ بْنُ مُحَمَّدٍ ، عَنْ سَهْلٍ أَوْ غَيْرِهِ ، عَنْ مُحَمَّدِ بْنِ الْوَلِيدِ ، عَنْ يُونُسَ ، عَنْ دَاوُدَ بْنِ زُرْبِيٍّ ، عَنْ أَبِي أَيُّوبَ النَّحْوِيِّ ، قَالَ :</w:t>
      </w:r>
    </w:p>
    <w:p w:rsidR="000C39D1" w:rsidRPr="00132E65" w:rsidRDefault="000C39D1" w:rsidP="000C39D1">
      <w:pPr>
        <w:pStyle w:val="libNormal"/>
        <w:rPr>
          <w:rtl/>
          <w:lang w:bidi="fa-IR"/>
        </w:rPr>
      </w:pPr>
      <w:r w:rsidRPr="00132E65">
        <w:rPr>
          <w:rtl/>
          <w:lang w:bidi="fa-IR"/>
        </w:rPr>
        <w:t xml:space="preserve">بَعَثَ إِلَيَّ أَبُو جَعْفَرٍ الْمَنْصُورُ فِي جَوْفِ اللَّيْلِ ، فَأَتَيْتُهُ فَدَخَلْتُ عَلَيْهِ </w:t>
      </w:r>
      <w:r>
        <w:rPr>
          <w:rStyle w:val="libFootnotenumChar"/>
          <w:rtl/>
        </w:rPr>
        <w:t>(8)</w:t>
      </w:r>
      <w:r w:rsidRPr="00132E65">
        <w:rPr>
          <w:rtl/>
          <w:lang w:bidi="fa-IR"/>
        </w:rPr>
        <w:t xml:space="preserve"> وهُوَ جَالِسٌ عَلى كُرْسِيٍّ ، وبَيْنَ يَدَيْهِ شَمْعَةٌ ، وفِي يَدِهِ كِتَابٌ ، قَالَ : فَلَمَّا سَلَّمْتُ عَلَيْهِ ، رَمى بِالْكِتَابِ إِلَيَّ وهُوَ يَبْكِي ، فَقَالَ لِي : هذَا كِتَابُ مُحَمَّدِ </w:t>
      </w:r>
      <w:r>
        <w:rPr>
          <w:rStyle w:val="libFootnotenumChar"/>
          <w:rtl/>
        </w:rPr>
        <w:t>(9)</w:t>
      </w:r>
      <w:r w:rsidRPr="00132E65">
        <w:rPr>
          <w:rtl/>
          <w:lang w:bidi="fa-IR"/>
        </w:rPr>
        <w:t xml:space="preserve"> بْنِ سُلَيْمَانَ يُخْبِرُنَا أَنَّ جَعْفَرَ بْنَ مُحَمَّدٍ قَدْ مَاتَ ، فَإِنَّا لِلّهِ وإِنَّا إِلَيْهِ رَاجِعُونَ</w:t>
      </w:r>
      <w:r>
        <w:rPr>
          <w:rtl/>
          <w:lang w:bidi="fa-IR"/>
        </w:rPr>
        <w:t xml:space="preserve"> - </w:t>
      </w:r>
      <w:r w:rsidRPr="00132E65">
        <w:rPr>
          <w:rtl/>
          <w:lang w:bidi="fa-IR"/>
        </w:rPr>
        <w:t>ثَلَاثاً</w:t>
      </w:r>
      <w:r>
        <w:rPr>
          <w:rtl/>
          <w:lang w:bidi="fa-IR"/>
        </w:rPr>
        <w:t xml:space="preserve"> - </w:t>
      </w:r>
      <w:r w:rsidRPr="00132E65">
        <w:rPr>
          <w:rtl/>
          <w:lang w:bidi="fa-IR"/>
        </w:rPr>
        <w:t>وأَيْنَ مِثْلُ جَعْفَرٍ</w:t>
      </w:r>
      <w:r>
        <w:rPr>
          <w:rtl/>
          <w:lang w:bidi="fa-IR"/>
        </w:rPr>
        <w:t>؟</w:t>
      </w:r>
    </w:p>
    <w:p w:rsidR="000C39D1" w:rsidRPr="00132E65" w:rsidRDefault="000C39D1" w:rsidP="000C39D1">
      <w:pPr>
        <w:pStyle w:val="libNormal"/>
        <w:rPr>
          <w:rtl/>
          <w:lang w:bidi="fa-IR"/>
        </w:rPr>
      </w:pPr>
      <w:r w:rsidRPr="00132E65">
        <w:rPr>
          <w:rtl/>
          <w:lang w:bidi="fa-IR"/>
        </w:rPr>
        <w:t xml:space="preserve">ثُمَّ قَالَ لِيَ : اكْتُبْ ، قَالَ </w:t>
      </w:r>
      <w:r>
        <w:rPr>
          <w:rStyle w:val="libFootnotenumChar"/>
          <w:rtl/>
        </w:rPr>
        <w:t>(10)</w:t>
      </w:r>
      <w:r w:rsidRPr="00132E65">
        <w:rPr>
          <w:rtl/>
          <w:lang w:bidi="fa-IR"/>
        </w:rPr>
        <w:t xml:space="preserve"> : فَكَتَبْتُ صَدْرَ الْكِتَابِ ، ثُمَّ قَالَ : اكْتُبْ : إِنْ كَانَ أَوْصى إِلى رَجُلٍ واحِدٍ بِعَيْنِهِ ، فَقَدِّمْهُ واضْرِبْ </w:t>
      </w:r>
      <w:r>
        <w:rPr>
          <w:rStyle w:val="libFootnotenumChar"/>
          <w:rtl/>
        </w:rPr>
        <w:t>(11)</w:t>
      </w:r>
      <w:r w:rsidRPr="00132E65">
        <w:rPr>
          <w:rtl/>
          <w:lang w:bidi="fa-IR"/>
        </w:rPr>
        <w:t xml:space="preserve"> عُنُقَهُ ، قَالَ : فَرَجَعَ إِلَيْهِ الْجَوَابُ ، أَنَّهُ قَدْ أَوْصى‌</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الإرشاد والوسائل : « وكانت »</w:t>
            </w:r>
            <w:r>
              <w:rPr>
                <w:rtl/>
              </w:rPr>
              <w:t>.</w:t>
            </w:r>
          </w:p>
        </w:tc>
        <w:tc>
          <w:tcPr>
            <w:tcW w:w="4006" w:type="dxa"/>
          </w:tcPr>
          <w:p w:rsidR="000C39D1" w:rsidRDefault="000C39D1" w:rsidP="00B53873">
            <w:pPr>
              <w:pStyle w:val="libFootnote0"/>
              <w:rPr>
                <w:rtl/>
              </w:rPr>
            </w:pPr>
            <w:r>
              <w:rPr>
                <w:rtl/>
              </w:rPr>
              <w:t>(2).</w:t>
            </w:r>
            <w:r w:rsidRPr="00132E65">
              <w:rPr>
                <w:rtl/>
              </w:rPr>
              <w:t xml:space="preserve"> في الإرشاد والوسائل : « فسمّيتها »</w:t>
            </w:r>
            <w:r>
              <w:rPr>
                <w:rtl/>
              </w:rPr>
              <w:t>.</w:t>
            </w:r>
          </w:p>
        </w:tc>
      </w:tr>
    </w:tbl>
    <w:p w:rsidR="000C39D1" w:rsidRPr="00132E65" w:rsidRDefault="000C39D1" w:rsidP="000C39D1">
      <w:pPr>
        <w:pStyle w:val="libFootnote0"/>
        <w:rPr>
          <w:rtl/>
          <w:lang w:bidi="fa-IR"/>
        </w:rPr>
      </w:pPr>
      <w:r>
        <w:rPr>
          <w:rtl/>
        </w:rPr>
        <w:t>(3).</w:t>
      </w:r>
      <w:r w:rsidRPr="00132E65">
        <w:rPr>
          <w:rtl/>
        </w:rPr>
        <w:t xml:space="preserve"> « ترشد » ، من الرُشد بمعنى الصلاح وهو إصابة الحقّ. راجع : </w:t>
      </w:r>
      <w:r w:rsidRPr="00243115">
        <w:rPr>
          <w:rtl/>
        </w:rPr>
        <w:t>المصباح المنير</w:t>
      </w:r>
      <w:r w:rsidRPr="00132E65">
        <w:rPr>
          <w:rtl/>
        </w:rPr>
        <w:t xml:space="preserve"> ، ص 227 ( رشد )</w:t>
      </w:r>
      <w:r>
        <w:rPr>
          <w:rtl/>
        </w:rPr>
        <w:t>.</w:t>
      </w:r>
    </w:p>
    <w:p w:rsidR="000C39D1" w:rsidRPr="00132E65" w:rsidRDefault="000C39D1" w:rsidP="000C39D1">
      <w:pPr>
        <w:pStyle w:val="libFootnote0"/>
        <w:rPr>
          <w:rtl/>
          <w:lang w:bidi="fa-IR"/>
        </w:rPr>
      </w:pPr>
      <w:r>
        <w:rPr>
          <w:rtl/>
        </w:rPr>
        <w:t>(4).</w:t>
      </w:r>
      <w:r w:rsidRPr="00132E65">
        <w:rPr>
          <w:rtl/>
        </w:rPr>
        <w:t xml:space="preserve"> </w:t>
      </w:r>
      <w:r w:rsidRPr="00243115">
        <w:rPr>
          <w:rtl/>
        </w:rPr>
        <w:t>الإرشاد</w:t>
      </w:r>
      <w:r w:rsidRPr="00132E65">
        <w:rPr>
          <w:rtl/>
        </w:rPr>
        <w:t xml:space="preserve"> ، ج 2 ، ص 219 ، عن محمّد بن سنان</w:t>
      </w:r>
      <w:r>
        <w:rPr>
          <w:rFonts w:hint="cs"/>
          <w:rtl/>
        </w:rPr>
        <w:t>.</w:t>
      </w:r>
      <w:r w:rsidRPr="009D1ACE">
        <w:rPr>
          <w:rStyle w:val="libFootnoteBoldChar"/>
          <w:rtl/>
        </w:rPr>
        <w:t>الوافي</w:t>
      </w:r>
      <w:r w:rsidRPr="00132E65">
        <w:rPr>
          <w:rtl/>
        </w:rPr>
        <w:t xml:space="preserve"> ، ج 2 ، ص 354 ، ح 824 ؛ </w:t>
      </w:r>
      <w:r w:rsidRPr="00243115">
        <w:rPr>
          <w:rtl/>
        </w:rPr>
        <w:t>الوسائل</w:t>
      </w:r>
      <w:r w:rsidRPr="00132E65">
        <w:rPr>
          <w:rtl/>
        </w:rPr>
        <w:t xml:space="preserve"> ، ج 21 ، ص 389 ، ح 27376.</w:t>
      </w:r>
      <w:r>
        <w:rPr>
          <w:rFonts w:hint="cs"/>
          <w:rtl/>
        </w:rPr>
        <w:t xml:space="preserve">                          </w:t>
      </w:r>
      <w:r w:rsidR="00242766">
        <w:rPr>
          <w:rFonts w:hint="cs"/>
          <w:rtl/>
        </w:rPr>
        <w:t xml:space="preserve"> </w:t>
      </w:r>
      <w:r>
        <w:rPr>
          <w:rFonts w:hint="cs"/>
          <w:rtl/>
        </w:rPr>
        <w:t xml:space="preserve">         </w:t>
      </w:r>
      <w:r>
        <w:rPr>
          <w:rtl/>
        </w:rPr>
        <w:t>(5).</w:t>
      </w:r>
      <w:r w:rsidRPr="00132E65">
        <w:rPr>
          <w:rtl/>
        </w:rPr>
        <w:t xml:space="preserve"> في </w:t>
      </w:r>
      <w:r w:rsidRPr="009D1ACE">
        <w:rPr>
          <w:rStyle w:val="libFootnoteBoldChar"/>
          <w:rtl/>
        </w:rPr>
        <w:t>مرآة العقول</w:t>
      </w:r>
      <w:r w:rsidRPr="00132E65">
        <w:rPr>
          <w:rtl/>
        </w:rPr>
        <w:t xml:space="preserve"> : « وعليكم »</w:t>
      </w:r>
      <w:r>
        <w:rPr>
          <w:rtl/>
        </w:rPr>
        <w:t>.</w:t>
      </w:r>
    </w:p>
    <w:p w:rsidR="000C39D1" w:rsidRPr="00132E65" w:rsidRDefault="000C39D1" w:rsidP="000C39D1">
      <w:pPr>
        <w:pStyle w:val="libFootnote0"/>
        <w:rPr>
          <w:rtl/>
          <w:lang w:bidi="fa-IR"/>
        </w:rPr>
      </w:pPr>
      <w:r>
        <w:rPr>
          <w:rtl/>
        </w:rPr>
        <w:t>(6).</w:t>
      </w:r>
      <w:r w:rsidRPr="00132E65">
        <w:rPr>
          <w:rtl/>
        </w:rPr>
        <w:t xml:space="preserve"> في « ه‍ » والإرشاد :</w:t>
      </w:r>
      <w:r>
        <w:rPr>
          <w:rtl/>
        </w:rPr>
        <w:t xml:space="preserve"> + </w:t>
      </w:r>
      <w:r w:rsidRPr="00132E65">
        <w:rPr>
          <w:rtl/>
        </w:rPr>
        <w:t>« بعدي »</w:t>
      </w:r>
      <w:r>
        <w:rPr>
          <w:rtl/>
        </w:rPr>
        <w:t>.</w:t>
      </w:r>
    </w:p>
    <w:p w:rsidR="000C39D1" w:rsidRPr="00132E65" w:rsidRDefault="000C39D1" w:rsidP="000C39D1">
      <w:pPr>
        <w:pStyle w:val="libFootnote0"/>
        <w:rPr>
          <w:rtl/>
          <w:lang w:bidi="fa-IR"/>
        </w:rPr>
      </w:pPr>
      <w:r>
        <w:rPr>
          <w:rtl/>
        </w:rPr>
        <w:t>(7).</w:t>
      </w:r>
      <w:r w:rsidRPr="00132E65">
        <w:rPr>
          <w:rtl/>
        </w:rPr>
        <w:t xml:space="preserve"> </w:t>
      </w:r>
      <w:r w:rsidRPr="00243115">
        <w:rPr>
          <w:rtl/>
        </w:rPr>
        <w:t>الإرشاد</w:t>
      </w:r>
      <w:r w:rsidRPr="00132E65">
        <w:rPr>
          <w:rtl/>
        </w:rPr>
        <w:t xml:space="preserve"> ، ج 2 ، ص 219 ، عن ابن مسكان</w:t>
      </w:r>
      <w:r>
        <w:rPr>
          <w:rFonts w:hint="cs"/>
          <w:rtl/>
        </w:rPr>
        <w:t>.</w:t>
      </w:r>
      <w:r w:rsidRPr="009D1ACE">
        <w:rPr>
          <w:rStyle w:val="libFootnoteBoldChar"/>
          <w:rtl/>
        </w:rPr>
        <w:t>الوافي</w:t>
      </w:r>
      <w:r w:rsidRPr="00132E65">
        <w:rPr>
          <w:rtl/>
        </w:rPr>
        <w:t xml:space="preserve"> ، ج 2 ، ص 351 ، ح 819.</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ج ، ض ، ف ، ه‍ ، بح » : « إليه »</w:t>
            </w:r>
            <w:r>
              <w:rPr>
                <w:rtl/>
              </w:rPr>
              <w:t>.</w:t>
            </w:r>
          </w:p>
        </w:tc>
        <w:tc>
          <w:tcPr>
            <w:tcW w:w="4006" w:type="dxa"/>
          </w:tcPr>
          <w:p w:rsidR="000C39D1" w:rsidRDefault="000C39D1" w:rsidP="00B53873">
            <w:pPr>
              <w:pStyle w:val="libFootnote0"/>
              <w:rPr>
                <w:rtl/>
              </w:rPr>
            </w:pPr>
            <w:r>
              <w:rPr>
                <w:rtl/>
              </w:rPr>
              <w:t>(9).</w:t>
            </w:r>
            <w:r w:rsidRPr="00132E65">
              <w:rPr>
                <w:rtl/>
              </w:rPr>
              <w:t xml:space="preserve"> في « ه‍ » : « جعفر »</w:t>
            </w:r>
            <w:r>
              <w:rPr>
                <w:rtl/>
              </w:rPr>
              <w:t>.</w:t>
            </w:r>
          </w:p>
        </w:tc>
      </w:tr>
      <w:tr w:rsidR="000C39D1" w:rsidTr="00B53873">
        <w:tc>
          <w:tcPr>
            <w:tcW w:w="4006" w:type="dxa"/>
          </w:tcPr>
          <w:p w:rsidR="000C39D1" w:rsidRDefault="000C39D1" w:rsidP="00B53873">
            <w:pPr>
              <w:pStyle w:val="libFootnote0"/>
              <w:rPr>
                <w:rtl/>
              </w:rPr>
            </w:pPr>
            <w:r>
              <w:rPr>
                <w:rtl/>
              </w:rPr>
              <w:t>(10).</w:t>
            </w:r>
            <w:r w:rsidRPr="00132E65">
              <w:rPr>
                <w:rtl/>
              </w:rPr>
              <w:t xml:space="preserve"> في « ب » والغيبة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(11). في «ج،ض،ه‍،بح،بر،بس،بف»:</w:t>
            </w:r>
            <w:r w:rsidRPr="00132E65">
              <w:rPr>
                <w:rtl/>
              </w:rPr>
              <w:t>« فاضرب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إِلى خَمْسَةٍ </w:t>
      </w:r>
      <w:r>
        <w:rPr>
          <w:rStyle w:val="libFootnotenumChar"/>
          <w:rtl/>
        </w:rPr>
        <w:t>(1)</w:t>
      </w:r>
      <w:r w:rsidRPr="00132E65">
        <w:rPr>
          <w:rtl/>
          <w:lang w:bidi="fa-IR"/>
        </w:rPr>
        <w:t xml:space="preserve"> ، واحِدُهُمْ </w:t>
      </w:r>
      <w:r>
        <w:rPr>
          <w:rStyle w:val="libFootnotenumChar"/>
          <w:rtl/>
        </w:rPr>
        <w:t>(2)</w:t>
      </w:r>
      <w:r w:rsidRPr="00132E65">
        <w:rPr>
          <w:rtl/>
          <w:lang w:bidi="fa-IR"/>
        </w:rPr>
        <w:t xml:space="preserve"> أَبُو جَعْفَرٍ الْمَنْصُورُ ، و</w:t>
      </w:r>
      <w:r w:rsidR="00242766">
        <w:rPr>
          <w:rFonts w:hint="cs"/>
          <w:rtl/>
          <w:lang w:bidi="fa-IR"/>
        </w:rPr>
        <w:t xml:space="preserve"> </w:t>
      </w:r>
      <w:r w:rsidRPr="00132E65">
        <w:rPr>
          <w:rtl/>
          <w:lang w:bidi="fa-IR"/>
        </w:rPr>
        <w:t>مُحَمَّدُ بْنُ سُلَيْمَانَ ، وعَبْدُ اللهِ ، وَمُوسى ، و</w:t>
      </w:r>
      <w:r w:rsidR="00242766">
        <w:rPr>
          <w:rFonts w:hint="cs"/>
          <w:rtl/>
          <w:lang w:bidi="fa-IR"/>
        </w:rPr>
        <w:t xml:space="preserve"> </w:t>
      </w:r>
      <w:r w:rsidRPr="00132E65">
        <w:rPr>
          <w:rtl/>
          <w:lang w:bidi="fa-IR"/>
        </w:rPr>
        <w:t>حَمِيدَةُ</w:t>
      </w:r>
      <w:r w:rsidR="00242766">
        <w:rPr>
          <w:rFonts w:hint="cs"/>
          <w:rtl/>
          <w:lang w:bidi="fa-IR"/>
        </w:rPr>
        <w:t xml:space="preserve"> </w:t>
      </w:r>
      <w:r>
        <w:rPr>
          <w:rStyle w:val="libFootnotenumChar"/>
          <w:rtl/>
        </w:rPr>
        <w:t>(3)</w:t>
      </w:r>
      <w:r w:rsidR="00242766">
        <w:rPr>
          <w:rFonts w:hint="cs"/>
          <w:rtl/>
          <w:lang w:bidi="fa-IR"/>
        </w:rPr>
        <w:t xml:space="preserve"> </w:t>
      </w:r>
      <w:r>
        <w:rPr>
          <w:rStyle w:val="libFootnotenumChar"/>
          <w:rtl/>
        </w:rPr>
        <w:t>(4)</w:t>
      </w:r>
    </w:p>
    <w:p w:rsidR="000C39D1" w:rsidRPr="00132E65" w:rsidRDefault="000C39D1" w:rsidP="000C39D1">
      <w:pPr>
        <w:pStyle w:val="libNormal"/>
        <w:rPr>
          <w:rtl/>
          <w:lang w:bidi="fa-IR"/>
        </w:rPr>
      </w:pPr>
      <w:r w:rsidRPr="00BF5921">
        <w:rPr>
          <w:rtl/>
        </w:rPr>
        <w:t>814</w:t>
      </w:r>
      <w:r w:rsidRPr="004325D8">
        <w:rPr>
          <w:rStyle w:val="libBold2Char"/>
          <w:rtl/>
        </w:rPr>
        <w:t xml:space="preserve"> / 14.</w:t>
      </w:r>
      <w:r w:rsidRPr="00132E65">
        <w:rPr>
          <w:rtl/>
          <w:lang w:bidi="fa-IR"/>
        </w:rPr>
        <w:t xml:space="preserve"> عَلِيُّ بْنُ إِبْرَاهِيمَ ، عَنْ أَبِيهِ : عَنِ النَّضْرِ بْنِ سُوَ</w:t>
      </w:r>
      <w:r>
        <w:rPr>
          <w:rtl/>
          <w:lang w:bidi="fa-IR"/>
        </w:rPr>
        <w:t>يْدٍ بِنَحْوٍ مِنْ هذَا ، إِل</w:t>
      </w:r>
      <w:r>
        <w:rPr>
          <w:rFonts w:hint="cs"/>
          <w:rtl/>
          <w:lang w:bidi="fa-IR"/>
        </w:rPr>
        <w:t>َّ</w:t>
      </w:r>
      <w:r>
        <w:rPr>
          <w:rtl/>
          <w:lang w:bidi="fa-IR"/>
        </w:rPr>
        <w:t>ا</w:t>
      </w:r>
      <w:r w:rsidRPr="00132E65">
        <w:rPr>
          <w:rtl/>
          <w:lang w:bidi="fa-IR"/>
        </w:rPr>
        <w:t xml:space="preserve"> أَنَّهُ ذَكَرَ أَنَّهُ أَوْصى إِلى أَبِي جَعْفَرٍ الْمَنْصُورِ ، وعَبْدِ اللهِ ، ومُوسى ، ومُحَمَّدِ بْنِ جَعْفَرٍ ، ومَوْلًى لِأَبِي عَبْدِ اللهِ </w:t>
      </w:r>
      <w:r w:rsidRPr="00071CF9">
        <w:rPr>
          <w:rStyle w:val="libAlaemChar"/>
          <w:rtl/>
        </w:rPr>
        <w:t>عليه‌السلام</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فَقَالَ أَبُو جَعْفَرٍ : لَيْسَ إِلى قَتْلِ هؤُلَاءِ سَبِيلٌ.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BF5921">
        <w:rPr>
          <w:rtl/>
        </w:rPr>
        <w:t>815</w:t>
      </w:r>
      <w:r w:rsidRPr="004325D8">
        <w:rPr>
          <w:rStyle w:val="libBold2Char"/>
          <w:rtl/>
        </w:rPr>
        <w:t xml:space="preserve"> / 15.</w:t>
      </w:r>
      <w:r w:rsidRPr="00132E65">
        <w:rPr>
          <w:rtl/>
          <w:lang w:bidi="fa-IR"/>
        </w:rPr>
        <w:t xml:space="preserve"> الْحُسَيْنُ بْنُ مُحَمَّدٍ ، عَنْ مُعَلَّى بْنِ مُحَمَّدٍ ، عَنِ الْوَشَّاءِ ، عَنْ عَلِيِّ بْنِ الْحَسَنِ ، عَنْ صَفْوَانَ الْجَمَّالِ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صَاحِبِ هذَا الْأَمْرِ ، فَقَالَ : « إِنَّ صَاحِبَ هذَا الْأَمْرِ لَايَلْهُو </w:t>
      </w:r>
      <w:r>
        <w:rPr>
          <w:rStyle w:val="libFootnotenumChar"/>
          <w:rtl/>
        </w:rPr>
        <w:t>(6)</w:t>
      </w:r>
      <w:r w:rsidRPr="00132E65">
        <w:rPr>
          <w:rtl/>
          <w:lang w:bidi="fa-IR"/>
        </w:rPr>
        <w:t xml:space="preserve"> وَلَايَلْعَبُ » وأَقْبَلَ أَبُو الْحَسَنِ مُوسى وهُوَ صَغِيرٌ ، ومَعَهُ عَنَاقٌ </w:t>
      </w:r>
      <w:r>
        <w:rPr>
          <w:rStyle w:val="libFootnotenumChar"/>
          <w:rtl/>
        </w:rPr>
        <w:t>(7)</w:t>
      </w:r>
      <w:r w:rsidRPr="00132E65">
        <w:rPr>
          <w:rtl/>
          <w:lang w:bidi="fa-IR"/>
        </w:rPr>
        <w:t xml:space="preserve"> مَكِّيَّةٌ وهُوَ يَقُولُ لَهَا :</w:t>
      </w:r>
      <w:r>
        <w:rPr>
          <w:rFonts w:hint="cs"/>
          <w:rtl/>
          <w:lang w:bidi="fa-IR"/>
        </w:rPr>
        <w:t xml:space="preserve"> </w:t>
      </w:r>
      <w:r w:rsidRPr="00132E65">
        <w:rPr>
          <w:rtl/>
          <w:lang w:bidi="fa-IR"/>
        </w:rPr>
        <w:t xml:space="preserve">« اسْجُدِي لِرَبِّكَ » فَأَخَذَهُ أَبُو عَبْدِ اللهِ </w:t>
      </w:r>
      <w:r w:rsidRPr="00071CF9">
        <w:rPr>
          <w:rStyle w:val="libAlaemChar"/>
          <w:rtl/>
        </w:rPr>
        <w:t>عليه‌السلام</w:t>
      </w:r>
      <w:r w:rsidRPr="00132E65">
        <w:rPr>
          <w:rtl/>
          <w:lang w:bidi="fa-IR"/>
        </w:rPr>
        <w:t xml:space="preserve"> ، وضَمَّهُ إِلَيْهِ ، وقَالَ : « بِأَبِي </w:t>
      </w:r>
      <w:r>
        <w:rPr>
          <w:rStyle w:val="libFootnotenumChar"/>
          <w:rtl/>
        </w:rPr>
        <w:t>(8)</w:t>
      </w:r>
      <w:r w:rsidRPr="00132E65">
        <w:rPr>
          <w:rtl/>
          <w:lang w:bidi="fa-IR"/>
        </w:rPr>
        <w:t xml:space="preserve"> وأُمِّي مَنْ لَايَلْهُو‌</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وحاشية « ض ، بر » وشرح المازندراني :</w:t>
      </w:r>
      <w:r>
        <w:rPr>
          <w:rtl/>
        </w:rPr>
        <w:t xml:space="preserve"> + </w:t>
      </w:r>
      <w:r w:rsidRPr="00132E65">
        <w:rPr>
          <w:rtl/>
        </w:rPr>
        <w:t>« نفر »</w:t>
      </w:r>
      <w:r>
        <w:rPr>
          <w:rtl/>
        </w:rPr>
        <w:t>.</w:t>
      </w:r>
    </w:p>
    <w:p w:rsidR="000C39D1" w:rsidRPr="00132E65" w:rsidRDefault="000C39D1" w:rsidP="000C39D1">
      <w:pPr>
        <w:pStyle w:val="libFootnote0"/>
        <w:rPr>
          <w:rtl/>
          <w:lang w:bidi="fa-IR"/>
        </w:rPr>
      </w:pPr>
      <w:r>
        <w:rPr>
          <w:rtl/>
        </w:rPr>
        <w:t>(2).</w:t>
      </w:r>
      <w:r w:rsidRPr="00132E65">
        <w:rPr>
          <w:rtl/>
        </w:rPr>
        <w:t xml:space="preserve"> في « ب ، ض ، ف ، بر ، بف » و</w:t>
      </w:r>
      <w:r w:rsidRPr="009D1ACE">
        <w:rPr>
          <w:rStyle w:val="libFootnoteBoldChar"/>
          <w:rtl/>
        </w:rPr>
        <w:t>الوافي</w:t>
      </w:r>
      <w:r w:rsidRPr="00132E65">
        <w:rPr>
          <w:rtl/>
        </w:rPr>
        <w:t xml:space="preserve"> : « أحدهم »</w:t>
      </w:r>
      <w:r>
        <w:rPr>
          <w:rtl/>
        </w:rPr>
        <w:t>.</w:t>
      </w:r>
      <w:r w:rsidRPr="00132E65">
        <w:rPr>
          <w:rtl/>
        </w:rPr>
        <w:t xml:space="preserve"> وفي </w:t>
      </w:r>
      <w:r w:rsidRPr="009D1ACE">
        <w:rPr>
          <w:rStyle w:val="libFootnoteBoldChar"/>
          <w:rtl/>
        </w:rPr>
        <w:t>مرآة العقول</w:t>
      </w:r>
      <w:r w:rsidRPr="00132E65">
        <w:rPr>
          <w:rtl/>
        </w:rPr>
        <w:t xml:space="preserve"> : « واحدهم ، الواو للعطف ، أو على وزن فاعل »</w:t>
      </w:r>
      <w:r>
        <w:rPr>
          <w:rtl/>
        </w:rPr>
        <w:t>.</w:t>
      </w:r>
    </w:p>
    <w:p w:rsidR="000C39D1" w:rsidRPr="00132E65" w:rsidRDefault="000C39D1" w:rsidP="000C39D1">
      <w:pPr>
        <w:pStyle w:val="libFootnote0"/>
        <w:rPr>
          <w:rtl/>
          <w:lang w:bidi="fa-IR"/>
        </w:rPr>
      </w:pPr>
      <w:r>
        <w:rPr>
          <w:rtl/>
        </w:rPr>
        <w:t>(3).</w:t>
      </w:r>
      <w:r w:rsidRPr="00132E65">
        <w:rPr>
          <w:rtl/>
        </w:rPr>
        <w:t xml:space="preserve"> في « و، بح ، بر » : « حُميدة »</w:t>
      </w:r>
      <w:r>
        <w:rPr>
          <w:rtl/>
        </w:rPr>
        <w:t>.</w:t>
      </w:r>
      <w:r w:rsidRPr="00132E65">
        <w:rPr>
          <w:rtl/>
        </w:rPr>
        <w:t xml:space="preserve"> وفي </w:t>
      </w:r>
      <w:r w:rsidRPr="009D1ACE">
        <w:rPr>
          <w:rStyle w:val="libFootnoteBoldChar"/>
          <w:rtl/>
        </w:rPr>
        <w:t>مرآة العقول</w:t>
      </w:r>
      <w:r w:rsidRPr="00132E65">
        <w:rPr>
          <w:rtl/>
        </w:rPr>
        <w:t xml:space="preserve"> : « وحميدة ، على التصغير ، أو التكبير على فعيلة ، اسم امّ موسى </w:t>
      </w:r>
      <w:r w:rsidRPr="00AC175F">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(4).</w:t>
      </w:r>
      <w:r w:rsidRPr="00132E65">
        <w:rPr>
          <w:rtl/>
        </w:rPr>
        <w:t xml:space="preserve"> </w:t>
      </w:r>
      <w:r w:rsidRPr="00BF5921">
        <w:rPr>
          <w:rtl/>
        </w:rPr>
        <w:t>الغيبة</w:t>
      </w:r>
      <w:r w:rsidRPr="00132E65">
        <w:rPr>
          <w:rtl/>
        </w:rPr>
        <w:t xml:space="preserve"> للطوسي ، ص 197 ، ح 162 ، مرسلاً عن أبي أيّوب الخوزي ، مع زيادة في آخره</w:t>
      </w:r>
      <w:r>
        <w:rPr>
          <w:rFonts w:hint="cs"/>
          <w:rtl/>
        </w:rPr>
        <w:t>.</w:t>
      </w:r>
      <w:r w:rsidRPr="009D1ACE">
        <w:rPr>
          <w:rStyle w:val="libFootnoteBoldChar"/>
          <w:rtl/>
        </w:rPr>
        <w:t>الوافي</w:t>
      </w:r>
      <w:r w:rsidRPr="00132E65">
        <w:rPr>
          <w:rtl/>
        </w:rPr>
        <w:t xml:space="preserve"> ، ج 2 ، ص 35 ، ح 828.</w:t>
      </w:r>
    </w:p>
    <w:p w:rsidR="000C39D1" w:rsidRPr="00132E65" w:rsidRDefault="000C39D1" w:rsidP="000C39D1">
      <w:pPr>
        <w:pStyle w:val="libFootnote0"/>
        <w:rPr>
          <w:rtl/>
          <w:lang w:bidi="fa-IR"/>
        </w:rPr>
      </w:pPr>
      <w:r>
        <w:rPr>
          <w:rtl/>
        </w:rPr>
        <w:t>(5).</w:t>
      </w:r>
      <w:r w:rsidRPr="00132E65">
        <w:rPr>
          <w:rtl/>
        </w:rPr>
        <w:t xml:space="preserve"> راجع : </w:t>
      </w:r>
      <w:r w:rsidRPr="00BF5921">
        <w:rPr>
          <w:rtl/>
        </w:rPr>
        <w:t>الغيبة</w:t>
      </w:r>
      <w:r w:rsidRPr="00132E65">
        <w:rPr>
          <w:rtl/>
        </w:rPr>
        <w:t xml:space="preserve"> للطوسي ، ص 197 ، ح 162</w:t>
      </w:r>
      <w:r>
        <w:rPr>
          <w:rFonts w:hint="cs"/>
          <w:rtl/>
        </w:rPr>
        <w:t>.</w:t>
      </w:r>
      <w:r w:rsidRPr="009D1ACE">
        <w:rPr>
          <w:rStyle w:val="libFootnoteBoldChar"/>
          <w:rtl/>
        </w:rPr>
        <w:t>الوافي</w:t>
      </w:r>
      <w:r w:rsidRPr="00132E65">
        <w:rPr>
          <w:rtl/>
        </w:rPr>
        <w:t xml:space="preserve"> ، ج 2 ، ص 356 ، ح 829.</w:t>
      </w:r>
    </w:p>
    <w:p w:rsidR="000C39D1" w:rsidRPr="00132E65" w:rsidRDefault="000C39D1" w:rsidP="000C39D1">
      <w:pPr>
        <w:pStyle w:val="libFootnote0"/>
        <w:rPr>
          <w:rtl/>
          <w:lang w:bidi="fa-IR"/>
        </w:rPr>
      </w:pPr>
      <w:r>
        <w:rPr>
          <w:rtl/>
        </w:rPr>
        <w:t>(6).</w:t>
      </w:r>
      <w:r w:rsidRPr="00132E65">
        <w:rPr>
          <w:rtl/>
        </w:rPr>
        <w:t xml:space="preserve"> « اللَهْوُ » : اللَعِبُ ، يقال : لَهَوْت بالشي ألْهُو لَهْواً ، تلهّيت به ، إذا لعبتَ به وتشاغلتَ وغفلتَ به عن غيره ، والحاصل أنّه لا يلهو ، أي لا يغفل عن ذكر الله تعالى بالاشتغال لغيره ، ولا يفعل ما يضرّه في الآخرة ولا فائدة فيه لا في صغره ولا في كبره. راجع : </w:t>
      </w:r>
      <w:r w:rsidRPr="00BF5921">
        <w:rPr>
          <w:rtl/>
        </w:rPr>
        <w:t>النهاية</w:t>
      </w:r>
      <w:r w:rsidRPr="00132E65">
        <w:rPr>
          <w:rtl/>
        </w:rPr>
        <w:t xml:space="preserve"> ، ج 4 ، ص 282 ( لهو )</w:t>
      </w:r>
      <w:r>
        <w:rPr>
          <w:rtl/>
        </w:rPr>
        <w:t>.</w:t>
      </w:r>
    </w:p>
    <w:p w:rsidR="000C39D1" w:rsidRPr="00132E65" w:rsidRDefault="000C39D1" w:rsidP="000C39D1">
      <w:pPr>
        <w:pStyle w:val="libFootnote0"/>
        <w:rPr>
          <w:rtl/>
          <w:lang w:bidi="fa-IR"/>
        </w:rPr>
      </w:pPr>
      <w:r>
        <w:rPr>
          <w:rtl/>
        </w:rPr>
        <w:t>(7).</w:t>
      </w:r>
      <w:r w:rsidRPr="00132E65">
        <w:rPr>
          <w:rtl/>
        </w:rPr>
        <w:t xml:space="preserve"> « العَناقُ » : هي الا</w:t>
      </w:r>
      <w:r>
        <w:rPr>
          <w:rFonts w:hint="cs"/>
          <w:rtl/>
        </w:rPr>
        <w:t>ُ</w:t>
      </w:r>
      <w:r w:rsidRPr="00132E65">
        <w:rPr>
          <w:rtl/>
        </w:rPr>
        <w:t>نثى من أولاد ال</w:t>
      </w:r>
      <w:r>
        <w:rPr>
          <w:rFonts w:hint="cs"/>
          <w:rtl/>
        </w:rPr>
        <w:t>ـ</w:t>
      </w:r>
      <w:r w:rsidRPr="00132E65">
        <w:rPr>
          <w:rtl/>
        </w:rPr>
        <w:t xml:space="preserve">مَعْز ما لم يتمّ له سنة. </w:t>
      </w:r>
      <w:r w:rsidRPr="00BF5921">
        <w:rPr>
          <w:rtl/>
        </w:rPr>
        <w:t>النهاية</w:t>
      </w:r>
      <w:r w:rsidRPr="00132E65">
        <w:rPr>
          <w:rtl/>
        </w:rPr>
        <w:t xml:space="preserve"> ، ج 3 ، ص 311 ( عنق )</w:t>
      </w:r>
      <w:r>
        <w:rPr>
          <w:rtl/>
        </w:rPr>
        <w:t>.</w:t>
      </w:r>
    </w:p>
    <w:p w:rsidR="000C39D1" w:rsidRPr="00132E65" w:rsidRDefault="000C39D1" w:rsidP="000C39D1">
      <w:pPr>
        <w:pStyle w:val="libFootnote0"/>
        <w:rPr>
          <w:rtl/>
          <w:lang w:bidi="fa-IR"/>
        </w:rPr>
      </w:pPr>
      <w:r>
        <w:rPr>
          <w:rtl/>
        </w:rPr>
        <w:t>(8).</w:t>
      </w:r>
      <w:r w:rsidRPr="00132E65">
        <w:rPr>
          <w:rtl/>
        </w:rPr>
        <w:t xml:space="preserve"> في « ج » :</w:t>
      </w:r>
      <w:r>
        <w:rPr>
          <w:rtl/>
        </w:rPr>
        <w:t xml:space="preserve"> + </w:t>
      </w:r>
      <w:r w:rsidRPr="00132E65">
        <w:rPr>
          <w:rtl/>
        </w:rPr>
        <w:t>« أنت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وَلَايَلْعَبُ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BF5921">
        <w:rPr>
          <w:rtl/>
        </w:rPr>
        <w:t>816</w:t>
      </w:r>
      <w:r w:rsidRPr="004325D8">
        <w:rPr>
          <w:rStyle w:val="libBold2Char"/>
          <w:rtl/>
        </w:rPr>
        <w:t xml:space="preserve"> / 16.</w:t>
      </w:r>
      <w:r w:rsidRPr="00132E65">
        <w:rPr>
          <w:rtl/>
          <w:lang w:bidi="fa-IR"/>
        </w:rPr>
        <w:t xml:space="preserve"> عَلِيُّ بْنُ مُحَمَّدٍ ، عَنْ بَعْضِ أَصْحَابِنَا ، عَنْ عُبَيْسِ بْنِ هِشَامٍ ، قَالَ : حَدَّثَنِي عُمَرُ الرُّمَّانِيُّ ، عَنْ فَيْضِ بْنِ الْمُخْتَارِ ، قَالَ :</w:t>
      </w:r>
    </w:p>
    <w:p w:rsidR="000C39D1" w:rsidRPr="00132E65" w:rsidRDefault="000C39D1" w:rsidP="000C39D1">
      <w:pPr>
        <w:pStyle w:val="libNormal"/>
        <w:rPr>
          <w:rtl/>
          <w:lang w:bidi="fa-IR"/>
        </w:rPr>
      </w:pPr>
      <w:r w:rsidRPr="00132E65">
        <w:rPr>
          <w:rtl/>
          <w:lang w:bidi="fa-IR"/>
        </w:rPr>
        <w:t xml:space="preserve">إِنِّي لَعِنْدَ أَبِي عَبْدِ اللهِ </w:t>
      </w:r>
      <w:r w:rsidRPr="00071CF9">
        <w:rPr>
          <w:rStyle w:val="libAlaemChar"/>
          <w:rtl/>
        </w:rPr>
        <w:t>عليه‌السلام</w:t>
      </w:r>
      <w:r w:rsidRPr="00132E65">
        <w:rPr>
          <w:rtl/>
          <w:lang w:bidi="fa-IR"/>
        </w:rPr>
        <w:t xml:space="preserve"> إِذْ </w:t>
      </w:r>
      <w:r>
        <w:rPr>
          <w:rStyle w:val="libFootnotenumChar"/>
          <w:rtl/>
        </w:rPr>
        <w:t>(2)</w:t>
      </w:r>
      <w:r w:rsidRPr="00132E65">
        <w:rPr>
          <w:rtl/>
          <w:lang w:bidi="fa-IR"/>
        </w:rPr>
        <w:t xml:space="preserve"> أَقْبَلَ أَبُو الْحَسَنِ مُوسى </w:t>
      </w:r>
      <w:r w:rsidRPr="00071CF9">
        <w:rPr>
          <w:rStyle w:val="libAlaemChar"/>
          <w:rtl/>
        </w:rPr>
        <w:t>عليه‌السلام</w:t>
      </w:r>
      <w:r>
        <w:rPr>
          <w:rtl/>
          <w:lang w:bidi="fa-IR"/>
        </w:rPr>
        <w:t xml:space="preserve"> - </w:t>
      </w:r>
      <w:r w:rsidRPr="00132E65">
        <w:rPr>
          <w:rtl/>
          <w:lang w:bidi="fa-IR"/>
        </w:rPr>
        <w:t>وهُوَ غُلَامٌ</w:t>
      </w:r>
      <w:r>
        <w:rPr>
          <w:rtl/>
          <w:lang w:bidi="fa-IR"/>
        </w:rPr>
        <w:t xml:space="preserve"> - </w:t>
      </w:r>
      <w:r w:rsidRPr="00132E65">
        <w:rPr>
          <w:rtl/>
          <w:lang w:bidi="fa-IR"/>
        </w:rPr>
        <w:t xml:space="preserve">فَالْتَزَمْتُهُ وَقَبَّلْتُهُ ، فَقَالَ أَبُو عَبْدِ اللهِ </w:t>
      </w:r>
      <w:r w:rsidRPr="00071CF9">
        <w:rPr>
          <w:rStyle w:val="libAlaemChar"/>
          <w:rtl/>
        </w:rPr>
        <w:t>عليه‌السلام</w:t>
      </w:r>
      <w:r w:rsidRPr="00132E65">
        <w:rPr>
          <w:rtl/>
          <w:lang w:bidi="fa-IR"/>
        </w:rPr>
        <w:t xml:space="preserve"> : « أَنْتُمُ السَّفِينَةُ ، وهذَا مَلاَّحُهَا » قَالَ : فَحَجَجْتُ مِنْ قَابِلٍ ، وَمَعِي أَلْفَا دِينَارٍ ، فَبَعَثْتُ بِأَلْفٍ إِلى أَبِي عَبْدِ اللهِ </w:t>
      </w:r>
      <w:r w:rsidRPr="00071CF9">
        <w:rPr>
          <w:rStyle w:val="libAlaemChar"/>
          <w:rtl/>
        </w:rPr>
        <w:t>عليه‌السلام</w:t>
      </w:r>
      <w:r w:rsidRPr="00132E65">
        <w:rPr>
          <w:rtl/>
          <w:lang w:bidi="fa-IR"/>
        </w:rPr>
        <w:t xml:space="preserve"> ، وأَلْفٍ إِلَيْهِ ، فَلَمَّا دَخَلْتُ عَلى أَبِي عَبْدِ اللهِ </w:t>
      </w:r>
      <w:r w:rsidRPr="00071CF9">
        <w:rPr>
          <w:rStyle w:val="libAlaemChar"/>
          <w:rtl/>
        </w:rPr>
        <w:t>عليه‌السلام</w:t>
      </w:r>
      <w:r w:rsidRPr="00132E65">
        <w:rPr>
          <w:rtl/>
          <w:lang w:bidi="fa-IR"/>
        </w:rPr>
        <w:t xml:space="preserve"> ، قَالَ : « يَا فَيْضُ ، عَدَلْتَهُ بِي </w:t>
      </w:r>
      <w:r>
        <w:rPr>
          <w:rStyle w:val="libFootnotenumChar"/>
          <w:rtl/>
        </w:rPr>
        <w:t>(3)</w:t>
      </w:r>
      <w:r>
        <w:rPr>
          <w:rtl/>
          <w:lang w:bidi="fa-IR"/>
        </w:rPr>
        <w:t>؟</w:t>
      </w:r>
      <w:r w:rsidRPr="00132E65">
        <w:rPr>
          <w:rtl/>
          <w:lang w:bidi="fa-IR"/>
        </w:rPr>
        <w:t xml:space="preserve"> » قُلْتُ : إِنَّمَا فَعَلْتُ </w:t>
      </w:r>
      <w:r>
        <w:rPr>
          <w:rStyle w:val="libFootnotenumChar"/>
          <w:rtl/>
        </w:rPr>
        <w:t>(4)</w:t>
      </w:r>
      <w:r w:rsidRPr="00132E65">
        <w:rPr>
          <w:rtl/>
          <w:lang w:bidi="fa-IR"/>
        </w:rPr>
        <w:t xml:space="preserve"> ذلِكَ لِقَوْلِكَ ، فَقَالَ :</w:t>
      </w:r>
      <w:r>
        <w:rPr>
          <w:rFonts w:hint="cs"/>
          <w:rtl/>
          <w:lang w:bidi="fa-IR"/>
        </w:rPr>
        <w:t xml:space="preserve"> </w:t>
      </w:r>
      <w:r w:rsidRPr="00132E65">
        <w:rPr>
          <w:rtl/>
          <w:lang w:bidi="fa-IR"/>
        </w:rPr>
        <w:t>« أَمَا واللهِ مَا أَنَا فَعَلْتُ ذلِكَ ، بَلِ اللهُ</w:t>
      </w:r>
      <w:r>
        <w:rPr>
          <w:rtl/>
          <w:lang w:bidi="fa-IR"/>
        </w:rPr>
        <w:t xml:space="preserve"> - </w:t>
      </w:r>
      <w:r w:rsidRPr="00132E65">
        <w:rPr>
          <w:rtl/>
          <w:lang w:bidi="fa-IR"/>
        </w:rPr>
        <w:t>عَزَّ وجَلَّ</w:t>
      </w:r>
      <w:r>
        <w:rPr>
          <w:rtl/>
          <w:lang w:bidi="fa-IR"/>
        </w:rPr>
        <w:t xml:space="preserve"> - </w:t>
      </w:r>
      <w:r w:rsidRPr="00132E65">
        <w:rPr>
          <w:rtl/>
          <w:lang w:bidi="fa-IR"/>
        </w:rPr>
        <w:t>فَعَلَهُ بِهِ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242766">
      <w:pPr>
        <w:pStyle w:val="Heading2Center"/>
        <w:rPr>
          <w:rtl/>
          <w:lang w:bidi="fa-IR"/>
        </w:rPr>
      </w:pPr>
      <w:bookmarkStart w:id="25" w:name="_Toc459459100"/>
      <w:bookmarkStart w:id="26" w:name="_Toc34663069"/>
      <w:r w:rsidRPr="00132E65">
        <w:rPr>
          <w:rtl/>
          <w:lang w:bidi="fa-IR"/>
        </w:rPr>
        <w:t>72</w:t>
      </w:r>
      <w:r>
        <w:rPr>
          <w:rtl/>
          <w:lang w:bidi="fa-IR"/>
        </w:rPr>
        <w:t xml:space="preserve"> - </w:t>
      </w:r>
      <w:r w:rsidRPr="00132E65">
        <w:rPr>
          <w:rtl/>
          <w:lang w:bidi="fa-IR"/>
        </w:rPr>
        <w:t xml:space="preserve">بَابُ الْإِشَارَةِ والنَّصِّ عَلى أَبِي الْحَسَنِ الرِّضَا </w:t>
      </w:r>
      <w:bookmarkEnd w:id="25"/>
      <w:r w:rsidR="00242766" w:rsidRPr="00071CF9">
        <w:rPr>
          <w:rStyle w:val="libAlaemChar"/>
          <w:rtl/>
        </w:rPr>
        <w:t>عليه‌السلام</w:t>
      </w:r>
      <w:bookmarkEnd w:id="26"/>
    </w:p>
    <w:p w:rsidR="000C39D1" w:rsidRPr="00132E65" w:rsidRDefault="000C39D1" w:rsidP="000C39D1">
      <w:pPr>
        <w:pStyle w:val="libNormal"/>
        <w:rPr>
          <w:rtl/>
          <w:lang w:bidi="fa-IR"/>
        </w:rPr>
      </w:pPr>
      <w:r w:rsidRPr="00BF5921">
        <w:rPr>
          <w:rtl/>
        </w:rPr>
        <w:t>817</w:t>
      </w:r>
      <w:r w:rsidRPr="004325D8">
        <w:rPr>
          <w:rStyle w:val="libBold2Char"/>
          <w:rtl/>
        </w:rPr>
        <w:t xml:space="preserve"> / 1.</w:t>
      </w:r>
      <w:r w:rsidRPr="00132E65">
        <w:rPr>
          <w:rtl/>
          <w:lang w:bidi="fa-IR"/>
        </w:rPr>
        <w:t xml:space="preserve"> مُحَمَّدُ بْنُ يَحْيى ، عَنْ أَحْمَدَ بْنِ مُحَمَّدٍ ، عَنِ ابْنِ مَحْبُوبٍ ، عَنِ الْحُسَيْنِ بْنِ نُعَيْمٍ الصَّحَّافِ ، قَالَ :</w:t>
      </w:r>
    </w:p>
    <w:p w:rsidR="000C39D1" w:rsidRPr="00132E65" w:rsidRDefault="000C39D1" w:rsidP="000C39D1">
      <w:pPr>
        <w:pStyle w:val="libNormal"/>
        <w:rPr>
          <w:rtl/>
          <w:lang w:bidi="fa-IR"/>
        </w:rPr>
      </w:pPr>
      <w:r w:rsidRPr="00132E65">
        <w:rPr>
          <w:rtl/>
          <w:lang w:bidi="fa-IR"/>
        </w:rPr>
        <w:t>كُنْتُ أَنَا وهِشَامُ بْنُ الْحَكَمِ وعَلِيُّ بْنُ يَقْطِينٍ بِبَغْدَادَ ، فَقَالَ عَلِيُّ بْنُ يَقْطِينٍ : كُنْتُ عِنْدَ الْعَبْدِ الصَّالِحِ جَالِساً ، فَدَخَلَ عَلَيْهِ ابْنُهُ عَلِيٌّ ، فَقَالَ لِي : « يَا عَلِيَّ بْنَ يَقْطِينٍ ، هذَا عَلِيٌّ سَيِّدُ و</w:t>
      </w:r>
      <w:r>
        <w:rPr>
          <w:rFonts w:hint="cs"/>
          <w:rtl/>
          <w:lang w:bidi="fa-IR"/>
        </w:rPr>
        <w:t>ُ</w:t>
      </w:r>
      <w:r w:rsidRPr="00132E65">
        <w:rPr>
          <w:rtl/>
          <w:lang w:bidi="fa-IR"/>
        </w:rPr>
        <w:t xml:space="preserve">لْدِي ، أَمَا إِنِّي قَدْ نَحَلْتُهُ كُنْيَتِي </w:t>
      </w:r>
      <w:r>
        <w:rPr>
          <w:rStyle w:val="libFootnotenumChar"/>
          <w:rtl/>
        </w:rPr>
        <w:t>(6)</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BF5921">
        <w:rPr>
          <w:rtl/>
        </w:rPr>
        <w:t>الإرشاد</w:t>
      </w:r>
      <w:r w:rsidRPr="00132E65">
        <w:rPr>
          <w:rtl/>
        </w:rPr>
        <w:t xml:space="preserve"> ، ج 2 ، ص 219 ، عن الوشّاء ، مع اختلاف يسير. وفي </w:t>
      </w:r>
      <w:r w:rsidRPr="00BF5921">
        <w:rPr>
          <w:rtl/>
        </w:rPr>
        <w:t>الغيبة</w:t>
      </w:r>
      <w:r w:rsidRPr="00132E65">
        <w:rPr>
          <w:rtl/>
        </w:rPr>
        <w:t xml:space="preserve"> للنعماني ، ص 327 ، ح 6 ؛ و</w:t>
      </w:r>
      <w:r w:rsidRPr="00BF5921">
        <w:rPr>
          <w:rtl/>
        </w:rPr>
        <w:t xml:space="preserve">الغيبة </w:t>
      </w:r>
      <w:r w:rsidRPr="00132E65">
        <w:rPr>
          <w:rtl/>
        </w:rPr>
        <w:t>للطوسي ، ص 52 ، ح 41 ، بسند آخر ، مع اختلاف</w:t>
      </w:r>
      <w:r>
        <w:rPr>
          <w:rFonts w:hint="cs"/>
          <w:rtl/>
        </w:rPr>
        <w:t>.</w:t>
      </w:r>
      <w:r w:rsidRPr="009D1ACE">
        <w:rPr>
          <w:rStyle w:val="libFootnoteBoldChar"/>
          <w:rtl/>
        </w:rPr>
        <w:t>الوافي</w:t>
      </w:r>
      <w:r w:rsidRPr="00132E65">
        <w:rPr>
          <w:rtl/>
        </w:rPr>
        <w:t xml:space="preserve"> ، ج 2 ، ص 354 ، ح 825.</w:t>
      </w:r>
    </w:p>
    <w:p w:rsidR="000C39D1" w:rsidRPr="00132E65" w:rsidRDefault="000C39D1" w:rsidP="000C39D1">
      <w:pPr>
        <w:pStyle w:val="libFootnote0"/>
        <w:rPr>
          <w:rtl/>
          <w:lang w:bidi="fa-IR"/>
        </w:rPr>
      </w:pPr>
      <w:r>
        <w:rPr>
          <w:rtl/>
        </w:rPr>
        <w:t>(2).</w:t>
      </w:r>
      <w:r w:rsidRPr="00132E65">
        <w:rPr>
          <w:rtl/>
        </w:rPr>
        <w:t xml:space="preserve"> في « ب ، ف » : « إذا »</w:t>
      </w:r>
      <w:r>
        <w:rPr>
          <w:rtl/>
        </w:rPr>
        <w:t>.</w:t>
      </w:r>
    </w:p>
    <w:p w:rsidR="000C39D1" w:rsidRPr="00132E65" w:rsidRDefault="000C39D1" w:rsidP="000C39D1">
      <w:pPr>
        <w:pStyle w:val="libFootnote0"/>
        <w:rPr>
          <w:rtl/>
          <w:lang w:bidi="fa-IR"/>
        </w:rPr>
      </w:pPr>
      <w:r>
        <w:rPr>
          <w:rtl/>
        </w:rPr>
        <w:t>(3).</w:t>
      </w:r>
      <w:r w:rsidRPr="00132E65">
        <w:rPr>
          <w:rtl/>
        </w:rPr>
        <w:t xml:space="preserve"> « عَدَلتَه بي » ، أي جعلته مِثلي. يقال : عدلتُ هذا بهذا عَدْلاً من باب ضرب ، إذا جعلته مثله قائماً مقامه. وهذا</w:t>
      </w:r>
      <w:r>
        <w:rPr>
          <w:rFonts w:hint="cs"/>
          <w:rtl/>
        </w:rPr>
        <w:t xml:space="preserve"> </w:t>
      </w:r>
      <w:r w:rsidRPr="00132E65">
        <w:rPr>
          <w:rtl/>
        </w:rPr>
        <w:t xml:space="preserve">استفهام على سبيل المدح والتقرير. راجع : </w:t>
      </w:r>
      <w:r w:rsidRPr="00BF5921">
        <w:rPr>
          <w:rtl/>
        </w:rPr>
        <w:t>المصباح المنير</w:t>
      </w:r>
      <w:r w:rsidRPr="00132E65">
        <w:rPr>
          <w:rtl/>
        </w:rPr>
        <w:t xml:space="preserve"> ، ص 396 ( عدل ) ؛ </w:t>
      </w:r>
      <w:r w:rsidRPr="009D1ACE">
        <w:rPr>
          <w:rStyle w:val="libFootnoteBoldChar"/>
          <w:rtl/>
        </w:rPr>
        <w:t>مرآة العقول</w:t>
      </w:r>
      <w:r w:rsidRPr="00132E65">
        <w:rPr>
          <w:rtl/>
        </w:rPr>
        <w:t xml:space="preserve"> ، ج 3 ، ص 340.</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بح » </w:t>
            </w:r>
            <w:r>
              <w:rPr>
                <w:rtl/>
              </w:rPr>
              <w:t xml:space="preserve">: - </w:t>
            </w:r>
            <w:r w:rsidRPr="00132E65">
              <w:rPr>
                <w:rtl/>
              </w:rPr>
              <w:t>« إنّما فعلت »</w:t>
            </w:r>
            <w:r>
              <w:rPr>
                <w:rtl/>
              </w:rPr>
              <w:t>.</w:t>
            </w:r>
          </w:p>
        </w:tc>
        <w:tc>
          <w:tcPr>
            <w:tcW w:w="4006" w:type="dxa"/>
          </w:tcPr>
          <w:p w:rsidR="000C39D1" w:rsidRDefault="000C39D1" w:rsidP="00B53873">
            <w:pPr>
              <w:pStyle w:val="libFootnote0"/>
              <w:rPr>
                <w:rtl/>
              </w:rPr>
            </w:pPr>
            <w:r>
              <w:rPr>
                <w:rtl/>
              </w:rPr>
              <w:t>(5).</w:t>
            </w:r>
            <w:r w:rsidRPr="00132E65">
              <w:rPr>
                <w:rtl/>
              </w:rPr>
              <w:t xml:space="preserve"> </w:t>
            </w:r>
            <w:r w:rsidRPr="009D1ACE">
              <w:rPr>
                <w:rStyle w:val="libFootnoteBoldChar"/>
                <w:rtl/>
              </w:rPr>
              <w:t>الوافي</w:t>
            </w:r>
            <w:r w:rsidRPr="00132E65">
              <w:rPr>
                <w:rtl/>
              </w:rPr>
              <w:t xml:space="preserve"> ، ج 2 ، ص 353 ، ح 823.</w:t>
            </w:r>
          </w:p>
        </w:tc>
      </w:tr>
    </w:tbl>
    <w:p w:rsidR="000C39D1" w:rsidRPr="00132E65" w:rsidRDefault="000C39D1" w:rsidP="000C39D1">
      <w:pPr>
        <w:pStyle w:val="libFootnote0"/>
        <w:rPr>
          <w:rtl/>
          <w:lang w:bidi="fa-IR"/>
        </w:rPr>
      </w:pPr>
      <w:r>
        <w:rPr>
          <w:rtl/>
        </w:rPr>
        <w:t>(6).</w:t>
      </w:r>
      <w:r w:rsidRPr="00132E65">
        <w:rPr>
          <w:rtl/>
        </w:rPr>
        <w:t xml:space="preserve"> في البصائر ، ح 9 : « كتبي »</w:t>
      </w:r>
      <w:r>
        <w:rPr>
          <w:rtl/>
        </w:rPr>
        <w:t>.</w:t>
      </w:r>
      <w:r w:rsidRPr="00132E65">
        <w:rPr>
          <w:rtl/>
        </w:rPr>
        <w:t xml:space="preserve"> « وقد نَحَلْتُهُ كنيتي » ، أي أعطيتها إيّاه ، يقال : نَحَلَهُ يَنْحَلُهُ نُحْلاً ، أي أعطاه شيئاً من غير عوض بطيب نفس. راجع : </w:t>
      </w:r>
      <w:r w:rsidRPr="00BF5921">
        <w:rPr>
          <w:rtl/>
        </w:rPr>
        <w:t xml:space="preserve">المصباح المنير </w:t>
      </w:r>
      <w:r w:rsidRPr="00132E65">
        <w:rPr>
          <w:rtl/>
        </w:rPr>
        <w:t>، ص 595 ( نحل )</w:t>
      </w:r>
      <w:r>
        <w:rPr>
          <w:rtl/>
        </w:rPr>
        <w:t>.</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132E65">
        <w:rPr>
          <w:rtl/>
          <w:lang w:bidi="fa-IR"/>
        </w:rPr>
        <w:t xml:space="preserve">فَضَرَبَ هِشَامُ بْنُ الْحَكَمِ بِرَاحَتِهِ جَبْهَتَهُ ، ثُمَّ قَالَ : ويْحَكَ </w:t>
      </w:r>
      <w:r>
        <w:rPr>
          <w:rStyle w:val="libFootnotenumChar"/>
          <w:rtl/>
        </w:rPr>
        <w:t>(1)</w:t>
      </w:r>
      <w:r w:rsidRPr="00132E65">
        <w:rPr>
          <w:rtl/>
          <w:lang w:bidi="fa-IR"/>
        </w:rPr>
        <w:t xml:space="preserve"> ، كَيْفَ قُلْتَ</w:t>
      </w:r>
      <w:r>
        <w:rPr>
          <w:rtl/>
          <w:lang w:bidi="fa-IR"/>
        </w:rPr>
        <w:t>؟</w:t>
      </w:r>
      <w:r w:rsidRPr="00132E65">
        <w:rPr>
          <w:rtl/>
          <w:lang w:bidi="fa-IR"/>
        </w:rPr>
        <w:t xml:space="preserve"> فَقَالَ عَلِيُّ بْنُ يَقْطِينٍ : سَمِعْتُ</w:t>
      </w:r>
      <w:r>
        <w:rPr>
          <w:rtl/>
          <w:lang w:bidi="fa-IR"/>
        </w:rPr>
        <w:t xml:space="preserve"> - </w:t>
      </w:r>
      <w:r w:rsidRPr="00132E65">
        <w:rPr>
          <w:rtl/>
          <w:lang w:bidi="fa-IR"/>
        </w:rPr>
        <w:t>واللهِ</w:t>
      </w:r>
      <w:r>
        <w:rPr>
          <w:rtl/>
          <w:lang w:bidi="fa-IR"/>
        </w:rPr>
        <w:t xml:space="preserve"> - </w:t>
      </w:r>
      <w:r w:rsidRPr="00132E65">
        <w:rPr>
          <w:rtl/>
          <w:lang w:bidi="fa-IR"/>
        </w:rPr>
        <w:t xml:space="preserve">مِنْهُ كَمَا قُلْتُ ، فَقَالَ هِشَامٌ : أَخْبَرَكَ أَنَّ الْأَمْرَ فِيهِ مِنْ بَعْدِهِ. </w:t>
      </w:r>
      <w:r>
        <w:rPr>
          <w:rStyle w:val="libFootnotenumChar"/>
          <w:rtl/>
        </w:rPr>
        <w:t>(2)</w:t>
      </w:r>
    </w:p>
    <w:p w:rsidR="000C39D1" w:rsidRPr="00132E65" w:rsidRDefault="000C39D1" w:rsidP="000C39D1">
      <w:pPr>
        <w:pStyle w:val="libNormal"/>
        <w:rPr>
          <w:rtl/>
          <w:lang w:bidi="fa-IR"/>
        </w:rPr>
      </w:pPr>
      <w:r>
        <w:rPr>
          <w:rFonts w:hint="cs"/>
          <w:rtl/>
          <w:lang w:bidi="fa-IR"/>
        </w:rPr>
        <w:t xml:space="preserve">* </w:t>
      </w:r>
      <w:r w:rsidRPr="00132E65">
        <w:rPr>
          <w:rtl/>
          <w:lang w:bidi="fa-IR"/>
        </w:rPr>
        <w:t>أَحْمَدُ بْنُ مِهْرَانَ ، عَنْ مُحَمَّدِ بْنِ عَلِيٍّ ، عَنِ الْحُسَيْنِ بْنِ نُعَيْمٍ الصَّحَّافِ ، قَالَ : كُنْتُ عِنْدَ الْعَبْدِ الصَّالِحِ</w:t>
      </w:r>
      <w:r>
        <w:rPr>
          <w:rtl/>
          <w:lang w:bidi="fa-IR"/>
        </w:rPr>
        <w:t xml:space="preserve"> - </w:t>
      </w:r>
      <w:r w:rsidRPr="00132E65">
        <w:rPr>
          <w:rtl/>
          <w:lang w:bidi="fa-IR"/>
        </w:rPr>
        <w:t>وفِي نُسْخَةِ الصَّفْوَانِيِّ : قَالَ : كُنْتُ أَنَا</w:t>
      </w:r>
      <w:r>
        <w:rPr>
          <w:rtl/>
          <w:lang w:bidi="fa-IR"/>
        </w:rPr>
        <w:t xml:space="preserve"> - </w:t>
      </w:r>
      <w:r w:rsidRPr="00132E65">
        <w:rPr>
          <w:rtl/>
          <w:lang w:bidi="fa-IR"/>
        </w:rPr>
        <w:t>ثُمَّ ذَكَرَ مِثْلَهُ.</w:t>
      </w:r>
    </w:p>
    <w:p w:rsidR="000C39D1" w:rsidRPr="00132E65" w:rsidRDefault="000C39D1" w:rsidP="000C39D1">
      <w:pPr>
        <w:pStyle w:val="libNormal"/>
        <w:rPr>
          <w:rtl/>
          <w:lang w:bidi="fa-IR"/>
        </w:rPr>
      </w:pPr>
      <w:r w:rsidRPr="00BF5921">
        <w:rPr>
          <w:rtl/>
        </w:rPr>
        <w:t>818</w:t>
      </w:r>
      <w:r w:rsidRPr="004325D8">
        <w:rPr>
          <w:rStyle w:val="libBold2Char"/>
          <w:rtl/>
        </w:rPr>
        <w:t xml:space="preserve"> / 2.</w:t>
      </w:r>
      <w:r w:rsidRPr="00132E65">
        <w:rPr>
          <w:rtl/>
          <w:lang w:bidi="fa-IR"/>
        </w:rPr>
        <w:t xml:space="preserve"> عِدَّةٌ مِنْ أَصْحَابِنَا ، عَنْ أَحْمَدَ بْنِ مُحَمَّدٍ </w:t>
      </w:r>
      <w:r>
        <w:rPr>
          <w:rStyle w:val="libFootnotenumChar"/>
          <w:rtl/>
        </w:rPr>
        <w:t>(3)</w:t>
      </w:r>
      <w:r w:rsidRPr="00132E65">
        <w:rPr>
          <w:rtl/>
          <w:lang w:bidi="fa-IR"/>
        </w:rPr>
        <w:t xml:space="preserve"> ، عَنْ مُعَاوِيَةَ بْنِ حُكَيْمٍ</w:t>
      </w:r>
      <w:r w:rsidR="00242766">
        <w:rPr>
          <w:rtl/>
          <w:lang w:bidi="fa-IR"/>
        </w:rPr>
        <w:t xml:space="preserve"> ، عَنْ نُعَيْمٍ الْقَابُوسِيِّ</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الْحَسَنِ </w:t>
      </w:r>
      <w:r>
        <w:rPr>
          <w:rStyle w:val="libFootnotenumChar"/>
          <w:rtl/>
        </w:rPr>
        <w:t>(4)</w:t>
      </w:r>
      <w:r w:rsidRPr="00132E65">
        <w:rPr>
          <w:rtl/>
          <w:lang w:bidi="fa-IR"/>
        </w:rPr>
        <w:t xml:space="preserve"> </w:t>
      </w:r>
      <w:r w:rsidRPr="00071CF9">
        <w:rPr>
          <w:rStyle w:val="libAlaemChar"/>
          <w:rtl/>
        </w:rPr>
        <w:t>عليه‌السلام</w:t>
      </w:r>
      <w:r w:rsidRPr="00132E65">
        <w:rPr>
          <w:rtl/>
          <w:lang w:bidi="fa-IR"/>
        </w:rPr>
        <w:t xml:space="preserve"> أَنَّهُ قَالَ : « إِنَّ ابْنِي عَلِيّاً </w:t>
      </w:r>
      <w:r>
        <w:rPr>
          <w:rStyle w:val="libFootnotenumChar"/>
          <w:rtl/>
        </w:rPr>
        <w:t>(5)</w:t>
      </w:r>
      <w:r w:rsidRPr="00132E65">
        <w:rPr>
          <w:rtl/>
          <w:lang w:bidi="fa-IR"/>
        </w:rPr>
        <w:t xml:space="preserve"> أَكْبَرُ ولْدِي ، وأَبَرُّهُمْ </w:t>
      </w:r>
      <w:r>
        <w:rPr>
          <w:rStyle w:val="libFootnotenumChar"/>
          <w:rtl/>
        </w:rPr>
        <w:t>(6)</w:t>
      </w:r>
      <w:r w:rsidRPr="00132E65">
        <w:rPr>
          <w:rtl/>
          <w:lang w:bidi="fa-IR"/>
        </w:rPr>
        <w:t xml:space="preserve"> عِنْدِي </w:t>
      </w:r>
      <w:r>
        <w:rPr>
          <w:rStyle w:val="libFootnotenumChar"/>
          <w:rtl/>
        </w:rPr>
        <w:t>(7)</w:t>
      </w:r>
      <w:r w:rsidRPr="00132E65">
        <w:rPr>
          <w:rtl/>
          <w:lang w:bidi="fa-IR"/>
        </w:rPr>
        <w:t xml:space="preserve"> ،</w:t>
      </w:r>
      <w:r>
        <w:rPr>
          <w:rFonts w:hint="cs"/>
          <w:rtl/>
          <w:lang w:bidi="fa-IR"/>
        </w:rPr>
        <w:t xml:space="preserve"> </w:t>
      </w:r>
      <w:r w:rsidRPr="00132E65">
        <w:rPr>
          <w:rtl/>
          <w:lang w:bidi="fa-IR"/>
        </w:rPr>
        <w:t xml:space="preserve">وَأَحَبُّهُمْ إِلَيَّ ، وهُوَ يَنْظُرُ مَعِي فِي الْجَفْرِ ، ولَمْ يَنْظُرْ فِيهِ </w:t>
      </w:r>
      <w:r>
        <w:rPr>
          <w:rStyle w:val="libFootnotenumChar"/>
          <w:rtl/>
        </w:rPr>
        <w:t>(8)</w:t>
      </w:r>
      <w:r>
        <w:rPr>
          <w:rtl/>
          <w:lang w:bidi="fa-IR"/>
        </w:rPr>
        <w:t xml:space="preserve"> إِل</w:t>
      </w:r>
      <w:r>
        <w:rPr>
          <w:rFonts w:hint="cs"/>
          <w:rtl/>
          <w:lang w:bidi="fa-IR"/>
        </w:rPr>
        <w:t>َّ</w:t>
      </w:r>
      <w:r>
        <w:rPr>
          <w:rtl/>
          <w:lang w:bidi="fa-IR"/>
        </w:rPr>
        <w:t>ا</w:t>
      </w:r>
      <w:r w:rsidRPr="00132E65">
        <w:rPr>
          <w:rtl/>
          <w:lang w:bidi="fa-IR"/>
        </w:rPr>
        <w:t xml:space="preserve"> نَبِيٌّ أَوْ وصِيُّ نَبِيٍّ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BF5921">
        <w:rPr>
          <w:rtl/>
        </w:rPr>
        <w:t>819</w:t>
      </w:r>
      <w:r w:rsidRPr="004325D8">
        <w:rPr>
          <w:rStyle w:val="libBold2Char"/>
          <w:rtl/>
        </w:rPr>
        <w:t xml:space="preserve"> / 3.</w:t>
      </w:r>
      <w:r w:rsidRPr="00132E65">
        <w:rPr>
          <w:rtl/>
          <w:lang w:bidi="fa-IR"/>
        </w:rPr>
        <w:t xml:space="preserve"> أَحْمَدُ بْنُ مِهْرَانَ ، عَنْ مُحَمَّدِ بْنِ عَلِيٍّ ، عَنْ مُحَمَّدِ بْنِ سِنَانٍ وإِسْمَاعِيلَ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قال ابن الأثير : « وَيْحَ : كلمة ترحّم وتوجّع ، يقال لمن وقع في هَلَكَة لا يستحقّها. وقد يقال بمعنى المدح</w:t>
      </w:r>
      <w:r w:rsidR="00242766">
        <w:rPr>
          <w:rFonts w:hint="cs"/>
          <w:rtl/>
        </w:rPr>
        <w:t xml:space="preserve"> </w:t>
      </w:r>
      <w:r w:rsidRPr="00132E65">
        <w:rPr>
          <w:rtl/>
        </w:rPr>
        <w:t>‌والتعجّب »</w:t>
      </w:r>
      <w:r>
        <w:rPr>
          <w:rtl/>
        </w:rPr>
        <w:t>.</w:t>
      </w:r>
      <w:r w:rsidRPr="00132E65">
        <w:rPr>
          <w:rtl/>
        </w:rPr>
        <w:t xml:space="preserve"> </w:t>
      </w:r>
      <w:r w:rsidRPr="00BF5921">
        <w:rPr>
          <w:rtl/>
        </w:rPr>
        <w:t>النهاية</w:t>
      </w:r>
      <w:r w:rsidRPr="00132E65">
        <w:rPr>
          <w:rtl/>
        </w:rPr>
        <w:t xml:space="preserve"> ، ج 5 ، ص 235 ( ويح )</w:t>
      </w:r>
      <w:r>
        <w:rPr>
          <w:rtl/>
        </w:rPr>
        <w:t>.</w:t>
      </w:r>
    </w:p>
    <w:p w:rsidR="000C39D1" w:rsidRPr="00132E65" w:rsidRDefault="000C39D1" w:rsidP="000C39D1">
      <w:pPr>
        <w:pStyle w:val="libFootnote0"/>
        <w:rPr>
          <w:rtl/>
          <w:lang w:bidi="fa-IR"/>
        </w:rPr>
      </w:pPr>
      <w:r>
        <w:rPr>
          <w:rtl/>
        </w:rPr>
        <w:t>(2).</w:t>
      </w:r>
      <w:r w:rsidRPr="00132E65">
        <w:rPr>
          <w:rtl/>
        </w:rPr>
        <w:t xml:space="preserve"> </w:t>
      </w:r>
      <w:r w:rsidRPr="00BF5921">
        <w:rPr>
          <w:rtl/>
        </w:rPr>
        <w:t>الإرشاد</w:t>
      </w:r>
      <w:r w:rsidRPr="00132E65">
        <w:rPr>
          <w:rtl/>
        </w:rPr>
        <w:t xml:space="preserve"> ، ج 2 ، ص 249 ، بسنده عن الكليني ؛ </w:t>
      </w:r>
      <w:r w:rsidRPr="00BF5921">
        <w:rPr>
          <w:rtl/>
        </w:rPr>
        <w:t>الغيبة</w:t>
      </w:r>
      <w:r w:rsidRPr="00132E65">
        <w:rPr>
          <w:rtl/>
        </w:rPr>
        <w:t xml:space="preserve"> للطوسي ، ص 35 ، ح 11 عن الكليني. </w:t>
      </w:r>
      <w:r w:rsidRPr="00BF5921">
        <w:rPr>
          <w:rtl/>
        </w:rPr>
        <w:t>كفاية الأثر</w:t>
      </w:r>
      <w:r w:rsidRPr="00132E65">
        <w:rPr>
          <w:rtl/>
        </w:rPr>
        <w:t xml:space="preserve"> ، ص 271 ، بسنده عن أحمد بن محمّد بن عيسى ؛ </w:t>
      </w:r>
      <w:r w:rsidRPr="007A1104">
        <w:rPr>
          <w:rStyle w:val="libFootnoteBoldChar"/>
          <w:rtl/>
        </w:rPr>
        <w:t>بصائر الدرجات</w:t>
      </w:r>
      <w:r w:rsidRPr="00132E65">
        <w:rPr>
          <w:rtl/>
        </w:rPr>
        <w:t xml:space="preserve"> ، ص 164 ، ح 9 ، بسنده عن الحسن بن محبوب إلى قوله : « قد نحلته كنيتي » ؛ </w:t>
      </w:r>
      <w:r w:rsidRPr="00BF5921">
        <w:rPr>
          <w:rtl/>
        </w:rPr>
        <w:t>عيون الأخبار</w:t>
      </w:r>
      <w:r w:rsidRPr="00132E65">
        <w:rPr>
          <w:rtl/>
        </w:rPr>
        <w:t xml:space="preserve"> ، ج 1 ، ص 21 ، ح 3 ، بسنده عن الحسن بن محبوب ؛ وفي </w:t>
      </w:r>
      <w:r w:rsidRPr="007A1104">
        <w:rPr>
          <w:rStyle w:val="libFootnoteBoldChar"/>
          <w:rtl/>
        </w:rPr>
        <w:t>بصائر الدرجات</w:t>
      </w:r>
      <w:r w:rsidRPr="00132E65">
        <w:rPr>
          <w:rtl/>
        </w:rPr>
        <w:t xml:space="preserve"> ، ص 164 ، ح 7 ، بسنده عن الحسين بن نعيم الصحّاف ، مع اختلاف ؛ وفي </w:t>
      </w:r>
      <w:r w:rsidRPr="00BF5921">
        <w:rPr>
          <w:rtl/>
        </w:rPr>
        <w:t>عيون الأخبار</w:t>
      </w:r>
      <w:r w:rsidRPr="00132E65">
        <w:rPr>
          <w:rtl/>
        </w:rPr>
        <w:t xml:space="preserve"> ، ج 1 ، ص 21 ، ح 2 ، بسنده عن عليّ بن يقطين ، مع اختلاف</w:t>
      </w:r>
      <w:r>
        <w:rPr>
          <w:rFonts w:hint="cs"/>
          <w:rtl/>
        </w:rPr>
        <w:t>.</w:t>
      </w:r>
      <w:r w:rsidRPr="009D1ACE">
        <w:rPr>
          <w:rStyle w:val="libFootnoteBoldChar"/>
          <w:rtl/>
        </w:rPr>
        <w:t>الوافي</w:t>
      </w:r>
      <w:r w:rsidRPr="00132E65">
        <w:rPr>
          <w:rtl/>
        </w:rPr>
        <w:t xml:space="preserve"> ، ج 2 ، ص 361 ، ح 842.</w:t>
      </w:r>
    </w:p>
    <w:p w:rsidR="000C39D1" w:rsidRPr="00132E65" w:rsidRDefault="000C39D1" w:rsidP="000C39D1">
      <w:pPr>
        <w:pStyle w:val="libFootnote0"/>
        <w:rPr>
          <w:rtl/>
          <w:lang w:bidi="fa-IR"/>
        </w:rPr>
      </w:pPr>
      <w:r>
        <w:rPr>
          <w:rtl/>
        </w:rPr>
        <w:t>(3).</w:t>
      </w:r>
      <w:r w:rsidRPr="00132E65">
        <w:rPr>
          <w:rtl/>
        </w:rPr>
        <w:t xml:space="preserve"> في الإرشاد والغيبة :</w:t>
      </w:r>
      <w:r>
        <w:rPr>
          <w:rtl/>
        </w:rPr>
        <w:t xml:space="preserve"> + </w:t>
      </w:r>
      <w:r w:rsidRPr="00132E65">
        <w:rPr>
          <w:rtl/>
        </w:rPr>
        <w:t>« بن عيسى »</w:t>
      </w:r>
      <w:r>
        <w:rPr>
          <w:rtl/>
        </w:rPr>
        <w:t>.</w:t>
      </w:r>
    </w:p>
    <w:p w:rsidR="000C39D1" w:rsidRPr="00132E65" w:rsidRDefault="000C39D1" w:rsidP="000C39D1">
      <w:pPr>
        <w:pStyle w:val="libFootnote0"/>
        <w:rPr>
          <w:rtl/>
          <w:lang w:bidi="fa-IR"/>
        </w:rPr>
      </w:pPr>
      <w:r>
        <w:rPr>
          <w:rtl/>
        </w:rPr>
        <w:t>(4).</w:t>
      </w:r>
      <w:r w:rsidRPr="00132E65">
        <w:rPr>
          <w:rtl/>
        </w:rPr>
        <w:t xml:space="preserve"> في الإرشاد والغيبة :</w:t>
      </w:r>
      <w:r>
        <w:rPr>
          <w:rtl/>
        </w:rPr>
        <w:t xml:space="preserve"> + </w:t>
      </w:r>
      <w:r w:rsidRPr="00132E65">
        <w:rPr>
          <w:rtl/>
        </w:rPr>
        <w:t>« موسى »</w:t>
      </w:r>
      <w:r>
        <w:rPr>
          <w:rtl/>
        </w:rPr>
        <w:t>.</w:t>
      </w:r>
    </w:p>
    <w:p w:rsidR="000C39D1" w:rsidRPr="00132E65" w:rsidRDefault="000C39D1" w:rsidP="000C39D1">
      <w:pPr>
        <w:pStyle w:val="libFootnote0"/>
        <w:rPr>
          <w:rtl/>
          <w:lang w:bidi="fa-IR"/>
        </w:rPr>
      </w:pPr>
      <w:r>
        <w:rPr>
          <w:rtl/>
        </w:rPr>
        <w:t>(5).</w:t>
      </w:r>
      <w:r w:rsidRPr="00132E65">
        <w:rPr>
          <w:rtl/>
        </w:rPr>
        <w:t xml:space="preserve"> في « ج ، ه‍ ، بر ، بس ، بف » و</w:t>
      </w:r>
      <w:r w:rsidRPr="009D1ACE">
        <w:rPr>
          <w:rStyle w:val="libFootnoteBoldChar"/>
          <w:rtl/>
        </w:rPr>
        <w:t>مرآة العقول</w:t>
      </w:r>
      <w:r w:rsidRPr="00132E65">
        <w:rPr>
          <w:rtl/>
        </w:rPr>
        <w:t xml:space="preserve"> : « عليّ »</w:t>
      </w:r>
      <w:r>
        <w:rPr>
          <w:rtl/>
        </w:rPr>
        <w:t>.</w:t>
      </w:r>
    </w:p>
    <w:p w:rsidR="000C39D1" w:rsidRPr="00132E65" w:rsidRDefault="000C39D1" w:rsidP="000C39D1">
      <w:pPr>
        <w:pStyle w:val="libFootnote0"/>
        <w:rPr>
          <w:rtl/>
          <w:lang w:bidi="fa-IR"/>
        </w:rPr>
      </w:pPr>
      <w:r>
        <w:rPr>
          <w:rtl/>
        </w:rPr>
        <w:t>(6).</w:t>
      </w:r>
      <w:r w:rsidRPr="00132E65">
        <w:rPr>
          <w:rtl/>
        </w:rPr>
        <w:t xml:space="preserve"> في حاشية « ف » والإرشاد والغيبة : « وآثرهم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w:t>
            </w:r>
            <w:r w:rsidRPr="009D1ACE">
              <w:rPr>
                <w:rStyle w:val="libFootnoteBoldChar"/>
                <w:rtl/>
              </w:rPr>
              <w:t>مرآة العقول</w:t>
            </w:r>
            <w:r w:rsidRPr="00132E65">
              <w:rPr>
                <w:rtl/>
              </w:rPr>
              <w:t xml:space="preserve"> : « بي »</w:t>
            </w:r>
            <w:r>
              <w:rPr>
                <w:rtl/>
              </w:rPr>
              <w:t>.</w:t>
            </w:r>
          </w:p>
        </w:tc>
        <w:tc>
          <w:tcPr>
            <w:tcW w:w="4006" w:type="dxa"/>
          </w:tcPr>
          <w:p w:rsidR="000C39D1" w:rsidRDefault="000C39D1" w:rsidP="00B53873">
            <w:pPr>
              <w:pStyle w:val="libFootnote0"/>
              <w:rPr>
                <w:rtl/>
              </w:rPr>
            </w:pPr>
            <w:r>
              <w:rPr>
                <w:rtl/>
              </w:rPr>
              <w:t>(8).</w:t>
            </w:r>
            <w:r w:rsidRPr="00132E65">
              <w:rPr>
                <w:rtl/>
              </w:rPr>
              <w:t xml:space="preserve"> في « ب » : « إليه »</w:t>
            </w:r>
            <w:r>
              <w:rPr>
                <w:rtl/>
              </w:rPr>
              <w:t>.</w:t>
            </w:r>
          </w:p>
        </w:tc>
      </w:tr>
    </w:tbl>
    <w:p w:rsidR="000C39D1" w:rsidRPr="00132E65" w:rsidRDefault="000C39D1" w:rsidP="000C39D1">
      <w:pPr>
        <w:pStyle w:val="libFootnote0"/>
        <w:rPr>
          <w:rtl/>
          <w:lang w:bidi="fa-IR"/>
        </w:rPr>
      </w:pPr>
      <w:r>
        <w:rPr>
          <w:rtl/>
        </w:rPr>
        <w:t>(9).</w:t>
      </w:r>
      <w:r w:rsidRPr="00132E65">
        <w:rPr>
          <w:rtl/>
        </w:rPr>
        <w:t xml:space="preserve"> </w:t>
      </w:r>
      <w:r w:rsidRPr="00BF5921">
        <w:rPr>
          <w:rtl/>
        </w:rPr>
        <w:t>الإرشاد</w:t>
      </w:r>
      <w:r w:rsidRPr="00132E65">
        <w:rPr>
          <w:rtl/>
        </w:rPr>
        <w:t xml:space="preserve"> ، ج 2 ، ص 249 ، بسنده عن الكليني ؛ </w:t>
      </w:r>
      <w:r w:rsidRPr="00BF5921">
        <w:rPr>
          <w:rtl/>
        </w:rPr>
        <w:t>الغيبة</w:t>
      </w:r>
      <w:r w:rsidRPr="00132E65">
        <w:rPr>
          <w:rtl/>
        </w:rPr>
        <w:t xml:space="preserve"> للطوسي ، ص 36 ، ح 12 عن الكليني. وفي </w:t>
      </w:r>
      <w:r w:rsidRPr="007A1104">
        <w:rPr>
          <w:rStyle w:val="libFootnoteBoldChar"/>
          <w:rtl/>
        </w:rPr>
        <w:t>بصائر الدرجات</w:t>
      </w:r>
      <w:r w:rsidRPr="00132E65">
        <w:rPr>
          <w:rtl/>
        </w:rPr>
        <w:t xml:space="preserve"> ، ص 158 ، ح 24 ؛ و</w:t>
      </w:r>
      <w:r w:rsidRPr="00BF5921">
        <w:rPr>
          <w:rtl/>
        </w:rPr>
        <w:t>عيون الأخبار</w:t>
      </w:r>
      <w:r w:rsidRPr="00132E65">
        <w:rPr>
          <w:rtl/>
        </w:rPr>
        <w:t xml:space="preserve"> ، ج 1 ، ص 31 ، ح 27 ، بسندهما عن نعيم بن قابوس ، مع اختلاف يسير</w:t>
      </w:r>
      <w:r>
        <w:rPr>
          <w:rFonts w:hint="cs"/>
          <w:rtl/>
        </w:rPr>
        <w:t>.</w:t>
      </w:r>
      <w:r w:rsidRPr="009D1ACE">
        <w:rPr>
          <w:rStyle w:val="libFootnoteBoldChar"/>
          <w:rtl/>
        </w:rPr>
        <w:t>الوافي</w:t>
      </w:r>
      <w:r w:rsidRPr="00132E65">
        <w:rPr>
          <w:rtl/>
        </w:rPr>
        <w:t xml:space="preserve"> ، ج 2 ، ص 360 ، ح 840.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عَبَّادٍ </w:t>
      </w:r>
      <w:r>
        <w:rPr>
          <w:rStyle w:val="libFootnotenumChar"/>
          <w:rtl/>
        </w:rPr>
        <w:t>(1)</w:t>
      </w:r>
      <w:r w:rsidRPr="00132E65">
        <w:rPr>
          <w:rtl/>
          <w:lang w:bidi="fa-IR"/>
        </w:rPr>
        <w:t xml:space="preserve"> الْقَصْرِيِّ جَمِيعاً ، عَنْ دَاوُدَ الرَّقِّيِّ ، قَالَ :</w:t>
      </w:r>
    </w:p>
    <w:p w:rsidR="000C39D1" w:rsidRPr="00132E65" w:rsidRDefault="000C39D1" w:rsidP="000C39D1">
      <w:pPr>
        <w:pStyle w:val="libNormal"/>
        <w:rPr>
          <w:rtl/>
          <w:lang w:bidi="fa-IR"/>
        </w:rPr>
      </w:pPr>
      <w:r w:rsidRPr="00132E65">
        <w:rPr>
          <w:rtl/>
          <w:lang w:bidi="fa-IR"/>
        </w:rPr>
        <w:t xml:space="preserve">قُلْتُ لِأَبِي إِبْرَاهِيمَ </w:t>
      </w:r>
      <w:r w:rsidRPr="00071CF9">
        <w:rPr>
          <w:rStyle w:val="libAlaemChar"/>
          <w:rtl/>
        </w:rPr>
        <w:t>عليه‌السلام</w:t>
      </w:r>
      <w:r w:rsidRPr="00132E65">
        <w:rPr>
          <w:rtl/>
          <w:lang w:bidi="fa-IR"/>
        </w:rPr>
        <w:t xml:space="preserve"> : جُعِلْتُ فِدَاكَ ، إِنِّي قَدْ كَبِرَ </w:t>
      </w:r>
      <w:r>
        <w:rPr>
          <w:rStyle w:val="libFootnotenumChar"/>
          <w:rtl/>
        </w:rPr>
        <w:t>(2)</w:t>
      </w:r>
      <w:r w:rsidRPr="00132E65">
        <w:rPr>
          <w:rtl/>
          <w:lang w:bidi="fa-IR"/>
        </w:rPr>
        <w:t xml:space="preserve"> سِنِّي ، فَخُذْ بِيَدِي مِنَ النَّارِ </w:t>
      </w:r>
      <w:r>
        <w:rPr>
          <w:rStyle w:val="libFootnotenumChar"/>
          <w:rtl/>
        </w:rPr>
        <w:t>(3)</w:t>
      </w:r>
    </w:p>
    <w:p w:rsidR="000C39D1" w:rsidRPr="00132E65" w:rsidRDefault="000C39D1" w:rsidP="000C39D1">
      <w:pPr>
        <w:pStyle w:val="libNormal"/>
        <w:rPr>
          <w:rtl/>
          <w:lang w:bidi="fa-IR"/>
        </w:rPr>
      </w:pPr>
      <w:r w:rsidRPr="00132E65">
        <w:rPr>
          <w:rtl/>
          <w:lang w:bidi="fa-IR"/>
        </w:rPr>
        <w:t xml:space="preserve">قَالَ : فَأَشَارَ إِلَى ابْنِهِ أَبِي الْحَسَنِ </w:t>
      </w:r>
      <w:r w:rsidRPr="00071CF9">
        <w:rPr>
          <w:rStyle w:val="libAlaemChar"/>
          <w:rtl/>
        </w:rPr>
        <w:t>عليه‌السلام</w:t>
      </w:r>
      <w:r w:rsidRPr="00132E65">
        <w:rPr>
          <w:rtl/>
          <w:lang w:bidi="fa-IR"/>
        </w:rPr>
        <w:t xml:space="preserve"> ، فَقَالَ : « هذَا صَاحِبُكُمْ مِنْ بَعْدِي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BF5921">
        <w:rPr>
          <w:rtl/>
        </w:rPr>
        <w:t>820</w:t>
      </w:r>
      <w:r w:rsidRPr="004325D8">
        <w:rPr>
          <w:rStyle w:val="libBold2Char"/>
          <w:rtl/>
        </w:rPr>
        <w:t xml:space="preserve"> / 4.</w:t>
      </w:r>
      <w:r w:rsidRPr="00132E65">
        <w:rPr>
          <w:rtl/>
          <w:lang w:bidi="fa-IR"/>
        </w:rPr>
        <w:t xml:space="preserve"> الْحُسَيْنُ بْنُ مُحَمَّدٍ ، عَنْ مُعَلَّى بْنِ مُحَمَّدٍ ، عَنْ أَحْمَدَ بْنِ مُحَمَّدِ بْنِ عَبْدِ اللهِ ، عَنِ الْحَسَنِ </w:t>
      </w:r>
      <w:r>
        <w:rPr>
          <w:rStyle w:val="libFootnotenumChar"/>
          <w:rtl/>
        </w:rPr>
        <w:t>(5)</w:t>
      </w:r>
      <w:r w:rsidRPr="00132E65">
        <w:rPr>
          <w:rtl/>
          <w:lang w:bidi="fa-IR"/>
        </w:rPr>
        <w:t xml:space="preserve"> ، عَنِ ابْنِ أَبِي عُمَيْرٍ ، عَنْ مُحَمَّدِ بْنِ إِسْحَاقَ </w:t>
      </w:r>
      <w:r>
        <w:rPr>
          <w:rStyle w:val="libFootnotenumChar"/>
          <w:rtl/>
        </w:rPr>
        <w:t>(6)</w:t>
      </w:r>
      <w:r w:rsidRPr="00132E65">
        <w:rPr>
          <w:rtl/>
          <w:lang w:bidi="fa-IR"/>
        </w:rPr>
        <w:t xml:space="preserve"> بْنِ عَمَّارٍ ، قَالَ :</w:t>
      </w:r>
    </w:p>
    <w:p w:rsidR="000C39D1" w:rsidRPr="00132E65" w:rsidRDefault="000C39D1" w:rsidP="000C39D1">
      <w:pPr>
        <w:pStyle w:val="libNormal"/>
        <w:rPr>
          <w:rtl/>
          <w:lang w:bidi="fa-IR"/>
        </w:rPr>
      </w:pPr>
      <w:r w:rsidRPr="00132E65">
        <w:rPr>
          <w:rtl/>
          <w:lang w:bidi="fa-IR"/>
        </w:rPr>
        <w:t xml:space="preserve">قُلْتُ لِأَبِي الْحَسَنِ الْأَوَّلِ </w:t>
      </w:r>
      <w:r w:rsidRPr="00071CF9">
        <w:rPr>
          <w:rStyle w:val="libAlaemChar"/>
          <w:rtl/>
        </w:rPr>
        <w:t>عليه‌السلام</w:t>
      </w:r>
      <w:r>
        <w:rPr>
          <w:rtl/>
          <w:lang w:bidi="fa-IR"/>
        </w:rPr>
        <w:t xml:space="preserve"> : أَ</w:t>
      </w:r>
      <w:r w:rsidRPr="00132E65">
        <w:rPr>
          <w:rtl/>
          <w:lang w:bidi="fa-IR"/>
        </w:rPr>
        <w:t xml:space="preserve">لَاتَدُلُّنِي إِلى </w:t>
      </w:r>
      <w:r>
        <w:rPr>
          <w:rStyle w:val="libFootnotenumChar"/>
          <w:rtl/>
        </w:rPr>
        <w:t>(7)</w:t>
      </w:r>
      <w:r w:rsidRPr="00132E65">
        <w:rPr>
          <w:rtl/>
          <w:lang w:bidi="fa-IR"/>
        </w:rPr>
        <w:t xml:space="preserve"> مَنْ آخُذُ عَنْهُ دِينِي</w:t>
      </w:r>
      <w:r>
        <w:rPr>
          <w:rtl/>
          <w:lang w:bidi="fa-IR"/>
        </w:rPr>
        <w:t>؟</w:t>
      </w:r>
    </w:p>
    <w:p w:rsidR="000C39D1" w:rsidRPr="00132E65" w:rsidRDefault="000C39D1" w:rsidP="000C39D1">
      <w:pPr>
        <w:pStyle w:val="libNormal"/>
        <w:rPr>
          <w:rtl/>
          <w:lang w:bidi="fa-IR"/>
        </w:rPr>
      </w:pPr>
      <w:r w:rsidRPr="00132E65">
        <w:rPr>
          <w:rtl/>
          <w:lang w:bidi="fa-IR"/>
        </w:rPr>
        <w:t xml:space="preserve">فَقَالَ : « هذَا ابْنِي عَلِيٌّ ؛ إِنَّ أَبِي أَخَذَ بِيَدِي ، فَأَدْخَلَنِي إِلى قَبْرِ رَسُولِ اللهِ </w:t>
      </w:r>
      <w:r w:rsidRPr="00071CF9">
        <w:rPr>
          <w:rStyle w:val="libAlaemChar"/>
          <w:rtl/>
        </w:rPr>
        <w:t>صلى‌الله‌عليه‌وآله</w:t>
      </w:r>
      <w:r w:rsidRPr="00132E65">
        <w:rPr>
          <w:rtl/>
          <w:lang w:bidi="fa-IR"/>
        </w:rPr>
        <w:t xml:space="preserve"> ، فَقَالَ : يَا بُنَيَّ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قَالَ : </w:t>
      </w:r>
      <w:r w:rsidRPr="00071CF9">
        <w:rPr>
          <w:rStyle w:val="libAlaemChar"/>
          <w:rtl/>
        </w:rPr>
        <w:t>(</w:t>
      </w:r>
      <w:r w:rsidRPr="00071CF9">
        <w:rPr>
          <w:rStyle w:val="libAieChar"/>
          <w:rtl/>
        </w:rPr>
        <w:t xml:space="preserve"> إِنِّي جاعِلٌ فِي الْأَرْضِ خَلِيفَةً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وإِنَّ اللهَ</w:t>
      </w:r>
      <w:r>
        <w:rPr>
          <w:rtl/>
          <w:lang w:bidi="fa-IR"/>
        </w:rPr>
        <w:t xml:space="preserve"> - </w:t>
      </w:r>
      <w:r w:rsidRPr="00132E65">
        <w:rPr>
          <w:rtl/>
          <w:lang w:bidi="fa-IR"/>
        </w:rPr>
        <w:t>عَزَّ وَجَلَّ</w:t>
      </w:r>
      <w:r>
        <w:rPr>
          <w:rtl/>
          <w:lang w:bidi="fa-IR"/>
        </w:rPr>
        <w:t xml:space="preserve"> - </w:t>
      </w:r>
      <w:r w:rsidRPr="00132E65">
        <w:rPr>
          <w:rtl/>
          <w:lang w:bidi="fa-IR"/>
        </w:rPr>
        <w:t>إِذَا قَالَ قَوْلاً ، وفى بِهِ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BF5921">
        <w:rPr>
          <w:rtl/>
        </w:rPr>
        <w:t>821</w:t>
      </w:r>
      <w:r w:rsidRPr="004325D8">
        <w:rPr>
          <w:rStyle w:val="libBold2Char"/>
          <w:rtl/>
        </w:rPr>
        <w:t xml:space="preserve"> / 5.</w:t>
      </w:r>
      <w:r w:rsidRPr="00132E65">
        <w:rPr>
          <w:rtl/>
          <w:lang w:bidi="fa-IR"/>
        </w:rPr>
        <w:t xml:space="preserve"> أَحْمَدُ بْنُ إِدْرِيسَ ، عَنْ مُحَمَّدِ بْنِ عَبْدِ الْجَبَّارِ ، عَنِ الْحَسَنِ بْنِ الْحُسَيْنِ اللُّؤْلُؤِيِّ ، عَنْ يَحْيَى بْنِ عَمْرٍو ، عَنْ دَاوُدَ الرَّقِّيِّ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BF5921">
        <w:rPr>
          <w:rtl/>
        </w:rPr>
        <w:t>الإرشاد</w:t>
      </w:r>
      <w:r w:rsidRPr="00132E65">
        <w:rPr>
          <w:rtl/>
        </w:rPr>
        <w:t xml:space="preserve"> : « غياث » والمذكور في </w:t>
      </w:r>
      <w:r w:rsidRPr="00BF5921">
        <w:rPr>
          <w:rtl/>
        </w:rPr>
        <w:t xml:space="preserve">رجال البرقي </w:t>
      </w:r>
      <w:r w:rsidRPr="00132E65">
        <w:rPr>
          <w:rtl/>
        </w:rPr>
        <w:t>، ص 54 ، و</w:t>
      </w:r>
      <w:r w:rsidRPr="00BF5921">
        <w:rPr>
          <w:rtl/>
        </w:rPr>
        <w:t>رجال الطوسي</w:t>
      </w:r>
      <w:r w:rsidRPr="00132E65">
        <w:rPr>
          <w:rtl/>
        </w:rPr>
        <w:t xml:space="preserve"> ، ص 352 ، الرقم 5207 ، هو إسماعيل بن عباد القصري.</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وكفاية الأثر والإرشاد : « قد كبرت »</w:t>
      </w:r>
      <w:r>
        <w:rPr>
          <w:rtl/>
        </w:rPr>
        <w:t>.</w:t>
      </w:r>
    </w:p>
    <w:p w:rsidR="000C39D1" w:rsidRPr="00132E65" w:rsidRDefault="000C39D1" w:rsidP="000C39D1">
      <w:pPr>
        <w:pStyle w:val="libFootnote0"/>
        <w:rPr>
          <w:rtl/>
          <w:lang w:bidi="fa-IR"/>
        </w:rPr>
      </w:pPr>
      <w:r>
        <w:rPr>
          <w:rtl/>
        </w:rPr>
        <w:t>(3).</w:t>
      </w:r>
      <w:r w:rsidRPr="00132E65">
        <w:rPr>
          <w:rtl/>
        </w:rPr>
        <w:t xml:space="preserve"> في الإرشاد والغيبة : « فخذ بيدي وأنقذني من النار ، من صاحبنا بعدك</w:t>
      </w:r>
      <w:r>
        <w:rPr>
          <w:rtl/>
        </w:rPr>
        <w:t>؟</w:t>
      </w:r>
      <w:r w:rsidRPr="00132E65">
        <w:rPr>
          <w:rtl/>
        </w:rPr>
        <w:t xml:space="preserve"> »</w:t>
      </w:r>
      <w:r>
        <w:rPr>
          <w:rtl/>
        </w:rPr>
        <w:t>.</w:t>
      </w:r>
    </w:p>
    <w:p w:rsidR="000C39D1" w:rsidRPr="00132E65" w:rsidRDefault="000C39D1" w:rsidP="000C39D1">
      <w:pPr>
        <w:pStyle w:val="libFootnote0"/>
        <w:rPr>
          <w:rtl/>
          <w:lang w:bidi="fa-IR"/>
        </w:rPr>
      </w:pPr>
      <w:r>
        <w:rPr>
          <w:rtl/>
        </w:rPr>
        <w:t>(4).</w:t>
      </w:r>
      <w:r w:rsidRPr="00132E65">
        <w:rPr>
          <w:rtl/>
        </w:rPr>
        <w:t xml:space="preserve"> </w:t>
      </w:r>
      <w:r w:rsidRPr="00BF5921">
        <w:rPr>
          <w:rtl/>
        </w:rPr>
        <w:t>الإرشاد</w:t>
      </w:r>
      <w:r w:rsidRPr="00132E65">
        <w:rPr>
          <w:rtl/>
        </w:rPr>
        <w:t xml:space="preserve"> ، ج 2 ، ص 248 ، بسنده عن الكليني ؛ </w:t>
      </w:r>
      <w:r w:rsidRPr="00BF5921">
        <w:rPr>
          <w:rtl/>
        </w:rPr>
        <w:t>الغيبة</w:t>
      </w:r>
      <w:r w:rsidRPr="00132E65">
        <w:rPr>
          <w:rtl/>
        </w:rPr>
        <w:t xml:space="preserve"> للطوسي ، ص 34 ، ح 9 ، عن الكليني. وفي </w:t>
      </w:r>
      <w:r w:rsidRPr="00BF5921">
        <w:rPr>
          <w:rtl/>
        </w:rPr>
        <w:t>عيون الأخبار</w:t>
      </w:r>
      <w:r w:rsidRPr="00132E65">
        <w:rPr>
          <w:rtl/>
        </w:rPr>
        <w:t xml:space="preserve"> ، ج 1 ، ص 23 ، ح 7 ؛ و</w:t>
      </w:r>
      <w:r w:rsidRPr="00BF5921">
        <w:rPr>
          <w:rtl/>
        </w:rPr>
        <w:t>كفاية الأثر</w:t>
      </w:r>
      <w:r w:rsidRPr="00132E65">
        <w:rPr>
          <w:rtl/>
        </w:rPr>
        <w:t xml:space="preserve"> ، ص 272 ، بسندهما عن محمّد بن سنان ، مع اختلاف يسير</w:t>
      </w:r>
      <w:r>
        <w:rPr>
          <w:rFonts w:hint="cs"/>
          <w:rtl/>
        </w:rPr>
        <w:t>.</w:t>
      </w:r>
      <w:r w:rsidRPr="009D1ACE">
        <w:rPr>
          <w:rStyle w:val="libFootnoteBoldChar"/>
          <w:rtl/>
        </w:rPr>
        <w:t>الوافي</w:t>
      </w:r>
      <w:r w:rsidRPr="00132E65">
        <w:rPr>
          <w:rtl/>
        </w:rPr>
        <w:t xml:space="preserve"> ، ج 2 ، ص 358 ، ح 832.</w:t>
      </w:r>
      <w:r>
        <w:rPr>
          <w:rFonts w:hint="cs"/>
          <w:rtl/>
        </w:rPr>
        <w:t xml:space="preserve">          </w:t>
      </w:r>
      <w:r w:rsidR="00242766">
        <w:rPr>
          <w:rFonts w:hint="cs"/>
          <w:rtl/>
        </w:rPr>
        <w:t xml:space="preserve">                       </w:t>
      </w:r>
      <w:r>
        <w:rPr>
          <w:rFonts w:hint="cs"/>
          <w:rtl/>
        </w:rPr>
        <w:t xml:space="preserve">     </w:t>
      </w:r>
      <w:r>
        <w:rPr>
          <w:rtl/>
        </w:rPr>
        <w:t>(5).</w:t>
      </w:r>
      <w:r w:rsidRPr="00132E65">
        <w:rPr>
          <w:rtl/>
        </w:rPr>
        <w:t xml:space="preserve"> في « ف » : « الحسين »</w:t>
      </w:r>
      <w:r>
        <w:rPr>
          <w:rtl/>
        </w:rPr>
        <w:t>.</w:t>
      </w:r>
      <w:r w:rsidRPr="00132E65">
        <w:rPr>
          <w:rtl/>
        </w:rPr>
        <w:t xml:space="preserve"> والرجل مجهول لم نعرفه.</w:t>
      </w:r>
    </w:p>
    <w:p w:rsidR="000C39D1" w:rsidRPr="00132E65" w:rsidRDefault="000C39D1" w:rsidP="000C39D1">
      <w:pPr>
        <w:pStyle w:val="libFootnote0"/>
        <w:rPr>
          <w:rtl/>
          <w:lang w:bidi="fa-IR"/>
        </w:rPr>
      </w:pPr>
      <w:r>
        <w:rPr>
          <w:rtl/>
        </w:rPr>
        <w:t>(6).</w:t>
      </w:r>
      <w:r w:rsidRPr="00132E65">
        <w:rPr>
          <w:rtl/>
        </w:rPr>
        <w:t xml:space="preserve"> في « ب » </w:t>
      </w:r>
      <w:r>
        <w:rPr>
          <w:rtl/>
        </w:rPr>
        <w:t xml:space="preserve">: - </w:t>
      </w:r>
      <w:r w:rsidRPr="00132E65">
        <w:rPr>
          <w:rtl/>
        </w:rPr>
        <w:t>« بن إسحاق »</w:t>
      </w:r>
      <w:r>
        <w:rPr>
          <w:rtl/>
        </w:rPr>
        <w:t>.</w:t>
      </w:r>
      <w:r w:rsidRPr="00132E65">
        <w:rPr>
          <w:rtl/>
        </w:rPr>
        <w:t xml:space="preserve"> ومحمّد هذا ، هو محمّد بن إسحاق بن عمّار الصيرفي ، روى عنه ابن أبي عمير في بعض الأسناد ، راجع : </w:t>
      </w:r>
      <w:r w:rsidRPr="00BF5921">
        <w:rPr>
          <w:rtl/>
        </w:rPr>
        <w:t>رجال النجاشي</w:t>
      </w:r>
      <w:r w:rsidRPr="00132E65">
        <w:rPr>
          <w:rtl/>
        </w:rPr>
        <w:t xml:space="preserve"> ، ص 361 ، الرقم 968 ؛ </w:t>
      </w:r>
      <w:r w:rsidRPr="00BF5921">
        <w:rPr>
          <w:rtl/>
        </w:rPr>
        <w:t>معجم رجال الحديث</w:t>
      </w:r>
      <w:r w:rsidRPr="00132E65">
        <w:rPr>
          <w:rtl/>
        </w:rPr>
        <w:t xml:space="preserve"> ، ج 15 ، ص 337</w:t>
      </w:r>
      <w:r>
        <w:rPr>
          <w:rtl/>
        </w:rPr>
        <w:t xml:space="preserve"> - </w:t>
      </w:r>
      <w:r w:rsidRPr="00132E65">
        <w:rPr>
          <w:rtl/>
        </w:rPr>
        <w:t>338. فيحتمل في نسخة « ب » وقوع السقط أو نسبته إلى الجدّ على بُعدٍ.</w:t>
      </w:r>
    </w:p>
    <w:p w:rsidR="000C39D1" w:rsidRPr="00132E65" w:rsidRDefault="000C39D1" w:rsidP="000C39D1">
      <w:pPr>
        <w:pStyle w:val="libFootnote0"/>
        <w:rPr>
          <w:rtl/>
          <w:lang w:bidi="fa-IR"/>
        </w:rPr>
      </w:pPr>
      <w:r>
        <w:rPr>
          <w:rtl/>
        </w:rPr>
        <w:t>(7).</w:t>
      </w:r>
      <w:r w:rsidRPr="00132E65">
        <w:rPr>
          <w:rtl/>
        </w:rPr>
        <w:t xml:space="preserve"> في « ب ، ج » وحاشية « ف ، بر » والإرشاد والغيبة : « على »</w:t>
      </w:r>
      <w:r>
        <w:rPr>
          <w:rtl/>
        </w:rPr>
        <w:t>.</w:t>
      </w:r>
    </w:p>
    <w:p w:rsidR="000C39D1" w:rsidRPr="00132E65" w:rsidRDefault="000C39D1" w:rsidP="000C39D1">
      <w:pPr>
        <w:pStyle w:val="libFootnote0"/>
        <w:rPr>
          <w:rtl/>
          <w:lang w:bidi="fa-IR"/>
        </w:rPr>
      </w:pPr>
      <w:r>
        <w:rPr>
          <w:rtl/>
        </w:rPr>
        <w:t>(8).</w:t>
      </w:r>
      <w:r w:rsidRPr="00132E65">
        <w:rPr>
          <w:rtl/>
        </w:rPr>
        <w:t xml:space="preserve"> البقرة </w:t>
      </w:r>
      <w:r>
        <w:rPr>
          <w:rtl/>
        </w:rPr>
        <w:t>(2)</w:t>
      </w:r>
      <w:r w:rsidRPr="00132E65">
        <w:rPr>
          <w:rtl/>
        </w:rPr>
        <w:t xml:space="preserve"> : 30.</w:t>
      </w:r>
    </w:p>
    <w:p w:rsidR="000C39D1" w:rsidRPr="00132E65" w:rsidRDefault="000C39D1" w:rsidP="000C39D1">
      <w:pPr>
        <w:pStyle w:val="libFootnote0"/>
        <w:rPr>
          <w:rtl/>
          <w:lang w:bidi="fa-IR"/>
        </w:rPr>
      </w:pPr>
      <w:r>
        <w:rPr>
          <w:rtl/>
        </w:rPr>
        <w:t>(9).</w:t>
      </w:r>
      <w:r w:rsidRPr="00132E65">
        <w:rPr>
          <w:rtl/>
        </w:rPr>
        <w:t xml:space="preserve"> </w:t>
      </w:r>
      <w:r w:rsidRPr="00BF5921">
        <w:rPr>
          <w:rtl/>
        </w:rPr>
        <w:t>الإرشاد</w:t>
      </w:r>
      <w:r w:rsidRPr="00132E65">
        <w:rPr>
          <w:rtl/>
        </w:rPr>
        <w:t xml:space="preserve"> ، ج 2 ، ص 248 ، بسنده عن الكليني ؛ </w:t>
      </w:r>
      <w:r w:rsidRPr="00BF5921">
        <w:rPr>
          <w:rtl/>
        </w:rPr>
        <w:t>الغيبة</w:t>
      </w:r>
      <w:r w:rsidRPr="00132E65">
        <w:rPr>
          <w:rtl/>
        </w:rPr>
        <w:t xml:space="preserve"> للطوسي ، ص 34 ، ح 10 ، عن الكليني</w:t>
      </w:r>
      <w:r>
        <w:rPr>
          <w:rFonts w:hint="cs"/>
          <w:rtl/>
        </w:rPr>
        <w:t>.</w:t>
      </w:r>
      <w:r w:rsidRPr="009D1ACE">
        <w:rPr>
          <w:rStyle w:val="libFootnoteBoldChar"/>
          <w:rtl/>
        </w:rPr>
        <w:t>الوافي</w:t>
      </w:r>
      <w:r w:rsidRPr="00132E65">
        <w:rPr>
          <w:rtl/>
        </w:rPr>
        <w:t xml:space="preserve"> ، ج 2 ، ص 360 ، ح 841.</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لِأَبِي الْحَسَنِ مُوسى </w:t>
      </w:r>
      <w:r w:rsidRPr="00071CF9">
        <w:rPr>
          <w:rStyle w:val="libAlaemChar"/>
          <w:rtl/>
        </w:rPr>
        <w:t>عليه‌السلام</w:t>
      </w:r>
      <w:r w:rsidRPr="00132E65">
        <w:rPr>
          <w:rtl/>
          <w:lang w:bidi="fa-IR"/>
        </w:rPr>
        <w:t xml:space="preserve"> : إِنِّي قَدْ كَبِرَتْ سِنِّي ، ودَقَّ عَظْمِي ، وإِنِّي سَأَلْتُ أَبَاكَ </w:t>
      </w:r>
      <w:r w:rsidRPr="00071CF9">
        <w:rPr>
          <w:rStyle w:val="libAlaemChar"/>
          <w:rtl/>
        </w:rPr>
        <w:t>عليه‌السلام</w:t>
      </w:r>
      <w:r w:rsidRPr="00132E65">
        <w:rPr>
          <w:rtl/>
          <w:lang w:bidi="fa-IR"/>
        </w:rPr>
        <w:t xml:space="preserve"> ، فَأَخْبَرَنِي بِكَ ، فَأَخْبِرْنِي مَنْ بَعْدَكَ </w:t>
      </w:r>
      <w:r>
        <w:rPr>
          <w:rStyle w:val="libFootnotenumChar"/>
          <w:rtl/>
        </w:rPr>
        <w:t>(1)</w:t>
      </w:r>
      <w:r>
        <w:rPr>
          <w:rtl/>
          <w:lang w:bidi="fa-IR"/>
        </w:rPr>
        <w:t>؟</w:t>
      </w:r>
    </w:p>
    <w:p w:rsidR="000C39D1" w:rsidRPr="00132E65" w:rsidRDefault="000C39D1" w:rsidP="000C39D1">
      <w:pPr>
        <w:pStyle w:val="libNormal"/>
        <w:rPr>
          <w:rtl/>
          <w:lang w:bidi="fa-IR"/>
        </w:rPr>
      </w:pPr>
      <w:r w:rsidRPr="00132E65">
        <w:rPr>
          <w:rtl/>
          <w:lang w:bidi="fa-IR"/>
        </w:rPr>
        <w:t>فَقَالَ : « هذَا أَبُو الْحَسَنِ الرِّضَا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BF5921">
        <w:rPr>
          <w:rtl/>
        </w:rPr>
        <w:t>822</w:t>
      </w:r>
      <w:r w:rsidRPr="004325D8">
        <w:rPr>
          <w:rStyle w:val="libBold2Char"/>
          <w:rtl/>
        </w:rPr>
        <w:t xml:space="preserve"> / 6.</w:t>
      </w:r>
      <w:r w:rsidRPr="00132E65">
        <w:rPr>
          <w:rtl/>
          <w:lang w:bidi="fa-IR"/>
        </w:rPr>
        <w:t xml:space="preserve"> أَحْمَدُ بْنُ مِهْرَانَ ، عَنْ مُحَمَّدِ بْنِ عَلِيٍّ ، عَنْ زِيَادِ بْنِ مَرْوَانَ الْقَنْدِيِّ</w:t>
      </w:r>
      <w:r>
        <w:rPr>
          <w:rtl/>
          <w:lang w:bidi="fa-IR"/>
        </w:rPr>
        <w:t xml:space="preserve"> - </w:t>
      </w:r>
      <w:r w:rsidRPr="00132E65">
        <w:rPr>
          <w:rtl/>
          <w:lang w:bidi="fa-IR"/>
        </w:rPr>
        <w:t>وكَانَ مِنَ الْوَاقِفَةِ</w:t>
      </w:r>
      <w:r>
        <w:rPr>
          <w:rtl/>
          <w:lang w:bidi="fa-IR"/>
        </w:rPr>
        <w:t xml:space="preserve"> - </w:t>
      </w:r>
      <w:r w:rsidRPr="00132E65">
        <w:rPr>
          <w:rtl/>
          <w:lang w:bidi="fa-IR"/>
        </w:rPr>
        <w:t>قَالَ :</w:t>
      </w:r>
    </w:p>
    <w:p w:rsidR="000C39D1" w:rsidRPr="00132E65" w:rsidRDefault="000C39D1" w:rsidP="00242766">
      <w:pPr>
        <w:pStyle w:val="libNormal"/>
        <w:rPr>
          <w:rtl/>
          <w:lang w:bidi="fa-IR"/>
        </w:rPr>
      </w:pPr>
      <w:r w:rsidRPr="00132E65">
        <w:rPr>
          <w:rtl/>
          <w:lang w:bidi="fa-IR"/>
        </w:rPr>
        <w:t xml:space="preserve">دَخَلْتُ عَلى أَبِي إِبْرَاهِيمَ </w:t>
      </w:r>
      <w:r w:rsidRPr="00071CF9">
        <w:rPr>
          <w:rStyle w:val="libAlaemChar"/>
          <w:rtl/>
        </w:rPr>
        <w:t>عليه‌السلام</w:t>
      </w:r>
      <w:r w:rsidRPr="00132E65">
        <w:rPr>
          <w:rtl/>
          <w:lang w:bidi="fa-IR"/>
        </w:rPr>
        <w:t xml:space="preserve"> وعِنْدَهُ ابْنُهُ </w:t>
      </w:r>
      <w:r>
        <w:rPr>
          <w:rStyle w:val="libFootnotenumChar"/>
          <w:rtl/>
        </w:rPr>
        <w:t>(3)</w:t>
      </w:r>
      <w:r w:rsidRPr="00132E65">
        <w:rPr>
          <w:rtl/>
          <w:lang w:bidi="fa-IR"/>
        </w:rPr>
        <w:t xml:space="preserve"> أَبُو الْحَسَنِ </w:t>
      </w:r>
      <w:r w:rsidR="00242766" w:rsidRPr="00071CF9">
        <w:rPr>
          <w:rStyle w:val="libAlaemChar"/>
          <w:rtl/>
        </w:rPr>
        <w:t>عليه‌السلام</w:t>
      </w:r>
      <w:r w:rsidR="00242766" w:rsidRPr="00132E65">
        <w:rPr>
          <w:rtl/>
          <w:lang w:bidi="fa-IR"/>
        </w:rPr>
        <w:t xml:space="preserve"> </w:t>
      </w:r>
      <w:r w:rsidRPr="00132E65">
        <w:rPr>
          <w:rtl/>
          <w:lang w:bidi="fa-IR"/>
        </w:rPr>
        <w:t xml:space="preserve">، فَقَالَ لِي </w:t>
      </w:r>
      <w:r>
        <w:rPr>
          <w:rStyle w:val="libFootnotenumChar"/>
          <w:rtl/>
        </w:rPr>
        <w:t>(4)</w:t>
      </w:r>
      <w:r w:rsidRPr="00132E65">
        <w:rPr>
          <w:rtl/>
          <w:lang w:bidi="fa-IR"/>
        </w:rPr>
        <w:t xml:space="preserve"> : « يَا زِيَادُ ، هذَا ابْنِي فُلَانٌ ، كِتَابُهُ كِتَابِي </w:t>
      </w:r>
      <w:r>
        <w:rPr>
          <w:rStyle w:val="libFootnotenumChar"/>
          <w:rtl/>
        </w:rPr>
        <w:t>(5)</w:t>
      </w:r>
      <w:r w:rsidRPr="00132E65">
        <w:rPr>
          <w:rtl/>
          <w:lang w:bidi="fa-IR"/>
        </w:rPr>
        <w:t xml:space="preserve"> ، وكَلَامُهُ كَلَامِي ، ورَسُولُهُ رَسُولِي ، ومَا قَالَ فَالْقَوْلُ قَوْلُهُ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BF5921">
        <w:rPr>
          <w:rtl/>
        </w:rPr>
        <w:t>823</w:t>
      </w:r>
      <w:r w:rsidRPr="004325D8">
        <w:rPr>
          <w:rStyle w:val="libBold2Char"/>
          <w:rtl/>
        </w:rPr>
        <w:t xml:space="preserve"> / 7.</w:t>
      </w:r>
      <w:r w:rsidRPr="00132E65">
        <w:rPr>
          <w:rtl/>
          <w:lang w:bidi="fa-IR"/>
        </w:rPr>
        <w:t xml:space="preserve"> أَحْمَدُ بْنُ مِهْرَانَ ، عَنْ مُحَمَّدِ بْنِ عَلِيٍّ ، عَنْ مُحَمَّدِ بْنِ الْفُضَيْلِ </w:t>
      </w:r>
      <w:r>
        <w:rPr>
          <w:rStyle w:val="libFootnotenumChar"/>
          <w:rtl/>
        </w:rPr>
        <w:t>(7)</w:t>
      </w:r>
      <w:r w:rsidRPr="00132E65">
        <w:rPr>
          <w:rtl/>
          <w:lang w:bidi="fa-IR"/>
        </w:rPr>
        <w:t xml:space="preserve"> ، قَالَ : حَدَّثَنِي الْمَخْزُومِيُّ</w:t>
      </w:r>
      <w:r>
        <w:rPr>
          <w:rtl/>
          <w:lang w:bidi="fa-IR"/>
        </w:rPr>
        <w:t xml:space="preserve"> - </w:t>
      </w:r>
      <w:r w:rsidRPr="00132E65">
        <w:rPr>
          <w:rtl/>
          <w:lang w:bidi="fa-IR"/>
        </w:rPr>
        <w:t xml:space="preserve">وكَانَتْ أُمُّهُ مِنْ ولْدِ جَعْفَرِ بْنِ أَبِي طَالِبٍ </w:t>
      </w:r>
      <w:r w:rsidRPr="00071CF9">
        <w:rPr>
          <w:rStyle w:val="libAlaemChar"/>
          <w:rtl/>
        </w:rPr>
        <w:t>عليه‌السلام</w:t>
      </w:r>
      <w:r>
        <w:rPr>
          <w:rtl/>
          <w:lang w:bidi="fa-IR"/>
        </w:rPr>
        <w:t xml:space="preserve"> - </w:t>
      </w:r>
      <w:r w:rsidRPr="00132E65">
        <w:rPr>
          <w:rtl/>
          <w:lang w:bidi="fa-IR"/>
        </w:rPr>
        <w:t>قَالَ :</w:t>
      </w:r>
    </w:p>
    <w:p w:rsidR="000C39D1" w:rsidRPr="00132E65" w:rsidRDefault="000C39D1" w:rsidP="000C39D1">
      <w:pPr>
        <w:pStyle w:val="libNormal"/>
        <w:rPr>
          <w:rtl/>
          <w:lang w:bidi="fa-IR"/>
        </w:rPr>
      </w:pPr>
      <w:r w:rsidRPr="00132E65">
        <w:rPr>
          <w:rtl/>
          <w:lang w:bidi="fa-IR"/>
        </w:rPr>
        <w:t xml:space="preserve">بَعَثَ إِلَيْنَا أَبُو الْحَسَنِ مُوسى </w:t>
      </w:r>
      <w:r w:rsidRPr="00071CF9">
        <w:rPr>
          <w:rStyle w:val="libAlaemChar"/>
          <w:rtl/>
        </w:rPr>
        <w:t>عليه‌السلام</w:t>
      </w:r>
      <w:r w:rsidRPr="00132E65">
        <w:rPr>
          <w:rtl/>
          <w:lang w:bidi="fa-IR"/>
        </w:rPr>
        <w:t xml:space="preserve"> ، فَجَمَع</w:t>
      </w:r>
      <w:r>
        <w:rPr>
          <w:rtl/>
          <w:lang w:bidi="fa-IR"/>
        </w:rPr>
        <w:t>َنَا ، ثُمَّ قَالَ لَنَا : « أَ</w:t>
      </w:r>
      <w:r w:rsidRPr="00132E65">
        <w:rPr>
          <w:rtl/>
          <w:lang w:bidi="fa-IR"/>
        </w:rPr>
        <w:t xml:space="preserve">تَدْرُونَ لِمَ دَعَوْتُكُمْ </w:t>
      </w:r>
      <w:r>
        <w:rPr>
          <w:rStyle w:val="libFootnotenumChar"/>
          <w:rtl/>
        </w:rPr>
        <w:t>(8)</w:t>
      </w:r>
      <w:r>
        <w:rPr>
          <w:rtl/>
          <w:lang w:bidi="fa-IR"/>
        </w:rPr>
        <w:t>؟</w:t>
      </w:r>
      <w:r w:rsidRPr="00132E65">
        <w:rPr>
          <w:rtl/>
          <w:lang w:bidi="fa-IR"/>
        </w:rPr>
        <w:t xml:space="preserve"> » فَقُلْنَا : لَا ، فَقَالَ : « اشْهَدُوا أَنَّ ابْنِي هذَا وصِيِّي ، والْقَيِّمُ بِأَمْرِي ، وخَلِيفَتِي مِنْ بَعْدِي ، مَنْ كَانَ لَهُ عِنْدِي دَيْنٌ ، فَلْيَأْخُذْهُ مِنِ ابْنِي هذَا ؛ ومَنْ كَانَتْ لَهُ عِنْدِي عِدَةٌ ، فَلْيُنْجِزْهَا </w:t>
      </w:r>
      <w:r>
        <w:rPr>
          <w:rStyle w:val="libFootnotenumChar"/>
          <w:rtl/>
        </w:rPr>
        <w:t>(9)</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بر ، بف » و</w:t>
      </w:r>
      <w:r w:rsidRPr="009D1ACE">
        <w:rPr>
          <w:rStyle w:val="libFootnoteBoldChar"/>
          <w:rtl/>
        </w:rPr>
        <w:t>الوافي</w:t>
      </w:r>
      <w:r w:rsidRPr="00132E65">
        <w:rPr>
          <w:rtl/>
        </w:rPr>
        <w:t xml:space="preserve"> </w:t>
      </w:r>
      <w:r>
        <w:rPr>
          <w:rtl/>
        </w:rPr>
        <w:t xml:space="preserve">: - </w:t>
      </w:r>
      <w:r w:rsidRPr="00132E65">
        <w:rPr>
          <w:rtl/>
        </w:rPr>
        <w:t>« من بعدك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2 ، ص 358 ، ح 831.</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بس » </w:t>
            </w:r>
            <w:r>
              <w:rPr>
                <w:rtl/>
              </w:rPr>
              <w:t xml:space="preserve">: - </w:t>
            </w:r>
            <w:r w:rsidRPr="00132E65">
              <w:rPr>
                <w:rtl/>
              </w:rPr>
              <w:t>« ابنه »</w:t>
            </w:r>
            <w:r>
              <w:rPr>
                <w:rtl/>
              </w:rPr>
              <w:t>.</w:t>
            </w:r>
          </w:p>
        </w:tc>
        <w:tc>
          <w:tcPr>
            <w:tcW w:w="4006" w:type="dxa"/>
          </w:tcPr>
          <w:p w:rsidR="000C39D1" w:rsidRDefault="000C39D1" w:rsidP="00B53873">
            <w:pPr>
              <w:pStyle w:val="libFootnote0"/>
              <w:rPr>
                <w:rtl/>
              </w:rPr>
            </w:pPr>
            <w:r>
              <w:rPr>
                <w:rtl/>
              </w:rPr>
              <w:t>(4).</w:t>
            </w:r>
            <w:r w:rsidRPr="00132E65">
              <w:rPr>
                <w:rtl/>
              </w:rPr>
              <w:t xml:space="preserve"> في « ف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(5).</w:t>
      </w:r>
      <w:r w:rsidRPr="00132E65">
        <w:rPr>
          <w:rtl/>
        </w:rPr>
        <w:t xml:space="preserve"> في الغيبة : « هذا ابني عليّ ، إنّ كتابه كتابي »</w:t>
      </w:r>
      <w:r>
        <w:rPr>
          <w:rtl/>
        </w:rPr>
        <w:t>.</w:t>
      </w:r>
    </w:p>
    <w:p w:rsidR="000C39D1" w:rsidRPr="00132E65" w:rsidRDefault="000C39D1" w:rsidP="000C39D1">
      <w:pPr>
        <w:pStyle w:val="libFootnote0"/>
        <w:rPr>
          <w:rtl/>
          <w:lang w:bidi="fa-IR"/>
        </w:rPr>
      </w:pPr>
      <w:r>
        <w:rPr>
          <w:rtl/>
        </w:rPr>
        <w:t>(6).</w:t>
      </w:r>
      <w:r w:rsidRPr="00132E65">
        <w:rPr>
          <w:rtl/>
        </w:rPr>
        <w:t xml:space="preserve"> </w:t>
      </w:r>
      <w:r w:rsidRPr="00BF5921">
        <w:rPr>
          <w:rtl/>
        </w:rPr>
        <w:t>الإرشاد</w:t>
      </w:r>
      <w:r w:rsidRPr="00132E65">
        <w:rPr>
          <w:rtl/>
        </w:rPr>
        <w:t xml:space="preserve"> ، ج 2 ، ص 250 ، بسنده عن الكليني ؛ </w:t>
      </w:r>
      <w:r w:rsidRPr="00BF5921">
        <w:rPr>
          <w:rtl/>
        </w:rPr>
        <w:t>الغيبة</w:t>
      </w:r>
      <w:r w:rsidRPr="00132E65">
        <w:rPr>
          <w:rtl/>
        </w:rPr>
        <w:t xml:space="preserve"> للطوسي ، ص 37 ، ح 14 ، عن الكليني. </w:t>
      </w:r>
      <w:r w:rsidRPr="00BF5921">
        <w:rPr>
          <w:rtl/>
        </w:rPr>
        <w:t>عيون الأخبار</w:t>
      </w:r>
      <w:r w:rsidRPr="00132E65">
        <w:rPr>
          <w:rtl/>
        </w:rPr>
        <w:t xml:space="preserve"> ، ج 1 ، ص 31 ، ح 25 ، بسنده عن زياد بن مروان القندي</w:t>
      </w:r>
      <w:r>
        <w:rPr>
          <w:rFonts w:hint="cs"/>
          <w:rtl/>
        </w:rPr>
        <w:t>.</w:t>
      </w:r>
      <w:r w:rsidRPr="009D1ACE">
        <w:rPr>
          <w:rStyle w:val="libFootnoteBoldChar"/>
          <w:rtl/>
        </w:rPr>
        <w:t>الوافي</w:t>
      </w:r>
      <w:r w:rsidRPr="00132E65">
        <w:rPr>
          <w:rtl/>
        </w:rPr>
        <w:t xml:space="preserve"> ، ج 2 ، ص 359 ، ح 836.</w:t>
      </w:r>
    </w:p>
    <w:p w:rsidR="000C39D1" w:rsidRPr="00132E65" w:rsidRDefault="000C39D1" w:rsidP="000C39D1">
      <w:pPr>
        <w:pStyle w:val="libFootnote0"/>
        <w:rPr>
          <w:rtl/>
          <w:lang w:bidi="fa-IR"/>
        </w:rPr>
      </w:pPr>
      <w:r>
        <w:rPr>
          <w:rtl/>
        </w:rPr>
        <w:t>(7).</w:t>
      </w:r>
      <w:r w:rsidRPr="00132E65">
        <w:rPr>
          <w:rtl/>
        </w:rPr>
        <w:t xml:space="preserve"> في الغيبة : « الفضل »</w:t>
      </w:r>
      <w:r>
        <w:rPr>
          <w:rtl/>
        </w:rPr>
        <w:t>.</w:t>
      </w:r>
      <w:r w:rsidRPr="00132E65">
        <w:rPr>
          <w:rtl/>
        </w:rPr>
        <w:t xml:space="preserve"> وهو سهو ، والمتكرّر في الأسناد رواية محمّد بن عليّ عن محمّد بن الفضيل. راجع : </w:t>
      </w:r>
      <w:r w:rsidRPr="00BF5921">
        <w:rPr>
          <w:rtl/>
        </w:rPr>
        <w:t>معجم رجال الحديث</w:t>
      </w:r>
      <w:r w:rsidRPr="00132E65">
        <w:rPr>
          <w:rtl/>
        </w:rPr>
        <w:t xml:space="preserve"> ، ج 16 ، ص 449.</w:t>
      </w:r>
      <w:r>
        <w:rPr>
          <w:rFonts w:hint="cs"/>
          <w:rtl/>
        </w:rPr>
        <w:t xml:space="preserve">            </w:t>
      </w:r>
      <w:r w:rsidR="00242766">
        <w:rPr>
          <w:rFonts w:hint="cs"/>
          <w:rtl/>
        </w:rPr>
        <w:t xml:space="preserve">          </w:t>
      </w:r>
      <w:r>
        <w:rPr>
          <w:rFonts w:hint="cs"/>
          <w:rtl/>
        </w:rPr>
        <w:t xml:space="preserve">     </w:t>
      </w:r>
      <w:r>
        <w:rPr>
          <w:rtl/>
        </w:rPr>
        <w:t>(8).</w:t>
      </w:r>
      <w:r w:rsidRPr="00132E65">
        <w:rPr>
          <w:rtl/>
        </w:rPr>
        <w:t xml:space="preserve"> في العيون والإرشاد والغيبة : « جمعتكم »</w:t>
      </w:r>
      <w:r>
        <w:rPr>
          <w:rtl/>
        </w:rPr>
        <w:t>.</w:t>
      </w:r>
    </w:p>
    <w:p w:rsidR="000C39D1" w:rsidRPr="00132E65" w:rsidRDefault="000C39D1" w:rsidP="000C39D1">
      <w:pPr>
        <w:pStyle w:val="libFootnote0"/>
        <w:rPr>
          <w:rtl/>
          <w:lang w:bidi="fa-IR"/>
        </w:rPr>
      </w:pPr>
      <w:r>
        <w:rPr>
          <w:rtl/>
        </w:rPr>
        <w:t>(9).</w:t>
      </w:r>
      <w:r w:rsidRPr="00132E65">
        <w:rPr>
          <w:rtl/>
        </w:rPr>
        <w:t xml:space="preserve"> في « ج » وحاشية « ض » و</w:t>
      </w:r>
      <w:r w:rsidRPr="009D1ACE">
        <w:rPr>
          <w:rStyle w:val="libFootnoteBoldChar"/>
          <w:rtl/>
        </w:rPr>
        <w:t>الوافي</w:t>
      </w:r>
      <w:r w:rsidRPr="00132E65">
        <w:rPr>
          <w:rtl/>
        </w:rPr>
        <w:t xml:space="preserve"> والإرشاد والغيبة : « فليتنجّزها »</w:t>
      </w:r>
      <w:r>
        <w:rPr>
          <w:rtl/>
        </w:rPr>
        <w:t>.</w:t>
      </w:r>
      <w:r w:rsidRPr="00132E65">
        <w:rPr>
          <w:rtl/>
        </w:rPr>
        <w:t xml:space="preserve"> وفي العيون : « فليستنجزها »</w:t>
      </w:r>
      <w:r>
        <w:rPr>
          <w:rtl/>
        </w:rPr>
        <w:t>.</w:t>
      </w:r>
      <w:r w:rsidRPr="00132E65">
        <w:rPr>
          <w:rtl/>
        </w:rPr>
        <w:t xml:space="preserve"> </w:t>
      </w:r>
      <w:r>
        <w:rPr>
          <w:rtl/>
        </w:rPr>
        <w:t>و «</w:t>
      </w:r>
      <w:r w:rsidRPr="00132E65">
        <w:rPr>
          <w:rtl/>
        </w:rPr>
        <w:t xml:space="preserve"> إنجازُالوَعْد » : قضاؤُه والوفاء به والتعجيل فيه. قرأ المازندراني والمجلسي : فليتنجّزها ، حيث قالا : تنجّز الوعدَ واستنجزه : طلب إنجازه والوفاء به. راجع : </w:t>
      </w:r>
      <w:r w:rsidRPr="00BF5921">
        <w:rPr>
          <w:rtl/>
        </w:rPr>
        <w:t>المصباح المنير</w:t>
      </w:r>
      <w:r w:rsidRPr="00132E65">
        <w:rPr>
          <w:rtl/>
        </w:rPr>
        <w:t xml:space="preserve"> ، ص 594 ؛ </w:t>
      </w:r>
      <w:r w:rsidRPr="00BF5921">
        <w:rPr>
          <w:rtl/>
        </w:rPr>
        <w:t>القاموس المحيط</w:t>
      </w:r>
      <w:r w:rsidRPr="00132E65">
        <w:rPr>
          <w:rtl/>
        </w:rPr>
        <w:t xml:space="preserve"> ، ج 1 ، ص 724 ( نجز ) ؛ </w:t>
      </w:r>
      <w:r w:rsidRPr="00BF5921">
        <w:rPr>
          <w:rtl/>
        </w:rPr>
        <w:t>شرح المازندراني</w:t>
      </w:r>
      <w:r w:rsidRPr="00132E65">
        <w:rPr>
          <w:rtl/>
        </w:rPr>
        <w:t xml:space="preserve"> ، ج 6 ، ص 168 ؛ </w:t>
      </w:r>
      <w:r w:rsidRPr="009D1ACE">
        <w:rPr>
          <w:rStyle w:val="libFootnoteBoldChar"/>
          <w:rtl/>
        </w:rPr>
        <w:t>مرآة العقول</w:t>
      </w:r>
      <w:r w:rsidRPr="00132E65">
        <w:rPr>
          <w:rtl/>
        </w:rPr>
        <w:t xml:space="preserve"> ، ج 3 ، ص 344.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مِنْهُ ؛ ومَنْ لَمْ يَكُنْ لَهُ بُدٌّ مِنْ ل</w:t>
      </w:r>
      <w:r>
        <w:rPr>
          <w:rtl/>
          <w:lang w:bidi="fa-IR"/>
        </w:rPr>
        <w:t>ِقَائِي ، فَلَا يَلْقَنِي إِل</w:t>
      </w:r>
      <w:r>
        <w:rPr>
          <w:rFonts w:hint="cs"/>
          <w:rtl/>
          <w:lang w:bidi="fa-IR"/>
        </w:rPr>
        <w:t>َّ</w:t>
      </w:r>
      <w:r>
        <w:rPr>
          <w:rtl/>
          <w:lang w:bidi="fa-IR"/>
        </w:rPr>
        <w:t>ا</w:t>
      </w:r>
      <w:r w:rsidRPr="00132E65">
        <w:rPr>
          <w:rtl/>
          <w:lang w:bidi="fa-IR"/>
        </w:rPr>
        <w:t xml:space="preserve"> بِكِتَابِهِ »</w:t>
      </w:r>
      <w:r>
        <w:rPr>
          <w:rtl/>
          <w:lang w:bidi="fa-IR"/>
        </w:rPr>
        <w:t>.</w:t>
      </w:r>
      <w:r w:rsidRPr="00132E65">
        <w:rPr>
          <w:rtl/>
          <w:lang w:bidi="fa-IR"/>
        </w:rPr>
        <w:t xml:space="preserve"> </w:t>
      </w:r>
      <w:r>
        <w:rPr>
          <w:rStyle w:val="libFootnotenumChar"/>
          <w:rtl/>
        </w:rPr>
        <w:t>(1)</w:t>
      </w:r>
    </w:p>
    <w:p w:rsidR="000C39D1" w:rsidRPr="00132E65" w:rsidRDefault="000C39D1" w:rsidP="000C39D1">
      <w:pPr>
        <w:pStyle w:val="libNormal"/>
        <w:rPr>
          <w:rtl/>
          <w:lang w:bidi="fa-IR"/>
        </w:rPr>
      </w:pPr>
      <w:r w:rsidRPr="00BF5921">
        <w:rPr>
          <w:rtl/>
        </w:rPr>
        <w:t>824</w:t>
      </w:r>
      <w:r w:rsidRPr="004325D8">
        <w:rPr>
          <w:rStyle w:val="libBold2Char"/>
          <w:rtl/>
        </w:rPr>
        <w:t xml:space="preserve"> / 8.</w:t>
      </w:r>
      <w:r w:rsidRPr="00132E65">
        <w:rPr>
          <w:rtl/>
          <w:lang w:bidi="fa-IR"/>
        </w:rPr>
        <w:t xml:space="preserve"> أَحْمَدُ بْنُ مِهْرَانَ ، عَنْ مُحَمَّدِ بْنِ عَلِيٍّ ، عَنْ مُحَمَّدِ بْنِ سِنَانٍ وعَلِيِّ بْنِ الْحَكَمِ جَمِيعاً ، عَنِ الْحُسَيْنِ بْنِ الْمُخْتَارِ ، قَالَ :</w:t>
      </w:r>
    </w:p>
    <w:p w:rsidR="000C39D1" w:rsidRPr="00132E65" w:rsidRDefault="000C39D1" w:rsidP="000C39D1">
      <w:pPr>
        <w:pStyle w:val="libNormal"/>
        <w:rPr>
          <w:rtl/>
          <w:lang w:bidi="fa-IR"/>
        </w:rPr>
      </w:pPr>
      <w:r w:rsidRPr="00132E65">
        <w:rPr>
          <w:rtl/>
          <w:lang w:bidi="fa-IR"/>
        </w:rPr>
        <w:t xml:space="preserve">خَرَجَتْ </w:t>
      </w:r>
      <w:r>
        <w:rPr>
          <w:rStyle w:val="libFootnotenumChar"/>
          <w:rtl/>
        </w:rPr>
        <w:t>(2)</w:t>
      </w:r>
      <w:r w:rsidRPr="00132E65">
        <w:rPr>
          <w:rtl/>
          <w:lang w:bidi="fa-IR"/>
        </w:rPr>
        <w:t xml:space="preserve"> إِلَيْنَا أَلْوَاحٌ مِنْ </w:t>
      </w:r>
      <w:r>
        <w:rPr>
          <w:rStyle w:val="libFootnotenumChar"/>
          <w:rtl/>
        </w:rPr>
        <w:t>(3)</w:t>
      </w:r>
      <w:r w:rsidRPr="00132E65">
        <w:rPr>
          <w:rtl/>
          <w:lang w:bidi="fa-IR"/>
        </w:rPr>
        <w:t xml:space="preserve"> أَبِي الْحَسَنِ </w:t>
      </w:r>
      <w:r w:rsidRPr="00071CF9">
        <w:rPr>
          <w:rStyle w:val="libAlaemChar"/>
          <w:rtl/>
        </w:rPr>
        <w:t>عليه‌السلام</w:t>
      </w:r>
      <w:r w:rsidRPr="00132E65">
        <w:rPr>
          <w:rtl/>
          <w:lang w:bidi="fa-IR"/>
        </w:rPr>
        <w:t xml:space="preserve"> وهُوَ فِي الْحَبْسِ : « عَهْدِي إِلى أَكْبَرِ ولْدِي </w:t>
      </w:r>
      <w:r>
        <w:rPr>
          <w:rStyle w:val="libFootnotenumChar"/>
          <w:rtl/>
        </w:rPr>
        <w:t>(4)</w:t>
      </w:r>
      <w:r w:rsidRPr="00132E65">
        <w:rPr>
          <w:rtl/>
          <w:lang w:bidi="fa-IR"/>
        </w:rPr>
        <w:t xml:space="preserve"> أَنْ يَفْعَلَ كَذَا ، وأَنْ يَفْعَلَ كَذَا ، وفُلَانٌ لَاتُنِلْهُ شَيْئاً حَتّى أَلْقَاكَ ، أَوْ يَقْضِيَ اللهُ عَلَيَّ الْمَوْتَ »</w:t>
      </w:r>
      <w:r>
        <w:rPr>
          <w:rtl/>
          <w:lang w:bidi="fa-IR"/>
        </w:rPr>
        <w:t>.</w:t>
      </w:r>
      <w:r w:rsidRPr="00132E65">
        <w:rPr>
          <w:rtl/>
          <w:lang w:bidi="fa-IR"/>
        </w:rPr>
        <w:t xml:space="preserve"> </w:t>
      </w:r>
      <w:r>
        <w:rPr>
          <w:rStyle w:val="libFootnotenumChar"/>
          <w:rtl/>
        </w:rPr>
        <w:t>(5)</w:t>
      </w:r>
      <w:r w:rsidRPr="00132E65">
        <w:rPr>
          <w:rtl/>
          <w:lang w:bidi="fa-IR"/>
        </w:rPr>
        <w:t>‌</w:t>
      </w:r>
    </w:p>
    <w:p w:rsidR="000C39D1" w:rsidRPr="00132E65" w:rsidRDefault="000C39D1" w:rsidP="000C39D1">
      <w:pPr>
        <w:pStyle w:val="libNormal"/>
        <w:rPr>
          <w:rtl/>
          <w:lang w:bidi="fa-IR"/>
        </w:rPr>
      </w:pPr>
      <w:r w:rsidRPr="00BF5921">
        <w:rPr>
          <w:rtl/>
        </w:rPr>
        <w:t>825</w:t>
      </w:r>
      <w:r w:rsidRPr="004325D8">
        <w:rPr>
          <w:rStyle w:val="libBold2Char"/>
          <w:rtl/>
        </w:rPr>
        <w:t xml:space="preserve"> / 9.</w:t>
      </w:r>
      <w:r w:rsidRPr="00132E65">
        <w:rPr>
          <w:rtl/>
          <w:lang w:bidi="fa-IR"/>
        </w:rPr>
        <w:t xml:space="preserve"> عِدَّةٌ مِنْ أَصْحَابِنَا ، عَنْ أَحْمَدَ بْنِ مُحَمَّدٍ ، عَنْ عَلِيِّ بْنِ الْحَكَمِ ، عَنْ عَبْدِ اللهِ بْنِ الْمُغِيرَةِ ، عَنِ الْحُسَيْنِ بْنِ الْمُخْتَارِ ، قَالَ :</w:t>
      </w:r>
    </w:p>
    <w:p w:rsidR="000C39D1" w:rsidRPr="00132E65" w:rsidRDefault="000C39D1" w:rsidP="000C39D1">
      <w:pPr>
        <w:pStyle w:val="libNormal"/>
        <w:rPr>
          <w:rtl/>
          <w:lang w:bidi="fa-IR"/>
        </w:rPr>
      </w:pPr>
      <w:r w:rsidRPr="00132E65">
        <w:rPr>
          <w:rtl/>
          <w:lang w:bidi="fa-IR"/>
        </w:rPr>
        <w:t xml:space="preserve">خَرَجَ إِلَيْنَا مِنْ أَبِي الْحَسَنِ </w:t>
      </w:r>
      <w:r w:rsidRPr="00071CF9">
        <w:rPr>
          <w:rStyle w:val="libAlaemChar"/>
          <w:rtl/>
        </w:rPr>
        <w:t>عليه‌السلام</w:t>
      </w:r>
      <w:r w:rsidRPr="00132E65">
        <w:rPr>
          <w:rtl/>
          <w:lang w:bidi="fa-IR"/>
        </w:rPr>
        <w:t xml:space="preserve"> بِالْبَصْرَةِ أَلْوَاحٌ مَكْتُوبٌ فِيهَا بِالْعَرْضِ </w:t>
      </w:r>
      <w:r>
        <w:rPr>
          <w:rStyle w:val="libFootnotenumChar"/>
          <w:rtl/>
        </w:rPr>
        <w:t>(6)</w:t>
      </w:r>
      <w:r w:rsidRPr="00132E65">
        <w:rPr>
          <w:rtl/>
          <w:lang w:bidi="fa-IR"/>
        </w:rPr>
        <w:t xml:space="preserve"> : « عَهْدِي إِلى أَكْبَرِ ولْدِي </w:t>
      </w:r>
      <w:r>
        <w:rPr>
          <w:rStyle w:val="libFootnotenumChar"/>
          <w:rtl/>
        </w:rPr>
        <w:t>(7)</w:t>
      </w:r>
      <w:r w:rsidRPr="00132E65">
        <w:rPr>
          <w:rtl/>
          <w:lang w:bidi="fa-IR"/>
        </w:rPr>
        <w:t xml:space="preserve"> : يُعْطى فُلَانٌ كَذَا ، وفُلَانٌ كَذَا ، وفُلَانٌ كَذَا </w:t>
      </w:r>
      <w:r>
        <w:rPr>
          <w:rStyle w:val="libFootnotenumChar"/>
          <w:rtl/>
        </w:rPr>
        <w:t>(8)</w:t>
      </w:r>
      <w:r w:rsidRPr="00132E65">
        <w:rPr>
          <w:rtl/>
          <w:lang w:bidi="fa-IR"/>
        </w:rPr>
        <w:t xml:space="preserve"> ، وفُلَانٌ لَايُعْطى حَتّى أَجِي‌ءَ ، أَوْ يَقْضِيَ اللهُ</w:t>
      </w:r>
      <w:r>
        <w:rPr>
          <w:rtl/>
          <w:lang w:bidi="fa-IR"/>
        </w:rPr>
        <w:t xml:space="preserve"> - </w:t>
      </w:r>
      <w:r w:rsidRPr="00132E65">
        <w:rPr>
          <w:rtl/>
          <w:lang w:bidi="fa-IR"/>
        </w:rPr>
        <w:t>عَزَّ وجَلَّ</w:t>
      </w:r>
      <w:r>
        <w:rPr>
          <w:rtl/>
          <w:lang w:bidi="fa-IR"/>
        </w:rPr>
        <w:t xml:space="preserve"> - </w:t>
      </w:r>
      <w:r w:rsidRPr="00132E65">
        <w:rPr>
          <w:rtl/>
          <w:lang w:bidi="fa-IR"/>
        </w:rPr>
        <w:t xml:space="preserve">عَلَيَّ الْمَوْتَ </w:t>
      </w:r>
      <w:r>
        <w:rPr>
          <w:rStyle w:val="libFootnotenumChar"/>
          <w:rtl/>
        </w:rPr>
        <w:t>(9)</w:t>
      </w:r>
      <w:r w:rsidRPr="00132E65">
        <w:rPr>
          <w:rtl/>
          <w:lang w:bidi="fa-IR"/>
        </w:rPr>
        <w:t xml:space="preserve"> ؛ إِنَّ اللهَ يَفْعَلُ مَا يَشَاءُ »</w:t>
      </w:r>
      <w:r>
        <w:rPr>
          <w:rtl/>
          <w:lang w:bidi="fa-IR"/>
        </w:rPr>
        <w:t>.</w:t>
      </w:r>
      <w:r w:rsidRPr="00132E65">
        <w:rPr>
          <w:rtl/>
          <w:lang w:bidi="fa-IR"/>
        </w:rPr>
        <w:t xml:space="preserve"> </w:t>
      </w:r>
      <w:r>
        <w:rPr>
          <w:rStyle w:val="libFootnotenumChar"/>
          <w:rtl/>
        </w:rPr>
        <w:t>(10)</w:t>
      </w:r>
    </w:p>
    <w:p w:rsidR="000C39D1" w:rsidRPr="00132E65" w:rsidRDefault="000C39D1" w:rsidP="000C39D1">
      <w:pPr>
        <w:pStyle w:val="libNormal"/>
        <w:rPr>
          <w:rtl/>
          <w:lang w:bidi="fa-IR"/>
        </w:rPr>
      </w:pPr>
      <w:r w:rsidRPr="00BF5921">
        <w:rPr>
          <w:rtl/>
        </w:rPr>
        <w:t>826</w:t>
      </w:r>
      <w:r w:rsidRPr="004325D8">
        <w:rPr>
          <w:rStyle w:val="libBold2Char"/>
          <w:rtl/>
        </w:rPr>
        <w:t xml:space="preserve"> / 10.</w:t>
      </w:r>
      <w:r w:rsidRPr="00132E65">
        <w:rPr>
          <w:rtl/>
          <w:lang w:bidi="fa-IR"/>
        </w:rPr>
        <w:t xml:space="preserve"> أَحْمَدُ بْنُ مِهْرَانَ ، عَنْ مُحَمَّدِ بْنِ عَلِيٍّ ، عَنِ ابْنِ مُحْرِزٍ </w:t>
      </w:r>
      <w:r>
        <w:rPr>
          <w:rStyle w:val="libFootnotenumChar"/>
          <w:rtl/>
        </w:rPr>
        <w:t>(11)</w:t>
      </w:r>
      <w:r w:rsidRPr="00132E65">
        <w:rPr>
          <w:rtl/>
          <w:lang w:bidi="fa-IR"/>
        </w:rPr>
        <w:t xml:space="preserve"> ، عَنْ عَلِيِّ بْنِ يَقْطِينٍ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BF5921">
        <w:rPr>
          <w:rtl/>
        </w:rPr>
        <w:t>الإرشاد</w:t>
      </w:r>
      <w:r w:rsidRPr="00132E65">
        <w:rPr>
          <w:rtl/>
        </w:rPr>
        <w:t xml:space="preserve"> ، ج 2 ، ص 250 ، بسنده عن الكليني ؛ </w:t>
      </w:r>
      <w:r w:rsidRPr="00BF5921">
        <w:rPr>
          <w:rtl/>
        </w:rPr>
        <w:t>الغيبة</w:t>
      </w:r>
      <w:r w:rsidRPr="00132E65">
        <w:rPr>
          <w:rtl/>
        </w:rPr>
        <w:t xml:space="preserve"> للطوسي ، ص 37 ، ح 15 ، عن الكليني. </w:t>
      </w:r>
      <w:r w:rsidRPr="00BF5921">
        <w:rPr>
          <w:rtl/>
        </w:rPr>
        <w:t>عيون الأخبار</w:t>
      </w:r>
      <w:r w:rsidRPr="00132E65">
        <w:rPr>
          <w:rtl/>
        </w:rPr>
        <w:t xml:space="preserve"> ، ج 1 ، ص 27 ، ح 14 ، بسنده عن محمّد بن الفضيل ، عن عبد الله بن الحرث</w:t>
      </w:r>
      <w:r>
        <w:rPr>
          <w:rFonts w:hint="cs"/>
          <w:rtl/>
        </w:rPr>
        <w:t>.</w:t>
      </w:r>
      <w:r w:rsidRPr="009D1ACE">
        <w:rPr>
          <w:rStyle w:val="libFootnoteBoldChar"/>
          <w:rtl/>
        </w:rPr>
        <w:t>الوافي</w:t>
      </w:r>
      <w:r w:rsidRPr="00132E65">
        <w:rPr>
          <w:rtl/>
        </w:rPr>
        <w:t xml:space="preserve"> ، ج 2 ، ص 359 ، ح 837.</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شرح المازندراني : « خرج »</w:t>
            </w:r>
            <w:r>
              <w:rPr>
                <w:rtl/>
              </w:rPr>
              <w:t>.</w:t>
            </w:r>
          </w:p>
        </w:tc>
        <w:tc>
          <w:tcPr>
            <w:tcW w:w="4006" w:type="dxa"/>
          </w:tcPr>
          <w:p w:rsidR="000C39D1" w:rsidRDefault="000C39D1" w:rsidP="00B53873">
            <w:pPr>
              <w:pStyle w:val="libFootnote0"/>
              <w:rPr>
                <w:rtl/>
              </w:rPr>
            </w:pPr>
            <w:r>
              <w:rPr>
                <w:rtl/>
              </w:rPr>
              <w:t>(3).</w:t>
            </w:r>
            <w:r w:rsidRPr="00132E65">
              <w:rPr>
                <w:rtl/>
              </w:rPr>
              <w:t xml:space="preserve"> في « بر » و</w:t>
            </w:r>
            <w:r w:rsidRPr="009D1ACE">
              <w:rPr>
                <w:rStyle w:val="libFootnoteBoldChar"/>
                <w:rtl/>
              </w:rPr>
              <w:t>الوافي</w:t>
            </w:r>
            <w:r w:rsidRPr="00132E65">
              <w:rPr>
                <w:rtl/>
              </w:rPr>
              <w:t xml:space="preserve"> : « عن »</w:t>
            </w:r>
            <w:r>
              <w:rPr>
                <w:rtl/>
              </w:rPr>
              <w:t>.</w:t>
            </w:r>
          </w:p>
        </w:tc>
      </w:tr>
    </w:tbl>
    <w:p w:rsidR="000C39D1" w:rsidRPr="00132E65" w:rsidRDefault="000C39D1" w:rsidP="000C39D1">
      <w:pPr>
        <w:pStyle w:val="libFootnote0"/>
        <w:rPr>
          <w:rtl/>
          <w:lang w:bidi="fa-IR"/>
        </w:rPr>
      </w:pPr>
      <w:r>
        <w:rPr>
          <w:rtl/>
        </w:rPr>
        <w:t>(4).</w:t>
      </w:r>
      <w:r w:rsidRPr="00132E65">
        <w:rPr>
          <w:rtl/>
        </w:rPr>
        <w:t xml:space="preserve"> في « ج ، ض ، بح ، بس » وحاشية « بر » : « أولادي »</w:t>
      </w:r>
      <w:r>
        <w:rPr>
          <w:rtl/>
        </w:rPr>
        <w:t>.</w:t>
      </w:r>
    </w:p>
    <w:p w:rsidR="000C39D1" w:rsidRPr="00132E65" w:rsidRDefault="000C39D1" w:rsidP="000C39D1">
      <w:pPr>
        <w:pStyle w:val="libFootnote0"/>
        <w:rPr>
          <w:rtl/>
          <w:lang w:bidi="fa-IR"/>
        </w:rPr>
      </w:pPr>
      <w:r>
        <w:rPr>
          <w:rtl/>
        </w:rPr>
        <w:t>(5).</w:t>
      </w:r>
      <w:r w:rsidRPr="00132E65">
        <w:rPr>
          <w:rtl/>
        </w:rPr>
        <w:t xml:space="preserve"> </w:t>
      </w:r>
      <w:r w:rsidRPr="00BF5921">
        <w:rPr>
          <w:rtl/>
        </w:rPr>
        <w:t>الإرشاد</w:t>
      </w:r>
      <w:r w:rsidRPr="00132E65">
        <w:rPr>
          <w:rtl/>
        </w:rPr>
        <w:t xml:space="preserve"> ، ج 2 ، ص 250 ، بسنده عن الكليني ؛ </w:t>
      </w:r>
      <w:r w:rsidRPr="00BF5921">
        <w:rPr>
          <w:rtl/>
        </w:rPr>
        <w:t>الغيبة</w:t>
      </w:r>
      <w:r w:rsidRPr="00132E65">
        <w:rPr>
          <w:rtl/>
        </w:rPr>
        <w:t xml:space="preserve"> للطوسي ، ص 36 ، ح 13 ، عن الكليني. </w:t>
      </w:r>
      <w:r w:rsidRPr="00BF5921">
        <w:rPr>
          <w:rtl/>
        </w:rPr>
        <w:t>عيون الأخبار</w:t>
      </w:r>
      <w:r w:rsidRPr="00132E65">
        <w:rPr>
          <w:rtl/>
        </w:rPr>
        <w:t xml:space="preserve"> ، ج 1 ، ص 30 ، ح 23 ، بسنده عن محمّد بن سنان ، إلى قوله : « أكبر ولدي »</w:t>
      </w:r>
      <w:r>
        <w:rPr>
          <w:rFonts w:hint="cs"/>
          <w:rtl/>
        </w:rPr>
        <w:t>.</w:t>
      </w:r>
      <w:r w:rsidRPr="009D1ACE">
        <w:rPr>
          <w:rStyle w:val="libFootnoteBoldChar"/>
          <w:rtl/>
        </w:rPr>
        <w:t>الوافي</w:t>
      </w:r>
      <w:r w:rsidRPr="00132E65">
        <w:rPr>
          <w:rtl/>
        </w:rPr>
        <w:t xml:space="preserve"> ، ج 2 ، ص 360 ، ح 838.</w:t>
      </w:r>
    </w:p>
    <w:p w:rsidR="000C39D1" w:rsidRDefault="000C39D1" w:rsidP="000C39D1">
      <w:pPr>
        <w:pStyle w:val="libFootnote0"/>
        <w:rPr>
          <w:rtl/>
        </w:rPr>
      </w:pPr>
      <w:r>
        <w:rPr>
          <w:rtl/>
        </w:rPr>
        <w:t>(6).</w:t>
      </w:r>
      <w:r w:rsidRPr="00132E65">
        <w:rPr>
          <w:rtl/>
        </w:rPr>
        <w:t xml:space="preserve"> في </w:t>
      </w:r>
      <w:r w:rsidRPr="009D1ACE">
        <w:rPr>
          <w:rStyle w:val="libFootnoteBoldChar"/>
          <w:rtl/>
        </w:rPr>
        <w:t>مرآة العقول</w:t>
      </w:r>
      <w:r w:rsidRPr="00132E65">
        <w:rPr>
          <w:rtl/>
        </w:rPr>
        <w:t xml:space="preserve"> : « ويحتمل على بُعد أن يكون بالتحريك ، أي كتب الكتاب ظاهراً لأمر آخر وكتب فيها هذابالعَرَض تقيّةً »</w:t>
      </w:r>
      <w:r>
        <w:rPr>
          <w:rtl/>
        </w:rPr>
        <w:t>.</w:t>
      </w:r>
      <w:r>
        <w:rPr>
          <w:rFonts w:hint="cs"/>
          <w:rtl/>
        </w:rPr>
        <w:t xml:space="preserve">             </w:t>
      </w:r>
      <w:r w:rsidR="00242766">
        <w:rPr>
          <w:rFonts w:hint="cs"/>
          <w:rtl/>
        </w:rPr>
        <w:t xml:space="preserve">           </w:t>
      </w:r>
      <w:r>
        <w:rPr>
          <w:rFonts w:hint="cs"/>
          <w:rtl/>
        </w:rPr>
        <w:t xml:space="preserve">                           </w:t>
      </w:r>
      <w:r>
        <w:rPr>
          <w:rtl/>
        </w:rPr>
        <w:t>(7).</w:t>
      </w:r>
      <w:r w:rsidRPr="00132E65">
        <w:rPr>
          <w:rtl/>
        </w:rPr>
        <w:t xml:space="preserve"> في « ج » : « أولادي »</w:t>
      </w:r>
      <w:r>
        <w:rPr>
          <w:rtl/>
        </w:rPr>
        <w:t>.</w:t>
      </w:r>
      <w:r w:rsidRPr="00132E65">
        <w:rPr>
          <w:rtl/>
        </w:rPr>
        <w:t xml:space="preserve"> </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w:t>
            </w:r>
            <w:r w:rsidRPr="009D1ACE">
              <w:rPr>
                <w:rStyle w:val="libFootnoteBoldChar"/>
                <w:rtl/>
              </w:rPr>
              <w:t>الوافي</w:t>
            </w:r>
            <w:r w:rsidRPr="00132E65">
              <w:rPr>
                <w:rtl/>
              </w:rPr>
              <w:t xml:space="preserve"> :</w:t>
            </w:r>
            <w:r>
              <w:rPr>
                <w:rFonts w:hint="cs"/>
                <w:rtl/>
              </w:rPr>
              <w:t xml:space="preserve"> </w:t>
            </w:r>
            <w:r>
              <w:rPr>
                <w:rtl/>
              </w:rPr>
              <w:t xml:space="preserve">- </w:t>
            </w:r>
            <w:r w:rsidRPr="00132E65">
              <w:rPr>
                <w:rtl/>
              </w:rPr>
              <w:t>« وفلان كذا »</w:t>
            </w:r>
            <w:r>
              <w:rPr>
                <w:rtl/>
              </w:rPr>
              <w:t>.</w:t>
            </w:r>
          </w:p>
        </w:tc>
        <w:tc>
          <w:tcPr>
            <w:tcW w:w="4006" w:type="dxa"/>
          </w:tcPr>
          <w:p w:rsidR="000C39D1" w:rsidRDefault="000C39D1" w:rsidP="00B53873">
            <w:pPr>
              <w:pStyle w:val="libFootnote0"/>
              <w:rPr>
                <w:rtl/>
              </w:rPr>
            </w:pPr>
            <w:r>
              <w:rPr>
                <w:rtl/>
              </w:rPr>
              <w:t>(9).</w:t>
            </w:r>
            <w:r w:rsidRPr="00132E65">
              <w:rPr>
                <w:rtl/>
              </w:rPr>
              <w:t xml:space="preserve"> في « ب » : « بالموت »</w:t>
            </w:r>
            <w:r>
              <w:rPr>
                <w:rtl/>
              </w:rPr>
              <w:t>.</w:t>
            </w:r>
          </w:p>
        </w:tc>
      </w:tr>
    </w:tbl>
    <w:p w:rsidR="000C39D1" w:rsidRPr="00132E65" w:rsidRDefault="000C39D1" w:rsidP="000C39D1">
      <w:pPr>
        <w:pStyle w:val="libFootnote0"/>
        <w:rPr>
          <w:rtl/>
          <w:lang w:bidi="fa-IR"/>
        </w:rPr>
      </w:pPr>
      <w:r>
        <w:rPr>
          <w:rtl/>
        </w:rPr>
        <w:t>(10).</w:t>
      </w:r>
      <w:r w:rsidRPr="00132E65">
        <w:rPr>
          <w:rtl/>
        </w:rPr>
        <w:t xml:space="preserve"> </w:t>
      </w:r>
      <w:r w:rsidRPr="00BF5921">
        <w:rPr>
          <w:rtl/>
        </w:rPr>
        <w:t>عيون الأخبار</w:t>
      </w:r>
      <w:r w:rsidRPr="00132E65">
        <w:rPr>
          <w:rtl/>
        </w:rPr>
        <w:t xml:space="preserve"> ، ج 1 ، ص 30 ، ح 24 بسنده عن الحسين بن المختار إلى قوله : « إلى أكبر ولدي » ، مع اختلاف يسير</w:t>
      </w:r>
      <w:r>
        <w:rPr>
          <w:rFonts w:hint="cs"/>
          <w:rtl/>
        </w:rPr>
        <w:t>.</w:t>
      </w:r>
      <w:r w:rsidRPr="009D1ACE">
        <w:rPr>
          <w:rStyle w:val="libFootnoteBoldChar"/>
          <w:rtl/>
        </w:rPr>
        <w:t>الوافي</w:t>
      </w:r>
      <w:r w:rsidRPr="00132E65">
        <w:rPr>
          <w:rtl/>
        </w:rPr>
        <w:t xml:space="preserve"> ، ج 2 ، ص 360 ، ح 839.</w:t>
      </w:r>
    </w:p>
    <w:p w:rsidR="000C39D1" w:rsidRPr="00132E65" w:rsidRDefault="000C39D1" w:rsidP="000C39D1">
      <w:pPr>
        <w:pStyle w:val="libFootnote0"/>
        <w:rPr>
          <w:rtl/>
          <w:lang w:bidi="fa-IR"/>
        </w:rPr>
      </w:pPr>
      <w:r>
        <w:rPr>
          <w:rtl/>
        </w:rPr>
        <w:t>(11).</w:t>
      </w:r>
      <w:r w:rsidRPr="00132E65">
        <w:rPr>
          <w:rtl/>
        </w:rPr>
        <w:t xml:space="preserve"> في « ألف » : « ابن أبي محرز »</w:t>
      </w:r>
      <w:r>
        <w:rPr>
          <w:rtl/>
        </w:rPr>
        <w:t>.</w:t>
      </w:r>
      <w:r w:rsidRPr="00132E65">
        <w:rPr>
          <w:rtl/>
        </w:rPr>
        <w:t xml:space="preserve"> وفي « ب » : « أيمن محرز »</w:t>
      </w:r>
      <w:r>
        <w:rPr>
          <w:rtl/>
        </w:rPr>
        <w:t>.</w:t>
      </w:r>
      <w:r w:rsidRPr="00132E65">
        <w:rPr>
          <w:rtl/>
        </w:rPr>
        <w:t xml:space="preserve"> وفي « بح » : « ابن محرر »</w:t>
      </w:r>
      <w:r>
        <w:rPr>
          <w:rtl/>
        </w:rPr>
        <w:t>.</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الْحَسَنِ </w:t>
      </w:r>
      <w:r w:rsidRPr="00071CF9">
        <w:rPr>
          <w:rStyle w:val="libAlaemChar"/>
          <w:rtl/>
        </w:rPr>
        <w:t>عليه‌السلام</w:t>
      </w:r>
      <w:r w:rsidRPr="00132E65">
        <w:rPr>
          <w:rtl/>
          <w:lang w:bidi="fa-IR"/>
        </w:rPr>
        <w:t xml:space="preserve"> ، قَالَ : كَتَبَ إِلَيَّ مِنَ الْحَبْسِ : « أَنَّ فُلَاناً ابْنِي سَيِّدُ ولْدِي ، وقَدْ نَحَلْتُهُ كُنْيَتِي </w:t>
      </w:r>
      <w:r>
        <w:rPr>
          <w:rStyle w:val="libFootnotenumChar"/>
          <w:rtl/>
        </w:rPr>
        <w:t>(1)</w:t>
      </w:r>
      <w:r w:rsidRPr="00132E65">
        <w:rPr>
          <w:rtl/>
          <w:lang w:bidi="fa-IR"/>
        </w:rPr>
        <w:t>»</w:t>
      </w:r>
      <w:r>
        <w:rPr>
          <w:rtl/>
          <w:lang w:bidi="fa-IR"/>
        </w:rPr>
        <w:t>.</w:t>
      </w:r>
      <w:r>
        <w:rPr>
          <w:rStyle w:val="libFootnotenumChar"/>
          <w:rtl/>
        </w:rPr>
        <w:t>(2)</w:t>
      </w:r>
    </w:p>
    <w:p w:rsidR="000C39D1" w:rsidRPr="00132E65" w:rsidRDefault="000C39D1" w:rsidP="000C39D1">
      <w:pPr>
        <w:pStyle w:val="libNormal"/>
        <w:rPr>
          <w:rtl/>
          <w:lang w:bidi="fa-IR"/>
        </w:rPr>
      </w:pPr>
      <w:r w:rsidRPr="00BF5921">
        <w:rPr>
          <w:rtl/>
        </w:rPr>
        <w:t>827</w:t>
      </w:r>
      <w:r w:rsidRPr="004325D8">
        <w:rPr>
          <w:rStyle w:val="libBold2Char"/>
          <w:rtl/>
        </w:rPr>
        <w:t xml:space="preserve"> / 11.</w:t>
      </w:r>
      <w:r w:rsidRPr="00132E65">
        <w:rPr>
          <w:rtl/>
          <w:lang w:bidi="fa-IR"/>
        </w:rPr>
        <w:t xml:space="preserve"> أَحْمَدُ بْنُ مِهْرَانَ ، عَنْ مُحَمَّدِ بْنِ عَلِيٍّ ، عَنْ أَبِي عَلِيٍّ الْخَزَّازِ </w:t>
      </w:r>
      <w:r>
        <w:rPr>
          <w:rStyle w:val="libFootnotenumChar"/>
          <w:rtl/>
        </w:rPr>
        <w:t>(3)</w:t>
      </w:r>
      <w:r w:rsidRPr="00132E65">
        <w:rPr>
          <w:rtl/>
          <w:lang w:bidi="fa-IR"/>
        </w:rPr>
        <w:t xml:space="preserve"> ، عَنْ دَاوُدَ بْنِ سُلَيْمَانَ ، قَالَ :</w:t>
      </w:r>
    </w:p>
    <w:p w:rsidR="000C39D1" w:rsidRPr="00132E65" w:rsidRDefault="000C39D1" w:rsidP="000C39D1">
      <w:pPr>
        <w:pStyle w:val="libNormal"/>
        <w:rPr>
          <w:rtl/>
          <w:lang w:bidi="fa-IR"/>
        </w:rPr>
      </w:pPr>
      <w:r w:rsidRPr="00132E65">
        <w:rPr>
          <w:rtl/>
          <w:lang w:bidi="fa-IR"/>
        </w:rPr>
        <w:t xml:space="preserve">قُلْتُ لِأَبِي إِبْرَاهِيمَ </w:t>
      </w:r>
      <w:r w:rsidRPr="00071CF9">
        <w:rPr>
          <w:rStyle w:val="libAlaemChar"/>
          <w:rtl/>
        </w:rPr>
        <w:t>عليه‌السلام</w:t>
      </w:r>
      <w:r w:rsidRPr="00132E65">
        <w:rPr>
          <w:rtl/>
          <w:lang w:bidi="fa-IR"/>
        </w:rPr>
        <w:t xml:space="preserve"> : إِنِّي أَخَافُ أَنْ يَحْدُثَ حَدَثٌ ولَا</w:t>
      </w:r>
      <w:r>
        <w:rPr>
          <w:rFonts w:hint="cs"/>
          <w:rtl/>
          <w:lang w:bidi="fa-IR"/>
        </w:rPr>
        <w:t xml:space="preserve"> </w:t>
      </w:r>
      <w:r w:rsidRPr="00132E65">
        <w:rPr>
          <w:rtl/>
          <w:lang w:bidi="fa-IR"/>
        </w:rPr>
        <w:t xml:space="preserve">أَلْقَاكَ ، فَأَخْبِرْنِي مَنِ </w:t>
      </w:r>
      <w:r>
        <w:rPr>
          <w:rStyle w:val="libFootnotenumChar"/>
          <w:rtl/>
        </w:rPr>
        <w:t>(4)</w:t>
      </w:r>
      <w:r w:rsidRPr="00132E65">
        <w:rPr>
          <w:rtl/>
          <w:lang w:bidi="fa-IR"/>
        </w:rPr>
        <w:t xml:space="preserve"> الْإِمَامُ </w:t>
      </w:r>
      <w:r>
        <w:rPr>
          <w:rStyle w:val="libFootnotenumChar"/>
          <w:rtl/>
        </w:rPr>
        <w:t>(5)</w:t>
      </w:r>
      <w:r w:rsidRPr="00132E65">
        <w:rPr>
          <w:rtl/>
          <w:lang w:bidi="fa-IR"/>
        </w:rPr>
        <w:t xml:space="preserve"> بَعْدَكَ</w:t>
      </w:r>
      <w:r>
        <w:rPr>
          <w:rtl/>
          <w:lang w:bidi="fa-IR"/>
        </w:rPr>
        <w:t>؟</w:t>
      </w:r>
    </w:p>
    <w:p w:rsidR="000C39D1" w:rsidRPr="00132E65" w:rsidRDefault="000C39D1" w:rsidP="000C39D1">
      <w:pPr>
        <w:pStyle w:val="libNormal"/>
        <w:rPr>
          <w:rtl/>
          <w:lang w:bidi="fa-IR"/>
        </w:rPr>
      </w:pPr>
      <w:r w:rsidRPr="00132E65">
        <w:rPr>
          <w:rtl/>
          <w:lang w:bidi="fa-IR"/>
        </w:rPr>
        <w:t xml:space="preserve">فَقَالَ : « ابْنِي فُلَانٌ » يَعْنِي </w:t>
      </w:r>
      <w:r>
        <w:rPr>
          <w:rStyle w:val="libFootnotenumChar"/>
          <w:rtl/>
        </w:rPr>
        <w:t>(6)</w:t>
      </w:r>
      <w:r w:rsidRPr="00132E65">
        <w:rPr>
          <w:rtl/>
          <w:lang w:bidi="fa-IR"/>
        </w:rPr>
        <w:t xml:space="preserve"> أَبَا الْحَسَنِ </w:t>
      </w:r>
      <w:r w:rsidRPr="00071CF9">
        <w:rPr>
          <w:rStyle w:val="libAlaemChar"/>
          <w:rtl/>
        </w:rPr>
        <w:t>عليه‌السلام</w:t>
      </w:r>
      <w:r w:rsidRPr="00132E65">
        <w:rPr>
          <w:rtl/>
          <w:lang w:bidi="fa-IR"/>
        </w:rPr>
        <w:t xml:space="preserve">. </w:t>
      </w:r>
      <w:r>
        <w:rPr>
          <w:rStyle w:val="libFootnotenumChar"/>
          <w:rtl/>
        </w:rPr>
        <w:t>(7)</w:t>
      </w:r>
      <w:r w:rsidRPr="00132E65">
        <w:rPr>
          <w:rtl/>
          <w:lang w:bidi="fa-IR"/>
        </w:rPr>
        <w:t>‌</w:t>
      </w:r>
    </w:p>
    <w:p w:rsidR="000C39D1" w:rsidRPr="00132E65" w:rsidRDefault="000C39D1" w:rsidP="000C39D1">
      <w:pPr>
        <w:pStyle w:val="libNormal"/>
        <w:rPr>
          <w:rtl/>
          <w:lang w:bidi="fa-IR"/>
        </w:rPr>
      </w:pPr>
      <w:r w:rsidRPr="00BF5921">
        <w:rPr>
          <w:rtl/>
        </w:rPr>
        <w:t>828</w:t>
      </w:r>
      <w:r w:rsidRPr="004325D8">
        <w:rPr>
          <w:rStyle w:val="libBold2Char"/>
          <w:rtl/>
        </w:rPr>
        <w:t xml:space="preserve"> / 12.</w:t>
      </w:r>
      <w:r w:rsidRPr="00132E65">
        <w:rPr>
          <w:rtl/>
          <w:lang w:bidi="fa-IR"/>
        </w:rPr>
        <w:t xml:space="preserve"> أَحْمَدُ بْنُ مِهْرَانَ ، عَنْ مُحَمَّدِ بْنِ عَلِيٍّ ، عَنْ سَعِيدِ بْنِ أَبِي الْجَهْمِ ، عَنْ نَصْرِ </w:t>
      </w:r>
      <w:r>
        <w:rPr>
          <w:rStyle w:val="libFootnotenumChar"/>
          <w:rtl/>
        </w:rPr>
        <w:t>(8)</w:t>
      </w:r>
      <w:r w:rsidRPr="00132E65">
        <w:rPr>
          <w:rtl/>
          <w:lang w:bidi="fa-IR"/>
        </w:rPr>
        <w:t xml:space="preserve"> بْنِ قَابُوسَ ، قَالَ :</w:t>
      </w:r>
    </w:p>
    <w:p w:rsidR="000C39D1" w:rsidRPr="00132E65" w:rsidRDefault="000C39D1" w:rsidP="000C39D1">
      <w:pPr>
        <w:pStyle w:val="libNormal"/>
        <w:rPr>
          <w:rtl/>
          <w:lang w:bidi="fa-IR"/>
        </w:rPr>
      </w:pPr>
      <w:r w:rsidRPr="00132E65">
        <w:rPr>
          <w:rtl/>
          <w:lang w:bidi="fa-IR"/>
        </w:rPr>
        <w:t xml:space="preserve">قُلْتُ لِأَبِي إِبْرَاهِيمَ </w:t>
      </w:r>
      <w:r w:rsidRPr="00071CF9">
        <w:rPr>
          <w:rStyle w:val="libAlaemChar"/>
          <w:rtl/>
        </w:rPr>
        <w:t>عليه‌السلام</w:t>
      </w:r>
      <w:r w:rsidRPr="00132E65">
        <w:rPr>
          <w:rtl/>
          <w:lang w:bidi="fa-IR"/>
        </w:rPr>
        <w:t xml:space="preserve"> : إِنِّي سَأَلْتُ أَبَاكَ </w:t>
      </w:r>
      <w:r w:rsidRPr="00071CF9">
        <w:rPr>
          <w:rStyle w:val="libAlaemChar"/>
          <w:rtl/>
        </w:rPr>
        <w:t>عليه‌السلام</w:t>
      </w:r>
      <w:r w:rsidRPr="00132E65">
        <w:rPr>
          <w:rtl/>
          <w:lang w:bidi="fa-IR"/>
        </w:rPr>
        <w:t xml:space="preserve"> : مَنِ الَّذِي يَكُونُ مِنْ </w:t>
      </w:r>
      <w:r>
        <w:rPr>
          <w:rStyle w:val="libFootnotenumChar"/>
          <w:rtl/>
        </w:rPr>
        <w:t>(9)</w:t>
      </w:r>
      <w:r w:rsidRPr="00132E65">
        <w:rPr>
          <w:rtl/>
          <w:lang w:bidi="fa-IR"/>
        </w:rPr>
        <w:t xml:space="preserve"> بَعْدِكَ</w:t>
      </w:r>
      <w:r>
        <w:rPr>
          <w:rtl/>
          <w:lang w:bidi="fa-IR"/>
        </w:rPr>
        <w:t>؟</w:t>
      </w:r>
      <w:r w:rsidRPr="00132E65">
        <w:rPr>
          <w:rtl/>
          <w:lang w:bidi="fa-IR"/>
        </w:rPr>
        <w:t xml:space="preserve"> فَأَخْبَرَنِي‌</w:t>
      </w:r>
    </w:p>
    <w:p w:rsidR="000C39D1" w:rsidRPr="00132E65" w:rsidRDefault="000C39D1" w:rsidP="000C39D1">
      <w:pPr>
        <w:pStyle w:val="libLine"/>
        <w:rPr>
          <w:rtl/>
          <w:lang w:bidi="fa-IR"/>
        </w:rPr>
      </w:pPr>
      <w:r w:rsidRPr="00132E65">
        <w:rPr>
          <w:rtl/>
          <w:lang w:bidi="fa-IR"/>
        </w:rPr>
        <w:t>__________________</w:t>
      </w:r>
    </w:p>
    <w:p w:rsidR="000C39D1" w:rsidRPr="00BF5921" w:rsidRDefault="000C39D1" w:rsidP="000C39D1">
      <w:pPr>
        <w:pStyle w:val="libFootnote0"/>
        <w:rPr>
          <w:rtl/>
        </w:rPr>
      </w:pPr>
      <w:r>
        <w:rPr>
          <w:rFonts w:hint="cs"/>
          <w:rtl/>
        </w:rPr>
        <w:t xml:space="preserve">= </w:t>
      </w:r>
      <w:r w:rsidRPr="00BF5921">
        <w:rPr>
          <w:rtl/>
        </w:rPr>
        <w:t xml:space="preserve">وروى الصفّار في </w:t>
      </w:r>
      <w:r w:rsidRPr="007A1104">
        <w:rPr>
          <w:rStyle w:val="libFootnoteBoldChar"/>
          <w:rtl/>
        </w:rPr>
        <w:t>بصائر الدرجات</w:t>
      </w:r>
      <w:r w:rsidRPr="00BF5921">
        <w:rPr>
          <w:rtl/>
        </w:rPr>
        <w:t xml:space="preserve"> ، ص 164 ، ح 8 ، مضمون الخبر بسنده عن أنس بن محرز ، لكن في بعض نسخه المعتبرة : « أيمن بن محرز » وهو الظاهر ، فإنّه المذكور في كتب الرجال. راجع : رجال البرقي ، ص 49 ؛ رجال الطوسي ، ص 166 ، الرقم 1920 ، وص 331 ، الرقم 4930.</w:t>
      </w:r>
    </w:p>
    <w:p w:rsidR="000C39D1" w:rsidRPr="00BF5921" w:rsidRDefault="000C39D1" w:rsidP="000C39D1">
      <w:pPr>
        <w:pStyle w:val="libFootnote0"/>
        <w:rPr>
          <w:rtl/>
        </w:rPr>
      </w:pPr>
      <w:r w:rsidRPr="00BF5921">
        <w:rPr>
          <w:rtl/>
        </w:rPr>
        <w:t>وأمّا أنس بن محرز فلم نجد له ذكراً.</w:t>
      </w:r>
    </w:p>
    <w:p w:rsidR="000C39D1" w:rsidRPr="00132E65" w:rsidRDefault="000C39D1" w:rsidP="000C39D1">
      <w:pPr>
        <w:pStyle w:val="libFootnote0"/>
        <w:rPr>
          <w:rtl/>
          <w:lang w:bidi="fa-IR"/>
        </w:rPr>
      </w:pPr>
      <w:r>
        <w:rPr>
          <w:rtl/>
        </w:rPr>
        <w:t>(1).</w:t>
      </w:r>
      <w:r w:rsidRPr="00132E65">
        <w:rPr>
          <w:rtl/>
        </w:rPr>
        <w:t xml:space="preserve"> في البصائر : « كتبي »</w:t>
      </w:r>
      <w:r>
        <w:rPr>
          <w:rtl/>
        </w:rPr>
        <w:t>.</w:t>
      </w:r>
    </w:p>
    <w:p w:rsidR="000C39D1" w:rsidRPr="00132E65" w:rsidRDefault="000C39D1" w:rsidP="000C39D1">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164 ، ح 8 ، بسنده عن أنس بن محرز عن عليّ بن يقطين ؛ </w:t>
      </w:r>
      <w:r w:rsidRPr="00BF5921">
        <w:rPr>
          <w:rtl/>
        </w:rPr>
        <w:t>عيون الأخبار</w:t>
      </w:r>
      <w:r w:rsidRPr="00132E65">
        <w:rPr>
          <w:rtl/>
        </w:rPr>
        <w:t xml:space="preserve"> ، ج 1 ، ص 22 ، ح 4 ، بسنده عن عليّ بن يقطين ، وفيهما مع اختلاف يسير</w:t>
      </w:r>
      <w:r>
        <w:rPr>
          <w:rFonts w:hint="cs"/>
          <w:rtl/>
        </w:rPr>
        <w:t>.</w:t>
      </w:r>
      <w:r w:rsidRPr="009D1ACE">
        <w:rPr>
          <w:rStyle w:val="libFootnoteBoldChar"/>
          <w:rtl/>
        </w:rPr>
        <w:t>الوافي</w:t>
      </w:r>
      <w:r w:rsidRPr="00132E65">
        <w:rPr>
          <w:rtl/>
        </w:rPr>
        <w:t xml:space="preserve"> ، ج 2 ، ص 361 ، ح 843.</w:t>
      </w:r>
    </w:p>
    <w:p w:rsidR="000C39D1" w:rsidRPr="00132E65" w:rsidRDefault="000C39D1" w:rsidP="000C39D1">
      <w:pPr>
        <w:pStyle w:val="libFootnote0"/>
        <w:rPr>
          <w:rtl/>
          <w:lang w:bidi="fa-IR"/>
        </w:rPr>
      </w:pPr>
      <w:r>
        <w:rPr>
          <w:rtl/>
        </w:rPr>
        <w:t>(3).</w:t>
      </w:r>
      <w:r w:rsidRPr="00132E65">
        <w:rPr>
          <w:rtl/>
        </w:rPr>
        <w:t xml:space="preserve"> في « ب ، و، بس » و</w:t>
      </w:r>
      <w:r w:rsidRPr="009D1ACE">
        <w:rPr>
          <w:rStyle w:val="libFootnoteBoldChar"/>
          <w:rtl/>
        </w:rPr>
        <w:t>الوافي</w:t>
      </w:r>
      <w:r w:rsidRPr="00132E65">
        <w:rPr>
          <w:rtl/>
        </w:rPr>
        <w:t xml:space="preserve"> : « الخرّاز »</w:t>
      </w:r>
      <w:r>
        <w:rPr>
          <w:rtl/>
        </w:rPr>
        <w:t>.</w:t>
      </w:r>
      <w:r w:rsidRPr="00132E65">
        <w:rPr>
          <w:rtl/>
        </w:rPr>
        <w:t xml:space="preserve"> والرجل مجهول لم نعرفه.</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الغيبة : « عن »</w:t>
            </w:r>
            <w:r>
              <w:rPr>
                <w:rtl/>
              </w:rPr>
              <w:t>.</w:t>
            </w:r>
          </w:p>
        </w:tc>
        <w:tc>
          <w:tcPr>
            <w:tcW w:w="4006" w:type="dxa"/>
          </w:tcPr>
          <w:p w:rsidR="000C39D1" w:rsidRDefault="000C39D1" w:rsidP="00B53873">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العدل »</w:t>
            </w:r>
            <w:r>
              <w:rPr>
                <w:rtl/>
              </w:rPr>
              <w:t>.</w:t>
            </w:r>
          </w:p>
        </w:tc>
      </w:tr>
    </w:tbl>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يعني ، كلام الراوي ، أو راوي الراوي. والأخير أظهر ؛ إذ الظاهر أنّ الكناية من الراوي »</w:t>
      </w:r>
      <w:r>
        <w:rPr>
          <w:rtl/>
        </w:rPr>
        <w:t>.</w:t>
      </w:r>
    </w:p>
    <w:p w:rsidR="000C39D1" w:rsidRPr="00132E65" w:rsidRDefault="000C39D1" w:rsidP="000C39D1">
      <w:pPr>
        <w:pStyle w:val="libFootnote0"/>
        <w:rPr>
          <w:rtl/>
          <w:lang w:bidi="fa-IR"/>
        </w:rPr>
      </w:pPr>
      <w:r>
        <w:rPr>
          <w:rtl/>
        </w:rPr>
        <w:t>(7).</w:t>
      </w:r>
      <w:r w:rsidRPr="00132E65">
        <w:rPr>
          <w:rtl/>
        </w:rPr>
        <w:t xml:space="preserve"> </w:t>
      </w:r>
      <w:r w:rsidRPr="00BF5921">
        <w:rPr>
          <w:rtl/>
        </w:rPr>
        <w:t>الإرشاد</w:t>
      </w:r>
      <w:r w:rsidRPr="00132E65">
        <w:rPr>
          <w:rtl/>
        </w:rPr>
        <w:t xml:space="preserve"> ، ج 2 ، ص 251 ، بسنده عن الكليني ؛ </w:t>
      </w:r>
      <w:r w:rsidRPr="00BF5921">
        <w:rPr>
          <w:rtl/>
        </w:rPr>
        <w:t>الغيبة</w:t>
      </w:r>
      <w:r w:rsidRPr="00132E65">
        <w:rPr>
          <w:rtl/>
        </w:rPr>
        <w:t xml:space="preserve"> للطوسي ، ص 38 ، ح 16 ، عن الكليني. </w:t>
      </w:r>
      <w:r w:rsidRPr="00BF5921">
        <w:rPr>
          <w:rtl/>
        </w:rPr>
        <w:t>عيون الأخبار</w:t>
      </w:r>
      <w:r w:rsidRPr="00132E65">
        <w:rPr>
          <w:rtl/>
        </w:rPr>
        <w:t xml:space="preserve"> ، ج 1 ، ص 23 ، ح 8 ، بسنده عن أبي عليّ الخزّاز ، عن داود الرقّي</w:t>
      </w:r>
      <w:r>
        <w:rPr>
          <w:rFonts w:hint="cs"/>
          <w:rtl/>
        </w:rPr>
        <w:t>.</w:t>
      </w:r>
      <w:r w:rsidRPr="009D1ACE">
        <w:rPr>
          <w:rStyle w:val="libFootnoteBoldChar"/>
          <w:rtl/>
        </w:rPr>
        <w:t>الوافي</w:t>
      </w:r>
      <w:r w:rsidRPr="00132E65">
        <w:rPr>
          <w:rtl/>
        </w:rPr>
        <w:t xml:space="preserve"> ، ج 2 ، ص 358 ، ح 833.</w:t>
      </w:r>
    </w:p>
    <w:p w:rsidR="000C39D1" w:rsidRPr="00132E65" w:rsidRDefault="000C39D1" w:rsidP="000C39D1">
      <w:pPr>
        <w:pStyle w:val="libFootnote0"/>
        <w:rPr>
          <w:rtl/>
          <w:lang w:bidi="fa-IR"/>
        </w:rPr>
      </w:pPr>
      <w:r>
        <w:rPr>
          <w:rtl/>
        </w:rPr>
        <w:t>(8).</w:t>
      </w:r>
      <w:r w:rsidRPr="00132E65">
        <w:rPr>
          <w:rtl/>
        </w:rPr>
        <w:t xml:space="preserve"> هكذا في « ألف ، ب ، ض ، ف ، و، بح ، بر ، بف »</w:t>
      </w:r>
      <w:r>
        <w:rPr>
          <w:rtl/>
        </w:rPr>
        <w:t>.</w:t>
      </w:r>
      <w:r w:rsidRPr="00132E65">
        <w:rPr>
          <w:rtl/>
        </w:rPr>
        <w:t xml:space="preserve"> وفي « ج ، بس » : « نضر »</w:t>
      </w:r>
      <w:r>
        <w:rPr>
          <w:rtl/>
        </w:rPr>
        <w:t>.</w:t>
      </w:r>
      <w:r w:rsidRPr="00132E65">
        <w:rPr>
          <w:rtl/>
        </w:rPr>
        <w:t xml:space="preserve"> وفي المطبوع : « النصر »</w:t>
      </w:r>
      <w:r>
        <w:rPr>
          <w:rtl/>
        </w:rPr>
        <w:t>.</w:t>
      </w:r>
    </w:p>
    <w:p w:rsidR="000C39D1" w:rsidRPr="00132E65" w:rsidRDefault="000C39D1" w:rsidP="000C39D1">
      <w:pPr>
        <w:pStyle w:val="libFootnote0"/>
        <w:rPr>
          <w:rtl/>
          <w:lang w:bidi="fa-IR"/>
        </w:rPr>
      </w:pPr>
      <w:r w:rsidRPr="00F24C1F">
        <w:rPr>
          <w:rtl/>
        </w:rPr>
        <w:t xml:space="preserve">ونصر هذا ، هو نصر بن قابوس اللَّخْمي. راجع : </w:t>
      </w:r>
      <w:r w:rsidRPr="00BF5921">
        <w:rPr>
          <w:rtl/>
        </w:rPr>
        <w:t>رجال النجاشي</w:t>
      </w:r>
      <w:r w:rsidRPr="00F24C1F">
        <w:rPr>
          <w:rtl/>
        </w:rPr>
        <w:t xml:space="preserve"> ، ص 427 ، الرقم 1146 ؛ </w:t>
      </w:r>
      <w:r w:rsidRPr="00BF5921">
        <w:rPr>
          <w:rtl/>
        </w:rPr>
        <w:t>رجال الطوسي</w:t>
      </w:r>
      <w:r w:rsidRPr="00F24C1F">
        <w:rPr>
          <w:rtl/>
        </w:rPr>
        <w:t xml:space="preserve"> ، ص 314 ، الرقم 4675.</w:t>
      </w:r>
      <w:r>
        <w:rPr>
          <w:rFonts w:hint="cs"/>
          <w:rtl/>
        </w:rPr>
        <w:t xml:space="preserve">       </w:t>
      </w:r>
      <w:r w:rsidR="00242766">
        <w:rPr>
          <w:rFonts w:hint="cs"/>
          <w:rtl/>
        </w:rPr>
        <w:t xml:space="preserve">           </w:t>
      </w:r>
      <w:r>
        <w:rPr>
          <w:rFonts w:hint="cs"/>
          <w:rtl/>
        </w:rPr>
        <w:t xml:space="preserve">                          </w:t>
      </w:r>
      <w:r>
        <w:rPr>
          <w:rtl/>
        </w:rPr>
        <w:t>(9).</w:t>
      </w:r>
      <w:r w:rsidRPr="00132E65">
        <w:rPr>
          <w:rtl/>
        </w:rPr>
        <w:t xml:space="preserve"> في « ف ، بف » والعيون والغيبة للطوسي </w:t>
      </w:r>
      <w:r>
        <w:rPr>
          <w:rtl/>
        </w:rPr>
        <w:t xml:space="preserve">: - </w:t>
      </w:r>
      <w:r w:rsidRPr="00132E65">
        <w:rPr>
          <w:rtl/>
        </w:rPr>
        <w:t>« من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أَنَّكَ أَنْتَ هُوَ ، فَلَمَّا تُوُفِّيَ أَبُو عَبْدِ اللهِ </w:t>
      </w:r>
      <w:r w:rsidRPr="00071CF9">
        <w:rPr>
          <w:rStyle w:val="libAlaemChar"/>
          <w:rtl/>
        </w:rPr>
        <w:t>عليه‌السلام</w:t>
      </w:r>
      <w:r w:rsidRPr="00132E65">
        <w:rPr>
          <w:rtl/>
          <w:lang w:bidi="fa-IR"/>
        </w:rPr>
        <w:t xml:space="preserve"> ، ذَهَبَ النَّاسُ يَمِيناً وشِمَالاً ، وقُلْتُ فِيكَ </w:t>
      </w:r>
      <w:r>
        <w:rPr>
          <w:rStyle w:val="libFootnotenumChar"/>
          <w:rtl/>
        </w:rPr>
        <w:t>(1)</w:t>
      </w:r>
      <w:r w:rsidRPr="00132E65">
        <w:rPr>
          <w:rtl/>
          <w:lang w:bidi="fa-IR"/>
        </w:rPr>
        <w:t xml:space="preserve"> أَنَا وَأَصْحَابِي ؛ فَأَخْبِرْنِي مَنِ الَّذِي يَكُونُ مِنْ </w:t>
      </w:r>
      <w:r>
        <w:rPr>
          <w:rStyle w:val="libFootnotenumChar"/>
          <w:rtl/>
        </w:rPr>
        <w:t>(2)</w:t>
      </w:r>
      <w:r w:rsidRPr="00132E65">
        <w:rPr>
          <w:rtl/>
          <w:lang w:bidi="fa-IR"/>
        </w:rPr>
        <w:t xml:space="preserve"> بَعْدِكَ مِنْ ولْدِكَ</w:t>
      </w:r>
      <w:r>
        <w:rPr>
          <w:rtl/>
          <w:lang w:bidi="fa-IR"/>
        </w:rPr>
        <w:t>؟</w:t>
      </w:r>
    </w:p>
    <w:p w:rsidR="000C39D1" w:rsidRPr="00132E65" w:rsidRDefault="000C39D1" w:rsidP="000C39D1">
      <w:pPr>
        <w:pStyle w:val="libNormal"/>
        <w:rPr>
          <w:rtl/>
          <w:lang w:bidi="fa-IR"/>
        </w:rPr>
      </w:pPr>
      <w:r w:rsidRPr="00132E65">
        <w:rPr>
          <w:rtl/>
          <w:lang w:bidi="fa-IR"/>
        </w:rPr>
        <w:t>فَقَالَ : « ابْنِي فُلَانٌ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BF5921">
        <w:rPr>
          <w:rtl/>
        </w:rPr>
        <w:t>829</w:t>
      </w:r>
      <w:r w:rsidRPr="004325D8">
        <w:rPr>
          <w:rStyle w:val="libBold2Char"/>
          <w:rtl/>
        </w:rPr>
        <w:t xml:space="preserve"> / 13.</w:t>
      </w:r>
      <w:r w:rsidRPr="00132E65">
        <w:rPr>
          <w:rtl/>
          <w:lang w:bidi="fa-IR"/>
        </w:rPr>
        <w:t xml:space="preserve"> أَحْمَدُ بْنُ مِهْرَانَ ، عَنْ مُحَمَّدِ بْنِ عَلِيٍّ ، عَنِ الضَّحَّاكِ بْنِ الْأَشْعَثِ ، عَنْ دَاوُدَ بْنِ زُرْبِيٍّ ، قَالَ :</w:t>
      </w:r>
    </w:p>
    <w:p w:rsidR="000C39D1" w:rsidRPr="00132E65" w:rsidRDefault="000C39D1" w:rsidP="000C39D1">
      <w:pPr>
        <w:pStyle w:val="libNormal"/>
        <w:rPr>
          <w:rtl/>
          <w:lang w:bidi="fa-IR"/>
        </w:rPr>
      </w:pPr>
      <w:r w:rsidRPr="00132E65">
        <w:rPr>
          <w:rtl/>
          <w:lang w:bidi="fa-IR"/>
        </w:rPr>
        <w:t xml:space="preserve">جِئْتُ إِلى أَبِي إِبْرَاهِيمَ </w:t>
      </w:r>
      <w:r w:rsidRPr="00071CF9">
        <w:rPr>
          <w:rStyle w:val="libAlaemChar"/>
          <w:rtl/>
        </w:rPr>
        <w:t>عليه‌السلام</w:t>
      </w:r>
      <w:r w:rsidRPr="00132E65">
        <w:rPr>
          <w:rtl/>
          <w:lang w:bidi="fa-IR"/>
        </w:rPr>
        <w:t xml:space="preserve"> بِمَالٍ ، فَأَخَذَ بَعْضَهُ ، وتَرَكَ بَعْضَهُ ، فَقُلْتُ : أَصْلَحَكَ اللهُ ، لِأَيِّ شَيْ‌ءٍ تَرَكْتَهُ عِنْدِي</w:t>
      </w:r>
      <w:r>
        <w:rPr>
          <w:rtl/>
          <w:lang w:bidi="fa-IR"/>
        </w:rPr>
        <w:t>؟</w:t>
      </w:r>
      <w:r w:rsidRPr="00132E65">
        <w:rPr>
          <w:rtl/>
          <w:lang w:bidi="fa-IR"/>
        </w:rPr>
        <w:t xml:space="preserve"> قَالَ : « إِنَّ صَاحِبَ هذَا الْأَمْرِ يَطْلُبُهُ مِنْكَ »</w:t>
      </w:r>
      <w:r>
        <w:rPr>
          <w:rtl/>
          <w:lang w:bidi="fa-IR"/>
        </w:rPr>
        <w:t>.</w:t>
      </w:r>
      <w:r w:rsidRPr="00132E65">
        <w:rPr>
          <w:rtl/>
          <w:lang w:bidi="fa-IR"/>
        </w:rPr>
        <w:t xml:space="preserve"> فَلَمَّا </w:t>
      </w:r>
      <w:r>
        <w:rPr>
          <w:rStyle w:val="libFootnotenumChar"/>
          <w:rtl/>
        </w:rPr>
        <w:t>(4)</w:t>
      </w:r>
      <w:r w:rsidRPr="00132E65">
        <w:rPr>
          <w:rtl/>
          <w:lang w:bidi="fa-IR"/>
        </w:rPr>
        <w:t xml:space="preserve"> جَاءَنَا </w:t>
      </w:r>
      <w:r>
        <w:rPr>
          <w:rStyle w:val="libFootnotenumChar"/>
          <w:rtl/>
        </w:rPr>
        <w:t>(5)</w:t>
      </w:r>
      <w:r w:rsidRPr="00132E65">
        <w:rPr>
          <w:rtl/>
          <w:lang w:bidi="fa-IR"/>
        </w:rPr>
        <w:t xml:space="preserve"> نَعْيُهُ </w:t>
      </w:r>
      <w:r>
        <w:rPr>
          <w:rStyle w:val="libFootnotenumChar"/>
          <w:rtl/>
        </w:rPr>
        <w:t>(6)</w:t>
      </w:r>
      <w:r w:rsidRPr="00132E65">
        <w:rPr>
          <w:rtl/>
          <w:lang w:bidi="fa-IR"/>
        </w:rPr>
        <w:t xml:space="preserve"> ، بَعَثَ إِلَيَّ أَبُو الْحَسَنِ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ابْنُهُ </w:t>
      </w:r>
      <w:r>
        <w:rPr>
          <w:rStyle w:val="libFootnotenumChar"/>
          <w:rtl/>
        </w:rPr>
        <w:t>(8)</w:t>
      </w:r>
      <w:r w:rsidRPr="00132E65">
        <w:rPr>
          <w:rtl/>
          <w:lang w:bidi="fa-IR"/>
        </w:rPr>
        <w:t xml:space="preserve"> ، فَسَأَلَنِي ذلِكَ الْمَالَ ، فَدَفَعْتُهُ إِلَيْهِ.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BF5921">
        <w:rPr>
          <w:rtl/>
        </w:rPr>
        <w:t>830</w:t>
      </w:r>
      <w:r w:rsidRPr="004325D8">
        <w:rPr>
          <w:rStyle w:val="libBold2Char"/>
          <w:rtl/>
        </w:rPr>
        <w:t xml:space="preserve"> / 14.</w:t>
      </w:r>
      <w:r w:rsidRPr="00132E65">
        <w:rPr>
          <w:rtl/>
          <w:lang w:bidi="fa-IR"/>
        </w:rPr>
        <w:t xml:space="preserve"> أَحْمَدُ بْنُ مِهْرَانَ ، عَنْ مُحَمَّدِ بْنِ عَلِيٍّ ، عَنْ أَبِي الْحَكَمِ الْأَرْمَنِيِّ </w:t>
      </w:r>
      <w:r>
        <w:rPr>
          <w:rStyle w:val="libFootnotenumChar"/>
          <w:rtl/>
        </w:rPr>
        <w:t>(10)</w:t>
      </w:r>
      <w:r w:rsidRPr="00132E65">
        <w:rPr>
          <w:rtl/>
          <w:lang w:bidi="fa-IR"/>
        </w:rPr>
        <w:t xml:space="preserve"> ، قَالَ : حَدَّثَنِي عَبْدُ اللهِ بْنُ إِبْرَاهِيمَ بْنِ عَلِيِّ بْنِ عَبْدِ اللهِ بْنِ جَعْفَرِ بْنِ أَبِي طَالِبٍ ، عَنْ يَزِيدَ بْنِ سَلِيطٍ الزَّيْدِيِّ ،</w:t>
      </w:r>
      <w:r>
        <w:rPr>
          <w:rFonts w:hint="cs"/>
          <w:rtl/>
          <w:lang w:bidi="fa-IR"/>
        </w:rPr>
        <w:t xml:space="preserve"> </w:t>
      </w:r>
      <w:r w:rsidRPr="00132E65">
        <w:rPr>
          <w:rtl/>
          <w:lang w:bidi="fa-IR"/>
        </w:rPr>
        <w:t xml:space="preserve">قَالَ أَبُو الْحَكَمِ </w:t>
      </w:r>
      <w:r>
        <w:rPr>
          <w:rStyle w:val="libFootnotenumChar"/>
          <w:rtl/>
        </w:rPr>
        <w:t>(11)</w:t>
      </w:r>
      <w:r w:rsidRPr="00132E65">
        <w:rPr>
          <w:rtl/>
          <w:lang w:bidi="fa-IR"/>
        </w:rPr>
        <w:t xml:space="preserve"> : وأَخْبَرَنِي عَبْدُ اللهِ بْنُ مُحَمَّدِ بْنِ عُمَارَةَ </w:t>
      </w:r>
      <w:r>
        <w:rPr>
          <w:rStyle w:val="libFootnotenumChar"/>
          <w:rtl/>
        </w:rPr>
        <w:t>(12)</w:t>
      </w:r>
      <w:r w:rsidRPr="00132E65">
        <w:rPr>
          <w:rtl/>
          <w:lang w:bidi="fa-IR"/>
        </w:rPr>
        <w:t xml:space="preserve"> الْجَرْمِيُّ ، عَنْ‌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الإرشاد والغيبة : « بك »</w:t>
            </w:r>
            <w:r>
              <w:rPr>
                <w:rtl/>
              </w:rPr>
              <w:t>.</w:t>
            </w:r>
          </w:p>
        </w:tc>
        <w:tc>
          <w:tcPr>
            <w:tcW w:w="4006" w:type="dxa"/>
          </w:tcPr>
          <w:p w:rsidR="000C39D1" w:rsidRDefault="000C39D1" w:rsidP="00B53873">
            <w:pPr>
              <w:pStyle w:val="libFootnote0"/>
              <w:rPr>
                <w:rtl/>
              </w:rPr>
            </w:pPr>
            <w:r>
              <w:rPr>
                <w:rtl/>
              </w:rPr>
              <w:t>(2).</w:t>
            </w:r>
            <w:r w:rsidRPr="00132E65">
              <w:rPr>
                <w:rtl/>
              </w:rPr>
              <w:t xml:space="preserve"> في العيون والإرشاد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(3).</w:t>
      </w:r>
      <w:r w:rsidRPr="00132E65">
        <w:rPr>
          <w:rtl/>
        </w:rPr>
        <w:t xml:space="preserve"> </w:t>
      </w:r>
      <w:r w:rsidRPr="00BF5921">
        <w:rPr>
          <w:rtl/>
        </w:rPr>
        <w:t>الإرشاد</w:t>
      </w:r>
      <w:r w:rsidRPr="00132E65">
        <w:rPr>
          <w:rtl/>
        </w:rPr>
        <w:t xml:space="preserve"> ، ج 2 ، ص 251 ؛ و</w:t>
      </w:r>
      <w:r w:rsidRPr="00BF5921">
        <w:rPr>
          <w:rtl/>
        </w:rPr>
        <w:t>الغيبة</w:t>
      </w:r>
      <w:r w:rsidRPr="00132E65">
        <w:rPr>
          <w:rtl/>
        </w:rPr>
        <w:t xml:space="preserve"> للطوسي ، ص 38 ، ح 17 ، عن الكليني. وفي </w:t>
      </w:r>
      <w:r w:rsidRPr="00BF5921">
        <w:rPr>
          <w:rtl/>
        </w:rPr>
        <w:t>عيون الأخبار</w:t>
      </w:r>
      <w:r w:rsidRPr="00132E65">
        <w:rPr>
          <w:rtl/>
        </w:rPr>
        <w:t xml:space="preserve"> ، ج 1 ، ص 31 ، ح 26 ؛ و</w:t>
      </w:r>
      <w:r w:rsidRPr="00BF5921">
        <w:rPr>
          <w:rtl/>
        </w:rPr>
        <w:t>رجال الكشّي</w:t>
      </w:r>
      <w:r w:rsidRPr="00132E65">
        <w:rPr>
          <w:rtl/>
        </w:rPr>
        <w:t xml:space="preserve"> ، ص 451 ، ح 849 ، بسندهما عن سعيد بن أبي الجهم</w:t>
      </w:r>
      <w:r>
        <w:rPr>
          <w:rFonts w:hint="cs"/>
          <w:rtl/>
        </w:rPr>
        <w:t>.</w:t>
      </w:r>
      <w:r w:rsidRPr="009D1ACE">
        <w:rPr>
          <w:rStyle w:val="libFootnoteBoldChar"/>
          <w:rtl/>
        </w:rPr>
        <w:t>الوافي</w:t>
      </w:r>
      <w:r w:rsidRPr="00132E65">
        <w:rPr>
          <w:rtl/>
        </w:rPr>
        <w:t xml:space="preserve"> ، ج 2 ، ص 358 ، ح 834.</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أن »</w:t>
            </w:r>
            <w:r>
              <w:rPr>
                <w:rtl/>
              </w:rPr>
              <w:t>.</w:t>
            </w:r>
          </w:p>
        </w:tc>
        <w:tc>
          <w:tcPr>
            <w:tcW w:w="4006" w:type="dxa"/>
          </w:tcPr>
          <w:p w:rsidR="000C39D1" w:rsidRDefault="000C39D1" w:rsidP="00B53873">
            <w:pPr>
              <w:pStyle w:val="libFootnote0"/>
              <w:rPr>
                <w:rtl/>
              </w:rPr>
            </w:pPr>
            <w:r>
              <w:rPr>
                <w:rtl/>
              </w:rPr>
              <w:t>(5).</w:t>
            </w:r>
            <w:r w:rsidRPr="00132E65">
              <w:rPr>
                <w:rtl/>
              </w:rPr>
              <w:t xml:space="preserve"> في الإرشاد والغيبة : « جاء »</w:t>
            </w:r>
            <w:r>
              <w:rPr>
                <w:rtl/>
              </w:rPr>
              <w:t>.</w:t>
            </w:r>
          </w:p>
        </w:tc>
      </w:tr>
    </w:tbl>
    <w:p w:rsidR="000C39D1" w:rsidRPr="00132E65" w:rsidRDefault="000C39D1" w:rsidP="000C39D1">
      <w:pPr>
        <w:pStyle w:val="libFootnote0"/>
        <w:rPr>
          <w:rtl/>
          <w:lang w:bidi="fa-IR"/>
        </w:rPr>
      </w:pPr>
      <w:r>
        <w:rPr>
          <w:rtl/>
        </w:rPr>
        <w:t>(6).</w:t>
      </w:r>
      <w:r w:rsidRPr="00132E65">
        <w:rPr>
          <w:rtl/>
        </w:rPr>
        <w:t xml:space="preserve"> « النَعْيُ » : الإخبار بالموت. يقال : نَعَى الميّتَ ينعاه نَعْياً ونَعِيّاً ، إذا أذاع موته وأخبر به ، وإذا ندبه. </w:t>
      </w:r>
      <w:r w:rsidRPr="00BF5921">
        <w:rPr>
          <w:rtl/>
        </w:rPr>
        <w:t>النهاية</w:t>
      </w:r>
      <w:r w:rsidRPr="00132E65">
        <w:rPr>
          <w:rtl/>
        </w:rPr>
        <w:t xml:space="preserve"> ، ج 5 ، ص 85 ( نعا )</w:t>
      </w:r>
      <w:r>
        <w:rPr>
          <w:rtl/>
        </w:rPr>
        <w:t>.</w:t>
      </w:r>
      <w:r>
        <w:rPr>
          <w:rFonts w:hint="cs"/>
          <w:rtl/>
        </w:rPr>
        <w:t xml:space="preserve">                                    </w:t>
      </w:r>
      <w:r>
        <w:rPr>
          <w:rtl/>
        </w:rPr>
        <w:t>(7).</w:t>
      </w:r>
      <w:r w:rsidRPr="00132E65">
        <w:rPr>
          <w:rtl/>
        </w:rPr>
        <w:t xml:space="preserve"> في الإرشاد والغيبة :</w:t>
      </w:r>
      <w:r>
        <w:rPr>
          <w:rtl/>
        </w:rPr>
        <w:t xml:space="preserve"> + </w:t>
      </w:r>
      <w:r w:rsidRPr="00132E65">
        <w:rPr>
          <w:rtl/>
        </w:rPr>
        <w:t>« الرضا »</w:t>
      </w:r>
      <w:r>
        <w:rPr>
          <w:rtl/>
        </w:rPr>
        <w:t>.</w:t>
      </w:r>
    </w:p>
    <w:p w:rsidR="000C39D1" w:rsidRPr="00132E65" w:rsidRDefault="000C39D1" w:rsidP="000C39D1">
      <w:pPr>
        <w:pStyle w:val="libFootnote0"/>
        <w:rPr>
          <w:rtl/>
          <w:lang w:bidi="fa-IR"/>
        </w:rPr>
      </w:pPr>
      <w:r>
        <w:rPr>
          <w:rtl/>
        </w:rPr>
        <w:t>(8).</w:t>
      </w:r>
      <w:r w:rsidRPr="00132E65">
        <w:rPr>
          <w:rtl/>
        </w:rPr>
        <w:t xml:space="preserve"> في الإرشاد والغيبة : « أبو الحسن الرضا </w:t>
      </w:r>
      <w:r w:rsidRPr="00A428F4">
        <w:rPr>
          <w:rStyle w:val="libFootnoteAlaemChar"/>
          <w:rtl/>
        </w:rPr>
        <w:t>عليه‌السلام</w:t>
      </w:r>
      <w:r w:rsidRPr="00132E65">
        <w:rPr>
          <w:rtl/>
        </w:rPr>
        <w:t xml:space="preserve"> » بدل « أبو الحسن </w:t>
      </w:r>
      <w:r w:rsidRPr="00A428F4">
        <w:rPr>
          <w:rStyle w:val="libFootnoteAlaemChar"/>
          <w:rtl/>
        </w:rPr>
        <w:t>عليه‌السلام</w:t>
      </w:r>
      <w:r w:rsidRPr="00132E65">
        <w:rPr>
          <w:rtl/>
        </w:rPr>
        <w:t xml:space="preserve"> ابنه »</w:t>
      </w:r>
      <w:r>
        <w:rPr>
          <w:rtl/>
        </w:rPr>
        <w:t>.</w:t>
      </w:r>
    </w:p>
    <w:p w:rsidR="000C39D1" w:rsidRPr="00132E65" w:rsidRDefault="000C39D1" w:rsidP="000C39D1">
      <w:pPr>
        <w:pStyle w:val="libFootnote0"/>
        <w:rPr>
          <w:rtl/>
          <w:lang w:bidi="fa-IR"/>
        </w:rPr>
      </w:pPr>
      <w:r>
        <w:rPr>
          <w:rtl/>
        </w:rPr>
        <w:t>(9).</w:t>
      </w:r>
      <w:r w:rsidRPr="00132E65">
        <w:rPr>
          <w:rtl/>
        </w:rPr>
        <w:t xml:space="preserve"> </w:t>
      </w:r>
      <w:r w:rsidRPr="00BF5921">
        <w:rPr>
          <w:rtl/>
        </w:rPr>
        <w:t>الإرشاد</w:t>
      </w:r>
      <w:r w:rsidRPr="00132E65">
        <w:rPr>
          <w:rtl/>
        </w:rPr>
        <w:t xml:space="preserve"> ، ج 2 ، ص 251 ، بسنده عن الكليني ؛ </w:t>
      </w:r>
      <w:r w:rsidRPr="00BF5921">
        <w:rPr>
          <w:rtl/>
        </w:rPr>
        <w:t>الغيبة</w:t>
      </w:r>
      <w:r w:rsidRPr="00132E65">
        <w:rPr>
          <w:rtl/>
        </w:rPr>
        <w:t xml:space="preserve"> للطوسي ، ص 39 ، ح 18 ، عن الكليني. </w:t>
      </w:r>
      <w:r w:rsidRPr="00BF5921">
        <w:rPr>
          <w:rtl/>
        </w:rPr>
        <w:t>رجال الكشّي</w:t>
      </w:r>
      <w:r w:rsidRPr="00132E65">
        <w:rPr>
          <w:rtl/>
        </w:rPr>
        <w:t xml:space="preserve"> ، ص 313 ، ح 565 ، بسنده عن الضحّاك بن الأشعث ، مع اختلاف يسير</w:t>
      </w:r>
      <w:r>
        <w:rPr>
          <w:rFonts w:hint="cs"/>
          <w:rtl/>
        </w:rPr>
        <w:t>.</w:t>
      </w:r>
      <w:r w:rsidRPr="009D1ACE">
        <w:rPr>
          <w:rStyle w:val="libFootnoteBoldChar"/>
          <w:rtl/>
        </w:rPr>
        <w:t>الوافي</w:t>
      </w:r>
      <w:r w:rsidRPr="00132E65">
        <w:rPr>
          <w:rtl/>
        </w:rPr>
        <w:t xml:space="preserve"> ، ج 2 ، ص 359 ، ح 835.</w:t>
      </w:r>
    </w:p>
    <w:p w:rsidR="000C39D1" w:rsidRPr="00132E65" w:rsidRDefault="000C39D1" w:rsidP="000C39D1">
      <w:pPr>
        <w:pStyle w:val="libFootnote0"/>
        <w:rPr>
          <w:rtl/>
          <w:lang w:bidi="fa-IR"/>
        </w:rPr>
      </w:pPr>
      <w:r>
        <w:rPr>
          <w:rtl/>
        </w:rPr>
        <w:t>(10).</w:t>
      </w:r>
      <w:r w:rsidRPr="00132E65">
        <w:rPr>
          <w:rtl/>
        </w:rPr>
        <w:t xml:space="preserve"> في الإرشاد والغيبة : « عليّ بن الحكم » بدل « أبي الحكم الأرمني »</w:t>
      </w:r>
      <w:r>
        <w:rPr>
          <w:rtl/>
        </w:rPr>
        <w:t>.</w:t>
      </w:r>
      <w:r w:rsidRPr="00132E65">
        <w:rPr>
          <w:rtl/>
        </w:rPr>
        <w:t xml:space="preserve"> وهو سهو كما سيظهر من قوله : « قال أبوالحكم »</w:t>
      </w:r>
      <w:r>
        <w:rPr>
          <w:rtl/>
        </w:rPr>
        <w:t>.</w:t>
      </w:r>
    </w:p>
    <w:p w:rsidR="000C39D1" w:rsidRPr="00132E65" w:rsidRDefault="000C39D1" w:rsidP="000C39D1">
      <w:pPr>
        <w:pStyle w:val="libFootnote0"/>
        <w:rPr>
          <w:rtl/>
          <w:lang w:bidi="fa-IR"/>
        </w:rPr>
      </w:pPr>
      <w:r>
        <w:rPr>
          <w:rtl/>
        </w:rPr>
        <w:t>(11).</w:t>
      </w:r>
      <w:r w:rsidRPr="00132E65">
        <w:rPr>
          <w:rtl/>
        </w:rPr>
        <w:t xml:space="preserve"> أبو الحكم هذا ، هو أبو الحكم الأرمني ، وله إلى يزيد بن سليط طريقان ، ويروي عنه في كلا الطريقين : أحمدبن مهران عن محمّد بن عليّ. فعليه في السند تحويل وتعليق معاً. فتأمّل.</w:t>
      </w:r>
    </w:p>
    <w:p w:rsidR="000C39D1" w:rsidRPr="00132E65" w:rsidRDefault="000C39D1" w:rsidP="000C39D1">
      <w:pPr>
        <w:pStyle w:val="libFootnote0"/>
        <w:rPr>
          <w:rtl/>
          <w:lang w:bidi="fa-IR"/>
        </w:rPr>
      </w:pPr>
      <w:r>
        <w:rPr>
          <w:rtl/>
        </w:rPr>
        <w:t>(12).</w:t>
      </w:r>
      <w:r w:rsidRPr="00132E65">
        <w:rPr>
          <w:rtl/>
        </w:rPr>
        <w:t xml:space="preserve"> في « بف » : « عمّار »</w:t>
      </w:r>
      <w:r>
        <w:rPr>
          <w:rtl/>
        </w:rPr>
        <w:t>.</w:t>
      </w:r>
      <w:r w:rsidRPr="00132E65">
        <w:rPr>
          <w:rtl/>
        </w:rPr>
        <w:t xml:space="preserve"> وفي حاشيتها : « عمران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يَزِيدَ بْنِ سَلِيطٍ ، قَالَ :</w:t>
      </w:r>
    </w:p>
    <w:p w:rsidR="000C39D1" w:rsidRPr="00132E65" w:rsidRDefault="000C39D1" w:rsidP="000C39D1">
      <w:pPr>
        <w:pStyle w:val="libNormal"/>
        <w:rPr>
          <w:rtl/>
          <w:lang w:bidi="fa-IR"/>
        </w:rPr>
      </w:pPr>
      <w:r w:rsidRPr="00132E65">
        <w:rPr>
          <w:rtl/>
          <w:lang w:bidi="fa-IR"/>
        </w:rPr>
        <w:t xml:space="preserve">لَقِيتُ أَبَا إِبْرَاهِيمَ </w:t>
      </w:r>
      <w:r w:rsidRPr="00071CF9">
        <w:rPr>
          <w:rStyle w:val="libAlaemChar"/>
          <w:rtl/>
        </w:rPr>
        <w:t>عليه‌السلام</w:t>
      </w:r>
      <w:r>
        <w:rPr>
          <w:rtl/>
          <w:lang w:bidi="fa-IR"/>
        </w:rPr>
        <w:t xml:space="preserve"> - </w:t>
      </w:r>
      <w:r w:rsidRPr="00132E65">
        <w:rPr>
          <w:rtl/>
          <w:lang w:bidi="fa-IR"/>
        </w:rPr>
        <w:t>ونَحْنُ نُرِيدُ الْعُمْرَةَ</w:t>
      </w:r>
      <w:r>
        <w:rPr>
          <w:rtl/>
          <w:lang w:bidi="fa-IR"/>
        </w:rPr>
        <w:t xml:space="preserve"> - </w:t>
      </w:r>
      <w:r w:rsidRPr="00132E65">
        <w:rPr>
          <w:rtl/>
          <w:lang w:bidi="fa-IR"/>
        </w:rPr>
        <w:t xml:space="preserve">فِي بَعْضِ الطَّرِيقِ ، فَقُلْتُ </w:t>
      </w:r>
      <w:r>
        <w:rPr>
          <w:rStyle w:val="libFootnotenumChar"/>
          <w:rtl/>
        </w:rPr>
        <w:t>(1)</w:t>
      </w:r>
      <w:r w:rsidRPr="00132E65">
        <w:rPr>
          <w:rtl/>
          <w:lang w:bidi="fa-IR"/>
        </w:rPr>
        <w:t xml:space="preserve"> : جُعِلْتُ فِدَاكَ ، هَلْ تُثْبِتُ </w:t>
      </w:r>
      <w:r>
        <w:rPr>
          <w:rStyle w:val="libFootnotenumChar"/>
          <w:rtl/>
        </w:rPr>
        <w:t>(2)</w:t>
      </w:r>
      <w:r w:rsidRPr="00132E65">
        <w:rPr>
          <w:rtl/>
          <w:lang w:bidi="fa-IR"/>
        </w:rPr>
        <w:t xml:space="preserve"> هذَا الْمَوْضِعَ الَّذِي نَحْنُ فِيهِ</w:t>
      </w:r>
      <w:r>
        <w:rPr>
          <w:rtl/>
          <w:lang w:bidi="fa-IR"/>
        </w:rPr>
        <w:t>؟</w:t>
      </w:r>
      <w:r w:rsidRPr="00132E65">
        <w:rPr>
          <w:rtl/>
          <w:lang w:bidi="fa-IR"/>
        </w:rPr>
        <w:t xml:space="preserve"> قَالَ : « نَعَمْ ، فَهَلْ تُثْبِتُهُ أَنْتَ</w:t>
      </w:r>
      <w:r>
        <w:rPr>
          <w:rtl/>
          <w:lang w:bidi="fa-IR"/>
        </w:rPr>
        <w:t>؟</w:t>
      </w:r>
      <w:r w:rsidRPr="00132E65">
        <w:rPr>
          <w:rtl/>
          <w:lang w:bidi="fa-IR"/>
        </w:rPr>
        <w:t xml:space="preserve"> » قُلْتُ : نَعَمْ ، إِنِّي </w:t>
      </w:r>
      <w:r>
        <w:rPr>
          <w:rStyle w:val="libFootnotenumChar"/>
          <w:rtl/>
        </w:rPr>
        <w:t>(3)</w:t>
      </w:r>
      <w:r w:rsidRPr="00132E65">
        <w:rPr>
          <w:rtl/>
          <w:lang w:bidi="fa-IR"/>
        </w:rPr>
        <w:t xml:space="preserve"> أَنَا وأَبِي لَقِينَاكَ هَاهُنَا وأَنْتَ مَعَ أَبِي عَبْدِ اللهِ </w:t>
      </w:r>
      <w:r w:rsidRPr="00071CF9">
        <w:rPr>
          <w:rStyle w:val="libAlaemChar"/>
          <w:rtl/>
        </w:rPr>
        <w:t>عليه‌السلام</w:t>
      </w:r>
      <w:r w:rsidRPr="00132E65">
        <w:rPr>
          <w:rtl/>
          <w:lang w:bidi="fa-IR"/>
        </w:rPr>
        <w:t xml:space="preserve"> ، ومَعَهُ إِخْوَتُكَ ، فَقَالَ لَهُ أَبِي :</w:t>
      </w:r>
      <w:r>
        <w:rPr>
          <w:rFonts w:hint="cs"/>
          <w:rtl/>
          <w:lang w:bidi="fa-IR"/>
        </w:rPr>
        <w:t xml:space="preserve"> </w:t>
      </w:r>
      <w:r w:rsidRPr="00132E65">
        <w:rPr>
          <w:rtl/>
          <w:lang w:bidi="fa-IR"/>
        </w:rPr>
        <w:t xml:space="preserve">بِأَبِي أَنْتَ وأُمِّي ، أَنْتُمْ كُلُّكُمْ أَئِمَّةٌ مُطَهَّرُونَ ، والْمَوْتُ لَايَعْرى مِنْهُ أَحَدٌ ، فَأَحْدِثْ إِلَيَّ شَيْئاً أُحَدِّثْ </w:t>
      </w:r>
      <w:r>
        <w:rPr>
          <w:rStyle w:val="libFootnotenumChar"/>
          <w:rtl/>
        </w:rPr>
        <w:t>(4)</w:t>
      </w:r>
      <w:r w:rsidRPr="00132E65">
        <w:rPr>
          <w:rtl/>
          <w:lang w:bidi="fa-IR"/>
        </w:rPr>
        <w:t xml:space="preserve"> بِهِ مَنْ يَخْلُفُنِي مِنْ بَعْدِي </w:t>
      </w:r>
      <w:r>
        <w:rPr>
          <w:rStyle w:val="libFootnotenumChar"/>
          <w:rtl/>
        </w:rPr>
        <w:t>(5)</w:t>
      </w:r>
      <w:r w:rsidRPr="00132E65">
        <w:rPr>
          <w:rtl/>
          <w:lang w:bidi="fa-IR"/>
        </w:rPr>
        <w:t xml:space="preserve"> ؛ فَلَا يَضِلُّ.</w:t>
      </w:r>
    </w:p>
    <w:p w:rsidR="000C39D1" w:rsidRPr="00132E65" w:rsidRDefault="000C39D1" w:rsidP="000C39D1">
      <w:pPr>
        <w:pStyle w:val="libNormal"/>
        <w:rPr>
          <w:rtl/>
          <w:lang w:bidi="fa-IR"/>
        </w:rPr>
      </w:pPr>
      <w:r w:rsidRPr="00132E65">
        <w:rPr>
          <w:rtl/>
          <w:lang w:bidi="fa-IR"/>
        </w:rPr>
        <w:t>قَالَ : « نَعَمْ يَا أَبَا عَبْدِ اللهِ ، هؤُلَاءِ و</w:t>
      </w:r>
      <w:r>
        <w:rPr>
          <w:rFonts w:hint="cs"/>
          <w:rtl/>
          <w:lang w:bidi="fa-IR"/>
        </w:rPr>
        <w:t>ُ</w:t>
      </w:r>
      <w:r w:rsidRPr="00132E65">
        <w:rPr>
          <w:rtl/>
          <w:lang w:bidi="fa-IR"/>
        </w:rPr>
        <w:t>لْدِي ، وهذَا سَيِّدُهُمْ</w:t>
      </w:r>
      <w:r>
        <w:rPr>
          <w:rtl/>
          <w:lang w:bidi="fa-IR"/>
        </w:rPr>
        <w:t xml:space="preserve"> - </w:t>
      </w:r>
      <w:r w:rsidRPr="00132E65">
        <w:rPr>
          <w:rtl/>
          <w:lang w:bidi="fa-IR"/>
        </w:rPr>
        <w:t>وأَشَارَ إِلَيْكَ</w:t>
      </w:r>
      <w:r>
        <w:rPr>
          <w:rtl/>
          <w:lang w:bidi="fa-IR"/>
        </w:rPr>
        <w:t xml:space="preserve"> - </w:t>
      </w:r>
      <w:r w:rsidRPr="00132E65">
        <w:rPr>
          <w:rtl/>
          <w:lang w:bidi="fa-IR"/>
        </w:rPr>
        <w:t xml:space="preserve">وقَدْ عُلِّمَ </w:t>
      </w:r>
      <w:r>
        <w:rPr>
          <w:rStyle w:val="libFootnotenumChar"/>
          <w:rtl/>
        </w:rPr>
        <w:t>(6)</w:t>
      </w:r>
      <w:r w:rsidRPr="00132E65">
        <w:rPr>
          <w:rtl/>
          <w:lang w:bidi="fa-IR"/>
        </w:rPr>
        <w:t xml:space="preserve"> الْحُكْمَ </w:t>
      </w:r>
      <w:r>
        <w:rPr>
          <w:rStyle w:val="libFootnotenumChar"/>
          <w:rtl/>
        </w:rPr>
        <w:t>(7)</w:t>
      </w:r>
      <w:r w:rsidRPr="00132E65">
        <w:rPr>
          <w:rtl/>
          <w:lang w:bidi="fa-IR"/>
        </w:rPr>
        <w:t xml:space="preserve"> والْفَهْمَ </w:t>
      </w:r>
      <w:r>
        <w:rPr>
          <w:rStyle w:val="libFootnotenumChar"/>
          <w:rtl/>
        </w:rPr>
        <w:t>(8)</w:t>
      </w:r>
      <w:r w:rsidRPr="00132E65">
        <w:rPr>
          <w:rtl/>
          <w:lang w:bidi="fa-IR"/>
        </w:rPr>
        <w:t xml:space="preserve"> والسَّخَاءَ والْمَعْرِفَةَ </w:t>
      </w:r>
      <w:r>
        <w:rPr>
          <w:rStyle w:val="libFootnotenumChar"/>
          <w:rtl/>
        </w:rPr>
        <w:t>(9)</w:t>
      </w:r>
      <w:r w:rsidRPr="00132E65">
        <w:rPr>
          <w:rtl/>
          <w:lang w:bidi="fa-IR"/>
        </w:rPr>
        <w:t xml:space="preserve"> بِمَا يَحْتَاجُ إِلَيْهِ النَّاسُ ، ومَا اخْتَلَفُوا فِيهِ مِنْ أَمْرِ دِينِهِمْ ودُنْيَاهُمْ ، وفِيهِ حُسْنُ الْخُلُقِ ، وحُسْنُ الْجَوَابِ ، وهُوَ بَابٌ مِنْ أَبْوَابِ اللهِ عَزَّ‌</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ج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في « ألف ، ه‍ ، و، بر » والمطبوع : « تثبّت »</w:t>
      </w:r>
      <w:r>
        <w:rPr>
          <w:rtl/>
        </w:rPr>
        <w:t xml:space="preserve"> - </w:t>
      </w:r>
      <w:r w:rsidRPr="00132E65">
        <w:rPr>
          <w:rtl/>
        </w:rPr>
        <w:t>وكذا « تثبّته » فيما بعد</w:t>
      </w:r>
      <w:r>
        <w:rPr>
          <w:rtl/>
        </w:rPr>
        <w:t xml:space="preserve"> -.</w:t>
      </w:r>
      <w:r w:rsidRPr="00132E65">
        <w:rPr>
          <w:rtl/>
        </w:rPr>
        <w:t xml:space="preserve"> وفي الشروح : « تُثْبِتُ » من الإثبات بمعنى‌المعرفة. يقال : ثابَتَهُ وأَثْبَتَهُ ، أي عَرَفَهُ حَقَّ المعرفة ، وتساعده اللغة. </w:t>
      </w:r>
      <w:r w:rsidRPr="009D1ACE">
        <w:rPr>
          <w:rStyle w:val="libFootnoteBoldChar"/>
          <w:rtl/>
        </w:rPr>
        <w:t>لسان العرب</w:t>
      </w:r>
      <w:r w:rsidRPr="00132E65">
        <w:rPr>
          <w:rtl/>
        </w:rPr>
        <w:t xml:space="preserve"> ، ج 2 ، ص 20 ( ثبت )</w:t>
      </w:r>
      <w:r>
        <w:rPr>
          <w:rtl/>
        </w:rPr>
        <w:t>.</w:t>
      </w:r>
    </w:p>
    <w:p w:rsidR="000C39D1" w:rsidRPr="00132E65" w:rsidRDefault="000C39D1" w:rsidP="000C39D1">
      <w:pPr>
        <w:pStyle w:val="libFootnote0"/>
        <w:rPr>
          <w:rtl/>
          <w:lang w:bidi="fa-IR"/>
        </w:rPr>
      </w:pPr>
      <w:r>
        <w:rPr>
          <w:rtl/>
        </w:rPr>
        <w:t>(3).</w:t>
      </w:r>
      <w:r w:rsidRPr="00132E65">
        <w:rPr>
          <w:rtl/>
        </w:rPr>
        <w:t xml:space="preserve"> في « </w:t>
      </w:r>
      <w:r w:rsidRPr="009D1ACE">
        <w:rPr>
          <w:rStyle w:val="libFootnoteBoldChar"/>
          <w:rtl/>
        </w:rPr>
        <w:t>الوافي</w:t>
      </w:r>
      <w:r w:rsidRPr="00132E65">
        <w:rPr>
          <w:rtl/>
        </w:rPr>
        <w:t xml:space="preserve"> » </w:t>
      </w:r>
      <w:r>
        <w:rPr>
          <w:rtl/>
        </w:rPr>
        <w:t xml:space="preserve">: - </w:t>
      </w:r>
      <w:r w:rsidRPr="00132E65">
        <w:rPr>
          <w:rtl/>
        </w:rPr>
        <w:t>« إنّي »</w:t>
      </w:r>
      <w:r>
        <w:rPr>
          <w:rtl/>
        </w:rPr>
        <w:t>.</w:t>
      </w:r>
    </w:p>
    <w:p w:rsidR="000C39D1" w:rsidRPr="00132E65" w:rsidRDefault="000C39D1" w:rsidP="000C39D1">
      <w:pPr>
        <w:pStyle w:val="libFootnote0"/>
        <w:rPr>
          <w:rtl/>
          <w:lang w:bidi="fa-IR"/>
        </w:rPr>
      </w:pPr>
      <w:r>
        <w:rPr>
          <w:rtl/>
        </w:rPr>
        <w:t>(4).</w:t>
      </w:r>
      <w:r w:rsidRPr="00132E65">
        <w:rPr>
          <w:rtl/>
        </w:rPr>
        <w:t xml:space="preserve"> قوله : « ا</w:t>
      </w:r>
      <w:r>
        <w:rPr>
          <w:rFonts w:hint="cs"/>
          <w:rtl/>
        </w:rPr>
        <w:t>ُ</w:t>
      </w:r>
      <w:r w:rsidRPr="00132E65">
        <w:rPr>
          <w:rtl/>
        </w:rPr>
        <w:t xml:space="preserve">حدّث » إمّا مجزوم في جواب الأمر ، أو مرفوع صفة لقوله : « شيئاً » ، كما في « ض » </w:t>
      </w:r>
      <w:r>
        <w:rPr>
          <w:rtl/>
        </w:rPr>
        <w:t>و «</w:t>
      </w:r>
      <w:r w:rsidRPr="00132E65">
        <w:rPr>
          <w:rtl/>
        </w:rPr>
        <w:t xml:space="preserve"> بر »</w:t>
      </w:r>
      <w:r>
        <w:rPr>
          <w:rtl/>
        </w:rPr>
        <w:t>.</w:t>
      </w:r>
      <w:r w:rsidRPr="00132E65">
        <w:rPr>
          <w:rtl/>
        </w:rPr>
        <w:t xml:space="preserve"> هذا في الشروح. وأمّا قوله : « فلا يضلّ » فمنصوب جواباً للأمر على الثاني ، أو مرفوع تفريعاً محضاً على الأوّل.</w:t>
      </w:r>
    </w:p>
    <w:p w:rsidR="000C39D1" w:rsidRPr="00132E65" w:rsidRDefault="000C39D1" w:rsidP="000C39D1">
      <w:pPr>
        <w:pStyle w:val="libFootnote0"/>
        <w:rPr>
          <w:rtl/>
          <w:lang w:bidi="fa-IR"/>
        </w:rPr>
      </w:pPr>
      <w:r>
        <w:rPr>
          <w:rtl/>
        </w:rPr>
        <w:t>(5).</w:t>
      </w:r>
      <w:r w:rsidRPr="00132E65">
        <w:rPr>
          <w:rtl/>
        </w:rPr>
        <w:t xml:space="preserve"> « من يَخْلُفُني من بعدي » ، أي يجي‌ء. يقال : خَلَفْتُهُ ، أي جئتُ بعده. قال المجلسي : « فيه نوع من الأدب بإظهار أنّي لا أتوقّع بقائي بعدك ، لكن أسأل ذلك لأولادي وغيرهم ممّن يكون بعدي »</w:t>
      </w:r>
      <w:r>
        <w:rPr>
          <w:rtl/>
        </w:rPr>
        <w:t>.</w:t>
      </w:r>
      <w:r w:rsidRPr="00132E65">
        <w:rPr>
          <w:rtl/>
        </w:rPr>
        <w:t xml:space="preserve"> راجع : </w:t>
      </w:r>
      <w:r w:rsidRPr="00BF5921">
        <w:rPr>
          <w:rtl/>
        </w:rPr>
        <w:t>المصباح المنير</w:t>
      </w:r>
      <w:r w:rsidRPr="00132E65">
        <w:rPr>
          <w:rtl/>
        </w:rPr>
        <w:t xml:space="preserve"> ، ص 178 ( خلف ) ؛ </w:t>
      </w:r>
      <w:r w:rsidRPr="009D1ACE">
        <w:rPr>
          <w:rStyle w:val="libFootnoteBoldChar"/>
          <w:rtl/>
        </w:rPr>
        <w:t>مرآة العقول</w:t>
      </w:r>
      <w:r w:rsidRPr="00132E65">
        <w:rPr>
          <w:rtl/>
        </w:rPr>
        <w:t xml:space="preserve"> ، ج 3 ، ص 347.</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وقد علم ، على بناء المعلوم المجرّد ، أو على بناء المجهول من التفعيل »</w:t>
      </w:r>
      <w:r>
        <w:rPr>
          <w:rtl/>
        </w:rPr>
        <w:t>.</w:t>
      </w:r>
    </w:p>
    <w:p w:rsidR="000C39D1" w:rsidRPr="00132E65" w:rsidRDefault="000C39D1" w:rsidP="000C39D1">
      <w:pPr>
        <w:pStyle w:val="libFootnote0"/>
        <w:rPr>
          <w:rtl/>
          <w:lang w:bidi="fa-IR"/>
        </w:rPr>
      </w:pPr>
      <w:r>
        <w:rPr>
          <w:rtl/>
        </w:rPr>
        <w:t>(7).</w:t>
      </w:r>
      <w:r w:rsidRPr="00132E65">
        <w:rPr>
          <w:rtl/>
        </w:rPr>
        <w:t xml:space="preserve"> « الحُكْمُ » : العلم والفقه والقضاء بالعدل. أو الحِكْمَةُ ، وهي معرفة أفضل الأشياء بأفضل العلوم ، ويقال لمن‌يُحسن الصناعات ويُتْقِنها : حكيم. راجع : </w:t>
      </w:r>
      <w:r w:rsidRPr="00BF5921">
        <w:rPr>
          <w:rtl/>
        </w:rPr>
        <w:t>النهاية</w:t>
      </w:r>
      <w:r w:rsidRPr="00132E65">
        <w:rPr>
          <w:rtl/>
        </w:rPr>
        <w:t xml:space="preserve"> ، ج 1 ، ص 419 ( حكم )</w:t>
      </w:r>
      <w:r>
        <w:rPr>
          <w:rtl/>
        </w:rPr>
        <w:t>.</w:t>
      </w:r>
    </w:p>
    <w:p w:rsidR="000C39D1" w:rsidRPr="00132E65" w:rsidRDefault="000C39D1" w:rsidP="000C39D1">
      <w:pPr>
        <w:pStyle w:val="libFootnote0"/>
        <w:rPr>
          <w:rtl/>
          <w:lang w:bidi="fa-IR"/>
        </w:rPr>
      </w:pPr>
      <w:r>
        <w:rPr>
          <w:rtl/>
        </w:rPr>
        <w:t>(8).</w:t>
      </w:r>
      <w:r w:rsidRPr="00132E65">
        <w:rPr>
          <w:rtl/>
        </w:rPr>
        <w:t xml:space="preserve"> قال المجلسي : « الفهم : سرعة انتقال الذهن إلى مقصود المتكلّم عند التحاكم وغيره »</w:t>
      </w:r>
      <w:r>
        <w:rPr>
          <w:rtl/>
        </w:rPr>
        <w:t>.</w:t>
      </w:r>
      <w:r w:rsidRPr="00132E65">
        <w:rPr>
          <w:rtl/>
        </w:rPr>
        <w:t xml:space="preserve"> وراجع : هامش </w:t>
      </w:r>
      <w:r w:rsidRPr="00BF5921">
        <w:rPr>
          <w:rtl/>
        </w:rPr>
        <w:t>القاموس المحيط</w:t>
      </w:r>
      <w:r w:rsidRPr="00132E65">
        <w:rPr>
          <w:rtl/>
        </w:rPr>
        <w:t xml:space="preserve"> ، ج 2 ، ص 1509 ( فهم )</w:t>
      </w:r>
      <w:r>
        <w:rPr>
          <w:rtl/>
        </w:rPr>
        <w:t>.</w:t>
      </w:r>
    </w:p>
    <w:p w:rsidR="000C39D1" w:rsidRPr="00132E65" w:rsidRDefault="000C39D1" w:rsidP="000C39D1">
      <w:pPr>
        <w:pStyle w:val="libFootnote0"/>
        <w:rPr>
          <w:rtl/>
          <w:lang w:bidi="fa-IR"/>
        </w:rPr>
      </w:pPr>
      <w:r>
        <w:rPr>
          <w:rtl/>
        </w:rPr>
        <w:t>(9).</w:t>
      </w:r>
      <w:r w:rsidRPr="00132E65">
        <w:rPr>
          <w:rtl/>
        </w:rPr>
        <w:t xml:space="preserve"> « ال</w:t>
      </w:r>
      <w:r>
        <w:rPr>
          <w:rFonts w:hint="cs"/>
          <w:rtl/>
        </w:rPr>
        <w:t>ـ</w:t>
      </w:r>
      <w:r w:rsidRPr="00132E65">
        <w:rPr>
          <w:rtl/>
        </w:rPr>
        <w:t xml:space="preserve">مَعْرِفَةُ » </w:t>
      </w:r>
      <w:r>
        <w:rPr>
          <w:rtl/>
        </w:rPr>
        <w:t>و «</w:t>
      </w:r>
      <w:r w:rsidRPr="00132E65">
        <w:rPr>
          <w:rtl/>
        </w:rPr>
        <w:t xml:space="preserve"> العِرْفان » : إدراك الشي‌ء بتفكّر وتدبّر لأثره ، وهو أخصّ من العلم ، ويضادّه الإنكار ، ويقال : فلان يعرف اللهَ ، ولا يقال : يعلم اللهَ متعدّياً إلى مفعول واحد ، ويقال : الله يعلم كذا ، ولا يقال : يعرف كذا. راجع : </w:t>
      </w:r>
      <w:r w:rsidRPr="00BF5921">
        <w:rPr>
          <w:rtl/>
        </w:rPr>
        <w:t>المفردات</w:t>
      </w:r>
      <w:r w:rsidRPr="00132E65">
        <w:rPr>
          <w:rtl/>
        </w:rPr>
        <w:t xml:space="preserve"> للراغب ، ص 56 ( عرف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وَجَلَّ ، وفِيهِ أُخْرى خَيْرٌ مِنْ هذَا كُلِّهِ »</w:t>
      </w:r>
      <w:r>
        <w:rPr>
          <w:rtl/>
          <w:lang w:bidi="fa-IR"/>
        </w:rPr>
        <w:t>.</w:t>
      </w:r>
    </w:p>
    <w:p w:rsidR="000C39D1" w:rsidRPr="00132E65" w:rsidRDefault="000C39D1" w:rsidP="000C39D1">
      <w:pPr>
        <w:pStyle w:val="libNormal"/>
        <w:rPr>
          <w:rtl/>
          <w:lang w:bidi="fa-IR"/>
        </w:rPr>
      </w:pPr>
      <w:r w:rsidRPr="00132E65">
        <w:rPr>
          <w:rtl/>
          <w:lang w:bidi="fa-IR"/>
        </w:rPr>
        <w:t>فَقَالَ لَهُ أَبِي : ومَا هِيَ بِأَبِي أَنْتَ وأُمِّي</w:t>
      </w:r>
      <w:r>
        <w:rPr>
          <w:rtl/>
          <w:lang w:bidi="fa-IR"/>
        </w:rPr>
        <w:t>؟</w:t>
      </w:r>
    </w:p>
    <w:p w:rsidR="000C39D1" w:rsidRPr="00132E65" w:rsidRDefault="000C39D1" w:rsidP="000C39D1">
      <w:pPr>
        <w:pStyle w:val="libNormal"/>
        <w:rPr>
          <w:rtl/>
          <w:lang w:bidi="fa-IR"/>
        </w:rPr>
      </w:pPr>
      <w:r w:rsidRPr="00132E65">
        <w:rPr>
          <w:rtl/>
          <w:lang w:bidi="fa-IR"/>
        </w:rPr>
        <w:t xml:space="preserve">قَالَ </w:t>
      </w:r>
      <w:r w:rsidRPr="00071CF9">
        <w:rPr>
          <w:rStyle w:val="libAlaemChar"/>
          <w:rtl/>
        </w:rPr>
        <w:t>عليه‌السلام</w:t>
      </w:r>
      <w:r w:rsidRPr="00132E65">
        <w:rPr>
          <w:rtl/>
          <w:lang w:bidi="fa-IR"/>
        </w:rPr>
        <w:t xml:space="preserve"> : « يُخْرِجُ اللهُ</w:t>
      </w:r>
      <w:r>
        <w:rPr>
          <w:rtl/>
          <w:lang w:bidi="fa-IR"/>
        </w:rPr>
        <w:t xml:space="preserve"> - </w:t>
      </w:r>
      <w:r w:rsidRPr="00132E65">
        <w:rPr>
          <w:rtl/>
          <w:lang w:bidi="fa-IR"/>
        </w:rPr>
        <w:t>عَزَّ وجَلَّ</w:t>
      </w:r>
      <w:r>
        <w:rPr>
          <w:rtl/>
          <w:lang w:bidi="fa-IR"/>
        </w:rPr>
        <w:t xml:space="preserve"> - </w:t>
      </w:r>
      <w:r w:rsidRPr="00132E65">
        <w:rPr>
          <w:rtl/>
          <w:lang w:bidi="fa-IR"/>
        </w:rPr>
        <w:t xml:space="preserve">مِنْهُ </w:t>
      </w:r>
      <w:r>
        <w:rPr>
          <w:rStyle w:val="libFootnotenumChar"/>
          <w:rtl/>
        </w:rPr>
        <w:t>(1)</w:t>
      </w:r>
      <w:r w:rsidRPr="00132E65">
        <w:rPr>
          <w:rtl/>
          <w:lang w:bidi="fa-IR"/>
        </w:rPr>
        <w:t xml:space="preserve"> غَوْثَ </w:t>
      </w:r>
      <w:r>
        <w:rPr>
          <w:rStyle w:val="libFootnotenumChar"/>
          <w:rtl/>
        </w:rPr>
        <w:t>(2)</w:t>
      </w:r>
      <w:r w:rsidRPr="00132E65">
        <w:rPr>
          <w:rtl/>
          <w:lang w:bidi="fa-IR"/>
        </w:rPr>
        <w:t xml:space="preserve"> هذِهِ الْأُمَّةِ وغِيَاثَهَا ، وعَلَمَهَا وَنُورَهَا ، وفَضْلَهَا وحِكْمَتَهَا </w:t>
      </w:r>
      <w:r>
        <w:rPr>
          <w:rStyle w:val="libFootnotenumChar"/>
          <w:rtl/>
        </w:rPr>
        <w:t>(3)</w:t>
      </w:r>
      <w:r w:rsidRPr="00132E65">
        <w:rPr>
          <w:rtl/>
          <w:lang w:bidi="fa-IR"/>
        </w:rPr>
        <w:t xml:space="preserve"> ، خَيْرُ مَوْلُودٍ ، وخَيْرُ نَاشِىً </w:t>
      </w:r>
      <w:r>
        <w:rPr>
          <w:rStyle w:val="libFootnotenumChar"/>
          <w:rtl/>
        </w:rPr>
        <w:t>(4)</w:t>
      </w:r>
      <w:r w:rsidRPr="00132E65">
        <w:rPr>
          <w:rtl/>
          <w:lang w:bidi="fa-IR"/>
        </w:rPr>
        <w:t xml:space="preserve"> يَحْقُنُ </w:t>
      </w:r>
      <w:r>
        <w:rPr>
          <w:rStyle w:val="libFootnotenumChar"/>
          <w:rtl/>
        </w:rPr>
        <w:t>(5)</w:t>
      </w:r>
      <w:r w:rsidRPr="00132E65">
        <w:rPr>
          <w:rtl/>
          <w:lang w:bidi="fa-IR"/>
        </w:rPr>
        <w:t xml:space="preserve"> اللهُ</w:t>
      </w:r>
      <w:r>
        <w:rPr>
          <w:rtl/>
          <w:lang w:bidi="fa-IR"/>
        </w:rPr>
        <w:t xml:space="preserve"> - </w:t>
      </w:r>
      <w:r w:rsidRPr="00132E65">
        <w:rPr>
          <w:rtl/>
          <w:lang w:bidi="fa-IR"/>
        </w:rPr>
        <w:t>عَزَّ وجَلَّ</w:t>
      </w:r>
      <w:r>
        <w:rPr>
          <w:rtl/>
          <w:lang w:bidi="fa-IR"/>
        </w:rPr>
        <w:t xml:space="preserve"> - </w:t>
      </w:r>
      <w:r w:rsidRPr="00132E65">
        <w:rPr>
          <w:rtl/>
          <w:lang w:bidi="fa-IR"/>
        </w:rPr>
        <w:t xml:space="preserve">بِهِ الدِّمَاءَ ، ويُصْلِحُ بِهِ ذَاتَ الْبَيْنِ ، ويَلُمُّ </w:t>
      </w:r>
      <w:r>
        <w:rPr>
          <w:rStyle w:val="libFootnotenumChar"/>
          <w:rtl/>
        </w:rPr>
        <w:t>(6)</w:t>
      </w:r>
      <w:r w:rsidRPr="00132E65">
        <w:rPr>
          <w:rtl/>
          <w:lang w:bidi="fa-IR"/>
        </w:rPr>
        <w:t xml:space="preserve"> بِهِ الشَّعْثَ </w:t>
      </w:r>
      <w:r>
        <w:rPr>
          <w:rStyle w:val="libFootnotenumChar"/>
          <w:rtl/>
        </w:rPr>
        <w:t>(7)</w:t>
      </w:r>
      <w:r w:rsidRPr="00132E65">
        <w:rPr>
          <w:rtl/>
          <w:lang w:bidi="fa-IR"/>
        </w:rPr>
        <w:t xml:space="preserve"> ، ويَشْعَبُ </w:t>
      </w:r>
      <w:r>
        <w:rPr>
          <w:rStyle w:val="libFootnotenumChar"/>
          <w:rtl/>
        </w:rPr>
        <w:t>(8)</w:t>
      </w:r>
      <w:r w:rsidRPr="00132E65">
        <w:rPr>
          <w:rtl/>
          <w:lang w:bidi="fa-IR"/>
        </w:rPr>
        <w:t xml:space="preserve"> بِهِ الصَّدْعَ </w:t>
      </w:r>
      <w:r>
        <w:rPr>
          <w:rStyle w:val="libFootnotenumChar"/>
          <w:rtl/>
        </w:rPr>
        <w:t>(9)</w:t>
      </w:r>
      <w:r w:rsidRPr="00132E65">
        <w:rPr>
          <w:rtl/>
          <w:lang w:bidi="fa-IR"/>
        </w:rPr>
        <w:t xml:space="preserve"> ، ويَكْسُو بِهِ الْعَارِيَ ، ويُشْبِعُ بِهِ الْجَائِعَ ، ويُؤْمِنُ بِهِ الْخَائِفَ ، ويُنْزِلُ </w:t>
      </w:r>
      <w:r>
        <w:rPr>
          <w:rStyle w:val="libFootnotenumChar"/>
          <w:rtl/>
        </w:rPr>
        <w:t>(10)</w:t>
      </w:r>
      <w:r w:rsidRPr="00132E65">
        <w:rPr>
          <w:rtl/>
          <w:lang w:bidi="fa-IR"/>
        </w:rPr>
        <w:t xml:space="preserve"> اللهُ </w:t>
      </w:r>
      <w:r>
        <w:rPr>
          <w:rStyle w:val="libFootnotenumChar"/>
          <w:rtl/>
        </w:rPr>
        <w:t>(11)</w:t>
      </w:r>
      <w:r w:rsidRPr="00132E65">
        <w:rPr>
          <w:rtl/>
          <w:lang w:bidi="fa-IR"/>
        </w:rPr>
        <w:t xml:space="preserve"> بِهِ الْقَطْرَ </w:t>
      </w:r>
      <w:r>
        <w:rPr>
          <w:rStyle w:val="libFootnotenumChar"/>
          <w:rtl/>
        </w:rPr>
        <w:t>(12)</w:t>
      </w:r>
      <w:r w:rsidRPr="00132E65">
        <w:rPr>
          <w:rtl/>
          <w:lang w:bidi="fa-IR"/>
        </w:rPr>
        <w:t xml:space="preserve"> ، ويَرْحَمُ بِهِ الْعِبَادَ ، خَيْرُ </w:t>
      </w:r>
      <w:r w:rsidRPr="00F543F1">
        <w:rPr>
          <w:rStyle w:val="libFootnotenumChar"/>
          <w:rtl/>
        </w:rPr>
        <w:t>(13)</w:t>
      </w:r>
      <w:r w:rsidRPr="00132E65">
        <w:rPr>
          <w:rtl/>
          <w:lang w:bidi="fa-IR"/>
        </w:rPr>
        <w:t xml:space="preserve"> كَهْلٍ </w:t>
      </w:r>
      <w:r w:rsidRPr="00F543F1">
        <w:rPr>
          <w:rStyle w:val="libFootnotenumChar"/>
          <w:rtl/>
        </w:rPr>
        <w:t>(14)</w:t>
      </w:r>
      <w:r w:rsidRPr="00132E65">
        <w:rPr>
          <w:rtl/>
          <w:lang w:bidi="fa-IR"/>
        </w:rPr>
        <w:t xml:space="preserve"> ، وخَيْرُ نَاشِىً ، قَوْلُهُ حُكْمٌ ، وصَمْتُهُ عِلْمٌ ، يُبَيِّنُ لِلنَّاسِ مَا يَخْتَلِفُونَ‌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w:t>
      </w:r>
      <w:r>
        <w:rPr>
          <w:rtl/>
        </w:rPr>
        <w:t xml:space="preserve">: - </w:t>
      </w:r>
      <w:r w:rsidRPr="00132E65">
        <w:rPr>
          <w:rtl/>
        </w:rPr>
        <w:t>« منه »</w:t>
      </w:r>
      <w:r>
        <w:rPr>
          <w:rtl/>
        </w:rPr>
        <w:t>.</w:t>
      </w:r>
    </w:p>
    <w:p w:rsidR="000C39D1" w:rsidRPr="00132E65" w:rsidRDefault="000C39D1" w:rsidP="000C39D1">
      <w:pPr>
        <w:pStyle w:val="libFootnote0"/>
        <w:rPr>
          <w:rtl/>
          <w:lang w:bidi="fa-IR"/>
        </w:rPr>
      </w:pPr>
      <w:r>
        <w:rPr>
          <w:rtl/>
        </w:rPr>
        <w:t>(2).</w:t>
      </w:r>
      <w:r w:rsidRPr="00132E65">
        <w:rPr>
          <w:rtl/>
        </w:rPr>
        <w:t xml:space="preserve"> « الغوث » : اسم من أغاثه إغاثةً ، إذا أعانه ونصره. والغياث اسم من أغاثه ، إذا كشف شدّته. راجع : </w:t>
      </w:r>
      <w:r w:rsidRPr="001E0518">
        <w:rPr>
          <w:rtl/>
        </w:rPr>
        <w:t>المصباح المنير</w:t>
      </w:r>
      <w:r w:rsidRPr="00132E65">
        <w:rPr>
          <w:rtl/>
        </w:rPr>
        <w:t xml:space="preserve"> ، ص 455 ( غوث )</w:t>
      </w:r>
      <w:r>
        <w:rPr>
          <w:rtl/>
        </w:rPr>
        <w:t>.</w:t>
      </w:r>
      <w:r>
        <w:rPr>
          <w:rFonts w:hint="cs"/>
          <w:rtl/>
        </w:rPr>
        <w:t xml:space="preserve">                                 </w:t>
      </w:r>
      <w:r>
        <w:rPr>
          <w:rtl/>
        </w:rPr>
        <w:t>(3).</w:t>
      </w:r>
      <w:r w:rsidRPr="00132E65">
        <w:rPr>
          <w:rtl/>
        </w:rPr>
        <w:t xml:space="preserve"> في « بح » و</w:t>
      </w:r>
      <w:r w:rsidRPr="009D1ACE">
        <w:rPr>
          <w:rStyle w:val="libFootnoteBoldChar"/>
          <w:rtl/>
        </w:rPr>
        <w:t>الوافي</w:t>
      </w:r>
      <w:r w:rsidRPr="00132E65">
        <w:rPr>
          <w:rtl/>
        </w:rPr>
        <w:t xml:space="preserve"> : « حكمها »</w:t>
      </w:r>
      <w:r>
        <w:rPr>
          <w:rtl/>
        </w:rPr>
        <w:t>.</w:t>
      </w:r>
    </w:p>
    <w:p w:rsidR="000C39D1" w:rsidRPr="00132E65" w:rsidRDefault="000C39D1" w:rsidP="000C39D1">
      <w:pPr>
        <w:pStyle w:val="libFootnote0"/>
        <w:rPr>
          <w:rtl/>
          <w:lang w:bidi="fa-IR"/>
        </w:rPr>
      </w:pPr>
      <w:r>
        <w:rPr>
          <w:rtl/>
        </w:rPr>
        <w:t>(4).</w:t>
      </w:r>
      <w:r w:rsidRPr="00132E65">
        <w:rPr>
          <w:rtl/>
        </w:rPr>
        <w:t xml:space="preserve"> « الناشِئ » ، من نشأ الصبيّ يَنْشَأ نَشْأً ، إذا كبر وشَبَّ وأيْفَعَ ، أي ناهز البلوغ ولم يتكامل ، وحقيقته الذي ارتفع عن حدّ الصبا وقرب من الإدراك من قولهم : نشأ السحاب ، إذا ارتفع. راجع : </w:t>
      </w:r>
      <w:r w:rsidRPr="001E0518">
        <w:rPr>
          <w:rtl/>
        </w:rPr>
        <w:t>النهاية</w:t>
      </w:r>
      <w:r w:rsidRPr="00132E65">
        <w:rPr>
          <w:rtl/>
        </w:rPr>
        <w:t xml:space="preserve"> ، ج 5 ، ص 51 ؛ المغرب ، ص 451 ( نشأ )</w:t>
      </w:r>
      <w:r>
        <w:rPr>
          <w:rtl/>
        </w:rPr>
        <w:t>.</w:t>
      </w:r>
    </w:p>
    <w:p w:rsidR="000C39D1" w:rsidRPr="00132E65" w:rsidRDefault="000C39D1" w:rsidP="000C39D1">
      <w:pPr>
        <w:pStyle w:val="libFootnote0"/>
        <w:rPr>
          <w:rtl/>
          <w:lang w:bidi="fa-IR"/>
        </w:rPr>
      </w:pPr>
      <w:r>
        <w:rPr>
          <w:rtl/>
        </w:rPr>
        <w:t>(5).</w:t>
      </w:r>
      <w:r w:rsidRPr="00132E65">
        <w:rPr>
          <w:rtl/>
        </w:rPr>
        <w:t xml:space="preserve"> يقال : حَقَنْتُ لَهُ دَمَهُ ، إذا منعت من قتله وإراقته. </w:t>
      </w:r>
      <w:r w:rsidRPr="001E0518">
        <w:rPr>
          <w:rtl/>
        </w:rPr>
        <w:t>النهاية</w:t>
      </w:r>
      <w:r w:rsidRPr="00132E65">
        <w:rPr>
          <w:rtl/>
        </w:rPr>
        <w:t xml:space="preserve"> ، ج 1 ، ص 416 ( حقن )</w:t>
      </w:r>
      <w:r>
        <w:rPr>
          <w:rtl/>
        </w:rPr>
        <w:t>.</w:t>
      </w:r>
    </w:p>
    <w:p w:rsidR="000C39D1" w:rsidRPr="00132E65" w:rsidRDefault="000C39D1" w:rsidP="000C39D1">
      <w:pPr>
        <w:pStyle w:val="libFootnote0"/>
        <w:rPr>
          <w:rtl/>
          <w:lang w:bidi="fa-IR"/>
        </w:rPr>
      </w:pPr>
      <w:r>
        <w:rPr>
          <w:rtl/>
        </w:rPr>
        <w:t>(6).</w:t>
      </w:r>
      <w:r w:rsidRPr="00132E65">
        <w:rPr>
          <w:rtl/>
        </w:rPr>
        <w:t xml:space="preserve"> « يَلُمُّ » ، أي يجمع ، من اللَمّ ، مصدر لَمَّ الشي‌ءَ يَلُمُّهُ لَمّاً ، أي جمعه وأصلحه. راجع : </w:t>
      </w:r>
      <w:r w:rsidRPr="009D1ACE">
        <w:rPr>
          <w:rStyle w:val="libFootnoteBoldChar"/>
          <w:rtl/>
        </w:rPr>
        <w:t>لسان العرب</w:t>
      </w:r>
      <w:r w:rsidRPr="001E0518">
        <w:rPr>
          <w:rtl/>
        </w:rPr>
        <w:t xml:space="preserve"> </w:t>
      </w:r>
      <w:r w:rsidRPr="00132E65">
        <w:rPr>
          <w:rtl/>
        </w:rPr>
        <w:t>، ج 12 ، ص 547 ( لمم )</w:t>
      </w:r>
      <w:r>
        <w:rPr>
          <w:rtl/>
        </w:rPr>
        <w:t>.</w:t>
      </w:r>
    </w:p>
    <w:p w:rsidR="000C39D1" w:rsidRPr="00132E65" w:rsidRDefault="000C39D1" w:rsidP="000C39D1">
      <w:pPr>
        <w:pStyle w:val="libFootnote0"/>
        <w:rPr>
          <w:rtl/>
          <w:lang w:bidi="fa-IR"/>
        </w:rPr>
      </w:pPr>
      <w:r>
        <w:rPr>
          <w:rtl/>
        </w:rPr>
        <w:t>(7).</w:t>
      </w:r>
      <w:r w:rsidRPr="00132E65">
        <w:rPr>
          <w:rtl/>
        </w:rPr>
        <w:t xml:space="preserve"> « الشَعْثُ » </w:t>
      </w:r>
      <w:r>
        <w:rPr>
          <w:rtl/>
        </w:rPr>
        <w:t>و «</w:t>
      </w:r>
      <w:r w:rsidRPr="00132E65">
        <w:rPr>
          <w:rtl/>
        </w:rPr>
        <w:t xml:space="preserve"> الشَعَثُ » : انتشار الأمر وخَلَلُهُ. يقال : لَمَّ الله شَعَثَهُ ، أي جمع ما تفرّق من ا</w:t>
      </w:r>
      <w:r>
        <w:rPr>
          <w:rFonts w:hint="cs"/>
          <w:rtl/>
        </w:rPr>
        <w:t>ُ</w:t>
      </w:r>
      <w:r w:rsidRPr="00132E65">
        <w:rPr>
          <w:rtl/>
        </w:rPr>
        <w:t xml:space="preserve">موره وأصلحه. راجع : </w:t>
      </w:r>
      <w:r w:rsidRPr="009D1ACE">
        <w:rPr>
          <w:rStyle w:val="libFootnoteBoldChar"/>
          <w:rtl/>
        </w:rPr>
        <w:t>لسان العرب</w:t>
      </w:r>
      <w:r w:rsidRPr="00132E65">
        <w:rPr>
          <w:rtl/>
        </w:rPr>
        <w:t xml:space="preserve"> ، ج 2 ، ص 160 ( شعث )</w:t>
      </w:r>
      <w:r>
        <w:rPr>
          <w:rtl/>
        </w:rPr>
        <w:t>.</w:t>
      </w:r>
    </w:p>
    <w:p w:rsidR="000C39D1" w:rsidRPr="00132E65" w:rsidRDefault="000C39D1" w:rsidP="000C39D1">
      <w:pPr>
        <w:pStyle w:val="libFootnote0"/>
        <w:rPr>
          <w:rtl/>
          <w:lang w:bidi="fa-IR"/>
        </w:rPr>
      </w:pPr>
      <w:r>
        <w:rPr>
          <w:rtl/>
        </w:rPr>
        <w:t>(8).</w:t>
      </w:r>
      <w:r w:rsidRPr="00132E65">
        <w:rPr>
          <w:rtl/>
        </w:rPr>
        <w:t xml:space="preserve"> « الشَعْب » : الشقّ في الشي‌ء ، وإصلاحه أيضاً الشَعْبُ. تقول : شعبتُ الشي‌ءَ : فرّقته ، وشعبتُه : جمعته ، وهو من الأضداد. تقول : التَأَمَ شَعْبُهُمْ ، إذا اجتمعوا بعد التفرّق ، وتفرّق شَعْبُهُمْ ، إذا تفرّقوا بعد الاجتماع. راجع : </w:t>
      </w:r>
      <w:r w:rsidRPr="001E0518">
        <w:rPr>
          <w:rtl/>
        </w:rPr>
        <w:t>الصحاح</w:t>
      </w:r>
      <w:r w:rsidRPr="00132E65">
        <w:rPr>
          <w:rtl/>
        </w:rPr>
        <w:t xml:space="preserve"> ، ج 1 ، ص 156 ( شعب )</w:t>
      </w:r>
      <w:r>
        <w:rPr>
          <w:rtl/>
        </w:rPr>
        <w:t>.</w:t>
      </w:r>
    </w:p>
    <w:p w:rsidR="000C39D1" w:rsidRPr="00132E65" w:rsidRDefault="000C39D1" w:rsidP="000C39D1">
      <w:pPr>
        <w:pStyle w:val="libFootnote0"/>
        <w:rPr>
          <w:rtl/>
          <w:lang w:bidi="fa-IR"/>
        </w:rPr>
      </w:pPr>
      <w:r>
        <w:rPr>
          <w:rtl/>
        </w:rPr>
        <w:t>(9).</w:t>
      </w:r>
      <w:r w:rsidRPr="00132E65">
        <w:rPr>
          <w:rtl/>
        </w:rPr>
        <w:t xml:space="preserve"> « الصَدْع » : الشَقّ والتفرّق ، فالمعنى يجمع به التفرّق. راجع : </w:t>
      </w:r>
      <w:r w:rsidRPr="001E0518">
        <w:rPr>
          <w:rtl/>
        </w:rPr>
        <w:t>الصحاح</w:t>
      </w:r>
      <w:r w:rsidRPr="00132E65">
        <w:rPr>
          <w:rtl/>
        </w:rPr>
        <w:t xml:space="preserve"> ، ج 3 ، ص 1241 ( صدع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في « ب ، بر » : « ينزّل »</w:t>
            </w:r>
            <w:r>
              <w:rPr>
                <w:rtl/>
              </w:rPr>
              <w:t>.</w:t>
            </w:r>
          </w:p>
        </w:tc>
        <w:tc>
          <w:tcPr>
            <w:tcW w:w="4006" w:type="dxa"/>
          </w:tcPr>
          <w:p w:rsidR="000C39D1" w:rsidRDefault="000C39D1" w:rsidP="00B53873">
            <w:pPr>
              <w:pStyle w:val="libFootnote0"/>
              <w:rPr>
                <w:rtl/>
              </w:rPr>
            </w:pPr>
            <w:r>
              <w:rPr>
                <w:rtl/>
              </w:rPr>
              <w:t>(11).</w:t>
            </w:r>
            <w:r w:rsidRPr="00132E65">
              <w:rPr>
                <w:rtl/>
              </w:rPr>
              <w:t xml:space="preserve"> في « ف ، بف »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(12).</w:t>
      </w:r>
      <w:r w:rsidRPr="00132E65">
        <w:rPr>
          <w:rtl/>
        </w:rPr>
        <w:t xml:space="preserve"> قال الجوهري : « القَطْر : المطر. والقَطْر : جمع قَطْرَةٍ »</w:t>
      </w:r>
      <w:r>
        <w:rPr>
          <w:rtl/>
        </w:rPr>
        <w:t>.</w:t>
      </w:r>
      <w:r w:rsidRPr="00132E65">
        <w:rPr>
          <w:rtl/>
        </w:rPr>
        <w:t xml:space="preserve"> </w:t>
      </w:r>
      <w:r w:rsidRPr="001E0518">
        <w:rPr>
          <w:rtl/>
        </w:rPr>
        <w:t>الصحاح</w:t>
      </w:r>
      <w:r w:rsidRPr="00132E65">
        <w:rPr>
          <w:rtl/>
        </w:rPr>
        <w:t xml:space="preserve"> ، ج 2 ، ص 795 ( قطر )</w:t>
      </w:r>
      <w:r>
        <w:rPr>
          <w:rtl/>
        </w:rPr>
        <w:t>.</w:t>
      </w:r>
    </w:p>
    <w:p w:rsidR="000C39D1" w:rsidRPr="00132E65" w:rsidRDefault="000C39D1" w:rsidP="000C39D1">
      <w:pPr>
        <w:pStyle w:val="libFootnote0"/>
        <w:rPr>
          <w:rtl/>
          <w:lang w:bidi="fa-IR"/>
        </w:rPr>
      </w:pPr>
      <w:r>
        <w:rPr>
          <w:rtl/>
        </w:rPr>
        <w:t>(13)</w:t>
      </w:r>
      <w:r w:rsidRPr="00132E65">
        <w:rPr>
          <w:rtl/>
        </w:rPr>
        <w:t xml:space="preserve"> في شرح المازندراني : « وخير »</w:t>
      </w:r>
      <w:r>
        <w:rPr>
          <w:rtl/>
        </w:rPr>
        <w:t>.</w:t>
      </w:r>
    </w:p>
    <w:p w:rsidR="000C39D1" w:rsidRPr="00132E65" w:rsidRDefault="000C39D1" w:rsidP="000C39D1">
      <w:pPr>
        <w:pStyle w:val="libFootnote0"/>
        <w:rPr>
          <w:rtl/>
          <w:lang w:bidi="fa-IR"/>
        </w:rPr>
      </w:pPr>
      <w:r>
        <w:rPr>
          <w:rtl/>
        </w:rPr>
        <w:t>(14)</w:t>
      </w:r>
      <w:r w:rsidRPr="00132E65">
        <w:rPr>
          <w:rtl/>
        </w:rPr>
        <w:t xml:space="preserve"> قال ابن الأثير : « الكَهْلُ من الرجال : من زاد على ثلاثين سنة إلى الأربعين. </w:t>
      </w:r>
      <w:r>
        <w:rPr>
          <w:rtl/>
        </w:rPr>
        <w:t>وقيل : من ثلاث وثلاثين إلى تمام</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فِيهِ ، ويَسُودُ عَشِيرَتَهُ </w:t>
      </w:r>
      <w:r>
        <w:rPr>
          <w:rStyle w:val="libFootnotenumChar"/>
          <w:rtl/>
        </w:rPr>
        <w:t>(1)</w:t>
      </w:r>
      <w:r w:rsidRPr="00132E65">
        <w:rPr>
          <w:rtl/>
          <w:lang w:bidi="fa-IR"/>
        </w:rPr>
        <w:t xml:space="preserve"> مِنْ قَبْلِ أَوَانِ حُلُمِهِ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لَهُ أَبِي : بِأَبِي </w:t>
      </w:r>
      <w:r>
        <w:rPr>
          <w:rStyle w:val="libFootnotenumChar"/>
          <w:rtl/>
        </w:rPr>
        <w:t>(3)</w:t>
      </w:r>
      <w:r w:rsidRPr="00132E65">
        <w:rPr>
          <w:rtl/>
          <w:lang w:bidi="fa-IR"/>
        </w:rPr>
        <w:t xml:space="preserve"> أَنْتَ </w:t>
      </w:r>
      <w:r>
        <w:rPr>
          <w:rStyle w:val="libFootnotenumChar"/>
          <w:rtl/>
        </w:rPr>
        <w:t>(4)</w:t>
      </w:r>
      <w:r w:rsidRPr="00132E65">
        <w:rPr>
          <w:rtl/>
          <w:lang w:bidi="fa-IR"/>
        </w:rPr>
        <w:t xml:space="preserve"> وأُمِّي ، وهَلْ ولِدَ</w:t>
      </w:r>
      <w:r>
        <w:rPr>
          <w:rtl/>
          <w:lang w:bidi="fa-IR"/>
        </w:rPr>
        <w:t>؟</w:t>
      </w:r>
      <w:r w:rsidRPr="00132E65">
        <w:rPr>
          <w:rtl/>
          <w:lang w:bidi="fa-IR"/>
        </w:rPr>
        <w:t xml:space="preserve"> قَالَ : « نَعَمْ ، ومَرَّتْ بِهِ سِنُونَ »</w:t>
      </w:r>
      <w:r>
        <w:rPr>
          <w:rtl/>
          <w:lang w:bidi="fa-IR"/>
        </w:rPr>
        <w:t>.</w:t>
      </w:r>
    </w:p>
    <w:p w:rsidR="000C39D1" w:rsidRPr="00132E65" w:rsidRDefault="000C39D1" w:rsidP="000C39D1">
      <w:pPr>
        <w:pStyle w:val="libNormal"/>
        <w:rPr>
          <w:rtl/>
          <w:lang w:bidi="fa-IR"/>
        </w:rPr>
      </w:pPr>
      <w:r w:rsidRPr="00132E65">
        <w:rPr>
          <w:rtl/>
          <w:lang w:bidi="fa-IR"/>
        </w:rPr>
        <w:t xml:space="preserve">قَالَ يَزِيدُ : فَجَاءَنَا مَنْ لَمْ نَسْتَطِعْ مَعَهُ كَلَاماً ، قَالَ يَزِيدُ : فَقُلْتُ لِأَبِي إِبْرَاهِيمَ </w:t>
      </w:r>
      <w:r w:rsidRPr="00071CF9">
        <w:rPr>
          <w:rStyle w:val="libAlaemChar"/>
          <w:rtl/>
        </w:rPr>
        <w:t>عليه‌السلام</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فَأَخْبِرْنِي أَنْتَ بِمِثْلِ مَا أَخْبَرَنِي بِهِ أَبُوكَ </w:t>
      </w:r>
      <w:r w:rsidRPr="00071CF9">
        <w:rPr>
          <w:rStyle w:val="libAlaemChar"/>
          <w:rtl/>
        </w:rPr>
        <w:t>عليه‌السلام</w:t>
      </w:r>
      <w:r w:rsidRPr="00132E65">
        <w:rPr>
          <w:rtl/>
          <w:lang w:bidi="fa-IR"/>
        </w:rPr>
        <w:t xml:space="preserve"> ، فَقَالَ </w:t>
      </w:r>
      <w:r>
        <w:rPr>
          <w:rStyle w:val="libFootnotenumChar"/>
          <w:rtl/>
        </w:rPr>
        <w:t>(5)</w:t>
      </w:r>
      <w:r w:rsidRPr="00132E65">
        <w:rPr>
          <w:rtl/>
          <w:lang w:bidi="fa-IR"/>
        </w:rPr>
        <w:t xml:space="preserve"> لِي : « نَعَمْ ، إِنَّ أَبِي </w:t>
      </w:r>
      <w:r w:rsidRPr="00071CF9">
        <w:rPr>
          <w:rStyle w:val="libAlaemChar"/>
          <w:rtl/>
        </w:rPr>
        <w:t>عليه‌السلام</w:t>
      </w:r>
      <w:r w:rsidRPr="00132E65">
        <w:rPr>
          <w:rtl/>
          <w:lang w:bidi="fa-IR"/>
        </w:rPr>
        <w:t xml:space="preserve"> كَانَ فِي زَمَانٍ لَيْسَ هذَا زَمَانَهُ »</w:t>
      </w:r>
      <w:r>
        <w:rPr>
          <w:rtl/>
          <w:lang w:bidi="fa-IR"/>
        </w:rPr>
        <w:t>.</w:t>
      </w:r>
    </w:p>
    <w:p w:rsidR="000C39D1" w:rsidRPr="00132E65" w:rsidRDefault="000C39D1" w:rsidP="000C39D1">
      <w:pPr>
        <w:pStyle w:val="libNormal"/>
        <w:rPr>
          <w:rtl/>
          <w:lang w:bidi="fa-IR"/>
        </w:rPr>
      </w:pPr>
      <w:r w:rsidRPr="00132E65">
        <w:rPr>
          <w:rtl/>
          <w:lang w:bidi="fa-IR"/>
        </w:rPr>
        <w:t>فَقُلْتُ لَهُ : فَمَنْ يَرْضى مِنْكَ بِهذَا ، فَعَلَيْهِ لَعْنَةُ اللهِ.</w:t>
      </w:r>
    </w:p>
    <w:p w:rsidR="000C39D1" w:rsidRPr="00132E65" w:rsidRDefault="000C39D1" w:rsidP="000C39D1">
      <w:pPr>
        <w:pStyle w:val="libNormal"/>
        <w:rPr>
          <w:rtl/>
          <w:lang w:bidi="fa-IR"/>
        </w:rPr>
      </w:pPr>
      <w:r w:rsidRPr="00132E65">
        <w:rPr>
          <w:rtl/>
          <w:lang w:bidi="fa-IR"/>
        </w:rPr>
        <w:t xml:space="preserve">قَالَ : فَضَحِكَ أَبُو إِبْرَاهِيمَ </w:t>
      </w:r>
      <w:r w:rsidRPr="00071CF9">
        <w:rPr>
          <w:rStyle w:val="libAlaemChar"/>
          <w:rtl/>
        </w:rPr>
        <w:t>عليه‌السلام</w:t>
      </w:r>
      <w:r w:rsidRPr="00132E65">
        <w:rPr>
          <w:rtl/>
          <w:lang w:bidi="fa-IR"/>
        </w:rPr>
        <w:t xml:space="preserve"> ضَحِكاً شَدِيداً ، ثُمَّ قَالَ : « أُخْبِرُكَ يَا أَبَا عُمَارَةَ ، إِنِّي خَرَجْتُ مِنْ مَنْزِلِي ، فَأَوْصَيْتُ إِلَى ابْنِي فُلَانٍ </w:t>
      </w:r>
      <w:r>
        <w:rPr>
          <w:rStyle w:val="libFootnotenumChar"/>
          <w:rtl/>
        </w:rPr>
        <w:t>(6)</w:t>
      </w:r>
      <w:r w:rsidRPr="00132E65">
        <w:rPr>
          <w:rtl/>
          <w:lang w:bidi="fa-IR"/>
        </w:rPr>
        <w:t xml:space="preserve"> ، وأَشْرَكْتُ مَعَهُ بَنِيَّ فِي الظَّاهِرِ ، وَأَوْصَيْتُهُ فِي الْبَاطِنِ ، فَأَفْرَدْتُهُ وحْدَهُ ، ولَوْ كَانَ الْأَمْرُ إِلَيَّ لَجَعَلْتُهُ فِي الْقَاسِمِ ابْنِي ؛ لِحُبِّي إِيَّاهُ ، ورَأْفَتِي </w:t>
      </w:r>
      <w:r>
        <w:rPr>
          <w:rStyle w:val="libFootnotenumChar"/>
          <w:rtl/>
        </w:rPr>
        <w:t>(7)</w:t>
      </w:r>
      <w:r w:rsidRPr="00132E65">
        <w:rPr>
          <w:rtl/>
          <w:lang w:bidi="fa-IR"/>
        </w:rPr>
        <w:t xml:space="preserve"> عَلَيْهِ ، ولكِنْ ذلِكَ إِلَى اللهِ عَزَّ وجَلَّ ، يَجْعَلُهُ حَيْثُ يَشَاءُ ، ولَقَدْ جَاءَنِي بِخَبَرِهِ رَسُولُ اللهِ </w:t>
      </w:r>
      <w:r w:rsidRPr="00071CF9">
        <w:rPr>
          <w:rStyle w:val="libAlaemChar"/>
          <w:rtl/>
        </w:rPr>
        <w:t>صلى‌الله‌عليه‌وآله</w:t>
      </w:r>
      <w:r w:rsidRPr="00132E65">
        <w:rPr>
          <w:rtl/>
          <w:lang w:bidi="fa-IR"/>
        </w:rPr>
        <w:t xml:space="preserve"> </w:t>
      </w:r>
      <w:r>
        <w:rPr>
          <w:rStyle w:val="libFootnotenumChar"/>
          <w:rtl/>
        </w:rPr>
        <w:t>(8)</w:t>
      </w:r>
      <w:r w:rsidRPr="00132E65">
        <w:rPr>
          <w:rtl/>
          <w:lang w:bidi="fa-IR"/>
        </w:rPr>
        <w:t xml:space="preserve"> ، ثُمَّ أَرَانِيهِ ، وأَرَانِي مَنْ يَكُونُ مَعَهُ ؛ وكَذلِكَ لَايُوصى‌</w:t>
      </w:r>
    </w:p>
    <w:p w:rsidR="000C39D1" w:rsidRPr="00132E65" w:rsidRDefault="000C39D1" w:rsidP="000C39D1">
      <w:pPr>
        <w:pStyle w:val="libLine"/>
        <w:rPr>
          <w:rtl/>
          <w:lang w:bidi="fa-IR"/>
        </w:rPr>
      </w:pPr>
      <w:r w:rsidRPr="00132E65">
        <w:rPr>
          <w:rtl/>
          <w:lang w:bidi="fa-IR"/>
        </w:rPr>
        <w:t>__________________</w:t>
      </w:r>
    </w:p>
    <w:p w:rsidR="000C39D1" w:rsidRDefault="000C39D1" w:rsidP="000C39D1">
      <w:pPr>
        <w:pStyle w:val="libFootnote0"/>
        <w:rPr>
          <w:rtl/>
        </w:rPr>
      </w:pPr>
      <w:r>
        <w:rPr>
          <w:rFonts w:hint="cs"/>
          <w:rtl/>
        </w:rPr>
        <w:t xml:space="preserve">= </w:t>
      </w:r>
      <w:r w:rsidRPr="00132E65">
        <w:rPr>
          <w:rtl/>
        </w:rPr>
        <w:t>الخمسين »</w:t>
      </w:r>
      <w:r>
        <w:rPr>
          <w:rtl/>
        </w:rPr>
        <w:t>.</w:t>
      </w:r>
      <w:r w:rsidRPr="00132E65">
        <w:rPr>
          <w:rtl/>
        </w:rPr>
        <w:t xml:space="preserve"> قال المازندراني : « ويحتمل أن يراد بالكهل هاهنا الحليم الحكيم العاقل ، من باب الكناية » راجع : </w:t>
      </w:r>
      <w:r w:rsidRPr="001E0518">
        <w:rPr>
          <w:rtl/>
        </w:rPr>
        <w:t>النهاية</w:t>
      </w:r>
      <w:r w:rsidRPr="00132E65">
        <w:rPr>
          <w:rtl/>
        </w:rPr>
        <w:t xml:space="preserve"> ، ج 4 ، ص 213 ( كهل ) ؛ </w:t>
      </w:r>
      <w:r w:rsidRPr="001E0518">
        <w:rPr>
          <w:rtl/>
        </w:rPr>
        <w:t>شرح المازندراني</w:t>
      </w:r>
      <w:r>
        <w:rPr>
          <w:rtl/>
        </w:rPr>
        <w:t xml:space="preserve"> ، ج 6 ، ص 172.</w:t>
      </w:r>
    </w:p>
    <w:p w:rsidR="000C39D1" w:rsidRPr="00132E65" w:rsidRDefault="000C39D1" w:rsidP="000C39D1">
      <w:pPr>
        <w:pStyle w:val="libFootnote0"/>
        <w:rPr>
          <w:rtl/>
          <w:lang w:bidi="fa-IR"/>
        </w:rPr>
      </w:pPr>
      <w:r>
        <w:rPr>
          <w:rtl/>
        </w:rPr>
        <w:t>(1).</w:t>
      </w:r>
      <w:r w:rsidRPr="00132E65">
        <w:rPr>
          <w:rtl/>
        </w:rPr>
        <w:t xml:space="preserve"> « العَشِيرَة » : اسم لكلّ جماعة من أقارب الرجل الذين يتكثّر بهم ، أي يصيرون له بمنزلة العدد الكامل ، وذلك أنّ العشرة هو العدد الكامل. أو هي أقاربه القريبة الذين يعاشرونه ويعاشرهم من العِشْرَة بمعنى الصحبة. راجع : </w:t>
      </w:r>
      <w:r w:rsidRPr="001E0518">
        <w:rPr>
          <w:rtl/>
        </w:rPr>
        <w:t>المفردات</w:t>
      </w:r>
      <w:r w:rsidRPr="00132E65">
        <w:rPr>
          <w:rtl/>
        </w:rPr>
        <w:t xml:space="preserve"> للراغب ، ص 567 ؛ </w:t>
      </w:r>
      <w:r w:rsidRPr="001E0518">
        <w:rPr>
          <w:rtl/>
        </w:rPr>
        <w:t>النهاية</w:t>
      </w:r>
      <w:r w:rsidRPr="00132E65">
        <w:rPr>
          <w:rtl/>
        </w:rPr>
        <w:t xml:space="preserve"> ، ج 3 ، ص 240 ( عشر )</w:t>
      </w:r>
      <w:r>
        <w:rPr>
          <w:rtl/>
        </w:rPr>
        <w:t>.</w:t>
      </w:r>
    </w:p>
    <w:p w:rsidR="000C39D1" w:rsidRPr="00132E65" w:rsidRDefault="000C39D1" w:rsidP="000C39D1">
      <w:pPr>
        <w:pStyle w:val="libFootnote0"/>
        <w:rPr>
          <w:rtl/>
          <w:lang w:bidi="fa-IR"/>
        </w:rPr>
      </w:pPr>
      <w:r>
        <w:rPr>
          <w:rtl/>
        </w:rPr>
        <w:t>(2).</w:t>
      </w:r>
      <w:r w:rsidRPr="00132E65">
        <w:rPr>
          <w:rtl/>
        </w:rPr>
        <w:t xml:space="preserve"> « الحُلْم » : الجماع في النوع ، والاسم : الحُلُمْ. أو الحِلْم بمعنى الأناة والعقل. وعليهما فهو كناية عن البلوغ الذي يكون للناس ؛ فإنّ الإمام لا يحتلم وهو الكامل عند الولادة بل قبلها. راجع : </w:t>
      </w:r>
      <w:r w:rsidRPr="001E0518">
        <w:rPr>
          <w:rtl/>
        </w:rPr>
        <w:t>القاموس المحيط</w:t>
      </w:r>
      <w:r w:rsidRPr="00132E65">
        <w:rPr>
          <w:rtl/>
        </w:rPr>
        <w:t xml:space="preserve"> ، ج 2 ، ص 1445 ( حلم ) ؛ </w:t>
      </w:r>
      <w:r w:rsidRPr="009D1ACE">
        <w:rPr>
          <w:rStyle w:val="libFootnoteBoldChar"/>
          <w:rtl/>
        </w:rPr>
        <w:t>مرآة العقول</w:t>
      </w:r>
      <w:r w:rsidRPr="00132E65">
        <w:rPr>
          <w:rtl/>
        </w:rPr>
        <w:t xml:space="preserve"> ، ج 3 ، ص 351.</w:t>
      </w:r>
    </w:p>
    <w:p w:rsidR="000C39D1" w:rsidRPr="00132E65" w:rsidRDefault="000C39D1" w:rsidP="000C39D1">
      <w:pPr>
        <w:pStyle w:val="libFootnote0"/>
        <w:rPr>
          <w:rtl/>
          <w:lang w:bidi="fa-IR"/>
        </w:rPr>
      </w:pPr>
      <w:r>
        <w:rPr>
          <w:rtl/>
        </w:rPr>
        <w:t>(3).</w:t>
      </w:r>
      <w:r w:rsidRPr="00132E65">
        <w:rPr>
          <w:rtl/>
        </w:rPr>
        <w:t xml:space="preserve"> لم يرد « أبي » في بعض النسخ على ما نقله المجلسي في </w:t>
      </w:r>
      <w:r w:rsidRPr="009D1ACE">
        <w:rPr>
          <w:rStyle w:val="libFootnoteBoldChar"/>
          <w:rtl/>
        </w:rPr>
        <w:t>مرآة العقول</w:t>
      </w:r>
      <w:r w:rsidRPr="00132E65">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ف » </w:t>
            </w:r>
            <w:r>
              <w:rPr>
                <w:rtl/>
              </w:rPr>
              <w:t xml:space="preserve">: - </w:t>
            </w:r>
            <w:r w:rsidRPr="00132E65">
              <w:rPr>
                <w:rtl/>
              </w:rPr>
              <w:t>« أنت »</w:t>
            </w:r>
            <w:r>
              <w:rPr>
                <w:rtl/>
              </w:rPr>
              <w:t>.</w:t>
            </w:r>
          </w:p>
        </w:tc>
        <w:tc>
          <w:tcPr>
            <w:tcW w:w="4006" w:type="dxa"/>
          </w:tcPr>
          <w:p w:rsidR="000C39D1" w:rsidRDefault="000C39D1" w:rsidP="00B53873">
            <w:pPr>
              <w:pStyle w:val="libFootnote0"/>
              <w:rPr>
                <w:rtl/>
              </w:rPr>
            </w:pPr>
            <w:r>
              <w:rPr>
                <w:rtl/>
              </w:rPr>
              <w:t>(5).</w:t>
            </w:r>
            <w:r w:rsidRPr="00132E65">
              <w:rPr>
                <w:rtl/>
              </w:rPr>
              <w:t xml:space="preserve"> في « ه‍ » : « قال »</w:t>
            </w:r>
            <w:r>
              <w:rPr>
                <w:rtl/>
              </w:rPr>
              <w:t>.</w:t>
            </w:r>
          </w:p>
        </w:tc>
      </w:tr>
    </w:tbl>
    <w:p w:rsidR="000C39D1" w:rsidRPr="00132E65" w:rsidRDefault="000C39D1" w:rsidP="000C39D1">
      <w:pPr>
        <w:pStyle w:val="libFootnote0"/>
        <w:rPr>
          <w:rtl/>
          <w:lang w:bidi="fa-IR"/>
        </w:rPr>
      </w:pPr>
      <w:r>
        <w:rPr>
          <w:rtl/>
        </w:rPr>
        <w:t>(6).</w:t>
      </w:r>
      <w:r w:rsidRPr="00132E65">
        <w:rPr>
          <w:rtl/>
        </w:rPr>
        <w:t xml:space="preserve"> في البحار :</w:t>
      </w:r>
      <w:r>
        <w:rPr>
          <w:rtl/>
        </w:rPr>
        <w:t xml:space="preserve"> + </w:t>
      </w:r>
      <w:r w:rsidRPr="00132E65">
        <w:rPr>
          <w:rtl/>
        </w:rPr>
        <w:t xml:space="preserve">« يعني عليّاً الرضا </w:t>
      </w:r>
      <w:r w:rsidRPr="001517C3">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(7).</w:t>
      </w:r>
      <w:r w:rsidRPr="00132E65">
        <w:rPr>
          <w:rtl/>
        </w:rPr>
        <w:t xml:space="preserve"> قال الجوهري : « الرأفة : أشدّ الرحمة »</w:t>
      </w:r>
      <w:r>
        <w:rPr>
          <w:rtl/>
        </w:rPr>
        <w:t>.</w:t>
      </w:r>
      <w:r w:rsidRPr="00132E65">
        <w:rPr>
          <w:rtl/>
        </w:rPr>
        <w:t xml:space="preserve"> وقال ابن الأثير : « الرأفة أرقّ من الرحمة ، ولا تكاد تقع في الكراهة ، والرحمة قد تقع في الكراهة للمصلحة »</w:t>
      </w:r>
      <w:r>
        <w:rPr>
          <w:rtl/>
        </w:rPr>
        <w:t>.</w:t>
      </w:r>
      <w:r w:rsidRPr="00132E65">
        <w:rPr>
          <w:rtl/>
        </w:rPr>
        <w:t xml:space="preserve"> راجع : </w:t>
      </w:r>
      <w:r w:rsidRPr="001E0518">
        <w:rPr>
          <w:rtl/>
        </w:rPr>
        <w:t>الصحاح</w:t>
      </w:r>
      <w:r w:rsidRPr="00132E65">
        <w:rPr>
          <w:rtl/>
        </w:rPr>
        <w:t xml:space="preserve"> ، ج 4 ، ص 1362 ؛ </w:t>
      </w:r>
      <w:r w:rsidRPr="001E0518">
        <w:rPr>
          <w:rtl/>
        </w:rPr>
        <w:t>النهاية</w:t>
      </w:r>
      <w:r w:rsidRPr="00132E65">
        <w:rPr>
          <w:rtl/>
        </w:rPr>
        <w:t xml:space="preserve"> ، ج 2 ، ص 176 ( رأف )</w:t>
      </w:r>
      <w:r>
        <w:rPr>
          <w:rtl/>
        </w:rPr>
        <w:t>.</w:t>
      </w:r>
    </w:p>
    <w:p w:rsidR="000C39D1" w:rsidRPr="00132E65" w:rsidRDefault="000C39D1" w:rsidP="000C39D1">
      <w:pPr>
        <w:pStyle w:val="libFootnote0"/>
        <w:rPr>
          <w:rtl/>
          <w:lang w:bidi="fa-IR"/>
        </w:rPr>
      </w:pPr>
      <w:r>
        <w:rPr>
          <w:rtl/>
        </w:rPr>
        <w:t>(8).</w:t>
      </w:r>
      <w:r w:rsidRPr="00132E65">
        <w:rPr>
          <w:rtl/>
        </w:rPr>
        <w:t xml:space="preserve"> في « ب » :</w:t>
      </w:r>
      <w:r>
        <w:rPr>
          <w:rtl/>
        </w:rPr>
        <w:t xml:space="preserve"> + </w:t>
      </w:r>
      <w:r w:rsidRPr="00132E65">
        <w:rPr>
          <w:rtl/>
        </w:rPr>
        <w:t>« وجدّي عليّ صلوات الله عليه وآله »</w:t>
      </w:r>
      <w:r>
        <w:rPr>
          <w:rtl/>
        </w:rPr>
        <w:t>.</w:t>
      </w:r>
      <w:r w:rsidRPr="00132E65">
        <w:rPr>
          <w:rtl/>
        </w:rPr>
        <w:t xml:space="preserve"> وفي حاشية « ض » والبحار :</w:t>
      </w:r>
      <w:r>
        <w:rPr>
          <w:rtl/>
        </w:rPr>
        <w:t xml:space="preserve"> + </w:t>
      </w:r>
      <w:r w:rsidRPr="00132E65">
        <w:rPr>
          <w:rtl/>
        </w:rPr>
        <w:t xml:space="preserve">« وجدّي عليّ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إِلى أَحَدٍ مِنَّا حَتّى يَأْتِيَ بِخَبَرِهِ رَسُولُ اللهِ </w:t>
      </w:r>
      <w:r w:rsidRPr="00071CF9">
        <w:rPr>
          <w:rStyle w:val="libAlaemChar"/>
          <w:rtl/>
        </w:rPr>
        <w:t>صلى‌الله‌عليه‌وآله</w:t>
      </w:r>
      <w:r w:rsidRPr="00132E65">
        <w:rPr>
          <w:rtl/>
          <w:lang w:bidi="fa-IR"/>
        </w:rPr>
        <w:t xml:space="preserve"> وجَدِّي عَلِيٌّ صَلَوَاتُ اللهِ عَلَيْهِ ، ورَأَيْتُ مَعَ رَسُولِ اللهِ </w:t>
      </w:r>
      <w:r w:rsidRPr="00071CF9">
        <w:rPr>
          <w:rStyle w:val="libAlaemChar"/>
          <w:rtl/>
        </w:rPr>
        <w:t>صلى‌الله‌عليه‌وآله</w:t>
      </w:r>
      <w:r w:rsidRPr="00132E65">
        <w:rPr>
          <w:rtl/>
          <w:lang w:bidi="fa-IR"/>
        </w:rPr>
        <w:t xml:space="preserve"> خَاتَماً وسَيْفاً وعَصًا وكِتَاباً وعِمَامَةً ، فَقُلْتُ : مَا هذَا يَا رَسُولَ اللهِ</w:t>
      </w:r>
      <w:r>
        <w:rPr>
          <w:rtl/>
          <w:lang w:bidi="fa-IR"/>
        </w:rPr>
        <w:t>؟</w:t>
      </w:r>
      <w:r>
        <w:rPr>
          <w:rFonts w:hint="cs"/>
          <w:rtl/>
          <w:lang w:bidi="fa-IR"/>
        </w:rPr>
        <w:t xml:space="preserve"> </w:t>
      </w:r>
      <w:r w:rsidRPr="00132E65">
        <w:rPr>
          <w:rtl/>
          <w:lang w:bidi="fa-IR"/>
        </w:rPr>
        <w:t xml:space="preserve">فَقَالَ لِي : أَمَّا الْعِمَامَةُ ، فَسُلْطَانُ اللهِ عَزَّ وجَلَّ ؛ وأَمَّا السَّيْفُ ، فَعِزُّ </w:t>
      </w:r>
      <w:r>
        <w:rPr>
          <w:rStyle w:val="libFootnotenumChar"/>
          <w:rtl/>
        </w:rPr>
        <w:t>(1)</w:t>
      </w:r>
      <w:r w:rsidRPr="00132E65">
        <w:rPr>
          <w:rtl/>
          <w:lang w:bidi="fa-IR"/>
        </w:rPr>
        <w:t xml:space="preserve"> اللهِ تَبَارَكَ وتَعَالى ؛ وَأَمَّا الْكِتَابُ ، فَنُورُ اللهِ تَبَارَكَ وتَعَالى ؛ وأَمَّا الْعَصَا ، فَقُوَّةُ اللهِ ؛ وأَمَّا الْخَاتَمُ ، فَجَامِعُ هذِهِ الْأُمُورِ.</w:t>
      </w:r>
    </w:p>
    <w:p w:rsidR="000C39D1" w:rsidRPr="00132E65" w:rsidRDefault="000C39D1" w:rsidP="000C39D1">
      <w:pPr>
        <w:pStyle w:val="libNormal"/>
        <w:rPr>
          <w:rtl/>
          <w:lang w:bidi="fa-IR"/>
        </w:rPr>
      </w:pPr>
      <w:r w:rsidRPr="00132E65">
        <w:rPr>
          <w:rtl/>
          <w:lang w:bidi="fa-IR"/>
        </w:rPr>
        <w:t>ثُمَّ قَالَ لِي : والْأَمْرُ قَدْ خَرَجَ مِنْكَ إِلى غَيْرِكَ ، فَقُلْتُ : يَا رَسُولَ اللهِ ، أَرِنِيهِ أَيُّهُمْ هُوَ</w:t>
      </w:r>
      <w:r>
        <w:rPr>
          <w:rtl/>
          <w:lang w:bidi="fa-IR"/>
        </w:rPr>
        <w:t>؟</w:t>
      </w:r>
      <w:r w:rsidRPr="00132E65">
        <w:rPr>
          <w:rtl/>
          <w:lang w:bidi="fa-IR"/>
        </w:rPr>
        <w:t xml:space="preserve"> فَقَالَ رَسُولُ اللهِ </w:t>
      </w:r>
      <w:r w:rsidRPr="00071CF9">
        <w:rPr>
          <w:rStyle w:val="libAlaemChar"/>
          <w:rtl/>
        </w:rPr>
        <w:t>صلى‌الله‌عليه‌وآله</w:t>
      </w:r>
      <w:r w:rsidRPr="00132E65">
        <w:rPr>
          <w:rtl/>
          <w:lang w:bidi="fa-IR"/>
        </w:rPr>
        <w:t xml:space="preserve">: مَا رَأَيْتُ مِنَ الْأَئِمَّةِ أَحَداً أَجْزَعَ </w:t>
      </w:r>
      <w:r>
        <w:rPr>
          <w:rStyle w:val="libFootnotenumChar"/>
          <w:rtl/>
        </w:rPr>
        <w:t>(2)</w:t>
      </w:r>
      <w:r w:rsidRPr="00132E65">
        <w:rPr>
          <w:rtl/>
          <w:lang w:bidi="fa-IR"/>
        </w:rPr>
        <w:t xml:space="preserve"> عَلى فِرَاقِ هذَا الْأَمْرِ مِنْكَ </w:t>
      </w:r>
      <w:r>
        <w:rPr>
          <w:rStyle w:val="libFootnotenumChar"/>
          <w:rtl/>
        </w:rPr>
        <w:t>(3)</w:t>
      </w:r>
      <w:r w:rsidRPr="00132E65">
        <w:rPr>
          <w:rtl/>
          <w:lang w:bidi="fa-IR"/>
        </w:rPr>
        <w:t xml:space="preserve"> ، ولَوْ كَانَتِ الْإِمَامَةُ </w:t>
      </w:r>
      <w:r>
        <w:rPr>
          <w:rStyle w:val="libFootnotenumChar"/>
          <w:rtl/>
        </w:rPr>
        <w:t>(4)</w:t>
      </w:r>
      <w:r w:rsidRPr="00132E65">
        <w:rPr>
          <w:rtl/>
          <w:lang w:bidi="fa-IR"/>
        </w:rPr>
        <w:t xml:space="preserve"> بِالْمَحَبَّةِ ، لَكَانَ إِسْمَاعِيلُ أَحَبَّ إِلى أَبِيكَ مِنْكَ ، ولكِنْ ذلِكَ </w:t>
      </w:r>
      <w:r>
        <w:rPr>
          <w:rStyle w:val="libFootnotenumChar"/>
          <w:rtl/>
        </w:rPr>
        <w:t>(5)</w:t>
      </w:r>
      <w:r w:rsidRPr="00132E65">
        <w:rPr>
          <w:rtl/>
          <w:lang w:bidi="fa-IR"/>
        </w:rPr>
        <w:t xml:space="preserve"> مِنَ اللهِ عَزَّ وجَلَّ »</w:t>
      </w:r>
      <w:r>
        <w:rPr>
          <w:rtl/>
          <w:lang w:bidi="fa-IR"/>
        </w:rPr>
        <w:t>.</w:t>
      </w:r>
    </w:p>
    <w:p w:rsidR="000C39D1" w:rsidRPr="00132E65" w:rsidRDefault="000C39D1" w:rsidP="000C39D1">
      <w:pPr>
        <w:pStyle w:val="libNormal"/>
        <w:rPr>
          <w:rtl/>
          <w:lang w:bidi="fa-IR"/>
        </w:rPr>
      </w:pPr>
      <w:r w:rsidRPr="00132E65">
        <w:rPr>
          <w:rtl/>
          <w:lang w:bidi="fa-IR"/>
        </w:rPr>
        <w:t xml:space="preserve">ثُمَّ قَالَ أَبُو إِبْرَاهِيمَ </w:t>
      </w:r>
      <w:r w:rsidRPr="00071CF9">
        <w:rPr>
          <w:rStyle w:val="libAlaemChar"/>
          <w:rtl/>
        </w:rPr>
        <w:t>عليه‌السلام</w:t>
      </w:r>
      <w:r w:rsidRPr="00132E65">
        <w:rPr>
          <w:rtl/>
          <w:lang w:bidi="fa-IR"/>
        </w:rPr>
        <w:t xml:space="preserve"> : « وَرَأَيْتُ ولْدِي جَمِيعاً : الْأَحْيَاءَ مِنْهُمْ والْأَمْوَاتَ ، فَقَالَ لِي أَمِيرُ الْمُؤْمِنِينَ </w:t>
      </w:r>
      <w:r w:rsidRPr="00071CF9">
        <w:rPr>
          <w:rStyle w:val="libAlaemChar"/>
          <w:rtl/>
        </w:rPr>
        <w:t>عليه‌السلام</w:t>
      </w:r>
      <w:r w:rsidRPr="00132E65">
        <w:rPr>
          <w:rtl/>
          <w:lang w:bidi="fa-IR"/>
        </w:rPr>
        <w:t xml:space="preserve"> : هذَا سَيِّدُهُمْ</w:t>
      </w:r>
      <w:r>
        <w:rPr>
          <w:rtl/>
          <w:lang w:bidi="fa-IR"/>
        </w:rPr>
        <w:t xml:space="preserve"> - </w:t>
      </w:r>
      <w:r w:rsidRPr="00132E65">
        <w:rPr>
          <w:rtl/>
          <w:lang w:bidi="fa-IR"/>
        </w:rPr>
        <w:t>وأَشَارَ إِلَى ابْنِي عَلِيٍّ</w:t>
      </w:r>
      <w:r>
        <w:rPr>
          <w:rtl/>
          <w:lang w:bidi="fa-IR"/>
        </w:rPr>
        <w:t xml:space="preserve"> - </w:t>
      </w:r>
      <w:r w:rsidRPr="00132E65">
        <w:rPr>
          <w:rtl/>
          <w:lang w:bidi="fa-IR"/>
        </w:rPr>
        <w:t>فَهُوَ مِنِّي ، وأَنَا مِنْهُ ، واللهُ مَعَ الْمُحْسِنِينَ »</w:t>
      </w:r>
      <w:r>
        <w:rPr>
          <w:rtl/>
          <w:lang w:bidi="fa-IR"/>
        </w:rPr>
        <w:t>.</w:t>
      </w:r>
    </w:p>
    <w:p w:rsidR="000C39D1" w:rsidRPr="00132E65" w:rsidRDefault="000C39D1" w:rsidP="000C39D1">
      <w:pPr>
        <w:pStyle w:val="libNormal"/>
        <w:rPr>
          <w:rtl/>
          <w:lang w:bidi="fa-IR"/>
        </w:rPr>
      </w:pPr>
      <w:r w:rsidRPr="00132E65">
        <w:rPr>
          <w:rtl/>
          <w:lang w:bidi="fa-IR"/>
        </w:rPr>
        <w:t xml:space="preserve">قَالَ يَزِيدُ : ثُمَّ قَالَ أَبُو إِبْرَاهِيمَ </w:t>
      </w:r>
      <w:r w:rsidRPr="00071CF9">
        <w:rPr>
          <w:rStyle w:val="libAlaemChar"/>
          <w:rtl/>
        </w:rPr>
        <w:t>عليه‌السلام</w:t>
      </w:r>
      <w:r w:rsidRPr="00132E65">
        <w:rPr>
          <w:rtl/>
          <w:lang w:bidi="fa-IR"/>
        </w:rPr>
        <w:t xml:space="preserve"> : « يَا يَزِيدُ ، إِنَّهَا ودِيعَةٌ عِنْدَ</w:t>
      </w:r>
      <w:r>
        <w:rPr>
          <w:rtl/>
          <w:lang w:bidi="fa-IR"/>
        </w:rPr>
        <w:t>كَ ، فَلَا تُخْبِرْ بِهَا إِل</w:t>
      </w:r>
      <w:r>
        <w:rPr>
          <w:rFonts w:hint="cs"/>
          <w:rtl/>
          <w:lang w:bidi="fa-IR"/>
        </w:rPr>
        <w:t>َّ</w:t>
      </w:r>
      <w:r>
        <w:rPr>
          <w:rtl/>
          <w:lang w:bidi="fa-IR"/>
        </w:rPr>
        <w:t>ا</w:t>
      </w:r>
      <w:r w:rsidRPr="00132E65">
        <w:rPr>
          <w:rtl/>
          <w:lang w:bidi="fa-IR"/>
        </w:rPr>
        <w:t xml:space="preserve"> عَاقِلاً ، أَوْ </w:t>
      </w:r>
      <w:r>
        <w:rPr>
          <w:rStyle w:val="libFootnotenumChar"/>
          <w:rtl/>
        </w:rPr>
        <w:t>(6)</w:t>
      </w:r>
      <w:r w:rsidRPr="00132E65">
        <w:rPr>
          <w:rtl/>
          <w:lang w:bidi="fa-IR"/>
        </w:rPr>
        <w:t xml:space="preserve"> عَبْداً تَعْرِفُهُ صَادِقاً ، وإِنْ سُئِلْتَ عَنِ الشَّهَادَةِ ، فَاشْهَدْ بِهَا ، وهُوَ قَوْلُ اللهِ عَزَّ وجَلَّ : </w:t>
      </w:r>
      <w:r w:rsidRPr="00071CF9">
        <w:rPr>
          <w:rStyle w:val="libAlaemChar"/>
          <w:rtl/>
        </w:rPr>
        <w:t>(</w:t>
      </w:r>
      <w:r w:rsidRPr="00071CF9">
        <w:rPr>
          <w:rStyle w:val="libAieChar"/>
          <w:rtl/>
        </w:rPr>
        <w:t xml:space="preserve"> إِنَّ اللهَ يَأْمُرُكُمْ أَنْ تُؤَدُّوا الْأَماناتِ إِلى أَهْلِها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وقَالَ لَنَا أَيْضاً : </w:t>
      </w:r>
      <w:r w:rsidRPr="00071CF9">
        <w:rPr>
          <w:rStyle w:val="libAlaemChar"/>
          <w:rtl/>
        </w:rPr>
        <w:t>(</w:t>
      </w:r>
      <w:r w:rsidRPr="00071CF9">
        <w:rPr>
          <w:rStyle w:val="libAieChar"/>
          <w:rtl/>
        </w:rPr>
        <w:t xml:space="preserve"> وَمَنْ أَظْلَمُ مِمَّنْ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صلوات الله عليه »</w:t>
      </w:r>
      <w:r>
        <w:rPr>
          <w:rtl/>
        </w:rPr>
        <w:t>.</w:t>
      </w:r>
      <w:r w:rsidRPr="00132E65">
        <w:rPr>
          <w:rtl/>
        </w:rPr>
        <w:t xml:space="preserve"> وقال في </w:t>
      </w:r>
      <w:r w:rsidRPr="009D1ACE">
        <w:rPr>
          <w:rStyle w:val="libFootnoteBoldChar"/>
          <w:rtl/>
        </w:rPr>
        <w:t>الوافي</w:t>
      </w:r>
      <w:r w:rsidRPr="00132E65">
        <w:rPr>
          <w:rtl/>
        </w:rPr>
        <w:t xml:space="preserve"> : « هذا المجي‌ء والإراءة يجوز أن يكونا في المنام ، وأن يكونا في اليقظة ؛ لأنّ للأرواح الكاملة أن يتمثّلوا في صور أبدانهم عياناً لمن شاؤوا في هذه النشأة الدنياويّة »</w:t>
      </w:r>
      <w:r>
        <w:rPr>
          <w:rtl/>
        </w:rPr>
        <w:t>.</w:t>
      </w:r>
    </w:p>
    <w:p w:rsidR="000C39D1" w:rsidRPr="00132E65" w:rsidRDefault="000C39D1" w:rsidP="000C39D1">
      <w:pPr>
        <w:pStyle w:val="libFootnote0"/>
        <w:rPr>
          <w:rtl/>
          <w:lang w:bidi="fa-IR"/>
        </w:rPr>
      </w:pPr>
      <w:r>
        <w:rPr>
          <w:rtl/>
        </w:rPr>
        <w:t>(1).</w:t>
      </w:r>
      <w:r w:rsidRPr="00132E65">
        <w:rPr>
          <w:rtl/>
        </w:rPr>
        <w:t xml:space="preserve"> قال ابن الأثير : « في أسماء الله تعالى : العزيز ، هو الغالب القويّ الذي لا يُغلب. والعِزّ في الأصل : القوّةوالشدّة والغلبة »</w:t>
      </w:r>
      <w:r>
        <w:rPr>
          <w:rtl/>
        </w:rPr>
        <w:t>.</w:t>
      </w:r>
      <w:r w:rsidRPr="00132E65">
        <w:rPr>
          <w:rtl/>
        </w:rPr>
        <w:t xml:space="preserve"> </w:t>
      </w:r>
      <w:r w:rsidRPr="001E0518">
        <w:rPr>
          <w:rtl/>
        </w:rPr>
        <w:t>النهاية</w:t>
      </w:r>
      <w:r w:rsidRPr="00132E65">
        <w:rPr>
          <w:rtl/>
        </w:rPr>
        <w:t xml:space="preserve"> ، ج 3 ، ص 228 ( عزز )</w:t>
      </w:r>
      <w:r>
        <w:rPr>
          <w:rtl/>
        </w:rPr>
        <w:t>.</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منك »</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منك »</w:t>
      </w:r>
      <w:r>
        <w:rPr>
          <w:rtl/>
        </w:rPr>
        <w:t>.</w:t>
      </w:r>
      <w:r w:rsidRPr="00132E65">
        <w:rPr>
          <w:rtl/>
        </w:rPr>
        <w:t xml:space="preserve"> وقال في </w:t>
      </w:r>
      <w:r w:rsidRPr="009D1ACE">
        <w:rPr>
          <w:rStyle w:val="libFootnoteBoldChar"/>
          <w:rtl/>
        </w:rPr>
        <w:t>الوافي</w:t>
      </w:r>
      <w:r w:rsidRPr="00132E65">
        <w:rPr>
          <w:rtl/>
        </w:rPr>
        <w:t xml:space="preserve"> : « وذلك لأنّه </w:t>
      </w:r>
      <w:r w:rsidRPr="00933313">
        <w:rPr>
          <w:rStyle w:val="libFootnoteAlaemChar"/>
          <w:rtl/>
        </w:rPr>
        <w:t>عليه‌السلام</w:t>
      </w:r>
      <w:r w:rsidRPr="00132E65">
        <w:rPr>
          <w:rtl/>
        </w:rPr>
        <w:t xml:space="preserve"> كان يحبّ أن يجعله في القاسم ، كما صرّح به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ه‍ » </w:t>
            </w:r>
            <w:r>
              <w:rPr>
                <w:rtl/>
              </w:rPr>
              <w:t xml:space="preserve">: - </w:t>
            </w:r>
            <w:r w:rsidRPr="00132E65">
              <w:rPr>
                <w:rtl/>
              </w:rPr>
              <w:t>« الإمامة »</w:t>
            </w:r>
            <w:r>
              <w:rPr>
                <w:rtl/>
              </w:rPr>
              <w:t>.</w:t>
            </w:r>
          </w:p>
        </w:tc>
        <w:tc>
          <w:tcPr>
            <w:tcW w:w="4006" w:type="dxa"/>
          </w:tcPr>
          <w:p w:rsidR="000C39D1" w:rsidRDefault="000C39D1" w:rsidP="00B53873">
            <w:pPr>
              <w:pStyle w:val="libFootnote0"/>
              <w:rPr>
                <w:rtl/>
              </w:rPr>
            </w:pPr>
            <w:r>
              <w:rPr>
                <w:rtl/>
              </w:rPr>
              <w:t>(5).</w:t>
            </w:r>
            <w:r w:rsidRPr="00132E65">
              <w:rPr>
                <w:rtl/>
              </w:rPr>
              <w:t xml:space="preserve"> في البحار </w:t>
            </w:r>
            <w:r>
              <w:rPr>
                <w:rtl/>
              </w:rPr>
              <w:t xml:space="preserve">: - </w:t>
            </w:r>
            <w:r w:rsidRPr="00132E65">
              <w:rPr>
                <w:rtl/>
              </w:rPr>
              <w:t>« ذلك »</w:t>
            </w:r>
            <w:r>
              <w:rPr>
                <w:rtl/>
              </w:rPr>
              <w:t>.</w:t>
            </w:r>
          </w:p>
        </w:tc>
      </w:tr>
      <w:tr w:rsidR="000C39D1" w:rsidTr="00B53873">
        <w:tc>
          <w:tcPr>
            <w:tcW w:w="4006" w:type="dxa"/>
          </w:tcPr>
          <w:p w:rsidR="000C39D1" w:rsidRDefault="000C39D1" w:rsidP="00B53873">
            <w:pPr>
              <w:pStyle w:val="libFootnote0"/>
              <w:rPr>
                <w:rtl/>
              </w:rPr>
            </w:pPr>
            <w:r>
              <w:rPr>
                <w:rtl/>
              </w:rPr>
              <w:t>(6).</w:t>
            </w:r>
            <w:r w:rsidRPr="00132E65">
              <w:rPr>
                <w:rtl/>
              </w:rPr>
              <w:t xml:space="preserve"> في « ج ، ه‍ ، ف ، بس ، بف » : «</w:t>
            </w:r>
            <w:r>
              <w:rPr>
                <w:rtl/>
              </w:rPr>
              <w:t xml:space="preserve"> و ».</w:t>
            </w:r>
          </w:p>
        </w:tc>
        <w:tc>
          <w:tcPr>
            <w:tcW w:w="4006" w:type="dxa"/>
          </w:tcPr>
          <w:p w:rsidR="000C39D1" w:rsidRDefault="000C39D1" w:rsidP="00B53873">
            <w:pPr>
              <w:pStyle w:val="libFootnote0"/>
              <w:rPr>
                <w:rtl/>
              </w:rPr>
            </w:pPr>
            <w:r>
              <w:rPr>
                <w:rtl/>
              </w:rPr>
              <w:t>(7).</w:t>
            </w:r>
            <w:r w:rsidRPr="00132E65">
              <w:rPr>
                <w:rtl/>
              </w:rPr>
              <w:t xml:space="preserve"> النساء </w:t>
            </w:r>
            <w:r>
              <w:rPr>
                <w:rtl/>
              </w:rPr>
              <w:t>(4).</w:t>
            </w:r>
            <w:r w:rsidRPr="00132E65">
              <w:rPr>
                <w:rtl/>
              </w:rPr>
              <w:t xml:space="preserve"> : 58.</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كَتَمَ شَهادَةً عِنْدَهُ مِنَ اللهِ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فَقَالَ </w:t>
      </w:r>
      <w:r>
        <w:rPr>
          <w:rStyle w:val="libFootnotenumChar"/>
          <w:rtl/>
        </w:rPr>
        <w:t>(2)</w:t>
      </w:r>
      <w:r w:rsidRPr="00132E65">
        <w:rPr>
          <w:rtl/>
          <w:lang w:bidi="fa-IR"/>
        </w:rPr>
        <w:t xml:space="preserve"> أَبُو إِبْرَاهِيمَ </w:t>
      </w:r>
      <w:r w:rsidRPr="00071CF9">
        <w:rPr>
          <w:rStyle w:val="libAlaemChar"/>
          <w:rtl/>
        </w:rPr>
        <w:t>عليه‌السلام</w:t>
      </w:r>
      <w:r w:rsidRPr="00132E65">
        <w:rPr>
          <w:rtl/>
          <w:lang w:bidi="fa-IR"/>
        </w:rPr>
        <w:t xml:space="preserve"> : « فَأَقْبَلْتُ عَلى رَسُولِ اللهِ </w:t>
      </w:r>
      <w:r w:rsidRPr="00071CF9">
        <w:rPr>
          <w:rStyle w:val="libAlaemChar"/>
          <w:rtl/>
        </w:rPr>
        <w:t>صلى‌الله‌عليه‌وآله</w:t>
      </w:r>
      <w:r w:rsidRPr="00132E65">
        <w:rPr>
          <w:rtl/>
          <w:lang w:bidi="fa-IR"/>
        </w:rPr>
        <w:t xml:space="preserve"> ، فَقُلْتُ : قَدْ جَمَعْتَهُمْ لِي</w:t>
      </w:r>
      <w:r>
        <w:rPr>
          <w:rtl/>
          <w:lang w:bidi="fa-IR"/>
        </w:rPr>
        <w:t xml:space="preserve"> - </w:t>
      </w:r>
      <w:r w:rsidRPr="00132E65">
        <w:rPr>
          <w:rtl/>
          <w:lang w:bidi="fa-IR"/>
        </w:rPr>
        <w:t xml:space="preserve">بِأَبِي أَنْتَ </w:t>
      </w:r>
      <w:r>
        <w:rPr>
          <w:rStyle w:val="libFootnotenumChar"/>
          <w:rtl/>
        </w:rPr>
        <w:t>(3)</w:t>
      </w:r>
      <w:r w:rsidRPr="00132E65">
        <w:rPr>
          <w:rtl/>
          <w:lang w:bidi="fa-IR"/>
        </w:rPr>
        <w:t xml:space="preserve"> وأُمِّي</w:t>
      </w:r>
      <w:r>
        <w:rPr>
          <w:rtl/>
          <w:lang w:bidi="fa-IR"/>
        </w:rPr>
        <w:t xml:space="preserve"> - </w:t>
      </w:r>
      <w:r w:rsidRPr="00132E65">
        <w:rPr>
          <w:rtl/>
          <w:lang w:bidi="fa-IR"/>
        </w:rPr>
        <w:t xml:space="preserve">فَأَيُّهُمْ هُوَ </w:t>
      </w:r>
      <w:r>
        <w:rPr>
          <w:rStyle w:val="libFootnotenumChar"/>
          <w:rtl/>
        </w:rPr>
        <w:t>(4)</w:t>
      </w:r>
      <w:r>
        <w:rPr>
          <w:rtl/>
          <w:lang w:bidi="fa-IR"/>
        </w:rPr>
        <w:t>؟</w:t>
      </w:r>
      <w:r w:rsidRPr="00132E65">
        <w:rPr>
          <w:rtl/>
          <w:lang w:bidi="fa-IR"/>
        </w:rPr>
        <w:t xml:space="preserve"> فَقَالَ : هُوَ الَّذِي يَنْظُرُ بِنُورِ اللهِ عَزَّ وجَلَّ ، ويَسْمَعُ بِفَهْمِهِ ، ويَنْطِقُ بِحِكْمَتِهِ ، يُصِيبُ فَلَا يُخْطِئُ </w:t>
      </w:r>
      <w:r>
        <w:rPr>
          <w:rStyle w:val="libFootnotenumChar"/>
          <w:rtl/>
        </w:rPr>
        <w:t>(5)</w:t>
      </w:r>
      <w:r w:rsidRPr="00132E65">
        <w:rPr>
          <w:rtl/>
          <w:lang w:bidi="fa-IR"/>
        </w:rPr>
        <w:t xml:space="preserve"> ، ويَعْلَمُ فَلَا يَجْهَلُ ، مُعَلَّماً حُكْماً </w:t>
      </w:r>
      <w:r>
        <w:rPr>
          <w:rStyle w:val="libFootnotenumChar"/>
          <w:rtl/>
        </w:rPr>
        <w:t>(6)</w:t>
      </w:r>
      <w:r w:rsidRPr="00132E65">
        <w:rPr>
          <w:rtl/>
          <w:lang w:bidi="fa-IR"/>
        </w:rPr>
        <w:t xml:space="preserve"> وَعِلْماً ، هُوَ هذَا</w:t>
      </w:r>
      <w:r>
        <w:rPr>
          <w:rtl/>
          <w:lang w:bidi="fa-IR"/>
        </w:rPr>
        <w:t xml:space="preserve"> - </w:t>
      </w:r>
      <w:r w:rsidRPr="00132E65">
        <w:rPr>
          <w:rtl/>
          <w:lang w:bidi="fa-IR"/>
        </w:rPr>
        <w:t xml:space="preserve">وأَخَذَ </w:t>
      </w:r>
      <w:r>
        <w:rPr>
          <w:rStyle w:val="libFootnotenumChar"/>
          <w:rtl/>
        </w:rPr>
        <w:t>(7)</w:t>
      </w:r>
      <w:r w:rsidRPr="00132E65">
        <w:rPr>
          <w:rtl/>
          <w:lang w:bidi="fa-IR"/>
        </w:rPr>
        <w:t xml:space="preserve"> بِيَدِ عَلِيٍّ ابْنِي</w:t>
      </w:r>
      <w:r>
        <w:rPr>
          <w:rtl/>
          <w:lang w:bidi="fa-IR"/>
        </w:rPr>
        <w:t xml:space="preserve"> - </w:t>
      </w:r>
      <w:r w:rsidRPr="00132E65">
        <w:rPr>
          <w:rtl/>
          <w:lang w:bidi="fa-IR"/>
        </w:rPr>
        <w:t>ثُمَّ قَالَ : مَا أَقَلَّ مُقَامَكَ مَعَهُ</w:t>
      </w:r>
      <w:r>
        <w:rPr>
          <w:rtl/>
          <w:lang w:bidi="fa-IR"/>
        </w:rPr>
        <w:t>!</w:t>
      </w:r>
      <w:r w:rsidRPr="00132E65">
        <w:rPr>
          <w:rtl/>
          <w:lang w:bidi="fa-IR"/>
        </w:rPr>
        <w:t xml:space="preserve"> فَإِذَا رَجَعْتَ مِنْ سَفَرِكَ فَأَوْصِ ، وأَصْلِحْ أَمْرَكَ ، وافْرُغْ مِمَّا أَرَدْتَ ؛ فَإِنَّكَ مُنْتَقِلٌ </w:t>
      </w:r>
      <w:r>
        <w:rPr>
          <w:rStyle w:val="libFootnotenumChar"/>
          <w:rtl/>
        </w:rPr>
        <w:t>(8)</w:t>
      </w:r>
      <w:r w:rsidRPr="00132E65">
        <w:rPr>
          <w:rtl/>
          <w:lang w:bidi="fa-IR"/>
        </w:rPr>
        <w:t xml:space="preserve"> عَنْهُمْ ، ومُجَاوِرٌ غَيْرَهُمْ ، فَإِذَا أَرَدْتَ </w:t>
      </w:r>
      <w:r>
        <w:rPr>
          <w:rStyle w:val="libFootnotenumChar"/>
          <w:rtl/>
        </w:rPr>
        <w:t>(9)</w:t>
      </w:r>
      <w:r w:rsidRPr="00132E65">
        <w:rPr>
          <w:rtl/>
          <w:lang w:bidi="fa-IR"/>
        </w:rPr>
        <w:t xml:space="preserve"> فَادْعُ عَلِيّاً فَلْيُغَسِّلْكَ ولْيُكَفِّنْكَ ؛ فَإِنَّهُ طُهْرٌ </w:t>
      </w:r>
      <w:r>
        <w:rPr>
          <w:rStyle w:val="libFootnotenumChar"/>
          <w:rtl/>
        </w:rPr>
        <w:t>(10)</w:t>
      </w:r>
      <w:r w:rsidRPr="00132E65">
        <w:rPr>
          <w:rtl/>
          <w:lang w:bidi="fa-IR"/>
        </w:rPr>
        <w:t xml:space="preserve"> لَكَ ، ولَا </w:t>
      </w:r>
      <w:r>
        <w:rPr>
          <w:rStyle w:val="libFootnotenumChar"/>
          <w:rtl/>
        </w:rPr>
        <w:t>(11)</w:t>
      </w:r>
      <w:r w:rsidRPr="00132E65">
        <w:rPr>
          <w:rtl/>
          <w:lang w:bidi="fa-IR"/>
        </w:rPr>
        <w:t xml:space="preserve"> يَسْتَقِيمُ </w:t>
      </w:r>
      <w:r>
        <w:rPr>
          <w:rStyle w:val="libFootnotenumChar"/>
          <w:rtl/>
        </w:rPr>
        <w:t>(12)</w:t>
      </w:r>
      <w:r>
        <w:rPr>
          <w:rtl/>
          <w:lang w:bidi="fa-IR"/>
        </w:rPr>
        <w:t xml:space="preserve"> إِل</w:t>
      </w:r>
      <w:r>
        <w:rPr>
          <w:rFonts w:hint="cs"/>
          <w:rtl/>
          <w:lang w:bidi="fa-IR"/>
        </w:rPr>
        <w:t>َّ</w:t>
      </w:r>
      <w:r>
        <w:rPr>
          <w:rtl/>
          <w:lang w:bidi="fa-IR"/>
        </w:rPr>
        <w:t>ا</w:t>
      </w:r>
      <w:r w:rsidRPr="00132E65">
        <w:rPr>
          <w:rtl/>
          <w:lang w:bidi="fa-IR"/>
        </w:rPr>
        <w:t xml:space="preserve"> ذلِكَ </w:t>
      </w:r>
      <w:r w:rsidRPr="00F543F1">
        <w:rPr>
          <w:rStyle w:val="libFootnotenumChar"/>
          <w:rtl/>
        </w:rPr>
        <w:t>(13)</w:t>
      </w:r>
      <w:r w:rsidRPr="00132E65">
        <w:rPr>
          <w:rtl/>
          <w:lang w:bidi="fa-IR"/>
        </w:rPr>
        <w:t xml:space="preserve"> ، وَذلِكَ سُنَّةٌ قَدْ مَضَتْ ؛ فَاضْطَجِعْ بَيْنَ يَدَيْهِ ، وصُفَّ إِخْوَتَهُ خَلْفَهُ </w:t>
      </w:r>
      <w:r w:rsidRPr="00F543F1">
        <w:rPr>
          <w:rStyle w:val="libFootnotenumChar"/>
          <w:rtl/>
        </w:rPr>
        <w:t>(14)</w:t>
      </w:r>
      <w:r w:rsidRPr="00132E65">
        <w:rPr>
          <w:rtl/>
          <w:lang w:bidi="fa-IR"/>
        </w:rPr>
        <w:t xml:space="preserve"> وعُمُومَتَهُ </w:t>
      </w:r>
      <w:r w:rsidRPr="00F543F1">
        <w:rPr>
          <w:rStyle w:val="libFootnotenumChar"/>
          <w:rtl/>
        </w:rPr>
        <w:t>(15)</w:t>
      </w:r>
      <w:r w:rsidRPr="00132E65">
        <w:rPr>
          <w:rtl/>
          <w:lang w:bidi="fa-IR"/>
        </w:rPr>
        <w:t xml:space="preserve"> ، ومُرْهُ‌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البقرة </w:t>
      </w:r>
      <w:r>
        <w:rPr>
          <w:rtl/>
        </w:rPr>
        <w:t>(2)</w:t>
      </w:r>
      <w:r w:rsidRPr="00132E65">
        <w:rPr>
          <w:rtl/>
        </w:rPr>
        <w:t xml:space="preserve"> : 140.</w:t>
      </w:r>
    </w:p>
    <w:p w:rsidR="000C39D1" w:rsidRPr="00132E65" w:rsidRDefault="000C39D1" w:rsidP="000C39D1">
      <w:pPr>
        <w:pStyle w:val="libFootnote0"/>
        <w:rPr>
          <w:rtl/>
          <w:lang w:bidi="fa-IR"/>
        </w:rPr>
      </w:pPr>
      <w:r>
        <w:rPr>
          <w:rtl/>
        </w:rPr>
        <w:t>(2).</w:t>
      </w:r>
      <w:r w:rsidRPr="00132E65">
        <w:rPr>
          <w:rtl/>
        </w:rPr>
        <w:t xml:space="preserve"> في « ب » : « وقال »</w:t>
      </w:r>
      <w:r>
        <w:rPr>
          <w:rtl/>
        </w:rPr>
        <w:t>.</w:t>
      </w:r>
    </w:p>
    <w:p w:rsidR="000C39D1" w:rsidRPr="00132E65" w:rsidRDefault="000C39D1" w:rsidP="000C39D1">
      <w:pPr>
        <w:pStyle w:val="libFootnote0"/>
        <w:rPr>
          <w:rtl/>
          <w:lang w:bidi="fa-IR"/>
        </w:rPr>
      </w:pPr>
      <w:r>
        <w:rPr>
          <w:rtl/>
        </w:rPr>
        <w:t>(3).</w:t>
      </w:r>
      <w:r w:rsidRPr="00132E65">
        <w:rPr>
          <w:rtl/>
        </w:rPr>
        <w:t xml:space="preserve"> هكذا في « ب ، ض ، بر »</w:t>
      </w:r>
      <w:r>
        <w:rPr>
          <w:rtl/>
        </w:rPr>
        <w:t>.</w:t>
      </w:r>
      <w:r w:rsidRPr="00132E65">
        <w:rPr>
          <w:rtl/>
        </w:rPr>
        <w:t xml:space="preserve"> وفي المطبوع وسائر النسخ </w:t>
      </w:r>
      <w:r>
        <w:rPr>
          <w:rtl/>
        </w:rPr>
        <w:t xml:space="preserve">: - </w:t>
      </w:r>
      <w:r w:rsidRPr="00132E65">
        <w:rPr>
          <w:rtl/>
        </w:rPr>
        <w:t>« أنت »</w:t>
      </w:r>
      <w:r>
        <w:rPr>
          <w:rtl/>
        </w:rPr>
        <w:t>.</w:t>
      </w:r>
    </w:p>
    <w:p w:rsidR="000C39D1" w:rsidRPr="00132E65" w:rsidRDefault="000C39D1" w:rsidP="000C39D1">
      <w:pPr>
        <w:pStyle w:val="libFootnote0"/>
        <w:rPr>
          <w:rtl/>
          <w:lang w:bidi="fa-IR"/>
        </w:rPr>
      </w:pPr>
      <w:r>
        <w:rPr>
          <w:rtl/>
        </w:rPr>
        <w:t>(4).</w:t>
      </w:r>
      <w:r w:rsidRPr="00132E65">
        <w:rPr>
          <w:rtl/>
        </w:rPr>
        <w:t xml:space="preserve"> في « بس » : « حقّ »</w:t>
      </w:r>
      <w:r>
        <w:rPr>
          <w:rtl/>
        </w:rPr>
        <w:t>.</w:t>
      </w:r>
    </w:p>
    <w:p w:rsidR="000C39D1" w:rsidRPr="00132E65" w:rsidRDefault="000C39D1" w:rsidP="000C39D1">
      <w:pPr>
        <w:pStyle w:val="libFootnote0"/>
        <w:rPr>
          <w:rtl/>
          <w:lang w:bidi="fa-IR"/>
        </w:rPr>
      </w:pPr>
      <w:r>
        <w:rPr>
          <w:rtl/>
        </w:rPr>
        <w:t>(5).</w:t>
      </w:r>
      <w:r w:rsidRPr="00132E65">
        <w:rPr>
          <w:rtl/>
        </w:rPr>
        <w:t xml:space="preserve"> في « ض ، ف ، ه‍ ، بح ، بس » : « ولا يخطئ »</w:t>
      </w:r>
      <w:r>
        <w:rPr>
          <w:rtl/>
        </w:rPr>
        <w:t>.</w:t>
      </w:r>
    </w:p>
    <w:p w:rsidR="000C39D1" w:rsidRPr="00132E65" w:rsidRDefault="000C39D1" w:rsidP="000C39D1">
      <w:pPr>
        <w:pStyle w:val="libFootnote0"/>
        <w:rPr>
          <w:rtl/>
          <w:lang w:bidi="fa-IR"/>
        </w:rPr>
      </w:pPr>
      <w:r>
        <w:rPr>
          <w:rtl/>
        </w:rPr>
        <w:t>(6).</w:t>
      </w:r>
      <w:r w:rsidRPr="00132E65">
        <w:rPr>
          <w:rtl/>
        </w:rPr>
        <w:t xml:space="preserve"> في « بر » : « حِكَماً »</w:t>
      </w:r>
      <w:r>
        <w:rPr>
          <w:rtl/>
        </w:rPr>
        <w:t>.</w:t>
      </w:r>
    </w:p>
    <w:p w:rsidR="000C39D1" w:rsidRPr="00132E65" w:rsidRDefault="000C39D1" w:rsidP="000C39D1">
      <w:pPr>
        <w:pStyle w:val="libFootnote0"/>
        <w:rPr>
          <w:rtl/>
          <w:lang w:bidi="fa-IR"/>
        </w:rPr>
      </w:pPr>
      <w:r>
        <w:rPr>
          <w:rtl/>
        </w:rPr>
        <w:t>(7).</w:t>
      </w:r>
      <w:r w:rsidRPr="00132E65">
        <w:rPr>
          <w:rtl/>
        </w:rPr>
        <w:t xml:space="preserve"> في « بح » : « فأخذ »</w:t>
      </w:r>
      <w:r>
        <w:rPr>
          <w:rtl/>
        </w:rPr>
        <w:t>.</w:t>
      </w:r>
    </w:p>
    <w:p w:rsidR="000C39D1" w:rsidRPr="00132E65" w:rsidRDefault="000C39D1" w:rsidP="000C39D1">
      <w:pPr>
        <w:pStyle w:val="libFootnote0"/>
        <w:rPr>
          <w:rtl/>
          <w:lang w:bidi="fa-IR"/>
        </w:rPr>
      </w:pPr>
      <w:r>
        <w:rPr>
          <w:rtl/>
        </w:rPr>
        <w:t>(8).</w:t>
      </w:r>
      <w:r w:rsidRPr="00132E65">
        <w:rPr>
          <w:rtl/>
        </w:rPr>
        <w:t xml:space="preserve"> في « ج » : « مستقلّ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ويمكن أن يقرأ : ارِدْتُ على بناء المجهول ، أي أرادك الرشيد لأن يأخذك »</w:t>
      </w:r>
      <w:r>
        <w:rPr>
          <w:rtl/>
        </w:rPr>
        <w:t>.</w:t>
      </w:r>
      <w:r w:rsidRPr="00132E65">
        <w:rPr>
          <w:rtl/>
        </w:rPr>
        <w:t xml:space="preserve"> وفي </w:t>
      </w:r>
      <w:r w:rsidRPr="009D1ACE">
        <w:rPr>
          <w:rStyle w:val="libFootnoteBoldChar"/>
          <w:rtl/>
        </w:rPr>
        <w:t>الوافي</w:t>
      </w:r>
      <w:r w:rsidRPr="00132E65">
        <w:rPr>
          <w:rtl/>
        </w:rPr>
        <w:t xml:space="preserve"> : « يعني إذا أردت مفارقتهم في السفر الأخير متوجّهاً من مدينة إلى بغداد »</w:t>
      </w:r>
      <w:r>
        <w:rPr>
          <w:rtl/>
        </w:rPr>
        <w:t>.</w:t>
      </w:r>
    </w:p>
    <w:p w:rsidR="000C39D1" w:rsidRPr="00132E65" w:rsidRDefault="000C39D1" w:rsidP="000C39D1">
      <w:pPr>
        <w:pStyle w:val="libFootnote0"/>
        <w:rPr>
          <w:rtl/>
          <w:lang w:bidi="fa-IR"/>
        </w:rPr>
      </w:pPr>
      <w:r>
        <w:rPr>
          <w:rtl/>
        </w:rPr>
        <w:t>(10).</w:t>
      </w:r>
      <w:r w:rsidRPr="00132E65">
        <w:rPr>
          <w:rtl/>
        </w:rPr>
        <w:t xml:space="preserve"> في « بس » وشرح المازندراني : « ظهر »</w:t>
      </w:r>
      <w:r>
        <w:rPr>
          <w:rtl/>
        </w:rPr>
        <w:t>.</w:t>
      </w:r>
      <w:r w:rsidRPr="00132E65">
        <w:rPr>
          <w:rtl/>
        </w:rPr>
        <w:t xml:space="preserve"> وفي </w:t>
      </w:r>
      <w:r w:rsidRPr="009D1ACE">
        <w:rPr>
          <w:rStyle w:val="libFootnoteBoldChar"/>
          <w:rtl/>
        </w:rPr>
        <w:t>الوافي</w:t>
      </w:r>
      <w:r w:rsidRPr="00132E65">
        <w:rPr>
          <w:rtl/>
        </w:rPr>
        <w:t xml:space="preserve"> : « فإنّه طهر لك ، أي تغسيله إيّاك في حياتك طهر لك من غير حاجة إلى تغسيل آخر بعد موتك »</w:t>
      </w:r>
      <w:r>
        <w:rPr>
          <w:rtl/>
        </w:rPr>
        <w:t>.</w:t>
      </w:r>
      <w:r>
        <w:rPr>
          <w:rFonts w:hint="cs"/>
          <w:rtl/>
        </w:rPr>
        <w:t xml:space="preserve">                         </w:t>
      </w:r>
      <w:r>
        <w:rPr>
          <w:rtl/>
        </w:rPr>
        <w:t>(11).</w:t>
      </w:r>
      <w:r w:rsidRPr="00132E65">
        <w:rPr>
          <w:rtl/>
        </w:rPr>
        <w:t xml:space="preserve"> في « بح » : « فلا »</w:t>
      </w:r>
      <w:r>
        <w:rPr>
          <w:rtl/>
        </w:rPr>
        <w:t>.</w:t>
      </w:r>
    </w:p>
    <w:p w:rsidR="000C39D1" w:rsidRPr="00132E65" w:rsidRDefault="000C39D1" w:rsidP="000C39D1">
      <w:pPr>
        <w:pStyle w:val="libFootnote0"/>
        <w:rPr>
          <w:rtl/>
          <w:lang w:bidi="fa-IR"/>
        </w:rPr>
      </w:pPr>
      <w:r>
        <w:rPr>
          <w:rtl/>
        </w:rPr>
        <w:t>(12).</w:t>
      </w:r>
      <w:r w:rsidRPr="00132E65">
        <w:rPr>
          <w:rtl/>
        </w:rPr>
        <w:t xml:space="preserve"> في حاشية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مرآة العقول</w:t>
      </w:r>
      <w:r w:rsidRPr="00132E65">
        <w:rPr>
          <w:rtl/>
        </w:rPr>
        <w:t xml:space="preserve"> : « ويرد عليه أنّه ينافي ما سيأتي من أنّ الرضا </w:t>
      </w:r>
      <w:r w:rsidRPr="00494F2D">
        <w:rPr>
          <w:rStyle w:val="libFootnoteAlaemChar"/>
          <w:rtl/>
        </w:rPr>
        <w:t>عليه‌السلام</w:t>
      </w:r>
      <w:r w:rsidRPr="00132E65">
        <w:rPr>
          <w:rtl/>
        </w:rPr>
        <w:t xml:space="preserve"> حضر غسل والده صلوات الله عليهما في بغداد. ويمكن أن يكون هذا لرفع شبهة من لم يطّلع على حضوره </w:t>
      </w:r>
      <w:r w:rsidRPr="00494F2D">
        <w:rPr>
          <w:rStyle w:val="libFootnoteAlaemChar"/>
          <w:rtl/>
        </w:rPr>
        <w:t>عليه‌السلام</w:t>
      </w:r>
      <w:r w:rsidRPr="00132E65">
        <w:rPr>
          <w:rtl/>
        </w:rPr>
        <w:t xml:space="preserve"> ، أو يكون يلزم الأمران جميعاً في الإمام الذي يعلم أنّه يموت في بلد آخر غير بلد ولده »</w:t>
      </w:r>
      <w:r>
        <w:rPr>
          <w:rtl/>
        </w:rPr>
        <w:t>.</w:t>
      </w:r>
    </w:p>
    <w:p w:rsidR="000C39D1" w:rsidRPr="00132E65" w:rsidRDefault="000C39D1" w:rsidP="000C39D1">
      <w:pPr>
        <w:pStyle w:val="libFootnote0"/>
        <w:rPr>
          <w:rtl/>
          <w:lang w:bidi="fa-IR"/>
        </w:rPr>
      </w:pPr>
      <w:r>
        <w:rPr>
          <w:rtl/>
        </w:rPr>
        <w:t>(14)</w:t>
      </w:r>
      <w:r w:rsidRPr="00132E65">
        <w:rPr>
          <w:rtl/>
        </w:rPr>
        <w:t xml:space="preserve"> في </w:t>
      </w:r>
      <w:r w:rsidRPr="009D1ACE">
        <w:rPr>
          <w:rStyle w:val="libFootnoteBoldChar"/>
          <w:rtl/>
        </w:rPr>
        <w:t>الوافي</w:t>
      </w:r>
      <w:r w:rsidRPr="00132E65">
        <w:rPr>
          <w:rtl/>
        </w:rPr>
        <w:t xml:space="preserve"> : « صفّ إخوته خلفه ، جملة اسميّة حاليّة »</w:t>
      </w:r>
      <w:r>
        <w:rPr>
          <w:rtl/>
        </w:rPr>
        <w:t>.</w:t>
      </w:r>
    </w:p>
    <w:p w:rsidR="000C39D1" w:rsidRPr="00132E65" w:rsidRDefault="000C39D1" w:rsidP="000C39D1">
      <w:pPr>
        <w:pStyle w:val="libFootnote0"/>
        <w:rPr>
          <w:rtl/>
          <w:lang w:bidi="fa-IR"/>
        </w:rPr>
      </w:pPr>
      <w:r>
        <w:rPr>
          <w:rtl/>
        </w:rPr>
        <w:t>(15)</w:t>
      </w:r>
      <w:r w:rsidRPr="00132E65">
        <w:rPr>
          <w:rtl/>
        </w:rPr>
        <w:t xml:space="preserve"> في حاشية بدرالدين : « وصفّ إخوته وبني عمومته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فَلْيُكَبِّرْ عَلَيْكَ تِسْعاً </w:t>
      </w:r>
      <w:r>
        <w:rPr>
          <w:rStyle w:val="libFootnotenumChar"/>
          <w:rtl/>
        </w:rPr>
        <w:t>(1)</w:t>
      </w:r>
      <w:r w:rsidRPr="00132E65">
        <w:rPr>
          <w:rtl/>
          <w:lang w:bidi="fa-IR"/>
        </w:rPr>
        <w:t xml:space="preserve"> ؛ فَإِنَّهُ قَ</w:t>
      </w:r>
      <w:r>
        <w:rPr>
          <w:rtl/>
          <w:lang w:bidi="fa-IR"/>
        </w:rPr>
        <w:t>دِ اسْتَقَامَتْ وصِيَّتُهُ ، و</w:t>
      </w:r>
      <w:r>
        <w:rPr>
          <w:rFonts w:hint="cs"/>
          <w:rtl/>
          <w:lang w:bidi="fa-IR"/>
        </w:rPr>
        <w:t xml:space="preserve">َ </w:t>
      </w:r>
      <w:r>
        <w:rPr>
          <w:rtl/>
          <w:lang w:bidi="fa-IR"/>
        </w:rPr>
        <w:t>و</w:t>
      </w:r>
      <w:r>
        <w:rPr>
          <w:rFonts w:hint="cs"/>
          <w:rtl/>
          <w:lang w:bidi="fa-IR"/>
        </w:rPr>
        <w:t>َ</w:t>
      </w:r>
      <w:r w:rsidRPr="00132E65">
        <w:rPr>
          <w:rtl/>
          <w:lang w:bidi="fa-IR"/>
        </w:rPr>
        <w:t xml:space="preserve">لِيَكَ </w:t>
      </w:r>
      <w:r>
        <w:rPr>
          <w:rStyle w:val="libFootnotenumChar"/>
          <w:rtl/>
        </w:rPr>
        <w:t>(2)</w:t>
      </w:r>
      <w:r w:rsidRPr="00132E65">
        <w:rPr>
          <w:rtl/>
          <w:lang w:bidi="fa-IR"/>
        </w:rPr>
        <w:t xml:space="preserve"> وأَنْتَ حَيٌّ ، ثُمَّ اجْمَعْ لَهُ ولْدَكَ مِنْ بَعْدِهِمْ </w:t>
      </w:r>
      <w:r>
        <w:rPr>
          <w:rStyle w:val="libFootnotenumChar"/>
          <w:rtl/>
        </w:rPr>
        <w:t>(3)</w:t>
      </w:r>
      <w:r w:rsidRPr="00132E65">
        <w:rPr>
          <w:rtl/>
          <w:lang w:bidi="fa-IR"/>
        </w:rPr>
        <w:t xml:space="preserve"> ، فَأَشْهِدْ عَلَيْهِمْ ، وأَشْهِدِ اللهَ عَزَّ وجَلَّ </w:t>
      </w:r>
      <w:r>
        <w:rPr>
          <w:rStyle w:val="libFootnotenumChar"/>
          <w:rtl/>
        </w:rPr>
        <w:t>(4)</w:t>
      </w:r>
      <w:r w:rsidRPr="00132E65">
        <w:rPr>
          <w:rtl/>
          <w:lang w:bidi="fa-IR"/>
        </w:rPr>
        <w:t xml:space="preserve"> ، وكَفى بِاللهِ شَهِيداً »</w:t>
      </w:r>
      <w:r>
        <w:rPr>
          <w:rtl/>
          <w:lang w:bidi="fa-IR"/>
        </w:rPr>
        <w:t>.</w:t>
      </w:r>
    </w:p>
    <w:p w:rsidR="000C39D1" w:rsidRPr="00132E65" w:rsidRDefault="000C39D1" w:rsidP="000C39D1">
      <w:pPr>
        <w:pStyle w:val="libNormal"/>
        <w:rPr>
          <w:rtl/>
          <w:lang w:bidi="fa-IR"/>
        </w:rPr>
      </w:pPr>
      <w:r w:rsidRPr="00132E65">
        <w:rPr>
          <w:rtl/>
          <w:lang w:bidi="fa-IR"/>
        </w:rPr>
        <w:t xml:space="preserve">قَالَ يَزِيدُ : ثُمَّ قَالَ لِي أَبُو إِبْرَاهِيمَ </w:t>
      </w:r>
      <w:r w:rsidRPr="00071CF9">
        <w:rPr>
          <w:rStyle w:val="libAlaemChar"/>
          <w:rtl/>
        </w:rPr>
        <w:t>عليه‌السلام</w:t>
      </w:r>
      <w:r w:rsidRPr="00132E65">
        <w:rPr>
          <w:rtl/>
          <w:lang w:bidi="fa-IR"/>
        </w:rPr>
        <w:t xml:space="preserve"> : « إِنِّي أُؤْخَذُ فِي هذِهِ السَّنَةِ ، والْأَمْرُ هُوَ إِلَى ابْنِي عَلِيٍّ ، سَمِيِّ عَلِيٍّ </w:t>
      </w:r>
      <w:r>
        <w:rPr>
          <w:rStyle w:val="libFootnotenumChar"/>
          <w:rtl/>
        </w:rPr>
        <w:t>(5)</w:t>
      </w:r>
      <w:r w:rsidRPr="00132E65">
        <w:rPr>
          <w:rtl/>
          <w:lang w:bidi="fa-IR"/>
        </w:rPr>
        <w:t xml:space="preserve"> وعَلِيٍّ : فَأَمَّا عَلِيٌّ </w:t>
      </w:r>
      <w:r>
        <w:rPr>
          <w:rStyle w:val="libFootnotenumChar"/>
          <w:rtl/>
        </w:rPr>
        <w:t>(6)</w:t>
      </w:r>
      <w:r w:rsidRPr="00132E65">
        <w:rPr>
          <w:rtl/>
          <w:lang w:bidi="fa-IR"/>
        </w:rPr>
        <w:t xml:space="preserve"> الْأَوَّلُ ، فَعَلِيُّ بْنُ أَبِي طَالِبٍ </w:t>
      </w:r>
      <w:r w:rsidRPr="00071CF9">
        <w:rPr>
          <w:rStyle w:val="libAlaemChar"/>
          <w:rtl/>
        </w:rPr>
        <w:t>عليه‌السلام</w:t>
      </w:r>
      <w:r w:rsidRPr="00132E65">
        <w:rPr>
          <w:rtl/>
          <w:lang w:bidi="fa-IR"/>
        </w:rPr>
        <w:t xml:space="preserve"> ، وأَمَّا الْآخِرُ ، فَعَلِيُّ بْنُ الْحُسَيْنِ </w:t>
      </w:r>
      <w:r w:rsidRPr="00071CF9">
        <w:rPr>
          <w:rStyle w:val="libAlaemChar"/>
          <w:rtl/>
        </w:rPr>
        <w:t>عليهما‌السلام</w:t>
      </w:r>
      <w:r w:rsidRPr="00132E65">
        <w:rPr>
          <w:rtl/>
          <w:lang w:bidi="fa-IR"/>
        </w:rPr>
        <w:t xml:space="preserve"> ، أُعْطِيَ فَهْمَ ال</w:t>
      </w:r>
      <w:r>
        <w:rPr>
          <w:rtl/>
          <w:lang w:bidi="fa-IR"/>
        </w:rPr>
        <w:t>ْأَوَّلِ وحِلْمَهُ ونَصْرَهُ و</w:t>
      </w:r>
      <w:r>
        <w:rPr>
          <w:rFonts w:hint="cs"/>
          <w:rtl/>
          <w:lang w:bidi="fa-IR"/>
        </w:rPr>
        <w:t xml:space="preserve">َ </w:t>
      </w:r>
      <w:r>
        <w:rPr>
          <w:rtl/>
          <w:lang w:bidi="fa-IR"/>
        </w:rPr>
        <w:t>و</w:t>
      </w:r>
      <w:r>
        <w:rPr>
          <w:rFonts w:hint="cs"/>
          <w:rtl/>
          <w:lang w:bidi="fa-IR"/>
        </w:rPr>
        <w:t>ُ</w:t>
      </w:r>
      <w:r w:rsidRPr="00132E65">
        <w:rPr>
          <w:rtl/>
          <w:lang w:bidi="fa-IR"/>
        </w:rPr>
        <w:t>دَّهُ و</w:t>
      </w:r>
      <w:r>
        <w:rPr>
          <w:rFonts w:hint="cs"/>
          <w:rtl/>
          <w:lang w:bidi="fa-IR"/>
        </w:rPr>
        <w:t>َ</w:t>
      </w:r>
      <w:r w:rsidRPr="00132E65">
        <w:rPr>
          <w:rtl/>
          <w:lang w:bidi="fa-IR"/>
        </w:rPr>
        <w:t xml:space="preserve">دِينَهُ </w:t>
      </w:r>
      <w:r>
        <w:rPr>
          <w:rStyle w:val="libFootnotenumChar"/>
          <w:rtl/>
        </w:rPr>
        <w:t>(7)</w:t>
      </w:r>
      <w:r w:rsidRPr="00132E65">
        <w:rPr>
          <w:rtl/>
          <w:lang w:bidi="fa-IR"/>
        </w:rPr>
        <w:t xml:space="preserve"> ومِحْنَتَهُ </w:t>
      </w:r>
      <w:r>
        <w:rPr>
          <w:rStyle w:val="libFootnotenumChar"/>
          <w:rtl/>
        </w:rPr>
        <w:t>(8)</w:t>
      </w:r>
      <w:r w:rsidRPr="00132E65">
        <w:rPr>
          <w:rtl/>
          <w:lang w:bidi="fa-IR"/>
        </w:rPr>
        <w:t xml:space="preserve"> وَمِحْنَةَ الْآخِرِ ، وصَبْرَهُ عَلى مَا يَكْرَهُ ، ولَي</w:t>
      </w:r>
      <w:r>
        <w:rPr>
          <w:rtl/>
          <w:lang w:bidi="fa-IR"/>
        </w:rPr>
        <w:t>ْسَ لَهُ أَنْ يَتَكَلَّمَ إِل</w:t>
      </w:r>
      <w:r>
        <w:rPr>
          <w:rFonts w:hint="cs"/>
          <w:rtl/>
          <w:lang w:bidi="fa-IR"/>
        </w:rPr>
        <w:t>َّ</w:t>
      </w:r>
      <w:r>
        <w:rPr>
          <w:rtl/>
          <w:lang w:bidi="fa-IR"/>
        </w:rPr>
        <w:t>ا</w:t>
      </w:r>
      <w:r w:rsidRPr="00132E65">
        <w:rPr>
          <w:rtl/>
          <w:lang w:bidi="fa-IR"/>
        </w:rPr>
        <w:t xml:space="preserve"> بَعْدَ مَوْتِ هَارُونَ بِأَرْبَعِ سِنِينَ »</w:t>
      </w:r>
      <w:r>
        <w:rPr>
          <w:rtl/>
          <w:lang w:bidi="fa-IR"/>
        </w:rPr>
        <w:t>.</w:t>
      </w:r>
    </w:p>
    <w:p w:rsidR="000C39D1" w:rsidRPr="00132E65" w:rsidRDefault="000C39D1" w:rsidP="000C39D1">
      <w:pPr>
        <w:pStyle w:val="libNormal"/>
        <w:rPr>
          <w:rtl/>
          <w:lang w:bidi="fa-IR"/>
        </w:rPr>
      </w:pPr>
      <w:r w:rsidRPr="00132E65">
        <w:rPr>
          <w:rtl/>
          <w:lang w:bidi="fa-IR"/>
        </w:rPr>
        <w:t xml:space="preserve">ثُمَّ قَالَ لِي : « يَا يَزِيدُ ، وإِذَا مَرَرْتَ بِهذَا الْمَوْضِعِ ، ولَقِيتَهُ </w:t>
      </w:r>
      <w:r>
        <w:rPr>
          <w:rStyle w:val="libFootnotenumChar"/>
          <w:rtl/>
        </w:rPr>
        <w:t>(9)</w:t>
      </w:r>
      <w:r>
        <w:rPr>
          <w:rtl/>
          <w:lang w:bidi="fa-IR"/>
        </w:rPr>
        <w:t xml:space="preserve"> - </w:t>
      </w:r>
      <w:r w:rsidRPr="00132E65">
        <w:rPr>
          <w:rtl/>
          <w:lang w:bidi="fa-IR"/>
        </w:rPr>
        <w:t xml:space="preserve">وسَتَلْقَاهُ </w:t>
      </w:r>
      <w:r>
        <w:rPr>
          <w:rStyle w:val="libFootnotenumChar"/>
          <w:rtl/>
        </w:rPr>
        <w:t>(10)</w:t>
      </w:r>
      <w:r>
        <w:rPr>
          <w:rtl/>
          <w:lang w:bidi="fa-IR"/>
        </w:rPr>
        <w:t xml:space="preserve"> - </w:t>
      </w:r>
      <w:r w:rsidRPr="00132E65">
        <w:rPr>
          <w:rtl/>
          <w:lang w:bidi="fa-IR"/>
        </w:rPr>
        <w:t xml:space="preserve">فَبَشِّرْهُ أَنَّهُ سَيُولَدُ لَهُ غُلَامٌ أَمِينٌ مَأْمُونٌ مُبَارَكٌ ، وسَيُعْلِمُكَ </w:t>
      </w:r>
      <w:r>
        <w:rPr>
          <w:rStyle w:val="libFootnotenumChar"/>
          <w:rtl/>
        </w:rPr>
        <w:t>(11)</w:t>
      </w:r>
      <w:r w:rsidRPr="00132E65">
        <w:rPr>
          <w:rtl/>
          <w:lang w:bidi="fa-IR"/>
        </w:rPr>
        <w:t xml:space="preserve"> أَنَّكَ قَدْ لَقِيتَنِي ، فَأَخْبِرْهُ عِنْدَ ذلِكَ أَنَّ الْجَارِيَةَ الَّتِي يَكُونُ مِنْهَا هذَا الْغُلَامُ جَارِيَةٌ مِنْ أَهْلِ بَيْتِ مَارِيَةَ جَارِيَةِ رَسُولِ اللهِ </w:t>
      </w:r>
      <w:r w:rsidRPr="00071CF9">
        <w:rPr>
          <w:rStyle w:val="libAlaemChar"/>
          <w:rtl/>
        </w:rPr>
        <w:t>صلى‌الله‌عليه‌وآله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الظاهر أنّ المراد من التسع الخمسة التي في مذهبنا والأربعة التي في مذهب المخالف ، أو الظاهر أنّ التسع‌تكبيرات من خصائصهم </w:t>
      </w:r>
      <w:r w:rsidRPr="00494F2D">
        <w:rPr>
          <w:rStyle w:val="libFootnoteAlaemChar"/>
          <w:rtl/>
        </w:rPr>
        <w:t>عليهم‌السلام</w:t>
      </w:r>
      <w:r w:rsidRPr="00132E65">
        <w:rPr>
          <w:rtl/>
        </w:rPr>
        <w:t xml:space="preserve">. وقيل غير ذلك. راجع : </w:t>
      </w:r>
      <w:r w:rsidRPr="001E0518">
        <w:rPr>
          <w:rtl/>
        </w:rPr>
        <w:t>حاشية بدرالدين</w:t>
      </w:r>
      <w:r w:rsidRPr="00132E65">
        <w:rPr>
          <w:rtl/>
        </w:rPr>
        <w:t xml:space="preserve"> ، ص 206 ؛ </w:t>
      </w:r>
      <w:r w:rsidRPr="001E0518">
        <w:rPr>
          <w:rtl/>
        </w:rPr>
        <w:t>شرح المازندراني</w:t>
      </w:r>
      <w:r w:rsidRPr="00132E65">
        <w:rPr>
          <w:rtl/>
        </w:rPr>
        <w:t xml:space="preserve"> ، ج 6 ، ص 176 ؛ </w:t>
      </w:r>
      <w:r w:rsidRPr="009D1ACE">
        <w:rPr>
          <w:rStyle w:val="libFootnoteBoldChar"/>
          <w:rtl/>
        </w:rPr>
        <w:t>مرآة العقول</w:t>
      </w:r>
      <w:r w:rsidRPr="00132E65">
        <w:rPr>
          <w:rtl/>
        </w:rPr>
        <w:t xml:space="preserve"> ، ج 3 ، ص 355.</w:t>
      </w:r>
    </w:p>
    <w:p w:rsidR="000C39D1" w:rsidRPr="00132E65" w:rsidRDefault="000C39D1" w:rsidP="000C39D1">
      <w:pPr>
        <w:pStyle w:val="libFootnote0"/>
        <w:rPr>
          <w:rtl/>
          <w:lang w:bidi="fa-IR"/>
        </w:rPr>
      </w:pPr>
      <w:r>
        <w:rPr>
          <w:rtl/>
        </w:rPr>
        <w:t>(2).</w:t>
      </w:r>
      <w:r w:rsidRPr="00132E65">
        <w:rPr>
          <w:rtl/>
        </w:rPr>
        <w:t xml:space="preserve"> في « ب ، ج ، ه‍ » وحاشية بدرالدين : « ووليّك »</w:t>
      </w:r>
      <w:r>
        <w:rPr>
          <w:rtl/>
        </w:rPr>
        <w:t>.</w:t>
      </w:r>
    </w:p>
    <w:p w:rsidR="000C39D1" w:rsidRPr="00132E65" w:rsidRDefault="000C39D1" w:rsidP="000C39D1">
      <w:pPr>
        <w:pStyle w:val="libFootnote0"/>
        <w:rPr>
          <w:rtl/>
          <w:lang w:bidi="fa-IR"/>
        </w:rPr>
      </w:pPr>
      <w:r>
        <w:rPr>
          <w:rtl/>
        </w:rPr>
        <w:t>(3).</w:t>
      </w:r>
      <w:r w:rsidRPr="00132E65">
        <w:rPr>
          <w:rtl/>
        </w:rPr>
        <w:t xml:space="preserve"> في « ج ، ض ، ف ، بر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من تعدّهم »</w:t>
      </w:r>
      <w:r>
        <w:rPr>
          <w:rtl/>
        </w:rPr>
        <w:t>.</w:t>
      </w:r>
      <w:r w:rsidRPr="00132E65">
        <w:rPr>
          <w:rtl/>
        </w:rPr>
        <w:t xml:space="preserve"> وقال في </w:t>
      </w:r>
      <w:r w:rsidRPr="009D1ACE">
        <w:rPr>
          <w:rStyle w:val="libFootnoteBoldChar"/>
          <w:rtl/>
        </w:rPr>
        <w:t>الوافي</w:t>
      </w:r>
      <w:r w:rsidRPr="00132E65">
        <w:rPr>
          <w:rtl/>
        </w:rPr>
        <w:t xml:space="preserve"> : « من تَعُدّهم : من تعتني بشأنهم ؛ من التعداد »</w:t>
      </w:r>
      <w:r>
        <w:rPr>
          <w:rtl/>
        </w:rPr>
        <w:t>.</w:t>
      </w:r>
      <w:r w:rsidRPr="00132E65">
        <w:rPr>
          <w:rtl/>
        </w:rPr>
        <w:t xml:space="preserve"> وفي شرح المازندراني : « وضبطه بعض الناظرين بضمّ الباء ، أي من كان بعيداً ، والظاهر أنّه تصحيف »</w:t>
      </w:r>
      <w:r>
        <w:rPr>
          <w:rtl/>
        </w:rPr>
        <w:t>.</w:t>
      </w:r>
      <w:r w:rsidRPr="00132E65">
        <w:rPr>
          <w:rtl/>
        </w:rPr>
        <w:t xml:space="preserve"> وفي </w:t>
      </w:r>
      <w:r w:rsidRPr="009D1ACE">
        <w:rPr>
          <w:rStyle w:val="libFootnoteBoldChar"/>
          <w:rtl/>
        </w:rPr>
        <w:t>مرآة العقول</w:t>
      </w:r>
      <w:r w:rsidRPr="00132E65">
        <w:rPr>
          <w:rtl/>
        </w:rPr>
        <w:t xml:space="preserve"> : « وفي بعض النسخ بالباء الموحّدة بصيغة الاسم فكأنّه بالضمّ »</w:t>
      </w:r>
      <w:r>
        <w:rPr>
          <w:rtl/>
        </w:rPr>
        <w:t>.</w:t>
      </w:r>
    </w:p>
    <w:p w:rsidR="000C39D1" w:rsidRPr="00132E65" w:rsidRDefault="000C39D1" w:rsidP="000C39D1">
      <w:pPr>
        <w:pStyle w:val="libFootnote0"/>
        <w:rPr>
          <w:rtl/>
          <w:lang w:bidi="fa-IR"/>
        </w:rPr>
      </w:pPr>
      <w:r>
        <w:rPr>
          <w:rtl/>
        </w:rPr>
        <w:t>(4).</w:t>
      </w:r>
      <w:r w:rsidRPr="00132E65">
        <w:rPr>
          <w:rtl/>
        </w:rPr>
        <w:t xml:space="preserve"> في « ه‍ » :</w:t>
      </w:r>
      <w:r>
        <w:rPr>
          <w:rtl/>
        </w:rPr>
        <w:t xml:space="preserve"> + </w:t>
      </w:r>
      <w:r w:rsidRPr="00132E65">
        <w:rPr>
          <w:rtl/>
        </w:rPr>
        <w:t>« عليهم »</w:t>
      </w:r>
      <w:r>
        <w:rPr>
          <w:rtl/>
        </w:rPr>
        <w:t>.</w:t>
      </w:r>
    </w:p>
    <w:p w:rsidR="000C39D1" w:rsidRPr="00132E65" w:rsidRDefault="000C39D1" w:rsidP="000C39D1">
      <w:pPr>
        <w:pStyle w:val="libFootnote0"/>
        <w:rPr>
          <w:rtl/>
          <w:lang w:bidi="fa-IR"/>
        </w:rPr>
      </w:pPr>
      <w:r>
        <w:rPr>
          <w:rtl/>
        </w:rPr>
        <w:t>(5).</w:t>
      </w:r>
      <w:r w:rsidRPr="00132E65">
        <w:rPr>
          <w:rtl/>
        </w:rPr>
        <w:t xml:space="preserve"> « سميّ عليّ » ، أي المسمّى باسمه. تقول : هو سَمِيُّ فلان إذا وافق اسمُه اسمَه ، كما تقول : هو كَنِيُّهُ. راجع : </w:t>
      </w:r>
      <w:r w:rsidRPr="009D1ACE">
        <w:rPr>
          <w:rStyle w:val="libFootnoteBoldChar"/>
          <w:rtl/>
        </w:rPr>
        <w:t>لسان العرب</w:t>
      </w:r>
      <w:r w:rsidRPr="00132E65">
        <w:rPr>
          <w:rtl/>
        </w:rPr>
        <w:t xml:space="preserve"> ، ج 14 ، ص 402 ( سما )</w:t>
      </w:r>
      <w:r>
        <w:rPr>
          <w:rtl/>
        </w:rPr>
        <w:t>.</w:t>
      </w:r>
      <w:r w:rsidR="00D03C29">
        <w:rPr>
          <w:rFonts w:hint="cs"/>
          <w:rtl/>
        </w:rPr>
        <w:t xml:space="preserve">                </w:t>
      </w:r>
      <w:r>
        <w:rPr>
          <w:rFonts w:hint="cs"/>
          <w:rtl/>
        </w:rPr>
        <w:t xml:space="preserve">       </w:t>
      </w:r>
      <w:r>
        <w:rPr>
          <w:rtl/>
        </w:rPr>
        <w:t>(6).</w:t>
      </w:r>
      <w:r w:rsidRPr="00132E65">
        <w:rPr>
          <w:rtl/>
        </w:rPr>
        <w:t xml:space="preserve"> في « ب » </w:t>
      </w:r>
      <w:r>
        <w:rPr>
          <w:rtl/>
        </w:rPr>
        <w:t xml:space="preserve">: - </w:t>
      </w:r>
      <w:r w:rsidRPr="00132E65">
        <w:rPr>
          <w:rtl/>
        </w:rPr>
        <w:t>« عليّ »</w:t>
      </w:r>
      <w:r>
        <w:rPr>
          <w:rtl/>
        </w:rPr>
        <w:t>.</w:t>
      </w:r>
    </w:p>
    <w:p w:rsidR="000C39D1" w:rsidRPr="00132E65" w:rsidRDefault="000C39D1" w:rsidP="000C39D1">
      <w:pPr>
        <w:pStyle w:val="libFootnote0"/>
        <w:rPr>
          <w:rtl/>
          <w:lang w:bidi="fa-IR"/>
        </w:rPr>
      </w:pPr>
      <w:r>
        <w:rPr>
          <w:rtl/>
        </w:rPr>
        <w:t>(7).</w:t>
      </w:r>
      <w:r w:rsidRPr="00132E65">
        <w:rPr>
          <w:rtl/>
        </w:rPr>
        <w:t xml:space="preserve"> في الغيبة : « ذمّته »</w:t>
      </w:r>
      <w:r>
        <w:rPr>
          <w:rtl/>
        </w:rPr>
        <w:t>.</w:t>
      </w:r>
    </w:p>
    <w:p w:rsidR="00D03C29" w:rsidRDefault="000C39D1" w:rsidP="00D03C29">
      <w:pPr>
        <w:pStyle w:val="libFootnote0"/>
        <w:rPr>
          <w:rtl/>
        </w:rPr>
      </w:pPr>
      <w:r>
        <w:rPr>
          <w:rtl/>
        </w:rPr>
        <w:t>(8).</w:t>
      </w:r>
      <w:r w:rsidRPr="00132E65">
        <w:rPr>
          <w:rtl/>
        </w:rPr>
        <w:t xml:space="preserve"> في « ب » : « محبّته »</w:t>
      </w:r>
      <w:r>
        <w:rPr>
          <w:rtl/>
        </w:rPr>
        <w:t>.</w:t>
      </w:r>
      <w:r w:rsidRPr="00132E65">
        <w:rPr>
          <w:rtl/>
        </w:rPr>
        <w:t xml:space="preserve"> وفي الإرشاد : « حلمه ونصره وورعه ووِرْدَه ودينه » بدل « حلمه ونصره ووُدّه ودينه ومحنته »</w:t>
      </w:r>
      <w:r>
        <w:rPr>
          <w:rtl/>
        </w:rPr>
        <w:t>.</w:t>
      </w:r>
      <w:r w:rsidRPr="00132E65">
        <w:rPr>
          <w:rtl/>
        </w:rPr>
        <w:t xml:space="preserve"> وقال الجوهري : « المِحْنَة : واحدة المِحَنْ التي يُمْتَحن بها الإنسان من بَليّة »</w:t>
      </w:r>
      <w:r>
        <w:rPr>
          <w:rtl/>
        </w:rPr>
        <w:t>.</w:t>
      </w:r>
      <w:r w:rsidRPr="00132E65">
        <w:rPr>
          <w:rtl/>
        </w:rPr>
        <w:t xml:space="preserve"> </w:t>
      </w:r>
      <w:r w:rsidRPr="001E0518">
        <w:rPr>
          <w:rtl/>
        </w:rPr>
        <w:t>الصحاح</w:t>
      </w:r>
      <w:r w:rsidRPr="00132E65">
        <w:rPr>
          <w:rtl/>
        </w:rPr>
        <w:t xml:space="preserve"> ، ج 6 ، ص 220 ( محن )</w:t>
      </w:r>
      <w:r>
        <w:rPr>
          <w:rtl/>
        </w:rPr>
        <w:t>.</w:t>
      </w:r>
    </w:p>
    <w:p w:rsidR="000C39D1" w:rsidRPr="00132E65" w:rsidRDefault="000C39D1" w:rsidP="00D03C29">
      <w:pPr>
        <w:pStyle w:val="libFootnote0"/>
        <w:rPr>
          <w:rtl/>
          <w:lang w:bidi="fa-IR"/>
        </w:rPr>
      </w:pPr>
      <w:r>
        <w:rPr>
          <w:rtl/>
        </w:rPr>
        <w:t>(9).</w:t>
      </w:r>
      <w:r w:rsidRPr="00132E65">
        <w:rPr>
          <w:rtl/>
        </w:rPr>
        <w:t xml:space="preserve"> في « ه‍ » : « فلقيته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في « ج » : « وستلقّاه »</w:t>
            </w:r>
            <w:r>
              <w:rPr>
                <w:rtl/>
              </w:rPr>
              <w:t>.</w:t>
            </w:r>
          </w:p>
        </w:tc>
        <w:tc>
          <w:tcPr>
            <w:tcW w:w="4006" w:type="dxa"/>
          </w:tcPr>
          <w:p w:rsidR="000C39D1" w:rsidRDefault="000C39D1" w:rsidP="00B53873">
            <w:pPr>
              <w:pStyle w:val="libFootnote0"/>
              <w:rPr>
                <w:rtl/>
              </w:rPr>
            </w:pPr>
            <w:r>
              <w:rPr>
                <w:rtl/>
              </w:rPr>
              <w:t>(11).</w:t>
            </w:r>
            <w:r w:rsidRPr="00132E65">
              <w:rPr>
                <w:rtl/>
              </w:rPr>
              <w:t xml:space="preserve"> في « ج » وحاشية « بح » : « وسيعلم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أُمِّ إِبْرَاهِيمَ ، فَإِنْ قَدَرْتَ أَنْ تُبَلِّغَهَا </w:t>
      </w:r>
      <w:r>
        <w:rPr>
          <w:rStyle w:val="libFootnotenumChar"/>
          <w:rtl/>
        </w:rPr>
        <w:t>(1)</w:t>
      </w:r>
      <w:r w:rsidRPr="00132E65">
        <w:rPr>
          <w:rtl/>
          <w:lang w:bidi="fa-IR"/>
        </w:rPr>
        <w:t xml:space="preserve"> مِنِّي السَّلَامَ ، فَافْعَلْ »</w:t>
      </w:r>
      <w:r>
        <w:rPr>
          <w:rtl/>
          <w:lang w:bidi="fa-IR"/>
        </w:rPr>
        <w:t>.</w:t>
      </w:r>
    </w:p>
    <w:p w:rsidR="000C39D1" w:rsidRPr="00132E65" w:rsidRDefault="000C39D1" w:rsidP="000C39D1">
      <w:pPr>
        <w:pStyle w:val="libNormal"/>
        <w:rPr>
          <w:rtl/>
          <w:lang w:bidi="fa-IR"/>
        </w:rPr>
      </w:pPr>
      <w:r w:rsidRPr="00132E65">
        <w:rPr>
          <w:rtl/>
          <w:lang w:bidi="fa-IR"/>
        </w:rPr>
        <w:t xml:space="preserve">قَالَ يَزِيدُ : فَلَقِيتُ بَعْدَ مُضِيِّ أَبِي إِبْرَاهِيمَ </w:t>
      </w:r>
      <w:r w:rsidRPr="00071CF9">
        <w:rPr>
          <w:rStyle w:val="libAlaemChar"/>
          <w:rtl/>
        </w:rPr>
        <w:t>عليه‌السلام</w:t>
      </w:r>
      <w:r w:rsidRPr="00132E65">
        <w:rPr>
          <w:rtl/>
          <w:lang w:bidi="fa-IR"/>
        </w:rPr>
        <w:t xml:space="preserve"> عَلِيّاً </w:t>
      </w:r>
      <w:r w:rsidRPr="00071CF9">
        <w:rPr>
          <w:rStyle w:val="libAlaemChar"/>
          <w:rtl/>
        </w:rPr>
        <w:t>عليه‌السلام</w:t>
      </w:r>
      <w:r w:rsidRPr="00132E65">
        <w:rPr>
          <w:rtl/>
          <w:lang w:bidi="fa-IR"/>
        </w:rPr>
        <w:t xml:space="preserve"> ، فَبَدَأَنِي ، فَقَالَ لِي : « يَا يَزِيدُ ،</w:t>
      </w:r>
      <w:r>
        <w:rPr>
          <w:rFonts w:hint="cs"/>
          <w:rtl/>
          <w:lang w:bidi="fa-IR"/>
        </w:rPr>
        <w:t xml:space="preserve"> </w:t>
      </w:r>
      <w:r w:rsidRPr="00132E65">
        <w:rPr>
          <w:rtl/>
          <w:lang w:bidi="fa-IR"/>
        </w:rPr>
        <w:t>مَا تَقُولُ فِي الْعُمْرَةِ</w:t>
      </w:r>
      <w:r>
        <w:rPr>
          <w:rtl/>
          <w:lang w:bidi="fa-IR"/>
        </w:rPr>
        <w:t>؟</w:t>
      </w:r>
      <w:r w:rsidRPr="00132E65">
        <w:rPr>
          <w:rtl/>
          <w:lang w:bidi="fa-IR"/>
        </w:rPr>
        <w:t xml:space="preserve"> » فَقُلْتُ : بِأَبِي أَنْتَ وأُمِّي ، ذلِكَ إِلَيْكَ ، و</w:t>
      </w:r>
      <w:r>
        <w:rPr>
          <w:rFonts w:hint="cs"/>
          <w:rtl/>
          <w:lang w:bidi="fa-IR"/>
        </w:rPr>
        <w:t xml:space="preserve">َ </w:t>
      </w:r>
      <w:r w:rsidRPr="00132E65">
        <w:rPr>
          <w:rtl/>
          <w:lang w:bidi="fa-IR"/>
        </w:rPr>
        <w:t xml:space="preserve">مَا عِنْدِي نَفَقَةٌ </w:t>
      </w:r>
      <w:r>
        <w:rPr>
          <w:rStyle w:val="libFootnotenumChar"/>
          <w:rtl/>
        </w:rPr>
        <w:t>(2)</w:t>
      </w:r>
      <w:r w:rsidRPr="00132E65">
        <w:rPr>
          <w:rtl/>
          <w:lang w:bidi="fa-IR"/>
        </w:rPr>
        <w:t xml:space="preserve"> ، فَقَالَ :</w:t>
      </w:r>
      <w:r>
        <w:rPr>
          <w:rFonts w:hint="cs"/>
          <w:rtl/>
          <w:lang w:bidi="fa-IR"/>
        </w:rPr>
        <w:t xml:space="preserve"> </w:t>
      </w:r>
      <w:r w:rsidRPr="00132E65">
        <w:rPr>
          <w:rtl/>
          <w:lang w:bidi="fa-IR"/>
        </w:rPr>
        <w:t>« سُبْحَانَ اللهِ</w:t>
      </w:r>
      <w:r>
        <w:rPr>
          <w:rtl/>
          <w:lang w:bidi="fa-IR"/>
        </w:rPr>
        <w:t>!</w:t>
      </w:r>
      <w:r w:rsidRPr="00132E65">
        <w:rPr>
          <w:rtl/>
          <w:lang w:bidi="fa-IR"/>
        </w:rPr>
        <w:t xml:space="preserve"> مَا كُنَّا نُكَلِّفُكَ و</w:t>
      </w:r>
      <w:r>
        <w:rPr>
          <w:rFonts w:hint="cs"/>
          <w:rtl/>
          <w:lang w:bidi="fa-IR"/>
        </w:rPr>
        <w:t xml:space="preserve"> </w:t>
      </w:r>
      <w:r>
        <w:rPr>
          <w:rStyle w:val="libFootnotenumChar"/>
          <w:rtl/>
        </w:rPr>
        <w:t>(3)</w:t>
      </w:r>
      <w:r w:rsidRPr="00132E65">
        <w:rPr>
          <w:rtl/>
          <w:lang w:bidi="fa-IR"/>
        </w:rPr>
        <w:t xml:space="preserve"> لَانَكْفِيكَ </w:t>
      </w:r>
      <w:r>
        <w:rPr>
          <w:rStyle w:val="libFootnotenumChar"/>
          <w:rtl/>
        </w:rPr>
        <w:t>(4)</w:t>
      </w:r>
      <w:r w:rsidRPr="00132E65">
        <w:rPr>
          <w:rtl/>
          <w:lang w:bidi="fa-IR"/>
        </w:rPr>
        <w:t xml:space="preserve"> » فَخَرَجْنَا حَتّى انْتَهَيْنَا إِلى ذلِكَ الْمَوْضِعِ ، فَابْتَدَأَنِي ، فَقَالَ : « يَا يَزِيدُ ، إِنَّ هذَا الْمَوْضِعَ كَثِيراً مَا لَقِيتَ فِيهِ جِيرَتَكَ </w:t>
      </w:r>
      <w:r>
        <w:rPr>
          <w:rStyle w:val="libFootnotenumChar"/>
          <w:rtl/>
        </w:rPr>
        <w:t>(5)</w:t>
      </w:r>
      <w:r w:rsidRPr="00132E65">
        <w:rPr>
          <w:rtl/>
          <w:lang w:bidi="fa-IR"/>
        </w:rPr>
        <w:t xml:space="preserve"> وعُمُومَتَكَ » قُلْتُ : نَعَمْ ، ثُمَّ </w:t>
      </w:r>
      <w:r>
        <w:rPr>
          <w:rStyle w:val="libFootnotenumChar"/>
          <w:rtl/>
        </w:rPr>
        <w:t>(6)</w:t>
      </w:r>
      <w:r w:rsidRPr="00132E65">
        <w:rPr>
          <w:rtl/>
          <w:lang w:bidi="fa-IR"/>
        </w:rPr>
        <w:t xml:space="preserve"> قَصَصْتُ عَلَيْهِ الْخَبَرَ ، فَقَالَ لِي : « أَمَّا الْجَارِيَةُ ، فَلَمْ تَجِئْ بَعْدُ ، فَإِذَا جَاءَتْ بَلَّغْتُهَا </w:t>
      </w:r>
      <w:r>
        <w:rPr>
          <w:rStyle w:val="libFootnotenumChar"/>
          <w:rtl/>
        </w:rPr>
        <w:t>(7)</w:t>
      </w:r>
      <w:r w:rsidRPr="00132E65">
        <w:rPr>
          <w:rtl/>
          <w:lang w:bidi="fa-IR"/>
        </w:rPr>
        <w:t xml:space="preserve"> مِنْهُ السَّلَامَ » فَانْطَلَقْنَا </w:t>
      </w:r>
      <w:r>
        <w:rPr>
          <w:rStyle w:val="libFootnotenumChar"/>
          <w:rtl/>
        </w:rPr>
        <w:t>(8)</w:t>
      </w:r>
      <w:r w:rsidRPr="00132E65">
        <w:rPr>
          <w:rtl/>
          <w:lang w:bidi="fa-IR"/>
        </w:rPr>
        <w:t xml:space="preserve"> إِلى مَكَّةَ ، فَاشْتَرَاهَا فِي تِلْكَ السَّنَةِ ، فَلَمْ تَلْبَثْ </w:t>
      </w:r>
      <w:r>
        <w:rPr>
          <w:rStyle w:val="libFootnotenumChar"/>
          <w:rtl/>
        </w:rPr>
        <w:t>(9)</w:t>
      </w:r>
      <w:r>
        <w:rPr>
          <w:rtl/>
          <w:lang w:bidi="fa-IR"/>
        </w:rPr>
        <w:t xml:space="preserve"> إِل</w:t>
      </w:r>
      <w:r>
        <w:rPr>
          <w:rFonts w:hint="cs"/>
          <w:rtl/>
          <w:lang w:bidi="fa-IR"/>
        </w:rPr>
        <w:t>َّ</w:t>
      </w:r>
      <w:r>
        <w:rPr>
          <w:rtl/>
          <w:lang w:bidi="fa-IR"/>
        </w:rPr>
        <w:t>ا</w:t>
      </w:r>
      <w:r w:rsidRPr="00132E65">
        <w:rPr>
          <w:rtl/>
          <w:lang w:bidi="fa-IR"/>
        </w:rPr>
        <w:t xml:space="preserve"> قَلِيلاً حَتّى حَمَلَتْ ، فَوَلَدَتْ ذلِكَ الْغُلَامَ.</w:t>
      </w:r>
    </w:p>
    <w:p w:rsidR="000C39D1" w:rsidRPr="00132E65" w:rsidRDefault="000C39D1" w:rsidP="000C39D1">
      <w:pPr>
        <w:pStyle w:val="libNormal"/>
        <w:rPr>
          <w:rtl/>
          <w:lang w:bidi="fa-IR"/>
        </w:rPr>
      </w:pPr>
      <w:r w:rsidRPr="00132E65">
        <w:rPr>
          <w:rtl/>
          <w:lang w:bidi="fa-IR"/>
        </w:rPr>
        <w:t xml:space="preserve">قَالَ يَزِيدُ : وكَانَ إِخْوَةُ عَلِيٍّ يَرْجُونَ أَنْ يَرِثُوهُ ، فَعَادُونِي إِخْوَتُهُ مِنْ غَيْرِ ذَنْبٍ ، فَقَالَ لَهُمْ إِسْحَاقُ بْنُ جَعْفَرٍ : واللهِ </w:t>
      </w:r>
      <w:r>
        <w:rPr>
          <w:rStyle w:val="libFootnotenumChar"/>
          <w:rtl/>
        </w:rPr>
        <w:t>(10)</w:t>
      </w:r>
      <w:r w:rsidRPr="00132E65">
        <w:rPr>
          <w:rtl/>
          <w:lang w:bidi="fa-IR"/>
        </w:rPr>
        <w:t xml:space="preserve"> ، لَقَدْ رَأَيْتُهُ وإِنَّهُ لَيَقْعُدُ مِنْ أَبِي إِبْرَاهِيمَ بِالْمَجْلِسِ الَّذِي لَا أَجْلِسُ فِيهِ أَنَا.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1E0518">
        <w:rPr>
          <w:rtl/>
        </w:rPr>
        <w:t>831</w:t>
      </w:r>
      <w:r w:rsidRPr="004325D8">
        <w:rPr>
          <w:rStyle w:val="libBold2Char"/>
          <w:rtl/>
        </w:rPr>
        <w:t xml:space="preserve"> / 15.</w:t>
      </w:r>
      <w:r w:rsidRPr="00132E65">
        <w:rPr>
          <w:rtl/>
          <w:lang w:bidi="fa-IR"/>
        </w:rPr>
        <w:t xml:space="preserve"> أَحْمَدُ بْنُ مِهْرَانَ ، عَنْ مُحَمَّدِ بْنِ عَلِيٍّ ، عَنْ أَبِي الْحَكَمِ ، قَالَ : حَدَّثَنِي عَبْدُ اللهِ بْنُ إِبْرَاهِيمَ الْجَعْفَرِيُّ وعَبْدُ اللهِ بْنُ مُحَمَّدِ بْنِ عُمَارَةَ ، عَنْ يَزِيدَ بْنِ سَلِيطٍ ، قَالَ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 في « ه‍،بس ،بف » :« تبلغها»،</w:t>
            </w:r>
            <w:r w:rsidRPr="00132E65">
              <w:rPr>
                <w:rtl/>
              </w:rPr>
              <w:t>أي من الإفعال.</w:t>
            </w:r>
          </w:p>
        </w:tc>
        <w:tc>
          <w:tcPr>
            <w:tcW w:w="4006" w:type="dxa"/>
          </w:tcPr>
          <w:p w:rsidR="000C39D1" w:rsidRDefault="000C39D1" w:rsidP="00B53873">
            <w:pPr>
              <w:pStyle w:val="libFootnote0"/>
              <w:rPr>
                <w:rtl/>
              </w:rPr>
            </w:pPr>
            <w:r>
              <w:rPr>
                <w:rtl/>
              </w:rPr>
              <w:t>(2).</w:t>
            </w:r>
            <w:r w:rsidRPr="00132E65">
              <w:rPr>
                <w:rtl/>
              </w:rPr>
              <w:t xml:space="preserve"> في « ف ، بر » : « تفقّه »</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الواو عاطفة أو حاليّة.</w:t>
            </w:r>
          </w:p>
        </w:tc>
        <w:tc>
          <w:tcPr>
            <w:tcW w:w="4006" w:type="dxa"/>
          </w:tcPr>
          <w:p w:rsidR="000C39D1" w:rsidRDefault="000C39D1" w:rsidP="00B53873">
            <w:pPr>
              <w:pStyle w:val="libFootnote0"/>
              <w:rPr>
                <w:rtl/>
              </w:rPr>
            </w:pPr>
            <w:r>
              <w:rPr>
                <w:rtl/>
              </w:rPr>
              <w:t>(4).</w:t>
            </w:r>
            <w:r w:rsidRPr="00132E65">
              <w:rPr>
                <w:rtl/>
              </w:rPr>
              <w:t xml:space="preserve"> في </w:t>
            </w:r>
            <w:r w:rsidRPr="009D1ACE">
              <w:rPr>
                <w:rStyle w:val="libFootnoteBoldChar"/>
                <w:rtl/>
              </w:rPr>
              <w:t>مرآة العقول</w:t>
            </w:r>
            <w:r w:rsidRPr="00132E65">
              <w:rPr>
                <w:rtl/>
              </w:rPr>
              <w:t xml:space="preserve"> : « ولا تكفيك »</w:t>
            </w:r>
            <w:r>
              <w:rPr>
                <w:rtl/>
              </w:rPr>
              <w:t>.</w:t>
            </w:r>
          </w:p>
        </w:tc>
      </w:tr>
    </w:tbl>
    <w:p w:rsidR="00D03C29" w:rsidRDefault="000C39D1" w:rsidP="00D03C29">
      <w:pPr>
        <w:pStyle w:val="libFootnote0"/>
        <w:rPr>
          <w:rtl/>
        </w:rPr>
      </w:pPr>
      <w:r>
        <w:rPr>
          <w:rtl/>
        </w:rPr>
        <w:t>(5).</w:t>
      </w:r>
      <w:r w:rsidRPr="00132E65">
        <w:rPr>
          <w:rtl/>
        </w:rPr>
        <w:t xml:space="preserve"> في « ج » : « خيرتك »</w:t>
      </w:r>
      <w:r>
        <w:rPr>
          <w:rtl/>
        </w:rPr>
        <w:t>.</w:t>
      </w:r>
      <w:r w:rsidRPr="00132E65">
        <w:rPr>
          <w:rtl/>
        </w:rPr>
        <w:t xml:space="preserve"> </w:t>
      </w:r>
      <w:r>
        <w:rPr>
          <w:rtl/>
        </w:rPr>
        <w:t>و «</w:t>
      </w:r>
      <w:r w:rsidRPr="00132E65">
        <w:rPr>
          <w:rtl/>
        </w:rPr>
        <w:t xml:space="preserve"> الجِيرَة » : جمع الجار بمعنى المجاور. راجع : </w:t>
      </w:r>
      <w:r w:rsidRPr="001E0518">
        <w:rPr>
          <w:rtl/>
        </w:rPr>
        <w:t>القاموس المحيط</w:t>
      </w:r>
      <w:r w:rsidRPr="00132E65">
        <w:rPr>
          <w:rtl/>
        </w:rPr>
        <w:t xml:space="preserve"> ، ج 1 ، ص 524 ( جور )</w:t>
      </w:r>
      <w:r>
        <w:rPr>
          <w:rtl/>
        </w:rPr>
        <w:t>.</w:t>
      </w:r>
    </w:p>
    <w:p w:rsidR="000C39D1" w:rsidRPr="00132E65" w:rsidRDefault="000C39D1" w:rsidP="00D03C29">
      <w:pPr>
        <w:pStyle w:val="libFootnote0"/>
        <w:rPr>
          <w:rtl/>
          <w:lang w:bidi="fa-IR"/>
        </w:rPr>
      </w:pPr>
      <w:r>
        <w:rPr>
          <w:rtl/>
        </w:rPr>
        <w:t>(6).</w:t>
      </w:r>
      <w:r w:rsidRPr="00132E65">
        <w:rPr>
          <w:rtl/>
        </w:rPr>
        <w:t xml:space="preserve"> في « ف » : « قد »</w:t>
      </w:r>
      <w:r>
        <w:rPr>
          <w:rtl/>
        </w:rPr>
        <w:t>.</w:t>
      </w:r>
    </w:p>
    <w:p w:rsidR="000C39D1" w:rsidRPr="00132E65" w:rsidRDefault="000C39D1" w:rsidP="000C39D1">
      <w:pPr>
        <w:pStyle w:val="libFootnote0"/>
        <w:rPr>
          <w:rtl/>
          <w:lang w:bidi="fa-IR"/>
        </w:rPr>
      </w:pPr>
      <w:r>
        <w:rPr>
          <w:rtl/>
        </w:rPr>
        <w:t>(7).</w:t>
      </w:r>
      <w:r w:rsidRPr="00132E65">
        <w:rPr>
          <w:rtl/>
        </w:rPr>
        <w:t xml:space="preserve"> « بلّغتُها » بصيغة المتكلّم ، ويحتمل فيه الخطاب أيضاً.</w:t>
      </w:r>
    </w:p>
    <w:p w:rsidR="000C39D1" w:rsidRPr="00132E65" w:rsidRDefault="000C39D1" w:rsidP="000C39D1">
      <w:pPr>
        <w:pStyle w:val="libFootnote0"/>
        <w:rPr>
          <w:rtl/>
          <w:lang w:bidi="fa-IR"/>
        </w:rPr>
      </w:pPr>
      <w:r>
        <w:rPr>
          <w:rtl/>
        </w:rPr>
        <w:t>(8).</w:t>
      </w:r>
      <w:r w:rsidRPr="00132E65">
        <w:rPr>
          <w:rtl/>
        </w:rPr>
        <w:t xml:space="preserve"> في « ف » : « فانطلقت »</w:t>
      </w:r>
      <w:r>
        <w:rPr>
          <w:rtl/>
        </w:rPr>
        <w:t>.</w:t>
      </w:r>
      <w:r w:rsidRPr="00132E65">
        <w:rPr>
          <w:rtl/>
        </w:rPr>
        <w:t xml:space="preserve"> </w:t>
      </w:r>
      <w:r>
        <w:rPr>
          <w:rtl/>
        </w:rPr>
        <w:t>و «</w:t>
      </w:r>
      <w:r w:rsidRPr="00132E65">
        <w:rPr>
          <w:rtl/>
        </w:rPr>
        <w:t xml:space="preserve"> فانطلقنا إلى مكّة » ، أي ذهبنا إليها. راجع : </w:t>
      </w:r>
      <w:r w:rsidRPr="001E0518">
        <w:rPr>
          <w:rtl/>
        </w:rPr>
        <w:t>المصباح المنير</w:t>
      </w:r>
      <w:r w:rsidRPr="00132E65">
        <w:rPr>
          <w:rtl/>
        </w:rPr>
        <w:t xml:space="preserve"> ، ص 376 ( طلق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ف ، بس ، بف » : « فلم يلبث »</w:t>
            </w:r>
            <w:r>
              <w:rPr>
                <w:rtl/>
              </w:rPr>
              <w:t>.</w:t>
            </w:r>
          </w:p>
        </w:tc>
        <w:tc>
          <w:tcPr>
            <w:tcW w:w="4006" w:type="dxa"/>
          </w:tcPr>
          <w:p w:rsidR="000C39D1" w:rsidRDefault="000C39D1" w:rsidP="00B53873">
            <w:pPr>
              <w:pStyle w:val="libFootnote0"/>
              <w:rPr>
                <w:rtl/>
              </w:rPr>
            </w:pPr>
            <w:r>
              <w:rPr>
                <w:rtl/>
              </w:rPr>
              <w:t>(10).في شرح المازندراني:«</w:t>
            </w:r>
            <w:r w:rsidRPr="00132E65">
              <w:rPr>
                <w:rtl/>
              </w:rPr>
              <w:t xml:space="preserve">عمّ الرضا </w:t>
            </w:r>
            <w:r w:rsidRPr="00DB2E62">
              <w:rPr>
                <w:rStyle w:val="libFootnoteAlaemChar"/>
                <w:rtl/>
              </w:rPr>
              <w:t>عليه‌السلام</w:t>
            </w:r>
            <w:r>
              <w:rPr>
                <w:rtl/>
              </w:rPr>
              <w:t>»بدل«والله</w:t>
            </w:r>
            <w:r w:rsidRPr="00132E65">
              <w:rPr>
                <w:rtl/>
              </w:rPr>
              <w:t>»</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1E0518">
        <w:rPr>
          <w:rtl/>
        </w:rPr>
        <w:t>الإرشاد</w:t>
      </w:r>
      <w:r w:rsidRPr="00132E65">
        <w:rPr>
          <w:rtl/>
        </w:rPr>
        <w:t xml:space="preserve"> ، ج 2 ، ص 252 ، بسنده عن الكليني ؛ </w:t>
      </w:r>
      <w:r w:rsidRPr="001E0518">
        <w:rPr>
          <w:rtl/>
        </w:rPr>
        <w:t>الغيبة</w:t>
      </w:r>
      <w:r w:rsidRPr="00132E65">
        <w:rPr>
          <w:rtl/>
        </w:rPr>
        <w:t xml:space="preserve"> للطوسي ، ص 40 ، ح 19 ، عن الكليني ، من قوله : « إنّي ا</w:t>
      </w:r>
      <w:r>
        <w:rPr>
          <w:rFonts w:hint="cs"/>
          <w:rtl/>
        </w:rPr>
        <w:t>ُ</w:t>
      </w:r>
      <w:r w:rsidRPr="00132E65">
        <w:rPr>
          <w:rtl/>
        </w:rPr>
        <w:t>ؤْخذ في هذه السنة » إلى قوله : « وصبره على ما يكره »</w:t>
      </w:r>
      <w:r>
        <w:rPr>
          <w:rtl/>
        </w:rPr>
        <w:t>.</w:t>
      </w:r>
      <w:r w:rsidRPr="00132E65">
        <w:rPr>
          <w:rtl/>
        </w:rPr>
        <w:t xml:space="preserve"> </w:t>
      </w:r>
      <w:r w:rsidRPr="001E0518">
        <w:rPr>
          <w:rtl/>
        </w:rPr>
        <w:t>عيون الأخبار</w:t>
      </w:r>
      <w:r w:rsidRPr="00132E65">
        <w:rPr>
          <w:rtl/>
        </w:rPr>
        <w:t xml:space="preserve"> ، ج 1 ، ص 23 ، ح 9 ، بسنده عن أبي الحكم الأرمني ، إل</w:t>
      </w:r>
      <w:r>
        <w:rPr>
          <w:rtl/>
        </w:rPr>
        <w:t>ى قوله : « ليس له أن يتكلّم إل</w:t>
      </w:r>
      <w:r>
        <w:rPr>
          <w:rFonts w:hint="cs"/>
          <w:rtl/>
        </w:rPr>
        <w:t>ّ</w:t>
      </w:r>
      <w:r>
        <w:rPr>
          <w:rtl/>
        </w:rPr>
        <w:t>ا</w:t>
      </w:r>
      <w:r w:rsidRPr="00132E65">
        <w:rPr>
          <w:rtl/>
        </w:rPr>
        <w:t>بعد موت هارون بأربع سنين »</w:t>
      </w:r>
      <w:r>
        <w:rPr>
          <w:rFonts w:hint="cs"/>
          <w:rtl/>
        </w:rPr>
        <w:t>.</w:t>
      </w:r>
      <w:r w:rsidRPr="009D1ACE">
        <w:rPr>
          <w:rStyle w:val="libFootnoteBoldChar"/>
          <w:rtl/>
        </w:rPr>
        <w:t>الوافي</w:t>
      </w:r>
      <w:r w:rsidRPr="00132E65">
        <w:rPr>
          <w:rtl/>
        </w:rPr>
        <w:t xml:space="preserve"> ، ج 2 ، ص 361 ، ح 844 ؛ </w:t>
      </w:r>
      <w:r w:rsidRPr="001E0518">
        <w:rPr>
          <w:rtl/>
        </w:rPr>
        <w:t>البحار</w:t>
      </w:r>
      <w:r w:rsidRPr="00132E65">
        <w:rPr>
          <w:rtl/>
        </w:rPr>
        <w:t xml:space="preserve"> ، ج 48 ، ص 310 ، وفيه من قوله : « قال : ا</w:t>
      </w:r>
      <w:r>
        <w:rPr>
          <w:rFonts w:hint="cs"/>
          <w:rtl/>
        </w:rPr>
        <w:t>ُ</w:t>
      </w:r>
      <w:r w:rsidRPr="00132E65">
        <w:rPr>
          <w:rtl/>
        </w:rPr>
        <w:t>خبرك يا أبا عمارة » إلى قوله : « ولكن ذلك من الله عزّ وجلّ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لَمَّا أَوْصى أَبُو إِبْرَاهِيمَ </w:t>
      </w:r>
      <w:r w:rsidRPr="00071CF9">
        <w:rPr>
          <w:rStyle w:val="libAlaemChar"/>
          <w:rtl/>
        </w:rPr>
        <w:t>عليه‌السلام</w:t>
      </w:r>
      <w:r w:rsidRPr="00132E65">
        <w:rPr>
          <w:rtl/>
          <w:lang w:bidi="fa-IR"/>
        </w:rPr>
        <w:t xml:space="preserve"> ، أَشْهَدَ إِبْرَاهِيمَ بْنَ مُحَمَّدٍ الْجَعْفَرِيَّ ، وإِسْحَاقَ بْنَ مُحَمَّدٍ الْجَعْفَرِيَّ ، وإِسْحَاقَ بْنَ جَعْفَرِ بْنِ مُحَمَّدٍ ، وجَعْفَرَ بْنَ صَالِحٍ ، ومُعَاوِيَةَ الْجَعْفَرِيَّ ، وَيَحْيَى بْنَ الْحُسَيْنِ بْنِ زَيْدِ </w:t>
      </w:r>
      <w:r>
        <w:rPr>
          <w:rStyle w:val="libFootnotenumChar"/>
          <w:rtl/>
        </w:rPr>
        <w:t>(1)</w:t>
      </w:r>
      <w:r w:rsidRPr="00132E65">
        <w:rPr>
          <w:rtl/>
          <w:lang w:bidi="fa-IR"/>
        </w:rPr>
        <w:t xml:space="preserve"> بْنِ عَلِيٍّ ، وسَعْدَ بْنَ عِمْرَانَ </w:t>
      </w:r>
      <w:r>
        <w:rPr>
          <w:rStyle w:val="libFootnotenumChar"/>
          <w:rtl/>
        </w:rPr>
        <w:t>(2)</w:t>
      </w:r>
      <w:r w:rsidRPr="00132E65">
        <w:rPr>
          <w:rtl/>
          <w:lang w:bidi="fa-IR"/>
        </w:rPr>
        <w:t xml:space="preserve"> الْأَنْصَارِيَّ ، ومُحَمَّدَ بْنَ الْحَارِثِ الْأَنْصَارِيَّ ، ويَزِيدَ بْنَ سَلِيطٍ الْأَنْصَارِيَّ ، ومُحَمَّدَ بْنَ جَعْفَرِ </w:t>
      </w:r>
      <w:r>
        <w:rPr>
          <w:rStyle w:val="libFootnotenumChar"/>
          <w:rtl/>
        </w:rPr>
        <w:t>(3)</w:t>
      </w:r>
      <w:r w:rsidRPr="00132E65">
        <w:rPr>
          <w:rtl/>
          <w:lang w:bidi="fa-IR"/>
        </w:rPr>
        <w:t xml:space="preserve"> بْنِ سَعْدٍ الْأَسْلَمِيَّ</w:t>
      </w:r>
      <w:r>
        <w:rPr>
          <w:rtl/>
          <w:lang w:bidi="fa-IR"/>
        </w:rPr>
        <w:t xml:space="preserve"> - </w:t>
      </w:r>
      <w:r w:rsidRPr="00132E65">
        <w:rPr>
          <w:rtl/>
          <w:lang w:bidi="fa-IR"/>
        </w:rPr>
        <w:t xml:space="preserve">وهُوَ كَاتِبُ الْوَصِيَّةِ الْأُولى </w:t>
      </w:r>
      <w:r>
        <w:rPr>
          <w:rStyle w:val="libFootnotenumChar"/>
          <w:rtl/>
        </w:rPr>
        <w:t>(4)</w:t>
      </w:r>
      <w:r>
        <w:rPr>
          <w:rtl/>
          <w:lang w:bidi="fa-IR"/>
        </w:rPr>
        <w:t xml:space="preserve"> - </w:t>
      </w:r>
      <w:r w:rsidRPr="00132E65">
        <w:rPr>
          <w:rtl/>
          <w:lang w:bidi="fa-IR"/>
        </w:rPr>
        <w:t>أَشْهَدَهُمْ أَنَّهُ « يَشْهَدُ أَنْ لَا</w:t>
      </w:r>
      <w:r>
        <w:rPr>
          <w:rFonts w:hint="cs"/>
          <w:rtl/>
          <w:lang w:bidi="fa-IR"/>
        </w:rPr>
        <w:t xml:space="preserve"> </w:t>
      </w:r>
      <w:r>
        <w:rPr>
          <w:rtl/>
          <w:lang w:bidi="fa-IR"/>
        </w:rPr>
        <w:t>إِلهَ إِل</w:t>
      </w:r>
      <w:r>
        <w:rPr>
          <w:rFonts w:hint="cs"/>
          <w:rtl/>
          <w:lang w:bidi="fa-IR"/>
        </w:rPr>
        <w:t>َّ</w:t>
      </w:r>
      <w:r>
        <w:rPr>
          <w:rtl/>
          <w:lang w:bidi="fa-IR"/>
        </w:rPr>
        <w:t>ا</w:t>
      </w:r>
      <w:r w:rsidRPr="00132E65">
        <w:rPr>
          <w:rtl/>
          <w:lang w:bidi="fa-IR"/>
        </w:rPr>
        <w:t xml:space="preserve"> اللهُ وحْدَهُ لَاشَرِيكَ لَهُ ، وَأَنَّ مُحَمَّداً عَبْدُهُ ورَسُولُهُ ، وأَنَّ السَّاعَةَ آتِيَةٌ لَارَيْبَ فِيهَا ، وأَنَّ اللهَ يَبْعَثُ مَنْ فِي الْقُبُورِ ، وأَنَّ الْبَعْثَ بَعْدَ الْمَوْتِ حَقٌّ ، وأَنَّ الْوَعْدَ حَقٌّ ، وأَنَّ الْحِسَابَ حَقٌّ </w:t>
      </w:r>
      <w:r>
        <w:rPr>
          <w:rStyle w:val="libFootnotenumChar"/>
          <w:rtl/>
        </w:rPr>
        <w:t>(5)</w:t>
      </w:r>
      <w:r w:rsidRPr="00132E65">
        <w:rPr>
          <w:rtl/>
          <w:lang w:bidi="fa-IR"/>
        </w:rPr>
        <w:t xml:space="preserve"> ، والْقَضَاءَ حَقٌّ ، وأَنَّ </w:t>
      </w:r>
      <w:r>
        <w:rPr>
          <w:rStyle w:val="libFootnotenumChar"/>
          <w:rtl/>
        </w:rPr>
        <w:t>(6)</w:t>
      </w:r>
      <w:r w:rsidRPr="00132E65">
        <w:rPr>
          <w:rtl/>
          <w:lang w:bidi="fa-IR"/>
        </w:rPr>
        <w:t xml:space="preserve"> الْوُقُوفَ بَيْنَ يَدَيِ اللهِ حَقٌّ ، وأَنَّ مَا جَاءَ بِهِ مُحَمَّدٌ </w:t>
      </w:r>
      <w:r w:rsidRPr="00071CF9">
        <w:rPr>
          <w:rStyle w:val="libAlaemChar"/>
          <w:rtl/>
        </w:rPr>
        <w:t>صلى‌الله‌عليه‌وآله</w:t>
      </w:r>
      <w:r w:rsidRPr="00132E65">
        <w:rPr>
          <w:rtl/>
          <w:lang w:bidi="fa-IR"/>
        </w:rPr>
        <w:t xml:space="preserve"> حَقٌّ ، وأَنَّ مَا نَزَلَ بِهِ الرُّوحُ الْأَمِينُ حَقٌّ ، عَلى ذلِكَ أَحْيَا ، وعَلَيْهِ أَمُوتُ ، وعَلَيْهِ أُبْعَثُ إِنْ شَاءَ اللهُ »</w:t>
      </w:r>
      <w:r>
        <w:rPr>
          <w:rtl/>
          <w:lang w:bidi="fa-IR"/>
        </w:rPr>
        <w:t>.</w:t>
      </w:r>
    </w:p>
    <w:p w:rsidR="000C39D1" w:rsidRPr="00132E65" w:rsidRDefault="000C39D1" w:rsidP="000C39D1">
      <w:pPr>
        <w:pStyle w:val="libNormal"/>
        <w:rPr>
          <w:rtl/>
          <w:lang w:bidi="fa-IR"/>
        </w:rPr>
      </w:pPr>
      <w:r w:rsidRPr="00132E65">
        <w:rPr>
          <w:rtl/>
          <w:lang w:bidi="fa-IR"/>
        </w:rPr>
        <w:t xml:space="preserve">وَأَشْهَدَهُمْ أَنَّ « هذِهِ </w:t>
      </w:r>
      <w:r>
        <w:rPr>
          <w:rStyle w:val="libFootnotenumChar"/>
          <w:rtl/>
        </w:rPr>
        <w:t>(7)</w:t>
      </w:r>
      <w:r w:rsidRPr="00132E65">
        <w:rPr>
          <w:rtl/>
          <w:lang w:bidi="fa-IR"/>
        </w:rPr>
        <w:t xml:space="preserve"> وصِيَّتِي بِخَطِّي ، وقَدْ نَسَخْتُ وصِيَّةَ جَدِّي أَمِيرِ الْمُؤْمِنِينَ عَلِيِّ بْنِ أَبِي طَالِبٍ </w:t>
      </w:r>
      <w:r w:rsidRPr="00071CF9">
        <w:rPr>
          <w:rStyle w:val="libAlaemChar"/>
          <w:rtl/>
        </w:rPr>
        <w:t>عليه‌السلام</w:t>
      </w:r>
      <w:r>
        <w:rPr>
          <w:rtl/>
          <w:lang w:bidi="fa-IR"/>
        </w:rPr>
        <w:t xml:space="preserve"> ، و</w:t>
      </w:r>
      <w:r>
        <w:rPr>
          <w:rFonts w:hint="cs"/>
          <w:rtl/>
          <w:lang w:bidi="fa-IR"/>
        </w:rPr>
        <w:t xml:space="preserve">َ </w:t>
      </w:r>
      <w:r>
        <w:rPr>
          <w:rtl/>
          <w:lang w:bidi="fa-IR"/>
        </w:rPr>
        <w:t>و</w:t>
      </w:r>
      <w:r>
        <w:rPr>
          <w:rFonts w:hint="cs"/>
          <w:rtl/>
          <w:lang w:bidi="fa-IR"/>
        </w:rPr>
        <w:t>َ</w:t>
      </w:r>
      <w:r w:rsidRPr="00132E65">
        <w:rPr>
          <w:rtl/>
          <w:lang w:bidi="fa-IR"/>
        </w:rPr>
        <w:t>صِيَّةَ مُحَمَّدِ بْنِ عَلِيٍّ قَبْلَ ذلِكَ ، نَ</w:t>
      </w:r>
      <w:r>
        <w:rPr>
          <w:rtl/>
          <w:lang w:bidi="fa-IR"/>
        </w:rPr>
        <w:t>سَخْتُهَا حَرْفاً بِحَرْفٍ ، و</w:t>
      </w:r>
      <w:r>
        <w:rPr>
          <w:rFonts w:hint="cs"/>
          <w:rtl/>
          <w:lang w:bidi="fa-IR"/>
        </w:rPr>
        <w:t xml:space="preserve">َ </w:t>
      </w:r>
      <w:r>
        <w:rPr>
          <w:rtl/>
          <w:lang w:bidi="fa-IR"/>
        </w:rPr>
        <w:t>و</w:t>
      </w:r>
      <w:r>
        <w:rPr>
          <w:rFonts w:hint="cs"/>
          <w:rtl/>
          <w:lang w:bidi="fa-IR"/>
        </w:rPr>
        <w:t>َ</w:t>
      </w:r>
      <w:r w:rsidRPr="00132E65">
        <w:rPr>
          <w:rtl/>
          <w:lang w:bidi="fa-IR"/>
        </w:rPr>
        <w:t xml:space="preserve">صِيَّةَ جَعْفَرِ بْنِ مُحَمَّدٍ عَلى </w:t>
      </w:r>
      <w:r>
        <w:rPr>
          <w:rStyle w:val="libFootnotenumChar"/>
          <w:rtl/>
        </w:rPr>
        <w:t>(8)</w:t>
      </w:r>
      <w:r w:rsidRPr="00132E65">
        <w:rPr>
          <w:rtl/>
          <w:lang w:bidi="fa-IR"/>
        </w:rPr>
        <w:t xml:space="preserve"> مِثْلِ ذلِكَ ، وإِنِّي قَدْ أَوْصَيْتُ إ</w:t>
      </w:r>
      <w:r>
        <w:rPr>
          <w:rtl/>
          <w:lang w:bidi="fa-IR"/>
        </w:rPr>
        <w:t>ِلى عَلِيٍّ،</w:t>
      </w:r>
      <w:r w:rsidRPr="00132E65">
        <w:rPr>
          <w:rtl/>
          <w:lang w:bidi="fa-IR"/>
        </w:rPr>
        <w:t>وَبَنِيَّ</w:t>
      </w:r>
      <w:r>
        <w:rPr>
          <w:rStyle w:val="libFootnotenumChar"/>
          <w:rtl/>
        </w:rPr>
        <w:t>(9)</w:t>
      </w:r>
      <w:r>
        <w:rPr>
          <w:rtl/>
          <w:lang w:bidi="fa-IR"/>
        </w:rPr>
        <w:t>بَعْدُ</w:t>
      </w:r>
      <w:r w:rsidRPr="00132E65">
        <w:rPr>
          <w:rtl/>
          <w:lang w:bidi="fa-IR"/>
        </w:rPr>
        <w:t>مَعَهُ إِنْ شَاءَ وآنَسَ</w:t>
      </w:r>
      <w:r>
        <w:rPr>
          <w:rStyle w:val="libFootnotenumChar"/>
          <w:rtl/>
        </w:rPr>
        <w:t>(10)</w:t>
      </w:r>
      <w:r>
        <w:rPr>
          <w:rFonts w:hint="cs"/>
          <w:rtl/>
        </w:rPr>
        <w:t xml:space="preserve">    </w:t>
      </w:r>
      <w:r>
        <w:rPr>
          <w:rFonts w:hint="cs"/>
          <w:rtl/>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بف » : « يزيد »</w:t>
      </w:r>
      <w:r>
        <w:rPr>
          <w:rtl/>
        </w:rPr>
        <w:t>.</w:t>
      </w:r>
      <w:r w:rsidRPr="00132E65">
        <w:rPr>
          <w:rtl/>
        </w:rPr>
        <w:t xml:space="preserve"> والظاهر أنّه سهو ، ويحيى هذا هو يحيى بن الحسين بن زيد بن عليّ بن الحسين‌المعدود من أصحاب موسى بن جعفر </w:t>
      </w:r>
      <w:r w:rsidRPr="00AA3A76">
        <w:rPr>
          <w:rStyle w:val="libFootnoteAlaemChar"/>
          <w:rtl/>
        </w:rPr>
        <w:t>عليه‌السلام</w:t>
      </w:r>
      <w:r w:rsidRPr="00132E65">
        <w:rPr>
          <w:rtl/>
        </w:rPr>
        <w:t xml:space="preserve"> المذكور في كتب الأنساب ، راجع : </w:t>
      </w:r>
      <w:r w:rsidRPr="001E0518">
        <w:rPr>
          <w:rtl/>
        </w:rPr>
        <w:t>تهذيب الأنساب</w:t>
      </w:r>
      <w:r w:rsidRPr="00132E65">
        <w:rPr>
          <w:rtl/>
        </w:rPr>
        <w:t xml:space="preserve"> ، ص 190 ؛ </w:t>
      </w:r>
      <w:r w:rsidRPr="001E0518">
        <w:rPr>
          <w:rtl/>
        </w:rPr>
        <w:t>رجال الطوسي</w:t>
      </w:r>
      <w:r w:rsidRPr="00132E65">
        <w:rPr>
          <w:rtl/>
        </w:rPr>
        <w:t xml:space="preserve"> ، ص 346 ، الرقم 5170.</w:t>
      </w:r>
      <w:r>
        <w:rPr>
          <w:rFonts w:hint="cs"/>
          <w:rtl/>
        </w:rPr>
        <w:t xml:space="preserve">                                    </w:t>
      </w:r>
      <w:r>
        <w:rPr>
          <w:rtl/>
        </w:rPr>
        <w:t>(2).</w:t>
      </w:r>
      <w:r w:rsidRPr="00132E65">
        <w:rPr>
          <w:rtl/>
        </w:rPr>
        <w:t xml:space="preserve"> في « ف » : « عمّارة »</w:t>
      </w:r>
      <w:r>
        <w:rPr>
          <w:rtl/>
        </w:rPr>
        <w:t>.</w:t>
      </w:r>
    </w:p>
    <w:p w:rsidR="000C39D1" w:rsidRPr="00132E65" w:rsidRDefault="000C39D1" w:rsidP="000C39D1">
      <w:pPr>
        <w:pStyle w:val="libFootnote0"/>
        <w:rPr>
          <w:rtl/>
          <w:lang w:bidi="fa-IR"/>
        </w:rPr>
      </w:pPr>
      <w:r>
        <w:rPr>
          <w:rtl/>
        </w:rPr>
        <w:t>(3).</w:t>
      </w:r>
      <w:r w:rsidRPr="00132E65">
        <w:rPr>
          <w:rtl/>
        </w:rPr>
        <w:t xml:space="preserve"> في « ج ، ض ، ف ، بر ، بف » وحاشية « بح » والبحار : « جعد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ه‍ » </w:t>
            </w:r>
            <w:r>
              <w:rPr>
                <w:rtl/>
              </w:rPr>
              <w:t xml:space="preserve">: - </w:t>
            </w:r>
            <w:r w:rsidRPr="00132E65">
              <w:rPr>
                <w:rtl/>
              </w:rPr>
              <w:t>« وهو كاتب الوصيّة الا</w:t>
            </w:r>
            <w:r>
              <w:rPr>
                <w:rFonts w:hint="cs"/>
                <w:rtl/>
              </w:rPr>
              <w:t>ُ</w:t>
            </w:r>
            <w:r w:rsidRPr="00132E65">
              <w:rPr>
                <w:rtl/>
              </w:rPr>
              <w:t>ولى »</w:t>
            </w:r>
            <w:r>
              <w:rPr>
                <w:rtl/>
              </w:rPr>
              <w:t>.</w:t>
            </w:r>
          </w:p>
        </w:tc>
        <w:tc>
          <w:tcPr>
            <w:tcW w:w="4006" w:type="dxa"/>
          </w:tcPr>
          <w:p w:rsidR="000C39D1" w:rsidRDefault="000C39D1" w:rsidP="00B53873">
            <w:pPr>
              <w:pStyle w:val="libFootnote0"/>
              <w:rPr>
                <w:rtl/>
              </w:rPr>
            </w:pPr>
            <w:r>
              <w:rPr>
                <w:rtl/>
              </w:rPr>
              <w:t>(5).</w:t>
            </w:r>
            <w:r w:rsidRPr="00132E65">
              <w:rPr>
                <w:rtl/>
              </w:rPr>
              <w:t xml:space="preserve"> في « ب ، بس ، بف » </w:t>
            </w:r>
            <w:r>
              <w:rPr>
                <w:rtl/>
              </w:rPr>
              <w:t xml:space="preserve">: - </w:t>
            </w:r>
            <w:r w:rsidRPr="00132E65">
              <w:rPr>
                <w:rtl/>
              </w:rPr>
              <w:t>« حقّ »</w:t>
            </w:r>
            <w:r>
              <w:rPr>
                <w:rtl/>
              </w:rPr>
              <w:t>.</w:t>
            </w:r>
          </w:p>
        </w:tc>
      </w:tr>
      <w:tr w:rsidR="000C39D1" w:rsidTr="00B53873">
        <w:tc>
          <w:tcPr>
            <w:tcW w:w="4006" w:type="dxa"/>
          </w:tcPr>
          <w:p w:rsidR="000C39D1" w:rsidRDefault="000C39D1" w:rsidP="00B53873">
            <w:pPr>
              <w:pStyle w:val="libFootnote0"/>
              <w:rPr>
                <w:rtl/>
              </w:rPr>
            </w:pPr>
            <w:r>
              <w:rPr>
                <w:rtl/>
              </w:rPr>
              <w:t>(6).</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أنّ »</w:t>
            </w:r>
            <w:r>
              <w:rPr>
                <w:rtl/>
              </w:rPr>
              <w:t>.</w:t>
            </w:r>
          </w:p>
        </w:tc>
        <w:tc>
          <w:tcPr>
            <w:tcW w:w="4006" w:type="dxa"/>
          </w:tcPr>
          <w:p w:rsidR="000C39D1" w:rsidRDefault="000C39D1" w:rsidP="00B53873">
            <w:pPr>
              <w:pStyle w:val="libFootnote0"/>
              <w:rPr>
                <w:rtl/>
              </w:rPr>
            </w:pPr>
            <w:r>
              <w:rPr>
                <w:rtl/>
              </w:rPr>
              <w:t>(7).</w:t>
            </w:r>
            <w:r w:rsidRPr="00132E65">
              <w:rPr>
                <w:rtl/>
              </w:rPr>
              <w:t xml:space="preserve"> في « ب » : « هذا »</w:t>
            </w:r>
            <w:r>
              <w:rPr>
                <w:rtl/>
              </w:rPr>
              <w:t>.</w:t>
            </w:r>
          </w:p>
        </w:tc>
      </w:tr>
    </w:tbl>
    <w:p w:rsidR="000C39D1" w:rsidRPr="00132E65" w:rsidRDefault="000C39D1" w:rsidP="000C39D1">
      <w:pPr>
        <w:pStyle w:val="libFootnote0"/>
        <w:rPr>
          <w:rtl/>
          <w:lang w:bidi="fa-IR"/>
        </w:rPr>
      </w:pPr>
      <w:r>
        <w:rPr>
          <w:rtl/>
        </w:rPr>
        <w:t>(8).</w:t>
      </w:r>
      <w:r w:rsidRPr="00132E65">
        <w:rPr>
          <w:rtl/>
        </w:rPr>
        <w:t xml:space="preserve"> في « ج » : « بن عليّ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بَنِىَّ ، عطف على عليّ</w:t>
      </w:r>
      <w:r>
        <w:rPr>
          <w:rtl/>
        </w:rPr>
        <w:t xml:space="preserve"> ..</w:t>
      </w:r>
      <w:r w:rsidRPr="00132E65">
        <w:rPr>
          <w:rtl/>
        </w:rPr>
        <w:t xml:space="preserve">. وقيل : « بَنِيّ » مبتدأ ، </w:t>
      </w:r>
      <w:r>
        <w:rPr>
          <w:rtl/>
        </w:rPr>
        <w:t>و «</w:t>
      </w:r>
      <w:r w:rsidRPr="00132E65">
        <w:rPr>
          <w:rtl/>
        </w:rPr>
        <w:t xml:space="preserve"> معه » خبر. أي هم ساكنون معه إلى الآن في‌داري إن شاء يبقيهم في الدار ، وإن شاء يخرجهم منها »</w:t>
      </w:r>
      <w:r>
        <w:rPr>
          <w:rtl/>
        </w:rPr>
        <w:t>.</w:t>
      </w:r>
    </w:p>
    <w:p w:rsidR="000C39D1" w:rsidRPr="00132E65" w:rsidRDefault="000C39D1" w:rsidP="000C39D1">
      <w:pPr>
        <w:pStyle w:val="libFootnote0"/>
        <w:rPr>
          <w:rtl/>
          <w:lang w:bidi="fa-IR"/>
        </w:rPr>
      </w:pPr>
      <w:r>
        <w:rPr>
          <w:rtl/>
        </w:rPr>
        <w:t>(10).</w:t>
      </w:r>
      <w:r w:rsidRPr="00132E65">
        <w:rPr>
          <w:rtl/>
        </w:rPr>
        <w:t xml:space="preserve"> يقال : آنس شيئاً ، أي أبصر ورأى شيئاً لم يعهده. يقال : آنستُ منه كذا ، أي علمتُ. راجع : </w:t>
      </w:r>
      <w:r w:rsidRPr="00401428">
        <w:rPr>
          <w:rtl/>
        </w:rPr>
        <w:t>النهاية</w:t>
      </w:r>
      <w:r w:rsidRPr="00132E65">
        <w:rPr>
          <w:rtl/>
        </w:rPr>
        <w:t xml:space="preserve"> ، ج 1 ، ص 74 ( أنس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مِنْهُمْ رُشْداً </w:t>
      </w:r>
      <w:r>
        <w:rPr>
          <w:rStyle w:val="libFootnotenumChar"/>
          <w:rtl/>
        </w:rPr>
        <w:t>(1)</w:t>
      </w:r>
      <w:r w:rsidRPr="00132E65">
        <w:rPr>
          <w:rtl/>
          <w:lang w:bidi="fa-IR"/>
        </w:rPr>
        <w:t xml:space="preserve"> وأَحَبَّ أَنْ يُقِرَّهُمْ </w:t>
      </w:r>
      <w:r>
        <w:rPr>
          <w:rStyle w:val="libFootnotenumChar"/>
          <w:rtl/>
        </w:rPr>
        <w:t>(2)</w:t>
      </w:r>
      <w:r w:rsidRPr="00132E65">
        <w:rPr>
          <w:rtl/>
          <w:lang w:bidi="fa-IR"/>
        </w:rPr>
        <w:t xml:space="preserve"> ، فَذَاكَ لَهُ ، وإِنْ كَرِهَهُمْ وأَحَبَّ أَنْ يُخْرِجَهُمْ ، فَذَاكَ لَهُ ، وَلَا</w:t>
      </w:r>
      <w:r>
        <w:rPr>
          <w:rFonts w:hint="cs"/>
          <w:rtl/>
          <w:lang w:bidi="fa-IR"/>
        </w:rPr>
        <w:t xml:space="preserve"> </w:t>
      </w:r>
      <w:r w:rsidRPr="00132E65">
        <w:rPr>
          <w:rtl/>
          <w:lang w:bidi="fa-IR"/>
        </w:rPr>
        <w:t>أَمْرَ لَهُمْ مَعَهُ.</w:t>
      </w:r>
    </w:p>
    <w:p w:rsidR="000C39D1" w:rsidRPr="00132E65" w:rsidRDefault="000C39D1" w:rsidP="000C39D1">
      <w:pPr>
        <w:pStyle w:val="libNormal"/>
        <w:rPr>
          <w:rtl/>
          <w:lang w:bidi="fa-IR"/>
        </w:rPr>
      </w:pPr>
      <w:r w:rsidRPr="00132E65">
        <w:rPr>
          <w:rtl/>
          <w:lang w:bidi="fa-IR"/>
        </w:rPr>
        <w:t>وَأَوْصَيْتُ إِلَيْهِ بِصَدَقَاتِي وأَمْوَالِي ومَوَالِيَّ وصِب</w:t>
      </w:r>
      <w:r>
        <w:rPr>
          <w:rtl/>
          <w:lang w:bidi="fa-IR"/>
        </w:rPr>
        <w:t>ْيَانِيَ الَّذِينَ خَلَّفْتُ و</w:t>
      </w:r>
      <w:r>
        <w:rPr>
          <w:rFonts w:hint="cs"/>
          <w:rtl/>
          <w:lang w:bidi="fa-IR"/>
        </w:rPr>
        <w:t xml:space="preserve">َ </w:t>
      </w:r>
      <w:r>
        <w:rPr>
          <w:rtl/>
          <w:lang w:bidi="fa-IR"/>
        </w:rPr>
        <w:t>و</w:t>
      </w:r>
      <w:r>
        <w:rPr>
          <w:rFonts w:hint="cs"/>
          <w:rtl/>
          <w:lang w:bidi="fa-IR"/>
        </w:rPr>
        <w:t>ُ</w:t>
      </w:r>
      <w:r w:rsidRPr="00132E65">
        <w:rPr>
          <w:rtl/>
          <w:lang w:bidi="fa-IR"/>
        </w:rPr>
        <w:t xml:space="preserve">لْدِي </w:t>
      </w:r>
      <w:r>
        <w:rPr>
          <w:rStyle w:val="libFootnotenumChar"/>
          <w:rtl/>
        </w:rPr>
        <w:t>(3)</w:t>
      </w:r>
      <w:r w:rsidRPr="00132E65">
        <w:rPr>
          <w:rtl/>
          <w:lang w:bidi="fa-IR"/>
        </w:rPr>
        <w:t xml:space="preserve"> ، وَإِلى إِبْرَاهِيمَ </w:t>
      </w:r>
      <w:r>
        <w:rPr>
          <w:rStyle w:val="libFootnotenumChar"/>
          <w:rtl/>
        </w:rPr>
        <w:t>(4)</w:t>
      </w:r>
      <w:r w:rsidRPr="00132E65">
        <w:rPr>
          <w:rtl/>
          <w:lang w:bidi="fa-IR"/>
        </w:rPr>
        <w:t xml:space="preserve"> والْعَبَّاسِ وقَاسِمٍ وإِسْمَاعِيلَ </w:t>
      </w:r>
      <w:r>
        <w:rPr>
          <w:rStyle w:val="libFootnotenumChar"/>
          <w:rtl/>
        </w:rPr>
        <w:t>(5)</w:t>
      </w:r>
      <w:r w:rsidRPr="00132E65">
        <w:rPr>
          <w:rtl/>
          <w:lang w:bidi="fa-IR"/>
        </w:rPr>
        <w:t xml:space="preserve"> وأَحْمَدَ وأُمِّ أَحْمَدَ </w:t>
      </w:r>
      <w:r>
        <w:rPr>
          <w:rStyle w:val="libFootnotenumChar"/>
          <w:rtl/>
        </w:rPr>
        <w:t>(6)</w:t>
      </w:r>
      <w:r w:rsidRPr="00132E65">
        <w:rPr>
          <w:rtl/>
          <w:lang w:bidi="fa-IR"/>
        </w:rPr>
        <w:t xml:space="preserve"> ، وإِلى عَلِيٍّ أَمْرُ نِسَائِي دُونَهُمْ ، وثُلُثُ صَدَقَةِ </w:t>
      </w:r>
      <w:r>
        <w:rPr>
          <w:rStyle w:val="libFootnotenumChar"/>
          <w:rtl/>
        </w:rPr>
        <w:t>(7)</w:t>
      </w:r>
      <w:r w:rsidRPr="00132E65">
        <w:rPr>
          <w:rtl/>
          <w:lang w:bidi="fa-IR"/>
        </w:rPr>
        <w:t xml:space="preserve"> أَبِي وثُلُثِي ، يَضَعُهُ حَيْثُ يَرى ، ويَجْعَلُ فِيهِ </w:t>
      </w:r>
      <w:r>
        <w:rPr>
          <w:rStyle w:val="libFootnotenumChar"/>
          <w:rtl/>
        </w:rPr>
        <w:t>(8)</w:t>
      </w:r>
      <w:r w:rsidRPr="00132E65">
        <w:rPr>
          <w:rtl/>
          <w:lang w:bidi="fa-IR"/>
        </w:rPr>
        <w:t xml:space="preserve"> مَا يَجْعَلُ ذُو الْمَالِ فِي مَالِهِ </w:t>
      </w:r>
      <w:r>
        <w:rPr>
          <w:rStyle w:val="libFootnotenumChar"/>
          <w:rtl/>
        </w:rPr>
        <w:t>(9)</w:t>
      </w:r>
      <w:r w:rsidRPr="00132E65">
        <w:rPr>
          <w:rtl/>
          <w:lang w:bidi="fa-IR"/>
        </w:rPr>
        <w:t xml:space="preserve"> ، فَإِنْ أَحَبَّ أَنْ يَبِيعَ أَوْ يَهَبَ أَوْ يَنْحَلَ </w:t>
      </w:r>
      <w:r>
        <w:rPr>
          <w:rStyle w:val="libFootnotenumChar"/>
          <w:rtl/>
        </w:rPr>
        <w:t>(10)</w:t>
      </w:r>
      <w:r w:rsidRPr="00132E65">
        <w:rPr>
          <w:rtl/>
          <w:lang w:bidi="fa-IR"/>
        </w:rPr>
        <w:t xml:space="preserve"> أَوْ يَتَصَدَّقَ بِهَا عَلى مَنْ سَمَّيْتُ لَهُ وعَلى غَيْرِ مَنْ سَمَّيْتُ ، فَذَاكَ </w:t>
      </w:r>
      <w:r>
        <w:rPr>
          <w:rStyle w:val="libFootnotenumChar"/>
          <w:rtl/>
        </w:rPr>
        <w:t>(11)</w:t>
      </w:r>
      <w:r w:rsidRPr="00132E65">
        <w:rPr>
          <w:rtl/>
          <w:lang w:bidi="fa-IR"/>
        </w:rPr>
        <w:t xml:space="preserve"> 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الرُشد » : الصلاح ، وهو خلاف الغيّ والضَلال ، وهو إصابة الحقّ. راجع : </w:t>
      </w:r>
      <w:r w:rsidRPr="00401428">
        <w:rPr>
          <w:rtl/>
        </w:rPr>
        <w:t>المصباح المنير</w:t>
      </w:r>
      <w:r w:rsidRPr="00132E65">
        <w:rPr>
          <w:rtl/>
        </w:rPr>
        <w:t xml:space="preserve"> ، ص 227 ( رشد )</w:t>
      </w:r>
      <w:r>
        <w:rPr>
          <w:rtl/>
        </w:rPr>
        <w:t>.</w:t>
      </w:r>
    </w:p>
    <w:p w:rsidR="000C39D1" w:rsidRPr="00132E65" w:rsidRDefault="000C39D1" w:rsidP="000C39D1">
      <w:pPr>
        <w:pStyle w:val="libFootnote0"/>
        <w:rPr>
          <w:rtl/>
          <w:lang w:bidi="fa-IR"/>
        </w:rPr>
      </w:pPr>
      <w:r>
        <w:rPr>
          <w:rtl/>
        </w:rPr>
        <w:t>(2).</w:t>
      </w:r>
      <w:r w:rsidRPr="00132E65">
        <w:rPr>
          <w:rtl/>
        </w:rPr>
        <w:t xml:space="preserve"> في « ه‍ » : « وأحبّ إقرارهم »</w:t>
      </w:r>
      <w:r>
        <w:rPr>
          <w:rtl/>
        </w:rPr>
        <w:t>.</w:t>
      </w:r>
      <w:r w:rsidRPr="00132E65">
        <w:rPr>
          <w:rtl/>
        </w:rPr>
        <w:t xml:space="preserve"> وفي « بس » : « أن يقرّ بهم »</w:t>
      </w:r>
      <w:r>
        <w:rPr>
          <w:rtl/>
        </w:rPr>
        <w:t>.</w:t>
      </w:r>
    </w:p>
    <w:p w:rsidR="000C39D1" w:rsidRPr="00132E65" w:rsidRDefault="000C39D1" w:rsidP="000C39D1">
      <w:pPr>
        <w:pStyle w:val="libFootnote0"/>
        <w:rPr>
          <w:rtl/>
          <w:lang w:bidi="fa-IR"/>
        </w:rPr>
      </w:pPr>
      <w:r>
        <w:rPr>
          <w:rtl/>
        </w:rPr>
        <w:t>(3).</w:t>
      </w:r>
      <w:r w:rsidRPr="00132E65">
        <w:rPr>
          <w:rtl/>
        </w:rPr>
        <w:t xml:space="preserve"> « ووُلْدِي » ، قال الفيض : « أي أوصيت إليه مع ولدي ، أوْ وإلى ولدي فيكون « إلى إبراهيم » بدلاً من و</w:t>
      </w:r>
      <w:r>
        <w:rPr>
          <w:rFonts w:hint="cs"/>
          <w:rtl/>
        </w:rPr>
        <w:t>ُ</w:t>
      </w:r>
      <w:r w:rsidRPr="00132E65">
        <w:rPr>
          <w:rtl/>
        </w:rPr>
        <w:t>لدي‌بتقدير « إلى » ، والأظهر تقديم « إلى » على « وُلْدي » وأنّه اشتبه على النسّاخ »</w:t>
      </w:r>
      <w:r>
        <w:rPr>
          <w:rtl/>
        </w:rPr>
        <w:t>.</w:t>
      </w:r>
      <w:r w:rsidRPr="00132E65">
        <w:rPr>
          <w:rtl/>
        </w:rPr>
        <w:t xml:space="preserve"> وقال المجلسي : « وقيل : ووُلْدي أي وسائر و</w:t>
      </w:r>
      <w:r>
        <w:rPr>
          <w:rFonts w:hint="cs"/>
          <w:rtl/>
        </w:rPr>
        <w:t>ُ</w:t>
      </w:r>
      <w:r w:rsidRPr="00132E65">
        <w:rPr>
          <w:rtl/>
        </w:rPr>
        <w:t xml:space="preserve">لدي ، </w:t>
      </w:r>
      <w:r>
        <w:rPr>
          <w:rtl/>
        </w:rPr>
        <w:t>و «</w:t>
      </w:r>
      <w:r w:rsidRPr="00132E65">
        <w:rPr>
          <w:rtl/>
        </w:rPr>
        <w:t xml:space="preserve"> إلى » بمعنى حتّى »</w:t>
      </w:r>
      <w:r>
        <w:rPr>
          <w:rtl/>
        </w:rPr>
        <w:t>.</w:t>
      </w:r>
    </w:p>
    <w:p w:rsidR="000C39D1" w:rsidRPr="00132E65" w:rsidRDefault="000C39D1" w:rsidP="000C39D1">
      <w:pPr>
        <w:pStyle w:val="libFootnote0"/>
        <w:rPr>
          <w:rtl/>
          <w:lang w:bidi="fa-IR"/>
        </w:rPr>
      </w:pPr>
      <w:r>
        <w:rPr>
          <w:rtl/>
        </w:rPr>
        <w:t>(4).</w:t>
      </w:r>
      <w:r w:rsidRPr="00132E65">
        <w:rPr>
          <w:rtl/>
        </w:rPr>
        <w:t xml:space="preserve"> هكذا في « ه‍ » والعيون. وفي أكثر النسخ والمطبوع : « إلى إبراهيم » بدون الواو. وقال المازندراني : « لعلّ‌المراد : أوصيت إلى إبراهيم ، فهو عطف على « إليه » بحذف العاطف ، وفي كتاب العيون : وإلى إبراهيم ، وهو الأظهر »</w:t>
      </w:r>
      <w:r>
        <w:rPr>
          <w:rtl/>
        </w:rPr>
        <w:t>.</w:t>
      </w:r>
      <w:r w:rsidRPr="00132E65">
        <w:rPr>
          <w:rtl/>
        </w:rPr>
        <w:t xml:space="preserve"> قال المجلسي : « وهو الأصوب »</w:t>
      </w:r>
      <w:r>
        <w:rPr>
          <w:rtl/>
        </w:rPr>
        <w:t>.</w:t>
      </w:r>
      <w:r w:rsidRPr="00132E65">
        <w:rPr>
          <w:rtl/>
        </w:rPr>
        <w:t xml:space="preserve"> راجع : </w:t>
      </w:r>
      <w:r w:rsidRPr="00401428">
        <w:rPr>
          <w:rtl/>
        </w:rPr>
        <w:t>شرح المازندراني</w:t>
      </w:r>
      <w:r w:rsidRPr="00132E65">
        <w:rPr>
          <w:rtl/>
        </w:rPr>
        <w:t xml:space="preserve"> ، ج 6 ، ص 180 ؛ </w:t>
      </w:r>
      <w:r w:rsidRPr="009D1ACE">
        <w:rPr>
          <w:rStyle w:val="libFootnoteBoldChar"/>
          <w:rtl/>
        </w:rPr>
        <w:t>مرآة العقول</w:t>
      </w:r>
      <w:r w:rsidRPr="00132E65">
        <w:rPr>
          <w:rtl/>
        </w:rPr>
        <w:t xml:space="preserve"> ، ج 3 ، ص 360.</w:t>
      </w:r>
    </w:p>
    <w:p w:rsidR="000C39D1" w:rsidRPr="00132E65" w:rsidRDefault="000C39D1" w:rsidP="000C39D1">
      <w:pPr>
        <w:pStyle w:val="libFootnote0"/>
        <w:rPr>
          <w:rtl/>
          <w:lang w:bidi="fa-IR"/>
        </w:rPr>
      </w:pPr>
      <w:r>
        <w:rPr>
          <w:rtl/>
        </w:rPr>
        <w:t>(5).</w:t>
      </w:r>
      <w:r w:rsidRPr="00132E65">
        <w:rPr>
          <w:rtl/>
        </w:rPr>
        <w:t xml:space="preserve"> في « ف » : « إسماعيل وقاسم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وا</w:t>
      </w:r>
      <w:r>
        <w:rPr>
          <w:rFonts w:hint="cs"/>
          <w:rtl/>
        </w:rPr>
        <w:t>ُ</w:t>
      </w:r>
      <w:r w:rsidRPr="00132E65">
        <w:rPr>
          <w:rtl/>
        </w:rPr>
        <w:t>مّ أحمد ، عطف على صدقاتي »</w:t>
      </w:r>
      <w:r>
        <w:rPr>
          <w:rtl/>
        </w:rPr>
        <w:t>.</w:t>
      </w:r>
    </w:p>
    <w:p w:rsidR="000C39D1" w:rsidRPr="00132E65" w:rsidRDefault="000C39D1" w:rsidP="000C39D1">
      <w:pPr>
        <w:pStyle w:val="libFootnote0"/>
        <w:rPr>
          <w:rtl/>
          <w:lang w:bidi="fa-IR"/>
        </w:rPr>
      </w:pPr>
      <w:r>
        <w:rPr>
          <w:rtl/>
        </w:rPr>
        <w:t>(7).</w:t>
      </w:r>
      <w:r w:rsidRPr="00132E65">
        <w:rPr>
          <w:rtl/>
        </w:rPr>
        <w:t xml:space="preserve"> « ثُلْثُ صدقة أبي » مبتدأ ، والخبر « يضعه » ، أو عطف على « أمرُ نسائي » </w:t>
      </w:r>
      <w:r>
        <w:rPr>
          <w:rtl/>
        </w:rPr>
        <w:t>و «</w:t>
      </w:r>
      <w:r w:rsidRPr="00132E65">
        <w:rPr>
          <w:rtl/>
        </w:rPr>
        <w:t xml:space="preserve"> ثلثي » مبتدأ </w:t>
      </w:r>
      <w:r>
        <w:rPr>
          <w:rtl/>
        </w:rPr>
        <w:t>و «</w:t>
      </w:r>
      <w:r w:rsidRPr="00132E65">
        <w:rPr>
          <w:rtl/>
        </w:rPr>
        <w:t xml:space="preserve"> يضعه » خبره.</w:t>
      </w:r>
    </w:p>
    <w:p w:rsidR="000C39D1" w:rsidRPr="00132E65" w:rsidRDefault="000C39D1" w:rsidP="000C39D1">
      <w:pPr>
        <w:pStyle w:val="libFootnote0"/>
        <w:rPr>
          <w:rtl/>
          <w:lang w:bidi="fa-IR"/>
        </w:rPr>
      </w:pPr>
      <w:r>
        <w:rPr>
          <w:rtl/>
        </w:rPr>
        <w:t>(8).</w:t>
      </w:r>
      <w:r w:rsidRPr="00132E65">
        <w:rPr>
          <w:rtl/>
        </w:rPr>
        <w:t xml:space="preserve"> في « ف » : « فيها »</w:t>
      </w:r>
      <w:r>
        <w:rPr>
          <w:rtl/>
        </w:rPr>
        <w:t>.</w:t>
      </w:r>
      <w:r w:rsidRPr="00132E65">
        <w:rPr>
          <w:rtl/>
        </w:rPr>
        <w:t xml:space="preserve"> وفي حاشية « ف » : « منها »</w:t>
      </w:r>
      <w:r>
        <w:rPr>
          <w:rtl/>
        </w:rPr>
        <w:t>.</w:t>
      </w:r>
      <w:r w:rsidRPr="00132E65">
        <w:rPr>
          <w:rtl/>
        </w:rPr>
        <w:t xml:space="preserve"> وقوله : « يَجْعل » ، أي يصنع. يقال : جعلتُ الشي‌ءَ ، أي صَنَعْتُهُ. راجع : </w:t>
      </w:r>
      <w:r w:rsidRPr="00401428">
        <w:rPr>
          <w:rtl/>
        </w:rPr>
        <w:t>المصباح المنير</w:t>
      </w:r>
      <w:r w:rsidRPr="00132E65">
        <w:rPr>
          <w:rtl/>
        </w:rPr>
        <w:t xml:space="preserve"> ، ص 102 ( جعل )</w:t>
      </w:r>
      <w:r>
        <w:rPr>
          <w:rtl/>
        </w:rPr>
        <w:t>.</w:t>
      </w:r>
    </w:p>
    <w:p w:rsidR="000C39D1" w:rsidRPr="00132E65" w:rsidRDefault="000C39D1" w:rsidP="000C39D1">
      <w:pPr>
        <w:pStyle w:val="libFootnote0"/>
        <w:rPr>
          <w:rtl/>
          <w:lang w:bidi="fa-IR"/>
        </w:rPr>
      </w:pPr>
      <w:r>
        <w:rPr>
          <w:rtl/>
        </w:rPr>
        <w:t>(9).</w:t>
      </w:r>
      <w:r w:rsidRPr="00132E65">
        <w:rPr>
          <w:rtl/>
        </w:rPr>
        <w:t xml:space="preserve"> في « ه‍ » :</w:t>
      </w:r>
      <w:r>
        <w:rPr>
          <w:rtl/>
        </w:rPr>
        <w:t xml:space="preserve"> + </w:t>
      </w:r>
      <w:r w:rsidRPr="00132E65">
        <w:rPr>
          <w:rtl/>
        </w:rPr>
        <w:t>« إن أحبّ أن يغيّر بعض ما ذكرت في كتابي فذاك إليه ، وإن كره ذلك فهو إليه ، يفعل فيه ما يفعل ذوالمال في ماله »</w:t>
      </w:r>
      <w:r>
        <w:rPr>
          <w:rtl/>
        </w:rPr>
        <w:t>.</w:t>
      </w:r>
    </w:p>
    <w:p w:rsidR="000C39D1" w:rsidRPr="00132E65" w:rsidRDefault="000C39D1" w:rsidP="000C39D1">
      <w:pPr>
        <w:pStyle w:val="libFootnote0"/>
        <w:rPr>
          <w:rtl/>
          <w:lang w:bidi="fa-IR"/>
        </w:rPr>
      </w:pPr>
      <w:r>
        <w:rPr>
          <w:rtl/>
        </w:rPr>
        <w:t>(10).</w:t>
      </w:r>
      <w:r w:rsidRPr="00132E65">
        <w:rPr>
          <w:rtl/>
        </w:rPr>
        <w:t xml:space="preserve"> « يَنْحَلَ » ، من النُحْل ، وهي العطيّة ابتداءً من غير عِوَض ولا استحقاق ، قال الراغب : النِحْلَةُ والنَحْلَةُ : عطيّة على سبيل التبرّع ، وهو أخصّ من الهبة ؛ إذ كلّ هبة نحلة وليس كلّ نحلة هبة. راجع : </w:t>
      </w:r>
      <w:r w:rsidRPr="00401428">
        <w:rPr>
          <w:rtl/>
        </w:rPr>
        <w:t>المفردات</w:t>
      </w:r>
      <w:r w:rsidRPr="00132E65">
        <w:rPr>
          <w:rtl/>
        </w:rPr>
        <w:t xml:space="preserve"> للراغب ، ص 795 ؛ </w:t>
      </w:r>
      <w:r w:rsidRPr="00401428">
        <w:rPr>
          <w:rtl/>
        </w:rPr>
        <w:t>النهاية</w:t>
      </w:r>
      <w:r w:rsidRPr="00132E65">
        <w:rPr>
          <w:rtl/>
        </w:rPr>
        <w:t xml:space="preserve"> ، ج 5 ، ص 29 ( نحل )</w:t>
      </w:r>
      <w:r>
        <w:rPr>
          <w:rtl/>
        </w:rPr>
        <w:t>.</w:t>
      </w:r>
    </w:p>
    <w:p w:rsidR="000C39D1" w:rsidRPr="00132E65" w:rsidRDefault="000C39D1" w:rsidP="000C39D1">
      <w:pPr>
        <w:pStyle w:val="libFootnote0"/>
        <w:rPr>
          <w:rtl/>
          <w:lang w:bidi="fa-IR"/>
        </w:rPr>
      </w:pPr>
      <w:r>
        <w:rPr>
          <w:rtl/>
        </w:rPr>
        <w:t>(11).</w:t>
      </w:r>
      <w:r w:rsidRPr="00132E65">
        <w:rPr>
          <w:rtl/>
        </w:rPr>
        <w:t xml:space="preserve"> في « بس » وحاشية « بح » : « فذلك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وَهُوَ أَنَا فِي وصِيّ</w:t>
      </w:r>
      <w:r>
        <w:rPr>
          <w:rtl/>
          <w:lang w:bidi="fa-IR"/>
        </w:rPr>
        <w:t>َتِي فِي مَالِي وفِي أَهْلِي و</w:t>
      </w:r>
      <w:r>
        <w:rPr>
          <w:rFonts w:hint="cs"/>
          <w:rtl/>
          <w:lang w:bidi="fa-IR"/>
        </w:rPr>
        <w:t xml:space="preserve">َ </w:t>
      </w:r>
      <w:r>
        <w:rPr>
          <w:rtl/>
          <w:lang w:bidi="fa-IR"/>
        </w:rPr>
        <w:t>و</w:t>
      </w:r>
      <w:r>
        <w:rPr>
          <w:rFonts w:hint="cs"/>
          <w:rtl/>
          <w:lang w:bidi="fa-IR"/>
        </w:rPr>
        <w:t>ُ</w:t>
      </w:r>
      <w:r w:rsidRPr="00132E65">
        <w:rPr>
          <w:rtl/>
          <w:lang w:bidi="fa-IR"/>
        </w:rPr>
        <w:t xml:space="preserve">لْدِي ، وإِنْ يَرى </w:t>
      </w:r>
      <w:r>
        <w:rPr>
          <w:rStyle w:val="libFootnotenumChar"/>
          <w:rtl/>
        </w:rPr>
        <w:t>(1)</w:t>
      </w:r>
      <w:r w:rsidRPr="00132E65">
        <w:rPr>
          <w:rtl/>
          <w:lang w:bidi="fa-IR"/>
        </w:rPr>
        <w:t xml:space="preserve"> أَنْ يُقِرَّ إِخْوَتَهُ</w:t>
      </w:r>
      <w:r>
        <w:rPr>
          <w:rtl/>
          <w:lang w:bidi="fa-IR"/>
        </w:rPr>
        <w:t xml:space="preserve"> - </w:t>
      </w:r>
      <w:r w:rsidRPr="00132E65">
        <w:rPr>
          <w:rtl/>
          <w:lang w:bidi="fa-IR"/>
        </w:rPr>
        <w:t xml:space="preserve">الَّذِينَ سَمَّيْتُهُمْ فِي </w:t>
      </w:r>
      <w:r>
        <w:rPr>
          <w:rStyle w:val="libFootnotenumChar"/>
          <w:rtl/>
        </w:rPr>
        <w:t>(2)</w:t>
      </w:r>
      <w:r w:rsidRPr="00132E65">
        <w:rPr>
          <w:rtl/>
          <w:lang w:bidi="fa-IR"/>
        </w:rPr>
        <w:t xml:space="preserve"> كِتَابِي هذَا</w:t>
      </w:r>
      <w:r>
        <w:rPr>
          <w:rtl/>
          <w:lang w:bidi="fa-IR"/>
        </w:rPr>
        <w:t xml:space="preserve"> - </w:t>
      </w:r>
      <w:r w:rsidRPr="00132E65">
        <w:rPr>
          <w:rtl/>
          <w:lang w:bidi="fa-IR"/>
        </w:rPr>
        <w:t xml:space="preserve">أَقَرَّهُمْ ؛ وإِنْ كَرِهَ ، فَلَهُ أَنْ يُخْرِجَهُمْ غَيْرَ مُثَرَّبٍ </w:t>
      </w:r>
      <w:r>
        <w:rPr>
          <w:rStyle w:val="libFootnotenumChar"/>
          <w:rtl/>
        </w:rPr>
        <w:t>(3)</w:t>
      </w:r>
      <w:r w:rsidRPr="00132E65">
        <w:rPr>
          <w:rtl/>
          <w:lang w:bidi="fa-IR"/>
        </w:rPr>
        <w:t xml:space="preserve"> عَلَيْهِ وَلَامَرْدُودٍ ؛ فَإِنْ آنَسَ مِنْهُمْ غَيْرَ الَّذِي فَارَقْتُهُمْ </w:t>
      </w:r>
      <w:r>
        <w:rPr>
          <w:rStyle w:val="libFootnotenumChar"/>
          <w:rtl/>
        </w:rPr>
        <w:t>(4)</w:t>
      </w:r>
      <w:r w:rsidRPr="00132E65">
        <w:rPr>
          <w:rtl/>
          <w:lang w:bidi="fa-IR"/>
        </w:rPr>
        <w:t xml:space="preserve"> عَلَيْهِ ، فَأَحَبَّ أَنْ يَرُدَّهُمْ فِي ولَايَةٍ </w:t>
      </w:r>
      <w:r>
        <w:rPr>
          <w:rStyle w:val="libFootnotenumChar"/>
          <w:rtl/>
        </w:rPr>
        <w:t>(5)</w:t>
      </w:r>
      <w:r w:rsidRPr="00132E65">
        <w:rPr>
          <w:rtl/>
          <w:lang w:bidi="fa-IR"/>
        </w:rPr>
        <w:t xml:space="preserve"> ، فَذَاكَ لَهُ ؛ وإِنْ أَرَادَ رَجُلٌ مِنْهُمْ أَنْ يُزَوِّجَ أُخْتَهُ ، فَلَيْسَ لَهُ أَ</w:t>
      </w:r>
      <w:r>
        <w:rPr>
          <w:rtl/>
          <w:lang w:bidi="fa-IR"/>
        </w:rPr>
        <w:t>نْ يُزَوِّجَهَا إِل</w:t>
      </w:r>
      <w:r>
        <w:rPr>
          <w:rFonts w:hint="cs"/>
          <w:rtl/>
          <w:lang w:bidi="fa-IR"/>
        </w:rPr>
        <w:t>َّ</w:t>
      </w:r>
      <w:r>
        <w:rPr>
          <w:rtl/>
          <w:lang w:bidi="fa-IR"/>
        </w:rPr>
        <w:t>ا</w:t>
      </w:r>
      <w:r w:rsidRPr="00132E65">
        <w:rPr>
          <w:rtl/>
          <w:lang w:bidi="fa-IR"/>
        </w:rPr>
        <w:t xml:space="preserve"> بِإِذْنِهِ وأَمْرِهِ ، فَإِنَّهُ أَعْرَفُ بِمَنَاكِحِ قَوْمِهِ.</w:t>
      </w:r>
    </w:p>
    <w:p w:rsidR="000C39D1" w:rsidRPr="00132E65" w:rsidRDefault="000C39D1" w:rsidP="000C39D1">
      <w:pPr>
        <w:pStyle w:val="libNormal"/>
        <w:rPr>
          <w:rtl/>
          <w:lang w:bidi="fa-IR"/>
        </w:rPr>
      </w:pPr>
      <w:r w:rsidRPr="00132E65">
        <w:rPr>
          <w:rtl/>
          <w:lang w:bidi="fa-IR"/>
        </w:rPr>
        <w:t xml:space="preserve">وَأَيُّ سُلْطَانٍ أَوْ أَحَدٌ مِنَ النَّاسِ كَفَّهُ </w:t>
      </w:r>
      <w:r>
        <w:rPr>
          <w:rStyle w:val="libFootnotenumChar"/>
          <w:rtl/>
        </w:rPr>
        <w:t>(6)</w:t>
      </w:r>
      <w:r w:rsidRPr="00132E65">
        <w:rPr>
          <w:rtl/>
          <w:lang w:bidi="fa-IR"/>
        </w:rPr>
        <w:t xml:space="preserve"> عَنْ شَيْ‌ءٍ ، أَوْ حَالَ بَيْنَهُ وبَيْنَ شَيْ‌ءٍ</w:t>
      </w:r>
      <w:r>
        <w:rPr>
          <w:rtl/>
          <w:lang w:bidi="fa-IR"/>
        </w:rPr>
        <w:t xml:space="preserve"> - </w:t>
      </w:r>
      <w:r w:rsidRPr="00132E65">
        <w:rPr>
          <w:rtl/>
          <w:lang w:bidi="fa-IR"/>
        </w:rPr>
        <w:t>مِمَّا ذَكَرْتُ فِي كِتَابِي هذَا</w:t>
      </w:r>
      <w:r>
        <w:rPr>
          <w:rtl/>
          <w:lang w:bidi="fa-IR"/>
        </w:rPr>
        <w:t xml:space="preserve"> - </w:t>
      </w:r>
      <w:r w:rsidRPr="00132E65">
        <w:rPr>
          <w:rtl/>
          <w:lang w:bidi="fa-IR"/>
        </w:rPr>
        <w:t xml:space="preserve">أَوْ أَحَدٍ </w:t>
      </w:r>
      <w:r>
        <w:rPr>
          <w:rStyle w:val="libFootnotenumChar"/>
          <w:rtl/>
        </w:rPr>
        <w:t>(7)</w:t>
      </w:r>
      <w:r w:rsidRPr="00132E65">
        <w:rPr>
          <w:rtl/>
          <w:lang w:bidi="fa-IR"/>
        </w:rPr>
        <w:t xml:space="preserve"> مِمَّنْ ذَكَرْتُ </w:t>
      </w:r>
      <w:r>
        <w:rPr>
          <w:rStyle w:val="libFootnotenumChar"/>
          <w:rtl/>
        </w:rPr>
        <w:t>(8)</w:t>
      </w:r>
      <w:r w:rsidRPr="00132E65">
        <w:rPr>
          <w:rtl/>
          <w:lang w:bidi="fa-IR"/>
        </w:rPr>
        <w:t xml:space="preserve"> ، فَهُوَ مِنَ اللهِ ومِنْ </w:t>
      </w:r>
      <w:r>
        <w:rPr>
          <w:rStyle w:val="libFootnotenumChar"/>
          <w:rtl/>
        </w:rPr>
        <w:t>(9)</w:t>
      </w:r>
      <w:r w:rsidRPr="00132E65">
        <w:rPr>
          <w:rtl/>
          <w:lang w:bidi="fa-IR"/>
        </w:rPr>
        <w:t xml:space="preserve"> رَسُولِهِ بَرِي‌ءٌ ، واللهُ وَرَسُولُهُ مِنْهُ بُرَآءُ </w:t>
      </w:r>
      <w:r>
        <w:rPr>
          <w:rStyle w:val="libFootnotenumChar"/>
          <w:rtl/>
        </w:rPr>
        <w:t>(10)</w:t>
      </w:r>
      <w:r w:rsidRPr="00132E65">
        <w:rPr>
          <w:rtl/>
          <w:lang w:bidi="fa-IR"/>
        </w:rPr>
        <w:t xml:space="preserve"> ، وعَلَيْهِ لَعْنَةُ اللهِ وغَضَبُهُ ، ولَعْنَةُ اللاَّعِنِينَ والْمَلَائِكَةِ الْمُقَرَّبِينَ وَالنَّبِيِّينَ والْمُرْسَلِينَ وجَمَاعَةِ الْمُؤْمِنِينَ ، ولَيْسَ لِأَحَدٍ مِنَ السَّلَاطِينِ أَنْ يَكُفَّهُ </w:t>
      </w:r>
      <w:r>
        <w:rPr>
          <w:rStyle w:val="libFootnotenumChar"/>
          <w:rtl/>
        </w:rPr>
        <w:t>(11)</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ه‍ ، بح ، بف » وحاشية « ج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 « رأى »</w:t>
      </w:r>
      <w:r>
        <w:rPr>
          <w:rtl/>
        </w:rPr>
        <w:t>.</w:t>
      </w:r>
    </w:p>
    <w:p w:rsidR="000C39D1" w:rsidRPr="00132E65" w:rsidRDefault="000C39D1" w:rsidP="000C39D1">
      <w:pPr>
        <w:pStyle w:val="libFootnote0"/>
        <w:rPr>
          <w:rtl/>
          <w:lang w:bidi="fa-IR"/>
        </w:rPr>
      </w:pPr>
      <w:r>
        <w:rPr>
          <w:rtl/>
        </w:rPr>
        <w:t>(2).</w:t>
      </w:r>
      <w:r w:rsidRPr="00132E65">
        <w:rPr>
          <w:rtl/>
        </w:rPr>
        <w:t xml:space="preserve"> في « ف ، ه‍ » وحاشية « ض » و</w:t>
      </w:r>
      <w:r w:rsidRPr="009D1ACE">
        <w:rPr>
          <w:rStyle w:val="libFootnoteBoldChar"/>
          <w:rtl/>
        </w:rPr>
        <w:t>الوافي</w:t>
      </w:r>
      <w:r w:rsidRPr="00132E65">
        <w:rPr>
          <w:rtl/>
        </w:rPr>
        <w:t xml:space="preserve"> :</w:t>
      </w:r>
      <w:r>
        <w:rPr>
          <w:rtl/>
        </w:rPr>
        <w:t xml:space="preserve"> + </w:t>
      </w:r>
      <w:r w:rsidRPr="00132E65">
        <w:rPr>
          <w:rtl/>
        </w:rPr>
        <w:t>« صدر »</w:t>
      </w:r>
      <w:r>
        <w:rPr>
          <w:rtl/>
        </w:rPr>
        <w:t>.</w:t>
      </w:r>
    </w:p>
    <w:p w:rsidR="000C39D1" w:rsidRPr="00132E65" w:rsidRDefault="000C39D1" w:rsidP="000C39D1">
      <w:pPr>
        <w:pStyle w:val="libFootnote0"/>
        <w:rPr>
          <w:rtl/>
          <w:lang w:bidi="fa-IR"/>
        </w:rPr>
      </w:pPr>
      <w:r>
        <w:rPr>
          <w:rtl/>
        </w:rPr>
        <w:t>(3).</w:t>
      </w:r>
      <w:r w:rsidRPr="00132E65">
        <w:rPr>
          <w:rtl/>
        </w:rPr>
        <w:t xml:space="preserve"> في « بس ، بف » : « مثرب »</w:t>
      </w:r>
      <w:r>
        <w:rPr>
          <w:rtl/>
        </w:rPr>
        <w:t>.</w:t>
      </w:r>
      <w:r w:rsidRPr="00132E65">
        <w:rPr>
          <w:rtl/>
        </w:rPr>
        <w:t xml:space="preserve"> أي من الإفعال. وقوله : « غير مُثرَّب عليه » ، من التثريب ، وهو كالتأنيب والتعيير والاستقصاء في اللَوْم. قال الأصمعي : ثَرَّبْتُ عليه وعَرَّبْتُ عليه بمعنى ، إذا قبّحتَ عليه فِعْلَه. راجع : </w:t>
      </w:r>
      <w:r w:rsidRPr="00401428">
        <w:rPr>
          <w:rtl/>
        </w:rPr>
        <w:t>الصحاح</w:t>
      </w:r>
      <w:r w:rsidRPr="00132E65">
        <w:rPr>
          <w:rtl/>
        </w:rPr>
        <w:t xml:space="preserve"> ، ج 1 ، ص 92 ( ثرب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وربّما يقرأ : فارَقَتْهُمْ بصيغة الغائبة ، بأن يكون الضمير المستتر راجعاً إلى المعيشة من‌الصدقة »</w:t>
      </w:r>
      <w:r>
        <w:rPr>
          <w:rtl/>
        </w:rPr>
        <w:t>.</w:t>
      </w:r>
    </w:p>
    <w:p w:rsidR="000C39D1" w:rsidRPr="00132E65" w:rsidRDefault="000C39D1" w:rsidP="000C39D1">
      <w:pPr>
        <w:pStyle w:val="libFootnote0"/>
        <w:rPr>
          <w:rtl/>
          <w:lang w:bidi="fa-IR"/>
        </w:rPr>
      </w:pPr>
      <w:r>
        <w:rPr>
          <w:rtl/>
        </w:rPr>
        <w:t>(5).</w:t>
      </w:r>
      <w:r w:rsidRPr="00132E65">
        <w:rPr>
          <w:rtl/>
        </w:rPr>
        <w:t xml:space="preserve"> « الوِلاية » </w:t>
      </w:r>
      <w:r>
        <w:rPr>
          <w:rtl/>
        </w:rPr>
        <w:t>و «</w:t>
      </w:r>
      <w:r w:rsidRPr="00132E65">
        <w:rPr>
          <w:rtl/>
        </w:rPr>
        <w:t xml:space="preserve"> الوَلاية » نحوُ الدِلالة والدَلالة ، وحقيقته تولّي الأمر. </w:t>
      </w:r>
      <w:r w:rsidRPr="00401428">
        <w:rPr>
          <w:rtl/>
        </w:rPr>
        <w:t>المفردات</w:t>
      </w:r>
      <w:r w:rsidRPr="00132E65">
        <w:rPr>
          <w:rtl/>
        </w:rPr>
        <w:t xml:space="preserve"> للراغب ، ص 885 ( ولى )</w:t>
      </w:r>
      <w:r>
        <w:rPr>
          <w:rtl/>
        </w:rPr>
        <w:t>.</w:t>
      </w:r>
    </w:p>
    <w:p w:rsidR="000C39D1" w:rsidRPr="00132E65" w:rsidRDefault="000C39D1" w:rsidP="000C39D1">
      <w:pPr>
        <w:pStyle w:val="libFootnote0"/>
        <w:rPr>
          <w:rtl/>
          <w:lang w:bidi="fa-IR"/>
        </w:rPr>
      </w:pPr>
      <w:r>
        <w:rPr>
          <w:rtl/>
        </w:rPr>
        <w:t>(6).</w:t>
      </w:r>
      <w:r w:rsidRPr="00132E65">
        <w:rPr>
          <w:rtl/>
        </w:rPr>
        <w:t xml:space="preserve"> في « ه‍ » وحاشية « ف » والعيون : « كشفه »</w:t>
      </w:r>
      <w:r>
        <w:rPr>
          <w:rtl/>
        </w:rPr>
        <w:t>.</w:t>
      </w:r>
      <w:r w:rsidRPr="00132E65">
        <w:rPr>
          <w:rtl/>
        </w:rPr>
        <w:t xml:space="preserve"> وفي </w:t>
      </w:r>
      <w:r w:rsidRPr="00401428">
        <w:rPr>
          <w:rtl/>
        </w:rPr>
        <w:t>شرح المازندراني</w:t>
      </w:r>
      <w:r w:rsidRPr="00132E65">
        <w:rPr>
          <w:rtl/>
        </w:rPr>
        <w:t xml:space="preserve"> : « وفي كتاب العيون وفي بعض نسخ هذا</w:t>
      </w:r>
      <w:r>
        <w:rPr>
          <w:rFonts w:hint="cs"/>
          <w:rtl/>
        </w:rPr>
        <w:t xml:space="preserve"> </w:t>
      </w:r>
      <w:r w:rsidRPr="00132E65">
        <w:rPr>
          <w:rtl/>
        </w:rPr>
        <w:t>الكتاب : كشفه عن شي‌ء ، بالشين المعجمة ، ولعلّ المراد كشف العيوب في تصرّفاته ، وأمّا بالسين المهملة بمعنى القطع فالظاهر أنّه تصحيف »</w:t>
      </w:r>
      <w:r>
        <w:rPr>
          <w:rtl/>
        </w:rPr>
        <w:t>.</w:t>
      </w:r>
      <w:r>
        <w:rPr>
          <w:rFonts w:hint="cs"/>
          <w:rtl/>
        </w:rPr>
        <w:t xml:space="preserve">                     </w:t>
      </w:r>
      <w:r w:rsidR="00D03C29">
        <w:rPr>
          <w:rFonts w:hint="cs"/>
          <w:rtl/>
        </w:rPr>
        <w:t xml:space="preserve">     </w:t>
      </w:r>
      <w:r>
        <w:rPr>
          <w:rFonts w:hint="cs"/>
          <w:rtl/>
        </w:rPr>
        <w:t xml:space="preserve">         </w:t>
      </w:r>
      <w:r>
        <w:rPr>
          <w:rtl/>
        </w:rPr>
        <w:t>(7).</w:t>
      </w:r>
      <w:r w:rsidRPr="00132E65">
        <w:rPr>
          <w:rtl/>
        </w:rPr>
        <w:t xml:space="preserve"> في « بر » : « أخذ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ف » </w:t>
            </w:r>
            <w:r>
              <w:rPr>
                <w:rtl/>
              </w:rPr>
              <w:t xml:space="preserve">: - </w:t>
            </w:r>
            <w:r w:rsidRPr="00132E65">
              <w:rPr>
                <w:rtl/>
              </w:rPr>
              <w:t>« أو أحد ممّن ذكرت »</w:t>
            </w:r>
            <w:r>
              <w:rPr>
                <w:rtl/>
              </w:rPr>
              <w:t>.</w:t>
            </w:r>
          </w:p>
        </w:tc>
        <w:tc>
          <w:tcPr>
            <w:tcW w:w="4006" w:type="dxa"/>
          </w:tcPr>
          <w:p w:rsidR="000C39D1" w:rsidRDefault="000C39D1" w:rsidP="00B53873">
            <w:pPr>
              <w:pStyle w:val="libFootnote0"/>
              <w:rPr>
                <w:rtl/>
              </w:rPr>
            </w:pPr>
            <w:r>
              <w:rPr>
                <w:rtl/>
              </w:rPr>
              <w:t>(9).</w:t>
            </w:r>
            <w:r w:rsidRPr="00132E65">
              <w:rPr>
                <w:rtl/>
              </w:rPr>
              <w:t xml:space="preserve"> في البحار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(10).</w:t>
      </w:r>
      <w:r w:rsidRPr="00132E65">
        <w:rPr>
          <w:rtl/>
        </w:rPr>
        <w:t xml:space="preserve"> هكذا في « ض ، بر » وشرح المازندراني. وفي المطبوع : « بِراء » وهو أيضاً جمع بري‌ء. وفي العيون : « بريئان »</w:t>
      </w:r>
      <w:r>
        <w:rPr>
          <w:rtl/>
        </w:rPr>
        <w:t>.</w:t>
      </w:r>
      <w:r w:rsidRPr="00132E65">
        <w:rPr>
          <w:rtl/>
        </w:rPr>
        <w:t xml:space="preserve"> وفي </w:t>
      </w:r>
      <w:r w:rsidRPr="009D1ACE">
        <w:rPr>
          <w:rStyle w:val="libFootnoteBoldChar"/>
          <w:rtl/>
        </w:rPr>
        <w:t>مرآة العقول</w:t>
      </w:r>
      <w:r w:rsidRPr="00132E65">
        <w:rPr>
          <w:rtl/>
        </w:rPr>
        <w:t xml:space="preserve"> : « وفي نسخ الكتاب</w:t>
      </w:r>
      <w:r>
        <w:rPr>
          <w:rtl/>
        </w:rPr>
        <w:t xml:space="preserve"> ..</w:t>
      </w:r>
      <w:r w:rsidRPr="00132E65">
        <w:rPr>
          <w:rtl/>
        </w:rPr>
        <w:t>. بَرآء ، بفتح الباء والراء والمدّ. قال في القاموس : أنا برآءُ منه ، لا يثنّى ولا يجمع ولا يؤنَّث »</w:t>
      </w:r>
      <w:r>
        <w:rPr>
          <w:rtl/>
        </w:rPr>
        <w:t>.</w:t>
      </w:r>
      <w:r w:rsidRPr="00132E65">
        <w:rPr>
          <w:rtl/>
        </w:rPr>
        <w:t xml:space="preserve"> وراجع : </w:t>
      </w:r>
      <w:r w:rsidRPr="00401428">
        <w:rPr>
          <w:rtl/>
        </w:rPr>
        <w:t>القاموس المحيط</w:t>
      </w:r>
      <w:r w:rsidRPr="00132E65">
        <w:rPr>
          <w:rtl/>
        </w:rPr>
        <w:t xml:space="preserve"> ، ج 1 ، ص 96 ( برأ )</w:t>
      </w:r>
      <w:r>
        <w:rPr>
          <w:rtl/>
        </w:rPr>
        <w:t>.</w:t>
      </w:r>
    </w:p>
    <w:p w:rsidR="000C39D1" w:rsidRPr="00132E65" w:rsidRDefault="000C39D1" w:rsidP="00D03C29">
      <w:pPr>
        <w:pStyle w:val="libFootnote0"/>
        <w:rPr>
          <w:rtl/>
          <w:lang w:bidi="fa-IR"/>
        </w:rPr>
      </w:pPr>
      <w:r>
        <w:rPr>
          <w:rtl/>
        </w:rPr>
        <w:t>(11).</w:t>
      </w:r>
      <w:r w:rsidRPr="00132E65">
        <w:rPr>
          <w:rtl/>
        </w:rPr>
        <w:t xml:space="preserve"> في « ه‍ </w:t>
      </w:r>
      <w:r w:rsidR="00D03C29" w:rsidRPr="00132E65">
        <w:rPr>
          <w:rtl/>
        </w:rPr>
        <w:t>»</w:t>
      </w:r>
      <w:r w:rsidRPr="00132E65">
        <w:rPr>
          <w:rtl/>
        </w:rPr>
        <w:t xml:space="preserve"> : « أن يكشفوا »</w:t>
      </w:r>
      <w:r>
        <w:rPr>
          <w:rtl/>
        </w:rPr>
        <w:t>.</w:t>
      </w:r>
      <w:r w:rsidRPr="00132E65">
        <w:rPr>
          <w:rtl/>
        </w:rPr>
        <w:t xml:space="preserve"> وفي شرح المازندراني : « وفي بعض النسخ : أن يكشفه بالشين المعجمة بدلَ أن‌يكفّه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عَنْ شَيْ‌ءٍ ، ولَيْسَ لِي عِنْدَهُ تَبِعَةٌ ولَاتِبَاعَةٌ </w:t>
      </w:r>
      <w:r>
        <w:rPr>
          <w:rStyle w:val="libFootnotenumChar"/>
          <w:rtl/>
        </w:rPr>
        <w:t>(1)</w:t>
      </w:r>
      <w:r w:rsidRPr="00132E65">
        <w:rPr>
          <w:rtl/>
          <w:lang w:bidi="fa-IR"/>
        </w:rPr>
        <w:t xml:space="preserve"> ، ولَالِأَحَدٍ مِنْ ولْدِي لَهُ </w:t>
      </w:r>
      <w:r>
        <w:rPr>
          <w:rStyle w:val="libFootnotenumChar"/>
          <w:rtl/>
        </w:rPr>
        <w:t>(2)</w:t>
      </w:r>
      <w:r w:rsidRPr="00132E65">
        <w:rPr>
          <w:rtl/>
          <w:lang w:bidi="fa-IR"/>
        </w:rPr>
        <w:t xml:space="preserve"> قِبَلِي مَالٌ ؛ وَهُوَ </w:t>
      </w:r>
      <w:r>
        <w:rPr>
          <w:rStyle w:val="libFootnotenumChar"/>
          <w:rtl/>
        </w:rPr>
        <w:t>(3)</w:t>
      </w:r>
      <w:r w:rsidRPr="00132E65">
        <w:rPr>
          <w:rtl/>
          <w:lang w:bidi="fa-IR"/>
        </w:rPr>
        <w:t xml:space="preserve"> مُصَدَّقٌ فِيمَا ذَكَرَ ، فَإِنْ أَقَلَّ </w:t>
      </w:r>
      <w:r>
        <w:rPr>
          <w:rStyle w:val="libFootnotenumChar"/>
          <w:rtl/>
        </w:rPr>
        <w:t>(4)</w:t>
      </w:r>
      <w:r w:rsidRPr="00132E65">
        <w:rPr>
          <w:rtl/>
          <w:lang w:bidi="fa-IR"/>
        </w:rPr>
        <w:t xml:space="preserve"> فَهُوَ أَعْلَمُ ؛ وإِنْ أَكْثَرَ فَهُوَ الصَّادِقُ </w:t>
      </w:r>
      <w:r>
        <w:rPr>
          <w:rStyle w:val="libFootnotenumChar"/>
          <w:rtl/>
        </w:rPr>
        <w:t>(5)</w:t>
      </w:r>
      <w:r w:rsidRPr="00132E65">
        <w:rPr>
          <w:rtl/>
          <w:lang w:bidi="fa-IR"/>
        </w:rPr>
        <w:t xml:space="preserve"> كَذلِكَ.</w:t>
      </w:r>
    </w:p>
    <w:p w:rsidR="000C39D1" w:rsidRPr="00132E65" w:rsidRDefault="000C39D1" w:rsidP="000C39D1">
      <w:pPr>
        <w:pStyle w:val="libNormal"/>
        <w:rPr>
          <w:rtl/>
          <w:lang w:bidi="fa-IR"/>
        </w:rPr>
      </w:pPr>
      <w:r w:rsidRPr="00132E65">
        <w:rPr>
          <w:rtl/>
          <w:lang w:bidi="fa-IR"/>
        </w:rPr>
        <w:t xml:space="preserve">وَإِنَّمَا أَرَدْتُ بِإِدْخَالِ الَّذِينَ أَدْخَلْتُهُمْ </w:t>
      </w:r>
      <w:r>
        <w:rPr>
          <w:rStyle w:val="libFootnotenumChar"/>
          <w:rtl/>
        </w:rPr>
        <w:t>(6)</w:t>
      </w:r>
      <w:r w:rsidRPr="00132E65">
        <w:rPr>
          <w:rtl/>
          <w:lang w:bidi="fa-IR"/>
        </w:rPr>
        <w:t xml:space="preserve"> مَعَهُ مِنْ ولْدِي التَّنْوِيهَ </w:t>
      </w:r>
      <w:r>
        <w:rPr>
          <w:rStyle w:val="libFootnotenumChar"/>
          <w:rtl/>
        </w:rPr>
        <w:t>(7)</w:t>
      </w:r>
      <w:r w:rsidRPr="00132E65">
        <w:rPr>
          <w:rtl/>
          <w:lang w:bidi="fa-IR"/>
        </w:rPr>
        <w:t xml:space="preserve"> بِأَسْمَائِهِمْ ، وَالتَّشْرِيفَ لَهُمْ ؛ وأُمَّهَاتُ أَوْلَادِي مَنْ أَقَامَتْ </w:t>
      </w:r>
      <w:r>
        <w:rPr>
          <w:rStyle w:val="libFootnotenumChar"/>
          <w:rtl/>
        </w:rPr>
        <w:t>(8)</w:t>
      </w:r>
      <w:r w:rsidRPr="00132E65">
        <w:rPr>
          <w:rtl/>
          <w:lang w:bidi="fa-IR"/>
        </w:rPr>
        <w:t xml:space="preserve"> مِنْهُنَّ فِي مَنْزِلِهَا وحِجَابِهَا ، فَلَهَا مَا كَانَ يَجْرِي عَلَيْهَا فِي حَيَاتِي إِنْ رَأى ذلِكَ ، ومَنْ خَرَجَتْ مِنْهُنَّ إِلى زَوْجٍ ، فَلَيْسَ لَهَا أَنْ تَرْجِعَ إِلى </w:t>
      </w:r>
      <w:r>
        <w:rPr>
          <w:rStyle w:val="libFootnotenumChar"/>
          <w:rtl/>
        </w:rPr>
        <w:t>(9)</w:t>
      </w:r>
      <w:r w:rsidRPr="00132E65">
        <w:rPr>
          <w:rtl/>
          <w:lang w:bidi="fa-IR"/>
        </w:rPr>
        <w:t xml:space="preserve"> مَحْوَايَ </w:t>
      </w:r>
      <w:r>
        <w:rPr>
          <w:rStyle w:val="libFootnotenumChar"/>
          <w:rtl/>
        </w:rPr>
        <w:t>(10)</w:t>
      </w:r>
      <w:r>
        <w:rPr>
          <w:rtl/>
          <w:lang w:bidi="fa-IR"/>
        </w:rPr>
        <w:t xml:space="preserve"> إِل</w:t>
      </w:r>
      <w:r>
        <w:rPr>
          <w:rFonts w:hint="cs"/>
          <w:rtl/>
          <w:lang w:bidi="fa-IR"/>
        </w:rPr>
        <w:t>َّ</w:t>
      </w:r>
      <w:r>
        <w:rPr>
          <w:rtl/>
          <w:lang w:bidi="fa-IR"/>
        </w:rPr>
        <w:t>ا</w:t>
      </w:r>
      <w:r w:rsidRPr="00132E65">
        <w:rPr>
          <w:rtl/>
          <w:lang w:bidi="fa-IR"/>
        </w:rPr>
        <w:t xml:space="preserve"> أَنْ يَرى عَلِيٌّ غَيْرَ ذلِكَ ، وبَنَاتِي بِمِثْلِ ذلِكَ ، ولَايُزَوِّجُ بَنَاتِي أَحَدٌ مِنْ إِخْوَتِهِنَّ مِنْ أُمَّهَاتِهِنّ</w:t>
      </w:r>
      <w:r>
        <w:rPr>
          <w:rtl/>
          <w:lang w:bidi="fa-IR"/>
        </w:rPr>
        <w:t>َ ولَاسُلْطَانٌ ولَاعَمٌّ إِل</w:t>
      </w:r>
      <w:r>
        <w:rPr>
          <w:rFonts w:hint="cs"/>
          <w:rtl/>
          <w:lang w:bidi="fa-IR"/>
        </w:rPr>
        <w:t>َّ</w:t>
      </w:r>
      <w:r>
        <w:rPr>
          <w:rtl/>
          <w:lang w:bidi="fa-IR"/>
        </w:rPr>
        <w:t>ا</w:t>
      </w:r>
      <w:r w:rsidRPr="00132E65">
        <w:rPr>
          <w:rtl/>
          <w:lang w:bidi="fa-IR"/>
        </w:rPr>
        <w:t xml:space="preserve"> بِرَأْيِهِ ومَشُورَتِهِ </w:t>
      </w:r>
      <w:r>
        <w:rPr>
          <w:rStyle w:val="libFootnotenumChar"/>
          <w:rtl/>
        </w:rPr>
        <w:t>(11)</w:t>
      </w:r>
      <w:r w:rsidRPr="00132E65">
        <w:rPr>
          <w:rtl/>
          <w:lang w:bidi="fa-IR"/>
        </w:rPr>
        <w:t xml:space="preserve"> ، فَإِنْ فَعَلُوا غَيْرَ ذلِكَ ، فَقَدْ خَالَفُوا اللهَ ورَسُولَهُ ، وجَاهَدُوهُ فِي مُلْكِهِ ، وهُوَ أَعْرَفُ بِمَنَاكِحِ قَوْمِهِ ، فَإِنْ أَرَادَ أَنْ يُزَوِّجَ زَوَّجَ ، وإِنْ أَرَادَ أَنْ يَتْرُكَ تَرَكَ.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التَبِعَةُ » </w:t>
      </w:r>
      <w:r>
        <w:rPr>
          <w:rtl/>
        </w:rPr>
        <w:t>و «</w:t>
      </w:r>
      <w:r w:rsidRPr="00132E65">
        <w:rPr>
          <w:rtl/>
        </w:rPr>
        <w:t xml:space="preserve"> التِباعةُ » : اسم الشي‌ء الذي لك فيه بُغْيَة شِبه ظُلامة ونحو ذلك ، أو هما ما اتّبعتَ به صاحبَك من‌ظُلامة ونحوها ، أو ما يتبع المالَ من نوائب الحقوق ، وهو من تَبِعْتُ الرجلَ بحقّي. فهما بمعنى واحد. نعم نقل المجلسي عن بعضٍ الفرقَ بأنّ التَبِعَةَ ما تطلبه من غيرك من حقّ تريد أن تستوفيه منه. والتِباعَة : الحقّ الذي لك على غيرك ولا تريد أن تستوفيه منه. ثمّ قال : « والتَباعَةُ بالفتح مصدر تبعه إذا مشى خلفه ، وهو مناسب »</w:t>
      </w:r>
      <w:r>
        <w:rPr>
          <w:rtl/>
        </w:rPr>
        <w:t>.</w:t>
      </w:r>
      <w:r w:rsidRPr="00132E65">
        <w:rPr>
          <w:rtl/>
        </w:rPr>
        <w:t xml:space="preserve"> راجع : </w:t>
      </w:r>
      <w:r w:rsidRPr="009D1ACE">
        <w:rPr>
          <w:rStyle w:val="libFootnoteBoldChar"/>
          <w:rtl/>
        </w:rPr>
        <w:t>لسان العرب</w:t>
      </w:r>
      <w:r w:rsidRPr="00132E65">
        <w:rPr>
          <w:rtl/>
        </w:rPr>
        <w:t xml:space="preserve"> ، ج 8 ، ص 30 ( تبع )</w:t>
      </w:r>
      <w:r>
        <w:rPr>
          <w:rtl/>
        </w:rPr>
        <w:t>.</w:t>
      </w:r>
      <w:r>
        <w:rPr>
          <w:rFonts w:hint="cs"/>
          <w:rtl/>
        </w:rPr>
        <w:t xml:space="preserve">               </w:t>
      </w:r>
      <w:r w:rsidR="00D03C29">
        <w:rPr>
          <w:rFonts w:hint="cs"/>
          <w:rtl/>
        </w:rPr>
        <w:t xml:space="preserve">                             </w:t>
      </w:r>
      <w:r>
        <w:rPr>
          <w:rFonts w:hint="cs"/>
          <w:rtl/>
        </w:rPr>
        <w:t xml:space="preserve">       </w:t>
      </w:r>
      <w:r>
        <w:rPr>
          <w:rtl/>
        </w:rPr>
        <w:t>(2).</w:t>
      </w:r>
      <w:r w:rsidRPr="00132E65">
        <w:rPr>
          <w:rtl/>
        </w:rPr>
        <w:t xml:space="preserve"> في « بر » وشرح المازندراني و</w:t>
      </w:r>
      <w:r w:rsidRPr="009D1ACE">
        <w:rPr>
          <w:rStyle w:val="libFootnoteBoldChar"/>
          <w:rtl/>
        </w:rPr>
        <w:t>الوافي</w:t>
      </w:r>
      <w:r w:rsidRPr="00132E65">
        <w:rPr>
          <w:rtl/>
        </w:rPr>
        <w:t xml:space="preserve"> : « وله »</w:t>
      </w:r>
      <w:r>
        <w:rPr>
          <w:rtl/>
        </w:rPr>
        <w:t>.</w:t>
      </w:r>
    </w:p>
    <w:p w:rsidR="000C39D1" w:rsidRPr="00132E65" w:rsidRDefault="000C39D1" w:rsidP="000C39D1">
      <w:pPr>
        <w:pStyle w:val="libFootnote0"/>
        <w:rPr>
          <w:rtl/>
          <w:lang w:bidi="fa-IR"/>
        </w:rPr>
      </w:pPr>
      <w:r>
        <w:rPr>
          <w:rtl/>
        </w:rPr>
        <w:t>(3).</w:t>
      </w:r>
      <w:r w:rsidRPr="00132E65">
        <w:rPr>
          <w:rtl/>
        </w:rPr>
        <w:t xml:space="preserve"> هكذا في « ب ، ج ، ض ، ف ، ه‍ ، و، بح ، بر ، بس ، بف » و</w:t>
      </w:r>
      <w:r w:rsidRPr="009D1ACE">
        <w:rPr>
          <w:rStyle w:val="libFootnoteBoldChar"/>
          <w:rtl/>
        </w:rPr>
        <w:t>الوافي</w:t>
      </w:r>
      <w:r w:rsidRPr="00132E65">
        <w:rPr>
          <w:rtl/>
        </w:rPr>
        <w:t xml:space="preserve"> والبحار. وفي المطبوع : « فهو »</w:t>
      </w:r>
      <w:r>
        <w:rPr>
          <w:rtl/>
        </w:rPr>
        <w:t>.</w:t>
      </w:r>
    </w:p>
    <w:p w:rsidR="000C39D1" w:rsidRDefault="000C39D1" w:rsidP="000C39D1">
      <w:pPr>
        <w:pStyle w:val="libFootnote0"/>
        <w:rPr>
          <w:rtl/>
        </w:rPr>
      </w:pPr>
      <w:r>
        <w:rPr>
          <w:rtl/>
        </w:rPr>
        <w:t>(4).</w:t>
      </w:r>
      <w:r w:rsidRPr="00132E65">
        <w:rPr>
          <w:rtl/>
        </w:rPr>
        <w:t xml:space="preserve"> « أقلَّ » ، أي أظهر المال قليلاً ، أو أعطى حَقَّهم قليلاً ، من قولهم : أقلّه وأقلّ منه ، أي جعله قليلاً وصادفه قليلاً ، وأقلّ : أتى بقليل. وكذلك أكْثَرَ. راجع : </w:t>
      </w:r>
      <w:r w:rsidRPr="009D1ACE">
        <w:rPr>
          <w:rStyle w:val="libFootnoteBoldChar"/>
          <w:rtl/>
        </w:rPr>
        <w:t>لسان العرب</w:t>
      </w:r>
      <w:r w:rsidRPr="00132E65">
        <w:rPr>
          <w:rtl/>
        </w:rPr>
        <w:t xml:space="preserve"> ، ج 5 ، ص 132 ( كثر ) ؛ وج 11 ، ص 563 ( قلل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ب » </w:t>
            </w:r>
            <w:r>
              <w:rPr>
                <w:rtl/>
              </w:rPr>
              <w:t xml:space="preserve">: - </w:t>
            </w:r>
            <w:r w:rsidRPr="00132E65">
              <w:rPr>
                <w:rtl/>
              </w:rPr>
              <w:t>« الصادق »</w:t>
            </w:r>
            <w:r>
              <w:rPr>
                <w:rtl/>
              </w:rPr>
              <w:t>.</w:t>
            </w:r>
          </w:p>
        </w:tc>
        <w:tc>
          <w:tcPr>
            <w:tcW w:w="4006" w:type="dxa"/>
          </w:tcPr>
          <w:p w:rsidR="000C39D1" w:rsidRDefault="000C39D1" w:rsidP="00B53873">
            <w:pPr>
              <w:pStyle w:val="libFootnote0"/>
              <w:rPr>
                <w:rtl/>
              </w:rPr>
            </w:pPr>
            <w:r>
              <w:rPr>
                <w:rtl/>
              </w:rPr>
              <w:t>(6). في «ف،ه‍،بر»وحاشية «بح»والبحار:</w:t>
            </w:r>
            <w:r w:rsidRPr="00132E65">
              <w:rPr>
                <w:rtl/>
              </w:rPr>
              <w:t>«أدخلت»</w:t>
            </w:r>
            <w:r>
              <w:rPr>
                <w:rtl/>
              </w:rPr>
              <w:t>.</w:t>
            </w:r>
          </w:p>
        </w:tc>
      </w:tr>
    </w:tbl>
    <w:p w:rsidR="000C39D1" w:rsidRPr="00132E65" w:rsidRDefault="000C39D1" w:rsidP="000C39D1">
      <w:pPr>
        <w:pStyle w:val="libFootnote0"/>
        <w:rPr>
          <w:rtl/>
          <w:lang w:bidi="fa-IR"/>
        </w:rPr>
      </w:pPr>
      <w:r>
        <w:rPr>
          <w:rtl/>
        </w:rPr>
        <w:t>(7).</w:t>
      </w:r>
      <w:r w:rsidRPr="00132E65">
        <w:rPr>
          <w:rtl/>
        </w:rPr>
        <w:t xml:space="preserve"> قال الجوهري : « نَوَّهْتُهُ تنويهاً ، إذا رفعتَه. ونوّهتُ باسمه ، إذا رفعت ذكره »</w:t>
      </w:r>
      <w:r>
        <w:rPr>
          <w:rtl/>
        </w:rPr>
        <w:t>.</w:t>
      </w:r>
      <w:r w:rsidRPr="00132E65">
        <w:rPr>
          <w:rtl/>
        </w:rPr>
        <w:t xml:space="preserve"> </w:t>
      </w:r>
      <w:r w:rsidRPr="00401428">
        <w:rPr>
          <w:rtl/>
        </w:rPr>
        <w:t>الصحاح</w:t>
      </w:r>
      <w:r w:rsidRPr="00132E65">
        <w:rPr>
          <w:rtl/>
        </w:rPr>
        <w:t xml:space="preserve"> ، ج 6 ، ص 2254 ( نوه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ه‍ </w:t>
            </w:r>
            <w:r w:rsidR="00D03C29" w:rsidRPr="00132E65">
              <w:rPr>
                <w:rtl/>
              </w:rPr>
              <w:t>»</w:t>
            </w:r>
            <w:r w:rsidRPr="00132E65">
              <w:rPr>
                <w:rtl/>
              </w:rPr>
              <w:t xml:space="preserve"> : « أقام »</w:t>
            </w:r>
            <w:r>
              <w:rPr>
                <w:rtl/>
              </w:rPr>
              <w:t>.</w:t>
            </w:r>
          </w:p>
        </w:tc>
        <w:tc>
          <w:tcPr>
            <w:tcW w:w="4006" w:type="dxa"/>
          </w:tcPr>
          <w:p w:rsidR="000C39D1" w:rsidRDefault="000C39D1" w:rsidP="00B53873">
            <w:pPr>
              <w:pStyle w:val="libFootnote0"/>
              <w:rPr>
                <w:rtl/>
              </w:rPr>
            </w:pPr>
            <w:r>
              <w:rPr>
                <w:rtl/>
              </w:rPr>
              <w:t>(9).</w:t>
            </w:r>
            <w:r w:rsidRPr="00132E65">
              <w:rPr>
                <w:rtl/>
              </w:rPr>
              <w:t xml:space="preserve"> « فى البحار » </w:t>
            </w:r>
            <w:r>
              <w:rPr>
                <w:rtl/>
              </w:rPr>
              <w:t xml:space="preserve">: - </w:t>
            </w:r>
            <w:r w:rsidRPr="00132E65">
              <w:rPr>
                <w:rtl/>
              </w:rPr>
              <w:t>« إلى »</w:t>
            </w:r>
            <w:r>
              <w:rPr>
                <w:rtl/>
              </w:rPr>
              <w:t>.</w:t>
            </w:r>
          </w:p>
        </w:tc>
      </w:tr>
    </w:tbl>
    <w:p w:rsidR="000C39D1" w:rsidRPr="00132E65" w:rsidRDefault="000C39D1" w:rsidP="000C39D1">
      <w:pPr>
        <w:pStyle w:val="libFootnote0"/>
        <w:rPr>
          <w:rtl/>
          <w:lang w:bidi="fa-IR"/>
        </w:rPr>
      </w:pPr>
      <w:r>
        <w:rPr>
          <w:rtl/>
        </w:rPr>
        <w:t>(10).</w:t>
      </w:r>
      <w:r w:rsidRPr="00132E65">
        <w:rPr>
          <w:rtl/>
        </w:rPr>
        <w:t xml:space="preserve"> « ال</w:t>
      </w:r>
      <w:r>
        <w:rPr>
          <w:rFonts w:hint="cs"/>
          <w:rtl/>
        </w:rPr>
        <w:t>ـ</w:t>
      </w:r>
      <w:r w:rsidRPr="00132E65">
        <w:rPr>
          <w:rtl/>
        </w:rPr>
        <w:t>مَحْوَى » : اسم مكان من حَوَى الشي‌ءَ يَحْويه ، أي جمعه وضمّه ، مثل الحِواء وهو اسم المكان الذي يحوي الشي‌ءَ ، أي يجمعه ويضمّه. قرأه الفيض والمجلسي : مُحَوّاي. والحِواء وال</w:t>
      </w:r>
      <w:r>
        <w:rPr>
          <w:rFonts w:hint="cs"/>
          <w:rtl/>
        </w:rPr>
        <w:t>ـ</w:t>
      </w:r>
      <w:r w:rsidRPr="00132E65">
        <w:rPr>
          <w:rtl/>
        </w:rPr>
        <w:t xml:space="preserve">مُحَوّى كلاهما جماعة بيوت الناس إذا تدانت ، وهي من الوَبَر. والجمع : الأحوِية. راجع : </w:t>
      </w:r>
      <w:r w:rsidRPr="009D1ACE">
        <w:rPr>
          <w:rStyle w:val="libFootnoteBoldChar"/>
          <w:rtl/>
        </w:rPr>
        <w:t>لسان العرب</w:t>
      </w:r>
      <w:r w:rsidRPr="00132E65">
        <w:rPr>
          <w:rtl/>
        </w:rPr>
        <w:t xml:space="preserve"> ، ج 14 ، ص 208</w:t>
      </w:r>
      <w:r>
        <w:rPr>
          <w:rtl/>
        </w:rPr>
        <w:t xml:space="preserve"> - </w:t>
      </w:r>
      <w:r w:rsidRPr="00132E65">
        <w:rPr>
          <w:rtl/>
        </w:rPr>
        <w:t>210 ( حوا )</w:t>
      </w:r>
      <w:r>
        <w:rPr>
          <w:rtl/>
        </w:rPr>
        <w:t>.</w:t>
      </w:r>
    </w:p>
    <w:p w:rsidR="000C39D1" w:rsidRPr="00132E65" w:rsidRDefault="000C39D1" w:rsidP="000C39D1">
      <w:pPr>
        <w:pStyle w:val="libFootnote0"/>
        <w:rPr>
          <w:rtl/>
          <w:lang w:bidi="fa-IR"/>
        </w:rPr>
      </w:pPr>
      <w:r>
        <w:rPr>
          <w:rtl/>
        </w:rPr>
        <w:t>(11).</w:t>
      </w:r>
      <w:r w:rsidRPr="00132E65">
        <w:rPr>
          <w:rtl/>
        </w:rPr>
        <w:t xml:space="preserve"> « ومَشُورَته » أي بأمره ، من أشار عليه بأمر كذا : أمره به ، وهي الشُورى وال</w:t>
      </w:r>
      <w:r>
        <w:rPr>
          <w:rFonts w:hint="cs"/>
          <w:rtl/>
        </w:rPr>
        <w:t>ـ</w:t>
      </w:r>
      <w:r w:rsidRPr="00132E65">
        <w:rPr>
          <w:rtl/>
        </w:rPr>
        <w:t>مَشُورَة ، بضمّ الشين ، مَفْعُلَة ولاتكون مَفْعُولَة ؛ لأنّها مصدر ، والمصادر لا تجي‌ء على مثال مفعولة ، وإن جاءت على مثال مفعول. وكذلك ال</w:t>
      </w:r>
      <w:r>
        <w:rPr>
          <w:rFonts w:hint="cs"/>
          <w:rtl/>
        </w:rPr>
        <w:t>ـ</w:t>
      </w:r>
      <w:r w:rsidRPr="00132E65">
        <w:rPr>
          <w:rtl/>
        </w:rPr>
        <w:t xml:space="preserve">مَشْوَرَةُ. راجع : </w:t>
      </w:r>
      <w:r w:rsidRPr="009D1ACE">
        <w:rPr>
          <w:rStyle w:val="libFootnoteBoldChar"/>
          <w:rtl/>
        </w:rPr>
        <w:t>لسان العرب</w:t>
      </w:r>
      <w:r w:rsidRPr="00132E65">
        <w:rPr>
          <w:rtl/>
        </w:rPr>
        <w:t xml:space="preserve"> ، ج 4 ، ص 437 ( شور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وَقَدْ أَوْصَيْتُهُنَّ بِمِثْلِ مَا ذَكَرْتُ فِي </w:t>
      </w:r>
      <w:r>
        <w:rPr>
          <w:rStyle w:val="libFootnotenumChar"/>
          <w:rtl/>
        </w:rPr>
        <w:t>(1)</w:t>
      </w:r>
      <w:r w:rsidRPr="00132E65">
        <w:rPr>
          <w:rtl/>
          <w:lang w:bidi="fa-IR"/>
        </w:rPr>
        <w:t xml:space="preserve"> كِتَابِي هذَا ، وجَعَلْتُ اللهَ</w:t>
      </w:r>
      <w:r>
        <w:rPr>
          <w:rtl/>
          <w:lang w:bidi="fa-IR"/>
        </w:rPr>
        <w:t xml:space="preserve"> - </w:t>
      </w:r>
      <w:r w:rsidRPr="00132E65">
        <w:rPr>
          <w:rtl/>
          <w:lang w:bidi="fa-IR"/>
        </w:rPr>
        <w:t>عَزَّ وجَلَّ</w:t>
      </w:r>
      <w:r>
        <w:rPr>
          <w:rtl/>
          <w:lang w:bidi="fa-IR"/>
        </w:rPr>
        <w:t xml:space="preserve"> - </w:t>
      </w:r>
      <w:r w:rsidRPr="00132E65">
        <w:rPr>
          <w:rtl/>
          <w:lang w:bidi="fa-IR"/>
        </w:rPr>
        <w:t xml:space="preserve">عَلَيْهِنَّ شَهِيداً ، وهُوَ وأُمُّ أَحْمَدَ </w:t>
      </w:r>
      <w:r>
        <w:rPr>
          <w:rStyle w:val="libFootnotenumChar"/>
          <w:rtl/>
        </w:rPr>
        <w:t>(2)</w:t>
      </w:r>
      <w:r w:rsidRPr="00132E65">
        <w:rPr>
          <w:rtl/>
          <w:lang w:bidi="fa-IR"/>
        </w:rPr>
        <w:t xml:space="preserve"> ؛ ولَيْسَ لِأَحَدٍ أَنْ يَكْشِفَ وصِيَّتِي ولَايَنْشُرَهَا وهُوَ مِنْهَا </w:t>
      </w:r>
      <w:r>
        <w:rPr>
          <w:rStyle w:val="libFootnotenumChar"/>
          <w:rtl/>
        </w:rPr>
        <w:t>(3)</w:t>
      </w:r>
      <w:r w:rsidRPr="00132E65">
        <w:rPr>
          <w:rtl/>
          <w:lang w:bidi="fa-IR"/>
        </w:rPr>
        <w:t xml:space="preserve"> عَلى غَيْرِ مَا ذَكَرْتُ وسَمَّيْتُ ؛ فَمَنْ أَسَاءَ فَعَلَيْهِ ، ومَنْ أَحْسَنَ فَلِ</w:t>
      </w:r>
      <w:r>
        <w:rPr>
          <w:rtl/>
          <w:lang w:bidi="fa-IR"/>
        </w:rPr>
        <w:t>نَفْسِهِ ، ومَا رَبُّكَ بِظَل</w:t>
      </w:r>
      <w:r>
        <w:rPr>
          <w:rFonts w:hint="cs"/>
          <w:rtl/>
          <w:lang w:bidi="fa-IR"/>
        </w:rPr>
        <w:t>َّ</w:t>
      </w:r>
      <w:r>
        <w:rPr>
          <w:rtl/>
          <w:lang w:bidi="fa-IR"/>
        </w:rPr>
        <w:t>ا</w:t>
      </w:r>
      <w:r w:rsidRPr="00132E65">
        <w:rPr>
          <w:rtl/>
          <w:lang w:bidi="fa-IR"/>
        </w:rPr>
        <w:t xml:space="preserve">مٍ </w:t>
      </w:r>
      <w:r>
        <w:rPr>
          <w:rStyle w:val="libFootnotenumChar"/>
          <w:rtl/>
        </w:rPr>
        <w:t>(4)</w:t>
      </w:r>
      <w:r w:rsidRPr="00132E65">
        <w:rPr>
          <w:rtl/>
          <w:lang w:bidi="fa-IR"/>
        </w:rPr>
        <w:t xml:space="preserve"> لِلْعَبِيدِ </w:t>
      </w:r>
      <w:r>
        <w:rPr>
          <w:rStyle w:val="libFootnotenumChar"/>
          <w:rtl/>
        </w:rPr>
        <w:t>(5)</w:t>
      </w:r>
      <w:r w:rsidRPr="00132E65">
        <w:rPr>
          <w:rtl/>
          <w:lang w:bidi="fa-IR"/>
        </w:rPr>
        <w:t xml:space="preserve"> ، وصَلَّى اللهُ عَلى مُحَمَّدٍ و</w:t>
      </w:r>
      <w:r>
        <w:rPr>
          <w:rFonts w:hint="cs"/>
          <w:rtl/>
          <w:lang w:bidi="fa-IR"/>
        </w:rPr>
        <w:t xml:space="preserve">َ </w:t>
      </w:r>
      <w:r>
        <w:rPr>
          <w:rStyle w:val="libFootnotenumChar"/>
          <w:rtl/>
        </w:rPr>
        <w:t>(6)</w:t>
      </w:r>
      <w:r w:rsidRPr="00132E65">
        <w:rPr>
          <w:rtl/>
          <w:lang w:bidi="fa-IR"/>
        </w:rPr>
        <w:t xml:space="preserve"> آلِهِ.</w:t>
      </w:r>
    </w:p>
    <w:p w:rsidR="000C39D1" w:rsidRPr="00132E65" w:rsidRDefault="000C39D1" w:rsidP="000C39D1">
      <w:pPr>
        <w:pStyle w:val="libNormal"/>
        <w:rPr>
          <w:rtl/>
          <w:lang w:bidi="fa-IR"/>
        </w:rPr>
      </w:pPr>
      <w:r w:rsidRPr="00132E65">
        <w:rPr>
          <w:rtl/>
          <w:lang w:bidi="fa-IR"/>
        </w:rPr>
        <w:t xml:space="preserve">وَلَيْسَ لِأَحَدٍ مِنْ سُلْطَانٍ ولَاغَيْرِهِ أَنْ يَفُضَّ </w:t>
      </w:r>
      <w:r>
        <w:rPr>
          <w:rStyle w:val="libFootnotenumChar"/>
          <w:rtl/>
        </w:rPr>
        <w:t>(7)</w:t>
      </w:r>
      <w:r w:rsidRPr="00132E65">
        <w:rPr>
          <w:rtl/>
          <w:lang w:bidi="fa-IR"/>
        </w:rPr>
        <w:t xml:space="preserve"> كِتَابِي هذَا الَّذِي خَتَمْتُ عَلَيْهِ الْأَسْفَلَ </w:t>
      </w:r>
      <w:r>
        <w:rPr>
          <w:rStyle w:val="libFootnotenumChar"/>
          <w:rtl/>
        </w:rPr>
        <w:t>(8)</w:t>
      </w:r>
      <w:r w:rsidRPr="00132E65">
        <w:rPr>
          <w:rtl/>
          <w:lang w:bidi="fa-IR"/>
        </w:rPr>
        <w:t xml:space="preserve"> ، فَمَنْ فَعَلَ ذلِكَ ، فَعَلَيْهِ لَعْنَةُ ال</w:t>
      </w:r>
      <w:r>
        <w:rPr>
          <w:rtl/>
          <w:lang w:bidi="fa-IR"/>
        </w:rPr>
        <w:t>لهِ وغَضَبُهُ ، ولَعْنَةُ الل</w:t>
      </w:r>
      <w:r>
        <w:rPr>
          <w:rFonts w:hint="cs"/>
          <w:rtl/>
          <w:lang w:bidi="fa-IR"/>
        </w:rPr>
        <w:t>َّ</w:t>
      </w:r>
      <w:r>
        <w:rPr>
          <w:rtl/>
          <w:lang w:bidi="fa-IR"/>
        </w:rPr>
        <w:t>ا</w:t>
      </w:r>
      <w:r w:rsidRPr="00132E65">
        <w:rPr>
          <w:rtl/>
          <w:lang w:bidi="fa-IR"/>
        </w:rPr>
        <w:t xml:space="preserve">عِنِينَ والْمَلَائِكَةِ الْمُقَرَّبِينَ </w:t>
      </w:r>
      <w:r>
        <w:rPr>
          <w:rStyle w:val="libFootnotenumChar"/>
          <w:rtl/>
        </w:rPr>
        <w:t>(9)</w:t>
      </w:r>
      <w:r w:rsidRPr="00132E65">
        <w:rPr>
          <w:rtl/>
          <w:lang w:bidi="fa-IR"/>
        </w:rPr>
        <w:t xml:space="preserve"> وجَمَاعَةِ الْمُرْسَلِينَ والْمُؤْمِنِينَ و</w:t>
      </w:r>
      <w:r>
        <w:rPr>
          <w:rFonts w:hint="cs"/>
          <w:rtl/>
          <w:lang w:bidi="fa-IR"/>
        </w:rPr>
        <w:t xml:space="preserve"> </w:t>
      </w:r>
      <w:r>
        <w:rPr>
          <w:rStyle w:val="libFootnotenumChar"/>
          <w:rtl/>
        </w:rPr>
        <w:t>(10)</w:t>
      </w:r>
      <w:r w:rsidRPr="00132E65">
        <w:rPr>
          <w:rtl/>
          <w:lang w:bidi="fa-IR"/>
        </w:rPr>
        <w:t xml:space="preserve"> الْمُسْلِمِينَ ، وعَلى </w:t>
      </w:r>
      <w:r>
        <w:rPr>
          <w:rStyle w:val="libFootnotenumChar"/>
          <w:rtl/>
        </w:rPr>
        <w:t>(11)</w:t>
      </w:r>
      <w:r w:rsidRPr="00132E65">
        <w:rPr>
          <w:rtl/>
          <w:lang w:bidi="fa-IR"/>
        </w:rPr>
        <w:t xml:space="preserve">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D03C29">
      <w:pPr>
        <w:pStyle w:val="libFootnote0"/>
        <w:rPr>
          <w:rtl/>
          <w:lang w:bidi="fa-IR"/>
        </w:rPr>
      </w:pPr>
      <w:r>
        <w:rPr>
          <w:rtl/>
        </w:rPr>
        <w:t>(1).</w:t>
      </w:r>
      <w:r w:rsidRPr="00132E65">
        <w:rPr>
          <w:rtl/>
        </w:rPr>
        <w:t xml:space="preserve"> في « ف ، ه‍ </w:t>
      </w:r>
      <w:r w:rsidR="00D03C29" w:rsidRPr="00132E65">
        <w:rPr>
          <w:rtl/>
        </w:rPr>
        <w:t>»</w:t>
      </w:r>
      <w:r w:rsidRPr="00132E65">
        <w:rPr>
          <w:rtl/>
        </w:rPr>
        <w:t xml:space="preserve"> : « في صدر »</w:t>
      </w:r>
      <w:r>
        <w:rPr>
          <w:rtl/>
        </w:rPr>
        <w:t>.</w:t>
      </w:r>
    </w:p>
    <w:p w:rsidR="000C39D1" w:rsidRPr="00132E65" w:rsidRDefault="000C39D1" w:rsidP="000C39D1">
      <w:pPr>
        <w:pStyle w:val="libFootnote0"/>
        <w:rPr>
          <w:rtl/>
          <w:lang w:bidi="fa-IR"/>
        </w:rPr>
      </w:pPr>
      <w:r>
        <w:rPr>
          <w:rtl/>
        </w:rPr>
        <w:t>(2).</w:t>
      </w:r>
      <w:r w:rsidRPr="00132E65">
        <w:rPr>
          <w:rtl/>
        </w:rPr>
        <w:t xml:space="preserve"> هكذا في النسخ التي قوبلت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وفي المطبوع :</w:t>
      </w:r>
      <w:r>
        <w:rPr>
          <w:rtl/>
        </w:rPr>
        <w:t xml:space="preserve"> + </w:t>
      </w:r>
      <w:r w:rsidRPr="00132E65">
        <w:rPr>
          <w:rtl/>
        </w:rPr>
        <w:t>« [شاهدان] »</w:t>
      </w:r>
      <w:r>
        <w:rPr>
          <w:rtl/>
        </w:rPr>
        <w:t>.</w:t>
      </w:r>
    </w:p>
    <w:p w:rsidR="000C39D1" w:rsidRPr="00132E65" w:rsidRDefault="000C39D1" w:rsidP="00D03C29">
      <w:pPr>
        <w:pStyle w:val="libFootnote0"/>
        <w:rPr>
          <w:rtl/>
          <w:lang w:bidi="fa-IR"/>
        </w:rPr>
      </w:pPr>
      <w:r>
        <w:rPr>
          <w:rtl/>
        </w:rPr>
        <w:t>(3).</w:t>
      </w:r>
      <w:r w:rsidRPr="00132E65">
        <w:rPr>
          <w:rtl/>
        </w:rPr>
        <w:t xml:space="preserve"> في « ه‍ </w:t>
      </w:r>
      <w:r w:rsidR="00D03C29" w:rsidRPr="00132E65">
        <w:rPr>
          <w:rtl/>
        </w:rPr>
        <w:t>»</w:t>
      </w:r>
      <w:r w:rsidRPr="00132E65">
        <w:rPr>
          <w:rtl/>
        </w:rPr>
        <w:t xml:space="preserve"> وحاشية « بف » : « فيها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401428">
        <w:rPr>
          <w:rtl/>
        </w:rPr>
        <w:t>شرح المازندراني</w:t>
      </w:r>
      <w:r w:rsidRPr="00132E65">
        <w:rPr>
          <w:rtl/>
        </w:rPr>
        <w:t xml:space="preserve"> ، ج 6 ، ص 183 : « لعلّ المراد المبالغة في نفي الظلم لا نفي المبالغة فيه</w:t>
      </w:r>
      <w:r>
        <w:rPr>
          <w:rtl/>
        </w:rPr>
        <w:t xml:space="preserve"> ..</w:t>
      </w:r>
      <w:r w:rsidRPr="00132E65">
        <w:rPr>
          <w:rtl/>
        </w:rPr>
        <w:t>. ، ويمكن أيضاً</w:t>
      </w:r>
      <w:r>
        <w:rPr>
          <w:rFonts w:hint="cs"/>
          <w:rtl/>
        </w:rPr>
        <w:t xml:space="preserve"> </w:t>
      </w:r>
      <w:r w:rsidRPr="00132E65">
        <w:rPr>
          <w:rtl/>
        </w:rPr>
        <w:t>أن يقال : كلّ صفة من صفات الواجب</w:t>
      </w:r>
      <w:r>
        <w:rPr>
          <w:rtl/>
        </w:rPr>
        <w:t xml:space="preserve"> - </w:t>
      </w:r>
      <w:r w:rsidRPr="00132E65">
        <w:rPr>
          <w:rtl/>
        </w:rPr>
        <w:t>جلّ شأنه</w:t>
      </w:r>
      <w:r>
        <w:rPr>
          <w:rtl/>
        </w:rPr>
        <w:t xml:space="preserve"> - </w:t>
      </w:r>
      <w:r w:rsidRPr="00132E65">
        <w:rPr>
          <w:rtl/>
        </w:rPr>
        <w:t>على وجه الكمال ، فلو كان الظلم صفة له كان على وجه الكمال ، وحيث لم يكن له ظلم على وجه الكمال لم ي</w:t>
      </w:r>
      <w:r>
        <w:rPr>
          <w:rtl/>
        </w:rPr>
        <w:t>كن له ظلم أصلاً وإل</w:t>
      </w:r>
      <w:r>
        <w:rPr>
          <w:rFonts w:hint="cs"/>
          <w:rtl/>
        </w:rPr>
        <w:t>ّ</w:t>
      </w:r>
      <w:r>
        <w:rPr>
          <w:rtl/>
        </w:rPr>
        <w:t>ا</w:t>
      </w:r>
      <w:r w:rsidRPr="00132E65">
        <w:rPr>
          <w:rtl/>
        </w:rPr>
        <w:t xml:space="preserve"> لزم خلاف الفرض »</w:t>
      </w:r>
      <w:r>
        <w:rPr>
          <w:rtl/>
        </w:rPr>
        <w:t>.</w:t>
      </w:r>
    </w:p>
    <w:p w:rsidR="000C39D1" w:rsidRPr="00132E65" w:rsidRDefault="000C39D1" w:rsidP="000C39D1">
      <w:pPr>
        <w:pStyle w:val="libFootnote0"/>
        <w:rPr>
          <w:rtl/>
          <w:lang w:bidi="fa-IR"/>
        </w:rPr>
      </w:pPr>
      <w:r>
        <w:rPr>
          <w:rtl/>
        </w:rPr>
        <w:t>(5).</w:t>
      </w:r>
      <w:r w:rsidRPr="00132E65">
        <w:rPr>
          <w:rtl/>
        </w:rPr>
        <w:t xml:space="preserve"> إشارة إلى الآية 46 من سورة فصّلت (41</w:t>
      </w:r>
      <w:r>
        <w:rPr>
          <w:rtl/>
        </w:rPr>
        <w:t>) :</w:t>
      </w:r>
      <w:r w:rsidRPr="00132E65">
        <w:rPr>
          <w:rtl/>
        </w:rPr>
        <w:t xml:space="preserve"> </w:t>
      </w:r>
      <w:r w:rsidRPr="00EF2F9E">
        <w:rPr>
          <w:rStyle w:val="libFootnoteAlaemChar"/>
          <w:rtl/>
        </w:rPr>
        <w:t>(</w:t>
      </w:r>
      <w:r>
        <w:rPr>
          <w:rFonts w:hint="cs"/>
          <w:rtl/>
        </w:rPr>
        <w:t xml:space="preserve"> </w:t>
      </w:r>
      <w:r w:rsidRPr="00C2691A">
        <w:rPr>
          <w:rStyle w:val="libFootnoteAieChar"/>
          <w:rtl/>
        </w:rPr>
        <w:t>مَنْ عَمِلَ صالِحاً فَلِنَفْسِهِ وَمَنْ أَس</w:t>
      </w:r>
      <w:r>
        <w:rPr>
          <w:rStyle w:val="libFootnoteAieChar"/>
          <w:rFonts w:hint="cs"/>
          <w:rtl/>
        </w:rPr>
        <w:t>َ</w:t>
      </w:r>
      <w:r w:rsidRPr="00C2691A">
        <w:rPr>
          <w:rStyle w:val="libFootnoteAieChar"/>
          <w:rtl/>
        </w:rPr>
        <w:t>اءَ فَعَلَيْها وَم</w:t>
      </w:r>
      <w:r>
        <w:rPr>
          <w:rStyle w:val="libFootnoteAieChar"/>
          <w:rFonts w:hint="cs"/>
          <w:rtl/>
        </w:rPr>
        <w:t>َ</w:t>
      </w:r>
      <w:r w:rsidRPr="00C2691A">
        <w:rPr>
          <w:rStyle w:val="libFootnoteAieChar"/>
          <w:rtl/>
        </w:rPr>
        <w:t>ا رَبُّكَ بِظَلاّمٍ لِلْعَبِيدِ</w:t>
      </w:r>
      <w:r>
        <w:rPr>
          <w:rFonts w:hint="cs"/>
          <w:rtl/>
        </w:rPr>
        <w:t xml:space="preserve"> </w:t>
      </w:r>
      <w:r w:rsidRPr="00EF2F9E">
        <w:rPr>
          <w:rStyle w:val="libFootnoteAlaemChar"/>
          <w:rtl/>
        </w:rPr>
        <w:t>)</w:t>
      </w:r>
      <w:r w:rsidRPr="00132E65">
        <w:rPr>
          <w:rtl/>
        </w:rPr>
        <w:t>.</w:t>
      </w:r>
    </w:p>
    <w:p w:rsidR="000C39D1" w:rsidRPr="00132E65" w:rsidRDefault="000C39D1" w:rsidP="000C39D1">
      <w:pPr>
        <w:pStyle w:val="libFootnote0"/>
        <w:rPr>
          <w:rtl/>
          <w:lang w:bidi="fa-IR"/>
        </w:rPr>
      </w:pPr>
      <w:r>
        <w:rPr>
          <w:rtl/>
        </w:rPr>
        <w:t>(6).</w:t>
      </w:r>
      <w:r w:rsidRPr="00132E65">
        <w:rPr>
          <w:rtl/>
        </w:rPr>
        <w:t xml:space="preserve"> هكذا في « ب ، ج ، ف ، ه‍ ، و، بح ، بر ، بف » و</w:t>
      </w:r>
      <w:r w:rsidRPr="009D1ACE">
        <w:rPr>
          <w:rStyle w:val="libFootnoteBoldChar"/>
          <w:rtl/>
        </w:rPr>
        <w:t>الوافي</w:t>
      </w:r>
      <w:r w:rsidRPr="00132E65">
        <w:rPr>
          <w:rtl/>
        </w:rPr>
        <w:t>. وفي « ض ، بس » والمطبوع :</w:t>
      </w:r>
      <w:r>
        <w:rPr>
          <w:rtl/>
        </w:rPr>
        <w:t xml:space="preserve"> + </w:t>
      </w:r>
      <w:r w:rsidRPr="00132E65">
        <w:rPr>
          <w:rtl/>
        </w:rPr>
        <w:t>« على »</w:t>
      </w:r>
      <w:r>
        <w:rPr>
          <w:rtl/>
        </w:rPr>
        <w:t>.</w:t>
      </w:r>
      <w:r w:rsidRPr="00132E65">
        <w:rPr>
          <w:rtl/>
        </w:rPr>
        <w:t xml:space="preserve"> واحتمال صدور كلمة « على » عن المعصوم </w:t>
      </w:r>
      <w:r w:rsidRPr="00EF2F9E">
        <w:rPr>
          <w:rStyle w:val="libFootnoteAlaemChar"/>
          <w:rtl/>
        </w:rPr>
        <w:t>عليه‌السلام</w:t>
      </w:r>
      <w:r w:rsidRPr="00132E65">
        <w:rPr>
          <w:rtl/>
        </w:rPr>
        <w:t xml:space="preserve"> لتقيّة وحذفها من ناحية النسّاخ غير بعيد.</w:t>
      </w:r>
    </w:p>
    <w:p w:rsidR="000C39D1" w:rsidRPr="00132E65" w:rsidRDefault="000C39D1" w:rsidP="000C39D1">
      <w:pPr>
        <w:pStyle w:val="libFootnote0"/>
        <w:rPr>
          <w:rtl/>
          <w:lang w:bidi="fa-IR"/>
        </w:rPr>
      </w:pPr>
      <w:r>
        <w:rPr>
          <w:rtl/>
        </w:rPr>
        <w:t>(7).</w:t>
      </w:r>
      <w:r w:rsidRPr="00132E65">
        <w:rPr>
          <w:rtl/>
        </w:rPr>
        <w:t xml:space="preserve"> في « ف » : « يغضّ »</w:t>
      </w:r>
      <w:r>
        <w:rPr>
          <w:rtl/>
        </w:rPr>
        <w:t>.</w:t>
      </w:r>
      <w:r w:rsidRPr="00132E65">
        <w:rPr>
          <w:rtl/>
        </w:rPr>
        <w:t xml:space="preserve"> وفي « بح » : « يقصّ »</w:t>
      </w:r>
      <w:r>
        <w:rPr>
          <w:rtl/>
        </w:rPr>
        <w:t>.</w:t>
      </w:r>
      <w:r w:rsidRPr="00132E65">
        <w:rPr>
          <w:rtl/>
        </w:rPr>
        <w:t xml:space="preserve"> وفي « بف » : « ينقض »</w:t>
      </w:r>
      <w:r>
        <w:rPr>
          <w:rtl/>
        </w:rPr>
        <w:t>.</w:t>
      </w:r>
      <w:r w:rsidRPr="00132E65">
        <w:rPr>
          <w:rtl/>
        </w:rPr>
        <w:t xml:space="preserve"> </w:t>
      </w:r>
      <w:r>
        <w:rPr>
          <w:rtl/>
        </w:rPr>
        <w:t>و «</w:t>
      </w:r>
      <w:r w:rsidRPr="00132E65">
        <w:rPr>
          <w:rtl/>
        </w:rPr>
        <w:t xml:space="preserve"> يَفُضَّ كتابي » ، أي يكسر خَتْمَه ويفتحه ، من‌الفَضّ بمعنى الكسر مع التفرقة. وقال المجلسي : « وقد يقرأ : يُفِضُّ ، على بناء الإفعال للتعويض ، أي يمكّن من الفضّ »</w:t>
      </w:r>
      <w:r>
        <w:rPr>
          <w:rtl/>
        </w:rPr>
        <w:t>.</w:t>
      </w:r>
      <w:r w:rsidRPr="00132E65">
        <w:rPr>
          <w:rtl/>
        </w:rPr>
        <w:t xml:space="preserve"> راجع : </w:t>
      </w:r>
      <w:r w:rsidRPr="009D1ACE">
        <w:rPr>
          <w:rStyle w:val="libFootnoteBoldChar"/>
          <w:rtl/>
        </w:rPr>
        <w:t>لسان العرب</w:t>
      </w:r>
      <w:r w:rsidRPr="00132E65">
        <w:rPr>
          <w:rtl/>
        </w:rPr>
        <w:t xml:space="preserve"> ، ج 7 ، ص 207 ( فضض )</w:t>
      </w:r>
      <w:r>
        <w:rPr>
          <w:rtl/>
        </w:rPr>
        <w:t>.</w:t>
      </w:r>
    </w:p>
    <w:p w:rsidR="00D03C29" w:rsidRDefault="000C39D1" w:rsidP="00D03C29">
      <w:pPr>
        <w:pStyle w:val="libFootnote0"/>
        <w:rPr>
          <w:rtl/>
        </w:rPr>
      </w:pPr>
      <w:r>
        <w:rPr>
          <w:rtl/>
        </w:rPr>
        <w:t>(8).</w:t>
      </w:r>
      <w:r w:rsidRPr="00132E65">
        <w:rPr>
          <w:rtl/>
        </w:rPr>
        <w:t xml:space="preserve"> في </w:t>
      </w:r>
      <w:r w:rsidRPr="00401428">
        <w:rPr>
          <w:rtl/>
        </w:rPr>
        <w:t>شرح المازندراني</w:t>
      </w:r>
      <w:r w:rsidRPr="00132E65">
        <w:rPr>
          <w:rtl/>
        </w:rPr>
        <w:t xml:space="preserve"> : « قوله : الأسفل ، بدل الكلّ من ضمير الغائب في « عليه » ، وهو جائز. أو مفعول فيه‌بتقدير في » ، وفي </w:t>
      </w:r>
      <w:r w:rsidRPr="009D1ACE">
        <w:rPr>
          <w:rStyle w:val="libFootnoteBoldChar"/>
          <w:rtl/>
        </w:rPr>
        <w:t>مرآة العقول</w:t>
      </w:r>
      <w:r w:rsidRPr="00132E65">
        <w:rPr>
          <w:rtl/>
        </w:rPr>
        <w:t xml:space="preserve"> : « الأسفل صفة كتابي »</w:t>
      </w:r>
      <w:r>
        <w:rPr>
          <w:rtl/>
        </w:rPr>
        <w:t>.</w:t>
      </w:r>
      <w:r w:rsidRPr="00132E65">
        <w:rPr>
          <w:rtl/>
        </w:rPr>
        <w:t xml:space="preserve"> وفي </w:t>
      </w:r>
      <w:r w:rsidRPr="009D1ACE">
        <w:rPr>
          <w:rStyle w:val="libFootnoteBoldChar"/>
          <w:rtl/>
        </w:rPr>
        <w:t>الوافي</w:t>
      </w:r>
      <w:r w:rsidRPr="00132E65">
        <w:rPr>
          <w:rtl/>
        </w:rPr>
        <w:t xml:space="preserve"> : « أي ختمت على مطويّة الأسفل »</w:t>
      </w:r>
      <w:r>
        <w:rPr>
          <w:rtl/>
        </w:rPr>
        <w:t>.</w:t>
      </w:r>
      <w:r w:rsidRPr="00132E65">
        <w:rPr>
          <w:rtl/>
        </w:rPr>
        <w:t xml:space="preserve"> وقال في كيفيّة هذا الختم في ذيل حديث آخر : « لعلّ الخواتيم كانت متفرّقة في مطاوي الكتاب بحيث نشرت طائفة من مطاويه ، انتهى النشر إلى خاتم يمنع من نشر ما بعدها من المطاوي إل</w:t>
      </w:r>
      <w:r>
        <w:rPr>
          <w:rFonts w:hint="cs"/>
          <w:rtl/>
        </w:rPr>
        <w:t>ّ</w:t>
      </w:r>
      <w:r>
        <w:rPr>
          <w:rtl/>
        </w:rPr>
        <w:t>ا</w:t>
      </w:r>
      <w:r>
        <w:rPr>
          <w:rFonts w:hint="cs"/>
          <w:rtl/>
        </w:rPr>
        <w:t xml:space="preserve"> </w:t>
      </w:r>
      <w:r w:rsidRPr="00132E65">
        <w:rPr>
          <w:rtl/>
        </w:rPr>
        <w:t>أن يفضّ الخاتم »</w:t>
      </w:r>
      <w:r>
        <w:rPr>
          <w:rtl/>
        </w:rPr>
        <w:t>.</w:t>
      </w:r>
      <w:r w:rsidRPr="00132E65">
        <w:rPr>
          <w:rtl/>
        </w:rPr>
        <w:t xml:space="preserve"> راجع : </w:t>
      </w:r>
      <w:r w:rsidRPr="009D1ACE">
        <w:rPr>
          <w:rStyle w:val="libFootnoteBoldChar"/>
          <w:rtl/>
        </w:rPr>
        <w:t>الوافي</w:t>
      </w:r>
      <w:r w:rsidRPr="00132E65">
        <w:rPr>
          <w:rtl/>
        </w:rPr>
        <w:t xml:space="preserve"> ، ج 2 ، ص 263 ، ح 741.</w:t>
      </w:r>
    </w:p>
    <w:p w:rsidR="000C39D1" w:rsidRPr="00132E65" w:rsidRDefault="000C39D1" w:rsidP="00D03C29">
      <w:pPr>
        <w:pStyle w:val="libFootnote0"/>
        <w:rPr>
          <w:rtl/>
          <w:lang w:bidi="fa-IR"/>
        </w:rPr>
      </w:pPr>
      <w:r>
        <w:rPr>
          <w:rtl/>
        </w:rPr>
        <w:t>(9).</w:t>
      </w:r>
      <w:r w:rsidRPr="00132E65">
        <w:rPr>
          <w:rtl/>
        </w:rPr>
        <w:t xml:space="preserve"> في « ب ، ه‍ </w:t>
      </w:r>
      <w:r w:rsidR="00D03C29" w:rsidRPr="00132E65">
        <w:rPr>
          <w:rtl/>
        </w:rPr>
        <w:t>»</w:t>
      </w:r>
      <w:r w:rsidRPr="00132E65">
        <w:rPr>
          <w:rtl/>
        </w:rPr>
        <w:t xml:space="preserve"> </w:t>
      </w:r>
      <w:r>
        <w:rPr>
          <w:rtl/>
        </w:rPr>
        <w:t xml:space="preserve">: - </w:t>
      </w:r>
      <w:r w:rsidRPr="00132E65">
        <w:rPr>
          <w:rtl/>
        </w:rPr>
        <w:t>« المقرّبين »</w:t>
      </w:r>
      <w:r>
        <w:rPr>
          <w:rtl/>
        </w:rPr>
        <w:t>.</w:t>
      </w:r>
    </w:p>
    <w:p w:rsidR="000C39D1" w:rsidRPr="00132E65" w:rsidRDefault="000C39D1" w:rsidP="000C39D1">
      <w:pPr>
        <w:pStyle w:val="libFootnote0"/>
        <w:rPr>
          <w:rtl/>
          <w:lang w:bidi="fa-IR"/>
        </w:rPr>
      </w:pPr>
      <w:r>
        <w:rPr>
          <w:rtl/>
        </w:rPr>
        <w:t>(10).</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 « من » ، وهو مقتضى أعمّيّة المسلمين.</w:t>
      </w:r>
    </w:p>
    <w:p w:rsidR="000C39D1" w:rsidRPr="00132E65" w:rsidRDefault="000C39D1" w:rsidP="000C39D1">
      <w:pPr>
        <w:pStyle w:val="libFootnote0"/>
        <w:rPr>
          <w:rtl/>
          <w:lang w:bidi="fa-IR"/>
        </w:rPr>
      </w:pPr>
      <w:r>
        <w:rPr>
          <w:rtl/>
        </w:rPr>
        <w:t>(11).</w:t>
      </w:r>
      <w:r w:rsidRPr="00132E65">
        <w:rPr>
          <w:rtl/>
        </w:rPr>
        <w:t xml:space="preserve"> في « بد ، جو ، بل » : « علي »</w:t>
      </w:r>
      <w:r>
        <w:rPr>
          <w:rtl/>
        </w:rPr>
        <w:t>.</w:t>
      </w:r>
      <w:r w:rsidRPr="00132E65">
        <w:rPr>
          <w:rtl/>
        </w:rPr>
        <w:t xml:space="preserve"> وقرأه في </w:t>
      </w:r>
      <w:r w:rsidRPr="009D1ACE">
        <w:rPr>
          <w:rStyle w:val="libFootnoteBoldChar"/>
          <w:rtl/>
        </w:rPr>
        <w:t>الوافي</w:t>
      </w:r>
      <w:r w:rsidRPr="00132E65">
        <w:rPr>
          <w:rtl/>
        </w:rPr>
        <w:t xml:space="preserve"> : عليّ اسماً ، ثمّ قال : « يعني لا يفضّه غيره »</w:t>
      </w:r>
      <w:r>
        <w:rPr>
          <w:rtl/>
        </w:rPr>
        <w:t>.</w:t>
      </w:r>
      <w:r w:rsidRPr="00132E65">
        <w:rPr>
          <w:rtl/>
        </w:rPr>
        <w:t xml:space="preserve"> وعدّه المجلسي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فَضَّ </w:t>
      </w:r>
      <w:r>
        <w:rPr>
          <w:rStyle w:val="libFootnotenumChar"/>
          <w:rtl/>
        </w:rPr>
        <w:t>(1)</w:t>
      </w:r>
      <w:r w:rsidRPr="00132E65">
        <w:rPr>
          <w:rtl/>
          <w:lang w:bidi="fa-IR"/>
        </w:rPr>
        <w:t xml:space="preserve"> كِتَابِي هذَا. وكَتَبَ وخَتَمَ </w:t>
      </w:r>
      <w:r>
        <w:rPr>
          <w:rStyle w:val="libFootnotenumChar"/>
          <w:rtl/>
        </w:rPr>
        <w:t>(2)</w:t>
      </w:r>
      <w:r w:rsidRPr="00132E65">
        <w:rPr>
          <w:rtl/>
          <w:lang w:bidi="fa-IR"/>
        </w:rPr>
        <w:t xml:space="preserve"> أَبُو إِبْرَاهِيمَ والشُّهُودُ ، وصَلَّى اللهُ عَلى مُحَمَّدٍ وَ</w:t>
      </w:r>
      <w:r>
        <w:rPr>
          <w:rFonts w:hint="cs"/>
          <w:rtl/>
          <w:lang w:bidi="fa-IR"/>
        </w:rPr>
        <w:t xml:space="preserve"> </w:t>
      </w:r>
      <w:r>
        <w:rPr>
          <w:rStyle w:val="libFootnotenumChar"/>
          <w:rtl/>
        </w:rPr>
        <w:t>(3)</w:t>
      </w:r>
      <w:r w:rsidRPr="00132E65">
        <w:rPr>
          <w:rtl/>
          <w:lang w:bidi="fa-IR"/>
        </w:rPr>
        <w:t xml:space="preserve"> آلِهِ </w:t>
      </w:r>
      <w:r>
        <w:rPr>
          <w:rStyle w:val="libFootnotenumChar"/>
          <w:rtl/>
        </w:rPr>
        <w:t>(4)</w:t>
      </w:r>
      <w:r w:rsidRPr="00132E65">
        <w:rPr>
          <w:rtl/>
          <w:lang w:bidi="fa-IR"/>
        </w:rPr>
        <w:t xml:space="preserve"> »</w:t>
      </w:r>
      <w:r>
        <w:rPr>
          <w:rtl/>
          <w:lang w:bidi="fa-IR"/>
        </w:rPr>
        <w:t>.</w:t>
      </w:r>
    </w:p>
    <w:p w:rsidR="000C39D1" w:rsidRPr="00132E65" w:rsidRDefault="000C39D1" w:rsidP="000C39D1">
      <w:pPr>
        <w:pStyle w:val="libNormal"/>
        <w:rPr>
          <w:rtl/>
          <w:lang w:bidi="fa-IR"/>
        </w:rPr>
      </w:pPr>
      <w:r>
        <w:rPr>
          <w:rFonts w:hint="cs"/>
          <w:rtl/>
          <w:lang w:bidi="fa-IR"/>
        </w:rPr>
        <w:t xml:space="preserve">* </w:t>
      </w:r>
      <w:r w:rsidRPr="00132E65">
        <w:rPr>
          <w:rtl/>
          <w:lang w:bidi="fa-IR"/>
        </w:rPr>
        <w:t xml:space="preserve">قَالَ أَبُو الْحَكَمِ : فَحَدَّثَنِي عَبْدُ اللهِ بْنُ إِبْرَاهِيمَ الْجَعْفَرِيُّ </w:t>
      </w:r>
      <w:r>
        <w:rPr>
          <w:rStyle w:val="libFootnotenumChar"/>
          <w:rtl/>
        </w:rPr>
        <w:t>(5)</w:t>
      </w:r>
      <w:r w:rsidRPr="00132E65">
        <w:rPr>
          <w:rtl/>
          <w:lang w:bidi="fa-IR"/>
        </w:rPr>
        <w:t xml:space="preserve"> ، عَنْ يَزِيدَ بْنِ سَلِيطٍ ، قَالَ :</w:t>
      </w:r>
    </w:p>
    <w:p w:rsidR="000C39D1" w:rsidRPr="00132E65" w:rsidRDefault="000C39D1" w:rsidP="000C39D1">
      <w:pPr>
        <w:pStyle w:val="libNormal"/>
        <w:rPr>
          <w:rtl/>
          <w:lang w:bidi="fa-IR"/>
        </w:rPr>
      </w:pPr>
      <w:r w:rsidRPr="00132E65">
        <w:rPr>
          <w:rtl/>
          <w:lang w:bidi="fa-IR"/>
        </w:rPr>
        <w:t xml:space="preserve">كَانَ أَبُو عِمْرَانَ الطَّلْحِيُّ قَاضِيَ الْمَدِينَةِ ، فَلَمَّا مَضى مُوسى </w:t>
      </w:r>
      <w:r w:rsidRPr="00071CF9">
        <w:rPr>
          <w:rStyle w:val="libAlaemChar"/>
          <w:rtl/>
        </w:rPr>
        <w:t>عليه‌السلام</w:t>
      </w:r>
      <w:r w:rsidRPr="00132E65">
        <w:rPr>
          <w:rtl/>
          <w:lang w:bidi="fa-IR"/>
        </w:rPr>
        <w:t xml:space="preserve"> قَدَّمَهُ إِخْوَتُهُ </w:t>
      </w:r>
      <w:r>
        <w:rPr>
          <w:rStyle w:val="libFootnotenumChar"/>
          <w:rtl/>
        </w:rPr>
        <w:t>(6)</w:t>
      </w:r>
      <w:r w:rsidRPr="00132E65">
        <w:rPr>
          <w:rtl/>
          <w:lang w:bidi="fa-IR"/>
        </w:rPr>
        <w:t xml:space="preserve"> إِلَى الطَّلْحِيِّ الْقَاضِي ، فَقَالَ الْعَبَّاسُ بْنُ مُوسى : أَصْلَحَكَ اللهُ وأَمْتَعَ بِكَ </w:t>
      </w:r>
      <w:r>
        <w:rPr>
          <w:rStyle w:val="libFootnotenumChar"/>
          <w:rtl/>
        </w:rPr>
        <w:t>(7)</w:t>
      </w:r>
      <w:r w:rsidRPr="00132E65">
        <w:rPr>
          <w:rtl/>
          <w:lang w:bidi="fa-IR"/>
        </w:rPr>
        <w:t xml:space="preserve"> ، إِنَّ فِي أَسْفَلِ هذَا الْكِتَابِ كَنْزاً وجَوْهَراً ، ويُرِيدُ أَنْ يَحْتَجِبَهُ ويَأْخُذَهُ دُونَنَا ، ولَمْ يَدَعْ أَبُونَا</w:t>
      </w:r>
      <w:r>
        <w:rPr>
          <w:rtl/>
          <w:lang w:bidi="fa-IR"/>
        </w:rPr>
        <w:t xml:space="preserve"> - </w:t>
      </w:r>
      <w:r w:rsidRPr="00132E65">
        <w:rPr>
          <w:rtl/>
          <w:lang w:bidi="fa-IR"/>
        </w:rPr>
        <w:t xml:space="preserve">رَحِمَهُ اللهُ </w:t>
      </w:r>
      <w:r>
        <w:rPr>
          <w:rStyle w:val="libFootnotenumChar"/>
          <w:rtl/>
        </w:rPr>
        <w:t>(8)</w:t>
      </w:r>
      <w:r>
        <w:rPr>
          <w:rtl/>
          <w:lang w:bidi="fa-IR"/>
        </w:rPr>
        <w:t xml:space="preserve"> - شَيْئاً إِل</w:t>
      </w:r>
      <w:r>
        <w:rPr>
          <w:rFonts w:hint="cs"/>
          <w:rtl/>
          <w:lang w:bidi="fa-IR"/>
        </w:rPr>
        <w:t>َّ</w:t>
      </w:r>
      <w:r>
        <w:rPr>
          <w:rtl/>
          <w:lang w:bidi="fa-IR"/>
        </w:rPr>
        <w:t>ا</w:t>
      </w:r>
      <w:r w:rsidRPr="00132E65">
        <w:rPr>
          <w:rtl/>
          <w:lang w:bidi="fa-IR"/>
        </w:rPr>
        <w:t xml:space="preserve"> أَلْجَأَهُ إِلَيْهِ </w:t>
      </w:r>
      <w:r>
        <w:rPr>
          <w:rStyle w:val="libFootnotenumChar"/>
          <w:rtl/>
        </w:rPr>
        <w:t>(9)</w:t>
      </w:r>
      <w:r w:rsidRPr="00132E65">
        <w:rPr>
          <w:rtl/>
          <w:lang w:bidi="fa-IR"/>
        </w:rPr>
        <w:t xml:space="preserve"> ، وتَرَكَنَا عَالَةً </w:t>
      </w:r>
      <w:r>
        <w:rPr>
          <w:rStyle w:val="libFootnotenumChar"/>
          <w:rtl/>
        </w:rPr>
        <w:t>(10)</w:t>
      </w:r>
      <w:r w:rsidRPr="00132E65">
        <w:rPr>
          <w:rtl/>
          <w:lang w:bidi="fa-IR"/>
        </w:rPr>
        <w:t xml:space="preserve"> ، ولَوْ لَا</w:t>
      </w:r>
      <w:r>
        <w:rPr>
          <w:rFonts w:hint="cs"/>
          <w:rtl/>
          <w:lang w:bidi="fa-IR"/>
        </w:rPr>
        <w:t xml:space="preserve"> </w:t>
      </w:r>
      <w:r w:rsidRPr="00132E65">
        <w:rPr>
          <w:rtl/>
          <w:lang w:bidi="fa-IR"/>
        </w:rPr>
        <w:t>أَنِّي أَكُفُّ نَفْسِي ، لَأَخْبَرْتُكَ بِشَيْ‌ءٍ عَلى رُؤُوسِ‌</w:t>
      </w:r>
      <w:r>
        <w:rPr>
          <w:rFonts w:hint="cs"/>
          <w:rtl/>
          <w:lang w:bidi="fa-IR"/>
        </w:rPr>
        <w:t xml:space="preserve">  </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في </w:t>
      </w:r>
      <w:r w:rsidRPr="009D1ACE">
        <w:rPr>
          <w:rStyle w:val="libFootnoteBoldChar"/>
          <w:rtl/>
        </w:rPr>
        <w:t>مرآة العقول</w:t>
      </w:r>
      <w:r w:rsidRPr="00132E65">
        <w:rPr>
          <w:rtl/>
        </w:rPr>
        <w:t xml:space="preserve"> ممكناً. ثمّ قال : « أي هو الذي يجوز أن يفضّ كتابي هذا »</w:t>
      </w:r>
      <w:r>
        <w:rPr>
          <w:rtl/>
        </w:rPr>
        <w:t>.</w:t>
      </w:r>
      <w:r w:rsidRPr="00132E65">
        <w:rPr>
          <w:rtl/>
        </w:rPr>
        <w:t xml:space="preserve"> وهو بعيدٌ بقرينة « فضّ » الماضي.</w:t>
      </w:r>
    </w:p>
    <w:p w:rsidR="000C39D1" w:rsidRPr="00132E65" w:rsidRDefault="000C39D1" w:rsidP="000C39D1">
      <w:pPr>
        <w:pStyle w:val="libFootnote0"/>
        <w:rPr>
          <w:rtl/>
          <w:lang w:bidi="fa-IR"/>
        </w:rPr>
      </w:pPr>
      <w:r>
        <w:rPr>
          <w:rtl/>
        </w:rPr>
        <w:t>(1).</w:t>
      </w:r>
      <w:r w:rsidRPr="00132E65">
        <w:rPr>
          <w:rtl/>
        </w:rPr>
        <w:t xml:space="preserve"> في « بح » : « قصّ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وكتب وختم ، هذا كلامه على سبيل الالتفات ، أو كلام يزيد »</w:t>
      </w:r>
      <w:r>
        <w:rPr>
          <w:rtl/>
        </w:rPr>
        <w:t>.</w:t>
      </w:r>
    </w:p>
    <w:p w:rsidR="000C39D1" w:rsidRPr="00132E65" w:rsidRDefault="000C39D1" w:rsidP="000C39D1">
      <w:pPr>
        <w:pStyle w:val="libFootnote0"/>
        <w:rPr>
          <w:rtl/>
          <w:lang w:bidi="fa-IR"/>
        </w:rPr>
      </w:pPr>
      <w:r>
        <w:rPr>
          <w:rtl/>
        </w:rPr>
        <w:t>(3).</w:t>
      </w:r>
      <w:r w:rsidRPr="00132E65">
        <w:rPr>
          <w:rtl/>
        </w:rPr>
        <w:t xml:space="preserve"> هكذا في « ض ، بح ، بر ، بف » و</w:t>
      </w:r>
      <w:r w:rsidRPr="009D1ACE">
        <w:rPr>
          <w:rStyle w:val="libFootnoteBoldChar"/>
          <w:rtl/>
        </w:rPr>
        <w:t>الوافي</w:t>
      </w:r>
      <w:r w:rsidRPr="00132E65">
        <w:rPr>
          <w:rtl/>
        </w:rPr>
        <w:t>. وفي سائر النسخ والمطبوع :</w:t>
      </w:r>
      <w:r>
        <w:rPr>
          <w:rtl/>
        </w:rPr>
        <w:t xml:space="preserve"> + </w:t>
      </w:r>
      <w:r w:rsidRPr="00132E65">
        <w:rPr>
          <w:rtl/>
        </w:rPr>
        <w:t>« على »</w:t>
      </w:r>
      <w:r>
        <w:rPr>
          <w:rtl/>
        </w:rPr>
        <w:t>.</w:t>
      </w:r>
      <w:r w:rsidRPr="00132E65">
        <w:rPr>
          <w:rtl/>
        </w:rPr>
        <w:t xml:space="preserve"> وصدوره لتقيّة غير بعيد.</w:t>
      </w:r>
    </w:p>
    <w:p w:rsidR="000C39D1" w:rsidRPr="00132E65" w:rsidRDefault="000C39D1" w:rsidP="00D03C29">
      <w:pPr>
        <w:pStyle w:val="libFootnote0"/>
        <w:rPr>
          <w:rtl/>
          <w:lang w:bidi="fa-IR"/>
        </w:rPr>
      </w:pPr>
      <w:r>
        <w:rPr>
          <w:rtl/>
        </w:rPr>
        <w:t>(4).</w:t>
      </w:r>
      <w:r w:rsidRPr="00132E65">
        <w:rPr>
          <w:rtl/>
        </w:rPr>
        <w:t xml:space="preserve"> في « ه‍ </w:t>
      </w:r>
      <w:r w:rsidR="00D03C29" w:rsidRPr="00132E65">
        <w:rPr>
          <w:rtl/>
        </w:rPr>
        <w:t>»</w:t>
      </w:r>
      <w:r w:rsidRPr="00132E65">
        <w:rPr>
          <w:rtl/>
        </w:rPr>
        <w:t xml:space="preserve"> :</w:t>
      </w:r>
      <w:r>
        <w:rPr>
          <w:rtl/>
        </w:rPr>
        <w:t xml:space="preserve"> + </w:t>
      </w:r>
      <w:r w:rsidRPr="00132E65">
        <w:rPr>
          <w:rtl/>
        </w:rPr>
        <w:t>« الطيّبين »</w:t>
      </w:r>
      <w:r>
        <w:rPr>
          <w:rtl/>
        </w:rPr>
        <w:t>.</w:t>
      </w:r>
    </w:p>
    <w:p w:rsidR="000C39D1" w:rsidRPr="00132E65" w:rsidRDefault="000C39D1" w:rsidP="000C39D1">
      <w:pPr>
        <w:pStyle w:val="libFootnote0"/>
        <w:rPr>
          <w:rtl/>
          <w:lang w:bidi="fa-IR"/>
        </w:rPr>
      </w:pPr>
      <w:r>
        <w:rPr>
          <w:rtl/>
        </w:rPr>
        <w:t>(5).</w:t>
      </w:r>
      <w:r w:rsidRPr="00132E65">
        <w:rPr>
          <w:rtl/>
        </w:rPr>
        <w:t xml:space="preserve"> هكذا في حاشية « بح ، بف »</w:t>
      </w:r>
      <w:r>
        <w:rPr>
          <w:rtl/>
        </w:rPr>
        <w:t>.</w:t>
      </w:r>
      <w:r w:rsidRPr="00132E65">
        <w:rPr>
          <w:rtl/>
        </w:rPr>
        <w:t xml:space="preserve"> وفي « ألف ، ب ، ج ، ض ، و، بر ، بس ، بف » والمطبوع : « عبدالله بن آدم الجعفري »</w:t>
      </w:r>
      <w:r>
        <w:rPr>
          <w:rtl/>
        </w:rPr>
        <w:t>.</w:t>
      </w:r>
      <w:r w:rsidRPr="00132E65">
        <w:rPr>
          <w:rtl/>
        </w:rPr>
        <w:t xml:space="preserve"> وفي « ف ، بح » و</w:t>
      </w:r>
      <w:r w:rsidRPr="009D1ACE">
        <w:rPr>
          <w:rStyle w:val="libFootnoteBoldChar"/>
          <w:rtl/>
        </w:rPr>
        <w:t>الوافي</w:t>
      </w:r>
      <w:r w:rsidRPr="00132E65">
        <w:rPr>
          <w:rtl/>
        </w:rPr>
        <w:t xml:space="preserve"> : « أبو عبد الله بن آدم الجعفري »</w:t>
      </w:r>
      <w:r>
        <w:rPr>
          <w:rtl/>
        </w:rPr>
        <w:t>.</w:t>
      </w:r>
    </w:p>
    <w:p w:rsidR="000C39D1" w:rsidRPr="00132E65" w:rsidRDefault="000C39D1" w:rsidP="000C39D1">
      <w:pPr>
        <w:pStyle w:val="libFootnote0"/>
        <w:rPr>
          <w:rtl/>
          <w:lang w:bidi="fa-IR"/>
        </w:rPr>
      </w:pPr>
      <w:r w:rsidRPr="00F24C1F">
        <w:rPr>
          <w:rtl/>
        </w:rPr>
        <w:t xml:space="preserve">والصواب ما أثبتناه ؛ فقد تقدّم الراوي في نفس الخبر بعنوان « عبد الله بن إبراهيم الجعفري » ، وفي الخبر السابق بعنوان « عبد الله بن إبراهيم بن عليّ بن عبد الله بن جعفر بن أبي طالب ». وذكر في كتب الأنساب والرجال بعنوان « عبد الله بن إبراهيم بن محمّد بن علي بن عبد الله بن جعفر بن أبي طالب ». راجع : </w:t>
      </w:r>
      <w:r w:rsidRPr="00401428">
        <w:rPr>
          <w:rtl/>
        </w:rPr>
        <w:t>تهذيب الأنساب</w:t>
      </w:r>
      <w:r w:rsidRPr="00F24C1F">
        <w:rPr>
          <w:rtl/>
        </w:rPr>
        <w:t xml:space="preserve"> ، ص 306 ؛ </w:t>
      </w:r>
      <w:r w:rsidRPr="00401428">
        <w:rPr>
          <w:rtl/>
        </w:rPr>
        <w:t xml:space="preserve">رجال النجاشي </w:t>
      </w:r>
      <w:r w:rsidRPr="00F24C1F">
        <w:rPr>
          <w:rtl/>
        </w:rPr>
        <w:t>، ص 216 ، الرقم 562.</w:t>
      </w:r>
    </w:p>
    <w:p w:rsidR="000C39D1" w:rsidRPr="00132E65" w:rsidRDefault="000C39D1" w:rsidP="000C39D1">
      <w:pPr>
        <w:pStyle w:val="libFootnote0"/>
        <w:rPr>
          <w:rtl/>
          <w:lang w:bidi="fa-IR"/>
        </w:rPr>
      </w:pPr>
      <w:r>
        <w:rPr>
          <w:rtl/>
        </w:rPr>
        <w:t>(6).</w:t>
      </w:r>
      <w:r w:rsidRPr="00132E65">
        <w:rPr>
          <w:rtl/>
        </w:rPr>
        <w:t xml:space="preserve"> في </w:t>
      </w:r>
      <w:r w:rsidRPr="00401428">
        <w:rPr>
          <w:rtl/>
        </w:rPr>
        <w:t>شرح المازندراني</w:t>
      </w:r>
      <w:r w:rsidRPr="00132E65">
        <w:rPr>
          <w:rtl/>
        </w:rPr>
        <w:t xml:space="preserve"> : « قوله : قدمه إخوته ، قَدَمه يقدمه من باب نصر ، أي تقدّمه. والمراد إزعاجه إلى‌القاضي »</w:t>
      </w:r>
      <w:r>
        <w:rPr>
          <w:rtl/>
        </w:rPr>
        <w:t>.</w:t>
      </w:r>
    </w:p>
    <w:p w:rsidR="000C39D1" w:rsidRPr="00132E65" w:rsidRDefault="000C39D1" w:rsidP="000C39D1">
      <w:pPr>
        <w:pStyle w:val="libFootnote0"/>
        <w:rPr>
          <w:rtl/>
          <w:lang w:bidi="fa-IR"/>
        </w:rPr>
      </w:pPr>
      <w:r>
        <w:rPr>
          <w:rtl/>
        </w:rPr>
        <w:t>(7).</w:t>
      </w:r>
      <w:r w:rsidRPr="00132E65">
        <w:rPr>
          <w:rtl/>
        </w:rPr>
        <w:t xml:space="preserve"> يقال : أمتعه الله تعالى بكذا ، أي أبقاه ليستمتع به. ويقال : أمتع الله فلاناً بفلان إمتاعاً ، أي أبقاه ليستمتع به فيمايحبّ من الانتفاع به والسرور بمكانه. وكذا متّعه. راجع : </w:t>
      </w:r>
      <w:r w:rsidRPr="009D1ACE">
        <w:rPr>
          <w:rStyle w:val="libFootnoteBoldChar"/>
          <w:rtl/>
        </w:rPr>
        <w:t>لسان العرب</w:t>
      </w:r>
      <w:r w:rsidRPr="00132E65">
        <w:rPr>
          <w:rtl/>
        </w:rPr>
        <w:t xml:space="preserve"> ، ج 8 ، ص 331 ( متع )</w:t>
      </w:r>
      <w:r>
        <w:rPr>
          <w:rtl/>
        </w:rPr>
        <w:t>.</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الرحيم »</w:t>
      </w:r>
      <w:r>
        <w:rPr>
          <w:rtl/>
        </w:rPr>
        <w:t>.</w:t>
      </w:r>
    </w:p>
    <w:p w:rsidR="000C39D1" w:rsidRPr="00132E65" w:rsidRDefault="000C39D1" w:rsidP="000C39D1">
      <w:pPr>
        <w:pStyle w:val="libFootnote0"/>
        <w:rPr>
          <w:rtl/>
          <w:lang w:bidi="fa-IR"/>
        </w:rPr>
      </w:pPr>
      <w:r>
        <w:rPr>
          <w:rtl/>
        </w:rPr>
        <w:t>(9).</w:t>
      </w:r>
      <w:r w:rsidRPr="00132E65">
        <w:rPr>
          <w:rtl/>
        </w:rPr>
        <w:t xml:space="preserve"> « ألجأه إليه » ، أي أسنده إليه وجعله له. راجع : </w:t>
      </w:r>
      <w:r w:rsidRPr="00401428">
        <w:rPr>
          <w:rtl/>
        </w:rPr>
        <w:t>الصحاح</w:t>
      </w:r>
      <w:r w:rsidRPr="00132E65">
        <w:rPr>
          <w:rtl/>
        </w:rPr>
        <w:t xml:space="preserve"> ، ج 1 ، ص 71 ( لجأ )</w:t>
      </w:r>
      <w:r>
        <w:rPr>
          <w:rtl/>
        </w:rPr>
        <w:t>.</w:t>
      </w:r>
    </w:p>
    <w:p w:rsidR="000C39D1" w:rsidRPr="00132E65" w:rsidRDefault="000C39D1" w:rsidP="000C39D1">
      <w:pPr>
        <w:pStyle w:val="libFootnote0"/>
        <w:rPr>
          <w:rtl/>
          <w:lang w:bidi="fa-IR"/>
        </w:rPr>
      </w:pPr>
      <w:r>
        <w:rPr>
          <w:rtl/>
        </w:rPr>
        <w:t>(10).</w:t>
      </w:r>
      <w:r w:rsidRPr="00132E65">
        <w:rPr>
          <w:rtl/>
        </w:rPr>
        <w:t xml:space="preserve"> « العالة » : جمع العائل ، وهو الفقير ، أو كثير العيال. راجع : </w:t>
      </w:r>
      <w:r w:rsidRPr="009D1ACE">
        <w:rPr>
          <w:rStyle w:val="libFootnoteBoldChar"/>
          <w:rtl/>
        </w:rPr>
        <w:t>لسان العرب</w:t>
      </w:r>
      <w:r w:rsidRPr="00132E65">
        <w:rPr>
          <w:rtl/>
        </w:rPr>
        <w:t xml:space="preserve"> ، ج 11 ، ص 482 ( عول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الْمَلَا </w:t>
      </w:r>
      <w:r>
        <w:rPr>
          <w:rStyle w:val="libFootnotenumChar"/>
          <w:rtl/>
        </w:rPr>
        <w:t>(1)</w:t>
      </w:r>
      <w:r w:rsidRPr="00132E65">
        <w:rPr>
          <w:rtl/>
          <w:lang w:bidi="fa-IR"/>
        </w:rPr>
        <w:t xml:space="preserve"> ، فَوَثَبَ إِلَيْهِ إِبْرَاهِيمُ بْنُ مُحَمَّدٍ ، فَقَالَ : إِذاً </w:t>
      </w:r>
      <w:r>
        <w:rPr>
          <w:rStyle w:val="libFootnotenumChar"/>
          <w:rtl/>
        </w:rPr>
        <w:t>(2)</w:t>
      </w:r>
      <w:r w:rsidRPr="00132E65">
        <w:rPr>
          <w:rtl/>
          <w:lang w:bidi="fa-IR"/>
        </w:rPr>
        <w:t xml:space="preserve"> واللهِ تُخْبِرُ </w:t>
      </w:r>
      <w:r>
        <w:rPr>
          <w:rStyle w:val="libFootnotenumChar"/>
          <w:rtl/>
        </w:rPr>
        <w:t>(3)</w:t>
      </w:r>
      <w:r w:rsidRPr="00132E65">
        <w:rPr>
          <w:rtl/>
          <w:lang w:bidi="fa-IR"/>
        </w:rPr>
        <w:t xml:space="preserve"> بِمَا لَانَقْبَلُهُ مِنْكَ ولَا نُصَدِّقُكَ عَلَيْهِ ، ثُمَّ تَكُونُ عِنْدَنَا مَلُوماً مَدْحُوراً </w:t>
      </w:r>
      <w:r>
        <w:rPr>
          <w:rStyle w:val="libFootnotenumChar"/>
          <w:rtl/>
        </w:rPr>
        <w:t>(4)</w:t>
      </w:r>
      <w:r w:rsidRPr="00132E65">
        <w:rPr>
          <w:rtl/>
          <w:lang w:bidi="fa-IR"/>
        </w:rPr>
        <w:t xml:space="preserve"> ؛ نَعْرِفُكَ بِالْكَذِبِ صَغِيراً وكَبِيراً ، وكَانَ أَبُوكَ أَعْرَفَ بِكَ لَوْ كَانَ فِيكَ خَيْرٌ ، </w:t>
      </w:r>
      <w:r>
        <w:rPr>
          <w:rStyle w:val="libFootnotenumChar"/>
          <w:rtl/>
        </w:rPr>
        <w:t>(5)</w:t>
      </w:r>
      <w:r w:rsidRPr="00132E65">
        <w:rPr>
          <w:rtl/>
          <w:lang w:bidi="fa-IR"/>
        </w:rPr>
        <w:t xml:space="preserve"> وإِنْ </w:t>
      </w:r>
      <w:r>
        <w:rPr>
          <w:rStyle w:val="libFootnotenumChar"/>
          <w:rtl/>
        </w:rPr>
        <w:t>(6)</w:t>
      </w:r>
      <w:r w:rsidRPr="00132E65">
        <w:rPr>
          <w:rtl/>
          <w:lang w:bidi="fa-IR"/>
        </w:rPr>
        <w:t xml:space="preserve"> كَانَ أَبُوكَ لَعَارِفاً بِكَ </w:t>
      </w:r>
      <w:r>
        <w:rPr>
          <w:rStyle w:val="libFootnotenumChar"/>
          <w:rtl/>
        </w:rPr>
        <w:t>(7)</w:t>
      </w:r>
      <w:r w:rsidRPr="00132E65">
        <w:rPr>
          <w:rtl/>
          <w:lang w:bidi="fa-IR"/>
        </w:rPr>
        <w:t xml:space="preserve"> فِي الظَّاهِرِ والْبَاطِنِ ، وَمَا كَانَ لِيَأْمَنَكَ عَلى تَمْرَتَيْنِ.</w:t>
      </w:r>
    </w:p>
    <w:p w:rsidR="000C39D1" w:rsidRPr="00132E65" w:rsidRDefault="000C39D1" w:rsidP="000C39D1">
      <w:pPr>
        <w:pStyle w:val="libNormal"/>
        <w:rPr>
          <w:rtl/>
          <w:lang w:bidi="fa-IR"/>
        </w:rPr>
      </w:pPr>
      <w:r w:rsidRPr="00132E65">
        <w:rPr>
          <w:rtl/>
          <w:lang w:bidi="fa-IR"/>
        </w:rPr>
        <w:t xml:space="preserve">ثُمَّ وثَبَ إِلَيْهِ إِسْحَاقُ بْنُ جَعْفَرٍ عَمُّهُ ، فَأَخَذَ بِتَلْبِيبِهِ </w:t>
      </w:r>
      <w:r>
        <w:rPr>
          <w:rStyle w:val="libFootnotenumChar"/>
          <w:rtl/>
        </w:rPr>
        <w:t>(8)</w:t>
      </w:r>
      <w:r w:rsidRPr="00132E65">
        <w:rPr>
          <w:rtl/>
          <w:lang w:bidi="fa-IR"/>
        </w:rPr>
        <w:t xml:space="preserve"> ، فَقَالَ لَهُ </w:t>
      </w:r>
      <w:r>
        <w:rPr>
          <w:rStyle w:val="libFootnotenumChar"/>
          <w:rtl/>
        </w:rPr>
        <w:t>(9)</w:t>
      </w:r>
      <w:r w:rsidRPr="00132E65">
        <w:rPr>
          <w:rtl/>
          <w:lang w:bidi="fa-IR"/>
        </w:rPr>
        <w:t xml:space="preserve"> : إِنَّكَ لَسَفِيهٌ ضَعِيفٌ أَحْمَقُ ، اجْمَعْ </w:t>
      </w:r>
      <w:r>
        <w:rPr>
          <w:rStyle w:val="libFootnotenumChar"/>
          <w:rtl/>
        </w:rPr>
        <w:t>(10)</w:t>
      </w:r>
      <w:r w:rsidRPr="00132E65">
        <w:rPr>
          <w:rtl/>
          <w:lang w:bidi="fa-IR"/>
        </w:rPr>
        <w:t xml:space="preserve"> هذَا مَعَ مَا كَانَ بِالْأَمْسِ مِنْكَ ، وأَعَانَهُ الْقَوْمُ أَجْمَعُونَ.</w:t>
      </w:r>
    </w:p>
    <w:p w:rsidR="000C39D1" w:rsidRPr="00132E65" w:rsidRDefault="000C39D1" w:rsidP="000C39D1">
      <w:pPr>
        <w:pStyle w:val="libNormal"/>
        <w:rPr>
          <w:rtl/>
          <w:lang w:bidi="fa-IR"/>
        </w:rPr>
      </w:pPr>
      <w:r w:rsidRPr="00132E65">
        <w:rPr>
          <w:rtl/>
          <w:lang w:bidi="fa-IR"/>
        </w:rPr>
        <w:t xml:space="preserve">فَقَالَ أَبُو عِمْرَانَ </w:t>
      </w:r>
      <w:r>
        <w:rPr>
          <w:rStyle w:val="libFootnotenumChar"/>
          <w:rtl/>
        </w:rPr>
        <w:t>(11)</w:t>
      </w:r>
      <w:r w:rsidRPr="00132E65">
        <w:rPr>
          <w:rtl/>
          <w:lang w:bidi="fa-IR"/>
        </w:rPr>
        <w:t xml:space="preserve"> الْقَاضِي لِعَلِيٍّ : قُمْ يَا أَبَا الْحَسَنِ ، حَسْبِي مَا لَعَنَنِي أَبُوكَ الْيَوْمَ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قال ابن الأثير : « ال</w:t>
      </w:r>
      <w:r>
        <w:rPr>
          <w:rFonts w:hint="cs"/>
          <w:rtl/>
        </w:rPr>
        <w:t>ـ</w:t>
      </w:r>
      <w:r w:rsidRPr="00132E65">
        <w:rPr>
          <w:rtl/>
        </w:rPr>
        <w:t>مَلَأ : أشراف الناس ورؤساؤهم ، ومقدَّموهم الذين يُرْجَع إلى قولهم. وجمعه : أمْلاء »</w:t>
      </w:r>
      <w:r>
        <w:rPr>
          <w:rtl/>
        </w:rPr>
        <w:t>.</w:t>
      </w:r>
      <w:r w:rsidRPr="00132E65">
        <w:rPr>
          <w:rtl/>
        </w:rPr>
        <w:t xml:space="preserve"> </w:t>
      </w:r>
      <w:r w:rsidRPr="00401428">
        <w:rPr>
          <w:rtl/>
        </w:rPr>
        <w:t>النهاية</w:t>
      </w:r>
      <w:r w:rsidRPr="00132E65">
        <w:rPr>
          <w:rtl/>
        </w:rPr>
        <w:t xml:space="preserve"> ، ج 4 ، ص 351 ( ملأ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إذاً بالتنوين ، أي حين تخبر بشي‌ء. وهي من نواصب المضارع. ويجوز الفصل بينها وبين منصوبها بالقسم. وتخبر منصوب بها »</w:t>
      </w:r>
      <w:r>
        <w:rPr>
          <w:rtl/>
        </w:rPr>
        <w:t>.</w:t>
      </w:r>
      <w:r w:rsidRPr="00132E65">
        <w:rPr>
          <w:rtl/>
        </w:rPr>
        <w:t xml:space="preserve"> واتّفقت النسخ على تنوين « إذاً »</w:t>
      </w:r>
      <w:r>
        <w:rPr>
          <w:rtl/>
        </w:rPr>
        <w:t>.</w:t>
      </w:r>
    </w:p>
    <w:p w:rsidR="000C39D1" w:rsidRPr="00132E65" w:rsidRDefault="000C39D1" w:rsidP="000C39D1">
      <w:pPr>
        <w:pStyle w:val="libFootnote0"/>
        <w:rPr>
          <w:rtl/>
          <w:lang w:bidi="fa-IR"/>
        </w:rPr>
      </w:pPr>
      <w:r>
        <w:rPr>
          <w:rtl/>
        </w:rPr>
        <w:t>(3).</w:t>
      </w:r>
      <w:r w:rsidRPr="00132E65">
        <w:rPr>
          <w:rtl/>
        </w:rPr>
        <w:t xml:space="preserve"> في حاشية « بف » و</w:t>
      </w:r>
      <w:r w:rsidRPr="009D1ACE">
        <w:rPr>
          <w:rStyle w:val="libFootnoteBoldChar"/>
          <w:rtl/>
        </w:rPr>
        <w:t>الوافي</w:t>
      </w:r>
      <w:r w:rsidRPr="00132E65">
        <w:rPr>
          <w:rtl/>
        </w:rPr>
        <w:t xml:space="preserve"> : « تخبرنا »</w:t>
      </w:r>
      <w:r>
        <w:rPr>
          <w:rtl/>
        </w:rPr>
        <w:t>.</w:t>
      </w:r>
    </w:p>
    <w:p w:rsidR="000C39D1" w:rsidRPr="00132E65" w:rsidRDefault="000C39D1" w:rsidP="000C39D1">
      <w:pPr>
        <w:pStyle w:val="libFootnote0"/>
        <w:rPr>
          <w:rtl/>
          <w:lang w:bidi="fa-IR"/>
        </w:rPr>
      </w:pPr>
      <w:r>
        <w:rPr>
          <w:rtl/>
        </w:rPr>
        <w:t>(4).</w:t>
      </w:r>
      <w:r w:rsidRPr="00132E65">
        <w:rPr>
          <w:rtl/>
        </w:rPr>
        <w:t xml:space="preserve"> « المدحور » : المطرود من الدُحُور بمعنى الطرد والإبعاد. وقال ابن الأثير : « الدَحْرُ : الدفع بعُنف على سبيل‌الإهانة والإذلال »</w:t>
      </w:r>
      <w:r>
        <w:rPr>
          <w:rtl/>
        </w:rPr>
        <w:t>.</w:t>
      </w:r>
      <w:r w:rsidRPr="00132E65">
        <w:rPr>
          <w:rtl/>
        </w:rPr>
        <w:t xml:space="preserve"> راجع : </w:t>
      </w:r>
      <w:r w:rsidRPr="00401428">
        <w:rPr>
          <w:rtl/>
        </w:rPr>
        <w:t>الصحاح</w:t>
      </w:r>
      <w:r w:rsidRPr="00132E65">
        <w:rPr>
          <w:rtl/>
        </w:rPr>
        <w:t xml:space="preserve"> ، ج 2 ، ص 655 ؛ </w:t>
      </w:r>
      <w:r w:rsidRPr="00401428">
        <w:rPr>
          <w:rtl/>
        </w:rPr>
        <w:t>النهاية</w:t>
      </w:r>
      <w:r w:rsidRPr="00132E65">
        <w:rPr>
          <w:rtl/>
        </w:rPr>
        <w:t xml:space="preserve"> ، ج 2 ، ص 103 ( دحر )</w:t>
      </w:r>
      <w:r>
        <w:rPr>
          <w:rtl/>
        </w:rPr>
        <w:t>.</w:t>
      </w:r>
    </w:p>
    <w:p w:rsidR="000C39D1" w:rsidRPr="00132E65" w:rsidRDefault="000C39D1" w:rsidP="000C39D1">
      <w:pPr>
        <w:pStyle w:val="libFootnote0"/>
        <w:rPr>
          <w:rtl/>
          <w:lang w:bidi="fa-IR"/>
        </w:rPr>
      </w:pPr>
      <w:r>
        <w:rPr>
          <w:rtl/>
        </w:rPr>
        <w:t>(5).</w:t>
      </w:r>
      <w:r w:rsidRPr="00132E65">
        <w:rPr>
          <w:rtl/>
        </w:rPr>
        <w:t xml:space="preserve"> هكذا في « ج ، ض ، بس » والبحار. وفي سائر النسخ والمطبوع : « خيراً » ، وهو كما ترى.</w:t>
      </w:r>
    </w:p>
    <w:p w:rsidR="000C39D1" w:rsidRPr="00132E65" w:rsidRDefault="000C39D1" w:rsidP="000C39D1">
      <w:pPr>
        <w:pStyle w:val="libFootnote0"/>
        <w:rPr>
          <w:rtl/>
          <w:lang w:bidi="fa-IR"/>
        </w:rPr>
      </w:pPr>
      <w:r>
        <w:rPr>
          <w:rtl/>
        </w:rPr>
        <w:t>(6).</w:t>
      </w:r>
      <w:r w:rsidRPr="00132E65">
        <w:rPr>
          <w:rtl/>
        </w:rPr>
        <w:t xml:space="preserve"> في « بر ،</w:t>
      </w:r>
      <w:r>
        <w:rPr>
          <w:rtl/>
        </w:rPr>
        <w:t xml:space="preserve"> و »</w:t>
      </w:r>
      <w:r w:rsidRPr="00132E65">
        <w:rPr>
          <w:rtl/>
        </w:rPr>
        <w:t xml:space="preserve"> : « وأن »</w:t>
      </w:r>
      <w:r>
        <w:rPr>
          <w:rtl/>
        </w:rPr>
        <w:t>.</w:t>
      </w:r>
      <w:r w:rsidRPr="00132E65">
        <w:rPr>
          <w:rtl/>
        </w:rPr>
        <w:t xml:space="preserve"> وفي </w:t>
      </w:r>
      <w:r w:rsidRPr="00401428">
        <w:rPr>
          <w:rtl/>
        </w:rPr>
        <w:t>شرح المازندراني</w:t>
      </w:r>
      <w:r w:rsidRPr="00132E65">
        <w:rPr>
          <w:rtl/>
        </w:rPr>
        <w:t xml:space="preserve"> : « إن مخفّفة من المثقّلة المكسورة ويلزمها اللام ، ويجوز دخولها على كان وأخواته »</w:t>
      </w:r>
      <w:r>
        <w:rPr>
          <w:rtl/>
        </w:rPr>
        <w:t>.</w:t>
      </w:r>
    </w:p>
    <w:p w:rsidR="000C39D1" w:rsidRPr="00132E65" w:rsidRDefault="000C39D1" w:rsidP="000C39D1">
      <w:pPr>
        <w:pStyle w:val="libFootnote0"/>
        <w:rPr>
          <w:rtl/>
          <w:lang w:bidi="fa-IR"/>
        </w:rPr>
      </w:pPr>
      <w:r>
        <w:rPr>
          <w:rtl/>
        </w:rPr>
        <w:t>(7).</w:t>
      </w:r>
      <w:r w:rsidRPr="00132E65">
        <w:rPr>
          <w:rtl/>
        </w:rPr>
        <w:t xml:space="preserve"> في « ف » : « فإنّه يعرفك » بدل « وإن كان أبوك لعارفاً بك »</w:t>
      </w:r>
      <w:r>
        <w:rPr>
          <w:rtl/>
        </w:rPr>
        <w:t>.</w:t>
      </w:r>
    </w:p>
    <w:p w:rsidR="000C39D1" w:rsidRPr="00132E65" w:rsidRDefault="000C39D1" w:rsidP="000C39D1">
      <w:pPr>
        <w:pStyle w:val="libFootnote0"/>
        <w:rPr>
          <w:rtl/>
          <w:lang w:bidi="fa-IR"/>
        </w:rPr>
      </w:pPr>
      <w:r>
        <w:rPr>
          <w:rtl/>
        </w:rPr>
        <w:t>(8).</w:t>
      </w:r>
      <w:r w:rsidRPr="00132E65">
        <w:rPr>
          <w:rtl/>
        </w:rPr>
        <w:t xml:space="preserve"> قال ابن الأثير : « لَبَبْتُ الرجلَ ولَبَّبْتُهُ ، إذا جعلت في عنقه ثوباً أو غيره وجَرَرْته به. وأخذتُ بتلبيب فلان ، إذاجمعتَ عليه ثوبه الذي هو لابسه وقبضت عليه تجرّه. والتلبيب : مَجْمَع ما في موضع اللَبَب من ثياب الرجل »</w:t>
      </w:r>
      <w:r>
        <w:rPr>
          <w:rtl/>
        </w:rPr>
        <w:t>.</w:t>
      </w:r>
      <w:r w:rsidRPr="00132E65">
        <w:rPr>
          <w:rtl/>
        </w:rPr>
        <w:t xml:space="preserve"> </w:t>
      </w:r>
      <w:r w:rsidRPr="00401428">
        <w:rPr>
          <w:rtl/>
        </w:rPr>
        <w:t>النهاية</w:t>
      </w:r>
      <w:r w:rsidRPr="00132E65">
        <w:rPr>
          <w:rtl/>
        </w:rPr>
        <w:t xml:space="preserve"> ، ج 4 ، ص 223 ( لبب )</w:t>
      </w:r>
      <w:r>
        <w:rPr>
          <w:rtl/>
        </w:rPr>
        <w:t>.</w:t>
      </w:r>
      <w:r>
        <w:rPr>
          <w:rFonts w:hint="cs"/>
          <w:rtl/>
        </w:rPr>
        <w:t xml:space="preserve">                                     </w:t>
      </w:r>
      <w:r>
        <w:rPr>
          <w:rtl/>
        </w:rPr>
        <w:t>(9).</w:t>
      </w:r>
      <w:r w:rsidRPr="00132E65">
        <w:rPr>
          <w:rtl/>
        </w:rPr>
        <w:t xml:space="preserve"> في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401428">
        <w:rPr>
          <w:rtl/>
        </w:rPr>
        <w:t>شرح المازندراني</w:t>
      </w:r>
      <w:r w:rsidRPr="00132E65">
        <w:rPr>
          <w:rtl/>
        </w:rPr>
        <w:t xml:space="preserve"> : ولعلّ الهمزة للاستفهام على سبيل التوبيخ بكسر المنازعة ، والجمع بالضمّ بمعنى المجموع كالذخر بمعنى المذخور » ، وفي </w:t>
      </w:r>
      <w:r w:rsidRPr="009D1ACE">
        <w:rPr>
          <w:rStyle w:val="libFootnoteBoldChar"/>
          <w:rtl/>
        </w:rPr>
        <w:t>الوافي</w:t>
      </w:r>
      <w:r w:rsidRPr="00132E65">
        <w:rPr>
          <w:rtl/>
        </w:rPr>
        <w:t xml:space="preserve"> : « أجمع ، تأكيد » ، وفي </w:t>
      </w:r>
      <w:r w:rsidRPr="009D1ACE">
        <w:rPr>
          <w:rStyle w:val="libFootnoteBoldChar"/>
          <w:rtl/>
        </w:rPr>
        <w:t>مرآة العقول</w:t>
      </w:r>
      <w:r w:rsidRPr="00132E65">
        <w:rPr>
          <w:rtl/>
        </w:rPr>
        <w:t xml:space="preserve"> : « ويمكن أن يقرأ أجمع على صيغة المتكلّم »</w:t>
      </w:r>
      <w:r>
        <w:rPr>
          <w:rtl/>
        </w:rPr>
        <w:t>.</w:t>
      </w:r>
    </w:p>
    <w:p w:rsidR="000C39D1" w:rsidRPr="00132E65" w:rsidRDefault="000C39D1" w:rsidP="000C39D1">
      <w:pPr>
        <w:pStyle w:val="libFootnote0"/>
        <w:rPr>
          <w:rtl/>
          <w:lang w:bidi="fa-IR"/>
        </w:rPr>
      </w:pPr>
      <w:r>
        <w:rPr>
          <w:rtl/>
        </w:rPr>
        <w:t>(11).</w:t>
      </w:r>
      <w:r w:rsidRPr="00132E65">
        <w:rPr>
          <w:rtl/>
        </w:rPr>
        <w:t xml:space="preserve"> في « ب ، ه‍ ، ف ، بف ، بس » وحاشية بدرالدين : « ابن عمران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الوافي</w:t>
      </w:r>
      <w:r w:rsidRPr="00132E65">
        <w:rPr>
          <w:rtl/>
        </w:rPr>
        <w:t xml:space="preserve"> : « لمّا رأى القاضي مكتوباً في أعلى الكتاب « لعن الله من فضّه » خاف على نفسه أن يلجئوه إلى الفضّ ، فقال : قم يا أبا</w:t>
      </w:r>
      <w:r>
        <w:rPr>
          <w:rFonts w:hint="cs"/>
          <w:rtl/>
        </w:rPr>
        <w:t xml:space="preserve"> </w:t>
      </w:r>
      <w:r w:rsidRPr="00132E65">
        <w:rPr>
          <w:rtl/>
        </w:rPr>
        <w:t>الحسن ، فإنّي أخاف أن أفضّ الكتاب ، فينالني لعن أبيك وكفاني ذلك شقاءً وبُعداً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وَقَدْ وسَّعَ لَكَ أَبُوكَ ، ولَاوَ اللهِ ، مَا أَحَدٌ أَعْرَفَ بِالْوَلَدِ مِنْ والِدِهِ ، ولَاوَ اللهِ ، مَا كَانَ أَبُوكَ عِنْدَنَا بِمُسْتَخَفٍّ فِي عَقْلِهِ ، ولَاضَعِيفٍ فِي رَأْيِهِ.</w:t>
      </w:r>
    </w:p>
    <w:p w:rsidR="000C39D1" w:rsidRPr="00132E65" w:rsidRDefault="000C39D1" w:rsidP="000C39D1">
      <w:pPr>
        <w:pStyle w:val="libNormal"/>
        <w:rPr>
          <w:rtl/>
          <w:lang w:bidi="fa-IR"/>
        </w:rPr>
      </w:pPr>
      <w:r w:rsidRPr="00132E65">
        <w:rPr>
          <w:rtl/>
          <w:lang w:bidi="fa-IR"/>
        </w:rPr>
        <w:t xml:space="preserve">فَقَالَ الْعَبَّاسُ لِلْقَاضِي : أَصْلَحَكَ اللهُ ، فُضَّ الْخَاتَمَ واقْرَأْ مَا تَحْتَهُ ، فَقَالَ أَبُو عِمْرَانَ </w:t>
      </w:r>
      <w:r>
        <w:rPr>
          <w:rStyle w:val="libFootnotenumChar"/>
          <w:rtl/>
        </w:rPr>
        <w:t>(1)</w:t>
      </w:r>
      <w:r w:rsidRPr="00132E65">
        <w:rPr>
          <w:rtl/>
          <w:lang w:bidi="fa-IR"/>
        </w:rPr>
        <w:t xml:space="preserve"> : لَا</w:t>
      </w:r>
      <w:r>
        <w:rPr>
          <w:rFonts w:hint="cs"/>
          <w:rtl/>
          <w:lang w:bidi="fa-IR"/>
        </w:rPr>
        <w:t xml:space="preserve"> </w:t>
      </w:r>
      <w:r w:rsidRPr="00132E65">
        <w:rPr>
          <w:rtl/>
          <w:lang w:bidi="fa-IR"/>
        </w:rPr>
        <w:t xml:space="preserve">أَفُضُّهُ ، حَسْبِي مَا لَعَنَنِي أَبُوكَ مُنْذُ </w:t>
      </w:r>
      <w:r>
        <w:rPr>
          <w:rStyle w:val="libFootnotenumChar"/>
          <w:rtl/>
        </w:rPr>
        <w:t>(2)</w:t>
      </w:r>
      <w:r w:rsidRPr="00132E65">
        <w:rPr>
          <w:rtl/>
          <w:lang w:bidi="fa-IR"/>
        </w:rPr>
        <w:t xml:space="preserve"> الْيَوْمِ ، فَقَالَ الْعَبَّاسُ : فَأَنَا </w:t>
      </w:r>
      <w:r>
        <w:rPr>
          <w:rStyle w:val="libFootnotenumChar"/>
          <w:rtl/>
        </w:rPr>
        <w:t>(3)</w:t>
      </w:r>
      <w:r w:rsidRPr="00132E65">
        <w:rPr>
          <w:rtl/>
          <w:lang w:bidi="fa-IR"/>
        </w:rPr>
        <w:t xml:space="preserve"> أَفُضُّهُ ، فَقَالَ : ذَاكَ </w:t>
      </w:r>
      <w:r>
        <w:rPr>
          <w:rStyle w:val="libFootnotenumChar"/>
          <w:rtl/>
        </w:rPr>
        <w:t>(4)</w:t>
      </w:r>
      <w:r w:rsidRPr="00132E65">
        <w:rPr>
          <w:rtl/>
          <w:lang w:bidi="fa-IR"/>
        </w:rPr>
        <w:t xml:space="preserve"> إِلَيْكَ ، فَفَضَّ الْعَبَّاسُ الْخَاتَمَ ، فَإِذَا فِيهِ إِخْرَاجُهُمْ وإِقْرَارُ عَلِيٍّ لَهَا </w:t>
      </w:r>
      <w:r>
        <w:rPr>
          <w:rStyle w:val="libFootnotenumChar"/>
          <w:rtl/>
        </w:rPr>
        <w:t>(5)</w:t>
      </w:r>
      <w:r w:rsidRPr="00132E65">
        <w:rPr>
          <w:rtl/>
          <w:lang w:bidi="fa-IR"/>
        </w:rPr>
        <w:t xml:space="preserve"> وحْدَهُ ، وَإِدْخَالُهُ إِيَّاهُمْ فِي ولَايَةِ </w:t>
      </w:r>
      <w:r>
        <w:rPr>
          <w:rStyle w:val="libFootnotenumChar"/>
          <w:rtl/>
        </w:rPr>
        <w:t>(6)</w:t>
      </w:r>
      <w:r w:rsidRPr="00132E65">
        <w:rPr>
          <w:rtl/>
          <w:lang w:bidi="fa-IR"/>
        </w:rPr>
        <w:t xml:space="preserve"> عَلِيٍّ إِنْ أَحَبُّوا أَوْ كَرِهُوا ، وإِخْرَاجُهُمْ مِنْ حَدِّ </w:t>
      </w:r>
      <w:r>
        <w:rPr>
          <w:rStyle w:val="libFootnotenumChar"/>
          <w:rtl/>
        </w:rPr>
        <w:t>(7)</w:t>
      </w:r>
      <w:r w:rsidRPr="00132E65">
        <w:rPr>
          <w:rtl/>
          <w:lang w:bidi="fa-IR"/>
        </w:rPr>
        <w:t xml:space="preserve"> الصَّدَقَةِ وَغَيْرِهَا ، وكَانَ فَتْحُهُ عَلَيْهِمْ بَلَاءً وفَضِيحَةً وذِلَّةً ، ولِعَلِيٍّ </w:t>
      </w:r>
      <w:r w:rsidRPr="00071CF9">
        <w:rPr>
          <w:rStyle w:val="libAlaemChar"/>
          <w:rtl/>
        </w:rPr>
        <w:t>عليه‌السلام</w:t>
      </w:r>
      <w:r w:rsidRPr="00132E65">
        <w:rPr>
          <w:rtl/>
          <w:lang w:bidi="fa-IR"/>
        </w:rPr>
        <w:t xml:space="preserve"> خِيَرَةً.</w:t>
      </w:r>
    </w:p>
    <w:p w:rsidR="000C39D1" w:rsidRPr="00132E65" w:rsidRDefault="000C39D1" w:rsidP="000C39D1">
      <w:pPr>
        <w:pStyle w:val="libNormal"/>
        <w:rPr>
          <w:rtl/>
          <w:lang w:bidi="fa-IR"/>
        </w:rPr>
      </w:pPr>
      <w:r w:rsidRPr="00132E65">
        <w:rPr>
          <w:rtl/>
          <w:lang w:bidi="fa-IR"/>
        </w:rPr>
        <w:t>وَكَانَ فِي الْوَصِيَّةِ الَّتِي فَضَّ الْعَبَّاسُ تَحْتَ الْخَاتَمِ : هؤُلَاءِ الشُّهُودُ :</w:t>
      </w:r>
      <w:r>
        <w:rPr>
          <w:rFonts w:hint="cs"/>
          <w:rtl/>
          <w:lang w:bidi="fa-IR"/>
        </w:rPr>
        <w:t xml:space="preserve"> </w:t>
      </w:r>
      <w:r w:rsidRPr="00132E65">
        <w:rPr>
          <w:rtl/>
          <w:lang w:bidi="fa-IR"/>
        </w:rPr>
        <w:t xml:space="preserve">إِبْرَاهِيمُ بْنُ مُحَمَّدٍ ، وإِسْحَاقُ بْنُ جَعْفَرٍ ، وجَعْفَرُ بْنُ صَالِحٍ ، وسَعِيدُ </w:t>
      </w:r>
      <w:r>
        <w:rPr>
          <w:rStyle w:val="libFootnotenumChar"/>
          <w:rtl/>
        </w:rPr>
        <w:t>(8)</w:t>
      </w:r>
      <w:r w:rsidRPr="00132E65">
        <w:rPr>
          <w:rtl/>
          <w:lang w:bidi="fa-IR"/>
        </w:rPr>
        <w:t xml:space="preserve"> بْنُ عِمْرَانَ ؛ وَأَبْرَزُوا وجْهَ أُمِّ أَحْمَدَ فِي مَجْلِسِ الْقَاضِي ، وادَّعَوْا أَنَّهَا لَيْسَتْ إِيَّاهَا حَتّى كَشَفُوا عَنْهَا وَعَرَفُوهَا ، فَقَالَتْ عِنْدَ ذلِكَ : قَدْ واللهِ ، قَالَ سَيِّدِي هذَا : إِنَّكِ سَتُؤْخَذِينَ جَبْراً ، وَتُخْرَجِينَ إِلَى الْمَجَالِسِ ؛ فَزَجَرَهَا إِسْحَاقُ بْنُ جَعْفَرٍ ، وقَالَ : اسْكُتِي </w:t>
      </w:r>
      <w:r>
        <w:rPr>
          <w:rStyle w:val="libFootnotenumChar"/>
          <w:rtl/>
        </w:rPr>
        <w:t>(9)</w:t>
      </w:r>
      <w:r w:rsidRPr="00132E65">
        <w:rPr>
          <w:rtl/>
          <w:lang w:bidi="fa-IR"/>
        </w:rPr>
        <w:t xml:space="preserve"> ؛ فَإِنَّ النِّسَاءَ إِلَى الضَّعْفِ ، مَا أَظُنُّهُ قَالَ مِنْ هذَا شَيْئاً.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ه‍ ، بس ، بف » : « ابن عمران »</w:t>
      </w:r>
      <w:r>
        <w:rPr>
          <w:rtl/>
        </w:rPr>
        <w:t>.</w:t>
      </w:r>
    </w:p>
    <w:p w:rsidR="000C39D1" w:rsidRPr="00132E65" w:rsidRDefault="000C39D1" w:rsidP="000C39D1">
      <w:pPr>
        <w:pStyle w:val="libFootnote0"/>
        <w:rPr>
          <w:rtl/>
          <w:lang w:bidi="fa-IR"/>
        </w:rPr>
      </w:pPr>
      <w:r>
        <w:rPr>
          <w:rtl/>
        </w:rPr>
        <w:t>(2).</w:t>
      </w:r>
      <w:r w:rsidRPr="00132E65">
        <w:rPr>
          <w:rtl/>
        </w:rPr>
        <w:t xml:space="preserve"> هكذا في النسخ التي قوبلت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وفي المطبوع </w:t>
      </w:r>
      <w:r>
        <w:rPr>
          <w:rtl/>
        </w:rPr>
        <w:t xml:space="preserve">: - </w:t>
      </w:r>
      <w:r w:rsidRPr="00132E65">
        <w:rPr>
          <w:rtl/>
        </w:rPr>
        <w:t>« منذ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ض » : « أنا »</w:t>
            </w:r>
            <w:r>
              <w:rPr>
                <w:rtl/>
              </w:rPr>
              <w:t>.</w:t>
            </w:r>
            <w:r w:rsidRPr="00132E65">
              <w:rPr>
                <w:rtl/>
              </w:rPr>
              <w:t xml:space="preserve"> وفي « ف » : « وأنا »</w:t>
            </w:r>
            <w:r>
              <w:rPr>
                <w:rtl/>
              </w:rPr>
              <w:t>.</w:t>
            </w:r>
          </w:p>
        </w:tc>
        <w:tc>
          <w:tcPr>
            <w:tcW w:w="4006" w:type="dxa"/>
          </w:tcPr>
          <w:p w:rsidR="000C39D1" w:rsidRDefault="000C39D1" w:rsidP="00B53873">
            <w:pPr>
              <w:pStyle w:val="libFootnote0"/>
              <w:rPr>
                <w:rtl/>
              </w:rPr>
            </w:pPr>
            <w:r>
              <w:rPr>
                <w:rtl/>
              </w:rPr>
              <w:t>(4). في«ب،ف،بح،بس،بف</w:t>
            </w:r>
            <w:r w:rsidRPr="00132E65">
              <w:rPr>
                <w:rtl/>
              </w:rPr>
              <w:t>» و</w:t>
            </w:r>
            <w:r w:rsidRPr="009D1ACE">
              <w:rPr>
                <w:rStyle w:val="libFootnoteBoldChar"/>
                <w:rtl/>
              </w:rPr>
              <w:t>الوافي</w:t>
            </w:r>
            <w:r w:rsidRPr="00132E65">
              <w:rPr>
                <w:rtl/>
              </w:rPr>
              <w:t xml:space="preserve"> : « ذلك »</w:t>
            </w:r>
            <w:r>
              <w:rPr>
                <w:rtl/>
              </w:rPr>
              <w:t>.</w:t>
            </w:r>
          </w:p>
        </w:tc>
      </w:tr>
    </w:tbl>
    <w:p w:rsidR="000C39D1" w:rsidRPr="00132E65" w:rsidRDefault="000C39D1" w:rsidP="000C39D1">
      <w:pPr>
        <w:pStyle w:val="libFootnote0"/>
        <w:rPr>
          <w:rtl/>
          <w:lang w:bidi="fa-IR"/>
        </w:rPr>
      </w:pPr>
      <w:r>
        <w:rPr>
          <w:rtl/>
        </w:rPr>
        <w:t>(5).</w:t>
      </w:r>
      <w:r w:rsidRPr="00132E65">
        <w:rPr>
          <w:rtl/>
        </w:rPr>
        <w:t xml:space="preserve"> في البحار : « بها »</w:t>
      </w:r>
      <w:r>
        <w:rPr>
          <w:rtl/>
        </w:rPr>
        <w:t>.</w:t>
      </w:r>
    </w:p>
    <w:p w:rsidR="000C39D1" w:rsidRPr="00132E65" w:rsidRDefault="000C39D1" w:rsidP="000C39D1">
      <w:pPr>
        <w:pStyle w:val="libFootnote0"/>
        <w:rPr>
          <w:rtl/>
          <w:lang w:bidi="fa-IR"/>
        </w:rPr>
      </w:pPr>
      <w:r>
        <w:rPr>
          <w:rtl/>
        </w:rPr>
        <w:t>(6).</w:t>
      </w:r>
      <w:r w:rsidRPr="00132E65">
        <w:rPr>
          <w:rtl/>
        </w:rPr>
        <w:t xml:space="preserve"> « الوِلاية » </w:t>
      </w:r>
      <w:r>
        <w:rPr>
          <w:rtl/>
        </w:rPr>
        <w:t>و «</w:t>
      </w:r>
      <w:r w:rsidRPr="00132E65">
        <w:rPr>
          <w:rtl/>
        </w:rPr>
        <w:t xml:space="preserve"> الوَلاية » : نحو الدِلالة والدَلالة. وحقيقته تولّي الأمر. أي كونه وليّاً ووالياً عليهم ، أو في كونهم‌تابعين له. راجع : </w:t>
      </w:r>
      <w:r w:rsidRPr="006C159C">
        <w:rPr>
          <w:rtl/>
        </w:rPr>
        <w:t>المفردات</w:t>
      </w:r>
      <w:r w:rsidRPr="00132E65">
        <w:rPr>
          <w:rtl/>
        </w:rPr>
        <w:t xml:space="preserve"> للراغب ، ص 885 ( ولى ) ؛ </w:t>
      </w:r>
      <w:r w:rsidRPr="009D1ACE">
        <w:rPr>
          <w:rStyle w:val="libFootnoteBoldChar"/>
          <w:rtl/>
        </w:rPr>
        <w:t>مرآة العقول</w:t>
      </w:r>
      <w:r w:rsidRPr="00132E65">
        <w:rPr>
          <w:rtl/>
        </w:rPr>
        <w:t xml:space="preserve"> ، ج 3 ، ص 366.</w:t>
      </w:r>
    </w:p>
    <w:p w:rsidR="000C39D1" w:rsidRPr="00132E65" w:rsidRDefault="000C39D1" w:rsidP="000C39D1">
      <w:pPr>
        <w:pStyle w:val="libFootnote0"/>
        <w:rPr>
          <w:rtl/>
          <w:lang w:bidi="fa-IR"/>
        </w:rPr>
      </w:pPr>
      <w:r>
        <w:rPr>
          <w:rtl/>
        </w:rPr>
        <w:t>(7).</w:t>
      </w:r>
      <w:r w:rsidRPr="00132E65">
        <w:rPr>
          <w:rtl/>
        </w:rPr>
        <w:t xml:space="preserve"> في « ف » : « أخذ »</w:t>
      </w:r>
      <w:r>
        <w:rPr>
          <w:rtl/>
        </w:rPr>
        <w:t>.</w:t>
      </w:r>
    </w:p>
    <w:p w:rsidR="000C39D1" w:rsidRPr="00132E65" w:rsidRDefault="000C39D1" w:rsidP="000C39D1">
      <w:pPr>
        <w:pStyle w:val="libFootnote0"/>
        <w:rPr>
          <w:rtl/>
          <w:lang w:bidi="fa-IR"/>
        </w:rPr>
      </w:pPr>
      <w:r>
        <w:rPr>
          <w:rtl/>
        </w:rPr>
        <w:t>(8).</w:t>
      </w:r>
      <w:r w:rsidRPr="00132E65">
        <w:rPr>
          <w:rtl/>
        </w:rPr>
        <w:t xml:space="preserve"> تقدّم في صدر الخبر بعنوان « سعد بن عمران الأنصاري » وأحد العنوانين محرّف من الآخر ظاهراً ، بل يمكن‌أن يكون كلا العنوانين محرَّفاً ويكون الصواب سعد بن أبي عمران الأنصاري المذكور في </w:t>
      </w:r>
      <w:r w:rsidRPr="006C159C">
        <w:rPr>
          <w:rtl/>
        </w:rPr>
        <w:t>رجال الطوسي</w:t>
      </w:r>
      <w:r w:rsidRPr="00132E65">
        <w:rPr>
          <w:rtl/>
        </w:rPr>
        <w:t xml:space="preserve"> ، ص 338 ، الرقم 5034. وراجع : </w:t>
      </w:r>
      <w:r w:rsidRPr="009D1ACE">
        <w:rPr>
          <w:rStyle w:val="libFootnoteBoldChar"/>
          <w:rtl/>
        </w:rPr>
        <w:t>مرآة العقول</w:t>
      </w:r>
      <w:r w:rsidRPr="00132E65">
        <w:rPr>
          <w:rtl/>
        </w:rPr>
        <w:t xml:space="preserve"> ، ج 3 ، ص 367.</w:t>
      </w:r>
    </w:p>
    <w:p w:rsidR="000C39D1" w:rsidRPr="00132E65" w:rsidRDefault="000C39D1" w:rsidP="000C39D1">
      <w:pPr>
        <w:pStyle w:val="libFootnote0"/>
        <w:rPr>
          <w:rtl/>
          <w:lang w:bidi="fa-IR"/>
        </w:rPr>
      </w:pPr>
      <w:r>
        <w:rPr>
          <w:rtl/>
        </w:rPr>
        <w:t>(9).</w:t>
      </w:r>
      <w:r w:rsidRPr="00132E65">
        <w:rPr>
          <w:rtl/>
        </w:rPr>
        <w:t xml:space="preserve"> في « ب ، بف » : « اسكني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ثُمَّ إِنَّ عَلِيّاً </w:t>
      </w:r>
      <w:r w:rsidRPr="00071CF9">
        <w:rPr>
          <w:rStyle w:val="libAlaemChar"/>
          <w:rtl/>
        </w:rPr>
        <w:t>عليه‌السلام</w:t>
      </w:r>
      <w:r w:rsidRPr="00132E65">
        <w:rPr>
          <w:rtl/>
          <w:lang w:bidi="fa-IR"/>
        </w:rPr>
        <w:t xml:space="preserve"> الْتَفَتَ إِلَى الْعَبَّاسِ ، فَقَالَ : « يَا أَخِي ، إِنِّي </w:t>
      </w:r>
      <w:r>
        <w:rPr>
          <w:rStyle w:val="libFootnotenumChar"/>
          <w:rtl/>
        </w:rPr>
        <w:t>(1)</w:t>
      </w:r>
      <w:r w:rsidRPr="00132E65">
        <w:rPr>
          <w:rtl/>
          <w:lang w:bidi="fa-IR"/>
        </w:rPr>
        <w:t xml:space="preserve"> أَعْلَمُ أَنَّهُ </w:t>
      </w:r>
      <w:r>
        <w:rPr>
          <w:rStyle w:val="libFootnotenumChar"/>
          <w:rtl/>
        </w:rPr>
        <w:t>(2)</w:t>
      </w:r>
      <w:r w:rsidRPr="00132E65">
        <w:rPr>
          <w:rtl/>
          <w:lang w:bidi="fa-IR"/>
        </w:rPr>
        <w:t xml:space="preserve"> إِنَّمَا حَمَلَكُمْ عَلى هذِهِ </w:t>
      </w:r>
      <w:r>
        <w:rPr>
          <w:rStyle w:val="libFootnotenumChar"/>
          <w:rtl/>
        </w:rPr>
        <w:t>(3)</w:t>
      </w:r>
      <w:r w:rsidRPr="00132E65">
        <w:rPr>
          <w:rtl/>
          <w:lang w:bidi="fa-IR"/>
        </w:rPr>
        <w:t xml:space="preserve"> الْغَرَائِمُ </w:t>
      </w:r>
      <w:r>
        <w:rPr>
          <w:rStyle w:val="libFootnotenumChar"/>
          <w:rtl/>
        </w:rPr>
        <w:t>(4)</w:t>
      </w:r>
      <w:r w:rsidRPr="00132E65">
        <w:rPr>
          <w:rtl/>
          <w:lang w:bidi="fa-IR"/>
        </w:rPr>
        <w:t xml:space="preserve"> والدُّيُونُ الَّتِي عَلَيْكُمْ ، فَانْطَلِقْ يَا سَعِيدُ ، فَتَعَيَّنْ لِي مَا عَلَيْهِمْ </w:t>
      </w:r>
      <w:r>
        <w:rPr>
          <w:rStyle w:val="libFootnotenumChar"/>
          <w:rtl/>
        </w:rPr>
        <w:t>(5)</w:t>
      </w:r>
      <w:r w:rsidRPr="00132E65">
        <w:rPr>
          <w:rtl/>
          <w:lang w:bidi="fa-IR"/>
        </w:rPr>
        <w:t xml:space="preserve"> ، ثُمَّ اقْضِ عَنْهُمْ </w:t>
      </w:r>
      <w:r>
        <w:rPr>
          <w:rStyle w:val="libFootnotenumChar"/>
          <w:rtl/>
        </w:rPr>
        <w:t>(6)</w:t>
      </w:r>
      <w:r w:rsidRPr="00132E65">
        <w:rPr>
          <w:rtl/>
          <w:lang w:bidi="fa-IR"/>
        </w:rPr>
        <w:t xml:space="preserve"> ، ولَاوَ اللهِ ، لَا</w:t>
      </w:r>
      <w:r>
        <w:rPr>
          <w:rFonts w:hint="cs"/>
          <w:rtl/>
          <w:lang w:bidi="fa-IR"/>
        </w:rPr>
        <w:t xml:space="preserve"> </w:t>
      </w:r>
      <w:r w:rsidRPr="00132E65">
        <w:rPr>
          <w:rtl/>
          <w:lang w:bidi="fa-IR"/>
        </w:rPr>
        <w:t xml:space="preserve">أَدَعُ مُؤَاسَاتَكُمْ </w:t>
      </w:r>
      <w:r>
        <w:rPr>
          <w:rStyle w:val="libFootnotenumChar"/>
          <w:rtl/>
        </w:rPr>
        <w:t>(7)</w:t>
      </w:r>
      <w:r w:rsidRPr="00132E65">
        <w:rPr>
          <w:rtl/>
          <w:lang w:bidi="fa-IR"/>
        </w:rPr>
        <w:t xml:space="preserve"> وبِرَّكُمْ مَا مَشَيْتُ عَلَى الْأَرْضِ ، فَقُولُوا مَا شِئْتُمْ »</w:t>
      </w:r>
      <w:r>
        <w:rPr>
          <w:rtl/>
          <w:lang w:bidi="fa-IR"/>
        </w:rPr>
        <w:t>.</w:t>
      </w:r>
    </w:p>
    <w:p w:rsidR="000C39D1" w:rsidRPr="00132E65" w:rsidRDefault="000C39D1" w:rsidP="000C39D1">
      <w:pPr>
        <w:pStyle w:val="libNormal"/>
        <w:rPr>
          <w:rtl/>
          <w:lang w:bidi="fa-IR"/>
        </w:rPr>
      </w:pPr>
      <w:r w:rsidRPr="00132E65">
        <w:rPr>
          <w:rtl/>
          <w:lang w:bidi="fa-IR"/>
        </w:rPr>
        <w:t>فَقَالَ الْ</w:t>
      </w:r>
      <w:r>
        <w:rPr>
          <w:rtl/>
          <w:lang w:bidi="fa-IR"/>
        </w:rPr>
        <w:t>عَبَّاسُ : مَا تُعْطِينَا إِل</w:t>
      </w:r>
      <w:r>
        <w:rPr>
          <w:rFonts w:hint="cs"/>
          <w:rtl/>
          <w:lang w:bidi="fa-IR"/>
        </w:rPr>
        <w:t>َّ</w:t>
      </w:r>
      <w:r>
        <w:rPr>
          <w:rtl/>
          <w:lang w:bidi="fa-IR"/>
        </w:rPr>
        <w:t>ا</w:t>
      </w:r>
      <w:r w:rsidRPr="00132E65">
        <w:rPr>
          <w:rtl/>
          <w:lang w:bidi="fa-IR"/>
        </w:rPr>
        <w:t xml:space="preserve"> مِنْ فُضُولِ أَمْوَالِنَا ، ومَا لَنَا </w:t>
      </w:r>
      <w:r>
        <w:rPr>
          <w:rStyle w:val="libFootnotenumChar"/>
          <w:rtl/>
        </w:rPr>
        <w:t>(8)</w:t>
      </w:r>
      <w:r w:rsidRPr="00132E65">
        <w:rPr>
          <w:rtl/>
          <w:lang w:bidi="fa-IR"/>
        </w:rPr>
        <w:t xml:space="preserve"> عِنْدَكَ أَكْثَرُ ، فَقَالَ : « قُولُوا مَا شِئْتُمْ ، فَالْعِرْضُ عِرْضُكُمْ </w:t>
      </w:r>
      <w:r>
        <w:rPr>
          <w:rStyle w:val="libFootnotenumChar"/>
          <w:rtl/>
        </w:rPr>
        <w:t>(9)</w:t>
      </w:r>
      <w:r w:rsidRPr="00132E65">
        <w:rPr>
          <w:rtl/>
          <w:lang w:bidi="fa-IR"/>
        </w:rPr>
        <w:t xml:space="preserve"> ، فَإِنْ تُحْسِنُوا فَذَاكَ لَكُمْ عِنْدَ اللهِ ، وإِنْ تُسِيئُوا فَإِنَّ اللهَ غَفُورٌ رَحِيمٌ ؛ و</w:t>
      </w:r>
      <w:r>
        <w:rPr>
          <w:rFonts w:hint="cs"/>
          <w:rtl/>
          <w:lang w:bidi="fa-IR"/>
        </w:rPr>
        <w:t xml:space="preserve">َ </w:t>
      </w:r>
      <w:r w:rsidRPr="00132E65">
        <w:rPr>
          <w:rtl/>
          <w:lang w:bidi="fa-IR"/>
        </w:rPr>
        <w:t xml:space="preserve">اللهِ ، إِنَّكُمْ لَتَعْرِفُونَ أَنَّهُ مَا لِي يَوْمِي هذَا ولَدٌ ولَاوَارِثٌ غَيْرُكُمْ ، ولَئِنْ حَبَسْتُ شَيْئاً مِمَّا تَظُنُّونَ ، أَوِ ادَّخَرْتُهُ </w:t>
      </w:r>
      <w:r>
        <w:rPr>
          <w:rStyle w:val="libFootnotenumChar"/>
          <w:rtl/>
        </w:rPr>
        <w:t>(10)</w:t>
      </w:r>
      <w:r w:rsidRPr="00132E65">
        <w:rPr>
          <w:rtl/>
          <w:lang w:bidi="fa-IR"/>
        </w:rPr>
        <w:t xml:space="preserve"> ، فَإِنَّمَا هُوَ لَكُمْ ، ومَرْجِعُهُ إِلَيْكُمْ ، واللهِ ، مَا مَلَكْتُ مُنْذُ مَضى أَبُوكُمْ </w:t>
      </w:r>
      <w:r>
        <w:rPr>
          <w:rStyle w:val="libFootnotenumChar"/>
          <w:rtl/>
        </w:rPr>
        <w:t>(11)</w:t>
      </w:r>
      <w:r>
        <w:rPr>
          <w:rtl/>
          <w:lang w:bidi="fa-IR"/>
        </w:rPr>
        <w:t xml:space="preserve"> - </w:t>
      </w:r>
      <w:r w:rsidRPr="00132E65">
        <w:rPr>
          <w:rtl/>
          <w:lang w:bidi="fa-IR"/>
        </w:rPr>
        <w:t>رَضِيَ اللهُ عَنْهُ</w:t>
      </w:r>
      <w:r>
        <w:rPr>
          <w:rtl/>
          <w:lang w:bidi="fa-IR"/>
        </w:rPr>
        <w:t xml:space="preserve"> - شَيْئاً إِل</w:t>
      </w:r>
      <w:r>
        <w:rPr>
          <w:rFonts w:hint="cs"/>
          <w:rtl/>
          <w:lang w:bidi="fa-IR"/>
        </w:rPr>
        <w:t>َّ</w:t>
      </w:r>
      <w:r>
        <w:rPr>
          <w:rtl/>
          <w:lang w:bidi="fa-IR"/>
        </w:rPr>
        <w:t>ا</w:t>
      </w:r>
      <w:r w:rsidRPr="00132E65">
        <w:rPr>
          <w:rtl/>
          <w:lang w:bidi="fa-IR"/>
        </w:rPr>
        <w:t xml:space="preserve"> وقَدْ سَيَّبْتُهُ </w:t>
      </w:r>
      <w:r>
        <w:rPr>
          <w:rStyle w:val="libFootnotenumChar"/>
          <w:rtl/>
        </w:rPr>
        <w:t>(12)</w:t>
      </w:r>
      <w:r w:rsidRPr="00132E65">
        <w:rPr>
          <w:rtl/>
          <w:lang w:bidi="fa-IR"/>
        </w:rPr>
        <w:t xml:space="preserve"> حَيْثُ رَأَيْتُمْ »</w:t>
      </w:r>
      <w:r>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حاشية « ج » والبحار : « أنا »</w:t>
            </w:r>
            <w:r>
              <w:rPr>
                <w:rtl/>
              </w:rPr>
              <w:t>.</w:t>
            </w:r>
          </w:p>
        </w:tc>
        <w:tc>
          <w:tcPr>
            <w:tcW w:w="4006" w:type="dxa"/>
          </w:tcPr>
          <w:p w:rsidR="000C39D1" w:rsidRDefault="000C39D1" w:rsidP="00B53873">
            <w:pPr>
              <w:pStyle w:val="libFootnote0"/>
              <w:rPr>
                <w:rtl/>
              </w:rPr>
            </w:pPr>
            <w:r>
              <w:rPr>
                <w:rtl/>
              </w:rPr>
              <w:t>(2). في</w:t>
            </w:r>
            <w:r w:rsidRPr="00132E65">
              <w:rPr>
                <w:rtl/>
              </w:rPr>
              <w:t>«</w:t>
            </w:r>
            <w:r>
              <w:rPr>
                <w:rtl/>
              </w:rPr>
              <w:t>ب، ج، ض</w:t>
            </w:r>
            <w:r w:rsidRPr="00132E65">
              <w:rPr>
                <w:rtl/>
              </w:rPr>
              <w:t>، بح ، بس » و</w:t>
            </w:r>
            <w:r w:rsidRPr="009D1ACE">
              <w:rPr>
                <w:rStyle w:val="libFootnoteBoldChar"/>
                <w:rtl/>
              </w:rPr>
              <w:t>الوافي</w:t>
            </w:r>
            <w:r w:rsidRPr="00132E65">
              <w:rPr>
                <w:rtl/>
              </w:rPr>
              <w:t xml:space="preserve"> </w:t>
            </w:r>
            <w:r>
              <w:rPr>
                <w:rtl/>
              </w:rPr>
              <w:t>:-</w:t>
            </w:r>
            <w:r w:rsidRPr="00132E65">
              <w:rPr>
                <w:rtl/>
              </w:rPr>
              <w:t>«أنّه»</w:t>
            </w:r>
            <w:r>
              <w:rPr>
                <w:rtl/>
              </w:rPr>
              <w:t>.</w:t>
            </w:r>
          </w:p>
        </w:tc>
      </w:tr>
    </w:tbl>
    <w:p w:rsidR="000C39D1" w:rsidRPr="00132E65" w:rsidRDefault="000C39D1" w:rsidP="000C39D1">
      <w:pPr>
        <w:pStyle w:val="libFootnote0"/>
        <w:rPr>
          <w:rtl/>
          <w:lang w:bidi="fa-IR"/>
        </w:rPr>
      </w:pPr>
      <w:r>
        <w:rPr>
          <w:rtl/>
        </w:rPr>
        <w:t>(3).</w:t>
      </w:r>
      <w:r w:rsidRPr="00132E65">
        <w:rPr>
          <w:rtl/>
        </w:rPr>
        <w:t xml:space="preserve"> في « ب ، ج ، بح ، بس » وشرح المازندراني و</w:t>
      </w:r>
      <w:r w:rsidRPr="009D1ACE">
        <w:rPr>
          <w:rStyle w:val="libFootnoteBoldChar"/>
          <w:rtl/>
        </w:rPr>
        <w:t>الوافي</w:t>
      </w:r>
      <w:r w:rsidRPr="00132E65">
        <w:rPr>
          <w:rtl/>
        </w:rPr>
        <w:t xml:space="preserve"> والبحار : « هذا »</w:t>
      </w:r>
      <w:r>
        <w:rPr>
          <w:rtl/>
        </w:rPr>
        <w:t>.</w:t>
      </w:r>
    </w:p>
    <w:p w:rsidR="000C39D1" w:rsidRPr="00132E65" w:rsidRDefault="000C39D1" w:rsidP="000C39D1">
      <w:pPr>
        <w:pStyle w:val="libFootnote0"/>
        <w:rPr>
          <w:rtl/>
          <w:lang w:bidi="fa-IR"/>
        </w:rPr>
      </w:pPr>
      <w:r>
        <w:rPr>
          <w:rtl/>
        </w:rPr>
        <w:t>(4).</w:t>
      </w:r>
      <w:r w:rsidRPr="00132E65">
        <w:rPr>
          <w:rtl/>
        </w:rPr>
        <w:t xml:space="preserve"> « الغرائم » : جمع الغريم عند المازندراني. وهو من له الدين ، وقد يطلق على من عليه الدين. أو جمع غرامة ، وهي ما يلزم أداؤه ، عند المجلسي. راجع : </w:t>
      </w:r>
      <w:r w:rsidRPr="006C159C">
        <w:rPr>
          <w:rtl/>
        </w:rPr>
        <w:t>شرح المازندراني</w:t>
      </w:r>
      <w:r w:rsidRPr="00132E65">
        <w:rPr>
          <w:rtl/>
        </w:rPr>
        <w:t xml:space="preserve"> ، ج 6 ، ص 185 ؛ </w:t>
      </w:r>
      <w:r w:rsidRPr="009D1ACE">
        <w:rPr>
          <w:rStyle w:val="libFootnoteBoldChar"/>
          <w:rtl/>
        </w:rPr>
        <w:t>مرآة العقول</w:t>
      </w:r>
      <w:r w:rsidRPr="00132E65">
        <w:rPr>
          <w:rtl/>
        </w:rPr>
        <w:t xml:space="preserve"> ، ج 3 ، ص 36.</w:t>
      </w:r>
    </w:p>
    <w:p w:rsidR="000C39D1" w:rsidRPr="00132E65" w:rsidRDefault="000C39D1" w:rsidP="000C39D1">
      <w:pPr>
        <w:pStyle w:val="libFootnote0"/>
        <w:rPr>
          <w:rtl/>
          <w:lang w:bidi="fa-IR"/>
        </w:rPr>
      </w:pPr>
      <w:r>
        <w:rPr>
          <w:rtl/>
        </w:rPr>
        <w:t>(5).</w:t>
      </w:r>
      <w:r w:rsidRPr="00132E65">
        <w:rPr>
          <w:rtl/>
        </w:rPr>
        <w:t xml:space="preserve"> في </w:t>
      </w:r>
      <w:r w:rsidRPr="006C159C">
        <w:rPr>
          <w:rtl/>
        </w:rPr>
        <w:t>شرح المازندراني</w:t>
      </w:r>
      <w:r w:rsidRPr="00132E65">
        <w:rPr>
          <w:rtl/>
        </w:rPr>
        <w:t xml:space="preserve"> : « أي اجعل ما عليهم من الديون متعيّناً معلوماً لي ، أو اجعله عليّ وفي ذمّتي بأجل ، من العينة. وفي بعض النسخ : فعيّن لي ، بدون التاء »</w:t>
      </w:r>
      <w:r>
        <w:rPr>
          <w:rtl/>
        </w:rPr>
        <w:t>.</w:t>
      </w:r>
      <w:r w:rsidRPr="00132E65">
        <w:rPr>
          <w:rtl/>
        </w:rPr>
        <w:t xml:space="preserve"> </w:t>
      </w:r>
      <w:r>
        <w:rPr>
          <w:rtl/>
        </w:rPr>
        <w:t>و «</w:t>
      </w:r>
      <w:r w:rsidRPr="00132E65">
        <w:rPr>
          <w:rtl/>
        </w:rPr>
        <w:t xml:space="preserve"> العِيْنَة » : هو أن يشتري سلعة بثمن مؤجّل ، ثمّ يبيعها بدون ذلك الثمن نقداً ؛ ليقضي دَيْناً عليه لمن قد حلّ له عليه. راجع : </w:t>
      </w:r>
      <w:r w:rsidRPr="006C159C">
        <w:rPr>
          <w:rtl/>
        </w:rPr>
        <w:t>مجمع البحرين</w:t>
      </w:r>
      <w:r w:rsidRPr="00132E65">
        <w:rPr>
          <w:rtl/>
        </w:rPr>
        <w:t xml:space="preserve"> ، ج 6 ، ص 288 ( عين )</w:t>
      </w:r>
      <w:r>
        <w:rPr>
          <w:rtl/>
        </w:rPr>
        <w:t>.</w:t>
      </w:r>
    </w:p>
    <w:p w:rsidR="000C39D1" w:rsidRPr="00132E65" w:rsidRDefault="000C39D1" w:rsidP="000C39D1">
      <w:pPr>
        <w:pStyle w:val="libFootnote0"/>
        <w:rPr>
          <w:rtl/>
          <w:lang w:bidi="fa-IR"/>
        </w:rPr>
      </w:pPr>
      <w:r>
        <w:rPr>
          <w:rtl/>
        </w:rPr>
        <w:t>(6).</w:t>
      </w:r>
      <w:r w:rsidRPr="00132E65">
        <w:rPr>
          <w:rtl/>
        </w:rPr>
        <w:t xml:space="preserve"> في « ه‍ » وحاشية « ج ، ض » والبحار :</w:t>
      </w:r>
      <w:r>
        <w:rPr>
          <w:rtl/>
        </w:rPr>
        <w:t xml:space="preserve"> + </w:t>
      </w:r>
      <w:r w:rsidRPr="00132E65">
        <w:rPr>
          <w:rtl/>
        </w:rPr>
        <w:t>« واقبض زكاة حقوقهم ، وخذ لهم البراءة »</w:t>
      </w:r>
      <w:r>
        <w:rPr>
          <w:rtl/>
        </w:rPr>
        <w:t>.</w:t>
      </w:r>
      <w:r w:rsidRPr="00132E65">
        <w:rPr>
          <w:rtl/>
        </w:rPr>
        <w:t xml:space="preserve"> وفي « ب » :</w:t>
      </w:r>
      <w:r>
        <w:rPr>
          <w:rtl/>
        </w:rPr>
        <w:t xml:space="preserve"> + </w:t>
      </w:r>
      <w:r w:rsidRPr="00132E65">
        <w:rPr>
          <w:rtl/>
        </w:rPr>
        <w:t>« واقبض زكاةحقوقهم ، عنهم وخذ لهم البراءة عنهم »</w:t>
      </w:r>
      <w:r>
        <w:rPr>
          <w:rtl/>
        </w:rPr>
        <w:t>.</w:t>
      </w:r>
      <w:r w:rsidRPr="00132E65">
        <w:rPr>
          <w:rtl/>
        </w:rPr>
        <w:t xml:space="preserve"> وفي </w:t>
      </w:r>
      <w:r w:rsidRPr="009D1ACE">
        <w:rPr>
          <w:rStyle w:val="libFootnoteBoldChar"/>
          <w:rtl/>
        </w:rPr>
        <w:t>الوافي</w:t>
      </w:r>
      <w:r w:rsidRPr="00132E65">
        <w:rPr>
          <w:rtl/>
        </w:rPr>
        <w:t xml:space="preserve"> : « لا والله » بدون الواو.</w:t>
      </w:r>
    </w:p>
    <w:p w:rsidR="000C39D1" w:rsidRPr="00132E65" w:rsidRDefault="000C39D1" w:rsidP="000C39D1">
      <w:pPr>
        <w:pStyle w:val="libFootnote0"/>
        <w:rPr>
          <w:rtl/>
          <w:lang w:bidi="fa-IR"/>
        </w:rPr>
      </w:pPr>
      <w:r>
        <w:rPr>
          <w:rtl/>
        </w:rPr>
        <w:t>(7).</w:t>
      </w:r>
      <w:r w:rsidRPr="00132E65">
        <w:rPr>
          <w:rtl/>
        </w:rPr>
        <w:t xml:space="preserve"> قال الجوهري : « آسَيْتُه بمالي مواساةً ، أي جعلته إسوتي فيه. وواسيتُه ، لغة ضعيفة فيه »</w:t>
      </w:r>
      <w:r>
        <w:rPr>
          <w:rtl/>
        </w:rPr>
        <w:t>.</w:t>
      </w:r>
      <w:r w:rsidRPr="00132E65">
        <w:rPr>
          <w:rtl/>
        </w:rPr>
        <w:t xml:space="preserve"> وقال ابن الأثير : « الا</w:t>
      </w:r>
      <w:r>
        <w:rPr>
          <w:rFonts w:hint="cs"/>
          <w:rtl/>
        </w:rPr>
        <w:t>ُ</w:t>
      </w:r>
      <w:r w:rsidRPr="00132E65">
        <w:rPr>
          <w:rtl/>
        </w:rPr>
        <w:t>سْوَة</w:t>
      </w:r>
      <w:r>
        <w:rPr>
          <w:rtl/>
        </w:rPr>
        <w:t xml:space="preserve"> - </w:t>
      </w:r>
      <w:r w:rsidRPr="00132E65">
        <w:rPr>
          <w:rtl/>
        </w:rPr>
        <w:t>وهي بكسر الهمزة وضمّها</w:t>
      </w:r>
      <w:r>
        <w:rPr>
          <w:rtl/>
        </w:rPr>
        <w:t xml:space="preserve"> - </w:t>
      </w:r>
      <w:r w:rsidRPr="00132E65">
        <w:rPr>
          <w:rtl/>
        </w:rPr>
        <w:t>: القُدْوَة. والمواساة : المشاركة والمساهمة في المعاش والرزق. وأصلها الهمزة فقلبت واواً تخفيفاً »</w:t>
      </w:r>
      <w:r>
        <w:rPr>
          <w:rtl/>
        </w:rPr>
        <w:t>.</w:t>
      </w:r>
      <w:r w:rsidRPr="00132E65">
        <w:rPr>
          <w:rtl/>
        </w:rPr>
        <w:t xml:space="preserve"> راجع : </w:t>
      </w:r>
      <w:r w:rsidRPr="006C159C">
        <w:rPr>
          <w:rtl/>
        </w:rPr>
        <w:t>الصحاح</w:t>
      </w:r>
      <w:r w:rsidRPr="00132E65">
        <w:rPr>
          <w:rtl/>
        </w:rPr>
        <w:t xml:space="preserve"> ، ج 6 ، ص 2268 ؛ </w:t>
      </w:r>
      <w:r w:rsidRPr="006C159C">
        <w:rPr>
          <w:rtl/>
        </w:rPr>
        <w:t>النهاية</w:t>
      </w:r>
      <w:r w:rsidRPr="00132E65">
        <w:rPr>
          <w:rtl/>
        </w:rPr>
        <w:t xml:space="preserve"> ، ج 1 ، ص 50 ( أسا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6C159C">
        <w:rPr>
          <w:rtl/>
        </w:rPr>
        <w:t>شرح المازندراني</w:t>
      </w:r>
      <w:r w:rsidRPr="00132E65">
        <w:rPr>
          <w:rtl/>
        </w:rPr>
        <w:t xml:space="preserve"> : « ما موصولة ، أو موصوفة ، </w:t>
      </w:r>
      <w:r>
        <w:rPr>
          <w:rtl/>
        </w:rPr>
        <w:t>و «</w:t>
      </w:r>
      <w:r w:rsidRPr="00132E65">
        <w:rPr>
          <w:rtl/>
        </w:rPr>
        <w:t xml:space="preserve"> لنا » ظرف عامله محذوف</w:t>
      </w:r>
      <w:r>
        <w:rPr>
          <w:rtl/>
        </w:rPr>
        <w:t xml:space="preserve"> ..</w:t>
      </w:r>
      <w:r w:rsidRPr="00132E65">
        <w:rPr>
          <w:rtl/>
        </w:rPr>
        <w:t>. ويحتمل أن يكون « مالُنا » بالرفع على الابتداء ، والواو على التقديرين إمّا للعطف أو للحال »</w:t>
      </w:r>
      <w:r>
        <w:rPr>
          <w:rtl/>
        </w:rPr>
        <w:t>.</w:t>
      </w:r>
    </w:p>
    <w:p w:rsidR="000C39D1" w:rsidRPr="00132E65" w:rsidRDefault="000C39D1" w:rsidP="000C39D1">
      <w:pPr>
        <w:pStyle w:val="libFootnote0"/>
        <w:rPr>
          <w:rtl/>
          <w:lang w:bidi="fa-IR"/>
        </w:rPr>
      </w:pPr>
      <w:r>
        <w:rPr>
          <w:rtl/>
        </w:rPr>
        <w:t>(9).</w:t>
      </w:r>
      <w:r w:rsidRPr="00132E65">
        <w:rPr>
          <w:rtl/>
        </w:rPr>
        <w:t xml:space="preserve"> في « ب ، ه‍ ، بس ، بف » : « فالغرض غرضكم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في « ف » : « اذخرته »</w:t>
            </w:r>
            <w:r>
              <w:rPr>
                <w:rtl/>
              </w:rPr>
              <w:t>.</w:t>
            </w:r>
          </w:p>
        </w:tc>
        <w:tc>
          <w:tcPr>
            <w:tcW w:w="4006" w:type="dxa"/>
          </w:tcPr>
          <w:p w:rsidR="000C39D1" w:rsidRDefault="000C39D1" w:rsidP="00B53873">
            <w:pPr>
              <w:pStyle w:val="libFootnote0"/>
              <w:rPr>
                <w:rtl/>
              </w:rPr>
            </w:pPr>
            <w:r>
              <w:rPr>
                <w:rtl/>
              </w:rPr>
              <w:t>(11).</w:t>
            </w:r>
            <w:r w:rsidRPr="00132E65">
              <w:rPr>
                <w:rtl/>
              </w:rPr>
              <w:t xml:space="preserve"> في البحار : « أبوك »</w:t>
            </w:r>
            <w:r>
              <w:rPr>
                <w:rtl/>
              </w:rPr>
              <w:t>.</w:t>
            </w:r>
          </w:p>
        </w:tc>
      </w:tr>
    </w:tbl>
    <w:p w:rsidR="000C39D1" w:rsidRPr="00132E65" w:rsidRDefault="000C39D1" w:rsidP="000C39D1">
      <w:pPr>
        <w:pStyle w:val="libFootnote0"/>
        <w:rPr>
          <w:rtl/>
          <w:lang w:bidi="fa-IR"/>
        </w:rPr>
      </w:pPr>
      <w:r>
        <w:rPr>
          <w:rtl/>
        </w:rPr>
        <w:t>(12).</w:t>
      </w:r>
      <w:r w:rsidRPr="00132E65">
        <w:rPr>
          <w:rtl/>
        </w:rPr>
        <w:t xml:space="preserve"> في « ب ، ج ، بر » وحاشية « ض » : « شتّته »</w:t>
      </w:r>
      <w:r>
        <w:rPr>
          <w:rtl/>
        </w:rPr>
        <w:t>.</w:t>
      </w:r>
      <w:r w:rsidRPr="00132E65">
        <w:rPr>
          <w:rtl/>
        </w:rPr>
        <w:t xml:space="preserve"> وفي « ف ، بس ، بف » و</w:t>
      </w:r>
      <w:r w:rsidRPr="009D1ACE">
        <w:rPr>
          <w:rStyle w:val="libFootnoteBoldChar"/>
          <w:rtl/>
        </w:rPr>
        <w:t>الوافي</w:t>
      </w:r>
      <w:r w:rsidRPr="00132E65">
        <w:rPr>
          <w:rtl/>
        </w:rPr>
        <w:t xml:space="preserve"> : « سبته » من السيب بمعنى العطاء.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فَوَثَبَ الْعَبَّاسُ ، فَقَالَ : واللهِ ، مَا هُوَ كَذلِكَ ، ومَا جَعَلَ </w:t>
      </w:r>
      <w:r>
        <w:rPr>
          <w:rStyle w:val="libFootnotenumChar"/>
          <w:rtl/>
        </w:rPr>
        <w:t>(1)</w:t>
      </w:r>
      <w:r w:rsidRPr="00132E65">
        <w:rPr>
          <w:rtl/>
          <w:lang w:bidi="fa-IR"/>
        </w:rPr>
        <w:t xml:space="preserve"> اللهُ لَكَ مِنْ رَأْيٍ عَلَيْنَا ، وَلكِنْ حَسَدُ أَبِينَا لَنَا وإِرَادَتُهُ مَا أَرَادَ مِمَّا لَايُسَوِّغُهُ اللهُ إِيَّاهُ ، ولَا</w:t>
      </w:r>
      <w:r>
        <w:rPr>
          <w:rFonts w:hint="cs"/>
          <w:rtl/>
          <w:lang w:bidi="fa-IR"/>
        </w:rPr>
        <w:t xml:space="preserve"> </w:t>
      </w:r>
      <w:r w:rsidRPr="00132E65">
        <w:rPr>
          <w:rtl/>
          <w:lang w:bidi="fa-IR"/>
        </w:rPr>
        <w:t xml:space="preserve">إِيَّاكَ </w:t>
      </w:r>
      <w:r>
        <w:rPr>
          <w:rStyle w:val="libFootnotenumChar"/>
          <w:rtl/>
        </w:rPr>
        <w:t>(2)</w:t>
      </w:r>
      <w:r w:rsidRPr="00132E65">
        <w:rPr>
          <w:rtl/>
          <w:lang w:bidi="fa-IR"/>
        </w:rPr>
        <w:t xml:space="preserve"> ، وإِنَّكَ لَتَعْرِفُ أَنِّي أَعْرِفُ صَفْوَانَ بْنَ يَحْيى بَيَّاعَ السَّابِرِيِّ </w:t>
      </w:r>
      <w:r>
        <w:rPr>
          <w:rStyle w:val="libFootnotenumChar"/>
          <w:rtl/>
        </w:rPr>
        <w:t>(3)</w:t>
      </w:r>
      <w:r w:rsidRPr="00132E65">
        <w:rPr>
          <w:rtl/>
          <w:lang w:bidi="fa-IR"/>
        </w:rPr>
        <w:t xml:space="preserve"> بِالْكُوفَةِ ، ولَئِنْ سَلِمْتُ لَأُغْصِصَنَّهُ </w:t>
      </w:r>
      <w:r>
        <w:rPr>
          <w:rStyle w:val="libFootnotenumChar"/>
          <w:rtl/>
        </w:rPr>
        <w:t>(4)</w:t>
      </w:r>
      <w:r w:rsidRPr="00132E65">
        <w:rPr>
          <w:rtl/>
          <w:lang w:bidi="fa-IR"/>
        </w:rPr>
        <w:t xml:space="preserve"> بِرِيقِهِ وأَنْتَ مَعَهُ.</w:t>
      </w:r>
    </w:p>
    <w:p w:rsidR="000C39D1" w:rsidRPr="00132E65" w:rsidRDefault="000C39D1" w:rsidP="00D03C29">
      <w:pPr>
        <w:pStyle w:val="libNormal"/>
        <w:rPr>
          <w:rtl/>
          <w:lang w:bidi="fa-IR"/>
        </w:rPr>
      </w:pPr>
      <w:r w:rsidRPr="00132E65">
        <w:rPr>
          <w:rtl/>
          <w:lang w:bidi="fa-IR"/>
        </w:rPr>
        <w:t xml:space="preserve">فَقَالَ عَلِيٌّ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 « لَا حَوْلَ ولَاقُوَّةَ إِلاَّ بِاللهِ الْعَلِيِّ الْعَظِيمِ </w:t>
      </w:r>
      <w:r>
        <w:rPr>
          <w:rStyle w:val="libFootnotenumChar"/>
          <w:rtl/>
        </w:rPr>
        <w:t>(6)</w:t>
      </w:r>
      <w:r w:rsidRPr="00132E65">
        <w:rPr>
          <w:rtl/>
          <w:lang w:bidi="fa-IR"/>
        </w:rPr>
        <w:t xml:space="preserve"> ، أَمَّا إِنِّي يَا إِخْوَتِي ، فَحَرِيصٌ عَلى مَسَرَّتِكُمْ </w:t>
      </w:r>
      <w:r>
        <w:rPr>
          <w:rStyle w:val="libFootnotenumChar"/>
          <w:rtl/>
        </w:rPr>
        <w:t>(7)</w:t>
      </w:r>
      <w:r w:rsidRPr="00132E65">
        <w:rPr>
          <w:rtl/>
          <w:lang w:bidi="fa-IR"/>
        </w:rPr>
        <w:t xml:space="preserve"> ، اللهُ يَعْلَمُ ؛ اللهُمَّ إِنْ كُنْتَ تَعْلَمُ أَنِّي أُحِبُّ صَلَاحَهُمْ ، وأَنِّي بَارٌّ بِهِمْ ، واصِلٌ لَهُمْ ، رَفِيقٌ </w:t>
      </w:r>
      <w:r>
        <w:rPr>
          <w:rStyle w:val="libFootnotenumChar"/>
          <w:rtl/>
        </w:rPr>
        <w:t>(8)</w:t>
      </w:r>
      <w:r w:rsidRPr="00132E65">
        <w:rPr>
          <w:rtl/>
          <w:lang w:bidi="fa-IR"/>
        </w:rPr>
        <w:t xml:space="preserve"> عَلَيْهِمْ ، أُعْنى </w:t>
      </w:r>
      <w:r>
        <w:rPr>
          <w:rStyle w:val="libFootnotenumChar"/>
          <w:rtl/>
        </w:rPr>
        <w:t>(9)</w:t>
      </w:r>
      <w:r w:rsidRPr="00132E65">
        <w:rPr>
          <w:rtl/>
          <w:lang w:bidi="fa-IR"/>
        </w:rPr>
        <w:t xml:space="preserve"> بِأُمُورِهِمْ لَيْلاً ونَهَاراً ،</w:t>
      </w:r>
      <w:r w:rsidR="00D03C29">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وفي حاشية « ج » : « شتّيته »</w:t>
      </w:r>
      <w:r>
        <w:rPr>
          <w:rtl/>
        </w:rPr>
        <w:t>.</w:t>
      </w:r>
      <w:r w:rsidRPr="00132E65">
        <w:rPr>
          <w:rtl/>
        </w:rPr>
        <w:t xml:space="preserve"> وقوله : « سَيَّبْتُهُ » ، أي أعطيته ، من السَيْب بمعنى العطاء. أو تركته وأطلقته ، من سيّبتُ الدابّةَ ، أي تركتها تَسيبُ وتجري حيث شاءت ، من السَيْب بمعني الجَرْي. وفي </w:t>
      </w:r>
      <w:r w:rsidRPr="006C159C">
        <w:rPr>
          <w:rtl/>
        </w:rPr>
        <w:t>شرح المازندراني</w:t>
      </w:r>
      <w:r w:rsidRPr="00132E65">
        <w:rPr>
          <w:rtl/>
        </w:rPr>
        <w:t xml:space="preserve"> : « في بعض النسخ : وقد سبلته ؛ يعني جعلته في سبل الخير وصرفته فيها »</w:t>
      </w:r>
      <w:r>
        <w:rPr>
          <w:rtl/>
        </w:rPr>
        <w:t>.</w:t>
      </w:r>
      <w:r w:rsidRPr="00132E65">
        <w:rPr>
          <w:rtl/>
        </w:rPr>
        <w:t xml:space="preserve"> وقال المجلسي في </w:t>
      </w:r>
      <w:r w:rsidRPr="009D1ACE">
        <w:rPr>
          <w:rStyle w:val="libFootnoteBoldChar"/>
          <w:rtl/>
        </w:rPr>
        <w:t>مرآة العقول</w:t>
      </w:r>
      <w:r w:rsidRPr="00132E65">
        <w:rPr>
          <w:rtl/>
        </w:rPr>
        <w:t xml:space="preserve"> : « في بعض النسخ : شتّتته ، أي فرّقته ، وفي بعض النسخ : شتّيته ، بقلب الثاني من المضاعف ياء »</w:t>
      </w:r>
      <w:r>
        <w:rPr>
          <w:rtl/>
        </w:rPr>
        <w:t>.</w:t>
      </w:r>
      <w:r w:rsidRPr="00132E65">
        <w:rPr>
          <w:rtl/>
        </w:rPr>
        <w:t xml:space="preserve"> وراجع : </w:t>
      </w:r>
      <w:r w:rsidRPr="006C159C">
        <w:rPr>
          <w:rtl/>
        </w:rPr>
        <w:t>الصحاح</w:t>
      </w:r>
      <w:r w:rsidRPr="00132E65">
        <w:rPr>
          <w:rtl/>
        </w:rPr>
        <w:t xml:space="preserve"> ، ج 1 ، ص 150 ( سيب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w:t>
            </w:r>
            <w:r w:rsidRPr="00132E65">
              <w:rPr>
                <w:rtl/>
              </w:rPr>
              <w:t xml:space="preserve"> في « ب » : « ولا جعل »</w:t>
            </w:r>
            <w:r>
              <w:rPr>
                <w:rtl/>
              </w:rPr>
              <w:t>.</w:t>
            </w:r>
          </w:p>
        </w:tc>
        <w:tc>
          <w:tcPr>
            <w:tcW w:w="4006" w:type="dxa"/>
          </w:tcPr>
          <w:p w:rsidR="000C39D1" w:rsidRDefault="000C39D1" w:rsidP="00B53873">
            <w:pPr>
              <w:pStyle w:val="libFootnote0"/>
              <w:rPr>
                <w:rtl/>
                <w:lang w:bidi="fa-IR"/>
              </w:rPr>
            </w:pPr>
            <w:r>
              <w:rPr>
                <w:rtl/>
              </w:rPr>
              <w:t>(2).</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فقال العبّاس »</w:t>
            </w:r>
            <w:r>
              <w:rPr>
                <w:rtl/>
              </w:rPr>
              <w:t>.</w:t>
            </w:r>
          </w:p>
        </w:tc>
      </w:tr>
    </w:tbl>
    <w:p w:rsidR="000C39D1" w:rsidRPr="00132E65" w:rsidRDefault="000C39D1" w:rsidP="000C39D1">
      <w:pPr>
        <w:pStyle w:val="libFootnote0"/>
        <w:rPr>
          <w:rtl/>
          <w:lang w:bidi="fa-IR"/>
        </w:rPr>
      </w:pPr>
      <w:r>
        <w:rPr>
          <w:rtl/>
        </w:rPr>
        <w:t>(3).</w:t>
      </w:r>
      <w:r w:rsidRPr="00132E65">
        <w:rPr>
          <w:rtl/>
        </w:rPr>
        <w:t xml:space="preserve"> « السابِريُّ » : ضرب من الثياب رقيق يُعمل بسابُور موضع بفارس. والسابِريّ أيضاً : ضرب من التمر. يقال : أجود تمر بالكوفة النِرسيان والسابِريّ. ضبطه المجلسي بضمّ الباء. راجع : </w:t>
      </w:r>
      <w:r w:rsidRPr="006C159C">
        <w:rPr>
          <w:rtl/>
        </w:rPr>
        <w:t>الصحاح</w:t>
      </w:r>
      <w:r w:rsidRPr="00132E65">
        <w:rPr>
          <w:rtl/>
        </w:rPr>
        <w:t xml:space="preserve"> ، ج 2 ، ص 676 ؛ </w:t>
      </w:r>
      <w:r w:rsidRPr="006C159C">
        <w:rPr>
          <w:rtl/>
        </w:rPr>
        <w:t>المغرب</w:t>
      </w:r>
      <w:r w:rsidRPr="00132E65">
        <w:rPr>
          <w:rtl/>
        </w:rPr>
        <w:t xml:space="preserve"> ، ص 215 ( سبر ) ؛ </w:t>
      </w:r>
      <w:r w:rsidRPr="009D1ACE">
        <w:rPr>
          <w:rStyle w:val="libFootnoteBoldChar"/>
          <w:rtl/>
        </w:rPr>
        <w:t>مرآة العقول</w:t>
      </w:r>
      <w:r w:rsidRPr="00132E65">
        <w:rPr>
          <w:rtl/>
        </w:rPr>
        <w:t xml:space="preserve"> ، ج 3 ، ص 370.</w:t>
      </w:r>
    </w:p>
    <w:p w:rsidR="000C39D1" w:rsidRPr="00132E65" w:rsidRDefault="000C39D1" w:rsidP="000C39D1">
      <w:pPr>
        <w:pStyle w:val="libFootnote0"/>
        <w:rPr>
          <w:rtl/>
          <w:lang w:bidi="fa-IR"/>
        </w:rPr>
      </w:pPr>
      <w:r>
        <w:rPr>
          <w:rtl/>
        </w:rPr>
        <w:t>(4).</w:t>
      </w:r>
      <w:r w:rsidRPr="00132E65">
        <w:rPr>
          <w:rtl/>
        </w:rPr>
        <w:t xml:space="preserve"> في « ف ، بر ، بف » و</w:t>
      </w:r>
      <w:r w:rsidRPr="009D1ACE">
        <w:rPr>
          <w:rStyle w:val="libFootnoteBoldChar"/>
          <w:rtl/>
        </w:rPr>
        <w:t>الوافي</w:t>
      </w:r>
      <w:r w:rsidRPr="00132E65">
        <w:rPr>
          <w:rtl/>
        </w:rPr>
        <w:t xml:space="preserve"> : « لأغصصتُه » على صيغة المتكلّم من ال</w:t>
      </w:r>
      <w:r>
        <w:rPr>
          <w:rtl/>
        </w:rPr>
        <w:t>ماضي. ويجوز في الكلمة قراءة « ل</w:t>
      </w:r>
      <w:r w:rsidRPr="00132E65">
        <w:rPr>
          <w:rtl/>
        </w:rPr>
        <w:t>ا</w:t>
      </w:r>
      <w:r>
        <w:rPr>
          <w:rFonts w:hint="cs"/>
          <w:rtl/>
        </w:rPr>
        <w:t>ُ</w:t>
      </w:r>
      <w:r w:rsidRPr="00132E65">
        <w:rPr>
          <w:rtl/>
        </w:rPr>
        <w:t>غِصَّنّه »</w:t>
      </w:r>
      <w:r>
        <w:rPr>
          <w:rtl/>
        </w:rPr>
        <w:t>. وفي الشروح : « ل</w:t>
      </w:r>
      <w:r w:rsidRPr="00132E65">
        <w:rPr>
          <w:rtl/>
        </w:rPr>
        <w:t>ا</w:t>
      </w:r>
      <w:r>
        <w:rPr>
          <w:rFonts w:hint="cs"/>
          <w:rtl/>
        </w:rPr>
        <w:t>ُ</w:t>
      </w:r>
      <w:r w:rsidRPr="00132E65">
        <w:rPr>
          <w:rtl/>
        </w:rPr>
        <w:t>غْصِصَنَّهُ » ، من غَصَصْتُ بالماء أَغَصُّ غَصَصاً ، إذا شَرِقْتَ به ، أو وقف في حلقك فلم تكد تسيغه. فالمراد من الإغصاص بريقه : جعله بحيث لا يتمكّن من إساقة ريقه ، أي ماء فيه ؛ كنايةً عن تشديد الأمر عليه.</w:t>
      </w:r>
    </w:p>
    <w:p w:rsidR="000C39D1" w:rsidRPr="00132E65" w:rsidRDefault="000C39D1" w:rsidP="000C39D1">
      <w:pPr>
        <w:pStyle w:val="libFootnote0"/>
        <w:rPr>
          <w:rtl/>
          <w:lang w:bidi="fa-IR"/>
        </w:rPr>
      </w:pPr>
      <w:r w:rsidRPr="00F24C1F">
        <w:rPr>
          <w:rtl/>
        </w:rPr>
        <w:t xml:space="preserve">وقال المازندراني : « وفي بعض النسخ : لأغصصته على صيغة المتكلّم من الماضي ». راجع : </w:t>
      </w:r>
      <w:r w:rsidRPr="006C159C">
        <w:rPr>
          <w:rtl/>
        </w:rPr>
        <w:t>النهاية</w:t>
      </w:r>
      <w:r w:rsidRPr="00F24C1F">
        <w:rPr>
          <w:rtl/>
        </w:rPr>
        <w:t xml:space="preserve"> ، ج 3 ، ص 370 ( غصص ).</w:t>
      </w:r>
      <w:r>
        <w:rPr>
          <w:rFonts w:hint="cs"/>
          <w:rtl/>
        </w:rPr>
        <w:t xml:space="preserve">                   </w:t>
      </w:r>
      <w:r w:rsidR="00D03C29">
        <w:rPr>
          <w:rFonts w:hint="cs"/>
          <w:rtl/>
        </w:rPr>
        <w:t xml:space="preserve">      </w:t>
      </w:r>
      <w:r>
        <w:rPr>
          <w:rFonts w:hint="cs"/>
          <w:rtl/>
        </w:rPr>
        <w:t xml:space="preserve">                        </w:t>
      </w:r>
      <w:r>
        <w:rPr>
          <w:rtl/>
        </w:rPr>
        <w:t>(5).</w:t>
      </w:r>
      <w:r w:rsidRPr="00132E65">
        <w:rPr>
          <w:rtl/>
        </w:rPr>
        <w:t xml:space="preserve"> في « بس » </w:t>
      </w:r>
      <w:r>
        <w:rPr>
          <w:rtl/>
        </w:rPr>
        <w:t xml:space="preserve">: - </w:t>
      </w:r>
      <w:r w:rsidRPr="00132E65">
        <w:rPr>
          <w:rtl/>
        </w:rPr>
        <w:t>« عليّ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بس » </w:t>
            </w:r>
            <w:r>
              <w:rPr>
                <w:rtl/>
              </w:rPr>
              <w:t xml:space="preserve">: - </w:t>
            </w:r>
            <w:r w:rsidRPr="00132E65">
              <w:rPr>
                <w:rtl/>
              </w:rPr>
              <w:t>« العليّ العظيم »</w:t>
            </w:r>
            <w:r>
              <w:rPr>
                <w:rtl/>
              </w:rPr>
              <w:t>.</w:t>
            </w:r>
          </w:p>
        </w:tc>
        <w:tc>
          <w:tcPr>
            <w:tcW w:w="4006" w:type="dxa"/>
          </w:tcPr>
          <w:p w:rsidR="000C39D1" w:rsidRDefault="000C39D1" w:rsidP="00B53873">
            <w:pPr>
              <w:pStyle w:val="libFootnote0"/>
              <w:rPr>
                <w:rtl/>
              </w:rPr>
            </w:pPr>
            <w:r>
              <w:rPr>
                <w:rtl/>
              </w:rPr>
              <w:t>(7).في«ه‍</w:t>
            </w:r>
            <w:r>
              <w:rPr>
                <w:rFonts w:hint="cs"/>
                <w:rtl/>
              </w:rPr>
              <w:t xml:space="preserve"> </w:t>
            </w:r>
            <w:r w:rsidRPr="00132E65">
              <w:rPr>
                <w:rtl/>
              </w:rPr>
              <w:t>»</w:t>
            </w:r>
            <w:r>
              <w:rPr>
                <w:rtl/>
              </w:rPr>
              <w:t>:«مسيرتكم</w:t>
            </w:r>
            <w:r w:rsidRPr="00132E65">
              <w:rPr>
                <w:rtl/>
              </w:rPr>
              <w:t>»</w:t>
            </w:r>
            <w:r>
              <w:rPr>
                <w:rtl/>
              </w:rPr>
              <w:t>.وفي«بح»:«على مامسرّتكم</w:t>
            </w:r>
            <w:r w:rsidRPr="00132E65">
              <w:rPr>
                <w:rtl/>
              </w:rPr>
              <w:t>»</w:t>
            </w:r>
            <w:r>
              <w:rPr>
                <w:rtl/>
              </w:rPr>
              <w:t>.</w:t>
            </w:r>
          </w:p>
        </w:tc>
      </w:tr>
    </w:tbl>
    <w:p w:rsidR="000C39D1" w:rsidRPr="00132E65" w:rsidRDefault="000C39D1" w:rsidP="000C39D1">
      <w:pPr>
        <w:pStyle w:val="libFootnote0"/>
        <w:rPr>
          <w:rtl/>
          <w:lang w:bidi="fa-IR"/>
        </w:rPr>
      </w:pPr>
      <w:r>
        <w:rPr>
          <w:rtl/>
        </w:rPr>
        <w:t>(8).</w:t>
      </w:r>
      <w:r w:rsidRPr="00132E65">
        <w:rPr>
          <w:rtl/>
        </w:rPr>
        <w:t xml:space="preserve"> « رفيق » : فعيل بمعنى فاعل. وهو إمّا بالفاء من الرفق بمعنى الرأفة والتلطّف ، أو بالقاف من الرقّة بمعنى‌الضعف واللينة. راجع : </w:t>
      </w:r>
      <w:r w:rsidRPr="006C159C">
        <w:rPr>
          <w:rtl/>
        </w:rPr>
        <w:t>شرح المازندراني</w:t>
      </w:r>
      <w:r w:rsidRPr="00132E65">
        <w:rPr>
          <w:rtl/>
        </w:rPr>
        <w:t xml:space="preserve"> ، ج 6 ، ص 187.</w:t>
      </w:r>
    </w:p>
    <w:p w:rsidR="000C39D1" w:rsidRPr="00132E65" w:rsidRDefault="000C39D1" w:rsidP="000C39D1">
      <w:pPr>
        <w:pStyle w:val="libFootnote0"/>
        <w:rPr>
          <w:rtl/>
          <w:lang w:bidi="fa-IR"/>
        </w:rPr>
      </w:pPr>
      <w:r>
        <w:rPr>
          <w:rtl/>
        </w:rPr>
        <w:t>(9).</w:t>
      </w:r>
      <w:r w:rsidRPr="00132E65">
        <w:rPr>
          <w:rtl/>
        </w:rPr>
        <w:t xml:space="preserve"> « ا</w:t>
      </w:r>
      <w:r>
        <w:rPr>
          <w:rFonts w:hint="cs"/>
          <w:rtl/>
        </w:rPr>
        <w:t>ُ</w:t>
      </w:r>
      <w:r w:rsidRPr="00132E65">
        <w:rPr>
          <w:rtl/>
        </w:rPr>
        <w:t>عْنَى » ، أو « أَعْنِي » بمعنى أهتمّ وأعتني. يقال : عُنِيتُ بحاجتك ا</w:t>
      </w:r>
      <w:r>
        <w:rPr>
          <w:rFonts w:hint="cs"/>
          <w:rtl/>
        </w:rPr>
        <w:t>ُ</w:t>
      </w:r>
      <w:r w:rsidRPr="00132E65">
        <w:rPr>
          <w:rtl/>
        </w:rPr>
        <w:t xml:space="preserve">عْنَى بها فأنا بها مَعْنِيُّ ، وعَنَيْتُ به فأنا عانٍ ، والأوّل أكثر ، أي اهتممتُ بها واشتغلتُ. راجع : </w:t>
      </w:r>
      <w:r w:rsidRPr="006C159C">
        <w:rPr>
          <w:rtl/>
        </w:rPr>
        <w:t>النهاية</w:t>
      </w:r>
      <w:r w:rsidRPr="00132E65">
        <w:rPr>
          <w:rtl/>
        </w:rPr>
        <w:t xml:space="preserve"> ، ج 3 ، ص 314 ( عنا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فَاجْزِنِي </w:t>
      </w:r>
      <w:r>
        <w:rPr>
          <w:rStyle w:val="libFootnotenumChar"/>
          <w:rtl/>
        </w:rPr>
        <w:t>(1)</w:t>
      </w:r>
      <w:r w:rsidRPr="00132E65">
        <w:rPr>
          <w:rtl/>
          <w:lang w:bidi="fa-IR"/>
        </w:rPr>
        <w:t xml:space="preserve"> بِهِ خَيْراً ، وإِنْ كُنْتُ عَلى غَيْرِ ذلِكَ ، فَأَنْتَ عَلاَّمُ الْغُيُوبِ ، فَاجْزِنِي </w:t>
      </w:r>
      <w:r>
        <w:rPr>
          <w:rStyle w:val="libFootnotenumChar"/>
          <w:rtl/>
        </w:rPr>
        <w:t>(2)</w:t>
      </w:r>
      <w:r w:rsidRPr="00132E65">
        <w:rPr>
          <w:rtl/>
          <w:lang w:bidi="fa-IR"/>
        </w:rPr>
        <w:t xml:space="preserve"> بِهِ مَا أَنَا أَهْلُهُ ، إِنْ كَانَ شَرّاً فَشَرّاً ، وإِنْ كَانَ خَيْراً فَخَيْراً ؛ اللهُمَّ أَصْلِحْهُمْ ، وأَصْلِحْ لَهُمْ ، واخْسَأْ </w:t>
      </w:r>
      <w:r>
        <w:rPr>
          <w:rStyle w:val="libFootnotenumChar"/>
          <w:rtl/>
        </w:rPr>
        <w:t>(3)</w:t>
      </w:r>
      <w:r w:rsidRPr="00132E65">
        <w:rPr>
          <w:rtl/>
          <w:lang w:bidi="fa-IR"/>
        </w:rPr>
        <w:t xml:space="preserve"> عَنَّا وعَنْهُمُ </w:t>
      </w:r>
      <w:r>
        <w:rPr>
          <w:rStyle w:val="libFootnotenumChar"/>
          <w:rtl/>
        </w:rPr>
        <w:t>(4)</w:t>
      </w:r>
      <w:r w:rsidRPr="00132E65">
        <w:rPr>
          <w:rtl/>
          <w:lang w:bidi="fa-IR"/>
        </w:rPr>
        <w:t xml:space="preserve"> الشَّيْطَانَ </w:t>
      </w:r>
      <w:r>
        <w:rPr>
          <w:rStyle w:val="libFootnotenumChar"/>
          <w:rtl/>
        </w:rPr>
        <w:t>(5)</w:t>
      </w:r>
      <w:r w:rsidRPr="00132E65">
        <w:rPr>
          <w:rtl/>
          <w:lang w:bidi="fa-IR"/>
        </w:rPr>
        <w:t xml:space="preserve"> ، وأ</w:t>
      </w:r>
      <w:r>
        <w:rPr>
          <w:rtl/>
          <w:lang w:bidi="fa-IR"/>
        </w:rPr>
        <w:t>َعِنْهُمْ عَلى طَاعَتِكَ ، و</w:t>
      </w:r>
      <w:r>
        <w:rPr>
          <w:rFonts w:hint="cs"/>
          <w:rtl/>
          <w:lang w:bidi="fa-IR"/>
        </w:rPr>
        <w:t xml:space="preserve">َ </w:t>
      </w:r>
      <w:r>
        <w:rPr>
          <w:rtl/>
          <w:lang w:bidi="fa-IR"/>
        </w:rPr>
        <w:t>و</w:t>
      </w:r>
      <w:r>
        <w:rPr>
          <w:rFonts w:hint="cs"/>
          <w:rtl/>
          <w:lang w:bidi="fa-IR"/>
        </w:rPr>
        <w:t>َ</w:t>
      </w:r>
      <w:r w:rsidRPr="00132E65">
        <w:rPr>
          <w:rtl/>
          <w:lang w:bidi="fa-IR"/>
        </w:rPr>
        <w:t xml:space="preserve">فِّقْهُمْ لِرُشْدِكَ ؛ أَمَّا أَنَا يَا أَخِي ، فَحَرِيصٌ عَلى مَسَرَّتِكُمْ ، جَاهِدٌ </w:t>
      </w:r>
      <w:r>
        <w:rPr>
          <w:rStyle w:val="libFootnotenumChar"/>
          <w:rtl/>
        </w:rPr>
        <w:t>(6)</w:t>
      </w:r>
      <w:r w:rsidRPr="00132E65">
        <w:rPr>
          <w:rtl/>
          <w:lang w:bidi="fa-IR"/>
        </w:rPr>
        <w:t xml:space="preserve"> عَلى صَلَاحِكُمْ ، واللهُ عَلى مَا نَقُولُ وكِيلٌ »</w:t>
      </w:r>
      <w:r>
        <w:rPr>
          <w:rtl/>
          <w:lang w:bidi="fa-IR"/>
        </w:rPr>
        <w:t>.</w:t>
      </w:r>
    </w:p>
    <w:p w:rsidR="000C39D1" w:rsidRPr="00132E65" w:rsidRDefault="000C39D1" w:rsidP="000C39D1">
      <w:pPr>
        <w:pStyle w:val="libNormal"/>
        <w:rPr>
          <w:rtl/>
          <w:lang w:bidi="fa-IR"/>
        </w:rPr>
      </w:pPr>
      <w:r w:rsidRPr="00132E65">
        <w:rPr>
          <w:rtl/>
          <w:lang w:bidi="fa-IR"/>
        </w:rPr>
        <w:t xml:space="preserve">فَقَالَ الْعَبَّاسُ : مَا أَعْرَفَنِي </w:t>
      </w:r>
      <w:r>
        <w:rPr>
          <w:rStyle w:val="libFootnotenumChar"/>
          <w:rtl/>
        </w:rPr>
        <w:t>(7)</w:t>
      </w:r>
      <w:r w:rsidRPr="00132E65">
        <w:rPr>
          <w:rtl/>
          <w:lang w:bidi="fa-IR"/>
        </w:rPr>
        <w:t xml:space="preserve"> بِلِسَانِكَ</w:t>
      </w:r>
      <w:r>
        <w:rPr>
          <w:rtl/>
          <w:lang w:bidi="fa-IR"/>
        </w:rPr>
        <w:t>!</w:t>
      </w:r>
      <w:r w:rsidRPr="00132E65">
        <w:rPr>
          <w:rtl/>
          <w:lang w:bidi="fa-IR"/>
        </w:rPr>
        <w:t xml:space="preserve"> ولَيْسَ لِمِسْحَاتِكَ </w:t>
      </w:r>
      <w:r>
        <w:rPr>
          <w:rStyle w:val="libFootnotenumChar"/>
          <w:rtl/>
        </w:rPr>
        <w:t>(8)</w:t>
      </w:r>
      <w:r w:rsidRPr="00132E65">
        <w:rPr>
          <w:rtl/>
          <w:lang w:bidi="fa-IR"/>
        </w:rPr>
        <w:t xml:space="preserve"> عِنْدِي طِينٌ. فَافْتَرَقَ الْقَوْمُ عَلى هذَا ، وصَلَّى اللهُ عَلى مُحَمَّدٍ وآلِهِ.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6C159C">
        <w:rPr>
          <w:rtl/>
        </w:rPr>
        <w:t>832</w:t>
      </w:r>
      <w:r w:rsidRPr="004325D8">
        <w:rPr>
          <w:rStyle w:val="libBold2Char"/>
          <w:rtl/>
        </w:rPr>
        <w:t xml:space="preserve"> / 16.</w:t>
      </w:r>
      <w:r w:rsidRPr="00132E65">
        <w:rPr>
          <w:rtl/>
          <w:lang w:bidi="fa-IR"/>
        </w:rPr>
        <w:t xml:space="preserve"> مُحَمَّدُ بْنُ الْحَسَنِ ، عَنْ سَهْلِ بْنِ زِيَادٍ ، عَنْ مُحَمَّدِ بْنِ عَلِيٍّ وعُبَيْدِ اللهِ بْنِ الْمَرْزُبَانِ ، عَنِ ابْنِ سِنَانٍ ، قَالَ :</w:t>
      </w:r>
    </w:p>
    <w:p w:rsidR="000C39D1" w:rsidRPr="00132E65" w:rsidRDefault="000C39D1" w:rsidP="000C39D1">
      <w:pPr>
        <w:pStyle w:val="libNormal"/>
        <w:rPr>
          <w:rtl/>
          <w:lang w:bidi="fa-IR"/>
        </w:rPr>
      </w:pPr>
      <w:r w:rsidRPr="00132E65">
        <w:rPr>
          <w:rtl/>
          <w:lang w:bidi="fa-IR"/>
        </w:rPr>
        <w:t xml:space="preserve">دَخَلْتُ عَلى أَبِي الْحَسَنِ مُوسى </w:t>
      </w:r>
      <w:r w:rsidRPr="00071CF9">
        <w:rPr>
          <w:rStyle w:val="libAlaemChar"/>
          <w:rtl/>
        </w:rPr>
        <w:t>عليه‌السلام</w:t>
      </w:r>
      <w:r w:rsidRPr="00132E65">
        <w:rPr>
          <w:rtl/>
          <w:lang w:bidi="fa-IR"/>
        </w:rPr>
        <w:t xml:space="preserve"> مِنْ قَبْلِ أَنْ يَقْدَمَ الْعِرَاقَ بِسَنَةٍ وعَلِيٌّ ابْنُهُ جَالِسٌ بَيْنَ يَدَيْهِ ، فَنَظَرَ إِلَيَّ ، فَقَالَ </w:t>
      </w:r>
      <w:r>
        <w:rPr>
          <w:rStyle w:val="libFootnotenumChar"/>
          <w:rtl/>
        </w:rPr>
        <w:t>(10)</w:t>
      </w:r>
      <w:r w:rsidRPr="00132E65">
        <w:rPr>
          <w:rtl/>
          <w:lang w:bidi="fa-IR"/>
        </w:rPr>
        <w:t xml:space="preserve"> : « يَا مُحَمَّدُ ، أَمَا إِنَّهُ سَيَكُونُ </w:t>
      </w:r>
      <w:r>
        <w:rPr>
          <w:rStyle w:val="libFootnotenumChar"/>
          <w:rtl/>
        </w:rPr>
        <w:t>(11)</w:t>
      </w:r>
      <w:r w:rsidRPr="00132E65">
        <w:rPr>
          <w:rtl/>
          <w:lang w:bidi="fa-IR"/>
        </w:rPr>
        <w:t xml:space="preserve"> فِي هذِهِ السَّنَةِ حَرَكَةٌ ، فَلَا تَجْزَعْ لِذلِكَ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فاجرني »</w:t>
      </w:r>
      <w:r>
        <w:rPr>
          <w:rtl/>
        </w:rPr>
        <w:t>.</w:t>
      </w:r>
    </w:p>
    <w:p w:rsidR="000C39D1" w:rsidRPr="00132E65" w:rsidRDefault="000C39D1" w:rsidP="000C39D1">
      <w:pPr>
        <w:pStyle w:val="libFootnote0"/>
        <w:rPr>
          <w:rtl/>
          <w:lang w:bidi="fa-IR"/>
        </w:rPr>
      </w:pPr>
      <w:r>
        <w:rPr>
          <w:rtl/>
        </w:rPr>
        <w:t>(2).</w:t>
      </w:r>
      <w:r w:rsidRPr="00132E65">
        <w:rPr>
          <w:rtl/>
        </w:rPr>
        <w:t xml:space="preserve"> في « ب » : « فاجرني »</w:t>
      </w:r>
      <w:r>
        <w:rPr>
          <w:rtl/>
        </w:rPr>
        <w:t>.</w:t>
      </w:r>
    </w:p>
    <w:p w:rsidR="000C39D1" w:rsidRPr="00132E65" w:rsidRDefault="000C39D1" w:rsidP="000C39D1">
      <w:pPr>
        <w:pStyle w:val="libFootnote0"/>
        <w:rPr>
          <w:rtl/>
          <w:lang w:bidi="fa-IR"/>
        </w:rPr>
      </w:pPr>
      <w:r>
        <w:rPr>
          <w:rtl/>
        </w:rPr>
        <w:t>(3).</w:t>
      </w:r>
      <w:r w:rsidRPr="00132E65">
        <w:rPr>
          <w:rtl/>
        </w:rPr>
        <w:t xml:space="preserve"> في « ه‍ » : « واخس »</w:t>
      </w:r>
      <w:r>
        <w:rPr>
          <w:rtl/>
        </w:rPr>
        <w:t>.</w:t>
      </w:r>
      <w:r w:rsidRPr="00132E65">
        <w:rPr>
          <w:rtl/>
        </w:rPr>
        <w:t xml:space="preserve"> وقوله : « اخْسَأْ » ، أي اطرُدْ وأبْعِدْ. راجع : </w:t>
      </w:r>
      <w:r w:rsidRPr="006C159C">
        <w:rPr>
          <w:rtl/>
        </w:rPr>
        <w:t>النهاية</w:t>
      </w:r>
      <w:r w:rsidRPr="00132E65">
        <w:rPr>
          <w:rtl/>
        </w:rPr>
        <w:t xml:space="preserve"> ، ج 2 ، ص 31 ( خسأ )</w:t>
      </w:r>
      <w:r>
        <w:rPr>
          <w:rtl/>
        </w:rPr>
        <w:t>.</w:t>
      </w:r>
    </w:p>
    <w:p w:rsidR="000C39D1" w:rsidRPr="00132E65" w:rsidRDefault="000C39D1" w:rsidP="000C39D1">
      <w:pPr>
        <w:pStyle w:val="libFootnote0"/>
        <w:rPr>
          <w:rtl/>
          <w:lang w:bidi="fa-IR"/>
        </w:rPr>
      </w:pPr>
      <w:r>
        <w:rPr>
          <w:rtl/>
        </w:rPr>
        <w:t>(4).</w:t>
      </w:r>
      <w:r w:rsidRPr="00132E65">
        <w:rPr>
          <w:rtl/>
        </w:rPr>
        <w:t xml:space="preserve"> في « حاشية « ج » والبحار :</w:t>
      </w:r>
      <w:r>
        <w:rPr>
          <w:rtl/>
        </w:rPr>
        <w:t xml:space="preserve"> + </w:t>
      </w:r>
      <w:r w:rsidRPr="00132E65">
        <w:rPr>
          <w:rtl/>
        </w:rPr>
        <w:t>« شرّ »</w:t>
      </w:r>
      <w:r>
        <w:rPr>
          <w:rtl/>
        </w:rPr>
        <w:t>.</w:t>
      </w:r>
    </w:p>
    <w:p w:rsidR="000C39D1" w:rsidRPr="00132E65" w:rsidRDefault="000C39D1" w:rsidP="000C39D1">
      <w:pPr>
        <w:pStyle w:val="libFootnote0"/>
        <w:rPr>
          <w:rtl/>
          <w:lang w:bidi="fa-IR"/>
        </w:rPr>
      </w:pPr>
      <w:r>
        <w:rPr>
          <w:rtl/>
        </w:rPr>
        <w:t>(5).</w:t>
      </w:r>
      <w:r w:rsidRPr="00132E65">
        <w:rPr>
          <w:rtl/>
        </w:rPr>
        <w:t xml:space="preserve"> في « ج » : « الشياطين »</w:t>
      </w:r>
      <w:r>
        <w:rPr>
          <w:rtl/>
        </w:rPr>
        <w:t>.</w:t>
      </w:r>
    </w:p>
    <w:p w:rsidR="000C39D1" w:rsidRPr="00132E65" w:rsidRDefault="000C39D1" w:rsidP="000C39D1">
      <w:pPr>
        <w:pStyle w:val="libFootnote0"/>
        <w:rPr>
          <w:rtl/>
          <w:lang w:bidi="fa-IR"/>
        </w:rPr>
      </w:pPr>
      <w:r>
        <w:rPr>
          <w:rtl/>
        </w:rPr>
        <w:t>(6).</w:t>
      </w:r>
      <w:r w:rsidRPr="00132E65">
        <w:rPr>
          <w:rtl/>
        </w:rPr>
        <w:t xml:space="preserve"> في « بح » : « فجاهد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6C159C">
        <w:rPr>
          <w:rtl/>
        </w:rPr>
        <w:t>شرح المازندراني</w:t>
      </w:r>
      <w:r w:rsidRPr="00132E65">
        <w:rPr>
          <w:rtl/>
        </w:rPr>
        <w:t xml:space="preserve"> : « قوله : ما أعرفني بلسانك ، صيغة التعجّب ، ويحتمل أن يكون « ما » نافية ، والفاعل‌محذوف ، أي ما أعرفني شي‌ء بلسانك »</w:t>
      </w:r>
      <w:r>
        <w:rPr>
          <w:rtl/>
        </w:rPr>
        <w:t>.</w:t>
      </w:r>
    </w:p>
    <w:p w:rsidR="000C39D1" w:rsidRPr="00132E65" w:rsidRDefault="000C39D1" w:rsidP="000C39D1">
      <w:pPr>
        <w:pStyle w:val="libFootnote0"/>
        <w:rPr>
          <w:rtl/>
          <w:lang w:bidi="fa-IR"/>
        </w:rPr>
      </w:pPr>
      <w:r>
        <w:rPr>
          <w:rtl/>
        </w:rPr>
        <w:t>(8).</w:t>
      </w:r>
      <w:r w:rsidRPr="00132E65">
        <w:rPr>
          <w:rtl/>
        </w:rPr>
        <w:t xml:space="preserve"> « الم</w:t>
      </w:r>
      <w:r>
        <w:rPr>
          <w:rtl/>
        </w:rPr>
        <w:t>ِسْحاة » : آلة كالمِجْرَفَة إل</w:t>
      </w:r>
      <w:r>
        <w:rPr>
          <w:rFonts w:hint="cs"/>
          <w:rtl/>
        </w:rPr>
        <w:t>ّ</w:t>
      </w:r>
      <w:r>
        <w:rPr>
          <w:rtl/>
        </w:rPr>
        <w:t>ا</w:t>
      </w:r>
      <w:r>
        <w:rPr>
          <w:rFonts w:hint="cs"/>
          <w:rtl/>
        </w:rPr>
        <w:t xml:space="preserve"> </w:t>
      </w:r>
      <w:r w:rsidRPr="00132E65">
        <w:rPr>
          <w:rtl/>
        </w:rPr>
        <w:t xml:space="preserve">أنّها من حديد ، من سَحَوْتُ الطين عن وجه الأرض ، إذا جَرَفْتَهُ ، أي قشرته وأزلته. وهذا مثل يقال لمن لا يؤثّر كلامه أو حيلته في غيره. راجع : </w:t>
      </w:r>
      <w:r w:rsidRPr="006C159C">
        <w:rPr>
          <w:rtl/>
        </w:rPr>
        <w:t>الصحاح</w:t>
      </w:r>
      <w:r w:rsidRPr="00132E65">
        <w:rPr>
          <w:rtl/>
        </w:rPr>
        <w:t xml:space="preserve"> ، ج 6 ، ص 2373 ( سحا )</w:t>
      </w:r>
      <w:r>
        <w:rPr>
          <w:rtl/>
        </w:rPr>
        <w:t>.</w:t>
      </w:r>
    </w:p>
    <w:p w:rsidR="000C39D1" w:rsidRPr="00132E65" w:rsidRDefault="000C39D1" w:rsidP="000C39D1">
      <w:pPr>
        <w:pStyle w:val="libFootnote0"/>
        <w:rPr>
          <w:rtl/>
          <w:lang w:bidi="fa-IR"/>
        </w:rPr>
      </w:pPr>
      <w:r>
        <w:rPr>
          <w:rtl/>
        </w:rPr>
        <w:t>(9).</w:t>
      </w:r>
      <w:r w:rsidRPr="00132E65">
        <w:rPr>
          <w:rtl/>
        </w:rPr>
        <w:t xml:space="preserve"> </w:t>
      </w:r>
      <w:r w:rsidRPr="006C159C">
        <w:rPr>
          <w:rtl/>
        </w:rPr>
        <w:t>عيون الأخبار</w:t>
      </w:r>
      <w:r w:rsidRPr="00132E65">
        <w:rPr>
          <w:rtl/>
        </w:rPr>
        <w:t xml:space="preserve"> ، ج 1 ، ص 33 ، ح 1 ، بسند آخر ، مع اختلاف يسير</w:t>
      </w:r>
      <w:r>
        <w:rPr>
          <w:rFonts w:hint="cs"/>
          <w:rtl/>
        </w:rPr>
        <w:t>.</w:t>
      </w:r>
      <w:r w:rsidRPr="009D1ACE">
        <w:rPr>
          <w:rStyle w:val="libFootnoteBoldChar"/>
          <w:rtl/>
        </w:rPr>
        <w:t>الوافي</w:t>
      </w:r>
      <w:r w:rsidRPr="00132E65">
        <w:rPr>
          <w:rtl/>
        </w:rPr>
        <w:t xml:space="preserve"> ، ج 2 ، ص 366 ، ح 845 ؛ </w:t>
      </w:r>
      <w:r w:rsidRPr="006C159C">
        <w:rPr>
          <w:rtl/>
        </w:rPr>
        <w:t>البحار</w:t>
      </w:r>
      <w:r w:rsidRPr="00132E65">
        <w:rPr>
          <w:rtl/>
        </w:rPr>
        <w:t xml:space="preserve"> ، ج 49 ، ص 224 ، ح 17.</w:t>
      </w:r>
      <w:r>
        <w:rPr>
          <w:rFonts w:hint="cs"/>
          <w:rtl/>
        </w:rPr>
        <w:t xml:space="preserve">                    </w:t>
      </w:r>
      <w:r>
        <w:rPr>
          <w:rtl/>
        </w:rPr>
        <w:t>(10).</w:t>
      </w:r>
      <w:r w:rsidRPr="00132E65">
        <w:rPr>
          <w:rtl/>
        </w:rPr>
        <w:t xml:space="preserve"> في « بر » والإرشاد والغيبة : « وقال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ستكون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قُلْتُ : ومَا يَكُونُ جُعِلْتُ فِدَاكَ ؛ فَقَدْ أَقْلَقَنِي </w:t>
      </w:r>
      <w:r>
        <w:rPr>
          <w:rStyle w:val="libFootnotenumChar"/>
          <w:rtl/>
        </w:rPr>
        <w:t>(1)</w:t>
      </w:r>
      <w:r w:rsidRPr="00132E65">
        <w:rPr>
          <w:rtl/>
          <w:lang w:bidi="fa-IR"/>
        </w:rPr>
        <w:t xml:space="preserve"> مَا ذَكَرْتَ </w:t>
      </w:r>
      <w:r>
        <w:rPr>
          <w:rStyle w:val="libFootnotenumChar"/>
          <w:rtl/>
        </w:rPr>
        <w:t>(2)</w:t>
      </w:r>
      <w:r>
        <w:rPr>
          <w:rtl/>
          <w:lang w:bidi="fa-IR"/>
        </w:rPr>
        <w:t>؟</w:t>
      </w:r>
    </w:p>
    <w:p w:rsidR="000C39D1" w:rsidRPr="00132E65" w:rsidRDefault="000C39D1" w:rsidP="000C39D1">
      <w:pPr>
        <w:pStyle w:val="libNormal"/>
        <w:rPr>
          <w:rtl/>
          <w:lang w:bidi="fa-IR"/>
        </w:rPr>
      </w:pPr>
      <w:r w:rsidRPr="00132E65">
        <w:rPr>
          <w:rtl/>
          <w:lang w:bidi="fa-IR"/>
        </w:rPr>
        <w:t xml:space="preserve">فَقَالَ : « أَصِيرُ إِلَى الطَّاغِيَةِ </w:t>
      </w:r>
      <w:r>
        <w:rPr>
          <w:rStyle w:val="libFootnotenumChar"/>
          <w:rtl/>
        </w:rPr>
        <w:t>(3)</w:t>
      </w:r>
      <w:r w:rsidRPr="00132E65">
        <w:rPr>
          <w:rtl/>
          <w:lang w:bidi="fa-IR"/>
        </w:rPr>
        <w:t xml:space="preserve"> ، أَمَا إِنَّهُ لَايَبْدَأُنِي </w:t>
      </w:r>
      <w:r>
        <w:rPr>
          <w:rStyle w:val="libFootnotenumChar"/>
          <w:rtl/>
        </w:rPr>
        <w:t>(4)</w:t>
      </w:r>
      <w:r w:rsidRPr="00132E65">
        <w:rPr>
          <w:rtl/>
          <w:lang w:bidi="fa-IR"/>
        </w:rPr>
        <w:t xml:space="preserve"> مِنْهُ سُوءٌ </w:t>
      </w:r>
      <w:r>
        <w:rPr>
          <w:rStyle w:val="libFootnotenumChar"/>
          <w:rtl/>
        </w:rPr>
        <w:t>(5)</w:t>
      </w:r>
      <w:r w:rsidRPr="00132E65">
        <w:rPr>
          <w:rtl/>
          <w:lang w:bidi="fa-IR"/>
        </w:rPr>
        <w:t xml:space="preserve"> ومِنَ الَّذِي يَكُونُ بَعْدَهُ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قُلْتُ : ومَا يَكُونُ جُعِلْتُ فِدَاكَ </w:t>
      </w:r>
      <w:r>
        <w:rPr>
          <w:rStyle w:val="libFootnotenumChar"/>
          <w:rtl/>
        </w:rPr>
        <w:t>(7)</w:t>
      </w:r>
      <w:r>
        <w:rPr>
          <w:rtl/>
          <w:lang w:bidi="fa-IR"/>
        </w:rPr>
        <w:t>؟</w:t>
      </w:r>
    </w:p>
    <w:p w:rsidR="000C39D1" w:rsidRPr="00132E65" w:rsidRDefault="000C39D1" w:rsidP="000C39D1">
      <w:pPr>
        <w:pStyle w:val="libNormal"/>
        <w:rPr>
          <w:rtl/>
          <w:lang w:bidi="fa-IR"/>
        </w:rPr>
      </w:pPr>
      <w:r w:rsidRPr="00132E65">
        <w:rPr>
          <w:rtl/>
          <w:lang w:bidi="fa-IR"/>
        </w:rPr>
        <w:t>قَالَ : « يُضِلُّ اللهُ الظَّالِمِينَ ، ويَفْعَلُ اللهُ مَا يَشَاءُ »</w:t>
      </w:r>
      <w:r>
        <w:rPr>
          <w:rtl/>
          <w:lang w:bidi="fa-IR"/>
        </w:rPr>
        <w:t>.</w:t>
      </w:r>
    </w:p>
    <w:p w:rsidR="000C39D1" w:rsidRPr="00132E65" w:rsidRDefault="000C39D1" w:rsidP="000C39D1">
      <w:pPr>
        <w:pStyle w:val="libNormal"/>
        <w:rPr>
          <w:rtl/>
          <w:lang w:bidi="fa-IR"/>
        </w:rPr>
      </w:pPr>
      <w:r w:rsidRPr="00132E65">
        <w:rPr>
          <w:rtl/>
          <w:lang w:bidi="fa-IR"/>
        </w:rPr>
        <w:t xml:space="preserve">قَالَ : قُلْتُ : ومَا ذَاكَ </w:t>
      </w:r>
      <w:r>
        <w:rPr>
          <w:rStyle w:val="libFootnotenumChar"/>
          <w:rtl/>
        </w:rPr>
        <w:t>(8)</w:t>
      </w:r>
      <w:r w:rsidRPr="00132E65">
        <w:rPr>
          <w:rtl/>
          <w:lang w:bidi="fa-IR"/>
        </w:rPr>
        <w:t xml:space="preserve"> جُعِلْتُ فِدَاكَ </w:t>
      </w:r>
      <w:r>
        <w:rPr>
          <w:rStyle w:val="libFootnotenumChar"/>
          <w:rtl/>
        </w:rPr>
        <w:t>(9)</w:t>
      </w:r>
      <w:r>
        <w:rPr>
          <w:rtl/>
          <w:lang w:bidi="fa-IR"/>
        </w:rPr>
        <w:t>؟</w:t>
      </w:r>
    </w:p>
    <w:p w:rsidR="000C39D1" w:rsidRPr="00132E65" w:rsidRDefault="000C39D1" w:rsidP="000C39D1">
      <w:pPr>
        <w:pStyle w:val="libNormal"/>
        <w:rPr>
          <w:rtl/>
          <w:lang w:bidi="fa-IR"/>
        </w:rPr>
      </w:pPr>
      <w:r w:rsidRPr="00132E65">
        <w:rPr>
          <w:rtl/>
          <w:lang w:bidi="fa-IR"/>
        </w:rPr>
        <w:t xml:space="preserve">قَالَ : « مَنْ ظَلَمَ ابْنِي هذَا حَقَّهُ ، وجَحَدَ </w:t>
      </w:r>
      <w:r>
        <w:rPr>
          <w:rStyle w:val="libFootnotenumChar"/>
          <w:rtl/>
        </w:rPr>
        <w:t>(10)</w:t>
      </w:r>
      <w:r w:rsidRPr="00132E65">
        <w:rPr>
          <w:rtl/>
          <w:lang w:bidi="fa-IR"/>
        </w:rPr>
        <w:t xml:space="preserve"> إِمَامَتَهُ مِنْ بَعْدِي ، كَانَ كَمَنْ ظَلَمَ عَلِيَّ بْنَ أَبِي طَالِبٍ </w:t>
      </w:r>
      <w:r w:rsidRPr="00071CF9">
        <w:rPr>
          <w:rStyle w:val="libAlaemChar"/>
          <w:rtl/>
        </w:rPr>
        <w:t>عليه‌السلام</w:t>
      </w:r>
      <w:r w:rsidRPr="00132E65">
        <w:rPr>
          <w:rtl/>
          <w:lang w:bidi="fa-IR"/>
        </w:rPr>
        <w:t xml:space="preserve"> حَقَّهُ ، وجَحَدَهُ إِمَامَتَهُ بَعْدَ </w:t>
      </w:r>
      <w:r>
        <w:rPr>
          <w:rStyle w:val="libFootnotenumChar"/>
          <w:rtl/>
        </w:rPr>
        <w:t>(11)</w:t>
      </w:r>
      <w:r w:rsidRPr="00132E65">
        <w:rPr>
          <w:rtl/>
          <w:lang w:bidi="fa-IR"/>
        </w:rPr>
        <w:t xml:space="preserve"> رَسُولِ اللهِ </w:t>
      </w:r>
      <w:r w:rsidRPr="00071CF9">
        <w:rPr>
          <w:rStyle w:val="libAlaemChar"/>
          <w:rtl/>
        </w:rPr>
        <w:t>صلى‌الله‌عليه‌وآله</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قُلْتُ : واللهِ ، لَئِنْ مَدَّ اللهُ لِي فِي الْعُمُرِ ، لَأُسَلِّمَنَّ لَهُ حَقَّهُ ، ولَأُقِرَّنَّ لَهُ </w:t>
      </w:r>
      <w:r>
        <w:rPr>
          <w:rStyle w:val="libFootnotenumChar"/>
          <w:rtl/>
        </w:rPr>
        <w:t>(12)</w:t>
      </w:r>
      <w:r w:rsidRPr="00132E65">
        <w:rPr>
          <w:rtl/>
          <w:lang w:bidi="fa-IR"/>
        </w:rPr>
        <w:t xml:space="preserve"> بِإِمَامَتِهِ.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أقلقني » ، أي أزعجني وأدهشني. يقال : قلق قلقاً ، أي اضطرب. وأقلقه الهمّ وغيره : أزعجه. راجع : </w:t>
      </w:r>
      <w:r w:rsidRPr="006C159C">
        <w:rPr>
          <w:rtl/>
        </w:rPr>
        <w:t>المصباح المنير</w:t>
      </w:r>
      <w:r w:rsidRPr="00132E65">
        <w:rPr>
          <w:rtl/>
        </w:rPr>
        <w:t xml:space="preserve"> ، ص 514 ( قلق )</w:t>
      </w:r>
      <w:r>
        <w:rPr>
          <w:rtl/>
        </w:rPr>
        <w:t>.</w:t>
      </w:r>
    </w:p>
    <w:p w:rsidR="000C39D1" w:rsidRPr="00132E65" w:rsidRDefault="000C39D1" w:rsidP="000C39D1">
      <w:pPr>
        <w:pStyle w:val="libFootnote0"/>
        <w:rPr>
          <w:rtl/>
          <w:lang w:bidi="fa-IR"/>
        </w:rPr>
      </w:pPr>
      <w:r>
        <w:rPr>
          <w:rtl/>
        </w:rPr>
        <w:t>(2).</w:t>
      </w:r>
      <w:r w:rsidRPr="00132E65">
        <w:rPr>
          <w:rtl/>
        </w:rPr>
        <w:t xml:space="preserve"> في الإرشاد والغيبة : « جعلني الله فداك فقد أقلقتني » بدل « جعلت فداك فقد أقلقني ما ذكرت »</w:t>
      </w:r>
      <w:r>
        <w:rPr>
          <w:rtl/>
        </w:rPr>
        <w:t>.</w:t>
      </w:r>
    </w:p>
    <w:p w:rsidR="000C39D1" w:rsidRPr="00132E65" w:rsidRDefault="000C39D1" w:rsidP="000C39D1">
      <w:pPr>
        <w:pStyle w:val="libFootnote0"/>
        <w:rPr>
          <w:rtl/>
          <w:lang w:bidi="fa-IR"/>
        </w:rPr>
      </w:pPr>
      <w:r>
        <w:rPr>
          <w:rtl/>
        </w:rPr>
        <w:t>(3).</w:t>
      </w:r>
      <w:r w:rsidRPr="00132E65">
        <w:rPr>
          <w:rtl/>
        </w:rPr>
        <w:t xml:space="preserve"> في حاشية « ج » : « الطاغية هذه »</w:t>
      </w:r>
      <w:r>
        <w:rPr>
          <w:rtl/>
        </w:rPr>
        <w:t>.</w:t>
      </w:r>
      <w:r w:rsidRPr="00132E65">
        <w:rPr>
          <w:rtl/>
        </w:rPr>
        <w:t xml:space="preserve"> وفي الإرشاد والغيبة : « إلى هذه الطاغية »</w:t>
      </w:r>
      <w:r>
        <w:rPr>
          <w:rtl/>
        </w:rPr>
        <w:t>.</w:t>
      </w:r>
      <w:r w:rsidRPr="00132E65">
        <w:rPr>
          <w:rtl/>
        </w:rPr>
        <w:t xml:space="preserve"> وفي </w:t>
      </w:r>
      <w:r w:rsidRPr="009D1ACE">
        <w:rPr>
          <w:rStyle w:val="libFootnoteBoldChar"/>
          <w:rtl/>
        </w:rPr>
        <w:t>الوافي</w:t>
      </w:r>
      <w:r w:rsidRPr="00132E65">
        <w:rPr>
          <w:rtl/>
        </w:rPr>
        <w:t xml:space="preserve"> : « كأنّه أراد به من كان خليفة قبل هارون وقبل الذي قبله ؛ إذ ناله السوء من قِبل هارون. وقد وقع التصريح بأنّه المهديّ في حديث أبي خالد الزبالي [ المذكور في </w:t>
      </w:r>
      <w:r w:rsidRPr="000577A7">
        <w:rPr>
          <w:rStyle w:val="libFootnoteBoldChar"/>
          <w:rtl/>
        </w:rPr>
        <w:t>الكافي</w:t>
      </w:r>
      <w:r w:rsidRPr="00132E65">
        <w:rPr>
          <w:rtl/>
        </w:rPr>
        <w:t xml:space="preserve"> ، كتاب الحجّة ، باب مولد أبي الحسن موسى بن جعفر </w:t>
      </w:r>
      <w:r w:rsidRPr="00D03C29">
        <w:rPr>
          <w:rStyle w:val="libFootnoteAlaemChar"/>
          <w:rtl/>
        </w:rPr>
        <w:t>عليهما‌السلام</w:t>
      </w:r>
      <w:r w:rsidRPr="00132E65">
        <w:rPr>
          <w:rtl/>
        </w:rPr>
        <w:t xml:space="preserve"> ، ح 1291. وفيه « الزبالي » بدل « الزابلي » ] »</w:t>
      </w:r>
      <w:r>
        <w:rPr>
          <w:rtl/>
        </w:rPr>
        <w:t>.</w:t>
      </w:r>
    </w:p>
    <w:p w:rsidR="000C39D1" w:rsidRPr="00132E65" w:rsidRDefault="000C39D1" w:rsidP="000C39D1">
      <w:pPr>
        <w:pStyle w:val="libFootnote0"/>
        <w:rPr>
          <w:rtl/>
          <w:lang w:bidi="fa-IR"/>
        </w:rPr>
      </w:pPr>
      <w:r>
        <w:rPr>
          <w:rtl/>
        </w:rPr>
        <w:t>(4).</w:t>
      </w:r>
      <w:r w:rsidRPr="00132E65">
        <w:rPr>
          <w:rtl/>
        </w:rPr>
        <w:t xml:space="preserve"> في « بر » : « لا يبتدئني »</w:t>
      </w:r>
      <w:r>
        <w:rPr>
          <w:rtl/>
        </w:rPr>
        <w:t>.</w:t>
      </w:r>
      <w:r w:rsidRPr="00132E65">
        <w:rPr>
          <w:rtl/>
        </w:rPr>
        <w:t xml:space="preserve"> وفي </w:t>
      </w:r>
      <w:r w:rsidRPr="009D1ACE">
        <w:rPr>
          <w:rStyle w:val="libFootnoteBoldChar"/>
          <w:rtl/>
        </w:rPr>
        <w:t>مرآة العقول</w:t>
      </w:r>
      <w:r w:rsidRPr="00132E65">
        <w:rPr>
          <w:rtl/>
        </w:rPr>
        <w:t xml:space="preserve"> : « ثمّ إنّه في أكثر النسخ : يبداني ، بالنون ، أي لا يصل إليّ منه ابتداءً سوء. وفي بعض النسخ بالباء ، فيقرأ : يُبدأ على بناء المجهول. والظرف نائب مناب الفاعل. يقال : بدأه وأبدأ ، إذا فعله ابتداءً. وقيل : هو من البدوّ بمعنى الظهور ، وهو بعيد »</w:t>
      </w:r>
      <w:r>
        <w:rPr>
          <w:rtl/>
        </w:rPr>
        <w:t>.</w:t>
      </w:r>
      <w:r w:rsidRPr="00132E65">
        <w:rPr>
          <w:rtl/>
        </w:rPr>
        <w:t xml:space="preserve"> وفي </w:t>
      </w:r>
      <w:r w:rsidRPr="006C159C">
        <w:rPr>
          <w:rtl/>
        </w:rPr>
        <w:t>الإرشاد</w:t>
      </w:r>
      <w:r w:rsidRPr="00132E65">
        <w:rPr>
          <w:rtl/>
        </w:rPr>
        <w:t xml:space="preserve"> : « ينداني » ، أي لايعيبني.</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حاشية « ف » : « بسوء »</w:t>
            </w:r>
            <w:r>
              <w:rPr>
                <w:rtl/>
              </w:rPr>
              <w:t>.</w:t>
            </w:r>
          </w:p>
        </w:tc>
        <w:tc>
          <w:tcPr>
            <w:tcW w:w="4006" w:type="dxa"/>
          </w:tcPr>
          <w:p w:rsidR="000C39D1" w:rsidRDefault="000C39D1" w:rsidP="00B53873">
            <w:pPr>
              <w:pStyle w:val="libFootnote0"/>
              <w:rPr>
                <w:rtl/>
              </w:rPr>
            </w:pPr>
            <w:r>
              <w:rPr>
                <w:rtl/>
              </w:rPr>
              <w:t>(6).</w:t>
            </w:r>
            <w:r w:rsidRPr="00132E65">
              <w:rPr>
                <w:rtl/>
              </w:rPr>
              <w:t xml:space="preserve"> في الإرشاد : « ولا من الذي يكون من بعده »</w:t>
            </w:r>
            <w:r>
              <w:rPr>
                <w:rtl/>
              </w:rPr>
              <w:t>.</w:t>
            </w:r>
          </w:p>
        </w:tc>
      </w:tr>
    </w:tbl>
    <w:p w:rsidR="000C39D1" w:rsidRPr="00132E65" w:rsidRDefault="000C39D1" w:rsidP="000C39D1">
      <w:pPr>
        <w:pStyle w:val="libFootnote0"/>
        <w:rPr>
          <w:rtl/>
          <w:lang w:bidi="fa-IR"/>
        </w:rPr>
      </w:pPr>
      <w:r>
        <w:rPr>
          <w:rtl/>
        </w:rPr>
        <w:t>(7).</w:t>
      </w:r>
      <w:r w:rsidRPr="00132E65">
        <w:rPr>
          <w:rtl/>
        </w:rPr>
        <w:t xml:space="preserve"> في الإرشاد والغيبة : « جعلني الله فداك »</w:t>
      </w:r>
      <w:r>
        <w:rPr>
          <w:rtl/>
        </w:rPr>
        <w:t>.</w:t>
      </w:r>
    </w:p>
    <w:p w:rsidR="000C39D1" w:rsidRPr="00132E65" w:rsidRDefault="000C39D1" w:rsidP="000C39D1">
      <w:pPr>
        <w:pStyle w:val="libFootnote0"/>
        <w:rPr>
          <w:rtl/>
          <w:lang w:bidi="fa-IR"/>
        </w:rPr>
      </w:pPr>
      <w:r>
        <w:rPr>
          <w:rtl/>
        </w:rPr>
        <w:t>(8).</w:t>
      </w:r>
      <w:r w:rsidRPr="00132E65">
        <w:rPr>
          <w:rtl/>
        </w:rPr>
        <w:t xml:space="preserve"> في « ض » والغيبة : « ذلك »</w:t>
      </w:r>
      <w:r>
        <w:rPr>
          <w:rtl/>
        </w:rPr>
        <w:t>.</w:t>
      </w:r>
    </w:p>
    <w:p w:rsidR="000C39D1" w:rsidRPr="00132E65" w:rsidRDefault="000C39D1" w:rsidP="000C39D1">
      <w:pPr>
        <w:pStyle w:val="libFootnote0"/>
        <w:rPr>
          <w:rtl/>
          <w:lang w:bidi="fa-IR"/>
        </w:rPr>
      </w:pPr>
      <w:r>
        <w:rPr>
          <w:rtl/>
        </w:rPr>
        <w:t>(9).</w:t>
      </w:r>
      <w:r w:rsidRPr="00132E65">
        <w:rPr>
          <w:rtl/>
        </w:rPr>
        <w:t xml:space="preserve"> في الإرشاد والغيبة : « جعلني الله فداك »</w:t>
      </w:r>
      <w:r>
        <w:rPr>
          <w:rtl/>
        </w:rPr>
        <w:t>.</w:t>
      </w:r>
    </w:p>
    <w:p w:rsidR="000C39D1" w:rsidRPr="00132E65" w:rsidRDefault="000C39D1" w:rsidP="000C39D1">
      <w:pPr>
        <w:pStyle w:val="libFootnote0"/>
        <w:rPr>
          <w:rtl/>
          <w:lang w:bidi="fa-IR"/>
        </w:rPr>
      </w:pPr>
      <w:r>
        <w:rPr>
          <w:rtl/>
        </w:rPr>
        <w:t>(10).</w:t>
      </w:r>
      <w:r w:rsidRPr="00132E65">
        <w:rPr>
          <w:rtl/>
        </w:rPr>
        <w:t xml:space="preserve"> في « ب ، ج ، ف ، ه‍ ، بس ، بف » و</w:t>
      </w:r>
      <w:r w:rsidRPr="009D1ACE">
        <w:rPr>
          <w:rStyle w:val="libFootnoteBoldChar"/>
          <w:rtl/>
        </w:rPr>
        <w:t>الوافي</w:t>
      </w:r>
      <w:r w:rsidRPr="00132E65">
        <w:rPr>
          <w:rtl/>
        </w:rPr>
        <w:t xml:space="preserve"> والإرشاد والغيبة : « جحده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 ب » : « من بعد »</w:t>
            </w:r>
            <w:r>
              <w:rPr>
                <w:rtl/>
              </w:rPr>
              <w:t>.</w:t>
            </w:r>
          </w:p>
        </w:tc>
        <w:tc>
          <w:tcPr>
            <w:tcW w:w="4006" w:type="dxa"/>
          </w:tcPr>
          <w:p w:rsidR="000C39D1" w:rsidRDefault="000C39D1" w:rsidP="00B53873">
            <w:pPr>
              <w:pStyle w:val="libFootnote0"/>
              <w:rPr>
                <w:rtl/>
              </w:rPr>
            </w:pPr>
            <w:r>
              <w:rPr>
                <w:rtl/>
              </w:rPr>
              <w:t>(12).</w:t>
            </w:r>
            <w:r w:rsidRPr="00132E65">
              <w:rPr>
                <w:rtl/>
              </w:rPr>
              <w:t xml:space="preserve"> في « ف » والإرشاد والغيبة </w:t>
            </w:r>
            <w:r>
              <w:rPr>
                <w:rtl/>
              </w:rPr>
              <w:t xml:space="preserve">: - </w:t>
            </w:r>
            <w:r w:rsidRPr="00132E65">
              <w:rPr>
                <w:rtl/>
              </w:rPr>
              <w:t>« له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 صَدَقْتَ يَا مُحَمَّدُ ، يَمُدُّ </w:t>
      </w:r>
      <w:r>
        <w:rPr>
          <w:rStyle w:val="libFootnotenumChar"/>
          <w:rtl/>
        </w:rPr>
        <w:t>(1)</w:t>
      </w:r>
      <w:r w:rsidRPr="00132E65">
        <w:rPr>
          <w:rtl/>
          <w:lang w:bidi="fa-IR"/>
        </w:rPr>
        <w:t xml:space="preserve"> اللهُ فِي عُمُرِكَ ، وتُسَلِّمُ </w:t>
      </w:r>
      <w:r>
        <w:rPr>
          <w:rStyle w:val="libFootnotenumChar"/>
          <w:rtl/>
        </w:rPr>
        <w:t>(2)</w:t>
      </w:r>
      <w:r w:rsidRPr="00132E65">
        <w:rPr>
          <w:rtl/>
          <w:lang w:bidi="fa-IR"/>
        </w:rPr>
        <w:t xml:space="preserve"> لَهُ حَقَّهُ ، وتُقِرُّ لَهُ بِإِمَامَتِهِ وَإِمَامَةِ مَنْ يَكُونُ مِنْ بَعْدِهِ »</w:t>
      </w:r>
      <w:r>
        <w:rPr>
          <w:rtl/>
          <w:lang w:bidi="fa-IR"/>
        </w:rPr>
        <w:t>.</w:t>
      </w:r>
    </w:p>
    <w:p w:rsidR="000C39D1" w:rsidRPr="00132E65" w:rsidRDefault="000C39D1" w:rsidP="000C39D1">
      <w:pPr>
        <w:pStyle w:val="libNormal"/>
        <w:rPr>
          <w:rtl/>
          <w:lang w:bidi="fa-IR"/>
        </w:rPr>
      </w:pPr>
      <w:r w:rsidRPr="00132E65">
        <w:rPr>
          <w:rtl/>
          <w:lang w:bidi="fa-IR"/>
        </w:rPr>
        <w:t>قَالَ : قُلْتُ : ومَنْ ذَاكَ</w:t>
      </w:r>
      <w:r>
        <w:rPr>
          <w:rtl/>
          <w:lang w:bidi="fa-IR"/>
        </w:rPr>
        <w:t>؟</w:t>
      </w:r>
      <w:r w:rsidRPr="00132E65">
        <w:rPr>
          <w:rtl/>
          <w:lang w:bidi="fa-IR"/>
        </w:rPr>
        <w:t xml:space="preserve"> قَالَ : « مُحَمَّدٌ ابْنُهُ </w:t>
      </w:r>
      <w:r>
        <w:rPr>
          <w:rStyle w:val="libFootnotenumChar"/>
          <w:rtl/>
        </w:rPr>
        <w:t>(3)</w:t>
      </w:r>
      <w:r w:rsidRPr="00132E65">
        <w:rPr>
          <w:rtl/>
          <w:lang w:bidi="fa-IR"/>
        </w:rPr>
        <w:t xml:space="preserve"> »</w:t>
      </w:r>
      <w:r>
        <w:rPr>
          <w:rtl/>
          <w:lang w:bidi="fa-IR"/>
        </w:rPr>
        <w:t>.</w:t>
      </w:r>
      <w:r w:rsidRPr="00132E65">
        <w:rPr>
          <w:rtl/>
          <w:lang w:bidi="fa-IR"/>
        </w:rPr>
        <w:t xml:space="preserve"> قَالَ : قُلْتُ لَهُ : الرِّضَا والتَّسْلِيمُ. </w:t>
      </w:r>
      <w:r>
        <w:rPr>
          <w:rStyle w:val="libFootnotenumChar"/>
          <w:rtl/>
        </w:rPr>
        <w:t>(4)</w:t>
      </w:r>
      <w:r w:rsidRPr="00132E65">
        <w:rPr>
          <w:rtl/>
          <w:lang w:bidi="fa-IR"/>
        </w:rPr>
        <w:t>‌</w:t>
      </w:r>
    </w:p>
    <w:p w:rsidR="000C39D1" w:rsidRPr="00132E65" w:rsidRDefault="000C39D1" w:rsidP="000C39D1">
      <w:pPr>
        <w:pStyle w:val="Heading2Center"/>
        <w:rPr>
          <w:rtl/>
          <w:lang w:bidi="fa-IR"/>
        </w:rPr>
      </w:pPr>
      <w:bookmarkStart w:id="27" w:name="_Toc459459101"/>
      <w:bookmarkStart w:id="28" w:name="_Toc34663070"/>
      <w:r w:rsidRPr="00132E65">
        <w:rPr>
          <w:rtl/>
          <w:lang w:bidi="fa-IR"/>
        </w:rPr>
        <w:t>73</w:t>
      </w:r>
      <w:r>
        <w:rPr>
          <w:rtl/>
          <w:lang w:bidi="fa-IR"/>
        </w:rPr>
        <w:t xml:space="preserve"> - </w:t>
      </w:r>
      <w:r w:rsidRPr="00132E65">
        <w:rPr>
          <w:rtl/>
          <w:lang w:bidi="fa-IR"/>
        </w:rPr>
        <w:t xml:space="preserve">بَابُ الْإِشَارَةِ والنَّصِّ عَلى أَبِي جَعْفَرٍ الثَّانِي </w:t>
      </w:r>
      <w:r w:rsidRPr="00071CF9">
        <w:rPr>
          <w:rStyle w:val="libAlaemChar"/>
          <w:rtl/>
        </w:rPr>
        <w:t>عليه‌السلام</w:t>
      </w:r>
      <w:r w:rsidRPr="00132E65">
        <w:rPr>
          <w:rtl/>
          <w:lang w:bidi="fa-IR"/>
        </w:rPr>
        <w:t>‌</w:t>
      </w:r>
      <w:bookmarkEnd w:id="27"/>
      <w:bookmarkEnd w:id="28"/>
    </w:p>
    <w:p w:rsidR="000C39D1" w:rsidRPr="00132E65" w:rsidRDefault="000C39D1" w:rsidP="000C39D1">
      <w:pPr>
        <w:pStyle w:val="libNormal"/>
        <w:rPr>
          <w:rtl/>
          <w:lang w:bidi="fa-IR"/>
        </w:rPr>
      </w:pPr>
      <w:r w:rsidRPr="006C159C">
        <w:rPr>
          <w:rtl/>
        </w:rPr>
        <w:t>833</w:t>
      </w:r>
      <w:r w:rsidRPr="004325D8">
        <w:rPr>
          <w:rStyle w:val="libBold2Char"/>
          <w:rtl/>
        </w:rPr>
        <w:t xml:space="preserve"> / 1.</w:t>
      </w:r>
      <w:r w:rsidRPr="00132E65">
        <w:rPr>
          <w:rtl/>
          <w:lang w:bidi="fa-IR"/>
        </w:rPr>
        <w:t xml:space="preserve"> عَلِيُّ بْنُ مُحَمَّدٍ ، عَنْ سَهْلِ بْنِ زِيَادٍ ، عَنْ مُحَمَّدِ بْنِ الْوَلِيدِ ، عَنْ يَحْيَى بْنِ حَبِيبٍ الزَّيَّاتِ ، قَالَ :</w:t>
      </w:r>
    </w:p>
    <w:p w:rsidR="000C39D1" w:rsidRPr="00132E65" w:rsidRDefault="000C39D1" w:rsidP="000C39D1">
      <w:pPr>
        <w:pStyle w:val="libNormal"/>
        <w:rPr>
          <w:rtl/>
          <w:lang w:bidi="fa-IR"/>
        </w:rPr>
      </w:pPr>
      <w:r w:rsidRPr="00132E65">
        <w:rPr>
          <w:rtl/>
          <w:lang w:bidi="fa-IR"/>
        </w:rPr>
        <w:t xml:space="preserve">أَخْبَرَنِي مَنْ كَانَ عِنْدَ أَبِي الْحَسَنِ الرِّضَا </w:t>
      </w:r>
      <w:r w:rsidRPr="00071CF9">
        <w:rPr>
          <w:rStyle w:val="libAlaemChar"/>
          <w:rtl/>
        </w:rPr>
        <w:t>عليه‌السلام</w:t>
      </w:r>
      <w:r w:rsidRPr="00132E65">
        <w:rPr>
          <w:rtl/>
          <w:lang w:bidi="fa-IR"/>
        </w:rPr>
        <w:t xml:space="preserve"> جَالِساً ، فَلَمَّا نَهَضُوا ، قَالَ لَهُمُ : « الْقَوْا أَبَا جَعْفَرٍ ، فَسَلِّمُوا عَلَيْهِ ، وأَحْدِثُوا </w:t>
      </w:r>
      <w:r>
        <w:rPr>
          <w:rStyle w:val="libFootnotenumChar"/>
          <w:rtl/>
        </w:rPr>
        <w:t>(5)</w:t>
      </w:r>
      <w:r w:rsidRPr="00132E65">
        <w:rPr>
          <w:rtl/>
          <w:lang w:bidi="fa-IR"/>
        </w:rPr>
        <w:t xml:space="preserve"> بِهِ عَهْداً » فَلَمَّا نَهَضَ الْقَوْمُ ، الْتَفَتَ إِلَيَّ ، فَقَالَ : « يَرْحَمُ </w:t>
      </w:r>
      <w:r>
        <w:rPr>
          <w:rStyle w:val="libFootnotenumChar"/>
          <w:rtl/>
        </w:rPr>
        <w:t>(6)</w:t>
      </w:r>
      <w:r w:rsidRPr="00132E65">
        <w:rPr>
          <w:rtl/>
          <w:lang w:bidi="fa-IR"/>
        </w:rPr>
        <w:t xml:space="preserve"> اللهُ الْمُفَضَّلَ ؛ إِنَّهُ كَانَ لَيَقْنَعُ بِدُونِ هذَا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6C159C">
        <w:rPr>
          <w:rtl/>
        </w:rPr>
        <w:t>834</w:t>
      </w:r>
      <w:r w:rsidRPr="004325D8">
        <w:rPr>
          <w:rStyle w:val="libBold2Char"/>
          <w:rtl/>
        </w:rPr>
        <w:t xml:space="preserve"> / 2.</w:t>
      </w:r>
      <w:r w:rsidRPr="00132E65">
        <w:rPr>
          <w:rtl/>
          <w:lang w:bidi="fa-IR"/>
        </w:rPr>
        <w:t xml:space="preserve"> مُحَمَّدُ بْنُ يَحْيى ، عَنْ أَحْمَدَ بْنِ مُحَمَّدٍ ، عَنْ مُعَمَّرِ بْنِ خَلاَّدٍ ، قَالَ :</w:t>
      </w:r>
    </w:p>
    <w:p w:rsidR="000C39D1" w:rsidRPr="00132E65" w:rsidRDefault="000C39D1" w:rsidP="000C39D1">
      <w:pPr>
        <w:pStyle w:val="libNormal"/>
        <w:rPr>
          <w:rtl/>
          <w:lang w:bidi="fa-IR"/>
        </w:rPr>
      </w:pPr>
      <w:r w:rsidRPr="00132E65">
        <w:rPr>
          <w:rtl/>
          <w:lang w:bidi="fa-IR"/>
        </w:rPr>
        <w:t xml:space="preserve">سَمِعْتُ الرِّضَا </w:t>
      </w:r>
      <w:r w:rsidRPr="00071CF9">
        <w:rPr>
          <w:rStyle w:val="libAlaemChar"/>
          <w:rtl/>
        </w:rPr>
        <w:t>عليه‌السلام</w:t>
      </w:r>
      <w:r>
        <w:rPr>
          <w:rtl/>
          <w:lang w:bidi="fa-IR"/>
        </w:rPr>
        <w:t xml:space="preserve"> - </w:t>
      </w:r>
      <w:r w:rsidRPr="00132E65">
        <w:rPr>
          <w:rtl/>
          <w:lang w:bidi="fa-IR"/>
        </w:rPr>
        <w:t xml:space="preserve">وذَكَرَ </w:t>
      </w:r>
      <w:r>
        <w:rPr>
          <w:rStyle w:val="libFootnotenumChar"/>
          <w:rtl/>
        </w:rPr>
        <w:t>(8)</w:t>
      </w:r>
      <w:r w:rsidRPr="00132E65">
        <w:rPr>
          <w:rtl/>
          <w:lang w:bidi="fa-IR"/>
        </w:rPr>
        <w:t xml:space="preserve"> شَيْئاً</w:t>
      </w:r>
      <w:r>
        <w:rPr>
          <w:rtl/>
          <w:lang w:bidi="fa-IR"/>
        </w:rPr>
        <w:t xml:space="preserve"> - </w:t>
      </w:r>
      <w:r w:rsidRPr="00132E65">
        <w:rPr>
          <w:rtl/>
          <w:lang w:bidi="fa-IR"/>
        </w:rPr>
        <w:t>فَقَالَ : « مَا حَاجَتُكُمْ إِلى ذلِكَ</w:t>
      </w:r>
      <w:r>
        <w:rPr>
          <w:rtl/>
          <w:lang w:bidi="fa-IR"/>
        </w:rPr>
        <w:t>؟</w:t>
      </w:r>
      <w:r w:rsidRPr="00132E65">
        <w:rPr>
          <w:rtl/>
          <w:lang w:bidi="fa-IR"/>
        </w:rPr>
        <w:t xml:space="preserve"> هذَا أَبُو جَعْفَرٍ قَدْ أَجْلَسْتُهُ مَجْلِسِي ، وصَيَّرْتُهُ مَكَانِي »</w:t>
      </w:r>
      <w:r>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ه‍ » : « مدّ »</w:t>
            </w:r>
            <w:r>
              <w:rPr>
                <w:rtl/>
              </w:rPr>
              <w:t>.</w:t>
            </w:r>
          </w:p>
        </w:tc>
        <w:tc>
          <w:tcPr>
            <w:tcW w:w="4006" w:type="dxa"/>
          </w:tcPr>
          <w:p w:rsidR="000C39D1" w:rsidRDefault="000C39D1" w:rsidP="00B53873">
            <w:pPr>
              <w:pStyle w:val="libFootnote0"/>
              <w:rPr>
                <w:rtl/>
              </w:rPr>
            </w:pPr>
            <w:r>
              <w:rPr>
                <w:rtl/>
              </w:rPr>
              <w:t>(2).</w:t>
            </w:r>
            <w:r w:rsidRPr="00132E65">
              <w:rPr>
                <w:rtl/>
              </w:rPr>
              <w:t xml:space="preserve"> في « بف » : « تسلّمه »</w:t>
            </w:r>
            <w:r>
              <w:rPr>
                <w:rtl/>
              </w:rPr>
              <w:t>.</w:t>
            </w:r>
          </w:p>
        </w:tc>
      </w:tr>
    </w:tbl>
    <w:p w:rsidR="000C39D1" w:rsidRPr="00132E65" w:rsidRDefault="000C39D1" w:rsidP="000C39D1">
      <w:pPr>
        <w:pStyle w:val="libFootnote0"/>
        <w:rPr>
          <w:rtl/>
          <w:lang w:bidi="fa-IR"/>
        </w:rPr>
      </w:pPr>
      <w:r>
        <w:rPr>
          <w:rtl/>
        </w:rPr>
        <w:t>(3).</w:t>
      </w:r>
      <w:r w:rsidRPr="00132E65">
        <w:rPr>
          <w:rtl/>
        </w:rPr>
        <w:t xml:space="preserve"> في الإرشاد والغيبة : « ابنه محمّد »</w:t>
      </w:r>
      <w:r>
        <w:rPr>
          <w:rtl/>
        </w:rPr>
        <w:t>.</w:t>
      </w:r>
    </w:p>
    <w:p w:rsidR="000C39D1" w:rsidRPr="00132E65" w:rsidRDefault="000C39D1" w:rsidP="000C39D1">
      <w:pPr>
        <w:pStyle w:val="libFootnote0"/>
        <w:rPr>
          <w:rtl/>
          <w:lang w:bidi="fa-IR"/>
        </w:rPr>
      </w:pPr>
      <w:r>
        <w:rPr>
          <w:rtl/>
        </w:rPr>
        <w:t>(4).</w:t>
      </w:r>
      <w:r w:rsidRPr="00132E65">
        <w:rPr>
          <w:rtl/>
        </w:rPr>
        <w:t xml:space="preserve"> </w:t>
      </w:r>
      <w:r w:rsidRPr="006C159C">
        <w:rPr>
          <w:rtl/>
        </w:rPr>
        <w:t>الإرشاد</w:t>
      </w:r>
      <w:r w:rsidRPr="00132E65">
        <w:rPr>
          <w:rtl/>
        </w:rPr>
        <w:t xml:space="preserve"> ، ج 2 ، ص 252 ، بسنده عن الكليني ؛ </w:t>
      </w:r>
      <w:r w:rsidRPr="006C159C">
        <w:rPr>
          <w:rtl/>
        </w:rPr>
        <w:t>الغيبة</w:t>
      </w:r>
      <w:r w:rsidRPr="00132E65">
        <w:rPr>
          <w:rtl/>
        </w:rPr>
        <w:t xml:space="preserve"> للطوسي ، ص 32 ، ح 8 ، عن الكليني. وفي </w:t>
      </w:r>
      <w:r w:rsidRPr="006C159C">
        <w:rPr>
          <w:rtl/>
        </w:rPr>
        <w:t>عيون الأخبار</w:t>
      </w:r>
      <w:r w:rsidRPr="00132E65">
        <w:rPr>
          <w:rtl/>
        </w:rPr>
        <w:t xml:space="preserve"> ، ج 1 ، ص 32 ، ح 29 ؛ و</w:t>
      </w:r>
      <w:r w:rsidRPr="006C159C">
        <w:rPr>
          <w:rtl/>
        </w:rPr>
        <w:t>رجال الكشّي</w:t>
      </w:r>
      <w:r w:rsidRPr="00132E65">
        <w:rPr>
          <w:rtl/>
        </w:rPr>
        <w:t xml:space="preserve"> ، ص 508 ، ح 982 ، بسندهما عن محمّد بن سنان ، مع اختلاف يسير وزيادة في آخره</w:t>
      </w:r>
      <w:r>
        <w:rPr>
          <w:rFonts w:hint="cs"/>
          <w:rtl/>
        </w:rPr>
        <w:t>.</w:t>
      </w:r>
      <w:r w:rsidRPr="009D1ACE">
        <w:rPr>
          <w:rStyle w:val="libFootnoteBoldChar"/>
          <w:rtl/>
        </w:rPr>
        <w:t>الوافي</w:t>
      </w:r>
      <w:r w:rsidRPr="00132E65">
        <w:rPr>
          <w:rtl/>
        </w:rPr>
        <w:t xml:space="preserve"> ، ج 2 ، ص 373 ، ح 846.</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الإرشاد : « وأجدوا »</w:t>
            </w:r>
            <w:r>
              <w:rPr>
                <w:rtl/>
              </w:rPr>
              <w:t>.</w:t>
            </w:r>
          </w:p>
        </w:tc>
        <w:tc>
          <w:tcPr>
            <w:tcW w:w="4006" w:type="dxa"/>
          </w:tcPr>
          <w:p w:rsidR="000C39D1" w:rsidRDefault="000C39D1" w:rsidP="00B53873">
            <w:pPr>
              <w:pStyle w:val="libFootnote0"/>
              <w:rPr>
                <w:rtl/>
              </w:rPr>
            </w:pPr>
            <w:r>
              <w:rPr>
                <w:rtl/>
              </w:rPr>
              <w:t>(6).</w:t>
            </w:r>
            <w:r w:rsidRPr="00132E65">
              <w:rPr>
                <w:rtl/>
              </w:rPr>
              <w:t xml:space="preserve"> في « ف » : « رحم »</w:t>
            </w:r>
            <w:r>
              <w:rPr>
                <w:rtl/>
              </w:rPr>
              <w:t>.</w:t>
            </w:r>
          </w:p>
        </w:tc>
      </w:tr>
    </w:tbl>
    <w:p w:rsidR="000C39D1" w:rsidRPr="00132E65" w:rsidRDefault="000C39D1" w:rsidP="000C39D1">
      <w:pPr>
        <w:pStyle w:val="libFootnote0"/>
        <w:rPr>
          <w:rtl/>
          <w:lang w:bidi="fa-IR"/>
        </w:rPr>
      </w:pPr>
      <w:r>
        <w:rPr>
          <w:rtl/>
        </w:rPr>
        <w:t>(7).</w:t>
      </w:r>
      <w:r w:rsidRPr="00132E65">
        <w:rPr>
          <w:rtl/>
        </w:rPr>
        <w:t xml:space="preserve"> </w:t>
      </w:r>
      <w:r w:rsidRPr="006C159C">
        <w:rPr>
          <w:rtl/>
        </w:rPr>
        <w:t>الإرشاد</w:t>
      </w:r>
      <w:r w:rsidRPr="00132E65">
        <w:rPr>
          <w:rtl/>
        </w:rPr>
        <w:t xml:space="preserve"> ، ج 2 ، ص 279 ، بسنده عن الكليني. وفي </w:t>
      </w:r>
      <w:r w:rsidRPr="006C159C">
        <w:rPr>
          <w:rtl/>
        </w:rPr>
        <w:t>رجال الكشّي</w:t>
      </w:r>
      <w:r w:rsidRPr="00132E65">
        <w:rPr>
          <w:rtl/>
        </w:rPr>
        <w:t xml:space="preserve"> ، ص 328 ، ح 593 ، بسنده عن محمّد بن عمر بن سعيد الزيّات ، عن محمّد بن حبيب</w:t>
      </w:r>
      <w:r>
        <w:rPr>
          <w:rFonts w:hint="cs"/>
          <w:rtl/>
        </w:rPr>
        <w:t>.</w:t>
      </w:r>
      <w:r w:rsidRPr="009D1ACE">
        <w:rPr>
          <w:rStyle w:val="libFootnoteBoldChar"/>
          <w:rtl/>
        </w:rPr>
        <w:t>الوافي</w:t>
      </w:r>
      <w:r w:rsidRPr="00132E65">
        <w:rPr>
          <w:rtl/>
        </w:rPr>
        <w:t xml:space="preserve"> ، ج 2 ، ص 374 ، ح 847.</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ج 3 ، ص 373 : « وربّما يقرأ : ذُكِّرَ ، على بناء المجهول من التفعيل ، أي ذكر عنده أمر إمامةالأخوين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وَقَالَ : « إِنَّا أَهْلُ بَيْتٍ يَتَوَارَثُ أَصَاغِرُنَا عَنْ أَكَابِرِنَا الْقُذَّةَ </w:t>
      </w:r>
      <w:r>
        <w:rPr>
          <w:rStyle w:val="libFootnotenumChar"/>
          <w:rtl/>
        </w:rPr>
        <w:t>(1)</w:t>
      </w:r>
      <w:r w:rsidRPr="00132E65">
        <w:rPr>
          <w:rtl/>
          <w:lang w:bidi="fa-IR"/>
        </w:rPr>
        <w:t xml:space="preserve"> بِالْقُذَّةِ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6612CA">
        <w:rPr>
          <w:rtl/>
        </w:rPr>
        <w:t>835</w:t>
      </w:r>
      <w:r w:rsidRPr="004325D8">
        <w:rPr>
          <w:rStyle w:val="libBold2Char"/>
          <w:rtl/>
        </w:rPr>
        <w:t xml:space="preserve"> / 3.</w:t>
      </w:r>
      <w:r w:rsidRPr="00132E65">
        <w:rPr>
          <w:rtl/>
          <w:lang w:bidi="fa-IR"/>
        </w:rPr>
        <w:t xml:space="preserve"> مُحَمَّدُ بْنُ يَحْيى ، عَنْ أَحْمَدَ بْنِ مُحَمَّدِ بْنِ عِيسى ، عَنْ أَبِيهِ مُحَمَّدِ بْنِ عِيسى ، قَالَ :</w:t>
      </w:r>
    </w:p>
    <w:p w:rsidR="000C39D1" w:rsidRPr="00132E65" w:rsidRDefault="000C39D1" w:rsidP="000C39D1">
      <w:pPr>
        <w:pStyle w:val="libNormal"/>
        <w:rPr>
          <w:rtl/>
          <w:lang w:bidi="fa-IR"/>
        </w:rPr>
      </w:pPr>
      <w:r w:rsidRPr="00132E65">
        <w:rPr>
          <w:rtl/>
          <w:lang w:bidi="fa-IR"/>
        </w:rPr>
        <w:t xml:space="preserve">دَخَلْتُ عَلى أَبِي جَعْفَرٍ الثَّانِي </w:t>
      </w:r>
      <w:r w:rsidRPr="00071CF9">
        <w:rPr>
          <w:rStyle w:val="libAlaemChar"/>
          <w:rtl/>
        </w:rPr>
        <w:t>عليه‌السلام</w:t>
      </w:r>
      <w:r w:rsidRPr="00132E65">
        <w:rPr>
          <w:rtl/>
          <w:lang w:bidi="fa-IR"/>
        </w:rPr>
        <w:t xml:space="preserve"> ، فَنَاظَرَنِي فِي أَشْيَاءَ ، ثُمَّ قَالَ لِي : « يَا أَبَا عَلِيٍّ ، ارْتَفَعَ الشَّكُ ، مَا لِأَبِي غَيْرِي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6612CA">
        <w:rPr>
          <w:rtl/>
        </w:rPr>
        <w:t>836</w:t>
      </w:r>
      <w:r w:rsidRPr="004325D8">
        <w:rPr>
          <w:rStyle w:val="libBold2Char"/>
          <w:rtl/>
        </w:rPr>
        <w:t xml:space="preserve"> / 4.</w:t>
      </w:r>
      <w:r w:rsidRPr="00132E65">
        <w:rPr>
          <w:rtl/>
          <w:lang w:bidi="fa-IR"/>
        </w:rPr>
        <w:t xml:space="preserve"> عِدَّةٌ مِنْ أَصْحَابِنَا ، عَنْ أَحْمَدَ بْنِ مُحَمَّدٍ ، عَنْ جَعْفَرِ بْنِ يَحْيى ، عَنْ مَالِكَ بْنِ أَشْيَمَ ، عَنِ الْحُسَيْنِ بْنِ بَشَّارٍ </w:t>
      </w:r>
      <w:r>
        <w:rPr>
          <w:rStyle w:val="libFootnotenumChar"/>
          <w:rtl/>
        </w:rPr>
        <w:t>(4)</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كَتَبَ ابْنُ قِيَامَا إِلى أَبِي الْحَسَنِ الرِّضَا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كِتَاباً يَقُولُ فِيهِ : كَيْفَ تَكُونُ إِمَاماً ولَيْسَ‌</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القُذّة » : واحدة القُذَذ بمعنى ريش السهم. يقال : حَذْو القَذَّة بالقذّة إذا تساويا في المقدار ، حيث تقدَّر كلّ واحدة منهما على قَدْر صاحبتها وتُقْطَعُ. يُضرب مثلاً للشيئين يستويان ولا يتفاوتان. وهي هنا إمّا منصوبة نائبةً عن المفعول المطلق ، أو بنزع الخافض ؛ أو مفعول يتوارث بحذف المضاف وإقامتها مقامه. وإمّا مرفوعة على أنّها مبتدأ والظرف خبرها ، أي القذّة يقاس ويعرف مقداره بالقذّة. راجع : </w:t>
      </w:r>
      <w:r w:rsidRPr="006612CA">
        <w:rPr>
          <w:rtl/>
        </w:rPr>
        <w:t>النهاية</w:t>
      </w:r>
      <w:r w:rsidRPr="00132E65">
        <w:rPr>
          <w:rtl/>
        </w:rPr>
        <w:t xml:space="preserve"> ، ج 4 ، ص 2 ( قذذ )</w:t>
      </w:r>
      <w:r>
        <w:rPr>
          <w:rtl/>
        </w:rPr>
        <w:t>.</w:t>
      </w:r>
    </w:p>
    <w:p w:rsidR="000C39D1" w:rsidRPr="00132E65" w:rsidRDefault="000C39D1" w:rsidP="000C39D1">
      <w:pPr>
        <w:pStyle w:val="libFootnote0"/>
        <w:rPr>
          <w:rtl/>
          <w:lang w:bidi="fa-IR"/>
        </w:rPr>
      </w:pPr>
      <w:r>
        <w:rPr>
          <w:rtl/>
        </w:rPr>
        <w:t>(2).</w:t>
      </w:r>
      <w:r w:rsidRPr="00132E65">
        <w:rPr>
          <w:rtl/>
        </w:rPr>
        <w:t xml:space="preserve"> </w:t>
      </w:r>
      <w:r w:rsidRPr="006612CA">
        <w:rPr>
          <w:rtl/>
        </w:rPr>
        <w:t>الإرشاد</w:t>
      </w:r>
      <w:r w:rsidRPr="00132E65">
        <w:rPr>
          <w:rtl/>
        </w:rPr>
        <w:t xml:space="preserve"> ، ج 2 ، ص 276 ، بسنده عن الكليني. </w:t>
      </w:r>
      <w:r w:rsidRPr="007A1104">
        <w:rPr>
          <w:rStyle w:val="libFootnoteBoldChar"/>
          <w:rtl/>
        </w:rPr>
        <w:t>بصائر الدرجات</w:t>
      </w:r>
      <w:r w:rsidRPr="00132E65">
        <w:rPr>
          <w:rtl/>
        </w:rPr>
        <w:t xml:space="preserve"> ، ص 296 ، ح 4 ، بسنده عن معمّر بن خلاّد ؛ </w:t>
      </w:r>
      <w:r w:rsidRPr="006612CA">
        <w:rPr>
          <w:rtl/>
        </w:rPr>
        <w:t>الاختصاص</w:t>
      </w:r>
      <w:r w:rsidRPr="00132E65">
        <w:rPr>
          <w:rtl/>
        </w:rPr>
        <w:t xml:space="preserve"> ، ص 279 ، بسنده عن أحمد بن محمّد بن عيسى ، وفيهما من قوله : « إنّا أهل بيت »</w:t>
      </w:r>
      <w:r>
        <w:rPr>
          <w:rtl/>
        </w:rPr>
        <w:t>.</w:t>
      </w:r>
      <w:r w:rsidRPr="00132E65">
        <w:rPr>
          <w:rtl/>
        </w:rPr>
        <w:t xml:space="preserve"> وراجع : ح 6 من هذا الباب</w:t>
      </w:r>
      <w:r>
        <w:rPr>
          <w:rFonts w:hint="cs"/>
          <w:rtl/>
        </w:rPr>
        <w:t>.</w:t>
      </w:r>
      <w:r w:rsidRPr="009D1ACE">
        <w:rPr>
          <w:rStyle w:val="libFootnoteBoldChar"/>
          <w:rtl/>
        </w:rPr>
        <w:t>الوافي</w:t>
      </w:r>
      <w:r w:rsidRPr="00132E65">
        <w:rPr>
          <w:rtl/>
        </w:rPr>
        <w:t xml:space="preserve"> ، ج 2 ، ص 374 ، ح 849.</w:t>
      </w:r>
    </w:p>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2 ، ص 375 ، ح 850.</w:t>
      </w:r>
    </w:p>
    <w:p w:rsidR="000C39D1" w:rsidRPr="00132E65" w:rsidRDefault="000C39D1" w:rsidP="000C39D1">
      <w:pPr>
        <w:pStyle w:val="libFootnote0"/>
        <w:rPr>
          <w:rtl/>
          <w:lang w:bidi="fa-IR"/>
        </w:rPr>
      </w:pPr>
      <w:r>
        <w:rPr>
          <w:rtl/>
        </w:rPr>
        <w:t>(4).</w:t>
      </w:r>
      <w:r w:rsidRPr="00132E65">
        <w:rPr>
          <w:rtl/>
        </w:rPr>
        <w:t xml:space="preserve"> في « ج ، بح ، بس » والإرشاد : « الحسين بن يسار »</w:t>
      </w:r>
      <w:r>
        <w:rPr>
          <w:rtl/>
        </w:rPr>
        <w:t>.</w:t>
      </w:r>
      <w:r w:rsidRPr="00132E65">
        <w:rPr>
          <w:rtl/>
        </w:rPr>
        <w:t xml:space="preserve"> وفي « بر » : « الحسن بن بشار »</w:t>
      </w:r>
      <w:r>
        <w:rPr>
          <w:rtl/>
        </w:rPr>
        <w:t>.</w:t>
      </w:r>
    </w:p>
    <w:p w:rsidR="000C39D1" w:rsidRPr="00132E65" w:rsidRDefault="000C39D1" w:rsidP="000C39D1">
      <w:pPr>
        <w:pStyle w:val="libFootnote0"/>
        <w:rPr>
          <w:rtl/>
          <w:lang w:bidi="fa-IR"/>
        </w:rPr>
      </w:pPr>
      <w:r w:rsidRPr="00F24C1F">
        <w:rPr>
          <w:rtl/>
        </w:rPr>
        <w:t xml:space="preserve">هذا ، وقد ذكر الشيخ الطوسي في رجاله ، ص 334 ، الرقم 4976 ، وص 355 ، الرقم 5263 ، وص 374 ، الرقم 5539 ، الحسين بن بشّار في أصحاب موسى بن جعفر والرضا والجواد </w:t>
      </w:r>
      <w:r w:rsidRPr="00C6536F">
        <w:rPr>
          <w:rStyle w:val="libFootnoteAlaemChar"/>
          <w:rtl/>
        </w:rPr>
        <w:t>عليهم‌السلام</w:t>
      </w:r>
      <w:r w:rsidRPr="00F24C1F">
        <w:rPr>
          <w:rtl/>
        </w:rPr>
        <w:t xml:space="preserve">. وورد في </w:t>
      </w:r>
      <w:r w:rsidRPr="006612CA">
        <w:rPr>
          <w:rtl/>
        </w:rPr>
        <w:t>رجال الكشّي</w:t>
      </w:r>
      <w:r w:rsidRPr="00F24C1F">
        <w:rPr>
          <w:rtl/>
        </w:rPr>
        <w:t xml:space="preserve"> ، ص 450 ، الرقم 847 ، ذيل عنوان الحسين بن بشّار ما يدلّ على توقّفه وشكّه في إمامة عليّ بن موسى الرضا </w:t>
      </w:r>
      <w:r w:rsidRPr="00C6536F">
        <w:rPr>
          <w:rStyle w:val="libFootnoteAlaemChar"/>
          <w:rtl/>
        </w:rPr>
        <w:t>عليه‌السلام</w:t>
      </w:r>
      <w:r w:rsidRPr="00F24C1F">
        <w:rPr>
          <w:rtl/>
        </w:rPr>
        <w:t xml:space="preserve">. كما ورد في </w:t>
      </w:r>
      <w:r w:rsidRPr="006612CA">
        <w:rPr>
          <w:rtl/>
        </w:rPr>
        <w:t>رجال الكشّي</w:t>
      </w:r>
      <w:r w:rsidRPr="00F24C1F">
        <w:rPr>
          <w:rtl/>
        </w:rPr>
        <w:t xml:space="preserve"> ، ص 553 ، الرقم 1044 ، بسنده عن الحسين بن بشّار ، قال : استأذنت أنا والحسين بن قياما على الرضا </w:t>
      </w:r>
      <w:r w:rsidRPr="00C6536F">
        <w:rPr>
          <w:rStyle w:val="libFootnoteAlaemChar"/>
          <w:rtl/>
        </w:rPr>
        <w:t>عليه‌السلام</w:t>
      </w:r>
      <w:r w:rsidRPr="00F24C1F">
        <w:rPr>
          <w:rtl/>
        </w:rPr>
        <w:t>. وذكر شبه المضمون في ما نحن فيه.</w:t>
      </w:r>
    </w:p>
    <w:p w:rsidR="000C39D1" w:rsidRPr="00F24C1F" w:rsidRDefault="000C39D1" w:rsidP="00E55206">
      <w:pPr>
        <w:pStyle w:val="libFootnote0"/>
        <w:rPr>
          <w:rtl/>
        </w:rPr>
      </w:pPr>
      <w:r w:rsidRPr="00F24C1F">
        <w:rPr>
          <w:rtl/>
        </w:rPr>
        <w:t>فعليه ، الظاهر ممّا ذكر ، وممّا ورد في الأسناد صحّة الحسين بن بشّار.</w:t>
      </w:r>
    </w:p>
    <w:p w:rsidR="000C39D1" w:rsidRPr="00132E65" w:rsidRDefault="000C39D1" w:rsidP="000C39D1">
      <w:pPr>
        <w:pStyle w:val="libFootnote0"/>
        <w:rPr>
          <w:rtl/>
          <w:lang w:bidi="fa-IR"/>
        </w:rPr>
      </w:pPr>
      <w:r w:rsidRPr="00F24C1F">
        <w:rPr>
          <w:rtl/>
        </w:rPr>
        <w:t xml:space="preserve">راجع : </w:t>
      </w:r>
      <w:r w:rsidRPr="006612CA">
        <w:rPr>
          <w:rtl/>
        </w:rPr>
        <w:t>معجم رجال الحديث</w:t>
      </w:r>
      <w:r w:rsidRPr="00F24C1F">
        <w:rPr>
          <w:rtl/>
        </w:rPr>
        <w:t xml:space="preserve"> ، ج 5 ، ص 202 </w:t>
      </w:r>
      <w:r>
        <w:rPr>
          <w:rtl/>
        </w:rPr>
        <w:t>-</w:t>
      </w:r>
      <w:r w:rsidRPr="00F24C1F">
        <w:rPr>
          <w:rtl/>
        </w:rPr>
        <w:t xml:space="preserve"> 204.</w:t>
      </w:r>
    </w:p>
    <w:p w:rsidR="000C39D1" w:rsidRPr="00132E65" w:rsidRDefault="000C39D1" w:rsidP="000C39D1">
      <w:pPr>
        <w:pStyle w:val="libFootnote0"/>
        <w:rPr>
          <w:rtl/>
          <w:lang w:bidi="fa-IR"/>
        </w:rPr>
      </w:pPr>
      <w:r>
        <w:rPr>
          <w:rtl/>
        </w:rPr>
        <w:t>(5).</w:t>
      </w:r>
      <w:r w:rsidRPr="00132E65">
        <w:rPr>
          <w:rtl/>
        </w:rPr>
        <w:t xml:space="preserve"> هكذا في أكثر النسخ و</w:t>
      </w:r>
      <w:r w:rsidRPr="009D1ACE">
        <w:rPr>
          <w:rStyle w:val="libFootnoteBoldChar"/>
          <w:rtl/>
        </w:rPr>
        <w:t>الوافي</w:t>
      </w:r>
      <w:r w:rsidRPr="00132E65">
        <w:rPr>
          <w:rtl/>
        </w:rPr>
        <w:t xml:space="preserve"> والإرشاد. وفي المطبوع وبعض النسخ </w:t>
      </w:r>
      <w:r>
        <w:rPr>
          <w:rtl/>
        </w:rPr>
        <w:t xml:space="preserve">: - </w:t>
      </w:r>
      <w:r w:rsidRPr="00132E65">
        <w:rPr>
          <w:rtl/>
        </w:rPr>
        <w:t>« الرضا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لَكَ و</w:t>
      </w:r>
      <w:r>
        <w:rPr>
          <w:rFonts w:hint="cs"/>
          <w:rtl/>
          <w:lang w:bidi="fa-IR"/>
        </w:rPr>
        <w:t>َ</w:t>
      </w:r>
      <w:r w:rsidRPr="00132E65">
        <w:rPr>
          <w:rtl/>
          <w:lang w:bidi="fa-IR"/>
        </w:rPr>
        <w:t>لَدٌ</w:t>
      </w:r>
      <w:r>
        <w:rPr>
          <w:rtl/>
          <w:lang w:bidi="fa-IR"/>
        </w:rPr>
        <w:t>؟!</w:t>
      </w:r>
      <w:r w:rsidRPr="00132E65">
        <w:rPr>
          <w:rtl/>
          <w:lang w:bidi="fa-IR"/>
        </w:rPr>
        <w:t xml:space="preserve"> فَأَجَابَهُ </w:t>
      </w:r>
      <w:r>
        <w:rPr>
          <w:rStyle w:val="libFootnotenumChar"/>
          <w:rtl/>
        </w:rPr>
        <w:t>(1)</w:t>
      </w:r>
      <w:r w:rsidRPr="00132E65">
        <w:rPr>
          <w:rtl/>
          <w:lang w:bidi="fa-IR"/>
        </w:rPr>
        <w:t xml:space="preserve"> أَبُو الْحَسَنِ </w:t>
      </w:r>
      <w:r>
        <w:rPr>
          <w:rStyle w:val="libFootnotenumChar"/>
          <w:rtl/>
        </w:rPr>
        <w:t>(2)</w:t>
      </w:r>
      <w:r w:rsidRPr="00132E65">
        <w:rPr>
          <w:rtl/>
          <w:lang w:bidi="fa-IR"/>
        </w:rPr>
        <w:t xml:space="preserve"> </w:t>
      </w:r>
      <w:r w:rsidRPr="00071CF9">
        <w:rPr>
          <w:rStyle w:val="libAlaemChar"/>
          <w:rtl/>
        </w:rPr>
        <w:t>عليه‌السلام</w:t>
      </w:r>
      <w:r>
        <w:rPr>
          <w:rtl/>
          <w:lang w:bidi="fa-IR"/>
        </w:rPr>
        <w:t xml:space="preserve"> - </w:t>
      </w:r>
      <w:r w:rsidRPr="00132E65">
        <w:rPr>
          <w:rtl/>
          <w:lang w:bidi="fa-IR"/>
        </w:rPr>
        <w:t xml:space="preserve">شِبْهَ </w:t>
      </w:r>
      <w:r>
        <w:rPr>
          <w:rStyle w:val="libFootnotenumChar"/>
          <w:rtl/>
        </w:rPr>
        <w:t>(3)</w:t>
      </w:r>
      <w:r w:rsidRPr="00132E65">
        <w:rPr>
          <w:rtl/>
          <w:lang w:bidi="fa-IR"/>
        </w:rPr>
        <w:t xml:space="preserve"> الْمُغْضَبِ</w:t>
      </w:r>
      <w:r>
        <w:rPr>
          <w:rtl/>
          <w:lang w:bidi="fa-IR"/>
        </w:rPr>
        <w:t xml:space="preserve"> - </w:t>
      </w:r>
      <w:r w:rsidRPr="00132E65">
        <w:rPr>
          <w:rtl/>
          <w:lang w:bidi="fa-IR"/>
        </w:rPr>
        <w:t xml:space="preserve">: « وَمَا عَلَّمَكَ أَنَّهُ </w:t>
      </w:r>
      <w:r>
        <w:rPr>
          <w:rStyle w:val="libFootnotenumChar"/>
          <w:rtl/>
        </w:rPr>
        <w:t>(4)</w:t>
      </w:r>
      <w:r w:rsidRPr="00132E65">
        <w:rPr>
          <w:rtl/>
          <w:lang w:bidi="fa-IR"/>
        </w:rPr>
        <w:t xml:space="preserve"> لَايَكُونُ لِي ولَدٌ</w:t>
      </w:r>
      <w:r>
        <w:rPr>
          <w:rtl/>
          <w:lang w:bidi="fa-IR"/>
        </w:rPr>
        <w:t>؟</w:t>
      </w:r>
      <w:r>
        <w:rPr>
          <w:rFonts w:hint="cs"/>
          <w:rtl/>
          <w:lang w:bidi="fa-IR"/>
        </w:rPr>
        <w:t xml:space="preserve"> </w:t>
      </w:r>
      <w:r w:rsidRPr="00132E65">
        <w:rPr>
          <w:rtl/>
          <w:lang w:bidi="fa-IR"/>
        </w:rPr>
        <w:t xml:space="preserve">وَاللهِ ، لَاتَمْضِي الْأَيَّامُ واللَّيَالِي حَتّى يَرْزُقَنِيَ اللهُ ولَداً </w:t>
      </w:r>
      <w:r>
        <w:rPr>
          <w:rStyle w:val="libFootnotenumChar"/>
          <w:rtl/>
        </w:rPr>
        <w:t>(5)</w:t>
      </w:r>
      <w:r w:rsidRPr="00132E65">
        <w:rPr>
          <w:rtl/>
          <w:lang w:bidi="fa-IR"/>
        </w:rPr>
        <w:t xml:space="preserve"> ذَكَراً يَفْرُقُ </w:t>
      </w:r>
      <w:r>
        <w:rPr>
          <w:rStyle w:val="libFootnotenumChar"/>
          <w:rtl/>
        </w:rPr>
        <w:t>(6)</w:t>
      </w:r>
      <w:r w:rsidRPr="00132E65">
        <w:rPr>
          <w:rtl/>
          <w:lang w:bidi="fa-IR"/>
        </w:rPr>
        <w:t xml:space="preserve"> بِهِ بَيْنَ الْحَقِّ وَالْبَاطِلِ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6612CA">
        <w:rPr>
          <w:rtl/>
        </w:rPr>
        <w:t>837</w:t>
      </w:r>
      <w:r w:rsidRPr="004325D8">
        <w:rPr>
          <w:rStyle w:val="libBold2Char"/>
          <w:rtl/>
        </w:rPr>
        <w:t xml:space="preserve"> / 5.</w:t>
      </w:r>
      <w:r w:rsidRPr="00132E65">
        <w:rPr>
          <w:rtl/>
          <w:lang w:bidi="fa-IR"/>
        </w:rPr>
        <w:t xml:space="preserve"> بَعْضُ أَصْحَابِنَا ، عَنْ مُحَمَّدِ بْنِ عَلِيٍّ ، عَنْ مُعَاوِيَةَ بْنِ حُكَيْمٍ ، عَنِ ابْنِ أَبِي نَصْرٍ ، قَالَ :</w:t>
      </w:r>
    </w:p>
    <w:p w:rsidR="000C39D1" w:rsidRPr="00132E65" w:rsidRDefault="000C39D1" w:rsidP="000C39D1">
      <w:pPr>
        <w:pStyle w:val="libNormal"/>
        <w:rPr>
          <w:rtl/>
          <w:lang w:bidi="fa-IR"/>
        </w:rPr>
      </w:pPr>
      <w:r w:rsidRPr="00132E65">
        <w:rPr>
          <w:rtl/>
          <w:lang w:bidi="fa-IR"/>
        </w:rPr>
        <w:t xml:space="preserve">قَالَ لِيَ ابْنُ النَّجَاشِيِّ : مَنِ الْإِمَامُ بَعْدَ صَاحِبِكَ ؛ فَأَشْتَهِي </w:t>
      </w:r>
      <w:r>
        <w:rPr>
          <w:rStyle w:val="libFootnotenumChar"/>
          <w:rtl/>
        </w:rPr>
        <w:t>(8)</w:t>
      </w:r>
      <w:r w:rsidRPr="00132E65">
        <w:rPr>
          <w:rtl/>
          <w:lang w:bidi="fa-IR"/>
        </w:rPr>
        <w:t xml:space="preserve"> أَنْ تَسْأَلَهُ </w:t>
      </w:r>
      <w:r>
        <w:rPr>
          <w:rStyle w:val="libFootnotenumChar"/>
          <w:rtl/>
        </w:rPr>
        <w:t>(9)</w:t>
      </w:r>
      <w:r w:rsidRPr="00132E65">
        <w:rPr>
          <w:rtl/>
          <w:lang w:bidi="fa-IR"/>
        </w:rPr>
        <w:t xml:space="preserve"> حَتّى أَعْلَمَ</w:t>
      </w:r>
      <w:r>
        <w:rPr>
          <w:rtl/>
          <w:lang w:bidi="fa-IR"/>
        </w:rPr>
        <w:t>؟</w:t>
      </w:r>
      <w:r>
        <w:rPr>
          <w:rFonts w:hint="cs"/>
          <w:rtl/>
          <w:lang w:bidi="fa-IR"/>
        </w:rPr>
        <w:t xml:space="preserve"> </w:t>
      </w:r>
      <w:r w:rsidRPr="00132E65">
        <w:rPr>
          <w:rtl/>
          <w:lang w:bidi="fa-IR"/>
        </w:rPr>
        <w:t xml:space="preserve">فَدَخَلْتُ عَلَى الرِّضَا </w:t>
      </w:r>
      <w:r w:rsidRPr="00071CF9">
        <w:rPr>
          <w:rStyle w:val="libAlaemChar"/>
          <w:rtl/>
        </w:rPr>
        <w:t>عليه‌السلام</w:t>
      </w:r>
      <w:r w:rsidRPr="00132E65">
        <w:rPr>
          <w:rtl/>
          <w:lang w:bidi="fa-IR"/>
        </w:rPr>
        <w:t xml:space="preserve"> ، فَأَخْبَرْتُهُ ، قَالَ : فَقَالَ لِي : « الْإِمَامُ </w:t>
      </w:r>
      <w:r>
        <w:rPr>
          <w:rStyle w:val="libFootnotenumChar"/>
          <w:rtl/>
        </w:rPr>
        <w:t>(10)</w:t>
      </w:r>
      <w:r w:rsidRPr="00132E65">
        <w:rPr>
          <w:rtl/>
          <w:lang w:bidi="fa-IR"/>
        </w:rPr>
        <w:t xml:space="preserve"> ابْنِي »</w:t>
      </w:r>
      <w:r>
        <w:rPr>
          <w:rtl/>
          <w:lang w:bidi="fa-IR"/>
        </w:rPr>
        <w:t>.</w:t>
      </w:r>
      <w:r w:rsidRPr="00132E65">
        <w:rPr>
          <w:rtl/>
          <w:lang w:bidi="fa-IR"/>
        </w:rPr>
        <w:t xml:space="preserve"> ثُمَّ قَالَ </w:t>
      </w:r>
      <w:r>
        <w:rPr>
          <w:rStyle w:val="libFootnotenumChar"/>
          <w:rtl/>
        </w:rPr>
        <w:t>(11)</w:t>
      </w:r>
      <w:r w:rsidRPr="00132E65">
        <w:rPr>
          <w:rtl/>
          <w:lang w:bidi="fa-IR"/>
        </w:rPr>
        <w:t xml:space="preserve"> : « هَلْ يَتَجَرَّأُ أَحَدٌ أَنْ يَقُولَ : ابْنِي ولَيْسَ لَهُ ولَدٌ </w:t>
      </w:r>
      <w:r>
        <w:rPr>
          <w:rStyle w:val="libFootnotenumChar"/>
          <w:rtl/>
        </w:rPr>
        <w:t>(12)</w:t>
      </w:r>
      <w:r>
        <w:rPr>
          <w:rtl/>
          <w:lang w:bidi="fa-IR"/>
        </w:rPr>
        <w:t>؟</w:t>
      </w:r>
      <w:r w:rsidRPr="00132E65">
        <w:rPr>
          <w:rtl/>
          <w:lang w:bidi="fa-IR"/>
        </w:rPr>
        <w:t xml:space="preserve">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6612CA">
        <w:rPr>
          <w:rtl/>
        </w:rPr>
        <w:t>838</w:t>
      </w:r>
      <w:r w:rsidRPr="004325D8">
        <w:rPr>
          <w:rStyle w:val="libBold2Char"/>
          <w:rtl/>
        </w:rPr>
        <w:t xml:space="preserve"> / 6.</w:t>
      </w:r>
      <w:r w:rsidRPr="00132E65">
        <w:rPr>
          <w:rtl/>
          <w:lang w:bidi="fa-IR"/>
        </w:rPr>
        <w:t xml:space="preserve"> أَحْمَدُ بْنُ مِهْرَانَ ، عَنْ مُحَمَّدِ بْنِ عَلِيٍّ ، عَنْ مُعَمَّرِ بْنِ خَلاَّدٍ ، قَالَ :</w:t>
      </w:r>
    </w:p>
    <w:p w:rsidR="000C39D1" w:rsidRPr="00132E65" w:rsidRDefault="000C39D1" w:rsidP="000C39D1">
      <w:pPr>
        <w:pStyle w:val="libNormal"/>
        <w:rPr>
          <w:rtl/>
          <w:lang w:bidi="fa-IR"/>
        </w:rPr>
      </w:pPr>
      <w:r w:rsidRPr="00132E65">
        <w:rPr>
          <w:rtl/>
          <w:lang w:bidi="fa-IR"/>
        </w:rPr>
        <w:t xml:space="preserve">ذَكَرْنَا عِنْدَ أَبِي الْحَسَنِ </w:t>
      </w:r>
      <w:r w:rsidRPr="00F543F1">
        <w:rPr>
          <w:rStyle w:val="libFootnotenumChar"/>
          <w:rtl/>
        </w:rPr>
        <w:t>(14)</w:t>
      </w:r>
      <w:r w:rsidRPr="00132E65">
        <w:rPr>
          <w:rtl/>
          <w:lang w:bidi="fa-IR"/>
        </w:rPr>
        <w:t xml:space="preserve"> </w:t>
      </w:r>
      <w:r w:rsidRPr="00071CF9">
        <w:rPr>
          <w:rStyle w:val="libAlaemChar"/>
          <w:rtl/>
        </w:rPr>
        <w:t>عليه‌السلام</w:t>
      </w:r>
      <w:r w:rsidRPr="00132E65">
        <w:rPr>
          <w:rtl/>
          <w:lang w:bidi="fa-IR"/>
        </w:rPr>
        <w:t xml:space="preserve"> شَيْئاً بَعْدَ مَا ولِدَ لَهُ أَبُو جَعْفَرٍ </w:t>
      </w:r>
      <w:r w:rsidRPr="00071CF9">
        <w:rPr>
          <w:rStyle w:val="libAlaemChar"/>
          <w:rtl/>
        </w:rPr>
        <w:t>عليه‌السلام</w:t>
      </w:r>
      <w:r w:rsidRPr="00132E65">
        <w:rPr>
          <w:rtl/>
          <w:lang w:bidi="fa-IR"/>
        </w:rPr>
        <w:t xml:space="preserve"> ، فَقَالَ : « مَا حَاجَتُكُمْ‌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D03C29">
      <w:pPr>
        <w:pStyle w:val="libFootnote0"/>
        <w:rPr>
          <w:rtl/>
          <w:lang w:bidi="fa-IR"/>
        </w:rPr>
      </w:pPr>
      <w:r>
        <w:rPr>
          <w:rtl/>
        </w:rPr>
        <w:t>(1).</w:t>
      </w:r>
      <w:r w:rsidRPr="00132E65">
        <w:rPr>
          <w:rtl/>
        </w:rPr>
        <w:t xml:space="preserve"> في « ه‍ </w:t>
      </w:r>
      <w:r w:rsidR="00D03C29" w:rsidRPr="00132E65">
        <w:rPr>
          <w:rtl/>
        </w:rPr>
        <w:t>»</w:t>
      </w:r>
      <w:r w:rsidRPr="00132E65">
        <w:rPr>
          <w:rtl/>
        </w:rPr>
        <w:t xml:space="preserve"> : « فقال له »</w:t>
      </w:r>
      <w:r>
        <w:rPr>
          <w:rtl/>
        </w:rPr>
        <w:t>.</w:t>
      </w:r>
    </w:p>
    <w:p w:rsidR="000C39D1" w:rsidRPr="00132E65" w:rsidRDefault="000C39D1" w:rsidP="000C39D1">
      <w:pPr>
        <w:pStyle w:val="libFootnote0"/>
        <w:rPr>
          <w:rtl/>
          <w:lang w:bidi="fa-IR"/>
        </w:rPr>
      </w:pPr>
      <w:r>
        <w:rPr>
          <w:rtl/>
        </w:rPr>
        <w:t>(2).</w:t>
      </w:r>
      <w:r w:rsidRPr="00132E65">
        <w:rPr>
          <w:rtl/>
        </w:rPr>
        <w:t xml:space="preserve"> هكذا في أكثر النسخ و</w:t>
      </w:r>
      <w:r w:rsidRPr="009D1ACE">
        <w:rPr>
          <w:rStyle w:val="libFootnoteBoldChar"/>
          <w:rtl/>
        </w:rPr>
        <w:t>الوافي</w:t>
      </w:r>
      <w:r w:rsidRPr="00132E65">
        <w:rPr>
          <w:rtl/>
        </w:rPr>
        <w:t xml:space="preserve"> والإرشاد. وفي المطبوع وبعض النسخ :</w:t>
      </w:r>
      <w:r>
        <w:rPr>
          <w:rtl/>
        </w:rPr>
        <w:t xml:space="preserve"> + </w:t>
      </w:r>
      <w:r w:rsidRPr="00132E65">
        <w:rPr>
          <w:rtl/>
        </w:rPr>
        <w:t>« الرضا »</w:t>
      </w:r>
      <w:r>
        <w:rPr>
          <w:rtl/>
        </w:rPr>
        <w:t>.</w:t>
      </w:r>
    </w:p>
    <w:p w:rsidR="000C39D1" w:rsidRPr="00132E65" w:rsidRDefault="000C39D1" w:rsidP="00D03C29">
      <w:pPr>
        <w:pStyle w:val="libFootnote0"/>
        <w:rPr>
          <w:rtl/>
          <w:lang w:bidi="fa-IR"/>
        </w:rPr>
      </w:pPr>
      <w:r>
        <w:rPr>
          <w:rtl/>
        </w:rPr>
        <w:t>(3).</w:t>
      </w:r>
      <w:r w:rsidRPr="00132E65">
        <w:rPr>
          <w:rtl/>
        </w:rPr>
        <w:t xml:space="preserve"> في « ه‍ </w:t>
      </w:r>
      <w:r w:rsidR="00D03C29" w:rsidRPr="00132E65">
        <w:rPr>
          <w:rtl/>
        </w:rPr>
        <w:t>»</w:t>
      </w:r>
      <w:r w:rsidRPr="00132E65">
        <w:rPr>
          <w:rtl/>
        </w:rPr>
        <w:t xml:space="preserve"> : « شبيه »</w:t>
      </w:r>
      <w:r>
        <w:rPr>
          <w:rtl/>
        </w:rPr>
        <w:t>.</w:t>
      </w:r>
    </w:p>
    <w:p w:rsidR="000C39D1" w:rsidRPr="00132E65" w:rsidRDefault="000C39D1" w:rsidP="00D03C29">
      <w:pPr>
        <w:pStyle w:val="libFootnote0"/>
        <w:rPr>
          <w:rtl/>
          <w:lang w:bidi="fa-IR"/>
        </w:rPr>
      </w:pPr>
      <w:r>
        <w:rPr>
          <w:rtl/>
        </w:rPr>
        <w:t>(4).</w:t>
      </w:r>
      <w:r w:rsidRPr="00132E65">
        <w:rPr>
          <w:rtl/>
        </w:rPr>
        <w:t xml:space="preserve"> في « ه‍ </w:t>
      </w:r>
      <w:r w:rsidR="00D03C29" w:rsidRPr="00132E65">
        <w:rPr>
          <w:rtl/>
        </w:rPr>
        <w:t>»</w:t>
      </w:r>
      <w:r w:rsidRPr="00132E65">
        <w:rPr>
          <w:rtl/>
        </w:rPr>
        <w:t xml:space="preserve"> : « أن »</w:t>
      </w:r>
      <w:r>
        <w:rPr>
          <w:rtl/>
        </w:rPr>
        <w:t>.</w:t>
      </w:r>
    </w:p>
    <w:p w:rsidR="000C39D1" w:rsidRPr="00132E65" w:rsidRDefault="000C39D1" w:rsidP="00D03C29">
      <w:pPr>
        <w:pStyle w:val="libFootnote0"/>
        <w:rPr>
          <w:rtl/>
          <w:lang w:bidi="fa-IR"/>
        </w:rPr>
      </w:pPr>
      <w:r>
        <w:rPr>
          <w:rtl/>
        </w:rPr>
        <w:t>(5).</w:t>
      </w:r>
      <w:r w:rsidRPr="00132E65">
        <w:rPr>
          <w:rtl/>
        </w:rPr>
        <w:t xml:space="preserve"> في « ه‍ </w:t>
      </w:r>
      <w:r w:rsidR="00D03C29" w:rsidRPr="00132E65">
        <w:rPr>
          <w:rtl/>
        </w:rPr>
        <w:t>»</w:t>
      </w:r>
      <w:r w:rsidRPr="00132E65">
        <w:rPr>
          <w:rtl/>
        </w:rPr>
        <w:t xml:space="preserve"> والإرشاد </w:t>
      </w:r>
      <w:r>
        <w:rPr>
          <w:rtl/>
        </w:rPr>
        <w:t xml:space="preserve">: - </w:t>
      </w:r>
      <w:r w:rsidRPr="00132E65">
        <w:rPr>
          <w:rtl/>
        </w:rPr>
        <w:t>« ولداً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يفرق ، على بناء المعلوم ، أو المجهول من باب نصر »</w:t>
      </w:r>
      <w:r>
        <w:rPr>
          <w:rtl/>
        </w:rPr>
        <w:t>.</w:t>
      </w:r>
    </w:p>
    <w:p w:rsidR="000C39D1" w:rsidRPr="00132E65" w:rsidRDefault="000C39D1" w:rsidP="000C39D1">
      <w:pPr>
        <w:pStyle w:val="libFootnote0"/>
        <w:rPr>
          <w:rtl/>
          <w:lang w:bidi="fa-IR"/>
        </w:rPr>
      </w:pPr>
      <w:r>
        <w:rPr>
          <w:rtl/>
        </w:rPr>
        <w:t>(7).</w:t>
      </w:r>
      <w:r w:rsidRPr="00132E65">
        <w:rPr>
          <w:rtl/>
        </w:rPr>
        <w:t xml:space="preserve"> الإرشاد ، ج 2 ، ص 277 ، بسنده عن الكليني. وفي </w:t>
      </w:r>
      <w:r w:rsidRPr="006612CA">
        <w:rPr>
          <w:rtl/>
        </w:rPr>
        <w:t>عيون الأخبار</w:t>
      </w:r>
      <w:r w:rsidRPr="00132E65">
        <w:rPr>
          <w:rtl/>
        </w:rPr>
        <w:t xml:space="preserve"> ، ج 2 ، ص 209 ، ح 13 ، بسند آخر ، مع اختلاف وزيادة في أوّله وآخره</w:t>
      </w:r>
      <w:r>
        <w:rPr>
          <w:rFonts w:hint="cs"/>
          <w:rtl/>
        </w:rPr>
        <w:t>.</w:t>
      </w:r>
      <w:r w:rsidRPr="009D1ACE">
        <w:rPr>
          <w:rStyle w:val="libFootnoteBoldChar"/>
          <w:rtl/>
        </w:rPr>
        <w:t>الوافي</w:t>
      </w:r>
      <w:r w:rsidRPr="00132E65">
        <w:rPr>
          <w:rtl/>
        </w:rPr>
        <w:t xml:space="preserve"> ، ج 2 ، ص 37 ، ح 852.</w:t>
      </w:r>
    </w:p>
    <w:p w:rsidR="000C39D1" w:rsidRPr="00132E65" w:rsidRDefault="000C39D1" w:rsidP="000C39D1">
      <w:pPr>
        <w:pStyle w:val="libFootnote0"/>
        <w:rPr>
          <w:rtl/>
          <w:lang w:bidi="fa-IR"/>
        </w:rPr>
      </w:pPr>
      <w:r>
        <w:rPr>
          <w:rtl/>
        </w:rPr>
        <w:t>(8).</w:t>
      </w:r>
      <w:r w:rsidRPr="00132E65">
        <w:rPr>
          <w:rtl/>
        </w:rPr>
        <w:t xml:space="preserve"> في حاشية « بف » : « وأشتهي »</w:t>
      </w:r>
      <w:r>
        <w:rPr>
          <w:rtl/>
        </w:rPr>
        <w:t>.</w:t>
      </w:r>
      <w:r w:rsidRPr="00132E65">
        <w:rPr>
          <w:rtl/>
        </w:rPr>
        <w:t xml:space="preserve"> وفي الإرشاد : « فاحبّ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ه‍ ، بف » : « أسأله »</w:t>
            </w:r>
            <w:r>
              <w:rPr>
                <w:rtl/>
              </w:rPr>
              <w:t>.</w:t>
            </w:r>
          </w:p>
        </w:tc>
        <w:tc>
          <w:tcPr>
            <w:tcW w:w="4006" w:type="dxa"/>
          </w:tcPr>
          <w:p w:rsidR="000C39D1" w:rsidRDefault="000C39D1" w:rsidP="00B53873">
            <w:pPr>
              <w:pStyle w:val="libFootnote0"/>
              <w:rPr>
                <w:rtl/>
              </w:rPr>
            </w:pPr>
            <w:r>
              <w:rPr>
                <w:rtl/>
              </w:rPr>
              <w:t>(10).</w:t>
            </w:r>
            <w:r w:rsidRPr="00132E65">
              <w:rPr>
                <w:rtl/>
              </w:rPr>
              <w:t xml:space="preserve"> في الغيبة :</w:t>
            </w:r>
            <w:r>
              <w:rPr>
                <w:rtl/>
              </w:rPr>
              <w:t xml:space="preserve"> + </w:t>
            </w:r>
            <w:r w:rsidRPr="00132E65">
              <w:rPr>
                <w:rtl/>
              </w:rPr>
              <w:t>« بعدي »</w:t>
            </w:r>
            <w:r>
              <w:rPr>
                <w:rtl/>
              </w:rPr>
              <w:t>.</w:t>
            </w:r>
          </w:p>
        </w:tc>
      </w:tr>
    </w:tbl>
    <w:p w:rsidR="000C39D1" w:rsidRPr="00132E65" w:rsidRDefault="000C39D1" w:rsidP="000C39D1">
      <w:pPr>
        <w:pStyle w:val="libFootnote0"/>
        <w:rPr>
          <w:rtl/>
          <w:lang w:bidi="fa-IR"/>
        </w:rPr>
      </w:pPr>
      <w:r>
        <w:rPr>
          <w:rtl/>
        </w:rPr>
        <w:t>(11).</w:t>
      </w:r>
      <w:r w:rsidRPr="00132E65">
        <w:rPr>
          <w:rtl/>
        </w:rPr>
        <w:t xml:space="preserve"> في « بح » وحاشية « بر » و</w:t>
      </w:r>
      <w:r w:rsidRPr="009D1ACE">
        <w:rPr>
          <w:rStyle w:val="libFootnoteBoldChar"/>
          <w:rtl/>
        </w:rPr>
        <w:t>الوافي</w:t>
      </w:r>
      <w:r w:rsidRPr="00132E65">
        <w:rPr>
          <w:rtl/>
        </w:rPr>
        <w:t xml:space="preserve">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(12).</w:t>
      </w:r>
      <w:r w:rsidRPr="00132E65">
        <w:rPr>
          <w:rtl/>
        </w:rPr>
        <w:t xml:space="preserve"> في حاشية « ج » والإرشاد :</w:t>
      </w:r>
      <w:r>
        <w:rPr>
          <w:rtl/>
        </w:rPr>
        <w:t xml:space="preserve"> + </w:t>
      </w:r>
      <w:r w:rsidRPr="00132E65">
        <w:rPr>
          <w:rtl/>
        </w:rPr>
        <w:t xml:space="preserve">« ولم يكن ولد أبو جعفر </w:t>
      </w:r>
      <w:r w:rsidRPr="00C6536F">
        <w:rPr>
          <w:rStyle w:val="libFootnoteAlaemChar"/>
          <w:rtl/>
        </w:rPr>
        <w:t>عليه‌السلام</w:t>
      </w:r>
      <w:r w:rsidRPr="00132E65">
        <w:rPr>
          <w:rtl/>
        </w:rPr>
        <w:t xml:space="preserve"> ، فلم يمض الأيّام حتّى ولد </w:t>
      </w:r>
      <w:r w:rsidRPr="00C6536F">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(13)</w:t>
      </w:r>
      <w:r w:rsidRPr="00132E65">
        <w:rPr>
          <w:rtl/>
        </w:rPr>
        <w:t xml:space="preserve"> </w:t>
      </w:r>
      <w:r w:rsidRPr="006612CA">
        <w:rPr>
          <w:rtl/>
        </w:rPr>
        <w:t>الإرشاد</w:t>
      </w:r>
      <w:r w:rsidRPr="00132E65">
        <w:rPr>
          <w:rtl/>
        </w:rPr>
        <w:t xml:space="preserve"> ، ج 2 ، ص 277 ، بسنده عن الكليني. </w:t>
      </w:r>
      <w:r w:rsidRPr="006612CA">
        <w:rPr>
          <w:rtl/>
        </w:rPr>
        <w:t>الغيبة</w:t>
      </w:r>
      <w:r w:rsidRPr="00132E65">
        <w:rPr>
          <w:rtl/>
        </w:rPr>
        <w:t xml:space="preserve"> للطوسي ، ص 72 ، ح 78 بسنده عن أحمد بن محمّد بن أبي نصر ، مع اختلاف يسير</w:t>
      </w:r>
      <w:r>
        <w:rPr>
          <w:rFonts w:hint="cs"/>
          <w:rtl/>
        </w:rPr>
        <w:t>.</w:t>
      </w:r>
      <w:r w:rsidRPr="009D1ACE">
        <w:rPr>
          <w:rStyle w:val="libFootnoteBoldChar"/>
          <w:rtl/>
        </w:rPr>
        <w:t>الوافي</w:t>
      </w:r>
      <w:r w:rsidRPr="00132E65">
        <w:rPr>
          <w:rtl/>
        </w:rPr>
        <w:t xml:space="preserve"> ، ج 2 ، ص 376 ، ح 853.</w:t>
      </w:r>
    </w:p>
    <w:p w:rsidR="000C39D1" w:rsidRPr="00132E65" w:rsidRDefault="000C39D1" w:rsidP="000C39D1">
      <w:pPr>
        <w:pStyle w:val="libFootnote0"/>
        <w:rPr>
          <w:rtl/>
          <w:lang w:bidi="fa-IR"/>
        </w:rPr>
      </w:pPr>
      <w:r>
        <w:rPr>
          <w:rtl/>
        </w:rPr>
        <w:t>(14)</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الرضا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إِلى ذلِكَ </w:t>
      </w:r>
      <w:r>
        <w:rPr>
          <w:rStyle w:val="libFootnotenumChar"/>
          <w:rtl/>
        </w:rPr>
        <w:t>(1)</w:t>
      </w:r>
      <w:r>
        <w:rPr>
          <w:rtl/>
          <w:lang w:bidi="fa-IR"/>
        </w:rPr>
        <w:t>؟</w:t>
      </w:r>
      <w:r w:rsidRPr="00132E65">
        <w:rPr>
          <w:rtl/>
          <w:lang w:bidi="fa-IR"/>
        </w:rPr>
        <w:t xml:space="preserve"> هذَا أَبُو جَعْفَرٍ قَدْ أَجْلَسْتُهُ مَجْلِسِي ، وصَيَّرْتُهُ فِي مَكَانِي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6612CA">
        <w:rPr>
          <w:rtl/>
        </w:rPr>
        <w:t>839</w:t>
      </w:r>
      <w:r w:rsidRPr="004325D8">
        <w:rPr>
          <w:rStyle w:val="libBold2Char"/>
          <w:rtl/>
        </w:rPr>
        <w:t xml:space="preserve"> / 7.</w:t>
      </w:r>
      <w:r w:rsidRPr="00132E65">
        <w:rPr>
          <w:rtl/>
          <w:lang w:bidi="fa-IR"/>
        </w:rPr>
        <w:t xml:space="preserve"> أَحْمَدُ </w:t>
      </w:r>
      <w:r>
        <w:rPr>
          <w:rStyle w:val="libFootnotenumChar"/>
          <w:rtl/>
        </w:rPr>
        <w:t>(3)</w:t>
      </w:r>
      <w:r w:rsidRPr="00132E65">
        <w:rPr>
          <w:rtl/>
          <w:lang w:bidi="fa-IR"/>
        </w:rPr>
        <w:t xml:space="preserve"> ، عَنْ مُحَمَّدِ بْنِ عَلِيٍّ ، عَنِ ابْنِ قِيَامَا الْوَاسِطِيِّ </w:t>
      </w:r>
      <w:r>
        <w:rPr>
          <w:rStyle w:val="libFootnotenumChar"/>
          <w:rtl/>
        </w:rPr>
        <w:t>(4)</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دَخَلْتُ عَلى عَلِيِّ بْنِ مُوسى </w:t>
      </w:r>
      <w:r w:rsidRPr="00071CF9">
        <w:rPr>
          <w:rStyle w:val="libAlaemChar"/>
          <w:rtl/>
        </w:rPr>
        <w:t>عليهما‌السلام</w:t>
      </w:r>
      <w:r>
        <w:rPr>
          <w:rtl/>
          <w:lang w:bidi="fa-IR"/>
        </w:rPr>
        <w:t xml:space="preserve"> ، فَقُلْتُ لَهُ : أَ</w:t>
      </w:r>
      <w:r w:rsidRPr="00132E65">
        <w:rPr>
          <w:rtl/>
          <w:lang w:bidi="fa-IR"/>
        </w:rPr>
        <w:t xml:space="preserve">يَكُونُ </w:t>
      </w:r>
      <w:r>
        <w:rPr>
          <w:rStyle w:val="libFootnotenumChar"/>
          <w:rtl/>
        </w:rPr>
        <w:t>(5)</w:t>
      </w:r>
      <w:r w:rsidRPr="00132E65">
        <w:rPr>
          <w:rtl/>
          <w:lang w:bidi="fa-IR"/>
        </w:rPr>
        <w:t xml:space="preserve"> إِمَامَانِ</w:t>
      </w:r>
      <w:r>
        <w:rPr>
          <w:rtl/>
          <w:lang w:bidi="fa-IR"/>
        </w:rPr>
        <w:t>؟ قَالَ : « لَا ، إِل</w:t>
      </w:r>
      <w:r>
        <w:rPr>
          <w:rFonts w:hint="cs"/>
          <w:rtl/>
          <w:lang w:bidi="fa-IR"/>
        </w:rPr>
        <w:t>َّ</w:t>
      </w:r>
      <w:r>
        <w:rPr>
          <w:rtl/>
          <w:lang w:bidi="fa-IR"/>
        </w:rPr>
        <w:t>ا</w:t>
      </w:r>
      <w:r w:rsidRPr="00132E65">
        <w:rPr>
          <w:rtl/>
          <w:lang w:bidi="fa-IR"/>
        </w:rPr>
        <w:t xml:space="preserve"> وَأَحَدُهُمَا </w:t>
      </w:r>
      <w:r>
        <w:rPr>
          <w:rStyle w:val="libFootnotenumChar"/>
          <w:rtl/>
        </w:rPr>
        <w:t>(6)</w:t>
      </w:r>
      <w:r w:rsidRPr="00132E65">
        <w:rPr>
          <w:rtl/>
          <w:lang w:bidi="fa-IR"/>
        </w:rPr>
        <w:t xml:space="preserve"> صَامِتٌ »</w:t>
      </w:r>
      <w:r>
        <w:rPr>
          <w:rtl/>
          <w:lang w:bidi="fa-IR"/>
        </w:rPr>
        <w:t>.</w:t>
      </w:r>
      <w:r w:rsidRPr="00132E65">
        <w:rPr>
          <w:rtl/>
          <w:lang w:bidi="fa-IR"/>
        </w:rPr>
        <w:t xml:space="preserve"> فَقُلْتُ لَهُ : هُوَ ذَا </w:t>
      </w:r>
      <w:r>
        <w:rPr>
          <w:rStyle w:val="libFootnotenumChar"/>
          <w:rtl/>
        </w:rPr>
        <w:t>(7)</w:t>
      </w:r>
      <w:r w:rsidRPr="00132E65">
        <w:rPr>
          <w:rtl/>
          <w:lang w:bidi="fa-IR"/>
        </w:rPr>
        <w:t xml:space="preserve"> أَنْتَ ، لَيْسَ لَكَ صَامِتٌ</w:t>
      </w:r>
      <w:r>
        <w:rPr>
          <w:rtl/>
          <w:lang w:bidi="fa-IR"/>
        </w:rPr>
        <w:t xml:space="preserve"> - </w:t>
      </w:r>
      <w:r w:rsidRPr="00132E65">
        <w:rPr>
          <w:rtl/>
          <w:lang w:bidi="fa-IR"/>
        </w:rPr>
        <w:t xml:space="preserve">ولَمْ يَكُنْ ولِدَ لَهُ </w:t>
      </w:r>
      <w:r>
        <w:rPr>
          <w:rStyle w:val="libFootnotenumChar"/>
          <w:rtl/>
        </w:rPr>
        <w:t>(8)</w:t>
      </w:r>
      <w:r w:rsidRPr="00132E65">
        <w:rPr>
          <w:rtl/>
          <w:lang w:bidi="fa-IR"/>
        </w:rPr>
        <w:t xml:space="preserve"> أَبُو جَعْفَرٍ </w:t>
      </w:r>
      <w:r w:rsidRPr="00071CF9">
        <w:rPr>
          <w:rStyle w:val="libAlaemChar"/>
          <w:rtl/>
        </w:rPr>
        <w:t>عليه‌السلام</w:t>
      </w:r>
      <w:r w:rsidRPr="00132E65">
        <w:rPr>
          <w:rtl/>
          <w:lang w:bidi="fa-IR"/>
        </w:rPr>
        <w:t xml:space="preserve"> بَعْدُ</w:t>
      </w:r>
      <w:r>
        <w:rPr>
          <w:rtl/>
          <w:lang w:bidi="fa-IR"/>
        </w:rPr>
        <w:t xml:space="preserve"> - </w:t>
      </w:r>
      <w:r w:rsidRPr="00132E65">
        <w:rPr>
          <w:rtl/>
          <w:lang w:bidi="fa-IR"/>
        </w:rPr>
        <w:t xml:space="preserve">فَقَالَ لِي </w:t>
      </w:r>
      <w:r>
        <w:rPr>
          <w:rStyle w:val="libFootnotenumChar"/>
          <w:rtl/>
        </w:rPr>
        <w:t>(9)</w:t>
      </w:r>
      <w:r w:rsidRPr="00132E65">
        <w:rPr>
          <w:rtl/>
          <w:lang w:bidi="fa-IR"/>
        </w:rPr>
        <w:t xml:space="preserve"> : « وَاللهِ ، لَيَجْعَلَنَّ اللهُ مِنِّي مَا يُثْبِتُ بِهِ الْحَقَّ وأَهْلَهُ ، وَيَمْحَقُ </w:t>
      </w:r>
      <w:r>
        <w:rPr>
          <w:rStyle w:val="libFootnotenumChar"/>
          <w:rtl/>
        </w:rPr>
        <w:t>(10)</w:t>
      </w:r>
      <w:r w:rsidRPr="00132E65">
        <w:rPr>
          <w:rtl/>
          <w:lang w:bidi="fa-IR"/>
        </w:rPr>
        <w:t xml:space="preserve"> بِهِ الْبَاطِلَ وأَهْلَهُ »</w:t>
      </w:r>
      <w:r>
        <w:rPr>
          <w:rtl/>
          <w:lang w:bidi="fa-IR"/>
        </w:rPr>
        <w:t>.</w:t>
      </w:r>
      <w:r w:rsidRPr="00132E65">
        <w:rPr>
          <w:rtl/>
          <w:lang w:bidi="fa-IR"/>
        </w:rPr>
        <w:t xml:space="preserve"> فَوُلِدَ لَهُ بَعْدَ سَنَةٍ أَبُو جَعْفَرٍ </w:t>
      </w:r>
      <w:r w:rsidRPr="00071CF9">
        <w:rPr>
          <w:rStyle w:val="libAlaemChar"/>
          <w:rtl/>
        </w:rPr>
        <w:t>عليه‌السلام</w:t>
      </w:r>
      <w:r w:rsidRPr="00132E65">
        <w:rPr>
          <w:rtl/>
          <w:lang w:bidi="fa-IR"/>
        </w:rPr>
        <w:t xml:space="preserve"> </w:t>
      </w:r>
      <w:r>
        <w:rPr>
          <w:rStyle w:val="libFootnotenumChar"/>
          <w:rtl/>
        </w:rPr>
        <w:t>(11)</w:t>
      </w:r>
      <w:r w:rsidRPr="00132E65">
        <w:rPr>
          <w:rtl/>
          <w:lang w:bidi="fa-IR"/>
        </w:rPr>
        <w:t xml:space="preserve"> ، وكَانَ ابْنُ قِيَامَا وَاقِفِيّاً </w:t>
      </w:r>
      <w:r>
        <w:rPr>
          <w:rStyle w:val="libFootnotenumChar"/>
          <w:rtl/>
        </w:rPr>
        <w:t>(12)</w:t>
      </w:r>
      <w:r w:rsidRPr="00132E65">
        <w:rPr>
          <w:rtl/>
          <w:lang w:bidi="fa-IR"/>
        </w:rPr>
        <w:t xml:space="preserve"> </w:t>
      </w:r>
      <w:r w:rsidRPr="00F543F1">
        <w:rPr>
          <w:rStyle w:val="libFootnotenumChar"/>
          <w:rtl/>
        </w:rPr>
        <w:t>(13)</w:t>
      </w:r>
    </w:p>
    <w:p w:rsidR="000C39D1" w:rsidRPr="00132E65" w:rsidRDefault="000C39D1" w:rsidP="000C39D1">
      <w:pPr>
        <w:pStyle w:val="libNormal"/>
        <w:rPr>
          <w:rtl/>
          <w:lang w:bidi="fa-IR"/>
        </w:rPr>
      </w:pPr>
      <w:r w:rsidRPr="006612CA">
        <w:rPr>
          <w:rtl/>
        </w:rPr>
        <w:t>840</w:t>
      </w:r>
      <w:r w:rsidRPr="004325D8">
        <w:rPr>
          <w:rStyle w:val="libBold2Char"/>
          <w:rtl/>
        </w:rPr>
        <w:t xml:space="preserve"> / 8.</w:t>
      </w:r>
      <w:r w:rsidRPr="00132E65">
        <w:rPr>
          <w:rtl/>
          <w:lang w:bidi="fa-IR"/>
        </w:rPr>
        <w:t xml:space="preserve"> أَحْمَدُ </w:t>
      </w:r>
      <w:r w:rsidRPr="00F543F1">
        <w:rPr>
          <w:rStyle w:val="libFootnotenumChar"/>
          <w:rtl/>
        </w:rPr>
        <w:t>(14)</w:t>
      </w:r>
      <w:r w:rsidRPr="00132E65">
        <w:rPr>
          <w:rtl/>
          <w:lang w:bidi="fa-IR"/>
        </w:rPr>
        <w:t xml:space="preserve"> ، عَنْ مُحَمَّدِ بْنِ عَلِيٍّ ، عَنِ الْحَسَنِ بْنِ الْجَهْمِ ، قَالَ :</w:t>
      </w:r>
    </w:p>
    <w:p w:rsidR="000C39D1" w:rsidRPr="00132E65" w:rsidRDefault="000C39D1" w:rsidP="000C39D1">
      <w:pPr>
        <w:pStyle w:val="libNormal"/>
        <w:rPr>
          <w:rtl/>
          <w:lang w:bidi="fa-IR"/>
        </w:rPr>
      </w:pPr>
      <w:r w:rsidRPr="00132E65">
        <w:rPr>
          <w:rtl/>
          <w:lang w:bidi="fa-IR"/>
        </w:rPr>
        <w:t xml:space="preserve">كُنْتُ مَعَ أَبِي الْحَسَنِ </w:t>
      </w:r>
      <w:r w:rsidRPr="00071CF9">
        <w:rPr>
          <w:rStyle w:val="libAlaemChar"/>
          <w:rtl/>
        </w:rPr>
        <w:t>عليه‌السلام</w:t>
      </w:r>
      <w:r w:rsidRPr="00132E65">
        <w:rPr>
          <w:rtl/>
          <w:lang w:bidi="fa-IR"/>
        </w:rPr>
        <w:t xml:space="preserve"> جَالِساً ، فَدَعَا بِابْنِهِ وهُوَ صَغِيرٌ ، فَأَجْلَسَهُ فِي حِجْرِي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ف ، ه‍ ، بر ، بس ، بف » و</w:t>
      </w:r>
      <w:r w:rsidRPr="009D1ACE">
        <w:rPr>
          <w:rStyle w:val="libFootnoteBoldChar"/>
          <w:rtl/>
        </w:rPr>
        <w:t>الوافي</w:t>
      </w:r>
      <w:r w:rsidRPr="00132E65">
        <w:rPr>
          <w:rtl/>
        </w:rPr>
        <w:t xml:space="preserve"> : « ذاك »</w:t>
      </w:r>
      <w:r>
        <w:rPr>
          <w:rtl/>
        </w:rPr>
        <w:t>.</w:t>
      </w:r>
    </w:p>
    <w:p w:rsidR="000C39D1" w:rsidRPr="00132E65" w:rsidRDefault="000C39D1" w:rsidP="000C39D1">
      <w:pPr>
        <w:pStyle w:val="libFootnote0"/>
        <w:rPr>
          <w:rtl/>
          <w:lang w:bidi="fa-IR"/>
        </w:rPr>
      </w:pPr>
      <w:r>
        <w:rPr>
          <w:rtl/>
        </w:rPr>
        <w:t>(2).</w:t>
      </w:r>
      <w:r w:rsidRPr="00132E65">
        <w:rPr>
          <w:rtl/>
        </w:rPr>
        <w:t xml:space="preserve"> راجع المصادر التي ذكرنا ذيل ح 2 من هذا الباب</w:t>
      </w:r>
      <w:r>
        <w:rPr>
          <w:rFonts w:hint="cs"/>
          <w:rtl/>
        </w:rPr>
        <w:t>.</w:t>
      </w:r>
      <w:r w:rsidRPr="009D1ACE">
        <w:rPr>
          <w:rStyle w:val="libFootnoteBoldChar"/>
          <w:rtl/>
        </w:rPr>
        <w:t>الوافي</w:t>
      </w:r>
      <w:r w:rsidRPr="00132E65">
        <w:rPr>
          <w:rtl/>
        </w:rPr>
        <w:t xml:space="preserve"> ، ج 2 ، ص 374 ، 848.</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بف » وحاشية «</w:t>
            </w:r>
            <w:r>
              <w:rPr>
                <w:rtl/>
              </w:rPr>
              <w:t xml:space="preserve"> و »</w:t>
            </w:r>
            <w:r w:rsidRPr="00132E65">
              <w:rPr>
                <w:rtl/>
              </w:rPr>
              <w:t xml:space="preserve"> : « عنه »</w:t>
            </w:r>
            <w:r>
              <w:rPr>
                <w:rtl/>
              </w:rPr>
              <w:t>.</w:t>
            </w:r>
          </w:p>
        </w:tc>
        <w:tc>
          <w:tcPr>
            <w:tcW w:w="4006" w:type="dxa"/>
          </w:tcPr>
          <w:p w:rsidR="000C39D1" w:rsidRDefault="000C39D1" w:rsidP="00B53873">
            <w:pPr>
              <w:pStyle w:val="libFootnote0"/>
              <w:rPr>
                <w:rtl/>
              </w:rPr>
            </w:pPr>
            <w:r>
              <w:rPr>
                <w:rtl/>
              </w:rPr>
              <w:t>(4).</w:t>
            </w:r>
            <w:r w:rsidRPr="00132E65">
              <w:rPr>
                <w:rtl/>
              </w:rPr>
              <w:t xml:space="preserve"> في </w:t>
            </w:r>
            <w:r w:rsidRPr="000577A7">
              <w:rPr>
                <w:rStyle w:val="libFootnoteBoldChar"/>
                <w:rtl/>
              </w:rPr>
              <w:t>الكافي</w:t>
            </w:r>
            <w:r w:rsidRPr="00132E65">
              <w:rPr>
                <w:rtl/>
              </w:rPr>
              <w:t xml:space="preserve"> ، ح 932 :</w:t>
            </w:r>
            <w:r>
              <w:rPr>
                <w:rtl/>
              </w:rPr>
              <w:t xml:space="preserve"> + </w:t>
            </w:r>
            <w:r w:rsidRPr="00132E65">
              <w:rPr>
                <w:rtl/>
              </w:rPr>
              <w:t>« وكان من الواقفة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w:t>
            </w:r>
            <w:r w:rsidRPr="000577A7">
              <w:rPr>
                <w:rStyle w:val="libFootnoteBoldChar"/>
                <w:rtl/>
              </w:rPr>
              <w:t>الكافي</w:t>
            </w:r>
            <w:r>
              <w:rPr>
                <w:rtl/>
              </w:rPr>
              <w:t>،ح 932 :« يكون »بدل « أ</w:t>
            </w:r>
            <w:r w:rsidRPr="00132E65">
              <w:rPr>
                <w:rtl/>
              </w:rPr>
              <w:t>يكون »</w:t>
            </w:r>
            <w:r>
              <w:rPr>
                <w:rtl/>
              </w:rPr>
              <w:t>.</w:t>
            </w:r>
          </w:p>
        </w:tc>
        <w:tc>
          <w:tcPr>
            <w:tcW w:w="4006" w:type="dxa"/>
          </w:tcPr>
          <w:p w:rsidR="000C39D1" w:rsidRDefault="000C39D1" w:rsidP="00B53873">
            <w:pPr>
              <w:pStyle w:val="libFootnote0"/>
              <w:rPr>
                <w:rtl/>
              </w:rPr>
            </w:pPr>
            <w:r>
              <w:rPr>
                <w:rtl/>
              </w:rPr>
              <w:t>(6). في الإرشاد : « إل</w:t>
            </w:r>
            <w:r>
              <w:rPr>
                <w:rFonts w:hint="cs"/>
                <w:rtl/>
              </w:rPr>
              <w:t>ّ</w:t>
            </w:r>
            <w:r>
              <w:rPr>
                <w:rtl/>
              </w:rPr>
              <w:t>ا</w:t>
            </w:r>
            <w:r w:rsidRPr="00132E65">
              <w:rPr>
                <w:rtl/>
              </w:rPr>
              <w:t xml:space="preserve"> أن يكون أحدهما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ف » : « ذاك »</w:t>
            </w:r>
            <w:r>
              <w:rPr>
                <w:rtl/>
              </w:rPr>
              <w:t>.</w:t>
            </w:r>
          </w:p>
        </w:tc>
        <w:tc>
          <w:tcPr>
            <w:tcW w:w="4006" w:type="dxa"/>
          </w:tcPr>
          <w:p w:rsidR="000C39D1" w:rsidRDefault="000C39D1" w:rsidP="00B53873">
            <w:pPr>
              <w:pStyle w:val="libFootnote0"/>
              <w:rPr>
                <w:rtl/>
              </w:rPr>
            </w:pPr>
            <w:r>
              <w:rPr>
                <w:rtl/>
              </w:rPr>
              <w:t>(8).</w:t>
            </w:r>
            <w:r w:rsidRPr="00132E65">
              <w:rPr>
                <w:rtl/>
              </w:rPr>
              <w:t xml:space="preserve"> في « ب » : « له ولد »</w:t>
            </w:r>
            <w:r>
              <w:rPr>
                <w:rtl/>
              </w:rPr>
              <w:t>.</w:t>
            </w:r>
          </w:p>
        </w:tc>
      </w:tr>
    </w:tbl>
    <w:p w:rsidR="000C39D1" w:rsidRPr="00132E65" w:rsidRDefault="000C39D1" w:rsidP="000C39D1">
      <w:pPr>
        <w:pStyle w:val="libFootnote0"/>
        <w:rPr>
          <w:rtl/>
          <w:lang w:bidi="fa-IR"/>
        </w:rPr>
      </w:pPr>
      <w:r>
        <w:rPr>
          <w:rtl/>
        </w:rPr>
        <w:t>(9).</w:t>
      </w:r>
      <w:r w:rsidRPr="00132E65">
        <w:rPr>
          <w:rtl/>
        </w:rPr>
        <w:t xml:space="preserve"> في البحار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(10).</w:t>
      </w:r>
      <w:r w:rsidRPr="00132E65">
        <w:rPr>
          <w:rtl/>
        </w:rPr>
        <w:t xml:space="preserve"> « يمحق » ، أي يُنقصه ويُذهب بركته ؛ من المَحْق بمعنى النقص والمحو والإبطال وذهاب البركة. راجع : </w:t>
      </w:r>
      <w:r w:rsidRPr="006612CA">
        <w:rPr>
          <w:rtl/>
        </w:rPr>
        <w:t>النهاية</w:t>
      </w:r>
      <w:r w:rsidRPr="00132E65">
        <w:rPr>
          <w:rtl/>
        </w:rPr>
        <w:t xml:space="preserve"> ، ج 4 ، ص 303 ( محق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0577A7">
        <w:rPr>
          <w:rStyle w:val="libFootnoteBoldChar"/>
          <w:rtl/>
        </w:rPr>
        <w:t>الكافي</w:t>
      </w:r>
      <w:r w:rsidRPr="00132E65">
        <w:rPr>
          <w:rtl/>
        </w:rPr>
        <w:t xml:space="preserve"> ، ح 932 :</w:t>
      </w:r>
      <w:r>
        <w:rPr>
          <w:rtl/>
        </w:rPr>
        <w:t xml:space="preserve"> + </w:t>
      </w:r>
      <w:r w:rsidRPr="00132E65">
        <w:rPr>
          <w:rtl/>
        </w:rPr>
        <w:t>« فقيل لابن قياما : ألا تقنعك هذه الآية</w:t>
      </w:r>
      <w:r>
        <w:rPr>
          <w:rtl/>
        </w:rPr>
        <w:t>؟</w:t>
      </w:r>
      <w:r w:rsidRPr="00132E65">
        <w:rPr>
          <w:rtl/>
        </w:rPr>
        <w:t xml:space="preserve"> فقال : أما والله إنّها لآية عظيمة ولكن كيف أصنع بما قال أبو عبد الله </w:t>
      </w:r>
      <w:r w:rsidRPr="005D7B04">
        <w:rPr>
          <w:rStyle w:val="libFootnoteAlaemChar"/>
          <w:rtl/>
        </w:rPr>
        <w:t>عليه‌السلام</w:t>
      </w:r>
      <w:r w:rsidRPr="00132E65">
        <w:rPr>
          <w:rtl/>
        </w:rPr>
        <w:t xml:space="preserve"> في ابنه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0577A7">
        <w:rPr>
          <w:rStyle w:val="libFootnoteBoldChar"/>
          <w:rtl/>
        </w:rPr>
        <w:t>الكافي</w:t>
      </w:r>
      <w:r w:rsidRPr="00132E65">
        <w:rPr>
          <w:rtl/>
        </w:rPr>
        <w:t xml:space="preserve"> ، ح 932 والإرشاد </w:t>
      </w:r>
      <w:r>
        <w:rPr>
          <w:rtl/>
        </w:rPr>
        <w:t xml:space="preserve">: - </w:t>
      </w:r>
      <w:r w:rsidRPr="00132E65">
        <w:rPr>
          <w:rtl/>
        </w:rPr>
        <w:t>« وكان ابن قياما واقفياً »</w:t>
      </w:r>
      <w:r>
        <w:rPr>
          <w:rtl/>
        </w:rPr>
        <w:t>.</w:t>
      </w:r>
    </w:p>
    <w:p w:rsidR="000C39D1" w:rsidRPr="00132E65" w:rsidRDefault="000C39D1" w:rsidP="000C39D1">
      <w:pPr>
        <w:pStyle w:val="libFootnote0"/>
        <w:rPr>
          <w:rtl/>
          <w:lang w:bidi="fa-IR"/>
        </w:rPr>
      </w:pPr>
      <w:r>
        <w:rPr>
          <w:rtl/>
        </w:rPr>
        <w:t>(13)</w:t>
      </w:r>
      <w:r w:rsidRPr="00132E65">
        <w:rPr>
          <w:rtl/>
        </w:rPr>
        <w:t xml:space="preserve"> </w:t>
      </w:r>
      <w:r w:rsidRPr="000577A7">
        <w:rPr>
          <w:rStyle w:val="libFootnoteBoldChar"/>
          <w:rtl/>
        </w:rPr>
        <w:t>الكافي</w:t>
      </w:r>
      <w:r w:rsidRPr="00132E65">
        <w:rPr>
          <w:rtl/>
        </w:rPr>
        <w:t xml:space="preserve"> ، كتاب الحجّة ، باب ما يفصل به بين دعوى المحقّ</w:t>
      </w:r>
      <w:r>
        <w:rPr>
          <w:rtl/>
        </w:rPr>
        <w:t xml:space="preserve"> ..</w:t>
      </w:r>
      <w:r w:rsidRPr="00132E65">
        <w:rPr>
          <w:rtl/>
        </w:rPr>
        <w:t xml:space="preserve">. ، ح 932 ، مع زيادة في آخره. </w:t>
      </w:r>
      <w:r w:rsidRPr="006612CA">
        <w:rPr>
          <w:rtl/>
        </w:rPr>
        <w:t>الإرشاد</w:t>
      </w:r>
      <w:r w:rsidRPr="00132E65">
        <w:rPr>
          <w:rtl/>
        </w:rPr>
        <w:t xml:space="preserve"> ، ج 2 ، ص 277 ، بسنده عن الكليني. راجع : </w:t>
      </w:r>
      <w:r w:rsidRPr="000577A7">
        <w:rPr>
          <w:rStyle w:val="libFootnoteBoldChar"/>
          <w:rtl/>
        </w:rPr>
        <w:t>الكافي</w:t>
      </w:r>
      <w:r w:rsidRPr="00132E65">
        <w:rPr>
          <w:rtl/>
        </w:rPr>
        <w:t xml:space="preserve"> ، كتاب الحجّة ، باب أنّ الأرض لا تخلو من حجّة ، ح 451 ؛ و</w:t>
      </w:r>
      <w:r w:rsidRPr="006612CA">
        <w:rPr>
          <w:rtl/>
        </w:rPr>
        <w:t>كتاب سليم بن قيس</w:t>
      </w:r>
      <w:r w:rsidRPr="00132E65">
        <w:rPr>
          <w:rtl/>
        </w:rPr>
        <w:t xml:space="preserve"> ، ص 821 ، ذيل ح 37 ؛ و</w:t>
      </w:r>
      <w:r w:rsidRPr="007A1104">
        <w:rPr>
          <w:rStyle w:val="libFootnoteBoldChar"/>
          <w:rtl/>
        </w:rPr>
        <w:t>بصائر الدرجات</w:t>
      </w:r>
      <w:r w:rsidRPr="00132E65">
        <w:rPr>
          <w:rtl/>
        </w:rPr>
        <w:t xml:space="preserve"> ، ص 486 ، ح 11 ؛ وص 511 ، ح 20 ؛ وص 516 ، ح 44 ؛ و</w:t>
      </w:r>
      <w:r w:rsidRPr="006612CA">
        <w:rPr>
          <w:rtl/>
        </w:rPr>
        <w:t xml:space="preserve">كمال الدين </w:t>
      </w:r>
      <w:r w:rsidRPr="00132E65">
        <w:rPr>
          <w:rtl/>
        </w:rPr>
        <w:t>، ص 223 ، ح 17 ؛ وص 233 ح 41</w:t>
      </w:r>
      <w:r>
        <w:rPr>
          <w:rFonts w:hint="cs"/>
          <w:rtl/>
        </w:rPr>
        <w:t>.</w:t>
      </w:r>
      <w:r w:rsidRPr="009D1ACE">
        <w:rPr>
          <w:rStyle w:val="libFootnoteBoldChar"/>
          <w:rtl/>
        </w:rPr>
        <w:t>الوافي</w:t>
      </w:r>
      <w:r w:rsidRPr="00132E65">
        <w:rPr>
          <w:rtl/>
        </w:rPr>
        <w:t xml:space="preserve"> ، ج 2 ، ص 375 ، ح 851.</w:t>
      </w:r>
    </w:p>
    <w:p w:rsidR="000C39D1" w:rsidRPr="00132E65" w:rsidRDefault="000C39D1" w:rsidP="000C39D1">
      <w:pPr>
        <w:pStyle w:val="libFootnote0"/>
        <w:rPr>
          <w:rtl/>
          <w:lang w:bidi="fa-IR"/>
        </w:rPr>
      </w:pPr>
      <w:r>
        <w:rPr>
          <w:rtl/>
        </w:rPr>
        <w:t>(14)</w:t>
      </w:r>
      <w:r w:rsidRPr="00132E65">
        <w:rPr>
          <w:rtl/>
        </w:rPr>
        <w:t xml:space="preserve"> في « ج ، ض ، بف » وحاشية « و، بر » : « عنه »</w:t>
      </w:r>
      <w:r>
        <w:rPr>
          <w:rtl/>
        </w:rPr>
        <w:t>.</w:t>
      </w:r>
    </w:p>
    <w:p w:rsidR="000C39D1" w:rsidRPr="00132E65" w:rsidRDefault="000C39D1" w:rsidP="000C39D1">
      <w:pPr>
        <w:pStyle w:val="libFootnote0"/>
        <w:rPr>
          <w:rtl/>
          <w:lang w:bidi="fa-IR"/>
        </w:rPr>
      </w:pPr>
      <w:r>
        <w:rPr>
          <w:rtl/>
        </w:rPr>
        <w:t>(15)</w:t>
      </w:r>
      <w:r w:rsidRPr="00132E65">
        <w:rPr>
          <w:rtl/>
        </w:rPr>
        <w:t xml:space="preserve"> « حَجْرُ الإنسان وحِجْرُهُ : ما بين يديه من ثوبه »</w:t>
      </w:r>
      <w:r>
        <w:rPr>
          <w:rtl/>
        </w:rPr>
        <w:t>.</w:t>
      </w:r>
      <w:r w:rsidRPr="00132E65">
        <w:rPr>
          <w:rtl/>
        </w:rPr>
        <w:t xml:space="preserve"> </w:t>
      </w:r>
      <w:r w:rsidRPr="009D1ACE">
        <w:rPr>
          <w:rStyle w:val="libFootnoteBoldChar"/>
          <w:rtl/>
        </w:rPr>
        <w:t>لسان العرب</w:t>
      </w:r>
      <w:r w:rsidRPr="00132E65">
        <w:rPr>
          <w:rtl/>
        </w:rPr>
        <w:t xml:space="preserve"> ، ج 4 ، ص 170 ( حجر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فَقَالَ لِي : « جَرِّدْهُ وانْزِعْ قَمِيصَهُ »</w:t>
      </w:r>
      <w:r>
        <w:rPr>
          <w:rtl/>
          <w:lang w:bidi="fa-IR"/>
        </w:rPr>
        <w:t>.</w:t>
      </w:r>
      <w:r w:rsidRPr="00132E65">
        <w:rPr>
          <w:rtl/>
          <w:lang w:bidi="fa-IR"/>
        </w:rPr>
        <w:t xml:space="preserve"> فَنَزَعْتُهُ ، فَقَالَ لِيَ : « انْظُرْ بَيْنَ كَتِفَيْهِ </w:t>
      </w:r>
      <w:r>
        <w:rPr>
          <w:rStyle w:val="libFootnotenumChar"/>
          <w:rtl/>
        </w:rPr>
        <w:t>(1)</w:t>
      </w:r>
      <w:r w:rsidRPr="00132E65">
        <w:rPr>
          <w:rtl/>
          <w:lang w:bidi="fa-IR"/>
        </w:rPr>
        <w:t xml:space="preserve"> » فَنَظَرْتُ ، فَإِذَا </w:t>
      </w:r>
      <w:r>
        <w:rPr>
          <w:rStyle w:val="libFootnotenumChar"/>
          <w:rtl/>
        </w:rPr>
        <w:t>(2)</w:t>
      </w:r>
      <w:r w:rsidRPr="00132E65">
        <w:rPr>
          <w:rtl/>
          <w:lang w:bidi="fa-IR"/>
        </w:rPr>
        <w:t xml:space="preserve"> فِي أَحَدِ </w:t>
      </w:r>
      <w:r>
        <w:rPr>
          <w:rStyle w:val="libFootnotenumChar"/>
          <w:rtl/>
        </w:rPr>
        <w:t>(3)</w:t>
      </w:r>
      <w:r w:rsidRPr="00132E65">
        <w:rPr>
          <w:rtl/>
          <w:lang w:bidi="fa-IR"/>
        </w:rPr>
        <w:t xml:space="preserve"> كَتِفَيْهِ شَبِيهٌ بِالْخَاتَمِ </w:t>
      </w:r>
      <w:r>
        <w:rPr>
          <w:rStyle w:val="libFootnotenumChar"/>
          <w:rtl/>
        </w:rPr>
        <w:t>(4)</w:t>
      </w:r>
      <w:r w:rsidRPr="00132E65">
        <w:rPr>
          <w:rtl/>
          <w:lang w:bidi="fa-IR"/>
        </w:rPr>
        <w:t xml:space="preserve"> ، دَاخِلٌ فِي اللَّحْمِ ، ثُمَّ قَالَ </w:t>
      </w:r>
      <w:r>
        <w:rPr>
          <w:rStyle w:val="libFootnotenumChar"/>
          <w:rtl/>
        </w:rPr>
        <w:t>(5)</w:t>
      </w:r>
      <w:r>
        <w:rPr>
          <w:rtl/>
          <w:lang w:bidi="fa-IR"/>
        </w:rPr>
        <w:t xml:space="preserve"> : « أَ</w:t>
      </w:r>
      <w:r w:rsidRPr="00132E65">
        <w:rPr>
          <w:rtl/>
          <w:lang w:bidi="fa-IR"/>
        </w:rPr>
        <w:t xml:space="preserve">تَرى هذَا </w:t>
      </w:r>
      <w:r>
        <w:rPr>
          <w:rStyle w:val="libFootnotenumChar"/>
          <w:rtl/>
        </w:rPr>
        <w:t>(6)</w:t>
      </w:r>
      <w:r>
        <w:rPr>
          <w:rtl/>
          <w:lang w:bidi="fa-IR"/>
        </w:rPr>
        <w:t>؟</w:t>
      </w:r>
      <w:r w:rsidRPr="00132E65">
        <w:rPr>
          <w:rtl/>
          <w:lang w:bidi="fa-IR"/>
        </w:rPr>
        <w:t xml:space="preserve"> كَانَ مِثْلُهُ فِي هذَا الْمَوْضِعِ مِنْ أَبِي </w:t>
      </w:r>
      <w:r w:rsidRPr="00071CF9">
        <w:rPr>
          <w:rStyle w:val="libAlaemChar"/>
          <w:rtl/>
        </w:rPr>
        <w:t>عليه‌السلام</w:t>
      </w:r>
      <w:r w:rsidRPr="00132E65">
        <w:rPr>
          <w:rtl/>
          <w:lang w:bidi="fa-IR"/>
        </w:rPr>
        <w:t xml:space="preserve">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6612CA">
        <w:rPr>
          <w:rtl/>
        </w:rPr>
        <w:t>841</w:t>
      </w:r>
      <w:r w:rsidRPr="004325D8">
        <w:rPr>
          <w:rStyle w:val="libBold2Char"/>
          <w:rtl/>
        </w:rPr>
        <w:t xml:space="preserve"> / 9.</w:t>
      </w:r>
      <w:r w:rsidRPr="00132E65">
        <w:rPr>
          <w:rtl/>
          <w:lang w:bidi="fa-IR"/>
        </w:rPr>
        <w:t xml:space="preserve"> عَنْهُ ، عَنْ مُحَمَّدِ بْنِ عَلِيٍّ ، عَنْ أَبِي يَحْيَى الصَّنْعَانِيِّ ، قَالَ :</w:t>
      </w:r>
    </w:p>
    <w:p w:rsidR="000C39D1" w:rsidRPr="00132E65" w:rsidRDefault="000C39D1" w:rsidP="000C39D1">
      <w:pPr>
        <w:pStyle w:val="libNormal"/>
        <w:rPr>
          <w:rtl/>
          <w:lang w:bidi="fa-IR"/>
        </w:rPr>
      </w:pPr>
      <w:r w:rsidRPr="00132E65">
        <w:rPr>
          <w:rtl/>
          <w:lang w:bidi="fa-IR"/>
        </w:rPr>
        <w:t xml:space="preserve">كُنْتُ عِنْدَ أَبِي الْحَسَنِ الرِّضَا </w:t>
      </w:r>
      <w:r w:rsidRPr="00071CF9">
        <w:rPr>
          <w:rStyle w:val="libAlaemChar"/>
          <w:rtl/>
        </w:rPr>
        <w:t>عليه‌السلام</w:t>
      </w:r>
      <w:r w:rsidRPr="00132E65">
        <w:rPr>
          <w:rtl/>
          <w:lang w:bidi="fa-IR"/>
        </w:rPr>
        <w:t xml:space="preserve"> ، فَجِي‌ءَ </w:t>
      </w:r>
      <w:r>
        <w:rPr>
          <w:rStyle w:val="libFootnotenumChar"/>
          <w:rtl/>
        </w:rPr>
        <w:t>(9)</w:t>
      </w:r>
      <w:r w:rsidRPr="00132E65">
        <w:rPr>
          <w:rtl/>
          <w:lang w:bidi="fa-IR"/>
        </w:rPr>
        <w:t xml:space="preserve"> بِابْنِهِ أَبِي جَعْفَرٍ </w:t>
      </w:r>
      <w:r w:rsidRPr="00071CF9">
        <w:rPr>
          <w:rStyle w:val="libAlaemChar"/>
          <w:rtl/>
        </w:rPr>
        <w:t>عليه‌السلام</w:t>
      </w:r>
      <w:r w:rsidRPr="00132E65">
        <w:rPr>
          <w:rtl/>
          <w:lang w:bidi="fa-IR"/>
        </w:rPr>
        <w:t xml:space="preserve"> وهُوَ صَغِيرٌ ، فَقَالَ :</w:t>
      </w:r>
      <w:r>
        <w:rPr>
          <w:rFonts w:hint="cs"/>
          <w:rtl/>
          <w:lang w:bidi="fa-IR"/>
        </w:rPr>
        <w:t xml:space="preserve"> </w:t>
      </w:r>
      <w:r w:rsidRPr="00132E65">
        <w:rPr>
          <w:rtl/>
          <w:lang w:bidi="fa-IR"/>
        </w:rPr>
        <w:t xml:space="preserve">« هذَا الْمَوْلُودُ الَّذِي لَمْ يُولَدْ مَوْلُودٌ أَعْظَمُ بَرَكَةً عَلى شِيعَتِنَا </w:t>
      </w:r>
      <w:r>
        <w:rPr>
          <w:rStyle w:val="libFootnotenumChar"/>
          <w:rtl/>
        </w:rPr>
        <w:t>(10)</w:t>
      </w:r>
      <w:r w:rsidRPr="00132E65">
        <w:rPr>
          <w:rtl/>
          <w:lang w:bidi="fa-IR"/>
        </w:rPr>
        <w:t xml:space="preserve"> مِنْهُ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4325D8">
        <w:rPr>
          <w:rStyle w:val="libBold2Char"/>
          <w:rtl/>
        </w:rPr>
        <w:t>842 / 10.</w:t>
      </w:r>
      <w:r w:rsidRPr="00132E65">
        <w:rPr>
          <w:rtl/>
          <w:lang w:bidi="fa-IR"/>
        </w:rPr>
        <w:t xml:space="preserve"> مُحَمَّدُ بْنُ يَحْيى ، عَنْ أَحْمَدَ بْنِ مُحَمَّدٍ ، عَنْ صَفْوَانَ بْنِ يَحْيى ، قَالَ :</w:t>
      </w:r>
    </w:p>
    <w:p w:rsidR="000C39D1" w:rsidRPr="00132E65" w:rsidRDefault="000C39D1" w:rsidP="000C39D1">
      <w:pPr>
        <w:pStyle w:val="libNormal"/>
        <w:rPr>
          <w:rtl/>
          <w:lang w:bidi="fa-IR"/>
        </w:rPr>
      </w:pPr>
      <w:r w:rsidRPr="00132E65">
        <w:rPr>
          <w:rtl/>
          <w:lang w:bidi="fa-IR"/>
        </w:rPr>
        <w:t xml:space="preserve">قُلْتُ لِلرِّضَا </w:t>
      </w:r>
      <w:r w:rsidRPr="00071CF9">
        <w:rPr>
          <w:rStyle w:val="libAlaemChar"/>
          <w:rtl/>
        </w:rPr>
        <w:t>عليه‌السلام</w:t>
      </w:r>
      <w:r w:rsidRPr="00132E65">
        <w:rPr>
          <w:rtl/>
          <w:lang w:bidi="fa-IR"/>
        </w:rPr>
        <w:t xml:space="preserve"> : قَدْ كُنَّا نَسْأَلُكَ قَبْلَ أَنْ يَهَبَ اللهُ لَكَ </w:t>
      </w:r>
      <w:r>
        <w:rPr>
          <w:rStyle w:val="libFootnotenumChar"/>
          <w:rtl/>
        </w:rPr>
        <w:t>(12)</w:t>
      </w:r>
      <w:r w:rsidRPr="00132E65">
        <w:rPr>
          <w:rtl/>
          <w:lang w:bidi="fa-IR"/>
        </w:rPr>
        <w:t xml:space="preserve"> أَبَا جَعْفَرٍ </w:t>
      </w:r>
      <w:r w:rsidRPr="00071CF9">
        <w:rPr>
          <w:rStyle w:val="libAlaemChar"/>
          <w:rtl/>
        </w:rPr>
        <w:t>عليه‌السلام</w:t>
      </w:r>
      <w:r w:rsidRPr="00132E65">
        <w:rPr>
          <w:rtl/>
          <w:lang w:bidi="fa-IR"/>
        </w:rPr>
        <w:t xml:space="preserve"> ، فَكُنْتَ تَقُولُ :</w:t>
      </w:r>
      <w:r>
        <w:rPr>
          <w:rFonts w:hint="cs"/>
          <w:rtl/>
          <w:lang w:bidi="fa-IR"/>
        </w:rPr>
        <w:t xml:space="preserve"> </w:t>
      </w:r>
      <w:r w:rsidRPr="00132E65">
        <w:rPr>
          <w:rtl/>
          <w:lang w:bidi="fa-IR"/>
        </w:rPr>
        <w:t xml:space="preserve">« يَهَبُ اللهُ لِي غُلَاماً » فَقَدْ وهَبَهُ </w:t>
      </w:r>
      <w:r w:rsidRPr="00F543F1">
        <w:rPr>
          <w:rStyle w:val="libFootnotenumChar"/>
          <w:rtl/>
        </w:rPr>
        <w:t>(13)</w:t>
      </w:r>
      <w:r w:rsidRPr="00132E65">
        <w:rPr>
          <w:rtl/>
          <w:lang w:bidi="fa-IR"/>
        </w:rPr>
        <w:t xml:space="preserve"> اللهُ لَكَ ، فَأَقَرَّ </w:t>
      </w:r>
      <w:r w:rsidRPr="00F543F1">
        <w:rPr>
          <w:rStyle w:val="libFootnotenumChar"/>
          <w:rtl/>
        </w:rPr>
        <w:t>(14)</w:t>
      </w:r>
      <w:r w:rsidRPr="00132E65">
        <w:rPr>
          <w:rtl/>
          <w:lang w:bidi="fa-IR"/>
        </w:rPr>
        <w:t xml:space="preserve"> عُيُونَنَا ، فَلَا أَرَانَا اللهُ يَوْمَكَ ، فَإِنْ‌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بر » :</w:t>
      </w:r>
      <w:r>
        <w:rPr>
          <w:rtl/>
        </w:rPr>
        <w:t xml:space="preserve"> + </w:t>
      </w:r>
      <w:r w:rsidRPr="00132E65">
        <w:rPr>
          <w:rtl/>
        </w:rPr>
        <w:t>« قال »</w:t>
      </w:r>
      <w:r>
        <w:rPr>
          <w:rtl/>
        </w:rPr>
        <w:t>.</w:t>
      </w:r>
      <w:r w:rsidRPr="00132E65">
        <w:rPr>
          <w:rtl/>
        </w:rPr>
        <w:t xml:space="preserve"> وفي </w:t>
      </w:r>
      <w:r w:rsidRPr="009D1ACE">
        <w:rPr>
          <w:rStyle w:val="libFootnoteBoldChar"/>
          <w:rtl/>
        </w:rPr>
        <w:t>مرآة العقول</w:t>
      </w:r>
      <w:r w:rsidRPr="00132E65">
        <w:rPr>
          <w:rtl/>
        </w:rPr>
        <w:t xml:space="preserve"> ج 3 ، ص 375 : « وربّما يقرأ : بيّن ، بتشديد الياء المكسورة ، وهوالبرهان المتّضح. أو أحدّ بتشديد الدال من الحدّ بمعنى المنع أو الدفع ، ويكون عبارة عن الموضع الذي بعده من الكتفين ، سواء من جملة ما بينهما ، ولا يخفى ما فيهما ، ولا يبعد أن يكون البين زيد في البين من النسّاخ »</w:t>
      </w:r>
      <w:r>
        <w:rPr>
          <w:rtl/>
        </w:rPr>
        <w:t>.</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(3).</w:t>
      </w:r>
      <w:r w:rsidRPr="00132E65">
        <w:rPr>
          <w:rtl/>
        </w:rPr>
        <w:t xml:space="preserve"> في « ج ، ه‍ ، بح » والإرشاد : « إحدى » لكون الكتف مؤنّثة.</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الإرشاد : « شبه الخاتم »</w:t>
            </w:r>
            <w:r>
              <w:rPr>
                <w:rtl/>
              </w:rPr>
              <w:t>.</w:t>
            </w:r>
          </w:p>
        </w:tc>
        <w:tc>
          <w:tcPr>
            <w:tcW w:w="4006" w:type="dxa"/>
          </w:tcPr>
          <w:p w:rsidR="000C39D1" w:rsidRDefault="000C39D1" w:rsidP="00B53873">
            <w:pPr>
              <w:pStyle w:val="libFootnote0"/>
              <w:rPr>
                <w:rtl/>
              </w:rPr>
            </w:pPr>
            <w:r>
              <w:rPr>
                <w:rtl/>
              </w:rPr>
              <w:t>(5).</w:t>
            </w:r>
            <w:r w:rsidRPr="00132E65">
              <w:rPr>
                <w:rtl/>
              </w:rPr>
              <w:t xml:space="preserve"> في الإرشاد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(6).</w:t>
      </w:r>
      <w:r w:rsidRPr="00132E65">
        <w:rPr>
          <w:rtl/>
        </w:rPr>
        <w:t xml:space="preserve"> في « بس » </w:t>
      </w:r>
      <w:r>
        <w:rPr>
          <w:rtl/>
        </w:rPr>
        <w:t xml:space="preserve">: - </w:t>
      </w:r>
      <w:r w:rsidRPr="00132E65">
        <w:rPr>
          <w:rtl/>
        </w:rPr>
        <w:t>« هذا »</w:t>
      </w:r>
      <w:r>
        <w:rPr>
          <w:rtl/>
        </w:rPr>
        <w:t>.</w:t>
      </w:r>
    </w:p>
    <w:p w:rsidR="000C39D1" w:rsidRPr="00132E65" w:rsidRDefault="000C39D1" w:rsidP="000C39D1">
      <w:pPr>
        <w:pStyle w:val="libFootnote0"/>
        <w:rPr>
          <w:rtl/>
          <w:lang w:bidi="fa-IR"/>
        </w:rPr>
      </w:pPr>
      <w:r>
        <w:rPr>
          <w:rtl/>
        </w:rPr>
        <w:t>(7).</w:t>
      </w:r>
      <w:r w:rsidRPr="00132E65">
        <w:rPr>
          <w:rtl/>
        </w:rPr>
        <w:t xml:space="preserve"> في الإرشاد : « أترى هذا ، مثله في هذا الموضع كان من أبي </w:t>
      </w:r>
      <w:r w:rsidRPr="004F6AE9">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(8).</w:t>
      </w:r>
      <w:r w:rsidRPr="00132E65">
        <w:rPr>
          <w:rtl/>
        </w:rPr>
        <w:t xml:space="preserve"> </w:t>
      </w:r>
      <w:r w:rsidRPr="006612CA">
        <w:rPr>
          <w:rtl/>
        </w:rPr>
        <w:t>الإرشاد</w:t>
      </w:r>
      <w:r w:rsidRPr="00132E65">
        <w:rPr>
          <w:rtl/>
        </w:rPr>
        <w:t xml:space="preserve"> ، ج 2 ، ص 278 ، بسنده عن الكليني</w:t>
      </w:r>
      <w:r>
        <w:rPr>
          <w:rFonts w:hint="cs"/>
          <w:rtl/>
        </w:rPr>
        <w:t>.</w:t>
      </w:r>
      <w:r w:rsidRPr="009D1ACE">
        <w:rPr>
          <w:rStyle w:val="libFootnoteBoldChar"/>
          <w:rtl/>
        </w:rPr>
        <w:t>الوافي</w:t>
      </w:r>
      <w:r w:rsidRPr="00132E65">
        <w:rPr>
          <w:rtl/>
        </w:rPr>
        <w:t xml:space="preserve"> ، ج 2 ، ص 376 ، ح 855.</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ه‍ » : « وجي‌ء »</w:t>
            </w:r>
            <w:r>
              <w:rPr>
                <w:rtl/>
              </w:rPr>
              <w:t>.</w:t>
            </w:r>
          </w:p>
        </w:tc>
        <w:tc>
          <w:tcPr>
            <w:tcW w:w="4006" w:type="dxa"/>
          </w:tcPr>
          <w:p w:rsidR="000C39D1" w:rsidRDefault="000C39D1" w:rsidP="00B53873">
            <w:pPr>
              <w:pStyle w:val="libFootnote0"/>
              <w:rPr>
                <w:rtl/>
              </w:rPr>
            </w:pPr>
            <w:r>
              <w:rPr>
                <w:rtl/>
              </w:rPr>
              <w:t>(10).</w:t>
            </w:r>
            <w:r w:rsidRPr="00132E65">
              <w:rPr>
                <w:rtl/>
              </w:rPr>
              <w:t xml:space="preserve"> في الإرشاد : « أعظم على شيعتنا بركةً »</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6612CA">
        <w:rPr>
          <w:rtl/>
        </w:rPr>
        <w:t>الإرشاد</w:t>
      </w:r>
      <w:r w:rsidRPr="00132E65">
        <w:rPr>
          <w:rtl/>
        </w:rPr>
        <w:t xml:space="preserve"> ، ج 2 ، ص 279 ، بسنده عن الكليني. في </w:t>
      </w:r>
      <w:r w:rsidRPr="000577A7">
        <w:rPr>
          <w:rStyle w:val="libFootnoteBoldChar"/>
          <w:rtl/>
        </w:rPr>
        <w:t>الكافي</w:t>
      </w:r>
      <w:r w:rsidRPr="00132E65">
        <w:rPr>
          <w:rtl/>
        </w:rPr>
        <w:t xml:space="preserve"> ، كتاب الأطعمة ، باب الموز ، ح 12056 ، بسنده عن يحيى الصنعاني ، مع زيادة</w:t>
      </w:r>
      <w:r>
        <w:rPr>
          <w:rFonts w:hint="cs"/>
          <w:rtl/>
        </w:rPr>
        <w:t>.</w:t>
      </w:r>
      <w:r w:rsidRPr="009D1ACE">
        <w:rPr>
          <w:rStyle w:val="libFootnoteBoldChar"/>
          <w:rtl/>
        </w:rPr>
        <w:t>الوافي</w:t>
      </w:r>
      <w:r w:rsidRPr="00132E65">
        <w:rPr>
          <w:rtl/>
        </w:rPr>
        <w:t xml:space="preserve"> ، ج 2 ، ص 376 ، ح 854.</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(12).</w:t>
            </w:r>
            <w:r w:rsidRPr="00132E65">
              <w:rPr>
                <w:rtl/>
              </w:rPr>
              <w:t xml:space="preserve"> في « ض ، بف » : « لك الله »</w:t>
            </w:r>
            <w:r>
              <w:rPr>
                <w:rtl/>
              </w:rPr>
              <w:t>.</w:t>
            </w:r>
          </w:p>
        </w:tc>
        <w:tc>
          <w:tcPr>
            <w:tcW w:w="4006" w:type="dxa"/>
          </w:tcPr>
          <w:p w:rsidR="000C39D1" w:rsidRDefault="000C39D1" w:rsidP="00B53873">
            <w:pPr>
              <w:pStyle w:val="libFootnote0"/>
              <w:rPr>
                <w:rtl/>
              </w:rPr>
            </w:pPr>
            <w:r>
              <w:rPr>
                <w:rtl/>
              </w:rPr>
              <w:t>(13) في«ض» والبحار</w:t>
            </w:r>
            <w:r w:rsidRPr="00132E65">
              <w:rPr>
                <w:rtl/>
              </w:rPr>
              <w:t>و</w:t>
            </w:r>
            <w:r w:rsidRPr="000577A7">
              <w:rPr>
                <w:rStyle w:val="libFootnoteBoldChar"/>
                <w:rtl/>
              </w:rPr>
              <w:t>الكافي</w:t>
            </w:r>
            <w:r>
              <w:rPr>
                <w:rtl/>
              </w:rPr>
              <w:t>،</w:t>
            </w:r>
            <w:r w:rsidRPr="00132E65">
              <w:rPr>
                <w:rtl/>
              </w:rPr>
              <w:t>ح 992 : « وهب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البحار و</w:t>
      </w:r>
      <w:r w:rsidRPr="000577A7">
        <w:rPr>
          <w:rStyle w:val="libFootnoteBoldChar"/>
          <w:rtl/>
        </w:rPr>
        <w:t>الكافي</w:t>
      </w:r>
      <w:r w:rsidRPr="00132E65">
        <w:rPr>
          <w:rtl/>
        </w:rPr>
        <w:t xml:space="preserve"> ، ح 996 : « فقرّ »</w:t>
      </w:r>
      <w:r>
        <w:rPr>
          <w:rtl/>
        </w:rPr>
        <w:t>.</w:t>
      </w:r>
      <w:r w:rsidRPr="00132E65">
        <w:rPr>
          <w:rtl/>
        </w:rPr>
        <w:t xml:space="preserve"> وقوله : « فأقرّ عيوننا » ، أي جعلهم مسرورين. يقال : قرّت عيناه ، أي سُرَّ وفرح. وحقيقته : أبرَدَ الله دمعة عينيه ؛ لأنّ دمعة الفَرح والسُرور باردة. وقيل : معنى أقرّ الله عينك : بلّغك ا</w:t>
      </w:r>
      <w:r>
        <w:rPr>
          <w:rFonts w:hint="cs"/>
          <w:rtl/>
        </w:rPr>
        <w:t>ُ</w:t>
      </w:r>
      <w:r w:rsidRPr="00132E65">
        <w:rPr>
          <w:rtl/>
        </w:rPr>
        <w:t xml:space="preserve">منيّتك حتّى ترضى نفسُك وتسكن عينُك فلا تستشرف إلى غيره. راجع : </w:t>
      </w:r>
      <w:r w:rsidRPr="006612CA">
        <w:rPr>
          <w:rtl/>
        </w:rPr>
        <w:t>النهاية</w:t>
      </w:r>
      <w:r w:rsidRPr="00132E65">
        <w:rPr>
          <w:rtl/>
        </w:rPr>
        <w:t xml:space="preserve"> ، ج 4 ، ص 39 ( قرر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كَانَ كَوْنٌ فَإِلى مَنْ</w:t>
      </w:r>
      <w:r>
        <w:rPr>
          <w:rtl/>
          <w:lang w:bidi="fa-IR"/>
        </w:rPr>
        <w:t>؟</w:t>
      </w:r>
      <w:r w:rsidRPr="00132E65">
        <w:rPr>
          <w:rtl/>
          <w:lang w:bidi="fa-IR"/>
        </w:rPr>
        <w:t xml:space="preserve"> فَأَشَارَ </w:t>
      </w:r>
      <w:r>
        <w:rPr>
          <w:rStyle w:val="libFootnotenumChar"/>
          <w:rtl/>
        </w:rPr>
        <w:t>(1)</w:t>
      </w:r>
      <w:r w:rsidRPr="00132E65">
        <w:rPr>
          <w:rtl/>
          <w:lang w:bidi="fa-IR"/>
        </w:rPr>
        <w:t xml:space="preserve"> بِيَدِهِ إِلى أَبِي جَعْفَرٍ </w:t>
      </w:r>
      <w:r w:rsidRPr="00071CF9">
        <w:rPr>
          <w:rStyle w:val="libAlaemChar"/>
          <w:rtl/>
        </w:rPr>
        <w:t>عليه‌السلام</w:t>
      </w:r>
      <w:r w:rsidRPr="00132E65">
        <w:rPr>
          <w:rtl/>
          <w:lang w:bidi="fa-IR"/>
        </w:rPr>
        <w:t xml:space="preserve"> وهُوَ قَائِمٌ بَيْنَ يَدَيْهِ ، فَقُلْتُ : جُعِلْتُ فِدَاكَ ، هذَا ابْنُ ثَلَاثِ سِنِينَ</w:t>
      </w:r>
      <w:r>
        <w:rPr>
          <w:rtl/>
          <w:lang w:bidi="fa-IR"/>
        </w:rPr>
        <w:t>؟</w:t>
      </w:r>
      <w:r w:rsidRPr="00132E65">
        <w:rPr>
          <w:rtl/>
          <w:lang w:bidi="fa-IR"/>
        </w:rPr>
        <w:t xml:space="preserve"> فَقَالَ </w:t>
      </w:r>
      <w:r>
        <w:rPr>
          <w:rStyle w:val="libFootnotenumChar"/>
          <w:rtl/>
        </w:rPr>
        <w:t>(2)</w:t>
      </w:r>
      <w:r w:rsidRPr="00132E65">
        <w:rPr>
          <w:rtl/>
          <w:lang w:bidi="fa-IR"/>
        </w:rPr>
        <w:t xml:space="preserve"> : « وَمَا يَضُرُّهُ مِنْ ذلِكَ ، فَقَدْ قَامَ </w:t>
      </w:r>
      <w:r>
        <w:rPr>
          <w:rStyle w:val="libFootnotenumChar"/>
          <w:rtl/>
        </w:rPr>
        <w:t>(3)</w:t>
      </w:r>
      <w:r w:rsidRPr="00132E65">
        <w:rPr>
          <w:rtl/>
          <w:lang w:bidi="fa-IR"/>
        </w:rPr>
        <w:t xml:space="preserve"> عِيسى </w:t>
      </w:r>
      <w:r w:rsidRPr="00071CF9">
        <w:rPr>
          <w:rStyle w:val="libAlaemChar"/>
          <w:rtl/>
        </w:rPr>
        <w:t>عليه‌السلام</w:t>
      </w:r>
      <w:r w:rsidRPr="00132E65">
        <w:rPr>
          <w:rtl/>
          <w:lang w:bidi="fa-IR"/>
        </w:rPr>
        <w:t xml:space="preserve"> بِالْحُجَّةِ وَهُوَ ابْنُ </w:t>
      </w:r>
      <w:r>
        <w:rPr>
          <w:rStyle w:val="libFootnotenumChar"/>
          <w:rtl/>
        </w:rPr>
        <w:t>(4)</w:t>
      </w:r>
      <w:r w:rsidRPr="00132E65">
        <w:rPr>
          <w:rtl/>
          <w:lang w:bidi="fa-IR"/>
        </w:rPr>
        <w:t xml:space="preserve"> ثَلَاثِ سِنِينَ »</w:t>
      </w:r>
      <w:r>
        <w:rPr>
          <w:rtl/>
          <w:lang w:bidi="fa-IR"/>
        </w:rPr>
        <w:t>.</w:t>
      </w:r>
      <w:r w:rsidRPr="00132E65">
        <w:rPr>
          <w:rtl/>
          <w:lang w:bidi="fa-IR"/>
        </w:rPr>
        <w:t xml:space="preserve"> </w:t>
      </w:r>
      <w:r>
        <w:rPr>
          <w:rStyle w:val="libFootnotenumChar"/>
          <w:rtl/>
        </w:rPr>
        <w:t>(5)</w:t>
      </w:r>
    </w:p>
    <w:p w:rsidR="000C39D1" w:rsidRPr="00132E65" w:rsidRDefault="000C39D1" w:rsidP="000C39D1">
      <w:pPr>
        <w:pStyle w:val="libNormal"/>
        <w:rPr>
          <w:rtl/>
          <w:lang w:bidi="fa-IR"/>
        </w:rPr>
      </w:pPr>
      <w:r w:rsidRPr="006612CA">
        <w:rPr>
          <w:rtl/>
        </w:rPr>
        <w:t>843</w:t>
      </w:r>
      <w:r w:rsidRPr="004325D8">
        <w:rPr>
          <w:rStyle w:val="libBold2Char"/>
          <w:rtl/>
        </w:rPr>
        <w:t xml:space="preserve"> / 11.</w:t>
      </w:r>
      <w:r w:rsidRPr="00132E65">
        <w:rPr>
          <w:rtl/>
          <w:lang w:bidi="fa-IR"/>
        </w:rPr>
        <w:t xml:space="preserve"> الْحُسَيْنُ بْنُ مُحَمَّدٍ ، عَنْ مُعَلَّى بْنِ مُحَمَّدٍ ، عَنْ مُحَمَّدِ بْنِ جُمْهُورٍ ، عَنْ مُعَمَّرِ بْنِ خَلاَّدٍ ، قَالَ :</w:t>
      </w:r>
    </w:p>
    <w:p w:rsidR="000C39D1" w:rsidRPr="00132E65" w:rsidRDefault="000C39D1" w:rsidP="000C39D1">
      <w:pPr>
        <w:pStyle w:val="libNormal"/>
        <w:rPr>
          <w:rtl/>
          <w:lang w:bidi="fa-IR"/>
        </w:rPr>
      </w:pPr>
      <w:r w:rsidRPr="00132E65">
        <w:rPr>
          <w:rtl/>
          <w:lang w:bidi="fa-IR"/>
        </w:rPr>
        <w:t xml:space="preserve">سَمِعْتُ إِسْمَاعِيلَ بْنَ إِبْرَاهِيمَ يَقُولُ لِلرِّضَا </w:t>
      </w:r>
      <w:r w:rsidRPr="00071CF9">
        <w:rPr>
          <w:rStyle w:val="libAlaemChar"/>
          <w:rtl/>
        </w:rPr>
        <w:t>عليه‌السلام</w:t>
      </w:r>
      <w:r w:rsidRPr="00132E65">
        <w:rPr>
          <w:rtl/>
          <w:lang w:bidi="fa-IR"/>
        </w:rPr>
        <w:t xml:space="preserve"> : إِنَّ ابْنِي فِي لِسَانِهِ ثِقْلٌ ، فَأَنَا أَبْعَثُ بِهِ إِلَيْكَ غَداً تَمْسَحُ </w:t>
      </w:r>
      <w:r>
        <w:rPr>
          <w:rStyle w:val="libFootnotenumChar"/>
          <w:rtl/>
        </w:rPr>
        <w:t>(6)</w:t>
      </w:r>
      <w:r w:rsidRPr="00132E65">
        <w:rPr>
          <w:rtl/>
          <w:lang w:bidi="fa-IR"/>
        </w:rPr>
        <w:t xml:space="preserve"> عَلى رَأْسِهِ وتَدْعُو لَهُ ؛ فَإِنَّهُ مَوْلَاكَ ، فَقَالَ : « هُوَ مَوْلى أَبِي جَعْفَرٍ ؛ فَابْعَثْ بِهِ غَداً إِلَيْهِ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6612CA">
        <w:rPr>
          <w:rtl/>
        </w:rPr>
        <w:t>844</w:t>
      </w:r>
      <w:r w:rsidRPr="004325D8">
        <w:rPr>
          <w:rStyle w:val="libBold2Char"/>
          <w:rtl/>
        </w:rPr>
        <w:t xml:space="preserve"> / 12.</w:t>
      </w:r>
      <w:r w:rsidRPr="00132E65">
        <w:rPr>
          <w:rtl/>
          <w:lang w:bidi="fa-IR"/>
        </w:rPr>
        <w:t xml:space="preserve"> الْحُسَيْنُ بْنُ مُحَمَّدٍ ، عَنْ مُحَمَّدِ بْنِ أَحْمَدَ النَّهْدِيِّ ، عَنْ مُحَمَّدِ بْنِ خَلاَّدٍ الصَّيْقَلِ ، عَنْ مُحَمَّدِ بْنِ الْحَسَنِ بْنِ عَمَّارٍ </w:t>
      </w:r>
      <w:r>
        <w:rPr>
          <w:rStyle w:val="libFootnotenumChar"/>
          <w:rtl/>
        </w:rPr>
        <w:t>(9)</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كُنْتُ عِنْدَ عَلِيِّ بْنِ جَعْفَرِ بْنِ مُحَمَّدٍ جَالِساً بِالْمَدِينَةِ </w:t>
      </w:r>
      <w:r>
        <w:rPr>
          <w:rStyle w:val="libFootnotenumChar"/>
          <w:rtl/>
        </w:rPr>
        <w:t>(10)</w:t>
      </w:r>
      <w:r w:rsidRPr="00132E65">
        <w:rPr>
          <w:rtl/>
          <w:lang w:bidi="fa-IR"/>
        </w:rPr>
        <w:t xml:space="preserve"> ، وكُنْتُ أَقَمْتُ عِنْدَهُ سَنَتَيْنِ أَكْتُبُ عَنْهُ مَا يَسْمَعُ </w:t>
      </w:r>
      <w:r>
        <w:rPr>
          <w:rStyle w:val="libFootnotenumChar"/>
          <w:rtl/>
        </w:rPr>
        <w:t>(11)</w:t>
      </w:r>
      <w:r w:rsidRPr="00132E65">
        <w:rPr>
          <w:rtl/>
          <w:lang w:bidi="fa-IR"/>
        </w:rPr>
        <w:t xml:space="preserve"> مِنْ أَخِيهِ</w:t>
      </w:r>
      <w:r>
        <w:rPr>
          <w:rtl/>
          <w:lang w:bidi="fa-IR"/>
        </w:rPr>
        <w:t xml:space="preserve"> - </w:t>
      </w:r>
      <w:r w:rsidRPr="00132E65">
        <w:rPr>
          <w:rtl/>
          <w:lang w:bidi="fa-IR"/>
        </w:rPr>
        <w:t xml:space="preserve">يَعْنِي أَبَا الْحَسَنِ </w:t>
      </w:r>
      <w:r w:rsidRPr="00071CF9">
        <w:rPr>
          <w:rStyle w:val="libAlaemChar"/>
          <w:rtl/>
        </w:rPr>
        <w:t>عليه‌السلام</w:t>
      </w:r>
      <w:r>
        <w:rPr>
          <w:rtl/>
          <w:lang w:bidi="fa-IR"/>
        </w:rPr>
        <w:t xml:space="preserve"> - </w:t>
      </w:r>
      <w:r w:rsidRPr="00132E65">
        <w:rPr>
          <w:rtl/>
          <w:lang w:bidi="fa-IR"/>
        </w:rPr>
        <w:t>إِذْ دَخَلَ عَلَيْهِ أَبُو جَعْفَرٍ‌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أشار »</w:t>
      </w:r>
      <w:r>
        <w:rPr>
          <w:rtl/>
        </w:rPr>
        <w:t>.</w:t>
      </w:r>
    </w:p>
    <w:p w:rsidR="000C39D1" w:rsidRPr="00132E65" w:rsidRDefault="000C39D1" w:rsidP="000C39D1">
      <w:pPr>
        <w:pStyle w:val="libFootnote0"/>
        <w:rPr>
          <w:rtl/>
          <w:lang w:bidi="fa-IR"/>
        </w:rPr>
      </w:pPr>
      <w:r>
        <w:rPr>
          <w:rtl/>
        </w:rPr>
        <w:t>(2).</w:t>
      </w:r>
      <w:r w:rsidRPr="00132E65">
        <w:rPr>
          <w:rtl/>
        </w:rPr>
        <w:t xml:space="preserve"> في البحار و</w:t>
      </w:r>
      <w:r w:rsidRPr="000577A7">
        <w:rPr>
          <w:rStyle w:val="libFootnoteBoldChar"/>
          <w:rtl/>
        </w:rPr>
        <w:t>الكافي</w:t>
      </w:r>
      <w:r w:rsidRPr="00132E65">
        <w:rPr>
          <w:rtl/>
        </w:rPr>
        <w:t xml:space="preserve"> ، ح 996 ، والإرشاد : « قال »</w:t>
      </w:r>
      <w:r>
        <w:rPr>
          <w:rtl/>
        </w:rPr>
        <w:t>.</w:t>
      </w:r>
    </w:p>
    <w:p w:rsidR="000C39D1" w:rsidRPr="00132E65" w:rsidRDefault="000C39D1" w:rsidP="000C39D1">
      <w:pPr>
        <w:pStyle w:val="libFootnote0"/>
        <w:rPr>
          <w:rtl/>
          <w:lang w:bidi="fa-IR"/>
        </w:rPr>
      </w:pPr>
      <w:r>
        <w:rPr>
          <w:rtl/>
        </w:rPr>
        <w:t>(3).</w:t>
      </w:r>
      <w:r w:rsidRPr="00132E65">
        <w:rPr>
          <w:rtl/>
        </w:rPr>
        <w:t xml:space="preserve"> في « ه‍ ، بر » والبحار و</w:t>
      </w:r>
      <w:r w:rsidRPr="000577A7">
        <w:rPr>
          <w:rStyle w:val="libFootnoteBoldChar"/>
          <w:rtl/>
        </w:rPr>
        <w:t>الكافي</w:t>
      </w:r>
      <w:r w:rsidRPr="00132E65">
        <w:rPr>
          <w:rtl/>
        </w:rPr>
        <w:t xml:space="preserve"> ، ح 996 ، والإرشاد : « وما يضرّه من ذلك شي‌ء ، قد قام »</w:t>
      </w:r>
      <w:r>
        <w:rPr>
          <w:rtl/>
        </w:rPr>
        <w:t>.</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أقلّ من »</w:t>
      </w:r>
      <w:r>
        <w:rPr>
          <w:rtl/>
        </w:rPr>
        <w:t>.</w:t>
      </w:r>
    </w:p>
    <w:p w:rsidR="000C39D1" w:rsidRPr="00132E65" w:rsidRDefault="000C39D1" w:rsidP="000C39D1">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الحجّة ، باب حالات الأئمّة </w:t>
      </w:r>
      <w:r w:rsidRPr="001C21F0">
        <w:rPr>
          <w:rStyle w:val="libFootnoteAlaemChar"/>
          <w:rtl/>
        </w:rPr>
        <w:t>عليهم‌السلام</w:t>
      </w:r>
      <w:r w:rsidRPr="00132E65">
        <w:rPr>
          <w:rtl/>
        </w:rPr>
        <w:t xml:space="preserve"> في السنّ ، ح 996. </w:t>
      </w:r>
      <w:r w:rsidRPr="006612CA">
        <w:rPr>
          <w:rtl/>
        </w:rPr>
        <w:t>الإرشاد</w:t>
      </w:r>
      <w:r w:rsidRPr="00132E65">
        <w:rPr>
          <w:rtl/>
        </w:rPr>
        <w:t xml:space="preserve"> ، ج 2 ، ص 276 ، بسنده عن الكليني</w:t>
      </w:r>
      <w:r>
        <w:rPr>
          <w:rFonts w:hint="cs"/>
          <w:rtl/>
        </w:rPr>
        <w:t>.</w:t>
      </w:r>
      <w:r w:rsidRPr="009D1ACE">
        <w:rPr>
          <w:rStyle w:val="libFootnoteBoldChar"/>
          <w:rtl/>
        </w:rPr>
        <w:t>الوافي</w:t>
      </w:r>
      <w:r w:rsidRPr="00132E65">
        <w:rPr>
          <w:rtl/>
        </w:rPr>
        <w:t xml:space="preserve"> ، ج 2 ، ص 376 ، ح 856 ؛ </w:t>
      </w:r>
      <w:r w:rsidRPr="006612CA">
        <w:rPr>
          <w:rtl/>
        </w:rPr>
        <w:t>البحار</w:t>
      </w:r>
      <w:r w:rsidRPr="00132E65">
        <w:rPr>
          <w:rtl/>
        </w:rPr>
        <w:t xml:space="preserve"> ، ج 14 ، ص 256 ، ح 52 ؛ وج 25 ، ص 102 ، ح 4.</w:t>
      </w:r>
    </w:p>
    <w:p w:rsidR="000C39D1" w:rsidRPr="00132E65" w:rsidRDefault="000C39D1" w:rsidP="000C39D1">
      <w:pPr>
        <w:pStyle w:val="libFootnote0"/>
        <w:rPr>
          <w:rtl/>
          <w:lang w:bidi="fa-IR"/>
        </w:rPr>
      </w:pPr>
      <w:r>
        <w:rPr>
          <w:rtl/>
        </w:rPr>
        <w:t>(6).</w:t>
      </w:r>
      <w:r w:rsidRPr="00132E65">
        <w:rPr>
          <w:rtl/>
        </w:rPr>
        <w:t xml:space="preserve"> في « ب » : « تمسَّحْ »</w:t>
      </w:r>
      <w:r>
        <w:rPr>
          <w:rtl/>
        </w:rPr>
        <w:t>.</w:t>
      </w:r>
    </w:p>
    <w:p w:rsidR="000C39D1" w:rsidRPr="00132E65" w:rsidRDefault="000C39D1" w:rsidP="000C39D1">
      <w:pPr>
        <w:pStyle w:val="libFootnote0"/>
        <w:rPr>
          <w:rtl/>
          <w:lang w:bidi="fa-IR"/>
        </w:rPr>
      </w:pPr>
      <w:r>
        <w:rPr>
          <w:rtl/>
        </w:rPr>
        <w:t>(7).</w:t>
      </w:r>
      <w:r w:rsidRPr="00132E65">
        <w:rPr>
          <w:rtl/>
        </w:rPr>
        <w:t xml:space="preserve"> في « ض ، بس » : « إليه غداً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2 ، ص 379 ، ح 863 ؛ </w:t>
      </w:r>
      <w:r w:rsidRPr="006612CA">
        <w:rPr>
          <w:rtl/>
        </w:rPr>
        <w:t>البحار</w:t>
      </w:r>
      <w:r w:rsidRPr="00132E65">
        <w:rPr>
          <w:rtl/>
        </w:rPr>
        <w:t xml:space="preserve"> ، ج 50 ، ص 3 ، ح 25.</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البحار ، ج 47 : « عماد »</w:t>
            </w:r>
            <w:r>
              <w:rPr>
                <w:rtl/>
              </w:rPr>
              <w:t>.</w:t>
            </w:r>
          </w:p>
        </w:tc>
        <w:tc>
          <w:tcPr>
            <w:tcW w:w="4006" w:type="dxa"/>
          </w:tcPr>
          <w:p w:rsidR="000C39D1" w:rsidRDefault="000C39D1" w:rsidP="00B53873">
            <w:pPr>
              <w:pStyle w:val="libFootnote0"/>
              <w:rPr>
                <w:rtl/>
              </w:rPr>
            </w:pPr>
            <w:r>
              <w:rPr>
                <w:rtl/>
              </w:rPr>
              <w:t>(10).</w:t>
            </w:r>
            <w:r w:rsidRPr="00132E65">
              <w:rPr>
                <w:rtl/>
              </w:rPr>
              <w:t xml:space="preserve"> في البحار ، ج 47 </w:t>
            </w:r>
            <w:r>
              <w:rPr>
                <w:rtl/>
              </w:rPr>
              <w:t xml:space="preserve">: - </w:t>
            </w:r>
            <w:r w:rsidRPr="00132E65">
              <w:rPr>
                <w:rtl/>
              </w:rPr>
              <w:t>« بالمدينة »</w:t>
            </w:r>
            <w:r>
              <w:rPr>
                <w:rtl/>
              </w:rPr>
              <w:t>.</w:t>
            </w:r>
            <w:r>
              <w:rPr>
                <w:rFonts w:hint="cs"/>
                <w:rtl/>
              </w:rPr>
              <w:t>س</w:t>
            </w:r>
          </w:p>
        </w:tc>
      </w:tr>
    </w:tbl>
    <w:p w:rsidR="000C39D1" w:rsidRPr="00132E65" w:rsidRDefault="000C39D1" w:rsidP="000C39D1">
      <w:pPr>
        <w:pStyle w:val="libFootnote0"/>
        <w:rPr>
          <w:rtl/>
          <w:lang w:bidi="fa-IR"/>
        </w:rPr>
      </w:pPr>
      <w:r>
        <w:rPr>
          <w:rtl/>
        </w:rPr>
        <w:t>(11).</w:t>
      </w:r>
      <w:r w:rsidRPr="00132E65">
        <w:rPr>
          <w:rtl/>
        </w:rPr>
        <w:t xml:space="preserve"> في حاشية « بح » والبحار : « سمع »</w:t>
      </w:r>
      <w:r>
        <w:rPr>
          <w:rtl/>
        </w:rPr>
        <w:t>.</w:t>
      </w:r>
      <w:r w:rsidRPr="00132E65">
        <w:rPr>
          <w:rtl/>
        </w:rPr>
        <w:t xml:space="preserve"> وفي </w:t>
      </w:r>
      <w:r w:rsidRPr="009D1ACE">
        <w:rPr>
          <w:rStyle w:val="libFootnoteBoldChar"/>
          <w:rtl/>
        </w:rPr>
        <w:t>مرآة العقول</w:t>
      </w:r>
      <w:r w:rsidRPr="00132E65">
        <w:rPr>
          <w:rtl/>
        </w:rPr>
        <w:t xml:space="preserve"> : « يسمع ، على بناء المجرّد ، أي كان يسمع. أو على بناءالإفعال ، أو التفعيل ، أي يروي. وربّما يقرأ : تسمّع ، بالتاء على بناء التفعيل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مُحَمَّدُ بْنُ عَلِيٍّ الرِّضَا </w:t>
      </w:r>
      <w:r w:rsidRPr="00071CF9">
        <w:rPr>
          <w:rStyle w:val="libAlaemChar"/>
          <w:rtl/>
        </w:rPr>
        <w:t>عليه‌السلام</w:t>
      </w:r>
      <w:r w:rsidRPr="00132E65">
        <w:rPr>
          <w:rtl/>
          <w:lang w:bidi="fa-IR"/>
        </w:rPr>
        <w:t xml:space="preserve"> الْمَسْجِدَ مَسْجِدَ الرَّسُولِ </w:t>
      </w:r>
      <w:r>
        <w:rPr>
          <w:rStyle w:val="libFootnotenumChar"/>
          <w:rtl/>
        </w:rPr>
        <w:t>(1)</w:t>
      </w:r>
      <w:r w:rsidRPr="00132E65">
        <w:rPr>
          <w:rtl/>
          <w:lang w:bidi="fa-IR"/>
        </w:rPr>
        <w:t xml:space="preserve"> </w:t>
      </w:r>
      <w:r w:rsidRPr="00071CF9">
        <w:rPr>
          <w:rStyle w:val="libAlaemChar"/>
          <w:rtl/>
        </w:rPr>
        <w:t>صلى‌الله‌عليه‌وآله</w:t>
      </w:r>
      <w:r w:rsidRPr="00132E65">
        <w:rPr>
          <w:rtl/>
          <w:lang w:bidi="fa-IR"/>
        </w:rPr>
        <w:t xml:space="preserve"> ، فَوَثَبَ </w:t>
      </w:r>
      <w:r>
        <w:rPr>
          <w:rStyle w:val="libFootnotenumChar"/>
          <w:rtl/>
        </w:rPr>
        <w:t>(2)</w:t>
      </w:r>
      <w:r w:rsidRPr="00132E65">
        <w:rPr>
          <w:rtl/>
          <w:lang w:bidi="fa-IR"/>
        </w:rPr>
        <w:t xml:space="preserve"> عَلِيُّ بْنُ جَعْفَرٍ بِلَا حِذَاءٍ وَلَارِدَاءٍ ، فَقَبَّلَ يَدَهُ ، وعَظَّمَهُ ، فَقَالَ لَهُ أَبُو جَعْفَرٍ </w:t>
      </w:r>
      <w:r w:rsidRPr="00071CF9">
        <w:rPr>
          <w:rStyle w:val="libAlaemChar"/>
          <w:rtl/>
        </w:rPr>
        <w:t>عليه‌السلام</w:t>
      </w:r>
      <w:r w:rsidRPr="00132E65">
        <w:rPr>
          <w:rtl/>
          <w:lang w:bidi="fa-IR"/>
        </w:rPr>
        <w:t xml:space="preserve"> : « يَا عَمِّ ، اجْلِسْ رَحِمَكَ اللهُ »</w:t>
      </w:r>
      <w:r>
        <w:rPr>
          <w:rtl/>
          <w:lang w:bidi="fa-IR"/>
        </w:rPr>
        <w:t>.</w:t>
      </w:r>
      <w:r>
        <w:rPr>
          <w:rFonts w:hint="cs"/>
          <w:rtl/>
          <w:lang w:bidi="fa-IR"/>
        </w:rPr>
        <w:t xml:space="preserve"> </w:t>
      </w:r>
      <w:r w:rsidRPr="00132E65">
        <w:rPr>
          <w:rtl/>
          <w:lang w:bidi="fa-IR"/>
        </w:rPr>
        <w:t>فَقَالَ : يَا سَيِّدِي ، كَيْفَ أَجْلِسُ وأَنْتَ قَائِمٌ</w:t>
      </w:r>
      <w:r>
        <w:rPr>
          <w:rtl/>
          <w:lang w:bidi="fa-IR"/>
        </w:rPr>
        <w:t>؟!</w:t>
      </w:r>
    </w:p>
    <w:p w:rsidR="000C39D1" w:rsidRPr="00132E65" w:rsidRDefault="000C39D1" w:rsidP="000C39D1">
      <w:pPr>
        <w:pStyle w:val="libNormal"/>
        <w:rPr>
          <w:rtl/>
          <w:lang w:bidi="fa-IR"/>
        </w:rPr>
      </w:pPr>
      <w:r w:rsidRPr="00132E65">
        <w:rPr>
          <w:rtl/>
          <w:lang w:bidi="fa-IR"/>
        </w:rPr>
        <w:t xml:space="preserve">فَلَمَّا رَجَعَ عَلِيُّ بْنُ جَعْفَرٍ إِلى مَجْلِسِهِ ، جَعَلَ أَصْحَابُهُ يُوَبِّخُونَهُ ، ويَقُولُونَ : أَنْتَ عَمُّ أَبِيهِ وأَنْتَ </w:t>
      </w:r>
      <w:r>
        <w:rPr>
          <w:rStyle w:val="libFootnotenumChar"/>
          <w:rtl/>
        </w:rPr>
        <w:t>(3)</w:t>
      </w:r>
      <w:r w:rsidRPr="00132E65">
        <w:rPr>
          <w:rtl/>
          <w:lang w:bidi="fa-IR"/>
        </w:rPr>
        <w:t xml:space="preserve"> تَفْعَلُ بِهِ هذَا الْفِعْلَ</w:t>
      </w:r>
      <w:r>
        <w:rPr>
          <w:rtl/>
          <w:lang w:bidi="fa-IR"/>
        </w:rPr>
        <w:t>؟</w:t>
      </w:r>
      <w:r w:rsidRPr="00132E65">
        <w:rPr>
          <w:rtl/>
          <w:lang w:bidi="fa-IR"/>
        </w:rPr>
        <w:t xml:space="preserve"> فَقَالَ : اسْكُتُوا ، إِذَا </w:t>
      </w:r>
      <w:r>
        <w:rPr>
          <w:rStyle w:val="libFootnotenumChar"/>
          <w:rtl/>
        </w:rPr>
        <w:t>(4)</w:t>
      </w:r>
      <w:r w:rsidRPr="00132E65">
        <w:rPr>
          <w:rtl/>
          <w:lang w:bidi="fa-IR"/>
        </w:rPr>
        <w:t xml:space="preserve"> كَانَ اللهُ عَزَّ وجَلَّ</w:t>
      </w:r>
      <w:r>
        <w:rPr>
          <w:rtl/>
          <w:lang w:bidi="fa-IR"/>
        </w:rPr>
        <w:t xml:space="preserve"> - </w:t>
      </w:r>
      <w:r w:rsidRPr="00132E65">
        <w:rPr>
          <w:rtl/>
          <w:lang w:bidi="fa-IR"/>
        </w:rPr>
        <w:t>وقَبَضَ عَلى لِحْيَتِهِ</w:t>
      </w:r>
      <w:r>
        <w:rPr>
          <w:rtl/>
          <w:lang w:bidi="fa-IR"/>
        </w:rPr>
        <w:t xml:space="preserve"> - </w:t>
      </w:r>
      <w:r w:rsidRPr="00132E65">
        <w:rPr>
          <w:rtl/>
          <w:lang w:bidi="fa-IR"/>
        </w:rPr>
        <w:t xml:space="preserve">لَمْ يُؤَهِّلْ هذِهِ الشَّيْبَةَ </w:t>
      </w:r>
      <w:r>
        <w:rPr>
          <w:rStyle w:val="libFootnotenumChar"/>
          <w:rtl/>
        </w:rPr>
        <w:t>(5)</w:t>
      </w:r>
      <w:r w:rsidRPr="00132E65">
        <w:rPr>
          <w:rtl/>
          <w:lang w:bidi="fa-IR"/>
        </w:rPr>
        <w:t xml:space="preserve"> ، وأَهَّلَ هذَا الْفَتى ، وو ضَعَهُ حَيْثُ وضَعَهُ ، أُنْكِرُ فَضْلَهُ</w:t>
      </w:r>
      <w:r>
        <w:rPr>
          <w:rtl/>
          <w:lang w:bidi="fa-IR"/>
        </w:rPr>
        <w:t>؟</w:t>
      </w:r>
      <w:r>
        <w:rPr>
          <w:rFonts w:hint="cs"/>
          <w:rtl/>
          <w:lang w:bidi="fa-IR"/>
        </w:rPr>
        <w:t xml:space="preserve"> </w:t>
      </w:r>
      <w:r w:rsidRPr="00132E65">
        <w:rPr>
          <w:rtl/>
          <w:lang w:bidi="fa-IR"/>
        </w:rPr>
        <w:t xml:space="preserve">نَعُوذُ بِاللهِ مِمَّا تَقُولُونَ ، بَلْ أَنَا لَهُ عَبْدٌ.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6612CA">
        <w:rPr>
          <w:rtl/>
        </w:rPr>
        <w:t>845</w:t>
      </w:r>
      <w:r w:rsidRPr="004325D8">
        <w:rPr>
          <w:rStyle w:val="libBold2Char"/>
          <w:rtl/>
        </w:rPr>
        <w:t xml:space="preserve"> / 13.</w:t>
      </w:r>
      <w:r w:rsidRPr="00132E65">
        <w:rPr>
          <w:rtl/>
          <w:lang w:bidi="fa-IR"/>
        </w:rPr>
        <w:t xml:space="preserve"> الْحُسَيْنُ بْنُ مُحَمَّدٍ ، عَنِ الْخَيْرَانِيِّ ، عَنْ أَبِيهِ ، قَالَ :</w:t>
      </w:r>
    </w:p>
    <w:p w:rsidR="000C39D1" w:rsidRPr="00132E65" w:rsidRDefault="000C39D1" w:rsidP="000C39D1">
      <w:pPr>
        <w:pStyle w:val="libNormal"/>
        <w:rPr>
          <w:rtl/>
          <w:lang w:bidi="fa-IR"/>
        </w:rPr>
      </w:pPr>
      <w:r w:rsidRPr="00132E65">
        <w:rPr>
          <w:rtl/>
          <w:lang w:bidi="fa-IR"/>
        </w:rPr>
        <w:t xml:space="preserve">كُنْتُ واقِفاً بَيْنَ يَدَيْ أَبِي الْحَسَنِ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بِخُرَاسَانَ ، فَقَالَ لَهُ قَائِلٌ : يَا سَيِّدِي ، إِنْ كَانَ كَوْنٌ فَإِلى مَنْ</w:t>
      </w:r>
      <w:r>
        <w:rPr>
          <w:rtl/>
          <w:lang w:bidi="fa-IR"/>
        </w:rPr>
        <w:t>؟</w:t>
      </w:r>
      <w:r w:rsidRPr="00132E65">
        <w:rPr>
          <w:rtl/>
          <w:lang w:bidi="fa-IR"/>
        </w:rPr>
        <w:t xml:space="preserve"> قَالَ : « إِلى أَبِي جَعْفَرٍ ابْنِي » فَكَأَنَّ </w:t>
      </w:r>
      <w:r>
        <w:rPr>
          <w:rStyle w:val="libFootnotenumChar"/>
          <w:rtl/>
        </w:rPr>
        <w:t>(8)</w:t>
      </w:r>
      <w:r w:rsidRPr="00132E65">
        <w:rPr>
          <w:rtl/>
          <w:lang w:bidi="fa-IR"/>
        </w:rPr>
        <w:t xml:space="preserve"> الْقَائِلَ اسْتَصْغَرَ سِنَّ أَبِي جَعْفَرٍ </w:t>
      </w:r>
      <w:r w:rsidRPr="00071CF9">
        <w:rPr>
          <w:rStyle w:val="libAlaemChar"/>
          <w:rtl/>
        </w:rPr>
        <w:t>عليه‌السلام</w:t>
      </w:r>
      <w:r w:rsidRPr="00132E65">
        <w:rPr>
          <w:rtl/>
          <w:lang w:bidi="fa-IR"/>
        </w:rPr>
        <w:t xml:space="preserve"> ، فَقَالَ </w:t>
      </w:r>
      <w:r>
        <w:rPr>
          <w:rStyle w:val="libFootnotenumChar"/>
          <w:rtl/>
        </w:rPr>
        <w:t>(9)</w:t>
      </w:r>
      <w:r w:rsidRPr="00132E65">
        <w:rPr>
          <w:rtl/>
          <w:lang w:bidi="fa-IR"/>
        </w:rPr>
        <w:t xml:space="preserve"> أَبُو الْحَسَنِ </w:t>
      </w:r>
      <w:r w:rsidRPr="00071CF9">
        <w:rPr>
          <w:rStyle w:val="libAlaemChar"/>
          <w:rtl/>
        </w:rPr>
        <w:t>عليه‌السلام</w:t>
      </w:r>
      <w:r w:rsidRPr="00132E65">
        <w:rPr>
          <w:rtl/>
          <w:lang w:bidi="fa-IR"/>
        </w:rPr>
        <w:t>: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بَعَثَ عِيسَى بْنَ مَرْيَمَ رَسُولاً نَبِيّاً ، صَاحِبَ شَرِيعَةٍ مُبْتَدَأَةٍ ، فِي أَصْغَرَ مِنَ </w:t>
      </w:r>
      <w:r>
        <w:rPr>
          <w:rStyle w:val="libFootnotenumChar"/>
          <w:rtl/>
        </w:rPr>
        <w:t>(10)</w:t>
      </w:r>
      <w:r w:rsidRPr="00132E65">
        <w:rPr>
          <w:rtl/>
          <w:lang w:bidi="fa-IR"/>
        </w:rPr>
        <w:t xml:space="preserve"> السِّنِّ الَّذِي فِيهِ أَبُو جَعْفَرٍ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6612CA">
        <w:rPr>
          <w:rtl/>
        </w:rPr>
        <w:t>846</w:t>
      </w:r>
      <w:r w:rsidRPr="004325D8">
        <w:rPr>
          <w:rStyle w:val="libBold2Char"/>
          <w:rtl/>
        </w:rPr>
        <w:t xml:space="preserve"> / 14.</w:t>
      </w:r>
      <w:r w:rsidRPr="00132E65">
        <w:rPr>
          <w:rtl/>
          <w:lang w:bidi="fa-IR"/>
        </w:rPr>
        <w:t xml:space="preserve"> عَلِيُّ بْنُ إِبْرَاهِيمَ ، عَنْ أَبِيهِ وعَلِيِّ بْنِ مُحَمَّدٍ الْقَاسَانِيِّ </w:t>
      </w:r>
      <w:r>
        <w:rPr>
          <w:rStyle w:val="libFootnotenumChar"/>
          <w:rtl/>
        </w:rPr>
        <w:t>(12)</w:t>
      </w:r>
      <w:r w:rsidRPr="00132E65">
        <w:rPr>
          <w:rtl/>
          <w:lang w:bidi="fa-IR"/>
        </w:rPr>
        <w:t xml:space="preserve"> جَمِيعاً ، عَنْ زَكَرِيَّا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ف ، بر » وحاشية « بح » والبحار : « رسول الله »</w:t>
      </w:r>
      <w:r>
        <w:rPr>
          <w:rtl/>
        </w:rPr>
        <w:t>.</w:t>
      </w:r>
    </w:p>
    <w:p w:rsidR="000C39D1" w:rsidRDefault="000C39D1" w:rsidP="000C39D1">
      <w:pPr>
        <w:pStyle w:val="libFootnote0"/>
        <w:rPr>
          <w:rtl/>
        </w:rPr>
      </w:pPr>
      <w:r>
        <w:rPr>
          <w:rtl/>
        </w:rPr>
        <w:t>(2).</w:t>
      </w:r>
      <w:r w:rsidRPr="00132E65">
        <w:rPr>
          <w:rtl/>
        </w:rPr>
        <w:t xml:space="preserve"> « فوثب » : من الوثوب ، وهو في لغة حِمْير بمعنى النهوض والقيام ، وفي غيرها بمعنى القعود والاستقرار. راجع : </w:t>
      </w:r>
      <w:r w:rsidRPr="006612CA">
        <w:rPr>
          <w:rtl/>
        </w:rPr>
        <w:t>النهاية</w:t>
      </w:r>
      <w:r w:rsidRPr="00132E65">
        <w:rPr>
          <w:rtl/>
        </w:rPr>
        <w:t xml:space="preserve"> ، ج 5 ، ص 150 ( وثب )</w:t>
      </w:r>
      <w:r>
        <w:rPr>
          <w:rtl/>
        </w:rPr>
        <w:t>.</w:t>
      </w:r>
      <w:r w:rsidR="00D03C29">
        <w:rPr>
          <w:rFonts w:hint="cs"/>
          <w:rtl/>
        </w:rPr>
        <w:t xml:space="preserve">                      </w:t>
      </w:r>
      <w:r>
        <w:rPr>
          <w:rFonts w:hint="cs"/>
          <w:rtl/>
        </w:rPr>
        <w:t xml:space="preserve">         </w:t>
      </w:r>
      <w:r>
        <w:rPr>
          <w:rtl/>
        </w:rPr>
        <w:t>(3).</w:t>
      </w:r>
      <w:r w:rsidRPr="00132E65">
        <w:rPr>
          <w:rtl/>
        </w:rPr>
        <w:t xml:space="preserve"> في « ف » : « فأنت »</w:t>
      </w:r>
      <w:r>
        <w:rPr>
          <w:rtl/>
        </w:rPr>
        <w:t>.</w:t>
      </w:r>
      <w:r w:rsidRPr="00132E65">
        <w:rPr>
          <w:rtl/>
        </w:rPr>
        <w:t xml:space="preserve"> </w:t>
      </w:r>
    </w:p>
    <w:p w:rsidR="000C39D1" w:rsidRDefault="000C39D1" w:rsidP="00D03C29">
      <w:pPr>
        <w:pStyle w:val="libFootnote0"/>
        <w:rPr>
          <w:rtl/>
        </w:rPr>
      </w:pPr>
      <w:r>
        <w:rPr>
          <w:rtl/>
        </w:rPr>
        <w:t>(4).</w:t>
      </w:r>
      <w:r w:rsidRPr="00132E65">
        <w:rPr>
          <w:rtl/>
        </w:rPr>
        <w:t xml:space="preserve"> في « ه‍ </w:t>
      </w:r>
      <w:r w:rsidR="00D03C29" w:rsidRPr="00132E65">
        <w:rPr>
          <w:rtl/>
        </w:rPr>
        <w:t>»</w:t>
      </w:r>
      <w:r w:rsidRPr="00132E65">
        <w:rPr>
          <w:rtl/>
        </w:rPr>
        <w:t xml:space="preserve"> : « إن »</w:t>
      </w:r>
      <w:r>
        <w:rPr>
          <w:rtl/>
        </w:rPr>
        <w:t>.</w:t>
      </w:r>
    </w:p>
    <w:p w:rsidR="000C39D1" w:rsidRPr="00132E65" w:rsidRDefault="000C39D1" w:rsidP="000C39D1">
      <w:pPr>
        <w:pStyle w:val="libFootnote0"/>
        <w:rPr>
          <w:rtl/>
          <w:lang w:bidi="fa-IR"/>
        </w:rPr>
      </w:pPr>
      <w:r>
        <w:rPr>
          <w:rtl/>
        </w:rPr>
        <w:t>(5). قال الراغب : « الشَيْب والم</w:t>
      </w:r>
      <w:r>
        <w:rPr>
          <w:rFonts w:hint="cs"/>
          <w:rtl/>
        </w:rPr>
        <w:t>ـَ</w:t>
      </w:r>
      <w:r w:rsidRPr="00132E65">
        <w:rPr>
          <w:rtl/>
        </w:rPr>
        <w:t>شيب : بياض الشعر »</w:t>
      </w:r>
      <w:r>
        <w:rPr>
          <w:rtl/>
        </w:rPr>
        <w:t>.</w:t>
      </w:r>
      <w:r w:rsidRPr="00132E65">
        <w:rPr>
          <w:rtl/>
        </w:rPr>
        <w:t xml:space="preserve"> </w:t>
      </w:r>
      <w:r w:rsidRPr="006612CA">
        <w:rPr>
          <w:rtl/>
        </w:rPr>
        <w:t>المفردات</w:t>
      </w:r>
      <w:r w:rsidRPr="00132E65">
        <w:rPr>
          <w:rtl/>
        </w:rPr>
        <w:t xml:space="preserve"> للراغب ، ص 469 ( شيب )</w:t>
      </w:r>
      <w:r>
        <w:rPr>
          <w:rtl/>
        </w:rPr>
        <w:t>.</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2 ، ص 381 ، ح 865 ؛ </w:t>
      </w:r>
      <w:r w:rsidRPr="006612CA">
        <w:rPr>
          <w:rtl/>
        </w:rPr>
        <w:t>البحار</w:t>
      </w:r>
      <w:r w:rsidRPr="00132E65">
        <w:rPr>
          <w:rtl/>
        </w:rPr>
        <w:t xml:space="preserve"> ، ج 47 ، ص 266 ، ح 35 ؛ وج 50 ، ص 36 ، ح 26.</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بر » والإرشاد :</w:t>
            </w:r>
            <w:r>
              <w:rPr>
                <w:rtl/>
              </w:rPr>
              <w:t xml:space="preserve"> + </w:t>
            </w:r>
            <w:r w:rsidRPr="00132E65">
              <w:rPr>
                <w:rtl/>
              </w:rPr>
              <w:t>« الرضا »</w:t>
            </w:r>
            <w:r>
              <w:rPr>
                <w:rtl/>
              </w:rPr>
              <w:t>.</w:t>
            </w:r>
          </w:p>
        </w:tc>
        <w:tc>
          <w:tcPr>
            <w:tcW w:w="4006" w:type="dxa"/>
          </w:tcPr>
          <w:p w:rsidR="000C39D1" w:rsidRDefault="000C39D1" w:rsidP="00B53873">
            <w:pPr>
              <w:pStyle w:val="libFootnote0"/>
              <w:rPr>
                <w:rtl/>
              </w:rPr>
            </w:pPr>
            <w:r>
              <w:rPr>
                <w:rtl/>
              </w:rPr>
              <w:t>(8).</w:t>
            </w:r>
            <w:r w:rsidRPr="00132E65">
              <w:rPr>
                <w:rtl/>
              </w:rPr>
              <w:t xml:space="preserve"> في « ض ، ف ، بر » : « وكأنّ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بر »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(10).</w:t>
            </w:r>
            <w:r w:rsidRPr="00132E65">
              <w:rPr>
                <w:rtl/>
              </w:rPr>
              <w:t xml:space="preserve"> في « ف »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0577A7">
        <w:rPr>
          <w:rStyle w:val="libFootnoteBoldChar"/>
          <w:rtl/>
        </w:rPr>
        <w:t>الكافي</w:t>
      </w:r>
      <w:r w:rsidRPr="00132E65">
        <w:rPr>
          <w:rtl/>
        </w:rPr>
        <w:t xml:space="preserve"> ، كتاب الحجّة ، باب حالات الأئمّة </w:t>
      </w:r>
      <w:r w:rsidRPr="00D44AB1">
        <w:rPr>
          <w:rStyle w:val="libFootnoteAlaemChar"/>
          <w:rtl/>
        </w:rPr>
        <w:t>عليهم‌السلام</w:t>
      </w:r>
      <w:r w:rsidRPr="00132E65">
        <w:rPr>
          <w:rtl/>
        </w:rPr>
        <w:t xml:space="preserve"> في السنّ ، ح 1000 ؛ </w:t>
      </w:r>
      <w:r w:rsidRPr="006612CA">
        <w:rPr>
          <w:rtl/>
        </w:rPr>
        <w:t>الإرشاد</w:t>
      </w:r>
      <w:r w:rsidRPr="00132E65">
        <w:rPr>
          <w:rtl/>
        </w:rPr>
        <w:t xml:space="preserve"> ، ج 2 ، ص 279 ، بسنده عن الكليني. وفي </w:t>
      </w:r>
      <w:r w:rsidRPr="006612CA">
        <w:rPr>
          <w:rtl/>
        </w:rPr>
        <w:t>كفاية الأثر</w:t>
      </w:r>
      <w:r w:rsidRPr="00132E65">
        <w:rPr>
          <w:rtl/>
        </w:rPr>
        <w:t xml:space="preserve"> ، ص 277 ، بسند آخر ، مع تفاوت </w:t>
      </w:r>
      <w:r>
        <w:rPr>
          <w:rFonts w:hint="cs"/>
          <w:rtl/>
        </w:rPr>
        <w:t>.</w:t>
      </w:r>
      <w:r w:rsidRPr="009D1ACE">
        <w:rPr>
          <w:rStyle w:val="libFootnoteBoldChar"/>
          <w:rtl/>
        </w:rPr>
        <w:t>الوافي</w:t>
      </w:r>
      <w:r w:rsidRPr="00132E65">
        <w:rPr>
          <w:rtl/>
        </w:rPr>
        <w:t xml:space="preserve"> ، ج 2 ، ص 378 ، ح 860 ؛ </w:t>
      </w:r>
      <w:r w:rsidRPr="006612CA">
        <w:rPr>
          <w:rtl/>
        </w:rPr>
        <w:t>البحار</w:t>
      </w:r>
      <w:r w:rsidRPr="00132E65">
        <w:rPr>
          <w:rtl/>
        </w:rPr>
        <w:t xml:space="preserve"> ، ج 14 ، ص 256 ، ح 53.</w:t>
      </w:r>
      <w:r>
        <w:rPr>
          <w:rFonts w:hint="cs"/>
          <w:rtl/>
        </w:rPr>
        <w:t xml:space="preserve">                  </w:t>
      </w:r>
      <w:r w:rsidR="00D03C29">
        <w:rPr>
          <w:rFonts w:hint="cs"/>
          <w:rtl/>
        </w:rPr>
        <w:t xml:space="preserve">               </w:t>
      </w:r>
      <w:r>
        <w:rPr>
          <w:rFonts w:hint="cs"/>
          <w:rtl/>
        </w:rPr>
        <w:t xml:space="preserve">    </w:t>
      </w:r>
      <w:r>
        <w:rPr>
          <w:rtl/>
        </w:rPr>
        <w:t>(12).</w:t>
      </w:r>
      <w:r w:rsidRPr="00132E65">
        <w:rPr>
          <w:rtl/>
        </w:rPr>
        <w:t xml:space="preserve"> في « بر ، بس » : « القاشاني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يَحْيَى بْنِ النُّعْمَانِ الصَّيْرَفِيِّ </w:t>
      </w:r>
      <w:r>
        <w:rPr>
          <w:rStyle w:val="libFootnotenumChar"/>
          <w:rtl/>
        </w:rPr>
        <w:t>(1)</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سَمِعْتُ عَلِيَّ بْنَ جَعْفَرٍ يُحَدِّثُ الْحَسَنَ بْنَ الْحُسَيْنِ بْنِ عَلِيِّ بْنِ الْحُسَيْنِ ، فَقَالَ :</w:t>
      </w:r>
      <w:r>
        <w:rPr>
          <w:rFonts w:hint="cs"/>
          <w:rtl/>
          <w:lang w:bidi="fa-IR"/>
        </w:rPr>
        <w:t xml:space="preserve"> </w:t>
      </w:r>
      <w:r w:rsidRPr="00132E65">
        <w:rPr>
          <w:rtl/>
          <w:lang w:bidi="fa-IR"/>
        </w:rPr>
        <w:t xml:space="preserve">وَاللهِ ، لَقَدْ نَصَرَ اللهُ أَبَا الْحَسَنِ الرِّضَا </w:t>
      </w:r>
      <w:r w:rsidRPr="00071CF9">
        <w:rPr>
          <w:rStyle w:val="libAlaemChar"/>
          <w:rtl/>
        </w:rPr>
        <w:t>عليه‌السلام</w:t>
      </w:r>
      <w:r w:rsidRPr="00132E65">
        <w:rPr>
          <w:rtl/>
          <w:lang w:bidi="fa-IR"/>
        </w:rPr>
        <w:t xml:space="preserve"> ، فَقَالَ لَهُ الْحَسَنُ : إِي و</w:t>
      </w:r>
      <w:r>
        <w:rPr>
          <w:rFonts w:hint="cs"/>
          <w:rtl/>
          <w:lang w:bidi="fa-IR"/>
        </w:rPr>
        <w:t xml:space="preserve">َ </w:t>
      </w:r>
      <w:r w:rsidRPr="00132E65">
        <w:rPr>
          <w:rtl/>
          <w:lang w:bidi="fa-IR"/>
        </w:rPr>
        <w:t>اللهِ ، جُعِلْتُ فِدَاكَ ، لَقَدْ بَغى عَلَيْهِ إِخْوَتُهُ ، فَقَالَ عَلِيُّ بْنُ جَعْفَرٍ : إِي و</w:t>
      </w:r>
      <w:r>
        <w:rPr>
          <w:rFonts w:hint="cs"/>
          <w:rtl/>
          <w:lang w:bidi="fa-IR"/>
        </w:rPr>
        <w:t xml:space="preserve">َ </w:t>
      </w:r>
      <w:r w:rsidRPr="00132E65">
        <w:rPr>
          <w:rtl/>
          <w:lang w:bidi="fa-IR"/>
        </w:rPr>
        <w:t>اللهِ ، و</w:t>
      </w:r>
      <w:r>
        <w:rPr>
          <w:rFonts w:hint="cs"/>
          <w:rtl/>
          <w:lang w:bidi="fa-IR"/>
        </w:rPr>
        <w:t xml:space="preserve">َ </w:t>
      </w:r>
      <w:r w:rsidRPr="00132E65">
        <w:rPr>
          <w:rtl/>
          <w:lang w:bidi="fa-IR"/>
        </w:rPr>
        <w:t xml:space="preserve">نَحْنُ عُمُومَتُهُ بَغَيْنَا عَلَيْهِ ، فَقَالَ لَهُ الْحَسَنُ : جُعِلْتُ فِدَاكَ ، كَيْفَ صَنَعْتُمْ </w:t>
      </w:r>
      <w:r>
        <w:rPr>
          <w:rStyle w:val="libFootnotenumChar"/>
          <w:rtl/>
        </w:rPr>
        <w:t>(2)</w:t>
      </w:r>
      <w:r w:rsidRPr="00132E65">
        <w:rPr>
          <w:rtl/>
          <w:lang w:bidi="fa-IR"/>
        </w:rPr>
        <w:t xml:space="preserve"> ، فَإِنِّي لَمْ أَحْضُرْكُمْ</w:t>
      </w:r>
      <w:r>
        <w:rPr>
          <w:rtl/>
          <w:lang w:bidi="fa-IR"/>
        </w:rPr>
        <w:t>؟</w:t>
      </w:r>
      <w:r w:rsidRPr="00132E65">
        <w:rPr>
          <w:rtl/>
          <w:lang w:bidi="fa-IR"/>
        </w:rPr>
        <w:t xml:space="preserve"> قَالَ : قَالَ </w:t>
      </w:r>
      <w:r>
        <w:rPr>
          <w:rStyle w:val="libFootnotenumChar"/>
          <w:rtl/>
        </w:rPr>
        <w:t>(3)</w:t>
      </w:r>
      <w:r w:rsidRPr="00132E65">
        <w:rPr>
          <w:rtl/>
          <w:lang w:bidi="fa-IR"/>
        </w:rPr>
        <w:t xml:space="preserve"> لَهُ إِخْوَتُهُ و</w:t>
      </w:r>
      <w:r>
        <w:rPr>
          <w:rFonts w:hint="cs"/>
          <w:rtl/>
          <w:lang w:bidi="fa-IR"/>
        </w:rPr>
        <w:t>َ</w:t>
      </w:r>
      <w:r w:rsidRPr="00132E65">
        <w:rPr>
          <w:rtl/>
          <w:lang w:bidi="fa-IR"/>
        </w:rPr>
        <w:t xml:space="preserve">نَحْنُ أَيْضاً : مَا كَانَ فِينَا إِمَامٌ قَطُّ حَائِلَ اللَّوْنِ </w:t>
      </w:r>
      <w:r>
        <w:rPr>
          <w:rStyle w:val="libFootnotenumChar"/>
          <w:rtl/>
        </w:rPr>
        <w:t>(4)</w:t>
      </w:r>
      <w:r w:rsidRPr="00132E65">
        <w:rPr>
          <w:rtl/>
          <w:lang w:bidi="fa-IR"/>
        </w:rPr>
        <w:t xml:space="preserve"> ، فَقَالَ لَهُمُ الرِّضَا </w:t>
      </w:r>
      <w:r w:rsidRPr="00071CF9">
        <w:rPr>
          <w:rStyle w:val="libAlaemChar"/>
          <w:rtl/>
        </w:rPr>
        <w:t>عليه‌السلام</w:t>
      </w:r>
      <w:r w:rsidRPr="00132E65">
        <w:rPr>
          <w:rtl/>
          <w:lang w:bidi="fa-IR"/>
        </w:rPr>
        <w:t xml:space="preserve"> : « هُوَ ابْنِي »</w:t>
      </w:r>
      <w:r>
        <w:rPr>
          <w:rtl/>
          <w:lang w:bidi="fa-IR"/>
        </w:rPr>
        <w:t>.</w:t>
      </w:r>
      <w:r w:rsidRPr="00132E65">
        <w:rPr>
          <w:rtl/>
          <w:lang w:bidi="fa-IR"/>
        </w:rPr>
        <w:t xml:space="preserve"> قَالُوا : فَإِنَّ رَسُولَ اللهِ </w:t>
      </w:r>
      <w:r w:rsidRPr="00071CF9">
        <w:rPr>
          <w:rStyle w:val="libAlaemChar"/>
          <w:rtl/>
        </w:rPr>
        <w:t>صلى‌الله‌عليه‌وآله</w:t>
      </w:r>
      <w:r w:rsidRPr="00132E65">
        <w:rPr>
          <w:rtl/>
          <w:lang w:bidi="fa-IR"/>
        </w:rPr>
        <w:t xml:space="preserve"> قَدْ قَضى بِالْقَافَةِ </w:t>
      </w:r>
      <w:r>
        <w:rPr>
          <w:rStyle w:val="libFootnotenumChar"/>
          <w:rtl/>
        </w:rPr>
        <w:t>(5)</w:t>
      </w:r>
      <w:r w:rsidRPr="00132E65">
        <w:rPr>
          <w:rtl/>
          <w:lang w:bidi="fa-IR"/>
        </w:rPr>
        <w:t xml:space="preserve"> ، فَبَيْنَنَا و</w:t>
      </w:r>
      <w:r>
        <w:rPr>
          <w:rFonts w:hint="cs"/>
          <w:rtl/>
          <w:lang w:bidi="fa-IR"/>
        </w:rPr>
        <w:t xml:space="preserve">َ </w:t>
      </w:r>
      <w:r w:rsidRPr="00132E65">
        <w:rPr>
          <w:rtl/>
          <w:lang w:bidi="fa-IR"/>
        </w:rPr>
        <w:t xml:space="preserve">بَيْنَكَ الْقَافَةُ ، قَالَ : « ابْعَثُوا أَنْتُمْ إِلَيْهِمْ </w:t>
      </w:r>
      <w:r>
        <w:rPr>
          <w:rStyle w:val="libFootnotenumChar"/>
          <w:rtl/>
        </w:rPr>
        <w:t>(6)</w:t>
      </w:r>
      <w:r w:rsidRPr="00132E65">
        <w:rPr>
          <w:rtl/>
          <w:lang w:bidi="fa-IR"/>
        </w:rPr>
        <w:t xml:space="preserve"> ، فَأَمَّا </w:t>
      </w:r>
      <w:r>
        <w:rPr>
          <w:rStyle w:val="libFootnotenumChar"/>
          <w:rtl/>
        </w:rPr>
        <w:t>(7)</w:t>
      </w:r>
      <w:r w:rsidRPr="00132E65">
        <w:rPr>
          <w:rtl/>
          <w:lang w:bidi="fa-IR"/>
        </w:rPr>
        <w:t xml:space="preserve"> أَنَا فَلَا ، و</w:t>
      </w:r>
      <w:r>
        <w:rPr>
          <w:rFonts w:hint="cs"/>
          <w:rtl/>
          <w:lang w:bidi="fa-IR"/>
        </w:rPr>
        <w:t>َ</w:t>
      </w:r>
      <w:r w:rsidRPr="00132E65">
        <w:rPr>
          <w:rtl/>
          <w:lang w:bidi="fa-IR"/>
        </w:rPr>
        <w:t xml:space="preserve">لَاتُعْلِمُوهُمْ لِمَا </w:t>
      </w:r>
      <w:r>
        <w:rPr>
          <w:rStyle w:val="libFootnotenumChar"/>
          <w:rtl/>
        </w:rPr>
        <w:t>(8)</w:t>
      </w:r>
      <w:r w:rsidRPr="00132E65">
        <w:rPr>
          <w:rtl/>
          <w:lang w:bidi="fa-IR"/>
        </w:rPr>
        <w:t xml:space="preserve"> دَعَوْتُمُوهُمْ </w:t>
      </w:r>
      <w:r>
        <w:rPr>
          <w:rStyle w:val="libFootnotenumChar"/>
          <w:rtl/>
        </w:rPr>
        <w:t>(9)</w:t>
      </w:r>
      <w:r w:rsidRPr="00132E65">
        <w:rPr>
          <w:rtl/>
          <w:lang w:bidi="fa-IR"/>
        </w:rPr>
        <w:t xml:space="preserve"> ، و</w:t>
      </w:r>
      <w:r>
        <w:rPr>
          <w:rFonts w:hint="cs"/>
          <w:rtl/>
          <w:lang w:bidi="fa-IR"/>
        </w:rPr>
        <w:t>َ</w:t>
      </w:r>
      <w:r w:rsidRPr="00132E65">
        <w:rPr>
          <w:rtl/>
          <w:lang w:bidi="fa-IR"/>
        </w:rPr>
        <w:t xml:space="preserve">لْتَكُونُوا </w:t>
      </w:r>
      <w:r>
        <w:rPr>
          <w:rStyle w:val="libFootnotenumChar"/>
          <w:rtl/>
        </w:rPr>
        <w:t>(10)</w:t>
      </w:r>
      <w:r w:rsidRPr="00132E65">
        <w:rPr>
          <w:rtl/>
          <w:lang w:bidi="fa-IR"/>
        </w:rPr>
        <w:t xml:space="preserve"> فِي بُيُوتِكُمْ »</w:t>
      </w:r>
      <w:r>
        <w:rPr>
          <w:rtl/>
          <w:lang w:bidi="fa-IR"/>
        </w:rPr>
        <w:t>.</w:t>
      </w:r>
    </w:p>
    <w:p w:rsidR="000C39D1" w:rsidRPr="00132E65" w:rsidRDefault="000C39D1" w:rsidP="000C39D1">
      <w:pPr>
        <w:pStyle w:val="libNormal"/>
        <w:rPr>
          <w:rtl/>
          <w:lang w:bidi="fa-IR"/>
        </w:rPr>
      </w:pPr>
      <w:r w:rsidRPr="00132E65">
        <w:rPr>
          <w:rtl/>
          <w:lang w:bidi="fa-IR"/>
        </w:rPr>
        <w:t xml:space="preserve">فَلَمَّا جَاؤُوا أَقْعَدُونَا </w:t>
      </w:r>
      <w:r>
        <w:rPr>
          <w:rStyle w:val="libFootnotenumChar"/>
          <w:rtl/>
        </w:rPr>
        <w:t>(11)</w:t>
      </w:r>
      <w:r w:rsidRPr="00132E65">
        <w:rPr>
          <w:rtl/>
          <w:lang w:bidi="fa-IR"/>
        </w:rPr>
        <w:t xml:space="preserve"> فِي الْبُسْتَانِ ، و</w:t>
      </w:r>
      <w:r>
        <w:rPr>
          <w:rFonts w:hint="cs"/>
          <w:rtl/>
          <w:lang w:bidi="fa-IR"/>
        </w:rPr>
        <w:t>َ</w:t>
      </w:r>
      <w:r w:rsidRPr="00132E65">
        <w:rPr>
          <w:rtl/>
          <w:lang w:bidi="fa-IR"/>
        </w:rPr>
        <w:t>اصْطَفَّ عُمُومَتُهُ و</w:t>
      </w:r>
      <w:r>
        <w:rPr>
          <w:rFonts w:hint="cs"/>
          <w:rtl/>
          <w:lang w:bidi="fa-IR"/>
        </w:rPr>
        <w:t xml:space="preserve">َ </w:t>
      </w:r>
      <w:r w:rsidRPr="00132E65">
        <w:rPr>
          <w:rtl/>
          <w:lang w:bidi="fa-IR"/>
        </w:rPr>
        <w:t>إِخْوَتُهُ و</w:t>
      </w:r>
      <w:r>
        <w:rPr>
          <w:rFonts w:hint="cs"/>
          <w:rtl/>
          <w:lang w:bidi="fa-IR"/>
        </w:rPr>
        <w:t xml:space="preserve">َ </w:t>
      </w:r>
      <w:r w:rsidRPr="00132E65">
        <w:rPr>
          <w:rtl/>
          <w:lang w:bidi="fa-IR"/>
        </w:rPr>
        <w:t>أَخَوَاتُهُ ، و</w:t>
      </w:r>
      <w:r>
        <w:rPr>
          <w:rFonts w:hint="cs"/>
          <w:rtl/>
          <w:lang w:bidi="fa-IR"/>
        </w:rPr>
        <w:t xml:space="preserve">َ </w:t>
      </w:r>
      <w:r w:rsidRPr="00132E65">
        <w:rPr>
          <w:rtl/>
          <w:lang w:bidi="fa-IR"/>
        </w:rPr>
        <w:t xml:space="preserve">أَخَذُوا الرِّضَا </w:t>
      </w:r>
      <w:r w:rsidRPr="00071CF9">
        <w:rPr>
          <w:rStyle w:val="libAlaemChar"/>
          <w:rtl/>
        </w:rPr>
        <w:t>عليه‌السلام</w:t>
      </w:r>
      <w:r w:rsidRPr="00132E65">
        <w:rPr>
          <w:rtl/>
          <w:lang w:bidi="fa-IR"/>
        </w:rPr>
        <w:t xml:space="preserve"> و</w:t>
      </w:r>
      <w:r>
        <w:rPr>
          <w:rFonts w:hint="cs"/>
          <w:rtl/>
          <w:lang w:bidi="fa-IR"/>
        </w:rPr>
        <w:t xml:space="preserve">َ </w:t>
      </w:r>
      <w:r w:rsidRPr="00132E65">
        <w:rPr>
          <w:rtl/>
          <w:lang w:bidi="fa-IR"/>
        </w:rPr>
        <w:t>أَلْبَسُوهُ جُبَّةَ صُوفٍ و</w:t>
      </w:r>
      <w:r>
        <w:rPr>
          <w:rFonts w:hint="cs"/>
          <w:rtl/>
          <w:lang w:bidi="fa-IR"/>
        </w:rPr>
        <w:t xml:space="preserve">َ </w:t>
      </w:r>
      <w:r w:rsidRPr="00132E65">
        <w:rPr>
          <w:rtl/>
          <w:lang w:bidi="fa-IR"/>
        </w:rPr>
        <w:t>قَلَنْسُوَةً مِنْهَا ، و</w:t>
      </w:r>
      <w:r>
        <w:rPr>
          <w:rFonts w:hint="cs"/>
          <w:rtl/>
          <w:lang w:bidi="fa-IR"/>
        </w:rPr>
        <w:t xml:space="preserve">َ </w:t>
      </w:r>
      <w:r w:rsidRPr="00132E65">
        <w:rPr>
          <w:rtl/>
          <w:lang w:bidi="fa-IR"/>
        </w:rPr>
        <w:t>و</w:t>
      </w:r>
      <w:r>
        <w:rPr>
          <w:rFonts w:hint="cs"/>
          <w:rtl/>
          <w:lang w:bidi="fa-IR"/>
        </w:rPr>
        <w:t>َ</w:t>
      </w:r>
      <w:r w:rsidRPr="00132E65">
        <w:rPr>
          <w:rtl/>
          <w:lang w:bidi="fa-IR"/>
        </w:rPr>
        <w:t xml:space="preserve">ضَعُوا عَلى عُنُقِهِ مِسْحَاةً </w:t>
      </w:r>
      <w:r>
        <w:rPr>
          <w:rStyle w:val="libFootnotenumChar"/>
          <w:rtl/>
        </w:rPr>
        <w:t>(12)</w:t>
      </w:r>
      <w:r w:rsidRPr="00132E65">
        <w:rPr>
          <w:rtl/>
          <w:lang w:bidi="fa-IR"/>
        </w:rPr>
        <w:t xml:space="preserve"> ، و</w:t>
      </w:r>
      <w:r>
        <w:rPr>
          <w:rFonts w:hint="cs"/>
          <w:rtl/>
          <w:lang w:bidi="fa-IR"/>
        </w:rPr>
        <w:t xml:space="preserve">َ </w:t>
      </w:r>
      <w:r w:rsidRPr="00132E65">
        <w:rPr>
          <w:rtl/>
          <w:lang w:bidi="fa-IR"/>
        </w:rPr>
        <w:t>قَالُوا‌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ألف ، ج ، بح ، بر ، بس ، بف » وحاشية «</w:t>
      </w:r>
      <w:r>
        <w:rPr>
          <w:rtl/>
        </w:rPr>
        <w:t xml:space="preserve"> و »</w:t>
      </w:r>
      <w:r w:rsidRPr="00132E65">
        <w:rPr>
          <w:rtl/>
        </w:rPr>
        <w:t xml:space="preserve"> و</w:t>
      </w:r>
      <w:r w:rsidRPr="009D1ACE">
        <w:rPr>
          <w:rStyle w:val="libFootnoteBoldChar"/>
          <w:rtl/>
        </w:rPr>
        <w:t>الوافي</w:t>
      </w:r>
      <w:r w:rsidRPr="00132E65">
        <w:rPr>
          <w:rtl/>
        </w:rPr>
        <w:t xml:space="preserve"> : « المصري » وفي « ب » : « البصري »</w:t>
      </w:r>
      <w:r>
        <w:rPr>
          <w:rtl/>
        </w:rPr>
        <w:t>.</w:t>
      </w:r>
      <w:r w:rsidRPr="00132E65">
        <w:rPr>
          <w:rtl/>
        </w:rPr>
        <w:t xml:space="preserve"> والرجل لم نعرفه مع الفحص الأكيد.</w:t>
      </w:r>
      <w:r>
        <w:rPr>
          <w:rFonts w:hint="cs"/>
          <w:rtl/>
        </w:rPr>
        <w:t xml:space="preserve">           </w:t>
      </w:r>
      <w:r w:rsidR="00D03C29">
        <w:rPr>
          <w:rFonts w:hint="cs"/>
          <w:rtl/>
        </w:rPr>
        <w:t xml:space="preserve">                </w:t>
      </w:r>
      <w:r>
        <w:rPr>
          <w:rFonts w:hint="cs"/>
          <w:rtl/>
        </w:rPr>
        <w:t xml:space="preserve">  </w:t>
      </w:r>
      <w:r>
        <w:rPr>
          <w:rtl/>
        </w:rPr>
        <w:t>(2).</w:t>
      </w:r>
      <w:r w:rsidRPr="00132E65">
        <w:rPr>
          <w:rtl/>
        </w:rPr>
        <w:t xml:space="preserve"> في « بس » : « صنعهم »</w:t>
      </w:r>
      <w:r>
        <w:rPr>
          <w:rtl/>
        </w:rPr>
        <w:t>.</w:t>
      </w:r>
    </w:p>
    <w:p w:rsidR="000C39D1" w:rsidRPr="00132E65" w:rsidRDefault="000C39D1" w:rsidP="000C39D1">
      <w:pPr>
        <w:pStyle w:val="libFootnote0"/>
        <w:rPr>
          <w:rtl/>
          <w:lang w:bidi="fa-IR"/>
        </w:rPr>
      </w:pPr>
      <w:r>
        <w:rPr>
          <w:rtl/>
        </w:rPr>
        <w:t>(3).</w:t>
      </w:r>
      <w:r w:rsidRPr="00132E65">
        <w:rPr>
          <w:rtl/>
        </w:rPr>
        <w:t xml:space="preserve"> في « ف ، ه‍ ، بف » و</w:t>
      </w:r>
      <w:r w:rsidRPr="009D1ACE">
        <w:rPr>
          <w:rStyle w:val="libFootnoteBoldChar"/>
          <w:rtl/>
        </w:rPr>
        <w:t>الوافي</w:t>
      </w:r>
      <w:r w:rsidRPr="00132E65">
        <w:rPr>
          <w:rtl/>
        </w:rPr>
        <w:t xml:space="preserve"> : « فقال »</w:t>
      </w:r>
      <w:r>
        <w:rPr>
          <w:rtl/>
        </w:rPr>
        <w:t>.</w:t>
      </w:r>
    </w:p>
    <w:p w:rsidR="000C39D1" w:rsidRPr="00132E65" w:rsidRDefault="000C39D1" w:rsidP="000C39D1">
      <w:pPr>
        <w:pStyle w:val="libFootnote0"/>
        <w:rPr>
          <w:rtl/>
          <w:lang w:bidi="fa-IR"/>
        </w:rPr>
      </w:pPr>
      <w:r>
        <w:rPr>
          <w:rtl/>
        </w:rPr>
        <w:t>(4).</w:t>
      </w:r>
      <w:r w:rsidRPr="00132E65">
        <w:rPr>
          <w:rtl/>
        </w:rPr>
        <w:t xml:space="preserve"> « حائل اللون » ، أي المتغيّر اللون ، وكلّ متغيّر حائل. وفي </w:t>
      </w:r>
      <w:r w:rsidRPr="009D1ACE">
        <w:rPr>
          <w:rStyle w:val="libFootnoteBoldChar"/>
          <w:rtl/>
        </w:rPr>
        <w:t>الوافي</w:t>
      </w:r>
      <w:r w:rsidRPr="00132E65">
        <w:rPr>
          <w:rtl/>
        </w:rPr>
        <w:t xml:space="preserve"> : « الحائل : المتغيّر اللون ، يعني ما كان فينا إمام‌ليس على لون آبائه ؛ كأنّ لون أبي جعفر </w:t>
      </w:r>
      <w:r w:rsidRPr="001051D9">
        <w:rPr>
          <w:rStyle w:val="libFootnoteAlaemChar"/>
          <w:rtl/>
        </w:rPr>
        <w:t>عليه‌السلام</w:t>
      </w:r>
      <w:r w:rsidRPr="00132E65">
        <w:rPr>
          <w:rtl/>
        </w:rPr>
        <w:t xml:space="preserve"> كان مائلاً إلى السواد ؛ إذ كانت ا</w:t>
      </w:r>
      <w:r>
        <w:rPr>
          <w:rFonts w:hint="cs"/>
          <w:rtl/>
        </w:rPr>
        <w:t>ُ</w:t>
      </w:r>
      <w:r w:rsidRPr="00132E65">
        <w:rPr>
          <w:rtl/>
        </w:rPr>
        <w:t>مّه حبشيّة ، فأنكروا أن يكون ابناً لأبيه »</w:t>
      </w:r>
      <w:r>
        <w:rPr>
          <w:rtl/>
        </w:rPr>
        <w:t>.</w:t>
      </w:r>
      <w:r w:rsidRPr="00132E65">
        <w:rPr>
          <w:rtl/>
        </w:rPr>
        <w:t xml:space="preserve"> راجع : </w:t>
      </w:r>
      <w:r w:rsidRPr="009D1ACE">
        <w:rPr>
          <w:rStyle w:val="libFootnoteBoldChar"/>
          <w:rtl/>
        </w:rPr>
        <w:t>لسان العرب</w:t>
      </w:r>
      <w:r w:rsidRPr="00132E65">
        <w:rPr>
          <w:rtl/>
        </w:rPr>
        <w:t xml:space="preserve"> ، ج 11 ، ص 188 ( حول )</w:t>
      </w:r>
      <w:r>
        <w:rPr>
          <w:rtl/>
        </w:rPr>
        <w:t>.</w:t>
      </w:r>
    </w:p>
    <w:p w:rsidR="000C39D1" w:rsidRPr="00132E65" w:rsidRDefault="000C39D1" w:rsidP="000C39D1">
      <w:pPr>
        <w:pStyle w:val="libFootnote0"/>
        <w:rPr>
          <w:rtl/>
          <w:lang w:bidi="fa-IR"/>
        </w:rPr>
      </w:pPr>
      <w:r>
        <w:rPr>
          <w:rtl/>
        </w:rPr>
        <w:t>(5).</w:t>
      </w:r>
      <w:r w:rsidRPr="00132E65">
        <w:rPr>
          <w:rtl/>
        </w:rPr>
        <w:t xml:space="preserve"> « القافة » : جمع القائف ، وهو الذي يتتبّع الآثار ويعرفها ، ويعرف شَبَه الرجل بأخيه وأبيه ، ويحكم بالنسب. راجع : </w:t>
      </w:r>
      <w:r w:rsidRPr="006612CA">
        <w:rPr>
          <w:rtl/>
        </w:rPr>
        <w:t>النهاية</w:t>
      </w:r>
      <w:r w:rsidRPr="00132E65">
        <w:rPr>
          <w:rtl/>
        </w:rPr>
        <w:t xml:space="preserve"> ، ج 4 ، ص 121 ( قوف )</w:t>
      </w:r>
      <w:r>
        <w:rPr>
          <w:rtl/>
        </w:rPr>
        <w:t>.</w:t>
      </w:r>
      <w:r>
        <w:rPr>
          <w:rFonts w:hint="cs"/>
          <w:rtl/>
        </w:rPr>
        <w:t xml:space="preserve">        </w:t>
      </w:r>
      <w:r w:rsidR="00D03C29">
        <w:rPr>
          <w:rFonts w:hint="cs"/>
          <w:rtl/>
        </w:rPr>
        <w:t xml:space="preserve">           </w:t>
      </w:r>
      <w:r>
        <w:rPr>
          <w:rFonts w:hint="cs"/>
          <w:rtl/>
        </w:rPr>
        <w:t xml:space="preserve">  </w:t>
      </w:r>
      <w:r>
        <w:rPr>
          <w:rtl/>
        </w:rPr>
        <w:t>(6).</w:t>
      </w:r>
      <w:r w:rsidRPr="00132E65">
        <w:rPr>
          <w:rtl/>
        </w:rPr>
        <w:t xml:space="preserve"> في شرح المازندراني و</w:t>
      </w:r>
      <w:r w:rsidRPr="009D1ACE">
        <w:rPr>
          <w:rStyle w:val="libFootnoteBoldChar"/>
          <w:rtl/>
        </w:rPr>
        <w:t>مرآة العقول</w:t>
      </w:r>
      <w:r w:rsidRPr="00132E65">
        <w:rPr>
          <w:rtl/>
        </w:rPr>
        <w:t xml:space="preserve"> : « إليه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وأمّا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ما ، للاستفهام. ويحتمل فتح اللام وتشديد الميم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بح » وحاشية « ج » : « دعوتهم »</w:t>
            </w:r>
            <w:r>
              <w:rPr>
                <w:rtl/>
              </w:rPr>
              <w:t>.</w:t>
            </w:r>
          </w:p>
        </w:tc>
        <w:tc>
          <w:tcPr>
            <w:tcW w:w="4006" w:type="dxa"/>
          </w:tcPr>
          <w:p w:rsidR="000C39D1" w:rsidRDefault="000C39D1" w:rsidP="00B53873">
            <w:pPr>
              <w:pStyle w:val="libFootnote0"/>
              <w:rPr>
                <w:rtl/>
              </w:rPr>
            </w:pPr>
            <w:r>
              <w:rPr>
                <w:rtl/>
              </w:rPr>
              <w:t>(10).</w:t>
            </w:r>
            <w:r w:rsidRPr="00132E65">
              <w:rPr>
                <w:rtl/>
              </w:rPr>
              <w:t xml:space="preserve"> في </w:t>
            </w:r>
            <w:r w:rsidRPr="009D1ACE">
              <w:rPr>
                <w:rStyle w:val="libFootnoteBoldChar"/>
                <w:rtl/>
              </w:rPr>
              <w:t>الوافي</w:t>
            </w:r>
            <w:r w:rsidRPr="00132E65">
              <w:rPr>
                <w:rtl/>
              </w:rPr>
              <w:t xml:space="preserve"> : « وليكونوا »</w:t>
            </w:r>
            <w:r>
              <w:rPr>
                <w:rtl/>
              </w:rPr>
              <w:t>.</w:t>
            </w:r>
          </w:p>
        </w:tc>
      </w:tr>
    </w:tbl>
    <w:p w:rsidR="000C39D1" w:rsidRPr="00132E65" w:rsidRDefault="000C39D1" w:rsidP="000C39D1">
      <w:pPr>
        <w:pStyle w:val="libFootnote0"/>
        <w:rPr>
          <w:rtl/>
          <w:lang w:bidi="fa-IR"/>
        </w:rPr>
      </w:pPr>
      <w:r>
        <w:rPr>
          <w:rtl/>
        </w:rPr>
        <w:t>(11).</w:t>
      </w:r>
      <w:r w:rsidRPr="00132E65">
        <w:rPr>
          <w:rtl/>
        </w:rPr>
        <w:t xml:space="preserve"> في </w:t>
      </w:r>
      <w:r w:rsidRPr="006612CA">
        <w:rPr>
          <w:rtl/>
        </w:rPr>
        <w:t>شرح المازندراني</w:t>
      </w:r>
      <w:r w:rsidRPr="00132E65">
        <w:rPr>
          <w:rtl/>
        </w:rPr>
        <w:t xml:space="preserve"> : « الظاهر أنّ هذا من كلام الرضا </w:t>
      </w:r>
      <w:r w:rsidRPr="003D098C">
        <w:rPr>
          <w:rStyle w:val="libFootnoteAlaemChar"/>
          <w:rtl/>
        </w:rPr>
        <w:t>عليه‌السلام</w:t>
      </w:r>
      <w:r w:rsidRPr="00132E65">
        <w:rPr>
          <w:rtl/>
        </w:rPr>
        <w:t xml:space="preserve"> ، وأنّ أقعدونا على صيغة الأمر ، وأنّ الخطاب‌للعمومة والإخوة »</w:t>
      </w:r>
      <w:r>
        <w:rPr>
          <w:rtl/>
        </w:rPr>
        <w:t>.</w:t>
      </w:r>
      <w:r w:rsidRPr="00132E65">
        <w:rPr>
          <w:rtl/>
        </w:rPr>
        <w:t xml:space="preserve"> وفي </w:t>
      </w:r>
      <w:r w:rsidRPr="009D1ACE">
        <w:rPr>
          <w:rStyle w:val="libFootnoteBoldChar"/>
          <w:rtl/>
        </w:rPr>
        <w:t>مرآة العقول</w:t>
      </w:r>
      <w:r w:rsidRPr="00132E65">
        <w:rPr>
          <w:rtl/>
        </w:rPr>
        <w:t xml:space="preserve"> : « فلمّا جاؤوا ، كلام عليّ بن جعفر »</w:t>
      </w:r>
      <w:r>
        <w:rPr>
          <w:rtl/>
        </w:rPr>
        <w:t>.</w:t>
      </w:r>
    </w:p>
    <w:p w:rsidR="000C39D1" w:rsidRPr="00132E65" w:rsidRDefault="000C39D1" w:rsidP="000C39D1">
      <w:pPr>
        <w:pStyle w:val="libFootnote0"/>
        <w:rPr>
          <w:rtl/>
          <w:lang w:bidi="fa-IR"/>
        </w:rPr>
      </w:pPr>
      <w:r>
        <w:rPr>
          <w:rtl/>
        </w:rPr>
        <w:t>(12).</w:t>
      </w:r>
      <w:r w:rsidRPr="00132E65">
        <w:rPr>
          <w:rtl/>
        </w:rPr>
        <w:t xml:space="preserve"> « المِسْحاةُ » ( وهي ما يعبّر عنها في الفارسيّة : « بيل » ) : آلة كالمِجْرَفة إلّا</w:t>
      </w:r>
      <w:r>
        <w:rPr>
          <w:rFonts w:hint="cs"/>
          <w:rtl/>
        </w:rPr>
        <w:t xml:space="preserve"> </w:t>
      </w:r>
      <w:r w:rsidRPr="00132E65">
        <w:rPr>
          <w:rtl/>
        </w:rPr>
        <w:t>أنّه</w:t>
      </w:r>
      <w:r>
        <w:rPr>
          <w:rtl/>
        </w:rPr>
        <w:t>ا من حديد ، من سَحَوْتُ الطين ع</w:t>
      </w:r>
      <w:r>
        <w:rPr>
          <w:rFonts w:hint="cs"/>
          <w:rtl/>
        </w:rPr>
        <w:t xml:space="preserve">ن </w:t>
      </w:r>
      <w:r w:rsidRPr="00132E65">
        <w:rPr>
          <w:rtl/>
        </w:rPr>
        <w:t xml:space="preserve">‌وجه الأرض ، إذا جَرَفْتَهُ ، أي قشرته وأزلته. راجع : </w:t>
      </w:r>
      <w:r w:rsidRPr="006612CA">
        <w:rPr>
          <w:rtl/>
        </w:rPr>
        <w:t>الصحاح</w:t>
      </w:r>
      <w:r w:rsidRPr="00132E65">
        <w:rPr>
          <w:rtl/>
        </w:rPr>
        <w:t xml:space="preserve"> ، ج 6 ، ص 2373 ( سحا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لَهُ : ادْخُلِ الْبُسْتَانَ كَأَنَّكَ تَعْمَلُ فِيهِ ، ثُمَّ جَاؤُوا بِأَبِي جَعْفَرٍ </w:t>
      </w:r>
      <w:r w:rsidRPr="00071CF9">
        <w:rPr>
          <w:rStyle w:val="libAlaemChar"/>
          <w:rtl/>
        </w:rPr>
        <w:t>عليه‌السلام</w:t>
      </w:r>
      <w:r w:rsidRPr="00132E65">
        <w:rPr>
          <w:rtl/>
          <w:lang w:bidi="fa-IR"/>
        </w:rPr>
        <w:t xml:space="preserve"> ، فَقَالُوا : أَلْحِقُوا هذَا الْغُلَامَ بِأَبِيهِ ، فَقَالُوا : لَيْسَ لَهُ </w:t>
      </w:r>
      <w:r>
        <w:rPr>
          <w:rStyle w:val="libFootnotenumChar"/>
          <w:rtl/>
        </w:rPr>
        <w:t>(1)</w:t>
      </w:r>
      <w:r w:rsidRPr="00132E65">
        <w:rPr>
          <w:rtl/>
          <w:lang w:bidi="fa-IR"/>
        </w:rPr>
        <w:t xml:space="preserve"> هَاهُنَا أَبٌ ، و</w:t>
      </w:r>
      <w:r>
        <w:rPr>
          <w:rFonts w:hint="cs"/>
          <w:rtl/>
          <w:lang w:bidi="fa-IR"/>
        </w:rPr>
        <w:t xml:space="preserve">َ </w:t>
      </w:r>
      <w:r w:rsidRPr="00132E65">
        <w:rPr>
          <w:rtl/>
          <w:lang w:bidi="fa-IR"/>
        </w:rPr>
        <w:t>لكِنَّ هذَا عَمُّ أَبِيهِ ، و</w:t>
      </w:r>
      <w:r>
        <w:rPr>
          <w:rFonts w:hint="cs"/>
          <w:rtl/>
          <w:lang w:bidi="fa-IR"/>
        </w:rPr>
        <w:t xml:space="preserve">َ </w:t>
      </w:r>
      <w:r w:rsidRPr="00132E65">
        <w:rPr>
          <w:rtl/>
          <w:lang w:bidi="fa-IR"/>
        </w:rPr>
        <w:t>هذَا عَمُّ أَبِيهِ ، و</w:t>
      </w:r>
      <w:r>
        <w:rPr>
          <w:rFonts w:hint="cs"/>
          <w:rtl/>
          <w:lang w:bidi="fa-IR"/>
        </w:rPr>
        <w:t xml:space="preserve">َ </w:t>
      </w:r>
      <w:r w:rsidRPr="00132E65">
        <w:rPr>
          <w:rtl/>
          <w:lang w:bidi="fa-IR"/>
        </w:rPr>
        <w:t xml:space="preserve">هذَا عَمُّهُ </w:t>
      </w:r>
      <w:r>
        <w:rPr>
          <w:rStyle w:val="libFootnotenumChar"/>
          <w:rtl/>
        </w:rPr>
        <w:t>(2)</w:t>
      </w:r>
      <w:r w:rsidRPr="00132E65">
        <w:rPr>
          <w:rtl/>
          <w:lang w:bidi="fa-IR"/>
        </w:rPr>
        <w:t xml:space="preserve"> ، وَهذِهِ عَمَّتُهُ ، و</w:t>
      </w:r>
      <w:r>
        <w:rPr>
          <w:rFonts w:hint="cs"/>
          <w:rtl/>
          <w:lang w:bidi="fa-IR"/>
        </w:rPr>
        <w:t xml:space="preserve">َ </w:t>
      </w:r>
      <w:r w:rsidRPr="00132E65">
        <w:rPr>
          <w:rtl/>
          <w:lang w:bidi="fa-IR"/>
        </w:rPr>
        <w:t xml:space="preserve">إِنْ يَكُنْ </w:t>
      </w:r>
      <w:r>
        <w:rPr>
          <w:rStyle w:val="libFootnotenumChar"/>
          <w:rtl/>
        </w:rPr>
        <w:t>(3)</w:t>
      </w:r>
      <w:r w:rsidRPr="00132E65">
        <w:rPr>
          <w:rtl/>
          <w:lang w:bidi="fa-IR"/>
        </w:rPr>
        <w:t xml:space="preserve"> لَهُ هَاهُنَا أَبٌ ، فَهُوَ صَاحِبُ الْبُسْتَانِ ؛ فَإِنَّ قَدَمَيْهِ و</w:t>
      </w:r>
      <w:r>
        <w:rPr>
          <w:rFonts w:hint="cs"/>
          <w:rtl/>
          <w:lang w:bidi="fa-IR"/>
        </w:rPr>
        <w:t xml:space="preserve">َ </w:t>
      </w:r>
      <w:r w:rsidRPr="00132E65">
        <w:rPr>
          <w:rtl/>
          <w:lang w:bidi="fa-IR"/>
        </w:rPr>
        <w:t xml:space="preserve">قَدَمَيْهِ وَاحِدَةٌ ، فَلَمَّا رَجَعَ أَبُو الْحَسَنِ </w:t>
      </w:r>
      <w:r w:rsidRPr="00071CF9">
        <w:rPr>
          <w:rStyle w:val="libAlaemChar"/>
          <w:rtl/>
        </w:rPr>
        <w:t>عليه‌السلام</w:t>
      </w:r>
      <w:r w:rsidRPr="00132E65">
        <w:rPr>
          <w:rtl/>
          <w:lang w:bidi="fa-IR"/>
        </w:rPr>
        <w:t xml:space="preserve"> ، قَالُوا : هذَا أَبُوهُ.</w:t>
      </w:r>
    </w:p>
    <w:p w:rsidR="000C39D1" w:rsidRPr="00132E65" w:rsidRDefault="000C39D1" w:rsidP="000C39D1">
      <w:pPr>
        <w:pStyle w:val="libNormal"/>
        <w:rPr>
          <w:rtl/>
          <w:lang w:bidi="fa-IR"/>
        </w:rPr>
      </w:pPr>
      <w:r w:rsidRPr="00132E65">
        <w:rPr>
          <w:rtl/>
          <w:lang w:bidi="fa-IR"/>
        </w:rPr>
        <w:t xml:space="preserve">قَالَ عَلِيُّ بْنُ جَعْفَرٍ : فَقُمْتُ فَمَصَصْتُ </w:t>
      </w:r>
      <w:r>
        <w:rPr>
          <w:rStyle w:val="libFootnotenumChar"/>
          <w:rtl/>
        </w:rPr>
        <w:t>(4)</w:t>
      </w:r>
      <w:r w:rsidRPr="00132E65">
        <w:rPr>
          <w:rtl/>
          <w:lang w:bidi="fa-IR"/>
        </w:rPr>
        <w:t xml:space="preserve"> رِيقَ أَبِي جَعْفَرٍ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ثُمَّ قُلْتُ لَهُ </w:t>
      </w:r>
      <w:r>
        <w:rPr>
          <w:rStyle w:val="libFootnotenumChar"/>
          <w:rtl/>
        </w:rPr>
        <w:t>(6)</w:t>
      </w:r>
      <w:r w:rsidRPr="00132E65">
        <w:rPr>
          <w:rtl/>
          <w:lang w:bidi="fa-IR"/>
        </w:rPr>
        <w:t xml:space="preserve"> : أَشْهَدُ أَنَّكَ إِمَامِي عِنْدَ اللهِ ، فَبَكَى الرِّضَا </w:t>
      </w:r>
      <w:r w:rsidRPr="00071CF9">
        <w:rPr>
          <w:rStyle w:val="libAlaemChar"/>
          <w:rtl/>
        </w:rPr>
        <w:t>عليه‌السلام</w:t>
      </w:r>
      <w:r w:rsidRPr="00132E65">
        <w:rPr>
          <w:rtl/>
          <w:lang w:bidi="fa-IR"/>
        </w:rPr>
        <w:t xml:space="preserve"> ، ثُمَّ قَالَ : « يَا عَمِّ ، أ</w:t>
      </w:r>
      <w:r>
        <w:rPr>
          <w:rtl/>
          <w:lang w:bidi="fa-IR"/>
        </w:rPr>
        <w:t>َ</w:t>
      </w:r>
      <w:r w:rsidRPr="00132E65">
        <w:rPr>
          <w:rtl/>
          <w:lang w:bidi="fa-IR"/>
        </w:rPr>
        <w:t>لَمْ تَسْمَعْ أَبِي و</w:t>
      </w:r>
      <w:r>
        <w:rPr>
          <w:rFonts w:hint="cs"/>
          <w:rtl/>
          <w:lang w:bidi="fa-IR"/>
        </w:rPr>
        <w:t xml:space="preserve">َ </w:t>
      </w:r>
      <w:r w:rsidRPr="00132E65">
        <w:rPr>
          <w:rtl/>
          <w:lang w:bidi="fa-IR"/>
        </w:rPr>
        <w:t>هُوَ يَقُولُ :</w:t>
      </w:r>
      <w:r>
        <w:rPr>
          <w:rFonts w:hint="cs"/>
          <w:rtl/>
          <w:lang w:bidi="fa-IR"/>
        </w:rPr>
        <w:t xml:space="preserve"> </w:t>
      </w:r>
      <w:r w:rsidRPr="00132E65">
        <w:rPr>
          <w:rtl/>
          <w:lang w:bidi="fa-IR"/>
        </w:rPr>
        <w:t xml:space="preserve">قَالَ رَسُولُ اللهِ </w:t>
      </w:r>
      <w:r w:rsidRPr="00071CF9">
        <w:rPr>
          <w:rStyle w:val="libAlaemChar"/>
          <w:rtl/>
        </w:rPr>
        <w:t>صلى‌الله‌عليه‌وآله</w:t>
      </w:r>
      <w:r w:rsidRPr="00132E65">
        <w:rPr>
          <w:rtl/>
          <w:lang w:bidi="fa-IR"/>
        </w:rPr>
        <w:t xml:space="preserve">: بِأَبِي </w:t>
      </w:r>
      <w:r>
        <w:rPr>
          <w:rStyle w:val="libFootnotenumChar"/>
          <w:rtl/>
        </w:rPr>
        <w:t>(7)</w:t>
      </w:r>
      <w:r w:rsidRPr="00132E65">
        <w:rPr>
          <w:rtl/>
          <w:lang w:bidi="fa-IR"/>
        </w:rPr>
        <w:t xml:space="preserve"> ابْنُ خِيَرَةِ الْإِمَاءِ ، ابْنُ النُّوبِيَّةِ </w:t>
      </w:r>
      <w:r>
        <w:rPr>
          <w:rStyle w:val="libFootnotenumChar"/>
          <w:rtl/>
        </w:rPr>
        <w:t>(8)</w:t>
      </w:r>
      <w:r w:rsidRPr="00132E65">
        <w:rPr>
          <w:rtl/>
          <w:lang w:bidi="fa-IR"/>
        </w:rPr>
        <w:t xml:space="preserve"> الطَّيِّبَةِ الْفَمِ ، الْمُنْتَجَبَةِ </w:t>
      </w:r>
      <w:r>
        <w:rPr>
          <w:rStyle w:val="libFootnotenumChar"/>
          <w:rtl/>
        </w:rPr>
        <w:t>(9)</w:t>
      </w:r>
      <w:r w:rsidRPr="00132E65">
        <w:rPr>
          <w:rtl/>
          <w:lang w:bidi="fa-IR"/>
        </w:rPr>
        <w:t xml:space="preserve"> الرَّحِمِ ، ويْلَهُمْ لَعَنَ اللهُ الْأُعَيْبِسَ </w:t>
      </w:r>
      <w:r>
        <w:rPr>
          <w:rStyle w:val="libFootnotenumChar"/>
          <w:rtl/>
        </w:rPr>
        <w:t>(10)</w:t>
      </w:r>
      <w:r w:rsidRPr="00132E65">
        <w:rPr>
          <w:rtl/>
          <w:lang w:bidi="fa-IR"/>
        </w:rPr>
        <w:t xml:space="preserve"> وذُرِّيَّتَهُ صَاحِبَ الْفِتْنَةِ ،</w:t>
      </w:r>
      <w:r>
        <w:rPr>
          <w:rFonts w:hint="cs"/>
          <w:rtl/>
          <w:lang w:bidi="fa-IR"/>
        </w:rPr>
        <w:t>..................................</w:t>
      </w:r>
      <w:r w:rsidR="00D03C29">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 »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(2).</w:t>
            </w:r>
            <w:r w:rsidRPr="00132E65">
              <w:rPr>
                <w:rtl/>
              </w:rPr>
              <w:t>في«ب»:«عمّ أبيه»</w:t>
            </w:r>
            <w:r>
              <w:rPr>
                <w:rtl/>
              </w:rPr>
              <w:t>.</w:t>
            </w:r>
            <w:r w:rsidRPr="00132E65">
              <w:rPr>
                <w:rtl/>
              </w:rPr>
              <w:t xml:space="preserve">وفي </w:t>
            </w:r>
            <w:r w:rsidRPr="009D1ACE">
              <w:rPr>
                <w:rStyle w:val="libFootnoteBoldChar"/>
                <w:rtl/>
              </w:rPr>
              <w:t>الوافي</w:t>
            </w:r>
            <w:r w:rsidRPr="00132E65">
              <w:rPr>
                <w:rtl/>
              </w:rPr>
              <w:t>:</w:t>
            </w:r>
            <w:r>
              <w:rPr>
                <w:rtl/>
              </w:rPr>
              <w:t>+</w:t>
            </w:r>
            <w:r w:rsidRPr="00132E65">
              <w:rPr>
                <w:rtl/>
              </w:rPr>
              <w:t>«وهذا</w:t>
            </w:r>
            <w:r>
              <w:rPr>
                <w:rFonts w:hint="cs"/>
                <w:rtl/>
              </w:rPr>
              <w:t xml:space="preserve"> </w:t>
            </w:r>
            <w:r w:rsidRPr="00132E65">
              <w:rPr>
                <w:rtl/>
              </w:rPr>
              <w:t>عمّه»</w:t>
            </w:r>
            <w:r>
              <w:rPr>
                <w:rtl/>
              </w:rPr>
              <w:t>.</w:t>
            </w:r>
          </w:p>
        </w:tc>
      </w:tr>
    </w:tbl>
    <w:p w:rsidR="000C39D1" w:rsidRPr="00132E65" w:rsidRDefault="000C39D1" w:rsidP="000C39D1">
      <w:pPr>
        <w:pStyle w:val="libFootnote0"/>
        <w:rPr>
          <w:rtl/>
          <w:lang w:bidi="fa-IR"/>
        </w:rPr>
      </w:pPr>
      <w:r>
        <w:rPr>
          <w:rtl/>
        </w:rPr>
        <w:t>(3).</w:t>
      </w:r>
      <w:r w:rsidRPr="00132E65">
        <w:rPr>
          <w:rtl/>
        </w:rPr>
        <w:t xml:space="preserve"> في « ض » : « وإن يك »</w:t>
      </w:r>
      <w:r>
        <w:rPr>
          <w:rtl/>
        </w:rPr>
        <w:t>.</w:t>
      </w:r>
    </w:p>
    <w:p w:rsidR="000C39D1" w:rsidRPr="00132E65" w:rsidRDefault="000C39D1" w:rsidP="000C39D1">
      <w:pPr>
        <w:pStyle w:val="libFootnote0"/>
        <w:rPr>
          <w:rtl/>
          <w:lang w:bidi="fa-IR"/>
        </w:rPr>
      </w:pPr>
      <w:r>
        <w:rPr>
          <w:rtl/>
        </w:rPr>
        <w:t>(4).</w:t>
      </w:r>
      <w:r w:rsidRPr="00132E65">
        <w:rPr>
          <w:rtl/>
        </w:rPr>
        <w:t xml:space="preserve"> « مَصِصْتُهُ » </w:t>
      </w:r>
      <w:r>
        <w:rPr>
          <w:rtl/>
        </w:rPr>
        <w:t>و «</w:t>
      </w:r>
      <w:r w:rsidRPr="00132E65">
        <w:rPr>
          <w:rtl/>
        </w:rPr>
        <w:t xml:space="preserve"> مَصَصْتُهُ » ، أمُصُّهُ : شَرِبْتُهُ شُرْباً رفيقاً ، أي قبّلتُ فاه شفقة وشوقاً بحيث دخل بعض ريقه فمي. راجع : </w:t>
      </w:r>
      <w:r w:rsidRPr="006612CA">
        <w:rPr>
          <w:rtl/>
        </w:rPr>
        <w:t>القاموس المحيط</w:t>
      </w:r>
      <w:r w:rsidRPr="00132E65">
        <w:rPr>
          <w:rtl/>
        </w:rPr>
        <w:t xml:space="preserve"> ، ج 1 ، ص 856 ( مصص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الوسائل والبحار :</w:t>
            </w:r>
            <w:r>
              <w:rPr>
                <w:rtl/>
              </w:rPr>
              <w:t xml:space="preserve"> + </w:t>
            </w:r>
            <w:r w:rsidRPr="00132E65">
              <w:rPr>
                <w:rtl/>
              </w:rPr>
              <w:t>« يعني الجواد »</w:t>
            </w:r>
            <w:r>
              <w:rPr>
                <w:rtl/>
              </w:rPr>
              <w:t>.</w:t>
            </w:r>
          </w:p>
        </w:tc>
        <w:tc>
          <w:tcPr>
            <w:tcW w:w="4006" w:type="dxa"/>
          </w:tcPr>
          <w:p w:rsidR="000C39D1" w:rsidRDefault="000C39D1" w:rsidP="00B53873">
            <w:pPr>
              <w:pStyle w:val="libFootnote0"/>
              <w:rPr>
                <w:rtl/>
              </w:rPr>
            </w:pPr>
            <w:r>
              <w:rPr>
                <w:rtl/>
              </w:rPr>
              <w:t>(6).</w:t>
            </w:r>
            <w:r w:rsidRPr="00132E65">
              <w:rPr>
                <w:rtl/>
              </w:rPr>
              <w:t>في«ه</w:t>
            </w:r>
            <w:r>
              <w:rPr>
                <w:rFonts w:hint="cs"/>
                <w:rtl/>
              </w:rPr>
              <w:t xml:space="preserve"> </w:t>
            </w:r>
            <w:r w:rsidRPr="00132E65">
              <w:rPr>
                <w:rtl/>
              </w:rPr>
              <w:t>،بح،بس،بف»والوسائل والبحار</w:t>
            </w:r>
            <w:r>
              <w:rPr>
                <w:rtl/>
              </w:rPr>
              <w:t>:-</w:t>
            </w:r>
            <w:r w:rsidRPr="00132E65">
              <w:rPr>
                <w:rtl/>
              </w:rPr>
              <w:t>«له»</w:t>
            </w:r>
            <w:r>
              <w:rPr>
                <w:rtl/>
              </w:rPr>
              <w:t>.</w:t>
            </w:r>
          </w:p>
        </w:tc>
      </w:tr>
    </w:tbl>
    <w:p w:rsidR="000C39D1" w:rsidRPr="00132E65" w:rsidRDefault="000C39D1" w:rsidP="000C39D1">
      <w:pPr>
        <w:pStyle w:val="libFootnote0"/>
        <w:rPr>
          <w:rtl/>
          <w:lang w:bidi="fa-IR"/>
        </w:rPr>
      </w:pPr>
      <w:r>
        <w:rPr>
          <w:rtl/>
        </w:rPr>
        <w:t>(7).</w:t>
      </w:r>
      <w:r w:rsidRPr="00132E65">
        <w:rPr>
          <w:rtl/>
        </w:rPr>
        <w:t xml:space="preserve"> في « ج ، ه‍ » : « بامّي »</w:t>
      </w:r>
      <w:r>
        <w:rPr>
          <w:rtl/>
        </w:rPr>
        <w:t>.</w:t>
      </w:r>
      <w:r w:rsidRPr="00132E65">
        <w:rPr>
          <w:rtl/>
        </w:rPr>
        <w:t xml:space="preserve"> وفي </w:t>
      </w:r>
      <w:r w:rsidRPr="009D1ACE">
        <w:rPr>
          <w:rStyle w:val="libFootnoteBoldChar"/>
          <w:rtl/>
        </w:rPr>
        <w:t>الوافي</w:t>
      </w:r>
      <w:r w:rsidRPr="00132E65">
        <w:rPr>
          <w:rtl/>
        </w:rPr>
        <w:t xml:space="preserve"> : « يأتي »</w:t>
      </w:r>
      <w:r>
        <w:rPr>
          <w:rtl/>
        </w:rPr>
        <w:t>.</w:t>
      </w:r>
      <w:r w:rsidRPr="00132E65">
        <w:rPr>
          <w:rtl/>
        </w:rPr>
        <w:t xml:space="preserve"> وقال : « يأتي ابن خيرة الإماء ، يعني به المهديّ صاحب زمانناصلوات الله عليه ، كأنّه انتسبه إلى جدّته ا</w:t>
      </w:r>
      <w:r>
        <w:rPr>
          <w:rFonts w:hint="cs"/>
          <w:rtl/>
        </w:rPr>
        <w:t>ُ</w:t>
      </w:r>
      <w:r w:rsidRPr="00132E65">
        <w:rPr>
          <w:rtl/>
        </w:rPr>
        <w:t xml:space="preserve">مّ أبي جعفر الثاني </w:t>
      </w:r>
      <w:r w:rsidRPr="0030650A">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(8).</w:t>
      </w:r>
      <w:r w:rsidRPr="00132E65">
        <w:rPr>
          <w:rtl/>
        </w:rPr>
        <w:t xml:space="preserve"> قال الجوهري : « والنُوب والنُوبَةُ أيضاً : جيل من السُودان. الواحد : نُوبيّ »</w:t>
      </w:r>
      <w:r>
        <w:rPr>
          <w:rtl/>
        </w:rPr>
        <w:t>.</w:t>
      </w:r>
      <w:r w:rsidRPr="00132E65">
        <w:rPr>
          <w:rtl/>
        </w:rPr>
        <w:t xml:space="preserve"> وفي </w:t>
      </w:r>
      <w:r w:rsidRPr="006612CA">
        <w:rPr>
          <w:rtl/>
        </w:rPr>
        <w:t>القاموس</w:t>
      </w:r>
      <w:r w:rsidRPr="00132E65">
        <w:rPr>
          <w:rtl/>
        </w:rPr>
        <w:t xml:space="preserve"> : النُوب : جيل من السودان ، والنُوبةُ : بلاد واسعة للسودان بجنوب الصعيد ، منها بلال الحبشي »</w:t>
      </w:r>
      <w:r>
        <w:rPr>
          <w:rtl/>
        </w:rPr>
        <w:t>.</w:t>
      </w:r>
      <w:r w:rsidRPr="00132E65">
        <w:rPr>
          <w:rtl/>
        </w:rPr>
        <w:t xml:space="preserve"> </w:t>
      </w:r>
      <w:r w:rsidRPr="006612CA">
        <w:rPr>
          <w:rtl/>
        </w:rPr>
        <w:t>الصحاح</w:t>
      </w:r>
      <w:r w:rsidRPr="00132E65">
        <w:rPr>
          <w:rtl/>
        </w:rPr>
        <w:t xml:space="preserve"> ، ج 1 ، ص 229 ؛ </w:t>
      </w:r>
      <w:r w:rsidRPr="006612CA">
        <w:rPr>
          <w:rtl/>
        </w:rPr>
        <w:t>القاموس المحيط</w:t>
      </w:r>
      <w:r w:rsidRPr="00132E65">
        <w:rPr>
          <w:rtl/>
        </w:rPr>
        <w:t xml:space="preserve"> ، ج 1 ، ص 232 ( نوب )</w:t>
      </w:r>
      <w:r>
        <w:rPr>
          <w:rtl/>
        </w:rPr>
        <w:t>.</w:t>
      </w:r>
    </w:p>
    <w:p w:rsidR="000C39D1" w:rsidRPr="00132E65" w:rsidRDefault="000C39D1" w:rsidP="000C39D1">
      <w:pPr>
        <w:pStyle w:val="libFootnote0"/>
        <w:rPr>
          <w:rtl/>
          <w:lang w:bidi="fa-IR"/>
        </w:rPr>
      </w:pPr>
      <w:r>
        <w:rPr>
          <w:rtl/>
        </w:rPr>
        <w:t>(9).</w:t>
      </w:r>
      <w:r w:rsidRPr="00132E65">
        <w:rPr>
          <w:rtl/>
        </w:rPr>
        <w:t xml:space="preserve"> في « ب ، ف ، ه‍ ، بف » وحاشية « ج ، بف » وحاشية بدرالدين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المنجبة »</w:t>
      </w:r>
      <w:r>
        <w:rPr>
          <w:rtl/>
        </w:rPr>
        <w:t>.</w:t>
      </w:r>
      <w:r w:rsidRPr="00132E65">
        <w:rPr>
          <w:rtl/>
        </w:rPr>
        <w:t xml:space="preserve"> وفي « بر ، بس » : « المنتجية »</w:t>
      </w:r>
      <w:r>
        <w:rPr>
          <w:rtl/>
        </w:rPr>
        <w:t>.</w:t>
      </w:r>
      <w:r w:rsidRPr="00132E65">
        <w:rPr>
          <w:rtl/>
        </w:rPr>
        <w:t xml:space="preserve"> </w:t>
      </w:r>
      <w:r>
        <w:rPr>
          <w:rtl/>
        </w:rPr>
        <w:t>و « الم</w:t>
      </w:r>
      <w:r>
        <w:rPr>
          <w:rFonts w:hint="cs"/>
          <w:rtl/>
        </w:rPr>
        <w:t>ـُ</w:t>
      </w:r>
      <w:r w:rsidRPr="00132E65">
        <w:rPr>
          <w:rtl/>
        </w:rPr>
        <w:t xml:space="preserve">نتَجَبُ » : المختار من كلّ شي‌ء. يقال : انتجب فلان فلاناً ، أي استخلصه واصطفاه اختياراً على غيره. راجع : </w:t>
      </w:r>
      <w:r w:rsidRPr="009D1ACE">
        <w:rPr>
          <w:rStyle w:val="libFootnoteBoldChar"/>
          <w:rtl/>
        </w:rPr>
        <w:t>لسان العرب</w:t>
      </w:r>
      <w:r w:rsidRPr="00132E65">
        <w:rPr>
          <w:rtl/>
        </w:rPr>
        <w:t xml:space="preserve"> ، ج 1 ، ص 748 ( نجب )</w:t>
      </w:r>
      <w:r>
        <w:rPr>
          <w:rtl/>
        </w:rPr>
        <w:t>.</w:t>
      </w:r>
    </w:p>
    <w:p w:rsidR="000C39D1" w:rsidRPr="00132E65" w:rsidRDefault="000C39D1" w:rsidP="000C39D1">
      <w:pPr>
        <w:pStyle w:val="libFootnote0"/>
        <w:rPr>
          <w:rtl/>
          <w:lang w:bidi="fa-IR"/>
        </w:rPr>
      </w:pPr>
      <w:r>
        <w:rPr>
          <w:rtl/>
        </w:rPr>
        <w:t>(10).</w:t>
      </w:r>
      <w:r w:rsidRPr="00132E65">
        <w:rPr>
          <w:rtl/>
        </w:rPr>
        <w:t xml:space="preserve"> في « ب ، ج ، ض ، ف ، ه‍ ، و، بح ، بس » : « الأعبس »</w:t>
      </w:r>
      <w:r>
        <w:rPr>
          <w:rtl/>
        </w:rPr>
        <w:t>.</w:t>
      </w:r>
      <w:r w:rsidRPr="00132E65">
        <w:rPr>
          <w:rtl/>
        </w:rPr>
        <w:t xml:space="preserve"> وفي حاشية « ج » : « يعني عبّاسيّون »</w:t>
      </w:r>
      <w:r>
        <w:rPr>
          <w:rtl/>
        </w:rPr>
        <w:t>.</w:t>
      </w:r>
      <w:r w:rsidRPr="00132E65">
        <w:rPr>
          <w:rtl/>
        </w:rPr>
        <w:t xml:space="preserve"> وفي‌</w:t>
      </w:r>
      <w:r w:rsidRPr="006612CA">
        <w:rPr>
          <w:rtl/>
        </w:rPr>
        <w:t>شرح المازندراني</w:t>
      </w:r>
      <w:r w:rsidRPr="00132E65">
        <w:rPr>
          <w:rtl/>
        </w:rPr>
        <w:t xml:space="preserve"> : « وفي بعض النسخ : الا</w:t>
      </w:r>
      <w:r>
        <w:rPr>
          <w:rFonts w:hint="cs"/>
          <w:rtl/>
        </w:rPr>
        <w:t>ُ</w:t>
      </w:r>
      <w:r w:rsidRPr="00132E65">
        <w:rPr>
          <w:rtl/>
        </w:rPr>
        <w:t>غيبس ، وهو تصغير الأغبس »</w:t>
      </w:r>
      <w:r>
        <w:rPr>
          <w:rtl/>
        </w:rPr>
        <w:t>.</w:t>
      </w:r>
      <w:r w:rsidRPr="00132E65">
        <w:rPr>
          <w:rtl/>
        </w:rPr>
        <w:t xml:space="preserve"> وفي </w:t>
      </w:r>
      <w:r w:rsidRPr="006612CA">
        <w:rPr>
          <w:rtl/>
        </w:rPr>
        <w:t>حاشية بدرالدين</w:t>
      </w:r>
      <w:r w:rsidRPr="00132E65">
        <w:rPr>
          <w:rtl/>
        </w:rPr>
        <w:t xml:space="preserve"> ، ص 210 : « الأغبس ، وفي بعض النسخ : الا</w:t>
      </w:r>
      <w:r>
        <w:rPr>
          <w:rFonts w:hint="cs"/>
          <w:rtl/>
        </w:rPr>
        <w:t>ُ</w:t>
      </w:r>
      <w:r w:rsidRPr="00132E65">
        <w:rPr>
          <w:rtl/>
        </w:rPr>
        <w:t>غيبس. قيل : المراد به السفّاح ، وهو أوّل خلفاء بني العبّاس. ويمكن أن يراد به الحجّاج أو المتوكّل ، فإنّه لم يكن أشدّ منهما على آل محمّد بعد يزيد بن معاوية »</w:t>
      </w:r>
      <w:r>
        <w:rPr>
          <w:rtl/>
        </w:rPr>
        <w:t>.</w:t>
      </w:r>
      <w:r w:rsidRPr="00132E65">
        <w:rPr>
          <w:rtl/>
        </w:rPr>
        <w:t xml:space="preserve"> </w:t>
      </w:r>
      <w:r>
        <w:rPr>
          <w:rtl/>
        </w:rPr>
        <w:t>و «</w:t>
      </w:r>
      <w:r w:rsidRPr="00132E65">
        <w:rPr>
          <w:rtl/>
        </w:rPr>
        <w:t xml:space="preserve"> الا</w:t>
      </w:r>
      <w:r>
        <w:rPr>
          <w:rFonts w:hint="cs"/>
          <w:rtl/>
        </w:rPr>
        <w:t>ُ</w:t>
      </w:r>
      <w:r w:rsidRPr="00132E65">
        <w:rPr>
          <w:rtl/>
        </w:rPr>
        <w:t xml:space="preserve">عَيْبِسُ » : مصغّر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w:t>
      </w:r>
      <w:r>
        <w:rPr>
          <w:rFonts w:hint="cs"/>
          <w:rtl/>
          <w:lang w:bidi="fa-IR"/>
        </w:rPr>
        <w:t xml:space="preserve"> </w:t>
      </w:r>
      <w:r>
        <w:rPr>
          <w:rStyle w:val="libFootnotenumChar"/>
          <w:rtl/>
        </w:rPr>
        <w:t>(1)</w:t>
      </w:r>
      <w:r w:rsidRPr="00132E65">
        <w:rPr>
          <w:rtl/>
          <w:lang w:bidi="fa-IR"/>
        </w:rPr>
        <w:t xml:space="preserve"> يَقْتُلُهُمْ </w:t>
      </w:r>
      <w:r>
        <w:rPr>
          <w:rStyle w:val="libFootnotenumChar"/>
          <w:rtl/>
        </w:rPr>
        <w:t>(2)</w:t>
      </w:r>
      <w:r w:rsidRPr="00132E65">
        <w:rPr>
          <w:rtl/>
          <w:lang w:bidi="fa-IR"/>
        </w:rPr>
        <w:t xml:space="preserve"> سِنِينَ و</w:t>
      </w:r>
      <w:r>
        <w:rPr>
          <w:rFonts w:hint="cs"/>
          <w:rtl/>
          <w:lang w:bidi="fa-IR"/>
        </w:rPr>
        <w:t>َ</w:t>
      </w:r>
      <w:r w:rsidRPr="00132E65">
        <w:rPr>
          <w:rtl/>
          <w:lang w:bidi="fa-IR"/>
        </w:rPr>
        <w:t xml:space="preserve">شُهُوراً وأَيَّاماً ، يَسُومُهُمْ خَسْفاً </w:t>
      </w:r>
      <w:r>
        <w:rPr>
          <w:rStyle w:val="libFootnotenumChar"/>
          <w:rtl/>
        </w:rPr>
        <w:t>(3)</w:t>
      </w:r>
      <w:r w:rsidRPr="00132E65">
        <w:rPr>
          <w:rtl/>
          <w:lang w:bidi="fa-IR"/>
        </w:rPr>
        <w:t xml:space="preserve"> ، و</w:t>
      </w:r>
      <w:r>
        <w:rPr>
          <w:rFonts w:hint="cs"/>
          <w:rtl/>
          <w:lang w:bidi="fa-IR"/>
        </w:rPr>
        <w:t xml:space="preserve">َ </w:t>
      </w:r>
      <w:r w:rsidRPr="00132E65">
        <w:rPr>
          <w:rtl/>
          <w:lang w:bidi="fa-IR"/>
        </w:rPr>
        <w:t xml:space="preserve">يَسْقِيهِمْ كَأْساً مُصَبَّرَةً </w:t>
      </w:r>
      <w:r>
        <w:rPr>
          <w:rStyle w:val="libFootnotenumChar"/>
          <w:rtl/>
        </w:rPr>
        <w:t>(4)</w:t>
      </w:r>
      <w:r w:rsidRPr="00132E65">
        <w:rPr>
          <w:rtl/>
          <w:lang w:bidi="fa-IR"/>
        </w:rPr>
        <w:t xml:space="preserve"> ، و</w:t>
      </w:r>
      <w:r>
        <w:rPr>
          <w:rFonts w:hint="cs"/>
          <w:rtl/>
          <w:lang w:bidi="fa-IR"/>
        </w:rPr>
        <w:t xml:space="preserve">َ </w:t>
      </w:r>
      <w:r w:rsidRPr="00132E65">
        <w:rPr>
          <w:rtl/>
          <w:lang w:bidi="fa-IR"/>
        </w:rPr>
        <w:t xml:space="preserve">هُوَ الطَّرِيدُ </w:t>
      </w:r>
      <w:r>
        <w:rPr>
          <w:rStyle w:val="libFootnotenumChar"/>
          <w:rtl/>
        </w:rPr>
        <w:t>(5)</w:t>
      </w:r>
      <w:r w:rsidRPr="00132E65">
        <w:rPr>
          <w:rtl/>
          <w:lang w:bidi="fa-IR"/>
        </w:rPr>
        <w:t xml:space="preserve"> الشَّرِيدُ </w:t>
      </w:r>
      <w:r>
        <w:rPr>
          <w:rStyle w:val="libFootnotenumChar"/>
          <w:rtl/>
        </w:rPr>
        <w:t>(6)</w:t>
      </w:r>
      <w:r w:rsidRPr="00132E65">
        <w:rPr>
          <w:rtl/>
          <w:lang w:bidi="fa-IR"/>
        </w:rPr>
        <w:t xml:space="preserve"> ، الْمَوْتُورُ </w:t>
      </w:r>
      <w:r>
        <w:rPr>
          <w:rStyle w:val="libFootnotenumChar"/>
          <w:rtl/>
        </w:rPr>
        <w:t>(7)</w:t>
      </w:r>
      <w:r w:rsidRPr="00132E65">
        <w:rPr>
          <w:rtl/>
          <w:lang w:bidi="fa-IR"/>
        </w:rPr>
        <w:t xml:space="preserve"> بِأَبِيهِ و</w:t>
      </w:r>
      <w:r>
        <w:rPr>
          <w:rFonts w:hint="cs"/>
          <w:rtl/>
          <w:lang w:bidi="fa-IR"/>
        </w:rPr>
        <w:t xml:space="preserve">َ </w:t>
      </w:r>
      <w:r w:rsidRPr="00132E65">
        <w:rPr>
          <w:rtl/>
          <w:lang w:bidi="fa-IR"/>
        </w:rPr>
        <w:t xml:space="preserve">جَدِّهِ ، صَاحِبُ الْغَيْبَةِ </w:t>
      </w:r>
      <w:r>
        <w:rPr>
          <w:rStyle w:val="libFootnotenumChar"/>
          <w:rtl/>
        </w:rPr>
        <w:t>(8)</w:t>
      </w:r>
      <w:r w:rsidRPr="00132E65">
        <w:rPr>
          <w:rtl/>
          <w:lang w:bidi="fa-IR"/>
        </w:rPr>
        <w:t xml:space="preserve"> ، يُقَالُ : مَاتَ أَوْ هَلَكَ ، أَيَّ </w:t>
      </w:r>
      <w:r>
        <w:rPr>
          <w:rtl/>
          <w:lang w:bidi="fa-IR"/>
        </w:rPr>
        <w:t>و</w:t>
      </w:r>
      <w:r>
        <w:rPr>
          <w:rFonts w:hint="cs"/>
          <w:rtl/>
          <w:lang w:bidi="fa-IR"/>
        </w:rPr>
        <w:t>َ</w:t>
      </w:r>
      <w:r>
        <w:rPr>
          <w:rtl/>
          <w:lang w:bidi="fa-IR"/>
        </w:rPr>
        <w:t>ادٍ سَلَكَ ، أَفَيَكُونُ هذَا يَا عَمِّ إِل</w:t>
      </w:r>
      <w:r>
        <w:rPr>
          <w:rFonts w:hint="cs"/>
          <w:rtl/>
          <w:lang w:bidi="fa-IR"/>
        </w:rPr>
        <w:t>َّ</w:t>
      </w:r>
      <w:r>
        <w:rPr>
          <w:rtl/>
          <w:lang w:bidi="fa-IR"/>
        </w:rPr>
        <w:t>ا</w:t>
      </w:r>
      <w:r w:rsidRPr="00132E65">
        <w:rPr>
          <w:rtl/>
          <w:lang w:bidi="fa-IR"/>
        </w:rPr>
        <w:t xml:space="preserve"> مِنِّي</w:t>
      </w:r>
      <w:r>
        <w:rPr>
          <w:rtl/>
          <w:lang w:bidi="fa-IR"/>
        </w:rPr>
        <w:t>؟</w:t>
      </w:r>
      <w:r w:rsidRPr="00132E65">
        <w:rPr>
          <w:rtl/>
          <w:lang w:bidi="fa-IR"/>
        </w:rPr>
        <w:t xml:space="preserve"> »</w:t>
      </w:r>
      <w:r>
        <w:rPr>
          <w:rtl/>
          <w:lang w:bidi="fa-IR"/>
        </w:rPr>
        <w:t>.</w:t>
      </w:r>
      <w:r w:rsidRPr="00132E65">
        <w:rPr>
          <w:rtl/>
          <w:lang w:bidi="fa-IR"/>
        </w:rPr>
        <w:t xml:space="preserve"> فَقُلْتُ : صَدَقْتَ جُعِلْتُ فِدَاكَ. </w:t>
      </w:r>
      <w:r>
        <w:rPr>
          <w:rStyle w:val="libFootnotenumChar"/>
          <w:rtl/>
        </w:rPr>
        <w:t>(9)</w:t>
      </w:r>
      <w:r w:rsidRPr="00132E65">
        <w:rPr>
          <w:rtl/>
          <w:lang w:bidi="fa-IR"/>
        </w:rPr>
        <w:t xml:space="preserve"> ‌</w:t>
      </w:r>
    </w:p>
    <w:p w:rsidR="000C39D1" w:rsidRPr="00132E65" w:rsidRDefault="000C39D1" w:rsidP="000C39D1">
      <w:pPr>
        <w:pStyle w:val="Heading2Center"/>
        <w:rPr>
          <w:rtl/>
          <w:lang w:bidi="fa-IR"/>
        </w:rPr>
      </w:pPr>
      <w:bookmarkStart w:id="29" w:name="_Toc459459102"/>
      <w:bookmarkStart w:id="30" w:name="_Toc34663071"/>
      <w:r w:rsidRPr="00132E65">
        <w:rPr>
          <w:rtl/>
          <w:lang w:bidi="fa-IR"/>
        </w:rPr>
        <w:t>74</w:t>
      </w:r>
      <w:r>
        <w:rPr>
          <w:rtl/>
          <w:lang w:bidi="fa-IR"/>
        </w:rPr>
        <w:t xml:space="preserve"> - </w:t>
      </w:r>
      <w:r w:rsidRPr="00132E65">
        <w:rPr>
          <w:rtl/>
          <w:lang w:bidi="fa-IR"/>
        </w:rPr>
        <w:t>بَابُ الْإِشَارَةِ و</w:t>
      </w:r>
      <w:r>
        <w:rPr>
          <w:rFonts w:hint="cs"/>
          <w:rtl/>
          <w:lang w:bidi="fa-IR"/>
        </w:rPr>
        <w:t>َ</w:t>
      </w:r>
      <w:r w:rsidRPr="00132E65">
        <w:rPr>
          <w:rtl/>
          <w:lang w:bidi="fa-IR"/>
        </w:rPr>
        <w:t xml:space="preserve">النَّصِّ عَلى أَبِي الْحَسَنِ الثَّالِثِ </w:t>
      </w:r>
      <w:r w:rsidRPr="00071CF9">
        <w:rPr>
          <w:rStyle w:val="libAlaemChar"/>
          <w:rtl/>
        </w:rPr>
        <w:t>عليه‌السلام</w:t>
      </w:r>
      <w:r w:rsidRPr="00132E65">
        <w:rPr>
          <w:rtl/>
          <w:lang w:bidi="fa-IR"/>
        </w:rPr>
        <w:t>‌</w:t>
      </w:r>
      <w:bookmarkEnd w:id="29"/>
      <w:bookmarkEnd w:id="30"/>
    </w:p>
    <w:p w:rsidR="000C39D1" w:rsidRPr="00132E65" w:rsidRDefault="000C39D1" w:rsidP="000C39D1">
      <w:pPr>
        <w:pStyle w:val="libNormal"/>
        <w:rPr>
          <w:rtl/>
          <w:lang w:bidi="fa-IR"/>
        </w:rPr>
      </w:pPr>
      <w:r w:rsidRPr="006612CA">
        <w:rPr>
          <w:rtl/>
        </w:rPr>
        <w:t>847</w:t>
      </w:r>
      <w:r w:rsidRPr="004325D8">
        <w:rPr>
          <w:rStyle w:val="libBold2Char"/>
          <w:rtl/>
        </w:rPr>
        <w:t xml:space="preserve"> / 1.</w:t>
      </w:r>
      <w:r w:rsidRPr="00132E65">
        <w:rPr>
          <w:rtl/>
          <w:lang w:bidi="fa-IR"/>
        </w:rPr>
        <w:t xml:space="preserve"> عَلِيُّ بْنُ إِبْرَاهِيمَ ، عَنْ أَبِيهِ ، عَنْ إِسْمَاعِيلَ بْنِ مِهْرَانَ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الأعبس ، وهو كناية عن العبّاس ؛ لاشتراكهما في معنى كثرة العبوس. أو هو من باب القلب. وقيل : المراد بعض ذرّيّة العبّاس.</w:t>
      </w:r>
    </w:p>
    <w:p w:rsidR="000C39D1" w:rsidRPr="00132E65" w:rsidRDefault="000C39D1" w:rsidP="000C39D1">
      <w:pPr>
        <w:pStyle w:val="libFootnote0"/>
        <w:rPr>
          <w:rtl/>
          <w:lang w:bidi="fa-IR"/>
        </w:rPr>
      </w:pPr>
      <w:r>
        <w:rPr>
          <w:rtl/>
        </w:rPr>
        <w:t>(1).</w:t>
      </w:r>
      <w:r w:rsidRPr="00132E65">
        <w:rPr>
          <w:rtl/>
        </w:rPr>
        <w:t xml:space="preserve"> في « ب ، ه‍ ، بف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(2).</w:t>
      </w:r>
      <w:r w:rsidRPr="00132E65">
        <w:rPr>
          <w:rtl/>
        </w:rPr>
        <w:t xml:space="preserve"> في « بح » : « يقلّبهم »</w:t>
      </w:r>
      <w:r>
        <w:rPr>
          <w:rtl/>
        </w:rPr>
        <w:t>.</w:t>
      </w:r>
      <w:r w:rsidRPr="00132E65">
        <w:rPr>
          <w:rtl/>
        </w:rPr>
        <w:t xml:space="preserve"> وفي </w:t>
      </w:r>
      <w:r w:rsidRPr="009D1ACE">
        <w:rPr>
          <w:rStyle w:val="libFootnoteBoldChar"/>
          <w:rtl/>
        </w:rPr>
        <w:t>الوافي</w:t>
      </w:r>
      <w:r w:rsidRPr="00132E65">
        <w:rPr>
          <w:rtl/>
        </w:rPr>
        <w:t xml:space="preserve"> : « تقتلهم »</w:t>
      </w:r>
      <w:r>
        <w:rPr>
          <w:rtl/>
        </w:rPr>
        <w:t>.</w:t>
      </w:r>
    </w:p>
    <w:p w:rsidR="000C39D1" w:rsidRPr="00132E65" w:rsidRDefault="000C39D1" w:rsidP="000C39D1">
      <w:pPr>
        <w:pStyle w:val="libFootnote0"/>
        <w:rPr>
          <w:rtl/>
          <w:lang w:bidi="fa-IR"/>
        </w:rPr>
      </w:pPr>
      <w:r>
        <w:rPr>
          <w:rtl/>
        </w:rPr>
        <w:t>(3).</w:t>
      </w:r>
      <w:r w:rsidRPr="00132E65">
        <w:rPr>
          <w:rtl/>
        </w:rPr>
        <w:t xml:space="preserve"> « يَسُومُ » : من السَوْم بمعنى التكليف والإلزام. يقال : سامَهُ الأمرَ ، أي كلّفه إيّاه وأراده عليه وأولاه إيّاه. </w:t>
      </w:r>
      <w:r>
        <w:rPr>
          <w:rtl/>
        </w:rPr>
        <w:t>و «</w:t>
      </w:r>
      <w:r w:rsidRPr="00132E65">
        <w:rPr>
          <w:rtl/>
        </w:rPr>
        <w:t xml:space="preserve"> الخَسْفُ » : النقيصة والذهاب في الأرض والذلّ والمشقّة والإذلال</w:t>
      </w:r>
      <w:r>
        <w:rPr>
          <w:rFonts w:hint="cs"/>
          <w:rtl/>
        </w:rPr>
        <w:t xml:space="preserve"> </w:t>
      </w:r>
      <w:r w:rsidRPr="00F24C1F">
        <w:rPr>
          <w:rtl/>
        </w:rPr>
        <w:t>وتحميل الإنسان ما يكره. ويقال : سامَهُ الخَسْفُ وسامَه الخَ</w:t>
      </w:r>
      <w:r>
        <w:rPr>
          <w:rtl/>
        </w:rPr>
        <w:t>سْفَ والخُسْفَ ، أي أولاه ذُل</w:t>
      </w:r>
      <w:r>
        <w:rPr>
          <w:rFonts w:hint="cs"/>
          <w:rtl/>
        </w:rPr>
        <w:t>ّ</w:t>
      </w:r>
      <w:r>
        <w:rPr>
          <w:rtl/>
        </w:rPr>
        <w:t>ا</w:t>
      </w:r>
      <w:r>
        <w:rPr>
          <w:rFonts w:hint="cs"/>
          <w:rtl/>
        </w:rPr>
        <w:t>ً</w:t>
      </w:r>
      <w:r w:rsidRPr="00F24C1F">
        <w:rPr>
          <w:rtl/>
        </w:rPr>
        <w:t xml:space="preserve"> وكلّفه المشقّة والذلَّ وأرادهما عليه. وقال المجلسي : « في بعض النسخ : ليسومهم ». راجع : </w:t>
      </w:r>
      <w:r w:rsidRPr="009D1ACE">
        <w:rPr>
          <w:rStyle w:val="libFootnoteBoldChar"/>
          <w:rtl/>
        </w:rPr>
        <w:t>لسان العرب</w:t>
      </w:r>
      <w:r w:rsidRPr="00F24C1F">
        <w:rPr>
          <w:rtl/>
        </w:rPr>
        <w:t xml:space="preserve"> ، ج 9 ، ص 67 ( خسف ) ؛ وج 12 ، ص 311 </w:t>
      </w:r>
      <w:r>
        <w:rPr>
          <w:rtl/>
        </w:rPr>
        <w:t>-</w:t>
      </w:r>
      <w:r w:rsidRPr="00F24C1F">
        <w:rPr>
          <w:rtl/>
        </w:rPr>
        <w:t xml:space="preserve"> 312 ( سوم ).</w:t>
      </w:r>
    </w:p>
    <w:p w:rsidR="000C39D1" w:rsidRPr="00132E65" w:rsidRDefault="000C39D1" w:rsidP="000C39D1">
      <w:pPr>
        <w:pStyle w:val="libFootnote0"/>
        <w:rPr>
          <w:rtl/>
          <w:lang w:bidi="fa-IR"/>
        </w:rPr>
      </w:pPr>
      <w:r>
        <w:rPr>
          <w:rtl/>
        </w:rPr>
        <w:t>(4). « الم</w:t>
      </w:r>
      <w:r>
        <w:rPr>
          <w:rFonts w:hint="cs"/>
          <w:rtl/>
        </w:rPr>
        <w:t>ـُ</w:t>
      </w:r>
      <w:r w:rsidRPr="00132E65">
        <w:rPr>
          <w:rtl/>
        </w:rPr>
        <w:t>صْبُرَةُ » : اسم آلة للصَبِر ، وهو عصارة شجر مُرّ ، أو المِصْبَرة : اس</w:t>
      </w:r>
      <w:r>
        <w:rPr>
          <w:rtl/>
        </w:rPr>
        <w:t>م مكان لكثرة من الصَبِر. أو الم</w:t>
      </w:r>
      <w:r>
        <w:rPr>
          <w:rFonts w:hint="cs"/>
          <w:rtl/>
        </w:rPr>
        <w:t>ـُ</w:t>
      </w:r>
      <w:r>
        <w:rPr>
          <w:rtl/>
        </w:rPr>
        <w:t>صبِرَةُ ، أي ذات صَبِر ، أو الم</w:t>
      </w:r>
      <w:r>
        <w:rPr>
          <w:rFonts w:hint="cs"/>
          <w:rtl/>
        </w:rPr>
        <w:t>ـُ</w:t>
      </w:r>
      <w:r>
        <w:rPr>
          <w:rtl/>
        </w:rPr>
        <w:t>صْبَرةُ. أو الم</w:t>
      </w:r>
      <w:r>
        <w:rPr>
          <w:rFonts w:hint="cs"/>
          <w:rtl/>
        </w:rPr>
        <w:t>ـُ</w:t>
      </w:r>
      <w:r w:rsidRPr="00132E65">
        <w:rPr>
          <w:rtl/>
        </w:rPr>
        <w:t xml:space="preserve">صَبَّرَةُ ، بمعنى التي جعل فيها صَبِرٌ. والمراد : كأساً مهلكة. واستبعد المازندراني الأخيرين ولم يذكر الثاني ، كما لم يذكر المجلسي الأوّل. راجع : </w:t>
      </w:r>
      <w:r w:rsidRPr="006612CA">
        <w:rPr>
          <w:rtl/>
        </w:rPr>
        <w:t>شرح المازندراني</w:t>
      </w:r>
      <w:r w:rsidRPr="00132E65">
        <w:rPr>
          <w:rtl/>
        </w:rPr>
        <w:t xml:space="preserve"> ، ج 6 ، ص 197 ؛ </w:t>
      </w:r>
      <w:r w:rsidRPr="009D1ACE">
        <w:rPr>
          <w:rStyle w:val="libFootnoteBoldChar"/>
          <w:rtl/>
        </w:rPr>
        <w:t>مرآة العقول</w:t>
      </w:r>
      <w:r w:rsidRPr="00132E65">
        <w:rPr>
          <w:rtl/>
        </w:rPr>
        <w:t xml:space="preserve"> ، ج 3 ، ص 382 ؛ </w:t>
      </w:r>
      <w:r w:rsidRPr="006612CA">
        <w:rPr>
          <w:rtl/>
        </w:rPr>
        <w:t>القاموس المحيط</w:t>
      </w:r>
      <w:r w:rsidRPr="00132E65">
        <w:rPr>
          <w:rtl/>
        </w:rPr>
        <w:t xml:space="preserve"> ، ج 1 ، ص 592 ( صبر )</w:t>
      </w:r>
      <w:r>
        <w:rPr>
          <w:rtl/>
        </w:rPr>
        <w:t>.</w:t>
      </w:r>
    </w:p>
    <w:p w:rsidR="000C39D1" w:rsidRPr="00132E65" w:rsidRDefault="000C39D1" w:rsidP="000C39D1">
      <w:pPr>
        <w:pStyle w:val="libFootnote0"/>
        <w:rPr>
          <w:rtl/>
          <w:lang w:bidi="fa-IR"/>
        </w:rPr>
      </w:pPr>
      <w:r>
        <w:rPr>
          <w:rtl/>
        </w:rPr>
        <w:t>(5). « الطَريدُ » : الم</w:t>
      </w:r>
      <w:r>
        <w:rPr>
          <w:rFonts w:hint="cs"/>
          <w:rtl/>
        </w:rPr>
        <w:t>ـُ</w:t>
      </w:r>
      <w:r w:rsidRPr="00132E65">
        <w:rPr>
          <w:rtl/>
        </w:rPr>
        <w:t xml:space="preserve">بْعَدُ. راجع : </w:t>
      </w:r>
      <w:r w:rsidRPr="006612CA">
        <w:rPr>
          <w:rtl/>
        </w:rPr>
        <w:t>النهاية</w:t>
      </w:r>
      <w:r w:rsidRPr="00132E65">
        <w:rPr>
          <w:rtl/>
        </w:rPr>
        <w:t xml:space="preserve"> ، ج 3 ، ص 118 ( طرد )</w:t>
      </w:r>
      <w:r>
        <w:rPr>
          <w:rtl/>
        </w:rPr>
        <w:t>.</w:t>
      </w:r>
    </w:p>
    <w:p w:rsidR="000C39D1" w:rsidRPr="00132E65" w:rsidRDefault="000C39D1" w:rsidP="000C39D1">
      <w:pPr>
        <w:pStyle w:val="libFootnote0"/>
        <w:rPr>
          <w:rtl/>
          <w:lang w:bidi="fa-IR"/>
        </w:rPr>
      </w:pPr>
      <w:r>
        <w:rPr>
          <w:rtl/>
        </w:rPr>
        <w:t>(6).</w:t>
      </w:r>
      <w:r w:rsidRPr="00132E65">
        <w:rPr>
          <w:rtl/>
        </w:rPr>
        <w:t xml:space="preserve"> « الشَرِيدُ » : الشارِدُ ؛ من شَرَدَ فلان ، إذا نفر وذهب في الأرض وفارق الجماعة والناس. أو هو الطريد ، وهو حينئذٍ فعيل بمعنى مفعول ، والتكرير للتأكيد. راجع : </w:t>
      </w:r>
      <w:r w:rsidRPr="006612CA">
        <w:rPr>
          <w:rtl/>
        </w:rPr>
        <w:t>النهاية</w:t>
      </w:r>
      <w:r w:rsidRPr="00132E65">
        <w:rPr>
          <w:rtl/>
        </w:rPr>
        <w:t xml:space="preserve"> ، ج 2 ، ص 457 ( شرد )</w:t>
      </w:r>
      <w:r>
        <w:rPr>
          <w:rtl/>
        </w:rPr>
        <w:t>.</w:t>
      </w:r>
    </w:p>
    <w:p w:rsidR="000C39D1" w:rsidRPr="00132E65" w:rsidRDefault="000C39D1" w:rsidP="000C39D1">
      <w:pPr>
        <w:pStyle w:val="libFootnote0"/>
        <w:rPr>
          <w:rtl/>
          <w:lang w:bidi="fa-IR"/>
        </w:rPr>
      </w:pPr>
      <w:r>
        <w:rPr>
          <w:rtl/>
        </w:rPr>
        <w:t>(7). « الم</w:t>
      </w:r>
      <w:r>
        <w:rPr>
          <w:rFonts w:hint="cs"/>
          <w:rtl/>
        </w:rPr>
        <w:t>ـَ</w:t>
      </w:r>
      <w:r w:rsidRPr="00132E65">
        <w:rPr>
          <w:rtl/>
        </w:rPr>
        <w:t>وْتُور » : من قُتِلَ حميمُه وا</w:t>
      </w:r>
      <w:r>
        <w:rPr>
          <w:rFonts w:hint="cs"/>
          <w:rtl/>
        </w:rPr>
        <w:t>ُ</w:t>
      </w:r>
      <w:r w:rsidRPr="00132E65">
        <w:rPr>
          <w:rtl/>
        </w:rPr>
        <w:t>فردَ. تقول : و</w:t>
      </w:r>
      <w:r>
        <w:rPr>
          <w:rFonts w:hint="cs"/>
          <w:rtl/>
        </w:rPr>
        <w:t xml:space="preserve">َ </w:t>
      </w:r>
      <w:r w:rsidRPr="00132E65">
        <w:rPr>
          <w:rtl/>
        </w:rPr>
        <w:t xml:space="preserve">تَرْتُهُ ، أي قتلت حميمه وأفردته منه. راجع : </w:t>
      </w:r>
      <w:r w:rsidRPr="006612CA">
        <w:rPr>
          <w:rtl/>
        </w:rPr>
        <w:t>المغرب</w:t>
      </w:r>
      <w:r w:rsidRPr="00132E65">
        <w:rPr>
          <w:rtl/>
        </w:rPr>
        <w:t xml:space="preserve"> ، ص 475 ( وتر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الوافي</w:t>
      </w:r>
      <w:r w:rsidRPr="00132E65">
        <w:rPr>
          <w:rtl/>
        </w:rPr>
        <w:t xml:space="preserve"> : « صاحب الغيبة ، أي الغيبة الطويلة المعهودة التي يقال له فيها : أين هو</w:t>
      </w:r>
      <w:r>
        <w:rPr>
          <w:rtl/>
        </w:rPr>
        <w:t>؟</w:t>
      </w:r>
      <w:r w:rsidRPr="00132E65">
        <w:rPr>
          <w:rtl/>
        </w:rPr>
        <w:t xml:space="preserve"> أمات أو هلك</w:t>
      </w:r>
      <w:r>
        <w:rPr>
          <w:rtl/>
        </w:rPr>
        <w:t>؟</w:t>
      </w:r>
      <w:r w:rsidRPr="00132E65">
        <w:rPr>
          <w:rtl/>
        </w:rPr>
        <w:t xml:space="preserve"> »</w:t>
      </w:r>
      <w:r>
        <w:rPr>
          <w:rtl/>
        </w:rPr>
        <w:t>.</w:t>
      </w:r>
    </w:p>
    <w:p w:rsidR="000C39D1" w:rsidRPr="00132E65" w:rsidRDefault="000C39D1" w:rsidP="000C39D1">
      <w:pPr>
        <w:pStyle w:val="libFootnote0"/>
        <w:rPr>
          <w:rtl/>
          <w:lang w:bidi="fa-IR"/>
        </w:rPr>
      </w:pPr>
      <w:r>
        <w:rPr>
          <w:rtl/>
        </w:rPr>
        <w:t>(9).</w:t>
      </w:r>
      <w:r w:rsidRPr="00132E65">
        <w:rPr>
          <w:rtl/>
        </w:rPr>
        <w:t xml:space="preserve"> </w:t>
      </w:r>
      <w:r w:rsidRPr="006612CA">
        <w:rPr>
          <w:rtl/>
        </w:rPr>
        <w:t>الإرشاد</w:t>
      </w:r>
      <w:r w:rsidRPr="00132E65">
        <w:rPr>
          <w:rtl/>
        </w:rPr>
        <w:t xml:space="preserve"> ، ج 2 ، ص 275 ، بسنده عن الكليني ، وفيه قطعة مع اختلاف يسير </w:t>
      </w:r>
      <w:r>
        <w:rPr>
          <w:rFonts w:hint="cs"/>
          <w:rtl/>
        </w:rPr>
        <w:t>.</w:t>
      </w:r>
      <w:r w:rsidRPr="009D1ACE">
        <w:rPr>
          <w:rStyle w:val="libFootnoteBoldChar"/>
          <w:rtl/>
        </w:rPr>
        <w:t>الوافي</w:t>
      </w:r>
      <w:r w:rsidRPr="00132E65">
        <w:rPr>
          <w:rtl/>
        </w:rPr>
        <w:t xml:space="preserve"> ، ج 2 ، ص 379 ، ح 864 ؛ </w:t>
      </w:r>
      <w:r w:rsidRPr="006612CA">
        <w:rPr>
          <w:rtl/>
        </w:rPr>
        <w:t>الوسائل</w:t>
      </w:r>
      <w:r w:rsidRPr="00132E65">
        <w:rPr>
          <w:rtl/>
        </w:rPr>
        <w:t xml:space="preserve"> ، ج 25 ، ص 219 ، ح 31733 ؛ </w:t>
      </w:r>
      <w:r w:rsidRPr="006612CA">
        <w:rPr>
          <w:rtl/>
        </w:rPr>
        <w:t>البحار</w:t>
      </w:r>
      <w:r w:rsidRPr="00132E65">
        <w:rPr>
          <w:rtl/>
        </w:rPr>
        <w:t xml:space="preserve"> ، ج 66 ، ص 310 ، ح 7 ، وفي الأخيرين من قوله : « قال عليّ بن جعفر : فقمت فمصصت » إلى قوله : « أشهد أنّك إمامي عند الله ، فبكى الرضا </w:t>
      </w:r>
      <w:r w:rsidRPr="00F05EAE">
        <w:rPr>
          <w:rStyle w:val="libFootnoteAlaemChar"/>
          <w:rtl/>
        </w:rPr>
        <w:t>عليه‌السلام</w:t>
      </w:r>
      <w:r w:rsidRPr="00132E65">
        <w:rPr>
          <w:rtl/>
        </w:rPr>
        <w:t xml:space="preserve"> » ؛ </w:t>
      </w:r>
      <w:r w:rsidRPr="006612CA">
        <w:rPr>
          <w:rtl/>
        </w:rPr>
        <w:t>البحار</w:t>
      </w:r>
      <w:r w:rsidRPr="00132E65">
        <w:rPr>
          <w:rtl/>
        </w:rPr>
        <w:t xml:space="preserve"> ، ج 50 ، ص 21 ، ح 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لَمَّا خَرَجَ </w:t>
      </w:r>
      <w:r>
        <w:rPr>
          <w:rStyle w:val="libFootnotenumChar"/>
          <w:rtl/>
        </w:rPr>
        <w:t>(1)</w:t>
      </w:r>
      <w:r w:rsidRPr="00132E65">
        <w:rPr>
          <w:rtl/>
          <w:lang w:bidi="fa-IR"/>
        </w:rPr>
        <w:t xml:space="preserve"> أَبُو جَعْفَرٍ </w:t>
      </w:r>
      <w:r w:rsidRPr="00071CF9">
        <w:rPr>
          <w:rStyle w:val="libAlaemChar"/>
          <w:rtl/>
        </w:rPr>
        <w:t>عليه‌السلام</w:t>
      </w:r>
      <w:r w:rsidRPr="00132E65">
        <w:rPr>
          <w:rtl/>
          <w:lang w:bidi="fa-IR"/>
        </w:rPr>
        <w:t xml:space="preserve"> مِنَ الْمَدِينَةِ إِلى بَغْدَادَ فِي الدَّفْعَةِ الْأُولى </w:t>
      </w:r>
      <w:r>
        <w:rPr>
          <w:rStyle w:val="libFootnotenumChar"/>
          <w:rtl/>
        </w:rPr>
        <w:t>(2)</w:t>
      </w:r>
      <w:r w:rsidRPr="00132E65">
        <w:rPr>
          <w:rtl/>
          <w:lang w:bidi="fa-IR"/>
        </w:rPr>
        <w:t xml:space="preserve"> مِنْ خَرْجَتَيْهِ ، قُلْتُ لَهُ عِنْدَ خُرُوجِهِ : جُعِلْتُ فِدَاكَ ، إِنِّي أَخَافُ عَلَيْكَ فِي </w:t>
      </w:r>
      <w:r>
        <w:rPr>
          <w:rStyle w:val="libFootnotenumChar"/>
          <w:rtl/>
        </w:rPr>
        <w:t>(3)</w:t>
      </w:r>
      <w:r w:rsidRPr="00132E65">
        <w:rPr>
          <w:rtl/>
          <w:lang w:bidi="fa-IR"/>
        </w:rPr>
        <w:t xml:space="preserve"> هذَا الْوَجْهِ </w:t>
      </w:r>
      <w:r>
        <w:rPr>
          <w:rStyle w:val="libFootnotenumChar"/>
          <w:rtl/>
        </w:rPr>
        <w:t>(4)</w:t>
      </w:r>
      <w:r w:rsidRPr="00132E65">
        <w:rPr>
          <w:rtl/>
          <w:lang w:bidi="fa-IR"/>
        </w:rPr>
        <w:t xml:space="preserve"> ، فَإِلى مَنِ الْأَمْرُ بَعْدَكَ</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فَكَرَّ </w:t>
      </w:r>
      <w:r>
        <w:rPr>
          <w:rStyle w:val="libFootnotenumChar"/>
          <w:rtl/>
        </w:rPr>
        <w:t>(6)</w:t>
      </w:r>
      <w:r w:rsidRPr="00132E65">
        <w:rPr>
          <w:rtl/>
          <w:lang w:bidi="fa-IR"/>
        </w:rPr>
        <w:t xml:space="preserve"> بِوَجْهِهِ إِلَيَّ ضَاحِكاً ، و</w:t>
      </w:r>
      <w:r>
        <w:rPr>
          <w:rFonts w:hint="cs"/>
          <w:rtl/>
          <w:lang w:bidi="fa-IR"/>
        </w:rPr>
        <w:t>َ</w:t>
      </w:r>
      <w:r w:rsidRPr="00132E65">
        <w:rPr>
          <w:rtl/>
          <w:lang w:bidi="fa-IR"/>
        </w:rPr>
        <w:t xml:space="preserve">قَالَ : « لَيْسَ الْغَيْبَةُ </w:t>
      </w:r>
      <w:r>
        <w:rPr>
          <w:rStyle w:val="libFootnotenumChar"/>
          <w:rtl/>
        </w:rPr>
        <w:t>(7)</w:t>
      </w:r>
      <w:r w:rsidRPr="00132E65">
        <w:rPr>
          <w:rtl/>
          <w:lang w:bidi="fa-IR"/>
        </w:rPr>
        <w:t xml:space="preserve"> حَيْثُ ظَنَنْتَ فِي هذِهِ السَّنَةِ »</w:t>
      </w:r>
      <w:r>
        <w:rPr>
          <w:rtl/>
          <w:lang w:bidi="fa-IR"/>
        </w:rPr>
        <w:t>.</w:t>
      </w:r>
    </w:p>
    <w:p w:rsidR="000C39D1" w:rsidRPr="00132E65" w:rsidRDefault="000C39D1" w:rsidP="000C39D1">
      <w:pPr>
        <w:pStyle w:val="libNormal"/>
        <w:rPr>
          <w:rtl/>
          <w:lang w:bidi="fa-IR"/>
        </w:rPr>
      </w:pPr>
      <w:r w:rsidRPr="00132E65">
        <w:rPr>
          <w:rtl/>
          <w:lang w:bidi="fa-IR"/>
        </w:rPr>
        <w:t xml:space="preserve">فَلَمَّا أُخْرِجَ </w:t>
      </w:r>
      <w:r>
        <w:rPr>
          <w:rStyle w:val="libFootnotenumChar"/>
          <w:rtl/>
        </w:rPr>
        <w:t>(8)</w:t>
      </w:r>
      <w:r w:rsidRPr="00132E65">
        <w:rPr>
          <w:rtl/>
          <w:lang w:bidi="fa-IR"/>
        </w:rPr>
        <w:t xml:space="preserve"> بِهِ الثَّانِيَةَ إِلَى الْمُعْتَصِمِ ، صِرْتُ إِلَيْهِ ، فَقُلْتُ لَهُ : جُعِلْتُ فِدَاكَ ، أَنْتَ خَارِجٌ ، فَإِلى مَنْ هذَا الْأَمْرُ مِنْ بَعْدِكَ</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فَبَكى حَتَّى اخْضَلَّتْ </w:t>
      </w:r>
      <w:r>
        <w:rPr>
          <w:rStyle w:val="libFootnotenumChar"/>
          <w:rtl/>
        </w:rPr>
        <w:t>(10)</w:t>
      </w:r>
      <w:r w:rsidRPr="00132E65">
        <w:rPr>
          <w:rtl/>
          <w:lang w:bidi="fa-IR"/>
        </w:rPr>
        <w:t xml:space="preserve"> لِحْيَتُهُ ، ثُمَّ الْتَفَتَ إِلَيَّ ، فَقَالَ : « عِنْدَ هذِهِ يُخَافُ </w:t>
      </w:r>
      <w:r>
        <w:rPr>
          <w:rStyle w:val="libFootnotenumChar"/>
          <w:rtl/>
        </w:rPr>
        <w:t>(11)</w:t>
      </w:r>
      <w:r w:rsidRPr="00132E65">
        <w:rPr>
          <w:rtl/>
          <w:lang w:bidi="fa-IR"/>
        </w:rPr>
        <w:t xml:space="preserve"> عَلَيَّ ، الْأَمْرُ مِنْ بَعْدِي إِلَى ابْنِي عَلِيٍّ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6612CA">
        <w:rPr>
          <w:rtl/>
        </w:rPr>
        <w:t>848</w:t>
      </w:r>
      <w:r w:rsidRPr="004325D8">
        <w:rPr>
          <w:rStyle w:val="libBold2Char"/>
          <w:rtl/>
        </w:rPr>
        <w:t xml:space="preserve"> / 2.</w:t>
      </w:r>
      <w:r w:rsidRPr="00132E65">
        <w:rPr>
          <w:rtl/>
          <w:lang w:bidi="fa-IR"/>
        </w:rPr>
        <w:t xml:space="preserve"> الْحُسَيْنُ بْنُ مُحَمَّدٍ ، عَنِ الْخَيْرَانِيِّ ، عَنْ أَبِيهِ ، أَنَّهُ قَالَ :</w:t>
      </w:r>
    </w:p>
    <w:p w:rsidR="000C39D1" w:rsidRPr="00132E65" w:rsidRDefault="000C39D1" w:rsidP="000C39D1">
      <w:pPr>
        <w:pStyle w:val="libNormal"/>
        <w:rPr>
          <w:rtl/>
          <w:lang w:bidi="fa-IR"/>
        </w:rPr>
      </w:pPr>
      <w:r w:rsidRPr="00132E65">
        <w:rPr>
          <w:rtl/>
          <w:lang w:bidi="fa-IR"/>
        </w:rPr>
        <w:t xml:space="preserve">كَانَ يَلْزَمُ بَابَ أَبِي جَعْفَرٍ </w:t>
      </w:r>
      <w:r w:rsidRPr="00071CF9">
        <w:rPr>
          <w:rStyle w:val="libAlaemChar"/>
          <w:rtl/>
        </w:rPr>
        <w:t>عليه‌السلام</w:t>
      </w:r>
      <w:r w:rsidRPr="00132E65">
        <w:rPr>
          <w:rtl/>
          <w:lang w:bidi="fa-IR"/>
        </w:rPr>
        <w:t xml:space="preserve"> لِلْخِدْمَةِ الَّتِي كَانَ </w:t>
      </w:r>
      <w:r w:rsidRPr="00F543F1">
        <w:rPr>
          <w:rStyle w:val="libFootnotenumChar"/>
          <w:rtl/>
        </w:rPr>
        <w:t>(13)</w:t>
      </w:r>
      <w:r w:rsidRPr="00132E65">
        <w:rPr>
          <w:rtl/>
          <w:lang w:bidi="fa-IR"/>
        </w:rPr>
        <w:t xml:space="preserve"> و</w:t>
      </w:r>
      <w:r>
        <w:rPr>
          <w:rFonts w:hint="cs"/>
          <w:rtl/>
          <w:lang w:bidi="fa-IR"/>
        </w:rPr>
        <w:t>ُ</w:t>
      </w:r>
      <w:r w:rsidRPr="00132E65">
        <w:rPr>
          <w:rtl/>
          <w:lang w:bidi="fa-IR"/>
        </w:rPr>
        <w:t>كِّلَ بِهَا ، و</w:t>
      </w:r>
      <w:r>
        <w:rPr>
          <w:rFonts w:hint="cs"/>
          <w:rtl/>
          <w:lang w:bidi="fa-IR"/>
        </w:rPr>
        <w:t>َ</w:t>
      </w:r>
      <w:r w:rsidRPr="00132E65">
        <w:rPr>
          <w:rtl/>
          <w:lang w:bidi="fa-IR"/>
        </w:rPr>
        <w:t xml:space="preserve">كَانَ أَحْمَدُ بْنُ مُحَمَّدِ بْنِ عِيسى يَجِي‌ءُ فِي السَّحَرِ فِي </w:t>
      </w:r>
      <w:r w:rsidRPr="00F543F1">
        <w:rPr>
          <w:rStyle w:val="libFootnotenumChar"/>
          <w:rtl/>
        </w:rPr>
        <w:t>(14)</w:t>
      </w:r>
      <w:r w:rsidRPr="00132E65">
        <w:rPr>
          <w:rtl/>
          <w:lang w:bidi="fa-IR"/>
        </w:rPr>
        <w:t xml:space="preserve"> كُلِّ لَيْلَةٍ لِيَعْرِفَ </w:t>
      </w:r>
      <w:r w:rsidRPr="00F543F1">
        <w:rPr>
          <w:rStyle w:val="libFootnotenumChar"/>
          <w:rtl/>
        </w:rPr>
        <w:t>(15)</w:t>
      </w:r>
      <w:r w:rsidRPr="00132E65">
        <w:rPr>
          <w:rtl/>
          <w:lang w:bidi="fa-IR"/>
        </w:rPr>
        <w:t xml:space="preserve"> خَبَرَ عِلَّةِ أَبِي جَعْفَرٍ </w:t>
      </w:r>
      <w:r w:rsidRPr="00071CF9">
        <w:rPr>
          <w:rStyle w:val="libAlaemChar"/>
          <w:rtl/>
        </w:rPr>
        <w:t>عليه‌السلام</w:t>
      </w:r>
      <w:r w:rsidRPr="00132E65">
        <w:rPr>
          <w:rtl/>
          <w:lang w:bidi="fa-IR"/>
        </w:rPr>
        <w:t xml:space="preserve"> ، و</w:t>
      </w:r>
      <w:r>
        <w:rPr>
          <w:rFonts w:hint="cs"/>
          <w:rtl/>
          <w:lang w:bidi="fa-IR"/>
        </w:rPr>
        <w:t>َ</w:t>
      </w:r>
      <w:r w:rsidRPr="00132E65">
        <w:rPr>
          <w:rtl/>
          <w:lang w:bidi="fa-IR"/>
        </w:rPr>
        <w:t>كَانَ الرَّسُولُ</w:t>
      </w:r>
      <w:r>
        <w:rPr>
          <w:rtl/>
          <w:lang w:bidi="fa-IR"/>
        </w:rPr>
        <w:t xml:space="preserve"> - </w:t>
      </w:r>
      <w:r w:rsidRPr="00132E65">
        <w:rPr>
          <w:rtl/>
          <w:lang w:bidi="fa-IR"/>
        </w:rPr>
        <w:t>الَّذِي يَخْتَلِفُ بَيْنَ أَبِي جَعْفَرٍ و</w:t>
      </w:r>
      <w:r>
        <w:rPr>
          <w:rFonts w:hint="cs"/>
          <w:rtl/>
          <w:lang w:bidi="fa-IR"/>
        </w:rPr>
        <w:t xml:space="preserve">َ </w:t>
      </w:r>
      <w:r w:rsidRPr="00132E65">
        <w:rPr>
          <w:rtl/>
          <w:lang w:bidi="fa-IR"/>
        </w:rPr>
        <w:t>بَيْنَ أَبِي</w:t>
      </w:r>
      <w:r>
        <w:rPr>
          <w:rtl/>
          <w:lang w:bidi="fa-IR"/>
        </w:rPr>
        <w:t xml:space="preserve"> - </w:t>
      </w:r>
      <w:r w:rsidRPr="00132E65">
        <w:rPr>
          <w:rtl/>
          <w:lang w:bidi="fa-IR"/>
        </w:rPr>
        <w:t xml:space="preserve">إِذَا حَضَرَ ، قَامَ أَحْمَدُ </w:t>
      </w:r>
      <w:r w:rsidRPr="00F543F1">
        <w:rPr>
          <w:rStyle w:val="libFootnotenumChar"/>
          <w:rtl/>
        </w:rPr>
        <w:t>(16)</w:t>
      </w:r>
      <w:r w:rsidRPr="00132E65">
        <w:rPr>
          <w:rtl/>
          <w:lang w:bidi="fa-IR"/>
        </w:rPr>
        <w:t xml:space="preserve"> و</w:t>
      </w:r>
      <w:r>
        <w:rPr>
          <w:rFonts w:hint="cs"/>
          <w:rtl/>
          <w:lang w:bidi="fa-IR"/>
        </w:rPr>
        <w:t>َ</w:t>
      </w:r>
      <w:r w:rsidRPr="00132E65">
        <w:rPr>
          <w:rtl/>
          <w:lang w:bidi="fa-IR"/>
        </w:rPr>
        <w:t>خَلَا بِهِ أَبِي ،</w:t>
      </w:r>
    </w:p>
    <w:p w:rsidR="000C39D1" w:rsidRPr="00132E65" w:rsidRDefault="000C39D1" w:rsidP="000C39D1">
      <w:pPr>
        <w:pStyle w:val="libLine"/>
        <w:rPr>
          <w:rtl/>
          <w:lang w:bidi="fa-IR"/>
        </w:rPr>
      </w:pPr>
      <w:r w:rsidRPr="00132E65">
        <w:rPr>
          <w:rtl/>
          <w:lang w:bidi="fa-IR"/>
        </w:rPr>
        <w:t>__________________</w:t>
      </w:r>
    </w:p>
    <w:p w:rsidR="000C39D1" w:rsidRDefault="000C39D1" w:rsidP="000C39D1">
      <w:pPr>
        <w:pStyle w:val="libFootnote0"/>
        <w:rPr>
          <w:rtl/>
        </w:rPr>
      </w:pPr>
      <w:r>
        <w:rPr>
          <w:rtl/>
        </w:rPr>
        <w:t>(1). في الإرشاد : « لم</w:t>
      </w:r>
      <w:r>
        <w:rPr>
          <w:rFonts w:hint="cs"/>
          <w:rtl/>
        </w:rPr>
        <w:t>ـّ</w:t>
      </w:r>
      <w:r w:rsidRPr="00132E65">
        <w:rPr>
          <w:rtl/>
        </w:rPr>
        <w:t>ا ا</w:t>
      </w:r>
      <w:r>
        <w:rPr>
          <w:rFonts w:hint="cs"/>
          <w:rtl/>
        </w:rPr>
        <w:t>ُ</w:t>
      </w:r>
      <w:r w:rsidRPr="00132E65">
        <w:rPr>
          <w:rtl/>
        </w:rPr>
        <w:t>خرج »</w:t>
      </w:r>
      <w:r>
        <w:rPr>
          <w:rtl/>
        </w:rPr>
        <w:t>.</w:t>
      </w:r>
    </w:p>
    <w:p w:rsidR="000C39D1" w:rsidRPr="00132E65" w:rsidRDefault="000C39D1" w:rsidP="000C39D1">
      <w:pPr>
        <w:pStyle w:val="libFootnote0"/>
        <w:rPr>
          <w:rtl/>
          <w:lang w:bidi="fa-IR"/>
        </w:rPr>
      </w:pPr>
      <w:r>
        <w:rPr>
          <w:rtl/>
        </w:rPr>
        <w:t>(2).</w:t>
      </w:r>
      <w:r w:rsidRPr="00132E65">
        <w:rPr>
          <w:rtl/>
        </w:rPr>
        <w:t xml:space="preserve"> في الإرشاد : « الأوّلة »</w:t>
      </w:r>
      <w:r>
        <w:rPr>
          <w:rtl/>
        </w:rPr>
        <w:t>.</w:t>
      </w:r>
    </w:p>
    <w:p w:rsidR="000C39D1" w:rsidRPr="00132E65" w:rsidRDefault="000C39D1" w:rsidP="000C39D1">
      <w:pPr>
        <w:pStyle w:val="libFootnote0"/>
        <w:rPr>
          <w:rtl/>
          <w:lang w:bidi="fa-IR"/>
        </w:rPr>
      </w:pPr>
      <w:r>
        <w:rPr>
          <w:rtl/>
        </w:rPr>
        <w:t>(3).</w:t>
      </w:r>
      <w:r w:rsidRPr="00132E65">
        <w:rPr>
          <w:rtl/>
        </w:rPr>
        <w:t xml:space="preserve"> في « ض » : « من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ف » : « الموضع »</w:t>
            </w:r>
            <w:r>
              <w:rPr>
                <w:rtl/>
              </w:rPr>
              <w:t>.</w:t>
            </w:r>
          </w:p>
        </w:tc>
        <w:tc>
          <w:tcPr>
            <w:tcW w:w="4006" w:type="dxa"/>
          </w:tcPr>
          <w:p w:rsidR="000C39D1" w:rsidRDefault="000C39D1" w:rsidP="00B53873">
            <w:pPr>
              <w:pStyle w:val="libFootnote0"/>
              <w:rPr>
                <w:rtl/>
              </w:rPr>
            </w:pPr>
            <w:r>
              <w:rPr>
                <w:rtl/>
              </w:rPr>
              <w:t>(5).</w:t>
            </w:r>
            <w:r w:rsidRPr="00132E65">
              <w:rPr>
                <w:rtl/>
              </w:rPr>
              <w:t xml:space="preserve"> في « ه‍ » والإرشاد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(6).</w:t>
      </w:r>
      <w:r w:rsidRPr="00132E65">
        <w:rPr>
          <w:rtl/>
        </w:rPr>
        <w:t xml:space="preserve"> « كرّ » أي عطف. </w:t>
      </w:r>
      <w:r w:rsidRPr="006612CA">
        <w:rPr>
          <w:rtl/>
        </w:rPr>
        <w:t>القاموس المحيط</w:t>
      </w:r>
      <w:r w:rsidRPr="00132E65">
        <w:rPr>
          <w:rtl/>
        </w:rPr>
        <w:t xml:space="preserve"> ، ج 1 ، ص 652 ( كرّ )</w:t>
      </w:r>
      <w:r>
        <w:rPr>
          <w:rtl/>
        </w:rPr>
        <w:t>.</w:t>
      </w:r>
    </w:p>
    <w:p w:rsidR="000C39D1" w:rsidRPr="00132E65" w:rsidRDefault="000C39D1" w:rsidP="00D03C29">
      <w:pPr>
        <w:pStyle w:val="libFootnote0"/>
        <w:rPr>
          <w:rtl/>
          <w:lang w:bidi="fa-IR"/>
        </w:rPr>
      </w:pPr>
      <w:r>
        <w:rPr>
          <w:rtl/>
        </w:rPr>
        <w:t>(7).</w:t>
      </w:r>
      <w:r w:rsidRPr="00132E65">
        <w:rPr>
          <w:rtl/>
        </w:rPr>
        <w:t xml:space="preserve"> في « ف ، بح ، بس ، بف » والإرشاد </w:t>
      </w:r>
      <w:r>
        <w:rPr>
          <w:rtl/>
        </w:rPr>
        <w:t xml:space="preserve">: - </w:t>
      </w:r>
      <w:r w:rsidRPr="00132E65">
        <w:rPr>
          <w:rtl/>
        </w:rPr>
        <w:t>« الغيبة »</w:t>
      </w:r>
      <w:r>
        <w:rPr>
          <w:rtl/>
        </w:rPr>
        <w:t>.</w:t>
      </w:r>
      <w:r w:rsidRPr="00132E65">
        <w:rPr>
          <w:rtl/>
        </w:rPr>
        <w:t xml:space="preserve"> وفي « ه‍ </w:t>
      </w:r>
      <w:r w:rsidR="00D03C29" w:rsidRPr="00132E65">
        <w:rPr>
          <w:rtl/>
        </w:rPr>
        <w:t>»</w:t>
      </w:r>
      <w:r w:rsidRPr="00132E65">
        <w:rPr>
          <w:rtl/>
        </w:rPr>
        <w:t xml:space="preserve"> : « الفتنة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الإرشاد : « فلمّا استُدعي »</w:t>
            </w:r>
            <w:r>
              <w:rPr>
                <w:rtl/>
              </w:rPr>
              <w:t>.</w:t>
            </w:r>
          </w:p>
        </w:tc>
        <w:tc>
          <w:tcPr>
            <w:tcW w:w="4006" w:type="dxa"/>
          </w:tcPr>
          <w:p w:rsidR="000C39D1" w:rsidRDefault="000C39D1" w:rsidP="00B53873">
            <w:pPr>
              <w:pStyle w:val="libFootnote0"/>
              <w:rPr>
                <w:rtl/>
              </w:rPr>
            </w:pPr>
            <w:r>
              <w:rPr>
                <w:rtl/>
              </w:rPr>
              <w:t>(9).</w:t>
            </w:r>
            <w:r w:rsidRPr="00132E65">
              <w:rPr>
                <w:rtl/>
              </w:rPr>
              <w:t xml:space="preserve"> في « ه‍ » :</w:t>
            </w:r>
            <w:r>
              <w:rPr>
                <w:rtl/>
              </w:rPr>
              <w:t xml:space="preserve"> + </w:t>
            </w:r>
            <w:r w:rsidRPr="00132E65">
              <w:rPr>
                <w:rtl/>
              </w:rPr>
              <w:t>« قال »</w:t>
            </w:r>
            <w:r>
              <w:rPr>
                <w:rtl/>
              </w:rPr>
              <w:t>.</w:t>
            </w:r>
          </w:p>
        </w:tc>
      </w:tr>
    </w:tbl>
    <w:p w:rsidR="000C39D1" w:rsidRPr="00132E65" w:rsidRDefault="000C39D1" w:rsidP="00D03C29">
      <w:pPr>
        <w:pStyle w:val="libFootnote0"/>
        <w:rPr>
          <w:rtl/>
          <w:lang w:bidi="fa-IR"/>
        </w:rPr>
      </w:pPr>
      <w:r>
        <w:rPr>
          <w:rtl/>
        </w:rPr>
        <w:t>(10).</w:t>
      </w:r>
      <w:r w:rsidRPr="00132E65">
        <w:rPr>
          <w:rtl/>
        </w:rPr>
        <w:t xml:space="preserve"> في « ه‍ </w:t>
      </w:r>
      <w:r w:rsidR="00D03C29" w:rsidRPr="00132E65">
        <w:rPr>
          <w:rtl/>
        </w:rPr>
        <w:t>»</w:t>
      </w:r>
      <w:r w:rsidRPr="00132E65">
        <w:rPr>
          <w:rtl/>
        </w:rPr>
        <w:t xml:space="preserve"> : « خضبت »</w:t>
      </w:r>
      <w:r>
        <w:rPr>
          <w:rtl/>
        </w:rPr>
        <w:t>.</w:t>
      </w:r>
      <w:r w:rsidRPr="00132E65">
        <w:rPr>
          <w:rtl/>
        </w:rPr>
        <w:t xml:space="preserve"> وقوله : « اخضلّت » ، أي ابتلّت. راجع : </w:t>
      </w:r>
      <w:r w:rsidRPr="006612CA">
        <w:rPr>
          <w:rtl/>
        </w:rPr>
        <w:t>الصحاح</w:t>
      </w:r>
      <w:r w:rsidRPr="00132E65">
        <w:rPr>
          <w:rtl/>
        </w:rPr>
        <w:t xml:space="preserve"> ، ج 4 ، ص 1685 ( خضل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6612CA">
        <w:rPr>
          <w:rtl/>
        </w:rPr>
        <w:t>شرح المازندراني</w:t>
      </w:r>
      <w:r w:rsidRPr="00132E65">
        <w:rPr>
          <w:rtl/>
        </w:rPr>
        <w:t xml:space="preserve"> ، ج 6 ، ص 198 : « تخاف ، إمّا بتاء الخطاب ، أو بالياء المضمومة »</w:t>
      </w:r>
      <w:r>
        <w:rPr>
          <w:rtl/>
        </w:rPr>
        <w:t>.</w:t>
      </w:r>
    </w:p>
    <w:p w:rsidR="000C39D1" w:rsidRPr="00132E65" w:rsidRDefault="000C39D1" w:rsidP="000C39D1">
      <w:pPr>
        <w:pStyle w:val="libFootnote0"/>
        <w:rPr>
          <w:rtl/>
          <w:lang w:bidi="fa-IR"/>
        </w:rPr>
      </w:pPr>
      <w:r>
        <w:rPr>
          <w:rtl/>
        </w:rPr>
        <w:t>(12).</w:t>
      </w:r>
      <w:r w:rsidRPr="00132E65">
        <w:rPr>
          <w:rtl/>
        </w:rPr>
        <w:t xml:space="preserve"> </w:t>
      </w:r>
      <w:r w:rsidRPr="006612CA">
        <w:rPr>
          <w:rtl/>
        </w:rPr>
        <w:t>الإرشاد</w:t>
      </w:r>
      <w:r w:rsidRPr="00132E65">
        <w:rPr>
          <w:rtl/>
        </w:rPr>
        <w:t xml:space="preserve"> ، ج 2 ، ص 298 ، بسنده عن الكليني </w:t>
      </w:r>
      <w:r>
        <w:rPr>
          <w:rFonts w:hint="cs"/>
          <w:rtl/>
        </w:rPr>
        <w:t>.</w:t>
      </w:r>
      <w:r w:rsidRPr="009D1ACE">
        <w:rPr>
          <w:rStyle w:val="libFootnoteBoldChar"/>
          <w:rtl/>
        </w:rPr>
        <w:t>الوافي</w:t>
      </w:r>
      <w:r w:rsidRPr="00132E65">
        <w:rPr>
          <w:rtl/>
        </w:rPr>
        <w:t xml:space="preserve"> ، ج 2 ، ص 382 ، ح 866.</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(13)</w:t>
            </w:r>
            <w:r w:rsidRPr="00132E65">
              <w:rPr>
                <w:rtl/>
              </w:rPr>
              <w:t xml:space="preserve"> في « بف » وشرح المازندراني </w:t>
            </w:r>
            <w:r>
              <w:rPr>
                <w:rtl/>
              </w:rPr>
              <w:t xml:space="preserve">: - </w:t>
            </w:r>
            <w:r w:rsidRPr="00132E65">
              <w:rPr>
                <w:rtl/>
              </w:rPr>
              <w:t>« كان »</w:t>
            </w:r>
            <w:r>
              <w:rPr>
                <w:rtl/>
              </w:rPr>
              <w:t>.</w:t>
            </w:r>
          </w:p>
        </w:tc>
        <w:tc>
          <w:tcPr>
            <w:tcW w:w="4006" w:type="dxa"/>
          </w:tcPr>
          <w:p w:rsidR="000C39D1" w:rsidRDefault="000C39D1" w:rsidP="00B53873">
            <w:pPr>
              <w:pStyle w:val="libFootnote0"/>
              <w:rPr>
                <w:rtl/>
              </w:rPr>
            </w:pPr>
            <w:r>
              <w:rPr>
                <w:rtl/>
              </w:rPr>
              <w:t>(14)</w:t>
            </w:r>
            <w:r w:rsidRPr="00132E65">
              <w:rPr>
                <w:rtl/>
              </w:rPr>
              <w:t xml:space="preserve"> في « بح » </w:t>
            </w:r>
            <w:r>
              <w:rPr>
                <w:rtl/>
              </w:rPr>
              <w:t xml:space="preserve">: - </w:t>
            </w:r>
            <w:r w:rsidRPr="00132E65">
              <w:rPr>
                <w:rtl/>
              </w:rPr>
              <w:t>« في »</w:t>
            </w:r>
            <w:r>
              <w:rPr>
                <w:rtl/>
              </w:rPr>
              <w:t>.</w:t>
            </w:r>
          </w:p>
        </w:tc>
      </w:tr>
      <w:tr w:rsidR="000C39D1" w:rsidTr="00B53873">
        <w:tc>
          <w:tcPr>
            <w:tcW w:w="4006" w:type="dxa"/>
          </w:tcPr>
          <w:p w:rsidR="000C39D1" w:rsidRDefault="000C39D1" w:rsidP="00B53873">
            <w:pPr>
              <w:pStyle w:val="libFootnote0"/>
              <w:rPr>
                <w:rtl/>
              </w:rPr>
            </w:pPr>
            <w:r>
              <w:rPr>
                <w:rtl/>
              </w:rPr>
              <w:t>(15)</w:t>
            </w:r>
            <w:r w:rsidRPr="00132E65">
              <w:rPr>
                <w:rtl/>
              </w:rPr>
              <w:t xml:space="preserve"> في « بف » والإرشاد : « ليتعرّف »</w:t>
            </w:r>
            <w:r>
              <w:rPr>
                <w:rtl/>
              </w:rPr>
              <w:t>.</w:t>
            </w:r>
          </w:p>
        </w:tc>
        <w:tc>
          <w:tcPr>
            <w:tcW w:w="4006" w:type="dxa"/>
          </w:tcPr>
          <w:p w:rsidR="000C39D1" w:rsidRDefault="000C39D1" w:rsidP="00B53873">
            <w:pPr>
              <w:pStyle w:val="libFootnote0"/>
              <w:rPr>
                <w:rtl/>
              </w:rPr>
            </w:pPr>
            <w:r>
              <w:rPr>
                <w:rtl/>
              </w:rPr>
              <w:t>(16)</w:t>
            </w:r>
            <w:r w:rsidRPr="00132E65">
              <w:rPr>
                <w:rtl/>
              </w:rPr>
              <w:t xml:space="preserve"> في « بح » :</w:t>
            </w:r>
            <w:r>
              <w:rPr>
                <w:rtl/>
              </w:rPr>
              <w:t xml:space="preserve"> + </w:t>
            </w:r>
            <w:r w:rsidRPr="00132E65">
              <w:rPr>
                <w:rtl/>
              </w:rPr>
              <w:t>« بن محمّد بن عيسى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فَخَرَجْتُ </w:t>
      </w:r>
      <w:r>
        <w:rPr>
          <w:rStyle w:val="libFootnotenumChar"/>
          <w:rtl/>
        </w:rPr>
        <w:t>(1)</w:t>
      </w:r>
      <w:r w:rsidRPr="00132E65">
        <w:rPr>
          <w:rtl/>
          <w:lang w:bidi="fa-IR"/>
        </w:rPr>
        <w:t xml:space="preserve"> ذَاتَ لَيْلَةٍ ، و</w:t>
      </w:r>
      <w:r>
        <w:rPr>
          <w:rFonts w:hint="cs"/>
          <w:rtl/>
          <w:lang w:bidi="fa-IR"/>
        </w:rPr>
        <w:t>َ</w:t>
      </w:r>
      <w:r w:rsidRPr="00132E65">
        <w:rPr>
          <w:rtl/>
          <w:lang w:bidi="fa-IR"/>
        </w:rPr>
        <w:t xml:space="preserve">قَامَ </w:t>
      </w:r>
      <w:r>
        <w:rPr>
          <w:rStyle w:val="libFootnotenumChar"/>
          <w:rtl/>
        </w:rPr>
        <w:t>(2)</w:t>
      </w:r>
      <w:r w:rsidRPr="00132E65">
        <w:rPr>
          <w:rtl/>
          <w:lang w:bidi="fa-IR"/>
        </w:rPr>
        <w:t xml:space="preserve"> أَحْمَدُ عَنِ </w:t>
      </w:r>
      <w:r>
        <w:rPr>
          <w:rStyle w:val="libFootnotenumChar"/>
          <w:rtl/>
        </w:rPr>
        <w:t>(3)</w:t>
      </w:r>
      <w:r w:rsidRPr="00132E65">
        <w:rPr>
          <w:rtl/>
          <w:lang w:bidi="fa-IR"/>
        </w:rPr>
        <w:t xml:space="preserve"> الْمَجْلِسِ و</w:t>
      </w:r>
      <w:r>
        <w:rPr>
          <w:rFonts w:hint="cs"/>
          <w:rtl/>
          <w:lang w:bidi="fa-IR"/>
        </w:rPr>
        <w:t>َ</w:t>
      </w:r>
      <w:r w:rsidRPr="00132E65">
        <w:rPr>
          <w:rtl/>
          <w:lang w:bidi="fa-IR"/>
        </w:rPr>
        <w:t>خَلَا أَبِي بِالرَّسُولِ ، و</w:t>
      </w:r>
      <w:r>
        <w:rPr>
          <w:rFonts w:hint="cs"/>
          <w:rtl/>
          <w:lang w:bidi="fa-IR"/>
        </w:rPr>
        <w:t xml:space="preserve">َ </w:t>
      </w:r>
      <w:r w:rsidRPr="00132E65">
        <w:rPr>
          <w:rtl/>
          <w:lang w:bidi="fa-IR"/>
        </w:rPr>
        <w:t>اسْتَدَارَ أَحْمَدُ ، فَوَقَفَ حَيْثُ يَسْمَعُ الْكَلَامَ ، فَقَالَ الرَّسُولُ لِأَبِي : إِنَّ مَوْلَاكَ يَقْرَأُ عَلَيْكَ السَّلَامَ ، وَيَقُولُ لَكَ : « إِنِّي مَاضٍ و</w:t>
      </w:r>
      <w:r>
        <w:rPr>
          <w:rFonts w:hint="cs"/>
          <w:rtl/>
          <w:lang w:bidi="fa-IR"/>
        </w:rPr>
        <w:t xml:space="preserve">َ </w:t>
      </w:r>
      <w:r w:rsidRPr="00132E65">
        <w:rPr>
          <w:rtl/>
          <w:lang w:bidi="fa-IR"/>
        </w:rPr>
        <w:t>الْأَمْرُ صَائِرٌ إِلَى ابْنِي عَلِيٍّ ، و</w:t>
      </w:r>
      <w:r>
        <w:rPr>
          <w:rFonts w:hint="cs"/>
          <w:rtl/>
          <w:lang w:bidi="fa-IR"/>
        </w:rPr>
        <w:t xml:space="preserve">َ </w:t>
      </w:r>
      <w:r w:rsidRPr="00132E65">
        <w:rPr>
          <w:rtl/>
          <w:lang w:bidi="fa-IR"/>
        </w:rPr>
        <w:t>لَهُ عَلَيْكُمْ بَعْدِي مَا كَانَ لِي عَلَيْكُمْ بَعْدَ أَبِي » ثُمَّ مَضَى الرَّسُولُ و</w:t>
      </w:r>
      <w:r>
        <w:rPr>
          <w:rFonts w:hint="cs"/>
          <w:rtl/>
          <w:lang w:bidi="fa-IR"/>
        </w:rPr>
        <w:t xml:space="preserve">َ </w:t>
      </w:r>
      <w:r w:rsidRPr="00132E65">
        <w:rPr>
          <w:rtl/>
          <w:lang w:bidi="fa-IR"/>
        </w:rPr>
        <w:t>رَجَعَ أَحْمَدُ إِلى مَوْضِعِهِ ، و</w:t>
      </w:r>
      <w:r>
        <w:rPr>
          <w:rFonts w:hint="cs"/>
          <w:rtl/>
          <w:lang w:bidi="fa-IR"/>
        </w:rPr>
        <w:t xml:space="preserve">َ </w:t>
      </w:r>
      <w:r w:rsidRPr="00132E65">
        <w:rPr>
          <w:rtl/>
          <w:lang w:bidi="fa-IR"/>
        </w:rPr>
        <w:t>قَالَ لِأَبِي : مَا الَّذِي قَدْ قَالَ لَكَ</w:t>
      </w:r>
      <w:r>
        <w:rPr>
          <w:rtl/>
          <w:lang w:bidi="fa-IR"/>
        </w:rPr>
        <w:t>؟</w:t>
      </w:r>
      <w:r w:rsidRPr="00132E65">
        <w:rPr>
          <w:rtl/>
          <w:lang w:bidi="fa-IR"/>
        </w:rPr>
        <w:t xml:space="preserve"> قَالَ : خَيْراً </w:t>
      </w:r>
      <w:r>
        <w:rPr>
          <w:rStyle w:val="libFootnotenumChar"/>
          <w:rtl/>
        </w:rPr>
        <w:t>(4)</w:t>
      </w:r>
      <w:r w:rsidRPr="00132E65">
        <w:rPr>
          <w:rtl/>
          <w:lang w:bidi="fa-IR"/>
        </w:rPr>
        <w:t xml:space="preserve"> قَالَ : قَدْ سَمِعْتُ مَا قَالَ </w:t>
      </w:r>
      <w:r>
        <w:rPr>
          <w:rStyle w:val="libFootnotenumChar"/>
          <w:rtl/>
        </w:rPr>
        <w:t>(5)</w:t>
      </w:r>
      <w:r w:rsidRPr="00132E65">
        <w:rPr>
          <w:rtl/>
          <w:lang w:bidi="fa-IR"/>
        </w:rPr>
        <w:t xml:space="preserve"> فَلِمَ تَكْتُمُهُ</w:t>
      </w:r>
      <w:r>
        <w:rPr>
          <w:rtl/>
          <w:lang w:bidi="fa-IR"/>
        </w:rPr>
        <w:t>؟</w:t>
      </w:r>
      <w:r w:rsidRPr="00132E65">
        <w:rPr>
          <w:rtl/>
          <w:lang w:bidi="fa-IR"/>
        </w:rPr>
        <w:t xml:space="preserve"> و</w:t>
      </w:r>
      <w:r>
        <w:rPr>
          <w:rFonts w:hint="cs"/>
          <w:rtl/>
          <w:lang w:bidi="fa-IR"/>
        </w:rPr>
        <w:t xml:space="preserve">َ </w:t>
      </w:r>
      <w:r w:rsidRPr="00132E65">
        <w:rPr>
          <w:rtl/>
          <w:lang w:bidi="fa-IR"/>
        </w:rPr>
        <w:t xml:space="preserve">أَعَادَ </w:t>
      </w:r>
      <w:r>
        <w:rPr>
          <w:rStyle w:val="libFootnotenumChar"/>
          <w:rtl/>
        </w:rPr>
        <w:t>(6)</w:t>
      </w:r>
      <w:r w:rsidRPr="00132E65">
        <w:rPr>
          <w:rtl/>
          <w:lang w:bidi="fa-IR"/>
        </w:rPr>
        <w:t xml:space="preserve"> مَا سَمِعَ ، فَقَالَ لَهُ أَبِي : قَدْ حَرَّمَ اللهُ عَلَيْكَ مَا فَعَلْتَ ؛ لِأَنَّ اللهَ تَعَالى يَقُولُ : </w:t>
      </w:r>
      <w:r w:rsidRPr="00071CF9">
        <w:rPr>
          <w:rStyle w:val="libAlaemChar"/>
          <w:rtl/>
        </w:rPr>
        <w:t>(</w:t>
      </w:r>
      <w:r w:rsidRPr="00071CF9">
        <w:rPr>
          <w:rStyle w:val="libAieChar"/>
          <w:rtl/>
        </w:rPr>
        <w:t xml:space="preserve"> وَلا تَجَسَّسُوا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فَاحْفَظِ الشَّهَادَةَ ، لَعَلَّنَا نَحْتَاجُ إِلَيْهَا يَوْماً مَا </w:t>
      </w:r>
      <w:r>
        <w:rPr>
          <w:rStyle w:val="libFootnotenumChar"/>
          <w:rtl/>
        </w:rPr>
        <w:t>(8)</w:t>
      </w:r>
      <w:r w:rsidRPr="00132E65">
        <w:rPr>
          <w:rtl/>
          <w:lang w:bidi="fa-IR"/>
        </w:rPr>
        <w:t xml:space="preserve"> ، و</w:t>
      </w:r>
      <w:r>
        <w:rPr>
          <w:rFonts w:hint="cs"/>
          <w:rtl/>
          <w:lang w:bidi="fa-IR"/>
        </w:rPr>
        <w:t>َ</w:t>
      </w:r>
      <w:r w:rsidRPr="00132E65">
        <w:rPr>
          <w:rtl/>
          <w:lang w:bidi="fa-IR"/>
        </w:rPr>
        <w:t>إِيَّاكَ أَنْ تُظْهِرَهَا إِلى و</w:t>
      </w:r>
      <w:r>
        <w:rPr>
          <w:rFonts w:hint="cs"/>
          <w:rtl/>
          <w:lang w:bidi="fa-IR"/>
        </w:rPr>
        <w:t>َ</w:t>
      </w:r>
      <w:r w:rsidRPr="00132E65">
        <w:rPr>
          <w:rtl/>
          <w:lang w:bidi="fa-IR"/>
        </w:rPr>
        <w:t>قْتِهَا.</w:t>
      </w:r>
    </w:p>
    <w:p w:rsidR="000C39D1" w:rsidRPr="00132E65" w:rsidRDefault="000C39D1" w:rsidP="000C39D1">
      <w:pPr>
        <w:pStyle w:val="libNormal"/>
        <w:rPr>
          <w:rtl/>
          <w:lang w:bidi="fa-IR"/>
        </w:rPr>
      </w:pPr>
      <w:r w:rsidRPr="00132E65">
        <w:rPr>
          <w:rtl/>
          <w:lang w:bidi="fa-IR"/>
        </w:rPr>
        <w:t>فَلَمَّا أَصْبَحَ أَبِي ، كَتَبَ نُسْخَةَ الرِّسَالَةِ فِي عَشْرِ رِقَاعٍ ، و</w:t>
      </w:r>
      <w:r>
        <w:rPr>
          <w:rFonts w:hint="cs"/>
          <w:rtl/>
          <w:lang w:bidi="fa-IR"/>
        </w:rPr>
        <w:t xml:space="preserve">َ </w:t>
      </w:r>
      <w:r w:rsidRPr="00132E65">
        <w:rPr>
          <w:rtl/>
          <w:lang w:bidi="fa-IR"/>
        </w:rPr>
        <w:t>خَتَمَهَا ، و</w:t>
      </w:r>
      <w:r>
        <w:rPr>
          <w:rFonts w:hint="cs"/>
          <w:rtl/>
          <w:lang w:bidi="fa-IR"/>
        </w:rPr>
        <w:t xml:space="preserve">َ </w:t>
      </w:r>
      <w:r w:rsidRPr="00132E65">
        <w:rPr>
          <w:rtl/>
          <w:lang w:bidi="fa-IR"/>
        </w:rPr>
        <w:t xml:space="preserve">دَفَعَهَا إِلى </w:t>
      </w:r>
      <w:r>
        <w:rPr>
          <w:rStyle w:val="libFootnotenumChar"/>
          <w:rtl/>
        </w:rPr>
        <w:t>(9)</w:t>
      </w:r>
      <w:r w:rsidRPr="00132E65">
        <w:rPr>
          <w:rtl/>
          <w:lang w:bidi="fa-IR"/>
        </w:rPr>
        <w:t xml:space="preserve"> عَشْرَةٍ مِنْ و</w:t>
      </w:r>
      <w:r>
        <w:rPr>
          <w:rFonts w:hint="cs"/>
          <w:rtl/>
          <w:lang w:bidi="fa-IR"/>
        </w:rPr>
        <w:t>ُ</w:t>
      </w:r>
      <w:r w:rsidRPr="00132E65">
        <w:rPr>
          <w:rtl/>
          <w:lang w:bidi="fa-IR"/>
        </w:rPr>
        <w:t xml:space="preserve">جُوهِ الْعِصَابَةِ </w:t>
      </w:r>
      <w:r>
        <w:rPr>
          <w:rStyle w:val="libFootnotenumChar"/>
          <w:rtl/>
        </w:rPr>
        <w:t>(10)</w:t>
      </w:r>
      <w:r w:rsidRPr="00132E65">
        <w:rPr>
          <w:rtl/>
          <w:lang w:bidi="fa-IR"/>
        </w:rPr>
        <w:t xml:space="preserve"> ، و</w:t>
      </w:r>
      <w:r>
        <w:rPr>
          <w:rFonts w:hint="cs"/>
          <w:rtl/>
          <w:lang w:bidi="fa-IR"/>
        </w:rPr>
        <w:t xml:space="preserve">َ </w:t>
      </w:r>
      <w:r w:rsidRPr="00132E65">
        <w:rPr>
          <w:rtl/>
          <w:lang w:bidi="fa-IR"/>
        </w:rPr>
        <w:t xml:space="preserve">قَالَ : إِنْ حَدَثَ </w:t>
      </w:r>
      <w:r>
        <w:rPr>
          <w:rStyle w:val="libFootnotenumChar"/>
          <w:rtl/>
        </w:rPr>
        <w:t>(11)</w:t>
      </w:r>
      <w:r w:rsidRPr="00132E65">
        <w:rPr>
          <w:rtl/>
          <w:lang w:bidi="fa-IR"/>
        </w:rPr>
        <w:t xml:space="preserve"> بِي حَدَثُ الْمَوْتِ قَبْلَ أَنْ أُطَالِبَكُمْ بِهَا </w:t>
      </w:r>
      <w:r>
        <w:rPr>
          <w:rStyle w:val="libFootnotenumChar"/>
          <w:rtl/>
        </w:rPr>
        <w:t>(12)</w:t>
      </w:r>
      <w:r w:rsidRPr="00132E65">
        <w:rPr>
          <w:rtl/>
          <w:lang w:bidi="fa-IR"/>
        </w:rPr>
        <w:t xml:space="preserve"> فَافْتَحُوهَا ، و</w:t>
      </w:r>
      <w:r>
        <w:rPr>
          <w:rFonts w:hint="cs"/>
          <w:rtl/>
          <w:lang w:bidi="fa-IR"/>
        </w:rPr>
        <w:t xml:space="preserve">َ </w:t>
      </w:r>
      <w:r w:rsidRPr="00132E65">
        <w:rPr>
          <w:rtl/>
          <w:lang w:bidi="fa-IR"/>
        </w:rPr>
        <w:t xml:space="preserve">اعْمَلُوا </w:t>
      </w:r>
      <w:r w:rsidRPr="00F543F1">
        <w:rPr>
          <w:rStyle w:val="libFootnotenumChar"/>
          <w:rtl/>
        </w:rPr>
        <w:t>(13)</w:t>
      </w:r>
      <w:r w:rsidRPr="00132E65">
        <w:rPr>
          <w:rtl/>
          <w:lang w:bidi="fa-IR"/>
        </w:rPr>
        <w:t xml:space="preserve"> بِمَا فِيهَا ، فَلَمَّا مَضى أَبُو جَعْفَرٍ </w:t>
      </w:r>
      <w:r w:rsidRPr="00071CF9">
        <w:rPr>
          <w:rStyle w:val="libAlaemChar"/>
          <w:rtl/>
        </w:rPr>
        <w:t>عليه‌السلام</w:t>
      </w:r>
      <w:r w:rsidRPr="00132E65">
        <w:rPr>
          <w:rtl/>
          <w:lang w:bidi="fa-IR"/>
        </w:rPr>
        <w:t xml:space="preserve"> ، ذَكَرَ أَبِي أَنَّهُ لَمْ يَخْرُجْ </w:t>
      </w:r>
      <w:r w:rsidRPr="00F543F1">
        <w:rPr>
          <w:rStyle w:val="libFootnotenumChar"/>
          <w:rtl/>
        </w:rPr>
        <w:t>(14)</w:t>
      </w:r>
      <w:r w:rsidRPr="00132E65">
        <w:rPr>
          <w:rtl/>
          <w:lang w:bidi="fa-IR"/>
        </w:rPr>
        <w:t xml:space="preserve"> مِنْ مَنْزِلِهِ حَتّى قَطَعَ عَلى يَدَيْهِ </w:t>
      </w:r>
      <w:r w:rsidRPr="00F543F1">
        <w:rPr>
          <w:rStyle w:val="libFootnotenumChar"/>
          <w:rtl/>
        </w:rPr>
        <w:t>(15)</w:t>
      </w:r>
      <w:r w:rsidRPr="00132E65">
        <w:rPr>
          <w:rtl/>
          <w:lang w:bidi="fa-IR"/>
        </w:rPr>
        <w:t xml:space="preserve"> نَحْوٌ مِنْ أَرْبَعِمِائَةِ إِنْسَانٍ ، و</w:t>
      </w:r>
      <w:r>
        <w:rPr>
          <w:rFonts w:hint="cs"/>
          <w:rtl/>
          <w:lang w:bidi="fa-IR"/>
        </w:rPr>
        <w:t xml:space="preserve">َ </w:t>
      </w:r>
      <w:r w:rsidRPr="00132E65">
        <w:rPr>
          <w:rtl/>
          <w:lang w:bidi="fa-IR"/>
        </w:rPr>
        <w:t>اجْتَمَعَ رُؤَسَاءُ الْعِصَابَةِ‌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ض ، ف ، ه‍ ، بر ، بس ، بف » وحاشية « بح » وشرح المازندراني : « فخرج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 ج » : « فقام »</w:t>
            </w:r>
            <w:r>
              <w:rPr>
                <w:rtl/>
              </w:rPr>
              <w:t>.</w:t>
            </w:r>
          </w:p>
        </w:tc>
        <w:tc>
          <w:tcPr>
            <w:tcW w:w="4006" w:type="dxa"/>
          </w:tcPr>
          <w:p w:rsidR="000C39D1" w:rsidRDefault="000C39D1" w:rsidP="00B53873">
            <w:pPr>
              <w:pStyle w:val="libFootnote0"/>
              <w:rPr>
                <w:rtl/>
              </w:rPr>
            </w:pPr>
            <w:r>
              <w:rPr>
                <w:rtl/>
              </w:rPr>
              <w:t>(3).</w:t>
            </w:r>
            <w:r w:rsidRPr="00132E65">
              <w:rPr>
                <w:rtl/>
              </w:rPr>
              <w:t xml:space="preserve"> في « ف » : « من »</w:t>
            </w:r>
            <w:r>
              <w:rPr>
                <w:rtl/>
              </w:rPr>
              <w:t>.</w:t>
            </w:r>
          </w:p>
        </w:tc>
      </w:tr>
      <w:tr w:rsidR="000C39D1" w:rsidTr="00B53873">
        <w:tc>
          <w:tcPr>
            <w:tcW w:w="4006" w:type="dxa"/>
          </w:tcPr>
          <w:p w:rsidR="000C39D1" w:rsidRDefault="000C39D1" w:rsidP="00B53873">
            <w:pPr>
              <w:pStyle w:val="libFootnote0"/>
              <w:rPr>
                <w:rtl/>
              </w:rPr>
            </w:pPr>
            <w:r>
              <w:rPr>
                <w:rtl/>
              </w:rPr>
              <w:t>(4).</w:t>
            </w:r>
            <w:r w:rsidRPr="00132E65">
              <w:rPr>
                <w:rtl/>
              </w:rPr>
              <w:t xml:space="preserve"> في « ه‍ » : « خيرٌ »</w:t>
            </w:r>
            <w:r>
              <w:rPr>
                <w:rtl/>
              </w:rPr>
              <w:t>.</w:t>
            </w:r>
          </w:p>
        </w:tc>
        <w:tc>
          <w:tcPr>
            <w:tcW w:w="4006" w:type="dxa"/>
          </w:tcPr>
          <w:p w:rsidR="000C39D1" w:rsidRDefault="000C39D1" w:rsidP="00B53873">
            <w:pPr>
              <w:pStyle w:val="libFootnote0"/>
              <w:rPr>
                <w:rtl/>
              </w:rPr>
            </w:pPr>
            <w:r>
              <w:rPr>
                <w:rtl/>
              </w:rPr>
              <w:t>(5).</w:t>
            </w:r>
            <w:r w:rsidRPr="00132E65">
              <w:rPr>
                <w:rtl/>
              </w:rPr>
              <w:t xml:space="preserve"> في«بر»:«ما قال لك»</w:t>
            </w:r>
            <w:r>
              <w:rPr>
                <w:rtl/>
              </w:rPr>
              <w:t>.</w:t>
            </w:r>
            <w:r w:rsidRPr="00132E65">
              <w:rPr>
                <w:rtl/>
              </w:rPr>
              <w:t>وفي«بس»:«ما قد قال»</w:t>
            </w:r>
            <w:r>
              <w:rPr>
                <w:rtl/>
              </w:rPr>
              <w:t>.</w:t>
            </w:r>
          </w:p>
        </w:tc>
      </w:tr>
    </w:tbl>
    <w:p w:rsidR="000C39D1" w:rsidRPr="00132E65" w:rsidRDefault="000C39D1" w:rsidP="000C39D1">
      <w:pPr>
        <w:pStyle w:val="libFootnote0"/>
        <w:rPr>
          <w:rtl/>
          <w:lang w:bidi="fa-IR"/>
        </w:rPr>
      </w:pPr>
      <w:r>
        <w:rPr>
          <w:rtl/>
        </w:rPr>
        <w:t>(6).</w:t>
      </w:r>
      <w:r w:rsidRPr="00132E65">
        <w:rPr>
          <w:rtl/>
        </w:rPr>
        <w:t xml:space="preserve"> في « بر » : « فأعاد »</w:t>
      </w:r>
      <w:r>
        <w:rPr>
          <w:rtl/>
        </w:rPr>
        <w:t>.</w:t>
      </w:r>
    </w:p>
    <w:p w:rsidR="000C39D1" w:rsidRPr="00132E65" w:rsidRDefault="000C39D1" w:rsidP="000C39D1">
      <w:pPr>
        <w:pStyle w:val="libFootnote0"/>
        <w:rPr>
          <w:rtl/>
          <w:lang w:bidi="fa-IR"/>
        </w:rPr>
      </w:pPr>
      <w:r>
        <w:rPr>
          <w:rtl/>
        </w:rPr>
        <w:t>(7).</w:t>
      </w:r>
      <w:r w:rsidRPr="00132E65">
        <w:rPr>
          <w:rtl/>
        </w:rPr>
        <w:t xml:space="preserve"> الحجرات (49) : 12. وفي « ف ، ه‍ » وحاشية « بف » :</w:t>
      </w:r>
      <w:r>
        <w:rPr>
          <w:rtl/>
        </w:rPr>
        <w:t xml:space="preserve"> + </w:t>
      </w:r>
      <w:r w:rsidRPr="00132E65">
        <w:rPr>
          <w:rtl/>
        </w:rPr>
        <w:t>« وفعلت ما لم تؤمر به »</w:t>
      </w:r>
      <w:r>
        <w:rPr>
          <w:rtl/>
        </w:rPr>
        <w:t>.</w:t>
      </w:r>
    </w:p>
    <w:p w:rsidR="000C39D1" w:rsidRPr="00132E65" w:rsidRDefault="000C39D1" w:rsidP="000C39D1">
      <w:pPr>
        <w:pStyle w:val="libFootnote0"/>
        <w:rPr>
          <w:rtl/>
          <w:lang w:bidi="fa-IR"/>
        </w:rPr>
      </w:pPr>
      <w:r>
        <w:rPr>
          <w:rtl/>
        </w:rPr>
        <w:t>(8).</w:t>
      </w:r>
      <w:r w:rsidRPr="00132E65">
        <w:rPr>
          <w:rtl/>
        </w:rPr>
        <w:t xml:space="preserve"> في « ض ، بح ، بر » </w:t>
      </w:r>
      <w:r>
        <w:rPr>
          <w:rtl/>
        </w:rPr>
        <w:t xml:space="preserve">: - </w:t>
      </w:r>
      <w:r w:rsidRPr="00132E65">
        <w:rPr>
          <w:rtl/>
        </w:rPr>
        <w:t>« ما »</w:t>
      </w:r>
      <w:r>
        <w:rPr>
          <w:rtl/>
        </w:rPr>
        <w:t>.</w:t>
      </w:r>
    </w:p>
    <w:p w:rsidR="000C39D1" w:rsidRPr="00132E65" w:rsidRDefault="000C39D1" w:rsidP="000C39D1">
      <w:pPr>
        <w:pStyle w:val="libFootnote0"/>
        <w:rPr>
          <w:rtl/>
          <w:lang w:bidi="fa-IR"/>
        </w:rPr>
      </w:pPr>
      <w:r>
        <w:rPr>
          <w:rtl/>
        </w:rPr>
        <w:t>(9).</w:t>
      </w:r>
      <w:r w:rsidRPr="00132E65">
        <w:rPr>
          <w:rtl/>
        </w:rPr>
        <w:t xml:space="preserve"> في « ب ، ض ، ه‍ ، بح ، بر ، بس ، بف » وحاشية « ف ،</w:t>
      </w:r>
      <w:r>
        <w:rPr>
          <w:rtl/>
        </w:rPr>
        <w:t xml:space="preserve"> و »</w:t>
      </w:r>
      <w:r w:rsidRPr="00132E65">
        <w:rPr>
          <w:rtl/>
        </w:rPr>
        <w:t xml:space="preserve"> : « عند »</w:t>
      </w:r>
      <w:r>
        <w:rPr>
          <w:rtl/>
        </w:rPr>
        <w:t>.</w:t>
      </w:r>
    </w:p>
    <w:p w:rsidR="000C39D1" w:rsidRPr="00132E65" w:rsidRDefault="000C39D1" w:rsidP="000C39D1">
      <w:pPr>
        <w:pStyle w:val="libFootnote0"/>
        <w:rPr>
          <w:rtl/>
          <w:lang w:bidi="fa-IR"/>
        </w:rPr>
      </w:pPr>
      <w:r>
        <w:rPr>
          <w:rtl/>
        </w:rPr>
        <w:t>(10).</w:t>
      </w:r>
      <w:r w:rsidRPr="00132E65">
        <w:rPr>
          <w:rtl/>
        </w:rPr>
        <w:t xml:space="preserve"> « العصابة » : هم الجماعة من الناس من العشرة إلى الأربعين. ولا واحد لها من لفظها. </w:t>
      </w:r>
      <w:r w:rsidRPr="006612CA">
        <w:rPr>
          <w:rtl/>
        </w:rPr>
        <w:t>النهاية</w:t>
      </w:r>
      <w:r w:rsidRPr="00132E65">
        <w:rPr>
          <w:rtl/>
        </w:rPr>
        <w:t xml:space="preserve"> ، ج 3 ، ص 243 ( عصب )</w:t>
      </w:r>
      <w:r>
        <w:rPr>
          <w:rtl/>
        </w:rPr>
        <w:t>.</w:t>
      </w:r>
      <w:r>
        <w:rPr>
          <w:rFonts w:hint="cs"/>
          <w:rtl/>
        </w:rPr>
        <w:t xml:space="preserve">                                            </w:t>
      </w:r>
      <w:r>
        <w:rPr>
          <w:rtl/>
        </w:rPr>
        <w:t>(11).</w:t>
      </w:r>
      <w:r w:rsidRPr="00132E65">
        <w:rPr>
          <w:rtl/>
        </w:rPr>
        <w:t xml:space="preserve"> في « ض » : « لو حدث »</w:t>
      </w:r>
      <w:r>
        <w:rPr>
          <w:rtl/>
        </w:rPr>
        <w:t>.</w:t>
      </w:r>
    </w:p>
    <w:p w:rsidR="000C39D1" w:rsidRPr="00132E65" w:rsidRDefault="000C39D1" w:rsidP="000C39D1">
      <w:pPr>
        <w:pStyle w:val="libFootnote0"/>
        <w:rPr>
          <w:rtl/>
          <w:lang w:bidi="fa-IR"/>
        </w:rPr>
      </w:pPr>
      <w:r>
        <w:rPr>
          <w:rtl/>
        </w:rPr>
        <w:t>(12).</w:t>
      </w:r>
      <w:r w:rsidRPr="00132E65">
        <w:rPr>
          <w:rtl/>
        </w:rPr>
        <w:t xml:space="preserve"> في « ه‍ ، بس » </w:t>
      </w:r>
      <w:r>
        <w:rPr>
          <w:rtl/>
        </w:rPr>
        <w:t xml:space="preserve">: - </w:t>
      </w:r>
      <w:r w:rsidRPr="00132E65">
        <w:rPr>
          <w:rtl/>
        </w:rPr>
        <w:t>« بها »</w:t>
      </w:r>
      <w:r>
        <w:rPr>
          <w:rtl/>
        </w:rPr>
        <w:t>.</w:t>
      </w:r>
    </w:p>
    <w:p w:rsidR="000C39D1" w:rsidRPr="00132E65" w:rsidRDefault="000C39D1" w:rsidP="000C39D1">
      <w:pPr>
        <w:pStyle w:val="libFootnote0"/>
        <w:rPr>
          <w:rtl/>
          <w:lang w:bidi="fa-IR"/>
        </w:rPr>
      </w:pPr>
      <w:r>
        <w:rPr>
          <w:rtl/>
        </w:rPr>
        <w:t>(13)</w:t>
      </w:r>
      <w:r w:rsidRPr="00132E65">
        <w:rPr>
          <w:rtl/>
        </w:rPr>
        <w:t xml:space="preserve"> هكذا في أكثر النسخ. وفي المطبوع وبعض النسخ : « أعلِمُوا »</w:t>
      </w:r>
      <w:r>
        <w:rPr>
          <w:rtl/>
        </w:rPr>
        <w:t>.</w:t>
      </w:r>
    </w:p>
    <w:p w:rsidR="000C39D1" w:rsidRPr="00132E65" w:rsidRDefault="000C39D1" w:rsidP="000C39D1">
      <w:pPr>
        <w:pStyle w:val="libFootnote0"/>
        <w:rPr>
          <w:rtl/>
          <w:lang w:bidi="fa-IR"/>
        </w:rPr>
      </w:pPr>
      <w:r>
        <w:rPr>
          <w:rtl/>
        </w:rPr>
        <w:t>(14)</w:t>
      </w:r>
      <w:r w:rsidRPr="00132E65">
        <w:rPr>
          <w:rtl/>
        </w:rPr>
        <w:t xml:space="preserve"> في </w:t>
      </w:r>
      <w:r w:rsidRPr="009D1ACE">
        <w:rPr>
          <w:rStyle w:val="libFootnoteBoldChar"/>
          <w:rtl/>
        </w:rPr>
        <w:t>مرآة العقول</w:t>
      </w:r>
      <w:r w:rsidRPr="00132E65">
        <w:rPr>
          <w:rtl/>
        </w:rPr>
        <w:t xml:space="preserve"> ، ج 3 ، ص 384 : « أنّه لم يخرج ، أي خيرانيّ. ويمكن أن يقرأ على بناء المجهول من باب الإفعال ، فالضمير لأبي جعفر </w:t>
      </w:r>
      <w:r w:rsidRPr="00C53317">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(15)</w:t>
      </w:r>
      <w:r w:rsidRPr="00132E65">
        <w:rPr>
          <w:rtl/>
        </w:rPr>
        <w:t xml:space="preserve"> في </w:t>
      </w:r>
      <w:r w:rsidRPr="009D1ACE">
        <w:rPr>
          <w:rStyle w:val="libFootnoteBoldChar"/>
          <w:rtl/>
        </w:rPr>
        <w:t>الوافي</w:t>
      </w:r>
      <w:r w:rsidRPr="00132E65">
        <w:rPr>
          <w:rtl/>
        </w:rPr>
        <w:t xml:space="preserve"> : « حتّى قطع على يديه ، حتّى جزم بمعرفة الإمام بعد أبي جعفر </w:t>
      </w:r>
      <w:r w:rsidRPr="00C53317">
        <w:rPr>
          <w:rStyle w:val="libFootnoteAlaemChar"/>
          <w:rtl/>
        </w:rPr>
        <w:t>عليه‌السلام</w:t>
      </w:r>
      <w:r w:rsidRPr="00132E65">
        <w:rPr>
          <w:rtl/>
        </w:rPr>
        <w:t xml:space="preserve"> بسببه وبإخباره عنه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عِنْدَ مُحَمَّدِ بْنِ الْفَرَجِ يَتَفَاوَضُونَ </w:t>
      </w:r>
      <w:r>
        <w:rPr>
          <w:rStyle w:val="libFootnotenumChar"/>
          <w:rtl/>
        </w:rPr>
        <w:t>(1)</w:t>
      </w:r>
      <w:r w:rsidRPr="00132E65">
        <w:rPr>
          <w:rtl/>
          <w:lang w:bidi="fa-IR"/>
        </w:rPr>
        <w:t xml:space="preserve"> هذَا </w:t>
      </w:r>
      <w:r>
        <w:rPr>
          <w:rStyle w:val="libFootnotenumChar"/>
          <w:rtl/>
        </w:rPr>
        <w:t>(2)</w:t>
      </w:r>
      <w:r w:rsidRPr="00132E65">
        <w:rPr>
          <w:rtl/>
          <w:lang w:bidi="fa-IR"/>
        </w:rPr>
        <w:t xml:space="preserve"> الْأَمْرَ ، فَكَتَبَ مُحَمَّدُ بْنُ الْفَرَجِ إِلى أَبِي يُعْلِمُهُ بِاجْتِمَاعِهِمْ عِنْدَهُ ، و</w:t>
      </w:r>
      <w:r>
        <w:rPr>
          <w:rFonts w:hint="cs"/>
          <w:rtl/>
          <w:lang w:bidi="fa-IR"/>
        </w:rPr>
        <w:t>َ</w:t>
      </w:r>
      <w:r w:rsidRPr="00132E65">
        <w:rPr>
          <w:rtl/>
          <w:lang w:bidi="fa-IR"/>
        </w:rPr>
        <w:t>أَنَّهُ لَوْ لَامَخَافَةُ الشُّهْرَةِ لَصَارَ مَعَهُمْ إِلَيْهِ ، و</w:t>
      </w:r>
      <w:r>
        <w:rPr>
          <w:rFonts w:hint="cs"/>
          <w:rtl/>
          <w:lang w:bidi="fa-IR"/>
        </w:rPr>
        <w:t xml:space="preserve">َ </w:t>
      </w:r>
      <w:r w:rsidRPr="00132E65">
        <w:rPr>
          <w:rtl/>
          <w:lang w:bidi="fa-IR"/>
        </w:rPr>
        <w:t>يَسْأَلُهُ أَنْ يَأْتِيَهُ ، فَرَكِبَ أَبِي و</w:t>
      </w:r>
      <w:r>
        <w:rPr>
          <w:rFonts w:hint="cs"/>
          <w:rtl/>
          <w:lang w:bidi="fa-IR"/>
        </w:rPr>
        <w:t>َ</w:t>
      </w:r>
      <w:r w:rsidRPr="00132E65">
        <w:rPr>
          <w:rtl/>
          <w:lang w:bidi="fa-IR"/>
        </w:rPr>
        <w:t>صَارَ إِلَيْهِ ، فَوَجَدَ الْقَوْمَ مُجْتَمِعِينَ عِنْدَهُ ، فَقَالُوا لِأَبِي : مَا تَقُولُ فِي هذَا الْأَمْرِ</w:t>
      </w:r>
      <w:r>
        <w:rPr>
          <w:rtl/>
          <w:lang w:bidi="fa-IR"/>
        </w:rPr>
        <w:t>؟</w:t>
      </w:r>
      <w:r>
        <w:rPr>
          <w:rFonts w:hint="cs"/>
          <w:rtl/>
          <w:lang w:bidi="fa-IR"/>
        </w:rPr>
        <w:t xml:space="preserve"> </w:t>
      </w:r>
      <w:r w:rsidRPr="00132E65">
        <w:rPr>
          <w:rtl/>
          <w:lang w:bidi="fa-IR"/>
        </w:rPr>
        <w:t>فَقَالَ أَبِي لِمَنْ عِنْدَهُ الرِّقَاعُ : أَحْضِرُوا الرِّقَاعَ ، فَأَحْضَرُوهَا ، فَقَالَ لَهُمْ : هذَا مَا أُمِرْتُ بِهِ ، فَقَالَ بَعْضُهُمْ : قَدْ كُنَّا نُحِبُّ أَنْ يَكُونَ مَعَكَ فِي هذَا الْأَمْرِ شَاهِدٌ آخَرُ ، فَقَالَ لَهُمْ : قَدْ أَتَاكُمُ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بِهِ ، هذَا أَبُو جَعْفَرٍ الْأَشْعَرِيُّ يَشْهَدُ لِي بِسَمَاعِ هذِهِ الرِّسَالَةِ ، وَسَأَلَهُ أَنْ يَشْهَدَ بِمَا عِنْدَهُ ، فَأَنْكَرَ أَحْمَدُ أَنْ يَكُونَ سَمِعَ مِنْ هذَا شَيْئاً ، فَدَعَاهُ أَبِي إِلَى الْمُبَاهَلَةِ </w:t>
      </w:r>
      <w:r>
        <w:rPr>
          <w:rStyle w:val="libFootnotenumChar"/>
          <w:rtl/>
        </w:rPr>
        <w:t>(3)</w:t>
      </w:r>
      <w:r w:rsidRPr="00132E65">
        <w:rPr>
          <w:rtl/>
          <w:lang w:bidi="fa-IR"/>
        </w:rPr>
        <w:t xml:space="preserve"> ، فَقَالَ : لَمَّا حَقَّقَ عَلَيْهِ ، قَالَ </w:t>
      </w:r>
      <w:r>
        <w:rPr>
          <w:rStyle w:val="libFootnotenumChar"/>
          <w:rtl/>
        </w:rPr>
        <w:t>(4)</w:t>
      </w:r>
      <w:r w:rsidRPr="00132E65">
        <w:rPr>
          <w:rtl/>
          <w:lang w:bidi="fa-IR"/>
        </w:rPr>
        <w:t xml:space="preserve"> : قَدْ </w:t>
      </w:r>
      <w:r>
        <w:rPr>
          <w:rStyle w:val="libFootnotenumChar"/>
          <w:rtl/>
        </w:rPr>
        <w:t>(5)</w:t>
      </w:r>
      <w:r w:rsidRPr="00132E65">
        <w:rPr>
          <w:rtl/>
          <w:lang w:bidi="fa-IR"/>
        </w:rPr>
        <w:t xml:space="preserve"> سَمِعْتُ ذلِكَ </w:t>
      </w:r>
      <w:r>
        <w:rPr>
          <w:rStyle w:val="libFootnotenumChar"/>
          <w:rtl/>
        </w:rPr>
        <w:t>(6)</w:t>
      </w:r>
      <w:r w:rsidRPr="00132E65">
        <w:rPr>
          <w:rtl/>
          <w:lang w:bidi="fa-IR"/>
        </w:rPr>
        <w:t xml:space="preserve"> ، و</w:t>
      </w:r>
      <w:r>
        <w:rPr>
          <w:rFonts w:hint="cs"/>
          <w:rtl/>
          <w:lang w:bidi="fa-IR"/>
        </w:rPr>
        <w:t xml:space="preserve">َ </w:t>
      </w:r>
      <w:r w:rsidRPr="00132E65">
        <w:rPr>
          <w:rtl/>
          <w:lang w:bidi="fa-IR"/>
        </w:rPr>
        <w:t xml:space="preserve">هذِهِ </w:t>
      </w:r>
      <w:r>
        <w:rPr>
          <w:rStyle w:val="libFootnotenumChar"/>
          <w:rtl/>
        </w:rPr>
        <w:t>(7)</w:t>
      </w:r>
      <w:r w:rsidRPr="00132E65">
        <w:rPr>
          <w:rtl/>
          <w:lang w:bidi="fa-IR"/>
        </w:rPr>
        <w:t xml:space="preserve"> مَكْرُمَةٌ كُنْتُ أُحِبُّ أَنْ تَكُونَ </w:t>
      </w:r>
      <w:r>
        <w:rPr>
          <w:rStyle w:val="libFootnotenumChar"/>
          <w:rtl/>
        </w:rPr>
        <w:t>(8)</w:t>
      </w:r>
      <w:r w:rsidRPr="00132E65">
        <w:rPr>
          <w:rtl/>
          <w:lang w:bidi="fa-IR"/>
        </w:rPr>
        <w:t xml:space="preserve"> لِرَجُلٍ مِنَ الْعَرَبِ ، لَالِرَجُلٍ مِنَ الْعَجَمِ ، فَلَمْ يَبْرَحِ الْقَوْمُ حَتّى قَالُوا بِالْحَقِّ جَمِيعاً.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6612CA">
        <w:rPr>
          <w:rtl/>
        </w:rPr>
        <w:t>849</w:t>
      </w:r>
      <w:r w:rsidRPr="004325D8">
        <w:rPr>
          <w:rStyle w:val="libBold2Char"/>
          <w:rtl/>
        </w:rPr>
        <w:t xml:space="preserve"> / 3.</w:t>
      </w:r>
      <w:r w:rsidRPr="00132E65">
        <w:rPr>
          <w:rtl/>
          <w:lang w:bidi="fa-IR"/>
        </w:rPr>
        <w:t xml:space="preserve"> و</w:t>
      </w:r>
      <w:r>
        <w:rPr>
          <w:rFonts w:hint="cs"/>
          <w:rtl/>
          <w:lang w:bidi="fa-IR"/>
        </w:rPr>
        <w:t xml:space="preserve">َ </w:t>
      </w:r>
      <w:r w:rsidRPr="00132E65">
        <w:rPr>
          <w:rtl/>
          <w:lang w:bidi="fa-IR"/>
        </w:rPr>
        <w:t xml:space="preserve">فِي نُسْخَةِ الصَّفْوَانِيِّ : مُحَمَّدُ </w:t>
      </w:r>
      <w:r>
        <w:rPr>
          <w:rStyle w:val="libFootnotenumChar"/>
          <w:rtl/>
        </w:rPr>
        <w:t>(10)</w:t>
      </w:r>
      <w:r w:rsidRPr="00132E65">
        <w:rPr>
          <w:rtl/>
          <w:lang w:bidi="fa-IR"/>
        </w:rPr>
        <w:t xml:space="preserve"> بْنُ جَعْفَرٍ الْكُوفِيُّ ، عَنْ مُحَمَّدِ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قوله : « يتفاوضون هذا الأمر » ، أي يأخذون فيه ويتكلّمون فيه. والمفاوضة : المساواة والمشاركة. وهي‌مفاعلة من التفويض ، ومنه مفاوضة العلماء ، كأنّ كلّ واحد منهم ردّ ما عنده إلى صاحبه. والمراد : محادثة العلماء ومذاكرتهم في العلم. راجع : </w:t>
      </w:r>
      <w:r w:rsidRPr="009D1ACE">
        <w:rPr>
          <w:rStyle w:val="libFootnoteBoldChar"/>
          <w:rtl/>
        </w:rPr>
        <w:t>لسان العرب</w:t>
      </w:r>
      <w:r w:rsidRPr="00132E65">
        <w:rPr>
          <w:rtl/>
        </w:rPr>
        <w:t xml:space="preserve"> ، ج 7 ، ص 210 ( فوض )</w:t>
      </w:r>
      <w:r>
        <w:rPr>
          <w:rtl/>
        </w:rPr>
        <w:t>.</w:t>
      </w:r>
    </w:p>
    <w:p w:rsidR="000C39D1" w:rsidRPr="00132E65" w:rsidRDefault="000C39D1" w:rsidP="000C39D1">
      <w:pPr>
        <w:pStyle w:val="libFootnote0"/>
        <w:rPr>
          <w:rtl/>
          <w:lang w:bidi="fa-IR"/>
        </w:rPr>
      </w:pPr>
      <w:r>
        <w:rPr>
          <w:rtl/>
        </w:rPr>
        <w:t>(2).</w:t>
      </w:r>
      <w:r w:rsidRPr="00132E65">
        <w:rPr>
          <w:rtl/>
        </w:rPr>
        <w:t xml:space="preserve"> في « بس » : « بهذا »</w:t>
      </w:r>
      <w:r>
        <w:rPr>
          <w:rtl/>
        </w:rPr>
        <w:t>.</w:t>
      </w:r>
    </w:p>
    <w:p w:rsidR="000C39D1" w:rsidRPr="00132E65" w:rsidRDefault="000C39D1" w:rsidP="000C39D1">
      <w:pPr>
        <w:pStyle w:val="libFootnote0"/>
        <w:rPr>
          <w:rtl/>
          <w:lang w:bidi="fa-IR"/>
        </w:rPr>
      </w:pPr>
      <w:r>
        <w:rPr>
          <w:rtl/>
        </w:rPr>
        <w:t>(3).</w:t>
      </w:r>
      <w:r w:rsidRPr="00132E65">
        <w:rPr>
          <w:rtl/>
        </w:rPr>
        <w:t xml:space="preserve"> « المباهلة » : الملاعنة. وهو أن يجتمع القوم إذ اختلفوا في شي‌ء ، فيقولوا : لعنة الله على الظالم منّا. </w:t>
      </w:r>
      <w:r w:rsidRPr="006612CA">
        <w:rPr>
          <w:rtl/>
        </w:rPr>
        <w:t>النهاية</w:t>
      </w:r>
      <w:r w:rsidRPr="00132E65">
        <w:rPr>
          <w:rtl/>
        </w:rPr>
        <w:t xml:space="preserve"> ، ج 1 ، ص 167 ( بهل )</w:t>
      </w:r>
      <w:r>
        <w:rPr>
          <w:rtl/>
        </w:rPr>
        <w:t>.</w:t>
      </w:r>
      <w:r>
        <w:rPr>
          <w:rFonts w:hint="cs"/>
          <w:rtl/>
        </w:rPr>
        <w:t xml:space="preserve">       </w:t>
      </w:r>
      <w:r w:rsidR="00D03C29">
        <w:rPr>
          <w:rFonts w:hint="cs"/>
          <w:rtl/>
        </w:rPr>
        <w:t xml:space="preserve">       </w:t>
      </w:r>
      <w:r>
        <w:rPr>
          <w:rFonts w:hint="cs"/>
          <w:rtl/>
        </w:rPr>
        <w:t xml:space="preserve">                              </w:t>
      </w:r>
      <w:r>
        <w:rPr>
          <w:rtl/>
        </w:rPr>
        <w:t>(4).</w:t>
      </w:r>
      <w:r w:rsidRPr="00132E65">
        <w:rPr>
          <w:rtl/>
        </w:rPr>
        <w:t xml:space="preserve"> في « ب ، بف »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حاشية « بح » : « كذا »</w:t>
            </w:r>
            <w:r>
              <w:rPr>
                <w:rtl/>
              </w:rPr>
              <w:t>.</w:t>
            </w:r>
          </w:p>
        </w:tc>
        <w:tc>
          <w:tcPr>
            <w:tcW w:w="4006" w:type="dxa"/>
          </w:tcPr>
          <w:p w:rsidR="000C39D1" w:rsidRDefault="000C39D1" w:rsidP="00B53873">
            <w:pPr>
              <w:pStyle w:val="libFootnote0"/>
              <w:rPr>
                <w:rtl/>
              </w:rPr>
            </w:pPr>
            <w:r>
              <w:rPr>
                <w:rtl/>
              </w:rPr>
              <w:t>(6).</w:t>
            </w:r>
            <w:r w:rsidRPr="00132E65">
              <w:rPr>
                <w:rtl/>
              </w:rPr>
              <w:t xml:space="preserve"> في « بس » : « هذا »</w:t>
            </w:r>
            <w:r>
              <w:rPr>
                <w:rtl/>
              </w:rPr>
              <w:t>.</w:t>
            </w:r>
          </w:p>
        </w:tc>
      </w:tr>
    </w:tbl>
    <w:p w:rsidR="000C39D1" w:rsidRPr="00132E65" w:rsidRDefault="000C39D1" w:rsidP="000C39D1">
      <w:pPr>
        <w:pStyle w:val="libFootnote0"/>
        <w:rPr>
          <w:rtl/>
          <w:lang w:bidi="fa-IR"/>
        </w:rPr>
      </w:pPr>
      <w:r>
        <w:rPr>
          <w:rtl/>
        </w:rPr>
        <w:t>(7).</w:t>
      </w:r>
      <w:r w:rsidRPr="00132E65">
        <w:rPr>
          <w:rtl/>
        </w:rPr>
        <w:t xml:space="preserve"> هكذا في أكثر النسخ و</w:t>
      </w:r>
      <w:r w:rsidRPr="009D1ACE">
        <w:rPr>
          <w:rStyle w:val="libFootnoteBoldChar"/>
          <w:rtl/>
        </w:rPr>
        <w:t>الوافي</w:t>
      </w:r>
      <w:r w:rsidRPr="00132E65">
        <w:rPr>
          <w:rtl/>
        </w:rPr>
        <w:t>. وفي المطبوع : « هذا »</w:t>
      </w:r>
      <w:r>
        <w:rPr>
          <w:rtl/>
        </w:rPr>
        <w:t>.</w:t>
      </w:r>
    </w:p>
    <w:p w:rsidR="000C39D1" w:rsidRPr="00132E65" w:rsidRDefault="000C39D1" w:rsidP="000C39D1">
      <w:pPr>
        <w:pStyle w:val="libFootnote0"/>
        <w:rPr>
          <w:rtl/>
          <w:lang w:bidi="fa-IR"/>
        </w:rPr>
      </w:pPr>
      <w:r>
        <w:rPr>
          <w:rtl/>
        </w:rPr>
        <w:t>(8).</w:t>
      </w:r>
      <w:r w:rsidRPr="00132E65">
        <w:rPr>
          <w:rtl/>
        </w:rPr>
        <w:t xml:space="preserve"> في « ج ، ض ، بح » : « أن يكون »</w:t>
      </w:r>
      <w:r>
        <w:rPr>
          <w:rtl/>
        </w:rPr>
        <w:t>.</w:t>
      </w:r>
    </w:p>
    <w:p w:rsidR="000C39D1" w:rsidRPr="00132E65" w:rsidRDefault="000C39D1" w:rsidP="000C39D1">
      <w:pPr>
        <w:pStyle w:val="libFootnote0"/>
        <w:rPr>
          <w:rtl/>
          <w:lang w:bidi="fa-IR"/>
        </w:rPr>
      </w:pPr>
      <w:r>
        <w:rPr>
          <w:rtl/>
        </w:rPr>
        <w:t>(9).</w:t>
      </w:r>
      <w:r w:rsidRPr="00132E65">
        <w:rPr>
          <w:rtl/>
        </w:rPr>
        <w:t xml:space="preserve"> </w:t>
      </w:r>
      <w:r w:rsidRPr="006612CA">
        <w:rPr>
          <w:rtl/>
        </w:rPr>
        <w:t>الإرشاد</w:t>
      </w:r>
      <w:r w:rsidRPr="00132E65">
        <w:rPr>
          <w:rtl/>
        </w:rPr>
        <w:t xml:space="preserve"> ، ج 2 ، ص 298 ، بسنده عن الكليني ، مع اختلاف يسير </w:t>
      </w:r>
      <w:r>
        <w:rPr>
          <w:rFonts w:hint="cs"/>
          <w:rtl/>
        </w:rPr>
        <w:t>.</w:t>
      </w:r>
      <w:r w:rsidRPr="009D1ACE">
        <w:rPr>
          <w:rStyle w:val="libFootnoteBoldChar"/>
          <w:rtl/>
        </w:rPr>
        <w:t>الوافي</w:t>
      </w:r>
      <w:r w:rsidRPr="00132E65">
        <w:rPr>
          <w:rtl/>
        </w:rPr>
        <w:t xml:space="preserve"> ، ج 2 ، ص 382 ، ح 867.</w:t>
      </w:r>
    </w:p>
    <w:p w:rsidR="000C39D1" w:rsidRPr="00132E65" w:rsidRDefault="000C39D1" w:rsidP="000C39D1">
      <w:pPr>
        <w:pStyle w:val="libFootnote0"/>
        <w:rPr>
          <w:rtl/>
          <w:lang w:bidi="fa-IR"/>
        </w:rPr>
      </w:pPr>
      <w:r>
        <w:rPr>
          <w:rtl/>
        </w:rPr>
        <w:t>(10).</w:t>
      </w:r>
      <w:r w:rsidRPr="00132E65">
        <w:rPr>
          <w:rtl/>
        </w:rPr>
        <w:t xml:space="preserve"> في « ب ، ج ، ض ، ف ، ه‍ ، و، بح ، بر ، بس ، بف ، جر » وشرح المازندراني و</w:t>
      </w:r>
      <w:r w:rsidRPr="009D1ACE">
        <w:rPr>
          <w:rStyle w:val="libFootnoteBoldChar"/>
          <w:rtl/>
        </w:rPr>
        <w:t>مرآة العقول</w:t>
      </w:r>
      <w:r w:rsidRPr="00132E65">
        <w:rPr>
          <w:rtl/>
        </w:rPr>
        <w:t xml:space="preserve"> : « أبي محمّد »</w:t>
      </w:r>
      <w:r>
        <w:rPr>
          <w:rtl/>
        </w:rPr>
        <w:t>.</w:t>
      </w:r>
      <w:r w:rsidRPr="00132E65">
        <w:rPr>
          <w:rtl/>
        </w:rPr>
        <w:t xml:space="preserve"> ومحمّد بن جعفر هذا ، هو محمّد بن جعفر الرزّاز القرشي الكوفي ، روى بعنوان محمّد بن جعفر الرزّاز الكوفي ، عن محمّد بن عيسى بن عبيد في </w:t>
      </w:r>
      <w:r w:rsidRPr="000577A7">
        <w:rPr>
          <w:rStyle w:val="libFootnoteBoldChar"/>
          <w:rtl/>
        </w:rPr>
        <w:t>الكافي</w:t>
      </w:r>
      <w:r w:rsidRPr="00132E65">
        <w:rPr>
          <w:rtl/>
        </w:rPr>
        <w:t xml:space="preserve"> ، ذيل ح 8159 </w:t>
      </w:r>
      <w:r>
        <w:rPr>
          <w:rtl/>
        </w:rPr>
        <w:t>و 8</w:t>
      </w:r>
      <w:r w:rsidRPr="00132E65">
        <w:rPr>
          <w:rtl/>
        </w:rPr>
        <w:t>161. وكنية محمّد بن جعفر الرزّاز أبو</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عِيسَى بْنِ عُبَيْدٍ ، عَنْ مُحَمَّدِ بْنِ الْحُسَيْنِ </w:t>
      </w:r>
      <w:r>
        <w:rPr>
          <w:rStyle w:val="libFootnotenumChar"/>
          <w:rtl/>
        </w:rPr>
        <w:t>(1)</w:t>
      </w:r>
      <w:r w:rsidRPr="00132E65">
        <w:rPr>
          <w:rtl/>
          <w:lang w:bidi="fa-IR"/>
        </w:rPr>
        <w:t xml:space="preserve"> الْوَاسِطِيِّ :</w:t>
      </w:r>
    </w:p>
    <w:p w:rsidR="000C39D1" w:rsidRPr="00132E65" w:rsidRDefault="000C39D1" w:rsidP="000C39D1">
      <w:pPr>
        <w:pStyle w:val="libNormal"/>
        <w:rPr>
          <w:rtl/>
          <w:lang w:bidi="fa-IR"/>
        </w:rPr>
      </w:pPr>
      <w:r w:rsidRPr="00132E65">
        <w:rPr>
          <w:rtl/>
          <w:lang w:bidi="fa-IR"/>
        </w:rPr>
        <w:t xml:space="preserve">أَنَّهُ </w:t>
      </w:r>
      <w:r>
        <w:rPr>
          <w:rStyle w:val="libFootnotenumChar"/>
          <w:rtl/>
        </w:rPr>
        <w:t>(2)</w:t>
      </w:r>
      <w:r w:rsidRPr="00132E65">
        <w:rPr>
          <w:rtl/>
          <w:lang w:bidi="fa-IR"/>
        </w:rPr>
        <w:t xml:space="preserve"> سَمِعَ أَحْمَدَ بْنَ أَبِي خَالِدٍ</w:t>
      </w:r>
      <w:r>
        <w:rPr>
          <w:rtl/>
          <w:lang w:bidi="fa-IR"/>
        </w:rPr>
        <w:t xml:space="preserve"> - </w:t>
      </w:r>
      <w:r w:rsidRPr="00132E65">
        <w:rPr>
          <w:rtl/>
          <w:lang w:bidi="fa-IR"/>
        </w:rPr>
        <w:t>مَوْلى أَبِي جَعْفَرٍ</w:t>
      </w:r>
      <w:r>
        <w:rPr>
          <w:rtl/>
          <w:lang w:bidi="fa-IR"/>
        </w:rPr>
        <w:t xml:space="preserve"> - </w:t>
      </w:r>
      <w:r w:rsidRPr="00132E65">
        <w:rPr>
          <w:rtl/>
          <w:lang w:bidi="fa-IR"/>
        </w:rPr>
        <w:t>يَحْكِي أَنَّهُ أَشْهَدَهُ عَلى هذِهِ الْوَصِيَّةِ الْمَنْسُوخَةِ</w:t>
      </w:r>
      <w:r>
        <w:rPr>
          <w:rStyle w:val="libFootnotenumChar"/>
          <w:rtl/>
        </w:rPr>
        <w:t>(3)</w:t>
      </w:r>
      <w:r w:rsidRPr="00132E65">
        <w:rPr>
          <w:rtl/>
          <w:lang w:bidi="fa-IR"/>
        </w:rPr>
        <w:t>:</w:t>
      </w:r>
    </w:p>
    <w:p w:rsidR="000C39D1" w:rsidRPr="00132E65" w:rsidRDefault="000C39D1" w:rsidP="000C39D1">
      <w:pPr>
        <w:pStyle w:val="libNormal"/>
        <w:rPr>
          <w:rtl/>
          <w:lang w:bidi="fa-IR"/>
        </w:rPr>
      </w:pPr>
      <w:r w:rsidRPr="00132E65">
        <w:rPr>
          <w:rtl/>
          <w:lang w:bidi="fa-IR"/>
        </w:rPr>
        <w:t xml:space="preserve">شَهِدَ أَحْمَدُ بْنُ أَبِي خَالِدٍ مَوْلى أَبِي جَعْفَرٍ </w:t>
      </w:r>
      <w:r>
        <w:rPr>
          <w:rStyle w:val="libFootnotenumChar"/>
          <w:rtl/>
        </w:rPr>
        <w:t>(4)</w:t>
      </w:r>
      <w:r w:rsidRPr="00132E65">
        <w:rPr>
          <w:rtl/>
          <w:lang w:bidi="fa-IR"/>
        </w:rPr>
        <w:t xml:space="preserve"> أَنَّ أَبَا جَعْفَرٍ مُحَمَّدَ بْنَ عَلِيِّ بْنِ مُوسَى بْنِ جَعْفَرِ بْنِ مُحَمَّدِ بْنِ عَلِيِّ بْنِ الْحُسَيْنِ بْنِ عَلِيِّ بْنِ أَبِي طَالِبٍ </w:t>
      </w:r>
      <w:r w:rsidRPr="00071CF9">
        <w:rPr>
          <w:rStyle w:val="libAlaemChar"/>
          <w:rtl/>
        </w:rPr>
        <w:t>عليهم‌السلام</w:t>
      </w:r>
      <w:r w:rsidRPr="00132E65">
        <w:rPr>
          <w:rtl/>
          <w:lang w:bidi="fa-IR"/>
        </w:rPr>
        <w:t xml:space="preserve"> أَشْهَدَهُ أَنَّهُ أَوْصى إِلى عَلِيٍّ ابْنِهِ بِنَفْسِهِ و</w:t>
      </w:r>
      <w:r>
        <w:rPr>
          <w:rFonts w:hint="cs"/>
          <w:rtl/>
          <w:lang w:bidi="fa-IR"/>
        </w:rPr>
        <w:t xml:space="preserve">َ </w:t>
      </w:r>
      <w:r w:rsidRPr="00132E65">
        <w:rPr>
          <w:rtl/>
          <w:lang w:bidi="fa-IR"/>
        </w:rPr>
        <w:t xml:space="preserve">أَخَوَاتِهِ </w:t>
      </w:r>
      <w:r>
        <w:rPr>
          <w:rStyle w:val="libFootnotenumChar"/>
          <w:rtl/>
        </w:rPr>
        <w:t>(5)</w:t>
      </w:r>
      <w:r w:rsidRPr="00132E65">
        <w:rPr>
          <w:rtl/>
          <w:lang w:bidi="fa-IR"/>
        </w:rPr>
        <w:t xml:space="preserve"> ، و</w:t>
      </w:r>
      <w:r>
        <w:rPr>
          <w:rFonts w:hint="cs"/>
          <w:rtl/>
          <w:lang w:bidi="fa-IR"/>
        </w:rPr>
        <w:t xml:space="preserve">َ </w:t>
      </w:r>
      <w:r w:rsidRPr="00132E65">
        <w:rPr>
          <w:rtl/>
          <w:lang w:bidi="fa-IR"/>
        </w:rPr>
        <w:t xml:space="preserve">جَعَلَ أَمْرَ مُوسى </w:t>
      </w:r>
      <w:r>
        <w:rPr>
          <w:rStyle w:val="libFootnotenumChar"/>
          <w:rtl/>
        </w:rPr>
        <w:t>(6)</w:t>
      </w:r>
      <w:r>
        <w:rPr>
          <w:rtl/>
          <w:lang w:bidi="fa-IR"/>
        </w:rPr>
        <w:t xml:space="preserve"> - </w:t>
      </w:r>
      <w:r w:rsidRPr="00132E65">
        <w:rPr>
          <w:rtl/>
          <w:lang w:bidi="fa-IR"/>
        </w:rPr>
        <w:t>إِذَا بَلَغَ</w:t>
      </w:r>
      <w:r>
        <w:rPr>
          <w:rtl/>
          <w:lang w:bidi="fa-IR"/>
        </w:rPr>
        <w:t xml:space="preserve"> - </w:t>
      </w:r>
      <w:r w:rsidRPr="00132E65">
        <w:rPr>
          <w:rtl/>
          <w:lang w:bidi="fa-IR"/>
        </w:rPr>
        <w:t>إِلَيْهِ ، و</w:t>
      </w:r>
      <w:r>
        <w:rPr>
          <w:rFonts w:hint="cs"/>
          <w:rtl/>
          <w:lang w:bidi="fa-IR"/>
        </w:rPr>
        <w:t xml:space="preserve">َ </w:t>
      </w:r>
      <w:r w:rsidRPr="00132E65">
        <w:rPr>
          <w:rtl/>
          <w:lang w:bidi="fa-IR"/>
        </w:rPr>
        <w:t xml:space="preserve">جَعَلَ عَبْدَ اللهِ بْنَ الْمُسَاوِرِ </w:t>
      </w:r>
      <w:r>
        <w:rPr>
          <w:rStyle w:val="libFootnotenumChar"/>
          <w:rtl/>
        </w:rPr>
        <w:t>(7)</w:t>
      </w:r>
      <w:r w:rsidRPr="00132E65">
        <w:rPr>
          <w:rtl/>
          <w:lang w:bidi="fa-IR"/>
        </w:rPr>
        <w:t xml:space="preserve"> قَائِماً عَلى تَرِكَتِهِ مِنَ الضِّيَاعِ </w:t>
      </w:r>
      <w:r>
        <w:rPr>
          <w:rStyle w:val="libFootnotenumChar"/>
          <w:rtl/>
        </w:rPr>
        <w:t>(8)</w:t>
      </w:r>
      <w:r w:rsidRPr="00132E65">
        <w:rPr>
          <w:rtl/>
          <w:lang w:bidi="fa-IR"/>
        </w:rPr>
        <w:t xml:space="preserve"> و</w:t>
      </w:r>
      <w:r>
        <w:rPr>
          <w:rFonts w:hint="cs"/>
          <w:rtl/>
          <w:lang w:bidi="fa-IR"/>
        </w:rPr>
        <w:t xml:space="preserve">َ </w:t>
      </w:r>
      <w:r w:rsidRPr="00132E65">
        <w:rPr>
          <w:rtl/>
          <w:lang w:bidi="fa-IR"/>
        </w:rPr>
        <w:t>الْأَمْوَالِ و</w:t>
      </w:r>
      <w:r>
        <w:rPr>
          <w:rFonts w:hint="cs"/>
          <w:rtl/>
          <w:lang w:bidi="fa-IR"/>
        </w:rPr>
        <w:t xml:space="preserve">َ </w:t>
      </w:r>
      <w:r w:rsidRPr="00132E65">
        <w:rPr>
          <w:rtl/>
          <w:lang w:bidi="fa-IR"/>
        </w:rPr>
        <w:t>النَّفَقَاتِ و</w:t>
      </w:r>
      <w:r>
        <w:rPr>
          <w:rFonts w:hint="cs"/>
          <w:rtl/>
          <w:lang w:bidi="fa-IR"/>
        </w:rPr>
        <w:t xml:space="preserve">َ </w:t>
      </w:r>
      <w:r w:rsidRPr="00132E65">
        <w:rPr>
          <w:rtl/>
          <w:lang w:bidi="fa-IR"/>
        </w:rPr>
        <w:t xml:space="preserve">الرَّقِيقِ </w:t>
      </w:r>
      <w:r>
        <w:rPr>
          <w:rStyle w:val="libFootnotenumChar"/>
          <w:rtl/>
        </w:rPr>
        <w:t>(9)</w:t>
      </w:r>
      <w:r w:rsidRPr="00132E65">
        <w:rPr>
          <w:rtl/>
          <w:lang w:bidi="fa-IR"/>
        </w:rPr>
        <w:t xml:space="preserve"> و</w:t>
      </w:r>
      <w:r>
        <w:rPr>
          <w:rFonts w:hint="cs"/>
          <w:rtl/>
          <w:lang w:bidi="fa-IR"/>
        </w:rPr>
        <w:t>َ</w:t>
      </w:r>
      <w:r w:rsidRPr="00132E65">
        <w:rPr>
          <w:rtl/>
          <w:lang w:bidi="fa-IR"/>
        </w:rPr>
        <w:t>غَيْرِ ذلِكَ إِلى‌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 xml:space="preserve">القاسم ، كما في </w:t>
      </w:r>
      <w:r w:rsidRPr="002F7210">
        <w:rPr>
          <w:rtl/>
        </w:rPr>
        <w:t>رسالة أبي غالب الزراري</w:t>
      </w:r>
      <w:r w:rsidRPr="00132E65">
        <w:rPr>
          <w:rtl/>
        </w:rPr>
        <w:t xml:space="preserve"> ، ص 140 ، وص 145 وص 146. فعليه ما ورد في </w:t>
      </w:r>
      <w:r w:rsidRPr="002F7210">
        <w:rPr>
          <w:rtl/>
        </w:rPr>
        <w:t>شرح المازندراني</w:t>
      </w:r>
      <w:r w:rsidRPr="00132E65">
        <w:rPr>
          <w:rtl/>
        </w:rPr>
        <w:t xml:space="preserve"> من أنّه قال : « قيل : أبو محمّد يحتمل أن يكون كنيته ، ويحتمل أن يكون أبي مضافاً إلى ياء المتكلّم ، يعني أبي عن محمّد بن جعفر ، ضعيف جدّاً.</w:t>
      </w:r>
    </w:p>
    <w:p w:rsidR="000C39D1" w:rsidRPr="00132E65" w:rsidRDefault="000C39D1" w:rsidP="000C39D1">
      <w:pPr>
        <w:pStyle w:val="libFootnote0"/>
        <w:rPr>
          <w:rtl/>
          <w:lang w:bidi="fa-IR"/>
        </w:rPr>
      </w:pPr>
      <w:r>
        <w:rPr>
          <w:rtl/>
        </w:rPr>
        <w:t>(1).</w:t>
      </w:r>
      <w:r w:rsidRPr="00132E65">
        <w:rPr>
          <w:rtl/>
        </w:rPr>
        <w:t xml:space="preserve"> كذا في النسخ والمطبوع. والمحتمل قويّاً صحّة « الحسن »</w:t>
      </w:r>
      <w:r>
        <w:rPr>
          <w:rtl/>
        </w:rPr>
        <w:t>.</w:t>
      </w:r>
      <w:r w:rsidRPr="00132E65">
        <w:rPr>
          <w:rtl/>
        </w:rPr>
        <w:t xml:space="preserve"> وأنّ محمّداً هذا هو محمّد بن الحسن الواسطي المذكور في أصحاب أبي جعفر الثاني </w:t>
      </w:r>
      <w:r w:rsidRPr="001911E1">
        <w:rPr>
          <w:rStyle w:val="libFootnoteAlaemChar"/>
          <w:rtl/>
        </w:rPr>
        <w:t>عليه‌السلام</w:t>
      </w:r>
      <w:r w:rsidRPr="00132E65">
        <w:rPr>
          <w:rtl/>
        </w:rPr>
        <w:t xml:space="preserve"> الذي قال الفضل بن شاذان في شأنه : إنّه كان كريماً على أبي جعفر </w:t>
      </w:r>
      <w:r w:rsidRPr="001911E1">
        <w:rPr>
          <w:rStyle w:val="libFootnoteAlaemChar"/>
          <w:rtl/>
        </w:rPr>
        <w:t>عليه‌السلام</w:t>
      </w:r>
      <w:r w:rsidRPr="00132E65">
        <w:rPr>
          <w:rtl/>
        </w:rPr>
        <w:t xml:space="preserve">. راجع : </w:t>
      </w:r>
      <w:r w:rsidRPr="00DB788F">
        <w:rPr>
          <w:rtl/>
        </w:rPr>
        <w:t>رجال الكشّي</w:t>
      </w:r>
      <w:r w:rsidRPr="00132E65">
        <w:rPr>
          <w:rtl/>
        </w:rPr>
        <w:t xml:space="preserve"> ، ص 558 ، الرقم 1054 ؛ </w:t>
      </w:r>
      <w:r w:rsidRPr="00DB788F">
        <w:rPr>
          <w:rtl/>
        </w:rPr>
        <w:t>رجال الطوسي</w:t>
      </w:r>
      <w:r w:rsidRPr="00132E65">
        <w:rPr>
          <w:rtl/>
        </w:rPr>
        <w:t xml:space="preserve"> ، ص 379 ، الرقم 5617. وانظر أيضاً : </w:t>
      </w:r>
      <w:r w:rsidRPr="00DB788F">
        <w:rPr>
          <w:rtl/>
        </w:rPr>
        <w:t>رجال الكشّي</w:t>
      </w:r>
      <w:r w:rsidRPr="00132E65">
        <w:rPr>
          <w:rtl/>
        </w:rPr>
        <w:t xml:space="preserve"> ، ص 475 ، الرقم 902 ؛ وص 447 ، الرقم 904 ؛ وص 484 ؛ الرقم 911 ؛ وص 543 ، الرقم 1029.</w:t>
      </w:r>
    </w:p>
    <w:p w:rsidR="000C39D1" w:rsidRPr="00132E65" w:rsidRDefault="000C39D1" w:rsidP="000C39D1">
      <w:pPr>
        <w:pStyle w:val="libFootnote0"/>
        <w:rPr>
          <w:rtl/>
          <w:lang w:bidi="fa-IR"/>
        </w:rPr>
      </w:pPr>
      <w:r>
        <w:rPr>
          <w:rtl/>
        </w:rPr>
        <w:t>(2).</w:t>
      </w:r>
      <w:r w:rsidRPr="00132E65">
        <w:rPr>
          <w:rtl/>
        </w:rPr>
        <w:t xml:space="preserve"> في « ج ، ه‍ ، بر ، بس ، بف » و</w:t>
      </w:r>
      <w:r w:rsidRPr="009D1ACE">
        <w:rPr>
          <w:rStyle w:val="libFootnoteBoldChar"/>
          <w:rtl/>
        </w:rPr>
        <w:t>الوافي</w:t>
      </w:r>
      <w:r w:rsidRPr="00132E65">
        <w:rPr>
          <w:rtl/>
        </w:rPr>
        <w:t xml:space="preserve"> والبحار </w:t>
      </w:r>
      <w:r>
        <w:rPr>
          <w:rtl/>
        </w:rPr>
        <w:t xml:space="preserve">: - </w:t>
      </w:r>
      <w:r w:rsidRPr="00132E65">
        <w:rPr>
          <w:rtl/>
        </w:rPr>
        <w:t>« أنّه »</w:t>
      </w:r>
      <w:r>
        <w:rPr>
          <w:rtl/>
        </w:rPr>
        <w:t>.</w:t>
      </w:r>
    </w:p>
    <w:p w:rsidR="000C39D1" w:rsidRPr="00132E65" w:rsidRDefault="000C39D1" w:rsidP="000C39D1">
      <w:pPr>
        <w:pStyle w:val="libFootnote0"/>
        <w:rPr>
          <w:rtl/>
          <w:lang w:bidi="fa-IR"/>
        </w:rPr>
      </w:pPr>
      <w:r>
        <w:rPr>
          <w:rtl/>
        </w:rPr>
        <w:t>(3).</w:t>
      </w:r>
      <w:r w:rsidRPr="00132E65">
        <w:rPr>
          <w:rtl/>
        </w:rPr>
        <w:t xml:space="preserve"> « المنسوخة » : المكتوبة. يقال : نسخ الشي‌ءَ يَنْسَخُهُ نسخاً وانتسخه واستنسخه : اكتتبه عن معارضة. قيل : النَسْخُ : اكتتابك كتاباً عن كتاب حرفاً بحرف ، والأصل نسخة ، والمكتوب عنه نسخة ؛ لأنّه قائم مقامة. راجع : </w:t>
      </w:r>
      <w:r w:rsidRPr="009D1ACE">
        <w:rPr>
          <w:rStyle w:val="libFootnoteBoldChar"/>
          <w:rtl/>
        </w:rPr>
        <w:t>لسان العرب</w:t>
      </w:r>
      <w:r w:rsidRPr="00132E65">
        <w:rPr>
          <w:rtl/>
        </w:rPr>
        <w:t xml:space="preserve"> ، ج 3 ، ص 61 ( نسخ )</w:t>
      </w:r>
      <w:r>
        <w:rPr>
          <w:rtl/>
        </w:rPr>
        <w:t>.</w:t>
      </w:r>
    </w:p>
    <w:p w:rsidR="000C39D1" w:rsidRPr="00132E65" w:rsidRDefault="000C39D1" w:rsidP="000C39D1">
      <w:pPr>
        <w:pStyle w:val="libFootnote0"/>
        <w:rPr>
          <w:rtl/>
          <w:lang w:bidi="fa-IR"/>
        </w:rPr>
      </w:pPr>
      <w:r>
        <w:rPr>
          <w:rtl/>
        </w:rPr>
        <w:t>(4).</w:t>
      </w:r>
      <w:r w:rsidRPr="00132E65">
        <w:rPr>
          <w:rtl/>
        </w:rPr>
        <w:t xml:space="preserve"> في « ه‍ » :</w:t>
      </w:r>
      <w:r>
        <w:rPr>
          <w:rtl/>
        </w:rPr>
        <w:t xml:space="preserve"> + </w:t>
      </w:r>
      <w:r w:rsidRPr="00132E65">
        <w:rPr>
          <w:rtl/>
        </w:rPr>
        <w:t>« أطال الله بقاءه »</w:t>
      </w:r>
      <w:r>
        <w:rPr>
          <w:rtl/>
        </w:rPr>
        <w:t>.</w:t>
      </w:r>
      <w:r w:rsidRPr="00132E65">
        <w:rPr>
          <w:rtl/>
        </w:rPr>
        <w:t xml:space="preserve"> وفي حاشية « بف » :</w:t>
      </w:r>
      <w:r>
        <w:rPr>
          <w:rtl/>
        </w:rPr>
        <w:t xml:space="preserve"> + </w:t>
      </w:r>
      <w:r w:rsidRPr="00132E65">
        <w:rPr>
          <w:rtl/>
        </w:rPr>
        <w:t>« أطال الله بقاء أبي جعفر »</w:t>
      </w:r>
      <w:r>
        <w:rPr>
          <w:rtl/>
        </w:rPr>
        <w:t>.</w:t>
      </w:r>
    </w:p>
    <w:p w:rsidR="000C39D1" w:rsidRPr="00132E65" w:rsidRDefault="000C39D1" w:rsidP="000C39D1">
      <w:pPr>
        <w:pStyle w:val="libFootnote0"/>
        <w:rPr>
          <w:rtl/>
          <w:lang w:bidi="fa-IR"/>
        </w:rPr>
      </w:pPr>
      <w:r>
        <w:rPr>
          <w:rtl/>
        </w:rPr>
        <w:t>(5).</w:t>
      </w:r>
      <w:r w:rsidRPr="00132E65">
        <w:rPr>
          <w:rtl/>
        </w:rPr>
        <w:t xml:space="preserve"> في « ض ، ه‍ ، بر » وحاشية « ج » و</w:t>
      </w:r>
      <w:r w:rsidRPr="009D1ACE">
        <w:rPr>
          <w:rStyle w:val="libFootnoteBoldChar"/>
          <w:rtl/>
        </w:rPr>
        <w:t>مرآة العقول</w:t>
      </w:r>
      <w:r w:rsidRPr="00132E65">
        <w:rPr>
          <w:rtl/>
        </w:rPr>
        <w:t xml:space="preserve"> : « إخوانه »</w:t>
      </w:r>
      <w:r>
        <w:rPr>
          <w:rtl/>
        </w:rPr>
        <w:t>.</w:t>
      </w:r>
      <w:r w:rsidRPr="00132E65">
        <w:rPr>
          <w:rtl/>
        </w:rPr>
        <w:t xml:space="preserve"> قال في </w:t>
      </w:r>
      <w:r w:rsidRPr="00DB788F">
        <w:rPr>
          <w:rtl/>
        </w:rPr>
        <w:t>المرآة</w:t>
      </w:r>
      <w:r w:rsidRPr="00132E65">
        <w:rPr>
          <w:rtl/>
        </w:rPr>
        <w:t xml:space="preserve"> : « ولا يبعد أن يكون أخواته ، فصُحّف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موسى ، يعني ابنه الملقّب بالمبرقع المدفون بقمّ »</w:t>
      </w:r>
      <w:r>
        <w:rPr>
          <w:rtl/>
        </w:rPr>
        <w:t>.</w:t>
      </w:r>
    </w:p>
    <w:p w:rsidR="000C39D1" w:rsidRPr="00132E65" w:rsidRDefault="000C39D1" w:rsidP="000C39D1">
      <w:pPr>
        <w:pStyle w:val="libFootnote0"/>
        <w:rPr>
          <w:rtl/>
          <w:lang w:bidi="fa-IR"/>
        </w:rPr>
      </w:pPr>
      <w:r>
        <w:rPr>
          <w:rtl/>
        </w:rPr>
        <w:t>(7).</w:t>
      </w:r>
      <w:r w:rsidRPr="00132E65">
        <w:rPr>
          <w:rtl/>
        </w:rPr>
        <w:t xml:space="preserve"> في أكثر النسخ و</w:t>
      </w:r>
      <w:r w:rsidRPr="009D1ACE">
        <w:rPr>
          <w:rStyle w:val="libFootnoteBoldChar"/>
          <w:rtl/>
        </w:rPr>
        <w:t>الوافي</w:t>
      </w:r>
      <w:r w:rsidRPr="00132E65">
        <w:rPr>
          <w:rtl/>
        </w:rPr>
        <w:t xml:space="preserve"> : « المشاور » ، في هذا الموضع وما يأتي بعد سطر واحد. ولا يبعد عدم صحّته ؛ فإنّا لم‌نجد حسب تتبّعنا « المشاور » كأحد الأسماء.</w:t>
      </w:r>
    </w:p>
    <w:p w:rsidR="000C39D1" w:rsidRPr="00132E65" w:rsidRDefault="000C39D1" w:rsidP="000C39D1">
      <w:pPr>
        <w:pStyle w:val="libFootnote0"/>
        <w:rPr>
          <w:rtl/>
          <w:lang w:bidi="fa-IR"/>
        </w:rPr>
      </w:pPr>
      <w:r>
        <w:rPr>
          <w:rtl/>
        </w:rPr>
        <w:t>(8).</w:t>
      </w:r>
      <w:r w:rsidRPr="00132E65">
        <w:rPr>
          <w:rtl/>
        </w:rPr>
        <w:t xml:space="preserve"> « الضِياعُ » : جمع ضائع ، كجائع وجياع ، أو جمع الضيعة ، وهي العقار ، قال المازندراني : « هذا هو الأظهر والأنسب في المقام » ، و</w:t>
      </w:r>
      <w:r>
        <w:rPr>
          <w:rFonts w:hint="cs"/>
          <w:rtl/>
        </w:rPr>
        <w:t>َ</w:t>
      </w:r>
      <w:r w:rsidRPr="00132E65">
        <w:rPr>
          <w:rtl/>
        </w:rPr>
        <w:t xml:space="preserve">احْتَمَلَ كونَه بفتح الضاد بمعنى العِيال. راجع : </w:t>
      </w:r>
      <w:r w:rsidRPr="00DB788F">
        <w:rPr>
          <w:rtl/>
        </w:rPr>
        <w:t>النهاية</w:t>
      </w:r>
      <w:r w:rsidRPr="00132E65">
        <w:rPr>
          <w:rtl/>
        </w:rPr>
        <w:t xml:space="preserve"> ، ج 3 ، ص 107 ( ضيع )</w:t>
      </w:r>
      <w:r>
        <w:rPr>
          <w:rtl/>
        </w:rPr>
        <w:t>.</w:t>
      </w:r>
    </w:p>
    <w:p w:rsidR="000C39D1" w:rsidRPr="00132E65" w:rsidRDefault="000C39D1" w:rsidP="000C39D1">
      <w:pPr>
        <w:pStyle w:val="libFootnote0"/>
        <w:rPr>
          <w:rtl/>
          <w:lang w:bidi="fa-IR"/>
        </w:rPr>
      </w:pPr>
      <w:r>
        <w:rPr>
          <w:rtl/>
        </w:rPr>
        <w:t>(9).</w:t>
      </w:r>
      <w:r w:rsidRPr="00132E65">
        <w:rPr>
          <w:rtl/>
        </w:rPr>
        <w:t xml:space="preserve"> « الرقيق » : المملوك. فعيل بمعنى مفعول</w:t>
      </w:r>
      <w:r>
        <w:rPr>
          <w:rtl/>
        </w:rPr>
        <w:t xml:space="preserve"> - </w:t>
      </w:r>
      <w:r w:rsidRPr="00132E65">
        <w:rPr>
          <w:rtl/>
        </w:rPr>
        <w:t>وقد يطلق على الجماعة كالرفيق</w:t>
      </w:r>
      <w:r>
        <w:rPr>
          <w:rtl/>
        </w:rPr>
        <w:t xml:space="preserve"> - </w:t>
      </w:r>
      <w:r w:rsidRPr="00132E65">
        <w:rPr>
          <w:rtl/>
        </w:rPr>
        <w:t xml:space="preserve">من الرِقّ بمعنى المِلك. </w:t>
      </w:r>
      <w:r w:rsidRPr="00DB788F">
        <w:rPr>
          <w:rtl/>
        </w:rPr>
        <w:t>النهاية</w:t>
      </w:r>
      <w:r w:rsidRPr="00132E65">
        <w:rPr>
          <w:rtl/>
        </w:rPr>
        <w:t xml:space="preserve"> ، ج 2 ، ص 251 ( رقق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أَنْ يَبْلُغَ عَلِيُّ بْنُ مُحَمَّدٍ ، صَيَّرَ </w:t>
      </w:r>
      <w:r>
        <w:rPr>
          <w:rStyle w:val="libFootnotenumChar"/>
          <w:rtl/>
        </w:rPr>
        <w:t>(1)</w:t>
      </w:r>
      <w:r w:rsidRPr="00132E65">
        <w:rPr>
          <w:rtl/>
          <w:lang w:bidi="fa-IR"/>
        </w:rPr>
        <w:t xml:space="preserve"> عَبْدُاللهِ بْنُ الْمُسَاوِرِ ذلِكَ الْيَوْمَ </w:t>
      </w:r>
      <w:r>
        <w:rPr>
          <w:rStyle w:val="libFootnotenumChar"/>
          <w:rtl/>
        </w:rPr>
        <w:t>(2)</w:t>
      </w:r>
      <w:r w:rsidRPr="00132E65">
        <w:rPr>
          <w:rtl/>
          <w:lang w:bidi="fa-IR"/>
        </w:rPr>
        <w:t xml:space="preserve"> إِلَيْهِ </w:t>
      </w:r>
      <w:r>
        <w:rPr>
          <w:rStyle w:val="libFootnotenumChar"/>
          <w:rtl/>
        </w:rPr>
        <w:t>(3)</w:t>
      </w:r>
      <w:r w:rsidRPr="00132E65">
        <w:rPr>
          <w:rtl/>
          <w:lang w:bidi="fa-IR"/>
        </w:rPr>
        <w:t xml:space="preserve"> ، يَقُومُ </w:t>
      </w:r>
      <w:r>
        <w:rPr>
          <w:rStyle w:val="libFootnotenumChar"/>
          <w:rtl/>
        </w:rPr>
        <w:t>(4)</w:t>
      </w:r>
      <w:r w:rsidRPr="00132E65">
        <w:rPr>
          <w:rtl/>
          <w:lang w:bidi="fa-IR"/>
        </w:rPr>
        <w:t xml:space="preserve"> بِأَمْرِ نَفْسِهِ وَأَخَوَاتِهِ </w:t>
      </w:r>
      <w:r>
        <w:rPr>
          <w:rStyle w:val="libFootnotenumChar"/>
          <w:rtl/>
        </w:rPr>
        <w:t>(5)</w:t>
      </w:r>
      <w:r w:rsidRPr="00132E65">
        <w:rPr>
          <w:rtl/>
          <w:lang w:bidi="fa-IR"/>
        </w:rPr>
        <w:t xml:space="preserve"> ، و</w:t>
      </w:r>
      <w:r>
        <w:rPr>
          <w:rFonts w:hint="cs"/>
          <w:rtl/>
          <w:lang w:bidi="fa-IR"/>
        </w:rPr>
        <w:t>َ</w:t>
      </w:r>
      <w:r w:rsidRPr="00132E65">
        <w:rPr>
          <w:rtl/>
          <w:lang w:bidi="fa-IR"/>
        </w:rPr>
        <w:t xml:space="preserve">يُصَيِّرُ </w:t>
      </w:r>
      <w:r>
        <w:rPr>
          <w:rStyle w:val="libFootnotenumChar"/>
          <w:rtl/>
        </w:rPr>
        <w:t>(6)</w:t>
      </w:r>
      <w:r w:rsidRPr="00132E65">
        <w:rPr>
          <w:rtl/>
          <w:lang w:bidi="fa-IR"/>
        </w:rPr>
        <w:t xml:space="preserve"> أَمْرَ مُوسى إِلَيْهِ </w:t>
      </w:r>
      <w:r>
        <w:rPr>
          <w:rStyle w:val="libFootnotenumChar"/>
          <w:rtl/>
        </w:rPr>
        <w:t>(7)</w:t>
      </w:r>
      <w:r w:rsidRPr="00132E65">
        <w:rPr>
          <w:rtl/>
          <w:lang w:bidi="fa-IR"/>
        </w:rPr>
        <w:t xml:space="preserve"> ، يَقُومُ </w:t>
      </w:r>
      <w:r>
        <w:rPr>
          <w:rStyle w:val="libFootnotenumChar"/>
          <w:rtl/>
        </w:rPr>
        <w:t>(8)</w:t>
      </w:r>
      <w:r w:rsidRPr="00132E65">
        <w:rPr>
          <w:rtl/>
          <w:lang w:bidi="fa-IR"/>
        </w:rPr>
        <w:t xml:space="preserve"> لِنَفْسِهِ بَعْدَهُمَا </w:t>
      </w:r>
      <w:r>
        <w:rPr>
          <w:rStyle w:val="libFootnotenumChar"/>
          <w:rtl/>
        </w:rPr>
        <w:t>(9)</w:t>
      </w:r>
      <w:r w:rsidRPr="00132E65">
        <w:rPr>
          <w:rtl/>
          <w:lang w:bidi="fa-IR"/>
        </w:rPr>
        <w:t xml:space="preserve"> عَلى شَرْطِ أَبِيهِمَا فِي صَدَقَاتِهِ الَّتِي تَصَدَّقَ بِهَا ، و</w:t>
      </w:r>
      <w:r>
        <w:rPr>
          <w:rFonts w:hint="cs"/>
          <w:rtl/>
          <w:lang w:bidi="fa-IR"/>
        </w:rPr>
        <w:t xml:space="preserve">َ </w:t>
      </w:r>
      <w:r w:rsidRPr="00132E65">
        <w:rPr>
          <w:rtl/>
          <w:lang w:bidi="fa-IR"/>
        </w:rPr>
        <w:t>ذلِكَ يَوْمُ الْأَحَدِ لِثَلَاثِ لَيَالٍ خَلَوْنَ مِنْ ذِي الْحِجَّةِ سَنَةَ عِشْرِينَ و</w:t>
      </w:r>
      <w:r>
        <w:rPr>
          <w:rFonts w:hint="cs"/>
          <w:rtl/>
          <w:lang w:bidi="fa-IR"/>
        </w:rPr>
        <w:t xml:space="preserve">َ </w:t>
      </w:r>
      <w:r w:rsidRPr="00132E65">
        <w:rPr>
          <w:rtl/>
          <w:lang w:bidi="fa-IR"/>
        </w:rPr>
        <w:t>مِائَتَيْنِ ، و</w:t>
      </w:r>
      <w:r>
        <w:rPr>
          <w:rFonts w:hint="cs"/>
          <w:rtl/>
          <w:lang w:bidi="fa-IR"/>
        </w:rPr>
        <w:t xml:space="preserve">َ </w:t>
      </w:r>
      <w:r w:rsidRPr="00132E65">
        <w:rPr>
          <w:rtl/>
          <w:lang w:bidi="fa-IR"/>
        </w:rPr>
        <w:t>كَتَبَ أَحْمَدُ بْنُ أَبِي خَالِدٍ شَهَادَتَهُ بِخَطِّهِ.</w:t>
      </w:r>
    </w:p>
    <w:p w:rsidR="000C39D1" w:rsidRPr="00132E65" w:rsidRDefault="000C39D1" w:rsidP="000C39D1">
      <w:pPr>
        <w:pStyle w:val="libNormal"/>
        <w:rPr>
          <w:rtl/>
          <w:lang w:bidi="fa-IR"/>
        </w:rPr>
      </w:pPr>
      <w:r w:rsidRPr="00132E65">
        <w:rPr>
          <w:rtl/>
          <w:lang w:bidi="fa-IR"/>
        </w:rPr>
        <w:t xml:space="preserve">وَشَهِدَ الْحَسَنُ بْنُ مُحَمَّدِ بْنِ عُبَيْدِ اللهِ بْنِ الْحُسَيْنِ </w:t>
      </w:r>
      <w:r>
        <w:rPr>
          <w:rStyle w:val="libFootnotenumChar"/>
          <w:rtl/>
        </w:rPr>
        <w:t>(10)</w:t>
      </w:r>
      <w:r w:rsidRPr="00132E65">
        <w:rPr>
          <w:rtl/>
          <w:lang w:bidi="fa-IR"/>
        </w:rPr>
        <w:t xml:space="preserve"> بْنِ عَلِيِّ بْنِ الْحُسَيْنِ بْنِ عَلِيِّ بْنِ أَبِي طَالِبٍ </w:t>
      </w:r>
      <w:r w:rsidRPr="00071CF9">
        <w:rPr>
          <w:rStyle w:val="libAlaemChar"/>
          <w:rtl/>
        </w:rPr>
        <w:t>عليهم‌السلام</w:t>
      </w:r>
      <w:r>
        <w:rPr>
          <w:rtl/>
          <w:lang w:bidi="fa-IR"/>
        </w:rPr>
        <w:t xml:space="preserve"> - </w:t>
      </w:r>
      <w:r w:rsidRPr="00132E65">
        <w:rPr>
          <w:rtl/>
          <w:lang w:bidi="fa-IR"/>
        </w:rPr>
        <w:t>و</w:t>
      </w:r>
      <w:r>
        <w:rPr>
          <w:rFonts w:hint="cs"/>
          <w:rtl/>
          <w:lang w:bidi="fa-IR"/>
        </w:rPr>
        <w:t xml:space="preserve">َ </w:t>
      </w:r>
      <w:r w:rsidRPr="00132E65">
        <w:rPr>
          <w:rtl/>
          <w:lang w:bidi="fa-IR"/>
        </w:rPr>
        <w:t>هُوَ الْجَوَّانِيُّ</w:t>
      </w:r>
      <w:r>
        <w:rPr>
          <w:rtl/>
          <w:lang w:bidi="fa-IR"/>
        </w:rPr>
        <w:t xml:space="preserve"> - </w:t>
      </w:r>
      <w:r w:rsidRPr="00132E65">
        <w:rPr>
          <w:rtl/>
          <w:lang w:bidi="fa-IR"/>
        </w:rPr>
        <w:t>عَلى مِثْلِ شَهَادَةِ أَحْمَدَ بْنِ أَبِي خَالِدٍ فِي صَدْرِ هذَا الْكِتَابِ ، و</w:t>
      </w:r>
      <w:r>
        <w:rPr>
          <w:rFonts w:hint="cs"/>
          <w:rtl/>
          <w:lang w:bidi="fa-IR"/>
        </w:rPr>
        <w:t>َ</w:t>
      </w:r>
      <w:r w:rsidRPr="00132E65">
        <w:rPr>
          <w:rtl/>
          <w:lang w:bidi="fa-IR"/>
        </w:rPr>
        <w:t>كَتَبَ شَهَادَتَهُ بِيَدِهِ.</w:t>
      </w:r>
    </w:p>
    <w:p w:rsidR="000C39D1" w:rsidRPr="00132E65" w:rsidRDefault="000C39D1" w:rsidP="000C39D1">
      <w:pPr>
        <w:pStyle w:val="libNormal"/>
        <w:rPr>
          <w:rtl/>
          <w:lang w:bidi="fa-IR"/>
        </w:rPr>
      </w:pPr>
      <w:r w:rsidRPr="00132E65">
        <w:rPr>
          <w:rtl/>
          <w:lang w:bidi="fa-IR"/>
        </w:rPr>
        <w:t xml:space="preserve">وَشَهِدَ نَصْرٌ الْخَادِمُ ، وكَتَبَ شَهَادَتَهُ بِيَدِهِ.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يعني فإذا بلغ عليّ بن محمّد صيّر ، ولعلّه سقط من قلم النسّاخ. أو كان : فصيّر ، فسقط الفاء »</w:t>
      </w:r>
      <w:r>
        <w:rPr>
          <w:rtl/>
        </w:rPr>
        <w:t>.</w:t>
      </w:r>
      <w:r w:rsidRPr="00132E65">
        <w:rPr>
          <w:rtl/>
        </w:rPr>
        <w:t xml:space="preserve"> وفي </w:t>
      </w:r>
      <w:r w:rsidRPr="009D1ACE">
        <w:rPr>
          <w:rStyle w:val="libFootnoteBoldChar"/>
          <w:rtl/>
        </w:rPr>
        <w:t>مرآة العقول</w:t>
      </w:r>
      <w:r w:rsidRPr="00132E65">
        <w:rPr>
          <w:rtl/>
        </w:rPr>
        <w:t xml:space="preserve"> : « قيل</w:t>
      </w:r>
      <w:r>
        <w:rPr>
          <w:rtl/>
        </w:rPr>
        <w:t xml:space="preserve"> ..</w:t>
      </w:r>
      <w:r w:rsidRPr="00132E65">
        <w:rPr>
          <w:rtl/>
        </w:rPr>
        <w:t>. وصيّر فاعله ضمير مستتر راجع إلى أبي جعفر ؛ وعبد الله ، منصوب بالمفعوليّة »</w:t>
      </w:r>
      <w:r>
        <w:rPr>
          <w:rtl/>
        </w:rPr>
        <w:t>.</w:t>
      </w:r>
    </w:p>
    <w:p w:rsidR="000C39D1" w:rsidRPr="00132E65" w:rsidRDefault="000C39D1" w:rsidP="000C39D1">
      <w:pPr>
        <w:pStyle w:val="libFootnote0"/>
        <w:rPr>
          <w:rtl/>
          <w:lang w:bidi="fa-IR"/>
        </w:rPr>
      </w:pPr>
      <w:r>
        <w:rPr>
          <w:rtl/>
        </w:rPr>
        <w:t>(2).</w:t>
      </w:r>
      <w:r w:rsidRPr="00132E65">
        <w:rPr>
          <w:rtl/>
        </w:rPr>
        <w:t xml:space="preserve"> في « ه‍ » وشرح المازندراني و</w:t>
      </w:r>
      <w:r w:rsidRPr="009D1ACE">
        <w:rPr>
          <w:rStyle w:val="libFootnoteBoldChar"/>
          <w:rtl/>
        </w:rPr>
        <w:t>الوافي</w:t>
      </w:r>
      <w:r w:rsidRPr="00132E65">
        <w:rPr>
          <w:rtl/>
        </w:rPr>
        <w:t xml:space="preserve"> </w:t>
      </w:r>
      <w:r>
        <w:rPr>
          <w:rtl/>
        </w:rPr>
        <w:t xml:space="preserve">: - </w:t>
      </w:r>
      <w:r w:rsidRPr="00132E65">
        <w:rPr>
          <w:rtl/>
        </w:rPr>
        <w:t>« اليوم »</w:t>
      </w:r>
      <w:r>
        <w:rPr>
          <w:rtl/>
        </w:rPr>
        <w:t>.</w:t>
      </w:r>
    </w:p>
    <w:p w:rsidR="000C39D1" w:rsidRPr="00132E65" w:rsidRDefault="000C39D1" w:rsidP="000C39D1">
      <w:pPr>
        <w:pStyle w:val="libFootnote0"/>
        <w:rPr>
          <w:rtl/>
          <w:lang w:bidi="fa-IR"/>
        </w:rPr>
      </w:pPr>
      <w:r>
        <w:rPr>
          <w:rtl/>
        </w:rPr>
        <w:t>(3).</w:t>
      </w:r>
      <w:r w:rsidRPr="00132E65">
        <w:rPr>
          <w:rtl/>
        </w:rPr>
        <w:t xml:space="preserve"> في « بح ، بس ، بف » </w:t>
      </w:r>
      <w:r>
        <w:rPr>
          <w:rtl/>
        </w:rPr>
        <w:t xml:space="preserve">: - </w:t>
      </w:r>
      <w:r w:rsidRPr="00132E65">
        <w:rPr>
          <w:rtl/>
        </w:rPr>
        <w:t>« إليه »</w:t>
      </w:r>
      <w:r>
        <w:rPr>
          <w:rtl/>
        </w:rPr>
        <w:t>.</w:t>
      </w:r>
    </w:p>
    <w:p w:rsidR="000C39D1" w:rsidRPr="00132E65" w:rsidRDefault="000C39D1" w:rsidP="000C39D1">
      <w:pPr>
        <w:pStyle w:val="libFootnote0"/>
        <w:rPr>
          <w:rtl/>
          <w:lang w:bidi="fa-IR"/>
        </w:rPr>
      </w:pPr>
      <w:r>
        <w:rPr>
          <w:rtl/>
        </w:rPr>
        <w:t>(4).</w:t>
      </w:r>
      <w:r w:rsidRPr="00132E65">
        <w:rPr>
          <w:rtl/>
        </w:rPr>
        <w:t xml:space="preserve"> في « ب » : « ليقوم »</w:t>
      </w:r>
      <w:r>
        <w:rPr>
          <w:rtl/>
        </w:rPr>
        <w:t>.</w:t>
      </w:r>
    </w:p>
    <w:p w:rsidR="000C39D1" w:rsidRPr="00132E65" w:rsidRDefault="000C39D1" w:rsidP="000C39D1">
      <w:pPr>
        <w:pStyle w:val="libFootnote0"/>
        <w:rPr>
          <w:rtl/>
          <w:lang w:bidi="fa-IR"/>
        </w:rPr>
      </w:pPr>
      <w:r>
        <w:rPr>
          <w:rtl/>
        </w:rPr>
        <w:t>(5).</w:t>
      </w:r>
      <w:r w:rsidRPr="00132E65">
        <w:rPr>
          <w:rtl/>
        </w:rPr>
        <w:t xml:space="preserve"> في « ب ، ض ، ف ، ه‍ ، بر » وشرح المازندراني : « إخوانه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ويمكن أن يقرأ : يصير ، بالتخفيف »</w:t>
      </w:r>
      <w:r>
        <w:rPr>
          <w:rtl/>
        </w:rPr>
        <w:t>.</w:t>
      </w:r>
      <w:r w:rsidRPr="00132E65">
        <w:rPr>
          <w:rtl/>
        </w:rPr>
        <w:t xml:space="preserve"> أي من باب ضرب ، كما نصّ عليه فيما بعد.</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يعني إلى موسى. ويشبه أن يكون قد سقط هنا شي‌ء »</w:t>
      </w:r>
      <w:r>
        <w:rPr>
          <w:rtl/>
        </w:rPr>
        <w:t>.</w:t>
      </w:r>
    </w:p>
    <w:p w:rsidR="000C39D1" w:rsidRPr="00132E65" w:rsidRDefault="000C39D1" w:rsidP="000C39D1">
      <w:pPr>
        <w:pStyle w:val="libFootnote0"/>
        <w:rPr>
          <w:rtl/>
          <w:lang w:bidi="fa-IR"/>
        </w:rPr>
      </w:pPr>
      <w:r>
        <w:rPr>
          <w:rtl/>
        </w:rPr>
        <w:t>(8).</w:t>
      </w:r>
      <w:r w:rsidRPr="00132E65">
        <w:rPr>
          <w:rtl/>
        </w:rPr>
        <w:t xml:space="preserve"> في « بر » : « ليقوم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قيل :</w:t>
      </w:r>
      <w:r>
        <w:rPr>
          <w:rtl/>
        </w:rPr>
        <w:t xml:space="preserve"> ..</w:t>
      </w:r>
      <w:r w:rsidRPr="00132E65">
        <w:rPr>
          <w:rtl/>
        </w:rPr>
        <w:t xml:space="preserve">. </w:t>
      </w:r>
      <w:r>
        <w:rPr>
          <w:rtl/>
        </w:rPr>
        <w:t>و «</w:t>
      </w:r>
      <w:r w:rsidRPr="00132E65">
        <w:rPr>
          <w:rtl/>
        </w:rPr>
        <w:t xml:space="preserve"> بعد » مبنيّ على الضمّ ، أي بعد بلوغ موسى أيضاً. وهذه الجملة استيناف لبيان قوله : يصير أمر موسى إليه</w:t>
      </w:r>
      <w:r>
        <w:rPr>
          <w:rtl/>
        </w:rPr>
        <w:t xml:space="preserve"> ..</w:t>
      </w:r>
      <w:r w:rsidRPr="00132E65">
        <w:rPr>
          <w:rtl/>
        </w:rPr>
        <w:t xml:space="preserve">. </w:t>
      </w:r>
      <w:r>
        <w:rPr>
          <w:rtl/>
        </w:rPr>
        <w:t>و «</w:t>
      </w:r>
      <w:r w:rsidRPr="00132E65">
        <w:rPr>
          <w:rtl/>
        </w:rPr>
        <w:t xml:space="preserve"> هما » مبتدأ ، والضمير راجع إلى عليّ وموسى ، والظرف خبر المبتدأ »</w:t>
      </w:r>
      <w:r>
        <w:rPr>
          <w:rtl/>
        </w:rPr>
        <w:t>.</w:t>
      </w:r>
    </w:p>
    <w:p w:rsidR="000C39D1" w:rsidRPr="00132E65" w:rsidRDefault="000C39D1" w:rsidP="000C39D1">
      <w:pPr>
        <w:pStyle w:val="libFootnote0"/>
        <w:rPr>
          <w:rtl/>
          <w:lang w:bidi="fa-IR"/>
        </w:rPr>
      </w:pPr>
      <w:r>
        <w:rPr>
          <w:rtl/>
        </w:rPr>
        <w:t>(10).</w:t>
      </w:r>
      <w:r w:rsidRPr="00132E65">
        <w:rPr>
          <w:rtl/>
        </w:rPr>
        <w:t xml:space="preserve"> هكذا في « ه‍ »</w:t>
      </w:r>
      <w:r>
        <w:rPr>
          <w:rtl/>
        </w:rPr>
        <w:t>.</w:t>
      </w:r>
      <w:r w:rsidRPr="00132E65">
        <w:rPr>
          <w:rtl/>
        </w:rPr>
        <w:t xml:space="preserve"> وفي سائر النسخ والمطبوع : « عبد الله بن الحسن »</w:t>
      </w:r>
      <w:r>
        <w:rPr>
          <w:rtl/>
        </w:rPr>
        <w:t>.</w:t>
      </w:r>
    </w:p>
    <w:p w:rsidR="000C39D1" w:rsidRPr="00132E65" w:rsidRDefault="000C39D1" w:rsidP="000C39D1">
      <w:pPr>
        <w:pStyle w:val="libFootnote0"/>
        <w:rPr>
          <w:rtl/>
          <w:lang w:bidi="fa-IR"/>
        </w:rPr>
      </w:pPr>
      <w:r w:rsidRPr="00F24C1F">
        <w:rPr>
          <w:rtl/>
        </w:rPr>
        <w:t xml:space="preserve">والصواب ما أثبتناه ؛ فإنّ الحسن هذا ، هو الحسن بن محمّد بن عبيد الله الأعرج بن الحسين الأصغر بن عليّ بن الحسين بن عليّ بن أبي طالب. راجع : </w:t>
      </w:r>
      <w:r w:rsidRPr="00DB788F">
        <w:rPr>
          <w:rtl/>
        </w:rPr>
        <w:t>تهذيب الأنساب</w:t>
      </w:r>
      <w:r w:rsidRPr="00F24C1F">
        <w:rPr>
          <w:rtl/>
        </w:rPr>
        <w:t xml:space="preserve"> ، ص 221 </w:t>
      </w:r>
      <w:r>
        <w:rPr>
          <w:rtl/>
        </w:rPr>
        <w:t>-</w:t>
      </w:r>
      <w:r w:rsidRPr="00F24C1F">
        <w:rPr>
          <w:rtl/>
        </w:rPr>
        <w:t xml:space="preserve"> 222 ، وص 229 ؛ المجدي ، ص 194 </w:t>
      </w:r>
      <w:r>
        <w:rPr>
          <w:rtl/>
        </w:rPr>
        <w:t>-</w:t>
      </w:r>
      <w:r w:rsidRPr="00F24C1F">
        <w:rPr>
          <w:rtl/>
        </w:rPr>
        <w:t xml:space="preserve"> 196. وانظر أيضاً : </w:t>
      </w:r>
      <w:r w:rsidRPr="00DB788F">
        <w:rPr>
          <w:rtl/>
        </w:rPr>
        <w:t>رجال النجاشي</w:t>
      </w:r>
      <w:r w:rsidRPr="00F24C1F">
        <w:rPr>
          <w:rtl/>
        </w:rPr>
        <w:t xml:space="preserve"> ، ص 256 ، الرقم 671 ، وص 262 ، الرقم 687 ، وص 395 ، الرقم 1058.</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2 ، ص 384 ، ح 867 ؛ </w:t>
      </w:r>
      <w:r w:rsidRPr="00DB788F">
        <w:rPr>
          <w:rtl/>
        </w:rPr>
        <w:t>البحار</w:t>
      </w:r>
      <w:r w:rsidRPr="00132E65">
        <w:rPr>
          <w:rtl/>
        </w:rPr>
        <w:t xml:space="preserve"> ، ج 50 ، ص 121 ، ح 4.</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31" w:name="_Toc459459103"/>
      <w:bookmarkStart w:id="32" w:name="_Toc34663072"/>
      <w:r w:rsidRPr="00132E65">
        <w:rPr>
          <w:rtl/>
          <w:lang w:bidi="fa-IR"/>
        </w:rPr>
        <w:t>75</w:t>
      </w:r>
      <w:r>
        <w:rPr>
          <w:rtl/>
          <w:lang w:bidi="fa-IR"/>
        </w:rPr>
        <w:t xml:space="preserve"> - </w:t>
      </w:r>
      <w:r w:rsidRPr="00132E65">
        <w:rPr>
          <w:rtl/>
          <w:lang w:bidi="fa-IR"/>
        </w:rPr>
        <w:t>بَابُ الْإِشَارَةِ و</w:t>
      </w:r>
      <w:r>
        <w:rPr>
          <w:rFonts w:hint="cs"/>
          <w:rtl/>
        </w:rPr>
        <w:t>َ</w:t>
      </w:r>
      <w:r w:rsidRPr="00132E65">
        <w:rPr>
          <w:rtl/>
          <w:lang w:bidi="fa-IR"/>
        </w:rPr>
        <w:t xml:space="preserve">النَّصِّ عَلى أَبِي مُحَمَّدٍ </w:t>
      </w:r>
      <w:r w:rsidRPr="00071CF9">
        <w:rPr>
          <w:rStyle w:val="libAlaemChar"/>
          <w:rtl/>
        </w:rPr>
        <w:t>عليه‌السلام</w:t>
      </w:r>
      <w:r w:rsidRPr="00132E65">
        <w:rPr>
          <w:rtl/>
          <w:lang w:bidi="fa-IR"/>
        </w:rPr>
        <w:t>‌</w:t>
      </w:r>
      <w:bookmarkEnd w:id="31"/>
      <w:bookmarkEnd w:id="32"/>
    </w:p>
    <w:p w:rsidR="000C39D1" w:rsidRPr="00132E65" w:rsidRDefault="000C39D1" w:rsidP="000C39D1">
      <w:pPr>
        <w:pStyle w:val="libNormal"/>
        <w:rPr>
          <w:rtl/>
          <w:lang w:bidi="fa-IR"/>
        </w:rPr>
      </w:pPr>
      <w:r w:rsidRPr="00DB788F">
        <w:rPr>
          <w:rtl/>
        </w:rPr>
        <w:t>850</w:t>
      </w:r>
      <w:r w:rsidRPr="004325D8">
        <w:rPr>
          <w:rStyle w:val="libBold2Char"/>
          <w:rtl/>
        </w:rPr>
        <w:t xml:space="preserve"> / 1.</w:t>
      </w:r>
      <w:r w:rsidRPr="00132E65">
        <w:rPr>
          <w:rtl/>
          <w:lang w:bidi="fa-IR"/>
        </w:rPr>
        <w:t xml:space="preserve"> عَلِيُّ بْنُ مُحَمَّدٍ ، عَنْ مُحَمَّدِ بْنِ أَحْمَدَ النَّهْدِيِّ ، عَنْ يَحْيَى بْنِ يَسَارٍ </w:t>
      </w:r>
      <w:r>
        <w:rPr>
          <w:rStyle w:val="libFootnotenumChar"/>
          <w:rtl/>
        </w:rPr>
        <w:t>(1)</w:t>
      </w:r>
      <w:r w:rsidRPr="00132E65">
        <w:rPr>
          <w:rtl/>
          <w:lang w:bidi="fa-IR"/>
        </w:rPr>
        <w:t xml:space="preserve"> الْقَنْبَرِيِّ </w:t>
      </w:r>
      <w:r>
        <w:rPr>
          <w:rStyle w:val="libFootnotenumChar"/>
          <w:rtl/>
        </w:rPr>
        <w:t>(2)</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أَوْصى أَبُو الْحَسَنِ </w:t>
      </w:r>
      <w:r>
        <w:rPr>
          <w:rStyle w:val="libFootnotenumChar"/>
          <w:rtl/>
        </w:rPr>
        <w:t>(3)</w:t>
      </w:r>
      <w:r w:rsidRPr="00132E65">
        <w:rPr>
          <w:rtl/>
          <w:lang w:bidi="fa-IR"/>
        </w:rPr>
        <w:t xml:space="preserve"> </w:t>
      </w:r>
      <w:r w:rsidRPr="00071CF9">
        <w:rPr>
          <w:rStyle w:val="libAlaemChar"/>
          <w:rtl/>
        </w:rPr>
        <w:t>عليه‌السلام</w:t>
      </w:r>
      <w:r w:rsidRPr="00132E65">
        <w:rPr>
          <w:rtl/>
          <w:lang w:bidi="fa-IR"/>
        </w:rPr>
        <w:t xml:space="preserve"> إِلَى ابْنِهِ الْحَسَنِ قَبْلَ مُضِيِّهِ بِأَرْبَعَةِ أَشْهُرٍ ، و</w:t>
      </w:r>
      <w:r>
        <w:rPr>
          <w:rFonts w:hint="cs"/>
          <w:rtl/>
          <w:lang w:bidi="fa-IR"/>
        </w:rPr>
        <w:t xml:space="preserve">َ </w:t>
      </w:r>
      <w:r w:rsidRPr="00132E65">
        <w:rPr>
          <w:rtl/>
          <w:lang w:bidi="fa-IR"/>
        </w:rPr>
        <w:t>أَشْهَدَنِي عَلى ذلِكَ و</w:t>
      </w:r>
      <w:r>
        <w:rPr>
          <w:rFonts w:hint="cs"/>
          <w:rtl/>
          <w:lang w:bidi="fa-IR"/>
        </w:rPr>
        <w:t xml:space="preserve">َ </w:t>
      </w:r>
      <w:r w:rsidRPr="00132E65">
        <w:rPr>
          <w:rtl/>
          <w:lang w:bidi="fa-IR"/>
        </w:rPr>
        <w:t xml:space="preserve">جَمَاعَةً مِنَ الْمَوَالِي </w:t>
      </w:r>
      <w:r>
        <w:rPr>
          <w:rStyle w:val="libFootnotenumChar"/>
          <w:rtl/>
        </w:rPr>
        <w:t>(4)</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DB788F">
        <w:rPr>
          <w:rtl/>
        </w:rPr>
        <w:t>851</w:t>
      </w:r>
      <w:r w:rsidRPr="004325D8">
        <w:rPr>
          <w:rStyle w:val="libBold2Char"/>
          <w:rtl/>
        </w:rPr>
        <w:t xml:space="preserve"> / 2.</w:t>
      </w:r>
      <w:r w:rsidRPr="00132E65">
        <w:rPr>
          <w:rtl/>
          <w:lang w:bidi="fa-IR"/>
        </w:rPr>
        <w:t xml:space="preserve"> عَلِيُّ بْنُ مُحَمَّدٍ ، عَنْ جَعْفَرِ بْنِ مُحَمَّدٍ الْكُوفِيِّ ، عَنْ بَشَّارِ </w:t>
      </w:r>
      <w:r>
        <w:rPr>
          <w:rStyle w:val="libFootnotenumChar"/>
          <w:rtl/>
        </w:rPr>
        <w:t>(6)</w:t>
      </w:r>
      <w:r w:rsidRPr="00132E65">
        <w:rPr>
          <w:rtl/>
          <w:lang w:bidi="fa-IR"/>
        </w:rPr>
        <w:t xml:space="preserve"> بْنِ أَحْمَدَ الْبَصْرِيِّ ، عَنْ عَلِيِّ بْنِ عُمَرَ </w:t>
      </w:r>
      <w:r>
        <w:rPr>
          <w:rStyle w:val="libFootnotenumChar"/>
          <w:rtl/>
        </w:rPr>
        <w:t>(7)</w:t>
      </w:r>
      <w:r w:rsidRPr="00132E65">
        <w:rPr>
          <w:rtl/>
          <w:lang w:bidi="fa-IR"/>
        </w:rPr>
        <w:t xml:space="preserve"> النَّوْفَلِيِّ ، قَالَ :</w:t>
      </w:r>
    </w:p>
    <w:p w:rsidR="000C39D1" w:rsidRPr="00132E65" w:rsidRDefault="000C39D1" w:rsidP="000C39D1">
      <w:pPr>
        <w:pStyle w:val="libNormal"/>
        <w:rPr>
          <w:rtl/>
          <w:lang w:bidi="fa-IR"/>
        </w:rPr>
      </w:pPr>
      <w:r w:rsidRPr="00132E65">
        <w:rPr>
          <w:rtl/>
          <w:lang w:bidi="fa-IR"/>
        </w:rPr>
        <w:t xml:space="preserve">كُنْتُ مَعَ أَبِي الْحَسَنِ </w:t>
      </w:r>
      <w:r w:rsidRPr="00071CF9">
        <w:rPr>
          <w:rStyle w:val="libAlaemChar"/>
          <w:rtl/>
        </w:rPr>
        <w:t>عليه‌السلام</w:t>
      </w:r>
      <w:r w:rsidRPr="00132E65">
        <w:rPr>
          <w:rtl/>
          <w:lang w:bidi="fa-IR"/>
        </w:rPr>
        <w:t xml:space="preserve"> فِي صَحْنِ دَارِهِ ، فَمَرَّ بِنَا مُحَمَّدٌ ابْنُهُ </w:t>
      </w:r>
      <w:r>
        <w:rPr>
          <w:rStyle w:val="libFootnotenumChar"/>
          <w:rtl/>
        </w:rPr>
        <w:t>(8)</w:t>
      </w:r>
      <w:r w:rsidRPr="00132E65">
        <w:rPr>
          <w:rtl/>
          <w:lang w:bidi="fa-IR"/>
        </w:rPr>
        <w:t xml:space="preserve"> ، فَقُلْتُ لَهُ : جُعِلْتُ فِدَاكَ ، هذَا صَاحِبُنَا بَعْدَكَ</w:t>
      </w:r>
      <w:r>
        <w:rPr>
          <w:rtl/>
          <w:lang w:bidi="fa-IR"/>
        </w:rPr>
        <w:t>؟</w:t>
      </w:r>
      <w:r w:rsidRPr="00132E65">
        <w:rPr>
          <w:rtl/>
          <w:lang w:bidi="fa-IR"/>
        </w:rPr>
        <w:t xml:space="preserve"> فَقَالَ : « لَا ، صَاحِبُكُمْ بَعْدِيَ الْحَسَنُ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DB788F">
        <w:rPr>
          <w:rtl/>
        </w:rPr>
        <w:t>852</w:t>
      </w:r>
      <w:r w:rsidRPr="004325D8">
        <w:rPr>
          <w:rStyle w:val="libBold2Char"/>
          <w:rtl/>
        </w:rPr>
        <w:t xml:space="preserve"> / 3.</w:t>
      </w:r>
      <w:r w:rsidRPr="00132E65">
        <w:rPr>
          <w:rtl/>
          <w:lang w:bidi="fa-IR"/>
        </w:rPr>
        <w:t xml:space="preserve"> عَنْهُ </w:t>
      </w:r>
      <w:r>
        <w:rPr>
          <w:rStyle w:val="libFootnotenumChar"/>
          <w:rtl/>
        </w:rPr>
        <w:t>(10)</w:t>
      </w:r>
      <w:r w:rsidRPr="00132E65">
        <w:rPr>
          <w:rtl/>
          <w:lang w:bidi="fa-IR"/>
        </w:rPr>
        <w:t xml:space="preserve"> ، عَنْ بَشَّارِ </w:t>
      </w:r>
      <w:r>
        <w:rPr>
          <w:rStyle w:val="libFootnotenumChar"/>
          <w:rtl/>
        </w:rPr>
        <w:t>(11)</w:t>
      </w:r>
      <w:r w:rsidRPr="00132E65">
        <w:rPr>
          <w:rtl/>
          <w:lang w:bidi="fa-IR"/>
        </w:rPr>
        <w:t xml:space="preserve"> بْنِ أَحْمَدَ ، عَنْ عَبْدِ اللهِ بْنِ مُحَمَّدٍ الْأَصْفَهَانِيِّ </w:t>
      </w:r>
      <w:r>
        <w:rPr>
          <w:rStyle w:val="libFootnotenumChar"/>
          <w:rtl/>
        </w:rPr>
        <w:t>(12)</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 « بشّار »</w:t>
      </w:r>
      <w:r>
        <w:rPr>
          <w:rtl/>
        </w:rPr>
        <w:t>.</w:t>
      </w:r>
    </w:p>
    <w:p w:rsidR="000C39D1" w:rsidRPr="00132E65" w:rsidRDefault="000C39D1" w:rsidP="000C39D1">
      <w:pPr>
        <w:pStyle w:val="libFootnote0"/>
        <w:rPr>
          <w:rtl/>
          <w:lang w:bidi="fa-IR"/>
        </w:rPr>
      </w:pPr>
      <w:r>
        <w:rPr>
          <w:rtl/>
        </w:rPr>
        <w:t>(2).</w:t>
      </w:r>
      <w:r w:rsidRPr="00132E65">
        <w:rPr>
          <w:rtl/>
        </w:rPr>
        <w:t xml:space="preserve"> في « ألف ، بح ، بس » وحاشية « بر » والإرشاد : « العنبري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الإرشاد :</w:t>
            </w:r>
            <w:r>
              <w:rPr>
                <w:rtl/>
              </w:rPr>
              <w:t xml:space="preserve"> + </w:t>
            </w:r>
            <w:r w:rsidRPr="00132E65">
              <w:rPr>
                <w:rtl/>
              </w:rPr>
              <w:t>« عليّ بن محمّد »</w:t>
            </w:r>
            <w:r>
              <w:rPr>
                <w:rtl/>
              </w:rPr>
              <w:t>.</w:t>
            </w:r>
          </w:p>
        </w:tc>
        <w:tc>
          <w:tcPr>
            <w:tcW w:w="4006" w:type="dxa"/>
          </w:tcPr>
          <w:p w:rsidR="000C39D1" w:rsidRDefault="000C39D1" w:rsidP="00B53873">
            <w:pPr>
              <w:pStyle w:val="libFootnote0"/>
              <w:rPr>
                <w:rtl/>
              </w:rPr>
            </w:pPr>
            <w:r>
              <w:rPr>
                <w:rtl/>
              </w:rPr>
              <w:t>(4).</w:t>
            </w:r>
            <w:r w:rsidRPr="00132E65">
              <w:rPr>
                <w:rtl/>
              </w:rPr>
              <w:t xml:space="preserve"> في الغيبة:</w:t>
            </w:r>
            <w:r>
              <w:rPr>
                <w:rtl/>
              </w:rPr>
              <w:t>+</w:t>
            </w:r>
            <w:r w:rsidRPr="00132E65">
              <w:rPr>
                <w:rtl/>
              </w:rPr>
              <w:t xml:space="preserve">«وأمّا موت محمّد في حياة أبيه </w:t>
            </w:r>
            <w:r w:rsidRPr="006442C5">
              <w:rPr>
                <w:rStyle w:val="libFootnoteAlaemChar"/>
                <w:rtl/>
              </w:rPr>
              <w:t>عليه‌السلام</w:t>
            </w:r>
            <w:r w:rsidRPr="00132E65">
              <w:rPr>
                <w:rtl/>
              </w:rPr>
              <w:t>»</w:t>
            </w:r>
            <w:r>
              <w:rPr>
                <w:rtl/>
              </w:rPr>
              <w:t>.</w:t>
            </w:r>
          </w:p>
        </w:tc>
      </w:tr>
    </w:tbl>
    <w:p w:rsidR="000C39D1" w:rsidRPr="00132E65" w:rsidRDefault="000C39D1" w:rsidP="000C39D1">
      <w:pPr>
        <w:pStyle w:val="libFootnote0"/>
        <w:rPr>
          <w:rtl/>
          <w:lang w:bidi="fa-IR"/>
        </w:rPr>
      </w:pPr>
      <w:r>
        <w:rPr>
          <w:rtl/>
        </w:rPr>
        <w:t>(5).</w:t>
      </w:r>
      <w:r w:rsidRPr="00132E65">
        <w:rPr>
          <w:rtl/>
        </w:rPr>
        <w:t xml:space="preserve"> </w:t>
      </w:r>
      <w:r w:rsidRPr="00DB788F">
        <w:rPr>
          <w:rtl/>
        </w:rPr>
        <w:t>الإرشاد</w:t>
      </w:r>
      <w:r w:rsidRPr="00132E65">
        <w:rPr>
          <w:rtl/>
        </w:rPr>
        <w:t xml:space="preserve"> ، ج 2 ، ص 314 ، بسنده عن الكليني. </w:t>
      </w:r>
      <w:r w:rsidRPr="00DB788F">
        <w:rPr>
          <w:rtl/>
        </w:rPr>
        <w:t>الغيبة</w:t>
      </w:r>
      <w:r w:rsidRPr="00132E65">
        <w:rPr>
          <w:rtl/>
        </w:rPr>
        <w:t xml:space="preserve"> للطوسي ، ص 200 ، ح 166 ، عن يحيى بن بشّار القنبري </w:t>
      </w:r>
      <w:r>
        <w:rPr>
          <w:rFonts w:hint="cs"/>
          <w:rtl/>
        </w:rPr>
        <w:t>.</w:t>
      </w:r>
      <w:r w:rsidRPr="009D1ACE">
        <w:rPr>
          <w:rStyle w:val="libFootnoteBoldChar"/>
          <w:rtl/>
        </w:rPr>
        <w:t>الوافي</w:t>
      </w:r>
      <w:r w:rsidRPr="00132E65">
        <w:rPr>
          <w:rtl/>
        </w:rPr>
        <w:t xml:space="preserve"> ، ج 2 ، ص 386 ، ح 868 ؛ </w:t>
      </w:r>
      <w:r w:rsidRPr="00DB788F">
        <w:rPr>
          <w:rtl/>
        </w:rPr>
        <w:t>البحار</w:t>
      </w:r>
      <w:r w:rsidRPr="00132E65">
        <w:rPr>
          <w:rtl/>
        </w:rPr>
        <w:t xml:space="preserve"> ، ج 50 ، ص 246 ، ذيل ح 21.</w:t>
      </w:r>
    </w:p>
    <w:p w:rsidR="000C39D1" w:rsidRPr="00132E65" w:rsidRDefault="000C39D1" w:rsidP="000C39D1">
      <w:pPr>
        <w:pStyle w:val="libFootnote0"/>
        <w:rPr>
          <w:rtl/>
          <w:lang w:bidi="fa-IR"/>
        </w:rPr>
      </w:pPr>
      <w:r>
        <w:rPr>
          <w:rtl/>
        </w:rPr>
        <w:t>(6).</w:t>
      </w:r>
      <w:r w:rsidRPr="00132E65">
        <w:rPr>
          <w:rtl/>
        </w:rPr>
        <w:t xml:space="preserve"> في « ألف » وحاشية « ج » والإرشاد : « يسار »</w:t>
      </w:r>
      <w:r>
        <w:rPr>
          <w:rtl/>
        </w:rPr>
        <w:t>.</w:t>
      </w:r>
      <w:r w:rsidRPr="00132E65">
        <w:rPr>
          <w:rtl/>
        </w:rPr>
        <w:t xml:space="preserve"> وفي « بح » : « بشارة »</w:t>
      </w:r>
      <w:r>
        <w:rPr>
          <w:rtl/>
        </w:rPr>
        <w:t>.</w:t>
      </w:r>
    </w:p>
    <w:p w:rsidR="000C39D1" w:rsidRPr="00132E65" w:rsidRDefault="000C39D1" w:rsidP="000C39D1">
      <w:pPr>
        <w:pStyle w:val="libFootnote0"/>
        <w:rPr>
          <w:rtl/>
          <w:lang w:bidi="fa-IR"/>
        </w:rPr>
      </w:pPr>
      <w:r>
        <w:rPr>
          <w:rtl/>
        </w:rPr>
        <w:t>(7).</w:t>
      </w:r>
      <w:r w:rsidRPr="00132E65">
        <w:rPr>
          <w:rtl/>
        </w:rPr>
        <w:t xml:space="preserve"> في الإرشاد : « عمرو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الوافي</w:t>
      </w:r>
      <w:r w:rsidRPr="00132E65">
        <w:rPr>
          <w:rtl/>
        </w:rPr>
        <w:t xml:space="preserve"> : « محمّد ابنه ، هو أبو جعفر ولده الأكبر الذي كان مترقّباً للإمامة ، صالحاً لها ، مرجوّاً عند أصحابه »</w:t>
      </w:r>
      <w:r>
        <w:rPr>
          <w:rtl/>
        </w:rPr>
        <w:t>.</w:t>
      </w:r>
    </w:p>
    <w:p w:rsidR="000C39D1" w:rsidRPr="00132E65" w:rsidRDefault="000C39D1" w:rsidP="000C39D1">
      <w:pPr>
        <w:pStyle w:val="libFootnote0"/>
        <w:rPr>
          <w:rtl/>
          <w:lang w:bidi="fa-IR"/>
        </w:rPr>
      </w:pPr>
      <w:r>
        <w:rPr>
          <w:rtl/>
        </w:rPr>
        <w:t>(9).</w:t>
      </w:r>
      <w:r w:rsidRPr="00132E65">
        <w:rPr>
          <w:rtl/>
        </w:rPr>
        <w:t xml:space="preserve"> </w:t>
      </w:r>
      <w:r w:rsidRPr="00DB788F">
        <w:rPr>
          <w:rtl/>
        </w:rPr>
        <w:t>الإرشاد</w:t>
      </w:r>
      <w:r w:rsidRPr="00132E65">
        <w:rPr>
          <w:rtl/>
        </w:rPr>
        <w:t xml:space="preserve"> ، ج 2 ، ص 314 ، بسنده عن الكليني. </w:t>
      </w:r>
      <w:r w:rsidRPr="00DB788F">
        <w:rPr>
          <w:rtl/>
        </w:rPr>
        <w:t>الغيبة</w:t>
      </w:r>
      <w:r w:rsidRPr="00132E65">
        <w:rPr>
          <w:rtl/>
        </w:rPr>
        <w:t xml:space="preserve"> للطوسي ، ص 198 ، ح 163 بسنده عن جعفر بن محمّد بن مالك ، عن سيّار بن محمّد البصري ، عن عليّ بن عمر النوفلي ، مع اختلاف يسير</w:t>
      </w:r>
      <w:r>
        <w:rPr>
          <w:rFonts w:hint="cs"/>
          <w:rtl/>
        </w:rPr>
        <w:t xml:space="preserve"> .</w:t>
      </w:r>
      <w:r w:rsidRPr="009D1ACE">
        <w:rPr>
          <w:rStyle w:val="libFootnoteBoldChar"/>
          <w:rtl/>
        </w:rPr>
        <w:t>الوافي</w:t>
      </w:r>
      <w:r w:rsidRPr="00132E65">
        <w:rPr>
          <w:rtl/>
        </w:rPr>
        <w:t xml:space="preserve"> ، ج 2 ، ص 386 ، ح 869.</w:t>
      </w:r>
    </w:p>
    <w:p w:rsidR="000C39D1" w:rsidRPr="00132E65" w:rsidRDefault="000C39D1" w:rsidP="000C39D1">
      <w:pPr>
        <w:pStyle w:val="libFootnote0"/>
        <w:rPr>
          <w:rtl/>
          <w:lang w:bidi="fa-IR"/>
        </w:rPr>
      </w:pPr>
      <w:r>
        <w:rPr>
          <w:rtl/>
        </w:rPr>
        <w:t>(10).</w:t>
      </w:r>
      <w:r w:rsidRPr="00132E65">
        <w:rPr>
          <w:rtl/>
        </w:rPr>
        <w:t xml:space="preserve"> الضمير راجع إلى جعفر بن محمّد الكوفي ، في السند السابق.</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الإرشاد : « يسار »</w:t>
            </w:r>
            <w:r>
              <w:rPr>
                <w:rtl/>
              </w:rPr>
              <w:t>.</w:t>
            </w:r>
          </w:p>
        </w:tc>
        <w:tc>
          <w:tcPr>
            <w:tcW w:w="4006" w:type="dxa"/>
          </w:tcPr>
          <w:p w:rsidR="000C39D1" w:rsidRDefault="000C39D1" w:rsidP="00B53873">
            <w:pPr>
              <w:pStyle w:val="libFootnote0"/>
              <w:rPr>
                <w:rtl/>
              </w:rPr>
            </w:pPr>
            <w:r>
              <w:rPr>
                <w:rtl/>
              </w:rPr>
              <w:t>(12).في«ه</w:t>
            </w:r>
            <w:r w:rsidRPr="00132E65">
              <w:rPr>
                <w:rtl/>
              </w:rPr>
              <w:t>»</w:t>
            </w:r>
            <w:r>
              <w:rPr>
                <w:rtl/>
              </w:rPr>
              <w:t>وحاشية</w:t>
            </w:r>
            <w:r w:rsidRPr="00132E65">
              <w:rPr>
                <w:rtl/>
              </w:rPr>
              <w:t>«ج»والإرشاد:«الإصبهاني»</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أَبُو الْحَسَنِ </w:t>
      </w:r>
      <w:r w:rsidRPr="00071CF9">
        <w:rPr>
          <w:rStyle w:val="libAlaemChar"/>
          <w:rtl/>
        </w:rPr>
        <w:t>عليه‌السلام</w:t>
      </w:r>
      <w:r w:rsidRPr="00132E65">
        <w:rPr>
          <w:rtl/>
          <w:lang w:bidi="fa-IR"/>
        </w:rPr>
        <w:t xml:space="preserve"> : « صَاحِبُكُمْ بَعْدِيَ الَّذِي يُصَلِّي عَلَيَّ »</w:t>
      </w:r>
      <w:r>
        <w:rPr>
          <w:rtl/>
          <w:lang w:bidi="fa-IR"/>
        </w:rPr>
        <w:t>.</w:t>
      </w:r>
      <w:r w:rsidRPr="00132E65">
        <w:rPr>
          <w:rtl/>
          <w:lang w:bidi="fa-IR"/>
        </w:rPr>
        <w:t xml:space="preserve"> قَالَ </w:t>
      </w:r>
      <w:r>
        <w:rPr>
          <w:rStyle w:val="libFootnotenumChar"/>
          <w:rtl/>
        </w:rPr>
        <w:t>(1)</w:t>
      </w:r>
      <w:r w:rsidRPr="00132E65">
        <w:rPr>
          <w:rtl/>
          <w:lang w:bidi="fa-IR"/>
        </w:rPr>
        <w:t xml:space="preserve"> : و</w:t>
      </w:r>
      <w:r>
        <w:rPr>
          <w:rFonts w:hint="cs"/>
          <w:rtl/>
          <w:lang w:bidi="fa-IR"/>
        </w:rPr>
        <w:t>َ</w:t>
      </w:r>
      <w:r w:rsidRPr="00132E65">
        <w:rPr>
          <w:rtl/>
          <w:lang w:bidi="fa-IR"/>
        </w:rPr>
        <w:t xml:space="preserve">لَمْ نَعْرِفْ </w:t>
      </w:r>
      <w:r>
        <w:rPr>
          <w:rStyle w:val="libFootnotenumChar"/>
          <w:rtl/>
        </w:rPr>
        <w:t>(2)</w:t>
      </w:r>
      <w:r w:rsidRPr="00132E65">
        <w:rPr>
          <w:rtl/>
          <w:lang w:bidi="fa-IR"/>
        </w:rPr>
        <w:t xml:space="preserve"> أَبَا مُحَمَّدٍ قَبْلَ ذلِكَ ، قَالَ </w:t>
      </w:r>
      <w:r>
        <w:rPr>
          <w:rStyle w:val="libFootnotenumChar"/>
          <w:rtl/>
        </w:rPr>
        <w:t>(3)</w:t>
      </w:r>
      <w:r w:rsidRPr="00132E65">
        <w:rPr>
          <w:rtl/>
          <w:lang w:bidi="fa-IR"/>
        </w:rPr>
        <w:t xml:space="preserve"> : فَخَرَجَ أَبُو مُحَمَّدٍ ، فَصَلّى عَلَيْهِ.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423649">
        <w:rPr>
          <w:rtl/>
        </w:rPr>
        <w:t>853</w:t>
      </w:r>
      <w:r w:rsidRPr="004325D8">
        <w:rPr>
          <w:rStyle w:val="libBold2Char"/>
          <w:rtl/>
        </w:rPr>
        <w:t xml:space="preserve"> / 4.</w:t>
      </w:r>
      <w:r w:rsidRPr="00132E65">
        <w:rPr>
          <w:rtl/>
          <w:lang w:bidi="fa-IR"/>
        </w:rPr>
        <w:t xml:space="preserve"> و</w:t>
      </w:r>
      <w:r>
        <w:rPr>
          <w:rFonts w:hint="cs"/>
          <w:rtl/>
          <w:lang w:bidi="fa-IR"/>
        </w:rPr>
        <w:t xml:space="preserve">َ </w:t>
      </w:r>
      <w:r w:rsidRPr="00132E65">
        <w:rPr>
          <w:rtl/>
          <w:lang w:bidi="fa-IR"/>
        </w:rPr>
        <w:t xml:space="preserve">عَنْهُ </w:t>
      </w:r>
      <w:r>
        <w:rPr>
          <w:rStyle w:val="libFootnotenumChar"/>
          <w:rtl/>
        </w:rPr>
        <w:t>(5)</w:t>
      </w:r>
      <w:r w:rsidRPr="00132E65">
        <w:rPr>
          <w:rtl/>
          <w:lang w:bidi="fa-IR"/>
        </w:rPr>
        <w:t xml:space="preserve"> ، عَنْ مُوسَى بْنِ جَعْفَرِ بْنِ و</w:t>
      </w:r>
      <w:r>
        <w:rPr>
          <w:rFonts w:hint="cs"/>
          <w:rtl/>
          <w:lang w:bidi="fa-IR"/>
        </w:rPr>
        <w:t xml:space="preserve">َ </w:t>
      </w:r>
      <w:r w:rsidRPr="00132E65">
        <w:rPr>
          <w:rtl/>
          <w:lang w:bidi="fa-IR"/>
        </w:rPr>
        <w:t>هْبٍ ، عَنْ عَلِيِّ بْنِ جَعْفَرٍ ، قَالَ :</w:t>
      </w:r>
    </w:p>
    <w:p w:rsidR="000C39D1" w:rsidRPr="00132E65" w:rsidRDefault="000C39D1" w:rsidP="000C39D1">
      <w:pPr>
        <w:pStyle w:val="libNormal"/>
        <w:rPr>
          <w:rtl/>
          <w:lang w:bidi="fa-IR"/>
        </w:rPr>
      </w:pPr>
      <w:r w:rsidRPr="00132E65">
        <w:rPr>
          <w:rtl/>
          <w:lang w:bidi="fa-IR"/>
        </w:rPr>
        <w:t xml:space="preserve">كُنْتُ حَاضِراً أَبَا الْحَسَنِ </w:t>
      </w:r>
      <w:r>
        <w:rPr>
          <w:rStyle w:val="libFootnotenumChar"/>
          <w:rtl/>
        </w:rPr>
        <w:t>(6)</w:t>
      </w:r>
      <w:r w:rsidRPr="00132E65">
        <w:rPr>
          <w:rtl/>
          <w:lang w:bidi="fa-IR"/>
        </w:rPr>
        <w:t xml:space="preserve"> </w:t>
      </w:r>
      <w:r w:rsidRPr="00071CF9">
        <w:rPr>
          <w:rStyle w:val="libAlaemChar"/>
          <w:rtl/>
        </w:rPr>
        <w:t>عليه‌السلام</w:t>
      </w:r>
      <w:r w:rsidRPr="00132E65">
        <w:rPr>
          <w:rtl/>
          <w:lang w:bidi="fa-IR"/>
        </w:rPr>
        <w:t xml:space="preserve"> لَمَّا تُوُفِّيَ ابْنُهُ مُحَمَّدٌ ، فَقَالَ لِلْحَسَنِ : « يَا </w:t>
      </w:r>
      <w:r>
        <w:rPr>
          <w:rStyle w:val="libFootnotenumChar"/>
          <w:rtl/>
        </w:rPr>
        <w:t>(7)</w:t>
      </w:r>
      <w:r w:rsidRPr="00132E65">
        <w:rPr>
          <w:rtl/>
          <w:lang w:bidi="fa-IR"/>
        </w:rPr>
        <w:t xml:space="preserve"> بُنَيَّ ، أَحْدِثْ لِلّهِ شُكْراً ؛ فَقَدْ أَحْدَثَ </w:t>
      </w:r>
      <w:r>
        <w:rPr>
          <w:rStyle w:val="libFootnotenumChar"/>
          <w:rtl/>
        </w:rPr>
        <w:t>(8)</w:t>
      </w:r>
      <w:r w:rsidRPr="00132E65">
        <w:rPr>
          <w:rtl/>
          <w:lang w:bidi="fa-IR"/>
        </w:rPr>
        <w:t xml:space="preserve"> فِيكَ أَمْراً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423649">
        <w:rPr>
          <w:rtl/>
        </w:rPr>
        <w:t>854</w:t>
      </w:r>
      <w:r w:rsidRPr="004325D8">
        <w:rPr>
          <w:rStyle w:val="libBold2Char"/>
          <w:rtl/>
        </w:rPr>
        <w:t xml:space="preserve"> / 5.</w:t>
      </w:r>
      <w:r w:rsidRPr="00132E65">
        <w:rPr>
          <w:rtl/>
          <w:lang w:bidi="fa-IR"/>
        </w:rPr>
        <w:t xml:space="preserve"> الْحُسَيْنُ بْنُ مُحَمَّدٍ ، عَنْ مُعَلَّى بْنِ مُحَمَّدٍ ، عَنْ أَحْمَدَ بْنِ مُحَمَّدِ بْنِ عَبْدِ اللهِ بْنِ مَرْوَانَ الْأَنْبَارِيِّ </w:t>
      </w:r>
      <w:r>
        <w:rPr>
          <w:rStyle w:val="libFootnotenumChar"/>
          <w:rtl/>
        </w:rPr>
        <w:t>(10)</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 في « ه</w:t>
      </w:r>
      <w:r>
        <w:rPr>
          <w:rFonts w:hint="cs"/>
          <w:rtl/>
        </w:rPr>
        <w:t xml:space="preserve"> </w:t>
      </w:r>
      <w:r w:rsidRPr="00132E65">
        <w:rPr>
          <w:rtl/>
        </w:rPr>
        <w:t>» : « فقال »</w:t>
      </w:r>
      <w:r>
        <w:rPr>
          <w:rtl/>
        </w:rPr>
        <w:t>.</w:t>
      </w:r>
    </w:p>
    <w:p w:rsidR="000C39D1" w:rsidRPr="00132E65" w:rsidRDefault="000C39D1" w:rsidP="000C39D1">
      <w:pPr>
        <w:pStyle w:val="libFootnote0"/>
        <w:rPr>
          <w:rtl/>
          <w:lang w:bidi="fa-IR"/>
        </w:rPr>
      </w:pPr>
      <w:r>
        <w:rPr>
          <w:rtl/>
        </w:rPr>
        <w:t>(2). في « ب ، ض ، ف ، ه</w:t>
      </w:r>
      <w:r>
        <w:rPr>
          <w:rFonts w:hint="cs"/>
          <w:rtl/>
        </w:rPr>
        <w:t xml:space="preserve"> </w:t>
      </w:r>
      <w:r w:rsidRPr="00132E65">
        <w:rPr>
          <w:rtl/>
        </w:rPr>
        <w:t>» والإرشاد : « ولم نكن نعرف »</w:t>
      </w:r>
      <w:r>
        <w:rPr>
          <w:rtl/>
        </w:rPr>
        <w:t>.</w:t>
      </w:r>
      <w:r w:rsidRPr="00132E65">
        <w:rPr>
          <w:rtl/>
        </w:rPr>
        <w:t xml:space="preserve"> وفي « ج » : « ولم نك نعرف »</w:t>
      </w:r>
      <w:r>
        <w:rPr>
          <w:rtl/>
        </w:rPr>
        <w:t>.</w:t>
      </w:r>
    </w:p>
    <w:p w:rsidR="000C39D1" w:rsidRPr="00132E65" w:rsidRDefault="000C39D1" w:rsidP="000C39D1">
      <w:pPr>
        <w:pStyle w:val="libFootnote0"/>
        <w:rPr>
          <w:rtl/>
          <w:lang w:bidi="fa-IR"/>
        </w:rPr>
      </w:pPr>
      <w:r>
        <w:rPr>
          <w:rtl/>
        </w:rPr>
        <w:t>(3).</w:t>
      </w:r>
      <w:r w:rsidRPr="00132E65">
        <w:rPr>
          <w:rtl/>
        </w:rPr>
        <w:t xml:space="preserve"> في « ج ، بح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w:t>
      </w:r>
      <w:r w:rsidRPr="00423649">
        <w:rPr>
          <w:rtl/>
        </w:rPr>
        <w:t>الإرشاد</w:t>
      </w:r>
      <w:r w:rsidRPr="00132E65">
        <w:rPr>
          <w:rtl/>
        </w:rPr>
        <w:t xml:space="preserve"> ، ج 2 ، ص 315 ، بسنده عن الكليني </w:t>
      </w:r>
      <w:r>
        <w:rPr>
          <w:rFonts w:hint="cs"/>
          <w:rtl/>
        </w:rPr>
        <w:t>.</w:t>
      </w:r>
      <w:r w:rsidRPr="009D1ACE">
        <w:rPr>
          <w:rStyle w:val="libFootnoteBoldChar"/>
          <w:rtl/>
        </w:rPr>
        <w:t>الوافي</w:t>
      </w:r>
      <w:r w:rsidRPr="00132E65">
        <w:rPr>
          <w:rtl/>
        </w:rPr>
        <w:t xml:space="preserve"> ، ج 2 ، ص 386 ، ص 870.</w:t>
      </w:r>
    </w:p>
    <w:p w:rsidR="000C39D1" w:rsidRDefault="000C39D1" w:rsidP="000C39D1">
      <w:pPr>
        <w:pStyle w:val="libFootnote0"/>
        <w:rPr>
          <w:rtl/>
        </w:rPr>
      </w:pPr>
      <w:r>
        <w:rPr>
          <w:rtl/>
        </w:rPr>
        <w:t>(5).</w:t>
      </w:r>
      <w:r w:rsidRPr="00132E65">
        <w:rPr>
          <w:rtl/>
        </w:rPr>
        <w:t xml:space="preserve"> الضمير راجع إلى جعفر بن محمّد الكوفي ؛ فإنّه يأتي في ح 912 ، رواية عليّ بن محمّد عن جعفر بن محمّد ، عن موسى بن جعفر البغدادي ، وهو موسى بن جعفر بن وهب ، راجع : </w:t>
      </w:r>
      <w:r w:rsidRPr="00423649">
        <w:rPr>
          <w:rtl/>
        </w:rPr>
        <w:t>رجال النجاشي</w:t>
      </w:r>
      <w:r w:rsidRPr="00132E65">
        <w:rPr>
          <w:rtl/>
        </w:rPr>
        <w:t xml:space="preserve"> ، ص 406 ، الرقم 1076.</w:t>
      </w:r>
    </w:p>
    <w:p w:rsidR="000C39D1" w:rsidRPr="00132E65" w:rsidRDefault="000C39D1" w:rsidP="000C39D1">
      <w:pPr>
        <w:pStyle w:val="libFootnote0"/>
        <w:rPr>
          <w:rtl/>
          <w:lang w:bidi="fa-IR"/>
        </w:rPr>
      </w:pPr>
      <w:r>
        <w:rPr>
          <w:rtl/>
        </w:rPr>
        <w:t>(6).</w:t>
      </w:r>
      <w:r w:rsidRPr="00132E65">
        <w:rPr>
          <w:rtl/>
        </w:rPr>
        <w:t xml:space="preserve"> في « ف » : « عند أبي الحسن »</w:t>
      </w:r>
      <w:r>
        <w:rPr>
          <w:rtl/>
        </w:rPr>
        <w:t>.</w:t>
      </w:r>
      <w:r>
        <w:rPr>
          <w:rFonts w:hint="cs"/>
          <w:rtl/>
        </w:rPr>
        <w:t xml:space="preserve"> </w:t>
      </w:r>
    </w:p>
    <w:p w:rsidR="000C39D1" w:rsidRPr="00132E65" w:rsidRDefault="000C39D1" w:rsidP="000C39D1">
      <w:pPr>
        <w:pStyle w:val="libFootnote0"/>
        <w:rPr>
          <w:rtl/>
          <w:lang w:bidi="fa-IR"/>
        </w:rPr>
      </w:pPr>
      <w:r>
        <w:rPr>
          <w:rtl/>
        </w:rPr>
        <w:t>(7).</w:t>
      </w:r>
      <w:r w:rsidRPr="00132E65">
        <w:rPr>
          <w:rtl/>
        </w:rPr>
        <w:t xml:space="preserve"> في « ف ، ه‍ ، بر ، بس ، بف » وشرح المازندراني </w:t>
      </w:r>
      <w:r>
        <w:rPr>
          <w:rtl/>
        </w:rPr>
        <w:t xml:space="preserve">: - </w:t>
      </w:r>
      <w:r w:rsidRPr="00132E65">
        <w:rPr>
          <w:rtl/>
        </w:rPr>
        <w:t>« يا »</w:t>
      </w:r>
      <w:r>
        <w:rPr>
          <w:rtl/>
        </w:rPr>
        <w:t>.</w:t>
      </w:r>
    </w:p>
    <w:p w:rsidR="000C39D1" w:rsidRPr="00132E65" w:rsidRDefault="000C39D1" w:rsidP="000C39D1">
      <w:pPr>
        <w:pStyle w:val="libFootnote0"/>
        <w:rPr>
          <w:rtl/>
          <w:lang w:bidi="fa-IR"/>
        </w:rPr>
      </w:pPr>
      <w:r>
        <w:rPr>
          <w:rtl/>
        </w:rPr>
        <w:t>(8).</w:t>
      </w:r>
      <w:r w:rsidRPr="00132E65">
        <w:rPr>
          <w:rtl/>
        </w:rPr>
        <w:t xml:space="preserve"> في « بس »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(9).</w:t>
      </w:r>
      <w:r w:rsidRPr="00132E65">
        <w:rPr>
          <w:rtl/>
        </w:rPr>
        <w:t xml:space="preserve"> </w:t>
      </w:r>
      <w:r w:rsidRPr="00423649">
        <w:rPr>
          <w:rtl/>
        </w:rPr>
        <w:t>الإرشاد</w:t>
      </w:r>
      <w:r w:rsidRPr="00132E65">
        <w:rPr>
          <w:rtl/>
        </w:rPr>
        <w:t xml:space="preserve"> ، ج 2 ، ص 315 ، بسنده عن الكليني </w:t>
      </w:r>
      <w:r>
        <w:rPr>
          <w:rFonts w:hint="cs"/>
          <w:rtl/>
        </w:rPr>
        <w:t>.</w:t>
      </w:r>
      <w:r w:rsidRPr="009D1ACE">
        <w:rPr>
          <w:rStyle w:val="libFootnoteBoldChar"/>
          <w:rtl/>
        </w:rPr>
        <w:t>الوافي</w:t>
      </w:r>
      <w:r w:rsidRPr="00132E65">
        <w:rPr>
          <w:rtl/>
        </w:rPr>
        <w:t xml:space="preserve"> ، ج 2 ، ص 387 ، ح 871.</w:t>
      </w:r>
    </w:p>
    <w:p w:rsidR="000C39D1" w:rsidRPr="00132E65" w:rsidRDefault="000C39D1" w:rsidP="000C39D1">
      <w:pPr>
        <w:pStyle w:val="libFootnote0"/>
        <w:rPr>
          <w:rtl/>
          <w:lang w:bidi="fa-IR"/>
        </w:rPr>
      </w:pPr>
      <w:r>
        <w:rPr>
          <w:rtl/>
        </w:rPr>
        <w:t>(10).</w:t>
      </w:r>
      <w:r w:rsidRPr="00132E65">
        <w:rPr>
          <w:rtl/>
        </w:rPr>
        <w:t xml:space="preserve"> كذا في النسخ والمطبوع ، والخبر رواه الصفّار في </w:t>
      </w:r>
      <w:r w:rsidRPr="007A1104">
        <w:rPr>
          <w:rStyle w:val="libFootnoteBoldChar"/>
          <w:rtl/>
        </w:rPr>
        <w:t>بصائر الدرجات</w:t>
      </w:r>
      <w:r w:rsidRPr="00132E65">
        <w:rPr>
          <w:rtl/>
        </w:rPr>
        <w:t xml:space="preserve"> ، ص 472 ، ح 13 ، عن الحسن بن محمّد [ والصواب الحسين بن محمّد كما في بعض المخطوطات ] عن المعلّى بن محمّد ، عن أحمد بن محمّد بن عبد الله ، عن أحمد بن الحسين ، عن عليّ بن عبد الله بن مروان الأنباري.</w:t>
      </w:r>
    </w:p>
    <w:p w:rsidR="000C39D1" w:rsidRPr="00264472" w:rsidRDefault="000C39D1" w:rsidP="00E55206">
      <w:pPr>
        <w:pStyle w:val="libFootnote0"/>
        <w:rPr>
          <w:rtl/>
        </w:rPr>
      </w:pPr>
      <w:r w:rsidRPr="00264472">
        <w:rPr>
          <w:rtl/>
        </w:rPr>
        <w:t>والمحتمل قويّاً ، وقوع السقط في سندنا هذا ، بجواز النظر من « عبد الله » في « أحمد بن محمّد بن عبد الله » إلى « عبد الله » في « عليّ بن عبد الله بن مروان » فا</w:t>
      </w:r>
      <w:r>
        <w:rPr>
          <w:rFonts w:hint="cs"/>
          <w:rtl/>
        </w:rPr>
        <w:t>ُ</w:t>
      </w:r>
      <w:r w:rsidRPr="00264472">
        <w:rPr>
          <w:rtl/>
        </w:rPr>
        <w:t>ضيف « بن مروان الأنباري » إلى « أحمد بن محمّد بن عبد الله » سهواً.</w:t>
      </w:r>
    </w:p>
    <w:p w:rsidR="000C39D1" w:rsidRPr="00E55206" w:rsidRDefault="000C39D1" w:rsidP="00E55206">
      <w:pPr>
        <w:pStyle w:val="libFootnote0"/>
        <w:rPr>
          <w:rtl/>
        </w:rPr>
      </w:pPr>
      <w:r w:rsidRPr="00264472">
        <w:rPr>
          <w:rtl/>
        </w:rPr>
        <w:t xml:space="preserve">ثمّ إنّه لا يبعد اتّحاد عليّ بن عبد الله بن مروان الأنباري مع عليّ بن عبد الله بن مروان </w:t>
      </w:r>
      <w:r>
        <w:rPr>
          <w:rtl/>
        </w:rPr>
        <w:t>-</w:t>
      </w:r>
      <w:r w:rsidRPr="00264472">
        <w:rPr>
          <w:rtl/>
        </w:rPr>
        <w:t xml:space="preserve"> من أهل بغداد </w:t>
      </w:r>
      <w:r>
        <w:rPr>
          <w:rtl/>
        </w:rPr>
        <w:t>-</w:t>
      </w:r>
      <w:r w:rsidRPr="00264472">
        <w:rPr>
          <w:rtl/>
        </w:rPr>
        <w:t xml:space="preserve"> المذكور في رجال الكشّي</w:t>
      </w:r>
      <w:r w:rsidRPr="00E55206">
        <w:rPr>
          <w:rtl/>
        </w:rPr>
        <w:t xml:space="preserve"> ، ص 530 ، الرقم 1014 ؛ ورجال الطوسي ، ص 400 ، الرقم 5868 ؛ فإنّ الأنبار بلدة قديمة على الفرات بينها وبين بغداد عشرة فراسخ. وانتقل جمع من الأنباريين إلى بغداد ، كيعقوب بن يزيد وأبي أيّوب </w:t>
      </w:r>
      <w:r w:rsidRPr="00E5520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D47311" w:rsidRDefault="000C39D1" w:rsidP="000C39D1">
      <w:pPr>
        <w:pStyle w:val="libNormal0"/>
        <w:tabs>
          <w:tab w:val="left" w:pos="3968"/>
        </w:tabs>
        <w:rPr>
          <w:rtl/>
          <w:lang w:bidi="ar-IQ"/>
        </w:rPr>
      </w:pPr>
      <w:r w:rsidRPr="00132E65">
        <w:rPr>
          <w:rtl/>
          <w:lang w:bidi="fa-IR"/>
        </w:rPr>
        <w:t xml:space="preserve">كُنْتُ حَاضِراً عِنْدَ مُضِيِّ </w:t>
      </w:r>
      <w:r>
        <w:rPr>
          <w:rStyle w:val="libFootnotenumChar"/>
          <w:rtl/>
        </w:rPr>
        <w:t>(1)</w:t>
      </w:r>
      <w:r w:rsidRPr="00132E65">
        <w:rPr>
          <w:rtl/>
          <w:lang w:bidi="fa-IR"/>
        </w:rPr>
        <w:t xml:space="preserve"> أَبِي جَعْفَرٍ مُحَمَّدِ بْنِ عَلِيٍّ </w:t>
      </w:r>
      <w:r w:rsidRPr="00071CF9">
        <w:rPr>
          <w:rStyle w:val="libAlaemChar"/>
          <w:rtl/>
        </w:rPr>
        <w:t>عليهما‌السلام</w:t>
      </w:r>
      <w:r w:rsidRPr="00132E65">
        <w:rPr>
          <w:rtl/>
          <w:lang w:bidi="fa-IR"/>
        </w:rPr>
        <w:t xml:space="preserve"> ، فَجَاءَ أَبُو الْحَسَنِ </w:t>
      </w:r>
      <w:r w:rsidRPr="00071CF9">
        <w:rPr>
          <w:rStyle w:val="libAlaemChar"/>
          <w:rtl/>
        </w:rPr>
        <w:t>عليه‌السلام</w:t>
      </w:r>
      <w:r w:rsidRPr="00132E65">
        <w:rPr>
          <w:rtl/>
          <w:lang w:bidi="fa-IR"/>
        </w:rPr>
        <w:t xml:space="preserve"> ، فَوُضِعَ لَهُ كُرْسِيٌّ ، فَجَلَسَ عَلَيْهِ و</w:t>
      </w:r>
      <w:r>
        <w:rPr>
          <w:rFonts w:hint="cs"/>
          <w:rtl/>
          <w:lang w:bidi="fa-IR"/>
        </w:rPr>
        <w:t xml:space="preserve">َ </w:t>
      </w:r>
      <w:r w:rsidRPr="00132E65">
        <w:rPr>
          <w:rtl/>
          <w:lang w:bidi="fa-IR"/>
        </w:rPr>
        <w:t>حَوْلَهُ أَهْلُ بَيْتِهِ و</w:t>
      </w:r>
      <w:r>
        <w:rPr>
          <w:rFonts w:hint="cs"/>
          <w:rtl/>
          <w:lang w:bidi="fa-IR"/>
        </w:rPr>
        <w:t xml:space="preserve">َ </w:t>
      </w:r>
      <w:r w:rsidRPr="00132E65">
        <w:rPr>
          <w:rtl/>
          <w:lang w:bidi="fa-IR"/>
        </w:rPr>
        <w:t xml:space="preserve">أَبُو مُحَمَّدٍ </w:t>
      </w:r>
      <w:r>
        <w:rPr>
          <w:rStyle w:val="libFootnotenumChar"/>
          <w:rtl/>
        </w:rPr>
        <w:t>(2)</w:t>
      </w:r>
      <w:r w:rsidRPr="00132E65">
        <w:rPr>
          <w:rtl/>
          <w:lang w:bidi="fa-IR"/>
        </w:rPr>
        <w:t xml:space="preserve"> قَائِمٌ فِي نَاحِيَةٍ ، فَلَمَّا فَرَغَ مِنْ أَمْرِ أَبِي جَعْفَرٍ </w:t>
      </w:r>
      <w:r w:rsidRPr="00071CF9">
        <w:rPr>
          <w:rStyle w:val="libAlaemChar"/>
          <w:rtl/>
        </w:rPr>
        <w:t>عليه‌السلام</w:t>
      </w:r>
      <w:r w:rsidRPr="00132E65">
        <w:rPr>
          <w:rtl/>
          <w:lang w:bidi="fa-IR"/>
        </w:rPr>
        <w:t xml:space="preserve"> الْتَفَتَ إِلى أَبِي مُحَمَّدٍ </w:t>
      </w:r>
      <w:r w:rsidRPr="00071CF9">
        <w:rPr>
          <w:rStyle w:val="libAlaemChar"/>
          <w:rtl/>
        </w:rPr>
        <w:t>عليه‌السلام</w:t>
      </w:r>
      <w:r w:rsidRPr="00132E65">
        <w:rPr>
          <w:rtl/>
          <w:lang w:bidi="fa-IR"/>
        </w:rPr>
        <w:t xml:space="preserve"> ، فَقَالَ : « يَا بُنَيَّ ، أَحْدِثْ لِلّهِ</w:t>
      </w:r>
      <w:r>
        <w:rPr>
          <w:rtl/>
          <w:lang w:bidi="fa-IR"/>
        </w:rPr>
        <w:t xml:space="preserve"> - </w:t>
      </w:r>
      <w:r w:rsidRPr="00132E65">
        <w:rPr>
          <w:rtl/>
          <w:lang w:bidi="fa-IR"/>
        </w:rPr>
        <w:t>تَبَارَكَ وَتَعَالى</w:t>
      </w:r>
      <w:r>
        <w:rPr>
          <w:rtl/>
          <w:lang w:bidi="fa-IR"/>
        </w:rPr>
        <w:t xml:space="preserve"> - </w:t>
      </w:r>
      <w:r w:rsidRPr="00132E65">
        <w:rPr>
          <w:rtl/>
          <w:lang w:bidi="fa-IR"/>
        </w:rPr>
        <w:t>شُكْراً ؛ فَقَدْ أَحْدَثَ فِيكَ أَمْراً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23649">
        <w:rPr>
          <w:rtl/>
        </w:rPr>
        <w:t>855</w:t>
      </w:r>
      <w:r w:rsidRPr="004325D8">
        <w:rPr>
          <w:rStyle w:val="libBold2Char"/>
          <w:rtl/>
        </w:rPr>
        <w:t xml:space="preserve"> / 6.</w:t>
      </w:r>
      <w:r w:rsidRPr="00132E65">
        <w:rPr>
          <w:rtl/>
          <w:lang w:bidi="fa-IR"/>
        </w:rPr>
        <w:t xml:space="preserve"> عَلِيُّ بْنُ مُحَمَّدٍ ، عَنْ مُحَمَّدِ بْنِ أَحْمَدَ الْقَلَانِسِيِّ ، عَنْ عَلِيِّ بْنِ الْحُسَيْنِ </w:t>
      </w:r>
      <w:r>
        <w:rPr>
          <w:rStyle w:val="libFootnotenumChar"/>
          <w:rtl/>
        </w:rPr>
        <w:t>(4)</w:t>
      </w:r>
      <w:r w:rsidRPr="00132E65">
        <w:rPr>
          <w:rtl/>
          <w:lang w:bidi="fa-IR"/>
        </w:rPr>
        <w:t xml:space="preserve"> بْنِ عَمْرٍو ، عَنْ عَلِيِّ بْنِ مَهْزِيَارَ ، قَالَ :</w:t>
      </w:r>
    </w:p>
    <w:p w:rsidR="000C39D1" w:rsidRPr="00132E65" w:rsidRDefault="000C39D1" w:rsidP="000C39D1">
      <w:pPr>
        <w:pStyle w:val="libNormal"/>
        <w:rPr>
          <w:rtl/>
          <w:lang w:bidi="fa-IR"/>
        </w:rPr>
      </w:pPr>
      <w:r w:rsidRPr="00132E65">
        <w:rPr>
          <w:rtl/>
          <w:lang w:bidi="fa-IR"/>
        </w:rPr>
        <w:t xml:space="preserve">قُلْتُ لِأَبِي الْحَسَنِ </w:t>
      </w:r>
      <w:r w:rsidRPr="00071CF9">
        <w:rPr>
          <w:rStyle w:val="libAlaemChar"/>
          <w:rtl/>
        </w:rPr>
        <w:t>عليه‌السلام</w:t>
      </w:r>
      <w:r w:rsidRPr="00132E65">
        <w:rPr>
          <w:rtl/>
          <w:lang w:bidi="fa-IR"/>
        </w:rPr>
        <w:t xml:space="preserve"> : إِنْ كَانَ كَوْنٌ</w:t>
      </w:r>
      <w:r>
        <w:rPr>
          <w:rtl/>
          <w:lang w:bidi="fa-IR"/>
        </w:rPr>
        <w:t xml:space="preserve"> – </w:t>
      </w:r>
      <w:r w:rsidRPr="00132E65">
        <w:rPr>
          <w:rtl/>
          <w:lang w:bidi="fa-IR"/>
        </w:rPr>
        <w:t>و</w:t>
      </w:r>
      <w:r>
        <w:rPr>
          <w:rFonts w:hint="cs"/>
          <w:rtl/>
          <w:lang w:bidi="fa-IR"/>
        </w:rPr>
        <w:t xml:space="preserve">َ </w:t>
      </w:r>
      <w:r w:rsidRPr="00132E65">
        <w:rPr>
          <w:rtl/>
          <w:lang w:bidi="fa-IR"/>
        </w:rPr>
        <w:t>أَعُوذُ بِاللهِ</w:t>
      </w:r>
      <w:r>
        <w:rPr>
          <w:rtl/>
          <w:lang w:bidi="fa-IR"/>
        </w:rPr>
        <w:t xml:space="preserve"> - </w:t>
      </w:r>
      <w:r w:rsidRPr="00132E65">
        <w:rPr>
          <w:rtl/>
          <w:lang w:bidi="fa-IR"/>
        </w:rPr>
        <w:t>فَإِلى مَنْ</w:t>
      </w:r>
      <w:r>
        <w:rPr>
          <w:rtl/>
          <w:lang w:bidi="fa-IR"/>
        </w:rPr>
        <w:t>؟</w:t>
      </w:r>
    </w:p>
    <w:p w:rsidR="000C39D1" w:rsidRPr="00132E65" w:rsidRDefault="000C39D1" w:rsidP="000C39D1">
      <w:pPr>
        <w:pStyle w:val="libNormal"/>
        <w:rPr>
          <w:rtl/>
          <w:lang w:bidi="fa-IR"/>
        </w:rPr>
      </w:pPr>
      <w:r w:rsidRPr="00132E65">
        <w:rPr>
          <w:rtl/>
          <w:lang w:bidi="fa-IR"/>
        </w:rPr>
        <w:t>قَالَ : « عَهْدِي إِلَى الْأَكْبَرِ مِنْ و</w:t>
      </w:r>
      <w:r>
        <w:rPr>
          <w:rFonts w:hint="cs"/>
          <w:rtl/>
          <w:lang w:bidi="fa-IR"/>
        </w:rPr>
        <w:t>َ</w:t>
      </w:r>
      <w:r w:rsidRPr="00132E65">
        <w:rPr>
          <w:rtl/>
          <w:lang w:bidi="fa-IR"/>
        </w:rPr>
        <w:t xml:space="preserve">لَدَيَّ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423649">
        <w:rPr>
          <w:rtl/>
        </w:rPr>
        <w:t>856</w:t>
      </w:r>
      <w:r w:rsidRPr="004325D8">
        <w:rPr>
          <w:rStyle w:val="libBold2Char"/>
          <w:rtl/>
        </w:rPr>
        <w:t xml:space="preserve"> / 7.</w:t>
      </w:r>
      <w:r w:rsidRPr="00132E65">
        <w:rPr>
          <w:rtl/>
          <w:lang w:bidi="fa-IR"/>
        </w:rPr>
        <w:t xml:space="preserve"> عَلِيُّ بْنُ مُحَمَّدٍ ، عَنْ أَبِي مُحَمَّدٍ الْإِسْبَارِقِينِيِّ </w:t>
      </w:r>
      <w:r>
        <w:rPr>
          <w:rStyle w:val="libFootnotenumChar"/>
          <w:rtl/>
        </w:rPr>
        <w:t>(7)</w:t>
      </w:r>
      <w:r w:rsidRPr="00132E65">
        <w:rPr>
          <w:rtl/>
          <w:lang w:bidi="fa-IR"/>
        </w:rPr>
        <w:t xml:space="preserve"> ، عَنْ عَلِيِّ بْنِ‌</w:t>
      </w:r>
      <w:r>
        <w:rPr>
          <w:rFonts w:hint="cs"/>
          <w:rtl/>
          <w:lang w:bidi="fa-IR"/>
        </w:rPr>
        <w:t>...........</w:t>
      </w:r>
      <w:r w:rsidR="001C701C">
        <w:rPr>
          <w:rFonts w:hint="cs"/>
          <w:rtl/>
          <w:lang w:bidi="fa-IR"/>
        </w:rPr>
        <w:t>...</w:t>
      </w:r>
      <w:r>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F24C1F">
        <w:rPr>
          <w:rtl/>
        </w:rPr>
        <w:t xml:space="preserve">الأنباري. ويحتمل تحوّل عليّ بن عبد الله هذا إلى بغداد ، فنسب إليها وعُدَّ من أهلها راجع : </w:t>
      </w:r>
      <w:r w:rsidRPr="00423649">
        <w:rPr>
          <w:rtl/>
        </w:rPr>
        <w:t>الأنساب</w:t>
      </w:r>
      <w:r w:rsidRPr="00F24C1F">
        <w:rPr>
          <w:rtl/>
        </w:rPr>
        <w:t xml:space="preserve"> للسمعاني ، ج 1 ، ص 212 ؛ </w:t>
      </w:r>
      <w:r w:rsidRPr="00423649">
        <w:rPr>
          <w:rtl/>
        </w:rPr>
        <w:t>رجال النجاشي</w:t>
      </w:r>
      <w:r w:rsidRPr="00F24C1F">
        <w:rPr>
          <w:rtl/>
        </w:rPr>
        <w:t xml:space="preserve"> ، ص 450 ، الرقم 1215 ؛ وص 457 ، الرقم 1246 ؛ </w:t>
      </w:r>
      <w:r w:rsidRPr="00423649">
        <w:rPr>
          <w:rtl/>
        </w:rPr>
        <w:t>الفهرست</w:t>
      </w:r>
      <w:r w:rsidRPr="00F24C1F">
        <w:rPr>
          <w:rtl/>
        </w:rPr>
        <w:t xml:space="preserve"> للطوسي ، ص 528 ، الرقم 847.</w:t>
      </w:r>
    </w:p>
    <w:p w:rsidR="000C39D1" w:rsidRPr="009742BA" w:rsidRDefault="000C39D1" w:rsidP="000C39D1">
      <w:pPr>
        <w:pStyle w:val="libFootnote0"/>
        <w:rPr>
          <w:rtl/>
        </w:rPr>
      </w:pPr>
      <w:r w:rsidRPr="009E5542">
        <w:rPr>
          <w:rtl/>
        </w:rPr>
        <w:t>هذا ما استفدنا ممّا أفاده الا</w:t>
      </w:r>
      <w:r w:rsidRPr="009E5542">
        <w:rPr>
          <w:rFonts w:hint="cs"/>
          <w:rtl/>
        </w:rPr>
        <w:t>ُ</w:t>
      </w:r>
      <w:r w:rsidRPr="009E5542">
        <w:rPr>
          <w:rtl/>
        </w:rPr>
        <w:t>ستاد السيّد محمّد جواد الشبيري - دام توفيقه - في رسالته « المسك الأذفر في البحث عمّن يسمّى بعليّ بن جعفر ».</w:t>
      </w:r>
    </w:p>
    <w:p w:rsidR="000C39D1" w:rsidRPr="00132E65" w:rsidRDefault="000C39D1" w:rsidP="000C39D1">
      <w:pPr>
        <w:pStyle w:val="libFootnote0"/>
        <w:rPr>
          <w:rtl/>
          <w:lang w:bidi="fa-IR"/>
        </w:rPr>
      </w:pPr>
      <w:r>
        <w:rPr>
          <w:rtl/>
        </w:rPr>
        <w:t>(1).</w:t>
      </w:r>
      <w:r w:rsidRPr="00132E65">
        <w:rPr>
          <w:rtl/>
        </w:rPr>
        <w:t xml:space="preserve"> في « ه‍ ، بح ، بس ، بف » وشرح المازندراني و</w:t>
      </w:r>
      <w:r w:rsidRPr="009D1ACE">
        <w:rPr>
          <w:rStyle w:val="libFootnoteBoldChar"/>
          <w:rtl/>
        </w:rPr>
        <w:t>مرآة العقول</w:t>
      </w:r>
      <w:r w:rsidRPr="00132E65">
        <w:rPr>
          <w:rtl/>
        </w:rPr>
        <w:t xml:space="preserve"> </w:t>
      </w:r>
      <w:r>
        <w:rPr>
          <w:rtl/>
        </w:rPr>
        <w:t xml:space="preserve">: - </w:t>
      </w:r>
      <w:r w:rsidRPr="00132E65">
        <w:rPr>
          <w:rtl/>
        </w:rPr>
        <w:t>« مضيّ »</w:t>
      </w:r>
      <w:r>
        <w:rPr>
          <w:rtl/>
        </w:rPr>
        <w:t>.</w:t>
      </w:r>
    </w:p>
    <w:p w:rsidR="000C39D1" w:rsidRPr="00132E65" w:rsidRDefault="000C39D1" w:rsidP="000C39D1">
      <w:pPr>
        <w:pStyle w:val="libFootnote0"/>
        <w:rPr>
          <w:rtl/>
          <w:lang w:bidi="fa-IR"/>
        </w:rPr>
      </w:pPr>
      <w:r>
        <w:rPr>
          <w:rtl/>
        </w:rPr>
        <w:t>(2).</w:t>
      </w:r>
      <w:r w:rsidRPr="00132E65">
        <w:rPr>
          <w:rtl/>
        </w:rPr>
        <w:t xml:space="preserve"> في الإرشاد : « ابنه »</w:t>
      </w:r>
      <w:r>
        <w:rPr>
          <w:rtl/>
        </w:rPr>
        <w:t>.</w:t>
      </w:r>
    </w:p>
    <w:p w:rsidR="000C39D1" w:rsidRPr="00132E65" w:rsidRDefault="000C39D1" w:rsidP="000C39D1">
      <w:pPr>
        <w:pStyle w:val="libFootnote0"/>
        <w:rPr>
          <w:rtl/>
          <w:lang w:bidi="fa-IR"/>
        </w:rPr>
      </w:pPr>
      <w:r>
        <w:rPr>
          <w:rtl/>
        </w:rPr>
        <w:t>(3).</w:t>
      </w:r>
      <w:r w:rsidRPr="00132E65">
        <w:rPr>
          <w:rtl/>
        </w:rPr>
        <w:t xml:space="preserve"> </w:t>
      </w:r>
      <w:r w:rsidRPr="00423649">
        <w:rPr>
          <w:rtl/>
        </w:rPr>
        <w:t>الإرشاد</w:t>
      </w:r>
      <w:r w:rsidRPr="00132E65">
        <w:rPr>
          <w:rtl/>
        </w:rPr>
        <w:t xml:space="preserve"> ، ج 2 ، ص 316 ، بسنده عن الكليني. </w:t>
      </w:r>
      <w:r w:rsidRPr="007A1104">
        <w:rPr>
          <w:rStyle w:val="libFootnoteBoldChar"/>
          <w:rtl/>
        </w:rPr>
        <w:t>بصائر الدرجات</w:t>
      </w:r>
      <w:r w:rsidRPr="00132E65">
        <w:rPr>
          <w:rtl/>
        </w:rPr>
        <w:t xml:space="preserve"> ، ص 472 ، ح 13 ، عن الحسن بن محمّد ، عن المعلّى بن محمّد ، عن أحمد بن محمّد بن عبد الله ، عن أحمد بن الحسين ، عن عليّ بن عبد الله بن مروان الأنباري. </w:t>
      </w:r>
      <w:r w:rsidRPr="00423649">
        <w:rPr>
          <w:rtl/>
        </w:rPr>
        <w:t>الغيبة</w:t>
      </w:r>
      <w:r w:rsidRPr="00132E65">
        <w:rPr>
          <w:rtl/>
        </w:rPr>
        <w:t xml:space="preserve"> للطوسي ، ص 203 ، ح 170 بسند آخر ، مع اختلاف يسير </w:t>
      </w:r>
      <w:r>
        <w:rPr>
          <w:rFonts w:hint="cs"/>
          <w:rtl/>
        </w:rPr>
        <w:t>.</w:t>
      </w:r>
      <w:r w:rsidRPr="009D1ACE">
        <w:rPr>
          <w:rStyle w:val="libFootnoteBoldChar"/>
          <w:rtl/>
        </w:rPr>
        <w:t>الوافي</w:t>
      </w:r>
      <w:r w:rsidRPr="00132E65">
        <w:rPr>
          <w:rtl/>
        </w:rPr>
        <w:t xml:space="preserve"> ، ج 2 ، ص 387 ، ح 872.</w:t>
      </w:r>
    </w:p>
    <w:p w:rsidR="000C39D1" w:rsidRPr="00132E65" w:rsidRDefault="000C39D1" w:rsidP="000C39D1">
      <w:pPr>
        <w:pStyle w:val="libFootnote0"/>
        <w:rPr>
          <w:rtl/>
          <w:lang w:bidi="fa-IR"/>
        </w:rPr>
      </w:pPr>
      <w:r>
        <w:rPr>
          <w:rtl/>
        </w:rPr>
        <w:t>(4).</w:t>
      </w:r>
      <w:r w:rsidRPr="00132E65">
        <w:rPr>
          <w:rtl/>
        </w:rPr>
        <w:t xml:space="preserve"> في « ب » : « الحسن »</w:t>
      </w:r>
      <w:r>
        <w:rPr>
          <w:rtl/>
        </w:rPr>
        <w:t>.</w:t>
      </w:r>
    </w:p>
    <w:p w:rsidR="000C39D1" w:rsidRPr="00132E65" w:rsidRDefault="000C39D1" w:rsidP="000C39D1">
      <w:pPr>
        <w:pStyle w:val="libFootnote0"/>
        <w:rPr>
          <w:rtl/>
          <w:lang w:bidi="fa-IR"/>
        </w:rPr>
      </w:pPr>
      <w:r>
        <w:rPr>
          <w:rtl/>
        </w:rPr>
        <w:t>(5).</w:t>
      </w:r>
      <w:r w:rsidRPr="00132E65">
        <w:rPr>
          <w:rtl/>
        </w:rPr>
        <w:t xml:space="preserve"> وهما</w:t>
      </w:r>
      <w:r>
        <w:rPr>
          <w:rtl/>
        </w:rPr>
        <w:t xml:space="preserve"> - </w:t>
      </w:r>
      <w:r w:rsidRPr="00132E65">
        <w:rPr>
          <w:rtl/>
        </w:rPr>
        <w:t>بناء على كون الكلمة تثنيةً</w:t>
      </w:r>
      <w:r>
        <w:rPr>
          <w:rtl/>
        </w:rPr>
        <w:t xml:space="preserve"> - </w:t>
      </w:r>
      <w:r w:rsidRPr="00132E65">
        <w:rPr>
          <w:rtl/>
        </w:rPr>
        <w:t xml:space="preserve">أبو محمّد وجعفر الكذّاب ؛ لأنّ محمّداً أبا جعفر مات في حياة أبيه. وفي </w:t>
      </w:r>
      <w:r w:rsidRPr="00423649">
        <w:rPr>
          <w:rtl/>
        </w:rPr>
        <w:t>شرح المازندراني</w:t>
      </w:r>
      <w:r w:rsidRPr="00132E65">
        <w:rPr>
          <w:rtl/>
        </w:rPr>
        <w:t xml:space="preserve"> : « لعلّ هذا القول كان بعد موت أخيه ؛ لأنّ محمّداً كان أكبر منه ، ويحتمل أن يكون قبله ؛ لعلمه </w:t>
      </w:r>
      <w:r w:rsidRPr="00985CE2">
        <w:rPr>
          <w:rStyle w:val="libFootnoteAlaemChar"/>
          <w:rtl/>
        </w:rPr>
        <w:t>عليه‌السلام</w:t>
      </w:r>
      <w:r w:rsidRPr="00132E65">
        <w:rPr>
          <w:rtl/>
        </w:rPr>
        <w:t xml:space="preserve"> بأنّ محمّداً سيموت ويكون أبو محمّد أكبر ممّن بقي »</w:t>
      </w:r>
      <w:r>
        <w:rPr>
          <w:rtl/>
        </w:rPr>
        <w:t>.</w:t>
      </w:r>
      <w:r w:rsidRPr="00132E65">
        <w:rPr>
          <w:rtl/>
        </w:rPr>
        <w:t xml:space="preserve"> ويمكن كون الكلمة جمعاً وبضمّ الواو. وفي الإرشاد :</w:t>
      </w:r>
      <w:r>
        <w:rPr>
          <w:rtl/>
        </w:rPr>
        <w:t xml:space="preserve"> + </w:t>
      </w:r>
      <w:r w:rsidRPr="00132E65">
        <w:rPr>
          <w:rtl/>
        </w:rPr>
        <w:t xml:space="preserve">« يعني الحسن </w:t>
      </w:r>
      <w:r w:rsidRPr="00985CE2">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(6).</w:t>
      </w:r>
      <w:r w:rsidRPr="00132E65">
        <w:rPr>
          <w:rtl/>
        </w:rPr>
        <w:t xml:space="preserve"> </w:t>
      </w:r>
      <w:r w:rsidRPr="00423649">
        <w:rPr>
          <w:rtl/>
        </w:rPr>
        <w:t>الإرشاد</w:t>
      </w:r>
      <w:r w:rsidRPr="00132E65">
        <w:rPr>
          <w:rtl/>
        </w:rPr>
        <w:t xml:space="preserve"> ، ج 2 ، ص 316 ، عن الكليني </w:t>
      </w:r>
      <w:r>
        <w:rPr>
          <w:rFonts w:hint="cs"/>
          <w:rtl/>
        </w:rPr>
        <w:t>.</w:t>
      </w:r>
      <w:r w:rsidRPr="009D1ACE">
        <w:rPr>
          <w:rStyle w:val="libFootnoteBoldChar"/>
          <w:rtl/>
        </w:rPr>
        <w:t>الوافي</w:t>
      </w:r>
      <w:r w:rsidRPr="00132E65">
        <w:rPr>
          <w:rtl/>
        </w:rPr>
        <w:t xml:space="preserve"> ، ج 2 ، ص 390 ، ح 879.</w:t>
      </w:r>
    </w:p>
    <w:p w:rsidR="000C39D1" w:rsidRPr="00132E65" w:rsidRDefault="000C39D1" w:rsidP="000C39D1">
      <w:pPr>
        <w:pStyle w:val="libFootnote0"/>
        <w:rPr>
          <w:rtl/>
          <w:lang w:bidi="fa-IR"/>
        </w:rPr>
      </w:pPr>
      <w:r>
        <w:rPr>
          <w:rtl/>
        </w:rPr>
        <w:t>(7).</w:t>
      </w:r>
      <w:r w:rsidRPr="00132E65">
        <w:rPr>
          <w:rtl/>
        </w:rPr>
        <w:t xml:space="preserve"> في هامش « ج ، ض » : « الإسبارقي »</w:t>
      </w:r>
      <w:r>
        <w:rPr>
          <w:rtl/>
        </w:rPr>
        <w:t>.</w:t>
      </w:r>
      <w:r w:rsidRPr="00132E65">
        <w:rPr>
          <w:rtl/>
        </w:rPr>
        <w:t xml:space="preserve"> وفي إعلام الورى : « أبي محمّد الأسترآبادي »</w:t>
      </w:r>
      <w:r>
        <w:rPr>
          <w:rtl/>
        </w:rPr>
        <w:t>.</w:t>
      </w:r>
      <w:r w:rsidRPr="00132E65">
        <w:rPr>
          <w:rtl/>
        </w:rPr>
        <w:t xml:space="preserve"> وفي الإرشاد : « عليّ بن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عَمْرٍو </w:t>
      </w:r>
      <w:r>
        <w:rPr>
          <w:rStyle w:val="libFootnotenumChar"/>
          <w:rtl/>
        </w:rPr>
        <w:t>(1)</w:t>
      </w:r>
      <w:r w:rsidRPr="00132E65">
        <w:rPr>
          <w:rtl/>
          <w:lang w:bidi="fa-IR"/>
        </w:rPr>
        <w:t xml:space="preserve"> الْعَطَّارِ ، قَالَ :</w:t>
      </w:r>
    </w:p>
    <w:p w:rsidR="000C39D1" w:rsidRPr="00132E65" w:rsidRDefault="000C39D1" w:rsidP="000C39D1">
      <w:pPr>
        <w:pStyle w:val="libNormal"/>
        <w:rPr>
          <w:rtl/>
          <w:lang w:bidi="fa-IR"/>
        </w:rPr>
      </w:pPr>
      <w:r w:rsidRPr="00132E65">
        <w:rPr>
          <w:rtl/>
          <w:lang w:bidi="fa-IR"/>
        </w:rPr>
        <w:t xml:space="preserve">دَخَلْتُ عَلى أَبِي الْحَسَنِ الْعَسْكَرِيِّ </w:t>
      </w:r>
      <w:r w:rsidRPr="00071CF9">
        <w:rPr>
          <w:rStyle w:val="libAlaemChar"/>
          <w:rtl/>
        </w:rPr>
        <w:t>عليه‌السلام</w:t>
      </w:r>
      <w:r w:rsidRPr="00132E65">
        <w:rPr>
          <w:rtl/>
          <w:lang w:bidi="fa-IR"/>
        </w:rPr>
        <w:t xml:space="preserve"> و</w:t>
      </w:r>
      <w:r>
        <w:rPr>
          <w:rFonts w:hint="cs"/>
          <w:rtl/>
          <w:lang w:bidi="fa-IR"/>
        </w:rPr>
        <w:t xml:space="preserve">َ </w:t>
      </w:r>
      <w:r w:rsidRPr="00132E65">
        <w:rPr>
          <w:rtl/>
          <w:lang w:bidi="fa-IR"/>
        </w:rPr>
        <w:t xml:space="preserve">أَبُو </w:t>
      </w:r>
      <w:r>
        <w:rPr>
          <w:rStyle w:val="libFootnotenumChar"/>
          <w:rtl/>
        </w:rPr>
        <w:t>(2)</w:t>
      </w:r>
      <w:r w:rsidRPr="00132E65">
        <w:rPr>
          <w:rtl/>
          <w:lang w:bidi="fa-IR"/>
        </w:rPr>
        <w:t xml:space="preserve"> جَعْفَرٍ ابْنُهُ فِي الْأَحْيَاءِ </w:t>
      </w:r>
      <w:r>
        <w:rPr>
          <w:rStyle w:val="libFootnotenumChar"/>
          <w:rtl/>
        </w:rPr>
        <w:t>(3)</w:t>
      </w:r>
      <w:r w:rsidRPr="00132E65">
        <w:rPr>
          <w:rtl/>
          <w:lang w:bidi="fa-IR"/>
        </w:rPr>
        <w:t xml:space="preserve"> ، و</w:t>
      </w:r>
      <w:r>
        <w:rPr>
          <w:rFonts w:hint="cs"/>
          <w:rtl/>
          <w:lang w:bidi="fa-IR"/>
        </w:rPr>
        <w:t xml:space="preserve">َ </w:t>
      </w:r>
      <w:r w:rsidRPr="00132E65">
        <w:rPr>
          <w:rtl/>
          <w:lang w:bidi="fa-IR"/>
        </w:rPr>
        <w:t xml:space="preserve">أَنَا أَظُنُّ أَنَّهُ هُوَ </w:t>
      </w:r>
      <w:r>
        <w:rPr>
          <w:rStyle w:val="libFootnotenumChar"/>
          <w:rtl/>
        </w:rPr>
        <w:t>(4)</w:t>
      </w:r>
      <w:r w:rsidRPr="00132E65">
        <w:rPr>
          <w:rtl/>
          <w:lang w:bidi="fa-IR"/>
        </w:rPr>
        <w:t xml:space="preserve"> ، فَقُلْتُ لَهُ : جُعِلْتُ فِدَاكَ ، مَنْ أَخُصُّ مِنْ و</w:t>
      </w:r>
      <w:r>
        <w:rPr>
          <w:rFonts w:hint="cs"/>
          <w:rtl/>
          <w:lang w:bidi="fa-IR"/>
        </w:rPr>
        <w:t>ُ</w:t>
      </w:r>
      <w:r w:rsidRPr="00132E65">
        <w:rPr>
          <w:rtl/>
          <w:lang w:bidi="fa-IR"/>
        </w:rPr>
        <w:t>لْدِكَ</w:t>
      </w:r>
      <w:r>
        <w:rPr>
          <w:rtl/>
          <w:lang w:bidi="fa-IR"/>
        </w:rPr>
        <w:t>؟</w:t>
      </w:r>
    </w:p>
    <w:p w:rsidR="000C39D1" w:rsidRPr="00132E65" w:rsidRDefault="000C39D1" w:rsidP="000C39D1">
      <w:pPr>
        <w:pStyle w:val="libNormal"/>
        <w:rPr>
          <w:rtl/>
          <w:lang w:bidi="fa-IR"/>
        </w:rPr>
      </w:pPr>
      <w:r w:rsidRPr="00132E65">
        <w:rPr>
          <w:rtl/>
          <w:lang w:bidi="fa-IR"/>
        </w:rPr>
        <w:t xml:space="preserve">فَقَالَ : « لَا تَخُصُّوا أَحَداً حَتّى يَخْرُجَ </w:t>
      </w:r>
      <w:r>
        <w:rPr>
          <w:rStyle w:val="libFootnotenumChar"/>
          <w:rtl/>
        </w:rPr>
        <w:t>(5)</w:t>
      </w:r>
      <w:r w:rsidRPr="00132E65">
        <w:rPr>
          <w:rtl/>
          <w:lang w:bidi="fa-IR"/>
        </w:rPr>
        <w:t xml:space="preserve"> إِلَيْكُمْ أَمْرِي »</w:t>
      </w:r>
      <w:r>
        <w:rPr>
          <w:rtl/>
          <w:lang w:bidi="fa-IR"/>
        </w:rPr>
        <w:t>.</w:t>
      </w:r>
    </w:p>
    <w:p w:rsidR="000C39D1" w:rsidRPr="00132E65" w:rsidRDefault="000C39D1" w:rsidP="000C39D1">
      <w:pPr>
        <w:pStyle w:val="libNormal"/>
        <w:rPr>
          <w:rtl/>
          <w:lang w:bidi="fa-IR"/>
        </w:rPr>
      </w:pPr>
      <w:r w:rsidRPr="00132E65">
        <w:rPr>
          <w:rtl/>
          <w:lang w:bidi="fa-IR"/>
        </w:rPr>
        <w:t>قَالَ : فَكَتَبْتُ إِلَيْهِ بَعْدُ : فِيمَنْ يَكُونُ هذَا الْأَمْرُ</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(6)</w:t>
      </w:r>
      <w:r w:rsidRPr="00132E65">
        <w:rPr>
          <w:rtl/>
          <w:lang w:bidi="fa-IR"/>
        </w:rPr>
        <w:t xml:space="preserve"> : فَكَتَبَ إِلَيَّ : « فِي الْكَبِيرِ </w:t>
      </w:r>
      <w:r>
        <w:rPr>
          <w:rStyle w:val="libFootnotenumChar"/>
          <w:rtl/>
        </w:rPr>
        <w:t>(7)</w:t>
      </w:r>
      <w:r w:rsidRPr="00132E65">
        <w:rPr>
          <w:rtl/>
          <w:lang w:bidi="fa-IR"/>
        </w:rPr>
        <w:t xml:space="preserve"> مِنْ و</w:t>
      </w:r>
      <w:r>
        <w:rPr>
          <w:rFonts w:hint="cs"/>
          <w:rtl/>
          <w:lang w:bidi="fa-IR"/>
        </w:rPr>
        <w:t>َ</w:t>
      </w:r>
      <w:r w:rsidRPr="00132E65">
        <w:rPr>
          <w:rtl/>
          <w:lang w:bidi="fa-IR"/>
        </w:rPr>
        <w:t>لَدَيَّ »</w:t>
      </w:r>
      <w:r>
        <w:rPr>
          <w:rtl/>
          <w:lang w:bidi="fa-IR"/>
        </w:rPr>
        <w:t>.</w:t>
      </w:r>
      <w:r w:rsidRPr="00132E65">
        <w:rPr>
          <w:rtl/>
          <w:lang w:bidi="fa-IR"/>
        </w:rPr>
        <w:t xml:space="preserve"> قَالَ </w:t>
      </w:r>
      <w:r>
        <w:rPr>
          <w:rStyle w:val="libFootnotenumChar"/>
          <w:rtl/>
        </w:rPr>
        <w:t>(8)</w:t>
      </w:r>
      <w:r w:rsidRPr="00132E65">
        <w:rPr>
          <w:rtl/>
          <w:lang w:bidi="fa-IR"/>
        </w:rPr>
        <w:t xml:space="preserve"> : و</w:t>
      </w:r>
      <w:r>
        <w:rPr>
          <w:rFonts w:hint="cs"/>
          <w:rtl/>
          <w:lang w:bidi="fa-IR"/>
        </w:rPr>
        <w:t xml:space="preserve">َ </w:t>
      </w:r>
      <w:r w:rsidRPr="00132E65">
        <w:rPr>
          <w:rtl/>
          <w:lang w:bidi="fa-IR"/>
        </w:rPr>
        <w:t xml:space="preserve">كَانَ </w:t>
      </w:r>
      <w:r>
        <w:rPr>
          <w:rStyle w:val="libFootnotenumChar"/>
          <w:rtl/>
        </w:rPr>
        <w:t>(9)</w:t>
      </w:r>
      <w:r w:rsidRPr="00132E65">
        <w:rPr>
          <w:rtl/>
          <w:lang w:bidi="fa-IR"/>
        </w:rPr>
        <w:t xml:space="preserve"> أَبُو مُحَمَّدٍ أَكْبَرَ مِنْ جَعْفَرٍ</w:t>
      </w:r>
      <w:r>
        <w:rPr>
          <w:rStyle w:val="libFootnotenumChar"/>
          <w:rtl/>
        </w:rPr>
        <w:t>(10)</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423649">
        <w:rPr>
          <w:rtl/>
        </w:rPr>
        <w:t>857</w:t>
      </w:r>
      <w:r w:rsidRPr="004325D8">
        <w:rPr>
          <w:rStyle w:val="libBold2Char"/>
          <w:rtl/>
        </w:rPr>
        <w:t xml:space="preserve"> / 8.</w:t>
      </w:r>
      <w:r w:rsidRPr="00132E65">
        <w:rPr>
          <w:rtl/>
          <w:lang w:bidi="fa-IR"/>
        </w:rPr>
        <w:t xml:space="preserve"> مُحَمَّدُ بْنُ يَحْيى و</w:t>
      </w:r>
      <w:r>
        <w:rPr>
          <w:rFonts w:hint="cs"/>
          <w:rtl/>
          <w:lang w:bidi="fa-IR"/>
        </w:rPr>
        <w:t xml:space="preserve">َ </w:t>
      </w:r>
      <w:r w:rsidRPr="00132E65">
        <w:rPr>
          <w:rtl/>
          <w:lang w:bidi="fa-IR"/>
        </w:rPr>
        <w:t xml:space="preserve">غَيْرُهُ ، عَنْ سَعْدِ بْنِ عَبْدِ اللهِ ، عَنْ جَمَاعَةٍ مِنْ بَنِي هَاشِمٍ مِنْهُمُ الْحَسَنُ بْنُ الْحَسَنِ </w:t>
      </w:r>
      <w:r>
        <w:rPr>
          <w:rStyle w:val="libFootnotenumChar"/>
          <w:rtl/>
        </w:rPr>
        <w:t>(12)</w:t>
      </w:r>
      <w:r w:rsidRPr="00132E65">
        <w:rPr>
          <w:rtl/>
          <w:lang w:bidi="fa-IR"/>
        </w:rPr>
        <w:t xml:space="preserve"> الْأَفْطَسُ :</w:t>
      </w:r>
    </w:p>
    <w:p w:rsidR="000C39D1" w:rsidRPr="00132E65" w:rsidRDefault="000C39D1" w:rsidP="000C39D1">
      <w:pPr>
        <w:pStyle w:val="libNormal"/>
        <w:rPr>
          <w:rtl/>
          <w:lang w:bidi="fa-IR"/>
        </w:rPr>
      </w:pPr>
      <w:r w:rsidRPr="00132E65">
        <w:rPr>
          <w:rtl/>
          <w:lang w:bidi="fa-IR"/>
        </w:rPr>
        <w:t>أَنَّهُمْ حَضَرُوا</w:t>
      </w:r>
      <w:r>
        <w:rPr>
          <w:rtl/>
          <w:lang w:bidi="fa-IR"/>
        </w:rPr>
        <w:t xml:space="preserve"> - </w:t>
      </w:r>
      <w:r w:rsidRPr="00132E65">
        <w:rPr>
          <w:rtl/>
          <w:lang w:bidi="fa-IR"/>
        </w:rPr>
        <w:t>يَوْمَ تُوُفِّيَ مُحَمَّدُ بْنُ عَلِيِّ بْنِ مُحَمَّدٍ</w:t>
      </w:r>
      <w:r>
        <w:rPr>
          <w:rtl/>
          <w:lang w:bidi="fa-IR"/>
        </w:rPr>
        <w:t xml:space="preserve"> - </w:t>
      </w:r>
      <w:r w:rsidRPr="00132E65">
        <w:rPr>
          <w:rtl/>
          <w:lang w:bidi="fa-IR"/>
        </w:rPr>
        <w:t xml:space="preserve">بَابَ أَبِي الْحَسَنِ </w:t>
      </w:r>
      <w:r w:rsidRPr="00071CF9">
        <w:rPr>
          <w:rStyle w:val="libAlaemChar"/>
          <w:rtl/>
        </w:rPr>
        <w:t>عليه‌السلام</w:t>
      </w:r>
      <w:r w:rsidRPr="00132E65">
        <w:rPr>
          <w:rtl/>
          <w:lang w:bidi="fa-IR"/>
        </w:rPr>
        <w:t xml:space="preserve"> يُعَزُّونَهُ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محمّد الأسترآبادي » بحذف « عن أبي محمّد »</w:t>
      </w:r>
      <w:r>
        <w:rPr>
          <w:rtl/>
        </w:rPr>
        <w:t>.</w:t>
      </w:r>
      <w:r w:rsidRPr="00132E65">
        <w:rPr>
          <w:rtl/>
        </w:rPr>
        <w:t xml:space="preserve"> وهو سهو ؛ فإنّ عليّ بن محمّد في مشايخ الكليني </w:t>
      </w:r>
      <w:r w:rsidRPr="00415DAF">
        <w:rPr>
          <w:rStyle w:val="libFootnoteAlaemChar"/>
          <w:rtl/>
        </w:rPr>
        <w:t>قدس‌سره</w:t>
      </w:r>
      <w:r w:rsidRPr="00132E65">
        <w:rPr>
          <w:rtl/>
        </w:rPr>
        <w:t xml:space="preserve"> مشترك بين عليّ بن محمّد علاّن الكليني وعليّ بن محمّد بن بندار.</w:t>
      </w:r>
    </w:p>
    <w:p w:rsidR="000C39D1" w:rsidRPr="00132E65" w:rsidRDefault="000C39D1" w:rsidP="000C39D1">
      <w:pPr>
        <w:pStyle w:val="libFootnote0"/>
        <w:rPr>
          <w:rtl/>
          <w:lang w:bidi="fa-IR"/>
        </w:rPr>
      </w:pPr>
      <w:r>
        <w:rPr>
          <w:rtl/>
        </w:rPr>
        <w:t>(1).</w:t>
      </w:r>
      <w:r w:rsidRPr="00132E65">
        <w:rPr>
          <w:rtl/>
        </w:rPr>
        <w:t xml:space="preserve"> في « ألف » : « عمر »</w:t>
      </w:r>
      <w:r>
        <w:rPr>
          <w:rtl/>
        </w:rPr>
        <w:t>.</w:t>
      </w:r>
    </w:p>
    <w:p w:rsidR="000C39D1" w:rsidRPr="00132E65" w:rsidRDefault="000C39D1" w:rsidP="000C39D1">
      <w:pPr>
        <w:pStyle w:val="libFootnote0"/>
        <w:rPr>
          <w:rtl/>
          <w:lang w:bidi="fa-IR"/>
        </w:rPr>
      </w:pPr>
      <w:r>
        <w:rPr>
          <w:rtl/>
        </w:rPr>
        <w:t>(2). في « ه</w:t>
      </w:r>
      <w:r>
        <w:rPr>
          <w:rFonts w:hint="cs"/>
          <w:rtl/>
        </w:rPr>
        <w:t xml:space="preserve"> </w:t>
      </w:r>
      <w:r w:rsidRPr="00132E65">
        <w:rPr>
          <w:rtl/>
        </w:rPr>
        <w:t xml:space="preserve">» </w:t>
      </w:r>
      <w:r>
        <w:rPr>
          <w:rtl/>
        </w:rPr>
        <w:t xml:space="preserve">: - </w:t>
      </w:r>
      <w:r w:rsidRPr="00132E65">
        <w:rPr>
          <w:rtl/>
        </w:rPr>
        <w:t>« أبو »</w:t>
      </w:r>
      <w:r>
        <w:rPr>
          <w:rtl/>
        </w:rPr>
        <w:t>.</w:t>
      </w:r>
    </w:p>
    <w:p w:rsidR="000C39D1" w:rsidRPr="00132E65" w:rsidRDefault="000C39D1" w:rsidP="000C39D1">
      <w:pPr>
        <w:pStyle w:val="libFootnote0"/>
        <w:rPr>
          <w:rtl/>
          <w:lang w:bidi="fa-IR"/>
        </w:rPr>
      </w:pPr>
      <w:r>
        <w:rPr>
          <w:rtl/>
        </w:rPr>
        <w:t>(3).</w:t>
      </w:r>
      <w:r w:rsidRPr="00132E65">
        <w:rPr>
          <w:rtl/>
        </w:rPr>
        <w:t xml:space="preserve"> في الإرشاد : « وابنه أبو جعفر يُحيّا »</w:t>
      </w:r>
      <w:r>
        <w:rPr>
          <w:rtl/>
        </w:rPr>
        <w:t>.</w:t>
      </w:r>
      <w:r w:rsidRPr="00132E65">
        <w:rPr>
          <w:rtl/>
        </w:rPr>
        <w:t xml:space="preserve"> وفي الأحياء ، أي كان حيّاً.</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الإرشاد :</w:t>
            </w:r>
            <w:r>
              <w:rPr>
                <w:rtl/>
              </w:rPr>
              <w:t xml:space="preserve"> + </w:t>
            </w:r>
            <w:r w:rsidRPr="00132E65">
              <w:rPr>
                <w:rtl/>
              </w:rPr>
              <w:t>« الخلف من بعده »</w:t>
            </w:r>
            <w:r>
              <w:rPr>
                <w:rtl/>
              </w:rPr>
              <w:t>.</w:t>
            </w:r>
          </w:p>
        </w:tc>
        <w:tc>
          <w:tcPr>
            <w:tcW w:w="4006" w:type="dxa"/>
          </w:tcPr>
          <w:p w:rsidR="000C39D1" w:rsidRDefault="000C39D1" w:rsidP="00B53873">
            <w:pPr>
              <w:pStyle w:val="libFootnote0"/>
              <w:rPr>
                <w:rtl/>
              </w:rPr>
            </w:pPr>
            <w:r>
              <w:rPr>
                <w:rtl/>
              </w:rPr>
              <w:t>(5). في « ه</w:t>
            </w:r>
            <w:r>
              <w:rPr>
                <w:rFonts w:hint="cs"/>
                <w:rtl/>
              </w:rPr>
              <w:t xml:space="preserve"> </w:t>
            </w:r>
            <w:r w:rsidRPr="00132E65">
              <w:rPr>
                <w:rtl/>
              </w:rPr>
              <w:t>» : « اخرج »</w:t>
            </w:r>
            <w:r>
              <w:rPr>
                <w:rtl/>
              </w:rPr>
              <w:t>.</w:t>
            </w:r>
          </w:p>
        </w:tc>
      </w:tr>
      <w:tr w:rsidR="000C39D1" w:rsidTr="00B53873">
        <w:tc>
          <w:tcPr>
            <w:tcW w:w="4006" w:type="dxa"/>
          </w:tcPr>
          <w:p w:rsidR="000C39D1" w:rsidRDefault="000C39D1" w:rsidP="00B53873">
            <w:pPr>
              <w:pStyle w:val="libFootnote0"/>
              <w:rPr>
                <w:rtl/>
              </w:rPr>
            </w:pPr>
            <w:r>
              <w:rPr>
                <w:rtl/>
              </w:rPr>
              <w:t>(6).</w:t>
            </w:r>
            <w:r w:rsidRPr="00132E65">
              <w:rPr>
                <w:rtl/>
              </w:rPr>
              <w:t xml:space="preserve"> في « ف »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(7).</w:t>
            </w:r>
            <w:r w:rsidRPr="00132E65">
              <w:rPr>
                <w:rtl/>
              </w:rPr>
              <w:t xml:space="preserve"> في الإرشاد : « الأكبر »</w:t>
            </w:r>
            <w:r>
              <w:rPr>
                <w:rtl/>
              </w:rPr>
              <w:t>.</w:t>
            </w:r>
          </w:p>
        </w:tc>
      </w:tr>
      <w:tr w:rsidR="000C39D1" w:rsidTr="00B53873">
        <w:tc>
          <w:tcPr>
            <w:tcW w:w="4006" w:type="dxa"/>
          </w:tcPr>
          <w:p w:rsidR="000C39D1" w:rsidRDefault="000C39D1" w:rsidP="00B53873">
            <w:pPr>
              <w:pStyle w:val="libFootnote0"/>
              <w:rPr>
                <w:rtl/>
              </w:rPr>
            </w:pPr>
            <w:r>
              <w:rPr>
                <w:rtl/>
              </w:rPr>
              <w:t>(8).</w:t>
            </w:r>
            <w:r w:rsidRPr="00132E65">
              <w:rPr>
                <w:rtl/>
              </w:rPr>
              <w:t xml:space="preserve"> في « ف »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(9).</w:t>
            </w:r>
            <w:r w:rsidRPr="00132E65">
              <w:rPr>
                <w:rtl/>
              </w:rPr>
              <w:t xml:space="preserve"> في « ج » : « فكان »</w:t>
            </w:r>
            <w:r>
              <w:rPr>
                <w:rtl/>
              </w:rPr>
              <w:t>.</w:t>
            </w:r>
          </w:p>
        </w:tc>
      </w:tr>
    </w:tbl>
    <w:p w:rsidR="000C39D1" w:rsidRPr="00132E65" w:rsidRDefault="000C39D1" w:rsidP="000C39D1">
      <w:pPr>
        <w:pStyle w:val="libFootnote0"/>
        <w:rPr>
          <w:rtl/>
          <w:lang w:bidi="fa-IR"/>
        </w:rPr>
      </w:pPr>
      <w:r>
        <w:rPr>
          <w:rtl/>
        </w:rPr>
        <w:t>(10).</w:t>
      </w:r>
      <w:r w:rsidRPr="00132E65">
        <w:rPr>
          <w:rtl/>
        </w:rPr>
        <w:t xml:space="preserve"> هكذا في « ب ، ج ، ه‍ ، و، بس ، بف » وحاشية بدرالدين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والإرشاد. وفي « ف ، بح ، بر » والمطبوع : « أبي جعفر »</w:t>
      </w:r>
      <w:r>
        <w:rPr>
          <w:rtl/>
        </w:rPr>
        <w:t>.</w:t>
      </w:r>
      <w:r w:rsidRPr="00132E65">
        <w:rPr>
          <w:rtl/>
        </w:rPr>
        <w:t xml:space="preserve"> وكان للهادي </w:t>
      </w:r>
      <w:r w:rsidRPr="00415DAF">
        <w:rPr>
          <w:rStyle w:val="libFootnoteAlaemChar"/>
          <w:rtl/>
        </w:rPr>
        <w:t>عليه‌السلام</w:t>
      </w:r>
      <w:r w:rsidRPr="00132E65">
        <w:rPr>
          <w:rtl/>
        </w:rPr>
        <w:t xml:space="preserve"> ابن يكنّى بأبي جعفر اسمه محمّد وقد مات في حياة أبيه ، وله </w:t>
      </w:r>
      <w:r w:rsidRPr="00415DAF">
        <w:rPr>
          <w:rStyle w:val="libFootnoteAlaemChar"/>
          <w:rtl/>
        </w:rPr>
        <w:t>عليه‌السلام</w:t>
      </w:r>
      <w:r w:rsidRPr="00132E65">
        <w:rPr>
          <w:rtl/>
        </w:rPr>
        <w:t xml:space="preserve"> ابن آخر مسمّى بجعفر المعروف بالكذّاب وجاء اسم كليهما في هذا الحديث. والمراد من « ولديّ » هما أبو محمّد </w:t>
      </w:r>
      <w:r w:rsidRPr="00415DAF">
        <w:rPr>
          <w:rStyle w:val="libFootnoteAlaemChar"/>
          <w:rtl/>
        </w:rPr>
        <w:t>عليه‌السلام</w:t>
      </w:r>
      <w:r w:rsidRPr="00132E65">
        <w:rPr>
          <w:rtl/>
        </w:rPr>
        <w:t xml:space="preserve"> وجعفر الكذّاب. وأبو محمّد </w:t>
      </w:r>
      <w:r w:rsidRPr="00415DAF">
        <w:rPr>
          <w:rStyle w:val="libFootnoteAlaemChar"/>
          <w:rtl/>
        </w:rPr>
        <w:t>عليه‌السلام</w:t>
      </w:r>
      <w:r w:rsidRPr="00132E65">
        <w:rPr>
          <w:rtl/>
        </w:rPr>
        <w:t xml:space="preserve"> كان أكبر من جعفر وأصغر من محمّد أبي جعفر.</w:t>
      </w:r>
    </w:p>
    <w:p w:rsidR="000C39D1" w:rsidRPr="00132E65" w:rsidRDefault="000C39D1" w:rsidP="000C39D1">
      <w:pPr>
        <w:pStyle w:val="libFootnote0"/>
        <w:rPr>
          <w:rtl/>
          <w:lang w:bidi="fa-IR"/>
        </w:rPr>
      </w:pPr>
      <w:r>
        <w:rPr>
          <w:rtl/>
        </w:rPr>
        <w:t>(11).</w:t>
      </w:r>
      <w:r w:rsidRPr="00132E65">
        <w:rPr>
          <w:rtl/>
        </w:rPr>
        <w:t xml:space="preserve"> </w:t>
      </w:r>
      <w:r w:rsidRPr="00423649">
        <w:rPr>
          <w:rtl/>
        </w:rPr>
        <w:t>الإرشاد</w:t>
      </w:r>
      <w:r w:rsidRPr="00132E65">
        <w:rPr>
          <w:rtl/>
        </w:rPr>
        <w:t xml:space="preserve"> ، ج 2 ، ص 316 ، بسنده عن محمّد بن يعقوب ، عن عليّ بن محمّد الأسترآبادي ، عن عليّ بن عمرو العطّار </w:t>
      </w:r>
      <w:r>
        <w:rPr>
          <w:rFonts w:hint="cs"/>
          <w:rtl/>
        </w:rPr>
        <w:t>.</w:t>
      </w:r>
      <w:r w:rsidRPr="009D1ACE">
        <w:rPr>
          <w:rStyle w:val="libFootnoteBoldChar"/>
          <w:rtl/>
        </w:rPr>
        <w:t>الوافي</w:t>
      </w:r>
      <w:r w:rsidRPr="00132E65">
        <w:rPr>
          <w:rtl/>
        </w:rPr>
        <w:t xml:space="preserve"> ، ج 2 ، ص 390 ، ح 878.</w:t>
      </w:r>
      <w:r>
        <w:rPr>
          <w:rFonts w:hint="cs"/>
          <w:rtl/>
        </w:rPr>
        <w:t xml:space="preserve">       </w:t>
      </w:r>
      <w:r>
        <w:rPr>
          <w:rtl/>
        </w:rPr>
        <w:t>(12).</w:t>
      </w:r>
      <w:r w:rsidRPr="00132E65">
        <w:rPr>
          <w:rtl/>
        </w:rPr>
        <w:t xml:space="preserve"> في الإرشاد : « الحسين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w:t>
      </w:r>
      <w:r>
        <w:rPr>
          <w:rFonts w:hint="cs"/>
          <w:rtl/>
          <w:lang w:bidi="fa-IR"/>
        </w:rPr>
        <w:t xml:space="preserve">َ </w:t>
      </w:r>
      <w:r w:rsidRPr="00132E65">
        <w:rPr>
          <w:rtl/>
          <w:lang w:bidi="fa-IR"/>
        </w:rPr>
        <w:t>قَدْ بُسِطَ لَهُ فِي صَحْنِ دَارِهِ و</w:t>
      </w:r>
      <w:r>
        <w:rPr>
          <w:rFonts w:hint="cs"/>
          <w:rtl/>
          <w:lang w:bidi="fa-IR"/>
        </w:rPr>
        <w:t xml:space="preserve">َ </w:t>
      </w:r>
      <w:r w:rsidRPr="00132E65">
        <w:rPr>
          <w:rtl/>
          <w:lang w:bidi="fa-IR"/>
        </w:rPr>
        <w:t>النَّاسُ جُلُوسٌ حَوْلَهُ</w:t>
      </w:r>
      <w:r>
        <w:rPr>
          <w:rtl/>
          <w:lang w:bidi="fa-IR"/>
        </w:rPr>
        <w:t xml:space="preserve"> - </w:t>
      </w:r>
      <w:r w:rsidRPr="00132E65">
        <w:rPr>
          <w:rtl/>
          <w:lang w:bidi="fa-IR"/>
        </w:rPr>
        <w:t xml:space="preserve">فَقَالُوا : قَدَّرْنَا أَنْ يَكُونَ </w:t>
      </w:r>
      <w:r>
        <w:rPr>
          <w:rStyle w:val="libFootnotenumChar"/>
          <w:rtl/>
        </w:rPr>
        <w:t>(1)</w:t>
      </w:r>
      <w:r w:rsidRPr="00132E65">
        <w:rPr>
          <w:rtl/>
          <w:lang w:bidi="fa-IR"/>
        </w:rPr>
        <w:t xml:space="preserve"> حَوْلَهُ مِنْ آلِ أَبِي طَالِبٍ و</w:t>
      </w:r>
      <w:r>
        <w:rPr>
          <w:rFonts w:hint="cs"/>
          <w:rtl/>
          <w:lang w:bidi="fa-IR"/>
        </w:rPr>
        <w:t xml:space="preserve">َ </w:t>
      </w:r>
      <w:r w:rsidRPr="00132E65">
        <w:rPr>
          <w:rtl/>
          <w:lang w:bidi="fa-IR"/>
        </w:rPr>
        <w:t xml:space="preserve">بَنِي هَاشِمٍ </w:t>
      </w:r>
      <w:r>
        <w:rPr>
          <w:rStyle w:val="libFootnotenumChar"/>
          <w:rtl/>
        </w:rPr>
        <w:t>(2)</w:t>
      </w:r>
      <w:r w:rsidRPr="00132E65">
        <w:rPr>
          <w:rtl/>
          <w:lang w:bidi="fa-IR"/>
        </w:rPr>
        <w:t xml:space="preserve"> و</w:t>
      </w:r>
      <w:r>
        <w:rPr>
          <w:rFonts w:hint="cs"/>
          <w:rtl/>
          <w:lang w:bidi="fa-IR"/>
        </w:rPr>
        <w:t xml:space="preserve">َ </w:t>
      </w:r>
      <w:r w:rsidRPr="00132E65">
        <w:rPr>
          <w:rtl/>
          <w:lang w:bidi="fa-IR"/>
        </w:rPr>
        <w:t>قُرَيْشٍ مِائَةٌ و</w:t>
      </w:r>
      <w:r>
        <w:rPr>
          <w:rFonts w:hint="cs"/>
          <w:rtl/>
          <w:lang w:bidi="fa-IR"/>
        </w:rPr>
        <w:t>َ</w:t>
      </w:r>
      <w:r w:rsidRPr="00132E65">
        <w:rPr>
          <w:rtl/>
          <w:lang w:bidi="fa-IR"/>
        </w:rPr>
        <w:t>خَمْسُونَ رَجُلاً سِوى مَوَالِيهِ و</w:t>
      </w:r>
      <w:r>
        <w:rPr>
          <w:rFonts w:hint="cs"/>
          <w:rtl/>
          <w:lang w:bidi="fa-IR"/>
        </w:rPr>
        <w:t xml:space="preserve">َ </w:t>
      </w:r>
      <w:r w:rsidRPr="00132E65">
        <w:rPr>
          <w:rtl/>
          <w:lang w:bidi="fa-IR"/>
        </w:rPr>
        <w:t>سَائِرِ النَّاسِ</w:t>
      </w:r>
      <w:r>
        <w:rPr>
          <w:rtl/>
          <w:lang w:bidi="fa-IR"/>
        </w:rPr>
        <w:t xml:space="preserve"> - </w:t>
      </w:r>
      <w:r w:rsidRPr="00132E65">
        <w:rPr>
          <w:rtl/>
          <w:lang w:bidi="fa-IR"/>
        </w:rPr>
        <w:t xml:space="preserve">إِذْ نَظَرَ </w:t>
      </w:r>
      <w:r>
        <w:rPr>
          <w:rStyle w:val="libFootnotenumChar"/>
          <w:rtl/>
        </w:rPr>
        <w:t>(3)</w:t>
      </w:r>
      <w:r w:rsidRPr="00132E65">
        <w:rPr>
          <w:rtl/>
          <w:lang w:bidi="fa-IR"/>
        </w:rPr>
        <w:t xml:space="preserve"> إِلَى الْحَسَنِ بْنِ عَلِيٍّ </w:t>
      </w:r>
      <w:r w:rsidRPr="00071CF9">
        <w:rPr>
          <w:rStyle w:val="libAlaemChar"/>
          <w:rtl/>
        </w:rPr>
        <w:t>عليه‌السلام</w:t>
      </w:r>
      <w:r w:rsidRPr="00132E65">
        <w:rPr>
          <w:rtl/>
          <w:lang w:bidi="fa-IR"/>
        </w:rPr>
        <w:t xml:space="preserve"> قَدْ جَاءَ مَشْقُوقَ الْجَيْبِ </w:t>
      </w:r>
      <w:r>
        <w:rPr>
          <w:rStyle w:val="libFootnotenumChar"/>
          <w:rtl/>
        </w:rPr>
        <w:t>(4)</w:t>
      </w:r>
      <w:r w:rsidRPr="00132E65">
        <w:rPr>
          <w:rtl/>
          <w:lang w:bidi="fa-IR"/>
        </w:rPr>
        <w:t xml:space="preserve"> حَتّى قَامَ عَنْ يَمِينِهِ ، وَ</w:t>
      </w:r>
      <w:r>
        <w:rPr>
          <w:rFonts w:hint="cs"/>
          <w:rtl/>
          <w:lang w:bidi="fa-IR"/>
        </w:rPr>
        <w:t xml:space="preserve"> </w:t>
      </w:r>
      <w:r w:rsidRPr="00132E65">
        <w:rPr>
          <w:rtl/>
          <w:lang w:bidi="fa-IR"/>
        </w:rPr>
        <w:t xml:space="preserve">نَحْنُ لَانَعْرِفُهُ ، فَنَظَرَ إِلَيْهِ أَبُو الْحَسَنِ </w:t>
      </w:r>
      <w:r w:rsidRPr="00071CF9">
        <w:rPr>
          <w:rStyle w:val="libAlaemChar"/>
          <w:rtl/>
        </w:rPr>
        <w:t>عليه‌السلام</w:t>
      </w:r>
      <w:r w:rsidRPr="00132E65">
        <w:rPr>
          <w:rtl/>
          <w:lang w:bidi="fa-IR"/>
        </w:rPr>
        <w:t xml:space="preserve"> بَعْدَ سَاعَةٍ </w:t>
      </w:r>
      <w:r>
        <w:rPr>
          <w:rStyle w:val="libFootnotenumChar"/>
          <w:rtl/>
        </w:rPr>
        <w:t>(5)</w:t>
      </w:r>
      <w:r w:rsidRPr="00132E65">
        <w:rPr>
          <w:rtl/>
          <w:lang w:bidi="fa-IR"/>
        </w:rPr>
        <w:t xml:space="preserve"> ، فَقَالَ : « يَا بُنَيَّ ، أَحْدِثْ 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شُكْراً ؛ فَقَدْ أَحْدَثَ فِيكَ أَمْراً »</w:t>
      </w:r>
      <w:r>
        <w:rPr>
          <w:rtl/>
          <w:lang w:bidi="fa-IR"/>
        </w:rPr>
        <w:t>.</w:t>
      </w:r>
      <w:r w:rsidRPr="00132E65">
        <w:rPr>
          <w:rtl/>
          <w:lang w:bidi="fa-IR"/>
        </w:rPr>
        <w:t xml:space="preserve"> فَبَكَى الْفَتى ، و</w:t>
      </w:r>
      <w:r>
        <w:rPr>
          <w:rFonts w:hint="cs"/>
          <w:rtl/>
          <w:lang w:bidi="fa-IR"/>
        </w:rPr>
        <w:t xml:space="preserve">َ </w:t>
      </w:r>
      <w:r w:rsidRPr="00132E65">
        <w:rPr>
          <w:rtl/>
          <w:lang w:bidi="fa-IR"/>
        </w:rPr>
        <w:t>حَمِدَ اللهَ ، و</w:t>
      </w:r>
      <w:r>
        <w:rPr>
          <w:rFonts w:hint="cs"/>
          <w:rtl/>
          <w:lang w:bidi="fa-IR"/>
        </w:rPr>
        <w:t xml:space="preserve">َ </w:t>
      </w:r>
      <w:r w:rsidRPr="00132E65">
        <w:rPr>
          <w:rtl/>
          <w:lang w:bidi="fa-IR"/>
        </w:rPr>
        <w:t>اسْتَرْجَعَ ، و</w:t>
      </w:r>
      <w:r>
        <w:rPr>
          <w:rFonts w:hint="cs"/>
          <w:rtl/>
          <w:lang w:bidi="fa-IR"/>
        </w:rPr>
        <w:t xml:space="preserve">َ </w:t>
      </w:r>
      <w:r w:rsidRPr="00132E65">
        <w:rPr>
          <w:rtl/>
          <w:lang w:bidi="fa-IR"/>
        </w:rPr>
        <w:t xml:space="preserve">قَالَ </w:t>
      </w:r>
      <w:r>
        <w:rPr>
          <w:rStyle w:val="libFootnotenumChar"/>
          <w:rtl/>
        </w:rPr>
        <w:t>(6)</w:t>
      </w:r>
      <w:r w:rsidRPr="00132E65">
        <w:rPr>
          <w:rtl/>
          <w:lang w:bidi="fa-IR"/>
        </w:rPr>
        <w:t xml:space="preserve"> :</w:t>
      </w:r>
      <w:r>
        <w:rPr>
          <w:rFonts w:hint="cs"/>
          <w:rtl/>
          <w:lang w:bidi="fa-IR"/>
        </w:rPr>
        <w:t xml:space="preserve"> </w:t>
      </w:r>
      <w:r w:rsidRPr="00132E65">
        <w:rPr>
          <w:rtl/>
          <w:lang w:bidi="fa-IR"/>
        </w:rPr>
        <w:t>« الْحَمْدُ لِلّهِ رَبِّ الْعَالَمِينَ ، و</w:t>
      </w:r>
      <w:r>
        <w:rPr>
          <w:rFonts w:hint="cs"/>
          <w:rtl/>
          <w:lang w:bidi="fa-IR"/>
        </w:rPr>
        <w:t xml:space="preserve">َ </w:t>
      </w:r>
      <w:r w:rsidRPr="00132E65">
        <w:rPr>
          <w:rtl/>
          <w:lang w:bidi="fa-IR"/>
        </w:rPr>
        <w:t xml:space="preserve">أَنَا أَسْأَلُ اللهَ تَمَامَ نِعَمِهِ </w:t>
      </w:r>
      <w:r>
        <w:rPr>
          <w:rStyle w:val="libFootnotenumChar"/>
          <w:rtl/>
        </w:rPr>
        <w:t>(7)</w:t>
      </w:r>
      <w:r w:rsidRPr="00132E65">
        <w:rPr>
          <w:rtl/>
          <w:lang w:bidi="fa-IR"/>
        </w:rPr>
        <w:t xml:space="preserve"> لَنَا فِيكَ ، و</w:t>
      </w:r>
      <w:r>
        <w:rPr>
          <w:rFonts w:hint="cs"/>
          <w:rtl/>
          <w:lang w:bidi="fa-IR"/>
        </w:rPr>
        <w:t xml:space="preserve">َ </w:t>
      </w:r>
      <w:r w:rsidRPr="00071CF9">
        <w:rPr>
          <w:rStyle w:val="libAlaemChar"/>
          <w:rtl/>
        </w:rPr>
        <w:t>(</w:t>
      </w:r>
      <w:r w:rsidRPr="00071CF9">
        <w:rPr>
          <w:rStyle w:val="libAieChar"/>
          <w:rtl/>
        </w:rPr>
        <w:t xml:space="preserve"> إِنّ</w:t>
      </w:r>
      <w:r>
        <w:rPr>
          <w:rStyle w:val="libAieChar"/>
          <w:rFonts w:hint="cs"/>
          <w:rtl/>
        </w:rPr>
        <w:t>َ</w:t>
      </w:r>
      <w:r w:rsidRPr="00071CF9">
        <w:rPr>
          <w:rStyle w:val="libAieChar"/>
          <w:rtl/>
        </w:rPr>
        <w:t>ا لِلّهِ</w:t>
      </w:r>
      <w:r>
        <w:rPr>
          <w:rStyle w:val="libAieChar"/>
          <w:rFonts w:hint="cs"/>
          <w:rtl/>
        </w:rPr>
        <w:t>ِ</w:t>
      </w:r>
      <w:r w:rsidRPr="00071CF9">
        <w:rPr>
          <w:rStyle w:val="libAieChar"/>
          <w:rtl/>
        </w:rPr>
        <w:t xml:space="preserve"> وَإِنّ</w:t>
      </w:r>
      <w:r>
        <w:rPr>
          <w:rStyle w:val="libAieChar"/>
          <w:rFonts w:hint="cs"/>
          <w:rtl/>
        </w:rPr>
        <w:t>َ</w:t>
      </w:r>
      <w:r w:rsidRPr="00071CF9">
        <w:rPr>
          <w:rStyle w:val="libAieChar"/>
          <w:rtl/>
        </w:rPr>
        <w:t>ا إِلَيْهِ ر</w:t>
      </w:r>
      <w:r>
        <w:rPr>
          <w:rStyle w:val="libAieChar"/>
          <w:rFonts w:hint="cs"/>
          <w:rtl/>
        </w:rPr>
        <w:t>َ</w:t>
      </w:r>
      <w:r w:rsidRPr="00071CF9">
        <w:rPr>
          <w:rStyle w:val="libAieChar"/>
          <w:rtl/>
        </w:rPr>
        <w:t xml:space="preserve">اجِعُونَ </w:t>
      </w:r>
      <w:r w:rsidRPr="00071CF9">
        <w:rPr>
          <w:rStyle w:val="libAlaemChar"/>
          <w:rtl/>
        </w:rPr>
        <w:t>)</w:t>
      </w:r>
      <w:r w:rsidRPr="00175F73">
        <w:rPr>
          <w:rtl/>
          <w:lang w:bidi="fa-IR"/>
        </w:rPr>
        <w:t xml:space="preserve"> </w:t>
      </w:r>
      <w:r w:rsidRPr="00132E65">
        <w:rPr>
          <w:rtl/>
          <w:lang w:bidi="fa-IR"/>
        </w:rPr>
        <w:t>»</w:t>
      </w:r>
      <w:r>
        <w:rPr>
          <w:rStyle w:val="libFootnotenumChar"/>
          <w:rtl/>
        </w:rPr>
        <w:t>(8)</w:t>
      </w:r>
      <w:r w:rsidRPr="00132E65">
        <w:rPr>
          <w:rtl/>
          <w:lang w:bidi="fa-IR"/>
        </w:rPr>
        <w:t xml:space="preserve"> </w:t>
      </w:r>
      <w:r>
        <w:rPr>
          <w:rFonts w:hint="cs"/>
          <w:rtl/>
          <w:lang w:bidi="fa-IR"/>
        </w:rPr>
        <w:t>.</w:t>
      </w:r>
      <w:r w:rsidRPr="00132E65">
        <w:rPr>
          <w:rtl/>
          <w:lang w:bidi="fa-IR"/>
        </w:rPr>
        <w:t>فَسَأَلْنَا عَنْهُ ، فَقِيلَ : هذَا الْحَسَنُ ابْنُهُ</w:t>
      </w:r>
      <w:r>
        <w:rPr>
          <w:rtl/>
          <w:lang w:bidi="fa-IR"/>
        </w:rPr>
        <w:t xml:space="preserve"> - </w:t>
      </w:r>
      <w:r w:rsidRPr="00132E65">
        <w:rPr>
          <w:rtl/>
          <w:lang w:bidi="fa-IR"/>
        </w:rPr>
        <w:t>و</w:t>
      </w:r>
      <w:r>
        <w:rPr>
          <w:rFonts w:hint="cs"/>
          <w:rtl/>
          <w:lang w:bidi="fa-IR"/>
        </w:rPr>
        <w:t xml:space="preserve">َ </w:t>
      </w:r>
      <w:r>
        <w:rPr>
          <w:rStyle w:val="libFootnotenumChar"/>
          <w:rtl/>
        </w:rPr>
        <w:t>(9)</w:t>
      </w:r>
      <w:r w:rsidRPr="00132E65">
        <w:rPr>
          <w:rtl/>
          <w:lang w:bidi="fa-IR"/>
        </w:rPr>
        <w:t xml:space="preserve"> قَدَّرْنَا لَهُ فِي ذلِكَ الْوَقْتِ عِشْرِينَ سَنَةً أَوْ أَرْجَحَ </w:t>
      </w:r>
      <w:r>
        <w:rPr>
          <w:rStyle w:val="libFootnotenumChar"/>
          <w:rtl/>
        </w:rPr>
        <w:t>(10)</w:t>
      </w:r>
      <w:r>
        <w:rPr>
          <w:rtl/>
          <w:lang w:bidi="fa-IR"/>
        </w:rPr>
        <w:t xml:space="preserve"> - </w:t>
      </w:r>
      <w:r w:rsidRPr="00132E65">
        <w:rPr>
          <w:rtl/>
          <w:lang w:bidi="fa-IR"/>
        </w:rPr>
        <w:t>فَيَوْمَئِذٍ عَرَفْنَاهُ ، و</w:t>
      </w:r>
      <w:r>
        <w:rPr>
          <w:rFonts w:hint="cs"/>
          <w:rtl/>
          <w:lang w:bidi="fa-IR"/>
        </w:rPr>
        <w:t xml:space="preserve">َ </w:t>
      </w:r>
      <w:r w:rsidRPr="00132E65">
        <w:rPr>
          <w:rtl/>
          <w:lang w:bidi="fa-IR"/>
        </w:rPr>
        <w:t>عَلِمْنَا أَنَّهُ قَدْ أَشَارَ إِلَيْهِ بِالْإِمَامَةِ ، و</w:t>
      </w:r>
      <w:r>
        <w:rPr>
          <w:rFonts w:hint="cs"/>
          <w:rtl/>
          <w:lang w:bidi="fa-IR"/>
        </w:rPr>
        <w:t>َ</w:t>
      </w:r>
      <w:r w:rsidRPr="00132E65">
        <w:rPr>
          <w:rtl/>
          <w:lang w:bidi="fa-IR"/>
        </w:rPr>
        <w:t xml:space="preserve">أَقَامَهُ مَقَامَهُ </w:t>
      </w:r>
      <w:r>
        <w:rPr>
          <w:rStyle w:val="libFootnotenumChar"/>
          <w:rtl/>
        </w:rPr>
        <w:t>(11)</w:t>
      </w:r>
      <w:r>
        <w:rPr>
          <w:rFonts w:hint="cs"/>
          <w:rtl/>
          <w:lang w:bidi="fa-IR"/>
        </w:rPr>
        <w:t>.</w:t>
      </w:r>
      <w:r>
        <w:rPr>
          <w:rStyle w:val="libFootnotenumChar"/>
          <w:rtl/>
        </w:rPr>
        <w:t>(12)</w:t>
      </w:r>
      <w:r w:rsidRPr="00132E65">
        <w:rPr>
          <w:rtl/>
          <w:lang w:bidi="fa-IR"/>
        </w:rPr>
        <w:t xml:space="preserve"> ‌</w:t>
      </w:r>
    </w:p>
    <w:p w:rsidR="000C39D1" w:rsidRDefault="000C39D1" w:rsidP="000C39D1">
      <w:pPr>
        <w:pStyle w:val="libNormal"/>
        <w:rPr>
          <w:rtl/>
          <w:lang w:bidi="fa-IR"/>
        </w:rPr>
      </w:pPr>
      <w:r w:rsidRPr="00EB25BF">
        <w:rPr>
          <w:rtl/>
        </w:rPr>
        <w:t>858</w:t>
      </w:r>
      <w:r w:rsidRPr="004325D8">
        <w:rPr>
          <w:rStyle w:val="libBold2Char"/>
          <w:rtl/>
        </w:rPr>
        <w:t xml:space="preserve"> / 9.</w:t>
      </w:r>
      <w:r w:rsidRPr="00132E65">
        <w:rPr>
          <w:rtl/>
          <w:lang w:bidi="fa-IR"/>
        </w:rPr>
        <w:t xml:space="preserve"> عَلِيُّ بْنُ مُحَمَّدٍ ، عَنْ إِسْحَاقَ بْنِ مُحَمَّدٍ ، عَنْ مُحَمَّدِ بْنِ يَحْيَى بْنِ دَرْيَابَ </w:t>
      </w:r>
      <w:r w:rsidRPr="00F543F1">
        <w:rPr>
          <w:rStyle w:val="libFootnotenumChar"/>
          <w:rtl/>
        </w:rPr>
        <w:t>(13)</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 « تكون »</w:t>
      </w:r>
      <w:r>
        <w:rPr>
          <w:rtl/>
        </w:rPr>
        <w:t>.</w:t>
      </w:r>
      <w:r w:rsidRPr="00132E65">
        <w:rPr>
          <w:rtl/>
        </w:rPr>
        <w:t xml:space="preserve"> وفي « ف » : « نكون »</w:t>
      </w:r>
      <w:r>
        <w:rPr>
          <w:rtl/>
        </w:rPr>
        <w:t>.</w:t>
      </w:r>
    </w:p>
    <w:p w:rsidR="000C39D1" w:rsidRPr="00132E65" w:rsidRDefault="000C39D1" w:rsidP="000C39D1">
      <w:pPr>
        <w:pStyle w:val="libFootnote0"/>
        <w:rPr>
          <w:rtl/>
          <w:lang w:bidi="fa-IR"/>
        </w:rPr>
      </w:pPr>
      <w:r>
        <w:rPr>
          <w:rtl/>
        </w:rPr>
        <w:t>(2).</w:t>
      </w:r>
      <w:r w:rsidRPr="00132E65">
        <w:rPr>
          <w:rtl/>
        </w:rPr>
        <w:t xml:space="preserve"> في الإرشاد : « بني العبّاس »</w:t>
      </w:r>
      <w:r>
        <w:rPr>
          <w:rtl/>
        </w:rPr>
        <w:t>.</w:t>
      </w:r>
    </w:p>
    <w:p w:rsidR="000C39D1" w:rsidRPr="00132E65" w:rsidRDefault="000C39D1" w:rsidP="000C39D1">
      <w:pPr>
        <w:pStyle w:val="libFootnote0"/>
        <w:rPr>
          <w:rtl/>
          <w:lang w:bidi="fa-IR"/>
        </w:rPr>
      </w:pPr>
      <w:r>
        <w:rPr>
          <w:rtl/>
        </w:rPr>
        <w:t>(3).</w:t>
      </w:r>
      <w:r w:rsidRPr="00132E65">
        <w:rPr>
          <w:rtl/>
        </w:rPr>
        <w:t xml:space="preserve"> في « بس » : « نظروا »</w:t>
      </w:r>
      <w:r>
        <w:rPr>
          <w:rtl/>
        </w:rPr>
        <w:t>.</w:t>
      </w:r>
    </w:p>
    <w:p w:rsidR="000C39D1" w:rsidRPr="00132E65" w:rsidRDefault="000C39D1" w:rsidP="000C39D1">
      <w:pPr>
        <w:pStyle w:val="libFootnote0"/>
        <w:rPr>
          <w:rtl/>
          <w:lang w:bidi="fa-IR"/>
        </w:rPr>
      </w:pPr>
      <w:r>
        <w:rPr>
          <w:rtl/>
        </w:rPr>
        <w:t>(4).</w:t>
      </w:r>
      <w:r w:rsidRPr="00132E65">
        <w:rPr>
          <w:rtl/>
        </w:rPr>
        <w:t xml:space="preserve"> في « بح » : « الجنب »</w:t>
      </w:r>
      <w:r>
        <w:rPr>
          <w:rtl/>
        </w:rPr>
        <w:t>.</w:t>
      </w:r>
      <w:r w:rsidRPr="00132E65">
        <w:rPr>
          <w:rtl/>
        </w:rPr>
        <w:t xml:space="preserve"> وفي حاشية « بف » : « الجيوب »</w:t>
      </w:r>
      <w:r>
        <w:rPr>
          <w:rtl/>
        </w:rPr>
        <w:t>.</w:t>
      </w:r>
    </w:p>
    <w:p w:rsidR="000C39D1" w:rsidRPr="00132E65" w:rsidRDefault="000C39D1" w:rsidP="000C39D1">
      <w:pPr>
        <w:pStyle w:val="libFootnote0"/>
        <w:rPr>
          <w:rtl/>
          <w:lang w:bidi="fa-IR"/>
        </w:rPr>
      </w:pPr>
      <w:r>
        <w:rPr>
          <w:rtl/>
        </w:rPr>
        <w:t>(5).</w:t>
      </w:r>
      <w:r w:rsidRPr="00132E65">
        <w:rPr>
          <w:rtl/>
        </w:rPr>
        <w:t xml:space="preserve"> في الإرشاد :</w:t>
      </w:r>
      <w:r>
        <w:rPr>
          <w:rtl/>
        </w:rPr>
        <w:t xml:space="preserve"> + </w:t>
      </w:r>
      <w:r w:rsidRPr="00132E65">
        <w:rPr>
          <w:rtl/>
        </w:rPr>
        <w:t>« من قيامه »</w:t>
      </w:r>
      <w:r>
        <w:rPr>
          <w:rtl/>
        </w:rPr>
        <w:t>.</w:t>
      </w:r>
    </w:p>
    <w:p w:rsidR="000C39D1" w:rsidRPr="00132E65" w:rsidRDefault="000C39D1" w:rsidP="000C39D1">
      <w:pPr>
        <w:pStyle w:val="libFootnote0"/>
        <w:rPr>
          <w:rtl/>
          <w:lang w:bidi="fa-IR"/>
        </w:rPr>
      </w:pPr>
      <w:r>
        <w:rPr>
          <w:rtl/>
        </w:rPr>
        <w:t>(6).</w:t>
      </w:r>
      <w:r w:rsidRPr="00132E65">
        <w:rPr>
          <w:rtl/>
        </w:rPr>
        <w:t xml:space="preserve"> في « بح » : « فقال »</w:t>
      </w:r>
      <w:r>
        <w:rPr>
          <w:rtl/>
        </w:rPr>
        <w:t>.</w:t>
      </w:r>
      <w:r w:rsidRPr="00132E65">
        <w:rPr>
          <w:rtl/>
        </w:rPr>
        <w:t xml:space="preserve"> وفي الإرشاد : « فبكى الحسن </w:t>
      </w:r>
      <w:r w:rsidRPr="00480A17">
        <w:rPr>
          <w:rStyle w:val="libFootnoteAlaemChar"/>
          <w:rtl/>
        </w:rPr>
        <w:t>عليه‌السلام</w:t>
      </w:r>
      <w:r w:rsidRPr="00132E65">
        <w:rPr>
          <w:rtl/>
        </w:rPr>
        <w:t xml:space="preserve"> واسترجع فقال » بدل « فبكى الفتى وحمد الله واسترجع‌</w:t>
      </w:r>
      <w:r>
        <w:rPr>
          <w:rFonts w:hint="cs"/>
          <w:rtl/>
        </w:rPr>
        <w:t xml:space="preserve"> </w:t>
      </w:r>
      <w:r w:rsidRPr="00132E65">
        <w:rPr>
          <w:rtl/>
        </w:rPr>
        <w:t>وقال »</w:t>
      </w:r>
      <w:r>
        <w:rPr>
          <w:rtl/>
        </w:rPr>
        <w:t>.</w:t>
      </w:r>
    </w:p>
    <w:p w:rsidR="001C701C" w:rsidRDefault="000C39D1" w:rsidP="001C701C">
      <w:pPr>
        <w:pStyle w:val="libFootnote0"/>
        <w:rPr>
          <w:rtl/>
        </w:rPr>
      </w:pPr>
      <w:r>
        <w:rPr>
          <w:rtl/>
        </w:rPr>
        <w:t>(7).</w:t>
      </w:r>
      <w:r w:rsidRPr="00132E65">
        <w:rPr>
          <w:rtl/>
        </w:rPr>
        <w:t xml:space="preserve"> هكذا في أكثر النسخ وشرح المازندراني. وفي المطبوع : « نعمة »</w:t>
      </w:r>
      <w:r>
        <w:rPr>
          <w:rtl/>
        </w:rPr>
        <w:t>.</w:t>
      </w:r>
      <w:r w:rsidRPr="00132E65">
        <w:rPr>
          <w:rtl/>
        </w:rPr>
        <w:t xml:space="preserve"> وفي حاشية « بف » : « ونحن إيّاه أسأل تمام‌نعمته » بدل « وأنا</w:t>
      </w:r>
      <w:r>
        <w:rPr>
          <w:rtl/>
        </w:rPr>
        <w:t xml:space="preserve"> - </w:t>
      </w:r>
      <w:r w:rsidRPr="00132E65">
        <w:rPr>
          <w:rtl/>
        </w:rPr>
        <w:t>إلى</w:t>
      </w:r>
      <w:r>
        <w:rPr>
          <w:rtl/>
        </w:rPr>
        <w:t xml:space="preserve"> - </w:t>
      </w:r>
      <w:r w:rsidRPr="00132E65">
        <w:rPr>
          <w:rtl/>
        </w:rPr>
        <w:t>نعمته »</w:t>
      </w:r>
      <w:r>
        <w:rPr>
          <w:rtl/>
        </w:rPr>
        <w:t>.</w:t>
      </w:r>
      <w:r w:rsidRPr="00132E65">
        <w:rPr>
          <w:rtl/>
        </w:rPr>
        <w:t xml:space="preserve"> وفي الإرشاد : « وإيّاه أسأل تمام نعمه علينا » بدل « وأنا أسأل الله تمام نعمه لنا فيك »</w:t>
      </w:r>
      <w:r>
        <w:rPr>
          <w:rtl/>
        </w:rPr>
        <w:t>.</w:t>
      </w:r>
    </w:p>
    <w:p w:rsidR="000C39D1" w:rsidRPr="00132E65" w:rsidRDefault="000C39D1" w:rsidP="001C701C">
      <w:pPr>
        <w:pStyle w:val="libFootnote0"/>
        <w:rPr>
          <w:rtl/>
          <w:lang w:bidi="fa-IR"/>
        </w:rPr>
      </w:pPr>
      <w:r>
        <w:rPr>
          <w:rtl/>
        </w:rPr>
        <w:t>(8).</w:t>
      </w:r>
      <w:r w:rsidRPr="00132E65">
        <w:rPr>
          <w:rtl/>
        </w:rPr>
        <w:t xml:space="preserve"> البقرة </w:t>
      </w:r>
      <w:r>
        <w:rPr>
          <w:rtl/>
        </w:rPr>
        <w:t>(2).</w:t>
      </w:r>
      <w:r w:rsidRPr="00132E65">
        <w:rPr>
          <w:rtl/>
        </w:rPr>
        <w:t xml:space="preserve"> : 156.</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 » </w:t>
            </w:r>
            <w:r>
              <w:rPr>
                <w:rtl/>
              </w:rPr>
              <w:t xml:space="preserve">: - </w:t>
            </w:r>
            <w:r w:rsidRPr="00132E65">
              <w:rPr>
                <w:rtl/>
              </w:rPr>
              <w:t>«</w:t>
            </w:r>
            <w:r>
              <w:rPr>
                <w:rtl/>
              </w:rPr>
              <w:t xml:space="preserve"> و ».</w:t>
            </w:r>
          </w:p>
        </w:tc>
        <w:tc>
          <w:tcPr>
            <w:tcW w:w="4006" w:type="dxa"/>
          </w:tcPr>
          <w:p w:rsidR="000C39D1" w:rsidRDefault="000C39D1" w:rsidP="00B53873">
            <w:pPr>
              <w:pStyle w:val="libFootnote0"/>
              <w:rPr>
                <w:rtl/>
              </w:rPr>
            </w:pPr>
            <w:r>
              <w:rPr>
                <w:rtl/>
              </w:rPr>
              <w:t>(10).</w:t>
            </w:r>
            <w:r w:rsidRPr="00132E65">
              <w:rPr>
                <w:rtl/>
              </w:rPr>
              <w:t xml:space="preserve"> في الإرشاد : « ونحوها » بدل « أو أرجح »</w:t>
            </w:r>
            <w:r>
              <w:rPr>
                <w:rtl/>
              </w:rPr>
              <w:t>.</w:t>
            </w:r>
          </w:p>
        </w:tc>
      </w:tr>
    </w:tbl>
    <w:p w:rsidR="000C39D1" w:rsidRPr="00132E65" w:rsidRDefault="000C39D1" w:rsidP="000C39D1">
      <w:pPr>
        <w:pStyle w:val="libFootnote0"/>
        <w:rPr>
          <w:rtl/>
          <w:lang w:bidi="fa-IR"/>
        </w:rPr>
      </w:pPr>
      <w:r>
        <w:rPr>
          <w:rtl/>
        </w:rPr>
        <w:t>(11).</w:t>
      </w:r>
      <w:r w:rsidRPr="00132E65">
        <w:rPr>
          <w:rtl/>
        </w:rPr>
        <w:t xml:space="preserve"> يجوز في مثل ذلك ضمّ الميم الا</w:t>
      </w:r>
      <w:r>
        <w:rPr>
          <w:rFonts w:hint="cs"/>
          <w:rtl/>
        </w:rPr>
        <w:t>ُ</w:t>
      </w:r>
      <w:r w:rsidRPr="00132E65">
        <w:rPr>
          <w:rtl/>
        </w:rPr>
        <w:t>ولى من كلمة « مقامه » وفتحها.</w:t>
      </w:r>
    </w:p>
    <w:p w:rsidR="000C39D1" w:rsidRPr="00132E65" w:rsidRDefault="000C39D1" w:rsidP="000C39D1">
      <w:pPr>
        <w:pStyle w:val="libFootnote0"/>
        <w:rPr>
          <w:rtl/>
          <w:lang w:bidi="fa-IR"/>
        </w:rPr>
      </w:pPr>
      <w:r>
        <w:rPr>
          <w:rtl/>
        </w:rPr>
        <w:t>(12).</w:t>
      </w:r>
      <w:r w:rsidRPr="00132E65">
        <w:rPr>
          <w:rtl/>
        </w:rPr>
        <w:t xml:space="preserve"> </w:t>
      </w:r>
      <w:r w:rsidRPr="00EB25BF">
        <w:rPr>
          <w:rtl/>
        </w:rPr>
        <w:t>الإرشاد</w:t>
      </w:r>
      <w:r w:rsidRPr="00132E65">
        <w:rPr>
          <w:rtl/>
        </w:rPr>
        <w:t xml:space="preserve"> ، ج 2 ، ص 317 ، بسنده عن الكليني </w:t>
      </w:r>
      <w:r>
        <w:rPr>
          <w:rFonts w:hint="cs"/>
          <w:rtl/>
        </w:rPr>
        <w:t>.</w:t>
      </w:r>
      <w:r w:rsidRPr="009D1ACE">
        <w:rPr>
          <w:rStyle w:val="libFootnoteBoldChar"/>
          <w:rtl/>
        </w:rPr>
        <w:t>الوافي</w:t>
      </w:r>
      <w:r w:rsidRPr="00132E65">
        <w:rPr>
          <w:rtl/>
        </w:rPr>
        <w:t xml:space="preserve"> ، ج 2 ، ص 387 ، ح 873. وفي </w:t>
      </w:r>
      <w:r w:rsidRPr="00EB25BF">
        <w:rPr>
          <w:rtl/>
        </w:rPr>
        <w:t>الوسائل</w:t>
      </w:r>
      <w:r w:rsidRPr="00132E65">
        <w:rPr>
          <w:rtl/>
        </w:rPr>
        <w:t xml:space="preserve"> ، ج 3 ، ص 273 ، ح 3632 ، إلى قوله : « حتّى قام عن يمينه »</w:t>
      </w:r>
      <w:r>
        <w:rPr>
          <w:rtl/>
        </w:rPr>
        <w:t>.</w:t>
      </w:r>
      <w:r>
        <w:rPr>
          <w:rFonts w:hint="cs"/>
          <w:rtl/>
        </w:rPr>
        <w:t xml:space="preserve">   </w:t>
      </w:r>
      <w:r>
        <w:rPr>
          <w:rtl/>
        </w:rPr>
        <w:t>(13)</w:t>
      </w:r>
      <w:r w:rsidRPr="00132E65">
        <w:rPr>
          <w:rtl/>
        </w:rPr>
        <w:t xml:space="preserve"> في الإرشاد </w:t>
      </w:r>
      <w:r>
        <w:rPr>
          <w:rtl/>
        </w:rPr>
        <w:t xml:space="preserve">: - </w:t>
      </w:r>
      <w:r w:rsidRPr="00132E65">
        <w:rPr>
          <w:rtl/>
        </w:rPr>
        <w:t>« بن درياب »</w:t>
      </w:r>
      <w:r>
        <w:rPr>
          <w:rtl/>
        </w:rPr>
        <w:t>.</w:t>
      </w:r>
    </w:p>
    <w:p w:rsidR="000C39D1" w:rsidRDefault="000C39D1" w:rsidP="000C39D1">
      <w:pPr>
        <w:pStyle w:val="libNormal"/>
        <w:rPr>
          <w:rtl/>
          <w:lang w:bidi="fa-IR"/>
        </w:rPr>
      </w:pPr>
      <w:r>
        <w:rPr>
          <w:rtl/>
          <w:lang w:bidi="fa-IR"/>
        </w:rPr>
        <w:br w:type="page"/>
      </w:r>
    </w:p>
    <w:p w:rsidR="000C39D1" w:rsidRPr="00132E65" w:rsidRDefault="000C39D1" w:rsidP="001C701C">
      <w:pPr>
        <w:pStyle w:val="libNormal"/>
        <w:rPr>
          <w:rtl/>
          <w:lang w:bidi="fa-IR"/>
        </w:rPr>
      </w:pPr>
      <w:r w:rsidRPr="00132E65">
        <w:rPr>
          <w:rtl/>
          <w:lang w:bidi="fa-IR"/>
        </w:rPr>
        <w:t xml:space="preserve">دَخَلْتُ عَلى أَبِي الْحَسَنِ </w:t>
      </w:r>
      <w:r w:rsidRPr="00071CF9">
        <w:rPr>
          <w:rStyle w:val="libAlaemChar"/>
          <w:rtl/>
        </w:rPr>
        <w:t>عليه‌السلام</w:t>
      </w:r>
      <w:r w:rsidRPr="00132E65">
        <w:rPr>
          <w:rtl/>
          <w:lang w:bidi="fa-IR"/>
        </w:rPr>
        <w:t xml:space="preserve"> بَعْدَ مُضِيِّ أَبِي جَعْفَرٍ </w:t>
      </w:r>
      <w:r>
        <w:rPr>
          <w:rStyle w:val="libFootnotenumChar"/>
          <w:rtl/>
        </w:rPr>
        <w:t>(1)</w:t>
      </w:r>
      <w:r w:rsidRPr="00132E65">
        <w:rPr>
          <w:rtl/>
          <w:lang w:bidi="fa-IR"/>
        </w:rPr>
        <w:t xml:space="preserve"> ، فَعَزَّيْتُهُ عَنْهُ</w:t>
      </w:r>
      <w:r>
        <w:rPr>
          <w:rtl/>
          <w:lang w:bidi="fa-IR"/>
        </w:rPr>
        <w:t xml:space="preserve"> </w:t>
      </w:r>
      <w:r w:rsidR="001C701C">
        <w:rPr>
          <w:rFonts w:hint="cs"/>
          <w:rtl/>
          <w:lang w:bidi="fa-IR"/>
        </w:rPr>
        <w:t>-</w:t>
      </w:r>
      <w:r>
        <w:rPr>
          <w:rtl/>
          <w:lang w:bidi="fa-IR"/>
        </w:rPr>
        <w:t xml:space="preserve"> </w:t>
      </w:r>
      <w:r w:rsidRPr="00132E65">
        <w:rPr>
          <w:rtl/>
          <w:lang w:bidi="fa-IR"/>
        </w:rPr>
        <w:t>و</w:t>
      </w:r>
      <w:r>
        <w:rPr>
          <w:rFonts w:hint="cs"/>
          <w:rtl/>
          <w:lang w:bidi="fa-IR"/>
        </w:rPr>
        <w:t xml:space="preserve">َ </w:t>
      </w:r>
      <w:r w:rsidRPr="00132E65">
        <w:rPr>
          <w:rtl/>
          <w:lang w:bidi="fa-IR"/>
        </w:rPr>
        <w:t xml:space="preserve">أَبُو مُحَمَّدٍ </w:t>
      </w:r>
      <w:r w:rsidRPr="00071CF9">
        <w:rPr>
          <w:rStyle w:val="libAlaemChar"/>
          <w:rtl/>
        </w:rPr>
        <w:t>عليه‌السلام</w:t>
      </w:r>
      <w:r w:rsidRPr="00132E65">
        <w:rPr>
          <w:rtl/>
          <w:lang w:bidi="fa-IR"/>
        </w:rPr>
        <w:t xml:space="preserve"> جَالِسٌ</w:t>
      </w:r>
      <w:r>
        <w:rPr>
          <w:rtl/>
          <w:lang w:bidi="fa-IR"/>
        </w:rPr>
        <w:t xml:space="preserve"> - </w:t>
      </w:r>
      <w:r w:rsidRPr="00132E65">
        <w:rPr>
          <w:rtl/>
          <w:lang w:bidi="fa-IR"/>
        </w:rPr>
        <w:t xml:space="preserve">فَبَكى أَبُو مُحَمَّدٍ </w:t>
      </w:r>
      <w:r w:rsidRPr="00071CF9">
        <w:rPr>
          <w:rStyle w:val="libAlaemChar"/>
          <w:rtl/>
        </w:rPr>
        <w:t>عليه‌السلام</w:t>
      </w:r>
      <w:r w:rsidRPr="00132E65">
        <w:rPr>
          <w:rtl/>
          <w:lang w:bidi="fa-IR"/>
        </w:rPr>
        <w:t xml:space="preserve"> ، فَأَقْبَلَ عَلَيْهِ أَبُو الْحَسَنِ </w:t>
      </w:r>
      <w:r w:rsidRPr="00071CF9">
        <w:rPr>
          <w:rStyle w:val="libAlaemChar"/>
          <w:rtl/>
        </w:rPr>
        <w:t>عليه‌السلام</w:t>
      </w:r>
      <w:r w:rsidRPr="00132E65">
        <w:rPr>
          <w:rtl/>
          <w:lang w:bidi="fa-IR"/>
        </w:rPr>
        <w:t xml:space="preserve"> ، فَقَالَ </w:t>
      </w:r>
      <w:r>
        <w:rPr>
          <w:rStyle w:val="libFootnotenumChar"/>
          <w:rtl/>
        </w:rPr>
        <w:t>(2)</w:t>
      </w:r>
      <w:r w:rsidRPr="00132E65">
        <w:rPr>
          <w:rtl/>
          <w:lang w:bidi="fa-IR"/>
        </w:rPr>
        <w:t xml:space="preserve">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قَدْ جَعَلَ فِيكَ خَلَفاً </w:t>
      </w:r>
      <w:r>
        <w:rPr>
          <w:rStyle w:val="libFootnotenumChar"/>
          <w:rtl/>
        </w:rPr>
        <w:t>(3)</w:t>
      </w:r>
      <w:r w:rsidRPr="00132E65">
        <w:rPr>
          <w:rtl/>
          <w:lang w:bidi="fa-IR"/>
        </w:rPr>
        <w:t xml:space="preserve"> مِنْهُ </w:t>
      </w:r>
      <w:r>
        <w:rPr>
          <w:rStyle w:val="libFootnotenumChar"/>
          <w:rtl/>
        </w:rPr>
        <w:t>(4)</w:t>
      </w:r>
      <w:r w:rsidRPr="00132E65">
        <w:rPr>
          <w:rtl/>
          <w:lang w:bidi="fa-IR"/>
        </w:rPr>
        <w:t xml:space="preserve"> ؛ فَاحْمَدِ اللهَ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EB25BF">
        <w:rPr>
          <w:rtl/>
        </w:rPr>
        <w:t>859</w:t>
      </w:r>
      <w:r w:rsidRPr="004325D8">
        <w:rPr>
          <w:rStyle w:val="libBold2Char"/>
          <w:rtl/>
        </w:rPr>
        <w:t xml:space="preserve"> / 10.</w:t>
      </w:r>
      <w:r w:rsidRPr="00132E65">
        <w:rPr>
          <w:rtl/>
          <w:lang w:bidi="fa-IR"/>
        </w:rPr>
        <w:t xml:space="preserve"> عَلِيُّ بْنُ مُحَمَّدٍ ، عَنْ إِسْحَاقَ بْنِ مُحَمَّدٍ ، عَنْ أَبِي هَاشِمٍ الْجَعْفَرِيِّ ، قَالَ :</w:t>
      </w:r>
      <w:r>
        <w:rPr>
          <w:rFonts w:hint="cs"/>
          <w:rtl/>
          <w:lang w:bidi="fa-IR"/>
        </w:rPr>
        <w:t xml:space="preserve"> </w:t>
      </w:r>
      <w:r w:rsidRPr="00132E65">
        <w:rPr>
          <w:rtl/>
          <w:lang w:bidi="fa-IR"/>
        </w:rPr>
        <w:t xml:space="preserve">كُنْتُ عِنْدَ أَبِي الْحَسَنِ </w:t>
      </w:r>
      <w:r w:rsidRPr="00071CF9">
        <w:rPr>
          <w:rStyle w:val="libAlaemChar"/>
          <w:rtl/>
        </w:rPr>
        <w:t>عليه‌السلام</w:t>
      </w:r>
      <w:r w:rsidRPr="00132E65">
        <w:rPr>
          <w:rtl/>
          <w:lang w:bidi="fa-IR"/>
        </w:rPr>
        <w:t xml:space="preserve"> بَعْدَ مَا مَضَى ابْنُهُ أَبُو جَعْفَرٍ ، و</w:t>
      </w:r>
      <w:r>
        <w:rPr>
          <w:rFonts w:hint="cs"/>
          <w:rtl/>
          <w:lang w:bidi="fa-IR"/>
        </w:rPr>
        <w:t xml:space="preserve">َ </w:t>
      </w:r>
      <w:r w:rsidRPr="00132E65">
        <w:rPr>
          <w:rtl/>
          <w:lang w:bidi="fa-IR"/>
        </w:rPr>
        <w:t>إِنِّي لَأُفَكِّرُ فِي نَفْسِي أُرِيدُ أَنْ أَقُولَ : كَأَنَّهُمَا</w:t>
      </w:r>
      <w:r>
        <w:rPr>
          <w:rtl/>
          <w:lang w:bidi="fa-IR"/>
        </w:rPr>
        <w:t xml:space="preserve"> - </w:t>
      </w:r>
      <w:r w:rsidRPr="00132E65">
        <w:rPr>
          <w:rtl/>
          <w:lang w:bidi="fa-IR"/>
        </w:rPr>
        <w:t>أَعْنِي أَبَا جَعْفَرٍ و</w:t>
      </w:r>
      <w:r>
        <w:rPr>
          <w:rFonts w:hint="cs"/>
          <w:rtl/>
          <w:lang w:bidi="fa-IR"/>
        </w:rPr>
        <w:t xml:space="preserve">َ </w:t>
      </w:r>
      <w:r w:rsidRPr="00132E65">
        <w:rPr>
          <w:rtl/>
          <w:lang w:bidi="fa-IR"/>
        </w:rPr>
        <w:t>أَبَا مُحَمَّدٍ</w:t>
      </w:r>
      <w:r>
        <w:rPr>
          <w:rtl/>
          <w:lang w:bidi="fa-IR"/>
        </w:rPr>
        <w:t xml:space="preserve"> - </w:t>
      </w:r>
      <w:r w:rsidRPr="00132E65">
        <w:rPr>
          <w:rtl/>
          <w:lang w:bidi="fa-IR"/>
        </w:rPr>
        <w:t xml:space="preserve">فِي هذَا الْوَقْتِ كَأَبِي الْحَسَنِ مُوسى وَإِسْمَاعِيلَ ابْنَيْ جَعْفَرِ بْنِ مُحَمَّدٍ </w:t>
      </w:r>
      <w:r w:rsidRPr="00071CF9">
        <w:rPr>
          <w:rStyle w:val="libAlaemChar"/>
          <w:rtl/>
        </w:rPr>
        <w:t>عليهم‌السلام</w:t>
      </w:r>
      <w:r w:rsidRPr="00132E65">
        <w:rPr>
          <w:rtl/>
          <w:lang w:bidi="fa-IR"/>
        </w:rPr>
        <w:t xml:space="preserve"> ، و</w:t>
      </w:r>
      <w:r>
        <w:rPr>
          <w:rFonts w:hint="cs"/>
          <w:rtl/>
          <w:lang w:bidi="fa-IR"/>
        </w:rPr>
        <w:t xml:space="preserve">َ </w:t>
      </w:r>
      <w:r w:rsidRPr="00132E65">
        <w:rPr>
          <w:rtl/>
          <w:lang w:bidi="fa-IR"/>
        </w:rPr>
        <w:t xml:space="preserve">إِنَّ قِصَّتَهُمَا كَقِصَّتِهِمَا </w:t>
      </w:r>
      <w:r>
        <w:rPr>
          <w:rStyle w:val="libFootnotenumChar"/>
          <w:rtl/>
        </w:rPr>
        <w:t>(6)</w:t>
      </w:r>
      <w:r w:rsidRPr="00132E65">
        <w:rPr>
          <w:rtl/>
          <w:lang w:bidi="fa-IR"/>
        </w:rPr>
        <w:t xml:space="preserve"> ؛ إِذْ كَانَ أَبُو مُحَمَّدٍ الْمُرْجى </w:t>
      </w:r>
      <w:r>
        <w:rPr>
          <w:rStyle w:val="libFootnotenumChar"/>
          <w:rtl/>
        </w:rPr>
        <w:t>(7)</w:t>
      </w:r>
      <w:r w:rsidRPr="00132E65">
        <w:rPr>
          <w:rtl/>
          <w:lang w:bidi="fa-IR"/>
        </w:rPr>
        <w:t xml:space="preserve"> بَعْدَ أَبِي جَعْفَرٍ </w:t>
      </w:r>
      <w:r>
        <w:rPr>
          <w:rStyle w:val="libFootnotenumChar"/>
          <w:rtl/>
        </w:rPr>
        <w:t>(8)</w:t>
      </w:r>
    </w:p>
    <w:p w:rsidR="000C39D1" w:rsidRPr="00132E65" w:rsidRDefault="000C39D1" w:rsidP="000C39D1">
      <w:pPr>
        <w:pStyle w:val="libNormal"/>
        <w:rPr>
          <w:rtl/>
          <w:lang w:bidi="fa-IR"/>
        </w:rPr>
      </w:pPr>
      <w:r w:rsidRPr="00132E65">
        <w:rPr>
          <w:rtl/>
          <w:lang w:bidi="fa-IR"/>
        </w:rPr>
        <w:t xml:space="preserve">فَأَقْبَلَ عَلَيَّ أَبُو الْحَسَنِ </w:t>
      </w:r>
      <w:r w:rsidRPr="00071CF9">
        <w:rPr>
          <w:rStyle w:val="libAlaemChar"/>
          <w:rtl/>
        </w:rPr>
        <w:t>عليه‌السلام</w:t>
      </w:r>
      <w:r w:rsidRPr="00132E65">
        <w:rPr>
          <w:rtl/>
          <w:lang w:bidi="fa-IR"/>
        </w:rPr>
        <w:t xml:space="preserve"> قَبْلَ أَنْ أَنْطِقَ </w:t>
      </w:r>
      <w:r>
        <w:rPr>
          <w:rStyle w:val="libFootnotenumChar"/>
          <w:rtl/>
        </w:rPr>
        <w:t>(9)</w:t>
      </w:r>
      <w:r w:rsidRPr="00132E65">
        <w:rPr>
          <w:rtl/>
          <w:lang w:bidi="fa-IR"/>
        </w:rPr>
        <w:t xml:space="preserve"> ، فَقَالَ : « نَعَمْ يَا أَبَا هَاشِمٍ ، بَدَا لِلّهِ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المراد به ابنه لا أبوه </w:t>
      </w:r>
      <w:r w:rsidRPr="006C4B75">
        <w:rPr>
          <w:rStyle w:val="libFootnoteAlaemChar"/>
          <w:rtl/>
        </w:rPr>
        <w:t>عليه‌السلام</w:t>
      </w:r>
      <w:r w:rsidRPr="00132E65">
        <w:rPr>
          <w:rtl/>
        </w:rPr>
        <w:t>.</w:t>
      </w:r>
    </w:p>
    <w:p w:rsidR="000C39D1" w:rsidRPr="00132E65" w:rsidRDefault="000C39D1" w:rsidP="000C39D1">
      <w:pPr>
        <w:pStyle w:val="libFootnote0"/>
        <w:rPr>
          <w:rtl/>
          <w:lang w:bidi="fa-IR"/>
        </w:rPr>
      </w:pPr>
      <w:r>
        <w:rPr>
          <w:rtl/>
        </w:rPr>
        <w:t>(2).</w:t>
      </w:r>
      <w:r w:rsidRPr="00132E65">
        <w:rPr>
          <w:rtl/>
        </w:rPr>
        <w:t xml:space="preserve"> هكذا في النسخ التي قوبلت و</w:t>
      </w:r>
      <w:r w:rsidRPr="009D1ACE">
        <w:rPr>
          <w:rStyle w:val="libFootnoteBoldChar"/>
          <w:rtl/>
        </w:rPr>
        <w:t>الوافي</w:t>
      </w:r>
      <w:r w:rsidRPr="00132E65">
        <w:rPr>
          <w:rtl/>
        </w:rPr>
        <w:t xml:space="preserve"> والإرشاد. وفي المطبوع :</w:t>
      </w:r>
      <w:r>
        <w:rPr>
          <w:rtl/>
        </w:rPr>
        <w:t xml:space="preserve"> + </w:t>
      </w:r>
      <w:r w:rsidRPr="00132E65">
        <w:rPr>
          <w:rtl/>
        </w:rPr>
        <w:t>« [ له ] »</w:t>
      </w:r>
      <w:r>
        <w:rPr>
          <w:rtl/>
        </w:rPr>
        <w:t>.</w:t>
      </w:r>
    </w:p>
    <w:p w:rsidR="000C39D1" w:rsidRPr="00132E65" w:rsidRDefault="000C39D1" w:rsidP="000C39D1">
      <w:pPr>
        <w:pStyle w:val="libFootnote0"/>
        <w:rPr>
          <w:rtl/>
          <w:lang w:bidi="fa-IR"/>
        </w:rPr>
      </w:pPr>
      <w:r>
        <w:rPr>
          <w:rtl/>
        </w:rPr>
        <w:t>(3).</w:t>
      </w:r>
      <w:r w:rsidRPr="00132E65">
        <w:rPr>
          <w:rtl/>
        </w:rPr>
        <w:t xml:space="preserve"> قال ابن الأثير : « الخَلَفَ ، بالتحريك والسكون </w:t>
      </w:r>
      <w:r>
        <w:rPr>
          <w:rtl/>
        </w:rPr>
        <w:t>: كلّ من يجي‌ء بعد من مضى ، إل</w:t>
      </w:r>
      <w:r>
        <w:rPr>
          <w:rFonts w:hint="cs"/>
          <w:rtl/>
        </w:rPr>
        <w:t>ّ</w:t>
      </w:r>
      <w:r>
        <w:rPr>
          <w:rtl/>
        </w:rPr>
        <w:t>ا</w:t>
      </w:r>
      <w:r>
        <w:rPr>
          <w:rFonts w:hint="cs"/>
          <w:rtl/>
        </w:rPr>
        <w:t xml:space="preserve"> </w:t>
      </w:r>
      <w:r w:rsidRPr="00132E65">
        <w:rPr>
          <w:rtl/>
        </w:rPr>
        <w:t xml:space="preserve">أنّه بالتحريك في الخير وبالتسكين في الشرّ. يقال : خَلَف صدق ، وخَلْفُ سوء. </w:t>
      </w:r>
      <w:r w:rsidRPr="00EB25BF">
        <w:rPr>
          <w:rtl/>
        </w:rPr>
        <w:t>النهاية</w:t>
      </w:r>
      <w:r w:rsidRPr="00132E65">
        <w:rPr>
          <w:rtl/>
        </w:rPr>
        <w:t xml:space="preserve"> ، ج 2 ، ص 66 ( خلف )</w:t>
      </w:r>
      <w:r>
        <w:rPr>
          <w:rtl/>
        </w:rPr>
        <w:t>.</w:t>
      </w:r>
    </w:p>
    <w:p w:rsidR="000C39D1" w:rsidRPr="00132E65" w:rsidRDefault="000C39D1" w:rsidP="000C39D1">
      <w:pPr>
        <w:pStyle w:val="libFootnote0"/>
        <w:rPr>
          <w:rtl/>
          <w:lang w:bidi="fa-IR"/>
        </w:rPr>
      </w:pPr>
      <w:r>
        <w:rPr>
          <w:rtl/>
        </w:rPr>
        <w:t>(4).</w:t>
      </w:r>
      <w:r w:rsidRPr="00132E65">
        <w:rPr>
          <w:rtl/>
        </w:rPr>
        <w:t xml:space="preserve"> في « بح » </w:t>
      </w:r>
      <w:r>
        <w:rPr>
          <w:rtl/>
        </w:rPr>
        <w:t xml:space="preserve">: - </w:t>
      </w:r>
      <w:r w:rsidRPr="00132E65">
        <w:rPr>
          <w:rtl/>
        </w:rPr>
        <w:t>« منه »</w:t>
      </w:r>
      <w:r>
        <w:rPr>
          <w:rtl/>
        </w:rPr>
        <w:t>.</w:t>
      </w:r>
    </w:p>
    <w:p w:rsidR="000C39D1" w:rsidRPr="00132E65" w:rsidRDefault="000C39D1" w:rsidP="000C39D1">
      <w:pPr>
        <w:pStyle w:val="libFootnote0"/>
        <w:rPr>
          <w:rtl/>
          <w:lang w:bidi="fa-IR"/>
        </w:rPr>
      </w:pPr>
      <w:r>
        <w:rPr>
          <w:rtl/>
        </w:rPr>
        <w:t>(5).</w:t>
      </w:r>
      <w:r w:rsidRPr="00132E65">
        <w:rPr>
          <w:rtl/>
        </w:rPr>
        <w:t xml:space="preserve"> </w:t>
      </w:r>
      <w:r w:rsidRPr="00EB25BF">
        <w:rPr>
          <w:rtl/>
        </w:rPr>
        <w:t>الإرشاد</w:t>
      </w:r>
      <w:r w:rsidRPr="00132E65">
        <w:rPr>
          <w:rtl/>
        </w:rPr>
        <w:t xml:space="preserve"> ، ج 2 ، ص 318 ، بسنده عن الكليني </w:t>
      </w:r>
      <w:r>
        <w:rPr>
          <w:rFonts w:hint="cs"/>
          <w:rtl/>
        </w:rPr>
        <w:t>.</w:t>
      </w:r>
      <w:r w:rsidRPr="009D1ACE">
        <w:rPr>
          <w:rStyle w:val="libFootnoteBoldChar"/>
          <w:rtl/>
        </w:rPr>
        <w:t>الوافي</w:t>
      </w:r>
      <w:r w:rsidRPr="00132E65">
        <w:rPr>
          <w:rtl/>
        </w:rPr>
        <w:t xml:space="preserve"> ، ج 2 ، ص 389 ، ح 875.</w:t>
      </w:r>
    </w:p>
    <w:p w:rsidR="000C39D1" w:rsidRPr="00132E65" w:rsidRDefault="000C39D1" w:rsidP="000C39D1">
      <w:pPr>
        <w:pStyle w:val="libFootnote0"/>
        <w:rPr>
          <w:rtl/>
          <w:lang w:bidi="fa-IR"/>
        </w:rPr>
      </w:pPr>
      <w:r>
        <w:rPr>
          <w:rtl/>
        </w:rPr>
        <w:t>(6). في « ه</w:t>
      </w:r>
      <w:r>
        <w:rPr>
          <w:rFonts w:hint="cs"/>
          <w:rtl/>
        </w:rPr>
        <w:t xml:space="preserve"> </w:t>
      </w:r>
      <w:r w:rsidRPr="00132E65">
        <w:rPr>
          <w:rtl/>
        </w:rPr>
        <w:t xml:space="preserve">» </w:t>
      </w:r>
      <w:r>
        <w:rPr>
          <w:rtl/>
        </w:rPr>
        <w:t xml:space="preserve">: - </w:t>
      </w:r>
      <w:r w:rsidRPr="00132E65">
        <w:rPr>
          <w:rtl/>
        </w:rPr>
        <w:t>« ابني</w:t>
      </w:r>
      <w:r>
        <w:rPr>
          <w:rtl/>
        </w:rPr>
        <w:t xml:space="preserve"> - </w:t>
      </w:r>
      <w:r w:rsidRPr="00132E65">
        <w:rPr>
          <w:rtl/>
        </w:rPr>
        <w:t>إلى</w:t>
      </w:r>
      <w:r>
        <w:rPr>
          <w:rtl/>
        </w:rPr>
        <w:t xml:space="preserve"> - </w:t>
      </w:r>
      <w:r w:rsidRPr="00132E65">
        <w:rPr>
          <w:rtl/>
        </w:rPr>
        <w:t>كقصّتها »</w:t>
      </w:r>
      <w:r>
        <w:rPr>
          <w:rtl/>
        </w:rPr>
        <w:t>.</w:t>
      </w:r>
    </w:p>
    <w:p w:rsidR="000C39D1" w:rsidRPr="00132E65" w:rsidRDefault="000C39D1" w:rsidP="000C39D1">
      <w:pPr>
        <w:pStyle w:val="libFootnote0"/>
        <w:rPr>
          <w:rtl/>
          <w:lang w:bidi="fa-IR"/>
        </w:rPr>
      </w:pPr>
      <w:r>
        <w:rPr>
          <w:rtl/>
        </w:rPr>
        <w:t>(7).</w:t>
      </w:r>
      <w:r w:rsidRPr="00132E65">
        <w:rPr>
          <w:rtl/>
        </w:rPr>
        <w:t xml:space="preserve"> في « بر » وشرح المازندراني : « المرجّى »</w:t>
      </w:r>
      <w:r>
        <w:rPr>
          <w:rtl/>
        </w:rPr>
        <w:t>.</w:t>
      </w:r>
      <w:r w:rsidRPr="00132E65">
        <w:rPr>
          <w:rtl/>
        </w:rPr>
        <w:t xml:space="preserve"> وفي </w:t>
      </w:r>
      <w:r w:rsidRPr="009D1ACE">
        <w:rPr>
          <w:rStyle w:val="libFootnoteBoldChar"/>
          <w:rtl/>
        </w:rPr>
        <w:t>مرآة العقول</w:t>
      </w:r>
      <w:r w:rsidRPr="00132E65">
        <w:rPr>
          <w:rtl/>
        </w:rPr>
        <w:t xml:space="preserve"> : « وربّما يقرأ بالهمز ، أي المؤخّر أجله »</w:t>
      </w:r>
      <w:r>
        <w:rPr>
          <w:rtl/>
        </w:rPr>
        <w:t>.</w:t>
      </w:r>
    </w:p>
    <w:p w:rsidR="000C39D1" w:rsidRPr="00132E65" w:rsidRDefault="000C39D1" w:rsidP="000C39D1">
      <w:pPr>
        <w:pStyle w:val="libFootnote0"/>
        <w:rPr>
          <w:rtl/>
          <w:lang w:bidi="fa-IR"/>
        </w:rPr>
      </w:pPr>
      <w:r>
        <w:rPr>
          <w:rtl/>
        </w:rPr>
        <w:t>(8).</w:t>
      </w:r>
      <w:r w:rsidRPr="00132E65">
        <w:rPr>
          <w:rtl/>
        </w:rPr>
        <w:t xml:space="preserve"> هكذا في أكثر النسخ. وفي بعض النسخ والمطبوع :</w:t>
      </w:r>
      <w:r>
        <w:rPr>
          <w:rtl/>
        </w:rPr>
        <w:t xml:space="preserve"> + </w:t>
      </w:r>
      <w:r w:rsidRPr="00132E65">
        <w:rPr>
          <w:rtl/>
        </w:rPr>
        <w:t xml:space="preserve">« </w:t>
      </w:r>
      <w:r>
        <w:rPr>
          <w:rFonts w:hint="cs"/>
          <w:rtl/>
        </w:rPr>
        <w:t>عليه السلام</w:t>
      </w:r>
      <w:r w:rsidRPr="00132E65">
        <w:rPr>
          <w:rtl/>
        </w:rPr>
        <w:t xml:space="preserve"> »</w:t>
      </w:r>
      <w:r>
        <w:rPr>
          <w:rtl/>
        </w:rPr>
        <w:t>.</w:t>
      </w:r>
      <w:r w:rsidRPr="00132E65">
        <w:rPr>
          <w:rtl/>
        </w:rPr>
        <w:t xml:space="preserve"> وهو سهو ؛ لأنّ والمراد به غير المعصوم. وفي الإرشاد </w:t>
      </w:r>
      <w:r>
        <w:rPr>
          <w:rtl/>
        </w:rPr>
        <w:t xml:space="preserve">: - </w:t>
      </w:r>
      <w:r w:rsidRPr="00132E65">
        <w:rPr>
          <w:rtl/>
        </w:rPr>
        <w:t>« إذ كان أبو محمّد المرجى بعد أبي جعفر »</w:t>
      </w:r>
      <w:r>
        <w:rPr>
          <w:rtl/>
        </w:rPr>
        <w:t>.</w:t>
      </w:r>
    </w:p>
    <w:p w:rsidR="000C39D1" w:rsidRPr="00132E65" w:rsidRDefault="000C39D1" w:rsidP="000C39D1">
      <w:pPr>
        <w:pStyle w:val="libFootnote0"/>
        <w:rPr>
          <w:rtl/>
          <w:lang w:bidi="fa-IR"/>
        </w:rPr>
      </w:pPr>
      <w:r>
        <w:rPr>
          <w:rtl/>
        </w:rPr>
        <w:t>(9). في « ه</w:t>
      </w:r>
      <w:r>
        <w:rPr>
          <w:rFonts w:hint="cs"/>
          <w:rtl/>
        </w:rPr>
        <w:t xml:space="preserve"> </w:t>
      </w:r>
      <w:r w:rsidRPr="00132E65">
        <w:rPr>
          <w:rtl/>
        </w:rPr>
        <w:t xml:space="preserve">» </w:t>
      </w:r>
      <w:r>
        <w:rPr>
          <w:rtl/>
        </w:rPr>
        <w:t xml:space="preserve">: - </w:t>
      </w:r>
      <w:r w:rsidRPr="00132E65">
        <w:rPr>
          <w:rtl/>
        </w:rPr>
        <w:t>« أن أنطق »</w:t>
      </w:r>
      <w:r>
        <w:rPr>
          <w:rtl/>
        </w:rPr>
        <w:t>.</w:t>
      </w:r>
    </w:p>
    <w:p w:rsidR="000C39D1" w:rsidRPr="00132E65" w:rsidRDefault="000C39D1" w:rsidP="000C39D1">
      <w:pPr>
        <w:pStyle w:val="libFootnote0"/>
        <w:rPr>
          <w:rtl/>
          <w:lang w:bidi="fa-IR"/>
        </w:rPr>
      </w:pPr>
      <w:r>
        <w:rPr>
          <w:rtl/>
        </w:rPr>
        <w:t>(10).</w:t>
      </w:r>
      <w:r w:rsidRPr="00132E65">
        <w:rPr>
          <w:rtl/>
        </w:rPr>
        <w:t xml:space="preserve"> في شرح المازندراني و</w:t>
      </w:r>
      <w:r w:rsidRPr="009D1ACE">
        <w:rPr>
          <w:rStyle w:val="libFootnoteBoldChar"/>
          <w:rtl/>
        </w:rPr>
        <w:t>الوافي</w:t>
      </w:r>
      <w:r w:rsidRPr="00132E65">
        <w:rPr>
          <w:rtl/>
        </w:rPr>
        <w:t xml:space="preserve"> : « الله »</w:t>
      </w:r>
      <w:r>
        <w:rPr>
          <w:rtl/>
        </w:rPr>
        <w:t>.</w:t>
      </w:r>
      <w:r w:rsidRPr="00132E65">
        <w:rPr>
          <w:rtl/>
        </w:rPr>
        <w:t xml:space="preserve"> قال المازندراني : « كذا في أكثر النسخ ، وفي بعضها : بدا لله. والبَداء</w:t>
      </w:r>
      <w:r>
        <w:rPr>
          <w:rtl/>
        </w:rPr>
        <w:t xml:space="preserve"> - </w:t>
      </w:r>
      <w:r w:rsidRPr="00132E65">
        <w:rPr>
          <w:rtl/>
        </w:rPr>
        <w:t>بالفتح والمدّ</w:t>
      </w:r>
      <w:r>
        <w:rPr>
          <w:rtl/>
        </w:rPr>
        <w:t xml:space="preserve"> - </w:t>
      </w:r>
      <w:r w:rsidRPr="00132E65">
        <w:rPr>
          <w:rtl/>
        </w:rPr>
        <w:t>: ظهور الشي‌ء بعد الخفاء ، وهو على الله عزّ وجلّ غير جائز. والمراد به القضاء والحكم ، وقد يطلق عليه كما صرّح به صاحب النهاية. فالمعنى : قضى الله جلّ شأنه في أبي محمّد بعد موت أبي جعفر بما لم يكن معروفاً لأبي محمّد عند الخلق وهو الإمامة والخلافة. انتهى »</w:t>
      </w:r>
      <w:r>
        <w:rPr>
          <w:rtl/>
        </w:rPr>
        <w:t>.</w:t>
      </w:r>
      <w:r w:rsidRPr="00132E65">
        <w:rPr>
          <w:rtl/>
        </w:rPr>
        <w:t xml:space="preserve"> وقد مضى تحقيق معنى البداء في باب البداء من أبواب التوحيد. وراجع : </w:t>
      </w:r>
      <w:r w:rsidRPr="00EB25BF">
        <w:rPr>
          <w:rtl/>
        </w:rPr>
        <w:t>النهاية</w:t>
      </w:r>
      <w:r w:rsidRPr="00132E65">
        <w:rPr>
          <w:rtl/>
        </w:rPr>
        <w:t xml:space="preserve"> ، ج 1 ، ص 109 ( بدا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فِي أَبِي مُحَمَّدٍ بَعْدَ أَبِي جَعْفَرٍ </w:t>
      </w:r>
      <w:r>
        <w:rPr>
          <w:rStyle w:val="libFootnotenumChar"/>
          <w:rtl/>
        </w:rPr>
        <w:t>(1)</w:t>
      </w:r>
      <w:r w:rsidRPr="00132E65">
        <w:rPr>
          <w:rtl/>
          <w:lang w:bidi="fa-IR"/>
        </w:rPr>
        <w:t xml:space="preserve"> مَا لَمْ يَكُنْ يُعْرَفُ </w:t>
      </w:r>
      <w:r>
        <w:rPr>
          <w:rStyle w:val="libFootnotenumChar"/>
          <w:rtl/>
        </w:rPr>
        <w:t>(2)</w:t>
      </w:r>
      <w:r w:rsidRPr="00132E65">
        <w:rPr>
          <w:rtl/>
          <w:lang w:bidi="fa-IR"/>
        </w:rPr>
        <w:t xml:space="preserve"> لَهُ ، كَمَا بَدَا لَهُ </w:t>
      </w:r>
      <w:r>
        <w:rPr>
          <w:rStyle w:val="libFootnotenumChar"/>
          <w:rtl/>
        </w:rPr>
        <w:t>(3)</w:t>
      </w:r>
      <w:r w:rsidRPr="00132E65">
        <w:rPr>
          <w:rtl/>
          <w:lang w:bidi="fa-IR"/>
        </w:rPr>
        <w:t xml:space="preserve"> فِي مُوسى بَعْدَ مُضِيِّ إِسْمَاعِيلَ مَا كَشَفَ </w:t>
      </w:r>
      <w:r>
        <w:rPr>
          <w:rStyle w:val="libFootnotenumChar"/>
          <w:rtl/>
        </w:rPr>
        <w:t>(4)</w:t>
      </w:r>
      <w:r w:rsidRPr="00132E65">
        <w:rPr>
          <w:rtl/>
          <w:lang w:bidi="fa-IR"/>
        </w:rPr>
        <w:t xml:space="preserve"> بِهِ عَنْ حَالِهِ ، و</w:t>
      </w:r>
      <w:r>
        <w:rPr>
          <w:rFonts w:hint="cs"/>
          <w:rtl/>
          <w:lang w:bidi="fa-IR"/>
        </w:rPr>
        <w:t xml:space="preserve">َ </w:t>
      </w:r>
      <w:r w:rsidRPr="00132E65">
        <w:rPr>
          <w:rtl/>
          <w:lang w:bidi="fa-IR"/>
        </w:rPr>
        <w:t>هُوَ كَمَا حَدَّثَتْكَ نَفْسُكَ و</w:t>
      </w:r>
      <w:r>
        <w:rPr>
          <w:rFonts w:hint="cs"/>
          <w:rtl/>
          <w:lang w:bidi="fa-IR"/>
        </w:rPr>
        <w:t xml:space="preserve">َ </w:t>
      </w:r>
      <w:r w:rsidRPr="00132E65">
        <w:rPr>
          <w:rtl/>
          <w:lang w:bidi="fa-IR"/>
        </w:rPr>
        <w:t>إِنْ كَرِهَ الْمُبْطِلُونَ ، و</w:t>
      </w:r>
      <w:r>
        <w:rPr>
          <w:rFonts w:hint="cs"/>
          <w:rtl/>
          <w:lang w:bidi="fa-IR"/>
        </w:rPr>
        <w:t xml:space="preserve">َ </w:t>
      </w:r>
      <w:r w:rsidRPr="00132E65">
        <w:rPr>
          <w:rtl/>
          <w:lang w:bidi="fa-IR"/>
        </w:rPr>
        <w:t xml:space="preserve">أَبُو مُحَمَّدٍ ابْنِي الْخَلَفُ </w:t>
      </w:r>
      <w:r>
        <w:rPr>
          <w:rStyle w:val="libFootnotenumChar"/>
          <w:rtl/>
        </w:rPr>
        <w:t>(5)</w:t>
      </w:r>
      <w:r w:rsidRPr="00132E65">
        <w:rPr>
          <w:rtl/>
          <w:lang w:bidi="fa-IR"/>
        </w:rPr>
        <w:t xml:space="preserve"> مِنْ بَعْدِي ، عِنْدَهُ عِلْمُ مَا يُحْتَاجُ إِلَيْهِ ، و</w:t>
      </w:r>
      <w:r>
        <w:rPr>
          <w:rFonts w:hint="cs"/>
          <w:rtl/>
          <w:lang w:bidi="fa-IR"/>
        </w:rPr>
        <w:t xml:space="preserve">َ </w:t>
      </w:r>
      <w:r w:rsidRPr="00132E65">
        <w:rPr>
          <w:rtl/>
          <w:lang w:bidi="fa-IR"/>
        </w:rPr>
        <w:t xml:space="preserve">مَعَهُ آلَةُ </w:t>
      </w:r>
      <w:r>
        <w:rPr>
          <w:rStyle w:val="libFootnotenumChar"/>
          <w:rtl/>
        </w:rPr>
        <w:t>(6)</w:t>
      </w:r>
      <w:r w:rsidRPr="00132E65">
        <w:rPr>
          <w:rtl/>
          <w:lang w:bidi="fa-IR"/>
        </w:rPr>
        <w:t xml:space="preserve"> الْإِمَامَةِ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EB25BF">
        <w:rPr>
          <w:rtl/>
        </w:rPr>
        <w:t>860</w:t>
      </w:r>
      <w:r w:rsidRPr="004325D8">
        <w:rPr>
          <w:rStyle w:val="libBold2Char"/>
          <w:rtl/>
        </w:rPr>
        <w:t xml:space="preserve"> / 11.</w:t>
      </w:r>
      <w:r w:rsidRPr="00132E65">
        <w:rPr>
          <w:rtl/>
          <w:lang w:bidi="fa-IR"/>
        </w:rPr>
        <w:t xml:space="preserve"> عَلِيُّ بْنُ مُحَمَّدٍ ، عَنْ إِسْحَاقَ بْنِ مُحَمَّدٍ ، عَنْ مُحَمَّدِ بْنِ يَحْيَى بْنِ دَرْيَابَ </w:t>
      </w:r>
      <w:r>
        <w:rPr>
          <w:rStyle w:val="libFootnotenumChar"/>
          <w:rtl/>
        </w:rPr>
        <w:t>(8)</w:t>
      </w:r>
      <w:r w:rsidRPr="00132E65">
        <w:rPr>
          <w:rtl/>
          <w:lang w:bidi="fa-IR"/>
        </w:rPr>
        <w:t xml:space="preserve"> ، عَنْ أَبِي بَكْرٍ الْفَهْفَكِيِّ ، قَالَ :</w:t>
      </w:r>
    </w:p>
    <w:p w:rsidR="000C39D1" w:rsidRPr="00132E65" w:rsidRDefault="000C39D1" w:rsidP="000C39D1">
      <w:pPr>
        <w:pStyle w:val="libNormal"/>
        <w:rPr>
          <w:rtl/>
          <w:lang w:bidi="fa-IR"/>
        </w:rPr>
      </w:pPr>
      <w:r w:rsidRPr="00132E65">
        <w:rPr>
          <w:rtl/>
          <w:lang w:bidi="fa-IR"/>
        </w:rPr>
        <w:t xml:space="preserve">كَتَبَ إِلَيَّ أَبُو الْحَسَنِ </w:t>
      </w:r>
      <w:r w:rsidRPr="00071CF9">
        <w:rPr>
          <w:rStyle w:val="libAlaemChar"/>
          <w:rtl/>
        </w:rPr>
        <w:t>عليه‌السلام</w:t>
      </w:r>
      <w:r w:rsidRPr="00132E65">
        <w:rPr>
          <w:rtl/>
          <w:lang w:bidi="fa-IR"/>
        </w:rPr>
        <w:t xml:space="preserve"> : « أَبُو مُحَمَّدٍ </w:t>
      </w:r>
      <w:r>
        <w:rPr>
          <w:rStyle w:val="libFootnotenumChar"/>
          <w:rtl/>
        </w:rPr>
        <w:t>(9)</w:t>
      </w:r>
      <w:r w:rsidRPr="00132E65">
        <w:rPr>
          <w:rtl/>
          <w:lang w:bidi="fa-IR"/>
        </w:rPr>
        <w:t xml:space="preserve"> ابْنِي أَنْصَحُ </w:t>
      </w:r>
      <w:r>
        <w:rPr>
          <w:rStyle w:val="libFootnotenumChar"/>
          <w:rtl/>
        </w:rPr>
        <w:t>(10)</w:t>
      </w:r>
      <w:r w:rsidRPr="00132E65">
        <w:rPr>
          <w:rtl/>
          <w:lang w:bidi="fa-IR"/>
        </w:rPr>
        <w:t xml:space="preserve"> آلِ مُحَمَّدٍ غَرِيزَةً </w:t>
      </w:r>
      <w:r>
        <w:rPr>
          <w:rStyle w:val="libFootnotenumChar"/>
          <w:rtl/>
        </w:rPr>
        <w:t>(11)</w:t>
      </w:r>
      <w:r w:rsidRPr="00132E65">
        <w:rPr>
          <w:rtl/>
          <w:lang w:bidi="fa-IR"/>
        </w:rPr>
        <w:t xml:space="preserve"> ، و</w:t>
      </w:r>
      <w:r>
        <w:rPr>
          <w:rFonts w:hint="cs"/>
          <w:rtl/>
          <w:lang w:bidi="fa-IR"/>
        </w:rPr>
        <w:t xml:space="preserve">َ </w:t>
      </w:r>
      <w:r w:rsidRPr="00132E65">
        <w:rPr>
          <w:rtl/>
          <w:lang w:bidi="fa-IR"/>
        </w:rPr>
        <w:t>أَوْثَقُهُمْ حُجَّةً ، و</w:t>
      </w:r>
      <w:r>
        <w:rPr>
          <w:rFonts w:hint="cs"/>
          <w:rtl/>
          <w:lang w:bidi="fa-IR"/>
        </w:rPr>
        <w:t xml:space="preserve">َ </w:t>
      </w:r>
      <w:r w:rsidRPr="00132E65">
        <w:rPr>
          <w:rtl/>
          <w:lang w:bidi="fa-IR"/>
        </w:rPr>
        <w:t>هُوَ الْأَكْبَرُ مِنْ و</w:t>
      </w:r>
      <w:r>
        <w:rPr>
          <w:rFonts w:hint="cs"/>
          <w:rtl/>
          <w:lang w:bidi="fa-IR"/>
        </w:rPr>
        <w:t>َ</w:t>
      </w:r>
      <w:r w:rsidRPr="00132E65">
        <w:rPr>
          <w:rtl/>
          <w:lang w:bidi="fa-IR"/>
        </w:rPr>
        <w:t xml:space="preserve">لَدَيَّ </w:t>
      </w:r>
      <w:r>
        <w:rPr>
          <w:rStyle w:val="libFootnotenumChar"/>
          <w:rtl/>
        </w:rPr>
        <w:t>(12)</w:t>
      </w:r>
      <w:r w:rsidRPr="00132E65">
        <w:rPr>
          <w:rtl/>
          <w:lang w:bidi="fa-IR"/>
        </w:rPr>
        <w:t xml:space="preserve"> ، و</w:t>
      </w:r>
      <w:r>
        <w:rPr>
          <w:rFonts w:hint="cs"/>
          <w:rtl/>
          <w:lang w:bidi="fa-IR"/>
        </w:rPr>
        <w:t xml:space="preserve">َ </w:t>
      </w:r>
      <w:r w:rsidRPr="00132E65">
        <w:rPr>
          <w:rtl/>
          <w:lang w:bidi="fa-IR"/>
        </w:rPr>
        <w:t xml:space="preserve">هُوَ الْخَلَفُ ، وإِلَيْهِ يَنْتَهِي عُرَى </w:t>
      </w:r>
      <w:r w:rsidRPr="00F543F1">
        <w:rPr>
          <w:rStyle w:val="libFootnotenumChar"/>
          <w:rtl/>
        </w:rPr>
        <w:t>(13)</w:t>
      </w:r>
      <w:r w:rsidRPr="00132E65">
        <w:rPr>
          <w:rtl/>
          <w:lang w:bidi="fa-IR"/>
        </w:rPr>
        <w:t xml:space="preserve"> الْإِمَامَةِ‌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بعض النسخ :</w:t>
      </w:r>
      <w:r>
        <w:rPr>
          <w:rtl/>
        </w:rPr>
        <w:t xml:space="preserve"> + </w:t>
      </w:r>
      <w:r w:rsidRPr="00132E65">
        <w:rPr>
          <w:rtl/>
        </w:rPr>
        <w:t xml:space="preserve">« </w:t>
      </w:r>
      <w:r>
        <w:rPr>
          <w:rFonts w:hint="cs"/>
          <w:rtl/>
        </w:rPr>
        <w:t>عليه السلام</w:t>
      </w:r>
      <w:r w:rsidRPr="00132E65">
        <w:rPr>
          <w:rtl/>
        </w:rPr>
        <w:t xml:space="preserve"> » ، وهو سهو ؛ لما قلنا سابقاً.</w:t>
      </w:r>
    </w:p>
    <w:p w:rsidR="000C39D1" w:rsidRPr="00132E65" w:rsidRDefault="000C39D1" w:rsidP="000C39D1">
      <w:pPr>
        <w:pStyle w:val="libFootnote0"/>
        <w:rPr>
          <w:rtl/>
          <w:lang w:bidi="fa-IR"/>
        </w:rPr>
      </w:pPr>
      <w:r>
        <w:rPr>
          <w:rtl/>
        </w:rPr>
        <w:t>(2).</w:t>
      </w:r>
      <w:r w:rsidRPr="00132E65">
        <w:rPr>
          <w:rtl/>
        </w:rPr>
        <w:t xml:space="preserve"> في « ب ، ف ، بر » : « لم نكن نعرف »</w:t>
      </w:r>
      <w:r>
        <w:rPr>
          <w:rtl/>
        </w:rPr>
        <w:t>.</w:t>
      </w:r>
      <w:r w:rsidRPr="00132E65">
        <w:rPr>
          <w:rtl/>
        </w:rPr>
        <w:t xml:space="preserve"> وفي « بف » : « لم تكن تعرف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بر ، بف » : « لله »</w:t>
            </w:r>
            <w:r>
              <w:rPr>
                <w:rtl/>
              </w:rPr>
              <w:t>.</w:t>
            </w:r>
          </w:p>
        </w:tc>
        <w:tc>
          <w:tcPr>
            <w:tcW w:w="4006" w:type="dxa"/>
          </w:tcPr>
          <w:p w:rsidR="000C39D1" w:rsidRDefault="000C39D1" w:rsidP="00B53873">
            <w:pPr>
              <w:pStyle w:val="libFootnote0"/>
              <w:rPr>
                <w:rtl/>
              </w:rPr>
            </w:pPr>
            <w:r>
              <w:rPr>
                <w:rtl/>
              </w:rPr>
              <w:t>(4).</w:t>
            </w:r>
            <w:r w:rsidRPr="00132E65">
              <w:rPr>
                <w:rtl/>
              </w:rPr>
              <w:t xml:space="preserve">في </w:t>
            </w:r>
            <w:r w:rsidRPr="009D1ACE">
              <w:rPr>
                <w:rStyle w:val="libFootnoteBoldChar"/>
                <w:rtl/>
              </w:rPr>
              <w:t>مرآة العقول</w:t>
            </w:r>
            <w:r w:rsidRPr="00132E65">
              <w:rPr>
                <w:rtl/>
              </w:rPr>
              <w:t>:«وكشف،على المعلوم أو المجهول »</w:t>
            </w:r>
            <w:r>
              <w:rPr>
                <w:rtl/>
              </w:rPr>
              <w:t>.</w:t>
            </w:r>
          </w:p>
        </w:tc>
      </w:tr>
    </w:tbl>
    <w:p w:rsidR="000C39D1" w:rsidRPr="00132E65" w:rsidRDefault="000C39D1" w:rsidP="000C39D1">
      <w:pPr>
        <w:pStyle w:val="libFootnote0"/>
        <w:rPr>
          <w:rtl/>
          <w:lang w:bidi="fa-IR"/>
        </w:rPr>
      </w:pPr>
      <w:r>
        <w:rPr>
          <w:rtl/>
        </w:rPr>
        <w:t>(5).</w:t>
      </w:r>
      <w:r w:rsidRPr="00132E65">
        <w:rPr>
          <w:rtl/>
        </w:rPr>
        <w:t xml:space="preserve"> في « ب ، ف ، بف » : « الخليفة »</w:t>
      </w:r>
      <w:r>
        <w:rPr>
          <w:rtl/>
        </w:rPr>
        <w:t>.</w:t>
      </w:r>
      <w:r w:rsidRPr="00132E65">
        <w:rPr>
          <w:rtl/>
        </w:rPr>
        <w:t xml:space="preserve"> وتقدّم معنى الخلف ذيل الحديث 9 من هذا الباب.</w:t>
      </w:r>
    </w:p>
    <w:p w:rsidR="000C39D1" w:rsidRPr="00132E65" w:rsidRDefault="000C39D1" w:rsidP="000C39D1">
      <w:pPr>
        <w:pStyle w:val="libFootnote0"/>
        <w:rPr>
          <w:rtl/>
          <w:lang w:bidi="fa-IR"/>
        </w:rPr>
      </w:pPr>
      <w:r>
        <w:rPr>
          <w:rtl/>
        </w:rPr>
        <w:t>(6).</w:t>
      </w:r>
      <w:r w:rsidRPr="00132E65">
        <w:rPr>
          <w:rtl/>
        </w:rPr>
        <w:t xml:space="preserve"> في « ب » وحاشية « ج ، بح » : « آية »</w:t>
      </w:r>
      <w:r>
        <w:rPr>
          <w:rtl/>
        </w:rPr>
        <w:t>.</w:t>
      </w:r>
      <w:r w:rsidRPr="00132E65">
        <w:rPr>
          <w:rtl/>
        </w:rPr>
        <w:t xml:space="preserve"> والمراد من الآلة : الكتاب والسلاح وغير ذلك ممّا يختصّ بالإمامة وعلامة من علاماته.</w:t>
      </w:r>
    </w:p>
    <w:p w:rsidR="000C39D1" w:rsidRPr="00132E65" w:rsidRDefault="000C39D1" w:rsidP="000C39D1">
      <w:pPr>
        <w:pStyle w:val="libFootnote0"/>
        <w:rPr>
          <w:rtl/>
          <w:lang w:bidi="fa-IR"/>
        </w:rPr>
      </w:pPr>
      <w:r>
        <w:rPr>
          <w:rtl/>
        </w:rPr>
        <w:t>(7).</w:t>
      </w:r>
      <w:r w:rsidRPr="00132E65">
        <w:rPr>
          <w:rtl/>
        </w:rPr>
        <w:t xml:space="preserve"> </w:t>
      </w:r>
      <w:r w:rsidRPr="00EB25BF">
        <w:rPr>
          <w:rtl/>
        </w:rPr>
        <w:t>الإرشاد</w:t>
      </w:r>
      <w:r w:rsidRPr="00132E65">
        <w:rPr>
          <w:rtl/>
        </w:rPr>
        <w:t xml:space="preserve"> ، ج 2 ، ص 318 ، بسنده عن الكليني. وفي </w:t>
      </w:r>
      <w:r w:rsidRPr="00EB25BF">
        <w:rPr>
          <w:rtl/>
        </w:rPr>
        <w:t>الغيبة</w:t>
      </w:r>
      <w:r w:rsidRPr="00132E65">
        <w:rPr>
          <w:rtl/>
        </w:rPr>
        <w:t xml:space="preserve"> للطوسي ، ص 82 ، ح 84 ؛ وص 200 ، ح 167 ، بسنده عن أبي هاشم داود الجعفري ، مع اختلاف </w:t>
      </w:r>
      <w:r>
        <w:rPr>
          <w:rFonts w:hint="cs"/>
          <w:rtl/>
        </w:rPr>
        <w:t>.</w:t>
      </w:r>
      <w:r w:rsidRPr="009D1ACE">
        <w:rPr>
          <w:rStyle w:val="libFootnoteBoldChar"/>
          <w:rtl/>
        </w:rPr>
        <w:t>الوافي</w:t>
      </w:r>
      <w:r w:rsidRPr="00132E65">
        <w:rPr>
          <w:rtl/>
        </w:rPr>
        <w:t xml:space="preserve"> ، ج 2 ، ص 388 ، ح 874.</w:t>
      </w:r>
    </w:p>
    <w:p w:rsidR="000C39D1" w:rsidRPr="00132E65" w:rsidRDefault="000C39D1" w:rsidP="000C39D1">
      <w:pPr>
        <w:pStyle w:val="libFootnote0"/>
        <w:rPr>
          <w:rtl/>
          <w:lang w:bidi="fa-IR"/>
        </w:rPr>
      </w:pPr>
      <w:r>
        <w:rPr>
          <w:rtl/>
        </w:rPr>
        <w:t>(8).</w:t>
      </w:r>
      <w:r w:rsidRPr="00132E65">
        <w:rPr>
          <w:rtl/>
        </w:rPr>
        <w:t xml:space="preserve"> في الإرشاد : « محمّد بن يحيى بن رئاب »</w:t>
      </w:r>
      <w:r>
        <w:rPr>
          <w:rtl/>
        </w:rPr>
        <w:t>.</w:t>
      </w:r>
      <w:r w:rsidRPr="00132E65">
        <w:rPr>
          <w:rtl/>
        </w:rPr>
        <w:t xml:space="preserve"> والمذكور في </w:t>
      </w:r>
      <w:r w:rsidRPr="00EB25BF">
        <w:rPr>
          <w:rtl/>
        </w:rPr>
        <w:t>رجال الطوسي</w:t>
      </w:r>
      <w:r w:rsidRPr="00132E65">
        <w:rPr>
          <w:rtl/>
        </w:rPr>
        <w:t xml:space="preserve"> ، ص 392 ، الرقم 5778 ، في أصحاب‌أبي الحسن الثالث هو محمّد بن يحيى بن درياب.</w:t>
      </w:r>
    </w:p>
    <w:p w:rsidR="000C39D1" w:rsidRPr="00132E65" w:rsidRDefault="000C39D1" w:rsidP="000C39D1">
      <w:pPr>
        <w:pStyle w:val="libFootnote0"/>
        <w:rPr>
          <w:rtl/>
          <w:lang w:bidi="fa-IR"/>
        </w:rPr>
      </w:pPr>
      <w:r>
        <w:rPr>
          <w:rtl/>
        </w:rPr>
        <w:t>(9).</w:t>
      </w:r>
      <w:r w:rsidRPr="00132E65">
        <w:rPr>
          <w:rtl/>
        </w:rPr>
        <w:t xml:space="preserve"> في « ف » : « وأبو محمّد »</w:t>
      </w:r>
      <w:r>
        <w:rPr>
          <w:rtl/>
        </w:rPr>
        <w:t>.</w:t>
      </w:r>
    </w:p>
    <w:p w:rsidR="000C39D1" w:rsidRPr="00132E65" w:rsidRDefault="000C39D1" w:rsidP="000C39D1">
      <w:pPr>
        <w:pStyle w:val="libFootnote0"/>
        <w:rPr>
          <w:rtl/>
          <w:lang w:bidi="fa-IR"/>
        </w:rPr>
      </w:pPr>
      <w:r>
        <w:rPr>
          <w:rtl/>
        </w:rPr>
        <w:t>(10). في « ب ، ه</w:t>
      </w:r>
      <w:r>
        <w:rPr>
          <w:rFonts w:hint="cs"/>
          <w:rtl/>
        </w:rPr>
        <w:t xml:space="preserve"> </w:t>
      </w:r>
      <w:r w:rsidRPr="00132E65">
        <w:rPr>
          <w:rtl/>
        </w:rPr>
        <w:t>» وحاشية « ف » : « أفصح »</w:t>
      </w:r>
      <w:r>
        <w:rPr>
          <w:rtl/>
        </w:rPr>
        <w:t>.</w:t>
      </w:r>
      <w:r w:rsidRPr="00132E65">
        <w:rPr>
          <w:rtl/>
        </w:rPr>
        <w:t xml:space="preserve"> وفي شرح المازندراني عن بعض النسخ والإرشاد : « أصحّ »</w:t>
      </w:r>
      <w:r>
        <w:rPr>
          <w:rtl/>
        </w:rPr>
        <w:t>.</w:t>
      </w:r>
      <w:r w:rsidRPr="00132E65">
        <w:rPr>
          <w:rtl/>
        </w:rPr>
        <w:t xml:space="preserve"> وقوله : « أنصح » ، أي أخلص وأصفى. يقال : رجلٌ ناصح الجيب ، أي نقيّ القلب ، قال الأصمعي : الناصح : الخالص من العسل وغيره ، مثل الناصع ، وكلّ شي‌ء خَلَصَ فقد نَصَحَ. راجع : </w:t>
      </w:r>
      <w:r w:rsidRPr="00EB25BF">
        <w:rPr>
          <w:rtl/>
        </w:rPr>
        <w:t>الصحاح</w:t>
      </w:r>
      <w:r w:rsidRPr="00132E65">
        <w:rPr>
          <w:rtl/>
        </w:rPr>
        <w:t xml:space="preserve"> ، ج 1 ، ص 411 ( نصح )</w:t>
      </w:r>
      <w:r>
        <w:rPr>
          <w:rtl/>
        </w:rPr>
        <w:t>.</w:t>
      </w:r>
    </w:p>
    <w:p w:rsidR="000C39D1" w:rsidRPr="00132E65" w:rsidRDefault="000C39D1" w:rsidP="000C39D1">
      <w:pPr>
        <w:pStyle w:val="libFootnote0"/>
        <w:rPr>
          <w:rtl/>
          <w:lang w:bidi="fa-IR"/>
        </w:rPr>
      </w:pPr>
      <w:r>
        <w:rPr>
          <w:rtl/>
        </w:rPr>
        <w:t>(11).</w:t>
      </w:r>
      <w:r w:rsidRPr="00132E65">
        <w:rPr>
          <w:rtl/>
        </w:rPr>
        <w:t xml:space="preserve"> « الغَريزَةُ » : الطبيعة والقريحة والسجيّة والخليقة من خير أو شرّ ، وهي التي جُبِلَ عليها الإنسان. راجع : </w:t>
      </w:r>
      <w:r w:rsidRPr="009D1ACE">
        <w:rPr>
          <w:rStyle w:val="libFootnoteBoldChar"/>
          <w:rtl/>
        </w:rPr>
        <w:t>لسان العرب</w:t>
      </w:r>
      <w:r w:rsidRPr="00132E65">
        <w:rPr>
          <w:rtl/>
        </w:rPr>
        <w:t xml:space="preserve"> ، ج 5 ، ص 387 ( غرز )</w:t>
      </w:r>
      <w:r>
        <w:rPr>
          <w:rtl/>
        </w:rPr>
        <w:t>.</w:t>
      </w:r>
    </w:p>
    <w:p w:rsidR="000C39D1" w:rsidRPr="00132E65" w:rsidRDefault="000C39D1" w:rsidP="000C39D1">
      <w:pPr>
        <w:pStyle w:val="libFootnote0"/>
        <w:rPr>
          <w:rtl/>
          <w:lang w:bidi="fa-IR"/>
        </w:rPr>
      </w:pPr>
      <w:r>
        <w:rPr>
          <w:rtl/>
        </w:rPr>
        <w:t>(12).</w:t>
      </w:r>
      <w:r w:rsidRPr="00132E65">
        <w:rPr>
          <w:rtl/>
        </w:rPr>
        <w:t xml:space="preserve"> وهما : الحسن أبو محمّد </w:t>
      </w:r>
      <w:r w:rsidRPr="00D40DE9">
        <w:rPr>
          <w:rStyle w:val="libFootnoteAlaemChar"/>
          <w:rtl/>
        </w:rPr>
        <w:t>عليه‌السلام</w:t>
      </w:r>
      <w:r w:rsidRPr="00132E65">
        <w:rPr>
          <w:rtl/>
        </w:rPr>
        <w:t xml:space="preserve"> وجعفر المعروف بالكذّاب. وأبو محمّد كان أكبر من جعفر الكذّاب وأصغر من‌محمّد أبي جعفر الذي مات في حياة أبيه الهادي </w:t>
      </w:r>
      <w:r w:rsidRPr="00D40DE9">
        <w:rPr>
          <w:rStyle w:val="libFootnoteAlaemChar"/>
          <w:rtl/>
        </w:rPr>
        <w:t>عليه‌السلام</w:t>
      </w:r>
      <w:r w:rsidRPr="00132E65">
        <w:rPr>
          <w:rtl/>
        </w:rPr>
        <w:t>.</w:t>
      </w:r>
    </w:p>
    <w:p w:rsidR="000C39D1" w:rsidRPr="00132E65" w:rsidRDefault="000C39D1" w:rsidP="000C39D1">
      <w:pPr>
        <w:pStyle w:val="libFootnote0"/>
        <w:rPr>
          <w:rtl/>
          <w:lang w:bidi="fa-IR"/>
        </w:rPr>
      </w:pPr>
      <w:r>
        <w:rPr>
          <w:rtl/>
        </w:rPr>
        <w:t>(13)</w:t>
      </w:r>
      <w:r w:rsidRPr="00132E65">
        <w:rPr>
          <w:rtl/>
        </w:rPr>
        <w:t xml:space="preserve"> « العُرَى » : جمع العُرْوَة ، وهي ما يتمسّك به ، وعُرْوَة الدَلْو والكُوز ونحوه : مَقْبِضُه ، وعُرْوَة القميص : مَدْخَلُ</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وَأَحْكَامُهَا ، فَمَا كُنْتَ سَائِلِي </w:t>
      </w:r>
      <w:r>
        <w:rPr>
          <w:rStyle w:val="libFootnotenumChar"/>
          <w:rtl/>
        </w:rPr>
        <w:t>(1)</w:t>
      </w:r>
      <w:r w:rsidRPr="00132E65">
        <w:rPr>
          <w:rtl/>
          <w:lang w:bidi="fa-IR"/>
        </w:rPr>
        <w:t xml:space="preserve"> فَسَلْهُ عَنْهُ </w:t>
      </w:r>
      <w:r>
        <w:rPr>
          <w:rStyle w:val="libFootnotenumChar"/>
          <w:rtl/>
        </w:rPr>
        <w:t>(2)</w:t>
      </w:r>
      <w:r w:rsidRPr="00132E65">
        <w:rPr>
          <w:rtl/>
          <w:lang w:bidi="fa-IR"/>
        </w:rPr>
        <w:t xml:space="preserve"> ؛ فَعِنْدَهُ مَا يُحْتَاجُ </w:t>
      </w:r>
      <w:r>
        <w:rPr>
          <w:rStyle w:val="libFootnotenumChar"/>
          <w:rtl/>
        </w:rPr>
        <w:t>(3)</w:t>
      </w:r>
      <w:r w:rsidRPr="00132E65">
        <w:rPr>
          <w:rtl/>
          <w:lang w:bidi="fa-IR"/>
        </w:rPr>
        <w:t xml:space="preserve"> إِلَيْهِ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EB25BF">
        <w:rPr>
          <w:rtl/>
        </w:rPr>
        <w:t>861</w:t>
      </w:r>
      <w:r w:rsidRPr="004325D8">
        <w:rPr>
          <w:rStyle w:val="libBold2Char"/>
          <w:rtl/>
        </w:rPr>
        <w:t xml:space="preserve"> / 12.</w:t>
      </w:r>
      <w:r w:rsidRPr="00132E65">
        <w:rPr>
          <w:rtl/>
          <w:lang w:bidi="fa-IR"/>
        </w:rPr>
        <w:t xml:space="preserve"> عَلِيُّ بْنُ مُحَمَّدٍ ، عَنْ إِسْحَاقَ بْنِ مُحَمَّدٍ ، عَنْ شَاهَوَيْهِ بْنِ عَبْدِ اللهِ الْجَلاَّبِ ، قَالَ :</w:t>
      </w:r>
    </w:p>
    <w:p w:rsidR="000C39D1" w:rsidRPr="00132E65" w:rsidRDefault="000C39D1" w:rsidP="000C39D1">
      <w:pPr>
        <w:pStyle w:val="libNormal"/>
        <w:rPr>
          <w:rtl/>
          <w:lang w:bidi="fa-IR"/>
        </w:rPr>
      </w:pPr>
      <w:r w:rsidRPr="00132E65">
        <w:rPr>
          <w:rtl/>
          <w:lang w:bidi="fa-IR"/>
        </w:rPr>
        <w:t xml:space="preserve">كَتَبَ إِلَيَّ أَبُو الْحَسَنِ </w:t>
      </w:r>
      <w:r w:rsidRPr="00071CF9">
        <w:rPr>
          <w:rStyle w:val="libAlaemChar"/>
          <w:rtl/>
        </w:rPr>
        <w:t>عليه‌السلام</w:t>
      </w:r>
      <w:r w:rsidRPr="00132E65">
        <w:rPr>
          <w:rtl/>
          <w:lang w:bidi="fa-IR"/>
        </w:rPr>
        <w:t xml:space="preserve"> فِي كِتَابٍ : « أَرَدْتَ أَنْ تَسْأَلَ عَنِ الْخَلَفِ بَعْدَ </w:t>
      </w:r>
      <w:r>
        <w:rPr>
          <w:rStyle w:val="libFootnotenumChar"/>
          <w:rtl/>
        </w:rPr>
        <w:t>(5)</w:t>
      </w:r>
      <w:r w:rsidRPr="00132E65">
        <w:rPr>
          <w:rtl/>
          <w:lang w:bidi="fa-IR"/>
        </w:rPr>
        <w:t xml:space="preserve"> أَبِي جَعْفَرٍ </w:t>
      </w:r>
      <w:r>
        <w:rPr>
          <w:rStyle w:val="libFootnotenumChar"/>
          <w:rtl/>
        </w:rPr>
        <w:t>(6)</w:t>
      </w:r>
      <w:r w:rsidRPr="00132E65">
        <w:rPr>
          <w:rtl/>
          <w:lang w:bidi="fa-IR"/>
        </w:rPr>
        <w:t xml:space="preserve"> ، وَقَلِقْتَ </w:t>
      </w:r>
      <w:r>
        <w:rPr>
          <w:rStyle w:val="libFootnotenumChar"/>
          <w:rtl/>
        </w:rPr>
        <w:t>(7)</w:t>
      </w:r>
      <w:r w:rsidRPr="00132E65">
        <w:rPr>
          <w:rtl/>
          <w:lang w:bidi="fa-IR"/>
        </w:rPr>
        <w:t xml:space="preserve"> لِذلِكَ ، فَلَا تَغْتَمَّ </w:t>
      </w:r>
      <w:r>
        <w:rPr>
          <w:rStyle w:val="libFootnotenumChar"/>
          <w:rtl/>
        </w:rPr>
        <w:t>(8)</w:t>
      </w:r>
      <w:r w:rsidRPr="00132E65">
        <w:rPr>
          <w:rtl/>
          <w:lang w:bidi="fa-IR"/>
        </w:rPr>
        <w:t xml:space="preserve"> ؛ فَإِنَّ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لَايُضِلُّ قَوْماً بَعْدَ إِذْ هَدَاهُمْ حَتّى يُبَيِّنَ </w:t>
      </w:r>
      <w:r>
        <w:rPr>
          <w:rStyle w:val="libFootnotenumChar"/>
          <w:rtl/>
        </w:rPr>
        <w:t>(9)</w:t>
      </w:r>
      <w:r w:rsidRPr="00132E65">
        <w:rPr>
          <w:rtl/>
          <w:lang w:bidi="fa-IR"/>
        </w:rPr>
        <w:t xml:space="preserve"> لَهُمْ مَا يَتَّقُونَ </w:t>
      </w:r>
      <w:r>
        <w:rPr>
          <w:rStyle w:val="libFootnotenumChar"/>
          <w:rtl/>
        </w:rPr>
        <w:t>(10)</w:t>
      </w:r>
      <w:r w:rsidRPr="00132E65">
        <w:rPr>
          <w:rtl/>
          <w:lang w:bidi="fa-IR"/>
        </w:rPr>
        <w:t xml:space="preserve"> ، و</w:t>
      </w:r>
      <w:r>
        <w:rPr>
          <w:rFonts w:hint="cs"/>
          <w:rtl/>
          <w:lang w:bidi="fa-IR"/>
        </w:rPr>
        <w:t xml:space="preserve">َ </w:t>
      </w:r>
      <w:r w:rsidRPr="00132E65">
        <w:rPr>
          <w:rtl/>
          <w:lang w:bidi="fa-IR"/>
        </w:rPr>
        <w:t xml:space="preserve">صَاحِبُكَ </w:t>
      </w:r>
      <w:r>
        <w:rPr>
          <w:rStyle w:val="libFootnotenumChar"/>
          <w:rtl/>
        </w:rPr>
        <w:t>(11)</w:t>
      </w:r>
      <w:r w:rsidRPr="00132E65">
        <w:rPr>
          <w:rtl/>
          <w:lang w:bidi="fa-IR"/>
        </w:rPr>
        <w:t xml:space="preserve"> بَعْدِي أَبُو مُحَمَّدٍ ابْنِي ، و</w:t>
      </w:r>
      <w:r>
        <w:rPr>
          <w:rFonts w:hint="cs"/>
          <w:rtl/>
          <w:lang w:bidi="fa-IR"/>
        </w:rPr>
        <w:t xml:space="preserve">َ </w:t>
      </w:r>
      <w:r w:rsidRPr="00132E65">
        <w:rPr>
          <w:rtl/>
          <w:lang w:bidi="fa-IR"/>
        </w:rPr>
        <w:t xml:space="preserve">عِنْدَهُ مَا تَحْتَاجُونَ إِلَيْهِ ، يُقَدِّمُ </w:t>
      </w:r>
      <w:r>
        <w:rPr>
          <w:rStyle w:val="libFootnotenumChar"/>
          <w:rtl/>
        </w:rPr>
        <w:t>(12)</w:t>
      </w:r>
      <w:r w:rsidRPr="00132E65">
        <w:rPr>
          <w:rtl/>
          <w:lang w:bidi="fa-IR"/>
        </w:rPr>
        <w:t xml:space="preserve"> مَا يَشَاءُ </w:t>
      </w:r>
      <w:r w:rsidRPr="00F543F1">
        <w:rPr>
          <w:rStyle w:val="libFootnotenumChar"/>
          <w:rtl/>
        </w:rPr>
        <w:t>(13)</w:t>
      </w:r>
      <w:r w:rsidRPr="00132E65">
        <w:rPr>
          <w:rtl/>
          <w:lang w:bidi="fa-IR"/>
        </w:rPr>
        <w:t xml:space="preserve"> اللهُ </w:t>
      </w:r>
      <w:r w:rsidRPr="00F543F1">
        <w:rPr>
          <w:rStyle w:val="libFootnotenumChar"/>
          <w:rtl/>
        </w:rPr>
        <w:t>(14)</w:t>
      </w:r>
      <w:r w:rsidRPr="00132E65">
        <w:rPr>
          <w:rtl/>
          <w:lang w:bidi="fa-IR"/>
        </w:rPr>
        <w:t xml:space="preserve"> ، و</w:t>
      </w:r>
      <w:r>
        <w:rPr>
          <w:rFonts w:hint="cs"/>
          <w:rtl/>
          <w:lang w:bidi="fa-IR"/>
        </w:rPr>
        <w:t xml:space="preserve">َ </w:t>
      </w:r>
      <w:r w:rsidRPr="00132E65">
        <w:rPr>
          <w:rtl/>
          <w:lang w:bidi="fa-IR"/>
        </w:rPr>
        <w:t xml:space="preserve">يُؤَخِّرُ مَا يَشَاءُ اللهُ </w:t>
      </w:r>
      <w:r w:rsidRPr="00F543F1">
        <w:rPr>
          <w:rStyle w:val="libFootnotenumChar"/>
          <w:rtl/>
        </w:rPr>
        <w:t>(15)</w:t>
      </w:r>
      <w:r w:rsidRPr="00132E65">
        <w:rPr>
          <w:rtl/>
          <w:lang w:bidi="fa-IR"/>
        </w:rPr>
        <w:t xml:space="preserve"> </w:t>
      </w:r>
      <w:r w:rsidRPr="00071CF9">
        <w:rPr>
          <w:rStyle w:val="libAlaemChar"/>
          <w:rtl/>
        </w:rPr>
        <w:t>(</w:t>
      </w:r>
      <w:r w:rsidRPr="00071CF9">
        <w:rPr>
          <w:rStyle w:val="libAieChar"/>
          <w:rtl/>
        </w:rPr>
        <w:t xml:space="preserve"> ما نَنْسَخْ مِنْ آيَةٍ أَوْ نُنْسِها نَأْتِ بِخَيْرٍ مِنْها أَوْ </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 xml:space="preserve">زِرِّه ، والعُرْوَة من الشجر : الشي‌ء الذي لا يزال باقياً في الأرض ولا يذهب. راجع : </w:t>
      </w:r>
      <w:r w:rsidRPr="009D1ACE">
        <w:rPr>
          <w:rStyle w:val="libFootnoteBoldChar"/>
          <w:rtl/>
        </w:rPr>
        <w:t>لسان العرب</w:t>
      </w:r>
      <w:r w:rsidRPr="00132E65">
        <w:rPr>
          <w:rtl/>
        </w:rPr>
        <w:t xml:space="preserve"> ، ج 15 ، ص 45</w:t>
      </w:r>
      <w:r>
        <w:rPr>
          <w:rtl/>
        </w:rPr>
        <w:t xml:space="preserve"> - </w:t>
      </w:r>
      <w:r w:rsidRPr="00132E65">
        <w:rPr>
          <w:rtl/>
        </w:rPr>
        <w:t>46 ( عرا )</w:t>
      </w:r>
      <w:r>
        <w:rPr>
          <w:rtl/>
        </w:rPr>
        <w:t>.</w:t>
      </w:r>
    </w:p>
    <w:p w:rsidR="000C39D1" w:rsidRPr="00132E65" w:rsidRDefault="000C39D1" w:rsidP="000C39D1">
      <w:pPr>
        <w:pStyle w:val="libFootnote0"/>
        <w:rPr>
          <w:rtl/>
          <w:lang w:bidi="fa-IR"/>
        </w:rPr>
      </w:pPr>
      <w:r>
        <w:rPr>
          <w:rtl/>
        </w:rPr>
        <w:t>(1). في « ه</w:t>
      </w:r>
      <w:r>
        <w:rPr>
          <w:rFonts w:hint="cs"/>
          <w:rtl/>
        </w:rPr>
        <w:t xml:space="preserve"> </w:t>
      </w:r>
      <w:r w:rsidRPr="00132E65">
        <w:rPr>
          <w:rtl/>
        </w:rPr>
        <w:t>» :</w:t>
      </w:r>
      <w:r>
        <w:rPr>
          <w:rtl/>
        </w:rPr>
        <w:t xml:space="preserve"> + </w:t>
      </w:r>
      <w:r w:rsidRPr="00132E65">
        <w:rPr>
          <w:rtl/>
        </w:rPr>
        <w:t>« عنه »</w:t>
      </w:r>
      <w:r>
        <w:rPr>
          <w:rtl/>
        </w:rPr>
        <w:t>.</w:t>
      </w:r>
    </w:p>
    <w:p w:rsidR="000C39D1" w:rsidRPr="00132E65" w:rsidRDefault="000C39D1" w:rsidP="000C39D1">
      <w:pPr>
        <w:pStyle w:val="libFootnote0"/>
        <w:rPr>
          <w:rtl/>
          <w:lang w:bidi="fa-IR"/>
        </w:rPr>
      </w:pPr>
      <w:r>
        <w:rPr>
          <w:rtl/>
        </w:rPr>
        <w:t>(2).</w:t>
      </w:r>
      <w:r w:rsidRPr="00132E65">
        <w:rPr>
          <w:rtl/>
        </w:rPr>
        <w:t xml:space="preserve"> في « ف » والإرشاد : « منه »</w:t>
      </w:r>
      <w:r>
        <w:rPr>
          <w:rtl/>
        </w:rPr>
        <w:t>.</w:t>
      </w:r>
    </w:p>
    <w:p w:rsidR="000C39D1" w:rsidRPr="00132E65" w:rsidRDefault="000C39D1" w:rsidP="000C39D1">
      <w:pPr>
        <w:pStyle w:val="libFootnote0"/>
        <w:rPr>
          <w:rtl/>
          <w:lang w:bidi="fa-IR"/>
        </w:rPr>
      </w:pPr>
      <w:r>
        <w:rPr>
          <w:rtl/>
        </w:rPr>
        <w:t>(3).</w:t>
      </w:r>
      <w:r w:rsidRPr="00132E65">
        <w:rPr>
          <w:rtl/>
        </w:rPr>
        <w:t xml:space="preserve"> في </w:t>
      </w:r>
      <w:r>
        <w:rPr>
          <w:rtl/>
        </w:rPr>
        <w:t>« ه</w:t>
      </w:r>
      <w:r>
        <w:rPr>
          <w:rFonts w:hint="cs"/>
          <w:rtl/>
        </w:rPr>
        <w:t xml:space="preserve"> </w:t>
      </w:r>
      <w:r w:rsidRPr="00132E65">
        <w:rPr>
          <w:rtl/>
        </w:rPr>
        <w:t>» والإرشاد : « تحتاج »</w:t>
      </w:r>
      <w:r>
        <w:rPr>
          <w:rtl/>
        </w:rPr>
        <w:t>.</w:t>
      </w:r>
      <w:r w:rsidRPr="00132E65">
        <w:rPr>
          <w:rtl/>
        </w:rPr>
        <w:t xml:space="preserve"> واحتمل في شرح المازندراني و</w:t>
      </w:r>
      <w:r w:rsidRPr="009D1ACE">
        <w:rPr>
          <w:rStyle w:val="libFootnoteBoldChar"/>
          <w:rtl/>
        </w:rPr>
        <w:t>مرآة العقول</w:t>
      </w:r>
      <w:r w:rsidRPr="00132E65">
        <w:rPr>
          <w:rtl/>
        </w:rPr>
        <w:t xml:space="preserve"> كون الكلمة خطاباً معلوماً وغائباً مجهولاً.</w:t>
      </w:r>
    </w:p>
    <w:p w:rsidR="000C39D1" w:rsidRPr="00132E65" w:rsidRDefault="000C39D1" w:rsidP="000C39D1">
      <w:pPr>
        <w:pStyle w:val="libFootnote0"/>
        <w:rPr>
          <w:rtl/>
          <w:lang w:bidi="fa-IR"/>
        </w:rPr>
      </w:pPr>
      <w:r>
        <w:rPr>
          <w:rtl/>
        </w:rPr>
        <w:t>(4).</w:t>
      </w:r>
      <w:r w:rsidRPr="00132E65">
        <w:rPr>
          <w:rtl/>
        </w:rPr>
        <w:t xml:space="preserve"> </w:t>
      </w:r>
      <w:r w:rsidRPr="00EB25BF">
        <w:rPr>
          <w:rtl/>
        </w:rPr>
        <w:t>الإرشاد</w:t>
      </w:r>
      <w:r w:rsidRPr="00132E65">
        <w:rPr>
          <w:rtl/>
        </w:rPr>
        <w:t xml:space="preserve"> ، ج 2 ، ص 319 ، بسنده عن الكليني </w:t>
      </w:r>
      <w:r>
        <w:rPr>
          <w:rFonts w:hint="cs"/>
          <w:rtl/>
        </w:rPr>
        <w:t>.</w:t>
      </w:r>
      <w:r w:rsidRPr="009D1ACE">
        <w:rPr>
          <w:rStyle w:val="libFootnoteBoldChar"/>
          <w:rtl/>
        </w:rPr>
        <w:t>الوافي</w:t>
      </w:r>
      <w:r w:rsidRPr="00132E65">
        <w:rPr>
          <w:rtl/>
        </w:rPr>
        <w:t xml:space="preserve"> ، ج 2 ، ص 389 ، ح 876.</w:t>
      </w:r>
    </w:p>
    <w:p w:rsidR="000C39D1" w:rsidRPr="00132E65" w:rsidRDefault="000C39D1" w:rsidP="000C39D1">
      <w:pPr>
        <w:pStyle w:val="libFootnote0"/>
        <w:rPr>
          <w:rtl/>
          <w:lang w:bidi="fa-IR"/>
        </w:rPr>
      </w:pPr>
      <w:r>
        <w:rPr>
          <w:rtl/>
        </w:rPr>
        <w:t>(5).</w:t>
      </w:r>
      <w:r w:rsidRPr="00132E65">
        <w:rPr>
          <w:rtl/>
        </w:rPr>
        <w:t xml:space="preserve"> في « ج » : « من بعد »</w:t>
      </w:r>
      <w:r>
        <w:rPr>
          <w:rtl/>
        </w:rPr>
        <w:t>.</w:t>
      </w:r>
    </w:p>
    <w:p w:rsidR="000C39D1" w:rsidRPr="00132E65" w:rsidRDefault="000C39D1" w:rsidP="000C39D1">
      <w:pPr>
        <w:pStyle w:val="libFootnote0"/>
        <w:rPr>
          <w:rtl/>
          <w:lang w:bidi="fa-IR"/>
        </w:rPr>
      </w:pPr>
      <w:r>
        <w:rPr>
          <w:rtl/>
        </w:rPr>
        <w:t>(6).</w:t>
      </w:r>
      <w:r w:rsidRPr="00132E65">
        <w:rPr>
          <w:rtl/>
        </w:rPr>
        <w:t xml:space="preserve"> هذا هو محمّد مات في حياة أبيه.</w:t>
      </w:r>
    </w:p>
    <w:p w:rsidR="000C39D1" w:rsidRPr="00132E65" w:rsidRDefault="000C39D1" w:rsidP="000C39D1">
      <w:pPr>
        <w:pStyle w:val="libFootnote0"/>
        <w:rPr>
          <w:rtl/>
          <w:lang w:bidi="fa-IR"/>
        </w:rPr>
      </w:pPr>
      <w:r>
        <w:rPr>
          <w:rtl/>
        </w:rPr>
        <w:t>(7).</w:t>
      </w:r>
      <w:r w:rsidRPr="00132E65">
        <w:rPr>
          <w:rtl/>
        </w:rPr>
        <w:t xml:space="preserve"> « قَلِقْتَ » : اضطربتَ. وأقلق الشي‌ء من مكانه وقَلَقَه : حرّكه. هذا في اللغة. ولكنّ المجلسي قال : « قلقتَ</w:t>
      </w:r>
      <w:r>
        <w:rPr>
          <w:rtl/>
        </w:rPr>
        <w:t xml:space="preserve"> - </w:t>
      </w:r>
      <w:r w:rsidRPr="00132E65">
        <w:rPr>
          <w:rtl/>
        </w:rPr>
        <w:t>كنصرت</w:t>
      </w:r>
      <w:r>
        <w:rPr>
          <w:rtl/>
        </w:rPr>
        <w:t xml:space="preserve"> - </w:t>
      </w:r>
      <w:r w:rsidRPr="00132E65">
        <w:rPr>
          <w:rtl/>
        </w:rPr>
        <w:t>أي‌اضطربت »</w:t>
      </w:r>
      <w:r>
        <w:rPr>
          <w:rtl/>
        </w:rPr>
        <w:t>.</w:t>
      </w:r>
      <w:r w:rsidRPr="00132E65">
        <w:rPr>
          <w:rtl/>
        </w:rPr>
        <w:t xml:space="preserve"> راجع : </w:t>
      </w:r>
      <w:r w:rsidRPr="009D1ACE">
        <w:rPr>
          <w:rStyle w:val="libFootnoteBoldChar"/>
          <w:rtl/>
        </w:rPr>
        <w:t>لسان العرب</w:t>
      </w:r>
      <w:r w:rsidRPr="00132E65">
        <w:rPr>
          <w:rtl/>
        </w:rPr>
        <w:t xml:space="preserve"> ، ج 10 ، ص 323</w:t>
      </w:r>
      <w:r>
        <w:rPr>
          <w:rtl/>
        </w:rPr>
        <w:t xml:space="preserve"> - </w:t>
      </w:r>
      <w:r w:rsidRPr="00132E65">
        <w:rPr>
          <w:rtl/>
        </w:rPr>
        <w:t>324 ( قلق )</w:t>
      </w:r>
      <w:r>
        <w:rPr>
          <w:rtl/>
        </w:rPr>
        <w:t>.</w:t>
      </w:r>
    </w:p>
    <w:p w:rsidR="000C39D1" w:rsidRPr="00132E65" w:rsidRDefault="000C39D1" w:rsidP="000C39D1">
      <w:pPr>
        <w:pStyle w:val="libFootnote0"/>
        <w:rPr>
          <w:rtl/>
          <w:lang w:bidi="fa-IR"/>
        </w:rPr>
      </w:pPr>
      <w:r>
        <w:rPr>
          <w:rtl/>
        </w:rPr>
        <w:t>(8).</w:t>
      </w:r>
      <w:r w:rsidRPr="00132E65">
        <w:rPr>
          <w:rtl/>
        </w:rPr>
        <w:t xml:space="preserve"> في الإرشاد : « فلا تقلق »</w:t>
      </w:r>
      <w:r>
        <w:rPr>
          <w:rtl/>
        </w:rPr>
        <w:t>.</w:t>
      </w:r>
    </w:p>
    <w:p w:rsidR="000C39D1" w:rsidRPr="00132E65" w:rsidRDefault="000C39D1" w:rsidP="000C39D1">
      <w:pPr>
        <w:pStyle w:val="libFootnote0"/>
        <w:rPr>
          <w:rtl/>
          <w:lang w:bidi="fa-IR"/>
        </w:rPr>
      </w:pPr>
      <w:r>
        <w:rPr>
          <w:rtl/>
        </w:rPr>
        <w:t>(9).</w:t>
      </w:r>
      <w:r w:rsidRPr="00132E65">
        <w:rPr>
          <w:rtl/>
        </w:rPr>
        <w:t xml:space="preserve"> في « ف » والإرشاد : « يتبيّن »</w:t>
      </w:r>
      <w:r>
        <w:rPr>
          <w:rtl/>
        </w:rPr>
        <w:t>.</w:t>
      </w:r>
      <w:r w:rsidRPr="00132E65">
        <w:rPr>
          <w:rtl/>
        </w:rPr>
        <w:t xml:space="preserve"> وفي « بس » : « تبيّن »</w:t>
      </w:r>
      <w:r>
        <w:rPr>
          <w:rtl/>
        </w:rPr>
        <w:t>.</w:t>
      </w:r>
    </w:p>
    <w:p w:rsidR="000C39D1" w:rsidRPr="00132E65" w:rsidRDefault="000C39D1" w:rsidP="000C39D1">
      <w:pPr>
        <w:pStyle w:val="libFootnote0"/>
        <w:rPr>
          <w:rtl/>
          <w:lang w:bidi="fa-IR"/>
        </w:rPr>
      </w:pPr>
      <w:r>
        <w:rPr>
          <w:rtl/>
        </w:rPr>
        <w:t>(10).</w:t>
      </w:r>
      <w:r w:rsidRPr="00132E65">
        <w:rPr>
          <w:rtl/>
        </w:rPr>
        <w:t xml:space="preserve"> اقتباس من الآية 115 من سورة التوبة : </w:t>
      </w:r>
      <w:r w:rsidRPr="00A90303">
        <w:rPr>
          <w:rStyle w:val="libFootnoteAlaemChar"/>
          <w:rtl/>
        </w:rPr>
        <w:t>(</w:t>
      </w:r>
      <w:r>
        <w:rPr>
          <w:rFonts w:hint="cs"/>
          <w:rtl/>
        </w:rPr>
        <w:t xml:space="preserve"> </w:t>
      </w:r>
      <w:r w:rsidRPr="00C2691A">
        <w:rPr>
          <w:rStyle w:val="libFootnoteAieChar"/>
          <w:rtl/>
        </w:rPr>
        <w:t>وَم</w:t>
      </w:r>
      <w:r>
        <w:rPr>
          <w:rStyle w:val="libFootnoteAieChar"/>
          <w:rFonts w:hint="cs"/>
          <w:rtl/>
        </w:rPr>
        <w:t>َ</w:t>
      </w:r>
      <w:r w:rsidRPr="00C2691A">
        <w:rPr>
          <w:rStyle w:val="libFootnoteAieChar"/>
          <w:rtl/>
        </w:rPr>
        <w:t>ا ك</w:t>
      </w:r>
      <w:r>
        <w:rPr>
          <w:rStyle w:val="libFootnoteAieChar"/>
          <w:rFonts w:hint="cs"/>
          <w:rtl/>
        </w:rPr>
        <w:t>َ</w:t>
      </w:r>
      <w:r w:rsidRPr="00C2691A">
        <w:rPr>
          <w:rStyle w:val="libFootnoteAieChar"/>
          <w:rtl/>
        </w:rPr>
        <w:t>انَ اللهُ لِيُضِلَّ قَوْماً بَعْدَ إِذْ هَد</w:t>
      </w:r>
      <w:r>
        <w:rPr>
          <w:rStyle w:val="libFootnoteAieChar"/>
          <w:rFonts w:hint="cs"/>
          <w:rtl/>
        </w:rPr>
        <w:t>َ</w:t>
      </w:r>
      <w:r w:rsidRPr="00C2691A">
        <w:rPr>
          <w:rStyle w:val="libFootnoteAieChar"/>
          <w:rtl/>
        </w:rPr>
        <w:t>اهُمْ حَتّ</w:t>
      </w:r>
      <w:r>
        <w:rPr>
          <w:rStyle w:val="libFootnoteAieChar"/>
          <w:rFonts w:hint="cs"/>
          <w:rtl/>
        </w:rPr>
        <w:t>َ</w:t>
      </w:r>
      <w:r>
        <w:rPr>
          <w:rStyle w:val="libFootnoteAieChar"/>
          <w:rtl/>
        </w:rPr>
        <w:t>ى يُبَيِّنَ لَهُم</w:t>
      </w:r>
      <w:r w:rsidRPr="00C2691A">
        <w:rPr>
          <w:rStyle w:val="libFootnoteAieChar"/>
          <w:rtl/>
        </w:rPr>
        <w:t xml:space="preserve"> م</w:t>
      </w:r>
      <w:r>
        <w:rPr>
          <w:rStyle w:val="libFootnoteAieChar"/>
          <w:rFonts w:hint="cs"/>
          <w:rtl/>
        </w:rPr>
        <w:t>َّ</w:t>
      </w:r>
      <w:r w:rsidRPr="00C2691A">
        <w:rPr>
          <w:rStyle w:val="libFootnoteAieChar"/>
          <w:rtl/>
        </w:rPr>
        <w:t>ا يَتَّقُونَ</w:t>
      </w:r>
      <w:r w:rsidRPr="00AB24CC">
        <w:rPr>
          <w:rFonts w:hint="cs"/>
          <w:rtl/>
        </w:rPr>
        <w:t xml:space="preserve"> </w:t>
      </w:r>
      <w:r w:rsidRPr="00A90303">
        <w:rPr>
          <w:rStyle w:val="libFootnoteAlaemChar"/>
          <w:rtl/>
        </w:rPr>
        <w:t>)</w:t>
      </w:r>
      <w:r w:rsidRPr="00132E65">
        <w:rPr>
          <w:rtl/>
        </w:rPr>
        <w:t>.</w:t>
      </w:r>
    </w:p>
    <w:p w:rsidR="000C39D1" w:rsidRPr="00132E65" w:rsidRDefault="000C39D1" w:rsidP="000C39D1">
      <w:pPr>
        <w:pStyle w:val="libFootnote0"/>
        <w:rPr>
          <w:rtl/>
          <w:lang w:bidi="fa-IR"/>
        </w:rPr>
      </w:pPr>
      <w:r>
        <w:rPr>
          <w:rtl/>
        </w:rPr>
        <w:t>(11).</w:t>
      </w:r>
      <w:r w:rsidRPr="00132E65">
        <w:rPr>
          <w:rtl/>
        </w:rPr>
        <w:t xml:space="preserve"> في حاشية « ض ، بح » والغيبة : « صاحبكم »</w:t>
      </w:r>
      <w:r>
        <w:rPr>
          <w:rtl/>
        </w:rPr>
        <w:t>.</w:t>
      </w:r>
      <w:r w:rsidRPr="00132E65">
        <w:rPr>
          <w:rtl/>
        </w:rPr>
        <w:t xml:space="preserve"> وفي الإرشاد والغيبة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(12).</w:t>
      </w:r>
      <w:r w:rsidRPr="00132E65">
        <w:rPr>
          <w:rtl/>
        </w:rPr>
        <w:t xml:space="preserve"> في « ض ، ه‍ ، بف » و</w:t>
      </w:r>
      <w:r w:rsidRPr="009D1ACE">
        <w:rPr>
          <w:rStyle w:val="libFootnoteBoldChar"/>
          <w:rtl/>
        </w:rPr>
        <w:t>مرآة العقول</w:t>
      </w:r>
      <w:r w:rsidRPr="00132E65">
        <w:rPr>
          <w:rtl/>
        </w:rPr>
        <w:t xml:space="preserve"> : « يقدّم الله »</w:t>
      </w:r>
      <w:r>
        <w:rPr>
          <w:rtl/>
        </w:rPr>
        <w:t>.</w:t>
      </w:r>
      <w:r w:rsidRPr="00132E65">
        <w:rPr>
          <w:rtl/>
        </w:rPr>
        <w:t xml:space="preserve"> وفي « بر » : « ويقدّم الله »</w:t>
      </w:r>
      <w:r>
        <w:rPr>
          <w:rtl/>
        </w:rPr>
        <w:t>.</w:t>
      </w:r>
      <w:r w:rsidR="001C701C">
        <w:rPr>
          <w:rtl/>
        </w:rPr>
        <w:t xml:space="preserve"> وفي حاشية « ف » : «يقدّر</w:t>
      </w:r>
      <w:r w:rsidRPr="00132E65">
        <w:rPr>
          <w:rtl/>
        </w:rPr>
        <w:t>»</w:t>
      </w:r>
      <w:r>
        <w:rPr>
          <w:rtl/>
        </w:rPr>
        <w:t>.</w:t>
      </w:r>
    </w:p>
    <w:p w:rsidR="000C39D1" w:rsidRPr="00132E65" w:rsidRDefault="000C39D1" w:rsidP="000C39D1">
      <w:pPr>
        <w:pStyle w:val="libFootnote0"/>
        <w:rPr>
          <w:rtl/>
          <w:lang w:bidi="fa-IR"/>
        </w:rPr>
      </w:pPr>
      <w:r>
        <w:rPr>
          <w:rtl/>
        </w:rPr>
        <w:t>(13)</w:t>
      </w:r>
      <w:r w:rsidRPr="00132E65">
        <w:rPr>
          <w:rtl/>
        </w:rPr>
        <w:t xml:space="preserve"> في « ب » : « ما شاء »</w:t>
      </w:r>
      <w:r>
        <w:rPr>
          <w:rtl/>
        </w:rPr>
        <w:t>.</w:t>
      </w:r>
    </w:p>
    <w:p w:rsidR="000C39D1" w:rsidRPr="00132E65" w:rsidRDefault="000C39D1" w:rsidP="000C39D1">
      <w:pPr>
        <w:pStyle w:val="libFootnote0"/>
        <w:rPr>
          <w:rtl/>
          <w:lang w:bidi="fa-IR"/>
        </w:rPr>
      </w:pPr>
      <w:r>
        <w:rPr>
          <w:rtl/>
        </w:rPr>
        <w:t>(14)</w:t>
      </w:r>
      <w:r w:rsidRPr="00132E65">
        <w:rPr>
          <w:rtl/>
        </w:rPr>
        <w:t xml:space="preserve"> في « ض ، ه‍ ، بر ، بف » وشرح المازندراني </w:t>
      </w:r>
      <w:r>
        <w:rPr>
          <w:rtl/>
        </w:rPr>
        <w:t xml:space="preserve">: - </w:t>
      </w:r>
      <w:r w:rsidRPr="00132E65">
        <w:rPr>
          <w:rtl/>
        </w:rPr>
        <w:t>« الله »</w:t>
      </w:r>
      <w:r>
        <w:rPr>
          <w:rtl/>
        </w:rPr>
        <w:t>.</w:t>
      </w:r>
      <w:r w:rsidRPr="00132E65">
        <w:rPr>
          <w:rtl/>
        </w:rPr>
        <w:t xml:space="preserve"> وفي حاشية « ج » :</w:t>
      </w:r>
      <w:r>
        <w:rPr>
          <w:rtl/>
        </w:rPr>
        <w:t xml:space="preserve"> + </w:t>
      </w:r>
      <w:r w:rsidRPr="00132E65">
        <w:rPr>
          <w:rtl/>
        </w:rPr>
        <w:t>« فيهما »</w:t>
      </w:r>
      <w:r>
        <w:rPr>
          <w:rtl/>
        </w:rPr>
        <w:t>.</w:t>
      </w:r>
      <w:r w:rsidRPr="00132E65">
        <w:rPr>
          <w:rtl/>
        </w:rPr>
        <w:t xml:space="preserve"> وفي </w:t>
      </w:r>
      <w:r w:rsidRPr="009D1ACE">
        <w:rPr>
          <w:rStyle w:val="libFootnoteBoldChar"/>
          <w:rtl/>
        </w:rPr>
        <w:t>الوافي</w:t>
      </w:r>
      <w:r w:rsidRPr="00132E65">
        <w:rPr>
          <w:rtl/>
        </w:rPr>
        <w:t xml:space="preserve"> والإرشاد والغيبة : « يقدّم الله ما يشاء »</w:t>
      </w:r>
      <w:r>
        <w:rPr>
          <w:rtl/>
        </w:rPr>
        <w:t>.</w:t>
      </w:r>
    </w:p>
    <w:p w:rsidR="000C39D1" w:rsidRPr="00132E65" w:rsidRDefault="000C39D1" w:rsidP="000C39D1">
      <w:pPr>
        <w:pStyle w:val="libFootnote0"/>
        <w:rPr>
          <w:rtl/>
          <w:lang w:bidi="fa-IR"/>
        </w:rPr>
      </w:pPr>
      <w:r>
        <w:rPr>
          <w:rtl/>
        </w:rPr>
        <w:t>(15)</w:t>
      </w:r>
      <w:r w:rsidRPr="00132E65">
        <w:rPr>
          <w:rtl/>
        </w:rPr>
        <w:t xml:space="preserve"> في « ب ، ه‍ ، بر ، بف » وشرح المازندراني و</w:t>
      </w:r>
      <w:r w:rsidRPr="009D1ACE">
        <w:rPr>
          <w:rStyle w:val="libFootnoteBoldChar"/>
          <w:rtl/>
        </w:rPr>
        <w:t>الوافي</w:t>
      </w:r>
      <w:r w:rsidRPr="00132E65">
        <w:rPr>
          <w:rtl/>
        </w:rPr>
        <w:t xml:space="preserve"> والإرشاد والغيبة </w:t>
      </w:r>
      <w:r>
        <w:rPr>
          <w:rtl/>
        </w:rPr>
        <w:t xml:space="preserve">: - </w:t>
      </w:r>
      <w:r w:rsidRPr="00132E65">
        <w:rPr>
          <w:rtl/>
        </w:rPr>
        <w:t>« الله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مِثْلِها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قَدْ كَتَبْتُ بِمَا </w:t>
      </w:r>
      <w:r>
        <w:rPr>
          <w:rStyle w:val="libFootnotenumChar"/>
          <w:rtl/>
        </w:rPr>
        <w:t>(2)</w:t>
      </w:r>
      <w:r w:rsidRPr="00132E65">
        <w:rPr>
          <w:rtl/>
          <w:lang w:bidi="fa-IR"/>
        </w:rPr>
        <w:t xml:space="preserve"> فِيهِ بَيَانٌ و</w:t>
      </w:r>
      <w:r>
        <w:rPr>
          <w:rFonts w:hint="cs"/>
          <w:rtl/>
          <w:lang w:bidi="fa-IR"/>
        </w:rPr>
        <w:t>َ</w:t>
      </w:r>
      <w:r w:rsidRPr="00132E65">
        <w:rPr>
          <w:rtl/>
          <w:lang w:bidi="fa-IR"/>
        </w:rPr>
        <w:t xml:space="preserve">قِنَاعٌ </w:t>
      </w:r>
      <w:r>
        <w:rPr>
          <w:rStyle w:val="libFootnotenumChar"/>
          <w:rtl/>
        </w:rPr>
        <w:t>(3)</w:t>
      </w:r>
      <w:r w:rsidRPr="00132E65">
        <w:rPr>
          <w:rtl/>
          <w:lang w:bidi="fa-IR"/>
        </w:rPr>
        <w:t xml:space="preserve"> لِذِي عَقْلٍ يَقْظَانَ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EB25BF">
        <w:rPr>
          <w:rtl/>
        </w:rPr>
        <w:t>862</w:t>
      </w:r>
      <w:r w:rsidRPr="004325D8">
        <w:rPr>
          <w:rStyle w:val="libBold2Char"/>
          <w:rtl/>
        </w:rPr>
        <w:t xml:space="preserve"> / 13.</w:t>
      </w:r>
      <w:r w:rsidRPr="00132E65">
        <w:rPr>
          <w:rtl/>
          <w:lang w:bidi="fa-IR"/>
        </w:rPr>
        <w:t xml:space="preserve"> عَلِيُّ بْنُ مُحَمَّدٍ ، عَمَّنْ ذَكَرَهُ ، عَنْ مُحَمَّدِ بْنِ أَحْمَدَ الْعَلَوِيِّ ، عَنْ </w:t>
      </w:r>
      <w:r w:rsidR="001C701C">
        <w:rPr>
          <w:rtl/>
          <w:lang w:bidi="fa-IR"/>
        </w:rPr>
        <w:t>دَاوُدَ بْنِ الْقَاسِمِ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سَمِعْتُ أَبَا الْحَسَنِ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يَقُولُ : « الْخَلَفُ </w:t>
      </w:r>
      <w:r>
        <w:rPr>
          <w:rStyle w:val="libFootnotenumChar"/>
          <w:rtl/>
        </w:rPr>
        <w:t>(6)</w:t>
      </w:r>
      <w:r w:rsidRPr="00132E65">
        <w:rPr>
          <w:rtl/>
          <w:lang w:bidi="fa-IR"/>
        </w:rPr>
        <w:t xml:space="preserve"> مِنْ بَعْدِيَ الْحَسَنُ ، فَكَيْفَ لَكُمْ بِالْخَلَفِ مِنْ بَعْدِ الْخَلَفِ</w:t>
      </w:r>
      <w:r>
        <w:rPr>
          <w:rtl/>
          <w:lang w:bidi="fa-IR"/>
        </w:rPr>
        <w:t>؟</w:t>
      </w:r>
      <w:r w:rsidRPr="00132E65">
        <w:rPr>
          <w:rtl/>
          <w:lang w:bidi="fa-IR"/>
        </w:rPr>
        <w:t xml:space="preserve"> » فَقُلْتُ </w:t>
      </w:r>
      <w:r>
        <w:rPr>
          <w:rStyle w:val="libFootnotenumChar"/>
          <w:rtl/>
        </w:rPr>
        <w:t>(7)</w:t>
      </w:r>
      <w:r w:rsidRPr="00132E65">
        <w:rPr>
          <w:rtl/>
          <w:lang w:bidi="fa-IR"/>
        </w:rPr>
        <w:t xml:space="preserve"> : و</w:t>
      </w:r>
      <w:r>
        <w:rPr>
          <w:rFonts w:hint="cs"/>
          <w:rtl/>
          <w:lang w:bidi="fa-IR"/>
        </w:rPr>
        <w:t xml:space="preserve">َ </w:t>
      </w:r>
      <w:r w:rsidRPr="00132E65">
        <w:rPr>
          <w:rtl/>
          <w:lang w:bidi="fa-IR"/>
        </w:rPr>
        <w:t>لِمَ جَعَلَنِيَ اللهُ فِدَاكَ</w:t>
      </w:r>
      <w:r>
        <w:rPr>
          <w:rtl/>
          <w:lang w:bidi="fa-IR"/>
        </w:rPr>
        <w:t>؟</w:t>
      </w:r>
      <w:r w:rsidRPr="00132E65">
        <w:rPr>
          <w:rtl/>
          <w:lang w:bidi="fa-IR"/>
        </w:rPr>
        <w:t xml:space="preserve"> فَقَالَ </w:t>
      </w:r>
      <w:r>
        <w:rPr>
          <w:rStyle w:val="libFootnotenumChar"/>
          <w:rtl/>
        </w:rPr>
        <w:t>(8)</w:t>
      </w:r>
      <w:r w:rsidRPr="00132E65">
        <w:rPr>
          <w:rtl/>
          <w:lang w:bidi="fa-IR"/>
        </w:rPr>
        <w:t xml:space="preserve"> : « إِنَّكُمْ </w:t>
      </w:r>
      <w:r>
        <w:rPr>
          <w:rStyle w:val="libFootnotenumChar"/>
          <w:rtl/>
        </w:rPr>
        <w:t>(9)</w:t>
      </w:r>
      <w:r w:rsidRPr="00132E65">
        <w:rPr>
          <w:rtl/>
          <w:lang w:bidi="fa-IR"/>
        </w:rPr>
        <w:t xml:space="preserve"> لَاتَرَوْنَ شَخْصَهُ ، و</w:t>
      </w:r>
      <w:r>
        <w:rPr>
          <w:rFonts w:hint="cs"/>
          <w:rtl/>
          <w:lang w:bidi="fa-IR"/>
        </w:rPr>
        <w:t xml:space="preserve">َ </w:t>
      </w:r>
      <w:r w:rsidRPr="00132E65">
        <w:rPr>
          <w:rtl/>
          <w:lang w:bidi="fa-IR"/>
        </w:rPr>
        <w:t>لَا يَحِلُّ لَكُمْ ذِكْرُهُ بِاسْمِهِ »</w:t>
      </w:r>
      <w:r>
        <w:rPr>
          <w:rtl/>
          <w:lang w:bidi="fa-IR"/>
        </w:rPr>
        <w:t>.</w:t>
      </w:r>
      <w:r w:rsidRPr="00132E65">
        <w:rPr>
          <w:rtl/>
          <w:lang w:bidi="fa-IR"/>
        </w:rPr>
        <w:t xml:space="preserve"> فَقُلْتُ </w:t>
      </w:r>
      <w:r>
        <w:rPr>
          <w:rStyle w:val="libFootnotenumChar"/>
          <w:rtl/>
        </w:rPr>
        <w:t>(10)</w:t>
      </w:r>
      <w:r w:rsidRPr="00132E65">
        <w:rPr>
          <w:rtl/>
          <w:lang w:bidi="fa-IR"/>
        </w:rPr>
        <w:t xml:space="preserve"> : فَكَيْفَ </w:t>
      </w:r>
      <w:r>
        <w:rPr>
          <w:rStyle w:val="libFootnotenumChar"/>
          <w:rtl/>
        </w:rPr>
        <w:t>(11)</w:t>
      </w:r>
      <w:r w:rsidRPr="00132E65">
        <w:rPr>
          <w:rtl/>
          <w:lang w:bidi="fa-IR"/>
        </w:rPr>
        <w:t xml:space="preserve"> نَذْكُرُهُ</w:t>
      </w:r>
      <w:r>
        <w:rPr>
          <w:rtl/>
          <w:lang w:bidi="fa-IR"/>
        </w:rPr>
        <w:t>؟</w:t>
      </w:r>
      <w:r w:rsidRPr="00132E65">
        <w:rPr>
          <w:rtl/>
          <w:lang w:bidi="fa-IR"/>
        </w:rPr>
        <w:t xml:space="preserve"> فَقَالَ </w:t>
      </w:r>
      <w:r>
        <w:rPr>
          <w:rStyle w:val="libFootnotenumChar"/>
          <w:rtl/>
        </w:rPr>
        <w:t>(12)</w:t>
      </w:r>
      <w:r w:rsidRPr="00132E65">
        <w:rPr>
          <w:rtl/>
          <w:lang w:bidi="fa-IR"/>
        </w:rPr>
        <w:t xml:space="preserve"> : « قُولُوا : الْحُجَّةُ مِنْ آلِ مُحَمَّدٍ </w:t>
      </w:r>
      <w:r>
        <w:rPr>
          <w:rFonts w:hint="cs"/>
          <w:rtl/>
          <w:lang w:bidi="fa-IR"/>
        </w:rPr>
        <w:t>عَلَيْهِمُ السَّلَامُ</w:t>
      </w:r>
      <w:r w:rsidRPr="00132E65">
        <w:rPr>
          <w:rtl/>
          <w:lang w:bidi="fa-IR"/>
        </w:rPr>
        <w:t xml:space="preserve"> </w:t>
      </w:r>
      <w:r w:rsidRPr="00F543F1">
        <w:rPr>
          <w:rStyle w:val="libFootnotenumChar"/>
          <w:rtl/>
        </w:rPr>
        <w:t>(13)</w:t>
      </w:r>
      <w:r w:rsidRPr="00132E65">
        <w:rPr>
          <w:rtl/>
          <w:lang w:bidi="fa-IR"/>
        </w:rPr>
        <w:t xml:space="preserve">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البقرة </w:t>
            </w:r>
            <w:r>
              <w:rPr>
                <w:rtl/>
              </w:rPr>
              <w:t>(2)</w:t>
            </w:r>
            <w:r w:rsidRPr="00132E65">
              <w:rPr>
                <w:rtl/>
              </w:rPr>
              <w:t xml:space="preserve"> : 106.</w:t>
            </w:r>
          </w:p>
        </w:tc>
        <w:tc>
          <w:tcPr>
            <w:tcW w:w="4006" w:type="dxa"/>
          </w:tcPr>
          <w:p w:rsidR="000C39D1" w:rsidRDefault="000C39D1" w:rsidP="00B53873">
            <w:pPr>
              <w:pStyle w:val="libFootnote0"/>
              <w:rPr>
                <w:rtl/>
              </w:rPr>
            </w:pPr>
            <w:r>
              <w:rPr>
                <w:rtl/>
              </w:rPr>
              <w:t>(2).</w:t>
            </w:r>
            <w:r w:rsidRPr="00132E65">
              <w:rPr>
                <w:rtl/>
              </w:rPr>
              <w:t xml:space="preserve"> في حاشية « بح » : « ما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والقَناع ، اسم مصدر من باب الإفعال كالبلاغ »</w:t>
      </w:r>
      <w:r>
        <w:rPr>
          <w:rtl/>
        </w:rPr>
        <w:t>.</w:t>
      </w:r>
      <w:r w:rsidRPr="00132E65">
        <w:rPr>
          <w:rtl/>
        </w:rPr>
        <w:t xml:space="preserve"> ولم نجد الكلمة بفتح القاف فيما بأيدينا من كتب اللغة.</w:t>
      </w:r>
    </w:p>
    <w:p w:rsidR="000C39D1" w:rsidRPr="00132E65" w:rsidRDefault="000C39D1" w:rsidP="000C39D1">
      <w:pPr>
        <w:pStyle w:val="libFootnote0"/>
        <w:rPr>
          <w:rtl/>
          <w:lang w:bidi="fa-IR"/>
        </w:rPr>
      </w:pPr>
      <w:r>
        <w:rPr>
          <w:rtl/>
        </w:rPr>
        <w:t>(4).</w:t>
      </w:r>
      <w:r w:rsidRPr="00132E65">
        <w:rPr>
          <w:rtl/>
        </w:rPr>
        <w:t xml:space="preserve"> </w:t>
      </w:r>
      <w:r w:rsidRPr="00EB25BF">
        <w:rPr>
          <w:rtl/>
        </w:rPr>
        <w:t>الإرشاد</w:t>
      </w:r>
      <w:r w:rsidRPr="00132E65">
        <w:rPr>
          <w:rtl/>
        </w:rPr>
        <w:t xml:space="preserve"> ، ج 2 ، ص 319 ، بسنده عن الكليني ، إلى قوله : </w:t>
      </w:r>
      <w:r w:rsidRPr="00880D47">
        <w:rPr>
          <w:rStyle w:val="libFootnoteAlaemChar"/>
          <w:rFonts w:hint="cs"/>
          <w:rtl/>
        </w:rPr>
        <w:t>(</w:t>
      </w:r>
      <w:r w:rsidRPr="00880D47">
        <w:rPr>
          <w:rStyle w:val="libFootnoteAieChar"/>
          <w:rtl/>
        </w:rPr>
        <w:t xml:space="preserve"> نَأْتِ بِخَيْرٍ مّنْهَآ أَوْ مِثْلِهَآ </w:t>
      </w:r>
      <w:r w:rsidRPr="00880D47">
        <w:rPr>
          <w:rStyle w:val="libFootnoteAlaemChar"/>
          <w:rFonts w:hint="cs"/>
          <w:rtl/>
        </w:rPr>
        <w:t>)</w:t>
      </w:r>
      <w:r>
        <w:rPr>
          <w:rtl/>
        </w:rPr>
        <w:t>.</w:t>
      </w:r>
      <w:r w:rsidRPr="00132E65">
        <w:rPr>
          <w:rtl/>
        </w:rPr>
        <w:t xml:space="preserve"> </w:t>
      </w:r>
      <w:r w:rsidRPr="00EB25BF">
        <w:rPr>
          <w:rtl/>
        </w:rPr>
        <w:t>الغيبة</w:t>
      </w:r>
      <w:r w:rsidRPr="00132E65">
        <w:rPr>
          <w:rtl/>
        </w:rPr>
        <w:t xml:space="preserve"> للطوسي ، ص 200 ، ح 168 عن سعد بن عبد الله الأشعري ، عن عليّ بن محمّد الكليني ، عن إسحاق بن محمّد النخعي ، مع زيادة في أوّله </w:t>
      </w:r>
      <w:r>
        <w:rPr>
          <w:rFonts w:hint="cs"/>
          <w:rtl/>
        </w:rPr>
        <w:t>.</w:t>
      </w:r>
      <w:r w:rsidRPr="009D1ACE">
        <w:rPr>
          <w:rStyle w:val="libFootnoteBoldChar"/>
          <w:rtl/>
        </w:rPr>
        <w:t>الوافي</w:t>
      </w:r>
      <w:r w:rsidRPr="00132E65">
        <w:rPr>
          <w:rtl/>
        </w:rPr>
        <w:t xml:space="preserve"> ، ج 2 ، ص 389 ، ح 877.</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والوسائل و</w:t>
      </w:r>
      <w:r w:rsidRPr="000577A7">
        <w:rPr>
          <w:rStyle w:val="libFootnoteBoldChar"/>
          <w:rtl/>
        </w:rPr>
        <w:t>الكافي</w:t>
      </w:r>
      <w:r w:rsidRPr="00132E65">
        <w:rPr>
          <w:rtl/>
        </w:rPr>
        <w:t xml:space="preserve"> ، ح 884 :</w:t>
      </w:r>
      <w:r>
        <w:rPr>
          <w:rtl/>
        </w:rPr>
        <w:t xml:space="preserve"> + </w:t>
      </w:r>
      <w:r w:rsidRPr="00132E65">
        <w:rPr>
          <w:rtl/>
        </w:rPr>
        <w:t>« العسكري »</w:t>
      </w:r>
      <w:r>
        <w:rPr>
          <w:rtl/>
        </w:rPr>
        <w:t>.</w:t>
      </w:r>
      <w:r w:rsidRPr="00132E65">
        <w:rPr>
          <w:rtl/>
        </w:rPr>
        <w:t xml:space="preserve"> وفي الإرشاد :</w:t>
      </w:r>
      <w:r>
        <w:rPr>
          <w:rtl/>
        </w:rPr>
        <w:t xml:space="preserve"> + </w:t>
      </w:r>
      <w:r w:rsidRPr="00132E65">
        <w:rPr>
          <w:rtl/>
        </w:rPr>
        <w:t>« عليّ بن محمّد »</w:t>
      </w:r>
      <w:r>
        <w:rPr>
          <w:rtl/>
        </w:rPr>
        <w:t>.</w:t>
      </w:r>
    </w:p>
    <w:p w:rsidR="000C39D1" w:rsidRPr="00132E65" w:rsidRDefault="000C39D1" w:rsidP="000C39D1">
      <w:pPr>
        <w:pStyle w:val="libFootnote0"/>
        <w:rPr>
          <w:rtl/>
          <w:lang w:bidi="fa-IR"/>
        </w:rPr>
      </w:pPr>
      <w:r>
        <w:rPr>
          <w:rtl/>
        </w:rPr>
        <w:t>(6).</w:t>
      </w:r>
      <w:r w:rsidRPr="00132E65">
        <w:rPr>
          <w:rtl/>
        </w:rPr>
        <w:t xml:space="preserve"> تقدّم معناه ذيل الحديث 9 من هذا الباب.</w:t>
      </w:r>
    </w:p>
    <w:p w:rsidR="000C39D1" w:rsidRPr="00132E65" w:rsidRDefault="000C39D1" w:rsidP="000C39D1">
      <w:pPr>
        <w:pStyle w:val="libFootnote0"/>
        <w:rPr>
          <w:rtl/>
          <w:lang w:bidi="fa-IR"/>
        </w:rPr>
      </w:pPr>
      <w:r>
        <w:rPr>
          <w:rtl/>
        </w:rPr>
        <w:t>(7).</w:t>
      </w:r>
      <w:r w:rsidRPr="00132E65">
        <w:rPr>
          <w:rtl/>
        </w:rPr>
        <w:t xml:space="preserve"> في الوسائل والعلل وكمال الدين ، ص 648 والإرشاد ، ص 349 : « قلت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الوافي</w:t>
      </w:r>
      <w:r w:rsidRPr="00132E65">
        <w:rPr>
          <w:rtl/>
        </w:rPr>
        <w:t xml:space="preserve"> والوسائل و</w:t>
      </w:r>
      <w:r w:rsidRPr="000577A7">
        <w:rPr>
          <w:rStyle w:val="libFootnoteBoldChar"/>
          <w:rtl/>
        </w:rPr>
        <w:t>الكافي</w:t>
      </w:r>
      <w:r w:rsidRPr="00132E65">
        <w:rPr>
          <w:rtl/>
        </w:rPr>
        <w:t xml:space="preserve"> ، ح 884 وكمال الدين ، ص 648 : « قال »</w:t>
      </w:r>
      <w:r>
        <w:rPr>
          <w:rtl/>
        </w:rPr>
        <w:t>.</w:t>
      </w:r>
    </w:p>
    <w:p w:rsidR="000C39D1" w:rsidRPr="00132E65" w:rsidRDefault="000C39D1" w:rsidP="000C39D1">
      <w:pPr>
        <w:pStyle w:val="libFootnote0"/>
        <w:rPr>
          <w:rtl/>
          <w:lang w:bidi="fa-IR"/>
        </w:rPr>
      </w:pPr>
      <w:r>
        <w:rPr>
          <w:rtl/>
        </w:rPr>
        <w:t>(9).</w:t>
      </w:r>
      <w:r w:rsidRPr="00132E65">
        <w:rPr>
          <w:rtl/>
        </w:rPr>
        <w:t xml:space="preserve"> في الوسائل والعلل وكمال الدين ، ص 381 </w:t>
      </w:r>
      <w:r>
        <w:rPr>
          <w:rtl/>
        </w:rPr>
        <w:t>و 6</w:t>
      </w:r>
      <w:r w:rsidRPr="00132E65">
        <w:rPr>
          <w:rtl/>
        </w:rPr>
        <w:t>48 والإرشاد ، ص 349 وكفاية الأثر والغيبة : « لأنّكم »</w:t>
      </w:r>
      <w:r>
        <w:rPr>
          <w:rtl/>
        </w:rPr>
        <w:t>.</w:t>
      </w:r>
    </w:p>
    <w:p w:rsidR="000C39D1" w:rsidRPr="00132E65" w:rsidRDefault="000C39D1" w:rsidP="000C39D1">
      <w:pPr>
        <w:pStyle w:val="libFootnote0"/>
        <w:rPr>
          <w:rtl/>
          <w:lang w:bidi="fa-IR"/>
        </w:rPr>
      </w:pPr>
      <w:r>
        <w:rPr>
          <w:rtl/>
        </w:rPr>
        <w:t>(10).</w:t>
      </w:r>
      <w:r w:rsidRPr="00132E65">
        <w:rPr>
          <w:rtl/>
        </w:rPr>
        <w:t xml:space="preserve"> في الوسائل والعلل وكمال الدين ، ص 381 </w:t>
      </w:r>
      <w:r>
        <w:rPr>
          <w:rtl/>
        </w:rPr>
        <w:t>و 6</w:t>
      </w:r>
      <w:r w:rsidRPr="00132E65">
        <w:rPr>
          <w:rtl/>
        </w:rPr>
        <w:t>48 وكفاية الأثر : « قلت »</w:t>
      </w:r>
      <w:r>
        <w:rPr>
          <w:rtl/>
        </w:rPr>
        <w:t>.</w:t>
      </w:r>
    </w:p>
    <w:p w:rsidR="000C39D1" w:rsidRPr="00132E65" w:rsidRDefault="000C39D1" w:rsidP="000C39D1">
      <w:pPr>
        <w:pStyle w:val="libFootnote0"/>
        <w:rPr>
          <w:rtl/>
          <w:lang w:bidi="fa-IR"/>
        </w:rPr>
      </w:pPr>
      <w:r>
        <w:rPr>
          <w:rtl/>
        </w:rPr>
        <w:t>(11).</w:t>
      </w:r>
      <w:r w:rsidRPr="00132E65">
        <w:rPr>
          <w:rtl/>
        </w:rPr>
        <w:t xml:space="preserve"> في الوسائل : « كيف »</w:t>
      </w:r>
      <w:r>
        <w:rPr>
          <w:rtl/>
        </w:rPr>
        <w:t>.</w:t>
      </w:r>
    </w:p>
    <w:p w:rsidR="000C39D1" w:rsidRPr="00132E65" w:rsidRDefault="000C39D1" w:rsidP="000C39D1">
      <w:pPr>
        <w:pStyle w:val="libFootnote0"/>
        <w:rPr>
          <w:rtl/>
          <w:lang w:bidi="fa-IR"/>
        </w:rPr>
      </w:pPr>
      <w:r>
        <w:rPr>
          <w:rtl/>
        </w:rPr>
        <w:t>(12).</w:t>
      </w:r>
      <w:r w:rsidRPr="00132E65">
        <w:rPr>
          <w:rtl/>
        </w:rPr>
        <w:t xml:space="preserve"> في الوسائل وكمال الدين ، ص 381 والإرشاد ، ص 349 وكفاية الأثر : « قال »</w:t>
      </w:r>
      <w:r>
        <w:rPr>
          <w:rtl/>
        </w:rPr>
        <w:t>.</w:t>
      </w:r>
    </w:p>
    <w:p w:rsidR="000C39D1" w:rsidRPr="00132E65" w:rsidRDefault="000C39D1" w:rsidP="000C39D1">
      <w:pPr>
        <w:pStyle w:val="libFootnote0"/>
        <w:rPr>
          <w:rtl/>
          <w:lang w:bidi="fa-IR"/>
        </w:rPr>
      </w:pPr>
      <w:r>
        <w:rPr>
          <w:rtl/>
        </w:rPr>
        <w:t>(13)</w:t>
      </w:r>
      <w:r w:rsidRPr="00132E65">
        <w:rPr>
          <w:rtl/>
        </w:rPr>
        <w:t xml:space="preserve"> في « ب ، ض ، ه‍ ، بس » : «</w:t>
      </w:r>
      <w:r>
        <w:rPr>
          <w:rFonts w:hint="cs"/>
          <w:rtl/>
        </w:rPr>
        <w:t>عليه السلام</w:t>
      </w:r>
      <w:r w:rsidRPr="00132E65">
        <w:rPr>
          <w:rtl/>
        </w:rPr>
        <w:t xml:space="preserve"> »</w:t>
      </w:r>
      <w:r>
        <w:rPr>
          <w:rtl/>
        </w:rPr>
        <w:t>.</w:t>
      </w:r>
      <w:r w:rsidRPr="00132E65">
        <w:rPr>
          <w:rtl/>
        </w:rPr>
        <w:t xml:space="preserve"> وفي « ف » : « </w:t>
      </w:r>
      <w:r>
        <w:rPr>
          <w:rFonts w:hint="cs"/>
          <w:rtl/>
        </w:rPr>
        <w:t>صلّي الله عليه و آله و سلّم</w:t>
      </w:r>
      <w:r w:rsidRPr="00132E65">
        <w:rPr>
          <w:rtl/>
        </w:rPr>
        <w:t>»</w:t>
      </w:r>
      <w:r>
        <w:rPr>
          <w:rtl/>
        </w:rPr>
        <w:t>.</w:t>
      </w:r>
      <w:r w:rsidRPr="00132E65">
        <w:rPr>
          <w:rtl/>
        </w:rPr>
        <w:t xml:space="preserve"> وفي </w:t>
      </w:r>
      <w:r w:rsidRPr="000577A7">
        <w:rPr>
          <w:rStyle w:val="libFootnoteBoldChar"/>
          <w:rtl/>
        </w:rPr>
        <w:t>الكافي</w:t>
      </w:r>
      <w:r w:rsidRPr="00132E65">
        <w:rPr>
          <w:rtl/>
        </w:rPr>
        <w:t xml:space="preserve"> ، ح 884 : « صلوات الله عليه وسلامه »</w:t>
      </w:r>
      <w:r>
        <w:rPr>
          <w:rtl/>
        </w:rPr>
        <w:t>.</w:t>
      </w:r>
      <w:r w:rsidRPr="00132E65">
        <w:rPr>
          <w:rtl/>
        </w:rPr>
        <w:t xml:space="preserve"> وفي الإرشاد ، ص 320 : « </w:t>
      </w:r>
      <w:r>
        <w:rPr>
          <w:rFonts w:hint="cs"/>
          <w:rtl/>
        </w:rPr>
        <w:t xml:space="preserve">عليه السلام </w:t>
      </w:r>
      <w:r w:rsidRPr="00132E65">
        <w:rPr>
          <w:rtl/>
        </w:rPr>
        <w:t>وعليهم »</w:t>
      </w:r>
      <w:r>
        <w:rPr>
          <w:rtl/>
        </w:rPr>
        <w:t>.</w:t>
      </w:r>
    </w:p>
    <w:p w:rsidR="000C39D1" w:rsidRPr="00132E65" w:rsidRDefault="000C39D1" w:rsidP="000C39D1">
      <w:pPr>
        <w:pStyle w:val="libFootnote0"/>
        <w:rPr>
          <w:rtl/>
          <w:lang w:bidi="fa-IR"/>
        </w:rPr>
      </w:pPr>
      <w:r>
        <w:rPr>
          <w:rtl/>
        </w:rPr>
        <w:t>(14)</w:t>
      </w:r>
      <w:r w:rsidRPr="00132E65">
        <w:rPr>
          <w:rtl/>
        </w:rPr>
        <w:t xml:space="preserve"> </w:t>
      </w:r>
      <w:r w:rsidRPr="000577A7">
        <w:rPr>
          <w:rStyle w:val="libFootnoteBoldChar"/>
          <w:rtl/>
        </w:rPr>
        <w:t>الكافي</w:t>
      </w:r>
      <w:r w:rsidRPr="00132E65">
        <w:rPr>
          <w:rtl/>
        </w:rPr>
        <w:t xml:space="preserve"> ، كتاب الحجّة ، باب في النهي عن الاسم ، ح 884. </w:t>
      </w:r>
      <w:r w:rsidRPr="00EB25BF">
        <w:rPr>
          <w:rtl/>
        </w:rPr>
        <w:t>الإرشاد</w:t>
      </w:r>
      <w:r w:rsidRPr="00132E65">
        <w:rPr>
          <w:rtl/>
        </w:rPr>
        <w:t xml:space="preserve"> ، ج 2 ، ص 320 ؛ وص 349 ، بسنده عن الكليني. وفي </w:t>
      </w:r>
      <w:r w:rsidRPr="00EB25BF">
        <w:rPr>
          <w:rtl/>
        </w:rPr>
        <w:t>علل الشرائع</w:t>
      </w:r>
      <w:r w:rsidRPr="00132E65">
        <w:rPr>
          <w:rtl/>
        </w:rPr>
        <w:t xml:space="preserve"> ، ص 245 ، ح 5 ؛ و</w:t>
      </w:r>
      <w:r w:rsidRPr="00EB25BF">
        <w:rPr>
          <w:rtl/>
        </w:rPr>
        <w:t xml:space="preserve">كمال الدين </w:t>
      </w:r>
      <w:r w:rsidRPr="00132E65">
        <w:rPr>
          <w:rtl/>
        </w:rPr>
        <w:t>، ص 381 ، ح 5 ؛ وص 648 ، ح 4 ؛ و</w:t>
      </w:r>
      <w:r w:rsidRPr="00EB25BF">
        <w:rPr>
          <w:rtl/>
        </w:rPr>
        <w:t>الغيبة</w:t>
      </w:r>
      <w:r w:rsidRPr="00132E65">
        <w:rPr>
          <w:rtl/>
        </w:rPr>
        <w:t xml:space="preserve"> للطوسي ، ص 202 ، ح 169 ؛ و</w:t>
      </w:r>
      <w:r w:rsidRPr="00EB25BF">
        <w:rPr>
          <w:rtl/>
        </w:rPr>
        <w:t>كفاية الأثر</w:t>
      </w:r>
      <w:r w:rsidRPr="00132E65">
        <w:rPr>
          <w:rtl/>
        </w:rPr>
        <w:t xml:space="preserve"> ، ص 288 ، بسند آخر عن سعد بن عبد الله ، عن محمّد بن أحمد العلوي </w:t>
      </w:r>
      <w:r>
        <w:rPr>
          <w:rFonts w:hint="cs"/>
          <w:rtl/>
        </w:rPr>
        <w:t>.</w:t>
      </w:r>
      <w:r w:rsidRPr="009D1ACE">
        <w:rPr>
          <w:rStyle w:val="libFootnoteBoldChar"/>
          <w:rtl/>
        </w:rPr>
        <w:t>الوافي</w:t>
      </w:r>
      <w:r w:rsidRPr="00132E65">
        <w:rPr>
          <w:rtl/>
        </w:rPr>
        <w:t xml:space="preserve"> ، ج 2 ، ص 403 ، ح 903 ؛ </w:t>
      </w:r>
      <w:r w:rsidRPr="00EB25BF">
        <w:rPr>
          <w:rtl/>
        </w:rPr>
        <w:t>الوسائل</w:t>
      </w:r>
      <w:r w:rsidRPr="00132E65">
        <w:rPr>
          <w:rtl/>
        </w:rPr>
        <w:t xml:space="preserve"> ، ج 16 ، ص 239 ، ح 21458.</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33" w:name="_Toc459459104"/>
      <w:bookmarkStart w:id="34" w:name="_Toc34663073"/>
      <w:r w:rsidRPr="00132E65">
        <w:rPr>
          <w:rtl/>
          <w:lang w:bidi="fa-IR"/>
        </w:rPr>
        <w:t>76</w:t>
      </w:r>
      <w:r>
        <w:rPr>
          <w:rtl/>
          <w:lang w:bidi="fa-IR"/>
        </w:rPr>
        <w:t xml:space="preserve"> - </w:t>
      </w:r>
      <w:r w:rsidRPr="00132E65">
        <w:rPr>
          <w:rtl/>
          <w:lang w:bidi="fa-IR"/>
        </w:rPr>
        <w:t>بَابُ الْإِشَارَةِ و</w:t>
      </w:r>
      <w:r>
        <w:rPr>
          <w:rFonts w:hint="cs"/>
          <w:rtl/>
          <w:lang w:bidi="fa-IR"/>
        </w:rPr>
        <w:t xml:space="preserve">َ </w:t>
      </w:r>
      <w:r w:rsidRPr="00132E65">
        <w:rPr>
          <w:rtl/>
          <w:lang w:bidi="fa-IR"/>
        </w:rPr>
        <w:t xml:space="preserve">النَّصِّ </w:t>
      </w:r>
      <w:r>
        <w:rPr>
          <w:rStyle w:val="libFootnotenumChar"/>
          <w:rtl/>
        </w:rPr>
        <w:t>(1)</w:t>
      </w:r>
      <w:r>
        <w:rPr>
          <w:rtl/>
          <w:lang w:bidi="fa-IR"/>
        </w:rPr>
        <w:t xml:space="preserve"> </w:t>
      </w:r>
      <w:r w:rsidRPr="00132E65">
        <w:rPr>
          <w:rtl/>
          <w:lang w:bidi="fa-IR"/>
        </w:rPr>
        <w:t xml:space="preserve">إِلى </w:t>
      </w:r>
      <w:r>
        <w:rPr>
          <w:rStyle w:val="libFootnotenumChar"/>
          <w:rtl/>
        </w:rPr>
        <w:t>(2)</w:t>
      </w:r>
      <w:r>
        <w:rPr>
          <w:rtl/>
          <w:lang w:bidi="fa-IR"/>
        </w:rPr>
        <w:t xml:space="preserve"> </w:t>
      </w:r>
      <w:r w:rsidRPr="00132E65">
        <w:rPr>
          <w:rtl/>
          <w:lang w:bidi="fa-IR"/>
        </w:rPr>
        <w:t xml:space="preserve">صَاحِبِ الدَّارِ </w:t>
      </w:r>
      <w:r>
        <w:rPr>
          <w:rStyle w:val="libFootnotenumChar"/>
          <w:rtl/>
        </w:rPr>
        <w:t>(3)</w:t>
      </w:r>
      <w:r>
        <w:rPr>
          <w:rtl/>
        </w:rPr>
        <w:t xml:space="preserve"> </w:t>
      </w:r>
      <w:r w:rsidRPr="00071CF9">
        <w:rPr>
          <w:rStyle w:val="libAlaemChar"/>
          <w:rtl/>
        </w:rPr>
        <w:t>عليه‌السلام</w:t>
      </w:r>
      <w:r w:rsidRPr="00132E65">
        <w:rPr>
          <w:rtl/>
          <w:lang w:bidi="fa-IR"/>
        </w:rPr>
        <w:t>‌</w:t>
      </w:r>
      <w:bookmarkEnd w:id="33"/>
      <w:bookmarkEnd w:id="34"/>
    </w:p>
    <w:p w:rsidR="000C39D1" w:rsidRPr="00132E65" w:rsidRDefault="000C39D1" w:rsidP="000C39D1">
      <w:pPr>
        <w:pStyle w:val="libNormal"/>
        <w:rPr>
          <w:rtl/>
          <w:lang w:bidi="fa-IR"/>
        </w:rPr>
      </w:pPr>
      <w:r w:rsidRPr="00EB25BF">
        <w:rPr>
          <w:rtl/>
        </w:rPr>
        <w:t>863</w:t>
      </w:r>
      <w:r w:rsidRPr="004325D8">
        <w:rPr>
          <w:rStyle w:val="libBold2Char"/>
          <w:rtl/>
        </w:rPr>
        <w:t xml:space="preserve"> / 1.</w:t>
      </w:r>
      <w:r w:rsidRPr="00132E65">
        <w:rPr>
          <w:rtl/>
          <w:lang w:bidi="fa-IR"/>
        </w:rPr>
        <w:t xml:space="preserve"> عَلِيُّ بْنُ مُحَمَّدٍ ، عَنْ مُحَمَّدِ بْنِ عَلِيِّ بْنِ بِلَالٍ ، قَالَ :</w:t>
      </w:r>
    </w:p>
    <w:p w:rsidR="000C39D1" w:rsidRPr="00132E65" w:rsidRDefault="000C39D1" w:rsidP="000C39D1">
      <w:pPr>
        <w:pStyle w:val="libNormal"/>
        <w:rPr>
          <w:rtl/>
          <w:lang w:bidi="fa-IR"/>
        </w:rPr>
      </w:pPr>
      <w:r w:rsidRPr="00132E65">
        <w:rPr>
          <w:rtl/>
          <w:lang w:bidi="fa-IR"/>
        </w:rPr>
        <w:t xml:space="preserve">خَرَجَ إِلَيَّ مِنْ </w:t>
      </w:r>
      <w:r>
        <w:rPr>
          <w:rStyle w:val="libFootnotenumChar"/>
          <w:rtl/>
        </w:rPr>
        <w:t>(4)</w:t>
      </w:r>
      <w:r w:rsidRPr="00132E65">
        <w:rPr>
          <w:rtl/>
          <w:lang w:bidi="fa-IR"/>
        </w:rPr>
        <w:t xml:space="preserve"> أَبِي مُحَمَّدٍ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قَبْلَ مُضِيِّهِ بِسَنَتَيْنِ يُخْبِرُنِي بِالْخَلَفِ مِنْ بَعْدِهِ ، ثُمَّ خَرَجَ إِلَيَّ مِنْ قَبْلِ مُضِيِّهِ بِثَلَاثَةِ أَيَّامٍ يُخْبِرُنِي بِالْخَلَفِ مِنْ بَعْدِهِ.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EB25BF">
        <w:rPr>
          <w:rtl/>
        </w:rPr>
        <w:t>864</w:t>
      </w:r>
      <w:r w:rsidRPr="004325D8">
        <w:rPr>
          <w:rStyle w:val="libBold2Char"/>
          <w:rtl/>
        </w:rPr>
        <w:t xml:space="preserve"> / 2.</w:t>
      </w:r>
      <w:r w:rsidRPr="00132E65">
        <w:rPr>
          <w:rtl/>
          <w:lang w:bidi="fa-IR"/>
        </w:rPr>
        <w:t xml:space="preserve"> مُحَمَّدُ بْنُ يَحْيى ، عَنْ أَحْمَدَ بْنِ إِسْحَاقَ ، عَنْ أَبِي هَاشِمٍ الْجَعْفَرِيِّ ، قَالَ :</w:t>
      </w:r>
    </w:p>
    <w:p w:rsidR="000C39D1" w:rsidRPr="00132E65" w:rsidRDefault="000C39D1" w:rsidP="000C39D1">
      <w:pPr>
        <w:pStyle w:val="libNormal"/>
        <w:rPr>
          <w:rtl/>
          <w:lang w:bidi="fa-IR"/>
        </w:rPr>
      </w:pPr>
      <w:r w:rsidRPr="00132E65">
        <w:rPr>
          <w:rtl/>
          <w:lang w:bidi="fa-IR"/>
        </w:rPr>
        <w:t xml:space="preserve">قُلْتُ لِأَبِي مُحَمَّدٍ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 جَلَالَتُكَ تَمْنَعُنِي مِنْ </w:t>
      </w:r>
      <w:r>
        <w:rPr>
          <w:rStyle w:val="libFootnotenumChar"/>
          <w:rtl/>
        </w:rPr>
        <w:t>(8)</w:t>
      </w:r>
      <w:r w:rsidRPr="00132E65">
        <w:rPr>
          <w:rtl/>
          <w:lang w:bidi="fa-IR"/>
        </w:rPr>
        <w:t xml:space="preserve"> مَسْأَلَتِكَ ، فَتَأْذَنُ لِي </w:t>
      </w:r>
      <w:r>
        <w:rPr>
          <w:rStyle w:val="libFootnotenumChar"/>
          <w:rtl/>
        </w:rPr>
        <w:t>(9)</w:t>
      </w:r>
      <w:r w:rsidRPr="00132E65">
        <w:rPr>
          <w:rtl/>
          <w:lang w:bidi="fa-IR"/>
        </w:rPr>
        <w:t xml:space="preserve"> أَنْ أَسْأَلَكَ</w:t>
      </w:r>
      <w:r>
        <w:rPr>
          <w:rtl/>
          <w:lang w:bidi="fa-IR"/>
        </w:rPr>
        <w:t>؟</w:t>
      </w:r>
      <w:r>
        <w:rPr>
          <w:rFonts w:hint="cs"/>
          <w:rtl/>
          <w:lang w:bidi="fa-IR"/>
        </w:rPr>
        <w:t xml:space="preserve"> </w:t>
      </w:r>
      <w:r w:rsidRPr="00132E65">
        <w:rPr>
          <w:rtl/>
          <w:lang w:bidi="fa-IR"/>
        </w:rPr>
        <w:t>فَقَالَ : « سَلْ »</w:t>
      </w:r>
      <w:r>
        <w:rPr>
          <w:rtl/>
          <w:lang w:bidi="fa-IR"/>
        </w:rPr>
        <w:t>.</w:t>
      </w:r>
      <w:r w:rsidRPr="00132E65">
        <w:rPr>
          <w:rtl/>
          <w:lang w:bidi="fa-IR"/>
        </w:rPr>
        <w:t xml:space="preserve"> قُلْتُ </w:t>
      </w:r>
      <w:r>
        <w:rPr>
          <w:rStyle w:val="libFootnotenumChar"/>
          <w:rtl/>
        </w:rPr>
        <w:t>(10)</w:t>
      </w:r>
      <w:r w:rsidRPr="00132E65">
        <w:rPr>
          <w:rtl/>
          <w:lang w:bidi="fa-IR"/>
        </w:rPr>
        <w:t xml:space="preserve"> : يَا سَيِّدِي ، هَلْ لَكَ ولَدٌ</w:t>
      </w:r>
      <w:r>
        <w:rPr>
          <w:rtl/>
          <w:lang w:bidi="fa-IR"/>
        </w:rPr>
        <w:t>؟</w:t>
      </w:r>
      <w:r w:rsidRPr="00132E65">
        <w:rPr>
          <w:rtl/>
          <w:lang w:bidi="fa-IR"/>
        </w:rPr>
        <w:t xml:space="preserve"> فَقَالَ : « نَعَمْ »</w:t>
      </w:r>
      <w:r>
        <w:rPr>
          <w:rtl/>
          <w:lang w:bidi="fa-IR"/>
        </w:rPr>
        <w:t>.</w:t>
      </w:r>
      <w:r w:rsidRPr="00132E65">
        <w:rPr>
          <w:rtl/>
          <w:lang w:bidi="fa-IR"/>
        </w:rPr>
        <w:t xml:space="preserve"> فَقُلْتُ : فَإِنْ </w:t>
      </w:r>
      <w:r>
        <w:rPr>
          <w:rStyle w:val="libFootnotenumChar"/>
          <w:rtl/>
        </w:rPr>
        <w:t>(11)</w:t>
      </w:r>
      <w:r w:rsidRPr="00132E65">
        <w:rPr>
          <w:rtl/>
          <w:lang w:bidi="fa-IR"/>
        </w:rPr>
        <w:t xml:space="preserve"> حَدَثَ بِكَ </w:t>
      </w:r>
      <w:r>
        <w:rPr>
          <w:rStyle w:val="libFootnotenumChar"/>
          <w:rtl/>
        </w:rPr>
        <w:t>(12)</w:t>
      </w:r>
      <w:r w:rsidRPr="00132E65">
        <w:rPr>
          <w:rtl/>
          <w:lang w:bidi="fa-IR"/>
        </w:rPr>
        <w:t xml:space="preserve"> حَدَثٌ ، فَأَيْنَ أَسْأَلُ عَنْهُ</w:t>
      </w:r>
      <w:r>
        <w:rPr>
          <w:rtl/>
          <w:lang w:bidi="fa-IR"/>
        </w:rPr>
        <w:t>؟</w:t>
      </w:r>
      <w:r w:rsidRPr="00132E65">
        <w:rPr>
          <w:rtl/>
          <w:lang w:bidi="fa-IR"/>
        </w:rPr>
        <w:t xml:space="preserve"> قَالَ : « بِالْمَدِينَةِ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EB25BF">
        <w:rPr>
          <w:rtl/>
        </w:rPr>
        <w:t>865</w:t>
      </w:r>
      <w:r w:rsidRPr="004325D8">
        <w:rPr>
          <w:rStyle w:val="libBold2Char"/>
          <w:rtl/>
        </w:rPr>
        <w:t xml:space="preserve"> / 3.</w:t>
      </w:r>
      <w:r w:rsidRPr="00132E65">
        <w:rPr>
          <w:rtl/>
          <w:lang w:bidi="fa-IR"/>
        </w:rPr>
        <w:t xml:space="preserve"> عَلِيُّ بْنُ مُحَمَّدٍ ، عَنْ جَعْفَرِ بْنِ مُحَمَّدٍ الْكُوفِيِّ ، عَنْ جَعْفَرِ بْنِ مُحَمَّدٍ الْمَكْفُوفِ ، عَنْ عَمْرٍو الْأَهْوَازِيِّ ، قَالَ :</w:t>
      </w:r>
    </w:p>
    <w:p w:rsidR="000C39D1" w:rsidRPr="00132E65" w:rsidRDefault="000C39D1" w:rsidP="000C39D1">
      <w:pPr>
        <w:pStyle w:val="libNormal"/>
        <w:rPr>
          <w:rtl/>
          <w:lang w:bidi="fa-IR"/>
        </w:rPr>
      </w:pPr>
      <w:r w:rsidRPr="00132E65">
        <w:rPr>
          <w:rtl/>
          <w:lang w:bidi="fa-IR"/>
        </w:rPr>
        <w:t xml:space="preserve">أَرَانِي أَبُو مُحَمَّدٍ </w:t>
      </w:r>
      <w:r w:rsidRPr="00071CF9">
        <w:rPr>
          <w:rStyle w:val="libAlaemChar"/>
          <w:rtl/>
        </w:rPr>
        <w:t>عليه‌السلام</w:t>
      </w:r>
      <w:r w:rsidRPr="00132E65">
        <w:rPr>
          <w:rtl/>
          <w:lang w:bidi="fa-IR"/>
        </w:rPr>
        <w:t xml:space="preserve"> ابْنَهُ ، و</w:t>
      </w:r>
      <w:r>
        <w:rPr>
          <w:rFonts w:hint="cs"/>
          <w:rtl/>
          <w:lang w:bidi="fa-IR"/>
        </w:rPr>
        <w:t>َ</w:t>
      </w:r>
      <w:r w:rsidRPr="00132E65">
        <w:rPr>
          <w:rtl/>
          <w:lang w:bidi="fa-IR"/>
        </w:rPr>
        <w:t xml:space="preserve">قَالَ : « هذَا صَاحِبُكُمْ مِنْ </w:t>
      </w:r>
      <w:r w:rsidRPr="00F543F1">
        <w:rPr>
          <w:rStyle w:val="libFootnotenumChar"/>
          <w:rtl/>
        </w:rPr>
        <w:t>(14)</w:t>
      </w:r>
      <w:r w:rsidRPr="00132E65">
        <w:rPr>
          <w:rtl/>
          <w:lang w:bidi="fa-IR"/>
        </w:rPr>
        <w:t xml:space="preserve"> بَعْدِي »</w:t>
      </w:r>
      <w:r>
        <w:rPr>
          <w:rtl/>
          <w:lang w:bidi="fa-IR"/>
        </w:rPr>
        <w:t>.</w:t>
      </w:r>
      <w:r w:rsidRPr="00132E65">
        <w:rPr>
          <w:rtl/>
          <w:lang w:bidi="fa-IR"/>
        </w:rPr>
        <w:t xml:space="preserve">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في«ج،ه، بس ، بف»</w:t>
            </w:r>
            <w:r>
              <w:rPr>
                <w:rtl/>
              </w:rPr>
              <w:t>:-</w:t>
            </w:r>
            <w:r w:rsidRPr="00132E65">
              <w:rPr>
                <w:rtl/>
              </w:rPr>
              <w:t>«والنصّ»</w:t>
            </w:r>
            <w:r>
              <w:rPr>
                <w:rtl/>
              </w:rPr>
              <w:t>.</w:t>
            </w:r>
          </w:p>
        </w:tc>
        <w:tc>
          <w:tcPr>
            <w:tcW w:w="4006" w:type="dxa"/>
          </w:tcPr>
          <w:p w:rsidR="000C39D1" w:rsidRDefault="000C39D1" w:rsidP="00B53873">
            <w:pPr>
              <w:pStyle w:val="libFootnote0"/>
              <w:rPr>
                <w:rtl/>
              </w:rPr>
            </w:pPr>
            <w:r>
              <w:rPr>
                <w:rtl/>
              </w:rPr>
              <w:t>(2).</w:t>
            </w:r>
            <w:r w:rsidRPr="00132E65">
              <w:rPr>
                <w:rtl/>
              </w:rPr>
              <w:t xml:space="preserve"> في « ب » : « على »</w:t>
            </w:r>
            <w:r>
              <w:rPr>
                <w:rtl/>
              </w:rPr>
              <w:t>.</w:t>
            </w:r>
          </w:p>
        </w:tc>
      </w:tr>
    </w:tbl>
    <w:p w:rsidR="000C39D1" w:rsidRPr="00132E65" w:rsidRDefault="000C39D1" w:rsidP="000C39D1">
      <w:pPr>
        <w:pStyle w:val="libFootnote0"/>
        <w:rPr>
          <w:rtl/>
          <w:lang w:bidi="fa-IR"/>
        </w:rPr>
      </w:pPr>
      <w:r>
        <w:rPr>
          <w:rtl/>
        </w:rPr>
        <w:t>(3).</w:t>
      </w:r>
      <w:r w:rsidRPr="00132E65">
        <w:rPr>
          <w:rtl/>
        </w:rPr>
        <w:t xml:space="preserve"> في « ض ، ه‍ ، بر ، بف » وحاشية « ج ، ف » : « صاحب الزمان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(4).</w:t>
            </w:r>
            <w:r w:rsidRPr="00132E65">
              <w:rPr>
                <w:rtl/>
              </w:rPr>
              <w:t xml:space="preserve"> في الإرشاد : « أمر »</w:t>
            </w:r>
            <w:r>
              <w:rPr>
                <w:rtl/>
              </w:rPr>
              <w:t>.</w:t>
            </w:r>
          </w:p>
        </w:tc>
        <w:tc>
          <w:tcPr>
            <w:tcW w:w="4006" w:type="dxa"/>
          </w:tcPr>
          <w:p w:rsidR="000C39D1" w:rsidRDefault="000C39D1" w:rsidP="00B53873">
            <w:pPr>
              <w:pStyle w:val="libFootnote0"/>
              <w:rPr>
                <w:rtl/>
                <w:lang w:bidi="fa-IR"/>
              </w:rPr>
            </w:pPr>
            <w:r>
              <w:rPr>
                <w:rtl/>
              </w:rPr>
              <w:t>(5).</w:t>
            </w:r>
            <w:r w:rsidRPr="00132E65">
              <w:rPr>
                <w:rtl/>
              </w:rPr>
              <w:t xml:space="preserve"> في الإرشاد :</w:t>
            </w:r>
            <w:r>
              <w:rPr>
                <w:rtl/>
              </w:rPr>
              <w:t xml:space="preserve"> + </w:t>
            </w:r>
            <w:r w:rsidRPr="00132E65">
              <w:rPr>
                <w:rtl/>
              </w:rPr>
              <w:t>« الحسن بن عليّ العسكري »</w:t>
            </w:r>
            <w:r>
              <w:rPr>
                <w:rtl/>
              </w:rPr>
              <w:t>.</w:t>
            </w:r>
          </w:p>
        </w:tc>
      </w:tr>
    </w:tbl>
    <w:p w:rsidR="000C39D1" w:rsidRPr="00132E65" w:rsidRDefault="000C39D1" w:rsidP="000C39D1">
      <w:pPr>
        <w:pStyle w:val="libFootnote0"/>
        <w:rPr>
          <w:rtl/>
          <w:lang w:bidi="fa-IR"/>
        </w:rPr>
      </w:pPr>
      <w:r>
        <w:rPr>
          <w:rtl/>
        </w:rPr>
        <w:t>(6).</w:t>
      </w:r>
      <w:r w:rsidRPr="00132E65">
        <w:rPr>
          <w:rtl/>
        </w:rPr>
        <w:t xml:space="preserve"> </w:t>
      </w:r>
      <w:r w:rsidRPr="00EB25BF">
        <w:rPr>
          <w:rtl/>
        </w:rPr>
        <w:t>الإرشاد</w:t>
      </w:r>
      <w:r w:rsidRPr="00132E65">
        <w:rPr>
          <w:rtl/>
        </w:rPr>
        <w:t xml:space="preserve"> ، ج 2 ، ص 348 ، عن الكليني. </w:t>
      </w:r>
      <w:r w:rsidRPr="00EB25BF">
        <w:rPr>
          <w:rtl/>
        </w:rPr>
        <w:t>كمال الدين</w:t>
      </w:r>
      <w:r w:rsidRPr="00132E65">
        <w:rPr>
          <w:rtl/>
        </w:rPr>
        <w:t xml:space="preserve"> ، ج 2 ، ص 499 ، ح 24 ، بسند آخر ، مع اختلاف يسير وزيادة في أوّله وآخره </w:t>
      </w:r>
      <w:r>
        <w:rPr>
          <w:rFonts w:hint="cs"/>
          <w:rtl/>
        </w:rPr>
        <w:t>.</w:t>
      </w:r>
      <w:r w:rsidRPr="009D1ACE">
        <w:rPr>
          <w:rStyle w:val="libFootnoteBoldChar"/>
          <w:rtl/>
        </w:rPr>
        <w:t>الوافي</w:t>
      </w:r>
      <w:r w:rsidRPr="00132E65">
        <w:rPr>
          <w:rtl/>
        </w:rPr>
        <w:t xml:space="preserve"> ، ج 2 ، ص 391 ، ح 882.</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الإرشاد :</w:t>
            </w:r>
            <w:r>
              <w:rPr>
                <w:rtl/>
              </w:rPr>
              <w:t xml:space="preserve"> + </w:t>
            </w:r>
            <w:r w:rsidRPr="00132E65">
              <w:rPr>
                <w:rtl/>
              </w:rPr>
              <w:t>« الحسن بن عليّ »</w:t>
            </w:r>
            <w:r>
              <w:rPr>
                <w:rtl/>
              </w:rPr>
              <w:t>.</w:t>
            </w:r>
          </w:p>
        </w:tc>
        <w:tc>
          <w:tcPr>
            <w:tcW w:w="4006" w:type="dxa"/>
          </w:tcPr>
          <w:p w:rsidR="000C39D1" w:rsidRDefault="000C39D1" w:rsidP="00B53873">
            <w:pPr>
              <w:pStyle w:val="libFootnote0"/>
              <w:rPr>
                <w:rtl/>
              </w:rPr>
            </w:pPr>
            <w:r>
              <w:rPr>
                <w:rtl/>
              </w:rPr>
              <w:t>(8).</w:t>
            </w:r>
            <w:r w:rsidRPr="00132E65">
              <w:rPr>
                <w:rtl/>
              </w:rPr>
              <w:t>في«ج»وحاشية«بر»والإرشاد والغيبة:«عن»</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ب »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(10). في«ب،ج»</w:t>
            </w:r>
            <w:r w:rsidRPr="00132E65">
              <w:rPr>
                <w:rtl/>
              </w:rPr>
              <w:t>وحاشية</w:t>
            </w:r>
            <w:r>
              <w:rPr>
                <w:rtl/>
              </w:rPr>
              <w:t>«ض»:«فقلت</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(11).</w:t>
            </w:r>
            <w:r w:rsidRPr="00132E65">
              <w:rPr>
                <w:rtl/>
              </w:rPr>
              <w:t xml:space="preserve"> في حاشية « ج » : « وإن »</w:t>
            </w:r>
            <w:r>
              <w:rPr>
                <w:rtl/>
              </w:rPr>
              <w:t>.</w:t>
            </w:r>
          </w:p>
        </w:tc>
        <w:tc>
          <w:tcPr>
            <w:tcW w:w="4006" w:type="dxa"/>
          </w:tcPr>
          <w:p w:rsidR="000C39D1" w:rsidRDefault="000C39D1" w:rsidP="00B53873">
            <w:pPr>
              <w:pStyle w:val="libFootnote0"/>
              <w:rPr>
                <w:rtl/>
              </w:rPr>
            </w:pPr>
            <w:r>
              <w:rPr>
                <w:rtl/>
              </w:rPr>
              <w:t>(12).في</w:t>
            </w:r>
            <w:r w:rsidRPr="00132E65">
              <w:rPr>
                <w:rtl/>
              </w:rPr>
              <w:t>«بح»:«فيك»</w:t>
            </w:r>
            <w:r>
              <w:rPr>
                <w:rtl/>
              </w:rPr>
              <w:t>.</w:t>
            </w:r>
            <w:r w:rsidRPr="00132E65">
              <w:rPr>
                <w:rtl/>
              </w:rPr>
              <w:t>وفي</w:t>
            </w:r>
            <w:r>
              <w:rPr>
                <w:rFonts w:hint="cs"/>
                <w:rtl/>
              </w:rPr>
              <w:t xml:space="preserve"> </w:t>
            </w:r>
            <w:r w:rsidRPr="00132E65">
              <w:rPr>
                <w:rtl/>
              </w:rPr>
              <w:t>الإرشاد والغيبة</w:t>
            </w:r>
            <w:r>
              <w:rPr>
                <w:rtl/>
              </w:rPr>
              <w:t>:-</w:t>
            </w:r>
            <w:r w:rsidRPr="00132E65">
              <w:rPr>
                <w:rtl/>
              </w:rPr>
              <w:t>«بك»</w:t>
            </w:r>
            <w:r>
              <w:rPr>
                <w:rtl/>
              </w:rPr>
              <w:t>.</w:t>
            </w:r>
          </w:p>
        </w:tc>
      </w:tr>
    </w:tbl>
    <w:p w:rsidR="000C39D1" w:rsidRPr="00132E65" w:rsidRDefault="000C39D1" w:rsidP="000C39D1">
      <w:pPr>
        <w:pStyle w:val="libFootnote0"/>
        <w:rPr>
          <w:rtl/>
          <w:lang w:bidi="fa-IR"/>
        </w:rPr>
      </w:pPr>
      <w:r>
        <w:rPr>
          <w:rtl/>
        </w:rPr>
        <w:t>(13)</w:t>
      </w:r>
      <w:r w:rsidRPr="00132E65">
        <w:rPr>
          <w:rtl/>
        </w:rPr>
        <w:t xml:space="preserve"> </w:t>
      </w:r>
      <w:r w:rsidRPr="00EB25BF">
        <w:rPr>
          <w:rtl/>
        </w:rPr>
        <w:t>الإرشاد</w:t>
      </w:r>
      <w:r w:rsidRPr="00132E65">
        <w:rPr>
          <w:rtl/>
        </w:rPr>
        <w:t xml:space="preserve"> ، ج 2 ، ص 348 ، بسنده عن الكليني. </w:t>
      </w:r>
      <w:r w:rsidRPr="00EB25BF">
        <w:rPr>
          <w:rtl/>
        </w:rPr>
        <w:t>الغيبة</w:t>
      </w:r>
      <w:r w:rsidRPr="00132E65">
        <w:rPr>
          <w:rtl/>
        </w:rPr>
        <w:t xml:space="preserve"> للطوسي ، ص 232 ، ح 199 عن أبي هاشم الجعفري </w:t>
      </w:r>
      <w:r>
        <w:rPr>
          <w:rFonts w:hint="cs"/>
          <w:rtl/>
        </w:rPr>
        <w:t>.</w:t>
      </w:r>
      <w:r w:rsidRPr="009D1ACE">
        <w:rPr>
          <w:rStyle w:val="libFootnoteBoldChar"/>
          <w:rtl/>
        </w:rPr>
        <w:t>الوافي</w:t>
      </w:r>
      <w:r w:rsidRPr="00132E65">
        <w:rPr>
          <w:rtl/>
        </w:rPr>
        <w:t xml:space="preserve"> ، ج 2 ، ص 391 ، ح 880.</w:t>
      </w:r>
      <w:r>
        <w:rPr>
          <w:rFonts w:hint="cs"/>
          <w:rtl/>
        </w:rPr>
        <w:t xml:space="preserve">            </w:t>
      </w:r>
      <w:r>
        <w:rPr>
          <w:rtl/>
        </w:rPr>
        <w:t>(14)</w:t>
      </w:r>
      <w:r w:rsidRPr="00132E65">
        <w:rPr>
          <w:rtl/>
        </w:rPr>
        <w:t xml:space="preserve"> في « ه‍ ، ف ، بح ، بس »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(15)</w:t>
      </w:r>
      <w:r w:rsidRPr="00132E65">
        <w:rPr>
          <w:rtl/>
        </w:rPr>
        <w:t xml:space="preserve"> </w:t>
      </w:r>
      <w:r w:rsidRPr="000577A7">
        <w:rPr>
          <w:rStyle w:val="libFootnoteBoldChar"/>
          <w:rtl/>
        </w:rPr>
        <w:t>الكافي</w:t>
      </w:r>
      <w:r w:rsidRPr="00132E65">
        <w:rPr>
          <w:rtl/>
        </w:rPr>
        <w:t xml:space="preserve"> ، كتاب الحجّة ، باب في تسمية من رآه </w:t>
      </w:r>
      <w:r w:rsidRPr="003163CD">
        <w:rPr>
          <w:rStyle w:val="libFootnoteAlaemChar"/>
          <w:rtl/>
        </w:rPr>
        <w:t>عليه‌السلام</w:t>
      </w:r>
      <w:r w:rsidRPr="00132E65">
        <w:rPr>
          <w:rtl/>
        </w:rPr>
        <w:t xml:space="preserve"> ، ح 880. </w:t>
      </w:r>
      <w:r w:rsidRPr="00EB25BF">
        <w:rPr>
          <w:rtl/>
        </w:rPr>
        <w:t>الإرشاد</w:t>
      </w:r>
      <w:r w:rsidRPr="00132E65">
        <w:rPr>
          <w:rtl/>
        </w:rPr>
        <w:t xml:space="preserve"> ، ج 2 ، ص 348 ؛ وص 353 ، بسنده عن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EB25BF">
        <w:rPr>
          <w:rtl/>
        </w:rPr>
        <w:t>866</w:t>
      </w:r>
      <w:r w:rsidRPr="004325D8">
        <w:rPr>
          <w:rStyle w:val="libBold2Char"/>
          <w:rtl/>
        </w:rPr>
        <w:t xml:space="preserve"> / 4.</w:t>
      </w:r>
      <w:r w:rsidRPr="00132E65">
        <w:rPr>
          <w:rtl/>
          <w:lang w:bidi="fa-IR"/>
        </w:rPr>
        <w:t xml:space="preserve"> عَلِيُّ بْنُ مُحَمَّدٍ ، عَنْ حَمْدَانَ الْقَلَانِسِيِّ ، قَالَ :</w:t>
      </w:r>
    </w:p>
    <w:p w:rsidR="000C39D1" w:rsidRPr="00132E65" w:rsidRDefault="000C39D1" w:rsidP="000C39D1">
      <w:pPr>
        <w:pStyle w:val="libNormal"/>
        <w:rPr>
          <w:rtl/>
          <w:lang w:bidi="fa-IR"/>
        </w:rPr>
      </w:pPr>
      <w:r w:rsidRPr="00132E65">
        <w:rPr>
          <w:rtl/>
          <w:lang w:bidi="fa-IR"/>
        </w:rPr>
        <w:t xml:space="preserve">قُلْتُ لِلْعَمْرِيِّ </w:t>
      </w:r>
      <w:r>
        <w:rPr>
          <w:rStyle w:val="libFootnotenumChar"/>
          <w:rtl/>
        </w:rPr>
        <w:t>(1)</w:t>
      </w:r>
      <w:r w:rsidRPr="00132E65">
        <w:rPr>
          <w:rtl/>
          <w:lang w:bidi="fa-IR"/>
        </w:rPr>
        <w:t xml:space="preserve"> : قَدْ مَضى أَبُو مُحَمَّدٍ </w:t>
      </w:r>
      <w:r w:rsidRPr="00071CF9">
        <w:rPr>
          <w:rStyle w:val="libAlaemChar"/>
          <w:rtl/>
        </w:rPr>
        <w:t>عليه‌السلام</w:t>
      </w:r>
      <w:r>
        <w:rPr>
          <w:rtl/>
          <w:lang w:bidi="fa-IR"/>
        </w:rPr>
        <w:t>؟</w:t>
      </w:r>
      <w:r w:rsidRPr="00132E65">
        <w:rPr>
          <w:rtl/>
          <w:lang w:bidi="fa-IR"/>
        </w:rPr>
        <w:t xml:space="preserve"> فَقَالَ لِي </w:t>
      </w:r>
      <w:r>
        <w:rPr>
          <w:rStyle w:val="libFootnotenumChar"/>
          <w:rtl/>
        </w:rPr>
        <w:t>(2)</w:t>
      </w:r>
      <w:r w:rsidRPr="00132E65">
        <w:rPr>
          <w:rtl/>
          <w:lang w:bidi="fa-IR"/>
        </w:rPr>
        <w:t xml:space="preserve"> : قَدْ مَضى ، و</w:t>
      </w:r>
      <w:r>
        <w:rPr>
          <w:rFonts w:hint="cs"/>
          <w:rtl/>
          <w:lang w:bidi="fa-IR"/>
        </w:rPr>
        <w:t>َ</w:t>
      </w:r>
      <w:r w:rsidRPr="00132E65">
        <w:rPr>
          <w:rtl/>
          <w:lang w:bidi="fa-IR"/>
        </w:rPr>
        <w:t xml:space="preserve">لكِنْ قَدْ خَلَّفَ فِيكُمْ مَنْ رَقَبَتُهُ مِثْلُ هذِهِ </w:t>
      </w:r>
      <w:r>
        <w:rPr>
          <w:rStyle w:val="libFootnotenumChar"/>
          <w:rtl/>
        </w:rPr>
        <w:t>(3)</w:t>
      </w:r>
      <w:r w:rsidRPr="00132E65">
        <w:rPr>
          <w:rtl/>
          <w:lang w:bidi="fa-IR"/>
        </w:rPr>
        <w:t xml:space="preserve"> ، و</w:t>
      </w:r>
      <w:r>
        <w:rPr>
          <w:rFonts w:hint="cs"/>
          <w:rtl/>
          <w:lang w:bidi="fa-IR"/>
        </w:rPr>
        <w:t xml:space="preserve">َ </w:t>
      </w:r>
      <w:r w:rsidRPr="00132E65">
        <w:rPr>
          <w:rtl/>
          <w:lang w:bidi="fa-IR"/>
        </w:rPr>
        <w:t xml:space="preserve">أَشَارَ بِيَدِهِ.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EB25BF">
        <w:rPr>
          <w:rtl/>
        </w:rPr>
        <w:t>867</w:t>
      </w:r>
      <w:r w:rsidRPr="004325D8">
        <w:rPr>
          <w:rStyle w:val="libBold2Char"/>
          <w:rtl/>
        </w:rPr>
        <w:t xml:space="preserve"> / 5.</w:t>
      </w:r>
      <w:r w:rsidRPr="00132E65">
        <w:rPr>
          <w:rtl/>
          <w:lang w:bidi="fa-IR"/>
        </w:rPr>
        <w:t xml:space="preserve"> الْحُسَيْنُ بْنُ مُحَمَّدٍ الْأَشْعَرِيُّ ، عَنْ مُعَلَّى بْنِ مُحَمَّدٍ ، عَنْ أَحْمَدَ بْنِ مُحَ</w:t>
      </w:r>
      <w:r w:rsidR="001C701C">
        <w:rPr>
          <w:rtl/>
          <w:lang w:bidi="fa-IR"/>
        </w:rPr>
        <w:t>مَّدِ بْنِ عَبْدِ اللهِ ، قَالَ</w:t>
      </w:r>
      <w:r w:rsidRPr="00132E65">
        <w:rPr>
          <w:rtl/>
          <w:lang w:bidi="fa-IR"/>
        </w:rPr>
        <w:t>:</w:t>
      </w:r>
    </w:p>
    <w:p w:rsidR="000C39D1" w:rsidRDefault="000C39D1" w:rsidP="000C39D1">
      <w:pPr>
        <w:pStyle w:val="libNormal"/>
        <w:rPr>
          <w:rtl/>
          <w:lang w:bidi="fa-IR"/>
        </w:rPr>
      </w:pPr>
      <w:r w:rsidRPr="00132E65">
        <w:rPr>
          <w:rtl/>
          <w:lang w:bidi="fa-IR"/>
        </w:rPr>
        <w:t xml:space="preserve">خَرَجَ </w:t>
      </w:r>
      <w:r>
        <w:rPr>
          <w:rStyle w:val="libFootnotenumChar"/>
          <w:rtl/>
        </w:rPr>
        <w:t>(5)</w:t>
      </w:r>
      <w:r w:rsidRPr="00132E65">
        <w:rPr>
          <w:rtl/>
          <w:lang w:bidi="fa-IR"/>
        </w:rPr>
        <w:t xml:space="preserve"> عَنْ أَبِي مُحَمَّدٍ </w:t>
      </w:r>
      <w:r w:rsidRPr="00071CF9">
        <w:rPr>
          <w:rStyle w:val="libAlaemChar"/>
          <w:rtl/>
        </w:rPr>
        <w:t>عليه‌السلام</w:t>
      </w:r>
      <w:r w:rsidRPr="00132E65">
        <w:rPr>
          <w:rtl/>
          <w:lang w:bidi="fa-IR"/>
        </w:rPr>
        <w:t xml:space="preserve"> حِينَ قُتِلَ الزُّبَيْرِيُّ </w:t>
      </w:r>
      <w:r>
        <w:rPr>
          <w:rStyle w:val="libFootnotenumChar"/>
          <w:rtl/>
        </w:rPr>
        <w:t>(6)</w:t>
      </w:r>
      <w:r w:rsidRPr="00132E65">
        <w:rPr>
          <w:rtl/>
          <w:lang w:bidi="fa-IR"/>
        </w:rPr>
        <w:t xml:space="preserve"> لَعَنَهُ اللهُ </w:t>
      </w:r>
      <w:r>
        <w:rPr>
          <w:rStyle w:val="libFootnotenumChar"/>
          <w:rtl/>
        </w:rPr>
        <w:t>(7)</w:t>
      </w:r>
      <w:r w:rsidRPr="00132E65">
        <w:rPr>
          <w:rtl/>
          <w:lang w:bidi="fa-IR"/>
        </w:rPr>
        <w:t xml:space="preserve"> : « هذَا جَزَاءُ مَنِ اجْتَرَأَ </w:t>
      </w:r>
      <w:r>
        <w:rPr>
          <w:rStyle w:val="libFootnotenumChar"/>
          <w:rtl/>
        </w:rPr>
        <w:t>(8)</w:t>
      </w:r>
      <w:r w:rsidRPr="00132E65">
        <w:rPr>
          <w:rtl/>
          <w:lang w:bidi="fa-IR"/>
        </w:rPr>
        <w:t xml:space="preserve"> عَلَى اللهِ فِي أَوْلِيَائِهِ ، يَزْعُمُ </w:t>
      </w:r>
      <w:r>
        <w:rPr>
          <w:rStyle w:val="libFootnotenumChar"/>
          <w:rtl/>
        </w:rPr>
        <w:t>(9)</w:t>
      </w:r>
      <w:r w:rsidRPr="00132E65">
        <w:rPr>
          <w:rtl/>
          <w:lang w:bidi="fa-IR"/>
        </w:rPr>
        <w:t xml:space="preserve"> أَنَّهُ يَقْتُلُنِي ، و</w:t>
      </w:r>
      <w:r>
        <w:rPr>
          <w:rFonts w:hint="cs"/>
          <w:rtl/>
          <w:lang w:bidi="fa-IR"/>
        </w:rPr>
        <w:t xml:space="preserve">َ </w:t>
      </w:r>
      <w:r w:rsidRPr="00132E65">
        <w:rPr>
          <w:rtl/>
          <w:lang w:bidi="fa-IR"/>
        </w:rPr>
        <w:t xml:space="preserve">لَيْسَ لِي عَقِبٌ </w:t>
      </w:r>
      <w:r>
        <w:rPr>
          <w:rStyle w:val="libFootnotenumChar"/>
          <w:rtl/>
        </w:rPr>
        <w:t>(10)</w:t>
      </w:r>
      <w:r w:rsidRPr="00132E65">
        <w:rPr>
          <w:rtl/>
          <w:lang w:bidi="fa-IR"/>
        </w:rPr>
        <w:t xml:space="preserve"> ، فَكَيْفَ رَأى قُدْرَةَ اللهِ فِيهِ </w:t>
      </w:r>
      <w:r>
        <w:rPr>
          <w:rStyle w:val="libFootnotenumChar"/>
          <w:rtl/>
        </w:rPr>
        <w:t>(11)</w:t>
      </w:r>
    </w:p>
    <w:p w:rsidR="000C39D1" w:rsidRPr="00132E65" w:rsidRDefault="000C39D1" w:rsidP="000C39D1">
      <w:pPr>
        <w:pStyle w:val="libNormal"/>
        <w:rPr>
          <w:rtl/>
          <w:lang w:bidi="fa-IR"/>
        </w:rPr>
      </w:pPr>
      <w:r w:rsidRPr="00132E65">
        <w:rPr>
          <w:rtl/>
          <w:lang w:bidi="fa-IR"/>
        </w:rPr>
        <w:t>وَو</w:t>
      </w:r>
      <w:r>
        <w:rPr>
          <w:rFonts w:hint="cs"/>
          <w:rtl/>
          <w:lang w:bidi="fa-IR"/>
        </w:rPr>
        <w:t>ُ</w:t>
      </w:r>
      <w:r w:rsidRPr="00132E65">
        <w:rPr>
          <w:rtl/>
          <w:lang w:bidi="fa-IR"/>
        </w:rPr>
        <w:t>لِدَ لَهُ و</w:t>
      </w:r>
      <w:r>
        <w:rPr>
          <w:rFonts w:hint="cs"/>
          <w:rtl/>
          <w:lang w:bidi="fa-IR"/>
        </w:rPr>
        <w:t>َ</w:t>
      </w:r>
      <w:r w:rsidRPr="00132E65">
        <w:rPr>
          <w:rtl/>
          <w:lang w:bidi="fa-IR"/>
        </w:rPr>
        <w:t xml:space="preserve">لَدٌ </w:t>
      </w:r>
      <w:r>
        <w:rPr>
          <w:rStyle w:val="libFootnotenumChar"/>
          <w:rtl/>
        </w:rPr>
        <w:t>(12)</w:t>
      </w:r>
      <w:r>
        <w:rPr>
          <w:rtl/>
          <w:lang w:bidi="fa-IR"/>
        </w:rPr>
        <w:t>؟ » سَمَّاهُ « م</w:t>
      </w:r>
      <w:r>
        <w:rPr>
          <w:rFonts w:hint="cs"/>
          <w:rtl/>
          <w:lang w:bidi="fa-IR"/>
        </w:rPr>
        <w:t xml:space="preserve"> ح م د</w:t>
      </w:r>
      <w:r w:rsidRPr="00132E65">
        <w:rPr>
          <w:rtl/>
          <w:lang w:bidi="fa-IR"/>
        </w:rPr>
        <w:t xml:space="preserve"> </w:t>
      </w:r>
      <w:r w:rsidRPr="00F543F1">
        <w:rPr>
          <w:rStyle w:val="libFootnotenumChar"/>
          <w:rtl/>
        </w:rPr>
        <w:t>(</w:t>
      </w:r>
      <w:r w:rsidRPr="00F543F1">
        <w:rPr>
          <w:rStyle w:val="libFootnotenumChar"/>
          <w:rFonts w:hint="cs"/>
          <w:rtl/>
        </w:rPr>
        <w:t>13</w:t>
      </w:r>
      <w:r w:rsidRPr="00F543F1">
        <w:rPr>
          <w:rStyle w:val="libFootnotenumChar"/>
          <w:rtl/>
        </w:rPr>
        <w:t>)</w:t>
      </w:r>
      <w:r w:rsidRPr="00132E65">
        <w:rPr>
          <w:rtl/>
          <w:lang w:bidi="fa-IR"/>
        </w:rPr>
        <w:t xml:space="preserve"> » فِي سَنَةِ سِتٍّ وخَمْسِينَ و</w:t>
      </w:r>
      <w:r>
        <w:rPr>
          <w:rFonts w:hint="cs"/>
          <w:rtl/>
          <w:lang w:bidi="fa-IR"/>
        </w:rPr>
        <w:t xml:space="preserve">َ </w:t>
      </w:r>
      <w:r w:rsidRPr="00132E65">
        <w:rPr>
          <w:rtl/>
          <w:lang w:bidi="fa-IR"/>
        </w:rPr>
        <w:t xml:space="preserve">مِائَتَيْنِ. </w:t>
      </w:r>
      <w:r w:rsidRPr="00F543F1">
        <w:rPr>
          <w:rStyle w:val="libFootnotenumChar"/>
          <w:rtl/>
        </w:rPr>
        <w:t>(</w:t>
      </w:r>
      <w:r w:rsidRPr="00F543F1">
        <w:rPr>
          <w:rStyle w:val="libFootnotenumChar"/>
          <w:rFonts w:hint="cs"/>
          <w:rtl/>
        </w:rPr>
        <w:t>14</w:t>
      </w:r>
      <w:r w:rsidRPr="00F543F1">
        <w:rPr>
          <w:rStyle w:val="libFootnotenumChar"/>
          <w:rtl/>
        </w:rPr>
        <w:t>)</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rPr>
      </w:pPr>
      <w:r>
        <w:rPr>
          <w:rFonts w:hint="cs"/>
          <w:rtl/>
        </w:rPr>
        <w:t>=</w:t>
      </w:r>
      <w:r w:rsidRPr="00132E65">
        <w:rPr>
          <w:rtl/>
        </w:rPr>
        <w:t xml:space="preserve">الكليني. </w:t>
      </w:r>
      <w:r w:rsidRPr="00EB25BF">
        <w:rPr>
          <w:rtl/>
        </w:rPr>
        <w:t>الغيبة</w:t>
      </w:r>
      <w:r w:rsidRPr="00132E65">
        <w:rPr>
          <w:rtl/>
        </w:rPr>
        <w:t xml:space="preserve"> للطوسي ، 234 ، ح 203</w:t>
      </w:r>
      <w:r>
        <w:rPr>
          <w:rtl/>
        </w:rPr>
        <w:t xml:space="preserve"> </w:t>
      </w:r>
      <w:r>
        <w:rPr>
          <w:rFonts w:hint="cs"/>
          <w:rtl/>
        </w:rPr>
        <w:t xml:space="preserve">بسنده عن </w:t>
      </w:r>
      <w:r w:rsidRPr="00132E65">
        <w:rPr>
          <w:rtl/>
        </w:rPr>
        <w:t xml:space="preserve">عمرو الأهوازي. </w:t>
      </w:r>
      <w:r w:rsidRPr="00EB25BF">
        <w:rPr>
          <w:rtl/>
        </w:rPr>
        <w:t>كمال الدين</w:t>
      </w:r>
      <w:r w:rsidRPr="00132E65">
        <w:rPr>
          <w:rtl/>
        </w:rPr>
        <w:t xml:space="preserve"> ، ص 431 ، ح 8 ، بسند آخر ، مع اختلاف يسير وزيادة في أوّله وآخره </w:t>
      </w:r>
      <w:r>
        <w:rPr>
          <w:rFonts w:hint="cs"/>
          <w:rtl/>
        </w:rPr>
        <w:t>.</w:t>
      </w:r>
      <w:r w:rsidRPr="009D1ACE">
        <w:rPr>
          <w:rStyle w:val="libFootnoteBoldChar"/>
          <w:rtl/>
        </w:rPr>
        <w:t>الوافي</w:t>
      </w:r>
      <w:r w:rsidRPr="00132E65">
        <w:rPr>
          <w:rtl/>
        </w:rPr>
        <w:t xml:space="preserve"> ، ج 2 ، ص 392 ، ح 883.</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الإرشاد : « لأبي عمرو العمري »</w:t>
            </w:r>
            <w:r>
              <w:rPr>
                <w:rtl/>
              </w:rPr>
              <w:t>.</w:t>
            </w:r>
          </w:p>
        </w:tc>
        <w:tc>
          <w:tcPr>
            <w:tcW w:w="4006" w:type="dxa"/>
          </w:tcPr>
          <w:p w:rsidR="000C39D1" w:rsidRDefault="000C39D1" w:rsidP="00B53873">
            <w:pPr>
              <w:pStyle w:val="libFootnote0"/>
              <w:rPr>
                <w:rtl/>
              </w:rPr>
            </w:pPr>
            <w:r>
              <w:rPr>
                <w:rtl/>
              </w:rPr>
              <w:t>(2).</w:t>
            </w:r>
            <w:r w:rsidRPr="00132E65">
              <w:rPr>
                <w:rtl/>
              </w:rPr>
              <w:t xml:space="preserve"> في </w:t>
            </w:r>
            <w:r w:rsidRPr="000577A7">
              <w:rPr>
                <w:rStyle w:val="libFootnoteBoldChar"/>
                <w:rtl/>
              </w:rPr>
              <w:t>الكافي</w:t>
            </w:r>
            <w:r w:rsidRPr="00132E65">
              <w:rPr>
                <w:rtl/>
              </w:rPr>
              <w:t xml:space="preserve"> ، ح 872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0577A7">
        <w:rPr>
          <w:rStyle w:val="libFootnoteBoldChar"/>
          <w:rtl/>
        </w:rPr>
        <w:t>الكافي</w:t>
      </w:r>
      <w:r w:rsidRPr="00132E65">
        <w:rPr>
          <w:rtl/>
        </w:rPr>
        <w:t xml:space="preserve"> ، ح 872 : « هذا »</w:t>
      </w:r>
      <w:r>
        <w:rPr>
          <w:rtl/>
        </w:rPr>
        <w:t>.</w:t>
      </w:r>
    </w:p>
    <w:p w:rsidR="000C39D1" w:rsidRPr="00132E65" w:rsidRDefault="000C39D1" w:rsidP="000C39D1">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الحجّة ، باب في تسمية من رآه </w:t>
      </w:r>
      <w:r w:rsidRPr="00DB3F3A">
        <w:rPr>
          <w:rStyle w:val="libFootnoteAlaemChar"/>
          <w:rtl/>
        </w:rPr>
        <w:t>عليه‌السلام</w:t>
      </w:r>
      <w:r w:rsidRPr="00132E65">
        <w:rPr>
          <w:rtl/>
        </w:rPr>
        <w:t xml:space="preserve"> ، ح 872 ؛ </w:t>
      </w:r>
      <w:r w:rsidRPr="00EB25BF">
        <w:rPr>
          <w:rtl/>
        </w:rPr>
        <w:t>الإرشاد</w:t>
      </w:r>
      <w:r w:rsidRPr="00132E65">
        <w:rPr>
          <w:rtl/>
        </w:rPr>
        <w:t xml:space="preserve"> ، ج 2 ، ص 348 ؛ وص 351 ، بسنده عن الكليني مع اختلاف يسير </w:t>
      </w:r>
      <w:r>
        <w:rPr>
          <w:rFonts w:hint="cs"/>
          <w:rtl/>
        </w:rPr>
        <w:t>.</w:t>
      </w:r>
      <w:r w:rsidRPr="009D1ACE">
        <w:rPr>
          <w:rStyle w:val="libFootnoteBoldChar"/>
          <w:rtl/>
        </w:rPr>
        <w:t>الوافي</w:t>
      </w:r>
      <w:r w:rsidRPr="00132E65">
        <w:rPr>
          <w:rtl/>
        </w:rPr>
        <w:t xml:space="preserve"> ، ج 2 ، ص 393 ، ح 885.</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إليّ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ج 4 ، ص 3 : « الزبيري كان لقب بعض الأشقياء من ولد الزبير ، كان في زمانه </w:t>
      </w:r>
      <w:r w:rsidRPr="00DB3F3A">
        <w:rPr>
          <w:rStyle w:val="libFootnoteAlaemChar"/>
          <w:rtl/>
        </w:rPr>
        <w:t>عليه‌السلام</w:t>
      </w:r>
      <w:r w:rsidRPr="00132E65">
        <w:rPr>
          <w:rtl/>
        </w:rPr>
        <w:t xml:space="preserve"> ، فهدّده وقتله الله على يد الخليفة أو غيره. وصحّف بعضهم وقرأ بفتح الزاي وكسر الباء ، من الزبيري بمعنى الداهية ، كناية عن المهتدي العبّاسي ؛ حيث قتله الموالي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ح 1357 ، وكمال الدين والغيبة </w:t>
      </w:r>
      <w:r>
        <w:rPr>
          <w:rtl/>
        </w:rPr>
        <w:t xml:space="preserve">: - </w:t>
      </w:r>
      <w:r w:rsidRPr="00132E65">
        <w:rPr>
          <w:rtl/>
        </w:rPr>
        <w:t>« لعنه الله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 ح 1357 ، وكمال الدين والغيبة : « افترى »</w:t>
      </w:r>
      <w:r>
        <w:rPr>
          <w:rtl/>
        </w:rPr>
        <w:t>.</w:t>
      </w:r>
    </w:p>
    <w:p w:rsidR="000C39D1" w:rsidRPr="00132E65" w:rsidRDefault="000C39D1" w:rsidP="000C39D1">
      <w:pPr>
        <w:pStyle w:val="libFootnote0"/>
        <w:rPr>
          <w:rtl/>
          <w:lang w:bidi="fa-IR"/>
        </w:rPr>
      </w:pPr>
      <w:r>
        <w:rPr>
          <w:rtl/>
          <w:lang w:bidi="fa-IR"/>
        </w:rPr>
        <w:t>(9).</w:t>
      </w:r>
      <w:r w:rsidRPr="00132E65">
        <w:rPr>
          <w:rtl/>
          <w:lang w:bidi="fa-IR"/>
        </w:rPr>
        <w:t xml:space="preserve"> في </w:t>
      </w:r>
      <w:r w:rsidRPr="000577A7">
        <w:rPr>
          <w:rStyle w:val="libFootnoteBoldChar"/>
          <w:rtl/>
        </w:rPr>
        <w:t>الكافي</w:t>
      </w:r>
      <w:r w:rsidRPr="00132E65">
        <w:rPr>
          <w:rtl/>
          <w:lang w:bidi="fa-IR"/>
        </w:rPr>
        <w:t xml:space="preserve"> ، ح 1357 ، وكمال الدين والإرشاد والغيبة : « زعم »</w:t>
      </w:r>
      <w:r>
        <w:rPr>
          <w:rtl/>
          <w:lang w:bidi="fa-IR"/>
        </w:rPr>
        <w:t>.</w:t>
      </w:r>
    </w:p>
    <w:p w:rsidR="000C39D1" w:rsidRPr="00132E65" w:rsidRDefault="000C39D1" w:rsidP="000C39D1">
      <w:pPr>
        <w:pStyle w:val="libFootnote0"/>
        <w:rPr>
          <w:rtl/>
          <w:lang w:bidi="fa-IR"/>
        </w:rPr>
      </w:pPr>
      <w:r>
        <w:rPr>
          <w:rtl/>
        </w:rPr>
        <w:t>(10).</w:t>
      </w:r>
      <w:r w:rsidRPr="00132E65">
        <w:rPr>
          <w:rtl/>
        </w:rPr>
        <w:t xml:space="preserve"> قال الجوهري : « عَقِبُ الرجل : و</w:t>
      </w:r>
      <w:r>
        <w:rPr>
          <w:rFonts w:hint="cs"/>
          <w:rtl/>
        </w:rPr>
        <w:t>َ</w:t>
      </w:r>
      <w:r w:rsidRPr="00132E65">
        <w:rPr>
          <w:rtl/>
        </w:rPr>
        <w:t>لَده ووَلَد ولده »</w:t>
      </w:r>
      <w:r>
        <w:rPr>
          <w:rtl/>
        </w:rPr>
        <w:t>.</w:t>
      </w:r>
      <w:r w:rsidRPr="00132E65">
        <w:rPr>
          <w:rtl/>
        </w:rPr>
        <w:t xml:space="preserve"> </w:t>
      </w:r>
      <w:r w:rsidRPr="00EB25BF">
        <w:rPr>
          <w:rtl/>
        </w:rPr>
        <w:t>الصحاح</w:t>
      </w:r>
      <w:r w:rsidRPr="00132E65">
        <w:rPr>
          <w:rtl/>
        </w:rPr>
        <w:t xml:space="preserve"> ، ج 1 ، ص 184 ( عقب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(11).</w:t>
            </w:r>
            <w:r w:rsidRPr="00132E65">
              <w:rPr>
                <w:rtl/>
              </w:rPr>
              <w:t xml:space="preserve"> في </w:t>
            </w:r>
            <w:r w:rsidRPr="000577A7">
              <w:rPr>
                <w:rStyle w:val="libFootnoteBoldChar"/>
                <w:rtl/>
              </w:rPr>
              <w:t>الكافي</w:t>
            </w:r>
            <w:r w:rsidRPr="00132E65">
              <w:rPr>
                <w:rtl/>
              </w:rPr>
              <w:t>،</w:t>
            </w:r>
            <w:r>
              <w:rPr>
                <w:rtl/>
              </w:rPr>
              <w:t>ح 1357</w:t>
            </w:r>
            <w:r w:rsidRPr="00132E65">
              <w:rPr>
                <w:rtl/>
              </w:rPr>
              <w:t>،</w:t>
            </w:r>
            <w:r>
              <w:rPr>
                <w:rtl/>
              </w:rPr>
              <w:t>وكمال الدين:-</w:t>
            </w:r>
            <w:r w:rsidRPr="00132E65">
              <w:rPr>
                <w:rtl/>
              </w:rPr>
              <w:t>«فيه»</w:t>
            </w:r>
            <w:r>
              <w:rPr>
                <w:rtl/>
              </w:rPr>
              <w:t>.</w:t>
            </w:r>
          </w:p>
        </w:tc>
        <w:tc>
          <w:tcPr>
            <w:tcW w:w="4006" w:type="dxa"/>
          </w:tcPr>
          <w:p w:rsidR="000C39D1" w:rsidRDefault="000C39D1" w:rsidP="00B53873">
            <w:pPr>
              <w:pStyle w:val="libFootnote0"/>
              <w:rPr>
                <w:rtl/>
                <w:lang w:bidi="fa-IR"/>
              </w:rPr>
            </w:pPr>
            <w:r>
              <w:rPr>
                <w:rtl/>
              </w:rPr>
              <w:t>(12).</w:t>
            </w:r>
            <w:r w:rsidRPr="00132E65">
              <w:rPr>
                <w:rtl/>
              </w:rPr>
              <w:t>في</w:t>
            </w:r>
            <w:r>
              <w:rPr>
                <w:rFonts w:hint="cs"/>
                <w:rtl/>
              </w:rPr>
              <w:t xml:space="preserve"> </w:t>
            </w:r>
            <w:r w:rsidRPr="00132E65">
              <w:rPr>
                <w:rtl/>
              </w:rPr>
              <w:t>الإرشاد:«قال محمّد بن عبد الله:وولد له ولد»</w:t>
            </w:r>
            <w:r>
              <w:rPr>
                <w:rtl/>
              </w:rPr>
              <w:t>.</w:t>
            </w:r>
          </w:p>
        </w:tc>
      </w:tr>
    </w:tbl>
    <w:p w:rsidR="000C39D1" w:rsidRPr="00132E65" w:rsidRDefault="000C39D1" w:rsidP="000C39D1">
      <w:pPr>
        <w:pStyle w:val="libFootnote0"/>
        <w:rPr>
          <w:rtl/>
          <w:lang w:bidi="fa-IR"/>
        </w:rPr>
      </w:pPr>
      <w:r>
        <w:rPr>
          <w:rtl/>
        </w:rPr>
        <w:t>(13)</w:t>
      </w:r>
      <w:r w:rsidRPr="00132E65">
        <w:rPr>
          <w:rtl/>
        </w:rPr>
        <w:t xml:space="preserve"> في حاشية « بف » : « فلاناً »</w:t>
      </w:r>
      <w:r>
        <w:rPr>
          <w:rtl/>
        </w:rPr>
        <w:t>.</w:t>
      </w:r>
      <w:r w:rsidRPr="00132E65">
        <w:rPr>
          <w:rtl/>
        </w:rPr>
        <w:t xml:space="preserve"> وتقطيع الحروف لعدم جواز التسمية ، كما ورد في أخبار كثيرة.</w:t>
      </w:r>
    </w:p>
    <w:p w:rsidR="000C39D1" w:rsidRPr="00132E65" w:rsidRDefault="000C39D1" w:rsidP="000C39D1">
      <w:pPr>
        <w:pStyle w:val="libFootnote0"/>
        <w:rPr>
          <w:rtl/>
          <w:lang w:bidi="fa-IR"/>
        </w:rPr>
      </w:pPr>
      <w:r>
        <w:rPr>
          <w:rtl/>
        </w:rPr>
        <w:t>(14)</w:t>
      </w:r>
      <w:r w:rsidRPr="00132E65">
        <w:rPr>
          <w:rtl/>
        </w:rPr>
        <w:t xml:space="preserve"> </w:t>
      </w:r>
      <w:r w:rsidRPr="000577A7">
        <w:rPr>
          <w:rStyle w:val="libFootnoteBoldChar"/>
          <w:rtl/>
        </w:rPr>
        <w:t>الكافي</w:t>
      </w:r>
      <w:r w:rsidRPr="00132E65">
        <w:rPr>
          <w:rtl/>
        </w:rPr>
        <w:t xml:space="preserve"> ، كتاب الحجّة ، باب مولد الصاحب </w:t>
      </w:r>
      <w:r w:rsidRPr="0037556E">
        <w:rPr>
          <w:rStyle w:val="libFootnoteAlaemChar"/>
          <w:rtl/>
        </w:rPr>
        <w:t>عليه‌السلام</w:t>
      </w:r>
      <w:r w:rsidRPr="00132E65">
        <w:rPr>
          <w:rtl/>
        </w:rPr>
        <w:t xml:space="preserve"> ، ح 1357. وفي </w:t>
      </w:r>
      <w:r w:rsidRPr="00EB25BF">
        <w:rPr>
          <w:rtl/>
        </w:rPr>
        <w:t>الإرشاد</w:t>
      </w:r>
      <w:r w:rsidRPr="00132E65">
        <w:rPr>
          <w:rtl/>
        </w:rPr>
        <w:t xml:space="preserve"> ، ج 2 ، ص 349 ، بسنده عن الكليني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EB25BF">
        <w:rPr>
          <w:rtl/>
        </w:rPr>
        <w:t>868</w:t>
      </w:r>
      <w:r w:rsidRPr="004325D8">
        <w:rPr>
          <w:rStyle w:val="libBold2Char"/>
          <w:rtl/>
        </w:rPr>
        <w:t xml:space="preserve"> / 6.</w:t>
      </w:r>
      <w:r w:rsidRPr="00132E65">
        <w:rPr>
          <w:rtl/>
          <w:lang w:bidi="fa-IR"/>
        </w:rPr>
        <w:t xml:space="preserve"> عَلِيُّ بْنُ مُحَمَّدٍ ، عَنِ الْحُسَيْنِ </w:t>
      </w:r>
      <w:r>
        <w:rPr>
          <w:rStyle w:val="libFootnotenumChar"/>
          <w:rtl/>
        </w:rPr>
        <w:t>(1)</w:t>
      </w:r>
      <w:r w:rsidRPr="00132E65">
        <w:rPr>
          <w:rtl/>
          <w:lang w:bidi="fa-IR"/>
        </w:rPr>
        <w:t xml:space="preserve"> ومُحَمَّدٍ ابْنَيْ عَلِيِّ بْنِ إِبْرَاهِيمَ ، عَنْ مُحَمَّدِ بْنِ عَلِيِّ بْنِ عَبْدِ الرَّحْمنِ الْعَبْدِيِّ مِنْ عَبْدِ قَيْسٍ ، عَنْ ضَوْءِ بْنِ عَلِيٍّ الْعِجْلِيِّ ، عَنْ رَجُلٍ مِنْ أَهْلِ فَارِسَ سَمَّاهُ ، قَالَ :</w:t>
      </w:r>
    </w:p>
    <w:p w:rsidR="000C39D1" w:rsidRPr="00132E65" w:rsidRDefault="000C39D1" w:rsidP="000C39D1">
      <w:pPr>
        <w:pStyle w:val="libNormal"/>
        <w:rPr>
          <w:rtl/>
          <w:lang w:bidi="fa-IR"/>
        </w:rPr>
      </w:pPr>
      <w:r w:rsidRPr="00132E65">
        <w:rPr>
          <w:rtl/>
          <w:lang w:bidi="fa-IR"/>
        </w:rPr>
        <w:t xml:space="preserve">أَتَيْتُ سَامَرَّاءَ </w:t>
      </w:r>
      <w:r>
        <w:rPr>
          <w:rStyle w:val="libFootnotenumChar"/>
          <w:rtl/>
        </w:rPr>
        <w:t>(2)</w:t>
      </w:r>
      <w:r w:rsidRPr="00132E65">
        <w:rPr>
          <w:rtl/>
          <w:lang w:bidi="fa-IR"/>
        </w:rPr>
        <w:t xml:space="preserve"> ، ولَزِمْتُ بَابَ أَبِي مُحَمَّدٍ </w:t>
      </w:r>
      <w:r w:rsidRPr="00071CF9">
        <w:rPr>
          <w:rStyle w:val="libAlaemChar"/>
          <w:rtl/>
        </w:rPr>
        <w:t>عليه‌السلام</w:t>
      </w:r>
      <w:r w:rsidRPr="00132E65">
        <w:rPr>
          <w:rtl/>
          <w:lang w:bidi="fa-IR"/>
        </w:rPr>
        <w:t xml:space="preserve"> ، فَدَعَانِي ، فَدَخَلْتُ عَلَيْهِ وسَلَّمْتُ ، فَقَالَ </w:t>
      </w:r>
      <w:r>
        <w:rPr>
          <w:rStyle w:val="libFootnotenumChar"/>
          <w:rtl/>
        </w:rPr>
        <w:t>(3)</w:t>
      </w:r>
      <w:r w:rsidRPr="00132E65">
        <w:rPr>
          <w:rtl/>
          <w:lang w:bidi="fa-IR"/>
        </w:rPr>
        <w:t xml:space="preserve"> : « مَا الَّذِي أَقْدَمَكَ</w:t>
      </w:r>
      <w:r>
        <w:rPr>
          <w:rtl/>
          <w:lang w:bidi="fa-IR"/>
        </w:rPr>
        <w:t>؟</w:t>
      </w:r>
      <w:r w:rsidRPr="00132E65">
        <w:rPr>
          <w:rtl/>
          <w:lang w:bidi="fa-IR"/>
        </w:rPr>
        <w:t xml:space="preserve"> » قَالَ : قُلْتُ : رَغْبَةٌ فِي خِدْمَتِكَ ، قَالَ : فَقَالَ لِي : « فَالْزَمِ الْبَابَ </w:t>
      </w:r>
      <w:r>
        <w:rPr>
          <w:rStyle w:val="libFootnotenumChar"/>
          <w:rtl/>
        </w:rPr>
        <w:t>(4)</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فَكُنْتُ فِي الدَّارِ مَعَ الْخَدَمِ ، ثُمَّ صِرْتُ أَشْتَرِي لَهُمُ الْحَوَائِجَ مِنَ السُّوقِ ، وَكُنْتُ أَدْخُلُ عَلَيْهِمْ مِنْ غَيْرِ إِذْنٍ إِذَا كَانَ فِي دَارِ الرِّجَالِ </w:t>
      </w:r>
      <w:r>
        <w:rPr>
          <w:rStyle w:val="libFootnotenumChar"/>
          <w:rtl/>
        </w:rPr>
        <w:t>(5)</w:t>
      </w:r>
      <w:r w:rsidRPr="00132E65">
        <w:rPr>
          <w:rtl/>
          <w:lang w:bidi="fa-IR"/>
        </w:rPr>
        <w:t xml:space="preserve"> ، قَالَ : فَدَخَلْتُ عَلَيْهِ يَوْماً وهُوَ فِي دَارِ الرِّجَالِ ، فَسَمِعْتُ حَرَكَةً فِي الْبَيْتِ ، فَنَادَانِي : « مَكَانَكَ لَاتَبْرَحْ </w:t>
      </w:r>
      <w:r>
        <w:rPr>
          <w:rStyle w:val="libFootnotenumChar"/>
          <w:rtl/>
        </w:rPr>
        <w:t>(6)</w:t>
      </w:r>
      <w:r w:rsidRPr="00132E65">
        <w:rPr>
          <w:rtl/>
          <w:lang w:bidi="fa-IR"/>
        </w:rPr>
        <w:t xml:space="preserve"> » فَلَمْ أَجْسُرْ </w:t>
      </w:r>
      <w:r>
        <w:rPr>
          <w:rStyle w:val="libFootnotenumChar"/>
          <w:rtl/>
        </w:rPr>
        <w:t>(7)</w:t>
      </w:r>
      <w:r w:rsidRPr="00132E65">
        <w:rPr>
          <w:rtl/>
          <w:lang w:bidi="fa-IR"/>
        </w:rPr>
        <w:t xml:space="preserve"> أَنْ أَدْخُلَ ولَا</w:t>
      </w:r>
      <w:r>
        <w:rPr>
          <w:rFonts w:hint="cs"/>
          <w:rtl/>
          <w:lang w:bidi="fa-IR"/>
        </w:rPr>
        <w:t xml:space="preserve"> </w:t>
      </w:r>
      <w:r w:rsidRPr="00132E65">
        <w:rPr>
          <w:rtl/>
          <w:lang w:bidi="fa-IR"/>
        </w:rPr>
        <w:t>أَخْرُجَ ، فَخَرَجَتْ عَلَيَّ جَارِيَةٌ مَعَهَا شَيْ‌ءٌ مُغَطًّى ، ثُمَّ نَادَانِيَ :</w:t>
      </w:r>
      <w:r>
        <w:rPr>
          <w:rFonts w:hint="cs"/>
          <w:rtl/>
          <w:lang w:bidi="fa-IR"/>
        </w:rPr>
        <w:t xml:space="preserve"> </w:t>
      </w:r>
      <w:r w:rsidRPr="00132E65">
        <w:rPr>
          <w:rtl/>
          <w:lang w:bidi="fa-IR"/>
        </w:rPr>
        <w:t xml:space="preserve">« ادْخُلْ » فَدَخَلْتُ ، ونَادَى الْجَارِيَةَ ، فَرَجَعَتْ إِلَيْهِ ، فَقَالَ لَهَا : « اكْشِفِي عَمَّا مَعَكَ » فَكَشَفَتْ عَنْ غُلَامٍ أَبْيَضَ </w:t>
      </w:r>
      <w:r>
        <w:rPr>
          <w:rStyle w:val="libFootnotenumChar"/>
          <w:rtl/>
        </w:rPr>
        <w:t>(8)</w:t>
      </w:r>
      <w:r w:rsidRPr="00132E65">
        <w:rPr>
          <w:rtl/>
          <w:lang w:bidi="fa-IR"/>
        </w:rPr>
        <w:t xml:space="preserve"> ، حَسَنِ الْوَجْهِ ، وكَشَفَ </w:t>
      </w:r>
      <w:r>
        <w:rPr>
          <w:rStyle w:val="libFootnotenumChar"/>
          <w:rtl/>
        </w:rPr>
        <w:t>(9)</w:t>
      </w:r>
      <w:r w:rsidRPr="00132E65">
        <w:rPr>
          <w:rtl/>
          <w:lang w:bidi="fa-IR"/>
        </w:rPr>
        <w:t xml:space="preserve"> عَنْ بَطْنِهِ ، فَإِذَا </w:t>
      </w:r>
      <w:r>
        <w:rPr>
          <w:rStyle w:val="libFootnotenumChar"/>
          <w:rtl/>
        </w:rPr>
        <w:t>(10)</w:t>
      </w:r>
      <w:r w:rsidRPr="00132E65">
        <w:rPr>
          <w:rtl/>
          <w:lang w:bidi="fa-IR"/>
        </w:rPr>
        <w:t xml:space="preserve"> شَعْرٌ نَابِتٌ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 xml:space="preserve">إلى قوله : « ولد له ولد » ؛ </w:t>
      </w:r>
      <w:r w:rsidRPr="00EB25BF">
        <w:rPr>
          <w:rtl/>
        </w:rPr>
        <w:t>الغيبة</w:t>
      </w:r>
      <w:r w:rsidRPr="00132E65">
        <w:rPr>
          <w:rtl/>
        </w:rPr>
        <w:t xml:space="preserve"> للطوسي ، ص 231 ، ح 198 ، عن الكليني. </w:t>
      </w:r>
      <w:r w:rsidRPr="00EB25BF">
        <w:rPr>
          <w:rtl/>
        </w:rPr>
        <w:t>كمال الدين</w:t>
      </w:r>
      <w:r w:rsidRPr="00132E65">
        <w:rPr>
          <w:rtl/>
        </w:rPr>
        <w:t xml:space="preserve"> ، ص 43 ، ح 3 ، بسنده عن الحسين بن محمّد بن عامر ، عن معلّى بن محمّد البصري قال : خرج عن أبي محمّد </w:t>
      </w:r>
      <w:r w:rsidRPr="00914F54">
        <w:rPr>
          <w:rStyle w:val="libFootnoteAlaemChar"/>
          <w:rtl/>
        </w:rPr>
        <w:t>عليه‌السلام</w:t>
      </w:r>
      <w:r>
        <w:rPr>
          <w:rtl/>
        </w:rPr>
        <w:t xml:space="preserve"> ..</w:t>
      </w:r>
      <w:r w:rsidRPr="00132E65">
        <w:rPr>
          <w:rtl/>
        </w:rPr>
        <w:t xml:space="preserve">. </w:t>
      </w:r>
      <w:r>
        <w:rPr>
          <w:rFonts w:hint="cs"/>
          <w:rtl/>
        </w:rPr>
        <w:t>.</w:t>
      </w:r>
      <w:r w:rsidRPr="009D1ACE">
        <w:rPr>
          <w:rStyle w:val="libFootnoteBoldChar"/>
          <w:rtl/>
        </w:rPr>
        <w:t>الوافي</w:t>
      </w:r>
      <w:r w:rsidRPr="00132E65">
        <w:rPr>
          <w:rtl/>
        </w:rPr>
        <w:t xml:space="preserve"> ، ج 2 ، ص 391 ، ح 881.</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1358 وكمال الدين : « الحسن »</w:t>
      </w:r>
      <w:r>
        <w:rPr>
          <w:rtl/>
        </w:rPr>
        <w:t>.</w:t>
      </w:r>
    </w:p>
    <w:p w:rsidR="000C39D1" w:rsidRPr="00132E65" w:rsidRDefault="000C39D1" w:rsidP="000C39D1">
      <w:pPr>
        <w:pStyle w:val="libFootnote0"/>
        <w:rPr>
          <w:rtl/>
          <w:lang w:bidi="fa-IR"/>
        </w:rPr>
      </w:pPr>
      <w:r>
        <w:rPr>
          <w:rtl/>
        </w:rPr>
        <w:t>(2).</w:t>
      </w:r>
      <w:r w:rsidRPr="00132E65">
        <w:rPr>
          <w:rtl/>
        </w:rPr>
        <w:t xml:space="preserve"> في حاشية « ض » والغيبة : « بسرّ من رأى »</w:t>
      </w:r>
      <w:r>
        <w:rPr>
          <w:rtl/>
        </w:rPr>
        <w:t>.</w:t>
      </w:r>
      <w:r w:rsidRPr="00132E65">
        <w:rPr>
          <w:rtl/>
        </w:rPr>
        <w:t xml:space="preserve"> وراجع في أنحاء قراءته : </w:t>
      </w:r>
      <w:r w:rsidRPr="00914F54">
        <w:rPr>
          <w:rStyle w:val="libFootnoteBoldChar"/>
          <w:rtl/>
        </w:rPr>
        <w:t>القاموس المحيط</w:t>
      </w:r>
      <w:r w:rsidRPr="00132E65">
        <w:rPr>
          <w:rtl/>
        </w:rPr>
        <w:t xml:space="preserve"> ، ج 1 ، ص 572 ( سرر ) ؛ </w:t>
      </w:r>
      <w:r w:rsidRPr="00914F54">
        <w:rPr>
          <w:rStyle w:val="libFootnoteBoldChar"/>
          <w:rtl/>
        </w:rPr>
        <w:t>شرح المازندراني</w:t>
      </w:r>
      <w:r w:rsidRPr="00132E65">
        <w:rPr>
          <w:rtl/>
        </w:rPr>
        <w:t xml:space="preserve"> ، ج 6 ، ص 210.</w:t>
      </w:r>
      <w:r w:rsidR="001C701C">
        <w:rPr>
          <w:rFonts w:hint="cs"/>
          <w:rtl/>
        </w:rPr>
        <w:t xml:space="preserve">   </w:t>
      </w:r>
      <w:r>
        <w:rPr>
          <w:rFonts w:hint="cs"/>
          <w:rtl/>
        </w:rPr>
        <w:t xml:space="preserve">      </w:t>
      </w:r>
      <w:r>
        <w:rPr>
          <w:rtl/>
        </w:rPr>
        <w:t>(3).</w:t>
      </w:r>
      <w:r w:rsidRPr="00132E65">
        <w:rPr>
          <w:rtl/>
        </w:rPr>
        <w:t xml:space="preserve"> في « ب ، ف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0577A7">
        <w:rPr>
          <w:rStyle w:val="libFootnoteBoldChar"/>
          <w:rtl/>
        </w:rPr>
        <w:t>الكافي</w:t>
      </w:r>
      <w:r w:rsidRPr="00132E65">
        <w:rPr>
          <w:rtl/>
        </w:rPr>
        <w:t xml:space="preserve"> ، ح 1358 والغيبة : « الدار »</w:t>
      </w:r>
      <w:r>
        <w:rPr>
          <w:rtl/>
        </w:rPr>
        <w:t>.</w:t>
      </w:r>
    </w:p>
    <w:p w:rsidR="000C39D1" w:rsidRPr="00132E65" w:rsidRDefault="000C39D1" w:rsidP="000C39D1">
      <w:pPr>
        <w:pStyle w:val="libFootnote0"/>
        <w:rPr>
          <w:rtl/>
          <w:lang w:bidi="fa-IR"/>
        </w:rPr>
      </w:pPr>
      <w:r>
        <w:rPr>
          <w:rtl/>
        </w:rPr>
        <w:t>(5).</w:t>
      </w:r>
      <w:r w:rsidRPr="00132E65">
        <w:rPr>
          <w:rtl/>
        </w:rPr>
        <w:t xml:space="preserve"> هكذا في </w:t>
      </w:r>
      <w:r w:rsidRPr="000577A7">
        <w:rPr>
          <w:rStyle w:val="libFootnoteBoldChar"/>
          <w:rtl/>
        </w:rPr>
        <w:t>الكافي</w:t>
      </w:r>
      <w:r w:rsidRPr="00132E65">
        <w:rPr>
          <w:rtl/>
        </w:rPr>
        <w:t xml:space="preserve"> ، ح 1358 وشرح المازندراني. وفي النسخ التي قوبلت والمطبوع : « في الدار رجال »</w:t>
      </w:r>
      <w:r>
        <w:rPr>
          <w:rtl/>
        </w:rPr>
        <w:t>.</w:t>
      </w:r>
    </w:p>
    <w:p w:rsidR="000C39D1" w:rsidRPr="00132E65" w:rsidRDefault="000C39D1" w:rsidP="000C39D1">
      <w:pPr>
        <w:pStyle w:val="libFootnote0"/>
        <w:rPr>
          <w:rtl/>
          <w:lang w:bidi="fa-IR"/>
        </w:rPr>
      </w:pPr>
      <w:r>
        <w:rPr>
          <w:rtl/>
        </w:rPr>
        <w:t>(6).</w:t>
      </w:r>
      <w:r w:rsidRPr="00132E65">
        <w:rPr>
          <w:rtl/>
        </w:rPr>
        <w:t xml:space="preserve"> « لا تبرح » ، أي لا تزل عن مكانك والزمه ولا تتحرّك. راجع : </w:t>
      </w:r>
      <w:r w:rsidRPr="00914F54">
        <w:rPr>
          <w:rStyle w:val="libFootnoteBoldChar"/>
          <w:rtl/>
        </w:rPr>
        <w:t>الصحاح</w:t>
      </w:r>
      <w:r w:rsidRPr="00132E65">
        <w:rPr>
          <w:rtl/>
        </w:rPr>
        <w:t xml:space="preserve"> ، ج 1 ، ص 355 ( برح )</w:t>
      </w:r>
      <w:r>
        <w:rPr>
          <w:rtl/>
        </w:rPr>
        <w:t>.</w:t>
      </w:r>
    </w:p>
    <w:p w:rsidR="000C39D1" w:rsidRPr="00132E65" w:rsidRDefault="000C39D1" w:rsidP="000C39D1">
      <w:pPr>
        <w:pStyle w:val="libFootnote0"/>
        <w:rPr>
          <w:rtl/>
          <w:lang w:bidi="fa-IR"/>
        </w:rPr>
      </w:pPr>
      <w:r>
        <w:rPr>
          <w:rtl/>
        </w:rPr>
        <w:t>(7).</w:t>
      </w:r>
      <w:r w:rsidRPr="00132E65">
        <w:rPr>
          <w:rtl/>
        </w:rPr>
        <w:t xml:space="preserve"> في « بر » وحاشية « ج » : « فلم أجتر »</w:t>
      </w:r>
      <w:r>
        <w:rPr>
          <w:rtl/>
        </w:rPr>
        <w:t>.</w:t>
      </w:r>
      <w:r w:rsidRPr="00132E65">
        <w:rPr>
          <w:rtl/>
        </w:rPr>
        <w:t xml:space="preserve"> وقوله : « فلم أجسر » ، أي لم أجترئ ، من الجسارة بمعنى الجرأة والإقدام‌</w:t>
      </w:r>
      <w:r>
        <w:rPr>
          <w:rFonts w:hint="cs"/>
          <w:rtl/>
        </w:rPr>
        <w:t xml:space="preserve"> </w:t>
      </w:r>
      <w:r w:rsidRPr="00132E65">
        <w:rPr>
          <w:rtl/>
        </w:rPr>
        <w:t xml:space="preserve">على الشي‌ء. راجع : </w:t>
      </w:r>
      <w:r w:rsidRPr="00FC2489">
        <w:rPr>
          <w:rStyle w:val="libFootnoteBoldChar"/>
          <w:rtl/>
        </w:rPr>
        <w:t>النهاية</w:t>
      </w:r>
      <w:r w:rsidRPr="00132E65">
        <w:rPr>
          <w:rtl/>
        </w:rPr>
        <w:t xml:space="preserve"> ، ج 1 ، ص 272 ( جسر )</w:t>
      </w:r>
      <w:r>
        <w:rPr>
          <w:rtl/>
        </w:rPr>
        <w:t>.</w:t>
      </w:r>
    </w:p>
    <w:tbl>
      <w:tblPr>
        <w:tblStyle w:val="TableGrid"/>
        <w:bidiVisual/>
        <w:tblW w:w="0" w:type="auto"/>
        <w:tblLook w:val="04A0" w:firstRow="1" w:lastRow="0" w:firstColumn="1" w:lastColumn="0" w:noHBand="0" w:noVBand="1"/>
      </w:tblPr>
      <w:tblGrid>
        <w:gridCol w:w="3171"/>
        <w:gridCol w:w="4841"/>
      </w:tblGrid>
      <w:tr w:rsidR="000C39D1" w:rsidTr="00B53873">
        <w:tc>
          <w:tcPr>
            <w:tcW w:w="3171" w:type="dxa"/>
          </w:tcPr>
          <w:p w:rsidR="000C39D1" w:rsidRDefault="000C39D1" w:rsidP="00B53873">
            <w:pPr>
              <w:pStyle w:val="libFootnote0"/>
              <w:rPr>
                <w:rtl/>
              </w:rPr>
            </w:pPr>
            <w:r>
              <w:rPr>
                <w:rtl/>
              </w:rPr>
              <w:t>(8).</w:t>
            </w:r>
            <w:r w:rsidRPr="00132E65">
              <w:rPr>
                <w:rtl/>
              </w:rPr>
              <w:t xml:space="preserve">في </w:t>
            </w:r>
            <w:r w:rsidRPr="009D1ACE">
              <w:rPr>
                <w:rStyle w:val="libFootnoteBoldChar"/>
                <w:rtl/>
              </w:rPr>
              <w:t>الوافي</w:t>
            </w:r>
            <w:r w:rsidRPr="00132E65">
              <w:rPr>
                <w:rtl/>
              </w:rPr>
              <w:t>:</w:t>
            </w:r>
            <w:r>
              <w:rPr>
                <w:rtl/>
              </w:rPr>
              <w:t>+«حسن اللون</w:t>
            </w:r>
            <w:r w:rsidRPr="00132E65">
              <w:rPr>
                <w:rtl/>
              </w:rPr>
              <w:t>»</w:t>
            </w:r>
            <w:r>
              <w:rPr>
                <w:rtl/>
              </w:rPr>
              <w:t>.</w:t>
            </w:r>
          </w:p>
        </w:tc>
        <w:tc>
          <w:tcPr>
            <w:tcW w:w="4841" w:type="dxa"/>
          </w:tcPr>
          <w:p w:rsidR="000C39D1" w:rsidRDefault="000C39D1" w:rsidP="00B53873">
            <w:pPr>
              <w:pStyle w:val="libFootnote0"/>
              <w:rPr>
                <w:rtl/>
              </w:rPr>
            </w:pPr>
            <w:r>
              <w:rPr>
                <w:rtl/>
              </w:rPr>
              <w:t>(9).في«ف»والغيبة:«فكشف</w:t>
            </w:r>
            <w:r w:rsidRPr="00132E65">
              <w:rPr>
                <w:rtl/>
              </w:rPr>
              <w:t>»</w:t>
            </w:r>
            <w:r>
              <w:rPr>
                <w:rtl/>
              </w:rPr>
              <w:t>.</w:t>
            </w:r>
            <w:r w:rsidRPr="00132E65">
              <w:rPr>
                <w:rtl/>
              </w:rPr>
              <w:t xml:space="preserve">وفي </w:t>
            </w:r>
            <w:r w:rsidRPr="000577A7">
              <w:rPr>
                <w:rStyle w:val="libFootnoteBoldChar"/>
                <w:rtl/>
              </w:rPr>
              <w:t>الكافي</w:t>
            </w:r>
            <w:r>
              <w:rPr>
                <w:rtl/>
              </w:rPr>
              <w:t>،ح 1358 :«</w:t>
            </w:r>
            <w:r w:rsidRPr="00132E65">
              <w:rPr>
                <w:rtl/>
              </w:rPr>
              <w:t>و</w:t>
            </w:r>
            <w:r>
              <w:rPr>
                <w:rtl/>
              </w:rPr>
              <w:t>كشفت</w:t>
            </w:r>
            <w:r w:rsidRPr="00132E65">
              <w:rPr>
                <w:rtl/>
              </w:rPr>
              <w:t>»</w:t>
            </w:r>
            <w:r>
              <w:rPr>
                <w:rtl/>
              </w:rPr>
              <w:t>.</w:t>
            </w:r>
          </w:p>
        </w:tc>
      </w:tr>
    </w:tbl>
    <w:p w:rsidR="000C39D1" w:rsidRPr="00132E65" w:rsidRDefault="000C39D1" w:rsidP="000C39D1">
      <w:pPr>
        <w:pStyle w:val="libFootnote0"/>
        <w:rPr>
          <w:rtl/>
          <w:lang w:bidi="fa-IR"/>
        </w:rPr>
      </w:pPr>
      <w:r>
        <w:rPr>
          <w:rtl/>
        </w:rPr>
        <w:t>(10).</w:t>
      </w:r>
      <w:r w:rsidRPr="00132E65">
        <w:rPr>
          <w:rtl/>
        </w:rPr>
        <w:t xml:space="preserve"> في حاشية « ه‍ » :</w:t>
      </w:r>
      <w:r>
        <w:rPr>
          <w:rtl/>
        </w:rPr>
        <w:t xml:space="preserve"> + </w:t>
      </w:r>
      <w:r w:rsidRPr="00132E65">
        <w:rPr>
          <w:rtl/>
        </w:rPr>
        <w:t>« هو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لَبَّتِهِ </w:t>
      </w:r>
      <w:r>
        <w:rPr>
          <w:rStyle w:val="libFootnotenumChar"/>
          <w:rtl/>
        </w:rPr>
        <w:t>(1)</w:t>
      </w:r>
      <w:r w:rsidRPr="00132E65">
        <w:rPr>
          <w:rtl/>
          <w:lang w:bidi="fa-IR"/>
        </w:rPr>
        <w:t xml:space="preserve"> إِلى سُرَّتِهِ </w:t>
      </w:r>
      <w:r>
        <w:rPr>
          <w:rStyle w:val="libFootnotenumChar"/>
          <w:rtl/>
        </w:rPr>
        <w:t>(2)</w:t>
      </w:r>
      <w:r w:rsidRPr="00132E65">
        <w:rPr>
          <w:rtl/>
          <w:lang w:bidi="fa-IR"/>
        </w:rPr>
        <w:t xml:space="preserve"> ، أَخْضَرُ ، لَيْسَ بِأَسْوَدَ ، فَقَالَ : « هذَا صَاحِبُكُمْ » ثُمَّ أَمَرَهَا فَحَمَلَتْهُ ، فَمَا رَأَيْتُهُ بَعْدَ ذلِكَ حَتّى مَضى أَبُو مُحَمَّدٍ </w:t>
      </w:r>
      <w:r w:rsidRPr="00071CF9">
        <w:rPr>
          <w:rStyle w:val="libAlaemChar"/>
          <w:rtl/>
        </w:rPr>
        <w:t>عليه‌السلام</w:t>
      </w:r>
      <w:r w:rsidRPr="00132E65">
        <w:rPr>
          <w:rtl/>
          <w:lang w:bidi="fa-IR"/>
        </w:rPr>
        <w:t xml:space="preserve">. </w:t>
      </w:r>
      <w:r>
        <w:rPr>
          <w:rStyle w:val="libFootnotenumChar"/>
          <w:rtl/>
        </w:rPr>
        <w:t>(3)</w:t>
      </w:r>
    </w:p>
    <w:p w:rsidR="000C39D1" w:rsidRPr="00132E65" w:rsidRDefault="000C39D1" w:rsidP="000C39D1">
      <w:pPr>
        <w:pStyle w:val="Heading2Center"/>
        <w:rPr>
          <w:rtl/>
          <w:lang w:bidi="fa-IR"/>
        </w:rPr>
      </w:pPr>
      <w:bookmarkStart w:id="35" w:name="_Toc459459105"/>
      <w:bookmarkStart w:id="36" w:name="_Toc34663074"/>
      <w:r w:rsidRPr="00132E65">
        <w:rPr>
          <w:rtl/>
          <w:lang w:bidi="fa-IR"/>
        </w:rPr>
        <w:t>77</w:t>
      </w:r>
      <w:r>
        <w:rPr>
          <w:rtl/>
          <w:lang w:bidi="fa-IR"/>
        </w:rPr>
        <w:t xml:space="preserve"> - </w:t>
      </w:r>
      <w:r w:rsidRPr="00132E65">
        <w:rPr>
          <w:rtl/>
          <w:lang w:bidi="fa-IR"/>
        </w:rPr>
        <w:t xml:space="preserve">بَابٌ فِي تَسْمِيَةِ مَنْ رَآهُ </w:t>
      </w:r>
      <w:r w:rsidRPr="00071CF9">
        <w:rPr>
          <w:rStyle w:val="libAlaemChar"/>
          <w:rtl/>
        </w:rPr>
        <w:t>عليه‌السلام</w:t>
      </w:r>
      <w:r w:rsidRPr="00132E65">
        <w:rPr>
          <w:rtl/>
          <w:lang w:bidi="fa-IR"/>
        </w:rPr>
        <w:t>‌</w:t>
      </w:r>
      <w:bookmarkEnd w:id="35"/>
      <w:bookmarkEnd w:id="36"/>
    </w:p>
    <w:p w:rsidR="000C39D1" w:rsidRPr="00132E65" w:rsidRDefault="000C39D1" w:rsidP="000C39D1">
      <w:pPr>
        <w:pStyle w:val="libNormal"/>
        <w:rPr>
          <w:rtl/>
          <w:lang w:bidi="fa-IR"/>
        </w:rPr>
      </w:pPr>
      <w:r w:rsidRPr="00EB25BF">
        <w:rPr>
          <w:rtl/>
        </w:rPr>
        <w:t>869</w:t>
      </w:r>
      <w:r w:rsidRPr="004325D8">
        <w:rPr>
          <w:rStyle w:val="libBold2Char"/>
          <w:rtl/>
        </w:rPr>
        <w:t xml:space="preserve"> / 1.</w:t>
      </w:r>
      <w:r w:rsidRPr="00132E65">
        <w:rPr>
          <w:rtl/>
          <w:lang w:bidi="fa-IR"/>
        </w:rPr>
        <w:t xml:space="preserve"> مُحَمَّدُ بْنُ عَبْدِ اللهِ ومُحَمَّدُ بْنُ يَحْيى جَمِيعاً ، عَنْ عَبْدِ اللهِ بْنِ جَعْفَرٍ الْحِمْيَرِيِّ ، قَالَ :</w:t>
      </w:r>
    </w:p>
    <w:p w:rsidR="000C39D1" w:rsidRPr="00132E65" w:rsidRDefault="000C39D1" w:rsidP="000C39D1">
      <w:pPr>
        <w:pStyle w:val="libNormal"/>
        <w:rPr>
          <w:rtl/>
          <w:lang w:bidi="fa-IR"/>
        </w:rPr>
      </w:pPr>
      <w:r w:rsidRPr="00132E65">
        <w:rPr>
          <w:rtl/>
          <w:lang w:bidi="fa-IR"/>
        </w:rPr>
        <w:t xml:space="preserve">اجْتَمَعْتُ </w:t>
      </w:r>
      <w:r>
        <w:rPr>
          <w:rStyle w:val="libFootnotenumChar"/>
          <w:rtl/>
        </w:rPr>
        <w:t>(4)</w:t>
      </w:r>
      <w:r w:rsidRPr="00132E65">
        <w:rPr>
          <w:rtl/>
          <w:lang w:bidi="fa-IR"/>
        </w:rPr>
        <w:t xml:space="preserve"> أَنَا والشَّيْخُ أَبُو عَمْرٍو</w:t>
      </w:r>
      <w:r>
        <w:rPr>
          <w:rtl/>
          <w:lang w:bidi="fa-IR"/>
        </w:rPr>
        <w:t xml:space="preserve"> - </w:t>
      </w:r>
      <w:r w:rsidRPr="00132E65">
        <w:rPr>
          <w:rtl/>
          <w:lang w:bidi="fa-IR"/>
        </w:rPr>
        <w:t xml:space="preserve">رَحِمَهُ اللهُ </w:t>
      </w:r>
      <w:r>
        <w:rPr>
          <w:rStyle w:val="libFootnotenumChar"/>
          <w:rtl/>
        </w:rPr>
        <w:t>(5)</w:t>
      </w:r>
      <w:r>
        <w:rPr>
          <w:rtl/>
          <w:lang w:bidi="fa-IR"/>
        </w:rPr>
        <w:t xml:space="preserve"> - </w:t>
      </w:r>
      <w:r w:rsidRPr="00132E65">
        <w:rPr>
          <w:rtl/>
          <w:lang w:bidi="fa-IR"/>
        </w:rPr>
        <w:t xml:space="preserve">عِنْدَ أَحْمَدَ بْنِ إِسْحَاقَ ، فَغَمَزَنِي </w:t>
      </w:r>
      <w:r>
        <w:rPr>
          <w:rStyle w:val="libFootnotenumChar"/>
          <w:rtl/>
        </w:rPr>
        <w:t>(6)</w:t>
      </w:r>
      <w:r w:rsidRPr="00132E65">
        <w:rPr>
          <w:rtl/>
          <w:lang w:bidi="fa-IR"/>
        </w:rPr>
        <w:t xml:space="preserve"> أَحْمَدُ بْنُ إِسْحَاقَ أَنْ أَسْأَلَهُ عَنِ الْخَلَفِ </w:t>
      </w:r>
      <w:r>
        <w:rPr>
          <w:rStyle w:val="libFootnotenumChar"/>
          <w:rtl/>
        </w:rPr>
        <w:t>(7)</w:t>
      </w:r>
      <w:r w:rsidRPr="00132E65">
        <w:rPr>
          <w:rtl/>
          <w:lang w:bidi="fa-IR"/>
        </w:rPr>
        <w:t xml:space="preserve"> ، فَقُلْتُ لَهُ : يَا أَبَا عَمْرٍو ، إِنِّي أُرِيدُ أَنْ أَسْأَلَكَ عَنْ شَيْ‌ءٍ ومَا أَنَا بِشَاكٍّ فِيمَا أُرِيدُ أَنْ أَسْأَلَكَ عَنْهُ ؛ فَإِنَّ اعْتِقَادِي و</w:t>
      </w:r>
      <w:r>
        <w:rPr>
          <w:rFonts w:hint="cs"/>
          <w:rtl/>
          <w:lang w:bidi="fa-IR"/>
        </w:rPr>
        <w:t>َ</w:t>
      </w:r>
      <w:r w:rsidRPr="00132E65">
        <w:rPr>
          <w:rtl/>
          <w:lang w:bidi="fa-IR"/>
        </w:rPr>
        <w:t>دِينِي أَنَّ الْأَرْضَ</w:t>
      </w:r>
      <w:r>
        <w:rPr>
          <w:rtl/>
          <w:lang w:bidi="fa-IR"/>
        </w:rPr>
        <w:t xml:space="preserve"> لَا تَخْلُو مِنْ حُجَّةٍ إِل</w:t>
      </w:r>
      <w:r>
        <w:rPr>
          <w:rFonts w:hint="cs"/>
          <w:rtl/>
          <w:lang w:bidi="fa-IR"/>
        </w:rPr>
        <w:t>َّ</w:t>
      </w:r>
      <w:r>
        <w:rPr>
          <w:rtl/>
          <w:lang w:bidi="fa-IR"/>
        </w:rPr>
        <w:t>ا</w:t>
      </w:r>
      <w:r w:rsidRPr="00132E65">
        <w:rPr>
          <w:rtl/>
          <w:lang w:bidi="fa-IR"/>
        </w:rPr>
        <w:t xml:space="preserve"> إِذَا كَانَ قَبْلَ يَوْمِ </w:t>
      </w:r>
      <w:r>
        <w:rPr>
          <w:rStyle w:val="libFootnotenumChar"/>
          <w:rtl/>
        </w:rPr>
        <w:t>(8)</w:t>
      </w:r>
      <w:r w:rsidRPr="00132E65">
        <w:rPr>
          <w:rtl/>
          <w:lang w:bidi="fa-IR"/>
        </w:rPr>
        <w:t xml:space="preserve"> الْقِيَامَةِ بِأَرْبَعِينَ يَوْماً ، فَإِذَا كَانَ ذلِكَ رُفِعَتِ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 « اللَبَّة » : الم</w:t>
      </w:r>
      <w:r>
        <w:rPr>
          <w:rFonts w:hint="cs"/>
          <w:rtl/>
        </w:rPr>
        <w:t>ـَ</w:t>
      </w:r>
      <w:r w:rsidRPr="00132E65">
        <w:rPr>
          <w:rtl/>
        </w:rPr>
        <w:t xml:space="preserve">نْخَر ، والجمع : اللَباب. وكذلك اللَبَبُ ، وهو موضع القلادة من الصدر من كلّ شي‌ء. والجمع : الألباب. </w:t>
      </w:r>
      <w:r w:rsidRPr="00FC2489">
        <w:rPr>
          <w:rStyle w:val="libFootnoteBoldChar"/>
          <w:rtl/>
        </w:rPr>
        <w:t>الصحاح</w:t>
      </w:r>
      <w:r w:rsidRPr="00132E65">
        <w:rPr>
          <w:rtl/>
        </w:rPr>
        <w:t xml:space="preserve"> ، ج 1 ، ص 217 ( لبب )</w:t>
      </w:r>
      <w:r>
        <w:rPr>
          <w:rtl/>
        </w:rPr>
        <w:t>.</w:t>
      </w:r>
    </w:p>
    <w:p w:rsidR="000C39D1" w:rsidRPr="00132E65" w:rsidRDefault="000C39D1" w:rsidP="000C39D1">
      <w:pPr>
        <w:pStyle w:val="libFootnote0"/>
        <w:rPr>
          <w:rtl/>
          <w:lang w:bidi="fa-IR"/>
        </w:rPr>
      </w:pPr>
      <w:r>
        <w:rPr>
          <w:rtl/>
        </w:rPr>
        <w:t>(2).</w:t>
      </w:r>
      <w:r w:rsidRPr="00132E65">
        <w:rPr>
          <w:rtl/>
        </w:rPr>
        <w:t xml:space="preserve"> « السُرَّة » : الوَقْبَةُ التي في وسط البطن. </w:t>
      </w:r>
      <w:r w:rsidRPr="009D1ACE">
        <w:rPr>
          <w:rStyle w:val="libFootnoteBoldChar"/>
          <w:rtl/>
        </w:rPr>
        <w:t>لسان العرب</w:t>
      </w:r>
      <w:r w:rsidRPr="00132E65">
        <w:rPr>
          <w:rtl/>
        </w:rPr>
        <w:t xml:space="preserve"> ، ج 4 ، ص 360 ( سرر )</w:t>
      </w:r>
      <w:r>
        <w:rPr>
          <w:rtl/>
        </w:rPr>
        <w:t>.</w:t>
      </w:r>
    </w:p>
    <w:p w:rsidR="000C39D1" w:rsidRPr="00132E65" w:rsidRDefault="000C39D1" w:rsidP="000C39D1">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الحجّة ، باب مولد الصاحب </w:t>
      </w:r>
      <w:r w:rsidRPr="00FC2489">
        <w:rPr>
          <w:rStyle w:val="libFootnoteAlaemChar"/>
          <w:rtl/>
        </w:rPr>
        <w:t>عليه‌السلام</w:t>
      </w:r>
      <w:r w:rsidRPr="00132E65">
        <w:rPr>
          <w:rtl/>
        </w:rPr>
        <w:t xml:space="preserve"> ، ح 1358 ، مع زيادة ؛ وفيه ، باب في تسمية من رآه </w:t>
      </w:r>
      <w:r w:rsidRPr="00FC2489">
        <w:rPr>
          <w:rStyle w:val="libFootnoteAlaemChar"/>
          <w:rtl/>
        </w:rPr>
        <w:t>عليه‌السلام</w:t>
      </w:r>
      <w:r w:rsidRPr="00132E65">
        <w:rPr>
          <w:rtl/>
        </w:rPr>
        <w:t xml:space="preserve"> ، ح 882 ، ملخّصاً هكذا : « أنّ أبا محمّد أراه إيّاه »</w:t>
      </w:r>
      <w:r>
        <w:rPr>
          <w:rtl/>
        </w:rPr>
        <w:t>.</w:t>
      </w:r>
      <w:r w:rsidRPr="00132E65">
        <w:rPr>
          <w:rtl/>
        </w:rPr>
        <w:t xml:space="preserve"> </w:t>
      </w:r>
      <w:r w:rsidRPr="00FC2489">
        <w:rPr>
          <w:rStyle w:val="libFootnoteBoldChar"/>
          <w:rtl/>
        </w:rPr>
        <w:t>الغيبة للطوسي</w:t>
      </w:r>
      <w:r w:rsidRPr="00132E65">
        <w:rPr>
          <w:rtl/>
        </w:rPr>
        <w:t xml:space="preserve"> ، ص 233 ، ح 202 ، عن الكليني ، مع زيادة ؛ </w:t>
      </w:r>
      <w:r w:rsidRPr="00FC2489">
        <w:rPr>
          <w:rStyle w:val="libFootnoteBoldChar"/>
          <w:rtl/>
        </w:rPr>
        <w:t>كمال الدين</w:t>
      </w:r>
      <w:r w:rsidRPr="00132E65">
        <w:rPr>
          <w:rtl/>
        </w:rPr>
        <w:t xml:space="preserve"> ، ص 435 ، ح 4 ، عن الكليني </w:t>
      </w:r>
      <w:r>
        <w:rPr>
          <w:rFonts w:hint="cs"/>
          <w:rtl/>
        </w:rPr>
        <w:t>.</w:t>
      </w:r>
      <w:r w:rsidRPr="009D1ACE">
        <w:rPr>
          <w:rStyle w:val="libFootnoteBoldChar"/>
          <w:rtl/>
        </w:rPr>
        <w:t>الوافي</w:t>
      </w:r>
      <w:r w:rsidRPr="00132E65">
        <w:rPr>
          <w:rtl/>
        </w:rPr>
        <w:t xml:space="preserve"> ، ج 2 ، ص 392 ، ح 884.</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حاشية « ج » : « أجمعت »</w:t>
            </w:r>
            <w:r>
              <w:rPr>
                <w:rtl/>
              </w:rPr>
              <w:t>.</w:t>
            </w:r>
          </w:p>
        </w:tc>
        <w:tc>
          <w:tcPr>
            <w:tcW w:w="4006" w:type="dxa"/>
          </w:tcPr>
          <w:p w:rsidR="000C39D1" w:rsidRDefault="000C39D1" w:rsidP="00B53873">
            <w:pPr>
              <w:pStyle w:val="libFootnote0"/>
              <w:rPr>
                <w:rtl/>
              </w:rPr>
            </w:pPr>
            <w:r>
              <w:rPr>
                <w:rtl/>
              </w:rPr>
              <w:t>(5).في« ض » :</w:t>
            </w:r>
            <w:r w:rsidRPr="00132E65">
              <w:rPr>
                <w:rtl/>
              </w:rPr>
              <w:t xml:space="preserve">« </w:t>
            </w:r>
            <w:r w:rsidRPr="00FC2489">
              <w:rPr>
                <w:rStyle w:val="libFootnoteAlaemChar"/>
                <w:rtl/>
              </w:rPr>
              <w:t>رضي‌الله‌عنه</w:t>
            </w:r>
            <w:r w:rsidRPr="00132E65">
              <w:rPr>
                <w:rtl/>
              </w:rPr>
              <w:t>»</w:t>
            </w:r>
            <w:r>
              <w:rPr>
                <w:rtl/>
              </w:rPr>
              <w:t>.</w:t>
            </w:r>
            <w:r w:rsidRPr="00132E65">
              <w:rPr>
                <w:rtl/>
              </w:rPr>
              <w:t xml:space="preserve"> وفي « ف » </w:t>
            </w:r>
            <w:r>
              <w:rPr>
                <w:rtl/>
              </w:rPr>
              <w:t xml:space="preserve">: - </w:t>
            </w:r>
            <w:r w:rsidRPr="00132E65">
              <w:rPr>
                <w:rtl/>
              </w:rPr>
              <w:t xml:space="preserve">« </w:t>
            </w:r>
            <w:r w:rsidRPr="00FC2489">
              <w:rPr>
                <w:rStyle w:val="libFootnoteAlaemChar"/>
                <w:rtl/>
              </w:rPr>
              <w:t>رحمه‌الله</w:t>
            </w:r>
            <w:r w:rsidRPr="00132E65">
              <w:rPr>
                <w:rtl/>
              </w:rPr>
              <w:t xml:space="preserve"> »</w:t>
            </w:r>
            <w:r>
              <w:rPr>
                <w:rtl/>
              </w:rPr>
              <w:t>.</w:t>
            </w:r>
          </w:p>
        </w:tc>
      </w:tr>
    </w:tbl>
    <w:p w:rsidR="000C39D1" w:rsidRPr="00132E65" w:rsidRDefault="000C39D1" w:rsidP="000C39D1">
      <w:pPr>
        <w:pStyle w:val="libFootnote0"/>
        <w:rPr>
          <w:rtl/>
          <w:lang w:bidi="fa-IR"/>
        </w:rPr>
      </w:pPr>
      <w:r>
        <w:rPr>
          <w:rtl/>
        </w:rPr>
        <w:t>(6).</w:t>
      </w:r>
      <w:r w:rsidRPr="00132E65">
        <w:rPr>
          <w:rtl/>
        </w:rPr>
        <w:t xml:space="preserve"> في « ب » : « فغمّزني »</w:t>
      </w:r>
      <w:r>
        <w:rPr>
          <w:rtl/>
        </w:rPr>
        <w:t>.</w:t>
      </w:r>
      <w:r w:rsidRPr="00132E65">
        <w:rPr>
          <w:rtl/>
        </w:rPr>
        <w:t xml:space="preserve"> </w:t>
      </w:r>
      <w:r>
        <w:rPr>
          <w:rtl/>
        </w:rPr>
        <w:t>و «</w:t>
      </w:r>
      <w:r w:rsidRPr="00132E65">
        <w:rPr>
          <w:rtl/>
        </w:rPr>
        <w:t xml:space="preserve"> الغَمْزُ » : العصر والكَبْسُ باليد. وفسّره بعضهم بالإشارة ، كالرمز بالعين ، أو الحاجب ، أو اليد. راجع : </w:t>
      </w:r>
      <w:r w:rsidRPr="00FC2489">
        <w:rPr>
          <w:rStyle w:val="libFootnoteBoldChar"/>
          <w:rtl/>
        </w:rPr>
        <w:t>النهاية</w:t>
      </w:r>
      <w:r w:rsidRPr="00132E65">
        <w:rPr>
          <w:rtl/>
        </w:rPr>
        <w:t xml:space="preserve"> ، ج 3 ، ص 386 ( غمز )</w:t>
      </w:r>
      <w:r>
        <w:rPr>
          <w:rtl/>
        </w:rPr>
        <w:t>.</w:t>
      </w:r>
    </w:p>
    <w:p w:rsidR="000C39D1" w:rsidRPr="00132E65" w:rsidRDefault="000C39D1" w:rsidP="000C39D1">
      <w:pPr>
        <w:pStyle w:val="libFootnote0"/>
        <w:rPr>
          <w:rtl/>
          <w:lang w:bidi="fa-IR"/>
        </w:rPr>
      </w:pPr>
      <w:r>
        <w:rPr>
          <w:rtl/>
        </w:rPr>
        <w:t>(7).</w:t>
      </w:r>
      <w:r w:rsidRPr="00132E65">
        <w:rPr>
          <w:rtl/>
        </w:rPr>
        <w:t xml:space="preserve"> قال ابن الأثير : « الخَلَفُ بالتحريك والسكون </w:t>
      </w:r>
      <w:r>
        <w:rPr>
          <w:rtl/>
        </w:rPr>
        <w:t>: كلّ من يجي‌ء بعد من مضى ، إل</w:t>
      </w:r>
      <w:r>
        <w:rPr>
          <w:rFonts w:hint="cs"/>
          <w:rtl/>
        </w:rPr>
        <w:t>ّ</w:t>
      </w:r>
      <w:r>
        <w:rPr>
          <w:rtl/>
        </w:rPr>
        <w:t>ا</w:t>
      </w:r>
      <w:r>
        <w:rPr>
          <w:rFonts w:hint="cs"/>
          <w:rtl/>
        </w:rPr>
        <w:t xml:space="preserve"> </w:t>
      </w:r>
      <w:r w:rsidRPr="00132E65">
        <w:rPr>
          <w:rtl/>
        </w:rPr>
        <w:t>أنّه بالتحريك في الخير</w:t>
      </w:r>
      <w:r>
        <w:rPr>
          <w:rFonts w:hint="cs"/>
          <w:rtl/>
        </w:rPr>
        <w:t xml:space="preserve"> </w:t>
      </w:r>
      <w:r w:rsidRPr="00132E65">
        <w:rPr>
          <w:rtl/>
        </w:rPr>
        <w:t>و</w:t>
      </w:r>
      <w:r>
        <w:rPr>
          <w:rFonts w:hint="cs"/>
          <w:rtl/>
        </w:rPr>
        <w:t xml:space="preserve"> </w:t>
      </w:r>
      <w:r w:rsidRPr="00132E65">
        <w:rPr>
          <w:rtl/>
        </w:rPr>
        <w:t>بالتسكين في الشرّ. يقال : خَلَفُ صدق ، وخَلْفُ سوء ، ومعناهما جميعاً القَرْنُ من الناس »</w:t>
      </w:r>
      <w:r>
        <w:rPr>
          <w:rtl/>
        </w:rPr>
        <w:t>.</w:t>
      </w:r>
      <w:r w:rsidRPr="00132E65">
        <w:rPr>
          <w:rtl/>
        </w:rPr>
        <w:t xml:space="preserve"> </w:t>
      </w:r>
      <w:r w:rsidRPr="00FC2489">
        <w:rPr>
          <w:rStyle w:val="libFootnoteBoldChar"/>
          <w:rtl/>
        </w:rPr>
        <w:t>النهاية</w:t>
      </w:r>
      <w:r w:rsidRPr="00132E65">
        <w:rPr>
          <w:rtl/>
        </w:rPr>
        <w:t xml:space="preserve"> ، ج 2 ، ص 66 ( خلف )</w:t>
      </w:r>
      <w:r>
        <w:rPr>
          <w:rtl/>
        </w:rPr>
        <w:t>.</w:t>
      </w:r>
    </w:p>
    <w:p w:rsidR="000C39D1" w:rsidRPr="00132E65" w:rsidRDefault="000C39D1" w:rsidP="000C39D1">
      <w:pPr>
        <w:pStyle w:val="libFootnote0"/>
        <w:rPr>
          <w:rtl/>
          <w:lang w:bidi="fa-IR"/>
        </w:rPr>
      </w:pPr>
      <w:r>
        <w:rPr>
          <w:rtl/>
        </w:rPr>
        <w:t>(8).</w:t>
      </w:r>
      <w:r w:rsidRPr="00132E65">
        <w:rPr>
          <w:rtl/>
        </w:rPr>
        <w:t xml:space="preserve"> في « ب ، ض ، ه‍ ، بح ، بر ، بس » و</w:t>
      </w:r>
      <w:r w:rsidRPr="009D1ACE">
        <w:rPr>
          <w:rStyle w:val="libFootnoteBoldChar"/>
          <w:rtl/>
        </w:rPr>
        <w:t>الوافي</w:t>
      </w:r>
      <w:r w:rsidRPr="00132E65">
        <w:rPr>
          <w:rtl/>
        </w:rPr>
        <w:t xml:space="preserve"> والغيبة ، ص 243 </w:t>
      </w:r>
      <w:r>
        <w:rPr>
          <w:rtl/>
        </w:rPr>
        <w:t xml:space="preserve">: - </w:t>
      </w:r>
      <w:r w:rsidRPr="00132E65">
        <w:rPr>
          <w:rtl/>
        </w:rPr>
        <w:t>« يوم »</w:t>
      </w:r>
      <w:r>
        <w:rPr>
          <w:rtl/>
        </w:rPr>
        <w:t>.</w:t>
      </w:r>
    </w:p>
    <w:p w:rsidR="000C39D1" w:rsidRPr="00132E65" w:rsidRDefault="000C39D1" w:rsidP="000C39D1">
      <w:pPr>
        <w:pStyle w:val="libFootnote0"/>
        <w:rPr>
          <w:rtl/>
          <w:lang w:bidi="fa-IR"/>
        </w:rPr>
      </w:pPr>
      <w:r>
        <w:rPr>
          <w:rtl/>
        </w:rPr>
        <w:t>(9).</w:t>
      </w:r>
      <w:r w:rsidRPr="00132E65">
        <w:rPr>
          <w:rtl/>
        </w:rPr>
        <w:t xml:space="preserve"> في « ب ، ض ، بح ، بس ، بف » وحاشية « ج ، ف » : « وقفت »</w:t>
      </w:r>
      <w:r>
        <w:rPr>
          <w:rtl/>
        </w:rPr>
        <w:t>.</w:t>
      </w:r>
      <w:r w:rsidRPr="00132E65">
        <w:rPr>
          <w:rtl/>
        </w:rPr>
        <w:t xml:space="preserve"> وفي الغيبة ، ص 359 : « وقعت »</w:t>
      </w:r>
      <w:r>
        <w:rPr>
          <w:rtl/>
        </w:rPr>
        <w:t>.</w:t>
      </w:r>
      <w:r w:rsidRPr="00132E65">
        <w:rPr>
          <w:rtl/>
        </w:rPr>
        <w:t xml:space="preserve"> وفي </w:t>
      </w:r>
      <w:r w:rsidRPr="009D1ACE">
        <w:rPr>
          <w:rStyle w:val="libFootnoteBoldChar"/>
          <w:rtl/>
        </w:rPr>
        <w:t>مرآة العقول</w:t>
      </w:r>
      <w:r w:rsidRPr="00132E65">
        <w:rPr>
          <w:rtl/>
        </w:rPr>
        <w:t xml:space="preserve"> ، ج 4 ، ص 6 : « في بعض النسخ : وقعت الحجّة ، أي تمّت الحجّة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الْحُجَّةُ ، وأُغْلِقَ بَابُ التَّوْبَةِ </w:t>
      </w:r>
      <w:r>
        <w:rPr>
          <w:rStyle w:val="libFootnotenumChar"/>
          <w:rtl/>
        </w:rPr>
        <w:t>(1)</w:t>
      </w:r>
      <w:r w:rsidRPr="00132E65">
        <w:rPr>
          <w:rtl/>
          <w:lang w:bidi="fa-IR"/>
        </w:rPr>
        <w:t xml:space="preserve"> فَلَمْ يَكُ </w:t>
      </w:r>
      <w:r>
        <w:rPr>
          <w:rStyle w:val="libFootnotenumChar"/>
          <w:rtl/>
        </w:rPr>
        <w:t>(2)</w:t>
      </w:r>
      <w:r w:rsidRPr="00132E65">
        <w:rPr>
          <w:rtl/>
          <w:lang w:bidi="fa-IR"/>
        </w:rPr>
        <w:t xml:space="preserve"> يَنْفَعُ نَفْساً إِيمَانُهَا لَمْ تَكُنْ آمَنَتْ مِنْ قَبْلُ أَوْ كَسَبَتْ فِي إِيمَانِهَا خَيْراً </w:t>
      </w:r>
      <w:r>
        <w:rPr>
          <w:rStyle w:val="libFootnotenumChar"/>
          <w:rtl/>
        </w:rPr>
        <w:t>(3)</w:t>
      </w:r>
      <w:r w:rsidRPr="00132E65">
        <w:rPr>
          <w:rtl/>
          <w:lang w:bidi="fa-IR"/>
        </w:rPr>
        <w:t xml:space="preserve"> ؛ فَأُولئِكَ أَشْرَارٌ </w:t>
      </w:r>
      <w:r>
        <w:rPr>
          <w:rStyle w:val="libFootnotenumChar"/>
          <w:rtl/>
        </w:rPr>
        <w:t>(4)</w:t>
      </w:r>
      <w:r w:rsidRPr="00132E65">
        <w:rPr>
          <w:rtl/>
          <w:lang w:bidi="fa-IR"/>
        </w:rPr>
        <w:t xml:space="preserve"> مِنْ خَلْقِ </w:t>
      </w:r>
      <w:r>
        <w:rPr>
          <w:rStyle w:val="libFootnotenumChar"/>
          <w:rtl/>
        </w:rPr>
        <w:t>(5)</w:t>
      </w:r>
      <w:r w:rsidRPr="00132E65">
        <w:rPr>
          <w:rtl/>
          <w:lang w:bidi="fa-IR"/>
        </w:rPr>
        <w:t xml:space="preserve"> اللهِ عَزَّ وجَلَّ ، وهُمُ الَّذِينَ تَقُومُ </w:t>
      </w:r>
      <w:r>
        <w:rPr>
          <w:rStyle w:val="libFootnotenumChar"/>
          <w:rtl/>
        </w:rPr>
        <w:t>(6)</w:t>
      </w:r>
      <w:r w:rsidRPr="00132E65">
        <w:rPr>
          <w:rtl/>
          <w:lang w:bidi="fa-IR"/>
        </w:rPr>
        <w:t xml:space="preserve"> عَلَيْهِمُ الْقِيَامَةُ ، ولكِنِّي أَحْبَبْتُ أَنْ أَزْدَادَ يَقِيناً ، وإِنَّ إِبْرَاهِيمَ </w:t>
      </w:r>
      <w:r w:rsidRPr="00071CF9">
        <w:rPr>
          <w:rStyle w:val="libAlaemChar"/>
          <w:rtl/>
        </w:rPr>
        <w:t>عليه‌السلام</w:t>
      </w:r>
      <w:r w:rsidRPr="00132E65">
        <w:rPr>
          <w:rtl/>
          <w:lang w:bidi="fa-IR"/>
        </w:rPr>
        <w:t xml:space="preserve"> سَأَلَ رَبَّهُ</w:t>
      </w:r>
      <w:r>
        <w:rPr>
          <w:rtl/>
          <w:lang w:bidi="fa-IR"/>
        </w:rPr>
        <w:t xml:space="preserve"> - </w:t>
      </w:r>
      <w:r w:rsidRPr="00132E65">
        <w:rPr>
          <w:rtl/>
          <w:lang w:bidi="fa-IR"/>
        </w:rPr>
        <w:t>عَزَّ وجَلَّ</w:t>
      </w:r>
      <w:r>
        <w:rPr>
          <w:rtl/>
          <w:lang w:bidi="fa-IR"/>
        </w:rPr>
        <w:t xml:space="preserve"> - </w:t>
      </w:r>
      <w:r w:rsidRPr="00132E65">
        <w:rPr>
          <w:rtl/>
          <w:lang w:bidi="fa-IR"/>
        </w:rPr>
        <w:t>أَنْ يُرِيَهُ كَيْفَ يُحْيِي الْمَوْتى</w:t>
      </w:r>
      <w:r>
        <w:rPr>
          <w:rtl/>
          <w:lang w:bidi="fa-IR"/>
        </w:rPr>
        <w:t>؟</w:t>
      </w:r>
      <w:r w:rsidRPr="00132E65">
        <w:rPr>
          <w:rtl/>
          <w:lang w:bidi="fa-IR"/>
        </w:rPr>
        <w:t xml:space="preserve"> قَالَ </w:t>
      </w:r>
      <w:r>
        <w:rPr>
          <w:rStyle w:val="libFootnotenumChar"/>
          <w:rtl/>
        </w:rPr>
        <w:t>(7)</w:t>
      </w:r>
      <w:r w:rsidRPr="00132E65">
        <w:rPr>
          <w:rtl/>
          <w:lang w:bidi="fa-IR"/>
        </w:rPr>
        <w:t xml:space="preserve"> : </w:t>
      </w:r>
      <w:r w:rsidRPr="00071CF9">
        <w:rPr>
          <w:rStyle w:val="libAlaemChar"/>
          <w:rtl/>
        </w:rPr>
        <w:t>(</w:t>
      </w:r>
      <w:r w:rsidRPr="00071CF9">
        <w:rPr>
          <w:rStyle w:val="libAieChar"/>
          <w:rtl/>
        </w:rPr>
        <w:t xml:space="preserve"> أَوَلَمْ تُؤْمِنْ قالَ بَلى وَلكِنْ لِيَطْمَئِنَّ قَلْبِي </w:t>
      </w:r>
      <w:r w:rsidRPr="00071CF9">
        <w:rPr>
          <w:rStyle w:val="libAlaemChar"/>
          <w:rtl/>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132E65">
        <w:rPr>
          <w:rtl/>
          <w:lang w:bidi="fa-IR"/>
        </w:rPr>
        <w:t xml:space="preserve">وَقَدْ أَخْبَرَنِي أَبُو عَلِيٍّ أَحْمَدُ بْنُ إِسْحَاقَ ، عَنْ أَبِي الْحَسَنِ </w:t>
      </w:r>
      <w:r w:rsidRPr="00071CF9">
        <w:rPr>
          <w:rStyle w:val="libAlaemChar"/>
          <w:rtl/>
        </w:rPr>
        <w:t>عليه‌السلام</w:t>
      </w:r>
      <w:r w:rsidRPr="00132E65">
        <w:rPr>
          <w:rtl/>
          <w:lang w:bidi="fa-IR"/>
        </w:rPr>
        <w:t xml:space="preserve"> ، قَالَ : سَأَلْتُهُ وقُلْتُ :</w:t>
      </w:r>
      <w:r>
        <w:rPr>
          <w:rFonts w:hint="cs"/>
          <w:rtl/>
          <w:lang w:bidi="fa-IR"/>
        </w:rPr>
        <w:t xml:space="preserve"> </w:t>
      </w:r>
      <w:r w:rsidRPr="00132E65">
        <w:rPr>
          <w:rtl/>
          <w:lang w:bidi="fa-IR"/>
        </w:rPr>
        <w:t>مَنْ أُعَامِلُ</w:t>
      </w:r>
      <w:r>
        <w:rPr>
          <w:rtl/>
          <w:lang w:bidi="fa-IR"/>
        </w:rPr>
        <w:t>؟</w:t>
      </w:r>
      <w:r w:rsidRPr="00132E65">
        <w:rPr>
          <w:rtl/>
          <w:lang w:bidi="fa-IR"/>
        </w:rPr>
        <w:t xml:space="preserve"> أَوْ عَمَّنْ </w:t>
      </w:r>
      <w:r>
        <w:rPr>
          <w:rStyle w:val="libFootnotenumChar"/>
          <w:rtl/>
        </w:rPr>
        <w:t>(9)</w:t>
      </w:r>
      <w:r w:rsidRPr="00132E65">
        <w:rPr>
          <w:rtl/>
          <w:lang w:bidi="fa-IR"/>
        </w:rPr>
        <w:t xml:space="preserve"> آخُذُ</w:t>
      </w:r>
      <w:r>
        <w:rPr>
          <w:rtl/>
          <w:lang w:bidi="fa-IR"/>
        </w:rPr>
        <w:t>؟</w:t>
      </w:r>
      <w:r w:rsidRPr="00132E65">
        <w:rPr>
          <w:rtl/>
          <w:lang w:bidi="fa-IR"/>
        </w:rPr>
        <w:t xml:space="preserve"> وقَوْلَ مَنْ أَقْبَلُ</w:t>
      </w:r>
      <w:r>
        <w:rPr>
          <w:rtl/>
          <w:lang w:bidi="fa-IR"/>
        </w:rPr>
        <w:t>؟</w:t>
      </w:r>
      <w:r w:rsidRPr="00132E65">
        <w:rPr>
          <w:rtl/>
          <w:lang w:bidi="fa-IR"/>
        </w:rPr>
        <w:t xml:space="preserve"> فَقَالَ لَهُ </w:t>
      </w:r>
      <w:r>
        <w:rPr>
          <w:rStyle w:val="libFootnotenumChar"/>
          <w:rtl/>
        </w:rPr>
        <w:t>(10)</w:t>
      </w:r>
      <w:r w:rsidRPr="00132E65">
        <w:rPr>
          <w:rtl/>
          <w:lang w:bidi="fa-IR"/>
        </w:rPr>
        <w:t xml:space="preserve"> : « الْعَمْرِيُّ ثِقَتِي ؛ فَمَا أَدّى إِلَيْكَ عَنِّي ، فَعَنِّي يُؤَدِّي ، ومَا قَالَ لَكَ عَنِّي ، فَعَنِّي يَقُولُ ؛ فَاسْمَعْ لَهُ وأَطِعْ ؛ فَإِنَّهُ الثِّقَةُ الْمَأْمُونُ »</w:t>
      </w:r>
      <w:r>
        <w:rPr>
          <w:rtl/>
          <w:lang w:bidi="fa-IR"/>
        </w:rPr>
        <w:t>.</w:t>
      </w:r>
    </w:p>
    <w:p w:rsidR="000C39D1" w:rsidRPr="00132E65" w:rsidRDefault="000C39D1" w:rsidP="000C39D1">
      <w:pPr>
        <w:pStyle w:val="libNormal"/>
        <w:rPr>
          <w:rtl/>
          <w:lang w:bidi="fa-IR"/>
        </w:rPr>
      </w:pPr>
      <w:r w:rsidRPr="00132E65">
        <w:rPr>
          <w:rtl/>
          <w:lang w:bidi="fa-IR"/>
        </w:rPr>
        <w:t xml:space="preserve">وَأَخْبَرَنِي أَبُو عَلِيٍّ أَنَّهُ سَأَلَ أَبَا مُحَمَّدٍ </w:t>
      </w:r>
      <w:r w:rsidRPr="00071CF9">
        <w:rPr>
          <w:rStyle w:val="libAlaemChar"/>
          <w:rtl/>
        </w:rPr>
        <w:t>عليه‌السلام</w:t>
      </w:r>
      <w:r w:rsidRPr="00132E65">
        <w:rPr>
          <w:rtl/>
          <w:lang w:bidi="fa-IR"/>
        </w:rPr>
        <w:t xml:space="preserve"> عَنْ مِثْلِ ذلِكَ ، فَقَالَ لَهُ </w:t>
      </w:r>
      <w:r>
        <w:rPr>
          <w:rStyle w:val="libFootnotenumChar"/>
          <w:rtl/>
        </w:rPr>
        <w:t>(11)</w:t>
      </w:r>
      <w:r w:rsidRPr="00132E65">
        <w:rPr>
          <w:rtl/>
          <w:lang w:bidi="fa-IR"/>
        </w:rPr>
        <w:t xml:space="preserve"> : « الْعَمْرِيُّ وَابْنُهُ ثِقَتَانِ ؛ فَمَا أَدَّيَا إِلَيْكَ عَنِّي ، فَعَنِّي يُؤَدِّيَانِ ، ومَا قَالَا لَكَ </w:t>
      </w:r>
      <w:r>
        <w:rPr>
          <w:rStyle w:val="libFootnotenumChar"/>
          <w:rtl/>
        </w:rPr>
        <w:t>(12)</w:t>
      </w:r>
      <w:r w:rsidRPr="00132E65">
        <w:rPr>
          <w:rtl/>
          <w:lang w:bidi="fa-IR"/>
        </w:rPr>
        <w:t xml:space="preserve"> ، فَعَنِّي يَقُولَانِ ؛ فَاسْمَعْ لَهُمَا وأَطِعْهُمَا ؛ فَإِنَّهُمَا الثِّقَتَانِ الْمَأْمُونَانِ »</w:t>
      </w:r>
      <w:r>
        <w:rPr>
          <w:rtl/>
          <w:lang w:bidi="fa-IR"/>
        </w:rPr>
        <w:t>.</w:t>
      </w:r>
    </w:p>
    <w:p w:rsidR="000C39D1" w:rsidRPr="00132E65" w:rsidRDefault="000C39D1" w:rsidP="000C39D1">
      <w:pPr>
        <w:pStyle w:val="libNormal"/>
        <w:rPr>
          <w:rtl/>
          <w:lang w:bidi="fa-IR"/>
        </w:rPr>
      </w:pPr>
      <w:r w:rsidRPr="00132E65">
        <w:rPr>
          <w:rtl/>
          <w:lang w:bidi="fa-IR"/>
        </w:rPr>
        <w:t xml:space="preserve">فَهذَا قَوْلُ إِمَامَيْنِ قَدْ مَضَيَا فِيكَ ؛ قَالَ </w:t>
      </w:r>
      <w:r w:rsidRPr="00F543F1">
        <w:rPr>
          <w:rStyle w:val="libFootnotenumChar"/>
          <w:rtl/>
        </w:rPr>
        <w:t>(13)</w:t>
      </w:r>
      <w:r w:rsidRPr="00132E65">
        <w:rPr>
          <w:rtl/>
          <w:lang w:bidi="fa-IR"/>
        </w:rPr>
        <w:t xml:space="preserve"> : فَخَرَّ أَبُو عَمْرٍو </w:t>
      </w:r>
      <w:r w:rsidRPr="00F543F1">
        <w:rPr>
          <w:rStyle w:val="libFootnotenumChar"/>
          <w:rtl/>
        </w:rPr>
        <w:t>(14)</w:t>
      </w:r>
      <w:r w:rsidRPr="00132E65">
        <w:rPr>
          <w:rtl/>
          <w:lang w:bidi="fa-IR"/>
        </w:rPr>
        <w:t xml:space="preserve"> سَاجِداً وبَكى ، ثُمَّ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ج » : « الحجّة »</w:t>
      </w:r>
      <w:r>
        <w:rPr>
          <w:rtl/>
        </w:rPr>
        <w:t>.</w:t>
      </w:r>
    </w:p>
    <w:p w:rsidR="000C39D1" w:rsidRPr="00132E65" w:rsidRDefault="000C39D1" w:rsidP="000C39D1">
      <w:pPr>
        <w:pStyle w:val="libFootnote0"/>
        <w:rPr>
          <w:rtl/>
          <w:lang w:bidi="fa-IR"/>
        </w:rPr>
      </w:pPr>
      <w:r>
        <w:rPr>
          <w:rtl/>
        </w:rPr>
        <w:t>(2).</w:t>
      </w:r>
      <w:r w:rsidRPr="00132E65">
        <w:rPr>
          <w:rtl/>
        </w:rPr>
        <w:t xml:space="preserve"> في « ض ، بف » وحاشية « ج ، بح » وشرح المازندراني والغيبة ، ص 243 </w:t>
      </w:r>
      <w:r>
        <w:rPr>
          <w:rtl/>
        </w:rPr>
        <w:t>و 3</w:t>
      </w:r>
      <w:r w:rsidRPr="00132E65">
        <w:rPr>
          <w:rtl/>
        </w:rPr>
        <w:t>59 : « فلم يكن »</w:t>
      </w:r>
      <w:r>
        <w:rPr>
          <w:rtl/>
        </w:rPr>
        <w:t>.</w:t>
      </w:r>
    </w:p>
    <w:p w:rsidR="000C39D1" w:rsidRPr="00132E65" w:rsidRDefault="000C39D1" w:rsidP="000C39D1">
      <w:pPr>
        <w:pStyle w:val="libFootnote0"/>
        <w:rPr>
          <w:rtl/>
          <w:lang w:bidi="fa-IR"/>
        </w:rPr>
      </w:pPr>
      <w:r>
        <w:rPr>
          <w:rtl/>
        </w:rPr>
        <w:t>(3).</w:t>
      </w:r>
      <w:r w:rsidRPr="00132E65">
        <w:rPr>
          <w:rtl/>
        </w:rPr>
        <w:t xml:space="preserve"> إشارة إلى الآية 158 من سورة الأنعام </w:t>
      </w:r>
      <w:r>
        <w:rPr>
          <w:rtl/>
        </w:rPr>
        <w:t>(6). :</w:t>
      </w:r>
      <w:r w:rsidRPr="00132E65">
        <w:rPr>
          <w:rtl/>
        </w:rPr>
        <w:t xml:space="preserve"> </w:t>
      </w:r>
      <w:r w:rsidRPr="00496273">
        <w:rPr>
          <w:rStyle w:val="libFootnoteAlaemChar"/>
          <w:rtl/>
        </w:rPr>
        <w:t>(</w:t>
      </w:r>
      <w:r>
        <w:rPr>
          <w:rFonts w:hint="cs"/>
          <w:rtl/>
        </w:rPr>
        <w:t xml:space="preserve"> </w:t>
      </w:r>
      <w:r w:rsidRPr="00C2691A">
        <w:rPr>
          <w:rStyle w:val="libFootnoteAieChar"/>
          <w:rtl/>
        </w:rPr>
        <w:t>يَوْمَ يَأْتِي بَعْضُ آياتِ رَبِّكَ لا يَنْفَعُ نَفْساً إِيمانُها لَمْ تَكُنْ آمَنَتْ مِنْ قَبْلُ أَوْ كَسَبَتْ فِي إِيمانِها خَيْراً</w:t>
      </w:r>
      <w:r>
        <w:rPr>
          <w:rFonts w:hint="cs"/>
          <w:rtl/>
        </w:rPr>
        <w:t xml:space="preserve"> </w:t>
      </w:r>
      <w:r w:rsidRPr="00496273">
        <w:rPr>
          <w:rStyle w:val="libFootnoteAlaemChar"/>
          <w:rtl/>
        </w:rPr>
        <w:t>)</w:t>
      </w:r>
      <w:r w:rsidRPr="00132E65">
        <w:rPr>
          <w:rtl/>
        </w:rPr>
        <w:t>.</w:t>
      </w:r>
    </w:p>
    <w:p w:rsidR="000C39D1" w:rsidRPr="00132E65" w:rsidRDefault="000C39D1" w:rsidP="000C39D1">
      <w:pPr>
        <w:pStyle w:val="libFootnote0"/>
        <w:rPr>
          <w:rtl/>
          <w:lang w:bidi="fa-IR"/>
        </w:rPr>
      </w:pPr>
      <w:r>
        <w:rPr>
          <w:rtl/>
        </w:rPr>
        <w:t>(4).</w:t>
      </w:r>
      <w:r w:rsidRPr="00132E65">
        <w:rPr>
          <w:rtl/>
        </w:rPr>
        <w:t xml:space="preserve"> في « ف ، بف » وشرح المازندراني والغيبة ، ص 243 : « شرار »</w:t>
      </w:r>
      <w:r>
        <w:rPr>
          <w:rtl/>
        </w:rPr>
        <w:t>.</w:t>
      </w:r>
    </w:p>
    <w:p w:rsidR="000C39D1" w:rsidRPr="00132E65" w:rsidRDefault="000C39D1" w:rsidP="001C701C">
      <w:pPr>
        <w:pStyle w:val="libFootnote0"/>
        <w:rPr>
          <w:rtl/>
          <w:lang w:bidi="fa-IR"/>
        </w:rPr>
      </w:pPr>
      <w:r>
        <w:rPr>
          <w:rtl/>
        </w:rPr>
        <w:t>(5).</w:t>
      </w:r>
      <w:r w:rsidRPr="00132E65">
        <w:rPr>
          <w:rtl/>
        </w:rPr>
        <w:t xml:space="preserve"> في « ه‍ </w:t>
      </w:r>
      <w:r w:rsidR="001C701C" w:rsidRPr="00132E65">
        <w:rPr>
          <w:rtl/>
        </w:rPr>
        <w:t>»</w:t>
      </w:r>
      <w:r w:rsidRPr="00132E65">
        <w:rPr>
          <w:rtl/>
        </w:rPr>
        <w:t xml:space="preserve"> : « مَنْ خَلَق »</w:t>
      </w:r>
      <w:r>
        <w:rPr>
          <w:rtl/>
        </w:rPr>
        <w:t>.</w:t>
      </w:r>
      <w:r w:rsidRPr="00132E65">
        <w:rPr>
          <w:rtl/>
        </w:rPr>
        <w:t xml:space="preserve"> وهو الأنسب. وفي </w:t>
      </w:r>
      <w:r w:rsidRPr="009D1ACE">
        <w:rPr>
          <w:rStyle w:val="libFootnoteBoldChar"/>
          <w:rtl/>
        </w:rPr>
        <w:t>مرآة العقول</w:t>
      </w:r>
      <w:r w:rsidRPr="00132E65">
        <w:rPr>
          <w:rtl/>
        </w:rPr>
        <w:t xml:space="preserve"> : « من اسم موصول ، أو حرف جرّ للتبعيض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ف ، ه‍ </w:t>
            </w:r>
            <w:r w:rsidR="001C701C" w:rsidRPr="00132E65">
              <w:rPr>
                <w:rtl/>
              </w:rPr>
              <w:t>»</w:t>
            </w:r>
            <w:r w:rsidRPr="00132E65">
              <w:rPr>
                <w:rtl/>
              </w:rPr>
              <w:t xml:space="preserve"> : « يقوم »</w:t>
            </w:r>
            <w:r>
              <w:rPr>
                <w:rtl/>
              </w:rPr>
              <w:t>.</w:t>
            </w:r>
          </w:p>
        </w:tc>
        <w:tc>
          <w:tcPr>
            <w:tcW w:w="4006" w:type="dxa"/>
          </w:tcPr>
          <w:p w:rsidR="000C39D1" w:rsidRDefault="000C39D1" w:rsidP="00B53873">
            <w:pPr>
              <w:pStyle w:val="libFootnote0"/>
              <w:rPr>
                <w:rtl/>
              </w:rPr>
            </w:pPr>
            <w:r>
              <w:rPr>
                <w:rtl/>
              </w:rPr>
              <w:t>(7). في « ف » : «قال له</w:t>
            </w:r>
            <w:r w:rsidRPr="00132E65">
              <w:rPr>
                <w:rtl/>
              </w:rPr>
              <w:t>»</w:t>
            </w:r>
            <w:r>
              <w:rPr>
                <w:rtl/>
              </w:rPr>
              <w:t>.</w:t>
            </w:r>
            <w:r w:rsidRPr="00132E65">
              <w:rPr>
                <w:rtl/>
              </w:rPr>
              <w:t xml:space="preserve"> وفي « ه‍ » : « فقال »</w:t>
            </w:r>
            <w:r>
              <w:rPr>
                <w:rtl/>
              </w:rPr>
              <w:t>.</w:t>
            </w:r>
          </w:p>
        </w:tc>
      </w:tr>
    </w:tbl>
    <w:p w:rsidR="000C39D1" w:rsidRPr="00132E65" w:rsidRDefault="000C39D1" w:rsidP="000C39D1">
      <w:pPr>
        <w:pStyle w:val="libFootnote0"/>
        <w:rPr>
          <w:rtl/>
          <w:lang w:bidi="fa-IR"/>
        </w:rPr>
      </w:pPr>
      <w:r>
        <w:rPr>
          <w:rtl/>
        </w:rPr>
        <w:t>(8).</w:t>
      </w:r>
      <w:r w:rsidRPr="00132E65">
        <w:rPr>
          <w:rtl/>
        </w:rPr>
        <w:t xml:space="preserve"> البقرة </w:t>
      </w:r>
      <w:r>
        <w:rPr>
          <w:rtl/>
        </w:rPr>
        <w:t>(2)</w:t>
      </w:r>
      <w:r w:rsidRPr="00132E65">
        <w:rPr>
          <w:rtl/>
        </w:rPr>
        <w:t xml:space="preserve"> : 260.</w:t>
      </w:r>
    </w:p>
    <w:p w:rsidR="000C39D1" w:rsidRPr="00132E65" w:rsidRDefault="000C39D1" w:rsidP="000C39D1">
      <w:pPr>
        <w:pStyle w:val="libFootnote0"/>
        <w:rPr>
          <w:rtl/>
          <w:lang w:bidi="fa-IR"/>
        </w:rPr>
      </w:pPr>
      <w:r>
        <w:rPr>
          <w:rtl/>
        </w:rPr>
        <w:t>(9).</w:t>
      </w:r>
      <w:r w:rsidRPr="00132E65">
        <w:rPr>
          <w:rtl/>
        </w:rPr>
        <w:t xml:space="preserve"> في الوسائل والغيبة ، ص 243 : « وعمّن »</w:t>
      </w:r>
      <w:r>
        <w:rPr>
          <w:rtl/>
        </w:rPr>
        <w:t>.</w:t>
      </w:r>
      <w:r w:rsidRPr="00132E65">
        <w:rPr>
          <w:rtl/>
        </w:rPr>
        <w:t xml:space="preserve"> وفي </w:t>
      </w:r>
      <w:r w:rsidRPr="009D1ACE">
        <w:rPr>
          <w:rStyle w:val="libFootnoteBoldChar"/>
          <w:rtl/>
        </w:rPr>
        <w:t>مرآة العقول</w:t>
      </w:r>
      <w:r w:rsidRPr="00132E65">
        <w:rPr>
          <w:rtl/>
        </w:rPr>
        <w:t xml:space="preserve"> : « الترديد من الراوي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في الوسائل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(11).</w:t>
            </w:r>
            <w:r w:rsidRPr="00132E65">
              <w:rPr>
                <w:rtl/>
              </w:rPr>
              <w:t xml:space="preserve"> في الوسائل </w:t>
            </w:r>
            <w:r>
              <w:rPr>
                <w:rtl/>
              </w:rPr>
              <w:t xml:space="preserve">: - </w:t>
            </w:r>
            <w:r w:rsidRPr="00132E65">
              <w:rPr>
                <w:rtl/>
              </w:rPr>
              <w:t>« له »</w:t>
            </w:r>
            <w:r>
              <w:rPr>
                <w:rtl/>
              </w:rPr>
              <w:t>.</w:t>
            </w:r>
          </w:p>
        </w:tc>
      </w:tr>
      <w:tr w:rsidR="000C39D1" w:rsidTr="00B53873">
        <w:tc>
          <w:tcPr>
            <w:tcW w:w="4006" w:type="dxa"/>
          </w:tcPr>
          <w:p w:rsidR="000C39D1" w:rsidRDefault="000C39D1" w:rsidP="00B53873">
            <w:pPr>
              <w:pStyle w:val="libFootnote0"/>
              <w:rPr>
                <w:rtl/>
              </w:rPr>
            </w:pPr>
            <w:r>
              <w:rPr>
                <w:rtl/>
              </w:rPr>
              <w:t>(12).</w:t>
            </w:r>
            <w:r w:rsidRPr="00132E65">
              <w:rPr>
                <w:rtl/>
              </w:rPr>
              <w:t xml:space="preserve"> في « ف » :</w:t>
            </w:r>
            <w:r>
              <w:rPr>
                <w:rtl/>
              </w:rPr>
              <w:t xml:space="preserve"> + </w:t>
            </w:r>
            <w:r w:rsidR="001C701C">
              <w:rPr>
                <w:rtl/>
              </w:rPr>
              <w:t>«</w:t>
            </w:r>
            <w:r w:rsidR="001C701C">
              <w:rPr>
                <w:rFonts w:hint="cs"/>
                <w:rtl/>
              </w:rPr>
              <w:t xml:space="preserve"> </w:t>
            </w:r>
            <w:r w:rsidRPr="00132E65">
              <w:rPr>
                <w:rtl/>
              </w:rPr>
              <w:t>عنّي »</w:t>
            </w:r>
            <w:r>
              <w:rPr>
                <w:rtl/>
              </w:rPr>
              <w:t>.</w:t>
            </w:r>
          </w:p>
        </w:tc>
        <w:tc>
          <w:tcPr>
            <w:tcW w:w="4006" w:type="dxa"/>
          </w:tcPr>
          <w:p w:rsidR="000C39D1" w:rsidRDefault="000C39D1" w:rsidP="00B53873">
            <w:pPr>
              <w:pStyle w:val="libFootnote0"/>
              <w:rPr>
                <w:rtl/>
              </w:rPr>
            </w:pPr>
            <w:r>
              <w:rPr>
                <w:rtl/>
              </w:rPr>
              <w:t>(13)</w:t>
            </w:r>
            <w:r w:rsidRPr="00132E65">
              <w:rPr>
                <w:rtl/>
              </w:rPr>
              <w:t xml:space="preserve"> في « بف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(14)</w:t>
      </w:r>
      <w:r w:rsidRPr="00132E65">
        <w:rPr>
          <w:rtl/>
        </w:rPr>
        <w:t xml:space="preserve"> في « ف » : « أبو عليّ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سَلْ حَاجَتَكَ </w:t>
      </w:r>
      <w:r>
        <w:rPr>
          <w:rStyle w:val="libFootnotenumChar"/>
          <w:rtl/>
        </w:rPr>
        <w:t>(1)</w:t>
      </w:r>
      <w:r w:rsidRPr="00132E65">
        <w:rPr>
          <w:rtl/>
          <w:lang w:bidi="fa-IR"/>
        </w:rPr>
        <w:t xml:space="preserve"> ، فَقُلْتُ لَهُ : أَنْتَ رَأَيْتَ الْخَلَفَ مِنْ بَعْدِ </w:t>
      </w:r>
      <w:r>
        <w:rPr>
          <w:rStyle w:val="libFootnotenumChar"/>
          <w:rtl/>
        </w:rPr>
        <w:t>(2)</w:t>
      </w:r>
      <w:r w:rsidRPr="00132E65">
        <w:rPr>
          <w:rtl/>
          <w:lang w:bidi="fa-IR"/>
        </w:rPr>
        <w:t xml:space="preserve"> أَبِي مُحَمَّدٍ </w:t>
      </w:r>
      <w:r w:rsidRPr="00071CF9">
        <w:rPr>
          <w:rStyle w:val="libAlaemChar"/>
          <w:rtl/>
        </w:rPr>
        <w:t>عليه‌السلام</w:t>
      </w:r>
      <w:r>
        <w:rPr>
          <w:rtl/>
          <w:lang w:bidi="fa-IR"/>
        </w:rPr>
        <w:t>؟</w:t>
      </w:r>
      <w:r w:rsidRPr="00132E65">
        <w:rPr>
          <w:rtl/>
          <w:lang w:bidi="fa-IR"/>
        </w:rPr>
        <w:t xml:space="preserve"> فَقَالَ : إِي و</w:t>
      </w:r>
      <w:r>
        <w:rPr>
          <w:rFonts w:hint="cs"/>
          <w:rtl/>
          <w:lang w:bidi="fa-IR"/>
        </w:rPr>
        <w:t>َ</w:t>
      </w:r>
      <w:r w:rsidRPr="00132E65">
        <w:rPr>
          <w:rtl/>
          <w:lang w:bidi="fa-IR"/>
        </w:rPr>
        <w:t xml:space="preserve">اللهِ ، وَرَقَبَتُهُ مِثْلُ ذَا ، وأَوْمَأَ بِيَدِهِ </w:t>
      </w:r>
      <w:r>
        <w:rPr>
          <w:rStyle w:val="libFootnotenumChar"/>
          <w:rtl/>
        </w:rPr>
        <w:t>(3)</w:t>
      </w:r>
      <w:r w:rsidRPr="00496273">
        <w:rPr>
          <w:rStyle w:val="libNormalChar"/>
          <w:rFonts w:hint="cs"/>
          <w:rtl/>
        </w:rPr>
        <w:t>.</w:t>
      </w:r>
    </w:p>
    <w:p w:rsidR="000C39D1" w:rsidRPr="00132E65" w:rsidRDefault="000C39D1" w:rsidP="000C39D1">
      <w:pPr>
        <w:pStyle w:val="libNormal"/>
        <w:rPr>
          <w:rtl/>
          <w:lang w:bidi="fa-IR"/>
        </w:rPr>
      </w:pPr>
      <w:r w:rsidRPr="00132E65">
        <w:rPr>
          <w:rtl/>
          <w:lang w:bidi="fa-IR"/>
        </w:rPr>
        <w:t>فَقُلْتُ لَهُ : فَبَقِيَتْ و</w:t>
      </w:r>
      <w:r>
        <w:rPr>
          <w:rFonts w:hint="cs"/>
          <w:rtl/>
          <w:lang w:bidi="fa-IR"/>
        </w:rPr>
        <w:t>َ</w:t>
      </w:r>
      <w:r w:rsidRPr="00132E65">
        <w:rPr>
          <w:rtl/>
          <w:lang w:bidi="fa-IR"/>
        </w:rPr>
        <w:t>احِدَةٌ ، فَقَالَ لِي : هَاتِ ، قُلْتُ : فَالِاسْمُ</w:t>
      </w:r>
      <w:r>
        <w:rPr>
          <w:rtl/>
          <w:lang w:bidi="fa-IR"/>
        </w:rPr>
        <w:t>؟</w:t>
      </w:r>
      <w:r w:rsidRPr="00132E65">
        <w:rPr>
          <w:rtl/>
          <w:lang w:bidi="fa-IR"/>
        </w:rPr>
        <w:t xml:space="preserve"> قَالَ : مُحَرَّمٌ عَلَيْكُمْ أَنْ تَسْأَلُوا عَنْ ذلِكَ ، ولَا</w:t>
      </w:r>
      <w:r>
        <w:rPr>
          <w:rFonts w:hint="cs"/>
          <w:rtl/>
          <w:lang w:bidi="fa-IR"/>
        </w:rPr>
        <w:t xml:space="preserve"> </w:t>
      </w:r>
      <w:r w:rsidRPr="00132E65">
        <w:rPr>
          <w:rtl/>
          <w:lang w:bidi="fa-IR"/>
        </w:rPr>
        <w:t xml:space="preserve">أَقُولُ هذَا مِنْ عِنْدِي ؛ فَلَيْسَ لِي أَنْ أُحَلِّلَ ولَا </w:t>
      </w:r>
      <w:r>
        <w:rPr>
          <w:rStyle w:val="libFootnotenumChar"/>
          <w:rtl/>
        </w:rPr>
        <w:t>(4)</w:t>
      </w:r>
      <w:r w:rsidRPr="00132E65">
        <w:rPr>
          <w:rtl/>
          <w:lang w:bidi="fa-IR"/>
        </w:rPr>
        <w:t xml:space="preserve"> أُحَرِّمَ ، و</w:t>
      </w:r>
      <w:r>
        <w:rPr>
          <w:rFonts w:hint="cs"/>
          <w:rtl/>
          <w:lang w:bidi="fa-IR"/>
        </w:rPr>
        <w:t>َ</w:t>
      </w:r>
      <w:r w:rsidRPr="00132E65">
        <w:rPr>
          <w:rtl/>
          <w:lang w:bidi="fa-IR"/>
        </w:rPr>
        <w:t xml:space="preserve">لكِنْ </w:t>
      </w:r>
      <w:r>
        <w:rPr>
          <w:rStyle w:val="libFootnotenumChar"/>
          <w:rtl/>
        </w:rPr>
        <w:t>(5)</w:t>
      </w:r>
      <w:r w:rsidRPr="00132E65">
        <w:rPr>
          <w:rtl/>
          <w:lang w:bidi="fa-IR"/>
        </w:rPr>
        <w:t xml:space="preserve"> عَنْهُ </w:t>
      </w:r>
      <w:r w:rsidRPr="00071CF9">
        <w:rPr>
          <w:rStyle w:val="libAlaemChar"/>
          <w:rtl/>
        </w:rPr>
        <w:t>عليه‌السلام</w:t>
      </w:r>
      <w:r w:rsidRPr="00132E65">
        <w:rPr>
          <w:rtl/>
          <w:lang w:bidi="fa-IR"/>
        </w:rPr>
        <w:t xml:space="preserve"> ؛ فَإِنَّ الْأَمْرَ عِنْدَ السُّلْطَانِ أَنَّ أَبَا مُحَمَّدٍ </w:t>
      </w:r>
      <w:r w:rsidRPr="00071CF9">
        <w:rPr>
          <w:rStyle w:val="libAlaemChar"/>
          <w:rtl/>
        </w:rPr>
        <w:t>عليه‌السلام</w:t>
      </w:r>
      <w:r w:rsidRPr="00132E65">
        <w:rPr>
          <w:rtl/>
          <w:lang w:bidi="fa-IR"/>
        </w:rPr>
        <w:t xml:space="preserve"> مَضى ولَمْ يُخَلِّفْ ولَداً ، وقَسَّمَ </w:t>
      </w:r>
      <w:r>
        <w:rPr>
          <w:rStyle w:val="libFootnotenumChar"/>
          <w:rtl/>
        </w:rPr>
        <w:t>(6)</w:t>
      </w:r>
      <w:r w:rsidRPr="00132E65">
        <w:rPr>
          <w:rtl/>
          <w:lang w:bidi="fa-IR"/>
        </w:rPr>
        <w:t xml:space="preserve"> مِيرَاثَهُ ، وأَخَذَهُ مَنْ لَاحَقَّ لَهُ فِيهِ </w:t>
      </w:r>
      <w:r>
        <w:rPr>
          <w:rStyle w:val="libFootnotenumChar"/>
          <w:rtl/>
        </w:rPr>
        <w:t>(7)</w:t>
      </w:r>
      <w:r w:rsidRPr="00132E65">
        <w:rPr>
          <w:rtl/>
          <w:lang w:bidi="fa-IR"/>
        </w:rPr>
        <w:t xml:space="preserve"> ، وهُوَ ذَا عِيَالُهُ يَجُولُونَ </w:t>
      </w:r>
      <w:r>
        <w:rPr>
          <w:rStyle w:val="libFootnotenumChar"/>
          <w:rtl/>
        </w:rPr>
        <w:t>(8)</w:t>
      </w:r>
      <w:r w:rsidRPr="00132E65">
        <w:rPr>
          <w:rtl/>
          <w:lang w:bidi="fa-IR"/>
        </w:rPr>
        <w:t xml:space="preserve"> لَيْسَ </w:t>
      </w:r>
      <w:r>
        <w:rPr>
          <w:rStyle w:val="libFootnotenumChar"/>
          <w:rtl/>
        </w:rPr>
        <w:t>(9)</w:t>
      </w:r>
      <w:r w:rsidRPr="00132E65">
        <w:rPr>
          <w:rtl/>
          <w:lang w:bidi="fa-IR"/>
        </w:rPr>
        <w:t xml:space="preserve"> أَحَدٌ يَجْسُرُ </w:t>
      </w:r>
      <w:r>
        <w:rPr>
          <w:rStyle w:val="libFootnotenumChar"/>
          <w:rtl/>
        </w:rPr>
        <w:t>(10)</w:t>
      </w:r>
      <w:r w:rsidRPr="00132E65">
        <w:rPr>
          <w:rtl/>
          <w:lang w:bidi="fa-IR"/>
        </w:rPr>
        <w:t xml:space="preserve"> أَنْ يَتَعَرَّفَ إِلَيْهِمْ ، أَوْ يُنِيلَهُمْ شَيْئاً ، وإِذَا </w:t>
      </w:r>
      <w:r>
        <w:rPr>
          <w:rStyle w:val="libFootnotenumChar"/>
          <w:rtl/>
        </w:rPr>
        <w:t>(11)</w:t>
      </w:r>
      <w:r w:rsidRPr="00132E65">
        <w:rPr>
          <w:rtl/>
          <w:lang w:bidi="fa-IR"/>
        </w:rPr>
        <w:t xml:space="preserve"> وقَعَ الِاسْمُ وقَعَ الطَّلَبُ ؛ فَاتَّقُوا اللهَ ، وأَمْسِكُوا عَنْ ذلِكَ.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132E65">
        <w:rPr>
          <w:rtl/>
          <w:lang w:bidi="fa-IR"/>
        </w:rPr>
        <w:t>قَالَ الْكُلَيْنِيُّ رَحِمَهُ اللهُ : وحَدَّثَنِي شَيْخٌ مِنْ أَصْحَابِنَا</w:t>
      </w:r>
      <w:r>
        <w:rPr>
          <w:rtl/>
          <w:lang w:bidi="fa-IR"/>
        </w:rPr>
        <w:t xml:space="preserve"> - </w:t>
      </w:r>
      <w:r w:rsidRPr="00132E65">
        <w:rPr>
          <w:rtl/>
          <w:lang w:bidi="fa-IR"/>
        </w:rPr>
        <w:t>ذَهَبَ عَنِّي اسْمُهُ</w:t>
      </w:r>
      <w:r>
        <w:rPr>
          <w:rtl/>
          <w:lang w:bidi="fa-IR"/>
        </w:rPr>
        <w:t xml:space="preserve"> - </w:t>
      </w:r>
      <w:r w:rsidRPr="00132E65">
        <w:rPr>
          <w:rtl/>
          <w:lang w:bidi="fa-IR"/>
        </w:rPr>
        <w:t>أَنَّ‌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ض ، ه‍ ، بح ، بس » </w:t>
      </w:r>
      <w:r>
        <w:rPr>
          <w:rtl/>
        </w:rPr>
        <w:t xml:space="preserve">: - </w:t>
      </w:r>
      <w:r w:rsidRPr="00132E65">
        <w:rPr>
          <w:rtl/>
        </w:rPr>
        <w:t>« حاجتك »</w:t>
      </w:r>
      <w:r>
        <w:rPr>
          <w:rtl/>
        </w:rPr>
        <w:t>.</w:t>
      </w:r>
    </w:p>
    <w:p w:rsidR="000C39D1" w:rsidRPr="00132E65" w:rsidRDefault="000C39D1" w:rsidP="001C701C">
      <w:pPr>
        <w:pStyle w:val="libFootnote0"/>
        <w:rPr>
          <w:rtl/>
          <w:lang w:bidi="fa-IR"/>
        </w:rPr>
      </w:pPr>
      <w:r>
        <w:rPr>
          <w:rtl/>
        </w:rPr>
        <w:t>(2).</w:t>
      </w:r>
      <w:r w:rsidRPr="00132E65">
        <w:rPr>
          <w:rtl/>
        </w:rPr>
        <w:t xml:space="preserve"> في « ه‍ </w:t>
      </w:r>
      <w:r w:rsidR="001C701C" w:rsidRPr="00132E65">
        <w:rPr>
          <w:rtl/>
        </w:rPr>
        <w:t>»</w:t>
      </w:r>
      <w:r w:rsidRPr="00132E65">
        <w:rPr>
          <w:rtl/>
        </w:rPr>
        <w:t xml:space="preserve"> والغيبة ، ص 243 </w:t>
      </w:r>
      <w:r>
        <w:rPr>
          <w:rtl/>
        </w:rPr>
        <w:t xml:space="preserve">: - </w:t>
      </w:r>
      <w:r w:rsidRPr="00132E65">
        <w:rPr>
          <w:rtl/>
        </w:rPr>
        <w:t>« بعد »</w:t>
      </w:r>
      <w:r>
        <w:rPr>
          <w:rtl/>
        </w:rPr>
        <w:t>.</w:t>
      </w:r>
    </w:p>
    <w:p w:rsidR="000C39D1" w:rsidRPr="00132E65" w:rsidRDefault="000C39D1" w:rsidP="001C701C">
      <w:pPr>
        <w:pStyle w:val="libFootnote0"/>
        <w:rPr>
          <w:rtl/>
          <w:lang w:bidi="fa-IR"/>
        </w:rPr>
      </w:pPr>
      <w:r>
        <w:rPr>
          <w:rtl/>
        </w:rPr>
        <w:t>(3).</w:t>
      </w:r>
      <w:r w:rsidRPr="00132E65">
        <w:rPr>
          <w:rtl/>
        </w:rPr>
        <w:t xml:space="preserve"> في « ه‍ </w:t>
      </w:r>
      <w:r w:rsidR="001C701C" w:rsidRPr="00132E65">
        <w:rPr>
          <w:rtl/>
        </w:rPr>
        <w:t>»</w:t>
      </w:r>
      <w:r w:rsidRPr="00132E65">
        <w:rPr>
          <w:rtl/>
        </w:rPr>
        <w:t xml:space="preserve"> وحاشية « بف » : « بيديه »</w:t>
      </w:r>
      <w:r>
        <w:rPr>
          <w:rtl/>
        </w:rPr>
        <w:t>.</w:t>
      </w:r>
    </w:p>
    <w:p w:rsidR="000C39D1" w:rsidRPr="00132E65" w:rsidRDefault="000C39D1" w:rsidP="000C39D1">
      <w:pPr>
        <w:pStyle w:val="libFootnote0"/>
        <w:rPr>
          <w:rtl/>
          <w:lang w:bidi="fa-IR"/>
        </w:rPr>
      </w:pPr>
      <w:r>
        <w:rPr>
          <w:rtl/>
        </w:rPr>
        <w:t>(4).</w:t>
      </w:r>
      <w:r w:rsidRPr="00132E65">
        <w:rPr>
          <w:rtl/>
        </w:rPr>
        <w:t xml:space="preserve"> في « بف » : « ولا أن »</w:t>
      </w:r>
      <w:r>
        <w:rPr>
          <w:rtl/>
        </w:rPr>
        <w:t>.</w:t>
      </w:r>
    </w:p>
    <w:p w:rsidR="000C39D1" w:rsidRPr="00132E65" w:rsidRDefault="000C39D1" w:rsidP="000C39D1">
      <w:pPr>
        <w:pStyle w:val="libFootnote0"/>
        <w:rPr>
          <w:rtl/>
          <w:lang w:bidi="fa-IR"/>
        </w:rPr>
      </w:pPr>
      <w:r>
        <w:rPr>
          <w:rtl/>
        </w:rPr>
        <w:t>(5).</w:t>
      </w:r>
      <w:r w:rsidRPr="00132E65">
        <w:rPr>
          <w:rtl/>
        </w:rPr>
        <w:t xml:space="preserve"> في « ض ، بف » و</w:t>
      </w:r>
      <w:r w:rsidRPr="009D1ACE">
        <w:rPr>
          <w:rStyle w:val="libFootnoteBoldChar"/>
          <w:rtl/>
        </w:rPr>
        <w:t>الوافي</w:t>
      </w:r>
      <w:r w:rsidRPr="00132E65">
        <w:rPr>
          <w:rtl/>
        </w:rPr>
        <w:t xml:space="preserve"> : « ولكنّه »</w:t>
      </w:r>
      <w:r>
        <w:rPr>
          <w:rtl/>
        </w:rPr>
        <w:t>.</w:t>
      </w:r>
    </w:p>
    <w:p w:rsidR="000C39D1" w:rsidRPr="00132E65" w:rsidRDefault="000C39D1" w:rsidP="000C39D1">
      <w:pPr>
        <w:pStyle w:val="libFootnote0"/>
        <w:rPr>
          <w:rtl/>
          <w:lang w:bidi="fa-IR"/>
        </w:rPr>
      </w:pPr>
      <w:r>
        <w:rPr>
          <w:rtl/>
        </w:rPr>
        <w:t>(6).</w:t>
      </w:r>
      <w:r w:rsidRPr="00132E65">
        <w:rPr>
          <w:rtl/>
        </w:rPr>
        <w:t xml:space="preserve"> يجوز في الكلمة أربع قراءات : من التفعيل والمجرّد ، معلوماً ومجهولاً.</w:t>
      </w:r>
    </w:p>
    <w:p w:rsidR="000C39D1" w:rsidRPr="00132E65" w:rsidRDefault="000C39D1" w:rsidP="000C39D1">
      <w:pPr>
        <w:pStyle w:val="libFootnote0"/>
        <w:rPr>
          <w:rtl/>
          <w:lang w:bidi="fa-IR"/>
        </w:rPr>
      </w:pPr>
      <w:r>
        <w:rPr>
          <w:rtl/>
        </w:rPr>
        <w:t>(7).</w:t>
      </w:r>
      <w:r w:rsidRPr="00132E65">
        <w:rPr>
          <w:rtl/>
        </w:rPr>
        <w:t xml:space="preserve"> فى </w:t>
      </w:r>
      <w:r w:rsidRPr="009D1ACE">
        <w:rPr>
          <w:rStyle w:val="libFootnoteBoldChar"/>
          <w:rtl/>
        </w:rPr>
        <w:t>الوافي</w:t>
      </w:r>
      <w:r w:rsidRPr="00132E65">
        <w:rPr>
          <w:rtl/>
        </w:rPr>
        <w:t xml:space="preserve"> : « كناية عن عمّه الكذّاب »</w:t>
      </w:r>
      <w:r>
        <w:rPr>
          <w:rtl/>
        </w:rPr>
        <w:t>.</w:t>
      </w:r>
    </w:p>
    <w:p w:rsidR="000C39D1" w:rsidRPr="00132E65" w:rsidRDefault="000C39D1" w:rsidP="000C39D1">
      <w:pPr>
        <w:pStyle w:val="libFootnote0"/>
        <w:rPr>
          <w:rtl/>
          <w:lang w:bidi="fa-IR"/>
        </w:rPr>
      </w:pPr>
      <w:r>
        <w:rPr>
          <w:rtl/>
        </w:rPr>
        <w:t>(8).</w:t>
      </w:r>
      <w:r w:rsidRPr="00132E65">
        <w:rPr>
          <w:rtl/>
        </w:rPr>
        <w:t xml:space="preserve"> في « ب ، بح ، بف » : « يحوّلون »</w:t>
      </w:r>
      <w:r>
        <w:rPr>
          <w:rtl/>
        </w:rPr>
        <w:t>.</w:t>
      </w:r>
      <w:r w:rsidRPr="00132E65">
        <w:rPr>
          <w:rtl/>
        </w:rPr>
        <w:t xml:space="preserve"> واستظهر المازندراني في شرحه ، ج 6 ، ص 213 تصحيفه. وفي « ف ، ه‍ » : « يجوّلون »</w:t>
      </w:r>
      <w:r>
        <w:rPr>
          <w:rtl/>
        </w:rPr>
        <w:t>.</w:t>
      </w:r>
      <w:r w:rsidRPr="00132E65">
        <w:rPr>
          <w:rtl/>
        </w:rPr>
        <w:t xml:space="preserve"> وفي </w:t>
      </w:r>
      <w:r w:rsidRPr="009D1ACE">
        <w:rPr>
          <w:rStyle w:val="libFootnoteBoldChar"/>
          <w:rtl/>
        </w:rPr>
        <w:t>الوافي</w:t>
      </w:r>
      <w:r w:rsidRPr="00132E65">
        <w:rPr>
          <w:rtl/>
        </w:rPr>
        <w:t xml:space="preserve"> : « يجولان »</w:t>
      </w:r>
      <w:r>
        <w:rPr>
          <w:rtl/>
        </w:rPr>
        <w:t>.</w:t>
      </w:r>
      <w:r w:rsidRPr="00132E65">
        <w:rPr>
          <w:rtl/>
        </w:rPr>
        <w:t xml:space="preserve"> وقوله : « يجولون » ، أي يذهبون ويجيئون. يقال : جال واجتال ، إذا ذهب وجاء ، راجع : </w:t>
      </w:r>
      <w:r w:rsidRPr="007004C1">
        <w:rPr>
          <w:rtl/>
        </w:rPr>
        <w:t>النهاية</w:t>
      </w:r>
      <w:r w:rsidRPr="00132E65">
        <w:rPr>
          <w:rtl/>
        </w:rPr>
        <w:t xml:space="preserve"> ، ج 1 ، ص 317 ( جول )</w:t>
      </w:r>
      <w:r>
        <w:rPr>
          <w:rtl/>
        </w:rPr>
        <w:t>.</w:t>
      </w:r>
      <w:r>
        <w:rPr>
          <w:rFonts w:hint="cs"/>
          <w:rtl/>
        </w:rPr>
        <w:t xml:space="preserve">       </w:t>
      </w:r>
      <w:r>
        <w:rPr>
          <w:rtl/>
        </w:rPr>
        <w:t>(9).</w:t>
      </w:r>
      <w:r w:rsidRPr="00132E65">
        <w:rPr>
          <w:rtl/>
        </w:rPr>
        <w:t xml:space="preserve"> في « ه‍ » والغيبة ، ص 243 : « فليس »</w:t>
      </w:r>
      <w:r>
        <w:rPr>
          <w:rtl/>
        </w:rPr>
        <w:t>.</w:t>
      </w:r>
    </w:p>
    <w:p w:rsidR="000C39D1" w:rsidRPr="00132E65" w:rsidRDefault="000C39D1" w:rsidP="000C39D1">
      <w:pPr>
        <w:pStyle w:val="libFootnote0"/>
        <w:rPr>
          <w:rtl/>
          <w:lang w:bidi="fa-IR"/>
        </w:rPr>
      </w:pPr>
      <w:r>
        <w:rPr>
          <w:rtl/>
        </w:rPr>
        <w:t>(10).</w:t>
      </w:r>
      <w:r w:rsidRPr="00132E65">
        <w:rPr>
          <w:rtl/>
        </w:rPr>
        <w:t xml:space="preserve"> في « ف » : « ليس لأحد أن يجسر »</w:t>
      </w:r>
      <w:r>
        <w:rPr>
          <w:rtl/>
        </w:rPr>
        <w:t>.</w:t>
      </w:r>
      <w:r w:rsidRPr="00132E65">
        <w:rPr>
          <w:rtl/>
        </w:rPr>
        <w:t xml:space="preserve"> وفي « بح » : « ليس أحد أن يجسر »</w:t>
      </w:r>
      <w:r>
        <w:rPr>
          <w:rtl/>
        </w:rPr>
        <w:t>.</w:t>
      </w:r>
      <w:r w:rsidRPr="00132E65">
        <w:rPr>
          <w:rtl/>
        </w:rPr>
        <w:t xml:space="preserve"> </w:t>
      </w:r>
      <w:r>
        <w:rPr>
          <w:rtl/>
        </w:rPr>
        <w:t>و «</w:t>
      </w:r>
      <w:r w:rsidRPr="00132E65">
        <w:rPr>
          <w:rtl/>
        </w:rPr>
        <w:t xml:space="preserve"> يجسر » من الجسارة بمعنى الجرأة والإقدام على الشي‌ء. راجع : </w:t>
      </w:r>
      <w:r w:rsidRPr="007004C1">
        <w:rPr>
          <w:rtl/>
        </w:rPr>
        <w:t>النهاية</w:t>
      </w:r>
      <w:r w:rsidRPr="00132E65">
        <w:rPr>
          <w:rtl/>
        </w:rPr>
        <w:t xml:space="preserve"> ، ج 1 ، ص 272 ( جسر )</w:t>
      </w:r>
      <w:r>
        <w:rPr>
          <w:rtl/>
        </w:rPr>
        <w:t>.</w:t>
      </w:r>
    </w:p>
    <w:p w:rsidR="000C39D1" w:rsidRPr="00132E65" w:rsidRDefault="000C39D1" w:rsidP="000C39D1">
      <w:pPr>
        <w:pStyle w:val="libFootnote0"/>
        <w:rPr>
          <w:rtl/>
          <w:lang w:bidi="fa-IR"/>
        </w:rPr>
      </w:pPr>
      <w:r>
        <w:rPr>
          <w:rtl/>
        </w:rPr>
        <w:t>(11).</w:t>
      </w:r>
      <w:r w:rsidRPr="00132E65">
        <w:rPr>
          <w:rtl/>
        </w:rPr>
        <w:t xml:space="preserve"> في « ف » : « فإذا »</w:t>
      </w:r>
      <w:r>
        <w:rPr>
          <w:rtl/>
        </w:rPr>
        <w:t>.</w:t>
      </w:r>
    </w:p>
    <w:p w:rsidR="000C39D1" w:rsidRPr="00132E65" w:rsidRDefault="000C39D1" w:rsidP="000C39D1">
      <w:pPr>
        <w:pStyle w:val="libFootnote0"/>
        <w:rPr>
          <w:rtl/>
          <w:lang w:bidi="fa-IR"/>
        </w:rPr>
      </w:pPr>
      <w:r>
        <w:rPr>
          <w:rtl/>
        </w:rPr>
        <w:t>(12).</w:t>
      </w:r>
      <w:r w:rsidRPr="00132E65">
        <w:rPr>
          <w:rtl/>
        </w:rPr>
        <w:t xml:space="preserve"> </w:t>
      </w:r>
      <w:r w:rsidRPr="007004C1">
        <w:rPr>
          <w:rtl/>
        </w:rPr>
        <w:t>الغيبة</w:t>
      </w:r>
      <w:r w:rsidRPr="00132E65">
        <w:rPr>
          <w:rtl/>
        </w:rPr>
        <w:t xml:space="preserve"> للطوسي ، ص 243 ، ح 209 ، عن الكليني ، عن بعض أصحابنا ، عن عبدالله بن جعفر الحميري ؛ </w:t>
      </w:r>
      <w:r w:rsidRPr="007004C1">
        <w:rPr>
          <w:rtl/>
        </w:rPr>
        <w:t>وفيه</w:t>
      </w:r>
      <w:r w:rsidRPr="00132E65">
        <w:rPr>
          <w:rtl/>
        </w:rPr>
        <w:t xml:space="preserve"> ، ص 359 ، ح 322 ، إلى قوله : </w:t>
      </w:r>
      <w:r w:rsidRPr="00496273">
        <w:rPr>
          <w:rStyle w:val="libFootnoteAlaemChar"/>
          <w:rFonts w:hint="cs"/>
          <w:rtl/>
        </w:rPr>
        <w:t>(</w:t>
      </w:r>
      <w:r w:rsidRPr="00496273">
        <w:rPr>
          <w:rStyle w:val="libFootnoteAieChar"/>
          <w:rtl/>
        </w:rPr>
        <w:t xml:space="preserve"> بَلَى و</w:t>
      </w:r>
      <w:r>
        <w:rPr>
          <w:rStyle w:val="libFootnoteAieChar"/>
          <w:rFonts w:hint="cs"/>
          <w:rtl/>
        </w:rPr>
        <w:t>َ</w:t>
      </w:r>
      <w:r w:rsidRPr="00496273">
        <w:rPr>
          <w:rStyle w:val="libFootnoteAieChar"/>
          <w:rtl/>
        </w:rPr>
        <w:t>ل</w:t>
      </w:r>
      <w:r>
        <w:rPr>
          <w:rStyle w:val="libFootnoteAieChar"/>
          <w:rFonts w:hint="cs"/>
          <w:rtl/>
        </w:rPr>
        <w:t>َ</w:t>
      </w:r>
      <w:r w:rsidRPr="00496273">
        <w:rPr>
          <w:rStyle w:val="libFootnoteAieChar"/>
          <w:rtl/>
        </w:rPr>
        <w:t>كِن لّ</w:t>
      </w:r>
      <w:r>
        <w:rPr>
          <w:rStyle w:val="libFootnoteAieChar"/>
          <w:rFonts w:hint="cs"/>
          <w:rtl/>
        </w:rPr>
        <w:t>ِ</w:t>
      </w:r>
      <w:r w:rsidRPr="00496273">
        <w:rPr>
          <w:rStyle w:val="libFootnoteAieChar"/>
          <w:rtl/>
        </w:rPr>
        <w:t>يَطْمَ</w:t>
      </w:r>
      <w:r>
        <w:rPr>
          <w:rStyle w:val="libFootnoteAieChar"/>
          <w:rFonts w:hint="cs"/>
          <w:rtl/>
        </w:rPr>
        <w:t>ئِ</w:t>
      </w:r>
      <w:r w:rsidRPr="00496273">
        <w:rPr>
          <w:rStyle w:val="libFootnoteAieChar"/>
          <w:rtl/>
        </w:rPr>
        <w:t xml:space="preserve">نَّ قَلْبِي </w:t>
      </w:r>
      <w:r w:rsidRPr="00496273">
        <w:rPr>
          <w:rStyle w:val="libFootnoteAlaemChar"/>
          <w:rFonts w:hint="cs"/>
          <w:rtl/>
        </w:rPr>
        <w:t>)</w:t>
      </w:r>
      <w:r w:rsidRPr="00132E65">
        <w:rPr>
          <w:rtl/>
        </w:rPr>
        <w:t xml:space="preserve"> ، بسنده عن الكليني ، وفيهما مع اختلاف يسير </w:t>
      </w:r>
      <w:r>
        <w:rPr>
          <w:rFonts w:hint="cs"/>
          <w:rtl/>
        </w:rPr>
        <w:t>.</w:t>
      </w:r>
      <w:r w:rsidRPr="009D1ACE">
        <w:rPr>
          <w:rStyle w:val="libFootnoteBoldChar"/>
          <w:rtl/>
        </w:rPr>
        <w:t>الوافي</w:t>
      </w:r>
      <w:r w:rsidRPr="00132E65">
        <w:rPr>
          <w:rtl/>
        </w:rPr>
        <w:t xml:space="preserve"> ، ج 2 ، ص 397 ، ح 888 ؛ وفي </w:t>
      </w:r>
      <w:r w:rsidRPr="007004C1">
        <w:rPr>
          <w:rtl/>
        </w:rPr>
        <w:t>الوسائل</w:t>
      </w:r>
      <w:r w:rsidRPr="00132E65">
        <w:rPr>
          <w:rtl/>
        </w:rPr>
        <w:t xml:space="preserve"> ، ج 27 ، ص 138 ، ح 33419 ، من قوله : « وقد أخبرني أبو عليّ أحمد بن إسحاق عن أبي الحسن </w:t>
      </w:r>
      <w:r w:rsidRPr="00496273">
        <w:rPr>
          <w:rStyle w:val="libFootnoteAlaemChar"/>
          <w:rtl/>
        </w:rPr>
        <w:t>عليه‌السلام</w:t>
      </w:r>
      <w:r w:rsidRPr="00132E65">
        <w:rPr>
          <w:rtl/>
        </w:rPr>
        <w:t xml:space="preserve"> قال : سألته</w:t>
      </w:r>
      <w:r>
        <w:rPr>
          <w:rtl/>
        </w:rPr>
        <w:t xml:space="preserve"> ..</w:t>
      </w:r>
      <w:r w:rsidRPr="00132E65">
        <w:rPr>
          <w:rtl/>
        </w:rPr>
        <w:t>. » إلى قوله : « فليس لي أن ا</w:t>
      </w:r>
      <w:r>
        <w:rPr>
          <w:rFonts w:hint="cs"/>
          <w:rtl/>
        </w:rPr>
        <w:t>ُ</w:t>
      </w:r>
      <w:r w:rsidRPr="00132E65">
        <w:rPr>
          <w:rtl/>
        </w:rPr>
        <w:t>حلّل ولا ا</w:t>
      </w:r>
      <w:r>
        <w:rPr>
          <w:rFonts w:hint="cs"/>
          <w:rtl/>
        </w:rPr>
        <w:t>ُ</w:t>
      </w:r>
      <w:r w:rsidRPr="00132E65">
        <w:rPr>
          <w:rtl/>
        </w:rPr>
        <w:t xml:space="preserve">حرّم ولكن عنه </w:t>
      </w:r>
      <w:r w:rsidRPr="00496273">
        <w:rPr>
          <w:rStyle w:val="libFootnoteAlaemChar"/>
          <w:rtl/>
        </w:rPr>
        <w:t>عليه‌السلام</w:t>
      </w:r>
      <w:r w:rsidRPr="00132E65">
        <w:rPr>
          <w:rtl/>
        </w:rPr>
        <w:t xml:space="preserve">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أَبَا عَمْرٍو سُئِلَ عِنْدَ </w:t>
      </w:r>
      <w:r>
        <w:rPr>
          <w:rStyle w:val="libFootnotenumChar"/>
          <w:rtl/>
        </w:rPr>
        <w:t>(1)</w:t>
      </w:r>
      <w:r w:rsidRPr="00132E65">
        <w:rPr>
          <w:rtl/>
          <w:lang w:bidi="fa-IR"/>
        </w:rPr>
        <w:t xml:space="preserve"> أَحْمَدَ بْنِ إِسْحَاقَ عَنْ مِثْلِ هذَا ، فَأَجَابَ بِمِثْلِ هذَا.</w:t>
      </w:r>
    </w:p>
    <w:p w:rsidR="000C39D1" w:rsidRPr="00132E65" w:rsidRDefault="000C39D1" w:rsidP="000C39D1">
      <w:pPr>
        <w:pStyle w:val="libNormal"/>
        <w:rPr>
          <w:rtl/>
          <w:lang w:bidi="fa-IR"/>
        </w:rPr>
      </w:pPr>
      <w:r w:rsidRPr="00496273">
        <w:rPr>
          <w:rStyle w:val="libBold2Char"/>
          <w:rtl/>
        </w:rPr>
        <w:t>870</w:t>
      </w:r>
      <w:r w:rsidRPr="004325D8">
        <w:rPr>
          <w:rStyle w:val="libBold2Char"/>
          <w:rtl/>
        </w:rPr>
        <w:t xml:space="preserve"> / 2.</w:t>
      </w:r>
      <w:r w:rsidRPr="00132E65">
        <w:rPr>
          <w:rtl/>
          <w:lang w:bidi="fa-IR"/>
        </w:rPr>
        <w:t xml:space="preserve"> عَلِيُّ بْنُ مُحَمَّدٍ ، عَنْ مُحَمَّدِ بْنِ إِسْمَاعِيلَ بْنِ مُوسَى بْنِ جَعْفَرٍ</w:t>
      </w:r>
      <w:r>
        <w:rPr>
          <w:rtl/>
          <w:lang w:bidi="fa-IR"/>
        </w:rPr>
        <w:t xml:space="preserve"> - </w:t>
      </w:r>
      <w:r w:rsidRPr="00132E65">
        <w:rPr>
          <w:rtl/>
          <w:lang w:bidi="fa-IR"/>
        </w:rPr>
        <w:t xml:space="preserve">وكَانَ أَسَنَّ شَيْخٍ مِنْ ولْدِ رَسُولِ اللهِ </w:t>
      </w:r>
      <w:r w:rsidRPr="00071CF9">
        <w:rPr>
          <w:rStyle w:val="libAlaemChar"/>
          <w:rtl/>
        </w:rPr>
        <w:t>صلى‌الله‌عليه‌وآله</w:t>
      </w:r>
      <w:r w:rsidRPr="00132E65">
        <w:rPr>
          <w:rtl/>
          <w:lang w:bidi="fa-IR"/>
        </w:rPr>
        <w:t xml:space="preserve"> بِالْعِرَاقِ</w:t>
      </w:r>
      <w:r>
        <w:rPr>
          <w:rtl/>
          <w:lang w:bidi="fa-IR"/>
        </w:rPr>
        <w:t xml:space="preserve"> - </w:t>
      </w:r>
      <w:r w:rsidRPr="00132E65">
        <w:rPr>
          <w:rtl/>
          <w:lang w:bidi="fa-IR"/>
        </w:rPr>
        <w:t>فَقَالَ :</w:t>
      </w:r>
    </w:p>
    <w:p w:rsidR="000C39D1" w:rsidRPr="00132E65" w:rsidRDefault="000C39D1" w:rsidP="000C39D1">
      <w:pPr>
        <w:pStyle w:val="libNormal"/>
        <w:rPr>
          <w:rtl/>
          <w:lang w:bidi="fa-IR"/>
        </w:rPr>
      </w:pPr>
      <w:r w:rsidRPr="00132E65">
        <w:rPr>
          <w:rtl/>
          <w:lang w:bidi="fa-IR"/>
        </w:rPr>
        <w:t xml:space="preserve">رَأَيْتُهُ </w:t>
      </w:r>
      <w:r>
        <w:rPr>
          <w:rStyle w:val="libFootnotenumChar"/>
          <w:rtl/>
        </w:rPr>
        <w:t>(2)</w:t>
      </w:r>
      <w:r w:rsidRPr="00132E65">
        <w:rPr>
          <w:rtl/>
          <w:lang w:bidi="fa-IR"/>
        </w:rPr>
        <w:t xml:space="preserve"> بَيْنَ الْمَسْجِدَيْنِ </w:t>
      </w:r>
      <w:r>
        <w:rPr>
          <w:rStyle w:val="libFootnotenumChar"/>
          <w:rtl/>
        </w:rPr>
        <w:t>(3)</w:t>
      </w:r>
      <w:r w:rsidRPr="00132E65">
        <w:rPr>
          <w:rtl/>
          <w:lang w:bidi="fa-IR"/>
        </w:rPr>
        <w:t xml:space="preserve"> وهُوَ غُلَامٌ </w:t>
      </w:r>
      <w:r w:rsidRPr="00071CF9">
        <w:rPr>
          <w:rStyle w:val="libAlaemChar"/>
          <w:rtl/>
        </w:rPr>
        <w:t>عليه‌السلام</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496273">
        <w:rPr>
          <w:rStyle w:val="libBold2Char"/>
          <w:rtl/>
        </w:rPr>
        <w:t>871</w:t>
      </w:r>
      <w:r w:rsidRPr="004325D8">
        <w:rPr>
          <w:rStyle w:val="libBold2Char"/>
          <w:rtl/>
        </w:rPr>
        <w:t xml:space="preserve"> / 3.</w:t>
      </w:r>
      <w:r w:rsidRPr="00132E65">
        <w:rPr>
          <w:rtl/>
          <w:lang w:bidi="fa-IR"/>
        </w:rPr>
        <w:t xml:space="preserve"> مُحَمَّدُ بْنُ يَحْيى ، عَنِ الْحُسَيْنِ بْنِ رِزْقِ اللهِ أَبُو </w:t>
      </w:r>
      <w:r>
        <w:rPr>
          <w:rStyle w:val="libFootnotenumChar"/>
          <w:rtl/>
        </w:rPr>
        <w:t>(5)</w:t>
      </w:r>
      <w:r w:rsidRPr="00132E65">
        <w:rPr>
          <w:rtl/>
          <w:lang w:bidi="fa-IR"/>
        </w:rPr>
        <w:t xml:space="preserve"> عَبْدِ اللهِ ، قَالَ : حَدَّثَنِي</w:t>
      </w:r>
      <w:r>
        <w:rPr>
          <w:rFonts w:hint="cs"/>
          <w:rtl/>
          <w:lang w:bidi="fa-IR"/>
        </w:rPr>
        <w:t xml:space="preserve"> </w:t>
      </w:r>
      <w:r w:rsidRPr="00132E65">
        <w:rPr>
          <w:rtl/>
          <w:lang w:bidi="fa-IR"/>
        </w:rPr>
        <w:t>مُوسَى بْنُ مُحَمَّدِ بْنِ الْقَاسِمِ بْنِ حَمْزَةَ بْنِ مُوسَى بْنِ جَعْفَرٍ ، قَالَ :</w:t>
      </w:r>
    </w:p>
    <w:p w:rsidR="000C39D1" w:rsidRPr="00132E65" w:rsidRDefault="000C39D1" w:rsidP="000C39D1">
      <w:pPr>
        <w:pStyle w:val="libNormal"/>
        <w:rPr>
          <w:rtl/>
          <w:lang w:bidi="fa-IR"/>
        </w:rPr>
      </w:pPr>
      <w:r w:rsidRPr="00132E65">
        <w:rPr>
          <w:rtl/>
          <w:lang w:bidi="fa-IR"/>
        </w:rPr>
        <w:t xml:space="preserve">حَدَّثَتْنِي حَكِيمَةُ ابْنَةُ </w:t>
      </w:r>
      <w:r>
        <w:rPr>
          <w:rStyle w:val="libFootnotenumChar"/>
          <w:rtl/>
        </w:rPr>
        <w:t>(6)</w:t>
      </w:r>
      <w:r w:rsidRPr="00132E65">
        <w:rPr>
          <w:rtl/>
          <w:lang w:bidi="fa-IR"/>
        </w:rPr>
        <w:t xml:space="preserve"> مُحَمَّدِ بْنِ عَلِيٍّ</w:t>
      </w:r>
      <w:r>
        <w:rPr>
          <w:rtl/>
          <w:lang w:bidi="fa-IR"/>
        </w:rPr>
        <w:t xml:space="preserve"> - </w:t>
      </w:r>
      <w:r w:rsidRPr="00132E65">
        <w:rPr>
          <w:rtl/>
          <w:lang w:bidi="fa-IR"/>
        </w:rPr>
        <w:t>وهِيَ عَمَّةُ أَبِيهِ</w:t>
      </w:r>
      <w:r>
        <w:rPr>
          <w:rtl/>
          <w:lang w:bidi="fa-IR"/>
        </w:rPr>
        <w:t xml:space="preserve"> - </w:t>
      </w:r>
      <w:r w:rsidRPr="00132E65">
        <w:rPr>
          <w:rtl/>
          <w:lang w:bidi="fa-IR"/>
        </w:rPr>
        <w:t xml:space="preserve">أَنَّهَا رَأَتْهُ </w:t>
      </w:r>
      <w:r>
        <w:rPr>
          <w:rStyle w:val="libFootnotenumChar"/>
          <w:rtl/>
        </w:rPr>
        <w:t>(7)</w:t>
      </w:r>
      <w:r w:rsidRPr="00132E65">
        <w:rPr>
          <w:rtl/>
          <w:lang w:bidi="fa-IR"/>
        </w:rPr>
        <w:t xml:space="preserve"> لَيْلَةَ مَوْلِدِهِ وَبَعْدَ ذلِكَ.</w:t>
      </w:r>
      <w:r>
        <w:rPr>
          <w:rStyle w:val="libFootnotenumChar"/>
          <w:rtl/>
        </w:rPr>
        <w:t>(8)</w:t>
      </w:r>
    </w:p>
    <w:p w:rsidR="000C39D1" w:rsidRPr="00132E65" w:rsidRDefault="000C39D1" w:rsidP="000C39D1">
      <w:pPr>
        <w:pStyle w:val="libNormal"/>
        <w:rPr>
          <w:rtl/>
          <w:lang w:bidi="fa-IR"/>
        </w:rPr>
      </w:pPr>
      <w:r w:rsidRPr="00496273">
        <w:rPr>
          <w:rStyle w:val="libBold2Char"/>
          <w:rtl/>
        </w:rPr>
        <w:t>872</w:t>
      </w:r>
      <w:r w:rsidRPr="004325D8">
        <w:rPr>
          <w:rStyle w:val="libBold2Char"/>
          <w:rtl/>
        </w:rPr>
        <w:t xml:space="preserve"> / 4.</w:t>
      </w:r>
      <w:r w:rsidRPr="00132E65">
        <w:rPr>
          <w:rtl/>
          <w:lang w:bidi="fa-IR"/>
        </w:rPr>
        <w:t xml:space="preserve"> عَلِيُّ بْنُ مُحَمَّدٍ ، عَنْ حَمْدَانَ الْقَلَانِسِيِّ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ألف ، ج ، ض ، ف ، بر » و</w:t>
      </w:r>
      <w:r w:rsidRPr="009D1ACE">
        <w:rPr>
          <w:rStyle w:val="libFootnoteBoldChar"/>
          <w:rtl/>
        </w:rPr>
        <w:t>الوافي</w:t>
      </w:r>
      <w:r w:rsidRPr="00132E65">
        <w:rPr>
          <w:rtl/>
        </w:rPr>
        <w:t>. وفي « ب ، و، بس ، بف » : « سئل عن »</w:t>
      </w:r>
      <w:r>
        <w:rPr>
          <w:rtl/>
        </w:rPr>
        <w:t>.</w:t>
      </w:r>
      <w:r w:rsidRPr="00132E65">
        <w:rPr>
          <w:rtl/>
        </w:rPr>
        <w:t xml:space="preserve"> وفي « بح » : « سأل عند »</w:t>
      </w:r>
      <w:r>
        <w:rPr>
          <w:rtl/>
        </w:rPr>
        <w:t>.</w:t>
      </w:r>
      <w:r w:rsidRPr="00132E65">
        <w:rPr>
          <w:rtl/>
        </w:rPr>
        <w:t xml:space="preserve"> وفي حاشية « بح » والمطبوع : « سأل عن »</w:t>
      </w:r>
      <w:r>
        <w:rPr>
          <w:rtl/>
        </w:rPr>
        <w:t>.</w:t>
      </w:r>
    </w:p>
    <w:p w:rsidR="000C39D1" w:rsidRPr="00F24C1F" w:rsidRDefault="000C39D1" w:rsidP="00E55206">
      <w:pPr>
        <w:pStyle w:val="libFootnote0"/>
        <w:rPr>
          <w:rtl/>
        </w:rPr>
      </w:pPr>
      <w:r w:rsidRPr="00F24C1F">
        <w:rPr>
          <w:rtl/>
        </w:rPr>
        <w:t>ثمّ إنّه لا يخفى ما في المطبوع من مخالفته لأساليب كلام العرب وعدم ملاءمته لما تقدّم في نفس الخبر من سؤال أحمد بن إسحاق الشيخ أبا عمرو عن لسان عبد الله بن جعفر الحميري. وفي حاشية بدرالدين ، ص 214 : « سئل عن أحمد بن إسحاق ، أي بنيابته ، كما هو صريح قوله في أوّل الحديث : فغمزني أحمد بن إسحاق أن أسأله عن الخلف ».</w:t>
      </w:r>
    </w:p>
    <w:p w:rsidR="000C39D1" w:rsidRPr="00132E65" w:rsidRDefault="000C39D1" w:rsidP="000C39D1">
      <w:pPr>
        <w:pStyle w:val="libFootnote0"/>
        <w:rPr>
          <w:rtl/>
          <w:lang w:bidi="fa-IR"/>
        </w:rPr>
      </w:pPr>
      <w:r>
        <w:rPr>
          <w:rtl/>
        </w:rPr>
        <w:t>(2).</w:t>
      </w:r>
      <w:r w:rsidRPr="00132E65">
        <w:rPr>
          <w:rtl/>
        </w:rPr>
        <w:t xml:space="preserve"> في الإرشاد : « قال : رأيت ابن الحسن بن عليّ بن محمّد </w:t>
      </w:r>
      <w:r w:rsidRPr="00496273">
        <w:rPr>
          <w:rStyle w:val="libFootnoteAlaemChar"/>
          <w:rtl/>
        </w:rPr>
        <w:t>عليه‌السلام</w:t>
      </w:r>
      <w:r w:rsidRPr="00132E65">
        <w:rPr>
          <w:rtl/>
        </w:rPr>
        <w:t xml:space="preserve"> » بدل « فقال : رأيته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ج 4 ، ص 8 : « بين المسجدين ، أي بين مكّة والمدينة ، أو بين مسجديها ؛ والمآل واحد. أو بين مسجدي الكوفة والسهلة ، أو بين السهلة والصعصعة كما صرّح بهما في بعض الأخبار. وهو غلام ، أي لم تنبت لحيته بعدُ »</w:t>
      </w:r>
      <w:r>
        <w:rPr>
          <w:rtl/>
        </w:rPr>
        <w:t>.</w:t>
      </w:r>
    </w:p>
    <w:p w:rsidR="000C39D1" w:rsidRPr="00132E65" w:rsidRDefault="000C39D1" w:rsidP="000C39D1">
      <w:pPr>
        <w:pStyle w:val="libFootnote0"/>
        <w:rPr>
          <w:rtl/>
          <w:lang w:bidi="fa-IR"/>
        </w:rPr>
      </w:pPr>
      <w:r>
        <w:rPr>
          <w:rtl/>
        </w:rPr>
        <w:t>(4).</w:t>
      </w:r>
      <w:r w:rsidRPr="00132E65">
        <w:rPr>
          <w:rtl/>
        </w:rPr>
        <w:t xml:space="preserve"> </w:t>
      </w:r>
      <w:r w:rsidRPr="007004C1">
        <w:rPr>
          <w:rtl/>
        </w:rPr>
        <w:t>الإرشاد</w:t>
      </w:r>
      <w:r w:rsidRPr="00132E65">
        <w:rPr>
          <w:rtl/>
        </w:rPr>
        <w:t xml:space="preserve"> ، ج 2 ، ص 351 ؛ و</w:t>
      </w:r>
      <w:r w:rsidRPr="007004C1">
        <w:rPr>
          <w:rtl/>
        </w:rPr>
        <w:t>الغيبة</w:t>
      </w:r>
      <w:r w:rsidRPr="00132E65">
        <w:rPr>
          <w:rtl/>
        </w:rPr>
        <w:t xml:space="preserve"> للطوسي ، ص 268 ، ح 230 ، بسندهما عن الكليني </w:t>
      </w:r>
      <w:r>
        <w:rPr>
          <w:rFonts w:hint="cs"/>
          <w:rtl/>
        </w:rPr>
        <w:t>.</w:t>
      </w:r>
      <w:r w:rsidRPr="009D1ACE">
        <w:rPr>
          <w:rStyle w:val="libFootnoteBoldChar"/>
          <w:rtl/>
        </w:rPr>
        <w:t>الوافي</w:t>
      </w:r>
      <w:r w:rsidRPr="00132E65">
        <w:rPr>
          <w:rtl/>
        </w:rPr>
        <w:t xml:space="preserve"> ، ج 2 ، ص 399 ، ح 894.</w:t>
      </w:r>
    </w:p>
    <w:p w:rsidR="000C39D1" w:rsidRPr="00132E65" w:rsidRDefault="000C39D1" w:rsidP="000C39D1">
      <w:pPr>
        <w:pStyle w:val="libFootnote0"/>
        <w:rPr>
          <w:rtl/>
          <w:lang w:bidi="fa-IR"/>
        </w:rPr>
      </w:pPr>
      <w:r>
        <w:rPr>
          <w:rtl/>
        </w:rPr>
        <w:t>(5).</w:t>
      </w:r>
      <w:r w:rsidRPr="00132E65">
        <w:rPr>
          <w:rtl/>
        </w:rPr>
        <w:t xml:space="preserve"> كذا في النسخ والمطبوع ، والقياس هو « أبي عبد الله »</w:t>
      </w:r>
      <w:r>
        <w:rPr>
          <w:rtl/>
        </w:rPr>
        <w:t>.</w:t>
      </w:r>
    </w:p>
    <w:p w:rsidR="000C39D1" w:rsidRPr="00132E65" w:rsidRDefault="000C39D1" w:rsidP="000C39D1">
      <w:pPr>
        <w:pStyle w:val="libFootnote0"/>
        <w:rPr>
          <w:rtl/>
          <w:lang w:bidi="fa-IR"/>
        </w:rPr>
      </w:pPr>
      <w:r>
        <w:rPr>
          <w:rtl/>
        </w:rPr>
        <w:t>(6).</w:t>
      </w:r>
      <w:r w:rsidRPr="00132E65">
        <w:rPr>
          <w:rtl/>
        </w:rPr>
        <w:t xml:space="preserve"> في الإرشاد : « بنت »</w:t>
      </w:r>
      <w:r>
        <w:rPr>
          <w:rtl/>
        </w:rPr>
        <w:t>.</w:t>
      </w:r>
    </w:p>
    <w:p w:rsidR="000C39D1" w:rsidRPr="00132E65" w:rsidRDefault="000C39D1" w:rsidP="000C39D1">
      <w:pPr>
        <w:pStyle w:val="libFootnote0"/>
        <w:rPr>
          <w:rtl/>
          <w:lang w:bidi="fa-IR"/>
        </w:rPr>
      </w:pPr>
      <w:r>
        <w:rPr>
          <w:rtl/>
        </w:rPr>
        <w:t>(7).</w:t>
      </w:r>
      <w:r w:rsidRPr="00132E65">
        <w:rPr>
          <w:rtl/>
        </w:rPr>
        <w:t xml:space="preserve"> في الإرشاد : « وهي عمّة الحسن </w:t>
      </w:r>
      <w:r w:rsidRPr="00496273">
        <w:rPr>
          <w:rStyle w:val="libFootnoteAlaemChar"/>
          <w:rtl/>
        </w:rPr>
        <w:t>عليه‌السلام</w:t>
      </w:r>
      <w:r w:rsidRPr="00132E65">
        <w:rPr>
          <w:rtl/>
        </w:rPr>
        <w:t xml:space="preserve"> أنّها رأت القائم </w:t>
      </w:r>
      <w:r w:rsidRPr="00496273">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(8).</w:t>
      </w:r>
      <w:r w:rsidRPr="00132E65">
        <w:rPr>
          <w:rtl/>
        </w:rPr>
        <w:t xml:space="preserve"> </w:t>
      </w:r>
      <w:r w:rsidRPr="00496273">
        <w:rPr>
          <w:rStyle w:val="libFootnoteBoldChar"/>
          <w:rtl/>
        </w:rPr>
        <w:t>الإرشاد</w:t>
      </w:r>
      <w:r w:rsidRPr="00132E65">
        <w:rPr>
          <w:rtl/>
        </w:rPr>
        <w:t xml:space="preserve"> ، ج 2 ، ص 351 ، بسنده عن الكليني </w:t>
      </w:r>
      <w:r>
        <w:rPr>
          <w:rFonts w:hint="cs"/>
          <w:rtl/>
        </w:rPr>
        <w:t>.</w:t>
      </w:r>
      <w:r w:rsidRPr="009D1ACE">
        <w:rPr>
          <w:rStyle w:val="libFootnoteBoldChar"/>
          <w:rtl/>
        </w:rPr>
        <w:t>الوافي</w:t>
      </w:r>
      <w:r w:rsidRPr="00132E65">
        <w:rPr>
          <w:rtl/>
        </w:rPr>
        <w:t xml:space="preserve"> ، ج 2 ، ص 398 ، ح 889.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لِلْعَمْرِيِّ </w:t>
      </w:r>
      <w:r>
        <w:rPr>
          <w:rStyle w:val="libFootnotenumChar"/>
          <w:rtl/>
        </w:rPr>
        <w:t>(1)</w:t>
      </w:r>
      <w:r w:rsidRPr="00132E65">
        <w:rPr>
          <w:rtl/>
          <w:lang w:bidi="fa-IR"/>
        </w:rPr>
        <w:t xml:space="preserve"> : قَدْ مَضى أَبُو مُحَمَّدٍ </w:t>
      </w:r>
      <w:r w:rsidRPr="00071CF9">
        <w:rPr>
          <w:rStyle w:val="libAlaemChar"/>
          <w:rtl/>
        </w:rPr>
        <w:t>عليه‌السلام</w:t>
      </w:r>
      <w:r>
        <w:rPr>
          <w:rtl/>
          <w:lang w:bidi="fa-IR"/>
        </w:rPr>
        <w:t>؟</w:t>
      </w:r>
      <w:r w:rsidRPr="00132E65">
        <w:rPr>
          <w:rtl/>
          <w:lang w:bidi="fa-IR"/>
        </w:rPr>
        <w:t xml:space="preserve"> فَقَالَ </w:t>
      </w:r>
      <w:r>
        <w:rPr>
          <w:rStyle w:val="libFootnotenumChar"/>
          <w:rtl/>
        </w:rPr>
        <w:t>(2)</w:t>
      </w:r>
      <w:r w:rsidRPr="00132E65">
        <w:rPr>
          <w:rtl/>
          <w:lang w:bidi="fa-IR"/>
        </w:rPr>
        <w:t xml:space="preserve"> : قَدْ مَضى ، و</w:t>
      </w:r>
      <w:r>
        <w:rPr>
          <w:rFonts w:hint="cs"/>
          <w:rtl/>
          <w:lang w:bidi="fa-IR"/>
        </w:rPr>
        <w:t>َ</w:t>
      </w:r>
      <w:r w:rsidRPr="00132E65">
        <w:rPr>
          <w:rtl/>
          <w:lang w:bidi="fa-IR"/>
        </w:rPr>
        <w:t xml:space="preserve">لكِنْ قَدْ </w:t>
      </w:r>
      <w:r>
        <w:rPr>
          <w:rStyle w:val="libFootnotenumChar"/>
          <w:rtl/>
        </w:rPr>
        <w:t>(3)</w:t>
      </w:r>
      <w:r w:rsidRPr="00132E65">
        <w:rPr>
          <w:rtl/>
          <w:lang w:bidi="fa-IR"/>
        </w:rPr>
        <w:t xml:space="preserve"> خَلَّفَ فِيكُمْ مَنْ رَقَبَتُهُ مِثْلُ هذَا </w:t>
      </w:r>
      <w:r>
        <w:rPr>
          <w:rStyle w:val="libFootnotenumChar"/>
          <w:rtl/>
        </w:rPr>
        <w:t>(4)</w:t>
      </w:r>
      <w:r w:rsidRPr="00132E65">
        <w:rPr>
          <w:rtl/>
          <w:lang w:bidi="fa-IR"/>
        </w:rPr>
        <w:t xml:space="preserve"> ، و</w:t>
      </w:r>
      <w:r>
        <w:rPr>
          <w:rFonts w:hint="cs"/>
          <w:rtl/>
          <w:lang w:bidi="fa-IR"/>
        </w:rPr>
        <w:t>َ</w:t>
      </w:r>
      <w:r w:rsidRPr="00132E65">
        <w:rPr>
          <w:rtl/>
          <w:lang w:bidi="fa-IR"/>
        </w:rPr>
        <w:t xml:space="preserve">أَشَارَ بِيَدِهِ. </w:t>
      </w:r>
      <w:r>
        <w:rPr>
          <w:rStyle w:val="libFootnotenumChar"/>
          <w:rtl/>
        </w:rPr>
        <w:t>(5)</w:t>
      </w:r>
    </w:p>
    <w:p w:rsidR="000C39D1" w:rsidRPr="00132E65" w:rsidRDefault="000C39D1" w:rsidP="000C39D1">
      <w:pPr>
        <w:pStyle w:val="libNormal"/>
        <w:rPr>
          <w:rtl/>
          <w:lang w:bidi="fa-IR"/>
        </w:rPr>
      </w:pPr>
      <w:r w:rsidRPr="00496273">
        <w:rPr>
          <w:rStyle w:val="libBold2Char"/>
          <w:rtl/>
        </w:rPr>
        <w:t>873</w:t>
      </w:r>
      <w:r w:rsidRPr="004325D8">
        <w:rPr>
          <w:rStyle w:val="libBold2Char"/>
          <w:rtl/>
        </w:rPr>
        <w:t xml:space="preserve"> / 5.</w:t>
      </w:r>
      <w:r w:rsidRPr="00132E65">
        <w:rPr>
          <w:rtl/>
          <w:lang w:bidi="fa-IR"/>
        </w:rPr>
        <w:t xml:space="preserve"> عَلِيُّ بْنُ مُحَمَّدٍ ، عَنْ فَتْحٍ مَوْلَى الزُّرَارِيِّ </w:t>
      </w:r>
      <w:r>
        <w:rPr>
          <w:rStyle w:val="libFootnotenumChar"/>
          <w:rtl/>
        </w:rPr>
        <w:t>(6)</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سَمِعْتُ أَبَا عَلِيِّ بْنَ مُطَهَّرٍ يَذْكُرُ أَنَّهُ قَدْ رَآهُ ، و</w:t>
      </w:r>
      <w:r>
        <w:rPr>
          <w:rFonts w:hint="cs"/>
          <w:rtl/>
          <w:lang w:bidi="fa-IR"/>
        </w:rPr>
        <w:t xml:space="preserve">َ </w:t>
      </w:r>
      <w:r>
        <w:rPr>
          <w:rtl/>
          <w:lang w:bidi="fa-IR"/>
        </w:rPr>
        <w:t>و</w:t>
      </w:r>
      <w:r w:rsidRPr="00132E65">
        <w:rPr>
          <w:rtl/>
          <w:lang w:bidi="fa-IR"/>
        </w:rPr>
        <w:t xml:space="preserve">صَفَ لَهُ </w:t>
      </w:r>
      <w:r>
        <w:rPr>
          <w:rStyle w:val="libFootnotenumChar"/>
          <w:rtl/>
        </w:rPr>
        <w:t>(7)</w:t>
      </w:r>
      <w:r w:rsidRPr="00132E65">
        <w:rPr>
          <w:rtl/>
          <w:lang w:bidi="fa-IR"/>
        </w:rPr>
        <w:t xml:space="preserve"> قَدَّهُ.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496273">
        <w:rPr>
          <w:rStyle w:val="libBold2Char"/>
          <w:rtl/>
        </w:rPr>
        <w:t>874</w:t>
      </w:r>
      <w:r w:rsidRPr="004325D8">
        <w:rPr>
          <w:rStyle w:val="libBold2Char"/>
          <w:rtl/>
        </w:rPr>
        <w:t xml:space="preserve"> / 6.</w:t>
      </w:r>
      <w:r w:rsidRPr="00132E65">
        <w:rPr>
          <w:rtl/>
          <w:lang w:bidi="fa-IR"/>
        </w:rPr>
        <w:t xml:space="preserve"> عَلِيُّ بْنُ مُحَمَّدٍ ، عَنْ مُحَمَّدِ بْنِ شَاذَانَ بْنِ نُعَيْمٍ ، عَنْ خَادِمٍ </w:t>
      </w:r>
      <w:r>
        <w:rPr>
          <w:rStyle w:val="libFootnotenumChar"/>
          <w:rtl/>
        </w:rPr>
        <w:t>(9)</w:t>
      </w:r>
      <w:r w:rsidRPr="00132E65">
        <w:rPr>
          <w:rtl/>
          <w:lang w:bidi="fa-IR"/>
        </w:rPr>
        <w:t xml:space="preserve"> لِإِبْرَاهِيمَ بْنِ عَبْدَةَ </w:t>
      </w:r>
      <w:r>
        <w:rPr>
          <w:rStyle w:val="libFootnotenumChar"/>
          <w:rtl/>
        </w:rPr>
        <w:t>(10)</w:t>
      </w:r>
      <w:r w:rsidRPr="00132E65">
        <w:rPr>
          <w:rtl/>
          <w:lang w:bidi="fa-IR"/>
        </w:rPr>
        <w:t xml:space="preserve"> النَّيْسَابُورِيِّ </w:t>
      </w:r>
      <w:r>
        <w:rPr>
          <w:rStyle w:val="libFootnotenumChar"/>
          <w:rtl/>
        </w:rPr>
        <w:t>(11)</w:t>
      </w:r>
      <w:r w:rsidRPr="00132E65">
        <w:rPr>
          <w:rtl/>
          <w:lang w:bidi="fa-IR"/>
        </w:rPr>
        <w:t xml:space="preserve"> أَنَّهَا قَالَتْ :</w:t>
      </w:r>
    </w:p>
    <w:p w:rsidR="000C39D1" w:rsidRPr="00132E65" w:rsidRDefault="000C39D1" w:rsidP="000C39D1">
      <w:pPr>
        <w:pStyle w:val="libNormal"/>
        <w:rPr>
          <w:rtl/>
          <w:lang w:bidi="fa-IR"/>
        </w:rPr>
      </w:pPr>
      <w:r w:rsidRPr="00132E65">
        <w:rPr>
          <w:rtl/>
          <w:lang w:bidi="fa-IR"/>
        </w:rPr>
        <w:t xml:space="preserve">كُنْتُ واقِفَةً مَعَ إِبْرَاهِيمَ عَلَى الصَّفَا ، فَجَاءَ </w:t>
      </w:r>
      <w:r>
        <w:rPr>
          <w:rStyle w:val="libFootnotenumChar"/>
          <w:rtl/>
        </w:rPr>
        <w:t>(12)</w:t>
      </w:r>
      <w:r w:rsidRPr="00132E65">
        <w:rPr>
          <w:rtl/>
          <w:lang w:bidi="fa-IR"/>
        </w:rPr>
        <w:t xml:space="preserve"> </w:t>
      </w:r>
      <w:r w:rsidRPr="00071CF9">
        <w:rPr>
          <w:rStyle w:val="libAlaemChar"/>
          <w:rtl/>
        </w:rPr>
        <w:t>عليه‌السلام</w:t>
      </w:r>
      <w:r w:rsidRPr="00132E65">
        <w:rPr>
          <w:rtl/>
          <w:lang w:bidi="fa-IR"/>
        </w:rPr>
        <w:t xml:space="preserve"> حَتّى وقَفَ عَلى إِبْرَاهِيمَ ، وقَبَضَ عَلى كِتَابِ مَنَاسِكِهِ ، وحَدَّثَهُ بِأَشْيَاءَ.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496273">
        <w:rPr>
          <w:rStyle w:val="libBold2Char"/>
          <w:rtl/>
        </w:rPr>
        <w:t>875</w:t>
      </w:r>
      <w:r w:rsidRPr="004325D8">
        <w:rPr>
          <w:rStyle w:val="libBold2Char"/>
          <w:rtl/>
        </w:rPr>
        <w:t xml:space="preserve"> / 7.</w:t>
      </w:r>
      <w:r w:rsidRPr="00132E65">
        <w:rPr>
          <w:rtl/>
          <w:lang w:bidi="fa-IR"/>
        </w:rPr>
        <w:t xml:space="preserve"> عَلِيُّ بْنُ مُحَمَّدٍ ، عَنْ مُحَمَّدِ بْنِ عَلِيِّ بْنِ إِبْرَاهِيمَ ، عَنْ أَبِي </w:t>
      </w:r>
      <w:r w:rsidRPr="00F543F1">
        <w:rPr>
          <w:rStyle w:val="libFootnotenumChar"/>
          <w:rtl/>
        </w:rPr>
        <w:t>(14)</w:t>
      </w:r>
      <w:r w:rsidRPr="00132E65">
        <w:rPr>
          <w:rtl/>
          <w:lang w:bidi="fa-IR"/>
        </w:rPr>
        <w:t xml:space="preserve"> عَبْدِ اللهِ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قلت لأبي عمرو العمري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و</w:t>
      </w:r>
      <w:r w:rsidRPr="000577A7">
        <w:rPr>
          <w:rStyle w:val="libFootnoteBoldChar"/>
          <w:rtl/>
        </w:rPr>
        <w:t>الكافي</w:t>
      </w:r>
      <w:r w:rsidRPr="00132E65">
        <w:rPr>
          <w:rtl/>
        </w:rPr>
        <w:t xml:space="preserve"> ، ح 866 والإرشاد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قد »</w:t>
      </w:r>
      <w:r>
        <w:rPr>
          <w:rtl/>
        </w:rPr>
        <w:t>.</w:t>
      </w:r>
    </w:p>
    <w:p w:rsidR="000C39D1" w:rsidRPr="00132E65" w:rsidRDefault="000C39D1" w:rsidP="000C39D1">
      <w:pPr>
        <w:pStyle w:val="libFootnote0"/>
        <w:rPr>
          <w:rtl/>
          <w:lang w:bidi="fa-IR"/>
        </w:rPr>
      </w:pPr>
      <w:r>
        <w:rPr>
          <w:rtl/>
        </w:rPr>
        <w:t>(4).</w:t>
      </w:r>
      <w:r w:rsidRPr="00132E65">
        <w:rPr>
          <w:rtl/>
        </w:rPr>
        <w:t xml:space="preserve"> في « ج ، ف ، ه‍ ، بح » و</w:t>
      </w:r>
      <w:r w:rsidRPr="000577A7">
        <w:rPr>
          <w:rStyle w:val="libFootnoteBoldChar"/>
          <w:rtl/>
        </w:rPr>
        <w:t>الكافي</w:t>
      </w:r>
      <w:r w:rsidRPr="00132E65">
        <w:rPr>
          <w:rtl/>
        </w:rPr>
        <w:t xml:space="preserve"> ح 866 والإرشاد : « هذه »</w:t>
      </w:r>
      <w:r>
        <w:rPr>
          <w:rtl/>
        </w:rPr>
        <w:t>.</w:t>
      </w:r>
    </w:p>
    <w:p w:rsidR="000C39D1" w:rsidRPr="00132E65" w:rsidRDefault="000C39D1" w:rsidP="000C39D1">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الحجّة ، باب الإشارة والنصّ على صاحب الدار </w:t>
      </w:r>
      <w:r w:rsidRPr="00304CDB">
        <w:rPr>
          <w:rStyle w:val="libFootnoteAlaemChar"/>
          <w:rtl/>
        </w:rPr>
        <w:t>عليه‌السلام</w:t>
      </w:r>
      <w:r w:rsidRPr="00132E65">
        <w:rPr>
          <w:rtl/>
        </w:rPr>
        <w:t xml:space="preserve"> ، ح 866 ؛ </w:t>
      </w:r>
      <w:r w:rsidRPr="007004C1">
        <w:rPr>
          <w:rtl/>
        </w:rPr>
        <w:t>الإرشاد</w:t>
      </w:r>
      <w:r w:rsidRPr="00132E65">
        <w:rPr>
          <w:rtl/>
        </w:rPr>
        <w:t xml:space="preserve"> ، ج 2 ، ص 348 ؛ وص 351 ، بسنده عن الكليني </w:t>
      </w:r>
      <w:r>
        <w:rPr>
          <w:rFonts w:hint="cs"/>
          <w:rtl/>
        </w:rPr>
        <w:t>.</w:t>
      </w:r>
      <w:r w:rsidRPr="009D1ACE">
        <w:rPr>
          <w:rStyle w:val="libFootnoteBoldChar"/>
          <w:rtl/>
        </w:rPr>
        <w:t>الوافي</w:t>
      </w:r>
      <w:r w:rsidRPr="00132E65">
        <w:rPr>
          <w:rtl/>
        </w:rPr>
        <w:t xml:space="preserve"> ، ج 2 ، ص 393 ، ح 885.</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حاشية « بح ، بف » : « الرازي »</w:t>
            </w:r>
            <w:r>
              <w:rPr>
                <w:rtl/>
              </w:rPr>
              <w:t>.</w:t>
            </w:r>
          </w:p>
        </w:tc>
        <w:tc>
          <w:tcPr>
            <w:tcW w:w="4006" w:type="dxa"/>
          </w:tcPr>
          <w:p w:rsidR="000C39D1" w:rsidRDefault="000C39D1" w:rsidP="00B53873">
            <w:pPr>
              <w:pStyle w:val="libFootnote0"/>
              <w:rPr>
                <w:rtl/>
              </w:rPr>
            </w:pPr>
            <w:r>
              <w:rPr>
                <w:rtl/>
              </w:rPr>
              <w:t>(7).</w:t>
            </w:r>
            <w:r w:rsidRPr="00132E65">
              <w:rPr>
                <w:rtl/>
              </w:rPr>
              <w:t xml:space="preserve"> في « بف » والغيبة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(8).</w:t>
      </w:r>
      <w:r w:rsidRPr="00132E65">
        <w:rPr>
          <w:rtl/>
        </w:rPr>
        <w:t xml:space="preserve"> </w:t>
      </w:r>
      <w:r w:rsidRPr="007004C1">
        <w:rPr>
          <w:rtl/>
        </w:rPr>
        <w:t>الإرشاد</w:t>
      </w:r>
      <w:r w:rsidRPr="00132E65">
        <w:rPr>
          <w:rtl/>
        </w:rPr>
        <w:t xml:space="preserve"> ، ج 2 ، ص 352 ؛ و</w:t>
      </w:r>
      <w:r w:rsidRPr="007004C1">
        <w:rPr>
          <w:rtl/>
        </w:rPr>
        <w:t>الغيبة</w:t>
      </w:r>
      <w:r w:rsidRPr="00132E65">
        <w:rPr>
          <w:rtl/>
        </w:rPr>
        <w:t xml:space="preserve"> للطوسي ، ص 269 ، ح 233 ، بسندهما عن الكليني </w:t>
      </w:r>
      <w:r>
        <w:rPr>
          <w:rFonts w:hint="cs"/>
          <w:rtl/>
        </w:rPr>
        <w:t>.</w:t>
      </w:r>
      <w:r w:rsidRPr="009D1ACE">
        <w:rPr>
          <w:rStyle w:val="libFootnoteBoldChar"/>
          <w:rtl/>
        </w:rPr>
        <w:t>الوافي</w:t>
      </w:r>
      <w:r w:rsidRPr="00132E65">
        <w:rPr>
          <w:rtl/>
        </w:rPr>
        <w:t xml:space="preserve"> ، ج 2 ، ص 399 ، ح 891.</w:t>
      </w:r>
      <w:r>
        <w:rPr>
          <w:rFonts w:hint="cs"/>
          <w:rtl/>
        </w:rPr>
        <w:t xml:space="preserve">                                       </w:t>
      </w:r>
      <w:r>
        <w:rPr>
          <w:rtl/>
        </w:rPr>
        <w:t xml:space="preserve"> (9).</w:t>
      </w:r>
      <w:r w:rsidRPr="00132E65">
        <w:rPr>
          <w:rtl/>
        </w:rPr>
        <w:t xml:space="preserve"> في « ب » : « خادمة »</w:t>
      </w:r>
      <w:r>
        <w:rPr>
          <w:rtl/>
        </w:rPr>
        <w:t>.</w:t>
      </w:r>
    </w:p>
    <w:p w:rsidR="000C39D1" w:rsidRPr="00132E65" w:rsidRDefault="000C39D1" w:rsidP="000C39D1">
      <w:pPr>
        <w:pStyle w:val="libFootnote0"/>
        <w:rPr>
          <w:rtl/>
          <w:lang w:bidi="fa-IR"/>
        </w:rPr>
      </w:pPr>
      <w:r>
        <w:rPr>
          <w:rtl/>
        </w:rPr>
        <w:t>(10).</w:t>
      </w:r>
      <w:r w:rsidRPr="00132E65">
        <w:rPr>
          <w:rtl/>
        </w:rPr>
        <w:t xml:space="preserve"> في بس : « عبد الله »</w:t>
      </w:r>
      <w:r>
        <w:rPr>
          <w:rtl/>
        </w:rPr>
        <w:t>.</w:t>
      </w:r>
      <w:r w:rsidRPr="00132E65">
        <w:rPr>
          <w:rtl/>
        </w:rPr>
        <w:t xml:space="preserve"> وفي هامش المطبوع : « عبيدة »</w:t>
      </w:r>
      <w:r>
        <w:rPr>
          <w:rtl/>
        </w:rPr>
        <w:t>.</w:t>
      </w:r>
      <w:r w:rsidRPr="00132E65">
        <w:rPr>
          <w:rtl/>
        </w:rPr>
        <w:t xml:space="preserve"> هذا ، وقد عُدَّ إبراهيم بن عبدة النيسابوري من أصحاب عليّ بن محمّد الهادي وأبي محمّد العسكري </w:t>
      </w:r>
      <w:r w:rsidRPr="00764257">
        <w:rPr>
          <w:rStyle w:val="libFootnoteAlaemChar"/>
          <w:rtl/>
        </w:rPr>
        <w:t>عليهما‌السلام</w:t>
      </w:r>
      <w:r w:rsidRPr="00132E65">
        <w:rPr>
          <w:rtl/>
        </w:rPr>
        <w:t xml:space="preserve">. راجع : </w:t>
      </w:r>
      <w:r w:rsidRPr="007004C1">
        <w:rPr>
          <w:rtl/>
        </w:rPr>
        <w:t>رجال الكشّي</w:t>
      </w:r>
      <w:r w:rsidRPr="00132E65">
        <w:rPr>
          <w:rtl/>
        </w:rPr>
        <w:t xml:space="preserve"> ، ص 580 ، الرقم 1089 ؛ </w:t>
      </w:r>
      <w:r w:rsidRPr="007004C1">
        <w:rPr>
          <w:rtl/>
        </w:rPr>
        <w:t>رجال الطوسي</w:t>
      </w:r>
      <w:r w:rsidRPr="00132E65">
        <w:rPr>
          <w:rtl/>
        </w:rPr>
        <w:t xml:space="preserve"> ، ص 384 ، الرقم 5648 ، وص 397 ، الرقم 5823.</w:t>
      </w:r>
    </w:p>
    <w:p w:rsidR="000C39D1" w:rsidRPr="00132E65" w:rsidRDefault="000C39D1" w:rsidP="000C39D1">
      <w:pPr>
        <w:pStyle w:val="libFootnote0"/>
        <w:rPr>
          <w:rtl/>
          <w:lang w:bidi="fa-IR"/>
        </w:rPr>
      </w:pPr>
      <w:r>
        <w:rPr>
          <w:rtl/>
        </w:rPr>
        <w:t>(11).</w:t>
      </w:r>
      <w:r w:rsidRPr="00132E65">
        <w:rPr>
          <w:rtl/>
        </w:rPr>
        <w:t xml:space="preserve"> في « بح » : « النيشابوري »</w:t>
      </w:r>
      <w:r>
        <w:rPr>
          <w:rtl/>
        </w:rPr>
        <w:t>.</w:t>
      </w:r>
    </w:p>
    <w:p w:rsidR="000C39D1" w:rsidRPr="00132E65" w:rsidRDefault="000C39D1" w:rsidP="000C39D1">
      <w:pPr>
        <w:pStyle w:val="libFootnote0"/>
        <w:rPr>
          <w:rtl/>
          <w:lang w:bidi="fa-IR"/>
        </w:rPr>
      </w:pPr>
      <w:r>
        <w:rPr>
          <w:rtl/>
        </w:rPr>
        <w:t>(12).</w:t>
      </w:r>
      <w:r w:rsidRPr="00132E65">
        <w:rPr>
          <w:rtl/>
        </w:rPr>
        <w:t xml:space="preserve"> في الإرشاد :</w:t>
      </w:r>
      <w:r>
        <w:rPr>
          <w:rtl/>
        </w:rPr>
        <w:t xml:space="preserve"> + </w:t>
      </w:r>
      <w:r w:rsidRPr="00132E65">
        <w:rPr>
          <w:rtl/>
        </w:rPr>
        <w:t>« صاحب الأمر »</w:t>
      </w:r>
      <w:r>
        <w:rPr>
          <w:rtl/>
        </w:rPr>
        <w:t>.</w:t>
      </w:r>
      <w:r w:rsidRPr="00132E65">
        <w:rPr>
          <w:rtl/>
        </w:rPr>
        <w:t xml:space="preserve"> وفي الغيبة : « فجاء غلام »</w:t>
      </w:r>
      <w:r>
        <w:rPr>
          <w:rtl/>
        </w:rPr>
        <w:t>.</w:t>
      </w:r>
    </w:p>
    <w:p w:rsidR="000C39D1" w:rsidRPr="00132E65" w:rsidRDefault="000C39D1" w:rsidP="000C39D1">
      <w:pPr>
        <w:pStyle w:val="libFootnote0"/>
        <w:rPr>
          <w:rtl/>
          <w:lang w:bidi="fa-IR"/>
        </w:rPr>
      </w:pPr>
      <w:r>
        <w:rPr>
          <w:rtl/>
        </w:rPr>
        <w:t>(13)</w:t>
      </w:r>
      <w:r w:rsidRPr="00132E65">
        <w:rPr>
          <w:rtl/>
        </w:rPr>
        <w:t xml:space="preserve"> </w:t>
      </w:r>
      <w:r w:rsidRPr="007004C1">
        <w:rPr>
          <w:rtl/>
        </w:rPr>
        <w:t>الإرشاد</w:t>
      </w:r>
      <w:r w:rsidRPr="00132E65">
        <w:rPr>
          <w:rtl/>
        </w:rPr>
        <w:t xml:space="preserve"> ، ج 2 ، ص 352 ؛ و</w:t>
      </w:r>
      <w:r w:rsidRPr="007004C1">
        <w:rPr>
          <w:rtl/>
        </w:rPr>
        <w:t>الغيبة للطوسي</w:t>
      </w:r>
      <w:r w:rsidRPr="00132E65">
        <w:rPr>
          <w:rtl/>
        </w:rPr>
        <w:t xml:space="preserve"> ، ص 268 ، ح 231 ، بسندهما عن الكليني </w:t>
      </w:r>
      <w:r>
        <w:rPr>
          <w:rFonts w:hint="cs"/>
          <w:rtl/>
        </w:rPr>
        <w:t>.</w:t>
      </w:r>
      <w:r w:rsidRPr="009D1ACE">
        <w:rPr>
          <w:rStyle w:val="libFootnoteBoldChar"/>
          <w:rtl/>
        </w:rPr>
        <w:t>الوافي</w:t>
      </w:r>
      <w:r w:rsidRPr="00132E65">
        <w:rPr>
          <w:rtl/>
        </w:rPr>
        <w:t xml:space="preserve"> ، ج 2 ، ص 399 ، ح 892.</w:t>
      </w:r>
      <w:r>
        <w:rPr>
          <w:rFonts w:hint="cs"/>
          <w:rtl/>
        </w:rPr>
        <w:t xml:space="preserve">                                         </w:t>
      </w:r>
      <w:r>
        <w:rPr>
          <w:rtl/>
        </w:rPr>
        <w:t>(14)</w:t>
      </w:r>
      <w:r w:rsidRPr="00132E65">
        <w:rPr>
          <w:rtl/>
        </w:rPr>
        <w:t xml:space="preserve"> في الوسائل </w:t>
      </w:r>
      <w:r>
        <w:rPr>
          <w:rtl/>
        </w:rPr>
        <w:t xml:space="preserve">: - </w:t>
      </w:r>
      <w:r w:rsidRPr="00132E65">
        <w:rPr>
          <w:rtl/>
        </w:rPr>
        <w:t>« أبي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صَالِحٍ :</w:t>
      </w:r>
    </w:p>
    <w:p w:rsidR="000C39D1" w:rsidRPr="00132E65" w:rsidRDefault="000C39D1" w:rsidP="000C39D1">
      <w:pPr>
        <w:pStyle w:val="libNormal"/>
        <w:rPr>
          <w:rtl/>
          <w:lang w:bidi="fa-IR"/>
        </w:rPr>
      </w:pPr>
      <w:r w:rsidRPr="00132E65">
        <w:rPr>
          <w:rtl/>
          <w:lang w:bidi="fa-IR"/>
        </w:rPr>
        <w:t xml:space="preserve">أَنَّهُ رَآهُ </w:t>
      </w:r>
      <w:r>
        <w:rPr>
          <w:rStyle w:val="libFootnotenumChar"/>
          <w:rtl/>
        </w:rPr>
        <w:t>(1)</w:t>
      </w:r>
      <w:r w:rsidRPr="00132E65">
        <w:rPr>
          <w:rtl/>
          <w:lang w:bidi="fa-IR"/>
        </w:rPr>
        <w:t xml:space="preserve"> عِنْدَ الْحَجَرِ الْأَسْوَدِ </w:t>
      </w:r>
      <w:r>
        <w:rPr>
          <w:rStyle w:val="libFootnotenumChar"/>
          <w:rtl/>
        </w:rPr>
        <w:t>(2)</w:t>
      </w:r>
      <w:r w:rsidRPr="00132E65">
        <w:rPr>
          <w:rtl/>
          <w:lang w:bidi="fa-IR"/>
        </w:rPr>
        <w:t xml:space="preserve"> و</w:t>
      </w:r>
      <w:r>
        <w:rPr>
          <w:rFonts w:hint="cs"/>
          <w:rtl/>
          <w:lang w:bidi="fa-IR"/>
        </w:rPr>
        <w:t xml:space="preserve">َ </w:t>
      </w:r>
      <w:r w:rsidRPr="00132E65">
        <w:rPr>
          <w:rtl/>
          <w:lang w:bidi="fa-IR"/>
        </w:rPr>
        <w:t xml:space="preserve">النَّاسُ يَتَجَاذَبُونَ </w:t>
      </w:r>
      <w:r>
        <w:rPr>
          <w:rStyle w:val="libFootnotenumChar"/>
          <w:rtl/>
        </w:rPr>
        <w:t>(3)</w:t>
      </w:r>
      <w:r w:rsidRPr="00132E65">
        <w:rPr>
          <w:rtl/>
          <w:lang w:bidi="fa-IR"/>
        </w:rPr>
        <w:t xml:space="preserve"> عَلَيْهِ ، و</w:t>
      </w:r>
      <w:r>
        <w:rPr>
          <w:rFonts w:hint="cs"/>
          <w:rtl/>
          <w:lang w:bidi="fa-IR"/>
        </w:rPr>
        <w:t xml:space="preserve">َ </w:t>
      </w:r>
      <w:r w:rsidRPr="00132E65">
        <w:rPr>
          <w:rtl/>
          <w:lang w:bidi="fa-IR"/>
        </w:rPr>
        <w:t>هُوَ يَقُولُ : « مَا بِهذَا أُمِرُوا »</w:t>
      </w:r>
      <w:r>
        <w:rPr>
          <w:rtl/>
          <w:lang w:bidi="fa-IR"/>
        </w:rPr>
        <w:t>.</w:t>
      </w:r>
      <w:r w:rsidRPr="00132E65">
        <w:rPr>
          <w:rtl/>
          <w:lang w:bidi="fa-IR"/>
        </w:rPr>
        <w:t xml:space="preserve"> </w:t>
      </w:r>
      <w:r>
        <w:rPr>
          <w:rStyle w:val="libFootnotenumChar"/>
          <w:rtl/>
        </w:rPr>
        <w:t>(4)</w:t>
      </w:r>
    </w:p>
    <w:p w:rsidR="000C39D1" w:rsidRDefault="000C39D1" w:rsidP="000C39D1">
      <w:pPr>
        <w:pStyle w:val="libNormal"/>
        <w:rPr>
          <w:rtl/>
          <w:lang w:bidi="fa-IR"/>
        </w:rPr>
      </w:pPr>
      <w:r w:rsidRPr="007004C1">
        <w:rPr>
          <w:rtl/>
        </w:rPr>
        <w:t>876</w:t>
      </w:r>
      <w:r w:rsidRPr="004325D8">
        <w:rPr>
          <w:rStyle w:val="libBold2Char"/>
          <w:rtl/>
        </w:rPr>
        <w:t xml:space="preserve"> / 8.</w:t>
      </w:r>
      <w:r w:rsidRPr="00132E65">
        <w:rPr>
          <w:rtl/>
          <w:lang w:bidi="fa-IR"/>
        </w:rPr>
        <w:t xml:space="preserve"> عَلِيٌّ ، عَنْ أَبِي عَلِيٍّ </w:t>
      </w:r>
      <w:r>
        <w:rPr>
          <w:rStyle w:val="libFootnotenumChar"/>
          <w:rtl/>
        </w:rPr>
        <w:t>(5)</w:t>
      </w:r>
      <w:r w:rsidRPr="00132E65">
        <w:rPr>
          <w:rtl/>
          <w:lang w:bidi="fa-IR"/>
        </w:rPr>
        <w:t xml:space="preserve"> أَحْمَدَ بْنِ إِبْرَاهِيمَ بْنِ إِدْرِيسَ ، عَنْ أَبِيهِ ، أَنَّهُ </w:t>
      </w:r>
      <w:r>
        <w:rPr>
          <w:rStyle w:val="libFootnotenumChar"/>
          <w:rtl/>
        </w:rPr>
        <w:t>(6)</w:t>
      </w:r>
      <w:r w:rsidRPr="00132E65">
        <w:rPr>
          <w:rtl/>
          <w:lang w:bidi="fa-IR"/>
        </w:rPr>
        <w:t xml:space="preserve"> قَالَ :</w:t>
      </w:r>
    </w:p>
    <w:p w:rsidR="000C39D1" w:rsidRPr="00132E65" w:rsidRDefault="000C39D1" w:rsidP="000C39D1">
      <w:pPr>
        <w:pStyle w:val="libNormal"/>
        <w:rPr>
          <w:rtl/>
          <w:lang w:bidi="fa-IR"/>
        </w:rPr>
      </w:pPr>
      <w:r w:rsidRPr="00132E65">
        <w:rPr>
          <w:rtl/>
          <w:lang w:bidi="fa-IR"/>
        </w:rPr>
        <w:t xml:space="preserve">رَأَيْتُهُ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بَعْدَ مُضِيِّ أَبِي مُحَمَّدٍ </w:t>
      </w:r>
      <w:r w:rsidRPr="00071CF9">
        <w:rPr>
          <w:rStyle w:val="libAlaemChar"/>
          <w:rtl/>
        </w:rPr>
        <w:t>عليه‌السلام</w:t>
      </w:r>
      <w:r w:rsidRPr="00132E65">
        <w:rPr>
          <w:rtl/>
          <w:lang w:bidi="fa-IR"/>
        </w:rPr>
        <w:t xml:space="preserve"> حِينَ أَيْفَعَ </w:t>
      </w:r>
      <w:r>
        <w:rPr>
          <w:rStyle w:val="libFootnotenumChar"/>
          <w:rtl/>
        </w:rPr>
        <w:t>(8)</w:t>
      </w:r>
      <w:r w:rsidRPr="00132E65">
        <w:rPr>
          <w:rtl/>
          <w:lang w:bidi="fa-IR"/>
        </w:rPr>
        <w:t xml:space="preserve"> ، و</w:t>
      </w:r>
      <w:r>
        <w:rPr>
          <w:rFonts w:hint="cs"/>
          <w:rtl/>
          <w:lang w:bidi="fa-IR"/>
        </w:rPr>
        <w:t xml:space="preserve">َ </w:t>
      </w:r>
      <w:r w:rsidRPr="00132E65">
        <w:rPr>
          <w:rtl/>
          <w:lang w:bidi="fa-IR"/>
        </w:rPr>
        <w:t xml:space="preserve">قَبَّلْتُ يَدَيْهِ </w:t>
      </w:r>
      <w:r>
        <w:rPr>
          <w:rStyle w:val="libFootnotenumChar"/>
          <w:rtl/>
        </w:rPr>
        <w:t>(9)</w:t>
      </w:r>
      <w:r w:rsidRPr="00132E65">
        <w:rPr>
          <w:rtl/>
          <w:lang w:bidi="fa-IR"/>
        </w:rPr>
        <w:t xml:space="preserve"> و</w:t>
      </w:r>
      <w:r>
        <w:rPr>
          <w:rFonts w:hint="cs"/>
          <w:rtl/>
          <w:lang w:bidi="fa-IR"/>
        </w:rPr>
        <w:t xml:space="preserve">َ </w:t>
      </w:r>
      <w:r w:rsidRPr="00132E65">
        <w:rPr>
          <w:rtl/>
          <w:lang w:bidi="fa-IR"/>
        </w:rPr>
        <w:t xml:space="preserve">رَأْسَهُ.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7004C1">
        <w:rPr>
          <w:rtl/>
        </w:rPr>
        <w:t>877</w:t>
      </w:r>
      <w:r w:rsidRPr="004325D8">
        <w:rPr>
          <w:rStyle w:val="libBold2Char"/>
          <w:rtl/>
        </w:rPr>
        <w:t xml:space="preserve"> / 9.</w:t>
      </w:r>
      <w:r w:rsidRPr="00132E65">
        <w:rPr>
          <w:rtl/>
          <w:lang w:bidi="fa-IR"/>
        </w:rPr>
        <w:t xml:space="preserve"> عَلِيٌّ ، عَنْ أَبِي عَبْدِ اللهِ بْنِ صَالِحٍ و</w:t>
      </w:r>
      <w:r>
        <w:rPr>
          <w:rFonts w:hint="cs"/>
          <w:rtl/>
          <w:lang w:bidi="fa-IR"/>
        </w:rPr>
        <w:t xml:space="preserve">َ </w:t>
      </w:r>
      <w:r w:rsidRPr="00132E65">
        <w:rPr>
          <w:rtl/>
          <w:lang w:bidi="fa-IR"/>
        </w:rPr>
        <w:t>أَحْمَدَ بْنِ النَّضْرِ ، عَنِ الْقَنْبَرِيِّ</w:t>
      </w:r>
      <w:r>
        <w:rPr>
          <w:rtl/>
          <w:lang w:bidi="fa-IR"/>
        </w:rPr>
        <w:t xml:space="preserve"> - </w:t>
      </w:r>
      <w:r w:rsidRPr="00132E65">
        <w:rPr>
          <w:rtl/>
          <w:lang w:bidi="fa-IR"/>
        </w:rPr>
        <w:t>رَجُلٍ مِنْ وُلْدِ قَنْبَرٍ الْكَبِيرِ</w:t>
      </w:r>
      <w:r>
        <w:rPr>
          <w:rtl/>
          <w:lang w:bidi="fa-IR"/>
        </w:rPr>
        <w:t xml:space="preserve"> - </w:t>
      </w:r>
      <w:r w:rsidRPr="00132E65">
        <w:rPr>
          <w:rtl/>
          <w:lang w:bidi="fa-IR"/>
        </w:rPr>
        <w:t xml:space="preserve">مَوْلى أَبِي الْحَسَنِ الرِّضَا </w:t>
      </w:r>
      <w:r w:rsidRPr="00071CF9">
        <w:rPr>
          <w:rStyle w:val="libAlaemChar"/>
          <w:rtl/>
        </w:rPr>
        <w:t>عليه‌السلام</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جَرى حَدِيثُ جَعْفَرِ بْنِ عَلِيٍّ ، فَذَمَّهُ </w:t>
      </w:r>
      <w:r>
        <w:rPr>
          <w:rStyle w:val="libFootnotenumChar"/>
          <w:rtl/>
        </w:rPr>
        <w:t>(11)</w:t>
      </w:r>
      <w:r w:rsidRPr="00132E65">
        <w:rPr>
          <w:rtl/>
          <w:lang w:bidi="fa-IR"/>
        </w:rPr>
        <w:t xml:space="preserve"> ، فَقُلْتُ لَهُ : فَلَيْسَ غَيْرُهُ </w:t>
      </w:r>
      <w:r>
        <w:rPr>
          <w:rStyle w:val="libFootnotenumChar"/>
          <w:rtl/>
        </w:rPr>
        <w:t>(12)</w:t>
      </w:r>
      <w:r w:rsidRPr="00132E65">
        <w:rPr>
          <w:rtl/>
          <w:lang w:bidi="fa-IR"/>
        </w:rPr>
        <w:t xml:space="preserve"> ، فَهَلْ رَأَيْتَهُ</w:t>
      </w:r>
      <w:r>
        <w:rPr>
          <w:rtl/>
          <w:lang w:bidi="fa-IR"/>
        </w:rPr>
        <w:t>؟</w:t>
      </w:r>
      <w:r>
        <w:rPr>
          <w:rFonts w:hint="cs"/>
          <w:rtl/>
          <w:lang w:bidi="fa-IR"/>
        </w:rPr>
        <w:t xml:space="preserve"> </w:t>
      </w:r>
      <w:r w:rsidRPr="00132E65">
        <w:rPr>
          <w:rtl/>
          <w:lang w:bidi="fa-IR"/>
        </w:rPr>
        <w:t>فَقَالَ : لَمْ أَرَهُ ، و</w:t>
      </w:r>
      <w:r>
        <w:rPr>
          <w:rFonts w:hint="cs"/>
          <w:rtl/>
          <w:lang w:bidi="fa-IR"/>
        </w:rPr>
        <w:t>َ</w:t>
      </w:r>
      <w:r w:rsidRPr="00132E65">
        <w:rPr>
          <w:rtl/>
          <w:lang w:bidi="fa-IR"/>
        </w:rPr>
        <w:t>لكِنْ رَآهُ غَيْرِي ، قُلْتُ : و</w:t>
      </w:r>
      <w:r>
        <w:rPr>
          <w:rFonts w:hint="cs"/>
          <w:rtl/>
          <w:lang w:bidi="fa-IR"/>
        </w:rPr>
        <w:t xml:space="preserve">َ </w:t>
      </w:r>
      <w:r w:rsidRPr="00132E65">
        <w:rPr>
          <w:rtl/>
          <w:lang w:bidi="fa-IR"/>
        </w:rPr>
        <w:t>مَنْ رَآهُ</w:t>
      </w:r>
      <w:r>
        <w:rPr>
          <w:rtl/>
          <w:lang w:bidi="fa-IR"/>
        </w:rPr>
        <w:t>؟</w:t>
      </w:r>
      <w:r w:rsidRPr="00132E65">
        <w:rPr>
          <w:rtl/>
          <w:lang w:bidi="fa-IR"/>
        </w:rPr>
        <w:t xml:space="preserve"> قَالَ : قَدْ رَآهُ جَعْفَرٌ </w:t>
      </w:r>
      <w:r w:rsidRPr="00F543F1">
        <w:rPr>
          <w:rStyle w:val="libFootnotenumChar"/>
          <w:rtl/>
        </w:rPr>
        <w:t>(13)</w:t>
      </w:r>
      <w:r w:rsidRPr="00132E65">
        <w:rPr>
          <w:rtl/>
          <w:lang w:bidi="fa-IR"/>
        </w:rPr>
        <w:t xml:space="preserve"> مَرَّتَيْنِ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الوسائل :</w:t>
      </w:r>
      <w:r>
        <w:rPr>
          <w:rtl/>
        </w:rPr>
        <w:t xml:space="preserve"> + </w:t>
      </w:r>
      <w:r w:rsidRPr="00132E65">
        <w:rPr>
          <w:rtl/>
        </w:rPr>
        <w:t>« يعني صاحب الأمر »</w:t>
      </w:r>
      <w:r>
        <w:rPr>
          <w:rtl/>
        </w:rPr>
        <w:t>.</w:t>
      </w:r>
    </w:p>
    <w:p w:rsidR="000C39D1" w:rsidRPr="00132E65" w:rsidRDefault="000C39D1" w:rsidP="000C39D1">
      <w:pPr>
        <w:pStyle w:val="libFootnote0"/>
        <w:rPr>
          <w:rtl/>
          <w:lang w:bidi="fa-IR"/>
        </w:rPr>
      </w:pPr>
      <w:r>
        <w:rPr>
          <w:rtl/>
        </w:rPr>
        <w:t>(2).</w:t>
      </w:r>
      <w:r w:rsidRPr="00132E65">
        <w:rPr>
          <w:rtl/>
        </w:rPr>
        <w:t xml:space="preserve"> في الإرشاد : « بحذاء الحجر » بدل « عند الحجر الأسود »</w:t>
      </w:r>
      <w:r>
        <w:rPr>
          <w:rtl/>
        </w:rPr>
        <w:t>.</w:t>
      </w:r>
    </w:p>
    <w:p w:rsidR="000C39D1" w:rsidRPr="00132E65" w:rsidRDefault="000C39D1" w:rsidP="000C39D1">
      <w:pPr>
        <w:pStyle w:val="libFootnote0"/>
        <w:rPr>
          <w:rtl/>
          <w:lang w:bidi="fa-IR"/>
        </w:rPr>
      </w:pPr>
      <w:r>
        <w:rPr>
          <w:rtl/>
        </w:rPr>
        <w:t>(3).</w:t>
      </w:r>
      <w:r w:rsidRPr="00132E65">
        <w:rPr>
          <w:rtl/>
        </w:rPr>
        <w:t xml:space="preserve"> في « بس » : « يتجاذلون »</w:t>
      </w:r>
      <w:r>
        <w:rPr>
          <w:rtl/>
        </w:rPr>
        <w:t>.</w:t>
      </w:r>
      <w:r w:rsidRPr="00132E65">
        <w:rPr>
          <w:rtl/>
        </w:rPr>
        <w:t xml:space="preserve"> وفي حاشية « ج » : « يتجادلون</w:t>
      </w:r>
      <w:r>
        <w:rPr>
          <w:rtl/>
        </w:rPr>
        <w:t xml:space="preserve"> - </w:t>
      </w:r>
      <w:r w:rsidRPr="00132E65">
        <w:rPr>
          <w:rtl/>
        </w:rPr>
        <w:t>يتحاولون »</w:t>
      </w:r>
      <w:r>
        <w:rPr>
          <w:rtl/>
        </w:rPr>
        <w:t>.</w:t>
      </w:r>
      <w:r w:rsidRPr="00132E65">
        <w:rPr>
          <w:rtl/>
        </w:rPr>
        <w:t xml:space="preserve"> وفي حاشية « ف » : « يتجادلون</w:t>
      </w:r>
      <w:r>
        <w:rPr>
          <w:rtl/>
        </w:rPr>
        <w:t xml:space="preserve"> - </w:t>
      </w:r>
      <w:r w:rsidRPr="00132E65">
        <w:rPr>
          <w:rtl/>
        </w:rPr>
        <w:t>يتحادثون »</w:t>
      </w:r>
      <w:r>
        <w:rPr>
          <w:rtl/>
        </w:rPr>
        <w:t>.</w:t>
      </w:r>
      <w:r w:rsidRPr="00132E65">
        <w:rPr>
          <w:rtl/>
        </w:rPr>
        <w:t xml:space="preserve"> والتجاذب : التنازع. </w:t>
      </w:r>
      <w:r w:rsidRPr="007004C1">
        <w:rPr>
          <w:rtl/>
        </w:rPr>
        <w:t>الصحاح</w:t>
      </w:r>
      <w:r w:rsidRPr="00132E65">
        <w:rPr>
          <w:rtl/>
        </w:rPr>
        <w:t xml:space="preserve"> ، ج 1 ، ص 98 ( جذب )</w:t>
      </w:r>
      <w:r>
        <w:rPr>
          <w:rtl/>
        </w:rPr>
        <w:t>.</w:t>
      </w:r>
      <w:r w:rsidRPr="00132E65">
        <w:rPr>
          <w:rtl/>
        </w:rPr>
        <w:t xml:space="preserve"> </w:t>
      </w:r>
      <w:r>
        <w:rPr>
          <w:rtl/>
        </w:rPr>
        <w:t>و «</w:t>
      </w:r>
      <w:r w:rsidRPr="00132E65">
        <w:rPr>
          <w:rtl/>
        </w:rPr>
        <w:t xml:space="preserve"> عليه » أي على الحجر.</w:t>
      </w:r>
    </w:p>
    <w:p w:rsidR="000C39D1" w:rsidRPr="00132E65" w:rsidRDefault="000C39D1" w:rsidP="000C39D1">
      <w:pPr>
        <w:pStyle w:val="libFootnote0"/>
        <w:rPr>
          <w:rtl/>
          <w:lang w:bidi="fa-IR"/>
        </w:rPr>
      </w:pPr>
      <w:r>
        <w:rPr>
          <w:rtl/>
        </w:rPr>
        <w:t>(4).</w:t>
      </w:r>
      <w:r w:rsidRPr="00132E65">
        <w:rPr>
          <w:rtl/>
        </w:rPr>
        <w:t xml:space="preserve"> </w:t>
      </w:r>
      <w:r w:rsidRPr="007004C1">
        <w:rPr>
          <w:rtl/>
        </w:rPr>
        <w:t>الإرشاد</w:t>
      </w:r>
      <w:r w:rsidRPr="00132E65">
        <w:rPr>
          <w:rtl/>
        </w:rPr>
        <w:t xml:space="preserve"> ، ج 2 ، ص 352 ، بسنده عن الكليني </w:t>
      </w:r>
      <w:r>
        <w:rPr>
          <w:rFonts w:hint="cs"/>
          <w:rtl/>
        </w:rPr>
        <w:t>.</w:t>
      </w:r>
      <w:r w:rsidRPr="009D1ACE">
        <w:rPr>
          <w:rStyle w:val="libFootnoteBoldChar"/>
          <w:rtl/>
        </w:rPr>
        <w:t>الوافي</w:t>
      </w:r>
      <w:r w:rsidRPr="00132E65">
        <w:rPr>
          <w:rtl/>
        </w:rPr>
        <w:t xml:space="preserve"> ، ج 2 ، ص 399 ، ح 893 ؛ </w:t>
      </w:r>
      <w:r w:rsidRPr="007004C1">
        <w:rPr>
          <w:rtl/>
        </w:rPr>
        <w:t>الوسائل</w:t>
      </w:r>
      <w:r w:rsidRPr="00132E65">
        <w:rPr>
          <w:rtl/>
        </w:rPr>
        <w:t xml:space="preserve"> ، ج 13 ، ص 327 ، ح 17861.</w:t>
      </w:r>
      <w:r>
        <w:rPr>
          <w:rFonts w:hint="cs"/>
          <w:rtl/>
        </w:rPr>
        <w:t xml:space="preserve">                 </w:t>
      </w:r>
      <w:r w:rsidR="001C701C">
        <w:rPr>
          <w:rFonts w:hint="cs"/>
          <w:rtl/>
        </w:rPr>
        <w:t xml:space="preserve"> </w:t>
      </w:r>
      <w:r>
        <w:rPr>
          <w:rFonts w:hint="cs"/>
          <w:rtl/>
        </w:rPr>
        <w:t xml:space="preserve">                   </w:t>
      </w:r>
      <w:r>
        <w:rPr>
          <w:rtl/>
        </w:rPr>
        <w:t>(5).</w:t>
      </w:r>
      <w:r w:rsidRPr="00132E65">
        <w:rPr>
          <w:rtl/>
        </w:rPr>
        <w:t xml:space="preserve"> في الوسائل والإرشاد </w:t>
      </w:r>
      <w:r>
        <w:rPr>
          <w:rtl/>
        </w:rPr>
        <w:t xml:space="preserve">: - </w:t>
      </w:r>
      <w:r w:rsidRPr="00132E65">
        <w:rPr>
          <w:rtl/>
        </w:rPr>
        <w:t>« أبي علي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ب » والوسائل والغيبة </w:t>
            </w:r>
            <w:r>
              <w:rPr>
                <w:rtl/>
              </w:rPr>
              <w:t xml:space="preserve">: - </w:t>
            </w:r>
            <w:r w:rsidRPr="00132E65">
              <w:rPr>
                <w:rtl/>
              </w:rPr>
              <w:t>« أنّه »</w:t>
            </w:r>
            <w:r>
              <w:rPr>
                <w:rtl/>
              </w:rPr>
              <w:t>.</w:t>
            </w:r>
          </w:p>
        </w:tc>
        <w:tc>
          <w:tcPr>
            <w:tcW w:w="4006" w:type="dxa"/>
          </w:tcPr>
          <w:p w:rsidR="000C39D1" w:rsidRDefault="000C39D1" w:rsidP="00B53873">
            <w:pPr>
              <w:pStyle w:val="libFootnote0"/>
              <w:rPr>
                <w:rtl/>
              </w:rPr>
            </w:pPr>
            <w:r>
              <w:rPr>
                <w:rtl/>
              </w:rPr>
              <w:t>(7).</w:t>
            </w:r>
            <w:r w:rsidRPr="00132E65">
              <w:rPr>
                <w:rtl/>
              </w:rPr>
              <w:t xml:space="preserve"> في الوسائل :</w:t>
            </w:r>
            <w:r>
              <w:rPr>
                <w:rtl/>
              </w:rPr>
              <w:t xml:space="preserve"> + </w:t>
            </w:r>
            <w:r w:rsidRPr="00132E65">
              <w:rPr>
                <w:rtl/>
              </w:rPr>
              <w:t xml:space="preserve">« يعني صاحب الأمر </w:t>
            </w:r>
            <w:r w:rsidRPr="000C52A1">
              <w:rPr>
                <w:rStyle w:val="libFootnoteAlaemChar"/>
                <w:rtl/>
              </w:rPr>
              <w:t>عليه‌السلام</w:t>
            </w:r>
            <w:r w:rsidRPr="00132E65">
              <w:rPr>
                <w:rtl/>
              </w:rPr>
              <w:t xml:space="preserve"> »</w:t>
            </w:r>
            <w:r>
              <w:rPr>
                <w:rtl/>
              </w:rPr>
              <w:t>.</w:t>
            </w:r>
          </w:p>
        </w:tc>
      </w:tr>
    </w:tbl>
    <w:p w:rsidR="000C39D1" w:rsidRPr="00132E65" w:rsidRDefault="000C39D1" w:rsidP="000C39D1">
      <w:pPr>
        <w:pStyle w:val="libFootnote0"/>
        <w:rPr>
          <w:rtl/>
          <w:lang w:bidi="fa-IR"/>
        </w:rPr>
      </w:pPr>
      <w:r>
        <w:rPr>
          <w:rtl/>
        </w:rPr>
        <w:t>(8).</w:t>
      </w:r>
      <w:r w:rsidRPr="00132E65">
        <w:rPr>
          <w:rtl/>
        </w:rPr>
        <w:t xml:space="preserve"> أيفع الغلام فهو يافع ، إذا شارف الاحتلام ولمّا يحتلم. وهو من نوادر الأبنية. </w:t>
      </w:r>
      <w:r w:rsidRPr="007004C1">
        <w:rPr>
          <w:rtl/>
        </w:rPr>
        <w:t>النهاية</w:t>
      </w:r>
      <w:r w:rsidRPr="00132E65">
        <w:rPr>
          <w:rtl/>
        </w:rPr>
        <w:t xml:space="preserve"> ، ج 5 ، ص 29 ( يفع )</w:t>
      </w:r>
      <w:r>
        <w:rPr>
          <w:rtl/>
        </w:rPr>
        <w:t>.</w:t>
      </w:r>
    </w:p>
    <w:p w:rsidR="000C39D1" w:rsidRPr="00132E65" w:rsidRDefault="000C39D1" w:rsidP="000C39D1">
      <w:pPr>
        <w:pStyle w:val="libFootnote0"/>
        <w:rPr>
          <w:rtl/>
          <w:lang w:bidi="fa-IR"/>
        </w:rPr>
      </w:pPr>
      <w:r>
        <w:rPr>
          <w:rtl/>
        </w:rPr>
        <w:t>(9).</w:t>
      </w:r>
      <w:r w:rsidRPr="00132E65">
        <w:rPr>
          <w:rtl/>
        </w:rPr>
        <w:t xml:space="preserve"> في الإرشاد : « يده »</w:t>
      </w:r>
      <w:r>
        <w:rPr>
          <w:rtl/>
        </w:rPr>
        <w:t>.</w:t>
      </w:r>
    </w:p>
    <w:p w:rsidR="000C39D1" w:rsidRPr="00132E65" w:rsidRDefault="000C39D1" w:rsidP="000C39D1">
      <w:pPr>
        <w:pStyle w:val="libFootnote0"/>
        <w:rPr>
          <w:rtl/>
          <w:lang w:bidi="fa-IR"/>
        </w:rPr>
      </w:pPr>
      <w:r>
        <w:rPr>
          <w:rtl/>
        </w:rPr>
        <w:t>(10).</w:t>
      </w:r>
      <w:r w:rsidRPr="00132E65">
        <w:rPr>
          <w:rtl/>
        </w:rPr>
        <w:t xml:space="preserve"> </w:t>
      </w:r>
      <w:r w:rsidRPr="007004C1">
        <w:rPr>
          <w:rtl/>
        </w:rPr>
        <w:t>الإرشاد</w:t>
      </w:r>
      <w:r w:rsidRPr="00132E65">
        <w:rPr>
          <w:rtl/>
        </w:rPr>
        <w:t xml:space="preserve"> ، ج 2 ، ص 353 ؛ و</w:t>
      </w:r>
      <w:r w:rsidRPr="007004C1">
        <w:rPr>
          <w:rtl/>
        </w:rPr>
        <w:t>الغيبة</w:t>
      </w:r>
      <w:r w:rsidRPr="00132E65">
        <w:rPr>
          <w:rtl/>
        </w:rPr>
        <w:t xml:space="preserve"> للطوسي ، ص 268 ، ح 232 ، بسندهما عن الكليني </w:t>
      </w:r>
      <w:r>
        <w:rPr>
          <w:rFonts w:hint="cs"/>
          <w:rtl/>
        </w:rPr>
        <w:t>.</w:t>
      </w:r>
      <w:r w:rsidRPr="009D1ACE">
        <w:rPr>
          <w:rStyle w:val="libFootnoteBoldChar"/>
          <w:rtl/>
        </w:rPr>
        <w:t>الوافي</w:t>
      </w:r>
      <w:r w:rsidRPr="00132E65">
        <w:rPr>
          <w:rtl/>
        </w:rPr>
        <w:t xml:space="preserve"> ، ج 2 ، ص 400 ، ح 895 ؛ </w:t>
      </w:r>
      <w:r w:rsidRPr="007004C1">
        <w:rPr>
          <w:rtl/>
        </w:rPr>
        <w:t>الوسائل</w:t>
      </w:r>
      <w:r w:rsidRPr="00132E65">
        <w:rPr>
          <w:rtl/>
        </w:rPr>
        <w:t xml:space="preserve"> ، ج 12 ، ص 235 ، ح 16177.</w:t>
      </w:r>
    </w:p>
    <w:p w:rsidR="000C39D1" w:rsidRPr="00132E65" w:rsidRDefault="000C39D1" w:rsidP="000C39D1">
      <w:pPr>
        <w:pStyle w:val="libFootnote0"/>
        <w:rPr>
          <w:rtl/>
          <w:lang w:bidi="fa-IR"/>
        </w:rPr>
      </w:pPr>
      <w:r>
        <w:rPr>
          <w:rtl/>
        </w:rPr>
        <w:t>(11).</w:t>
      </w:r>
      <w:r w:rsidRPr="00132E65">
        <w:rPr>
          <w:rtl/>
        </w:rPr>
        <w:t xml:space="preserve"> في حاشية « ف ، بف » والغيبة : « فشمته »</w:t>
      </w:r>
      <w:r>
        <w:rPr>
          <w:rtl/>
        </w:rPr>
        <w:t>.</w:t>
      </w:r>
    </w:p>
    <w:p w:rsidR="000C39D1" w:rsidRPr="00132E65" w:rsidRDefault="000C39D1" w:rsidP="000C39D1">
      <w:pPr>
        <w:pStyle w:val="libFootnote0"/>
        <w:rPr>
          <w:rtl/>
          <w:lang w:bidi="fa-IR"/>
        </w:rPr>
      </w:pPr>
      <w:r>
        <w:rPr>
          <w:rtl/>
        </w:rPr>
        <w:t>(12).</w:t>
      </w:r>
      <w:r w:rsidRPr="00132E65">
        <w:rPr>
          <w:rtl/>
        </w:rPr>
        <w:t xml:space="preserve"> يجوز فيه النصب أيضاً. وقال في </w:t>
      </w:r>
      <w:r w:rsidRPr="009D1ACE">
        <w:rPr>
          <w:rStyle w:val="libFootnoteBoldChar"/>
          <w:rtl/>
        </w:rPr>
        <w:t>مرآة العقول</w:t>
      </w:r>
      <w:r w:rsidRPr="00132E65">
        <w:rPr>
          <w:rtl/>
        </w:rPr>
        <w:t xml:space="preserve"> : « أي ليس من يمكن ظنّ الإمامة به غير جعفر »</w:t>
      </w:r>
      <w:r>
        <w:rPr>
          <w:rtl/>
        </w:rPr>
        <w:t>.</w:t>
      </w:r>
      <w:r w:rsidRPr="00132E65">
        <w:rPr>
          <w:rtl/>
        </w:rPr>
        <w:t xml:space="preserve"> وفي </w:t>
      </w:r>
      <w:r w:rsidRPr="009D1ACE">
        <w:rPr>
          <w:rStyle w:val="libFootnoteBoldChar"/>
          <w:rtl/>
        </w:rPr>
        <w:t>الوافي</w:t>
      </w:r>
      <w:r w:rsidRPr="00132E65">
        <w:rPr>
          <w:rtl/>
        </w:rPr>
        <w:t xml:space="preserve"> : « فليس غيره ، أي فحيث كان جعفر مذموماً ، فليس غير ابن أخيه ، يعني به الصاحب </w:t>
      </w:r>
      <w:r w:rsidRPr="005E5338">
        <w:rPr>
          <w:rStyle w:val="libFootnoteAlaemChar"/>
          <w:rtl/>
        </w:rPr>
        <w:t>عليه‌السلام</w:t>
      </w:r>
      <w:r w:rsidRPr="00132E65">
        <w:rPr>
          <w:rtl/>
        </w:rPr>
        <w:t xml:space="preserve"> »</w:t>
      </w:r>
      <w:r>
        <w:rPr>
          <w:rtl/>
        </w:rPr>
        <w:t>.</w:t>
      </w:r>
      <w:r w:rsidRPr="00132E65">
        <w:rPr>
          <w:rtl/>
        </w:rPr>
        <w:t xml:space="preserve"> وفي الإرشاد :</w:t>
      </w:r>
      <w:r>
        <w:rPr>
          <w:rtl/>
        </w:rPr>
        <w:t xml:space="preserve"> + </w:t>
      </w:r>
      <w:r w:rsidRPr="00132E65">
        <w:rPr>
          <w:rtl/>
        </w:rPr>
        <w:t>« قال : بلى ، قلت »</w:t>
      </w:r>
      <w:r>
        <w:rPr>
          <w:rtl/>
        </w:rPr>
        <w:t>.</w:t>
      </w:r>
    </w:p>
    <w:p w:rsidR="000C39D1" w:rsidRPr="00132E65" w:rsidRDefault="000C39D1" w:rsidP="000C39D1">
      <w:pPr>
        <w:pStyle w:val="libFootnote0"/>
        <w:rPr>
          <w:rtl/>
          <w:lang w:bidi="fa-IR"/>
        </w:rPr>
      </w:pPr>
      <w:r>
        <w:rPr>
          <w:rtl/>
        </w:rPr>
        <w:t>(13)</w:t>
      </w:r>
      <w:r w:rsidRPr="00132E65">
        <w:rPr>
          <w:rtl/>
        </w:rPr>
        <w:t xml:space="preserve"> في « ف » :</w:t>
      </w:r>
      <w:r>
        <w:rPr>
          <w:rtl/>
        </w:rPr>
        <w:t xml:space="preserve"> + </w:t>
      </w:r>
      <w:r w:rsidRPr="00132E65">
        <w:rPr>
          <w:rtl/>
        </w:rPr>
        <w:t>« بن موسى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وَلَهُ حَدِيثٌ </w:t>
      </w:r>
      <w:r>
        <w:rPr>
          <w:rStyle w:val="libFootnotenumChar"/>
          <w:rtl/>
        </w:rPr>
        <w:t>(1)</w:t>
      </w:r>
      <w:r>
        <w:rPr>
          <w:rFonts w:hint="cs"/>
          <w:rtl/>
          <w:lang w:bidi="fa-IR"/>
        </w:rPr>
        <w:t>.</w:t>
      </w:r>
      <w:r>
        <w:rPr>
          <w:rStyle w:val="libFootnotenumChar"/>
          <w:rtl/>
        </w:rPr>
        <w:t>(2)</w:t>
      </w:r>
      <w:r w:rsidRPr="00132E65">
        <w:rPr>
          <w:rtl/>
          <w:lang w:bidi="fa-IR"/>
        </w:rPr>
        <w:t>‌</w:t>
      </w:r>
    </w:p>
    <w:p w:rsidR="000C39D1" w:rsidRPr="00132E65" w:rsidRDefault="000C39D1" w:rsidP="000C39D1">
      <w:pPr>
        <w:pStyle w:val="libNormal"/>
        <w:rPr>
          <w:rtl/>
          <w:lang w:bidi="fa-IR"/>
        </w:rPr>
      </w:pPr>
      <w:r w:rsidRPr="00A8441F">
        <w:rPr>
          <w:rtl/>
        </w:rPr>
        <w:t>878</w:t>
      </w:r>
      <w:r w:rsidRPr="004325D8">
        <w:rPr>
          <w:rStyle w:val="libBold2Char"/>
          <w:rtl/>
        </w:rPr>
        <w:t xml:space="preserve"> / 10.</w:t>
      </w:r>
      <w:r w:rsidRPr="00132E65">
        <w:rPr>
          <w:rtl/>
          <w:lang w:bidi="fa-IR"/>
        </w:rPr>
        <w:t xml:space="preserve"> عَلِيُّ بْنُ مُحَمَّدٍ ، عَنْ أَبِي مُحَمَّدٍ الْوَجْنَائِيِّ </w:t>
      </w:r>
      <w:r>
        <w:rPr>
          <w:rStyle w:val="libFootnotenumChar"/>
          <w:rtl/>
        </w:rPr>
        <w:t>(3)</w:t>
      </w:r>
      <w:r w:rsidRPr="00132E65">
        <w:rPr>
          <w:rtl/>
          <w:lang w:bidi="fa-IR"/>
        </w:rPr>
        <w:t xml:space="preserve"> ، أَنَّهُ أَخْبَرَنِي </w:t>
      </w:r>
      <w:r>
        <w:rPr>
          <w:rStyle w:val="libFootnotenumChar"/>
          <w:rtl/>
        </w:rPr>
        <w:t>(4)</w:t>
      </w:r>
      <w:r w:rsidRPr="00132E65">
        <w:rPr>
          <w:rtl/>
          <w:lang w:bidi="fa-IR"/>
        </w:rPr>
        <w:t xml:space="preserve"> عَمَّنْ رَآهُ :</w:t>
      </w:r>
    </w:p>
    <w:p w:rsidR="000C39D1" w:rsidRPr="00132E65" w:rsidRDefault="000C39D1" w:rsidP="000C39D1">
      <w:pPr>
        <w:pStyle w:val="libNormal"/>
        <w:rPr>
          <w:rtl/>
          <w:lang w:bidi="fa-IR"/>
        </w:rPr>
      </w:pPr>
      <w:r w:rsidRPr="00132E65">
        <w:rPr>
          <w:rtl/>
          <w:lang w:bidi="fa-IR"/>
        </w:rPr>
        <w:t xml:space="preserve">أَنَّهُ </w:t>
      </w:r>
      <w:r>
        <w:rPr>
          <w:rStyle w:val="libFootnotenumChar"/>
          <w:rtl/>
        </w:rPr>
        <w:t>(5)</w:t>
      </w:r>
      <w:r w:rsidRPr="00132E65">
        <w:rPr>
          <w:rtl/>
          <w:lang w:bidi="fa-IR"/>
        </w:rPr>
        <w:t xml:space="preserve"> خَرَجَ مِنَ الدَّارِ قَبْلَ الْحَادِثِ </w:t>
      </w:r>
      <w:r>
        <w:rPr>
          <w:rStyle w:val="libFootnotenumChar"/>
          <w:rtl/>
        </w:rPr>
        <w:t>(6)</w:t>
      </w:r>
      <w:r w:rsidRPr="00132E65">
        <w:rPr>
          <w:rtl/>
          <w:lang w:bidi="fa-IR"/>
        </w:rPr>
        <w:t xml:space="preserve"> بِعَشَرَةِ أَيَّامٍ ، و</w:t>
      </w:r>
      <w:r>
        <w:rPr>
          <w:rFonts w:hint="cs"/>
          <w:rtl/>
          <w:lang w:bidi="fa-IR"/>
        </w:rPr>
        <w:t xml:space="preserve">َ </w:t>
      </w:r>
      <w:r w:rsidRPr="00132E65">
        <w:rPr>
          <w:rtl/>
          <w:lang w:bidi="fa-IR"/>
        </w:rPr>
        <w:t xml:space="preserve">هُوَ يَقُولُ : « اللهُمَّ ، إِنَّكَ تَعْلَمُ أَنَّهَا مِنْ </w:t>
      </w:r>
      <w:r>
        <w:rPr>
          <w:rStyle w:val="libFootnotenumChar"/>
          <w:rtl/>
        </w:rPr>
        <w:t>(7)</w:t>
      </w:r>
      <w:r w:rsidRPr="00132E65">
        <w:rPr>
          <w:rtl/>
          <w:lang w:bidi="fa-IR"/>
        </w:rPr>
        <w:t xml:space="preserve"> أَحَبِّ الْبِقَاعِ </w:t>
      </w:r>
      <w:r>
        <w:rPr>
          <w:rStyle w:val="libFootnotenumChar"/>
          <w:rtl/>
        </w:rPr>
        <w:t>(8)</w:t>
      </w:r>
      <w:r w:rsidRPr="00132E65">
        <w:rPr>
          <w:rtl/>
          <w:lang w:bidi="fa-IR"/>
        </w:rPr>
        <w:t xml:space="preserve"> لَوْ لَا</w:t>
      </w:r>
      <w:r>
        <w:rPr>
          <w:rFonts w:hint="cs"/>
          <w:rtl/>
          <w:lang w:bidi="fa-IR"/>
        </w:rPr>
        <w:t xml:space="preserve"> </w:t>
      </w:r>
      <w:r w:rsidRPr="00132E65">
        <w:rPr>
          <w:rtl/>
          <w:lang w:bidi="fa-IR"/>
        </w:rPr>
        <w:t xml:space="preserve">الطَّرْدُ </w:t>
      </w:r>
      <w:r>
        <w:rPr>
          <w:rStyle w:val="libFootnotenumChar"/>
          <w:rtl/>
        </w:rPr>
        <w:t>(9)</w:t>
      </w:r>
      <w:r w:rsidRPr="00132E65">
        <w:rPr>
          <w:rtl/>
          <w:lang w:bidi="fa-IR"/>
        </w:rPr>
        <w:t xml:space="preserve"> »</w:t>
      </w:r>
      <w:r>
        <w:rPr>
          <w:rtl/>
          <w:lang w:bidi="fa-IR"/>
        </w:rPr>
        <w:t>.</w:t>
      </w:r>
      <w:r w:rsidRPr="00132E65">
        <w:rPr>
          <w:rtl/>
          <w:lang w:bidi="fa-IR"/>
        </w:rPr>
        <w:t xml:space="preserve"> أَوْ كَلَامٌ هذَا نَحْوُهُ </w:t>
      </w:r>
      <w:r>
        <w:rPr>
          <w:rStyle w:val="libFootnotenumChar"/>
          <w:rtl/>
        </w:rPr>
        <w:t>(10)</w:t>
      </w:r>
      <w:r>
        <w:rPr>
          <w:rFonts w:hint="cs"/>
          <w:rtl/>
          <w:lang w:bidi="fa-IR"/>
        </w:rPr>
        <w:t>.</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A8441F">
        <w:rPr>
          <w:rtl/>
        </w:rPr>
        <w:t>879</w:t>
      </w:r>
      <w:r w:rsidRPr="004325D8">
        <w:rPr>
          <w:rStyle w:val="libBold2Char"/>
          <w:rtl/>
        </w:rPr>
        <w:t xml:space="preserve"> / 11.</w:t>
      </w:r>
      <w:r w:rsidRPr="00132E65">
        <w:rPr>
          <w:rtl/>
          <w:lang w:bidi="fa-IR"/>
        </w:rPr>
        <w:t xml:space="preserve"> عَلِيُّ بْنُ مُحَمَّدٍ ، عَنْ عَلِيِّ بْنِ قَيْسٍ ، عَنْ بَعْضِ جَلَاوِزَةِ </w:t>
      </w:r>
      <w:r>
        <w:rPr>
          <w:rStyle w:val="libFootnotenumChar"/>
          <w:rtl/>
        </w:rPr>
        <w:t>(12)</w:t>
      </w:r>
      <w:r w:rsidRPr="00132E65">
        <w:rPr>
          <w:rtl/>
          <w:lang w:bidi="fa-IR"/>
        </w:rPr>
        <w:t xml:space="preserve"> السَّوَادِ </w:t>
      </w:r>
      <w:r w:rsidRPr="00F543F1">
        <w:rPr>
          <w:rStyle w:val="libFootnotenumChar"/>
          <w:rtl/>
        </w:rPr>
        <w:t>(13)</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Default="000C39D1" w:rsidP="000C39D1">
      <w:pPr>
        <w:pStyle w:val="libFootnote0"/>
        <w:rPr>
          <w:rtl/>
        </w:rPr>
      </w:pPr>
      <w:r>
        <w:rPr>
          <w:rtl/>
        </w:rPr>
        <w:t>(1).</w:t>
      </w:r>
      <w:r w:rsidRPr="00132E65">
        <w:rPr>
          <w:rtl/>
        </w:rPr>
        <w:t xml:space="preserve"> في الإرشاد </w:t>
      </w:r>
      <w:r>
        <w:rPr>
          <w:rtl/>
        </w:rPr>
        <w:t xml:space="preserve">: - </w:t>
      </w:r>
      <w:r w:rsidRPr="00132E65">
        <w:rPr>
          <w:rtl/>
        </w:rPr>
        <w:t>« وله حديث »</w:t>
      </w:r>
      <w:r>
        <w:rPr>
          <w:rtl/>
        </w:rPr>
        <w:t>.</w:t>
      </w:r>
      <w:r w:rsidRPr="00132E65">
        <w:rPr>
          <w:rtl/>
        </w:rPr>
        <w:t xml:space="preserve"> </w:t>
      </w:r>
    </w:p>
    <w:p w:rsidR="000C39D1" w:rsidRPr="00132E65" w:rsidRDefault="000C39D1" w:rsidP="000C39D1">
      <w:pPr>
        <w:pStyle w:val="libFootnote0"/>
        <w:rPr>
          <w:rtl/>
          <w:lang w:bidi="fa-IR"/>
        </w:rPr>
      </w:pPr>
      <w:r>
        <w:rPr>
          <w:rtl/>
        </w:rPr>
        <w:t>(2).</w:t>
      </w:r>
      <w:r w:rsidRPr="00132E65">
        <w:rPr>
          <w:rtl/>
        </w:rPr>
        <w:t xml:space="preserve"> </w:t>
      </w:r>
      <w:r w:rsidRPr="00A8441F">
        <w:rPr>
          <w:rtl/>
        </w:rPr>
        <w:t>الإرشاد</w:t>
      </w:r>
      <w:r w:rsidRPr="00132E65">
        <w:rPr>
          <w:rtl/>
        </w:rPr>
        <w:t xml:space="preserve"> ، ج 2 ، ص 353 ، بسنده عن الكليني ؛ </w:t>
      </w:r>
      <w:r w:rsidRPr="00A8441F">
        <w:rPr>
          <w:rtl/>
        </w:rPr>
        <w:t>الغيبة</w:t>
      </w:r>
      <w:r w:rsidRPr="00132E65">
        <w:rPr>
          <w:rtl/>
        </w:rPr>
        <w:t xml:space="preserve"> للطوسي ، ص 248 ، ح 217 ، عن الكليني </w:t>
      </w:r>
      <w:r>
        <w:rPr>
          <w:rFonts w:hint="cs"/>
          <w:rtl/>
        </w:rPr>
        <w:t>.</w:t>
      </w:r>
      <w:r w:rsidRPr="009D1ACE">
        <w:rPr>
          <w:rStyle w:val="libFootnoteBoldChar"/>
          <w:rtl/>
        </w:rPr>
        <w:t>الوافي</w:t>
      </w:r>
      <w:r w:rsidRPr="00132E65">
        <w:rPr>
          <w:rtl/>
        </w:rPr>
        <w:t xml:space="preserve"> ، ج 2 ، ص 400 ، ح 896.</w:t>
      </w:r>
    </w:p>
    <w:p w:rsidR="000C39D1" w:rsidRPr="00132E65" w:rsidRDefault="000C39D1" w:rsidP="000C39D1">
      <w:pPr>
        <w:pStyle w:val="libFootnote0"/>
        <w:rPr>
          <w:rtl/>
          <w:lang w:bidi="fa-IR"/>
        </w:rPr>
      </w:pPr>
      <w:r>
        <w:rPr>
          <w:rtl/>
        </w:rPr>
        <w:t>(3).</w:t>
      </w:r>
      <w:r w:rsidRPr="00132E65">
        <w:rPr>
          <w:rtl/>
        </w:rPr>
        <w:t xml:space="preserve"> هكذا في « ض ، ف ، بر »</w:t>
      </w:r>
      <w:r>
        <w:rPr>
          <w:rtl/>
        </w:rPr>
        <w:t>.</w:t>
      </w:r>
      <w:r w:rsidRPr="00132E65">
        <w:rPr>
          <w:rtl/>
        </w:rPr>
        <w:t xml:space="preserve"> وفي « ألف ، ج ، و، بح ، بس » والمطبوع : « الوجناني »</w:t>
      </w:r>
      <w:r>
        <w:rPr>
          <w:rtl/>
        </w:rPr>
        <w:t>.</w:t>
      </w:r>
      <w:r w:rsidRPr="00132E65">
        <w:rPr>
          <w:rtl/>
        </w:rPr>
        <w:t xml:space="preserve"> وفي « ب ، بف » : « الوجناي »</w:t>
      </w:r>
      <w:r>
        <w:rPr>
          <w:rtl/>
        </w:rPr>
        <w:t>.</w:t>
      </w:r>
    </w:p>
    <w:p w:rsidR="000C39D1" w:rsidRPr="00132E65" w:rsidRDefault="000C39D1" w:rsidP="000C39D1">
      <w:pPr>
        <w:pStyle w:val="libFootnote0"/>
        <w:rPr>
          <w:rtl/>
          <w:lang w:bidi="fa-IR"/>
        </w:rPr>
      </w:pPr>
      <w:r w:rsidRPr="00F24C1F">
        <w:rPr>
          <w:rtl/>
        </w:rPr>
        <w:t xml:space="preserve">والصواب ما أثبتناه. وأبو محمّد هذا ، هو الحسن بن محمّد بن الوجناء أبو محمّد النصيبي ، ورد في </w:t>
      </w:r>
      <w:r w:rsidRPr="00A8441F">
        <w:rPr>
          <w:rtl/>
        </w:rPr>
        <w:t>كمال الدين</w:t>
      </w:r>
      <w:r w:rsidRPr="00F24C1F">
        <w:rPr>
          <w:rtl/>
        </w:rPr>
        <w:t xml:space="preserve"> ، ص 443 ، ح 17 ، بعنوان « أبي محمّد الحسن بن وجناء النصيبي ، وص 492 ، ح 16 بعنوان « أبي محمّد الوجنائي » ؛ وفي </w:t>
      </w:r>
      <w:r w:rsidRPr="00A8441F">
        <w:rPr>
          <w:rtl/>
        </w:rPr>
        <w:t>الغيبة</w:t>
      </w:r>
      <w:r w:rsidRPr="00F24C1F">
        <w:rPr>
          <w:rtl/>
        </w:rPr>
        <w:t xml:space="preserve"> للطوسي ، ص 248 ، وص 259 ، بعنوان « الحسن بن وجناء النصيبي ». وذكره النجاشي في طريقه إلى محمّد بن أحمد بن عبد الله بن مهران ، بعنوانه الكامل : الحسن بن محمّد بن الوجناء أبو محمّد النصيبي. راجع : </w:t>
      </w:r>
      <w:r w:rsidRPr="00A8441F">
        <w:rPr>
          <w:rtl/>
        </w:rPr>
        <w:t>رجال النجاشي</w:t>
      </w:r>
      <w:r w:rsidRPr="00F24C1F">
        <w:rPr>
          <w:rtl/>
        </w:rPr>
        <w:t xml:space="preserve"> ، ص 346 ، الرقم 935.</w:t>
      </w:r>
    </w:p>
    <w:p w:rsidR="000C39D1" w:rsidRPr="00132E65" w:rsidRDefault="000C39D1" w:rsidP="000C39D1">
      <w:pPr>
        <w:pStyle w:val="libFootnote0"/>
        <w:rPr>
          <w:rtl/>
          <w:lang w:bidi="fa-IR"/>
        </w:rPr>
      </w:pPr>
      <w:r>
        <w:rPr>
          <w:rtl/>
        </w:rPr>
        <w:t>(4).</w:t>
      </w:r>
      <w:r w:rsidRPr="00132E65">
        <w:rPr>
          <w:rtl/>
        </w:rPr>
        <w:t xml:space="preserve"> في « ب ، ف ، ه‍ ، بف » : « أخبر »</w:t>
      </w:r>
      <w:r>
        <w:rPr>
          <w:rtl/>
        </w:rPr>
        <w:t>.</w:t>
      </w:r>
      <w:r w:rsidRPr="00132E65">
        <w:rPr>
          <w:rtl/>
        </w:rPr>
        <w:t xml:space="preserve"> وفي البحار : « أخبره »</w:t>
      </w:r>
      <w:r>
        <w:rPr>
          <w:rtl/>
        </w:rPr>
        <w:t>.</w:t>
      </w:r>
    </w:p>
    <w:p w:rsidR="000C39D1" w:rsidRPr="00132E65" w:rsidRDefault="000C39D1" w:rsidP="000C39D1">
      <w:pPr>
        <w:pStyle w:val="libFootnote0"/>
        <w:rPr>
          <w:rtl/>
          <w:lang w:bidi="fa-IR"/>
        </w:rPr>
      </w:pPr>
      <w:r>
        <w:rPr>
          <w:rtl/>
        </w:rPr>
        <w:t>(5).</w:t>
      </w:r>
      <w:r w:rsidRPr="00132E65">
        <w:rPr>
          <w:rtl/>
        </w:rPr>
        <w:t xml:space="preserve"> في « ب ، ج ، ض ، ه‍ ، بر ، بس ، بف » و</w:t>
      </w:r>
      <w:r w:rsidRPr="009D1ACE">
        <w:rPr>
          <w:rStyle w:val="libFootnoteBoldChar"/>
          <w:rtl/>
        </w:rPr>
        <w:t>الوافي</w:t>
      </w:r>
      <w:r w:rsidRPr="00132E65">
        <w:rPr>
          <w:rtl/>
        </w:rPr>
        <w:t xml:space="preserve"> والبحار </w:t>
      </w:r>
      <w:r>
        <w:rPr>
          <w:rtl/>
        </w:rPr>
        <w:t xml:space="preserve">: - </w:t>
      </w:r>
      <w:r w:rsidRPr="00132E65">
        <w:rPr>
          <w:rtl/>
        </w:rPr>
        <w:t>« أنّه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كأنّ الحادث هو التجسّس له من السلطان والتفحّص عنه ووقوع غيبته الصغرى »</w:t>
      </w:r>
      <w:r>
        <w:rPr>
          <w:rtl/>
        </w:rPr>
        <w:t>.</w:t>
      </w:r>
    </w:p>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(8).</w:t>
      </w:r>
      <w:r w:rsidRPr="00132E65">
        <w:rPr>
          <w:rtl/>
        </w:rPr>
        <w:t xml:space="preserve"> « البِقاع » </w:t>
      </w:r>
      <w:r>
        <w:rPr>
          <w:rtl/>
        </w:rPr>
        <w:t>و «</w:t>
      </w:r>
      <w:r w:rsidRPr="00132E65">
        <w:rPr>
          <w:rtl/>
        </w:rPr>
        <w:t xml:space="preserve"> البُقَع » : جمع البَقْعَة والبُقْعَة ، والضمّ أعلى. وهي قطعة من الأرض على غير هيئة التي بجنبها. والمراد : سرّ من رأى. راجع : </w:t>
      </w:r>
      <w:r w:rsidRPr="009D1ACE">
        <w:rPr>
          <w:rStyle w:val="libFootnoteBoldChar"/>
          <w:rtl/>
        </w:rPr>
        <w:t>لسان العرب</w:t>
      </w:r>
      <w:r w:rsidRPr="00132E65">
        <w:rPr>
          <w:rtl/>
        </w:rPr>
        <w:t xml:space="preserve"> ، ج 8 ، ص 18 ( بقع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(9). في « ه</w:t>
            </w:r>
            <w:r>
              <w:rPr>
                <w:rFonts w:hint="cs"/>
                <w:rtl/>
              </w:rPr>
              <w:t xml:space="preserve"> </w:t>
            </w:r>
            <w:r w:rsidRPr="00132E65">
              <w:rPr>
                <w:rtl/>
              </w:rPr>
              <w:t>» وحاشية « ف » : « الطراد »</w:t>
            </w:r>
            <w:r>
              <w:rPr>
                <w:rtl/>
              </w:rPr>
              <w:t>.</w:t>
            </w:r>
          </w:p>
        </w:tc>
        <w:tc>
          <w:tcPr>
            <w:tcW w:w="4006" w:type="dxa"/>
          </w:tcPr>
          <w:p w:rsidR="000C39D1" w:rsidRDefault="000C39D1" w:rsidP="00B53873">
            <w:pPr>
              <w:pStyle w:val="libFootnote0"/>
              <w:rPr>
                <w:rtl/>
                <w:lang w:bidi="fa-IR"/>
              </w:rPr>
            </w:pPr>
            <w:r>
              <w:rPr>
                <w:rtl/>
              </w:rPr>
              <w:t>(10).</w:t>
            </w:r>
            <w:r w:rsidRPr="00132E65">
              <w:rPr>
                <w:rtl/>
              </w:rPr>
              <w:t xml:space="preserve"> في شرح المازندراني : « أو كلام نحو هذا »</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2 ، ص 401 ، ح 898 ؛ </w:t>
      </w:r>
      <w:r w:rsidRPr="00A8441F">
        <w:rPr>
          <w:rtl/>
        </w:rPr>
        <w:t>البحار</w:t>
      </w:r>
      <w:r w:rsidRPr="00132E65">
        <w:rPr>
          <w:rtl/>
        </w:rPr>
        <w:t xml:space="preserve"> ، ج 52 ، ص 66 ، ح 52.</w:t>
      </w:r>
    </w:p>
    <w:p w:rsidR="000C39D1" w:rsidRPr="00132E65" w:rsidRDefault="000C39D1" w:rsidP="000C39D1">
      <w:pPr>
        <w:pStyle w:val="libFootnote0"/>
        <w:rPr>
          <w:rtl/>
          <w:lang w:bidi="fa-IR"/>
        </w:rPr>
      </w:pPr>
      <w:r>
        <w:rPr>
          <w:rtl/>
        </w:rPr>
        <w:t>(12).</w:t>
      </w:r>
      <w:r w:rsidRPr="00132E65">
        <w:rPr>
          <w:rtl/>
        </w:rPr>
        <w:t xml:space="preserve"> هكذا في أكثر النسخ ، أي بالزاء. وفي المطبوع : « جلاوذة » بالذال هنا وكذا ما يأتي ذيل الخبر. </w:t>
      </w:r>
      <w:r>
        <w:rPr>
          <w:rtl/>
        </w:rPr>
        <w:t>و «</w:t>
      </w:r>
      <w:r w:rsidRPr="00132E65">
        <w:rPr>
          <w:rtl/>
        </w:rPr>
        <w:t xml:space="preserve"> الجَلاوِزَة » : جمع الجِلْواز ، وهو الشُرَطي والشُرْطي ، وهم أوّل كتيبة تشهد الحرب وتتهيّأ للموت ، وطائفة من أعوان الولاة ، سمّوا بذلك لأنّهم أعلموا أنفسهم بعلامات يُعْرَفُون بها ، أو هو التُؤْرُور ، أو الثُؤْرُور ، وهو التابع للشُرطي ، والعَوْن يكون مع السلطان بلا رزق. وقرأ المجلسي : الجلاوذة ، وهو مخالف لما في اللغة. راجع : </w:t>
      </w:r>
      <w:r w:rsidRPr="00A8441F">
        <w:rPr>
          <w:rtl/>
        </w:rPr>
        <w:t>القاموس المحيط</w:t>
      </w:r>
      <w:r w:rsidRPr="00132E65">
        <w:rPr>
          <w:rtl/>
        </w:rPr>
        <w:t xml:space="preserve"> ، ج 1 ، ص 508 ( تأر ) ، وص 698 ( جلز ) ، وص 909 ( شرط )</w:t>
      </w:r>
      <w:r>
        <w:rPr>
          <w:rtl/>
        </w:rPr>
        <w:t>.</w:t>
      </w:r>
    </w:p>
    <w:p w:rsidR="000C39D1" w:rsidRPr="00132E65" w:rsidRDefault="000C39D1" w:rsidP="000C39D1">
      <w:pPr>
        <w:pStyle w:val="libFootnote0"/>
        <w:rPr>
          <w:rtl/>
          <w:lang w:bidi="fa-IR"/>
        </w:rPr>
      </w:pPr>
      <w:r>
        <w:rPr>
          <w:rtl/>
        </w:rPr>
        <w:t>(13)</w:t>
      </w:r>
      <w:r w:rsidRPr="00132E65">
        <w:rPr>
          <w:rtl/>
        </w:rPr>
        <w:t xml:space="preserve"> « السواد » : قرى المدينة ، والعدد الكثير ، وعامّة الناس. راجع : </w:t>
      </w:r>
      <w:r w:rsidRPr="00A8441F">
        <w:rPr>
          <w:rtl/>
        </w:rPr>
        <w:t>القاموس المحيط</w:t>
      </w:r>
      <w:r w:rsidRPr="00132E65">
        <w:rPr>
          <w:rtl/>
        </w:rPr>
        <w:t xml:space="preserve"> ، ج 1 ، ص 424 ( سود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شَاهَدْتُ سِيمَا </w:t>
      </w:r>
      <w:r>
        <w:rPr>
          <w:rStyle w:val="libFootnotenumChar"/>
          <w:rtl/>
        </w:rPr>
        <w:t>(1)</w:t>
      </w:r>
      <w:r w:rsidRPr="00132E65">
        <w:rPr>
          <w:rtl/>
          <w:lang w:bidi="fa-IR"/>
        </w:rPr>
        <w:t xml:space="preserve"> آنِفاً بِسُرَّ مَنْ رَأى و</w:t>
      </w:r>
      <w:r>
        <w:rPr>
          <w:rFonts w:hint="cs"/>
          <w:rtl/>
          <w:lang w:bidi="fa-IR"/>
        </w:rPr>
        <w:t xml:space="preserve">َ </w:t>
      </w:r>
      <w:r w:rsidRPr="00132E65">
        <w:rPr>
          <w:rtl/>
          <w:lang w:bidi="fa-IR"/>
        </w:rPr>
        <w:t>قَدْ كَسَرَ بَابَ الدَّارِ ، فَخَرَجَ عَلَيْهِ و</w:t>
      </w:r>
      <w:r>
        <w:rPr>
          <w:rFonts w:hint="cs"/>
          <w:rtl/>
          <w:lang w:bidi="fa-IR"/>
        </w:rPr>
        <w:t xml:space="preserve">َ </w:t>
      </w:r>
      <w:r w:rsidRPr="00132E65">
        <w:rPr>
          <w:rtl/>
          <w:lang w:bidi="fa-IR"/>
        </w:rPr>
        <w:t>بِيَدِهِ طَبَرْزِينٌ ، فَقَالَ لَهُ : « مَا تَصْنَعُ فِي دَارِي</w:t>
      </w:r>
      <w:r>
        <w:rPr>
          <w:rtl/>
          <w:lang w:bidi="fa-IR"/>
        </w:rPr>
        <w:t>؟</w:t>
      </w:r>
      <w:r w:rsidRPr="00132E65">
        <w:rPr>
          <w:rtl/>
          <w:lang w:bidi="fa-IR"/>
        </w:rPr>
        <w:t xml:space="preserve"> »</w:t>
      </w:r>
      <w:r>
        <w:rPr>
          <w:rtl/>
          <w:lang w:bidi="fa-IR"/>
        </w:rPr>
        <w:t>.</w:t>
      </w:r>
      <w:r w:rsidRPr="00132E65">
        <w:rPr>
          <w:rtl/>
          <w:lang w:bidi="fa-IR"/>
        </w:rPr>
        <w:t xml:space="preserve"> فَقَالَ </w:t>
      </w:r>
      <w:r>
        <w:rPr>
          <w:rStyle w:val="libFootnotenumChar"/>
          <w:rtl/>
        </w:rPr>
        <w:t>(2)</w:t>
      </w:r>
      <w:r w:rsidRPr="00132E65">
        <w:rPr>
          <w:rtl/>
          <w:lang w:bidi="fa-IR"/>
        </w:rPr>
        <w:t xml:space="preserve"> سِيمَا : إِنَّ جَعْفَراً زَعَمَ أَنَّ أَبَاكَ مَضى و</w:t>
      </w:r>
      <w:r>
        <w:rPr>
          <w:rFonts w:hint="cs"/>
          <w:rtl/>
          <w:lang w:bidi="fa-IR"/>
        </w:rPr>
        <w:t>َ</w:t>
      </w:r>
      <w:r w:rsidRPr="00132E65">
        <w:rPr>
          <w:rtl/>
          <w:lang w:bidi="fa-IR"/>
        </w:rPr>
        <w:t xml:space="preserve">لَاوَلَدَ لَهُ </w:t>
      </w:r>
      <w:r>
        <w:rPr>
          <w:rStyle w:val="libFootnotenumChar"/>
          <w:rtl/>
        </w:rPr>
        <w:t>(3)</w:t>
      </w:r>
      <w:r w:rsidRPr="00132E65">
        <w:rPr>
          <w:rtl/>
          <w:lang w:bidi="fa-IR"/>
        </w:rPr>
        <w:t xml:space="preserve"> ، فَإِنْ كَانَتْ دَارَكَ ، فَقَدِ انْصَرَفْتُ عَنْكَ ، فَخَرَجَ عَنِ الدَّارِ </w:t>
      </w:r>
      <w:r>
        <w:rPr>
          <w:rStyle w:val="libFootnotenumChar"/>
          <w:rtl/>
        </w:rPr>
        <w:t>(4)</w:t>
      </w:r>
    </w:p>
    <w:p w:rsidR="000C39D1" w:rsidRPr="00132E65" w:rsidRDefault="000C39D1" w:rsidP="000C39D1">
      <w:pPr>
        <w:pStyle w:val="libNormal"/>
        <w:rPr>
          <w:rtl/>
          <w:lang w:bidi="fa-IR"/>
        </w:rPr>
      </w:pPr>
      <w:r w:rsidRPr="00132E65">
        <w:rPr>
          <w:rtl/>
          <w:lang w:bidi="fa-IR"/>
        </w:rPr>
        <w:t xml:space="preserve">قَالَ عَلِيُّ بْنُ قَيْسٍ : فَخَرَجَ عَلَيْنَا خَادِمٌ مِنْ خَدَمِ الدَّارِ </w:t>
      </w:r>
      <w:r>
        <w:rPr>
          <w:rStyle w:val="libFootnotenumChar"/>
          <w:rtl/>
        </w:rPr>
        <w:t>(5)</w:t>
      </w:r>
      <w:r w:rsidRPr="00132E65">
        <w:rPr>
          <w:rtl/>
          <w:lang w:bidi="fa-IR"/>
        </w:rPr>
        <w:t xml:space="preserve"> ، فَسَأَلْتُهُ عَنْ هذَا الْخَبَرِ ، فَقَالَ لِي : مَنْ حَدَّثَكَ بِهذَا</w:t>
      </w:r>
      <w:r>
        <w:rPr>
          <w:rtl/>
          <w:lang w:bidi="fa-IR"/>
        </w:rPr>
        <w:t>؟</w:t>
      </w:r>
      <w:r w:rsidRPr="00132E65">
        <w:rPr>
          <w:rtl/>
          <w:lang w:bidi="fa-IR"/>
        </w:rPr>
        <w:t xml:space="preserve"> فَقُلْتُ لَهُ </w:t>
      </w:r>
      <w:r>
        <w:rPr>
          <w:rStyle w:val="libFootnotenumChar"/>
          <w:rtl/>
        </w:rPr>
        <w:t>(6)</w:t>
      </w:r>
      <w:r w:rsidRPr="00132E65">
        <w:rPr>
          <w:rtl/>
          <w:lang w:bidi="fa-IR"/>
        </w:rPr>
        <w:t xml:space="preserve"> : حَدَّثَنِي بَعْضُ جَلَاوِزَةِ السَّوَادِ ، فَقَالَ لِي </w:t>
      </w:r>
      <w:r>
        <w:rPr>
          <w:rStyle w:val="libFootnotenumChar"/>
          <w:rtl/>
        </w:rPr>
        <w:t>(7)</w:t>
      </w:r>
      <w:r w:rsidRPr="00132E65">
        <w:rPr>
          <w:rtl/>
          <w:lang w:bidi="fa-IR"/>
        </w:rPr>
        <w:t xml:space="preserve"> :</w:t>
      </w:r>
      <w:r>
        <w:rPr>
          <w:rFonts w:hint="cs"/>
          <w:rtl/>
          <w:lang w:bidi="fa-IR"/>
        </w:rPr>
        <w:t xml:space="preserve"> </w:t>
      </w:r>
      <w:r w:rsidRPr="00132E65">
        <w:rPr>
          <w:rtl/>
          <w:lang w:bidi="fa-IR"/>
        </w:rPr>
        <w:t xml:space="preserve">لَا يَكَادُ يَخْفى عَلَى </w:t>
      </w:r>
      <w:r>
        <w:rPr>
          <w:rStyle w:val="libFootnotenumChar"/>
          <w:rtl/>
        </w:rPr>
        <w:t>(8)</w:t>
      </w:r>
      <w:r w:rsidRPr="00132E65">
        <w:rPr>
          <w:rtl/>
          <w:lang w:bidi="fa-IR"/>
        </w:rPr>
        <w:t xml:space="preserve"> النَّاسِ شَيْ‌ءٌ.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A8441F">
        <w:rPr>
          <w:rtl/>
        </w:rPr>
        <w:t>880</w:t>
      </w:r>
      <w:r w:rsidRPr="004325D8">
        <w:rPr>
          <w:rStyle w:val="libBold2Char"/>
          <w:rtl/>
        </w:rPr>
        <w:t xml:space="preserve"> / 12.</w:t>
      </w:r>
      <w:r w:rsidRPr="00132E65">
        <w:rPr>
          <w:rtl/>
          <w:lang w:bidi="fa-IR"/>
        </w:rPr>
        <w:t xml:space="preserve"> عَلِيُّ بْنُ مُحَمَّدٍ ، عَنْ جَعْفَرِ بْنِ مُحَمَّدٍ الْكُوفِيِّ ، عَنْ جَعْفَرِ بْنِ مُحَمَّدٍ‌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ألف ، ب ، ض ، و، بح ، بس ، بف »</w:t>
      </w:r>
      <w:r>
        <w:rPr>
          <w:rtl/>
        </w:rPr>
        <w:t>.</w:t>
      </w:r>
      <w:r w:rsidRPr="00132E65">
        <w:rPr>
          <w:rtl/>
        </w:rPr>
        <w:t xml:space="preserve"> وفي « ج » : « سيّماً »</w:t>
      </w:r>
      <w:r>
        <w:rPr>
          <w:rtl/>
        </w:rPr>
        <w:t>.</w:t>
      </w:r>
      <w:r w:rsidRPr="00132E65">
        <w:rPr>
          <w:rtl/>
        </w:rPr>
        <w:t xml:space="preserve"> وفي « ف » : « سيُماً »</w:t>
      </w:r>
      <w:r>
        <w:rPr>
          <w:rtl/>
        </w:rPr>
        <w:t>.</w:t>
      </w:r>
      <w:r w:rsidRPr="00132E65">
        <w:rPr>
          <w:rtl/>
        </w:rPr>
        <w:t xml:space="preserve"> وفي « بر » : « سيّما »</w:t>
      </w:r>
      <w:r>
        <w:rPr>
          <w:rtl/>
        </w:rPr>
        <w:t>.</w:t>
      </w:r>
      <w:r w:rsidRPr="00132E65">
        <w:rPr>
          <w:rtl/>
        </w:rPr>
        <w:t xml:space="preserve"> وفي المطبوع : « سيماء » هنا وكذا ما يأتي بعد سطر.</w:t>
      </w:r>
    </w:p>
    <w:p w:rsidR="000C39D1" w:rsidRPr="00132E65" w:rsidRDefault="000C39D1" w:rsidP="000C39D1">
      <w:pPr>
        <w:pStyle w:val="libFootnote0"/>
        <w:rPr>
          <w:rtl/>
          <w:lang w:bidi="fa-IR"/>
        </w:rPr>
      </w:pPr>
      <w:r w:rsidRPr="00F24C1F">
        <w:rPr>
          <w:rtl/>
        </w:rPr>
        <w:t xml:space="preserve">والصواب ما أثبتناه ، كما يظهر من </w:t>
      </w:r>
      <w:r w:rsidRPr="00975ABB">
        <w:rPr>
          <w:rtl/>
        </w:rPr>
        <w:t>توضيح المشتبه</w:t>
      </w:r>
      <w:r w:rsidRPr="00F24C1F">
        <w:rPr>
          <w:rtl/>
        </w:rPr>
        <w:t xml:space="preserve"> ، ج 5 ، ص 392 </w:t>
      </w:r>
      <w:r>
        <w:rPr>
          <w:rtl/>
        </w:rPr>
        <w:t>-</w:t>
      </w:r>
      <w:r w:rsidRPr="00F24C1F">
        <w:rPr>
          <w:rtl/>
        </w:rPr>
        <w:t xml:space="preserve"> 393 ؛ وج 8 ، ص 47 ؛ </w:t>
      </w:r>
      <w:r w:rsidRPr="00975ABB">
        <w:rPr>
          <w:rtl/>
        </w:rPr>
        <w:t>والمؤتلف والمختلف</w:t>
      </w:r>
      <w:r w:rsidRPr="00E55206">
        <w:rPr>
          <w:rtl/>
        </w:rPr>
        <w:t xml:space="preserve"> ، ج 3 ، ص 1590.</w:t>
      </w:r>
    </w:p>
    <w:p w:rsidR="000C39D1" w:rsidRPr="00132E65" w:rsidRDefault="000C39D1" w:rsidP="000C39D1">
      <w:pPr>
        <w:pStyle w:val="libFootnote0"/>
        <w:rPr>
          <w:rtl/>
          <w:lang w:bidi="fa-IR"/>
        </w:rPr>
      </w:pPr>
      <w:r w:rsidRPr="00E55206">
        <w:rPr>
          <w:rtl/>
        </w:rPr>
        <w:t xml:space="preserve">ثمّ إنّ الظاهر أنّ هذا العنوان كان علماً لبعض أتباع بني العبّاس الأتراك ، كالغلمان والحَجَبة ، وصَحَبة بعض الدواوين. راجع : </w:t>
      </w:r>
      <w:r w:rsidRPr="00975ABB">
        <w:rPr>
          <w:rtl/>
        </w:rPr>
        <w:t>تاريخ اليعقوبي</w:t>
      </w:r>
      <w:r w:rsidRPr="00E55206">
        <w:rPr>
          <w:rtl/>
        </w:rPr>
        <w:t xml:space="preserve"> ، ج 2 ، ص 478 ، وص 484 ، وص 501 ؛ </w:t>
      </w:r>
      <w:r w:rsidRPr="00975ABB">
        <w:rPr>
          <w:rtl/>
        </w:rPr>
        <w:t>تاريخ الطبري</w:t>
      </w:r>
      <w:r w:rsidRPr="00E55206">
        <w:rPr>
          <w:rtl/>
        </w:rPr>
        <w:t xml:space="preserve"> ، ج 9 ، ص 120 ، وص 138 ، وص 287 ، وص 288 ، وص 363 ، وص 374 ، وص 440 ، وص 461 ، وص 543 ، وص 550 ، وص 553 ؛ وج 10 ، ص 73 ، وص 130.</w:t>
      </w:r>
    </w:p>
    <w:p w:rsidR="000C39D1" w:rsidRPr="00132E65" w:rsidRDefault="000C39D1" w:rsidP="000C39D1">
      <w:pPr>
        <w:pStyle w:val="libFootnote0"/>
        <w:rPr>
          <w:rtl/>
          <w:lang w:bidi="fa-IR"/>
        </w:rPr>
      </w:pPr>
      <w:r w:rsidRPr="00E55206">
        <w:rPr>
          <w:rtl/>
        </w:rPr>
        <w:t xml:space="preserve">فتبيّن من ذلك أنّ ما ورد في </w:t>
      </w:r>
      <w:r w:rsidRPr="00975ABB">
        <w:rPr>
          <w:rtl/>
        </w:rPr>
        <w:t>الغيبة</w:t>
      </w:r>
      <w:r w:rsidRPr="00E55206">
        <w:rPr>
          <w:rtl/>
        </w:rPr>
        <w:t xml:space="preserve"> للطوسي ، ص 267 ، ح 229 ، والبحار ، ج 52 ، ص 13 ، ح 7 - نقلاً من الغيبة - ؛ من « نسيماً » ، وإن كان مؤيِّداً لما أثبتناه من عدم ثبوت الهمزة في آخر العنوان ، لكنّه سهو. والظاهر أنّ منشأ هذا السهو ، الشباهة التامّة بين « سيما » و « نسيماً » في بعض الخطوط القديمة. يؤكّد ذلك أنّ نسيماً كانت خادم أبي محمّدٍ العسكري </w:t>
      </w:r>
      <w:r w:rsidRPr="006874E1">
        <w:rPr>
          <w:rStyle w:val="libFootnoteAlaemChar"/>
          <w:rtl/>
        </w:rPr>
        <w:t>عليه‌السلام</w:t>
      </w:r>
      <w:r w:rsidRPr="00E55206">
        <w:rPr>
          <w:rtl/>
        </w:rPr>
        <w:t xml:space="preserve"> ، وقد ورد ذكرها في بعض الأخبار الدالّة على رؤية الإمام المنتظر </w:t>
      </w:r>
      <w:r w:rsidRPr="006874E1">
        <w:rPr>
          <w:rStyle w:val="libFootnoteAlaemChar"/>
          <w:rtl/>
        </w:rPr>
        <w:t>عليه‌السلام</w:t>
      </w:r>
      <w:r w:rsidRPr="00E55206">
        <w:rPr>
          <w:rtl/>
        </w:rPr>
        <w:t xml:space="preserve">. راجع : </w:t>
      </w:r>
      <w:r w:rsidRPr="00975ABB">
        <w:rPr>
          <w:rtl/>
        </w:rPr>
        <w:t>كمال الدين</w:t>
      </w:r>
      <w:r w:rsidRPr="00E55206">
        <w:rPr>
          <w:rtl/>
        </w:rPr>
        <w:t xml:space="preserve"> ، ص 440 - 441.</w:t>
      </w:r>
    </w:p>
    <w:p w:rsidR="000C39D1" w:rsidRPr="00132E65" w:rsidRDefault="000C39D1" w:rsidP="000C39D1">
      <w:pPr>
        <w:pStyle w:val="libFootnote0"/>
        <w:rPr>
          <w:rtl/>
          <w:lang w:bidi="fa-IR"/>
        </w:rPr>
      </w:pPr>
      <w:r>
        <w:rPr>
          <w:rtl/>
        </w:rPr>
        <w:t>(2).</w:t>
      </w:r>
      <w:r w:rsidRPr="00132E65">
        <w:rPr>
          <w:rtl/>
        </w:rPr>
        <w:t xml:space="preserve"> في « ف » : « قال »</w:t>
      </w:r>
      <w:r>
        <w:rPr>
          <w:rtl/>
        </w:rPr>
        <w:t>.</w:t>
      </w:r>
    </w:p>
    <w:p w:rsidR="000C39D1" w:rsidRPr="00132E65" w:rsidRDefault="000C39D1" w:rsidP="000C39D1">
      <w:pPr>
        <w:pStyle w:val="libFootnote0"/>
        <w:rPr>
          <w:rtl/>
          <w:lang w:bidi="fa-IR"/>
        </w:rPr>
      </w:pPr>
      <w:r>
        <w:rPr>
          <w:rtl/>
        </w:rPr>
        <w:t>(3).</w:t>
      </w:r>
      <w:r w:rsidRPr="00132E65">
        <w:rPr>
          <w:rtl/>
        </w:rPr>
        <w:t xml:space="preserve"> في « بف » : « ولا له ولد »</w:t>
      </w:r>
      <w:r>
        <w:rPr>
          <w:rtl/>
        </w:rPr>
        <w:t>.</w:t>
      </w:r>
      <w:r w:rsidRPr="00132E65">
        <w:rPr>
          <w:rtl/>
        </w:rPr>
        <w:t xml:space="preserve"> وفي </w:t>
      </w:r>
      <w:r w:rsidRPr="009D1ACE">
        <w:rPr>
          <w:rStyle w:val="libFootnoteBoldChar"/>
          <w:rtl/>
        </w:rPr>
        <w:t>الوافي</w:t>
      </w:r>
      <w:r w:rsidRPr="00132E65">
        <w:rPr>
          <w:rtl/>
        </w:rPr>
        <w:t xml:space="preserve"> : « مضى وله ولد »</w:t>
      </w:r>
      <w:r>
        <w:rPr>
          <w:rtl/>
        </w:rPr>
        <w:t>.</w:t>
      </w:r>
    </w:p>
    <w:p w:rsidR="000C39D1" w:rsidRPr="00132E65" w:rsidRDefault="000C39D1" w:rsidP="000C39D1">
      <w:pPr>
        <w:pStyle w:val="libFootnote0"/>
        <w:rPr>
          <w:rtl/>
          <w:lang w:bidi="fa-IR"/>
        </w:rPr>
      </w:pPr>
      <w:r>
        <w:rPr>
          <w:rtl/>
        </w:rPr>
        <w:t>(4).</w:t>
      </w:r>
      <w:r w:rsidRPr="00132E65">
        <w:rPr>
          <w:rtl/>
        </w:rPr>
        <w:t xml:space="preserve"> في « ف » : « من الدار »</w:t>
      </w:r>
      <w:r>
        <w:rPr>
          <w:rtl/>
        </w:rPr>
        <w:t>.</w:t>
      </w:r>
    </w:p>
    <w:p w:rsidR="000C39D1" w:rsidRPr="00132E65" w:rsidRDefault="000C39D1" w:rsidP="000C39D1">
      <w:pPr>
        <w:pStyle w:val="libFootnote0"/>
        <w:rPr>
          <w:rtl/>
          <w:lang w:bidi="fa-IR"/>
        </w:rPr>
      </w:pPr>
      <w:r>
        <w:rPr>
          <w:rtl/>
        </w:rPr>
        <w:t>(5).</w:t>
      </w:r>
      <w:r w:rsidRPr="00132E65">
        <w:rPr>
          <w:rtl/>
        </w:rPr>
        <w:t xml:space="preserve"> في الغيبة : « فقدم علينا غلام من خدّام الدار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ف » والغيبة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(7).</w:t>
            </w:r>
            <w:r w:rsidRPr="00132E65">
              <w:rPr>
                <w:rtl/>
              </w:rPr>
              <w:t xml:space="preserve"> في « بح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(8).</w:t>
      </w:r>
      <w:r w:rsidRPr="00132E65">
        <w:rPr>
          <w:rtl/>
        </w:rPr>
        <w:t xml:space="preserve"> في « ب » وحاشية « بح » : « عن »</w:t>
      </w:r>
      <w:r>
        <w:rPr>
          <w:rtl/>
        </w:rPr>
        <w:t>.</w:t>
      </w:r>
    </w:p>
    <w:p w:rsidR="000C39D1" w:rsidRPr="00132E65" w:rsidRDefault="000C39D1" w:rsidP="000C39D1">
      <w:pPr>
        <w:pStyle w:val="libFootnote0"/>
        <w:rPr>
          <w:rtl/>
          <w:lang w:bidi="fa-IR"/>
        </w:rPr>
      </w:pPr>
      <w:r>
        <w:rPr>
          <w:rtl/>
        </w:rPr>
        <w:t>(9).</w:t>
      </w:r>
      <w:r w:rsidRPr="00132E65">
        <w:rPr>
          <w:rtl/>
        </w:rPr>
        <w:t xml:space="preserve"> </w:t>
      </w:r>
      <w:r w:rsidRPr="00975ABB">
        <w:rPr>
          <w:rtl/>
        </w:rPr>
        <w:t>الغيبة</w:t>
      </w:r>
      <w:r w:rsidRPr="00132E65">
        <w:rPr>
          <w:rtl/>
        </w:rPr>
        <w:t xml:space="preserve"> للطوسي ، ص 267 ، ح 229 ، بسنده عن الكليني </w:t>
      </w:r>
      <w:r>
        <w:rPr>
          <w:rFonts w:hint="cs"/>
          <w:rtl/>
        </w:rPr>
        <w:t>.</w:t>
      </w:r>
      <w:r w:rsidRPr="009D1ACE">
        <w:rPr>
          <w:rStyle w:val="libFootnoteBoldChar"/>
          <w:rtl/>
        </w:rPr>
        <w:t>الوافي</w:t>
      </w:r>
      <w:r w:rsidRPr="00132E65">
        <w:rPr>
          <w:rtl/>
        </w:rPr>
        <w:t xml:space="preserve"> ، ج 2 ، ص 400 ، ح 897.</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الْمَكْفُوفِ </w:t>
      </w:r>
      <w:r>
        <w:rPr>
          <w:rStyle w:val="libFootnotenumChar"/>
          <w:rtl/>
        </w:rPr>
        <w:t>(1)</w:t>
      </w:r>
      <w:r w:rsidRPr="00132E65">
        <w:rPr>
          <w:rtl/>
          <w:lang w:bidi="fa-IR"/>
        </w:rPr>
        <w:t xml:space="preserve"> ، عَنْ عَمْرٍو الْأَهْوَازِيِّ ، قَالَ :</w:t>
      </w:r>
    </w:p>
    <w:p w:rsidR="000C39D1" w:rsidRPr="00132E65" w:rsidRDefault="000C39D1" w:rsidP="000C39D1">
      <w:pPr>
        <w:pStyle w:val="libNormal"/>
        <w:rPr>
          <w:rtl/>
          <w:lang w:bidi="fa-IR"/>
        </w:rPr>
      </w:pPr>
      <w:r w:rsidRPr="00132E65">
        <w:rPr>
          <w:rtl/>
          <w:lang w:bidi="fa-IR"/>
        </w:rPr>
        <w:t xml:space="preserve">أَرَانِيهِ </w:t>
      </w:r>
      <w:r>
        <w:rPr>
          <w:rStyle w:val="libFootnotenumChar"/>
          <w:rtl/>
        </w:rPr>
        <w:t>(2)</w:t>
      </w:r>
      <w:r w:rsidRPr="00132E65">
        <w:rPr>
          <w:rtl/>
          <w:lang w:bidi="fa-IR"/>
        </w:rPr>
        <w:t xml:space="preserve"> أَبُو مُحَمَّدٍ </w:t>
      </w:r>
      <w:r>
        <w:rPr>
          <w:rStyle w:val="libFootnotenumChar"/>
          <w:rtl/>
        </w:rPr>
        <w:t>(3)</w:t>
      </w:r>
      <w:r w:rsidRPr="00132E65">
        <w:rPr>
          <w:rtl/>
          <w:lang w:bidi="fa-IR"/>
        </w:rPr>
        <w:t xml:space="preserve"> </w:t>
      </w:r>
      <w:r w:rsidRPr="00071CF9">
        <w:rPr>
          <w:rStyle w:val="libAlaemChar"/>
          <w:rtl/>
        </w:rPr>
        <w:t>عليه‌السلام</w:t>
      </w:r>
      <w:r w:rsidRPr="00132E65">
        <w:rPr>
          <w:rtl/>
          <w:lang w:bidi="fa-IR"/>
        </w:rPr>
        <w:t xml:space="preserve"> ، و</w:t>
      </w:r>
      <w:r>
        <w:rPr>
          <w:rFonts w:hint="cs"/>
          <w:rtl/>
          <w:lang w:bidi="fa-IR"/>
        </w:rPr>
        <w:t xml:space="preserve">َ </w:t>
      </w:r>
      <w:r w:rsidRPr="00132E65">
        <w:rPr>
          <w:rtl/>
          <w:lang w:bidi="fa-IR"/>
        </w:rPr>
        <w:t xml:space="preserve">قَالَ : « هذَا صَاحِبُكُمْ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975ABB">
        <w:rPr>
          <w:rtl/>
        </w:rPr>
        <w:t>881</w:t>
      </w:r>
      <w:r w:rsidRPr="004325D8">
        <w:rPr>
          <w:rStyle w:val="libBold2Char"/>
          <w:rtl/>
        </w:rPr>
        <w:t xml:space="preserve"> / 13.</w:t>
      </w:r>
      <w:r w:rsidRPr="00132E65">
        <w:rPr>
          <w:rtl/>
          <w:lang w:bidi="fa-IR"/>
        </w:rPr>
        <w:t xml:space="preserve"> مُحَمَّدُ بْنُ يَحْيى ، عَنِ الْحَسَنِ بْنِ عَلِيٍّ </w:t>
      </w:r>
      <w:r>
        <w:rPr>
          <w:rStyle w:val="libFootnotenumChar"/>
          <w:rtl/>
        </w:rPr>
        <w:t>(6)</w:t>
      </w:r>
      <w:r>
        <w:rPr>
          <w:rFonts w:hint="cs"/>
          <w:rtl/>
          <w:lang w:bidi="fa-IR"/>
        </w:rPr>
        <w:t>.......</w:t>
      </w:r>
      <w:r w:rsidR="001C701C">
        <w:rPr>
          <w:rFonts w:hint="cs"/>
          <w:rtl/>
          <w:lang w:bidi="fa-IR"/>
        </w:rPr>
        <w:t>...</w:t>
      </w:r>
      <w:r>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عن جعفر بن محمّد المكفوف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 ف » :</w:t>
            </w:r>
            <w:r>
              <w:rPr>
                <w:rtl/>
              </w:rPr>
              <w:t xml:space="preserve"> + </w:t>
            </w:r>
            <w:r w:rsidRPr="00132E65">
              <w:rPr>
                <w:rtl/>
              </w:rPr>
              <w:t>« ابنه »</w:t>
            </w:r>
            <w:r>
              <w:rPr>
                <w:rtl/>
              </w:rPr>
              <w:t>.</w:t>
            </w:r>
          </w:p>
        </w:tc>
        <w:tc>
          <w:tcPr>
            <w:tcW w:w="4006" w:type="dxa"/>
          </w:tcPr>
          <w:p w:rsidR="000C39D1" w:rsidRDefault="000C39D1" w:rsidP="00B53873">
            <w:pPr>
              <w:pStyle w:val="libFootnote0"/>
              <w:rPr>
                <w:rtl/>
              </w:rPr>
            </w:pPr>
            <w:r>
              <w:rPr>
                <w:rtl/>
              </w:rPr>
              <w:t>(3).</w:t>
            </w:r>
            <w:r w:rsidRPr="00132E65">
              <w:rPr>
                <w:rtl/>
              </w:rPr>
              <w:t xml:space="preserve"> في « ف » :</w:t>
            </w:r>
            <w:r>
              <w:rPr>
                <w:rtl/>
              </w:rPr>
              <w:t xml:space="preserve"> + </w:t>
            </w:r>
            <w:r w:rsidRPr="00132E65">
              <w:rPr>
                <w:rtl/>
              </w:rPr>
              <w:t>« الحسن بن عليّ »</w:t>
            </w:r>
            <w:r>
              <w:rPr>
                <w:rtl/>
              </w:rPr>
              <w:t>.</w:t>
            </w:r>
          </w:p>
        </w:tc>
      </w:tr>
    </w:tbl>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و</w:t>
      </w:r>
      <w:r w:rsidRPr="000577A7">
        <w:rPr>
          <w:rStyle w:val="libFootnoteBoldChar"/>
          <w:rtl/>
        </w:rPr>
        <w:t>الكافي</w:t>
      </w:r>
      <w:r w:rsidRPr="00132E65">
        <w:rPr>
          <w:rtl/>
        </w:rPr>
        <w:t xml:space="preserve"> ، ح 865 والإرشاد ، ص 348 والغيبة : « أراني أبو محمّد ابنَه ، وقال : هذا صاحبكم من بعدي »</w:t>
      </w:r>
      <w:r>
        <w:rPr>
          <w:rtl/>
        </w:rPr>
        <w:t>.</w:t>
      </w:r>
      <w:r w:rsidRPr="00132E65">
        <w:rPr>
          <w:rtl/>
        </w:rPr>
        <w:t xml:space="preserve"> وفي الإرشاد ، ص 348 :</w:t>
      </w:r>
      <w:r>
        <w:rPr>
          <w:rtl/>
        </w:rPr>
        <w:t xml:space="preserve"> + </w:t>
      </w:r>
      <w:r w:rsidRPr="00132E65">
        <w:rPr>
          <w:rtl/>
        </w:rPr>
        <w:t>« بعدي »</w:t>
      </w:r>
      <w:r>
        <w:rPr>
          <w:rtl/>
        </w:rPr>
        <w:t>.</w:t>
      </w:r>
    </w:p>
    <w:p w:rsidR="000C39D1" w:rsidRPr="00132E65" w:rsidRDefault="000C39D1" w:rsidP="000C39D1">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الحجّة ، باب الإشارة والنصّ إلى صاحب الدار </w:t>
      </w:r>
      <w:r w:rsidRPr="00602AC4">
        <w:rPr>
          <w:rStyle w:val="libFootnoteAlaemChar"/>
          <w:rtl/>
        </w:rPr>
        <w:t>عليه‌السلام</w:t>
      </w:r>
      <w:r w:rsidRPr="00132E65">
        <w:rPr>
          <w:rtl/>
        </w:rPr>
        <w:t xml:space="preserve"> ، ح 865. وفي </w:t>
      </w:r>
      <w:r w:rsidRPr="00975ABB">
        <w:rPr>
          <w:rtl/>
        </w:rPr>
        <w:t>الإرشاد</w:t>
      </w:r>
      <w:r w:rsidRPr="00132E65">
        <w:rPr>
          <w:rtl/>
        </w:rPr>
        <w:t xml:space="preserve"> ، ج 2 ، ص 348 ؛ وص 353 ، بسنده عن الكليني ؛ </w:t>
      </w:r>
      <w:r w:rsidRPr="00975ABB">
        <w:rPr>
          <w:rtl/>
        </w:rPr>
        <w:t>الغيبة</w:t>
      </w:r>
      <w:r w:rsidRPr="00132E65">
        <w:rPr>
          <w:rtl/>
        </w:rPr>
        <w:t xml:space="preserve"> للطوسي ، ص 234 ، ح 203 ، عن الكليني. </w:t>
      </w:r>
      <w:r w:rsidRPr="00975ABB">
        <w:rPr>
          <w:rtl/>
        </w:rPr>
        <w:t>كمال الدين</w:t>
      </w:r>
      <w:r w:rsidRPr="00132E65">
        <w:rPr>
          <w:rtl/>
        </w:rPr>
        <w:t xml:space="preserve"> ، ص 431 ، ح 8 ، بسند آخر ، مع اختلاف يسير وزيادة في أوّله وآخره </w:t>
      </w:r>
      <w:r>
        <w:rPr>
          <w:rFonts w:hint="cs"/>
          <w:rtl/>
        </w:rPr>
        <w:t>.</w:t>
      </w:r>
      <w:r w:rsidRPr="009D1ACE">
        <w:rPr>
          <w:rStyle w:val="libFootnoteBoldChar"/>
          <w:rtl/>
        </w:rPr>
        <w:t>الوافي</w:t>
      </w:r>
      <w:r w:rsidRPr="00132E65">
        <w:rPr>
          <w:rtl/>
        </w:rPr>
        <w:t xml:space="preserve"> ، ج 2 ، ص 392 ، ح 883.</w:t>
      </w:r>
    </w:p>
    <w:p w:rsidR="000C39D1" w:rsidRPr="00132E65" w:rsidRDefault="000C39D1" w:rsidP="000C39D1">
      <w:pPr>
        <w:pStyle w:val="libFootnote0"/>
        <w:rPr>
          <w:rtl/>
          <w:lang w:bidi="fa-IR"/>
        </w:rPr>
      </w:pPr>
      <w:r>
        <w:rPr>
          <w:rtl/>
        </w:rPr>
        <w:t>(6).</w:t>
      </w:r>
      <w:r w:rsidRPr="00132E65">
        <w:rPr>
          <w:rtl/>
        </w:rPr>
        <w:t xml:space="preserve"> ربّما يظنّ وقوع تقديم وتأخير في هذا العنوان وأنّ الصواب هو عليّ بن الحسن</w:t>
      </w:r>
      <w:r>
        <w:rPr>
          <w:rtl/>
        </w:rPr>
        <w:t xml:space="preserve"> - </w:t>
      </w:r>
      <w:r w:rsidRPr="00132E65">
        <w:rPr>
          <w:rtl/>
        </w:rPr>
        <w:t>أو الحسين</w:t>
      </w:r>
      <w:r>
        <w:rPr>
          <w:rtl/>
        </w:rPr>
        <w:t xml:space="preserve"> - </w:t>
      </w:r>
      <w:r w:rsidRPr="00132E65">
        <w:rPr>
          <w:rtl/>
        </w:rPr>
        <w:t xml:space="preserve">النيسابوري. ويستشهد لذلك بما ورد في جملةٍ من الأسناد من رواية محمّد بن يحيى ، عن عليّ بن الحسين النيسابوري ، كما في </w:t>
      </w:r>
      <w:r w:rsidRPr="000577A7">
        <w:rPr>
          <w:rStyle w:val="libFootnoteBoldChar"/>
          <w:rtl/>
        </w:rPr>
        <w:t>الكافي</w:t>
      </w:r>
      <w:r w:rsidRPr="00132E65">
        <w:rPr>
          <w:rtl/>
        </w:rPr>
        <w:t xml:space="preserve"> ، ح 2954 </w:t>
      </w:r>
      <w:r>
        <w:rPr>
          <w:rtl/>
        </w:rPr>
        <w:t>و 1</w:t>
      </w:r>
      <w:r w:rsidRPr="00132E65">
        <w:rPr>
          <w:rtl/>
        </w:rPr>
        <w:t>2533 ؛ و</w:t>
      </w:r>
      <w:r w:rsidRPr="00975ABB">
        <w:rPr>
          <w:rtl/>
        </w:rPr>
        <w:t>فرحة الغريّ</w:t>
      </w:r>
      <w:r w:rsidRPr="00132E65">
        <w:rPr>
          <w:rtl/>
        </w:rPr>
        <w:t xml:space="preserve"> ، ص 68. وكذا بما ورد في ، ج 1 ، </w:t>
      </w:r>
      <w:r w:rsidRPr="00975ABB">
        <w:rPr>
          <w:rtl/>
        </w:rPr>
        <w:t>عيون الأخبار</w:t>
      </w:r>
      <w:r w:rsidRPr="00132E65">
        <w:rPr>
          <w:rtl/>
        </w:rPr>
        <w:t xml:space="preserve">ص 315 ، ح 91 ، من رواية عليّ بن الحسين الخيّاط ( الحنّاط خ ل ) عن إبراهيم بن محمّد بن عبد الله بن موسى بن جعفر ؛ وكذا بما ورد في </w:t>
      </w:r>
      <w:r w:rsidRPr="00975ABB">
        <w:rPr>
          <w:rtl/>
        </w:rPr>
        <w:t>كمال الدين</w:t>
      </w:r>
      <w:r w:rsidRPr="00132E65">
        <w:rPr>
          <w:rtl/>
        </w:rPr>
        <w:t xml:space="preserve"> ، ص 441 ، ح 11 ، من رواية عليّ بن الحسن ( الحسين خ ل ) الدقّاق عن إبراهيم بن محمّد العلوي.</w:t>
      </w:r>
    </w:p>
    <w:p w:rsidR="000C39D1" w:rsidRPr="00132E65" w:rsidRDefault="000C39D1" w:rsidP="000C39D1">
      <w:pPr>
        <w:pStyle w:val="libFootnote0"/>
        <w:rPr>
          <w:rtl/>
          <w:lang w:bidi="fa-IR"/>
        </w:rPr>
      </w:pPr>
      <w:r w:rsidRPr="00E55206">
        <w:rPr>
          <w:rtl/>
        </w:rPr>
        <w:t xml:space="preserve">ثمّ إنّه وردت رواية محمّد بن يحيى العطّار ، عن الحسين بن عليّ النيسابوري في </w:t>
      </w:r>
      <w:r w:rsidRPr="00975ABB">
        <w:rPr>
          <w:rtl/>
        </w:rPr>
        <w:t>كمال الدين</w:t>
      </w:r>
      <w:r w:rsidRPr="00E55206">
        <w:rPr>
          <w:rtl/>
        </w:rPr>
        <w:t xml:space="preserve"> ، ص 430 ، ح 5 وذيله ، وفي </w:t>
      </w:r>
      <w:r w:rsidRPr="00975ABB">
        <w:rPr>
          <w:rtl/>
        </w:rPr>
        <w:t>الغيبة</w:t>
      </w:r>
      <w:r w:rsidRPr="00E55206">
        <w:rPr>
          <w:rtl/>
        </w:rPr>
        <w:t xml:space="preserve"> للطوسي ، ص 244 ، ح 211 : محمّد بن يحيى عن الحسين بن عليّ النيسابوري الدقّاق ، وفيه صدر الخبر فقط.</w:t>
      </w:r>
    </w:p>
    <w:p w:rsidR="000C39D1" w:rsidRPr="00132E65" w:rsidRDefault="000C39D1" w:rsidP="000C39D1">
      <w:pPr>
        <w:pStyle w:val="libFootnote0"/>
        <w:rPr>
          <w:rtl/>
          <w:lang w:bidi="fa-IR"/>
        </w:rPr>
      </w:pPr>
      <w:r w:rsidRPr="00E55206">
        <w:rPr>
          <w:rtl/>
        </w:rPr>
        <w:t xml:space="preserve">إذا تبيّن ذلك ، فنقول : إنّ موضوع أخبار أسناد محمّد بن يحيى عن الحسين - أو الحسن - بن عليّ النيسابوري ، مرتبط بميلاد القائم ومن رآه </w:t>
      </w:r>
      <w:r w:rsidRPr="00F2687E">
        <w:rPr>
          <w:rStyle w:val="libFootnoteAlaemChar"/>
          <w:rtl/>
        </w:rPr>
        <w:t>عليه‌السلام</w:t>
      </w:r>
      <w:r w:rsidRPr="00E55206">
        <w:rPr>
          <w:rtl/>
        </w:rPr>
        <w:t>.</w:t>
      </w:r>
    </w:p>
    <w:p w:rsidR="000C39D1" w:rsidRPr="00132E65" w:rsidRDefault="000C39D1" w:rsidP="000C39D1">
      <w:pPr>
        <w:pStyle w:val="libFootnote0"/>
        <w:rPr>
          <w:rtl/>
          <w:lang w:bidi="fa-IR"/>
        </w:rPr>
      </w:pPr>
      <w:r w:rsidRPr="00E55206">
        <w:rPr>
          <w:rtl/>
        </w:rPr>
        <w:t xml:space="preserve">وأمّا ما تقدّم الإشارة إليه ممّا ورد في </w:t>
      </w:r>
      <w:r w:rsidRPr="000577A7">
        <w:rPr>
          <w:rStyle w:val="libFootnoteBoldChar"/>
          <w:rtl/>
        </w:rPr>
        <w:t>الكافي</w:t>
      </w:r>
      <w:r w:rsidRPr="00E55206">
        <w:rPr>
          <w:rtl/>
        </w:rPr>
        <w:t xml:space="preserve"> ، ح 2954 و 12533 ، و</w:t>
      </w:r>
      <w:r w:rsidRPr="00975ABB">
        <w:rPr>
          <w:rtl/>
        </w:rPr>
        <w:t xml:space="preserve">فرحة الغريّ </w:t>
      </w:r>
      <w:r w:rsidRPr="00E55206">
        <w:rPr>
          <w:rtl/>
        </w:rPr>
        <w:t>، ص 68 ، فموضوعاته مغايرة لهذا الأمر.</w:t>
      </w:r>
    </w:p>
    <w:p w:rsidR="000C39D1" w:rsidRPr="00132E65" w:rsidRDefault="000C39D1" w:rsidP="000C39D1">
      <w:pPr>
        <w:pStyle w:val="libFootnote0"/>
        <w:rPr>
          <w:rtl/>
          <w:lang w:bidi="fa-IR"/>
        </w:rPr>
      </w:pPr>
      <w:r w:rsidRPr="00E55206">
        <w:rPr>
          <w:rtl/>
        </w:rPr>
        <w:t xml:space="preserve">نعم ، ما ورد في </w:t>
      </w:r>
      <w:r w:rsidRPr="00975ABB">
        <w:rPr>
          <w:rtl/>
        </w:rPr>
        <w:t>كمال الدين</w:t>
      </w:r>
      <w:r w:rsidRPr="00E55206">
        <w:rPr>
          <w:rtl/>
        </w:rPr>
        <w:t xml:space="preserve"> ، ص 441 ، ح 11 ، هو نفس الخبر الوارد في </w:t>
      </w:r>
      <w:r w:rsidRPr="00975ABB">
        <w:rPr>
          <w:rtl/>
        </w:rPr>
        <w:t>كمال الدين</w:t>
      </w:r>
      <w:r w:rsidRPr="00E55206">
        <w:rPr>
          <w:rtl/>
        </w:rPr>
        <w:t xml:space="preserve"> ، ص 430 ، ذيل ح 5 ، لكنّه لا يوجب القول بوقوع التحريف في ما نحن فيه ، بل يمكن القول بوجود راويين ، أحدهما عليّ بن الحسن - أو الحسين - النيسابوري الدقّاق والآخر الحسن - أو الحسين - بن عليّ النيسابوري الدقّاق ، وأنّ التحريف واقع في سند </w:t>
      </w:r>
      <w:r w:rsidRPr="00975ABB">
        <w:rPr>
          <w:rtl/>
        </w:rPr>
        <w:t>كمال الدين</w:t>
      </w:r>
      <w:r w:rsidRPr="00E55206">
        <w:rPr>
          <w:rtl/>
        </w:rPr>
        <w:t xml:space="preserve"> ، ص 441 ، ح 11 ؛ فإنّ الراوي عن عليّ بن الحسن الدقّاق في هذا السند هو آدم بن محمّد البلخي. وقد ورد في </w:t>
      </w:r>
      <w:r w:rsidRPr="00975ABB">
        <w:rPr>
          <w:rtl/>
        </w:rPr>
        <w:t>رجال الكشّي</w:t>
      </w:r>
      <w:r w:rsidRPr="00E55206">
        <w:rPr>
          <w:rtl/>
        </w:rPr>
        <w:t xml:space="preserve"> ، ص 180 الرقم 43 ، رواية آدم بن محمّد القلانسي البلخي عن </w:t>
      </w:r>
      <w:r w:rsidRPr="00E5520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النَّيْسَابُورِيِّ </w:t>
      </w:r>
      <w:r>
        <w:rPr>
          <w:rStyle w:val="libFootnotenumChar"/>
          <w:rtl/>
        </w:rPr>
        <w:t>(1)</w:t>
      </w:r>
      <w:r w:rsidRPr="00132E65">
        <w:rPr>
          <w:rtl/>
          <w:lang w:bidi="fa-IR"/>
        </w:rPr>
        <w:t xml:space="preserve"> ، عَنْ إِبْرَاهِيمَ بْنِ مُحَمَّدِ بْنِ عَبْدِ اللهِ بْنِ مُوسَى بْنِ جَعْفَرٍ :</w:t>
      </w:r>
    </w:p>
    <w:p w:rsidR="000C39D1" w:rsidRPr="00132E65" w:rsidRDefault="000C39D1" w:rsidP="000C39D1">
      <w:pPr>
        <w:pStyle w:val="libNormal"/>
        <w:rPr>
          <w:rtl/>
          <w:lang w:bidi="fa-IR"/>
        </w:rPr>
      </w:pPr>
      <w:r w:rsidRPr="00132E65">
        <w:rPr>
          <w:rtl/>
          <w:lang w:bidi="fa-IR"/>
        </w:rPr>
        <w:t xml:space="preserve">عَنْ أَبِي نَصْرٍ ظَرِيفٍ الْخَادِمِ أَنَّهُ رَآهُ.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975ABB">
        <w:rPr>
          <w:rtl/>
        </w:rPr>
        <w:t>882</w:t>
      </w:r>
      <w:r w:rsidRPr="004325D8">
        <w:rPr>
          <w:rStyle w:val="libBold2Char"/>
          <w:rtl/>
        </w:rPr>
        <w:t xml:space="preserve"> / 14.</w:t>
      </w:r>
      <w:r w:rsidRPr="00132E65">
        <w:rPr>
          <w:rtl/>
          <w:lang w:bidi="fa-IR"/>
        </w:rPr>
        <w:t xml:space="preserve"> عَلِيُّ بْنُ مُحَمَّدٍ ، عَنْ مُحَمَّدٍ و</w:t>
      </w:r>
      <w:r>
        <w:rPr>
          <w:rFonts w:hint="cs"/>
          <w:rtl/>
          <w:lang w:bidi="fa-IR"/>
        </w:rPr>
        <w:t>َ</w:t>
      </w:r>
      <w:r w:rsidRPr="00132E65">
        <w:rPr>
          <w:rtl/>
          <w:lang w:bidi="fa-IR"/>
        </w:rPr>
        <w:t>الْحَسَنِ ابْنَيْ عَلِيِّ بْنِ إِبْرَاهِيمَ ، أَنَّهُمَا حَدَّثَاهُ فِي سَنَةِ تِسْعٍ و</w:t>
      </w:r>
      <w:r>
        <w:rPr>
          <w:rFonts w:hint="cs"/>
          <w:rtl/>
          <w:lang w:bidi="fa-IR"/>
        </w:rPr>
        <w:t xml:space="preserve">َ </w:t>
      </w:r>
      <w:r w:rsidRPr="00132E65">
        <w:rPr>
          <w:rtl/>
          <w:lang w:bidi="fa-IR"/>
        </w:rPr>
        <w:t>سَبْعِينَ و</w:t>
      </w:r>
      <w:r>
        <w:rPr>
          <w:rFonts w:hint="cs"/>
          <w:rtl/>
          <w:lang w:bidi="fa-IR"/>
        </w:rPr>
        <w:t xml:space="preserve">َ </w:t>
      </w:r>
      <w:r w:rsidRPr="00132E65">
        <w:rPr>
          <w:rtl/>
          <w:lang w:bidi="fa-IR"/>
        </w:rPr>
        <w:t>مِائَتَيْنِ ، عَنْ مُحَمَّدِ بْنِ عَبْدِ الرَّحْمنِ الْعَبْدِيِّ ، عَنْ ضَوْءِ بْنِ عَلِيٍّ الْعِجْلِيِّ ، عَنْ رَجُلٍ مِنْ أَهْلِ فَارِسَ سَمَّاهُ :</w:t>
      </w:r>
    </w:p>
    <w:p w:rsidR="000C39D1" w:rsidRPr="00132E65" w:rsidRDefault="000C39D1" w:rsidP="000C39D1">
      <w:pPr>
        <w:pStyle w:val="libNormal"/>
        <w:rPr>
          <w:rtl/>
          <w:lang w:bidi="fa-IR"/>
        </w:rPr>
      </w:pPr>
      <w:r w:rsidRPr="00132E65">
        <w:rPr>
          <w:rtl/>
          <w:lang w:bidi="fa-IR"/>
        </w:rPr>
        <w:t xml:space="preserve">أَنَّ أَبَا مُحَمَّدٍ أَرَاهُ إِيَّاهُ.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975ABB">
        <w:rPr>
          <w:rtl/>
        </w:rPr>
        <w:t>883</w:t>
      </w:r>
      <w:r w:rsidRPr="004325D8">
        <w:rPr>
          <w:rStyle w:val="libBold2Char"/>
          <w:rtl/>
        </w:rPr>
        <w:t xml:space="preserve"> / 15.</w:t>
      </w:r>
      <w:r w:rsidRPr="00132E65">
        <w:rPr>
          <w:rtl/>
          <w:lang w:bidi="fa-IR"/>
        </w:rPr>
        <w:t xml:space="preserve"> عَلِيُّ بْنُ مُحَمَّدٍ ، عَنْ أَبِي أَحْمَدَ بْنِ رَاشِدٍ ، عَنْ بَعْضِ أَهْلِ الْمَدَائِنِ ، قَالَ :</w:t>
      </w:r>
    </w:p>
    <w:p w:rsidR="000C39D1" w:rsidRPr="00132E65" w:rsidRDefault="000C39D1" w:rsidP="000C39D1">
      <w:pPr>
        <w:pStyle w:val="libNormal"/>
        <w:rPr>
          <w:rtl/>
          <w:lang w:bidi="fa-IR"/>
        </w:rPr>
      </w:pPr>
      <w:r w:rsidRPr="00132E65">
        <w:rPr>
          <w:rtl/>
          <w:lang w:bidi="fa-IR"/>
        </w:rPr>
        <w:t xml:space="preserve">كُنْتُ حَاجّاً مَعَ رَفِيقٍ لِي </w:t>
      </w:r>
      <w:r>
        <w:rPr>
          <w:rStyle w:val="libFootnotenumChar"/>
          <w:rtl/>
        </w:rPr>
        <w:t>(4)</w:t>
      </w:r>
      <w:r w:rsidRPr="00132E65">
        <w:rPr>
          <w:rtl/>
          <w:lang w:bidi="fa-IR"/>
        </w:rPr>
        <w:t xml:space="preserve"> ، فَوَافَيْنَا إِلَى </w:t>
      </w:r>
      <w:r>
        <w:rPr>
          <w:rStyle w:val="libFootnotenumChar"/>
          <w:rtl/>
        </w:rPr>
        <w:t>(5)</w:t>
      </w:r>
      <w:r w:rsidRPr="00132E65">
        <w:rPr>
          <w:rtl/>
          <w:lang w:bidi="fa-IR"/>
        </w:rPr>
        <w:t xml:space="preserve"> الْمَوْقِفِ ، فَإِذَا شَابٌّ قَاعِدٌ ، عَلَيْهِ إِزَارٌ وَرِدَاءٌ ، و</w:t>
      </w:r>
      <w:r>
        <w:rPr>
          <w:rFonts w:hint="cs"/>
          <w:rtl/>
        </w:rPr>
        <w:t xml:space="preserve">َ </w:t>
      </w:r>
      <w:r w:rsidRPr="00132E65">
        <w:rPr>
          <w:rtl/>
          <w:lang w:bidi="fa-IR"/>
        </w:rPr>
        <w:t>فِي رِجْلَيْهِ نَعْلٌ صَفْرَاءُ</w:t>
      </w:r>
      <w:r>
        <w:rPr>
          <w:rtl/>
          <w:lang w:bidi="fa-IR"/>
        </w:rPr>
        <w:t xml:space="preserve"> - </w:t>
      </w:r>
      <w:r w:rsidRPr="00132E65">
        <w:rPr>
          <w:rtl/>
          <w:lang w:bidi="fa-IR"/>
        </w:rPr>
        <w:t>قَوَّمْتُ الْإِزَارَ و</w:t>
      </w:r>
      <w:r>
        <w:rPr>
          <w:rFonts w:hint="cs"/>
          <w:rtl/>
          <w:lang w:bidi="fa-IR"/>
        </w:rPr>
        <w:t xml:space="preserve">َ </w:t>
      </w:r>
      <w:r w:rsidRPr="00132E65">
        <w:rPr>
          <w:rtl/>
          <w:lang w:bidi="fa-IR"/>
        </w:rPr>
        <w:t xml:space="preserve">الرِّدَاءَ بِمِائَةٍ </w:t>
      </w:r>
      <w:r>
        <w:rPr>
          <w:rStyle w:val="libFootnotenumChar"/>
          <w:rtl/>
        </w:rPr>
        <w:t>(6)</w:t>
      </w:r>
      <w:r w:rsidRPr="00132E65">
        <w:rPr>
          <w:rtl/>
          <w:lang w:bidi="fa-IR"/>
        </w:rPr>
        <w:t xml:space="preserve"> و</w:t>
      </w:r>
      <w:r>
        <w:rPr>
          <w:rFonts w:hint="cs"/>
          <w:rtl/>
          <w:lang w:bidi="fa-IR"/>
        </w:rPr>
        <w:t xml:space="preserve">َ </w:t>
      </w:r>
      <w:r w:rsidRPr="00132E65">
        <w:rPr>
          <w:rtl/>
          <w:lang w:bidi="fa-IR"/>
        </w:rPr>
        <w:t>خَمْسِينَ دِينَاراً</w:t>
      </w:r>
      <w:r>
        <w:rPr>
          <w:rtl/>
          <w:lang w:bidi="fa-IR"/>
        </w:rPr>
        <w:t xml:space="preserve"> - </w:t>
      </w:r>
      <w:r w:rsidRPr="00132E65">
        <w:rPr>
          <w:rtl/>
          <w:lang w:bidi="fa-IR"/>
        </w:rPr>
        <w:t>وَلَيْسَ عَلَيْهِ أَثَرُ السَّفَرِ ؛ فَدَنَا مِنَّا سَائِلٌ ، فَرَدَدْنَاهُ ، فَدَنَا مِنَ الشَّابِّ ، فَسَأَلَهُ ، فَحَمَلَ شَيْئاً مِنَ الْأَرْضِ و</w:t>
      </w:r>
      <w:r>
        <w:rPr>
          <w:rFonts w:hint="cs"/>
          <w:rtl/>
          <w:lang w:bidi="fa-IR"/>
        </w:rPr>
        <w:t xml:space="preserve">َ </w:t>
      </w:r>
      <w:r w:rsidRPr="00132E65">
        <w:rPr>
          <w:rtl/>
          <w:lang w:bidi="fa-IR"/>
        </w:rPr>
        <w:t xml:space="preserve">نَاوَلَهُ </w:t>
      </w:r>
      <w:r>
        <w:rPr>
          <w:rStyle w:val="libFootnotenumChar"/>
          <w:rtl/>
        </w:rPr>
        <w:t>(7)</w:t>
      </w:r>
      <w:r w:rsidRPr="00132E65">
        <w:rPr>
          <w:rtl/>
          <w:lang w:bidi="fa-IR"/>
        </w:rPr>
        <w:t xml:space="preserve"> ، فَدَعَا لَهُ السَّائِلُ ، و</w:t>
      </w:r>
      <w:r>
        <w:rPr>
          <w:rFonts w:hint="cs"/>
          <w:rtl/>
          <w:lang w:bidi="fa-IR"/>
        </w:rPr>
        <w:t xml:space="preserve">َ </w:t>
      </w:r>
      <w:r w:rsidRPr="00132E65">
        <w:rPr>
          <w:rtl/>
          <w:lang w:bidi="fa-IR"/>
        </w:rPr>
        <w:t>اجْتَهَدَ فِي الدُّعَاءِ و</w:t>
      </w:r>
      <w:r>
        <w:rPr>
          <w:rFonts w:hint="cs"/>
          <w:rtl/>
          <w:lang w:bidi="fa-IR"/>
        </w:rPr>
        <w:t xml:space="preserve">َ </w:t>
      </w:r>
      <w:r w:rsidRPr="00132E65">
        <w:rPr>
          <w:rtl/>
          <w:lang w:bidi="fa-IR"/>
        </w:rPr>
        <w:t>أَطَالَ ، فَقَامَ الشَّابُّ‌</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46781C">
        <w:rPr>
          <w:rtl/>
        </w:rPr>
        <w:t>عليّ بن الحسن الدقّاق النيسابوري. وفي ص 192 ، الرقم 338 رواية آدم بن محمّد البلخي عن عليّ بن الحسن بن هارون الدقّاق ، وفي ص 487 ، الرقم 924 رواية آدم بن محمّد عن عليّ بن حسن الدقّاق النيسابوري ، وموضوعات هذه الأخبار مغايرة لما نحن فيه.</w:t>
      </w:r>
    </w:p>
    <w:p w:rsidR="000C39D1" w:rsidRDefault="000C39D1" w:rsidP="000C39D1">
      <w:pPr>
        <w:pStyle w:val="libFootnote0"/>
        <w:rPr>
          <w:rtl/>
        </w:rPr>
      </w:pPr>
      <w:r w:rsidRPr="00E55206">
        <w:rPr>
          <w:rtl/>
        </w:rPr>
        <w:t>اللهمّ إل</w:t>
      </w:r>
      <w:r w:rsidRPr="00E55206">
        <w:rPr>
          <w:rFonts w:hint="cs"/>
          <w:rtl/>
        </w:rPr>
        <w:t>ّ</w:t>
      </w:r>
      <w:r w:rsidRPr="00E55206">
        <w:rPr>
          <w:rtl/>
        </w:rPr>
        <w:t>ا</w:t>
      </w:r>
      <w:r w:rsidRPr="00E55206">
        <w:rPr>
          <w:rFonts w:hint="cs"/>
          <w:rtl/>
        </w:rPr>
        <w:t xml:space="preserve"> </w:t>
      </w:r>
      <w:r w:rsidRPr="00E55206">
        <w:rPr>
          <w:rtl/>
        </w:rPr>
        <w:t xml:space="preserve">أن يقال : إنّ ما تقدّم من عيون الأخبار ، ج 1 ، ص 315 ، يمنع من احتمال وقوع التحريف في سند </w:t>
      </w:r>
      <w:r w:rsidRPr="00975ABB">
        <w:rPr>
          <w:rtl/>
        </w:rPr>
        <w:t>كمال الدين</w:t>
      </w:r>
      <w:r w:rsidRPr="00E55206">
        <w:rPr>
          <w:rtl/>
        </w:rPr>
        <w:t xml:space="preserve">. لكن احتمال وجود راويين غير منفيّ ؛ فقد ذكر الذهبي في </w:t>
      </w:r>
      <w:r w:rsidRPr="00975ABB">
        <w:rPr>
          <w:rtl/>
        </w:rPr>
        <w:t>تاريخ الإسلام</w:t>
      </w:r>
      <w:r w:rsidRPr="00E55206">
        <w:rPr>
          <w:rtl/>
        </w:rPr>
        <w:t xml:space="preserve"> ، ج 21 ، ص 161 ، الحسين بن عليّ بن مهران الدقّاق النيسابوري شيخ نيسابور ، وقال : « توفّي سنة خمس وثمانين ومائتين ». وطبقة هذا العنوان تلائم طبقة مشايخ محمّد بن يحيى.</w:t>
      </w:r>
      <w:r w:rsidRPr="00132E65">
        <w:rPr>
          <w:rtl/>
        </w:rPr>
        <w:t xml:space="preserve"> </w:t>
      </w:r>
    </w:p>
    <w:p w:rsidR="000C39D1" w:rsidRPr="00132E65" w:rsidRDefault="000C39D1" w:rsidP="000C39D1">
      <w:pPr>
        <w:pStyle w:val="libFootnote0"/>
        <w:rPr>
          <w:rtl/>
          <w:lang w:bidi="fa-IR"/>
        </w:rPr>
      </w:pPr>
      <w:r>
        <w:rPr>
          <w:rtl/>
        </w:rPr>
        <w:t>(1).</w:t>
      </w:r>
      <w:r w:rsidRPr="00132E65">
        <w:rPr>
          <w:rtl/>
        </w:rPr>
        <w:t xml:space="preserve"> في « ألف » : « النيشابوري »</w:t>
      </w:r>
      <w:r>
        <w:rPr>
          <w:rtl/>
        </w:rPr>
        <w:t>.</w:t>
      </w:r>
    </w:p>
    <w:p w:rsidR="000C39D1" w:rsidRPr="00132E65" w:rsidRDefault="000C39D1" w:rsidP="000C39D1">
      <w:pPr>
        <w:pStyle w:val="libFootnote0"/>
        <w:rPr>
          <w:rtl/>
          <w:lang w:bidi="fa-IR"/>
        </w:rPr>
      </w:pPr>
      <w:r>
        <w:rPr>
          <w:rtl/>
        </w:rPr>
        <w:t>(2).</w:t>
      </w:r>
      <w:r w:rsidRPr="00132E65">
        <w:rPr>
          <w:rtl/>
        </w:rPr>
        <w:t xml:space="preserve"> </w:t>
      </w:r>
      <w:r w:rsidRPr="00975ABB">
        <w:rPr>
          <w:rtl/>
        </w:rPr>
        <w:t>الإرشاد</w:t>
      </w:r>
      <w:r w:rsidRPr="00132E65">
        <w:rPr>
          <w:rtl/>
        </w:rPr>
        <w:t xml:space="preserve"> ، ج 2 ، ص 354 ، بسنده عن الكليني </w:t>
      </w:r>
      <w:r>
        <w:rPr>
          <w:rFonts w:hint="cs"/>
          <w:rtl/>
        </w:rPr>
        <w:t>.</w:t>
      </w:r>
      <w:r w:rsidRPr="009D1ACE">
        <w:rPr>
          <w:rStyle w:val="libFootnoteBoldChar"/>
          <w:rtl/>
        </w:rPr>
        <w:t>الوافي</w:t>
      </w:r>
      <w:r w:rsidRPr="00132E65">
        <w:rPr>
          <w:rtl/>
        </w:rPr>
        <w:t xml:space="preserve"> ، ج 2 ، ص 402 ، ح 900.</w:t>
      </w:r>
    </w:p>
    <w:p w:rsidR="000C39D1" w:rsidRPr="00132E65" w:rsidRDefault="000C39D1" w:rsidP="000C39D1">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الحجّة ، باب الإشارة والنصّ إلى صاحب الدار </w:t>
      </w:r>
      <w:r w:rsidRPr="001430E8">
        <w:rPr>
          <w:rStyle w:val="libFootnoteAlaemChar"/>
          <w:rtl/>
        </w:rPr>
        <w:t>عليه‌السلام</w:t>
      </w:r>
      <w:r w:rsidRPr="00132E65">
        <w:rPr>
          <w:rtl/>
        </w:rPr>
        <w:t xml:space="preserve"> ، ح 868 ؛ وباب مولد الصاحب </w:t>
      </w:r>
      <w:r w:rsidRPr="001430E8">
        <w:rPr>
          <w:rStyle w:val="libFootnoteAlaemChar"/>
          <w:rtl/>
        </w:rPr>
        <w:t>عليه‌السلام</w:t>
      </w:r>
      <w:r w:rsidRPr="00132E65">
        <w:rPr>
          <w:rtl/>
        </w:rPr>
        <w:t xml:space="preserve"> ، ح 1358 ، وفيهما تفصيل الخبر. وراجع أيضاً المصادر التي ذكرناها ذيلهما </w:t>
      </w:r>
      <w:r>
        <w:rPr>
          <w:rFonts w:hint="cs"/>
          <w:rtl/>
        </w:rPr>
        <w:t>.</w:t>
      </w:r>
      <w:r w:rsidRPr="009D1ACE">
        <w:rPr>
          <w:rStyle w:val="libFootnoteBoldChar"/>
          <w:rtl/>
        </w:rPr>
        <w:t>الوافي</w:t>
      </w:r>
      <w:r w:rsidRPr="00132E65">
        <w:rPr>
          <w:rtl/>
        </w:rPr>
        <w:t xml:space="preserve"> ، ج 2 ، ص 398 ، ح 890.</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ب ، ه‍ ، بر ، بف »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إلى »</w:t>
            </w:r>
            <w:r>
              <w:rPr>
                <w:rtl/>
              </w:rPr>
              <w:t>.</w:t>
            </w:r>
          </w:p>
        </w:tc>
      </w:tr>
      <w:tr w:rsidR="000C39D1" w:rsidTr="00B53873">
        <w:tc>
          <w:tcPr>
            <w:tcW w:w="4006" w:type="dxa"/>
          </w:tcPr>
          <w:p w:rsidR="000C39D1" w:rsidRDefault="000C39D1" w:rsidP="00B53873">
            <w:pPr>
              <w:pStyle w:val="libFootnote0"/>
              <w:rPr>
                <w:rtl/>
              </w:rPr>
            </w:pPr>
            <w:r>
              <w:rPr>
                <w:rtl/>
              </w:rPr>
              <w:t>(6).</w:t>
            </w:r>
            <w:r w:rsidRPr="00132E65">
              <w:rPr>
                <w:rtl/>
              </w:rPr>
              <w:t xml:space="preserve"> في « ه‍ ، بف » : « مائة »</w:t>
            </w:r>
            <w:r>
              <w:rPr>
                <w:rtl/>
              </w:rPr>
              <w:t>.</w:t>
            </w:r>
          </w:p>
        </w:tc>
        <w:tc>
          <w:tcPr>
            <w:tcW w:w="4006" w:type="dxa"/>
          </w:tcPr>
          <w:p w:rsidR="000C39D1" w:rsidRDefault="000C39D1" w:rsidP="00B53873">
            <w:pPr>
              <w:pStyle w:val="libFootnote0"/>
              <w:rPr>
                <w:rtl/>
              </w:rPr>
            </w:pPr>
            <w:r>
              <w:rPr>
                <w:rtl/>
              </w:rPr>
              <w:t>(7).</w:t>
            </w:r>
            <w:r w:rsidRPr="00132E65">
              <w:rPr>
                <w:rtl/>
              </w:rPr>
              <w:t xml:space="preserve"> في « بح » : « فناوله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وَغَابَ عَنَّا.</w:t>
      </w:r>
    </w:p>
    <w:p w:rsidR="000C39D1" w:rsidRPr="00132E65" w:rsidRDefault="000C39D1" w:rsidP="000C39D1">
      <w:pPr>
        <w:pStyle w:val="libNormal"/>
        <w:rPr>
          <w:rtl/>
          <w:lang w:bidi="fa-IR"/>
        </w:rPr>
      </w:pPr>
      <w:r w:rsidRPr="00132E65">
        <w:rPr>
          <w:rtl/>
          <w:lang w:bidi="fa-IR"/>
        </w:rPr>
        <w:t xml:space="preserve">فَدَنَوْنَا مِنَ السَّائِلِ ، فَقُلْنَا </w:t>
      </w:r>
      <w:r>
        <w:rPr>
          <w:rStyle w:val="libFootnotenumChar"/>
          <w:rtl/>
        </w:rPr>
        <w:t>(1)</w:t>
      </w:r>
      <w:r w:rsidRPr="00132E65">
        <w:rPr>
          <w:rtl/>
          <w:lang w:bidi="fa-IR"/>
        </w:rPr>
        <w:t xml:space="preserve"> لَهُ : و</w:t>
      </w:r>
      <w:r>
        <w:rPr>
          <w:rFonts w:hint="cs"/>
          <w:rtl/>
          <w:lang w:bidi="fa-IR"/>
        </w:rPr>
        <w:t>َ</w:t>
      </w:r>
      <w:r w:rsidRPr="00132E65">
        <w:rPr>
          <w:rtl/>
          <w:lang w:bidi="fa-IR"/>
        </w:rPr>
        <w:t xml:space="preserve">يْحَكَ </w:t>
      </w:r>
      <w:r>
        <w:rPr>
          <w:rStyle w:val="libFootnotenumChar"/>
          <w:rtl/>
        </w:rPr>
        <w:t>(2)</w:t>
      </w:r>
      <w:r w:rsidRPr="00132E65">
        <w:rPr>
          <w:rtl/>
          <w:lang w:bidi="fa-IR"/>
        </w:rPr>
        <w:t xml:space="preserve"> ، مَا أَعْطَاكَ</w:t>
      </w:r>
      <w:r>
        <w:rPr>
          <w:rtl/>
          <w:lang w:bidi="fa-IR"/>
        </w:rPr>
        <w:t>؟</w:t>
      </w:r>
      <w:r w:rsidRPr="00132E65">
        <w:rPr>
          <w:rtl/>
          <w:lang w:bidi="fa-IR"/>
        </w:rPr>
        <w:t xml:space="preserve"> فَأَرَانَا حَصَاةَ ذَهَبٍ مُضَرَّسَةً </w:t>
      </w:r>
      <w:r>
        <w:rPr>
          <w:rStyle w:val="libFootnotenumChar"/>
          <w:rtl/>
        </w:rPr>
        <w:t>(3)</w:t>
      </w:r>
      <w:r>
        <w:rPr>
          <w:rtl/>
          <w:lang w:bidi="fa-IR"/>
        </w:rPr>
        <w:t xml:space="preserve"> - </w:t>
      </w:r>
      <w:r w:rsidRPr="00132E65">
        <w:rPr>
          <w:rtl/>
          <w:lang w:bidi="fa-IR"/>
        </w:rPr>
        <w:t>قَدَّرْنَاهَا عِشْرِينَ مِثْقَالاً</w:t>
      </w:r>
      <w:r>
        <w:rPr>
          <w:rtl/>
          <w:lang w:bidi="fa-IR"/>
        </w:rPr>
        <w:t xml:space="preserve"> - </w:t>
      </w:r>
      <w:r w:rsidRPr="00132E65">
        <w:rPr>
          <w:rtl/>
          <w:lang w:bidi="fa-IR"/>
        </w:rPr>
        <w:t>فَقُلْتُ لِصَاحِبِي : مَوْلَانَا عِنْدَنَا و</w:t>
      </w:r>
      <w:r>
        <w:rPr>
          <w:rFonts w:hint="cs"/>
          <w:rtl/>
          <w:lang w:bidi="fa-IR"/>
        </w:rPr>
        <w:t xml:space="preserve">َ </w:t>
      </w:r>
      <w:r w:rsidRPr="00132E65">
        <w:rPr>
          <w:rtl/>
          <w:lang w:bidi="fa-IR"/>
        </w:rPr>
        <w:t>نَحْنُ لَانَدْرِي.</w:t>
      </w:r>
    </w:p>
    <w:p w:rsidR="000C39D1" w:rsidRPr="00132E65" w:rsidRDefault="000C39D1" w:rsidP="000C39D1">
      <w:pPr>
        <w:pStyle w:val="libNormal"/>
        <w:rPr>
          <w:rtl/>
          <w:lang w:bidi="fa-IR"/>
        </w:rPr>
      </w:pPr>
      <w:r w:rsidRPr="00132E65">
        <w:rPr>
          <w:rtl/>
          <w:lang w:bidi="fa-IR"/>
        </w:rPr>
        <w:t xml:space="preserve">ثُمَّ ذَهَبْنَا </w:t>
      </w:r>
      <w:r>
        <w:rPr>
          <w:rStyle w:val="libFootnotenumChar"/>
          <w:rtl/>
        </w:rPr>
        <w:t>(4)</w:t>
      </w:r>
      <w:r w:rsidRPr="00132E65">
        <w:rPr>
          <w:rtl/>
          <w:lang w:bidi="fa-IR"/>
        </w:rPr>
        <w:t xml:space="preserve"> فِي طَلَبِهِ ، فَدُرْنَا الْمَوْقِفَ كُلَّهُ ، فَلَمْ نَقْدِرْ عَلَيْهِ ، فَسَأَلْنَا </w:t>
      </w:r>
      <w:r>
        <w:rPr>
          <w:rStyle w:val="libFootnotenumChar"/>
          <w:rtl/>
        </w:rPr>
        <w:t>(5)</w:t>
      </w:r>
      <w:r w:rsidRPr="00132E65">
        <w:rPr>
          <w:rtl/>
          <w:lang w:bidi="fa-IR"/>
        </w:rPr>
        <w:t xml:space="preserve"> مَنْ كَانَ حَوْلَهُ مِنْ أَهْلِ مَكَّةَ و</w:t>
      </w:r>
      <w:r>
        <w:rPr>
          <w:rFonts w:hint="cs"/>
          <w:rtl/>
          <w:lang w:bidi="fa-IR"/>
        </w:rPr>
        <w:t xml:space="preserve">َ </w:t>
      </w:r>
      <w:r w:rsidRPr="00132E65">
        <w:rPr>
          <w:rtl/>
          <w:lang w:bidi="fa-IR"/>
        </w:rPr>
        <w:t xml:space="preserve">الْمَدِينَةِ ، فَقَالُوا : شَابٌّ عَلَوِيٌّ يَحُجُّ فِي كُلِّ سَنَةٍ مَاشِياً. </w:t>
      </w:r>
      <w:r>
        <w:rPr>
          <w:rStyle w:val="libFootnotenumChar"/>
          <w:rtl/>
        </w:rPr>
        <w:t>(6)</w:t>
      </w:r>
      <w:r w:rsidRPr="00132E65">
        <w:rPr>
          <w:rtl/>
          <w:lang w:bidi="fa-IR"/>
        </w:rPr>
        <w:t xml:space="preserve"> ‌</w:t>
      </w:r>
    </w:p>
    <w:p w:rsidR="000C39D1" w:rsidRPr="00132E65" w:rsidRDefault="000C39D1" w:rsidP="000C39D1">
      <w:pPr>
        <w:pStyle w:val="Heading2Center"/>
        <w:rPr>
          <w:rtl/>
          <w:lang w:bidi="fa-IR"/>
        </w:rPr>
      </w:pPr>
      <w:bookmarkStart w:id="37" w:name="_Toc459459106"/>
      <w:bookmarkStart w:id="38" w:name="_Toc34663075"/>
      <w:r w:rsidRPr="00132E65">
        <w:rPr>
          <w:rtl/>
          <w:lang w:bidi="fa-IR"/>
        </w:rPr>
        <w:t>78</w:t>
      </w:r>
      <w:r>
        <w:rPr>
          <w:rtl/>
          <w:lang w:bidi="fa-IR"/>
        </w:rPr>
        <w:t xml:space="preserve"> - </w:t>
      </w:r>
      <w:r w:rsidRPr="00132E65">
        <w:rPr>
          <w:rtl/>
          <w:lang w:bidi="fa-IR"/>
        </w:rPr>
        <w:t>بَابٌ فِي النَّهْيِ عَنِ الِاسْمِ‌</w:t>
      </w:r>
      <w:bookmarkEnd w:id="37"/>
      <w:bookmarkEnd w:id="38"/>
    </w:p>
    <w:p w:rsidR="000C39D1" w:rsidRPr="00132E65" w:rsidRDefault="000C39D1" w:rsidP="000C39D1">
      <w:pPr>
        <w:pStyle w:val="libNormal"/>
        <w:rPr>
          <w:rtl/>
          <w:lang w:bidi="fa-IR"/>
        </w:rPr>
      </w:pPr>
      <w:r w:rsidRPr="00975ABB">
        <w:rPr>
          <w:rtl/>
        </w:rPr>
        <w:t>884</w:t>
      </w:r>
      <w:r w:rsidRPr="004325D8">
        <w:rPr>
          <w:rStyle w:val="libBold2Char"/>
          <w:rtl/>
        </w:rPr>
        <w:t xml:space="preserve"> / 1.</w:t>
      </w:r>
      <w:r w:rsidRPr="00132E65">
        <w:rPr>
          <w:rtl/>
          <w:lang w:bidi="fa-IR"/>
        </w:rPr>
        <w:t xml:space="preserve"> عَلِيُّ بْنُ مُحَمَّدٍ ، عَمَّنْ ذَكَرَهُ ، عَنْ مُحَمَّدِ بْنِ أَحْمَدَ الْعَلَوِيِّ ، عَنْ دَاوُدَ بْنِ الْقَاسِمِ الْجَعْفَرِيِّ ، قَالَ :</w:t>
      </w:r>
    </w:p>
    <w:p w:rsidR="000C39D1" w:rsidRPr="00132E65" w:rsidRDefault="000C39D1" w:rsidP="000C39D1">
      <w:pPr>
        <w:pStyle w:val="libNormal"/>
        <w:rPr>
          <w:rtl/>
          <w:lang w:bidi="fa-IR"/>
        </w:rPr>
      </w:pPr>
      <w:r w:rsidRPr="00132E65">
        <w:rPr>
          <w:rtl/>
          <w:lang w:bidi="fa-IR"/>
        </w:rPr>
        <w:t xml:space="preserve">سَمِعْتُ أَبَا الْحَسَنِ الْعَسْكَرِيَّ </w:t>
      </w:r>
      <w:r w:rsidRPr="00071CF9">
        <w:rPr>
          <w:rStyle w:val="libAlaemChar"/>
          <w:rtl/>
        </w:rPr>
        <w:t>عليه‌السلام</w:t>
      </w:r>
      <w:r w:rsidRPr="00132E65">
        <w:rPr>
          <w:rtl/>
          <w:lang w:bidi="fa-IR"/>
        </w:rPr>
        <w:t xml:space="preserve"> </w:t>
      </w:r>
      <w:r>
        <w:rPr>
          <w:rStyle w:val="libFootnotenumChar"/>
          <w:rtl/>
        </w:rPr>
        <w:t>(7)</w:t>
      </w:r>
      <w:r w:rsidRPr="00132E65">
        <w:rPr>
          <w:rtl/>
          <w:lang w:bidi="fa-IR"/>
        </w:rPr>
        <w:t xml:space="preserve"> يَقُولُ : « الْخَلَفُ </w:t>
      </w:r>
      <w:r>
        <w:rPr>
          <w:rStyle w:val="libFootnotenumChar"/>
          <w:rtl/>
        </w:rPr>
        <w:t>(8)</w:t>
      </w:r>
      <w:r w:rsidRPr="00132E65">
        <w:rPr>
          <w:rtl/>
          <w:lang w:bidi="fa-IR"/>
        </w:rPr>
        <w:t xml:space="preserve"> مِنْ بَعْدِي الْحَسَنُ ، فَكَيْفَ لَكُمْ بِالْخَلَفِ مِنْ بَعْدِ الْخَلَفِ</w:t>
      </w:r>
      <w:r>
        <w:rPr>
          <w:rtl/>
          <w:lang w:bidi="fa-IR"/>
        </w:rPr>
        <w:t>؟</w:t>
      </w:r>
      <w:r w:rsidRPr="00132E65">
        <w:rPr>
          <w:rtl/>
          <w:lang w:bidi="fa-IR"/>
        </w:rPr>
        <w:t xml:space="preserve"> »</w:t>
      </w:r>
      <w:r>
        <w:rPr>
          <w:rtl/>
          <w:lang w:bidi="fa-IR"/>
        </w:rPr>
        <w:t>.</w:t>
      </w:r>
      <w:r w:rsidRPr="00132E65">
        <w:rPr>
          <w:rtl/>
          <w:lang w:bidi="fa-IR"/>
        </w:rPr>
        <w:t xml:space="preserve"> فَقُلْتُ </w:t>
      </w:r>
      <w:r>
        <w:rPr>
          <w:rStyle w:val="libFootnotenumChar"/>
          <w:rtl/>
        </w:rPr>
        <w:t>(9)</w:t>
      </w:r>
      <w:r w:rsidRPr="00132E65">
        <w:rPr>
          <w:rtl/>
          <w:lang w:bidi="fa-IR"/>
        </w:rPr>
        <w:t xml:space="preserve"> : و</w:t>
      </w:r>
      <w:r>
        <w:rPr>
          <w:rFonts w:hint="cs"/>
          <w:rtl/>
          <w:lang w:bidi="fa-IR"/>
        </w:rPr>
        <w:t xml:space="preserve">َ </w:t>
      </w:r>
      <w:r w:rsidRPr="00132E65">
        <w:rPr>
          <w:rtl/>
          <w:lang w:bidi="fa-IR"/>
        </w:rPr>
        <w:t>لِمَ جَعَلَنِيَ اللهُ فِدَاكَ</w:t>
      </w:r>
      <w:r>
        <w:rPr>
          <w:rtl/>
          <w:lang w:bidi="fa-IR"/>
        </w:rPr>
        <w:t>؟</w:t>
      </w:r>
      <w:r w:rsidRPr="00132E65">
        <w:rPr>
          <w:rtl/>
          <w:lang w:bidi="fa-IR"/>
        </w:rPr>
        <w:t xml:space="preserve"> قَالَ </w:t>
      </w:r>
      <w:r>
        <w:rPr>
          <w:rStyle w:val="libFootnotenumChar"/>
          <w:rtl/>
        </w:rPr>
        <w:t>(10)</w:t>
      </w:r>
      <w:r w:rsidRPr="00132E65">
        <w:rPr>
          <w:rtl/>
          <w:lang w:bidi="fa-IR"/>
        </w:rPr>
        <w:t xml:space="preserve"> : « إِنَّكُمْ </w:t>
      </w:r>
      <w:r>
        <w:rPr>
          <w:rStyle w:val="libFootnotenumChar"/>
          <w:rtl/>
        </w:rPr>
        <w:t>(11)</w:t>
      </w:r>
      <w:r w:rsidRPr="00132E65">
        <w:rPr>
          <w:rtl/>
          <w:lang w:bidi="fa-IR"/>
        </w:rPr>
        <w:t xml:space="preserve"> لَاتَرَوْنَ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فقلت »</w:t>
      </w:r>
      <w:r>
        <w:rPr>
          <w:rtl/>
        </w:rPr>
        <w:t>.</w:t>
      </w:r>
    </w:p>
    <w:p w:rsidR="000C39D1" w:rsidRPr="00132E65" w:rsidRDefault="000C39D1" w:rsidP="000C39D1">
      <w:pPr>
        <w:pStyle w:val="libFootnote0"/>
        <w:rPr>
          <w:rtl/>
          <w:lang w:bidi="fa-IR"/>
        </w:rPr>
      </w:pPr>
      <w:r>
        <w:rPr>
          <w:rtl/>
        </w:rPr>
        <w:t>(2).</w:t>
      </w:r>
      <w:r w:rsidRPr="00132E65">
        <w:rPr>
          <w:rtl/>
        </w:rPr>
        <w:t xml:space="preserve"> قال ابن الأثير : « وَيْحَ كلمة ترحّم وتوجّع ، يقال لمن وقع في هَلَكة لا يستحقّها ، وقد يقال بمعنى المدح والتعجّب. </w:t>
      </w:r>
      <w:r w:rsidRPr="00975ABB">
        <w:rPr>
          <w:rtl/>
        </w:rPr>
        <w:t>النهاية</w:t>
      </w:r>
      <w:r w:rsidRPr="00132E65">
        <w:rPr>
          <w:rtl/>
        </w:rPr>
        <w:t xml:space="preserve"> ، ج 5 ، ص 235 ( ويح )</w:t>
      </w:r>
      <w:r>
        <w:rPr>
          <w:rtl/>
        </w:rPr>
        <w:t>.</w:t>
      </w:r>
    </w:p>
    <w:p w:rsidR="001C701C" w:rsidRDefault="000C39D1" w:rsidP="001C701C">
      <w:pPr>
        <w:pStyle w:val="libFootnote0"/>
        <w:rPr>
          <w:rtl/>
        </w:rPr>
      </w:pPr>
      <w:r>
        <w:rPr>
          <w:rtl/>
        </w:rPr>
        <w:t>(3).</w:t>
      </w:r>
      <w:r w:rsidRPr="00132E65">
        <w:rPr>
          <w:rtl/>
        </w:rPr>
        <w:t xml:space="preserve"> « مُضَرَّسَة » ، أي ذات أضراس. يقال : حَرَّةٌ مُضَرَّسةٌ ومضروسة : فيها حجارة كأضراس الكلاب. ويقال : حَصاة مضرّسة ، أي غير متساوية الجسم. راجع : </w:t>
      </w:r>
      <w:r w:rsidRPr="00975ABB">
        <w:rPr>
          <w:rtl/>
        </w:rPr>
        <w:t>الصحاح</w:t>
      </w:r>
      <w:r w:rsidRPr="00132E65">
        <w:rPr>
          <w:rtl/>
        </w:rPr>
        <w:t xml:space="preserve"> ، ج 3 ، ص 942 ؛ </w:t>
      </w:r>
      <w:r w:rsidRPr="00975ABB">
        <w:rPr>
          <w:rtl/>
        </w:rPr>
        <w:t>مجمع البحرين</w:t>
      </w:r>
      <w:r w:rsidRPr="00132E65">
        <w:rPr>
          <w:rtl/>
        </w:rPr>
        <w:t xml:space="preserve"> ، ج 4 ، ص 581 ( ضرس )</w:t>
      </w:r>
      <w:r>
        <w:rPr>
          <w:rtl/>
        </w:rPr>
        <w:t>.</w:t>
      </w:r>
    </w:p>
    <w:p w:rsidR="000C39D1" w:rsidRPr="00132E65" w:rsidRDefault="000C39D1" w:rsidP="001C701C">
      <w:pPr>
        <w:pStyle w:val="libFootnote0"/>
        <w:rPr>
          <w:rtl/>
          <w:lang w:bidi="fa-IR"/>
        </w:rPr>
      </w:pPr>
      <w:r>
        <w:rPr>
          <w:rtl/>
        </w:rPr>
        <w:t>(4).</w:t>
      </w:r>
      <w:r w:rsidRPr="00132E65">
        <w:rPr>
          <w:rtl/>
        </w:rPr>
        <w:t xml:space="preserve"> في « بر » : « فذهبنا »</w:t>
      </w:r>
      <w:r>
        <w:rPr>
          <w:rtl/>
        </w:rPr>
        <w:t>.</w:t>
      </w:r>
    </w:p>
    <w:p w:rsidR="000C39D1" w:rsidRPr="00132E65" w:rsidRDefault="000C39D1" w:rsidP="000C39D1">
      <w:pPr>
        <w:pStyle w:val="libFootnote0"/>
        <w:rPr>
          <w:rtl/>
          <w:lang w:bidi="fa-IR"/>
        </w:rPr>
      </w:pPr>
      <w:r>
        <w:rPr>
          <w:rtl/>
        </w:rPr>
        <w:t>(5).</w:t>
      </w:r>
      <w:r w:rsidRPr="00132E65">
        <w:rPr>
          <w:rtl/>
        </w:rPr>
        <w:t xml:space="preserve"> هكذا في أكثر النسخ و</w:t>
      </w:r>
      <w:r w:rsidRPr="009D1ACE">
        <w:rPr>
          <w:rStyle w:val="libFootnoteBoldChar"/>
          <w:rtl/>
        </w:rPr>
        <w:t>الوافي</w:t>
      </w:r>
      <w:r w:rsidRPr="00132E65">
        <w:rPr>
          <w:rtl/>
        </w:rPr>
        <w:t>. وفي المطبوع :</w:t>
      </w:r>
      <w:r>
        <w:rPr>
          <w:rtl/>
        </w:rPr>
        <w:t xml:space="preserve"> + </w:t>
      </w:r>
      <w:r w:rsidRPr="00132E65">
        <w:rPr>
          <w:rtl/>
        </w:rPr>
        <w:t>« كلّ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2 ، ص 401 ، ح 899.</w:t>
            </w:r>
          </w:p>
        </w:tc>
        <w:tc>
          <w:tcPr>
            <w:tcW w:w="4006" w:type="dxa"/>
          </w:tcPr>
          <w:p w:rsidR="000C39D1" w:rsidRDefault="000C39D1" w:rsidP="00B53873">
            <w:pPr>
              <w:pStyle w:val="libFootnote0"/>
              <w:rPr>
                <w:rtl/>
              </w:rPr>
            </w:pPr>
            <w:r>
              <w:rPr>
                <w:rtl/>
              </w:rPr>
              <w:t>(7). في « ه</w:t>
            </w:r>
            <w:r>
              <w:rPr>
                <w:rFonts w:hint="cs"/>
                <w:rtl/>
              </w:rPr>
              <w:t xml:space="preserve"> </w:t>
            </w:r>
            <w:r w:rsidRPr="00132E65">
              <w:rPr>
                <w:rtl/>
              </w:rPr>
              <w:t xml:space="preserve">» </w:t>
            </w:r>
            <w:r>
              <w:rPr>
                <w:rtl/>
              </w:rPr>
              <w:t xml:space="preserve">: - </w:t>
            </w:r>
            <w:r w:rsidRPr="00132E65">
              <w:rPr>
                <w:rtl/>
              </w:rPr>
              <w:t xml:space="preserve">« العسكري </w:t>
            </w:r>
            <w:r w:rsidRPr="00B5741F">
              <w:rPr>
                <w:rStyle w:val="libFootnoteAlaemChar"/>
                <w:rtl/>
              </w:rPr>
              <w:t>عليه‌السلام</w:t>
            </w:r>
            <w:r w:rsidRPr="00132E65">
              <w:rPr>
                <w:rtl/>
              </w:rPr>
              <w:t xml:space="preserve"> »</w:t>
            </w:r>
            <w:r>
              <w:rPr>
                <w:rtl/>
              </w:rPr>
              <w:t>.</w:t>
            </w:r>
          </w:p>
        </w:tc>
      </w:tr>
    </w:tbl>
    <w:p w:rsidR="000C39D1" w:rsidRPr="00132E65" w:rsidRDefault="000C39D1" w:rsidP="000C39D1">
      <w:pPr>
        <w:pStyle w:val="libFootnote0"/>
        <w:rPr>
          <w:rtl/>
          <w:lang w:bidi="fa-IR"/>
        </w:rPr>
      </w:pPr>
      <w:r>
        <w:rPr>
          <w:rtl/>
        </w:rPr>
        <w:t>(8).</w:t>
      </w:r>
      <w:r w:rsidRPr="00132E65">
        <w:rPr>
          <w:rtl/>
        </w:rPr>
        <w:t xml:space="preserve"> قال ابن الأثير : « الخَلَف بالتحريك والتسكين </w:t>
      </w:r>
      <w:r>
        <w:rPr>
          <w:rtl/>
        </w:rPr>
        <w:t>: كلّ من يجي‌ء بعد من مضى ، إل</w:t>
      </w:r>
      <w:r>
        <w:rPr>
          <w:rFonts w:hint="cs"/>
          <w:rtl/>
        </w:rPr>
        <w:t>ّ</w:t>
      </w:r>
      <w:r>
        <w:rPr>
          <w:rtl/>
        </w:rPr>
        <w:t>ا</w:t>
      </w:r>
      <w:r>
        <w:rPr>
          <w:rFonts w:hint="cs"/>
          <w:rtl/>
        </w:rPr>
        <w:t xml:space="preserve"> </w:t>
      </w:r>
      <w:r w:rsidRPr="00132E65">
        <w:rPr>
          <w:rtl/>
        </w:rPr>
        <w:t>أنّه بالتحريك في الخير ، وبالتسكين في الشرّ ، يقال : خَلَف صدق ، وخَلْف سوء. ومعناهما جميعاً القَرْن من الناس »</w:t>
      </w:r>
      <w:r>
        <w:rPr>
          <w:rtl/>
        </w:rPr>
        <w:t>.</w:t>
      </w:r>
      <w:r w:rsidRPr="00132E65">
        <w:rPr>
          <w:rtl/>
        </w:rPr>
        <w:t xml:space="preserve"> </w:t>
      </w:r>
      <w:r w:rsidRPr="00975ABB">
        <w:rPr>
          <w:rtl/>
        </w:rPr>
        <w:t>النهاية</w:t>
      </w:r>
      <w:r w:rsidRPr="00132E65">
        <w:rPr>
          <w:rtl/>
        </w:rPr>
        <w:t xml:space="preserve"> ، ج 2 ، ص 66 ( خلف )</w:t>
      </w:r>
      <w:r>
        <w:rPr>
          <w:rtl/>
        </w:rPr>
        <w:t>.</w:t>
      </w:r>
    </w:p>
    <w:p w:rsidR="000C39D1" w:rsidRPr="00132E65" w:rsidRDefault="000C39D1" w:rsidP="000C39D1">
      <w:pPr>
        <w:pStyle w:val="libFootnote0"/>
        <w:rPr>
          <w:rtl/>
          <w:lang w:bidi="fa-IR"/>
        </w:rPr>
      </w:pPr>
      <w:r>
        <w:rPr>
          <w:rtl/>
        </w:rPr>
        <w:t>(9).</w:t>
      </w:r>
      <w:r w:rsidRPr="00132E65">
        <w:rPr>
          <w:rtl/>
        </w:rPr>
        <w:t xml:space="preserve"> في الوسائل والعلل وكمال الدين ، ص 648 ، والإرشاد ، ص 349 : « قلت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0577A7">
        <w:rPr>
          <w:rStyle w:val="libFootnoteBoldChar"/>
          <w:rtl/>
        </w:rPr>
        <w:t>الكافي</w:t>
      </w:r>
      <w:r w:rsidRPr="00132E65">
        <w:rPr>
          <w:rtl/>
        </w:rPr>
        <w:t xml:space="preserve"> ، ح 862 والعلل وكمال الدين ، ص 381 والإرشاد وكفاية الأثر والغيبة : « فقال »</w:t>
      </w:r>
      <w:r>
        <w:rPr>
          <w:rtl/>
        </w:rPr>
        <w:t>.</w:t>
      </w:r>
    </w:p>
    <w:p w:rsidR="000C39D1" w:rsidRPr="00132E65" w:rsidRDefault="000C39D1" w:rsidP="000C39D1">
      <w:pPr>
        <w:pStyle w:val="libFootnote0"/>
        <w:rPr>
          <w:rtl/>
          <w:lang w:bidi="fa-IR"/>
        </w:rPr>
      </w:pPr>
      <w:r>
        <w:rPr>
          <w:rtl/>
        </w:rPr>
        <w:t>(11).</w:t>
      </w:r>
      <w:r w:rsidRPr="00132E65">
        <w:rPr>
          <w:rtl/>
        </w:rPr>
        <w:t xml:space="preserve"> والوسائل والعلل وكمال الدين ، ص 318 </w:t>
      </w:r>
      <w:r>
        <w:rPr>
          <w:rtl/>
        </w:rPr>
        <w:t>و 6</w:t>
      </w:r>
      <w:r w:rsidRPr="00132E65">
        <w:rPr>
          <w:rtl/>
        </w:rPr>
        <w:t>48 والإرشاد ، ص 349 وكفاية الأثر والغيبة : « لأنّكم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شَخْصَهُ ، ولَايَحِلُّ لَكُمْ ذِكْرُهُ بِاسْمِهِ »</w:t>
      </w:r>
      <w:r>
        <w:rPr>
          <w:rtl/>
          <w:lang w:bidi="fa-IR"/>
        </w:rPr>
        <w:t>.</w:t>
      </w:r>
    </w:p>
    <w:p w:rsidR="000C39D1" w:rsidRPr="00132E65" w:rsidRDefault="000C39D1" w:rsidP="000C39D1">
      <w:pPr>
        <w:pStyle w:val="libNormal"/>
        <w:rPr>
          <w:rtl/>
          <w:lang w:bidi="fa-IR"/>
        </w:rPr>
      </w:pPr>
      <w:r w:rsidRPr="00132E65">
        <w:rPr>
          <w:rtl/>
          <w:lang w:bidi="fa-IR"/>
        </w:rPr>
        <w:t xml:space="preserve">فَقُلْتُ </w:t>
      </w:r>
      <w:r>
        <w:rPr>
          <w:rStyle w:val="libFootnotenumChar"/>
          <w:rtl/>
        </w:rPr>
        <w:t>(1)</w:t>
      </w:r>
      <w:r w:rsidRPr="00132E65">
        <w:rPr>
          <w:rtl/>
          <w:lang w:bidi="fa-IR"/>
        </w:rPr>
        <w:t xml:space="preserve"> : فَكَيْفَ </w:t>
      </w:r>
      <w:r>
        <w:rPr>
          <w:rStyle w:val="libFootnotenumChar"/>
          <w:rtl/>
        </w:rPr>
        <w:t>(2)</w:t>
      </w:r>
      <w:r w:rsidRPr="00132E65">
        <w:rPr>
          <w:rtl/>
          <w:lang w:bidi="fa-IR"/>
        </w:rPr>
        <w:t xml:space="preserve"> نَذْكُرُهُ</w:t>
      </w:r>
      <w:r>
        <w:rPr>
          <w:rtl/>
          <w:lang w:bidi="fa-IR"/>
        </w:rPr>
        <w:t>؟</w:t>
      </w:r>
      <w:r w:rsidRPr="00132E65">
        <w:rPr>
          <w:rtl/>
          <w:lang w:bidi="fa-IR"/>
        </w:rPr>
        <w:t xml:space="preserve"> فَقَالَ </w:t>
      </w:r>
      <w:r>
        <w:rPr>
          <w:rStyle w:val="libFootnotenumChar"/>
          <w:rtl/>
        </w:rPr>
        <w:t>(3)</w:t>
      </w:r>
      <w:r w:rsidRPr="00132E65">
        <w:rPr>
          <w:rtl/>
          <w:lang w:bidi="fa-IR"/>
        </w:rPr>
        <w:t xml:space="preserve"> : « قُولُوا : الْحُجَّةُ مِنْ آلِ مُحَمَّدٍ صَلَوَاتُ اللهِ عَلَيْهِ وَسَلَامُهُ </w:t>
      </w:r>
      <w:r>
        <w:rPr>
          <w:rStyle w:val="libFootnotenumChar"/>
          <w:rtl/>
        </w:rPr>
        <w:t>(4)</w:t>
      </w:r>
      <w:r w:rsidRPr="00132E65">
        <w:rPr>
          <w:rtl/>
          <w:lang w:bidi="fa-IR"/>
        </w:rPr>
        <w:t>»</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975ABB">
        <w:rPr>
          <w:rtl/>
        </w:rPr>
        <w:t>885</w:t>
      </w:r>
      <w:r w:rsidRPr="004325D8">
        <w:rPr>
          <w:rStyle w:val="libBold2Char"/>
          <w:rtl/>
        </w:rPr>
        <w:t xml:space="preserve"> / 2.</w:t>
      </w:r>
      <w:r w:rsidRPr="00132E65">
        <w:rPr>
          <w:rtl/>
          <w:lang w:bidi="fa-IR"/>
        </w:rPr>
        <w:t xml:space="preserve"> عَلِيُّ بْنُ مُحَمَّدٍ ، عَنْ أَبِي عَبْدِ اللهِ الصَّالِحِيِّ ، قَالَ :</w:t>
      </w:r>
    </w:p>
    <w:p w:rsidR="000C39D1" w:rsidRPr="00132E65" w:rsidRDefault="000C39D1" w:rsidP="000C39D1">
      <w:pPr>
        <w:pStyle w:val="libNormal"/>
        <w:rPr>
          <w:rtl/>
          <w:lang w:bidi="fa-IR"/>
        </w:rPr>
      </w:pPr>
      <w:r w:rsidRPr="00132E65">
        <w:rPr>
          <w:rtl/>
          <w:lang w:bidi="fa-IR"/>
        </w:rPr>
        <w:t xml:space="preserve">سَأَلَنِي أَصْحَابُنَا بَعْدَ مُضِيِّ أَبِي مُحَمَّدٍ </w:t>
      </w:r>
      <w:r w:rsidRPr="00071CF9">
        <w:rPr>
          <w:rStyle w:val="libAlaemChar"/>
          <w:rtl/>
        </w:rPr>
        <w:t>عليه‌السلام</w:t>
      </w:r>
      <w:r w:rsidRPr="00132E65">
        <w:rPr>
          <w:rtl/>
          <w:lang w:bidi="fa-IR"/>
        </w:rPr>
        <w:t xml:space="preserve"> : أَنْ أَسْأَلَ </w:t>
      </w:r>
      <w:r>
        <w:rPr>
          <w:rStyle w:val="libFootnotenumChar"/>
          <w:rtl/>
        </w:rPr>
        <w:t>(6)</w:t>
      </w:r>
      <w:r w:rsidRPr="00132E65">
        <w:rPr>
          <w:rtl/>
          <w:lang w:bidi="fa-IR"/>
        </w:rPr>
        <w:t xml:space="preserve"> عَنِ الِاسْمِ و</w:t>
      </w:r>
      <w:r>
        <w:rPr>
          <w:rFonts w:hint="cs"/>
          <w:rtl/>
          <w:lang w:bidi="fa-IR"/>
        </w:rPr>
        <w:t xml:space="preserve">َ </w:t>
      </w:r>
      <w:r w:rsidRPr="00132E65">
        <w:rPr>
          <w:rtl/>
          <w:lang w:bidi="fa-IR"/>
        </w:rPr>
        <w:t xml:space="preserve">الْمَكَانِ ، فَخَرَجَ الْجَوَابُ : « إِنْ دَلَلْتُهُمْ </w:t>
      </w:r>
      <w:r>
        <w:rPr>
          <w:rStyle w:val="libFootnotenumChar"/>
          <w:rtl/>
        </w:rPr>
        <w:t>(7)</w:t>
      </w:r>
      <w:r w:rsidRPr="00132E65">
        <w:rPr>
          <w:rtl/>
          <w:lang w:bidi="fa-IR"/>
        </w:rPr>
        <w:t xml:space="preserve"> عَلَى الِاسْمِ أَذَاعُوهُ </w:t>
      </w:r>
      <w:r>
        <w:rPr>
          <w:rStyle w:val="libFootnotenumChar"/>
          <w:rtl/>
        </w:rPr>
        <w:t>(8)</w:t>
      </w:r>
      <w:r w:rsidRPr="00132E65">
        <w:rPr>
          <w:rtl/>
          <w:lang w:bidi="fa-IR"/>
        </w:rPr>
        <w:t xml:space="preserve"> ، و</w:t>
      </w:r>
      <w:r>
        <w:rPr>
          <w:rFonts w:hint="cs"/>
          <w:rtl/>
          <w:lang w:bidi="fa-IR"/>
        </w:rPr>
        <w:t xml:space="preserve">َ </w:t>
      </w:r>
      <w:r w:rsidRPr="00132E65">
        <w:rPr>
          <w:rtl/>
          <w:lang w:bidi="fa-IR"/>
        </w:rPr>
        <w:t xml:space="preserve">إِنْ عَرَفُوا </w:t>
      </w:r>
      <w:r>
        <w:rPr>
          <w:rStyle w:val="libFootnotenumChar"/>
          <w:rtl/>
        </w:rPr>
        <w:t>(9)</w:t>
      </w:r>
      <w:r w:rsidRPr="00132E65">
        <w:rPr>
          <w:rtl/>
          <w:lang w:bidi="fa-IR"/>
        </w:rPr>
        <w:t xml:space="preserve"> الْمَكَانَ دَلُّوا عَلَيْهِ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975ABB">
        <w:rPr>
          <w:rtl/>
        </w:rPr>
        <w:t>886</w:t>
      </w:r>
      <w:r w:rsidRPr="004325D8">
        <w:rPr>
          <w:rStyle w:val="libBold2Char"/>
          <w:rtl/>
        </w:rPr>
        <w:t xml:space="preserve"> / 3.</w:t>
      </w:r>
      <w:r w:rsidRPr="00132E65">
        <w:rPr>
          <w:rtl/>
          <w:lang w:bidi="fa-IR"/>
        </w:rPr>
        <w:t xml:space="preserve"> عِدَّةٌ مِنْ أَصْحَابِنَا ، عَنْ جَعْفَرِ بْنِ مُحَمَّدٍ ، عَنِ ابْنِ فَضَّالٍ ، عَنِ الر</w:t>
      </w:r>
      <w:r w:rsidR="001C701C">
        <w:rPr>
          <w:rtl/>
          <w:lang w:bidi="fa-IR"/>
        </w:rPr>
        <w:t>َّيَّانِ بْنِ الصَّلْتِ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سَمِعْتُ أَبَا الْحَسَنِ الرِّضَا </w:t>
      </w:r>
      <w:r w:rsidRPr="00071CF9">
        <w:rPr>
          <w:rStyle w:val="libAlaemChar"/>
          <w:rtl/>
        </w:rPr>
        <w:t>عليه‌السلام</w:t>
      </w:r>
      <w:r w:rsidRPr="00132E65">
        <w:rPr>
          <w:rtl/>
          <w:lang w:bidi="fa-IR"/>
        </w:rPr>
        <w:t xml:space="preserve"> يَقُولُ</w:t>
      </w:r>
      <w:r>
        <w:rPr>
          <w:rtl/>
          <w:lang w:bidi="fa-IR"/>
        </w:rPr>
        <w:t xml:space="preserve"> – </w:t>
      </w:r>
      <w:r w:rsidRPr="00132E65">
        <w:rPr>
          <w:rtl/>
          <w:lang w:bidi="fa-IR"/>
        </w:rPr>
        <w:t>و</w:t>
      </w:r>
      <w:r>
        <w:rPr>
          <w:rFonts w:hint="cs"/>
          <w:rtl/>
          <w:lang w:bidi="fa-IR"/>
        </w:rPr>
        <w:t xml:space="preserve">َ </w:t>
      </w:r>
      <w:r w:rsidRPr="00132E65">
        <w:rPr>
          <w:rtl/>
          <w:lang w:bidi="fa-IR"/>
        </w:rPr>
        <w:t xml:space="preserve">سُئِلَ </w:t>
      </w:r>
      <w:r>
        <w:rPr>
          <w:rStyle w:val="libFootnotenumChar"/>
          <w:rtl/>
        </w:rPr>
        <w:t>(11)</w:t>
      </w:r>
      <w:r w:rsidRPr="00132E65">
        <w:rPr>
          <w:rtl/>
          <w:lang w:bidi="fa-IR"/>
        </w:rPr>
        <w:t xml:space="preserve"> عَنِ الْقَائِمِ </w:t>
      </w:r>
      <w:r w:rsidRPr="00071CF9">
        <w:rPr>
          <w:rStyle w:val="libAlaemChar"/>
          <w:rtl/>
        </w:rPr>
        <w:t>عليه‌السلام</w:t>
      </w:r>
      <w:r>
        <w:rPr>
          <w:rtl/>
          <w:lang w:bidi="fa-IR"/>
        </w:rPr>
        <w:t xml:space="preserve"> - </w:t>
      </w:r>
      <w:r w:rsidRPr="00132E65">
        <w:rPr>
          <w:rtl/>
          <w:lang w:bidi="fa-IR"/>
        </w:rPr>
        <w:t>فَقَالَ : « لَا يُرى‌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الوسائل والعلل وكمال الدين ، ص 381 </w:t>
      </w:r>
      <w:r>
        <w:rPr>
          <w:rtl/>
        </w:rPr>
        <w:t>و 6</w:t>
      </w:r>
      <w:r w:rsidRPr="00132E65">
        <w:rPr>
          <w:rtl/>
        </w:rPr>
        <w:t>48 وكفاية الأثر : « قلت »</w:t>
      </w:r>
      <w:r>
        <w:rPr>
          <w:rtl/>
        </w:rPr>
        <w:t>.</w:t>
      </w:r>
    </w:p>
    <w:p w:rsidR="000C39D1" w:rsidRPr="00132E65" w:rsidRDefault="000C39D1" w:rsidP="000C39D1">
      <w:pPr>
        <w:pStyle w:val="libFootnote0"/>
        <w:rPr>
          <w:rtl/>
          <w:lang w:bidi="fa-IR"/>
        </w:rPr>
      </w:pPr>
      <w:r>
        <w:rPr>
          <w:rtl/>
        </w:rPr>
        <w:t>(2).</w:t>
      </w:r>
      <w:r w:rsidRPr="00132E65">
        <w:rPr>
          <w:rtl/>
        </w:rPr>
        <w:t xml:space="preserve"> في الوسائل : « كيف »</w:t>
      </w:r>
      <w:r>
        <w:rPr>
          <w:rtl/>
        </w:rPr>
        <w:t>.</w:t>
      </w:r>
    </w:p>
    <w:p w:rsidR="000C39D1" w:rsidRPr="00132E65" w:rsidRDefault="000C39D1" w:rsidP="000C39D1">
      <w:pPr>
        <w:pStyle w:val="libFootnote0"/>
        <w:rPr>
          <w:rtl/>
          <w:lang w:bidi="fa-IR"/>
        </w:rPr>
      </w:pPr>
      <w:r>
        <w:rPr>
          <w:rtl/>
        </w:rPr>
        <w:t>(3).</w:t>
      </w:r>
      <w:r w:rsidRPr="00132E65">
        <w:rPr>
          <w:rtl/>
        </w:rPr>
        <w:t xml:space="preserve"> في « بف ، بر » والوسائل وكمال الدين ، ص 381 والإرشاد ، ص 349 وكفاية الأثر : « قال »</w:t>
      </w:r>
      <w:r>
        <w:rPr>
          <w:rtl/>
        </w:rPr>
        <w:t>.</w:t>
      </w:r>
    </w:p>
    <w:p w:rsidR="000C39D1" w:rsidRPr="00132E65" w:rsidRDefault="000C39D1" w:rsidP="000C39D1">
      <w:pPr>
        <w:pStyle w:val="libFootnote0"/>
        <w:rPr>
          <w:rtl/>
          <w:lang w:bidi="fa-IR"/>
        </w:rPr>
      </w:pPr>
      <w:r>
        <w:rPr>
          <w:rtl/>
        </w:rPr>
        <w:t>(4).</w:t>
      </w:r>
      <w:r w:rsidRPr="00132E65">
        <w:rPr>
          <w:rtl/>
        </w:rPr>
        <w:t xml:space="preserve"> في « ب ، ض » </w:t>
      </w:r>
      <w:r>
        <w:rPr>
          <w:rtl/>
        </w:rPr>
        <w:t xml:space="preserve">: - </w:t>
      </w:r>
      <w:r w:rsidRPr="00132E65">
        <w:rPr>
          <w:rtl/>
        </w:rPr>
        <w:t>« وسلامه »</w:t>
      </w:r>
      <w:r>
        <w:rPr>
          <w:rtl/>
        </w:rPr>
        <w:t>.</w:t>
      </w:r>
      <w:r w:rsidRPr="00132E65">
        <w:rPr>
          <w:rtl/>
        </w:rPr>
        <w:t xml:space="preserve"> وفي « ف » : « صلوات الله وسلامه عليهم »</w:t>
      </w:r>
      <w:r>
        <w:rPr>
          <w:rtl/>
        </w:rPr>
        <w:t>.</w:t>
      </w:r>
      <w:r w:rsidRPr="00132E65">
        <w:rPr>
          <w:rtl/>
        </w:rPr>
        <w:t xml:space="preserve"> وفي « بف » : « صلوات الله عليه وآله وسلامه »</w:t>
      </w:r>
      <w:r>
        <w:rPr>
          <w:rtl/>
        </w:rPr>
        <w:t>.</w:t>
      </w:r>
      <w:r w:rsidRPr="00132E65">
        <w:rPr>
          <w:rtl/>
        </w:rPr>
        <w:t xml:space="preserve"> وفي </w:t>
      </w:r>
      <w:r w:rsidRPr="000577A7">
        <w:rPr>
          <w:rStyle w:val="libFootnoteBoldChar"/>
          <w:rtl/>
        </w:rPr>
        <w:t>الكافي</w:t>
      </w:r>
      <w:r w:rsidRPr="00132E65">
        <w:rPr>
          <w:rtl/>
        </w:rPr>
        <w:t xml:space="preserve"> ، ح 862 والإرشاد ، ص 349 : «</w:t>
      </w:r>
      <w:r>
        <w:rPr>
          <w:rFonts w:hint="cs"/>
          <w:rtl/>
        </w:rPr>
        <w:t xml:space="preserve"> عليهم السلام </w:t>
      </w:r>
      <w:r w:rsidRPr="00132E65">
        <w:rPr>
          <w:rtl/>
        </w:rPr>
        <w:t>»</w:t>
      </w:r>
      <w:r>
        <w:rPr>
          <w:rtl/>
        </w:rPr>
        <w:t>.</w:t>
      </w:r>
      <w:r w:rsidRPr="00132E65">
        <w:rPr>
          <w:rtl/>
        </w:rPr>
        <w:t xml:space="preserve"> وفي الإرشاد ، ص 320 : « </w:t>
      </w:r>
      <w:r>
        <w:rPr>
          <w:rFonts w:hint="cs"/>
          <w:rtl/>
        </w:rPr>
        <w:t>عليهم السلام</w:t>
      </w:r>
      <w:r w:rsidRPr="00132E65">
        <w:rPr>
          <w:rtl/>
        </w:rPr>
        <w:t xml:space="preserve"> وعليهم »</w:t>
      </w:r>
      <w:r>
        <w:rPr>
          <w:rtl/>
        </w:rPr>
        <w:t>.</w:t>
      </w:r>
    </w:p>
    <w:p w:rsidR="000C39D1" w:rsidRPr="00132E65" w:rsidRDefault="000C39D1" w:rsidP="000C39D1">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الحجّة ، باب الإشارة والنصّ على أبي محمّد </w:t>
      </w:r>
      <w:r w:rsidRPr="00ED6272">
        <w:rPr>
          <w:rStyle w:val="libFootnoteAlaemChar"/>
          <w:rtl/>
        </w:rPr>
        <w:t>عليه‌السلام</w:t>
      </w:r>
      <w:r w:rsidRPr="00132E65">
        <w:rPr>
          <w:rtl/>
        </w:rPr>
        <w:t xml:space="preserve"> ، ح 862. وفي </w:t>
      </w:r>
      <w:r w:rsidRPr="00975ABB">
        <w:rPr>
          <w:rtl/>
        </w:rPr>
        <w:t>الإرشاد</w:t>
      </w:r>
      <w:r w:rsidRPr="00132E65">
        <w:rPr>
          <w:rtl/>
        </w:rPr>
        <w:t xml:space="preserve"> ، ج 2 ، ص 320 ؛ وص 349 ، بسنده عن الكليني. وفي </w:t>
      </w:r>
      <w:r w:rsidRPr="00975ABB">
        <w:rPr>
          <w:rtl/>
        </w:rPr>
        <w:t>علل الشرائع</w:t>
      </w:r>
      <w:r w:rsidRPr="00132E65">
        <w:rPr>
          <w:rtl/>
        </w:rPr>
        <w:t xml:space="preserve"> ، ص 245 ، ح 5 ؛ و</w:t>
      </w:r>
      <w:r w:rsidRPr="00975ABB">
        <w:rPr>
          <w:rtl/>
        </w:rPr>
        <w:t>كمال الدين</w:t>
      </w:r>
      <w:r w:rsidRPr="00132E65">
        <w:rPr>
          <w:rtl/>
        </w:rPr>
        <w:t xml:space="preserve"> ، ص 381 ، ح 5 ؛ وص 648 ، ح 4 ؛ و</w:t>
      </w:r>
      <w:r w:rsidRPr="00975ABB">
        <w:rPr>
          <w:rtl/>
        </w:rPr>
        <w:t xml:space="preserve">الغيبة </w:t>
      </w:r>
      <w:r w:rsidRPr="00132E65">
        <w:rPr>
          <w:rtl/>
        </w:rPr>
        <w:t>للطوسي ، ص 202 ، ح 169 ؛ و</w:t>
      </w:r>
      <w:r w:rsidRPr="00975ABB">
        <w:rPr>
          <w:rtl/>
        </w:rPr>
        <w:t>كفاية الأثر</w:t>
      </w:r>
      <w:r w:rsidRPr="00132E65">
        <w:rPr>
          <w:rtl/>
        </w:rPr>
        <w:t xml:space="preserve"> ، ص 288 ، بسندها عن سعد بن عبد الله ، عن محمّد بن أحمد العلوي </w:t>
      </w:r>
      <w:r>
        <w:rPr>
          <w:rFonts w:hint="cs"/>
          <w:rtl/>
        </w:rPr>
        <w:t>.</w:t>
      </w:r>
      <w:r w:rsidRPr="009D1ACE">
        <w:rPr>
          <w:rStyle w:val="libFootnoteBoldChar"/>
          <w:rtl/>
        </w:rPr>
        <w:t>الوافي</w:t>
      </w:r>
      <w:r w:rsidRPr="00132E65">
        <w:rPr>
          <w:rtl/>
        </w:rPr>
        <w:t xml:space="preserve"> ، ج 2 ، ص 403 ، ح 903 ؛ </w:t>
      </w:r>
      <w:r w:rsidRPr="00975ABB">
        <w:rPr>
          <w:rtl/>
        </w:rPr>
        <w:t>الوسائل</w:t>
      </w:r>
      <w:r w:rsidRPr="00132E65">
        <w:rPr>
          <w:rtl/>
        </w:rPr>
        <w:t xml:space="preserve"> ، ج 16 ، ص 239 ، ح 21458.</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ج » : « أسأله »</w:t>
            </w:r>
            <w:r>
              <w:rPr>
                <w:rtl/>
              </w:rPr>
              <w:t>.</w:t>
            </w:r>
          </w:p>
        </w:tc>
        <w:tc>
          <w:tcPr>
            <w:tcW w:w="4006" w:type="dxa"/>
          </w:tcPr>
          <w:p w:rsidR="000C39D1" w:rsidRDefault="000C39D1" w:rsidP="00B53873">
            <w:pPr>
              <w:pStyle w:val="libFootnote0"/>
              <w:rPr>
                <w:rtl/>
              </w:rPr>
            </w:pPr>
            <w:r>
              <w:rPr>
                <w:rtl/>
              </w:rPr>
              <w:t>(7).</w:t>
            </w:r>
            <w:r w:rsidRPr="00132E65">
              <w:rPr>
                <w:rtl/>
              </w:rPr>
              <w:t xml:space="preserve"> في « بح » : « دلّلتهم »</w:t>
            </w:r>
            <w:r>
              <w:rPr>
                <w:rtl/>
              </w:rPr>
              <w:t>.</w:t>
            </w:r>
          </w:p>
        </w:tc>
      </w:tr>
    </w:tbl>
    <w:p w:rsidR="000C39D1" w:rsidRPr="00132E65" w:rsidRDefault="000C39D1" w:rsidP="000C39D1">
      <w:pPr>
        <w:pStyle w:val="libFootnote0"/>
        <w:rPr>
          <w:rtl/>
          <w:lang w:bidi="fa-IR"/>
        </w:rPr>
      </w:pPr>
      <w:r>
        <w:rPr>
          <w:rtl/>
        </w:rPr>
        <w:t>(8).</w:t>
      </w:r>
      <w:r w:rsidRPr="00132E65">
        <w:rPr>
          <w:rtl/>
        </w:rPr>
        <w:t xml:space="preserve"> « أذاعوه » ، أي أفشوه. راجع : </w:t>
      </w:r>
      <w:r w:rsidRPr="00975ABB">
        <w:rPr>
          <w:rtl/>
        </w:rPr>
        <w:t>الصحاح</w:t>
      </w:r>
      <w:r w:rsidRPr="00132E65">
        <w:rPr>
          <w:rtl/>
        </w:rPr>
        <w:t xml:space="preserve"> ، ج 3 ، ص 1211 ( ذيع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وإن عرفتهم »</w:t>
      </w:r>
      <w:r>
        <w:rPr>
          <w:rtl/>
        </w:rPr>
        <w:t>.</w:t>
      </w:r>
    </w:p>
    <w:p w:rsidR="000C39D1" w:rsidRPr="00132E65" w:rsidRDefault="000C39D1" w:rsidP="000C39D1">
      <w:pPr>
        <w:pStyle w:val="libFootnote0"/>
        <w:rPr>
          <w:rtl/>
          <w:lang w:bidi="fa-IR"/>
        </w:rPr>
      </w:pPr>
      <w:r>
        <w:rPr>
          <w:rtl/>
        </w:rPr>
        <w:t>(10).</w:t>
      </w:r>
      <w:r w:rsidRPr="00132E65">
        <w:rPr>
          <w:rtl/>
        </w:rPr>
        <w:t xml:space="preserve"> راجع : </w:t>
      </w:r>
      <w:r w:rsidRPr="00975ABB">
        <w:rPr>
          <w:rtl/>
        </w:rPr>
        <w:t>الغيبة</w:t>
      </w:r>
      <w:r w:rsidRPr="00132E65">
        <w:rPr>
          <w:rtl/>
        </w:rPr>
        <w:t xml:space="preserve"> للطوسي ، ص 364 ، ح 331 </w:t>
      </w:r>
      <w:r>
        <w:rPr>
          <w:rFonts w:hint="cs"/>
          <w:rtl/>
        </w:rPr>
        <w:t>.</w:t>
      </w:r>
      <w:r w:rsidRPr="009D1ACE">
        <w:rPr>
          <w:rStyle w:val="libFootnoteBoldChar"/>
          <w:rtl/>
        </w:rPr>
        <w:t>الوافي</w:t>
      </w:r>
      <w:r w:rsidRPr="00132E65">
        <w:rPr>
          <w:rtl/>
        </w:rPr>
        <w:t xml:space="preserve"> ، ج 2 ، ص 403 ، ح 904 ؛ </w:t>
      </w:r>
      <w:r w:rsidRPr="00975ABB">
        <w:rPr>
          <w:rtl/>
        </w:rPr>
        <w:t>الوسائل</w:t>
      </w:r>
      <w:r w:rsidRPr="00132E65">
        <w:rPr>
          <w:rtl/>
        </w:rPr>
        <w:t xml:space="preserve"> ، ج 16 ، ص 240 ، ح 21459 ؛ </w:t>
      </w:r>
      <w:r w:rsidRPr="00975ABB">
        <w:rPr>
          <w:rtl/>
        </w:rPr>
        <w:t>البحار</w:t>
      </w:r>
      <w:r w:rsidRPr="00132E65">
        <w:rPr>
          <w:rtl/>
        </w:rPr>
        <w:t xml:space="preserve"> ، ج 51 ، ص 33 ، ح 8.</w:t>
      </w:r>
    </w:p>
    <w:p w:rsidR="000C39D1" w:rsidRPr="00132E65" w:rsidRDefault="000C39D1" w:rsidP="000C39D1">
      <w:pPr>
        <w:pStyle w:val="libFootnote0"/>
        <w:rPr>
          <w:rtl/>
          <w:lang w:bidi="fa-IR"/>
        </w:rPr>
      </w:pPr>
      <w:r>
        <w:rPr>
          <w:rtl/>
        </w:rPr>
        <w:t>(11).</w:t>
      </w:r>
      <w:r w:rsidRPr="00132E65">
        <w:rPr>
          <w:rtl/>
        </w:rPr>
        <w:t xml:space="preserve"> في « ب ، ض ، بح » : « وقد سئل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جِسْمُهُ ، و</w:t>
      </w:r>
      <w:r>
        <w:rPr>
          <w:rFonts w:hint="cs"/>
          <w:rtl/>
          <w:lang w:bidi="fa-IR"/>
        </w:rPr>
        <w:t xml:space="preserve">َ </w:t>
      </w:r>
      <w:r w:rsidRPr="00132E65">
        <w:rPr>
          <w:rtl/>
          <w:lang w:bidi="fa-IR"/>
        </w:rPr>
        <w:t xml:space="preserve">لَايُسَمَّى اسْمُهُ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4551F5">
        <w:rPr>
          <w:rtl/>
        </w:rPr>
        <w:t>887</w:t>
      </w:r>
      <w:r w:rsidRPr="004325D8">
        <w:rPr>
          <w:rStyle w:val="libBold2Char"/>
          <w:rtl/>
        </w:rPr>
        <w:t xml:space="preserve"> / 4.</w:t>
      </w:r>
      <w:r w:rsidRPr="00132E65">
        <w:rPr>
          <w:rtl/>
          <w:lang w:bidi="fa-IR"/>
        </w:rPr>
        <w:t xml:space="preserve"> مُحَمَّدُ بْنُ يَحْيى ، عَنْ مُحَمَّدِ بْنِ الْحُسَيْنِ ، عَنِ الْحَسَنِ بْنِ مَحْبُوبٍ ، عَنِ ابْنِ رِئَابٍ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صَاحِبُ هذَا الْأَمْر</w:t>
      </w:r>
      <w:r>
        <w:rPr>
          <w:rtl/>
          <w:lang w:bidi="fa-IR"/>
        </w:rPr>
        <w:t>ِ لَايُسَمِّيهِ بِاسْمِهِ إِل</w:t>
      </w:r>
      <w:r>
        <w:rPr>
          <w:rFonts w:hint="cs"/>
          <w:rtl/>
          <w:lang w:bidi="fa-IR"/>
        </w:rPr>
        <w:t>َّ</w:t>
      </w:r>
      <w:r>
        <w:rPr>
          <w:rtl/>
          <w:lang w:bidi="fa-IR"/>
        </w:rPr>
        <w:t>ا</w:t>
      </w:r>
      <w:r w:rsidRPr="00132E65">
        <w:rPr>
          <w:rtl/>
          <w:lang w:bidi="fa-IR"/>
        </w:rPr>
        <w:t xml:space="preserve"> كَافِرٌ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Heading2Center"/>
        <w:rPr>
          <w:rtl/>
          <w:lang w:bidi="fa-IR"/>
        </w:rPr>
      </w:pPr>
      <w:bookmarkStart w:id="39" w:name="_Toc459459107"/>
      <w:bookmarkStart w:id="40" w:name="_Toc34663076"/>
      <w:r w:rsidRPr="00132E65">
        <w:rPr>
          <w:rtl/>
          <w:lang w:bidi="fa-IR"/>
        </w:rPr>
        <w:t>79</w:t>
      </w:r>
      <w:r>
        <w:rPr>
          <w:rtl/>
          <w:lang w:bidi="fa-IR"/>
        </w:rPr>
        <w:t xml:space="preserve"> - </w:t>
      </w:r>
      <w:r w:rsidRPr="00132E65">
        <w:rPr>
          <w:rtl/>
          <w:lang w:bidi="fa-IR"/>
        </w:rPr>
        <w:t>بَابٌ نَادِرٌ فِي حَالِ الْغَيْبَةِ‌</w:t>
      </w:r>
      <w:bookmarkEnd w:id="39"/>
      <w:bookmarkEnd w:id="40"/>
    </w:p>
    <w:p w:rsidR="000C39D1" w:rsidRPr="00132E65" w:rsidRDefault="000C39D1" w:rsidP="000C39D1">
      <w:pPr>
        <w:pStyle w:val="libNormal"/>
        <w:rPr>
          <w:rtl/>
          <w:lang w:bidi="fa-IR"/>
        </w:rPr>
      </w:pPr>
      <w:r w:rsidRPr="004551F5">
        <w:rPr>
          <w:rtl/>
        </w:rPr>
        <w:t>888</w:t>
      </w:r>
      <w:r w:rsidRPr="004325D8">
        <w:rPr>
          <w:rStyle w:val="libBold2Char"/>
          <w:rtl/>
        </w:rPr>
        <w:t xml:space="preserve"> / 1.</w:t>
      </w:r>
      <w:r w:rsidRPr="00132E65">
        <w:rPr>
          <w:rtl/>
          <w:lang w:bidi="fa-IR"/>
        </w:rPr>
        <w:t xml:space="preserve"> عَلِيُّ بْنُ إِبْرَاهِيمَ ، عَنْ أَبِيهِ ، عَنْ مُحَمَّدِ بْنِ خَالِدٍ ، عَمَّنْ حَدَّثَهُ ، عَنِ‌الْمُفَضَّلِ </w:t>
      </w:r>
      <w:r>
        <w:rPr>
          <w:rStyle w:val="libFootnotenumChar"/>
          <w:rtl/>
        </w:rPr>
        <w:t>(5)</w:t>
      </w:r>
      <w:r w:rsidRPr="00132E65">
        <w:rPr>
          <w:rtl/>
          <w:lang w:bidi="fa-IR"/>
        </w:rPr>
        <w:t xml:space="preserve"> ؛ و</w:t>
      </w:r>
      <w:r>
        <w:rPr>
          <w:rFonts w:hint="cs"/>
          <w:rtl/>
          <w:lang w:bidi="fa-IR"/>
        </w:rPr>
        <w:t xml:space="preserve">َ </w:t>
      </w:r>
      <w:r>
        <w:rPr>
          <w:rStyle w:val="libFootnotenumChar"/>
          <w:rtl/>
        </w:rPr>
        <w:t>(6)</w:t>
      </w:r>
      <w:r w:rsidRPr="00132E65">
        <w:rPr>
          <w:rtl/>
          <w:lang w:bidi="fa-IR"/>
        </w:rPr>
        <w:t xml:space="preserve"> مُحَمَّدُ بْنُ يَحْيى ، عَنْ عَبْدِ اللهِ بْنِ مُحَمَّدِ بْنِ عِيسى ، عَنْ أَبِيهِ ، عَنْ بَعْضِ أَصْحَابِهِ ، عَنِ الْمُفَضَّلِ بْنِ عُمَرَ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أَقْرَبُ مَا يَكُونُ الْعِبَادُ مِنَ اللهِ جَلَّ ذِكْرُهُ ، و</w:t>
      </w:r>
      <w:r>
        <w:rPr>
          <w:rFonts w:hint="cs"/>
          <w:rtl/>
          <w:lang w:bidi="fa-IR"/>
        </w:rPr>
        <w:t xml:space="preserve">َ </w:t>
      </w:r>
      <w:r w:rsidRPr="00132E65">
        <w:rPr>
          <w:rtl/>
          <w:lang w:bidi="fa-IR"/>
        </w:rPr>
        <w:t>أَرْضى مَا يَكُونُ عَنْهُمْ إِذَا افْتَقَدُوا حُجَّةَ اللهِ جَلَّ و</w:t>
      </w:r>
      <w:r>
        <w:rPr>
          <w:rFonts w:hint="cs"/>
          <w:rtl/>
          <w:lang w:bidi="fa-IR"/>
        </w:rPr>
        <w:t xml:space="preserve">َ </w:t>
      </w:r>
      <w:r w:rsidRPr="00132E65">
        <w:rPr>
          <w:rtl/>
          <w:lang w:bidi="fa-IR"/>
        </w:rPr>
        <w:t>عَزَّ و</w:t>
      </w:r>
      <w:r>
        <w:rPr>
          <w:rFonts w:hint="cs"/>
          <w:rtl/>
          <w:lang w:bidi="fa-IR"/>
        </w:rPr>
        <w:t xml:space="preserve">َ </w:t>
      </w:r>
      <w:r w:rsidRPr="00132E65">
        <w:rPr>
          <w:rtl/>
          <w:lang w:bidi="fa-IR"/>
        </w:rPr>
        <w:t xml:space="preserve">لَمْ يَظْهَرْ </w:t>
      </w:r>
      <w:r>
        <w:rPr>
          <w:rStyle w:val="libFootnotenumChar"/>
          <w:rtl/>
        </w:rPr>
        <w:t>(7)</w:t>
      </w:r>
      <w:r w:rsidRPr="00132E65">
        <w:rPr>
          <w:rtl/>
          <w:lang w:bidi="fa-IR"/>
        </w:rPr>
        <w:t xml:space="preserve"> لَهُمْ و</w:t>
      </w:r>
      <w:r>
        <w:rPr>
          <w:rFonts w:hint="cs"/>
          <w:rtl/>
          <w:lang w:bidi="fa-IR"/>
        </w:rPr>
        <w:t xml:space="preserve">َ </w:t>
      </w:r>
      <w:r w:rsidRPr="00132E65">
        <w:rPr>
          <w:rtl/>
          <w:lang w:bidi="fa-IR"/>
        </w:rPr>
        <w:t xml:space="preserve">لَمْ يَعْلَمُوا مَكَانَهُ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نائب الفاعل الضمير في يسمّى الراجع إليه </w:t>
      </w:r>
      <w:r w:rsidRPr="00416FA7">
        <w:rPr>
          <w:rStyle w:val="libFootnoteAlaemChar"/>
          <w:rtl/>
        </w:rPr>
        <w:t>عليه‌السلام</w:t>
      </w:r>
      <w:r w:rsidRPr="00132E65">
        <w:rPr>
          <w:rtl/>
        </w:rPr>
        <w:t xml:space="preserve"> ، واسمه منصوب مفعول ثان ، أو مرفوع نائب الفاعل من قبيل ا</w:t>
      </w:r>
      <w:r>
        <w:rPr>
          <w:rFonts w:hint="cs"/>
          <w:rtl/>
        </w:rPr>
        <w:t>ُ</w:t>
      </w:r>
      <w:r w:rsidRPr="00132E65">
        <w:rPr>
          <w:rtl/>
        </w:rPr>
        <w:t>عطي درهم ، أو منصوب بنزع الخافض ، يقال : سمّيته كذا وسمّيته بكذا »</w:t>
      </w:r>
      <w:r>
        <w:rPr>
          <w:rtl/>
        </w:rPr>
        <w:t>.</w:t>
      </w:r>
    </w:p>
    <w:p w:rsidR="000C39D1" w:rsidRPr="00132E65" w:rsidRDefault="000C39D1" w:rsidP="000C39D1">
      <w:pPr>
        <w:pStyle w:val="libFootnote0"/>
        <w:rPr>
          <w:rtl/>
          <w:lang w:bidi="fa-IR"/>
        </w:rPr>
      </w:pPr>
      <w:r>
        <w:rPr>
          <w:rtl/>
        </w:rPr>
        <w:t>(2).</w:t>
      </w:r>
      <w:r w:rsidRPr="00132E65">
        <w:rPr>
          <w:rtl/>
        </w:rPr>
        <w:t xml:space="preserve"> </w:t>
      </w:r>
      <w:r w:rsidRPr="004551F5">
        <w:rPr>
          <w:rtl/>
        </w:rPr>
        <w:t>كمال الدين</w:t>
      </w:r>
      <w:r w:rsidRPr="00132E65">
        <w:rPr>
          <w:rtl/>
        </w:rPr>
        <w:t xml:space="preserve"> ، ص 370 ، ح 2 ؛ وص 648 ، ح 2 ، بسنده عن جعفر بن محمّد </w:t>
      </w:r>
      <w:r>
        <w:rPr>
          <w:rFonts w:hint="cs"/>
          <w:rtl/>
        </w:rPr>
        <w:t>.</w:t>
      </w:r>
      <w:r w:rsidRPr="009D1ACE">
        <w:rPr>
          <w:rStyle w:val="libFootnoteBoldChar"/>
          <w:rtl/>
        </w:rPr>
        <w:t>الوافي</w:t>
      </w:r>
      <w:r w:rsidRPr="00132E65">
        <w:rPr>
          <w:rtl/>
        </w:rPr>
        <w:t xml:space="preserve"> ، ج 2 ، ص 404 ، ح 905 ؛ </w:t>
      </w:r>
      <w:r w:rsidRPr="004551F5">
        <w:rPr>
          <w:rtl/>
        </w:rPr>
        <w:t>الوسائل</w:t>
      </w:r>
      <w:r w:rsidRPr="00132E65">
        <w:rPr>
          <w:rtl/>
        </w:rPr>
        <w:t xml:space="preserve"> ، ج 16 ، ص 239 ، ح 21457.</w:t>
      </w:r>
    </w:p>
    <w:p w:rsidR="000C39D1" w:rsidRPr="00132E65" w:rsidRDefault="000C39D1" w:rsidP="000C39D1">
      <w:pPr>
        <w:pStyle w:val="libFootnote0"/>
        <w:rPr>
          <w:rtl/>
          <w:lang w:bidi="fa-IR"/>
        </w:rPr>
      </w:pPr>
      <w:r>
        <w:rPr>
          <w:rtl/>
        </w:rPr>
        <w:t>(3). « إل</w:t>
      </w:r>
      <w:r>
        <w:rPr>
          <w:rFonts w:hint="cs"/>
          <w:rtl/>
        </w:rPr>
        <w:t>ّ</w:t>
      </w:r>
      <w:r>
        <w:rPr>
          <w:rtl/>
        </w:rPr>
        <w:t>ا</w:t>
      </w:r>
      <w:r w:rsidRPr="00132E65">
        <w:rPr>
          <w:rtl/>
        </w:rPr>
        <w:t xml:space="preserve"> كافر » ، أي من كان شبيهاً بالكافر في مخالفة أوامر الله تعالى ونواهيه اجتراءً ومعاندة ، دون منكر الربّ تعالى والمشرك به. وهذا كما تقول : لا يج</w:t>
      </w:r>
      <w:r>
        <w:rPr>
          <w:rtl/>
        </w:rPr>
        <w:t>ترئ على هذا الأمر إل</w:t>
      </w:r>
      <w:r>
        <w:rPr>
          <w:rFonts w:hint="cs"/>
          <w:rtl/>
        </w:rPr>
        <w:t>ّ</w:t>
      </w:r>
      <w:r>
        <w:rPr>
          <w:rtl/>
        </w:rPr>
        <w:t>ا</w:t>
      </w:r>
      <w:r>
        <w:rPr>
          <w:rFonts w:hint="cs"/>
          <w:rtl/>
        </w:rPr>
        <w:t xml:space="preserve"> </w:t>
      </w:r>
      <w:r w:rsidRPr="00132E65">
        <w:rPr>
          <w:rtl/>
        </w:rPr>
        <w:t xml:space="preserve">أسد. ولعلّه مختصّ بزمان التقيّة. وقيل : المراد بالصاحب مطلق الإمام ، وتسميته باسمه مخاطبته به ، وهذا استخفاف موجب للكفر. ولا يخفى ما فيه من التكلّف. راجع : </w:t>
      </w:r>
      <w:r w:rsidRPr="004551F5">
        <w:rPr>
          <w:rtl/>
        </w:rPr>
        <w:t>شرح المازندراني</w:t>
      </w:r>
      <w:r w:rsidRPr="00132E65">
        <w:rPr>
          <w:rtl/>
        </w:rPr>
        <w:t xml:space="preserve"> ، ج 6 ، ص 217 ؛ </w:t>
      </w:r>
      <w:r w:rsidRPr="009D1ACE">
        <w:rPr>
          <w:rStyle w:val="libFootnoteBoldChar"/>
          <w:rtl/>
        </w:rPr>
        <w:t>الوافي</w:t>
      </w:r>
      <w:r w:rsidRPr="00132E65">
        <w:rPr>
          <w:rtl/>
        </w:rPr>
        <w:t xml:space="preserve"> ، ج 2 ، ص 404 ؛ </w:t>
      </w:r>
      <w:r w:rsidRPr="009D1ACE">
        <w:rPr>
          <w:rStyle w:val="libFootnoteBoldChar"/>
          <w:rtl/>
        </w:rPr>
        <w:t>مرآة العقول</w:t>
      </w:r>
      <w:r w:rsidRPr="00132E65">
        <w:rPr>
          <w:rtl/>
        </w:rPr>
        <w:t xml:space="preserve"> ، ج 4 ، ص 1.</w:t>
      </w:r>
    </w:p>
    <w:p w:rsidR="000C39D1" w:rsidRPr="00132E65" w:rsidRDefault="000C39D1" w:rsidP="000C39D1">
      <w:pPr>
        <w:pStyle w:val="libFootnote0"/>
        <w:rPr>
          <w:rtl/>
          <w:lang w:bidi="fa-IR"/>
        </w:rPr>
      </w:pPr>
      <w:r>
        <w:rPr>
          <w:rtl/>
        </w:rPr>
        <w:t>(4).</w:t>
      </w:r>
      <w:r w:rsidRPr="00132E65">
        <w:rPr>
          <w:rtl/>
        </w:rPr>
        <w:t xml:space="preserve"> </w:t>
      </w:r>
      <w:r w:rsidRPr="004551F5">
        <w:rPr>
          <w:rtl/>
        </w:rPr>
        <w:t>كمال الدين</w:t>
      </w:r>
      <w:r w:rsidRPr="00132E65">
        <w:rPr>
          <w:rtl/>
        </w:rPr>
        <w:t xml:space="preserve"> ، ص 648 ، ح 1 ، بسنده عن الحسن بن محبوب </w:t>
      </w:r>
      <w:r>
        <w:rPr>
          <w:rFonts w:hint="cs"/>
          <w:rtl/>
        </w:rPr>
        <w:t>.</w:t>
      </w:r>
      <w:r w:rsidRPr="009D1ACE">
        <w:rPr>
          <w:rStyle w:val="libFootnoteBoldChar"/>
          <w:rtl/>
        </w:rPr>
        <w:t>الوافي</w:t>
      </w:r>
      <w:r w:rsidRPr="00132E65">
        <w:rPr>
          <w:rtl/>
        </w:rPr>
        <w:t xml:space="preserve"> ، ج 2 ، ص 404 ، ح 906 ؛ </w:t>
      </w:r>
      <w:r w:rsidRPr="004551F5">
        <w:rPr>
          <w:rtl/>
        </w:rPr>
        <w:t>الوسائل</w:t>
      </w:r>
      <w:r w:rsidRPr="00132E65">
        <w:rPr>
          <w:rtl/>
        </w:rPr>
        <w:t xml:space="preserve"> ، ج 16 ، ص 238 ، ح 21456.</w:t>
      </w:r>
    </w:p>
    <w:p w:rsidR="000C39D1" w:rsidRPr="00132E65" w:rsidRDefault="000C39D1" w:rsidP="000C39D1">
      <w:pPr>
        <w:pStyle w:val="libFootnote0"/>
        <w:rPr>
          <w:rtl/>
          <w:lang w:bidi="fa-IR"/>
        </w:rPr>
      </w:pPr>
      <w:r>
        <w:rPr>
          <w:rtl/>
        </w:rPr>
        <w:t>(5).</w:t>
      </w:r>
      <w:r w:rsidRPr="00132E65">
        <w:rPr>
          <w:rtl/>
        </w:rPr>
        <w:t xml:space="preserve"> هكذا في النسخ والطبعة الحجريّة من الكتاب. وفي حاشية « ف » والمطبوع :</w:t>
      </w:r>
      <w:r>
        <w:rPr>
          <w:rtl/>
        </w:rPr>
        <w:t xml:space="preserve"> + </w:t>
      </w:r>
      <w:r w:rsidRPr="00132E65">
        <w:rPr>
          <w:rtl/>
        </w:rPr>
        <w:t>« بن عمر »</w:t>
      </w:r>
      <w:r>
        <w:rPr>
          <w:rtl/>
        </w:rPr>
        <w:t>.</w:t>
      </w:r>
    </w:p>
    <w:p w:rsidR="000C39D1" w:rsidRPr="00132E65" w:rsidRDefault="000C39D1" w:rsidP="000C39D1">
      <w:pPr>
        <w:pStyle w:val="libFootnote0"/>
        <w:rPr>
          <w:rtl/>
          <w:lang w:bidi="fa-IR"/>
        </w:rPr>
      </w:pPr>
      <w:r>
        <w:rPr>
          <w:rtl/>
        </w:rPr>
        <w:t>(6).</w:t>
      </w:r>
      <w:r w:rsidRPr="00132E65">
        <w:rPr>
          <w:rtl/>
        </w:rPr>
        <w:t xml:space="preserve"> في السند تحويل يظهر بأدنى تأمّل.</w:t>
      </w:r>
    </w:p>
    <w:p w:rsidR="000C39D1" w:rsidRPr="00132E65" w:rsidRDefault="000C39D1" w:rsidP="000C39D1">
      <w:pPr>
        <w:pStyle w:val="libFootnote0"/>
        <w:rPr>
          <w:rtl/>
          <w:lang w:bidi="fa-IR"/>
        </w:rPr>
      </w:pPr>
      <w:r>
        <w:rPr>
          <w:rtl/>
        </w:rPr>
        <w:t>(7).</w:t>
      </w:r>
      <w:r w:rsidRPr="00132E65">
        <w:rPr>
          <w:rtl/>
        </w:rPr>
        <w:t xml:space="preserve"> في « ف » : « فلم يظهر »</w:t>
      </w:r>
      <w:r>
        <w:rPr>
          <w:rtl/>
        </w:rPr>
        <w:t>.</w:t>
      </w:r>
    </w:p>
    <w:p w:rsidR="000C39D1" w:rsidRPr="00132E65" w:rsidRDefault="000C39D1" w:rsidP="000C39D1">
      <w:pPr>
        <w:pStyle w:val="libFootnote0"/>
        <w:rPr>
          <w:rtl/>
          <w:lang w:bidi="fa-IR"/>
        </w:rPr>
      </w:pPr>
      <w:r>
        <w:rPr>
          <w:rtl/>
        </w:rPr>
        <w:t>(8).</w:t>
      </w:r>
      <w:r w:rsidRPr="00132E65">
        <w:rPr>
          <w:rtl/>
        </w:rPr>
        <w:t xml:space="preserve"> في كمال الدين ، ص 337 </w:t>
      </w:r>
      <w:r>
        <w:rPr>
          <w:rtl/>
        </w:rPr>
        <w:t>و 3</w:t>
      </w:r>
      <w:r w:rsidRPr="00132E65">
        <w:rPr>
          <w:rtl/>
        </w:rPr>
        <w:t>39 والغيبة للنعماني والطوسي : « بمكانه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وَهُمْ فِي ذلِكَ يَعْلَمُونَ أَنَّهُ لَمْ تَبْطُلْ حُجَّةُ اللهِ جَلَّ ذِكْرُهُ و</w:t>
      </w:r>
      <w:r>
        <w:rPr>
          <w:rFonts w:hint="cs"/>
          <w:rtl/>
          <w:lang w:bidi="fa-IR"/>
        </w:rPr>
        <w:t xml:space="preserve">َ </w:t>
      </w:r>
      <w:r w:rsidRPr="00132E65">
        <w:rPr>
          <w:rtl/>
          <w:lang w:bidi="fa-IR"/>
        </w:rPr>
        <w:t xml:space="preserve">لَامِيثَاقُهُ ، فَعِنْدَهَا </w:t>
      </w:r>
      <w:r>
        <w:rPr>
          <w:rStyle w:val="libFootnotenumChar"/>
          <w:rtl/>
        </w:rPr>
        <w:t>(1)</w:t>
      </w:r>
      <w:r w:rsidRPr="00132E65">
        <w:rPr>
          <w:rtl/>
          <w:lang w:bidi="fa-IR"/>
        </w:rPr>
        <w:t xml:space="preserve"> فَتَوَقَّعُوا </w:t>
      </w:r>
      <w:r>
        <w:rPr>
          <w:rStyle w:val="libFootnotenumChar"/>
          <w:rtl/>
        </w:rPr>
        <w:t>(2)</w:t>
      </w:r>
      <w:r w:rsidRPr="00132E65">
        <w:rPr>
          <w:rtl/>
          <w:lang w:bidi="fa-IR"/>
        </w:rPr>
        <w:t xml:space="preserve"> الْفَرَجَ صَبَاحاً و</w:t>
      </w:r>
      <w:r>
        <w:rPr>
          <w:rFonts w:hint="cs"/>
          <w:rtl/>
          <w:lang w:bidi="fa-IR"/>
        </w:rPr>
        <w:t xml:space="preserve">َ </w:t>
      </w:r>
      <w:r w:rsidRPr="00132E65">
        <w:rPr>
          <w:rtl/>
          <w:lang w:bidi="fa-IR"/>
        </w:rPr>
        <w:t xml:space="preserve">مَسَاءً ؛ فَإِنَّ </w:t>
      </w:r>
      <w:r>
        <w:rPr>
          <w:rStyle w:val="libFootnotenumChar"/>
          <w:rtl/>
        </w:rPr>
        <w:t>(3)</w:t>
      </w:r>
      <w:r w:rsidRPr="00132E65">
        <w:rPr>
          <w:rtl/>
          <w:lang w:bidi="fa-IR"/>
        </w:rPr>
        <w:t xml:space="preserve"> أَشَدَّ مَا يَكُونُ غَضَبُ اللهِ عَلى أَعْدَائِهِ إِذَا </w:t>
      </w:r>
      <w:r>
        <w:rPr>
          <w:rStyle w:val="libFootnotenumChar"/>
          <w:rtl/>
        </w:rPr>
        <w:t>(4)</w:t>
      </w:r>
      <w:r w:rsidRPr="00132E65">
        <w:rPr>
          <w:rtl/>
          <w:lang w:bidi="fa-IR"/>
        </w:rPr>
        <w:t xml:space="preserve"> افْتَقَدُوا حُجَّتَهُ </w:t>
      </w:r>
      <w:r>
        <w:rPr>
          <w:rStyle w:val="libFootnotenumChar"/>
          <w:rtl/>
        </w:rPr>
        <w:t>(5)</w:t>
      </w:r>
      <w:r w:rsidRPr="00132E65">
        <w:rPr>
          <w:rtl/>
          <w:lang w:bidi="fa-IR"/>
        </w:rPr>
        <w:t xml:space="preserve"> ، وَلَمْ يَظْهَرْ </w:t>
      </w:r>
      <w:r>
        <w:rPr>
          <w:rStyle w:val="libFootnotenumChar"/>
          <w:rtl/>
        </w:rPr>
        <w:t>(6)</w:t>
      </w:r>
      <w:r w:rsidRPr="00132E65">
        <w:rPr>
          <w:rtl/>
          <w:lang w:bidi="fa-IR"/>
        </w:rPr>
        <w:t xml:space="preserve"> لَهُمْ.</w:t>
      </w:r>
    </w:p>
    <w:p w:rsidR="000C39D1" w:rsidRPr="00132E65" w:rsidRDefault="000C39D1" w:rsidP="000C39D1">
      <w:pPr>
        <w:pStyle w:val="libNormal"/>
        <w:rPr>
          <w:rtl/>
          <w:lang w:bidi="fa-IR"/>
        </w:rPr>
      </w:pPr>
      <w:r w:rsidRPr="00132E65">
        <w:rPr>
          <w:rtl/>
          <w:lang w:bidi="fa-IR"/>
        </w:rPr>
        <w:t xml:space="preserve">وَقَدْ عَلِمَ </w:t>
      </w:r>
      <w:r>
        <w:rPr>
          <w:rStyle w:val="libFootnotenumChar"/>
          <w:rtl/>
        </w:rPr>
        <w:t>(7)</w:t>
      </w:r>
      <w:r w:rsidRPr="00132E65">
        <w:rPr>
          <w:rtl/>
          <w:lang w:bidi="fa-IR"/>
        </w:rPr>
        <w:t xml:space="preserve"> أَنَّ أَوْلِيَاءَهُ </w:t>
      </w:r>
      <w:r>
        <w:rPr>
          <w:rStyle w:val="libFootnotenumChar"/>
          <w:rtl/>
        </w:rPr>
        <w:t>(8)</w:t>
      </w:r>
      <w:r w:rsidRPr="00132E65">
        <w:rPr>
          <w:rtl/>
          <w:lang w:bidi="fa-IR"/>
        </w:rPr>
        <w:t xml:space="preserve"> لَايَرْتَابُونَ ، و</w:t>
      </w:r>
      <w:r>
        <w:rPr>
          <w:rFonts w:hint="cs"/>
          <w:rtl/>
          <w:lang w:bidi="fa-IR"/>
        </w:rPr>
        <w:t xml:space="preserve">َ </w:t>
      </w:r>
      <w:r w:rsidRPr="00132E65">
        <w:rPr>
          <w:rtl/>
          <w:lang w:bidi="fa-IR"/>
        </w:rPr>
        <w:t>لَوْ عَلِمَ أَنَّهُمْ يَرْتَابُونَ مَا غَيَّبَ حُجَّتَهُ عَنْهُمْ طَرْفَةَ عَيْنٍ ، و</w:t>
      </w:r>
      <w:r>
        <w:rPr>
          <w:rFonts w:hint="cs"/>
          <w:rtl/>
          <w:lang w:bidi="fa-IR"/>
        </w:rPr>
        <w:t xml:space="preserve">َ </w:t>
      </w:r>
      <w:r>
        <w:rPr>
          <w:rtl/>
          <w:lang w:bidi="fa-IR"/>
        </w:rPr>
        <w:t>لَايَكُونُ ذلِكَ إِل</w:t>
      </w:r>
      <w:r>
        <w:rPr>
          <w:rFonts w:hint="cs"/>
          <w:rtl/>
          <w:lang w:bidi="fa-IR"/>
        </w:rPr>
        <w:t>َّ</w:t>
      </w:r>
      <w:r>
        <w:rPr>
          <w:rtl/>
          <w:lang w:bidi="fa-IR"/>
        </w:rPr>
        <w:t>ا</w:t>
      </w:r>
      <w:r w:rsidRPr="00132E65">
        <w:rPr>
          <w:rtl/>
          <w:lang w:bidi="fa-IR"/>
        </w:rPr>
        <w:t xml:space="preserve"> عَلى رَأْسِ شِرَارِ </w:t>
      </w:r>
      <w:r>
        <w:rPr>
          <w:rStyle w:val="libFootnotenumChar"/>
          <w:rtl/>
        </w:rPr>
        <w:t>(9)</w:t>
      </w:r>
      <w:r w:rsidRPr="00132E65">
        <w:rPr>
          <w:rtl/>
          <w:lang w:bidi="fa-IR"/>
        </w:rPr>
        <w:t xml:space="preserve"> النَّاسِ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4551F5">
        <w:rPr>
          <w:rtl/>
        </w:rPr>
        <w:t>889</w:t>
      </w:r>
      <w:r w:rsidRPr="004325D8">
        <w:rPr>
          <w:rStyle w:val="libBold2Char"/>
          <w:rtl/>
        </w:rPr>
        <w:t xml:space="preserve"> / 2.</w:t>
      </w:r>
      <w:r w:rsidRPr="00132E65">
        <w:rPr>
          <w:rtl/>
          <w:lang w:bidi="fa-IR"/>
        </w:rPr>
        <w:t xml:space="preserve"> الْحُسَيْنُ بْنُ مُحَمَّدٍ الْأَشْعَرِيُّ ، عَنْ مُعَلَّى بْنِ مُحَمَّدٍ ، عَنْ عَلِيِّ بْنِ مِرْدَاسٍ ، عَنْ صَفْوَانَ بْنِ يَحْيى و</w:t>
      </w:r>
      <w:r>
        <w:rPr>
          <w:rFonts w:hint="cs"/>
          <w:rtl/>
          <w:lang w:bidi="fa-IR"/>
        </w:rPr>
        <w:t xml:space="preserve">َ </w:t>
      </w:r>
      <w:r w:rsidRPr="00132E65">
        <w:rPr>
          <w:rtl/>
          <w:lang w:bidi="fa-IR"/>
        </w:rPr>
        <w:t>الْحَسَنِ بْنِ مَحْبُوبٍ ، عَنْ هِشَامِ بْنِ سَالِمٍ ، عَنْ عَمَّارٍ السَّابَاطِيِّ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أَيُّمَا أَفْضَلُ : الْعِبَادَةُ فِي السِّرِّ مَعَ الْإِمَامِ مِنْكُمُ الْمُسْتَتِرِ‌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فعند ذلك »</w:t>
      </w:r>
      <w:r>
        <w:rPr>
          <w:rtl/>
        </w:rPr>
        <w:t>.</w:t>
      </w:r>
    </w:p>
    <w:p w:rsidR="000C39D1" w:rsidRPr="00132E65" w:rsidRDefault="000C39D1" w:rsidP="000C39D1">
      <w:pPr>
        <w:pStyle w:val="libFootnote0"/>
        <w:rPr>
          <w:rtl/>
          <w:lang w:bidi="fa-IR"/>
        </w:rPr>
      </w:pPr>
      <w:r>
        <w:rPr>
          <w:rtl/>
        </w:rPr>
        <w:t>(2).</w:t>
      </w:r>
      <w:r w:rsidRPr="00132E65">
        <w:rPr>
          <w:rtl/>
        </w:rPr>
        <w:t xml:space="preserve"> في « ج ، بس » و</w:t>
      </w:r>
      <w:r w:rsidRPr="009D1ACE">
        <w:rPr>
          <w:rStyle w:val="libFootnoteBoldChar"/>
          <w:rtl/>
        </w:rPr>
        <w:t>مرآة العقول</w:t>
      </w:r>
      <w:r w:rsidRPr="00132E65">
        <w:rPr>
          <w:rtl/>
        </w:rPr>
        <w:t xml:space="preserve"> والغيبة للطوسي والنعماني ، ص 161 : « توقّعوا »</w:t>
      </w:r>
      <w:r>
        <w:rPr>
          <w:rtl/>
        </w:rPr>
        <w:t>.</w:t>
      </w:r>
    </w:p>
    <w:p w:rsidR="001C701C" w:rsidRDefault="000C39D1" w:rsidP="001C701C">
      <w:pPr>
        <w:pStyle w:val="libFootnote0"/>
        <w:rPr>
          <w:rtl/>
        </w:rPr>
      </w:pPr>
      <w:r>
        <w:rPr>
          <w:rtl/>
        </w:rPr>
        <w:t>(3).</w:t>
      </w:r>
      <w:r w:rsidRPr="00132E65">
        <w:rPr>
          <w:rtl/>
        </w:rPr>
        <w:t xml:space="preserve"> قوله : « فإنّ » دليل لزوم توقّع الفرج. والأصوب عند الفيض كونه : « وإنّ »</w:t>
      </w:r>
      <w:r>
        <w:rPr>
          <w:rtl/>
        </w:rPr>
        <w:t>.</w:t>
      </w:r>
      <w:r w:rsidRPr="00132E65">
        <w:rPr>
          <w:rtl/>
        </w:rPr>
        <w:t xml:space="preserve"> كما نقله المجلسي عن أكثر نسخ‌إكمال الدين وغيره واستظهره. ثمّ قال : « وفي أكثر نسخ الكتاب بالفاء ، فيحتمل أن يكون بمعنى الواو ، أو يكون للتعقيب الذكري »</w:t>
      </w:r>
      <w:r>
        <w:rPr>
          <w:rtl/>
        </w:rPr>
        <w:t>.</w:t>
      </w:r>
      <w:r w:rsidRPr="00132E65">
        <w:rPr>
          <w:rtl/>
        </w:rPr>
        <w:t xml:space="preserve"> راجع : </w:t>
      </w:r>
      <w:r w:rsidRPr="004551F5">
        <w:rPr>
          <w:rtl/>
        </w:rPr>
        <w:t>شرح المازندراني</w:t>
      </w:r>
      <w:r w:rsidRPr="00132E65">
        <w:rPr>
          <w:rtl/>
        </w:rPr>
        <w:t xml:space="preserve"> ، ج 6 ، ص 218 ؛ </w:t>
      </w:r>
      <w:r w:rsidRPr="009D1ACE">
        <w:rPr>
          <w:rStyle w:val="libFootnoteBoldChar"/>
          <w:rtl/>
        </w:rPr>
        <w:t>الوافي</w:t>
      </w:r>
      <w:r w:rsidRPr="00132E65">
        <w:rPr>
          <w:rtl/>
        </w:rPr>
        <w:t xml:space="preserve"> ، ج 2 ، ص 441 ؛ </w:t>
      </w:r>
      <w:r w:rsidRPr="009D1ACE">
        <w:rPr>
          <w:rStyle w:val="libFootnoteBoldChar"/>
          <w:rtl/>
        </w:rPr>
        <w:t>مرآة العقول</w:t>
      </w:r>
      <w:r w:rsidRPr="00132E65">
        <w:rPr>
          <w:rtl/>
        </w:rPr>
        <w:t xml:space="preserve"> ، ج 4 ، ص 19.</w:t>
      </w:r>
    </w:p>
    <w:p w:rsidR="000C39D1" w:rsidRPr="00132E65" w:rsidRDefault="000C39D1" w:rsidP="001C701C">
      <w:pPr>
        <w:pStyle w:val="libFootnote0"/>
        <w:rPr>
          <w:rtl/>
          <w:lang w:bidi="fa-IR"/>
        </w:rPr>
      </w:pPr>
      <w:r>
        <w:rPr>
          <w:rtl/>
        </w:rPr>
        <w:t>(4). في « ه</w:t>
      </w:r>
      <w:r>
        <w:rPr>
          <w:rFonts w:hint="cs"/>
          <w:rtl/>
        </w:rPr>
        <w:t xml:space="preserve"> </w:t>
      </w:r>
      <w:r w:rsidRPr="00132E65">
        <w:rPr>
          <w:rtl/>
        </w:rPr>
        <w:t>» : « إذ »</w:t>
      </w:r>
      <w:r>
        <w:rPr>
          <w:rtl/>
        </w:rPr>
        <w:t>.</w:t>
      </w:r>
    </w:p>
    <w:p w:rsidR="000C39D1" w:rsidRPr="00132E65" w:rsidRDefault="000C39D1" w:rsidP="000C39D1">
      <w:pPr>
        <w:pStyle w:val="libFootnote0"/>
        <w:rPr>
          <w:rtl/>
          <w:lang w:bidi="fa-IR"/>
        </w:rPr>
      </w:pPr>
      <w:r>
        <w:rPr>
          <w:rtl/>
        </w:rPr>
        <w:t>(5).</w:t>
      </w:r>
      <w:r w:rsidRPr="00132E65">
        <w:rPr>
          <w:rtl/>
        </w:rPr>
        <w:t xml:space="preserve"> في كمال الدين ، ص 333 والغيبة للنعماني ، ص 162 : « حجّة الله »</w:t>
      </w:r>
      <w:r>
        <w:rPr>
          <w:rtl/>
        </w:rPr>
        <w:t>.</w:t>
      </w:r>
    </w:p>
    <w:p w:rsidR="000C39D1" w:rsidRPr="00132E65" w:rsidRDefault="000C39D1" w:rsidP="000C39D1">
      <w:pPr>
        <w:pStyle w:val="libFootnote0"/>
        <w:rPr>
          <w:rtl/>
          <w:lang w:bidi="fa-IR"/>
        </w:rPr>
      </w:pPr>
      <w:r>
        <w:rPr>
          <w:rtl/>
        </w:rPr>
        <w:t>(6).</w:t>
      </w:r>
      <w:r w:rsidRPr="00132E65">
        <w:rPr>
          <w:rtl/>
        </w:rPr>
        <w:t xml:space="preserve"> في « ف » : « ولا يظهر »</w:t>
      </w:r>
      <w:r>
        <w:rPr>
          <w:rtl/>
        </w:rPr>
        <w:t>.</w:t>
      </w:r>
      <w:r w:rsidRPr="00132E65">
        <w:rPr>
          <w:rtl/>
        </w:rPr>
        <w:t xml:space="preserve"> وفي كمال الدين ، ص 337 </w:t>
      </w:r>
      <w:r>
        <w:rPr>
          <w:rtl/>
        </w:rPr>
        <w:t>و 3</w:t>
      </w:r>
      <w:r w:rsidRPr="00132E65">
        <w:rPr>
          <w:rtl/>
        </w:rPr>
        <w:t>39 والغيبة للنعماني والطوسي : « فلم يظهر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الغيبة للنعماني :</w:t>
            </w:r>
            <w:r>
              <w:rPr>
                <w:rtl/>
              </w:rPr>
              <w:t xml:space="preserve"> + </w:t>
            </w:r>
            <w:r w:rsidRPr="00132E65">
              <w:rPr>
                <w:rtl/>
              </w:rPr>
              <w:t>« الله »</w:t>
            </w:r>
            <w:r>
              <w:rPr>
                <w:rtl/>
              </w:rPr>
              <w:t>.</w:t>
            </w:r>
          </w:p>
        </w:tc>
        <w:tc>
          <w:tcPr>
            <w:tcW w:w="4006" w:type="dxa"/>
          </w:tcPr>
          <w:p w:rsidR="000C39D1" w:rsidRDefault="000C39D1" w:rsidP="00B53873">
            <w:pPr>
              <w:pStyle w:val="libFootnote0"/>
              <w:rPr>
                <w:rtl/>
              </w:rPr>
            </w:pPr>
            <w:r>
              <w:rPr>
                <w:rtl/>
              </w:rPr>
              <w:t>(8).</w:t>
            </w:r>
            <w:r w:rsidRPr="00132E65">
              <w:rPr>
                <w:rtl/>
              </w:rPr>
              <w:t xml:space="preserve"> في « ف » : « أولياءهم »</w:t>
            </w:r>
            <w:r>
              <w:rPr>
                <w:rtl/>
              </w:rPr>
              <w:t>.</w:t>
            </w:r>
          </w:p>
        </w:tc>
      </w:tr>
    </w:tbl>
    <w:p w:rsidR="000C39D1" w:rsidRPr="00132E65" w:rsidRDefault="000C39D1" w:rsidP="000C39D1">
      <w:pPr>
        <w:pStyle w:val="libFootnote0"/>
        <w:rPr>
          <w:rtl/>
          <w:lang w:bidi="fa-IR"/>
        </w:rPr>
      </w:pPr>
      <w:r>
        <w:rPr>
          <w:rtl/>
        </w:rPr>
        <w:t>(9).</w:t>
      </w:r>
      <w:r w:rsidRPr="00132E65">
        <w:rPr>
          <w:rtl/>
        </w:rPr>
        <w:t xml:space="preserve"> في « بس » والغيبة للطوسي : « أشرار »</w:t>
      </w:r>
      <w:r>
        <w:rPr>
          <w:rtl/>
        </w:rPr>
        <w:t>.</w:t>
      </w:r>
    </w:p>
    <w:p w:rsidR="000C39D1" w:rsidRPr="00132E65" w:rsidRDefault="000C39D1" w:rsidP="000C39D1">
      <w:pPr>
        <w:pStyle w:val="libFootnote0"/>
        <w:rPr>
          <w:rtl/>
          <w:lang w:bidi="fa-IR"/>
        </w:rPr>
      </w:pPr>
      <w:r>
        <w:rPr>
          <w:rtl/>
        </w:rPr>
        <w:t>(10).</w:t>
      </w:r>
      <w:r w:rsidRPr="00132E65">
        <w:rPr>
          <w:rtl/>
        </w:rPr>
        <w:t xml:space="preserve"> </w:t>
      </w:r>
      <w:r w:rsidRPr="004551F5">
        <w:rPr>
          <w:rtl/>
        </w:rPr>
        <w:t>الغيبة</w:t>
      </w:r>
      <w:r w:rsidRPr="00132E65">
        <w:rPr>
          <w:rtl/>
        </w:rPr>
        <w:t xml:space="preserve"> للنعماني ، ص 162 ، ح 2 ، عن الكليني. </w:t>
      </w:r>
      <w:r w:rsidRPr="004551F5">
        <w:rPr>
          <w:rtl/>
        </w:rPr>
        <w:t>وفيه</w:t>
      </w:r>
      <w:r w:rsidRPr="00132E65">
        <w:rPr>
          <w:rtl/>
        </w:rPr>
        <w:t xml:space="preserve"> ، ص 161 ، ح 1 ، عن محمّد بن همام ، عن بعض رجاله ، عن أحمد بن محمّد بن خالد ، عن أبيه ، عن رجل ، عن المفضّل بن عمر ؛ </w:t>
      </w:r>
      <w:r w:rsidRPr="004551F5">
        <w:rPr>
          <w:rtl/>
        </w:rPr>
        <w:t>كمال الدين</w:t>
      </w:r>
      <w:r w:rsidRPr="00132E65">
        <w:rPr>
          <w:rtl/>
        </w:rPr>
        <w:t xml:space="preserve"> ، ص 337 ، ح 10 ، بسنده عن إبراهيم بن هاشم ، عن محمّد بن خالد ، عن محمّد بن سنان ، عن المفضّل بن عمر ، عن أبي عبد الله ؛ </w:t>
      </w:r>
      <w:r w:rsidRPr="004551F5">
        <w:rPr>
          <w:rtl/>
        </w:rPr>
        <w:t>وفيه</w:t>
      </w:r>
      <w:r w:rsidRPr="00132E65">
        <w:rPr>
          <w:rtl/>
        </w:rPr>
        <w:t xml:space="preserve"> ، ص 339 ، ح 16 ، بسنده عن سعد بن عبد الله ، عن أحمد بن محمّد بن عيسى ، عن محمّد بن خالد ، عن محمّد بن سنان ، عن المفضّل بن عمر ، عن أبي عبد الله ؛ </w:t>
      </w:r>
      <w:r w:rsidRPr="004551F5">
        <w:rPr>
          <w:rtl/>
        </w:rPr>
        <w:t>الغيبة</w:t>
      </w:r>
      <w:r w:rsidRPr="00132E65">
        <w:rPr>
          <w:rtl/>
        </w:rPr>
        <w:t xml:space="preserve"> للطوسي ، ص 457 ، ح 468 ، عن سعد ، عن أحمد بن محمّد بن عيسى ، عن محمّد بن خالد البرقي ، عمّن حدّثه ، عن المفضّل. </w:t>
      </w:r>
      <w:r w:rsidRPr="004551F5">
        <w:rPr>
          <w:rtl/>
        </w:rPr>
        <w:t>كمال الدين</w:t>
      </w:r>
      <w:r w:rsidRPr="00132E65">
        <w:rPr>
          <w:rtl/>
        </w:rPr>
        <w:t xml:space="preserve"> ، ص 339 ، ح 17 ، بسند آخر ، مع اختلاف يسير. وراجع : </w:t>
      </w:r>
      <w:r w:rsidRPr="000577A7">
        <w:rPr>
          <w:rStyle w:val="libFootnoteBoldChar"/>
          <w:rtl/>
        </w:rPr>
        <w:t>الكافي</w:t>
      </w:r>
      <w:r w:rsidRPr="00132E65">
        <w:rPr>
          <w:rtl/>
        </w:rPr>
        <w:t xml:space="preserve"> ، كتاب الحجّة ، باب في الغيبة ، ح 931 </w:t>
      </w:r>
      <w:r>
        <w:rPr>
          <w:rFonts w:hint="cs"/>
          <w:rtl/>
        </w:rPr>
        <w:t>.</w:t>
      </w:r>
      <w:r w:rsidRPr="009D1ACE">
        <w:rPr>
          <w:rStyle w:val="libFootnoteBoldChar"/>
          <w:rtl/>
        </w:rPr>
        <w:t>الوافي</w:t>
      </w:r>
      <w:r w:rsidRPr="00132E65">
        <w:rPr>
          <w:rtl/>
        </w:rPr>
        <w:t xml:space="preserve"> ، ج 2 ، ص 440 ، ح 957.</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فِي دَوْلَةِ الْبَاطِلِ ، أَوِ الْعِبَادَةُ فِي ظُهُورِ الْحَقِّ و</w:t>
      </w:r>
      <w:r>
        <w:rPr>
          <w:rFonts w:hint="cs"/>
          <w:rtl/>
          <w:lang w:bidi="fa-IR"/>
        </w:rPr>
        <w:t xml:space="preserve">َ </w:t>
      </w:r>
      <w:r w:rsidRPr="00132E65">
        <w:rPr>
          <w:rtl/>
          <w:lang w:bidi="fa-IR"/>
        </w:rPr>
        <w:t>دَوْلَتِهِ مَعَ الْإِمَامِ مِنْكُمُ الظَّاهِرِ</w:t>
      </w:r>
      <w:r>
        <w:rPr>
          <w:rtl/>
          <w:lang w:bidi="fa-IR"/>
        </w:rPr>
        <w:t>؟</w:t>
      </w:r>
    </w:p>
    <w:p w:rsidR="000C39D1" w:rsidRPr="00132E65" w:rsidRDefault="000C39D1" w:rsidP="000C39D1">
      <w:pPr>
        <w:pStyle w:val="libNormal"/>
        <w:rPr>
          <w:rtl/>
          <w:lang w:bidi="fa-IR"/>
        </w:rPr>
      </w:pPr>
      <w:r w:rsidRPr="00132E65">
        <w:rPr>
          <w:rtl/>
          <w:lang w:bidi="fa-IR"/>
        </w:rPr>
        <w:t>فَقَالَ : « يَا عَمَّارُ ، الصَّدَقَةُ فِي السِّرِّ و</w:t>
      </w:r>
      <w:r>
        <w:rPr>
          <w:rFonts w:hint="cs"/>
          <w:rtl/>
          <w:lang w:bidi="fa-IR"/>
        </w:rPr>
        <w:t xml:space="preserve">َ </w:t>
      </w:r>
      <w:r w:rsidRPr="00132E65">
        <w:rPr>
          <w:rtl/>
          <w:lang w:bidi="fa-IR"/>
        </w:rPr>
        <w:t>اللهِ أَفْضَلُ مِنَ الصَّدَقَةِ فِي الْعَلَانِيَةِ ، و</w:t>
      </w:r>
      <w:r>
        <w:rPr>
          <w:rFonts w:hint="cs"/>
          <w:rtl/>
          <w:lang w:bidi="fa-IR"/>
        </w:rPr>
        <w:t xml:space="preserve">َ </w:t>
      </w:r>
      <w:r w:rsidRPr="00132E65">
        <w:rPr>
          <w:rtl/>
          <w:lang w:bidi="fa-IR"/>
        </w:rPr>
        <w:t>كَذلِكَ وَاللهِ عِبَادَتُكُمْ فِي السِّرِّ مَعَ إِمَامِكُمُ الْمُسْتَتِرِ فِي دَوْلَةِ الْبَاطِلِ ، و</w:t>
      </w:r>
      <w:r>
        <w:rPr>
          <w:rFonts w:hint="cs"/>
          <w:rtl/>
          <w:lang w:bidi="fa-IR"/>
        </w:rPr>
        <w:t xml:space="preserve">َ </w:t>
      </w:r>
      <w:r w:rsidRPr="00132E65">
        <w:rPr>
          <w:rtl/>
          <w:lang w:bidi="fa-IR"/>
        </w:rPr>
        <w:t>تَخَوُّفُكُمْ مِنْ عَدُوِّكُمْ فِي دَوْلَةِ الْبَاطِلِ و</w:t>
      </w:r>
      <w:r>
        <w:rPr>
          <w:rFonts w:hint="cs"/>
          <w:rtl/>
          <w:lang w:bidi="fa-IR"/>
        </w:rPr>
        <w:t xml:space="preserve">َ </w:t>
      </w:r>
      <w:r w:rsidRPr="00132E65">
        <w:rPr>
          <w:rtl/>
          <w:lang w:bidi="fa-IR"/>
        </w:rPr>
        <w:t xml:space="preserve">حَالِ الْهُدْنَةِ </w:t>
      </w:r>
      <w:r>
        <w:rPr>
          <w:rStyle w:val="libFootnotenumChar"/>
          <w:rtl/>
        </w:rPr>
        <w:t>(1)</w:t>
      </w:r>
      <w:r w:rsidRPr="00132E65">
        <w:rPr>
          <w:rtl/>
          <w:lang w:bidi="fa-IR"/>
        </w:rPr>
        <w:t xml:space="preserve"> أَفْضَلُ مِمَّنْ يَعْبُدُ اللهَ</w:t>
      </w:r>
      <w:r>
        <w:rPr>
          <w:rtl/>
          <w:lang w:bidi="fa-IR"/>
        </w:rPr>
        <w:t xml:space="preserve"> - </w:t>
      </w:r>
      <w:r w:rsidRPr="00132E65">
        <w:rPr>
          <w:rtl/>
          <w:lang w:bidi="fa-IR"/>
        </w:rPr>
        <w:t>عَزَّ و</w:t>
      </w:r>
      <w:r>
        <w:rPr>
          <w:rFonts w:hint="cs"/>
          <w:rtl/>
          <w:lang w:bidi="fa-IR"/>
        </w:rPr>
        <w:t xml:space="preserve">َ </w:t>
      </w:r>
      <w:r w:rsidRPr="00132E65">
        <w:rPr>
          <w:rtl/>
          <w:lang w:bidi="fa-IR"/>
        </w:rPr>
        <w:t xml:space="preserve">جَلَّ ذِكْرُهُ </w:t>
      </w:r>
      <w:r>
        <w:rPr>
          <w:rStyle w:val="libFootnotenumChar"/>
          <w:rtl/>
        </w:rPr>
        <w:t>(2)</w:t>
      </w:r>
      <w:r>
        <w:rPr>
          <w:rtl/>
          <w:lang w:bidi="fa-IR"/>
        </w:rPr>
        <w:t xml:space="preserve"> - </w:t>
      </w:r>
      <w:r w:rsidRPr="00132E65">
        <w:rPr>
          <w:rtl/>
          <w:lang w:bidi="fa-IR"/>
        </w:rPr>
        <w:t xml:space="preserve">فِي ظُهُورِ الْحَقِّ مَعَ إِمَامِ </w:t>
      </w:r>
      <w:r>
        <w:rPr>
          <w:rStyle w:val="libFootnotenumChar"/>
          <w:rtl/>
        </w:rPr>
        <w:t>(3)</w:t>
      </w:r>
      <w:r w:rsidRPr="00132E65">
        <w:rPr>
          <w:rtl/>
          <w:lang w:bidi="fa-IR"/>
        </w:rPr>
        <w:t xml:space="preserve"> الْحَقِّ الظَّاهِرِ فِي دَوْلَةِ الْحَقِّ ، و</w:t>
      </w:r>
      <w:r>
        <w:rPr>
          <w:rFonts w:hint="cs"/>
          <w:rtl/>
          <w:lang w:bidi="fa-IR"/>
        </w:rPr>
        <w:t xml:space="preserve">َ </w:t>
      </w:r>
      <w:r w:rsidRPr="00132E65">
        <w:rPr>
          <w:rtl/>
          <w:lang w:bidi="fa-IR"/>
        </w:rPr>
        <w:t>لَيْسَتِ الْعِبَادَةُ مَعَ الْخَوْفِ فِي دَوْلَةِ الْبَاطِلِ مِثْلَ الْعِبَادَةِ و</w:t>
      </w:r>
      <w:r>
        <w:rPr>
          <w:rFonts w:hint="cs"/>
          <w:rtl/>
          <w:lang w:bidi="fa-IR"/>
        </w:rPr>
        <w:t xml:space="preserve">َ </w:t>
      </w:r>
      <w:r>
        <w:rPr>
          <w:rStyle w:val="libFootnotenumChar"/>
          <w:rtl/>
        </w:rPr>
        <w:t>(4)</w:t>
      </w:r>
      <w:r w:rsidRPr="00132E65">
        <w:rPr>
          <w:rtl/>
          <w:lang w:bidi="fa-IR"/>
        </w:rPr>
        <w:t xml:space="preserve"> الْأَمْنِ فِي دَوْلَةِ الْحَقِّ.</w:t>
      </w:r>
    </w:p>
    <w:p w:rsidR="000C39D1" w:rsidRPr="00132E65" w:rsidRDefault="000C39D1" w:rsidP="000C39D1">
      <w:pPr>
        <w:pStyle w:val="libNormal"/>
        <w:rPr>
          <w:rtl/>
          <w:lang w:bidi="fa-IR"/>
        </w:rPr>
      </w:pPr>
      <w:r w:rsidRPr="00132E65">
        <w:rPr>
          <w:rtl/>
          <w:lang w:bidi="fa-IR"/>
        </w:rPr>
        <w:t xml:space="preserve">وَاعْلَمُوا : أَنَّ مَنْ صَلّى مِنْكُمُ الْيَوْمَ صَلَاةً </w:t>
      </w:r>
      <w:r>
        <w:rPr>
          <w:rStyle w:val="libFootnotenumChar"/>
          <w:rtl/>
        </w:rPr>
        <w:t>(5)</w:t>
      </w:r>
      <w:r w:rsidRPr="00132E65">
        <w:rPr>
          <w:rtl/>
          <w:lang w:bidi="fa-IR"/>
        </w:rPr>
        <w:t xml:space="preserve"> فَرِيضَةً فِي جَمَاعَةٍ مُسْتَتِراً </w:t>
      </w:r>
      <w:r>
        <w:rPr>
          <w:rStyle w:val="libFootnotenumChar"/>
          <w:rtl/>
        </w:rPr>
        <w:t>(6)</w:t>
      </w:r>
      <w:r w:rsidRPr="00132E65">
        <w:rPr>
          <w:rtl/>
          <w:lang w:bidi="fa-IR"/>
        </w:rPr>
        <w:t xml:space="preserve"> بِهَا مِنْ عَدُوِّهِ فِي و</w:t>
      </w:r>
      <w:r>
        <w:rPr>
          <w:rFonts w:hint="cs"/>
          <w:rtl/>
          <w:lang w:bidi="fa-IR"/>
        </w:rPr>
        <w:t>َ</w:t>
      </w:r>
      <w:r w:rsidRPr="00132E65">
        <w:rPr>
          <w:rtl/>
          <w:lang w:bidi="fa-IR"/>
        </w:rPr>
        <w:t xml:space="preserve">قْتِهَا ، فَأَتَمَّهَا </w:t>
      </w:r>
      <w:r>
        <w:rPr>
          <w:rStyle w:val="libFootnotenumChar"/>
          <w:rtl/>
        </w:rPr>
        <w:t>(7)</w:t>
      </w:r>
      <w:r w:rsidRPr="00132E65">
        <w:rPr>
          <w:rtl/>
          <w:lang w:bidi="fa-IR"/>
        </w:rPr>
        <w:t xml:space="preserve"> ، كَتَبَ اللهُ</w:t>
      </w:r>
      <w:r>
        <w:rPr>
          <w:rtl/>
          <w:lang w:bidi="fa-IR"/>
        </w:rPr>
        <w:t xml:space="preserve"> - </w:t>
      </w:r>
      <w:r w:rsidRPr="00132E65">
        <w:rPr>
          <w:rtl/>
          <w:lang w:bidi="fa-IR"/>
        </w:rPr>
        <w:t>عَزَّ و</w:t>
      </w:r>
      <w:r>
        <w:rPr>
          <w:rFonts w:hint="cs"/>
          <w:rtl/>
          <w:lang w:bidi="fa-IR"/>
        </w:rPr>
        <w:t>َ</w:t>
      </w:r>
      <w:r w:rsidRPr="00132E65">
        <w:rPr>
          <w:rtl/>
          <w:lang w:bidi="fa-IR"/>
        </w:rPr>
        <w:t>جَلَّ</w:t>
      </w:r>
      <w:r>
        <w:rPr>
          <w:rtl/>
          <w:lang w:bidi="fa-IR"/>
        </w:rPr>
        <w:t xml:space="preserve"> - </w:t>
      </w:r>
      <w:r w:rsidRPr="00132E65">
        <w:rPr>
          <w:rtl/>
          <w:lang w:bidi="fa-IR"/>
        </w:rPr>
        <w:t>لَهُ خَمْسِينَ صَلَاةً فَرِيضَةً فِي جَمَاعَةٍ ؛ وَمَنْ صَلّى مِنْكُمْ صَلَاةً فَرِيضَةً و</w:t>
      </w:r>
      <w:r>
        <w:rPr>
          <w:rFonts w:hint="cs"/>
          <w:rtl/>
          <w:lang w:bidi="fa-IR"/>
        </w:rPr>
        <w:t>َ</w:t>
      </w:r>
      <w:r w:rsidRPr="00132E65">
        <w:rPr>
          <w:rtl/>
          <w:lang w:bidi="fa-IR"/>
        </w:rPr>
        <w:t>حْدَهُ مُسْتَتِراً بِهَا مِنْ عَدُوِّهِ فِي و</w:t>
      </w:r>
      <w:r>
        <w:rPr>
          <w:rFonts w:hint="cs"/>
          <w:rtl/>
          <w:lang w:bidi="fa-IR"/>
        </w:rPr>
        <w:t>َ</w:t>
      </w:r>
      <w:r w:rsidRPr="00132E65">
        <w:rPr>
          <w:rtl/>
          <w:lang w:bidi="fa-IR"/>
        </w:rPr>
        <w:t xml:space="preserve">قْتِهَا ، فَأَتَمَّهَا </w:t>
      </w:r>
      <w:r>
        <w:rPr>
          <w:rStyle w:val="libFootnotenumChar"/>
          <w:rtl/>
        </w:rPr>
        <w:t>(8)</w:t>
      </w:r>
      <w:r w:rsidRPr="00132E65">
        <w:rPr>
          <w:rtl/>
          <w:lang w:bidi="fa-IR"/>
        </w:rPr>
        <w:t xml:space="preserve"> ، كَتَبَ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 xml:space="preserve">لَهُ بِهَا </w:t>
      </w:r>
      <w:r>
        <w:rPr>
          <w:rStyle w:val="libFootnotenumChar"/>
          <w:rtl/>
        </w:rPr>
        <w:t>(9)</w:t>
      </w:r>
      <w:r w:rsidRPr="00132E65">
        <w:rPr>
          <w:rtl/>
          <w:lang w:bidi="fa-IR"/>
        </w:rPr>
        <w:t xml:space="preserve"> خَمْساً و</w:t>
      </w:r>
      <w:r>
        <w:rPr>
          <w:rFonts w:hint="cs"/>
          <w:rtl/>
          <w:lang w:bidi="fa-IR"/>
        </w:rPr>
        <w:t xml:space="preserve">َ </w:t>
      </w:r>
      <w:r w:rsidRPr="00132E65">
        <w:rPr>
          <w:rtl/>
          <w:lang w:bidi="fa-IR"/>
        </w:rPr>
        <w:t>عِشْرِينَ صَلَاةً فَرِيضَةً و</w:t>
      </w:r>
      <w:r>
        <w:rPr>
          <w:rFonts w:hint="cs"/>
          <w:rtl/>
          <w:lang w:bidi="fa-IR"/>
        </w:rPr>
        <w:t>َ</w:t>
      </w:r>
      <w:r w:rsidRPr="00132E65">
        <w:rPr>
          <w:rtl/>
          <w:lang w:bidi="fa-IR"/>
        </w:rPr>
        <w:t xml:space="preserve">حْدَانِيَّةً </w:t>
      </w:r>
      <w:r>
        <w:rPr>
          <w:rStyle w:val="libFootnotenumChar"/>
          <w:rtl/>
        </w:rPr>
        <w:t>(10)</w:t>
      </w:r>
      <w:r w:rsidRPr="00132E65">
        <w:rPr>
          <w:rtl/>
          <w:lang w:bidi="fa-IR"/>
        </w:rPr>
        <w:t xml:space="preserve"> ؛ و</w:t>
      </w:r>
      <w:r>
        <w:rPr>
          <w:rFonts w:hint="cs"/>
          <w:rtl/>
          <w:lang w:bidi="fa-IR"/>
        </w:rPr>
        <w:t>َ</w:t>
      </w:r>
      <w:r w:rsidRPr="00132E65">
        <w:rPr>
          <w:rtl/>
          <w:lang w:bidi="fa-IR"/>
        </w:rPr>
        <w:t>مَنْ صَلّى مِنْكُمْ صَلَاةً نَافِلَةً لِوَقْتِهَا ، فَأَتَمَّهَا ، كَتَبَ اللهُ</w:t>
      </w:r>
      <w:r>
        <w:rPr>
          <w:rtl/>
          <w:lang w:bidi="fa-IR"/>
        </w:rPr>
        <w:t xml:space="preserve"> - </w:t>
      </w:r>
      <w:r w:rsidRPr="00132E65">
        <w:rPr>
          <w:rtl/>
          <w:lang w:bidi="fa-IR"/>
        </w:rPr>
        <w:t>عَزَّ و</w:t>
      </w:r>
      <w:r>
        <w:rPr>
          <w:rFonts w:hint="cs"/>
          <w:rtl/>
          <w:lang w:bidi="fa-IR"/>
        </w:rPr>
        <w:t>َ</w:t>
      </w:r>
      <w:r w:rsidRPr="00132E65">
        <w:rPr>
          <w:rtl/>
          <w:lang w:bidi="fa-IR"/>
        </w:rPr>
        <w:t>جَلَّ</w:t>
      </w:r>
      <w:r>
        <w:rPr>
          <w:rtl/>
          <w:lang w:bidi="fa-IR"/>
        </w:rPr>
        <w:t xml:space="preserve"> - </w:t>
      </w:r>
      <w:r w:rsidRPr="00132E65">
        <w:rPr>
          <w:rtl/>
          <w:lang w:bidi="fa-IR"/>
        </w:rPr>
        <w:t xml:space="preserve">لَهُ بِهَا عَشْرَ صَلَوَاتٍ </w:t>
      </w:r>
      <w:r>
        <w:rPr>
          <w:rStyle w:val="libFootnotenumChar"/>
          <w:rtl/>
        </w:rPr>
        <w:t>(11)</w:t>
      </w:r>
      <w:r w:rsidRPr="00132E65">
        <w:rPr>
          <w:rtl/>
          <w:lang w:bidi="fa-IR"/>
        </w:rPr>
        <w:t xml:space="preserve"> نَوَافِلَ ؛ و</w:t>
      </w:r>
      <w:r>
        <w:rPr>
          <w:rFonts w:hint="cs"/>
          <w:rtl/>
          <w:lang w:bidi="fa-IR"/>
        </w:rPr>
        <w:t>َ</w:t>
      </w:r>
      <w:r w:rsidRPr="00132E65">
        <w:rPr>
          <w:rtl/>
          <w:lang w:bidi="fa-IR"/>
        </w:rPr>
        <w:t>مَنْ عَمِلَ مِنْكُمْ حَسَنَةً ، كَتَبَ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لَهُ بِهَا عِشْرِينَ حَسَنَةً ، و</w:t>
      </w:r>
      <w:r>
        <w:rPr>
          <w:rFonts w:hint="cs"/>
          <w:rtl/>
          <w:lang w:bidi="fa-IR"/>
        </w:rPr>
        <w:t>َ</w:t>
      </w:r>
      <w:r w:rsidRPr="00132E65">
        <w:rPr>
          <w:rtl/>
          <w:lang w:bidi="fa-IR"/>
        </w:rPr>
        <w:t>يُضَاعِفُ اللهُ‌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قال ابن الأثير : « الهُدْنَةُ : السكون ، والهُدْنَةُ : الصلح والموادعة بين المسلمين والكفّار وبين كلّ متحاربَين. </w:t>
      </w:r>
      <w:r w:rsidRPr="004551F5">
        <w:rPr>
          <w:rtl/>
        </w:rPr>
        <w:t>النهاية</w:t>
      </w:r>
      <w:r w:rsidRPr="00132E65">
        <w:rPr>
          <w:rtl/>
        </w:rPr>
        <w:t xml:space="preserve"> ، ج 5 ، ص 252 ( هدن )</w:t>
      </w:r>
      <w:r>
        <w:rPr>
          <w:rtl/>
        </w:rPr>
        <w:t>.</w:t>
      </w:r>
    </w:p>
    <w:p w:rsidR="000C39D1" w:rsidRPr="00132E65" w:rsidRDefault="000C39D1" w:rsidP="000C39D1">
      <w:pPr>
        <w:pStyle w:val="libFootnote0"/>
        <w:rPr>
          <w:rtl/>
          <w:lang w:bidi="fa-IR"/>
        </w:rPr>
      </w:pPr>
      <w:r>
        <w:rPr>
          <w:rtl/>
        </w:rPr>
        <w:t>(2).</w:t>
      </w:r>
      <w:r w:rsidRPr="00132E65">
        <w:rPr>
          <w:rtl/>
        </w:rPr>
        <w:t xml:space="preserve"> في « ج ، ض ، بر » : « جلّ ذكره »</w:t>
      </w:r>
      <w:r>
        <w:rPr>
          <w:rtl/>
        </w:rPr>
        <w:t>.</w:t>
      </w:r>
      <w:r w:rsidRPr="00132E65">
        <w:rPr>
          <w:rtl/>
        </w:rPr>
        <w:t xml:space="preserve"> وفي « ه‍ ، ف ، بس ، بف » : « عزّ ذكره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بر » : « الإمام »</w:t>
            </w:r>
            <w:r>
              <w:rPr>
                <w:rtl/>
              </w:rPr>
              <w:t>.</w:t>
            </w:r>
          </w:p>
        </w:tc>
        <w:tc>
          <w:tcPr>
            <w:tcW w:w="4006" w:type="dxa"/>
          </w:tcPr>
          <w:p w:rsidR="000C39D1" w:rsidRDefault="000C39D1" w:rsidP="00B53873">
            <w:pPr>
              <w:pStyle w:val="libFootnote0"/>
              <w:rPr>
                <w:rtl/>
              </w:rPr>
            </w:pPr>
            <w:r>
              <w:rPr>
                <w:rtl/>
              </w:rPr>
              <w:t>(4).</w:t>
            </w:r>
            <w:r w:rsidRPr="00132E65">
              <w:rPr>
                <w:rtl/>
              </w:rPr>
              <w:t xml:space="preserve"> في « بس » : « مع »</w:t>
            </w:r>
            <w:r>
              <w:rPr>
                <w:rtl/>
              </w:rPr>
              <w:t>.</w:t>
            </w:r>
          </w:p>
        </w:tc>
      </w:tr>
    </w:tbl>
    <w:p w:rsidR="000C39D1" w:rsidRPr="00132E65" w:rsidRDefault="000C39D1" w:rsidP="000C39D1">
      <w:pPr>
        <w:pStyle w:val="libFootnote0"/>
        <w:rPr>
          <w:rtl/>
          <w:lang w:bidi="fa-IR"/>
        </w:rPr>
      </w:pPr>
      <w:r>
        <w:rPr>
          <w:rtl/>
        </w:rPr>
        <w:t>(5).</w:t>
      </w:r>
      <w:r w:rsidRPr="00132E65">
        <w:rPr>
          <w:rtl/>
        </w:rPr>
        <w:t xml:space="preserve"> في « ج » : « صلاة منكم اليوم »</w:t>
      </w:r>
      <w:r>
        <w:rPr>
          <w:rtl/>
        </w:rPr>
        <w:t>.</w:t>
      </w:r>
      <w:r w:rsidRPr="00132E65">
        <w:rPr>
          <w:rtl/>
        </w:rPr>
        <w:t xml:space="preserve"> وفي « ف » : « اليوم منكم صلاة »</w:t>
      </w:r>
      <w:r>
        <w:rPr>
          <w:rtl/>
        </w:rPr>
        <w:t>.</w:t>
      </w:r>
    </w:p>
    <w:p w:rsidR="000C39D1" w:rsidRPr="00132E65" w:rsidRDefault="000C39D1" w:rsidP="000C39D1">
      <w:pPr>
        <w:pStyle w:val="libFootnote0"/>
        <w:rPr>
          <w:rtl/>
          <w:lang w:bidi="fa-IR"/>
        </w:rPr>
      </w:pPr>
      <w:r>
        <w:rPr>
          <w:rtl/>
        </w:rPr>
        <w:t>(6).</w:t>
      </w:r>
      <w:r w:rsidRPr="00132E65">
        <w:rPr>
          <w:rtl/>
        </w:rPr>
        <w:t xml:space="preserve"> هكذا في أكثر النسخ. وفي « ج » والمطبوع : « مستترٍ »</w:t>
      </w:r>
      <w:r>
        <w:rPr>
          <w:rtl/>
        </w:rPr>
        <w:t>.</w:t>
      </w:r>
    </w:p>
    <w:p w:rsidR="000C39D1" w:rsidRPr="00132E65" w:rsidRDefault="000C39D1" w:rsidP="000C39D1">
      <w:pPr>
        <w:pStyle w:val="libFootnote0"/>
        <w:rPr>
          <w:rtl/>
          <w:lang w:bidi="fa-IR"/>
        </w:rPr>
      </w:pPr>
      <w:r>
        <w:rPr>
          <w:rtl/>
        </w:rPr>
        <w:t>(7).</w:t>
      </w:r>
      <w:r w:rsidRPr="00132E65">
        <w:rPr>
          <w:rtl/>
        </w:rPr>
        <w:t xml:space="preserve"> في « ب ، ه‍ ، بر ، بس ، بف » و</w:t>
      </w:r>
      <w:r w:rsidRPr="009D1ACE">
        <w:rPr>
          <w:rStyle w:val="libFootnoteBoldChar"/>
          <w:rtl/>
        </w:rPr>
        <w:t>الوافي</w:t>
      </w:r>
      <w:r w:rsidRPr="00132E65">
        <w:rPr>
          <w:rtl/>
        </w:rPr>
        <w:t xml:space="preserve"> : « وأتمّها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ب » و</w:t>
            </w:r>
            <w:r w:rsidRPr="009D1ACE">
              <w:rPr>
                <w:rStyle w:val="libFootnoteBoldChar"/>
                <w:rtl/>
              </w:rPr>
              <w:t>الوافي</w:t>
            </w:r>
            <w:r w:rsidRPr="00132E65">
              <w:rPr>
                <w:rtl/>
              </w:rPr>
              <w:t xml:space="preserve"> : « وأتمّها »</w:t>
            </w:r>
            <w:r>
              <w:rPr>
                <w:rtl/>
              </w:rPr>
              <w:t>.</w:t>
            </w:r>
          </w:p>
        </w:tc>
        <w:tc>
          <w:tcPr>
            <w:tcW w:w="4006" w:type="dxa"/>
          </w:tcPr>
          <w:p w:rsidR="000C39D1" w:rsidRDefault="000C39D1" w:rsidP="00B53873">
            <w:pPr>
              <w:pStyle w:val="libFootnote0"/>
              <w:rPr>
                <w:rtl/>
              </w:rPr>
            </w:pPr>
            <w:r>
              <w:rPr>
                <w:rtl/>
              </w:rPr>
              <w:t>(9).</w:t>
            </w:r>
            <w:r w:rsidRPr="00132E65">
              <w:rPr>
                <w:rtl/>
              </w:rPr>
              <w:t>هكذافي أكثر النسخ و</w:t>
            </w:r>
            <w:r w:rsidRPr="009D1ACE">
              <w:rPr>
                <w:rStyle w:val="libFootnoteBoldChar"/>
                <w:rtl/>
              </w:rPr>
              <w:t>الوافي</w:t>
            </w:r>
            <w:r w:rsidRPr="00132E65">
              <w:rPr>
                <w:rtl/>
              </w:rPr>
              <w:t>.وفي المطبوع:«بهاله »</w:t>
            </w:r>
            <w:r>
              <w:rPr>
                <w:rtl/>
              </w:rPr>
              <w:t>.</w:t>
            </w:r>
          </w:p>
        </w:tc>
      </w:tr>
    </w:tbl>
    <w:p w:rsidR="000C39D1" w:rsidRPr="00132E65" w:rsidRDefault="000C39D1" w:rsidP="000C39D1">
      <w:pPr>
        <w:pStyle w:val="libFootnote0"/>
        <w:rPr>
          <w:rtl/>
          <w:lang w:bidi="fa-IR"/>
        </w:rPr>
      </w:pPr>
      <w:r>
        <w:rPr>
          <w:rtl/>
        </w:rPr>
        <w:t>(10).</w:t>
      </w:r>
      <w:r w:rsidRPr="00132E65">
        <w:rPr>
          <w:rtl/>
        </w:rPr>
        <w:t xml:space="preserve"> « وَحْدانيّةً » ، أي مفارقة للجماعة ، المنفردة بنفسها ، وهي منسوبة إلى الوحدة بمعنى الانفراد بزيادة الألف والنون للمبالغة فهي نعت صلاة. وقال المجلسي في </w:t>
      </w:r>
      <w:r w:rsidRPr="009D1ACE">
        <w:rPr>
          <w:rStyle w:val="libFootnoteBoldChar"/>
          <w:rtl/>
        </w:rPr>
        <w:t>مرآة العقول</w:t>
      </w:r>
      <w:r w:rsidRPr="00132E65">
        <w:rPr>
          <w:rtl/>
        </w:rPr>
        <w:t xml:space="preserve"> : « قيل : بضمّ الواو نسبة إلى جمع واحد ، أي صادرة من واحد واحد ؛ فهي نعت خمساً وعشرين »</w:t>
      </w:r>
      <w:r>
        <w:rPr>
          <w:rtl/>
        </w:rPr>
        <w:t>.</w:t>
      </w:r>
      <w:r w:rsidRPr="00132E65">
        <w:rPr>
          <w:rtl/>
        </w:rPr>
        <w:t xml:space="preserve"> راجع : </w:t>
      </w:r>
      <w:r w:rsidRPr="004551F5">
        <w:rPr>
          <w:rtl/>
        </w:rPr>
        <w:t>النهاية</w:t>
      </w:r>
      <w:r w:rsidRPr="00132E65">
        <w:rPr>
          <w:rtl/>
        </w:rPr>
        <w:t xml:space="preserve"> ، ج 5 ، ص 160 ( وحد )</w:t>
      </w:r>
      <w:r>
        <w:rPr>
          <w:rtl/>
        </w:rPr>
        <w:t>.</w:t>
      </w:r>
    </w:p>
    <w:p w:rsidR="000C39D1" w:rsidRPr="00132E65" w:rsidRDefault="000C39D1" w:rsidP="000C39D1">
      <w:pPr>
        <w:pStyle w:val="libFootnote0"/>
        <w:rPr>
          <w:rtl/>
          <w:lang w:bidi="fa-IR"/>
        </w:rPr>
      </w:pPr>
      <w:r>
        <w:rPr>
          <w:rtl/>
        </w:rPr>
        <w:t>(11).</w:t>
      </w:r>
      <w:r w:rsidRPr="00132E65">
        <w:rPr>
          <w:rtl/>
        </w:rPr>
        <w:t xml:space="preserve"> في « ج » : « صلاة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Pr>
          <w:rtl/>
          <w:lang w:bidi="fa-IR"/>
        </w:rPr>
        <w:t>-</w:t>
      </w:r>
      <w:r w:rsidRPr="00132E65">
        <w:rPr>
          <w:rtl/>
          <w:lang w:bidi="fa-IR"/>
        </w:rPr>
        <w:t xml:space="preserve"> عَزَّ و</w:t>
      </w:r>
      <w:r>
        <w:rPr>
          <w:rFonts w:hint="cs"/>
          <w:rtl/>
          <w:lang w:bidi="fa-IR"/>
        </w:rPr>
        <w:t xml:space="preserve">َ </w:t>
      </w:r>
      <w:r w:rsidRPr="00132E65">
        <w:rPr>
          <w:rtl/>
          <w:lang w:bidi="fa-IR"/>
        </w:rPr>
        <w:t>جَلَّ</w:t>
      </w:r>
      <w:r>
        <w:rPr>
          <w:rtl/>
          <w:lang w:bidi="fa-IR"/>
        </w:rPr>
        <w:t xml:space="preserve"> - </w:t>
      </w:r>
      <w:r w:rsidRPr="00132E65">
        <w:rPr>
          <w:rtl/>
          <w:lang w:bidi="fa-IR"/>
        </w:rPr>
        <w:t>حَسَنَاتِ الْمُؤْمِنِ مِنْكُمْ</w:t>
      </w:r>
      <w:r>
        <w:rPr>
          <w:rtl/>
          <w:lang w:bidi="fa-IR"/>
        </w:rPr>
        <w:t xml:space="preserve"> - </w:t>
      </w:r>
      <w:r w:rsidRPr="00132E65">
        <w:rPr>
          <w:rtl/>
          <w:lang w:bidi="fa-IR"/>
        </w:rPr>
        <w:t xml:space="preserve">إِذَا أَحْسَنَ أَعْمَالَهُ </w:t>
      </w:r>
      <w:r>
        <w:rPr>
          <w:rStyle w:val="libFootnotenumChar"/>
          <w:rtl/>
        </w:rPr>
        <w:t>(1)</w:t>
      </w:r>
      <w:r w:rsidRPr="00132E65">
        <w:rPr>
          <w:rtl/>
          <w:lang w:bidi="fa-IR"/>
        </w:rPr>
        <w:t xml:space="preserve"> ، و</w:t>
      </w:r>
      <w:r>
        <w:rPr>
          <w:rFonts w:hint="cs"/>
          <w:rtl/>
          <w:lang w:bidi="fa-IR"/>
        </w:rPr>
        <w:t xml:space="preserve">َ </w:t>
      </w:r>
      <w:r w:rsidRPr="00132E65">
        <w:rPr>
          <w:rtl/>
          <w:lang w:bidi="fa-IR"/>
        </w:rPr>
        <w:t>دَانَ بِالتَّقِيَّةِ عَلى دِينِهِ وَإِمَامِهِ و</w:t>
      </w:r>
      <w:r>
        <w:rPr>
          <w:rFonts w:hint="cs"/>
          <w:rtl/>
          <w:lang w:bidi="fa-IR"/>
        </w:rPr>
        <w:t>َ</w:t>
      </w:r>
      <w:r w:rsidRPr="00132E65">
        <w:rPr>
          <w:rtl/>
          <w:lang w:bidi="fa-IR"/>
        </w:rPr>
        <w:t>نَفْسِهِ ، و</w:t>
      </w:r>
      <w:r>
        <w:rPr>
          <w:rFonts w:hint="cs"/>
          <w:rtl/>
          <w:lang w:bidi="fa-IR"/>
        </w:rPr>
        <w:t>َ</w:t>
      </w:r>
      <w:r w:rsidRPr="00132E65">
        <w:rPr>
          <w:rtl/>
          <w:lang w:bidi="fa-IR"/>
        </w:rPr>
        <w:t>أَمْسَكَ مِنْ لِسَانِهِ</w:t>
      </w:r>
      <w:r>
        <w:rPr>
          <w:rtl/>
          <w:lang w:bidi="fa-IR"/>
        </w:rPr>
        <w:t xml:space="preserve"> - </w:t>
      </w:r>
      <w:r w:rsidRPr="00132E65">
        <w:rPr>
          <w:rtl/>
          <w:lang w:bidi="fa-IR"/>
        </w:rPr>
        <w:t xml:space="preserve">أَضْعَافاً مُضَاعَفَةً </w:t>
      </w:r>
      <w:r>
        <w:rPr>
          <w:rStyle w:val="libFootnotenumChar"/>
          <w:rtl/>
        </w:rPr>
        <w:t>(2)</w:t>
      </w:r>
      <w:r w:rsidRPr="00132E65">
        <w:rPr>
          <w:rtl/>
          <w:lang w:bidi="fa-IR"/>
        </w:rPr>
        <w:t xml:space="preserve"> ؛ إِنَّ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كَرِيمٌ »</w:t>
      </w:r>
      <w:r>
        <w:rPr>
          <w:rtl/>
          <w:lang w:bidi="fa-IR"/>
        </w:rPr>
        <w:t>.</w:t>
      </w:r>
    </w:p>
    <w:p w:rsidR="000C39D1" w:rsidRPr="00132E65" w:rsidRDefault="000C39D1" w:rsidP="000C39D1">
      <w:pPr>
        <w:pStyle w:val="libNormal"/>
        <w:rPr>
          <w:rtl/>
          <w:lang w:bidi="fa-IR"/>
        </w:rPr>
      </w:pPr>
      <w:r w:rsidRPr="00132E65">
        <w:rPr>
          <w:rtl/>
          <w:lang w:bidi="fa-IR"/>
        </w:rPr>
        <w:t>قُلْتُ : جُعِلْتُ فِدَاكَ ، قَدْ و</w:t>
      </w:r>
      <w:r>
        <w:rPr>
          <w:rFonts w:hint="cs"/>
          <w:rtl/>
          <w:lang w:bidi="fa-IR"/>
        </w:rPr>
        <w:t xml:space="preserve">َ </w:t>
      </w:r>
      <w:r w:rsidRPr="00132E65">
        <w:rPr>
          <w:rtl/>
          <w:lang w:bidi="fa-IR"/>
        </w:rPr>
        <w:t xml:space="preserve">اللهِ ، رَغَّبْتَنِي فِي الْعَمَلِ </w:t>
      </w:r>
      <w:r>
        <w:rPr>
          <w:rStyle w:val="libFootnotenumChar"/>
          <w:rtl/>
        </w:rPr>
        <w:t>(3)</w:t>
      </w:r>
      <w:r w:rsidRPr="00132E65">
        <w:rPr>
          <w:rtl/>
          <w:lang w:bidi="fa-IR"/>
        </w:rPr>
        <w:t xml:space="preserve"> ، و</w:t>
      </w:r>
      <w:r>
        <w:rPr>
          <w:rFonts w:hint="cs"/>
          <w:rtl/>
          <w:lang w:bidi="fa-IR"/>
        </w:rPr>
        <w:t>َ</w:t>
      </w:r>
      <w:r w:rsidRPr="00132E65">
        <w:rPr>
          <w:rtl/>
          <w:lang w:bidi="fa-IR"/>
        </w:rPr>
        <w:t xml:space="preserve">حَثَثْتَنِي </w:t>
      </w:r>
      <w:r>
        <w:rPr>
          <w:rStyle w:val="libFootnotenumChar"/>
          <w:rtl/>
        </w:rPr>
        <w:t>(4)</w:t>
      </w:r>
      <w:r w:rsidRPr="00132E65">
        <w:rPr>
          <w:rtl/>
          <w:lang w:bidi="fa-IR"/>
        </w:rPr>
        <w:t xml:space="preserve"> عَلَيْهِ ، و</w:t>
      </w:r>
      <w:r>
        <w:rPr>
          <w:rFonts w:hint="cs"/>
          <w:rtl/>
          <w:lang w:bidi="fa-IR"/>
        </w:rPr>
        <w:t xml:space="preserve">َ </w:t>
      </w:r>
      <w:r w:rsidRPr="00132E65">
        <w:rPr>
          <w:rtl/>
          <w:lang w:bidi="fa-IR"/>
        </w:rPr>
        <w:t>لكِنْ أُحِبُّ أَنْ أَعْلَمَ كَيْفَ صِرْنَا نَحْنُ الْيَوْمَ أَفْضَلَ أَعْمَالاً مِنْ أَصْحَابِ الْإِمَامِ الظَّاهِرِ مِنْكُمْ فِي دَوْلَةِ الْحَقِّ ، و</w:t>
      </w:r>
      <w:r>
        <w:rPr>
          <w:rFonts w:hint="cs"/>
          <w:rtl/>
          <w:lang w:bidi="fa-IR"/>
        </w:rPr>
        <w:t xml:space="preserve">َ </w:t>
      </w:r>
      <w:r w:rsidRPr="00132E65">
        <w:rPr>
          <w:rtl/>
          <w:lang w:bidi="fa-IR"/>
        </w:rPr>
        <w:t>نَحْنُ عَلى دِينٍ و</w:t>
      </w:r>
      <w:r>
        <w:rPr>
          <w:rFonts w:hint="cs"/>
          <w:rtl/>
          <w:lang w:bidi="fa-IR"/>
        </w:rPr>
        <w:t>َ</w:t>
      </w:r>
      <w:r w:rsidRPr="00132E65">
        <w:rPr>
          <w:rtl/>
          <w:lang w:bidi="fa-IR"/>
        </w:rPr>
        <w:t>احِدٍ</w:t>
      </w:r>
      <w:r>
        <w:rPr>
          <w:rtl/>
          <w:lang w:bidi="fa-IR"/>
        </w:rPr>
        <w:t>؟</w:t>
      </w:r>
    </w:p>
    <w:p w:rsidR="000C39D1" w:rsidRPr="00132E65" w:rsidRDefault="000C39D1" w:rsidP="000C39D1">
      <w:pPr>
        <w:pStyle w:val="libNormal"/>
        <w:rPr>
          <w:rtl/>
          <w:lang w:bidi="fa-IR"/>
        </w:rPr>
      </w:pPr>
      <w:r w:rsidRPr="00132E65">
        <w:rPr>
          <w:rtl/>
          <w:lang w:bidi="fa-IR"/>
        </w:rPr>
        <w:t>فَقَالَ : « إِنَّكُمْ سَبَقْتُمُوهُمْ إِلَى الدُّخُولِ فِي دِينِ اللهِ عَزَّ و</w:t>
      </w:r>
      <w:r>
        <w:rPr>
          <w:rFonts w:hint="cs"/>
          <w:rtl/>
          <w:lang w:bidi="fa-IR"/>
        </w:rPr>
        <w:t xml:space="preserve">َ </w:t>
      </w:r>
      <w:r w:rsidRPr="00132E65">
        <w:rPr>
          <w:rtl/>
          <w:lang w:bidi="fa-IR"/>
        </w:rPr>
        <w:t>جَلَّ ، و</w:t>
      </w:r>
      <w:r>
        <w:rPr>
          <w:rFonts w:hint="cs"/>
          <w:rtl/>
          <w:lang w:bidi="fa-IR"/>
        </w:rPr>
        <w:t>َ</w:t>
      </w:r>
      <w:r w:rsidRPr="00132E65">
        <w:rPr>
          <w:rtl/>
          <w:lang w:bidi="fa-IR"/>
        </w:rPr>
        <w:t>إِلَى الصَّلَاةِ وَالصَّوْمِ و</w:t>
      </w:r>
      <w:r>
        <w:rPr>
          <w:rFonts w:hint="cs"/>
          <w:rtl/>
          <w:lang w:bidi="fa-IR"/>
        </w:rPr>
        <w:t xml:space="preserve">َ </w:t>
      </w:r>
      <w:r w:rsidRPr="00132E65">
        <w:rPr>
          <w:rtl/>
          <w:lang w:bidi="fa-IR"/>
        </w:rPr>
        <w:t>الْحَجِّ ، و</w:t>
      </w:r>
      <w:r>
        <w:rPr>
          <w:rFonts w:hint="cs"/>
          <w:rtl/>
          <w:lang w:bidi="fa-IR"/>
        </w:rPr>
        <w:t xml:space="preserve">َ </w:t>
      </w:r>
      <w:r w:rsidRPr="00132E65">
        <w:rPr>
          <w:rtl/>
          <w:lang w:bidi="fa-IR"/>
        </w:rPr>
        <w:t>إِلى كُلِّ خَيْرٍ و</w:t>
      </w:r>
      <w:r>
        <w:rPr>
          <w:rFonts w:hint="cs"/>
          <w:rtl/>
          <w:lang w:bidi="fa-IR"/>
        </w:rPr>
        <w:t xml:space="preserve">َ </w:t>
      </w:r>
      <w:r w:rsidRPr="00132E65">
        <w:rPr>
          <w:rtl/>
          <w:lang w:bidi="fa-IR"/>
        </w:rPr>
        <w:t>فِقْهٍ ، و</w:t>
      </w:r>
      <w:r>
        <w:rPr>
          <w:rFonts w:hint="cs"/>
          <w:rtl/>
          <w:lang w:bidi="fa-IR"/>
        </w:rPr>
        <w:t xml:space="preserve">َ </w:t>
      </w:r>
      <w:r w:rsidRPr="00132E65">
        <w:rPr>
          <w:rtl/>
          <w:lang w:bidi="fa-IR"/>
        </w:rPr>
        <w:t>إِلى عِبَادَةِ اللهِ</w:t>
      </w:r>
      <w:r>
        <w:rPr>
          <w:rtl/>
          <w:lang w:bidi="fa-IR"/>
        </w:rPr>
        <w:t xml:space="preserve"> - </w:t>
      </w:r>
      <w:r w:rsidRPr="00132E65">
        <w:rPr>
          <w:rtl/>
          <w:lang w:bidi="fa-IR"/>
        </w:rPr>
        <w:t xml:space="preserve">عَزَّ ذِكْرُهُ </w:t>
      </w:r>
      <w:r>
        <w:rPr>
          <w:rStyle w:val="libFootnotenumChar"/>
          <w:rtl/>
        </w:rPr>
        <w:t>(5)</w:t>
      </w:r>
      <w:r>
        <w:rPr>
          <w:rtl/>
          <w:lang w:bidi="fa-IR"/>
        </w:rPr>
        <w:t xml:space="preserve"> - </w:t>
      </w:r>
      <w:r w:rsidRPr="00132E65">
        <w:rPr>
          <w:rtl/>
          <w:lang w:bidi="fa-IR"/>
        </w:rPr>
        <w:t xml:space="preserve">سِرّاً مِنْ عَدُوِّكُمْ مَعَ إِمَامِكُمُ </w:t>
      </w:r>
      <w:r>
        <w:rPr>
          <w:rStyle w:val="libFootnotenumChar"/>
          <w:rtl/>
        </w:rPr>
        <w:t>(6)</w:t>
      </w:r>
      <w:r w:rsidRPr="00132E65">
        <w:rPr>
          <w:rtl/>
          <w:lang w:bidi="fa-IR"/>
        </w:rPr>
        <w:t xml:space="preserve"> الْمُسْتَتِرِ ، مُطِيعِينَ لَهُ ، صَابِرِينَ مَعَهُ ، مُنْتَظِرِينَ لِدَوْلَةِ الْحَقِّ ، خَائِفِينَ عَلى إِمَامِكُمْ و</w:t>
      </w:r>
      <w:r>
        <w:rPr>
          <w:rFonts w:hint="cs"/>
          <w:rtl/>
          <w:lang w:bidi="fa-IR"/>
        </w:rPr>
        <w:t xml:space="preserve">َ </w:t>
      </w:r>
      <w:r w:rsidRPr="00132E65">
        <w:rPr>
          <w:rtl/>
          <w:lang w:bidi="fa-IR"/>
        </w:rPr>
        <w:t xml:space="preserve">أَنْفُسِكُمْ مِنَ الْمُلُوكِ الظَّلَمَةِ ، تَنْظُرُونَ </w:t>
      </w:r>
      <w:r>
        <w:rPr>
          <w:rStyle w:val="libFootnotenumChar"/>
          <w:rtl/>
        </w:rPr>
        <w:t>(7)</w:t>
      </w:r>
      <w:r w:rsidRPr="00132E65">
        <w:rPr>
          <w:rtl/>
          <w:lang w:bidi="fa-IR"/>
        </w:rPr>
        <w:t xml:space="preserve"> إِلى حَقِّ إِمَامِكُمْ و</w:t>
      </w:r>
      <w:r>
        <w:rPr>
          <w:rFonts w:hint="cs"/>
          <w:rtl/>
          <w:lang w:bidi="fa-IR"/>
        </w:rPr>
        <w:t xml:space="preserve">َ </w:t>
      </w:r>
      <w:r w:rsidRPr="00132E65">
        <w:rPr>
          <w:rtl/>
          <w:lang w:bidi="fa-IR"/>
        </w:rPr>
        <w:t>حُقُوقِكُمْ فِي أَيْدِي الظَّلَمَةِ قَدْ مَنَعُوكُمْ ذلِكَ ، و</w:t>
      </w:r>
      <w:r>
        <w:rPr>
          <w:rFonts w:hint="cs"/>
          <w:rtl/>
          <w:lang w:bidi="fa-IR"/>
        </w:rPr>
        <w:t>َ</w:t>
      </w:r>
      <w:r w:rsidRPr="00132E65">
        <w:rPr>
          <w:rtl/>
          <w:lang w:bidi="fa-IR"/>
        </w:rPr>
        <w:t>اضْطَرُّوكُمْ إِلى حَرْثِ الدُّنْيَا و</w:t>
      </w:r>
      <w:r>
        <w:rPr>
          <w:rFonts w:hint="cs"/>
          <w:rtl/>
          <w:lang w:bidi="fa-IR"/>
        </w:rPr>
        <w:t xml:space="preserve">َ </w:t>
      </w:r>
      <w:r w:rsidRPr="00132E65">
        <w:rPr>
          <w:rtl/>
          <w:lang w:bidi="fa-IR"/>
        </w:rPr>
        <w:t>طَلَبِ الْمَعَاشِ مَعَ الصَّبْرِ عَلى دِينِكُمْ و</w:t>
      </w:r>
      <w:r>
        <w:rPr>
          <w:rFonts w:hint="cs"/>
          <w:rtl/>
          <w:lang w:bidi="fa-IR"/>
        </w:rPr>
        <w:t>َ</w:t>
      </w:r>
      <w:r w:rsidRPr="00132E65">
        <w:rPr>
          <w:rtl/>
          <w:lang w:bidi="fa-IR"/>
        </w:rPr>
        <w:t>عِبَادَتِكُمْ و</w:t>
      </w:r>
      <w:r>
        <w:rPr>
          <w:rFonts w:hint="cs"/>
          <w:rtl/>
          <w:lang w:bidi="fa-IR"/>
        </w:rPr>
        <w:t>َ</w:t>
      </w:r>
      <w:r w:rsidRPr="00132E65">
        <w:rPr>
          <w:rtl/>
          <w:lang w:bidi="fa-IR"/>
        </w:rPr>
        <w:t>طَاعَةِ إِمَامِكُمْ و</w:t>
      </w:r>
      <w:r>
        <w:rPr>
          <w:rFonts w:hint="cs"/>
          <w:rtl/>
          <w:lang w:bidi="fa-IR"/>
        </w:rPr>
        <w:t>َ</w:t>
      </w:r>
      <w:r w:rsidRPr="00132E65">
        <w:rPr>
          <w:rtl/>
          <w:lang w:bidi="fa-IR"/>
        </w:rPr>
        <w:t xml:space="preserve">الْخَوْفِ مِنْ </w:t>
      </w:r>
      <w:r>
        <w:rPr>
          <w:rStyle w:val="libFootnotenumChar"/>
          <w:rtl/>
        </w:rPr>
        <w:t>(8)</w:t>
      </w:r>
      <w:r w:rsidRPr="00132E65">
        <w:rPr>
          <w:rtl/>
          <w:lang w:bidi="fa-IR"/>
        </w:rPr>
        <w:t xml:space="preserve"> عَدُوِّكُمْ ، فَبِذَلِكَ </w:t>
      </w:r>
      <w:r>
        <w:rPr>
          <w:rStyle w:val="libFootnotenumChar"/>
          <w:rtl/>
        </w:rPr>
        <w:t>(9)</w:t>
      </w:r>
      <w:r w:rsidRPr="00132E65">
        <w:rPr>
          <w:rtl/>
          <w:lang w:bidi="fa-IR"/>
        </w:rPr>
        <w:t xml:space="preserve"> ضَاعَفَ </w:t>
      </w:r>
      <w:r>
        <w:rPr>
          <w:rStyle w:val="libFootnotenumChar"/>
          <w:rtl/>
        </w:rPr>
        <w:t>(10)</w:t>
      </w:r>
      <w:r w:rsidRPr="00132E65">
        <w:rPr>
          <w:rtl/>
          <w:lang w:bidi="fa-IR"/>
        </w:rPr>
        <w:t xml:space="preserve">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لَكُمُ الْأَعْمَالَ ؛ فَهَنِيئاً لَكُمْ »</w:t>
      </w:r>
      <w:r>
        <w:rPr>
          <w:rtl/>
          <w:lang w:bidi="fa-IR"/>
        </w:rPr>
        <w:t>.</w:t>
      </w:r>
    </w:p>
    <w:p w:rsidR="000C39D1" w:rsidRPr="00132E65" w:rsidRDefault="000C39D1" w:rsidP="000C39D1">
      <w:pPr>
        <w:pStyle w:val="libNormal"/>
        <w:rPr>
          <w:rtl/>
          <w:lang w:bidi="fa-IR"/>
        </w:rPr>
      </w:pPr>
      <w:r w:rsidRPr="00132E65">
        <w:rPr>
          <w:rtl/>
          <w:lang w:bidi="fa-IR"/>
        </w:rPr>
        <w:t xml:space="preserve">قُلْتُ : جُعِلْتُ فِدَاكَ ، فَمَا نَرى </w:t>
      </w:r>
      <w:r>
        <w:rPr>
          <w:rStyle w:val="libFootnotenumChar"/>
          <w:rtl/>
        </w:rPr>
        <w:t>(11)</w:t>
      </w:r>
      <w:r w:rsidRPr="00132E65">
        <w:rPr>
          <w:rtl/>
          <w:lang w:bidi="fa-IR"/>
        </w:rPr>
        <w:t xml:space="preserve"> إِذاً </w:t>
      </w:r>
      <w:r>
        <w:rPr>
          <w:rStyle w:val="libFootnotenumChar"/>
          <w:rtl/>
        </w:rPr>
        <w:t>(12)</w:t>
      </w:r>
      <w:r w:rsidRPr="00132E65">
        <w:rPr>
          <w:rtl/>
          <w:lang w:bidi="fa-IR"/>
        </w:rPr>
        <w:t xml:space="preserve"> أَنْ‌</w:t>
      </w:r>
      <w:r>
        <w:rPr>
          <w:rFonts w:hint="cs"/>
          <w:rtl/>
          <w:lang w:bidi="fa-IR"/>
        </w:rPr>
        <w:t>...............</w:t>
      </w:r>
      <w:r w:rsidR="001C701C">
        <w:rPr>
          <w:rFonts w:hint="cs"/>
          <w:rtl/>
          <w:lang w:bidi="fa-IR"/>
        </w:rPr>
        <w:t>..</w:t>
      </w:r>
      <w:r>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بح » : « عمله »</w:t>
            </w:r>
            <w:r>
              <w:rPr>
                <w:rtl/>
              </w:rPr>
              <w:t>.</w:t>
            </w:r>
          </w:p>
        </w:tc>
        <w:tc>
          <w:tcPr>
            <w:tcW w:w="4006" w:type="dxa"/>
          </w:tcPr>
          <w:p w:rsidR="000C39D1" w:rsidRDefault="000C39D1" w:rsidP="00B53873">
            <w:pPr>
              <w:pStyle w:val="libFootnote0"/>
              <w:rPr>
                <w:rtl/>
              </w:rPr>
            </w:pPr>
            <w:r>
              <w:rPr>
                <w:rtl/>
              </w:rPr>
              <w:t>(2).</w:t>
            </w:r>
            <w:r w:rsidRPr="00132E65">
              <w:rPr>
                <w:rtl/>
              </w:rPr>
              <w:t xml:space="preserve"> في حاشية « ف » :</w:t>
            </w:r>
            <w:r>
              <w:rPr>
                <w:rtl/>
              </w:rPr>
              <w:t xml:space="preserve"> + </w:t>
            </w:r>
            <w:r w:rsidRPr="00132E65">
              <w:rPr>
                <w:rtl/>
              </w:rPr>
              <w:t>« كثيرة »</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في حاشية « ف » : « دعوتني إلى العمل »</w:t>
            </w:r>
            <w:r>
              <w:rPr>
                <w:rtl/>
              </w:rPr>
              <w:t>.</w:t>
            </w:r>
          </w:p>
        </w:tc>
        <w:tc>
          <w:tcPr>
            <w:tcW w:w="4006" w:type="dxa"/>
          </w:tcPr>
          <w:p w:rsidR="000C39D1" w:rsidRDefault="000C39D1" w:rsidP="00B53873">
            <w:pPr>
              <w:pStyle w:val="libFootnote0"/>
              <w:rPr>
                <w:rtl/>
              </w:rPr>
            </w:pPr>
            <w:r>
              <w:rPr>
                <w:rtl/>
              </w:rPr>
              <w:t>(4).</w:t>
            </w:r>
            <w:r w:rsidRPr="00132E65">
              <w:rPr>
                <w:rtl/>
              </w:rPr>
              <w:t xml:space="preserve"> في « ب ، ف » : « حثّثتني » بالتضعيف.</w:t>
            </w:r>
          </w:p>
        </w:tc>
      </w:tr>
    </w:tbl>
    <w:p w:rsidR="000C39D1" w:rsidRPr="00132E65" w:rsidRDefault="000C39D1" w:rsidP="000C39D1">
      <w:pPr>
        <w:pStyle w:val="libFootnote0"/>
        <w:rPr>
          <w:rtl/>
          <w:lang w:bidi="fa-IR"/>
        </w:rPr>
      </w:pPr>
      <w:r>
        <w:rPr>
          <w:rtl/>
        </w:rPr>
        <w:t>(5).</w:t>
      </w:r>
      <w:r w:rsidRPr="00132E65">
        <w:rPr>
          <w:rtl/>
        </w:rPr>
        <w:t xml:space="preserve"> في « ج ، ف ، بس » : « عزّ وجلّ »</w:t>
      </w:r>
      <w:r>
        <w:rPr>
          <w:rtl/>
        </w:rPr>
        <w:t>.</w:t>
      </w:r>
      <w:r w:rsidRPr="00132E65">
        <w:rPr>
          <w:rtl/>
        </w:rPr>
        <w:t xml:space="preserve"> وفي « بر » وحاشية « بح » : « جلّ ذكره »</w:t>
      </w:r>
      <w:r>
        <w:rPr>
          <w:rtl/>
        </w:rPr>
        <w:t>.</w:t>
      </w:r>
    </w:p>
    <w:p w:rsidR="000C39D1" w:rsidRPr="00132E65" w:rsidRDefault="000C39D1" w:rsidP="000C39D1">
      <w:pPr>
        <w:pStyle w:val="libFootnote0"/>
        <w:rPr>
          <w:rtl/>
          <w:lang w:bidi="fa-IR"/>
        </w:rPr>
      </w:pPr>
      <w:r>
        <w:rPr>
          <w:rtl/>
        </w:rPr>
        <w:t>(6).</w:t>
      </w:r>
      <w:r w:rsidRPr="00132E65">
        <w:rPr>
          <w:rtl/>
        </w:rPr>
        <w:t xml:space="preserve"> في « بس » </w:t>
      </w:r>
      <w:r>
        <w:rPr>
          <w:rtl/>
        </w:rPr>
        <w:t xml:space="preserve">: - </w:t>
      </w:r>
      <w:r w:rsidRPr="00132E65">
        <w:rPr>
          <w:rtl/>
        </w:rPr>
        <w:t>« إمامكم »</w:t>
      </w:r>
      <w:r>
        <w:rPr>
          <w:rtl/>
        </w:rPr>
        <w:t>.</w:t>
      </w:r>
    </w:p>
    <w:p w:rsidR="000C39D1" w:rsidRPr="00132E65" w:rsidRDefault="000C39D1" w:rsidP="000C39D1">
      <w:pPr>
        <w:pStyle w:val="libFootnote0"/>
        <w:rPr>
          <w:rtl/>
          <w:lang w:bidi="fa-IR"/>
        </w:rPr>
      </w:pPr>
      <w:r>
        <w:rPr>
          <w:rtl/>
        </w:rPr>
        <w:t>(7).</w:t>
      </w:r>
      <w:r w:rsidRPr="00132E65">
        <w:rPr>
          <w:rtl/>
        </w:rPr>
        <w:t xml:space="preserve"> هكذا في أكثر النسخ و</w:t>
      </w:r>
      <w:r w:rsidRPr="009D1ACE">
        <w:rPr>
          <w:rStyle w:val="libFootnoteBoldChar"/>
          <w:rtl/>
        </w:rPr>
        <w:t>الوافي</w:t>
      </w:r>
      <w:r w:rsidRPr="00132E65">
        <w:rPr>
          <w:rtl/>
        </w:rPr>
        <w:t>. وفي حاشية « ف » : « منتظرين »</w:t>
      </w:r>
      <w:r>
        <w:rPr>
          <w:rtl/>
        </w:rPr>
        <w:t>.</w:t>
      </w:r>
      <w:r w:rsidRPr="00132E65">
        <w:rPr>
          <w:rtl/>
        </w:rPr>
        <w:t xml:space="preserve"> وفي المطبوع : « تنتظرون »</w:t>
      </w:r>
      <w:r>
        <w:rPr>
          <w:rtl/>
        </w:rPr>
        <w:t>.</w:t>
      </w:r>
    </w:p>
    <w:p w:rsidR="000C39D1" w:rsidRPr="00132E65" w:rsidRDefault="000C39D1" w:rsidP="000C39D1">
      <w:pPr>
        <w:pStyle w:val="libFootnote0"/>
        <w:rPr>
          <w:rtl/>
          <w:lang w:bidi="fa-IR"/>
        </w:rPr>
      </w:pPr>
      <w:r>
        <w:rPr>
          <w:rtl/>
        </w:rPr>
        <w:t>(8).</w:t>
      </w:r>
      <w:r w:rsidRPr="00132E65">
        <w:rPr>
          <w:rtl/>
        </w:rPr>
        <w:t xml:space="preserve"> هكذا في أكثر النسخ و</w:t>
      </w:r>
      <w:r w:rsidRPr="009D1ACE">
        <w:rPr>
          <w:rStyle w:val="libFootnoteBoldChar"/>
          <w:rtl/>
        </w:rPr>
        <w:t>الوافي</w:t>
      </w:r>
      <w:r w:rsidRPr="00132E65">
        <w:rPr>
          <w:rtl/>
        </w:rPr>
        <w:t>. وفي المطبوع : « مع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في«ب»:«في ذلك»</w:t>
            </w:r>
            <w:r>
              <w:rPr>
                <w:rtl/>
              </w:rPr>
              <w:t>.</w:t>
            </w:r>
            <w:r w:rsidRPr="00132E65">
              <w:rPr>
                <w:rtl/>
              </w:rPr>
              <w:t>وفي«بر»</w:t>
            </w:r>
            <w:r>
              <w:rPr>
                <w:rtl/>
              </w:rPr>
              <w:t>:-</w:t>
            </w:r>
            <w:r w:rsidRPr="00132E65">
              <w:rPr>
                <w:rtl/>
              </w:rPr>
              <w:t>« فبذلك »</w:t>
            </w:r>
            <w:r>
              <w:rPr>
                <w:rtl/>
              </w:rPr>
              <w:t>.</w:t>
            </w:r>
          </w:p>
        </w:tc>
        <w:tc>
          <w:tcPr>
            <w:tcW w:w="4006" w:type="dxa"/>
          </w:tcPr>
          <w:p w:rsidR="000C39D1" w:rsidRDefault="000C39D1" w:rsidP="00B53873">
            <w:pPr>
              <w:pStyle w:val="libFootnote0"/>
              <w:rPr>
                <w:rtl/>
              </w:rPr>
            </w:pPr>
            <w:r>
              <w:rPr>
                <w:rtl/>
              </w:rPr>
              <w:t>(10).</w:t>
            </w:r>
            <w:r w:rsidRPr="00132E65">
              <w:rPr>
                <w:rtl/>
              </w:rPr>
              <w:t xml:space="preserve"> في « بر » : « فضاعف »</w:t>
            </w:r>
            <w:r>
              <w:rPr>
                <w:rtl/>
              </w:rPr>
              <w:t>.</w:t>
            </w:r>
          </w:p>
        </w:tc>
      </w:tr>
    </w:tbl>
    <w:p w:rsidR="000C39D1" w:rsidRPr="00132E65" w:rsidRDefault="000C39D1" w:rsidP="000C39D1">
      <w:pPr>
        <w:pStyle w:val="libFootnote0"/>
        <w:rPr>
          <w:rtl/>
          <w:lang w:bidi="fa-IR"/>
        </w:rPr>
      </w:pPr>
      <w:r>
        <w:rPr>
          <w:rtl/>
        </w:rPr>
        <w:t>(11).</w:t>
      </w:r>
      <w:r w:rsidRPr="00132E65">
        <w:rPr>
          <w:rtl/>
        </w:rPr>
        <w:t xml:space="preserve"> هكذا في « ج ، ه‍ ، بح » و</w:t>
      </w:r>
      <w:r w:rsidRPr="009D1ACE">
        <w:rPr>
          <w:rStyle w:val="libFootnoteBoldChar"/>
          <w:rtl/>
        </w:rPr>
        <w:t>الوافي</w:t>
      </w:r>
      <w:r w:rsidRPr="00132E65">
        <w:rPr>
          <w:rtl/>
        </w:rPr>
        <w:t>. وفي « بر » : « فماذا ترى »</w:t>
      </w:r>
      <w:r>
        <w:rPr>
          <w:rtl/>
        </w:rPr>
        <w:t>.</w:t>
      </w:r>
      <w:r w:rsidRPr="00132E65">
        <w:rPr>
          <w:rtl/>
        </w:rPr>
        <w:t xml:space="preserve"> وفي حاشية « ف » : « فبماذا ترى »</w:t>
      </w:r>
      <w:r>
        <w:rPr>
          <w:rtl/>
        </w:rPr>
        <w:t>. وفي سائر النس</w:t>
      </w:r>
      <w:r>
        <w:rPr>
          <w:rFonts w:hint="cs"/>
          <w:rtl/>
        </w:rPr>
        <w:t xml:space="preserve">خ </w:t>
      </w:r>
      <w:r w:rsidRPr="00132E65">
        <w:rPr>
          <w:rtl/>
        </w:rPr>
        <w:t>‌</w:t>
      </w:r>
      <w:r>
        <w:rPr>
          <w:rFonts w:hint="cs"/>
          <w:rtl/>
        </w:rPr>
        <w:t>و</w:t>
      </w:r>
      <w:r w:rsidRPr="00132E65">
        <w:rPr>
          <w:rtl/>
        </w:rPr>
        <w:t>المطبوع : « فما ترى »</w:t>
      </w:r>
      <w:r>
        <w:rPr>
          <w:rtl/>
        </w:rPr>
        <w:t>.</w:t>
      </w:r>
      <w:r w:rsidRPr="00132E65">
        <w:rPr>
          <w:rtl/>
        </w:rPr>
        <w:t xml:space="preserve"> وفي </w:t>
      </w:r>
      <w:r w:rsidRPr="009D1ACE">
        <w:rPr>
          <w:rStyle w:val="libFootnoteBoldChar"/>
          <w:rtl/>
        </w:rPr>
        <w:t>مرآة العقول</w:t>
      </w:r>
      <w:r w:rsidRPr="00132E65">
        <w:rPr>
          <w:rtl/>
        </w:rPr>
        <w:t xml:space="preserve"> : « ما ، نافية. وقيل : استفهامية. </w:t>
      </w:r>
      <w:r>
        <w:rPr>
          <w:rtl/>
        </w:rPr>
        <w:t>و «</w:t>
      </w:r>
      <w:r w:rsidRPr="00132E65">
        <w:rPr>
          <w:rtl/>
        </w:rPr>
        <w:t xml:space="preserve"> ترى » : من الرأي ، بمعنى الترجيح أو التمنّي. وقيل : يعني ليس من رأينا ولا نتمنّى »</w:t>
      </w:r>
      <w:r>
        <w:rPr>
          <w:rtl/>
        </w:rPr>
        <w:t>.</w:t>
      </w:r>
    </w:p>
    <w:p w:rsidR="000C39D1" w:rsidRPr="00132E65" w:rsidRDefault="000C39D1" w:rsidP="000C39D1">
      <w:pPr>
        <w:pStyle w:val="libFootnote0"/>
        <w:rPr>
          <w:rtl/>
          <w:lang w:bidi="fa-IR"/>
        </w:rPr>
      </w:pPr>
      <w:r>
        <w:rPr>
          <w:rtl/>
        </w:rPr>
        <w:t>(12). في « ه</w:t>
      </w:r>
      <w:r>
        <w:rPr>
          <w:rFonts w:hint="cs"/>
          <w:rtl/>
        </w:rPr>
        <w:t xml:space="preserve"> </w:t>
      </w:r>
      <w:r w:rsidRPr="00132E65">
        <w:rPr>
          <w:rtl/>
        </w:rPr>
        <w:t>» : « فما نرى إذن نتمنّى »</w:t>
      </w:r>
      <w:r>
        <w:rPr>
          <w:rtl/>
        </w:rPr>
        <w:t>.</w:t>
      </w:r>
      <w:r w:rsidRPr="00132E65">
        <w:rPr>
          <w:rtl/>
        </w:rPr>
        <w:t xml:space="preserve"> وفي كمال الدين : « فما نتمنّى إذن » كلاهما بدل « فما ترى إذاً »</w:t>
      </w:r>
      <w:r>
        <w:rPr>
          <w:rtl/>
        </w:rPr>
        <w:t>.</w:t>
      </w:r>
      <w:r w:rsidRPr="00132E65">
        <w:rPr>
          <w:rtl/>
        </w:rPr>
        <w:t xml:space="preserve"> وفي </w:t>
      </w:r>
      <w:r w:rsidRPr="009D1ACE">
        <w:rPr>
          <w:rStyle w:val="libFootnoteBoldChar"/>
          <w:rtl/>
        </w:rPr>
        <w:t>الوافي</w:t>
      </w:r>
      <w:r>
        <w:rPr>
          <w:rtl/>
        </w:rPr>
        <w:t xml:space="preserve">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نَكُونَ </w:t>
      </w:r>
      <w:r>
        <w:rPr>
          <w:rStyle w:val="libFootnotenumChar"/>
          <w:rtl/>
        </w:rPr>
        <w:t>(1)</w:t>
      </w:r>
      <w:r w:rsidRPr="00132E65">
        <w:rPr>
          <w:rtl/>
          <w:lang w:bidi="fa-IR"/>
        </w:rPr>
        <w:t xml:space="preserve"> مِنْ أَصْحَابِ الْقَائِمِ </w:t>
      </w:r>
      <w:r w:rsidRPr="00071CF9">
        <w:rPr>
          <w:rStyle w:val="libAlaemChar"/>
          <w:rtl/>
        </w:rPr>
        <w:t>عليه‌السلام</w:t>
      </w:r>
      <w:r w:rsidRPr="00132E65">
        <w:rPr>
          <w:rtl/>
          <w:lang w:bidi="fa-IR"/>
        </w:rPr>
        <w:t xml:space="preserve"> ، و</w:t>
      </w:r>
      <w:r>
        <w:rPr>
          <w:rFonts w:hint="cs"/>
          <w:rtl/>
          <w:lang w:bidi="fa-IR"/>
        </w:rPr>
        <w:t xml:space="preserve">َ </w:t>
      </w:r>
      <w:r w:rsidRPr="00132E65">
        <w:rPr>
          <w:rtl/>
          <w:lang w:bidi="fa-IR"/>
        </w:rPr>
        <w:t>يَظْهَرَ الْحَقُّ ، و</w:t>
      </w:r>
      <w:r>
        <w:rPr>
          <w:rFonts w:hint="cs"/>
          <w:rtl/>
          <w:lang w:bidi="fa-IR"/>
        </w:rPr>
        <w:t xml:space="preserve">َ </w:t>
      </w:r>
      <w:r w:rsidRPr="00132E65">
        <w:rPr>
          <w:rtl/>
          <w:lang w:bidi="fa-IR"/>
        </w:rPr>
        <w:t>نَحْنُ الْيَوْمَ فِي إِمَامَتِكَ و</w:t>
      </w:r>
      <w:r>
        <w:rPr>
          <w:rFonts w:hint="cs"/>
          <w:rtl/>
          <w:lang w:bidi="fa-IR"/>
        </w:rPr>
        <w:t xml:space="preserve">َ </w:t>
      </w:r>
      <w:r w:rsidRPr="00132E65">
        <w:rPr>
          <w:rtl/>
          <w:lang w:bidi="fa-IR"/>
        </w:rPr>
        <w:t xml:space="preserve">طَاعَتِكَ </w:t>
      </w:r>
      <w:r>
        <w:rPr>
          <w:rStyle w:val="libFootnotenumChar"/>
          <w:rtl/>
        </w:rPr>
        <w:t>(2)</w:t>
      </w:r>
      <w:r w:rsidRPr="00132E65">
        <w:rPr>
          <w:rtl/>
          <w:lang w:bidi="fa-IR"/>
        </w:rPr>
        <w:t xml:space="preserve"> أَفْضَلُ أَعْمَالاً مِنْ أَصْحَابِ دَوْلَةِ الْحَقِّ و</w:t>
      </w:r>
      <w:r>
        <w:rPr>
          <w:rFonts w:hint="cs"/>
          <w:rtl/>
          <w:lang w:bidi="fa-IR"/>
        </w:rPr>
        <w:t>َ</w:t>
      </w:r>
      <w:r w:rsidRPr="00132E65">
        <w:rPr>
          <w:rtl/>
          <w:lang w:bidi="fa-IR"/>
        </w:rPr>
        <w:t>الْعَدْلِ.</w:t>
      </w:r>
    </w:p>
    <w:p w:rsidR="000C39D1" w:rsidRPr="00132E65" w:rsidRDefault="000C39D1" w:rsidP="000C39D1">
      <w:pPr>
        <w:pStyle w:val="libNormal"/>
        <w:rPr>
          <w:rtl/>
          <w:lang w:bidi="fa-IR"/>
        </w:rPr>
      </w:pPr>
      <w:r w:rsidRPr="00132E65">
        <w:rPr>
          <w:rtl/>
          <w:lang w:bidi="fa-IR"/>
        </w:rPr>
        <w:t>فَقَالَ : « سُبْحَانَ اللهِ</w:t>
      </w:r>
      <w:r>
        <w:rPr>
          <w:rtl/>
          <w:lang w:bidi="fa-IR"/>
        </w:rPr>
        <w:t>! أَ</w:t>
      </w:r>
      <w:r w:rsidRPr="00132E65">
        <w:rPr>
          <w:rtl/>
          <w:lang w:bidi="fa-IR"/>
        </w:rPr>
        <w:t>مَا تُحِبُّونَ أَنْ يُظْهِرَ اللهُ</w:t>
      </w:r>
      <w:r>
        <w:rPr>
          <w:rtl/>
          <w:lang w:bidi="fa-IR"/>
        </w:rPr>
        <w:t xml:space="preserve"> - </w:t>
      </w:r>
      <w:r w:rsidRPr="00132E65">
        <w:rPr>
          <w:rtl/>
          <w:lang w:bidi="fa-IR"/>
        </w:rPr>
        <w:t>تَبَارَكَ و</w:t>
      </w:r>
      <w:r>
        <w:rPr>
          <w:rFonts w:hint="cs"/>
          <w:rtl/>
          <w:lang w:bidi="fa-IR"/>
        </w:rPr>
        <w:t>َ</w:t>
      </w:r>
      <w:r w:rsidRPr="00132E65">
        <w:rPr>
          <w:rtl/>
          <w:lang w:bidi="fa-IR"/>
        </w:rPr>
        <w:t>تَعَالَى</w:t>
      </w:r>
      <w:r>
        <w:rPr>
          <w:rtl/>
          <w:lang w:bidi="fa-IR"/>
        </w:rPr>
        <w:t xml:space="preserve"> - </w:t>
      </w:r>
      <w:r w:rsidRPr="00132E65">
        <w:rPr>
          <w:rtl/>
          <w:lang w:bidi="fa-IR"/>
        </w:rPr>
        <w:t>الْحَقَّ و</w:t>
      </w:r>
      <w:r>
        <w:rPr>
          <w:rFonts w:hint="cs"/>
          <w:rtl/>
          <w:lang w:bidi="fa-IR"/>
        </w:rPr>
        <w:t xml:space="preserve">َ </w:t>
      </w:r>
      <w:r w:rsidRPr="00132E65">
        <w:rPr>
          <w:rtl/>
          <w:lang w:bidi="fa-IR"/>
        </w:rPr>
        <w:t>الْعَدْلَ فِي الْبِلَادِ ، و</w:t>
      </w:r>
      <w:r>
        <w:rPr>
          <w:rFonts w:hint="cs"/>
          <w:rtl/>
          <w:lang w:bidi="fa-IR"/>
        </w:rPr>
        <w:t xml:space="preserve">َ </w:t>
      </w:r>
      <w:r w:rsidRPr="00132E65">
        <w:rPr>
          <w:rtl/>
          <w:lang w:bidi="fa-IR"/>
        </w:rPr>
        <w:t>يَجْمَعَ اللهُ الْكَلِمَةَ ، و</w:t>
      </w:r>
      <w:r>
        <w:rPr>
          <w:rFonts w:hint="cs"/>
          <w:rtl/>
          <w:lang w:bidi="fa-IR"/>
        </w:rPr>
        <w:t>َ</w:t>
      </w:r>
      <w:r w:rsidRPr="00132E65">
        <w:rPr>
          <w:rtl/>
          <w:lang w:bidi="fa-IR"/>
        </w:rPr>
        <w:t>يُؤَلِّفَ اللهُ بَيْنَ قُلُوبٍ مُخْتَلِفَةٍ ، و</w:t>
      </w:r>
      <w:r>
        <w:rPr>
          <w:rFonts w:hint="cs"/>
          <w:rtl/>
          <w:lang w:bidi="fa-IR"/>
        </w:rPr>
        <w:t>َ</w:t>
      </w:r>
      <w:r w:rsidRPr="00132E65">
        <w:rPr>
          <w:rtl/>
          <w:lang w:bidi="fa-IR"/>
        </w:rPr>
        <w:t xml:space="preserve">لَايُعْصَى </w:t>
      </w:r>
      <w:r>
        <w:rPr>
          <w:rStyle w:val="libFootnotenumChar"/>
          <w:rtl/>
        </w:rPr>
        <w:t>(3)</w:t>
      </w:r>
      <w:r w:rsidRPr="00132E65">
        <w:rPr>
          <w:rtl/>
          <w:lang w:bidi="fa-IR"/>
        </w:rPr>
        <w:t xml:space="preserve"> اللهُ</w:t>
      </w:r>
      <w:r>
        <w:rPr>
          <w:rtl/>
          <w:lang w:bidi="fa-IR"/>
        </w:rPr>
        <w:t xml:space="preserve"> - </w:t>
      </w:r>
      <w:r w:rsidRPr="00132E65">
        <w:rPr>
          <w:rtl/>
          <w:lang w:bidi="fa-IR"/>
        </w:rPr>
        <w:t>عَزَّ و</w:t>
      </w:r>
      <w:r>
        <w:rPr>
          <w:rFonts w:hint="cs"/>
          <w:rtl/>
          <w:lang w:bidi="fa-IR"/>
        </w:rPr>
        <w:t xml:space="preserve">َ </w:t>
      </w:r>
      <w:r w:rsidRPr="00132E65">
        <w:rPr>
          <w:rtl/>
          <w:lang w:bidi="fa-IR"/>
        </w:rPr>
        <w:t>جَلَّ</w:t>
      </w:r>
      <w:r>
        <w:rPr>
          <w:rtl/>
          <w:lang w:bidi="fa-IR"/>
        </w:rPr>
        <w:t xml:space="preserve"> - </w:t>
      </w:r>
      <w:r w:rsidRPr="00132E65">
        <w:rPr>
          <w:rtl/>
          <w:lang w:bidi="fa-IR"/>
        </w:rPr>
        <w:t>فِي أَرْضِهِ ، و</w:t>
      </w:r>
      <w:r>
        <w:rPr>
          <w:rFonts w:hint="cs"/>
          <w:rtl/>
          <w:lang w:bidi="fa-IR"/>
        </w:rPr>
        <w:t>َ</w:t>
      </w:r>
      <w:r w:rsidRPr="00132E65">
        <w:rPr>
          <w:rtl/>
          <w:lang w:bidi="fa-IR"/>
        </w:rPr>
        <w:t xml:space="preserve">تُقَامَ </w:t>
      </w:r>
      <w:r>
        <w:rPr>
          <w:rStyle w:val="libFootnotenumChar"/>
          <w:rtl/>
        </w:rPr>
        <w:t>(4)</w:t>
      </w:r>
      <w:r w:rsidRPr="00132E65">
        <w:rPr>
          <w:rtl/>
          <w:lang w:bidi="fa-IR"/>
        </w:rPr>
        <w:t xml:space="preserve"> حُدُودُهُ فِي خَلْقِهِ ، و</w:t>
      </w:r>
      <w:r>
        <w:rPr>
          <w:rFonts w:hint="cs"/>
          <w:rtl/>
          <w:lang w:bidi="fa-IR"/>
        </w:rPr>
        <w:t xml:space="preserve">َ </w:t>
      </w:r>
      <w:r w:rsidRPr="00132E65">
        <w:rPr>
          <w:rtl/>
          <w:lang w:bidi="fa-IR"/>
        </w:rPr>
        <w:t xml:space="preserve">يَرُدَّ اللهُ الْحَقَّ إِلى </w:t>
      </w:r>
      <w:r>
        <w:rPr>
          <w:rStyle w:val="libFootnotenumChar"/>
          <w:rtl/>
        </w:rPr>
        <w:t>(5)</w:t>
      </w:r>
      <w:r w:rsidRPr="00132E65">
        <w:rPr>
          <w:rtl/>
          <w:lang w:bidi="fa-IR"/>
        </w:rPr>
        <w:t xml:space="preserve"> أَهْلِهِ ، فَيَظْهَرَ حَتّى لَايُسْتَخْفى </w:t>
      </w:r>
      <w:r>
        <w:rPr>
          <w:rStyle w:val="libFootnotenumChar"/>
          <w:rtl/>
        </w:rPr>
        <w:t>(6)</w:t>
      </w:r>
      <w:r w:rsidRPr="00132E65">
        <w:rPr>
          <w:rtl/>
          <w:lang w:bidi="fa-IR"/>
        </w:rPr>
        <w:t xml:space="preserve"> بِشَيْ‌ءٍ مِنَ الْحَقِّ ، مَخَافَةَ أَحَدٍ مِنَ الْخَلْقِ</w:t>
      </w:r>
      <w:r>
        <w:rPr>
          <w:rtl/>
          <w:lang w:bidi="fa-IR"/>
        </w:rPr>
        <w:t>؟</w:t>
      </w:r>
      <w:r w:rsidRPr="00132E65">
        <w:rPr>
          <w:rtl/>
          <w:lang w:bidi="fa-IR"/>
        </w:rPr>
        <w:t xml:space="preserve"> أَمَا واللهِ يَا عَمَّارُ ،</w:t>
      </w:r>
      <w:r>
        <w:rPr>
          <w:rFonts w:hint="cs"/>
          <w:rtl/>
          <w:lang w:bidi="fa-IR"/>
        </w:rPr>
        <w:t xml:space="preserve"> </w:t>
      </w:r>
      <w:r w:rsidRPr="00132E65">
        <w:rPr>
          <w:rtl/>
          <w:lang w:bidi="fa-IR"/>
        </w:rPr>
        <w:t>لَايَمُوتُ مِنْكُمْ مَيِّتٌ عَلَى الْحَالِ ا</w:t>
      </w:r>
      <w:r>
        <w:rPr>
          <w:rtl/>
          <w:lang w:bidi="fa-IR"/>
        </w:rPr>
        <w:t>لَّتِي أَنْتُمْ عَلَيْهَا إِل</w:t>
      </w:r>
      <w:r>
        <w:rPr>
          <w:rFonts w:hint="cs"/>
          <w:rtl/>
          <w:lang w:bidi="fa-IR"/>
        </w:rPr>
        <w:t>َّ</w:t>
      </w:r>
      <w:r>
        <w:rPr>
          <w:rtl/>
          <w:lang w:bidi="fa-IR"/>
        </w:rPr>
        <w:t>ا</w:t>
      </w:r>
      <w:r w:rsidRPr="00132E65">
        <w:rPr>
          <w:rtl/>
          <w:lang w:bidi="fa-IR"/>
        </w:rPr>
        <w:t xml:space="preserve"> كَانَ أَفْضَلَ عِنْدَ اللهِ مِنْ كَثِيرٍ مِنْ شُهَدَاءِ بَدْرٍ وأُحُدٍ ؛ فَأَبْشِرُوا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Default="000C39D1" w:rsidP="000C39D1">
      <w:pPr>
        <w:pStyle w:val="libNormal"/>
        <w:rPr>
          <w:rtl/>
          <w:lang w:bidi="fa-IR"/>
        </w:rPr>
      </w:pPr>
      <w:r w:rsidRPr="004551F5">
        <w:rPr>
          <w:rtl/>
        </w:rPr>
        <w:t>890</w:t>
      </w:r>
      <w:r w:rsidRPr="004325D8">
        <w:rPr>
          <w:rStyle w:val="libBold2Char"/>
          <w:rtl/>
        </w:rPr>
        <w:t xml:space="preserve"> / 3.</w:t>
      </w:r>
      <w:r w:rsidRPr="00132E65">
        <w:rPr>
          <w:rtl/>
          <w:lang w:bidi="fa-IR"/>
        </w:rPr>
        <w:t xml:space="preserve"> عَلِيُّ بْنُ مُحَمَّدٍ ، عَنْ سَهْلِ بْنِ زِيَادٍ ، عَنِ ابْنِ مَحْبُوبٍ ، عَنْ أَبِي أُسَامَةَ ، عَنْ </w:t>
      </w:r>
      <w:r>
        <w:rPr>
          <w:rStyle w:val="libFootnotenumChar"/>
          <w:rtl/>
        </w:rPr>
        <w:t>(8)</w:t>
      </w:r>
      <w:r w:rsidRPr="00132E65">
        <w:rPr>
          <w:rtl/>
          <w:lang w:bidi="fa-IR"/>
        </w:rPr>
        <w:t xml:space="preserve"> هِشَامٍ ؛</w:t>
      </w:r>
      <w:r>
        <w:rPr>
          <w:rFonts w:hint="cs"/>
          <w:rtl/>
          <w:lang w:bidi="fa-IR"/>
        </w:rPr>
        <w:t xml:space="preserve"> </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(9)</w:t>
      </w:r>
      <w:r w:rsidRPr="00132E65">
        <w:rPr>
          <w:rtl/>
          <w:lang w:bidi="fa-IR"/>
        </w:rPr>
        <w:t xml:space="preserve"> مُحَمَّدُ بْنُ يَحْيى ، عَنْ أَحْمَدَ بْنِ مُحَمَّدٍ ، عَنِ ابْنِ مَحْبُوبٍ ، عَنْ هِشَامِ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في رواية الشيخ الصدوق : فما نتمنّى إذن. وهو أوضح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بس ، بف » : « أن يكون »</w:t>
            </w:r>
            <w:r>
              <w:rPr>
                <w:rtl/>
              </w:rPr>
              <w:t>.</w:t>
            </w:r>
          </w:p>
        </w:tc>
        <w:tc>
          <w:tcPr>
            <w:tcW w:w="4006" w:type="dxa"/>
          </w:tcPr>
          <w:p w:rsidR="000C39D1" w:rsidRDefault="000C39D1" w:rsidP="00B53873">
            <w:pPr>
              <w:pStyle w:val="libFootnote0"/>
              <w:rPr>
                <w:rtl/>
              </w:rPr>
            </w:pPr>
            <w:r>
              <w:rPr>
                <w:rtl/>
              </w:rPr>
              <w:t>(2).</w:t>
            </w:r>
            <w:r w:rsidRPr="00132E65">
              <w:rPr>
                <w:rtl/>
              </w:rPr>
              <w:t xml:space="preserve"> في « بر » : « إمامتكم وطاعتكم »</w:t>
            </w:r>
            <w:r>
              <w:rPr>
                <w:rtl/>
              </w:rPr>
              <w:t>.</w:t>
            </w:r>
          </w:p>
        </w:tc>
      </w:tr>
    </w:tbl>
    <w:p w:rsidR="000C39D1" w:rsidRPr="00132E65" w:rsidRDefault="000C39D1" w:rsidP="000C39D1">
      <w:pPr>
        <w:pStyle w:val="libFootnote0"/>
        <w:rPr>
          <w:rtl/>
          <w:lang w:bidi="fa-IR"/>
        </w:rPr>
      </w:pPr>
      <w:r>
        <w:rPr>
          <w:rtl/>
        </w:rPr>
        <w:t>(3).</w:t>
      </w:r>
      <w:r w:rsidRPr="00132E65">
        <w:rPr>
          <w:rtl/>
        </w:rPr>
        <w:t xml:space="preserve"> كذا في « ج ، ض ، ف ، ه‍ ،</w:t>
      </w:r>
      <w:r>
        <w:rPr>
          <w:rtl/>
        </w:rPr>
        <w:t xml:space="preserve"> و »</w:t>
      </w:r>
      <w:r w:rsidRPr="00132E65">
        <w:rPr>
          <w:rtl/>
        </w:rPr>
        <w:t xml:space="preserve"> وحاشية « بح ، بر » و</w:t>
      </w:r>
      <w:r w:rsidRPr="009D1ACE">
        <w:rPr>
          <w:rStyle w:val="libFootnoteBoldChar"/>
          <w:rtl/>
        </w:rPr>
        <w:t>مرآة العقول</w:t>
      </w:r>
      <w:r w:rsidRPr="00132E65">
        <w:rPr>
          <w:rtl/>
        </w:rPr>
        <w:t>. وفي سائر النسخ والمطبوع : « ولا يعصون »</w:t>
      </w:r>
      <w:r>
        <w:rPr>
          <w:rtl/>
        </w:rPr>
        <w:t>.</w:t>
      </w:r>
      <w:r w:rsidRPr="00132E65">
        <w:rPr>
          <w:rtl/>
        </w:rPr>
        <w:t xml:space="preserve"> والصحيح حذف النون ؛ لأنّه منصوب.</w:t>
      </w:r>
      <w:r>
        <w:rPr>
          <w:rFonts w:hint="cs"/>
          <w:rtl/>
        </w:rPr>
        <w:t xml:space="preserve">        </w:t>
      </w:r>
      <w:r w:rsidR="001C701C">
        <w:rPr>
          <w:rFonts w:hint="cs"/>
          <w:rtl/>
        </w:rPr>
        <w:t xml:space="preserve">         </w:t>
      </w:r>
      <w:r>
        <w:rPr>
          <w:rFonts w:hint="cs"/>
          <w:rtl/>
        </w:rPr>
        <w:t xml:space="preserve">   </w:t>
      </w:r>
      <w:r>
        <w:rPr>
          <w:rtl/>
        </w:rPr>
        <w:t>(4).</w:t>
      </w:r>
      <w:r w:rsidRPr="00132E65">
        <w:rPr>
          <w:rtl/>
        </w:rPr>
        <w:t xml:space="preserve"> في « ف » :</w:t>
      </w:r>
      <w:r>
        <w:rPr>
          <w:rtl/>
        </w:rPr>
        <w:t xml:space="preserve"> + </w:t>
      </w:r>
      <w:r w:rsidRPr="00132E65">
        <w:rPr>
          <w:rtl/>
        </w:rPr>
        <w:t>« الأئمّة »</w:t>
      </w:r>
      <w:r>
        <w:rPr>
          <w:rtl/>
        </w:rPr>
        <w:t>.</w:t>
      </w:r>
    </w:p>
    <w:p w:rsidR="000C39D1" w:rsidRPr="00132E65" w:rsidRDefault="000C39D1" w:rsidP="000C39D1">
      <w:pPr>
        <w:pStyle w:val="libFootnote0"/>
        <w:rPr>
          <w:rtl/>
          <w:lang w:bidi="fa-IR"/>
        </w:rPr>
      </w:pPr>
      <w:r>
        <w:rPr>
          <w:rtl/>
        </w:rPr>
        <w:t>(5).</w:t>
      </w:r>
      <w:r w:rsidRPr="00132E65">
        <w:rPr>
          <w:rtl/>
        </w:rPr>
        <w:t xml:space="preserve"> في « ج ، ف ، ه‍ ، بر » و</w:t>
      </w:r>
      <w:r w:rsidRPr="009D1ACE">
        <w:rPr>
          <w:rStyle w:val="libFootnoteBoldChar"/>
          <w:rtl/>
        </w:rPr>
        <w:t>الوافي</w:t>
      </w:r>
      <w:r w:rsidRPr="00132E65">
        <w:rPr>
          <w:rtl/>
        </w:rPr>
        <w:t xml:space="preserve"> : « يقام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حتّى لا يستخفى ، على بناء المعلوم ، أي صاحب الحقّ. أو المجهول ، فيشمله وغيره »</w:t>
      </w:r>
      <w:r>
        <w:rPr>
          <w:rtl/>
        </w:rPr>
        <w:t>.</w:t>
      </w:r>
    </w:p>
    <w:p w:rsidR="000C39D1" w:rsidRPr="00132E65" w:rsidRDefault="000C39D1" w:rsidP="000C39D1">
      <w:pPr>
        <w:pStyle w:val="libFootnote0"/>
        <w:rPr>
          <w:rtl/>
          <w:lang w:bidi="fa-IR"/>
        </w:rPr>
      </w:pPr>
      <w:r>
        <w:rPr>
          <w:rtl/>
        </w:rPr>
        <w:t>(7).</w:t>
      </w:r>
      <w:r w:rsidRPr="00132E65">
        <w:rPr>
          <w:rtl/>
        </w:rPr>
        <w:t xml:space="preserve"> </w:t>
      </w:r>
      <w:r w:rsidRPr="000577A7">
        <w:rPr>
          <w:rStyle w:val="libFootnoteBoldChar"/>
          <w:rtl/>
        </w:rPr>
        <w:t>الكافي</w:t>
      </w:r>
      <w:r w:rsidRPr="00132E65">
        <w:rPr>
          <w:rtl/>
        </w:rPr>
        <w:t xml:space="preserve"> ، كتاب الزكاة ، باب فضل صدقة السرّ ، ح 6023. وفي </w:t>
      </w:r>
      <w:r w:rsidRPr="004551F5">
        <w:rPr>
          <w:rtl/>
        </w:rPr>
        <w:t>الفقيه</w:t>
      </w:r>
      <w:r w:rsidRPr="00132E65">
        <w:rPr>
          <w:rtl/>
        </w:rPr>
        <w:t xml:space="preserve"> ، ج 2 ، ص 67 ، ح 1736 ، معلّقاً عن عمّار ، عن الصادق </w:t>
      </w:r>
      <w:r w:rsidRPr="008364F9">
        <w:rPr>
          <w:rStyle w:val="libFootnoteAlaemChar"/>
          <w:rtl/>
        </w:rPr>
        <w:t>عليه‌السلام</w:t>
      </w:r>
      <w:r w:rsidRPr="00132E65">
        <w:rPr>
          <w:rtl/>
        </w:rPr>
        <w:t xml:space="preserve"> ، وفيهما قطعة منه هكذا : « يا عمّار ، الصدقة والله في السرّ أفضل من الصدقة في العلانية ، وكذلك والله العبادة في السرّ أفضل منها في العلانية »</w:t>
      </w:r>
      <w:r>
        <w:rPr>
          <w:rtl/>
        </w:rPr>
        <w:t>.</w:t>
      </w:r>
      <w:r w:rsidRPr="00132E65">
        <w:rPr>
          <w:rtl/>
        </w:rPr>
        <w:t xml:space="preserve"> وفي </w:t>
      </w:r>
      <w:r w:rsidRPr="004551F5">
        <w:rPr>
          <w:rtl/>
        </w:rPr>
        <w:t>كمال الدين</w:t>
      </w:r>
      <w:r w:rsidRPr="00132E65">
        <w:rPr>
          <w:rtl/>
        </w:rPr>
        <w:t xml:space="preserve"> ، ص 645 ، ح 7 ، بسنده عن الحسن بن محبوب ، مع تفاوت يسير</w:t>
      </w:r>
      <w:r>
        <w:rPr>
          <w:rFonts w:hint="cs"/>
          <w:rtl/>
        </w:rPr>
        <w:t>.</w:t>
      </w:r>
      <w:r w:rsidRPr="009D1ACE">
        <w:rPr>
          <w:rStyle w:val="libFootnoteBoldChar"/>
          <w:rtl/>
        </w:rPr>
        <w:t>الوافي</w:t>
      </w:r>
      <w:r w:rsidRPr="00132E65">
        <w:rPr>
          <w:rtl/>
        </w:rPr>
        <w:t xml:space="preserve"> ، ج 2 ، ص 438 ، ح 956. وفي </w:t>
      </w:r>
      <w:r w:rsidRPr="004551F5">
        <w:rPr>
          <w:rtl/>
        </w:rPr>
        <w:t>الوسائل</w:t>
      </w:r>
      <w:r w:rsidRPr="00132E65">
        <w:rPr>
          <w:rtl/>
        </w:rPr>
        <w:t xml:space="preserve"> ، ج 1 ، ص 77 ، ح 174 </w:t>
      </w:r>
      <w:r>
        <w:rPr>
          <w:rtl/>
        </w:rPr>
        <w:t>و 1</w:t>
      </w:r>
      <w:r w:rsidRPr="00132E65">
        <w:rPr>
          <w:rtl/>
        </w:rPr>
        <w:t>75 ؛ وج 9 ، ص 395 ، ح 12320 ، قطعة منه.</w:t>
      </w:r>
    </w:p>
    <w:p w:rsidR="000C39D1" w:rsidRPr="00132E65" w:rsidRDefault="000C39D1" w:rsidP="000C39D1">
      <w:pPr>
        <w:pStyle w:val="libFootnote0"/>
        <w:rPr>
          <w:rtl/>
          <w:lang w:bidi="fa-IR"/>
        </w:rPr>
      </w:pPr>
      <w:r>
        <w:rPr>
          <w:rtl/>
        </w:rPr>
        <w:t>(8).</w:t>
      </w:r>
      <w:r w:rsidRPr="00132E65">
        <w:rPr>
          <w:rtl/>
        </w:rPr>
        <w:t xml:space="preserve"> كذا في النسخ والمطبوع ، لكنّ الظاهر عطف هشام على أبي ا</w:t>
      </w:r>
      <w:r>
        <w:rPr>
          <w:rFonts w:hint="cs"/>
          <w:rtl/>
        </w:rPr>
        <w:t>ُ</w:t>
      </w:r>
      <w:r w:rsidRPr="00132E65">
        <w:rPr>
          <w:rtl/>
        </w:rPr>
        <w:t>سامة ، كما تقدّم ذيل ح 57.</w:t>
      </w:r>
    </w:p>
    <w:p w:rsidR="000C39D1" w:rsidRPr="00132E65" w:rsidRDefault="000C39D1" w:rsidP="000C39D1">
      <w:pPr>
        <w:pStyle w:val="libFootnote0"/>
        <w:rPr>
          <w:rtl/>
          <w:lang w:bidi="fa-IR"/>
        </w:rPr>
      </w:pPr>
      <w:r>
        <w:rPr>
          <w:rtl/>
        </w:rPr>
        <w:t>(9).</w:t>
      </w:r>
      <w:r w:rsidRPr="00132E65">
        <w:rPr>
          <w:rtl/>
        </w:rPr>
        <w:t xml:space="preserve"> في السند تحويل كما يظهر بأدنى تأمّل. ويروي عن أبي حمزة ، هشام بن سالم وأبي ا</w:t>
      </w:r>
      <w:r>
        <w:rPr>
          <w:rFonts w:hint="cs"/>
          <w:rtl/>
        </w:rPr>
        <w:t>ُ</w:t>
      </w:r>
      <w:r w:rsidRPr="00132E65">
        <w:rPr>
          <w:rtl/>
        </w:rPr>
        <w:t>سامة بناء على وقوع‌التصحيف في السند الأوّل.</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سَالِمٍ ، عَنْ أَبِي حَمْزَةَ ، عَنْ أَبِي إِسْحَاقَ ، قَالَ :</w:t>
      </w:r>
    </w:p>
    <w:p w:rsidR="000C39D1" w:rsidRPr="00132E65" w:rsidRDefault="000C39D1" w:rsidP="001C701C">
      <w:pPr>
        <w:pStyle w:val="libNormal"/>
        <w:rPr>
          <w:rtl/>
          <w:lang w:bidi="fa-IR"/>
        </w:rPr>
      </w:pPr>
      <w:r w:rsidRPr="00132E65">
        <w:rPr>
          <w:rtl/>
          <w:lang w:bidi="fa-IR"/>
        </w:rPr>
        <w:t xml:space="preserve">حَدَّثَنِي الثِّقَةُ مِنْ أَصْحَابِ أَمِيرِ الْمُؤْمِنِينَ </w:t>
      </w:r>
      <w:r w:rsidRPr="00071CF9">
        <w:rPr>
          <w:rStyle w:val="libAlaemChar"/>
          <w:rtl/>
        </w:rPr>
        <w:t>عليه‌السلام</w:t>
      </w:r>
      <w:r w:rsidRPr="00132E65">
        <w:rPr>
          <w:rtl/>
          <w:lang w:bidi="fa-IR"/>
        </w:rPr>
        <w:t xml:space="preserve"> أَنَّهُمْ سَمِعُوا أَمِيرَ الْمُؤْمِنِينَ </w:t>
      </w:r>
      <w:r w:rsidRPr="00071CF9">
        <w:rPr>
          <w:rStyle w:val="libAlaemChar"/>
          <w:rtl/>
        </w:rPr>
        <w:t>عليه‌السلام</w:t>
      </w:r>
      <w:r w:rsidRPr="00132E65">
        <w:rPr>
          <w:rtl/>
          <w:lang w:bidi="fa-IR"/>
        </w:rPr>
        <w:t xml:space="preserve"> يَقُولُ فِي خُطْبَةٍ لَهُ : « اللهُمَّ وإِنِّي لَأَعْلَمُ أَنَّ الْعِلْمَ لَايَأْرِزُ </w:t>
      </w:r>
      <w:r>
        <w:rPr>
          <w:rStyle w:val="libFootnotenumChar"/>
          <w:rtl/>
        </w:rPr>
        <w:t>(1)</w:t>
      </w:r>
      <w:r w:rsidRPr="00132E65">
        <w:rPr>
          <w:rtl/>
          <w:lang w:bidi="fa-IR"/>
        </w:rPr>
        <w:t xml:space="preserve"> كُلُّهُ ، ولَايَنْقَطِعُ </w:t>
      </w:r>
      <w:r>
        <w:rPr>
          <w:rStyle w:val="libFootnotenumChar"/>
          <w:rtl/>
        </w:rPr>
        <w:t>(2)</w:t>
      </w:r>
      <w:r w:rsidRPr="00132E65">
        <w:rPr>
          <w:rtl/>
          <w:lang w:bidi="fa-IR"/>
        </w:rPr>
        <w:t xml:space="preserve"> مَوَادُّهُ ، وأَنَّكَ لَا تُخْلِي </w:t>
      </w:r>
      <w:r>
        <w:rPr>
          <w:rStyle w:val="libFootnotenumChar"/>
          <w:rtl/>
        </w:rPr>
        <w:t>(3)</w:t>
      </w:r>
      <w:r w:rsidRPr="00132E65">
        <w:rPr>
          <w:rtl/>
          <w:lang w:bidi="fa-IR"/>
        </w:rPr>
        <w:t xml:space="preserve"> أَرْضَكَ مِنْ حُجَّةٍ لَكَ عَلى خَلْقِكَ</w:t>
      </w:r>
      <w:r>
        <w:rPr>
          <w:rtl/>
          <w:lang w:bidi="fa-IR"/>
        </w:rPr>
        <w:t xml:space="preserve"> - </w:t>
      </w:r>
      <w:r w:rsidRPr="00132E65">
        <w:rPr>
          <w:rtl/>
          <w:lang w:bidi="fa-IR"/>
        </w:rPr>
        <w:t xml:space="preserve">ظَاهِرٍ لَيْسَ بِالْمُطَاعِ </w:t>
      </w:r>
      <w:r>
        <w:rPr>
          <w:rStyle w:val="libFootnotenumChar"/>
          <w:rtl/>
        </w:rPr>
        <w:t>(4)</w:t>
      </w:r>
      <w:r w:rsidRPr="00132E65">
        <w:rPr>
          <w:rtl/>
          <w:lang w:bidi="fa-IR"/>
        </w:rPr>
        <w:t xml:space="preserve"> ، أَوْ خَائِفٍ مَغْمُورٍ </w:t>
      </w:r>
      <w:r>
        <w:rPr>
          <w:rStyle w:val="libFootnotenumChar"/>
          <w:rtl/>
        </w:rPr>
        <w:t>(5)</w:t>
      </w:r>
      <w:r>
        <w:rPr>
          <w:rtl/>
          <w:lang w:bidi="fa-IR"/>
        </w:rPr>
        <w:t xml:space="preserve"> - </w:t>
      </w:r>
      <w:r w:rsidRPr="00132E65">
        <w:rPr>
          <w:rtl/>
          <w:lang w:bidi="fa-IR"/>
        </w:rPr>
        <w:t xml:space="preserve">كَيْلَا تَبْطُلَ حُجَّتُكَ </w:t>
      </w:r>
      <w:r>
        <w:rPr>
          <w:rStyle w:val="libFootnotenumChar"/>
          <w:rtl/>
        </w:rPr>
        <w:t>(6)</w:t>
      </w:r>
      <w:r w:rsidRPr="00132E65">
        <w:rPr>
          <w:rtl/>
          <w:lang w:bidi="fa-IR"/>
        </w:rPr>
        <w:t xml:space="preserve"> ، ولَايَضِلَّ </w:t>
      </w:r>
      <w:r>
        <w:rPr>
          <w:rStyle w:val="libFootnotenumChar"/>
          <w:rtl/>
        </w:rPr>
        <w:t>(7)</w:t>
      </w:r>
      <w:r w:rsidRPr="00132E65">
        <w:rPr>
          <w:rtl/>
          <w:lang w:bidi="fa-IR"/>
        </w:rPr>
        <w:t xml:space="preserve"> أَوْلِيَاؤُكَ بَعْدَ إِذْ هَدَيْتَهُمْ </w:t>
      </w:r>
      <w:r>
        <w:rPr>
          <w:rStyle w:val="libFootnotenumChar"/>
          <w:rtl/>
        </w:rPr>
        <w:t>(8)</w:t>
      </w:r>
      <w:r w:rsidRPr="00132E65">
        <w:rPr>
          <w:rtl/>
          <w:lang w:bidi="fa-IR"/>
        </w:rPr>
        <w:t xml:space="preserve"> بَلْ أَيْنَ هُمْ</w:t>
      </w:r>
      <w:r>
        <w:rPr>
          <w:rtl/>
          <w:lang w:bidi="fa-IR"/>
        </w:rPr>
        <w:t>؟</w:t>
      </w:r>
      <w:r w:rsidRPr="00132E65">
        <w:rPr>
          <w:rtl/>
          <w:lang w:bidi="fa-IR"/>
        </w:rPr>
        <w:t xml:space="preserve"> وكَمْ</w:t>
      </w:r>
      <w:r>
        <w:rPr>
          <w:rtl/>
          <w:lang w:bidi="fa-IR"/>
        </w:rPr>
        <w:t>؟</w:t>
      </w:r>
      <w:r w:rsidRPr="00132E65">
        <w:rPr>
          <w:rtl/>
          <w:lang w:bidi="fa-IR"/>
        </w:rPr>
        <w:t xml:space="preserve"> أُولئِكَ </w:t>
      </w:r>
      <w:r>
        <w:rPr>
          <w:rStyle w:val="libFootnotenumChar"/>
          <w:rtl/>
        </w:rPr>
        <w:t>(9)</w:t>
      </w:r>
      <w:r w:rsidRPr="00132E65">
        <w:rPr>
          <w:rtl/>
          <w:lang w:bidi="fa-IR"/>
        </w:rPr>
        <w:t xml:space="preserve"> الْأَقَلُّونَ عَدَداً ، والْأَعْظَمُونَ عِنْدَ اللهِ</w:t>
      </w:r>
      <w:r>
        <w:rPr>
          <w:rtl/>
          <w:lang w:bidi="fa-IR"/>
        </w:rPr>
        <w:t xml:space="preserve"> - </w:t>
      </w:r>
      <w:r w:rsidRPr="00132E65">
        <w:rPr>
          <w:rtl/>
          <w:lang w:bidi="fa-IR"/>
        </w:rPr>
        <w:t>جَلَّ ذِكْرُهُ</w:t>
      </w:r>
      <w:r>
        <w:rPr>
          <w:rtl/>
          <w:lang w:bidi="fa-IR"/>
        </w:rPr>
        <w:t xml:space="preserve"> - </w:t>
      </w:r>
      <w:r w:rsidRPr="00132E65">
        <w:rPr>
          <w:rtl/>
          <w:lang w:bidi="fa-IR"/>
        </w:rPr>
        <w:t xml:space="preserve">قَدْراً ، الْمُتَّبِعُونَ لِقَادَةِ الدِّينِ ، الْأَئِمَّةِ الْهَادِينَ ، الَّذِينَ يَتَأَدَّبُونَ بِآدَابِهِمْ ، ويَنْهَجُونَ نَهْجَهُمْ </w:t>
      </w:r>
      <w:r>
        <w:rPr>
          <w:rStyle w:val="libFootnotenumChar"/>
          <w:rtl/>
        </w:rPr>
        <w:t>(10)</w:t>
      </w:r>
      <w:r w:rsidRPr="00132E65">
        <w:rPr>
          <w:rtl/>
          <w:lang w:bidi="fa-IR"/>
        </w:rPr>
        <w:t xml:space="preserve"> ؛ فَعِنْدَ ذلِكَ يَهْجُمُ </w:t>
      </w:r>
      <w:r>
        <w:rPr>
          <w:rStyle w:val="libFootnotenumChar"/>
          <w:rtl/>
        </w:rPr>
        <w:t>(11)</w:t>
      </w:r>
      <w:r w:rsidRPr="00132E65">
        <w:rPr>
          <w:rtl/>
          <w:lang w:bidi="fa-IR"/>
        </w:rPr>
        <w:t xml:space="preserve"> بِهِمُ الْعِلْمُ عَلى حَقِيقَةِ الْإِيمَانِ ، فَتَسْتَجِيبُ </w:t>
      </w:r>
      <w:r>
        <w:rPr>
          <w:rStyle w:val="libFootnotenumChar"/>
          <w:rtl/>
        </w:rPr>
        <w:t>(12)</w:t>
      </w:r>
      <w:r w:rsidRPr="00132E65">
        <w:rPr>
          <w:rtl/>
          <w:lang w:bidi="fa-IR"/>
        </w:rPr>
        <w:t xml:space="preserve"> أَرْوَاحُهُمْ لِقَادَةِ الْعِلْمِ ، ويَسْتَلِينُونَ مِنْ حَدِيثِهِمْ مَا اسْتَوْعَرَ </w:t>
      </w:r>
      <w:r w:rsidRPr="00F543F1">
        <w:rPr>
          <w:rStyle w:val="libFootnotenumChar"/>
          <w:rtl/>
        </w:rPr>
        <w:t>(13)</w:t>
      </w:r>
      <w:r w:rsidRPr="00132E65">
        <w:rPr>
          <w:rtl/>
          <w:lang w:bidi="fa-IR"/>
        </w:rPr>
        <w:t xml:space="preserve"> عَلى غَيْرِهِمْ ، ويَأْنَسُونَ بِمَا اسْتَوْحَشَ مِنْهُ </w:t>
      </w:r>
      <w:r w:rsidRPr="00F543F1">
        <w:rPr>
          <w:rStyle w:val="libFootnotenumChar"/>
          <w:rtl/>
        </w:rPr>
        <w:t>(14)</w:t>
      </w:r>
      <w:r w:rsidRPr="00132E65">
        <w:rPr>
          <w:rtl/>
          <w:lang w:bidi="fa-IR"/>
        </w:rPr>
        <w:t xml:space="preserve"> الْمُكَذِّبُونَ ،</w:t>
      </w:r>
      <w:r w:rsidR="001C701C">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بر » وحاشية « ج » : « لا يأزر »</w:t>
      </w:r>
      <w:r>
        <w:rPr>
          <w:rtl/>
        </w:rPr>
        <w:t>.</w:t>
      </w:r>
      <w:r w:rsidRPr="00132E65">
        <w:rPr>
          <w:rtl/>
        </w:rPr>
        <w:t xml:space="preserve"> وقوله : « لا يأرِزُ » ، أي لا يجتمع ولا يتقبّض. يقال : أرَزَ فلان يأرز أرْزاًوا</w:t>
      </w:r>
      <w:r>
        <w:rPr>
          <w:rFonts w:hint="cs"/>
          <w:rtl/>
        </w:rPr>
        <w:t>ُ</w:t>
      </w:r>
      <w:r w:rsidRPr="00132E65">
        <w:rPr>
          <w:rtl/>
        </w:rPr>
        <w:t xml:space="preserve">روزاً ، أي تضامّ وتقبّض من بُخله. ويقال : أرَزَت الحيّة إلى جُحْرها ، أي انضمّ إليها واجتمع بعضه إلى بعض فيها. راجع : </w:t>
      </w:r>
      <w:r w:rsidRPr="004551F5">
        <w:rPr>
          <w:rtl/>
        </w:rPr>
        <w:t>الصحاح</w:t>
      </w:r>
      <w:r w:rsidRPr="00132E65">
        <w:rPr>
          <w:rtl/>
        </w:rPr>
        <w:t xml:space="preserve"> ، ج 3 ، ص 863</w:t>
      </w:r>
      <w:r>
        <w:rPr>
          <w:rtl/>
        </w:rPr>
        <w:t xml:space="preserve"> - </w:t>
      </w:r>
      <w:r w:rsidRPr="00132E65">
        <w:rPr>
          <w:rtl/>
        </w:rPr>
        <w:t>864 ( أرز )</w:t>
      </w:r>
      <w:r>
        <w:rPr>
          <w:rtl/>
        </w:rPr>
        <w:t>.</w:t>
      </w:r>
    </w:p>
    <w:p w:rsidR="000C39D1" w:rsidRPr="00132E65" w:rsidRDefault="000C39D1" w:rsidP="000C39D1">
      <w:pPr>
        <w:pStyle w:val="libFootnote0"/>
        <w:rPr>
          <w:rtl/>
          <w:lang w:bidi="fa-IR"/>
        </w:rPr>
      </w:pPr>
      <w:r>
        <w:rPr>
          <w:rtl/>
        </w:rPr>
        <w:t>(2).</w:t>
      </w:r>
      <w:r w:rsidRPr="00132E65">
        <w:rPr>
          <w:rtl/>
        </w:rPr>
        <w:t xml:space="preserve"> في « ب » : « لا تنقطع »</w:t>
      </w:r>
      <w:r>
        <w:rPr>
          <w:rtl/>
        </w:rPr>
        <w:t>.</w:t>
      </w:r>
      <w:r w:rsidRPr="00132E65">
        <w:rPr>
          <w:rtl/>
        </w:rPr>
        <w:t xml:space="preserve"> وفي « بس » : « منقطع »</w:t>
      </w:r>
      <w:r>
        <w:rPr>
          <w:rtl/>
        </w:rPr>
        <w:t>.</w:t>
      </w:r>
    </w:p>
    <w:p w:rsidR="000C39D1" w:rsidRPr="00132E65" w:rsidRDefault="000C39D1" w:rsidP="000C39D1">
      <w:pPr>
        <w:pStyle w:val="libFootnote0"/>
        <w:rPr>
          <w:rtl/>
          <w:lang w:bidi="fa-IR"/>
        </w:rPr>
      </w:pPr>
      <w:r>
        <w:rPr>
          <w:rtl/>
        </w:rPr>
        <w:t>(3).</w:t>
      </w:r>
      <w:r w:rsidRPr="00132E65">
        <w:rPr>
          <w:rtl/>
        </w:rPr>
        <w:t xml:space="preserve"> في « ج » : « تخلّى »</w:t>
      </w:r>
      <w:r>
        <w:rPr>
          <w:rtl/>
        </w:rPr>
        <w:t>.</w:t>
      </w:r>
      <w:r w:rsidRPr="00132E65">
        <w:rPr>
          <w:rtl/>
        </w:rPr>
        <w:t xml:space="preserve"> وفي </w:t>
      </w:r>
      <w:r w:rsidRPr="004551F5">
        <w:rPr>
          <w:rtl/>
        </w:rPr>
        <w:t>شرح المازندراني</w:t>
      </w:r>
      <w:r w:rsidRPr="00132E65">
        <w:rPr>
          <w:rtl/>
        </w:rPr>
        <w:t xml:space="preserve"> : « لا تخلي ، إمّا من التخلية ، أو من الإخلاء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بمطاع »</w:t>
      </w:r>
      <w:r>
        <w:rPr>
          <w:rtl/>
        </w:rPr>
        <w:t>.</w:t>
      </w:r>
    </w:p>
    <w:p w:rsidR="000C39D1" w:rsidRPr="00132E65" w:rsidRDefault="000C39D1" w:rsidP="000C39D1">
      <w:pPr>
        <w:pStyle w:val="libFootnote0"/>
        <w:rPr>
          <w:rtl/>
          <w:lang w:bidi="fa-IR"/>
        </w:rPr>
      </w:pPr>
      <w:r>
        <w:rPr>
          <w:rtl/>
        </w:rPr>
        <w:t>(5).</w:t>
      </w:r>
      <w:r w:rsidRPr="00132E65">
        <w:rPr>
          <w:rtl/>
        </w:rPr>
        <w:t xml:space="preserve"> في أكثر النسخ و</w:t>
      </w:r>
      <w:r w:rsidRPr="009D1ACE">
        <w:rPr>
          <w:rStyle w:val="libFootnoteBoldChar"/>
          <w:rtl/>
        </w:rPr>
        <w:t>الوافي</w:t>
      </w:r>
      <w:r w:rsidRPr="00132E65">
        <w:rPr>
          <w:rtl/>
        </w:rPr>
        <w:t xml:space="preserve"> : « مغمود »</w:t>
      </w:r>
      <w:r>
        <w:rPr>
          <w:rtl/>
        </w:rPr>
        <w:t>.</w:t>
      </w:r>
      <w:r w:rsidRPr="00132E65">
        <w:rPr>
          <w:rtl/>
        </w:rPr>
        <w:t xml:space="preserve"> وكلاهما بمعنى مستور.</w:t>
      </w:r>
    </w:p>
    <w:p w:rsidR="000C39D1" w:rsidRPr="00132E65" w:rsidRDefault="000C39D1" w:rsidP="000C39D1">
      <w:pPr>
        <w:pStyle w:val="libFootnote0"/>
        <w:rPr>
          <w:rtl/>
          <w:lang w:bidi="fa-IR"/>
        </w:rPr>
      </w:pPr>
      <w:r>
        <w:rPr>
          <w:rtl/>
        </w:rPr>
        <w:t>(6).</w:t>
      </w:r>
      <w:r w:rsidRPr="00132E65">
        <w:rPr>
          <w:rtl/>
        </w:rPr>
        <w:t xml:space="preserve"> هكذا في أكثر النسخ وشرح المازندراني و</w:t>
      </w:r>
      <w:r w:rsidRPr="009D1ACE">
        <w:rPr>
          <w:rStyle w:val="libFootnoteBoldChar"/>
          <w:rtl/>
        </w:rPr>
        <w:t>مرآة العقول</w:t>
      </w:r>
      <w:r w:rsidRPr="00132E65">
        <w:rPr>
          <w:rtl/>
        </w:rPr>
        <w:t>. وفي « بس » والمطبوع : « حججك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ف » : « ولا تضلّ »</w:t>
            </w:r>
            <w:r>
              <w:rPr>
                <w:rtl/>
              </w:rPr>
              <w:t>.</w:t>
            </w:r>
          </w:p>
        </w:tc>
        <w:tc>
          <w:tcPr>
            <w:tcW w:w="4006" w:type="dxa"/>
          </w:tcPr>
          <w:p w:rsidR="000C39D1" w:rsidRDefault="000C39D1" w:rsidP="00B53873">
            <w:pPr>
              <w:pStyle w:val="libFootnote0"/>
              <w:rPr>
                <w:rtl/>
              </w:rPr>
            </w:pPr>
            <w:r>
              <w:rPr>
                <w:rtl/>
              </w:rPr>
              <w:t>(8).</w:t>
            </w:r>
            <w:r w:rsidRPr="00132E65">
              <w:rPr>
                <w:rtl/>
              </w:rPr>
              <w:t xml:space="preserve"> في « ه‍ » : « هديتهم به »</w:t>
            </w:r>
            <w:r>
              <w:rPr>
                <w:rtl/>
              </w:rPr>
              <w:t>.</w:t>
            </w:r>
          </w:p>
        </w:tc>
      </w:tr>
    </w:tbl>
    <w:p w:rsidR="000C39D1" w:rsidRPr="00132E65" w:rsidRDefault="000C39D1" w:rsidP="000C39D1">
      <w:pPr>
        <w:pStyle w:val="libFootnote0"/>
        <w:rPr>
          <w:rtl/>
          <w:lang w:bidi="fa-IR"/>
        </w:rPr>
      </w:pPr>
      <w:r>
        <w:rPr>
          <w:rtl/>
        </w:rPr>
        <w:t>(9).</w:t>
      </w:r>
      <w:r w:rsidRPr="00132E65">
        <w:rPr>
          <w:rtl/>
        </w:rPr>
        <w:t xml:space="preserve"> في « ف » : « أولياؤك »</w:t>
      </w:r>
      <w:r>
        <w:rPr>
          <w:rtl/>
        </w:rPr>
        <w:t>.</w:t>
      </w:r>
    </w:p>
    <w:p w:rsidR="000C39D1" w:rsidRPr="00132E65" w:rsidRDefault="000C39D1" w:rsidP="000C39D1">
      <w:pPr>
        <w:pStyle w:val="libFootnote0"/>
        <w:rPr>
          <w:rtl/>
          <w:lang w:bidi="fa-IR"/>
        </w:rPr>
      </w:pPr>
      <w:r>
        <w:rPr>
          <w:rtl/>
        </w:rPr>
        <w:t>(10).</w:t>
      </w:r>
      <w:r w:rsidRPr="00132E65">
        <w:rPr>
          <w:rtl/>
        </w:rPr>
        <w:t xml:space="preserve"> في « ف » : « بنهجهم »</w:t>
      </w:r>
      <w:r>
        <w:rPr>
          <w:rtl/>
        </w:rPr>
        <w:t>.</w:t>
      </w:r>
      <w:r w:rsidRPr="00132E65">
        <w:rPr>
          <w:rtl/>
        </w:rPr>
        <w:t xml:space="preserve"> وقوله : « ينهجون نهجهم » ، أي يُوضِحون طريقهم ، أو يسلكونه. تقول : نَهَجْتُ‌الطريق ، إذا أبَنْتَهُ وأوضَحته. ونَهَجْتُ الطريق أيضاً ، إذا سلكته. والأظهر عند المجلسي هو الثاني. راجع : </w:t>
      </w:r>
      <w:r w:rsidRPr="004551F5">
        <w:rPr>
          <w:rtl/>
        </w:rPr>
        <w:t>الصحاح</w:t>
      </w:r>
      <w:r w:rsidRPr="00132E65">
        <w:rPr>
          <w:rtl/>
        </w:rPr>
        <w:t xml:space="preserve"> ، ج 1 ، ص 346 ( نهج )</w:t>
      </w:r>
      <w:r>
        <w:rPr>
          <w:rtl/>
        </w:rPr>
        <w:t>.</w:t>
      </w:r>
      <w:r>
        <w:rPr>
          <w:rFonts w:hint="cs"/>
          <w:rtl/>
        </w:rPr>
        <w:t xml:space="preserve">                  </w:t>
      </w:r>
      <w:r w:rsidR="001C701C">
        <w:rPr>
          <w:rFonts w:hint="cs"/>
          <w:rtl/>
        </w:rPr>
        <w:t xml:space="preserve">           </w:t>
      </w:r>
      <w:r>
        <w:rPr>
          <w:rFonts w:hint="cs"/>
          <w:rtl/>
        </w:rPr>
        <w:t xml:space="preserve">   </w:t>
      </w:r>
      <w:r>
        <w:rPr>
          <w:rtl/>
        </w:rPr>
        <w:t>(11). في«</w:t>
      </w:r>
      <w:r w:rsidRPr="00132E65">
        <w:rPr>
          <w:rtl/>
        </w:rPr>
        <w:t>ه‍ »</w:t>
      </w:r>
      <w:r>
        <w:rPr>
          <w:rtl/>
        </w:rPr>
        <w:t xml:space="preserve"> :«ينهج</w:t>
      </w:r>
      <w:r w:rsidRPr="00132E65">
        <w:rPr>
          <w:rtl/>
        </w:rPr>
        <w:t>»</w:t>
      </w:r>
      <w:r>
        <w:rPr>
          <w:rtl/>
        </w:rPr>
        <w:t>.وفي حاشية «بف» :«هجم</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في « بح ، بس » : « فيستجيب »</w:t>
      </w:r>
      <w:r>
        <w:rPr>
          <w:rtl/>
        </w:rPr>
        <w:t>.</w:t>
      </w:r>
      <w:r w:rsidRPr="00132E65">
        <w:rPr>
          <w:rtl/>
        </w:rPr>
        <w:t xml:space="preserve"> وفي </w:t>
      </w:r>
      <w:r w:rsidRPr="009D1ACE">
        <w:rPr>
          <w:rStyle w:val="libFootnoteBoldChar"/>
          <w:rtl/>
        </w:rPr>
        <w:t>مرآة العقول</w:t>
      </w:r>
      <w:r w:rsidRPr="00132E65">
        <w:rPr>
          <w:rtl/>
        </w:rPr>
        <w:t xml:space="preserve"> : « فتستجيبها »</w:t>
      </w:r>
      <w:r>
        <w:rPr>
          <w:rtl/>
        </w:rPr>
        <w:t>.</w:t>
      </w:r>
    </w:p>
    <w:p w:rsidR="001C701C" w:rsidRDefault="000C39D1" w:rsidP="001C701C">
      <w:pPr>
        <w:pStyle w:val="libFootnote0"/>
        <w:rPr>
          <w:rtl/>
        </w:rPr>
      </w:pPr>
      <w:r>
        <w:rPr>
          <w:rtl/>
        </w:rPr>
        <w:t>(13)</w:t>
      </w:r>
      <w:r w:rsidRPr="00132E65">
        <w:rPr>
          <w:rtl/>
        </w:rPr>
        <w:t xml:space="preserve"> « استوعر » ، بمعنى وعر ، أي صعب ، كاستقرّ بمعنى قرّ ؛ فإنّه جاء في اللغة متعدّياً. استوعرتُ الشي‌ء ، أي‌وجدتُه و</w:t>
      </w:r>
      <w:r>
        <w:rPr>
          <w:rFonts w:hint="cs"/>
          <w:rtl/>
        </w:rPr>
        <w:t>َ</w:t>
      </w:r>
      <w:r w:rsidRPr="00132E65">
        <w:rPr>
          <w:rtl/>
        </w:rPr>
        <w:t xml:space="preserve">عْراً ، أي صعباً. والمعنى : يجدون سهلاً وليّناً ما صعب على غيرهم. راجع : </w:t>
      </w:r>
      <w:r w:rsidRPr="004551F5">
        <w:rPr>
          <w:rtl/>
        </w:rPr>
        <w:t>الصحاح</w:t>
      </w:r>
      <w:r w:rsidRPr="00132E65">
        <w:rPr>
          <w:rtl/>
        </w:rPr>
        <w:t xml:space="preserve"> ، ج 2 ، ص 84 ( وعر )</w:t>
      </w:r>
      <w:r>
        <w:rPr>
          <w:rtl/>
        </w:rPr>
        <w:t>.</w:t>
      </w:r>
    </w:p>
    <w:p w:rsidR="000C39D1" w:rsidRPr="00132E65" w:rsidRDefault="000C39D1" w:rsidP="001C701C">
      <w:pPr>
        <w:pStyle w:val="libFootnote0"/>
        <w:rPr>
          <w:rtl/>
          <w:lang w:bidi="fa-IR"/>
        </w:rPr>
      </w:pPr>
      <w:r>
        <w:rPr>
          <w:rtl/>
        </w:rPr>
        <w:t>(14)</w:t>
      </w:r>
      <w:r w:rsidRPr="00132E65">
        <w:rPr>
          <w:rtl/>
        </w:rPr>
        <w:t xml:space="preserve"> في « بف » : « عنه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وَأَبَاهُ </w:t>
      </w:r>
      <w:r>
        <w:rPr>
          <w:rStyle w:val="libFootnotenumChar"/>
          <w:rtl/>
        </w:rPr>
        <w:t>(1)</w:t>
      </w:r>
      <w:r w:rsidRPr="00132E65">
        <w:rPr>
          <w:rtl/>
          <w:lang w:bidi="fa-IR"/>
        </w:rPr>
        <w:t xml:space="preserve"> الْمُسْرِفُونَ ، أُولئِكَ أَتْبَاعُ الْعُلَمَاءِ ، صَحِبُوا أَهْلَ الدُّنْيَا بِطَاعَةِ اللهِ </w:t>
      </w:r>
      <w:r>
        <w:rPr>
          <w:rStyle w:val="libFootnotenumChar"/>
          <w:rtl/>
        </w:rPr>
        <w:t>(2)</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وَأَوْلِيَائِهِ </w:t>
      </w:r>
      <w:r>
        <w:rPr>
          <w:rStyle w:val="libFootnotenumChar"/>
          <w:rtl/>
        </w:rPr>
        <w:t>(3)</w:t>
      </w:r>
      <w:r w:rsidRPr="00132E65">
        <w:rPr>
          <w:rtl/>
          <w:lang w:bidi="fa-IR"/>
        </w:rPr>
        <w:t xml:space="preserve"> ، ودَانُوا بِالتَّقِيَّةِ </w:t>
      </w:r>
      <w:r>
        <w:rPr>
          <w:rStyle w:val="libFootnotenumChar"/>
          <w:rtl/>
        </w:rPr>
        <w:t>(4)</w:t>
      </w:r>
      <w:r w:rsidRPr="00132E65">
        <w:rPr>
          <w:rtl/>
          <w:lang w:bidi="fa-IR"/>
        </w:rPr>
        <w:t xml:space="preserve"> عَنْ </w:t>
      </w:r>
      <w:r>
        <w:rPr>
          <w:rStyle w:val="libFootnotenumChar"/>
          <w:rtl/>
        </w:rPr>
        <w:t>(5)</w:t>
      </w:r>
      <w:r w:rsidRPr="00132E65">
        <w:rPr>
          <w:rtl/>
          <w:lang w:bidi="fa-IR"/>
        </w:rPr>
        <w:t xml:space="preserve"> دِينِهِمْ ، والْخَوْفِ مِنْ عَدُوِّهِمْ ، فَأَرْوَاحُهُمْ </w:t>
      </w:r>
      <w:r>
        <w:rPr>
          <w:rStyle w:val="libFootnotenumChar"/>
          <w:rtl/>
        </w:rPr>
        <w:t>(6)</w:t>
      </w:r>
      <w:r w:rsidRPr="00132E65">
        <w:rPr>
          <w:rtl/>
          <w:lang w:bidi="fa-IR"/>
        </w:rPr>
        <w:t xml:space="preserve"> مُعَلَّقَةٌ بِالْمَحَلِّ </w:t>
      </w:r>
      <w:r>
        <w:rPr>
          <w:rStyle w:val="libFootnotenumChar"/>
          <w:rtl/>
        </w:rPr>
        <w:t>(7)</w:t>
      </w:r>
      <w:r w:rsidRPr="00132E65">
        <w:rPr>
          <w:rtl/>
          <w:lang w:bidi="fa-IR"/>
        </w:rPr>
        <w:t xml:space="preserve"> الْأَعْلى ، فَعُلَمَاؤُهُمْ وأَتْبَاعُهُمْ خُرْسٌ ، صُمْتٌ </w:t>
      </w:r>
      <w:r>
        <w:rPr>
          <w:rStyle w:val="libFootnotenumChar"/>
          <w:rtl/>
        </w:rPr>
        <w:t>(8)</w:t>
      </w:r>
      <w:r w:rsidRPr="00132E65">
        <w:rPr>
          <w:rtl/>
          <w:lang w:bidi="fa-IR"/>
        </w:rPr>
        <w:t xml:space="preserve"> فِي دَوْلَةِ الْبَاطِلِ ، مُنْتَظِرُونَ </w:t>
      </w:r>
      <w:r>
        <w:rPr>
          <w:rStyle w:val="libFootnotenumChar"/>
          <w:rtl/>
        </w:rPr>
        <w:t>(9)</w:t>
      </w:r>
      <w:r w:rsidRPr="00132E65">
        <w:rPr>
          <w:rtl/>
          <w:lang w:bidi="fa-IR"/>
        </w:rPr>
        <w:t xml:space="preserve"> لِدَوْلَةِ </w:t>
      </w:r>
      <w:r>
        <w:rPr>
          <w:rStyle w:val="libFootnotenumChar"/>
          <w:rtl/>
        </w:rPr>
        <w:t>(10)</w:t>
      </w:r>
      <w:r w:rsidRPr="00132E65">
        <w:rPr>
          <w:rtl/>
          <w:lang w:bidi="fa-IR"/>
        </w:rPr>
        <w:t xml:space="preserve"> الْحَقِّ ، وسَيُحِقُّ </w:t>
      </w:r>
      <w:r>
        <w:rPr>
          <w:rStyle w:val="libFootnotenumChar"/>
          <w:rtl/>
        </w:rPr>
        <w:t>(11)</w:t>
      </w:r>
      <w:r w:rsidRPr="00132E65">
        <w:rPr>
          <w:rtl/>
          <w:lang w:bidi="fa-IR"/>
        </w:rPr>
        <w:t xml:space="preserve"> اللهُ الْحَقَّ بِكَلِمَاتِهِ ، ويَمْحَقُ </w:t>
      </w:r>
      <w:r>
        <w:rPr>
          <w:rStyle w:val="libFootnotenumChar"/>
          <w:rtl/>
        </w:rPr>
        <w:t>(12)</w:t>
      </w:r>
      <w:r w:rsidRPr="00132E65">
        <w:rPr>
          <w:rtl/>
          <w:lang w:bidi="fa-IR"/>
        </w:rPr>
        <w:t xml:space="preserve"> الْبَاطِلَ ، هَا </w:t>
      </w:r>
      <w:r w:rsidRPr="00F543F1">
        <w:rPr>
          <w:rStyle w:val="libFootnotenumChar"/>
          <w:rtl/>
        </w:rPr>
        <w:t>(13)</w:t>
      </w:r>
      <w:r w:rsidRPr="00132E65">
        <w:rPr>
          <w:rtl/>
          <w:lang w:bidi="fa-IR"/>
        </w:rPr>
        <w:t xml:space="preserve"> ، هَا ؛ طُوبى لَهُمْ عَلى صَبْرِهِمْ عَلى دِينِهِمْ فِي حَالِ هُدْنَتِهِمْ </w:t>
      </w:r>
      <w:r w:rsidRPr="00F543F1">
        <w:rPr>
          <w:rStyle w:val="libFootnotenumChar"/>
          <w:rtl/>
        </w:rPr>
        <w:t>(14)</w:t>
      </w:r>
      <w:r w:rsidRPr="00132E65">
        <w:rPr>
          <w:rtl/>
          <w:lang w:bidi="fa-IR"/>
        </w:rPr>
        <w:t xml:space="preserve"> ، ويَا شَوْقَاهْ إِلى رُؤْيَتِهِمْ فِي حَالِ ظُهُورِ دَوْلَتِهِمْ ، وسَيَجْمَعُنَا اللهُ وإِيَّاهُمْ فِي جَنَّاتِ عَدْنٍ ومَنْ صَلَحَ مِنْ آبَائِهِمْ وأَزْوَاجِهِمْ وَذُرِّيَّاتِهِمْ »</w:t>
      </w:r>
      <w:r>
        <w:rPr>
          <w:rtl/>
          <w:lang w:bidi="fa-IR"/>
        </w:rPr>
        <w:t>.</w:t>
      </w:r>
      <w:r w:rsidRPr="00132E65">
        <w:rPr>
          <w:rtl/>
          <w:lang w:bidi="fa-IR"/>
        </w:rPr>
        <w:t xml:space="preserve"> </w:t>
      </w:r>
      <w:r w:rsidRPr="00F543F1">
        <w:rPr>
          <w:rStyle w:val="libFootnotenumChar"/>
          <w:rtl/>
        </w:rPr>
        <w:t>(15)</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1C701C">
      <w:pPr>
        <w:pStyle w:val="libFootnote0"/>
        <w:rPr>
          <w:rtl/>
          <w:lang w:bidi="fa-IR"/>
        </w:rPr>
      </w:pPr>
      <w:r>
        <w:rPr>
          <w:rtl/>
        </w:rPr>
        <w:t>(1).</w:t>
      </w:r>
      <w:r w:rsidRPr="00132E65">
        <w:rPr>
          <w:rtl/>
        </w:rPr>
        <w:t xml:space="preserve"> في « ف ، ه‍ </w:t>
      </w:r>
      <w:r w:rsidR="001C701C" w:rsidRPr="00132E65">
        <w:rPr>
          <w:rtl/>
        </w:rPr>
        <w:t>»</w:t>
      </w:r>
      <w:r w:rsidRPr="00132E65">
        <w:rPr>
          <w:rtl/>
        </w:rPr>
        <w:t xml:space="preserve"> : « ويأباه »</w:t>
      </w:r>
      <w:r>
        <w:rPr>
          <w:rtl/>
        </w:rPr>
        <w:t>.</w:t>
      </w:r>
    </w:p>
    <w:p w:rsidR="000C39D1" w:rsidRPr="00132E65" w:rsidRDefault="000C39D1" w:rsidP="000C39D1">
      <w:pPr>
        <w:pStyle w:val="libFootnote0"/>
        <w:rPr>
          <w:rtl/>
          <w:lang w:bidi="fa-IR"/>
        </w:rPr>
      </w:pPr>
      <w:r>
        <w:rPr>
          <w:rtl/>
        </w:rPr>
        <w:t>(2).</w:t>
      </w:r>
      <w:r w:rsidRPr="00132E65">
        <w:rPr>
          <w:rtl/>
        </w:rPr>
        <w:t xml:space="preserve"> في « ض ، ف ، ه‍ » وحاشية « ج » : « بالطاعة لله »</w:t>
      </w:r>
      <w:r>
        <w:rPr>
          <w:rtl/>
        </w:rPr>
        <w:t>.</w:t>
      </w:r>
    </w:p>
    <w:p w:rsidR="000C39D1" w:rsidRPr="00132E65" w:rsidRDefault="000C39D1" w:rsidP="000C39D1">
      <w:pPr>
        <w:pStyle w:val="libFootnote0"/>
        <w:rPr>
          <w:rtl/>
          <w:lang w:bidi="fa-IR"/>
        </w:rPr>
      </w:pPr>
      <w:r>
        <w:rPr>
          <w:rtl/>
        </w:rPr>
        <w:t>(3).</w:t>
      </w:r>
      <w:r w:rsidRPr="00132E65">
        <w:rPr>
          <w:rtl/>
        </w:rPr>
        <w:t xml:space="preserve"> في أكثر النسخ و</w:t>
      </w:r>
      <w:r w:rsidRPr="009D1ACE">
        <w:rPr>
          <w:rStyle w:val="libFootnoteBoldChar"/>
          <w:rtl/>
        </w:rPr>
        <w:t>مرآة العقول</w:t>
      </w:r>
      <w:r w:rsidRPr="00132E65">
        <w:rPr>
          <w:rtl/>
        </w:rPr>
        <w:t xml:space="preserve"> : « ولأوليائه »</w:t>
      </w:r>
      <w:r>
        <w:rPr>
          <w:rtl/>
        </w:rPr>
        <w:t>.</w:t>
      </w:r>
      <w:r w:rsidRPr="00132E65">
        <w:rPr>
          <w:rtl/>
        </w:rPr>
        <w:t xml:space="preserve"> ثمّ قال في المرآة : « الظاهر أنّ اللام زيد من النسّاخ »</w:t>
      </w:r>
      <w:r>
        <w:rPr>
          <w:rtl/>
        </w:rPr>
        <w:t>.</w:t>
      </w:r>
    </w:p>
    <w:p w:rsidR="000C39D1" w:rsidRPr="00132E65" w:rsidRDefault="000C39D1" w:rsidP="000C39D1">
      <w:pPr>
        <w:pStyle w:val="libFootnote0"/>
        <w:rPr>
          <w:rtl/>
          <w:lang w:bidi="fa-IR"/>
        </w:rPr>
      </w:pPr>
      <w:r>
        <w:rPr>
          <w:rtl/>
        </w:rPr>
        <w:t>(4).</w:t>
      </w:r>
      <w:r w:rsidRPr="00132E65">
        <w:rPr>
          <w:rtl/>
        </w:rPr>
        <w:t xml:space="preserve"> « دانوا بالتقيّة » ، أي أطاعوا الله بها ، أو تعبّدوا بها واتّخذوها ديناً لهم. راجع : </w:t>
      </w:r>
      <w:r w:rsidRPr="004551F5">
        <w:rPr>
          <w:rtl/>
        </w:rPr>
        <w:t>الصحاح</w:t>
      </w:r>
      <w:r w:rsidRPr="00132E65">
        <w:rPr>
          <w:rtl/>
        </w:rPr>
        <w:t xml:space="preserve"> ، ج 5 ، ص 2118 ( دين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بس ، بف » : « على »</w:t>
            </w:r>
            <w:r>
              <w:rPr>
                <w:rtl/>
              </w:rPr>
              <w:t>.</w:t>
            </w:r>
          </w:p>
        </w:tc>
        <w:tc>
          <w:tcPr>
            <w:tcW w:w="4006" w:type="dxa"/>
          </w:tcPr>
          <w:p w:rsidR="000C39D1" w:rsidRDefault="000C39D1" w:rsidP="00B53873">
            <w:pPr>
              <w:pStyle w:val="libFootnote0"/>
              <w:rPr>
                <w:rtl/>
              </w:rPr>
            </w:pPr>
            <w:r>
              <w:rPr>
                <w:rtl/>
              </w:rPr>
              <w:t>(6).</w:t>
            </w:r>
            <w:r w:rsidRPr="00132E65">
              <w:rPr>
                <w:rtl/>
              </w:rPr>
              <w:t xml:space="preserve"> في </w:t>
            </w:r>
            <w:r w:rsidRPr="009D1ACE">
              <w:rPr>
                <w:rStyle w:val="libFootnoteBoldChar"/>
                <w:rtl/>
              </w:rPr>
              <w:t>مرآة العقول</w:t>
            </w:r>
            <w:r w:rsidRPr="00132E65">
              <w:rPr>
                <w:rtl/>
              </w:rPr>
              <w:t xml:space="preserve"> : « وأرواحهم »</w:t>
            </w:r>
            <w:r>
              <w:rPr>
                <w:rtl/>
              </w:rPr>
              <w:t>.</w:t>
            </w:r>
          </w:p>
        </w:tc>
      </w:tr>
    </w:tbl>
    <w:p w:rsidR="000C39D1" w:rsidRPr="00132E65" w:rsidRDefault="000C39D1" w:rsidP="000C39D1">
      <w:pPr>
        <w:pStyle w:val="libFootnote0"/>
        <w:rPr>
          <w:rtl/>
          <w:lang w:bidi="fa-IR"/>
        </w:rPr>
      </w:pPr>
      <w:r>
        <w:rPr>
          <w:rtl/>
        </w:rPr>
        <w:t>(7).</w:t>
      </w:r>
      <w:r w:rsidRPr="00132E65">
        <w:rPr>
          <w:rtl/>
        </w:rPr>
        <w:t xml:space="preserve"> في حاشية « ف » : « بالملأ »</w:t>
      </w:r>
      <w:r>
        <w:rPr>
          <w:rtl/>
        </w:rPr>
        <w:t>.</w:t>
      </w:r>
    </w:p>
    <w:p w:rsidR="000C39D1" w:rsidRPr="00132E65" w:rsidRDefault="000C39D1" w:rsidP="000C39D1">
      <w:pPr>
        <w:pStyle w:val="libFootnote0"/>
        <w:rPr>
          <w:rtl/>
          <w:lang w:bidi="fa-IR"/>
        </w:rPr>
      </w:pPr>
      <w:r>
        <w:rPr>
          <w:rtl/>
        </w:rPr>
        <w:t>(8).</w:t>
      </w:r>
      <w:r w:rsidRPr="00132E65">
        <w:rPr>
          <w:rtl/>
        </w:rPr>
        <w:t xml:space="preserve"> أي لايقدرون على التكلّم بالحقّ وإعلاء كلمته في دولة الباطل. في شرح المازندراني : « وصمت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w:t>
            </w:r>
            <w:r w:rsidRPr="009D1ACE">
              <w:rPr>
                <w:rStyle w:val="libFootnoteBoldChar"/>
                <w:rtl/>
              </w:rPr>
              <w:t>الوافي</w:t>
            </w:r>
            <w:r w:rsidRPr="00132E65">
              <w:rPr>
                <w:rtl/>
              </w:rPr>
              <w:t xml:space="preserve"> : « ينتظرون »</w:t>
            </w:r>
            <w:r>
              <w:rPr>
                <w:rtl/>
              </w:rPr>
              <w:t>.</w:t>
            </w:r>
          </w:p>
        </w:tc>
        <w:tc>
          <w:tcPr>
            <w:tcW w:w="4006" w:type="dxa"/>
          </w:tcPr>
          <w:p w:rsidR="000C39D1" w:rsidRDefault="000C39D1" w:rsidP="00B53873">
            <w:pPr>
              <w:pStyle w:val="libFootnote0"/>
              <w:rPr>
                <w:rtl/>
              </w:rPr>
            </w:pPr>
            <w:r>
              <w:rPr>
                <w:rtl/>
              </w:rPr>
              <w:t>(10).</w:t>
            </w:r>
            <w:r w:rsidRPr="00132E65">
              <w:rPr>
                <w:rtl/>
              </w:rPr>
              <w:t xml:space="preserve"> في « بح » : « الدولة »</w:t>
            </w:r>
            <w:r>
              <w:rPr>
                <w:rtl/>
              </w:rPr>
              <w:t>.</w:t>
            </w:r>
          </w:p>
        </w:tc>
      </w:tr>
      <w:tr w:rsidR="000C39D1" w:rsidTr="00B53873">
        <w:tc>
          <w:tcPr>
            <w:tcW w:w="4006" w:type="dxa"/>
          </w:tcPr>
          <w:p w:rsidR="000C39D1" w:rsidRDefault="000C39D1" w:rsidP="00B53873">
            <w:pPr>
              <w:pStyle w:val="libFootnote0"/>
              <w:rPr>
                <w:rtl/>
              </w:rPr>
            </w:pPr>
            <w:r>
              <w:rPr>
                <w:rtl/>
              </w:rPr>
              <w:t>(11).</w:t>
            </w:r>
            <w:r w:rsidRPr="00132E65">
              <w:rPr>
                <w:rtl/>
              </w:rPr>
              <w:t xml:space="preserve"> في حاشية « ف » : « ويحقّ »</w:t>
            </w:r>
            <w:r>
              <w:rPr>
                <w:rtl/>
              </w:rPr>
              <w:t>.</w:t>
            </w:r>
          </w:p>
        </w:tc>
        <w:tc>
          <w:tcPr>
            <w:tcW w:w="4006" w:type="dxa"/>
          </w:tcPr>
          <w:p w:rsidR="000C39D1" w:rsidRDefault="000C39D1" w:rsidP="00B53873">
            <w:pPr>
              <w:pStyle w:val="libFootnote0"/>
              <w:rPr>
                <w:rtl/>
              </w:rPr>
            </w:pPr>
            <w:r>
              <w:rPr>
                <w:rtl/>
              </w:rPr>
              <w:t>(12).</w:t>
            </w:r>
            <w:r w:rsidRPr="00132E65">
              <w:rPr>
                <w:rtl/>
              </w:rPr>
              <w:t xml:space="preserve"> في « ف »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الوافي</w:t>
      </w:r>
      <w:r w:rsidRPr="00132E65">
        <w:rPr>
          <w:rtl/>
        </w:rPr>
        <w:t xml:space="preserve"> : « هاه هاه »</w:t>
      </w:r>
      <w:r>
        <w:rPr>
          <w:rtl/>
        </w:rPr>
        <w:t>.</w:t>
      </w:r>
      <w:r w:rsidRPr="00132E65">
        <w:rPr>
          <w:rtl/>
        </w:rPr>
        <w:t xml:space="preserve"> </w:t>
      </w:r>
      <w:r>
        <w:rPr>
          <w:rtl/>
        </w:rPr>
        <w:t>و «</w:t>
      </w:r>
      <w:r w:rsidRPr="00132E65">
        <w:rPr>
          <w:rtl/>
        </w:rPr>
        <w:t xml:space="preserve"> ها » حرف تنبيه ينبّه بها المخاطب على ما يساق إليه من الكلام ، وتكريرها للتأكيد والمبالغة فيه. وقال المجلسي في </w:t>
      </w:r>
      <w:r w:rsidRPr="009D1ACE">
        <w:rPr>
          <w:rStyle w:val="libFootnoteBoldChar"/>
          <w:rtl/>
        </w:rPr>
        <w:t>مرآة العقول</w:t>
      </w:r>
      <w:r w:rsidRPr="00132E65">
        <w:rPr>
          <w:rtl/>
        </w:rPr>
        <w:t xml:space="preserve"> : « وقيل : هاها ، حكاية البكاء بصوت عال »</w:t>
      </w:r>
      <w:r>
        <w:rPr>
          <w:rtl/>
        </w:rPr>
        <w:t>.</w:t>
      </w:r>
    </w:p>
    <w:p w:rsidR="000C39D1" w:rsidRPr="00132E65" w:rsidRDefault="000C39D1" w:rsidP="000C39D1">
      <w:pPr>
        <w:pStyle w:val="libFootnote0"/>
        <w:rPr>
          <w:rtl/>
          <w:lang w:bidi="fa-IR"/>
        </w:rPr>
      </w:pPr>
      <w:r>
        <w:rPr>
          <w:rtl/>
        </w:rPr>
        <w:t>(14)</w:t>
      </w:r>
      <w:r w:rsidRPr="00132E65">
        <w:rPr>
          <w:rtl/>
        </w:rPr>
        <w:t xml:space="preserve"> تقدّم معنى الهُدْنة ذيل ح 2 من هذا الباب.</w:t>
      </w:r>
    </w:p>
    <w:p w:rsidR="000C39D1" w:rsidRPr="00132E65" w:rsidRDefault="000C39D1" w:rsidP="000C39D1">
      <w:pPr>
        <w:pStyle w:val="libFootnote0"/>
        <w:rPr>
          <w:rtl/>
          <w:lang w:bidi="fa-IR"/>
        </w:rPr>
      </w:pPr>
      <w:r>
        <w:rPr>
          <w:rtl/>
        </w:rPr>
        <w:t>(15)</w:t>
      </w:r>
      <w:r w:rsidRPr="00132E65">
        <w:rPr>
          <w:rtl/>
        </w:rPr>
        <w:t xml:space="preserve"> </w:t>
      </w:r>
      <w:r w:rsidRPr="000577A7">
        <w:rPr>
          <w:rStyle w:val="libFootnoteBoldChar"/>
          <w:rtl/>
        </w:rPr>
        <w:t>الكافي</w:t>
      </w:r>
      <w:r w:rsidRPr="00132E65">
        <w:rPr>
          <w:rtl/>
        </w:rPr>
        <w:t xml:space="preserve"> ، كتاب الحجّة ، باب أنّ الأرض لا تخلو من حجّة ، ح 457 ، عن عليّ بن محمّد ، عن سهل بن زياد ، عن الحسن بن محبوب ، عن أبي ا</w:t>
      </w:r>
      <w:r>
        <w:rPr>
          <w:rFonts w:hint="cs"/>
          <w:rtl/>
        </w:rPr>
        <w:t>ُ</w:t>
      </w:r>
      <w:r w:rsidRPr="00132E65">
        <w:rPr>
          <w:rtl/>
        </w:rPr>
        <w:t>سامة ؛ وعليّ بن إبراهيم ، عن أبيه ، عن الحسن بن محبوب ، عن أبي ا</w:t>
      </w:r>
      <w:r>
        <w:rPr>
          <w:rFonts w:hint="cs"/>
          <w:rtl/>
        </w:rPr>
        <w:t>ُ</w:t>
      </w:r>
      <w:r w:rsidRPr="00132E65">
        <w:rPr>
          <w:rtl/>
        </w:rPr>
        <w:t xml:space="preserve">سامة وهشام بن سالم عن أبي حمزة ، عن أبي إسحاق ، عمّن ثيق به من أصحاب أمير المؤمنين ، عن أمير المؤمنين </w:t>
      </w:r>
      <w:r w:rsidRPr="00DE3E98">
        <w:rPr>
          <w:rStyle w:val="libFootnoteAlaemChar"/>
          <w:rtl/>
        </w:rPr>
        <w:t>عليه‌السلام</w:t>
      </w:r>
      <w:r w:rsidRPr="00132E65">
        <w:rPr>
          <w:rtl/>
        </w:rPr>
        <w:t xml:space="preserve"> ، وتمام الرواية فيه : « اللهم إنّك لا تخلي أرضك من حجّة لك على خلقك »</w:t>
      </w:r>
      <w:r>
        <w:rPr>
          <w:rtl/>
        </w:rPr>
        <w:t>.</w:t>
      </w:r>
      <w:r w:rsidRPr="00132E65">
        <w:rPr>
          <w:rtl/>
        </w:rPr>
        <w:t xml:space="preserve"> </w:t>
      </w:r>
      <w:r w:rsidRPr="004551F5">
        <w:rPr>
          <w:rtl/>
        </w:rPr>
        <w:t>وفيه</w:t>
      </w:r>
      <w:r w:rsidRPr="00132E65">
        <w:rPr>
          <w:rtl/>
        </w:rPr>
        <w:t xml:space="preserve"> ، باب في الغيبة ، ح 903 ، عن عليّ بن محمّد ، عن سهل بن زياد ومحمّد بن يحيى وغيره ، عن أحمد بن محمّد ؛ وعليّ بن إبراهيم ، عن أبيه جميعاً ، عن ابن محبوب ، عن هشام بن سالم ، عن أبي حمزة ، عن أبي إسحاق السبيعي ، عن بعض أصحاب أمير المؤمنين </w:t>
      </w:r>
      <w:r w:rsidRPr="00DE3E98">
        <w:rPr>
          <w:rStyle w:val="libFootnoteAlaemChar"/>
          <w:rtl/>
        </w:rPr>
        <w:t>عليه‌السلام</w:t>
      </w:r>
      <w:r w:rsidRPr="00132E65">
        <w:rPr>
          <w:rtl/>
        </w:rPr>
        <w:t xml:space="preserve"> ممّن يوثق به ، عن أمير المؤمنين </w:t>
      </w:r>
      <w:r w:rsidRPr="00DE3E98">
        <w:rPr>
          <w:rStyle w:val="libFootnoteAlaemChar"/>
          <w:rtl/>
        </w:rPr>
        <w:t>عليه‌السلام</w:t>
      </w:r>
      <w:r w:rsidRPr="00132E65">
        <w:rPr>
          <w:rtl/>
        </w:rPr>
        <w:t xml:space="preserve"> ، مع اختلاف. وفي </w:t>
      </w:r>
      <w:r w:rsidRPr="004551F5">
        <w:rPr>
          <w:rtl/>
        </w:rPr>
        <w:t>الغيبة</w:t>
      </w:r>
      <w:r w:rsidRPr="00132E65">
        <w:rPr>
          <w:rtl/>
        </w:rPr>
        <w:t xml:space="preserve"> للنعماني ، ص 136 ، ح 2 ، بسنده عن الحسن بن محبوب ، مع اختلاف</w:t>
      </w:r>
      <w:r>
        <w:rPr>
          <w:rFonts w:hint="cs"/>
          <w:rtl/>
        </w:rPr>
        <w:t>.</w:t>
      </w:r>
      <w:r w:rsidRPr="009D1ACE">
        <w:rPr>
          <w:rStyle w:val="libFootnoteBoldChar"/>
          <w:rtl/>
        </w:rPr>
        <w:t>الوافي</w:t>
      </w:r>
      <w:r w:rsidRPr="00132E65">
        <w:rPr>
          <w:rtl/>
        </w:rPr>
        <w:t xml:space="preserve"> ، ج 2 ، ص 410 ، ح 913.</w:t>
      </w:r>
    </w:p>
    <w:p w:rsidR="000C39D1" w:rsidRDefault="000C39D1" w:rsidP="000C39D1">
      <w:pPr>
        <w:pStyle w:val="libNormal0"/>
        <w:tabs>
          <w:tab w:val="left" w:pos="3968"/>
        </w:tabs>
        <w:rPr>
          <w:rtl/>
          <w:lang w:bidi="fa-IR"/>
        </w:rPr>
      </w:pPr>
      <w:bookmarkStart w:id="41" w:name="_Toc459459108"/>
      <w:r>
        <w:rPr>
          <w:rtl/>
          <w:lang w:bidi="fa-IR"/>
        </w:rPr>
        <w:br w:type="page"/>
      </w:r>
    </w:p>
    <w:p w:rsidR="000C39D1" w:rsidRPr="00132E65" w:rsidRDefault="000C39D1" w:rsidP="000C39D1">
      <w:pPr>
        <w:pStyle w:val="Heading2Center"/>
        <w:rPr>
          <w:rtl/>
          <w:lang w:bidi="fa-IR"/>
        </w:rPr>
      </w:pPr>
      <w:bookmarkStart w:id="42" w:name="_Toc34663077"/>
      <w:r w:rsidRPr="00132E65">
        <w:rPr>
          <w:rtl/>
          <w:lang w:bidi="fa-IR"/>
        </w:rPr>
        <w:t>80</w:t>
      </w:r>
      <w:r>
        <w:rPr>
          <w:rtl/>
          <w:lang w:bidi="fa-IR"/>
        </w:rPr>
        <w:t xml:space="preserve"> - </w:t>
      </w:r>
      <w:r w:rsidRPr="00132E65">
        <w:rPr>
          <w:rtl/>
          <w:lang w:bidi="fa-IR"/>
        </w:rPr>
        <w:t>بَابٌ فِي الْغَيْبَةِ‌</w:t>
      </w:r>
      <w:bookmarkEnd w:id="41"/>
      <w:bookmarkEnd w:id="42"/>
    </w:p>
    <w:p w:rsidR="000C39D1" w:rsidRPr="00132E65" w:rsidRDefault="000C39D1" w:rsidP="000C39D1">
      <w:pPr>
        <w:pStyle w:val="libNormal"/>
        <w:rPr>
          <w:rtl/>
          <w:lang w:bidi="fa-IR"/>
        </w:rPr>
      </w:pPr>
      <w:r w:rsidRPr="00FF0053">
        <w:rPr>
          <w:rtl/>
        </w:rPr>
        <w:t>891</w:t>
      </w:r>
      <w:r w:rsidRPr="004325D8">
        <w:rPr>
          <w:rStyle w:val="libBold2Char"/>
          <w:rtl/>
        </w:rPr>
        <w:t xml:space="preserve"> / 1.</w:t>
      </w:r>
      <w:r w:rsidRPr="00132E65">
        <w:rPr>
          <w:rtl/>
          <w:lang w:bidi="fa-IR"/>
        </w:rPr>
        <w:t xml:space="preserve"> مُحَمَّدُ بْنُ يَحْيى والْحُسَيْنُ </w:t>
      </w:r>
      <w:r>
        <w:rPr>
          <w:rStyle w:val="libFootnotenumChar"/>
          <w:rtl/>
        </w:rPr>
        <w:t>(1)</w:t>
      </w:r>
      <w:r w:rsidRPr="00132E65">
        <w:rPr>
          <w:rtl/>
          <w:lang w:bidi="fa-IR"/>
        </w:rPr>
        <w:t xml:space="preserve"> بْنُ مُحَمَّدٍ جَمِيعاً ، عَنْ جَعْفَرِ بْنِ مُحَمَّدٍ الْكُوفِيِّ ، عَنِ الْحَسَنِ بْنِ مُحَمَّدٍ الصَّيْرَفِيِّ ، عَنْ صَالِحِ بْنِ خَالِدٍ ، عَنْ يَمَانٍ التَّمَّارِ ، قَالَ :</w:t>
      </w:r>
    </w:p>
    <w:p w:rsidR="000C39D1" w:rsidRPr="00132E65" w:rsidRDefault="000C39D1" w:rsidP="000C39D1">
      <w:pPr>
        <w:pStyle w:val="libNormal"/>
        <w:rPr>
          <w:rtl/>
          <w:lang w:bidi="fa-IR"/>
        </w:rPr>
      </w:pPr>
      <w:r w:rsidRPr="00132E65">
        <w:rPr>
          <w:rtl/>
          <w:lang w:bidi="fa-IR"/>
        </w:rPr>
        <w:t xml:space="preserve">كُنَّا عِنْدَ أَبِي عَبْدِ اللهِ </w:t>
      </w:r>
      <w:r w:rsidRPr="00071CF9">
        <w:rPr>
          <w:rStyle w:val="libAlaemChar"/>
          <w:rtl/>
        </w:rPr>
        <w:t>عليه‌السلام</w:t>
      </w:r>
      <w:r w:rsidRPr="00132E65">
        <w:rPr>
          <w:rtl/>
          <w:lang w:bidi="fa-IR"/>
        </w:rPr>
        <w:t xml:space="preserve"> جُلُوساً ، فَقَالَ لَنَا : « إِنَّ لِصَاحِبِ هذَا الْأَمْرِ غَيْبَةً ، الْمُتَمَسِّكُ </w:t>
      </w:r>
      <w:r>
        <w:rPr>
          <w:rStyle w:val="libFootnotenumChar"/>
          <w:rtl/>
        </w:rPr>
        <w:t>(2)</w:t>
      </w:r>
      <w:r w:rsidRPr="00132E65">
        <w:rPr>
          <w:rtl/>
          <w:lang w:bidi="fa-IR"/>
        </w:rPr>
        <w:t xml:space="preserve"> فِيهَا بِدِينِهِ </w:t>
      </w:r>
      <w:r>
        <w:rPr>
          <w:rStyle w:val="libFootnotenumChar"/>
          <w:rtl/>
        </w:rPr>
        <w:t>(3)</w:t>
      </w:r>
      <w:r w:rsidRPr="00132E65">
        <w:rPr>
          <w:rtl/>
          <w:lang w:bidi="fa-IR"/>
        </w:rPr>
        <w:t xml:space="preserve"> كَالْخَارِطِ </w:t>
      </w:r>
      <w:r>
        <w:rPr>
          <w:rStyle w:val="libFootnotenumChar"/>
          <w:rtl/>
        </w:rPr>
        <w:t>(4)</w:t>
      </w:r>
      <w:r w:rsidRPr="00132E65">
        <w:rPr>
          <w:rtl/>
          <w:lang w:bidi="fa-IR"/>
        </w:rPr>
        <w:t xml:space="preserve"> لِلْقَتَادِ </w:t>
      </w:r>
      <w:r>
        <w:rPr>
          <w:rStyle w:val="libFootnotenumChar"/>
          <w:rtl/>
        </w:rPr>
        <w:t>(5)</w:t>
      </w:r>
      <w:r>
        <w:rPr>
          <w:rtl/>
          <w:lang w:bidi="fa-IR"/>
        </w:rPr>
        <w:t xml:space="preserve"> - </w:t>
      </w:r>
      <w:r w:rsidRPr="00132E65">
        <w:rPr>
          <w:rtl/>
          <w:lang w:bidi="fa-IR"/>
        </w:rPr>
        <w:t>ثُمَّ قَالَ هكَذَا بِيَدِهِ</w:t>
      </w:r>
      <w:r>
        <w:rPr>
          <w:rtl/>
          <w:lang w:bidi="fa-IR"/>
        </w:rPr>
        <w:t xml:space="preserve"> - </w:t>
      </w:r>
      <w:r w:rsidRPr="00132E65">
        <w:rPr>
          <w:rtl/>
          <w:lang w:bidi="fa-IR"/>
        </w:rPr>
        <w:t>فَأَيُّكُمْ يُمْسِكُ شَوْكَ الْقَتَادِ بِيَدِهِ</w:t>
      </w:r>
      <w:r>
        <w:rPr>
          <w:rtl/>
          <w:lang w:bidi="fa-IR"/>
        </w:rPr>
        <w:t>؟ »</w:t>
      </w:r>
      <w:r w:rsidRPr="00132E65">
        <w:rPr>
          <w:rtl/>
          <w:lang w:bidi="fa-IR"/>
        </w:rPr>
        <w:t>‌</w:t>
      </w:r>
    </w:p>
    <w:p w:rsidR="000C39D1" w:rsidRPr="00132E65" w:rsidRDefault="000C39D1" w:rsidP="000C39D1">
      <w:pPr>
        <w:pStyle w:val="libNormal"/>
        <w:rPr>
          <w:rtl/>
          <w:lang w:bidi="fa-IR"/>
        </w:rPr>
      </w:pPr>
      <w:r w:rsidRPr="00132E65">
        <w:rPr>
          <w:rtl/>
          <w:lang w:bidi="fa-IR"/>
        </w:rPr>
        <w:t xml:space="preserve">ثُمَّ أَطْرَقَ مَلِيّاً </w:t>
      </w:r>
      <w:r>
        <w:rPr>
          <w:rStyle w:val="libFootnotenumChar"/>
          <w:rtl/>
        </w:rPr>
        <w:t>(6)</w:t>
      </w:r>
      <w:r w:rsidRPr="00132E65">
        <w:rPr>
          <w:rtl/>
          <w:lang w:bidi="fa-IR"/>
        </w:rPr>
        <w:t xml:space="preserve"> ، ثُمَّ قَالَ : « إِنَّ لِصَاحِبِ هذَا الْأَمْرِ غَيْبَةً </w:t>
      </w:r>
      <w:r>
        <w:rPr>
          <w:rStyle w:val="libFootnotenumChar"/>
          <w:rtl/>
        </w:rPr>
        <w:t>(7)</w:t>
      </w:r>
      <w:r w:rsidRPr="00132E65">
        <w:rPr>
          <w:rtl/>
          <w:lang w:bidi="fa-IR"/>
        </w:rPr>
        <w:t xml:space="preserve"> ، فَلْيَتَّقِ اللهَ عَبْدٌ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ض »</w:t>
      </w:r>
      <w:r>
        <w:rPr>
          <w:rtl/>
        </w:rPr>
        <w:t>.</w:t>
      </w:r>
      <w:r w:rsidRPr="00132E65">
        <w:rPr>
          <w:rtl/>
        </w:rPr>
        <w:t xml:space="preserve"> وفي سائر النسخ والمطبوع : « الحسن »</w:t>
      </w:r>
      <w:r>
        <w:rPr>
          <w:rtl/>
        </w:rPr>
        <w:t>.</w:t>
      </w:r>
    </w:p>
    <w:p w:rsidR="000C39D1" w:rsidRPr="00132E65" w:rsidRDefault="000C39D1" w:rsidP="000C39D1">
      <w:pPr>
        <w:pStyle w:val="libFootnote0"/>
        <w:rPr>
          <w:rtl/>
          <w:lang w:bidi="fa-IR"/>
        </w:rPr>
      </w:pPr>
      <w:r w:rsidRPr="00E55206">
        <w:rPr>
          <w:rtl/>
        </w:rPr>
        <w:t xml:space="preserve">والصواب ما أثبتناه ؛ فقد وردت رواية الحسين بن محمّد شيخ المصنّف ، عن جعفر بن محمّدٍ ، في عدّةٍ من الأسناد ، كما روى محمّد بن يحيى والحسين بن محمّد معطوفين عن جعفر بن محمّد في </w:t>
      </w:r>
      <w:r w:rsidRPr="000577A7">
        <w:rPr>
          <w:rStyle w:val="libFootnoteBoldChar"/>
          <w:rtl/>
        </w:rPr>
        <w:t>الكافي</w:t>
      </w:r>
      <w:r w:rsidRPr="00E55206">
        <w:rPr>
          <w:rtl/>
        </w:rPr>
        <w:t xml:space="preserve"> ، ح 742 و 901. راجع : </w:t>
      </w:r>
      <w:r w:rsidRPr="00FF0053">
        <w:rPr>
          <w:rtl/>
        </w:rPr>
        <w:t xml:space="preserve">معجم رجال الحديث </w:t>
      </w:r>
      <w:r w:rsidRPr="00E55206">
        <w:rPr>
          <w:rtl/>
        </w:rPr>
        <w:t>، ج 6 ، ص 340.</w:t>
      </w:r>
    </w:p>
    <w:p w:rsidR="000C39D1" w:rsidRPr="00132E65" w:rsidRDefault="000C39D1" w:rsidP="000C39D1">
      <w:pPr>
        <w:pStyle w:val="libFootnote0"/>
        <w:rPr>
          <w:rtl/>
          <w:lang w:bidi="fa-IR"/>
        </w:rPr>
      </w:pPr>
      <w:r w:rsidRPr="00E55206">
        <w:rPr>
          <w:rtl/>
        </w:rPr>
        <w:t xml:space="preserve">يؤيّد ذلك ما تقدّم في ح 44 ؛ من رواية الحسين بن محمّد عن جعفر بن محمّد ، عن القاسم بن الربيع ؛ فقد روى جعفر بن محمّد بن مالك الفزاري الكوفي كتاب القاسم بن الربيع. راجع : </w:t>
      </w:r>
      <w:r w:rsidRPr="00FF0053">
        <w:rPr>
          <w:rtl/>
        </w:rPr>
        <w:t>رجال النجاشي</w:t>
      </w:r>
      <w:r w:rsidRPr="00E55206">
        <w:rPr>
          <w:rtl/>
        </w:rPr>
        <w:t xml:space="preserve"> ، ص 316 ، الرقم 867.</w:t>
      </w:r>
    </w:p>
    <w:p w:rsidR="000C39D1" w:rsidRPr="00132E65" w:rsidRDefault="000C39D1" w:rsidP="000C39D1">
      <w:pPr>
        <w:pStyle w:val="libFootnote0"/>
        <w:rPr>
          <w:rtl/>
          <w:lang w:bidi="fa-IR"/>
        </w:rPr>
      </w:pPr>
      <w:r w:rsidRPr="00E55206">
        <w:rPr>
          <w:rtl/>
        </w:rPr>
        <w:t xml:space="preserve">ثمّ إنّ الخبر رواه النعماني في كتابه </w:t>
      </w:r>
      <w:r w:rsidRPr="00FF0053">
        <w:rPr>
          <w:rtl/>
        </w:rPr>
        <w:t>الغيبة</w:t>
      </w:r>
      <w:r w:rsidRPr="00E55206">
        <w:rPr>
          <w:rtl/>
        </w:rPr>
        <w:t xml:space="preserve"> ، ص 169 ، ذيل ح 10 - نقلاً من الكتاب - وفيه أيضاً : « الحسن بن محمّد » لكن في نسخة عتيقةٍ من </w:t>
      </w:r>
      <w:r w:rsidRPr="00FF0053">
        <w:rPr>
          <w:rtl/>
        </w:rPr>
        <w:t>الغيبة</w:t>
      </w:r>
      <w:r w:rsidRPr="00E55206">
        <w:rPr>
          <w:rtl/>
        </w:rPr>
        <w:t xml:space="preserve"> : « الحسين ».</w:t>
      </w:r>
    </w:p>
    <w:p w:rsidR="000C39D1" w:rsidRPr="00132E65" w:rsidRDefault="000C39D1" w:rsidP="000C39D1">
      <w:pPr>
        <w:pStyle w:val="libFootnote0"/>
        <w:rPr>
          <w:rtl/>
          <w:lang w:bidi="fa-IR"/>
        </w:rPr>
      </w:pPr>
      <w:r>
        <w:rPr>
          <w:rtl/>
        </w:rPr>
        <w:t>(2).</w:t>
      </w:r>
      <w:r w:rsidRPr="00132E65">
        <w:rPr>
          <w:rtl/>
        </w:rPr>
        <w:t xml:space="preserve"> في « ج ، بح ، بر ، بس » وحاشية « ف » : « الممسك »</w:t>
      </w:r>
      <w:r>
        <w:rPr>
          <w:rtl/>
        </w:rPr>
        <w:t>.</w:t>
      </w:r>
    </w:p>
    <w:p w:rsidR="000C39D1" w:rsidRPr="00132E65" w:rsidRDefault="000C39D1" w:rsidP="000C39D1">
      <w:pPr>
        <w:pStyle w:val="libFootnote0"/>
        <w:rPr>
          <w:rtl/>
          <w:lang w:bidi="fa-IR"/>
        </w:rPr>
      </w:pPr>
      <w:r>
        <w:rPr>
          <w:rtl/>
        </w:rPr>
        <w:t>(3).</w:t>
      </w:r>
      <w:r w:rsidRPr="00132E65">
        <w:rPr>
          <w:rtl/>
        </w:rPr>
        <w:t xml:space="preserve"> في حاشية « ج » : « لدينه »</w:t>
      </w:r>
      <w:r>
        <w:rPr>
          <w:rtl/>
        </w:rPr>
        <w:t>.</w:t>
      </w:r>
      <w:r w:rsidRPr="00132E65">
        <w:rPr>
          <w:rtl/>
        </w:rPr>
        <w:t xml:space="preserve"> وهو مقتضى كلمة « الممسك »</w:t>
      </w:r>
      <w:r>
        <w:rPr>
          <w:rtl/>
        </w:rPr>
        <w:t>.</w:t>
      </w:r>
    </w:p>
    <w:p w:rsidR="000C39D1" w:rsidRPr="00132E65" w:rsidRDefault="000C39D1" w:rsidP="000C39D1">
      <w:pPr>
        <w:pStyle w:val="libFootnote0"/>
        <w:rPr>
          <w:rtl/>
          <w:lang w:bidi="fa-IR"/>
        </w:rPr>
      </w:pPr>
      <w:r>
        <w:rPr>
          <w:rtl/>
        </w:rPr>
        <w:t>(4).</w:t>
      </w:r>
      <w:r w:rsidRPr="00132E65">
        <w:rPr>
          <w:rtl/>
        </w:rPr>
        <w:t xml:space="preserve"> « الخارِط » : من خَرَطْتُ الورقَ ، أي حَتَتُّهُ ، وهو أن تقبض على أعلاه ثمّ تُمِرُّ يدك عليه إلى أسفله. </w:t>
      </w:r>
      <w:r>
        <w:rPr>
          <w:rtl/>
        </w:rPr>
        <w:t>و «</w:t>
      </w:r>
      <w:r w:rsidRPr="00132E65">
        <w:rPr>
          <w:rtl/>
        </w:rPr>
        <w:t xml:space="preserve"> القَتاد » كسَحاب : شجر صُلب ، له شوكة كالإبر. وهذا مَثَل لكلّ أمر صعب ومرتكب له. راجع : </w:t>
      </w:r>
      <w:r w:rsidRPr="00FF0053">
        <w:rPr>
          <w:rtl/>
        </w:rPr>
        <w:t>الصحاح</w:t>
      </w:r>
      <w:r w:rsidRPr="00132E65">
        <w:rPr>
          <w:rtl/>
        </w:rPr>
        <w:t xml:space="preserve"> ، ج 3 ، ص 1122 ( خرط ) ؛ </w:t>
      </w:r>
      <w:r w:rsidRPr="00FF0053">
        <w:rPr>
          <w:rtl/>
        </w:rPr>
        <w:t>القاموس المحيط</w:t>
      </w:r>
      <w:r w:rsidRPr="00132E65">
        <w:rPr>
          <w:rtl/>
        </w:rPr>
        <w:t xml:space="preserve"> ، ج 1 ، ص 446 ( قتد )</w:t>
      </w:r>
      <w:r>
        <w:rPr>
          <w:rtl/>
        </w:rPr>
        <w:t>.</w:t>
      </w:r>
    </w:p>
    <w:p w:rsidR="000C39D1" w:rsidRPr="00132E65" w:rsidRDefault="000C39D1" w:rsidP="000C39D1">
      <w:pPr>
        <w:pStyle w:val="libFootnote0"/>
        <w:rPr>
          <w:rtl/>
          <w:lang w:bidi="fa-IR"/>
        </w:rPr>
      </w:pPr>
      <w:r>
        <w:rPr>
          <w:rtl/>
        </w:rPr>
        <w:t>(5).</w:t>
      </w:r>
      <w:r w:rsidRPr="00132E65">
        <w:rPr>
          <w:rtl/>
        </w:rPr>
        <w:t xml:space="preserve"> في الغيبة للنعماني والطوسي :</w:t>
      </w:r>
      <w:r>
        <w:rPr>
          <w:rtl/>
        </w:rPr>
        <w:t xml:space="preserve"> + </w:t>
      </w:r>
      <w:r w:rsidRPr="00132E65">
        <w:rPr>
          <w:rtl/>
        </w:rPr>
        <w:t>« بيده »</w:t>
      </w:r>
      <w:r>
        <w:rPr>
          <w:rtl/>
        </w:rPr>
        <w:t>.</w:t>
      </w:r>
    </w:p>
    <w:p w:rsidR="000C39D1" w:rsidRPr="00132E65" w:rsidRDefault="000C39D1" w:rsidP="000C39D1">
      <w:pPr>
        <w:pStyle w:val="libFootnote0"/>
        <w:rPr>
          <w:rtl/>
          <w:lang w:bidi="fa-IR"/>
        </w:rPr>
      </w:pPr>
      <w:r>
        <w:rPr>
          <w:rtl/>
        </w:rPr>
        <w:t>(6).</w:t>
      </w:r>
      <w:r w:rsidRPr="00132E65">
        <w:rPr>
          <w:rtl/>
        </w:rPr>
        <w:t xml:space="preserve"> أطْرَقَ الرجل ، أي سكت فلم يتكلّم ، وأطرق ، أي أرخى عينيه ينظر إلى الأرض. وال</w:t>
      </w:r>
      <w:r>
        <w:rPr>
          <w:rFonts w:hint="cs"/>
          <w:rtl/>
        </w:rPr>
        <w:t>ـ</w:t>
      </w:r>
      <w:r w:rsidRPr="00132E65">
        <w:rPr>
          <w:rtl/>
        </w:rPr>
        <w:t xml:space="preserve">مَلِيُّ : هو الطائفة من‌الزمان لا حدّ لها. يقال : معنى مليّ من النهار ومليّ من الدهر ، أي طائفة منه. فالمعنى : سكت زماناً طويلاً ناظراً إلى الأرض. راجع : </w:t>
      </w:r>
      <w:r w:rsidRPr="00FF0053">
        <w:rPr>
          <w:rtl/>
        </w:rPr>
        <w:t>الصحاح</w:t>
      </w:r>
      <w:r w:rsidRPr="00132E65">
        <w:rPr>
          <w:rtl/>
        </w:rPr>
        <w:t xml:space="preserve"> ، ج 4 ، ص 1515 ( طرق ) ؛ </w:t>
      </w:r>
      <w:r w:rsidRPr="00FF0053">
        <w:rPr>
          <w:rtl/>
        </w:rPr>
        <w:t>النهاية</w:t>
      </w:r>
      <w:r w:rsidRPr="00132E65">
        <w:rPr>
          <w:rtl/>
        </w:rPr>
        <w:t xml:space="preserve"> ، ج 4 ، ص 363 ( ملا )</w:t>
      </w:r>
      <w:r>
        <w:rPr>
          <w:rtl/>
        </w:rPr>
        <w:t>.</w:t>
      </w:r>
    </w:p>
    <w:p w:rsidR="000C39D1" w:rsidRPr="00132E65" w:rsidRDefault="000C39D1" w:rsidP="000C39D1">
      <w:pPr>
        <w:pStyle w:val="libFootnote0"/>
        <w:rPr>
          <w:rtl/>
          <w:lang w:bidi="fa-IR"/>
        </w:rPr>
      </w:pPr>
      <w:r>
        <w:rPr>
          <w:rtl/>
        </w:rPr>
        <w:t>(7).</w:t>
      </w:r>
      <w:r w:rsidRPr="00132E65">
        <w:rPr>
          <w:rtl/>
        </w:rPr>
        <w:t xml:space="preserve"> في حاشية « بر » : « لغيبة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وَلْيَتَمَسَّكْ بِدِينِهِ »</w:t>
      </w:r>
      <w:r>
        <w:rPr>
          <w:rtl/>
          <w:lang w:bidi="fa-IR"/>
        </w:rPr>
        <w:t>.</w:t>
      </w:r>
      <w:r w:rsidRPr="00132E65">
        <w:rPr>
          <w:rtl/>
          <w:lang w:bidi="fa-IR"/>
        </w:rPr>
        <w:t xml:space="preserve"> </w:t>
      </w:r>
      <w:r>
        <w:rPr>
          <w:rStyle w:val="libFootnotenumChar"/>
          <w:rtl/>
        </w:rPr>
        <w:t>(1)</w:t>
      </w:r>
    </w:p>
    <w:p w:rsidR="000C39D1" w:rsidRPr="00132E65" w:rsidRDefault="000C39D1" w:rsidP="000C39D1">
      <w:pPr>
        <w:pStyle w:val="libNormal"/>
        <w:rPr>
          <w:rtl/>
          <w:lang w:bidi="fa-IR"/>
        </w:rPr>
      </w:pPr>
      <w:r w:rsidRPr="00FF0053">
        <w:rPr>
          <w:rtl/>
        </w:rPr>
        <w:t>892</w:t>
      </w:r>
      <w:r w:rsidRPr="004325D8">
        <w:rPr>
          <w:rStyle w:val="libBold2Char"/>
          <w:rtl/>
        </w:rPr>
        <w:t xml:space="preserve"> / 2.</w:t>
      </w:r>
      <w:r w:rsidRPr="00132E65">
        <w:rPr>
          <w:rtl/>
          <w:lang w:bidi="fa-IR"/>
        </w:rPr>
        <w:t xml:space="preserve"> عَلِيُّ بْنُ مُحَمَّدٍ ، عَنِ الْحَسَنِ بْنِ عِيسَى بْنِ مُحَمَّدِ بْنِ عَلِيِّ بْنِ جَعْفَرٍ ، عَنْ أَبِيهِ ، عَنْ جَدِّهِ ، عَنْ عَلِيِّ بْنِ جَعْفَرٍ :</w:t>
      </w:r>
    </w:p>
    <w:p w:rsidR="000C39D1" w:rsidRPr="00132E65" w:rsidRDefault="000C39D1" w:rsidP="000C39D1">
      <w:pPr>
        <w:pStyle w:val="libNormal"/>
        <w:rPr>
          <w:rtl/>
          <w:lang w:bidi="fa-IR"/>
        </w:rPr>
      </w:pPr>
      <w:r w:rsidRPr="00132E65">
        <w:rPr>
          <w:rtl/>
          <w:lang w:bidi="fa-IR"/>
        </w:rPr>
        <w:t xml:space="preserve">عَنْ أَخِيهِ مُوسَى بْنِ جَعْفَرٍ </w:t>
      </w:r>
      <w:r w:rsidRPr="00071CF9">
        <w:rPr>
          <w:rStyle w:val="libAlaemChar"/>
          <w:rtl/>
        </w:rPr>
        <w:t>عليه‌السلام</w:t>
      </w:r>
      <w:r w:rsidRPr="00132E65">
        <w:rPr>
          <w:rtl/>
          <w:lang w:bidi="fa-IR"/>
        </w:rPr>
        <w:t xml:space="preserve"> ، قَالَ : « إِذَا فُقِدَ الْخَامِسُ مِنْ ولْدِ السَّابِعِ ، فَاللهَ اللهَ فِي أَدْيَانِكُمْ ، لَايُزِيلُكُمْ </w:t>
      </w:r>
      <w:r>
        <w:rPr>
          <w:rStyle w:val="libFootnotenumChar"/>
          <w:rtl/>
        </w:rPr>
        <w:t>(2)</w:t>
      </w:r>
      <w:r w:rsidRPr="00132E65">
        <w:rPr>
          <w:rtl/>
          <w:lang w:bidi="fa-IR"/>
        </w:rPr>
        <w:t xml:space="preserve"> عَنْهَا أَحَدٌ </w:t>
      </w:r>
      <w:r>
        <w:rPr>
          <w:rStyle w:val="libFootnotenumChar"/>
          <w:rtl/>
        </w:rPr>
        <w:t>(3)</w:t>
      </w:r>
      <w:r w:rsidRPr="00132E65">
        <w:rPr>
          <w:rtl/>
          <w:lang w:bidi="fa-IR"/>
        </w:rPr>
        <w:t xml:space="preserve"> ؛ يَا بُنَيَّ </w:t>
      </w:r>
      <w:r>
        <w:rPr>
          <w:rStyle w:val="libFootnotenumChar"/>
          <w:rtl/>
        </w:rPr>
        <w:t>(4)</w:t>
      </w:r>
      <w:r w:rsidRPr="00132E65">
        <w:rPr>
          <w:rtl/>
          <w:lang w:bidi="fa-IR"/>
        </w:rPr>
        <w:t xml:space="preserve"> ، إِنَّهُ لَابُدَّ لِصَاحِبِ هذَا الْأَمْرِ مِنْ غَيْبَةٍ حَتّى يَرْجِعَ عَنْ هذَا الْأَمْرِ مَنْ كَانَ يَقُولُ بِهِ ، إِنَّمَا هِيَ مِحْنَةٌ </w:t>
      </w:r>
      <w:r>
        <w:rPr>
          <w:rStyle w:val="libFootnotenumChar"/>
          <w:rtl/>
        </w:rPr>
        <w:t>(5)</w:t>
      </w:r>
      <w:r w:rsidRPr="00132E65">
        <w:rPr>
          <w:rtl/>
          <w:lang w:bidi="fa-IR"/>
        </w:rPr>
        <w:t xml:space="preserve"> مِنَ اللهِ</w:t>
      </w:r>
      <w:r>
        <w:rPr>
          <w:rtl/>
          <w:lang w:bidi="fa-IR"/>
        </w:rPr>
        <w:t xml:space="preserve"> - </w:t>
      </w:r>
      <w:r w:rsidRPr="00132E65">
        <w:rPr>
          <w:rtl/>
          <w:lang w:bidi="fa-IR"/>
        </w:rPr>
        <w:t>عَزَّ وجَلَّ</w:t>
      </w:r>
      <w:r>
        <w:rPr>
          <w:rtl/>
          <w:lang w:bidi="fa-IR"/>
        </w:rPr>
        <w:t xml:space="preserve"> - </w:t>
      </w:r>
      <w:r w:rsidRPr="00132E65">
        <w:rPr>
          <w:rtl/>
          <w:lang w:bidi="fa-IR"/>
        </w:rPr>
        <w:t xml:space="preserve">امْتَحَنَ </w:t>
      </w:r>
      <w:r>
        <w:rPr>
          <w:rStyle w:val="libFootnotenumChar"/>
          <w:rtl/>
        </w:rPr>
        <w:t>(6)</w:t>
      </w:r>
      <w:r w:rsidRPr="00132E65">
        <w:rPr>
          <w:rtl/>
          <w:lang w:bidi="fa-IR"/>
        </w:rPr>
        <w:t xml:space="preserve"> بِهَا خَلْقَهُ ، لَوْ </w:t>
      </w:r>
      <w:r>
        <w:rPr>
          <w:rStyle w:val="libFootnotenumChar"/>
          <w:rtl/>
        </w:rPr>
        <w:t>(7)</w:t>
      </w:r>
      <w:r w:rsidRPr="00132E65">
        <w:rPr>
          <w:rtl/>
          <w:lang w:bidi="fa-IR"/>
        </w:rPr>
        <w:t xml:space="preserve"> عَلِمَ آبَاؤُكُمْ وأَجْدَادُكُمْ دِيناً أَصَحَّ مِنْ هذَا </w:t>
      </w:r>
      <w:r>
        <w:rPr>
          <w:rStyle w:val="libFootnotenumChar"/>
          <w:rtl/>
        </w:rPr>
        <w:t>(8)</w:t>
      </w:r>
      <w:r w:rsidRPr="00132E65">
        <w:rPr>
          <w:rtl/>
          <w:lang w:bidi="fa-IR"/>
        </w:rPr>
        <w:t xml:space="preserve"> ، لَاتَّبَعُوهُ »</w:t>
      </w:r>
      <w:r>
        <w:rPr>
          <w:rtl/>
          <w:lang w:bidi="fa-IR"/>
        </w:rPr>
        <w:t>.</w:t>
      </w:r>
    </w:p>
    <w:p w:rsidR="000C39D1" w:rsidRPr="00132E65" w:rsidRDefault="000C39D1" w:rsidP="000C39D1">
      <w:pPr>
        <w:pStyle w:val="libNormal"/>
        <w:rPr>
          <w:rtl/>
          <w:lang w:bidi="fa-IR"/>
        </w:rPr>
      </w:pPr>
      <w:r w:rsidRPr="00132E65">
        <w:rPr>
          <w:rtl/>
          <w:lang w:bidi="fa-IR"/>
        </w:rPr>
        <w:t xml:space="preserve">قَالَ : فَقُلْتُ : يَا سَيِّدِي ، مَنِ الْخَامِسُ مِنْ ولْدِ السَّابِعِ </w:t>
      </w:r>
      <w:r>
        <w:rPr>
          <w:rStyle w:val="libFootnotenumChar"/>
          <w:rtl/>
        </w:rPr>
        <w:t>(9)</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FF0053">
        <w:rPr>
          <w:rtl/>
        </w:rPr>
        <w:t>الغيبة</w:t>
      </w:r>
      <w:r w:rsidRPr="00132E65">
        <w:rPr>
          <w:rtl/>
        </w:rPr>
        <w:t xml:space="preserve"> للنعماني ، ص 169 ، ذيل ح 11 ، عن الكليني. </w:t>
      </w:r>
      <w:r w:rsidRPr="00FF0053">
        <w:rPr>
          <w:rtl/>
        </w:rPr>
        <w:t>وفيه</w:t>
      </w:r>
      <w:r w:rsidRPr="00132E65">
        <w:rPr>
          <w:rtl/>
        </w:rPr>
        <w:t xml:space="preserve"> أيضاً ، ص 169 ، ح 11 ، بسند آخر عن صالح بن محمّد ، عن يمان التمّار ؛ وفي </w:t>
      </w:r>
      <w:r w:rsidRPr="00FF0053">
        <w:rPr>
          <w:rtl/>
        </w:rPr>
        <w:t>كمال الدين</w:t>
      </w:r>
      <w:r w:rsidRPr="00132E65">
        <w:rPr>
          <w:rtl/>
        </w:rPr>
        <w:t xml:space="preserve"> ، ص 346 ، ح 34 ؛ وص 343 ، ح 25 [ وفيه من قوله : « إنّ لصاحب هذا الأمر غيبة فليتّق الله</w:t>
      </w:r>
      <w:r>
        <w:rPr>
          <w:rtl/>
        </w:rPr>
        <w:t xml:space="preserve"> ..</w:t>
      </w:r>
      <w:r w:rsidRPr="00132E65">
        <w:rPr>
          <w:rtl/>
        </w:rPr>
        <w:t>. » ] ؛ و</w:t>
      </w:r>
      <w:r w:rsidRPr="00FF0053">
        <w:rPr>
          <w:rtl/>
        </w:rPr>
        <w:t>الغيبة</w:t>
      </w:r>
      <w:r w:rsidRPr="00132E65">
        <w:rPr>
          <w:rtl/>
        </w:rPr>
        <w:t xml:space="preserve"> للطوسي ، ص 455 ، ح 465 ، [ وفيه إلى قوله : « المتمسّك فيها بدينه كالخارط للقتاد » ] بسندها عن صالح بن محمّد ، عن هانئ التمّار</w:t>
      </w:r>
      <w:r>
        <w:rPr>
          <w:rFonts w:hint="cs"/>
          <w:rtl/>
        </w:rPr>
        <w:t>.</w:t>
      </w:r>
      <w:r w:rsidRPr="009D1ACE">
        <w:rPr>
          <w:rStyle w:val="libFootnoteBoldChar"/>
          <w:rtl/>
        </w:rPr>
        <w:t>الوافي</w:t>
      </w:r>
      <w:r w:rsidRPr="00132E65">
        <w:rPr>
          <w:rtl/>
        </w:rPr>
        <w:t xml:space="preserve"> ، ج 2 ، ص 405 ، ح 907.</w:t>
      </w:r>
    </w:p>
    <w:p w:rsidR="000C39D1" w:rsidRPr="00132E65" w:rsidRDefault="000C39D1" w:rsidP="000C39D1">
      <w:pPr>
        <w:pStyle w:val="libFootnote0"/>
        <w:rPr>
          <w:rtl/>
          <w:lang w:bidi="fa-IR"/>
        </w:rPr>
      </w:pPr>
      <w:r>
        <w:rPr>
          <w:rtl/>
        </w:rPr>
        <w:t>(2).</w:t>
      </w:r>
      <w:r w:rsidRPr="00132E65">
        <w:rPr>
          <w:rtl/>
        </w:rPr>
        <w:t xml:space="preserve"> في حاشية « ج ، بح » و</w:t>
      </w:r>
      <w:r w:rsidRPr="009D1ACE">
        <w:rPr>
          <w:rStyle w:val="libFootnoteBoldChar"/>
          <w:rtl/>
        </w:rPr>
        <w:t>الوافي</w:t>
      </w:r>
      <w:r w:rsidRPr="00132E65">
        <w:rPr>
          <w:rtl/>
        </w:rPr>
        <w:t xml:space="preserve"> وكمال الدين ، ص 359 وكفاية الأثر والغيبة للطوسي ، ص 337 والغيبةللنعماني : « لا يزيلنّكم »</w:t>
      </w:r>
      <w:r>
        <w:rPr>
          <w:rtl/>
        </w:rPr>
        <w:t>.</w:t>
      </w:r>
    </w:p>
    <w:p w:rsidR="000C39D1" w:rsidRPr="00132E65" w:rsidRDefault="000C39D1" w:rsidP="000C39D1">
      <w:pPr>
        <w:pStyle w:val="libFootnote0"/>
        <w:rPr>
          <w:rtl/>
          <w:lang w:bidi="fa-IR"/>
        </w:rPr>
      </w:pPr>
      <w:r>
        <w:rPr>
          <w:rtl/>
        </w:rPr>
        <w:t>(3).</w:t>
      </w:r>
      <w:r w:rsidRPr="00132E65">
        <w:rPr>
          <w:rtl/>
        </w:rPr>
        <w:t xml:space="preserve"> في « بس » والعلل وكمال الدين ، ص 359 وكفاية الأثر : « أحد عنها »</w:t>
      </w:r>
      <w:r>
        <w:rPr>
          <w:rtl/>
        </w:rPr>
        <w:t>.</w:t>
      </w:r>
    </w:p>
    <w:p w:rsidR="000C39D1" w:rsidRPr="00132E65" w:rsidRDefault="000C39D1" w:rsidP="000C39D1">
      <w:pPr>
        <w:pStyle w:val="libFootnote0"/>
        <w:rPr>
          <w:rtl/>
          <w:lang w:bidi="fa-IR"/>
        </w:rPr>
      </w:pPr>
      <w:r>
        <w:rPr>
          <w:rtl/>
        </w:rPr>
        <w:t>(4).</w:t>
      </w:r>
      <w:r w:rsidRPr="00132E65">
        <w:rPr>
          <w:rtl/>
        </w:rPr>
        <w:t xml:space="preserve"> قرأ المازندراني هذا وكذا ما يأتي بعد أسطر : يا بَنِيَّ ، على صيغة الجمع بقرينة « لو علم آباؤكم »</w:t>
      </w:r>
      <w:r>
        <w:rPr>
          <w:rtl/>
        </w:rPr>
        <w:t>.</w:t>
      </w:r>
      <w:r w:rsidRPr="00132E65">
        <w:rPr>
          <w:rtl/>
        </w:rPr>
        <w:t xml:space="preserve"> ثمّ قال : « وليس على صيغة الإفراد خطاباً مع أخيه عليّ بن جعفر لإباء السياق وعدم صحّته بدون التجوّز » ولكنّ المجلسي استظهر ما في المتن. راجع : </w:t>
      </w:r>
      <w:r w:rsidRPr="00FF0053">
        <w:rPr>
          <w:rtl/>
        </w:rPr>
        <w:t>شرح المازندراني</w:t>
      </w:r>
      <w:r w:rsidRPr="00132E65">
        <w:rPr>
          <w:rtl/>
        </w:rPr>
        <w:t xml:space="preserve"> ، ج 6 ، ص 229 ؛ </w:t>
      </w:r>
      <w:r w:rsidRPr="009D1ACE">
        <w:rPr>
          <w:rStyle w:val="libFootnoteBoldChar"/>
          <w:rtl/>
        </w:rPr>
        <w:t>مرآة العقول</w:t>
      </w:r>
      <w:r w:rsidRPr="00132E65">
        <w:rPr>
          <w:rtl/>
        </w:rPr>
        <w:t xml:space="preserve"> ، ج 4 ، ص 34.</w:t>
      </w:r>
    </w:p>
    <w:p w:rsidR="000C39D1" w:rsidRPr="00132E65" w:rsidRDefault="000C39D1" w:rsidP="000C39D1">
      <w:pPr>
        <w:pStyle w:val="libFootnote0"/>
        <w:rPr>
          <w:rtl/>
          <w:lang w:bidi="fa-IR"/>
        </w:rPr>
      </w:pPr>
      <w:r>
        <w:rPr>
          <w:rtl/>
        </w:rPr>
        <w:t>(5).</w:t>
      </w:r>
      <w:r w:rsidRPr="00132E65">
        <w:rPr>
          <w:rtl/>
        </w:rPr>
        <w:t xml:space="preserve"> قال الجوهري : « المِحْنَةُ : واحدة المِحَن التي يُمْتَحَنُ بها الإنسان من بليّة. ومَحَنْتُهُ وامتحنته ،</w:t>
      </w:r>
      <w:r w:rsidR="001C701C">
        <w:rPr>
          <w:rtl/>
        </w:rPr>
        <w:t xml:space="preserve"> أي اختبرته ، والاسم المِحْنَةُ</w:t>
      </w:r>
      <w:r w:rsidRPr="00132E65">
        <w:rPr>
          <w:rtl/>
        </w:rPr>
        <w:t>»</w:t>
      </w:r>
      <w:r>
        <w:rPr>
          <w:rtl/>
        </w:rPr>
        <w:t>.</w:t>
      </w:r>
      <w:r w:rsidRPr="00132E65">
        <w:rPr>
          <w:rtl/>
        </w:rPr>
        <w:t xml:space="preserve"> </w:t>
      </w:r>
      <w:r w:rsidRPr="00FF0053">
        <w:rPr>
          <w:rtl/>
        </w:rPr>
        <w:t>الصحاح</w:t>
      </w:r>
      <w:r w:rsidRPr="00132E65">
        <w:rPr>
          <w:rtl/>
        </w:rPr>
        <w:t xml:space="preserve"> ، ج 6 ، ص 2201 ( محن )</w:t>
      </w:r>
      <w:r>
        <w:rPr>
          <w:rtl/>
        </w:rPr>
        <w:t>.</w:t>
      </w:r>
    </w:p>
    <w:p w:rsidR="000C39D1" w:rsidRPr="00132E65" w:rsidRDefault="000C39D1" w:rsidP="000C39D1">
      <w:pPr>
        <w:pStyle w:val="libFootnote0"/>
        <w:rPr>
          <w:rtl/>
          <w:lang w:bidi="fa-IR"/>
        </w:rPr>
      </w:pPr>
      <w:r>
        <w:rPr>
          <w:rtl/>
        </w:rPr>
        <w:t>(6).</w:t>
      </w:r>
      <w:r w:rsidRPr="00132E65">
        <w:rPr>
          <w:rtl/>
        </w:rPr>
        <w:t xml:space="preserve"> في الغيبة للنعماني : « يمتحن الله »</w:t>
      </w:r>
      <w:r>
        <w:rPr>
          <w:rtl/>
        </w:rPr>
        <w:t>.</w:t>
      </w:r>
    </w:p>
    <w:p w:rsidR="000C39D1" w:rsidRPr="00132E65" w:rsidRDefault="000C39D1" w:rsidP="000C39D1">
      <w:pPr>
        <w:pStyle w:val="libFootnote0"/>
        <w:rPr>
          <w:rtl/>
          <w:lang w:bidi="fa-IR"/>
        </w:rPr>
      </w:pPr>
      <w:r>
        <w:rPr>
          <w:rtl/>
        </w:rPr>
        <w:t>(7).</w:t>
      </w:r>
      <w:r w:rsidRPr="00132E65">
        <w:rPr>
          <w:rtl/>
        </w:rPr>
        <w:t xml:space="preserve"> في شرح المازندراني والعلل ، ص 244 وكمال الدين ، ص 359 والغيبة للنعماني وكفاية الأثر : « ولو »</w:t>
      </w:r>
      <w:r>
        <w:rPr>
          <w:rtl/>
        </w:rPr>
        <w:t>.</w:t>
      </w:r>
    </w:p>
    <w:p w:rsidR="000C39D1" w:rsidRPr="00132E65" w:rsidRDefault="000C39D1" w:rsidP="000C39D1">
      <w:pPr>
        <w:pStyle w:val="libFootnote0"/>
        <w:rPr>
          <w:rtl/>
          <w:lang w:bidi="fa-IR"/>
        </w:rPr>
      </w:pPr>
      <w:r>
        <w:rPr>
          <w:rtl/>
        </w:rPr>
        <w:t>(8).</w:t>
      </w:r>
      <w:r w:rsidRPr="00132E65">
        <w:rPr>
          <w:rtl/>
        </w:rPr>
        <w:t xml:space="preserve"> في الغيبة للنعماني والطوسي :</w:t>
      </w:r>
      <w:r>
        <w:rPr>
          <w:rtl/>
        </w:rPr>
        <w:t xml:space="preserve"> + </w:t>
      </w:r>
      <w:r w:rsidRPr="00132E65">
        <w:rPr>
          <w:rtl/>
        </w:rPr>
        <w:t>« الدين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الخامس ، كناية عن المهديّ </w:t>
      </w:r>
      <w:r w:rsidRPr="00C310C8">
        <w:rPr>
          <w:rStyle w:val="libFootnoteAlaemChar"/>
          <w:rtl/>
        </w:rPr>
        <w:t>عليه‌السلام</w:t>
      </w:r>
      <w:r w:rsidRPr="00132E65">
        <w:rPr>
          <w:rtl/>
        </w:rPr>
        <w:t xml:space="preserve">. والسابع ، كناية عن نفسه </w:t>
      </w:r>
      <w:r w:rsidRPr="00C310C8">
        <w:rPr>
          <w:rStyle w:val="libFootnoteAlaemChar"/>
          <w:rtl/>
        </w:rPr>
        <w:t>عليه‌السلام</w:t>
      </w:r>
      <w:r w:rsidRPr="00132E65">
        <w:rPr>
          <w:rtl/>
        </w:rPr>
        <w:t xml:space="preserve"> ، وإنّما كانت عقولهم تصغر عنه وأحلامهم تضيق عن حمله لعظم سرّ الغيبة في أعين عقولهم ، وضيق صدورهم عن حمل حكمتها الخفيّة والتصديق بوقوعها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 « يَا بُنَيَّ ، عُقُولُكُمْ تَصْغُرُ عَنْ هذَا ، وأَحْلَامُكُمْ </w:t>
      </w:r>
      <w:r>
        <w:rPr>
          <w:rStyle w:val="libFootnotenumChar"/>
          <w:rtl/>
        </w:rPr>
        <w:t>(1)</w:t>
      </w:r>
      <w:r w:rsidRPr="00132E65">
        <w:rPr>
          <w:rtl/>
          <w:lang w:bidi="fa-IR"/>
        </w:rPr>
        <w:t xml:space="preserve"> تَضِيقُ </w:t>
      </w:r>
      <w:r>
        <w:rPr>
          <w:rStyle w:val="libFootnotenumChar"/>
          <w:rtl/>
        </w:rPr>
        <w:t>(2)</w:t>
      </w:r>
      <w:r w:rsidRPr="00132E65">
        <w:rPr>
          <w:rtl/>
          <w:lang w:bidi="fa-IR"/>
        </w:rPr>
        <w:t xml:space="preserve"> عَنْ حَمْلِهِ ، ولكِنْ إِنْ تَعِيشُوا </w:t>
      </w:r>
      <w:r>
        <w:rPr>
          <w:rStyle w:val="libFootnotenumChar"/>
          <w:rtl/>
        </w:rPr>
        <w:t>(3)</w:t>
      </w:r>
      <w:r w:rsidRPr="00132E65">
        <w:rPr>
          <w:rtl/>
          <w:lang w:bidi="fa-IR"/>
        </w:rPr>
        <w:t xml:space="preserve"> فَسَوْفَ تُدْرِكُونَهُ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FF0053">
        <w:rPr>
          <w:rtl/>
        </w:rPr>
        <w:t>893</w:t>
      </w:r>
      <w:r w:rsidRPr="004325D8">
        <w:rPr>
          <w:rStyle w:val="libBold2Char"/>
          <w:rtl/>
        </w:rPr>
        <w:t xml:space="preserve"> / 3.</w:t>
      </w:r>
      <w:r w:rsidRPr="00132E65">
        <w:rPr>
          <w:rtl/>
          <w:lang w:bidi="fa-IR"/>
        </w:rPr>
        <w:t xml:space="preserve"> مُحَمَّدُ بْنُ يَحْيى ، عَنْ أَحْمَدَ بْنِ مُحَمَّدٍ </w:t>
      </w:r>
      <w:r>
        <w:rPr>
          <w:rStyle w:val="libFootnotenumChar"/>
          <w:rtl/>
        </w:rPr>
        <w:t>(5)</w:t>
      </w:r>
      <w:r w:rsidRPr="00132E65">
        <w:rPr>
          <w:rtl/>
          <w:lang w:bidi="fa-IR"/>
        </w:rPr>
        <w:t xml:space="preserve"> ، عَنِ ابْنِ أَبِي نَجْرَانَ ، عَنْ مُحَمَّدِ بْنِ الْمُسَاوِرِ ، عَنِ الْمُفَضَّلِ بْنِ عُمَرَ ، قَالَ :</w:t>
      </w:r>
    </w:p>
    <w:p w:rsidR="000C39D1" w:rsidRPr="00132E65" w:rsidRDefault="000C39D1" w:rsidP="001C701C">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إِيَّاكُمْ والتَّنْوِيهَ </w:t>
      </w:r>
      <w:r>
        <w:rPr>
          <w:rStyle w:val="libFootnotenumChar"/>
          <w:rtl/>
        </w:rPr>
        <w:t>(6)</w:t>
      </w:r>
      <w:r w:rsidRPr="00132E65">
        <w:rPr>
          <w:rtl/>
          <w:lang w:bidi="fa-IR"/>
        </w:rPr>
        <w:t xml:space="preserve"> ، أَمَا واللهِ لَيَغِيبَنَّ إِمَامُكُمْ سِنِيناً مِنْ دَهْرِكُمْ ، ولَتُمَحَّصُنَّ </w:t>
      </w:r>
      <w:r>
        <w:rPr>
          <w:rStyle w:val="libFootnotenumChar"/>
          <w:rtl/>
        </w:rPr>
        <w:t>(7)</w:t>
      </w:r>
      <w:r w:rsidRPr="00132E65">
        <w:rPr>
          <w:rtl/>
          <w:lang w:bidi="fa-IR"/>
        </w:rPr>
        <w:t xml:space="preserve"> حَتّى يُقَالَ : مَاتَ </w:t>
      </w:r>
      <w:r>
        <w:rPr>
          <w:rStyle w:val="libFootnotenumChar"/>
          <w:rtl/>
        </w:rPr>
        <w:t>(8)</w:t>
      </w:r>
      <w:r>
        <w:rPr>
          <w:rtl/>
          <w:lang w:bidi="fa-IR"/>
        </w:rPr>
        <w:t>؟</w:t>
      </w:r>
      <w:r w:rsidRPr="00132E65">
        <w:rPr>
          <w:rtl/>
          <w:lang w:bidi="fa-IR"/>
        </w:rPr>
        <w:t xml:space="preserve"> قُتِلَ</w:t>
      </w:r>
      <w:r>
        <w:rPr>
          <w:rtl/>
          <w:lang w:bidi="fa-IR"/>
        </w:rPr>
        <w:t>؟</w:t>
      </w:r>
      <w:r w:rsidRPr="00132E65">
        <w:rPr>
          <w:rtl/>
          <w:lang w:bidi="fa-IR"/>
        </w:rPr>
        <w:t xml:space="preserve"> هَلَكَ </w:t>
      </w:r>
      <w:r>
        <w:rPr>
          <w:rStyle w:val="libFootnotenumChar"/>
          <w:rtl/>
        </w:rPr>
        <w:t>(9)</w:t>
      </w:r>
      <w:r>
        <w:rPr>
          <w:rtl/>
          <w:lang w:bidi="fa-IR"/>
        </w:rPr>
        <w:t>؟</w:t>
      </w:r>
      <w:r w:rsidRPr="00132E65">
        <w:rPr>
          <w:rtl/>
          <w:lang w:bidi="fa-IR"/>
        </w:rPr>
        <w:t xml:space="preserve"> بِأَيِّ وادٍ سَلَكَ</w:t>
      </w:r>
      <w:r>
        <w:rPr>
          <w:rtl/>
          <w:lang w:bidi="fa-IR"/>
        </w:rPr>
        <w:t>؟</w:t>
      </w:r>
      <w:r>
        <w:rPr>
          <w:rFonts w:hint="cs"/>
          <w:rtl/>
          <w:lang w:bidi="fa-IR"/>
        </w:rPr>
        <w:t xml:space="preserve"> </w:t>
      </w:r>
      <w:r w:rsidRPr="00132E65">
        <w:rPr>
          <w:rtl/>
          <w:lang w:bidi="fa-IR"/>
        </w:rPr>
        <w:t xml:space="preserve">وَلَتَدْمَعَنَّ عَلَيْهِ </w:t>
      </w:r>
      <w:r>
        <w:rPr>
          <w:rStyle w:val="libFootnotenumChar"/>
          <w:rtl/>
        </w:rPr>
        <w:t>(10)</w:t>
      </w:r>
      <w:r w:rsidRPr="00132E65">
        <w:rPr>
          <w:rtl/>
          <w:lang w:bidi="fa-IR"/>
        </w:rPr>
        <w:t xml:space="preserve"> عُيُونُ الْمُؤْمِنِينَ ، ولَتُكْفَؤُنَّ </w:t>
      </w:r>
      <w:r>
        <w:rPr>
          <w:rStyle w:val="libFootnotenumChar"/>
          <w:rtl/>
        </w:rPr>
        <w:t>(11)</w:t>
      </w:r>
      <w:r w:rsidRPr="00132E65">
        <w:rPr>
          <w:rtl/>
          <w:lang w:bidi="fa-IR"/>
        </w:rPr>
        <w:t xml:space="preserve"> كَمَا‌</w:t>
      </w:r>
      <w:r w:rsidR="001C701C">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الأحلام » : واحدها الحِلْمُ ، وهو العقل. النهاية ، ج 1 ، ص 434 ( حلم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 ف » : « تضيّق »</w:t>
            </w:r>
            <w:r>
              <w:rPr>
                <w:rtl/>
              </w:rPr>
              <w:t>.</w:t>
            </w:r>
          </w:p>
        </w:tc>
        <w:tc>
          <w:tcPr>
            <w:tcW w:w="4006" w:type="dxa"/>
          </w:tcPr>
          <w:p w:rsidR="000C39D1" w:rsidRDefault="000C39D1" w:rsidP="00B53873">
            <w:pPr>
              <w:pStyle w:val="libFootnote0"/>
              <w:rPr>
                <w:rtl/>
              </w:rPr>
            </w:pPr>
            <w:r>
              <w:rPr>
                <w:rtl/>
              </w:rPr>
              <w:t>(3).</w:t>
            </w:r>
            <w:r w:rsidRPr="00132E65">
              <w:rPr>
                <w:rtl/>
              </w:rPr>
              <w:t xml:space="preserve"> في كفاية الأثر : « تفتّشوا »</w:t>
            </w:r>
            <w:r>
              <w:rPr>
                <w:rtl/>
              </w:rPr>
              <w:t>.</w:t>
            </w:r>
          </w:p>
        </w:tc>
      </w:tr>
    </w:tbl>
    <w:p w:rsidR="000C39D1" w:rsidRPr="00132E65" w:rsidRDefault="000C39D1" w:rsidP="000C39D1">
      <w:pPr>
        <w:pStyle w:val="libFootnote0"/>
        <w:rPr>
          <w:rtl/>
          <w:lang w:bidi="fa-IR"/>
        </w:rPr>
      </w:pPr>
      <w:r>
        <w:rPr>
          <w:rtl/>
        </w:rPr>
        <w:t>(4).</w:t>
      </w:r>
      <w:r w:rsidRPr="00132E65">
        <w:rPr>
          <w:rtl/>
        </w:rPr>
        <w:t xml:space="preserve"> </w:t>
      </w:r>
      <w:r w:rsidRPr="00FF0053">
        <w:rPr>
          <w:rtl/>
        </w:rPr>
        <w:t>الغيبة</w:t>
      </w:r>
      <w:r w:rsidRPr="00132E65">
        <w:rPr>
          <w:rtl/>
        </w:rPr>
        <w:t xml:space="preserve"> للنعماني ، ص 154 ، ح 11 ، عن الكليني. وفي </w:t>
      </w:r>
      <w:r w:rsidRPr="00FF0053">
        <w:rPr>
          <w:rtl/>
        </w:rPr>
        <w:t>علل الشرائع</w:t>
      </w:r>
      <w:r w:rsidRPr="00132E65">
        <w:rPr>
          <w:rtl/>
        </w:rPr>
        <w:t xml:space="preserve"> ، ص 244 ، ح 4 ؛ و</w:t>
      </w:r>
      <w:r w:rsidRPr="00FF0053">
        <w:rPr>
          <w:rtl/>
        </w:rPr>
        <w:t>كمال الدين</w:t>
      </w:r>
      <w:r w:rsidRPr="00132E65">
        <w:rPr>
          <w:rtl/>
        </w:rPr>
        <w:t xml:space="preserve"> ، ص 359 ، ح 1 ؛ و</w:t>
      </w:r>
      <w:r w:rsidRPr="00FF0053">
        <w:rPr>
          <w:rtl/>
        </w:rPr>
        <w:t>الغيبة</w:t>
      </w:r>
      <w:r w:rsidRPr="00132E65">
        <w:rPr>
          <w:rtl/>
        </w:rPr>
        <w:t xml:space="preserve"> للطوسي ، ص 166 ، ح 128 ؛ وص 337 [ وفيه إلى قوله : « هي محنة من</w:t>
      </w:r>
      <w:r w:rsidR="0033724D">
        <w:rPr>
          <w:rtl/>
        </w:rPr>
        <w:t xml:space="preserve"> الله عزّ وجلّ امتحن بها خلقه »</w:t>
      </w:r>
      <w:r w:rsidR="0033724D">
        <w:rPr>
          <w:rFonts w:hint="cs"/>
          <w:rtl/>
        </w:rPr>
        <w:t xml:space="preserve"> </w:t>
      </w:r>
      <w:r w:rsidRPr="00132E65">
        <w:rPr>
          <w:rtl/>
        </w:rPr>
        <w:t>] ؛ و</w:t>
      </w:r>
      <w:r w:rsidRPr="00FF0053">
        <w:rPr>
          <w:rtl/>
        </w:rPr>
        <w:t>كفاية الأثر</w:t>
      </w:r>
      <w:r w:rsidRPr="00132E65">
        <w:rPr>
          <w:rtl/>
        </w:rPr>
        <w:t xml:space="preserve"> ، ص 268 ، بسند آخر عن الحسن بن عيسى بن محمّد بن عليّ بن جعفر </w:t>
      </w:r>
      <w:r w:rsidRPr="00C310C8">
        <w:rPr>
          <w:rStyle w:val="libFootnoteAlaemChar"/>
          <w:rtl/>
        </w:rPr>
        <w:t>عليه‌السلام</w:t>
      </w:r>
      <w:r>
        <w:rPr>
          <w:rFonts w:hint="cs"/>
          <w:rtl/>
        </w:rPr>
        <w:t>.</w:t>
      </w:r>
      <w:r w:rsidRPr="009D1ACE">
        <w:rPr>
          <w:rStyle w:val="libFootnoteBoldChar"/>
          <w:rtl/>
        </w:rPr>
        <w:t>الوافي</w:t>
      </w:r>
      <w:r w:rsidRPr="00132E65">
        <w:rPr>
          <w:rtl/>
        </w:rPr>
        <w:t xml:space="preserve"> ، ج 2 ، ص 405 ، ح 908.</w:t>
      </w:r>
    </w:p>
    <w:p w:rsidR="000C39D1" w:rsidRPr="00132E65" w:rsidRDefault="000C39D1" w:rsidP="000C39D1">
      <w:pPr>
        <w:pStyle w:val="libFootnote0"/>
        <w:rPr>
          <w:rtl/>
          <w:lang w:bidi="fa-IR"/>
        </w:rPr>
      </w:pPr>
      <w:r>
        <w:rPr>
          <w:rtl/>
        </w:rPr>
        <w:t>(5).</w:t>
      </w:r>
      <w:r w:rsidRPr="00132E65">
        <w:rPr>
          <w:rtl/>
        </w:rPr>
        <w:t xml:space="preserve"> في الغيبة للنعماني :</w:t>
      </w:r>
      <w:r>
        <w:rPr>
          <w:rtl/>
        </w:rPr>
        <w:t xml:space="preserve"> + </w:t>
      </w:r>
      <w:r w:rsidRPr="00132E65">
        <w:rPr>
          <w:rtl/>
        </w:rPr>
        <w:t>« عن عبد الكريم »</w:t>
      </w:r>
      <w:r>
        <w:rPr>
          <w:rtl/>
        </w:rPr>
        <w:t>.</w:t>
      </w:r>
      <w:r w:rsidRPr="00132E65">
        <w:rPr>
          <w:rtl/>
        </w:rPr>
        <w:t xml:space="preserve"> والظاهر أنّه سهو ؛ فقد روى محمّد بن</w:t>
      </w:r>
      <w:r w:rsidR="0033724D">
        <w:rPr>
          <w:rtl/>
        </w:rPr>
        <w:t xml:space="preserve"> يحيى عن أحمد بن محمد [ بن عيسى</w:t>
      </w:r>
      <w:r w:rsidRPr="00132E65">
        <w:rPr>
          <w:rtl/>
        </w:rPr>
        <w:t xml:space="preserve">] عن [ عبدالرحمن ] بن أبي نجران في أسنادٍ كثيرة. راجع : </w:t>
      </w:r>
      <w:r w:rsidRPr="00FF0053">
        <w:rPr>
          <w:rtl/>
        </w:rPr>
        <w:t xml:space="preserve">معجم </w:t>
      </w:r>
      <w:r w:rsidRPr="00CD7B55">
        <w:rPr>
          <w:rStyle w:val="libFootnoteBoldChar"/>
          <w:rtl/>
        </w:rPr>
        <w:t>رجال الحديث</w:t>
      </w:r>
      <w:r w:rsidRPr="00132E65">
        <w:rPr>
          <w:rtl/>
        </w:rPr>
        <w:t xml:space="preserve"> ، ج 2 ، ص 467</w:t>
      </w:r>
      <w:r>
        <w:rPr>
          <w:rtl/>
        </w:rPr>
        <w:t xml:space="preserve"> - </w:t>
      </w:r>
      <w:r w:rsidRPr="00132E65">
        <w:rPr>
          <w:rtl/>
        </w:rPr>
        <w:t>468 ، ص 524</w:t>
      </w:r>
      <w:r>
        <w:rPr>
          <w:rtl/>
        </w:rPr>
        <w:t xml:space="preserve"> - </w:t>
      </w:r>
      <w:r w:rsidRPr="00132E65">
        <w:rPr>
          <w:rtl/>
        </w:rPr>
        <w:t>525 ، ص 656 وص 678.</w:t>
      </w:r>
    </w:p>
    <w:p w:rsidR="000C39D1" w:rsidRPr="00132E65" w:rsidRDefault="000C39D1" w:rsidP="000C39D1">
      <w:pPr>
        <w:pStyle w:val="libFootnote0"/>
        <w:rPr>
          <w:rtl/>
          <w:lang w:bidi="fa-IR"/>
        </w:rPr>
      </w:pPr>
      <w:r>
        <w:rPr>
          <w:rtl/>
        </w:rPr>
        <w:t>(6).</w:t>
      </w:r>
      <w:r w:rsidRPr="00132E65">
        <w:rPr>
          <w:rtl/>
        </w:rPr>
        <w:t xml:space="preserve"> « التنويه » : الرفع والتشهير والتعريف. راجع : </w:t>
      </w:r>
      <w:r w:rsidRPr="009D1ACE">
        <w:rPr>
          <w:rStyle w:val="libFootnoteBoldChar"/>
          <w:rtl/>
        </w:rPr>
        <w:t>لسان العرب</w:t>
      </w:r>
      <w:r w:rsidRPr="00132E65">
        <w:rPr>
          <w:rtl/>
        </w:rPr>
        <w:t xml:space="preserve"> ، ج 13 ، ص 550 ( نوه )</w:t>
      </w:r>
      <w:r>
        <w:rPr>
          <w:rtl/>
        </w:rPr>
        <w:t>.</w:t>
      </w:r>
    </w:p>
    <w:p w:rsidR="0033724D" w:rsidRDefault="000C39D1" w:rsidP="0033724D">
      <w:pPr>
        <w:pStyle w:val="libFootnote0"/>
        <w:rPr>
          <w:rtl/>
        </w:rPr>
      </w:pPr>
      <w:r>
        <w:rPr>
          <w:rtl/>
        </w:rPr>
        <w:t>(7).</w:t>
      </w:r>
      <w:r w:rsidRPr="00132E65">
        <w:rPr>
          <w:rtl/>
        </w:rPr>
        <w:t xml:space="preserve"> ظاهر المازندراني والفيض صيغة الخطاب المجهول للجمع مؤكّداً بالنون ؛ من التمحيص ، وهو الابتلاء والاختبار ، كما نقله المجلسي عن بعض النسخ ، ثمّ قال : « وفي بعض النسخ بصيغة الواحد الغائب المجهول مع النون ، وفي بعضها بدونها</w:t>
      </w:r>
      <w:r>
        <w:rPr>
          <w:rtl/>
        </w:rPr>
        <w:t xml:space="preserve"> ..</w:t>
      </w:r>
      <w:r w:rsidRPr="00132E65">
        <w:rPr>
          <w:rtl/>
        </w:rPr>
        <w:t>. ويحتمل أن يكون على بناء المعلوم من محص الصبيّ</w:t>
      </w:r>
      <w:r>
        <w:rPr>
          <w:rtl/>
        </w:rPr>
        <w:t xml:space="preserve"> - </w:t>
      </w:r>
      <w:r w:rsidRPr="00132E65">
        <w:rPr>
          <w:rtl/>
        </w:rPr>
        <w:t>كمنع</w:t>
      </w:r>
      <w:r>
        <w:rPr>
          <w:rtl/>
        </w:rPr>
        <w:t xml:space="preserve"> - </w:t>
      </w:r>
      <w:r w:rsidRPr="00132E65">
        <w:rPr>
          <w:rtl/>
        </w:rPr>
        <w:t xml:space="preserve">: عدا ، ومحص منّي : هرب » ، ثمّ استظهر ما في غيبة النعماني : « وليخملنّ » من قولهم : خمل ذكره وصوته خمولاً : خفي. راجع : </w:t>
      </w:r>
      <w:r w:rsidRPr="00CD7B55">
        <w:rPr>
          <w:rStyle w:val="libFootnoteBoldChar"/>
          <w:rtl/>
        </w:rPr>
        <w:t>شرح المازندراني</w:t>
      </w:r>
      <w:r w:rsidRPr="00132E65">
        <w:rPr>
          <w:rtl/>
        </w:rPr>
        <w:t xml:space="preserve"> ، ج 6 ، ص 230 ؛ </w:t>
      </w:r>
      <w:r w:rsidRPr="009D1ACE">
        <w:rPr>
          <w:rStyle w:val="libFootnoteBoldChar"/>
          <w:rtl/>
        </w:rPr>
        <w:t>الوافي</w:t>
      </w:r>
      <w:r w:rsidRPr="00132E65">
        <w:rPr>
          <w:rtl/>
        </w:rPr>
        <w:t xml:space="preserve"> ، ج 2 ، ص 411 ؛ </w:t>
      </w:r>
      <w:r w:rsidRPr="009D1ACE">
        <w:rPr>
          <w:rStyle w:val="libFootnoteBoldChar"/>
          <w:rtl/>
        </w:rPr>
        <w:t>مرآة العقول</w:t>
      </w:r>
      <w:r w:rsidRPr="00132E65">
        <w:rPr>
          <w:rtl/>
        </w:rPr>
        <w:t xml:space="preserve"> ، ج 4 ، ص 36 ؛ </w:t>
      </w:r>
      <w:r w:rsidRPr="00CD7B55">
        <w:rPr>
          <w:rStyle w:val="libFootnoteBoldChar"/>
          <w:rtl/>
        </w:rPr>
        <w:t>القاموس المحيط</w:t>
      </w:r>
      <w:r w:rsidRPr="00132E65">
        <w:rPr>
          <w:rtl/>
        </w:rPr>
        <w:t xml:space="preserve"> ، ج 1 ، ص 856 ( محص )</w:t>
      </w:r>
      <w:r>
        <w:rPr>
          <w:rtl/>
        </w:rPr>
        <w:t>.</w:t>
      </w:r>
    </w:p>
    <w:p w:rsidR="000C39D1" w:rsidRPr="00132E65" w:rsidRDefault="000C39D1" w:rsidP="0033724D">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الأفعال كلّها بتقدير الاستفهام »</w:t>
      </w:r>
      <w:r>
        <w:rPr>
          <w:rtl/>
        </w:rPr>
        <w:t>.</w:t>
      </w:r>
    </w:p>
    <w:p w:rsidR="000C39D1" w:rsidRPr="00132E65" w:rsidRDefault="000C39D1" w:rsidP="000C39D1">
      <w:pPr>
        <w:pStyle w:val="libFootnote0"/>
        <w:rPr>
          <w:rtl/>
          <w:lang w:bidi="fa-IR"/>
        </w:rPr>
      </w:pPr>
      <w:r>
        <w:rPr>
          <w:rtl/>
        </w:rPr>
        <w:t>(9).</w:t>
      </w:r>
      <w:r w:rsidRPr="00132E65">
        <w:rPr>
          <w:rtl/>
        </w:rPr>
        <w:t xml:space="preserve"> في « ب ، ض » : « أو هلك »</w:t>
      </w:r>
      <w:r>
        <w:rPr>
          <w:rtl/>
        </w:rPr>
        <w:t>.</w:t>
      </w:r>
      <w:r w:rsidRPr="00132E65">
        <w:rPr>
          <w:rtl/>
        </w:rPr>
        <w:t xml:space="preserve"> وفي « ف » : « وهلك »</w:t>
      </w:r>
      <w:r>
        <w:rPr>
          <w:rtl/>
        </w:rPr>
        <w:t>.</w:t>
      </w:r>
      <w:r w:rsidRPr="00132E65">
        <w:rPr>
          <w:rtl/>
        </w:rPr>
        <w:t xml:space="preserve"> وفي « ه‍ » </w:t>
      </w:r>
      <w:r>
        <w:rPr>
          <w:rtl/>
        </w:rPr>
        <w:t xml:space="preserve">: - </w:t>
      </w:r>
      <w:r w:rsidRPr="00132E65">
        <w:rPr>
          <w:rtl/>
        </w:rPr>
        <w:t>« هلك »</w:t>
      </w:r>
      <w:r>
        <w:rPr>
          <w:rtl/>
        </w:rPr>
        <w:t>.</w:t>
      </w:r>
    </w:p>
    <w:p w:rsidR="000C39D1" w:rsidRPr="00132E65" w:rsidRDefault="000C39D1" w:rsidP="000C39D1">
      <w:pPr>
        <w:pStyle w:val="libFootnote0"/>
        <w:rPr>
          <w:rtl/>
          <w:lang w:bidi="fa-IR"/>
        </w:rPr>
      </w:pPr>
      <w:r>
        <w:rPr>
          <w:rtl/>
        </w:rPr>
        <w:t>(10).</w:t>
      </w:r>
      <w:r w:rsidRPr="00132E65">
        <w:rPr>
          <w:rtl/>
        </w:rPr>
        <w:t xml:space="preserve"> في « بح » </w:t>
      </w:r>
      <w:r>
        <w:rPr>
          <w:rtl/>
        </w:rPr>
        <w:t xml:space="preserve">: - </w:t>
      </w:r>
      <w:r w:rsidRPr="00132E65">
        <w:rPr>
          <w:rtl/>
        </w:rPr>
        <w:t>« عليه »</w:t>
      </w:r>
      <w:r>
        <w:rPr>
          <w:rtl/>
        </w:rPr>
        <w:t>.</w:t>
      </w:r>
    </w:p>
    <w:p w:rsidR="000C39D1" w:rsidRPr="00132E65" w:rsidRDefault="000C39D1" w:rsidP="000C39D1">
      <w:pPr>
        <w:pStyle w:val="libFootnote0"/>
        <w:rPr>
          <w:rtl/>
          <w:lang w:bidi="fa-IR"/>
        </w:rPr>
      </w:pPr>
      <w:r>
        <w:rPr>
          <w:rtl/>
        </w:rPr>
        <w:t>(11).</w:t>
      </w:r>
      <w:r w:rsidRPr="00132E65">
        <w:rPr>
          <w:rtl/>
        </w:rPr>
        <w:t xml:space="preserve"> « لَتُكْفَؤُنَّ » ، أي لتُقْلَبُنَّ ، من كَفَأْتُ القِدْرَ وأكْفَأ ، إذا كَبَبْتَها وقلبتَها لتُفرِغ ما فيها. كذا كفأه واكتفأه. راجع : </w:t>
      </w:r>
      <w:r w:rsidRPr="009D1ACE">
        <w:rPr>
          <w:rStyle w:val="libFootnoteBoldChar"/>
          <w:rtl/>
        </w:rPr>
        <w:t>لسان العرب</w:t>
      </w:r>
      <w:r w:rsidRPr="00132E65">
        <w:rPr>
          <w:rtl/>
        </w:rPr>
        <w:t xml:space="preserve"> ، ج 1 ، ص 140 ( كفأ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تُكْفَأُ </w:t>
      </w:r>
      <w:r>
        <w:rPr>
          <w:rStyle w:val="libFootnotenumChar"/>
          <w:rtl/>
        </w:rPr>
        <w:t>(1)</w:t>
      </w:r>
      <w:r w:rsidRPr="00132E65">
        <w:rPr>
          <w:rtl/>
          <w:lang w:bidi="fa-IR"/>
        </w:rPr>
        <w:t xml:space="preserve"> السُّفُنُ فِي أَمْوَاجِ </w:t>
      </w:r>
      <w:r>
        <w:rPr>
          <w:rtl/>
          <w:lang w:bidi="fa-IR"/>
        </w:rPr>
        <w:t>الْبَحْرِ ، فَلَا يَنْجُو إِل</w:t>
      </w:r>
      <w:r>
        <w:rPr>
          <w:rFonts w:hint="cs"/>
          <w:rtl/>
          <w:lang w:bidi="fa-IR"/>
        </w:rPr>
        <w:t>َّ</w:t>
      </w:r>
      <w:r>
        <w:rPr>
          <w:rtl/>
          <w:lang w:bidi="fa-IR"/>
        </w:rPr>
        <w:t>ا</w:t>
      </w:r>
      <w:r w:rsidRPr="00132E65">
        <w:rPr>
          <w:rtl/>
          <w:lang w:bidi="fa-IR"/>
        </w:rPr>
        <w:t xml:space="preserve"> مَنْ أَخَذَ اللهُ مِيثَاقَهُ ، وكَتَبَ فِي قَلْبِهِ الْإِيمَانَ ، وأَيَّدَهُ بِرُوحٍ مِنْهُ ، ولَتُرْفَعَنَّ </w:t>
      </w:r>
      <w:r>
        <w:rPr>
          <w:rStyle w:val="libFootnotenumChar"/>
          <w:rtl/>
        </w:rPr>
        <w:t>(2)</w:t>
      </w:r>
      <w:r w:rsidRPr="00132E65">
        <w:rPr>
          <w:rtl/>
          <w:lang w:bidi="fa-IR"/>
        </w:rPr>
        <w:t xml:space="preserve"> اثْنَتَا عَشْرَةَ رَايَةً مُشْتَبِهَةً </w:t>
      </w:r>
      <w:r>
        <w:rPr>
          <w:rStyle w:val="libFootnotenumChar"/>
          <w:rtl/>
        </w:rPr>
        <w:t>(3)</w:t>
      </w:r>
      <w:r w:rsidRPr="00132E65">
        <w:rPr>
          <w:rtl/>
          <w:lang w:bidi="fa-IR"/>
        </w:rPr>
        <w:t xml:space="preserve"> لَايُدْرى </w:t>
      </w:r>
      <w:r>
        <w:rPr>
          <w:rStyle w:val="libFootnotenumChar"/>
          <w:rtl/>
        </w:rPr>
        <w:t>(4)</w:t>
      </w:r>
      <w:r w:rsidRPr="00132E65">
        <w:rPr>
          <w:rtl/>
          <w:lang w:bidi="fa-IR"/>
        </w:rPr>
        <w:t xml:space="preserve"> أَيٌّ مِنْ أَيٍّ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(5)</w:t>
      </w:r>
      <w:r w:rsidRPr="00132E65">
        <w:rPr>
          <w:rtl/>
          <w:lang w:bidi="fa-IR"/>
        </w:rPr>
        <w:t xml:space="preserve"> : فَبَكَيْتُ ، ثُمَّ قُلْتُ : فَكَيْفَ </w:t>
      </w:r>
      <w:r>
        <w:rPr>
          <w:rStyle w:val="libFootnotenumChar"/>
          <w:rtl/>
        </w:rPr>
        <w:t>(6)</w:t>
      </w:r>
      <w:r w:rsidRPr="00132E65">
        <w:rPr>
          <w:rtl/>
          <w:lang w:bidi="fa-IR"/>
        </w:rPr>
        <w:t xml:space="preserve"> نَصْنَعُ</w:t>
      </w:r>
      <w:r>
        <w:rPr>
          <w:rtl/>
          <w:lang w:bidi="fa-IR"/>
        </w:rPr>
        <w:t>؟</w:t>
      </w:r>
      <w:r w:rsidRPr="00132E65">
        <w:rPr>
          <w:rtl/>
          <w:lang w:bidi="fa-IR"/>
        </w:rPr>
        <w:t xml:space="preserve"> قَالَ : فَنَظَرَ إِلى شَمْسٍ دَاخِلَةٍ فِي الصُّفَّةِ ، فَقَالَ : « يَا أَبَا عَبْدِ اللهِ ، تَرى هذِهِ </w:t>
      </w:r>
      <w:r>
        <w:rPr>
          <w:rStyle w:val="libFootnotenumChar"/>
          <w:rtl/>
        </w:rPr>
        <w:t>(7)</w:t>
      </w:r>
      <w:r w:rsidRPr="00132E65">
        <w:rPr>
          <w:rtl/>
          <w:lang w:bidi="fa-IR"/>
        </w:rPr>
        <w:t xml:space="preserve"> الشَّمْسَ</w:t>
      </w:r>
      <w:r>
        <w:rPr>
          <w:rtl/>
          <w:lang w:bidi="fa-IR"/>
        </w:rPr>
        <w:t>؟</w:t>
      </w:r>
      <w:r w:rsidRPr="00132E65">
        <w:rPr>
          <w:rtl/>
          <w:lang w:bidi="fa-IR"/>
        </w:rPr>
        <w:t xml:space="preserve"> » قُلْتُ </w:t>
      </w:r>
      <w:r>
        <w:rPr>
          <w:rStyle w:val="libFootnotenumChar"/>
          <w:rtl/>
        </w:rPr>
        <w:t>(8)</w:t>
      </w:r>
      <w:r w:rsidRPr="00132E65">
        <w:rPr>
          <w:rtl/>
          <w:lang w:bidi="fa-IR"/>
        </w:rPr>
        <w:t xml:space="preserve"> : نَعَمْ ، فَقَالَ : « وَاللهِ ، لَأَمْرُنَا أَبْيَنُ مِنْ هذِهِ </w:t>
      </w:r>
      <w:r>
        <w:rPr>
          <w:rStyle w:val="libFootnotenumChar"/>
          <w:rtl/>
        </w:rPr>
        <w:t>(9)</w:t>
      </w:r>
      <w:r w:rsidRPr="00132E65">
        <w:rPr>
          <w:rtl/>
          <w:lang w:bidi="fa-IR"/>
        </w:rPr>
        <w:t xml:space="preserve"> الشَّمْسِ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5A0F6C">
        <w:rPr>
          <w:rtl/>
        </w:rPr>
        <w:t>894</w:t>
      </w:r>
      <w:r w:rsidRPr="004325D8">
        <w:rPr>
          <w:rStyle w:val="libBold2Char"/>
          <w:rtl/>
        </w:rPr>
        <w:t xml:space="preserve"> / 4.</w:t>
      </w:r>
      <w:r w:rsidRPr="00132E65">
        <w:rPr>
          <w:rtl/>
          <w:lang w:bidi="fa-IR"/>
        </w:rPr>
        <w:t xml:space="preserve"> عَلِيُّ بْنُ إِبْرَاهِيمَ ، عَنْ مُحَمَّدِ بْنِ الْحُسَيْنِ ، عَنِ ابْنِ أَبِي نَجْرَانَ ، عَنْ فَضَالَةَ بْنِ أَيُّوبَ ، عَنْ سَدِيرٍ الصَّيْرَفِيِّ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فِي صَاحِبِ هذَا الْأَمْرِ شَبَهاً </w:t>
      </w:r>
      <w:r>
        <w:rPr>
          <w:rStyle w:val="libFootnotenumChar"/>
          <w:rtl/>
        </w:rPr>
        <w:t>(11)</w:t>
      </w:r>
      <w:r w:rsidRPr="00132E65">
        <w:rPr>
          <w:rtl/>
          <w:lang w:bidi="fa-IR"/>
        </w:rPr>
        <w:t xml:space="preserve"> مِنْ يُوسُفَ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قُلْتُ لَهُ : كَأَنَّكَ تَذْكُرُ </w:t>
      </w:r>
      <w:r>
        <w:rPr>
          <w:rStyle w:val="libFootnotenumChar"/>
          <w:rtl/>
        </w:rPr>
        <w:t>(12)</w:t>
      </w:r>
      <w:r w:rsidRPr="00132E65">
        <w:rPr>
          <w:rtl/>
          <w:lang w:bidi="fa-IR"/>
        </w:rPr>
        <w:t xml:space="preserve"> حَيَاتَهُ أَوْ غَيْبَتَهُ</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تكفأنّ »</w:t>
      </w:r>
      <w:r>
        <w:rPr>
          <w:rtl/>
        </w:rPr>
        <w:t>.</w:t>
      </w:r>
      <w:r w:rsidRPr="00132E65">
        <w:rPr>
          <w:rtl/>
        </w:rPr>
        <w:t xml:space="preserve"> وفي « ه‍ » : « تكفي »</w:t>
      </w:r>
      <w:r>
        <w:rPr>
          <w:rtl/>
        </w:rPr>
        <w:t>.</w:t>
      </w:r>
      <w:r w:rsidRPr="00132E65">
        <w:rPr>
          <w:rtl/>
        </w:rPr>
        <w:t xml:space="preserve"> بقلب الهمزة ياءً. وفي « بح » : « يكفأ »</w:t>
      </w:r>
      <w:r>
        <w:rPr>
          <w:rtl/>
        </w:rPr>
        <w:t>.</w:t>
      </w:r>
    </w:p>
    <w:p w:rsidR="000C39D1" w:rsidRPr="00132E65" w:rsidRDefault="000C39D1" w:rsidP="000C39D1">
      <w:pPr>
        <w:pStyle w:val="libFootnote0"/>
        <w:rPr>
          <w:rtl/>
          <w:lang w:bidi="fa-IR"/>
        </w:rPr>
      </w:pPr>
      <w:r>
        <w:rPr>
          <w:rtl/>
        </w:rPr>
        <w:t>(2).</w:t>
      </w:r>
      <w:r w:rsidRPr="00132E65">
        <w:rPr>
          <w:rtl/>
        </w:rPr>
        <w:t xml:space="preserve"> في « ج ، بح ، بس ، بف » : « ليرفعنّ »</w:t>
      </w:r>
      <w:r>
        <w:rPr>
          <w:rtl/>
        </w:rPr>
        <w:t>.</w:t>
      </w:r>
    </w:p>
    <w:p w:rsidR="000C39D1" w:rsidRPr="00132E65" w:rsidRDefault="000C39D1" w:rsidP="000C39D1">
      <w:pPr>
        <w:pStyle w:val="libFootnote0"/>
        <w:rPr>
          <w:rtl/>
          <w:lang w:bidi="fa-IR"/>
        </w:rPr>
      </w:pPr>
      <w:r>
        <w:rPr>
          <w:rtl/>
        </w:rPr>
        <w:t>(3).</w:t>
      </w:r>
      <w:r w:rsidRPr="00132E65">
        <w:rPr>
          <w:rtl/>
        </w:rPr>
        <w:t xml:space="preserve"> في « ب ، ف » : « مشبّهة »</w:t>
      </w:r>
      <w:r>
        <w:rPr>
          <w:rtl/>
        </w:rPr>
        <w:t>.</w:t>
      </w:r>
      <w:r w:rsidRPr="00132E65">
        <w:rPr>
          <w:rtl/>
        </w:rPr>
        <w:t xml:space="preserve"> وفي </w:t>
      </w:r>
      <w:r w:rsidRPr="009D1ACE">
        <w:rPr>
          <w:rStyle w:val="libFootnoteBoldChar"/>
          <w:rtl/>
        </w:rPr>
        <w:t>الوافي</w:t>
      </w:r>
      <w:r w:rsidRPr="00132E65">
        <w:rPr>
          <w:rtl/>
        </w:rPr>
        <w:t xml:space="preserve"> : « الرايات المشتبهة ، من اشتراط ظهوره </w:t>
      </w:r>
      <w:r w:rsidRPr="0033724D">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(4).</w:t>
      </w:r>
      <w:r w:rsidRPr="00132E65">
        <w:rPr>
          <w:rtl/>
        </w:rPr>
        <w:t xml:space="preserve"> في « ب » : « لا تدرى »</w:t>
      </w:r>
      <w:r>
        <w:rPr>
          <w:rtl/>
        </w:rPr>
        <w:t>.</w:t>
      </w:r>
      <w:r w:rsidRPr="00132E65">
        <w:rPr>
          <w:rtl/>
        </w:rPr>
        <w:t xml:space="preserve"> وفي </w:t>
      </w:r>
      <w:r w:rsidRPr="009D1ACE">
        <w:rPr>
          <w:rStyle w:val="libFootnoteBoldChar"/>
          <w:rtl/>
        </w:rPr>
        <w:t>مرآة العقول</w:t>
      </w:r>
      <w:r w:rsidRPr="00132E65">
        <w:rPr>
          <w:rtl/>
        </w:rPr>
        <w:t xml:space="preserve"> : « حتى لا يدرى »</w:t>
      </w:r>
      <w:r>
        <w:rPr>
          <w:rtl/>
        </w:rPr>
        <w:t>.</w:t>
      </w:r>
    </w:p>
    <w:p w:rsidR="000C39D1" w:rsidRPr="00132E65" w:rsidRDefault="000C39D1" w:rsidP="000C39D1">
      <w:pPr>
        <w:pStyle w:val="libFootnote0"/>
        <w:rPr>
          <w:rtl/>
          <w:lang w:bidi="fa-IR"/>
        </w:rPr>
      </w:pPr>
      <w:r>
        <w:rPr>
          <w:rtl/>
        </w:rPr>
        <w:t>(5).</w:t>
      </w:r>
      <w:r w:rsidRPr="00132E65">
        <w:rPr>
          <w:rtl/>
        </w:rPr>
        <w:t xml:space="preserve"> في « بف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(6).</w:t>
      </w:r>
      <w:r w:rsidRPr="00132E65">
        <w:rPr>
          <w:rtl/>
        </w:rPr>
        <w:t xml:space="preserve"> في « ف » و</w:t>
      </w:r>
      <w:r w:rsidRPr="009D1ACE">
        <w:rPr>
          <w:rStyle w:val="libFootnoteBoldChar"/>
          <w:rtl/>
        </w:rPr>
        <w:t>مرآة العقول</w:t>
      </w:r>
      <w:r w:rsidRPr="00132E65">
        <w:rPr>
          <w:rtl/>
        </w:rPr>
        <w:t xml:space="preserve"> : « كيف »</w:t>
      </w:r>
      <w:r>
        <w:rPr>
          <w:rtl/>
        </w:rPr>
        <w:t>.</w:t>
      </w:r>
      <w:r w:rsidRPr="00132E65">
        <w:rPr>
          <w:rtl/>
        </w:rPr>
        <w:t xml:space="preserve"> وقال في </w:t>
      </w:r>
      <w:r w:rsidRPr="00CD7B55">
        <w:rPr>
          <w:rStyle w:val="libFootnoteBoldChar"/>
          <w:rtl/>
        </w:rPr>
        <w:t>المرآة</w:t>
      </w:r>
      <w:r w:rsidRPr="00132E65">
        <w:rPr>
          <w:rtl/>
        </w:rPr>
        <w:t xml:space="preserve"> : « قلت : كيف نصنع ، على صيغة المتكلّم ، أو صيغة الغائب المجهول »</w:t>
      </w:r>
      <w:r>
        <w:rPr>
          <w:rtl/>
        </w:rPr>
        <w:t>.</w:t>
      </w:r>
    </w:p>
    <w:p w:rsidR="000C39D1" w:rsidRPr="00132E65" w:rsidRDefault="000C39D1" w:rsidP="000C39D1">
      <w:pPr>
        <w:pStyle w:val="libFootnote0"/>
        <w:rPr>
          <w:rtl/>
          <w:lang w:bidi="fa-IR"/>
        </w:rPr>
      </w:pPr>
      <w:r>
        <w:rPr>
          <w:rtl/>
        </w:rPr>
        <w:t>(7).</w:t>
      </w:r>
      <w:r w:rsidRPr="00132E65">
        <w:rPr>
          <w:rtl/>
        </w:rPr>
        <w:t xml:space="preserve"> في « ج » : « هذا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ب ، ج » والغيبة للنعماني : « فقلت »</w:t>
            </w:r>
            <w:r>
              <w:rPr>
                <w:rtl/>
              </w:rPr>
              <w:t>.</w:t>
            </w:r>
          </w:p>
        </w:tc>
        <w:tc>
          <w:tcPr>
            <w:tcW w:w="4006" w:type="dxa"/>
          </w:tcPr>
          <w:p w:rsidR="000C39D1" w:rsidRDefault="000C39D1" w:rsidP="00B53873">
            <w:pPr>
              <w:pStyle w:val="libFootnote0"/>
              <w:rPr>
                <w:rtl/>
              </w:rPr>
            </w:pPr>
            <w:r>
              <w:rPr>
                <w:rtl/>
              </w:rPr>
              <w:t>(9).</w:t>
            </w:r>
            <w:r w:rsidRPr="00132E65">
              <w:rPr>
                <w:rtl/>
              </w:rPr>
              <w:t xml:space="preserve"> في « ج » : « هذا »</w:t>
            </w:r>
            <w:r>
              <w:rPr>
                <w:rtl/>
              </w:rPr>
              <w:t>.</w:t>
            </w:r>
          </w:p>
        </w:tc>
      </w:tr>
    </w:tbl>
    <w:p w:rsidR="000C39D1" w:rsidRPr="00132E65" w:rsidRDefault="000C39D1" w:rsidP="000C39D1">
      <w:pPr>
        <w:pStyle w:val="libFootnote0"/>
        <w:rPr>
          <w:rtl/>
          <w:lang w:bidi="fa-IR"/>
        </w:rPr>
      </w:pPr>
      <w:r>
        <w:rPr>
          <w:rtl/>
        </w:rPr>
        <w:t>(10).</w:t>
      </w:r>
      <w:r w:rsidRPr="00132E65">
        <w:rPr>
          <w:rtl/>
        </w:rPr>
        <w:t xml:space="preserve"> </w:t>
      </w:r>
      <w:r w:rsidRPr="00CD7B55">
        <w:rPr>
          <w:rStyle w:val="libFootnoteBoldChar"/>
          <w:rtl/>
        </w:rPr>
        <w:t>الغيبة للنعماني</w:t>
      </w:r>
      <w:r w:rsidRPr="00132E65">
        <w:rPr>
          <w:rtl/>
        </w:rPr>
        <w:t xml:space="preserve"> ، ص 152 ، ذيل ح 10 ، عن الكليني. وفيه ، ح 10 بسند آخر عن عبد الرحمن بن أبي نجران ؛ </w:t>
      </w:r>
      <w:r w:rsidRPr="005D7C46">
        <w:rPr>
          <w:rStyle w:val="libFootnoteBoldChar"/>
          <w:rtl/>
        </w:rPr>
        <w:t>كمال الدين</w:t>
      </w:r>
      <w:r w:rsidRPr="00132E65">
        <w:rPr>
          <w:rtl/>
        </w:rPr>
        <w:t xml:space="preserve"> ، ص 347 ، ح 35 ، بسنده عن أحمد بن محمّد بن عيسى ؛ </w:t>
      </w:r>
      <w:r w:rsidRPr="005D7C46">
        <w:rPr>
          <w:rStyle w:val="libFootnoteBoldChar"/>
          <w:rtl/>
        </w:rPr>
        <w:t>الغيبة للطوسي</w:t>
      </w:r>
      <w:r w:rsidRPr="00132E65">
        <w:rPr>
          <w:rtl/>
        </w:rPr>
        <w:t xml:space="preserve"> ، ص 337 ، ح 285 ، بسنده عن ابن أبي نجران ، عن عمرو بن مساور ، عن المفضّل بن عمر ، وفي كلّها مع اختلاف يسير. وفي </w:t>
      </w:r>
      <w:r w:rsidRPr="005D7C46">
        <w:rPr>
          <w:rStyle w:val="libFootnoteBoldChar"/>
          <w:rtl/>
        </w:rPr>
        <w:t>الغيبة للنعماني</w:t>
      </w:r>
      <w:r w:rsidRPr="00132E65">
        <w:rPr>
          <w:rtl/>
        </w:rPr>
        <w:t xml:space="preserve"> ، ص 151 ، ح 9 ، بسنده عن المفضّل بن عمر ، مع اختلاف </w:t>
      </w:r>
      <w:r>
        <w:rPr>
          <w:rFonts w:hint="cs"/>
          <w:rtl/>
        </w:rPr>
        <w:t>.</w:t>
      </w:r>
      <w:r w:rsidRPr="009D1ACE">
        <w:rPr>
          <w:rStyle w:val="libFootnoteBoldChar"/>
          <w:rtl/>
        </w:rPr>
        <w:t>الوافي</w:t>
      </w:r>
      <w:r w:rsidRPr="00132E65">
        <w:rPr>
          <w:rtl/>
        </w:rPr>
        <w:t xml:space="preserve"> ، ج 2 ، ص 411 ، ح 914.</w:t>
      </w:r>
    </w:p>
    <w:p w:rsidR="000C39D1" w:rsidRPr="00132E65" w:rsidRDefault="000C39D1" w:rsidP="000C39D1">
      <w:pPr>
        <w:pStyle w:val="libFootnote0"/>
        <w:rPr>
          <w:rtl/>
          <w:lang w:bidi="fa-IR"/>
        </w:rPr>
      </w:pPr>
      <w:r>
        <w:rPr>
          <w:rtl/>
        </w:rPr>
        <w:t>(11).</w:t>
      </w:r>
      <w:r w:rsidRPr="00132E65">
        <w:rPr>
          <w:rtl/>
        </w:rPr>
        <w:t xml:space="preserve"> في حاشية « ه‍ » : « سنّة »</w:t>
      </w:r>
      <w:r>
        <w:rPr>
          <w:rtl/>
        </w:rPr>
        <w:t>.</w:t>
      </w:r>
    </w:p>
    <w:p w:rsidR="000C39D1" w:rsidRPr="00132E65" w:rsidRDefault="000C39D1" w:rsidP="000C39D1">
      <w:pPr>
        <w:pStyle w:val="libFootnote0"/>
        <w:rPr>
          <w:rtl/>
          <w:lang w:bidi="fa-IR"/>
        </w:rPr>
      </w:pPr>
      <w:r>
        <w:rPr>
          <w:rtl/>
        </w:rPr>
        <w:t>(12).</w:t>
      </w:r>
      <w:r w:rsidRPr="00132E65">
        <w:rPr>
          <w:rtl/>
        </w:rPr>
        <w:t xml:space="preserve"> هكذا في أكثر النسخ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وفي المطبوع : « تذكره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فَقَالَ لِي : « وَمَايُنْكِرُ </w:t>
      </w:r>
      <w:r>
        <w:rPr>
          <w:rStyle w:val="libFootnotenumChar"/>
          <w:rtl/>
        </w:rPr>
        <w:t>(1)</w:t>
      </w:r>
      <w:r w:rsidRPr="00132E65">
        <w:rPr>
          <w:rtl/>
          <w:lang w:bidi="fa-IR"/>
        </w:rPr>
        <w:t xml:space="preserve"> مِنْ ذلِكَ هذِهِ الْأُمَّةُ أَشْبَاهُ الْخَنَازِيرِ</w:t>
      </w:r>
      <w:r>
        <w:rPr>
          <w:rtl/>
          <w:lang w:bidi="fa-IR"/>
        </w:rPr>
        <w:t>؟!</w:t>
      </w:r>
      <w:r w:rsidRPr="00132E65">
        <w:rPr>
          <w:rtl/>
          <w:lang w:bidi="fa-IR"/>
        </w:rPr>
        <w:t xml:space="preserve"> إِنَّ إِخْوَةَ يُوسُفَ </w:t>
      </w:r>
      <w:r w:rsidRPr="00071CF9">
        <w:rPr>
          <w:rStyle w:val="libAlaemChar"/>
          <w:rtl/>
        </w:rPr>
        <w:t>عليه‌السلام</w:t>
      </w:r>
      <w:r w:rsidRPr="00132E65">
        <w:rPr>
          <w:rtl/>
          <w:lang w:bidi="fa-IR"/>
        </w:rPr>
        <w:t xml:space="preserve"> كَانُوا أَسْبَاطاً </w:t>
      </w:r>
      <w:r>
        <w:rPr>
          <w:rStyle w:val="libFootnotenumChar"/>
          <w:rtl/>
        </w:rPr>
        <w:t>(2)</w:t>
      </w:r>
      <w:r w:rsidRPr="00132E65">
        <w:rPr>
          <w:rtl/>
          <w:lang w:bidi="fa-IR"/>
        </w:rPr>
        <w:t xml:space="preserve"> أَوْلَادَ الْأَنْبِيَاءِ ، تَاجَرُوا يُوسُفَ وبَايَعُوهُ وخَاطَبُوهُ وهُمْ إِخْوَتُهُ وَهُوَ أَخُوهُمْ ، فَلَمْ يَعْرِفُوهُ حَتّى قَالَ : أَنَا يُوسُفُ وهذَا أَخِي ، فَمَا تُنْكِرُ </w:t>
      </w:r>
      <w:r>
        <w:rPr>
          <w:rStyle w:val="libFootnotenumChar"/>
          <w:rtl/>
        </w:rPr>
        <w:t>(3)</w:t>
      </w:r>
      <w:r w:rsidRPr="00132E65">
        <w:rPr>
          <w:rtl/>
          <w:lang w:bidi="fa-IR"/>
        </w:rPr>
        <w:t xml:space="preserve"> هذِهِ الْأُمَّةُ الْمَلْعُونَةُ أَنْ يَفْعَلَ اللهُ</w:t>
      </w:r>
      <w:r>
        <w:rPr>
          <w:rtl/>
          <w:lang w:bidi="fa-IR"/>
        </w:rPr>
        <w:t xml:space="preserve"> - </w:t>
      </w:r>
      <w:r w:rsidRPr="00132E65">
        <w:rPr>
          <w:rtl/>
          <w:lang w:bidi="fa-IR"/>
        </w:rPr>
        <w:t>عَزَّ وجَلَّ</w:t>
      </w:r>
      <w:r>
        <w:rPr>
          <w:rtl/>
          <w:lang w:bidi="fa-IR"/>
        </w:rPr>
        <w:t xml:space="preserve"> - </w:t>
      </w:r>
      <w:r w:rsidRPr="00132E65">
        <w:rPr>
          <w:rtl/>
          <w:lang w:bidi="fa-IR"/>
        </w:rPr>
        <w:t>بِحُجَّتِهِ فِي وقْتٍ مِنَ الْأَوْقَاتِ كَمَا فَعَلَ بِيُوسُفَ</w:t>
      </w:r>
      <w:r>
        <w:rPr>
          <w:rtl/>
          <w:lang w:bidi="fa-IR"/>
        </w:rPr>
        <w:t>؟</w:t>
      </w:r>
    </w:p>
    <w:p w:rsidR="000C39D1" w:rsidRPr="00132E65" w:rsidRDefault="000C39D1" w:rsidP="000C39D1">
      <w:pPr>
        <w:pStyle w:val="libNormal"/>
        <w:rPr>
          <w:rtl/>
          <w:lang w:bidi="fa-IR"/>
        </w:rPr>
      </w:pPr>
      <w:r w:rsidRPr="00132E65">
        <w:rPr>
          <w:rtl/>
          <w:lang w:bidi="fa-IR"/>
        </w:rPr>
        <w:t xml:space="preserve">إِنَّ يُوسُفَ </w:t>
      </w:r>
      <w:r w:rsidRPr="00071CF9">
        <w:rPr>
          <w:rStyle w:val="libAlaemChar"/>
          <w:rtl/>
        </w:rPr>
        <w:t>عليه‌السلام</w:t>
      </w:r>
      <w:r w:rsidRPr="00132E65">
        <w:rPr>
          <w:rtl/>
          <w:lang w:bidi="fa-IR"/>
        </w:rPr>
        <w:t xml:space="preserve"> كَانَ إِلَيْهِ مُلْكُ مِصْرَ ، وكَانَ بَيْنَهُ وبَيْنَ والِدِهِ مَسِيرَةُ ثَمَانِيَةَ عَشَرَ يَوْماً ، فَلَوْ أَرَادَ أَنْ يُعْلِمَهُ لَقَدَرَ عَلى ذلِكَ ، لَقَدْ سَارَ يَعْقُوبُ </w:t>
      </w:r>
      <w:r w:rsidRPr="00071CF9">
        <w:rPr>
          <w:rStyle w:val="libAlaemChar"/>
          <w:rtl/>
        </w:rPr>
        <w:t>عليه‌السلام</w:t>
      </w:r>
      <w:r w:rsidRPr="00132E65">
        <w:rPr>
          <w:rtl/>
          <w:lang w:bidi="fa-IR"/>
        </w:rPr>
        <w:t xml:space="preserve"> وو لْدُهُ عِنْدَ الْبِشَارَةِ تِسْعَةَ أَيَّامٍ مِنْ بَدْوِهِمْ </w:t>
      </w:r>
      <w:r>
        <w:rPr>
          <w:rStyle w:val="libFootnotenumChar"/>
          <w:rtl/>
        </w:rPr>
        <w:t>(4)</w:t>
      </w:r>
      <w:r w:rsidRPr="00132E65">
        <w:rPr>
          <w:rtl/>
          <w:lang w:bidi="fa-IR"/>
        </w:rPr>
        <w:t xml:space="preserve"> إِلى مِصْرَ ، فَمَا تُنْكِرُ هذِهِ الْأُمَّةُ أَنْ يَفْعَلَ اللهُ</w:t>
      </w:r>
      <w:r>
        <w:rPr>
          <w:rtl/>
          <w:lang w:bidi="fa-IR"/>
        </w:rPr>
        <w:t xml:space="preserve"> - </w:t>
      </w:r>
      <w:r w:rsidRPr="00132E65">
        <w:rPr>
          <w:rtl/>
          <w:lang w:bidi="fa-IR"/>
        </w:rPr>
        <w:t>جَلَّ وعَزَّ</w:t>
      </w:r>
      <w:r>
        <w:rPr>
          <w:rtl/>
          <w:lang w:bidi="fa-IR"/>
        </w:rPr>
        <w:t xml:space="preserve"> - </w:t>
      </w:r>
      <w:r w:rsidRPr="00132E65">
        <w:rPr>
          <w:rtl/>
          <w:lang w:bidi="fa-IR"/>
        </w:rPr>
        <w:t xml:space="preserve">بِحُجَّتِهِ كَمَا فَعَلَ بِيُوسُفَ أَنْ يَمْشِيَ فِي أَسْوَاقِهِمْ ويَطَأَ بُسُطَهُمْ </w:t>
      </w:r>
      <w:r>
        <w:rPr>
          <w:rStyle w:val="libFootnotenumChar"/>
          <w:rtl/>
        </w:rPr>
        <w:t>(5)</w:t>
      </w:r>
      <w:r w:rsidRPr="00132E65">
        <w:rPr>
          <w:rtl/>
          <w:lang w:bidi="fa-IR"/>
        </w:rPr>
        <w:t xml:space="preserve"> ، حَتّى يَأْذَنَ اللهُ فِي ذلِكَ لَهُ </w:t>
      </w:r>
      <w:r>
        <w:rPr>
          <w:rStyle w:val="libFootnotenumChar"/>
          <w:rtl/>
        </w:rPr>
        <w:t>(6)</w:t>
      </w:r>
      <w:r w:rsidRPr="00132E65">
        <w:rPr>
          <w:rtl/>
          <w:lang w:bidi="fa-IR"/>
        </w:rPr>
        <w:t xml:space="preserve"> كَمَا أَذِنَ لِيُوسُفَ : </w:t>
      </w:r>
      <w:r w:rsidRPr="00071CF9">
        <w:rPr>
          <w:rStyle w:val="libAlaemChar"/>
          <w:rtl/>
        </w:rPr>
        <w:t>(</w:t>
      </w:r>
      <w:r w:rsidRPr="00071CF9">
        <w:rPr>
          <w:rStyle w:val="libAieChar"/>
          <w:rtl/>
        </w:rPr>
        <w:t xml:space="preserve"> قالُوا أَإِنَّكَ لَأَنْتَ يُوسُفُ قالَ أَنَا يُوسُفُ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5A0F6C">
        <w:rPr>
          <w:rtl/>
        </w:rPr>
        <w:t>895</w:t>
      </w:r>
      <w:r w:rsidRPr="004325D8">
        <w:rPr>
          <w:rStyle w:val="libBold2Char"/>
          <w:rtl/>
        </w:rPr>
        <w:t xml:space="preserve"> / 5.</w:t>
      </w:r>
      <w:r w:rsidRPr="00132E65">
        <w:rPr>
          <w:rtl/>
          <w:lang w:bidi="fa-IR"/>
        </w:rPr>
        <w:t xml:space="preserve"> عَلِيُّ بْنُ إِبْرَاهِيمَ ، عَنِ الْحَسَنِ بْنِ مُوسَى الْخَشَّابِ ، عَنْ عَبْدِ اللهِ بْنِ مُوسى ، عَنْ عَبْدِ اللهِ بْنِ بُكَيْرٍ ، عَنْ زُرَارَةَ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لِلْغُلَامِ غَيْبَةً قَبْلَ أَنْ يَقُومَ »</w:t>
      </w:r>
      <w:r>
        <w:rPr>
          <w:rtl/>
          <w:lang w:bidi="fa-IR"/>
        </w:rPr>
        <w:t>.</w:t>
      </w:r>
      <w:r w:rsidRPr="00132E65">
        <w:rPr>
          <w:rtl/>
          <w:lang w:bidi="fa-IR"/>
        </w:rPr>
        <w:t xml:space="preserve"> قَالَ : قُلْتُ : ولِمَ</w:t>
      </w:r>
      <w:r>
        <w:rPr>
          <w:rtl/>
          <w:lang w:bidi="fa-IR"/>
        </w:rPr>
        <w:t>؟</w:t>
      </w:r>
      <w:r>
        <w:rPr>
          <w:rFonts w:hint="cs"/>
          <w:rtl/>
          <w:lang w:bidi="fa-IR"/>
        </w:rPr>
        <w:t xml:space="preserve"> </w:t>
      </w:r>
      <w:r w:rsidRPr="00132E65">
        <w:rPr>
          <w:rtl/>
          <w:lang w:bidi="fa-IR"/>
        </w:rPr>
        <w:t>قَالَ : « يَخَافُ » وأَوْمَأَ بِيَدِهِ إِلى بَطْنِهِ ، ثُمَّ قَالَ : « يَا زُرَارَةُ ، وهُوَ الْمُنْتَظَرُ ، وهُوَ الَّذِي‌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ض ،</w:t>
      </w:r>
      <w:r>
        <w:rPr>
          <w:rtl/>
        </w:rPr>
        <w:t xml:space="preserve"> و »</w:t>
      </w:r>
      <w:r w:rsidRPr="00132E65">
        <w:rPr>
          <w:rtl/>
        </w:rPr>
        <w:t xml:space="preserve"> وحاشية « ج » : « تنكر »</w:t>
      </w:r>
      <w:r>
        <w:rPr>
          <w:rtl/>
        </w:rPr>
        <w:t>.</w:t>
      </w:r>
      <w:r w:rsidRPr="00132E65">
        <w:rPr>
          <w:rtl/>
        </w:rPr>
        <w:t xml:space="preserve"> وفي </w:t>
      </w:r>
      <w:r w:rsidRPr="009D1ACE">
        <w:rPr>
          <w:rStyle w:val="libFootnoteBoldChar"/>
          <w:rtl/>
        </w:rPr>
        <w:t>مرآة العقول</w:t>
      </w:r>
      <w:r w:rsidRPr="00132E65">
        <w:rPr>
          <w:rtl/>
        </w:rPr>
        <w:t xml:space="preserve"> : « ما للاستفهام التعجيبي ومفعول « تنكر » ، </w:t>
      </w:r>
      <w:r>
        <w:rPr>
          <w:rtl/>
        </w:rPr>
        <w:t>و «</w:t>
      </w:r>
      <w:r w:rsidRPr="00132E65">
        <w:rPr>
          <w:rtl/>
        </w:rPr>
        <w:t xml:space="preserve"> أشباه » مرفوع نعت</w:t>
      </w:r>
      <w:r>
        <w:rPr>
          <w:rtl/>
        </w:rPr>
        <w:t xml:space="preserve"> ل</w:t>
      </w:r>
      <w:r>
        <w:rPr>
          <w:rFonts w:hint="cs"/>
          <w:rtl/>
        </w:rPr>
        <w:t>ـ</w:t>
      </w:r>
      <w:r>
        <w:rPr>
          <w:rtl/>
        </w:rPr>
        <w:t xml:space="preserve"> «</w:t>
      </w:r>
      <w:r w:rsidRPr="00132E65">
        <w:rPr>
          <w:rtl/>
        </w:rPr>
        <w:t xml:space="preserve"> هذه الا</w:t>
      </w:r>
      <w:r>
        <w:rPr>
          <w:rFonts w:hint="cs"/>
          <w:rtl/>
        </w:rPr>
        <w:t>ُ</w:t>
      </w:r>
      <w:r w:rsidRPr="00132E65">
        <w:rPr>
          <w:rtl/>
        </w:rPr>
        <w:t>مّة » ، أو منصوب على الذمّ »</w:t>
      </w:r>
      <w:r>
        <w:rPr>
          <w:rtl/>
        </w:rPr>
        <w:t>.</w:t>
      </w:r>
    </w:p>
    <w:p w:rsidR="000C39D1" w:rsidRPr="00132E65" w:rsidRDefault="000C39D1" w:rsidP="000C39D1">
      <w:pPr>
        <w:pStyle w:val="libFootnote0"/>
        <w:rPr>
          <w:rtl/>
          <w:lang w:bidi="fa-IR"/>
        </w:rPr>
      </w:pPr>
      <w:r>
        <w:rPr>
          <w:rtl/>
        </w:rPr>
        <w:t>(2).</w:t>
      </w:r>
      <w:r w:rsidRPr="00132E65">
        <w:rPr>
          <w:rtl/>
        </w:rPr>
        <w:t xml:space="preserve"> « الأسباط » : جمع السِبْط ، وهو الولد ، أو ولَد الوَلَد ، أو ولَد البنت. والسِبْط أيضاً : الا</w:t>
      </w:r>
      <w:r>
        <w:rPr>
          <w:rFonts w:hint="cs"/>
          <w:rtl/>
        </w:rPr>
        <w:t>ُ</w:t>
      </w:r>
      <w:r w:rsidRPr="00132E65">
        <w:rPr>
          <w:rtl/>
        </w:rPr>
        <w:t>مّة. وسمّيت أولاد إسحاق</w:t>
      </w:r>
      <w:r>
        <w:rPr>
          <w:rFonts w:hint="cs"/>
          <w:rtl/>
        </w:rPr>
        <w:t xml:space="preserve"> </w:t>
      </w:r>
      <w:r w:rsidRPr="00132E65">
        <w:rPr>
          <w:rtl/>
        </w:rPr>
        <w:t xml:space="preserve">‌أسباطاً ، وأولاد إسماعيل قبائل. راجع : </w:t>
      </w:r>
      <w:r w:rsidRPr="005D7C46">
        <w:rPr>
          <w:rStyle w:val="libFootnoteBoldChar"/>
          <w:rtl/>
        </w:rPr>
        <w:t>النهاية</w:t>
      </w:r>
      <w:r w:rsidRPr="00132E65">
        <w:rPr>
          <w:rtl/>
        </w:rPr>
        <w:t xml:space="preserve"> ، ج 2 ، ص 334 ( سبط )</w:t>
      </w:r>
      <w:r>
        <w:rPr>
          <w:rtl/>
        </w:rPr>
        <w:t>.</w:t>
      </w:r>
    </w:p>
    <w:p w:rsidR="000C39D1" w:rsidRPr="00132E65" w:rsidRDefault="000C39D1" w:rsidP="000C39D1">
      <w:pPr>
        <w:pStyle w:val="libFootnote0"/>
        <w:rPr>
          <w:rtl/>
          <w:lang w:bidi="fa-IR"/>
        </w:rPr>
      </w:pPr>
      <w:r>
        <w:rPr>
          <w:rtl/>
        </w:rPr>
        <w:t>(3).</w:t>
      </w:r>
      <w:r w:rsidRPr="00132E65">
        <w:rPr>
          <w:rtl/>
        </w:rPr>
        <w:t xml:space="preserve"> في « ب ، بح ، بر ، بس ، بف » : « ينكر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بف » : « بدوّهم »</w:t>
            </w:r>
            <w:r>
              <w:rPr>
                <w:rtl/>
              </w:rPr>
              <w:t>.</w:t>
            </w:r>
          </w:p>
        </w:tc>
        <w:tc>
          <w:tcPr>
            <w:tcW w:w="4006" w:type="dxa"/>
          </w:tcPr>
          <w:p w:rsidR="000C39D1" w:rsidRDefault="000C39D1" w:rsidP="00B53873">
            <w:pPr>
              <w:pStyle w:val="libFootnote0"/>
              <w:rPr>
                <w:rtl/>
              </w:rPr>
            </w:pPr>
            <w:r>
              <w:rPr>
                <w:rtl/>
              </w:rPr>
              <w:t>(5).</w:t>
            </w:r>
            <w:r w:rsidRPr="00132E65">
              <w:rPr>
                <w:rtl/>
              </w:rPr>
              <w:t xml:space="preserve"> في « ف ، ه‍ » :</w:t>
            </w:r>
            <w:r>
              <w:rPr>
                <w:rtl/>
              </w:rPr>
              <w:t xml:space="preserve"> + </w:t>
            </w:r>
            <w:r w:rsidRPr="00132E65">
              <w:rPr>
                <w:rtl/>
              </w:rPr>
              <w:t>« كما فعل بيوسف »</w:t>
            </w:r>
            <w:r>
              <w:rPr>
                <w:rtl/>
              </w:rPr>
              <w:t>.</w:t>
            </w:r>
          </w:p>
        </w:tc>
      </w:tr>
    </w:tbl>
    <w:p w:rsidR="000C39D1" w:rsidRPr="00132E65" w:rsidRDefault="000C39D1" w:rsidP="000C39D1">
      <w:pPr>
        <w:pStyle w:val="libFootnote0"/>
        <w:rPr>
          <w:rtl/>
          <w:lang w:bidi="fa-IR"/>
        </w:rPr>
      </w:pPr>
      <w:r>
        <w:rPr>
          <w:rtl/>
        </w:rPr>
        <w:t>(6).</w:t>
      </w:r>
      <w:r w:rsidRPr="00132E65">
        <w:rPr>
          <w:rtl/>
        </w:rPr>
        <w:t xml:space="preserve"> في « ب ، ض ، ف ، ه‍ ، بح ، بس ، بف » و</w:t>
      </w:r>
      <w:r w:rsidRPr="009D1ACE">
        <w:rPr>
          <w:rStyle w:val="libFootnoteBoldChar"/>
          <w:rtl/>
        </w:rPr>
        <w:t>الوافي</w:t>
      </w:r>
      <w:r w:rsidRPr="00132E65">
        <w:rPr>
          <w:rtl/>
        </w:rPr>
        <w:t xml:space="preserve">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(7).</w:t>
      </w:r>
      <w:r w:rsidRPr="00132E65">
        <w:rPr>
          <w:rtl/>
        </w:rPr>
        <w:t xml:space="preserve"> يوسف </w:t>
      </w:r>
      <w:r>
        <w:rPr>
          <w:rtl/>
        </w:rPr>
        <w:t>(12)</w:t>
      </w:r>
      <w:r w:rsidRPr="00132E65">
        <w:rPr>
          <w:rtl/>
        </w:rPr>
        <w:t xml:space="preserve"> : 90.</w:t>
      </w:r>
    </w:p>
    <w:p w:rsidR="000C39D1" w:rsidRPr="00132E65" w:rsidRDefault="000C39D1" w:rsidP="000C39D1">
      <w:pPr>
        <w:pStyle w:val="libFootnote0"/>
        <w:rPr>
          <w:rtl/>
          <w:lang w:bidi="fa-IR"/>
        </w:rPr>
      </w:pPr>
      <w:r>
        <w:rPr>
          <w:rtl/>
        </w:rPr>
        <w:t>(8).</w:t>
      </w:r>
      <w:r w:rsidRPr="00132E65">
        <w:rPr>
          <w:rtl/>
        </w:rPr>
        <w:t xml:space="preserve"> </w:t>
      </w:r>
      <w:r w:rsidRPr="005D7C46">
        <w:rPr>
          <w:rStyle w:val="libFootnoteBoldChar"/>
          <w:rtl/>
        </w:rPr>
        <w:t>الغيبة للنعماني</w:t>
      </w:r>
      <w:r w:rsidRPr="00132E65">
        <w:rPr>
          <w:rtl/>
        </w:rPr>
        <w:t xml:space="preserve"> ، ص 163 ، ذيل ح 4 ، عن الكليني. وفيه ، ح 4 ؛ و</w:t>
      </w:r>
      <w:r w:rsidRPr="00B911FA">
        <w:rPr>
          <w:rStyle w:val="libFootnoteBoldChar"/>
          <w:rtl/>
        </w:rPr>
        <w:t>علل الشرائع</w:t>
      </w:r>
      <w:r w:rsidRPr="005A0F6C">
        <w:rPr>
          <w:rtl/>
        </w:rPr>
        <w:t xml:space="preserve"> </w:t>
      </w:r>
      <w:r w:rsidRPr="00132E65">
        <w:rPr>
          <w:rtl/>
        </w:rPr>
        <w:t xml:space="preserve">، ص 244 ، ح 3 ؛ </w:t>
      </w:r>
      <w:r w:rsidRPr="00B911FA">
        <w:rPr>
          <w:rStyle w:val="libFootnoteBoldChar"/>
          <w:rtl/>
        </w:rPr>
        <w:t>وكمال الدين</w:t>
      </w:r>
      <w:r w:rsidRPr="00132E65">
        <w:rPr>
          <w:rtl/>
        </w:rPr>
        <w:t xml:space="preserve"> ، ص 144 ، ح 11 ؛ وص 341 ، ح 21 ، بسند آخر عن عبد الرحمن بن أبي نجران ، مع اختلاف يسير </w:t>
      </w:r>
      <w:r>
        <w:rPr>
          <w:rFonts w:hint="cs"/>
          <w:rtl/>
        </w:rPr>
        <w:t>.</w:t>
      </w:r>
      <w:r w:rsidRPr="009D1ACE">
        <w:rPr>
          <w:rStyle w:val="libFootnoteBoldChar"/>
          <w:rtl/>
        </w:rPr>
        <w:t>الوافي</w:t>
      </w:r>
      <w:r w:rsidRPr="00132E65">
        <w:rPr>
          <w:rtl/>
        </w:rPr>
        <w:t xml:space="preserve"> ، ج 2 ، ص 412 ، ح 916.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يُشَكُّ فِي و</w:t>
      </w:r>
      <w:r>
        <w:rPr>
          <w:rFonts w:hint="cs"/>
          <w:rtl/>
          <w:lang w:bidi="fa-IR"/>
        </w:rPr>
        <w:t>ِ</w:t>
      </w:r>
      <w:r w:rsidRPr="00132E65">
        <w:rPr>
          <w:rtl/>
          <w:lang w:bidi="fa-IR"/>
        </w:rPr>
        <w:t xml:space="preserve">لَادَتِهِ : مِنْهُمْ مَنْ يَقُولُ : مَاتَ أَبُوهُ بِلَا خَلَفٍ ؛ ومِنْهُمْ مَنْ يَقُولُ : حَمْلٌ </w:t>
      </w:r>
      <w:r>
        <w:rPr>
          <w:rStyle w:val="libFootnotenumChar"/>
          <w:rtl/>
        </w:rPr>
        <w:t>(1)</w:t>
      </w:r>
      <w:r w:rsidRPr="00132E65">
        <w:rPr>
          <w:rtl/>
          <w:lang w:bidi="fa-IR"/>
        </w:rPr>
        <w:t xml:space="preserve"> ؛ وَمِنْهُمْ مَنْ يَقُولُ : إِنَّهُ و</w:t>
      </w:r>
      <w:r>
        <w:rPr>
          <w:rFonts w:hint="cs"/>
          <w:rtl/>
          <w:lang w:bidi="fa-IR"/>
        </w:rPr>
        <w:t>ُ</w:t>
      </w:r>
      <w:r w:rsidRPr="00132E65">
        <w:rPr>
          <w:rtl/>
          <w:lang w:bidi="fa-IR"/>
        </w:rPr>
        <w:t xml:space="preserve">لِدَ قَبْلَ مَوْتِ أَبِيهِ بِسَنَتَيْنِ </w:t>
      </w:r>
      <w:r>
        <w:rPr>
          <w:rStyle w:val="libFootnotenumChar"/>
          <w:rtl/>
        </w:rPr>
        <w:t>(2)</w:t>
      </w:r>
      <w:r w:rsidRPr="00132E65">
        <w:rPr>
          <w:rtl/>
          <w:lang w:bidi="fa-IR"/>
        </w:rPr>
        <w:t xml:space="preserve"> ؛ وهُوَ الْمُنْتَظَرُ </w:t>
      </w:r>
      <w:r>
        <w:rPr>
          <w:rStyle w:val="libFootnotenumChar"/>
          <w:rtl/>
        </w:rPr>
        <w:t>(3)</w:t>
      </w:r>
      <w:r w:rsidRPr="00132E65">
        <w:rPr>
          <w:rtl/>
          <w:lang w:bidi="fa-IR"/>
        </w:rPr>
        <w:t xml:space="preserve"> ، غَيْرَ أَنَّ اللهَ</w:t>
      </w:r>
      <w:r>
        <w:rPr>
          <w:rtl/>
          <w:lang w:bidi="fa-IR"/>
        </w:rPr>
        <w:t xml:space="preserve"> - </w:t>
      </w:r>
      <w:r w:rsidRPr="00132E65">
        <w:rPr>
          <w:rtl/>
          <w:lang w:bidi="fa-IR"/>
        </w:rPr>
        <w:t>عَزَّ وجَلَّ</w:t>
      </w:r>
      <w:r>
        <w:rPr>
          <w:rtl/>
          <w:lang w:bidi="fa-IR"/>
        </w:rPr>
        <w:t xml:space="preserve"> - </w:t>
      </w:r>
      <w:r w:rsidRPr="00132E65">
        <w:rPr>
          <w:rtl/>
          <w:lang w:bidi="fa-IR"/>
        </w:rPr>
        <w:t>يُحِبُّ أَنْ يَمْتَحِنَ</w:t>
      </w:r>
      <w:r>
        <w:rPr>
          <w:rStyle w:val="libFootnotenumChar"/>
          <w:rtl/>
        </w:rPr>
        <w:t>(4)</w:t>
      </w:r>
      <w:r w:rsidRPr="00132E65">
        <w:rPr>
          <w:rtl/>
          <w:lang w:bidi="fa-IR"/>
        </w:rPr>
        <w:t xml:space="preserve"> الشِّيعَةَ ، فَعِنْدَ ذلِكَ يَرْتَابُ الْمُبْطِلُونَ يَا زُرَارَةُ </w:t>
      </w:r>
      <w:r>
        <w:rPr>
          <w:rStyle w:val="libFootnotenumChar"/>
          <w:rtl/>
        </w:rPr>
        <w:t>(5)</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قُلْتُ : جُعِلْتُ فِدَاكَ ، إِنْ أَدْرَكْتُ ذلِكَ الزَّمَانَ أَيَّ شَيْ‌ءٍ أَعْمَلُ</w:t>
      </w:r>
      <w:r>
        <w:rPr>
          <w:rtl/>
          <w:lang w:bidi="fa-IR"/>
        </w:rPr>
        <w:t>؟</w:t>
      </w:r>
    </w:p>
    <w:p w:rsidR="000C39D1" w:rsidRPr="00132E65" w:rsidRDefault="000C39D1" w:rsidP="000C39D1">
      <w:pPr>
        <w:pStyle w:val="libNormal"/>
        <w:rPr>
          <w:rtl/>
          <w:lang w:bidi="fa-IR"/>
        </w:rPr>
      </w:pPr>
      <w:r w:rsidRPr="00132E65">
        <w:rPr>
          <w:rtl/>
          <w:lang w:bidi="fa-IR"/>
        </w:rPr>
        <w:t xml:space="preserve">قَالَ : « يَا زُرَارَةُ </w:t>
      </w:r>
      <w:r>
        <w:rPr>
          <w:rStyle w:val="libFootnotenumChar"/>
          <w:rtl/>
        </w:rPr>
        <w:t>(6)</w:t>
      </w:r>
      <w:r w:rsidRPr="00132E65">
        <w:rPr>
          <w:rtl/>
          <w:lang w:bidi="fa-IR"/>
        </w:rPr>
        <w:t xml:space="preserve"> ، إِذَا أَدْرَكْتَ ذلِكَ </w:t>
      </w:r>
      <w:r>
        <w:rPr>
          <w:rStyle w:val="libFootnotenumChar"/>
          <w:rtl/>
        </w:rPr>
        <w:t>(7)</w:t>
      </w:r>
      <w:r w:rsidRPr="00132E65">
        <w:rPr>
          <w:rtl/>
          <w:lang w:bidi="fa-IR"/>
        </w:rPr>
        <w:t xml:space="preserve"> الزَّمَانَ ، فَادْعُ بِهذَا الدُّعَاءِ : اللهُمَّ عَرِّفْنِي نَفْسَكَ ؛ فَإِنَّكَ إِنْ لَمْ تُعَرِّفْنِي نَفْسَكَ لَمْ أَعْرِفْ نَبِيَّكَ </w:t>
      </w:r>
      <w:r>
        <w:rPr>
          <w:rStyle w:val="libFootnotenumChar"/>
          <w:rtl/>
        </w:rPr>
        <w:t>(8)</w:t>
      </w:r>
      <w:r w:rsidRPr="00132E65">
        <w:rPr>
          <w:rtl/>
          <w:lang w:bidi="fa-IR"/>
        </w:rPr>
        <w:t xml:space="preserve"> ؛ اللهُمَّ عَرِّفْنِي رَسُولَكَ ؛ فَإِنَّكَ إِنْ لَمْ تُعَرِّفْنِي رَسُولَكَ لَمْ أَعْرِفْ حُجَّتَكَ </w:t>
      </w:r>
      <w:r>
        <w:rPr>
          <w:rStyle w:val="libFootnotenumChar"/>
          <w:rtl/>
        </w:rPr>
        <w:t>(9)</w:t>
      </w:r>
      <w:r w:rsidRPr="00132E65">
        <w:rPr>
          <w:rtl/>
          <w:lang w:bidi="fa-IR"/>
        </w:rPr>
        <w:t xml:space="preserve"> ؛ اللهُمَّ عَرِّفْنِي حُجَّتَكَ ؛ فَإِنَّكَ إِنْ لَمْ تُعَرِّفْنِي حُجَّتَكَ ضَلَلْتُ عَنْ دِينِي »</w:t>
      </w:r>
      <w:r>
        <w:rPr>
          <w:rtl/>
          <w:lang w:bidi="fa-IR"/>
        </w:rPr>
        <w:t>.</w:t>
      </w:r>
    </w:p>
    <w:p w:rsidR="000C39D1" w:rsidRPr="00132E65" w:rsidRDefault="000C39D1" w:rsidP="000C39D1">
      <w:pPr>
        <w:pStyle w:val="libNormal"/>
        <w:rPr>
          <w:rtl/>
          <w:lang w:bidi="fa-IR"/>
        </w:rPr>
      </w:pPr>
      <w:r w:rsidRPr="00132E65">
        <w:rPr>
          <w:rtl/>
          <w:lang w:bidi="fa-IR"/>
        </w:rPr>
        <w:t>ثُمَّ قَالَ : « يَا زُرَارَةُ ، لَابُدَّ مِنْ قَتْلِ غُلَامٍ بِالْمَدِينَةِ »</w:t>
      </w:r>
      <w:r>
        <w:rPr>
          <w:rtl/>
          <w:lang w:bidi="fa-IR"/>
        </w:rPr>
        <w:t>.</w:t>
      </w:r>
    </w:p>
    <w:p w:rsidR="000C39D1" w:rsidRPr="00132E65" w:rsidRDefault="000C39D1" w:rsidP="000C39D1">
      <w:pPr>
        <w:pStyle w:val="libNormal"/>
        <w:rPr>
          <w:rtl/>
          <w:lang w:bidi="fa-IR"/>
        </w:rPr>
      </w:pPr>
      <w:r>
        <w:rPr>
          <w:rtl/>
          <w:lang w:bidi="fa-IR"/>
        </w:rPr>
        <w:t>قُلْتُ : جُعِلْتُ فِدَاكَ ، أَ</w:t>
      </w:r>
      <w:r w:rsidRPr="00132E65">
        <w:rPr>
          <w:rtl/>
          <w:lang w:bidi="fa-IR"/>
        </w:rPr>
        <w:t>لَيْسَ يَقْتُلُهُ جَيْشُ السُّفْيَانِيِّ</w:t>
      </w:r>
      <w:r>
        <w:rPr>
          <w:rtl/>
          <w:lang w:bidi="fa-IR"/>
        </w:rPr>
        <w:t>؟</w:t>
      </w:r>
    </w:p>
    <w:p w:rsidR="000C39D1" w:rsidRPr="00132E65" w:rsidRDefault="000C39D1" w:rsidP="000C39D1">
      <w:pPr>
        <w:pStyle w:val="libNormal"/>
        <w:rPr>
          <w:rtl/>
          <w:lang w:bidi="fa-IR"/>
        </w:rPr>
      </w:pPr>
      <w:r w:rsidRPr="00132E65">
        <w:rPr>
          <w:rtl/>
          <w:lang w:bidi="fa-IR"/>
        </w:rPr>
        <w:t xml:space="preserve">قَالَ : « لَا ، ولكِنْ يَقْتُلُهُ جَيْشُ آلِ بَنِي فُلَانٍ </w:t>
      </w:r>
      <w:r>
        <w:rPr>
          <w:rStyle w:val="libFootnotenumChar"/>
          <w:rtl/>
        </w:rPr>
        <w:t>(10)</w:t>
      </w:r>
      <w:r w:rsidRPr="00132E65">
        <w:rPr>
          <w:rtl/>
          <w:lang w:bidi="fa-IR"/>
        </w:rPr>
        <w:t xml:space="preserve"> ، يَجِي‌ءُ حَتّى يَدْخُلَ الْمَدِينَةَ </w:t>
      </w:r>
      <w:r>
        <w:rPr>
          <w:rStyle w:val="libFootnotenumChar"/>
          <w:rtl/>
        </w:rPr>
        <w:t>(11)</w:t>
      </w:r>
      <w:r w:rsidRPr="00132E65">
        <w:rPr>
          <w:rtl/>
          <w:lang w:bidi="fa-IR"/>
        </w:rPr>
        <w:t xml:space="preserve"> ، فَيَأْخُذُ الْغُلَامَ فَيَقْتُلُهُ ، فَإِذَا قَتَلَهُ بَغْياً وعُدْوَاناً وظُلْماً ، لَايُمْهَلُونَ ؛ فَعِنْدَ ذلِكَ تَوَقُّعُ الْفَرَجِ </w:t>
      </w:r>
      <w:r>
        <w:rPr>
          <w:rStyle w:val="libFootnotenumChar"/>
          <w:rtl/>
        </w:rPr>
        <w:t>(12)</w:t>
      </w:r>
      <w:r>
        <w:rPr>
          <w:rtl/>
          <w:lang w:bidi="fa-IR"/>
        </w:rPr>
        <w:t xml:space="preserve"> إِنْ شَاءَ اللهُ</w:t>
      </w:r>
      <w:r w:rsidRPr="00132E65">
        <w:rPr>
          <w:rtl/>
          <w:lang w:bidi="fa-IR"/>
        </w:rPr>
        <w:t>»</w:t>
      </w:r>
      <w:r>
        <w:rPr>
          <w:rtl/>
          <w:lang w:bidi="fa-IR"/>
        </w:rPr>
        <w:t>.</w:t>
      </w:r>
      <w:r w:rsidRPr="00132E65">
        <w:rPr>
          <w:rtl/>
          <w:lang w:bidi="fa-IR"/>
        </w:rPr>
        <w:t xml:space="preserve"> </w:t>
      </w:r>
      <w:r w:rsidRPr="00F543F1">
        <w:rPr>
          <w:rStyle w:val="libFootnotenumChar"/>
          <w:rtl/>
        </w:rPr>
        <w:t>(13)</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ج » وحاشية « بح » : « خمل »</w:t>
            </w:r>
            <w:r>
              <w:rPr>
                <w:rtl/>
              </w:rPr>
              <w:t>.</w:t>
            </w:r>
          </w:p>
        </w:tc>
        <w:tc>
          <w:tcPr>
            <w:tcW w:w="4006" w:type="dxa"/>
          </w:tcPr>
          <w:p w:rsidR="000C39D1" w:rsidRDefault="000C39D1" w:rsidP="00B53873">
            <w:pPr>
              <w:pStyle w:val="libFootnote0"/>
              <w:rPr>
                <w:rtl/>
              </w:rPr>
            </w:pPr>
            <w:r>
              <w:rPr>
                <w:rtl/>
              </w:rPr>
              <w:t>(2).</w:t>
            </w:r>
            <w:r w:rsidRPr="00132E65">
              <w:rPr>
                <w:rtl/>
              </w:rPr>
              <w:t xml:space="preserve"> في « ه‍ ، بس » والغيبة للنعماني : « بسنين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وهو المنتظ</w:t>
      </w:r>
      <w:r>
        <w:rPr>
          <w:rtl/>
        </w:rPr>
        <w:t>ر ، من تتمّة كلام القائل ؛ لئل</w:t>
      </w:r>
      <w:r>
        <w:rPr>
          <w:rFonts w:hint="cs"/>
          <w:rtl/>
        </w:rPr>
        <w:t>ّ</w:t>
      </w:r>
      <w:r>
        <w:rPr>
          <w:rtl/>
        </w:rPr>
        <w:t>ا</w:t>
      </w:r>
      <w:r w:rsidRPr="00132E65">
        <w:rPr>
          <w:rtl/>
        </w:rPr>
        <w:t xml:space="preserve"> يكون تكراراً ، أو من كلامه </w:t>
      </w:r>
      <w:r w:rsidRPr="0033724D">
        <w:rPr>
          <w:rStyle w:val="libFootnoteAlaemChar"/>
          <w:rtl/>
        </w:rPr>
        <w:t>عليه‌السلام</w:t>
      </w:r>
      <w:r w:rsidRPr="00132E65">
        <w:rPr>
          <w:rtl/>
        </w:rPr>
        <w:t xml:space="preserve"> تأكيداً وتوطئة لما بعده. وهذا أظهر »</w:t>
      </w:r>
      <w:r>
        <w:rPr>
          <w:rtl/>
        </w:rPr>
        <w:t>.</w:t>
      </w:r>
      <w:r>
        <w:rPr>
          <w:rFonts w:hint="cs"/>
          <w:rtl/>
        </w:rPr>
        <w:t xml:space="preserve">                                      </w:t>
      </w:r>
      <w:r>
        <w:rPr>
          <w:rtl/>
        </w:rPr>
        <w:t>(4).</w:t>
      </w:r>
      <w:r w:rsidRPr="00132E65">
        <w:rPr>
          <w:rtl/>
        </w:rPr>
        <w:t xml:space="preserve"> في « بس » :</w:t>
      </w:r>
      <w:r>
        <w:rPr>
          <w:rtl/>
        </w:rPr>
        <w:t xml:space="preserve"> + </w:t>
      </w:r>
      <w:r w:rsidRPr="00132E65">
        <w:rPr>
          <w:rtl/>
        </w:rPr>
        <w:t>« خلقه »</w:t>
      </w:r>
      <w:r>
        <w:rPr>
          <w:rtl/>
        </w:rPr>
        <w:t>.</w:t>
      </w:r>
      <w:r w:rsidRPr="00132E65">
        <w:rPr>
          <w:rtl/>
        </w:rPr>
        <w:t xml:space="preserve"> فالشيعة حينئذٍ بدل.</w:t>
      </w:r>
    </w:p>
    <w:p w:rsidR="000C39D1" w:rsidRPr="00132E65" w:rsidRDefault="000C39D1" w:rsidP="000C39D1">
      <w:pPr>
        <w:pStyle w:val="libFootnote0"/>
        <w:rPr>
          <w:rtl/>
          <w:lang w:bidi="fa-IR"/>
        </w:rPr>
      </w:pPr>
      <w:r>
        <w:rPr>
          <w:rtl/>
        </w:rPr>
        <w:t>(5).</w:t>
      </w:r>
      <w:r w:rsidRPr="00132E65">
        <w:rPr>
          <w:rtl/>
        </w:rPr>
        <w:t xml:space="preserve"> في « ج » وكمال الدين ، ص 342 والغيبة للطوسي </w:t>
      </w:r>
      <w:r>
        <w:rPr>
          <w:rtl/>
        </w:rPr>
        <w:t xml:space="preserve">: - </w:t>
      </w:r>
      <w:r w:rsidRPr="00132E65">
        <w:rPr>
          <w:rtl/>
        </w:rPr>
        <w:t>« يا زرارة »</w:t>
      </w:r>
      <w:r>
        <w:rPr>
          <w:rtl/>
        </w:rPr>
        <w:t>.</w:t>
      </w:r>
    </w:p>
    <w:p w:rsidR="000C39D1" w:rsidRPr="00132E65" w:rsidRDefault="000C39D1" w:rsidP="000C39D1">
      <w:pPr>
        <w:pStyle w:val="libFootnote0"/>
        <w:rPr>
          <w:rtl/>
          <w:lang w:bidi="fa-IR"/>
        </w:rPr>
      </w:pPr>
      <w:r>
        <w:rPr>
          <w:rtl/>
        </w:rPr>
        <w:t>(6).</w:t>
      </w:r>
      <w:r w:rsidRPr="00132E65">
        <w:rPr>
          <w:rtl/>
        </w:rPr>
        <w:t xml:space="preserve"> في « ب ، بح ، بر ، بس ، بف » وشرح المازندراني </w:t>
      </w:r>
      <w:r>
        <w:rPr>
          <w:rtl/>
        </w:rPr>
        <w:t xml:space="preserve">: - </w:t>
      </w:r>
      <w:r w:rsidRPr="00132E65">
        <w:rPr>
          <w:rtl/>
        </w:rPr>
        <w:t>« قال : قلت</w:t>
      </w:r>
      <w:r>
        <w:rPr>
          <w:rtl/>
        </w:rPr>
        <w:t xml:space="preserve"> - </w:t>
      </w:r>
      <w:r w:rsidRPr="00132E65">
        <w:rPr>
          <w:rtl/>
        </w:rPr>
        <w:t>إلى</w:t>
      </w:r>
      <w:r>
        <w:rPr>
          <w:rtl/>
        </w:rPr>
        <w:t xml:space="preserve"> - </w:t>
      </w:r>
      <w:r w:rsidRPr="00132E65">
        <w:rPr>
          <w:rtl/>
        </w:rPr>
        <w:t>زرارة »</w:t>
      </w:r>
      <w:r>
        <w:rPr>
          <w:rtl/>
        </w:rPr>
        <w:t>.</w:t>
      </w:r>
    </w:p>
    <w:p w:rsidR="000C39D1" w:rsidRDefault="000C39D1" w:rsidP="000C39D1">
      <w:pPr>
        <w:pStyle w:val="libFootnote0"/>
        <w:rPr>
          <w:rtl/>
        </w:rPr>
      </w:pPr>
      <w:r>
        <w:rPr>
          <w:rtl/>
        </w:rPr>
        <w:t>(7).</w:t>
      </w:r>
      <w:r w:rsidRPr="00132E65">
        <w:rPr>
          <w:rtl/>
        </w:rPr>
        <w:t xml:space="preserve"> هكذا في أكثر النسخ وشرح المازندراني و</w:t>
      </w:r>
      <w:r w:rsidRPr="009D1ACE">
        <w:rPr>
          <w:rStyle w:val="libFootnoteBoldChar"/>
          <w:rtl/>
        </w:rPr>
        <w:t>الوافي</w:t>
      </w:r>
      <w:r w:rsidRPr="00132E65">
        <w:rPr>
          <w:rtl/>
        </w:rPr>
        <w:t xml:space="preserve"> وكمال الدين ، ص 342 والغيبة للنعماني والطوسي. وفي المطبوع : « هذا »</w:t>
      </w:r>
      <w:r>
        <w:rPr>
          <w:rtl/>
        </w:rPr>
        <w:t>.</w:t>
      </w:r>
      <w:r>
        <w:rPr>
          <w:rFonts w:hint="cs"/>
          <w:rtl/>
        </w:rPr>
        <w:t xml:space="preserve">                                         </w:t>
      </w:r>
      <w:r w:rsidR="0033724D">
        <w:rPr>
          <w:rFonts w:hint="cs"/>
          <w:rtl/>
        </w:rPr>
        <w:t xml:space="preserve">       </w:t>
      </w:r>
      <w:r>
        <w:rPr>
          <w:rFonts w:hint="cs"/>
          <w:rtl/>
        </w:rPr>
        <w:t xml:space="preserve">         </w:t>
      </w:r>
      <w:r>
        <w:rPr>
          <w:rtl/>
        </w:rPr>
        <w:t>(8).في«ب» : «لم أعرفك</w:t>
      </w:r>
      <w:r w:rsidRPr="00132E65">
        <w:rPr>
          <w:rtl/>
        </w:rPr>
        <w:t>» بدل « لم أعرف نبيّك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 » : « نبيّك »</w:t>
            </w:r>
            <w:r>
              <w:rPr>
                <w:rtl/>
              </w:rPr>
              <w:t>.</w:t>
            </w:r>
          </w:p>
        </w:tc>
        <w:tc>
          <w:tcPr>
            <w:tcW w:w="4006" w:type="dxa"/>
          </w:tcPr>
          <w:p w:rsidR="000C39D1" w:rsidRDefault="000C39D1" w:rsidP="00B53873">
            <w:pPr>
              <w:pStyle w:val="libFootnote0"/>
              <w:rPr>
                <w:rtl/>
              </w:rPr>
            </w:pPr>
            <w:r>
              <w:rPr>
                <w:rtl/>
              </w:rPr>
              <w:t>(10). في «ب ، ه‍</w:t>
            </w:r>
            <w:r>
              <w:rPr>
                <w:rFonts w:hint="cs"/>
                <w:rtl/>
              </w:rPr>
              <w:t xml:space="preserve"> </w:t>
            </w:r>
            <w:r w:rsidRPr="00132E65">
              <w:rPr>
                <w:rtl/>
              </w:rPr>
              <w:t>»</w:t>
            </w:r>
            <w:r>
              <w:rPr>
                <w:rtl/>
              </w:rPr>
              <w:t xml:space="preserve"> وحاشية «بس » : «</w:t>
            </w:r>
            <w:r w:rsidRPr="00132E65">
              <w:rPr>
                <w:rtl/>
              </w:rPr>
              <w:t>أبي فلان »</w:t>
            </w:r>
            <w:r>
              <w:rPr>
                <w:rtl/>
              </w:rPr>
              <w:t>.</w:t>
            </w:r>
          </w:p>
        </w:tc>
      </w:tr>
    </w:tbl>
    <w:p w:rsidR="000C39D1" w:rsidRPr="00132E65" w:rsidRDefault="000C39D1" w:rsidP="000C39D1">
      <w:pPr>
        <w:pStyle w:val="libFootnote0"/>
        <w:rPr>
          <w:rtl/>
          <w:lang w:bidi="fa-IR"/>
        </w:rPr>
      </w:pPr>
      <w:r>
        <w:rPr>
          <w:rtl/>
        </w:rPr>
        <w:t>(11).</w:t>
      </w:r>
      <w:r w:rsidRPr="00132E65">
        <w:rPr>
          <w:rtl/>
        </w:rPr>
        <w:t xml:space="preserve"> في « ف » : « بالمدينة »</w:t>
      </w:r>
      <w:r>
        <w:rPr>
          <w:rtl/>
        </w:rPr>
        <w:t>.</w:t>
      </w:r>
    </w:p>
    <w:p w:rsidR="000C39D1" w:rsidRPr="00132E65" w:rsidRDefault="000C39D1" w:rsidP="000C39D1">
      <w:pPr>
        <w:pStyle w:val="libFootnote0"/>
        <w:rPr>
          <w:rtl/>
          <w:lang w:bidi="fa-IR"/>
        </w:rPr>
      </w:pPr>
      <w:r>
        <w:rPr>
          <w:rtl/>
        </w:rPr>
        <w:t>(12).</w:t>
      </w:r>
      <w:r w:rsidRPr="00132E65">
        <w:rPr>
          <w:rtl/>
        </w:rPr>
        <w:t xml:space="preserve"> في حاشية « ف » : « وقع الفرج »</w:t>
      </w:r>
      <w:r>
        <w:rPr>
          <w:rtl/>
        </w:rPr>
        <w:t>.</w:t>
      </w:r>
      <w:r w:rsidRPr="00132E65">
        <w:rPr>
          <w:rtl/>
        </w:rPr>
        <w:t xml:space="preserve"> وفي </w:t>
      </w:r>
      <w:r w:rsidRPr="009D1ACE">
        <w:rPr>
          <w:rStyle w:val="libFootnoteBoldChar"/>
          <w:rtl/>
        </w:rPr>
        <w:t>مرآة العقول</w:t>
      </w:r>
      <w:r w:rsidRPr="00132E65">
        <w:rPr>
          <w:rtl/>
        </w:rPr>
        <w:t xml:space="preserve"> : « توقّع الفرج ، بصيغة المصدر ، أو الأمر »</w:t>
      </w:r>
      <w:r>
        <w:rPr>
          <w:rtl/>
        </w:rPr>
        <w:t>.</w:t>
      </w:r>
    </w:p>
    <w:p w:rsidR="000C39D1" w:rsidRPr="00132E65" w:rsidRDefault="000C39D1" w:rsidP="000C39D1">
      <w:pPr>
        <w:pStyle w:val="libFootnote0"/>
        <w:rPr>
          <w:rtl/>
          <w:lang w:bidi="fa-IR"/>
        </w:rPr>
      </w:pPr>
      <w:r>
        <w:rPr>
          <w:rtl/>
        </w:rPr>
        <w:t>(13)</w:t>
      </w:r>
      <w:r w:rsidRPr="00132E65">
        <w:rPr>
          <w:rtl/>
        </w:rPr>
        <w:t xml:space="preserve"> </w:t>
      </w:r>
      <w:r w:rsidRPr="00B911FA">
        <w:rPr>
          <w:rStyle w:val="libFootnoteBoldChar"/>
          <w:rtl/>
        </w:rPr>
        <w:t>الغيبة للنعماني</w:t>
      </w:r>
      <w:r w:rsidRPr="00132E65">
        <w:rPr>
          <w:rtl/>
        </w:rPr>
        <w:t xml:space="preserve"> ، ص 166 ، ذيل ح 6 ، عن الكليني. وفي </w:t>
      </w:r>
      <w:r w:rsidRPr="000577A7">
        <w:rPr>
          <w:rStyle w:val="libFootnoteBoldChar"/>
          <w:rtl/>
        </w:rPr>
        <w:t>الكافي</w:t>
      </w:r>
      <w:r w:rsidRPr="00132E65">
        <w:rPr>
          <w:rtl/>
        </w:rPr>
        <w:t xml:space="preserve"> ، كتاب </w:t>
      </w:r>
      <w:r w:rsidRPr="00937586">
        <w:rPr>
          <w:rStyle w:val="libFootnoteBoldChar"/>
          <w:rtl/>
        </w:rPr>
        <w:t>الحجّة</w:t>
      </w:r>
      <w:r>
        <w:rPr>
          <w:rtl/>
        </w:rPr>
        <w:t xml:space="preserve"> ، باب في الغيبة ، ح 919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BA3319">
        <w:rPr>
          <w:rtl/>
        </w:rPr>
        <w:t>896</w:t>
      </w:r>
      <w:r w:rsidRPr="004325D8">
        <w:rPr>
          <w:rStyle w:val="libBold2Char"/>
          <w:rtl/>
        </w:rPr>
        <w:t xml:space="preserve"> / 6.</w:t>
      </w:r>
      <w:r w:rsidRPr="00132E65">
        <w:rPr>
          <w:rtl/>
          <w:lang w:bidi="fa-IR"/>
        </w:rPr>
        <w:t xml:space="preserve"> مُحَمَّدُ بْنُ يَحْيى ، عَنْ جَعْفَرِ بْنِ مُحَمَّدٍ ، عَنْ إِسْحَاقَ بْنِ مُحَمَّدٍ ، عَنْ يَحْيَى بْنِ الْمُثَنّى ، عَنْ عَبْدِ اللهِ بْنِ بُكَيْرٍ ، عَنْ عُبَيْدِ بْنِ زُرَارَةَ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يَفْقِدُ النَّاسُ إِمَامَهُمْ ، يَشْهَدُ </w:t>
      </w:r>
      <w:r>
        <w:rPr>
          <w:rStyle w:val="libFootnotenumChar"/>
          <w:rtl/>
        </w:rPr>
        <w:t>(1)</w:t>
      </w:r>
      <w:r w:rsidRPr="00132E65">
        <w:rPr>
          <w:rtl/>
          <w:lang w:bidi="fa-IR"/>
        </w:rPr>
        <w:t xml:space="preserve"> الْمَوْسِم</w:t>
      </w:r>
      <w:r>
        <w:rPr>
          <w:rtl/>
          <w:lang w:bidi="fa-IR"/>
        </w:rPr>
        <w:t>َ ، فَيَرَاهُمْ وَلَايَرَوْنَهُ</w:t>
      </w:r>
      <w:r w:rsidRPr="00132E65">
        <w:rPr>
          <w:rtl/>
          <w:lang w:bidi="fa-IR"/>
        </w:rPr>
        <w:t>»</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BA3319">
        <w:rPr>
          <w:rtl/>
        </w:rPr>
        <w:t>897</w:t>
      </w:r>
      <w:r w:rsidRPr="004325D8">
        <w:rPr>
          <w:rStyle w:val="libBold2Char"/>
          <w:rtl/>
        </w:rPr>
        <w:t xml:space="preserve"> / 7.</w:t>
      </w:r>
      <w:r w:rsidRPr="00132E65">
        <w:rPr>
          <w:rtl/>
          <w:lang w:bidi="fa-IR"/>
        </w:rPr>
        <w:t xml:space="preserve"> عَلِيُّ بْنُ مُحَمَّدٍ ، عَنْ عَبْدِ اللهِ بْنِ مُحَمَّدِ بْنِ خَالِدٍ ، قَالَ : حَدَّثَنِي مُنْذِرُ </w:t>
      </w:r>
      <w:r>
        <w:rPr>
          <w:rStyle w:val="libFootnotenumChar"/>
          <w:rtl/>
        </w:rPr>
        <w:t>(3)</w:t>
      </w:r>
      <w:r w:rsidRPr="00132E65">
        <w:rPr>
          <w:rtl/>
          <w:lang w:bidi="fa-IR"/>
        </w:rPr>
        <w:t xml:space="preserve"> بْنُ مُحَمَّدِ بْنِ قَابُوسَ ، عَنْ مَنْصُورِ بْنِ السِّنْدِيِّ </w:t>
      </w:r>
      <w:r>
        <w:rPr>
          <w:rStyle w:val="libFootnotenumChar"/>
          <w:rtl/>
        </w:rPr>
        <w:t>(4)</w:t>
      </w:r>
      <w:r w:rsidRPr="00132E65">
        <w:rPr>
          <w:rtl/>
          <w:lang w:bidi="fa-IR"/>
        </w:rPr>
        <w:t xml:space="preserve"> ، عَنْ أَبِي دَاوُدَ الْمُسْتَرِقِّ ، عَنْ ثَعْلَبَةَ بْنِ مَيْمُونٍ ، عَنْ مَالِكٍ الْجُهَنِيِّ ، عَنِ الْحَارِثِ بْنِ الْمُغِيرَةِ ، عَنِ الْأَصْبَغِ بْنِ نُبَاتَةَ ، قَالَ :</w:t>
      </w:r>
    </w:p>
    <w:p w:rsidR="000C39D1" w:rsidRPr="00132E65" w:rsidRDefault="000C39D1" w:rsidP="000C39D1">
      <w:pPr>
        <w:pStyle w:val="libNormal"/>
        <w:rPr>
          <w:rtl/>
          <w:lang w:bidi="fa-IR"/>
        </w:rPr>
      </w:pPr>
      <w:r w:rsidRPr="00132E65">
        <w:rPr>
          <w:rtl/>
          <w:lang w:bidi="fa-IR"/>
        </w:rPr>
        <w:t xml:space="preserve">أَتَيْتُ أَمِيرَ الْمُؤْمِنِينَ </w:t>
      </w:r>
      <w:r w:rsidRPr="00071CF9">
        <w:rPr>
          <w:rStyle w:val="libAlaemChar"/>
          <w:rtl/>
        </w:rPr>
        <w:t>عليه‌السلام</w:t>
      </w:r>
      <w:r w:rsidRPr="00132E65">
        <w:rPr>
          <w:rtl/>
          <w:lang w:bidi="fa-IR"/>
        </w:rPr>
        <w:t xml:space="preserve"> ، فَوَجَدْتُهُ مُتَفَكِّراً </w:t>
      </w:r>
      <w:r>
        <w:rPr>
          <w:rStyle w:val="libFootnotenumChar"/>
          <w:rtl/>
        </w:rPr>
        <w:t>(5)</w:t>
      </w:r>
      <w:r w:rsidRPr="00132E65">
        <w:rPr>
          <w:rtl/>
          <w:lang w:bidi="fa-IR"/>
        </w:rPr>
        <w:t xml:space="preserve"> يَنْكُتُ </w:t>
      </w:r>
      <w:r>
        <w:rPr>
          <w:rStyle w:val="libFootnotenumChar"/>
          <w:rtl/>
        </w:rPr>
        <w:t>(6)</w:t>
      </w:r>
      <w:r w:rsidRPr="00132E65">
        <w:rPr>
          <w:rtl/>
          <w:lang w:bidi="fa-IR"/>
        </w:rPr>
        <w:t xml:space="preserve"> فِي الْأَرْضِ ، فَقُلْتُ :</w:t>
      </w:r>
      <w:r>
        <w:rPr>
          <w:rFonts w:hint="cs"/>
          <w:rtl/>
          <w:lang w:bidi="fa-IR"/>
        </w:rPr>
        <w:t xml:space="preserve"> </w:t>
      </w:r>
      <w:r w:rsidRPr="00132E65">
        <w:rPr>
          <w:rtl/>
          <w:lang w:bidi="fa-IR"/>
        </w:rPr>
        <w:t xml:space="preserve">يَا أَمِيرَ الْمُؤْمِنِينَ ، مَا لِي أَرَاكَ مُتَفَكِّراً </w:t>
      </w:r>
      <w:r>
        <w:rPr>
          <w:rStyle w:val="libFootnotenumChar"/>
          <w:rtl/>
        </w:rPr>
        <w:t>(7)</w:t>
      </w:r>
      <w:r w:rsidRPr="00132E65">
        <w:rPr>
          <w:rtl/>
          <w:lang w:bidi="fa-IR"/>
        </w:rPr>
        <w:t xml:space="preserve"> تَنْكُتُ </w:t>
      </w:r>
      <w:r>
        <w:rPr>
          <w:rStyle w:val="libFootnotenumChar"/>
          <w:rtl/>
        </w:rPr>
        <w:t>(8)</w:t>
      </w:r>
      <w:r w:rsidRPr="00132E65">
        <w:rPr>
          <w:rtl/>
          <w:lang w:bidi="fa-IR"/>
        </w:rPr>
        <w:t xml:space="preserve"> فِي الْأَرْضِ</w:t>
      </w:r>
      <w:r>
        <w:rPr>
          <w:rtl/>
          <w:lang w:bidi="fa-IR"/>
        </w:rPr>
        <w:t>؟ أَ</w:t>
      </w:r>
      <w:r w:rsidRPr="00132E65">
        <w:rPr>
          <w:rtl/>
          <w:lang w:bidi="fa-IR"/>
        </w:rPr>
        <w:t>رَغْبَةً مِنْكَ فِيهَا</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و</w:t>
      </w:r>
      <w:r w:rsidRPr="00BA3319">
        <w:rPr>
          <w:rtl/>
        </w:rPr>
        <w:t xml:space="preserve">كمال الدين </w:t>
      </w:r>
      <w:r w:rsidRPr="00132E65">
        <w:rPr>
          <w:rtl/>
        </w:rPr>
        <w:t>، ص 342 ، ح 24 ؛ وص 346 ، ح 32 [ وفيه إلى قوله : « فعند ذلك يرتاب المبطلون » ] ؛ و</w:t>
      </w:r>
      <w:r w:rsidRPr="00937586">
        <w:rPr>
          <w:rStyle w:val="libFootnoteBoldChar"/>
          <w:rtl/>
        </w:rPr>
        <w:t>الغيبة</w:t>
      </w:r>
      <w:r w:rsidRPr="00132E65">
        <w:rPr>
          <w:rtl/>
        </w:rPr>
        <w:t xml:space="preserve"> للنعماني ، ص 166 ، ح 6 ؛ و</w:t>
      </w:r>
      <w:r w:rsidRPr="00937586">
        <w:rPr>
          <w:rStyle w:val="libFootnoteBoldChar"/>
          <w:rtl/>
        </w:rPr>
        <w:t>الغيبة للطوسي</w:t>
      </w:r>
      <w:r w:rsidRPr="00132E65">
        <w:rPr>
          <w:rtl/>
        </w:rPr>
        <w:t xml:space="preserve"> ، ص 333 ، ح 279 ، بسند آخر عن زرارة ، مع اختلاف يسير. وراجع : </w:t>
      </w:r>
      <w:r w:rsidRPr="00937586">
        <w:rPr>
          <w:rStyle w:val="libFootnoteBoldChar"/>
          <w:rtl/>
        </w:rPr>
        <w:t>كمال الدين</w:t>
      </w:r>
      <w:r w:rsidRPr="00132E65">
        <w:rPr>
          <w:rtl/>
        </w:rPr>
        <w:t xml:space="preserve"> ، ج 2 ، ص 512 ، ح 43 </w:t>
      </w:r>
      <w:r>
        <w:rPr>
          <w:rFonts w:hint="cs"/>
          <w:rtl/>
        </w:rPr>
        <w:t>.</w:t>
      </w:r>
      <w:r w:rsidRPr="009D1ACE">
        <w:rPr>
          <w:rStyle w:val="libFootnoteBoldChar"/>
          <w:rtl/>
        </w:rPr>
        <w:t>الوافي</w:t>
      </w:r>
      <w:r w:rsidRPr="00132E65">
        <w:rPr>
          <w:rtl/>
        </w:rPr>
        <w:t xml:space="preserve"> ، ج 2 ، ص 406 ، ح 909.</w:t>
      </w:r>
    </w:p>
    <w:p w:rsidR="000C39D1" w:rsidRPr="00132E65" w:rsidRDefault="000C39D1" w:rsidP="0033724D">
      <w:pPr>
        <w:pStyle w:val="libFootnote0"/>
        <w:rPr>
          <w:rtl/>
          <w:lang w:bidi="fa-IR"/>
        </w:rPr>
      </w:pPr>
      <w:r>
        <w:rPr>
          <w:rtl/>
        </w:rPr>
        <w:t>(1).</w:t>
      </w:r>
      <w:r w:rsidRPr="00132E65">
        <w:rPr>
          <w:rtl/>
        </w:rPr>
        <w:t xml:space="preserve"> في « ه‍ </w:t>
      </w:r>
      <w:r w:rsidR="0033724D" w:rsidRPr="00132E65">
        <w:rPr>
          <w:rtl/>
        </w:rPr>
        <w:t>»</w:t>
      </w:r>
      <w:r w:rsidRPr="00132E65">
        <w:rPr>
          <w:rtl/>
        </w:rPr>
        <w:t xml:space="preserve"> : « ويشهد »</w:t>
      </w:r>
      <w:r>
        <w:rPr>
          <w:rtl/>
        </w:rPr>
        <w:t>.</w:t>
      </w:r>
    </w:p>
    <w:p w:rsidR="000C39D1" w:rsidRPr="00132E65" w:rsidRDefault="000C39D1" w:rsidP="000C39D1">
      <w:pPr>
        <w:pStyle w:val="libFootnote0"/>
        <w:rPr>
          <w:rtl/>
          <w:lang w:bidi="fa-IR"/>
        </w:rPr>
      </w:pPr>
      <w:r>
        <w:rPr>
          <w:rtl/>
        </w:rPr>
        <w:t>(2).</w:t>
      </w:r>
      <w:r w:rsidRPr="00132E65">
        <w:rPr>
          <w:rtl/>
        </w:rPr>
        <w:t xml:space="preserve"> </w:t>
      </w:r>
      <w:r w:rsidRPr="00937586">
        <w:rPr>
          <w:rStyle w:val="libFootnoteBoldChar"/>
          <w:rtl/>
        </w:rPr>
        <w:t>الغيبة</w:t>
      </w:r>
      <w:r w:rsidRPr="00132E65">
        <w:rPr>
          <w:rtl/>
        </w:rPr>
        <w:t xml:space="preserve"> للنعماني ، ص 175 ، ح 14 ، عن الكليني. </w:t>
      </w:r>
      <w:r w:rsidRPr="00937586">
        <w:rPr>
          <w:rStyle w:val="libFootnoteBoldChar"/>
          <w:rtl/>
        </w:rPr>
        <w:t>كمال الدين</w:t>
      </w:r>
      <w:r w:rsidRPr="00132E65">
        <w:rPr>
          <w:rtl/>
        </w:rPr>
        <w:t xml:space="preserve"> ، ص 346 ، ح 33 ، بسنده عن محمّد بن يحيى. وفي </w:t>
      </w:r>
      <w:r w:rsidRPr="00937586">
        <w:rPr>
          <w:rStyle w:val="libFootnoteBoldChar"/>
          <w:rtl/>
        </w:rPr>
        <w:t>كمال الدين</w:t>
      </w:r>
      <w:r w:rsidRPr="00132E65">
        <w:rPr>
          <w:rtl/>
        </w:rPr>
        <w:t xml:space="preserve"> ، ص 440 ، ح 7 ؛ </w:t>
      </w:r>
      <w:r w:rsidRPr="00937586">
        <w:rPr>
          <w:rStyle w:val="libFootnoteBoldChar"/>
          <w:rtl/>
        </w:rPr>
        <w:t>والغيبة للطوسي</w:t>
      </w:r>
      <w:r w:rsidRPr="00132E65">
        <w:rPr>
          <w:rtl/>
        </w:rPr>
        <w:t xml:space="preserve"> ، ص 161 ، ح 119 ، بسندهما عن جعفر بن محمّد بن مالك الكوفي ؛ </w:t>
      </w:r>
      <w:r w:rsidRPr="00937586">
        <w:rPr>
          <w:rStyle w:val="libFootnoteBoldChar"/>
          <w:rtl/>
        </w:rPr>
        <w:t>كمال الدين</w:t>
      </w:r>
      <w:r w:rsidRPr="00132E65">
        <w:rPr>
          <w:rtl/>
        </w:rPr>
        <w:t xml:space="preserve"> ، ص 351 ، ح 49 ، بسنده عن يحيى بن المثنّى. وراجع : </w:t>
      </w:r>
      <w:r w:rsidRPr="00937586">
        <w:rPr>
          <w:rStyle w:val="libFootnoteBoldChar"/>
          <w:rtl/>
        </w:rPr>
        <w:t>الفقيه</w:t>
      </w:r>
      <w:r w:rsidRPr="00132E65">
        <w:rPr>
          <w:rtl/>
        </w:rPr>
        <w:t xml:space="preserve"> ، ج 2 ، ص 520 ، ح 3117 ؛ و</w:t>
      </w:r>
      <w:r w:rsidRPr="00937586">
        <w:rPr>
          <w:rStyle w:val="libFootnoteBoldChar"/>
          <w:rtl/>
        </w:rPr>
        <w:t>الغيبة للطوسي</w:t>
      </w:r>
      <w:r w:rsidRPr="00132E65">
        <w:rPr>
          <w:rtl/>
        </w:rPr>
        <w:t xml:space="preserve"> ، ص 363 ، ح 329 </w:t>
      </w:r>
      <w:r>
        <w:rPr>
          <w:rFonts w:hint="cs"/>
          <w:rtl/>
        </w:rPr>
        <w:t>.</w:t>
      </w:r>
      <w:r w:rsidRPr="009D1ACE">
        <w:rPr>
          <w:rStyle w:val="libFootnoteBoldChar"/>
          <w:rtl/>
        </w:rPr>
        <w:t>الوافي</w:t>
      </w:r>
      <w:r w:rsidRPr="00132E65">
        <w:rPr>
          <w:rtl/>
        </w:rPr>
        <w:t xml:space="preserve"> ، ج 2 ، ص 413 ، ح 917.</w:t>
      </w:r>
    </w:p>
    <w:p w:rsidR="000C39D1" w:rsidRPr="00132E65" w:rsidRDefault="000C39D1" w:rsidP="000C39D1">
      <w:pPr>
        <w:pStyle w:val="libFootnote0"/>
        <w:rPr>
          <w:rtl/>
          <w:lang w:bidi="fa-IR"/>
        </w:rPr>
      </w:pPr>
      <w:r>
        <w:rPr>
          <w:rtl/>
        </w:rPr>
        <w:t>(3).</w:t>
      </w:r>
      <w:r w:rsidRPr="00132E65">
        <w:rPr>
          <w:rtl/>
        </w:rPr>
        <w:t xml:space="preserve"> في الغيبة للنعماني : « نصر »</w:t>
      </w:r>
      <w:r>
        <w:rPr>
          <w:rtl/>
        </w:rPr>
        <w:t>.</w:t>
      </w:r>
      <w:r w:rsidRPr="00132E65">
        <w:rPr>
          <w:rtl/>
        </w:rPr>
        <w:t xml:space="preserve"> وهو سهو ؛ وابن قابوس هذا ، هو منذر بن محمّد القابوسي المترجم في </w:t>
      </w:r>
      <w:r w:rsidRPr="00937586">
        <w:rPr>
          <w:rStyle w:val="libFootnoteBoldChar"/>
          <w:rtl/>
        </w:rPr>
        <w:t>رجال‌النجاشي</w:t>
      </w:r>
      <w:r w:rsidRPr="00132E65">
        <w:rPr>
          <w:rtl/>
        </w:rPr>
        <w:t xml:space="preserve"> ، ص 418 ، الرقم 1118 ، والمذكور في </w:t>
      </w:r>
      <w:r w:rsidRPr="00937586">
        <w:rPr>
          <w:rStyle w:val="libFootnoteBoldChar"/>
          <w:rtl/>
        </w:rPr>
        <w:t>رجال</w:t>
      </w:r>
      <w:r w:rsidRPr="00BA3319">
        <w:rPr>
          <w:rtl/>
        </w:rPr>
        <w:t xml:space="preserve"> </w:t>
      </w:r>
      <w:r w:rsidRPr="00937586">
        <w:rPr>
          <w:rStyle w:val="libFootnoteBoldChar"/>
          <w:rtl/>
        </w:rPr>
        <w:t>الكشّي</w:t>
      </w:r>
      <w:r w:rsidRPr="00132E65">
        <w:rPr>
          <w:rtl/>
        </w:rPr>
        <w:t xml:space="preserve"> ، ص 566 ، الرقم 1070 بعنوان منذر بن قابوس ، وروى عنه عبدالله بن محمّد بن خالد.</w:t>
      </w:r>
    </w:p>
    <w:p w:rsidR="000C39D1" w:rsidRPr="00132E65" w:rsidRDefault="000C39D1" w:rsidP="000C39D1">
      <w:pPr>
        <w:pStyle w:val="libFootnote0"/>
        <w:rPr>
          <w:rtl/>
          <w:lang w:bidi="fa-IR"/>
        </w:rPr>
      </w:pPr>
      <w:r>
        <w:rPr>
          <w:rtl/>
        </w:rPr>
        <w:t>(4).</w:t>
      </w:r>
      <w:r w:rsidRPr="00132E65">
        <w:rPr>
          <w:rtl/>
        </w:rPr>
        <w:t xml:space="preserve"> في كمال الدين : « النصر بن أبي السري »</w:t>
      </w:r>
      <w:r>
        <w:rPr>
          <w:rtl/>
        </w:rPr>
        <w:t>.</w:t>
      </w:r>
      <w:r w:rsidRPr="00132E65">
        <w:rPr>
          <w:rtl/>
        </w:rPr>
        <w:t xml:space="preserve"> وفي الاختصاص و</w:t>
      </w:r>
      <w:r w:rsidRPr="00937586">
        <w:rPr>
          <w:rStyle w:val="libFootnoteBoldChar"/>
          <w:rtl/>
        </w:rPr>
        <w:t>الغيبة للطوسي</w:t>
      </w:r>
      <w:r w:rsidRPr="00132E65">
        <w:rPr>
          <w:rtl/>
        </w:rPr>
        <w:t xml:space="preserve"> ، ص 164 : « النصر بن السندي »</w:t>
      </w:r>
      <w:r>
        <w:rPr>
          <w:rtl/>
        </w:rPr>
        <w:t>.</w:t>
      </w:r>
    </w:p>
    <w:p w:rsidR="000C39D1" w:rsidRPr="00132E65" w:rsidRDefault="000C39D1" w:rsidP="000C39D1">
      <w:pPr>
        <w:pStyle w:val="libFootnote0"/>
        <w:rPr>
          <w:rtl/>
          <w:lang w:bidi="fa-IR"/>
        </w:rPr>
      </w:pPr>
      <w:r>
        <w:rPr>
          <w:rtl/>
        </w:rPr>
        <w:t>(5).</w:t>
      </w:r>
      <w:r w:rsidRPr="00132E65">
        <w:rPr>
          <w:rtl/>
        </w:rPr>
        <w:t xml:space="preserve"> في حاشية « ف » والغيبة للنعماني : « مفكّراً »</w:t>
      </w:r>
      <w:r>
        <w:rPr>
          <w:rtl/>
        </w:rPr>
        <w:t>.</w:t>
      </w:r>
      <w:r w:rsidRPr="00132E65">
        <w:rPr>
          <w:rtl/>
        </w:rPr>
        <w:t xml:space="preserve"> وفي </w:t>
      </w:r>
      <w:r w:rsidRPr="00937586">
        <w:rPr>
          <w:rStyle w:val="libFootnoteBoldChar"/>
          <w:rtl/>
        </w:rPr>
        <w:t>الغيبة للطوسي</w:t>
      </w:r>
      <w:r w:rsidRPr="00132E65">
        <w:rPr>
          <w:rtl/>
        </w:rPr>
        <w:t xml:space="preserve"> ، ص 164 </w:t>
      </w:r>
      <w:r>
        <w:rPr>
          <w:rtl/>
        </w:rPr>
        <w:t xml:space="preserve">: - </w:t>
      </w:r>
      <w:r w:rsidRPr="00132E65">
        <w:rPr>
          <w:rtl/>
        </w:rPr>
        <w:t>« متفكّراً »</w:t>
      </w:r>
      <w:r>
        <w:rPr>
          <w:rtl/>
        </w:rPr>
        <w:t>.</w:t>
      </w:r>
    </w:p>
    <w:p w:rsidR="000C39D1" w:rsidRPr="00132E65" w:rsidRDefault="000C39D1" w:rsidP="000C39D1">
      <w:pPr>
        <w:pStyle w:val="libFootnote0"/>
        <w:rPr>
          <w:rtl/>
          <w:lang w:bidi="fa-IR"/>
        </w:rPr>
      </w:pPr>
      <w:r>
        <w:rPr>
          <w:rtl/>
        </w:rPr>
        <w:t>(6).</w:t>
      </w:r>
      <w:r w:rsidRPr="00132E65">
        <w:rPr>
          <w:rtl/>
        </w:rPr>
        <w:t xml:space="preserve"> في كفاية الأثر : « ينكث »</w:t>
      </w:r>
      <w:r>
        <w:rPr>
          <w:rtl/>
        </w:rPr>
        <w:t>.</w:t>
      </w:r>
      <w:r w:rsidRPr="00132E65">
        <w:rPr>
          <w:rtl/>
        </w:rPr>
        <w:t xml:space="preserve"> وأمّا ينكت فهو من النَكْت بالحَصى ونَكْت الأرض بالقضيب ، وهو أن يؤثّر فيها بطرفه فِعْلَ المفكّر المهموم. راجع </w:t>
      </w:r>
      <w:r w:rsidRPr="00937586">
        <w:rPr>
          <w:rStyle w:val="libFootnoteBoldChar"/>
          <w:rtl/>
        </w:rPr>
        <w:t>النهاية</w:t>
      </w:r>
      <w:r w:rsidRPr="00132E65">
        <w:rPr>
          <w:rtl/>
        </w:rPr>
        <w:t xml:space="preserve"> ، ج 5 ، ص 113 ( نكت )</w:t>
      </w:r>
      <w:r>
        <w:rPr>
          <w:rtl/>
        </w:rPr>
        <w:t>.</w:t>
      </w:r>
    </w:p>
    <w:p w:rsidR="000C39D1" w:rsidRPr="00132E65" w:rsidRDefault="000C39D1" w:rsidP="000C39D1">
      <w:pPr>
        <w:pStyle w:val="libFootnote0"/>
        <w:rPr>
          <w:rtl/>
          <w:lang w:bidi="fa-IR"/>
        </w:rPr>
      </w:pPr>
      <w:r>
        <w:rPr>
          <w:rtl/>
        </w:rPr>
        <w:t>(7).</w:t>
      </w:r>
      <w:r w:rsidRPr="00132E65">
        <w:rPr>
          <w:rtl/>
        </w:rPr>
        <w:t xml:space="preserve"> في حاشية « ف » والغيبة للطوسي ، ص 164 : « مفكّراً »</w:t>
      </w:r>
      <w:r>
        <w:rPr>
          <w:rtl/>
        </w:rPr>
        <w:t>.</w:t>
      </w:r>
      <w:r w:rsidRPr="00132E65">
        <w:rPr>
          <w:rtl/>
        </w:rPr>
        <w:t xml:space="preserve"> وفي الغيبة للنعماني </w:t>
      </w:r>
      <w:r>
        <w:rPr>
          <w:rtl/>
        </w:rPr>
        <w:t xml:space="preserve">: - </w:t>
      </w:r>
      <w:r w:rsidRPr="00132E65">
        <w:rPr>
          <w:rtl/>
        </w:rPr>
        <w:t>« مالي أراك متفكّراً »</w:t>
      </w:r>
      <w:r>
        <w:rPr>
          <w:rtl/>
        </w:rPr>
        <w:t>.</w:t>
      </w:r>
    </w:p>
    <w:p w:rsidR="000C39D1" w:rsidRPr="00132E65" w:rsidRDefault="000C39D1" w:rsidP="000C39D1">
      <w:pPr>
        <w:pStyle w:val="libFootnote0"/>
        <w:rPr>
          <w:rtl/>
          <w:lang w:bidi="fa-IR"/>
        </w:rPr>
      </w:pPr>
      <w:r>
        <w:rPr>
          <w:rtl/>
        </w:rPr>
        <w:t>(8).</w:t>
      </w:r>
      <w:r w:rsidRPr="00132E65">
        <w:rPr>
          <w:rtl/>
        </w:rPr>
        <w:t xml:space="preserve"> في كفاية الأثر : « تنكث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w:t>
      </w:r>
      <w:r>
        <w:rPr>
          <w:rStyle w:val="libFootnotenumChar"/>
          <w:rtl/>
        </w:rPr>
        <w:t>(1)</w:t>
      </w:r>
      <w:r w:rsidRPr="00132E65">
        <w:rPr>
          <w:rtl/>
          <w:lang w:bidi="fa-IR"/>
        </w:rPr>
        <w:t xml:space="preserve"> : « لَا و</w:t>
      </w:r>
      <w:r>
        <w:rPr>
          <w:rFonts w:hint="cs"/>
          <w:rtl/>
          <w:lang w:bidi="fa-IR"/>
        </w:rPr>
        <w:t>َ</w:t>
      </w:r>
      <w:r w:rsidRPr="00132E65">
        <w:rPr>
          <w:rtl/>
          <w:lang w:bidi="fa-IR"/>
        </w:rPr>
        <w:t xml:space="preserve">اللهِ ، مَا رَغِبْتُ فِيهَا ولَافِي الدُّنْيَا يَوْماً </w:t>
      </w:r>
      <w:r>
        <w:rPr>
          <w:rStyle w:val="libFootnotenumChar"/>
          <w:rtl/>
        </w:rPr>
        <w:t>(2)</w:t>
      </w:r>
      <w:r w:rsidRPr="00132E65">
        <w:rPr>
          <w:rtl/>
          <w:lang w:bidi="fa-IR"/>
        </w:rPr>
        <w:t xml:space="preserve"> قَطُّ ، و</w:t>
      </w:r>
      <w:r>
        <w:rPr>
          <w:rFonts w:hint="cs"/>
          <w:rtl/>
          <w:lang w:bidi="fa-IR"/>
        </w:rPr>
        <w:t>َ</w:t>
      </w:r>
      <w:r w:rsidRPr="00132E65">
        <w:rPr>
          <w:rtl/>
          <w:lang w:bidi="fa-IR"/>
        </w:rPr>
        <w:t xml:space="preserve">لكِنِّي </w:t>
      </w:r>
      <w:r>
        <w:rPr>
          <w:rStyle w:val="libFootnotenumChar"/>
          <w:rtl/>
        </w:rPr>
        <w:t>(3)</w:t>
      </w:r>
      <w:r w:rsidRPr="00132E65">
        <w:rPr>
          <w:rtl/>
          <w:lang w:bidi="fa-IR"/>
        </w:rPr>
        <w:t xml:space="preserve"> فَكَّرْتُ </w:t>
      </w:r>
      <w:r>
        <w:rPr>
          <w:rStyle w:val="libFootnotenumChar"/>
          <w:rtl/>
        </w:rPr>
        <w:t>(4)</w:t>
      </w:r>
      <w:r w:rsidRPr="00132E65">
        <w:rPr>
          <w:rtl/>
          <w:lang w:bidi="fa-IR"/>
        </w:rPr>
        <w:t xml:space="preserve"> فِي مَوْلُودٍ </w:t>
      </w:r>
      <w:r>
        <w:rPr>
          <w:rStyle w:val="libFootnotenumChar"/>
          <w:rtl/>
        </w:rPr>
        <w:t>(5)</w:t>
      </w:r>
      <w:r w:rsidRPr="00132E65">
        <w:rPr>
          <w:rtl/>
          <w:lang w:bidi="fa-IR"/>
        </w:rPr>
        <w:t xml:space="preserve"> يَكُونُ مِنْ ظَهْرِي </w:t>
      </w:r>
      <w:r>
        <w:rPr>
          <w:rStyle w:val="libFootnotenumChar"/>
          <w:rtl/>
        </w:rPr>
        <w:t>(6)</w:t>
      </w:r>
      <w:r w:rsidRPr="00132E65">
        <w:rPr>
          <w:rtl/>
          <w:lang w:bidi="fa-IR"/>
        </w:rPr>
        <w:t xml:space="preserve"> ، الْحَادِيَ عَشَرَ مِنْ و</w:t>
      </w:r>
      <w:r>
        <w:rPr>
          <w:rFonts w:hint="cs"/>
          <w:rtl/>
          <w:lang w:bidi="fa-IR"/>
        </w:rPr>
        <w:t>ُ</w:t>
      </w:r>
      <w:r w:rsidRPr="00132E65">
        <w:rPr>
          <w:rtl/>
          <w:lang w:bidi="fa-IR"/>
        </w:rPr>
        <w:t xml:space="preserve">لْدِي ، هُوَ الْمَهْدِيُّ </w:t>
      </w:r>
      <w:r>
        <w:rPr>
          <w:rStyle w:val="libFootnotenumChar"/>
          <w:rtl/>
        </w:rPr>
        <w:t>(7)</w:t>
      </w:r>
      <w:r w:rsidRPr="00132E65">
        <w:rPr>
          <w:rtl/>
          <w:lang w:bidi="fa-IR"/>
        </w:rPr>
        <w:t xml:space="preserve"> الَّذِي يَمْلَأُ الْأَرْضَ عَدْلاً وقِسْطاً </w:t>
      </w:r>
      <w:r>
        <w:rPr>
          <w:rStyle w:val="libFootnotenumChar"/>
          <w:rtl/>
        </w:rPr>
        <w:t>(8)</w:t>
      </w:r>
      <w:r w:rsidRPr="00132E65">
        <w:rPr>
          <w:rtl/>
          <w:lang w:bidi="fa-IR"/>
        </w:rPr>
        <w:t xml:space="preserve"> ، كَمَا مُلِئَتْ جَوْراً </w:t>
      </w:r>
      <w:r>
        <w:rPr>
          <w:rStyle w:val="libFootnotenumChar"/>
          <w:rtl/>
        </w:rPr>
        <w:t>(9)</w:t>
      </w:r>
      <w:r w:rsidRPr="00132E65">
        <w:rPr>
          <w:rtl/>
          <w:lang w:bidi="fa-IR"/>
        </w:rPr>
        <w:t xml:space="preserve"> وظُلْماً </w:t>
      </w:r>
      <w:r>
        <w:rPr>
          <w:rStyle w:val="libFootnotenumChar"/>
          <w:rtl/>
        </w:rPr>
        <w:t>(10)</w:t>
      </w:r>
      <w:r w:rsidRPr="00132E65">
        <w:rPr>
          <w:rtl/>
          <w:lang w:bidi="fa-IR"/>
        </w:rPr>
        <w:t xml:space="preserve"> ، يَكُونُ </w:t>
      </w:r>
      <w:r>
        <w:rPr>
          <w:rStyle w:val="libFootnotenumChar"/>
          <w:rtl/>
        </w:rPr>
        <w:t>(11)</w:t>
      </w:r>
      <w:r w:rsidRPr="00132E65">
        <w:rPr>
          <w:rtl/>
          <w:lang w:bidi="fa-IR"/>
        </w:rPr>
        <w:t xml:space="preserve"> لَهُ غَيْبَةٌ وحَيْرَةٌ ، يَضِلُّ فِيهَا أَقْوَامٌ ، وَيَهْتَدِي فِيهَا </w:t>
      </w:r>
      <w:r>
        <w:rPr>
          <w:rStyle w:val="libFootnotenumChar"/>
          <w:rtl/>
        </w:rPr>
        <w:t>(12)</w:t>
      </w:r>
      <w:r w:rsidRPr="00132E65">
        <w:rPr>
          <w:rtl/>
          <w:lang w:bidi="fa-IR"/>
        </w:rPr>
        <w:t xml:space="preserve"> </w:t>
      </w:r>
      <w:r w:rsidR="0033724D">
        <w:rPr>
          <w:rtl/>
          <w:lang w:bidi="fa-IR"/>
        </w:rPr>
        <w:t>آخَرُونَ</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فَقُلْتُ : يَا أَمِيرَ الْمُؤْمِنِينَ ، وكَمْ تَكُونُ </w:t>
      </w:r>
      <w:r w:rsidRPr="00F543F1">
        <w:rPr>
          <w:rStyle w:val="libFootnotenumChar"/>
          <w:rtl/>
        </w:rPr>
        <w:t>(13)</w:t>
      </w:r>
      <w:r w:rsidRPr="00132E65">
        <w:rPr>
          <w:rtl/>
          <w:lang w:bidi="fa-IR"/>
        </w:rPr>
        <w:t xml:space="preserve"> الْحَيْرَةُ والْغَيْبَةُ </w:t>
      </w:r>
      <w:r w:rsidRPr="00F543F1">
        <w:rPr>
          <w:rStyle w:val="libFootnotenumChar"/>
          <w:rtl/>
        </w:rPr>
        <w:t>(14)</w:t>
      </w:r>
      <w:r>
        <w:rPr>
          <w:rtl/>
          <w:lang w:bidi="fa-IR"/>
        </w:rPr>
        <w:t>؟</w:t>
      </w:r>
    </w:p>
    <w:p w:rsidR="000C39D1" w:rsidRPr="00132E65" w:rsidRDefault="000C39D1" w:rsidP="000C39D1">
      <w:pPr>
        <w:pStyle w:val="libNormal"/>
        <w:rPr>
          <w:rtl/>
          <w:lang w:bidi="fa-IR"/>
        </w:rPr>
      </w:pPr>
      <w:r w:rsidRPr="00132E65">
        <w:rPr>
          <w:rtl/>
          <w:lang w:bidi="fa-IR"/>
        </w:rPr>
        <w:t xml:space="preserve">فَقَالَ </w:t>
      </w:r>
      <w:r w:rsidRPr="00F543F1">
        <w:rPr>
          <w:rStyle w:val="libFootnotenumChar"/>
          <w:rtl/>
        </w:rPr>
        <w:t>(15)</w:t>
      </w:r>
      <w:r w:rsidRPr="00132E65">
        <w:rPr>
          <w:rtl/>
          <w:lang w:bidi="fa-IR"/>
        </w:rPr>
        <w:t xml:space="preserve"> : « سِتَّةَ أَيَّامٍ أَوْ سِتَّةَ أَشْهُرٍ أَوْ سِتَّ سِنِينَ </w:t>
      </w:r>
      <w:r w:rsidRPr="00F543F1">
        <w:rPr>
          <w:rStyle w:val="libFootnotenumChar"/>
          <w:rtl/>
        </w:rPr>
        <w:t>(16)</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والاختصاص والغيبة للطوسي ، ص 164 : « قال »</w:t>
      </w:r>
      <w:r>
        <w:rPr>
          <w:rtl/>
        </w:rPr>
        <w:t>.</w:t>
      </w:r>
    </w:p>
    <w:p w:rsidR="000C39D1" w:rsidRPr="00132E65" w:rsidRDefault="000C39D1" w:rsidP="000C39D1">
      <w:pPr>
        <w:pStyle w:val="libFootnote0"/>
        <w:rPr>
          <w:rtl/>
          <w:lang w:bidi="fa-IR"/>
        </w:rPr>
      </w:pPr>
      <w:r>
        <w:rPr>
          <w:rtl/>
        </w:rPr>
        <w:t>(2).</w:t>
      </w:r>
      <w:r w:rsidRPr="00132E65">
        <w:rPr>
          <w:rtl/>
        </w:rPr>
        <w:t xml:space="preserve"> في الغيبة للنعماني : « ساعة »</w:t>
      </w:r>
      <w:r>
        <w:rPr>
          <w:rtl/>
        </w:rPr>
        <w:t>.</w:t>
      </w:r>
    </w:p>
    <w:p w:rsidR="000C39D1" w:rsidRPr="00132E65" w:rsidRDefault="000C39D1" w:rsidP="000C39D1">
      <w:pPr>
        <w:pStyle w:val="libFootnote0"/>
        <w:rPr>
          <w:rtl/>
          <w:lang w:bidi="fa-IR"/>
        </w:rPr>
      </w:pPr>
      <w:r>
        <w:rPr>
          <w:rtl/>
        </w:rPr>
        <w:t>(3).</w:t>
      </w:r>
      <w:r w:rsidRPr="00132E65">
        <w:rPr>
          <w:rtl/>
        </w:rPr>
        <w:t xml:space="preserve"> في « ج » وكمال الدين والغيبة للنعاني والطوسي ، ص 336 : « ولكن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الغيبة للنعماني : « فكري »</w:t>
            </w:r>
            <w:r>
              <w:rPr>
                <w:rtl/>
              </w:rPr>
              <w:t>.</w:t>
            </w:r>
          </w:p>
        </w:tc>
        <w:tc>
          <w:tcPr>
            <w:tcW w:w="4006" w:type="dxa"/>
          </w:tcPr>
          <w:p w:rsidR="000C39D1" w:rsidRDefault="000C39D1" w:rsidP="00B53873">
            <w:pPr>
              <w:pStyle w:val="libFootnote0"/>
              <w:rPr>
                <w:rtl/>
              </w:rPr>
            </w:pPr>
            <w:r>
              <w:rPr>
                <w:rtl/>
              </w:rPr>
              <w:t>(5).</w:t>
            </w:r>
            <w:r w:rsidRPr="00132E65">
              <w:rPr>
                <w:rtl/>
              </w:rPr>
              <w:t xml:space="preserve"> في « ف » وكفاية الأثر : « مولد »</w:t>
            </w:r>
            <w:r>
              <w:rPr>
                <w:rtl/>
              </w:rPr>
              <w:t>.</w:t>
            </w:r>
          </w:p>
        </w:tc>
      </w:tr>
    </w:tbl>
    <w:p w:rsidR="000C39D1" w:rsidRPr="00132E65" w:rsidRDefault="000C39D1" w:rsidP="000C39D1">
      <w:pPr>
        <w:pStyle w:val="libFootnote0"/>
        <w:rPr>
          <w:rtl/>
          <w:lang w:bidi="fa-IR"/>
        </w:rPr>
      </w:pPr>
      <w:r>
        <w:rPr>
          <w:rtl/>
        </w:rPr>
        <w:t>(6).</w:t>
      </w:r>
      <w:r w:rsidRPr="00132E65">
        <w:rPr>
          <w:rtl/>
        </w:rPr>
        <w:t xml:space="preserve"> هكذا في « بع ، جد » وحاشية « بج ، جو » والمطبوع و</w:t>
      </w:r>
      <w:r w:rsidRPr="009D1ACE">
        <w:rPr>
          <w:rStyle w:val="libFootnoteBoldChar"/>
          <w:rtl/>
        </w:rPr>
        <w:t>الوافي</w:t>
      </w:r>
      <w:r w:rsidRPr="00132E65">
        <w:rPr>
          <w:rtl/>
        </w:rPr>
        <w:t xml:space="preserve"> وكمال الدين والغيبة للنعماني وكفاية الأثر. وفي سائر النسخ و</w:t>
      </w:r>
      <w:r w:rsidRPr="009D1ACE">
        <w:rPr>
          <w:rStyle w:val="libFootnoteBoldChar"/>
          <w:rtl/>
        </w:rPr>
        <w:t>مرآة العقول</w:t>
      </w:r>
      <w:r w:rsidRPr="00132E65">
        <w:rPr>
          <w:rtl/>
        </w:rPr>
        <w:t xml:space="preserve"> والاختصاص والغيبة للطوسي ، ص 164 </w:t>
      </w:r>
      <w:r>
        <w:rPr>
          <w:rtl/>
        </w:rPr>
        <w:t>و 3</w:t>
      </w:r>
      <w:r w:rsidRPr="00132E65">
        <w:rPr>
          <w:rtl/>
        </w:rPr>
        <w:t>36 : « من ظهر »</w:t>
      </w:r>
      <w:r>
        <w:rPr>
          <w:rtl/>
        </w:rPr>
        <w:t>.</w:t>
      </w:r>
      <w:r w:rsidRPr="00132E65">
        <w:rPr>
          <w:rtl/>
        </w:rPr>
        <w:t xml:space="preserve"> وفي « ب » : « من ولد »</w:t>
      </w:r>
      <w:r>
        <w:rPr>
          <w:rtl/>
        </w:rPr>
        <w:t>.</w:t>
      </w:r>
      <w:r w:rsidRPr="00132E65">
        <w:rPr>
          <w:rtl/>
        </w:rPr>
        <w:t xml:space="preserve"> وفي حاشية «</w:t>
      </w:r>
      <w:r>
        <w:rPr>
          <w:rtl/>
        </w:rPr>
        <w:t xml:space="preserve"> و »</w:t>
      </w:r>
      <w:r w:rsidRPr="00132E65">
        <w:rPr>
          <w:rtl/>
        </w:rPr>
        <w:t xml:space="preserve"> : « الظاهر أنّ لفظة « من ولدي » غلط من الرواة وهو </w:t>
      </w:r>
      <w:r w:rsidRPr="0033724D">
        <w:rPr>
          <w:rStyle w:val="libFootnoteAlaemChar"/>
          <w:rtl/>
        </w:rPr>
        <w:t>عليه‌السلام</w:t>
      </w:r>
      <w:r w:rsidRPr="00132E65">
        <w:rPr>
          <w:rtl/>
        </w:rPr>
        <w:t xml:space="preserve"> من ظهر الإمام الحادي عشر »</w:t>
      </w:r>
      <w:r>
        <w:rPr>
          <w:rtl/>
        </w:rPr>
        <w:t>.</w:t>
      </w:r>
      <w:r w:rsidRPr="00132E65">
        <w:rPr>
          <w:rtl/>
        </w:rPr>
        <w:t xml:space="preserve"> وفي </w:t>
      </w:r>
      <w:r w:rsidRPr="009D1ACE">
        <w:rPr>
          <w:rStyle w:val="libFootnoteBoldChar"/>
          <w:rtl/>
        </w:rPr>
        <w:t>مرآة العقول</w:t>
      </w:r>
      <w:r w:rsidRPr="00132E65">
        <w:rPr>
          <w:rtl/>
        </w:rPr>
        <w:t xml:space="preserve"> : « من ظهر الحادي عشر ؛ كذا في أكثر النسخ ، فالمعنى من ظهر الإمام الحادي عشر. </w:t>
      </w:r>
      <w:r>
        <w:rPr>
          <w:rtl/>
        </w:rPr>
        <w:t>و «</w:t>
      </w:r>
      <w:r w:rsidRPr="00132E65">
        <w:rPr>
          <w:rtl/>
        </w:rPr>
        <w:t xml:space="preserve"> من ولدي » نعت « مولود » وربما يقرأ « ظهرٍ » بالتنوين ، أي وراء ، والمراد أنّه يولد بعد هذا الدهر ، </w:t>
      </w:r>
      <w:r>
        <w:rPr>
          <w:rtl/>
        </w:rPr>
        <w:t>و «</w:t>
      </w:r>
      <w:r w:rsidRPr="00132E65">
        <w:rPr>
          <w:rtl/>
        </w:rPr>
        <w:t xml:space="preserve"> الحادي عشر » مبتدأ ، خبره « المهديّ »</w:t>
      </w:r>
      <w:r>
        <w:rPr>
          <w:rtl/>
        </w:rPr>
        <w:t>.</w:t>
      </w:r>
      <w:r w:rsidRPr="00132E65">
        <w:rPr>
          <w:rtl/>
        </w:rPr>
        <w:t xml:space="preserve"> وفي إكمال الدين وبعض نسخ الكتاب « ظهري » ؛ فلايحتاج إلى تكلّف »</w:t>
      </w:r>
      <w:r>
        <w:rPr>
          <w:rtl/>
        </w:rPr>
        <w:t>.</w:t>
      </w:r>
    </w:p>
    <w:p w:rsidR="000C39D1" w:rsidRPr="00132E65" w:rsidRDefault="000C39D1" w:rsidP="000C39D1">
      <w:pPr>
        <w:pStyle w:val="libFootnote0"/>
        <w:rPr>
          <w:rtl/>
          <w:lang w:bidi="fa-IR"/>
        </w:rPr>
      </w:pPr>
      <w:r>
        <w:rPr>
          <w:rtl/>
        </w:rPr>
        <w:t>(7).</w:t>
      </w:r>
      <w:r w:rsidRPr="00132E65">
        <w:rPr>
          <w:rtl/>
        </w:rPr>
        <w:t xml:space="preserve"> في الغيبة للنعماني : « يكون من ظهري هو المهديّ »</w:t>
      </w:r>
      <w:r>
        <w:rPr>
          <w:rtl/>
        </w:rPr>
        <w:t>.</w:t>
      </w:r>
    </w:p>
    <w:p w:rsidR="000C39D1" w:rsidRPr="00132E65" w:rsidRDefault="000C39D1" w:rsidP="000C39D1">
      <w:pPr>
        <w:pStyle w:val="libFootnote0"/>
        <w:rPr>
          <w:rtl/>
          <w:lang w:bidi="fa-IR"/>
        </w:rPr>
      </w:pPr>
      <w:r>
        <w:rPr>
          <w:rtl/>
        </w:rPr>
        <w:t>(8).</w:t>
      </w:r>
      <w:r w:rsidRPr="00132E65">
        <w:rPr>
          <w:rtl/>
        </w:rPr>
        <w:t xml:space="preserve"> في شرح المازندراني و</w:t>
      </w:r>
      <w:r w:rsidRPr="009D1ACE">
        <w:rPr>
          <w:rStyle w:val="libFootnoteBoldChar"/>
          <w:rtl/>
        </w:rPr>
        <w:t>الوافي</w:t>
      </w:r>
      <w:r w:rsidRPr="00132E65">
        <w:rPr>
          <w:rtl/>
        </w:rPr>
        <w:t xml:space="preserve"> والغيبة للنعماني والطوسي ، ص 336 : « قسطاً وعدلاً »</w:t>
      </w:r>
      <w:r>
        <w:rPr>
          <w:rtl/>
        </w:rPr>
        <w:t>.</w:t>
      </w:r>
      <w:r w:rsidRPr="00132E65">
        <w:rPr>
          <w:rtl/>
        </w:rPr>
        <w:t xml:space="preserve"> </w:t>
      </w:r>
      <w:r>
        <w:rPr>
          <w:rtl/>
        </w:rPr>
        <w:t>و «</w:t>
      </w:r>
      <w:r w:rsidRPr="00132E65">
        <w:rPr>
          <w:rtl/>
        </w:rPr>
        <w:t xml:space="preserve"> القسط » : العدل</w:t>
      </w:r>
      <w:r>
        <w:rPr>
          <w:rFonts w:hint="cs"/>
          <w:rtl/>
        </w:rPr>
        <w:t xml:space="preserve"> </w:t>
      </w:r>
      <w:r w:rsidRPr="00132E65">
        <w:rPr>
          <w:rtl/>
        </w:rPr>
        <w:t>‌والتسوية. وقال المجلسي : « القسط : الإنصاف ، وهو ضدّ الجور »</w:t>
      </w:r>
      <w:r>
        <w:rPr>
          <w:rtl/>
        </w:rPr>
        <w:t>.</w:t>
      </w:r>
      <w:r w:rsidRPr="00132E65">
        <w:rPr>
          <w:rtl/>
        </w:rPr>
        <w:t xml:space="preserve"> راجع : </w:t>
      </w:r>
      <w:r w:rsidRPr="00BA3319">
        <w:rPr>
          <w:rtl/>
        </w:rPr>
        <w:t>المغرب</w:t>
      </w:r>
      <w:r w:rsidRPr="00132E65">
        <w:rPr>
          <w:rtl/>
        </w:rPr>
        <w:t xml:space="preserve"> ، ص 382 ( قسط )</w:t>
      </w:r>
      <w:r>
        <w:rPr>
          <w:rtl/>
        </w:rPr>
        <w:t>.</w:t>
      </w:r>
    </w:p>
    <w:p w:rsidR="000C39D1" w:rsidRPr="00132E65" w:rsidRDefault="000C39D1" w:rsidP="000C39D1">
      <w:pPr>
        <w:pStyle w:val="libFootnote0"/>
        <w:rPr>
          <w:rtl/>
          <w:lang w:bidi="fa-IR"/>
        </w:rPr>
      </w:pPr>
      <w:r>
        <w:rPr>
          <w:rtl/>
        </w:rPr>
        <w:t>(9).</w:t>
      </w:r>
      <w:r w:rsidRPr="00132E65">
        <w:rPr>
          <w:rtl/>
        </w:rPr>
        <w:t xml:space="preserve"> « الجَور » : الميل عن الطريق والضَلال عنه. يقال : جار عن الطريق يجور ، أي مال عنه وضلّ. وقد يكون بمعنى الظلم. راجع : </w:t>
      </w:r>
      <w:r w:rsidRPr="00BA3319">
        <w:rPr>
          <w:rtl/>
        </w:rPr>
        <w:t>النهاية</w:t>
      </w:r>
      <w:r w:rsidRPr="00132E65">
        <w:rPr>
          <w:rtl/>
        </w:rPr>
        <w:t xml:space="preserve"> ، ج 1 ، ص 313 ( جور )</w:t>
      </w:r>
      <w:r>
        <w:rPr>
          <w:rtl/>
        </w:rPr>
        <w:t>.</w:t>
      </w:r>
    </w:p>
    <w:p w:rsidR="000C39D1" w:rsidRPr="00132E65" w:rsidRDefault="000C39D1" w:rsidP="000C39D1">
      <w:pPr>
        <w:pStyle w:val="libFootnote0"/>
        <w:rPr>
          <w:rtl/>
          <w:lang w:bidi="fa-IR"/>
        </w:rPr>
      </w:pPr>
      <w:r>
        <w:rPr>
          <w:rtl/>
        </w:rPr>
        <w:t>(10).</w:t>
      </w:r>
      <w:r w:rsidRPr="00132E65">
        <w:rPr>
          <w:rtl/>
        </w:rPr>
        <w:t xml:space="preserve"> في « ض ، ف ، بر » والغيبة للنعماني والطوسي ، ص 336 : « ظلماً وجوراً »</w:t>
      </w:r>
      <w:r>
        <w:rPr>
          <w:rtl/>
        </w:rPr>
        <w:t>.</w:t>
      </w:r>
    </w:p>
    <w:p w:rsidR="000C39D1" w:rsidRPr="00132E65" w:rsidRDefault="000C39D1" w:rsidP="000C39D1">
      <w:pPr>
        <w:pStyle w:val="libFootnote0"/>
        <w:rPr>
          <w:rtl/>
          <w:lang w:bidi="fa-IR"/>
        </w:rPr>
      </w:pPr>
      <w:r>
        <w:rPr>
          <w:rtl/>
        </w:rPr>
        <w:t>(11).</w:t>
      </w:r>
      <w:r w:rsidRPr="00132E65">
        <w:rPr>
          <w:rtl/>
        </w:rPr>
        <w:t xml:space="preserve"> هكذا في أكثر النسخ. وفي المطبوع : « تكون »</w:t>
      </w:r>
      <w:r>
        <w:rPr>
          <w:rtl/>
        </w:rPr>
        <w:t>.</w:t>
      </w:r>
      <w:r w:rsidRPr="00132E65">
        <w:rPr>
          <w:rtl/>
        </w:rPr>
        <w:t xml:space="preserve"> وفي </w:t>
      </w:r>
      <w:r w:rsidRPr="009D1ACE">
        <w:rPr>
          <w:rStyle w:val="libFootnoteBoldChar"/>
          <w:rtl/>
        </w:rPr>
        <w:t>الوافي</w:t>
      </w:r>
      <w:r w:rsidRPr="00132E65">
        <w:rPr>
          <w:rtl/>
        </w:rPr>
        <w:t xml:space="preserve"> : « وتكون »</w:t>
      </w:r>
      <w:r>
        <w:rPr>
          <w:rtl/>
        </w:rPr>
        <w:t>.</w:t>
      </w:r>
    </w:p>
    <w:p w:rsidR="000C39D1" w:rsidRPr="00132E65" w:rsidRDefault="000C39D1" w:rsidP="000C39D1">
      <w:pPr>
        <w:pStyle w:val="libFootnote0"/>
        <w:rPr>
          <w:rtl/>
          <w:lang w:bidi="fa-IR"/>
        </w:rPr>
      </w:pPr>
      <w:r>
        <w:rPr>
          <w:rtl/>
        </w:rPr>
        <w:t>(12).</w:t>
      </w:r>
      <w:r w:rsidRPr="00132E65">
        <w:rPr>
          <w:rtl/>
        </w:rPr>
        <w:t xml:space="preserve"> في « ف » :</w:t>
      </w:r>
      <w:r>
        <w:rPr>
          <w:rtl/>
        </w:rPr>
        <w:t xml:space="preserve"> + </w:t>
      </w:r>
      <w:r w:rsidRPr="00132E65">
        <w:rPr>
          <w:rtl/>
        </w:rPr>
        <w:t>« أقوام »</w:t>
      </w:r>
      <w:r>
        <w:rPr>
          <w:rtl/>
        </w:rPr>
        <w:t>.</w:t>
      </w:r>
      <w:r w:rsidRPr="00132E65">
        <w:rPr>
          <w:rtl/>
        </w:rPr>
        <w:t xml:space="preserve"> وفي شرح المازندراني </w:t>
      </w:r>
      <w:r>
        <w:rPr>
          <w:rtl/>
        </w:rPr>
        <w:t xml:space="preserve">: - </w:t>
      </w:r>
      <w:r w:rsidRPr="00132E65">
        <w:rPr>
          <w:rtl/>
        </w:rPr>
        <w:t>« فيها »</w:t>
      </w:r>
      <w:r>
        <w:rPr>
          <w:rtl/>
        </w:rPr>
        <w:t>.</w:t>
      </w:r>
    </w:p>
    <w:tbl>
      <w:tblPr>
        <w:tblStyle w:val="TableGrid"/>
        <w:bidiVisual/>
        <w:tblW w:w="0" w:type="auto"/>
        <w:tblLook w:val="04A0" w:firstRow="1" w:lastRow="0" w:firstColumn="1" w:lastColumn="0" w:noHBand="0" w:noVBand="1"/>
      </w:tblPr>
      <w:tblGrid>
        <w:gridCol w:w="2954"/>
        <w:gridCol w:w="5058"/>
      </w:tblGrid>
      <w:tr w:rsidR="000C39D1" w:rsidTr="00B53873">
        <w:tc>
          <w:tcPr>
            <w:tcW w:w="2954" w:type="dxa"/>
          </w:tcPr>
          <w:p w:rsidR="000C39D1" w:rsidRDefault="000C39D1" w:rsidP="00B53873">
            <w:pPr>
              <w:pStyle w:val="libFootnote0"/>
              <w:rPr>
                <w:rtl/>
              </w:rPr>
            </w:pPr>
            <w:r>
              <w:rPr>
                <w:rtl/>
              </w:rPr>
              <w:t>(13) في «ه‍ ، بس» : «يكون</w:t>
            </w:r>
            <w:r w:rsidRPr="00132E65">
              <w:rPr>
                <w:rtl/>
              </w:rPr>
              <w:t>»</w:t>
            </w:r>
            <w:r>
              <w:rPr>
                <w:rtl/>
              </w:rPr>
              <w:t>.</w:t>
            </w:r>
          </w:p>
        </w:tc>
        <w:tc>
          <w:tcPr>
            <w:tcW w:w="5058" w:type="dxa"/>
          </w:tcPr>
          <w:p w:rsidR="000C39D1" w:rsidRDefault="000C39D1" w:rsidP="00B53873">
            <w:pPr>
              <w:pStyle w:val="libFootnote0"/>
              <w:rPr>
                <w:rtl/>
              </w:rPr>
            </w:pPr>
            <w:r>
              <w:rPr>
                <w:rtl/>
              </w:rPr>
              <w:t>(14)</w:t>
            </w:r>
            <w:r>
              <w:rPr>
                <w:rFonts w:hint="cs"/>
                <w:rtl/>
              </w:rPr>
              <w:t xml:space="preserve"> </w:t>
            </w:r>
            <w:r w:rsidRPr="00132E65">
              <w:rPr>
                <w:rtl/>
              </w:rPr>
              <w:t>في كمال الدين والغ</w:t>
            </w:r>
            <w:r>
              <w:rPr>
                <w:rtl/>
              </w:rPr>
              <w:t>يبة للنعماني الطوسي وكفايةالأثر:«حيرة</w:t>
            </w:r>
            <w:r>
              <w:rPr>
                <w:rFonts w:hint="cs"/>
                <w:rtl/>
              </w:rPr>
              <w:t xml:space="preserve"> </w:t>
            </w:r>
            <w:r>
              <w:rPr>
                <w:rtl/>
              </w:rPr>
              <w:t>وغيبة</w:t>
            </w:r>
            <w:r w:rsidRPr="00132E65">
              <w:rPr>
                <w:rtl/>
              </w:rPr>
              <w:t>»</w:t>
            </w:r>
            <w:r>
              <w:rPr>
                <w:rtl/>
              </w:rPr>
              <w:t>.</w:t>
            </w:r>
          </w:p>
        </w:tc>
      </w:tr>
    </w:tbl>
    <w:p w:rsidR="000C39D1" w:rsidRPr="00132E65" w:rsidRDefault="000C39D1" w:rsidP="000C39D1">
      <w:pPr>
        <w:pStyle w:val="libFootnote0"/>
        <w:rPr>
          <w:rtl/>
          <w:lang w:bidi="fa-IR"/>
        </w:rPr>
      </w:pPr>
      <w:r>
        <w:rPr>
          <w:rtl/>
        </w:rPr>
        <w:t>(15)</w:t>
      </w:r>
      <w:r w:rsidRPr="00132E65">
        <w:rPr>
          <w:rtl/>
        </w:rPr>
        <w:t xml:space="preserve"> هكذا في « ب ، ض ، ف ، ه‍ ، بح ، بس » والبحار. وفي المطبوع وسائر النسخ : « قال »</w:t>
      </w:r>
      <w:r>
        <w:rPr>
          <w:rtl/>
        </w:rPr>
        <w:t>.</w:t>
      </w:r>
    </w:p>
    <w:p w:rsidR="000C39D1" w:rsidRPr="00132E65" w:rsidRDefault="000C39D1" w:rsidP="000C39D1">
      <w:pPr>
        <w:pStyle w:val="libFootnote0"/>
        <w:rPr>
          <w:rtl/>
          <w:lang w:bidi="fa-IR"/>
        </w:rPr>
      </w:pPr>
      <w:r>
        <w:rPr>
          <w:rtl/>
        </w:rPr>
        <w:t>(16)</w:t>
      </w:r>
      <w:r w:rsidRPr="00132E65">
        <w:rPr>
          <w:rtl/>
        </w:rPr>
        <w:t xml:space="preserve"> في الغيبة للنعماني : « فقال : سبت من الدهر » بدل « قال : ستّة أيّام أو ستّة أشهر أو ستّ سنين »</w:t>
      </w:r>
      <w:r>
        <w:rPr>
          <w:rtl/>
        </w:rPr>
        <w:t>.</w:t>
      </w:r>
      <w:r w:rsidRPr="00132E65">
        <w:rPr>
          <w:rtl/>
        </w:rPr>
        <w:t xml:space="preserve"> وقال في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فَقُلْتُ : وإِنَّ هذَا </w:t>
      </w:r>
      <w:r>
        <w:rPr>
          <w:rStyle w:val="libFootnotenumChar"/>
          <w:rtl/>
        </w:rPr>
        <w:t>(1)</w:t>
      </w:r>
      <w:r w:rsidRPr="00132E65">
        <w:rPr>
          <w:rtl/>
          <w:lang w:bidi="fa-IR"/>
        </w:rPr>
        <w:t xml:space="preserve"> لَكَائِنٌ</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(2)</w:t>
      </w:r>
      <w:r w:rsidRPr="00132E65">
        <w:rPr>
          <w:rtl/>
          <w:lang w:bidi="fa-IR"/>
        </w:rPr>
        <w:t xml:space="preserve"> : « نَعَمْ ، كَمَا أَنَّهُ مَخْلُوقٌ </w:t>
      </w:r>
      <w:r>
        <w:rPr>
          <w:rStyle w:val="libFootnotenumChar"/>
          <w:rtl/>
        </w:rPr>
        <w:t>(3)</w:t>
      </w:r>
      <w:r w:rsidRPr="00132E65">
        <w:rPr>
          <w:rtl/>
          <w:lang w:bidi="fa-IR"/>
        </w:rPr>
        <w:t xml:space="preserve"> ، وأَنّى </w:t>
      </w:r>
      <w:r>
        <w:rPr>
          <w:rStyle w:val="libFootnotenumChar"/>
          <w:rtl/>
        </w:rPr>
        <w:t>(4)</w:t>
      </w:r>
      <w:r w:rsidRPr="00132E65">
        <w:rPr>
          <w:rtl/>
          <w:lang w:bidi="fa-IR"/>
        </w:rPr>
        <w:t xml:space="preserve"> لَكَ بِهذَا الْأَمْرِ يَا أَصْبَغُ ، أُولئِكَ خِيَارُ هذِهِ الْأُمَّةِ مَعَ خِيَارِ </w:t>
      </w:r>
      <w:r>
        <w:rPr>
          <w:rStyle w:val="libFootnotenumChar"/>
          <w:rtl/>
        </w:rPr>
        <w:t>(5)</w:t>
      </w:r>
      <w:r w:rsidRPr="00132E65">
        <w:rPr>
          <w:rtl/>
          <w:lang w:bidi="fa-IR"/>
        </w:rPr>
        <w:t xml:space="preserve"> أَبْرَارِ </w:t>
      </w:r>
      <w:r>
        <w:rPr>
          <w:rStyle w:val="libFootnotenumChar"/>
          <w:rtl/>
        </w:rPr>
        <w:t>(6)</w:t>
      </w:r>
      <w:r w:rsidRPr="00132E65">
        <w:rPr>
          <w:rtl/>
          <w:lang w:bidi="fa-IR"/>
        </w:rPr>
        <w:t xml:space="preserve"> هذِهِ </w:t>
      </w:r>
      <w:r>
        <w:rPr>
          <w:rStyle w:val="libFootnotenumChar"/>
          <w:rtl/>
        </w:rPr>
        <w:t>(7)</w:t>
      </w:r>
      <w:r w:rsidRPr="00132E65">
        <w:rPr>
          <w:rtl/>
          <w:lang w:bidi="fa-IR"/>
        </w:rPr>
        <w:t xml:space="preserve"> الْعِتْرَةِ »</w:t>
      </w:r>
      <w:r>
        <w:rPr>
          <w:rtl/>
          <w:lang w:bidi="fa-IR"/>
        </w:rPr>
        <w:t>.</w:t>
      </w:r>
    </w:p>
    <w:p w:rsidR="000C39D1" w:rsidRPr="00132E65" w:rsidRDefault="000C39D1" w:rsidP="000C39D1">
      <w:pPr>
        <w:pStyle w:val="libNormal"/>
        <w:rPr>
          <w:rtl/>
          <w:lang w:bidi="fa-IR"/>
        </w:rPr>
      </w:pPr>
      <w:r w:rsidRPr="00132E65">
        <w:rPr>
          <w:rtl/>
          <w:lang w:bidi="fa-IR"/>
        </w:rPr>
        <w:t xml:space="preserve">فَقُلْتُ : ثُمَّ مَا يَكُونُ </w:t>
      </w:r>
      <w:r>
        <w:rPr>
          <w:rStyle w:val="libFootnotenumChar"/>
          <w:rtl/>
        </w:rPr>
        <w:t>(8)</w:t>
      </w:r>
      <w:r w:rsidRPr="00132E65">
        <w:rPr>
          <w:rtl/>
          <w:lang w:bidi="fa-IR"/>
        </w:rPr>
        <w:t xml:space="preserve"> بَعْدَ ذلِكَ</w:t>
      </w:r>
      <w:r>
        <w:rPr>
          <w:rtl/>
          <w:lang w:bidi="fa-IR"/>
        </w:rPr>
        <w:t>؟</w:t>
      </w:r>
    </w:p>
    <w:p w:rsidR="000C39D1" w:rsidRPr="00132E65" w:rsidRDefault="000C39D1" w:rsidP="000C39D1">
      <w:pPr>
        <w:pStyle w:val="libNormal"/>
        <w:rPr>
          <w:rtl/>
          <w:lang w:bidi="fa-IR"/>
        </w:rPr>
      </w:pPr>
      <w:r w:rsidRPr="00132E65">
        <w:rPr>
          <w:rtl/>
          <w:lang w:bidi="fa-IR"/>
        </w:rPr>
        <w:t xml:space="preserve">فَقَالَ : « ثُمَّ </w:t>
      </w:r>
      <w:r>
        <w:rPr>
          <w:rStyle w:val="libFootnotenumChar"/>
          <w:rtl/>
        </w:rPr>
        <w:t>(9)</w:t>
      </w:r>
      <w:r w:rsidRPr="00132E65">
        <w:rPr>
          <w:rtl/>
          <w:lang w:bidi="fa-IR"/>
        </w:rPr>
        <w:t xml:space="preserve"> يَفْعَلُ اللهُ مَا يَشَاءُ ؛ فَإِنَّ لَهُ بَدَاءَاتٍ و</w:t>
      </w:r>
      <w:r>
        <w:rPr>
          <w:rFonts w:hint="cs"/>
          <w:rtl/>
          <w:lang w:bidi="fa-IR"/>
        </w:rPr>
        <w:t xml:space="preserve"> </w:t>
      </w:r>
      <w:r>
        <w:rPr>
          <w:rStyle w:val="libFootnotenumChar"/>
          <w:rtl/>
        </w:rPr>
        <w:t>(10)</w:t>
      </w:r>
      <w:r w:rsidRPr="00132E65">
        <w:rPr>
          <w:rtl/>
          <w:lang w:bidi="fa-IR"/>
        </w:rPr>
        <w:t xml:space="preserve"> إِرَادَاتٍ ، وغَايَاتٍ ونِهَايَاتٍ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BA3319">
        <w:rPr>
          <w:rtl/>
        </w:rPr>
        <w:t>898</w:t>
      </w:r>
      <w:r w:rsidRPr="004325D8">
        <w:rPr>
          <w:rStyle w:val="libBold2Char"/>
          <w:rtl/>
        </w:rPr>
        <w:t xml:space="preserve"> / 8.</w:t>
      </w:r>
      <w:r w:rsidRPr="00132E65">
        <w:rPr>
          <w:rtl/>
          <w:lang w:bidi="fa-IR"/>
        </w:rPr>
        <w:t xml:space="preserve"> عَلِيُّ بْنُ إِبْرَاهِيمَ ، عَنْ أَبِيهِ ، عَنْ حَنَانِ بْنِ سَدِيرٍ ، عَنْ مَعْرُوفِ بْنِ خَرَّبُوذَ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إِنَّمَا نَحْنُ كَنُجُومِ السَّمَاءِ ، كُلَّمَا غَابَ نَجْمٌ طَلَعَ نَجْمٌ ، حَتّى إِذَا أَشَرْتُمْ بِأَصَابِعِكُمْ ومِلْتُمْ بِأَعْنَاقِكُمْ </w:t>
      </w:r>
      <w:r>
        <w:rPr>
          <w:rStyle w:val="libFootnotenumChar"/>
          <w:rtl/>
        </w:rPr>
        <w:t>(12)</w:t>
      </w:r>
      <w:r w:rsidRPr="00132E65">
        <w:rPr>
          <w:rtl/>
          <w:lang w:bidi="fa-IR"/>
        </w:rPr>
        <w:t xml:space="preserve"> ، غَيَّبَ اللهُ عَنْكُمْ نَجْمَكُمْ ، فَاسْتَوَتْ بَنُو‌</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sidRPr="008F0A3B">
        <w:rPr>
          <w:rFonts w:hint="cs"/>
          <w:rtl/>
        </w:rPr>
        <w:t>=</w:t>
      </w:r>
      <w:r w:rsidRPr="009D1ACE">
        <w:rPr>
          <w:rStyle w:val="libFootnoteBoldChar"/>
          <w:rtl/>
        </w:rPr>
        <w:t>الوافي</w:t>
      </w:r>
      <w:r w:rsidRPr="00132E65">
        <w:rPr>
          <w:rtl/>
        </w:rPr>
        <w:t xml:space="preserve"> : « وإنّما حدَّ الحيرة والغيبة بالستّ مع أنّ الأمر زاد على الستّمائة ؛ لدخول البداء في أفعال الله سبحانه ، كما أشار </w:t>
      </w:r>
      <w:r w:rsidRPr="0033724D">
        <w:rPr>
          <w:rStyle w:val="libFootnoteAlaemChar"/>
          <w:rtl/>
        </w:rPr>
        <w:t>عليه‌السلام</w:t>
      </w:r>
      <w:r w:rsidRPr="00132E65">
        <w:rPr>
          <w:rtl/>
        </w:rPr>
        <w:t xml:space="preserve"> إليه فيما يكون بعد هذه المدّة بقوله : يفعل الله ما يشاء ، فإنّ له بداءات »</w:t>
      </w:r>
      <w:r>
        <w:rPr>
          <w:rtl/>
        </w:rPr>
        <w:t>.</w:t>
      </w:r>
    </w:p>
    <w:p w:rsidR="000C39D1" w:rsidRPr="00132E65" w:rsidRDefault="000C39D1" w:rsidP="000C39D1">
      <w:pPr>
        <w:pStyle w:val="libFootnote0"/>
        <w:rPr>
          <w:rtl/>
          <w:lang w:bidi="fa-IR"/>
        </w:rPr>
      </w:pPr>
      <w:r>
        <w:rPr>
          <w:rtl/>
        </w:rPr>
        <w:t>(1).</w:t>
      </w:r>
      <w:r w:rsidRPr="00132E65">
        <w:rPr>
          <w:rtl/>
        </w:rPr>
        <w:t xml:space="preserve"> في « ض » و</w:t>
      </w:r>
      <w:r w:rsidRPr="009D1ACE">
        <w:rPr>
          <w:rStyle w:val="libFootnoteBoldChar"/>
          <w:rtl/>
        </w:rPr>
        <w:t>الوافي</w:t>
      </w:r>
      <w:r w:rsidRPr="00132E65">
        <w:rPr>
          <w:rtl/>
        </w:rPr>
        <w:t xml:space="preserve">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في « ه‍ » والاختصاص : « قال »</w:t>
      </w:r>
      <w:r>
        <w:rPr>
          <w:rtl/>
        </w:rPr>
        <w:t>.</w:t>
      </w:r>
    </w:p>
    <w:p w:rsidR="000C39D1" w:rsidRPr="00132E65" w:rsidRDefault="000C39D1" w:rsidP="000C39D1">
      <w:pPr>
        <w:pStyle w:val="libFootnote0"/>
        <w:rPr>
          <w:rtl/>
          <w:lang w:bidi="fa-IR"/>
        </w:rPr>
      </w:pPr>
      <w:r>
        <w:rPr>
          <w:rtl/>
        </w:rPr>
        <w:t>(3).</w:t>
      </w:r>
      <w:r w:rsidRPr="00132E65">
        <w:rPr>
          <w:rtl/>
        </w:rPr>
        <w:t xml:space="preserve"> في الغيبة للنعماني :</w:t>
      </w:r>
      <w:r>
        <w:rPr>
          <w:rtl/>
        </w:rPr>
        <w:t xml:space="preserve"> + </w:t>
      </w:r>
      <w:r w:rsidRPr="00132E65">
        <w:rPr>
          <w:rtl/>
        </w:rPr>
        <w:t>« قلت : أدرك ذلك الزمان</w:t>
      </w:r>
      <w:r>
        <w:rPr>
          <w:rtl/>
        </w:rPr>
        <w:t>؟</w:t>
      </w:r>
      <w:r w:rsidRPr="00132E65">
        <w:rPr>
          <w:rtl/>
        </w:rPr>
        <w:t xml:space="preserve"> فقال : »</w:t>
      </w:r>
      <w:r>
        <w:rPr>
          <w:rtl/>
        </w:rPr>
        <w:t>.</w:t>
      </w:r>
    </w:p>
    <w:p w:rsidR="000C39D1" w:rsidRPr="00132E65" w:rsidRDefault="000C39D1" w:rsidP="000C39D1">
      <w:pPr>
        <w:pStyle w:val="libFootnote0"/>
        <w:rPr>
          <w:rtl/>
          <w:lang w:bidi="fa-IR"/>
        </w:rPr>
      </w:pPr>
      <w:r>
        <w:rPr>
          <w:rtl/>
        </w:rPr>
        <w:t>(4).</w:t>
      </w:r>
      <w:r w:rsidRPr="00132E65">
        <w:rPr>
          <w:rtl/>
        </w:rPr>
        <w:t xml:space="preserve"> في « ف » والاختصاص : « فأنّى »</w:t>
      </w:r>
      <w:r>
        <w:rPr>
          <w:rtl/>
        </w:rPr>
        <w:t>.</w:t>
      </w:r>
    </w:p>
    <w:p w:rsidR="000C39D1" w:rsidRPr="00132E65" w:rsidRDefault="000C39D1" w:rsidP="000C39D1">
      <w:pPr>
        <w:pStyle w:val="libFootnote0"/>
        <w:rPr>
          <w:rtl/>
          <w:lang w:bidi="fa-IR"/>
        </w:rPr>
      </w:pPr>
      <w:r>
        <w:rPr>
          <w:rtl/>
        </w:rPr>
        <w:t>(5).</w:t>
      </w:r>
      <w:r w:rsidRPr="00132E65">
        <w:rPr>
          <w:rtl/>
        </w:rPr>
        <w:t xml:space="preserve"> في كمال الدين والغيبة للنعماني والطوسي ، ص 164 </w:t>
      </w:r>
      <w:r>
        <w:rPr>
          <w:rtl/>
        </w:rPr>
        <w:t xml:space="preserve">: - </w:t>
      </w:r>
      <w:r w:rsidRPr="00132E65">
        <w:rPr>
          <w:rtl/>
        </w:rPr>
        <w:t>« خيار »</w:t>
      </w:r>
      <w:r>
        <w:rPr>
          <w:rtl/>
        </w:rPr>
        <w:t>.</w:t>
      </w:r>
    </w:p>
    <w:p w:rsidR="000C39D1" w:rsidRPr="00132E65" w:rsidRDefault="000C39D1" w:rsidP="000C39D1">
      <w:pPr>
        <w:pStyle w:val="libFootnote0"/>
        <w:rPr>
          <w:rtl/>
          <w:lang w:bidi="fa-IR"/>
        </w:rPr>
      </w:pPr>
      <w:r>
        <w:rPr>
          <w:rtl/>
        </w:rPr>
        <w:t>(6).</w:t>
      </w:r>
      <w:r w:rsidRPr="00132E65">
        <w:rPr>
          <w:rtl/>
        </w:rPr>
        <w:t xml:space="preserve"> « الأبرار » : جمع البَرّ ، وهو كثيراً ما يخصّ بالأولياء والزهّاد والعبّاد. راجع : </w:t>
      </w:r>
      <w:r w:rsidRPr="00BA3319">
        <w:rPr>
          <w:rtl/>
        </w:rPr>
        <w:t>النهاية</w:t>
      </w:r>
      <w:r w:rsidRPr="00132E65">
        <w:rPr>
          <w:rtl/>
        </w:rPr>
        <w:t xml:space="preserve"> ، ج 1 ، ص 116 ( برر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ف » :</w:t>
            </w:r>
            <w:r>
              <w:rPr>
                <w:rtl/>
              </w:rPr>
              <w:t xml:space="preserve"> + </w:t>
            </w:r>
            <w:r w:rsidRPr="00132E65">
              <w:rPr>
                <w:rtl/>
              </w:rPr>
              <w:t>« الامّة</w:t>
            </w:r>
            <w:r>
              <w:rPr>
                <w:rtl/>
              </w:rPr>
              <w:t xml:space="preserve"> و ».</w:t>
            </w:r>
          </w:p>
        </w:tc>
        <w:tc>
          <w:tcPr>
            <w:tcW w:w="4006" w:type="dxa"/>
          </w:tcPr>
          <w:p w:rsidR="000C39D1" w:rsidRDefault="000C39D1" w:rsidP="00B53873">
            <w:pPr>
              <w:pStyle w:val="libFootnote0"/>
              <w:rPr>
                <w:rtl/>
              </w:rPr>
            </w:pPr>
            <w:r>
              <w:rPr>
                <w:rtl/>
              </w:rPr>
              <w:t>(8).</w:t>
            </w:r>
            <w:r w:rsidRPr="00132E65">
              <w:rPr>
                <w:rtl/>
              </w:rPr>
              <w:t xml:space="preserve"> في الغيبة للنعماني : « ماذا يكون »</w:t>
            </w:r>
            <w:r>
              <w:rPr>
                <w:rtl/>
              </w:rPr>
              <w:t>.</w:t>
            </w:r>
          </w:p>
        </w:tc>
      </w:tr>
    </w:tbl>
    <w:p w:rsidR="000C39D1" w:rsidRPr="00132E65" w:rsidRDefault="000C39D1" w:rsidP="000C39D1">
      <w:pPr>
        <w:pStyle w:val="libFootnote0"/>
        <w:rPr>
          <w:rtl/>
          <w:lang w:bidi="fa-IR"/>
        </w:rPr>
      </w:pPr>
      <w:r>
        <w:rPr>
          <w:rtl/>
        </w:rPr>
        <w:t>(9).</w:t>
      </w:r>
      <w:r w:rsidRPr="00132E65">
        <w:rPr>
          <w:rtl/>
        </w:rPr>
        <w:t xml:space="preserve"> في الغيبة للنعماني </w:t>
      </w:r>
      <w:r>
        <w:rPr>
          <w:rtl/>
        </w:rPr>
        <w:t xml:space="preserve">: - </w:t>
      </w:r>
      <w:r w:rsidRPr="00132E65">
        <w:rPr>
          <w:rtl/>
        </w:rPr>
        <w:t>« ثمّ »</w:t>
      </w:r>
      <w:r>
        <w:rPr>
          <w:rtl/>
        </w:rPr>
        <w:t>.</w:t>
      </w:r>
    </w:p>
    <w:p w:rsidR="000C39D1" w:rsidRPr="00132E65" w:rsidRDefault="000C39D1" w:rsidP="000C39D1">
      <w:pPr>
        <w:pStyle w:val="libFootnote0"/>
        <w:rPr>
          <w:rtl/>
          <w:lang w:bidi="fa-IR"/>
        </w:rPr>
      </w:pPr>
      <w:r>
        <w:rPr>
          <w:rtl/>
        </w:rPr>
        <w:t>(10).</w:t>
      </w:r>
      <w:r w:rsidRPr="00132E65">
        <w:rPr>
          <w:rtl/>
        </w:rPr>
        <w:t xml:space="preserve"> في كمال الدين والغيبة للنعماني </w:t>
      </w:r>
      <w:r>
        <w:rPr>
          <w:rtl/>
        </w:rPr>
        <w:t xml:space="preserve">: - </w:t>
      </w:r>
      <w:r w:rsidRPr="00132E65">
        <w:rPr>
          <w:rtl/>
        </w:rPr>
        <w:t>« بَداءات</w:t>
      </w:r>
      <w:r>
        <w:rPr>
          <w:rtl/>
        </w:rPr>
        <w:t xml:space="preserve"> و ».</w:t>
      </w:r>
      <w:r w:rsidRPr="00132E65">
        <w:rPr>
          <w:rtl/>
        </w:rPr>
        <w:t xml:space="preserve"> </w:t>
      </w:r>
      <w:r>
        <w:rPr>
          <w:rtl/>
        </w:rPr>
        <w:t>و «</w:t>
      </w:r>
      <w:r w:rsidRPr="00132E65">
        <w:rPr>
          <w:rtl/>
        </w:rPr>
        <w:t xml:space="preserve"> بداءات » : جمع البداء ، وهو ظهور شي‌ء بعد الخفاء. وقد مرّ تحقيقه أوّل باب البداء.</w:t>
      </w:r>
    </w:p>
    <w:p w:rsidR="000C39D1" w:rsidRPr="00132E65" w:rsidRDefault="000C39D1" w:rsidP="000C39D1">
      <w:pPr>
        <w:pStyle w:val="libFootnote0"/>
        <w:rPr>
          <w:rtl/>
          <w:lang w:bidi="fa-IR"/>
        </w:rPr>
      </w:pPr>
      <w:r>
        <w:rPr>
          <w:rtl/>
        </w:rPr>
        <w:t>(11).</w:t>
      </w:r>
      <w:r w:rsidRPr="00132E65">
        <w:rPr>
          <w:rtl/>
        </w:rPr>
        <w:t xml:space="preserve"> </w:t>
      </w:r>
      <w:r w:rsidRPr="00BA3319">
        <w:rPr>
          <w:rtl/>
        </w:rPr>
        <w:t>الغيبة</w:t>
      </w:r>
      <w:r w:rsidRPr="00132E65">
        <w:rPr>
          <w:rtl/>
        </w:rPr>
        <w:t xml:space="preserve"> للنعماني ، ص 60 ، ح 4 ، عن الكليني. وفي </w:t>
      </w:r>
      <w:r w:rsidRPr="008F0A3B">
        <w:rPr>
          <w:rStyle w:val="libFootnoteBoldChar"/>
          <w:rtl/>
        </w:rPr>
        <w:t>كمال الدين</w:t>
      </w:r>
      <w:r w:rsidRPr="00132E65">
        <w:rPr>
          <w:rtl/>
        </w:rPr>
        <w:t xml:space="preserve"> ، ص 288 ، ح 1 ؛ </w:t>
      </w:r>
      <w:r w:rsidRPr="008F0A3B">
        <w:rPr>
          <w:rStyle w:val="libFootnoteBoldChar"/>
          <w:rtl/>
        </w:rPr>
        <w:t>والاختصاص</w:t>
      </w:r>
      <w:r w:rsidRPr="00132E65">
        <w:rPr>
          <w:rtl/>
        </w:rPr>
        <w:t xml:space="preserve"> ، ص 209 ؛ و</w:t>
      </w:r>
      <w:r w:rsidRPr="00BA3319">
        <w:rPr>
          <w:rtl/>
        </w:rPr>
        <w:t>الغيبة</w:t>
      </w:r>
      <w:r w:rsidRPr="00132E65">
        <w:rPr>
          <w:rtl/>
        </w:rPr>
        <w:t xml:space="preserve"> للطوسي ، ص 164 ، ح 127 ، بسندها عن المنذر بن محمّد ، وأيضاً بسند الآخر عن ثعلبة بن ميمون ؛ </w:t>
      </w:r>
      <w:r w:rsidRPr="008F0A3B">
        <w:rPr>
          <w:rStyle w:val="libFootnoteBoldChar"/>
          <w:rtl/>
        </w:rPr>
        <w:t>الغيبة للطوسي</w:t>
      </w:r>
      <w:r w:rsidRPr="00132E65">
        <w:rPr>
          <w:rtl/>
        </w:rPr>
        <w:t xml:space="preserve"> ، ص 336 ، ح 282 ، بسنده عن ثعلبة بن ميمون ، إلى قوله : « ويهتدي فيها آخرون » ؛ </w:t>
      </w:r>
      <w:r w:rsidRPr="008F0A3B">
        <w:rPr>
          <w:rStyle w:val="libFootnoteBoldChar"/>
          <w:rtl/>
        </w:rPr>
        <w:t>كفاية الأثر</w:t>
      </w:r>
      <w:r w:rsidRPr="00132E65">
        <w:rPr>
          <w:rtl/>
        </w:rPr>
        <w:t xml:space="preserve"> ، ص 219 ، بسنده عن أبي داود سليمان بن سفيان المسترقّ </w:t>
      </w:r>
      <w:r>
        <w:rPr>
          <w:rFonts w:hint="cs"/>
          <w:rtl/>
        </w:rPr>
        <w:t>.</w:t>
      </w:r>
      <w:r w:rsidRPr="009D1ACE">
        <w:rPr>
          <w:rStyle w:val="libFootnoteBoldChar"/>
          <w:rtl/>
        </w:rPr>
        <w:t>الوافي</w:t>
      </w:r>
      <w:r w:rsidRPr="00132E65">
        <w:rPr>
          <w:rtl/>
        </w:rPr>
        <w:t xml:space="preserve"> ، ج 2 ، ص 407 ، ح 911 ؛ </w:t>
      </w:r>
      <w:r w:rsidRPr="008F0A3B">
        <w:rPr>
          <w:rStyle w:val="libFootnoteBoldChar"/>
          <w:rtl/>
        </w:rPr>
        <w:t>البحار</w:t>
      </w:r>
      <w:r w:rsidRPr="00132E65">
        <w:rPr>
          <w:rtl/>
        </w:rPr>
        <w:t xml:space="preserve"> ، ج 51 ، ص 135 ، وفيه من قوله : « فقلت : يا أمير المؤمنين وكم تكون الحيرة »</w:t>
      </w:r>
      <w:r>
        <w:rPr>
          <w:rtl/>
        </w:rPr>
        <w:t>.</w:t>
      </w:r>
    </w:p>
    <w:p w:rsidR="000C39D1" w:rsidRPr="00132E65" w:rsidRDefault="000C39D1" w:rsidP="000C39D1">
      <w:pPr>
        <w:pStyle w:val="libFootnote0"/>
        <w:rPr>
          <w:rtl/>
          <w:lang w:bidi="fa-IR"/>
        </w:rPr>
      </w:pPr>
      <w:r>
        <w:rPr>
          <w:rtl/>
        </w:rPr>
        <w:t>(12).</w:t>
      </w:r>
      <w:r w:rsidRPr="00132E65">
        <w:rPr>
          <w:rtl/>
        </w:rPr>
        <w:t xml:space="preserve"> في « ف ، ه‍ » والغيبة للنعماني ، ص 156 : « بحواجبكم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عَبْدِ الْمُطَّلِبِ ، فَلَمْ يُعْرَفْ أَيٌّ مِنْ أَيٍّ ، فَإِذَا طَلَعَ نَجْمُكُمْ فَاحْمَدُوا رَبَّكُمْ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BA3319">
        <w:rPr>
          <w:rtl/>
        </w:rPr>
        <w:t>899</w:t>
      </w:r>
      <w:r w:rsidRPr="004325D8">
        <w:rPr>
          <w:rStyle w:val="libBold2Char"/>
          <w:rtl/>
        </w:rPr>
        <w:t xml:space="preserve"> / 9.</w:t>
      </w:r>
      <w:r w:rsidRPr="00132E65">
        <w:rPr>
          <w:rtl/>
          <w:lang w:bidi="fa-IR"/>
        </w:rPr>
        <w:t xml:space="preserve"> مُحَمَّدُ بْنُ يَحْيى ، عَنْ جَعْفَرِ بْنِ مُحَمَّدٍ ، عَنِ الْحَسَنِ بْنِ مُعَاوِيَةَ ، عَنْ عَبْدِ اللهِ بْنِ جَبَلَةَ ، عَنْ عَبْدِ اللهِ بْنِ بُكَيْرٍ ، عَنْ زُرَارَةَ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لِلْقَائِمِ </w:t>
      </w:r>
      <w:r w:rsidRPr="00071CF9">
        <w:rPr>
          <w:rStyle w:val="libAlaemChar"/>
          <w:rtl/>
        </w:rPr>
        <w:t>عليه‌السلام</w:t>
      </w:r>
      <w:r w:rsidRPr="00132E65">
        <w:rPr>
          <w:rtl/>
          <w:lang w:bidi="fa-IR"/>
        </w:rPr>
        <w:t xml:space="preserve"> غَيْبَةً قَبْلَ أَنْ يَقُومَ »</w:t>
      </w:r>
      <w:r>
        <w:rPr>
          <w:rtl/>
          <w:lang w:bidi="fa-IR"/>
        </w:rPr>
        <w:t>.</w:t>
      </w:r>
      <w:r w:rsidRPr="00132E65">
        <w:rPr>
          <w:rtl/>
          <w:lang w:bidi="fa-IR"/>
        </w:rPr>
        <w:t xml:space="preserve"> قُلْتُ </w:t>
      </w:r>
      <w:r>
        <w:rPr>
          <w:rStyle w:val="libFootnotenumChar"/>
          <w:rtl/>
        </w:rPr>
        <w:t>(2)</w:t>
      </w:r>
      <w:r w:rsidRPr="00132E65">
        <w:rPr>
          <w:rtl/>
          <w:lang w:bidi="fa-IR"/>
        </w:rPr>
        <w:t xml:space="preserve"> : ولِمَ</w:t>
      </w:r>
      <w:r>
        <w:rPr>
          <w:rtl/>
          <w:lang w:bidi="fa-IR"/>
        </w:rPr>
        <w:t>؟ قَالَ</w:t>
      </w:r>
      <w:r w:rsidRPr="00132E65">
        <w:rPr>
          <w:rtl/>
          <w:lang w:bidi="fa-IR"/>
        </w:rPr>
        <w:t>:</w:t>
      </w:r>
      <w:r>
        <w:rPr>
          <w:rFonts w:hint="cs"/>
          <w:rtl/>
          <w:lang w:bidi="fa-IR"/>
        </w:rPr>
        <w:t xml:space="preserve"> </w:t>
      </w:r>
      <w:r w:rsidRPr="00132E65">
        <w:rPr>
          <w:rtl/>
          <w:lang w:bidi="fa-IR"/>
        </w:rPr>
        <w:t xml:space="preserve">« إِنَّهُ يَخَافُ » وأَوْمَأَ بِيَدِهِ إِلى بَطْنِهِ ، يَعْنِي الْقَتْلَ.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BA3319">
        <w:rPr>
          <w:rtl/>
        </w:rPr>
        <w:t>900</w:t>
      </w:r>
      <w:r w:rsidRPr="004325D8">
        <w:rPr>
          <w:rStyle w:val="libBold2Char"/>
          <w:rtl/>
        </w:rPr>
        <w:t xml:space="preserve"> / 10.</w:t>
      </w:r>
      <w:r w:rsidRPr="00132E65">
        <w:rPr>
          <w:rtl/>
          <w:lang w:bidi="fa-IR"/>
        </w:rPr>
        <w:t xml:space="preserve"> عَلِيُّ بْنُ إِبْرَاهِيمَ ، عَنْ أَبِيهِ ، عَنِ ابْنِ أَبِي عُمَيْرٍ ، عَنْ أَبِي أَيُّوبَ الْخَرَّازِ </w:t>
      </w:r>
      <w:r>
        <w:rPr>
          <w:rStyle w:val="libFootnotenumChar"/>
          <w:rtl/>
        </w:rPr>
        <w:t>(4)</w:t>
      </w:r>
      <w:r w:rsidRPr="00132E65">
        <w:rPr>
          <w:rtl/>
          <w:lang w:bidi="fa-IR"/>
        </w:rPr>
        <w:t xml:space="preserve"> ، عَنْ مُحَمَّدِ بْنِ مُسْلِمٍ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بَلَغَكُمْ عَنْ صَاحِبِ هذَا الْأَمْرِ غَيْبَةٌ ، فَلَا تُن</w:t>
      </w:r>
      <w:r>
        <w:rPr>
          <w:rtl/>
          <w:lang w:bidi="fa-IR"/>
        </w:rPr>
        <w:t>ْكِرُوهَا</w:t>
      </w:r>
      <w:r w:rsidRPr="00132E65">
        <w:rPr>
          <w:rtl/>
          <w:lang w:bidi="fa-IR"/>
        </w:rPr>
        <w:t>»</w:t>
      </w:r>
      <w:r>
        <w:rPr>
          <w:rtl/>
          <w:lang w:bidi="fa-IR"/>
        </w:rPr>
        <w:t>.</w:t>
      </w:r>
      <w:r>
        <w:rPr>
          <w:rStyle w:val="libFootnotenumChar"/>
          <w:rtl/>
        </w:rPr>
        <w:t>(5)</w:t>
      </w:r>
      <w:r w:rsidRPr="00132E65">
        <w:rPr>
          <w:rtl/>
          <w:lang w:bidi="fa-IR"/>
        </w:rPr>
        <w:t>‌</w:t>
      </w:r>
    </w:p>
    <w:p w:rsidR="000C39D1" w:rsidRPr="00132E65" w:rsidRDefault="000C39D1" w:rsidP="000C39D1">
      <w:pPr>
        <w:pStyle w:val="libNormal"/>
        <w:rPr>
          <w:rtl/>
          <w:lang w:bidi="fa-IR"/>
        </w:rPr>
      </w:pPr>
      <w:r w:rsidRPr="00BA3319">
        <w:rPr>
          <w:rtl/>
        </w:rPr>
        <w:t>901</w:t>
      </w:r>
      <w:r w:rsidRPr="004325D8">
        <w:rPr>
          <w:rStyle w:val="libBold2Char"/>
          <w:rtl/>
        </w:rPr>
        <w:t xml:space="preserve"> / 11.</w:t>
      </w:r>
      <w:r w:rsidRPr="00132E65">
        <w:rPr>
          <w:rtl/>
          <w:lang w:bidi="fa-IR"/>
        </w:rPr>
        <w:t xml:space="preserve"> الْحُسَيْنُ بْنُ مُحَمَّدٍ ومُحَمَّدُ بْنُ يَحْيى ، عَنْ جَعْفَرِ بْنِ مُحَمَّدٍ ، عَنِ الْحَسَنِ بْنِ مُعَاوِيَةَ ، عَنْ عَبْدِ اللهِ بْنِ جَبَلَةَ ، عَنْ إِبْرَاهِيمَ بْنِ خَلَفِ بْنِ عَبَّادٍ الْأَنْمَاطِيِّ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8F0A3B">
        <w:rPr>
          <w:rStyle w:val="libFootnoteBoldChar"/>
          <w:rtl/>
        </w:rPr>
        <w:t>الغيبة</w:t>
      </w:r>
      <w:r w:rsidRPr="00132E65">
        <w:rPr>
          <w:rtl/>
        </w:rPr>
        <w:t xml:space="preserve"> للنعماني ، ص 156 ، ح 17 ، عن الكليني. </w:t>
      </w:r>
      <w:r w:rsidRPr="00BA3319">
        <w:rPr>
          <w:rtl/>
        </w:rPr>
        <w:t>وفيه</w:t>
      </w:r>
      <w:r w:rsidRPr="00132E65">
        <w:rPr>
          <w:rtl/>
        </w:rPr>
        <w:t xml:space="preserve"> ، ص 155 ، ح 16 ، بسنده عن معروف بن خرّبوذ ، عن أبي جعفر </w:t>
      </w:r>
      <w:r w:rsidRPr="0033724D">
        <w:rPr>
          <w:rStyle w:val="libFootnoteAlaemChar"/>
          <w:rtl/>
        </w:rPr>
        <w:t>عليه‌السلام</w:t>
      </w:r>
      <w:r w:rsidRPr="00132E65">
        <w:rPr>
          <w:rtl/>
        </w:rPr>
        <w:t xml:space="preserve"> ، عن رسول الله </w:t>
      </w:r>
      <w:r w:rsidRPr="0033724D">
        <w:rPr>
          <w:rStyle w:val="libFootnoteAlaemChar"/>
          <w:rtl/>
        </w:rPr>
        <w:t>صلى‌الله‌عليه‌وآله</w:t>
      </w:r>
      <w:r w:rsidRPr="00132E65">
        <w:rPr>
          <w:rtl/>
          <w:lang w:bidi="fa-IR"/>
        </w:rPr>
        <w:t xml:space="preserve"> </w:t>
      </w:r>
      <w:r w:rsidRPr="00132E65">
        <w:rPr>
          <w:rtl/>
        </w:rPr>
        <w:t xml:space="preserve">. </w:t>
      </w:r>
      <w:r w:rsidRPr="00BA3319">
        <w:rPr>
          <w:rtl/>
        </w:rPr>
        <w:t>وفيه</w:t>
      </w:r>
      <w:r w:rsidRPr="00132E65">
        <w:rPr>
          <w:rtl/>
        </w:rPr>
        <w:t xml:space="preserve"> أيضاً ، ص 155 ، ح 15 ، بسند آخر عن أبي عبد الله </w:t>
      </w:r>
      <w:r w:rsidRPr="0033724D">
        <w:rPr>
          <w:rStyle w:val="libFootnoteAlaemChar"/>
          <w:rtl/>
        </w:rPr>
        <w:t>عليه‌السلام</w:t>
      </w:r>
      <w:r w:rsidRPr="00132E65">
        <w:rPr>
          <w:rtl/>
        </w:rPr>
        <w:t xml:space="preserve"> عن رسول الله </w:t>
      </w:r>
      <w:r w:rsidRPr="0033724D">
        <w:rPr>
          <w:rStyle w:val="libFootnoteAlaemChar"/>
          <w:rtl/>
        </w:rPr>
        <w:t>صلى‌الله‌عليه‌وآله</w:t>
      </w:r>
      <w:r w:rsidRPr="00132E65">
        <w:rPr>
          <w:rtl/>
          <w:lang w:bidi="fa-IR"/>
        </w:rPr>
        <w:t xml:space="preserve"> </w:t>
      </w:r>
      <w:r w:rsidRPr="00132E65">
        <w:rPr>
          <w:rtl/>
        </w:rPr>
        <w:t xml:space="preserve">، وفيهما مع اختلاف يسير </w:t>
      </w:r>
      <w:r>
        <w:rPr>
          <w:rFonts w:hint="cs"/>
          <w:rtl/>
        </w:rPr>
        <w:t>.</w:t>
      </w:r>
      <w:r w:rsidRPr="009D1ACE">
        <w:rPr>
          <w:rStyle w:val="libFootnoteBoldChar"/>
          <w:rtl/>
        </w:rPr>
        <w:t>الوافي</w:t>
      </w:r>
      <w:r w:rsidRPr="00132E65">
        <w:rPr>
          <w:rtl/>
        </w:rPr>
        <w:t xml:space="preserve"> ، ج 2 ، ص 414 ، ح 922.</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وكمال الدين ، ح 8 : « قال : قلت »</w:t>
      </w:r>
      <w:r>
        <w:rPr>
          <w:rtl/>
        </w:rPr>
        <w:t>.</w:t>
      </w:r>
    </w:p>
    <w:p w:rsidR="000C39D1" w:rsidRPr="00132E65" w:rsidRDefault="000C39D1" w:rsidP="000C39D1">
      <w:pPr>
        <w:pStyle w:val="libFootnote0"/>
        <w:rPr>
          <w:rtl/>
          <w:lang w:bidi="fa-IR"/>
        </w:rPr>
      </w:pPr>
      <w:r>
        <w:rPr>
          <w:rtl/>
        </w:rPr>
        <w:t>(3).</w:t>
      </w:r>
      <w:r w:rsidRPr="00132E65">
        <w:rPr>
          <w:rtl/>
        </w:rPr>
        <w:t xml:space="preserve"> </w:t>
      </w:r>
      <w:r w:rsidRPr="002E535F">
        <w:rPr>
          <w:rStyle w:val="libFootnoteBoldChar"/>
          <w:rtl/>
        </w:rPr>
        <w:t>الغيبة للنعماني</w:t>
      </w:r>
      <w:r w:rsidRPr="00132E65">
        <w:rPr>
          <w:rtl/>
        </w:rPr>
        <w:t xml:space="preserve"> ، ص 177 ، ذيل ح 21 ، عن الكليني. </w:t>
      </w:r>
      <w:r w:rsidRPr="00BA3319">
        <w:rPr>
          <w:rtl/>
        </w:rPr>
        <w:t>وفيه</w:t>
      </w:r>
      <w:r w:rsidRPr="00132E65">
        <w:rPr>
          <w:rtl/>
        </w:rPr>
        <w:t xml:space="preserve"> ، ح 21 ، بسنده عن عبد الله بن بكير ؛ </w:t>
      </w:r>
      <w:r w:rsidRPr="00BA3319">
        <w:rPr>
          <w:rtl/>
        </w:rPr>
        <w:t>وفيه</w:t>
      </w:r>
      <w:r w:rsidRPr="00132E65">
        <w:rPr>
          <w:rtl/>
        </w:rPr>
        <w:t xml:space="preserve"> أيضاً ، ص 176 ، ح 19 ، بسنده عن ابن بكير ، عن زرارة ، عن عبد الملك بن أعين ، عن أبي جعفر </w:t>
      </w:r>
      <w:r w:rsidRPr="0033724D">
        <w:rPr>
          <w:rStyle w:val="libFootnoteAlaemChar"/>
          <w:rtl/>
        </w:rPr>
        <w:t>عليه‌السلام</w:t>
      </w:r>
      <w:r w:rsidRPr="00132E65">
        <w:rPr>
          <w:rtl/>
        </w:rPr>
        <w:t xml:space="preserve"> ؛ </w:t>
      </w:r>
      <w:r w:rsidRPr="00BA3319">
        <w:rPr>
          <w:rtl/>
        </w:rPr>
        <w:t>وفيه</w:t>
      </w:r>
      <w:r w:rsidRPr="00132E65">
        <w:rPr>
          <w:rtl/>
        </w:rPr>
        <w:t xml:space="preserve"> أيضاً ، ح 18 ، بسنده عن ابن بكير عن زرارة ، عن أبي جعفر </w:t>
      </w:r>
      <w:r w:rsidRPr="0033724D">
        <w:rPr>
          <w:rStyle w:val="libFootnoteAlaemChar"/>
          <w:rtl/>
        </w:rPr>
        <w:t>عليه‌السلام</w:t>
      </w:r>
      <w:r w:rsidRPr="00132E65">
        <w:rPr>
          <w:rtl/>
        </w:rPr>
        <w:t xml:space="preserve"> ، مع اختلاف يسير ؛ </w:t>
      </w:r>
      <w:r w:rsidRPr="002E535F">
        <w:rPr>
          <w:rStyle w:val="libFootnoteBoldChar"/>
          <w:rtl/>
        </w:rPr>
        <w:t>كمال الدين</w:t>
      </w:r>
      <w:r w:rsidRPr="00132E65">
        <w:rPr>
          <w:rtl/>
        </w:rPr>
        <w:t xml:space="preserve"> ، ص 481 ، ح 7 ، بسنده عن زرارة ، عن أبي عبد الله </w:t>
      </w:r>
      <w:r w:rsidRPr="0033724D">
        <w:rPr>
          <w:rStyle w:val="libFootnoteAlaemChar"/>
          <w:rtl/>
        </w:rPr>
        <w:t>عليه‌السلام</w:t>
      </w:r>
      <w:r w:rsidRPr="00132E65">
        <w:rPr>
          <w:rtl/>
        </w:rPr>
        <w:t xml:space="preserve"> ؛ </w:t>
      </w:r>
      <w:r w:rsidRPr="00BA3319">
        <w:rPr>
          <w:rtl/>
        </w:rPr>
        <w:t>وفيه</w:t>
      </w:r>
      <w:r w:rsidRPr="00132E65">
        <w:rPr>
          <w:rtl/>
        </w:rPr>
        <w:t xml:space="preserve"> ، ح 8 ، بسنده عن ابن بكير ، عن زرارة ، عن أبي جعفر </w:t>
      </w:r>
      <w:r w:rsidRPr="0033724D">
        <w:rPr>
          <w:rStyle w:val="libFootnoteAlaemChar"/>
          <w:rtl/>
        </w:rPr>
        <w:t>عليه‌السلام</w:t>
      </w:r>
      <w:r w:rsidRPr="00132E65">
        <w:rPr>
          <w:rtl/>
        </w:rPr>
        <w:t xml:space="preserve"> ؛ </w:t>
      </w:r>
      <w:r w:rsidRPr="00BA3319">
        <w:rPr>
          <w:rtl/>
        </w:rPr>
        <w:t>وفيه</w:t>
      </w:r>
      <w:r w:rsidRPr="00132E65">
        <w:rPr>
          <w:rtl/>
        </w:rPr>
        <w:t xml:space="preserve"> ، ح 9 ، بسنده عن زرارة ، عن أبي جعفر </w:t>
      </w:r>
      <w:r w:rsidRPr="0033724D">
        <w:rPr>
          <w:rStyle w:val="libFootnoteAlaemChar"/>
          <w:rtl/>
        </w:rPr>
        <w:t>عليه‌السلام</w:t>
      </w:r>
      <w:r w:rsidRPr="00132E65">
        <w:rPr>
          <w:rtl/>
        </w:rPr>
        <w:t xml:space="preserve"> ؛ </w:t>
      </w:r>
      <w:r w:rsidRPr="00BA3319">
        <w:rPr>
          <w:rtl/>
        </w:rPr>
        <w:t>وفيه</w:t>
      </w:r>
      <w:r w:rsidRPr="00132E65">
        <w:rPr>
          <w:rtl/>
        </w:rPr>
        <w:t xml:space="preserve"> ، ح 10 ، بسنده عن ابن بكير ، عن زرارة عن أبي عبد الله </w:t>
      </w:r>
      <w:r w:rsidRPr="0033724D">
        <w:rPr>
          <w:rStyle w:val="libFootnoteAlaemChar"/>
          <w:rtl/>
        </w:rPr>
        <w:t>عليه‌السلام</w:t>
      </w:r>
      <w:r w:rsidRPr="00132E65">
        <w:rPr>
          <w:rtl/>
        </w:rPr>
        <w:t xml:space="preserve"> ؛ </w:t>
      </w:r>
      <w:r w:rsidRPr="00BA3319">
        <w:rPr>
          <w:rtl/>
        </w:rPr>
        <w:t>علل الشرائع</w:t>
      </w:r>
      <w:r w:rsidRPr="00132E65">
        <w:rPr>
          <w:rtl/>
        </w:rPr>
        <w:t xml:space="preserve"> ، ص 246 ، ح 9 ، بسنده عن زرارة ، عن أبي جعفر </w:t>
      </w:r>
      <w:r w:rsidRPr="0033724D">
        <w:rPr>
          <w:rStyle w:val="libFootnoteAlaemChar"/>
          <w:rtl/>
        </w:rPr>
        <w:t>عليه‌السلام</w:t>
      </w:r>
      <w:r w:rsidRPr="00132E65">
        <w:rPr>
          <w:rtl/>
        </w:rPr>
        <w:t xml:space="preserve"> </w:t>
      </w:r>
      <w:r>
        <w:rPr>
          <w:rFonts w:hint="cs"/>
          <w:rtl/>
        </w:rPr>
        <w:t>.</w:t>
      </w:r>
      <w:r w:rsidRPr="009D1ACE">
        <w:rPr>
          <w:rStyle w:val="libFootnoteBoldChar"/>
          <w:rtl/>
        </w:rPr>
        <w:t>الوافي</w:t>
      </w:r>
      <w:r w:rsidRPr="00132E65">
        <w:rPr>
          <w:rtl/>
        </w:rPr>
        <w:t xml:space="preserve"> ، ج 2 ، ص 415 ، ح 923.</w:t>
      </w:r>
    </w:p>
    <w:p w:rsidR="000C39D1" w:rsidRPr="00132E65" w:rsidRDefault="000C39D1" w:rsidP="000C39D1">
      <w:pPr>
        <w:pStyle w:val="libFootnote0"/>
        <w:rPr>
          <w:rtl/>
          <w:lang w:bidi="fa-IR"/>
        </w:rPr>
      </w:pPr>
      <w:r>
        <w:rPr>
          <w:rtl/>
        </w:rPr>
        <w:t>(4).</w:t>
      </w:r>
      <w:r w:rsidRPr="00132E65">
        <w:rPr>
          <w:rtl/>
        </w:rPr>
        <w:t xml:space="preserve"> هكذا في « ب ، ض ، بح ، بر ، بس » و</w:t>
      </w:r>
      <w:r w:rsidRPr="009D1ACE">
        <w:rPr>
          <w:rStyle w:val="libFootnoteBoldChar"/>
          <w:rtl/>
        </w:rPr>
        <w:t>الوافي</w:t>
      </w:r>
      <w:r w:rsidRPr="00132E65">
        <w:rPr>
          <w:rtl/>
        </w:rPr>
        <w:t>. وفي « ألف ، ج ، ف ، و، بف » والمطبوع : « الخزّاز »</w:t>
      </w:r>
      <w:r>
        <w:rPr>
          <w:rtl/>
        </w:rPr>
        <w:t>.</w:t>
      </w:r>
      <w:r w:rsidRPr="00132E65">
        <w:rPr>
          <w:rtl/>
        </w:rPr>
        <w:t xml:space="preserve"> وما أثبتناه هوالصواب ، كما تقدّم في </w:t>
      </w:r>
      <w:r w:rsidRPr="000577A7">
        <w:rPr>
          <w:rStyle w:val="libFootnoteBoldChar"/>
          <w:rtl/>
        </w:rPr>
        <w:t>الكافي</w:t>
      </w:r>
      <w:r w:rsidRPr="00132E65">
        <w:rPr>
          <w:rtl/>
        </w:rPr>
        <w:t xml:space="preserve"> ، ذيل ح 75.</w:t>
      </w:r>
    </w:p>
    <w:p w:rsidR="000C39D1" w:rsidRPr="00132E65" w:rsidRDefault="000C39D1" w:rsidP="000C39D1">
      <w:pPr>
        <w:pStyle w:val="libFootnote0"/>
        <w:rPr>
          <w:rtl/>
          <w:lang w:bidi="fa-IR"/>
        </w:rPr>
      </w:pPr>
      <w:r>
        <w:rPr>
          <w:rtl/>
        </w:rPr>
        <w:t>(5).</w:t>
      </w:r>
      <w:r w:rsidRPr="00132E65">
        <w:rPr>
          <w:rtl/>
        </w:rPr>
        <w:t xml:space="preserve"> </w:t>
      </w:r>
      <w:r w:rsidRPr="002E535F">
        <w:rPr>
          <w:rStyle w:val="libFootnoteBoldChar"/>
          <w:rtl/>
        </w:rPr>
        <w:t>الغيبة</w:t>
      </w:r>
      <w:r w:rsidRPr="00132E65">
        <w:rPr>
          <w:rtl/>
        </w:rPr>
        <w:t xml:space="preserve"> </w:t>
      </w:r>
      <w:r w:rsidRPr="002E535F">
        <w:rPr>
          <w:rStyle w:val="libFootnoteBoldChar"/>
          <w:rtl/>
        </w:rPr>
        <w:t>للنعماني</w:t>
      </w:r>
      <w:r w:rsidRPr="00132E65">
        <w:rPr>
          <w:rtl/>
        </w:rPr>
        <w:t xml:space="preserve"> ، ص 188 ، ح 42 ، عن الكليني </w:t>
      </w:r>
      <w:r>
        <w:rPr>
          <w:rFonts w:hint="cs"/>
          <w:rtl/>
        </w:rPr>
        <w:t>.</w:t>
      </w:r>
      <w:r w:rsidRPr="009D1ACE">
        <w:rPr>
          <w:rStyle w:val="libFootnoteBoldChar"/>
          <w:rtl/>
        </w:rPr>
        <w:t>الوافي</w:t>
      </w:r>
      <w:r w:rsidRPr="00132E65">
        <w:rPr>
          <w:rtl/>
        </w:rPr>
        <w:t xml:space="preserve"> ، ج 2 ، ص 415 ، ح 924.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مُفَضَّلِ بْنِ عُمَرَ ، قَالَ :</w:t>
      </w:r>
    </w:p>
    <w:p w:rsidR="000C39D1" w:rsidRPr="00132E65" w:rsidRDefault="000C39D1" w:rsidP="000C39D1">
      <w:pPr>
        <w:pStyle w:val="libNormal"/>
        <w:rPr>
          <w:rtl/>
          <w:lang w:bidi="fa-IR"/>
        </w:rPr>
      </w:pPr>
      <w:r w:rsidRPr="00132E65">
        <w:rPr>
          <w:rtl/>
          <w:lang w:bidi="fa-IR"/>
        </w:rPr>
        <w:t xml:space="preserve">كُنْتُ عِنْدَ أَبِي عَبْدِ اللهِ </w:t>
      </w:r>
      <w:r w:rsidRPr="00071CF9">
        <w:rPr>
          <w:rStyle w:val="libAlaemChar"/>
          <w:rtl/>
        </w:rPr>
        <w:t>عليه‌السلام</w:t>
      </w:r>
      <w:r w:rsidRPr="00132E65">
        <w:rPr>
          <w:rtl/>
          <w:lang w:bidi="fa-IR"/>
        </w:rPr>
        <w:t xml:space="preserve"> وعِنْدَهُ فِي الْبَيْتِ أُنَاسٌ ، فَظَنَنْتُ أَنَّهُ إِنَّمَا أَرَادَ بِذلِكَ غَيْرِي ، فَقَالَ : « أَمَا واللهِ لَيَغِيبَنَّ عَنْكُمْ صَاحِبُ هذَا الْأَمْرِ ، ولَيَخْمِلَنَّ حَتّى </w:t>
      </w:r>
      <w:r>
        <w:rPr>
          <w:rStyle w:val="libFootnotenumChar"/>
          <w:rtl/>
        </w:rPr>
        <w:t>(1)</w:t>
      </w:r>
      <w:r w:rsidRPr="00132E65">
        <w:rPr>
          <w:rtl/>
          <w:lang w:bidi="fa-IR"/>
        </w:rPr>
        <w:t xml:space="preserve"> يُقَالَ :</w:t>
      </w:r>
      <w:r>
        <w:rPr>
          <w:rFonts w:hint="cs"/>
          <w:rtl/>
          <w:lang w:bidi="fa-IR"/>
        </w:rPr>
        <w:t xml:space="preserve"> </w:t>
      </w:r>
      <w:r w:rsidRPr="00132E65">
        <w:rPr>
          <w:rtl/>
          <w:lang w:bidi="fa-IR"/>
        </w:rPr>
        <w:t>مَاتَ</w:t>
      </w:r>
      <w:r>
        <w:rPr>
          <w:rtl/>
          <w:lang w:bidi="fa-IR"/>
        </w:rPr>
        <w:t>؟</w:t>
      </w:r>
      <w:r w:rsidRPr="00132E65">
        <w:rPr>
          <w:rtl/>
          <w:lang w:bidi="fa-IR"/>
        </w:rPr>
        <w:t xml:space="preserve"> هَلَكَ </w:t>
      </w:r>
      <w:r>
        <w:rPr>
          <w:rStyle w:val="libFootnotenumChar"/>
          <w:rtl/>
        </w:rPr>
        <w:t>(2)</w:t>
      </w:r>
      <w:r>
        <w:rPr>
          <w:rtl/>
          <w:lang w:bidi="fa-IR"/>
        </w:rPr>
        <w:t>؟</w:t>
      </w:r>
      <w:r w:rsidRPr="00132E65">
        <w:rPr>
          <w:rtl/>
          <w:lang w:bidi="fa-IR"/>
        </w:rPr>
        <w:t xml:space="preserve"> فِي أَيِّ وادٍ سَلَكَ</w:t>
      </w:r>
      <w:r>
        <w:rPr>
          <w:rtl/>
          <w:lang w:bidi="fa-IR"/>
        </w:rPr>
        <w:t>؟!</w:t>
      </w:r>
      <w:r w:rsidRPr="00132E65">
        <w:rPr>
          <w:rtl/>
          <w:lang w:bidi="fa-IR"/>
        </w:rPr>
        <w:t xml:space="preserve"> ولَتُكْفَؤُنَّ </w:t>
      </w:r>
      <w:r>
        <w:rPr>
          <w:rStyle w:val="libFootnotenumChar"/>
          <w:rtl/>
        </w:rPr>
        <w:t>(3)</w:t>
      </w:r>
      <w:r w:rsidRPr="00132E65">
        <w:rPr>
          <w:rtl/>
          <w:lang w:bidi="fa-IR"/>
        </w:rPr>
        <w:t xml:space="preserve"> كَمَا تُكْفَأُ السَّفِينَةُ فِي أَمْوَاجِ </w:t>
      </w:r>
      <w:r>
        <w:rPr>
          <w:rStyle w:val="libFootnotenumChar"/>
          <w:rtl/>
        </w:rPr>
        <w:t>(4)</w:t>
      </w:r>
      <w:r w:rsidRPr="00132E65">
        <w:rPr>
          <w:rtl/>
          <w:lang w:bidi="fa-IR"/>
        </w:rPr>
        <w:t xml:space="preserve"> الْبَحْرِ ، لَا يَنْجُو </w:t>
      </w:r>
      <w:r>
        <w:rPr>
          <w:rStyle w:val="libFootnotenumChar"/>
          <w:rtl/>
        </w:rPr>
        <w:t>(5)</w:t>
      </w:r>
      <w:r>
        <w:rPr>
          <w:rtl/>
          <w:lang w:bidi="fa-IR"/>
        </w:rPr>
        <w:t xml:space="preserve"> إِل</w:t>
      </w:r>
      <w:r>
        <w:rPr>
          <w:rFonts w:hint="cs"/>
          <w:rtl/>
          <w:lang w:bidi="fa-IR"/>
        </w:rPr>
        <w:t>َّ</w:t>
      </w:r>
      <w:r>
        <w:rPr>
          <w:rtl/>
          <w:lang w:bidi="fa-IR"/>
        </w:rPr>
        <w:t>ا</w:t>
      </w:r>
      <w:r w:rsidRPr="00132E65">
        <w:rPr>
          <w:rtl/>
          <w:lang w:bidi="fa-IR"/>
        </w:rPr>
        <w:t xml:space="preserve"> مَنْ أَخَذَ اللهُ مِيثَاقَهُ ، وكَتَبَ الْإِيمَانَ فِي قَلْبِهِ ، وأَيَّدَهُ بِرُوحٍ مِنْهُ ، وَلَتُرْفَعَنَّ </w:t>
      </w:r>
      <w:r>
        <w:rPr>
          <w:rStyle w:val="libFootnotenumChar"/>
          <w:rtl/>
        </w:rPr>
        <w:t>(6)</w:t>
      </w:r>
      <w:r w:rsidRPr="00132E65">
        <w:rPr>
          <w:rtl/>
          <w:lang w:bidi="fa-IR"/>
        </w:rPr>
        <w:t xml:space="preserve"> اثْنَتَا عَشْرَةَ رَايَةً مُشْتَبِهَةً </w:t>
      </w:r>
      <w:r>
        <w:rPr>
          <w:rStyle w:val="libFootnotenumChar"/>
          <w:rtl/>
        </w:rPr>
        <w:t>(7)</w:t>
      </w:r>
      <w:r w:rsidRPr="00132E65">
        <w:rPr>
          <w:rtl/>
          <w:lang w:bidi="fa-IR"/>
        </w:rPr>
        <w:t xml:space="preserve"> لَايُدْرى </w:t>
      </w:r>
      <w:r>
        <w:rPr>
          <w:rStyle w:val="libFootnotenumChar"/>
          <w:rtl/>
        </w:rPr>
        <w:t>(8)</w:t>
      </w:r>
      <w:r w:rsidRPr="00132E65">
        <w:rPr>
          <w:rtl/>
          <w:lang w:bidi="fa-IR"/>
        </w:rPr>
        <w:t xml:space="preserve"> أَيٌّ مِنْ أَيٍّ »</w:t>
      </w:r>
      <w:r>
        <w:rPr>
          <w:rtl/>
          <w:lang w:bidi="fa-IR"/>
        </w:rPr>
        <w:t>.</w:t>
      </w:r>
    </w:p>
    <w:p w:rsidR="000C39D1" w:rsidRPr="00132E65" w:rsidRDefault="000C39D1" w:rsidP="000C39D1">
      <w:pPr>
        <w:pStyle w:val="libNormal"/>
        <w:rPr>
          <w:rtl/>
          <w:lang w:bidi="fa-IR"/>
        </w:rPr>
      </w:pPr>
      <w:r w:rsidRPr="00132E65">
        <w:rPr>
          <w:rtl/>
          <w:lang w:bidi="fa-IR"/>
        </w:rPr>
        <w:t xml:space="preserve">قَالَ : فَبَكَيْتُ ، فَقَالَ </w:t>
      </w:r>
      <w:r>
        <w:rPr>
          <w:rStyle w:val="libFootnotenumChar"/>
          <w:rtl/>
        </w:rPr>
        <w:t>(9)</w:t>
      </w:r>
      <w:r w:rsidRPr="00132E65">
        <w:rPr>
          <w:rtl/>
          <w:lang w:bidi="fa-IR"/>
        </w:rPr>
        <w:t xml:space="preserve"> : « مَا يُبْكِيكَ يَا أَبَا عَبْدِ اللهِ</w:t>
      </w:r>
      <w:r>
        <w:rPr>
          <w:rtl/>
          <w:lang w:bidi="fa-IR"/>
        </w:rPr>
        <w:t>؟</w:t>
      </w:r>
      <w:r w:rsidRPr="00132E65">
        <w:rPr>
          <w:rtl/>
          <w:lang w:bidi="fa-IR"/>
        </w:rPr>
        <w:t xml:space="preserve"> »</w:t>
      </w:r>
      <w:r>
        <w:rPr>
          <w:rtl/>
          <w:lang w:bidi="fa-IR"/>
        </w:rPr>
        <w:t>.</w:t>
      </w:r>
      <w:r w:rsidRPr="00132E65">
        <w:rPr>
          <w:rtl/>
          <w:lang w:bidi="fa-IR"/>
        </w:rPr>
        <w:t xml:space="preserve"> فَقُلْتُ </w:t>
      </w:r>
      <w:r>
        <w:rPr>
          <w:rStyle w:val="libFootnotenumChar"/>
          <w:rtl/>
        </w:rPr>
        <w:t>(10)</w:t>
      </w:r>
      <w:r w:rsidRPr="00132E65">
        <w:rPr>
          <w:rtl/>
          <w:lang w:bidi="fa-IR"/>
        </w:rPr>
        <w:t xml:space="preserve"> : جُعِلْتُ فِدَاكَ ، كَيْفَ لَا أَبْكِي وأَنْتَ تَقُولُ : « اثْنَتَا عَشْرَةَ رَايَةً مُشْتَبِهَةً </w:t>
      </w:r>
      <w:r>
        <w:rPr>
          <w:rStyle w:val="libFootnotenumChar"/>
          <w:rtl/>
        </w:rPr>
        <w:t>(11)</w:t>
      </w:r>
      <w:r w:rsidRPr="00132E65">
        <w:rPr>
          <w:rtl/>
          <w:lang w:bidi="fa-IR"/>
        </w:rPr>
        <w:t xml:space="preserve"> لَايُدْرى </w:t>
      </w:r>
      <w:r>
        <w:rPr>
          <w:rStyle w:val="libFootnotenumChar"/>
          <w:rtl/>
        </w:rPr>
        <w:t>(12)</w:t>
      </w:r>
      <w:r w:rsidRPr="00132E65">
        <w:rPr>
          <w:rtl/>
          <w:lang w:bidi="fa-IR"/>
        </w:rPr>
        <w:t xml:space="preserve"> أَيٌّ مِنْ أَيٍّ</w:t>
      </w:r>
      <w:r>
        <w:rPr>
          <w:rtl/>
          <w:lang w:bidi="fa-IR"/>
        </w:rPr>
        <w:t>؟!</w:t>
      </w:r>
      <w:r w:rsidRPr="00132E65">
        <w:rPr>
          <w:rtl/>
          <w:lang w:bidi="fa-IR"/>
        </w:rPr>
        <w:t xml:space="preserve"> » قَالَ : وفِي مَجْلِسِهِ كَوَّةٌ </w:t>
      </w:r>
      <w:r w:rsidRPr="00F543F1">
        <w:rPr>
          <w:rStyle w:val="libFootnotenumChar"/>
          <w:rtl/>
        </w:rPr>
        <w:t>(13)</w:t>
      </w:r>
      <w:r w:rsidRPr="00132E65">
        <w:rPr>
          <w:rtl/>
          <w:lang w:bidi="fa-IR"/>
        </w:rPr>
        <w:t xml:space="preserve"> تَدْخُلُ </w:t>
      </w:r>
      <w:r w:rsidRPr="00F543F1">
        <w:rPr>
          <w:rStyle w:val="libFootnotenumChar"/>
          <w:rtl/>
        </w:rPr>
        <w:t>(14)</w:t>
      </w:r>
      <w:r w:rsidRPr="00132E65">
        <w:rPr>
          <w:rtl/>
          <w:lang w:bidi="fa-IR"/>
        </w:rPr>
        <w:t xml:space="preserve"> فِ</w:t>
      </w:r>
      <w:r>
        <w:rPr>
          <w:rtl/>
          <w:lang w:bidi="fa-IR"/>
        </w:rPr>
        <w:t>يهَا الشَّمْسُ ، فَقَالَ : « أَ</w:t>
      </w:r>
      <w:r w:rsidRPr="00132E65">
        <w:rPr>
          <w:rtl/>
          <w:lang w:bidi="fa-IR"/>
        </w:rPr>
        <w:t>بَيِّنَةٌ هذِهِ</w:t>
      </w:r>
      <w:r>
        <w:rPr>
          <w:rtl/>
          <w:lang w:bidi="fa-IR"/>
        </w:rPr>
        <w:t>؟</w:t>
      </w:r>
      <w:r w:rsidRPr="00132E65">
        <w:rPr>
          <w:rtl/>
          <w:lang w:bidi="fa-IR"/>
        </w:rPr>
        <w:t xml:space="preserve"> » فَقُلْتُ </w:t>
      </w:r>
      <w:r w:rsidRPr="00F543F1">
        <w:rPr>
          <w:rStyle w:val="libFootnotenumChar"/>
          <w:rtl/>
        </w:rPr>
        <w:t>(15)</w:t>
      </w:r>
      <w:r w:rsidRPr="00132E65">
        <w:rPr>
          <w:rtl/>
          <w:lang w:bidi="fa-IR"/>
        </w:rPr>
        <w:t xml:space="preserve"> : نَعَمْ ، قَالَ </w:t>
      </w:r>
      <w:r w:rsidRPr="00F543F1">
        <w:rPr>
          <w:rStyle w:val="libFootnotenumChar"/>
          <w:rtl/>
        </w:rPr>
        <w:t>(16)</w:t>
      </w:r>
      <w:r w:rsidRPr="00132E65">
        <w:rPr>
          <w:rtl/>
          <w:lang w:bidi="fa-IR"/>
        </w:rPr>
        <w:t xml:space="preserve"> :</w:t>
      </w:r>
      <w:r>
        <w:rPr>
          <w:rFonts w:hint="cs"/>
          <w:rtl/>
          <w:lang w:bidi="fa-IR"/>
        </w:rPr>
        <w:t xml:space="preserve"> </w:t>
      </w:r>
      <w:r w:rsidRPr="00132E65">
        <w:rPr>
          <w:rtl/>
          <w:lang w:bidi="fa-IR"/>
        </w:rPr>
        <w:t>« أَمْرُنَا أَبْيَنُ مِنْ هذِهِ الشَّمْسِ »</w:t>
      </w:r>
      <w:r>
        <w:rPr>
          <w:rtl/>
          <w:lang w:bidi="fa-IR"/>
        </w:rPr>
        <w:t>.</w:t>
      </w:r>
      <w:r w:rsidRPr="00132E65">
        <w:rPr>
          <w:rtl/>
          <w:lang w:bidi="fa-IR"/>
        </w:rPr>
        <w:t xml:space="preserve"> </w:t>
      </w:r>
      <w:r w:rsidRPr="00F543F1">
        <w:rPr>
          <w:rStyle w:val="libFootnotenumChar"/>
          <w:rtl/>
        </w:rPr>
        <w:t>(17)</w:t>
      </w:r>
      <w:r w:rsidRPr="00132E65">
        <w:rPr>
          <w:rtl/>
          <w:lang w:bidi="fa-IR"/>
        </w:rPr>
        <w:t xml:space="preserve"> ‌</w:t>
      </w:r>
    </w:p>
    <w:p w:rsidR="000C39D1" w:rsidRPr="00132E65" w:rsidRDefault="000C39D1" w:rsidP="000C39D1">
      <w:pPr>
        <w:pStyle w:val="libNormal"/>
        <w:rPr>
          <w:rtl/>
          <w:lang w:bidi="fa-IR"/>
        </w:rPr>
      </w:pPr>
      <w:r w:rsidRPr="00BA3319">
        <w:rPr>
          <w:rtl/>
        </w:rPr>
        <w:t>902</w:t>
      </w:r>
      <w:r w:rsidRPr="004325D8">
        <w:rPr>
          <w:rStyle w:val="libBold2Char"/>
          <w:rtl/>
        </w:rPr>
        <w:t xml:space="preserve"> / 12.</w:t>
      </w:r>
      <w:r w:rsidRPr="00132E65">
        <w:rPr>
          <w:rtl/>
          <w:lang w:bidi="fa-IR"/>
        </w:rPr>
        <w:t xml:space="preserve"> الْحُسَيْنُ بْنُ مُحَمَّدٍ ، عَنْ جَعْفَرِ بْنِ مُحَمَّدٍ ، عَنِ الْقَاسِمِ بْنِ إِسْمَاعِيلَ‌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أكثر النسخ و</w:t>
      </w:r>
      <w:r w:rsidRPr="009D1ACE">
        <w:rPr>
          <w:rStyle w:val="libFootnoteBoldChar"/>
          <w:rtl/>
        </w:rPr>
        <w:t>الوافي</w:t>
      </w:r>
      <w:r w:rsidRPr="00132E65">
        <w:rPr>
          <w:rtl/>
        </w:rPr>
        <w:t>. وفي « ب ، بح » : « ويخملنّ حتّى »</w:t>
      </w:r>
      <w:r>
        <w:rPr>
          <w:rtl/>
        </w:rPr>
        <w:t>.</w:t>
      </w:r>
      <w:r w:rsidRPr="00132E65">
        <w:rPr>
          <w:rtl/>
        </w:rPr>
        <w:t xml:space="preserve"> وفي المطبوع : « ليخملنّ هذا حتّى »</w:t>
      </w:r>
      <w:r>
        <w:rPr>
          <w:rtl/>
        </w:rPr>
        <w:t>.</w:t>
      </w:r>
      <w:r w:rsidRPr="00132E65">
        <w:rPr>
          <w:rtl/>
        </w:rPr>
        <w:t xml:space="preserve"> وقوله : « ليخملنّ » ، أي يخفى. </w:t>
      </w:r>
      <w:r w:rsidRPr="009D1ACE">
        <w:rPr>
          <w:rStyle w:val="libFootnoteBoldChar"/>
          <w:rtl/>
        </w:rPr>
        <w:t>لسان العرب</w:t>
      </w:r>
      <w:r w:rsidRPr="00132E65">
        <w:rPr>
          <w:rtl/>
        </w:rPr>
        <w:t xml:space="preserve"> ، ج 11 ، ص 221 ؛ </w:t>
      </w:r>
      <w:r w:rsidRPr="002E535F">
        <w:rPr>
          <w:rStyle w:val="libFootnoteBoldChar"/>
          <w:rtl/>
        </w:rPr>
        <w:t>القاموس المحيط</w:t>
      </w:r>
      <w:r>
        <w:rPr>
          <w:rtl/>
        </w:rPr>
        <w:t xml:space="preserve"> ، ج 2 ، ص 1316 (</w:t>
      </w:r>
      <w:r w:rsidRPr="00132E65">
        <w:rPr>
          <w:rtl/>
        </w:rPr>
        <w:t>خمل )</w:t>
      </w:r>
      <w:r>
        <w:rPr>
          <w:rtl/>
        </w:rPr>
        <w:t>.</w:t>
      </w:r>
    </w:p>
    <w:p w:rsidR="000C39D1" w:rsidRPr="00132E65" w:rsidRDefault="000C39D1" w:rsidP="000C39D1">
      <w:pPr>
        <w:pStyle w:val="libFootnote0"/>
        <w:rPr>
          <w:rtl/>
          <w:lang w:bidi="fa-IR"/>
        </w:rPr>
      </w:pPr>
      <w:r>
        <w:rPr>
          <w:rtl/>
        </w:rPr>
        <w:t>(2).</w:t>
      </w:r>
      <w:r w:rsidRPr="00132E65">
        <w:rPr>
          <w:rtl/>
        </w:rPr>
        <w:t xml:space="preserve"> في « ف » : « أو هلك »</w:t>
      </w:r>
      <w:r>
        <w:rPr>
          <w:rtl/>
        </w:rPr>
        <w:t>.</w:t>
      </w:r>
      <w:r w:rsidRPr="00132E65">
        <w:rPr>
          <w:rtl/>
        </w:rPr>
        <w:t xml:space="preserve"> وفي حاشية « بح » : « وهلك »</w:t>
      </w:r>
      <w:r>
        <w:rPr>
          <w:rtl/>
        </w:rPr>
        <w:t>.</w:t>
      </w:r>
    </w:p>
    <w:p w:rsidR="000C39D1" w:rsidRPr="00132E65" w:rsidRDefault="000C39D1" w:rsidP="000C39D1">
      <w:pPr>
        <w:pStyle w:val="libFootnote0"/>
        <w:rPr>
          <w:rtl/>
          <w:lang w:bidi="fa-IR"/>
        </w:rPr>
      </w:pPr>
      <w:r>
        <w:rPr>
          <w:rtl/>
        </w:rPr>
        <w:t>(3).</w:t>
      </w:r>
      <w:r w:rsidRPr="00132E65">
        <w:rPr>
          <w:rtl/>
        </w:rPr>
        <w:t xml:space="preserve"> « لَتُكْفَؤُنَّ » ، أي لتُقْلَبنَّ ، من كَفَأْتُ القِدْرَ وأكْفَأ ، إذا كَبَبْتَها وقلبتَها لتُفْرِغ ما فيها. كذا كفأه واكتفأه. راجع : </w:t>
      </w:r>
      <w:r w:rsidRPr="009D1ACE">
        <w:rPr>
          <w:rStyle w:val="libFootnoteBoldChar"/>
          <w:rtl/>
        </w:rPr>
        <w:t>لسان العرب</w:t>
      </w:r>
      <w:r w:rsidRPr="00132E65">
        <w:rPr>
          <w:rtl/>
        </w:rPr>
        <w:t xml:space="preserve"> ، ج 1 ، ص 140 ( كفأ )</w:t>
      </w:r>
      <w:r>
        <w:rPr>
          <w:rtl/>
        </w:rPr>
        <w:t>.</w:t>
      </w:r>
      <w:r>
        <w:rPr>
          <w:rFonts w:hint="cs"/>
          <w:rtl/>
        </w:rPr>
        <w:t xml:space="preserve">                       </w:t>
      </w:r>
      <w:r>
        <w:rPr>
          <w:rtl/>
        </w:rPr>
        <w:t>(4).</w:t>
      </w:r>
      <w:r w:rsidRPr="00132E65">
        <w:rPr>
          <w:rtl/>
        </w:rPr>
        <w:t xml:space="preserve"> في « بح » </w:t>
      </w:r>
      <w:r>
        <w:rPr>
          <w:rtl/>
        </w:rPr>
        <w:t xml:space="preserve">: - </w:t>
      </w:r>
      <w:r w:rsidRPr="00132E65">
        <w:rPr>
          <w:rtl/>
        </w:rPr>
        <w:t>« أمواج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 في «ف»</w:t>
            </w:r>
            <w:r w:rsidRPr="00132E65">
              <w:rPr>
                <w:rtl/>
              </w:rPr>
              <w:t>:</w:t>
            </w:r>
            <w:r>
              <w:rPr>
                <w:rtl/>
              </w:rPr>
              <w:t>«لا ينجوه</w:t>
            </w:r>
            <w:r w:rsidRPr="00132E65">
              <w:rPr>
                <w:rtl/>
              </w:rPr>
              <w:t>»</w:t>
            </w:r>
            <w:r>
              <w:rPr>
                <w:rtl/>
              </w:rPr>
              <w:t>. وفي «بح»</w:t>
            </w:r>
            <w:r w:rsidRPr="00132E65">
              <w:rPr>
                <w:rtl/>
              </w:rPr>
              <w:t>:</w:t>
            </w:r>
            <w:r>
              <w:rPr>
                <w:rtl/>
              </w:rPr>
              <w:t xml:space="preserve"> + «أمواج</w:t>
            </w:r>
            <w:r w:rsidRPr="00132E65">
              <w:rPr>
                <w:rtl/>
              </w:rPr>
              <w:t>»</w:t>
            </w:r>
            <w:r>
              <w:rPr>
                <w:rtl/>
              </w:rPr>
              <w:t>.</w:t>
            </w:r>
          </w:p>
        </w:tc>
        <w:tc>
          <w:tcPr>
            <w:tcW w:w="4006" w:type="dxa"/>
          </w:tcPr>
          <w:p w:rsidR="000C39D1" w:rsidRDefault="000C39D1" w:rsidP="00B53873">
            <w:pPr>
              <w:pStyle w:val="libFootnote0"/>
              <w:rPr>
                <w:rtl/>
              </w:rPr>
            </w:pPr>
            <w:r>
              <w:rPr>
                <w:rtl/>
              </w:rPr>
              <w:t>(6). في «ب</w:t>
            </w:r>
            <w:r w:rsidRPr="00132E65">
              <w:rPr>
                <w:rtl/>
              </w:rPr>
              <w:t>» : « ترفعنّ »</w:t>
            </w:r>
            <w:r>
              <w:rPr>
                <w:rtl/>
              </w:rPr>
              <w:t>. وفي «</w:t>
            </w:r>
            <w:r w:rsidRPr="00132E65">
              <w:rPr>
                <w:rtl/>
              </w:rPr>
              <w:t>ه‍ »: « ليرفعنّ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ب » : « مشبّهة »</w:t>
            </w:r>
            <w:r>
              <w:rPr>
                <w:rtl/>
              </w:rPr>
              <w:t>.</w:t>
            </w:r>
          </w:p>
        </w:tc>
        <w:tc>
          <w:tcPr>
            <w:tcW w:w="4006" w:type="dxa"/>
          </w:tcPr>
          <w:p w:rsidR="000C39D1" w:rsidRDefault="000C39D1" w:rsidP="00B53873">
            <w:pPr>
              <w:pStyle w:val="libFootnote0"/>
              <w:rPr>
                <w:rtl/>
              </w:rPr>
            </w:pPr>
            <w:r>
              <w:rPr>
                <w:rtl/>
              </w:rPr>
              <w:t>(8).</w:t>
            </w:r>
            <w:r w:rsidRPr="00132E65">
              <w:rPr>
                <w:rtl/>
              </w:rPr>
              <w:t xml:space="preserve"> في « ب » : « لا تدرى »</w:t>
            </w:r>
            <w:r>
              <w:rPr>
                <w:rtl/>
              </w:rPr>
              <w:t>.</w:t>
            </w:r>
          </w:p>
        </w:tc>
      </w:tr>
      <w:tr w:rsidR="000C39D1" w:rsidTr="00B53873">
        <w:tc>
          <w:tcPr>
            <w:tcW w:w="4006" w:type="dxa"/>
          </w:tcPr>
          <w:p w:rsidR="000C39D1" w:rsidRDefault="000C39D1" w:rsidP="00B53873">
            <w:pPr>
              <w:pStyle w:val="libFootnote0"/>
              <w:rPr>
                <w:rtl/>
              </w:rPr>
            </w:pPr>
            <w:r>
              <w:rPr>
                <w:rtl/>
              </w:rPr>
              <w:t>(9). في «</w:t>
            </w:r>
            <w:r w:rsidRPr="00132E65">
              <w:rPr>
                <w:rtl/>
              </w:rPr>
              <w:t>ب ،</w:t>
            </w:r>
            <w:r>
              <w:rPr>
                <w:rtl/>
              </w:rPr>
              <w:t xml:space="preserve"> بر» : «قال</w:t>
            </w:r>
            <w:r w:rsidRPr="00132E65">
              <w:rPr>
                <w:rtl/>
              </w:rPr>
              <w:t>»</w:t>
            </w:r>
            <w:r>
              <w:rPr>
                <w:rtl/>
              </w:rPr>
              <w:t>. وفي «ف»</w:t>
            </w:r>
            <w:r w:rsidRPr="00132E65">
              <w:rPr>
                <w:rtl/>
              </w:rPr>
              <w:t>: « فقال</w:t>
            </w:r>
            <w:r>
              <w:rPr>
                <w:rtl/>
              </w:rPr>
              <w:t xml:space="preserve"> و ».</w:t>
            </w:r>
          </w:p>
        </w:tc>
        <w:tc>
          <w:tcPr>
            <w:tcW w:w="4006" w:type="dxa"/>
          </w:tcPr>
          <w:p w:rsidR="000C39D1" w:rsidRDefault="000C39D1" w:rsidP="00B53873">
            <w:pPr>
              <w:pStyle w:val="libFootnote0"/>
              <w:rPr>
                <w:rtl/>
              </w:rPr>
            </w:pPr>
            <w:r>
              <w:rPr>
                <w:rtl/>
              </w:rPr>
              <w:t>(10). في «</w:t>
            </w:r>
            <w:r w:rsidRPr="00132E65">
              <w:rPr>
                <w:rtl/>
              </w:rPr>
              <w:t>ج ، بح ، بر ، بس ، بف» : « قلت »</w:t>
            </w:r>
            <w:r>
              <w:rPr>
                <w:rtl/>
              </w:rPr>
              <w:t>.</w:t>
            </w:r>
          </w:p>
        </w:tc>
      </w:tr>
    </w:tbl>
    <w:p w:rsidR="000C39D1" w:rsidRPr="00132E65" w:rsidRDefault="000C39D1" w:rsidP="000C39D1">
      <w:pPr>
        <w:pStyle w:val="libFootnote0"/>
        <w:rPr>
          <w:rtl/>
          <w:lang w:bidi="fa-IR"/>
        </w:rPr>
      </w:pPr>
      <w:r>
        <w:rPr>
          <w:rtl/>
        </w:rPr>
        <w:t>(11).</w:t>
      </w:r>
      <w:r w:rsidRPr="00132E65">
        <w:rPr>
          <w:rtl/>
        </w:rPr>
        <w:t xml:space="preserve"> في « ب ، ج ، ض ، بح ، بر ، بس ، بف » </w:t>
      </w:r>
      <w:r>
        <w:rPr>
          <w:rtl/>
        </w:rPr>
        <w:t xml:space="preserve">: - </w:t>
      </w:r>
      <w:r w:rsidRPr="00132E65">
        <w:rPr>
          <w:rtl/>
        </w:rPr>
        <w:t>« مشتبهة »</w:t>
      </w:r>
      <w:r>
        <w:rPr>
          <w:rtl/>
        </w:rPr>
        <w:t>.</w:t>
      </w:r>
      <w:r w:rsidRPr="00132E65">
        <w:rPr>
          <w:rtl/>
        </w:rPr>
        <w:t xml:space="preserve"> وفي « ف » : « مشبّهة »</w:t>
      </w:r>
      <w:r>
        <w:rPr>
          <w:rtl/>
        </w:rPr>
        <w:t>.</w:t>
      </w:r>
    </w:p>
    <w:p w:rsidR="000C39D1" w:rsidRPr="00132E65" w:rsidRDefault="000C39D1" w:rsidP="000C39D1">
      <w:pPr>
        <w:pStyle w:val="libFootnote0"/>
        <w:rPr>
          <w:rtl/>
          <w:lang w:bidi="fa-IR"/>
        </w:rPr>
      </w:pPr>
      <w:r>
        <w:rPr>
          <w:rtl/>
        </w:rPr>
        <w:t>(12).</w:t>
      </w:r>
      <w:r w:rsidRPr="00132E65">
        <w:rPr>
          <w:rtl/>
        </w:rPr>
        <w:t xml:space="preserve"> في « ب » : « لا تدرى »</w:t>
      </w:r>
      <w:r>
        <w:rPr>
          <w:rtl/>
        </w:rPr>
        <w:t>.</w:t>
      </w:r>
    </w:p>
    <w:p w:rsidR="000C39D1" w:rsidRPr="00132E65" w:rsidRDefault="000C39D1" w:rsidP="000C39D1">
      <w:pPr>
        <w:pStyle w:val="libFootnote0"/>
        <w:rPr>
          <w:rtl/>
          <w:lang w:bidi="fa-IR"/>
        </w:rPr>
      </w:pPr>
      <w:r>
        <w:rPr>
          <w:rtl/>
        </w:rPr>
        <w:t>(13)</w:t>
      </w:r>
      <w:r w:rsidRPr="00132E65">
        <w:rPr>
          <w:rtl/>
        </w:rPr>
        <w:t xml:space="preserve"> « الكَوُّ » </w:t>
      </w:r>
      <w:r>
        <w:rPr>
          <w:rtl/>
        </w:rPr>
        <w:t>و «</w:t>
      </w:r>
      <w:r w:rsidRPr="00132E65">
        <w:rPr>
          <w:rtl/>
        </w:rPr>
        <w:t xml:space="preserve"> الكَوَّةُ » : الخرْق في الحائط ، والثقب في البيت ونحوه. </w:t>
      </w:r>
      <w:r w:rsidRPr="009D1ACE">
        <w:rPr>
          <w:rStyle w:val="libFootnoteBoldChar"/>
          <w:rtl/>
        </w:rPr>
        <w:t>لسان العرب</w:t>
      </w:r>
      <w:r>
        <w:rPr>
          <w:rtl/>
        </w:rPr>
        <w:t xml:space="preserve"> ، ج 15 ، ص 236 (</w:t>
      </w:r>
      <w:r w:rsidRPr="00132E65">
        <w:rPr>
          <w:rtl/>
        </w:rPr>
        <w:t>كوى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(14)</w:t>
            </w:r>
            <w:r w:rsidRPr="00132E65">
              <w:rPr>
                <w:rtl/>
              </w:rPr>
              <w:t xml:space="preserve"> في « ه‍ » و</w:t>
            </w:r>
            <w:r w:rsidRPr="009D1ACE">
              <w:rPr>
                <w:rStyle w:val="libFootnoteBoldChar"/>
                <w:rtl/>
              </w:rPr>
              <w:t>الوافي</w:t>
            </w:r>
            <w:r w:rsidRPr="00132E65">
              <w:rPr>
                <w:rtl/>
              </w:rPr>
              <w:t xml:space="preserve"> : « يدخل »</w:t>
            </w:r>
            <w:r>
              <w:rPr>
                <w:rtl/>
              </w:rPr>
              <w:t>.</w:t>
            </w:r>
          </w:p>
        </w:tc>
        <w:tc>
          <w:tcPr>
            <w:tcW w:w="4006" w:type="dxa"/>
          </w:tcPr>
          <w:p w:rsidR="000C39D1" w:rsidRDefault="000C39D1" w:rsidP="00B53873">
            <w:pPr>
              <w:pStyle w:val="libFootnote0"/>
              <w:rPr>
                <w:rtl/>
                <w:lang w:bidi="fa-IR"/>
              </w:rPr>
            </w:pPr>
            <w:r>
              <w:rPr>
                <w:rtl/>
              </w:rPr>
              <w:t>(15)</w:t>
            </w:r>
            <w:r w:rsidRPr="00132E65">
              <w:rPr>
                <w:rtl/>
              </w:rPr>
              <w:t xml:space="preserve"> في « بر » : « قلت »</w:t>
            </w:r>
            <w:r>
              <w:rPr>
                <w:rtl/>
              </w:rPr>
              <w:t>.</w:t>
            </w:r>
          </w:p>
        </w:tc>
      </w:tr>
    </w:tbl>
    <w:p w:rsidR="000C39D1" w:rsidRPr="00132E65" w:rsidRDefault="000C39D1" w:rsidP="000C39D1">
      <w:pPr>
        <w:pStyle w:val="libFootnote0"/>
        <w:rPr>
          <w:rtl/>
          <w:lang w:bidi="fa-IR"/>
        </w:rPr>
      </w:pPr>
      <w:r>
        <w:rPr>
          <w:rtl/>
        </w:rPr>
        <w:t>(16)</w:t>
      </w:r>
      <w:r w:rsidRPr="00132E65">
        <w:rPr>
          <w:rtl/>
        </w:rPr>
        <w:t xml:space="preserve"> في حاشية « بف » :</w:t>
      </w:r>
      <w:r>
        <w:rPr>
          <w:rtl/>
        </w:rPr>
        <w:t xml:space="preserve"> + </w:t>
      </w:r>
      <w:r w:rsidRPr="00132E65">
        <w:rPr>
          <w:rtl/>
        </w:rPr>
        <w:t>« أمّا »</w:t>
      </w:r>
      <w:r>
        <w:rPr>
          <w:rtl/>
        </w:rPr>
        <w:t>.</w:t>
      </w:r>
    </w:p>
    <w:p w:rsidR="000C39D1" w:rsidRPr="00132E65" w:rsidRDefault="000C39D1" w:rsidP="000C39D1">
      <w:pPr>
        <w:pStyle w:val="libFootnote0"/>
        <w:rPr>
          <w:rtl/>
          <w:lang w:bidi="fa-IR"/>
        </w:rPr>
      </w:pPr>
      <w:r>
        <w:rPr>
          <w:rtl/>
        </w:rPr>
        <w:t>(17)</w:t>
      </w:r>
      <w:r w:rsidRPr="00132E65">
        <w:rPr>
          <w:rtl/>
        </w:rPr>
        <w:t xml:space="preserve"> راجع المصادر التي ذكرنا ذيل ح 3 من هذا الباب </w:t>
      </w:r>
      <w:r>
        <w:rPr>
          <w:rFonts w:hint="cs"/>
          <w:rtl/>
        </w:rPr>
        <w:t>.</w:t>
      </w:r>
      <w:r w:rsidRPr="009D1ACE">
        <w:rPr>
          <w:rStyle w:val="libFootnoteBoldChar"/>
          <w:rtl/>
        </w:rPr>
        <w:t>الوافي</w:t>
      </w:r>
      <w:r w:rsidRPr="00132E65">
        <w:rPr>
          <w:rtl/>
        </w:rPr>
        <w:t xml:space="preserve"> ، ج 2 ، ص 412 ، ح 915.</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الْأَنْبَارِيِّ ، عَنْ يَحْيَى بْنِ الْمُثَنّى ، عَنْ عَبْدِ اللهِ بْنِ بُكَيْرٍ ، عَنْ عُبَيْدِ بْنِ زُرَارَةَ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لِلْقَائِمِ </w:t>
      </w:r>
      <w:r w:rsidRPr="00071CF9">
        <w:rPr>
          <w:rStyle w:val="libAlaemChar"/>
          <w:rtl/>
        </w:rPr>
        <w:t>عليه‌السلام</w:t>
      </w:r>
      <w:r w:rsidRPr="00132E65">
        <w:rPr>
          <w:rtl/>
          <w:lang w:bidi="fa-IR"/>
        </w:rPr>
        <w:t xml:space="preserve"> غَيْبَتَانِ ، يَشْهَدُ فِي إِحْدَاهُمَا الْمَوَاسِمَ </w:t>
      </w:r>
      <w:r>
        <w:rPr>
          <w:rStyle w:val="libFootnotenumChar"/>
          <w:rtl/>
        </w:rPr>
        <w:t>(1)</w:t>
      </w:r>
      <w:r w:rsidRPr="00132E65">
        <w:rPr>
          <w:rtl/>
          <w:lang w:bidi="fa-IR"/>
        </w:rPr>
        <w:t xml:space="preserve"> ، يَرَى النَّاسَ ، ولَايَرَوْنَهُ »</w:t>
      </w:r>
      <w:r>
        <w:rPr>
          <w:rtl/>
          <w:lang w:bidi="fa-IR"/>
        </w:rPr>
        <w:t>.</w:t>
      </w:r>
      <w:r w:rsidRPr="00132E65">
        <w:rPr>
          <w:rtl/>
          <w:lang w:bidi="fa-IR"/>
        </w:rPr>
        <w:t xml:space="preserve"> </w:t>
      </w:r>
      <w:r>
        <w:rPr>
          <w:rStyle w:val="libFootnotenumChar"/>
          <w:rtl/>
        </w:rPr>
        <w:t>(2)</w:t>
      </w:r>
    </w:p>
    <w:p w:rsidR="000C39D1" w:rsidRDefault="000C39D1" w:rsidP="000C39D1">
      <w:pPr>
        <w:pStyle w:val="libNormal"/>
        <w:rPr>
          <w:rtl/>
          <w:lang w:bidi="fa-IR"/>
        </w:rPr>
      </w:pPr>
      <w:r w:rsidRPr="00BA3319">
        <w:rPr>
          <w:rtl/>
        </w:rPr>
        <w:t>903</w:t>
      </w:r>
      <w:r w:rsidRPr="004325D8">
        <w:rPr>
          <w:rStyle w:val="libBold2Char"/>
          <w:rtl/>
        </w:rPr>
        <w:t xml:space="preserve"> / 13.</w:t>
      </w:r>
      <w:r w:rsidRPr="00132E65">
        <w:rPr>
          <w:rtl/>
          <w:lang w:bidi="fa-IR"/>
        </w:rPr>
        <w:t xml:space="preserve"> عَلِيُّ بْنُ مُحَمَّدٍ ، عَنْ سَهْلِ بْنِ زِيَادٍ ؛</w:t>
      </w:r>
    </w:p>
    <w:p w:rsidR="000C39D1" w:rsidRDefault="000C39D1" w:rsidP="000C39D1">
      <w:pPr>
        <w:pStyle w:val="libNormal"/>
        <w:rPr>
          <w:rtl/>
          <w:lang w:bidi="fa-IR"/>
        </w:rPr>
      </w:pPr>
      <w:r>
        <w:rPr>
          <w:rFonts w:hint="cs"/>
          <w:rtl/>
          <w:lang w:bidi="fa-IR"/>
        </w:rPr>
        <w:t xml:space="preserve">            </w:t>
      </w:r>
      <w:r w:rsidRPr="00132E65">
        <w:rPr>
          <w:rtl/>
          <w:lang w:bidi="fa-IR"/>
        </w:rPr>
        <w:t>وَمُحَمَّدُ بْنُ يَحْيى وغَيْرُهُ ، عَنْ أَحْمَدَ بْنِ مُحَمَّدٍ ؛</w:t>
      </w:r>
    </w:p>
    <w:p w:rsidR="000C39D1" w:rsidRPr="00132E65" w:rsidRDefault="000C39D1" w:rsidP="000C39D1">
      <w:pPr>
        <w:pStyle w:val="libNormal"/>
        <w:rPr>
          <w:rtl/>
          <w:lang w:bidi="fa-IR"/>
        </w:rPr>
      </w:pPr>
      <w:r>
        <w:rPr>
          <w:rFonts w:hint="cs"/>
          <w:rtl/>
          <w:lang w:bidi="fa-IR"/>
        </w:rPr>
        <w:t xml:space="preserve">            </w:t>
      </w:r>
      <w:r w:rsidRPr="00132E65">
        <w:rPr>
          <w:rtl/>
          <w:lang w:bidi="fa-IR"/>
        </w:rPr>
        <w:t xml:space="preserve">وَعَلِيُّ بْنُ إِبْرَاهِيمَ ، عَنْ أَبِيهِ جَمِيعاً ، عَنِ ابْنِ مَحْبُوبٍ ، عَنْ هِشَامِ بْنِ سَالِمٍ ، عَنْ أَبِي حَمْزَةَ ، عَنْ أَبِي إِسْحَاقَ السَّبِيعِيِّ ، عَنْ بَعْضِ أَصْحَابِ أَمِيرِ الْمُؤْمِنِينَ </w:t>
      </w:r>
      <w:r w:rsidRPr="00071CF9">
        <w:rPr>
          <w:rStyle w:val="libAlaemChar"/>
          <w:rtl/>
        </w:rPr>
        <w:t>عليه‌السلام</w:t>
      </w:r>
      <w:r w:rsidRPr="00132E65">
        <w:rPr>
          <w:rtl/>
          <w:lang w:bidi="fa-IR"/>
        </w:rPr>
        <w:t xml:space="preserve"> مِمَّنْ يُوثَقُ بِهِ :</w:t>
      </w:r>
    </w:p>
    <w:p w:rsidR="000C39D1" w:rsidRPr="00132E65" w:rsidRDefault="000C39D1" w:rsidP="000C39D1">
      <w:pPr>
        <w:pStyle w:val="libNormal"/>
        <w:rPr>
          <w:rtl/>
          <w:lang w:bidi="fa-IR"/>
        </w:rPr>
      </w:pPr>
      <w:r w:rsidRPr="00132E65">
        <w:rPr>
          <w:rtl/>
          <w:lang w:bidi="fa-IR"/>
        </w:rPr>
        <w:t xml:space="preserve">أَنَّ أَمِيرَ الْمُؤْمِنِينَ </w:t>
      </w:r>
      <w:r w:rsidRPr="00071CF9">
        <w:rPr>
          <w:rStyle w:val="libAlaemChar"/>
          <w:rtl/>
        </w:rPr>
        <w:t>عليه‌السلام</w:t>
      </w:r>
      <w:r w:rsidRPr="00132E65">
        <w:rPr>
          <w:rtl/>
          <w:lang w:bidi="fa-IR"/>
        </w:rPr>
        <w:t xml:space="preserve"> تَكَلَّمَ </w:t>
      </w:r>
      <w:r>
        <w:rPr>
          <w:rStyle w:val="libFootnotenumChar"/>
          <w:rtl/>
        </w:rPr>
        <w:t>(3)</w:t>
      </w:r>
      <w:r w:rsidRPr="00132E65">
        <w:rPr>
          <w:rtl/>
          <w:lang w:bidi="fa-IR"/>
        </w:rPr>
        <w:t xml:space="preserve"> بِهذَا الْكَلَامِ ، وحُفِظَ عَنْهُ ، وخَطَبَ بِهِ عَلى مِنْبَرِ الْكُوفَةِ : « اللهُمَّ إِنَّهُ لَابُدَّ لَكَ مِنْ حُجَجٍ فِي أَرْضِكَ ، حُجَّةٍ بَعْدَ حُجَّةٍ عَلى خَلْقِكَ ، يَهْدُونَهُمْ إِلى دِينِكَ ، ويُعَلِّمُونَهُمْ عِلْمَكَ ، كَيْلَا يَتَفَرَّقَ أَتْبَاعُ أَوْلِيَائِكَ </w:t>
      </w:r>
      <w:r>
        <w:rPr>
          <w:rStyle w:val="libFootnotenumChar"/>
          <w:rtl/>
        </w:rPr>
        <w:t>(4)</w:t>
      </w:r>
      <w:r w:rsidRPr="00132E65">
        <w:rPr>
          <w:rtl/>
          <w:lang w:bidi="fa-IR"/>
        </w:rPr>
        <w:t xml:space="preserve"> ، ظَاهِرٍ </w:t>
      </w:r>
      <w:r>
        <w:rPr>
          <w:rStyle w:val="libFootnotenumChar"/>
          <w:rtl/>
        </w:rPr>
        <w:t>(5)</w:t>
      </w:r>
      <w:r w:rsidRPr="00132E65">
        <w:rPr>
          <w:rtl/>
          <w:lang w:bidi="fa-IR"/>
        </w:rPr>
        <w:t xml:space="preserve"> غَيْرِ مُطَاعٍ ، أَوْ مُكْتَتَمٍ </w:t>
      </w:r>
      <w:r>
        <w:rPr>
          <w:rStyle w:val="libFootnotenumChar"/>
          <w:rtl/>
        </w:rPr>
        <w:t>(6)</w:t>
      </w:r>
      <w:r w:rsidRPr="00132E65">
        <w:rPr>
          <w:rtl/>
          <w:lang w:bidi="fa-IR"/>
        </w:rPr>
        <w:t xml:space="preserve"> يُتَرَقَّبُ </w:t>
      </w:r>
      <w:r>
        <w:rPr>
          <w:rStyle w:val="libFootnotenumChar"/>
          <w:rtl/>
        </w:rPr>
        <w:t>(7)</w:t>
      </w:r>
      <w:r w:rsidRPr="00132E65">
        <w:rPr>
          <w:rtl/>
          <w:lang w:bidi="fa-IR"/>
        </w:rPr>
        <w:t xml:space="preserve"> ، إِنْ غَابَ عَنِ النَّاسِ شَخْصُهُمْ </w:t>
      </w:r>
      <w:r>
        <w:rPr>
          <w:rStyle w:val="libFootnotenumChar"/>
          <w:rtl/>
        </w:rPr>
        <w:t>(8)</w:t>
      </w:r>
      <w:r w:rsidRPr="00132E65">
        <w:rPr>
          <w:rtl/>
          <w:lang w:bidi="fa-IR"/>
        </w:rPr>
        <w:t xml:space="preserve"> فِي حَالِ هُدْنَتِهِمْ </w:t>
      </w:r>
      <w:r>
        <w:rPr>
          <w:rStyle w:val="libFootnotenumChar"/>
          <w:rtl/>
        </w:rPr>
        <w:t>(9)</w:t>
      </w:r>
      <w:r w:rsidRPr="00132E65">
        <w:rPr>
          <w:rtl/>
          <w:lang w:bidi="fa-IR"/>
        </w:rPr>
        <w:t xml:space="preserve"> ، فَلَمْ يَغِبْ عَنْهُمْ‌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بف » وشرح المازندراني : « الموسم »</w:t>
      </w:r>
      <w:r>
        <w:rPr>
          <w:rtl/>
        </w:rPr>
        <w:t>.</w:t>
      </w:r>
      <w:r w:rsidRPr="00132E65">
        <w:rPr>
          <w:rtl/>
        </w:rPr>
        <w:t xml:space="preserve"> </w:t>
      </w:r>
      <w:r>
        <w:rPr>
          <w:rtl/>
        </w:rPr>
        <w:t>و « الم</w:t>
      </w:r>
      <w:r>
        <w:rPr>
          <w:rFonts w:hint="cs"/>
          <w:rtl/>
        </w:rPr>
        <w:t>ـَ</w:t>
      </w:r>
      <w:r w:rsidRPr="00132E65">
        <w:rPr>
          <w:rtl/>
        </w:rPr>
        <w:t>واسِمُ » : جمع الم</w:t>
      </w:r>
      <w:r>
        <w:rPr>
          <w:rFonts w:hint="cs"/>
          <w:rtl/>
        </w:rPr>
        <w:t>ـَ</w:t>
      </w:r>
      <w:r w:rsidRPr="00132E65">
        <w:rPr>
          <w:rtl/>
        </w:rPr>
        <w:t>وْسِم.</w:t>
      </w:r>
    </w:p>
    <w:p w:rsidR="000C39D1" w:rsidRPr="00132E65" w:rsidRDefault="000C39D1" w:rsidP="000C39D1">
      <w:pPr>
        <w:pStyle w:val="libFootnote0"/>
        <w:rPr>
          <w:rtl/>
          <w:lang w:bidi="fa-IR"/>
        </w:rPr>
      </w:pPr>
      <w:r>
        <w:rPr>
          <w:rtl/>
        </w:rPr>
        <w:t>(2).</w:t>
      </w:r>
      <w:r w:rsidRPr="00132E65">
        <w:rPr>
          <w:rtl/>
        </w:rPr>
        <w:t xml:space="preserve"> </w:t>
      </w:r>
      <w:r w:rsidRPr="0050337A">
        <w:rPr>
          <w:rStyle w:val="libFootnoteBoldChar"/>
          <w:rtl/>
        </w:rPr>
        <w:t>الغيبة</w:t>
      </w:r>
      <w:r w:rsidRPr="00132E65">
        <w:rPr>
          <w:rtl/>
        </w:rPr>
        <w:t xml:space="preserve"> للنعماني ، ص 175 ، ح 16 ، عن الكليني. </w:t>
      </w:r>
      <w:r w:rsidRPr="00BA3319">
        <w:rPr>
          <w:rtl/>
        </w:rPr>
        <w:t>وفيه</w:t>
      </w:r>
      <w:r w:rsidRPr="00132E65">
        <w:rPr>
          <w:rtl/>
        </w:rPr>
        <w:t xml:space="preserve"> ، ص 175 ، ح 13 ، بسند آخر عن يحيى بن المثنّى ؛ </w:t>
      </w:r>
      <w:r w:rsidRPr="00BA3319">
        <w:rPr>
          <w:rtl/>
        </w:rPr>
        <w:t>وفيه</w:t>
      </w:r>
      <w:r w:rsidRPr="00132E65">
        <w:rPr>
          <w:rtl/>
        </w:rPr>
        <w:t xml:space="preserve"> أيضاً ، ح 15 ، بسند آخر عن يحيى بن المثنّى ، عن زرارة ، وفيها مع اختلاف يسير. وراجع : المصادر التي ذكرنا ذيل ح 6 من هذا الباب </w:t>
      </w:r>
      <w:r>
        <w:rPr>
          <w:rFonts w:hint="cs"/>
          <w:rtl/>
        </w:rPr>
        <w:t>.</w:t>
      </w:r>
      <w:r w:rsidRPr="009D1ACE">
        <w:rPr>
          <w:rStyle w:val="libFootnoteBoldChar"/>
          <w:rtl/>
        </w:rPr>
        <w:t>الوافي</w:t>
      </w:r>
      <w:r w:rsidRPr="00132E65">
        <w:rPr>
          <w:rtl/>
        </w:rPr>
        <w:t xml:space="preserve"> ، ج 2 ، ص 413 ، ح 919.</w:t>
      </w:r>
    </w:p>
    <w:p w:rsidR="000C39D1" w:rsidRPr="00132E65" w:rsidRDefault="000C39D1" w:rsidP="000C39D1">
      <w:pPr>
        <w:pStyle w:val="libFootnote0"/>
        <w:rPr>
          <w:rtl/>
          <w:lang w:bidi="fa-IR"/>
        </w:rPr>
      </w:pPr>
      <w:r>
        <w:rPr>
          <w:rtl/>
        </w:rPr>
        <w:t>(3).</w:t>
      </w:r>
      <w:r w:rsidRPr="00132E65">
        <w:rPr>
          <w:rtl/>
        </w:rPr>
        <w:t xml:space="preserve"> في « ف » : « يتكلّم »</w:t>
      </w:r>
      <w:r>
        <w:rPr>
          <w:rtl/>
        </w:rPr>
        <w:t>.</w:t>
      </w:r>
    </w:p>
    <w:p w:rsidR="000C39D1" w:rsidRPr="00132E65" w:rsidRDefault="000C39D1" w:rsidP="000C39D1">
      <w:pPr>
        <w:pStyle w:val="libFootnote0"/>
        <w:rPr>
          <w:rtl/>
          <w:lang w:bidi="fa-IR"/>
        </w:rPr>
      </w:pPr>
      <w:r>
        <w:rPr>
          <w:rtl/>
        </w:rPr>
        <w:t>(4).</w:t>
      </w:r>
      <w:r w:rsidRPr="00132E65">
        <w:rPr>
          <w:rtl/>
        </w:rPr>
        <w:t xml:space="preserve"> في « بح ، بر ، بف » وحاشية « ض ، ف » : « ا</w:t>
      </w:r>
      <w:r>
        <w:rPr>
          <w:rFonts w:hint="cs"/>
          <w:rtl/>
        </w:rPr>
        <w:t>ُ</w:t>
      </w:r>
      <w:r w:rsidRPr="00132E65">
        <w:rPr>
          <w:rtl/>
        </w:rPr>
        <w:t>ولئك »</w:t>
      </w:r>
      <w:r>
        <w:rPr>
          <w:rtl/>
        </w:rPr>
        <w:t>.</w:t>
      </w:r>
      <w:r w:rsidRPr="00132E65">
        <w:rPr>
          <w:rtl/>
        </w:rPr>
        <w:t xml:space="preserve"> وفي « ب » :</w:t>
      </w:r>
      <w:r>
        <w:rPr>
          <w:rtl/>
        </w:rPr>
        <w:t xml:space="preserve"> + </w:t>
      </w:r>
      <w:r w:rsidRPr="00132E65">
        <w:rPr>
          <w:rtl/>
        </w:rPr>
        <w:t>« إمام »</w:t>
      </w:r>
      <w:r>
        <w:rPr>
          <w:rtl/>
        </w:rPr>
        <w:t>.</w:t>
      </w:r>
    </w:p>
    <w:p w:rsidR="000C39D1" w:rsidRPr="00132E65" w:rsidRDefault="000C39D1" w:rsidP="000C39D1">
      <w:pPr>
        <w:pStyle w:val="libFootnote0"/>
        <w:rPr>
          <w:rtl/>
          <w:lang w:bidi="fa-IR"/>
        </w:rPr>
      </w:pPr>
      <w:r>
        <w:rPr>
          <w:rtl/>
        </w:rPr>
        <w:t>(5).</w:t>
      </w:r>
      <w:r w:rsidRPr="00132E65">
        <w:rPr>
          <w:rtl/>
        </w:rPr>
        <w:t xml:space="preserve"> قوله : « ظاهر » ، مجرور نعتاً</w:t>
      </w:r>
      <w:r>
        <w:rPr>
          <w:rtl/>
        </w:rPr>
        <w:t xml:space="preserve"> ل</w:t>
      </w:r>
      <w:r>
        <w:rPr>
          <w:rFonts w:hint="cs"/>
          <w:rtl/>
        </w:rPr>
        <w:t>ـ</w:t>
      </w:r>
      <w:r>
        <w:rPr>
          <w:rtl/>
        </w:rPr>
        <w:t xml:space="preserve"> «</w:t>
      </w:r>
      <w:r w:rsidRPr="00132E65">
        <w:rPr>
          <w:rtl/>
        </w:rPr>
        <w:t xml:space="preserve"> حجّة »</w:t>
      </w:r>
      <w:r>
        <w:rPr>
          <w:rtl/>
        </w:rPr>
        <w:t>.</w:t>
      </w:r>
      <w:r w:rsidRPr="00132E65">
        <w:rPr>
          <w:rtl/>
        </w:rPr>
        <w:t xml:space="preserve"> أو مرفوع خبراً لمبتدأ محذوف ، أي كلّ منهم ظاهر.</w:t>
      </w:r>
    </w:p>
    <w:p w:rsidR="000C39D1" w:rsidRPr="00132E65" w:rsidRDefault="000C39D1" w:rsidP="000C39D1">
      <w:pPr>
        <w:pStyle w:val="libFootnote0"/>
        <w:rPr>
          <w:rtl/>
          <w:lang w:bidi="fa-IR"/>
        </w:rPr>
      </w:pPr>
      <w:r>
        <w:rPr>
          <w:rtl/>
        </w:rPr>
        <w:t>(6).</w:t>
      </w:r>
      <w:r w:rsidRPr="00132E65">
        <w:rPr>
          <w:rtl/>
        </w:rPr>
        <w:t xml:space="preserve"> في « ف » : « مكتمّ »</w:t>
      </w:r>
      <w:r>
        <w:rPr>
          <w:rtl/>
        </w:rPr>
        <w:t>.</w:t>
      </w:r>
    </w:p>
    <w:p w:rsidR="000C39D1" w:rsidRPr="00132E65" w:rsidRDefault="000C39D1" w:rsidP="000C39D1">
      <w:pPr>
        <w:pStyle w:val="libFootnote0"/>
        <w:rPr>
          <w:rtl/>
          <w:lang w:bidi="fa-IR"/>
        </w:rPr>
      </w:pPr>
      <w:r>
        <w:rPr>
          <w:rtl/>
        </w:rPr>
        <w:t>(7).</w:t>
      </w:r>
      <w:r w:rsidRPr="00132E65">
        <w:rPr>
          <w:rtl/>
        </w:rPr>
        <w:t xml:space="preserve"> يُتَرَقَّبُ ، أي ينتظر ، والترقّب : الانتظار ، وكذلك الارتقاب. راجع : </w:t>
      </w:r>
      <w:r w:rsidRPr="0050337A">
        <w:rPr>
          <w:rStyle w:val="libFootnoteBoldChar"/>
          <w:rtl/>
        </w:rPr>
        <w:t>الصحاح</w:t>
      </w:r>
      <w:r w:rsidRPr="00132E65">
        <w:rPr>
          <w:rtl/>
        </w:rPr>
        <w:t xml:space="preserve"> ، ج 1 ، ص 138 ( رقب )</w:t>
      </w:r>
      <w:r>
        <w:rPr>
          <w:rtl/>
        </w:rPr>
        <w:t>.</w:t>
      </w:r>
    </w:p>
    <w:p w:rsidR="000C39D1" w:rsidRPr="00132E65" w:rsidRDefault="000C39D1" w:rsidP="000C39D1">
      <w:pPr>
        <w:pStyle w:val="libFootnote0"/>
        <w:rPr>
          <w:rtl/>
          <w:lang w:bidi="fa-IR"/>
        </w:rPr>
      </w:pPr>
      <w:r>
        <w:rPr>
          <w:rtl/>
        </w:rPr>
        <w:t>(8).</w:t>
      </w:r>
      <w:r w:rsidRPr="00132E65">
        <w:rPr>
          <w:rtl/>
        </w:rPr>
        <w:t xml:space="preserve"> في الوسائل : « شخصه »</w:t>
      </w:r>
      <w:r>
        <w:rPr>
          <w:rtl/>
        </w:rPr>
        <w:t>.</w:t>
      </w:r>
    </w:p>
    <w:p w:rsidR="000C39D1" w:rsidRPr="00132E65" w:rsidRDefault="000C39D1" w:rsidP="000C39D1">
      <w:pPr>
        <w:pStyle w:val="libFootnote0"/>
        <w:rPr>
          <w:rtl/>
          <w:lang w:bidi="fa-IR"/>
        </w:rPr>
      </w:pPr>
      <w:r>
        <w:rPr>
          <w:rtl/>
        </w:rPr>
        <w:t>(9).</w:t>
      </w:r>
      <w:r w:rsidRPr="00132E65">
        <w:rPr>
          <w:rtl/>
        </w:rPr>
        <w:t xml:space="preserve"> في « بح » : « هدتهم »</w:t>
      </w:r>
      <w:r>
        <w:rPr>
          <w:rtl/>
        </w:rPr>
        <w:t>.</w:t>
      </w:r>
      <w:r w:rsidRPr="00132E65">
        <w:rPr>
          <w:rtl/>
        </w:rPr>
        <w:t xml:space="preserve"> وفي « بس » : « هدبتهم »</w:t>
      </w:r>
      <w:r>
        <w:rPr>
          <w:rtl/>
        </w:rPr>
        <w:t>.</w:t>
      </w:r>
      <w:r w:rsidRPr="00132E65">
        <w:rPr>
          <w:rtl/>
        </w:rPr>
        <w:t xml:space="preserve"> وقال ابن الأثير : « الهُدْنَةُ : السكون ، والهُدْنَةُ : الصلح والموادعة بين المسلمين والكفّار وبين كلّ متحاربَيْن. </w:t>
      </w:r>
      <w:r w:rsidRPr="0050337A">
        <w:rPr>
          <w:rStyle w:val="libFootnoteBoldChar"/>
          <w:rtl/>
        </w:rPr>
        <w:t>النهاية</w:t>
      </w:r>
      <w:r w:rsidRPr="00132E65">
        <w:rPr>
          <w:rtl/>
        </w:rPr>
        <w:t xml:space="preserve"> ، ج 5 ، ص 252 ( هدن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قَدِيمُ مَبْثُوثِ </w:t>
      </w:r>
      <w:r>
        <w:rPr>
          <w:rStyle w:val="libFootnotenumChar"/>
          <w:rtl/>
        </w:rPr>
        <w:t>(1)</w:t>
      </w:r>
      <w:r w:rsidRPr="00132E65">
        <w:rPr>
          <w:rtl/>
          <w:lang w:bidi="fa-IR"/>
        </w:rPr>
        <w:t xml:space="preserve"> عِلْمِهِمْ ، وآدَابُهُمْ </w:t>
      </w:r>
      <w:r>
        <w:rPr>
          <w:rStyle w:val="libFootnotenumChar"/>
          <w:rtl/>
        </w:rPr>
        <w:t>(2)</w:t>
      </w:r>
      <w:r w:rsidRPr="00132E65">
        <w:rPr>
          <w:rtl/>
          <w:lang w:bidi="fa-IR"/>
        </w:rPr>
        <w:t xml:space="preserve"> فِي قُلُوبِ الْمُؤْمِنِينَ مُثْبَتَةٌ ، فَهُمْ بِهَا عَامِلُونَ »</w:t>
      </w:r>
      <w:r>
        <w:rPr>
          <w:rtl/>
          <w:lang w:bidi="fa-IR"/>
        </w:rPr>
        <w:t>.</w:t>
      </w:r>
    </w:p>
    <w:p w:rsidR="000C39D1" w:rsidRPr="00132E65" w:rsidRDefault="000C39D1" w:rsidP="000C39D1">
      <w:pPr>
        <w:pStyle w:val="libNormal"/>
        <w:rPr>
          <w:rtl/>
          <w:lang w:bidi="fa-IR"/>
        </w:rPr>
      </w:pPr>
      <w:r w:rsidRPr="00132E65">
        <w:rPr>
          <w:rtl/>
          <w:lang w:bidi="fa-IR"/>
        </w:rPr>
        <w:t xml:space="preserve">وَيَقُولُ </w:t>
      </w:r>
      <w:r w:rsidRPr="00071CF9">
        <w:rPr>
          <w:rStyle w:val="libAlaemChar"/>
          <w:rtl/>
        </w:rPr>
        <w:t>عليه‌السلام</w:t>
      </w:r>
      <w:r w:rsidRPr="00132E65">
        <w:rPr>
          <w:rtl/>
          <w:lang w:bidi="fa-IR"/>
        </w:rPr>
        <w:t xml:space="preserve"> فِي هذِهِ الْخُطْبَةِ فِي مَوْضِعٍ آخَرَ :</w:t>
      </w:r>
    </w:p>
    <w:p w:rsidR="000C39D1" w:rsidRPr="00132E65" w:rsidRDefault="000C39D1" w:rsidP="000C39D1">
      <w:pPr>
        <w:pStyle w:val="libNormal"/>
        <w:rPr>
          <w:rtl/>
          <w:lang w:bidi="fa-IR"/>
        </w:rPr>
      </w:pPr>
      <w:r w:rsidRPr="00132E65">
        <w:rPr>
          <w:rtl/>
          <w:lang w:bidi="fa-IR"/>
        </w:rPr>
        <w:t xml:space="preserve">« فِيمَنْ </w:t>
      </w:r>
      <w:r>
        <w:rPr>
          <w:rStyle w:val="libFootnotenumChar"/>
          <w:rtl/>
        </w:rPr>
        <w:t>(3)</w:t>
      </w:r>
      <w:r w:rsidRPr="00132E65">
        <w:rPr>
          <w:rtl/>
          <w:lang w:bidi="fa-IR"/>
        </w:rPr>
        <w:t xml:space="preserve"> هذَا</w:t>
      </w:r>
      <w:r>
        <w:rPr>
          <w:rtl/>
          <w:lang w:bidi="fa-IR"/>
        </w:rPr>
        <w:t>؟</w:t>
      </w:r>
      <w:r w:rsidRPr="00132E65">
        <w:rPr>
          <w:rtl/>
          <w:lang w:bidi="fa-IR"/>
        </w:rPr>
        <w:t xml:space="preserve"> ولِهذَا يَأْرِزُ </w:t>
      </w:r>
      <w:r>
        <w:rPr>
          <w:rStyle w:val="libFootnotenumChar"/>
          <w:rtl/>
        </w:rPr>
        <w:t>(4)</w:t>
      </w:r>
      <w:r w:rsidRPr="00132E65">
        <w:rPr>
          <w:rtl/>
          <w:lang w:bidi="fa-IR"/>
        </w:rPr>
        <w:t xml:space="preserve"> الْعِلْمُ إِذَا لَمْ يُوجَدْ لَهُ حَمَلَةٌ يَحْفَظُونَهُ ، ويَرْوُونَهُ كَمَا سَمِعُوهُ </w:t>
      </w:r>
      <w:r>
        <w:rPr>
          <w:rStyle w:val="libFootnotenumChar"/>
          <w:rtl/>
        </w:rPr>
        <w:t>(5)</w:t>
      </w:r>
      <w:r w:rsidRPr="00132E65">
        <w:rPr>
          <w:rtl/>
          <w:lang w:bidi="fa-IR"/>
        </w:rPr>
        <w:t xml:space="preserve"> مِنَ الْعُلَمَاءِ ، ويَصْدُقُونَ </w:t>
      </w:r>
      <w:r>
        <w:rPr>
          <w:rStyle w:val="libFootnotenumChar"/>
          <w:rtl/>
        </w:rPr>
        <w:t>(6)</w:t>
      </w:r>
      <w:r w:rsidRPr="00132E65">
        <w:rPr>
          <w:rtl/>
          <w:lang w:bidi="fa-IR"/>
        </w:rPr>
        <w:t xml:space="preserve"> عَلَيْهِمْ فِيهِ ؛ اللهُمَّ فَإِنِّي </w:t>
      </w:r>
      <w:r>
        <w:rPr>
          <w:rStyle w:val="libFootnotenumChar"/>
          <w:rtl/>
        </w:rPr>
        <w:t>(7)</w:t>
      </w:r>
      <w:r w:rsidRPr="00132E65">
        <w:rPr>
          <w:rtl/>
          <w:lang w:bidi="fa-IR"/>
        </w:rPr>
        <w:t xml:space="preserve"> لَأَعْلَمُ أَنَّ الْعِلْمَ لَايَأْرِزُ </w:t>
      </w:r>
      <w:r>
        <w:rPr>
          <w:rStyle w:val="libFootnotenumChar"/>
          <w:rtl/>
        </w:rPr>
        <w:t>(8)</w:t>
      </w:r>
      <w:r w:rsidRPr="00132E65">
        <w:rPr>
          <w:rtl/>
          <w:lang w:bidi="fa-IR"/>
        </w:rPr>
        <w:t xml:space="preserve"> كُلُّهُ ، ولَايَنْقَطِعُ مَوَادُّهُ ، و</w:t>
      </w:r>
      <w:r>
        <w:rPr>
          <w:rFonts w:hint="cs"/>
          <w:rtl/>
          <w:lang w:bidi="fa-IR"/>
        </w:rPr>
        <w:t xml:space="preserve"> </w:t>
      </w:r>
      <w:r>
        <w:rPr>
          <w:rStyle w:val="libFootnotenumChar"/>
          <w:rtl/>
        </w:rPr>
        <w:t>(9)</w:t>
      </w:r>
      <w:r w:rsidRPr="00132E65">
        <w:rPr>
          <w:rtl/>
          <w:lang w:bidi="fa-IR"/>
        </w:rPr>
        <w:t xml:space="preserve"> إِنَّكَ لَاتُخْلِي </w:t>
      </w:r>
      <w:r>
        <w:rPr>
          <w:rStyle w:val="libFootnotenumChar"/>
          <w:rtl/>
        </w:rPr>
        <w:t>(10)</w:t>
      </w:r>
      <w:r w:rsidRPr="00132E65">
        <w:rPr>
          <w:rtl/>
          <w:lang w:bidi="fa-IR"/>
        </w:rPr>
        <w:t xml:space="preserve"> أَرْضَكَ مِنْ حُجَّةٍ لَكَ عَلى خَلْقِكَ ، ظَاهِرٍ </w:t>
      </w:r>
      <w:r>
        <w:rPr>
          <w:rStyle w:val="libFootnotenumChar"/>
          <w:rtl/>
        </w:rPr>
        <w:t>(11)</w:t>
      </w:r>
      <w:r w:rsidRPr="00132E65">
        <w:rPr>
          <w:rtl/>
          <w:lang w:bidi="fa-IR"/>
        </w:rPr>
        <w:t xml:space="preserve"> لَيْسَ بِالْمُطَاعِ </w:t>
      </w:r>
      <w:r>
        <w:rPr>
          <w:rStyle w:val="libFootnotenumChar"/>
          <w:rtl/>
        </w:rPr>
        <w:t>(12)</w:t>
      </w:r>
      <w:r w:rsidRPr="00132E65">
        <w:rPr>
          <w:rtl/>
          <w:lang w:bidi="fa-IR"/>
        </w:rPr>
        <w:t xml:space="preserve"> ، أَوْ خَائِفٍ مَغْمُورٍ </w:t>
      </w:r>
      <w:r w:rsidRPr="00F543F1">
        <w:rPr>
          <w:rStyle w:val="libFootnotenumChar"/>
          <w:rtl/>
        </w:rPr>
        <w:t>(13)</w:t>
      </w:r>
      <w:r w:rsidRPr="00132E65">
        <w:rPr>
          <w:rtl/>
          <w:lang w:bidi="fa-IR"/>
        </w:rPr>
        <w:t xml:space="preserve"> ؛ كَيْلَا تَبْطُلَ حُجَّتُكَ </w:t>
      </w:r>
      <w:r w:rsidRPr="00F543F1">
        <w:rPr>
          <w:rStyle w:val="libFootnotenumChar"/>
          <w:rtl/>
        </w:rPr>
        <w:t>(14)</w:t>
      </w:r>
      <w:r w:rsidRPr="00132E65">
        <w:rPr>
          <w:rtl/>
          <w:lang w:bidi="fa-IR"/>
        </w:rPr>
        <w:t xml:space="preserve"> ، ولَايَضِلَّ </w:t>
      </w:r>
      <w:r w:rsidRPr="00F543F1">
        <w:rPr>
          <w:rStyle w:val="libFootnotenumChar"/>
          <w:rtl/>
        </w:rPr>
        <w:t>(15)</w:t>
      </w:r>
      <w:r w:rsidRPr="00132E65">
        <w:rPr>
          <w:rtl/>
          <w:lang w:bidi="fa-IR"/>
        </w:rPr>
        <w:t xml:space="preserve"> أَوْلِيَاؤُكَ </w:t>
      </w:r>
      <w:r w:rsidRPr="00F543F1">
        <w:rPr>
          <w:rStyle w:val="libFootnotenumChar"/>
          <w:rtl/>
        </w:rPr>
        <w:t>(16)</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ف ، بس ، بف » وشرح المازندراني : « مثبوت »</w:t>
      </w:r>
      <w:r>
        <w:rPr>
          <w:rtl/>
        </w:rPr>
        <w:t>.</w:t>
      </w:r>
      <w:r w:rsidRPr="00132E65">
        <w:rPr>
          <w:rtl/>
        </w:rPr>
        <w:t xml:space="preserve"> قال المازندراني : جاء « ثبت » لازماً ومتعدّياً ، وقال المجلسي : لم أر مجيئه متعدّياً. وجعل ما في المتن أظهر. وقوله : « المبثوث » : المنتشر. يقال : بثّ الخبر وأبَثَّه ، أي نشره ، فانبثّ ، أي انتشر. راجع : </w:t>
      </w:r>
      <w:r w:rsidRPr="0050337A">
        <w:rPr>
          <w:rStyle w:val="libFootnoteBoldChar"/>
          <w:rtl/>
        </w:rPr>
        <w:t>الصحاح</w:t>
      </w:r>
      <w:r w:rsidRPr="00132E65">
        <w:rPr>
          <w:rtl/>
        </w:rPr>
        <w:t xml:space="preserve"> ، ج 1 ، ص 273 ( بثث )</w:t>
      </w:r>
      <w:r>
        <w:rPr>
          <w:rtl/>
        </w:rPr>
        <w:t>.</w:t>
      </w:r>
    </w:p>
    <w:p w:rsidR="000C39D1" w:rsidRPr="00132E65" w:rsidRDefault="000C39D1" w:rsidP="000C39D1">
      <w:pPr>
        <w:pStyle w:val="libFootnote0"/>
        <w:rPr>
          <w:rtl/>
          <w:lang w:bidi="fa-IR"/>
        </w:rPr>
      </w:pPr>
      <w:r>
        <w:rPr>
          <w:rtl/>
        </w:rPr>
        <w:t>(2).</w:t>
      </w:r>
      <w:r w:rsidRPr="00132E65">
        <w:rPr>
          <w:rtl/>
        </w:rPr>
        <w:t xml:space="preserve"> احتمل المازندراني ضعيفاً أن يكون « آدابهم » عطفاً على « علمهم » ، </w:t>
      </w:r>
      <w:r>
        <w:rPr>
          <w:rtl/>
        </w:rPr>
        <w:t>و «</w:t>
      </w:r>
      <w:r w:rsidRPr="00132E65">
        <w:rPr>
          <w:rtl/>
        </w:rPr>
        <w:t xml:space="preserve"> مثبتة » حالاً عنهما ، </w:t>
      </w:r>
      <w:r>
        <w:rPr>
          <w:rtl/>
        </w:rPr>
        <w:t>و «</w:t>
      </w:r>
      <w:r w:rsidRPr="00132E65">
        <w:rPr>
          <w:rtl/>
        </w:rPr>
        <w:t xml:space="preserve"> في » متعلّقاً</w:t>
      </w:r>
      <w:r>
        <w:rPr>
          <w:rtl/>
        </w:rPr>
        <w:t xml:space="preserve"> ب</w:t>
      </w:r>
      <w:r>
        <w:rPr>
          <w:rFonts w:hint="cs"/>
          <w:rtl/>
        </w:rPr>
        <w:t>ـ</w:t>
      </w:r>
      <w:r>
        <w:rPr>
          <w:rtl/>
        </w:rPr>
        <w:t xml:space="preserve"> «</w:t>
      </w:r>
      <w:r w:rsidRPr="00132E65">
        <w:rPr>
          <w:rtl/>
        </w:rPr>
        <w:t xml:space="preserve"> مثبتة »</w:t>
      </w:r>
      <w:r>
        <w:rPr>
          <w:rtl/>
        </w:rPr>
        <w:t>.</w:t>
      </w:r>
    </w:p>
    <w:p w:rsidR="000C39D1" w:rsidRPr="00132E65" w:rsidRDefault="000C39D1" w:rsidP="000C39D1">
      <w:pPr>
        <w:pStyle w:val="libFootnote0"/>
        <w:rPr>
          <w:rtl/>
          <w:lang w:bidi="fa-IR"/>
        </w:rPr>
      </w:pPr>
      <w:r>
        <w:rPr>
          <w:rtl/>
        </w:rPr>
        <w:t>(3).</w:t>
      </w:r>
      <w:r w:rsidRPr="00132E65">
        <w:rPr>
          <w:rtl/>
        </w:rPr>
        <w:t xml:space="preserve"> في « ف » وحاشية « ج ، بر ، بف » : « فمن »</w:t>
      </w:r>
      <w:r>
        <w:rPr>
          <w:rtl/>
        </w:rPr>
        <w:t>.</w:t>
      </w:r>
      <w:r w:rsidRPr="00132E65">
        <w:rPr>
          <w:rtl/>
        </w:rPr>
        <w:t xml:space="preserve"> وقرأه الفيض : فيمن هذى ، ثمّ قال : « في شأن من تكلّم في العلم</w:t>
      </w:r>
      <w:r>
        <w:rPr>
          <w:rFonts w:hint="cs"/>
          <w:rtl/>
        </w:rPr>
        <w:t xml:space="preserve"> </w:t>
      </w:r>
      <w:r w:rsidRPr="00132E65">
        <w:rPr>
          <w:rtl/>
        </w:rPr>
        <w:t xml:space="preserve">‌بغير معقول من الهذيان » وردّه المجلسي ، ثمّ قال : « وفي بعض النسخ : فمن هذا ، كما في رواية النعماني ، فمن بالكسر ، </w:t>
      </w:r>
      <w:r>
        <w:rPr>
          <w:rtl/>
        </w:rPr>
        <w:t>و «</w:t>
      </w:r>
      <w:r w:rsidRPr="00132E65">
        <w:rPr>
          <w:rtl/>
        </w:rPr>
        <w:t xml:space="preserve"> لهذا » تأكيد له. وهذا في الموضعين إشارة إلى كلام ا</w:t>
      </w:r>
      <w:r>
        <w:rPr>
          <w:rFonts w:hint="cs"/>
          <w:rtl/>
        </w:rPr>
        <w:t>ُ</w:t>
      </w:r>
      <w:r w:rsidRPr="00132E65">
        <w:rPr>
          <w:rtl/>
        </w:rPr>
        <w:t>سقط من البين. ويمكن أن يقرأ بالفتح على الاستفهام للقلّة »</w:t>
      </w:r>
      <w:r>
        <w:rPr>
          <w:rtl/>
        </w:rPr>
        <w:t>.</w:t>
      </w:r>
      <w:r w:rsidRPr="00132E65">
        <w:rPr>
          <w:rtl/>
        </w:rPr>
        <w:t xml:space="preserve"> راجع : </w:t>
      </w:r>
      <w:r w:rsidRPr="009D1ACE">
        <w:rPr>
          <w:rStyle w:val="libFootnoteBoldChar"/>
          <w:rtl/>
        </w:rPr>
        <w:t>الوافي</w:t>
      </w:r>
      <w:r w:rsidRPr="00132E65">
        <w:rPr>
          <w:rtl/>
        </w:rPr>
        <w:t xml:space="preserve"> ، ج 2 ، ص 409 ؛ </w:t>
      </w:r>
      <w:r w:rsidRPr="009D1ACE">
        <w:rPr>
          <w:rStyle w:val="libFootnoteBoldChar"/>
          <w:rtl/>
        </w:rPr>
        <w:t>مرآة العقول</w:t>
      </w:r>
      <w:r w:rsidRPr="00132E65">
        <w:rPr>
          <w:rtl/>
        </w:rPr>
        <w:t xml:space="preserve"> ، ج 4 ، ص 48.</w:t>
      </w:r>
    </w:p>
    <w:p w:rsidR="000C39D1" w:rsidRPr="00132E65" w:rsidRDefault="000C39D1" w:rsidP="000C39D1">
      <w:pPr>
        <w:pStyle w:val="libFootnote0"/>
        <w:rPr>
          <w:rtl/>
          <w:lang w:bidi="fa-IR"/>
        </w:rPr>
      </w:pPr>
      <w:r>
        <w:rPr>
          <w:rtl/>
        </w:rPr>
        <w:t>(4).</w:t>
      </w:r>
      <w:r w:rsidRPr="00132E65">
        <w:rPr>
          <w:rtl/>
        </w:rPr>
        <w:t xml:space="preserve"> في « ب ، ف » وحاشية « بح » : « يأزر »</w:t>
      </w:r>
      <w:r>
        <w:rPr>
          <w:rtl/>
        </w:rPr>
        <w:t>.</w:t>
      </w:r>
      <w:r w:rsidRPr="00132E65">
        <w:rPr>
          <w:rtl/>
        </w:rPr>
        <w:t xml:space="preserve"> وقوله : « يَأْرِزُ » ، أي يجتمع ويتقبّض. يقال : أرَزَ فلان يَأْرِزُ أرْزاً وأرُوزاً ، أي تَضامّ وتَقَبَّضَ من بُخله. ويقال : أرَزَت الحيّةُ إلى جُحْرها ، أي انضمّت إليها واجتمع بعضه إلى بعض فيها. راجع : </w:t>
      </w:r>
      <w:r w:rsidRPr="0050337A">
        <w:rPr>
          <w:rStyle w:val="libFootnoteBoldChar"/>
          <w:rtl/>
        </w:rPr>
        <w:t>الصحاح</w:t>
      </w:r>
      <w:r w:rsidRPr="00132E65">
        <w:rPr>
          <w:rtl/>
        </w:rPr>
        <w:t xml:space="preserve"> ، ج 3 ، ص 863</w:t>
      </w:r>
      <w:r>
        <w:rPr>
          <w:rtl/>
        </w:rPr>
        <w:t xml:space="preserve"> - </w:t>
      </w:r>
      <w:r w:rsidRPr="00132E65">
        <w:rPr>
          <w:rtl/>
        </w:rPr>
        <w:t>864 ( أرز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يسمعونه »</w:t>
      </w:r>
      <w:r>
        <w:rPr>
          <w:rtl/>
        </w:rPr>
        <w:t>.</w:t>
      </w:r>
    </w:p>
    <w:p w:rsidR="000C39D1" w:rsidRPr="00132E65" w:rsidRDefault="000C39D1" w:rsidP="000C39D1">
      <w:pPr>
        <w:pStyle w:val="libFootnote0"/>
        <w:rPr>
          <w:rtl/>
          <w:lang w:bidi="fa-IR"/>
        </w:rPr>
      </w:pPr>
      <w:r>
        <w:rPr>
          <w:rtl/>
        </w:rPr>
        <w:t>(6).</w:t>
      </w:r>
      <w:r w:rsidRPr="00132E65">
        <w:rPr>
          <w:rtl/>
        </w:rPr>
        <w:t xml:space="preserve"> في « ب ، ج ، ه‍ ، بر » : « يصدَّقون »</w:t>
      </w:r>
      <w:r>
        <w:rPr>
          <w:rtl/>
        </w:rPr>
        <w:t>.</w:t>
      </w:r>
      <w:r w:rsidRPr="00132E65">
        <w:rPr>
          <w:rtl/>
        </w:rPr>
        <w:t xml:space="preserve"> وفي </w:t>
      </w:r>
      <w:r w:rsidRPr="009D1ACE">
        <w:rPr>
          <w:rStyle w:val="libFootnoteBoldChar"/>
          <w:rtl/>
        </w:rPr>
        <w:t>مرآة العقول</w:t>
      </w:r>
      <w:r w:rsidRPr="00132E65">
        <w:rPr>
          <w:rtl/>
        </w:rPr>
        <w:t xml:space="preserve"> : « وربّما يقرأ على مجهول باب التفعيل ، أي يصدّقهم الناس في الرواية لعلمهم بعدالتهم »</w:t>
      </w:r>
      <w:r>
        <w:rPr>
          <w:rtl/>
        </w:rPr>
        <w:t>.</w:t>
      </w:r>
      <w:r>
        <w:rPr>
          <w:rFonts w:hint="cs"/>
          <w:rtl/>
        </w:rPr>
        <w:t xml:space="preserve">           </w:t>
      </w:r>
      <w:r w:rsidR="0033724D">
        <w:rPr>
          <w:rFonts w:hint="cs"/>
          <w:rtl/>
        </w:rPr>
        <w:t xml:space="preserve">         </w:t>
      </w:r>
      <w:r>
        <w:rPr>
          <w:rFonts w:hint="cs"/>
          <w:rtl/>
        </w:rPr>
        <w:t xml:space="preserve">   </w:t>
      </w:r>
      <w:r>
        <w:rPr>
          <w:rtl/>
        </w:rPr>
        <w:t>(7).</w:t>
      </w:r>
      <w:r w:rsidRPr="00132E65">
        <w:rPr>
          <w:rtl/>
        </w:rPr>
        <w:t xml:space="preserve"> في شرح المازندراني : « وإنّي »</w:t>
      </w:r>
      <w:r>
        <w:rPr>
          <w:rtl/>
        </w:rPr>
        <w:t>.</w:t>
      </w:r>
    </w:p>
    <w:p w:rsidR="000C39D1" w:rsidRPr="00132E65" w:rsidRDefault="000C39D1" w:rsidP="000C39D1">
      <w:pPr>
        <w:pStyle w:val="libFootnote0"/>
        <w:rPr>
          <w:rtl/>
          <w:lang w:bidi="fa-IR"/>
        </w:rPr>
      </w:pPr>
      <w:r>
        <w:rPr>
          <w:rtl/>
        </w:rPr>
        <w:t>(8).</w:t>
      </w:r>
      <w:r w:rsidRPr="00132E65">
        <w:rPr>
          <w:rtl/>
        </w:rPr>
        <w:t xml:space="preserve"> في « ب ، ف » : « لا يأزر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 » </w:t>
            </w:r>
            <w:r>
              <w:rPr>
                <w:rtl/>
              </w:rPr>
              <w:t xml:space="preserve">: - </w:t>
            </w:r>
            <w:r w:rsidRPr="00132E65">
              <w:rPr>
                <w:rtl/>
              </w:rPr>
              <w:t>«</w:t>
            </w:r>
            <w:r>
              <w:rPr>
                <w:rtl/>
              </w:rPr>
              <w:t xml:space="preserve"> و ».</w:t>
            </w:r>
          </w:p>
        </w:tc>
        <w:tc>
          <w:tcPr>
            <w:tcW w:w="4006" w:type="dxa"/>
          </w:tcPr>
          <w:p w:rsidR="000C39D1" w:rsidRDefault="000C39D1" w:rsidP="00B53873">
            <w:pPr>
              <w:pStyle w:val="libFootnote0"/>
              <w:rPr>
                <w:rtl/>
              </w:rPr>
            </w:pPr>
            <w:r>
              <w:rPr>
                <w:rtl/>
              </w:rPr>
              <w:t>(10).</w:t>
            </w:r>
            <w:r w:rsidRPr="00132E65">
              <w:rPr>
                <w:rtl/>
              </w:rPr>
              <w:t xml:space="preserve"> في « ف » : « لا تخلّي »</w:t>
            </w:r>
            <w:r>
              <w:rPr>
                <w:rtl/>
              </w:rPr>
              <w:t>.</w:t>
            </w:r>
          </w:p>
        </w:tc>
      </w:tr>
    </w:tbl>
    <w:p w:rsidR="000C39D1" w:rsidRPr="00132E65" w:rsidRDefault="000C39D1" w:rsidP="000C39D1">
      <w:pPr>
        <w:pStyle w:val="libFootnote0"/>
        <w:rPr>
          <w:rtl/>
          <w:lang w:bidi="fa-IR"/>
        </w:rPr>
      </w:pPr>
      <w:r>
        <w:rPr>
          <w:rtl/>
        </w:rPr>
        <w:t>(11).</w:t>
      </w:r>
      <w:r w:rsidRPr="00132E65">
        <w:rPr>
          <w:rtl/>
        </w:rPr>
        <w:t xml:space="preserve"> في « ف » : « ظاهراً »</w:t>
      </w:r>
      <w:r>
        <w:rPr>
          <w:rtl/>
        </w:rPr>
        <w:t>.</w:t>
      </w:r>
    </w:p>
    <w:p w:rsidR="000C39D1" w:rsidRPr="00132E65" w:rsidRDefault="000C39D1" w:rsidP="000C39D1">
      <w:pPr>
        <w:pStyle w:val="libFootnote0"/>
        <w:rPr>
          <w:rtl/>
          <w:lang w:bidi="fa-IR"/>
        </w:rPr>
      </w:pPr>
      <w:r>
        <w:rPr>
          <w:rtl/>
        </w:rPr>
        <w:t>(12).</w:t>
      </w:r>
      <w:r w:rsidRPr="00132E65">
        <w:rPr>
          <w:rtl/>
        </w:rPr>
        <w:t xml:space="preserve"> في « بح » : « المطاع »</w:t>
      </w:r>
      <w:r>
        <w:rPr>
          <w:rtl/>
        </w:rPr>
        <w:t>.</w:t>
      </w:r>
    </w:p>
    <w:p w:rsidR="000C39D1" w:rsidRPr="00132E65" w:rsidRDefault="000C39D1" w:rsidP="000C39D1">
      <w:pPr>
        <w:pStyle w:val="libFootnote0"/>
        <w:rPr>
          <w:rtl/>
          <w:lang w:bidi="fa-IR"/>
        </w:rPr>
      </w:pPr>
      <w:r>
        <w:rPr>
          <w:rtl/>
        </w:rPr>
        <w:t>(13)</w:t>
      </w:r>
      <w:r w:rsidRPr="00132E65">
        <w:rPr>
          <w:rtl/>
        </w:rPr>
        <w:t xml:space="preserve"> في أكثر النسخ و</w:t>
      </w:r>
      <w:r w:rsidRPr="009D1ACE">
        <w:rPr>
          <w:rStyle w:val="libFootnoteBoldChar"/>
          <w:rtl/>
        </w:rPr>
        <w:t>الوافي</w:t>
      </w:r>
      <w:r w:rsidRPr="00132E65">
        <w:rPr>
          <w:rtl/>
        </w:rPr>
        <w:t xml:space="preserve"> : « مغمودٍ »</w:t>
      </w:r>
      <w:r>
        <w:rPr>
          <w:rtl/>
        </w:rPr>
        <w:t>.</w:t>
      </w:r>
      <w:r w:rsidRPr="00132E65">
        <w:rPr>
          <w:rtl/>
        </w:rPr>
        <w:t xml:space="preserve"> وكلاهما بمعنى مستور.</w:t>
      </w:r>
    </w:p>
    <w:p w:rsidR="000C39D1" w:rsidRPr="00132E65" w:rsidRDefault="000C39D1" w:rsidP="000C39D1">
      <w:pPr>
        <w:pStyle w:val="libFootnote0"/>
        <w:rPr>
          <w:rtl/>
          <w:lang w:bidi="fa-IR"/>
        </w:rPr>
      </w:pPr>
      <w:r>
        <w:rPr>
          <w:rtl/>
        </w:rPr>
        <w:t>(14)</w:t>
      </w:r>
      <w:r w:rsidRPr="00132E65">
        <w:rPr>
          <w:rtl/>
        </w:rPr>
        <w:t xml:space="preserve"> في « ج ، ه‍ ، بح ، بس » وحاشية « ض ، ف » : « حججك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(15)</w:t>
            </w:r>
            <w:r w:rsidRPr="00132E65">
              <w:rPr>
                <w:rtl/>
              </w:rPr>
              <w:t xml:space="preserve"> في « ف » : « لا تضلّ »</w:t>
            </w:r>
            <w:r>
              <w:rPr>
                <w:rtl/>
              </w:rPr>
              <w:t>.</w:t>
            </w:r>
          </w:p>
        </w:tc>
        <w:tc>
          <w:tcPr>
            <w:tcW w:w="4006" w:type="dxa"/>
          </w:tcPr>
          <w:p w:rsidR="000C39D1" w:rsidRDefault="000C39D1" w:rsidP="00B53873">
            <w:pPr>
              <w:pStyle w:val="libFootnote0"/>
              <w:rPr>
                <w:rtl/>
              </w:rPr>
            </w:pPr>
            <w:r>
              <w:rPr>
                <w:rtl/>
              </w:rPr>
              <w:t>(16)</w:t>
            </w:r>
            <w:r w:rsidRPr="00132E65">
              <w:rPr>
                <w:rtl/>
              </w:rPr>
              <w:t xml:space="preserve"> في « بف » وحاشية « ض ، ف » : « ا</w:t>
            </w:r>
            <w:r>
              <w:rPr>
                <w:rFonts w:hint="cs"/>
                <w:rtl/>
              </w:rPr>
              <w:t>ُ</w:t>
            </w:r>
            <w:r w:rsidRPr="00132E65">
              <w:rPr>
                <w:rtl/>
              </w:rPr>
              <w:t>ولئك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بَعْدَ إِذْ هَدَيْتَهُمْ ، بَلْ أَيْنَ هُمْ</w:t>
      </w:r>
      <w:r>
        <w:rPr>
          <w:rtl/>
          <w:lang w:bidi="fa-IR"/>
        </w:rPr>
        <w:t>؟</w:t>
      </w:r>
      <w:r w:rsidRPr="00132E65">
        <w:rPr>
          <w:rtl/>
          <w:lang w:bidi="fa-IR"/>
        </w:rPr>
        <w:t xml:space="preserve"> وكَمْ هُمْ</w:t>
      </w:r>
      <w:r>
        <w:rPr>
          <w:rtl/>
          <w:lang w:bidi="fa-IR"/>
        </w:rPr>
        <w:t>؟</w:t>
      </w:r>
      <w:r w:rsidRPr="00132E65">
        <w:rPr>
          <w:rtl/>
          <w:lang w:bidi="fa-IR"/>
        </w:rPr>
        <w:t xml:space="preserve"> أُولئِكَ </w:t>
      </w:r>
      <w:r>
        <w:rPr>
          <w:rStyle w:val="libFootnotenumChar"/>
          <w:rtl/>
        </w:rPr>
        <w:t>(1)</w:t>
      </w:r>
      <w:r w:rsidRPr="00132E65">
        <w:rPr>
          <w:rtl/>
          <w:lang w:bidi="fa-IR"/>
        </w:rPr>
        <w:t xml:space="preserve"> الْأَقَلُّونَ عَدَداً ، الْأَعْظَمُونَ </w:t>
      </w:r>
      <w:r>
        <w:rPr>
          <w:rStyle w:val="libFootnotenumChar"/>
          <w:rtl/>
        </w:rPr>
        <w:t>(2)</w:t>
      </w:r>
      <w:r>
        <w:rPr>
          <w:rtl/>
          <w:lang w:bidi="fa-IR"/>
        </w:rPr>
        <w:t xml:space="preserve"> عِنْدَ اللهِ قَدْراً</w:t>
      </w:r>
      <w:r w:rsidRPr="00132E65">
        <w:rPr>
          <w:rtl/>
          <w:lang w:bidi="fa-IR"/>
        </w:rPr>
        <w:t>»</w:t>
      </w:r>
      <w:r>
        <w:rPr>
          <w:rtl/>
          <w:lang w:bidi="fa-IR"/>
        </w:rPr>
        <w:t>.</w:t>
      </w:r>
      <w:r>
        <w:rPr>
          <w:rStyle w:val="libFootnotenumChar"/>
          <w:rtl/>
        </w:rPr>
        <w:t>(3)</w:t>
      </w:r>
    </w:p>
    <w:p w:rsidR="000C39D1" w:rsidRPr="00132E65" w:rsidRDefault="000C39D1" w:rsidP="000C39D1">
      <w:pPr>
        <w:pStyle w:val="libNormal"/>
        <w:rPr>
          <w:rtl/>
          <w:lang w:bidi="fa-IR"/>
        </w:rPr>
      </w:pPr>
      <w:r w:rsidRPr="00BA3319">
        <w:rPr>
          <w:rtl/>
        </w:rPr>
        <w:t>904</w:t>
      </w:r>
      <w:r w:rsidRPr="004325D8">
        <w:rPr>
          <w:rStyle w:val="libBold2Char"/>
          <w:rtl/>
        </w:rPr>
        <w:t xml:space="preserve"> / 14.</w:t>
      </w:r>
      <w:r w:rsidRPr="00132E65">
        <w:rPr>
          <w:rtl/>
          <w:lang w:bidi="fa-IR"/>
        </w:rPr>
        <w:t xml:space="preserve"> عَلِيُّ بْنُ مُحَمَّدٍ ، عَنْ سَهْلِ بْنِ زِيَادٍ ، عَنْ مُوسَى بْنِ الْقَاسِمِ بْنِ مُعَاوِيَةَ الْبَجَلِيِّ ، عَنْ عَلِيِّ بْنِ جَعْفَرٍ :</w:t>
      </w:r>
    </w:p>
    <w:p w:rsidR="000C39D1" w:rsidRPr="00132E65" w:rsidRDefault="000C39D1" w:rsidP="000C39D1">
      <w:pPr>
        <w:pStyle w:val="libNormal"/>
        <w:rPr>
          <w:rtl/>
          <w:lang w:bidi="fa-IR"/>
        </w:rPr>
      </w:pPr>
      <w:r w:rsidRPr="00132E65">
        <w:rPr>
          <w:rtl/>
          <w:lang w:bidi="fa-IR"/>
        </w:rPr>
        <w:t xml:space="preserve">عَنْ أَخِيهِ مُوسَى بْنِ جَعْفَرٍ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قُلْ أَرَأَيْتُمْ إِنْ أَصْبَحَ ماؤُكُمْ غَوْراً فَمَنْ يَأْتِيكُمْ بِماءٍ مَعِينٍ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قَالَ : « إِذَا غَابَ عَنْكُمْ إِمَامُكُمْ ، فَمَنْ </w:t>
      </w:r>
      <w:r>
        <w:rPr>
          <w:rStyle w:val="libFootnotenumChar"/>
          <w:rtl/>
        </w:rPr>
        <w:t>(5)</w:t>
      </w:r>
      <w:r w:rsidRPr="00132E65">
        <w:rPr>
          <w:rtl/>
          <w:lang w:bidi="fa-IR"/>
        </w:rPr>
        <w:t xml:space="preserve"> يَأْتِيكُمْ بِإِمَامٍ </w:t>
      </w:r>
      <w:r>
        <w:rPr>
          <w:rStyle w:val="libFootnotenumChar"/>
          <w:rtl/>
        </w:rPr>
        <w:t>(6)</w:t>
      </w:r>
      <w:r w:rsidRPr="00132E65">
        <w:rPr>
          <w:rtl/>
          <w:lang w:bidi="fa-IR"/>
        </w:rPr>
        <w:t xml:space="preserve"> جَدِيدٍ </w:t>
      </w:r>
      <w:r>
        <w:rPr>
          <w:rStyle w:val="libFootnotenumChar"/>
          <w:rtl/>
        </w:rPr>
        <w:t>(7)</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w:t>
      </w:r>
    </w:p>
    <w:p w:rsidR="000C39D1" w:rsidRPr="00132E65" w:rsidRDefault="000C39D1" w:rsidP="000C39D1">
      <w:pPr>
        <w:pStyle w:val="libNormal"/>
        <w:rPr>
          <w:rtl/>
          <w:lang w:bidi="fa-IR"/>
        </w:rPr>
      </w:pPr>
      <w:r w:rsidRPr="00BA3319">
        <w:rPr>
          <w:rtl/>
        </w:rPr>
        <w:t>905</w:t>
      </w:r>
      <w:r w:rsidRPr="004325D8">
        <w:rPr>
          <w:rStyle w:val="libBold2Char"/>
          <w:rtl/>
        </w:rPr>
        <w:t xml:space="preserve"> / 15.</w:t>
      </w:r>
      <w:r w:rsidRPr="00132E65">
        <w:rPr>
          <w:rtl/>
          <w:lang w:bidi="fa-IR"/>
        </w:rPr>
        <w:t xml:space="preserve"> عِدَّةٌ مِنْ أَصْحَابِنَا ، عَنْ أَحْمَدَ بْنِ مُحَمَّدٍ ، عَنْ عَلِيِّ بْنِ الْحَكَمِ ، عَنْ أَبِي أَيُّوبَ‌</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w:t>
      </w:r>
      <w:r>
        <w:rPr>
          <w:rtl/>
        </w:rPr>
        <w:t xml:space="preserve"> + </w:t>
      </w:r>
      <w:r w:rsidRPr="00132E65">
        <w:rPr>
          <w:rtl/>
        </w:rPr>
        <w:t>« هم »</w:t>
      </w:r>
      <w:r>
        <w:rPr>
          <w:rtl/>
        </w:rPr>
        <w:t>.</w:t>
      </w:r>
    </w:p>
    <w:p w:rsidR="000C39D1" w:rsidRPr="00132E65" w:rsidRDefault="000C39D1" w:rsidP="000C39D1">
      <w:pPr>
        <w:pStyle w:val="libFootnote0"/>
        <w:rPr>
          <w:rtl/>
          <w:lang w:bidi="fa-IR"/>
        </w:rPr>
      </w:pPr>
      <w:r>
        <w:rPr>
          <w:rtl/>
        </w:rPr>
        <w:t>(2).</w:t>
      </w:r>
      <w:r w:rsidRPr="00132E65">
        <w:rPr>
          <w:rtl/>
        </w:rPr>
        <w:t xml:space="preserve"> في « ف » و</w:t>
      </w:r>
      <w:r w:rsidRPr="009D1ACE">
        <w:rPr>
          <w:rStyle w:val="libFootnoteBoldChar"/>
          <w:rtl/>
        </w:rPr>
        <w:t>الوافي</w:t>
      </w:r>
      <w:r w:rsidRPr="00132E65">
        <w:rPr>
          <w:rtl/>
        </w:rPr>
        <w:t xml:space="preserve"> : « والأعظمون »</w:t>
      </w:r>
      <w:r>
        <w:rPr>
          <w:rtl/>
        </w:rPr>
        <w:t>.</w:t>
      </w:r>
    </w:p>
    <w:p w:rsidR="000C39D1" w:rsidRPr="00132E65" w:rsidRDefault="000C39D1" w:rsidP="000C39D1">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الحجّة ، باب أنّ الأرض لا تخلو من حجّة ، ح 457 ، عن عليّ بن محمّد ، عن سهل بن زياد ، عن الحسن بن محبوب ، عن أبي ا</w:t>
      </w:r>
      <w:r>
        <w:rPr>
          <w:rFonts w:hint="cs"/>
          <w:rtl/>
        </w:rPr>
        <w:t>ُ</w:t>
      </w:r>
      <w:r w:rsidRPr="00132E65">
        <w:rPr>
          <w:rtl/>
        </w:rPr>
        <w:t>سمامة ؛ وعليّ بن إبراهيم ، عن أبيه ، عن الحسن بن محبوب ، عن أبي ا</w:t>
      </w:r>
      <w:r>
        <w:rPr>
          <w:rFonts w:hint="cs"/>
          <w:rtl/>
        </w:rPr>
        <w:t>ُ</w:t>
      </w:r>
      <w:r w:rsidRPr="00132E65">
        <w:rPr>
          <w:rtl/>
        </w:rPr>
        <w:t xml:space="preserve">سامة وهشام بن سالم ، عن أبي حمزة ، عن أبي إسحاق ، عمّن يثق به من أصحاب أمير المؤمنين ، عن أمير المؤمنين </w:t>
      </w:r>
      <w:r w:rsidRPr="0033724D">
        <w:rPr>
          <w:rStyle w:val="libFootnoteAlaemChar"/>
          <w:rtl/>
        </w:rPr>
        <w:t>عليه‌السلام</w:t>
      </w:r>
      <w:r w:rsidRPr="00132E65">
        <w:rPr>
          <w:rtl/>
        </w:rPr>
        <w:t xml:space="preserve"> ، وتمام الرواية فيه : « اللهم إنّك لا تخلي أرضك من حجّة لك على خلقك » ؛ </w:t>
      </w:r>
      <w:r w:rsidRPr="00BA3319">
        <w:rPr>
          <w:rtl/>
        </w:rPr>
        <w:t>وفيه</w:t>
      </w:r>
      <w:r w:rsidRPr="00132E65">
        <w:rPr>
          <w:rtl/>
        </w:rPr>
        <w:t xml:space="preserve"> ، باب نادر في حال الغيبة ، ح 890 ، عن عليّ بن محمّد ، عن سهل بن زياد ، عن ابن محبوب ، عن أبي ا</w:t>
      </w:r>
      <w:r>
        <w:rPr>
          <w:rFonts w:hint="cs"/>
          <w:rtl/>
        </w:rPr>
        <w:t>ُ</w:t>
      </w:r>
      <w:r w:rsidRPr="00132E65">
        <w:rPr>
          <w:rtl/>
        </w:rPr>
        <w:t xml:space="preserve">سامة ، عن هشام ؛ ومحمّد بن يحيى ، عن أحمد بن محمّد ، عن ابن محبوب ، عن هشام بن سالم ، عن أبي حمزة ، عن أبي إسحاق ، عن الثقة من أصحاب أمير المؤمنين ، عن أمير المؤمنين </w:t>
      </w:r>
      <w:r w:rsidRPr="0033724D">
        <w:rPr>
          <w:rStyle w:val="libFootnoteAlaemChar"/>
          <w:rtl/>
        </w:rPr>
        <w:t>عليه‌السلام</w:t>
      </w:r>
      <w:r w:rsidRPr="00132E65">
        <w:rPr>
          <w:rtl/>
        </w:rPr>
        <w:t xml:space="preserve"> ، من قوله : « فإنّي لأعلم أنّ العلم لا يأزر كلّه » مع زيادة في آخره. وفي </w:t>
      </w:r>
      <w:r w:rsidRPr="0004652E">
        <w:rPr>
          <w:rStyle w:val="libFootnoteBoldChar"/>
          <w:rtl/>
        </w:rPr>
        <w:t>الغيبة للنعماني</w:t>
      </w:r>
      <w:r w:rsidRPr="00132E65">
        <w:rPr>
          <w:rtl/>
        </w:rPr>
        <w:t xml:space="preserve"> ، ص 136 ، ذيل ح 2 ، عن الكليني. </w:t>
      </w:r>
      <w:r w:rsidRPr="00BA3319">
        <w:rPr>
          <w:rtl/>
        </w:rPr>
        <w:t>وفيه</w:t>
      </w:r>
      <w:r w:rsidRPr="00132E65">
        <w:rPr>
          <w:rtl/>
        </w:rPr>
        <w:t xml:space="preserve"> ، ح 2 ، بسند آخر عن الحسن بن محبوب. </w:t>
      </w:r>
      <w:r w:rsidRPr="00BA3319">
        <w:rPr>
          <w:rtl/>
        </w:rPr>
        <w:t>كمال الدين</w:t>
      </w:r>
      <w:r w:rsidRPr="00132E65">
        <w:rPr>
          <w:rtl/>
        </w:rPr>
        <w:t xml:space="preserve"> ، ص 302 ، ح 11 ، بسند آخر عن أبي عبد الله ، عن آبائه ، عن عليّ </w:t>
      </w:r>
      <w:r w:rsidRPr="0033724D">
        <w:rPr>
          <w:rStyle w:val="libFootnoteAlaemChar"/>
          <w:rtl/>
        </w:rPr>
        <w:t>عليهم‌السلام</w:t>
      </w:r>
      <w:r w:rsidRPr="00132E65">
        <w:rPr>
          <w:rtl/>
        </w:rPr>
        <w:t xml:space="preserve"> ، وفيه إلى قوله : « فهم بها عاملون » مع اختلاف يسير. وراجع المصادر التي ذكرنا ذيل ح 893 </w:t>
      </w:r>
      <w:r>
        <w:rPr>
          <w:rFonts w:hint="cs"/>
          <w:rtl/>
        </w:rPr>
        <w:t>.</w:t>
      </w:r>
      <w:r w:rsidRPr="009D1ACE">
        <w:rPr>
          <w:rStyle w:val="libFootnoteBoldChar"/>
          <w:rtl/>
        </w:rPr>
        <w:t>الوافي</w:t>
      </w:r>
      <w:r w:rsidRPr="00132E65">
        <w:rPr>
          <w:rtl/>
        </w:rPr>
        <w:t xml:space="preserve"> ، ج 2 ، ص 409 ، ح 912 ؛ </w:t>
      </w:r>
      <w:r w:rsidRPr="00BA3319">
        <w:rPr>
          <w:rtl/>
        </w:rPr>
        <w:t>الوسائل</w:t>
      </w:r>
      <w:r w:rsidRPr="00132E65">
        <w:rPr>
          <w:rtl/>
        </w:rPr>
        <w:t xml:space="preserve"> ، ج 27 ، ص 90 ، ح 33291 ، وفيه إلى قوله : « فهم بها عاملون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الملك (67) : 30.</w:t>
            </w:r>
          </w:p>
        </w:tc>
        <w:tc>
          <w:tcPr>
            <w:tcW w:w="4006" w:type="dxa"/>
          </w:tcPr>
          <w:p w:rsidR="000C39D1" w:rsidRDefault="000C39D1" w:rsidP="00B53873">
            <w:pPr>
              <w:pStyle w:val="libFootnote0"/>
              <w:rPr>
                <w:rtl/>
              </w:rPr>
            </w:pPr>
            <w:r>
              <w:rPr>
                <w:rtl/>
              </w:rPr>
              <w:t>(5).</w:t>
            </w:r>
            <w:r w:rsidRPr="00132E65">
              <w:rPr>
                <w:rtl/>
              </w:rPr>
              <w:t xml:space="preserve"> في الغيبة : « من »</w:t>
            </w:r>
            <w:r>
              <w:rPr>
                <w:rtl/>
              </w:rPr>
              <w:t>.</w:t>
            </w:r>
          </w:p>
        </w:tc>
      </w:tr>
    </w:tbl>
    <w:p w:rsidR="000C39D1" w:rsidRPr="00132E65" w:rsidRDefault="000C39D1" w:rsidP="000C39D1">
      <w:pPr>
        <w:pStyle w:val="libFootnote0"/>
        <w:rPr>
          <w:rtl/>
          <w:lang w:bidi="fa-IR"/>
        </w:rPr>
      </w:pPr>
      <w:r>
        <w:rPr>
          <w:rtl/>
        </w:rPr>
        <w:t>(6).</w:t>
      </w:r>
      <w:r w:rsidRPr="00132E65">
        <w:rPr>
          <w:rtl/>
        </w:rPr>
        <w:t xml:space="preserve"> في « ج ، ض ، ف ، بح ، بر ، بف » : « بماء »</w:t>
      </w:r>
      <w:r>
        <w:rPr>
          <w:rtl/>
        </w:rPr>
        <w:t>.</w:t>
      </w:r>
    </w:p>
    <w:p w:rsidR="000C39D1" w:rsidRPr="00132E65" w:rsidRDefault="000C39D1" w:rsidP="000C39D1">
      <w:pPr>
        <w:pStyle w:val="libFootnote0"/>
        <w:rPr>
          <w:rtl/>
          <w:lang w:bidi="fa-IR"/>
        </w:rPr>
      </w:pPr>
      <w:r>
        <w:rPr>
          <w:rtl/>
        </w:rPr>
        <w:t>(7).</w:t>
      </w:r>
      <w:r w:rsidRPr="00132E65">
        <w:rPr>
          <w:rtl/>
        </w:rPr>
        <w:t xml:space="preserve"> في « بر » : « معين »</w:t>
      </w:r>
      <w:r>
        <w:rPr>
          <w:rtl/>
        </w:rPr>
        <w:t>.</w:t>
      </w:r>
    </w:p>
    <w:p w:rsidR="000C39D1" w:rsidRPr="00132E65" w:rsidRDefault="000C39D1" w:rsidP="000C39D1">
      <w:pPr>
        <w:pStyle w:val="libFootnote0"/>
        <w:rPr>
          <w:rtl/>
          <w:lang w:bidi="fa-IR"/>
        </w:rPr>
      </w:pPr>
      <w:r>
        <w:rPr>
          <w:rtl/>
        </w:rPr>
        <w:t>(8).</w:t>
      </w:r>
      <w:r w:rsidRPr="00132E65">
        <w:rPr>
          <w:rtl/>
        </w:rPr>
        <w:t xml:space="preserve"> </w:t>
      </w:r>
      <w:r w:rsidRPr="0004652E">
        <w:rPr>
          <w:rStyle w:val="libFootnoteBoldChar"/>
          <w:rtl/>
        </w:rPr>
        <w:t>الغيبة للنعماني</w:t>
      </w:r>
      <w:r w:rsidRPr="00132E65">
        <w:rPr>
          <w:rtl/>
        </w:rPr>
        <w:t xml:space="preserve"> ، ص 176 ، ح 17 ، عن الكليني ، بسند آخر عن موسى بن القاسم. وفي </w:t>
      </w:r>
      <w:r w:rsidRPr="0004652E">
        <w:rPr>
          <w:rStyle w:val="libFootnoteBoldChar"/>
          <w:rtl/>
        </w:rPr>
        <w:t>كمال الدين</w:t>
      </w:r>
      <w:r w:rsidRPr="00132E65">
        <w:rPr>
          <w:rtl/>
        </w:rPr>
        <w:t xml:space="preserve"> ، ص 351 ، ح 48 ، بسند آخر عن موسى بن القاسم </w:t>
      </w:r>
      <w:r>
        <w:rPr>
          <w:rFonts w:hint="cs"/>
          <w:rtl/>
        </w:rPr>
        <w:t>.</w:t>
      </w:r>
      <w:r w:rsidRPr="009D1ACE">
        <w:rPr>
          <w:rStyle w:val="libFootnoteBoldChar"/>
          <w:rtl/>
        </w:rPr>
        <w:t>الوافي</w:t>
      </w:r>
      <w:r w:rsidRPr="00132E65">
        <w:rPr>
          <w:rtl/>
        </w:rPr>
        <w:t xml:space="preserve"> ، ج 2 ، ص 418 ، ح 931.</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الْخَرَّازِ </w:t>
      </w:r>
      <w:r>
        <w:rPr>
          <w:rStyle w:val="libFootnotenumChar"/>
          <w:rtl/>
        </w:rPr>
        <w:t>(1)</w:t>
      </w:r>
      <w:r w:rsidRPr="00132E65">
        <w:rPr>
          <w:rtl/>
          <w:lang w:bidi="fa-IR"/>
        </w:rPr>
        <w:t xml:space="preserve"> ، عَنْ مُحَمَّدِ بْنِ مُسْلِمٍ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بَلَغَكُمْ عَنْ صَاحِبِكُمْ </w:t>
      </w:r>
      <w:r>
        <w:rPr>
          <w:rStyle w:val="libFootnotenumChar"/>
          <w:rtl/>
        </w:rPr>
        <w:t>(2)</w:t>
      </w:r>
      <w:r w:rsidRPr="00132E65">
        <w:rPr>
          <w:rtl/>
          <w:lang w:bidi="fa-IR"/>
        </w:rPr>
        <w:t xml:space="preserve"> غَيْبَةٌ </w:t>
      </w:r>
      <w:r>
        <w:rPr>
          <w:rStyle w:val="libFootnotenumChar"/>
          <w:rtl/>
        </w:rPr>
        <w:t>(3)</w:t>
      </w:r>
      <w:r w:rsidRPr="00132E65">
        <w:rPr>
          <w:rtl/>
          <w:lang w:bidi="fa-IR"/>
        </w:rPr>
        <w:t xml:space="preserve"> ، فَلَا تُنْكِرُوهَا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BA3319">
        <w:rPr>
          <w:rtl/>
        </w:rPr>
        <w:t>906</w:t>
      </w:r>
      <w:r w:rsidRPr="004325D8">
        <w:rPr>
          <w:rStyle w:val="libBold2Char"/>
          <w:rtl/>
        </w:rPr>
        <w:t xml:space="preserve"> / 16.</w:t>
      </w:r>
      <w:r w:rsidRPr="00132E65">
        <w:rPr>
          <w:rtl/>
          <w:lang w:bidi="fa-IR"/>
        </w:rPr>
        <w:t xml:space="preserve"> عِدَّةٌ مِنْ أَصْحَابِنَا ، عَنْ أَحْمَدَ بْنِ مُحَمَّدٍ ، عَنِ الْحَسَنِ بْنِ عَلِيٍّ الْوَشَّاءِ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لَا بُدَّ لِصَاحِبِ هذَا الْأَمْرِ مِنْ غَيْبَةٍ ، ولَابُدَّ لَهُ </w:t>
      </w:r>
      <w:r>
        <w:rPr>
          <w:rStyle w:val="libFootnotenumChar"/>
          <w:rtl/>
        </w:rPr>
        <w:t>(5)</w:t>
      </w:r>
      <w:r w:rsidRPr="00132E65">
        <w:rPr>
          <w:rtl/>
          <w:lang w:bidi="fa-IR"/>
        </w:rPr>
        <w:t xml:space="preserve"> فِي غَيْبَتِهِ مِنْ عُزْلَةٍ ، ونِعْمَ الْمَنْزِلُ طَيْبَةُ </w:t>
      </w:r>
      <w:r>
        <w:rPr>
          <w:rStyle w:val="libFootnotenumChar"/>
          <w:rtl/>
        </w:rPr>
        <w:t>(6)</w:t>
      </w:r>
      <w:r w:rsidRPr="00132E65">
        <w:rPr>
          <w:rtl/>
          <w:lang w:bidi="fa-IR"/>
        </w:rPr>
        <w:t xml:space="preserve"> ، ومَا بِثَلَاثِينَ مِنْ وحْشَةٍ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BA3319">
        <w:rPr>
          <w:rtl/>
        </w:rPr>
        <w:t>907</w:t>
      </w:r>
      <w:r w:rsidRPr="004325D8">
        <w:rPr>
          <w:rStyle w:val="libBold2Char"/>
          <w:rtl/>
        </w:rPr>
        <w:t xml:space="preserve"> / 17.</w:t>
      </w:r>
      <w:r w:rsidRPr="00132E65">
        <w:rPr>
          <w:rtl/>
          <w:lang w:bidi="fa-IR"/>
        </w:rPr>
        <w:t xml:space="preserve"> وبِهذَا الْإِسْنَادِ ، عَنِ الْوَشَّاءِ ، عَنْ عَلِيِّ بْنِ الْحَسَنِ </w:t>
      </w:r>
      <w:r>
        <w:rPr>
          <w:rStyle w:val="libFootnotenumChar"/>
          <w:rtl/>
        </w:rPr>
        <w:t>(9)</w:t>
      </w:r>
      <w:r w:rsidRPr="00132E65">
        <w:rPr>
          <w:rtl/>
          <w:lang w:bidi="fa-IR"/>
        </w:rPr>
        <w:t xml:space="preserve"> ، عَنْ أَبَانِ بْنِ تَغْلِبَ ، قَالَ :</w:t>
      </w:r>
      <w:r>
        <w:rPr>
          <w:rFonts w:hint="cs"/>
          <w:rtl/>
          <w:lang w:bidi="fa-IR"/>
        </w:rPr>
        <w:t xml:space="preserve"> </w:t>
      </w:r>
      <w:r w:rsidRPr="00132E65">
        <w:rPr>
          <w:rtl/>
          <w:lang w:bidi="fa-IR"/>
        </w:rPr>
        <w:t xml:space="preserve">قَالَ أَبُو عَبْدِ اللهِ </w:t>
      </w:r>
      <w:r w:rsidRPr="00071CF9">
        <w:rPr>
          <w:rStyle w:val="libAlaemChar"/>
          <w:rtl/>
        </w:rPr>
        <w:t>عليه‌السلام</w:t>
      </w:r>
      <w:r w:rsidRPr="00132E65">
        <w:rPr>
          <w:rtl/>
          <w:lang w:bidi="fa-IR"/>
        </w:rPr>
        <w:t xml:space="preserve"> : « كَيْفَ أَنْتَ إِذَا وقَعَتِ الْبَطْشَةُ </w:t>
      </w:r>
      <w:r>
        <w:rPr>
          <w:rStyle w:val="libFootnotenumChar"/>
          <w:rtl/>
        </w:rPr>
        <w:t>(10)</w:t>
      </w:r>
      <w:r w:rsidRPr="00132E65">
        <w:rPr>
          <w:rtl/>
          <w:lang w:bidi="fa-IR"/>
        </w:rPr>
        <w:t xml:space="preserve"> بَيْنَ الْمَسْجِدَيْنِ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ض ، و، بح ، بس » و</w:t>
      </w:r>
      <w:r w:rsidRPr="009D1ACE">
        <w:rPr>
          <w:rStyle w:val="libFootnoteBoldChar"/>
          <w:rtl/>
        </w:rPr>
        <w:t>الوافي</w:t>
      </w:r>
      <w:r w:rsidRPr="00132E65">
        <w:rPr>
          <w:rtl/>
        </w:rPr>
        <w:t>. وفي « ألف ، ج ، ف ، بر » والمطبوع : « الخزّاز »</w:t>
      </w:r>
      <w:r>
        <w:rPr>
          <w:rtl/>
        </w:rPr>
        <w:t>.</w:t>
      </w:r>
      <w:r w:rsidRPr="00132E65">
        <w:rPr>
          <w:rtl/>
        </w:rPr>
        <w:t xml:space="preserve"> وفي « بف » : « الخرار »</w:t>
      </w:r>
      <w:r>
        <w:rPr>
          <w:rtl/>
        </w:rPr>
        <w:t>.</w:t>
      </w:r>
      <w:r w:rsidRPr="00132E65">
        <w:rPr>
          <w:rtl/>
        </w:rPr>
        <w:t xml:space="preserve"> لاحظ ما تقدّم ، ذيل ح 900.</w:t>
      </w:r>
      <w:r>
        <w:rPr>
          <w:rFonts w:hint="cs"/>
          <w:rtl/>
        </w:rPr>
        <w:t xml:space="preserve">                 </w:t>
      </w:r>
      <w:r>
        <w:rPr>
          <w:rtl/>
        </w:rPr>
        <w:t>(2).</w:t>
      </w:r>
      <w:r w:rsidRPr="00132E65">
        <w:rPr>
          <w:rtl/>
        </w:rPr>
        <w:t xml:space="preserve"> في </w:t>
      </w:r>
      <w:r w:rsidRPr="009D1ACE">
        <w:rPr>
          <w:rStyle w:val="libFootnoteBoldChar"/>
          <w:rtl/>
        </w:rPr>
        <w:t>الوافي</w:t>
      </w:r>
      <w:r w:rsidRPr="00132E65">
        <w:rPr>
          <w:rtl/>
        </w:rPr>
        <w:t xml:space="preserve"> : « صاحب هذا الأمر »</w:t>
      </w:r>
      <w:r>
        <w:rPr>
          <w:rtl/>
        </w:rPr>
        <w:t>.</w:t>
      </w:r>
    </w:p>
    <w:p w:rsidR="000C39D1" w:rsidRPr="00132E65" w:rsidRDefault="000C39D1" w:rsidP="000C39D1">
      <w:pPr>
        <w:pStyle w:val="libFootnote0"/>
        <w:rPr>
          <w:rtl/>
          <w:lang w:bidi="fa-IR"/>
        </w:rPr>
      </w:pPr>
      <w:r>
        <w:rPr>
          <w:rtl/>
        </w:rPr>
        <w:t>(3).</w:t>
      </w:r>
      <w:r w:rsidRPr="00132E65">
        <w:rPr>
          <w:rtl/>
        </w:rPr>
        <w:t xml:space="preserve"> في « بر » : « غيبته »</w:t>
      </w:r>
      <w:r>
        <w:rPr>
          <w:rtl/>
        </w:rPr>
        <w:t>.</w:t>
      </w:r>
    </w:p>
    <w:p w:rsidR="000C39D1" w:rsidRPr="00132E65" w:rsidRDefault="000C39D1" w:rsidP="000C39D1">
      <w:pPr>
        <w:pStyle w:val="libFootnote0"/>
        <w:rPr>
          <w:rtl/>
          <w:lang w:bidi="fa-IR"/>
        </w:rPr>
      </w:pPr>
      <w:r>
        <w:rPr>
          <w:rtl/>
        </w:rPr>
        <w:t>(4).</w:t>
      </w:r>
      <w:r w:rsidRPr="00132E65">
        <w:rPr>
          <w:rtl/>
        </w:rPr>
        <w:t xml:space="preserve"> </w:t>
      </w:r>
      <w:r w:rsidRPr="00CD4F12">
        <w:rPr>
          <w:rStyle w:val="libFootnoteBoldChar"/>
          <w:rtl/>
        </w:rPr>
        <w:t>الغيبة للنعماني</w:t>
      </w:r>
      <w:r w:rsidRPr="00132E65">
        <w:rPr>
          <w:rtl/>
        </w:rPr>
        <w:t xml:space="preserve"> ، ص 188 ، ح 42 ، عن الكليني. </w:t>
      </w:r>
      <w:r w:rsidRPr="00CD4F12">
        <w:rPr>
          <w:rStyle w:val="libFootnoteBoldChar"/>
          <w:rtl/>
        </w:rPr>
        <w:t>الغيبة للطوسي</w:t>
      </w:r>
      <w:r w:rsidRPr="00132E65">
        <w:rPr>
          <w:rtl/>
        </w:rPr>
        <w:t xml:space="preserve"> ، ص 160 ، ح 118 ، بسنده عن أبي أيّوب ، عن أبي بصير </w:t>
      </w:r>
      <w:r>
        <w:rPr>
          <w:rFonts w:hint="cs"/>
          <w:rtl/>
        </w:rPr>
        <w:t>.</w:t>
      </w:r>
      <w:r w:rsidRPr="009D1ACE">
        <w:rPr>
          <w:rStyle w:val="libFootnoteBoldChar"/>
          <w:rtl/>
        </w:rPr>
        <w:t>الوافي</w:t>
      </w:r>
      <w:r w:rsidRPr="00132E65">
        <w:rPr>
          <w:rtl/>
        </w:rPr>
        <w:t xml:space="preserve"> ، ج 2 ، ص 415 ، ح 924.</w:t>
      </w:r>
      <w:r>
        <w:rPr>
          <w:rFonts w:hint="cs"/>
          <w:rtl/>
        </w:rPr>
        <w:t xml:space="preserve">       </w:t>
      </w:r>
      <w:r>
        <w:rPr>
          <w:rtl/>
        </w:rPr>
        <w:t>(5).</w:t>
      </w:r>
      <w:r w:rsidRPr="00132E65">
        <w:rPr>
          <w:rtl/>
        </w:rPr>
        <w:t xml:space="preserve"> في شرح المازندراني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 الطَيْبَةُ » : اسم للمدينة المنوّرة. كان اسمها يَثْرِب ، والثَرْبُ : الفساد ، فنهى النبيّ </w:t>
      </w:r>
      <w:r w:rsidRPr="00CD4F12">
        <w:rPr>
          <w:rStyle w:val="libFootnoteAlaemChar"/>
          <w:rFonts w:eastAsiaTheme="minorHAnsi"/>
          <w:rtl/>
        </w:rPr>
        <w:t>صلى‌الله‌عليه‌وآله</w:t>
      </w:r>
      <w:r w:rsidRPr="00132E65">
        <w:rPr>
          <w:rtl/>
        </w:rPr>
        <w:t xml:space="preserve"> أن تسمّى به وسمّاها طَيْبَةَ وطابَةَ. وقيل : هو من الطَيِّب بمعنى الطاهر ؛ لخلوصها من الشرك وتطهيرها منه. راجع : </w:t>
      </w:r>
      <w:r w:rsidRPr="00CD4F12">
        <w:rPr>
          <w:rStyle w:val="libFootnoteBoldChar"/>
          <w:rtl/>
        </w:rPr>
        <w:t>النهاية</w:t>
      </w:r>
      <w:r w:rsidRPr="00132E65">
        <w:rPr>
          <w:rtl/>
        </w:rPr>
        <w:t xml:space="preserve"> ، ج 3 ، ص 149 ( طيب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يعني إذا اعتزل فيها مستتراً ومعه ثلاثون من شيعته ، يأنس بعضهم ببعض ، فلا وحشة لهم. كأنّه أشار إلى غيبته القصيرة ، فإنّ في الطويلة ليس لشيعته إليه سبيل »</w:t>
      </w:r>
      <w:r>
        <w:rPr>
          <w:rtl/>
        </w:rPr>
        <w:t>.</w:t>
      </w:r>
    </w:p>
    <w:p w:rsidR="000C39D1" w:rsidRPr="00132E65" w:rsidRDefault="000C39D1" w:rsidP="000C39D1">
      <w:pPr>
        <w:pStyle w:val="libFootnote0"/>
        <w:rPr>
          <w:rtl/>
          <w:lang w:bidi="fa-IR"/>
        </w:rPr>
      </w:pPr>
      <w:r>
        <w:rPr>
          <w:rtl/>
        </w:rPr>
        <w:t>(8).</w:t>
      </w:r>
      <w:r w:rsidRPr="00132E65">
        <w:rPr>
          <w:rtl/>
        </w:rPr>
        <w:t xml:space="preserve"> </w:t>
      </w:r>
      <w:r w:rsidRPr="00CD4F12">
        <w:rPr>
          <w:rStyle w:val="libFootnoteBoldChar"/>
          <w:rtl/>
        </w:rPr>
        <w:t>الغيبة للنعماني</w:t>
      </w:r>
      <w:r w:rsidRPr="00132E65">
        <w:rPr>
          <w:rtl/>
        </w:rPr>
        <w:t xml:space="preserve"> ، ص 188 ، ح 41 ، عن الكليني. </w:t>
      </w:r>
      <w:r w:rsidRPr="00CD4F12">
        <w:rPr>
          <w:rStyle w:val="libFootnoteBoldChar"/>
          <w:rtl/>
        </w:rPr>
        <w:t>الغيبة للطوسي</w:t>
      </w:r>
      <w:r w:rsidRPr="00132E65">
        <w:rPr>
          <w:rtl/>
        </w:rPr>
        <w:t xml:space="preserve"> ، ص 162 ، ح 121 ، بسنده عن عليّ بن أبي حمزة ، عن أبي بصير ، عن أبي جعفر </w:t>
      </w:r>
      <w:r w:rsidRPr="0033724D">
        <w:rPr>
          <w:rStyle w:val="libFootnoteAlaemChar"/>
          <w:rtl/>
        </w:rPr>
        <w:t>عليه‌السلام</w:t>
      </w:r>
      <w:r w:rsidRPr="00132E65">
        <w:rPr>
          <w:rtl/>
        </w:rPr>
        <w:t xml:space="preserve"> ، مع اختلاف يسير </w:t>
      </w:r>
      <w:r>
        <w:rPr>
          <w:rFonts w:hint="cs"/>
          <w:rtl/>
        </w:rPr>
        <w:t>.</w:t>
      </w:r>
      <w:r w:rsidRPr="009D1ACE">
        <w:rPr>
          <w:rStyle w:val="libFootnoteBoldChar"/>
          <w:rtl/>
        </w:rPr>
        <w:t>الوافي</w:t>
      </w:r>
      <w:r w:rsidRPr="00132E65">
        <w:rPr>
          <w:rtl/>
        </w:rPr>
        <w:t xml:space="preserve"> ، ج 2 ، ص 41 ، ح 925.</w:t>
      </w:r>
    </w:p>
    <w:p w:rsidR="000C39D1" w:rsidRPr="00132E65" w:rsidRDefault="000C39D1" w:rsidP="000C39D1">
      <w:pPr>
        <w:pStyle w:val="libFootnote0"/>
        <w:rPr>
          <w:rtl/>
          <w:lang w:bidi="fa-IR"/>
        </w:rPr>
      </w:pPr>
      <w:r>
        <w:rPr>
          <w:rtl/>
        </w:rPr>
        <w:t>(9).</w:t>
      </w:r>
      <w:r w:rsidRPr="00132E65">
        <w:rPr>
          <w:rtl/>
        </w:rPr>
        <w:t xml:space="preserve"> في « ب ، بح » وحاشية « ف ، و، بف » : « الحسين »</w:t>
      </w:r>
      <w:r>
        <w:rPr>
          <w:rtl/>
        </w:rPr>
        <w:t>.</w:t>
      </w:r>
      <w:r w:rsidRPr="00132E65">
        <w:rPr>
          <w:rtl/>
        </w:rPr>
        <w:t xml:space="preserve"> والرجل مجهول لم نعرفه.</w:t>
      </w:r>
    </w:p>
    <w:p w:rsidR="000C39D1" w:rsidRPr="00132E65" w:rsidRDefault="000C39D1" w:rsidP="000C39D1">
      <w:pPr>
        <w:pStyle w:val="libFootnote0"/>
        <w:rPr>
          <w:rtl/>
          <w:lang w:bidi="fa-IR"/>
        </w:rPr>
      </w:pPr>
      <w:r>
        <w:rPr>
          <w:rtl/>
        </w:rPr>
        <w:t>(10).</w:t>
      </w:r>
      <w:r w:rsidRPr="00132E65">
        <w:rPr>
          <w:rtl/>
        </w:rPr>
        <w:t xml:space="preserve"> في الغيبة ، ح 7 : « السبطة » </w:t>
      </w:r>
      <w:r>
        <w:rPr>
          <w:rtl/>
        </w:rPr>
        <w:t>و «</w:t>
      </w:r>
      <w:r w:rsidRPr="00132E65">
        <w:rPr>
          <w:rtl/>
        </w:rPr>
        <w:t xml:space="preserve"> البَطْشةُ » : السطوة والأخذ بالعُنْف. والبَطْشُ : التناول بشدّة عند الصَوْلة ، والأخذ</w:t>
      </w:r>
      <w:r>
        <w:rPr>
          <w:rFonts w:hint="cs"/>
          <w:rtl/>
        </w:rPr>
        <w:t xml:space="preserve"> </w:t>
      </w:r>
      <w:r w:rsidRPr="00132E65">
        <w:rPr>
          <w:rtl/>
        </w:rPr>
        <w:t xml:space="preserve">الشديد القويّ. راجع : </w:t>
      </w:r>
      <w:r w:rsidRPr="009D1ACE">
        <w:rPr>
          <w:rStyle w:val="libFootnoteBoldChar"/>
          <w:rtl/>
        </w:rPr>
        <w:t>لسان العرب</w:t>
      </w:r>
      <w:r w:rsidRPr="00132E65">
        <w:rPr>
          <w:rtl/>
        </w:rPr>
        <w:t xml:space="preserve"> ، ج 6 ، ص 267 ( بطش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 والمسجدان : مسجد مكّة ومسجد المدينة ، أو مسجد الكوفة ومسجد السهلة. والأوّل أظهر وهو إشارة إلى واقعة عظيمة من حرب أو خسف أو بلاء تقع قريباً من ظهور المهديّ </w:t>
      </w:r>
      <w:r w:rsidRPr="0033724D">
        <w:rPr>
          <w:rStyle w:val="libFootnoteAlaemChar"/>
          <w:rtl/>
        </w:rPr>
        <w:t>عليه‌السلام</w:t>
      </w:r>
      <w:r w:rsidRPr="00132E65">
        <w:rPr>
          <w:rtl/>
        </w:rPr>
        <w:t xml:space="preserve"> »</w:t>
      </w:r>
      <w:r>
        <w:rPr>
          <w:rtl/>
        </w:rPr>
        <w:t>.</w:t>
      </w:r>
      <w:r w:rsidRPr="00132E65">
        <w:rPr>
          <w:rtl/>
        </w:rPr>
        <w:t xml:space="preserve"> وفي </w:t>
      </w:r>
      <w:r w:rsidRPr="009D1ACE">
        <w:rPr>
          <w:rStyle w:val="libFootnoteBoldChar"/>
          <w:rtl/>
        </w:rPr>
        <w:t>الوافي</w:t>
      </w:r>
      <w:r w:rsidRPr="00132E65">
        <w:rPr>
          <w:rtl/>
        </w:rPr>
        <w:t xml:space="preserve"> : « كأنّها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فَيَأْرِزُ </w:t>
      </w:r>
      <w:r>
        <w:rPr>
          <w:rStyle w:val="libFootnotenumChar"/>
          <w:rtl/>
        </w:rPr>
        <w:t>(1)</w:t>
      </w:r>
      <w:r w:rsidRPr="00132E65">
        <w:rPr>
          <w:rtl/>
          <w:lang w:bidi="fa-IR"/>
        </w:rPr>
        <w:t xml:space="preserve"> الْعِلْمُ </w:t>
      </w:r>
      <w:r>
        <w:rPr>
          <w:rStyle w:val="libFootnotenumChar"/>
          <w:rtl/>
        </w:rPr>
        <w:t>(2)</w:t>
      </w:r>
      <w:r w:rsidRPr="00132E65">
        <w:rPr>
          <w:rtl/>
          <w:lang w:bidi="fa-IR"/>
        </w:rPr>
        <w:t xml:space="preserve"> كَمَا تَأْرِزُ </w:t>
      </w:r>
      <w:r>
        <w:rPr>
          <w:rStyle w:val="libFootnotenumChar"/>
          <w:rtl/>
        </w:rPr>
        <w:t>(3)</w:t>
      </w:r>
      <w:r w:rsidRPr="00132E65">
        <w:rPr>
          <w:rtl/>
          <w:lang w:bidi="fa-IR"/>
        </w:rPr>
        <w:t xml:space="preserve"> الْحَيَّةُ فِي جُحْرِهَا </w:t>
      </w:r>
      <w:r>
        <w:rPr>
          <w:rStyle w:val="libFootnotenumChar"/>
          <w:rtl/>
        </w:rPr>
        <w:t>(4)</w:t>
      </w:r>
      <w:r w:rsidRPr="00132E65">
        <w:rPr>
          <w:rtl/>
          <w:lang w:bidi="fa-IR"/>
        </w:rPr>
        <w:t xml:space="preserve"> ، واخْتَلَفَتِ </w:t>
      </w:r>
      <w:r>
        <w:rPr>
          <w:rStyle w:val="libFootnotenumChar"/>
          <w:rtl/>
        </w:rPr>
        <w:t>(5)</w:t>
      </w:r>
      <w:r w:rsidRPr="00132E65">
        <w:rPr>
          <w:rtl/>
          <w:lang w:bidi="fa-IR"/>
        </w:rPr>
        <w:t xml:space="preserve"> الشِّيعَةُ </w:t>
      </w:r>
      <w:r>
        <w:rPr>
          <w:rStyle w:val="libFootnotenumChar"/>
          <w:rtl/>
        </w:rPr>
        <w:t>(6)</w:t>
      </w:r>
      <w:r w:rsidRPr="00132E65">
        <w:rPr>
          <w:rtl/>
          <w:lang w:bidi="fa-IR"/>
        </w:rPr>
        <w:t xml:space="preserve"> ، وسَمّى بَعْضُهُمْ بَعْضاً كَذَّابِينَ ، وتَفَلَ </w:t>
      </w:r>
      <w:r>
        <w:rPr>
          <w:rStyle w:val="libFootnotenumChar"/>
          <w:rtl/>
        </w:rPr>
        <w:t>(7)</w:t>
      </w:r>
      <w:r w:rsidRPr="00132E65">
        <w:rPr>
          <w:rtl/>
          <w:lang w:bidi="fa-IR"/>
        </w:rPr>
        <w:t xml:space="preserve"> بَعْضُهُمْ فِي وجُوهِ بَعْضٍ</w:t>
      </w:r>
      <w:r>
        <w:rPr>
          <w:rtl/>
          <w:lang w:bidi="fa-IR"/>
        </w:rPr>
        <w:t>؟</w:t>
      </w:r>
      <w:r w:rsidRPr="00132E65">
        <w:rPr>
          <w:rtl/>
          <w:lang w:bidi="fa-IR"/>
        </w:rPr>
        <w:t xml:space="preserve"> » قُلْتُ : جُعِلْتُ فِدَاكَ ، مَا عِنْدَ ذلِكَ </w:t>
      </w:r>
      <w:r>
        <w:rPr>
          <w:rStyle w:val="libFootnotenumChar"/>
          <w:rtl/>
        </w:rPr>
        <w:t>(8)</w:t>
      </w:r>
      <w:r w:rsidRPr="00132E65">
        <w:rPr>
          <w:rtl/>
          <w:lang w:bidi="fa-IR"/>
        </w:rPr>
        <w:t xml:space="preserve"> مِنْ خَيْرٍ ، فَقَالَ لِي : « الْخَيْرُ كُلُّهُ عِنْدَ ذلِكَ » ثَلَاثاً </w:t>
      </w:r>
      <w:r>
        <w:rPr>
          <w:rStyle w:val="libFootnotenumChar"/>
          <w:rtl/>
        </w:rPr>
        <w:t>(9)</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931D80">
        <w:rPr>
          <w:rtl/>
        </w:rPr>
        <w:t>908</w:t>
      </w:r>
      <w:r w:rsidRPr="004325D8">
        <w:rPr>
          <w:rStyle w:val="libBold2Char"/>
          <w:rtl/>
        </w:rPr>
        <w:t xml:space="preserve"> / 18.</w:t>
      </w:r>
      <w:r w:rsidRPr="00132E65">
        <w:rPr>
          <w:rtl/>
          <w:lang w:bidi="fa-IR"/>
        </w:rPr>
        <w:t xml:space="preserve"> وبِهذَا الْإِسْنَادِ </w:t>
      </w:r>
      <w:r>
        <w:rPr>
          <w:rStyle w:val="libFootnotenumChar"/>
          <w:rtl/>
        </w:rPr>
        <w:t>(11)</w:t>
      </w:r>
      <w:r w:rsidRPr="00132E65">
        <w:rPr>
          <w:rtl/>
          <w:lang w:bidi="fa-IR"/>
        </w:rPr>
        <w:t xml:space="preserve"> ، عَنْ أَحْمَدَ بْنِ مُحَمَّدٍ ، عَنْ أَبِيهِ مُحَمَّدِ بْنِ عِيسى ، عَنِ ابْنِ بُكَيْرٍ ، عَنْ زُرَارَةَ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لِلْقَائِمِ غَيْبَةً قَبْلَ أَنْ يَقُومَ </w:t>
      </w:r>
      <w:r>
        <w:rPr>
          <w:rStyle w:val="libFootnotenumChar"/>
          <w:rtl/>
        </w:rPr>
        <w:t>(12)</w:t>
      </w:r>
      <w:r w:rsidRPr="00132E65">
        <w:rPr>
          <w:rtl/>
          <w:lang w:bidi="fa-IR"/>
        </w:rPr>
        <w:t xml:space="preserve"> ؛ إِنَّهُ يَخَافُ » وأَوْمَأَ بِيَدِهِ إِلى بَطْنِهِ ، يَعْنِي الْقَتْلَ.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إشارة إلى واقعة كانت قد مضت قبل الغيبة الكبرى ، ويحتمل أن تكون من الا</w:t>
      </w:r>
      <w:r>
        <w:rPr>
          <w:rFonts w:hint="cs"/>
          <w:rtl/>
        </w:rPr>
        <w:t>ُ</w:t>
      </w:r>
      <w:r w:rsidRPr="00132E65">
        <w:rPr>
          <w:rtl/>
        </w:rPr>
        <w:t xml:space="preserve">مور التي لم تقع بعد ، وتكون من علامات ظهوره </w:t>
      </w:r>
      <w:r w:rsidRPr="00CD4F12">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w:t>
      </w:r>
      <w:r w:rsidRPr="00132E65">
        <w:rPr>
          <w:rtl/>
        </w:rPr>
        <w:t xml:space="preserve"> في « ب ، بس » : « فيأزر »</w:t>
      </w:r>
      <w:r>
        <w:rPr>
          <w:rtl/>
        </w:rPr>
        <w:t>.</w:t>
      </w:r>
      <w:r w:rsidRPr="00132E65">
        <w:rPr>
          <w:rtl/>
        </w:rPr>
        <w:t xml:space="preserve"> وتقدّم معنى قوله : « فيأرز » ذيل الحديث 13 من هذا الباب.</w:t>
      </w:r>
    </w:p>
    <w:p w:rsidR="000C39D1" w:rsidRPr="00132E65" w:rsidRDefault="000C39D1" w:rsidP="000C39D1">
      <w:pPr>
        <w:pStyle w:val="libFootnote0"/>
        <w:rPr>
          <w:rtl/>
          <w:lang w:bidi="fa-IR"/>
        </w:rPr>
      </w:pPr>
      <w:r>
        <w:rPr>
          <w:rtl/>
        </w:rPr>
        <w:t>(2).</w:t>
      </w:r>
      <w:r w:rsidRPr="00132E65">
        <w:rPr>
          <w:rtl/>
        </w:rPr>
        <w:t xml:space="preserve"> قرأه المازندراني : العَلَم بالتحريك بمعنى الراية. وفي الغيبة ، ح 7 :</w:t>
      </w:r>
      <w:r>
        <w:rPr>
          <w:rtl/>
        </w:rPr>
        <w:t xml:space="preserve"> + </w:t>
      </w:r>
      <w:r w:rsidRPr="00132E65">
        <w:rPr>
          <w:rtl/>
        </w:rPr>
        <w:t>« فيها »</w:t>
      </w:r>
      <w:r>
        <w:rPr>
          <w:rtl/>
        </w:rPr>
        <w:t>.</w:t>
      </w:r>
    </w:p>
    <w:p w:rsidR="000C39D1" w:rsidRPr="00132E65" w:rsidRDefault="000C39D1" w:rsidP="000C39D1">
      <w:pPr>
        <w:pStyle w:val="libFootnote0"/>
        <w:rPr>
          <w:rtl/>
          <w:lang w:bidi="fa-IR"/>
        </w:rPr>
      </w:pPr>
      <w:r>
        <w:rPr>
          <w:rtl/>
        </w:rPr>
        <w:t>(3).</w:t>
      </w:r>
      <w:r w:rsidRPr="00132E65">
        <w:rPr>
          <w:rtl/>
        </w:rPr>
        <w:t xml:space="preserve"> في « ب » : « تأزر »</w:t>
      </w:r>
      <w:r>
        <w:rPr>
          <w:rtl/>
        </w:rPr>
        <w:t>.</w:t>
      </w:r>
      <w:r w:rsidRPr="00132E65">
        <w:rPr>
          <w:rtl/>
        </w:rPr>
        <w:t xml:space="preserve"> وفي « ج ، بح ، بس ، بف » : « يأرز »</w:t>
      </w:r>
      <w:r>
        <w:rPr>
          <w:rtl/>
        </w:rPr>
        <w:t>.</w:t>
      </w:r>
    </w:p>
    <w:p w:rsidR="000C39D1" w:rsidRPr="00132E65" w:rsidRDefault="000C39D1" w:rsidP="000C39D1">
      <w:pPr>
        <w:pStyle w:val="libFootnote0"/>
        <w:rPr>
          <w:rtl/>
          <w:lang w:bidi="fa-IR"/>
        </w:rPr>
      </w:pPr>
      <w:r>
        <w:rPr>
          <w:rtl/>
        </w:rPr>
        <w:t>(4).</w:t>
      </w:r>
      <w:r w:rsidRPr="00132E65">
        <w:rPr>
          <w:rtl/>
        </w:rPr>
        <w:t xml:space="preserve"> « الجُحْرُ » : كلّ شي‌ء تحتفره السباع والهوامّ لأنفسها ، والجمع : أجحار وجِحَرَة. ويقال الجُحْر أيضاً لكلّ شي‌ء يحتفر في الأرض إذا لم يكن من عظام الخلق. راجع : </w:t>
      </w:r>
      <w:r w:rsidRPr="009D1ACE">
        <w:rPr>
          <w:rStyle w:val="libFootnoteBoldChar"/>
          <w:rtl/>
        </w:rPr>
        <w:t>لسان العرب</w:t>
      </w:r>
      <w:r w:rsidRPr="00132E65">
        <w:rPr>
          <w:rtl/>
        </w:rPr>
        <w:t xml:space="preserve"> ، ج 4 ، ص 117 ( جحر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ج ، ض ، بح » : « اختلف »</w:t>
            </w:r>
            <w:r>
              <w:rPr>
                <w:rtl/>
              </w:rPr>
              <w:t>.</w:t>
            </w:r>
          </w:p>
        </w:tc>
        <w:tc>
          <w:tcPr>
            <w:tcW w:w="4006" w:type="dxa"/>
          </w:tcPr>
          <w:p w:rsidR="000C39D1" w:rsidRDefault="000C39D1" w:rsidP="00B53873">
            <w:pPr>
              <w:pStyle w:val="libFootnote0"/>
              <w:rPr>
                <w:rtl/>
              </w:rPr>
            </w:pPr>
            <w:r>
              <w:rPr>
                <w:rtl/>
              </w:rPr>
              <w:t>(6).</w:t>
            </w:r>
            <w:r w:rsidRPr="00132E65">
              <w:rPr>
                <w:rtl/>
              </w:rPr>
              <w:t xml:space="preserve"> في الغيبة ، ح 7 :</w:t>
            </w:r>
            <w:r>
              <w:rPr>
                <w:rtl/>
              </w:rPr>
              <w:t xml:space="preserve"> + </w:t>
            </w:r>
            <w:r w:rsidRPr="00132E65">
              <w:rPr>
                <w:rtl/>
              </w:rPr>
              <w:t>« بينهم »</w:t>
            </w:r>
            <w:r>
              <w:rPr>
                <w:rtl/>
              </w:rPr>
              <w:t>.</w:t>
            </w:r>
          </w:p>
        </w:tc>
      </w:tr>
    </w:tbl>
    <w:p w:rsidR="000C39D1" w:rsidRPr="00132E65" w:rsidRDefault="000C39D1" w:rsidP="000C39D1">
      <w:pPr>
        <w:pStyle w:val="libFootnote0"/>
        <w:rPr>
          <w:rtl/>
          <w:lang w:bidi="fa-IR"/>
        </w:rPr>
      </w:pPr>
      <w:r>
        <w:rPr>
          <w:rtl/>
        </w:rPr>
        <w:t>(7).</w:t>
      </w:r>
      <w:r w:rsidRPr="00132E65">
        <w:rPr>
          <w:rtl/>
        </w:rPr>
        <w:t xml:space="preserve"> في الغيبة ، ح 7 : « يتفل »</w:t>
      </w:r>
      <w:r>
        <w:rPr>
          <w:rtl/>
        </w:rPr>
        <w:t>.</w:t>
      </w:r>
      <w:r w:rsidRPr="00132E65">
        <w:rPr>
          <w:rtl/>
        </w:rPr>
        <w:t xml:space="preserve"> « التَفْ</w:t>
      </w:r>
      <w:r>
        <w:rPr>
          <w:rtl/>
        </w:rPr>
        <w:t>لُ » : النفخ بالفم ولا يكون إل</w:t>
      </w:r>
      <w:r>
        <w:rPr>
          <w:rFonts w:hint="cs"/>
          <w:rtl/>
        </w:rPr>
        <w:t>ّ</w:t>
      </w:r>
      <w:r>
        <w:rPr>
          <w:rtl/>
        </w:rPr>
        <w:t>ا</w:t>
      </w:r>
      <w:r w:rsidRPr="00132E65">
        <w:rPr>
          <w:rtl/>
        </w:rPr>
        <w:t xml:space="preserve">ومعه شي‌ء من الريق ، فإذا كان نفخاً بلا ريق فهوالنَفْث. راجع : </w:t>
      </w:r>
      <w:r w:rsidRPr="009D1ACE">
        <w:rPr>
          <w:rStyle w:val="libFootnoteBoldChar"/>
          <w:rtl/>
        </w:rPr>
        <w:t>لسان العرب</w:t>
      </w:r>
      <w:r w:rsidRPr="00132E65">
        <w:rPr>
          <w:rtl/>
        </w:rPr>
        <w:t xml:space="preserve"> ، ج 11 ، ص 77 ( تفل )</w:t>
      </w:r>
      <w:r>
        <w:rPr>
          <w:rtl/>
        </w:rPr>
        <w:t>.</w:t>
      </w:r>
    </w:p>
    <w:p w:rsidR="000C39D1" w:rsidRPr="00132E65" w:rsidRDefault="000C39D1" w:rsidP="000C39D1">
      <w:pPr>
        <w:pStyle w:val="libFootnote0"/>
        <w:rPr>
          <w:rtl/>
          <w:lang w:bidi="fa-IR"/>
        </w:rPr>
      </w:pPr>
      <w:r>
        <w:rPr>
          <w:rtl/>
        </w:rPr>
        <w:t>(8).</w:t>
      </w:r>
      <w:r w:rsidRPr="00132E65">
        <w:rPr>
          <w:rtl/>
        </w:rPr>
        <w:t xml:space="preserve"> في « ف » : « ذاك »</w:t>
      </w:r>
      <w:r>
        <w:rPr>
          <w:rtl/>
        </w:rPr>
        <w:t>.</w:t>
      </w:r>
    </w:p>
    <w:p w:rsidR="000C39D1" w:rsidRPr="00132E65" w:rsidRDefault="000C39D1" w:rsidP="000C39D1">
      <w:pPr>
        <w:pStyle w:val="libFootnote0"/>
        <w:rPr>
          <w:rtl/>
          <w:lang w:bidi="fa-IR"/>
        </w:rPr>
      </w:pPr>
      <w:r>
        <w:rPr>
          <w:rtl/>
        </w:rPr>
        <w:t>(9).</w:t>
      </w:r>
      <w:r w:rsidRPr="00132E65">
        <w:rPr>
          <w:rtl/>
        </w:rPr>
        <w:t xml:space="preserve"> في الغيبة ، ح 7 : « يقوله ثلاثاً يريد قرب الفرج » بدل « ثلاثاً »</w:t>
      </w:r>
      <w:r>
        <w:rPr>
          <w:rtl/>
        </w:rPr>
        <w:t>.</w:t>
      </w:r>
      <w:r w:rsidRPr="00132E65">
        <w:rPr>
          <w:rtl/>
        </w:rPr>
        <w:t xml:space="preserve"> وفي </w:t>
      </w:r>
      <w:r w:rsidRPr="009D1ACE">
        <w:rPr>
          <w:rStyle w:val="libFootnoteBoldChar"/>
          <w:rtl/>
        </w:rPr>
        <w:t>الوافي</w:t>
      </w:r>
      <w:r w:rsidRPr="00132E65">
        <w:rPr>
          <w:rtl/>
        </w:rPr>
        <w:t xml:space="preserve"> : « وإنّما يكون الخير كلّه في غيبة الإمام لتضاعف الحسنات فيها »</w:t>
      </w:r>
      <w:r>
        <w:rPr>
          <w:rtl/>
        </w:rPr>
        <w:t>.</w:t>
      </w:r>
      <w:r w:rsidRPr="00132E65">
        <w:rPr>
          <w:rtl/>
        </w:rPr>
        <w:t xml:space="preserve"> وفي </w:t>
      </w:r>
      <w:r w:rsidRPr="00172303">
        <w:rPr>
          <w:rStyle w:val="libFootnoteBoldChar"/>
          <w:rtl/>
        </w:rPr>
        <w:t>المرآة</w:t>
      </w:r>
      <w:r w:rsidRPr="00132E65">
        <w:rPr>
          <w:rtl/>
        </w:rPr>
        <w:t xml:space="preserve"> : « الخير هو ظهور القائم </w:t>
      </w:r>
      <w:r w:rsidRPr="0033724D">
        <w:rPr>
          <w:rStyle w:val="libFootnoteAlaemChar"/>
          <w:rtl/>
        </w:rPr>
        <w:t>عليه‌السلام</w:t>
      </w:r>
      <w:r w:rsidRPr="00132E65">
        <w:rPr>
          <w:rtl/>
        </w:rPr>
        <w:t xml:space="preserve"> ، أو قريباً من وجوده أو من غيبته الكبرى. فالخير لكثرة الأجر وقوّة الإيمان »</w:t>
      </w:r>
      <w:r>
        <w:rPr>
          <w:rtl/>
        </w:rPr>
        <w:t>.</w:t>
      </w:r>
    </w:p>
    <w:p w:rsidR="000C39D1" w:rsidRPr="00132E65" w:rsidRDefault="000C39D1" w:rsidP="000C39D1">
      <w:pPr>
        <w:pStyle w:val="libFootnote0"/>
        <w:rPr>
          <w:rtl/>
          <w:lang w:bidi="fa-IR"/>
        </w:rPr>
      </w:pPr>
      <w:r>
        <w:rPr>
          <w:rtl/>
        </w:rPr>
        <w:t>(10).</w:t>
      </w:r>
      <w:r w:rsidRPr="00132E65">
        <w:rPr>
          <w:rtl/>
        </w:rPr>
        <w:t xml:space="preserve"> </w:t>
      </w:r>
      <w:r w:rsidRPr="00172303">
        <w:rPr>
          <w:rStyle w:val="libFootnoteBoldChar"/>
          <w:rtl/>
        </w:rPr>
        <w:t>الغيبة للنعماني</w:t>
      </w:r>
      <w:r w:rsidRPr="00132E65">
        <w:rPr>
          <w:rtl/>
        </w:rPr>
        <w:t xml:space="preserve"> ، ص 159 ، ح 7 ، عن الكليني ، وبسند آخر عن أبان بن تغلب. وراجع : </w:t>
      </w:r>
      <w:r w:rsidRPr="00172303">
        <w:rPr>
          <w:rStyle w:val="libFootnoteBoldChar"/>
          <w:rtl/>
        </w:rPr>
        <w:t>الغيبة للنعماني</w:t>
      </w:r>
      <w:r w:rsidRPr="00132E65">
        <w:rPr>
          <w:rtl/>
        </w:rPr>
        <w:t xml:space="preserve"> ، ص 159</w:t>
      </w:r>
      <w:r>
        <w:rPr>
          <w:rtl/>
        </w:rPr>
        <w:t xml:space="preserve"> - </w:t>
      </w:r>
      <w:r w:rsidRPr="00132E65">
        <w:rPr>
          <w:rtl/>
        </w:rPr>
        <w:t xml:space="preserve">160 ، ح 6 </w:t>
      </w:r>
      <w:r>
        <w:rPr>
          <w:rtl/>
        </w:rPr>
        <w:t>و 8</w:t>
      </w:r>
      <w:r w:rsidRPr="00132E65">
        <w:rPr>
          <w:rtl/>
        </w:rPr>
        <w:t xml:space="preserve"> ؛ </w:t>
      </w:r>
      <w:r w:rsidRPr="00172303">
        <w:rPr>
          <w:rStyle w:val="libFootnoteBoldChar"/>
          <w:rtl/>
        </w:rPr>
        <w:t>وكمال الدين</w:t>
      </w:r>
      <w:r w:rsidRPr="00132E65">
        <w:rPr>
          <w:rtl/>
        </w:rPr>
        <w:t xml:space="preserve"> ، ص 349 ، ح 41 </w:t>
      </w:r>
      <w:r>
        <w:rPr>
          <w:rFonts w:hint="cs"/>
          <w:rtl/>
        </w:rPr>
        <w:t>.</w:t>
      </w:r>
      <w:r w:rsidRPr="009D1ACE">
        <w:rPr>
          <w:rStyle w:val="libFootnoteBoldChar"/>
          <w:rtl/>
        </w:rPr>
        <w:t>الوافي</w:t>
      </w:r>
      <w:r w:rsidRPr="00132E65">
        <w:rPr>
          <w:rtl/>
        </w:rPr>
        <w:t xml:space="preserve"> ، ج 2 ، ص 416 ، ح 926.</w:t>
      </w:r>
    </w:p>
    <w:p w:rsidR="000C39D1" w:rsidRPr="00132E65" w:rsidRDefault="000C39D1" w:rsidP="000C39D1">
      <w:pPr>
        <w:pStyle w:val="libFootnote0"/>
        <w:rPr>
          <w:rtl/>
          <w:lang w:bidi="fa-IR"/>
        </w:rPr>
      </w:pPr>
      <w:r>
        <w:rPr>
          <w:rtl/>
        </w:rPr>
        <w:t>(11).</w:t>
      </w:r>
      <w:r w:rsidRPr="00132E65">
        <w:rPr>
          <w:rtl/>
        </w:rPr>
        <w:t xml:space="preserve"> إشارة إلى « عدّة من أصحابنا » المذكور في سند ح 16.</w:t>
      </w:r>
    </w:p>
    <w:p w:rsidR="000C39D1" w:rsidRPr="00132E65" w:rsidRDefault="000C39D1" w:rsidP="000C39D1">
      <w:pPr>
        <w:pStyle w:val="libFootnote0"/>
        <w:rPr>
          <w:rtl/>
          <w:lang w:bidi="fa-IR"/>
        </w:rPr>
      </w:pPr>
      <w:r>
        <w:rPr>
          <w:rtl/>
        </w:rPr>
        <w:t>(12).</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قلت : ولم</w:t>
      </w:r>
      <w:r>
        <w:rPr>
          <w:rtl/>
        </w:rPr>
        <w:t>؟</w:t>
      </w:r>
      <w:r w:rsidRPr="00132E65">
        <w:rPr>
          <w:rtl/>
        </w:rPr>
        <w:t xml:space="preserve"> قال »</w:t>
      </w:r>
      <w:r>
        <w:rPr>
          <w:rtl/>
        </w:rPr>
        <w:t>.</w:t>
      </w:r>
    </w:p>
    <w:p w:rsidR="000C39D1" w:rsidRPr="00132E65" w:rsidRDefault="000C39D1" w:rsidP="000C39D1">
      <w:pPr>
        <w:pStyle w:val="libFootnote0"/>
        <w:rPr>
          <w:rtl/>
          <w:lang w:bidi="fa-IR"/>
        </w:rPr>
      </w:pPr>
      <w:r>
        <w:rPr>
          <w:rtl/>
        </w:rPr>
        <w:t>(13)</w:t>
      </w:r>
      <w:r w:rsidRPr="00132E65">
        <w:rPr>
          <w:rtl/>
        </w:rPr>
        <w:t xml:space="preserve"> راجع المصادر التي ذكرنا ذيل ح 9 ، من هذا الباب </w:t>
      </w:r>
      <w:r>
        <w:rPr>
          <w:rFonts w:hint="cs"/>
          <w:rtl/>
        </w:rPr>
        <w:t>.</w:t>
      </w:r>
      <w:r w:rsidRPr="009D1ACE">
        <w:rPr>
          <w:rStyle w:val="libFootnoteBoldChar"/>
          <w:rtl/>
        </w:rPr>
        <w:t>الوافي</w:t>
      </w:r>
      <w:r w:rsidRPr="00132E65">
        <w:rPr>
          <w:rtl/>
        </w:rPr>
        <w:t xml:space="preserve"> ، ج 2 ، ص 415 ، ذيل ح 923.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64FEB">
        <w:rPr>
          <w:rtl/>
        </w:rPr>
        <w:t>909</w:t>
      </w:r>
      <w:r w:rsidRPr="004325D8">
        <w:rPr>
          <w:rStyle w:val="libBold2Char"/>
          <w:rtl/>
        </w:rPr>
        <w:t xml:space="preserve"> / 19.</w:t>
      </w:r>
      <w:r w:rsidRPr="00132E65">
        <w:rPr>
          <w:rtl/>
          <w:lang w:bidi="fa-IR"/>
        </w:rPr>
        <w:t xml:space="preserve"> مُحَمَّدُ بْنُ يَحْيى ، عَنْ مُحَمَّدِ بْنِ الْحُسَيْنِ ، عَنِ ابْنِ مَحْبُوبٍ ، عَنْ </w:t>
      </w:r>
      <w:r w:rsidR="0033724D">
        <w:rPr>
          <w:rtl/>
          <w:lang w:bidi="fa-IR"/>
        </w:rPr>
        <w:t>إِسْحَاقَ بْنِ عَمَّارٍ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لِلْقَائِمِ </w:t>
      </w:r>
      <w:r w:rsidRPr="00071CF9">
        <w:rPr>
          <w:rStyle w:val="libAlaemChar"/>
          <w:rtl/>
        </w:rPr>
        <w:t>عليه‌السلام</w:t>
      </w:r>
      <w:r w:rsidRPr="00132E65">
        <w:rPr>
          <w:rtl/>
          <w:lang w:bidi="fa-IR"/>
        </w:rPr>
        <w:t xml:space="preserve"> غَيْبَتَانِ : إِحْدَاهُمَا قَصِيرَةٌ ، والْأُخْرى طَوِيلَةٌ ؛ الْغَيْبَةُ الْأُولى لَايَعْلَمُ بِمَكَانِهِ فِيهَا </w:t>
      </w:r>
      <w:r>
        <w:rPr>
          <w:rStyle w:val="libFootnotenumChar"/>
          <w:rtl/>
        </w:rPr>
        <w:t>(1)</w:t>
      </w:r>
      <w:r>
        <w:rPr>
          <w:rtl/>
          <w:lang w:bidi="fa-IR"/>
        </w:rPr>
        <w:t xml:space="preserve"> إِل</w:t>
      </w:r>
      <w:r>
        <w:rPr>
          <w:rFonts w:hint="cs"/>
          <w:rtl/>
          <w:lang w:bidi="fa-IR"/>
        </w:rPr>
        <w:t>َّ</w:t>
      </w:r>
      <w:r>
        <w:rPr>
          <w:rtl/>
          <w:lang w:bidi="fa-IR"/>
        </w:rPr>
        <w:t>ا</w:t>
      </w:r>
      <w:r w:rsidRPr="00132E65">
        <w:rPr>
          <w:rtl/>
          <w:lang w:bidi="fa-IR"/>
        </w:rPr>
        <w:t xml:space="preserve"> خَاصَّةُ شِيعَتِهِ </w:t>
      </w:r>
      <w:r>
        <w:rPr>
          <w:rStyle w:val="libFootnotenumChar"/>
          <w:rtl/>
        </w:rPr>
        <w:t>(2)</w:t>
      </w:r>
      <w:r w:rsidRPr="00132E65">
        <w:rPr>
          <w:rtl/>
          <w:lang w:bidi="fa-IR"/>
        </w:rPr>
        <w:t xml:space="preserve"> ، والْأُخْرى لَايَعْلَمُ بِمَكَانِهِ فِيهَا </w:t>
      </w:r>
      <w:r>
        <w:rPr>
          <w:rStyle w:val="libFootnotenumChar"/>
          <w:rtl/>
        </w:rPr>
        <w:t>(3)</w:t>
      </w:r>
      <w:r>
        <w:rPr>
          <w:rtl/>
          <w:lang w:bidi="fa-IR"/>
        </w:rPr>
        <w:t xml:space="preserve"> إِل</w:t>
      </w:r>
      <w:r>
        <w:rPr>
          <w:rFonts w:hint="cs"/>
          <w:rtl/>
          <w:lang w:bidi="fa-IR"/>
        </w:rPr>
        <w:t>َّ</w:t>
      </w:r>
      <w:r>
        <w:rPr>
          <w:rtl/>
          <w:lang w:bidi="fa-IR"/>
        </w:rPr>
        <w:t>ا</w:t>
      </w:r>
      <w:r w:rsidRPr="00132E65">
        <w:rPr>
          <w:rtl/>
          <w:lang w:bidi="fa-IR"/>
        </w:rPr>
        <w:t xml:space="preserve"> خَاصَّةُ مَوَالِيهِ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964FEB">
        <w:rPr>
          <w:rtl/>
        </w:rPr>
        <w:t>910</w:t>
      </w:r>
      <w:r w:rsidRPr="004325D8">
        <w:rPr>
          <w:rStyle w:val="libBold2Char"/>
          <w:rtl/>
        </w:rPr>
        <w:t xml:space="preserve"> / 20.</w:t>
      </w:r>
      <w:r w:rsidRPr="00132E65">
        <w:rPr>
          <w:rtl/>
          <w:lang w:bidi="fa-IR"/>
        </w:rPr>
        <w:t xml:space="preserve"> مُحَمَّدُ بْنُ يَحْيى وأَحْمَدُ بْنُ إِدْرِيسَ ، عَنِ الْحَسَنِ بْنِ عَلِيٍّ الْكُوفِيِّ ، عَنْ عَلِيِّ بْنِ حَسَّانَ ، عَنْ عَمِّهِ عَبْدِ الرَّحْمنِ بْنِ كَثِيرٍ ، عَنْ مُفَضَّلِ بْنِ عُمَرَ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لِصَاحِبِ هذَا الْأَمْرِ غَيْبَتَانِ : إِحْدَاهُمَا يَرْجِعُ مِنْهَا إِلى أَهْلِهِ </w:t>
      </w:r>
      <w:r>
        <w:rPr>
          <w:rStyle w:val="libFootnotenumChar"/>
          <w:rtl/>
        </w:rPr>
        <w:t>(6)</w:t>
      </w:r>
      <w:r w:rsidRPr="00132E65">
        <w:rPr>
          <w:rtl/>
          <w:lang w:bidi="fa-IR"/>
        </w:rPr>
        <w:t xml:space="preserve"> ، والْأُخْرى يُقَالُ : هَلَكَ ، فِي أَيِّ وادٍ سَلَكَ »</w:t>
      </w:r>
      <w:r>
        <w:rPr>
          <w:rtl/>
          <w:lang w:bidi="fa-IR"/>
        </w:rPr>
        <w:t>.</w:t>
      </w:r>
    </w:p>
    <w:p w:rsidR="000C39D1" w:rsidRPr="00132E65" w:rsidRDefault="000C39D1" w:rsidP="000C39D1">
      <w:pPr>
        <w:pStyle w:val="libNormal"/>
        <w:rPr>
          <w:rtl/>
          <w:lang w:bidi="fa-IR"/>
        </w:rPr>
      </w:pPr>
      <w:r w:rsidRPr="00132E65">
        <w:rPr>
          <w:rtl/>
          <w:lang w:bidi="fa-IR"/>
        </w:rPr>
        <w:t xml:space="preserve">قُلْتُ : كَيْفَ نَصْنَعُ إِذَا </w:t>
      </w:r>
      <w:r>
        <w:rPr>
          <w:rStyle w:val="libFootnotenumChar"/>
          <w:rtl/>
        </w:rPr>
        <w:t>(7)</w:t>
      </w:r>
      <w:r w:rsidRPr="00132E65">
        <w:rPr>
          <w:rtl/>
          <w:lang w:bidi="fa-IR"/>
        </w:rPr>
        <w:t xml:space="preserve"> كَانَ كَذلِكَ</w:t>
      </w:r>
      <w:r>
        <w:rPr>
          <w:rtl/>
          <w:lang w:bidi="fa-IR"/>
        </w:rPr>
        <w:t>؟</w:t>
      </w:r>
    </w:p>
    <w:p w:rsidR="000C39D1" w:rsidRPr="00132E65" w:rsidRDefault="000C39D1" w:rsidP="000C39D1">
      <w:pPr>
        <w:pStyle w:val="libNormal"/>
        <w:rPr>
          <w:rtl/>
          <w:lang w:bidi="fa-IR"/>
        </w:rPr>
      </w:pPr>
      <w:r w:rsidRPr="00132E65">
        <w:rPr>
          <w:rtl/>
          <w:lang w:bidi="fa-IR"/>
        </w:rPr>
        <w:t xml:space="preserve">قَالَ : « إِذَا </w:t>
      </w:r>
      <w:r>
        <w:rPr>
          <w:rStyle w:val="libFootnotenumChar"/>
          <w:rtl/>
        </w:rPr>
        <w:t>(8)</w:t>
      </w:r>
      <w:r w:rsidRPr="00132E65">
        <w:rPr>
          <w:rtl/>
          <w:lang w:bidi="fa-IR"/>
        </w:rPr>
        <w:t xml:space="preserve"> ادَّعَاهَا مُدَّعٍ ، فَاسْأَلُوهُ عَنْ أَشْيَاءَ </w:t>
      </w:r>
      <w:r>
        <w:rPr>
          <w:rStyle w:val="libFootnotenumChar"/>
          <w:rtl/>
        </w:rPr>
        <w:t>(9)</w:t>
      </w:r>
      <w:r w:rsidRPr="00132E65">
        <w:rPr>
          <w:rtl/>
          <w:lang w:bidi="fa-IR"/>
        </w:rPr>
        <w:t xml:space="preserve"> يُجِيبُ </w:t>
      </w:r>
      <w:r>
        <w:rPr>
          <w:rStyle w:val="libFootnotenumChar"/>
          <w:rtl/>
        </w:rPr>
        <w:t>(10)</w:t>
      </w:r>
      <w:r w:rsidRPr="00132E65">
        <w:rPr>
          <w:rtl/>
          <w:lang w:bidi="fa-IR"/>
        </w:rPr>
        <w:t xml:space="preserve"> فِيهَا مِثْلَهُ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ج » </w:t>
            </w:r>
            <w:r>
              <w:rPr>
                <w:rtl/>
              </w:rPr>
              <w:t xml:space="preserve">: - </w:t>
            </w:r>
            <w:r w:rsidRPr="00132E65">
              <w:rPr>
                <w:rtl/>
              </w:rPr>
              <w:t>« فيها »</w:t>
            </w:r>
            <w:r>
              <w:rPr>
                <w:rtl/>
              </w:rPr>
              <w:t>.</w:t>
            </w:r>
          </w:p>
        </w:tc>
        <w:tc>
          <w:tcPr>
            <w:tcW w:w="4006" w:type="dxa"/>
          </w:tcPr>
          <w:p w:rsidR="000C39D1" w:rsidRDefault="000C39D1" w:rsidP="00B53873">
            <w:pPr>
              <w:pStyle w:val="libFootnote0"/>
              <w:rPr>
                <w:rtl/>
              </w:rPr>
            </w:pPr>
            <w:r>
              <w:rPr>
                <w:rtl/>
              </w:rPr>
              <w:t>(2).</w:t>
            </w:r>
            <w:r w:rsidRPr="00132E65">
              <w:rPr>
                <w:rtl/>
              </w:rPr>
              <w:t xml:space="preserve"> في حاشية « بر » : « الشيعة »</w:t>
            </w:r>
            <w:r>
              <w:rPr>
                <w:rtl/>
              </w:rPr>
              <w:t>.</w:t>
            </w:r>
          </w:p>
        </w:tc>
      </w:tr>
    </w:tbl>
    <w:p w:rsidR="000C39D1" w:rsidRPr="00132E65" w:rsidRDefault="000C39D1" w:rsidP="000C39D1">
      <w:pPr>
        <w:pStyle w:val="libFootnote0"/>
        <w:rPr>
          <w:rtl/>
          <w:lang w:bidi="fa-IR"/>
        </w:rPr>
      </w:pPr>
      <w:r>
        <w:rPr>
          <w:rtl/>
        </w:rPr>
        <w:t>(3).</w:t>
      </w:r>
      <w:r w:rsidRPr="00132E65">
        <w:rPr>
          <w:rtl/>
        </w:rPr>
        <w:t xml:space="preserve"> في « ض ، بح » </w:t>
      </w:r>
      <w:r>
        <w:rPr>
          <w:rtl/>
        </w:rPr>
        <w:t xml:space="preserve">: - </w:t>
      </w:r>
      <w:r w:rsidRPr="00132E65">
        <w:rPr>
          <w:rtl/>
        </w:rPr>
        <w:t>« فيها »</w:t>
      </w:r>
      <w:r>
        <w:rPr>
          <w:rtl/>
        </w:rPr>
        <w:t>.</w:t>
      </w:r>
    </w:p>
    <w:p w:rsidR="000C39D1" w:rsidRPr="00132E65" w:rsidRDefault="000C39D1" w:rsidP="000C39D1">
      <w:pPr>
        <w:pStyle w:val="libFootnote0"/>
        <w:rPr>
          <w:rtl/>
          <w:lang w:bidi="fa-IR"/>
        </w:rPr>
      </w:pPr>
      <w:r>
        <w:rPr>
          <w:rtl/>
        </w:rPr>
        <w:t>(4).</w:t>
      </w:r>
      <w:r w:rsidRPr="00132E65">
        <w:rPr>
          <w:rtl/>
        </w:rPr>
        <w:t xml:space="preserve"> في الغيبة للنعماني ، ح 1 </w:t>
      </w:r>
      <w:r>
        <w:rPr>
          <w:rtl/>
        </w:rPr>
        <w:t>و 2</w:t>
      </w:r>
      <w:r w:rsidRPr="00132E65">
        <w:rPr>
          <w:rtl/>
        </w:rPr>
        <w:t xml:space="preserve"> :</w:t>
      </w:r>
      <w:r>
        <w:rPr>
          <w:rtl/>
        </w:rPr>
        <w:t xml:space="preserve"> + </w:t>
      </w:r>
      <w:r w:rsidRPr="00132E65">
        <w:rPr>
          <w:rtl/>
        </w:rPr>
        <w:t>« في دينه »</w:t>
      </w:r>
      <w:r>
        <w:rPr>
          <w:rtl/>
        </w:rPr>
        <w:t>.</w:t>
      </w:r>
      <w:r w:rsidRPr="00132E65">
        <w:rPr>
          <w:rtl/>
        </w:rPr>
        <w:t xml:space="preserve"> وفي </w:t>
      </w:r>
      <w:r w:rsidRPr="009D1ACE">
        <w:rPr>
          <w:rStyle w:val="libFootnoteBoldChar"/>
          <w:rtl/>
        </w:rPr>
        <w:t>الوافي</w:t>
      </w:r>
      <w:r w:rsidRPr="00132E65">
        <w:rPr>
          <w:rtl/>
        </w:rPr>
        <w:t xml:space="preserve"> : « كأنّه يريد بخاصّة الموالي الذين يخدمونه ؛ لأنّ سائر الشيعة ليس لهم فيها إليه سبيل. وأمّا الغيبة الا</w:t>
      </w:r>
      <w:r>
        <w:rPr>
          <w:rFonts w:hint="cs"/>
          <w:rtl/>
        </w:rPr>
        <w:t>ُ</w:t>
      </w:r>
      <w:r w:rsidRPr="00132E65">
        <w:rPr>
          <w:rtl/>
        </w:rPr>
        <w:t xml:space="preserve">ولى ، فكان له </w:t>
      </w:r>
      <w:r w:rsidRPr="0033724D">
        <w:rPr>
          <w:rStyle w:val="libFootnoteAlaemChar"/>
          <w:rtl/>
        </w:rPr>
        <w:t>عليه‌السلام</w:t>
      </w:r>
      <w:r w:rsidRPr="00132E65">
        <w:rPr>
          <w:rtl/>
        </w:rPr>
        <w:t xml:space="preserve"> فيها سفراء »</w:t>
      </w:r>
      <w:r>
        <w:rPr>
          <w:rtl/>
        </w:rPr>
        <w:t>.</w:t>
      </w:r>
    </w:p>
    <w:p w:rsidR="000C39D1" w:rsidRPr="00132E65" w:rsidRDefault="000C39D1" w:rsidP="000C39D1">
      <w:pPr>
        <w:pStyle w:val="libFootnote0"/>
        <w:rPr>
          <w:rtl/>
          <w:lang w:bidi="fa-IR"/>
        </w:rPr>
      </w:pPr>
      <w:r>
        <w:rPr>
          <w:rtl/>
        </w:rPr>
        <w:t>(5).</w:t>
      </w:r>
      <w:r w:rsidRPr="00132E65">
        <w:rPr>
          <w:rtl/>
        </w:rPr>
        <w:t xml:space="preserve"> </w:t>
      </w:r>
      <w:r w:rsidRPr="00172303">
        <w:rPr>
          <w:rStyle w:val="libFootnoteBoldChar"/>
          <w:rtl/>
        </w:rPr>
        <w:t>الغيبة</w:t>
      </w:r>
      <w:r w:rsidRPr="00132E65">
        <w:rPr>
          <w:rtl/>
        </w:rPr>
        <w:t xml:space="preserve"> للنعماني ، ص 170 ح 2 ، عن الكليني. </w:t>
      </w:r>
      <w:r w:rsidRPr="00964FEB">
        <w:rPr>
          <w:rtl/>
        </w:rPr>
        <w:t>وفيه</w:t>
      </w:r>
      <w:r w:rsidRPr="00132E65">
        <w:rPr>
          <w:rtl/>
        </w:rPr>
        <w:t xml:space="preserve"> ، ح 1 ، بسند آخر عن الحسن بن محبوب ، مع اختلاف يسير. وراجع : </w:t>
      </w:r>
      <w:r w:rsidRPr="00172303">
        <w:rPr>
          <w:rStyle w:val="libFootnoteBoldChar"/>
          <w:rtl/>
        </w:rPr>
        <w:t>الغيبة للطوسي</w:t>
      </w:r>
      <w:r w:rsidRPr="00132E65">
        <w:rPr>
          <w:rtl/>
        </w:rPr>
        <w:t xml:space="preserve"> ، ص 163 ، ذيل ح 123 </w:t>
      </w:r>
      <w:r>
        <w:rPr>
          <w:rFonts w:hint="cs"/>
          <w:rtl/>
        </w:rPr>
        <w:t>.</w:t>
      </w:r>
      <w:r w:rsidRPr="009D1ACE">
        <w:rPr>
          <w:rStyle w:val="libFootnoteBoldChar"/>
          <w:rtl/>
        </w:rPr>
        <w:t>الوافي</w:t>
      </w:r>
      <w:r w:rsidRPr="00132E65">
        <w:rPr>
          <w:rtl/>
        </w:rPr>
        <w:t xml:space="preserve"> ، ج 2 ، ص 414 ، ح 920.</w:t>
      </w:r>
    </w:p>
    <w:p w:rsidR="000C39D1" w:rsidRPr="00132E65" w:rsidRDefault="000C39D1" w:rsidP="000C39D1">
      <w:pPr>
        <w:pStyle w:val="libFootnote0"/>
        <w:rPr>
          <w:rtl/>
          <w:lang w:bidi="fa-IR"/>
        </w:rPr>
      </w:pPr>
      <w:r>
        <w:rPr>
          <w:rtl/>
        </w:rPr>
        <w:t>(6).</w:t>
      </w:r>
      <w:r w:rsidRPr="00132E65">
        <w:rPr>
          <w:rtl/>
        </w:rPr>
        <w:t xml:space="preserve"> في الغيبة للنعماني ، ح 9 : « يرجع في إحداهما إلى أهله »</w:t>
      </w:r>
      <w:r>
        <w:rPr>
          <w:rtl/>
        </w:rPr>
        <w:t>.</w:t>
      </w:r>
    </w:p>
    <w:p w:rsidR="000C39D1" w:rsidRPr="00132E65" w:rsidRDefault="000C39D1" w:rsidP="000C39D1">
      <w:pPr>
        <w:pStyle w:val="libFootnote0"/>
        <w:rPr>
          <w:rtl/>
          <w:lang w:bidi="fa-IR"/>
        </w:rPr>
      </w:pPr>
      <w:r>
        <w:rPr>
          <w:rtl/>
        </w:rPr>
        <w:t>(7).</w:t>
      </w:r>
      <w:r w:rsidRPr="00132E65">
        <w:rPr>
          <w:rtl/>
        </w:rPr>
        <w:t xml:space="preserve"> في حاشية « ج » : « إن »</w:t>
      </w:r>
      <w:r>
        <w:rPr>
          <w:rtl/>
        </w:rPr>
        <w:t>.</w:t>
      </w:r>
    </w:p>
    <w:p w:rsidR="000C39D1" w:rsidRPr="00132E65" w:rsidRDefault="000C39D1" w:rsidP="000C39D1">
      <w:pPr>
        <w:pStyle w:val="libFootnote0"/>
        <w:rPr>
          <w:rtl/>
          <w:lang w:bidi="fa-IR"/>
        </w:rPr>
      </w:pPr>
      <w:r>
        <w:rPr>
          <w:rtl/>
        </w:rPr>
        <w:t>(8).</w:t>
      </w:r>
      <w:r w:rsidRPr="00132E65">
        <w:rPr>
          <w:rtl/>
        </w:rPr>
        <w:t xml:space="preserve"> في « ه‍ » : « إذ »</w:t>
      </w:r>
      <w:r>
        <w:rPr>
          <w:rtl/>
        </w:rPr>
        <w:t>.</w:t>
      </w:r>
    </w:p>
    <w:p w:rsidR="000C39D1" w:rsidRPr="00132E65" w:rsidRDefault="000C39D1" w:rsidP="000C39D1">
      <w:pPr>
        <w:pStyle w:val="libFootnote0"/>
        <w:rPr>
          <w:rtl/>
          <w:lang w:bidi="fa-IR"/>
        </w:rPr>
      </w:pPr>
      <w:r>
        <w:rPr>
          <w:rtl/>
        </w:rPr>
        <w:t>(9).</w:t>
      </w:r>
      <w:r w:rsidRPr="00132E65">
        <w:rPr>
          <w:rtl/>
        </w:rPr>
        <w:t xml:space="preserve"> في « ف » : « فاسألوه عن تلك العزائم التي »</w:t>
      </w:r>
      <w:r>
        <w:rPr>
          <w:rtl/>
        </w:rPr>
        <w:t>.</w:t>
      </w:r>
      <w:r w:rsidRPr="00132E65">
        <w:rPr>
          <w:rtl/>
        </w:rPr>
        <w:t xml:space="preserve"> وفي « ه‍ » : « فاسألوه عن تلك العظام التي »</w:t>
      </w:r>
      <w:r>
        <w:rPr>
          <w:rtl/>
        </w:rPr>
        <w:t>.</w:t>
      </w:r>
      <w:r w:rsidRPr="00132E65">
        <w:rPr>
          <w:rtl/>
        </w:rPr>
        <w:t xml:space="preserve"> وفي </w:t>
      </w:r>
      <w:r w:rsidRPr="00964FEB">
        <w:rPr>
          <w:rtl/>
        </w:rPr>
        <w:t>الغيبة</w:t>
      </w:r>
      <w:r w:rsidRPr="00132E65">
        <w:rPr>
          <w:rtl/>
        </w:rPr>
        <w:t xml:space="preserve"> للنعماني ، ح 9 : « فاسألوه عن تلك العظائم التي »</w:t>
      </w:r>
      <w:r>
        <w:rPr>
          <w:rtl/>
        </w:rPr>
        <w:t>.</w:t>
      </w:r>
      <w:r>
        <w:rPr>
          <w:rFonts w:hint="cs"/>
          <w:rtl/>
        </w:rPr>
        <w:t xml:space="preserve">          </w:t>
      </w:r>
      <w:r>
        <w:rPr>
          <w:rtl/>
        </w:rPr>
        <w:t>(10).</w:t>
      </w:r>
      <w:r w:rsidRPr="00132E65">
        <w:rPr>
          <w:rtl/>
        </w:rPr>
        <w:t xml:space="preserve"> الجملة الفعليّة صفة للأشياء.</w:t>
      </w:r>
    </w:p>
    <w:p w:rsidR="000C39D1" w:rsidRPr="00132E65" w:rsidRDefault="000C39D1" w:rsidP="000C39D1">
      <w:pPr>
        <w:pStyle w:val="libFootnote0"/>
        <w:rPr>
          <w:rtl/>
          <w:lang w:bidi="fa-IR"/>
        </w:rPr>
      </w:pPr>
      <w:r>
        <w:rPr>
          <w:rtl/>
        </w:rPr>
        <w:t>(11).</w:t>
      </w:r>
      <w:r w:rsidRPr="00132E65">
        <w:rPr>
          <w:rtl/>
        </w:rPr>
        <w:t xml:space="preserve"> يجوز فيه الرفع.</w:t>
      </w:r>
    </w:p>
    <w:p w:rsidR="000C39D1" w:rsidRPr="00132E65" w:rsidRDefault="000C39D1" w:rsidP="000C39D1">
      <w:pPr>
        <w:pStyle w:val="libFootnote0"/>
        <w:rPr>
          <w:rtl/>
          <w:lang w:bidi="fa-IR"/>
        </w:rPr>
      </w:pPr>
      <w:r>
        <w:rPr>
          <w:rtl/>
        </w:rPr>
        <w:t>(12).</w:t>
      </w:r>
      <w:r w:rsidRPr="00132E65">
        <w:rPr>
          <w:rtl/>
        </w:rPr>
        <w:t xml:space="preserve"> </w:t>
      </w:r>
      <w:r w:rsidRPr="00172303">
        <w:rPr>
          <w:rStyle w:val="libFootnoteBoldChar"/>
          <w:rtl/>
        </w:rPr>
        <w:t>الغيبة</w:t>
      </w:r>
      <w:r w:rsidRPr="00132E65">
        <w:rPr>
          <w:rtl/>
        </w:rPr>
        <w:t xml:space="preserve"> للنعماني ، ص 173 ، ح 9 ، عن الكليني. وفي </w:t>
      </w:r>
      <w:r w:rsidRPr="00172303">
        <w:rPr>
          <w:rStyle w:val="libFootnoteBoldChar"/>
          <w:rtl/>
        </w:rPr>
        <w:t>الغيبة</w:t>
      </w:r>
      <w:r w:rsidRPr="00132E65">
        <w:rPr>
          <w:rtl/>
        </w:rPr>
        <w:t xml:space="preserve"> للنعماني ، ص 173 ، ح 8 ، بسند آخر عن الباقر أبي جعفر </w:t>
      </w:r>
      <w:r w:rsidRPr="0033724D">
        <w:rPr>
          <w:rStyle w:val="libFootnoteAlaemChar"/>
          <w:rtl/>
        </w:rPr>
        <w:t>عليه‌السلام</w:t>
      </w:r>
      <w:r w:rsidRPr="00132E65">
        <w:rPr>
          <w:rtl/>
        </w:rPr>
        <w:t xml:space="preserve"> هكذا : « إنّ للقائم غيبتين ، يقال في إحداهما : هلك ، ولا يدرى في أيّ واد سلك »</w:t>
      </w:r>
      <w:r>
        <w:rPr>
          <w:rtl/>
        </w:rPr>
        <w:t>. وراجع</w:t>
      </w:r>
      <w:r w:rsidRPr="00132E65">
        <w:rPr>
          <w:rtl/>
        </w:rPr>
        <w:t>:</w:t>
      </w:r>
      <w:r>
        <w:rPr>
          <w:rFonts w:hint="cs"/>
          <w:rtl/>
        </w:rPr>
        <w:t xml:space="preserve">   </w:t>
      </w:r>
      <w:r w:rsidRPr="00964FEB">
        <w:rPr>
          <w:rtl/>
        </w:rPr>
        <w:t>الغيبة</w:t>
      </w:r>
      <w:r w:rsidRPr="00132E65">
        <w:rPr>
          <w:rtl/>
        </w:rPr>
        <w:t xml:space="preserve">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64FEB">
        <w:rPr>
          <w:rtl/>
        </w:rPr>
        <w:t>911</w:t>
      </w:r>
      <w:r w:rsidRPr="004325D8">
        <w:rPr>
          <w:rStyle w:val="libBold2Char"/>
          <w:rtl/>
        </w:rPr>
        <w:t xml:space="preserve"> / 21.</w:t>
      </w:r>
      <w:r w:rsidRPr="00132E65">
        <w:rPr>
          <w:rtl/>
          <w:lang w:bidi="fa-IR"/>
        </w:rPr>
        <w:t xml:space="preserve"> أَحْمَدُ بْنُ إِدْرِيسَ ، عَنْ مُحَمَّدِ بْنِ أَحْمَدَ ، عَنْ جَعْفَرِ بْنِ الْقَاسِمِ ، عَنْ مُحَمَّدِ بْنِ الْوَلِيدِ الْخَزَّاز </w:t>
      </w:r>
      <w:r>
        <w:rPr>
          <w:rStyle w:val="libFootnotenumChar"/>
          <w:rtl/>
        </w:rPr>
        <w:t>(1)</w:t>
      </w:r>
      <w:r w:rsidRPr="00132E65">
        <w:rPr>
          <w:rtl/>
          <w:lang w:bidi="fa-IR"/>
        </w:rPr>
        <w:t xml:space="preserve"> ، عَنِ الْوَلِيدِ بْنِ عُقْبَةَ ، عَنِ الْحَارِثِ بْنِ زِيَادٍ ، عَنْ شُعَيْبٍ ، عَنْ أَبِي حَمْزَةَ ، قَالَ :</w:t>
      </w:r>
    </w:p>
    <w:p w:rsidR="000C39D1" w:rsidRPr="00132E65" w:rsidRDefault="000C39D1" w:rsidP="000C39D1">
      <w:pPr>
        <w:pStyle w:val="libNormal"/>
        <w:rPr>
          <w:rtl/>
          <w:lang w:bidi="fa-IR"/>
        </w:rPr>
      </w:pPr>
      <w:r w:rsidRPr="00132E65">
        <w:rPr>
          <w:rtl/>
          <w:lang w:bidi="fa-IR"/>
        </w:rPr>
        <w:t xml:space="preserve">دَخَلْتُ عَلى أَبِي عَبْدِ اللهِ </w:t>
      </w:r>
      <w:r w:rsidRPr="00071CF9">
        <w:rPr>
          <w:rStyle w:val="libAlaemChar"/>
          <w:rtl/>
        </w:rPr>
        <w:t>عليه‌السلام</w:t>
      </w:r>
      <w:r w:rsidRPr="00132E65">
        <w:rPr>
          <w:rtl/>
          <w:lang w:bidi="fa-IR"/>
        </w:rPr>
        <w:t xml:space="preserve"> ، فَقُلْتُ لَهُ : أَنْتَ صَاحِبُ هذَا الْأَمْرِ</w:t>
      </w:r>
      <w:r>
        <w:rPr>
          <w:rtl/>
          <w:lang w:bidi="fa-IR"/>
        </w:rPr>
        <w:t>؟</w:t>
      </w:r>
      <w:r w:rsidRPr="00132E65">
        <w:rPr>
          <w:rtl/>
          <w:lang w:bidi="fa-IR"/>
        </w:rPr>
        <w:t xml:space="preserve"> فَقَالَ : « لَا »</w:t>
      </w:r>
      <w:r>
        <w:rPr>
          <w:rtl/>
          <w:lang w:bidi="fa-IR"/>
        </w:rPr>
        <w:t>.</w:t>
      </w:r>
      <w:r w:rsidRPr="00132E65">
        <w:rPr>
          <w:rtl/>
          <w:lang w:bidi="fa-IR"/>
        </w:rPr>
        <w:t xml:space="preserve"> فَقُلْتُ :</w:t>
      </w:r>
      <w:r>
        <w:rPr>
          <w:rFonts w:hint="cs"/>
          <w:rtl/>
          <w:lang w:bidi="fa-IR"/>
        </w:rPr>
        <w:t xml:space="preserve"> </w:t>
      </w:r>
      <w:r w:rsidRPr="00132E65">
        <w:rPr>
          <w:rtl/>
          <w:lang w:bidi="fa-IR"/>
        </w:rPr>
        <w:t xml:space="preserve">فَوَلَدُكَ </w:t>
      </w:r>
      <w:r>
        <w:rPr>
          <w:rStyle w:val="libFootnotenumChar"/>
          <w:rtl/>
        </w:rPr>
        <w:t>(2)</w:t>
      </w:r>
      <w:r>
        <w:rPr>
          <w:rtl/>
          <w:lang w:bidi="fa-IR"/>
        </w:rPr>
        <w:t>؟</w:t>
      </w:r>
      <w:r w:rsidRPr="00132E65">
        <w:rPr>
          <w:rtl/>
          <w:lang w:bidi="fa-IR"/>
        </w:rPr>
        <w:t xml:space="preserve"> فَقَالَ </w:t>
      </w:r>
      <w:r>
        <w:rPr>
          <w:rStyle w:val="libFootnotenumChar"/>
          <w:rtl/>
        </w:rPr>
        <w:t>(3)</w:t>
      </w:r>
      <w:r w:rsidRPr="00132E65">
        <w:rPr>
          <w:rtl/>
          <w:lang w:bidi="fa-IR"/>
        </w:rPr>
        <w:t xml:space="preserve"> : « لَا »</w:t>
      </w:r>
      <w:r>
        <w:rPr>
          <w:rtl/>
          <w:lang w:bidi="fa-IR"/>
        </w:rPr>
        <w:t>.</w:t>
      </w:r>
      <w:r w:rsidRPr="00132E65">
        <w:rPr>
          <w:rtl/>
          <w:lang w:bidi="fa-IR"/>
        </w:rPr>
        <w:t xml:space="preserve"> فَقُلْتُ : فَوَلَدُ و</w:t>
      </w:r>
      <w:r>
        <w:rPr>
          <w:rFonts w:hint="cs"/>
          <w:rtl/>
          <w:lang w:bidi="fa-IR"/>
        </w:rPr>
        <w:t>َ</w:t>
      </w:r>
      <w:r w:rsidRPr="00132E65">
        <w:rPr>
          <w:rtl/>
          <w:lang w:bidi="fa-IR"/>
        </w:rPr>
        <w:t>لَدِكَ هُوَ</w:t>
      </w:r>
      <w:r>
        <w:rPr>
          <w:rtl/>
          <w:lang w:bidi="fa-IR"/>
        </w:rPr>
        <w:t>؟</w:t>
      </w:r>
      <w:r w:rsidRPr="00132E65">
        <w:rPr>
          <w:rtl/>
          <w:lang w:bidi="fa-IR"/>
        </w:rPr>
        <w:t xml:space="preserve"> قَالَ </w:t>
      </w:r>
      <w:r>
        <w:rPr>
          <w:rStyle w:val="libFootnotenumChar"/>
          <w:rtl/>
        </w:rPr>
        <w:t>(4)</w:t>
      </w:r>
      <w:r w:rsidRPr="00132E65">
        <w:rPr>
          <w:rtl/>
          <w:lang w:bidi="fa-IR"/>
        </w:rPr>
        <w:t xml:space="preserve"> : « لَا »</w:t>
      </w:r>
      <w:r>
        <w:rPr>
          <w:rtl/>
          <w:lang w:bidi="fa-IR"/>
        </w:rPr>
        <w:t>.</w:t>
      </w:r>
      <w:r w:rsidRPr="00132E65">
        <w:rPr>
          <w:rtl/>
          <w:lang w:bidi="fa-IR"/>
        </w:rPr>
        <w:t xml:space="preserve"> فَقُلْتُ </w:t>
      </w:r>
      <w:r>
        <w:rPr>
          <w:rStyle w:val="libFootnotenumChar"/>
          <w:rtl/>
        </w:rPr>
        <w:t>(5)</w:t>
      </w:r>
      <w:r w:rsidRPr="00132E65">
        <w:rPr>
          <w:rtl/>
          <w:lang w:bidi="fa-IR"/>
        </w:rPr>
        <w:t xml:space="preserve"> : فَوَلَدُ و</w:t>
      </w:r>
      <w:r>
        <w:rPr>
          <w:rFonts w:hint="cs"/>
          <w:rtl/>
          <w:lang w:bidi="fa-IR"/>
        </w:rPr>
        <w:t>َ</w:t>
      </w:r>
      <w:r w:rsidRPr="00132E65">
        <w:rPr>
          <w:rtl/>
          <w:lang w:bidi="fa-IR"/>
        </w:rPr>
        <w:t>لَدِ و</w:t>
      </w:r>
      <w:r>
        <w:rPr>
          <w:rFonts w:hint="cs"/>
          <w:rtl/>
          <w:lang w:bidi="fa-IR"/>
        </w:rPr>
        <w:t>َ</w:t>
      </w:r>
      <w:r w:rsidRPr="00132E65">
        <w:rPr>
          <w:rtl/>
          <w:lang w:bidi="fa-IR"/>
        </w:rPr>
        <w:t>لَدِكَ</w:t>
      </w:r>
      <w:r>
        <w:rPr>
          <w:rtl/>
          <w:lang w:bidi="fa-IR"/>
        </w:rPr>
        <w:t>؟</w:t>
      </w:r>
      <w:r>
        <w:rPr>
          <w:rFonts w:hint="cs"/>
          <w:rtl/>
          <w:lang w:bidi="fa-IR"/>
        </w:rPr>
        <w:t xml:space="preserve"> </w:t>
      </w:r>
      <w:r w:rsidRPr="00132E65">
        <w:rPr>
          <w:rtl/>
          <w:lang w:bidi="fa-IR"/>
        </w:rPr>
        <w:t>فَقَالَ : « لَا »</w:t>
      </w:r>
      <w:r>
        <w:rPr>
          <w:rtl/>
          <w:lang w:bidi="fa-IR"/>
        </w:rPr>
        <w:t>.</w:t>
      </w:r>
      <w:r w:rsidRPr="00132E65">
        <w:rPr>
          <w:rtl/>
          <w:lang w:bidi="fa-IR"/>
        </w:rPr>
        <w:t xml:space="preserve"> قُلْتُ </w:t>
      </w:r>
      <w:r>
        <w:rPr>
          <w:rStyle w:val="libFootnotenumChar"/>
          <w:rtl/>
        </w:rPr>
        <w:t>(6)</w:t>
      </w:r>
      <w:r w:rsidRPr="00132E65">
        <w:rPr>
          <w:rtl/>
          <w:lang w:bidi="fa-IR"/>
        </w:rPr>
        <w:t xml:space="preserve"> : مَنْ </w:t>
      </w:r>
      <w:r>
        <w:rPr>
          <w:rStyle w:val="libFootnotenumChar"/>
          <w:rtl/>
        </w:rPr>
        <w:t>(7)</w:t>
      </w:r>
      <w:r w:rsidRPr="00132E65">
        <w:rPr>
          <w:rtl/>
          <w:lang w:bidi="fa-IR"/>
        </w:rPr>
        <w:t xml:space="preserve"> هُوَ</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(8)</w:t>
      </w:r>
      <w:r w:rsidRPr="00132E65">
        <w:rPr>
          <w:rtl/>
          <w:lang w:bidi="fa-IR"/>
        </w:rPr>
        <w:t xml:space="preserve"> : « الَّذِي يَمْلَؤُهَا عَدْلاً كَمَا مُلِئَتْ ظُلْماً وجَوْراً </w:t>
      </w:r>
      <w:r>
        <w:rPr>
          <w:rStyle w:val="libFootnotenumChar"/>
          <w:rtl/>
        </w:rPr>
        <w:t>(9)</w:t>
      </w:r>
      <w:r w:rsidRPr="00132E65">
        <w:rPr>
          <w:rtl/>
          <w:lang w:bidi="fa-IR"/>
        </w:rPr>
        <w:t xml:space="preserve"> عَلى </w:t>
      </w:r>
      <w:r>
        <w:rPr>
          <w:rStyle w:val="libFootnotenumChar"/>
          <w:rtl/>
        </w:rPr>
        <w:t>(10)</w:t>
      </w:r>
      <w:r w:rsidRPr="00132E65">
        <w:rPr>
          <w:rtl/>
          <w:lang w:bidi="fa-IR"/>
        </w:rPr>
        <w:t xml:space="preserve"> فَتْرَةٍ </w:t>
      </w:r>
      <w:r>
        <w:rPr>
          <w:rStyle w:val="libFootnotenumChar"/>
          <w:rtl/>
        </w:rPr>
        <w:t>(11)</w:t>
      </w:r>
      <w:r w:rsidRPr="00132E65">
        <w:rPr>
          <w:rtl/>
          <w:lang w:bidi="fa-IR"/>
        </w:rPr>
        <w:t xml:space="preserve"> مِنَ الْأَئِمَّةِ ، كَمَا أَنَّ رَسُولَ اللهِ </w:t>
      </w:r>
      <w:r w:rsidRPr="00071CF9">
        <w:rPr>
          <w:rStyle w:val="libAlaemChar"/>
          <w:rtl/>
        </w:rPr>
        <w:t>صلى‌الله‌عليه‌وآله</w:t>
      </w:r>
      <w:r w:rsidRPr="00132E65">
        <w:rPr>
          <w:rtl/>
          <w:lang w:bidi="fa-IR"/>
        </w:rPr>
        <w:t xml:space="preserve"> بُعِثَ عَلى فَتْرَةٍ مِنَ الرُّسُلِ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964FEB">
        <w:rPr>
          <w:rtl/>
        </w:rPr>
        <w:t>912</w:t>
      </w:r>
      <w:r w:rsidRPr="004325D8">
        <w:rPr>
          <w:rStyle w:val="libBold2Char"/>
          <w:rtl/>
        </w:rPr>
        <w:t xml:space="preserve"> / 22.</w:t>
      </w:r>
      <w:r w:rsidRPr="00132E65">
        <w:rPr>
          <w:rtl/>
          <w:lang w:bidi="fa-IR"/>
        </w:rPr>
        <w:t xml:space="preserve"> عَلِيُّ بْنُ مُحَمَّدٍ ، عَنْ جَعْفَرِ بْنِ مُحَمَّدٍ ، عَنْ مُوسَى بْنِ جَعْفَرٍ الْبَغْدَادِيِّ ، عَنْ وَهْبِ بْنِ شَاذَانَ ، عَنِ الْحَسَنِ بْنِ أَبِي الرَّبِيعِ ، عَنْ مُحَمَّدِ بْنِ إِسْحَاقَ </w:t>
      </w:r>
      <w:r w:rsidRPr="00F543F1">
        <w:rPr>
          <w:rStyle w:val="libFootnotenumChar"/>
          <w:rtl/>
        </w:rPr>
        <w:t>(13)</w:t>
      </w:r>
      <w:r w:rsidRPr="00132E65">
        <w:rPr>
          <w:rtl/>
          <w:lang w:bidi="fa-IR"/>
        </w:rPr>
        <w:t xml:space="preserve"> ، عَنْ أُمِّ هَانِىً ، قَالَتْ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 xml:space="preserve">للنعماني ، ص 171 ، ح 5 ؛ </w:t>
      </w:r>
      <w:r w:rsidRPr="00634BFC">
        <w:rPr>
          <w:rStyle w:val="libFootnoteBoldChar"/>
          <w:rtl/>
        </w:rPr>
        <w:t>والغيبة للطوسي</w:t>
      </w:r>
      <w:r w:rsidRPr="00132E65">
        <w:rPr>
          <w:rtl/>
        </w:rPr>
        <w:t xml:space="preserve"> ، ص 61 ، ح 60 ؛ وص 161 ، ح 120 </w:t>
      </w:r>
      <w:r>
        <w:rPr>
          <w:rFonts w:hint="cs"/>
          <w:rtl/>
        </w:rPr>
        <w:t>.</w:t>
      </w:r>
      <w:r w:rsidRPr="009D1ACE">
        <w:rPr>
          <w:rStyle w:val="libFootnoteBoldChar"/>
          <w:rtl/>
        </w:rPr>
        <w:t>الوافي</w:t>
      </w:r>
      <w:r w:rsidRPr="00132E65">
        <w:rPr>
          <w:rtl/>
        </w:rPr>
        <w:t xml:space="preserve"> ، ج 2 ، ص 414 ، ح 921.</w:t>
      </w:r>
    </w:p>
    <w:p w:rsidR="0033724D" w:rsidRDefault="000C39D1" w:rsidP="0033724D">
      <w:pPr>
        <w:pStyle w:val="libFootnote0"/>
        <w:rPr>
          <w:rtl/>
        </w:rPr>
      </w:pPr>
      <w:r>
        <w:rPr>
          <w:rtl/>
        </w:rPr>
        <w:t>(1).</w:t>
      </w:r>
      <w:r w:rsidRPr="00132E65">
        <w:rPr>
          <w:rtl/>
        </w:rPr>
        <w:t xml:space="preserve"> في « بر » : « عن ابن الوليد الخزّاز »</w:t>
      </w:r>
      <w:r>
        <w:rPr>
          <w:rtl/>
        </w:rPr>
        <w:t>.</w:t>
      </w:r>
      <w:r w:rsidRPr="00132E65">
        <w:rPr>
          <w:rtl/>
        </w:rPr>
        <w:t xml:space="preserve"> ثمّ إنّ محمّد بن الوليد هو محمّد بن الوليد البجلي الخزّاز. فما ورد في « ب ، و، بح ، بس ، بف » من « الخرّاز » ، سهو. راجع : </w:t>
      </w:r>
      <w:r w:rsidRPr="00634BFC">
        <w:rPr>
          <w:rStyle w:val="libFootnoteBoldChar"/>
          <w:rtl/>
        </w:rPr>
        <w:t>رجال النجاشي</w:t>
      </w:r>
      <w:r w:rsidRPr="00132E65">
        <w:rPr>
          <w:rtl/>
        </w:rPr>
        <w:t xml:space="preserve"> ، ص 143 ، الرقم 371 ، وص 345 ، الرقم 931.</w:t>
      </w:r>
    </w:p>
    <w:p w:rsidR="000C39D1" w:rsidRPr="00132E65" w:rsidRDefault="000C39D1" w:rsidP="0033724D">
      <w:pPr>
        <w:pStyle w:val="libFootnote0"/>
        <w:rPr>
          <w:rtl/>
          <w:lang w:bidi="fa-IR"/>
        </w:rPr>
      </w:pPr>
      <w:r>
        <w:rPr>
          <w:rtl/>
        </w:rPr>
        <w:t>(2).</w:t>
      </w:r>
      <w:r w:rsidRPr="00132E65">
        <w:rPr>
          <w:rtl/>
        </w:rPr>
        <w:t xml:space="preserve"> في « ض » : « وولدك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 » و</w:t>
            </w:r>
            <w:r w:rsidRPr="009D1ACE">
              <w:rPr>
                <w:rStyle w:val="libFootnoteBoldChar"/>
                <w:rtl/>
              </w:rPr>
              <w:t>الوافي</w:t>
            </w:r>
            <w:r w:rsidRPr="00132E65">
              <w:rPr>
                <w:rtl/>
              </w:rPr>
              <w:t xml:space="preserve"> : « قال »</w:t>
            </w:r>
            <w:r>
              <w:rPr>
                <w:rtl/>
              </w:rPr>
              <w:t>.</w:t>
            </w:r>
          </w:p>
        </w:tc>
        <w:tc>
          <w:tcPr>
            <w:tcW w:w="4006" w:type="dxa"/>
          </w:tcPr>
          <w:p w:rsidR="000C39D1" w:rsidRDefault="000C39D1" w:rsidP="00B53873">
            <w:pPr>
              <w:pStyle w:val="libFootnote0"/>
              <w:rPr>
                <w:rtl/>
              </w:rPr>
            </w:pPr>
            <w:r>
              <w:rPr>
                <w:rtl/>
              </w:rPr>
              <w:t>(4).</w:t>
            </w:r>
            <w:r w:rsidRPr="00132E65">
              <w:rPr>
                <w:rtl/>
              </w:rPr>
              <w:t xml:space="preserve"> في « ب ، ج » والغيبة : « فقال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ض ، بف » والغيبة : « قلت »</w:t>
            </w:r>
            <w:r>
              <w:rPr>
                <w:rtl/>
              </w:rPr>
              <w:t>.</w:t>
            </w:r>
          </w:p>
        </w:tc>
        <w:tc>
          <w:tcPr>
            <w:tcW w:w="4006" w:type="dxa"/>
          </w:tcPr>
          <w:p w:rsidR="000C39D1" w:rsidRDefault="000C39D1" w:rsidP="00B53873">
            <w:pPr>
              <w:pStyle w:val="libFootnote0"/>
              <w:rPr>
                <w:rtl/>
              </w:rPr>
            </w:pPr>
            <w:r>
              <w:rPr>
                <w:rtl/>
              </w:rPr>
              <w:t>(6).</w:t>
            </w:r>
            <w:r w:rsidRPr="00132E65">
              <w:rPr>
                <w:rtl/>
              </w:rPr>
              <w:t xml:space="preserve"> في « ب ، ف » : « فقلت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ف » والغيبة : « فمن »</w:t>
            </w:r>
            <w:r>
              <w:rPr>
                <w:rtl/>
              </w:rPr>
              <w:t>.</w:t>
            </w:r>
          </w:p>
        </w:tc>
        <w:tc>
          <w:tcPr>
            <w:tcW w:w="4006" w:type="dxa"/>
          </w:tcPr>
          <w:p w:rsidR="000C39D1" w:rsidRDefault="000C39D1" w:rsidP="00B53873">
            <w:pPr>
              <w:pStyle w:val="libFootnote0"/>
              <w:rPr>
                <w:rtl/>
              </w:rPr>
            </w:pPr>
            <w:r>
              <w:rPr>
                <w:rtl/>
              </w:rPr>
              <w:t>(8).</w:t>
            </w:r>
            <w:r w:rsidRPr="00132E65">
              <w:rPr>
                <w:rtl/>
              </w:rPr>
              <w:t xml:space="preserve"> في « ه‍ » :</w:t>
            </w:r>
            <w:r>
              <w:rPr>
                <w:rtl/>
              </w:rPr>
              <w:t xml:space="preserve"> + </w:t>
            </w:r>
            <w:r w:rsidRPr="00132E65">
              <w:rPr>
                <w:rtl/>
              </w:rPr>
              <w:t>« إنّ »</w:t>
            </w:r>
            <w:r>
              <w:rPr>
                <w:rtl/>
              </w:rPr>
              <w:t>.</w:t>
            </w:r>
          </w:p>
        </w:tc>
      </w:tr>
    </w:tbl>
    <w:p w:rsidR="000C39D1" w:rsidRPr="00132E65" w:rsidRDefault="000C39D1" w:rsidP="000C39D1">
      <w:pPr>
        <w:pStyle w:val="libFootnote0"/>
        <w:rPr>
          <w:rtl/>
          <w:lang w:bidi="fa-IR"/>
        </w:rPr>
      </w:pPr>
      <w:r>
        <w:rPr>
          <w:rtl/>
        </w:rPr>
        <w:t>(9).</w:t>
      </w:r>
      <w:r w:rsidRPr="00132E65">
        <w:rPr>
          <w:rtl/>
        </w:rPr>
        <w:t xml:space="preserve"> « الجَوْرُ » : الميل عن الطريق والضَلال عنه. يقال : جار عن الطريق يجور ، أي مال عنه وضلّ. وقد يكون بمعنى الظلم. راجع : </w:t>
      </w:r>
      <w:r w:rsidRPr="00634BFC">
        <w:rPr>
          <w:rStyle w:val="libFootnoteBoldChar"/>
          <w:rtl/>
        </w:rPr>
        <w:t>النهاية</w:t>
      </w:r>
      <w:r w:rsidRPr="00132E65">
        <w:rPr>
          <w:rtl/>
        </w:rPr>
        <w:t xml:space="preserve"> ، ج 1 ، ص 313 ( جور )</w:t>
      </w:r>
      <w:r>
        <w:rPr>
          <w:rtl/>
        </w:rPr>
        <w:t>.</w:t>
      </w:r>
    </w:p>
    <w:p w:rsidR="000C39D1" w:rsidRPr="00132E65" w:rsidRDefault="000C39D1" w:rsidP="000C39D1">
      <w:pPr>
        <w:pStyle w:val="libFootnote0"/>
        <w:rPr>
          <w:rtl/>
          <w:lang w:bidi="fa-IR"/>
        </w:rPr>
      </w:pPr>
      <w:r>
        <w:rPr>
          <w:rtl/>
        </w:rPr>
        <w:t>(10).</w:t>
      </w:r>
      <w:r w:rsidRPr="00132E65">
        <w:rPr>
          <w:rtl/>
        </w:rPr>
        <w:t xml:space="preserve"> في « ه‍ » والغيبة : « لعلى »</w:t>
      </w:r>
      <w:r>
        <w:rPr>
          <w:rtl/>
        </w:rPr>
        <w:t>.</w:t>
      </w:r>
    </w:p>
    <w:p w:rsidR="000C39D1" w:rsidRPr="00132E65" w:rsidRDefault="000C39D1" w:rsidP="000C39D1">
      <w:pPr>
        <w:pStyle w:val="libFootnote0"/>
        <w:rPr>
          <w:rtl/>
          <w:lang w:bidi="fa-IR"/>
        </w:rPr>
      </w:pPr>
      <w:r>
        <w:rPr>
          <w:rtl/>
        </w:rPr>
        <w:t>(11).</w:t>
      </w:r>
      <w:r w:rsidRPr="00132E65">
        <w:rPr>
          <w:rtl/>
        </w:rPr>
        <w:t xml:space="preserve"> « الفَتْرَةُ » : ما بين الرسولين من رسل الله تعالى من الزمان الذي انقطعت فيه الرسالة. وقال المجلسي : « والمراد بفترة من الأئمّة : خفاؤهم وعدم ظهورهم في مدّة طويلة ، أو عدم إمام قادر قاهر. فتشمل أزمنة سائر الأئمّة سوى أمير المؤمنين </w:t>
      </w:r>
      <w:r w:rsidRPr="00AB19A3">
        <w:rPr>
          <w:rStyle w:val="libFootnoteAlaemChar"/>
          <w:rtl/>
        </w:rPr>
        <w:t>عليه‌السلام</w:t>
      </w:r>
      <w:r w:rsidRPr="00132E65">
        <w:rPr>
          <w:rtl/>
        </w:rPr>
        <w:t>. والأوّل أظهر »</w:t>
      </w:r>
      <w:r>
        <w:rPr>
          <w:rtl/>
        </w:rPr>
        <w:t>.</w:t>
      </w:r>
      <w:r w:rsidRPr="00132E65">
        <w:rPr>
          <w:rtl/>
        </w:rPr>
        <w:t xml:space="preserve"> راجع : </w:t>
      </w:r>
      <w:r w:rsidRPr="00AB19A3">
        <w:rPr>
          <w:rStyle w:val="libFootnoteBoldChar"/>
          <w:rtl/>
        </w:rPr>
        <w:t>النهاية</w:t>
      </w:r>
      <w:r w:rsidRPr="00132E65">
        <w:rPr>
          <w:rtl/>
        </w:rPr>
        <w:t xml:space="preserve"> ، ج 3 ، ص 408 ( فتر )</w:t>
      </w:r>
      <w:r>
        <w:rPr>
          <w:rtl/>
        </w:rPr>
        <w:t>.</w:t>
      </w:r>
    </w:p>
    <w:p w:rsidR="000C39D1" w:rsidRDefault="000C39D1" w:rsidP="000C39D1">
      <w:pPr>
        <w:pStyle w:val="libFootnote0"/>
        <w:rPr>
          <w:rtl/>
          <w:lang w:bidi="fa-IR"/>
        </w:rPr>
      </w:pPr>
      <w:r>
        <w:rPr>
          <w:rtl/>
        </w:rPr>
        <w:t>(12).</w:t>
      </w:r>
      <w:r w:rsidRPr="00132E65">
        <w:rPr>
          <w:rtl/>
        </w:rPr>
        <w:t xml:space="preserve"> </w:t>
      </w:r>
      <w:r w:rsidRPr="00AB19A3">
        <w:rPr>
          <w:rStyle w:val="libFootnoteBoldChar"/>
          <w:rtl/>
        </w:rPr>
        <w:t>الغيبة للنعماني</w:t>
      </w:r>
      <w:r w:rsidRPr="00132E65">
        <w:rPr>
          <w:rtl/>
        </w:rPr>
        <w:t xml:space="preserve"> ، ص 186 ، ح 38 ، عن الكليني </w:t>
      </w:r>
      <w:r>
        <w:rPr>
          <w:rFonts w:hint="cs"/>
          <w:rtl/>
        </w:rPr>
        <w:t>.</w:t>
      </w:r>
      <w:r w:rsidRPr="009D1ACE">
        <w:rPr>
          <w:rStyle w:val="libFootnoteBoldChar"/>
          <w:rtl/>
        </w:rPr>
        <w:t>الوافي</w:t>
      </w:r>
      <w:r w:rsidRPr="00132E65">
        <w:rPr>
          <w:rtl/>
        </w:rPr>
        <w:t xml:space="preserve"> ، ج 2 ، ص 475 ، ح 987.</w:t>
      </w:r>
    </w:p>
    <w:p w:rsidR="000C39D1" w:rsidRPr="00132E65" w:rsidRDefault="000C39D1" w:rsidP="000C39D1">
      <w:pPr>
        <w:pStyle w:val="libFootnote0"/>
        <w:rPr>
          <w:rtl/>
          <w:lang w:bidi="fa-IR"/>
        </w:rPr>
      </w:pPr>
      <w:r>
        <w:rPr>
          <w:rtl/>
        </w:rPr>
        <w:t>(13)</w:t>
      </w:r>
      <w:r w:rsidRPr="00132E65">
        <w:rPr>
          <w:rtl/>
        </w:rPr>
        <w:t xml:space="preserve"> هكذا في النسخ. وفي المطبوع :</w:t>
      </w:r>
      <w:r>
        <w:rPr>
          <w:rtl/>
        </w:rPr>
        <w:t xml:space="preserve"> + </w:t>
      </w:r>
      <w:r w:rsidRPr="00132E65">
        <w:rPr>
          <w:rtl/>
        </w:rPr>
        <w:t>« عن ا</w:t>
      </w:r>
      <w:r>
        <w:rPr>
          <w:rFonts w:hint="cs"/>
          <w:rtl/>
        </w:rPr>
        <w:t>ُ</w:t>
      </w:r>
      <w:r w:rsidRPr="00132E65">
        <w:rPr>
          <w:rtl/>
        </w:rPr>
        <w:t>سيد بن ثعلبة »</w:t>
      </w:r>
      <w:r>
        <w:rPr>
          <w:rtl/>
        </w:rPr>
        <w:t>.</w:t>
      </w:r>
      <w:r w:rsidRPr="00132E65">
        <w:rPr>
          <w:rtl/>
        </w:rPr>
        <w:t xml:space="preserve"> والخبر رواه النعماني في كتابه </w:t>
      </w:r>
      <w:r w:rsidRPr="00AB19A3">
        <w:rPr>
          <w:rStyle w:val="libFootnoteBoldChar"/>
          <w:rtl/>
        </w:rPr>
        <w:t>الغيبة</w:t>
      </w:r>
      <w:r w:rsidRPr="00132E65">
        <w:rPr>
          <w:rtl/>
        </w:rPr>
        <w:t xml:space="preserve"> ، ص 150 ،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سَأَلْتُ أَبَا جَعْفَرٍ مُحَمَّدَ بْنَ عَلِيٍّ </w:t>
      </w:r>
      <w:r w:rsidRPr="00071CF9">
        <w:rPr>
          <w:rStyle w:val="libAlaemChar"/>
          <w:rtl/>
        </w:rPr>
        <w:t>عليهما‌السلام</w:t>
      </w:r>
      <w:r w:rsidRPr="00132E65">
        <w:rPr>
          <w:rtl/>
          <w:lang w:bidi="fa-IR"/>
        </w:rPr>
        <w:t xml:space="preserve"> عَنْ قَوْلِ اللهِ تَعَالى : </w:t>
      </w:r>
      <w:r w:rsidRPr="00071CF9">
        <w:rPr>
          <w:rStyle w:val="libAlaemChar"/>
          <w:rtl/>
        </w:rPr>
        <w:t>(</w:t>
      </w:r>
      <w:r w:rsidRPr="00071CF9">
        <w:rPr>
          <w:rStyle w:val="libAieChar"/>
          <w:rtl/>
        </w:rPr>
        <w:t xml:space="preserve"> فَلا أُقْسِمُ بِالْخُنَّسِ </w:t>
      </w:r>
      <w:r>
        <w:rPr>
          <w:rStyle w:val="libAieChar"/>
          <w:rFonts w:hint="cs"/>
          <w:rtl/>
        </w:rPr>
        <w:t xml:space="preserve">* </w:t>
      </w:r>
      <w:r w:rsidRPr="00071CF9">
        <w:rPr>
          <w:rStyle w:val="libAieChar"/>
          <w:rtl/>
        </w:rPr>
        <w:t>الْجَوارِ الْكُنَّسِ</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قَالَتْ : فَقَالَ : « إِمَامٌ يَخْنِسُ </w:t>
      </w:r>
      <w:r>
        <w:rPr>
          <w:rStyle w:val="libFootnotenumChar"/>
          <w:rtl/>
        </w:rPr>
        <w:t>(2)</w:t>
      </w:r>
      <w:r w:rsidRPr="00132E65">
        <w:rPr>
          <w:rtl/>
          <w:lang w:bidi="fa-IR"/>
        </w:rPr>
        <w:t xml:space="preserve"> سَنَةَ سِتِّينَ ومِائَتَيْنِ ، ثُمَّ يَظْهَرُ كَالشِّهَابِ ، يَتَوَقَّدُ فِي اللَّيْلَةِ </w:t>
      </w:r>
      <w:r>
        <w:rPr>
          <w:rStyle w:val="libFootnotenumChar"/>
          <w:rtl/>
        </w:rPr>
        <w:t>(3)</w:t>
      </w:r>
      <w:r w:rsidRPr="00132E65">
        <w:rPr>
          <w:rtl/>
          <w:lang w:bidi="fa-IR"/>
        </w:rPr>
        <w:t xml:space="preserve"> الظَّلْمَاءِ ، فَإِنْ أَدْرَكْتِ زَمَانَهُ قَرَّتْ عَيْنُكِ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964FEB">
        <w:rPr>
          <w:rtl/>
        </w:rPr>
        <w:t>913</w:t>
      </w:r>
      <w:r w:rsidRPr="004325D8">
        <w:rPr>
          <w:rStyle w:val="libBold2Char"/>
          <w:rtl/>
        </w:rPr>
        <w:t xml:space="preserve"> / 23.</w:t>
      </w:r>
      <w:r w:rsidRPr="00132E65">
        <w:rPr>
          <w:rtl/>
          <w:lang w:bidi="fa-IR"/>
        </w:rPr>
        <w:t xml:space="preserve"> عِدَّةٌ مِنْ أَصْحَابِنَا ، عَنْ سَعْدِ بْنِ عَبْدِ اللهِ ، عَنْ أَحْمَدَ بْنِ الْحُسَيْنِ بْنِ </w:t>
      </w:r>
      <w:r>
        <w:rPr>
          <w:rStyle w:val="libFootnotenumChar"/>
          <w:rtl/>
        </w:rPr>
        <w:t>(5)</w:t>
      </w:r>
      <w:r w:rsidRPr="00132E65">
        <w:rPr>
          <w:rtl/>
          <w:lang w:bidi="fa-IR"/>
        </w:rPr>
        <w:t xml:space="preserve"> عُمَرَ بْنِ يَزِيدَ ، عَنِ الْحَسَنِ بْنِ الرَّبِيعِ </w:t>
      </w:r>
      <w:r>
        <w:rPr>
          <w:rStyle w:val="libFootnotenumChar"/>
          <w:rtl/>
        </w:rPr>
        <w:t>(6)</w:t>
      </w:r>
      <w:r w:rsidRPr="00132E65">
        <w:rPr>
          <w:rtl/>
          <w:lang w:bidi="fa-IR"/>
        </w:rPr>
        <w:t xml:space="preserve"> الْهَمْدَانِيِّ </w:t>
      </w:r>
      <w:r>
        <w:rPr>
          <w:rStyle w:val="libFootnotenumChar"/>
          <w:rtl/>
        </w:rPr>
        <w:t>(7)</w:t>
      </w:r>
      <w:r w:rsidRPr="00132E65">
        <w:rPr>
          <w:rtl/>
          <w:lang w:bidi="fa-IR"/>
        </w:rPr>
        <w:t xml:space="preserve"> ، قَالَ : حَدَّثَنَا مُحَمَّدُ بْنُ إِسْحَاقَ ، عَنْ أُسَيْدِ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ذيل ح 6 ، نقلاً من المصنّف وفيه : « الحسن بن أبي الربيع الهمداني ، قال : حدّثنا محمّد بن إسحاق ، عن ا</w:t>
      </w:r>
      <w:r>
        <w:rPr>
          <w:rFonts w:hint="cs"/>
          <w:rtl/>
        </w:rPr>
        <w:t>ُ</w:t>
      </w:r>
      <w:r w:rsidRPr="00132E65">
        <w:rPr>
          <w:rtl/>
        </w:rPr>
        <w:t>سيد بن ثعلبة ، عن ا</w:t>
      </w:r>
      <w:r>
        <w:rPr>
          <w:rFonts w:hint="cs"/>
          <w:rtl/>
        </w:rPr>
        <w:t>ُ</w:t>
      </w:r>
      <w:r w:rsidRPr="00132E65">
        <w:rPr>
          <w:rtl/>
        </w:rPr>
        <w:t xml:space="preserve">مّ هانئ » لكنّه ورد في </w:t>
      </w:r>
      <w:r w:rsidRPr="00964FEB">
        <w:rPr>
          <w:rtl/>
        </w:rPr>
        <w:t>تأويل الآيات</w:t>
      </w:r>
      <w:r w:rsidRPr="00132E65">
        <w:rPr>
          <w:rtl/>
        </w:rPr>
        <w:t xml:space="preserve"> ، ص 744</w:t>
      </w:r>
      <w:r>
        <w:rPr>
          <w:rtl/>
        </w:rPr>
        <w:t xml:space="preserve"> - </w:t>
      </w:r>
      <w:r w:rsidRPr="00132E65">
        <w:rPr>
          <w:rtl/>
        </w:rPr>
        <w:t>باختلاف في الألفاظ</w:t>
      </w:r>
      <w:r>
        <w:rPr>
          <w:rtl/>
        </w:rPr>
        <w:t xml:space="preserve"> - </w:t>
      </w:r>
      <w:r w:rsidRPr="00132E65">
        <w:rPr>
          <w:rtl/>
        </w:rPr>
        <w:t>نقلاً من محمّد بن العبّاس بسنده عن وهب بن شاذان ، عن الحسن بن الربيع ، عن محمّد بن إسحاق ، قال : حدّثتني ا</w:t>
      </w:r>
      <w:r>
        <w:rPr>
          <w:rFonts w:hint="cs"/>
          <w:rtl/>
        </w:rPr>
        <w:t>ُ</w:t>
      </w:r>
      <w:r w:rsidRPr="00132E65">
        <w:rPr>
          <w:rtl/>
        </w:rPr>
        <w:t>مّ هانئ »</w:t>
      </w:r>
      <w:r>
        <w:rPr>
          <w:rtl/>
        </w:rPr>
        <w:t>.</w:t>
      </w:r>
      <w:r w:rsidRPr="00132E65">
        <w:rPr>
          <w:rtl/>
        </w:rPr>
        <w:t xml:space="preserve"> وفي نقل </w:t>
      </w:r>
      <w:r w:rsidRPr="00964FEB">
        <w:rPr>
          <w:rtl/>
        </w:rPr>
        <w:t>تأويل الآيات</w:t>
      </w:r>
      <w:r>
        <w:rPr>
          <w:rtl/>
        </w:rPr>
        <w:t xml:space="preserve"> - </w:t>
      </w:r>
      <w:r w:rsidRPr="00132E65">
        <w:rPr>
          <w:rtl/>
        </w:rPr>
        <w:t>كما ترى</w:t>
      </w:r>
      <w:r>
        <w:rPr>
          <w:rtl/>
        </w:rPr>
        <w:t xml:space="preserve"> - </w:t>
      </w:r>
      <w:r w:rsidRPr="00132E65">
        <w:rPr>
          <w:rtl/>
        </w:rPr>
        <w:t>لم يتوسّط ا</w:t>
      </w:r>
      <w:r>
        <w:rPr>
          <w:rFonts w:hint="cs"/>
          <w:rtl/>
        </w:rPr>
        <w:t>ُ</w:t>
      </w:r>
      <w:r w:rsidRPr="00132E65">
        <w:rPr>
          <w:rtl/>
        </w:rPr>
        <w:t>سيد بن ثعلبة بين محمّد بن إسحاق وا</w:t>
      </w:r>
      <w:r>
        <w:rPr>
          <w:rFonts w:hint="cs"/>
          <w:rtl/>
        </w:rPr>
        <w:t>ُ</w:t>
      </w:r>
      <w:r w:rsidRPr="00132E65">
        <w:rPr>
          <w:rtl/>
        </w:rPr>
        <w:t xml:space="preserve">مّ هانئ. فلذا لا تطمئنّ النفس بنقل النعماني الخبر من بعض نسخ </w:t>
      </w:r>
      <w:r w:rsidRPr="000577A7">
        <w:rPr>
          <w:rStyle w:val="libFootnoteBoldChar"/>
          <w:rtl/>
        </w:rPr>
        <w:t>الكافي</w:t>
      </w:r>
      <w:r w:rsidRPr="00132E65">
        <w:rPr>
          <w:rtl/>
        </w:rPr>
        <w:t xml:space="preserve"> ، أو عدم تصحيحه اجتهاداً متّكئاً على السند الآتي المشابه لبعض أجزاء هذا السند.</w:t>
      </w:r>
    </w:p>
    <w:p w:rsidR="000C39D1" w:rsidRDefault="000C39D1" w:rsidP="000C39D1">
      <w:pPr>
        <w:pStyle w:val="libFootnote0"/>
        <w:rPr>
          <w:rtl/>
        </w:rPr>
      </w:pPr>
      <w:r w:rsidRPr="00E55206">
        <w:rPr>
          <w:rtl/>
        </w:rPr>
        <w:t xml:space="preserve">يؤيّد ذلك اختلاف بعض العبارات الواردة في سند النعماني لِسَندِنا هذا ومطابقتها مع عبارات السند الآتي ؛ فإنّ في هذا السند « الحسن بن أبي الربيع عن محمّد بن إسحاق ». وفي النعماني : « قال : حدّثنا محمّد بن إسحاق ». كما أنّه لم يرد قيد « الهمداني » في أيّة نسخة من نسخ </w:t>
      </w:r>
      <w:r w:rsidRPr="000577A7">
        <w:rPr>
          <w:rStyle w:val="libFootnoteBoldChar"/>
          <w:rtl/>
        </w:rPr>
        <w:t>الكافي</w:t>
      </w:r>
      <w:r w:rsidRPr="00E55206">
        <w:rPr>
          <w:rtl/>
        </w:rPr>
        <w:t xml:space="preserve"> لكنّه مذكور في نقل النعماني.</w:t>
      </w:r>
    </w:p>
    <w:p w:rsidR="000C39D1" w:rsidRPr="00132E65" w:rsidRDefault="000C39D1" w:rsidP="000C39D1">
      <w:pPr>
        <w:pStyle w:val="libFootnote0"/>
        <w:rPr>
          <w:rtl/>
          <w:lang w:bidi="fa-IR"/>
        </w:rPr>
      </w:pPr>
      <w:r>
        <w:rPr>
          <w:rtl/>
        </w:rPr>
        <w:t>(1).</w:t>
      </w:r>
      <w:r w:rsidRPr="00132E65">
        <w:rPr>
          <w:rtl/>
        </w:rPr>
        <w:t xml:space="preserve"> التكوير (81) : 15</w:t>
      </w:r>
      <w:r>
        <w:rPr>
          <w:rtl/>
        </w:rPr>
        <w:t xml:space="preserve"> - </w:t>
      </w:r>
      <w:r w:rsidRPr="00132E65">
        <w:rPr>
          <w:rtl/>
        </w:rPr>
        <w:t>16.</w:t>
      </w:r>
    </w:p>
    <w:p w:rsidR="000C39D1" w:rsidRPr="00132E65" w:rsidRDefault="000C39D1" w:rsidP="000C39D1">
      <w:pPr>
        <w:pStyle w:val="libFootnote0"/>
        <w:rPr>
          <w:rtl/>
          <w:lang w:bidi="fa-IR"/>
        </w:rPr>
      </w:pPr>
      <w:r>
        <w:rPr>
          <w:rtl/>
        </w:rPr>
        <w:t>(2).</w:t>
      </w:r>
      <w:r w:rsidRPr="00132E65">
        <w:rPr>
          <w:rtl/>
        </w:rPr>
        <w:t xml:space="preserve"> « يَخْنِسُ » ، </w:t>
      </w:r>
      <w:r>
        <w:rPr>
          <w:rtl/>
        </w:rPr>
        <w:t>و «</w:t>
      </w:r>
      <w:r w:rsidRPr="00132E65">
        <w:rPr>
          <w:rtl/>
        </w:rPr>
        <w:t xml:space="preserve"> يَخْنُسُ » : ينقبض ويتأخّر عن الناس ويغيب ؛ من الخُنُوس بمعنى الانقباض والاختفاء. راجع : </w:t>
      </w:r>
      <w:r w:rsidRPr="009D1ACE">
        <w:rPr>
          <w:rStyle w:val="libFootnoteBoldChar"/>
          <w:rtl/>
        </w:rPr>
        <w:t>لسان العرب</w:t>
      </w:r>
      <w:r w:rsidRPr="00132E65">
        <w:rPr>
          <w:rtl/>
        </w:rPr>
        <w:t xml:space="preserve"> ، ج 6 ، ص 71 ( خنس )</w:t>
      </w:r>
      <w:r>
        <w:rPr>
          <w:rtl/>
        </w:rPr>
        <w:t>.</w:t>
      </w:r>
      <w:r>
        <w:rPr>
          <w:rFonts w:hint="cs"/>
          <w:rtl/>
        </w:rPr>
        <w:t xml:space="preserve">                     </w:t>
      </w:r>
      <w:r>
        <w:rPr>
          <w:rtl/>
        </w:rPr>
        <w:t>(3).</w:t>
      </w:r>
      <w:r w:rsidRPr="00132E65">
        <w:rPr>
          <w:rtl/>
        </w:rPr>
        <w:t xml:space="preserve"> في </w:t>
      </w:r>
      <w:r w:rsidRPr="009D1ACE">
        <w:rPr>
          <w:rStyle w:val="libFootnoteBoldChar"/>
          <w:rtl/>
        </w:rPr>
        <w:t>الوافي</w:t>
      </w:r>
      <w:r w:rsidRPr="00132E65">
        <w:rPr>
          <w:rtl/>
        </w:rPr>
        <w:t xml:space="preserve"> : « الليل »</w:t>
      </w:r>
      <w:r>
        <w:rPr>
          <w:rtl/>
        </w:rPr>
        <w:t>.</w:t>
      </w:r>
    </w:p>
    <w:p w:rsidR="000C39D1" w:rsidRPr="00132E65" w:rsidRDefault="000C39D1" w:rsidP="000C39D1">
      <w:pPr>
        <w:pStyle w:val="libFootnote0"/>
        <w:rPr>
          <w:rtl/>
          <w:lang w:bidi="fa-IR"/>
        </w:rPr>
      </w:pPr>
      <w:r>
        <w:rPr>
          <w:rtl/>
        </w:rPr>
        <w:t>(4).</w:t>
      </w:r>
      <w:r w:rsidRPr="00132E65">
        <w:rPr>
          <w:rtl/>
        </w:rPr>
        <w:t xml:space="preserve"> </w:t>
      </w:r>
      <w:r w:rsidRPr="00AB19A3">
        <w:rPr>
          <w:rStyle w:val="libFootnoteBoldChar"/>
          <w:rtl/>
        </w:rPr>
        <w:t>الغيبة</w:t>
      </w:r>
      <w:r w:rsidRPr="00132E65">
        <w:rPr>
          <w:rtl/>
        </w:rPr>
        <w:t xml:space="preserve"> للنعماني ، ص 149 ، ذيل ح 6 ، عن الكليني </w:t>
      </w:r>
      <w:r>
        <w:rPr>
          <w:rFonts w:hint="cs"/>
          <w:rtl/>
        </w:rPr>
        <w:t>.</w:t>
      </w:r>
      <w:r w:rsidRPr="009D1ACE">
        <w:rPr>
          <w:rStyle w:val="libFootnoteBoldChar"/>
          <w:rtl/>
        </w:rPr>
        <w:t>الوافي</w:t>
      </w:r>
      <w:r w:rsidRPr="00132E65">
        <w:rPr>
          <w:rtl/>
        </w:rPr>
        <w:t xml:space="preserve"> ، ج 2 ، ص 417 ، ح 928.</w:t>
      </w:r>
    </w:p>
    <w:p w:rsidR="000C39D1" w:rsidRPr="00132E65" w:rsidRDefault="000C39D1" w:rsidP="000C39D1">
      <w:pPr>
        <w:pStyle w:val="libFootnote0"/>
        <w:rPr>
          <w:rtl/>
          <w:lang w:bidi="fa-IR"/>
        </w:rPr>
      </w:pPr>
      <w:r>
        <w:rPr>
          <w:rtl/>
        </w:rPr>
        <w:t>(5).</w:t>
      </w:r>
      <w:r w:rsidRPr="00132E65">
        <w:rPr>
          <w:rtl/>
        </w:rPr>
        <w:t xml:space="preserve"> ه</w:t>
      </w:r>
      <w:r>
        <w:rPr>
          <w:rtl/>
        </w:rPr>
        <w:t>كذا في حاشية « بع » ونقله العل</w:t>
      </w:r>
      <w:r>
        <w:rPr>
          <w:rFonts w:hint="cs"/>
          <w:rtl/>
        </w:rPr>
        <w:t>ّ</w:t>
      </w:r>
      <w:r>
        <w:rPr>
          <w:rtl/>
        </w:rPr>
        <w:t>ا</w:t>
      </w:r>
      <w:r w:rsidRPr="00132E65">
        <w:rPr>
          <w:rtl/>
        </w:rPr>
        <w:t>مة الخبير السيّد موسى الشبيري</w:t>
      </w:r>
      <w:r>
        <w:rPr>
          <w:rtl/>
        </w:rPr>
        <w:t xml:space="preserve"> - </w:t>
      </w:r>
      <w:r w:rsidRPr="00132E65">
        <w:rPr>
          <w:rtl/>
        </w:rPr>
        <w:t>دام ظلّه</w:t>
      </w:r>
      <w:r>
        <w:rPr>
          <w:rtl/>
        </w:rPr>
        <w:t xml:space="preserve"> - </w:t>
      </w:r>
      <w:r w:rsidRPr="00132E65">
        <w:rPr>
          <w:rtl/>
        </w:rPr>
        <w:t>من نسخة عتيقة من الكتاب. وفي النسخ التي بأيدينا والمطبوع : « أحمد بن الحسن عن عمر بن يزيد »</w:t>
      </w:r>
      <w:r>
        <w:rPr>
          <w:rtl/>
        </w:rPr>
        <w:t>.</w:t>
      </w:r>
    </w:p>
    <w:p w:rsidR="000C39D1" w:rsidRPr="00132E65" w:rsidRDefault="000C39D1" w:rsidP="000C39D1">
      <w:pPr>
        <w:pStyle w:val="libFootnote0"/>
        <w:rPr>
          <w:rtl/>
          <w:lang w:bidi="fa-IR"/>
        </w:rPr>
      </w:pPr>
      <w:r w:rsidRPr="00E55206">
        <w:rPr>
          <w:rtl/>
        </w:rPr>
        <w:t xml:space="preserve">والصواب ما أثبتناه ؛ فإنّ الخبر رواه الشيخ الصدوق في </w:t>
      </w:r>
      <w:r w:rsidRPr="00964FEB">
        <w:rPr>
          <w:rtl/>
        </w:rPr>
        <w:t xml:space="preserve">كمال الدين </w:t>
      </w:r>
      <w:r w:rsidRPr="00E55206">
        <w:rPr>
          <w:rtl/>
        </w:rPr>
        <w:t xml:space="preserve">، ص 324 ، ح 1 ، بسنده عن سعد بن عبدالله وعبد الله بن جعفر الحميري ، قالا : حدّثنا أحمد بن الحسين بن عمر بن يزيد ، عن الحسين بن الربيع المدائني. ووردت أيضاً رواية سعد بن عبد الله عن أحمد بن الحسين بن عمر بن يزيد في </w:t>
      </w:r>
      <w:r w:rsidRPr="00964FEB">
        <w:rPr>
          <w:rtl/>
        </w:rPr>
        <w:t>الغيبة</w:t>
      </w:r>
      <w:r w:rsidRPr="00E55206">
        <w:rPr>
          <w:rtl/>
        </w:rPr>
        <w:t xml:space="preserve"> للطوسي ، ص 208 ، ح 177.</w:t>
      </w:r>
    </w:p>
    <w:p w:rsidR="000C39D1" w:rsidRPr="00132E65" w:rsidRDefault="000C39D1" w:rsidP="000C39D1">
      <w:pPr>
        <w:pStyle w:val="libFootnote0"/>
        <w:rPr>
          <w:rtl/>
          <w:lang w:bidi="fa-IR"/>
        </w:rPr>
      </w:pPr>
      <w:r w:rsidRPr="00E55206">
        <w:rPr>
          <w:rtl/>
        </w:rPr>
        <w:t xml:space="preserve">وأحمد بن الحسين هذا ، روى محمّد بن أحمد بن يحيى وأحمد بن أبي زاهر كتابه ، وهما في طبقة سعد بن عبد الله وعبد الله بن جعفر الحميري ، تقريباً. راجع : </w:t>
      </w:r>
      <w:r w:rsidRPr="0075614F">
        <w:rPr>
          <w:rStyle w:val="libFootnoteBoldChar"/>
          <w:rtl/>
        </w:rPr>
        <w:t>رجال النجاشي</w:t>
      </w:r>
      <w:r w:rsidRPr="00E55206">
        <w:rPr>
          <w:rtl/>
        </w:rPr>
        <w:t xml:space="preserve"> ، ص 83 ، الرقم 200.</w:t>
      </w:r>
    </w:p>
    <w:p w:rsidR="000C39D1" w:rsidRPr="00132E65" w:rsidRDefault="000C39D1" w:rsidP="000C39D1">
      <w:pPr>
        <w:pStyle w:val="libFootnote0"/>
        <w:rPr>
          <w:rtl/>
          <w:lang w:bidi="fa-IR"/>
        </w:rPr>
      </w:pPr>
      <w:r>
        <w:rPr>
          <w:rtl/>
        </w:rPr>
        <w:t>(6).</w:t>
      </w:r>
      <w:r w:rsidRPr="00132E65">
        <w:rPr>
          <w:rtl/>
        </w:rPr>
        <w:t xml:space="preserve"> في « ف » : « أبي الحسن بن الربيع » وفي حاشيتها : « الحسن بن أبي الربيع » ، والرجل مجهول لم نعرفه.</w:t>
      </w:r>
    </w:p>
    <w:p w:rsidR="000C39D1" w:rsidRPr="00132E65" w:rsidRDefault="000C39D1" w:rsidP="000C39D1">
      <w:pPr>
        <w:pStyle w:val="libFootnote0"/>
        <w:rPr>
          <w:rtl/>
          <w:lang w:bidi="fa-IR"/>
        </w:rPr>
      </w:pPr>
      <w:r>
        <w:rPr>
          <w:rtl/>
        </w:rPr>
        <w:t>(7).</w:t>
      </w:r>
      <w:r w:rsidRPr="00132E65">
        <w:rPr>
          <w:rtl/>
        </w:rPr>
        <w:t xml:space="preserve"> في « ألف ، بس » : « الهمذاني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ثَعْلَبَةَ ، عَنْ أُمِّ هَانِىً ، قَالَتْ :</w:t>
      </w:r>
    </w:p>
    <w:p w:rsidR="000C39D1" w:rsidRPr="00132E65" w:rsidRDefault="000C39D1" w:rsidP="000C39D1">
      <w:pPr>
        <w:pStyle w:val="libNormal"/>
        <w:rPr>
          <w:rtl/>
          <w:lang w:bidi="fa-IR"/>
        </w:rPr>
      </w:pPr>
      <w:r w:rsidRPr="00132E65">
        <w:rPr>
          <w:rtl/>
          <w:lang w:bidi="fa-IR"/>
        </w:rPr>
        <w:t xml:space="preserve">لَقِيتُ أَبَا جَعْفَرٍ مُحَمَّدَ بْنَ عَلِيٍّ </w:t>
      </w:r>
      <w:r w:rsidRPr="00071CF9">
        <w:rPr>
          <w:rStyle w:val="libAlaemChar"/>
          <w:rtl/>
        </w:rPr>
        <w:t>عليهما‌السلام</w:t>
      </w:r>
      <w:r w:rsidRPr="00132E65">
        <w:rPr>
          <w:rtl/>
          <w:lang w:bidi="fa-IR"/>
        </w:rPr>
        <w:t xml:space="preserve"> ، فَسَأَلْتُهُ عَنْ هذِهِ الْآيَةِ : </w:t>
      </w:r>
      <w:r w:rsidRPr="00071CF9">
        <w:rPr>
          <w:rStyle w:val="libAlaemChar"/>
          <w:rtl/>
        </w:rPr>
        <w:t>(</w:t>
      </w:r>
      <w:r w:rsidRPr="00071CF9">
        <w:rPr>
          <w:rStyle w:val="libAieChar"/>
          <w:rtl/>
        </w:rPr>
        <w:t xml:space="preserve"> فَلا أُقْسِمُ بِالْخُنَّسِ </w:t>
      </w:r>
      <w:r>
        <w:rPr>
          <w:rStyle w:val="libAieChar"/>
          <w:rFonts w:hint="cs"/>
          <w:rtl/>
        </w:rPr>
        <w:t xml:space="preserve">* </w:t>
      </w:r>
      <w:r w:rsidRPr="00071CF9">
        <w:rPr>
          <w:rStyle w:val="libAieChar"/>
          <w:rtl/>
        </w:rPr>
        <w:t xml:space="preserve">الْجَوارِ الْكُنَّسِ </w:t>
      </w:r>
      <w:r w:rsidRPr="00071CF9">
        <w:rPr>
          <w:rStyle w:val="libAlaemChar"/>
          <w:rtl/>
        </w:rPr>
        <w:t>)</w:t>
      </w:r>
      <w:r w:rsidRPr="00132E65">
        <w:rPr>
          <w:rtl/>
          <w:lang w:bidi="fa-IR"/>
        </w:rPr>
        <w:t xml:space="preserve"> قَالَ : « الْخُنَّسُ إِمَامٌ يَخْنِسُ فِي زَمَانِهِ عِنْدَ انْقِطَاعٍ مِنْ عِلْمِهِ عِنْدَ النَّاسِ سَنَةَ سِتِّينَ ومِائَتَيْنِ ، ثُمَّ يَبْدُو كَالشِّهَابِ الْوَاقِدِ فِي ظُلْمَةِ اللَّيْلِ ، فَإِنْ </w:t>
      </w:r>
      <w:r>
        <w:rPr>
          <w:rStyle w:val="libFootnotenumChar"/>
          <w:rtl/>
        </w:rPr>
        <w:t>(1)</w:t>
      </w:r>
      <w:r w:rsidRPr="00132E65">
        <w:rPr>
          <w:rtl/>
          <w:lang w:bidi="fa-IR"/>
        </w:rPr>
        <w:t xml:space="preserve"> أَدْرَكْتِ ذلِكَ </w:t>
      </w:r>
      <w:r>
        <w:rPr>
          <w:rStyle w:val="libFootnotenumChar"/>
          <w:rtl/>
        </w:rPr>
        <w:t>(2)</w:t>
      </w:r>
      <w:r>
        <w:rPr>
          <w:rtl/>
          <w:lang w:bidi="fa-IR"/>
        </w:rPr>
        <w:t xml:space="preserve"> ، قَرَّتْ عَيْنُكِ</w:t>
      </w:r>
      <w:r w:rsidRPr="00132E65">
        <w:rPr>
          <w:rtl/>
          <w:lang w:bidi="fa-IR"/>
        </w:rPr>
        <w:t>»</w:t>
      </w:r>
      <w:r>
        <w:rPr>
          <w:rtl/>
          <w:lang w:bidi="fa-IR"/>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6417AE">
        <w:rPr>
          <w:rtl/>
        </w:rPr>
        <w:t>914</w:t>
      </w:r>
      <w:r w:rsidRPr="004325D8">
        <w:rPr>
          <w:rStyle w:val="libBold2Char"/>
          <w:rtl/>
        </w:rPr>
        <w:t xml:space="preserve"> / 24.</w:t>
      </w:r>
      <w:r w:rsidRPr="00132E65">
        <w:rPr>
          <w:rtl/>
          <w:lang w:bidi="fa-IR"/>
        </w:rPr>
        <w:t xml:space="preserve"> عَلِيُّ بْنُ مُحَمَّدٍ ، عَنْ بَعْضِ أَصْحَابِنَا ، عَنْ أَيُّوبَ بْنِ نُوحٍ :</w:t>
      </w:r>
    </w:p>
    <w:p w:rsidR="000C39D1" w:rsidRPr="00132E65" w:rsidRDefault="000C39D1" w:rsidP="000C39D1">
      <w:pPr>
        <w:pStyle w:val="libNormal"/>
        <w:rPr>
          <w:rtl/>
          <w:lang w:bidi="fa-IR"/>
        </w:rPr>
      </w:pPr>
      <w:r w:rsidRPr="00132E65">
        <w:rPr>
          <w:rtl/>
          <w:lang w:bidi="fa-IR"/>
        </w:rPr>
        <w:t xml:space="preserve">عَنْ أَبِي الْحَسَنِ الثَّالِثِ </w:t>
      </w:r>
      <w:r w:rsidRPr="00071CF9">
        <w:rPr>
          <w:rStyle w:val="libAlaemChar"/>
          <w:rtl/>
        </w:rPr>
        <w:t>عليه‌السلام</w:t>
      </w:r>
      <w:r w:rsidRPr="00132E65">
        <w:rPr>
          <w:rtl/>
          <w:lang w:bidi="fa-IR"/>
        </w:rPr>
        <w:t xml:space="preserve"> </w:t>
      </w:r>
      <w:r>
        <w:rPr>
          <w:rStyle w:val="libFootnotenumChar"/>
          <w:rtl/>
        </w:rPr>
        <w:t>(4)</w:t>
      </w:r>
      <w:r w:rsidRPr="00132E65">
        <w:rPr>
          <w:rtl/>
          <w:lang w:bidi="fa-IR"/>
        </w:rPr>
        <w:t xml:space="preserve"> ، قَالَ : « إِذَا رُفِعَ عَلَمُكُمْ </w:t>
      </w:r>
      <w:r>
        <w:rPr>
          <w:rStyle w:val="libFootnotenumChar"/>
          <w:rtl/>
        </w:rPr>
        <w:t>(5)</w:t>
      </w:r>
      <w:r w:rsidRPr="00132E65">
        <w:rPr>
          <w:rtl/>
          <w:lang w:bidi="fa-IR"/>
        </w:rPr>
        <w:t xml:space="preserve"> مِنْ بَيْنِ أَظْهُرِكُمْ ، فَتَوَقَّعُوا الْفَرَجَ مِنْ تَحْتِ أَقْدَامِكُمْ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6417AE">
        <w:rPr>
          <w:rtl/>
        </w:rPr>
        <w:t>915</w:t>
      </w:r>
      <w:r w:rsidRPr="004325D8">
        <w:rPr>
          <w:rStyle w:val="libBold2Char"/>
          <w:rtl/>
        </w:rPr>
        <w:t xml:space="preserve"> / 25.</w:t>
      </w:r>
      <w:r w:rsidRPr="00132E65">
        <w:rPr>
          <w:rtl/>
          <w:lang w:bidi="fa-IR"/>
        </w:rPr>
        <w:t xml:space="preserve"> عِدَّةٌ مِنْ أَصْحَابِنَا ، عَنْ سَعْدِ بْنِ عَبْدِ اللهِ ، عَنْ أَيُّوبَ بْنِ نُوحٍ ، قَالَ :</w:t>
      </w:r>
    </w:p>
    <w:p w:rsidR="000C39D1" w:rsidRPr="00132E65" w:rsidRDefault="000C39D1" w:rsidP="000C39D1">
      <w:pPr>
        <w:pStyle w:val="libNormal"/>
        <w:rPr>
          <w:rtl/>
          <w:lang w:bidi="fa-IR"/>
        </w:rPr>
      </w:pPr>
      <w:r w:rsidRPr="00132E65">
        <w:rPr>
          <w:rtl/>
          <w:lang w:bidi="fa-IR"/>
        </w:rPr>
        <w:t xml:space="preserve">قُلْتُ لِأَبِي الْحَسَنِ الرِّضَا </w:t>
      </w:r>
      <w:r w:rsidRPr="00071CF9">
        <w:rPr>
          <w:rStyle w:val="libAlaemChar"/>
          <w:rtl/>
        </w:rPr>
        <w:t>عليه‌السلام</w:t>
      </w:r>
      <w:r w:rsidRPr="00132E65">
        <w:rPr>
          <w:rtl/>
          <w:lang w:bidi="fa-IR"/>
        </w:rPr>
        <w:t xml:space="preserve"> : إِنِّي أَرْجُو أَنْ تَكُونَ صَاحِبَ هذَا الْأَمْرِ ، وأَنْ يَسُوقَهُ‌</w:t>
      </w:r>
      <w:r w:rsidRPr="00B043A7">
        <w:rPr>
          <w:rtl/>
          <w:lang w:bidi="fa-IR"/>
        </w:rPr>
        <w:t xml:space="preserve"> </w:t>
      </w:r>
      <w:r w:rsidRPr="00132E65">
        <w:rPr>
          <w:rtl/>
          <w:lang w:bidi="fa-IR"/>
        </w:rPr>
        <w:t xml:space="preserve">اللهُ إِلَيْكَ </w:t>
      </w:r>
      <w:r>
        <w:rPr>
          <w:rStyle w:val="libFootnotenumChar"/>
          <w:rtl/>
        </w:rPr>
        <w:t>(7)</w:t>
      </w:r>
      <w:r w:rsidRPr="00132E65">
        <w:rPr>
          <w:rtl/>
          <w:lang w:bidi="fa-IR"/>
        </w:rPr>
        <w:t xml:space="preserve"> بِغَيْرِ سَيْفٍ ؛ فَقَدْ بُويِعَ لَكَ وضُرِبَتِ الدَّرَاهِمُ بِاسْمِكَ.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ج ، بس » والغيبة للنعماني ، ص 150 : « فإذا »</w:t>
      </w:r>
      <w:r>
        <w:rPr>
          <w:rtl/>
        </w:rPr>
        <w:t>.</w:t>
      </w:r>
      <w:r w:rsidRPr="00132E65">
        <w:rPr>
          <w:rtl/>
        </w:rPr>
        <w:t xml:space="preserve"> وفي حاشية « بح » : « وإذا »</w:t>
      </w:r>
      <w:r>
        <w:rPr>
          <w:rtl/>
        </w:rPr>
        <w:t>.</w:t>
      </w:r>
    </w:p>
    <w:p w:rsidR="000C39D1" w:rsidRPr="00132E65" w:rsidRDefault="000C39D1" w:rsidP="000C39D1">
      <w:pPr>
        <w:pStyle w:val="libFootnote0"/>
        <w:rPr>
          <w:rtl/>
          <w:lang w:bidi="fa-IR"/>
        </w:rPr>
      </w:pPr>
      <w:r>
        <w:rPr>
          <w:rtl/>
        </w:rPr>
        <w:t>(2).</w:t>
      </w:r>
      <w:r w:rsidRPr="00132E65">
        <w:rPr>
          <w:rtl/>
        </w:rPr>
        <w:t xml:space="preserve"> في حاشية « ج » : « زمانه »</w:t>
      </w:r>
      <w:r>
        <w:rPr>
          <w:rtl/>
        </w:rPr>
        <w:t>.</w:t>
      </w:r>
    </w:p>
    <w:p w:rsidR="000C39D1" w:rsidRPr="00132E65" w:rsidRDefault="000C39D1" w:rsidP="000C39D1">
      <w:pPr>
        <w:pStyle w:val="libFootnote0"/>
        <w:rPr>
          <w:rtl/>
          <w:lang w:bidi="fa-IR"/>
        </w:rPr>
      </w:pPr>
      <w:r>
        <w:rPr>
          <w:rtl/>
        </w:rPr>
        <w:t>(3).</w:t>
      </w:r>
      <w:r w:rsidRPr="00132E65">
        <w:rPr>
          <w:rtl/>
        </w:rPr>
        <w:t xml:space="preserve"> </w:t>
      </w:r>
      <w:r w:rsidRPr="00120A83">
        <w:rPr>
          <w:rStyle w:val="libFootnoteBoldChar"/>
          <w:rtl/>
        </w:rPr>
        <w:t>الغيبة</w:t>
      </w:r>
      <w:r w:rsidRPr="00132E65">
        <w:rPr>
          <w:rtl/>
        </w:rPr>
        <w:t xml:space="preserve"> للنعماني ، ص 150 ، ح 7 ، عن الكليني. </w:t>
      </w:r>
      <w:r w:rsidRPr="006417AE">
        <w:rPr>
          <w:rtl/>
        </w:rPr>
        <w:t>وفيه</w:t>
      </w:r>
      <w:r w:rsidRPr="00132E65">
        <w:rPr>
          <w:rtl/>
        </w:rPr>
        <w:t xml:space="preserve"> ، ص 149 ، ح 6 ، بسنده عن محمّد بن إسحاق ؛ </w:t>
      </w:r>
      <w:r w:rsidRPr="00AB577A">
        <w:rPr>
          <w:rStyle w:val="libFootnoteBoldChar"/>
          <w:rtl/>
        </w:rPr>
        <w:t>كمال الدين</w:t>
      </w:r>
      <w:r w:rsidRPr="00132E65">
        <w:rPr>
          <w:rtl/>
        </w:rPr>
        <w:t xml:space="preserve"> ، ج 1 ، ص 324 ، ح 1 ، بسنده عن سعد بن عبد الله ، عن أحمد بن الحسين بن عمر بن يزيد ، عن الحسين بن الربيع المدائني ، عن محمّد بن إسحاق ؛ </w:t>
      </w:r>
      <w:r w:rsidRPr="00AB577A">
        <w:rPr>
          <w:rStyle w:val="libFootnoteBoldChar"/>
          <w:rtl/>
        </w:rPr>
        <w:t>الغيبة للطوسي</w:t>
      </w:r>
      <w:r w:rsidRPr="00132E65">
        <w:rPr>
          <w:rtl/>
        </w:rPr>
        <w:t xml:space="preserve"> ، ص 159 ، ح 116 ، عن سعد بن عبد الله ، عن الحسين بن عمرو بن يزيد ، عن أبي الحسن بن أبي الربيع المدائني ، عن محمّد بن إسحاق ، وفي الثلاثة الأخيرة مع اختلاف يسير </w:t>
      </w:r>
      <w:r>
        <w:rPr>
          <w:rFonts w:hint="cs"/>
          <w:rtl/>
        </w:rPr>
        <w:t>.</w:t>
      </w:r>
      <w:r w:rsidRPr="009D1ACE">
        <w:rPr>
          <w:rStyle w:val="libFootnoteBoldChar"/>
          <w:rtl/>
        </w:rPr>
        <w:t>الوافي</w:t>
      </w:r>
      <w:r w:rsidRPr="00132E65">
        <w:rPr>
          <w:rtl/>
        </w:rPr>
        <w:t xml:space="preserve"> ، ج 2 ، ص 417 ، ح 929.</w:t>
      </w:r>
    </w:p>
    <w:p w:rsidR="000C39D1" w:rsidRPr="00132E65" w:rsidRDefault="000C39D1" w:rsidP="000C39D1">
      <w:pPr>
        <w:pStyle w:val="libFootnote0"/>
        <w:rPr>
          <w:rtl/>
          <w:lang w:bidi="fa-IR"/>
        </w:rPr>
      </w:pPr>
      <w:r>
        <w:rPr>
          <w:rtl/>
        </w:rPr>
        <w:t>(4).</w:t>
      </w:r>
      <w:r w:rsidRPr="00132E65">
        <w:rPr>
          <w:rtl/>
        </w:rPr>
        <w:t xml:space="preserve"> في « ف ، ه‍ » والغيبة :</w:t>
      </w:r>
      <w:r>
        <w:rPr>
          <w:rtl/>
        </w:rPr>
        <w:t xml:space="preserve"> + </w:t>
      </w:r>
      <w:r w:rsidRPr="00132E65">
        <w:rPr>
          <w:rtl/>
        </w:rPr>
        <w:t>« أنّه »</w:t>
      </w:r>
      <w:r>
        <w:rPr>
          <w:rtl/>
        </w:rPr>
        <w:t>.</w:t>
      </w:r>
    </w:p>
    <w:p w:rsidR="000C39D1" w:rsidRPr="00132E65" w:rsidRDefault="000C39D1" w:rsidP="000C39D1">
      <w:pPr>
        <w:pStyle w:val="libFootnote0"/>
        <w:rPr>
          <w:rtl/>
          <w:lang w:bidi="fa-IR"/>
        </w:rPr>
      </w:pPr>
      <w:r>
        <w:rPr>
          <w:rtl/>
        </w:rPr>
        <w:t>(5).</w:t>
      </w:r>
      <w:r w:rsidRPr="00132E65">
        <w:rPr>
          <w:rtl/>
        </w:rPr>
        <w:t xml:space="preserve"> يجوز في الكلمة التحريك ، وكسر العين مع سكون اللام ، اختار الأوّل في </w:t>
      </w:r>
      <w:r w:rsidRPr="009D1ACE">
        <w:rPr>
          <w:rStyle w:val="libFootnoteBoldChar"/>
          <w:rtl/>
        </w:rPr>
        <w:t>مرآة العقول</w:t>
      </w:r>
      <w:r w:rsidRPr="00132E65">
        <w:rPr>
          <w:rtl/>
        </w:rPr>
        <w:t xml:space="preserve"> ؛ حيث قال : « بالتحريك ، أي إمامكم الهادي لكم إلى طريق الحقّ ، وربّما يقرأ بالكسر »</w:t>
      </w:r>
      <w:r>
        <w:rPr>
          <w:rtl/>
        </w:rPr>
        <w:t>.</w:t>
      </w:r>
      <w:r w:rsidRPr="00132E65">
        <w:rPr>
          <w:rtl/>
        </w:rPr>
        <w:t xml:space="preserve"> ومفهوم الرفع يقتضي التحريك في الكلمة.</w:t>
      </w:r>
    </w:p>
    <w:p w:rsidR="000C39D1" w:rsidRPr="00132E65" w:rsidRDefault="000C39D1" w:rsidP="000C39D1">
      <w:pPr>
        <w:pStyle w:val="libFootnote0"/>
        <w:rPr>
          <w:rtl/>
          <w:lang w:bidi="fa-IR"/>
        </w:rPr>
      </w:pPr>
      <w:r>
        <w:rPr>
          <w:rtl/>
        </w:rPr>
        <w:t>(6).</w:t>
      </w:r>
      <w:r w:rsidRPr="00132E65">
        <w:rPr>
          <w:rtl/>
        </w:rPr>
        <w:t xml:space="preserve"> </w:t>
      </w:r>
      <w:r w:rsidRPr="00AB577A">
        <w:rPr>
          <w:rStyle w:val="libFootnoteBoldChar"/>
          <w:rtl/>
        </w:rPr>
        <w:t>الغيبة للنعماني</w:t>
      </w:r>
      <w:r w:rsidRPr="00132E65">
        <w:rPr>
          <w:rtl/>
        </w:rPr>
        <w:t xml:space="preserve"> ، ص 187 ، ح 39 ، عن الكليني. </w:t>
      </w:r>
      <w:r w:rsidRPr="00AB577A">
        <w:rPr>
          <w:rStyle w:val="libFootnoteBoldChar"/>
          <w:rtl/>
        </w:rPr>
        <w:t>كمال الدين</w:t>
      </w:r>
      <w:r w:rsidRPr="00132E65">
        <w:rPr>
          <w:rtl/>
        </w:rPr>
        <w:t xml:space="preserve"> ، ص 381 ، ح 4 ، بسنده عن أيّوب بن نوح ، مع زيادة في أوّله </w:t>
      </w:r>
      <w:r>
        <w:rPr>
          <w:rFonts w:hint="cs"/>
          <w:rtl/>
        </w:rPr>
        <w:t>.</w:t>
      </w:r>
      <w:r w:rsidRPr="009D1ACE">
        <w:rPr>
          <w:rStyle w:val="libFootnoteBoldChar"/>
          <w:rtl/>
        </w:rPr>
        <w:t>الوافي</w:t>
      </w:r>
      <w:r w:rsidRPr="00132E65">
        <w:rPr>
          <w:rtl/>
        </w:rPr>
        <w:t xml:space="preserve"> ، ج 2 ، ص 416 ، ح 927.</w:t>
      </w:r>
    </w:p>
    <w:p w:rsidR="000C39D1" w:rsidRPr="00132E65" w:rsidRDefault="000C39D1" w:rsidP="000C39D1">
      <w:pPr>
        <w:pStyle w:val="libFootnote0"/>
        <w:rPr>
          <w:rtl/>
          <w:lang w:bidi="fa-IR"/>
        </w:rPr>
      </w:pPr>
      <w:r>
        <w:rPr>
          <w:rtl/>
        </w:rPr>
        <w:t>(7).</w:t>
      </w:r>
      <w:r w:rsidRPr="00132E65">
        <w:rPr>
          <w:rtl/>
        </w:rPr>
        <w:t xml:space="preserve"> في الغيبة :</w:t>
      </w:r>
      <w:r>
        <w:rPr>
          <w:rtl/>
        </w:rPr>
        <w:t xml:space="preserve"> + </w:t>
      </w:r>
      <w:r w:rsidRPr="00132E65">
        <w:rPr>
          <w:rtl/>
        </w:rPr>
        <w:t>« عفواً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 « مَا مِنَّا أَحَدٌ اخْتَلَفَتْ </w:t>
      </w:r>
      <w:r>
        <w:rPr>
          <w:rStyle w:val="libFootnotenumChar"/>
          <w:rtl/>
        </w:rPr>
        <w:t>(1)</w:t>
      </w:r>
      <w:r w:rsidRPr="00132E65">
        <w:rPr>
          <w:rtl/>
          <w:lang w:bidi="fa-IR"/>
        </w:rPr>
        <w:t xml:space="preserve"> إِلَيْهِ الْكُتُبُ ، وأُشِيرَ إِلَيْهِ بِالْأَصَابِعِ ، وسُئِلَ عَنِ الْمَسَائِلِ ، وحُمِل</w:t>
      </w:r>
      <w:r>
        <w:rPr>
          <w:rtl/>
          <w:lang w:bidi="fa-IR"/>
        </w:rPr>
        <w:t>َتْ إِلَيْهِ الْأَمْوَالُ إِل</w:t>
      </w:r>
      <w:r>
        <w:rPr>
          <w:rFonts w:hint="cs"/>
          <w:rtl/>
          <w:lang w:bidi="fa-IR"/>
        </w:rPr>
        <w:t>َّ</w:t>
      </w:r>
      <w:r>
        <w:rPr>
          <w:rtl/>
          <w:lang w:bidi="fa-IR"/>
        </w:rPr>
        <w:t>ا</w:t>
      </w:r>
      <w:r w:rsidRPr="00132E65">
        <w:rPr>
          <w:rtl/>
          <w:lang w:bidi="fa-IR"/>
        </w:rPr>
        <w:t xml:space="preserve"> اغْتِيلَ </w:t>
      </w:r>
      <w:r>
        <w:rPr>
          <w:rStyle w:val="libFootnotenumChar"/>
          <w:rtl/>
        </w:rPr>
        <w:t>(2)</w:t>
      </w:r>
      <w:r w:rsidRPr="00132E65">
        <w:rPr>
          <w:rtl/>
          <w:lang w:bidi="fa-IR"/>
        </w:rPr>
        <w:t xml:space="preserve"> أَوْ مَاتَ عَلى فِرَاشِهِ ، حَتّى يَبْعَثَ اللهُ لِهذَا الْأَمْرِ غُلَاماً مِنَّا </w:t>
      </w:r>
      <w:r>
        <w:rPr>
          <w:rStyle w:val="libFootnotenumChar"/>
          <w:rtl/>
        </w:rPr>
        <w:t>(3)</w:t>
      </w:r>
      <w:r w:rsidRPr="00132E65">
        <w:rPr>
          <w:rtl/>
          <w:lang w:bidi="fa-IR"/>
        </w:rPr>
        <w:t xml:space="preserve"> ، خَفِيَّ الْوِلَادَةِ </w:t>
      </w:r>
      <w:r>
        <w:rPr>
          <w:rStyle w:val="libFootnotenumChar"/>
          <w:rtl/>
        </w:rPr>
        <w:t>(4)</w:t>
      </w:r>
      <w:r w:rsidRPr="00132E65">
        <w:rPr>
          <w:rtl/>
          <w:lang w:bidi="fa-IR"/>
        </w:rPr>
        <w:t xml:space="preserve"> والْمَنْشَا ، غَيْرَ خَفِيٍّ فِي نَسَبِهِ »</w:t>
      </w:r>
      <w:r>
        <w:rPr>
          <w:rtl/>
          <w:lang w:bidi="fa-IR"/>
        </w:rPr>
        <w:t>.</w:t>
      </w:r>
      <w:r w:rsidRPr="00132E65">
        <w:rPr>
          <w:rtl/>
          <w:lang w:bidi="fa-IR"/>
        </w:rPr>
        <w:t xml:space="preserve"> </w:t>
      </w:r>
      <w:r>
        <w:rPr>
          <w:rStyle w:val="libFootnotenumChar"/>
          <w:rtl/>
        </w:rPr>
        <w:t>(5)</w:t>
      </w:r>
    </w:p>
    <w:p w:rsidR="000C39D1" w:rsidRPr="00132E65" w:rsidRDefault="000C39D1" w:rsidP="000C39D1">
      <w:pPr>
        <w:pStyle w:val="libNormal"/>
        <w:rPr>
          <w:rtl/>
          <w:lang w:bidi="fa-IR"/>
        </w:rPr>
      </w:pPr>
      <w:r w:rsidRPr="00806567">
        <w:rPr>
          <w:rtl/>
        </w:rPr>
        <w:t>916</w:t>
      </w:r>
      <w:r w:rsidRPr="004325D8">
        <w:rPr>
          <w:rStyle w:val="libBold2Char"/>
          <w:rtl/>
        </w:rPr>
        <w:t xml:space="preserve"> / 26.</w:t>
      </w:r>
      <w:r w:rsidRPr="00132E65">
        <w:rPr>
          <w:rtl/>
          <w:lang w:bidi="fa-IR"/>
        </w:rPr>
        <w:t xml:space="preserve"> الْحُسَيْنُ بْنُ مُحَمَّدٍ وغَيْرُهُ ، عَنْ جَعْفَرِ بْنِ مُحَمَّدٍ ، عَنْ عَلِيِّ بْنِ الْعَبَّاسِ بْنِ عَامِرٍ ، عَنْ مُوسَى بْنِ هِلَالٍ الْكِنْدِيِّ ، عَنْ عَبْدِ اللهِ بْنِ عَطَاءٍ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قُلْتُ لَهُ : إِنَّ شِيعَتَكَ بِالْعِرَاقِ كَثِيرَةٌ </w:t>
      </w:r>
      <w:r>
        <w:rPr>
          <w:rStyle w:val="libFootnotenumChar"/>
          <w:rtl/>
        </w:rPr>
        <w:t>(6)</w:t>
      </w:r>
      <w:r w:rsidRPr="00132E65">
        <w:rPr>
          <w:rtl/>
          <w:lang w:bidi="fa-IR"/>
        </w:rPr>
        <w:t xml:space="preserve"> ، واللهِ مَا فِي أَهْلِ بَيْتِكَ مِثْلُكَ ، فَكَيْفَ لَاتَخْرُجُ</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(7)</w:t>
      </w:r>
      <w:r w:rsidRPr="00132E65">
        <w:rPr>
          <w:rtl/>
          <w:lang w:bidi="fa-IR"/>
        </w:rPr>
        <w:t xml:space="preserve"> : فَقَالَ : « يَا عَبْدَ اللهِ بْنَ عَطَاءٍ ، قَدْ أَخَذْتَ تَفْرُشُ أُذُنَيْكَ </w:t>
      </w:r>
      <w:r>
        <w:rPr>
          <w:rStyle w:val="libFootnotenumChar"/>
          <w:rtl/>
        </w:rPr>
        <w:t>(8)</w:t>
      </w:r>
      <w:r w:rsidRPr="00132E65">
        <w:rPr>
          <w:rtl/>
          <w:lang w:bidi="fa-IR"/>
        </w:rPr>
        <w:t xml:space="preserve"> لِلنَّوْكى </w:t>
      </w:r>
      <w:r>
        <w:rPr>
          <w:rStyle w:val="libFootnotenumChar"/>
          <w:rtl/>
        </w:rPr>
        <w:t>(9)</w:t>
      </w:r>
      <w:r w:rsidRPr="00132E65">
        <w:rPr>
          <w:rtl/>
          <w:lang w:bidi="fa-IR"/>
        </w:rPr>
        <w:t xml:space="preserve"> ، إِي واللهِ ، مَا أَنَا بِصَاحِبِكُمْ »</w:t>
      </w:r>
      <w:r>
        <w:rPr>
          <w:rtl/>
          <w:lang w:bidi="fa-IR"/>
        </w:rPr>
        <w:t>.</w:t>
      </w:r>
    </w:p>
    <w:p w:rsidR="000C39D1" w:rsidRPr="00132E65" w:rsidRDefault="000C39D1" w:rsidP="000C39D1">
      <w:pPr>
        <w:pStyle w:val="libNormal"/>
        <w:rPr>
          <w:rtl/>
          <w:lang w:bidi="fa-IR"/>
        </w:rPr>
      </w:pPr>
      <w:r w:rsidRPr="00132E65">
        <w:rPr>
          <w:rtl/>
          <w:lang w:bidi="fa-IR"/>
        </w:rPr>
        <w:t>قَالَ : قُلْتُ لَهُ : فَمَنْ صَاحِبُنَا</w:t>
      </w:r>
      <w:r>
        <w:rPr>
          <w:rtl/>
          <w:lang w:bidi="fa-IR"/>
        </w:rPr>
        <w:t>؟</w:t>
      </w:r>
    </w:p>
    <w:p w:rsidR="000C39D1" w:rsidRPr="00132E65" w:rsidRDefault="000C39D1" w:rsidP="000C39D1">
      <w:pPr>
        <w:pStyle w:val="libNormal"/>
        <w:rPr>
          <w:rtl/>
          <w:lang w:bidi="fa-IR"/>
        </w:rPr>
      </w:pPr>
      <w:r w:rsidRPr="00132E65">
        <w:rPr>
          <w:rtl/>
          <w:lang w:bidi="fa-IR"/>
        </w:rPr>
        <w:t xml:space="preserve">قَالَ : « انْظُرُوا مَنْ عَمِيَ </w:t>
      </w:r>
      <w:r>
        <w:rPr>
          <w:rStyle w:val="libFootnotenumChar"/>
          <w:rtl/>
        </w:rPr>
        <w:t>(10)</w:t>
      </w:r>
      <w:r w:rsidRPr="00132E65">
        <w:rPr>
          <w:rtl/>
          <w:lang w:bidi="fa-IR"/>
        </w:rPr>
        <w:t xml:space="preserve"> عَلَى النَّاسِ ولَادَتُهُ ، فَذَاكَ صَاحِبُكُمْ ؛ إِنَّهُ لَيْسَ مِنَّا أَحَدٌ‌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بر ، بف » : « اختلف »</w:t>
      </w:r>
      <w:r>
        <w:rPr>
          <w:rtl/>
        </w:rPr>
        <w:t>.</w:t>
      </w:r>
    </w:p>
    <w:p w:rsidR="000C39D1" w:rsidRPr="00132E65" w:rsidRDefault="000C39D1" w:rsidP="000C39D1">
      <w:pPr>
        <w:pStyle w:val="libFootnote0"/>
        <w:rPr>
          <w:rtl/>
          <w:lang w:bidi="fa-IR"/>
        </w:rPr>
      </w:pPr>
      <w:r>
        <w:rPr>
          <w:rtl/>
        </w:rPr>
        <w:t>(2).</w:t>
      </w:r>
      <w:r w:rsidRPr="00132E65">
        <w:rPr>
          <w:rtl/>
        </w:rPr>
        <w:t xml:space="preserve"> « اغْتِيلَ » ، أي قُتِلَ غِيلَةً ، وهو أن يخدعه فيذهب به إلى موضع فإذا صار إليه قتله. </w:t>
      </w:r>
      <w:r w:rsidRPr="0035363D">
        <w:rPr>
          <w:rStyle w:val="libFootnoteBoldChar"/>
          <w:rtl/>
        </w:rPr>
        <w:t>الصحاح</w:t>
      </w:r>
      <w:r w:rsidRPr="00132E65">
        <w:rPr>
          <w:rtl/>
        </w:rPr>
        <w:t xml:space="preserve"> ، ج 5 ، ص 1787 ( غيل )</w:t>
      </w:r>
      <w:r>
        <w:rPr>
          <w:rtl/>
        </w:rPr>
        <w:t>.</w:t>
      </w:r>
    </w:p>
    <w:p w:rsidR="000C39D1" w:rsidRPr="00132E65" w:rsidRDefault="000C39D1" w:rsidP="000C39D1">
      <w:pPr>
        <w:pStyle w:val="libFootnote0"/>
        <w:rPr>
          <w:rtl/>
          <w:lang w:bidi="fa-IR"/>
        </w:rPr>
      </w:pPr>
      <w:r>
        <w:rPr>
          <w:rtl/>
        </w:rPr>
        <w:t>(3).</w:t>
      </w:r>
      <w:r w:rsidRPr="00132E65">
        <w:rPr>
          <w:rtl/>
        </w:rPr>
        <w:t xml:space="preserve"> في « ف » وكمال الدين </w:t>
      </w:r>
      <w:r>
        <w:rPr>
          <w:rtl/>
        </w:rPr>
        <w:t xml:space="preserve">: - </w:t>
      </w:r>
      <w:r w:rsidRPr="00132E65">
        <w:rPr>
          <w:rtl/>
        </w:rPr>
        <w:t>« منّا »</w:t>
      </w:r>
      <w:r>
        <w:rPr>
          <w:rtl/>
        </w:rPr>
        <w:t>.</w:t>
      </w:r>
    </w:p>
    <w:p w:rsidR="000C39D1" w:rsidRPr="00132E65" w:rsidRDefault="000C39D1" w:rsidP="000C39D1">
      <w:pPr>
        <w:pStyle w:val="libFootnote0"/>
        <w:rPr>
          <w:rtl/>
          <w:lang w:bidi="fa-IR"/>
        </w:rPr>
      </w:pPr>
      <w:r>
        <w:rPr>
          <w:rtl/>
        </w:rPr>
        <w:t>(4).</w:t>
      </w:r>
      <w:r w:rsidRPr="00132E65">
        <w:rPr>
          <w:rtl/>
        </w:rPr>
        <w:t xml:space="preserve"> في كمال الدين والغيبة : « المولد »</w:t>
      </w:r>
      <w:r>
        <w:rPr>
          <w:rtl/>
        </w:rPr>
        <w:t>.</w:t>
      </w:r>
    </w:p>
    <w:p w:rsidR="000C39D1" w:rsidRPr="00132E65" w:rsidRDefault="000C39D1" w:rsidP="000C39D1">
      <w:pPr>
        <w:pStyle w:val="libFootnote0"/>
        <w:rPr>
          <w:rtl/>
          <w:lang w:bidi="fa-IR"/>
        </w:rPr>
      </w:pPr>
      <w:r>
        <w:rPr>
          <w:rtl/>
        </w:rPr>
        <w:t>(5).</w:t>
      </w:r>
      <w:r w:rsidRPr="00132E65">
        <w:rPr>
          <w:rtl/>
        </w:rPr>
        <w:t xml:space="preserve"> </w:t>
      </w:r>
      <w:r w:rsidRPr="0035363D">
        <w:rPr>
          <w:rStyle w:val="libFootnoteBoldChar"/>
          <w:rtl/>
        </w:rPr>
        <w:t>الغيبة</w:t>
      </w:r>
      <w:r w:rsidRPr="00132E65">
        <w:rPr>
          <w:rtl/>
        </w:rPr>
        <w:t xml:space="preserve"> للنعماني ، ص 168 ، ح 9 ، عن الكليني. </w:t>
      </w:r>
      <w:r w:rsidRPr="0035363D">
        <w:rPr>
          <w:rStyle w:val="libFootnoteBoldChar"/>
          <w:rtl/>
        </w:rPr>
        <w:t>كمال الدين</w:t>
      </w:r>
      <w:r w:rsidRPr="00132E65">
        <w:rPr>
          <w:rtl/>
        </w:rPr>
        <w:t xml:space="preserve"> ، ص 370 ، باب ما روي عن الرضا عليّ بن موسى </w:t>
      </w:r>
      <w:r w:rsidRPr="0033724D">
        <w:rPr>
          <w:rStyle w:val="libFootnoteAlaemChar"/>
          <w:rtl/>
        </w:rPr>
        <w:t>عليه‌السلام</w:t>
      </w:r>
      <w:r>
        <w:rPr>
          <w:rtl/>
        </w:rPr>
        <w:t xml:space="preserve"> ..</w:t>
      </w:r>
      <w:r w:rsidRPr="00132E65">
        <w:rPr>
          <w:rtl/>
        </w:rPr>
        <w:t xml:space="preserve">. ، ح 1 ، بسنده عن أيّوب بن نوح </w:t>
      </w:r>
      <w:r>
        <w:rPr>
          <w:rFonts w:hint="cs"/>
          <w:rtl/>
        </w:rPr>
        <w:t>.</w:t>
      </w:r>
      <w:r w:rsidRPr="009D1ACE">
        <w:rPr>
          <w:rStyle w:val="libFootnoteBoldChar"/>
          <w:rtl/>
        </w:rPr>
        <w:t>الوافي</w:t>
      </w:r>
      <w:r w:rsidRPr="00132E65">
        <w:rPr>
          <w:rtl/>
        </w:rPr>
        <w:t xml:space="preserve"> ، ج 2 ، ص 393 ، ح 886.</w:t>
      </w:r>
    </w:p>
    <w:p w:rsidR="000C39D1" w:rsidRPr="00132E65" w:rsidRDefault="000C39D1" w:rsidP="000C39D1">
      <w:pPr>
        <w:pStyle w:val="libFootnote0"/>
        <w:rPr>
          <w:rtl/>
          <w:lang w:bidi="fa-IR"/>
        </w:rPr>
      </w:pPr>
      <w:r>
        <w:rPr>
          <w:rtl/>
        </w:rPr>
        <w:t>(6).</w:t>
      </w:r>
      <w:r w:rsidRPr="00132E65">
        <w:rPr>
          <w:rtl/>
        </w:rPr>
        <w:t xml:space="preserve"> في « ض ، ه‍ ، بح ، بر ، بف » : « كثير »</w:t>
      </w:r>
      <w:r>
        <w:rPr>
          <w:rtl/>
        </w:rPr>
        <w:t>.</w:t>
      </w:r>
      <w:r w:rsidRPr="00132E65">
        <w:rPr>
          <w:rtl/>
        </w:rPr>
        <w:t xml:space="preserve"> وفي « ج ، ض ، ه‍ ، و، بح ، بر ، بس ، بف » والغيبة ، ح 7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(7).</w:t>
      </w:r>
      <w:r w:rsidRPr="00132E65">
        <w:rPr>
          <w:rtl/>
        </w:rPr>
        <w:t xml:space="preserve"> في « ف » وكمال الدين والغيبة ، ح 7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(8).</w:t>
      </w:r>
      <w:r w:rsidRPr="00132E65">
        <w:rPr>
          <w:rtl/>
        </w:rPr>
        <w:t xml:space="preserve"> في « ج » : « رجليك »</w:t>
      </w:r>
      <w:r>
        <w:rPr>
          <w:rtl/>
        </w:rPr>
        <w:t>.</w:t>
      </w:r>
    </w:p>
    <w:p w:rsidR="000C39D1" w:rsidRPr="00132E65" w:rsidRDefault="000C39D1" w:rsidP="000C39D1">
      <w:pPr>
        <w:pStyle w:val="libFootnote0"/>
        <w:rPr>
          <w:rtl/>
          <w:lang w:bidi="fa-IR"/>
        </w:rPr>
      </w:pPr>
      <w:r>
        <w:rPr>
          <w:rtl/>
        </w:rPr>
        <w:t>(9).</w:t>
      </w:r>
      <w:r w:rsidRPr="00132E65">
        <w:rPr>
          <w:rtl/>
        </w:rPr>
        <w:t xml:space="preserve"> « النَوْكَى » جمع الأنوك. وهذا مثل يضرب لمن يسمع كلام كلّ أحد ويقبله وإن كان أحمق لا يعقل شيئاً. راجع : </w:t>
      </w:r>
      <w:r w:rsidRPr="009D1ACE">
        <w:rPr>
          <w:rStyle w:val="libFootnoteBoldChar"/>
          <w:rtl/>
        </w:rPr>
        <w:t>لسان العرب</w:t>
      </w:r>
      <w:r w:rsidRPr="00132E65">
        <w:rPr>
          <w:rtl/>
        </w:rPr>
        <w:t xml:space="preserve"> ، ج 10 ، ص 501 ( نوك ) ؛ </w:t>
      </w:r>
      <w:r w:rsidRPr="0035363D">
        <w:rPr>
          <w:rStyle w:val="libFootnoteBoldChar"/>
          <w:rtl/>
        </w:rPr>
        <w:t>شرح المازندراني</w:t>
      </w:r>
      <w:r w:rsidRPr="00132E65">
        <w:rPr>
          <w:rtl/>
        </w:rPr>
        <w:t xml:space="preserve"> ، ج 6 ، ص 248 ؛ </w:t>
      </w:r>
      <w:r w:rsidRPr="009D1ACE">
        <w:rPr>
          <w:rStyle w:val="libFootnoteBoldChar"/>
          <w:rtl/>
        </w:rPr>
        <w:t>مرآة العقول</w:t>
      </w:r>
      <w:r w:rsidRPr="00132E65">
        <w:rPr>
          <w:rtl/>
        </w:rPr>
        <w:t xml:space="preserve"> ، ج 4 ، ص 58.</w:t>
      </w:r>
    </w:p>
    <w:p w:rsidR="000C39D1" w:rsidRPr="00132E65" w:rsidRDefault="000C39D1" w:rsidP="000C39D1">
      <w:pPr>
        <w:pStyle w:val="libFootnote0"/>
        <w:rPr>
          <w:rtl/>
          <w:lang w:bidi="fa-IR"/>
        </w:rPr>
      </w:pPr>
      <w:r>
        <w:rPr>
          <w:rtl/>
        </w:rPr>
        <w:t>(10).</w:t>
      </w:r>
      <w:r w:rsidRPr="00132E65">
        <w:rPr>
          <w:rtl/>
        </w:rPr>
        <w:t xml:space="preserve"> في « ج ، بس » : « غمى »</w:t>
      </w:r>
      <w:r>
        <w:rPr>
          <w:rtl/>
        </w:rPr>
        <w:t>.</w:t>
      </w:r>
      <w:r w:rsidRPr="00132E65">
        <w:rPr>
          <w:rtl/>
        </w:rPr>
        <w:t xml:space="preserve"> وفي كمال الدين : « تخفى »</w:t>
      </w:r>
      <w:r>
        <w:rPr>
          <w:rtl/>
        </w:rPr>
        <w:t>.</w:t>
      </w:r>
      <w:r w:rsidRPr="00132E65">
        <w:rPr>
          <w:rtl/>
        </w:rPr>
        <w:t xml:space="preserve"> وفي الغيبة ، ح 7 : « من غيّب عن الناس » بدل « من عمي‌على الناس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يُشَارُ إِلَيْهِ بِالْأَصَابِعِ </w:t>
      </w:r>
      <w:r>
        <w:rPr>
          <w:rStyle w:val="libFootnotenumChar"/>
          <w:rtl/>
        </w:rPr>
        <w:t>(1)</w:t>
      </w:r>
      <w:r w:rsidRPr="00132E65">
        <w:rPr>
          <w:rtl/>
          <w:lang w:bidi="fa-IR"/>
        </w:rPr>
        <w:t xml:space="preserve"> </w:t>
      </w:r>
      <w:r>
        <w:rPr>
          <w:rtl/>
          <w:lang w:bidi="fa-IR"/>
        </w:rPr>
        <w:t>، ويُمْضَغُ بِالْأَلْسُنِ إِل</w:t>
      </w:r>
      <w:r>
        <w:rPr>
          <w:rFonts w:hint="cs"/>
          <w:rtl/>
          <w:lang w:bidi="fa-IR"/>
        </w:rPr>
        <w:t>َّ</w:t>
      </w:r>
      <w:r>
        <w:rPr>
          <w:rtl/>
          <w:lang w:bidi="fa-IR"/>
        </w:rPr>
        <w:t>ا</w:t>
      </w:r>
      <w:r w:rsidRPr="00132E65">
        <w:rPr>
          <w:rtl/>
          <w:lang w:bidi="fa-IR"/>
        </w:rPr>
        <w:t xml:space="preserve"> مَاتَ غَيْظاً ، أَوْ رَغِمَ </w:t>
      </w:r>
      <w:r>
        <w:rPr>
          <w:rStyle w:val="libFootnotenumChar"/>
          <w:rtl/>
        </w:rPr>
        <w:t>(2)</w:t>
      </w:r>
      <w:r w:rsidRPr="00132E65">
        <w:rPr>
          <w:rtl/>
          <w:lang w:bidi="fa-IR"/>
        </w:rPr>
        <w:t xml:space="preserve"> أَنْفُهُ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806567">
        <w:rPr>
          <w:rtl/>
        </w:rPr>
        <w:t>917</w:t>
      </w:r>
      <w:r w:rsidRPr="004325D8">
        <w:rPr>
          <w:rStyle w:val="libBold2Char"/>
          <w:rtl/>
        </w:rPr>
        <w:t xml:space="preserve"> / 27.</w:t>
      </w:r>
      <w:r w:rsidRPr="00132E65">
        <w:rPr>
          <w:rtl/>
          <w:lang w:bidi="fa-IR"/>
        </w:rPr>
        <w:t xml:space="preserve"> مُحَمَّدُ بْنُ يَحْيى ، عَنْ أَحْمَدَ بْنِ مُحَمَّدٍ ، عَنِ الْحُسَيْنِ بْنِ سَعِيدٍ ، عَنِ ابْنِ أَبِي عُمَيْرٍ ، عَنْ هِشَامِ بْنِ سَالِمٍ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يَقُومُ الْقَائِمُ ولَيْسَ لِأَحَدٍ فِي عُنُقِهِ </w:t>
      </w:r>
      <w:r>
        <w:rPr>
          <w:rtl/>
          <w:lang w:bidi="fa-IR"/>
        </w:rPr>
        <w:t>عَهْدٌ ولَاعَقْدٌ ولَا بَيْعَةٌ</w:t>
      </w:r>
      <w:r w:rsidRPr="00132E65">
        <w:rPr>
          <w:rtl/>
          <w:lang w:bidi="fa-IR"/>
        </w:rPr>
        <w:t>»</w:t>
      </w:r>
      <w:r>
        <w:rPr>
          <w:rtl/>
          <w:lang w:bidi="fa-IR"/>
        </w:rPr>
        <w:t>.</w:t>
      </w:r>
      <w:r>
        <w:rPr>
          <w:rStyle w:val="libFootnotenumChar"/>
          <w:rtl/>
        </w:rPr>
        <w:t>(4)</w:t>
      </w:r>
      <w:r w:rsidRPr="00132E65">
        <w:rPr>
          <w:rtl/>
          <w:lang w:bidi="fa-IR"/>
        </w:rPr>
        <w:t>‌</w:t>
      </w:r>
    </w:p>
    <w:p w:rsidR="000C39D1" w:rsidRPr="00132E65" w:rsidRDefault="000C39D1" w:rsidP="000C39D1">
      <w:pPr>
        <w:pStyle w:val="libNormal"/>
        <w:rPr>
          <w:rtl/>
          <w:lang w:bidi="fa-IR"/>
        </w:rPr>
      </w:pPr>
      <w:r w:rsidRPr="00806567">
        <w:rPr>
          <w:rtl/>
        </w:rPr>
        <w:t>918</w:t>
      </w:r>
      <w:r w:rsidRPr="004325D8">
        <w:rPr>
          <w:rStyle w:val="libBold2Char"/>
          <w:rtl/>
        </w:rPr>
        <w:t xml:space="preserve"> / 28.</w:t>
      </w:r>
      <w:r w:rsidRPr="00132E65">
        <w:rPr>
          <w:rtl/>
          <w:lang w:bidi="fa-IR"/>
        </w:rPr>
        <w:t xml:space="preserve"> مُحَمَّدُ بْنُ يَحْيى ، عَنْ أَحْمَدَ بْنِ مُحَمَّدٍ ، عَنِ ابْنِ فَضَّالٍ ، عَنِ الْحَسَنِ بْنِ عَلِيٍّ الْعَطَّارِ ، عَنْ جَعْفَرِ بْنِ مُحَمَّدٍ ، عَنْ مَنْصُورٍ </w:t>
      </w:r>
      <w:r>
        <w:rPr>
          <w:rStyle w:val="libFootnotenumChar"/>
          <w:rtl/>
        </w:rPr>
        <w:t>(5)</w:t>
      </w:r>
      <w:r w:rsidRPr="00132E65">
        <w:rPr>
          <w:rtl/>
          <w:lang w:bidi="fa-IR"/>
        </w:rPr>
        <w:t xml:space="preserve"> ، عَمَّنْ ذَكَرَهُ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ف ، ه‍ ، بس » وحاشية « ض ، بر ، بف » والغيبة</w:t>
      </w:r>
      <w:r>
        <w:rPr>
          <w:rtl/>
        </w:rPr>
        <w:t xml:space="preserve"> ، ح 7. وفي سائر النسخ والمطبوع</w:t>
      </w:r>
      <w:r w:rsidRPr="00132E65">
        <w:rPr>
          <w:rtl/>
        </w:rPr>
        <w:t>: « بالإصبع »</w:t>
      </w:r>
      <w:r>
        <w:rPr>
          <w:rtl/>
        </w:rPr>
        <w:t>.</w:t>
      </w:r>
    </w:p>
    <w:p w:rsidR="000C39D1" w:rsidRPr="00132E65" w:rsidRDefault="000C39D1" w:rsidP="000C39D1">
      <w:pPr>
        <w:pStyle w:val="libFootnote0"/>
        <w:rPr>
          <w:rtl/>
          <w:lang w:bidi="fa-IR"/>
        </w:rPr>
      </w:pPr>
      <w:r>
        <w:rPr>
          <w:rtl/>
        </w:rPr>
        <w:t>(2).</w:t>
      </w:r>
      <w:r w:rsidRPr="00132E65">
        <w:rPr>
          <w:rtl/>
        </w:rPr>
        <w:t xml:space="preserve"> في « بح » : « أرغم »</w:t>
      </w:r>
      <w:r>
        <w:rPr>
          <w:rtl/>
        </w:rPr>
        <w:t>.</w:t>
      </w:r>
      <w:r w:rsidRPr="00132E65">
        <w:rPr>
          <w:rtl/>
        </w:rPr>
        <w:t xml:space="preserve"> وفي الغيبة ، ح 7 : « حتف »</w:t>
      </w:r>
      <w:r>
        <w:rPr>
          <w:rtl/>
        </w:rPr>
        <w:t>.</w:t>
      </w:r>
      <w:r w:rsidRPr="00132E65">
        <w:rPr>
          <w:rtl/>
        </w:rPr>
        <w:t xml:space="preserve"> وقال ابن الأثير : « يقال : رَغِمَ يَرْغَمُ ، ورَغَمَ يَرْغَمُ رَغْماً ورِغْماً ورُغْماً ، وأرغم الله أنفه ، أي ألصقه بالرَغام ، وهو التراب. هذا هو الأصل ، ثمّ استعمل في الذُلّ والعجز عن الانتصاف والانقياد على كره »</w:t>
      </w:r>
      <w:r>
        <w:rPr>
          <w:rtl/>
        </w:rPr>
        <w:t>.</w:t>
      </w:r>
      <w:r w:rsidRPr="00132E65">
        <w:rPr>
          <w:rtl/>
        </w:rPr>
        <w:t xml:space="preserve"> ولعلّ المراد هنا القتل. ويحتمل كون الترديد من الراوي. راجع : </w:t>
      </w:r>
      <w:r w:rsidRPr="0035363D">
        <w:rPr>
          <w:rStyle w:val="libFootnoteBoldChar"/>
          <w:rtl/>
        </w:rPr>
        <w:t>النهاية</w:t>
      </w:r>
      <w:r w:rsidRPr="00132E65">
        <w:rPr>
          <w:rtl/>
        </w:rPr>
        <w:t xml:space="preserve"> ، ج 2 ، ص 238 ( رغم )</w:t>
      </w:r>
      <w:r>
        <w:rPr>
          <w:rtl/>
        </w:rPr>
        <w:t>.</w:t>
      </w:r>
    </w:p>
    <w:p w:rsidR="000C39D1" w:rsidRPr="00132E65" w:rsidRDefault="000C39D1" w:rsidP="000C39D1">
      <w:pPr>
        <w:pStyle w:val="libFootnote0"/>
        <w:rPr>
          <w:rtl/>
          <w:lang w:bidi="fa-IR"/>
        </w:rPr>
      </w:pPr>
      <w:r>
        <w:rPr>
          <w:rtl/>
        </w:rPr>
        <w:t>(3).</w:t>
      </w:r>
      <w:r w:rsidRPr="00132E65">
        <w:rPr>
          <w:rtl/>
        </w:rPr>
        <w:t xml:space="preserve"> </w:t>
      </w:r>
      <w:r w:rsidRPr="0035363D">
        <w:rPr>
          <w:rStyle w:val="libFootnoteBoldChar"/>
          <w:rtl/>
        </w:rPr>
        <w:t>الغيبة</w:t>
      </w:r>
      <w:r w:rsidRPr="00132E65">
        <w:rPr>
          <w:rtl/>
        </w:rPr>
        <w:t xml:space="preserve"> للنعماني ، ص 167 ، ح 7 ، عن الكليني ، وأيضاً بسند آخر عن عبد الله بن عطاء. </w:t>
      </w:r>
      <w:r w:rsidRPr="0035363D">
        <w:rPr>
          <w:rStyle w:val="libFootnoteBoldChar"/>
          <w:rtl/>
        </w:rPr>
        <w:t>كمال الدين</w:t>
      </w:r>
      <w:r w:rsidRPr="00132E65">
        <w:rPr>
          <w:rtl/>
        </w:rPr>
        <w:t xml:space="preserve"> ، ص 325 ، ح 2 ، بسنده عن العبّاس بن عامر القصباني ، عن موسى بن هلال الضبي ، عن عبد الله بن عطاء ، إلى قوله : « فذاك صاحبكم » ؛ </w:t>
      </w:r>
      <w:r w:rsidRPr="0035363D">
        <w:rPr>
          <w:rStyle w:val="libFootnoteBoldChar"/>
          <w:rtl/>
        </w:rPr>
        <w:t>الغيبة</w:t>
      </w:r>
      <w:r w:rsidRPr="00132E65">
        <w:rPr>
          <w:rtl/>
        </w:rPr>
        <w:t xml:space="preserve"> للنعماني ، ص 168 ، ح 8 ، بسنده عن العبّاس بن عامر ، عن موسى بن هلال ، مع اختلاف </w:t>
      </w:r>
      <w:r>
        <w:rPr>
          <w:rFonts w:hint="cs"/>
          <w:rtl/>
        </w:rPr>
        <w:t>.</w:t>
      </w:r>
      <w:r w:rsidRPr="009D1ACE">
        <w:rPr>
          <w:rStyle w:val="libFootnoteBoldChar"/>
          <w:rtl/>
        </w:rPr>
        <w:t>الوافي</w:t>
      </w:r>
      <w:r w:rsidRPr="00132E65">
        <w:rPr>
          <w:rtl/>
        </w:rPr>
        <w:t xml:space="preserve"> ، ج 2 ، ص 394 ، ح 887.</w:t>
      </w:r>
    </w:p>
    <w:p w:rsidR="000C39D1" w:rsidRPr="00132E65" w:rsidRDefault="000C39D1" w:rsidP="000C39D1">
      <w:pPr>
        <w:pStyle w:val="libFootnote0"/>
        <w:rPr>
          <w:rtl/>
          <w:lang w:bidi="fa-IR"/>
        </w:rPr>
      </w:pPr>
      <w:r>
        <w:rPr>
          <w:rtl/>
        </w:rPr>
        <w:t>(4).</w:t>
      </w:r>
      <w:r w:rsidRPr="00132E65">
        <w:rPr>
          <w:rtl/>
        </w:rPr>
        <w:t xml:space="preserve"> </w:t>
      </w:r>
      <w:r w:rsidRPr="00502C97">
        <w:rPr>
          <w:rStyle w:val="libFootnoteBoldChar"/>
          <w:rtl/>
        </w:rPr>
        <w:t>الغيبة</w:t>
      </w:r>
      <w:r w:rsidRPr="00132E65">
        <w:rPr>
          <w:rtl/>
        </w:rPr>
        <w:t xml:space="preserve"> للنعماني ، ص 171 ، ح 4 ؛ وص 191 ، ح 46 ، عن الكليني. </w:t>
      </w:r>
      <w:r w:rsidRPr="00502C97">
        <w:rPr>
          <w:rStyle w:val="libFootnoteBoldChar"/>
          <w:rtl/>
        </w:rPr>
        <w:t>كمال الدين</w:t>
      </w:r>
      <w:r w:rsidRPr="00132E65">
        <w:rPr>
          <w:rtl/>
        </w:rPr>
        <w:t xml:space="preserve"> ، ص 480 ، ح 3 ، بسنده عن محمّد بن أبي عمير. </w:t>
      </w:r>
      <w:r w:rsidRPr="00502C97">
        <w:rPr>
          <w:rStyle w:val="libFootnoteBoldChar"/>
          <w:rtl/>
        </w:rPr>
        <w:t>الغيبة</w:t>
      </w:r>
      <w:r w:rsidRPr="00132E65">
        <w:rPr>
          <w:rtl/>
        </w:rPr>
        <w:t xml:space="preserve"> للنعماني ، ص 191 ، ح 45 ؛ وص 171 ، ح 3 ، بسند آخر عن أبي جعفر </w:t>
      </w:r>
      <w:r w:rsidRPr="0033724D">
        <w:rPr>
          <w:rStyle w:val="libFootnoteAlaemChar"/>
          <w:rtl/>
        </w:rPr>
        <w:t>عليه‌السلام</w:t>
      </w:r>
      <w:r w:rsidRPr="00132E65">
        <w:rPr>
          <w:rtl/>
        </w:rPr>
        <w:t xml:space="preserve"> ؛ </w:t>
      </w:r>
      <w:r w:rsidRPr="00806567">
        <w:rPr>
          <w:rtl/>
        </w:rPr>
        <w:t>كمال الدين</w:t>
      </w:r>
      <w:r w:rsidRPr="00132E65">
        <w:rPr>
          <w:rtl/>
        </w:rPr>
        <w:t xml:space="preserve"> ، ص 303 ، ح 14 ، بسند آخر عن محمّد بن عليّ ، عن آبائه ، عن أمير المؤمنين </w:t>
      </w:r>
      <w:r w:rsidRPr="0033724D">
        <w:rPr>
          <w:rStyle w:val="libFootnoteAlaemChar"/>
          <w:rtl/>
        </w:rPr>
        <w:t>عليه‌السلام</w:t>
      </w:r>
      <w:r w:rsidRPr="00132E65">
        <w:rPr>
          <w:rtl/>
        </w:rPr>
        <w:t xml:space="preserve"> ، مع زيادة في أوّله وآخره ؛ </w:t>
      </w:r>
      <w:r w:rsidRPr="00806567">
        <w:rPr>
          <w:rtl/>
        </w:rPr>
        <w:t>وفيه</w:t>
      </w:r>
      <w:r w:rsidRPr="00132E65">
        <w:rPr>
          <w:rtl/>
        </w:rPr>
        <w:t xml:space="preserve"> ، ص 322 ، ح 6 ، بسند آخر عن عليّ بن الحسين </w:t>
      </w:r>
      <w:r w:rsidRPr="0033724D">
        <w:rPr>
          <w:rStyle w:val="libFootnoteAlaemChar"/>
          <w:rtl/>
        </w:rPr>
        <w:t>عليه‌السلام</w:t>
      </w:r>
      <w:r w:rsidRPr="00132E65">
        <w:rPr>
          <w:rtl/>
        </w:rPr>
        <w:t xml:space="preserve"> ؛ </w:t>
      </w:r>
      <w:r w:rsidRPr="00806567">
        <w:rPr>
          <w:rtl/>
        </w:rPr>
        <w:t>وفيه</w:t>
      </w:r>
      <w:r w:rsidRPr="00132E65">
        <w:rPr>
          <w:rtl/>
        </w:rPr>
        <w:t xml:space="preserve"> أيضاً ، ص 479 ، ح 2 ، بسند آخر عن أبي عبد الله </w:t>
      </w:r>
      <w:r w:rsidRPr="0033724D">
        <w:rPr>
          <w:rStyle w:val="libFootnoteAlaemChar"/>
          <w:rtl/>
        </w:rPr>
        <w:t>عليه‌السلام</w:t>
      </w:r>
      <w:r w:rsidRPr="00132E65">
        <w:rPr>
          <w:rtl/>
        </w:rPr>
        <w:t xml:space="preserve"> ، وفي كلّها مع اختلاف يسير. راجع : </w:t>
      </w:r>
      <w:r w:rsidRPr="00502C97">
        <w:rPr>
          <w:rStyle w:val="libFootnoteBoldChar"/>
          <w:rtl/>
        </w:rPr>
        <w:t>كمال الدين</w:t>
      </w:r>
      <w:r w:rsidRPr="00132E65">
        <w:rPr>
          <w:rtl/>
        </w:rPr>
        <w:t xml:space="preserve"> ، ص 315 ، ح 2 ؛ </w:t>
      </w:r>
      <w:r w:rsidRPr="00502C97">
        <w:rPr>
          <w:rStyle w:val="libFootnoteBoldChar"/>
          <w:rtl/>
        </w:rPr>
        <w:t>وكفاية الأثر</w:t>
      </w:r>
      <w:r w:rsidRPr="00132E65">
        <w:rPr>
          <w:rtl/>
        </w:rPr>
        <w:t xml:space="preserve"> ، ص 224 </w:t>
      </w:r>
      <w:r>
        <w:rPr>
          <w:rFonts w:hint="cs"/>
          <w:rtl/>
        </w:rPr>
        <w:t>.</w:t>
      </w:r>
      <w:r w:rsidRPr="009D1ACE">
        <w:rPr>
          <w:rStyle w:val="libFootnoteBoldChar"/>
          <w:rtl/>
        </w:rPr>
        <w:t>الوافي</w:t>
      </w:r>
      <w:r w:rsidRPr="00132E65">
        <w:rPr>
          <w:rtl/>
        </w:rPr>
        <w:t xml:space="preserve"> ، ج 2 ، ص 476 ، ح 989.</w:t>
      </w:r>
    </w:p>
    <w:p w:rsidR="000C39D1" w:rsidRPr="00132E65" w:rsidRDefault="000C39D1" w:rsidP="000C39D1">
      <w:pPr>
        <w:pStyle w:val="libFootnote0"/>
        <w:rPr>
          <w:rtl/>
          <w:lang w:bidi="fa-IR"/>
        </w:rPr>
      </w:pPr>
      <w:r>
        <w:rPr>
          <w:rtl/>
        </w:rPr>
        <w:t>(5).</w:t>
      </w:r>
      <w:r w:rsidRPr="00132E65">
        <w:rPr>
          <w:rtl/>
        </w:rPr>
        <w:t xml:space="preserve"> روى النعماني في </w:t>
      </w:r>
      <w:r w:rsidRPr="00502C97">
        <w:rPr>
          <w:rStyle w:val="libFootnoteBoldChar"/>
          <w:rtl/>
        </w:rPr>
        <w:t>الغيبة</w:t>
      </w:r>
      <w:r w:rsidRPr="00132E65">
        <w:rPr>
          <w:rtl/>
        </w:rPr>
        <w:t xml:space="preserve"> ، ص 158 ، ح 3 ، مضمون الخبر بسنده عن عبد الله بن جبلة ، عن محمّد بن منصور الصيقل ، عن أبيه منصور ، قال : قال : أبو عبد الله </w:t>
      </w:r>
      <w:r w:rsidRPr="0033724D">
        <w:rPr>
          <w:rStyle w:val="libFootnoteAlaemChar"/>
          <w:rtl/>
        </w:rPr>
        <w:t>عليه‌السلام</w:t>
      </w:r>
      <w:r w:rsidRPr="00132E65">
        <w:rPr>
          <w:rtl/>
        </w:rPr>
        <w:t xml:space="preserve"> ، ثمّ أورد في ذيله مثله نقلاً من الكليني بعين سند </w:t>
      </w:r>
      <w:r w:rsidRPr="000577A7">
        <w:rPr>
          <w:rStyle w:val="libFootnoteBoldChar"/>
          <w:rtl/>
        </w:rPr>
        <w:t>الكافي</w:t>
      </w:r>
      <w:r w:rsidRPr="00132E65">
        <w:rPr>
          <w:rtl/>
        </w:rPr>
        <w:t xml:space="preserve">. لكن هذا الذيل أورده المجلسي في </w:t>
      </w:r>
      <w:r w:rsidRPr="00806567">
        <w:rPr>
          <w:rtl/>
        </w:rPr>
        <w:t>البحار</w:t>
      </w:r>
      <w:r w:rsidRPr="00132E65">
        <w:rPr>
          <w:rtl/>
        </w:rPr>
        <w:t xml:space="preserve"> ، ج 52 ، ص 133 ، ذيل ح 32 وفيه : « محمّد بن منصور » بدل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قُلْتُ </w:t>
      </w:r>
      <w:r>
        <w:rPr>
          <w:rStyle w:val="libFootnotenumChar"/>
          <w:rtl/>
        </w:rPr>
        <w:t>(1)</w:t>
      </w:r>
      <w:r w:rsidRPr="00132E65">
        <w:rPr>
          <w:rtl/>
          <w:lang w:bidi="fa-IR"/>
        </w:rPr>
        <w:t xml:space="preserve"> : إِذَا أَصْبَحْتُ وأَمْسَيْتُ لَا</w:t>
      </w:r>
      <w:r>
        <w:rPr>
          <w:rFonts w:hint="cs"/>
          <w:rtl/>
          <w:lang w:bidi="fa-IR"/>
        </w:rPr>
        <w:t xml:space="preserve"> </w:t>
      </w:r>
      <w:r w:rsidRPr="00132E65">
        <w:rPr>
          <w:rtl/>
          <w:lang w:bidi="fa-IR"/>
        </w:rPr>
        <w:t xml:space="preserve">أَرى </w:t>
      </w:r>
      <w:r>
        <w:rPr>
          <w:rStyle w:val="libFootnotenumChar"/>
          <w:rtl/>
        </w:rPr>
        <w:t>(2)</w:t>
      </w:r>
      <w:r w:rsidRPr="00132E65">
        <w:rPr>
          <w:rtl/>
          <w:lang w:bidi="fa-IR"/>
        </w:rPr>
        <w:t xml:space="preserve"> إِمَاماً أَئْتَمُّ بِهِ </w:t>
      </w:r>
      <w:r>
        <w:rPr>
          <w:rStyle w:val="libFootnotenumChar"/>
          <w:rtl/>
        </w:rPr>
        <w:t>(3)</w:t>
      </w:r>
      <w:r w:rsidRPr="00132E65">
        <w:rPr>
          <w:rtl/>
          <w:lang w:bidi="fa-IR"/>
        </w:rPr>
        <w:t xml:space="preserve"> ، مَا أَصْنَعُ</w:t>
      </w:r>
      <w:r>
        <w:rPr>
          <w:rtl/>
          <w:lang w:bidi="fa-IR"/>
        </w:rPr>
        <w:t>؟</w:t>
      </w:r>
    </w:p>
    <w:p w:rsidR="000C39D1" w:rsidRPr="00132E65" w:rsidRDefault="000C39D1" w:rsidP="000C39D1">
      <w:pPr>
        <w:pStyle w:val="libNormal"/>
        <w:rPr>
          <w:rtl/>
          <w:lang w:bidi="fa-IR"/>
        </w:rPr>
      </w:pPr>
      <w:r w:rsidRPr="00132E65">
        <w:rPr>
          <w:rtl/>
          <w:lang w:bidi="fa-IR"/>
        </w:rPr>
        <w:t xml:space="preserve">قَالَ : « فَأَحِبَّ مَنْ كُنْتَ تُحِبُّ </w:t>
      </w:r>
      <w:r>
        <w:rPr>
          <w:rStyle w:val="libFootnotenumChar"/>
          <w:rtl/>
        </w:rPr>
        <w:t>(4)</w:t>
      </w:r>
      <w:r w:rsidRPr="00132E65">
        <w:rPr>
          <w:rtl/>
          <w:lang w:bidi="fa-IR"/>
        </w:rPr>
        <w:t xml:space="preserve"> ، وأَبْغِضْ مَنْ كُنْتَ تُبْغِضُ </w:t>
      </w:r>
      <w:r>
        <w:rPr>
          <w:rStyle w:val="libFootnotenumChar"/>
          <w:rtl/>
        </w:rPr>
        <w:t>(5)</w:t>
      </w:r>
      <w:r w:rsidRPr="00132E65">
        <w:rPr>
          <w:rtl/>
          <w:lang w:bidi="fa-IR"/>
        </w:rPr>
        <w:t xml:space="preserve"> حَتّى يُظْهِرَهُ اللهُ عَزَّ وَجَلَّ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806567">
        <w:rPr>
          <w:rtl/>
        </w:rPr>
        <w:t>919</w:t>
      </w:r>
      <w:r w:rsidRPr="004325D8">
        <w:rPr>
          <w:rStyle w:val="libBold2Char"/>
          <w:rtl/>
        </w:rPr>
        <w:t xml:space="preserve"> / 29.</w:t>
      </w:r>
      <w:r w:rsidRPr="00132E65">
        <w:rPr>
          <w:rtl/>
          <w:lang w:bidi="fa-IR"/>
        </w:rPr>
        <w:t xml:space="preserve"> الْحُسَيْنُ بْنُ أَحْمَدَ </w:t>
      </w:r>
      <w:r>
        <w:rPr>
          <w:rStyle w:val="libFootnotenumChar"/>
          <w:rtl/>
        </w:rPr>
        <w:t>(7)</w:t>
      </w:r>
      <w:r w:rsidRPr="00132E65">
        <w:rPr>
          <w:rtl/>
          <w:lang w:bidi="fa-IR"/>
        </w:rPr>
        <w:t xml:space="preserve"> ، عَنْ أَحْمَدَ بْنِ هِلَالٍ ، قَالَ : حَدَّثَنَا عُثْمَانُ بْنُ عِيسى ، عَنْ خَالِدِ بْنِ نَجِيحٍ ، عَنْ زُرَارَةَ بْنِ أَعْيَنَ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لَا بُدَّ لِلْغُلَامِ مِنْ غَيْبَةٍ </w:t>
      </w:r>
      <w:r>
        <w:rPr>
          <w:rStyle w:val="libFootnotenumChar"/>
          <w:rtl/>
        </w:rPr>
        <w:t>(8)</w:t>
      </w:r>
      <w:r w:rsidRPr="00132E65">
        <w:rPr>
          <w:rtl/>
          <w:lang w:bidi="fa-IR"/>
        </w:rPr>
        <w:t xml:space="preserve"> »</w:t>
      </w:r>
      <w:r>
        <w:rPr>
          <w:rtl/>
          <w:lang w:bidi="fa-IR"/>
        </w:rPr>
        <w:t>.</w:t>
      </w:r>
      <w:r w:rsidRPr="00132E65">
        <w:rPr>
          <w:rtl/>
          <w:lang w:bidi="fa-IR"/>
        </w:rPr>
        <w:t xml:space="preserve"> قُلْتُ : ولِمَ</w:t>
      </w:r>
      <w:r>
        <w:rPr>
          <w:rtl/>
          <w:lang w:bidi="fa-IR"/>
        </w:rPr>
        <w:t>؟</w:t>
      </w:r>
      <w:r w:rsidRPr="00132E65">
        <w:rPr>
          <w:rtl/>
          <w:lang w:bidi="fa-IR"/>
        </w:rPr>
        <w:t xml:space="preserve"> قَالَ : « يَخَافُ</w:t>
      </w:r>
      <w:r>
        <w:rPr>
          <w:rtl/>
          <w:lang w:bidi="fa-IR"/>
        </w:rPr>
        <w:t xml:space="preserve"> - </w:t>
      </w:r>
      <w:r w:rsidRPr="00132E65">
        <w:rPr>
          <w:rtl/>
          <w:lang w:bidi="fa-IR"/>
        </w:rPr>
        <w:t>وأَوْمَأَ</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 منصور » ، كما أنّ في الطبعة القديمة من </w:t>
      </w:r>
      <w:r w:rsidRPr="00806567">
        <w:rPr>
          <w:rtl/>
        </w:rPr>
        <w:t>الغيبة</w:t>
      </w:r>
      <w:r w:rsidRPr="00132E65">
        <w:rPr>
          <w:rtl/>
        </w:rPr>
        <w:t xml:space="preserve"> أيضاً : « محمّد بن منصور »</w:t>
      </w:r>
      <w:r>
        <w:rPr>
          <w:rtl/>
        </w:rPr>
        <w:t>.</w:t>
      </w:r>
    </w:p>
    <w:p w:rsidR="000C39D1" w:rsidRPr="00613766" w:rsidRDefault="000C39D1" w:rsidP="00E55206">
      <w:pPr>
        <w:pStyle w:val="libFootnote0"/>
        <w:rPr>
          <w:rtl/>
        </w:rPr>
      </w:pPr>
      <w:r w:rsidRPr="00F543F1">
        <w:rPr>
          <w:rtl/>
        </w:rPr>
        <w:t xml:space="preserve">فعليه يحتمل كون الصواب في ما نحن فيه أيضاً هو « محمّد بن منصور ». يؤيّد ذلك ما أشرنا إليه ممّا ورد في الغيبة ، ص 158 ، ح 3 ، وكذا ما ورد في </w:t>
      </w:r>
      <w:r w:rsidRPr="00502C97">
        <w:rPr>
          <w:rStyle w:val="libFootnoteBoldChar"/>
          <w:rtl/>
        </w:rPr>
        <w:t>كمال الدين</w:t>
      </w:r>
      <w:r w:rsidRPr="00613766">
        <w:rPr>
          <w:rtl/>
        </w:rPr>
        <w:t xml:space="preserve"> ، ص 348 ، ح 37 ؛ فقد ورد فيه « جعفر بن محمّد بن منصور ». وهذا العنوان وإن كان فيه تحريف ، لكنّ الظاهر أنّ التحريفَ بوقوع السقط ، والساقط هو « عن محمّد » قبل « بن منصور ». وأنّ الأصل كان هكذا « جعفر بن محمّد عن محمّد بن منصور » فجاز نظر الناسخ من « محمّد » الأوّل إلى « محمّد » الثاني ، فوقع السقط.</w:t>
      </w:r>
    </w:p>
    <w:p w:rsidR="000C39D1" w:rsidRPr="00302D71" w:rsidRDefault="000C39D1" w:rsidP="00E55206">
      <w:pPr>
        <w:pStyle w:val="libFootnote0"/>
        <w:rPr>
          <w:rtl/>
        </w:rPr>
      </w:pPr>
      <w:r w:rsidRPr="00302D71">
        <w:rPr>
          <w:rtl/>
        </w:rPr>
        <w:t xml:space="preserve">ثمّ إنَّ في سند </w:t>
      </w:r>
      <w:r w:rsidRPr="00502C97">
        <w:rPr>
          <w:rStyle w:val="libFootnoteBoldChar"/>
          <w:rtl/>
        </w:rPr>
        <w:t>كمال الدين</w:t>
      </w:r>
      <w:r w:rsidRPr="00302D71">
        <w:rPr>
          <w:rtl/>
        </w:rPr>
        <w:t xml:space="preserve"> بعض الاختلالات الا</w:t>
      </w:r>
      <w:r>
        <w:rPr>
          <w:rFonts w:hint="cs"/>
          <w:rtl/>
        </w:rPr>
        <w:t>ُ</w:t>
      </w:r>
      <w:r w:rsidRPr="00302D71">
        <w:rPr>
          <w:rtl/>
        </w:rPr>
        <w:t>خر ، ليس هذا موضع ذكره.</w:t>
      </w:r>
    </w:p>
    <w:p w:rsidR="000C39D1" w:rsidRPr="00132E65" w:rsidRDefault="000C39D1" w:rsidP="000C39D1">
      <w:pPr>
        <w:pStyle w:val="libFootnote0"/>
        <w:rPr>
          <w:rtl/>
          <w:lang w:bidi="fa-IR"/>
        </w:rPr>
      </w:pPr>
      <w:r>
        <w:rPr>
          <w:rtl/>
        </w:rPr>
        <w:t>(1).</w:t>
      </w:r>
      <w:r w:rsidRPr="00132E65">
        <w:rPr>
          <w:rtl/>
        </w:rPr>
        <w:t xml:space="preserve"> في « ج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في « ه‍ » : « لا نرى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(3).</w:t>
            </w:r>
            <w:r w:rsidRPr="00132E65">
              <w:rPr>
                <w:rtl/>
              </w:rPr>
              <w:t xml:space="preserve"> في « ه‍ » : « نأتمّ به »</w:t>
            </w:r>
            <w:r>
              <w:rPr>
                <w:rtl/>
              </w:rPr>
              <w:t>.</w:t>
            </w:r>
          </w:p>
        </w:tc>
        <w:tc>
          <w:tcPr>
            <w:tcW w:w="4006" w:type="dxa"/>
          </w:tcPr>
          <w:p w:rsidR="000C39D1" w:rsidRDefault="000C39D1" w:rsidP="00B53873">
            <w:pPr>
              <w:pStyle w:val="libFootnote0"/>
              <w:rPr>
                <w:rtl/>
                <w:lang w:bidi="fa-IR"/>
              </w:rPr>
            </w:pPr>
            <w:r>
              <w:rPr>
                <w:rtl/>
              </w:rPr>
              <w:t>(4).</w:t>
            </w:r>
            <w:r w:rsidRPr="00132E65">
              <w:rPr>
                <w:rtl/>
              </w:rPr>
              <w:t xml:space="preserve"> في « ف ، ه‍ » و</w:t>
            </w:r>
            <w:r w:rsidRPr="009D1ACE">
              <w:rPr>
                <w:rStyle w:val="libFootnoteBoldChar"/>
                <w:rtl/>
              </w:rPr>
              <w:t>الوافي</w:t>
            </w:r>
            <w:r w:rsidRPr="00132E65">
              <w:rPr>
                <w:rtl/>
              </w:rPr>
              <w:t xml:space="preserve"> و</w:t>
            </w:r>
            <w:r w:rsidRPr="009D1ACE">
              <w:rPr>
                <w:rStyle w:val="libFootnoteBoldChar"/>
                <w:rtl/>
              </w:rPr>
              <w:t>مرآة العقول</w:t>
            </w:r>
            <w:r>
              <w:rPr>
                <w:rtl/>
              </w:rPr>
              <w:t xml:space="preserve"> : « تحبّه</w:t>
            </w:r>
            <w:r w:rsidRPr="00132E65">
              <w:rPr>
                <w:rtl/>
              </w:rPr>
              <w:t>»</w:t>
            </w:r>
            <w:r>
              <w:rPr>
                <w:rtl/>
              </w:rPr>
              <w:t>.</w:t>
            </w:r>
          </w:p>
        </w:tc>
      </w:tr>
    </w:tbl>
    <w:p w:rsidR="000C39D1" w:rsidRPr="00132E65" w:rsidRDefault="000C39D1" w:rsidP="000C39D1">
      <w:pPr>
        <w:pStyle w:val="libFootnote0"/>
        <w:rPr>
          <w:rtl/>
          <w:lang w:bidi="fa-IR"/>
        </w:rPr>
      </w:pPr>
      <w:r>
        <w:rPr>
          <w:rtl/>
        </w:rPr>
        <w:t>(5).</w:t>
      </w:r>
      <w:r w:rsidRPr="00132E65">
        <w:rPr>
          <w:rtl/>
        </w:rPr>
        <w:t xml:space="preserve"> في « ف » : « تبغضه »</w:t>
      </w:r>
      <w:r>
        <w:rPr>
          <w:rtl/>
        </w:rPr>
        <w:t>.</w:t>
      </w:r>
    </w:p>
    <w:p w:rsidR="000C39D1" w:rsidRPr="00132E65" w:rsidRDefault="000C39D1" w:rsidP="000C39D1">
      <w:pPr>
        <w:pStyle w:val="libFootnote0"/>
        <w:rPr>
          <w:rtl/>
          <w:lang w:bidi="fa-IR"/>
        </w:rPr>
      </w:pPr>
      <w:r>
        <w:rPr>
          <w:rtl/>
        </w:rPr>
        <w:t>(6).</w:t>
      </w:r>
      <w:r w:rsidRPr="00132E65">
        <w:rPr>
          <w:rtl/>
        </w:rPr>
        <w:t xml:space="preserve"> </w:t>
      </w:r>
      <w:r w:rsidRPr="00502C97">
        <w:rPr>
          <w:rStyle w:val="libFootnoteBoldChar"/>
          <w:rtl/>
        </w:rPr>
        <w:t>الغيبة</w:t>
      </w:r>
      <w:r w:rsidRPr="00132E65">
        <w:rPr>
          <w:rtl/>
        </w:rPr>
        <w:t xml:space="preserve"> للنعماني ، ص 158 ح 3 ، عن الكليني ، وأيضاً بسند آخر عن منصور ، مع اختلاف يسير. </w:t>
      </w:r>
      <w:r w:rsidRPr="00502C97">
        <w:rPr>
          <w:rStyle w:val="libFootnoteBoldChar"/>
          <w:rtl/>
        </w:rPr>
        <w:t>كمال الدين</w:t>
      </w:r>
      <w:r w:rsidRPr="00132E65">
        <w:rPr>
          <w:rtl/>
        </w:rPr>
        <w:t xml:space="preserve"> ، ص 348 ، ح 37 ، بسنده عن أحمد بن محمّد بن عيسى ، عن الحسن بن عليّ بن فضّال ، عن جعفر بن محمّد بن منصور ، عن عمر بن عبدالعزيز ، عن أبي عبد الله </w:t>
      </w:r>
      <w:r w:rsidRPr="0033724D">
        <w:rPr>
          <w:rStyle w:val="libFootnoteAlaemChar"/>
          <w:rtl/>
        </w:rPr>
        <w:t>عليه‌السلام</w:t>
      </w:r>
      <w:r w:rsidRPr="00132E65">
        <w:rPr>
          <w:rtl/>
        </w:rPr>
        <w:t xml:space="preserve">. وراجع : </w:t>
      </w:r>
      <w:r w:rsidRPr="00502C97">
        <w:rPr>
          <w:rStyle w:val="libFootnoteBoldChar"/>
          <w:rtl/>
        </w:rPr>
        <w:t>كمال الدين</w:t>
      </w:r>
      <w:r w:rsidRPr="00132E65">
        <w:rPr>
          <w:rtl/>
        </w:rPr>
        <w:t xml:space="preserve"> ، ص 351 ، ح 47</w:t>
      </w:r>
      <w:r>
        <w:rPr>
          <w:rFonts w:hint="cs"/>
          <w:rtl/>
        </w:rPr>
        <w:t>.</w:t>
      </w:r>
      <w:r w:rsidRPr="009D1ACE">
        <w:rPr>
          <w:rStyle w:val="libFootnoteBoldChar"/>
          <w:rtl/>
        </w:rPr>
        <w:t>الوافي</w:t>
      </w:r>
      <w:r w:rsidRPr="00132E65">
        <w:rPr>
          <w:rtl/>
        </w:rPr>
        <w:t xml:space="preserve"> ، ج 2 ، ص 418 ، ح 932.</w:t>
      </w:r>
    </w:p>
    <w:p w:rsidR="000C39D1" w:rsidRPr="00132E65" w:rsidRDefault="000C39D1" w:rsidP="000C39D1">
      <w:pPr>
        <w:pStyle w:val="libFootnote0"/>
        <w:rPr>
          <w:rtl/>
          <w:lang w:bidi="fa-IR"/>
        </w:rPr>
      </w:pPr>
      <w:r>
        <w:rPr>
          <w:rtl/>
        </w:rPr>
        <w:t>(7).</w:t>
      </w:r>
      <w:r w:rsidRPr="00132E65">
        <w:rPr>
          <w:rtl/>
        </w:rPr>
        <w:t xml:space="preserve"> في « ج » وحاشية « ض » : « محمّد »</w:t>
      </w:r>
      <w:r>
        <w:rPr>
          <w:rtl/>
        </w:rPr>
        <w:t>.</w:t>
      </w:r>
      <w:r w:rsidRPr="00132E65">
        <w:rPr>
          <w:rtl/>
        </w:rPr>
        <w:t xml:space="preserve"> وهو سهو. والحسين هذا ، هو الحسين بن أحمد بن عبد الله بن وهب‌</w:t>
      </w:r>
      <w:r>
        <w:rPr>
          <w:rFonts w:hint="cs"/>
          <w:rtl/>
        </w:rPr>
        <w:t xml:space="preserve"> </w:t>
      </w:r>
      <w:r w:rsidRPr="00132E65">
        <w:rPr>
          <w:rtl/>
        </w:rPr>
        <w:t xml:space="preserve">المالكي ، روى عن أحمد بن هلال في بعض الأسناد والطرق. راجع : </w:t>
      </w:r>
      <w:r w:rsidRPr="004640D9">
        <w:rPr>
          <w:rStyle w:val="libFootnoteBoldChar"/>
          <w:rtl/>
        </w:rPr>
        <w:t>الغيبة للنعماني</w:t>
      </w:r>
      <w:r w:rsidRPr="00132E65">
        <w:rPr>
          <w:rtl/>
        </w:rPr>
        <w:t xml:space="preserve"> ، ص 167 ، ذيل ح 2 ؛ </w:t>
      </w:r>
      <w:r w:rsidRPr="004640D9">
        <w:rPr>
          <w:rStyle w:val="libFootnoteBoldChar"/>
          <w:rtl/>
        </w:rPr>
        <w:t>تفسير القمّي</w:t>
      </w:r>
      <w:r w:rsidRPr="00132E65">
        <w:rPr>
          <w:rtl/>
        </w:rPr>
        <w:t xml:space="preserve"> ، ج 2 ، ص 112 ؛ </w:t>
      </w:r>
      <w:r w:rsidRPr="004640D9">
        <w:rPr>
          <w:rStyle w:val="libFootnoteBoldChar"/>
          <w:rtl/>
        </w:rPr>
        <w:t>التهذيب</w:t>
      </w:r>
      <w:r w:rsidRPr="00132E65">
        <w:rPr>
          <w:rtl/>
        </w:rPr>
        <w:t xml:space="preserve"> ، ج 1 ، ص 117 ، ح 308 ؛ </w:t>
      </w:r>
      <w:r w:rsidRPr="004640D9">
        <w:rPr>
          <w:rStyle w:val="libFootnoteBoldChar"/>
          <w:rtl/>
        </w:rPr>
        <w:t>رجال النجاشي</w:t>
      </w:r>
      <w:r w:rsidRPr="00132E65">
        <w:rPr>
          <w:rtl/>
        </w:rPr>
        <w:t xml:space="preserve"> ، ص 371 ، الرقم 1041 ، وص 419 ، الرقم 1120 ؛ </w:t>
      </w:r>
      <w:r w:rsidRPr="004640D9">
        <w:rPr>
          <w:rStyle w:val="libFootnoteBoldChar"/>
          <w:rtl/>
        </w:rPr>
        <w:t>الفهرست للطوسي</w:t>
      </w:r>
      <w:r w:rsidRPr="00132E65">
        <w:rPr>
          <w:rtl/>
        </w:rPr>
        <w:t xml:space="preserve"> ، ص 270 ، الرقم 389.</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ض ، بف » : « غيبته »</w:t>
            </w:r>
            <w:r>
              <w:rPr>
                <w:rtl/>
              </w:rPr>
              <w:t>.</w:t>
            </w:r>
          </w:p>
        </w:tc>
        <w:tc>
          <w:tcPr>
            <w:tcW w:w="4006" w:type="dxa"/>
          </w:tcPr>
          <w:p w:rsidR="000C39D1" w:rsidRDefault="000C39D1" w:rsidP="00B53873">
            <w:pPr>
              <w:pStyle w:val="libFootnote0"/>
              <w:rPr>
                <w:rtl/>
              </w:rPr>
            </w:pPr>
            <w:r>
              <w:rPr>
                <w:rtl/>
              </w:rPr>
              <w:t>(9).</w:t>
            </w:r>
            <w:r w:rsidRPr="00132E65">
              <w:rPr>
                <w:rtl/>
              </w:rPr>
              <w:t xml:space="preserve"> في « ه‍ » : « فأومى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بِيَدِهِ إِلى بَطْنِهِ</w:t>
      </w:r>
      <w:r>
        <w:rPr>
          <w:rtl/>
          <w:lang w:bidi="fa-IR"/>
        </w:rPr>
        <w:t xml:space="preserve"> - </w:t>
      </w:r>
      <w:r w:rsidRPr="00132E65">
        <w:rPr>
          <w:rtl/>
          <w:lang w:bidi="fa-IR"/>
        </w:rPr>
        <w:t xml:space="preserve">وهُوَ الْمُنْتَظَرُ ، وهُوَ الَّذِي يَشُكُّ النَّاسُ فِي ولَادَتِهِ ، فَمِنْهُمْ </w:t>
      </w:r>
      <w:r>
        <w:rPr>
          <w:rStyle w:val="libFootnotenumChar"/>
          <w:rtl/>
        </w:rPr>
        <w:t>(1)</w:t>
      </w:r>
      <w:r w:rsidRPr="00132E65">
        <w:rPr>
          <w:rtl/>
          <w:lang w:bidi="fa-IR"/>
        </w:rPr>
        <w:t xml:space="preserve"> مَنْ يَقُولُ :</w:t>
      </w:r>
      <w:r>
        <w:rPr>
          <w:rFonts w:hint="cs"/>
          <w:rtl/>
          <w:lang w:bidi="fa-IR"/>
        </w:rPr>
        <w:t xml:space="preserve"> </w:t>
      </w:r>
      <w:r w:rsidRPr="00132E65">
        <w:rPr>
          <w:rtl/>
          <w:lang w:bidi="fa-IR"/>
        </w:rPr>
        <w:t xml:space="preserve">حَمْلٌ </w:t>
      </w:r>
      <w:r>
        <w:rPr>
          <w:rStyle w:val="libFootnotenumChar"/>
          <w:rtl/>
        </w:rPr>
        <w:t>(2)</w:t>
      </w:r>
      <w:r w:rsidRPr="00132E65">
        <w:rPr>
          <w:rtl/>
          <w:lang w:bidi="fa-IR"/>
        </w:rPr>
        <w:t xml:space="preserve"> ؛ ومِنْهُمْ مَنْ يَقُولُ : مَاتَ أَبُوهُ ولَمْ يُخَلِّفْ ؛ ومِنْهُمْ مَنْ يَقُولُ : ولِدَ قَبْلَ مَوْتِ أَبِيهِ بِسَنَتَيْنِ »</w:t>
      </w:r>
      <w:r>
        <w:rPr>
          <w:rtl/>
          <w:lang w:bidi="fa-IR"/>
        </w:rPr>
        <w:t>.</w:t>
      </w:r>
    </w:p>
    <w:p w:rsidR="000C39D1" w:rsidRPr="00132E65" w:rsidRDefault="000C39D1" w:rsidP="000C39D1">
      <w:pPr>
        <w:pStyle w:val="libNormal"/>
        <w:rPr>
          <w:rtl/>
          <w:lang w:bidi="fa-IR"/>
        </w:rPr>
      </w:pPr>
      <w:r w:rsidRPr="00132E65">
        <w:rPr>
          <w:rtl/>
          <w:lang w:bidi="fa-IR"/>
        </w:rPr>
        <w:t xml:space="preserve">قَالَ زُرَارَةُ : فَقُلْتُ </w:t>
      </w:r>
      <w:r>
        <w:rPr>
          <w:rStyle w:val="libFootnotenumChar"/>
          <w:rtl/>
        </w:rPr>
        <w:t>(3)</w:t>
      </w:r>
      <w:r w:rsidRPr="00132E65">
        <w:rPr>
          <w:rtl/>
          <w:lang w:bidi="fa-IR"/>
        </w:rPr>
        <w:t xml:space="preserve"> : ومَا </w:t>
      </w:r>
      <w:r>
        <w:rPr>
          <w:rStyle w:val="libFootnotenumChar"/>
          <w:rtl/>
        </w:rPr>
        <w:t>(4)</w:t>
      </w:r>
      <w:r w:rsidRPr="00132E65">
        <w:rPr>
          <w:rtl/>
          <w:lang w:bidi="fa-IR"/>
        </w:rPr>
        <w:t xml:space="preserve"> تَأْمُرُنِي لَوْ أَدْرَكْتُ ذلِكَ الزَّمَانَ</w:t>
      </w:r>
      <w:r>
        <w:rPr>
          <w:rtl/>
          <w:lang w:bidi="fa-IR"/>
        </w:rPr>
        <w:t>؟</w:t>
      </w:r>
    </w:p>
    <w:p w:rsidR="000C39D1" w:rsidRPr="00132E65" w:rsidRDefault="000C39D1" w:rsidP="000C39D1">
      <w:pPr>
        <w:pStyle w:val="libNormal"/>
        <w:rPr>
          <w:rtl/>
          <w:lang w:bidi="fa-IR"/>
        </w:rPr>
      </w:pPr>
      <w:r w:rsidRPr="00132E65">
        <w:rPr>
          <w:rtl/>
          <w:lang w:bidi="fa-IR"/>
        </w:rPr>
        <w:t xml:space="preserve">قَالَ : « ادْعُ اللهَ بِهذَا الدُّعَاءِ : اللهُمَّ عَرِّفْنِي نَفْسَكَ ؛ فَإِنَّكَ إِنْ لَمْ تُعَرِّفْنِي نَفْسَكَ ، لَمْ أَعْرِفْكَ </w:t>
      </w:r>
      <w:r>
        <w:rPr>
          <w:rStyle w:val="libFootnotenumChar"/>
          <w:rtl/>
        </w:rPr>
        <w:t>(5)</w:t>
      </w:r>
      <w:r w:rsidRPr="00132E65">
        <w:rPr>
          <w:rtl/>
          <w:lang w:bidi="fa-IR"/>
        </w:rPr>
        <w:t xml:space="preserve"> ؛ اللهُمَّ عَرِّفْنِي نَبِيَّكَ ؛ فَإِنَّكَ إِنْ لَمْ تُعَرِّفْنِي نَبِيَّكَ ، لَمْ أَعْرِفْهُ </w:t>
      </w:r>
      <w:r>
        <w:rPr>
          <w:rStyle w:val="libFootnotenumChar"/>
          <w:rtl/>
        </w:rPr>
        <w:t>(6)</w:t>
      </w:r>
      <w:r w:rsidRPr="00132E65">
        <w:rPr>
          <w:rtl/>
          <w:lang w:bidi="fa-IR"/>
        </w:rPr>
        <w:t xml:space="preserve"> قَطُّ ؛ اللهُمَّ عَرِّفْنِي حُجَّتَكَ ؛ فَإِنَّكَ إِنْ لَمْ تُعَرِّفْنِي حُجَّتَكَ ، ضَلَلْتُ عَنْ دِينِي »</w:t>
      </w:r>
      <w:r>
        <w:rPr>
          <w:rtl/>
          <w:lang w:bidi="fa-IR"/>
        </w:rPr>
        <w:t>.</w:t>
      </w:r>
    </w:p>
    <w:p w:rsidR="000C39D1" w:rsidRPr="00132E65" w:rsidRDefault="000C39D1" w:rsidP="000C39D1">
      <w:pPr>
        <w:pStyle w:val="libNormal"/>
        <w:rPr>
          <w:rtl/>
          <w:lang w:bidi="fa-IR"/>
        </w:rPr>
      </w:pPr>
      <w:r w:rsidRPr="00132E65">
        <w:rPr>
          <w:rtl/>
          <w:lang w:bidi="fa-IR"/>
        </w:rPr>
        <w:t xml:space="preserve">قَالَ أَحْمَدُ بْنُ هِلَالٍ </w:t>
      </w:r>
      <w:r>
        <w:rPr>
          <w:rStyle w:val="libFootnotenumChar"/>
          <w:rtl/>
        </w:rPr>
        <w:t>(7)</w:t>
      </w:r>
      <w:r w:rsidRPr="00132E65">
        <w:rPr>
          <w:rtl/>
          <w:lang w:bidi="fa-IR"/>
        </w:rPr>
        <w:t xml:space="preserve"> : سَمِعْتُ هذَا الْحَدِيثَ مُنْذُ سِتٍّ وخَمْسِينَ سَنَةً.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806567">
        <w:rPr>
          <w:rtl/>
        </w:rPr>
        <w:t>920</w:t>
      </w:r>
      <w:r w:rsidRPr="004325D8">
        <w:rPr>
          <w:rStyle w:val="libBold2Char"/>
          <w:rtl/>
        </w:rPr>
        <w:t xml:space="preserve"> / 30.</w:t>
      </w:r>
      <w:r w:rsidRPr="00132E65">
        <w:rPr>
          <w:rtl/>
          <w:lang w:bidi="fa-IR"/>
        </w:rPr>
        <w:t xml:space="preserve"> أَبُو عَلِيٍّ الْأَشْعَرِيُّ ، عَنْ مُحَمَّدِ بْنِ حَسَّانَ ، عَنْ مُحَمَّدِ بْنِ عَلِيٍّ </w:t>
      </w:r>
      <w:r>
        <w:rPr>
          <w:rStyle w:val="libFootnotenumChar"/>
          <w:rtl/>
        </w:rPr>
        <w:t>(9)</w:t>
      </w:r>
      <w:r w:rsidRPr="00132E65">
        <w:rPr>
          <w:rtl/>
          <w:lang w:bidi="fa-IR"/>
        </w:rPr>
        <w:t xml:space="preserve">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منهم »</w:t>
      </w:r>
      <w:r>
        <w:rPr>
          <w:rtl/>
        </w:rPr>
        <w:t>.</w:t>
      </w:r>
    </w:p>
    <w:p w:rsidR="000C39D1" w:rsidRPr="00132E65" w:rsidRDefault="000C39D1" w:rsidP="000C39D1">
      <w:pPr>
        <w:pStyle w:val="libFootnote0"/>
        <w:rPr>
          <w:rtl/>
          <w:lang w:bidi="fa-IR"/>
        </w:rPr>
      </w:pPr>
      <w:r>
        <w:rPr>
          <w:rtl/>
        </w:rPr>
        <w:t>(2).</w:t>
      </w:r>
      <w:r w:rsidRPr="00132E65">
        <w:rPr>
          <w:rtl/>
        </w:rPr>
        <w:t xml:space="preserve"> في « بح ، بر » : « خمل »</w:t>
      </w:r>
      <w:r>
        <w:rPr>
          <w:rtl/>
        </w:rPr>
        <w:t>.</w:t>
      </w:r>
    </w:p>
    <w:p w:rsidR="000C39D1" w:rsidRPr="00132E65" w:rsidRDefault="000C39D1" w:rsidP="000C39D1">
      <w:pPr>
        <w:pStyle w:val="libFootnote0"/>
        <w:rPr>
          <w:rtl/>
          <w:lang w:bidi="fa-IR"/>
        </w:rPr>
      </w:pPr>
      <w:r>
        <w:rPr>
          <w:rtl/>
        </w:rPr>
        <w:t>(3).</w:t>
      </w:r>
      <w:r w:rsidRPr="00132E65">
        <w:rPr>
          <w:rtl/>
        </w:rPr>
        <w:t xml:space="preserve"> في حاشية « ض » : « قلت »</w:t>
      </w:r>
      <w:r>
        <w:rPr>
          <w:rtl/>
        </w:rPr>
        <w:t>.</w:t>
      </w:r>
    </w:p>
    <w:p w:rsidR="000C39D1" w:rsidRPr="00132E65" w:rsidRDefault="000C39D1" w:rsidP="000C39D1">
      <w:pPr>
        <w:pStyle w:val="libFootnote0"/>
        <w:rPr>
          <w:rtl/>
          <w:lang w:bidi="fa-IR"/>
        </w:rPr>
      </w:pPr>
      <w:r>
        <w:rPr>
          <w:rtl/>
        </w:rPr>
        <w:t>(4).</w:t>
      </w:r>
      <w:r w:rsidRPr="00132E65">
        <w:rPr>
          <w:rtl/>
        </w:rPr>
        <w:t xml:space="preserve"> في « بر » : « فما »</w:t>
      </w:r>
      <w:r>
        <w:rPr>
          <w:rtl/>
        </w:rPr>
        <w:t>.</w:t>
      </w:r>
    </w:p>
    <w:p w:rsidR="000C39D1" w:rsidRPr="00132E65" w:rsidRDefault="000C39D1" w:rsidP="000C39D1">
      <w:pPr>
        <w:pStyle w:val="libFootnote0"/>
        <w:rPr>
          <w:rtl/>
          <w:lang w:bidi="fa-IR"/>
        </w:rPr>
      </w:pPr>
      <w:r>
        <w:rPr>
          <w:rtl/>
        </w:rPr>
        <w:t>(5).</w:t>
      </w:r>
      <w:r w:rsidRPr="00132E65">
        <w:rPr>
          <w:rtl/>
        </w:rPr>
        <w:t xml:space="preserve"> في « بح » : « فلم أعرفك »</w:t>
      </w:r>
      <w:r>
        <w:rPr>
          <w:rtl/>
        </w:rPr>
        <w:t>.</w:t>
      </w:r>
      <w:r w:rsidRPr="00132E65">
        <w:rPr>
          <w:rtl/>
        </w:rPr>
        <w:t xml:space="preserve"> وفي حاشية « ج » :</w:t>
      </w:r>
      <w:r>
        <w:rPr>
          <w:rtl/>
        </w:rPr>
        <w:t xml:space="preserve"> + </w:t>
      </w:r>
      <w:r w:rsidRPr="00132E65">
        <w:rPr>
          <w:rtl/>
        </w:rPr>
        <w:t>« قطّ »</w:t>
      </w:r>
      <w:r>
        <w:rPr>
          <w:rtl/>
        </w:rPr>
        <w:t>.</w:t>
      </w:r>
    </w:p>
    <w:p w:rsidR="000C39D1" w:rsidRPr="00132E65" w:rsidRDefault="000C39D1" w:rsidP="000C39D1">
      <w:pPr>
        <w:pStyle w:val="libFootnote0"/>
        <w:rPr>
          <w:rtl/>
          <w:lang w:bidi="fa-IR"/>
        </w:rPr>
      </w:pPr>
      <w:r>
        <w:rPr>
          <w:rtl/>
        </w:rPr>
        <w:t>(6).</w:t>
      </w:r>
      <w:r w:rsidRPr="00132E65">
        <w:rPr>
          <w:rtl/>
        </w:rPr>
        <w:t xml:space="preserve"> في « ف » : « لم أعرف حجّتك »</w:t>
      </w:r>
      <w:r>
        <w:rPr>
          <w:rtl/>
        </w:rPr>
        <w:t>.</w:t>
      </w:r>
    </w:p>
    <w:p w:rsidR="000C39D1" w:rsidRPr="00132E65" w:rsidRDefault="000C39D1" w:rsidP="000C39D1">
      <w:pPr>
        <w:pStyle w:val="libFootnote0"/>
        <w:rPr>
          <w:rtl/>
          <w:lang w:bidi="fa-IR"/>
        </w:rPr>
      </w:pPr>
      <w:r>
        <w:rPr>
          <w:rtl/>
        </w:rPr>
        <w:t>(7).</w:t>
      </w:r>
      <w:r w:rsidRPr="00132E65">
        <w:rPr>
          <w:rtl/>
        </w:rPr>
        <w:t xml:space="preserve"> هكذا في « ألف ، ب ، ج ، ض ، ف ، و، بر ، بس »</w:t>
      </w:r>
      <w:r>
        <w:rPr>
          <w:rtl/>
        </w:rPr>
        <w:t>.</w:t>
      </w:r>
      <w:r w:rsidRPr="00132E65">
        <w:rPr>
          <w:rtl/>
        </w:rPr>
        <w:t xml:space="preserve"> وفي « بح ، بف » والمطبوع : « الهلال »</w:t>
      </w:r>
      <w:r>
        <w:rPr>
          <w:rtl/>
        </w:rPr>
        <w:t>.</w:t>
      </w:r>
    </w:p>
    <w:p w:rsidR="000C39D1" w:rsidRPr="00132E65" w:rsidRDefault="000C39D1" w:rsidP="000C39D1">
      <w:pPr>
        <w:pStyle w:val="libFootnote0"/>
        <w:rPr>
          <w:rtl/>
          <w:lang w:bidi="fa-IR"/>
        </w:rPr>
      </w:pPr>
      <w:r>
        <w:rPr>
          <w:rtl/>
        </w:rPr>
        <w:t>(8).</w:t>
      </w:r>
      <w:r w:rsidRPr="00132E65">
        <w:rPr>
          <w:rtl/>
        </w:rPr>
        <w:t xml:space="preserve"> </w:t>
      </w:r>
      <w:r w:rsidRPr="004640D9">
        <w:rPr>
          <w:rStyle w:val="libFootnoteBoldChar"/>
          <w:rtl/>
        </w:rPr>
        <w:t>الغيبة للنعماني</w:t>
      </w:r>
      <w:r w:rsidRPr="00132E65">
        <w:rPr>
          <w:rtl/>
        </w:rPr>
        <w:t xml:space="preserve"> ، ص 166 ، ح 6 ، عن الكليني ، وأيضاً بسند آخر عن زرارة ؛ </w:t>
      </w:r>
      <w:r w:rsidRPr="000577A7">
        <w:rPr>
          <w:rStyle w:val="libFootnoteBoldChar"/>
          <w:rtl/>
        </w:rPr>
        <w:t>الكافي</w:t>
      </w:r>
      <w:r w:rsidRPr="00132E65">
        <w:rPr>
          <w:rtl/>
        </w:rPr>
        <w:t xml:space="preserve"> ، كتاب الحجّة ، باب في الغيبة ، ح 895 ، بسنده عن زرارة ، وفيهما مع اختلاف يسير. وفي </w:t>
      </w:r>
      <w:r w:rsidRPr="004640D9">
        <w:rPr>
          <w:rStyle w:val="libFootnoteBoldChar"/>
          <w:rtl/>
        </w:rPr>
        <w:t>كمال الدين</w:t>
      </w:r>
      <w:r w:rsidRPr="00132E65">
        <w:rPr>
          <w:rtl/>
        </w:rPr>
        <w:t xml:space="preserve"> ، ص 342 ، ح 24 ؛ وص 346 ، ح 32 ؛ </w:t>
      </w:r>
      <w:r w:rsidRPr="004640D9">
        <w:rPr>
          <w:rStyle w:val="libFootnoteBoldChar"/>
          <w:rtl/>
        </w:rPr>
        <w:t>والغيبة للطوسي</w:t>
      </w:r>
      <w:r w:rsidRPr="00132E65">
        <w:rPr>
          <w:rtl/>
        </w:rPr>
        <w:t xml:space="preserve"> ، ص 333 ، ح 279 ، بسند آخر عن عثمان بن عيسى ، مع اختلاف يسير. راجع : </w:t>
      </w:r>
      <w:r w:rsidRPr="004640D9">
        <w:rPr>
          <w:rStyle w:val="libFootnoteBoldChar"/>
          <w:rtl/>
        </w:rPr>
        <w:t>كمال الدين</w:t>
      </w:r>
      <w:r w:rsidRPr="00132E65">
        <w:rPr>
          <w:rtl/>
        </w:rPr>
        <w:t xml:space="preserve"> ، ص 512 ، ح 43 </w:t>
      </w:r>
      <w:r w:rsidRPr="009D1ACE">
        <w:rPr>
          <w:rStyle w:val="libFootnoteBoldChar"/>
          <w:rtl/>
        </w:rPr>
        <w:t>الوافي</w:t>
      </w:r>
      <w:r w:rsidRPr="00132E65">
        <w:rPr>
          <w:rtl/>
        </w:rPr>
        <w:t xml:space="preserve"> ، ج 2 ، ص 407 ، ح 910.</w:t>
      </w:r>
    </w:p>
    <w:p w:rsidR="000C39D1" w:rsidRPr="00132E65" w:rsidRDefault="000C39D1" w:rsidP="000C39D1">
      <w:pPr>
        <w:pStyle w:val="libFootnote0"/>
        <w:rPr>
          <w:rtl/>
          <w:lang w:bidi="fa-IR"/>
        </w:rPr>
      </w:pPr>
      <w:r>
        <w:rPr>
          <w:rtl/>
        </w:rPr>
        <w:t>(9).</w:t>
      </w:r>
      <w:r w:rsidRPr="00132E65">
        <w:rPr>
          <w:rtl/>
        </w:rPr>
        <w:t xml:space="preserve"> لم نجد مع الفحص الأكيد رواية محمّد بن عليّ</w:t>
      </w:r>
      <w:r>
        <w:rPr>
          <w:rtl/>
        </w:rPr>
        <w:t xml:space="preserve"> - </w:t>
      </w:r>
      <w:r w:rsidRPr="00132E65">
        <w:rPr>
          <w:rtl/>
        </w:rPr>
        <w:t>وهو أبو سمينة الكوفي</w:t>
      </w:r>
      <w:r>
        <w:rPr>
          <w:rtl/>
        </w:rPr>
        <w:t xml:space="preserve"> - </w:t>
      </w:r>
      <w:r w:rsidRPr="00132E65">
        <w:rPr>
          <w:rtl/>
        </w:rPr>
        <w:t xml:space="preserve">عن عبد الله بن القاسم مباشرة ، في‌غير هذا المورد ونقل النعماني في </w:t>
      </w:r>
      <w:r w:rsidRPr="00806567">
        <w:rPr>
          <w:rtl/>
        </w:rPr>
        <w:t>الغيبة</w:t>
      </w:r>
      <w:r w:rsidRPr="00132E65">
        <w:rPr>
          <w:rtl/>
        </w:rPr>
        <w:t xml:space="preserve"> ، ص 187 ، ح 40 الخبر عن الكليني بعين سند </w:t>
      </w:r>
      <w:r w:rsidRPr="000577A7">
        <w:rPr>
          <w:rStyle w:val="libFootnoteBoldChar"/>
          <w:rtl/>
        </w:rPr>
        <w:t>الكافي</w:t>
      </w:r>
      <w:r w:rsidRPr="00132E65">
        <w:rPr>
          <w:rtl/>
        </w:rPr>
        <w:t xml:space="preserve"> ، والواسطة بينهما في الأكثر هو موسى بن سعدان [ الحنّاط ] ، كما في </w:t>
      </w:r>
      <w:r w:rsidRPr="000577A7">
        <w:rPr>
          <w:rStyle w:val="libFootnoteBoldChar"/>
          <w:rtl/>
        </w:rPr>
        <w:t>الكافي</w:t>
      </w:r>
      <w:r w:rsidRPr="00132E65">
        <w:rPr>
          <w:rtl/>
        </w:rPr>
        <w:t xml:space="preserve"> ، ح 5744 </w:t>
      </w:r>
      <w:r>
        <w:rPr>
          <w:rtl/>
        </w:rPr>
        <w:t>و 9</w:t>
      </w:r>
      <w:r w:rsidRPr="00132E65">
        <w:rPr>
          <w:rtl/>
        </w:rPr>
        <w:t xml:space="preserve">340 </w:t>
      </w:r>
      <w:r>
        <w:rPr>
          <w:rtl/>
        </w:rPr>
        <w:t>و 1</w:t>
      </w:r>
      <w:r w:rsidRPr="00132E65">
        <w:rPr>
          <w:rtl/>
        </w:rPr>
        <w:t xml:space="preserve">4713 ؛ </w:t>
      </w:r>
      <w:r w:rsidRPr="004640D9">
        <w:rPr>
          <w:rStyle w:val="libFootnoteBoldChar"/>
          <w:rtl/>
        </w:rPr>
        <w:t>والمحاسن</w:t>
      </w:r>
      <w:r w:rsidRPr="00132E65">
        <w:rPr>
          <w:rtl/>
        </w:rPr>
        <w:t xml:space="preserve"> ، ص 87 ، ح 28 ؛ </w:t>
      </w:r>
      <w:r w:rsidRPr="003B4E1C">
        <w:rPr>
          <w:rStyle w:val="libFootnoteBoldChar"/>
          <w:rtl/>
        </w:rPr>
        <w:t>والخصال</w:t>
      </w:r>
      <w:r w:rsidRPr="00132E65">
        <w:rPr>
          <w:rtl/>
        </w:rPr>
        <w:t xml:space="preserve"> ، ص 264 ، ح 146 ؛ </w:t>
      </w:r>
      <w:r w:rsidRPr="003B4E1C">
        <w:rPr>
          <w:rStyle w:val="libFootnoteBoldChar"/>
          <w:rtl/>
        </w:rPr>
        <w:t>ومعاني الأخبار</w:t>
      </w:r>
      <w:r w:rsidRPr="00132E65">
        <w:rPr>
          <w:rtl/>
        </w:rPr>
        <w:t xml:space="preserve"> ، ص 143 ، ح 1 ، ص 166 ، ح 1 ؛ </w:t>
      </w:r>
      <w:r w:rsidRPr="003B4E1C">
        <w:rPr>
          <w:rStyle w:val="libFootnoteBoldChar"/>
          <w:rtl/>
        </w:rPr>
        <w:t>وثواب</w:t>
      </w:r>
      <w:r w:rsidRPr="00806567">
        <w:rPr>
          <w:rtl/>
        </w:rPr>
        <w:t xml:space="preserve"> الأعمال</w:t>
      </w:r>
      <w:r w:rsidRPr="00132E65">
        <w:rPr>
          <w:rtl/>
        </w:rPr>
        <w:t xml:space="preserve"> ، ص 280 ، ح 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عَبْدِ اللهِ بْنِ الْقَاسِمِ ، عَنِ الْمُفَضَّلِ بْنِ عُمَرَ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فَإِذا نُقِرَ فِي الن</w:t>
      </w:r>
      <w:r>
        <w:rPr>
          <w:rStyle w:val="libAieChar"/>
          <w:rFonts w:hint="cs"/>
          <w:rtl/>
        </w:rPr>
        <w:t>َ</w:t>
      </w:r>
      <w:r w:rsidRPr="00071CF9">
        <w:rPr>
          <w:rStyle w:val="libAieChar"/>
          <w:rtl/>
        </w:rPr>
        <w:t xml:space="preserve">ّاقُورِ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إِنَّ مِنَّا إِمَاماً مُظَفَّراً </w:t>
      </w:r>
      <w:r>
        <w:rPr>
          <w:rStyle w:val="libFootnotenumChar"/>
          <w:rtl/>
        </w:rPr>
        <w:t>(2)</w:t>
      </w:r>
      <w:r w:rsidRPr="00132E65">
        <w:rPr>
          <w:rtl/>
          <w:lang w:bidi="fa-IR"/>
        </w:rPr>
        <w:t xml:space="preserve"> مُسْتَتِراً ، فَإِذَا أَرَادَ اللهُ</w:t>
      </w:r>
      <w:r>
        <w:rPr>
          <w:rtl/>
          <w:lang w:bidi="fa-IR"/>
        </w:rPr>
        <w:t xml:space="preserve"> - </w:t>
      </w:r>
      <w:r w:rsidRPr="00132E65">
        <w:rPr>
          <w:rtl/>
          <w:lang w:bidi="fa-IR"/>
        </w:rPr>
        <w:t>عَزَّ ذِكْرُهُ</w:t>
      </w:r>
      <w:r>
        <w:rPr>
          <w:rtl/>
          <w:lang w:bidi="fa-IR"/>
        </w:rPr>
        <w:t xml:space="preserve"> - </w:t>
      </w:r>
      <w:r w:rsidRPr="00132E65">
        <w:rPr>
          <w:rtl/>
          <w:lang w:bidi="fa-IR"/>
        </w:rPr>
        <w:t xml:space="preserve">إِظْهَارَ أَمْرِهِ ، نَكَتَ </w:t>
      </w:r>
      <w:r>
        <w:rPr>
          <w:rStyle w:val="libFootnotenumChar"/>
          <w:rtl/>
        </w:rPr>
        <w:t>(3)</w:t>
      </w:r>
      <w:r w:rsidRPr="00132E65">
        <w:rPr>
          <w:rtl/>
          <w:lang w:bidi="fa-IR"/>
        </w:rPr>
        <w:t xml:space="preserve"> فِي قَلْبِهِ نُكْتَةً ، فَظَهَرَ ، فَقَامَ بِأَمْرِ اللهِ تَبَارَكَ وتَعَالى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806567">
        <w:rPr>
          <w:rtl/>
        </w:rPr>
        <w:t>921</w:t>
      </w:r>
      <w:r w:rsidRPr="004325D8">
        <w:rPr>
          <w:rStyle w:val="libBold2Char"/>
          <w:rtl/>
        </w:rPr>
        <w:t xml:space="preserve"> / 31.</w:t>
      </w:r>
      <w:r w:rsidRPr="00132E65">
        <w:rPr>
          <w:rtl/>
          <w:lang w:bidi="fa-IR"/>
        </w:rPr>
        <w:t xml:space="preserve"> مُحَمَّدُ بْنُ يَحْيى ، عَنْ جَعْفَرِ بْنِ مُحَمَّدٍ ، عَنْ أَحْمَدَ بْنِ الْحُسَيْنِ ، عَنْ مُحَمَّدِ بْنِ عَبْدِ اللهِ ، عَنْ مُحَمَّدِ بْنِ الْفَرَجِ ، قَالَ :</w:t>
      </w:r>
    </w:p>
    <w:p w:rsidR="000C39D1" w:rsidRPr="00132E65" w:rsidRDefault="000C39D1" w:rsidP="000C39D1">
      <w:pPr>
        <w:pStyle w:val="libNormal"/>
        <w:rPr>
          <w:rtl/>
          <w:lang w:bidi="fa-IR"/>
        </w:rPr>
      </w:pPr>
      <w:r w:rsidRPr="00132E65">
        <w:rPr>
          <w:rtl/>
          <w:lang w:bidi="fa-IR"/>
        </w:rPr>
        <w:t xml:space="preserve">كَتَبَ إِلَيَّ أَبُو جَعْفَرٍ </w:t>
      </w:r>
      <w:r w:rsidRPr="00071CF9">
        <w:rPr>
          <w:rStyle w:val="libAlaemChar"/>
          <w:rtl/>
        </w:rPr>
        <w:t>عليه‌السلام</w:t>
      </w:r>
      <w:r w:rsidRPr="00132E65">
        <w:rPr>
          <w:rtl/>
          <w:lang w:bidi="fa-IR"/>
        </w:rPr>
        <w:t xml:space="preserve"> : « إِذَا غَضِبَ اللهُ</w:t>
      </w:r>
      <w:r>
        <w:rPr>
          <w:rtl/>
          <w:lang w:bidi="fa-IR"/>
        </w:rPr>
        <w:t xml:space="preserve"> - </w:t>
      </w:r>
      <w:r w:rsidRPr="00132E65">
        <w:rPr>
          <w:rtl/>
          <w:lang w:bidi="fa-IR"/>
        </w:rPr>
        <w:t>تَبَارَكَ وتَعَالى</w:t>
      </w:r>
      <w:r>
        <w:rPr>
          <w:rtl/>
          <w:lang w:bidi="fa-IR"/>
        </w:rPr>
        <w:t xml:space="preserve"> - </w:t>
      </w:r>
      <w:r w:rsidRPr="00132E65">
        <w:rPr>
          <w:rtl/>
          <w:lang w:bidi="fa-IR"/>
        </w:rPr>
        <w:t>عَلى خَلْقِهِ ، نَحَّانَا عَنْ جِوَارِهِمْ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sidRPr="00E55206">
        <w:rPr>
          <w:rFonts w:hint="cs"/>
          <w:rtl/>
        </w:rPr>
        <w:t>=</w:t>
      </w:r>
      <w:r w:rsidRPr="00E55206">
        <w:rPr>
          <w:rtl/>
        </w:rPr>
        <w:t xml:space="preserve">وفي بعض الأسناد توسّط بينهما أبو عبد الله الخيّاط ( الحنّاط خ ل ) ، كما في </w:t>
      </w:r>
      <w:r w:rsidRPr="003B4E1C">
        <w:rPr>
          <w:rStyle w:val="libFootnoteBoldChar"/>
          <w:rtl/>
        </w:rPr>
        <w:t>الأمالي</w:t>
      </w:r>
      <w:r w:rsidRPr="00E55206">
        <w:rPr>
          <w:rtl/>
        </w:rPr>
        <w:t xml:space="preserve"> الصدوق ، ص 413 ، المجلس السابع والسبعون ، ح 6 ؛ </w:t>
      </w:r>
      <w:r w:rsidRPr="003B4E1C">
        <w:rPr>
          <w:rStyle w:val="libFootnoteBoldChar"/>
          <w:rtl/>
        </w:rPr>
        <w:t>وقصص الأنبياء</w:t>
      </w:r>
      <w:r w:rsidRPr="00E55206">
        <w:rPr>
          <w:rtl/>
        </w:rPr>
        <w:t xml:space="preserve"> للراوندي ، ص 218 ، ح 286. ولا يبعد اتّحاد أبي عبد الله هذا مع موسى بن سعدان.</w:t>
      </w:r>
    </w:p>
    <w:p w:rsidR="000C39D1" w:rsidRPr="00302D71" w:rsidRDefault="000C39D1" w:rsidP="00E55206">
      <w:pPr>
        <w:pStyle w:val="libFootnote0"/>
        <w:rPr>
          <w:rtl/>
        </w:rPr>
      </w:pPr>
      <w:r w:rsidRPr="00F543F1">
        <w:rPr>
          <w:rtl/>
        </w:rPr>
        <w:t xml:space="preserve">ثمّ إنّ الخبر رواه الصدوق في </w:t>
      </w:r>
      <w:r w:rsidRPr="003B4E1C">
        <w:rPr>
          <w:rStyle w:val="libFootnoteBoldChar"/>
          <w:rtl/>
        </w:rPr>
        <w:t>كمال الدين</w:t>
      </w:r>
      <w:r w:rsidRPr="00F543F1">
        <w:rPr>
          <w:rtl/>
        </w:rPr>
        <w:t xml:space="preserve"> ، ص 349 ، ح 42 ؛ </w:t>
      </w:r>
      <w:r w:rsidRPr="003B4E1C">
        <w:rPr>
          <w:rStyle w:val="libFootnoteBoldChar"/>
          <w:rtl/>
        </w:rPr>
        <w:t>والشيخ الطوسي</w:t>
      </w:r>
      <w:r w:rsidRPr="00F543F1">
        <w:rPr>
          <w:rtl/>
        </w:rPr>
        <w:t xml:space="preserve"> </w:t>
      </w:r>
      <w:r w:rsidRPr="00302D71">
        <w:rPr>
          <w:rtl/>
        </w:rPr>
        <w:t xml:space="preserve">في </w:t>
      </w:r>
      <w:r w:rsidRPr="003B4E1C">
        <w:rPr>
          <w:rStyle w:val="libFootnoteBoldChar"/>
          <w:rtl/>
        </w:rPr>
        <w:t>الغيبة</w:t>
      </w:r>
      <w:r w:rsidRPr="00302D71">
        <w:rPr>
          <w:rtl/>
        </w:rPr>
        <w:t xml:space="preserve"> ، ص 164 ، ح 126 </w:t>
      </w:r>
      <w:r>
        <w:rPr>
          <w:rtl/>
        </w:rPr>
        <w:t>-</w:t>
      </w:r>
      <w:r w:rsidRPr="00302D71">
        <w:rPr>
          <w:rtl/>
        </w:rPr>
        <w:t xml:space="preserve"> مع زيادة في صدره </w:t>
      </w:r>
      <w:r>
        <w:rPr>
          <w:rtl/>
        </w:rPr>
        <w:t>-</w:t>
      </w:r>
      <w:r w:rsidRPr="00302D71">
        <w:rPr>
          <w:rtl/>
        </w:rPr>
        <w:t xml:space="preserve"> بسنديهما عن محمّد بن الحسين بن أبي الخطّاب ، عن موسى بن سعدان ، عن عبد الله بن القاسم ، فلا يبعد وقوع السقط في ما نحن فيه وما نقل النعماني من الكتاب.</w:t>
      </w:r>
    </w:p>
    <w:p w:rsidR="000C39D1" w:rsidRPr="00302D71" w:rsidRDefault="000C39D1" w:rsidP="00E55206">
      <w:pPr>
        <w:pStyle w:val="libFootnote0"/>
        <w:rPr>
          <w:rtl/>
        </w:rPr>
      </w:pPr>
      <w:r w:rsidRPr="00302D71">
        <w:rPr>
          <w:rtl/>
        </w:rPr>
        <w:t>نبّه على ذلك الا</w:t>
      </w:r>
      <w:r>
        <w:rPr>
          <w:rFonts w:hint="cs"/>
          <w:rtl/>
        </w:rPr>
        <w:t>ُ</w:t>
      </w:r>
      <w:r w:rsidRPr="00302D71">
        <w:rPr>
          <w:rtl/>
        </w:rPr>
        <w:t xml:space="preserve">ستاد السيّد محمّد جواد الشبيري </w:t>
      </w:r>
      <w:r>
        <w:rPr>
          <w:rtl/>
        </w:rPr>
        <w:t>-</w:t>
      </w:r>
      <w:r w:rsidRPr="00302D71">
        <w:rPr>
          <w:rtl/>
        </w:rPr>
        <w:t xml:space="preserve"> دام توفيقه </w:t>
      </w:r>
      <w:r>
        <w:rPr>
          <w:rtl/>
        </w:rPr>
        <w:t>-</w:t>
      </w:r>
      <w:r w:rsidRPr="00302D71">
        <w:rPr>
          <w:rtl/>
        </w:rPr>
        <w:t xml:space="preserve"> في تعليقته على السند.</w:t>
      </w:r>
    </w:p>
    <w:p w:rsidR="000C39D1" w:rsidRPr="00132E65" w:rsidRDefault="000C39D1" w:rsidP="000C39D1">
      <w:pPr>
        <w:pStyle w:val="libFootnote0"/>
        <w:rPr>
          <w:rtl/>
          <w:lang w:bidi="fa-IR"/>
        </w:rPr>
      </w:pPr>
      <w:r>
        <w:rPr>
          <w:rtl/>
        </w:rPr>
        <w:t>(1).</w:t>
      </w:r>
      <w:r w:rsidRPr="00132E65">
        <w:rPr>
          <w:rtl/>
        </w:rPr>
        <w:t xml:space="preserve"> المدّثّر (74) : 8.</w:t>
      </w:r>
    </w:p>
    <w:p w:rsidR="000C39D1" w:rsidRPr="00132E65" w:rsidRDefault="000C39D1" w:rsidP="000C39D1">
      <w:pPr>
        <w:pStyle w:val="libFootnote0"/>
        <w:rPr>
          <w:rtl/>
          <w:lang w:bidi="fa-IR"/>
        </w:rPr>
      </w:pPr>
      <w:r>
        <w:rPr>
          <w:rtl/>
        </w:rPr>
        <w:t>(2).</w:t>
      </w:r>
      <w:r w:rsidRPr="00132E65">
        <w:rPr>
          <w:rtl/>
        </w:rPr>
        <w:t xml:space="preserve"> في كمال الدين والغيبة للنعماني والطوسي </w:t>
      </w:r>
      <w:r>
        <w:rPr>
          <w:rtl/>
        </w:rPr>
        <w:t xml:space="preserve">: - </w:t>
      </w:r>
      <w:r w:rsidRPr="00132E65">
        <w:rPr>
          <w:rtl/>
        </w:rPr>
        <w:t>« مظفّراً »</w:t>
      </w:r>
      <w:r>
        <w:rPr>
          <w:rtl/>
        </w:rPr>
        <w:t>.</w:t>
      </w:r>
    </w:p>
    <w:p w:rsidR="000C39D1" w:rsidRPr="00132E65" w:rsidRDefault="000C39D1" w:rsidP="000C39D1">
      <w:pPr>
        <w:pStyle w:val="libFootnote0"/>
        <w:rPr>
          <w:rtl/>
          <w:lang w:bidi="fa-IR"/>
        </w:rPr>
      </w:pPr>
      <w:r>
        <w:rPr>
          <w:rtl/>
        </w:rPr>
        <w:t>(3).</w:t>
      </w:r>
      <w:r w:rsidRPr="00132E65">
        <w:rPr>
          <w:rtl/>
        </w:rPr>
        <w:t xml:space="preserve"> النكْتُ : هو أن تَنْكُتَ في الأرض بقضيب ، أي تضرب بقضيب فتؤثّر فيها. والنكتة : كالنقطة. ويقال للأثر القليل شبه الوَسَخ في المرآة ونحوها ، ونقطة سوداء في شي‌ء صاف. والمعنى : أثّر في قلبه أثراً. راجع : </w:t>
      </w:r>
      <w:r w:rsidRPr="009D1ACE">
        <w:rPr>
          <w:rStyle w:val="libFootnoteBoldChar"/>
          <w:rtl/>
        </w:rPr>
        <w:t>لسان العرب</w:t>
      </w:r>
      <w:r w:rsidRPr="00132E65">
        <w:rPr>
          <w:rtl/>
        </w:rPr>
        <w:t xml:space="preserve"> ، ج 2 ، ص 100</w:t>
      </w:r>
      <w:r>
        <w:rPr>
          <w:rtl/>
        </w:rPr>
        <w:t xml:space="preserve"> - </w:t>
      </w:r>
      <w:r w:rsidRPr="00132E65">
        <w:rPr>
          <w:rtl/>
        </w:rPr>
        <w:t>101 ( نكت )</w:t>
      </w:r>
      <w:r>
        <w:rPr>
          <w:rtl/>
        </w:rPr>
        <w:t>.</w:t>
      </w:r>
    </w:p>
    <w:p w:rsidR="000C39D1" w:rsidRPr="00132E65" w:rsidRDefault="000C39D1" w:rsidP="000C39D1">
      <w:pPr>
        <w:pStyle w:val="libFootnote0"/>
        <w:rPr>
          <w:rtl/>
          <w:lang w:bidi="fa-IR"/>
        </w:rPr>
      </w:pPr>
      <w:r>
        <w:rPr>
          <w:rtl/>
        </w:rPr>
        <w:t>(4).</w:t>
      </w:r>
      <w:r w:rsidRPr="00132E65">
        <w:rPr>
          <w:rtl/>
        </w:rPr>
        <w:t xml:space="preserve"> </w:t>
      </w:r>
      <w:r w:rsidRPr="003B4E1C">
        <w:rPr>
          <w:rStyle w:val="libFootnoteBoldChar"/>
          <w:rtl/>
        </w:rPr>
        <w:t>الغيبة للنعماني</w:t>
      </w:r>
      <w:r w:rsidRPr="00132E65">
        <w:rPr>
          <w:rtl/>
        </w:rPr>
        <w:t xml:space="preserve"> ، ص 187 ، ح 40 ، عن الكليني. وفي </w:t>
      </w:r>
      <w:r w:rsidRPr="003B4E1C">
        <w:rPr>
          <w:rStyle w:val="libFootnoteBoldChar"/>
          <w:rtl/>
        </w:rPr>
        <w:t>كمال الدين</w:t>
      </w:r>
      <w:r w:rsidRPr="00132E65">
        <w:rPr>
          <w:rtl/>
        </w:rPr>
        <w:t xml:space="preserve"> ، ص 349 ، ح 42 ؛ و</w:t>
      </w:r>
      <w:r w:rsidRPr="003B4E1C">
        <w:rPr>
          <w:rStyle w:val="libFootnoteBoldChar"/>
          <w:rtl/>
        </w:rPr>
        <w:t>الغيبة للطوسي</w:t>
      </w:r>
      <w:r w:rsidRPr="00132E65">
        <w:rPr>
          <w:rtl/>
        </w:rPr>
        <w:t xml:space="preserve"> ، ص 164 ، ح 126 ، بسندهما عن عبد الله بن القاسم ، عن المفضّل بن عمر ؛ </w:t>
      </w:r>
      <w:r w:rsidRPr="003B4E1C">
        <w:rPr>
          <w:rStyle w:val="libFootnoteBoldChar"/>
          <w:rtl/>
        </w:rPr>
        <w:t>رجال الكشّي</w:t>
      </w:r>
      <w:r w:rsidRPr="00132E65">
        <w:rPr>
          <w:rtl/>
        </w:rPr>
        <w:t xml:space="preserve"> ، ص 192 ، ح 338 ، بسنده عن عليّ بن حسّان ، عن المفضّل بن عمر الجعفي ، مع اختلاف يسير </w:t>
      </w:r>
      <w:r>
        <w:rPr>
          <w:rFonts w:hint="cs"/>
          <w:rtl/>
        </w:rPr>
        <w:t>.</w:t>
      </w:r>
      <w:r w:rsidRPr="009D1ACE">
        <w:rPr>
          <w:rStyle w:val="libFootnoteBoldChar"/>
          <w:rtl/>
        </w:rPr>
        <w:t>الوافي</w:t>
      </w:r>
      <w:r w:rsidRPr="00132E65">
        <w:rPr>
          <w:rtl/>
        </w:rPr>
        <w:t xml:space="preserve"> ، ج 2 ، ص 418 ، ح 930.</w:t>
      </w:r>
    </w:p>
    <w:p w:rsidR="000C39D1" w:rsidRPr="00132E65" w:rsidRDefault="000C39D1" w:rsidP="000C39D1">
      <w:pPr>
        <w:pStyle w:val="libFootnote0"/>
        <w:rPr>
          <w:rtl/>
          <w:lang w:bidi="fa-IR"/>
        </w:rPr>
      </w:pPr>
      <w:r>
        <w:rPr>
          <w:rtl/>
        </w:rPr>
        <w:t>(5).</w:t>
      </w:r>
      <w:r w:rsidRPr="00132E65">
        <w:rPr>
          <w:rtl/>
        </w:rPr>
        <w:t xml:space="preserve"> راجع : </w:t>
      </w:r>
      <w:r w:rsidRPr="000577A7">
        <w:rPr>
          <w:rStyle w:val="libFootnoteBoldChar"/>
          <w:rtl/>
        </w:rPr>
        <w:t>الكافي</w:t>
      </w:r>
      <w:r w:rsidRPr="00132E65">
        <w:rPr>
          <w:rtl/>
        </w:rPr>
        <w:t xml:space="preserve"> ، كتاب الحجّة ، باب نادر في حال الغيبة ، ح 888 ؛ و</w:t>
      </w:r>
      <w:r w:rsidRPr="00806567">
        <w:rPr>
          <w:rtl/>
        </w:rPr>
        <w:t>الغيبة</w:t>
      </w:r>
      <w:r w:rsidRPr="00132E65">
        <w:rPr>
          <w:rtl/>
        </w:rPr>
        <w:t xml:space="preserve"> للنعماني ، ص 161</w:t>
      </w:r>
      <w:r>
        <w:rPr>
          <w:rtl/>
        </w:rPr>
        <w:t xml:space="preserve"> - </w:t>
      </w:r>
      <w:r w:rsidRPr="00132E65">
        <w:rPr>
          <w:rtl/>
        </w:rPr>
        <w:t xml:space="preserve">162 ، ح 1 </w:t>
      </w:r>
      <w:r>
        <w:rPr>
          <w:rtl/>
        </w:rPr>
        <w:t>و 2</w:t>
      </w:r>
      <w:r w:rsidRPr="00132E65">
        <w:rPr>
          <w:rtl/>
        </w:rPr>
        <w:t xml:space="preserve"> ؛ </w:t>
      </w:r>
      <w:r w:rsidRPr="003B4E1C">
        <w:rPr>
          <w:rStyle w:val="libFootnoteBoldChar"/>
          <w:rtl/>
        </w:rPr>
        <w:t>والغيبة للطوسي</w:t>
      </w:r>
      <w:r w:rsidRPr="00132E65">
        <w:rPr>
          <w:rtl/>
        </w:rPr>
        <w:t xml:space="preserve"> ، ص 457 ، ح 468 ؛ </w:t>
      </w:r>
      <w:r w:rsidRPr="003B4E1C">
        <w:rPr>
          <w:rStyle w:val="libFootnoteBoldChar"/>
          <w:rtl/>
        </w:rPr>
        <w:t>وكمال الدين</w:t>
      </w:r>
      <w:r w:rsidRPr="00132E65">
        <w:rPr>
          <w:rtl/>
        </w:rPr>
        <w:t xml:space="preserve"> ، ص 337 ، ح 10 </w:t>
      </w:r>
      <w:r>
        <w:rPr>
          <w:rFonts w:hint="cs"/>
          <w:rtl/>
        </w:rPr>
        <w:t>.</w:t>
      </w:r>
      <w:r w:rsidRPr="009D1ACE">
        <w:rPr>
          <w:rStyle w:val="libFootnoteBoldChar"/>
          <w:rtl/>
        </w:rPr>
        <w:t>الوافي</w:t>
      </w:r>
      <w:r w:rsidRPr="00132E65">
        <w:rPr>
          <w:rtl/>
        </w:rPr>
        <w:t xml:space="preserve"> ، ج 2 ، ص 419 ، ح 933.</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43" w:name="_Toc459459109"/>
      <w:bookmarkStart w:id="44" w:name="_Toc34663078"/>
      <w:r w:rsidRPr="00132E65">
        <w:rPr>
          <w:rtl/>
          <w:lang w:bidi="fa-IR"/>
        </w:rPr>
        <w:t>81</w:t>
      </w:r>
      <w:r>
        <w:rPr>
          <w:rtl/>
          <w:lang w:bidi="fa-IR"/>
        </w:rPr>
        <w:t xml:space="preserve"> - </w:t>
      </w:r>
      <w:r w:rsidRPr="00132E65">
        <w:rPr>
          <w:rtl/>
          <w:lang w:bidi="fa-IR"/>
        </w:rPr>
        <w:t xml:space="preserve">بَابُ مَا يُفْصَلُ بِهِ بَيْنَ </w:t>
      </w:r>
      <w:r>
        <w:rPr>
          <w:rStyle w:val="libFootnotenumChar"/>
          <w:rtl/>
        </w:rPr>
        <w:t>(1)</w:t>
      </w:r>
      <w:r>
        <w:rPr>
          <w:rtl/>
          <w:lang w:bidi="fa-IR"/>
        </w:rPr>
        <w:t xml:space="preserve"> </w:t>
      </w:r>
      <w:r w:rsidRPr="00132E65">
        <w:rPr>
          <w:rtl/>
          <w:lang w:bidi="fa-IR"/>
        </w:rPr>
        <w:t xml:space="preserve">دَعْوَى </w:t>
      </w:r>
      <w:r>
        <w:rPr>
          <w:rStyle w:val="libFootnotenumChar"/>
          <w:rtl/>
        </w:rPr>
        <w:t>(2)</w:t>
      </w:r>
      <w:r>
        <w:rPr>
          <w:rtl/>
          <w:lang w:bidi="fa-IR"/>
        </w:rPr>
        <w:t xml:space="preserve"> </w:t>
      </w:r>
      <w:r w:rsidRPr="00132E65">
        <w:rPr>
          <w:rtl/>
          <w:lang w:bidi="fa-IR"/>
        </w:rPr>
        <w:t>الْمُحِقِّ والْمُبْطِلِ فِي أَمْرِ الْإِمَامَةِ‌</w:t>
      </w:r>
      <w:bookmarkEnd w:id="43"/>
      <w:bookmarkEnd w:id="44"/>
    </w:p>
    <w:p w:rsidR="000C39D1" w:rsidRDefault="000C39D1" w:rsidP="000C39D1">
      <w:pPr>
        <w:pStyle w:val="libNormal"/>
        <w:rPr>
          <w:rtl/>
          <w:lang w:bidi="fa-IR"/>
        </w:rPr>
      </w:pPr>
      <w:r w:rsidRPr="00806567">
        <w:rPr>
          <w:rtl/>
        </w:rPr>
        <w:t>922</w:t>
      </w:r>
      <w:r w:rsidRPr="004325D8">
        <w:rPr>
          <w:rStyle w:val="libBold2Char"/>
          <w:rtl/>
        </w:rPr>
        <w:t xml:space="preserve"> / 1.</w:t>
      </w:r>
      <w:r w:rsidRPr="00132E65">
        <w:rPr>
          <w:rtl/>
          <w:lang w:bidi="fa-IR"/>
        </w:rPr>
        <w:t xml:space="preserve"> عَلِيُّ بْنُ إِبْرَاهِيمَ بْنِ هَاشِمٍ ، عَنْ أَبِيهِ ، عَنِ ابْنِ مَحْبُوبٍ ، عَنْ سَلَامِ بْنِ عَبْدِ اللهِ ؛</w:t>
      </w:r>
      <w:r>
        <w:rPr>
          <w:rFonts w:hint="cs"/>
          <w:rtl/>
          <w:lang w:bidi="fa-IR"/>
        </w:rPr>
        <w:t xml:space="preserve"> </w:t>
      </w:r>
    </w:p>
    <w:p w:rsidR="000C39D1" w:rsidRDefault="000C39D1" w:rsidP="000C39D1">
      <w:pPr>
        <w:pStyle w:val="libCenter"/>
        <w:rPr>
          <w:rtl/>
          <w:lang w:bidi="fa-IR"/>
        </w:rPr>
      </w:pPr>
      <w:r w:rsidRPr="00132E65">
        <w:rPr>
          <w:rtl/>
          <w:lang w:bidi="fa-IR"/>
        </w:rPr>
        <w:t>وَمُحَمَّدُ بْنُ الْحَسَنِ وعَلِيُّ بْنُ مُحَمَّدٍ ، عَنْ سَهْلِ بْنِ زِيَادٍ ؛</w:t>
      </w:r>
    </w:p>
    <w:p w:rsidR="000C39D1" w:rsidRPr="00132E65" w:rsidRDefault="000C39D1" w:rsidP="000C39D1">
      <w:pPr>
        <w:pStyle w:val="libNormal"/>
        <w:rPr>
          <w:rtl/>
          <w:lang w:bidi="fa-IR"/>
        </w:rPr>
      </w:pPr>
      <w:r w:rsidRPr="00132E65">
        <w:rPr>
          <w:rtl/>
          <w:lang w:bidi="fa-IR"/>
        </w:rPr>
        <w:t xml:space="preserve">وَأَبُو عَلِيٍّ الْأَشْعَرِيُّ ، عَنْ مُحَمَّدِ بْنِ حَسَّانَ جَمِيعاً </w:t>
      </w:r>
      <w:r>
        <w:rPr>
          <w:rStyle w:val="libFootnotenumChar"/>
          <w:rtl/>
        </w:rPr>
        <w:t>(3)</w:t>
      </w:r>
      <w:r w:rsidRPr="00132E65">
        <w:rPr>
          <w:rtl/>
          <w:lang w:bidi="fa-IR"/>
        </w:rPr>
        <w:t xml:space="preserve"> ، عَنْ مُحَمَّدِ بْنِ عَلِيٍّ ، عَنْ عَلِيِّ بْنِ أَسْبَاطٍ ، عَنْ سَلَامِ بْنِ عَبْدِ اللهِ الْهَاشِمِيِّ</w:t>
      </w:r>
      <w:r>
        <w:rPr>
          <w:rtl/>
          <w:lang w:bidi="fa-IR"/>
        </w:rPr>
        <w:t xml:space="preserve"> - </w:t>
      </w:r>
      <w:r w:rsidRPr="00132E65">
        <w:rPr>
          <w:rtl/>
          <w:lang w:bidi="fa-IR"/>
        </w:rPr>
        <w:t xml:space="preserve">قَالَ مُحَمَّدُ بْنُ عَلِيٍّ : وقَدْ سَمِعْتُهُ </w:t>
      </w:r>
      <w:r>
        <w:rPr>
          <w:rStyle w:val="libFootnotenumChar"/>
          <w:rtl/>
        </w:rPr>
        <w:t>(4)</w:t>
      </w:r>
      <w:r w:rsidRPr="00132E65">
        <w:rPr>
          <w:rtl/>
          <w:lang w:bidi="fa-IR"/>
        </w:rPr>
        <w:t xml:space="preserve"> مِنْهُ </w:t>
      </w:r>
      <w:r>
        <w:rPr>
          <w:rStyle w:val="libFootnotenumChar"/>
          <w:rtl/>
        </w:rPr>
        <w:t>(5)</w:t>
      </w:r>
      <w:r w:rsidRPr="00132E65">
        <w:rPr>
          <w:rtl/>
          <w:lang w:bidi="fa-IR"/>
        </w:rPr>
        <w:t xml:space="preserve"> </w:t>
      </w:r>
      <w:r>
        <w:rPr>
          <w:rtl/>
          <w:lang w:bidi="fa-IR"/>
        </w:rPr>
        <w:t>-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بَعَثَ طَلْحَةُ والزُّبَيْرُ رَجُلاً مِنْ عَبْدِالْقَيْسِ</w:t>
      </w:r>
      <w:r>
        <w:rPr>
          <w:rtl/>
          <w:lang w:bidi="fa-IR"/>
        </w:rPr>
        <w:t xml:space="preserve"> - </w:t>
      </w:r>
      <w:r w:rsidRPr="00132E65">
        <w:rPr>
          <w:rtl/>
          <w:lang w:bidi="fa-IR"/>
        </w:rPr>
        <w:t>يُقَالُ لَهُ : خِدَاشٌ</w:t>
      </w:r>
      <w:r>
        <w:rPr>
          <w:rtl/>
          <w:lang w:bidi="fa-IR"/>
        </w:rPr>
        <w:t xml:space="preserve"> - </w:t>
      </w:r>
      <w:r w:rsidRPr="00132E65">
        <w:rPr>
          <w:rtl/>
          <w:lang w:bidi="fa-IR"/>
        </w:rPr>
        <w:t xml:space="preserve">إِلى أَمِيرِالْمُؤْمِنِينَ صَلَوَاتُ اللهِ عَلَيْهِ ، وقَالَا لَهُ : إِنَّا </w:t>
      </w:r>
      <w:r>
        <w:rPr>
          <w:rStyle w:val="libFootnotenumChar"/>
          <w:rtl/>
        </w:rPr>
        <w:t>(6)</w:t>
      </w:r>
      <w:r w:rsidRPr="00132E65">
        <w:rPr>
          <w:rtl/>
          <w:lang w:bidi="fa-IR"/>
        </w:rPr>
        <w:t xml:space="preserve"> نَبْعَثُكَ إِلى رَجُلٍ طَالَ مَا </w:t>
      </w:r>
      <w:r>
        <w:rPr>
          <w:rStyle w:val="libFootnotenumChar"/>
          <w:rtl/>
        </w:rPr>
        <w:t>(7)</w:t>
      </w:r>
      <w:r w:rsidRPr="00132E65">
        <w:rPr>
          <w:rtl/>
          <w:lang w:bidi="fa-IR"/>
        </w:rPr>
        <w:t xml:space="preserve"> كُنَّا نَعْرِفُهُ وأَهْلَ بَيْتِهِ بِالسِّحْرِ </w:t>
      </w:r>
      <w:r>
        <w:rPr>
          <w:rStyle w:val="libFootnotenumChar"/>
          <w:rtl/>
        </w:rPr>
        <w:t>(8)</w:t>
      </w:r>
      <w:r w:rsidRPr="00132E65">
        <w:rPr>
          <w:rtl/>
          <w:lang w:bidi="fa-IR"/>
        </w:rPr>
        <w:t xml:space="preserve"> والْكِهَانَةِ </w:t>
      </w:r>
      <w:r>
        <w:rPr>
          <w:rStyle w:val="libFootnotenumChar"/>
          <w:rtl/>
        </w:rPr>
        <w:t>(9)</w:t>
      </w:r>
      <w:r w:rsidRPr="00132E65">
        <w:rPr>
          <w:rtl/>
          <w:lang w:bidi="fa-IR"/>
        </w:rPr>
        <w:t xml:space="preserve"> ، وأَنْتَ أَوْثَقُ مَنْ بِحَضْرَتِنَا‌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بح ، بف » </w:t>
            </w:r>
            <w:r>
              <w:rPr>
                <w:rtl/>
              </w:rPr>
              <w:t xml:space="preserve">: - </w:t>
            </w:r>
            <w:r w:rsidRPr="00132E65">
              <w:rPr>
                <w:rtl/>
              </w:rPr>
              <w:t>« بين »</w:t>
            </w:r>
            <w:r>
              <w:rPr>
                <w:rtl/>
              </w:rPr>
              <w:t>.</w:t>
            </w:r>
          </w:p>
        </w:tc>
        <w:tc>
          <w:tcPr>
            <w:tcW w:w="4006" w:type="dxa"/>
          </w:tcPr>
          <w:p w:rsidR="000C39D1" w:rsidRDefault="000C39D1" w:rsidP="00B53873">
            <w:pPr>
              <w:pStyle w:val="libFootnote0"/>
              <w:rPr>
                <w:rtl/>
              </w:rPr>
            </w:pPr>
            <w:r>
              <w:rPr>
                <w:rtl/>
              </w:rPr>
              <w:t>(2).</w:t>
            </w:r>
            <w:r w:rsidRPr="00132E65">
              <w:rPr>
                <w:rtl/>
              </w:rPr>
              <w:t xml:space="preserve"> في « ب » : « دعوتي »</w:t>
            </w:r>
            <w:r>
              <w:rPr>
                <w:rtl/>
              </w:rPr>
              <w:t>.</w:t>
            </w:r>
          </w:p>
        </w:tc>
      </w:tr>
    </w:tbl>
    <w:p w:rsidR="000C39D1" w:rsidRPr="00132E65" w:rsidRDefault="000C39D1" w:rsidP="000C39D1">
      <w:pPr>
        <w:pStyle w:val="libFootnote0"/>
        <w:rPr>
          <w:rtl/>
          <w:lang w:bidi="fa-IR"/>
        </w:rPr>
      </w:pPr>
      <w:r>
        <w:rPr>
          <w:rtl/>
        </w:rPr>
        <w:t>(3).</w:t>
      </w:r>
      <w:r w:rsidRPr="00132E65">
        <w:rPr>
          <w:rtl/>
        </w:rPr>
        <w:t xml:space="preserve"> في السند تحويل. وللمصنّف إلى سلام بن عبد الله ثلاثة طرق :</w:t>
      </w:r>
      <w:r>
        <w:rPr>
          <w:rFonts w:hint="cs"/>
          <w:rtl/>
          <w:lang w:bidi="fa-IR"/>
        </w:rPr>
        <w:t xml:space="preserve"> </w:t>
      </w:r>
      <w:r w:rsidRPr="00E55206">
        <w:rPr>
          <w:rtl/>
        </w:rPr>
        <w:t>الأوّل : عليّ بن إبراهيم بن هاشم عن أبيه عن ابن محبوب. الثاني : محمّد بن الحسن ، وعليّ بن محمّد عن سهل بن زياد عن محمّد بن عليّ عن عليّ بن أسباط. وهذا الطريق ينحلّ إلى طريقين ، كما لا يخفى. الثالث : أبو عليّ الأشعري عن محمّد بن حسّان عن محمّد بن عليّ عن عليّ بن أسباط.</w:t>
      </w:r>
    </w:p>
    <w:p w:rsidR="000C39D1" w:rsidRPr="00132E65" w:rsidRDefault="000C39D1" w:rsidP="000C39D1">
      <w:pPr>
        <w:pStyle w:val="libFootnote0"/>
        <w:rPr>
          <w:rtl/>
          <w:lang w:bidi="fa-IR"/>
        </w:rPr>
      </w:pPr>
      <w:r>
        <w:rPr>
          <w:rtl/>
        </w:rPr>
        <w:t>(4).</w:t>
      </w:r>
      <w:r w:rsidRPr="00132E65">
        <w:rPr>
          <w:rtl/>
        </w:rPr>
        <w:t xml:space="preserve"> في حاشية « ض ، بح ، بر » : « سمعت »</w:t>
      </w:r>
      <w:r>
        <w:rPr>
          <w:rtl/>
        </w:rPr>
        <w:t>.</w:t>
      </w:r>
    </w:p>
    <w:p w:rsidR="000C39D1" w:rsidRPr="00132E65" w:rsidRDefault="000C39D1" w:rsidP="000C39D1">
      <w:pPr>
        <w:pStyle w:val="libFootnote0"/>
        <w:rPr>
          <w:rtl/>
          <w:lang w:bidi="fa-IR"/>
        </w:rPr>
      </w:pPr>
      <w:r>
        <w:rPr>
          <w:rtl/>
        </w:rPr>
        <w:t>(5).</w:t>
      </w:r>
      <w:r w:rsidRPr="00132E65">
        <w:rPr>
          <w:rtl/>
        </w:rPr>
        <w:t xml:space="preserve"> الضمير راجع إلى سلام بن عبد الله الهاشمي. والمراد أنّ محمّد بن عليّ كما روى الخبر عن سلام بن عبد الله بتوسّط عليّ بن أسباط ، سمع الخبر من سلام بن عبد الله نفسه أيضاً ، بلا واسطة. فعليه تصبح الطرق الأربعة ، سبعة طرق.</w:t>
      </w:r>
    </w:p>
    <w:p w:rsidR="000C39D1" w:rsidRPr="00132E65" w:rsidRDefault="000C39D1" w:rsidP="000C39D1">
      <w:pPr>
        <w:pStyle w:val="libFootnote0"/>
        <w:rPr>
          <w:rtl/>
          <w:lang w:bidi="fa-IR"/>
        </w:rPr>
      </w:pPr>
      <w:r>
        <w:rPr>
          <w:rtl/>
        </w:rPr>
        <w:t>(6).</w:t>
      </w:r>
      <w:r w:rsidRPr="00132E65">
        <w:rPr>
          <w:rtl/>
        </w:rPr>
        <w:t xml:space="preserve"> في « ف » </w:t>
      </w:r>
      <w:r>
        <w:rPr>
          <w:rtl/>
        </w:rPr>
        <w:t xml:space="preserve">: - </w:t>
      </w:r>
      <w:r w:rsidRPr="00132E65">
        <w:rPr>
          <w:rtl/>
        </w:rPr>
        <w:t>« إنّا »</w:t>
      </w:r>
      <w:r>
        <w:rPr>
          <w:rtl/>
        </w:rPr>
        <w:t>.</w:t>
      </w:r>
    </w:p>
    <w:p w:rsidR="000C39D1" w:rsidRPr="00132E65" w:rsidRDefault="000C39D1" w:rsidP="000C39D1">
      <w:pPr>
        <w:pStyle w:val="libFootnote0"/>
        <w:rPr>
          <w:rtl/>
          <w:lang w:bidi="fa-IR"/>
        </w:rPr>
      </w:pPr>
      <w:r>
        <w:rPr>
          <w:rtl/>
        </w:rPr>
        <w:t>(7).</w:t>
      </w:r>
      <w:r w:rsidRPr="00132E65">
        <w:rPr>
          <w:rtl/>
        </w:rPr>
        <w:t xml:space="preserve"> في حاشية « بر » : « طالما »</w:t>
      </w:r>
      <w:r>
        <w:rPr>
          <w:rtl/>
        </w:rPr>
        <w:t>.</w:t>
      </w:r>
      <w:r w:rsidRPr="00132E65">
        <w:rPr>
          <w:rtl/>
        </w:rPr>
        <w:t xml:space="preserve"> وذهب في </w:t>
      </w:r>
      <w:r w:rsidRPr="009D1ACE">
        <w:rPr>
          <w:rStyle w:val="libFootnoteBoldChar"/>
          <w:rtl/>
        </w:rPr>
        <w:t>مرآة العقول</w:t>
      </w:r>
      <w:r w:rsidRPr="00132E65">
        <w:rPr>
          <w:rtl/>
        </w:rPr>
        <w:t xml:space="preserve"> إلى كون « ما » مصدريّة والمصدر فاعل « طال »</w:t>
      </w:r>
      <w:r>
        <w:rPr>
          <w:rtl/>
        </w:rPr>
        <w:t>.</w:t>
      </w:r>
    </w:p>
    <w:p w:rsidR="000C39D1" w:rsidRPr="00132E65" w:rsidRDefault="000C39D1" w:rsidP="000C39D1">
      <w:pPr>
        <w:pStyle w:val="libFootnote0"/>
        <w:rPr>
          <w:rtl/>
          <w:lang w:bidi="fa-IR"/>
        </w:rPr>
      </w:pPr>
      <w:r>
        <w:rPr>
          <w:rtl/>
        </w:rPr>
        <w:t>(8).</w:t>
      </w:r>
      <w:r w:rsidRPr="00132E65">
        <w:rPr>
          <w:rtl/>
        </w:rPr>
        <w:t xml:space="preserve"> « السِحْرُ » : الا</w:t>
      </w:r>
      <w:r>
        <w:rPr>
          <w:rFonts w:hint="cs"/>
          <w:rtl/>
        </w:rPr>
        <w:t>ُ</w:t>
      </w:r>
      <w:r w:rsidRPr="00132E65">
        <w:rPr>
          <w:rtl/>
        </w:rPr>
        <w:t xml:space="preserve">خْذَةُ التي تأخذ العين حتّى يظنّ أنّ الأمر كما يُرى وليس الأصل على ما يُرى. وقيل : هو صرف الشي‌ء عن وجهه. وقيل : كلّ ما لطف مأخذه ودقّ فهو سحْرٌ. وفي عرف الشرع مختصّ بكلّ أمر يخفى سببه ويتخيّل على غير حقيقته ويجري مجرى الخداع. راجع : </w:t>
      </w:r>
      <w:r w:rsidRPr="009D1ACE">
        <w:rPr>
          <w:rStyle w:val="libFootnoteBoldChar"/>
          <w:rtl/>
        </w:rPr>
        <w:t>لسان العرب</w:t>
      </w:r>
      <w:r w:rsidRPr="00132E65">
        <w:rPr>
          <w:rtl/>
        </w:rPr>
        <w:t xml:space="preserve"> ، ج 4 ، ص 348 ؛ </w:t>
      </w:r>
      <w:r w:rsidRPr="00D3497B">
        <w:rPr>
          <w:rStyle w:val="libFootnoteBoldChar"/>
          <w:rtl/>
        </w:rPr>
        <w:t>المصباح المنير</w:t>
      </w:r>
      <w:r w:rsidRPr="00132E65">
        <w:rPr>
          <w:rtl/>
        </w:rPr>
        <w:t xml:space="preserve"> ، ص 268 ( سحر )</w:t>
      </w:r>
      <w:r>
        <w:rPr>
          <w:rtl/>
        </w:rPr>
        <w:t>.</w:t>
      </w:r>
    </w:p>
    <w:p w:rsidR="000C39D1" w:rsidRPr="00132E65" w:rsidRDefault="000C39D1" w:rsidP="000C39D1">
      <w:pPr>
        <w:pStyle w:val="libFootnote0"/>
        <w:rPr>
          <w:rtl/>
          <w:lang w:bidi="fa-IR"/>
        </w:rPr>
      </w:pPr>
      <w:r>
        <w:rPr>
          <w:rtl/>
        </w:rPr>
        <w:t>(9).</w:t>
      </w:r>
      <w:r w:rsidRPr="00132E65">
        <w:rPr>
          <w:rtl/>
        </w:rPr>
        <w:t xml:space="preserve"> قال ابن الأثير : « الكاهِنُ : الذي يتعاطى الخبرَ عن الكائنات في مستق</w:t>
      </w:r>
      <w:r>
        <w:rPr>
          <w:rtl/>
        </w:rPr>
        <w:t>بل الزمان ويدّعي معرفة الأسرار.</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 </w:t>
      </w:r>
      <w:r>
        <w:rPr>
          <w:rStyle w:val="libFootnotenumChar"/>
          <w:rtl/>
        </w:rPr>
        <w:t>(1)</w:t>
      </w:r>
      <w:r w:rsidRPr="00132E65">
        <w:rPr>
          <w:rtl/>
          <w:lang w:bidi="fa-IR"/>
        </w:rPr>
        <w:t xml:space="preserve"> أَنْفُسِنَا مِنْ أَنْ تَمْتَنِعَ </w:t>
      </w:r>
      <w:r>
        <w:rPr>
          <w:rStyle w:val="libFootnotenumChar"/>
          <w:rtl/>
        </w:rPr>
        <w:t>(2)</w:t>
      </w:r>
      <w:r w:rsidRPr="00132E65">
        <w:rPr>
          <w:rtl/>
          <w:lang w:bidi="fa-IR"/>
        </w:rPr>
        <w:t xml:space="preserve"> مِنْ </w:t>
      </w:r>
      <w:r>
        <w:rPr>
          <w:rStyle w:val="libFootnotenumChar"/>
          <w:rtl/>
        </w:rPr>
        <w:t>(3)</w:t>
      </w:r>
      <w:r w:rsidRPr="00132E65">
        <w:rPr>
          <w:rtl/>
          <w:lang w:bidi="fa-IR"/>
        </w:rPr>
        <w:t xml:space="preserve"> ذلِكَ </w:t>
      </w:r>
      <w:r>
        <w:rPr>
          <w:rStyle w:val="libFootnotenumChar"/>
          <w:rtl/>
        </w:rPr>
        <w:t>(4)</w:t>
      </w:r>
      <w:r w:rsidRPr="00132E65">
        <w:rPr>
          <w:rtl/>
          <w:lang w:bidi="fa-IR"/>
        </w:rPr>
        <w:t xml:space="preserve"> ، و</w:t>
      </w:r>
      <w:r>
        <w:rPr>
          <w:rFonts w:hint="cs"/>
          <w:rtl/>
          <w:lang w:bidi="fa-IR"/>
        </w:rPr>
        <w:t>َ</w:t>
      </w:r>
      <w:r w:rsidRPr="00132E65">
        <w:rPr>
          <w:rtl/>
          <w:lang w:bidi="fa-IR"/>
        </w:rPr>
        <w:t xml:space="preserve">أَنْ تُحَاجَّهُ لَنَا حَتّى تَقِفَهُ </w:t>
      </w:r>
      <w:r>
        <w:rPr>
          <w:rStyle w:val="libFootnotenumChar"/>
          <w:rtl/>
        </w:rPr>
        <w:t>(5)</w:t>
      </w:r>
      <w:r w:rsidRPr="00132E65">
        <w:rPr>
          <w:rtl/>
          <w:lang w:bidi="fa-IR"/>
        </w:rPr>
        <w:t xml:space="preserve"> عَلى أَمْرٍ مَعْلُومٍ ، وَاعْلَمْ أَنَّهُ أَعْظَمُ النَّاسِ دَعْوًى ، فَلَا يَكْسِرَنَّكَ </w:t>
      </w:r>
      <w:r>
        <w:rPr>
          <w:rStyle w:val="libFootnotenumChar"/>
          <w:rtl/>
        </w:rPr>
        <w:t>(6)</w:t>
      </w:r>
      <w:r w:rsidRPr="00132E65">
        <w:rPr>
          <w:rtl/>
          <w:lang w:bidi="fa-IR"/>
        </w:rPr>
        <w:t xml:space="preserve"> ذلِكَ عَنْهُ ؛ و</w:t>
      </w:r>
      <w:r>
        <w:rPr>
          <w:rFonts w:hint="cs"/>
          <w:rtl/>
          <w:lang w:bidi="fa-IR"/>
        </w:rPr>
        <w:t>َ</w:t>
      </w:r>
      <w:r w:rsidRPr="00132E65">
        <w:rPr>
          <w:rtl/>
          <w:lang w:bidi="fa-IR"/>
        </w:rPr>
        <w:t xml:space="preserve">مِنَ الْأَبْوَابِ الَّتِي يَخْدَعُ النَّاسَ بِهَا الطَّعَامُ والشَّرَابُ والْعَسَلُ والدُّهْنُ ، وأَنْ يُخَالِيَ الرَّجُلَ </w:t>
      </w:r>
      <w:r>
        <w:rPr>
          <w:rStyle w:val="libFootnotenumChar"/>
          <w:rtl/>
        </w:rPr>
        <w:t>(7)</w:t>
      </w:r>
      <w:r w:rsidRPr="00132E65">
        <w:rPr>
          <w:rtl/>
          <w:lang w:bidi="fa-IR"/>
        </w:rPr>
        <w:t xml:space="preserve"> ؛ فَلَا تَأْكُلْ </w:t>
      </w:r>
      <w:r>
        <w:rPr>
          <w:rStyle w:val="libFootnotenumChar"/>
          <w:rtl/>
        </w:rPr>
        <w:t>(8)</w:t>
      </w:r>
      <w:r w:rsidRPr="00132E65">
        <w:rPr>
          <w:rtl/>
          <w:lang w:bidi="fa-IR"/>
        </w:rPr>
        <w:t xml:space="preserve"> لَهُ طَعَاماً ، ولَاتَشْرَبْ لَهُ شَرَاباً ، ولَاتَمَسَّ لَهُ عَسَلاً ولَادُهْناً ، ولَاتَخْلُ مَعَهُ ، واحْذَرْ هذَا كُلَّهُ مِنْهُ ، وانْطَلِقْ عَلى بَرَكَةِ اللهِ ، فَإِذَا رَأَيْتَهُ فَاقْرَأْ آيَةَ السُّخْرَةِ </w:t>
      </w:r>
      <w:r>
        <w:rPr>
          <w:rStyle w:val="libFootnotenumChar"/>
          <w:rtl/>
        </w:rPr>
        <w:t>(9)</w:t>
      </w:r>
      <w:r w:rsidRPr="00132E65">
        <w:rPr>
          <w:rtl/>
          <w:lang w:bidi="fa-IR"/>
        </w:rPr>
        <w:t xml:space="preserve"> ، وتَعَوَّذْ بِاللهِ مِنْ كَيْدِهِ وَكَيْدِ الشَّيْطَانِ ، فَإِذَا جَلَسْتَ إِلَيْهِ فَلَا تُمَكِّنْهُ مِنْ بَصَرِكَ كُلِّهِ ، ولَاتَسْتَأْنِسْ بِهِ.</w:t>
      </w:r>
    </w:p>
    <w:p w:rsidR="000C39D1" w:rsidRPr="00132E65" w:rsidRDefault="000C39D1" w:rsidP="000C39D1">
      <w:pPr>
        <w:pStyle w:val="libNormal"/>
        <w:rPr>
          <w:rtl/>
          <w:lang w:bidi="fa-IR"/>
        </w:rPr>
      </w:pPr>
      <w:r w:rsidRPr="00132E65">
        <w:rPr>
          <w:rtl/>
          <w:lang w:bidi="fa-IR"/>
        </w:rPr>
        <w:t xml:space="preserve">ثُمَّ قُلْ لَهُ : إِنَّ أَخَوَيْكَ فِي الدِّينِ ، وابْنَيْ عَمِّكَ </w:t>
      </w:r>
      <w:r>
        <w:rPr>
          <w:rStyle w:val="libFootnotenumChar"/>
          <w:rtl/>
        </w:rPr>
        <w:t>(10)</w:t>
      </w:r>
      <w:r w:rsidRPr="00132E65">
        <w:rPr>
          <w:rtl/>
          <w:lang w:bidi="fa-IR"/>
        </w:rPr>
        <w:t xml:space="preserve"> فِي الْقَرَابَةِ </w:t>
      </w:r>
      <w:r>
        <w:rPr>
          <w:rStyle w:val="libFootnotenumChar"/>
          <w:rtl/>
        </w:rPr>
        <w:t>(11)</w:t>
      </w:r>
      <w:r w:rsidRPr="00132E65">
        <w:rPr>
          <w:rtl/>
          <w:lang w:bidi="fa-IR"/>
        </w:rPr>
        <w:t xml:space="preserve"> يُنَاشِدَانِكَ‌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وقد كان في العرب كَهَنَةٌ ، كشِقّ وسَطِيح وغيرهما. فمنهم من كان يزعم أنّ له تابعاً من الجنّ ورَئيّاً يُلقي إليه الأخبار. ومنهم من كان يزعم أنّه يعرف الا</w:t>
      </w:r>
      <w:r>
        <w:rPr>
          <w:rFonts w:hint="cs"/>
          <w:rtl/>
        </w:rPr>
        <w:t>ُ</w:t>
      </w:r>
      <w:r w:rsidRPr="00132E65">
        <w:rPr>
          <w:rtl/>
        </w:rPr>
        <w:t>مور بمقدّمات أسباب يَستدلُّ بها على مواقعها من كلام من يسأله ، أو فعله ، أو حاله. وهذا يخصّونه باسم العرّاف ، كالذي يدّعي معرفة الشي‌ء المسروق ومكان الضالّة ونحوهما »</w:t>
      </w:r>
      <w:r>
        <w:rPr>
          <w:rtl/>
        </w:rPr>
        <w:t>.</w:t>
      </w:r>
      <w:r w:rsidRPr="00132E65">
        <w:rPr>
          <w:rtl/>
        </w:rPr>
        <w:t xml:space="preserve"> </w:t>
      </w:r>
      <w:r w:rsidRPr="00007571">
        <w:rPr>
          <w:rStyle w:val="libFootnoteBoldChar"/>
          <w:rtl/>
        </w:rPr>
        <w:t>النهاية</w:t>
      </w:r>
      <w:r w:rsidRPr="00132E65">
        <w:rPr>
          <w:rtl/>
        </w:rPr>
        <w:t xml:space="preserve"> ، ج 4 ، ص 214 ( كهن )</w:t>
      </w:r>
      <w:r>
        <w:rPr>
          <w:rtl/>
        </w:rPr>
        <w:t>.</w:t>
      </w:r>
    </w:p>
    <w:p w:rsidR="000C39D1" w:rsidRPr="00132E65" w:rsidRDefault="000C39D1" w:rsidP="000C39D1">
      <w:pPr>
        <w:pStyle w:val="libFootnote0"/>
        <w:rPr>
          <w:rtl/>
          <w:lang w:bidi="fa-IR"/>
        </w:rPr>
      </w:pPr>
      <w:r>
        <w:rPr>
          <w:rtl/>
        </w:rPr>
        <w:t>(1).</w:t>
      </w:r>
      <w:r w:rsidRPr="00132E65">
        <w:rPr>
          <w:rtl/>
        </w:rPr>
        <w:t xml:space="preserve"> في « ف ، ه‍ » : « في »</w:t>
      </w:r>
      <w:r>
        <w:rPr>
          <w:rtl/>
        </w:rPr>
        <w:t>.</w:t>
      </w:r>
      <w:r w:rsidRPr="00132E65">
        <w:rPr>
          <w:rtl/>
        </w:rPr>
        <w:t xml:space="preserve"> وقال في </w:t>
      </w:r>
      <w:r w:rsidRPr="009D1ACE">
        <w:rPr>
          <w:rStyle w:val="libFootnoteBoldChar"/>
          <w:rtl/>
        </w:rPr>
        <w:t>مرآة العقول</w:t>
      </w:r>
      <w:r w:rsidRPr="00132E65">
        <w:rPr>
          <w:rtl/>
        </w:rPr>
        <w:t xml:space="preserve"> : « كأنّه أظهر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w:t>
            </w:r>
            <w:r w:rsidRPr="00761933">
              <w:rPr>
                <w:rtl/>
              </w:rPr>
              <w:t>في الوافي</w:t>
            </w:r>
            <w:r w:rsidRPr="00132E65">
              <w:rPr>
                <w:rtl/>
              </w:rPr>
              <w:t xml:space="preserve"> : « أن تُمنع »</w:t>
            </w:r>
            <w:r>
              <w:rPr>
                <w:rtl/>
              </w:rPr>
              <w:t>.</w:t>
            </w:r>
          </w:p>
        </w:tc>
        <w:tc>
          <w:tcPr>
            <w:tcW w:w="4006" w:type="dxa"/>
          </w:tcPr>
          <w:p w:rsidR="000C39D1" w:rsidRDefault="000C39D1" w:rsidP="00B53873">
            <w:pPr>
              <w:pStyle w:val="libFootnote0"/>
              <w:rPr>
                <w:rtl/>
              </w:rPr>
            </w:pPr>
            <w:r>
              <w:rPr>
                <w:rtl/>
              </w:rPr>
              <w:t>(3).</w:t>
            </w:r>
            <w:r w:rsidRPr="00132E65">
              <w:rPr>
                <w:rtl/>
              </w:rPr>
              <w:t xml:space="preserve"> في حاشية « ج » : « عن »</w:t>
            </w:r>
            <w:r>
              <w:rPr>
                <w:rtl/>
              </w:rPr>
              <w:t>.</w:t>
            </w:r>
          </w:p>
        </w:tc>
      </w:tr>
    </w:tbl>
    <w:p w:rsidR="000C39D1" w:rsidRPr="00132E65" w:rsidRDefault="000C39D1" w:rsidP="000C39D1">
      <w:pPr>
        <w:pStyle w:val="libFootnote0"/>
        <w:rPr>
          <w:rtl/>
          <w:lang w:bidi="fa-IR"/>
        </w:rPr>
      </w:pPr>
      <w:r>
        <w:rPr>
          <w:rtl/>
        </w:rPr>
        <w:t>(4).</w:t>
      </w:r>
      <w:r w:rsidRPr="00132E65">
        <w:rPr>
          <w:rtl/>
        </w:rPr>
        <w:t xml:space="preserve"> في « ه‍ » :</w:t>
      </w:r>
      <w:r>
        <w:rPr>
          <w:rtl/>
        </w:rPr>
        <w:t xml:space="preserve"> + </w:t>
      </w:r>
      <w:r w:rsidRPr="00132E65">
        <w:rPr>
          <w:rtl/>
        </w:rPr>
        <w:t>« عنه »</w:t>
      </w:r>
      <w:r>
        <w:rPr>
          <w:rtl/>
        </w:rPr>
        <w:t>.</w:t>
      </w:r>
      <w:r w:rsidRPr="00132E65">
        <w:rPr>
          <w:rtl/>
        </w:rPr>
        <w:t xml:space="preserve"> وفي البحار :</w:t>
      </w:r>
      <w:r>
        <w:rPr>
          <w:rtl/>
        </w:rPr>
        <w:t xml:space="preserve"> + </w:t>
      </w:r>
      <w:r w:rsidRPr="00132E65">
        <w:rPr>
          <w:rtl/>
        </w:rPr>
        <w:t>« منه »</w:t>
      </w:r>
      <w:r>
        <w:rPr>
          <w:rtl/>
        </w:rPr>
        <w:t>.</w:t>
      </w:r>
    </w:p>
    <w:p w:rsidR="000C39D1" w:rsidRPr="00132E65" w:rsidRDefault="000C39D1" w:rsidP="000C39D1">
      <w:pPr>
        <w:pStyle w:val="libFootnote0"/>
        <w:rPr>
          <w:rtl/>
          <w:lang w:bidi="fa-IR"/>
        </w:rPr>
      </w:pPr>
      <w:r>
        <w:rPr>
          <w:rtl/>
        </w:rPr>
        <w:t>(5).</w:t>
      </w:r>
      <w:r w:rsidRPr="00132E65">
        <w:rPr>
          <w:rtl/>
        </w:rPr>
        <w:t xml:space="preserve"> في « بس » : « تقف »</w:t>
      </w:r>
      <w:r>
        <w:rPr>
          <w:rtl/>
        </w:rPr>
        <w:t>.</w:t>
      </w:r>
      <w:r w:rsidRPr="00132E65">
        <w:rPr>
          <w:rtl/>
        </w:rPr>
        <w:t xml:space="preserve"> وفي « بف » والبحار</w:t>
      </w:r>
      <w:r>
        <w:rPr>
          <w:rtl/>
        </w:rPr>
        <w:t xml:space="preserve"> - </w:t>
      </w:r>
      <w:r w:rsidRPr="00132E65">
        <w:rPr>
          <w:rtl/>
        </w:rPr>
        <w:t>خ ل</w:t>
      </w:r>
      <w:r>
        <w:rPr>
          <w:rtl/>
        </w:rPr>
        <w:t xml:space="preserve"> - </w:t>
      </w:r>
      <w:r w:rsidRPr="00132E65">
        <w:rPr>
          <w:rtl/>
        </w:rPr>
        <w:t>: « تفقه »</w:t>
      </w:r>
      <w:r>
        <w:rPr>
          <w:rtl/>
        </w:rPr>
        <w:t>.</w:t>
      </w:r>
      <w:r w:rsidRPr="00132E65">
        <w:rPr>
          <w:rtl/>
        </w:rPr>
        <w:t xml:space="preserve"> </w:t>
      </w:r>
      <w:r>
        <w:rPr>
          <w:rtl/>
        </w:rPr>
        <w:t>و «</w:t>
      </w:r>
      <w:r w:rsidRPr="00132E65">
        <w:rPr>
          <w:rtl/>
        </w:rPr>
        <w:t xml:space="preserve"> تَفِقَهُ » ، من الوقف بمعنى الاطّلاع ، أي تطّلعه ؛ عند المازندراني. أو بمعنى الإيقاف ، أي تقيمه ؛ عند الفيض. أو بمعنى الحبس ، أي تحبسه وتوقفه ؛ عند المجلسي. ثمّ قال المجلسي : « في بعض النسخ بتقديم الفاء على القاف فهو من الفقه بمعنى العلم ، وتعديته</w:t>
      </w:r>
      <w:r>
        <w:rPr>
          <w:rtl/>
        </w:rPr>
        <w:t xml:space="preserve"> ب</w:t>
      </w:r>
      <w:r>
        <w:rPr>
          <w:rFonts w:hint="cs"/>
          <w:rtl/>
        </w:rPr>
        <w:t>ـ</w:t>
      </w:r>
      <w:r>
        <w:rPr>
          <w:rtl/>
        </w:rPr>
        <w:t xml:space="preserve"> «</w:t>
      </w:r>
      <w:r w:rsidRPr="00132E65">
        <w:rPr>
          <w:rtl/>
        </w:rPr>
        <w:t xml:space="preserve"> على » لتضمين معنى الاطّلاع. أو يقرأ على بناء التفعيل بحذف إحدى التاءين »</w:t>
      </w:r>
      <w:r>
        <w:rPr>
          <w:rtl/>
        </w:rPr>
        <w:t>.</w:t>
      </w:r>
      <w:r w:rsidRPr="00132E65">
        <w:rPr>
          <w:rtl/>
        </w:rPr>
        <w:t xml:space="preserve"> راجع : </w:t>
      </w:r>
      <w:r w:rsidRPr="00403D04">
        <w:rPr>
          <w:rStyle w:val="libFootnoteBoldChar"/>
          <w:rtl/>
        </w:rPr>
        <w:t>شرح المازندراني</w:t>
      </w:r>
      <w:r w:rsidRPr="00132E65">
        <w:rPr>
          <w:rtl/>
        </w:rPr>
        <w:t xml:space="preserve"> ، ج 6 ، ص 253 ؛ </w:t>
      </w:r>
      <w:r w:rsidRPr="009D1ACE">
        <w:rPr>
          <w:rStyle w:val="libFootnoteBoldChar"/>
          <w:rtl/>
        </w:rPr>
        <w:t>الوافي</w:t>
      </w:r>
      <w:r w:rsidRPr="00132E65">
        <w:rPr>
          <w:rtl/>
        </w:rPr>
        <w:t xml:space="preserve"> ، ج 2 ، ص 140 ؛ </w:t>
      </w:r>
      <w:r w:rsidRPr="009D1ACE">
        <w:rPr>
          <w:rStyle w:val="libFootnoteBoldChar"/>
          <w:rtl/>
        </w:rPr>
        <w:t>مرآة العقول</w:t>
      </w:r>
      <w:r w:rsidRPr="00132E65">
        <w:rPr>
          <w:rtl/>
        </w:rPr>
        <w:t xml:space="preserve"> ، ج 4 ، ص 64 ؛ </w:t>
      </w:r>
      <w:r w:rsidRPr="009D1ACE">
        <w:rPr>
          <w:rStyle w:val="libFootnoteBoldChar"/>
          <w:rtl/>
        </w:rPr>
        <w:t>لسان العرب</w:t>
      </w:r>
      <w:r w:rsidRPr="00132E65">
        <w:rPr>
          <w:rtl/>
        </w:rPr>
        <w:t xml:space="preserve"> ، ج 9 ، ص 359</w:t>
      </w:r>
      <w:r>
        <w:rPr>
          <w:rtl/>
        </w:rPr>
        <w:t xml:space="preserve"> - </w:t>
      </w:r>
      <w:r w:rsidRPr="00132E65">
        <w:rPr>
          <w:rtl/>
        </w:rPr>
        <w:t>361 ( وقف )</w:t>
      </w:r>
      <w:r>
        <w:rPr>
          <w:rtl/>
        </w:rPr>
        <w:t>.</w:t>
      </w:r>
    </w:p>
    <w:p w:rsidR="000C39D1" w:rsidRPr="00132E65" w:rsidRDefault="000C39D1" w:rsidP="000C39D1">
      <w:pPr>
        <w:pStyle w:val="libFootnote0"/>
        <w:rPr>
          <w:rtl/>
          <w:lang w:bidi="fa-IR"/>
        </w:rPr>
      </w:pPr>
      <w:r>
        <w:rPr>
          <w:rtl/>
        </w:rPr>
        <w:t>(6).</w:t>
      </w:r>
      <w:r w:rsidRPr="00132E65">
        <w:rPr>
          <w:rtl/>
        </w:rPr>
        <w:t xml:space="preserve"> في « ج » : « فلا يكسّرنّك »</w:t>
      </w:r>
      <w:r>
        <w:rPr>
          <w:rtl/>
        </w:rPr>
        <w:t>.</w:t>
      </w:r>
      <w:r w:rsidRPr="00132E65">
        <w:rPr>
          <w:rtl/>
        </w:rPr>
        <w:t xml:space="preserve"> وفي حاشية « ف » : « فلا يكبرنّك »</w:t>
      </w:r>
      <w:r>
        <w:rPr>
          <w:rtl/>
        </w:rPr>
        <w:t>.</w:t>
      </w:r>
    </w:p>
    <w:p w:rsidR="000C39D1" w:rsidRPr="00132E65" w:rsidRDefault="000C39D1" w:rsidP="000C39D1">
      <w:pPr>
        <w:pStyle w:val="libFootnote0"/>
        <w:rPr>
          <w:rtl/>
          <w:lang w:bidi="fa-IR"/>
        </w:rPr>
      </w:pPr>
      <w:r>
        <w:rPr>
          <w:rtl/>
        </w:rPr>
        <w:t>(7).</w:t>
      </w:r>
      <w:r w:rsidRPr="00132E65">
        <w:rPr>
          <w:rtl/>
        </w:rPr>
        <w:t xml:space="preserve"> في الشروح : « يخالي الرجل » ، أي يخلو به ، أي يسأله الاجتماع معه في خلوة. وفي اللغة : خاليتُ فلاناً إذاصارعتَه ، وكذلك المخالاة في كلّ أمر ، كأنّه إذا صارعه خلا به فلم يستعن واحد منهما بأحد ، وكلّ واحد منهما يخلو بصاحبه. راجع : </w:t>
      </w:r>
      <w:r w:rsidRPr="009D1ACE">
        <w:rPr>
          <w:rStyle w:val="libFootnoteBoldChar"/>
          <w:rtl/>
        </w:rPr>
        <w:t>لسان العرب</w:t>
      </w:r>
      <w:r w:rsidRPr="00132E65">
        <w:rPr>
          <w:rtl/>
        </w:rPr>
        <w:t xml:space="preserve"> ، ج 14 ، ص 241 ( خلا )</w:t>
      </w:r>
      <w:r>
        <w:rPr>
          <w:rtl/>
        </w:rPr>
        <w:t>.</w:t>
      </w:r>
    </w:p>
    <w:p w:rsidR="000C39D1" w:rsidRPr="00132E65" w:rsidRDefault="000C39D1" w:rsidP="000C39D1">
      <w:pPr>
        <w:pStyle w:val="libFootnote0"/>
        <w:rPr>
          <w:rtl/>
          <w:lang w:bidi="fa-IR"/>
        </w:rPr>
      </w:pPr>
      <w:r>
        <w:rPr>
          <w:rtl/>
        </w:rPr>
        <w:t>(8).</w:t>
      </w:r>
      <w:r w:rsidRPr="00132E65">
        <w:rPr>
          <w:rtl/>
        </w:rPr>
        <w:t xml:space="preserve"> في « ه‍ » : « ولا تأكل »</w:t>
      </w:r>
      <w:r>
        <w:rPr>
          <w:rtl/>
        </w:rPr>
        <w:t>.</w:t>
      </w:r>
    </w:p>
    <w:p w:rsidR="000C39D1" w:rsidRPr="00132E65" w:rsidRDefault="000C39D1" w:rsidP="000C39D1">
      <w:pPr>
        <w:pStyle w:val="libFootnote0"/>
        <w:rPr>
          <w:rtl/>
          <w:lang w:bidi="fa-IR"/>
        </w:rPr>
      </w:pPr>
      <w:r>
        <w:rPr>
          <w:rtl/>
        </w:rPr>
        <w:t>(9).</w:t>
      </w:r>
      <w:r w:rsidRPr="00132E65">
        <w:rPr>
          <w:rtl/>
        </w:rPr>
        <w:t xml:space="preserve"> « آية السُّخْرَة » هي الآية 54 من سورة الأعراف </w:t>
      </w:r>
      <w:r>
        <w:rPr>
          <w:rtl/>
        </w:rPr>
        <w:t>(7).</w:t>
      </w:r>
      <w:r w:rsidRPr="00132E65">
        <w:rPr>
          <w:rtl/>
        </w:rPr>
        <w:t xml:space="preserve"> وقال الشيخ البهائي : هي الآية 54</w:t>
      </w:r>
      <w:r>
        <w:rPr>
          <w:rtl/>
        </w:rPr>
        <w:t xml:space="preserve"> - </w:t>
      </w:r>
      <w:r w:rsidRPr="00132E65">
        <w:rPr>
          <w:rtl/>
        </w:rPr>
        <w:t>56 منها ، فإطلاق الآية</w:t>
      </w:r>
      <w:r>
        <w:rPr>
          <w:rFonts w:hint="cs"/>
          <w:rtl/>
        </w:rPr>
        <w:t xml:space="preserve"> </w:t>
      </w:r>
      <w:r w:rsidRPr="00132E65">
        <w:rPr>
          <w:rtl/>
        </w:rPr>
        <w:t xml:space="preserve">عليها على إرادة الجنس ؛ من قرأها حفظ من شياطين الجنّ والإنس. راجع : </w:t>
      </w:r>
      <w:r w:rsidRPr="009B2DE4">
        <w:rPr>
          <w:rStyle w:val="libFootnoteBoldChar"/>
          <w:rtl/>
        </w:rPr>
        <w:t>مفتاح الفلاح</w:t>
      </w:r>
      <w:r w:rsidRPr="00132E65">
        <w:rPr>
          <w:rtl/>
        </w:rPr>
        <w:t xml:space="preserve"> ، ص 56.</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في البحار : « عميك »</w:t>
            </w:r>
            <w:r>
              <w:rPr>
                <w:rtl/>
              </w:rPr>
              <w:t>.</w:t>
            </w:r>
          </w:p>
        </w:tc>
        <w:tc>
          <w:tcPr>
            <w:tcW w:w="4006" w:type="dxa"/>
          </w:tcPr>
          <w:p w:rsidR="000C39D1" w:rsidRDefault="000C39D1" w:rsidP="00B53873">
            <w:pPr>
              <w:pStyle w:val="libFootnote0"/>
              <w:rPr>
                <w:rtl/>
              </w:rPr>
            </w:pPr>
            <w:r>
              <w:rPr>
                <w:rtl/>
              </w:rPr>
              <w:t>(11).</w:t>
            </w:r>
            <w:r w:rsidRPr="00132E65">
              <w:rPr>
                <w:rtl/>
              </w:rPr>
              <w:t xml:space="preserve"> في البحار </w:t>
            </w:r>
            <w:r>
              <w:rPr>
                <w:rtl/>
              </w:rPr>
              <w:t xml:space="preserve">: - </w:t>
            </w:r>
            <w:r w:rsidRPr="00132E65">
              <w:rPr>
                <w:rtl/>
              </w:rPr>
              <w:t>« في القرابة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الْقَطِيعَةَ </w:t>
      </w:r>
      <w:r>
        <w:rPr>
          <w:rStyle w:val="libFootnotenumChar"/>
          <w:rtl/>
        </w:rPr>
        <w:t>(1)</w:t>
      </w:r>
      <w:r>
        <w:rPr>
          <w:rtl/>
          <w:lang w:bidi="fa-IR"/>
        </w:rPr>
        <w:t xml:space="preserve"> ، ويَقُولَانِ لَكَ : أَ</w:t>
      </w:r>
      <w:r w:rsidRPr="00132E65">
        <w:rPr>
          <w:rtl/>
          <w:lang w:bidi="fa-IR"/>
        </w:rPr>
        <w:t xml:space="preserve">مَا تَعْلَمُ أَنَّا تَرَكْنَا النَّاسَ لَكَ </w:t>
      </w:r>
      <w:r>
        <w:rPr>
          <w:rStyle w:val="libFootnotenumChar"/>
          <w:rtl/>
        </w:rPr>
        <w:t>(2)</w:t>
      </w:r>
      <w:r w:rsidRPr="00132E65">
        <w:rPr>
          <w:rtl/>
          <w:lang w:bidi="fa-IR"/>
        </w:rPr>
        <w:t xml:space="preserve"> ، وخَالَفْنَا عَشَائِرَنَا فِيكَ مُنْذُ قَبَضَ اللهُ</w:t>
      </w:r>
      <w:r>
        <w:rPr>
          <w:rtl/>
          <w:lang w:bidi="fa-IR"/>
        </w:rPr>
        <w:t xml:space="preserve"> - </w:t>
      </w:r>
      <w:r w:rsidRPr="00132E65">
        <w:rPr>
          <w:rtl/>
          <w:lang w:bidi="fa-IR"/>
        </w:rPr>
        <w:t>عَزَّ وجَلَّ</w:t>
      </w:r>
      <w:r>
        <w:rPr>
          <w:rtl/>
          <w:lang w:bidi="fa-IR"/>
        </w:rPr>
        <w:t xml:space="preserve"> - </w:t>
      </w:r>
      <w:r w:rsidRPr="00132E65">
        <w:rPr>
          <w:rtl/>
          <w:lang w:bidi="fa-IR"/>
        </w:rPr>
        <w:t xml:space="preserve">مُحَمَّداً </w:t>
      </w:r>
      <w:r w:rsidRPr="00071CF9">
        <w:rPr>
          <w:rStyle w:val="libAlaemChar"/>
          <w:rtl/>
        </w:rPr>
        <w:t>صلى‌الله‌عليه‌وآله</w:t>
      </w:r>
      <w:r w:rsidRPr="00132E65">
        <w:rPr>
          <w:rtl/>
          <w:lang w:bidi="fa-IR"/>
        </w:rPr>
        <w:t xml:space="preserve"> ، فَلَمَّا نِلْتَ أَدْنى مَنَالٍ </w:t>
      </w:r>
      <w:r>
        <w:rPr>
          <w:rStyle w:val="libFootnotenumChar"/>
          <w:rtl/>
        </w:rPr>
        <w:t>(3)</w:t>
      </w:r>
      <w:r w:rsidRPr="00132E65">
        <w:rPr>
          <w:rtl/>
          <w:lang w:bidi="fa-IR"/>
        </w:rPr>
        <w:t xml:space="preserve"> ، ضَيَّعْتَ حُرْمَتَنَا ، وقَطَعْتَ رَجَاءَنَا ، ثُمَّ قَدْ رَأَيْتَ أَفْعَالَنَا فِيكَ ، وقُدْرَتَنَا عَلَى النَّأْيِ </w:t>
      </w:r>
      <w:r>
        <w:rPr>
          <w:rStyle w:val="libFootnotenumChar"/>
          <w:rtl/>
        </w:rPr>
        <w:t>(4)</w:t>
      </w:r>
      <w:r w:rsidRPr="00132E65">
        <w:rPr>
          <w:rtl/>
          <w:lang w:bidi="fa-IR"/>
        </w:rPr>
        <w:t xml:space="preserve"> عَنْكَ </w:t>
      </w:r>
      <w:r>
        <w:rPr>
          <w:rStyle w:val="libFootnotenumChar"/>
          <w:rtl/>
        </w:rPr>
        <w:t>(5)</w:t>
      </w:r>
      <w:r w:rsidRPr="00132E65">
        <w:rPr>
          <w:rtl/>
          <w:lang w:bidi="fa-IR"/>
        </w:rPr>
        <w:t xml:space="preserve"> ، و</w:t>
      </w:r>
      <w:r>
        <w:rPr>
          <w:rFonts w:hint="cs"/>
          <w:rtl/>
          <w:lang w:bidi="fa-IR"/>
        </w:rPr>
        <w:t>َ</w:t>
      </w:r>
      <w:r w:rsidRPr="00132E65">
        <w:rPr>
          <w:rtl/>
          <w:lang w:bidi="fa-IR"/>
        </w:rPr>
        <w:t>سَعَةِ الْبِلَادِ دُونَكَ ، وَأَنَّ مَنْ كَانَ يَصْرِفُكَ عَنَّا وعَنْ صِلَتِنَا ، كَانَ أَقَلَّ لَكَ نَفْعاً ، وأَضْعَفَ عَنْكَ دَفْعاً مِنَّا ، وقَدْ وَضَحَ الصُّبْحُ لِذِي عَيْنَيْنِ ، وقَدْ بَلَغَنَا عَنْكَ انْتِهَاكٌ لَنَا ، ودُعَاءٌ عَلَيْنَا ، فَمَا الَّذِي يَحْمِلُكَ عَلى ذلِكَ</w:t>
      </w:r>
      <w:r>
        <w:rPr>
          <w:rtl/>
          <w:lang w:bidi="fa-IR"/>
        </w:rPr>
        <w:t>؟</w:t>
      </w:r>
      <w:r w:rsidRPr="00132E65">
        <w:rPr>
          <w:rtl/>
          <w:lang w:bidi="fa-IR"/>
        </w:rPr>
        <w:t xml:space="preserve"> فَقَدْ كُنَّا نَرى أَنَّكَ أَ</w:t>
      </w:r>
      <w:r>
        <w:rPr>
          <w:rtl/>
          <w:lang w:bidi="fa-IR"/>
        </w:rPr>
        <w:t>شْجَعُ فُرْسَانِ الْعَرَبِ ، أَ</w:t>
      </w:r>
      <w:r w:rsidRPr="00132E65">
        <w:rPr>
          <w:rtl/>
          <w:lang w:bidi="fa-IR"/>
        </w:rPr>
        <w:t xml:space="preserve">تَتَّخِذُ اللَّعْنَ لَنَا دِيناً ، وتَرى </w:t>
      </w:r>
      <w:r>
        <w:rPr>
          <w:rStyle w:val="libFootnotenumChar"/>
          <w:rtl/>
        </w:rPr>
        <w:t>(6)</w:t>
      </w:r>
      <w:r w:rsidRPr="00132E65">
        <w:rPr>
          <w:rtl/>
          <w:lang w:bidi="fa-IR"/>
        </w:rPr>
        <w:t xml:space="preserve"> أَنَّ ذلِكَ يَكْسِرُنَا </w:t>
      </w:r>
      <w:r>
        <w:rPr>
          <w:rStyle w:val="libFootnotenumChar"/>
          <w:rtl/>
        </w:rPr>
        <w:t>(7)</w:t>
      </w:r>
      <w:r w:rsidRPr="00132E65">
        <w:rPr>
          <w:rtl/>
          <w:lang w:bidi="fa-IR"/>
        </w:rPr>
        <w:t xml:space="preserve"> عَنْكَ</w:t>
      </w:r>
      <w:r>
        <w:rPr>
          <w:rtl/>
          <w:lang w:bidi="fa-IR"/>
        </w:rPr>
        <w:t>؟</w:t>
      </w:r>
    </w:p>
    <w:p w:rsidR="000C39D1" w:rsidRPr="00132E65" w:rsidRDefault="000C39D1" w:rsidP="000C39D1">
      <w:pPr>
        <w:pStyle w:val="libNormal"/>
        <w:rPr>
          <w:rtl/>
          <w:lang w:bidi="fa-IR"/>
        </w:rPr>
      </w:pPr>
      <w:r w:rsidRPr="00132E65">
        <w:rPr>
          <w:rtl/>
          <w:lang w:bidi="fa-IR"/>
        </w:rPr>
        <w:t xml:space="preserve">فَلَمَّا أَتى خِدَاشٌ </w:t>
      </w:r>
      <w:r>
        <w:rPr>
          <w:rStyle w:val="libFootnotenumChar"/>
          <w:rtl/>
        </w:rPr>
        <w:t>(8)</w:t>
      </w:r>
      <w:r w:rsidRPr="00132E65">
        <w:rPr>
          <w:rtl/>
          <w:lang w:bidi="fa-IR"/>
        </w:rPr>
        <w:t xml:space="preserve"> أَمِيرَ الْمُؤْمِنِينَ صَلَوَاتُ اللهِ عَلَيْهِ ، صَنَعَ مَا أَمَرَاهُ ، فَلَمَّا نَظَرَ إِلَيْهِ عَلِيٌّ </w:t>
      </w:r>
      <w:r w:rsidRPr="00071CF9">
        <w:rPr>
          <w:rStyle w:val="libAlaemChar"/>
          <w:rtl/>
        </w:rPr>
        <w:t>عليه‌السلام</w:t>
      </w:r>
      <w:r>
        <w:rPr>
          <w:rtl/>
          <w:lang w:bidi="fa-IR"/>
        </w:rPr>
        <w:t xml:space="preserve"> - </w:t>
      </w:r>
      <w:r w:rsidRPr="00132E65">
        <w:rPr>
          <w:rtl/>
          <w:lang w:bidi="fa-IR"/>
        </w:rPr>
        <w:t>وهُوَ يُنَاجِي نَفْسَهُ</w:t>
      </w:r>
      <w:r>
        <w:rPr>
          <w:rtl/>
          <w:lang w:bidi="fa-IR"/>
        </w:rPr>
        <w:t xml:space="preserve"> - </w:t>
      </w:r>
      <w:r w:rsidRPr="00132E65">
        <w:rPr>
          <w:rtl/>
          <w:lang w:bidi="fa-IR"/>
        </w:rPr>
        <w:t xml:space="preserve">ضَحِكَ وقَالَ : « هَاهُنَا يَا أَخَا </w:t>
      </w:r>
      <w:r>
        <w:rPr>
          <w:rStyle w:val="libFootnotenumChar"/>
          <w:rtl/>
        </w:rPr>
        <w:t>(9)</w:t>
      </w:r>
      <w:r w:rsidRPr="00132E65">
        <w:rPr>
          <w:rtl/>
          <w:lang w:bidi="fa-IR"/>
        </w:rPr>
        <w:t xml:space="preserve"> عَبْدِ قَيْسٍ » وأَشَارَ لَهُ </w:t>
      </w:r>
      <w:r>
        <w:rPr>
          <w:rStyle w:val="libFootnotenumChar"/>
          <w:rtl/>
        </w:rPr>
        <w:t>(10)</w:t>
      </w:r>
      <w:r w:rsidRPr="00132E65">
        <w:rPr>
          <w:rtl/>
          <w:lang w:bidi="fa-IR"/>
        </w:rPr>
        <w:t xml:space="preserve"> إِلى مَجْلِسٍ قَرِيبٍ مِنْهُ ؛ فَقَالَ : مَا أَوْسَعَ الْمَكَانَ</w:t>
      </w:r>
      <w:r>
        <w:rPr>
          <w:rtl/>
          <w:lang w:bidi="fa-IR"/>
        </w:rPr>
        <w:t>!</w:t>
      </w:r>
      <w:r w:rsidRPr="00132E65">
        <w:rPr>
          <w:rtl/>
          <w:lang w:bidi="fa-IR"/>
        </w:rPr>
        <w:t xml:space="preserve"> أُرِيدُ أَنْ أُؤَدِّيَ إِلَيْكَ رِسَالَةً ، قَالَ : « بَلْ تَطْعَمُ وَتَشْرَبُ وتَحُلُّ </w:t>
      </w:r>
      <w:r>
        <w:rPr>
          <w:rStyle w:val="libFootnotenumChar"/>
          <w:rtl/>
        </w:rPr>
        <w:t>(11)</w:t>
      </w:r>
      <w:r w:rsidRPr="00132E65">
        <w:rPr>
          <w:rtl/>
          <w:lang w:bidi="fa-IR"/>
        </w:rPr>
        <w:t xml:space="preserve"> ثِيَابَكَ وتَدَّهِنُ ، ثُمَّ تُؤَدِّي رِسَالَتَكَ </w:t>
      </w:r>
      <w:r>
        <w:rPr>
          <w:rStyle w:val="libFootnotenumChar"/>
          <w:rtl/>
        </w:rPr>
        <w:t>(12)</w:t>
      </w:r>
      <w:r w:rsidRPr="00132E65">
        <w:rPr>
          <w:rtl/>
          <w:lang w:bidi="fa-IR"/>
        </w:rPr>
        <w:t xml:space="preserve"> ، قُمْ يَا قَنْبَرُ ، فَأَنْزِلْهُ »</w:t>
      </w:r>
      <w:r>
        <w:rPr>
          <w:rtl/>
          <w:lang w:bidi="fa-IR"/>
        </w:rPr>
        <w:t>.</w:t>
      </w:r>
    </w:p>
    <w:p w:rsidR="000C39D1" w:rsidRPr="00132E65" w:rsidRDefault="000C39D1" w:rsidP="000C39D1">
      <w:pPr>
        <w:pStyle w:val="libNormal"/>
        <w:rPr>
          <w:rtl/>
          <w:lang w:bidi="fa-IR"/>
        </w:rPr>
      </w:pPr>
      <w:r w:rsidRPr="00132E65">
        <w:rPr>
          <w:rtl/>
          <w:lang w:bidi="fa-IR"/>
        </w:rPr>
        <w:t xml:space="preserve">قَالَ : مَا بِي </w:t>
      </w:r>
      <w:r w:rsidRPr="00F543F1">
        <w:rPr>
          <w:rStyle w:val="libFootnotenumChar"/>
          <w:rtl/>
        </w:rPr>
        <w:t>(13)</w:t>
      </w:r>
      <w:r w:rsidRPr="00132E65">
        <w:rPr>
          <w:rtl/>
          <w:lang w:bidi="fa-IR"/>
        </w:rPr>
        <w:t xml:space="preserve"> إِلى شَيْ‌ءٍ مِمَّا ذَكَرْتَ حَاجَةٌ ، قَالَ : « فَأَخْلُو بِكَ</w:t>
      </w:r>
      <w:r>
        <w:rPr>
          <w:rtl/>
          <w:lang w:bidi="fa-IR"/>
        </w:rPr>
        <w:t>؟</w:t>
      </w:r>
      <w:r w:rsidRPr="00132E65">
        <w:rPr>
          <w:rtl/>
          <w:lang w:bidi="fa-IR"/>
        </w:rPr>
        <w:t xml:space="preserve"> » قَالَ </w:t>
      </w:r>
      <w:r w:rsidRPr="00F543F1">
        <w:rPr>
          <w:rStyle w:val="libFootnotenumChar"/>
          <w:rtl/>
        </w:rPr>
        <w:t>(14)</w:t>
      </w:r>
      <w:r w:rsidRPr="00132E65">
        <w:rPr>
          <w:rtl/>
          <w:lang w:bidi="fa-IR"/>
        </w:rPr>
        <w:t xml:space="preserve"> : كُلُّ سِرٍّ لِي‌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يناشدانك القطيعةَ » ، أي يسألانك بقطيعة الرحم ويقسمان عليك بعظم أمرها ويطلبان إليك بحقّها. أويناشدانك بالله فيها ، أي أن لا تقطع رحمهما. راجع : </w:t>
      </w:r>
      <w:r w:rsidRPr="009B2DE4">
        <w:rPr>
          <w:rStyle w:val="libFootnoteBoldChar"/>
          <w:rtl/>
        </w:rPr>
        <w:t>النهاية</w:t>
      </w:r>
      <w:r w:rsidRPr="00132E65">
        <w:rPr>
          <w:rtl/>
        </w:rPr>
        <w:t xml:space="preserve"> ، ج 5 ، ص 53 ( نشد )</w:t>
      </w:r>
      <w:r>
        <w:rPr>
          <w:rtl/>
        </w:rPr>
        <w:t>.</w:t>
      </w:r>
    </w:p>
    <w:p w:rsidR="000C39D1" w:rsidRPr="00132E65" w:rsidRDefault="000C39D1" w:rsidP="000C39D1">
      <w:pPr>
        <w:pStyle w:val="libFootnote0"/>
        <w:rPr>
          <w:rtl/>
          <w:lang w:bidi="fa-IR"/>
        </w:rPr>
      </w:pPr>
      <w:r>
        <w:rPr>
          <w:rtl/>
        </w:rPr>
        <w:t>(2).</w:t>
      </w:r>
      <w:r w:rsidRPr="00132E65">
        <w:rPr>
          <w:rtl/>
        </w:rPr>
        <w:t xml:space="preserve"> في « بح » </w:t>
      </w:r>
      <w:r>
        <w:rPr>
          <w:rtl/>
        </w:rPr>
        <w:t xml:space="preserve">: - </w:t>
      </w:r>
      <w:r w:rsidRPr="00132E65">
        <w:rPr>
          <w:rtl/>
        </w:rPr>
        <w:t>« لك »</w:t>
      </w:r>
      <w:r>
        <w:rPr>
          <w:rtl/>
        </w:rPr>
        <w:t>.</w:t>
      </w:r>
    </w:p>
    <w:p w:rsidR="000C39D1" w:rsidRPr="00132E65" w:rsidRDefault="000C39D1" w:rsidP="000C39D1">
      <w:pPr>
        <w:pStyle w:val="libFootnote0"/>
        <w:rPr>
          <w:rtl/>
          <w:lang w:bidi="fa-IR"/>
        </w:rPr>
      </w:pPr>
      <w:r>
        <w:rPr>
          <w:rtl/>
        </w:rPr>
        <w:t>(3). « الم</w:t>
      </w:r>
      <w:r>
        <w:rPr>
          <w:rFonts w:hint="cs"/>
          <w:rtl/>
        </w:rPr>
        <w:t>ـَ</w:t>
      </w:r>
      <w:r w:rsidRPr="00132E65">
        <w:rPr>
          <w:rtl/>
        </w:rPr>
        <w:t xml:space="preserve">نال » : محلّ النَوْل ، وهو العطيّة والخراج. وقد يطلق عليه مجازاً ، أي أدركت أدنى مرتبة تنال به المطالب. راجع : </w:t>
      </w:r>
      <w:r w:rsidRPr="009B2DE4">
        <w:rPr>
          <w:rStyle w:val="libFootnoteBoldChar"/>
          <w:rtl/>
        </w:rPr>
        <w:t>الصحاح</w:t>
      </w:r>
      <w:r w:rsidRPr="00132E65">
        <w:rPr>
          <w:rtl/>
        </w:rPr>
        <w:t xml:space="preserve"> ، ج 5 ، ص 1836 ( نول )</w:t>
      </w:r>
      <w:r>
        <w:rPr>
          <w:rtl/>
        </w:rPr>
        <w:t>.</w:t>
      </w:r>
    </w:p>
    <w:p w:rsidR="000C39D1" w:rsidRPr="00132E65" w:rsidRDefault="000C39D1" w:rsidP="000C39D1">
      <w:pPr>
        <w:pStyle w:val="libFootnote0"/>
        <w:rPr>
          <w:rtl/>
          <w:lang w:bidi="fa-IR"/>
        </w:rPr>
      </w:pPr>
      <w:r>
        <w:rPr>
          <w:rtl/>
        </w:rPr>
        <w:t>(4).</w:t>
      </w:r>
      <w:r w:rsidRPr="00132E65">
        <w:rPr>
          <w:rtl/>
        </w:rPr>
        <w:t xml:space="preserve"> في « ف » : « النائي »</w:t>
      </w:r>
      <w:r>
        <w:rPr>
          <w:rtl/>
        </w:rPr>
        <w:t>.</w:t>
      </w:r>
      <w:r w:rsidRPr="00132E65">
        <w:rPr>
          <w:rtl/>
        </w:rPr>
        <w:t xml:space="preserve"> </w:t>
      </w:r>
      <w:r>
        <w:rPr>
          <w:rtl/>
        </w:rPr>
        <w:t>و «</w:t>
      </w:r>
      <w:r w:rsidRPr="00132E65">
        <w:rPr>
          <w:rtl/>
        </w:rPr>
        <w:t xml:space="preserve"> النَأْي » مصدر بمعنى البُعد. راجع : </w:t>
      </w:r>
      <w:r w:rsidRPr="009B2DE4">
        <w:rPr>
          <w:rStyle w:val="libFootnoteBoldChar"/>
          <w:rtl/>
        </w:rPr>
        <w:t>الصحاح</w:t>
      </w:r>
      <w:r w:rsidRPr="00132E65">
        <w:rPr>
          <w:rtl/>
        </w:rPr>
        <w:t xml:space="preserve"> ، ج 6 ، ص 2499 ( نأى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حاشية « بر » : « منك »</w:t>
            </w:r>
            <w:r>
              <w:rPr>
                <w:rtl/>
              </w:rPr>
              <w:t>.</w:t>
            </w:r>
          </w:p>
        </w:tc>
        <w:tc>
          <w:tcPr>
            <w:tcW w:w="4006" w:type="dxa"/>
          </w:tcPr>
          <w:p w:rsidR="000C39D1" w:rsidRDefault="000C39D1" w:rsidP="00B53873">
            <w:pPr>
              <w:pStyle w:val="libFootnote0"/>
              <w:rPr>
                <w:rtl/>
              </w:rPr>
            </w:pPr>
            <w:r>
              <w:rPr>
                <w:rtl/>
              </w:rPr>
              <w:t>(6).</w:t>
            </w:r>
            <w:r w:rsidRPr="00132E65">
              <w:rPr>
                <w:rtl/>
              </w:rPr>
              <w:t xml:space="preserve"> في « ف » : « فترى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ج ، بر » : « يكسّرنا »</w:t>
            </w:r>
            <w:r>
              <w:rPr>
                <w:rtl/>
              </w:rPr>
              <w:t>.</w:t>
            </w:r>
          </w:p>
        </w:tc>
        <w:tc>
          <w:tcPr>
            <w:tcW w:w="4006" w:type="dxa"/>
          </w:tcPr>
          <w:p w:rsidR="000C39D1" w:rsidRDefault="000C39D1" w:rsidP="00B53873">
            <w:pPr>
              <w:pStyle w:val="libFootnote0"/>
              <w:rPr>
                <w:rtl/>
              </w:rPr>
            </w:pPr>
            <w:r>
              <w:rPr>
                <w:rtl/>
              </w:rPr>
              <w:t>(8).</w:t>
            </w:r>
            <w:r w:rsidRPr="00132E65">
              <w:rPr>
                <w:rtl/>
              </w:rPr>
              <w:t xml:space="preserve"> في « ج » :</w:t>
            </w:r>
            <w:r>
              <w:rPr>
                <w:rtl/>
              </w:rPr>
              <w:t xml:space="preserve"> + </w:t>
            </w:r>
            <w:r w:rsidRPr="00132E65">
              <w:rPr>
                <w:rtl/>
              </w:rPr>
              <w:t>« إلى »</w:t>
            </w:r>
            <w:r>
              <w:rPr>
                <w:rtl/>
              </w:rPr>
              <w:t>.</w:t>
            </w:r>
          </w:p>
        </w:tc>
      </w:tr>
    </w:tbl>
    <w:p w:rsidR="000C39D1" w:rsidRPr="00132E65" w:rsidRDefault="000C39D1" w:rsidP="000C39D1">
      <w:pPr>
        <w:pStyle w:val="libFootnote0"/>
        <w:rPr>
          <w:rtl/>
          <w:lang w:bidi="fa-IR"/>
        </w:rPr>
      </w:pPr>
      <w:r>
        <w:rPr>
          <w:rtl/>
        </w:rPr>
        <w:t>(9).</w:t>
      </w:r>
      <w:r w:rsidRPr="00132E65">
        <w:rPr>
          <w:rtl/>
        </w:rPr>
        <w:t xml:space="preserve"> في البحار : « يا أبا »</w:t>
      </w:r>
      <w:r>
        <w:rPr>
          <w:rtl/>
        </w:rPr>
        <w:t>.</w:t>
      </w:r>
    </w:p>
    <w:p w:rsidR="000C39D1" w:rsidRPr="00132E65" w:rsidRDefault="000C39D1" w:rsidP="000C39D1">
      <w:pPr>
        <w:pStyle w:val="libFootnote0"/>
        <w:rPr>
          <w:rtl/>
          <w:lang w:bidi="fa-IR"/>
        </w:rPr>
      </w:pPr>
      <w:r>
        <w:rPr>
          <w:rtl/>
        </w:rPr>
        <w:t>(10).</w:t>
      </w:r>
      <w:r w:rsidRPr="00132E65">
        <w:rPr>
          <w:rtl/>
        </w:rPr>
        <w:t xml:space="preserve"> في « بر » : « إليه »</w:t>
      </w:r>
      <w:r>
        <w:rPr>
          <w:rtl/>
        </w:rPr>
        <w:t>.</w:t>
      </w:r>
      <w:r w:rsidRPr="00132E65">
        <w:rPr>
          <w:rtl/>
        </w:rPr>
        <w:t xml:space="preserve"> وفي « بس » وشرح المازندراني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البحار : « تخلي »</w:t>
            </w:r>
            <w:r>
              <w:rPr>
                <w:rtl/>
              </w:rPr>
              <w:t>.</w:t>
            </w:r>
          </w:p>
        </w:tc>
        <w:tc>
          <w:tcPr>
            <w:tcW w:w="4006" w:type="dxa"/>
          </w:tcPr>
          <w:p w:rsidR="000C39D1" w:rsidRDefault="000C39D1" w:rsidP="00B53873">
            <w:pPr>
              <w:pStyle w:val="libFootnote0"/>
              <w:rPr>
                <w:rtl/>
              </w:rPr>
            </w:pPr>
            <w:r>
              <w:rPr>
                <w:rtl/>
              </w:rPr>
              <w:t>(12).</w:t>
            </w:r>
            <w:r w:rsidRPr="00132E65">
              <w:rPr>
                <w:rtl/>
              </w:rPr>
              <w:t xml:space="preserve"> في « ف » :</w:t>
            </w:r>
            <w:r>
              <w:rPr>
                <w:rtl/>
              </w:rPr>
              <w:t xml:space="preserve"> + </w:t>
            </w:r>
            <w:r w:rsidRPr="00132E65">
              <w:rPr>
                <w:rtl/>
              </w:rPr>
              <w:t>« ثمّ قال »</w:t>
            </w:r>
            <w:r>
              <w:rPr>
                <w:rtl/>
              </w:rPr>
              <w:t>.</w:t>
            </w:r>
          </w:p>
        </w:tc>
      </w:tr>
      <w:tr w:rsidR="000C39D1" w:rsidTr="00B53873">
        <w:tc>
          <w:tcPr>
            <w:tcW w:w="4006" w:type="dxa"/>
          </w:tcPr>
          <w:p w:rsidR="000C39D1" w:rsidRDefault="000C39D1" w:rsidP="00B53873">
            <w:pPr>
              <w:pStyle w:val="libFootnote0"/>
              <w:rPr>
                <w:rtl/>
              </w:rPr>
            </w:pPr>
            <w:r>
              <w:rPr>
                <w:rtl/>
              </w:rPr>
              <w:t>(13)</w:t>
            </w:r>
            <w:r w:rsidRPr="00132E65">
              <w:rPr>
                <w:rtl/>
              </w:rPr>
              <w:t xml:space="preserve"> في « ف » : « ما لي »</w:t>
            </w:r>
            <w:r>
              <w:rPr>
                <w:rtl/>
              </w:rPr>
              <w:t>.</w:t>
            </w:r>
          </w:p>
        </w:tc>
        <w:tc>
          <w:tcPr>
            <w:tcW w:w="4006" w:type="dxa"/>
          </w:tcPr>
          <w:p w:rsidR="000C39D1" w:rsidRDefault="000C39D1" w:rsidP="00B53873">
            <w:pPr>
              <w:pStyle w:val="libFootnote0"/>
              <w:rPr>
                <w:rtl/>
              </w:rPr>
            </w:pPr>
            <w:r>
              <w:rPr>
                <w:rtl/>
              </w:rPr>
              <w:t>(14)</w:t>
            </w:r>
            <w:r w:rsidRPr="00132E65">
              <w:rPr>
                <w:rtl/>
              </w:rPr>
              <w:t xml:space="preserve"> في « بف » : « فقال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عَلَانِيَةٌ ، قَالَ : « فَأَنْشُدُكَ بِاللهِ </w:t>
      </w:r>
      <w:r>
        <w:rPr>
          <w:rStyle w:val="libFootnotenumChar"/>
          <w:rtl/>
        </w:rPr>
        <w:t>(1)</w:t>
      </w:r>
      <w:r w:rsidRPr="00132E65">
        <w:rPr>
          <w:rtl/>
          <w:lang w:bidi="fa-IR"/>
        </w:rPr>
        <w:t xml:space="preserve"> الَّذِي هُوَ أَقْرَبُ إِلَيْكَ مِنْ نَفْسِكَ ، الْحَائِلِ </w:t>
      </w:r>
      <w:r>
        <w:rPr>
          <w:rStyle w:val="libFootnotenumChar"/>
          <w:rtl/>
        </w:rPr>
        <w:t>(2)</w:t>
      </w:r>
      <w:r w:rsidRPr="00132E65">
        <w:rPr>
          <w:rtl/>
          <w:lang w:bidi="fa-IR"/>
        </w:rPr>
        <w:t xml:space="preserve"> بَيْنَكَ وبَيْنَ قَلْبِكَ ، الَّذِي يَعْلَمُ خَائِنَةَ الْأَعْيُ</w:t>
      </w:r>
      <w:r>
        <w:rPr>
          <w:rtl/>
          <w:lang w:bidi="fa-IR"/>
        </w:rPr>
        <w:t>نِ ومَا تُخْفِي الصُّدُورُ ، أَ</w:t>
      </w:r>
      <w:r w:rsidRPr="00132E65">
        <w:rPr>
          <w:rtl/>
          <w:lang w:bidi="fa-IR"/>
        </w:rPr>
        <w:t xml:space="preserve">تَقَدَّمَ إِلَيْكَ </w:t>
      </w:r>
      <w:r>
        <w:rPr>
          <w:rStyle w:val="libFootnotenumChar"/>
          <w:rtl/>
        </w:rPr>
        <w:t>(3)</w:t>
      </w:r>
      <w:r w:rsidRPr="00132E65">
        <w:rPr>
          <w:rtl/>
          <w:lang w:bidi="fa-IR"/>
        </w:rPr>
        <w:t xml:space="preserve"> الزُّبَيْرُ بِمَا عَرَضْتُ عَلَيْكَ</w:t>
      </w:r>
      <w:r>
        <w:rPr>
          <w:rtl/>
          <w:lang w:bidi="fa-IR"/>
        </w:rPr>
        <w:t>؟</w:t>
      </w:r>
      <w:r w:rsidRPr="00132E65">
        <w:rPr>
          <w:rtl/>
          <w:lang w:bidi="fa-IR"/>
        </w:rPr>
        <w:t xml:space="preserve"> » قَالَ : اللهُمَّ نَعَمْ </w:t>
      </w:r>
      <w:r>
        <w:rPr>
          <w:rStyle w:val="libFootnotenumChar"/>
          <w:rtl/>
        </w:rPr>
        <w:t>(4)</w:t>
      </w:r>
      <w:r w:rsidRPr="00132E65">
        <w:rPr>
          <w:rtl/>
          <w:lang w:bidi="fa-IR"/>
        </w:rPr>
        <w:t xml:space="preserve"> ، قَالَ : « لَوْ</w:t>
      </w:r>
      <w:r>
        <w:rPr>
          <w:rFonts w:hint="cs"/>
          <w:rtl/>
          <w:lang w:bidi="fa-IR"/>
        </w:rPr>
        <w:t xml:space="preserve"> </w:t>
      </w:r>
      <w:r w:rsidRPr="00132E65">
        <w:rPr>
          <w:rtl/>
          <w:lang w:bidi="fa-IR"/>
        </w:rPr>
        <w:t xml:space="preserve">كَتَمْتَ بَعْدَ مَا سَأَلْتُكَ ، مَا ارْتَدَّ إِلَيْكَ طَرْفُكَ </w:t>
      </w:r>
      <w:r>
        <w:rPr>
          <w:rStyle w:val="libFootnotenumChar"/>
          <w:rtl/>
        </w:rPr>
        <w:t>(5)</w:t>
      </w:r>
      <w:r w:rsidRPr="00132E65">
        <w:rPr>
          <w:rtl/>
          <w:lang w:bidi="fa-IR"/>
        </w:rPr>
        <w:t xml:space="preserve"> ؛ فَأَنْشُدُكَ اللهَ </w:t>
      </w:r>
      <w:r>
        <w:rPr>
          <w:rStyle w:val="libFootnotenumChar"/>
          <w:rtl/>
        </w:rPr>
        <w:t>(6)</w:t>
      </w:r>
      <w:r w:rsidRPr="00132E65">
        <w:rPr>
          <w:rtl/>
          <w:lang w:bidi="fa-IR"/>
        </w:rPr>
        <w:t xml:space="preserve"> ، هَلْ عَلَّمَكَ كَلَاماً تَقُولُهُ إِذَا أَتَيْتَنِي</w:t>
      </w:r>
      <w:r>
        <w:rPr>
          <w:rtl/>
          <w:lang w:bidi="fa-IR"/>
        </w:rPr>
        <w:t>؟</w:t>
      </w:r>
      <w:r w:rsidRPr="00132E65">
        <w:rPr>
          <w:rtl/>
          <w:lang w:bidi="fa-IR"/>
        </w:rPr>
        <w:t xml:space="preserve"> » قَالَ : اللهُمَّ نَعَمْ </w:t>
      </w:r>
      <w:r>
        <w:rPr>
          <w:rStyle w:val="libFootnotenumChar"/>
          <w:rtl/>
        </w:rPr>
        <w:t>(7)</w:t>
      </w:r>
      <w:r w:rsidRPr="00132E65">
        <w:rPr>
          <w:rtl/>
          <w:lang w:bidi="fa-IR"/>
        </w:rPr>
        <w:t xml:space="preserve"> ، قَالَ عَلِيٌّ </w:t>
      </w:r>
      <w:r w:rsidRPr="00071CF9">
        <w:rPr>
          <w:rStyle w:val="libAlaemChar"/>
          <w:rtl/>
        </w:rPr>
        <w:t>عليه‌السلام</w:t>
      </w:r>
      <w:r w:rsidRPr="00132E65">
        <w:rPr>
          <w:rtl/>
          <w:lang w:bidi="fa-IR"/>
        </w:rPr>
        <w:t xml:space="preserve"> : « آيَةَ السُّخْرَةِ »</w:t>
      </w:r>
      <w:r>
        <w:rPr>
          <w:rtl/>
          <w:lang w:bidi="fa-IR"/>
        </w:rPr>
        <w:t>؟</w:t>
      </w:r>
      <w:r w:rsidRPr="00132E65">
        <w:rPr>
          <w:rtl/>
          <w:lang w:bidi="fa-IR"/>
        </w:rPr>
        <w:t xml:space="preserve"> قَالَ : نَعَمْ ، قَالَ : « فَاقْرَأْهَا » ، فَقَرَأَهَا ، وجَعَلَ </w:t>
      </w:r>
      <w:r>
        <w:rPr>
          <w:rStyle w:val="libFootnotenumChar"/>
          <w:rtl/>
        </w:rPr>
        <w:t>(8)</w:t>
      </w:r>
      <w:r w:rsidRPr="00132E65">
        <w:rPr>
          <w:rtl/>
          <w:lang w:bidi="fa-IR"/>
        </w:rPr>
        <w:t xml:space="preserve"> عَلِيٌّ </w:t>
      </w:r>
      <w:r w:rsidRPr="00071CF9">
        <w:rPr>
          <w:rStyle w:val="libAlaemChar"/>
          <w:rtl/>
        </w:rPr>
        <w:t>عليه‌السلام</w:t>
      </w:r>
      <w:r w:rsidRPr="00132E65">
        <w:rPr>
          <w:rtl/>
          <w:lang w:bidi="fa-IR"/>
        </w:rPr>
        <w:t xml:space="preserve"> يُكَرِّرُهَا </w:t>
      </w:r>
      <w:r>
        <w:rPr>
          <w:rStyle w:val="libFootnotenumChar"/>
          <w:rtl/>
        </w:rPr>
        <w:t>(9)</w:t>
      </w:r>
      <w:r w:rsidRPr="00132E65">
        <w:rPr>
          <w:rtl/>
          <w:lang w:bidi="fa-IR"/>
        </w:rPr>
        <w:t xml:space="preserve"> ، ويُرَدِّدُهَا</w:t>
      </w:r>
      <w:r>
        <w:rPr>
          <w:rStyle w:val="libFootnotenumChar"/>
          <w:rtl/>
        </w:rPr>
        <w:t>(10)</w:t>
      </w:r>
      <w:r w:rsidRPr="00132E65">
        <w:rPr>
          <w:rtl/>
          <w:lang w:bidi="fa-IR"/>
        </w:rPr>
        <w:t xml:space="preserve"> ، وَيَفْتَحُ عَلَيْهِ إِذَا أَخْطَأَ ، حَتّى إِذَا قَرَأَهَا سَبْعِينَ مَرَّةً ، قَالَ الرَّجُلُ : مَا يَرى أَمِيرُ الْمُؤْمِنِينَ </w:t>
      </w:r>
      <w:r w:rsidRPr="00071CF9">
        <w:rPr>
          <w:rStyle w:val="libAlaemChar"/>
          <w:rtl/>
        </w:rPr>
        <w:t>عليه‌السلام</w:t>
      </w:r>
      <w:r w:rsidRPr="00132E65">
        <w:rPr>
          <w:rtl/>
          <w:lang w:bidi="fa-IR"/>
        </w:rPr>
        <w:t xml:space="preserve"> أَمْرَهُ بِتَرَدُّدِهَا </w:t>
      </w:r>
      <w:r>
        <w:rPr>
          <w:rStyle w:val="libFootnotenumChar"/>
          <w:rtl/>
        </w:rPr>
        <w:t>(11)</w:t>
      </w:r>
      <w:r w:rsidRPr="00132E65">
        <w:rPr>
          <w:rtl/>
          <w:lang w:bidi="fa-IR"/>
        </w:rPr>
        <w:t xml:space="preserve"> سَبْعِينَ مَرَّةً </w:t>
      </w:r>
      <w:r>
        <w:rPr>
          <w:rStyle w:val="libFootnotenumChar"/>
          <w:rtl/>
        </w:rPr>
        <w:t>(12)</w:t>
      </w:r>
      <w:r>
        <w:rPr>
          <w:rtl/>
          <w:lang w:bidi="fa-IR"/>
        </w:rPr>
        <w:t>؟</w:t>
      </w:r>
      <w:r w:rsidRPr="00132E65">
        <w:rPr>
          <w:rtl/>
          <w:lang w:bidi="fa-IR"/>
        </w:rPr>
        <w:t xml:space="preserve"> ثُمَّ </w:t>
      </w:r>
      <w:r w:rsidRPr="00F543F1">
        <w:rPr>
          <w:rStyle w:val="libFootnotenumChar"/>
          <w:rtl/>
        </w:rPr>
        <w:t>(13)</w:t>
      </w:r>
      <w:r w:rsidRPr="00132E65">
        <w:rPr>
          <w:rtl/>
          <w:lang w:bidi="fa-IR"/>
        </w:rPr>
        <w:t xml:space="preserve"> قَالَ </w:t>
      </w:r>
      <w:r w:rsidRPr="00F543F1">
        <w:rPr>
          <w:rStyle w:val="libFootnotenumChar"/>
          <w:rtl/>
        </w:rPr>
        <w:t>(14)</w:t>
      </w:r>
      <w:r>
        <w:rPr>
          <w:rtl/>
          <w:lang w:bidi="fa-IR"/>
        </w:rPr>
        <w:t xml:space="preserve"> لَهُ : « أَ</w:t>
      </w:r>
      <w:r w:rsidRPr="00132E65">
        <w:rPr>
          <w:rtl/>
          <w:lang w:bidi="fa-IR"/>
        </w:rPr>
        <w:t>تَجِدُ قَلْبَكَ اطْمَأَنَّ</w:t>
      </w:r>
      <w:r>
        <w:rPr>
          <w:rtl/>
          <w:lang w:bidi="fa-IR"/>
        </w:rPr>
        <w:t>؟ »</w:t>
      </w:r>
      <w:r>
        <w:rPr>
          <w:rFonts w:hint="cs"/>
          <w:rtl/>
          <w:lang w:bidi="fa-IR"/>
        </w:rPr>
        <w:t xml:space="preserve"> </w:t>
      </w:r>
      <w:r w:rsidRPr="00132E65">
        <w:rPr>
          <w:rtl/>
          <w:lang w:bidi="fa-IR"/>
        </w:rPr>
        <w:t>قَالَ : إِي والَّذِي نَفْسِي بِيَدِهِ.</w:t>
      </w:r>
    </w:p>
    <w:p w:rsidR="000C39D1" w:rsidRPr="00132E65" w:rsidRDefault="000C39D1" w:rsidP="000C39D1">
      <w:pPr>
        <w:pStyle w:val="libNormal"/>
        <w:rPr>
          <w:rtl/>
          <w:lang w:bidi="fa-IR"/>
        </w:rPr>
      </w:pPr>
      <w:r w:rsidRPr="00132E65">
        <w:rPr>
          <w:rtl/>
          <w:lang w:bidi="fa-IR"/>
        </w:rPr>
        <w:t>قَالَ : « فَمَا قَالَا لَكَ</w:t>
      </w:r>
      <w:r>
        <w:rPr>
          <w:rtl/>
          <w:lang w:bidi="fa-IR"/>
        </w:rPr>
        <w:t>؟</w:t>
      </w:r>
      <w:r w:rsidRPr="00132E65">
        <w:rPr>
          <w:rtl/>
          <w:lang w:bidi="fa-IR"/>
        </w:rPr>
        <w:t xml:space="preserve"> » فَأَخْبَرَهُ ، فَقَالَ </w:t>
      </w:r>
      <w:r w:rsidRPr="00F543F1">
        <w:rPr>
          <w:rStyle w:val="libFootnotenumChar"/>
          <w:rtl/>
        </w:rPr>
        <w:t>(1</w:t>
      </w:r>
      <w:r w:rsidRPr="00F543F1">
        <w:rPr>
          <w:rStyle w:val="libFootnotenumChar"/>
          <w:rFonts w:hint="cs"/>
          <w:rtl/>
        </w:rPr>
        <w:t>5</w:t>
      </w:r>
      <w:r w:rsidRPr="00F543F1">
        <w:rPr>
          <w:rStyle w:val="libFootnotenumChar"/>
          <w:rtl/>
        </w:rPr>
        <w:t>)</w:t>
      </w:r>
      <w:r w:rsidRPr="00132E65">
        <w:rPr>
          <w:rtl/>
          <w:lang w:bidi="fa-IR"/>
        </w:rPr>
        <w:t xml:space="preserve"> : « قُلْ لَهُمَا : كَفى بِمَنْطِقِكُمَا حُجَّةً عَلَيْكُمَا ، وَلكِنَّ اللهَ لَايَهْدِي الْقَوْمَ الظَّالِمِينَ ، زَعَمْتُمَا أَنَّكُمَا أَخَوَايَ فِي الدِّينِ ، وابْنَا عَمِّي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البحار : « الله »</w:t>
            </w:r>
            <w:r>
              <w:rPr>
                <w:rtl/>
              </w:rPr>
              <w:t>.</w:t>
            </w:r>
          </w:p>
        </w:tc>
        <w:tc>
          <w:tcPr>
            <w:tcW w:w="4006" w:type="dxa"/>
          </w:tcPr>
          <w:p w:rsidR="000C39D1" w:rsidRDefault="000C39D1" w:rsidP="00B53873">
            <w:pPr>
              <w:pStyle w:val="libFootnote0"/>
              <w:rPr>
                <w:rtl/>
              </w:rPr>
            </w:pPr>
            <w:r>
              <w:rPr>
                <w:rtl/>
              </w:rPr>
              <w:t>(2).</w:t>
            </w:r>
            <w:r w:rsidRPr="00132E65">
              <w:rPr>
                <w:rtl/>
              </w:rPr>
              <w:t xml:space="preserve"> يجوز فيه الرفع أيضاً ، خبراً ثانياً</w:t>
            </w:r>
            <w:r>
              <w:rPr>
                <w:rtl/>
              </w:rPr>
              <w:t xml:space="preserve"> ل</w:t>
            </w:r>
            <w:r>
              <w:rPr>
                <w:rFonts w:hint="cs"/>
                <w:rtl/>
              </w:rPr>
              <w:t>ـ</w:t>
            </w:r>
            <w:r>
              <w:rPr>
                <w:rtl/>
              </w:rPr>
              <w:t xml:space="preserve"> «</w:t>
            </w:r>
            <w:r w:rsidRPr="00132E65">
              <w:rPr>
                <w:rtl/>
              </w:rPr>
              <w:t xml:space="preserve"> هو »</w:t>
            </w:r>
            <w:r>
              <w:rPr>
                <w:rtl/>
              </w:rPr>
              <w:t>.</w:t>
            </w:r>
          </w:p>
        </w:tc>
      </w:tr>
    </w:tbl>
    <w:p w:rsidR="000C39D1" w:rsidRPr="00132E65" w:rsidRDefault="000C39D1" w:rsidP="000C39D1">
      <w:pPr>
        <w:pStyle w:val="libFootnote0"/>
        <w:rPr>
          <w:rtl/>
          <w:lang w:bidi="fa-IR"/>
        </w:rPr>
      </w:pPr>
      <w:r>
        <w:rPr>
          <w:rtl/>
        </w:rPr>
        <w:t>(3).</w:t>
      </w:r>
      <w:r w:rsidRPr="00132E65">
        <w:rPr>
          <w:rtl/>
        </w:rPr>
        <w:t xml:space="preserve"> في البحار : « لك »</w:t>
      </w:r>
      <w:r>
        <w:rPr>
          <w:rtl/>
        </w:rPr>
        <w:t>.</w:t>
      </w:r>
      <w:r w:rsidRPr="00132E65">
        <w:rPr>
          <w:rtl/>
        </w:rPr>
        <w:t xml:space="preserve"> وقوله : « تقدّم إليك » ، أي أوصى وأمر. يقال : تقدّم إليه في كذا ، أي أمره وأوصاه به ، فالباء</w:t>
      </w:r>
      <w:r>
        <w:rPr>
          <w:rFonts w:hint="cs"/>
          <w:rtl/>
        </w:rPr>
        <w:t xml:space="preserve"> </w:t>
      </w:r>
      <w:r w:rsidRPr="00132E65">
        <w:rPr>
          <w:rtl/>
        </w:rPr>
        <w:t>في « بما » بمعنى « في »</w:t>
      </w:r>
      <w:r>
        <w:rPr>
          <w:rtl/>
        </w:rPr>
        <w:t>.</w:t>
      </w:r>
      <w:r w:rsidRPr="00132E65">
        <w:rPr>
          <w:rtl/>
        </w:rPr>
        <w:t xml:space="preserve"> راجع : </w:t>
      </w:r>
      <w:r w:rsidRPr="00092F66">
        <w:rPr>
          <w:rStyle w:val="libFootnoteBoldChar"/>
          <w:rtl/>
        </w:rPr>
        <w:t>القاموس المحيط</w:t>
      </w:r>
      <w:r w:rsidRPr="00132E65">
        <w:rPr>
          <w:rtl/>
        </w:rPr>
        <w:t xml:space="preserve"> ، ج 2 ، ص 1511 ( قدم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نعم الل</w:t>
      </w:r>
      <w:r>
        <w:rPr>
          <w:rFonts w:hint="cs"/>
          <w:rtl/>
        </w:rPr>
        <w:t>ّ</w:t>
      </w:r>
      <w:r w:rsidRPr="00132E65">
        <w:rPr>
          <w:rtl/>
        </w:rPr>
        <w:t>همّ »</w:t>
      </w:r>
      <w:r>
        <w:rPr>
          <w:rtl/>
        </w:rPr>
        <w:t>.</w:t>
      </w:r>
    </w:p>
    <w:p w:rsidR="000C39D1" w:rsidRPr="00132E65" w:rsidRDefault="000C39D1" w:rsidP="000C39D1">
      <w:pPr>
        <w:pStyle w:val="libFootnote0"/>
        <w:rPr>
          <w:rtl/>
          <w:lang w:bidi="fa-IR"/>
        </w:rPr>
      </w:pPr>
      <w:r>
        <w:rPr>
          <w:rtl/>
        </w:rPr>
        <w:t>(5).</w:t>
      </w:r>
      <w:r w:rsidRPr="00132E65">
        <w:rPr>
          <w:rtl/>
        </w:rPr>
        <w:t xml:space="preserve"> « الطَرْفُ » : جَفْنُ العين وغطاؤها. والمراد بارتداد الطَرْف إغضاؤه ، وعدم ارتداده كناية عن الموت الدفعي ؛ فإنّ الميّت تبقى عينه مفتوحة. راجع : </w:t>
      </w:r>
      <w:r w:rsidRPr="00092F66">
        <w:rPr>
          <w:rStyle w:val="libFootnoteBoldChar"/>
          <w:rtl/>
        </w:rPr>
        <w:t>المفردات</w:t>
      </w:r>
      <w:r w:rsidRPr="00132E65">
        <w:rPr>
          <w:rtl/>
        </w:rPr>
        <w:t xml:space="preserve"> للراغب ، ص 517 ( طرف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بح » </w:t>
            </w:r>
            <w:r>
              <w:rPr>
                <w:rtl/>
              </w:rPr>
              <w:t xml:space="preserve">: - </w:t>
            </w:r>
            <w:r w:rsidRPr="00132E65">
              <w:rPr>
                <w:rtl/>
              </w:rPr>
              <w:t>« الله »</w:t>
            </w:r>
            <w:r>
              <w:rPr>
                <w:rtl/>
              </w:rPr>
              <w:t>.</w:t>
            </w:r>
          </w:p>
        </w:tc>
        <w:tc>
          <w:tcPr>
            <w:tcW w:w="4006" w:type="dxa"/>
          </w:tcPr>
          <w:p w:rsidR="000C39D1" w:rsidRDefault="000C39D1" w:rsidP="00B53873">
            <w:pPr>
              <w:pStyle w:val="libFootnote0"/>
              <w:rPr>
                <w:rtl/>
              </w:rPr>
            </w:pPr>
            <w:r>
              <w:rPr>
                <w:rtl/>
              </w:rPr>
              <w:t>(7). في«ب،ج، ف،ه‍،بح، بس،بف» : «نعم الل</w:t>
            </w:r>
            <w:r>
              <w:rPr>
                <w:rFonts w:hint="cs"/>
                <w:rtl/>
              </w:rPr>
              <w:t>ّ</w:t>
            </w:r>
            <w:r>
              <w:rPr>
                <w:rtl/>
              </w:rPr>
              <w:t>همّ</w:t>
            </w:r>
            <w:r w:rsidRPr="00132E65">
              <w:rPr>
                <w:rtl/>
              </w:rPr>
              <w:t>»</w:t>
            </w:r>
            <w:r>
              <w:rPr>
                <w:rtl/>
              </w:rPr>
              <w:t>.</w:t>
            </w:r>
          </w:p>
        </w:tc>
      </w:tr>
    </w:tbl>
    <w:p w:rsidR="000C39D1" w:rsidRPr="00132E65" w:rsidRDefault="000C39D1" w:rsidP="000C39D1">
      <w:pPr>
        <w:pStyle w:val="libFootnote0"/>
        <w:rPr>
          <w:rtl/>
          <w:lang w:bidi="fa-IR"/>
        </w:rPr>
      </w:pPr>
      <w:r>
        <w:rPr>
          <w:rtl/>
        </w:rPr>
        <w:t>(8).</w:t>
      </w:r>
      <w:r w:rsidRPr="00132E65">
        <w:rPr>
          <w:rtl/>
        </w:rPr>
        <w:t xml:space="preserve"> في « بر » : « فجعل »</w:t>
      </w:r>
      <w:r>
        <w:rPr>
          <w:rtl/>
        </w:rPr>
        <w:t>.</w:t>
      </w:r>
    </w:p>
    <w:p w:rsidR="000C39D1" w:rsidRPr="00132E65" w:rsidRDefault="000C39D1" w:rsidP="000C39D1">
      <w:pPr>
        <w:pStyle w:val="libFootnote0"/>
        <w:rPr>
          <w:rtl/>
          <w:lang w:bidi="fa-IR"/>
        </w:rPr>
      </w:pPr>
      <w:r>
        <w:rPr>
          <w:rtl/>
        </w:rPr>
        <w:t>(9).</w:t>
      </w:r>
      <w:r w:rsidRPr="00132E65">
        <w:rPr>
          <w:rtl/>
        </w:rPr>
        <w:t xml:space="preserve"> في « ف ، ه‍ ، بح » وحاشية « ب ، ج » والبحار :</w:t>
      </w:r>
      <w:r>
        <w:rPr>
          <w:rtl/>
        </w:rPr>
        <w:t xml:space="preserve"> + </w:t>
      </w:r>
      <w:r w:rsidRPr="00132E65">
        <w:rPr>
          <w:rtl/>
        </w:rPr>
        <w:t>« عليه »</w:t>
      </w:r>
      <w:r>
        <w:rPr>
          <w:rtl/>
        </w:rPr>
        <w:t>.</w:t>
      </w:r>
      <w:r w:rsidRPr="00132E65">
        <w:rPr>
          <w:rtl/>
        </w:rPr>
        <w:t xml:space="preserve"> وقوله : « يكرّرها » ، أي يأمره بتكريرها وترديدها ويبيّن غلطه إذا أخطأ.</w:t>
      </w:r>
      <w:r>
        <w:rPr>
          <w:rFonts w:hint="cs"/>
          <w:rtl/>
        </w:rPr>
        <w:t xml:space="preserve">                         </w:t>
      </w:r>
      <w:r w:rsidR="0033724D">
        <w:rPr>
          <w:rFonts w:hint="cs"/>
          <w:rtl/>
        </w:rPr>
        <w:t xml:space="preserve">       </w:t>
      </w:r>
      <w:r>
        <w:rPr>
          <w:rFonts w:hint="cs"/>
          <w:rtl/>
        </w:rPr>
        <w:t xml:space="preserve">    </w:t>
      </w:r>
      <w:r>
        <w:rPr>
          <w:rtl/>
        </w:rPr>
        <w:t>(10).</w:t>
      </w:r>
      <w:r w:rsidRPr="00132E65">
        <w:rPr>
          <w:rtl/>
        </w:rPr>
        <w:t xml:space="preserve"> في « ض » :</w:t>
      </w:r>
      <w:r>
        <w:rPr>
          <w:rtl/>
        </w:rPr>
        <w:t xml:space="preserve"> + </w:t>
      </w:r>
      <w:r w:rsidRPr="00132E65">
        <w:rPr>
          <w:rtl/>
        </w:rPr>
        <w:t>« عليه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عن بعض النسخ : « يردّدها »</w:t>
      </w:r>
      <w:r>
        <w:rPr>
          <w:rtl/>
        </w:rPr>
        <w:t>.</w:t>
      </w:r>
      <w:r w:rsidRPr="00132E65">
        <w:rPr>
          <w:rtl/>
        </w:rPr>
        <w:t xml:space="preserve"> بصيغة المضارع.</w:t>
      </w:r>
    </w:p>
    <w:p w:rsidR="000C39D1" w:rsidRPr="00132E65" w:rsidRDefault="000C39D1" w:rsidP="000C39D1">
      <w:pPr>
        <w:pStyle w:val="libFootnote0"/>
        <w:rPr>
          <w:rtl/>
          <w:lang w:bidi="fa-IR"/>
        </w:rPr>
      </w:pPr>
      <w:r>
        <w:rPr>
          <w:rtl/>
        </w:rPr>
        <w:t>(12).</w:t>
      </w:r>
      <w:r w:rsidRPr="00132E65">
        <w:rPr>
          <w:rtl/>
        </w:rPr>
        <w:t xml:space="preserve"> في « ف » :</w:t>
      </w:r>
      <w:r>
        <w:rPr>
          <w:rtl/>
        </w:rPr>
        <w:t xml:space="preserve"> + « إل</w:t>
      </w:r>
      <w:r>
        <w:rPr>
          <w:rFonts w:hint="cs"/>
          <w:rtl/>
        </w:rPr>
        <w:t>ّ</w:t>
      </w:r>
      <w:r>
        <w:rPr>
          <w:rtl/>
        </w:rPr>
        <w:t>ا</w:t>
      </w:r>
      <w:r w:rsidRPr="00132E65">
        <w:rPr>
          <w:rtl/>
        </w:rPr>
        <w:t xml:space="preserve"> وهو يرى أنّه لا يجاوز سحر على من يردّدها سبعين مرّة »</w:t>
      </w:r>
      <w:r>
        <w:rPr>
          <w:rtl/>
        </w:rPr>
        <w:t>.</w:t>
      </w:r>
      <w:r w:rsidRPr="00132E65">
        <w:rPr>
          <w:rtl/>
        </w:rPr>
        <w:t xml:space="preserve"> وعليه</w:t>
      </w:r>
      <w:r>
        <w:rPr>
          <w:rtl/>
        </w:rPr>
        <w:t xml:space="preserve"> ف</w:t>
      </w:r>
      <w:r>
        <w:rPr>
          <w:rFonts w:hint="cs"/>
          <w:rtl/>
        </w:rPr>
        <w:t>ـ</w:t>
      </w:r>
      <w:r>
        <w:rPr>
          <w:rtl/>
        </w:rPr>
        <w:t xml:space="preserve"> « ما » في قوله : «</w:t>
      </w:r>
      <w:r w:rsidRPr="00132E65">
        <w:rPr>
          <w:rtl/>
        </w:rPr>
        <w:t>ما يرى » نافية.</w:t>
      </w:r>
    </w:p>
    <w:p w:rsidR="000C39D1" w:rsidRPr="00132E65" w:rsidRDefault="000C39D1" w:rsidP="000C39D1">
      <w:pPr>
        <w:pStyle w:val="libFootnote0"/>
        <w:rPr>
          <w:rtl/>
          <w:lang w:bidi="fa-IR"/>
        </w:rPr>
      </w:pPr>
      <w:r>
        <w:rPr>
          <w:rtl/>
        </w:rPr>
        <w:t>(13)</w:t>
      </w:r>
      <w:r w:rsidRPr="00132E65">
        <w:rPr>
          <w:rtl/>
        </w:rPr>
        <w:t xml:space="preserve"> في « ب ، ج ، ض ، بح ، بس ، بف » و</w:t>
      </w:r>
      <w:r w:rsidRPr="009D1ACE">
        <w:rPr>
          <w:rStyle w:val="libFootnoteBoldChar"/>
          <w:rtl/>
        </w:rPr>
        <w:t>الوافي</w:t>
      </w:r>
      <w:r w:rsidRPr="00132E65">
        <w:rPr>
          <w:rtl/>
        </w:rPr>
        <w:t xml:space="preserve"> والبحار </w:t>
      </w:r>
      <w:r>
        <w:rPr>
          <w:rtl/>
        </w:rPr>
        <w:t xml:space="preserve">: - </w:t>
      </w:r>
      <w:r w:rsidRPr="00132E65">
        <w:rPr>
          <w:rtl/>
        </w:rPr>
        <w:t>« ثمّ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(14)</w:t>
            </w:r>
            <w:r w:rsidRPr="00132E65">
              <w:rPr>
                <w:rtl/>
              </w:rPr>
              <w:t xml:space="preserve"> في « بس » : « فقال »</w:t>
            </w:r>
            <w:r>
              <w:rPr>
                <w:rtl/>
              </w:rPr>
              <w:t>.</w:t>
            </w:r>
          </w:p>
        </w:tc>
        <w:tc>
          <w:tcPr>
            <w:tcW w:w="4006" w:type="dxa"/>
          </w:tcPr>
          <w:p w:rsidR="000C39D1" w:rsidRDefault="000C39D1" w:rsidP="00B53873">
            <w:pPr>
              <w:pStyle w:val="libFootnote0"/>
              <w:rPr>
                <w:rtl/>
              </w:rPr>
            </w:pPr>
            <w:r>
              <w:rPr>
                <w:rtl/>
              </w:rPr>
              <w:t>(15)</w:t>
            </w:r>
            <w:r w:rsidRPr="00132E65">
              <w:rPr>
                <w:rtl/>
              </w:rPr>
              <w:t xml:space="preserve"> في « ض » : « وقال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فِي النَّسَبِ ؛ فَأَمَّا </w:t>
      </w:r>
      <w:r>
        <w:rPr>
          <w:rStyle w:val="libFootnotenumChar"/>
          <w:rtl/>
        </w:rPr>
        <w:t>(1)</w:t>
      </w:r>
      <w:r w:rsidRPr="00132E65">
        <w:rPr>
          <w:rtl/>
          <w:lang w:bidi="fa-IR"/>
        </w:rPr>
        <w:t xml:space="preserve"> النَّسَبُ فَلَا أُنْكِرُهُ ، وإِنْ كَانَ النَّسَبُ مَقْطُوعاً </w:t>
      </w:r>
      <w:r>
        <w:rPr>
          <w:rStyle w:val="libFootnotenumChar"/>
          <w:rtl/>
        </w:rPr>
        <w:t>(2)</w:t>
      </w:r>
      <w:r>
        <w:rPr>
          <w:rtl/>
          <w:lang w:bidi="fa-IR"/>
        </w:rPr>
        <w:t xml:space="preserve"> إِل</w:t>
      </w:r>
      <w:r>
        <w:rPr>
          <w:rFonts w:hint="cs"/>
          <w:rtl/>
          <w:lang w:bidi="fa-IR"/>
        </w:rPr>
        <w:t>َّ</w:t>
      </w:r>
      <w:r>
        <w:rPr>
          <w:rtl/>
          <w:lang w:bidi="fa-IR"/>
        </w:rPr>
        <w:t>ا</w:t>
      </w:r>
      <w:r w:rsidRPr="00132E65">
        <w:rPr>
          <w:rtl/>
          <w:lang w:bidi="fa-IR"/>
        </w:rPr>
        <w:t xml:space="preserve"> مَا و</w:t>
      </w:r>
      <w:r>
        <w:rPr>
          <w:rFonts w:hint="cs"/>
          <w:rtl/>
          <w:lang w:bidi="fa-IR"/>
        </w:rPr>
        <w:t>َ</w:t>
      </w:r>
      <w:r w:rsidRPr="00132E65">
        <w:rPr>
          <w:rtl/>
          <w:lang w:bidi="fa-IR"/>
        </w:rPr>
        <w:t>صَلَهُ اللهُ بِالْإِسْلَامِ.</w:t>
      </w:r>
    </w:p>
    <w:p w:rsidR="000C39D1" w:rsidRPr="00132E65" w:rsidRDefault="000C39D1" w:rsidP="000C39D1">
      <w:pPr>
        <w:pStyle w:val="libNormal"/>
        <w:rPr>
          <w:rtl/>
          <w:lang w:bidi="fa-IR"/>
        </w:rPr>
      </w:pPr>
      <w:r w:rsidRPr="00132E65">
        <w:rPr>
          <w:rtl/>
          <w:lang w:bidi="fa-IR"/>
        </w:rPr>
        <w:t xml:space="preserve">وَأَمَّا قَوْلُكُمَا : إِنَّكُمَا أَخَوَايَ فِي الدِّينِ </w:t>
      </w:r>
      <w:r>
        <w:rPr>
          <w:rStyle w:val="libFootnotenumChar"/>
          <w:rtl/>
        </w:rPr>
        <w:t>(3)</w:t>
      </w:r>
      <w:r w:rsidRPr="00132E65">
        <w:rPr>
          <w:rtl/>
          <w:lang w:bidi="fa-IR"/>
        </w:rPr>
        <w:t xml:space="preserve"> ، فَإِنْ كُنْتُمَا صَادِقَيْنِ ، فَقَدْ فَارَقْتُمَا كِتَابَ اللهِ عَزَّ وجَلَّ ، وعَصَيْتُمَا أَمْرَهُ بِأَفْعَالِكُمَا فِي أ</w:t>
      </w:r>
      <w:r>
        <w:rPr>
          <w:rtl/>
          <w:lang w:bidi="fa-IR"/>
        </w:rPr>
        <w:t>َخِيكُمَا فِي الدِّينِ ، وإِل</w:t>
      </w:r>
      <w:r>
        <w:rPr>
          <w:rFonts w:hint="cs"/>
          <w:rtl/>
          <w:lang w:bidi="fa-IR"/>
        </w:rPr>
        <w:t>َّ</w:t>
      </w:r>
      <w:r>
        <w:rPr>
          <w:rtl/>
          <w:lang w:bidi="fa-IR"/>
        </w:rPr>
        <w:t>ا</w:t>
      </w:r>
      <w:r w:rsidRPr="00132E65">
        <w:rPr>
          <w:rtl/>
          <w:lang w:bidi="fa-IR"/>
        </w:rPr>
        <w:t xml:space="preserve"> فَقَدْ كَذَبْتُمَا وَافْتَرَيْتُمَا بِادِّعَائِكُمَا أَنَّكُمَا أَخَوَايَ فِي الدِّينِ.</w:t>
      </w:r>
    </w:p>
    <w:p w:rsidR="000C39D1" w:rsidRPr="00132E65" w:rsidRDefault="000C39D1" w:rsidP="000C39D1">
      <w:pPr>
        <w:pStyle w:val="libNormal"/>
        <w:rPr>
          <w:rtl/>
          <w:lang w:bidi="fa-IR"/>
        </w:rPr>
      </w:pPr>
      <w:r w:rsidRPr="00132E65">
        <w:rPr>
          <w:rtl/>
          <w:lang w:bidi="fa-IR"/>
        </w:rPr>
        <w:t xml:space="preserve">وَأَمَّا مُفَارَقَتُكُمَا النَّاسَ مُنْذُ قَبَضَ اللهُ مُحَمَّداً </w:t>
      </w:r>
      <w:r w:rsidRPr="00071CF9">
        <w:rPr>
          <w:rStyle w:val="libAlaemChar"/>
          <w:rtl/>
        </w:rPr>
        <w:t>صلى‌الله‌عليه‌وآله</w:t>
      </w:r>
      <w:r w:rsidRPr="00132E65">
        <w:rPr>
          <w:rtl/>
          <w:lang w:bidi="fa-IR"/>
        </w:rPr>
        <w:t xml:space="preserve"> ، فَإِنْ كُنْتُمَا فَارَقْتُمَاهُمْ </w:t>
      </w:r>
      <w:r>
        <w:rPr>
          <w:rStyle w:val="libFootnotenumChar"/>
          <w:rtl/>
        </w:rPr>
        <w:t>(4)</w:t>
      </w:r>
      <w:r w:rsidRPr="00132E65">
        <w:rPr>
          <w:rtl/>
          <w:lang w:bidi="fa-IR"/>
        </w:rPr>
        <w:t xml:space="preserve"> بِحَقٍّ ، فَقَدْ نَقَضْتُمَا ذلِكَ الْحَقَّ بِفِرَاقِكُمَا إِيَّايَ أَخِيراً ، وإِنْ </w:t>
      </w:r>
      <w:r>
        <w:rPr>
          <w:rStyle w:val="libFootnotenumChar"/>
          <w:rtl/>
        </w:rPr>
        <w:t>(5)</w:t>
      </w:r>
      <w:r w:rsidRPr="00132E65">
        <w:rPr>
          <w:rtl/>
          <w:lang w:bidi="fa-IR"/>
        </w:rPr>
        <w:t xml:space="preserve"> فَارَقْتُمَاهُمْ بِبَاطِلٍ ، فَقَدْ وقَعَ إِثْمُ ذلِكَ الْبَاطِلِ عَلَيْكُمَا مَعَ الْحَدَثِ الَّذِي أَحْدَثْتُمَا ، مَعَ أَنَّ صِفَتَكُمَا </w:t>
      </w:r>
      <w:r>
        <w:rPr>
          <w:rStyle w:val="libFootnotenumChar"/>
          <w:rtl/>
        </w:rPr>
        <w:t>(6)</w:t>
      </w:r>
      <w:r w:rsidRPr="00132E65">
        <w:rPr>
          <w:rtl/>
          <w:lang w:bidi="fa-IR"/>
        </w:rPr>
        <w:t xml:space="preserve"> بِمُفَارَقَتِكُمَا النَّاسَ لَمْ تَكُنْ </w:t>
      </w:r>
      <w:r>
        <w:rPr>
          <w:rStyle w:val="libFootnotenumChar"/>
          <w:rtl/>
        </w:rPr>
        <w:t>(7)</w:t>
      </w:r>
      <w:r>
        <w:rPr>
          <w:rtl/>
          <w:lang w:bidi="fa-IR"/>
        </w:rPr>
        <w:t xml:space="preserve"> إِل</w:t>
      </w:r>
      <w:r>
        <w:rPr>
          <w:rFonts w:hint="cs"/>
          <w:rtl/>
          <w:lang w:bidi="fa-IR"/>
        </w:rPr>
        <w:t>َّ</w:t>
      </w:r>
      <w:r>
        <w:rPr>
          <w:rtl/>
          <w:lang w:bidi="fa-IR"/>
        </w:rPr>
        <w:t>ا</w:t>
      </w:r>
      <w:r w:rsidRPr="00132E65">
        <w:rPr>
          <w:rtl/>
          <w:lang w:bidi="fa-IR"/>
        </w:rPr>
        <w:t xml:space="preserve"> لِطَمَعِ </w:t>
      </w:r>
      <w:r>
        <w:rPr>
          <w:rStyle w:val="libFootnotenumChar"/>
          <w:rtl/>
        </w:rPr>
        <w:t>(8)</w:t>
      </w:r>
      <w:r w:rsidRPr="00132E65">
        <w:rPr>
          <w:rtl/>
          <w:lang w:bidi="fa-IR"/>
        </w:rPr>
        <w:t xml:space="preserve"> الدُّنْيَا زَعَمْتُمَا ، وذلِكَ قَوْلُكُمَا : « فَقَطَعْتَ </w:t>
      </w:r>
      <w:r>
        <w:rPr>
          <w:rStyle w:val="libFootnotenumChar"/>
          <w:rtl/>
        </w:rPr>
        <w:t>(9)</w:t>
      </w:r>
      <w:r w:rsidRPr="00132E65">
        <w:rPr>
          <w:rtl/>
          <w:lang w:bidi="fa-IR"/>
        </w:rPr>
        <w:t xml:space="preserve"> رَجَاءَنَا » لَاتَعِيبَانِ بِحَمْدِ اللهِ </w:t>
      </w:r>
      <w:r>
        <w:rPr>
          <w:rStyle w:val="libFootnotenumChar"/>
          <w:rtl/>
        </w:rPr>
        <w:t>(10)</w:t>
      </w:r>
      <w:r w:rsidRPr="00132E65">
        <w:rPr>
          <w:rtl/>
          <w:lang w:bidi="fa-IR"/>
        </w:rPr>
        <w:t xml:space="preserve"> مِنْ دِينِي شَيْئاً.</w:t>
      </w:r>
    </w:p>
    <w:p w:rsidR="000C39D1" w:rsidRPr="00132E65" w:rsidRDefault="000C39D1" w:rsidP="000C39D1">
      <w:pPr>
        <w:pStyle w:val="libNormal"/>
        <w:rPr>
          <w:rtl/>
          <w:lang w:bidi="fa-IR"/>
        </w:rPr>
      </w:pPr>
      <w:r w:rsidRPr="00132E65">
        <w:rPr>
          <w:rtl/>
          <w:lang w:bidi="fa-IR"/>
        </w:rPr>
        <w:t xml:space="preserve">وَأَمَّا الَّذِي صَرَفَنِي عَنْ صِلَتِكُمَا ، فَالَّذِي صَرَفَكُمَا عَنِ الْحَقِّ ، وحَمَلَكُمَا عَلى خَلْعِهِ مِنْ رِقَابِكُمَا ، كَمَا يَخْلَعُ الْحَرُونُ </w:t>
      </w:r>
      <w:r>
        <w:rPr>
          <w:rStyle w:val="libFootnotenumChar"/>
          <w:rtl/>
        </w:rPr>
        <w:t>(11)</w:t>
      </w:r>
      <w:r w:rsidRPr="00132E65">
        <w:rPr>
          <w:rtl/>
          <w:lang w:bidi="fa-IR"/>
        </w:rPr>
        <w:t xml:space="preserve"> لِجَامَهُ ، وهُوَ اللهُ رَبِّي لَا</w:t>
      </w:r>
      <w:r>
        <w:rPr>
          <w:rFonts w:hint="cs"/>
          <w:rtl/>
          <w:lang w:bidi="fa-IR"/>
        </w:rPr>
        <w:t xml:space="preserve"> </w:t>
      </w:r>
      <w:r w:rsidRPr="00132E65">
        <w:rPr>
          <w:rtl/>
          <w:lang w:bidi="fa-IR"/>
        </w:rPr>
        <w:t xml:space="preserve">أُشْرِكُ بِهِ شَيْئاً ، فَلَا تَقُولَا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البحار : « أمّا »</w:t>
      </w:r>
      <w:r>
        <w:rPr>
          <w:rtl/>
        </w:rPr>
        <w:t>.</w:t>
      </w:r>
    </w:p>
    <w:p w:rsidR="000C39D1" w:rsidRPr="00132E65" w:rsidRDefault="000C39D1" w:rsidP="000C39D1">
      <w:pPr>
        <w:pStyle w:val="libFootnote0"/>
        <w:rPr>
          <w:rtl/>
          <w:lang w:bidi="fa-IR"/>
        </w:rPr>
      </w:pPr>
      <w:r>
        <w:rPr>
          <w:rtl/>
        </w:rPr>
        <w:t>(2).</w:t>
      </w:r>
      <w:r w:rsidRPr="00132E65">
        <w:rPr>
          <w:rtl/>
        </w:rPr>
        <w:t xml:space="preserve"> في « بر » : « منقطعاً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البحار </w:t>
            </w:r>
            <w:r>
              <w:rPr>
                <w:rtl/>
              </w:rPr>
              <w:t xml:space="preserve">: - </w:t>
            </w:r>
            <w:r w:rsidRPr="00132E65">
              <w:rPr>
                <w:rtl/>
              </w:rPr>
              <w:t>« في الدين »</w:t>
            </w:r>
            <w:r>
              <w:rPr>
                <w:rtl/>
              </w:rPr>
              <w:t>.</w:t>
            </w:r>
          </w:p>
        </w:tc>
        <w:tc>
          <w:tcPr>
            <w:tcW w:w="4006" w:type="dxa"/>
          </w:tcPr>
          <w:p w:rsidR="000C39D1" w:rsidRDefault="000C39D1" w:rsidP="00B53873">
            <w:pPr>
              <w:pStyle w:val="libFootnote0"/>
              <w:rPr>
                <w:rtl/>
              </w:rPr>
            </w:pPr>
            <w:r>
              <w:rPr>
                <w:rtl/>
              </w:rPr>
              <w:t>(4).</w:t>
            </w:r>
            <w:r w:rsidRPr="00132E65">
              <w:rPr>
                <w:rtl/>
              </w:rPr>
              <w:t xml:space="preserve"> في « بف » : « قد فارقتماهم »</w:t>
            </w:r>
            <w:r>
              <w:rPr>
                <w:rtl/>
              </w:rPr>
              <w:t>.</w:t>
            </w:r>
          </w:p>
        </w:tc>
      </w:tr>
    </w:tbl>
    <w:p w:rsidR="000C39D1" w:rsidRPr="00132E65" w:rsidRDefault="000C39D1" w:rsidP="000C39D1">
      <w:pPr>
        <w:pStyle w:val="libFootnote0"/>
        <w:rPr>
          <w:rtl/>
          <w:lang w:bidi="fa-IR"/>
        </w:rPr>
      </w:pPr>
      <w:r>
        <w:rPr>
          <w:rtl/>
        </w:rPr>
        <w:t>(5).</w:t>
      </w:r>
      <w:r w:rsidRPr="00132E65">
        <w:rPr>
          <w:rtl/>
        </w:rPr>
        <w:t xml:space="preserve"> في « بف » : « فإن »</w:t>
      </w:r>
      <w:r>
        <w:rPr>
          <w:rtl/>
        </w:rPr>
        <w:t>.</w:t>
      </w:r>
    </w:p>
    <w:p w:rsidR="000C39D1" w:rsidRPr="00132E65" w:rsidRDefault="000C39D1" w:rsidP="000C39D1">
      <w:pPr>
        <w:pStyle w:val="libFootnote0"/>
        <w:rPr>
          <w:rtl/>
          <w:lang w:bidi="fa-IR"/>
        </w:rPr>
      </w:pPr>
      <w:r>
        <w:rPr>
          <w:rtl/>
        </w:rPr>
        <w:t>(6).</w:t>
      </w:r>
      <w:r w:rsidRPr="00132E65">
        <w:rPr>
          <w:rtl/>
        </w:rPr>
        <w:t xml:space="preserve"> هكذا في « ب ، ج ، ض ، ف ، و، بح ، بر ، بس ، بف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وفي « ه‍ » وحاشية « بس ، بف » : « صفقكما »</w:t>
      </w:r>
      <w:r>
        <w:rPr>
          <w:rtl/>
        </w:rPr>
        <w:t>.</w:t>
      </w:r>
      <w:r w:rsidRPr="00132E65">
        <w:rPr>
          <w:rtl/>
        </w:rPr>
        <w:t xml:space="preserve"> وفي المطبوع : « صفقتكما »</w:t>
      </w:r>
      <w:r>
        <w:rPr>
          <w:rtl/>
        </w:rPr>
        <w:t>.</w:t>
      </w:r>
    </w:p>
    <w:p w:rsidR="000C39D1" w:rsidRPr="00132E65" w:rsidRDefault="000C39D1" w:rsidP="000C39D1">
      <w:pPr>
        <w:pStyle w:val="libFootnote0"/>
        <w:rPr>
          <w:rtl/>
          <w:lang w:bidi="fa-IR"/>
        </w:rPr>
      </w:pPr>
      <w:r>
        <w:rPr>
          <w:rtl/>
        </w:rPr>
        <w:t>(7).</w:t>
      </w:r>
      <w:r w:rsidRPr="00132E65">
        <w:rPr>
          <w:rtl/>
        </w:rPr>
        <w:t xml:space="preserve"> في « ب ، ج ، ض ، ه‍ ، و، بح ، بس » والبحار : « لم يكن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ب » : « بطمع »</w:t>
            </w:r>
            <w:r>
              <w:rPr>
                <w:rtl/>
              </w:rPr>
              <w:t>.</w:t>
            </w:r>
          </w:p>
        </w:tc>
        <w:tc>
          <w:tcPr>
            <w:tcW w:w="4006" w:type="dxa"/>
          </w:tcPr>
          <w:p w:rsidR="000C39D1" w:rsidRDefault="000C39D1" w:rsidP="00B53873">
            <w:pPr>
              <w:pStyle w:val="libFootnote0"/>
              <w:rPr>
                <w:rtl/>
              </w:rPr>
            </w:pPr>
            <w:r>
              <w:rPr>
                <w:rtl/>
              </w:rPr>
              <w:t>(9).</w:t>
            </w:r>
            <w:r w:rsidRPr="00132E65">
              <w:rPr>
                <w:rtl/>
              </w:rPr>
              <w:t xml:space="preserve"> في البحار : « قطعت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البحار :</w:t>
      </w:r>
      <w:r>
        <w:rPr>
          <w:rtl/>
        </w:rPr>
        <w:t xml:space="preserve"> + </w:t>
      </w:r>
      <w:r w:rsidRPr="00132E65">
        <w:rPr>
          <w:rtl/>
        </w:rPr>
        <w:t>« عليّ »</w:t>
      </w:r>
      <w:r>
        <w:rPr>
          <w:rtl/>
        </w:rPr>
        <w:t>.</w:t>
      </w:r>
    </w:p>
    <w:p w:rsidR="000C39D1" w:rsidRPr="00132E65" w:rsidRDefault="000C39D1" w:rsidP="000C39D1">
      <w:pPr>
        <w:pStyle w:val="libFootnote0"/>
        <w:rPr>
          <w:rtl/>
          <w:lang w:bidi="fa-IR"/>
        </w:rPr>
      </w:pPr>
      <w:r>
        <w:rPr>
          <w:rtl/>
        </w:rPr>
        <w:t>(11).</w:t>
      </w:r>
      <w:r w:rsidRPr="00132E65">
        <w:rPr>
          <w:rtl/>
        </w:rPr>
        <w:t xml:space="preserve"> « فرس حَرونٌ » ، أي لا ينقاد ، وإذا اشتدّ به الجري وقف. أو هي التي إذا اسْتُدِرَّ جريُها وقفت ، وإنّما ذلك في‌ذوات الحوافر خاصّة. راجع : </w:t>
      </w:r>
      <w:r w:rsidRPr="006317A6">
        <w:rPr>
          <w:rStyle w:val="libFootnoteBoldChar"/>
          <w:rtl/>
        </w:rPr>
        <w:t>الصحاح</w:t>
      </w:r>
      <w:r w:rsidRPr="00132E65">
        <w:rPr>
          <w:rtl/>
        </w:rPr>
        <w:t xml:space="preserve"> ، ج 5 ، ص 2097 ؛ </w:t>
      </w:r>
      <w:r w:rsidRPr="009D1ACE">
        <w:rPr>
          <w:rStyle w:val="libFootnoteBoldChar"/>
          <w:rtl/>
        </w:rPr>
        <w:t>لسان العرب</w:t>
      </w:r>
      <w:r w:rsidRPr="00132E65">
        <w:rPr>
          <w:rtl/>
        </w:rPr>
        <w:t xml:space="preserve"> ، ج 13 ، ص 110 ( حرن )</w:t>
      </w:r>
      <w:r>
        <w:rPr>
          <w:rtl/>
        </w:rPr>
        <w:t>.</w:t>
      </w:r>
    </w:p>
    <w:p w:rsidR="000C39D1" w:rsidRPr="00132E65" w:rsidRDefault="000C39D1" w:rsidP="000C39D1">
      <w:pPr>
        <w:pStyle w:val="libFootnote0"/>
        <w:rPr>
          <w:rtl/>
          <w:lang w:bidi="fa-IR"/>
        </w:rPr>
      </w:pPr>
      <w:r>
        <w:rPr>
          <w:rtl/>
        </w:rPr>
        <w:t>(12).</w:t>
      </w:r>
      <w:r w:rsidRPr="00132E65">
        <w:rPr>
          <w:rtl/>
        </w:rPr>
        <w:t xml:space="preserve"> في البحار :</w:t>
      </w:r>
      <w:r>
        <w:rPr>
          <w:rtl/>
        </w:rPr>
        <w:t xml:space="preserve"> + </w:t>
      </w:r>
      <w:r w:rsidRPr="00132E65">
        <w:rPr>
          <w:rtl/>
        </w:rPr>
        <w:t>« هو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أَقَلُّ نَفْعاً وأَضْعَفُ </w:t>
      </w:r>
      <w:r>
        <w:rPr>
          <w:rStyle w:val="libFootnotenumChar"/>
          <w:rtl/>
        </w:rPr>
        <w:t>(1)</w:t>
      </w:r>
      <w:r w:rsidRPr="00132E65">
        <w:rPr>
          <w:rtl/>
          <w:lang w:bidi="fa-IR"/>
        </w:rPr>
        <w:t xml:space="preserve"> دَفْعاً ؛ فَتَسْتَحِقَّا اسْمَ </w:t>
      </w:r>
      <w:r>
        <w:rPr>
          <w:rStyle w:val="libFootnotenumChar"/>
          <w:rtl/>
        </w:rPr>
        <w:t>(2)</w:t>
      </w:r>
      <w:r w:rsidRPr="00132E65">
        <w:rPr>
          <w:rtl/>
          <w:lang w:bidi="fa-IR"/>
        </w:rPr>
        <w:t xml:space="preserve"> الشِّرْكِ مَعَ النِّفَاقِ.</w:t>
      </w:r>
    </w:p>
    <w:p w:rsidR="000C39D1" w:rsidRPr="00132E65" w:rsidRDefault="000C39D1" w:rsidP="000C39D1">
      <w:pPr>
        <w:pStyle w:val="libNormal"/>
        <w:rPr>
          <w:rtl/>
          <w:lang w:bidi="fa-IR"/>
        </w:rPr>
      </w:pPr>
      <w:r w:rsidRPr="00132E65">
        <w:rPr>
          <w:rtl/>
          <w:lang w:bidi="fa-IR"/>
        </w:rPr>
        <w:t xml:space="preserve">وَأَمَّا قَوْلُكُمَا : إِنِّي أَشْجَعُ فُرْسَانِ الْعَرَبِ ، وهَرَبُكُمَا مِنْ لَعْنِي ودُعَائِي </w:t>
      </w:r>
      <w:r>
        <w:rPr>
          <w:rStyle w:val="libFootnotenumChar"/>
          <w:rtl/>
        </w:rPr>
        <w:t>(3)</w:t>
      </w:r>
      <w:r w:rsidRPr="00132E65">
        <w:rPr>
          <w:rtl/>
          <w:lang w:bidi="fa-IR"/>
        </w:rPr>
        <w:t xml:space="preserve"> ؛ فَإِنَّ لِكُلِّ مَوْقِفٍ عَمَلاً إِذَا اخْتَلَفَتِ الْأَسِنَّةُ </w:t>
      </w:r>
      <w:r>
        <w:rPr>
          <w:rStyle w:val="libFootnotenumChar"/>
          <w:rtl/>
        </w:rPr>
        <w:t>(4)</w:t>
      </w:r>
      <w:r w:rsidRPr="00132E65">
        <w:rPr>
          <w:rtl/>
          <w:lang w:bidi="fa-IR"/>
        </w:rPr>
        <w:t xml:space="preserve"> ، ومَاجَتْ </w:t>
      </w:r>
      <w:r>
        <w:rPr>
          <w:rStyle w:val="libFootnotenumChar"/>
          <w:rtl/>
        </w:rPr>
        <w:t>(5)</w:t>
      </w:r>
      <w:r w:rsidRPr="00132E65">
        <w:rPr>
          <w:rtl/>
          <w:lang w:bidi="fa-IR"/>
        </w:rPr>
        <w:t xml:space="preserve"> لُبُودُ </w:t>
      </w:r>
      <w:r>
        <w:rPr>
          <w:rStyle w:val="libFootnotenumChar"/>
          <w:rtl/>
        </w:rPr>
        <w:t>(6)</w:t>
      </w:r>
      <w:r w:rsidRPr="00132E65">
        <w:rPr>
          <w:rtl/>
          <w:lang w:bidi="fa-IR"/>
        </w:rPr>
        <w:t xml:space="preserve"> الْخَيْلِ ، ومَلَأَ سَحَرَاكُمَا </w:t>
      </w:r>
      <w:r>
        <w:rPr>
          <w:rStyle w:val="libFootnotenumChar"/>
          <w:rtl/>
        </w:rPr>
        <w:t>(7)</w:t>
      </w:r>
      <w:r w:rsidRPr="00132E65">
        <w:rPr>
          <w:rtl/>
          <w:lang w:bidi="fa-IR"/>
        </w:rPr>
        <w:t xml:space="preserve"> أَجْوَافَكُمَا ، فَثَمَّ يَكْفِينِيَ اللهُ بِكَمَالِ الْقَلْبِ ؛ وأَمَّا إِذَا أَبَيْتُمَا بِأَنِّي </w:t>
      </w:r>
      <w:r>
        <w:rPr>
          <w:rStyle w:val="libFootnotenumChar"/>
          <w:rtl/>
        </w:rPr>
        <w:t>(8)</w:t>
      </w:r>
      <w:r w:rsidRPr="00132E65">
        <w:rPr>
          <w:rtl/>
          <w:lang w:bidi="fa-IR"/>
        </w:rPr>
        <w:t xml:space="preserve"> أَدْعُو اللهَ ، فَلَا تَجْزَعَا مِنْ أَنْ يَدْعُوَ عَلَيْكُمَا رَجُلٌ سَاحِرٌ مِنْ قَوْمٍ سَحَرَةٍ زَعَمْتُمَا </w:t>
      </w:r>
      <w:r>
        <w:rPr>
          <w:rStyle w:val="libFootnotenumChar"/>
          <w:rtl/>
        </w:rPr>
        <w:t>(9)</w:t>
      </w:r>
      <w:r w:rsidRPr="00132E65">
        <w:rPr>
          <w:rtl/>
          <w:lang w:bidi="fa-IR"/>
        </w:rPr>
        <w:t xml:space="preserve"> ، اللهُمَّ أَقْعِصِ </w:t>
      </w:r>
      <w:r>
        <w:rPr>
          <w:rStyle w:val="libFootnotenumChar"/>
          <w:rtl/>
        </w:rPr>
        <w:t>(10)</w:t>
      </w:r>
      <w:r w:rsidRPr="00132E65">
        <w:rPr>
          <w:rtl/>
          <w:lang w:bidi="fa-IR"/>
        </w:rPr>
        <w:t xml:space="preserve"> الزُّبَيْرَ بِشَرِّ </w:t>
      </w:r>
      <w:r>
        <w:rPr>
          <w:rStyle w:val="libFootnotenumChar"/>
          <w:rtl/>
        </w:rPr>
        <w:t>(11)</w:t>
      </w:r>
      <w:r w:rsidRPr="00132E65">
        <w:rPr>
          <w:rtl/>
          <w:lang w:bidi="fa-IR"/>
        </w:rPr>
        <w:t xml:space="preserve"> قِتْلَةٍ ، وَاسْفِكْ دَمَهُ عَلى ضَلَالَةٍ </w:t>
      </w:r>
      <w:r>
        <w:rPr>
          <w:rStyle w:val="libFootnotenumChar"/>
          <w:rtl/>
        </w:rPr>
        <w:t>(12)</w:t>
      </w:r>
      <w:r w:rsidRPr="00132E65">
        <w:rPr>
          <w:rtl/>
          <w:lang w:bidi="fa-IR"/>
        </w:rPr>
        <w:t xml:space="preserve"> ، وعَرِّفْ طَلْحَةَ الْمَذَلَّةَ </w:t>
      </w:r>
      <w:r w:rsidRPr="00F543F1">
        <w:rPr>
          <w:rStyle w:val="libFootnotenumChar"/>
          <w:rtl/>
        </w:rPr>
        <w:t>(13)</w:t>
      </w:r>
      <w:r w:rsidRPr="00132E65">
        <w:rPr>
          <w:rtl/>
          <w:lang w:bidi="fa-IR"/>
        </w:rPr>
        <w:t xml:space="preserve"> ، وادَّخِرْ </w:t>
      </w:r>
      <w:r w:rsidRPr="00F543F1">
        <w:rPr>
          <w:rStyle w:val="libFootnotenumChar"/>
          <w:rtl/>
        </w:rPr>
        <w:t>(14)</w:t>
      </w:r>
      <w:r w:rsidRPr="00132E65">
        <w:rPr>
          <w:rtl/>
          <w:lang w:bidi="fa-IR"/>
        </w:rPr>
        <w:t xml:space="preserve"> لَهُمَا فِي الْآخِرَةِ شَرّاً </w:t>
      </w:r>
      <w:r w:rsidRPr="00F543F1">
        <w:rPr>
          <w:rStyle w:val="libFootnotenumChar"/>
          <w:rtl/>
        </w:rPr>
        <w:t>(15)</w:t>
      </w:r>
      <w:r w:rsidRPr="00132E65">
        <w:rPr>
          <w:rtl/>
          <w:lang w:bidi="fa-IR"/>
        </w:rPr>
        <w:t xml:space="preserve"> مِنْ ذلِكَ إِنْ كَانَا ظَلَمَانِي ، وافْتَرَيَا عَلَيَّ ، و</w:t>
      </w:r>
      <w:r>
        <w:rPr>
          <w:rFonts w:hint="cs"/>
          <w:rtl/>
          <w:lang w:bidi="fa-IR"/>
        </w:rPr>
        <w:t xml:space="preserve"> </w:t>
      </w:r>
      <w:r w:rsidRPr="00F543F1">
        <w:rPr>
          <w:rStyle w:val="libFootnotenumChar"/>
          <w:rtl/>
        </w:rPr>
        <w:t>(16)</w:t>
      </w:r>
      <w:r w:rsidRPr="00132E65">
        <w:rPr>
          <w:rtl/>
          <w:lang w:bidi="fa-IR"/>
        </w:rPr>
        <w:t xml:space="preserve"> كَتَمَا شَهَادَتَهُمَا ، وعَصَيَاكَ </w:t>
      </w:r>
      <w:r w:rsidRPr="00F543F1">
        <w:rPr>
          <w:rStyle w:val="libFootnotenumChar"/>
          <w:rtl/>
        </w:rPr>
        <w:t>(17)</w:t>
      </w:r>
      <w:r w:rsidRPr="00132E65">
        <w:rPr>
          <w:rtl/>
          <w:lang w:bidi="fa-IR"/>
        </w:rPr>
        <w:t xml:space="preserve"> وعَصَيَا رَسُولَكَ فِيَّ ، قُلْ : آمِينَ » ، قَالَ خِدَاشٌ : آمِينَ</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ظاهر المازندراني في شرحه هو رفع « أقلّ » </w:t>
      </w:r>
      <w:r>
        <w:rPr>
          <w:rtl/>
        </w:rPr>
        <w:t>و «</w:t>
      </w:r>
      <w:r w:rsidRPr="00132E65">
        <w:rPr>
          <w:rtl/>
        </w:rPr>
        <w:t xml:space="preserve"> أضعف » ، حيث قال : « فلا تقولا بعد ما عرفتما أنّه الصارف : هو أقلّ نفعاً وأضعف دفعاً »</w:t>
      </w:r>
      <w:r>
        <w:rPr>
          <w:rtl/>
        </w:rPr>
        <w:t>.</w:t>
      </w:r>
      <w:r w:rsidRPr="00132E65">
        <w:rPr>
          <w:rtl/>
        </w:rPr>
        <w:t xml:space="preserve"> ويجوز نصبه بتقدير « كان » بقرينة ما مرّ في كلامهما.</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 ه‍ » : « إثم »</w:t>
            </w:r>
            <w:r>
              <w:rPr>
                <w:rtl/>
              </w:rPr>
              <w:t>.</w:t>
            </w:r>
          </w:p>
        </w:tc>
        <w:tc>
          <w:tcPr>
            <w:tcW w:w="4006" w:type="dxa"/>
          </w:tcPr>
          <w:p w:rsidR="000C39D1" w:rsidRDefault="000C39D1" w:rsidP="00B53873">
            <w:pPr>
              <w:pStyle w:val="libFootnote0"/>
              <w:rPr>
                <w:rtl/>
              </w:rPr>
            </w:pPr>
            <w:r>
              <w:rPr>
                <w:rtl/>
              </w:rPr>
              <w:t>(3).</w:t>
            </w:r>
            <w:r w:rsidRPr="00132E65">
              <w:rPr>
                <w:rtl/>
              </w:rPr>
              <w:t xml:space="preserve"> في </w:t>
            </w:r>
            <w:r w:rsidRPr="009D1ACE">
              <w:rPr>
                <w:rStyle w:val="libFootnoteBoldChar"/>
                <w:rtl/>
              </w:rPr>
              <w:t>الوافي</w:t>
            </w:r>
            <w:r w:rsidRPr="00132E65">
              <w:rPr>
                <w:rtl/>
              </w:rPr>
              <w:t xml:space="preserve"> : « ودعائي عليكما »</w:t>
            </w:r>
            <w:r>
              <w:rPr>
                <w:rtl/>
              </w:rPr>
              <w:t>.</w:t>
            </w:r>
          </w:p>
        </w:tc>
      </w:tr>
    </w:tbl>
    <w:p w:rsidR="000C39D1" w:rsidRPr="00132E65" w:rsidRDefault="000C39D1" w:rsidP="000C39D1">
      <w:pPr>
        <w:pStyle w:val="libFootnote0"/>
        <w:rPr>
          <w:rtl/>
          <w:lang w:bidi="fa-IR"/>
        </w:rPr>
      </w:pPr>
      <w:r>
        <w:rPr>
          <w:rtl/>
        </w:rPr>
        <w:t>(4).</w:t>
      </w:r>
      <w:r w:rsidRPr="00132E65">
        <w:rPr>
          <w:rtl/>
        </w:rPr>
        <w:t xml:space="preserve"> « الأسنّة » : « جمع السِنان ، وهو نَصْلُ الرمح. واختلاف الأسنّة : ذهاب بعضها ومجي‌ء البعض »</w:t>
      </w:r>
      <w:r>
        <w:rPr>
          <w:rtl/>
        </w:rPr>
        <w:t>.</w:t>
      </w:r>
      <w:r w:rsidRPr="00132E65">
        <w:rPr>
          <w:rtl/>
        </w:rPr>
        <w:t xml:space="preserve"> راجع : </w:t>
      </w:r>
      <w:r w:rsidRPr="006317A6">
        <w:rPr>
          <w:rStyle w:val="libFootnoteBoldChar"/>
          <w:rtl/>
        </w:rPr>
        <w:t>لسان</w:t>
      </w:r>
      <w:r>
        <w:rPr>
          <w:rStyle w:val="libFootnoteBoldChar"/>
          <w:rFonts w:hint="cs"/>
          <w:rtl/>
        </w:rPr>
        <w:t xml:space="preserve"> </w:t>
      </w:r>
      <w:r w:rsidRPr="006317A6">
        <w:rPr>
          <w:rStyle w:val="libFootnoteBoldChar"/>
          <w:rtl/>
        </w:rPr>
        <w:t>‌العرب</w:t>
      </w:r>
      <w:r w:rsidRPr="00FD3211">
        <w:rPr>
          <w:rtl/>
        </w:rPr>
        <w:t xml:space="preserve"> </w:t>
      </w:r>
      <w:r w:rsidRPr="00132E65">
        <w:rPr>
          <w:rtl/>
        </w:rPr>
        <w:t xml:space="preserve">، ج 9 ، ص 82 ( خلف ) ؛ </w:t>
      </w:r>
      <w:r w:rsidRPr="006317A6">
        <w:rPr>
          <w:rStyle w:val="libFootnoteBoldChar"/>
          <w:rtl/>
        </w:rPr>
        <w:t>القاموس المحيط</w:t>
      </w:r>
      <w:r w:rsidRPr="00132E65">
        <w:rPr>
          <w:rtl/>
        </w:rPr>
        <w:t xml:space="preserve"> ، ج 2 ، ص 1587 ( سنن )</w:t>
      </w:r>
      <w:r>
        <w:rPr>
          <w:rtl/>
        </w:rPr>
        <w:t>.</w:t>
      </w:r>
    </w:p>
    <w:p w:rsidR="000C39D1" w:rsidRPr="00132E65" w:rsidRDefault="000C39D1" w:rsidP="000C39D1">
      <w:pPr>
        <w:pStyle w:val="libFootnote0"/>
        <w:rPr>
          <w:rtl/>
          <w:lang w:bidi="fa-IR"/>
        </w:rPr>
      </w:pPr>
      <w:r>
        <w:rPr>
          <w:rtl/>
        </w:rPr>
        <w:t>(5).</w:t>
      </w:r>
      <w:r w:rsidRPr="00132E65">
        <w:rPr>
          <w:rtl/>
        </w:rPr>
        <w:t xml:space="preserve"> « ماجَتْ » ، أي اضطربت. يقال : ماج البحر يموج وتموّج ، أي اضطربت أمواجه ، وماج الناس ، أي دخل بعضهم في بعض ، وموج كلّ شي‌ء اضطرابه. راجع : </w:t>
      </w:r>
      <w:r w:rsidRPr="009D1ACE">
        <w:rPr>
          <w:rStyle w:val="libFootnoteBoldChar"/>
          <w:rtl/>
        </w:rPr>
        <w:t>لسان العرب</w:t>
      </w:r>
      <w:r w:rsidRPr="00132E65">
        <w:rPr>
          <w:rtl/>
        </w:rPr>
        <w:t xml:space="preserve"> ، ج 2 ، ص 370 ( موج )</w:t>
      </w:r>
      <w:r>
        <w:rPr>
          <w:rtl/>
        </w:rPr>
        <w:t>.</w:t>
      </w:r>
    </w:p>
    <w:p w:rsidR="000C39D1" w:rsidRPr="00132E65" w:rsidRDefault="000C39D1" w:rsidP="000C39D1">
      <w:pPr>
        <w:pStyle w:val="libFootnote0"/>
        <w:rPr>
          <w:rtl/>
          <w:lang w:bidi="fa-IR"/>
        </w:rPr>
      </w:pPr>
      <w:r>
        <w:rPr>
          <w:rtl/>
        </w:rPr>
        <w:t>(6).</w:t>
      </w:r>
      <w:r w:rsidRPr="00132E65">
        <w:rPr>
          <w:rtl/>
        </w:rPr>
        <w:t xml:space="preserve"> « اللُّبُود » : جمع اللِبْد. وهو كلّ شعر أو صوف مُلْتَبِد بعضُه على بعض ، أي متداخل. راجع : </w:t>
      </w:r>
      <w:r w:rsidRPr="009D1ACE">
        <w:rPr>
          <w:rStyle w:val="libFootnoteBoldChar"/>
          <w:rtl/>
        </w:rPr>
        <w:t>لسان العرب</w:t>
      </w:r>
      <w:r w:rsidRPr="00132E65">
        <w:rPr>
          <w:rtl/>
        </w:rPr>
        <w:t xml:space="preserve"> ، ج 3 ، ص 386 ( لبد )</w:t>
      </w:r>
      <w:r>
        <w:rPr>
          <w:rtl/>
        </w:rPr>
        <w:t>.</w:t>
      </w:r>
    </w:p>
    <w:p w:rsidR="000C39D1" w:rsidRPr="00132E65" w:rsidRDefault="000C39D1" w:rsidP="000C39D1">
      <w:pPr>
        <w:pStyle w:val="libFootnote0"/>
        <w:rPr>
          <w:rtl/>
          <w:lang w:bidi="fa-IR"/>
        </w:rPr>
      </w:pPr>
      <w:r>
        <w:rPr>
          <w:rtl/>
        </w:rPr>
        <w:t>(7).</w:t>
      </w:r>
      <w:r w:rsidRPr="00132E65">
        <w:rPr>
          <w:rtl/>
        </w:rPr>
        <w:t xml:space="preserve"> « السَحَرُ » </w:t>
      </w:r>
      <w:r>
        <w:rPr>
          <w:rtl/>
        </w:rPr>
        <w:t>و «</w:t>
      </w:r>
      <w:r w:rsidRPr="00132E65">
        <w:rPr>
          <w:rtl/>
        </w:rPr>
        <w:t xml:space="preserve"> السَحْرُ » </w:t>
      </w:r>
      <w:r>
        <w:rPr>
          <w:rtl/>
        </w:rPr>
        <w:t>و «</w:t>
      </w:r>
      <w:r w:rsidRPr="00132E65">
        <w:rPr>
          <w:rtl/>
        </w:rPr>
        <w:t xml:space="preserve"> السُحْرُ » : الرِئَةُ. ويقال : انفتخ سَحْرُهُ ، للجبان الذي ملأ الخوفُ جوفَه فانتفخ السَحْرُ حتّى رفع القلبَ إلى الحلقوم. والمراد : انتفاخهما من الخوف. راجع : </w:t>
      </w:r>
      <w:r w:rsidRPr="009D1ACE">
        <w:rPr>
          <w:rStyle w:val="libFootnoteBoldChar"/>
          <w:rtl/>
        </w:rPr>
        <w:t>لسان العرب</w:t>
      </w:r>
      <w:r>
        <w:rPr>
          <w:rtl/>
        </w:rPr>
        <w:t xml:space="preserve"> ، ج 4 ، ص 351 ( سحر</w:t>
      </w:r>
      <w:r w:rsidRPr="00132E65">
        <w:rPr>
          <w:rtl/>
        </w:rPr>
        <w:t>)</w:t>
      </w:r>
      <w:r>
        <w:rPr>
          <w:rtl/>
        </w:rPr>
        <w:t>.</w:t>
      </w:r>
    </w:p>
    <w:tbl>
      <w:tblPr>
        <w:tblStyle w:val="TableGrid"/>
        <w:bidiVisual/>
        <w:tblW w:w="0" w:type="auto"/>
        <w:tblLook w:val="04A0" w:firstRow="1" w:lastRow="0" w:firstColumn="1" w:lastColumn="0" w:noHBand="0" w:noVBand="1"/>
      </w:tblPr>
      <w:tblGrid>
        <w:gridCol w:w="4611"/>
        <w:gridCol w:w="3401"/>
      </w:tblGrid>
      <w:tr w:rsidR="000C39D1" w:rsidTr="00B53873">
        <w:tc>
          <w:tcPr>
            <w:tcW w:w="4611" w:type="dxa"/>
          </w:tcPr>
          <w:p w:rsidR="000C39D1" w:rsidRDefault="000C39D1" w:rsidP="00B53873">
            <w:pPr>
              <w:pStyle w:val="libFootnote0"/>
              <w:rPr>
                <w:rtl/>
                <w:lang w:bidi="fa-IR"/>
              </w:rPr>
            </w:pPr>
            <w:r>
              <w:rPr>
                <w:rtl/>
              </w:rPr>
              <w:t>(8). في « ف »:</w:t>
            </w:r>
            <w:r w:rsidRPr="00132E65">
              <w:rPr>
                <w:rtl/>
              </w:rPr>
              <w:t>« بأن أنّي »</w:t>
            </w:r>
            <w:r>
              <w:rPr>
                <w:rtl/>
              </w:rPr>
              <w:t>.</w:t>
            </w:r>
            <w:r w:rsidRPr="00132E65">
              <w:rPr>
                <w:rtl/>
              </w:rPr>
              <w:t xml:space="preserve"> وفي « بح » : « بأن »</w:t>
            </w:r>
            <w:r>
              <w:rPr>
                <w:rtl/>
              </w:rPr>
              <w:t>.</w:t>
            </w:r>
          </w:p>
        </w:tc>
        <w:tc>
          <w:tcPr>
            <w:tcW w:w="3401" w:type="dxa"/>
          </w:tcPr>
          <w:p w:rsidR="000C39D1" w:rsidRDefault="000C39D1" w:rsidP="00B53873">
            <w:pPr>
              <w:pStyle w:val="libFootnote0"/>
              <w:rPr>
                <w:rtl/>
                <w:lang w:bidi="fa-IR"/>
              </w:rPr>
            </w:pPr>
            <w:r>
              <w:rPr>
                <w:rtl/>
              </w:rPr>
              <w:t>(9).</w:t>
            </w:r>
            <w:r w:rsidRPr="00132E65">
              <w:rPr>
                <w:rtl/>
              </w:rPr>
              <w:t xml:space="preserve"> في البحار :</w:t>
            </w:r>
            <w:r>
              <w:rPr>
                <w:rtl/>
              </w:rPr>
              <w:t xml:space="preserve"> + </w:t>
            </w:r>
            <w:r w:rsidRPr="00132E65">
              <w:rPr>
                <w:rtl/>
              </w:rPr>
              <w:t>« ثمّ قال »</w:t>
            </w:r>
            <w:r>
              <w:rPr>
                <w:rtl/>
              </w:rPr>
              <w:t>.</w:t>
            </w:r>
          </w:p>
        </w:tc>
      </w:tr>
    </w:tbl>
    <w:p w:rsidR="000C39D1" w:rsidRPr="00132E65" w:rsidRDefault="000C39D1" w:rsidP="000C39D1">
      <w:pPr>
        <w:pStyle w:val="libFootnote0"/>
        <w:rPr>
          <w:rtl/>
          <w:lang w:bidi="fa-IR"/>
        </w:rPr>
      </w:pPr>
      <w:r>
        <w:rPr>
          <w:rtl/>
        </w:rPr>
        <w:t>(10).</w:t>
      </w:r>
      <w:r w:rsidRPr="00132E65">
        <w:rPr>
          <w:rtl/>
        </w:rPr>
        <w:t xml:space="preserve"> « أَقْعِصْ » ، من القَعْص ، وهو أن يُضْرَبَ الإنسان فيموت مكانَه. يقال : قَعَصْتُهُ وأقَعَصْتُهُ ، إذا قتلتَهُ قتلاً سريعاً. راجع : </w:t>
      </w:r>
      <w:r w:rsidRPr="00713CF1">
        <w:rPr>
          <w:rStyle w:val="libFootnoteBoldChar"/>
          <w:rtl/>
        </w:rPr>
        <w:t>النهاية</w:t>
      </w:r>
      <w:r w:rsidRPr="00132E65">
        <w:rPr>
          <w:rtl/>
        </w:rPr>
        <w:t xml:space="preserve"> ، ج 4 ، ص 88 ( قعص )</w:t>
      </w:r>
      <w:r>
        <w:rPr>
          <w:rtl/>
        </w:rPr>
        <w:t>.</w:t>
      </w:r>
      <w:r w:rsidR="0033724D">
        <w:rPr>
          <w:rFonts w:hint="cs"/>
          <w:rtl/>
        </w:rPr>
        <w:t xml:space="preserve">              </w:t>
      </w:r>
      <w:r>
        <w:rPr>
          <w:rFonts w:hint="cs"/>
          <w:rtl/>
        </w:rPr>
        <w:t xml:space="preserve">  </w:t>
      </w:r>
      <w:r>
        <w:rPr>
          <w:rtl/>
        </w:rPr>
        <w:t>(11).</w:t>
      </w:r>
      <w:r w:rsidRPr="00132E65">
        <w:rPr>
          <w:rtl/>
        </w:rPr>
        <w:t xml:space="preserve"> في البحار : « شرّ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ضلاله »</w:t>
      </w:r>
      <w:r>
        <w:rPr>
          <w:rtl/>
        </w:rPr>
        <w:t>.</w:t>
      </w:r>
      <w:r w:rsidRPr="00132E65">
        <w:rPr>
          <w:rtl/>
        </w:rPr>
        <w:t xml:space="preserve"> وقال : « وفي بعض النسخ : على ضلالة ، بالتاء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الوافي</w:t>
      </w:r>
      <w:r w:rsidRPr="00132E65">
        <w:rPr>
          <w:rtl/>
        </w:rPr>
        <w:t xml:space="preserve"> : « المضلّة » وقال : « من الضلال ، يعني عرّفه أنّه في ضلال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(14)</w:t>
            </w:r>
            <w:r w:rsidRPr="00132E65">
              <w:rPr>
                <w:rtl/>
              </w:rPr>
              <w:t xml:space="preserve"> في « ب ، ه‍ » : « واذّخر »</w:t>
            </w:r>
            <w:r>
              <w:rPr>
                <w:rtl/>
              </w:rPr>
              <w:t>.</w:t>
            </w:r>
          </w:p>
        </w:tc>
        <w:tc>
          <w:tcPr>
            <w:tcW w:w="4006" w:type="dxa"/>
          </w:tcPr>
          <w:p w:rsidR="000C39D1" w:rsidRDefault="000C39D1" w:rsidP="00B53873">
            <w:pPr>
              <w:pStyle w:val="libFootnote0"/>
              <w:rPr>
                <w:rtl/>
              </w:rPr>
            </w:pPr>
            <w:r>
              <w:rPr>
                <w:rtl/>
              </w:rPr>
              <w:t>(15)</w:t>
            </w:r>
            <w:r w:rsidRPr="00132E65">
              <w:rPr>
                <w:rtl/>
              </w:rPr>
              <w:t xml:space="preserve"> في « بس » : « أشرّ »</w:t>
            </w:r>
            <w:r>
              <w:rPr>
                <w:rtl/>
              </w:rPr>
              <w:t>.</w:t>
            </w:r>
          </w:p>
        </w:tc>
      </w:tr>
      <w:tr w:rsidR="000C39D1" w:rsidTr="00B53873">
        <w:tc>
          <w:tcPr>
            <w:tcW w:w="4006" w:type="dxa"/>
          </w:tcPr>
          <w:p w:rsidR="000C39D1" w:rsidRDefault="000C39D1" w:rsidP="00B53873">
            <w:pPr>
              <w:pStyle w:val="libFootnote0"/>
              <w:rPr>
                <w:rtl/>
              </w:rPr>
            </w:pPr>
            <w:r>
              <w:rPr>
                <w:rtl/>
              </w:rPr>
              <w:t>(16)</w:t>
            </w:r>
            <w:r w:rsidRPr="00132E65">
              <w:rPr>
                <w:rtl/>
              </w:rPr>
              <w:t xml:space="preserve"> في شرح المازندراني </w:t>
            </w:r>
            <w:r>
              <w:rPr>
                <w:rtl/>
              </w:rPr>
              <w:t xml:space="preserve">: - </w:t>
            </w:r>
            <w:r w:rsidRPr="00132E65">
              <w:rPr>
                <w:rtl/>
              </w:rPr>
              <w:t>«</w:t>
            </w:r>
            <w:r>
              <w:rPr>
                <w:rtl/>
              </w:rPr>
              <w:t xml:space="preserve"> و ».</w:t>
            </w:r>
          </w:p>
        </w:tc>
        <w:tc>
          <w:tcPr>
            <w:tcW w:w="4006" w:type="dxa"/>
          </w:tcPr>
          <w:p w:rsidR="000C39D1" w:rsidRDefault="000C39D1" w:rsidP="00B53873">
            <w:pPr>
              <w:pStyle w:val="libFootnote0"/>
              <w:rPr>
                <w:rtl/>
              </w:rPr>
            </w:pPr>
            <w:r>
              <w:rPr>
                <w:rtl/>
              </w:rPr>
              <w:t>(17)</w:t>
            </w:r>
            <w:r w:rsidRPr="00132E65">
              <w:rPr>
                <w:rtl/>
              </w:rPr>
              <w:t xml:space="preserve"> في البحار : « عصياني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ثُمَّ قَالَ خِدَاشٌ لِنَفْسِهِ : واللهِ ، مَا رَأَيْتُ لِحْيَةً </w:t>
      </w:r>
      <w:r>
        <w:rPr>
          <w:rStyle w:val="libFootnotenumChar"/>
          <w:rtl/>
        </w:rPr>
        <w:t>(1)</w:t>
      </w:r>
      <w:r w:rsidRPr="00132E65">
        <w:rPr>
          <w:rtl/>
          <w:lang w:bidi="fa-IR"/>
        </w:rPr>
        <w:t xml:space="preserve"> قَطُّ أَبْيَنَ خَطَأً مِنْكَ ، حَامِلَ حُجَّةٍ يَنْقُضُ بَعْضُهَا بَعْضاً ، لَمْ يَجْعَلِ اللهُ لَهَا </w:t>
      </w:r>
      <w:r>
        <w:rPr>
          <w:rStyle w:val="libFootnotenumChar"/>
          <w:rtl/>
        </w:rPr>
        <w:t>(2)</w:t>
      </w:r>
      <w:r w:rsidRPr="00132E65">
        <w:rPr>
          <w:rtl/>
          <w:lang w:bidi="fa-IR"/>
        </w:rPr>
        <w:t xml:space="preserve"> مِسَاكاً </w:t>
      </w:r>
      <w:r>
        <w:rPr>
          <w:rStyle w:val="libFootnotenumChar"/>
          <w:rtl/>
        </w:rPr>
        <w:t>(3)</w:t>
      </w:r>
      <w:r w:rsidRPr="00132E65">
        <w:rPr>
          <w:rtl/>
          <w:lang w:bidi="fa-IR"/>
        </w:rPr>
        <w:t xml:space="preserve"> ، أَنَا أَبْرَأُ إِلَى اللهِ مِنْهُمَا.</w:t>
      </w:r>
    </w:p>
    <w:p w:rsidR="000C39D1" w:rsidRPr="00132E65" w:rsidRDefault="000C39D1" w:rsidP="000C39D1">
      <w:pPr>
        <w:pStyle w:val="libNormal"/>
        <w:rPr>
          <w:rtl/>
          <w:lang w:bidi="fa-IR"/>
        </w:rPr>
      </w:pPr>
      <w:r w:rsidRPr="00132E65">
        <w:rPr>
          <w:rtl/>
          <w:lang w:bidi="fa-IR"/>
        </w:rPr>
        <w:t xml:space="preserve">قَالَ </w:t>
      </w:r>
      <w:r>
        <w:rPr>
          <w:rStyle w:val="libFootnotenumChar"/>
          <w:rtl/>
        </w:rPr>
        <w:t>(4)</w:t>
      </w:r>
      <w:r w:rsidRPr="00132E65">
        <w:rPr>
          <w:rtl/>
          <w:lang w:bidi="fa-IR"/>
        </w:rPr>
        <w:t xml:space="preserve"> عَلِيٌّ </w:t>
      </w:r>
      <w:r w:rsidRPr="00071CF9">
        <w:rPr>
          <w:rStyle w:val="libAlaemChar"/>
          <w:rtl/>
        </w:rPr>
        <w:t>عليه‌السلام</w:t>
      </w:r>
      <w:r w:rsidRPr="00132E65">
        <w:rPr>
          <w:rtl/>
          <w:lang w:bidi="fa-IR"/>
        </w:rPr>
        <w:t xml:space="preserve"> : « ارْجِعْ إِلَيْهِمَا ، وأَعْلِمْهُمَا </w:t>
      </w:r>
      <w:r>
        <w:rPr>
          <w:rStyle w:val="libFootnotenumChar"/>
          <w:rtl/>
        </w:rPr>
        <w:t>(5)</w:t>
      </w:r>
      <w:r w:rsidRPr="00132E65">
        <w:rPr>
          <w:rtl/>
          <w:lang w:bidi="fa-IR"/>
        </w:rPr>
        <w:t xml:space="preserve"> مَا قُلْتُ »</w:t>
      </w:r>
      <w:r>
        <w:rPr>
          <w:rtl/>
          <w:lang w:bidi="fa-IR"/>
        </w:rPr>
        <w:t>.</w:t>
      </w:r>
    </w:p>
    <w:p w:rsidR="000C39D1" w:rsidRPr="00132E65" w:rsidRDefault="000C39D1" w:rsidP="000C39D1">
      <w:pPr>
        <w:pStyle w:val="libNormal"/>
        <w:rPr>
          <w:rtl/>
          <w:lang w:bidi="fa-IR"/>
        </w:rPr>
      </w:pPr>
      <w:r w:rsidRPr="00132E65">
        <w:rPr>
          <w:rtl/>
          <w:lang w:bidi="fa-IR"/>
        </w:rPr>
        <w:t xml:space="preserve">قَالَ : لَاوَ اللهِ حَتّى تَسْأَلَ اللهَ أَنْ يَرُدَّنِي إِلَيْكَ عَاجِلاً ، وأَنْ يُوَفِّقَنِي لِرِضَاهُ فِيكَ ؛ فَفَعَلَ ، فَلَمْ يَلْبَثْ أَنِ </w:t>
      </w:r>
      <w:r>
        <w:rPr>
          <w:rStyle w:val="libFootnotenumChar"/>
          <w:rtl/>
        </w:rPr>
        <w:t>(6)</w:t>
      </w:r>
      <w:r w:rsidRPr="00132E65">
        <w:rPr>
          <w:rtl/>
          <w:lang w:bidi="fa-IR"/>
        </w:rPr>
        <w:t xml:space="preserve"> انْصَرَفَ وقُتِلَ مَعَهُ يَوْمَ الْجَمَلِ ؛ رَحِمَهُ اللهُ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Default="000C39D1" w:rsidP="000C39D1">
      <w:pPr>
        <w:pStyle w:val="libNormal"/>
        <w:rPr>
          <w:rtl/>
          <w:lang w:bidi="fa-IR"/>
        </w:rPr>
      </w:pPr>
      <w:r w:rsidRPr="00FD3211">
        <w:rPr>
          <w:rtl/>
        </w:rPr>
        <w:t>923</w:t>
      </w:r>
      <w:r w:rsidRPr="004325D8">
        <w:rPr>
          <w:rStyle w:val="libBold2Char"/>
          <w:rtl/>
        </w:rPr>
        <w:t xml:space="preserve"> / 2.</w:t>
      </w:r>
      <w:r w:rsidRPr="00132E65">
        <w:rPr>
          <w:rtl/>
          <w:lang w:bidi="fa-IR"/>
        </w:rPr>
        <w:t xml:space="preserve"> عَلِيُّ بْنُ مُحَمَّدٍ ومُحَمَّدُ بْنُ الْحَسَنِ ، عَنْ سَهْلِ بْنِ زِيَادٍ ؛</w:t>
      </w:r>
    </w:p>
    <w:p w:rsidR="000C39D1" w:rsidRPr="00132E65" w:rsidRDefault="000C39D1" w:rsidP="000C39D1">
      <w:pPr>
        <w:pStyle w:val="libNormal"/>
        <w:rPr>
          <w:rtl/>
          <w:lang w:bidi="fa-IR"/>
        </w:rPr>
      </w:pPr>
      <w:r>
        <w:rPr>
          <w:rFonts w:hint="cs"/>
          <w:rtl/>
          <w:lang w:bidi="fa-IR"/>
        </w:rPr>
        <w:t xml:space="preserve">            </w:t>
      </w:r>
      <w:r w:rsidRPr="00132E65">
        <w:rPr>
          <w:rtl/>
          <w:lang w:bidi="fa-IR"/>
        </w:rPr>
        <w:t xml:space="preserve">وَأَبُو عَلِيٍّ الْأَشْعَرِيُّ ، عَنْ مُحَمَّدِ بْنِ حَسَّانَ جَمِيعاً ، عَنْ مُحَمَّدِ بْنِ عَلِيٍّ ، عَنْ نَصْرِ بْنِ مُزَاحِمٍ ، عَنْ عُمَرَ بْنِ سَعْدٍ </w:t>
      </w:r>
      <w:r>
        <w:rPr>
          <w:rStyle w:val="libFootnotenumChar"/>
          <w:rtl/>
        </w:rPr>
        <w:t>(8)</w:t>
      </w:r>
      <w:r w:rsidRPr="00132E65">
        <w:rPr>
          <w:rtl/>
          <w:lang w:bidi="fa-IR"/>
        </w:rPr>
        <w:t xml:space="preserve"> ، عَنْ جَرَّاحِ بْنِ عَبْدِ اللهِ </w:t>
      </w:r>
      <w:r>
        <w:rPr>
          <w:rStyle w:val="libFootnotenumChar"/>
          <w:rtl/>
        </w:rPr>
        <w:t>(9)</w:t>
      </w:r>
      <w:r w:rsidRPr="00132E65">
        <w:rPr>
          <w:rtl/>
          <w:lang w:bidi="fa-IR"/>
        </w:rPr>
        <w:t xml:space="preserve"> ، عَنْ رَافِعِ بْنِ سَلَمَةَ ، قَالَ :</w:t>
      </w:r>
    </w:p>
    <w:p w:rsidR="000C39D1" w:rsidRPr="00132E65" w:rsidRDefault="000C39D1" w:rsidP="000C39D1">
      <w:pPr>
        <w:pStyle w:val="libNormal"/>
        <w:rPr>
          <w:rtl/>
          <w:lang w:bidi="fa-IR"/>
        </w:rPr>
      </w:pPr>
      <w:r w:rsidRPr="00132E65">
        <w:rPr>
          <w:rtl/>
          <w:lang w:bidi="fa-IR"/>
        </w:rPr>
        <w:t>كُنْتُ مَعَ عَلِيِّ بْنِ أَبِي طَالِبٍ</w:t>
      </w:r>
      <w:r>
        <w:rPr>
          <w:rtl/>
          <w:lang w:bidi="fa-IR"/>
        </w:rPr>
        <w:t xml:space="preserve"> - </w:t>
      </w:r>
      <w:r w:rsidRPr="00132E65">
        <w:rPr>
          <w:rtl/>
          <w:lang w:bidi="fa-IR"/>
        </w:rPr>
        <w:t xml:space="preserve">صَلَوَاتُ اللهِ عَلَيْهِ </w:t>
      </w:r>
      <w:r>
        <w:rPr>
          <w:rStyle w:val="libFootnotenumChar"/>
          <w:rtl/>
        </w:rPr>
        <w:t>(10)</w:t>
      </w:r>
      <w:r>
        <w:rPr>
          <w:rtl/>
          <w:lang w:bidi="fa-IR"/>
        </w:rPr>
        <w:t xml:space="preserve"> - </w:t>
      </w:r>
      <w:r w:rsidRPr="00132E65">
        <w:rPr>
          <w:rtl/>
          <w:lang w:bidi="fa-IR"/>
        </w:rPr>
        <w:t xml:space="preserve">يَوْمَ النَّهْرَوَانِ ، فَبَيْنَا </w:t>
      </w:r>
      <w:r>
        <w:rPr>
          <w:rStyle w:val="libFootnotenumChar"/>
          <w:rtl/>
        </w:rPr>
        <w:t>(11)</w:t>
      </w:r>
      <w:r w:rsidRPr="00132E65">
        <w:rPr>
          <w:rtl/>
          <w:lang w:bidi="fa-IR"/>
        </w:rPr>
        <w:t xml:space="preserve"> عَلِيٌّ </w:t>
      </w:r>
      <w:r w:rsidRPr="00071CF9">
        <w:rPr>
          <w:rStyle w:val="libAlaemChar"/>
          <w:rtl/>
        </w:rPr>
        <w:t>عليه‌السلام</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لحيةً ، أي ذا لحية ؛ فإنّ العرب كثيراً ما يعبّر عن الرجل باللحية »</w:t>
      </w:r>
      <w:r>
        <w:rPr>
          <w:rtl/>
        </w:rPr>
        <w:t>.</w:t>
      </w:r>
    </w:p>
    <w:p w:rsidR="000C39D1" w:rsidRPr="00132E65" w:rsidRDefault="000C39D1" w:rsidP="000C39D1">
      <w:pPr>
        <w:pStyle w:val="libFootnote0"/>
        <w:rPr>
          <w:rtl/>
          <w:lang w:bidi="fa-IR"/>
        </w:rPr>
      </w:pPr>
      <w:r>
        <w:rPr>
          <w:rtl/>
        </w:rPr>
        <w:t>(2).</w:t>
      </w:r>
      <w:r w:rsidRPr="00132E65">
        <w:rPr>
          <w:rtl/>
        </w:rPr>
        <w:t xml:space="preserve"> في « ب ، ف ، ه‍ » : « لهما »</w:t>
      </w:r>
      <w:r>
        <w:rPr>
          <w:rtl/>
        </w:rPr>
        <w:t>.</w:t>
      </w:r>
    </w:p>
    <w:p w:rsidR="000C39D1" w:rsidRPr="00132E65" w:rsidRDefault="000C39D1" w:rsidP="000C39D1">
      <w:pPr>
        <w:pStyle w:val="libFootnote0"/>
        <w:rPr>
          <w:rtl/>
          <w:lang w:bidi="fa-IR"/>
        </w:rPr>
      </w:pPr>
      <w:r>
        <w:rPr>
          <w:rtl/>
        </w:rPr>
        <w:t>(3).</w:t>
      </w:r>
      <w:r w:rsidRPr="00132E65">
        <w:rPr>
          <w:rtl/>
        </w:rPr>
        <w:t xml:space="preserve"> قوله : « مساكاً » ، أي ما يتمسّك به من الخير. يقال : ما فيه مساك ، أي ما فيه خير يرجع إليه. راجع : </w:t>
      </w:r>
      <w:r w:rsidRPr="00713CF1">
        <w:rPr>
          <w:rStyle w:val="libFootnoteBoldChar"/>
          <w:rtl/>
        </w:rPr>
        <w:t>القاموس المحيط</w:t>
      </w:r>
      <w:r w:rsidRPr="00132E65">
        <w:rPr>
          <w:rtl/>
        </w:rPr>
        <w:t xml:space="preserve"> ، ج 2 ، ص 1262 ( مسك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 في «ف</w:t>
            </w:r>
            <w:r w:rsidRPr="00132E65">
              <w:rPr>
                <w:rtl/>
              </w:rPr>
              <w:t>» : « وقال »</w:t>
            </w:r>
            <w:r>
              <w:rPr>
                <w:rtl/>
              </w:rPr>
              <w:t>.</w:t>
            </w:r>
            <w:r w:rsidRPr="00132E65">
              <w:rPr>
                <w:rtl/>
              </w:rPr>
              <w:t>وفي البحار : « ثمّ قال »</w:t>
            </w:r>
            <w:r>
              <w:rPr>
                <w:rtl/>
              </w:rPr>
              <w:t>.</w:t>
            </w:r>
          </w:p>
        </w:tc>
        <w:tc>
          <w:tcPr>
            <w:tcW w:w="4006" w:type="dxa"/>
          </w:tcPr>
          <w:p w:rsidR="000C39D1" w:rsidRDefault="000C39D1" w:rsidP="00B53873">
            <w:pPr>
              <w:pStyle w:val="libFootnote0"/>
              <w:rPr>
                <w:rtl/>
              </w:rPr>
            </w:pPr>
            <w:r>
              <w:rPr>
                <w:rtl/>
              </w:rPr>
              <w:t>(5).</w:t>
            </w:r>
            <w:r w:rsidRPr="00132E65">
              <w:rPr>
                <w:rtl/>
              </w:rPr>
              <w:t xml:space="preserve"> في « ف » : « فأعلمهما »</w:t>
            </w:r>
            <w:r>
              <w:rPr>
                <w:rtl/>
              </w:rPr>
              <w:t>.</w:t>
            </w:r>
          </w:p>
        </w:tc>
      </w:tr>
    </w:tbl>
    <w:p w:rsidR="000C39D1" w:rsidRPr="00132E65" w:rsidRDefault="000C39D1" w:rsidP="000C39D1">
      <w:pPr>
        <w:pStyle w:val="libFootnote0"/>
        <w:rPr>
          <w:rtl/>
          <w:lang w:bidi="fa-IR"/>
        </w:rPr>
      </w:pPr>
      <w:r>
        <w:rPr>
          <w:rtl/>
        </w:rPr>
        <w:t>(6).</w:t>
      </w:r>
      <w:r w:rsidRPr="00132E65">
        <w:rPr>
          <w:rtl/>
        </w:rPr>
        <w:t xml:space="preserve"> في « ف » </w:t>
      </w:r>
      <w:r>
        <w:rPr>
          <w:rtl/>
        </w:rPr>
        <w:t xml:space="preserve">: - </w:t>
      </w:r>
      <w:r w:rsidRPr="00132E65">
        <w:rPr>
          <w:rtl/>
        </w:rPr>
        <w:t>« أن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2 ، ص 137 ، ح 612 ؛ </w:t>
      </w:r>
      <w:r w:rsidRPr="00FD3211">
        <w:rPr>
          <w:rtl/>
        </w:rPr>
        <w:t>البحار</w:t>
      </w:r>
      <w:r w:rsidRPr="00132E65">
        <w:rPr>
          <w:rtl/>
        </w:rPr>
        <w:t xml:space="preserve"> ، ج 32 ، ص 128 ، ح 105.</w:t>
      </w:r>
    </w:p>
    <w:p w:rsidR="000C39D1" w:rsidRPr="00132E65" w:rsidRDefault="000C39D1" w:rsidP="000C39D1">
      <w:pPr>
        <w:pStyle w:val="libFootnote0"/>
        <w:rPr>
          <w:rtl/>
          <w:lang w:bidi="fa-IR"/>
        </w:rPr>
      </w:pPr>
      <w:r>
        <w:rPr>
          <w:rtl/>
        </w:rPr>
        <w:t>(8).</w:t>
      </w:r>
      <w:r w:rsidRPr="00132E65">
        <w:rPr>
          <w:rtl/>
        </w:rPr>
        <w:t xml:space="preserve"> هكذا في « ألف ، ب ، ف ، بس ، جر »</w:t>
      </w:r>
      <w:r>
        <w:rPr>
          <w:rtl/>
        </w:rPr>
        <w:t>.</w:t>
      </w:r>
      <w:r w:rsidRPr="00132E65">
        <w:rPr>
          <w:rtl/>
        </w:rPr>
        <w:t xml:space="preserve"> وفي « ج ،</w:t>
      </w:r>
      <w:r>
        <w:rPr>
          <w:rtl/>
        </w:rPr>
        <w:t xml:space="preserve"> و »</w:t>
      </w:r>
      <w:r w:rsidRPr="00132E65">
        <w:rPr>
          <w:rtl/>
        </w:rPr>
        <w:t xml:space="preserve"> : « عمر بن سعيد »</w:t>
      </w:r>
      <w:r>
        <w:rPr>
          <w:rtl/>
        </w:rPr>
        <w:t>.</w:t>
      </w:r>
      <w:r w:rsidRPr="00132E65">
        <w:rPr>
          <w:rtl/>
        </w:rPr>
        <w:t xml:space="preserve"> وفي « بح ، بف » : « عمرو بن سعد »</w:t>
      </w:r>
      <w:r>
        <w:rPr>
          <w:rtl/>
        </w:rPr>
        <w:t>.</w:t>
      </w:r>
      <w:r w:rsidRPr="00132E65">
        <w:rPr>
          <w:rtl/>
        </w:rPr>
        <w:t xml:space="preserve"> وفي « بر » والمطبوع : « عمرو بن سعيد »</w:t>
      </w:r>
      <w:r>
        <w:rPr>
          <w:rtl/>
        </w:rPr>
        <w:t>.</w:t>
      </w:r>
    </w:p>
    <w:p w:rsidR="000C39D1" w:rsidRPr="00132E65" w:rsidRDefault="000C39D1" w:rsidP="000C39D1">
      <w:pPr>
        <w:pStyle w:val="libNormal"/>
        <w:rPr>
          <w:rtl/>
          <w:lang w:bidi="fa-IR"/>
        </w:rPr>
      </w:pPr>
      <w:r w:rsidRPr="00E55206">
        <w:rPr>
          <w:rStyle w:val="libFootnote0Char"/>
          <w:rtl/>
        </w:rPr>
        <w:t>والصواب ما أثبتناه ؛ فقد أكثر نصر بن مزاحم من الرواية عن عمر بن سعد ، والظاهر أنّه عمر بن سعد بن أبي الصيد الأسدي. ا</w:t>
      </w:r>
      <w:r w:rsidRPr="00E55206">
        <w:rPr>
          <w:rStyle w:val="libFootnote0Char"/>
          <w:rFonts w:hint="cs"/>
          <w:rtl/>
        </w:rPr>
        <w:t>ُ</w:t>
      </w:r>
      <w:r w:rsidRPr="00E55206">
        <w:rPr>
          <w:rStyle w:val="libFootnote0Char"/>
          <w:rtl/>
        </w:rPr>
        <w:t xml:space="preserve">نظر على سبيل المثال : </w:t>
      </w:r>
      <w:r w:rsidRPr="00FD3211">
        <w:rPr>
          <w:rtl/>
        </w:rPr>
        <w:t>وقعة صفّين</w:t>
      </w:r>
      <w:r w:rsidRPr="00E55206">
        <w:rPr>
          <w:rStyle w:val="libFootnote0Char"/>
          <w:rtl/>
        </w:rPr>
        <w:t xml:space="preserve"> ، ص 3 ، ص 92 ، ص 196 ؛ </w:t>
      </w:r>
      <w:r w:rsidRPr="00FD3211">
        <w:rPr>
          <w:rtl/>
        </w:rPr>
        <w:t>الغارات</w:t>
      </w:r>
      <w:r w:rsidRPr="00E55206">
        <w:rPr>
          <w:rStyle w:val="libFootnote0Char"/>
          <w:rtl/>
        </w:rPr>
        <w:t xml:space="preserve"> ، ص 15 ، ص 19 ، ص 20 ؛ </w:t>
      </w:r>
      <w:r w:rsidRPr="00FD3211">
        <w:rPr>
          <w:rtl/>
        </w:rPr>
        <w:t>شواهد التنزيل</w:t>
      </w:r>
      <w:r w:rsidRPr="00E55206">
        <w:rPr>
          <w:rStyle w:val="libFootnote0Char"/>
          <w:rtl/>
        </w:rPr>
        <w:t xml:space="preserve"> ، ص 179 ، ح 811 ؛ </w:t>
      </w:r>
      <w:r w:rsidRPr="00FD3211">
        <w:rPr>
          <w:rtl/>
        </w:rPr>
        <w:t>شرح نهج البلاغة</w:t>
      </w:r>
      <w:r w:rsidRPr="00E55206">
        <w:rPr>
          <w:rStyle w:val="libFootnote0Char"/>
          <w:rtl/>
        </w:rPr>
        <w:t xml:space="preserve"> لابن أبي الحديد ، ج 2 ، ص 64 ، ص 193 ؛ وج 3 ، ص 206 ؛ </w:t>
      </w:r>
      <w:r w:rsidRPr="00FD3211">
        <w:rPr>
          <w:rtl/>
        </w:rPr>
        <w:t>الأمالي</w:t>
      </w:r>
      <w:r w:rsidRPr="00E55206">
        <w:rPr>
          <w:rStyle w:val="libFootnote0Char"/>
          <w:rtl/>
        </w:rPr>
        <w:t xml:space="preserve"> للصدوق ، ص 110 ، المجلس 27 ، ح 1 ، وص 113 ، المجلس 27 ، ح 6 ، وص 120 ، المجلس 29 ، ح 2 ، وص 338 ، المجلس 64 ، ح 16 ؛ </w:t>
      </w:r>
      <w:r w:rsidRPr="00FD3211">
        <w:rPr>
          <w:rtl/>
        </w:rPr>
        <w:t>الخصال</w:t>
      </w:r>
      <w:r w:rsidRPr="00E55206">
        <w:rPr>
          <w:rStyle w:val="libFootnote0Char"/>
          <w:rtl/>
        </w:rPr>
        <w:t xml:space="preserve"> ، ص 400 ، ح 109.</w:t>
      </w:r>
    </w:p>
    <w:p w:rsidR="000C39D1" w:rsidRPr="00132E65" w:rsidRDefault="000C39D1" w:rsidP="000C39D1">
      <w:pPr>
        <w:pStyle w:val="libFootnote0"/>
        <w:rPr>
          <w:rtl/>
          <w:lang w:bidi="fa-IR"/>
        </w:rPr>
      </w:pPr>
      <w:r>
        <w:rPr>
          <w:rtl/>
        </w:rPr>
        <w:t>(9).</w:t>
      </w:r>
      <w:r w:rsidRPr="00132E65">
        <w:rPr>
          <w:rtl/>
        </w:rPr>
        <w:t xml:space="preserve"> في « ف » : « عبيد الله »</w:t>
      </w:r>
      <w:r>
        <w:rPr>
          <w:rtl/>
        </w:rPr>
        <w:t>.</w:t>
      </w:r>
    </w:p>
    <w:p w:rsidR="000C39D1" w:rsidRPr="00132E65" w:rsidRDefault="000C39D1" w:rsidP="000C39D1">
      <w:pPr>
        <w:pStyle w:val="libFootnote0"/>
        <w:rPr>
          <w:rtl/>
          <w:lang w:bidi="fa-IR"/>
        </w:rPr>
      </w:pPr>
      <w:r>
        <w:rPr>
          <w:rtl/>
        </w:rPr>
        <w:t>(10).</w:t>
      </w:r>
      <w:r w:rsidRPr="00132E65">
        <w:rPr>
          <w:rtl/>
        </w:rPr>
        <w:t xml:space="preserve"> في « ج ، ف ، بح ، بر » : « </w:t>
      </w:r>
      <w:r w:rsidRPr="00ED2EB4">
        <w:rPr>
          <w:rStyle w:val="libFootnoteAlaemChar"/>
          <w:rtl/>
        </w:rPr>
        <w:t>عليه‌السلام</w:t>
      </w:r>
      <w:r w:rsidRPr="00132E65">
        <w:rPr>
          <w:rtl/>
        </w:rPr>
        <w:t xml:space="preserve"> »</w:t>
      </w:r>
      <w:r>
        <w:rPr>
          <w:rtl/>
        </w:rPr>
        <w:t>.</w:t>
      </w:r>
      <w:r w:rsidRPr="00132E65">
        <w:rPr>
          <w:rtl/>
        </w:rPr>
        <w:t xml:space="preserve"> وفي حاشية « ج » :</w:t>
      </w:r>
      <w:r>
        <w:rPr>
          <w:rtl/>
        </w:rPr>
        <w:t xml:space="preserve"> + </w:t>
      </w:r>
      <w:r w:rsidRPr="00132E65">
        <w:rPr>
          <w:rtl/>
        </w:rPr>
        <w:t>« وآله »</w:t>
      </w:r>
      <w:r>
        <w:rPr>
          <w:rtl/>
        </w:rPr>
        <w:t>.</w:t>
      </w:r>
    </w:p>
    <w:p w:rsidR="000C39D1" w:rsidRPr="00132E65" w:rsidRDefault="000C39D1" w:rsidP="000C39D1">
      <w:pPr>
        <w:pStyle w:val="libFootnote0"/>
        <w:rPr>
          <w:rtl/>
          <w:lang w:bidi="fa-IR"/>
        </w:rPr>
      </w:pPr>
      <w:r>
        <w:rPr>
          <w:rtl/>
        </w:rPr>
        <w:t>(11).</w:t>
      </w:r>
      <w:r w:rsidRPr="00132E65">
        <w:rPr>
          <w:rtl/>
        </w:rPr>
        <w:t xml:space="preserve"> في « بح ، بر » : « فبينما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جَالِسٌ إِذْ جَاءَ فَارِسٌ ، فَقَالَ : السَّلَامُ عَلَيْكَ يَا عَلِيُّ ، فَقَالَ لَهُ </w:t>
      </w:r>
      <w:r>
        <w:rPr>
          <w:rStyle w:val="libFootnotenumChar"/>
          <w:rtl/>
        </w:rPr>
        <w:t>(1)</w:t>
      </w:r>
      <w:r w:rsidRPr="00132E65">
        <w:rPr>
          <w:rtl/>
          <w:lang w:bidi="fa-IR"/>
        </w:rPr>
        <w:t xml:space="preserve"> عَلِيٌّ </w:t>
      </w:r>
      <w:r w:rsidRPr="00071CF9">
        <w:rPr>
          <w:rStyle w:val="libAlaemChar"/>
          <w:rtl/>
        </w:rPr>
        <w:t>عليه‌السلام</w:t>
      </w:r>
      <w:r w:rsidRPr="00132E65">
        <w:rPr>
          <w:rtl/>
          <w:lang w:bidi="fa-IR"/>
        </w:rPr>
        <w:t xml:space="preserve"> : « وَعَلَيْكَ السَّلَامُ ، مَا لَكَ</w:t>
      </w:r>
      <w:r>
        <w:rPr>
          <w:rtl/>
          <w:lang w:bidi="fa-IR"/>
        </w:rPr>
        <w:t xml:space="preserve"> - </w:t>
      </w:r>
      <w:r w:rsidRPr="00132E65">
        <w:rPr>
          <w:rtl/>
          <w:lang w:bidi="fa-IR"/>
        </w:rPr>
        <w:t>ثَكِلَتْكَ أُمُّكَ</w:t>
      </w:r>
      <w:r>
        <w:rPr>
          <w:rtl/>
          <w:lang w:bidi="fa-IR"/>
        </w:rPr>
        <w:t xml:space="preserve"> - </w:t>
      </w:r>
      <w:r w:rsidRPr="00132E65">
        <w:rPr>
          <w:rtl/>
          <w:lang w:bidi="fa-IR"/>
        </w:rPr>
        <w:t xml:space="preserve">لَمْ تُسَلِّمْ عَلَيَّ بِإِمْرَةِ </w:t>
      </w:r>
      <w:r>
        <w:rPr>
          <w:rStyle w:val="libFootnotenumChar"/>
          <w:rtl/>
        </w:rPr>
        <w:t>(2)</w:t>
      </w:r>
      <w:r w:rsidRPr="00132E65">
        <w:rPr>
          <w:rtl/>
          <w:lang w:bidi="fa-IR"/>
        </w:rPr>
        <w:t xml:space="preserve"> الْمُؤْمِنِينَ</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بَلى سَأُخْبِرُكَ عَنْ ذلِكَ ، كُنْتُ </w:t>
      </w:r>
      <w:r>
        <w:rPr>
          <w:rStyle w:val="libFootnotenumChar"/>
          <w:rtl/>
        </w:rPr>
        <w:t>(3)</w:t>
      </w:r>
      <w:r w:rsidRPr="00132E65">
        <w:rPr>
          <w:rtl/>
          <w:lang w:bidi="fa-IR"/>
        </w:rPr>
        <w:t xml:space="preserve"> إِذْ كُنْتَ عَلَى الْحَقِّ بِصِفِّينَ ، فَلَمَّا حَكَّمْتَ الْحَكَمَيْنِ بَرِئْتُ مِنْكَ ، وسَمَّيْتُكَ مُشْرِكاً ، فَأَصْبَحْتُ لَا</w:t>
      </w:r>
      <w:r>
        <w:rPr>
          <w:rFonts w:hint="cs"/>
          <w:rtl/>
          <w:lang w:bidi="fa-IR"/>
        </w:rPr>
        <w:t xml:space="preserve"> </w:t>
      </w:r>
      <w:r w:rsidRPr="00132E65">
        <w:rPr>
          <w:rtl/>
          <w:lang w:bidi="fa-IR"/>
        </w:rPr>
        <w:t>أَدْرِي إِلى أَيْنَ أَصْرِفُ و</w:t>
      </w:r>
      <w:r>
        <w:rPr>
          <w:rFonts w:hint="cs"/>
          <w:rtl/>
          <w:lang w:bidi="fa-IR"/>
        </w:rPr>
        <w:t>َ</w:t>
      </w:r>
      <w:r w:rsidRPr="00132E65">
        <w:rPr>
          <w:rtl/>
          <w:lang w:bidi="fa-IR"/>
        </w:rPr>
        <w:t xml:space="preserve">لَايَتِي ، وَاللهِ لَأَنْ أَعْرِفَ هُدَاكَ مِنْ </w:t>
      </w:r>
      <w:r>
        <w:rPr>
          <w:rStyle w:val="libFootnotenumChar"/>
          <w:rtl/>
        </w:rPr>
        <w:t>(4)</w:t>
      </w:r>
      <w:r w:rsidRPr="00132E65">
        <w:rPr>
          <w:rtl/>
          <w:lang w:bidi="fa-IR"/>
        </w:rPr>
        <w:t xml:space="preserve"> ضَلَالَتِكَ أَحَبُّ إِلَيَّ مِنَ الدُّنْيَا ومَا فِيهَا.</w:t>
      </w:r>
    </w:p>
    <w:p w:rsidR="000C39D1" w:rsidRPr="00132E65" w:rsidRDefault="000C39D1" w:rsidP="000C39D1">
      <w:pPr>
        <w:pStyle w:val="libNormal"/>
        <w:rPr>
          <w:rtl/>
          <w:lang w:bidi="fa-IR"/>
        </w:rPr>
      </w:pPr>
      <w:r w:rsidRPr="00132E65">
        <w:rPr>
          <w:rtl/>
          <w:lang w:bidi="fa-IR"/>
        </w:rPr>
        <w:t xml:space="preserve">فَقَالَ لَهُ عَلِيٌّ </w:t>
      </w:r>
      <w:r w:rsidRPr="00071CF9">
        <w:rPr>
          <w:rStyle w:val="libAlaemChar"/>
          <w:rtl/>
        </w:rPr>
        <w:t>عليه‌السلام</w:t>
      </w:r>
      <w:r w:rsidRPr="00132E65">
        <w:rPr>
          <w:rtl/>
          <w:lang w:bidi="fa-IR"/>
        </w:rPr>
        <w:t xml:space="preserve"> : « ثَكِلَتْكَ أُمُّكَ ، قِفْ مِنِّي قَرِيباً أُرِكَ </w:t>
      </w:r>
      <w:r>
        <w:rPr>
          <w:rStyle w:val="libFootnotenumChar"/>
          <w:rtl/>
        </w:rPr>
        <w:t>(5)</w:t>
      </w:r>
      <w:r w:rsidRPr="00132E65">
        <w:rPr>
          <w:rtl/>
          <w:lang w:bidi="fa-IR"/>
        </w:rPr>
        <w:t xml:space="preserve"> عَلَامَاتِ الْهُدى مِنْ عَلَامَاتِ الضَّلَالَةِ»</w:t>
      </w:r>
      <w:r>
        <w:rPr>
          <w:rtl/>
          <w:lang w:bidi="fa-IR"/>
        </w:rPr>
        <w:t>.</w:t>
      </w:r>
    </w:p>
    <w:p w:rsidR="000C39D1" w:rsidRPr="00132E65" w:rsidRDefault="000C39D1" w:rsidP="000C39D1">
      <w:pPr>
        <w:pStyle w:val="libNormal"/>
        <w:rPr>
          <w:rtl/>
          <w:lang w:bidi="fa-IR"/>
        </w:rPr>
      </w:pPr>
      <w:r w:rsidRPr="00132E65">
        <w:rPr>
          <w:rtl/>
          <w:lang w:bidi="fa-IR"/>
        </w:rPr>
        <w:t xml:space="preserve">فَوَقَفَ الرَّجُلُ قَرِيباً مِنْهُ ، فَبَيْنَمَا هُوَ كَذلِكَ إِذْ أَقْبَلَ فَارِسٌ يَرْكُضُ </w:t>
      </w:r>
      <w:r>
        <w:rPr>
          <w:rStyle w:val="libFootnotenumChar"/>
          <w:rtl/>
        </w:rPr>
        <w:t>(6)</w:t>
      </w:r>
      <w:r w:rsidRPr="00132E65">
        <w:rPr>
          <w:rtl/>
          <w:lang w:bidi="fa-IR"/>
        </w:rPr>
        <w:t xml:space="preserve"> حَتّى أَتى عَلِيّاً </w:t>
      </w:r>
      <w:r w:rsidRPr="00071CF9">
        <w:rPr>
          <w:rStyle w:val="libAlaemChar"/>
          <w:rtl/>
        </w:rPr>
        <w:t>عليه‌السلام</w:t>
      </w:r>
      <w:r w:rsidRPr="00132E65">
        <w:rPr>
          <w:rtl/>
          <w:lang w:bidi="fa-IR"/>
        </w:rPr>
        <w:t xml:space="preserve"> ، فَقَالَ : يَا أَمِيرَ الْمُؤْمِنِينَ ، أَبْشِرْ بِالْفَتْحِ أَقَرَّ اللهُ عَيْنَكَ ، قَدْ واللهِ قُتِلَ الْقَوْمُ أَجْمَعُونَ ، فَقَالَ لَهُ : « مِنْ دُونِ النَّهَرِ </w:t>
      </w:r>
      <w:r>
        <w:rPr>
          <w:rStyle w:val="libFootnotenumChar"/>
          <w:rtl/>
        </w:rPr>
        <w:t>(7)</w:t>
      </w:r>
      <w:r w:rsidRPr="00132E65">
        <w:rPr>
          <w:rtl/>
          <w:lang w:bidi="fa-IR"/>
        </w:rPr>
        <w:t xml:space="preserve"> أَوْ مِنْ خَلْفِهِ</w:t>
      </w:r>
      <w:r>
        <w:rPr>
          <w:rtl/>
          <w:lang w:bidi="fa-IR"/>
        </w:rPr>
        <w:t>؟</w:t>
      </w:r>
      <w:r w:rsidRPr="00132E65">
        <w:rPr>
          <w:rtl/>
          <w:lang w:bidi="fa-IR"/>
        </w:rPr>
        <w:t xml:space="preserve"> » قَالَ : </w:t>
      </w:r>
      <w:r>
        <w:rPr>
          <w:rStyle w:val="libFootnotenumChar"/>
          <w:rtl/>
        </w:rPr>
        <w:t>(8)</w:t>
      </w:r>
      <w:r w:rsidRPr="00132E65">
        <w:rPr>
          <w:rtl/>
          <w:lang w:bidi="fa-IR"/>
        </w:rPr>
        <w:t xml:space="preserve"> بَلْ مِنْ دُونِهِ ، فَقَالَ </w:t>
      </w:r>
      <w:r>
        <w:rPr>
          <w:rStyle w:val="libFootnotenumChar"/>
          <w:rtl/>
        </w:rPr>
        <w:t>(9)</w:t>
      </w:r>
      <w:r w:rsidRPr="00132E65">
        <w:rPr>
          <w:rtl/>
          <w:lang w:bidi="fa-IR"/>
        </w:rPr>
        <w:t xml:space="preserve"> : « كَذَبْتَ ، وَالَّذِي فَلَقَ الْحَبَّةَ وبَرَأَ </w:t>
      </w:r>
      <w:r>
        <w:rPr>
          <w:rStyle w:val="libFootnotenumChar"/>
          <w:rtl/>
        </w:rPr>
        <w:t>(10)</w:t>
      </w:r>
      <w:r w:rsidRPr="00132E65">
        <w:rPr>
          <w:rtl/>
          <w:lang w:bidi="fa-IR"/>
        </w:rPr>
        <w:t xml:space="preserve"> النَّسَمَةَ </w:t>
      </w:r>
      <w:r>
        <w:rPr>
          <w:rStyle w:val="libFootnotenumChar"/>
          <w:rtl/>
        </w:rPr>
        <w:t>(11)</w:t>
      </w:r>
      <w:r w:rsidRPr="00132E65">
        <w:rPr>
          <w:rtl/>
          <w:lang w:bidi="fa-IR"/>
        </w:rPr>
        <w:t xml:space="preserve"> لَايَعْبُرُونَ </w:t>
      </w:r>
      <w:r>
        <w:rPr>
          <w:rStyle w:val="libFootnotenumChar"/>
          <w:rtl/>
        </w:rPr>
        <w:t>(12)</w:t>
      </w:r>
      <w:r w:rsidRPr="00132E65">
        <w:rPr>
          <w:rtl/>
          <w:lang w:bidi="fa-IR"/>
        </w:rPr>
        <w:t xml:space="preserve"> أَبَداً حَتّى يُقْتَلُوا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 الإمْرَةُ » : اسم من أَمَرَ ، أَمُرَ ، أَمِرَ علينا أَمْراً ، أي ولِيَ. </w:t>
      </w:r>
      <w:r w:rsidRPr="00ED2EB4">
        <w:rPr>
          <w:rStyle w:val="libFootnoteBoldChar"/>
          <w:rtl/>
        </w:rPr>
        <w:t>القاموس المحيط</w:t>
      </w:r>
      <w:r w:rsidRPr="00132E65">
        <w:rPr>
          <w:rtl/>
        </w:rPr>
        <w:t xml:space="preserve"> ، ج 1 ، ص 493 ( أمر )</w:t>
      </w:r>
      <w:r>
        <w:rPr>
          <w:rtl/>
        </w:rPr>
        <w:t>.</w:t>
      </w:r>
    </w:p>
    <w:p w:rsidR="000C39D1" w:rsidRPr="00132E65" w:rsidRDefault="000C39D1" w:rsidP="000C39D1">
      <w:pPr>
        <w:pStyle w:val="libFootnote0"/>
        <w:rPr>
          <w:rtl/>
          <w:lang w:bidi="fa-IR"/>
        </w:rPr>
      </w:pPr>
      <w:r>
        <w:rPr>
          <w:rtl/>
        </w:rPr>
        <w:t>(3).</w:t>
      </w:r>
      <w:r w:rsidRPr="00132E65">
        <w:rPr>
          <w:rtl/>
        </w:rPr>
        <w:t xml:space="preserve"> أي كنتُ قائلاً بإمارتك إذ كنتَ على الحقّ. وفي « ف » </w:t>
      </w:r>
      <w:r>
        <w:rPr>
          <w:rtl/>
        </w:rPr>
        <w:t xml:space="preserve">: - </w:t>
      </w:r>
      <w:r w:rsidRPr="00132E65">
        <w:rPr>
          <w:rtl/>
        </w:rPr>
        <w:t>« كنتُ »</w:t>
      </w:r>
      <w:r>
        <w:rPr>
          <w:rtl/>
        </w:rPr>
        <w:t>.</w:t>
      </w:r>
      <w:r w:rsidRPr="00132E65">
        <w:rPr>
          <w:rtl/>
        </w:rPr>
        <w:t xml:space="preserve"> واحتمل المازندراني كون الفعل الثاني</w:t>
      </w:r>
      <w:r>
        <w:rPr>
          <w:rFonts w:hint="cs"/>
          <w:rtl/>
        </w:rPr>
        <w:t xml:space="preserve"> </w:t>
      </w:r>
      <w:r w:rsidRPr="00132E65">
        <w:rPr>
          <w:rtl/>
        </w:rPr>
        <w:t>‌للتكلّم كالأوّل. واحتمل المجلسي كون الأوّل بصيغة الخطاب واستبعد كون الثاني للتكلّم.</w:t>
      </w:r>
    </w:p>
    <w:p w:rsidR="000C39D1" w:rsidRPr="00132E65" w:rsidRDefault="000C39D1" w:rsidP="000C39D1">
      <w:pPr>
        <w:pStyle w:val="libFootnote0"/>
        <w:rPr>
          <w:rtl/>
          <w:lang w:bidi="fa-IR"/>
        </w:rPr>
      </w:pPr>
      <w:r>
        <w:rPr>
          <w:rtl/>
        </w:rPr>
        <w:t>(4).</w:t>
      </w:r>
      <w:r w:rsidRPr="00132E65">
        <w:rPr>
          <w:rtl/>
        </w:rPr>
        <w:t xml:space="preserve"> في « بر » : « عن »</w:t>
      </w:r>
      <w:r>
        <w:rPr>
          <w:rtl/>
        </w:rPr>
        <w:t>.</w:t>
      </w:r>
    </w:p>
    <w:p w:rsidR="000C39D1" w:rsidRPr="00132E65" w:rsidRDefault="000C39D1" w:rsidP="000C39D1">
      <w:pPr>
        <w:pStyle w:val="libFootnote0"/>
        <w:rPr>
          <w:rtl/>
          <w:lang w:bidi="fa-IR"/>
        </w:rPr>
      </w:pPr>
      <w:r>
        <w:rPr>
          <w:rtl/>
        </w:rPr>
        <w:t>(5).</w:t>
      </w:r>
      <w:r w:rsidRPr="00132E65">
        <w:rPr>
          <w:rtl/>
        </w:rPr>
        <w:t xml:space="preserve"> هكذا في « ه‍ » وحاشية « بح ، بر » وهو مقتضى القاعدة. وفي المطبوع وباقي النسخ : « ا</w:t>
      </w:r>
      <w:r>
        <w:rPr>
          <w:rFonts w:hint="cs"/>
          <w:rtl/>
        </w:rPr>
        <w:t>ُ</w:t>
      </w:r>
      <w:r w:rsidRPr="00132E65">
        <w:rPr>
          <w:rtl/>
        </w:rPr>
        <w:t>ريَك »</w:t>
      </w:r>
      <w:r>
        <w:rPr>
          <w:rtl/>
        </w:rPr>
        <w:t>.</w:t>
      </w:r>
    </w:p>
    <w:p w:rsidR="000C39D1" w:rsidRPr="00132E65" w:rsidRDefault="000C39D1" w:rsidP="000C39D1">
      <w:pPr>
        <w:pStyle w:val="libFootnote0"/>
        <w:rPr>
          <w:rtl/>
          <w:lang w:bidi="fa-IR"/>
        </w:rPr>
      </w:pPr>
      <w:r>
        <w:rPr>
          <w:rtl/>
        </w:rPr>
        <w:t>(6).</w:t>
      </w:r>
      <w:r w:rsidRPr="00132E65">
        <w:rPr>
          <w:rtl/>
        </w:rPr>
        <w:t xml:space="preserve"> « الرَكْضُ » : تحريك الرِجْل حَثّاً للفرس على العَدْو. </w:t>
      </w:r>
      <w:r w:rsidRPr="00ED2EB4">
        <w:rPr>
          <w:rStyle w:val="libFootnoteBoldChar"/>
          <w:rtl/>
        </w:rPr>
        <w:t>الصحاح</w:t>
      </w:r>
      <w:r w:rsidRPr="00132E65">
        <w:rPr>
          <w:rtl/>
        </w:rPr>
        <w:t xml:space="preserve"> ، ج 3 ، ص 1079 ( ركض )</w:t>
      </w:r>
      <w:r>
        <w:rPr>
          <w:rtl/>
        </w:rPr>
        <w:t>.</w:t>
      </w:r>
    </w:p>
    <w:p w:rsidR="000C39D1" w:rsidRPr="00132E65" w:rsidRDefault="000C39D1" w:rsidP="000C39D1">
      <w:pPr>
        <w:pStyle w:val="libFootnote0"/>
        <w:rPr>
          <w:rtl/>
          <w:lang w:bidi="fa-IR"/>
        </w:rPr>
      </w:pPr>
      <w:r>
        <w:rPr>
          <w:rtl/>
        </w:rPr>
        <w:t>(7).</w:t>
      </w:r>
      <w:r w:rsidRPr="00132E65">
        <w:rPr>
          <w:rtl/>
        </w:rPr>
        <w:t xml:space="preserve"> في « ج ، ف » : « النهروان »</w:t>
      </w:r>
      <w:r>
        <w:rPr>
          <w:rtl/>
        </w:rPr>
        <w:t>.</w:t>
      </w:r>
    </w:p>
    <w:p w:rsidR="000C39D1" w:rsidRPr="00132E65" w:rsidRDefault="000C39D1" w:rsidP="000C39D1">
      <w:pPr>
        <w:pStyle w:val="libFootnote0"/>
        <w:rPr>
          <w:rtl/>
          <w:lang w:bidi="fa-IR"/>
        </w:rPr>
      </w:pPr>
      <w:r>
        <w:rPr>
          <w:rtl/>
        </w:rPr>
        <w:t>(8).</w:t>
      </w:r>
      <w:r w:rsidRPr="00132E65">
        <w:rPr>
          <w:rtl/>
        </w:rPr>
        <w:t xml:space="preserve"> في « بر » : « فقال »</w:t>
      </w:r>
      <w:r>
        <w:rPr>
          <w:rtl/>
        </w:rPr>
        <w:t>.</w:t>
      </w:r>
    </w:p>
    <w:p w:rsidR="000C39D1" w:rsidRPr="00132E65" w:rsidRDefault="000C39D1" w:rsidP="000C39D1">
      <w:pPr>
        <w:pStyle w:val="libFootnote0"/>
        <w:rPr>
          <w:rtl/>
          <w:lang w:bidi="fa-IR"/>
        </w:rPr>
      </w:pPr>
      <w:r>
        <w:rPr>
          <w:rtl/>
        </w:rPr>
        <w:t>(9).</w:t>
      </w:r>
      <w:r w:rsidRPr="00132E65">
        <w:rPr>
          <w:rtl/>
        </w:rPr>
        <w:t xml:space="preserve"> في « ب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(10).</w:t>
      </w:r>
      <w:r w:rsidRPr="00132E65">
        <w:rPr>
          <w:rtl/>
        </w:rPr>
        <w:t xml:space="preserve"> « برأ » ، أي خلق ، ومنه البارئ ، وهو الذي خلق الخلق لا عن مثال. راجع : </w:t>
      </w:r>
      <w:r w:rsidRPr="00ED2EB4">
        <w:rPr>
          <w:rStyle w:val="libFootnoteBoldChar"/>
          <w:rtl/>
        </w:rPr>
        <w:t>النهاية</w:t>
      </w:r>
      <w:r w:rsidRPr="00132E65">
        <w:rPr>
          <w:rtl/>
        </w:rPr>
        <w:t xml:space="preserve"> ، ج 1 ، ص 111 ( برأ )</w:t>
      </w:r>
      <w:r>
        <w:rPr>
          <w:rtl/>
        </w:rPr>
        <w:t>.</w:t>
      </w:r>
    </w:p>
    <w:p w:rsidR="000C39D1" w:rsidRPr="00132E65" w:rsidRDefault="000C39D1" w:rsidP="000C39D1">
      <w:pPr>
        <w:pStyle w:val="libFootnote0"/>
        <w:rPr>
          <w:rtl/>
          <w:lang w:bidi="fa-IR"/>
        </w:rPr>
      </w:pPr>
      <w:r>
        <w:rPr>
          <w:rtl/>
        </w:rPr>
        <w:t>(11).</w:t>
      </w:r>
      <w:r w:rsidRPr="00132E65">
        <w:rPr>
          <w:rtl/>
        </w:rPr>
        <w:t xml:space="preserve"> قال الجوهري : « النَسَمَةُ : الإنسان »</w:t>
      </w:r>
      <w:r>
        <w:rPr>
          <w:rtl/>
        </w:rPr>
        <w:t>.</w:t>
      </w:r>
      <w:r w:rsidRPr="00132E65">
        <w:rPr>
          <w:rtl/>
        </w:rPr>
        <w:t xml:space="preserve"> وقال ابن الأثير : « النَسَمَةُ : النفس والروح وكلّ دابّة فيها روح فهي نَسَمَة »</w:t>
      </w:r>
      <w:r>
        <w:rPr>
          <w:rtl/>
        </w:rPr>
        <w:t>.</w:t>
      </w:r>
      <w:r w:rsidRPr="00132E65">
        <w:rPr>
          <w:rtl/>
        </w:rPr>
        <w:t xml:space="preserve"> فبرأ النسمة ، أي خلق ذات الروح. </w:t>
      </w:r>
      <w:r w:rsidRPr="00ED2EB4">
        <w:rPr>
          <w:rStyle w:val="libFootnoteBoldChar"/>
          <w:rtl/>
        </w:rPr>
        <w:t>الصحاح</w:t>
      </w:r>
      <w:r w:rsidRPr="00132E65">
        <w:rPr>
          <w:rtl/>
        </w:rPr>
        <w:t xml:space="preserve"> ، ج 5 ، ص 2040 ؛ </w:t>
      </w:r>
      <w:r w:rsidRPr="00FD3211">
        <w:rPr>
          <w:rtl/>
        </w:rPr>
        <w:t>النهاية</w:t>
      </w:r>
      <w:r w:rsidRPr="00132E65">
        <w:rPr>
          <w:rtl/>
        </w:rPr>
        <w:t xml:space="preserve"> ، ج 5 ، ص 49 ( نسم )</w:t>
      </w:r>
      <w:r>
        <w:rPr>
          <w:rtl/>
        </w:rPr>
        <w:t>.</w:t>
      </w:r>
    </w:p>
    <w:p w:rsidR="000C39D1" w:rsidRPr="00132E65" w:rsidRDefault="000C39D1" w:rsidP="000C39D1">
      <w:pPr>
        <w:pStyle w:val="libFootnote0"/>
        <w:rPr>
          <w:rtl/>
          <w:lang w:bidi="fa-IR"/>
        </w:rPr>
      </w:pPr>
      <w:r>
        <w:rPr>
          <w:rtl/>
        </w:rPr>
        <w:t>(12).</w:t>
      </w:r>
      <w:r w:rsidRPr="00132E65">
        <w:rPr>
          <w:rtl/>
        </w:rPr>
        <w:t xml:space="preserve"> في « ب » وحاشية « بح » :</w:t>
      </w:r>
      <w:r>
        <w:rPr>
          <w:rtl/>
        </w:rPr>
        <w:t xml:space="preserve"> + </w:t>
      </w:r>
      <w:r w:rsidRPr="00132E65">
        <w:rPr>
          <w:rtl/>
        </w:rPr>
        <w:t>« النهر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الرَّجُلُ : فَازْدَدْتُ فِيهِ بَصِيرَةً ، فَجَاءَ آخَرُ يَرْكُضُ عَلى فَرَسٍ لَهُ ، فَقَالَ لَهُ </w:t>
      </w:r>
      <w:r>
        <w:rPr>
          <w:rStyle w:val="libFootnotenumChar"/>
          <w:rtl/>
        </w:rPr>
        <w:t>(1)</w:t>
      </w:r>
      <w:r w:rsidRPr="00132E65">
        <w:rPr>
          <w:rtl/>
          <w:lang w:bidi="fa-IR"/>
        </w:rPr>
        <w:t xml:space="preserve"> مِثْلَ ذلِكَ ، فَرَدَّ عَلَيْهِ أَمِيرُ الْمُؤْمِنِينَ </w:t>
      </w:r>
      <w:r w:rsidRPr="00071CF9">
        <w:rPr>
          <w:rStyle w:val="libAlaemChar"/>
          <w:rtl/>
        </w:rPr>
        <w:t>عليه‌السلام</w:t>
      </w:r>
      <w:r w:rsidRPr="00132E65">
        <w:rPr>
          <w:rtl/>
          <w:lang w:bidi="fa-IR"/>
        </w:rPr>
        <w:t xml:space="preserve"> مِثْلَ الَّذِي رَدَّ عَلى صَاحِبِهِ.</w:t>
      </w:r>
    </w:p>
    <w:p w:rsidR="000C39D1" w:rsidRPr="00132E65" w:rsidRDefault="000C39D1" w:rsidP="000C39D1">
      <w:pPr>
        <w:pStyle w:val="libNormal"/>
        <w:rPr>
          <w:rtl/>
          <w:lang w:bidi="fa-IR"/>
        </w:rPr>
      </w:pPr>
      <w:r w:rsidRPr="00132E65">
        <w:rPr>
          <w:rtl/>
          <w:lang w:bidi="fa-IR"/>
        </w:rPr>
        <w:t xml:space="preserve">قَالَ الرَّجُلُ الشَّاكُّ : وهَمَمْتُ </w:t>
      </w:r>
      <w:r>
        <w:rPr>
          <w:rStyle w:val="libFootnotenumChar"/>
          <w:rtl/>
        </w:rPr>
        <w:t>(2)</w:t>
      </w:r>
      <w:r w:rsidRPr="00132E65">
        <w:rPr>
          <w:rtl/>
          <w:lang w:bidi="fa-IR"/>
        </w:rPr>
        <w:t xml:space="preserve"> أَنْ أَحْمِلَ عَلى عَلِيٍّ </w:t>
      </w:r>
      <w:r w:rsidRPr="00071CF9">
        <w:rPr>
          <w:rStyle w:val="libAlaemChar"/>
          <w:rtl/>
        </w:rPr>
        <w:t>عليه‌السلام</w:t>
      </w:r>
      <w:r w:rsidRPr="00132E65">
        <w:rPr>
          <w:rtl/>
          <w:lang w:bidi="fa-IR"/>
        </w:rPr>
        <w:t xml:space="preserve"> ، فَأَفْلَقَ هَامَتَهُ </w:t>
      </w:r>
      <w:r>
        <w:rPr>
          <w:rStyle w:val="libFootnotenumChar"/>
          <w:rtl/>
        </w:rPr>
        <w:t>(3)</w:t>
      </w:r>
      <w:r w:rsidRPr="00132E65">
        <w:rPr>
          <w:rtl/>
          <w:lang w:bidi="fa-IR"/>
        </w:rPr>
        <w:t xml:space="preserve"> بِالسَّيْفِ ، ثُمَّ جَاءَ فَارِسَانِ يَرْكُضَانِ قَدْ أَعْرَقَا فَرَسَيْهِمَا ، فَقَالَا : أَقَرَّ اللهُ عَيْنَكَ </w:t>
      </w:r>
      <w:r>
        <w:rPr>
          <w:rStyle w:val="libFootnotenumChar"/>
          <w:rtl/>
        </w:rPr>
        <w:t>(4)</w:t>
      </w:r>
      <w:r w:rsidRPr="00132E65">
        <w:rPr>
          <w:rtl/>
          <w:lang w:bidi="fa-IR"/>
        </w:rPr>
        <w:t xml:space="preserve"> يَا أَمِيرَ الْمُؤْمِنِينَ ، أَبْشِرْ بِالْفَتْحِ ، قَدْ واللهِ ، قُتِلَ الْقَوْمُ أَجْمَعُونَ ، فَقَالَ عَلِيٌّ </w:t>
      </w:r>
      <w:r w:rsidRPr="00071CF9">
        <w:rPr>
          <w:rStyle w:val="libAlaemChar"/>
          <w:rtl/>
        </w:rPr>
        <w:t>عليه‌السلام</w:t>
      </w:r>
      <w:r>
        <w:rPr>
          <w:rtl/>
          <w:lang w:bidi="fa-IR"/>
        </w:rPr>
        <w:t xml:space="preserve"> : « أَ</w:t>
      </w:r>
      <w:r w:rsidRPr="00132E65">
        <w:rPr>
          <w:rtl/>
          <w:lang w:bidi="fa-IR"/>
        </w:rPr>
        <w:t xml:space="preserve">مِنْ خَلْفِ النَّهَرِ </w:t>
      </w:r>
      <w:r>
        <w:rPr>
          <w:rStyle w:val="libFootnotenumChar"/>
          <w:rtl/>
        </w:rPr>
        <w:t>(5)</w:t>
      </w:r>
      <w:r w:rsidRPr="00132E65">
        <w:rPr>
          <w:rtl/>
          <w:lang w:bidi="fa-IR"/>
        </w:rPr>
        <w:t xml:space="preserve"> أَوْ مِنْ دُونِهِ</w:t>
      </w:r>
      <w:r>
        <w:rPr>
          <w:rtl/>
          <w:lang w:bidi="fa-IR"/>
        </w:rPr>
        <w:t>؟</w:t>
      </w:r>
      <w:r w:rsidRPr="00132E65">
        <w:rPr>
          <w:rtl/>
          <w:lang w:bidi="fa-IR"/>
        </w:rPr>
        <w:t xml:space="preserve"> » قَالَا </w:t>
      </w:r>
      <w:r>
        <w:rPr>
          <w:rStyle w:val="libFootnotenumChar"/>
          <w:rtl/>
        </w:rPr>
        <w:t>(6)</w:t>
      </w:r>
      <w:r w:rsidRPr="00132E65">
        <w:rPr>
          <w:rtl/>
          <w:lang w:bidi="fa-IR"/>
        </w:rPr>
        <w:t xml:space="preserve"> : لَا ، بَلْ مِنْ خَلْفِهِ ؛ إِنَّهُمْ لَمَّا اقْتَحَمُوا </w:t>
      </w:r>
      <w:r>
        <w:rPr>
          <w:rStyle w:val="libFootnotenumChar"/>
          <w:rtl/>
        </w:rPr>
        <w:t>(7)</w:t>
      </w:r>
      <w:r w:rsidRPr="00132E65">
        <w:rPr>
          <w:rtl/>
          <w:lang w:bidi="fa-IR"/>
        </w:rPr>
        <w:t xml:space="preserve"> خَيْلَهُمُ </w:t>
      </w:r>
      <w:r>
        <w:rPr>
          <w:rStyle w:val="libFootnotenumChar"/>
          <w:rtl/>
        </w:rPr>
        <w:t>(8)</w:t>
      </w:r>
      <w:r w:rsidRPr="00132E65">
        <w:rPr>
          <w:rtl/>
          <w:lang w:bidi="fa-IR"/>
        </w:rPr>
        <w:t xml:space="preserve"> النَّهْرَوَانَ ، وضَرَبَ الْمَاءُ لَبَّاتِ </w:t>
      </w:r>
      <w:r>
        <w:rPr>
          <w:rStyle w:val="libFootnotenumChar"/>
          <w:rtl/>
        </w:rPr>
        <w:t>(9)</w:t>
      </w:r>
      <w:r w:rsidRPr="00132E65">
        <w:rPr>
          <w:rtl/>
          <w:lang w:bidi="fa-IR"/>
        </w:rPr>
        <w:t xml:space="preserve"> خُيُولِهِمْ ، رَجَعُوا فَأُصِيبُوا ، فَقَالَ أَمِيرُ الْمُؤْمِنِينَ </w:t>
      </w:r>
      <w:r w:rsidRPr="00071CF9">
        <w:rPr>
          <w:rStyle w:val="libAlaemChar"/>
          <w:rtl/>
        </w:rPr>
        <w:t>عليه‌السلام</w:t>
      </w:r>
      <w:r w:rsidRPr="00132E65">
        <w:rPr>
          <w:rtl/>
          <w:lang w:bidi="fa-IR"/>
        </w:rPr>
        <w:t xml:space="preserve"> : « صَدَقْتُمَا » فَنَزَلَ الرَّجُلُ عَنْ فَرَسِهِ ، فَأَخَذَ بِيَدِ أَمِيرِ الْمُؤْمِنِينَ </w:t>
      </w:r>
      <w:r w:rsidRPr="00071CF9">
        <w:rPr>
          <w:rStyle w:val="libAlaemChar"/>
          <w:rtl/>
        </w:rPr>
        <w:t>عليه‌السلام</w:t>
      </w:r>
      <w:r w:rsidRPr="00132E65">
        <w:rPr>
          <w:rtl/>
          <w:lang w:bidi="fa-IR"/>
        </w:rPr>
        <w:t xml:space="preserve"> وبِرِجْلِهِ فَقَبَّلَهُمَا ، فَقَالَ عَلِيٌّ </w:t>
      </w:r>
      <w:r w:rsidRPr="00071CF9">
        <w:rPr>
          <w:rStyle w:val="libAlaemChar"/>
          <w:rtl/>
        </w:rPr>
        <w:t>عليه‌السلام</w:t>
      </w:r>
      <w:r w:rsidRPr="00132E65">
        <w:rPr>
          <w:rtl/>
          <w:lang w:bidi="fa-IR"/>
        </w:rPr>
        <w:t xml:space="preserve"> : « هذِهِ لَكَ آيَةٌ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FD3211">
        <w:rPr>
          <w:rtl/>
        </w:rPr>
        <w:t>924</w:t>
      </w:r>
      <w:r w:rsidRPr="004325D8">
        <w:rPr>
          <w:rStyle w:val="libBold2Char"/>
          <w:rtl/>
        </w:rPr>
        <w:t xml:space="preserve"> / 3.</w:t>
      </w:r>
      <w:r w:rsidRPr="00132E65">
        <w:rPr>
          <w:rtl/>
          <w:lang w:bidi="fa-IR"/>
        </w:rPr>
        <w:t xml:space="preserve"> عَلِيُّ بْنُ مُحَمَّدٍ ، عَنْ أَبِي عَلِيٍّ مُحَمَّدِ بْنِ إِسْمَاعِيلَ بْنِ مُوسَى بْنِ جَعْفَرٍ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بف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 هَمَمْتُ » ، أي قصدتُ وأردتُ. تقول : هَمَمْتُ بالشي‌ء هَمّاً من باب قَتَلَ ، إذا أردتَه ولم تفعله. راجع : </w:t>
      </w:r>
      <w:r w:rsidRPr="00BB0E61">
        <w:rPr>
          <w:rStyle w:val="libFootnoteBoldChar"/>
          <w:rtl/>
        </w:rPr>
        <w:t>المصباح</w:t>
      </w:r>
      <w:r w:rsidRPr="00BB0E61">
        <w:rPr>
          <w:rStyle w:val="libFootnoteBoldChar"/>
          <w:rFonts w:hint="cs"/>
          <w:rtl/>
        </w:rPr>
        <w:t xml:space="preserve"> </w:t>
      </w:r>
      <w:r w:rsidRPr="00BB0E61">
        <w:rPr>
          <w:rStyle w:val="libFootnoteBoldChar"/>
          <w:rtl/>
        </w:rPr>
        <w:t>‌المنير</w:t>
      </w:r>
      <w:r w:rsidRPr="00132E65">
        <w:rPr>
          <w:rtl/>
        </w:rPr>
        <w:t xml:space="preserve"> ، ص 641 ( همم )</w:t>
      </w:r>
      <w:r>
        <w:rPr>
          <w:rtl/>
        </w:rPr>
        <w:t>.</w:t>
      </w:r>
    </w:p>
    <w:p w:rsidR="000C39D1" w:rsidRPr="00132E65" w:rsidRDefault="000C39D1" w:rsidP="000C39D1">
      <w:pPr>
        <w:pStyle w:val="libFootnote0"/>
        <w:rPr>
          <w:rtl/>
          <w:lang w:bidi="fa-IR"/>
        </w:rPr>
      </w:pPr>
      <w:r>
        <w:rPr>
          <w:rtl/>
        </w:rPr>
        <w:t>(3).</w:t>
      </w:r>
      <w:r w:rsidRPr="00132E65">
        <w:rPr>
          <w:rtl/>
        </w:rPr>
        <w:t xml:space="preserve"> قال الجوهري : « الهامَةُ : الرأس ، والجمع : هامٌ »</w:t>
      </w:r>
      <w:r>
        <w:rPr>
          <w:rtl/>
        </w:rPr>
        <w:t>.</w:t>
      </w:r>
      <w:r w:rsidRPr="00132E65">
        <w:rPr>
          <w:rtl/>
        </w:rPr>
        <w:t xml:space="preserve"> </w:t>
      </w:r>
      <w:r w:rsidRPr="008A6F9F">
        <w:rPr>
          <w:rStyle w:val="libFootnoteBoldChar"/>
          <w:rtl/>
        </w:rPr>
        <w:t>الصحاح</w:t>
      </w:r>
      <w:r w:rsidRPr="00132E65">
        <w:rPr>
          <w:rtl/>
        </w:rPr>
        <w:t xml:space="preserve"> ، ج 5 ، ص 2063 ( هيم )</w:t>
      </w:r>
      <w:r>
        <w:rPr>
          <w:rtl/>
        </w:rPr>
        <w:t>.</w:t>
      </w:r>
    </w:p>
    <w:p w:rsidR="000C39D1" w:rsidRPr="00132E65" w:rsidRDefault="000C39D1" w:rsidP="000C39D1">
      <w:pPr>
        <w:pStyle w:val="libFootnote0"/>
        <w:rPr>
          <w:rtl/>
          <w:lang w:bidi="fa-IR"/>
        </w:rPr>
      </w:pPr>
      <w:r>
        <w:rPr>
          <w:rtl/>
        </w:rPr>
        <w:t>(4).</w:t>
      </w:r>
      <w:r w:rsidRPr="00132E65">
        <w:rPr>
          <w:rtl/>
        </w:rPr>
        <w:t xml:space="preserve"> في « بح » : « عينيك »</w:t>
      </w:r>
      <w:r>
        <w:rPr>
          <w:rtl/>
        </w:rPr>
        <w:t>.</w:t>
      </w:r>
    </w:p>
    <w:p w:rsidR="000C39D1" w:rsidRPr="00132E65" w:rsidRDefault="000C39D1" w:rsidP="000C39D1">
      <w:pPr>
        <w:pStyle w:val="libFootnote0"/>
        <w:rPr>
          <w:rtl/>
          <w:lang w:bidi="fa-IR"/>
        </w:rPr>
      </w:pPr>
      <w:r>
        <w:rPr>
          <w:rtl/>
        </w:rPr>
        <w:t>(5).</w:t>
      </w:r>
      <w:r w:rsidRPr="00132E65">
        <w:rPr>
          <w:rtl/>
        </w:rPr>
        <w:t xml:space="preserve"> في « ج ، ف » : « النهروان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فقالا »</w:t>
      </w:r>
      <w:r>
        <w:rPr>
          <w:rtl/>
        </w:rPr>
        <w:t>.</w:t>
      </w:r>
    </w:p>
    <w:p w:rsidR="000C39D1" w:rsidRPr="00132E65" w:rsidRDefault="000C39D1" w:rsidP="000C39D1">
      <w:pPr>
        <w:pStyle w:val="libFootnote0"/>
        <w:rPr>
          <w:rtl/>
          <w:lang w:bidi="fa-IR"/>
        </w:rPr>
      </w:pPr>
      <w:r>
        <w:rPr>
          <w:rtl/>
        </w:rPr>
        <w:t>(7).</w:t>
      </w:r>
      <w:r w:rsidRPr="00132E65">
        <w:rPr>
          <w:rtl/>
        </w:rPr>
        <w:t xml:space="preserve"> في حاشية « ج ، ف ، بس ، بف » : « امتحنوا »</w:t>
      </w:r>
      <w:r>
        <w:rPr>
          <w:rtl/>
        </w:rPr>
        <w:t>.</w:t>
      </w:r>
      <w:r w:rsidRPr="00132E65">
        <w:rPr>
          <w:rtl/>
        </w:rPr>
        <w:t xml:space="preserve"> وفي حاشية « ف » أيضاً : « أقحموا »</w:t>
      </w:r>
      <w:r>
        <w:rPr>
          <w:rtl/>
        </w:rPr>
        <w:t>.</w:t>
      </w:r>
      <w:r w:rsidRPr="00132E65">
        <w:rPr>
          <w:rtl/>
        </w:rPr>
        <w:t xml:space="preserve"> وفي شرح المازندراني : «</w:t>
      </w:r>
      <w:r>
        <w:rPr>
          <w:rtl/>
        </w:rPr>
        <w:t xml:space="preserve"> فلمّا اقتحموا » بدل « إنّهم لم</w:t>
      </w:r>
      <w:r>
        <w:rPr>
          <w:rFonts w:hint="cs"/>
          <w:rtl/>
        </w:rPr>
        <w:t>ـّ</w:t>
      </w:r>
      <w:r w:rsidRPr="00132E65">
        <w:rPr>
          <w:rtl/>
        </w:rPr>
        <w:t xml:space="preserve">ا اقتحموا » وكذا في </w:t>
      </w:r>
      <w:r w:rsidRPr="009D1ACE">
        <w:rPr>
          <w:rStyle w:val="libFootnoteBoldChar"/>
          <w:rtl/>
        </w:rPr>
        <w:t>مرآة العقول</w:t>
      </w:r>
      <w:r w:rsidRPr="00132E65">
        <w:rPr>
          <w:rtl/>
        </w:rPr>
        <w:t>. ثمّ نقل المازندراني عن بعض النسخ : « فلمّا امتحنوا »</w:t>
      </w:r>
      <w:r>
        <w:rPr>
          <w:rtl/>
        </w:rPr>
        <w:t>.</w:t>
      </w:r>
      <w:r w:rsidRPr="00132E65">
        <w:rPr>
          <w:rtl/>
        </w:rPr>
        <w:t xml:space="preserve"> وأمّا « الاقتحام » فهو مصدر اقتحم الإنسانُ الأمرَ العظيمَ ، إذا رمى نفسه فيه من غير رويّة وتثبّت ، فالمعنى : رموا وأدخلوا خيلَهم في النهروان من غير رويّة وتثبّت. ولكنّ المجلسي قال : « الظاهر : أقحموا ، وعلى ما في الكتاب يحتمل أن يكون خيلهم مرفوعاً بدلاً من الضمير ، أي اقتحم فرسانُهم »</w:t>
      </w:r>
      <w:r>
        <w:rPr>
          <w:rtl/>
        </w:rPr>
        <w:t>.</w:t>
      </w:r>
      <w:r w:rsidRPr="00132E65">
        <w:rPr>
          <w:rtl/>
        </w:rPr>
        <w:t xml:space="preserve"> وراجع أيضاً : </w:t>
      </w:r>
      <w:r w:rsidRPr="008A6F9F">
        <w:rPr>
          <w:rStyle w:val="libFootnoteBoldChar"/>
          <w:rtl/>
        </w:rPr>
        <w:t>الصحاح</w:t>
      </w:r>
      <w:r w:rsidRPr="00132E65">
        <w:rPr>
          <w:rtl/>
        </w:rPr>
        <w:t xml:space="preserve"> ، ج 5 ، ص 2006 ؛ </w:t>
      </w:r>
      <w:r w:rsidRPr="008A6F9F">
        <w:rPr>
          <w:rStyle w:val="libFootnoteBoldChar"/>
          <w:rtl/>
        </w:rPr>
        <w:t>النهاية</w:t>
      </w:r>
      <w:r w:rsidRPr="00132E65">
        <w:rPr>
          <w:rtl/>
        </w:rPr>
        <w:t xml:space="preserve"> ، ج 4 ، ص 18 ( قحم )</w:t>
      </w:r>
      <w:r>
        <w:rPr>
          <w:rtl/>
        </w:rPr>
        <w:t>.</w:t>
      </w:r>
    </w:p>
    <w:p w:rsidR="000C39D1" w:rsidRPr="00132E65" w:rsidRDefault="000C39D1" w:rsidP="000C39D1">
      <w:pPr>
        <w:pStyle w:val="libFootnote0"/>
        <w:rPr>
          <w:rtl/>
          <w:lang w:bidi="fa-IR"/>
        </w:rPr>
      </w:pPr>
      <w:r>
        <w:rPr>
          <w:rtl/>
        </w:rPr>
        <w:t>(8).</w:t>
      </w:r>
      <w:r w:rsidRPr="00132E65">
        <w:rPr>
          <w:rtl/>
        </w:rPr>
        <w:t xml:space="preserve"> في حاشية « ج ، ف ، بر » : « خيولهم »</w:t>
      </w:r>
      <w:r>
        <w:rPr>
          <w:rtl/>
        </w:rPr>
        <w:t>.</w:t>
      </w:r>
    </w:p>
    <w:p w:rsidR="000C39D1" w:rsidRPr="00132E65" w:rsidRDefault="000C39D1" w:rsidP="000C39D1">
      <w:pPr>
        <w:pStyle w:val="libFootnote0"/>
        <w:rPr>
          <w:rtl/>
          <w:lang w:bidi="fa-IR"/>
        </w:rPr>
      </w:pPr>
      <w:r>
        <w:rPr>
          <w:rtl/>
        </w:rPr>
        <w:t>(9).</w:t>
      </w:r>
      <w:r w:rsidRPr="00132E65">
        <w:rPr>
          <w:rtl/>
        </w:rPr>
        <w:t xml:space="preserve"> في « ج ، ف ، بح ، بس » وحاشية « ض » : « لباب »</w:t>
      </w:r>
      <w:r>
        <w:rPr>
          <w:rtl/>
        </w:rPr>
        <w:t>.</w:t>
      </w:r>
      <w:r w:rsidRPr="00132E65">
        <w:rPr>
          <w:rtl/>
        </w:rPr>
        <w:t xml:space="preserve"> </w:t>
      </w:r>
      <w:r>
        <w:rPr>
          <w:rtl/>
        </w:rPr>
        <w:t>و «</w:t>
      </w:r>
      <w:r w:rsidRPr="00132E65">
        <w:rPr>
          <w:rtl/>
        </w:rPr>
        <w:t xml:space="preserve"> لِباب » </w:t>
      </w:r>
      <w:r>
        <w:rPr>
          <w:rtl/>
        </w:rPr>
        <w:t>و «</w:t>
      </w:r>
      <w:r w:rsidRPr="00132E65">
        <w:rPr>
          <w:rtl/>
        </w:rPr>
        <w:t xml:space="preserve"> لَبّات » : جمع لَبَّة ، وهي الهَزْمَةُ والوَهْدَة التي فوق الصدر وتحت العنق ، وفيها تُنْحَر الإبل. راجع : </w:t>
      </w:r>
      <w:r w:rsidRPr="008A6F9F">
        <w:rPr>
          <w:rStyle w:val="libFootnoteBoldChar"/>
          <w:rtl/>
        </w:rPr>
        <w:t>النهاية</w:t>
      </w:r>
      <w:r w:rsidRPr="00132E65">
        <w:rPr>
          <w:rtl/>
        </w:rPr>
        <w:t xml:space="preserve"> ، ج 4 ، ص 223 ( لبب )</w:t>
      </w:r>
      <w:r>
        <w:rPr>
          <w:rtl/>
        </w:rPr>
        <w:t>.</w:t>
      </w:r>
    </w:p>
    <w:p w:rsidR="000C39D1" w:rsidRPr="00132E65" w:rsidRDefault="000C39D1" w:rsidP="000C39D1">
      <w:pPr>
        <w:pStyle w:val="libFootnote0"/>
        <w:rPr>
          <w:rtl/>
          <w:lang w:bidi="fa-IR"/>
        </w:rPr>
      </w:pPr>
      <w:r>
        <w:rPr>
          <w:rtl/>
        </w:rPr>
        <w:t>(10).</w:t>
      </w:r>
      <w:r w:rsidRPr="00132E65">
        <w:rPr>
          <w:rtl/>
        </w:rPr>
        <w:t xml:space="preserve"> راجع : </w:t>
      </w:r>
      <w:r w:rsidRPr="008A6F9F">
        <w:rPr>
          <w:rStyle w:val="libFootnoteBoldChar"/>
          <w:rtl/>
        </w:rPr>
        <w:t>خصائص الأئمّة</w:t>
      </w:r>
      <w:r w:rsidRPr="00132E65">
        <w:rPr>
          <w:rtl/>
        </w:rPr>
        <w:t xml:space="preserve"> </w:t>
      </w:r>
      <w:r w:rsidRPr="0033724D">
        <w:rPr>
          <w:rStyle w:val="libFootnoteAlaemChar"/>
          <w:rtl/>
        </w:rPr>
        <w:t>عليهم‌السلام</w:t>
      </w:r>
      <w:r w:rsidRPr="00132E65">
        <w:rPr>
          <w:rtl/>
        </w:rPr>
        <w:t xml:space="preserve"> ، ص 60 </w:t>
      </w:r>
      <w:r>
        <w:rPr>
          <w:rFonts w:hint="cs"/>
          <w:rtl/>
        </w:rPr>
        <w:t>.</w:t>
      </w:r>
      <w:r w:rsidRPr="009D1ACE">
        <w:rPr>
          <w:rStyle w:val="libFootnoteBoldChar"/>
          <w:rtl/>
        </w:rPr>
        <w:t>الوافي</w:t>
      </w:r>
      <w:r w:rsidRPr="00132E65">
        <w:rPr>
          <w:rtl/>
        </w:rPr>
        <w:t xml:space="preserve"> ، ج 2 ، ص 141 ، ح 613.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أَحْمَدَ بْنِ الْقَاسِمِ الْعِجْلِيِّ ، عَنْ أَحْمَدَ بْنِ يَحْيَى الْمَعْرُوفِ بِكُرْدٍ </w:t>
      </w:r>
      <w:r>
        <w:rPr>
          <w:rStyle w:val="libFootnotenumChar"/>
          <w:rtl/>
        </w:rPr>
        <w:t>(1)</w:t>
      </w:r>
      <w:r w:rsidRPr="00132E65">
        <w:rPr>
          <w:rtl/>
          <w:lang w:bidi="fa-IR"/>
        </w:rPr>
        <w:t xml:space="preserve"> ، عَنْ مُحَمَّدِ بْنِ خُدَاهِيِّ ، عَنْ عَبْدِ اللهِ بْنِ أَيُّوبَ ، عَنْ عَبْدِ اللهِ بْنِ هَاشِمٍ ، عَنْ عَبْدِ الْكَرِيمِ بْنِ عَمْرٍو الْخَثْعَمِيِّ ، عَنْ حَبَابَةَ الْوَالِبِيَّةِ ، قَالَتْ :</w:t>
      </w:r>
    </w:p>
    <w:p w:rsidR="000C39D1" w:rsidRPr="00132E65" w:rsidRDefault="000C39D1" w:rsidP="000C39D1">
      <w:pPr>
        <w:pStyle w:val="libNormal"/>
        <w:rPr>
          <w:rtl/>
          <w:lang w:bidi="fa-IR"/>
        </w:rPr>
      </w:pPr>
      <w:r w:rsidRPr="00132E65">
        <w:rPr>
          <w:rtl/>
          <w:lang w:bidi="fa-IR"/>
        </w:rPr>
        <w:t xml:space="preserve">رَأَيْتُ </w:t>
      </w:r>
      <w:r>
        <w:rPr>
          <w:rStyle w:val="libFootnotenumChar"/>
          <w:rtl/>
        </w:rPr>
        <w:t>(2)</w:t>
      </w:r>
      <w:r w:rsidRPr="00132E65">
        <w:rPr>
          <w:rtl/>
          <w:lang w:bidi="fa-IR"/>
        </w:rPr>
        <w:t xml:space="preserve"> أَمِيرَ الْمُؤْمِنِينَ </w:t>
      </w:r>
      <w:r w:rsidRPr="00071CF9">
        <w:rPr>
          <w:rStyle w:val="libAlaemChar"/>
          <w:rtl/>
        </w:rPr>
        <w:t>عليه‌السلام</w:t>
      </w:r>
      <w:r w:rsidRPr="00132E65">
        <w:rPr>
          <w:rtl/>
          <w:lang w:bidi="fa-IR"/>
        </w:rPr>
        <w:t xml:space="preserve"> فِي شُرْطَةِ </w:t>
      </w:r>
      <w:r>
        <w:rPr>
          <w:rStyle w:val="libFootnotenumChar"/>
          <w:rtl/>
        </w:rPr>
        <w:t>(3)</w:t>
      </w:r>
      <w:r w:rsidRPr="00132E65">
        <w:rPr>
          <w:rtl/>
          <w:lang w:bidi="fa-IR"/>
        </w:rPr>
        <w:t xml:space="preserve"> الْخَمِيسِ </w:t>
      </w:r>
      <w:r>
        <w:rPr>
          <w:rStyle w:val="libFootnotenumChar"/>
          <w:rtl/>
        </w:rPr>
        <w:t>(4)</w:t>
      </w:r>
      <w:r w:rsidRPr="00132E65">
        <w:rPr>
          <w:rtl/>
          <w:lang w:bidi="fa-IR"/>
        </w:rPr>
        <w:t xml:space="preserve"> ومَعَهُ دِرَّةٌ </w:t>
      </w:r>
      <w:r>
        <w:rPr>
          <w:rStyle w:val="libFootnotenumChar"/>
          <w:rtl/>
        </w:rPr>
        <w:t>(5)</w:t>
      </w:r>
      <w:r w:rsidRPr="00132E65">
        <w:rPr>
          <w:rtl/>
          <w:lang w:bidi="fa-IR"/>
        </w:rPr>
        <w:t xml:space="preserve"> ، لَهَا سَبَابَتَانِ </w:t>
      </w:r>
      <w:r>
        <w:rPr>
          <w:rStyle w:val="libFootnotenumChar"/>
          <w:rtl/>
        </w:rPr>
        <w:t>(6)</w:t>
      </w:r>
      <w:r w:rsidRPr="00132E65">
        <w:rPr>
          <w:rtl/>
          <w:lang w:bidi="fa-IR"/>
        </w:rPr>
        <w:t xml:space="preserve"> ، يَضْرِبُ بِهَا بَيَّاعِي </w:t>
      </w:r>
      <w:r>
        <w:rPr>
          <w:rStyle w:val="libFootnotenumChar"/>
          <w:rtl/>
        </w:rPr>
        <w:t>(7)</w:t>
      </w:r>
      <w:r w:rsidRPr="00132E65">
        <w:rPr>
          <w:rtl/>
          <w:lang w:bidi="fa-IR"/>
        </w:rPr>
        <w:t xml:space="preserve"> الْجِرِّيِّ </w:t>
      </w:r>
      <w:r>
        <w:rPr>
          <w:rStyle w:val="libFootnotenumChar"/>
          <w:rtl/>
        </w:rPr>
        <w:t>(8)</w:t>
      </w:r>
      <w:r w:rsidRPr="00132E65">
        <w:rPr>
          <w:rtl/>
          <w:lang w:bidi="fa-IR"/>
        </w:rPr>
        <w:t xml:space="preserve"> والْمَارْمَاهِي </w:t>
      </w:r>
      <w:r>
        <w:rPr>
          <w:rStyle w:val="libFootnotenumChar"/>
          <w:rtl/>
        </w:rPr>
        <w:t>(9)</w:t>
      </w:r>
      <w:r w:rsidRPr="00132E65">
        <w:rPr>
          <w:rtl/>
          <w:lang w:bidi="fa-IR"/>
        </w:rPr>
        <w:t xml:space="preserve"> والزِّمَّارِ </w:t>
      </w:r>
      <w:r>
        <w:rPr>
          <w:rStyle w:val="libFootnotenumChar"/>
          <w:rtl/>
        </w:rPr>
        <w:t>(10)</w:t>
      </w:r>
      <w:r w:rsidRPr="00132E65">
        <w:rPr>
          <w:rtl/>
          <w:lang w:bidi="fa-IR"/>
        </w:rPr>
        <w:t xml:space="preserve"> ، ويَقُولُ لَهُمْ : « يَا بَيَّاعِي مُسُوخِ بَنِي إِسْرَائِيلَ وجُنْدِ بَنِي مَرْوَانَ »</w:t>
      </w:r>
      <w:r>
        <w:rPr>
          <w:rtl/>
          <w:lang w:bidi="fa-IR"/>
        </w:rPr>
        <w:t>.</w:t>
      </w:r>
    </w:p>
    <w:p w:rsidR="000C39D1" w:rsidRPr="00132E65" w:rsidRDefault="000C39D1" w:rsidP="000C39D1">
      <w:pPr>
        <w:pStyle w:val="libNormal"/>
        <w:rPr>
          <w:rtl/>
          <w:lang w:bidi="fa-IR"/>
        </w:rPr>
      </w:pPr>
      <w:r w:rsidRPr="00132E65">
        <w:rPr>
          <w:rtl/>
          <w:lang w:bidi="fa-IR"/>
        </w:rPr>
        <w:t>فَقَامَ إِلَيْهِ فُرَاتُ بْنُ أَحْنَفَ ، فَقَالَ : يَا أَمِيرَ الْمُؤْمِنِينَ ، ومَا جُنْدُ بَنِي مَرْوَانَ</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وحاشية « بف » : « بكرز »</w:t>
      </w:r>
      <w:r>
        <w:rPr>
          <w:rtl/>
        </w:rPr>
        <w:t>.</w:t>
      </w:r>
      <w:r w:rsidRPr="00132E65">
        <w:rPr>
          <w:rtl/>
        </w:rPr>
        <w:t xml:space="preserve"> وفي كمال الدين : « ببرد »</w:t>
      </w:r>
      <w:r>
        <w:rPr>
          <w:rtl/>
        </w:rPr>
        <w:t>.</w:t>
      </w:r>
    </w:p>
    <w:p w:rsidR="000C39D1" w:rsidRPr="00132E65" w:rsidRDefault="000C39D1" w:rsidP="000C39D1">
      <w:pPr>
        <w:pStyle w:val="libFootnote0"/>
        <w:rPr>
          <w:rtl/>
          <w:lang w:bidi="fa-IR"/>
        </w:rPr>
      </w:pPr>
      <w:r>
        <w:rPr>
          <w:rtl/>
        </w:rPr>
        <w:t>(2).</w:t>
      </w:r>
      <w:r w:rsidRPr="00132E65">
        <w:rPr>
          <w:rtl/>
        </w:rPr>
        <w:t xml:space="preserve"> في « ب » : « أتيت »</w:t>
      </w:r>
      <w:r>
        <w:rPr>
          <w:rtl/>
        </w:rPr>
        <w:t>.</w:t>
      </w:r>
    </w:p>
    <w:p w:rsidR="000C39D1" w:rsidRPr="00132E65" w:rsidRDefault="000C39D1" w:rsidP="000C39D1">
      <w:pPr>
        <w:pStyle w:val="libFootnote0"/>
        <w:rPr>
          <w:rtl/>
          <w:lang w:bidi="fa-IR"/>
        </w:rPr>
      </w:pPr>
      <w:r>
        <w:rPr>
          <w:rtl/>
        </w:rPr>
        <w:t>(3).</w:t>
      </w:r>
      <w:r w:rsidRPr="00132E65">
        <w:rPr>
          <w:rtl/>
        </w:rPr>
        <w:t xml:space="preserve"> قال ابن الأثير : « الشُرْطَةُ : أوّل طائفة من الجيش تشهد الوَقْعَة »</w:t>
      </w:r>
      <w:r>
        <w:rPr>
          <w:rtl/>
        </w:rPr>
        <w:t>.</w:t>
      </w:r>
      <w:r w:rsidRPr="00132E65">
        <w:rPr>
          <w:rtl/>
        </w:rPr>
        <w:t xml:space="preserve"> </w:t>
      </w:r>
      <w:r w:rsidRPr="008A6F9F">
        <w:rPr>
          <w:rStyle w:val="libFootnoteBoldChar"/>
          <w:rtl/>
        </w:rPr>
        <w:t>النهاية</w:t>
      </w:r>
      <w:r w:rsidRPr="00132E65">
        <w:rPr>
          <w:rtl/>
        </w:rPr>
        <w:t xml:space="preserve"> ، ج 2 ، ص 460 ( شرط )</w:t>
      </w:r>
      <w:r>
        <w:rPr>
          <w:rtl/>
        </w:rPr>
        <w:t>.</w:t>
      </w:r>
    </w:p>
    <w:p w:rsidR="000C39D1" w:rsidRPr="00132E65" w:rsidRDefault="000C39D1" w:rsidP="000C39D1">
      <w:pPr>
        <w:pStyle w:val="libFootnote0"/>
        <w:rPr>
          <w:rtl/>
          <w:lang w:bidi="fa-IR"/>
        </w:rPr>
      </w:pPr>
      <w:r>
        <w:rPr>
          <w:rtl/>
        </w:rPr>
        <w:t>(4).</w:t>
      </w:r>
      <w:r w:rsidRPr="00132E65">
        <w:rPr>
          <w:rtl/>
        </w:rPr>
        <w:t xml:space="preserve"> قال ابن الأثير : « الخميس : الجيش ، سمّي به ؛ لأنّه مقسوم بخمسة أقسام : المقدّمة ، والساقة ، والميمنة ، والميسرة ، والقلب. وقيل : لأنّه تُخَمَّس فيه الغنائم »</w:t>
      </w:r>
      <w:r>
        <w:rPr>
          <w:rtl/>
        </w:rPr>
        <w:t>.</w:t>
      </w:r>
      <w:r w:rsidRPr="00132E65">
        <w:rPr>
          <w:rtl/>
        </w:rPr>
        <w:t xml:space="preserve"> </w:t>
      </w:r>
      <w:r w:rsidRPr="008A6F9F">
        <w:rPr>
          <w:rStyle w:val="libFootnoteBoldChar"/>
          <w:rtl/>
        </w:rPr>
        <w:t>النهاية</w:t>
      </w:r>
      <w:r w:rsidRPr="00132E65">
        <w:rPr>
          <w:rtl/>
        </w:rPr>
        <w:t xml:space="preserve"> ، ج 2 ، ص 79 ( خمس )</w:t>
      </w:r>
      <w:r>
        <w:rPr>
          <w:rtl/>
        </w:rPr>
        <w:t>.</w:t>
      </w:r>
    </w:p>
    <w:p w:rsidR="000C39D1" w:rsidRPr="00132E65" w:rsidRDefault="000C39D1" w:rsidP="000C39D1">
      <w:pPr>
        <w:pStyle w:val="libFootnote0"/>
        <w:rPr>
          <w:rtl/>
          <w:lang w:bidi="fa-IR"/>
        </w:rPr>
      </w:pPr>
      <w:r>
        <w:rPr>
          <w:rtl/>
        </w:rPr>
        <w:t>(5).</w:t>
      </w:r>
      <w:r w:rsidRPr="00132E65">
        <w:rPr>
          <w:rtl/>
        </w:rPr>
        <w:t xml:space="preserve"> « الدِرَّةُ » : التي يُضْرَب بها ، أو هي السَوْط. والجمع : دِرَرٌ. راجع : </w:t>
      </w:r>
      <w:r w:rsidRPr="002919B7">
        <w:rPr>
          <w:rStyle w:val="libFootnoteBoldChar"/>
          <w:rtl/>
        </w:rPr>
        <w:t>الصحاح</w:t>
      </w:r>
      <w:r w:rsidRPr="00132E65">
        <w:rPr>
          <w:rtl/>
        </w:rPr>
        <w:t xml:space="preserve"> ، ج 2 ، ص 656 ؛ </w:t>
      </w:r>
      <w:r w:rsidRPr="002919B7">
        <w:rPr>
          <w:rStyle w:val="libFootnoteBoldChar"/>
          <w:rtl/>
        </w:rPr>
        <w:t>المصباح المنير</w:t>
      </w:r>
      <w:r w:rsidRPr="00132E65">
        <w:rPr>
          <w:rtl/>
        </w:rPr>
        <w:t xml:space="preserve"> ، ص 192 ( درر )</w:t>
      </w:r>
      <w:r>
        <w:rPr>
          <w:rtl/>
        </w:rPr>
        <w:t>.</w:t>
      </w:r>
    </w:p>
    <w:p w:rsidR="000C39D1" w:rsidRPr="00132E65" w:rsidRDefault="000C39D1" w:rsidP="000C39D1">
      <w:pPr>
        <w:pStyle w:val="libFootnote0"/>
        <w:rPr>
          <w:rtl/>
          <w:lang w:bidi="fa-IR"/>
        </w:rPr>
      </w:pPr>
      <w:r>
        <w:rPr>
          <w:rtl/>
        </w:rPr>
        <w:t>(6).</w:t>
      </w:r>
      <w:r w:rsidRPr="00132E65">
        <w:rPr>
          <w:rtl/>
        </w:rPr>
        <w:t xml:space="preserve"> في « ج ، ض ، ف ، ه‍ ، بر » : « سبّابتان »</w:t>
      </w:r>
      <w:r>
        <w:rPr>
          <w:rtl/>
        </w:rPr>
        <w:t>.</w:t>
      </w:r>
      <w:r w:rsidRPr="00132E65">
        <w:rPr>
          <w:rtl/>
        </w:rPr>
        <w:t xml:space="preserve"> </w:t>
      </w:r>
      <w:r>
        <w:rPr>
          <w:rtl/>
        </w:rPr>
        <w:t>و «</w:t>
      </w:r>
      <w:r w:rsidRPr="00132E65">
        <w:rPr>
          <w:rtl/>
        </w:rPr>
        <w:t xml:space="preserve"> السَبابة » عند المازندراني والفيض : الشُقّة ، وعند المجلسي : رأس السَوْط. ولكنّ الموجود في اللغة : السَّبّابة ، وهي التي تلي الإبهام من الأصابع. </w:t>
      </w:r>
      <w:r>
        <w:rPr>
          <w:rtl/>
        </w:rPr>
        <w:t>و «</w:t>
      </w:r>
      <w:r w:rsidRPr="00132E65">
        <w:rPr>
          <w:rtl/>
        </w:rPr>
        <w:t xml:space="preserve"> السِبّ » </w:t>
      </w:r>
      <w:r>
        <w:rPr>
          <w:rtl/>
        </w:rPr>
        <w:t>و «</w:t>
      </w:r>
      <w:r w:rsidRPr="00132E65">
        <w:rPr>
          <w:rtl/>
        </w:rPr>
        <w:t xml:space="preserve"> السَبِيبَة » بمعنى الشُقَّة من الثياب أيّ نوع كان ، أو من الكَتّان. ولعلّ ما في المتن : سبّابتان ، والمراد : طرفان. راجع : </w:t>
      </w:r>
      <w:r w:rsidRPr="002919B7">
        <w:rPr>
          <w:rStyle w:val="libFootnoteBoldChar"/>
          <w:rtl/>
        </w:rPr>
        <w:t>شرح المازندراني</w:t>
      </w:r>
      <w:r w:rsidRPr="00132E65">
        <w:rPr>
          <w:rtl/>
        </w:rPr>
        <w:t xml:space="preserve"> ، ج 6 ، ص 264 ؛ </w:t>
      </w:r>
      <w:r w:rsidRPr="009D1ACE">
        <w:rPr>
          <w:rStyle w:val="libFootnoteBoldChar"/>
          <w:rtl/>
        </w:rPr>
        <w:t>الوافي</w:t>
      </w:r>
      <w:r w:rsidRPr="00132E65">
        <w:rPr>
          <w:rtl/>
        </w:rPr>
        <w:t xml:space="preserve"> ، ج 2 ، ص 144 ؛ </w:t>
      </w:r>
      <w:r w:rsidRPr="009D1ACE">
        <w:rPr>
          <w:rStyle w:val="libFootnoteBoldChar"/>
          <w:rtl/>
        </w:rPr>
        <w:t>مرآة العقول</w:t>
      </w:r>
      <w:r w:rsidRPr="00132E65">
        <w:rPr>
          <w:rtl/>
        </w:rPr>
        <w:t xml:space="preserve"> ، ج 4 ، ص 79 ؛ </w:t>
      </w:r>
      <w:r w:rsidRPr="009D1ACE">
        <w:rPr>
          <w:rStyle w:val="libFootnoteBoldChar"/>
          <w:rtl/>
        </w:rPr>
        <w:t>لسان العرب</w:t>
      </w:r>
      <w:r w:rsidRPr="00132E65">
        <w:rPr>
          <w:rtl/>
        </w:rPr>
        <w:t xml:space="preserve"> ، ج 1 ، ص 456</w:t>
      </w:r>
      <w:r>
        <w:rPr>
          <w:rtl/>
        </w:rPr>
        <w:t xml:space="preserve"> - </w:t>
      </w:r>
      <w:r w:rsidR="0033724D">
        <w:rPr>
          <w:rtl/>
        </w:rPr>
        <w:t>457 ( سبب</w:t>
      </w:r>
      <w:r w:rsidRPr="00132E65">
        <w:rPr>
          <w:rtl/>
        </w:rPr>
        <w:t>)</w:t>
      </w:r>
      <w:r>
        <w:rPr>
          <w:rtl/>
        </w:rPr>
        <w:t>.</w:t>
      </w:r>
    </w:p>
    <w:p w:rsidR="000C39D1" w:rsidRPr="00132E65" w:rsidRDefault="000C39D1" w:rsidP="000C39D1">
      <w:pPr>
        <w:pStyle w:val="libFootnote0"/>
        <w:rPr>
          <w:rtl/>
          <w:lang w:bidi="fa-IR"/>
        </w:rPr>
      </w:pPr>
      <w:r>
        <w:rPr>
          <w:rtl/>
        </w:rPr>
        <w:t>(7).</w:t>
      </w:r>
      <w:r w:rsidRPr="00132E65">
        <w:rPr>
          <w:rtl/>
        </w:rPr>
        <w:t xml:space="preserve"> في « ج ، ف ، ه‍ » : « بيّاع »</w:t>
      </w:r>
      <w:r>
        <w:rPr>
          <w:rtl/>
        </w:rPr>
        <w:t>.</w:t>
      </w:r>
    </w:p>
    <w:p w:rsidR="000C39D1" w:rsidRPr="00132E65" w:rsidRDefault="000C39D1" w:rsidP="000C39D1">
      <w:pPr>
        <w:pStyle w:val="libFootnote0"/>
        <w:rPr>
          <w:rtl/>
          <w:lang w:bidi="fa-IR"/>
        </w:rPr>
      </w:pPr>
      <w:r>
        <w:rPr>
          <w:rtl/>
        </w:rPr>
        <w:t>(8).</w:t>
      </w:r>
      <w:r w:rsidRPr="00132E65">
        <w:rPr>
          <w:rtl/>
        </w:rPr>
        <w:t xml:space="preserve"> قال الجوهري : « الجِرِّيُّ : ضرب من السمك »</w:t>
      </w:r>
      <w:r>
        <w:rPr>
          <w:rtl/>
        </w:rPr>
        <w:t>.</w:t>
      </w:r>
      <w:r w:rsidRPr="00132E65">
        <w:rPr>
          <w:rtl/>
        </w:rPr>
        <w:t xml:space="preserve"> وقال ابن الأثير : « نوع من السَمَك يُشبه الحَيَّة ، ويسمّى بالفارسيّة : مارماهي » وعليه فالعطف للتفسير. </w:t>
      </w:r>
      <w:r w:rsidRPr="002919B7">
        <w:rPr>
          <w:rStyle w:val="libFootnoteBoldChar"/>
          <w:rtl/>
        </w:rPr>
        <w:t>الصحاح</w:t>
      </w:r>
      <w:r w:rsidRPr="00132E65">
        <w:rPr>
          <w:rtl/>
        </w:rPr>
        <w:t xml:space="preserve"> ، ج 2 ، ص 611 ؛ </w:t>
      </w:r>
      <w:r w:rsidRPr="002919B7">
        <w:rPr>
          <w:rStyle w:val="libFootnoteBoldChar"/>
          <w:rtl/>
        </w:rPr>
        <w:t>النهاية</w:t>
      </w:r>
      <w:r w:rsidRPr="00132E65">
        <w:rPr>
          <w:rtl/>
        </w:rPr>
        <w:t xml:space="preserve"> ، ج 1 ، ص 260 ( جرر )</w:t>
      </w:r>
      <w:r>
        <w:rPr>
          <w:rtl/>
        </w:rPr>
        <w:t>.</w:t>
      </w:r>
    </w:p>
    <w:p w:rsidR="000C39D1" w:rsidRPr="00132E65" w:rsidRDefault="000C39D1" w:rsidP="000C39D1">
      <w:pPr>
        <w:pStyle w:val="libFootnote0"/>
        <w:rPr>
          <w:rtl/>
          <w:lang w:bidi="fa-IR"/>
        </w:rPr>
      </w:pPr>
      <w:r>
        <w:rPr>
          <w:rtl/>
        </w:rPr>
        <w:t>(9).</w:t>
      </w:r>
      <w:r w:rsidRPr="00132E65">
        <w:rPr>
          <w:rtl/>
        </w:rPr>
        <w:t xml:space="preserve"> قرأ المجلسي في </w:t>
      </w:r>
      <w:r w:rsidRPr="009D1ACE">
        <w:rPr>
          <w:rStyle w:val="libFootnoteBoldChar"/>
          <w:rtl/>
        </w:rPr>
        <w:t>مرآة العقول</w:t>
      </w:r>
      <w:r w:rsidRPr="00132E65">
        <w:rPr>
          <w:rtl/>
        </w:rPr>
        <w:t xml:space="preserve"> ، ج 4 ، ص 79 بفتح الراء.</w:t>
      </w:r>
    </w:p>
    <w:p w:rsidR="000C39D1" w:rsidRPr="00132E65" w:rsidRDefault="000C39D1" w:rsidP="000C39D1">
      <w:pPr>
        <w:pStyle w:val="libFootnote0"/>
        <w:rPr>
          <w:rtl/>
          <w:lang w:bidi="fa-IR"/>
        </w:rPr>
      </w:pPr>
      <w:r>
        <w:rPr>
          <w:rtl/>
        </w:rPr>
        <w:t>(10).</w:t>
      </w:r>
      <w:r w:rsidRPr="00132E65">
        <w:rPr>
          <w:rtl/>
        </w:rPr>
        <w:t xml:space="preserve"> في كمال الدين :</w:t>
      </w:r>
      <w:r>
        <w:rPr>
          <w:rtl/>
        </w:rPr>
        <w:t xml:space="preserve"> + </w:t>
      </w:r>
      <w:r w:rsidRPr="00132E65">
        <w:rPr>
          <w:rtl/>
        </w:rPr>
        <w:t>« والطافي »</w:t>
      </w:r>
      <w:r>
        <w:rPr>
          <w:rtl/>
        </w:rPr>
        <w:t>.</w:t>
      </w:r>
      <w:r w:rsidRPr="00132E65">
        <w:rPr>
          <w:rtl/>
        </w:rPr>
        <w:t xml:space="preserve"> وقال المجلسي : « وكذا الزمّار بكسر الزاى وتشديد الميم » ، أي هو نوع من السمك لا فلوس له مثل الجرّيّ والمارماهي ، ولكن لم نجده في اللغة ، نعم في </w:t>
      </w:r>
      <w:r w:rsidRPr="00FD3211">
        <w:rPr>
          <w:rtl/>
        </w:rPr>
        <w:t>القاموس</w:t>
      </w:r>
      <w:r w:rsidRPr="00132E65">
        <w:rPr>
          <w:rtl/>
        </w:rPr>
        <w:t xml:space="preserve"> والتاج : زِمِّير ، كسِكِّيت : نوع من السمك له شَوْك ناتئ وسط ظهره ، وله صَخَبٌ وقت صيد الصيّاد إيّاه وقبضه عليه. راجع : </w:t>
      </w:r>
      <w:r w:rsidRPr="009D1ACE">
        <w:rPr>
          <w:rStyle w:val="libFootnoteBoldChar"/>
          <w:rtl/>
        </w:rPr>
        <w:t>مرآة العقول</w:t>
      </w:r>
      <w:r w:rsidRPr="00132E65">
        <w:rPr>
          <w:rtl/>
        </w:rPr>
        <w:t xml:space="preserve"> ، ج 4 ، ص 79 ؛ </w:t>
      </w:r>
      <w:r w:rsidRPr="002919B7">
        <w:rPr>
          <w:rStyle w:val="libFootnoteBoldChar"/>
          <w:rtl/>
        </w:rPr>
        <w:t>القاموس</w:t>
      </w:r>
      <w:r w:rsidRPr="00FD3211">
        <w:rPr>
          <w:rtl/>
        </w:rPr>
        <w:t xml:space="preserve"> </w:t>
      </w:r>
      <w:r w:rsidRPr="002919B7">
        <w:rPr>
          <w:rStyle w:val="libFootnoteBoldChar"/>
          <w:rtl/>
        </w:rPr>
        <w:t>المحيط</w:t>
      </w:r>
      <w:r w:rsidRPr="00132E65">
        <w:rPr>
          <w:rtl/>
        </w:rPr>
        <w:t xml:space="preserve"> ، ج 1 ، ص 56 ؛ </w:t>
      </w:r>
      <w:r w:rsidRPr="002919B7">
        <w:rPr>
          <w:rStyle w:val="libFootnoteBoldChar"/>
          <w:rtl/>
        </w:rPr>
        <w:t>تاج العروس</w:t>
      </w:r>
      <w:r w:rsidRPr="00132E65">
        <w:rPr>
          <w:rtl/>
        </w:rPr>
        <w:t xml:space="preserve"> ، ج 6 ، ص 47 ( زمر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قَالَتْ : فَقَالَ لَهُ : « أَقْوَامٌ حَلَقُوا اللِّحى ، وفَتَلُوا الشَّوَارِبَ </w:t>
      </w:r>
      <w:r>
        <w:rPr>
          <w:rStyle w:val="libFootnotenumChar"/>
          <w:rtl/>
        </w:rPr>
        <w:t>(1)</w:t>
      </w:r>
      <w:r w:rsidRPr="00132E65">
        <w:rPr>
          <w:rtl/>
          <w:lang w:bidi="fa-IR"/>
        </w:rPr>
        <w:t xml:space="preserve"> ، فَمُسِخُوا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فَلَمْ أَرَ نَاطِقاً أَحْسَنَ نُطْقاً مِنْهُ ، ثُمَّ اتَّبَعْتُهُ ، فَلَمْ أَزَلْ أَقْفُو أَثَرَهُ </w:t>
      </w:r>
      <w:r>
        <w:rPr>
          <w:rStyle w:val="libFootnotenumChar"/>
          <w:rtl/>
        </w:rPr>
        <w:t>(3)</w:t>
      </w:r>
      <w:r w:rsidRPr="00132E65">
        <w:rPr>
          <w:rtl/>
          <w:lang w:bidi="fa-IR"/>
        </w:rPr>
        <w:t xml:space="preserve"> حَتّى قَعَدَ فِي رَحَبَةِ </w:t>
      </w:r>
      <w:r>
        <w:rPr>
          <w:rStyle w:val="libFootnotenumChar"/>
          <w:rtl/>
        </w:rPr>
        <w:t>(4)</w:t>
      </w:r>
      <w:r w:rsidRPr="00132E65">
        <w:rPr>
          <w:rtl/>
          <w:lang w:bidi="fa-IR"/>
        </w:rPr>
        <w:t xml:space="preserve"> الْمَسْجِدِ ، فَقُلْتُ لَهُ </w:t>
      </w:r>
      <w:r>
        <w:rPr>
          <w:rStyle w:val="libFootnotenumChar"/>
          <w:rtl/>
        </w:rPr>
        <w:t>(5)</w:t>
      </w:r>
      <w:r w:rsidRPr="00132E65">
        <w:rPr>
          <w:rtl/>
          <w:lang w:bidi="fa-IR"/>
        </w:rPr>
        <w:t xml:space="preserve"> : يَا أَمِيرَ الْمُؤْمِنِينَ ، مَا دَلَالَةُ الْإِمَامَةِ يَرْحَمُكَ اللهُ</w:t>
      </w:r>
      <w:r>
        <w:rPr>
          <w:rtl/>
          <w:lang w:bidi="fa-IR"/>
        </w:rPr>
        <w:t>؟</w:t>
      </w:r>
    </w:p>
    <w:p w:rsidR="000C39D1" w:rsidRPr="00132E65" w:rsidRDefault="000C39D1" w:rsidP="000C39D1">
      <w:pPr>
        <w:pStyle w:val="libNormal"/>
        <w:rPr>
          <w:rtl/>
          <w:lang w:bidi="fa-IR"/>
        </w:rPr>
      </w:pPr>
      <w:r w:rsidRPr="00132E65">
        <w:rPr>
          <w:rtl/>
          <w:lang w:bidi="fa-IR"/>
        </w:rPr>
        <w:t xml:space="preserve">قَالَتْ </w:t>
      </w:r>
      <w:r>
        <w:rPr>
          <w:rStyle w:val="libFootnotenumChar"/>
          <w:rtl/>
        </w:rPr>
        <w:t>(6)</w:t>
      </w:r>
      <w:r w:rsidRPr="00132E65">
        <w:rPr>
          <w:rtl/>
          <w:lang w:bidi="fa-IR"/>
        </w:rPr>
        <w:t xml:space="preserve"> : فَقَالَ : « ائْتِينِي </w:t>
      </w:r>
      <w:r>
        <w:rPr>
          <w:rStyle w:val="libFootnotenumChar"/>
          <w:rtl/>
        </w:rPr>
        <w:t>(7)</w:t>
      </w:r>
      <w:r w:rsidRPr="00132E65">
        <w:rPr>
          <w:rtl/>
          <w:lang w:bidi="fa-IR"/>
        </w:rPr>
        <w:t xml:space="preserve"> بِتِلْكَ الْحَصَاةِ » وأَشَارَ بِيَدِهِ إِلى حَصَاةٍ ، فَأَتَيْتُهُ بِهَا ، فَطَبَعَ </w:t>
      </w:r>
      <w:r>
        <w:rPr>
          <w:rStyle w:val="libFootnotenumChar"/>
          <w:rtl/>
        </w:rPr>
        <w:t>(8)</w:t>
      </w:r>
      <w:r w:rsidRPr="00132E65">
        <w:rPr>
          <w:rtl/>
          <w:lang w:bidi="fa-IR"/>
        </w:rPr>
        <w:t xml:space="preserve"> لِي فِيهَا بِخَاتَمِهِ ، ثُمَّ قَالَ لِي : « يَا حَبَابَةُ </w:t>
      </w:r>
      <w:r>
        <w:rPr>
          <w:rStyle w:val="libFootnotenumChar"/>
          <w:rtl/>
        </w:rPr>
        <w:t>(9)</w:t>
      </w:r>
      <w:r w:rsidRPr="00132E65">
        <w:rPr>
          <w:rtl/>
          <w:lang w:bidi="fa-IR"/>
        </w:rPr>
        <w:t xml:space="preserve"> إِذَا ادَّعى مُدَّعٍ </w:t>
      </w:r>
      <w:r>
        <w:rPr>
          <w:rStyle w:val="libFootnotenumChar"/>
          <w:rtl/>
        </w:rPr>
        <w:t>(10)</w:t>
      </w:r>
      <w:r w:rsidRPr="00132E65">
        <w:rPr>
          <w:rtl/>
          <w:lang w:bidi="fa-IR"/>
        </w:rPr>
        <w:t xml:space="preserve"> الْإِمَامَةَ ، فَقَدَرَ أَنْ يَطْبَعَ كَمَا رَأَيْتِ ، فَاعْلَمِي أَنَّهُ إِمَامٌ مُفْتَرَضُ الطَّاعَةِ ؛ والْإِمَامُ لَايَعْزُبُ </w:t>
      </w:r>
      <w:r>
        <w:rPr>
          <w:rStyle w:val="libFootnotenumChar"/>
          <w:rtl/>
        </w:rPr>
        <w:t>(11)</w:t>
      </w:r>
      <w:r w:rsidRPr="00132E65">
        <w:rPr>
          <w:rtl/>
          <w:lang w:bidi="fa-IR"/>
        </w:rPr>
        <w:t xml:space="preserve"> عَنْهُ شَيْ‌ءٌ يُرِيدُهُ »</w:t>
      </w:r>
      <w:r>
        <w:rPr>
          <w:rtl/>
          <w:lang w:bidi="fa-IR"/>
        </w:rPr>
        <w:t>.</w:t>
      </w:r>
    </w:p>
    <w:p w:rsidR="000C39D1" w:rsidRPr="00132E65" w:rsidRDefault="000C39D1" w:rsidP="000C39D1">
      <w:pPr>
        <w:pStyle w:val="libNormal"/>
        <w:rPr>
          <w:rtl/>
          <w:lang w:bidi="fa-IR"/>
        </w:rPr>
      </w:pPr>
      <w:r w:rsidRPr="00132E65">
        <w:rPr>
          <w:rtl/>
          <w:lang w:bidi="fa-IR"/>
        </w:rPr>
        <w:t xml:space="preserve">قَالَتْ : ثُمَّ انْصَرَفْتُ حَتّى قُبِضَ أَمِيرُ الْمُؤْمِنِينَ </w:t>
      </w:r>
      <w:r w:rsidRPr="00071CF9">
        <w:rPr>
          <w:rStyle w:val="libAlaemChar"/>
          <w:rtl/>
        </w:rPr>
        <w:t>عليه‌السلام</w:t>
      </w:r>
      <w:r w:rsidRPr="00132E65">
        <w:rPr>
          <w:rtl/>
          <w:lang w:bidi="fa-IR"/>
        </w:rPr>
        <w:t xml:space="preserve"> ، فَجِئْتُ إِلَى الْحَسَنِ </w:t>
      </w:r>
      <w:r w:rsidRPr="00071CF9">
        <w:rPr>
          <w:rStyle w:val="libAlaemChar"/>
          <w:rtl/>
        </w:rPr>
        <w:t>عليه‌السلام</w:t>
      </w:r>
      <w:r w:rsidRPr="00132E65">
        <w:rPr>
          <w:rtl/>
          <w:lang w:bidi="fa-IR"/>
        </w:rPr>
        <w:t xml:space="preserve"> </w:t>
      </w:r>
      <w:r>
        <w:rPr>
          <w:rStyle w:val="libFootnotenumChar"/>
          <w:rtl/>
        </w:rPr>
        <w:t>(12)</w:t>
      </w:r>
      <w:r w:rsidRPr="00132E65">
        <w:rPr>
          <w:rtl/>
          <w:lang w:bidi="fa-IR"/>
        </w:rPr>
        <w:t xml:space="preserve"> وَهُوَ فِي مَجْلِسِ أَمِيرِ الْمُؤْمِنِينَ </w:t>
      </w:r>
      <w:r w:rsidRPr="00071CF9">
        <w:rPr>
          <w:rStyle w:val="libAlaemChar"/>
          <w:rtl/>
        </w:rPr>
        <w:t>عليه‌السلام</w:t>
      </w:r>
      <w:r w:rsidRPr="00132E65">
        <w:rPr>
          <w:rtl/>
          <w:lang w:bidi="fa-IR"/>
        </w:rPr>
        <w:t xml:space="preserve"> والنَّاسُ يَسْأَلُونَهُ ، فَقَالَ </w:t>
      </w:r>
      <w:r w:rsidRPr="00F543F1">
        <w:rPr>
          <w:rStyle w:val="libFootnotenumChar"/>
          <w:rtl/>
        </w:rPr>
        <w:t>(13)</w:t>
      </w:r>
      <w:r w:rsidRPr="00132E65">
        <w:rPr>
          <w:rtl/>
          <w:lang w:bidi="fa-IR"/>
        </w:rPr>
        <w:t xml:space="preserve"> : « يَا حَبَابَةُ </w:t>
      </w:r>
      <w:r w:rsidRPr="00F543F1">
        <w:rPr>
          <w:rStyle w:val="libFootnotenumChar"/>
          <w:rtl/>
        </w:rPr>
        <w:t>(14)</w:t>
      </w:r>
      <w:r w:rsidRPr="00132E65">
        <w:rPr>
          <w:rtl/>
          <w:lang w:bidi="fa-IR"/>
        </w:rPr>
        <w:t xml:space="preserve"> الْوَالِبِيَّةُ » فَقُلْتُ </w:t>
      </w:r>
      <w:r w:rsidRPr="00F543F1">
        <w:rPr>
          <w:rStyle w:val="libFootnotenumChar"/>
          <w:rtl/>
        </w:rPr>
        <w:t>(15)</w:t>
      </w:r>
      <w:r w:rsidRPr="00132E65">
        <w:rPr>
          <w:rtl/>
          <w:lang w:bidi="fa-IR"/>
        </w:rPr>
        <w:t xml:space="preserve"> :</w:t>
      </w:r>
      <w:r>
        <w:rPr>
          <w:rFonts w:hint="cs"/>
          <w:rtl/>
          <w:lang w:bidi="fa-IR"/>
        </w:rPr>
        <w:t xml:space="preserve"> </w:t>
      </w:r>
      <w:r w:rsidRPr="00132E65">
        <w:rPr>
          <w:rtl/>
          <w:lang w:bidi="fa-IR"/>
        </w:rPr>
        <w:t xml:space="preserve">نَعَمْ يَا مَوْلَايَ ، فَقَالَ </w:t>
      </w:r>
      <w:r w:rsidRPr="00F543F1">
        <w:rPr>
          <w:rStyle w:val="libFootnotenumChar"/>
          <w:rtl/>
        </w:rPr>
        <w:t>(16)</w:t>
      </w:r>
      <w:r w:rsidRPr="00132E65">
        <w:rPr>
          <w:rtl/>
          <w:lang w:bidi="fa-IR"/>
        </w:rPr>
        <w:t xml:space="preserve"> : « هَاتِي مَا مَعَكِ »</w:t>
      </w:r>
      <w:r>
        <w:rPr>
          <w:rtl/>
          <w:lang w:bidi="fa-IR"/>
        </w:rPr>
        <w:t>.</w:t>
      </w:r>
      <w:r w:rsidRPr="00132E65">
        <w:rPr>
          <w:rtl/>
          <w:lang w:bidi="fa-IR"/>
        </w:rPr>
        <w:t xml:space="preserve"> قَالَتْ </w:t>
      </w:r>
      <w:r w:rsidRPr="00F543F1">
        <w:rPr>
          <w:rStyle w:val="libFootnotenumChar"/>
          <w:rtl/>
        </w:rPr>
        <w:t>(17)</w:t>
      </w:r>
      <w:r w:rsidRPr="00132E65">
        <w:rPr>
          <w:rtl/>
          <w:lang w:bidi="fa-IR"/>
        </w:rPr>
        <w:t xml:space="preserve"> : فَأَعْطَيْتُهُ فَطَبَعَ فِيهَا كَمَا طَبَعَ‌</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فَتَلُوا الشوارب » ، أي لَوَوْها ، من الفَتْل ، وهو لَيُّ الشي‌ء كَلَيِّكَ الحبل وكفَتْل الفتيلة. راجع : </w:t>
      </w:r>
      <w:r w:rsidRPr="009D1ACE">
        <w:rPr>
          <w:rStyle w:val="libFootnoteBoldChar"/>
          <w:rtl/>
        </w:rPr>
        <w:t>لسان العرب</w:t>
      </w:r>
      <w:r w:rsidRPr="00132E65">
        <w:rPr>
          <w:rtl/>
        </w:rPr>
        <w:t xml:space="preserve"> ، ج 11 ، ص 514 ( فتل )</w:t>
      </w:r>
      <w:r>
        <w:rPr>
          <w:rtl/>
        </w:rPr>
        <w:t>.</w:t>
      </w:r>
    </w:p>
    <w:p w:rsidR="000C39D1" w:rsidRPr="00132E65" w:rsidRDefault="000C39D1" w:rsidP="000C39D1">
      <w:pPr>
        <w:pStyle w:val="libFootnote0"/>
        <w:rPr>
          <w:rtl/>
          <w:lang w:bidi="fa-IR"/>
        </w:rPr>
      </w:pPr>
      <w:r>
        <w:rPr>
          <w:rtl/>
        </w:rPr>
        <w:t>(2). « مُسِخُوا » ، من الم</w:t>
      </w:r>
      <w:r>
        <w:rPr>
          <w:rFonts w:hint="cs"/>
          <w:rtl/>
        </w:rPr>
        <w:t>ـَ</w:t>
      </w:r>
      <w:r w:rsidRPr="00132E65">
        <w:rPr>
          <w:rtl/>
        </w:rPr>
        <w:t>سْخ ، وهو تحويل صورة إلى صورة أقبح منها. وقيل : تحويل خُلْق إلى صورة ا</w:t>
      </w:r>
      <w:r>
        <w:rPr>
          <w:rFonts w:hint="cs"/>
          <w:rtl/>
        </w:rPr>
        <w:t>ُ</w:t>
      </w:r>
      <w:r w:rsidRPr="00132E65">
        <w:rPr>
          <w:rtl/>
        </w:rPr>
        <w:t xml:space="preserve">خرى. راجع : </w:t>
      </w:r>
      <w:r w:rsidRPr="009D1ACE">
        <w:rPr>
          <w:rStyle w:val="libFootnoteBoldChar"/>
          <w:rtl/>
        </w:rPr>
        <w:t>لسان العرب</w:t>
      </w:r>
      <w:r w:rsidRPr="00132E65">
        <w:rPr>
          <w:rtl/>
        </w:rPr>
        <w:t xml:space="preserve"> ، ج 3 ، ص 55 ( مسخ )</w:t>
      </w:r>
      <w:r>
        <w:rPr>
          <w:rtl/>
        </w:rPr>
        <w:t>.</w:t>
      </w:r>
    </w:p>
    <w:p w:rsidR="000C39D1" w:rsidRPr="00132E65" w:rsidRDefault="000C39D1" w:rsidP="000C39D1">
      <w:pPr>
        <w:pStyle w:val="libFootnote0"/>
        <w:rPr>
          <w:rtl/>
          <w:lang w:bidi="fa-IR"/>
        </w:rPr>
      </w:pPr>
      <w:r>
        <w:rPr>
          <w:rtl/>
        </w:rPr>
        <w:t>(3).</w:t>
      </w:r>
      <w:r w:rsidRPr="00132E65">
        <w:rPr>
          <w:rtl/>
        </w:rPr>
        <w:t xml:space="preserve"> « أَقْفُوا أثره » ، أي أتبعه. راجع : </w:t>
      </w:r>
      <w:r w:rsidRPr="009D1ACE">
        <w:rPr>
          <w:rStyle w:val="libFootnoteBoldChar"/>
          <w:rtl/>
        </w:rPr>
        <w:t>لسان العرب</w:t>
      </w:r>
      <w:r w:rsidRPr="00132E65">
        <w:rPr>
          <w:rtl/>
        </w:rPr>
        <w:t xml:space="preserve"> ، ج 15 ، ص 194 ( قفا )</w:t>
      </w:r>
      <w:r>
        <w:rPr>
          <w:rtl/>
        </w:rPr>
        <w:t>.</w:t>
      </w:r>
    </w:p>
    <w:p w:rsidR="000C39D1" w:rsidRPr="00132E65" w:rsidRDefault="000C39D1" w:rsidP="000C39D1">
      <w:pPr>
        <w:pStyle w:val="libFootnote0"/>
        <w:rPr>
          <w:rtl/>
          <w:lang w:bidi="fa-IR"/>
        </w:rPr>
      </w:pPr>
      <w:r>
        <w:rPr>
          <w:rtl/>
        </w:rPr>
        <w:t>(4).</w:t>
      </w:r>
      <w:r w:rsidRPr="00132E65">
        <w:rPr>
          <w:rtl/>
        </w:rPr>
        <w:t xml:space="preserve"> رَحَبَة المسجد والدار : ساحتهما ومُتَّسعهما. وسمّيت الرَحْبَة رَحبَةً لسعتها بما رَحُبَتْ ، أي بما اتّسعت. راجع : </w:t>
      </w:r>
      <w:r w:rsidRPr="009D1ACE">
        <w:rPr>
          <w:rStyle w:val="libFootnoteBoldChar"/>
          <w:rtl/>
        </w:rPr>
        <w:t>لسان العرب</w:t>
      </w:r>
      <w:r w:rsidRPr="00132E65">
        <w:rPr>
          <w:rtl/>
        </w:rPr>
        <w:t xml:space="preserve"> ، ج 1 ، ص 414 ( رحب )</w:t>
      </w:r>
      <w:r>
        <w:rPr>
          <w:rtl/>
        </w:rPr>
        <w:t>.</w:t>
      </w:r>
      <w:r>
        <w:rPr>
          <w:rFonts w:hint="cs"/>
          <w:rtl/>
        </w:rPr>
        <w:t xml:space="preserve">       </w:t>
      </w:r>
      <w:r w:rsidR="0033724D">
        <w:rPr>
          <w:rFonts w:hint="cs"/>
          <w:rtl/>
        </w:rPr>
        <w:t xml:space="preserve">     </w:t>
      </w:r>
      <w:r>
        <w:rPr>
          <w:rFonts w:hint="cs"/>
          <w:rtl/>
        </w:rPr>
        <w:t xml:space="preserve">         </w:t>
      </w:r>
      <w:r>
        <w:rPr>
          <w:rtl/>
        </w:rPr>
        <w:t>(5).</w:t>
      </w:r>
      <w:r w:rsidRPr="00132E65">
        <w:rPr>
          <w:rtl/>
        </w:rPr>
        <w:t xml:space="preserve"> في « ب »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ف » </w:t>
            </w:r>
            <w:r>
              <w:rPr>
                <w:rtl/>
              </w:rPr>
              <w:t xml:space="preserve">: - </w:t>
            </w:r>
            <w:r w:rsidRPr="00132E65">
              <w:rPr>
                <w:rtl/>
              </w:rPr>
              <w:t>« قالت »</w:t>
            </w:r>
            <w:r>
              <w:rPr>
                <w:rtl/>
              </w:rPr>
              <w:t>.</w:t>
            </w:r>
          </w:p>
        </w:tc>
        <w:tc>
          <w:tcPr>
            <w:tcW w:w="4006" w:type="dxa"/>
          </w:tcPr>
          <w:p w:rsidR="000C39D1" w:rsidRDefault="000C39D1" w:rsidP="00B53873">
            <w:pPr>
              <w:pStyle w:val="libFootnote0"/>
              <w:rPr>
                <w:rtl/>
              </w:rPr>
            </w:pPr>
            <w:r>
              <w:rPr>
                <w:rtl/>
              </w:rPr>
              <w:t>(7).</w:t>
            </w:r>
            <w:r w:rsidRPr="00132E65">
              <w:rPr>
                <w:rtl/>
              </w:rPr>
              <w:t xml:space="preserve"> في « ه‍ » : « ائتني »</w:t>
            </w:r>
            <w:r>
              <w:rPr>
                <w:rtl/>
              </w:rPr>
              <w:t>.</w:t>
            </w:r>
          </w:p>
        </w:tc>
      </w:tr>
    </w:tbl>
    <w:p w:rsidR="000C39D1" w:rsidRPr="00132E65" w:rsidRDefault="000C39D1" w:rsidP="000C39D1">
      <w:pPr>
        <w:pStyle w:val="libFootnote0"/>
        <w:rPr>
          <w:rtl/>
          <w:lang w:bidi="fa-IR"/>
        </w:rPr>
      </w:pPr>
      <w:r>
        <w:rPr>
          <w:rtl/>
        </w:rPr>
        <w:t>(8).</w:t>
      </w:r>
      <w:r w:rsidRPr="00132E65">
        <w:rPr>
          <w:rtl/>
        </w:rPr>
        <w:t xml:space="preserve"> « الطَبْعُ » : الخَتْم ، وهو التأثير في الطين ونحوه. </w:t>
      </w:r>
      <w:r w:rsidRPr="00F911C9">
        <w:rPr>
          <w:rStyle w:val="libFootnoteBoldChar"/>
          <w:rtl/>
        </w:rPr>
        <w:t>الصحاح</w:t>
      </w:r>
      <w:r w:rsidRPr="00132E65">
        <w:rPr>
          <w:rtl/>
        </w:rPr>
        <w:t xml:space="preserve"> ، ج 3 ، ص 1252 ( طبع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 » : « حبّابة »</w:t>
            </w:r>
            <w:r>
              <w:rPr>
                <w:rtl/>
              </w:rPr>
              <w:t>.</w:t>
            </w:r>
          </w:p>
        </w:tc>
        <w:tc>
          <w:tcPr>
            <w:tcW w:w="4006" w:type="dxa"/>
          </w:tcPr>
          <w:p w:rsidR="000C39D1" w:rsidRDefault="000C39D1" w:rsidP="00B53873">
            <w:pPr>
              <w:pStyle w:val="libFootnote0"/>
              <w:rPr>
                <w:rtl/>
              </w:rPr>
            </w:pPr>
            <w:r>
              <w:rPr>
                <w:rtl/>
              </w:rPr>
              <w:t>(10).</w:t>
            </w:r>
            <w:r w:rsidRPr="00132E65">
              <w:rPr>
                <w:rtl/>
              </w:rPr>
              <w:t xml:space="preserve"> في « ف ، بف » : « مدّعي »</w:t>
            </w:r>
            <w:r>
              <w:rPr>
                <w:rtl/>
              </w:rPr>
              <w:t>.</w:t>
            </w:r>
          </w:p>
        </w:tc>
      </w:tr>
    </w:tbl>
    <w:p w:rsidR="000C39D1" w:rsidRPr="00132E65" w:rsidRDefault="000C39D1" w:rsidP="000C39D1">
      <w:pPr>
        <w:pStyle w:val="libFootnote0"/>
        <w:rPr>
          <w:rtl/>
          <w:lang w:bidi="fa-IR"/>
        </w:rPr>
      </w:pPr>
      <w:r>
        <w:rPr>
          <w:rtl/>
        </w:rPr>
        <w:t>(11).</w:t>
      </w:r>
      <w:r w:rsidRPr="00132E65">
        <w:rPr>
          <w:rtl/>
        </w:rPr>
        <w:t xml:space="preserve"> « لا يَعْزُبُ » : لا يغيب. يقال : عَزَبَ عنّي فلان يَعْزُبُ ويَعْزِبُ ، أي بَعُدَ وغاب. راجع : </w:t>
      </w:r>
      <w:r w:rsidRPr="00F911C9">
        <w:rPr>
          <w:rStyle w:val="libFootnoteBoldChar"/>
          <w:rtl/>
        </w:rPr>
        <w:t>الصحاح</w:t>
      </w:r>
      <w:r w:rsidRPr="00132E65">
        <w:rPr>
          <w:rtl/>
        </w:rPr>
        <w:t xml:space="preserve"> ، ج 1 ، ص 181 ( عزب )</w:t>
      </w:r>
      <w:r>
        <w:rPr>
          <w:rtl/>
        </w:rPr>
        <w:t>.</w:t>
      </w:r>
      <w:r>
        <w:rPr>
          <w:rFonts w:hint="cs"/>
          <w:rtl/>
        </w:rPr>
        <w:t xml:space="preserve">                               </w:t>
      </w:r>
      <w:r w:rsidR="0033724D">
        <w:rPr>
          <w:rFonts w:hint="cs"/>
          <w:rtl/>
        </w:rPr>
        <w:t xml:space="preserve"> </w:t>
      </w:r>
      <w:r>
        <w:rPr>
          <w:rFonts w:hint="cs"/>
          <w:rtl/>
        </w:rPr>
        <w:t xml:space="preserve">          </w:t>
      </w:r>
      <w:r>
        <w:rPr>
          <w:rtl/>
        </w:rPr>
        <w:t>(12).</w:t>
      </w:r>
      <w:r w:rsidRPr="00132E65">
        <w:rPr>
          <w:rtl/>
        </w:rPr>
        <w:t xml:space="preserve"> في « ف » : « الحسن بن عليّ </w:t>
      </w:r>
      <w:r w:rsidRPr="00F911C9">
        <w:rPr>
          <w:rStyle w:val="libFootnoteAlaemChar"/>
          <w:rtl/>
        </w:rPr>
        <w:t>عليهما‌السلام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(13)</w:t>
            </w:r>
            <w:r w:rsidRPr="00132E65">
              <w:rPr>
                <w:rtl/>
              </w:rPr>
              <w:t xml:space="preserve"> في « ف » وكمال الدين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(14)</w:t>
            </w:r>
            <w:r w:rsidRPr="00132E65">
              <w:rPr>
                <w:rtl/>
              </w:rPr>
              <w:t xml:space="preserve"> في « ب ، ه‍ ، بح » : « حبّابة »</w:t>
            </w:r>
            <w:r>
              <w:rPr>
                <w:rtl/>
              </w:rPr>
              <w:t>.</w:t>
            </w:r>
          </w:p>
        </w:tc>
      </w:tr>
    </w:tbl>
    <w:p w:rsidR="000C39D1" w:rsidRPr="00132E65" w:rsidRDefault="000C39D1" w:rsidP="000C39D1">
      <w:pPr>
        <w:pStyle w:val="libFootnote0"/>
        <w:rPr>
          <w:rtl/>
          <w:lang w:bidi="fa-IR"/>
        </w:rPr>
      </w:pPr>
      <w:r>
        <w:rPr>
          <w:rtl/>
        </w:rPr>
        <w:t>(15)</w:t>
      </w:r>
      <w:r w:rsidRPr="00132E65">
        <w:rPr>
          <w:rtl/>
        </w:rPr>
        <w:t xml:space="preserve"> في « بح ، بس » وشرح المازندراني : « فقالت »</w:t>
      </w:r>
      <w:r>
        <w:rPr>
          <w:rtl/>
        </w:rPr>
        <w:t>.</w:t>
      </w:r>
    </w:p>
    <w:p w:rsidR="000C39D1" w:rsidRPr="00132E65" w:rsidRDefault="000C39D1" w:rsidP="000C39D1">
      <w:pPr>
        <w:pStyle w:val="libFootnote0"/>
        <w:rPr>
          <w:rtl/>
          <w:lang w:bidi="fa-IR"/>
        </w:rPr>
      </w:pPr>
      <w:r>
        <w:rPr>
          <w:rtl/>
        </w:rPr>
        <w:t>(16)</w:t>
      </w:r>
      <w:r w:rsidRPr="00132E65">
        <w:rPr>
          <w:rtl/>
        </w:rPr>
        <w:t xml:space="preserve"> في « ف » : « قال »</w:t>
      </w:r>
      <w:r>
        <w:rPr>
          <w:rtl/>
        </w:rPr>
        <w:t>.</w:t>
      </w:r>
    </w:p>
    <w:p w:rsidR="000C39D1" w:rsidRPr="00132E65" w:rsidRDefault="000C39D1" w:rsidP="000C39D1">
      <w:pPr>
        <w:pStyle w:val="libFootnote0"/>
        <w:rPr>
          <w:rtl/>
          <w:lang w:bidi="fa-IR"/>
        </w:rPr>
      </w:pPr>
      <w:r>
        <w:rPr>
          <w:rtl/>
        </w:rPr>
        <w:t>(17)</w:t>
      </w:r>
      <w:r w:rsidRPr="00132E65">
        <w:rPr>
          <w:rtl/>
        </w:rPr>
        <w:t xml:space="preserve"> هكذا في النسخ التي قوبلت ، وهو مقتضى السياق. وفي المطبوع : « 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أَمِيرُ الْمُؤْمِنِينَ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قَالَتْ : ثُمَّ </w:t>
      </w:r>
      <w:r>
        <w:rPr>
          <w:rStyle w:val="libFootnotenumChar"/>
          <w:rtl/>
        </w:rPr>
        <w:t>(1)</w:t>
      </w:r>
      <w:r w:rsidRPr="00132E65">
        <w:rPr>
          <w:rtl/>
          <w:lang w:bidi="fa-IR"/>
        </w:rPr>
        <w:t xml:space="preserve"> أَتَيْتُ الْحُسَيْنَ </w:t>
      </w:r>
      <w:r w:rsidRPr="00071CF9">
        <w:rPr>
          <w:rStyle w:val="libAlaemChar"/>
          <w:rtl/>
        </w:rPr>
        <w:t>عليه‌السلام</w:t>
      </w:r>
      <w:r w:rsidRPr="00132E65">
        <w:rPr>
          <w:rtl/>
          <w:lang w:bidi="fa-IR"/>
        </w:rPr>
        <w:t xml:space="preserve"> وهُوَ فِي مَسْجِدِ رَسُولِ اللهِ </w:t>
      </w:r>
      <w:r>
        <w:rPr>
          <w:rStyle w:val="libFootnotenumChar"/>
          <w:rtl/>
        </w:rPr>
        <w:t>(2)</w:t>
      </w:r>
      <w:r w:rsidRPr="00132E65">
        <w:rPr>
          <w:rtl/>
          <w:lang w:bidi="fa-IR"/>
        </w:rPr>
        <w:t xml:space="preserve"> </w:t>
      </w:r>
      <w:r w:rsidRPr="00071CF9">
        <w:rPr>
          <w:rStyle w:val="libAlaemChar"/>
          <w:rtl/>
        </w:rPr>
        <w:t>صلى‌الله‌عليه‌وآله</w:t>
      </w:r>
      <w:r w:rsidRPr="00132E65">
        <w:rPr>
          <w:rtl/>
          <w:lang w:bidi="fa-IR"/>
        </w:rPr>
        <w:t xml:space="preserve"> ، فَقَرَّبَ ورَحَّبَ </w:t>
      </w:r>
      <w:r>
        <w:rPr>
          <w:rStyle w:val="libFootnotenumChar"/>
          <w:rtl/>
        </w:rPr>
        <w:t>(3)</w:t>
      </w:r>
      <w:r w:rsidRPr="00132E65">
        <w:rPr>
          <w:rtl/>
          <w:lang w:bidi="fa-IR"/>
        </w:rPr>
        <w:t xml:space="preserve"> ،</w:t>
      </w:r>
      <w:r>
        <w:rPr>
          <w:rFonts w:hint="cs"/>
          <w:rtl/>
          <w:lang w:bidi="fa-IR"/>
        </w:rPr>
        <w:t xml:space="preserve"> </w:t>
      </w:r>
      <w:r w:rsidRPr="00132E65">
        <w:rPr>
          <w:rtl/>
          <w:lang w:bidi="fa-IR"/>
        </w:rPr>
        <w:t xml:space="preserve">ثُمَّ قَالَ لِي : « إِنَّ فِي الدَّلَالَةِ دَلِيلاً عَلى مَا تُرِيدِينَ </w:t>
      </w:r>
      <w:r>
        <w:rPr>
          <w:rStyle w:val="libFootnotenumChar"/>
          <w:rtl/>
        </w:rPr>
        <w:t>(4)</w:t>
      </w:r>
      <w:r>
        <w:rPr>
          <w:rtl/>
          <w:lang w:bidi="fa-IR"/>
        </w:rPr>
        <w:t xml:space="preserve"> ، أَ</w:t>
      </w:r>
      <w:r w:rsidRPr="00132E65">
        <w:rPr>
          <w:rtl/>
          <w:lang w:bidi="fa-IR"/>
        </w:rPr>
        <w:t xml:space="preserve">فَتُرِيدِينَ </w:t>
      </w:r>
      <w:r>
        <w:rPr>
          <w:rStyle w:val="libFootnotenumChar"/>
          <w:rtl/>
        </w:rPr>
        <w:t>(5)</w:t>
      </w:r>
      <w:r w:rsidRPr="00132E65">
        <w:rPr>
          <w:rtl/>
          <w:lang w:bidi="fa-IR"/>
        </w:rPr>
        <w:t xml:space="preserve"> دَلَالَةَ الْإِمَامَةِ</w:t>
      </w:r>
      <w:r>
        <w:rPr>
          <w:rtl/>
          <w:lang w:bidi="fa-IR"/>
        </w:rPr>
        <w:t>؟</w:t>
      </w:r>
      <w:r w:rsidRPr="00132E65">
        <w:rPr>
          <w:rtl/>
          <w:lang w:bidi="fa-IR"/>
        </w:rPr>
        <w:t xml:space="preserve"> » فَقُلْتُ :</w:t>
      </w:r>
      <w:r>
        <w:rPr>
          <w:rFonts w:hint="cs"/>
          <w:rtl/>
          <w:lang w:bidi="fa-IR"/>
        </w:rPr>
        <w:t xml:space="preserve"> </w:t>
      </w:r>
      <w:r w:rsidRPr="00132E65">
        <w:rPr>
          <w:rtl/>
          <w:lang w:bidi="fa-IR"/>
        </w:rPr>
        <w:t xml:space="preserve">نَعَمْ يَا سَيِّدِي ، فَقَالَ : « هَاتِي </w:t>
      </w:r>
      <w:r>
        <w:rPr>
          <w:rStyle w:val="libFootnotenumChar"/>
          <w:rtl/>
        </w:rPr>
        <w:t>(6)</w:t>
      </w:r>
      <w:r w:rsidRPr="00132E65">
        <w:rPr>
          <w:rtl/>
          <w:lang w:bidi="fa-IR"/>
        </w:rPr>
        <w:t xml:space="preserve"> مَا مَعَكِ » فَنَاوَلْتُهُ الْحَصَاةَ فَطَبَعَ </w:t>
      </w:r>
      <w:r>
        <w:rPr>
          <w:rStyle w:val="libFootnotenumChar"/>
          <w:rtl/>
        </w:rPr>
        <w:t>(7)</w:t>
      </w:r>
      <w:r w:rsidRPr="00132E65">
        <w:rPr>
          <w:rtl/>
          <w:lang w:bidi="fa-IR"/>
        </w:rPr>
        <w:t xml:space="preserve"> لِي فِيهَا.</w:t>
      </w:r>
    </w:p>
    <w:p w:rsidR="000C39D1" w:rsidRPr="00132E65" w:rsidRDefault="000C39D1" w:rsidP="000C39D1">
      <w:pPr>
        <w:pStyle w:val="libNormal"/>
        <w:rPr>
          <w:rtl/>
          <w:lang w:bidi="fa-IR"/>
        </w:rPr>
      </w:pPr>
      <w:r w:rsidRPr="00132E65">
        <w:rPr>
          <w:rtl/>
          <w:lang w:bidi="fa-IR"/>
        </w:rPr>
        <w:t xml:space="preserve">قَالَتْ : ثُمَّ أَتَيْتُ عَلِيَّ بْنَ الْحُسَيْنِ </w:t>
      </w:r>
      <w:r w:rsidRPr="00071CF9">
        <w:rPr>
          <w:rStyle w:val="libAlaemChar"/>
          <w:rtl/>
        </w:rPr>
        <w:t>عليهما‌السلام</w:t>
      </w:r>
      <w:r w:rsidRPr="00132E65">
        <w:rPr>
          <w:rtl/>
          <w:lang w:bidi="fa-IR"/>
        </w:rPr>
        <w:t xml:space="preserve"> وقَدْ </w:t>
      </w:r>
      <w:r>
        <w:rPr>
          <w:rStyle w:val="libFootnotenumChar"/>
          <w:rtl/>
        </w:rPr>
        <w:t>(8)</w:t>
      </w:r>
      <w:r w:rsidRPr="00132E65">
        <w:rPr>
          <w:rtl/>
          <w:lang w:bidi="fa-IR"/>
        </w:rPr>
        <w:t xml:space="preserve"> بَلَغَ بِيَ الْكِبَرُ إِلى أَنْ أُرْعِشْتُ </w:t>
      </w:r>
      <w:r>
        <w:rPr>
          <w:rStyle w:val="libFootnotenumChar"/>
          <w:rtl/>
        </w:rPr>
        <w:t>(9)</w:t>
      </w:r>
      <w:r>
        <w:rPr>
          <w:rtl/>
          <w:lang w:bidi="fa-IR"/>
        </w:rPr>
        <w:t xml:space="preserve"> - </w:t>
      </w:r>
      <w:r w:rsidRPr="00132E65">
        <w:rPr>
          <w:rtl/>
          <w:lang w:bidi="fa-IR"/>
        </w:rPr>
        <w:t>وأَنَا أَعُدُّ يَوْمَئِذٍ مِائَةً وثَلَاثَ عَشْرَةَ سَنَةً</w:t>
      </w:r>
      <w:r>
        <w:rPr>
          <w:rtl/>
          <w:lang w:bidi="fa-IR"/>
        </w:rPr>
        <w:t xml:space="preserve"> - </w:t>
      </w:r>
      <w:r w:rsidRPr="00132E65">
        <w:rPr>
          <w:rtl/>
          <w:lang w:bidi="fa-IR"/>
        </w:rPr>
        <w:t xml:space="preserve">فَرَأَيْتُهُ رَاكِعاً وسَاجِداً ومَشْغُولاً بِالْعِبَادَةِ ، فَيَئِسْتُ مِنَ الدَّلَالَةِ ، فَأَوْمَأَ </w:t>
      </w:r>
      <w:r>
        <w:rPr>
          <w:rStyle w:val="libFootnotenumChar"/>
          <w:rtl/>
        </w:rPr>
        <w:t>(10)</w:t>
      </w:r>
      <w:r w:rsidRPr="00132E65">
        <w:rPr>
          <w:rtl/>
          <w:lang w:bidi="fa-IR"/>
        </w:rPr>
        <w:t xml:space="preserve"> إِلَيَّ بِالسَّبَّابَةِ ، فَعَادَ إِلَيَّ شَبَابِي ، قَالَتْ : فَقُلْتُ : يَا </w:t>
      </w:r>
      <w:r>
        <w:rPr>
          <w:rStyle w:val="libFootnotenumChar"/>
          <w:rtl/>
        </w:rPr>
        <w:t>(11)</w:t>
      </w:r>
      <w:r w:rsidRPr="00132E65">
        <w:rPr>
          <w:rtl/>
          <w:lang w:bidi="fa-IR"/>
        </w:rPr>
        <w:t xml:space="preserve"> سَيِّدِي ، كَمْ مَضى مِنَ الدُّنْيَا</w:t>
      </w:r>
      <w:r>
        <w:rPr>
          <w:rtl/>
          <w:lang w:bidi="fa-IR"/>
        </w:rPr>
        <w:t>؟</w:t>
      </w:r>
      <w:r w:rsidRPr="00132E65">
        <w:rPr>
          <w:rtl/>
          <w:lang w:bidi="fa-IR"/>
        </w:rPr>
        <w:t xml:space="preserve"> وكَمْ بَقِيَ </w:t>
      </w:r>
      <w:r>
        <w:rPr>
          <w:rStyle w:val="libFootnotenumChar"/>
          <w:rtl/>
        </w:rPr>
        <w:t>(12)</w:t>
      </w:r>
      <w:r>
        <w:rPr>
          <w:rtl/>
          <w:lang w:bidi="fa-IR"/>
        </w:rPr>
        <w:t>؟</w:t>
      </w:r>
      <w:r w:rsidRPr="00132E65">
        <w:rPr>
          <w:rtl/>
          <w:lang w:bidi="fa-IR"/>
        </w:rPr>
        <w:t xml:space="preserve"> فَقَالَ : « أَمَّا مَا مَضى ، فَنَعَمْ ؛ وأَمَّا مَا بَقِيَ ، فَلَا » </w:t>
      </w:r>
      <w:r w:rsidRPr="00F543F1">
        <w:rPr>
          <w:rStyle w:val="libFootnotenumChar"/>
          <w:rtl/>
        </w:rPr>
        <w:t>(13)</w:t>
      </w:r>
      <w:r>
        <w:rPr>
          <w:rFonts w:hint="cs"/>
          <w:rtl/>
          <w:lang w:bidi="fa-IR"/>
        </w:rPr>
        <w:t xml:space="preserve"> .</w:t>
      </w:r>
      <w:r w:rsidRPr="00132E65">
        <w:rPr>
          <w:rtl/>
          <w:lang w:bidi="fa-IR"/>
        </w:rPr>
        <w:t xml:space="preserve">قَالَتْ : ثُمَّ قَالَ لِي : « هَاتِي مَا مَعَكِ » فَأَعْطَيْتُهُ الْحَصَاةَ فَطَبَعَ لِي </w:t>
      </w:r>
      <w:r w:rsidRPr="00F543F1">
        <w:rPr>
          <w:rStyle w:val="libFootnotenumChar"/>
          <w:rtl/>
        </w:rPr>
        <w:t>(14)</w:t>
      </w:r>
      <w:r w:rsidRPr="00132E65">
        <w:rPr>
          <w:rtl/>
          <w:lang w:bidi="fa-IR"/>
        </w:rPr>
        <w:t xml:space="preserve"> فِيهَا.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ثمّ قالت »</w:t>
      </w:r>
      <w:r>
        <w:rPr>
          <w:rtl/>
        </w:rPr>
        <w:t>.</w:t>
      </w:r>
    </w:p>
    <w:p w:rsidR="000C39D1" w:rsidRPr="00132E65" w:rsidRDefault="000C39D1" w:rsidP="000C39D1">
      <w:pPr>
        <w:pStyle w:val="libFootnote0"/>
        <w:rPr>
          <w:rtl/>
          <w:lang w:bidi="fa-IR"/>
        </w:rPr>
      </w:pPr>
      <w:r>
        <w:rPr>
          <w:rtl/>
        </w:rPr>
        <w:t>(2).</w:t>
      </w:r>
      <w:r w:rsidRPr="00132E65">
        <w:rPr>
          <w:rtl/>
        </w:rPr>
        <w:t xml:space="preserve"> في « ف » وكمال الدين : « الرسول »</w:t>
      </w:r>
      <w:r>
        <w:rPr>
          <w:rtl/>
        </w:rPr>
        <w:t>.</w:t>
      </w:r>
    </w:p>
    <w:p w:rsidR="000C39D1" w:rsidRPr="00132E65" w:rsidRDefault="000C39D1" w:rsidP="000C39D1">
      <w:pPr>
        <w:pStyle w:val="libFootnote0"/>
        <w:rPr>
          <w:rtl/>
          <w:lang w:bidi="fa-IR"/>
        </w:rPr>
      </w:pPr>
      <w:r>
        <w:rPr>
          <w:rtl/>
        </w:rPr>
        <w:t>(3).</w:t>
      </w:r>
      <w:r w:rsidRPr="00132E65">
        <w:rPr>
          <w:rtl/>
        </w:rPr>
        <w:t xml:space="preserve"> « فَقَرَّبَ » ، أي أدناني من نفسه ، ودعاني إلى مكان قريب. </w:t>
      </w:r>
      <w:r>
        <w:rPr>
          <w:rtl/>
        </w:rPr>
        <w:t>و «</w:t>
      </w:r>
      <w:r w:rsidRPr="00132E65">
        <w:rPr>
          <w:rtl/>
        </w:rPr>
        <w:t xml:space="preserve"> رحّب » ، أي رحّب بها ، أي قال بها : مرحباً ، أو دعاه إلى الرَحْب والسعة. راجع : </w:t>
      </w:r>
      <w:r w:rsidRPr="009D1ACE">
        <w:rPr>
          <w:rStyle w:val="libFootnoteBoldChar"/>
          <w:rtl/>
        </w:rPr>
        <w:t>لسان العرب</w:t>
      </w:r>
      <w:r w:rsidRPr="00132E65">
        <w:rPr>
          <w:rtl/>
        </w:rPr>
        <w:t xml:space="preserve"> ، ج 1 ، ص 414 ( رحب )</w:t>
      </w:r>
      <w:r>
        <w:rPr>
          <w:rtl/>
        </w:rPr>
        <w:t>.</w:t>
      </w:r>
    </w:p>
    <w:p w:rsidR="000C39D1" w:rsidRPr="00132E65" w:rsidRDefault="000C39D1" w:rsidP="000C39D1">
      <w:pPr>
        <w:pStyle w:val="libFootnote0"/>
        <w:rPr>
          <w:rtl/>
          <w:lang w:bidi="fa-IR"/>
        </w:rPr>
      </w:pPr>
      <w:r>
        <w:rPr>
          <w:rtl/>
        </w:rPr>
        <w:t>(4).</w:t>
      </w:r>
      <w:r w:rsidRPr="00132E65">
        <w:rPr>
          <w:rtl/>
        </w:rPr>
        <w:t xml:space="preserve"> في « ف » : « يريدون »</w:t>
      </w:r>
      <w:r>
        <w:rPr>
          <w:rtl/>
        </w:rPr>
        <w:t>.</w:t>
      </w:r>
      <w:r w:rsidRPr="00132E65">
        <w:rPr>
          <w:rtl/>
        </w:rPr>
        <w:t xml:space="preserve"> وذكر المجلسي هاهنا وجوهاً ، ثالثها أن يكون المعنى أنّ في دلالتي على ما في ضميرك</w:t>
      </w:r>
      <w:r>
        <w:rPr>
          <w:rFonts w:hint="cs"/>
          <w:rtl/>
        </w:rPr>
        <w:t xml:space="preserve"> </w:t>
      </w:r>
      <w:r w:rsidRPr="00132E65">
        <w:rPr>
          <w:rtl/>
        </w:rPr>
        <w:t xml:space="preserve">‌دلالةً على الإمامة ؛ حيث أقول : إنّك تريدين دلالتها ، ونقل رابعها عن بعض الأفاضل ، وهو أنّ « فيّ » بتشديد الياء خبرُ « إنّ » ، </w:t>
      </w:r>
      <w:r>
        <w:rPr>
          <w:rtl/>
        </w:rPr>
        <w:t>و «</w:t>
      </w:r>
      <w:r w:rsidRPr="00132E65">
        <w:rPr>
          <w:rtl/>
        </w:rPr>
        <w:t xml:space="preserve"> الدلالة » اسمها ، </w:t>
      </w:r>
      <w:r>
        <w:rPr>
          <w:rtl/>
        </w:rPr>
        <w:t>و «</w:t>
      </w:r>
      <w:r w:rsidRPr="00132E65">
        <w:rPr>
          <w:rtl/>
        </w:rPr>
        <w:t xml:space="preserve"> دليلاً » بدلُه ، </w:t>
      </w:r>
      <w:r>
        <w:rPr>
          <w:rtl/>
        </w:rPr>
        <w:t>و «</w:t>
      </w:r>
      <w:r w:rsidRPr="00132E65">
        <w:rPr>
          <w:rtl/>
        </w:rPr>
        <w:t xml:space="preserve"> على ما تريدين » صفة « دليلاً » ، كقوله تعالى : </w:t>
      </w:r>
      <w:r w:rsidRPr="00071CF9">
        <w:rPr>
          <w:rStyle w:val="libAlaemChar"/>
          <w:rtl/>
        </w:rPr>
        <w:t>(</w:t>
      </w:r>
      <w:r>
        <w:rPr>
          <w:rFonts w:hint="cs"/>
          <w:rtl/>
        </w:rPr>
        <w:t xml:space="preserve"> </w:t>
      </w:r>
      <w:r w:rsidRPr="00C2691A">
        <w:rPr>
          <w:rStyle w:val="libFootnoteAieChar"/>
          <w:rtl/>
        </w:rPr>
        <w:t xml:space="preserve">بِالنّاصِيَةِ </w:t>
      </w:r>
      <w:r>
        <w:rPr>
          <w:rStyle w:val="libFootnoteAieChar"/>
          <w:rFonts w:hint="cs"/>
          <w:rtl/>
        </w:rPr>
        <w:t xml:space="preserve">* </w:t>
      </w:r>
      <w:r w:rsidRPr="00C2691A">
        <w:rPr>
          <w:rStyle w:val="libFootnoteAieChar"/>
          <w:rtl/>
        </w:rPr>
        <w:t>ناصِيَةٍ كاذِبَةٍ</w:t>
      </w:r>
      <w:r>
        <w:rPr>
          <w:rFonts w:hint="cs"/>
          <w:rtl/>
        </w:rPr>
        <w:t xml:space="preserve"> </w:t>
      </w:r>
      <w:r w:rsidRPr="00071CF9">
        <w:rPr>
          <w:rStyle w:val="libAlaemChar"/>
          <w:rtl/>
        </w:rPr>
        <w:t>)</w:t>
      </w:r>
      <w:r w:rsidRPr="00132E65">
        <w:rPr>
          <w:rtl/>
        </w:rPr>
        <w:t xml:space="preserve"> [ العلق (96) : 15</w:t>
      </w:r>
      <w:r>
        <w:rPr>
          <w:rtl/>
        </w:rPr>
        <w:t xml:space="preserve"> - </w:t>
      </w:r>
      <w:r w:rsidRPr="00132E65">
        <w:rPr>
          <w:rtl/>
        </w:rPr>
        <w:t>/ 16 ]</w:t>
      </w:r>
      <w:r>
        <w:rPr>
          <w:rtl/>
        </w:rPr>
        <w:t>.</w:t>
      </w:r>
      <w:r w:rsidRPr="00132E65">
        <w:rPr>
          <w:rtl/>
        </w:rPr>
        <w:t xml:space="preserve"> راجع : </w:t>
      </w:r>
      <w:r w:rsidRPr="009D1ACE">
        <w:rPr>
          <w:rStyle w:val="libFootnoteBoldChar"/>
          <w:rtl/>
        </w:rPr>
        <w:t>مرآة العقول</w:t>
      </w:r>
      <w:r w:rsidRPr="00132E65">
        <w:rPr>
          <w:rtl/>
        </w:rPr>
        <w:t xml:space="preserve"> ، ج 4 ، ص 81.</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ف » : « أفتريدون »</w:t>
            </w:r>
            <w:r>
              <w:rPr>
                <w:rtl/>
              </w:rPr>
              <w:t>.</w:t>
            </w:r>
          </w:p>
        </w:tc>
        <w:tc>
          <w:tcPr>
            <w:tcW w:w="4006" w:type="dxa"/>
          </w:tcPr>
          <w:p w:rsidR="000C39D1" w:rsidRDefault="000C39D1" w:rsidP="00B53873">
            <w:pPr>
              <w:pStyle w:val="libFootnote0"/>
              <w:rPr>
                <w:rtl/>
              </w:rPr>
            </w:pPr>
            <w:r>
              <w:rPr>
                <w:rtl/>
              </w:rPr>
              <w:t>(6).</w:t>
            </w:r>
            <w:r w:rsidRPr="00132E65">
              <w:rPr>
                <w:rtl/>
              </w:rPr>
              <w:t xml:space="preserve"> في « ض ، بح ، بر » : « هات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بح » : « وطبع »</w:t>
            </w:r>
            <w:r>
              <w:rPr>
                <w:rtl/>
              </w:rPr>
              <w:t>.</w:t>
            </w:r>
          </w:p>
        </w:tc>
        <w:tc>
          <w:tcPr>
            <w:tcW w:w="4006" w:type="dxa"/>
          </w:tcPr>
          <w:p w:rsidR="000C39D1" w:rsidRDefault="000C39D1" w:rsidP="00B53873">
            <w:pPr>
              <w:pStyle w:val="libFootnote0"/>
              <w:rPr>
                <w:rtl/>
              </w:rPr>
            </w:pPr>
            <w:r>
              <w:rPr>
                <w:rtl/>
              </w:rPr>
              <w:t>(8).</w:t>
            </w:r>
            <w:r w:rsidRPr="00132E65">
              <w:rPr>
                <w:rtl/>
              </w:rPr>
              <w:t xml:space="preserve"> في </w:t>
            </w:r>
            <w:r w:rsidRPr="009D1ACE">
              <w:rPr>
                <w:rStyle w:val="libFootnoteBoldChar"/>
                <w:rtl/>
              </w:rPr>
              <w:t>مرآة العقول</w:t>
            </w:r>
            <w:r w:rsidRPr="00132E65">
              <w:rPr>
                <w:rtl/>
              </w:rPr>
              <w:t xml:space="preserve"> : « فقد »</w:t>
            </w:r>
            <w:r>
              <w:rPr>
                <w:rtl/>
              </w:rPr>
              <w:t>.</w:t>
            </w:r>
          </w:p>
        </w:tc>
      </w:tr>
    </w:tbl>
    <w:p w:rsidR="000C39D1" w:rsidRPr="00132E65" w:rsidRDefault="000C39D1" w:rsidP="000C39D1">
      <w:pPr>
        <w:pStyle w:val="libFootnote0"/>
        <w:rPr>
          <w:rtl/>
          <w:lang w:bidi="fa-IR"/>
        </w:rPr>
      </w:pPr>
      <w:r>
        <w:rPr>
          <w:rtl/>
        </w:rPr>
        <w:t>(9).</w:t>
      </w:r>
      <w:r w:rsidRPr="00132E65">
        <w:rPr>
          <w:rtl/>
        </w:rPr>
        <w:t xml:space="preserve"> في كمال الدين : « أعييت »</w:t>
      </w:r>
      <w:r>
        <w:rPr>
          <w:rtl/>
        </w:rPr>
        <w:t>.</w:t>
      </w:r>
      <w:r w:rsidRPr="00132E65">
        <w:rPr>
          <w:rtl/>
        </w:rPr>
        <w:t xml:space="preserve"> وقوله : « ا</w:t>
      </w:r>
      <w:r>
        <w:rPr>
          <w:rFonts w:hint="cs"/>
          <w:rtl/>
        </w:rPr>
        <w:t>ُ</w:t>
      </w:r>
      <w:r w:rsidRPr="00132E65">
        <w:rPr>
          <w:rtl/>
        </w:rPr>
        <w:t xml:space="preserve">رعشت » من رَعِشَ يَرْعَشُ رَعَشاً وارتعش ، أي ارتعد ، أي اضطرب. </w:t>
      </w:r>
      <w:r w:rsidRPr="009D1ACE">
        <w:rPr>
          <w:rStyle w:val="libFootnoteBoldChar"/>
          <w:rtl/>
        </w:rPr>
        <w:t>لسان العرب</w:t>
      </w:r>
      <w:r w:rsidRPr="00132E65">
        <w:rPr>
          <w:rtl/>
        </w:rPr>
        <w:t xml:space="preserve"> ، ج 6 ، ص 304 ( رعش )</w:t>
      </w:r>
      <w:r>
        <w:rPr>
          <w:rtl/>
        </w:rPr>
        <w:t>.</w:t>
      </w:r>
      <w:r>
        <w:rPr>
          <w:rFonts w:hint="cs"/>
          <w:rtl/>
        </w:rPr>
        <w:t xml:space="preserve">           </w:t>
      </w:r>
      <w:r w:rsidR="0033724D">
        <w:rPr>
          <w:rFonts w:hint="cs"/>
          <w:rtl/>
        </w:rPr>
        <w:t xml:space="preserve">    </w:t>
      </w:r>
      <w:r>
        <w:rPr>
          <w:rFonts w:hint="cs"/>
          <w:rtl/>
        </w:rPr>
        <w:t xml:space="preserve">      </w:t>
      </w:r>
      <w:r>
        <w:rPr>
          <w:rtl/>
        </w:rPr>
        <w:t>(10).</w:t>
      </w:r>
      <w:r w:rsidRPr="00132E65">
        <w:rPr>
          <w:rtl/>
        </w:rPr>
        <w:t xml:space="preserve"> في « بر » : « وأومأ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 ه‍ » </w:t>
            </w:r>
            <w:r>
              <w:rPr>
                <w:rtl/>
              </w:rPr>
              <w:t xml:space="preserve">: - </w:t>
            </w:r>
            <w:r w:rsidRPr="00132E65">
              <w:rPr>
                <w:rtl/>
              </w:rPr>
              <w:t>« يا »</w:t>
            </w:r>
            <w:r>
              <w:rPr>
                <w:rtl/>
              </w:rPr>
              <w:t>.</w:t>
            </w:r>
          </w:p>
        </w:tc>
        <w:tc>
          <w:tcPr>
            <w:tcW w:w="4006" w:type="dxa"/>
          </w:tcPr>
          <w:p w:rsidR="000C39D1" w:rsidRDefault="000C39D1" w:rsidP="00B53873">
            <w:pPr>
              <w:pStyle w:val="libFootnote0"/>
              <w:rPr>
                <w:rtl/>
              </w:rPr>
            </w:pPr>
            <w:r>
              <w:rPr>
                <w:rtl/>
              </w:rPr>
              <w:t>(12).</w:t>
            </w:r>
            <w:r w:rsidRPr="00132E65">
              <w:rPr>
                <w:rtl/>
              </w:rPr>
              <w:t xml:space="preserve"> في « ج » و</w:t>
            </w:r>
            <w:r w:rsidRPr="009D1ACE">
              <w:rPr>
                <w:rStyle w:val="libFootnoteBoldChar"/>
                <w:rtl/>
              </w:rPr>
              <w:t>الوافي</w:t>
            </w:r>
            <w:r w:rsidRPr="00132E65">
              <w:rPr>
                <w:rtl/>
              </w:rPr>
              <w:t xml:space="preserve"> :</w:t>
            </w:r>
            <w:r>
              <w:rPr>
                <w:rtl/>
              </w:rPr>
              <w:t xml:space="preserve"> + </w:t>
            </w:r>
            <w:r w:rsidRPr="00132E65">
              <w:rPr>
                <w:rtl/>
              </w:rPr>
              <w:t>« منها »</w:t>
            </w:r>
            <w:r>
              <w:rPr>
                <w:rtl/>
              </w:rPr>
              <w:t>.</w:t>
            </w:r>
          </w:p>
        </w:tc>
      </w:tr>
    </w:tbl>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مرآة العقول</w:t>
      </w:r>
      <w:r w:rsidRPr="00132E65">
        <w:rPr>
          <w:rtl/>
        </w:rPr>
        <w:t xml:space="preserve"> : « أمّا ما مضى فنعم ، أي لنا سبيل إلى معرفته ، أو السؤال عنه موجّه ، أو ا</w:t>
      </w:r>
      <w:r>
        <w:rPr>
          <w:rFonts w:hint="cs"/>
          <w:rtl/>
        </w:rPr>
        <w:t>ُ</w:t>
      </w:r>
      <w:r w:rsidRPr="00132E65">
        <w:rPr>
          <w:rtl/>
        </w:rPr>
        <w:t xml:space="preserve">خبرك بأن يكون </w:t>
      </w:r>
      <w:r w:rsidRPr="00071CF9">
        <w:rPr>
          <w:rStyle w:val="libAlaemChar"/>
          <w:rtl/>
        </w:rPr>
        <w:t>عليه‌السلام</w:t>
      </w:r>
      <w:r w:rsidRPr="00132E65">
        <w:rPr>
          <w:rtl/>
        </w:rPr>
        <w:t xml:space="preserve"> أخبرها ولم تذكر للراوي ، أو ذكره ولم يذكره الراوي ، وقس عليه قوله : أمّا ما بقي فلا ، والامتناع من الإخبار إمّا لاختصاص علمه بالله تعالى ، أو لعدم المصلحة في الإخبار »</w:t>
      </w:r>
      <w:r>
        <w:rPr>
          <w:rtl/>
        </w:rPr>
        <w:t>.</w:t>
      </w:r>
    </w:p>
    <w:p w:rsidR="000C39D1" w:rsidRPr="00132E65" w:rsidRDefault="000C39D1" w:rsidP="000C39D1">
      <w:pPr>
        <w:pStyle w:val="libFootnote0"/>
        <w:rPr>
          <w:rtl/>
          <w:lang w:bidi="fa-IR"/>
        </w:rPr>
      </w:pPr>
      <w:r>
        <w:rPr>
          <w:rtl/>
        </w:rPr>
        <w:t>(14)</w:t>
      </w:r>
      <w:r w:rsidRPr="00132E65">
        <w:rPr>
          <w:rtl/>
        </w:rPr>
        <w:t xml:space="preserve"> في « ب ، ج ، ض ، ه‍ ، و، بح ، بر ، بس ، بف » و</w:t>
      </w:r>
      <w:r w:rsidRPr="009D1ACE">
        <w:rPr>
          <w:rStyle w:val="libFootnoteBoldChar"/>
          <w:rtl/>
        </w:rPr>
        <w:t>الوافي</w:t>
      </w:r>
      <w:r w:rsidRPr="00132E65">
        <w:rPr>
          <w:rtl/>
        </w:rPr>
        <w:t xml:space="preserve"> </w:t>
      </w:r>
      <w:r>
        <w:rPr>
          <w:rtl/>
        </w:rPr>
        <w:t xml:space="preserve">: - </w:t>
      </w:r>
      <w:r w:rsidRPr="00132E65">
        <w:rPr>
          <w:rtl/>
        </w:rPr>
        <w:t>« لي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ثُمَّ أَتَيْتُ أَبَا جَعْفَرٍ </w:t>
      </w:r>
      <w:r w:rsidRPr="00071CF9">
        <w:rPr>
          <w:rStyle w:val="libAlaemChar"/>
          <w:rtl/>
        </w:rPr>
        <w:t>عليه‌السلام</w:t>
      </w:r>
      <w:r w:rsidRPr="00132E65">
        <w:rPr>
          <w:rtl/>
          <w:lang w:bidi="fa-IR"/>
        </w:rPr>
        <w:t xml:space="preserve"> ، فَطَبَعَ لِي فِيهَا </w:t>
      </w:r>
      <w:r>
        <w:rPr>
          <w:rStyle w:val="libFootnotenumChar"/>
          <w:rtl/>
        </w:rPr>
        <w:t>(1)</w:t>
      </w:r>
      <w:r w:rsidRPr="00132E65">
        <w:rPr>
          <w:rtl/>
          <w:lang w:bidi="fa-IR"/>
        </w:rPr>
        <w:t xml:space="preserve"> ؛ ثُمَّ أَتَيْتُ أَبَا عَبْدِ اللهِ </w:t>
      </w:r>
      <w:r w:rsidRPr="00071CF9">
        <w:rPr>
          <w:rStyle w:val="libAlaemChar"/>
          <w:rtl/>
        </w:rPr>
        <w:t>عليه‌السلام</w:t>
      </w:r>
      <w:r w:rsidRPr="00132E65">
        <w:rPr>
          <w:rtl/>
          <w:lang w:bidi="fa-IR"/>
        </w:rPr>
        <w:t xml:space="preserve"> ، فَطَبَعَ لِي فِيهَا </w:t>
      </w:r>
      <w:r>
        <w:rPr>
          <w:rStyle w:val="libFootnotenumChar"/>
          <w:rtl/>
        </w:rPr>
        <w:t>(2)</w:t>
      </w:r>
      <w:r w:rsidRPr="00132E65">
        <w:rPr>
          <w:rtl/>
          <w:lang w:bidi="fa-IR"/>
        </w:rPr>
        <w:t xml:space="preserve"> ؛ ثُمَّ أَتَيْتُ أَبَا الْحَسَنِ مُوسى </w:t>
      </w:r>
      <w:r w:rsidRPr="00071CF9">
        <w:rPr>
          <w:rStyle w:val="libAlaemChar"/>
          <w:rtl/>
        </w:rPr>
        <w:t>عليه‌السلام</w:t>
      </w:r>
      <w:r w:rsidRPr="00132E65">
        <w:rPr>
          <w:rtl/>
          <w:lang w:bidi="fa-IR"/>
        </w:rPr>
        <w:t xml:space="preserve"> ، فَطَبَعَ لِي فِيهَا ؛ ثُمَّ أَتَيْتُ الرِّضَا </w:t>
      </w:r>
      <w:r w:rsidRPr="00071CF9">
        <w:rPr>
          <w:rStyle w:val="libAlaemChar"/>
          <w:rtl/>
        </w:rPr>
        <w:t>عليه‌السلام</w:t>
      </w:r>
      <w:r w:rsidRPr="00132E65">
        <w:rPr>
          <w:rtl/>
          <w:lang w:bidi="fa-IR"/>
        </w:rPr>
        <w:t xml:space="preserve"> ، فَطَبَعَ لِي فِيهَا.</w:t>
      </w:r>
    </w:p>
    <w:p w:rsidR="000C39D1" w:rsidRPr="00132E65" w:rsidRDefault="000C39D1" w:rsidP="000C39D1">
      <w:pPr>
        <w:pStyle w:val="libNormal"/>
        <w:rPr>
          <w:rtl/>
          <w:lang w:bidi="fa-IR"/>
        </w:rPr>
      </w:pPr>
      <w:r w:rsidRPr="00132E65">
        <w:rPr>
          <w:rtl/>
          <w:lang w:bidi="fa-IR"/>
        </w:rPr>
        <w:t xml:space="preserve">وَعَاشَتْ </w:t>
      </w:r>
      <w:r>
        <w:rPr>
          <w:rStyle w:val="libFootnotenumChar"/>
          <w:rtl/>
        </w:rPr>
        <w:t>(3)</w:t>
      </w:r>
      <w:r w:rsidRPr="00132E65">
        <w:rPr>
          <w:rtl/>
          <w:lang w:bidi="fa-IR"/>
        </w:rPr>
        <w:t xml:space="preserve"> حَبَابَةُ بَعْدَ ذلِكَ تِسْعَةَ أَشْهُرٍ عَلى مَا ذَكَرَ </w:t>
      </w:r>
      <w:r>
        <w:rPr>
          <w:rStyle w:val="libFootnotenumChar"/>
          <w:rtl/>
        </w:rPr>
        <w:t>(4)</w:t>
      </w:r>
      <w:r w:rsidRPr="00132E65">
        <w:rPr>
          <w:rtl/>
          <w:lang w:bidi="fa-IR"/>
        </w:rPr>
        <w:t xml:space="preserve"> مُحَمَّدُ بْنُ هِشَامٍ </w:t>
      </w:r>
      <w:r>
        <w:rPr>
          <w:rStyle w:val="libFootnotenumChar"/>
          <w:rtl/>
        </w:rPr>
        <w:t>(5)</w:t>
      </w:r>
      <w:r w:rsidRPr="00132E65">
        <w:rPr>
          <w:rtl/>
          <w:lang w:bidi="fa-IR"/>
        </w:rPr>
        <w:t xml:space="preserve"> </w:t>
      </w:r>
      <w:r>
        <w:rPr>
          <w:rFonts w:hint="cs"/>
          <w:rtl/>
          <w:lang w:bidi="fa-IR"/>
        </w:rPr>
        <w:t>.</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FD3211">
        <w:rPr>
          <w:rtl/>
        </w:rPr>
        <w:t>925</w:t>
      </w:r>
      <w:r w:rsidRPr="004325D8">
        <w:rPr>
          <w:rStyle w:val="libBold2Char"/>
          <w:rtl/>
        </w:rPr>
        <w:t xml:space="preserve"> / 4.</w:t>
      </w:r>
      <w:r w:rsidRPr="00132E65">
        <w:rPr>
          <w:rtl/>
          <w:lang w:bidi="fa-IR"/>
        </w:rPr>
        <w:t xml:space="preserve"> مُحَمَّدُ بْنُ أَبِي عَبْدِ اللهِ وعَلِيُّ بْنُ مُحَمَّدٍ ، عَنْ إِسْحَاقَ بْنِ مُحَمَّدٍ النَّخَعِيِّ ، عَنْ أَبِي هَاشِمٍ دَاوُدَ بْنِ الْقَاسِمِ الْجَعْفَرِيِّ ، قَالَ :</w:t>
      </w:r>
    </w:p>
    <w:p w:rsidR="000C39D1" w:rsidRPr="00132E65" w:rsidRDefault="000C39D1" w:rsidP="000C39D1">
      <w:pPr>
        <w:pStyle w:val="libNormal"/>
        <w:rPr>
          <w:rtl/>
          <w:lang w:bidi="fa-IR"/>
        </w:rPr>
      </w:pPr>
      <w:r w:rsidRPr="00132E65">
        <w:rPr>
          <w:rtl/>
          <w:lang w:bidi="fa-IR"/>
        </w:rPr>
        <w:t xml:space="preserve">كُنْتُ عِنْدَ أَبِي مُحَمَّدٍ </w:t>
      </w:r>
      <w:r w:rsidRPr="00071CF9">
        <w:rPr>
          <w:rStyle w:val="libAlaemChar"/>
          <w:rtl/>
        </w:rPr>
        <w:t>عليه‌السلام</w:t>
      </w:r>
      <w:r w:rsidRPr="00132E65">
        <w:rPr>
          <w:rtl/>
          <w:lang w:bidi="fa-IR"/>
        </w:rPr>
        <w:t xml:space="preserve"> ، فَاسْتُؤْذِنَ لِرَجُلٍ مِنْ أَهْلِ الْيَمَنِ عَلَيْهِ ، فَدَخَلَ </w:t>
      </w:r>
      <w:r>
        <w:rPr>
          <w:rStyle w:val="libFootnotenumChar"/>
          <w:rtl/>
        </w:rPr>
        <w:t>(7)</w:t>
      </w:r>
      <w:r w:rsidRPr="00132E65">
        <w:rPr>
          <w:rtl/>
          <w:lang w:bidi="fa-IR"/>
        </w:rPr>
        <w:t xml:space="preserve"> رَجُلٌ عَبْلٌ </w:t>
      </w:r>
      <w:r>
        <w:rPr>
          <w:rStyle w:val="libFootnotenumChar"/>
          <w:rtl/>
        </w:rPr>
        <w:t>(8)</w:t>
      </w:r>
      <w:r w:rsidRPr="00132E65">
        <w:rPr>
          <w:rtl/>
          <w:lang w:bidi="fa-IR"/>
        </w:rPr>
        <w:t xml:space="preserve"> طَوِيلٌ جَسِيمٌ ، فَسَلَّمَ عَلَيْهِ بِالْوَلَايَةِ ، فَرَدَّ عَلَيْهِ بِالْقَبُولِ ، وأَمَرَهُ بِالْجُلُوسِ ، فَجَلَسَ مُلَاصِقاً لِي ، فَقُلْتُ فِي نَفْسِي : لَيْتَ شِعْرِي </w:t>
      </w:r>
      <w:r>
        <w:rPr>
          <w:rStyle w:val="libFootnotenumChar"/>
          <w:rtl/>
        </w:rPr>
        <w:t>(9)</w:t>
      </w:r>
      <w:r w:rsidRPr="00132E65">
        <w:rPr>
          <w:rtl/>
          <w:lang w:bidi="fa-IR"/>
        </w:rPr>
        <w:t xml:space="preserve"> مَنْ هذَا</w:t>
      </w:r>
      <w:r>
        <w:rPr>
          <w:rtl/>
          <w:lang w:bidi="fa-IR"/>
        </w:rPr>
        <w:t>؟</w:t>
      </w:r>
    </w:p>
    <w:p w:rsidR="000C39D1" w:rsidRPr="00132E65" w:rsidRDefault="000C39D1" w:rsidP="000C39D1">
      <w:pPr>
        <w:pStyle w:val="libNormal"/>
        <w:rPr>
          <w:rtl/>
          <w:lang w:bidi="fa-IR"/>
        </w:rPr>
      </w:pPr>
      <w:r w:rsidRPr="00132E65">
        <w:rPr>
          <w:rtl/>
          <w:lang w:bidi="fa-IR"/>
        </w:rPr>
        <w:t xml:space="preserve">فَقَالَ أَبُو مُحَمَّدٍ </w:t>
      </w:r>
      <w:r w:rsidRPr="00071CF9">
        <w:rPr>
          <w:rStyle w:val="libAlaemChar"/>
          <w:rtl/>
        </w:rPr>
        <w:t>عليه‌السلام</w:t>
      </w:r>
      <w:r w:rsidRPr="00132E65">
        <w:rPr>
          <w:rtl/>
          <w:lang w:bidi="fa-IR"/>
        </w:rPr>
        <w:t xml:space="preserve"> : « هذَا مِنْ و</w:t>
      </w:r>
      <w:r>
        <w:rPr>
          <w:rFonts w:hint="cs"/>
          <w:rtl/>
          <w:lang w:bidi="fa-IR"/>
        </w:rPr>
        <w:t>ُ</w:t>
      </w:r>
      <w:r w:rsidRPr="00132E65">
        <w:rPr>
          <w:rtl/>
          <w:lang w:bidi="fa-IR"/>
        </w:rPr>
        <w:t xml:space="preserve">لْدِ الْأَعْرَابِيَّةِ صَاحِبَةِ الْحَصَاةِ الَّتِي طَبَعَ آبَائِي </w:t>
      </w:r>
      <w:r w:rsidRPr="00071CF9">
        <w:rPr>
          <w:rStyle w:val="libAlaemChar"/>
          <w:rtl/>
        </w:rPr>
        <w:t>عليهم‌السلام</w:t>
      </w:r>
      <w:r w:rsidRPr="00132E65">
        <w:rPr>
          <w:rtl/>
          <w:lang w:bidi="fa-IR"/>
        </w:rPr>
        <w:t xml:space="preserve"> فِيهَا بِخَوَاتِيمِهِمْ فَانْطَبَعَتْ ، وقَدْ جَاءَ بِهَا مَعَهُ يُرِيدُ أَنْ أَطْبَعَ فِيهَا »</w:t>
      </w:r>
      <w:r>
        <w:rPr>
          <w:rtl/>
          <w:lang w:bidi="fa-IR"/>
        </w:rPr>
        <w:t>.</w:t>
      </w:r>
    </w:p>
    <w:p w:rsidR="000C39D1" w:rsidRPr="00132E65" w:rsidRDefault="000C39D1" w:rsidP="000C39D1">
      <w:pPr>
        <w:pStyle w:val="libNormal"/>
        <w:rPr>
          <w:rtl/>
          <w:lang w:bidi="fa-IR"/>
        </w:rPr>
      </w:pPr>
      <w:r w:rsidRPr="00132E65">
        <w:rPr>
          <w:rtl/>
          <w:lang w:bidi="fa-IR"/>
        </w:rPr>
        <w:t xml:space="preserve">ثُمَّ قَالَ : « هَاتِهَا » فَأَخْرَجَ حَصَاةً وفِي جَانِبٍ مِنْهَا مَوْضِعٌ أَمْلَسُ </w:t>
      </w:r>
      <w:r>
        <w:rPr>
          <w:rStyle w:val="libFootnotenumChar"/>
          <w:rtl/>
        </w:rPr>
        <w:t>(10)</w:t>
      </w:r>
      <w:r w:rsidRPr="00132E65">
        <w:rPr>
          <w:rtl/>
          <w:lang w:bidi="fa-IR"/>
        </w:rPr>
        <w:t xml:space="preserve"> ، فَأَخَذَهَا أَبُو مُحَمَّدٍ </w:t>
      </w:r>
      <w:r w:rsidRPr="00071CF9">
        <w:rPr>
          <w:rStyle w:val="libAlaemChar"/>
          <w:rtl/>
        </w:rPr>
        <w:t>عليه‌السلام</w:t>
      </w:r>
      <w:r w:rsidRPr="00132E65">
        <w:rPr>
          <w:rtl/>
          <w:lang w:bidi="fa-IR"/>
        </w:rPr>
        <w:t xml:space="preserve"> ، ثُمَّ أَخْرَجَ خَاتَمَهُ ، فَطَبَعَ فِيهَا ، فَانْطَبَعَ ، فَكَأَنِّي أَرى </w:t>
      </w:r>
      <w:r>
        <w:rPr>
          <w:rStyle w:val="libFootnotenumChar"/>
          <w:rtl/>
        </w:rPr>
        <w:t>(11)</w:t>
      </w:r>
      <w:r w:rsidRPr="00132E65">
        <w:rPr>
          <w:rtl/>
          <w:lang w:bidi="fa-IR"/>
        </w:rPr>
        <w:t xml:space="preserve"> نَقْشَ خَاتَمِهِ‌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 « ثمّ طبع لي » بدل « فطبع لي فيها »</w:t>
      </w:r>
      <w:r>
        <w:rPr>
          <w:rtl/>
        </w:rPr>
        <w:t>.</w:t>
      </w:r>
    </w:p>
    <w:p w:rsidR="000C39D1" w:rsidRPr="00132E65" w:rsidRDefault="000C39D1" w:rsidP="000C39D1">
      <w:pPr>
        <w:pStyle w:val="libFootnote0"/>
        <w:rPr>
          <w:rtl/>
          <w:lang w:bidi="fa-IR"/>
        </w:rPr>
      </w:pPr>
      <w:r>
        <w:rPr>
          <w:rtl/>
        </w:rPr>
        <w:t>(2).</w:t>
      </w:r>
      <w:r w:rsidRPr="00132E65">
        <w:rPr>
          <w:rtl/>
        </w:rPr>
        <w:t xml:space="preserve"> في « بس » </w:t>
      </w:r>
      <w:r>
        <w:rPr>
          <w:rtl/>
        </w:rPr>
        <w:t xml:space="preserve">: - </w:t>
      </w:r>
      <w:r w:rsidRPr="00132E65">
        <w:rPr>
          <w:rtl/>
        </w:rPr>
        <w:t>« فطبع لي فيها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وقوله : وعاشت ، كلام عبد الكريم بن عمرو الراوي عن حبابة. وأنّه أدرك زمان الرضا </w:t>
      </w:r>
      <w:r w:rsidRPr="00071CF9">
        <w:rPr>
          <w:rStyle w:val="libAlaemChar"/>
          <w:rtl/>
        </w:rPr>
        <w:t>عليه‌السلام</w:t>
      </w:r>
      <w:r w:rsidRPr="00132E65">
        <w:rPr>
          <w:rtl/>
        </w:rPr>
        <w:t xml:space="preserve"> ، وكان واقفيّاً »</w:t>
      </w:r>
      <w:r>
        <w:rPr>
          <w:rtl/>
        </w:rPr>
        <w:t>.</w:t>
      </w:r>
      <w:r>
        <w:rPr>
          <w:rFonts w:hint="cs"/>
          <w:rtl/>
        </w:rPr>
        <w:t xml:space="preserve">                                  </w:t>
      </w:r>
      <w:r>
        <w:rPr>
          <w:rtl/>
        </w:rPr>
        <w:t>(4).</w:t>
      </w:r>
      <w:r w:rsidRPr="00132E65">
        <w:rPr>
          <w:rtl/>
        </w:rPr>
        <w:t xml:space="preserve"> في « ف » : « ذكره »</w:t>
      </w:r>
      <w:r>
        <w:rPr>
          <w:rtl/>
        </w:rPr>
        <w:t>.</w:t>
      </w:r>
    </w:p>
    <w:p w:rsidR="000C39D1" w:rsidRPr="00132E65" w:rsidRDefault="000C39D1" w:rsidP="000C39D1">
      <w:pPr>
        <w:pStyle w:val="libFootnote0"/>
        <w:rPr>
          <w:rtl/>
          <w:lang w:bidi="fa-IR"/>
        </w:rPr>
      </w:pPr>
      <w:r>
        <w:rPr>
          <w:rtl/>
        </w:rPr>
        <w:t>(5).</w:t>
      </w:r>
      <w:r w:rsidRPr="00132E65">
        <w:rPr>
          <w:rtl/>
        </w:rPr>
        <w:t xml:space="preserve"> في « بح » : « هاشم »</w:t>
      </w:r>
      <w:r>
        <w:rPr>
          <w:rtl/>
        </w:rPr>
        <w:t>.</w:t>
      </w:r>
    </w:p>
    <w:p w:rsidR="000C39D1" w:rsidRPr="00132E65" w:rsidRDefault="000C39D1" w:rsidP="000C39D1">
      <w:pPr>
        <w:pStyle w:val="libFootnote0"/>
        <w:rPr>
          <w:rtl/>
          <w:lang w:bidi="fa-IR"/>
        </w:rPr>
      </w:pPr>
      <w:r>
        <w:rPr>
          <w:rtl/>
        </w:rPr>
        <w:t>(6).</w:t>
      </w:r>
      <w:r w:rsidRPr="00132E65">
        <w:rPr>
          <w:rtl/>
        </w:rPr>
        <w:t xml:space="preserve"> </w:t>
      </w:r>
      <w:r w:rsidRPr="004E34D2">
        <w:rPr>
          <w:rStyle w:val="libFootnoteBoldChar"/>
          <w:rtl/>
        </w:rPr>
        <w:t>كمال الدين</w:t>
      </w:r>
      <w:r w:rsidRPr="00132E65">
        <w:rPr>
          <w:rtl/>
        </w:rPr>
        <w:t xml:space="preserve"> ، ص 536 ، ح 1 ، بسنده عن الكليني. وراجع نفس المصدر ، ح 2 </w:t>
      </w:r>
      <w:r>
        <w:rPr>
          <w:rFonts w:hint="cs"/>
          <w:rtl/>
        </w:rPr>
        <w:t>.</w:t>
      </w:r>
      <w:r w:rsidRPr="009D1ACE">
        <w:rPr>
          <w:rStyle w:val="libFootnoteBoldChar"/>
          <w:rtl/>
        </w:rPr>
        <w:t>الوافي</w:t>
      </w:r>
      <w:r w:rsidRPr="00132E65">
        <w:rPr>
          <w:rtl/>
        </w:rPr>
        <w:t xml:space="preserve"> ، ج 2 ، ص 143 ، ح 614 ؛ </w:t>
      </w:r>
      <w:r w:rsidRPr="00FD3211">
        <w:rPr>
          <w:rtl/>
        </w:rPr>
        <w:t>الوسائل</w:t>
      </w:r>
      <w:r w:rsidRPr="00132E65">
        <w:rPr>
          <w:rtl/>
        </w:rPr>
        <w:t xml:space="preserve"> ، ج 2 ، ص 116 ، ح 1661 ؛ وج 24 ، ص 131 ، ح 30157.</w:t>
      </w:r>
    </w:p>
    <w:p w:rsidR="000C39D1" w:rsidRPr="00132E65" w:rsidRDefault="000C39D1" w:rsidP="000C39D1">
      <w:pPr>
        <w:pStyle w:val="libFootnote0"/>
        <w:rPr>
          <w:rtl/>
          <w:lang w:bidi="fa-IR"/>
        </w:rPr>
      </w:pPr>
      <w:r>
        <w:rPr>
          <w:rtl/>
        </w:rPr>
        <w:t>(7).</w:t>
      </w:r>
      <w:r w:rsidRPr="00132E65">
        <w:rPr>
          <w:rtl/>
        </w:rPr>
        <w:t xml:space="preserve"> في « بر » :</w:t>
      </w:r>
      <w:r>
        <w:rPr>
          <w:rtl/>
        </w:rPr>
        <w:t xml:space="preserve"> + </w:t>
      </w:r>
      <w:r w:rsidRPr="00132E65">
        <w:rPr>
          <w:rtl/>
        </w:rPr>
        <w:t>« عليه »</w:t>
      </w:r>
      <w:r>
        <w:rPr>
          <w:rtl/>
        </w:rPr>
        <w:t>.</w:t>
      </w:r>
    </w:p>
    <w:p w:rsidR="000C39D1" w:rsidRPr="00132E65" w:rsidRDefault="000C39D1" w:rsidP="000C39D1">
      <w:pPr>
        <w:pStyle w:val="libFootnote0"/>
        <w:rPr>
          <w:rtl/>
          <w:lang w:bidi="fa-IR"/>
        </w:rPr>
      </w:pPr>
      <w:r>
        <w:rPr>
          <w:rtl/>
        </w:rPr>
        <w:t>(8).</w:t>
      </w:r>
      <w:r w:rsidRPr="00132E65">
        <w:rPr>
          <w:rtl/>
        </w:rPr>
        <w:t xml:space="preserve"> « العَبْلُ » : الضَخْمُ من كلّ شي‌ء. يقال : رجل عَبْلٌ ، أي ضَخْمٌ. راجع : </w:t>
      </w:r>
      <w:r w:rsidRPr="009D1ACE">
        <w:rPr>
          <w:rStyle w:val="libFootnoteBoldChar"/>
          <w:rtl/>
        </w:rPr>
        <w:t>لسان العرب</w:t>
      </w:r>
      <w:r w:rsidRPr="00132E65">
        <w:rPr>
          <w:rtl/>
        </w:rPr>
        <w:t xml:space="preserve"> ، ج 11 ، ص 420 ( عبل )</w:t>
      </w:r>
      <w:r>
        <w:rPr>
          <w:rtl/>
        </w:rPr>
        <w:t>.</w:t>
      </w:r>
    </w:p>
    <w:p w:rsidR="000C39D1" w:rsidRPr="00132E65" w:rsidRDefault="000C39D1" w:rsidP="000C39D1">
      <w:pPr>
        <w:pStyle w:val="libFootnote0"/>
        <w:rPr>
          <w:rtl/>
          <w:lang w:bidi="fa-IR"/>
        </w:rPr>
      </w:pPr>
      <w:r>
        <w:rPr>
          <w:rtl/>
        </w:rPr>
        <w:t>(9).</w:t>
      </w:r>
      <w:r w:rsidRPr="00132E65">
        <w:rPr>
          <w:rtl/>
        </w:rPr>
        <w:t xml:space="preserve"> « ليت شِعْرِي » ، أي ليت علمي حاضر ، أو محيط ، فحُذِفَ الخبر ، أي ليتني علمتُ. راجع : </w:t>
      </w:r>
      <w:r w:rsidRPr="000A4D6F">
        <w:rPr>
          <w:rStyle w:val="libFootnoteBoldChar"/>
          <w:rtl/>
        </w:rPr>
        <w:t>الصحاح</w:t>
      </w:r>
      <w:r w:rsidRPr="00132E65">
        <w:rPr>
          <w:rtl/>
        </w:rPr>
        <w:t xml:space="preserve"> ، ج 2 ، ص 699 ؛ </w:t>
      </w:r>
      <w:r w:rsidRPr="000A4D6F">
        <w:rPr>
          <w:rStyle w:val="libFootnoteBoldChar"/>
          <w:rtl/>
        </w:rPr>
        <w:t>النهاية</w:t>
      </w:r>
      <w:r w:rsidRPr="00132E65">
        <w:rPr>
          <w:rtl/>
        </w:rPr>
        <w:t xml:space="preserve"> ، ج 2 ، ص 481 ( شعر )</w:t>
      </w:r>
      <w:r>
        <w:rPr>
          <w:rtl/>
        </w:rPr>
        <w:t>.</w:t>
      </w:r>
    </w:p>
    <w:p w:rsidR="000C39D1" w:rsidRPr="00132E65" w:rsidRDefault="000C39D1" w:rsidP="000C39D1">
      <w:pPr>
        <w:pStyle w:val="libFootnote0"/>
        <w:rPr>
          <w:rtl/>
          <w:lang w:bidi="fa-IR"/>
        </w:rPr>
      </w:pPr>
      <w:r>
        <w:rPr>
          <w:rtl/>
        </w:rPr>
        <w:t>(10).</w:t>
      </w:r>
      <w:r w:rsidRPr="00132E65">
        <w:rPr>
          <w:rtl/>
        </w:rPr>
        <w:t xml:space="preserve"> « مَوْضِعٌ أمْلَس » ، أي ليس ل</w:t>
      </w:r>
      <w:r>
        <w:rPr>
          <w:rtl/>
        </w:rPr>
        <w:t>ه شي‌ء يُسْتَمْسَكُ به ؛ من الم</w:t>
      </w:r>
      <w:r>
        <w:rPr>
          <w:rFonts w:hint="cs"/>
          <w:rtl/>
        </w:rPr>
        <w:t>ـَ</w:t>
      </w:r>
      <w:r w:rsidRPr="00132E65">
        <w:rPr>
          <w:rtl/>
        </w:rPr>
        <w:t xml:space="preserve">لاسَة بمعنى ضدّ الخُشُونة. راجع : </w:t>
      </w:r>
      <w:r w:rsidRPr="000A4D6F">
        <w:rPr>
          <w:rStyle w:val="libFootnoteBoldChar"/>
          <w:rtl/>
        </w:rPr>
        <w:t>المصباح المنير</w:t>
      </w:r>
      <w:r w:rsidRPr="00132E65">
        <w:rPr>
          <w:rtl/>
        </w:rPr>
        <w:t xml:space="preserve"> ، ص 579 ( ملس )</w:t>
      </w:r>
      <w:r>
        <w:rPr>
          <w:rtl/>
        </w:rPr>
        <w:t>.</w:t>
      </w:r>
      <w:r>
        <w:rPr>
          <w:rFonts w:hint="cs"/>
          <w:rtl/>
        </w:rPr>
        <w:t xml:space="preserve">                                 </w:t>
      </w:r>
      <w:r>
        <w:rPr>
          <w:rtl/>
        </w:rPr>
        <w:t>(11).</w:t>
      </w:r>
      <w:r w:rsidRPr="00132E65">
        <w:rPr>
          <w:rtl/>
        </w:rPr>
        <w:t xml:space="preserve"> في « ج » : « أنظر إلى »</w:t>
      </w:r>
      <w:r>
        <w:rPr>
          <w:rtl/>
        </w:rPr>
        <w:t>.</w:t>
      </w:r>
      <w:r w:rsidRPr="00132E65">
        <w:rPr>
          <w:rtl/>
        </w:rPr>
        <w:t xml:space="preserve"> وفي « ه‍ » : « أقرأ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السَّاعَةَ : « الْحَسَنُ بْنُ عَلِيٍّ </w:t>
      </w:r>
      <w:r>
        <w:rPr>
          <w:rStyle w:val="libFootnotenumChar"/>
          <w:rtl/>
        </w:rPr>
        <w:t>(1)</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فَقُلْتُ لِلْيَمَانِيِّ : رَأَيْتَهُ </w:t>
      </w:r>
      <w:r>
        <w:rPr>
          <w:rStyle w:val="libFootnotenumChar"/>
          <w:rtl/>
        </w:rPr>
        <w:t>(2)</w:t>
      </w:r>
      <w:r w:rsidRPr="00132E65">
        <w:rPr>
          <w:rtl/>
          <w:lang w:bidi="fa-IR"/>
        </w:rPr>
        <w:t xml:space="preserve"> قَبْلَ هذَا قَطُّ</w:t>
      </w:r>
      <w:r>
        <w:rPr>
          <w:rtl/>
          <w:lang w:bidi="fa-IR"/>
        </w:rPr>
        <w:t>؟</w:t>
      </w:r>
      <w:r w:rsidRPr="00132E65">
        <w:rPr>
          <w:rtl/>
          <w:lang w:bidi="fa-IR"/>
        </w:rPr>
        <w:t xml:space="preserve"> قَالَ : لَاوَ اللهِ ، وإِنِّي لَمُنْذُ دَهْرٍ </w:t>
      </w:r>
      <w:r>
        <w:rPr>
          <w:rStyle w:val="libFootnotenumChar"/>
          <w:rtl/>
        </w:rPr>
        <w:t>(3)</w:t>
      </w:r>
      <w:r w:rsidRPr="00132E65">
        <w:rPr>
          <w:rtl/>
          <w:lang w:bidi="fa-IR"/>
        </w:rPr>
        <w:t xml:space="preserve"> حَرِيصٌ عَلى رُؤْيَتِهِ حَتّى كَانَ </w:t>
      </w:r>
      <w:r>
        <w:rPr>
          <w:rStyle w:val="libFootnotenumChar"/>
          <w:rtl/>
        </w:rPr>
        <w:t>(4)</w:t>
      </w:r>
      <w:r w:rsidRPr="00132E65">
        <w:rPr>
          <w:rtl/>
          <w:lang w:bidi="fa-IR"/>
        </w:rPr>
        <w:t xml:space="preserve"> السَّاعَةَ أَتَانِي شَابٌّ</w:t>
      </w:r>
      <w:r>
        <w:rPr>
          <w:rtl/>
          <w:lang w:bidi="fa-IR"/>
        </w:rPr>
        <w:t xml:space="preserve"> - </w:t>
      </w:r>
      <w:r w:rsidRPr="00132E65">
        <w:rPr>
          <w:rtl/>
          <w:lang w:bidi="fa-IR"/>
        </w:rPr>
        <w:t>لَسْتُ أَرَاهُ</w:t>
      </w:r>
      <w:r>
        <w:rPr>
          <w:rtl/>
          <w:lang w:bidi="fa-IR"/>
        </w:rPr>
        <w:t xml:space="preserve"> - </w:t>
      </w:r>
      <w:r w:rsidRPr="00132E65">
        <w:rPr>
          <w:rtl/>
          <w:lang w:bidi="fa-IR"/>
        </w:rPr>
        <w:t>فَقَالَ لِي : قُمْ ، فَادْخُلْ ، فَدَخَلْتُ.</w:t>
      </w:r>
    </w:p>
    <w:p w:rsidR="000C39D1" w:rsidRPr="00132E65" w:rsidRDefault="000C39D1" w:rsidP="000C39D1">
      <w:pPr>
        <w:pStyle w:val="libNormal"/>
        <w:rPr>
          <w:rtl/>
          <w:lang w:bidi="fa-IR"/>
        </w:rPr>
      </w:pPr>
      <w:r w:rsidRPr="00132E65">
        <w:rPr>
          <w:rtl/>
          <w:lang w:bidi="fa-IR"/>
        </w:rPr>
        <w:t xml:space="preserve">ثُمَّ نَهَضَ الْيَمَانِيُّ وهُوَ يَقُولُ : رَحْمَةُ اللهِ وبَرَكَاتُهُ عَلَيْكُمْ أَهْلَ الْبَيْتِ ، ذُرِّيَّةً بَعْضُهَا مِنْ بَعْضٍ ، أَشْهَدُ بِاللهِ إِنَّ حَقَّكَ لَوَاجِبٌ </w:t>
      </w:r>
      <w:r>
        <w:rPr>
          <w:rStyle w:val="libFootnotenumChar"/>
          <w:rtl/>
        </w:rPr>
        <w:t>(5)</w:t>
      </w:r>
      <w:r w:rsidRPr="00132E65">
        <w:rPr>
          <w:rtl/>
          <w:lang w:bidi="fa-IR"/>
        </w:rPr>
        <w:t xml:space="preserve"> كَوُجُوبِ حَقِّ أَمِيرِ الْمُؤْمِنِينَ </w:t>
      </w:r>
      <w:r w:rsidRPr="00071CF9">
        <w:rPr>
          <w:rStyle w:val="libAlaemChar"/>
          <w:rtl/>
        </w:rPr>
        <w:t>عليه‌السلام</w:t>
      </w:r>
      <w:r w:rsidRPr="00132E65">
        <w:rPr>
          <w:rtl/>
          <w:lang w:bidi="fa-IR"/>
        </w:rPr>
        <w:t xml:space="preserve"> والْأَئِمَّةِ مِنْ بَعْدِهِ صَلَوَاتُ اللهِ عَلَيْهِمْ أَجْمَعِينَ ، ثُمَّ مَضى فَلَمْ أَرَهُ بَعْدَ ذلِكَ.</w:t>
      </w:r>
    </w:p>
    <w:p w:rsidR="000C39D1" w:rsidRPr="00132E65" w:rsidRDefault="000C39D1" w:rsidP="000C39D1">
      <w:pPr>
        <w:pStyle w:val="libNormal"/>
        <w:rPr>
          <w:rtl/>
          <w:lang w:bidi="fa-IR"/>
        </w:rPr>
      </w:pPr>
      <w:r w:rsidRPr="00132E65">
        <w:rPr>
          <w:rtl/>
          <w:lang w:bidi="fa-IR"/>
        </w:rPr>
        <w:t xml:space="preserve">قَالَ إِسْحَاقُ : قَالَ أَبُو هَاشِمٍ الْجَعْفَرِيُّ : وسَأَلْتُهُ عَنِ اسْمِهِ ، فَقَالَ : اسْمِي مِهْجَعُ بْنُ الصَّلْتِ بْنِ عُقْبَةَ بْنِ سِمْعَانَ بْنِ غَانِمِ بْنِ أُمِّ غَانِمٍ ، وهِيَ الْأَعْرَابِيَّةُ الْيَمَانِيَّةُ ، صَاحِبَةُ الْحَصَاةِ الَّتِي طَبَعَ فِيهَا أَمِيرُ الْمُؤْمِنِينَ </w:t>
      </w:r>
      <w:r w:rsidRPr="00071CF9">
        <w:rPr>
          <w:rStyle w:val="libAlaemChar"/>
          <w:rtl/>
        </w:rPr>
        <w:t>عليه‌السلام</w:t>
      </w:r>
      <w:r w:rsidRPr="00132E65">
        <w:rPr>
          <w:rtl/>
          <w:lang w:bidi="fa-IR"/>
        </w:rPr>
        <w:t xml:space="preserve"> </w:t>
      </w:r>
      <w:r>
        <w:rPr>
          <w:rStyle w:val="libFootnotenumChar"/>
          <w:rtl/>
        </w:rPr>
        <w:t>(6)</w:t>
      </w:r>
      <w:r w:rsidRPr="00132E65">
        <w:rPr>
          <w:rtl/>
          <w:lang w:bidi="fa-IR"/>
        </w:rPr>
        <w:t xml:space="preserve"> ، والسِّبْطُ </w:t>
      </w:r>
      <w:r>
        <w:rPr>
          <w:rStyle w:val="libFootnotenumChar"/>
          <w:rtl/>
        </w:rPr>
        <w:t>(7)</w:t>
      </w:r>
      <w:r w:rsidRPr="00132E65">
        <w:rPr>
          <w:rtl/>
          <w:lang w:bidi="fa-IR"/>
        </w:rPr>
        <w:t xml:space="preserve"> إِلى وقْتِ أَبِي الْحَسَنِ </w:t>
      </w:r>
      <w:r w:rsidRPr="00071CF9">
        <w:rPr>
          <w:rStyle w:val="libAlaemChar"/>
          <w:rtl/>
        </w:rPr>
        <w:t>عليه‌السلام</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FD3211">
        <w:rPr>
          <w:rtl/>
        </w:rPr>
        <w:t>926</w:t>
      </w:r>
      <w:r w:rsidRPr="004325D8">
        <w:rPr>
          <w:rStyle w:val="libBold2Char"/>
          <w:rtl/>
        </w:rPr>
        <w:t xml:space="preserve"> / 5.</w:t>
      </w:r>
      <w:r w:rsidRPr="00132E65">
        <w:rPr>
          <w:rtl/>
          <w:lang w:bidi="fa-IR"/>
        </w:rPr>
        <w:t xml:space="preserve"> مُحَمَّدُ بْنُ يَحْيى ، عَنْ أَحْمَدَ بْنِ مُحَمَّدٍ ، عَنِ ابْنِ مَحْبُوبٍ ، عَنْ عَلِيِّ بْنِ رِئَابٍ ، عَنْ أَبِي عُبَيْدَةَ وزُرَارَةَ جَمِيعاً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قُتِلَ الْحُسَيْنُ </w:t>
      </w:r>
      <w:r w:rsidRPr="00071CF9">
        <w:rPr>
          <w:rStyle w:val="libAlaemChar"/>
          <w:rtl/>
        </w:rPr>
        <w:t>عليه‌السلام</w:t>
      </w:r>
      <w:r w:rsidRPr="00132E65">
        <w:rPr>
          <w:rtl/>
          <w:lang w:bidi="fa-IR"/>
        </w:rPr>
        <w:t xml:space="preserve"> ، أَرْسَلَ مُحَمَّدُ بْنُ الْحَنَفِيَّةِ إِلى‌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قوله : « الحسن بن عليّ » مفعول ثان لأرى ، إن كان المراد من الرؤية الرؤية القلبيّة. أو بدل من « نقش » إن كان المراد بها غير القلبيّة. ورفعه مبنيّ على الحكاية ، ونصبه أيضاً جائز كما في « بر »</w:t>
      </w:r>
      <w:r>
        <w:rPr>
          <w:rtl/>
        </w:rPr>
        <w:t>.</w:t>
      </w:r>
      <w:r w:rsidRPr="00132E65">
        <w:rPr>
          <w:rtl/>
        </w:rPr>
        <w:t xml:space="preserve"> وفي </w:t>
      </w:r>
      <w:r w:rsidRPr="00A549E0">
        <w:rPr>
          <w:rStyle w:val="libFootnoteBoldChar"/>
          <w:rtl/>
        </w:rPr>
        <w:t>شرح المازندراني</w:t>
      </w:r>
      <w:r w:rsidRPr="00132E65">
        <w:rPr>
          <w:rtl/>
        </w:rPr>
        <w:t xml:space="preserve"> : « قوله : الحسن بن عليّ ، مفعول ثان وبيان لنقش خاتمه </w:t>
      </w:r>
      <w:r w:rsidRPr="00A549E0">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(2).</w:t>
      </w:r>
      <w:r w:rsidRPr="00132E65">
        <w:rPr>
          <w:rtl/>
        </w:rPr>
        <w:t xml:space="preserve"> في « بح » : « رأيت »</w:t>
      </w:r>
      <w:r>
        <w:rPr>
          <w:rtl/>
        </w:rPr>
        <w:t>.</w:t>
      </w:r>
    </w:p>
    <w:p w:rsidR="000C39D1" w:rsidRPr="00132E65" w:rsidRDefault="000C39D1" w:rsidP="000C39D1">
      <w:pPr>
        <w:pStyle w:val="libFootnote0"/>
        <w:rPr>
          <w:rtl/>
          <w:lang w:bidi="fa-IR"/>
        </w:rPr>
      </w:pPr>
      <w:r>
        <w:rPr>
          <w:rtl/>
        </w:rPr>
        <w:t>(3).</w:t>
      </w:r>
      <w:r w:rsidRPr="00132E65">
        <w:rPr>
          <w:rtl/>
        </w:rPr>
        <w:t xml:space="preserve"> في « ج » : « دهري »</w:t>
      </w:r>
      <w:r>
        <w:rPr>
          <w:rtl/>
        </w:rPr>
        <w:t>.</w:t>
      </w:r>
    </w:p>
    <w:p w:rsidR="000C39D1" w:rsidRPr="00132E65" w:rsidRDefault="000C39D1" w:rsidP="000C39D1">
      <w:pPr>
        <w:pStyle w:val="libFootnote0"/>
        <w:rPr>
          <w:rtl/>
          <w:lang w:bidi="fa-IR"/>
        </w:rPr>
      </w:pPr>
      <w:r>
        <w:rPr>
          <w:rtl/>
        </w:rPr>
        <w:t>(4).</w:t>
      </w:r>
      <w:r w:rsidRPr="00132E65">
        <w:rPr>
          <w:rtl/>
        </w:rPr>
        <w:t xml:space="preserve"> هكذا في « ض ، و، بح ، بر ، بس ، بف » و</w:t>
      </w:r>
      <w:r w:rsidRPr="009D1ACE">
        <w:rPr>
          <w:rStyle w:val="libFootnoteBoldChar"/>
          <w:rtl/>
        </w:rPr>
        <w:t>مرآة العقول</w:t>
      </w:r>
      <w:r w:rsidRPr="00132E65">
        <w:rPr>
          <w:rtl/>
        </w:rPr>
        <w:t>. وفي « ب ، ج » والمطبوع : « كأنّ »</w:t>
      </w:r>
      <w:r>
        <w:rPr>
          <w:rtl/>
        </w:rPr>
        <w:t>.</w:t>
      </w:r>
      <w:r w:rsidRPr="00132E65">
        <w:rPr>
          <w:rtl/>
        </w:rPr>
        <w:t xml:space="preserve"> واسم كان ضمير الشأن ، والساعة ظرف. قال في </w:t>
      </w:r>
      <w:r w:rsidRPr="007271BC">
        <w:rPr>
          <w:rtl/>
        </w:rPr>
        <w:t>المرآة</w:t>
      </w:r>
      <w:r w:rsidRPr="00132E65">
        <w:rPr>
          <w:rtl/>
        </w:rPr>
        <w:t xml:space="preserve"> : « حتّى كان ، كأنّها تامّة ، « أتاني شابّ » استيناف بياني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 في «ب»:«واجب</w:t>
            </w:r>
            <w:r w:rsidRPr="00132E65">
              <w:rPr>
                <w:rtl/>
              </w:rPr>
              <w:t>»</w:t>
            </w:r>
            <w:r>
              <w:rPr>
                <w:rtl/>
              </w:rPr>
              <w:t>. وفي «بح»:«الواجب</w:t>
            </w:r>
            <w:r w:rsidRPr="00132E65">
              <w:rPr>
                <w:rtl/>
              </w:rPr>
              <w:t>»</w:t>
            </w:r>
            <w:r>
              <w:rPr>
                <w:rtl/>
              </w:rPr>
              <w:t>.</w:t>
            </w:r>
          </w:p>
        </w:tc>
        <w:tc>
          <w:tcPr>
            <w:tcW w:w="4006" w:type="dxa"/>
          </w:tcPr>
          <w:p w:rsidR="000C39D1" w:rsidRDefault="000C39D1" w:rsidP="00B53873">
            <w:pPr>
              <w:pStyle w:val="libFootnote0"/>
              <w:rPr>
                <w:rtl/>
              </w:rPr>
            </w:pPr>
            <w:r>
              <w:rPr>
                <w:rtl/>
              </w:rPr>
              <w:t>(6).</w:t>
            </w:r>
            <w:r w:rsidRPr="00132E65">
              <w:rPr>
                <w:rtl/>
              </w:rPr>
              <w:t xml:space="preserve"> في « ف » :</w:t>
            </w:r>
            <w:r>
              <w:rPr>
                <w:rtl/>
              </w:rPr>
              <w:t xml:space="preserve"> + </w:t>
            </w:r>
            <w:r w:rsidRPr="00132E65">
              <w:rPr>
                <w:rtl/>
              </w:rPr>
              <w:t>« بخاتمه »</w:t>
            </w:r>
            <w:r>
              <w:rPr>
                <w:rtl/>
              </w:rPr>
              <w:t>.</w:t>
            </w:r>
          </w:p>
        </w:tc>
      </w:tr>
    </w:tbl>
    <w:p w:rsidR="000C39D1" w:rsidRPr="00132E65" w:rsidRDefault="000C39D1" w:rsidP="000C39D1">
      <w:pPr>
        <w:pStyle w:val="libFootnote0"/>
        <w:rPr>
          <w:rtl/>
          <w:lang w:bidi="fa-IR"/>
        </w:rPr>
      </w:pPr>
      <w:r>
        <w:rPr>
          <w:rtl/>
        </w:rPr>
        <w:t>(7).</w:t>
      </w:r>
      <w:r w:rsidRPr="00132E65">
        <w:rPr>
          <w:rtl/>
        </w:rPr>
        <w:t xml:space="preserve"> « السِبْطُ » : واحد الأسباط ، وهي الأولاد خاصّةً. وقيل : أولاد الأولاد وقيل : أولاد البنات. </w:t>
      </w:r>
      <w:r w:rsidRPr="00A549E0">
        <w:rPr>
          <w:rStyle w:val="libFootnoteBoldChar"/>
          <w:rtl/>
        </w:rPr>
        <w:t>النهاية</w:t>
      </w:r>
      <w:r w:rsidRPr="00132E65">
        <w:rPr>
          <w:rtl/>
        </w:rPr>
        <w:t xml:space="preserve"> ، ج 2 ، ص 334 ( سبط )</w:t>
      </w:r>
      <w:r>
        <w:rPr>
          <w:rtl/>
        </w:rPr>
        <w:t>.</w:t>
      </w:r>
    </w:p>
    <w:p w:rsidR="000C39D1" w:rsidRPr="00132E65" w:rsidRDefault="000C39D1" w:rsidP="000C39D1">
      <w:pPr>
        <w:pStyle w:val="libFootnote0"/>
        <w:rPr>
          <w:rtl/>
          <w:lang w:bidi="fa-IR"/>
        </w:rPr>
      </w:pPr>
      <w:r>
        <w:rPr>
          <w:rtl/>
        </w:rPr>
        <w:t>(8).</w:t>
      </w:r>
      <w:r w:rsidRPr="00132E65">
        <w:rPr>
          <w:rtl/>
        </w:rPr>
        <w:t xml:space="preserve"> </w:t>
      </w:r>
      <w:r w:rsidRPr="00A549E0">
        <w:rPr>
          <w:rStyle w:val="libFootnoteBoldChar"/>
          <w:rtl/>
        </w:rPr>
        <w:t>الغيبة للطوسي</w:t>
      </w:r>
      <w:r w:rsidRPr="00132E65">
        <w:rPr>
          <w:rtl/>
        </w:rPr>
        <w:t xml:space="preserve"> ، ص 203 ، ح 171 ، بسنده عن داود بن القاسم الجعفري ، مع اختلاف </w:t>
      </w:r>
      <w:r>
        <w:rPr>
          <w:rFonts w:hint="cs"/>
          <w:rtl/>
        </w:rPr>
        <w:t>.</w:t>
      </w:r>
      <w:r w:rsidRPr="009D1ACE">
        <w:rPr>
          <w:rStyle w:val="libFootnoteBoldChar"/>
          <w:rtl/>
        </w:rPr>
        <w:t>الوافي</w:t>
      </w:r>
      <w:r w:rsidRPr="00132E65">
        <w:rPr>
          <w:rtl/>
        </w:rPr>
        <w:t xml:space="preserve"> ، ج 2 ، ص 144 ، ح 615 ؛ </w:t>
      </w:r>
      <w:r w:rsidRPr="00A549E0">
        <w:rPr>
          <w:rStyle w:val="libFootnoteBoldChar"/>
          <w:rtl/>
        </w:rPr>
        <w:t>البحار</w:t>
      </w:r>
      <w:r w:rsidRPr="00132E65">
        <w:rPr>
          <w:rtl/>
        </w:rPr>
        <w:t xml:space="preserve"> ، ج 25 ، ص 180 ، ذيل ح 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عَلِيِّ بْنِ الْحُسَيْنِ </w:t>
      </w:r>
      <w:r w:rsidRPr="00071CF9">
        <w:rPr>
          <w:rStyle w:val="libAlaemChar"/>
          <w:rtl/>
        </w:rPr>
        <w:t>عليهما‌السلام</w:t>
      </w:r>
      <w:r w:rsidRPr="00132E65">
        <w:rPr>
          <w:rtl/>
          <w:lang w:bidi="fa-IR"/>
        </w:rPr>
        <w:t xml:space="preserve"> فَخَلَا بِهِ </w:t>
      </w:r>
      <w:r>
        <w:rPr>
          <w:rStyle w:val="libFootnotenumChar"/>
          <w:rtl/>
        </w:rPr>
        <w:t>(1)</w:t>
      </w:r>
      <w:r w:rsidRPr="00132E65">
        <w:rPr>
          <w:rtl/>
          <w:lang w:bidi="fa-IR"/>
        </w:rPr>
        <w:t xml:space="preserve"> ، فَقَالَ لَهُ : يَا ابْنَ أَخِي ، قَدْ عَلِمْتَ أَنَّ رَسُولَ اللهِ </w:t>
      </w:r>
      <w:r w:rsidRPr="0093484F">
        <w:rPr>
          <w:rStyle w:val="libAlaemChar"/>
          <w:rFonts w:eastAsiaTheme="minorHAnsi"/>
          <w:rtl/>
        </w:rPr>
        <w:t>صلى‌الله‌عليه‌وآله</w:t>
      </w:r>
      <w:r w:rsidRPr="00132E65">
        <w:rPr>
          <w:rtl/>
          <w:lang w:bidi="fa-IR"/>
        </w:rPr>
        <w:t xml:space="preserve"> دَفَعَ الْوَصِيَّةَ والْإِمَامَةَ مِنْ بَعْدِهِ إِلى أَمِيرِ الْمُؤْمِنِينَ </w:t>
      </w:r>
      <w:r w:rsidRPr="00071CF9">
        <w:rPr>
          <w:rStyle w:val="libAlaemChar"/>
          <w:rtl/>
        </w:rPr>
        <w:t>عليه‌السلام</w:t>
      </w:r>
      <w:r w:rsidRPr="00132E65">
        <w:rPr>
          <w:rtl/>
          <w:lang w:bidi="fa-IR"/>
        </w:rPr>
        <w:t xml:space="preserve"> ، ثُمَّ إِلَى الْحَسَنِ </w:t>
      </w:r>
      <w:r w:rsidRPr="00071CF9">
        <w:rPr>
          <w:rStyle w:val="libAlaemChar"/>
          <w:rtl/>
        </w:rPr>
        <w:t>عليه‌السلام</w:t>
      </w:r>
      <w:r w:rsidRPr="00132E65">
        <w:rPr>
          <w:rtl/>
          <w:lang w:bidi="fa-IR"/>
        </w:rPr>
        <w:t xml:space="preserve"> ، ثُمَّ إِلَى الْحُسَيْنِ </w:t>
      </w:r>
      <w:r w:rsidRPr="00071CF9">
        <w:rPr>
          <w:rStyle w:val="libAlaemChar"/>
          <w:rtl/>
        </w:rPr>
        <w:t>عليه‌السلام</w:t>
      </w:r>
      <w:r w:rsidRPr="00132E65">
        <w:rPr>
          <w:rtl/>
          <w:lang w:bidi="fa-IR"/>
        </w:rPr>
        <w:t xml:space="preserve"> وقَدْ قُتِلَ أَبُوكَ</w:t>
      </w:r>
      <w:r>
        <w:rPr>
          <w:rtl/>
          <w:lang w:bidi="fa-IR"/>
        </w:rPr>
        <w:t xml:space="preserve"> - </w:t>
      </w:r>
      <w:r w:rsidRPr="00132E65">
        <w:rPr>
          <w:rtl/>
          <w:lang w:bidi="fa-IR"/>
        </w:rPr>
        <w:t>رَضِيَ اللهُ عَنْهُ ، وصَلّى عَلى رُوحِهِ</w:t>
      </w:r>
      <w:r>
        <w:rPr>
          <w:rtl/>
          <w:lang w:bidi="fa-IR"/>
        </w:rPr>
        <w:t xml:space="preserve"> - </w:t>
      </w:r>
      <w:r w:rsidRPr="00132E65">
        <w:rPr>
          <w:rtl/>
          <w:lang w:bidi="fa-IR"/>
        </w:rPr>
        <w:t xml:space="preserve">ولَمْ يُوصِ ، وأَنَا عَمُّكَ وَصِنْوُ </w:t>
      </w:r>
      <w:r>
        <w:rPr>
          <w:rStyle w:val="libFootnotenumChar"/>
          <w:rtl/>
        </w:rPr>
        <w:t>(2)</w:t>
      </w:r>
      <w:r w:rsidRPr="00132E65">
        <w:rPr>
          <w:rtl/>
          <w:lang w:bidi="fa-IR"/>
        </w:rPr>
        <w:t xml:space="preserve"> أَبِيكَ ، وو لَادَتِي مِنْ </w:t>
      </w:r>
      <w:r>
        <w:rPr>
          <w:rStyle w:val="libFootnotenumChar"/>
          <w:rtl/>
        </w:rPr>
        <w:t>(3)</w:t>
      </w:r>
      <w:r w:rsidRPr="00132E65">
        <w:rPr>
          <w:rtl/>
          <w:lang w:bidi="fa-IR"/>
        </w:rPr>
        <w:t xml:space="preserve"> عَلِيٍّ </w:t>
      </w:r>
      <w:r w:rsidRPr="00071CF9">
        <w:rPr>
          <w:rStyle w:val="libAlaemChar"/>
          <w:rtl/>
        </w:rPr>
        <w:t>عليه‌السلام</w:t>
      </w:r>
      <w:r w:rsidRPr="00132E65">
        <w:rPr>
          <w:rtl/>
          <w:lang w:bidi="fa-IR"/>
        </w:rPr>
        <w:t xml:space="preserve"> ؛ فِي سِنِّي وقَدِيمِي </w:t>
      </w:r>
      <w:r>
        <w:rPr>
          <w:rStyle w:val="libFootnotenumChar"/>
          <w:rtl/>
        </w:rPr>
        <w:t>(4)</w:t>
      </w:r>
      <w:r w:rsidRPr="00132E65">
        <w:rPr>
          <w:rtl/>
          <w:lang w:bidi="fa-IR"/>
        </w:rPr>
        <w:t xml:space="preserve"> أَحَقُّ بِهَا مِنْكَ فِي حَدَاثَتِكَ ، فَلَا تُنَازِعْنِي فِي الْوَصِيَّةِ والْإِمَامَةِ ، ولَاتُحَاجَّنِي.</w:t>
      </w:r>
    </w:p>
    <w:p w:rsidR="000C39D1" w:rsidRPr="00132E65" w:rsidRDefault="000C39D1" w:rsidP="000C39D1">
      <w:pPr>
        <w:pStyle w:val="libNormal"/>
        <w:rPr>
          <w:rtl/>
          <w:lang w:bidi="fa-IR"/>
        </w:rPr>
      </w:pPr>
      <w:r w:rsidRPr="00132E65">
        <w:rPr>
          <w:rtl/>
          <w:lang w:bidi="fa-IR"/>
        </w:rPr>
        <w:t xml:space="preserve">فَقَالَ لَهُ عَلِيُّ بْنُ الْحُسَيْنِ </w:t>
      </w:r>
      <w:r w:rsidRPr="00071CF9">
        <w:rPr>
          <w:rStyle w:val="libAlaemChar"/>
          <w:rtl/>
        </w:rPr>
        <w:t>عليه‌السلام</w:t>
      </w:r>
      <w:r w:rsidRPr="00132E65">
        <w:rPr>
          <w:rtl/>
          <w:lang w:bidi="fa-IR"/>
        </w:rPr>
        <w:t xml:space="preserve"> : يَا عَمِّ ، اتَّقِ اللهَ ، ولَاتَدَّعِ مَا لَيْسَ لَكَ بِحَقٍّ</w:t>
      </w:r>
      <w:r>
        <w:rPr>
          <w:rFonts w:hint="cs"/>
          <w:rtl/>
          <w:lang w:bidi="fa-IR"/>
        </w:rPr>
        <w:t xml:space="preserve"> </w:t>
      </w:r>
      <w:r w:rsidRPr="00071CF9">
        <w:rPr>
          <w:rStyle w:val="libAlaemChar"/>
          <w:rtl/>
        </w:rPr>
        <w:t>(</w:t>
      </w:r>
      <w:r w:rsidRPr="00071CF9">
        <w:rPr>
          <w:rStyle w:val="libAieChar"/>
          <w:rtl/>
        </w:rPr>
        <w:t xml:space="preserve"> إِنِّي أَعِظُكَ أَنْ تَكُونَ مِنَ الْجاهِلِينَ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إِنَّ أَبِي يَا عَمِّ</w:t>
      </w:r>
      <w:r>
        <w:rPr>
          <w:rtl/>
          <w:lang w:bidi="fa-IR"/>
        </w:rPr>
        <w:t xml:space="preserve"> - </w:t>
      </w:r>
      <w:r w:rsidRPr="00132E65">
        <w:rPr>
          <w:rtl/>
          <w:lang w:bidi="fa-IR"/>
        </w:rPr>
        <w:t>صَلَوَاتُ اللهِ عَلَيْهِ</w:t>
      </w:r>
      <w:r>
        <w:rPr>
          <w:rtl/>
          <w:lang w:bidi="fa-IR"/>
        </w:rPr>
        <w:t xml:space="preserve"> - </w:t>
      </w:r>
      <w:r w:rsidRPr="00132E65">
        <w:rPr>
          <w:rtl/>
          <w:lang w:bidi="fa-IR"/>
        </w:rPr>
        <w:t xml:space="preserve">أَوْصى إِلَيَّ قَبْلَ أَنْ يَتَوَجَّهَ إِلَى الْعِرَاقِ ، وعَهِدَ إِلَيَّ فِي ذلِكَ قَبْلَ أَنْ يُسْتَشْهَدَ بِسَاعَةٍ ، وهذَا سِلَاحُ رَسُولِ اللهِ </w:t>
      </w:r>
      <w:r w:rsidRPr="0093484F">
        <w:rPr>
          <w:rStyle w:val="libAlaemChar"/>
          <w:rFonts w:eastAsiaTheme="minorHAnsi"/>
          <w:rtl/>
        </w:rPr>
        <w:t>صلى‌الله‌عليه‌وآله</w:t>
      </w:r>
      <w:r w:rsidRPr="00132E65">
        <w:rPr>
          <w:rtl/>
          <w:lang w:bidi="fa-IR"/>
        </w:rPr>
        <w:t xml:space="preserve"> عِنْدِي ، فَلَا تَتَعَرَّضْ لِهذَا ؛ فَإِنِّي </w:t>
      </w:r>
      <w:r>
        <w:rPr>
          <w:rStyle w:val="libFootnotenumChar"/>
          <w:rtl/>
        </w:rPr>
        <w:t>(6)</w:t>
      </w:r>
      <w:r w:rsidRPr="00132E65">
        <w:rPr>
          <w:rtl/>
          <w:lang w:bidi="fa-IR"/>
        </w:rPr>
        <w:t xml:space="preserve"> أَخَافُ عَلَيْكَ نَقْصَ الْعُمُرِ وتَشَتُّتَ </w:t>
      </w:r>
      <w:r>
        <w:rPr>
          <w:rStyle w:val="libFootnotenumChar"/>
          <w:rtl/>
        </w:rPr>
        <w:t>(7)</w:t>
      </w:r>
      <w:r w:rsidRPr="00132E65">
        <w:rPr>
          <w:rtl/>
          <w:lang w:bidi="fa-IR"/>
        </w:rPr>
        <w:t xml:space="preserve"> الْحَالِ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جَعَلَ الْوَصِيَّةَ والْإِمَامَةَ فِي عَقِبِ </w:t>
      </w:r>
      <w:r>
        <w:rPr>
          <w:rStyle w:val="libFootnotenumChar"/>
          <w:rtl/>
        </w:rPr>
        <w:t>(8)</w:t>
      </w:r>
      <w:r w:rsidRPr="00132E65">
        <w:rPr>
          <w:rtl/>
          <w:lang w:bidi="fa-IR"/>
        </w:rPr>
        <w:t xml:space="preserve"> الْحُسَيْنِ </w:t>
      </w:r>
      <w:r w:rsidRPr="00071CF9">
        <w:rPr>
          <w:rStyle w:val="libAlaemChar"/>
          <w:rtl/>
        </w:rPr>
        <w:t>عليه‌السلام</w:t>
      </w:r>
      <w:r w:rsidRPr="00132E65">
        <w:rPr>
          <w:rtl/>
          <w:lang w:bidi="fa-IR"/>
        </w:rPr>
        <w:t xml:space="preserve"> ، فَإِذَا </w:t>
      </w:r>
      <w:r>
        <w:rPr>
          <w:rStyle w:val="libFootnotenumChar"/>
          <w:rtl/>
        </w:rPr>
        <w:t>(9)</w:t>
      </w:r>
      <w:r w:rsidRPr="00132E65">
        <w:rPr>
          <w:rtl/>
          <w:lang w:bidi="fa-IR"/>
        </w:rPr>
        <w:t xml:space="preserve"> أَرَدْتَ أَنْ تَعْلَمَ ذلِكَ ، فَانْطَلِقْ بِنَا </w:t>
      </w:r>
      <w:r>
        <w:rPr>
          <w:rStyle w:val="libFootnotenumChar"/>
          <w:rtl/>
        </w:rPr>
        <w:t>(10)</w:t>
      </w:r>
      <w:r w:rsidRPr="00132E65">
        <w:rPr>
          <w:rtl/>
          <w:lang w:bidi="fa-IR"/>
        </w:rPr>
        <w:t xml:space="preserve"> إِلَى الْحَجَرِ الْأَسْوَدِ حَتّى نَتَحَاكَمَ إِلَيْهِ ، ونَسْأَلَهُ عَنْ ذلِكَ »</w:t>
      </w:r>
      <w:r>
        <w:rPr>
          <w:rtl/>
          <w:lang w:bidi="fa-IR"/>
        </w:rPr>
        <w:t>.</w:t>
      </w:r>
    </w:p>
    <w:p w:rsidR="000C39D1" w:rsidRPr="00132E65" w:rsidRDefault="000C39D1" w:rsidP="000C39D1">
      <w:pPr>
        <w:pStyle w:val="libNormal"/>
        <w:rPr>
          <w:rtl/>
          <w:lang w:bidi="fa-IR"/>
        </w:rPr>
      </w:pPr>
      <w:r w:rsidRPr="00132E65">
        <w:rPr>
          <w:rtl/>
          <w:lang w:bidi="fa-IR"/>
        </w:rPr>
        <w:t xml:space="preserve">قَالَ أَبُو جَعْفَرٍ </w:t>
      </w:r>
      <w:r w:rsidRPr="00071CF9">
        <w:rPr>
          <w:rStyle w:val="libAlaemChar"/>
          <w:rtl/>
        </w:rPr>
        <w:t>عليه‌السلام</w:t>
      </w:r>
      <w:r w:rsidRPr="00132E65">
        <w:rPr>
          <w:rtl/>
          <w:lang w:bidi="fa-IR"/>
        </w:rPr>
        <w:t xml:space="preserve"> : « وَكَانَ الْكَلَامُ بَيْنَهُمَا بِمَكَّةَ ، فَانْطَلَقَا حَتّى أَتَيَا الْحَجَرَ الْأَسْوَدَ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فَخَلا به » ، أي اجتمع معه في خلوة وانفرد به. راجع : </w:t>
      </w:r>
      <w:r w:rsidRPr="009D1ACE">
        <w:rPr>
          <w:rStyle w:val="libFootnoteBoldChar"/>
          <w:rtl/>
        </w:rPr>
        <w:t>لسان العرب</w:t>
      </w:r>
      <w:r w:rsidRPr="00132E65">
        <w:rPr>
          <w:rtl/>
        </w:rPr>
        <w:t xml:space="preserve"> ، ج 14 ، ص 238 ( خلا )</w:t>
      </w:r>
      <w:r>
        <w:rPr>
          <w:rtl/>
        </w:rPr>
        <w:t>.</w:t>
      </w:r>
    </w:p>
    <w:p w:rsidR="000C39D1" w:rsidRPr="00132E65" w:rsidRDefault="000C39D1" w:rsidP="000C39D1">
      <w:pPr>
        <w:pStyle w:val="libFootnote0"/>
        <w:rPr>
          <w:rtl/>
          <w:lang w:bidi="fa-IR"/>
        </w:rPr>
      </w:pPr>
      <w:r>
        <w:rPr>
          <w:rtl/>
        </w:rPr>
        <w:t>(2).</w:t>
      </w:r>
      <w:r w:rsidRPr="00132E65">
        <w:rPr>
          <w:rtl/>
        </w:rPr>
        <w:t xml:space="preserve"> « الصِنْوُ » : الأخ الشقيق والعمّ والابن. والجمع : أصْناء وصِنْوان ، والا</w:t>
      </w:r>
      <w:r>
        <w:rPr>
          <w:rFonts w:hint="cs"/>
          <w:rtl/>
        </w:rPr>
        <w:t>ُ</w:t>
      </w:r>
      <w:r w:rsidRPr="00132E65">
        <w:rPr>
          <w:rtl/>
        </w:rPr>
        <w:t xml:space="preserve">نثى : صِنْوَةٌ. وأصل الصِنْو إنّما هو في‌النخل ، وهو أن تطلع نخلتان من عِرْق واحد. راجع : </w:t>
      </w:r>
      <w:r w:rsidRPr="009D1ACE">
        <w:rPr>
          <w:rStyle w:val="libFootnoteBoldChar"/>
          <w:rtl/>
        </w:rPr>
        <w:t>لسان العرب</w:t>
      </w:r>
      <w:r w:rsidRPr="00132E65">
        <w:rPr>
          <w:rtl/>
        </w:rPr>
        <w:t xml:space="preserve"> ، ج 14 ، ص 470 ( صنا )</w:t>
      </w:r>
      <w:r>
        <w:rPr>
          <w:rtl/>
        </w:rPr>
        <w:t>.</w:t>
      </w:r>
    </w:p>
    <w:p w:rsidR="000C39D1" w:rsidRPr="00132E65" w:rsidRDefault="000C39D1" w:rsidP="000C39D1">
      <w:pPr>
        <w:pStyle w:val="libFootnote0"/>
        <w:rPr>
          <w:rtl/>
          <w:lang w:bidi="fa-IR"/>
        </w:rPr>
      </w:pPr>
      <w:r>
        <w:rPr>
          <w:rtl/>
        </w:rPr>
        <w:t>(3).</w:t>
      </w:r>
      <w:r w:rsidRPr="00132E65">
        <w:rPr>
          <w:rtl/>
        </w:rPr>
        <w:t xml:space="preserve"> في « ف » : « عن »</w:t>
      </w:r>
      <w:r>
        <w:rPr>
          <w:rtl/>
        </w:rPr>
        <w:t>.</w:t>
      </w:r>
    </w:p>
    <w:p w:rsidR="000C39D1" w:rsidRPr="00132E65" w:rsidRDefault="000C39D1" w:rsidP="000C39D1">
      <w:pPr>
        <w:pStyle w:val="libFootnote0"/>
        <w:rPr>
          <w:rtl/>
          <w:lang w:bidi="fa-IR"/>
        </w:rPr>
      </w:pPr>
      <w:r>
        <w:rPr>
          <w:rtl/>
        </w:rPr>
        <w:t>(4).</w:t>
      </w:r>
      <w:r w:rsidRPr="00132E65">
        <w:rPr>
          <w:rtl/>
        </w:rPr>
        <w:t xml:space="preserve"> في حاشية « ض » : « قدمي »</w:t>
      </w:r>
      <w:r>
        <w:rPr>
          <w:rtl/>
        </w:rPr>
        <w:t>.</w:t>
      </w:r>
      <w:r w:rsidRPr="00132E65">
        <w:rPr>
          <w:rtl/>
        </w:rPr>
        <w:t xml:space="preserve"> وقوله : « قديمي » ، أي سابقتي وما صدر عنّي في الجهاد. وفي </w:t>
      </w:r>
      <w:r w:rsidRPr="009D1ACE">
        <w:rPr>
          <w:rStyle w:val="libFootnoteBoldChar"/>
          <w:rtl/>
        </w:rPr>
        <w:t>الوافي</w:t>
      </w:r>
      <w:r w:rsidRPr="00132E65">
        <w:rPr>
          <w:rtl/>
        </w:rPr>
        <w:t xml:space="preserve"> : « قُدمتي » بالضمّ ، ثمّ قال : « أي في القرابة ، أو تقدّم أيّامي وعمري » ، وهو المنقول عن بعض النسخ في </w:t>
      </w:r>
      <w:r w:rsidRPr="007271BC">
        <w:rPr>
          <w:rtl/>
        </w:rPr>
        <w:t>المرآة</w:t>
      </w:r>
      <w:r w:rsidRPr="00132E65">
        <w:rPr>
          <w:rtl/>
        </w:rPr>
        <w:t>.</w:t>
      </w:r>
    </w:p>
    <w:p w:rsidR="000C39D1" w:rsidRPr="00132E65" w:rsidRDefault="000C39D1" w:rsidP="000C39D1">
      <w:pPr>
        <w:pStyle w:val="libFootnote0"/>
        <w:rPr>
          <w:rtl/>
          <w:lang w:bidi="fa-IR"/>
        </w:rPr>
      </w:pPr>
      <w:r>
        <w:rPr>
          <w:rtl/>
        </w:rPr>
        <w:t>(5).</w:t>
      </w:r>
      <w:r w:rsidRPr="00132E65">
        <w:rPr>
          <w:rtl/>
        </w:rPr>
        <w:t xml:space="preserve"> هود </w:t>
      </w:r>
      <w:r>
        <w:rPr>
          <w:rtl/>
        </w:rPr>
        <w:t>(11).</w:t>
      </w:r>
      <w:r w:rsidRPr="00132E65">
        <w:rPr>
          <w:rtl/>
        </w:rPr>
        <w:t xml:space="preserve"> : 46.</w:t>
      </w:r>
    </w:p>
    <w:p w:rsidR="000C39D1" w:rsidRPr="00132E65" w:rsidRDefault="000C39D1" w:rsidP="000C39D1">
      <w:pPr>
        <w:pStyle w:val="libFootnote0"/>
        <w:rPr>
          <w:rtl/>
          <w:lang w:bidi="fa-IR"/>
        </w:rPr>
      </w:pPr>
      <w:r>
        <w:rPr>
          <w:rtl/>
        </w:rPr>
        <w:t>(6).</w:t>
      </w:r>
      <w:r w:rsidRPr="00132E65">
        <w:rPr>
          <w:rtl/>
        </w:rPr>
        <w:t xml:space="preserve"> في « ب » : « إنّي »</w:t>
      </w:r>
      <w:r>
        <w:rPr>
          <w:rtl/>
        </w:rPr>
        <w:t>.</w:t>
      </w:r>
    </w:p>
    <w:p w:rsidR="000C39D1" w:rsidRPr="00132E65" w:rsidRDefault="000C39D1" w:rsidP="0033724D">
      <w:pPr>
        <w:pStyle w:val="libFootnote0"/>
        <w:rPr>
          <w:rtl/>
          <w:lang w:bidi="fa-IR"/>
        </w:rPr>
      </w:pPr>
      <w:r>
        <w:rPr>
          <w:rtl/>
        </w:rPr>
        <w:t>(7).</w:t>
      </w:r>
      <w:r w:rsidRPr="00132E65">
        <w:rPr>
          <w:rtl/>
        </w:rPr>
        <w:t xml:space="preserve"> في « ب ، ه‍ </w:t>
      </w:r>
      <w:r w:rsidR="0033724D" w:rsidRPr="00132E65">
        <w:rPr>
          <w:rtl/>
        </w:rPr>
        <w:t>»</w:t>
      </w:r>
      <w:r w:rsidRPr="00132E65">
        <w:rPr>
          <w:rtl/>
        </w:rPr>
        <w:t xml:space="preserve"> وحاشية « بر » : « تشتيت »</w:t>
      </w:r>
      <w:r>
        <w:rPr>
          <w:rtl/>
        </w:rPr>
        <w:t>.</w:t>
      </w:r>
    </w:p>
    <w:p w:rsidR="000C39D1" w:rsidRPr="00132E65" w:rsidRDefault="000C39D1" w:rsidP="000C39D1">
      <w:pPr>
        <w:pStyle w:val="libFootnote0"/>
        <w:rPr>
          <w:rtl/>
          <w:lang w:bidi="fa-IR"/>
        </w:rPr>
      </w:pPr>
      <w:r>
        <w:rPr>
          <w:rtl/>
        </w:rPr>
        <w:t>(8).</w:t>
      </w:r>
      <w:r w:rsidRPr="00132E65">
        <w:rPr>
          <w:rtl/>
        </w:rPr>
        <w:t xml:space="preserve"> « عقب الرجل » : ولده وولد ولده. وفيها لغتان : عَقِب وعَقْب. </w:t>
      </w:r>
      <w:r w:rsidRPr="00F92A6B">
        <w:rPr>
          <w:rStyle w:val="libFootnoteBoldChar"/>
          <w:rtl/>
        </w:rPr>
        <w:t>الصحاح</w:t>
      </w:r>
      <w:r w:rsidRPr="00132E65">
        <w:rPr>
          <w:rtl/>
        </w:rPr>
        <w:t xml:space="preserve"> ، ج 1 ، ص 184 ( عقب )</w:t>
      </w:r>
      <w:r>
        <w:rPr>
          <w:rtl/>
        </w:rPr>
        <w:t>.</w:t>
      </w:r>
    </w:p>
    <w:p w:rsidR="000C39D1" w:rsidRPr="00132E65" w:rsidRDefault="000C39D1" w:rsidP="000C39D1">
      <w:pPr>
        <w:pStyle w:val="libFootnote0"/>
        <w:rPr>
          <w:rtl/>
          <w:lang w:bidi="fa-IR"/>
        </w:rPr>
      </w:pPr>
      <w:r>
        <w:rPr>
          <w:rtl/>
        </w:rPr>
        <w:t>(9).</w:t>
      </w:r>
      <w:r w:rsidRPr="00132E65">
        <w:rPr>
          <w:rtl/>
        </w:rPr>
        <w:t xml:space="preserve"> في « ف » : « فإن »</w:t>
      </w:r>
      <w:r>
        <w:rPr>
          <w:rtl/>
        </w:rPr>
        <w:t>.</w:t>
      </w:r>
    </w:p>
    <w:p w:rsidR="000C39D1" w:rsidRPr="00132E65" w:rsidRDefault="000C39D1" w:rsidP="000C39D1">
      <w:pPr>
        <w:pStyle w:val="libFootnote0"/>
        <w:rPr>
          <w:rtl/>
          <w:lang w:bidi="fa-IR"/>
        </w:rPr>
      </w:pPr>
      <w:r>
        <w:rPr>
          <w:rtl/>
        </w:rPr>
        <w:t>(10).</w:t>
      </w:r>
      <w:r w:rsidRPr="00132E65">
        <w:rPr>
          <w:rtl/>
        </w:rPr>
        <w:t xml:space="preserve"> « فانطلق بنا » ، أي اذهب بنا. قال الجوهري : « الانطلاق : الذهاب »</w:t>
      </w:r>
      <w:r>
        <w:rPr>
          <w:rtl/>
        </w:rPr>
        <w:t>.</w:t>
      </w:r>
      <w:r w:rsidRPr="00132E65">
        <w:rPr>
          <w:rtl/>
        </w:rPr>
        <w:t xml:space="preserve"> </w:t>
      </w:r>
      <w:r w:rsidRPr="00F92A6B">
        <w:rPr>
          <w:rStyle w:val="libFootnoteBoldChar"/>
          <w:rtl/>
        </w:rPr>
        <w:t>الصحاح</w:t>
      </w:r>
      <w:r w:rsidRPr="00132E65">
        <w:rPr>
          <w:rtl/>
        </w:rPr>
        <w:t xml:space="preserve"> ، ج 4</w:t>
      </w:r>
      <w:r>
        <w:rPr>
          <w:rtl/>
        </w:rPr>
        <w:t xml:space="preserve"> ، ص 1518 (</w:t>
      </w:r>
      <w:r w:rsidRPr="00132E65">
        <w:rPr>
          <w:rtl/>
        </w:rPr>
        <w:t>طلق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فَقَالَ عَلِيُّ بْنُ الْحُسَيْنِ لِمُحَمَّدِ بْنِ الْحَنَفِيَّةِ : ابْدَأْ أَنْتَ فَابْتَهِلْ </w:t>
      </w:r>
      <w:r>
        <w:rPr>
          <w:rStyle w:val="libFootnotenumChar"/>
          <w:rtl/>
        </w:rPr>
        <w:t>(1)</w:t>
      </w:r>
      <w:r w:rsidRPr="00132E65">
        <w:rPr>
          <w:rtl/>
          <w:lang w:bidi="fa-IR"/>
        </w:rPr>
        <w:t xml:space="preserve"> إِلَى اللهِ</w:t>
      </w:r>
      <w:r>
        <w:rPr>
          <w:rtl/>
          <w:lang w:bidi="fa-IR"/>
        </w:rPr>
        <w:t xml:space="preserve"> - </w:t>
      </w:r>
      <w:r w:rsidRPr="00132E65">
        <w:rPr>
          <w:rtl/>
          <w:lang w:bidi="fa-IR"/>
        </w:rPr>
        <w:t>عَزَّ وجَلَّ</w:t>
      </w:r>
      <w:r>
        <w:rPr>
          <w:rtl/>
          <w:lang w:bidi="fa-IR"/>
        </w:rPr>
        <w:t xml:space="preserve"> - </w:t>
      </w:r>
      <w:r w:rsidRPr="00132E65">
        <w:rPr>
          <w:rtl/>
          <w:lang w:bidi="fa-IR"/>
        </w:rPr>
        <w:t xml:space="preserve">وَسَلْهُ أَنْ يُنْطِقَ لَكَ الْحَجَرَ ، ثُمَّ سَلْ ؛ فَابْتَهَلَ مُحَمَّدٌ فِي الدُّعَاءِ ، وسَأَلَ اللهَ ، ثُمَّ دَعَا الْحَجَرَ ، فَلَمْ يُجِبْهُ ، فَقَالَ عَلِيُّ بْنُ الْحُسَيْنِ </w:t>
      </w:r>
      <w:r w:rsidRPr="00071CF9">
        <w:rPr>
          <w:rStyle w:val="libAlaemChar"/>
          <w:rtl/>
        </w:rPr>
        <w:t>عليهما‌السلام</w:t>
      </w:r>
      <w:r w:rsidRPr="00132E65">
        <w:rPr>
          <w:rtl/>
          <w:lang w:bidi="fa-IR"/>
        </w:rPr>
        <w:t xml:space="preserve"> : يَا عَمِّ ، لَوْ كُنْتَ وصِيّاً وإِمَاماً ، لَأَجَابَكَ </w:t>
      </w:r>
      <w:r>
        <w:rPr>
          <w:rStyle w:val="libFootnotenumChar"/>
          <w:rtl/>
        </w:rPr>
        <w:t>(2)</w:t>
      </w:r>
      <w:r w:rsidRPr="00F92A6B">
        <w:rPr>
          <w:rStyle w:val="libNormalChar"/>
          <w:rFonts w:hint="cs"/>
          <w:rtl/>
        </w:rPr>
        <w:t>.</w:t>
      </w:r>
    </w:p>
    <w:p w:rsidR="000C39D1" w:rsidRPr="00132E65" w:rsidRDefault="000C39D1" w:rsidP="000C39D1">
      <w:pPr>
        <w:pStyle w:val="libNormal"/>
        <w:rPr>
          <w:rtl/>
          <w:lang w:bidi="fa-IR"/>
        </w:rPr>
      </w:pPr>
      <w:r w:rsidRPr="00132E65">
        <w:rPr>
          <w:rtl/>
          <w:lang w:bidi="fa-IR"/>
        </w:rPr>
        <w:t xml:space="preserve">قَالَ لَهُ مُحَمَّدٌ : فَادْعُ اللهَ أَنْتَ يَا ابْنَ أَخِي </w:t>
      </w:r>
      <w:r>
        <w:rPr>
          <w:rStyle w:val="libFootnotenumChar"/>
          <w:rtl/>
        </w:rPr>
        <w:t>(3)</w:t>
      </w:r>
      <w:r w:rsidRPr="00132E65">
        <w:rPr>
          <w:rtl/>
          <w:lang w:bidi="fa-IR"/>
        </w:rPr>
        <w:t xml:space="preserve"> ، وسَلْهُ </w:t>
      </w:r>
      <w:r>
        <w:rPr>
          <w:rStyle w:val="libFootnotenumChar"/>
          <w:rtl/>
        </w:rPr>
        <w:t>(4)</w:t>
      </w:r>
      <w:r w:rsidRPr="00132E65">
        <w:rPr>
          <w:rtl/>
          <w:lang w:bidi="fa-IR"/>
        </w:rPr>
        <w:t xml:space="preserve"> ، فَدَعَا اللهَ عَلِيُّ بْنُ الْحُسَيْنِ </w:t>
      </w:r>
      <w:r w:rsidRPr="00071CF9">
        <w:rPr>
          <w:rStyle w:val="libAlaemChar"/>
          <w:rtl/>
        </w:rPr>
        <w:t>عليهما‌السلام</w:t>
      </w:r>
      <w:r w:rsidRPr="00132E65">
        <w:rPr>
          <w:rtl/>
          <w:lang w:bidi="fa-IR"/>
        </w:rPr>
        <w:t xml:space="preserve"> بِمَا أَرَادَ ، ثُمَّ قَالَ </w:t>
      </w:r>
      <w:r>
        <w:rPr>
          <w:rStyle w:val="libFootnotenumChar"/>
          <w:rtl/>
        </w:rPr>
        <w:t>(5)</w:t>
      </w:r>
      <w:r w:rsidRPr="00132E65">
        <w:rPr>
          <w:rtl/>
          <w:lang w:bidi="fa-IR"/>
        </w:rPr>
        <w:t xml:space="preserve"> : أَسْأَلُكَ بِالَّذِي </w:t>
      </w:r>
      <w:r>
        <w:rPr>
          <w:rStyle w:val="libFootnotenumChar"/>
          <w:rtl/>
        </w:rPr>
        <w:t>(6)</w:t>
      </w:r>
      <w:r w:rsidRPr="00132E65">
        <w:rPr>
          <w:rtl/>
          <w:lang w:bidi="fa-IR"/>
        </w:rPr>
        <w:t xml:space="preserve"> جَعَلَ فِيكَ مِيثَاقَ الْأَنْبِيَاءِ ومِيثَاقَ الْأَوْصِيَاءِ ومِيثَاقَ النَّاسِ أَجْمَعِينَ لَمَّا أَخْبَرْتَنَا مَنِ الْوَصِيُّ والْإِمَامُ بَعْدَ الْحُسَيْنِ بْنِ عَلِيٍّ </w:t>
      </w:r>
      <w:r w:rsidRPr="00071CF9">
        <w:rPr>
          <w:rStyle w:val="libAlaemChar"/>
          <w:rtl/>
        </w:rPr>
        <w:t>عليهما‌السلام</w:t>
      </w:r>
      <w:r>
        <w:rPr>
          <w:rtl/>
          <w:lang w:bidi="fa-IR"/>
        </w:rPr>
        <w:t>؟</w:t>
      </w:r>
      <w:r w:rsidRPr="00132E65">
        <w:rPr>
          <w:rtl/>
          <w:lang w:bidi="fa-IR"/>
        </w:rPr>
        <w:t xml:space="preserve"> » قَالَ : « فَتَحَرَّكَ الْحَجَرُ حَتّى كَادَ أَنْ يَزُولَ عَنْ مَوْضِعِهِ ، ثُمَّ أَنْطَقَهُ اللهُ</w:t>
      </w:r>
      <w:r>
        <w:rPr>
          <w:rtl/>
          <w:lang w:bidi="fa-IR"/>
        </w:rPr>
        <w:t xml:space="preserve"> - </w:t>
      </w:r>
      <w:r w:rsidRPr="00132E65">
        <w:rPr>
          <w:rtl/>
          <w:lang w:bidi="fa-IR"/>
        </w:rPr>
        <w:t>عَزَّ وجَلَّ</w:t>
      </w:r>
      <w:r>
        <w:rPr>
          <w:rtl/>
          <w:lang w:bidi="fa-IR"/>
        </w:rPr>
        <w:t xml:space="preserve"> - </w:t>
      </w:r>
      <w:r w:rsidRPr="00132E65">
        <w:rPr>
          <w:rtl/>
          <w:lang w:bidi="fa-IR"/>
        </w:rPr>
        <w:t>بِلِسَانٍ عَرَبِيٍّ مُبِينٍ ، فَقَالَ : الل</w:t>
      </w:r>
      <w:r>
        <w:rPr>
          <w:rFonts w:hint="cs"/>
          <w:rtl/>
          <w:lang w:bidi="fa-IR"/>
        </w:rPr>
        <w:t>ّ</w:t>
      </w:r>
      <w:r w:rsidRPr="00132E65">
        <w:rPr>
          <w:rtl/>
          <w:lang w:bidi="fa-IR"/>
        </w:rPr>
        <w:t xml:space="preserve">هُمَّ </w:t>
      </w:r>
      <w:r>
        <w:rPr>
          <w:rStyle w:val="libFootnotenumChar"/>
          <w:rtl/>
        </w:rPr>
        <w:t>(7)</w:t>
      </w:r>
      <w:r w:rsidRPr="00132E65">
        <w:rPr>
          <w:rtl/>
          <w:lang w:bidi="fa-IR"/>
        </w:rPr>
        <w:t xml:space="preserve"> إِنَّ الْوَصِيَّةَ والْإِمَامَةَ بَعْدَ الْحُسَيْنِ بْنِ عَلِيٍّ </w:t>
      </w:r>
      <w:r w:rsidRPr="00071CF9">
        <w:rPr>
          <w:rStyle w:val="libAlaemChar"/>
          <w:rtl/>
        </w:rPr>
        <w:t>عليهما‌السلام</w:t>
      </w:r>
      <w:r w:rsidRPr="00132E65">
        <w:rPr>
          <w:rtl/>
          <w:lang w:bidi="fa-IR"/>
        </w:rPr>
        <w:t xml:space="preserve"> إِلى عَلِيِّ بْنِ الْحُسَيْنِ بْنِ عَلِيِّ بْنِ أَبِي طَالِبٍ وابْنِ فَاطِمَةَ بِنْتِ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 فَانْصَرَفَ مُحَمَّدُ بْنُ عَلِيٍّ وهُوَ يَتَوَلّى عَلِيَّ بْنَ الْحُسَيْنِ </w:t>
      </w:r>
      <w:r w:rsidRPr="00071CF9">
        <w:rPr>
          <w:rStyle w:val="libAlaemChar"/>
          <w:rtl/>
        </w:rPr>
        <w:t>عليهما‌السلام</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عَلِيُّ بْنُ إِبْرَاهِيمَ ، عَنْ أَبِيهِ ، عَنْ حَمَّادِ بْنِ عِيسى ، عَنْ حَرِيزٍ ، عَنْ زُرَارَةَ ، عَنْ أَبِي جَعْفَرٍ </w:t>
      </w:r>
      <w:r w:rsidRPr="00071CF9">
        <w:rPr>
          <w:rStyle w:val="libAlaemChar"/>
          <w:rtl/>
        </w:rPr>
        <w:t>عليه‌السلام</w:t>
      </w:r>
      <w:r w:rsidRPr="00132E65">
        <w:rPr>
          <w:rtl/>
          <w:lang w:bidi="fa-IR"/>
        </w:rPr>
        <w:t xml:space="preserve"> ، مِثْلَهُ.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الابتهال » : التضرّع ، والمبالغة في الدعاء ، والاجتهاد فيه ، وإخلاصه لله</w:t>
      </w:r>
      <w:r>
        <w:rPr>
          <w:rFonts w:hint="cs"/>
          <w:rtl/>
        </w:rPr>
        <w:t xml:space="preserve"> </w:t>
      </w:r>
      <w:r w:rsidRPr="00132E65">
        <w:rPr>
          <w:rtl/>
        </w:rPr>
        <w:t xml:space="preserve">‌عزّ وجلّ. راجع : </w:t>
      </w:r>
      <w:r w:rsidRPr="009D1ACE">
        <w:rPr>
          <w:rStyle w:val="libFootnoteBoldChar"/>
          <w:rtl/>
        </w:rPr>
        <w:t>لسان العرب</w:t>
      </w:r>
      <w:r w:rsidRPr="00132E65">
        <w:rPr>
          <w:rtl/>
        </w:rPr>
        <w:t xml:space="preserve"> ، ج 11 ، ص 72 ( بهل )</w:t>
      </w:r>
      <w:r>
        <w:rPr>
          <w:rtl/>
        </w:rPr>
        <w:t>.</w:t>
      </w:r>
      <w:r>
        <w:rPr>
          <w:rFonts w:hint="cs"/>
          <w:rtl/>
        </w:rPr>
        <w:t xml:space="preserve">                         </w:t>
      </w:r>
      <w:r w:rsidR="0033724D">
        <w:rPr>
          <w:rFonts w:hint="cs"/>
          <w:rtl/>
        </w:rPr>
        <w:t xml:space="preserve">     </w:t>
      </w:r>
      <w:r>
        <w:rPr>
          <w:rFonts w:hint="cs"/>
          <w:rtl/>
        </w:rPr>
        <w:t xml:space="preserve">            </w:t>
      </w: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الحجر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ه‍ » : « يابن أخ »</w:t>
            </w:r>
            <w:r>
              <w:rPr>
                <w:rtl/>
              </w:rPr>
              <w:t>.</w:t>
            </w:r>
          </w:p>
        </w:tc>
        <w:tc>
          <w:tcPr>
            <w:tcW w:w="4006" w:type="dxa"/>
          </w:tcPr>
          <w:p w:rsidR="000C39D1" w:rsidRDefault="000C39D1" w:rsidP="00B53873">
            <w:pPr>
              <w:pStyle w:val="libFootnote0"/>
              <w:rPr>
                <w:rtl/>
              </w:rPr>
            </w:pPr>
            <w:r>
              <w:rPr>
                <w:rtl/>
              </w:rPr>
              <w:t>(4).</w:t>
            </w:r>
            <w:r w:rsidRPr="00132E65">
              <w:rPr>
                <w:rtl/>
              </w:rPr>
              <w:t xml:space="preserve"> في </w:t>
            </w:r>
            <w:r w:rsidRPr="009D1ACE">
              <w:rPr>
                <w:rStyle w:val="libFootnoteBoldChar"/>
                <w:rtl/>
              </w:rPr>
              <w:t>الوافي</w:t>
            </w:r>
            <w:r w:rsidRPr="00132E65">
              <w:rPr>
                <w:rtl/>
              </w:rPr>
              <w:t xml:space="preserve"> : « وأسأله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ف » : « فقال »</w:t>
            </w:r>
            <w:r>
              <w:rPr>
                <w:rtl/>
              </w:rPr>
              <w:t>.</w:t>
            </w:r>
          </w:p>
        </w:tc>
        <w:tc>
          <w:tcPr>
            <w:tcW w:w="4006" w:type="dxa"/>
          </w:tcPr>
          <w:p w:rsidR="000C39D1" w:rsidRDefault="000C39D1" w:rsidP="00B53873">
            <w:pPr>
              <w:pStyle w:val="libFootnote0"/>
              <w:rPr>
                <w:rtl/>
              </w:rPr>
            </w:pPr>
            <w:r>
              <w:rPr>
                <w:rtl/>
              </w:rPr>
              <w:t>(6).</w:t>
            </w:r>
            <w:r w:rsidRPr="00132E65">
              <w:rPr>
                <w:rtl/>
              </w:rPr>
              <w:t xml:space="preserve"> في حاشية « بر » : « بالله الذي »</w:t>
            </w:r>
            <w:r>
              <w:rPr>
                <w:rtl/>
              </w:rPr>
              <w:t>.</w:t>
            </w:r>
          </w:p>
        </w:tc>
      </w:tr>
    </w:tbl>
    <w:p w:rsidR="000C39D1" w:rsidRPr="00132E65" w:rsidRDefault="000C39D1" w:rsidP="000C39D1">
      <w:pPr>
        <w:pStyle w:val="libFootnote0"/>
        <w:rPr>
          <w:rtl/>
          <w:lang w:bidi="fa-IR"/>
        </w:rPr>
      </w:pPr>
      <w:r>
        <w:rPr>
          <w:rtl/>
        </w:rPr>
        <w:t>(7).</w:t>
      </w:r>
      <w:r w:rsidRPr="00132E65">
        <w:rPr>
          <w:rtl/>
        </w:rPr>
        <w:t xml:space="preserve"> في حاشية « ف » : « يا الل</w:t>
      </w:r>
      <w:r>
        <w:rPr>
          <w:rFonts w:hint="cs"/>
          <w:rtl/>
        </w:rPr>
        <w:t>ّ</w:t>
      </w:r>
      <w:r w:rsidRPr="00132E65">
        <w:rPr>
          <w:rtl/>
        </w:rPr>
        <w:t>همّ »</w:t>
      </w:r>
      <w:r>
        <w:rPr>
          <w:rtl/>
        </w:rPr>
        <w:t>.</w:t>
      </w:r>
    </w:p>
    <w:p w:rsidR="000C39D1" w:rsidRPr="00F92A6B" w:rsidRDefault="000C39D1" w:rsidP="000C39D1">
      <w:pPr>
        <w:pStyle w:val="libFootnote0"/>
        <w:rPr>
          <w:rtl/>
        </w:rPr>
      </w:pPr>
      <w:r w:rsidRPr="00F92A6B">
        <w:rPr>
          <w:rtl/>
        </w:rPr>
        <w:t xml:space="preserve">(8). في « ب ، ج ، ف ، بح ، بر ، بس ، بف » : « والإمامة بعد الحسين بن عليّ بن فاطمة بنت رسول الله </w:t>
      </w:r>
      <w:r w:rsidRPr="00F92A6B">
        <w:rPr>
          <w:rStyle w:val="libFootnoteAlaemChar"/>
          <w:rFonts w:eastAsiaTheme="minorHAnsi"/>
          <w:rtl/>
        </w:rPr>
        <w:t>صلى‌الله‌عليه‌وآله</w:t>
      </w:r>
      <w:r w:rsidRPr="00F92A6B">
        <w:rPr>
          <w:rtl/>
        </w:rPr>
        <w:t xml:space="preserve"> لك ». وفي « ض » : « والإمامة بعد الحسين بن عليّ </w:t>
      </w:r>
      <w:r w:rsidRPr="002757AD">
        <w:rPr>
          <w:rStyle w:val="libFootnoteAlaemChar"/>
          <w:rtl/>
        </w:rPr>
        <w:t>عليهما‌السلام</w:t>
      </w:r>
      <w:r w:rsidRPr="00F92A6B">
        <w:rPr>
          <w:rtl/>
        </w:rPr>
        <w:t xml:space="preserve"> إلى عليّ بن الحسين بن فاطمة بنت رسول الله </w:t>
      </w:r>
      <w:r w:rsidRPr="00F92A6B">
        <w:rPr>
          <w:rStyle w:val="libFootnoteAlaemChar"/>
          <w:rFonts w:eastAsiaTheme="minorHAnsi"/>
          <w:rtl/>
        </w:rPr>
        <w:t>صلى‌الله‌عليه‌وآله</w:t>
      </w:r>
      <w:r w:rsidRPr="00F92A6B">
        <w:rPr>
          <w:rtl/>
        </w:rPr>
        <w:t xml:space="preserve"> » كلاهما بدل « والإمامة بعد الحسين بن عليّ - إلى - فاطمه بنت رسول الله </w:t>
      </w:r>
      <w:r w:rsidRPr="002757AD">
        <w:rPr>
          <w:rStyle w:val="libFootnoteAlaemChar"/>
          <w:rFonts w:eastAsiaTheme="minorHAnsi"/>
          <w:rtl/>
        </w:rPr>
        <w:t>صلى‌الله‌عليه‌وآله</w:t>
      </w:r>
      <w:r w:rsidRPr="00F92A6B">
        <w:rPr>
          <w:rtl/>
        </w:rPr>
        <w:t xml:space="preserve"> ».</w:t>
      </w:r>
    </w:p>
    <w:p w:rsidR="000C39D1" w:rsidRPr="00132E65"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502 ، ح 3 ، عن أحمد بن محمّد ، عن الحسن بن محبوب ، عن عليّ بن رئاب ، عن أبي عبد الله </w:t>
      </w:r>
      <w:r w:rsidRPr="002757AD">
        <w:rPr>
          <w:rStyle w:val="libFootnoteAlaemChar"/>
          <w:rtl/>
        </w:rPr>
        <w:t>عليه‌السلام</w:t>
      </w:r>
      <w:r w:rsidRPr="00132E65">
        <w:rPr>
          <w:rtl/>
        </w:rPr>
        <w:t xml:space="preserve"> وزرارة ، عن أبي جعفر </w:t>
      </w:r>
      <w:r w:rsidRPr="002757AD">
        <w:rPr>
          <w:rStyle w:val="libFootnoteAlaemChar"/>
          <w:rtl/>
        </w:rPr>
        <w:t>عليه‌السلام</w:t>
      </w:r>
      <w:r w:rsidRPr="00132E65">
        <w:rPr>
          <w:rtl/>
        </w:rPr>
        <w:t xml:space="preserve">. </w:t>
      </w:r>
      <w:r w:rsidRPr="002757AD">
        <w:rPr>
          <w:rStyle w:val="libFootnoteBoldChar"/>
          <w:rtl/>
        </w:rPr>
        <w:t>الغيبة للطوسي</w:t>
      </w:r>
      <w:r w:rsidRPr="00132E65">
        <w:rPr>
          <w:rtl/>
        </w:rPr>
        <w:t xml:space="preserve"> ، ص 18 ، ح 1 ، من دون الإسناد إلى المعصوم </w:t>
      </w:r>
      <w:r w:rsidRPr="002757AD">
        <w:rPr>
          <w:rStyle w:val="libFootnoteAlaemChar"/>
          <w:rtl/>
        </w:rPr>
        <w:t>عليه‌السلام</w:t>
      </w:r>
      <w:r w:rsidRPr="00132E65">
        <w:rPr>
          <w:rtl/>
        </w:rPr>
        <w:t xml:space="preserve"> مع اختلاف </w:t>
      </w:r>
      <w:r>
        <w:rPr>
          <w:rFonts w:hint="cs"/>
          <w:rtl/>
        </w:rPr>
        <w:t>.</w:t>
      </w:r>
      <w:r w:rsidRPr="009D1ACE">
        <w:rPr>
          <w:rStyle w:val="libFootnoteBoldChar"/>
          <w:rtl/>
        </w:rPr>
        <w:t>الوافي</w:t>
      </w:r>
      <w:r w:rsidRPr="00132E65">
        <w:rPr>
          <w:rtl/>
        </w:rPr>
        <w:t xml:space="preserve"> ، ج 2 ، ص 147 ، ح 617.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7271BC">
        <w:rPr>
          <w:rtl/>
        </w:rPr>
        <w:t>927</w:t>
      </w:r>
      <w:r w:rsidRPr="004325D8">
        <w:rPr>
          <w:rStyle w:val="libBold2Char"/>
          <w:rtl/>
        </w:rPr>
        <w:t xml:space="preserve"> / 6.</w:t>
      </w:r>
      <w:r w:rsidRPr="00132E65">
        <w:rPr>
          <w:rtl/>
          <w:lang w:bidi="fa-IR"/>
        </w:rPr>
        <w:t xml:space="preserve"> الْحُسَيْنُ بْنُ مُحَمَّدٍ ، عَنِ الْمُعَلَّى </w:t>
      </w:r>
      <w:r>
        <w:rPr>
          <w:rStyle w:val="libFootnotenumChar"/>
          <w:rtl/>
        </w:rPr>
        <w:t>(1)</w:t>
      </w:r>
      <w:r w:rsidRPr="00132E65">
        <w:rPr>
          <w:rtl/>
          <w:lang w:bidi="fa-IR"/>
        </w:rPr>
        <w:t xml:space="preserve"> بْنِ مُحَمَّدٍ ، عَنْ مُحَمَّدِ بْنِ عَلِيٍّ ، قَالَ :</w:t>
      </w:r>
      <w:r>
        <w:rPr>
          <w:rFonts w:hint="cs"/>
          <w:rtl/>
          <w:lang w:bidi="fa-IR"/>
        </w:rPr>
        <w:t xml:space="preserve"> </w:t>
      </w:r>
      <w:r w:rsidRPr="00132E65">
        <w:rPr>
          <w:rtl/>
          <w:lang w:bidi="fa-IR"/>
        </w:rPr>
        <w:t>أَخْبَرَنِي سَمَاعَةُ بْنُ مِهْرَانَ ، قَالَ : أَخْبَرَنِي الْكَلْبِيُّ النَّسَّابَةُ ، قَالَ :</w:t>
      </w:r>
    </w:p>
    <w:p w:rsidR="000C39D1" w:rsidRPr="00132E65" w:rsidRDefault="000C39D1" w:rsidP="000C39D1">
      <w:pPr>
        <w:pStyle w:val="libNormal"/>
        <w:rPr>
          <w:rtl/>
          <w:lang w:bidi="fa-IR"/>
        </w:rPr>
      </w:pPr>
      <w:r w:rsidRPr="00132E65">
        <w:rPr>
          <w:rtl/>
          <w:lang w:bidi="fa-IR"/>
        </w:rPr>
        <w:t>دَخَلْتُ الْمَدِينَةَ ولَسْتُ أَعْرِفُ شَيْئاً مِنْ هذَا الْأَمْرِ ، فَأَتَيْتُ الْمَسْجِدَ ، فَإِذَا جَمَاعَةٌ مِنْ قُرَيْشٍ ، فَقُلْتُ : أَخْبِرُونِي عَنْ عَالِمِ أَهْلِ هذَا الْبَيْتِ ، فَقَالُوا : عَبْدُ اللهِ بْنُ الْحَسَنِ.</w:t>
      </w:r>
    </w:p>
    <w:p w:rsidR="000C39D1" w:rsidRPr="00132E65" w:rsidRDefault="000C39D1" w:rsidP="000C39D1">
      <w:pPr>
        <w:pStyle w:val="libNormal"/>
        <w:rPr>
          <w:rtl/>
          <w:lang w:bidi="fa-IR"/>
        </w:rPr>
      </w:pPr>
      <w:r w:rsidRPr="00132E65">
        <w:rPr>
          <w:rtl/>
          <w:lang w:bidi="fa-IR"/>
        </w:rPr>
        <w:t xml:space="preserve">فَأَتَيْتُ مَنْزِلَهُ ، فَاسْتَأْذَنْتُ ، فَخَرَجَ إِلَيَّ رَجُلٌ ظَنَنْتُ أَنَّهُ غُلَامٌ لَهُ </w:t>
      </w:r>
      <w:r>
        <w:rPr>
          <w:rStyle w:val="libFootnotenumChar"/>
          <w:rtl/>
        </w:rPr>
        <w:t>(2)</w:t>
      </w:r>
      <w:r w:rsidRPr="00132E65">
        <w:rPr>
          <w:rtl/>
          <w:lang w:bidi="fa-IR"/>
        </w:rPr>
        <w:t xml:space="preserve"> ، فَقُلْتُ لَهُ :</w:t>
      </w:r>
      <w:r>
        <w:rPr>
          <w:rFonts w:hint="cs"/>
          <w:rtl/>
          <w:lang w:bidi="fa-IR"/>
        </w:rPr>
        <w:t xml:space="preserve"> </w:t>
      </w:r>
      <w:r w:rsidRPr="00132E65">
        <w:rPr>
          <w:rtl/>
          <w:lang w:bidi="fa-IR"/>
        </w:rPr>
        <w:t xml:space="preserve">اسْتَأْذِنْ لِي عَلى مَوْلَاكَ ، فَدَخَلَ ، ثُمَّ خَرَجَ ، فَقَالَ لِيَ : ادْخُلْ ، فَدَخَلْتُ ، فَإِذَا أَنَا بِشَيْخٍ </w:t>
      </w:r>
      <w:r>
        <w:rPr>
          <w:rStyle w:val="libFootnotenumChar"/>
          <w:rtl/>
        </w:rPr>
        <w:t>(3)</w:t>
      </w:r>
      <w:r w:rsidRPr="00132E65">
        <w:rPr>
          <w:rtl/>
          <w:lang w:bidi="fa-IR"/>
        </w:rPr>
        <w:t xml:space="preserve"> مُعْتَكِفٍ شَدِيدِ الِاجْتِهَادِ </w:t>
      </w:r>
      <w:r>
        <w:rPr>
          <w:rStyle w:val="libFootnotenumChar"/>
          <w:rtl/>
        </w:rPr>
        <w:t>(4)</w:t>
      </w:r>
      <w:r w:rsidRPr="00132E65">
        <w:rPr>
          <w:rtl/>
          <w:lang w:bidi="fa-IR"/>
        </w:rPr>
        <w:t xml:space="preserve"> ، فَسَلَّمْتُ عَلَيْهِ ، فَقَالَ لِي : مَنْ أَنْتَ</w:t>
      </w:r>
      <w:r>
        <w:rPr>
          <w:rtl/>
          <w:lang w:bidi="fa-IR"/>
        </w:rPr>
        <w:t>؟</w:t>
      </w:r>
      <w:r w:rsidRPr="00132E65">
        <w:rPr>
          <w:rtl/>
          <w:lang w:bidi="fa-IR"/>
        </w:rPr>
        <w:t xml:space="preserve"> فَقُلْتُ : أَنَا الْكَلْبِيُّ النَّسَّابَةُ ، فَقَالَ : مَا حَاجَتُكَ</w:t>
      </w:r>
      <w:r>
        <w:rPr>
          <w:rtl/>
          <w:lang w:bidi="fa-IR"/>
        </w:rPr>
        <w:t>؟</w:t>
      </w:r>
      <w:r w:rsidRPr="00132E65">
        <w:rPr>
          <w:rtl/>
          <w:lang w:bidi="fa-IR"/>
        </w:rPr>
        <w:t xml:space="preserve"> فَقُلْتُ : ج</w:t>
      </w:r>
      <w:r>
        <w:rPr>
          <w:rtl/>
          <w:lang w:bidi="fa-IR"/>
        </w:rPr>
        <w:t>ِئْتُ أَسْأَلُكَ ، فَقَالَ : أَ</w:t>
      </w:r>
      <w:r w:rsidRPr="00132E65">
        <w:rPr>
          <w:rtl/>
          <w:lang w:bidi="fa-IR"/>
        </w:rPr>
        <w:t>مَرَرْتَ بِابْنِي مُحَمَّدٍ</w:t>
      </w:r>
      <w:r>
        <w:rPr>
          <w:rtl/>
          <w:lang w:bidi="fa-IR"/>
        </w:rPr>
        <w:t>؟</w:t>
      </w:r>
      <w:r w:rsidRPr="00132E65">
        <w:rPr>
          <w:rtl/>
          <w:lang w:bidi="fa-IR"/>
        </w:rPr>
        <w:t xml:space="preserve"> قُلْتُ </w:t>
      </w:r>
      <w:r>
        <w:rPr>
          <w:rStyle w:val="libFootnotenumChar"/>
          <w:rtl/>
        </w:rPr>
        <w:t>(5)</w:t>
      </w:r>
      <w:r w:rsidRPr="00132E65">
        <w:rPr>
          <w:rtl/>
          <w:lang w:bidi="fa-IR"/>
        </w:rPr>
        <w:t xml:space="preserve"> :</w:t>
      </w:r>
      <w:r>
        <w:rPr>
          <w:rFonts w:hint="cs"/>
          <w:rtl/>
          <w:lang w:bidi="fa-IR"/>
        </w:rPr>
        <w:t xml:space="preserve"> </w:t>
      </w:r>
      <w:r w:rsidRPr="00132E65">
        <w:rPr>
          <w:rtl/>
          <w:lang w:bidi="fa-IR"/>
        </w:rPr>
        <w:t xml:space="preserve">بَدَأْتُ بِكَ ، فَقَالَ : سَلْ ، فَقُلْتُ </w:t>
      </w:r>
      <w:r>
        <w:rPr>
          <w:rStyle w:val="libFootnotenumChar"/>
          <w:rtl/>
        </w:rPr>
        <w:t>(6)</w:t>
      </w:r>
      <w:r w:rsidRPr="00132E65">
        <w:rPr>
          <w:rtl/>
          <w:lang w:bidi="fa-IR"/>
        </w:rPr>
        <w:t xml:space="preserve"> : أَخْبِرْنِي عَنْ رَجُلٍ قَالَ لِامْرَأَتِهِ : أَنْتِ طَالِقٌ عَدَدَ نُجُومِ السَّمَاءِ ، فَقَالَ : تَبِينُ </w:t>
      </w:r>
      <w:r>
        <w:rPr>
          <w:rStyle w:val="libFootnotenumChar"/>
          <w:rtl/>
        </w:rPr>
        <w:t>(7)</w:t>
      </w:r>
      <w:r w:rsidRPr="00132E65">
        <w:rPr>
          <w:rtl/>
          <w:lang w:bidi="fa-IR"/>
        </w:rPr>
        <w:t xml:space="preserve"> بِرَأْسِ الْجَوْزَاءِ </w:t>
      </w:r>
      <w:r>
        <w:rPr>
          <w:rStyle w:val="libFootnotenumChar"/>
          <w:rtl/>
        </w:rPr>
        <w:t>(8)</w:t>
      </w:r>
      <w:r w:rsidRPr="00132E65">
        <w:rPr>
          <w:rtl/>
          <w:lang w:bidi="fa-IR"/>
        </w:rPr>
        <w:t xml:space="preserve"> ، والْبَاقِي وزْرٌ عَلَيْهِ وعُقُوبَةٌ ، فَقُلْتُ فِي نَفْسِي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 ، ف ، بر » : « معلى »</w:t>
            </w:r>
            <w:r>
              <w:rPr>
                <w:rtl/>
              </w:rPr>
              <w:t>.</w:t>
            </w:r>
          </w:p>
        </w:tc>
        <w:tc>
          <w:tcPr>
            <w:tcW w:w="4006" w:type="dxa"/>
          </w:tcPr>
          <w:p w:rsidR="000C39D1" w:rsidRDefault="000C39D1" w:rsidP="00B53873">
            <w:pPr>
              <w:pStyle w:val="libFootnote0"/>
              <w:rPr>
                <w:rtl/>
              </w:rPr>
            </w:pPr>
            <w:r>
              <w:rPr>
                <w:rtl/>
              </w:rPr>
              <w:t>(2).</w:t>
            </w:r>
            <w:r w:rsidRPr="00132E65">
              <w:rPr>
                <w:rtl/>
              </w:rPr>
              <w:t xml:space="preserve"> في « ف ، بس »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(3).</w:t>
      </w:r>
      <w:r w:rsidRPr="00132E65">
        <w:rPr>
          <w:rtl/>
        </w:rPr>
        <w:t xml:space="preserve"> في « بح ، بس ، بف » : « بالشيخ »</w:t>
      </w:r>
      <w:r>
        <w:rPr>
          <w:rtl/>
        </w:rPr>
        <w:t>.</w:t>
      </w:r>
    </w:p>
    <w:p w:rsidR="000C39D1" w:rsidRPr="00132E65" w:rsidRDefault="000C39D1" w:rsidP="000C39D1">
      <w:pPr>
        <w:pStyle w:val="libFootnote0"/>
        <w:rPr>
          <w:rtl/>
          <w:lang w:bidi="fa-IR"/>
        </w:rPr>
      </w:pPr>
      <w:r>
        <w:rPr>
          <w:rtl/>
        </w:rPr>
        <w:t>(4).</w:t>
      </w:r>
      <w:r w:rsidRPr="00132E65">
        <w:rPr>
          <w:rtl/>
        </w:rPr>
        <w:t xml:space="preserve"> « الاعتكاف » </w:t>
      </w:r>
      <w:r>
        <w:rPr>
          <w:rtl/>
        </w:rPr>
        <w:t>و «</w:t>
      </w:r>
      <w:r w:rsidRPr="00132E65">
        <w:rPr>
          <w:rtl/>
        </w:rPr>
        <w:t xml:space="preserve"> العكوف » : هو الإقامة على الشي‌ء وبالمكان ولزومهما. </w:t>
      </w:r>
      <w:r>
        <w:rPr>
          <w:rtl/>
        </w:rPr>
        <w:t>و «</w:t>
      </w:r>
      <w:r w:rsidRPr="00132E65">
        <w:rPr>
          <w:rtl/>
        </w:rPr>
        <w:t xml:space="preserve"> الاجتهاد » : بذل الوُسع في طلب</w:t>
      </w:r>
      <w:r>
        <w:rPr>
          <w:rFonts w:hint="cs"/>
          <w:rtl/>
        </w:rPr>
        <w:t xml:space="preserve"> </w:t>
      </w:r>
      <w:r w:rsidRPr="00132E65">
        <w:rPr>
          <w:rtl/>
        </w:rPr>
        <w:t xml:space="preserve">‌الأمر ، من الجُهْد بمعنى </w:t>
      </w:r>
      <w:r>
        <w:rPr>
          <w:rtl/>
        </w:rPr>
        <w:t>الطاقة. والمراد : جالس على مصل</w:t>
      </w:r>
      <w:r>
        <w:rPr>
          <w:rFonts w:hint="cs"/>
          <w:rtl/>
        </w:rPr>
        <w:t>ّ</w:t>
      </w:r>
      <w:r>
        <w:rPr>
          <w:rtl/>
        </w:rPr>
        <w:t>ا</w:t>
      </w:r>
      <w:r w:rsidRPr="00132E65">
        <w:rPr>
          <w:rtl/>
        </w:rPr>
        <w:t xml:space="preserve">ه ومقيم به وملازم للعبادة ومقبل عليها ، مواظب لها ، شديد الاجتهاد عليها. راجع : </w:t>
      </w:r>
      <w:r w:rsidRPr="002757AD">
        <w:rPr>
          <w:rStyle w:val="libFootnoteBoldChar"/>
          <w:rtl/>
        </w:rPr>
        <w:t>النهاية</w:t>
      </w:r>
      <w:r w:rsidRPr="00132E65">
        <w:rPr>
          <w:rtl/>
        </w:rPr>
        <w:t xml:space="preserve"> ، ج 1 ، ص 319 ( جهد ) ؛ وج 3 ، ص 284 ( عكف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ف » : « فقلت »</w:t>
            </w:r>
            <w:r>
              <w:rPr>
                <w:rtl/>
              </w:rPr>
              <w:t>.</w:t>
            </w:r>
          </w:p>
        </w:tc>
        <w:tc>
          <w:tcPr>
            <w:tcW w:w="4006" w:type="dxa"/>
          </w:tcPr>
          <w:p w:rsidR="000C39D1" w:rsidRDefault="000C39D1" w:rsidP="00B53873">
            <w:pPr>
              <w:pStyle w:val="libFootnote0"/>
              <w:rPr>
                <w:rtl/>
              </w:rPr>
            </w:pPr>
            <w:r>
              <w:rPr>
                <w:rtl/>
              </w:rPr>
              <w:t>(6).</w:t>
            </w:r>
            <w:r w:rsidRPr="00132E65">
              <w:rPr>
                <w:rtl/>
              </w:rPr>
              <w:t xml:space="preserve"> في « ب » والبحار ، ج 47 : « قلت »</w:t>
            </w:r>
            <w:r>
              <w:rPr>
                <w:rtl/>
              </w:rPr>
              <w:t>.</w:t>
            </w:r>
          </w:p>
        </w:tc>
      </w:tr>
    </w:tbl>
    <w:p w:rsidR="000C39D1" w:rsidRPr="00132E65" w:rsidRDefault="000C39D1" w:rsidP="000C39D1">
      <w:pPr>
        <w:pStyle w:val="libFootnote0"/>
        <w:rPr>
          <w:rtl/>
          <w:lang w:bidi="fa-IR"/>
        </w:rPr>
      </w:pPr>
      <w:r>
        <w:rPr>
          <w:rtl/>
        </w:rPr>
        <w:t>(7).</w:t>
      </w:r>
      <w:r w:rsidRPr="00132E65">
        <w:rPr>
          <w:rtl/>
        </w:rPr>
        <w:t xml:space="preserve"> في « ب ، ف ، ه‍ » : « تبيّن »</w:t>
      </w:r>
      <w:r>
        <w:rPr>
          <w:rtl/>
        </w:rPr>
        <w:t>.</w:t>
      </w:r>
    </w:p>
    <w:p w:rsidR="000C39D1" w:rsidRPr="00132E65" w:rsidRDefault="000C39D1" w:rsidP="000C39D1">
      <w:pPr>
        <w:pStyle w:val="libFootnote0"/>
        <w:rPr>
          <w:rtl/>
          <w:lang w:bidi="fa-IR"/>
        </w:rPr>
      </w:pPr>
      <w:r>
        <w:rPr>
          <w:rtl/>
        </w:rPr>
        <w:t>(8).</w:t>
      </w:r>
      <w:r w:rsidRPr="00132E65">
        <w:rPr>
          <w:rtl/>
        </w:rPr>
        <w:t xml:space="preserve"> في « بر » : « الجوزا »</w:t>
      </w:r>
      <w:r>
        <w:rPr>
          <w:rtl/>
        </w:rPr>
        <w:t>.</w:t>
      </w:r>
      <w:r w:rsidRPr="00132E65">
        <w:rPr>
          <w:rtl/>
        </w:rPr>
        <w:t xml:space="preserve"> </w:t>
      </w:r>
      <w:r>
        <w:rPr>
          <w:rtl/>
        </w:rPr>
        <w:t>و «</w:t>
      </w:r>
      <w:r w:rsidRPr="00132E65">
        <w:rPr>
          <w:rtl/>
        </w:rPr>
        <w:t xml:space="preserve"> الجوزاء » يقال : إنّه يعترض في جَوْز السماء ، أي وسطها. والجَوْزاء : من بُرُوج السماء. وأمّا رأس الجوزاء فالمحقّق الشعراني قال فيه في هامش </w:t>
      </w:r>
      <w:r w:rsidRPr="002757AD">
        <w:rPr>
          <w:rStyle w:val="libFootnoteBoldChar"/>
          <w:rtl/>
        </w:rPr>
        <w:t>شرح المازندراني</w:t>
      </w:r>
      <w:r w:rsidRPr="00132E65">
        <w:rPr>
          <w:rtl/>
        </w:rPr>
        <w:t xml:space="preserve"> : « ترى أوائلَ الليل في الشتاء إذا استقبلت القبلة صورةً من الكواكب جالبة للنظر جدّاً ، كمربّع مستطيل ضلعه الأطول نحو سبعة أو ثمانية أذرع من الشمال إلى الجنوب ، وعرضه نحو ذراعين أو أكثر من اليمين إلى اليسار وعلى زواياه الأربع أربعة كواكب مضيئة وفي مركزه ثلاثة كواكب مضيئة مورّبة ، وقد يقال لهذه الصورة : الجبار أيضاً ، وهذه الثلاثة تسمّى برأس الجوزاء »</w:t>
      </w:r>
      <w:r>
        <w:rPr>
          <w:rtl/>
        </w:rPr>
        <w:t>.</w:t>
      </w:r>
      <w:r w:rsidRPr="00132E65">
        <w:rPr>
          <w:rtl/>
        </w:rPr>
        <w:t xml:space="preserve"> يعني : تَبين ، أي تنفصل عن زوجها ويقع عليها طلاقه بعدد الكواكب التي على رأس الجوزاء وهي ثلاثة. وهذا موافق لمذهب العامّة. راجع : </w:t>
      </w:r>
      <w:r w:rsidRPr="002757AD">
        <w:rPr>
          <w:rStyle w:val="libFootnoteBoldChar"/>
          <w:rtl/>
        </w:rPr>
        <w:t>النهاية</w:t>
      </w:r>
      <w:r w:rsidRPr="00132E65">
        <w:rPr>
          <w:rtl/>
        </w:rPr>
        <w:t xml:space="preserve"> ، ج 1 ، ص 175 ( بين ) ؛ </w:t>
      </w:r>
      <w:r w:rsidRPr="009D1ACE">
        <w:rPr>
          <w:rStyle w:val="libFootnoteBoldChar"/>
          <w:rtl/>
        </w:rPr>
        <w:t>لسان العرب</w:t>
      </w:r>
      <w:r w:rsidRPr="00132E65">
        <w:rPr>
          <w:rtl/>
        </w:rPr>
        <w:t xml:space="preserve"> ، ج 5 ، ص 329 ( جوز ) ؛ </w:t>
      </w:r>
      <w:r w:rsidRPr="002757AD">
        <w:rPr>
          <w:rStyle w:val="libFootnoteBoldChar"/>
          <w:rtl/>
        </w:rPr>
        <w:t>شرح المازندراني</w:t>
      </w:r>
      <w:r w:rsidRPr="00132E65">
        <w:rPr>
          <w:rtl/>
        </w:rPr>
        <w:t xml:space="preserve"> ، ج 6 ، ص 271.</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وَاحِدَةٌ ، فَقُلْتُ : مَا يَقُولُ الشَّيْخُ </w:t>
      </w:r>
      <w:r>
        <w:rPr>
          <w:rStyle w:val="libFootnotenumChar"/>
          <w:rtl/>
        </w:rPr>
        <w:t>(1)</w:t>
      </w:r>
      <w:r w:rsidRPr="00132E65">
        <w:rPr>
          <w:rtl/>
          <w:lang w:bidi="fa-IR"/>
        </w:rPr>
        <w:t xml:space="preserve"> فِي الْمَسْحِ عَلَى الْخُفَّيْنِ</w:t>
      </w:r>
      <w:r>
        <w:rPr>
          <w:rtl/>
          <w:lang w:bidi="fa-IR"/>
        </w:rPr>
        <w:t>؟</w:t>
      </w:r>
      <w:r w:rsidRPr="00132E65">
        <w:rPr>
          <w:rtl/>
          <w:lang w:bidi="fa-IR"/>
        </w:rPr>
        <w:t xml:space="preserve"> فَقَالَ : قَدْ مَسَحَ قَوْمٌ صَالِحُونَ ، ونَحْنُ</w:t>
      </w:r>
      <w:r>
        <w:rPr>
          <w:rtl/>
          <w:lang w:bidi="fa-IR"/>
        </w:rPr>
        <w:t xml:space="preserve"> - </w:t>
      </w:r>
      <w:r w:rsidRPr="00132E65">
        <w:rPr>
          <w:rtl/>
          <w:lang w:bidi="fa-IR"/>
        </w:rPr>
        <w:t xml:space="preserve">أَهْلَ الْبَيْتِ </w:t>
      </w:r>
      <w:r>
        <w:rPr>
          <w:rStyle w:val="libFootnotenumChar"/>
          <w:rtl/>
        </w:rPr>
        <w:t>(2)</w:t>
      </w:r>
      <w:r>
        <w:rPr>
          <w:rtl/>
          <w:lang w:bidi="fa-IR"/>
        </w:rPr>
        <w:t xml:space="preserve"> - </w:t>
      </w:r>
      <w:r w:rsidRPr="00132E65">
        <w:rPr>
          <w:rtl/>
          <w:lang w:bidi="fa-IR"/>
        </w:rPr>
        <w:t xml:space="preserve">لَانَمْسَحُ ، فَقُلْتُ فِي نَفْسِي : ثِنْتَانِ ، فَقُلْتُ : مَا تَقُولُ فِي أَكْلِ الْجِرِّيِّ </w:t>
      </w:r>
      <w:r>
        <w:rPr>
          <w:rStyle w:val="libFootnotenumChar"/>
          <w:rtl/>
        </w:rPr>
        <w:t>(3)</w:t>
      </w:r>
      <w:r>
        <w:rPr>
          <w:rtl/>
          <w:lang w:bidi="fa-IR"/>
        </w:rPr>
        <w:t>؟ أَ</w:t>
      </w:r>
      <w:r w:rsidRPr="00132E65">
        <w:rPr>
          <w:rtl/>
          <w:lang w:bidi="fa-IR"/>
        </w:rPr>
        <w:t>حَلَالٌ هُوَ أَمْ حَرَامٌ</w:t>
      </w:r>
      <w:r>
        <w:rPr>
          <w:rtl/>
          <w:lang w:bidi="fa-IR"/>
        </w:rPr>
        <w:t>؟</w:t>
      </w:r>
      <w:r w:rsidRPr="00132E65">
        <w:rPr>
          <w:rtl/>
          <w:lang w:bidi="fa-IR"/>
        </w:rPr>
        <w:t xml:space="preserve"> فَقَالَ</w:t>
      </w:r>
      <w:r>
        <w:rPr>
          <w:rtl/>
          <w:lang w:bidi="fa-IR"/>
        </w:rPr>
        <w:t xml:space="preserve"> : حَلَالٌ ، إِل</w:t>
      </w:r>
      <w:r>
        <w:rPr>
          <w:rFonts w:hint="cs"/>
          <w:rtl/>
          <w:lang w:bidi="fa-IR"/>
        </w:rPr>
        <w:t>َّ</w:t>
      </w:r>
      <w:r>
        <w:rPr>
          <w:rtl/>
          <w:lang w:bidi="fa-IR"/>
        </w:rPr>
        <w:t>ا</w:t>
      </w:r>
      <w:r w:rsidRPr="00132E65">
        <w:rPr>
          <w:rtl/>
          <w:lang w:bidi="fa-IR"/>
        </w:rPr>
        <w:t xml:space="preserve"> أَنَّا</w:t>
      </w:r>
      <w:r>
        <w:rPr>
          <w:rtl/>
          <w:lang w:bidi="fa-IR"/>
        </w:rPr>
        <w:t xml:space="preserve"> - </w:t>
      </w:r>
      <w:r w:rsidRPr="00132E65">
        <w:rPr>
          <w:rtl/>
          <w:lang w:bidi="fa-IR"/>
        </w:rPr>
        <w:t>أَهْلَ الْبَيْتِ</w:t>
      </w:r>
      <w:r>
        <w:rPr>
          <w:rtl/>
          <w:lang w:bidi="fa-IR"/>
        </w:rPr>
        <w:t xml:space="preserve"> - </w:t>
      </w:r>
      <w:r w:rsidRPr="00132E65">
        <w:rPr>
          <w:rtl/>
          <w:lang w:bidi="fa-IR"/>
        </w:rPr>
        <w:t xml:space="preserve">نَعَافُهُ </w:t>
      </w:r>
      <w:r>
        <w:rPr>
          <w:rStyle w:val="libFootnotenumChar"/>
          <w:rtl/>
        </w:rPr>
        <w:t>(4)</w:t>
      </w:r>
      <w:r w:rsidRPr="00132E65">
        <w:rPr>
          <w:rtl/>
          <w:lang w:bidi="fa-IR"/>
        </w:rPr>
        <w:t xml:space="preserve"> ، فَقُلْتُ فِي نَفْسِي : ثَلَاثٌ ، فَقُلْتُ : فَمَا </w:t>
      </w:r>
      <w:r>
        <w:rPr>
          <w:rStyle w:val="libFootnotenumChar"/>
          <w:rtl/>
        </w:rPr>
        <w:t>(5)</w:t>
      </w:r>
      <w:r w:rsidRPr="00132E65">
        <w:rPr>
          <w:rtl/>
          <w:lang w:bidi="fa-IR"/>
        </w:rPr>
        <w:t xml:space="preserve"> تَقُولُ فِي شُرْبِ النَّبِيذِ</w:t>
      </w:r>
      <w:r>
        <w:rPr>
          <w:rtl/>
          <w:lang w:bidi="fa-IR"/>
        </w:rPr>
        <w:t>؟</w:t>
      </w:r>
      <w:r w:rsidRPr="00132E65">
        <w:rPr>
          <w:rtl/>
          <w:lang w:bidi="fa-IR"/>
        </w:rPr>
        <w:t xml:space="preserve"> فَقَالَ </w:t>
      </w:r>
      <w:r>
        <w:rPr>
          <w:rStyle w:val="libFootnotenumChar"/>
          <w:rtl/>
        </w:rPr>
        <w:t>(6)</w:t>
      </w:r>
      <w:r>
        <w:rPr>
          <w:rtl/>
          <w:lang w:bidi="fa-IR"/>
        </w:rPr>
        <w:t xml:space="preserve"> : حَلَالٌ ، إِل</w:t>
      </w:r>
      <w:r>
        <w:rPr>
          <w:rFonts w:hint="cs"/>
          <w:rtl/>
          <w:lang w:bidi="fa-IR"/>
        </w:rPr>
        <w:t>َّ</w:t>
      </w:r>
      <w:r>
        <w:rPr>
          <w:rtl/>
          <w:lang w:bidi="fa-IR"/>
        </w:rPr>
        <w:t>ا</w:t>
      </w:r>
      <w:r w:rsidRPr="00132E65">
        <w:rPr>
          <w:rtl/>
          <w:lang w:bidi="fa-IR"/>
        </w:rPr>
        <w:t xml:space="preserve"> أَنَّا</w:t>
      </w:r>
      <w:r>
        <w:rPr>
          <w:rtl/>
          <w:lang w:bidi="fa-IR"/>
        </w:rPr>
        <w:t xml:space="preserve"> - </w:t>
      </w:r>
      <w:r w:rsidRPr="00132E65">
        <w:rPr>
          <w:rtl/>
          <w:lang w:bidi="fa-IR"/>
        </w:rPr>
        <w:t xml:space="preserve">أَهْلَ الْبَيْتِ </w:t>
      </w:r>
      <w:r>
        <w:rPr>
          <w:rStyle w:val="libFootnotenumChar"/>
          <w:rtl/>
        </w:rPr>
        <w:t>(7)</w:t>
      </w:r>
      <w:r>
        <w:rPr>
          <w:rtl/>
          <w:lang w:bidi="fa-IR"/>
        </w:rPr>
        <w:t xml:space="preserve"> - </w:t>
      </w:r>
      <w:r w:rsidRPr="00132E65">
        <w:rPr>
          <w:rtl/>
          <w:lang w:bidi="fa-IR"/>
        </w:rPr>
        <w:t xml:space="preserve">لَانَشْرَبُهُ ، فَقُمْتُ ، فَخَرَجْتُ </w:t>
      </w:r>
      <w:r>
        <w:rPr>
          <w:rStyle w:val="libFootnotenumChar"/>
          <w:rtl/>
        </w:rPr>
        <w:t>(8)</w:t>
      </w:r>
      <w:r w:rsidRPr="00132E65">
        <w:rPr>
          <w:rtl/>
          <w:lang w:bidi="fa-IR"/>
        </w:rPr>
        <w:t xml:space="preserve"> مِنْ عِنْدِهِ وأَنَا أَقُولُ : هذِهِ الْعِصَابَةُ </w:t>
      </w:r>
      <w:r>
        <w:rPr>
          <w:rStyle w:val="libFootnotenumChar"/>
          <w:rtl/>
        </w:rPr>
        <w:t>(9)</w:t>
      </w:r>
      <w:r w:rsidRPr="00132E65">
        <w:rPr>
          <w:rtl/>
          <w:lang w:bidi="fa-IR"/>
        </w:rPr>
        <w:t xml:space="preserve"> تَكْذِبُ عَلى أَهْلِ هذَا الْبَيْتِ.</w:t>
      </w:r>
    </w:p>
    <w:p w:rsidR="000C39D1" w:rsidRPr="00132E65" w:rsidRDefault="000C39D1" w:rsidP="000C39D1">
      <w:pPr>
        <w:pStyle w:val="libNormal"/>
        <w:rPr>
          <w:rtl/>
          <w:lang w:bidi="fa-IR"/>
        </w:rPr>
      </w:pPr>
      <w:r w:rsidRPr="00132E65">
        <w:rPr>
          <w:rtl/>
          <w:lang w:bidi="fa-IR"/>
        </w:rPr>
        <w:t xml:space="preserve">فَدَخَلْتُ الْمَسْجِدَ ، فَنَظَرْتُ إِلى جَمَاعَةٍ مِنْ </w:t>
      </w:r>
      <w:r>
        <w:rPr>
          <w:rStyle w:val="libFootnotenumChar"/>
          <w:rtl/>
        </w:rPr>
        <w:t>(10)</w:t>
      </w:r>
      <w:r w:rsidRPr="00132E65">
        <w:rPr>
          <w:rtl/>
          <w:lang w:bidi="fa-IR"/>
        </w:rPr>
        <w:t xml:space="preserve"> قُرَيْشٍ و</w:t>
      </w:r>
      <w:r>
        <w:rPr>
          <w:rFonts w:hint="cs"/>
          <w:rtl/>
          <w:lang w:bidi="fa-IR"/>
        </w:rPr>
        <w:t xml:space="preserve"> </w:t>
      </w:r>
      <w:r>
        <w:rPr>
          <w:rStyle w:val="libFootnotenumChar"/>
          <w:rtl/>
        </w:rPr>
        <w:t>(11)</w:t>
      </w:r>
      <w:r w:rsidRPr="00132E65">
        <w:rPr>
          <w:rtl/>
          <w:lang w:bidi="fa-IR"/>
        </w:rPr>
        <w:t xml:space="preserve"> غَيْرِهِمْ مِنَ </w:t>
      </w:r>
      <w:r>
        <w:rPr>
          <w:rStyle w:val="libFootnotenumChar"/>
          <w:rtl/>
        </w:rPr>
        <w:t>(12)</w:t>
      </w:r>
      <w:r w:rsidRPr="00132E65">
        <w:rPr>
          <w:rtl/>
          <w:lang w:bidi="fa-IR"/>
        </w:rPr>
        <w:t xml:space="preserve"> النَّاسِ ، فَسَلَّمْتُ عَلَيْهِمْ ، ثُمَّ قُلْتُ لَهُمْ : مَنْ أَعْلَمُ أَهْلِ هذَا الْبَيْتِ</w:t>
      </w:r>
      <w:r>
        <w:rPr>
          <w:rtl/>
          <w:lang w:bidi="fa-IR"/>
        </w:rPr>
        <w:t>؟</w:t>
      </w:r>
      <w:r w:rsidRPr="00132E65">
        <w:rPr>
          <w:rtl/>
          <w:lang w:bidi="fa-IR"/>
        </w:rPr>
        <w:t xml:space="preserve"> فَقَالُوا : عَبْدُ اللهِ بْنُ الْحَسَنِ ، فَقُلْتُ : قَدْ أَتَيْتُهُ ، فَلَمْ أَجِدْ عِنْدَهُ شَيْئاً ، فَرَفَعَ رَجُلٌ مِنَ الْقَوْمِ رَأْسَهُ ، فَقَالَ : ائْتِ جَعْفَرَ بْنَ مُحَمَّدٍ </w:t>
      </w:r>
      <w:r w:rsidRPr="00071CF9">
        <w:rPr>
          <w:rStyle w:val="libAlaemChar"/>
          <w:rtl/>
        </w:rPr>
        <w:t>عليهما‌السلام</w:t>
      </w:r>
      <w:r w:rsidRPr="00132E65">
        <w:rPr>
          <w:rtl/>
          <w:lang w:bidi="fa-IR"/>
        </w:rPr>
        <w:t xml:space="preserve"> ؛ فَهُوَ أَعْلَمُ </w:t>
      </w:r>
      <w:r w:rsidRPr="00F543F1">
        <w:rPr>
          <w:rStyle w:val="libFootnotenumChar"/>
          <w:rtl/>
        </w:rPr>
        <w:t>(13)</w:t>
      </w:r>
      <w:r w:rsidRPr="00132E65">
        <w:rPr>
          <w:rtl/>
          <w:lang w:bidi="fa-IR"/>
        </w:rPr>
        <w:t xml:space="preserve"> أَهْلِ هذَا الْبَيْتِ ، فَلَامَهُ بَعْضُ مَنْ كَانَ بِالْحَضْرَةِ </w:t>
      </w:r>
      <w:r w:rsidRPr="00F543F1">
        <w:rPr>
          <w:rStyle w:val="libFootnotenumChar"/>
          <w:rtl/>
        </w:rPr>
        <w:t>(14)</w:t>
      </w:r>
      <w:r>
        <w:rPr>
          <w:rtl/>
          <w:lang w:bidi="fa-IR"/>
        </w:rPr>
        <w:t xml:space="preserve"> - </w:t>
      </w:r>
      <w:r w:rsidRPr="00132E65">
        <w:rPr>
          <w:rtl/>
          <w:lang w:bidi="fa-IR"/>
        </w:rPr>
        <w:t>فَقُلْتُ : إِنَّ الْقَوْمَ إِنَّمَا مَنَعَهُمْ مِنْ إِرْشَادِي إِلَيْهِ أَوَّلَ مَرَّةٍ الْحَسَدُ</w:t>
      </w:r>
      <w:r>
        <w:rPr>
          <w:rtl/>
          <w:lang w:bidi="fa-IR"/>
        </w:rPr>
        <w:t xml:space="preserve"> - </w:t>
      </w:r>
      <w:r w:rsidRPr="00132E65">
        <w:rPr>
          <w:rtl/>
          <w:lang w:bidi="fa-IR"/>
        </w:rPr>
        <w:t>فَقُلْتُ لَهُ : ويْحَكَ ، إِيَّاهُ أَرَدْتُ.</w:t>
      </w:r>
    </w:p>
    <w:p w:rsidR="000C39D1" w:rsidRPr="00132E65" w:rsidRDefault="000C39D1" w:rsidP="000C39D1">
      <w:pPr>
        <w:pStyle w:val="libNormal"/>
        <w:rPr>
          <w:rtl/>
          <w:lang w:bidi="fa-IR"/>
        </w:rPr>
      </w:pPr>
      <w:r w:rsidRPr="00132E65">
        <w:rPr>
          <w:rtl/>
          <w:lang w:bidi="fa-IR"/>
        </w:rPr>
        <w:t>فَمَضَيْتُ حَتّى صِرْتُ إِلى مَنْزِلِهِ ، فَقَرَعْتُ الْبَابَ ، فَخَرَجَ غُلَامٌ لَهُ ، فَقَالَ : ادْخُلْ‌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C1496E">
        <w:rPr>
          <w:rtl/>
        </w:rPr>
        <w:t>الوافي</w:t>
      </w:r>
      <w:r w:rsidRPr="00132E65">
        <w:rPr>
          <w:rtl/>
        </w:rPr>
        <w:t xml:space="preserve"> : « فما تقول أيّها الشيخ »</w:t>
      </w:r>
      <w:r>
        <w:rPr>
          <w:rtl/>
        </w:rPr>
        <w:t>.</w:t>
      </w:r>
    </w:p>
    <w:p w:rsidR="000C39D1" w:rsidRPr="00132E65" w:rsidRDefault="000C39D1" w:rsidP="000C39D1">
      <w:pPr>
        <w:pStyle w:val="libFootnote0"/>
        <w:rPr>
          <w:rtl/>
          <w:lang w:bidi="fa-IR"/>
        </w:rPr>
      </w:pPr>
      <w:r>
        <w:rPr>
          <w:rtl/>
        </w:rPr>
        <w:t>(2).</w:t>
      </w:r>
      <w:r w:rsidRPr="00132E65">
        <w:rPr>
          <w:rtl/>
        </w:rPr>
        <w:t xml:space="preserve"> في البحار ، ج 47 : « بيت »</w:t>
      </w:r>
      <w:r>
        <w:rPr>
          <w:rtl/>
        </w:rPr>
        <w:t>.</w:t>
      </w:r>
    </w:p>
    <w:p w:rsidR="000C39D1" w:rsidRPr="00132E65" w:rsidRDefault="000C39D1" w:rsidP="000C39D1">
      <w:pPr>
        <w:pStyle w:val="libFootnote0"/>
        <w:rPr>
          <w:rtl/>
          <w:lang w:bidi="fa-IR"/>
        </w:rPr>
      </w:pPr>
      <w:r>
        <w:rPr>
          <w:rtl/>
        </w:rPr>
        <w:t>(3).</w:t>
      </w:r>
      <w:r w:rsidRPr="00132E65">
        <w:rPr>
          <w:rtl/>
        </w:rPr>
        <w:t xml:space="preserve"> قال الجوهري : « الجِرِّيُّ : ضرب من السمك »</w:t>
      </w:r>
      <w:r>
        <w:rPr>
          <w:rtl/>
        </w:rPr>
        <w:t>.</w:t>
      </w:r>
      <w:r w:rsidRPr="00132E65">
        <w:rPr>
          <w:rtl/>
        </w:rPr>
        <w:t xml:space="preserve"> وقال ابن الأثير : « نوع من السَمَك يُشبه الحيّة ، ويسمّى</w:t>
      </w:r>
      <w:r>
        <w:rPr>
          <w:rFonts w:hint="cs"/>
          <w:rtl/>
        </w:rPr>
        <w:t xml:space="preserve"> </w:t>
      </w:r>
      <w:r w:rsidRPr="00132E65">
        <w:rPr>
          <w:rtl/>
        </w:rPr>
        <w:t>‌بالفارسيّة : مارماهى »</w:t>
      </w:r>
      <w:r>
        <w:rPr>
          <w:rtl/>
        </w:rPr>
        <w:t>.</w:t>
      </w:r>
      <w:r w:rsidRPr="00132E65">
        <w:rPr>
          <w:rtl/>
        </w:rPr>
        <w:t xml:space="preserve"> </w:t>
      </w:r>
      <w:r w:rsidRPr="00C1496E">
        <w:rPr>
          <w:rStyle w:val="libFootnoteBoldChar"/>
          <w:rtl/>
        </w:rPr>
        <w:t>الصحاح</w:t>
      </w:r>
      <w:r w:rsidRPr="00132E65">
        <w:rPr>
          <w:rtl/>
        </w:rPr>
        <w:t xml:space="preserve"> ، ج 2 ، ص 611 ؛ </w:t>
      </w:r>
      <w:r w:rsidRPr="00C1496E">
        <w:rPr>
          <w:rStyle w:val="libFootnoteBoldChar"/>
          <w:rtl/>
        </w:rPr>
        <w:t>النهاية</w:t>
      </w:r>
      <w:r w:rsidRPr="00132E65">
        <w:rPr>
          <w:rtl/>
        </w:rPr>
        <w:t xml:space="preserve"> ، ج 1 ، ص 260 ( جرر )</w:t>
      </w:r>
      <w:r>
        <w:rPr>
          <w:rtl/>
        </w:rPr>
        <w:t>.</w:t>
      </w:r>
    </w:p>
    <w:p w:rsidR="000C39D1" w:rsidRPr="00132E65" w:rsidRDefault="000C39D1" w:rsidP="000C39D1">
      <w:pPr>
        <w:pStyle w:val="libFootnote0"/>
        <w:rPr>
          <w:rtl/>
          <w:lang w:bidi="fa-IR"/>
        </w:rPr>
      </w:pPr>
      <w:r>
        <w:rPr>
          <w:rtl/>
        </w:rPr>
        <w:t>(4).</w:t>
      </w:r>
      <w:r w:rsidRPr="00132E65">
        <w:rPr>
          <w:rtl/>
        </w:rPr>
        <w:t xml:space="preserve"> « نَعافُهُ » : نكرهه. يقال : عافَ الرجلُ الطعامَ أو الشرابَ يَعافُهُ عِيافاً ، أي كرهه فلم يشربه. راجع : </w:t>
      </w:r>
      <w:r w:rsidRPr="00C1496E">
        <w:rPr>
          <w:rStyle w:val="libFootnoteBoldChar"/>
          <w:rtl/>
        </w:rPr>
        <w:t>الصحاح</w:t>
      </w:r>
      <w:r w:rsidRPr="00132E65">
        <w:rPr>
          <w:rtl/>
        </w:rPr>
        <w:t xml:space="preserve"> ، ج 4 ، ص 1408 ( عيف )</w:t>
      </w:r>
      <w:r>
        <w:rPr>
          <w:rtl/>
        </w:rPr>
        <w:t>.</w:t>
      </w:r>
      <w:r>
        <w:rPr>
          <w:rFonts w:hint="cs"/>
          <w:rtl/>
        </w:rPr>
        <w:t xml:space="preserve">             </w:t>
      </w:r>
      <w:r w:rsidR="0033724D">
        <w:rPr>
          <w:rFonts w:hint="cs"/>
          <w:rtl/>
        </w:rPr>
        <w:t xml:space="preserve">                 </w:t>
      </w:r>
      <w:r>
        <w:rPr>
          <w:rFonts w:hint="cs"/>
          <w:rtl/>
        </w:rPr>
        <w:t xml:space="preserve">    </w:t>
      </w:r>
      <w:r>
        <w:rPr>
          <w:rtl/>
        </w:rPr>
        <w:t>(5). في « ب</w:t>
      </w:r>
      <w:r w:rsidRPr="00132E65">
        <w:rPr>
          <w:rtl/>
        </w:rPr>
        <w:t xml:space="preserve">» والبحار ، ج 47 </w:t>
      </w:r>
      <w:r>
        <w:rPr>
          <w:rtl/>
        </w:rPr>
        <w:t>: «وما</w:t>
      </w:r>
      <w:r w:rsidRPr="00132E65">
        <w:rPr>
          <w:rtl/>
        </w:rPr>
        <w:t>»</w:t>
      </w:r>
      <w:r>
        <w:rPr>
          <w:rtl/>
        </w:rPr>
        <w:t>. وفي «</w:t>
      </w:r>
      <w:r w:rsidRPr="00132E65">
        <w:rPr>
          <w:rtl/>
        </w:rPr>
        <w:t>ف » : « ما »</w:t>
      </w:r>
      <w:r>
        <w:rPr>
          <w:rtl/>
        </w:rPr>
        <w:t>.</w:t>
      </w:r>
    </w:p>
    <w:p w:rsidR="000C39D1" w:rsidRPr="00132E65" w:rsidRDefault="000C39D1" w:rsidP="000C39D1">
      <w:pPr>
        <w:pStyle w:val="libFootnote0"/>
        <w:rPr>
          <w:rtl/>
          <w:lang w:bidi="fa-IR"/>
        </w:rPr>
      </w:pPr>
      <w:r>
        <w:rPr>
          <w:rtl/>
        </w:rPr>
        <w:t>(6).</w:t>
      </w:r>
      <w:r w:rsidRPr="00132E65">
        <w:rPr>
          <w:rtl/>
        </w:rPr>
        <w:t xml:space="preserve"> في « ج ، ض ، ف ، ه‍ ، بح ، بس ، بف » و</w:t>
      </w:r>
      <w:r w:rsidRPr="009D1ACE">
        <w:rPr>
          <w:rStyle w:val="libFootnoteBoldChar"/>
          <w:rtl/>
        </w:rPr>
        <w:t>الوافي</w:t>
      </w:r>
      <w:r w:rsidRPr="00132E65">
        <w:rPr>
          <w:rtl/>
        </w:rPr>
        <w:t xml:space="preserve"> : « قال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ف » : « بيت »</w:t>
            </w:r>
            <w:r>
              <w:rPr>
                <w:rtl/>
              </w:rPr>
              <w:t>.</w:t>
            </w:r>
          </w:p>
        </w:tc>
        <w:tc>
          <w:tcPr>
            <w:tcW w:w="4006" w:type="dxa"/>
          </w:tcPr>
          <w:p w:rsidR="000C39D1" w:rsidRDefault="000C39D1" w:rsidP="00B53873">
            <w:pPr>
              <w:pStyle w:val="libFootnote0"/>
              <w:rPr>
                <w:rtl/>
              </w:rPr>
            </w:pPr>
            <w:r>
              <w:rPr>
                <w:rtl/>
              </w:rPr>
              <w:t>(8).</w:t>
            </w:r>
            <w:r w:rsidRPr="00132E65">
              <w:rPr>
                <w:rtl/>
              </w:rPr>
              <w:t xml:space="preserve"> في حاشية « ج » : « وخرجت »</w:t>
            </w:r>
            <w:r>
              <w:rPr>
                <w:rtl/>
              </w:rPr>
              <w:t>.</w:t>
            </w:r>
          </w:p>
        </w:tc>
      </w:tr>
    </w:tbl>
    <w:p w:rsidR="000C39D1" w:rsidRPr="00132E65" w:rsidRDefault="000C39D1" w:rsidP="000C39D1">
      <w:pPr>
        <w:pStyle w:val="libFootnote0"/>
        <w:rPr>
          <w:rtl/>
          <w:lang w:bidi="fa-IR"/>
        </w:rPr>
      </w:pPr>
      <w:r>
        <w:rPr>
          <w:rtl/>
        </w:rPr>
        <w:t>(9).</w:t>
      </w:r>
      <w:r w:rsidRPr="00132E65">
        <w:rPr>
          <w:rtl/>
        </w:rPr>
        <w:t xml:space="preserve"> « العصابة » : هم الجماعة من الناس من العشرة إلى الأربعين. </w:t>
      </w:r>
      <w:r w:rsidRPr="00C1496E">
        <w:rPr>
          <w:rStyle w:val="libFootnoteBoldChar"/>
          <w:rtl/>
        </w:rPr>
        <w:t>النهاية</w:t>
      </w:r>
      <w:r w:rsidRPr="00132E65">
        <w:rPr>
          <w:rtl/>
        </w:rPr>
        <w:t xml:space="preserve"> ، ج 3 ، ص 243 ( عصب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في « بح » </w:t>
            </w:r>
            <w:r>
              <w:rPr>
                <w:rtl/>
              </w:rPr>
              <w:t xml:space="preserve">: - </w:t>
            </w:r>
            <w:r w:rsidRPr="00132E65">
              <w:rPr>
                <w:rtl/>
              </w:rPr>
              <w:t>« من »</w:t>
            </w:r>
            <w:r>
              <w:rPr>
                <w:rtl/>
              </w:rPr>
              <w:t>.</w:t>
            </w:r>
          </w:p>
        </w:tc>
        <w:tc>
          <w:tcPr>
            <w:tcW w:w="4006" w:type="dxa"/>
          </w:tcPr>
          <w:p w:rsidR="000C39D1" w:rsidRDefault="000C39D1" w:rsidP="00B53873">
            <w:pPr>
              <w:pStyle w:val="libFootnote0"/>
              <w:rPr>
                <w:rtl/>
              </w:rPr>
            </w:pPr>
            <w:r>
              <w:rPr>
                <w:rtl/>
              </w:rPr>
              <w:t>(11).</w:t>
            </w:r>
            <w:r w:rsidRPr="00132E65">
              <w:rPr>
                <w:rtl/>
              </w:rPr>
              <w:t xml:space="preserve"> في « ه‍ » : « ومن »</w:t>
            </w:r>
            <w:r>
              <w:rPr>
                <w:rtl/>
              </w:rPr>
              <w:t>.</w:t>
            </w:r>
          </w:p>
        </w:tc>
      </w:tr>
      <w:tr w:rsidR="000C39D1" w:rsidTr="00B53873">
        <w:tc>
          <w:tcPr>
            <w:tcW w:w="4006" w:type="dxa"/>
          </w:tcPr>
          <w:p w:rsidR="000C39D1" w:rsidRDefault="000C39D1" w:rsidP="00B53873">
            <w:pPr>
              <w:pStyle w:val="libFootnote0"/>
              <w:rPr>
                <w:rtl/>
              </w:rPr>
            </w:pPr>
            <w:r>
              <w:rPr>
                <w:rtl/>
              </w:rPr>
              <w:t>(12).</w:t>
            </w:r>
            <w:r w:rsidRPr="00132E65">
              <w:rPr>
                <w:rtl/>
              </w:rPr>
              <w:t xml:space="preserve"> في « ف » : « من سائر »</w:t>
            </w:r>
            <w:r>
              <w:rPr>
                <w:rtl/>
              </w:rPr>
              <w:t>.</w:t>
            </w:r>
          </w:p>
        </w:tc>
        <w:tc>
          <w:tcPr>
            <w:tcW w:w="4006" w:type="dxa"/>
          </w:tcPr>
          <w:p w:rsidR="000C39D1" w:rsidRDefault="000C39D1" w:rsidP="00B53873">
            <w:pPr>
              <w:pStyle w:val="libFootnote0"/>
              <w:rPr>
                <w:rtl/>
              </w:rPr>
            </w:pPr>
            <w:r>
              <w:rPr>
                <w:rtl/>
              </w:rPr>
              <w:t>(13)</w:t>
            </w:r>
            <w:r w:rsidRPr="00132E65">
              <w:rPr>
                <w:rtl/>
              </w:rPr>
              <w:t xml:space="preserve"> في البحار ، ج 47 : « عالم »</w:t>
            </w:r>
            <w:r>
              <w:rPr>
                <w:rtl/>
              </w:rPr>
              <w:t>.</w:t>
            </w:r>
          </w:p>
        </w:tc>
      </w:tr>
    </w:tbl>
    <w:p w:rsidR="000C39D1" w:rsidRPr="00132E65" w:rsidRDefault="000C39D1" w:rsidP="000C39D1">
      <w:pPr>
        <w:pStyle w:val="libFootnote0"/>
        <w:rPr>
          <w:rtl/>
          <w:lang w:bidi="fa-IR"/>
        </w:rPr>
      </w:pPr>
      <w:r>
        <w:rPr>
          <w:rtl/>
        </w:rPr>
        <w:t>(14)</w:t>
      </w:r>
      <w:r w:rsidRPr="00132E65">
        <w:rPr>
          <w:rtl/>
        </w:rPr>
        <w:t xml:space="preserve"> في « ف » : « الحضيرة »</w:t>
      </w:r>
      <w:r>
        <w:rPr>
          <w:rtl/>
        </w:rPr>
        <w:t>.</w:t>
      </w:r>
      <w:r w:rsidRPr="00132E65">
        <w:rPr>
          <w:rtl/>
        </w:rPr>
        <w:t xml:space="preserve"> وقوله : « كان بالحضرة » ، أي كان حاضراً. راجع : </w:t>
      </w:r>
      <w:r w:rsidRPr="009D1ACE">
        <w:rPr>
          <w:rStyle w:val="libFootnoteBoldChar"/>
          <w:rtl/>
        </w:rPr>
        <w:t>لسان العرب</w:t>
      </w:r>
      <w:r w:rsidRPr="00132E65">
        <w:rPr>
          <w:rtl/>
        </w:rPr>
        <w:t xml:space="preserve"> ، ج 4 ، ص 196 ( حضر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يَا أَخَا كَلْبٍ ؛ فَوَ اللهِ لَقَدْ أَدْهَشَنِي </w:t>
      </w:r>
      <w:r>
        <w:rPr>
          <w:rStyle w:val="libFootnotenumChar"/>
          <w:rtl/>
        </w:rPr>
        <w:t>(1)</w:t>
      </w:r>
      <w:r w:rsidRPr="00132E65">
        <w:rPr>
          <w:rtl/>
          <w:lang w:bidi="fa-IR"/>
        </w:rPr>
        <w:t xml:space="preserve"> ، فَدَخَلْتُ وأَنَا مُضْطَرِبٌ ، ونَظَرْتُ </w:t>
      </w:r>
      <w:r>
        <w:rPr>
          <w:rStyle w:val="libFootnotenumChar"/>
          <w:rtl/>
        </w:rPr>
        <w:t>(2)</w:t>
      </w:r>
      <w:r w:rsidRPr="00132E65">
        <w:rPr>
          <w:rtl/>
          <w:lang w:bidi="fa-IR"/>
        </w:rPr>
        <w:t xml:space="preserve"> فَإِذَا شَيْخٌ </w:t>
      </w:r>
      <w:r>
        <w:rPr>
          <w:rStyle w:val="libFootnotenumChar"/>
          <w:rtl/>
        </w:rPr>
        <w:t>(3)</w:t>
      </w:r>
      <w:r w:rsidRPr="00132E65">
        <w:rPr>
          <w:rtl/>
          <w:lang w:bidi="fa-IR"/>
        </w:rPr>
        <w:t xml:space="preserve"> عَلى مُصَلًّى بِلَا مِرْفَقَةٍ </w:t>
      </w:r>
      <w:r>
        <w:rPr>
          <w:rStyle w:val="libFootnotenumChar"/>
          <w:rtl/>
        </w:rPr>
        <w:t>(4)</w:t>
      </w:r>
      <w:r w:rsidRPr="00132E65">
        <w:rPr>
          <w:rtl/>
          <w:lang w:bidi="fa-IR"/>
        </w:rPr>
        <w:t xml:space="preserve"> ولَابَرْدَعَةٍ </w:t>
      </w:r>
      <w:r>
        <w:rPr>
          <w:rStyle w:val="libFootnotenumChar"/>
          <w:rtl/>
        </w:rPr>
        <w:t>(5)</w:t>
      </w:r>
      <w:r w:rsidRPr="00132E65">
        <w:rPr>
          <w:rtl/>
          <w:lang w:bidi="fa-IR"/>
        </w:rPr>
        <w:t xml:space="preserve"> ، فَابْتَدَأَنِي بَعْدَ أَنْ سَلَّمْتُ عَلَيْهِ ، فَقَالَ لِي : « مَنْ أَنْتَ</w:t>
      </w:r>
      <w:r>
        <w:rPr>
          <w:rtl/>
          <w:lang w:bidi="fa-IR"/>
        </w:rPr>
        <w:t>؟</w:t>
      </w:r>
      <w:r w:rsidRPr="00132E65">
        <w:rPr>
          <w:rtl/>
          <w:lang w:bidi="fa-IR"/>
        </w:rPr>
        <w:t xml:space="preserve"> » فَقُلْتُ فِي نَفْسِي : يَا </w:t>
      </w:r>
      <w:r>
        <w:rPr>
          <w:rStyle w:val="libFootnotenumChar"/>
          <w:rtl/>
        </w:rPr>
        <w:t>(6)</w:t>
      </w:r>
      <w:r w:rsidRPr="00132E65">
        <w:rPr>
          <w:rtl/>
          <w:lang w:bidi="fa-IR"/>
        </w:rPr>
        <w:t xml:space="preserve"> سُبْحَانَ اللهِ</w:t>
      </w:r>
      <w:r>
        <w:rPr>
          <w:rtl/>
          <w:lang w:bidi="fa-IR"/>
        </w:rPr>
        <w:t>!</w:t>
      </w:r>
      <w:r w:rsidRPr="00132E65">
        <w:rPr>
          <w:rtl/>
          <w:lang w:bidi="fa-IR"/>
        </w:rPr>
        <w:t xml:space="preserve"> غُلَامُهُ يَقُولُ لِي بِالْبَابِ </w:t>
      </w:r>
      <w:r>
        <w:rPr>
          <w:rStyle w:val="libFootnotenumChar"/>
          <w:rtl/>
        </w:rPr>
        <w:t>(7)</w:t>
      </w:r>
      <w:r w:rsidRPr="00132E65">
        <w:rPr>
          <w:rtl/>
          <w:lang w:bidi="fa-IR"/>
        </w:rPr>
        <w:t xml:space="preserve"> : « ادْخُلْ يَا أَخَا كَلْبٍ » وَيَسْأَلُنِي الْمَوْلى </w:t>
      </w:r>
      <w:r>
        <w:rPr>
          <w:rStyle w:val="libFootnotenumChar"/>
          <w:rtl/>
        </w:rPr>
        <w:t>(8)</w:t>
      </w:r>
      <w:r w:rsidRPr="00132E65">
        <w:rPr>
          <w:rtl/>
          <w:lang w:bidi="fa-IR"/>
        </w:rPr>
        <w:t xml:space="preserve"> : « مَنْ أَنْتَ</w:t>
      </w:r>
      <w:r>
        <w:rPr>
          <w:rtl/>
          <w:lang w:bidi="fa-IR"/>
        </w:rPr>
        <w:t>؟</w:t>
      </w:r>
      <w:r w:rsidRPr="00132E65">
        <w:rPr>
          <w:rtl/>
          <w:lang w:bidi="fa-IR"/>
        </w:rPr>
        <w:t xml:space="preserve"> » فَقُلْتُ لَهُ : أَنَا الْكَلْبِيُّ النَّسَّابَةُ ، فَضَرَبَ بِيَدِهِ عَلى جَبْهَتِهِ ، وَقَالَ : « كَذَبَ الْعَادِلُونَ </w:t>
      </w:r>
      <w:r>
        <w:rPr>
          <w:rStyle w:val="libFootnotenumChar"/>
          <w:rtl/>
        </w:rPr>
        <w:t>(9)</w:t>
      </w:r>
      <w:r w:rsidRPr="00132E65">
        <w:rPr>
          <w:rtl/>
          <w:lang w:bidi="fa-IR"/>
        </w:rPr>
        <w:t xml:space="preserve"> بِاللهِ ، وضَلُّوا ضَلَالاً بَعِيداً ، وخَسِرُوا </w:t>
      </w:r>
      <w:r>
        <w:rPr>
          <w:rStyle w:val="libFootnotenumChar"/>
          <w:rtl/>
        </w:rPr>
        <w:t>(10)</w:t>
      </w:r>
      <w:r w:rsidRPr="00132E65">
        <w:rPr>
          <w:rtl/>
          <w:lang w:bidi="fa-IR"/>
        </w:rPr>
        <w:t xml:space="preserve"> </w:t>
      </w:r>
      <w:r w:rsidRPr="00071CF9">
        <w:rPr>
          <w:rStyle w:val="libAlaemChar"/>
          <w:rtl/>
        </w:rPr>
        <w:t>(</w:t>
      </w:r>
      <w:r w:rsidRPr="00071CF9">
        <w:rPr>
          <w:rStyle w:val="libAieChar"/>
          <w:rtl/>
        </w:rPr>
        <w:t xml:space="preserve"> خُسْرَاناً مُبِيناً </w:t>
      </w:r>
      <w:r w:rsidRPr="00071CF9">
        <w:rPr>
          <w:rStyle w:val="libAlaemChar"/>
          <w:rtl/>
        </w:rPr>
        <w:t>)</w:t>
      </w:r>
      <w:r w:rsidRPr="00132E65">
        <w:rPr>
          <w:rtl/>
          <w:lang w:bidi="fa-IR"/>
        </w:rPr>
        <w:t xml:space="preserve"> ؛ يَا أَخَا كَلْبٍ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وَعاداً وَثَمُودَ وَأَصْحابَ الرَّسِّ وَقُرُوناً بَيْنَ ذلِكَ كَثِيراً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أَفَتَنْسِبُهَا </w:t>
      </w:r>
      <w:r>
        <w:rPr>
          <w:rStyle w:val="libFootnotenumChar"/>
          <w:rtl/>
        </w:rPr>
        <w:t>(12)</w:t>
      </w:r>
      <w:r w:rsidRPr="00132E65">
        <w:rPr>
          <w:rtl/>
          <w:lang w:bidi="fa-IR"/>
        </w:rPr>
        <w:t xml:space="preserve"> أَنْتَ</w:t>
      </w:r>
      <w:r>
        <w:rPr>
          <w:rtl/>
          <w:lang w:bidi="fa-IR"/>
        </w:rPr>
        <w:t>؟</w:t>
      </w:r>
      <w:r w:rsidRPr="00132E65">
        <w:rPr>
          <w:rtl/>
          <w:lang w:bidi="fa-IR"/>
        </w:rPr>
        <w:t xml:space="preserve"> » فَقُلْتُ : لَا ، جُعِلْتُ فِدَاكَ ، فَقَالَ لِي : « أَفَتَنْسِبُ نَفْسَكَ</w:t>
      </w:r>
      <w:r>
        <w:rPr>
          <w:rtl/>
          <w:lang w:bidi="fa-IR"/>
        </w:rPr>
        <w:t>؟</w:t>
      </w:r>
      <w:r w:rsidRPr="00132E65">
        <w:rPr>
          <w:rtl/>
          <w:lang w:bidi="fa-IR"/>
        </w:rPr>
        <w:t xml:space="preserve"> » قُلْتُ </w:t>
      </w:r>
      <w:r w:rsidRPr="00F543F1">
        <w:rPr>
          <w:rStyle w:val="libFootnotenumChar"/>
          <w:rtl/>
        </w:rPr>
        <w:t>(13)</w:t>
      </w:r>
      <w:r w:rsidRPr="00132E65">
        <w:rPr>
          <w:rtl/>
          <w:lang w:bidi="fa-IR"/>
        </w:rPr>
        <w:t xml:space="preserve"> : نَعَمْ ، أَنَا فُلَانُ بْنُ فُلَانِ بْنِ فُلَانٍ ، حَتَّى ارْتَفَعْتُ </w:t>
      </w:r>
      <w:r w:rsidRPr="00F543F1">
        <w:rPr>
          <w:rStyle w:val="libFootnotenumChar"/>
          <w:rtl/>
        </w:rPr>
        <w:t>(14)</w:t>
      </w:r>
      <w:r w:rsidRPr="00132E65">
        <w:rPr>
          <w:rtl/>
          <w:lang w:bidi="fa-IR"/>
        </w:rPr>
        <w:t xml:space="preserve"> ، فَقَالَ لِي : « قِفْ </w:t>
      </w:r>
      <w:r w:rsidRPr="00F543F1">
        <w:rPr>
          <w:rStyle w:val="libFootnotenumChar"/>
          <w:rtl/>
        </w:rPr>
        <w:t>(15)</w:t>
      </w:r>
      <w:r w:rsidRPr="00132E65">
        <w:rPr>
          <w:rtl/>
          <w:lang w:bidi="fa-IR"/>
        </w:rPr>
        <w:t xml:space="preserve"> ؛ لَيْسَ حَيْثُ تَذْهَبُ وَيْحَكَ </w:t>
      </w:r>
      <w:r w:rsidRPr="00F543F1">
        <w:rPr>
          <w:rStyle w:val="libFootnotenumChar"/>
          <w:rtl/>
        </w:rPr>
        <w:t>(16)</w:t>
      </w:r>
      <w:r>
        <w:rPr>
          <w:rtl/>
          <w:lang w:bidi="fa-IR"/>
        </w:rPr>
        <w:t xml:space="preserve"> ، أَ</w:t>
      </w:r>
      <w:r w:rsidRPr="00132E65">
        <w:rPr>
          <w:rtl/>
          <w:lang w:bidi="fa-IR"/>
        </w:rPr>
        <w:t>تَدْرِي مَنْ فُلَانُ بْنُ فُلَانٍ</w:t>
      </w:r>
      <w:r>
        <w:rPr>
          <w:rtl/>
          <w:lang w:bidi="fa-IR"/>
        </w:rPr>
        <w:t>؟</w:t>
      </w:r>
      <w:r w:rsidRPr="00132E65">
        <w:rPr>
          <w:rtl/>
          <w:lang w:bidi="fa-IR"/>
        </w:rPr>
        <w:t xml:space="preserve"> » قُلْتُ : نَعَمْ ، فُلَانُ بْنُ فُلَانٍ ، قَالَ : « إِنَّ‌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دَهِشَ » : تحيّر ، أو ذهب عقله ، من الذَهَل والوَلَه ، أو من الفَزَع ونحوه. وأدهشه غيره. وفي </w:t>
      </w:r>
      <w:r w:rsidRPr="009D1ACE">
        <w:rPr>
          <w:rStyle w:val="libFootnoteBoldChar"/>
          <w:rtl/>
        </w:rPr>
        <w:t>الوافي</w:t>
      </w:r>
      <w:r w:rsidRPr="00132E65">
        <w:rPr>
          <w:rtl/>
        </w:rPr>
        <w:t xml:space="preserve"> : « إنّما</w:t>
      </w:r>
      <w:r>
        <w:rPr>
          <w:rFonts w:hint="cs"/>
          <w:rtl/>
        </w:rPr>
        <w:t xml:space="preserve"> </w:t>
      </w:r>
      <w:r w:rsidRPr="00132E65">
        <w:rPr>
          <w:rtl/>
        </w:rPr>
        <w:t>أدهشه لأنّه أخبر بنسبه من غير تقدّم معرفة به »</w:t>
      </w:r>
      <w:r>
        <w:rPr>
          <w:rtl/>
        </w:rPr>
        <w:t>.</w:t>
      </w:r>
      <w:r w:rsidRPr="00132E65">
        <w:rPr>
          <w:rtl/>
        </w:rPr>
        <w:t xml:space="preserve"> راجع : </w:t>
      </w:r>
      <w:r w:rsidRPr="009D1ACE">
        <w:rPr>
          <w:rStyle w:val="libFootnoteBoldChar"/>
          <w:rtl/>
        </w:rPr>
        <w:t>لسان العرب</w:t>
      </w:r>
      <w:r w:rsidRPr="00132E65">
        <w:rPr>
          <w:rtl/>
        </w:rPr>
        <w:t xml:space="preserve"> ، ج 6 ، ص 303 ( دهش )</w:t>
      </w:r>
      <w:r>
        <w:rPr>
          <w:rtl/>
        </w:rPr>
        <w:t>.</w:t>
      </w:r>
    </w:p>
    <w:p w:rsidR="000C39D1" w:rsidRPr="00132E65" w:rsidRDefault="000C39D1" w:rsidP="000C39D1">
      <w:pPr>
        <w:pStyle w:val="libFootnote0"/>
        <w:rPr>
          <w:rtl/>
          <w:lang w:bidi="fa-IR"/>
        </w:rPr>
      </w:pPr>
      <w:r>
        <w:rPr>
          <w:rtl/>
        </w:rPr>
        <w:t>(2).</w:t>
      </w:r>
      <w:r w:rsidRPr="00132E65">
        <w:rPr>
          <w:rtl/>
        </w:rPr>
        <w:t xml:space="preserve"> في « بر » : « فنظرت »</w:t>
      </w:r>
      <w:r>
        <w:rPr>
          <w:rtl/>
        </w:rPr>
        <w:t>.</w:t>
      </w:r>
    </w:p>
    <w:p w:rsidR="000C39D1" w:rsidRPr="00132E65" w:rsidRDefault="000C39D1" w:rsidP="000C39D1">
      <w:pPr>
        <w:pStyle w:val="libFootnote0"/>
        <w:rPr>
          <w:rtl/>
          <w:lang w:bidi="fa-IR"/>
        </w:rPr>
      </w:pPr>
      <w:r>
        <w:rPr>
          <w:rtl/>
        </w:rPr>
        <w:t>(3).</w:t>
      </w:r>
      <w:r w:rsidRPr="00132E65">
        <w:rPr>
          <w:rtl/>
        </w:rPr>
        <w:t xml:space="preserve"> في البحار ، ج 47 : « بشيخ »</w:t>
      </w:r>
      <w:r>
        <w:rPr>
          <w:rtl/>
        </w:rPr>
        <w:t>.</w:t>
      </w:r>
    </w:p>
    <w:p w:rsidR="000C39D1" w:rsidRPr="00132E65" w:rsidRDefault="000C39D1" w:rsidP="000C39D1">
      <w:pPr>
        <w:pStyle w:val="libFootnote0"/>
        <w:rPr>
          <w:rtl/>
          <w:lang w:bidi="fa-IR"/>
        </w:rPr>
      </w:pPr>
      <w:r>
        <w:rPr>
          <w:rtl/>
        </w:rPr>
        <w:t>(4). « الم</w:t>
      </w:r>
      <w:r>
        <w:rPr>
          <w:rFonts w:hint="cs"/>
          <w:rtl/>
        </w:rPr>
        <w:t>ـِ</w:t>
      </w:r>
      <w:r w:rsidRPr="00132E65">
        <w:rPr>
          <w:rtl/>
        </w:rPr>
        <w:t>رْفَقَة</w:t>
      </w:r>
      <w:r>
        <w:rPr>
          <w:rtl/>
        </w:rPr>
        <w:t>ُ » : هي كالوسادة. وأصله من الم</w:t>
      </w:r>
      <w:r>
        <w:rPr>
          <w:rFonts w:hint="cs"/>
          <w:rtl/>
        </w:rPr>
        <w:t>ـِ</w:t>
      </w:r>
      <w:r w:rsidRPr="00132E65">
        <w:rPr>
          <w:rtl/>
        </w:rPr>
        <w:t xml:space="preserve">رْفَق ، كأنّه استعملَ مِرْفَقَه واتّكأ عليه. </w:t>
      </w:r>
      <w:r w:rsidRPr="004604A9">
        <w:rPr>
          <w:rStyle w:val="libFootnoteBoldChar"/>
          <w:rtl/>
        </w:rPr>
        <w:t>النهاية</w:t>
      </w:r>
      <w:r w:rsidRPr="00132E65">
        <w:rPr>
          <w:rtl/>
        </w:rPr>
        <w:t xml:space="preserve"> ، ج 2 ، ص 246 ( رفق )</w:t>
      </w:r>
      <w:r>
        <w:rPr>
          <w:rtl/>
        </w:rPr>
        <w:t>.</w:t>
      </w:r>
    </w:p>
    <w:p w:rsidR="000C39D1" w:rsidRPr="00132E65" w:rsidRDefault="000C39D1" w:rsidP="000C39D1">
      <w:pPr>
        <w:pStyle w:val="libFootnote0"/>
        <w:rPr>
          <w:rtl/>
          <w:lang w:bidi="fa-IR"/>
        </w:rPr>
      </w:pPr>
      <w:r>
        <w:rPr>
          <w:rtl/>
        </w:rPr>
        <w:t>(5).</w:t>
      </w:r>
      <w:r w:rsidRPr="00132E65">
        <w:rPr>
          <w:rtl/>
        </w:rPr>
        <w:t xml:space="preserve"> في « ض ، ف ، بح ، بس ، بف » : « برذعة »</w:t>
      </w:r>
      <w:r>
        <w:rPr>
          <w:rtl/>
        </w:rPr>
        <w:t>.</w:t>
      </w:r>
      <w:r w:rsidRPr="00132E65">
        <w:rPr>
          <w:rtl/>
        </w:rPr>
        <w:t xml:space="preserve"> وقوله : « البَرْدَعَةُ » : الحِلْسُ والكِساء الذي يُلقى تحت الرَحْل ، وهي بالذال والدال. والمراد هنا الحلس الذي يبسط في البيت. راجع : </w:t>
      </w:r>
      <w:r w:rsidRPr="009D1ACE">
        <w:rPr>
          <w:rStyle w:val="libFootnoteBoldChar"/>
          <w:rtl/>
        </w:rPr>
        <w:t>لسان العرب</w:t>
      </w:r>
      <w:r w:rsidRPr="00132E65">
        <w:rPr>
          <w:rtl/>
        </w:rPr>
        <w:t xml:space="preserve"> ، ج 8 ، ص 8 ( بردع ) ؛ </w:t>
      </w:r>
      <w:r w:rsidRPr="009D1ACE">
        <w:rPr>
          <w:rStyle w:val="libFootnoteBoldChar"/>
          <w:rtl/>
        </w:rPr>
        <w:t>مرآة العقول</w:t>
      </w:r>
      <w:r w:rsidRPr="00132E65">
        <w:rPr>
          <w:rtl/>
        </w:rPr>
        <w:t xml:space="preserve"> ، ج 4 ، ص 89.</w:t>
      </w:r>
      <w:r>
        <w:rPr>
          <w:rFonts w:hint="cs"/>
          <w:rtl/>
        </w:rPr>
        <w:t xml:space="preserve">                     </w:t>
      </w:r>
      <w:r w:rsidR="0033724D">
        <w:rPr>
          <w:rFonts w:hint="cs"/>
          <w:rtl/>
        </w:rPr>
        <w:t xml:space="preserve">               </w:t>
      </w:r>
      <w:r>
        <w:rPr>
          <w:rFonts w:hint="cs"/>
          <w:rtl/>
        </w:rPr>
        <w:t xml:space="preserve">      </w:t>
      </w:r>
      <w:r>
        <w:rPr>
          <w:rtl/>
        </w:rPr>
        <w:t>(6).</w:t>
      </w:r>
      <w:r w:rsidRPr="00132E65">
        <w:rPr>
          <w:rtl/>
        </w:rPr>
        <w:t xml:space="preserve"> في « بح » </w:t>
      </w:r>
      <w:r>
        <w:rPr>
          <w:rtl/>
        </w:rPr>
        <w:t xml:space="preserve">: - </w:t>
      </w:r>
      <w:r w:rsidRPr="00132E65">
        <w:rPr>
          <w:rtl/>
        </w:rPr>
        <w:t>« يا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بس ، بف » : « في الباب »</w:t>
            </w:r>
            <w:r>
              <w:rPr>
                <w:rtl/>
              </w:rPr>
              <w:t>.</w:t>
            </w:r>
          </w:p>
        </w:tc>
        <w:tc>
          <w:tcPr>
            <w:tcW w:w="4006" w:type="dxa"/>
          </w:tcPr>
          <w:p w:rsidR="000C39D1" w:rsidRDefault="000C39D1" w:rsidP="00B53873">
            <w:pPr>
              <w:pStyle w:val="libFootnote0"/>
              <w:rPr>
                <w:rtl/>
              </w:rPr>
            </w:pPr>
            <w:r>
              <w:rPr>
                <w:rtl/>
              </w:rPr>
              <w:t>(8).</w:t>
            </w:r>
            <w:r w:rsidRPr="00132E65">
              <w:rPr>
                <w:rtl/>
              </w:rPr>
              <w:t xml:space="preserve"> في « ف » : « والمولى يسألني »</w:t>
            </w:r>
            <w:r>
              <w:rPr>
                <w:rtl/>
              </w:rPr>
              <w:t>.</w:t>
            </w:r>
          </w:p>
        </w:tc>
      </w:tr>
    </w:tbl>
    <w:p w:rsidR="000C39D1" w:rsidRPr="00132E65" w:rsidRDefault="000C39D1" w:rsidP="000C39D1">
      <w:pPr>
        <w:pStyle w:val="libFootnote0"/>
        <w:rPr>
          <w:rtl/>
          <w:lang w:bidi="fa-IR"/>
        </w:rPr>
      </w:pPr>
      <w:r>
        <w:rPr>
          <w:rtl/>
        </w:rPr>
        <w:t>(9).</w:t>
      </w:r>
      <w:r w:rsidRPr="00132E65">
        <w:rPr>
          <w:rtl/>
        </w:rPr>
        <w:t xml:space="preserve"> قوله : « العادِلون بالله » ، أي المشركون به والجاعلون له مِثْلاً. راجع : </w:t>
      </w:r>
      <w:r w:rsidRPr="004604A9">
        <w:rPr>
          <w:rStyle w:val="libFootnoteBoldChar"/>
          <w:rtl/>
        </w:rPr>
        <w:t>النهاية</w:t>
      </w:r>
      <w:r w:rsidRPr="00132E65">
        <w:rPr>
          <w:rtl/>
        </w:rPr>
        <w:t xml:space="preserve"> ، ج 3 ، ص 191 ( عدل )</w:t>
      </w:r>
      <w:r>
        <w:rPr>
          <w:rtl/>
        </w:rPr>
        <w:t>.</w:t>
      </w:r>
    </w:p>
    <w:p w:rsidR="000C39D1" w:rsidRPr="00132E65" w:rsidRDefault="000C39D1" w:rsidP="000C39D1">
      <w:pPr>
        <w:pStyle w:val="libFootnote0"/>
        <w:rPr>
          <w:rtl/>
          <w:lang w:bidi="fa-IR"/>
        </w:rPr>
      </w:pPr>
      <w:r>
        <w:rPr>
          <w:rtl/>
        </w:rPr>
        <w:t>(10).</w:t>
      </w:r>
      <w:r w:rsidRPr="00132E65">
        <w:rPr>
          <w:rtl/>
        </w:rPr>
        <w:t xml:space="preserve"> في البحار ، ج 47 : « قد خسروا » بدل « وخسروا »</w:t>
      </w:r>
      <w:r>
        <w:rPr>
          <w:rtl/>
        </w:rPr>
        <w:t>.</w:t>
      </w:r>
    </w:p>
    <w:p w:rsidR="000C39D1" w:rsidRPr="00132E65" w:rsidRDefault="000C39D1" w:rsidP="000C39D1">
      <w:pPr>
        <w:pStyle w:val="libFootnote0"/>
        <w:rPr>
          <w:rtl/>
          <w:lang w:bidi="fa-IR"/>
        </w:rPr>
      </w:pPr>
      <w:r>
        <w:rPr>
          <w:rtl/>
        </w:rPr>
        <w:t>(11).</w:t>
      </w:r>
      <w:r w:rsidRPr="00132E65">
        <w:rPr>
          <w:rtl/>
        </w:rPr>
        <w:t xml:space="preserve"> الفرقان (25) : 38.</w:t>
      </w:r>
    </w:p>
    <w:p w:rsidR="000C39D1" w:rsidRPr="00132E65" w:rsidRDefault="000C39D1" w:rsidP="000C39D1">
      <w:pPr>
        <w:pStyle w:val="libFootnote0"/>
        <w:rPr>
          <w:rtl/>
          <w:lang w:bidi="fa-IR"/>
        </w:rPr>
      </w:pPr>
      <w:r>
        <w:rPr>
          <w:rtl/>
        </w:rPr>
        <w:t>(12).</w:t>
      </w:r>
      <w:r w:rsidRPr="00132E65">
        <w:rPr>
          <w:rtl/>
        </w:rPr>
        <w:t xml:space="preserve"> في « ض ، بح ، بر » : « فتنسبها » بدل « أفتنسبها »</w:t>
      </w:r>
      <w:r>
        <w:rPr>
          <w:rtl/>
        </w:rPr>
        <w:t>.</w:t>
      </w:r>
      <w:r w:rsidRPr="00132E65">
        <w:rPr>
          <w:rtl/>
        </w:rPr>
        <w:t xml:space="preserve"> يعني أفتعرف نسبها</w:t>
      </w:r>
      <w:r>
        <w:rPr>
          <w:rtl/>
        </w:rPr>
        <w:t>؟</w:t>
      </w:r>
      <w:r w:rsidRPr="00132E65">
        <w:rPr>
          <w:rtl/>
        </w:rPr>
        <w:t xml:space="preserve"> والله سبحانه أجملها ولم يذكر نسبهاوأسماءها وأعدادها ، فكيف أنساب هذه القرون الكثيرة. </w:t>
      </w:r>
      <w:r w:rsidRPr="009D1ACE">
        <w:rPr>
          <w:rStyle w:val="libFootnoteBoldChar"/>
          <w:rtl/>
        </w:rPr>
        <w:t>مرآة العقول</w:t>
      </w:r>
      <w:r w:rsidRPr="00132E65">
        <w:rPr>
          <w:rtl/>
        </w:rPr>
        <w:t xml:space="preserve"> ، ج 4 ، ص 90.</w:t>
      </w:r>
    </w:p>
    <w:p w:rsidR="000C39D1" w:rsidRPr="00132E65" w:rsidRDefault="000C39D1" w:rsidP="000C39D1">
      <w:pPr>
        <w:pStyle w:val="libFootnote0"/>
        <w:rPr>
          <w:rtl/>
          <w:lang w:bidi="fa-IR"/>
        </w:rPr>
      </w:pPr>
      <w:r>
        <w:rPr>
          <w:rtl/>
        </w:rPr>
        <w:t>(13)</w:t>
      </w:r>
      <w:r w:rsidRPr="00132E65">
        <w:rPr>
          <w:rtl/>
        </w:rPr>
        <w:t xml:space="preserve"> في « بر » : « فقلت »</w:t>
      </w:r>
      <w:r>
        <w:rPr>
          <w:rtl/>
        </w:rPr>
        <w:t>.</w:t>
      </w:r>
    </w:p>
    <w:p w:rsidR="000C39D1" w:rsidRPr="00132E65" w:rsidRDefault="000C39D1" w:rsidP="000C39D1">
      <w:pPr>
        <w:pStyle w:val="libFootnote0"/>
        <w:rPr>
          <w:rtl/>
          <w:lang w:bidi="fa-IR"/>
        </w:rPr>
      </w:pPr>
      <w:r>
        <w:rPr>
          <w:rtl/>
        </w:rPr>
        <w:t>(14)</w:t>
      </w:r>
      <w:r w:rsidRPr="00132E65">
        <w:rPr>
          <w:rtl/>
        </w:rPr>
        <w:t xml:space="preserve"> في </w:t>
      </w:r>
      <w:r w:rsidRPr="009D1ACE">
        <w:rPr>
          <w:rStyle w:val="libFootnoteBoldChar"/>
          <w:rtl/>
        </w:rPr>
        <w:t>مرآة العقول</w:t>
      </w:r>
      <w:r w:rsidRPr="00132E65">
        <w:rPr>
          <w:rtl/>
        </w:rPr>
        <w:t xml:space="preserve"> : « حتّى ارتفعت ، أي بلغت إلى أجدادي العالية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(15)</w:t>
            </w:r>
            <w:r w:rsidRPr="00132E65">
              <w:rPr>
                <w:rtl/>
              </w:rPr>
              <w:t xml:space="preserve"> في شرح المازندراني :</w:t>
            </w:r>
            <w:r>
              <w:rPr>
                <w:rtl/>
              </w:rPr>
              <w:t xml:space="preserve"> + </w:t>
            </w:r>
            <w:r w:rsidRPr="00132E65">
              <w:rPr>
                <w:rtl/>
              </w:rPr>
              <w:t>« أتدري »</w:t>
            </w:r>
            <w:r>
              <w:rPr>
                <w:rtl/>
              </w:rPr>
              <w:t>.</w:t>
            </w:r>
          </w:p>
        </w:tc>
        <w:tc>
          <w:tcPr>
            <w:tcW w:w="4006" w:type="dxa"/>
          </w:tcPr>
          <w:p w:rsidR="000C39D1" w:rsidRDefault="000C39D1" w:rsidP="00B53873">
            <w:pPr>
              <w:pStyle w:val="libFootnote0"/>
              <w:rPr>
                <w:rtl/>
              </w:rPr>
            </w:pPr>
            <w:r>
              <w:rPr>
                <w:rtl/>
              </w:rPr>
              <w:t>(16)</w:t>
            </w:r>
            <w:r w:rsidRPr="00132E65">
              <w:rPr>
                <w:rtl/>
              </w:rPr>
              <w:t xml:space="preserve"> في « ه‍ » : « وحسبك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فُلَانَ بْنَ فُلَانٍ ابْنُ فُلَانٍ </w:t>
      </w:r>
      <w:r>
        <w:rPr>
          <w:rStyle w:val="libFootnotenumChar"/>
          <w:rtl/>
        </w:rPr>
        <w:t>(1)</w:t>
      </w:r>
      <w:r w:rsidRPr="00132E65">
        <w:rPr>
          <w:rtl/>
          <w:lang w:bidi="fa-IR"/>
        </w:rPr>
        <w:t xml:space="preserve"> الرَّاعِي </w:t>
      </w:r>
      <w:r>
        <w:rPr>
          <w:rStyle w:val="libFootnotenumChar"/>
          <w:rtl/>
        </w:rPr>
        <w:t>(2)</w:t>
      </w:r>
      <w:r w:rsidRPr="00132E65">
        <w:rPr>
          <w:rtl/>
          <w:lang w:bidi="fa-IR"/>
        </w:rPr>
        <w:t xml:space="preserve"> الْكُرْدِيِّ إِنَّمَا كَانَ فُلَانٌ الرَّاعِي الْكُرْدِيُّ </w:t>
      </w:r>
      <w:r>
        <w:rPr>
          <w:rStyle w:val="libFootnotenumChar"/>
          <w:rtl/>
        </w:rPr>
        <w:t>(3)</w:t>
      </w:r>
      <w:r w:rsidRPr="00132E65">
        <w:rPr>
          <w:rtl/>
          <w:lang w:bidi="fa-IR"/>
        </w:rPr>
        <w:t xml:space="preserve"> عَلى جَبَلِ آلِ فُلَانٍ ، فَنَزَلَ إِلى فُلَانَةَ امْرَأَةِ فُلَانٍ مِنْ جَبَلِهِ الَّذِي كَانَ يَرْعى غَنَمَهُ عَلَيْهِ ، فَأَطْعَمَهَا شَيْئاً وغَشِيَهَا </w:t>
      </w:r>
      <w:r>
        <w:rPr>
          <w:rStyle w:val="libFootnotenumChar"/>
          <w:rtl/>
        </w:rPr>
        <w:t>(4)</w:t>
      </w:r>
      <w:r w:rsidRPr="00132E65">
        <w:rPr>
          <w:rtl/>
          <w:lang w:bidi="fa-IR"/>
        </w:rPr>
        <w:t xml:space="preserve"> ، فَوَلَدَتْ </w:t>
      </w:r>
      <w:r>
        <w:rPr>
          <w:rStyle w:val="libFootnotenumChar"/>
          <w:rtl/>
        </w:rPr>
        <w:t>(5)</w:t>
      </w:r>
      <w:r w:rsidRPr="00132E65">
        <w:rPr>
          <w:rtl/>
          <w:lang w:bidi="fa-IR"/>
        </w:rPr>
        <w:t xml:space="preserve"> فُلَاناً ، وفُلَانُ بْنُ فُلَانٍ </w:t>
      </w:r>
      <w:r>
        <w:rPr>
          <w:rStyle w:val="libFootnotenumChar"/>
          <w:rtl/>
        </w:rPr>
        <w:t>(6)</w:t>
      </w:r>
      <w:r w:rsidRPr="00132E65">
        <w:rPr>
          <w:rtl/>
          <w:lang w:bidi="fa-IR"/>
        </w:rPr>
        <w:t xml:space="preserve"> مِنْ فُلَانَةَ وفُلَانِ بْنِ فُلَانٍ »</w:t>
      </w:r>
      <w:r>
        <w:rPr>
          <w:rtl/>
          <w:lang w:bidi="fa-IR"/>
        </w:rPr>
        <w:t>.</w:t>
      </w:r>
    </w:p>
    <w:p w:rsidR="000C39D1" w:rsidRPr="00132E65" w:rsidRDefault="000C39D1" w:rsidP="000C39D1">
      <w:pPr>
        <w:pStyle w:val="libNormal"/>
        <w:rPr>
          <w:rtl/>
          <w:lang w:bidi="fa-IR"/>
        </w:rPr>
      </w:pPr>
      <w:r>
        <w:rPr>
          <w:rtl/>
          <w:lang w:bidi="fa-IR"/>
        </w:rPr>
        <w:t>ثُمَّ قَالَ : « أَ</w:t>
      </w:r>
      <w:r w:rsidRPr="00132E65">
        <w:rPr>
          <w:rtl/>
          <w:lang w:bidi="fa-IR"/>
        </w:rPr>
        <w:t>تَعْرِفُ هذِهِ الْأَسَامِيَ</w:t>
      </w:r>
      <w:r>
        <w:rPr>
          <w:rtl/>
          <w:lang w:bidi="fa-IR"/>
        </w:rPr>
        <w:t>؟</w:t>
      </w:r>
      <w:r w:rsidRPr="00132E65">
        <w:rPr>
          <w:rtl/>
          <w:lang w:bidi="fa-IR"/>
        </w:rPr>
        <w:t xml:space="preserve"> » قُلْتُ : لَاوَ اللهِ جُعِلْتُ فِدَاكَ ، فَإِنْ رَأَيْتَ أَنْ تَكُفَّ عَنْ هذَا فَعَلْتَ ، فَقَالَ : « إِنَّمَا قُلْتَ فَقُلْتُ »</w:t>
      </w:r>
      <w:r>
        <w:rPr>
          <w:rtl/>
          <w:lang w:bidi="fa-IR"/>
        </w:rPr>
        <w:t>.</w:t>
      </w:r>
      <w:r w:rsidRPr="00132E65">
        <w:rPr>
          <w:rtl/>
          <w:lang w:bidi="fa-IR"/>
        </w:rPr>
        <w:t xml:space="preserve"> فَقُلْتُ : إِنِّي لَا</w:t>
      </w:r>
      <w:r>
        <w:rPr>
          <w:rFonts w:hint="cs"/>
          <w:rtl/>
          <w:lang w:bidi="fa-IR"/>
        </w:rPr>
        <w:t xml:space="preserve"> </w:t>
      </w:r>
      <w:r w:rsidRPr="00132E65">
        <w:rPr>
          <w:rtl/>
          <w:lang w:bidi="fa-IR"/>
        </w:rPr>
        <w:t xml:space="preserve">أَعُودُ ، قَالَ : « لَا نَعُودُ إِذاً ، وَاسْأَلْ </w:t>
      </w:r>
      <w:r>
        <w:rPr>
          <w:rStyle w:val="libFootnotenumChar"/>
          <w:rtl/>
        </w:rPr>
        <w:t>(7)</w:t>
      </w:r>
      <w:r w:rsidRPr="00132E65">
        <w:rPr>
          <w:rtl/>
          <w:lang w:bidi="fa-IR"/>
        </w:rPr>
        <w:t xml:space="preserve"> عَمَّا جِئْتَ لَهُ »</w:t>
      </w:r>
      <w:r>
        <w:rPr>
          <w:rtl/>
          <w:lang w:bidi="fa-IR"/>
        </w:rPr>
        <w:t>.</w:t>
      </w:r>
    </w:p>
    <w:p w:rsidR="000C39D1" w:rsidRPr="00132E65" w:rsidRDefault="000C39D1" w:rsidP="000C39D1">
      <w:pPr>
        <w:pStyle w:val="libNormal"/>
        <w:rPr>
          <w:rtl/>
          <w:lang w:bidi="fa-IR"/>
        </w:rPr>
      </w:pPr>
      <w:r w:rsidRPr="00132E65">
        <w:rPr>
          <w:rtl/>
          <w:lang w:bidi="fa-IR"/>
        </w:rPr>
        <w:t xml:space="preserve">فَقُلْتُ لَهُ </w:t>
      </w:r>
      <w:r>
        <w:rPr>
          <w:rStyle w:val="libFootnotenumChar"/>
          <w:rtl/>
        </w:rPr>
        <w:t>(8)</w:t>
      </w:r>
      <w:r w:rsidRPr="00132E65">
        <w:rPr>
          <w:rtl/>
          <w:lang w:bidi="fa-IR"/>
        </w:rPr>
        <w:t xml:space="preserve"> : أَخْبِرْنِي عَنْ رَجُلٍ قَالَ لِامْرَأَتِهِ : أَنْتِ طَالِقٌ عَدَدَ نُجُومِ السَّمَاءِ </w:t>
      </w:r>
      <w:r>
        <w:rPr>
          <w:rStyle w:val="libFootnotenumChar"/>
          <w:rtl/>
        </w:rPr>
        <w:t>(9)</w:t>
      </w:r>
      <w:r w:rsidRPr="00132E65">
        <w:rPr>
          <w:rtl/>
          <w:lang w:bidi="fa-IR"/>
        </w:rPr>
        <w:t xml:space="preserve"> ، فَقَالَ :</w:t>
      </w:r>
      <w:r>
        <w:rPr>
          <w:rFonts w:hint="cs"/>
          <w:rtl/>
          <w:lang w:bidi="fa-IR"/>
        </w:rPr>
        <w:t xml:space="preserve"> </w:t>
      </w:r>
      <w:r>
        <w:rPr>
          <w:rtl/>
          <w:lang w:bidi="fa-IR"/>
        </w:rPr>
        <w:t>« وَيْحَكَ ، أَ</w:t>
      </w:r>
      <w:r w:rsidRPr="00132E65">
        <w:rPr>
          <w:rtl/>
          <w:lang w:bidi="fa-IR"/>
        </w:rPr>
        <w:t>مَا تَقْرَأُ سُورَةَ الطَّلَاقِ</w:t>
      </w:r>
      <w:r>
        <w:rPr>
          <w:rtl/>
          <w:lang w:bidi="fa-IR"/>
        </w:rPr>
        <w:t>؟</w:t>
      </w:r>
      <w:r w:rsidRPr="00132E65">
        <w:rPr>
          <w:rtl/>
          <w:lang w:bidi="fa-IR"/>
        </w:rPr>
        <w:t xml:space="preserve"> » قُلْتُ : بَلى ، قَالَ : « فَاقْرَأْ » ، فَقَرَأْتُ : </w:t>
      </w:r>
      <w:r w:rsidRPr="00071CF9">
        <w:rPr>
          <w:rStyle w:val="libAlaemChar"/>
          <w:rtl/>
        </w:rPr>
        <w:t>(</w:t>
      </w:r>
      <w:r w:rsidRPr="00071CF9">
        <w:rPr>
          <w:rStyle w:val="libAieChar"/>
          <w:rtl/>
        </w:rPr>
        <w:t xml:space="preserve"> فَطَلِّقُوهُنَّ لِعِدَّتِهِنَّ وَأَحْصُوا الْعِدَّةَ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قَالَ </w:t>
      </w:r>
      <w:r>
        <w:rPr>
          <w:rStyle w:val="libFootnotenumChar"/>
          <w:rtl/>
        </w:rPr>
        <w:t>(11)</w:t>
      </w:r>
      <w:r>
        <w:rPr>
          <w:rtl/>
          <w:lang w:bidi="fa-IR"/>
        </w:rPr>
        <w:t xml:space="preserve"> : « أَ</w:t>
      </w:r>
      <w:r w:rsidRPr="00132E65">
        <w:rPr>
          <w:rtl/>
          <w:lang w:bidi="fa-IR"/>
        </w:rPr>
        <w:t>تَرى هَاهُنَا نُجُومَ السَّمَاءِ</w:t>
      </w:r>
      <w:r>
        <w:rPr>
          <w:rtl/>
          <w:lang w:bidi="fa-IR"/>
        </w:rPr>
        <w:t>؟</w:t>
      </w:r>
      <w:r w:rsidRPr="00132E65">
        <w:rPr>
          <w:rtl/>
          <w:lang w:bidi="fa-IR"/>
        </w:rPr>
        <w:t xml:space="preserve"> » قُلْتُ : لَا.</w:t>
      </w:r>
    </w:p>
    <w:p w:rsidR="000C39D1" w:rsidRPr="00132E65" w:rsidRDefault="000C39D1" w:rsidP="000C39D1">
      <w:pPr>
        <w:pStyle w:val="libNormal"/>
        <w:rPr>
          <w:rtl/>
          <w:lang w:bidi="fa-IR"/>
        </w:rPr>
      </w:pPr>
      <w:r w:rsidRPr="00132E65">
        <w:rPr>
          <w:rtl/>
          <w:lang w:bidi="fa-IR"/>
        </w:rPr>
        <w:t>قُلْتُ : فَرَجُلٌ قَالَ لِامْرَأَتِهِ : أَنْتِ طَالِقٌ ثَلَاثاً</w:t>
      </w:r>
      <w:r>
        <w:rPr>
          <w:rtl/>
          <w:lang w:bidi="fa-IR"/>
        </w:rPr>
        <w:t>؟</w:t>
      </w:r>
      <w:r w:rsidRPr="00132E65">
        <w:rPr>
          <w:rtl/>
          <w:lang w:bidi="fa-IR"/>
        </w:rPr>
        <w:t xml:space="preserve"> قَالَ : « تُرَدُّ </w:t>
      </w:r>
      <w:r>
        <w:rPr>
          <w:rStyle w:val="libFootnotenumChar"/>
          <w:rtl/>
        </w:rPr>
        <w:t>(12)</w:t>
      </w:r>
      <w:r w:rsidRPr="00132E65">
        <w:rPr>
          <w:rtl/>
          <w:lang w:bidi="fa-IR"/>
        </w:rPr>
        <w:t xml:space="preserve"> إِلى كِتَابِ اللهِ وسُنَّةِ نَبِيِّهِ </w:t>
      </w:r>
      <w:r w:rsidRPr="00F543F1">
        <w:rPr>
          <w:rStyle w:val="libFootnotenumChar"/>
          <w:rtl/>
        </w:rPr>
        <w:t>(13)</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ثُ</w:t>
      </w:r>
      <w:r>
        <w:rPr>
          <w:rtl/>
          <w:lang w:bidi="fa-IR"/>
        </w:rPr>
        <w:t>مَّ قَالَ : « لَا طَلَاقَ إِل</w:t>
      </w:r>
      <w:r>
        <w:rPr>
          <w:rFonts w:hint="cs"/>
          <w:rtl/>
          <w:lang w:bidi="fa-IR"/>
        </w:rPr>
        <w:t>َّ</w:t>
      </w:r>
      <w:r>
        <w:rPr>
          <w:rtl/>
          <w:lang w:bidi="fa-IR"/>
        </w:rPr>
        <w:t>ا</w:t>
      </w:r>
      <w:r w:rsidRPr="00132E65">
        <w:rPr>
          <w:rtl/>
          <w:lang w:bidi="fa-IR"/>
        </w:rPr>
        <w:t xml:space="preserve"> عَلى طُهْرٍ مِنْ غَيْرِ جِمَاعٍ بِشَاهِدَيْنِ مَقْبُولَيْنِ »</w:t>
      </w:r>
      <w:r>
        <w:rPr>
          <w:rtl/>
          <w:lang w:bidi="fa-IR"/>
        </w:rPr>
        <w:t>.</w:t>
      </w:r>
      <w:r w:rsidRPr="00132E65">
        <w:rPr>
          <w:rtl/>
          <w:lang w:bidi="fa-IR"/>
        </w:rPr>
        <w:t xml:space="preserve"> فَقُلْتُ‌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ف ، ه‍ ، بح » والبحار ، ج 47 </w:t>
      </w:r>
      <w:r>
        <w:rPr>
          <w:rtl/>
        </w:rPr>
        <w:t xml:space="preserve">: - </w:t>
      </w:r>
      <w:r w:rsidRPr="00132E65">
        <w:rPr>
          <w:rtl/>
        </w:rPr>
        <w:t>« ابن فلان »</w:t>
      </w:r>
      <w:r>
        <w:rPr>
          <w:rtl/>
        </w:rPr>
        <w:t>.</w:t>
      </w:r>
    </w:p>
    <w:p w:rsidR="000C39D1" w:rsidRPr="00132E65" w:rsidRDefault="000C39D1" w:rsidP="000C39D1">
      <w:pPr>
        <w:pStyle w:val="libFootnote0"/>
        <w:rPr>
          <w:rtl/>
          <w:lang w:bidi="fa-IR"/>
        </w:rPr>
      </w:pPr>
      <w:r>
        <w:rPr>
          <w:rtl/>
        </w:rPr>
        <w:t>(2).</w:t>
      </w:r>
      <w:r w:rsidRPr="00132E65">
        <w:rPr>
          <w:rtl/>
        </w:rPr>
        <w:t xml:space="preserve"> في « ج » </w:t>
      </w:r>
      <w:r>
        <w:rPr>
          <w:rtl/>
        </w:rPr>
        <w:t xml:space="preserve">: - </w:t>
      </w:r>
      <w:r w:rsidRPr="00132E65">
        <w:rPr>
          <w:rtl/>
        </w:rPr>
        <w:t>« الراعي »</w:t>
      </w:r>
      <w:r>
        <w:rPr>
          <w:rtl/>
        </w:rPr>
        <w:t>.</w:t>
      </w:r>
    </w:p>
    <w:p w:rsidR="000C39D1" w:rsidRPr="00132E65" w:rsidRDefault="000C39D1" w:rsidP="0033724D">
      <w:pPr>
        <w:pStyle w:val="libFootnote0"/>
        <w:rPr>
          <w:rtl/>
          <w:lang w:bidi="fa-IR"/>
        </w:rPr>
      </w:pPr>
      <w:r>
        <w:rPr>
          <w:rtl/>
        </w:rPr>
        <w:t>(3).</w:t>
      </w:r>
      <w:r w:rsidRPr="00132E65">
        <w:rPr>
          <w:rtl/>
        </w:rPr>
        <w:t xml:space="preserve"> في « ه‍ </w:t>
      </w:r>
      <w:r w:rsidR="0033724D" w:rsidRPr="00132E65">
        <w:rPr>
          <w:rtl/>
        </w:rPr>
        <w:t>»</w:t>
      </w:r>
      <w:r w:rsidRPr="00132E65">
        <w:rPr>
          <w:rtl/>
        </w:rPr>
        <w:t xml:space="preserve"> </w:t>
      </w:r>
      <w:r>
        <w:rPr>
          <w:rtl/>
        </w:rPr>
        <w:t xml:space="preserve">: - </w:t>
      </w:r>
      <w:r w:rsidRPr="00132E65">
        <w:rPr>
          <w:rtl/>
        </w:rPr>
        <w:t>« الراعي »</w:t>
      </w:r>
      <w:r>
        <w:rPr>
          <w:rtl/>
        </w:rPr>
        <w:t>.</w:t>
      </w:r>
      <w:r w:rsidRPr="00132E65">
        <w:rPr>
          <w:rtl/>
        </w:rPr>
        <w:t xml:space="preserve"> وفي البحار ، ج 47 : « الكردي الراعي »</w:t>
      </w:r>
      <w:r>
        <w:rPr>
          <w:rtl/>
        </w:rPr>
        <w:t>.</w:t>
      </w:r>
    </w:p>
    <w:p w:rsidR="000C39D1" w:rsidRPr="00132E65" w:rsidRDefault="000C39D1" w:rsidP="000C39D1">
      <w:pPr>
        <w:pStyle w:val="libFootnote0"/>
        <w:rPr>
          <w:rtl/>
          <w:lang w:bidi="fa-IR"/>
        </w:rPr>
      </w:pPr>
      <w:r>
        <w:rPr>
          <w:rtl/>
        </w:rPr>
        <w:t>(4).</w:t>
      </w:r>
      <w:r w:rsidRPr="00132E65">
        <w:rPr>
          <w:rtl/>
        </w:rPr>
        <w:t xml:space="preserve"> « غشيها » ، أي جامعها. يقال : غَشِيتُه ، أغشاه ، أي أتَيتُه. وكنّي بذلك عن الجماع كما كنّي بالإتيان ، فقيل : غشيها وتغشّاها. راجع : </w:t>
      </w:r>
      <w:r w:rsidRPr="001F051F">
        <w:rPr>
          <w:rStyle w:val="libFootnoteBoldChar"/>
          <w:rtl/>
        </w:rPr>
        <w:t>المصباح المنير</w:t>
      </w:r>
      <w:r w:rsidRPr="00132E65">
        <w:rPr>
          <w:rtl/>
        </w:rPr>
        <w:t xml:space="preserve"> ، ص 448 ( غشي )</w:t>
      </w:r>
      <w:r>
        <w:rPr>
          <w:rtl/>
        </w:rPr>
        <w:t>.</w:t>
      </w:r>
    </w:p>
    <w:p w:rsidR="000C39D1" w:rsidRPr="00132E65" w:rsidRDefault="000C39D1" w:rsidP="000C39D1">
      <w:pPr>
        <w:pStyle w:val="libFootnote0"/>
        <w:rPr>
          <w:rtl/>
          <w:lang w:bidi="fa-IR"/>
        </w:rPr>
      </w:pPr>
      <w:r>
        <w:rPr>
          <w:rtl/>
        </w:rPr>
        <w:t>(5).</w:t>
      </w:r>
      <w:r w:rsidRPr="00132E65">
        <w:rPr>
          <w:rtl/>
        </w:rPr>
        <w:t xml:space="preserve"> في « بح » : « وولدت »</w:t>
      </w:r>
      <w:r>
        <w:rPr>
          <w:rtl/>
        </w:rPr>
        <w:t>.</w:t>
      </w:r>
    </w:p>
    <w:p w:rsidR="000C39D1" w:rsidRPr="00132E65" w:rsidRDefault="000C39D1" w:rsidP="000C39D1">
      <w:pPr>
        <w:pStyle w:val="libFootnote0"/>
        <w:rPr>
          <w:rtl/>
          <w:lang w:bidi="fa-IR"/>
        </w:rPr>
      </w:pPr>
      <w:r>
        <w:rPr>
          <w:rtl/>
        </w:rPr>
        <w:t>(6).</w:t>
      </w:r>
      <w:r w:rsidRPr="00132E65">
        <w:rPr>
          <w:rtl/>
        </w:rPr>
        <w:t xml:space="preserve"> « وفلان بن فلان » ليس معطوفاً على « فلاناً » ؛ بقرينة قوله </w:t>
      </w:r>
      <w:r w:rsidRPr="001F051F">
        <w:rPr>
          <w:rStyle w:val="libFootnoteAlaemChar"/>
          <w:rtl/>
        </w:rPr>
        <w:t>عليه‌السلام</w:t>
      </w:r>
      <w:r w:rsidRPr="00132E65">
        <w:rPr>
          <w:rtl/>
        </w:rPr>
        <w:t xml:space="preserve"> : « من فلانة » بل توضيح للكلام الأوّل ، أو قدح آخر في نسبه من جهة ا</w:t>
      </w:r>
      <w:r>
        <w:rPr>
          <w:rFonts w:hint="cs"/>
          <w:rtl/>
        </w:rPr>
        <w:t>ُ</w:t>
      </w:r>
      <w:r w:rsidRPr="00132E65">
        <w:rPr>
          <w:rtl/>
        </w:rPr>
        <w:t xml:space="preserve">خرى ، أو قدح لنسب رجل آخر. راجع : </w:t>
      </w:r>
      <w:r w:rsidRPr="001F051F">
        <w:rPr>
          <w:rStyle w:val="libFootnoteBoldChar"/>
          <w:rtl/>
        </w:rPr>
        <w:t>شرح المازندراني</w:t>
      </w:r>
      <w:r w:rsidRPr="00132E65">
        <w:rPr>
          <w:rtl/>
        </w:rPr>
        <w:t xml:space="preserve"> ، ج 6 ، ص 274 ؛ </w:t>
      </w:r>
      <w:r w:rsidRPr="009D1ACE">
        <w:rPr>
          <w:rStyle w:val="libFootnoteBoldChar"/>
          <w:rtl/>
        </w:rPr>
        <w:t>مرآة العقول</w:t>
      </w:r>
      <w:r w:rsidRPr="00132E65">
        <w:rPr>
          <w:rtl/>
        </w:rPr>
        <w:t xml:space="preserve"> ، ج 4 ، ص 90.</w:t>
      </w:r>
    </w:p>
    <w:p w:rsidR="000C39D1" w:rsidRPr="00132E65" w:rsidRDefault="000C39D1" w:rsidP="000C39D1">
      <w:pPr>
        <w:pStyle w:val="libFootnote0"/>
        <w:rPr>
          <w:rtl/>
          <w:lang w:bidi="fa-IR"/>
        </w:rPr>
      </w:pPr>
      <w:r>
        <w:rPr>
          <w:rtl/>
        </w:rPr>
        <w:t>(7).</w:t>
      </w:r>
      <w:r w:rsidRPr="00132E65">
        <w:rPr>
          <w:rtl/>
        </w:rPr>
        <w:t xml:space="preserve"> في « ف ، ه‍ ، بر » </w:t>
      </w:r>
      <w:r w:rsidRPr="001F051F">
        <w:rPr>
          <w:rtl/>
        </w:rPr>
        <w:t>والوافي :</w:t>
      </w:r>
      <w:r w:rsidRPr="00132E65">
        <w:rPr>
          <w:rtl/>
        </w:rPr>
        <w:t xml:space="preserve"> « وسل »</w:t>
      </w:r>
      <w:r>
        <w:rPr>
          <w:rtl/>
        </w:rPr>
        <w:t>.</w:t>
      </w:r>
    </w:p>
    <w:p w:rsidR="000C39D1" w:rsidRPr="00132E65" w:rsidRDefault="000C39D1" w:rsidP="000C39D1">
      <w:pPr>
        <w:pStyle w:val="libFootnote0"/>
        <w:rPr>
          <w:rtl/>
          <w:lang w:bidi="fa-IR"/>
        </w:rPr>
      </w:pPr>
      <w:r>
        <w:rPr>
          <w:rtl/>
        </w:rPr>
        <w:t>(8).</w:t>
      </w:r>
      <w:r w:rsidRPr="00132E65">
        <w:rPr>
          <w:rtl/>
        </w:rPr>
        <w:t xml:space="preserve"> في « ب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(9).</w:t>
      </w:r>
      <w:r w:rsidRPr="00132E65">
        <w:rPr>
          <w:rtl/>
        </w:rPr>
        <w:t xml:space="preserve"> في « ب ، ه‍ ، بح ، بس ، بف » وحاشية « ج » والبحار ، ج 47 : « عدد النجوم » بدل « عدد نجوم السماء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(10).</w:t>
            </w:r>
            <w:r w:rsidRPr="00132E65">
              <w:rPr>
                <w:rtl/>
              </w:rPr>
              <w:t xml:space="preserve"> الطلاق (65) : 1.</w:t>
            </w:r>
          </w:p>
        </w:tc>
        <w:tc>
          <w:tcPr>
            <w:tcW w:w="4006" w:type="dxa"/>
          </w:tcPr>
          <w:p w:rsidR="000C39D1" w:rsidRDefault="000C39D1" w:rsidP="00B53873">
            <w:pPr>
              <w:pStyle w:val="libFootnote0"/>
              <w:rPr>
                <w:rtl/>
              </w:rPr>
            </w:pPr>
            <w:r>
              <w:rPr>
                <w:rtl/>
              </w:rPr>
              <w:t>(11).</w:t>
            </w:r>
            <w:r w:rsidRPr="00132E65">
              <w:rPr>
                <w:rtl/>
              </w:rPr>
              <w:t xml:space="preserve"> في « بر » ، والوسائل ، ج 22 : « فقال »</w:t>
            </w:r>
            <w:r>
              <w:rPr>
                <w:rtl/>
              </w:rPr>
              <w:t>.</w:t>
            </w:r>
          </w:p>
        </w:tc>
      </w:tr>
      <w:tr w:rsidR="000C39D1" w:rsidTr="00B53873">
        <w:tc>
          <w:tcPr>
            <w:tcW w:w="4006" w:type="dxa"/>
          </w:tcPr>
          <w:p w:rsidR="000C39D1" w:rsidRDefault="000C39D1" w:rsidP="00B53873">
            <w:pPr>
              <w:pStyle w:val="libFootnote0"/>
              <w:rPr>
                <w:rtl/>
              </w:rPr>
            </w:pPr>
            <w:r>
              <w:rPr>
                <w:rtl/>
              </w:rPr>
              <w:t>(12).</w:t>
            </w:r>
            <w:r w:rsidRPr="00132E65">
              <w:rPr>
                <w:rtl/>
              </w:rPr>
              <w:t xml:space="preserve"> في « ج ، ف ، بر » : « يردّ »</w:t>
            </w:r>
            <w:r>
              <w:rPr>
                <w:rtl/>
              </w:rPr>
              <w:t>.</w:t>
            </w:r>
          </w:p>
        </w:tc>
        <w:tc>
          <w:tcPr>
            <w:tcW w:w="4006" w:type="dxa"/>
          </w:tcPr>
          <w:p w:rsidR="000C39D1" w:rsidRDefault="000C39D1" w:rsidP="00B53873">
            <w:pPr>
              <w:pStyle w:val="libFootnote0"/>
              <w:rPr>
                <w:rtl/>
              </w:rPr>
            </w:pPr>
            <w:r>
              <w:rPr>
                <w:rtl/>
              </w:rPr>
              <w:t>(13)</w:t>
            </w:r>
            <w:r w:rsidRPr="00132E65">
              <w:rPr>
                <w:rtl/>
              </w:rPr>
              <w:t xml:space="preserve"> في « بر » :</w:t>
            </w:r>
            <w:r>
              <w:rPr>
                <w:rtl/>
              </w:rPr>
              <w:t xml:space="preserve"> + </w:t>
            </w:r>
            <w:r w:rsidRPr="00132E65">
              <w:rPr>
                <w:rtl/>
              </w:rPr>
              <w:t>« محمّد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فِي نَفْسِي : واحِدَةٌ.</w:t>
      </w:r>
    </w:p>
    <w:p w:rsidR="000C39D1" w:rsidRPr="00132E65" w:rsidRDefault="000C39D1" w:rsidP="000C39D1">
      <w:pPr>
        <w:pStyle w:val="libNormal"/>
        <w:rPr>
          <w:rtl/>
          <w:lang w:bidi="fa-IR"/>
        </w:rPr>
      </w:pPr>
      <w:r w:rsidRPr="00132E65">
        <w:rPr>
          <w:rtl/>
          <w:lang w:bidi="fa-IR"/>
        </w:rPr>
        <w:t xml:space="preserve">ثُمَّ قَالَ </w:t>
      </w:r>
      <w:r>
        <w:rPr>
          <w:rStyle w:val="libFootnotenumChar"/>
          <w:rtl/>
        </w:rPr>
        <w:t>(1)</w:t>
      </w:r>
      <w:r w:rsidRPr="00132E65">
        <w:rPr>
          <w:rtl/>
          <w:lang w:bidi="fa-IR"/>
        </w:rPr>
        <w:t xml:space="preserve"> : « سَلْ » ، قُلْتُ </w:t>
      </w:r>
      <w:r>
        <w:rPr>
          <w:rStyle w:val="libFootnotenumChar"/>
          <w:rtl/>
        </w:rPr>
        <w:t>(2)</w:t>
      </w:r>
      <w:r w:rsidRPr="00132E65">
        <w:rPr>
          <w:rtl/>
          <w:lang w:bidi="fa-IR"/>
        </w:rPr>
        <w:t xml:space="preserve"> : مَا تَقُولُ فِي الْمَسْحِ عَلَى الْخُفَّيْنِ</w:t>
      </w:r>
      <w:r>
        <w:rPr>
          <w:rtl/>
          <w:lang w:bidi="fa-IR"/>
        </w:rPr>
        <w:t>؟</w:t>
      </w:r>
      <w:r w:rsidRPr="00132E65">
        <w:rPr>
          <w:rtl/>
          <w:lang w:bidi="fa-IR"/>
        </w:rPr>
        <w:t xml:space="preserve"> فَتَبَسَّمَ ، ثُمَّ قَالَ : « إِذَا كَانَ يَوْمُ الْقِيَامَةِ ، ورَدَّ اللهُ كُلَّ شَيْ‌ءٍ إِلى شَيْئِهِ ، ورَدَّ الْجِلْدَ إِلَى الْغَنَمِ ، فَتَرى أَصْحَابَ الْمَسْحِ أَيْنَ يَذْهَبُ وضُوؤُهُمْ</w:t>
      </w:r>
      <w:r>
        <w:rPr>
          <w:rtl/>
          <w:lang w:bidi="fa-IR"/>
        </w:rPr>
        <w:t>؟</w:t>
      </w:r>
      <w:r w:rsidRPr="00132E65">
        <w:rPr>
          <w:rtl/>
          <w:lang w:bidi="fa-IR"/>
        </w:rPr>
        <w:t xml:space="preserve"> » فَقُلْتُ فِي نَفْسِي : ثِنْتَانِ.</w:t>
      </w:r>
    </w:p>
    <w:p w:rsidR="000C39D1" w:rsidRPr="00132E65" w:rsidRDefault="000C39D1" w:rsidP="000C39D1">
      <w:pPr>
        <w:pStyle w:val="libNormal"/>
        <w:rPr>
          <w:rtl/>
          <w:lang w:bidi="fa-IR"/>
        </w:rPr>
      </w:pPr>
      <w:r w:rsidRPr="00132E65">
        <w:rPr>
          <w:rtl/>
          <w:lang w:bidi="fa-IR"/>
        </w:rPr>
        <w:t>ثُمَّ الْتَفَتَ إِلَيَّ ، فَقَالَ : « سَلْ » ، فَقُلْتُ : أَخْبِرْنِي عَنْ أَكْلِ الْجِرِّيِّ ، فَقَالَ :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مَسَخَ طَائِفَةً مِنْ بَنِي إِسْرَائِيلَ ؛ فَمَا أَخَذَ مِنْهُمْ بَحْراً ، فَهُوَ الْجِرِّيُّ والزِّمَّارُ </w:t>
      </w:r>
      <w:r>
        <w:rPr>
          <w:rStyle w:val="libFootnotenumChar"/>
          <w:rtl/>
        </w:rPr>
        <w:t>(3)</w:t>
      </w:r>
      <w:r w:rsidRPr="00132E65">
        <w:rPr>
          <w:rtl/>
          <w:lang w:bidi="fa-IR"/>
        </w:rPr>
        <w:t xml:space="preserve"> وَالْمَارْمَاهِي </w:t>
      </w:r>
      <w:r>
        <w:rPr>
          <w:rStyle w:val="libFootnotenumChar"/>
          <w:rtl/>
        </w:rPr>
        <w:t>(4)</w:t>
      </w:r>
      <w:r w:rsidRPr="00132E65">
        <w:rPr>
          <w:rtl/>
          <w:lang w:bidi="fa-IR"/>
        </w:rPr>
        <w:t xml:space="preserve"> ومَا سِوى ذلِكَ ؛ ومَا أَخَذَ مِنْهُمْ بَرّاً ، فَالْقِرَدَةُ والْخَنَازِيرُ والْوَبْرُ </w:t>
      </w:r>
      <w:r>
        <w:rPr>
          <w:rStyle w:val="libFootnotenumChar"/>
          <w:rtl/>
        </w:rPr>
        <w:t>(5)</w:t>
      </w:r>
      <w:r w:rsidRPr="00132E65">
        <w:rPr>
          <w:rtl/>
          <w:lang w:bidi="fa-IR"/>
        </w:rPr>
        <w:t xml:space="preserve"> والْوَرَلُ </w:t>
      </w:r>
      <w:r>
        <w:rPr>
          <w:rStyle w:val="libFootnotenumChar"/>
          <w:rtl/>
        </w:rPr>
        <w:t>(6)</w:t>
      </w:r>
      <w:r w:rsidRPr="00132E65">
        <w:rPr>
          <w:rtl/>
          <w:lang w:bidi="fa-IR"/>
        </w:rPr>
        <w:t xml:space="preserve"> وَمَا سِوى ذلِكَ »</w:t>
      </w:r>
      <w:r>
        <w:rPr>
          <w:rtl/>
          <w:lang w:bidi="fa-IR"/>
        </w:rPr>
        <w:t>.</w:t>
      </w:r>
      <w:r w:rsidRPr="00132E65">
        <w:rPr>
          <w:rtl/>
          <w:lang w:bidi="fa-IR"/>
        </w:rPr>
        <w:t xml:space="preserve"> فَقُلْتُ فِي نَفْسِي : ثَلَاثٌ </w:t>
      </w:r>
      <w:r>
        <w:rPr>
          <w:rStyle w:val="libFootnotenumChar"/>
          <w:rtl/>
        </w:rPr>
        <w:t>(7)</w:t>
      </w:r>
    </w:p>
    <w:p w:rsidR="000C39D1" w:rsidRPr="00132E65" w:rsidRDefault="000C39D1" w:rsidP="000C39D1">
      <w:pPr>
        <w:pStyle w:val="libNormal"/>
        <w:rPr>
          <w:rtl/>
          <w:lang w:bidi="fa-IR"/>
        </w:rPr>
      </w:pPr>
      <w:r w:rsidRPr="00132E65">
        <w:rPr>
          <w:rtl/>
          <w:lang w:bidi="fa-IR"/>
        </w:rPr>
        <w:t xml:space="preserve">ثُمَّ الْتَفَتَ إِلَيَّ ، فَقَالَ </w:t>
      </w:r>
      <w:r>
        <w:rPr>
          <w:rStyle w:val="libFootnotenumChar"/>
          <w:rtl/>
        </w:rPr>
        <w:t>(8)</w:t>
      </w:r>
      <w:r w:rsidRPr="00132E65">
        <w:rPr>
          <w:rtl/>
          <w:lang w:bidi="fa-IR"/>
        </w:rPr>
        <w:t xml:space="preserve"> : « سَلْ وقُمْ » فَقُلْتُ : مَا </w:t>
      </w:r>
      <w:r>
        <w:rPr>
          <w:rStyle w:val="libFootnotenumChar"/>
          <w:rtl/>
        </w:rPr>
        <w:t>(9)</w:t>
      </w:r>
      <w:r w:rsidRPr="00132E65">
        <w:rPr>
          <w:rtl/>
          <w:lang w:bidi="fa-IR"/>
        </w:rPr>
        <w:t xml:space="preserve"> تَقُولُ فِي النَّبِيذِ</w:t>
      </w:r>
      <w:r>
        <w:rPr>
          <w:rtl/>
          <w:lang w:bidi="fa-IR"/>
        </w:rPr>
        <w:t>؟</w:t>
      </w:r>
      <w:r w:rsidRPr="00132E65">
        <w:rPr>
          <w:rtl/>
          <w:lang w:bidi="fa-IR"/>
        </w:rPr>
        <w:t xml:space="preserve"> فَقَالَ : « حَلَالٌ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ف » : « فقال »</w:t>
      </w:r>
      <w:r>
        <w:rPr>
          <w:rtl/>
        </w:rPr>
        <w:t>.</w:t>
      </w:r>
    </w:p>
    <w:p w:rsidR="000C39D1" w:rsidRPr="00132E65" w:rsidRDefault="000C39D1" w:rsidP="000C39D1">
      <w:pPr>
        <w:pStyle w:val="libFootnote0"/>
        <w:rPr>
          <w:rtl/>
          <w:lang w:bidi="fa-IR"/>
        </w:rPr>
      </w:pPr>
      <w:r>
        <w:rPr>
          <w:rtl/>
        </w:rPr>
        <w:t>(2).</w:t>
      </w:r>
      <w:r w:rsidRPr="00132E65">
        <w:rPr>
          <w:rtl/>
        </w:rPr>
        <w:t xml:space="preserve"> في الوسائل ، ج 1 ، ص 458 : « قال : قلت له » بدل « قال : سل قلت »</w:t>
      </w:r>
      <w:r>
        <w:rPr>
          <w:rtl/>
        </w:rPr>
        <w:t>.</w:t>
      </w:r>
      <w:r w:rsidRPr="00132E65">
        <w:rPr>
          <w:rtl/>
        </w:rPr>
        <w:t xml:space="preserve"> وفي البحار ، ج 47 : « فقلت »</w:t>
      </w:r>
      <w:r>
        <w:rPr>
          <w:rtl/>
        </w:rPr>
        <w:t>.</w:t>
      </w:r>
    </w:p>
    <w:p w:rsidR="000C39D1" w:rsidRPr="00132E65" w:rsidRDefault="000C39D1" w:rsidP="000C39D1">
      <w:pPr>
        <w:pStyle w:val="libFootnote0"/>
        <w:rPr>
          <w:rtl/>
          <w:lang w:bidi="fa-IR"/>
        </w:rPr>
      </w:pPr>
      <w:r>
        <w:rPr>
          <w:rtl/>
        </w:rPr>
        <w:t>(3).</w:t>
      </w:r>
      <w:r w:rsidRPr="00132E65">
        <w:rPr>
          <w:rtl/>
        </w:rPr>
        <w:t xml:space="preserve"> قال المجلسي في </w:t>
      </w:r>
      <w:r w:rsidRPr="009D1ACE">
        <w:rPr>
          <w:rStyle w:val="libFootnoteBoldChar"/>
          <w:rtl/>
        </w:rPr>
        <w:t>مرآة العقول</w:t>
      </w:r>
      <w:r w:rsidRPr="00132E65">
        <w:rPr>
          <w:rtl/>
        </w:rPr>
        <w:t xml:space="preserve"> : « وكذا الزمّار بكسر الزاى وتشديد الميم » ، أي هو نوع من السمك لا فلوس له‌</w:t>
      </w:r>
      <w:r>
        <w:rPr>
          <w:rFonts w:hint="cs"/>
          <w:rtl/>
        </w:rPr>
        <w:t xml:space="preserve"> </w:t>
      </w:r>
      <w:r w:rsidRPr="00132E65">
        <w:rPr>
          <w:rtl/>
        </w:rPr>
        <w:t xml:space="preserve">مثل الجرّيّ والمارماهي ، ولكن لم نجده في اللغة ، نعم في </w:t>
      </w:r>
      <w:r w:rsidRPr="007271BC">
        <w:rPr>
          <w:rtl/>
        </w:rPr>
        <w:t>القاموس والتاج</w:t>
      </w:r>
      <w:r w:rsidRPr="00132E65">
        <w:rPr>
          <w:rtl/>
        </w:rPr>
        <w:t xml:space="preserve"> : زِمِّير ، كسِكِّيت : نوع من السمك له شَوْك ناتئ وسط ظهره ، وله صَخَبٌ وقت صيد الصيّاد إيّاه وقبضه عليه. راجع : </w:t>
      </w:r>
      <w:r w:rsidRPr="009D44BB">
        <w:rPr>
          <w:rStyle w:val="libFootnoteBoldChar"/>
          <w:rtl/>
        </w:rPr>
        <w:t>القاموس المحيط</w:t>
      </w:r>
      <w:r w:rsidRPr="00132E65">
        <w:rPr>
          <w:rtl/>
        </w:rPr>
        <w:t xml:space="preserve"> ، ج 1 ، ص 566 ؛ </w:t>
      </w:r>
      <w:r w:rsidRPr="009D44BB">
        <w:rPr>
          <w:rStyle w:val="libFootnoteBoldChar"/>
          <w:rtl/>
        </w:rPr>
        <w:t>تاج العروس</w:t>
      </w:r>
      <w:r w:rsidRPr="00132E65">
        <w:rPr>
          <w:rtl/>
        </w:rPr>
        <w:t xml:space="preserve"> ، ج 6 ، ص 471 ( زمر )</w:t>
      </w:r>
      <w:r>
        <w:rPr>
          <w:rtl/>
        </w:rPr>
        <w:t>.</w:t>
      </w:r>
    </w:p>
    <w:p w:rsidR="000C39D1" w:rsidRPr="00132E65" w:rsidRDefault="000C39D1" w:rsidP="000C39D1">
      <w:pPr>
        <w:pStyle w:val="libFootnote0"/>
        <w:rPr>
          <w:rtl/>
          <w:lang w:bidi="fa-IR"/>
        </w:rPr>
      </w:pPr>
      <w:r>
        <w:rPr>
          <w:rtl/>
        </w:rPr>
        <w:t>(4).</w:t>
      </w:r>
      <w:r w:rsidRPr="00132E65">
        <w:rPr>
          <w:rtl/>
        </w:rPr>
        <w:t xml:space="preserve"> هكذا في النسخ التي قوبلت </w:t>
      </w:r>
      <w:r w:rsidRPr="009D44BB">
        <w:rPr>
          <w:rtl/>
        </w:rPr>
        <w:t>والوافي</w:t>
      </w:r>
      <w:r w:rsidRPr="00132E65">
        <w:rPr>
          <w:rtl/>
        </w:rPr>
        <w:t xml:space="preserve"> والبحار ، ج 47. وفي المطبوع : « والمارماهي والزمّار »</w:t>
      </w:r>
      <w:r>
        <w:rPr>
          <w:rtl/>
        </w:rPr>
        <w:t>.</w:t>
      </w:r>
    </w:p>
    <w:p w:rsidR="000C39D1" w:rsidRPr="00132E65" w:rsidRDefault="000C39D1" w:rsidP="000C39D1">
      <w:pPr>
        <w:pStyle w:val="libFootnote0"/>
        <w:rPr>
          <w:rtl/>
          <w:lang w:bidi="fa-IR"/>
        </w:rPr>
      </w:pPr>
      <w:r>
        <w:rPr>
          <w:rtl/>
        </w:rPr>
        <w:t>(5).</w:t>
      </w:r>
      <w:r w:rsidRPr="00132E65">
        <w:rPr>
          <w:rtl/>
        </w:rPr>
        <w:t xml:space="preserve"> قال الجوهري : « الوَبْرَةُ بالتسكين : دُوَيبَّة أصغر من السِنَّور ، طحلاء اللون</w:t>
      </w:r>
      <w:r>
        <w:rPr>
          <w:rtl/>
        </w:rPr>
        <w:t xml:space="preserve"> - </w:t>
      </w:r>
      <w:r w:rsidRPr="00132E65">
        <w:rPr>
          <w:rtl/>
        </w:rPr>
        <w:t>أي لونه كلون الرماد</w:t>
      </w:r>
      <w:r>
        <w:rPr>
          <w:rtl/>
        </w:rPr>
        <w:t xml:space="preserve"> - </w:t>
      </w:r>
      <w:r w:rsidRPr="00132E65">
        <w:rPr>
          <w:rtl/>
        </w:rPr>
        <w:t>لا ذَنَب لها ، تَرْجُنُ في البيوت ، أي تحبس وتعلق فيها » وقال ابن الأثير : « الوَبْرُ ، بسكون الباء : دُوَيبَّة على قَدْر السِنَّور ، غبراء أو بيضاء ، حسنة العينين ، شديدة الحياء ، حجازيّة ، والانثى : وبْرَةٌ »</w:t>
      </w:r>
      <w:r>
        <w:rPr>
          <w:rtl/>
        </w:rPr>
        <w:t>.</w:t>
      </w:r>
      <w:r w:rsidRPr="00132E65">
        <w:rPr>
          <w:rtl/>
        </w:rPr>
        <w:t xml:space="preserve"> راجع : </w:t>
      </w:r>
      <w:r w:rsidRPr="009D44BB">
        <w:rPr>
          <w:rStyle w:val="libFootnoteBoldChar"/>
          <w:rtl/>
        </w:rPr>
        <w:t>الصحاح</w:t>
      </w:r>
      <w:r w:rsidRPr="00132E65">
        <w:rPr>
          <w:rtl/>
        </w:rPr>
        <w:t xml:space="preserve"> ، ج 2 ، ص 841 ؛ </w:t>
      </w:r>
      <w:r w:rsidRPr="009D44BB">
        <w:rPr>
          <w:rStyle w:val="libFootnoteBoldChar"/>
          <w:rtl/>
        </w:rPr>
        <w:t>النهاية</w:t>
      </w:r>
      <w:r w:rsidRPr="00132E65">
        <w:rPr>
          <w:rtl/>
        </w:rPr>
        <w:t xml:space="preserve"> ، ج 5 ، ص 145 ( وبر )</w:t>
      </w:r>
      <w:r>
        <w:rPr>
          <w:rtl/>
        </w:rPr>
        <w:t>.</w:t>
      </w:r>
    </w:p>
    <w:p w:rsidR="000C39D1" w:rsidRPr="00132E65" w:rsidRDefault="000C39D1" w:rsidP="000C39D1">
      <w:pPr>
        <w:pStyle w:val="libFootnote0"/>
        <w:rPr>
          <w:rtl/>
          <w:lang w:bidi="fa-IR"/>
        </w:rPr>
      </w:pPr>
      <w:r>
        <w:rPr>
          <w:rtl/>
        </w:rPr>
        <w:t>(6).</w:t>
      </w:r>
      <w:r w:rsidRPr="00132E65">
        <w:rPr>
          <w:rtl/>
        </w:rPr>
        <w:t xml:space="preserve"> هكذا في « بر » و</w:t>
      </w:r>
      <w:r w:rsidRPr="009D1ACE">
        <w:rPr>
          <w:rStyle w:val="libFootnoteBoldChar"/>
          <w:rtl/>
        </w:rPr>
        <w:t>الوافي</w:t>
      </w:r>
      <w:r w:rsidRPr="00132E65">
        <w:rPr>
          <w:rtl/>
        </w:rPr>
        <w:t xml:space="preserve"> </w:t>
      </w:r>
      <w:r w:rsidRPr="009D44BB">
        <w:rPr>
          <w:rStyle w:val="libFootnoteBoldChar"/>
          <w:rtl/>
        </w:rPr>
        <w:t>والبحار</w:t>
      </w:r>
      <w:r w:rsidRPr="00132E65">
        <w:rPr>
          <w:rtl/>
        </w:rPr>
        <w:t xml:space="preserve"> ، ج 47 و</w:t>
      </w:r>
      <w:r w:rsidRPr="000577A7">
        <w:rPr>
          <w:rStyle w:val="libFootnoteBoldChar"/>
          <w:rtl/>
        </w:rPr>
        <w:t>الكافي</w:t>
      </w:r>
      <w:r w:rsidRPr="00132E65">
        <w:rPr>
          <w:rtl/>
        </w:rPr>
        <w:t xml:space="preserve"> ، ح 11349. وهو الموجود في اللغة ، </w:t>
      </w:r>
      <w:r>
        <w:rPr>
          <w:rtl/>
        </w:rPr>
        <w:t>وهو دابّة على خِلْقَة الضبّ إل</w:t>
      </w:r>
      <w:r>
        <w:rPr>
          <w:rFonts w:hint="cs"/>
          <w:rtl/>
        </w:rPr>
        <w:t>ّ</w:t>
      </w:r>
      <w:r>
        <w:rPr>
          <w:rtl/>
        </w:rPr>
        <w:t>ا</w:t>
      </w:r>
      <w:r>
        <w:rPr>
          <w:rFonts w:hint="cs"/>
          <w:rtl/>
        </w:rPr>
        <w:t xml:space="preserve"> </w:t>
      </w:r>
      <w:r w:rsidRPr="00132E65">
        <w:rPr>
          <w:rtl/>
        </w:rPr>
        <w:t xml:space="preserve">أنّه أعظم منه ، يكون في الرِمال والصَحارِي. وقيل : هو سَبِطُ الخلق ، طويل الذَنَب كأنّ ذَنَبه ذنب حيّة. راجع : </w:t>
      </w:r>
      <w:r w:rsidRPr="009D1ACE">
        <w:rPr>
          <w:rStyle w:val="libFootnoteBoldChar"/>
          <w:rtl/>
        </w:rPr>
        <w:t>لسان العرب</w:t>
      </w:r>
      <w:r w:rsidRPr="00132E65">
        <w:rPr>
          <w:rtl/>
        </w:rPr>
        <w:t xml:space="preserve"> ، ج 11 ، ص 724 ( ورل )</w:t>
      </w:r>
      <w:r>
        <w:rPr>
          <w:rtl/>
        </w:rPr>
        <w:t>.</w:t>
      </w:r>
      <w:r w:rsidRPr="00132E65">
        <w:rPr>
          <w:rtl/>
        </w:rPr>
        <w:t xml:space="preserve"> وفي المطبوع وسائر النسخ : « الورك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ثلاثة »</w:t>
      </w:r>
      <w:r>
        <w:rPr>
          <w:rtl/>
        </w:rPr>
        <w:t>.</w:t>
      </w:r>
    </w:p>
    <w:p w:rsidR="000C39D1" w:rsidRPr="00132E65" w:rsidRDefault="000C39D1" w:rsidP="000C39D1">
      <w:pPr>
        <w:pStyle w:val="libFootnote0"/>
        <w:rPr>
          <w:rtl/>
          <w:lang w:bidi="fa-IR"/>
        </w:rPr>
      </w:pPr>
      <w:r>
        <w:rPr>
          <w:rtl/>
        </w:rPr>
        <w:t>(8).</w:t>
      </w:r>
      <w:r w:rsidRPr="00132E65">
        <w:rPr>
          <w:rtl/>
        </w:rPr>
        <w:t xml:space="preserve"> في البحار ، ج 47 : « وقال »</w:t>
      </w:r>
      <w:r>
        <w:rPr>
          <w:rtl/>
        </w:rPr>
        <w:t>.</w:t>
      </w:r>
    </w:p>
    <w:p w:rsidR="000C39D1" w:rsidRPr="00132E65" w:rsidRDefault="000C39D1" w:rsidP="000C39D1">
      <w:pPr>
        <w:pStyle w:val="libFootnote0"/>
        <w:rPr>
          <w:rtl/>
          <w:lang w:bidi="fa-IR"/>
        </w:rPr>
      </w:pPr>
      <w:r>
        <w:rPr>
          <w:rtl/>
        </w:rPr>
        <w:t>(9).</w:t>
      </w:r>
      <w:r w:rsidRPr="00132E65">
        <w:rPr>
          <w:rtl/>
        </w:rPr>
        <w:t xml:space="preserve"> في « بح » : « فما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فَقُلْتُ : إِنَّا نَنْبِذُ فَنَطْرَحُ فِيهِ الْعَكَرَ </w:t>
      </w:r>
      <w:r>
        <w:rPr>
          <w:rStyle w:val="libFootnotenumChar"/>
          <w:rtl/>
        </w:rPr>
        <w:t>(1)</w:t>
      </w:r>
      <w:r w:rsidRPr="00132E65">
        <w:rPr>
          <w:rtl/>
          <w:lang w:bidi="fa-IR"/>
        </w:rPr>
        <w:t xml:space="preserve"> ومَا سِوى ذلِكَ ، ونَشْرَبُهُ </w:t>
      </w:r>
      <w:r>
        <w:rPr>
          <w:rStyle w:val="libFootnotenumChar"/>
          <w:rtl/>
        </w:rPr>
        <w:t>(2)</w:t>
      </w:r>
      <w:r>
        <w:rPr>
          <w:rtl/>
          <w:lang w:bidi="fa-IR"/>
        </w:rPr>
        <w:t>؟</w:t>
      </w:r>
      <w:r w:rsidRPr="00132E65">
        <w:rPr>
          <w:rtl/>
          <w:lang w:bidi="fa-IR"/>
        </w:rPr>
        <w:t xml:space="preserve"> فَقَالَ : « شُهْ شُهْ </w:t>
      </w:r>
      <w:r>
        <w:rPr>
          <w:rStyle w:val="libFootnotenumChar"/>
          <w:rtl/>
        </w:rPr>
        <w:t>(3)</w:t>
      </w:r>
      <w:r w:rsidRPr="00132E65">
        <w:rPr>
          <w:rtl/>
          <w:lang w:bidi="fa-IR"/>
        </w:rPr>
        <w:t xml:space="preserve"> ، تِلْكَ الْخَمْرَةُ الْمُنْتِنَةُ </w:t>
      </w:r>
      <w:r>
        <w:rPr>
          <w:rStyle w:val="libFootnotenumChar"/>
          <w:rtl/>
        </w:rPr>
        <w:t>(4)</w:t>
      </w:r>
      <w:r w:rsidRPr="00132E65">
        <w:rPr>
          <w:rtl/>
          <w:lang w:bidi="fa-IR"/>
        </w:rPr>
        <w:t xml:space="preserve"> »</w:t>
      </w:r>
      <w:r>
        <w:rPr>
          <w:rtl/>
          <w:lang w:bidi="fa-IR"/>
        </w:rPr>
        <w:t>.</w:t>
      </w:r>
      <w:r w:rsidRPr="00132E65">
        <w:rPr>
          <w:rtl/>
          <w:lang w:bidi="fa-IR"/>
        </w:rPr>
        <w:t xml:space="preserve"> فَقُلْتُ : جُعِلْتُ فِدَاكَ ، فَأَيَّ نَبِيذٍ تَعْنِي</w:t>
      </w:r>
      <w:r>
        <w:rPr>
          <w:rtl/>
          <w:lang w:bidi="fa-IR"/>
        </w:rPr>
        <w:t>؟</w:t>
      </w:r>
      <w:r w:rsidRPr="00132E65">
        <w:rPr>
          <w:rtl/>
          <w:lang w:bidi="fa-IR"/>
        </w:rPr>
        <w:t xml:space="preserve"> فَقَالَ : « إِنَّ أَهْلَ الْمَدِينَةِ شَكَوْا إِلى رَسُولِ اللهِ </w:t>
      </w:r>
      <w:r w:rsidRPr="0093484F">
        <w:rPr>
          <w:rStyle w:val="libAlaemChar"/>
          <w:rFonts w:eastAsiaTheme="minorHAnsi"/>
          <w:rtl/>
        </w:rPr>
        <w:t>صلى‌الله‌عليه‌وآله</w:t>
      </w:r>
      <w:r w:rsidRPr="00132E65">
        <w:rPr>
          <w:rtl/>
          <w:lang w:bidi="fa-IR"/>
        </w:rPr>
        <w:t xml:space="preserve"> تَغْيِيرَ </w:t>
      </w:r>
      <w:r>
        <w:rPr>
          <w:rStyle w:val="libFootnotenumChar"/>
          <w:rtl/>
        </w:rPr>
        <w:t>(5)</w:t>
      </w:r>
      <w:r w:rsidRPr="00132E65">
        <w:rPr>
          <w:rtl/>
          <w:lang w:bidi="fa-IR"/>
        </w:rPr>
        <w:t xml:space="preserve"> الْمَاءِ وفَسَادَ طَبَائِعِهِمْ ، فَأَمَرَهُمْ أَنْ يَنْبِذُوا ، فَكَانَ الرَّجُلُ يَأْمُرُ خَادِمَهُ أَنْ يَنْبِذَ لَهُ ، فَيَعْمِدُ </w:t>
      </w:r>
      <w:r>
        <w:rPr>
          <w:rStyle w:val="libFootnotenumChar"/>
          <w:rtl/>
        </w:rPr>
        <w:t>(6)</w:t>
      </w:r>
      <w:r w:rsidRPr="00132E65">
        <w:rPr>
          <w:rtl/>
          <w:lang w:bidi="fa-IR"/>
        </w:rPr>
        <w:t xml:space="preserve"> إِلى كَفٍّ مِنَ التَّمْرِ ، فَيَقْذِفُ </w:t>
      </w:r>
      <w:r>
        <w:rPr>
          <w:rStyle w:val="libFootnotenumChar"/>
          <w:rtl/>
        </w:rPr>
        <w:t>(7)</w:t>
      </w:r>
      <w:r w:rsidRPr="00132E65">
        <w:rPr>
          <w:rtl/>
          <w:lang w:bidi="fa-IR"/>
        </w:rPr>
        <w:t xml:space="preserve"> بِهِ فِي الشَّنِّ </w:t>
      </w:r>
      <w:r>
        <w:rPr>
          <w:rStyle w:val="libFootnotenumChar"/>
          <w:rtl/>
        </w:rPr>
        <w:t>(8)</w:t>
      </w:r>
      <w:r w:rsidRPr="00132E65">
        <w:rPr>
          <w:rtl/>
          <w:lang w:bidi="fa-IR"/>
        </w:rPr>
        <w:t xml:space="preserve"> ، فَمِنْهُ شُرْبُهُ ، وَمِنْهُ طَهُورُهُ »</w:t>
      </w:r>
      <w:r>
        <w:rPr>
          <w:rtl/>
          <w:lang w:bidi="fa-IR"/>
        </w:rPr>
        <w:t>.</w:t>
      </w:r>
    </w:p>
    <w:p w:rsidR="000C39D1" w:rsidRPr="00132E65" w:rsidRDefault="000C39D1" w:rsidP="000C39D1">
      <w:pPr>
        <w:pStyle w:val="libNormal"/>
        <w:rPr>
          <w:rtl/>
          <w:lang w:bidi="fa-IR"/>
        </w:rPr>
      </w:pPr>
      <w:r w:rsidRPr="00132E65">
        <w:rPr>
          <w:rtl/>
          <w:lang w:bidi="fa-IR"/>
        </w:rPr>
        <w:t xml:space="preserve">فَقُلْتُ : وكَمْ كَانَ </w:t>
      </w:r>
      <w:r>
        <w:rPr>
          <w:rStyle w:val="libFootnotenumChar"/>
          <w:rtl/>
        </w:rPr>
        <w:t>(9)</w:t>
      </w:r>
      <w:r w:rsidRPr="00132E65">
        <w:rPr>
          <w:rtl/>
          <w:lang w:bidi="fa-IR"/>
        </w:rPr>
        <w:t xml:space="preserve"> عَدَدُ التَّمْرِ الَّذِي كَانَ </w:t>
      </w:r>
      <w:r>
        <w:rPr>
          <w:rStyle w:val="libFootnotenumChar"/>
          <w:rtl/>
        </w:rPr>
        <w:t>(10)</w:t>
      </w:r>
      <w:r w:rsidRPr="00132E65">
        <w:rPr>
          <w:rtl/>
          <w:lang w:bidi="fa-IR"/>
        </w:rPr>
        <w:t xml:space="preserve"> فِي الْكَفِّ</w:t>
      </w:r>
      <w:r>
        <w:rPr>
          <w:rtl/>
          <w:lang w:bidi="fa-IR"/>
        </w:rPr>
        <w:t>؟</w:t>
      </w:r>
      <w:r w:rsidRPr="00132E65">
        <w:rPr>
          <w:rtl/>
          <w:lang w:bidi="fa-IR"/>
        </w:rPr>
        <w:t xml:space="preserve"> فَقَالَ : « مَا حَمَلَ </w:t>
      </w:r>
      <w:r>
        <w:rPr>
          <w:rStyle w:val="libFootnotenumChar"/>
          <w:rtl/>
        </w:rPr>
        <w:t>(11)</w:t>
      </w:r>
      <w:r w:rsidRPr="00132E65">
        <w:rPr>
          <w:rtl/>
          <w:lang w:bidi="fa-IR"/>
        </w:rPr>
        <w:t xml:space="preserve"> الْكَفُّ »</w:t>
      </w:r>
      <w:r>
        <w:rPr>
          <w:rtl/>
          <w:lang w:bidi="fa-IR"/>
        </w:rPr>
        <w:t>.</w:t>
      </w:r>
      <w:r>
        <w:rPr>
          <w:rFonts w:hint="cs"/>
          <w:rtl/>
          <w:lang w:bidi="fa-IR"/>
        </w:rPr>
        <w:t xml:space="preserve"> </w:t>
      </w:r>
      <w:r w:rsidRPr="00132E65">
        <w:rPr>
          <w:rtl/>
          <w:lang w:bidi="fa-IR"/>
        </w:rPr>
        <w:t xml:space="preserve">فَقُلْتُ : واحِدَةٌ أَوْ </w:t>
      </w:r>
      <w:r>
        <w:rPr>
          <w:rStyle w:val="libFootnotenumChar"/>
          <w:rtl/>
        </w:rPr>
        <w:t>(12)</w:t>
      </w:r>
      <w:r w:rsidRPr="00132E65">
        <w:rPr>
          <w:rtl/>
          <w:lang w:bidi="fa-IR"/>
        </w:rPr>
        <w:t xml:space="preserve"> ثِنْتَانِ</w:t>
      </w:r>
      <w:r>
        <w:rPr>
          <w:rtl/>
          <w:lang w:bidi="fa-IR"/>
        </w:rPr>
        <w:t>؟</w:t>
      </w:r>
      <w:r w:rsidRPr="00132E65">
        <w:rPr>
          <w:rtl/>
          <w:lang w:bidi="fa-IR"/>
        </w:rPr>
        <w:t xml:space="preserve"> فَقَالَ : « رُبَّمَا كَانَتْ واحِدَةً ، ورُبَّمَا كَانَتْ ثِنْتَيْنِ »</w:t>
      </w:r>
      <w:r>
        <w:rPr>
          <w:rtl/>
          <w:lang w:bidi="fa-IR"/>
        </w:rPr>
        <w:t>.</w:t>
      </w:r>
    </w:p>
    <w:p w:rsidR="000C39D1" w:rsidRPr="00132E65" w:rsidRDefault="000C39D1" w:rsidP="000C39D1">
      <w:pPr>
        <w:pStyle w:val="libNormal"/>
        <w:rPr>
          <w:rtl/>
          <w:lang w:bidi="fa-IR"/>
        </w:rPr>
      </w:pPr>
      <w:r w:rsidRPr="00132E65">
        <w:rPr>
          <w:rtl/>
          <w:lang w:bidi="fa-IR"/>
        </w:rPr>
        <w:t xml:space="preserve">فَقُلْتُ : وكَمْ </w:t>
      </w:r>
      <w:r w:rsidRPr="00F543F1">
        <w:rPr>
          <w:rStyle w:val="libFootnotenumChar"/>
          <w:rtl/>
        </w:rPr>
        <w:t>(13)</w:t>
      </w:r>
      <w:r w:rsidRPr="00132E65">
        <w:rPr>
          <w:rtl/>
          <w:lang w:bidi="fa-IR"/>
        </w:rPr>
        <w:t xml:space="preserve"> كَانَ يَسَعُ الشَّنُّ </w:t>
      </w:r>
      <w:r w:rsidRPr="00F543F1">
        <w:rPr>
          <w:rStyle w:val="libFootnotenumChar"/>
          <w:rtl/>
        </w:rPr>
        <w:t>(14)</w:t>
      </w:r>
      <w:r>
        <w:rPr>
          <w:rtl/>
          <w:lang w:bidi="fa-IR"/>
        </w:rPr>
        <w:t>؟</w:t>
      </w:r>
      <w:r w:rsidRPr="00132E65">
        <w:rPr>
          <w:rtl/>
          <w:lang w:bidi="fa-IR"/>
        </w:rPr>
        <w:t xml:space="preserve"> فَقَالَ : « مَا بَيْنَ الْأَرْبَعِينَ إِلَى الثَّمَانِينَ إِلى مَا فَوْقَ ذلِكَ »</w:t>
      </w:r>
      <w:r>
        <w:rPr>
          <w:rtl/>
          <w:lang w:bidi="fa-IR"/>
        </w:rPr>
        <w:t>.</w:t>
      </w:r>
      <w:r w:rsidRPr="00132E65">
        <w:rPr>
          <w:rtl/>
          <w:lang w:bidi="fa-IR"/>
        </w:rPr>
        <w:t xml:space="preserve"> فَقُلْتُ : بِالْأَرْطَالِ</w:t>
      </w:r>
      <w:r>
        <w:rPr>
          <w:rtl/>
          <w:lang w:bidi="fa-IR"/>
        </w:rPr>
        <w:t>؟</w:t>
      </w:r>
      <w:r w:rsidRPr="00132E65">
        <w:rPr>
          <w:rtl/>
          <w:lang w:bidi="fa-IR"/>
        </w:rPr>
        <w:t xml:space="preserve"> فَقَالَ : « نَعَمْ ، أَرْطَالٌ بِمِكْيَالِ الْعِرَاقِ »</w:t>
      </w:r>
      <w:r>
        <w:rPr>
          <w:rtl/>
          <w:lang w:bidi="fa-IR"/>
        </w:rPr>
        <w:t>.</w:t>
      </w:r>
    </w:p>
    <w:p w:rsidR="000C39D1" w:rsidRPr="00132E65" w:rsidRDefault="000C39D1" w:rsidP="000C39D1">
      <w:pPr>
        <w:pStyle w:val="libNormal"/>
        <w:rPr>
          <w:rtl/>
          <w:lang w:bidi="fa-IR"/>
        </w:rPr>
      </w:pPr>
      <w:r w:rsidRPr="00132E65">
        <w:rPr>
          <w:rtl/>
          <w:lang w:bidi="fa-IR"/>
        </w:rPr>
        <w:t xml:space="preserve">قَالَ سَمَاعَةُ : قَالَ الْكَلْبِيُّ : ثُمَّ نَهَضَ </w:t>
      </w:r>
      <w:r w:rsidRPr="00071CF9">
        <w:rPr>
          <w:rStyle w:val="libAlaemChar"/>
          <w:rtl/>
        </w:rPr>
        <w:t>عليه‌السلام</w:t>
      </w:r>
      <w:r w:rsidRPr="00132E65">
        <w:rPr>
          <w:rtl/>
          <w:lang w:bidi="fa-IR"/>
        </w:rPr>
        <w:t xml:space="preserve"> ، وقُمْتُ </w:t>
      </w:r>
      <w:r w:rsidRPr="00F543F1">
        <w:rPr>
          <w:rStyle w:val="libFootnotenumChar"/>
          <w:rtl/>
        </w:rPr>
        <w:t>(15)</w:t>
      </w:r>
      <w:r w:rsidRPr="00132E65">
        <w:rPr>
          <w:rtl/>
          <w:lang w:bidi="fa-IR"/>
        </w:rPr>
        <w:t xml:space="preserve"> ، فَخَرَجْتُ </w:t>
      </w:r>
      <w:r w:rsidRPr="00F543F1">
        <w:rPr>
          <w:rStyle w:val="libFootnotenumChar"/>
          <w:rtl/>
        </w:rPr>
        <w:t>(16)</w:t>
      </w:r>
      <w:r w:rsidRPr="00132E65">
        <w:rPr>
          <w:rtl/>
          <w:lang w:bidi="fa-IR"/>
        </w:rPr>
        <w:t xml:space="preserve"> وأَنَا أَضْرِبُ بِيَدِي‌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العَكَرُ » : دُرْدِيُّ كلّ شي‌ء ، وهو ما يبقى في أسفله. وعَكَرُ الشراب والماء والدهن : آخره وخاثرُه. راجع : </w:t>
      </w:r>
      <w:r w:rsidRPr="009D1ACE">
        <w:rPr>
          <w:rStyle w:val="libFootnoteBoldChar"/>
          <w:rtl/>
        </w:rPr>
        <w:t>لسان العرب</w:t>
      </w:r>
      <w:r w:rsidRPr="00132E65">
        <w:rPr>
          <w:rtl/>
        </w:rPr>
        <w:t xml:space="preserve"> ، ج 4 ، ص 600 ( عكر )</w:t>
      </w:r>
      <w:r>
        <w:rPr>
          <w:rtl/>
        </w:rPr>
        <w:t>.</w:t>
      </w:r>
      <w:r>
        <w:rPr>
          <w:rFonts w:hint="cs"/>
          <w:rtl/>
        </w:rPr>
        <w:t xml:space="preserve">                     </w:t>
      </w:r>
      <w:r>
        <w:rPr>
          <w:rtl/>
        </w:rPr>
        <w:t>(2).</w:t>
      </w:r>
      <w:r w:rsidRPr="00132E65">
        <w:rPr>
          <w:rtl/>
        </w:rPr>
        <w:t xml:space="preserve"> في </w:t>
      </w:r>
      <w:r w:rsidRPr="009D1ACE">
        <w:rPr>
          <w:rStyle w:val="libFootnoteBoldChar"/>
          <w:rtl/>
        </w:rPr>
        <w:t>الوافي</w:t>
      </w:r>
      <w:r w:rsidRPr="00132E65">
        <w:rPr>
          <w:rtl/>
        </w:rPr>
        <w:t xml:space="preserve"> : « فنشربه »</w:t>
      </w:r>
      <w:r>
        <w:rPr>
          <w:rtl/>
        </w:rPr>
        <w:t>.</w:t>
      </w:r>
    </w:p>
    <w:p w:rsidR="000C39D1" w:rsidRPr="00132E65" w:rsidRDefault="000C39D1" w:rsidP="000C39D1">
      <w:pPr>
        <w:pStyle w:val="libFootnote0"/>
        <w:rPr>
          <w:rtl/>
          <w:lang w:bidi="fa-IR"/>
        </w:rPr>
      </w:pPr>
      <w:r>
        <w:rPr>
          <w:rtl/>
        </w:rPr>
        <w:t>(3).</w:t>
      </w:r>
      <w:r w:rsidRPr="00132E65">
        <w:rPr>
          <w:rtl/>
        </w:rPr>
        <w:t xml:space="preserve"> « شه شه » جاء في أكثر النسخ بالضمّ. وفي </w:t>
      </w:r>
      <w:r w:rsidRPr="009D1ACE">
        <w:rPr>
          <w:rStyle w:val="libFootnoteBoldChar"/>
          <w:rtl/>
        </w:rPr>
        <w:t>لسان العرب</w:t>
      </w:r>
      <w:r w:rsidRPr="00132E65">
        <w:rPr>
          <w:rtl/>
        </w:rPr>
        <w:t xml:space="preserve"> : « شَهْ : حكاية كلام شِبْه الانتهار »</w:t>
      </w:r>
      <w:r>
        <w:rPr>
          <w:rtl/>
        </w:rPr>
        <w:t>.</w:t>
      </w:r>
      <w:r w:rsidRPr="00132E65">
        <w:rPr>
          <w:rtl/>
        </w:rPr>
        <w:t xml:space="preserve"> والانتهار : الزجر. يقال : نَهَرتُهُ وانتهرته ، إذا استقبلته بكلام تزجره عن خبر. وفي الشروح : شه ، كلمة ضجر وتقبيح واستقذار. وقال المازندراني : « ويحتمل أن يكون أمراً باتّصاف المخاطب بالقبح من شاهَ يشوه إذا قبح »</w:t>
      </w:r>
      <w:r>
        <w:rPr>
          <w:rtl/>
        </w:rPr>
        <w:t>.</w:t>
      </w:r>
      <w:r w:rsidRPr="00132E65">
        <w:rPr>
          <w:rtl/>
        </w:rPr>
        <w:t xml:space="preserve"> راجع : </w:t>
      </w:r>
      <w:r w:rsidRPr="009D1ACE">
        <w:rPr>
          <w:rStyle w:val="libFootnoteBoldChar"/>
          <w:rtl/>
        </w:rPr>
        <w:t>لسان العرب</w:t>
      </w:r>
      <w:r w:rsidRPr="00132E65">
        <w:rPr>
          <w:rtl/>
        </w:rPr>
        <w:t xml:space="preserve"> ، ج 13 ، ص 508 ( شهه )</w:t>
      </w:r>
      <w:r>
        <w:rPr>
          <w:rtl/>
        </w:rPr>
        <w:t>.</w:t>
      </w:r>
      <w:r>
        <w:rPr>
          <w:rFonts w:hint="cs"/>
          <w:rtl/>
        </w:rPr>
        <w:t xml:space="preserve">                        </w:t>
      </w:r>
      <w:r w:rsidR="0033724D">
        <w:rPr>
          <w:rFonts w:hint="cs"/>
          <w:rtl/>
        </w:rPr>
        <w:t xml:space="preserve">                </w:t>
      </w:r>
      <w:r>
        <w:rPr>
          <w:rFonts w:hint="cs"/>
          <w:rtl/>
        </w:rPr>
        <w:t xml:space="preserve">          </w:t>
      </w:r>
      <w:r>
        <w:rPr>
          <w:rtl/>
        </w:rPr>
        <w:t>(4).</w:t>
      </w:r>
      <w:r w:rsidRPr="00132E65">
        <w:rPr>
          <w:rtl/>
        </w:rPr>
        <w:t xml:space="preserve"> في « ف » : « والمنتبذة »</w:t>
      </w:r>
      <w:r>
        <w:rPr>
          <w:rtl/>
        </w:rPr>
        <w:t>.</w:t>
      </w:r>
    </w:p>
    <w:p w:rsidR="000C39D1" w:rsidRPr="00132E65" w:rsidRDefault="000C39D1" w:rsidP="000C39D1">
      <w:pPr>
        <w:pStyle w:val="libFootnote0"/>
        <w:rPr>
          <w:rtl/>
          <w:lang w:bidi="fa-IR"/>
        </w:rPr>
      </w:pPr>
      <w:r>
        <w:rPr>
          <w:rtl/>
        </w:rPr>
        <w:t>(5).</w:t>
      </w:r>
      <w:r w:rsidRPr="00132E65">
        <w:rPr>
          <w:rtl/>
        </w:rPr>
        <w:t xml:space="preserve"> في « ب ، ض » : « تغيّر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5D55C3">
        <w:rPr>
          <w:rtl/>
        </w:rPr>
        <w:t>الوافي</w:t>
      </w:r>
      <w:r w:rsidRPr="00132E65">
        <w:rPr>
          <w:rtl/>
        </w:rPr>
        <w:t xml:space="preserve"> : « فتعمد »</w:t>
      </w:r>
      <w:r>
        <w:rPr>
          <w:rtl/>
        </w:rPr>
        <w:t>.</w:t>
      </w:r>
      <w:r w:rsidRPr="00132E65">
        <w:rPr>
          <w:rtl/>
        </w:rPr>
        <w:t xml:space="preserve"> وقوله : « فَيَعْمِدُ إلى كفّ » ، أي يقصده. راجع : </w:t>
      </w:r>
      <w:r w:rsidRPr="009D1ACE">
        <w:rPr>
          <w:rStyle w:val="libFootnoteBoldChar"/>
          <w:rtl/>
        </w:rPr>
        <w:t>لسان العرب</w:t>
      </w:r>
      <w:r w:rsidRPr="00132E65">
        <w:rPr>
          <w:rtl/>
        </w:rPr>
        <w:t xml:space="preserve"> ، ج 3 ، ص 302 ( عمد )</w:t>
      </w:r>
      <w:r>
        <w:rPr>
          <w:rtl/>
        </w:rPr>
        <w:t>.</w:t>
      </w:r>
    </w:p>
    <w:p w:rsidR="000C39D1" w:rsidRPr="00132E65" w:rsidRDefault="000C39D1" w:rsidP="000C39D1">
      <w:pPr>
        <w:pStyle w:val="libFootnote0"/>
        <w:rPr>
          <w:rtl/>
          <w:lang w:bidi="fa-IR"/>
        </w:rPr>
      </w:pPr>
      <w:r>
        <w:rPr>
          <w:rtl/>
        </w:rPr>
        <w:t>(7).</w:t>
      </w:r>
      <w:r w:rsidRPr="00132E65">
        <w:rPr>
          <w:rtl/>
        </w:rPr>
        <w:t xml:space="preserve"> في « بح » :« فقذف »</w:t>
      </w:r>
      <w:r>
        <w:rPr>
          <w:rtl/>
        </w:rPr>
        <w:t>.</w:t>
      </w:r>
      <w:r w:rsidRPr="00132E65">
        <w:rPr>
          <w:rtl/>
        </w:rPr>
        <w:t xml:space="preserve"> وفي </w:t>
      </w:r>
      <w:r w:rsidRPr="005D55C3">
        <w:rPr>
          <w:rtl/>
        </w:rPr>
        <w:t>الوافي</w:t>
      </w:r>
      <w:r w:rsidRPr="00132E65">
        <w:rPr>
          <w:rtl/>
        </w:rPr>
        <w:t xml:space="preserve"> : « فتقذف »</w:t>
      </w:r>
      <w:r>
        <w:rPr>
          <w:rtl/>
        </w:rPr>
        <w:t>.</w:t>
      </w:r>
      <w:r w:rsidRPr="00132E65">
        <w:rPr>
          <w:rtl/>
        </w:rPr>
        <w:t xml:space="preserve"> وفي </w:t>
      </w:r>
      <w:r w:rsidRPr="005D55C3">
        <w:rPr>
          <w:rtl/>
        </w:rPr>
        <w:t>الكافي</w:t>
      </w:r>
      <w:r w:rsidRPr="00132E65">
        <w:rPr>
          <w:rtl/>
        </w:rPr>
        <w:t xml:space="preserve"> ، ح 12322 : « فيلقيه » بدل « فيقذف به»</w:t>
      </w:r>
      <w:r>
        <w:rPr>
          <w:rtl/>
        </w:rPr>
        <w:t>.</w:t>
      </w:r>
    </w:p>
    <w:p w:rsidR="000C39D1" w:rsidRPr="00132E65" w:rsidRDefault="000C39D1" w:rsidP="000C39D1">
      <w:pPr>
        <w:pStyle w:val="libFootnote0"/>
        <w:rPr>
          <w:rtl/>
          <w:lang w:bidi="fa-IR"/>
        </w:rPr>
      </w:pPr>
      <w:r>
        <w:rPr>
          <w:rtl/>
        </w:rPr>
        <w:t>(8).</w:t>
      </w:r>
      <w:r w:rsidRPr="00132E65">
        <w:rPr>
          <w:rtl/>
        </w:rPr>
        <w:t xml:space="preserve"> « الشَنُّ » </w:t>
      </w:r>
      <w:r>
        <w:rPr>
          <w:rtl/>
        </w:rPr>
        <w:t>و «</w:t>
      </w:r>
      <w:r w:rsidRPr="00132E65">
        <w:rPr>
          <w:rtl/>
        </w:rPr>
        <w:t xml:space="preserve"> الشَنَّةُ » : الخَلَقُ : أي البالي من كلّ آنية صُنِعَتْ من جلد ، أو القِرْبَة الخَلَق الصغيرة. راجع : </w:t>
      </w:r>
      <w:r w:rsidRPr="009D1ACE">
        <w:rPr>
          <w:rStyle w:val="libFootnoteBoldChar"/>
          <w:rtl/>
        </w:rPr>
        <w:t>لسان العرب</w:t>
      </w:r>
      <w:r w:rsidRPr="00132E65">
        <w:rPr>
          <w:rtl/>
        </w:rPr>
        <w:t xml:space="preserve"> ، ج 13 ، ص 24 ( شنن )</w:t>
      </w:r>
      <w:r>
        <w:rPr>
          <w:rtl/>
        </w:rPr>
        <w:t>.</w:t>
      </w:r>
      <w:r>
        <w:rPr>
          <w:rFonts w:hint="cs"/>
          <w:rtl/>
        </w:rPr>
        <w:t xml:space="preserve">        </w:t>
      </w:r>
      <w:r w:rsidR="0033724D">
        <w:rPr>
          <w:rFonts w:hint="cs"/>
          <w:rtl/>
        </w:rPr>
        <w:t xml:space="preserve">   </w:t>
      </w:r>
      <w:r>
        <w:rPr>
          <w:rFonts w:hint="cs"/>
          <w:rtl/>
        </w:rPr>
        <w:t xml:space="preserve">        </w:t>
      </w:r>
      <w:r>
        <w:rPr>
          <w:rtl/>
        </w:rPr>
        <w:t>(9).</w:t>
      </w:r>
      <w:r w:rsidRPr="00132E65">
        <w:rPr>
          <w:rtl/>
        </w:rPr>
        <w:t xml:space="preserve"> في « ج ، ف ، ه‍ ، بح ، بر » </w:t>
      </w:r>
      <w:r>
        <w:rPr>
          <w:rtl/>
        </w:rPr>
        <w:t xml:space="preserve">: - </w:t>
      </w:r>
      <w:r w:rsidRPr="00132E65">
        <w:rPr>
          <w:rtl/>
        </w:rPr>
        <w:t>« كان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الوافي</w:t>
      </w:r>
      <w:r w:rsidRPr="00132E65">
        <w:rPr>
          <w:rtl/>
        </w:rPr>
        <w:t xml:space="preserve"> والبحار ، ج 47 و</w:t>
      </w:r>
      <w:r w:rsidRPr="007A1104">
        <w:rPr>
          <w:rStyle w:val="libFootnoteBoldChar"/>
          <w:rtl/>
        </w:rPr>
        <w:t>الاستبصار</w:t>
      </w:r>
      <w:r w:rsidRPr="00132E65">
        <w:rPr>
          <w:rtl/>
        </w:rPr>
        <w:t xml:space="preserve"> </w:t>
      </w:r>
      <w:r>
        <w:rPr>
          <w:rtl/>
        </w:rPr>
        <w:t xml:space="preserve">: - </w:t>
      </w:r>
      <w:r w:rsidRPr="00132E65">
        <w:rPr>
          <w:rtl/>
        </w:rPr>
        <w:t>« كان »</w:t>
      </w:r>
      <w:r>
        <w:rPr>
          <w:rtl/>
        </w:rPr>
        <w:t>.</w:t>
      </w:r>
    </w:p>
    <w:p w:rsidR="000C39D1" w:rsidRPr="00132E65" w:rsidRDefault="000C39D1" w:rsidP="000C39D1">
      <w:pPr>
        <w:pStyle w:val="libFootnote0"/>
        <w:rPr>
          <w:rtl/>
          <w:lang w:bidi="fa-IR"/>
        </w:rPr>
      </w:pPr>
      <w:r>
        <w:rPr>
          <w:rtl/>
        </w:rPr>
        <w:t>(11).</w:t>
      </w:r>
      <w:r w:rsidRPr="00132E65">
        <w:rPr>
          <w:rtl/>
        </w:rPr>
        <w:t xml:space="preserve"> في « ف » : « حمله »</w:t>
      </w:r>
      <w:r>
        <w:rPr>
          <w:rtl/>
        </w:rPr>
        <w:t>.</w:t>
      </w:r>
    </w:p>
    <w:p w:rsidR="000C39D1" w:rsidRPr="00132E65" w:rsidRDefault="000C39D1" w:rsidP="000C39D1">
      <w:pPr>
        <w:pStyle w:val="libFootnote0"/>
        <w:rPr>
          <w:rtl/>
          <w:lang w:bidi="fa-IR"/>
        </w:rPr>
      </w:pPr>
      <w:r>
        <w:rPr>
          <w:rtl/>
        </w:rPr>
        <w:t>(12).</w:t>
      </w:r>
      <w:r w:rsidRPr="00132E65">
        <w:rPr>
          <w:rtl/>
        </w:rPr>
        <w:t xml:space="preserve"> هكذا في « جف » والتهذيب و</w:t>
      </w:r>
      <w:r w:rsidRPr="007A1104">
        <w:rPr>
          <w:rStyle w:val="libFootnoteBoldChar"/>
          <w:rtl/>
        </w:rPr>
        <w:t>الاستبصار</w:t>
      </w:r>
      <w:r w:rsidRPr="00132E65">
        <w:rPr>
          <w:rtl/>
        </w:rPr>
        <w:t>. والمقام يقتضيه. وفي سائر النسخ والمطبوع : «</w:t>
      </w:r>
      <w:r>
        <w:rPr>
          <w:rtl/>
        </w:rPr>
        <w:t xml:space="preserve"> و ».</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(13)</w:t>
            </w:r>
            <w:r w:rsidRPr="00132E65">
              <w:rPr>
                <w:rtl/>
              </w:rPr>
              <w:t xml:space="preserve"> في « ه‍ » : « فكم »</w:t>
            </w:r>
            <w:r>
              <w:rPr>
                <w:rtl/>
              </w:rPr>
              <w:t>.</w:t>
            </w:r>
          </w:p>
        </w:tc>
        <w:tc>
          <w:tcPr>
            <w:tcW w:w="4006" w:type="dxa"/>
          </w:tcPr>
          <w:p w:rsidR="000C39D1" w:rsidRDefault="000C39D1" w:rsidP="00B53873">
            <w:pPr>
              <w:pStyle w:val="libFootnote0"/>
              <w:rPr>
                <w:rtl/>
              </w:rPr>
            </w:pPr>
            <w:r>
              <w:rPr>
                <w:rtl/>
              </w:rPr>
              <w:t>(14)</w:t>
            </w:r>
            <w:r w:rsidRPr="00132E65">
              <w:rPr>
                <w:rtl/>
              </w:rPr>
              <w:t xml:space="preserve"> في </w:t>
            </w:r>
            <w:r w:rsidRPr="005D55C3">
              <w:rPr>
                <w:rtl/>
              </w:rPr>
              <w:t>الكافي</w:t>
            </w:r>
            <w:r w:rsidRPr="00132E65">
              <w:rPr>
                <w:rtl/>
              </w:rPr>
              <w:t xml:space="preserve"> ، ح 12322 :</w:t>
            </w:r>
            <w:r>
              <w:rPr>
                <w:rtl/>
              </w:rPr>
              <w:t xml:space="preserve"> + </w:t>
            </w:r>
            <w:r w:rsidRPr="00132E65">
              <w:rPr>
                <w:rtl/>
              </w:rPr>
              <w:t>« ماء »</w:t>
            </w:r>
            <w:r>
              <w:rPr>
                <w:rtl/>
              </w:rPr>
              <w:t>.</w:t>
            </w:r>
          </w:p>
        </w:tc>
      </w:tr>
      <w:tr w:rsidR="000C39D1" w:rsidTr="00B53873">
        <w:tc>
          <w:tcPr>
            <w:tcW w:w="4006" w:type="dxa"/>
          </w:tcPr>
          <w:p w:rsidR="000C39D1" w:rsidRDefault="000C39D1" w:rsidP="00B53873">
            <w:pPr>
              <w:pStyle w:val="libFootnote0"/>
              <w:rPr>
                <w:rtl/>
              </w:rPr>
            </w:pPr>
            <w:r>
              <w:rPr>
                <w:rtl/>
              </w:rPr>
              <w:t>(15)</w:t>
            </w:r>
            <w:r w:rsidRPr="00132E65">
              <w:rPr>
                <w:rtl/>
              </w:rPr>
              <w:t xml:space="preserve"> في البحار ، ج 47 : « فقمت »</w:t>
            </w:r>
            <w:r>
              <w:rPr>
                <w:rtl/>
              </w:rPr>
              <w:t>.</w:t>
            </w:r>
          </w:p>
        </w:tc>
        <w:tc>
          <w:tcPr>
            <w:tcW w:w="4006" w:type="dxa"/>
          </w:tcPr>
          <w:p w:rsidR="000C39D1" w:rsidRDefault="000C39D1" w:rsidP="00B53873">
            <w:pPr>
              <w:pStyle w:val="libFootnote0"/>
              <w:rPr>
                <w:rtl/>
              </w:rPr>
            </w:pPr>
            <w:r>
              <w:rPr>
                <w:rtl/>
              </w:rPr>
              <w:t>(16)</w:t>
            </w:r>
            <w:r w:rsidRPr="00132E65">
              <w:rPr>
                <w:rtl/>
              </w:rPr>
              <w:t xml:space="preserve"> في « ب » : « وخرجت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عَلَى الْأُخْرى ، وأَنَا أَقُولُ : إِنْ كَانَ شَيْ‌ءٌ فَهذَا. فَلَمْ يَزَلِ الْكَلْبِيُّ يَدِينُ اللهَ </w:t>
      </w:r>
      <w:r>
        <w:rPr>
          <w:rStyle w:val="libFootnotenumChar"/>
          <w:rtl/>
        </w:rPr>
        <w:t>(1)</w:t>
      </w:r>
      <w:r w:rsidRPr="00132E65">
        <w:rPr>
          <w:rtl/>
          <w:lang w:bidi="fa-IR"/>
        </w:rPr>
        <w:t xml:space="preserve"> بِحُبِّ آلِ </w:t>
      </w:r>
      <w:r>
        <w:rPr>
          <w:rStyle w:val="libFootnotenumChar"/>
          <w:rtl/>
        </w:rPr>
        <w:t>(2)</w:t>
      </w:r>
      <w:r w:rsidRPr="00132E65">
        <w:rPr>
          <w:rtl/>
          <w:lang w:bidi="fa-IR"/>
        </w:rPr>
        <w:t xml:space="preserve"> هذَا الْبَيْتِ حَتّى مَاتَ. </w:t>
      </w:r>
      <w:r>
        <w:rPr>
          <w:rStyle w:val="libFootnotenumChar"/>
          <w:rtl/>
        </w:rPr>
        <w:t>(3)</w:t>
      </w:r>
    </w:p>
    <w:p w:rsidR="000C39D1" w:rsidRPr="00132E65" w:rsidRDefault="000C39D1" w:rsidP="000C39D1">
      <w:pPr>
        <w:pStyle w:val="libNormal"/>
        <w:rPr>
          <w:rtl/>
          <w:lang w:bidi="fa-IR"/>
        </w:rPr>
      </w:pPr>
      <w:r w:rsidRPr="007271BC">
        <w:rPr>
          <w:rtl/>
        </w:rPr>
        <w:t>928</w:t>
      </w:r>
      <w:r w:rsidRPr="004325D8">
        <w:rPr>
          <w:rStyle w:val="libBold2Char"/>
          <w:rtl/>
        </w:rPr>
        <w:t xml:space="preserve"> / 7.</w:t>
      </w:r>
      <w:r w:rsidRPr="00132E65">
        <w:rPr>
          <w:rtl/>
          <w:lang w:bidi="fa-IR"/>
        </w:rPr>
        <w:t xml:space="preserve"> مُحَمَّدُ بْنُ يَحْيى ، عَنْ أَحْمَدَ بْنِ مُحَمَّدِ بْنِ عِيسى ، عَنْ أَبِي يَحْيى الْوَاسِطِيِّ ، عَنْ هِشَامِ بْنِ سَالِمٍ ، قَالَ :</w:t>
      </w:r>
    </w:p>
    <w:p w:rsidR="000C39D1" w:rsidRPr="00132E65" w:rsidRDefault="000C39D1" w:rsidP="000C39D1">
      <w:pPr>
        <w:pStyle w:val="libNormal"/>
        <w:rPr>
          <w:rtl/>
          <w:lang w:bidi="fa-IR"/>
        </w:rPr>
      </w:pPr>
      <w:r w:rsidRPr="00132E65">
        <w:rPr>
          <w:rtl/>
          <w:lang w:bidi="fa-IR"/>
        </w:rPr>
        <w:t xml:space="preserve">كُنَّا بِالْمَدِينَةِ بَعْدَ وفَاةِ أَبِي عَبْدِ اللهِ </w:t>
      </w:r>
      <w:r w:rsidRPr="00071CF9">
        <w:rPr>
          <w:rStyle w:val="libAlaemChar"/>
          <w:rtl/>
        </w:rPr>
        <w:t>عليه‌السلام</w:t>
      </w:r>
      <w:r w:rsidRPr="00132E65">
        <w:rPr>
          <w:rtl/>
          <w:lang w:bidi="fa-IR"/>
        </w:rPr>
        <w:t xml:space="preserve"> أَنَا وصَاحِبُ الطَّاقِ </w:t>
      </w:r>
      <w:r>
        <w:rPr>
          <w:rStyle w:val="libFootnotenumChar"/>
          <w:rtl/>
        </w:rPr>
        <w:t>(4)</w:t>
      </w:r>
      <w:r w:rsidRPr="00132E65">
        <w:rPr>
          <w:rtl/>
          <w:lang w:bidi="fa-IR"/>
        </w:rPr>
        <w:t xml:space="preserve"> ، والنَّاسُ مُجْتَمِعُونَ </w:t>
      </w:r>
      <w:r>
        <w:rPr>
          <w:rStyle w:val="libFootnotenumChar"/>
          <w:rtl/>
        </w:rPr>
        <w:t>(5)</w:t>
      </w:r>
      <w:r w:rsidRPr="00132E65">
        <w:rPr>
          <w:rtl/>
          <w:lang w:bidi="fa-IR"/>
        </w:rPr>
        <w:t xml:space="preserve"> عَلى عَبْدِ اللهِ بْنِ جَعْفَرٍ أَنَّهُ صَاحِبُ الْأَمْرِ بَعْدَ أَبِيهِ ، فَدَخَلْنَا عَلَيْهِ أَنَا وصَاحِبُ الطَّاقِ ، والنَّاسُ عِنْدَهُ ، وذلِكَ أَنَّهُمْ رَوَوْا عَنْ أَبِي عَبْدِ اللهِ </w:t>
      </w:r>
      <w:r w:rsidRPr="00071CF9">
        <w:rPr>
          <w:rStyle w:val="libAlaemChar"/>
          <w:rtl/>
        </w:rPr>
        <w:t>عليه‌السلام</w:t>
      </w:r>
      <w:r w:rsidRPr="00132E65">
        <w:rPr>
          <w:rtl/>
          <w:lang w:bidi="fa-IR"/>
        </w:rPr>
        <w:t xml:space="preserve"> أَنَّهُ قَالَ : « إِنَّ الْأَمْرَ فِي الْكَبِيرِ مَا لَمْ تَكُنْ </w:t>
      </w:r>
      <w:r>
        <w:rPr>
          <w:rStyle w:val="libFootnotenumChar"/>
          <w:rtl/>
        </w:rPr>
        <w:t>(6)</w:t>
      </w:r>
      <w:r w:rsidRPr="00132E65">
        <w:rPr>
          <w:rtl/>
          <w:lang w:bidi="fa-IR"/>
        </w:rPr>
        <w:t xml:space="preserve"> بِهِ عَاهَةٌ </w:t>
      </w:r>
      <w:r>
        <w:rPr>
          <w:rStyle w:val="libFootnotenumChar"/>
          <w:rtl/>
        </w:rPr>
        <w:t>(7)</w:t>
      </w:r>
      <w:r w:rsidRPr="00132E65">
        <w:rPr>
          <w:rtl/>
          <w:lang w:bidi="fa-IR"/>
        </w:rPr>
        <w:t>»</w:t>
      </w:r>
      <w:r>
        <w:rPr>
          <w:rtl/>
          <w:lang w:bidi="fa-IR"/>
        </w:rPr>
        <w:t>.</w:t>
      </w:r>
      <w:r w:rsidRPr="00132E65">
        <w:rPr>
          <w:rtl/>
          <w:lang w:bidi="fa-IR"/>
        </w:rPr>
        <w:t xml:space="preserve"> فَدَخَلْنَا عَلَيْهِ نَسْأَلُهُ عَمَّا كُنَّا‌</w:t>
      </w:r>
      <w:r>
        <w:rPr>
          <w:rFonts w:hint="cs"/>
          <w:rtl/>
          <w:lang w:bidi="fa-IR"/>
        </w:rPr>
        <w:t>............</w:t>
      </w:r>
      <w:r w:rsidR="0033724D">
        <w:rPr>
          <w:rFonts w:hint="cs"/>
          <w:rtl/>
          <w:lang w:bidi="fa-IR"/>
        </w:rPr>
        <w:t>.............................................</w:t>
      </w:r>
      <w:r>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قوله : « يُدين اللهَ » ، أي يُطيعُه ويعبده. من الدين بمعنى الطاعة. راجع : </w:t>
      </w:r>
      <w:r w:rsidRPr="009D1ACE">
        <w:rPr>
          <w:rStyle w:val="libFootnoteBoldChar"/>
          <w:rtl/>
        </w:rPr>
        <w:t>لسان العرب</w:t>
      </w:r>
      <w:r>
        <w:rPr>
          <w:rtl/>
        </w:rPr>
        <w:t xml:space="preserve"> ، ج 13 ، ص 169 (</w:t>
      </w:r>
      <w:r w:rsidRPr="00132E65">
        <w:rPr>
          <w:rtl/>
        </w:rPr>
        <w:t>دين )</w:t>
      </w:r>
      <w:r>
        <w:rPr>
          <w:rtl/>
        </w:rPr>
        <w:t>.</w:t>
      </w:r>
    </w:p>
    <w:p w:rsidR="000C39D1" w:rsidRPr="00132E65" w:rsidRDefault="000C39D1" w:rsidP="000C39D1">
      <w:pPr>
        <w:pStyle w:val="libFootnote0"/>
        <w:rPr>
          <w:rtl/>
          <w:lang w:bidi="fa-IR"/>
        </w:rPr>
      </w:pPr>
      <w:r>
        <w:rPr>
          <w:rtl/>
        </w:rPr>
        <w:t>(2).</w:t>
      </w:r>
      <w:r w:rsidRPr="00132E65">
        <w:rPr>
          <w:rtl/>
        </w:rPr>
        <w:t xml:space="preserve"> في « بس » وحاشية « بح » والبحار ، ج 47 : « أهل »</w:t>
      </w:r>
      <w:r>
        <w:rPr>
          <w:rtl/>
        </w:rPr>
        <w:t>.</w:t>
      </w:r>
    </w:p>
    <w:p w:rsidR="000C39D1" w:rsidRPr="00132E65" w:rsidRDefault="000C39D1" w:rsidP="000C39D1">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الصيد ، باب آخر منه ، ح 11349 ، من قوله : « فقلت : أخبرني عن أكل الجرّيّ » إلى قوله : « والورل وما سوى ذلك »</w:t>
      </w:r>
      <w:r>
        <w:rPr>
          <w:rtl/>
        </w:rPr>
        <w:t>.</w:t>
      </w:r>
      <w:r w:rsidRPr="00132E65">
        <w:rPr>
          <w:rtl/>
        </w:rPr>
        <w:t xml:space="preserve"> </w:t>
      </w:r>
      <w:r w:rsidRPr="007271BC">
        <w:rPr>
          <w:rtl/>
        </w:rPr>
        <w:t>وفيه</w:t>
      </w:r>
      <w:r w:rsidRPr="00132E65">
        <w:rPr>
          <w:rtl/>
        </w:rPr>
        <w:t xml:space="preserve"> ، كتاب الأشربة ، باب النبيذ ، ح 12322 ، عن الحسين بن محمّد ، عن معلّى بن محمّد وعدّة من أصحابنا عن سهل بن زياد جميعاً ، عن محمّد بن عليّ الهمداني ، عن عليّ بن عبد الله الحنّاط ، عن سماعة بن مهران ، عن الكلبي النسّابة ، من قوله : « فقلت : ما تقول في النبيذ » إلى قوله : « أرطال بمكيال العراق » ؛ وروى هذا الخبر ( أي </w:t>
      </w:r>
      <w:r w:rsidRPr="000577A7">
        <w:rPr>
          <w:rStyle w:val="libFootnoteBoldChar"/>
          <w:rtl/>
        </w:rPr>
        <w:t>الكافي</w:t>
      </w:r>
      <w:r w:rsidRPr="00132E65">
        <w:rPr>
          <w:rtl/>
        </w:rPr>
        <w:t xml:space="preserve"> ، ح 12322 ) الشيخ الطوسي بسنده عن الكليني في </w:t>
      </w:r>
      <w:r w:rsidRPr="005D55C3">
        <w:rPr>
          <w:rStyle w:val="libFootnoteBoldChar"/>
          <w:rtl/>
        </w:rPr>
        <w:t>التهذيب</w:t>
      </w:r>
      <w:r w:rsidRPr="00132E65">
        <w:rPr>
          <w:rtl/>
        </w:rPr>
        <w:t xml:space="preserve"> ، ج 1 ، ص 220 ، ح 629 ؛ و</w:t>
      </w:r>
      <w:r w:rsidRPr="007A1104">
        <w:rPr>
          <w:rStyle w:val="libFootnoteBoldChar"/>
          <w:rtl/>
        </w:rPr>
        <w:t>الاستبصار</w:t>
      </w:r>
      <w:r w:rsidRPr="00132E65">
        <w:rPr>
          <w:rtl/>
        </w:rPr>
        <w:t xml:space="preserve"> ، ج 1 ، ص 16 ، ح 29 </w:t>
      </w:r>
      <w:r>
        <w:rPr>
          <w:rFonts w:hint="cs"/>
          <w:rtl/>
        </w:rPr>
        <w:t>.</w:t>
      </w:r>
      <w:r w:rsidRPr="009D1ACE">
        <w:rPr>
          <w:rStyle w:val="libFootnoteBoldChar"/>
          <w:rtl/>
        </w:rPr>
        <w:t>الوافي</w:t>
      </w:r>
      <w:r w:rsidRPr="00132E65">
        <w:rPr>
          <w:rtl/>
        </w:rPr>
        <w:t xml:space="preserve"> ، ج 2 ، ص 164 ، ح 620 ؛ وفي </w:t>
      </w:r>
      <w:r w:rsidRPr="005D55C3">
        <w:rPr>
          <w:rStyle w:val="libFootnoteBoldChar"/>
          <w:rtl/>
        </w:rPr>
        <w:t>الوسائل</w:t>
      </w:r>
      <w:r w:rsidRPr="00132E65">
        <w:rPr>
          <w:rtl/>
        </w:rPr>
        <w:t xml:space="preserve"> ، ج 1 ، ص 203 ، ح 521 ؛ وص 458 ، ح 1210 ؛ وج 22 ، ص 62 ، ح 28026 ؛ وص 107 ، ح 30096 ؛ وص 131 ، ح 30159 ؛ </w:t>
      </w:r>
      <w:r w:rsidRPr="005D55C3">
        <w:rPr>
          <w:rStyle w:val="libFootnoteBoldChar"/>
          <w:rtl/>
        </w:rPr>
        <w:t>والبحار</w:t>
      </w:r>
      <w:r w:rsidRPr="00132E65">
        <w:rPr>
          <w:rtl/>
        </w:rPr>
        <w:t xml:space="preserve"> ، ج 47 ، ص 228 ، ح 19 ؛ وج 14 ، ص 50 ، ح 3 ؛ وج 65 ، ص 229 ، ح 14 قطعات منه.</w:t>
      </w:r>
    </w:p>
    <w:p w:rsidR="000C39D1" w:rsidRPr="00132E65" w:rsidRDefault="000C39D1" w:rsidP="000C39D1">
      <w:pPr>
        <w:pStyle w:val="libFootnote0"/>
        <w:rPr>
          <w:rtl/>
          <w:lang w:bidi="fa-IR"/>
        </w:rPr>
      </w:pPr>
      <w:r>
        <w:rPr>
          <w:rtl/>
        </w:rPr>
        <w:t>(4).</w:t>
      </w:r>
      <w:r w:rsidRPr="00132E65">
        <w:rPr>
          <w:rtl/>
        </w:rPr>
        <w:t xml:space="preserve"> « صاحبُ الطاق » هو أبو جعفر محمّد بن عليّ بن النعمان الأحول ، كان مشهوراً بالفضل عند المخالف</w:t>
      </w:r>
      <w:r>
        <w:rPr>
          <w:rFonts w:hint="cs"/>
          <w:rtl/>
        </w:rPr>
        <w:t xml:space="preserve"> </w:t>
      </w:r>
      <w:r w:rsidRPr="00132E65">
        <w:rPr>
          <w:rtl/>
        </w:rPr>
        <w:t xml:space="preserve">‌والمؤالف ، وثقةً كثير العلم وحسن الخاطر. وكان يلقّب عند الشيعة بمؤمن الطاق وصاحب الطاق وشاه الطاق ؛ لكونه صرّافاً في طاق المحامل ، والمخالفون يلقّبونه شيطان الطاق ؛ لعجزهم عن مناظرته. وعبدالله بن جعفر هوالملقّب بالأفطح الذي تنسب إليه الفطحيّة القائلون بإمامته قبل الكاظم </w:t>
      </w:r>
      <w:r w:rsidRPr="005D55C3">
        <w:rPr>
          <w:rStyle w:val="libFootnoteAlaemChar"/>
          <w:rtl/>
        </w:rPr>
        <w:t>عليه‌السلام</w:t>
      </w:r>
      <w:r w:rsidRPr="00132E65">
        <w:rPr>
          <w:rtl/>
        </w:rPr>
        <w:t xml:space="preserve">. راجع : </w:t>
      </w:r>
      <w:r w:rsidRPr="007271BC">
        <w:rPr>
          <w:rtl/>
        </w:rPr>
        <w:t>شرح المازندراني</w:t>
      </w:r>
      <w:r w:rsidRPr="00132E65">
        <w:rPr>
          <w:rtl/>
        </w:rPr>
        <w:t xml:space="preserve"> ، ج 6 ، ص 276 ؛ </w:t>
      </w:r>
      <w:r w:rsidRPr="009D1ACE">
        <w:rPr>
          <w:rStyle w:val="libFootnoteBoldChar"/>
          <w:rtl/>
        </w:rPr>
        <w:t>مرآة العقول</w:t>
      </w:r>
      <w:r w:rsidRPr="00132E65">
        <w:rPr>
          <w:rtl/>
        </w:rPr>
        <w:t xml:space="preserve"> ، ج 4 ، ص 94.</w:t>
      </w:r>
    </w:p>
    <w:p w:rsidR="000C39D1" w:rsidRPr="00132E65" w:rsidRDefault="000C39D1" w:rsidP="000C39D1">
      <w:pPr>
        <w:pStyle w:val="libFootnote0"/>
        <w:rPr>
          <w:rtl/>
          <w:lang w:bidi="fa-IR"/>
        </w:rPr>
      </w:pPr>
      <w:r>
        <w:rPr>
          <w:rtl/>
        </w:rPr>
        <w:t>(5).</w:t>
      </w:r>
      <w:r w:rsidRPr="00132E65">
        <w:rPr>
          <w:rtl/>
        </w:rPr>
        <w:t xml:space="preserve"> في الإرشاد : « مجمعون »</w:t>
      </w:r>
      <w:r>
        <w:rPr>
          <w:rtl/>
        </w:rPr>
        <w:t>.</w:t>
      </w:r>
    </w:p>
    <w:p w:rsidR="000C39D1" w:rsidRPr="00132E65" w:rsidRDefault="000C39D1" w:rsidP="000C39D1">
      <w:pPr>
        <w:pStyle w:val="libFootnote0"/>
        <w:rPr>
          <w:rtl/>
          <w:lang w:bidi="fa-IR"/>
        </w:rPr>
      </w:pPr>
      <w:r>
        <w:rPr>
          <w:rtl/>
        </w:rPr>
        <w:t>(6).</w:t>
      </w:r>
      <w:r w:rsidRPr="00132E65">
        <w:rPr>
          <w:rtl/>
        </w:rPr>
        <w:t xml:space="preserve"> في « ب ، بر ، بس ، بف » : « لم يكن »</w:t>
      </w:r>
      <w:r>
        <w:rPr>
          <w:rtl/>
        </w:rPr>
        <w:t>.</w:t>
      </w:r>
    </w:p>
    <w:p w:rsidR="000C39D1" w:rsidRPr="00132E65" w:rsidRDefault="000C39D1" w:rsidP="000C39D1">
      <w:pPr>
        <w:pStyle w:val="libFootnote0"/>
        <w:rPr>
          <w:rtl/>
          <w:lang w:bidi="fa-IR"/>
        </w:rPr>
      </w:pPr>
      <w:r>
        <w:rPr>
          <w:rtl/>
        </w:rPr>
        <w:t>(7).</w:t>
      </w:r>
      <w:r w:rsidRPr="00132E65">
        <w:rPr>
          <w:rtl/>
        </w:rPr>
        <w:t xml:space="preserve"> « العاهَةُ » : الآفة ، وهو عرض مفسد لما أصاب من شي‌ء. راجع : </w:t>
      </w:r>
      <w:r w:rsidRPr="009D1ACE">
        <w:rPr>
          <w:rStyle w:val="libFootnoteBoldChar"/>
          <w:rtl/>
        </w:rPr>
        <w:t>لسان العرب</w:t>
      </w:r>
      <w:r>
        <w:rPr>
          <w:rtl/>
        </w:rPr>
        <w:t xml:space="preserve"> ، ج 9 ، ص 16 (أوف)؛</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نَسْأَلُ </w:t>
      </w:r>
      <w:r>
        <w:rPr>
          <w:rStyle w:val="libFootnotenumChar"/>
          <w:rtl/>
        </w:rPr>
        <w:t>(1)</w:t>
      </w:r>
      <w:r w:rsidRPr="00132E65">
        <w:rPr>
          <w:rtl/>
          <w:lang w:bidi="fa-IR"/>
        </w:rPr>
        <w:t xml:space="preserve"> عَنْهُ أَبَاهُ ، فَسَأَلْنَاهُ </w:t>
      </w:r>
      <w:r>
        <w:rPr>
          <w:rStyle w:val="libFootnotenumChar"/>
          <w:rtl/>
        </w:rPr>
        <w:t>(2)</w:t>
      </w:r>
      <w:r w:rsidRPr="00132E65">
        <w:rPr>
          <w:rtl/>
          <w:lang w:bidi="fa-IR"/>
        </w:rPr>
        <w:t xml:space="preserve"> عَنِ الزَّكَاةِ فِي كَمْ تَجِبُ</w:t>
      </w:r>
      <w:r>
        <w:rPr>
          <w:rtl/>
          <w:lang w:bidi="fa-IR"/>
        </w:rPr>
        <w:t>؟</w:t>
      </w:r>
      <w:r w:rsidRPr="00132E65">
        <w:rPr>
          <w:rtl/>
          <w:lang w:bidi="fa-IR"/>
        </w:rPr>
        <w:t xml:space="preserve"> فَقَالَ : فِي مِائَتَيْنِ خَمْسَةٌ ، فَقُلْنَا :</w:t>
      </w:r>
      <w:r>
        <w:rPr>
          <w:rFonts w:hint="cs"/>
          <w:rtl/>
          <w:lang w:bidi="fa-IR"/>
        </w:rPr>
        <w:t xml:space="preserve"> </w:t>
      </w:r>
      <w:r w:rsidRPr="00132E65">
        <w:rPr>
          <w:rtl/>
          <w:lang w:bidi="fa-IR"/>
        </w:rPr>
        <w:t xml:space="preserve">فِي </w:t>
      </w:r>
      <w:r>
        <w:rPr>
          <w:rStyle w:val="libFootnotenumChar"/>
          <w:rtl/>
        </w:rPr>
        <w:t>(3)</w:t>
      </w:r>
      <w:r w:rsidRPr="00132E65">
        <w:rPr>
          <w:rtl/>
          <w:lang w:bidi="fa-IR"/>
        </w:rPr>
        <w:t xml:space="preserve"> مِائَةٍ</w:t>
      </w:r>
      <w:r>
        <w:rPr>
          <w:rtl/>
          <w:lang w:bidi="fa-IR"/>
        </w:rPr>
        <w:t>؟</w:t>
      </w:r>
      <w:r w:rsidRPr="00132E65">
        <w:rPr>
          <w:rtl/>
          <w:lang w:bidi="fa-IR"/>
        </w:rPr>
        <w:t xml:space="preserve"> فَقَالَ </w:t>
      </w:r>
      <w:r>
        <w:rPr>
          <w:rStyle w:val="libFootnotenumChar"/>
          <w:rtl/>
        </w:rPr>
        <w:t>(4)</w:t>
      </w:r>
      <w:r w:rsidRPr="00132E65">
        <w:rPr>
          <w:rtl/>
          <w:lang w:bidi="fa-IR"/>
        </w:rPr>
        <w:t xml:space="preserve"> : دِرْهَمَانِ ونِصْفٌ ، فَقُلْنَا </w:t>
      </w:r>
      <w:r>
        <w:rPr>
          <w:rStyle w:val="libFootnotenumChar"/>
          <w:rtl/>
        </w:rPr>
        <w:t>(5)</w:t>
      </w:r>
      <w:r w:rsidRPr="00132E65">
        <w:rPr>
          <w:rtl/>
          <w:lang w:bidi="fa-IR"/>
        </w:rPr>
        <w:t xml:space="preserve"> : واللهِ مَا تَقُولُ الْمُرْجِئَةُ </w:t>
      </w:r>
      <w:r>
        <w:rPr>
          <w:rStyle w:val="libFootnotenumChar"/>
          <w:rtl/>
        </w:rPr>
        <w:t>(6)</w:t>
      </w:r>
      <w:r w:rsidRPr="00132E65">
        <w:rPr>
          <w:rtl/>
          <w:lang w:bidi="fa-IR"/>
        </w:rPr>
        <w:t xml:space="preserve"> هذَا ، قَالَ : فَرَفَعَ يَدَهُ </w:t>
      </w:r>
      <w:r>
        <w:rPr>
          <w:rStyle w:val="libFootnotenumChar"/>
          <w:rtl/>
        </w:rPr>
        <w:t>(7)</w:t>
      </w:r>
      <w:r w:rsidRPr="00132E65">
        <w:rPr>
          <w:rtl/>
          <w:lang w:bidi="fa-IR"/>
        </w:rPr>
        <w:t xml:space="preserve"> إِلَى السَّمَاءِ ، فَقَالَ : واللهِ </w:t>
      </w:r>
      <w:r>
        <w:rPr>
          <w:rStyle w:val="libFootnotenumChar"/>
          <w:rtl/>
        </w:rPr>
        <w:t>(8)</w:t>
      </w:r>
      <w:r w:rsidRPr="00132E65">
        <w:rPr>
          <w:rtl/>
          <w:lang w:bidi="fa-IR"/>
        </w:rPr>
        <w:t xml:space="preserve"> ، مَا أَدْرِي مَا تَقُولُ الْمُرْجِئَةُ.</w:t>
      </w:r>
    </w:p>
    <w:p w:rsidR="000C39D1" w:rsidRPr="00132E65" w:rsidRDefault="000C39D1" w:rsidP="000C39D1">
      <w:pPr>
        <w:pStyle w:val="libNormal"/>
        <w:rPr>
          <w:rtl/>
          <w:lang w:bidi="fa-IR"/>
        </w:rPr>
      </w:pPr>
      <w:r w:rsidRPr="00132E65">
        <w:rPr>
          <w:rtl/>
          <w:lang w:bidi="fa-IR"/>
        </w:rPr>
        <w:t xml:space="preserve">قَالَ : فَخَرَجْنَا مِنْ </w:t>
      </w:r>
      <w:r>
        <w:rPr>
          <w:rtl/>
          <w:lang w:bidi="fa-IR"/>
        </w:rPr>
        <w:t>عِنْدِهِ ضُل</w:t>
      </w:r>
      <w:r>
        <w:rPr>
          <w:rFonts w:hint="cs"/>
          <w:rtl/>
          <w:lang w:bidi="fa-IR"/>
        </w:rPr>
        <w:t>َّ</w:t>
      </w:r>
      <w:r>
        <w:rPr>
          <w:rtl/>
          <w:lang w:bidi="fa-IR"/>
        </w:rPr>
        <w:t>ا</w:t>
      </w:r>
      <w:r w:rsidRPr="00132E65">
        <w:rPr>
          <w:rtl/>
          <w:lang w:bidi="fa-IR"/>
        </w:rPr>
        <w:t xml:space="preserve">لاً لَانَدْرِي </w:t>
      </w:r>
      <w:r>
        <w:rPr>
          <w:rStyle w:val="libFootnotenumChar"/>
          <w:rtl/>
        </w:rPr>
        <w:t>(9)</w:t>
      </w:r>
      <w:r w:rsidRPr="00132E65">
        <w:rPr>
          <w:rtl/>
          <w:lang w:bidi="fa-IR"/>
        </w:rPr>
        <w:t xml:space="preserve"> إِلى أَيْنَ نَتَوَجَّهُ أَنَا وأَبُو جَعْفَرٍ الْأَحْوَلُ ، فَقَعَدْنَا فِي بَعْضِ أَزِقَّةِ </w:t>
      </w:r>
      <w:r>
        <w:rPr>
          <w:rStyle w:val="libFootnotenumChar"/>
          <w:rtl/>
        </w:rPr>
        <w:t>(10)</w:t>
      </w:r>
      <w:r w:rsidRPr="00132E65">
        <w:rPr>
          <w:rtl/>
          <w:lang w:bidi="fa-IR"/>
        </w:rPr>
        <w:t xml:space="preserve"> الْمَدِينَةِ بَاكِينَ حَيَارى لَانَدْرِي إِلى أَيْنَ نَتَوَجَّهُ ، و</w:t>
      </w:r>
      <w:r>
        <w:rPr>
          <w:rFonts w:hint="cs"/>
          <w:rtl/>
          <w:lang w:bidi="fa-IR"/>
        </w:rPr>
        <w:t>َ</w:t>
      </w:r>
      <w:r w:rsidRPr="00132E65">
        <w:rPr>
          <w:rtl/>
          <w:lang w:bidi="fa-IR"/>
        </w:rPr>
        <w:t xml:space="preserve">لَا </w:t>
      </w:r>
      <w:r>
        <w:rPr>
          <w:rStyle w:val="libFootnotenumChar"/>
          <w:rtl/>
        </w:rPr>
        <w:t>(11)</w:t>
      </w:r>
      <w:r w:rsidRPr="00132E65">
        <w:rPr>
          <w:rtl/>
          <w:lang w:bidi="fa-IR"/>
        </w:rPr>
        <w:t xml:space="preserve"> مَنْ نَقْصِدُ </w:t>
      </w:r>
      <w:r>
        <w:rPr>
          <w:rStyle w:val="libFootnotenumChar"/>
          <w:rtl/>
        </w:rPr>
        <w:t>(12)</w:t>
      </w:r>
      <w:r w:rsidRPr="00132E65">
        <w:rPr>
          <w:rtl/>
          <w:lang w:bidi="fa-IR"/>
        </w:rPr>
        <w:t xml:space="preserve"> ، نَقُولُ : إِلَى الْمُرْجِئَةِ</w:t>
      </w:r>
      <w:r>
        <w:rPr>
          <w:rtl/>
          <w:lang w:bidi="fa-IR"/>
        </w:rPr>
        <w:t>؟</w:t>
      </w:r>
      <w:r w:rsidRPr="00132E65">
        <w:rPr>
          <w:rtl/>
          <w:lang w:bidi="fa-IR"/>
        </w:rPr>
        <w:t xml:space="preserve"> إِلَى الْقَدَرِيَّةِ</w:t>
      </w:r>
      <w:r>
        <w:rPr>
          <w:rtl/>
          <w:lang w:bidi="fa-IR"/>
        </w:rPr>
        <w:t>؟</w:t>
      </w:r>
      <w:r w:rsidRPr="00132E65">
        <w:rPr>
          <w:rtl/>
          <w:lang w:bidi="fa-IR"/>
        </w:rPr>
        <w:t xml:space="preserve"> إِلَى الزَّيْدِيَّةِ</w:t>
      </w:r>
      <w:r>
        <w:rPr>
          <w:rtl/>
          <w:lang w:bidi="fa-IR"/>
        </w:rPr>
        <w:t>؟</w:t>
      </w:r>
      <w:r w:rsidRPr="00132E65">
        <w:rPr>
          <w:rtl/>
          <w:lang w:bidi="fa-IR"/>
        </w:rPr>
        <w:t xml:space="preserve"> إِلَى الْمُعْتَزِلَةِ</w:t>
      </w:r>
      <w:r>
        <w:rPr>
          <w:rtl/>
          <w:lang w:bidi="fa-IR"/>
        </w:rPr>
        <w:t>؟</w:t>
      </w:r>
      <w:r w:rsidRPr="00132E65">
        <w:rPr>
          <w:rtl/>
          <w:lang w:bidi="fa-IR"/>
        </w:rPr>
        <w:t xml:space="preserve"> إِلَى الْخَوَارِجِ</w:t>
      </w:r>
      <w:r>
        <w:rPr>
          <w:rtl/>
          <w:lang w:bidi="fa-IR"/>
        </w:rPr>
        <w:t>؟</w:t>
      </w:r>
    </w:p>
    <w:p w:rsidR="000C39D1" w:rsidRPr="00132E65" w:rsidRDefault="000C39D1" w:rsidP="000C39D1">
      <w:pPr>
        <w:pStyle w:val="libNormal"/>
        <w:rPr>
          <w:rtl/>
          <w:lang w:bidi="fa-IR"/>
        </w:rPr>
      </w:pPr>
      <w:r w:rsidRPr="00132E65">
        <w:rPr>
          <w:rtl/>
          <w:lang w:bidi="fa-IR"/>
        </w:rPr>
        <w:t xml:space="preserve">فَنَحْنُ كَذلِكَ إِذْ </w:t>
      </w:r>
      <w:r w:rsidRPr="00F543F1">
        <w:rPr>
          <w:rStyle w:val="libFootnotenumChar"/>
          <w:rtl/>
        </w:rPr>
        <w:t>(13)</w:t>
      </w:r>
      <w:r w:rsidRPr="00132E65">
        <w:rPr>
          <w:rtl/>
          <w:lang w:bidi="fa-IR"/>
        </w:rPr>
        <w:t xml:space="preserve"> رَأَيْتُ رَجُلاً شَيْخاً لَا</w:t>
      </w:r>
      <w:r>
        <w:rPr>
          <w:rFonts w:hint="cs"/>
          <w:rtl/>
          <w:lang w:bidi="fa-IR"/>
        </w:rPr>
        <w:t xml:space="preserve"> </w:t>
      </w:r>
      <w:r w:rsidRPr="00132E65">
        <w:rPr>
          <w:rtl/>
          <w:lang w:bidi="fa-IR"/>
        </w:rPr>
        <w:t>أَعْرِفُهُ ، يُومِئُ إِلَيَّ بِيَدِهِ ، فَخِفْتُ أَنْ يَكُونَ‌</w:t>
      </w:r>
      <w:r w:rsidRPr="005D55C3">
        <w:rPr>
          <w:rtl/>
          <w:lang w:bidi="fa-IR"/>
        </w:rPr>
        <w:t xml:space="preserve"> </w:t>
      </w:r>
      <w:r w:rsidRPr="00132E65">
        <w:rPr>
          <w:rtl/>
          <w:lang w:bidi="fa-IR"/>
        </w:rPr>
        <w:t>عَيْناً مِنْ عُيُونِ أَبِي جَعْفَرٍ الْمَنْصُورِ ، وذلِكَ أَنَّهُ كَانَ لَهُ بِالْمَدِينَةِ جَوَاسِيسُ يَنْظُرُونَ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w:t>
      </w:r>
      <w:r w:rsidRPr="00132E65">
        <w:rPr>
          <w:rtl/>
        </w:rPr>
        <w:t>وج 13 ، ص 520 ( عوه )</w:t>
      </w:r>
      <w:r>
        <w:rPr>
          <w:rtl/>
        </w:rPr>
        <w:t>.</w:t>
      </w:r>
    </w:p>
    <w:p w:rsidR="000C39D1" w:rsidRPr="00132E65" w:rsidRDefault="000C39D1" w:rsidP="0033724D">
      <w:pPr>
        <w:pStyle w:val="libFootnote0"/>
        <w:rPr>
          <w:rtl/>
          <w:lang w:bidi="fa-IR"/>
        </w:rPr>
      </w:pPr>
      <w:r>
        <w:rPr>
          <w:rtl/>
        </w:rPr>
        <w:t>(1).</w:t>
      </w:r>
      <w:r w:rsidRPr="00132E65">
        <w:rPr>
          <w:rtl/>
        </w:rPr>
        <w:t xml:space="preserve"> في « ه‍ </w:t>
      </w:r>
      <w:r w:rsidR="0033724D" w:rsidRPr="00132E65">
        <w:rPr>
          <w:rtl/>
        </w:rPr>
        <w:t>»</w:t>
      </w:r>
      <w:r w:rsidR="0033724D">
        <w:rPr>
          <w:rFonts w:hint="cs"/>
          <w:rtl/>
        </w:rPr>
        <w:t xml:space="preserve"> </w:t>
      </w:r>
      <w:r w:rsidRPr="00132E65">
        <w:rPr>
          <w:rtl/>
        </w:rPr>
        <w:t>: « عمّا كان يسأل »</w:t>
      </w:r>
      <w:r>
        <w:rPr>
          <w:rtl/>
        </w:rPr>
        <w:t>.</w:t>
      </w:r>
    </w:p>
    <w:p w:rsidR="000C39D1" w:rsidRPr="00132E65" w:rsidRDefault="000C39D1" w:rsidP="000C39D1">
      <w:pPr>
        <w:pStyle w:val="libFootnote0"/>
        <w:rPr>
          <w:rtl/>
          <w:lang w:bidi="fa-IR"/>
        </w:rPr>
      </w:pPr>
      <w:r>
        <w:rPr>
          <w:rtl/>
        </w:rPr>
        <w:t>(2).</w:t>
      </w:r>
      <w:r w:rsidRPr="00132E65">
        <w:rPr>
          <w:rtl/>
        </w:rPr>
        <w:t xml:space="preserve"> في « ب ، بر » : « فسألنا »</w:t>
      </w:r>
      <w:r>
        <w:rPr>
          <w:rtl/>
        </w:rPr>
        <w:t>.</w:t>
      </w:r>
    </w:p>
    <w:p w:rsidR="000C39D1" w:rsidRPr="00132E65" w:rsidRDefault="000C39D1" w:rsidP="000C39D1">
      <w:pPr>
        <w:pStyle w:val="libFootnote0"/>
        <w:rPr>
          <w:rtl/>
          <w:lang w:bidi="fa-IR"/>
        </w:rPr>
      </w:pPr>
      <w:r>
        <w:rPr>
          <w:rtl/>
        </w:rPr>
        <w:t>(3).</w:t>
      </w:r>
      <w:r w:rsidRPr="00132E65">
        <w:rPr>
          <w:rtl/>
        </w:rPr>
        <w:t xml:space="preserve"> هكذا في النسخ التي قوبلت </w:t>
      </w:r>
      <w:r w:rsidRPr="0056297C">
        <w:rPr>
          <w:rtl/>
        </w:rPr>
        <w:t>والوافي</w:t>
      </w:r>
      <w:r w:rsidRPr="00132E65">
        <w:rPr>
          <w:rtl/>
        </w:rPr>
        <w:t>. وفي المطبوع : « ففي »</w:t>
      </w:r>
      <w:r>
        <w:rPr>
          <w:rtl/>
        </w:rPr>
        <w:t>.</w:t>
      </w:r>
    </w:p>
    <w:p w:rsidR="000C39D1" w:rsidRPr="00132E65" w:rsidRDefault="000C39D1" w:rsidP="000C39D1">
      <w:pPr>
        <w:pStyle w:val="libFootnote0"/>
        <w:rPr>
          <w:rtl/>
          <w:lang w:bidi="fa-IR"/>
        </w:rPr>
      </w:pPr>
      <w:r>
        <w:rPr>
          <w:rtl/>
        </w:rPr>
        <w:t>(4).</w:t>
      </w:r>
      <w:r w:rsidRPr="00132E65">
        <w:rPr>
          <w:rtl/>
        </w:rPr>
        <w:t xml:space="preserve"> في « ب » والإرشاد : « قال »</w:t>
      </w:r>
      <w:r>
        <w:rPr>
          <w:rtl/>
        </w:rPr>
        <w:t>.</w:t>
      </w:r>
    </w:p>
    <w:p w:rsidR="000C39D1" w:rsidRPr="00132E65" w:rsidRDefault="000C39D1" w:rsidP="000C39D1">
      <w:pPr>
        <w:pStyle w:val="libFootnote0"/>
        <w:rPr>
          <w:rtl/>
          <w:lang w:bidi="fa-IR"/>
        </w:rPr>
      </w:pPr>
      <w:r>
        <w:rPr>
          <w:rtl/>
        </w:rPr>
        <w:t>(5).</w:t>
      </w:r>
      <w:r w:rsidRPr="00132E65">
        <w:rPr>
          <w:rtl/>
        </w:rPr>
        <w:t xml:space="preserve"> في « بح » : « فقالا »</w:t>
      </w:r>
      <w:r>
        <w:rPr>
          <w:rtl/>
        </w:rPr>
        <w:t>.</w:t>
      </w:r>
    </w:p>
    <w:p w:rsidR="000C39D1" w:rsidRPr="00132E65" w:rsidRDefault="000C39D1" w:rsidP="000C39D1">
      <w:pPr>
        <w:pStyle w:val="libFootnote0"/>
        <w:rPr>
          <w:rtl/>
          <w:lang w:bidi="fa-IR"/>
        </w:rPr>
      </w:pPr>
      <w:r>
        <w:rPr>
          <w:rtl/>
        </w:rPr>
        <w:t>(6). « الم</w:t>
      </w:r>
      <w:r>
        <w:rPr>
          <w:rFonts w:hint="cs"/>
          <w:rtl/>
        </w:rPr>
        <w:t>ـُ</w:t>
      </w:r>
      <w:r w:rsidRPr="00132E65">
        <w:rPr>
          <w:rtl/>
        </w:rPr>
        <w:t xml:space="preserve">رْجِئَةُ » : تطلق على فرقتين : فرقة مقابلة للشيعة ، من الإرجاء بمعنى التأخير ؛ لتأخيرهم عليّاً </w:t>
      </w:r>
      <w:r w:rsidRPr="0033724D">
        <w:rPr>
          <w:rStyle w:val="libFootnoteAlaemChar"/>
          <w:rtl/>
        </w:rPr>
        <w:t>عليه‌السلام</w:t>
      </w:r>
      <w:r w:rsidRPr="00132E65">
        <w:rPr>
          <w:rtl/>
        </w:rPr>
        <w:t xml:space="preserve"> عن مرتبته. وفرقة مقابلة للوعيديّة. إمّا من الإرجاء بمعنى التأخير ؛ لأنّهم يؤخّرون العمل عن النيّة والقصد ، وإمّا بمعنى إعطاء الرجاء ؛ لأنّهم يعتقدون أنّه لا يضرّ مع الإيمان معصية ، كما لا ينفع مع الكفر طاعة ، أو بمعنى تأخير حكم صاحب الكبيرة إلى يوم القيامة. راجع : </w:t>
      </w:r>
      <w:r w:rsidRPr="007271BC">
        <w:rPr>
          <w:rtl/>
        </w:rPr>
        <w:t>الملل والنحل</w:t>
      </w:r>
      <w:r w:rsidRPr="00132E65">
        <w:rPr>
          <w:rtl/>
        </w:rPr>
        <w:t xml:space="preserve"> للشهرستاني ج 1 ، ص 161</w:t>
      </w:r>
      <w:r>
        <w:rPr>
          <w:rtl/>
        </w:rPr>
        <w:t xml:space="preserve"> - </w:t>
      </w:r>
      <w:r w:rsidRPr="00132E65">
        <w:rPr>
          <w:rtl/>
        </w:rPr>
        <w:t>162.</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 » : « يديه »</w:t>
            </w:r>
            <w:r>
              <w:rPr>
                <w:rtl/>
              </w:rPr>
              <w:t>.</w:t>
            </w:r>
          </w:p>
        </w:tc>
        <w:tc>
          <w:tcPr>
            <w:tcW w:w="4006" w:type="dxa"/>
          </w:tcPr>
          <w:p w:rsidR="000C39D1" w:rsidRDefault="000C39D1" w:rsidP="00B53873">
            <w:pPr>
              <w:pStyle w:val="libFootnote0"/>
              <w:rPr>
                <w:rtl/>
              </w:rPr>
            </w:pPr>
            <w:r>
              <w:rPr>
                <w:rtl/>
              </w:rPr>
              <w:t>(8).</w:t>
            </w:r>
            <w:r w:rsidRPr="00132E65">
              <w:rPr>
                <w:rtl/>
              </w:rPr>
              <w:t xml:space="preserve"> في « ه‍ </w:t>
            </w:r>
            <w:r w:rsidR="0033724D" w:rsidRPr="00132E65">
              <w:rPr>
                <w:rtl/>
              </w:rPr>
              <w:t>»</w:t>
            </w:r>
            <w:r w:rsidRPr="00132E65">
              <w:rPr>
                <w:rtl/>
              </w:rPr>
              <w:t xml:space="preserve"> : « لا والله »</w:t>
            </w:r>
            <w:r>
              <w:rPr>
                <w:rtl/>
              </w:rPr>
              <w:t>.</w:t>
            </w:r>
          </w:p>
        </w:tc>
      </w:tr>
    </w:tbl>
    <w:p w:rsidR="000C39D1" w:rsidRPr="00132E65" w:rsidRDefault="000C39D1" w:rsidP="000C39D1">
      <w:pPr>
        <w:pStyle w:val="libFootnote0"/>
        <w:rPr>
          <w:rtl/>
          <w:lang w:bidi="fa-IR"/>
        </w:rPr>
      </w:pPr>
      <w:r>
        <w:rPr>
          <w:rtl/>
        </w:rPr>
        <w:t>(9).</w:t>
      </w:r>
      <w:r w:rsidRPr="00132E65">
        <w:rPr>
          <w:rtl/>
        </w:rPr>
        <w:t xml:space="preserve"> في « ف » : « ما ندري »</w:t>
      </w:r>
      <w:r>
        <w:rPr>
          <w:rtl/>
        </w:rPr>
        <w:t>.</w:t>
      </w:r>
    </w:p>
    <w:p w:rsidR="000C39D1" w:rsidRPr="00132E65" w:rsidRDefault="000C39D1" w:rsidP="000C39D1">
      <w:pPr>
        <w:pStyle w:val="libFootnote0"/>
        <w:rPr>
          <w:rtl/>
          <w:lang w:bidi="fa-IR"/>
        </w:rPr>
      </w:pPr>
      <w:r>
        <w:rPr>
          <w:rtl/>
        </w:rPr>
        <w:t>(10).</w:t>
      </w:r>
      <w:r w:rsidRPr="00132E65">
        <w:rPr>
          <w:rtl/>
        </w:rPr>
        <w:t xml:space="preserve"> الأزِقَّةُ : جمع الزُقاق ، وهو السكّة ، وهي الطريقة المصطفّة من النخل ، وسمّيت الأزِقّة سككاً لاصطفاف</w:t>
      </w:r>
      <w:r>
        <w:rPr>
          <w:rFonts w:hint="cs"/>
          <w:rtl/>
        </w:rPr>
        <w:t xml:space="preserve"> </w:t>
      </w:r>
      <w:r w:rsidRPr="00132E65">
        <w:rPr>
          <w:rtl/>
        </w:rPr>
        <w:t xml:space="preserve">‌الدور فيها كطرائق النخل. وقيل : الزُقاق : الطريق الضيّق دون السِكّة. راجع : </w:t>
      </w:r>
      <w:r w:rsidRPr="009D1ACE">
        <w:rPr>
          <w:rStyle w:val="libFootnoteBoldChar"/>
          <w:rtl/>
        </w:rPr>
        <w:t>لسان العرب</w:t>
      </w:r>
      <w:r w:rsidRPr="00132E65">
        <w:rPr>
          <w:rtl/>
        </w:rPr>
        <w:t xml:space="preserve"> ، ج 10 ، ص 143 ( زقق ) ، وص 441 ( سكك )</w:t>
      </w:r>
      <w:r>
        <w:rPr>
          <w:rtl/>
        </w:rPr>
        <w:t>.</w:t>
      </w:r>
    </w:p>
    <w:p w:rsidR="000C39D1" w:rsidRPr="00132E65" w:rsidRDefault="000C39D1" w:rsidP="000C39D1">
      <w:pPr>
        <w:pStyle w:val="libFootnote0"/>
        <w:rPr>
          <w:rtl/>
          <w:lang w:bidi="fa-IR"/>
        </w:rPr>
      </w:pPr>
      <w:r>
        <w:rPr>
          <w:rtl/>
        </w:rPr>
        <w:t>(11).</w:t>
      </w:r>
      <w:r w:rsidRPr="00132E65">
        <w:rPr>
          <w:rtl/>
        </w:rPr>
        <w:t xml:space="preserve"> في « ب ، ج ، ض ، ف ، ه‍ » والإرشاد : « وإلى »</w:t>
      </w:r>
      <w:r>
        <w:rPr>
          <w:rtl/>
        </w:rPr>
        <w:t>.</w:t>
      </w:r>
      <w:r w:rsidRPr="00132E65">
        <w:rPr>
          <w:rtl/>
        </w:rPr>
        <w:t xml:space="preserve"> وفي «</w:t>
      </w:r>
      <w:r>
        <w:rPr>
          <w:rtl/>
        </w:rPr>
        <w:t xml:space="preserve"> و »</w:t>
      </w:r>
      <w:r w:rsidRPr="00132E65">
        <w:rPr>
          <w:rtl/>
        </w:rPr>
        <w:t xml:space="preserve"> : « ولا إلى »</w:t>
      </w:r>
      <w:r>
        <w:rPr>
          <w:rtl/>
        </w:rPr>
        <w:t>.</w:t>
      </w:r>
    </w:p>
    <w:p w:rsidR="000C39D1" w:rsidRPr="00132E65" w:rsidRDefault="000C39D1" w:rsidP="000C39D1">
      <w:pPr>
        <w:pStyle w:val="libFootnote0"/>
        <w:rPr>
          <w:rtl/>
          <w:lang w:bidi="fa-IR"/>
        </w:rPr>
      </w:pPr>
      <w:r>
        <w:rPr>
          <w:rtl/>
        </w:rPr>
        <w:t>(12).</w:t>
      </w:r>
      <w:r w:rsidRPr="00132E65">
        <w:rPr>
          <w:rtl/>
        </w:rPr>
        <w:t xml:space="preserve"> هكذا في النسخ التي قوبلت و</w:t>
      </w:r>
      <w:r w:rsidRPr="009D1ACE">
        <w:rPr>
          <w:rStyle w:val="libFootnoteBoldChar"/>
          <w:rtl/>
        </w:rPr>
        <w:t>الوافي</w:t>
      </w:r>
      <w:r w:rsidRPr="00132E65">
        <w:rPr>
          <w:rtl/>
        </w:rPr>
        <w:t xml:space="preserve"> والإرشاد. وفي المطبوع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(13)</w:t>
      </w:r>
      <w:r w:rsidRPr="00132E65">
        <w:rPr>
          <w:rtl/>
        </w:rPr>
        <w:t xml:space="preserve"> في « ب » : « إذاً »</w:t>
      </w:r>
      <w:r>
        <w:rPr>
          <w:rtl/>
        </w:rPr>
        <w:t>.</w:t>
      </w:r>
      <w:r w:rsidRPr="00132E65">
        <w:rPr>
          <w:rtl/>
        </w:rPr>
        <w:t xml:space="preserve"> وفي « ج ، بف » : « إذا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إِلى مَنِ اتَّفَقَتْ شِيعَةُ </w:t>
      </w:r>
      <w:r>
        <w:rPr>
          <w:rStyle w:val="libFootnotenumChar"/>
          <w:rtl/>
        </w:rPr>
        <w:t>(1)</w:t>
      </w:r>
      <w:r w:rsidRPr="00132E65">
        <w:rPr>
          <w:rtl/>
          <w:lang w:bidi="fa-IR"/>
        </w:rPr>
        <w:t xml:space="preserve"> جَعْفَرٍ </w:t>
      </w:r>
      <w:r w:rsidRPr="00071CF9">
        <w:rPr>
          <w:rStyle w:val="libAlaemChar"/>
          <w:rtl/>
        </w:rPr>
        <w:t>عليه‌السلام</w:t>
      </w:r>
      <w:r w:rsidRPr="00132E65">
        <w:rPr>
          <w:rtl/>
          <w:lang w:bidi="fa-IR"/>
        </w:rPr>
        <w:t xml:space="preserve"> عَلَيْهِ </w:t>
      </w:r>
      <w:r>
        <w:rPr>
          <w:rStyle w:val="libFootnotenumChar"/>
          <w:rtl/>
        </w:rPr>
        <w:t>(2)</w:t>
      </w:r>
      <w:r w:rsidRPr="00132E65">
        <w:rPr>
          <w:rtl/>
          <w:lang w:bidi="fa-IR"/>
        </w:rPr>
        <w:t xml:space="preserve"> ، فَيَضْرِبُونَ عُنُقَهُ ، فَخِفْتُ أَنْ يَكُونَ مِنْهُمْ ، فَقُلْتُ لِلْأَحْوَلِ : تَنَحَّ </w:t>
      </w:r>
      <w:r>
        <w:rPr>
          <w:rStyle w:val="libFootnotenumChar"/>
          <w:rtl/>
        </w:rPr>
        <w:t>(3)</w:t>
      </w:r>
      <w:r w:rsidRPr="00132E65">
        <w:rPr>
          <w:rtl/>
          <w:lang w:bidi="fa-IR"/>
        </w:rPr>
        <w:t xml:space="preserve"> ؛ فَإِنِّي خَائِفٌ عَلى نَفْسِي وعَلَيْكَ ، وإِنَّمَا يُرِيدُنِي لَايُرِيدُكَ </w:t>
      </w:r>
      <w:r>
        <w:rPr>
          <w:rStyle w:val="libFootnotenumChar"/>
          <w:rtl/>
        </w:rPr>
        <w:t>(4)</w:t>
      </w:r>
      <w:r w:rsidRPr="00132E65">
        <w:rPr>
          <w:rtl/>
          <w:lang w:bidi="fa-IR"/>
        </w:rPr>
        <w:t xml:space="preserve"> ، فَتَنَحَّ عَنِّي </w:t>
      </w:r>
      <w:r>
        <w:rPr>
          <w:rStyle w:val="libFootnotenumChar"/>
          <w:rtl/>
        </w:rPr>
        <w:t>(5)</w:t>
      </w:r>
      <w:r w:rsidRPr="00132E65">
        <w:rPr>
          <w:rtl/>
          <w:lang w:bidi="fa-IR"/>
        </w:rPr>
        <w:t xml:space="preserve"> لَا تَهْلِكْ ، وتُعِينَ عَلى نَفْسِكَ ، فَتَنَحّى غَيْرَ </w:t>
      </w:r>
      <w:r>
        <w:rPr>
          <w:rStyle w:val="libFootnotenumChar"/>
          <w:rtl/>
        </w:rPr>
        <w:t>(6)</w:t>
      </w:r>
      <w:r w:rsidRPr="00132E65">
        <w:rPr>
          <w:rtl/>
          <w:lang w:bidi="fa-IR"/>
        </w:rPr>
        <w:t xml:space="preserve"> بَعِيدٍ ، وتَبِعْتُ الشَّيْخَ</w:t>
      </w:r>
      <w:r>
        <w:rPr>
          <w:rtl/>
          <w:lang w:bidi="fa-IR"/>
        </w:rPr>
        <w:t xml:space="preserve"> - </w:t>
      </w:r>
      <w:r w:rsidRPr="00132E65">
        <w:rPr>
          <w:rtl/>
          <w:lang w:bidi="fa-IR"/>
        </w:rPr>
        <w:t xml:space="preserve">وذلِكَ أَنِّي ظَنَنْتُ أَنِّي </w:t>
      </w:r>
      <w:r>
        <w:rPr>
          <w:rStyle w:val="libFootnotenumChar"/>
          <w:rtl/>
        </w:rPr>
        <w:t>(7)</w:t>
      </w:r>
      <w:r w:rsidRPr="00132E65">
        <w:rPr>
          <w:rtl/>
          <w:lang w:bidi="fa-IR"/>
        </w:rPr>
        <w:t xml:space="preserve"> لَا</w:t>
      </w:r>
      <w:r>
        <w:rPr>
          <w:rFonts w:hint="cs"/>
          <w:rtl/>
          <w:lang w:bidi="fa-IR"/>
        </w:rPr>
        <w:t xml:space="preserve"> </w:t>
      </w:r>
      <w:r w:rsidRPr="00132E65">
        <w:rPr>
          <w:rtl/>
          <w:lang w:bidi="fa-IR"/>
        </w:rPr>
        <w:t>أَقْدِرُ عَلَى التَّخَلُّصِ مِنْهُ</w:t>
      </w:r>
      <w:r>
        <w:rPr>
          <w:rtl/>
          <w:lang w:bidi="fa-IR"/>
        </w:rPr>
        <w:t xml:space="preserve"> - </w:t>
      </w:r>
      <w:r w:rsidRPr="00132E65">
        <w:rPr>
          <w:rtl/>
          <w:lang w:bidi="fa-IR"/>
        </w:rPr>
        <w:t xml:space="preserve">فَمَا زِلْتُ أَتْبَعُهُ ، وقَدْ عَزَمْتُ </w:t>
      </w:r>
      <w:r>
        <w:rPr>
          <w:rStyle w:val="libFootnotenumChar"/>
          <w:rtl/>
        </w:rPr>
        <w:t>(8)</w:t>
      </w:r>
      <w:r w:rsidRPr="00132E65">
        <w:rPr>
          <w:rtl/>
          <w:lang w:bidi="fa-IR"/>
        </w:rPr>
        <w:t xml:space="preserve"> عَلَى الْمَوْتِ حَتّى ورَدَ بِي عَلى بَابِ أَبِي الْحَسَنِ </w:t>
      </w:r>
      <w:r>
        <w:rPr>
          <w:rStyle w:val="libFootnotenumChar"/>
          <w:rtl/>
        </w:rPr>
        <w:t>(9)</w:t>
      </w:r>
      <w:r w:rsidRPr="00132E65">
        <w:rPr>
          <w:rtl/>
          <w:lang w:bidi="fa-IR"/>
        </w:rPr>
        <w:t xml:space="preserve"> </w:t>
      </w:r>
      <w:r w:rsidRPr="00071CF9">
        <w:rPr>
          <w:rStyle w:val="libAlaemChar"/>
          <w:rtl/>
        </w:rPr>
        <w:t>عليه‌السلام</w:t>
      </w:r>
      <w:r>
        <w:rPr>
          <w:rtl/>
          <w:lang w:bidi="fa-IR"/>
        </w:rPr>
        <w:t xml:space="preserve"> ، ثُمَّ خَل</w:t>
      </w:r>
      <w:r>
        <w:rPr>
          <w:rFonts w:hint="cs"/>
          <w:rtl/>
          <w:lang w:bidi="fa-IR"/>
        </w:rPr>
        <w:t>َّ</w:t>
      </w:r>
      <w:r>
        <w:rPr>
          <w:rtl/>
          <w:lang w:bidi="fa-IR"/>
        </w:rPr>
        <w:t>ا</w:t>
      </w:r>
      <w:r w:rsidRPr="00132E65">
        <w:rPr>
          <w:rtl/>
          <w:lang w:bidi="fa-IR"/>
        </w:rPr>
        <w:t xml:space="preserve">نِي </w:t>
      </w:r>
      <w:r>
        <w:rPr>
          <w:rStyle w:val="libFootnotenumChar"/>
          <w:rtl/>
        </w:rPr>
        <w:t>(10)</w:t>
      </w:r>
      <w:r w:rsidRPr="00132E65">
        <w:rPr>
          <w:rtl/>
          <w:lang w:bidi="fa-IR"/>
        </w:rPr>
        <w:t xml:space="preserve"> ومَضى.</w:t>
      </w:r>
    </w:p>
    <w:p w:rsidR="000C39D1" w:rsidRPr="00132E65" w:rsidRDefault="000C39D1" w:rsidP="000C39D1">
      <w:pPr>
        <w:pStyle w:val="libNormal"/>
        <w:rPr>
          <w:rtl/>
          <w:lang w:bidi="fa-IR"/>
        </w:rPr>
      </w:pPr>
      <w:r w:rsidRPr="00132E65">
        <w:rPr>
          <w:rtl/>
          <w:lang w:bidi="fa-IR"/>
        </w:rPr>
        <w:t xml:space="preserve">فَإِذَا خَادِمٌ بِالْبَابِ ، فَقَالَ لِيَ : ادْخُلْ رَحِمَكَ اللهُ ، فَدَخَلْتُ </w:t>
      </w:r>
      <w:r>
        <w:rPr>
          <w:rStyle w:val="libFootnotenumChar"/>
          <w:rtl/>
        </w:rPr>
        <w:t>(11)</w:t>
      </w:r>
      <w:r w:rsidRPr="00132E65">
        <w:rPr>
          <w:rtl/>
          <w:lang w:bidi="fa-IR"/>
        </w:rPr>
        <w:t xml:space="preserve"> ، فَإِذَا أَبُو الْحَسَنِ مُوسى </w:t>
      </w:r>
      <w:r>
        <w:rPr>
          <w:rStyle w:val="libFootnotenumChar"/>
          <w:rtl/>
        </w:rPr>
        <w:t>(12)</w:t>
      </w:r>
      <w:r w:rsidRPr="00132E65">
        <w:rPr>
          <w:rtl/>
          <w:lang w:bidi="fa-IR"/>
        </w:rPr>
        <w:t xml:space="preserve"> </w:t>
      </w:r>
      <w:r w:rsidRPr="00071CF9">
        <w:rPr>
          <w:rStyle w:val="libAlaemChar"/>
          <w:rtl/>
        </w:rPr>
        <w:t>عليه‌السلام</w:t>
      </w:r>
      <w:r w:rsidRPr="00132E65">
        <w:rPr>
          <w:rtl/>
          <w:lang w:bidi="fa-IR"/>
        </w:rPr>
        <w:t xml:space="preserve"> ، فَقَالَ لِيَ </w:t>
      </w:r>
      <w:r w:rsidRPr="00F543F1">
        <w:rPr>
          <w:rStyle w:val="libFootnotenumChar"/>
          <w:rtl/>
        </w:rPr>
        <w:t>(13)</w:t>
      </w:r>
      <w:r>
        <w:rPr>
          <w:rtl/>
          <w:lang w:bidi="fa-IR"/>
        </w:rPr>
        <w:t xml:space="preserve"> - </w:t>
      </w:r>
      <w:r w:rsidRPr="00132E65">
        <w:rPr>
          <w:rtl/>
          <w:lang w:bidi="fa-IR"/>
        </w:rPr>
        <w:t>ابْتِدَاءً مِنْهُ</w:t>
      </w:r>
      <w:r>
        <w:rPr>
          <w:rtl/>
          <w:lang w:bidi="fa-IR"/>
        </w:rPr>
        <w:t xml:space="preserve"> - </w:t>
      </w:r>
      <w:r w:rsidRPr="00132E65">
        <w:rPr>
          <w:rtl/>
          <w:lang w:bidi="fa-IR"/>
        </w:rPr>
        <w:t>: « لَا إِلَى الْمُرْجِئَةِ ، و</w:t>
      </w:r>
      <w:r>
        <w:rPr>
          <w:rFonts w:hint="cs"/>
          <w:rtl/>
          <w:lang w:bidi="fa-IR"/>
        </w:rPr>
        <w:t>َ</w:t>
      </w:r>
      <w:r w:rsidRPr="00132E65">
        <w:rPr>
          <w:rtl/>
          <w:lang w:bidi="fa-IR"/>
        </w:rPr>
        <w:t>لَا</w:t>
      </w:r>
      <w:r>
        <w:rPr>
          <w:rFonts w:hint="cs"/>
          <w:rtl/>
          <w:lang w:bidi="fa-IR"/>
        </w:rPr>
        <w:t xml:space="preserve"> </w:t>
      </w:r>
      <w:r w:rsidRPr="00132E65">
        <w:rPr>
          <w:rtl/>
          <w:lang w:bidi="fa-IR"/>
        </w:rPr>
        <w:t>إِلَى الْقَدَرِيَّةِ ، ولَا</w:t>
      </w:r>
      <w:r>
        <w:rPr>
          <w:rFonts w:hint="cs"/>
          <w:rtl/>
          <w:lang w:bidi="fa-IR"/>
        </w:rPr>
        <w:t xml:space="preserve"> </w:t>
      </w:r>
      <w:r w:rsidRPr="00132E65">
        <w:rPr>
          <w:rtl/>
          <w:lang w:bidi="fa-IR"/>
        </w:rPr>
        <w:t>إِلَى الزَّيْدِيَّةِ ، و</w:t>
      </w:r>
      <w:r>
        <w:rPr>
          <w:rFonts w:hint="cs"/>
          <w:rtl/>
          <w:lang w:bidi="fa-IR"/>
        </w:rPr>
        <w:t>َ</w:t>
      </w:r>
      <w:r w:rsidRPr="00132E65">
        <w:rPr>
          <w:rtl/>
          <w:lang w:bidi="fa-IR"/>
        </w:rPr>
        <w:t>لَا</w:t>
      </w:r>
      <w:r>
        <w:rPr>
          <w:rFonts w:hint="cs"/>
          <w:rtl/>
          <w:lang w:bidi="fa-IR"/>
        </w:rPr>
        <w:t xml:space="preserve"> </w:t>
      </w:r>
      <w:r w:rsidRPr="00132E65">
        <w:rPr>
          <w:rtl/>
          <w:lang w:bidi="fa-IR"/>
        </w:rPr>
        <w:t xml:space="preserve">إِلَى الْمُعْتَزِلَةِ </w:t>
      </w:r>
      <w:r w:rsidRPr="00F543F1">
        <w:rPr>
          <w:rStyle w:val="libFootnotenumChar"/>
          <w:rtl/>
        </w:rPr>
        <w:t>(14)</w:t>
      </w:r>
      <w:r w:rsidRPr="00132E65">
        <w:rPr>
          <w:rtl/>
          <w:lang w:bidi="fa-IR"/>
        </w:rPr>
        <w:t xml:space="preserve"> ، و</w:t>
      </w:r>
      <w:r>
        <w:rPr>
          <w:rFonts w:hint="cs"/>
          <w:rtl/>
          <w:lang w:bidi="fa-IR"/>
        </w:rPr>
        <w:t>َ</w:t>
      </w:r>
      <w:r w:rsidRPr="00132E65">
        <w:rPr>
          <w:rtl/>
          <w:lang w:bidi="fa-IR"/>
        </w:rPr>
        <w:t>لَا</w:t>
      </w:r>
      <w:r>
        <w:rPr>
          <w:rFonts w:hint="cs"/>
          <w:rtl/>
          <w:lang w:bidi="fa-IR"/>
        </w:rPr>
        <w:t xml:space="preserve"> </w:t>
      </w:r>
      <w:r w:rsidRPr="00132E65">
        <w:rPr>
          <w:rtl/>
          <w:lang w:bidi="fa-IR"/>
        </w:rPr>
        <w:t>إِلَى الْخَوَارِجِ ، إِلَيَّ إِلَيَّ »</w:t>
      </w:r>
      <w:r>
        <w:rPr>
          <w:rtl/>
          <w:lang w:bidi="fa-IR"/>
        </w:rPr>
        <w:t>.</w:t>
      </w:r>
    </w:p>
    <w:p w:rsidR="000C39D1" w:rsidRPr="00132E65" w:rsidRDefault="000C39D1" w:rsidP="000C39D1">
      <w:pPr>
        <w:pStyle w:val="libNormal"/>
        <w:rPr>
          <w:rtl/>
          <w:lang w:bidi="fa-IR"/>
        </w:rPr>
      </w:pPr>
      <w:r w:rsidRPr="00132E65">
        <w:rPr>
          <w:rtl/>
          <w:lang w:bidi="fa-IR"/>
        </w:rPr>
        <w:t>فَقُلْتُ : جُعِلْتُ فِدَاكَ ، مَضى أَبُوكَ</w:t>
      </w:r>
      <w:r>
        <w:rPr>
          <w:rtl/>
          <w:lang w:bidi="fa-IR"/>
        </w:rPr>
        <w:t>؟</w:t>
      </w:r>
      <w:r w:rsidRPr="00132E65">
        <w:rPr>
          <w:rtl/>
          <w:lang w:bidi="fa-IR"/>
        </w:rPr>
        <w:t xml:space="preserve"> قَالَ </w:t>
      </w:r>
      <w:r w:rsidRPr="00F543F1">
        <w:rPr>
          <w:rStyle w:val="libFootnotenumChar"/>
          <w:rtl/>
        </w:rPr>
        <w:t>(15)</w:t>
      </w:r>
      <w:r w:rsidRPr="00132E65">
        <w:rPr>
          <w:rtl/>
          <w:lang w:bidi="fa-IR"/>
        </w:rPr>
        <w:t xml:space="preserve"> : « نَعَمْ »</w:t>
      </w:r>
      <w:r>
        <w:rPr>
          <w:rtl/>
          <w:lang w:bidi="fa-IR"/>
        </w:rPr>
        <w:t>.</w:t>
      </w:r>
      <w:r w:rsidRPr="00132E65">
        <w:rPr>
          <w:rtl/>
          <w:lang w:bidi="fa-IR"/>
        </w:rPr>
        <w:t xml:space="preserve"> قُلْتُ : مَضى مَوْتاً</w:t>
      </w:r>
      <w:r>
        <w:rPr>
          <w:rtl/>
          <w:lang w:bidi="fa-IR"/>
        </w:rPr>
        <w:t>؟</w:t>
      </w:r>
      <w:r w:rsidRPr="00132E65">
        <w:rPr>
          <w:rtl/>
          <w:lang w:bidi="fa-IR"/>
        </w:rPr>
        <w:t xml:space="preserve"> قَالَ : « نَعَمْ »</w:t>
      </w:r>
      <w:r>
        <w:rPr>
          <w:rtl/>
          <w:lang w:bidi="fa-IR"/>
        </w:rPr>
        <w:t>.</w:t>
      </w:r>
      <w:r>
        <w:rPr>
          <w:rFonts w:hint="cs"/>
          <w:rtl/>
          <w:lang w:bidi="fa-IR"/>
        </w:rPr>
        <w:t xml:space="preserve"> </w:t>
      </w:r>
      <w:r w:rsidRPr="00132E65">
        <w:rPr>
          <w:rtl/>
          <w:lang w:bidi="fa-IR"/>
        </w:rPr>
        <w:t>قُلْتُ : فَمَنْ لَنَا مِنْ بَعْدِهِ</w:t>
      </w:r>
      <w:r>
        <w:rPr>
          <w:rtl/>
          <w:lang w:bidi="fa-IR"/>
        </w:rPr>
        <w:t>؟</w:t>
      </w:r>
      <w:r w:rsidRPr="00132E65">
        <w:rPr>
          <w:rtl/>
          <w:lang w:bidi="fa-IR"/>
        </w:rPr>
        <w:t xml:space="preserve"> فَقَالَ </w:t>
      </w:r>
      <w:r w:rsidRPr="00F543F1">
        <w:rPr>
          <w:rStyle w:val="libFootnotenumChar"/>
          <w:rtl/>
        </w:rPr>
        <w:t>(16)</w:t>
      </w:r>
      <w:r w:rsidRPr="00132E65">
        <w:rPr>
          <w:rtl/>
          <w:lang w:bidi="fa-IR"/>
        </w:rPr>
        <w:t xml:space="preserve"> : « إِنْ شَاءَ اللهُ أَنْ يَهْدِيَكَ ، هَدَاكَ »</w:t>
      </w:r>
      <w:r>
        <w:rPr>
          <w:rtl/>
          <w:lang w:bidi="fa-IR"/>
        </w:rPr>
        <w:t>.</w:t>
      </w:r>
    </w:p>
    <w:p w:rsidR="000C39D1" w:rsidRPr="00132E65" w:rsidRDefault="000C39D1" w:rsidP="000C39D1">
      <w:pPr>
        <w:pStyle w:val="libNormal"/>
        <w:rPr>
          <w:rtl/>
          <w:lang w:bidi="fa-IR"/>
        </w:rPr>
      </w:pPr>
      <w:r w:rsidRPr="00132E65">
        <w:rPr>
          <w:rtl/>
          <w:lang w:bidi="fa-IR"/>
        </w:rPr>
        <w:t>قُلْتُ : جُعِلْتُ فِدَاكَ ، إِنَّ عَبْدَ اللهِ يَزْعُمُ أَنَّهُ مِنْ بَعْدِ أَبِيهِ</w:t>
      </w:r>
      <w:r>
        <w:rPr>
          <w:rtl/>
          <w:lang w:bidi="fa-IR"/>
        </w:rPr>
        <w:t>؟</w:t>
      </w:r>
      <w:r w:rsidRPr="00132E65">
        <w:rPr>
          <w:rtl/>
          <w:lang w:bidi="fa-IR"/>
        </w:rPr>
        <w:t xml:space="preserve"> قَالَ : « يُرِيدُ عَبْدُ اللهِ أَنْ‌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أبي »</w:t>
      </w:r>
      <w:r>
        <w:rPr>
          <w:rtl/>
        </w:rPr>
        <w:t>.</w:t>
      </w:r>
      <w:r w:rsidRPr="00132E65">
        <w:rPr>
          <w:rtl/>
        </w:rPr>
        <w:t xml:space="preserve"> وقوله : « شيعة جعفر </w:t>
      </w:r>
      <w:r w:rsidRPr="0056297C">
        <w:rPr>
          <w:rStyle w:val="libFootnoteAlaemChar"/>
          <w:rtl/>
        </w:rPr>
        <w:t>عليه‌السلام</w:t>
      </w:r>
      <w:r w:rsidRPr="00132E65">
        <w:rPr>
          <w:rtl/>
        </w:rPr>
        <w:t xml:space="preserve"> » ، أي وليّه وتابعه وناصره. أصلها من المشايعة ، وهي المتابعة والمطاوعة. راجع : </w:t>
      </w:r>
      <w:r w:rsidRPr="0056297C">
        <w:rPr>
          <w:rStyle w:val="libFootnoteBoldChar"/>
          <w:rtl/>
        </w:rPr>
        <w:t>النهاية</w:t>
      </w:r>
      <w:r w:rsidRPr="00132E65">
        <w:rPr>
          <w:rtl/>
        </w:rPr>
        <w:t xml:space="preserve"> ، ج 2 ، ص 519 ( شيع )</w:t>
      </w:r>
      <w:r>
        <w:rPr>
          <w:rtl/>
        </w:rPr>
        <w:t>.</w:t>
      </w:r>
    </w:p>
    <w:p w:rsidR="000C39D1" w:rsidRPr="00132E65" w:rsidRDefault="000C39D1" w:rsidP="000C39D1">
      <w:pPr>
        <w:pStyle w:val="libFootnote0"/>
        <w:rPr>
          <w:rtl/>
          <w:lang w:bidi="fa-IR"/>
        </w:rPr>
      </w:pPr>
      <w:r>
        <w:rPr>
          <w:rtl/>
        </w:rPr>
        <w:t>(2).</w:t>
      </w:r>
      <w:r w:rsidRPr="00132E65">
        <w:rPr>
          <w:rtl/>
        </w:rPr>
        <w:t xml:space="preserve"> في « ب ، ج ، ف ، بح ، بر ، بف » </w:t>
      </w:r>
      <w:r>
        <w:rPr>
          <w:rtl/>
        </w:rPr>
        <w:t xml:space="preserve">: - </w:t>
      </w:r>
      <w:r w:rsidRPr="00132E65">
        <w:rPr>
          <w:rtl/>
        </w:rPr>
        <w:t>« عليه »</w:t>
      </w:r>
      <w:r>
        <w:rPr>
          <w:rtl/>
        </w:rPr>
        <w:t>.</w:t>
      </w:r>
    </w:p>
    <w:p w:rsidR="000C39D1" w:rsidRPr="00132E65" w:rsidRDefault="000C39D1" w:rsidP="000C39D1">
      <w:pPr>
        <w:pStyle w:val="libFootnote0"/>
        <w:rPr>
          <w:rtl/>
          <w:lang w:bidi="fa-IR"/>
        </w:rPr>
      </w:pPr>
      <w:r>
        <w:rPr>
          <w:rtl/>
        </w:rPr>
        <w:t>(3).</w:t>
      </w:r>
      <w:r w:rsidRPr="00132E65">
        <w:rPr>
          <w:rtl/>
        </w:rPr>
        <w:t xml:space="preserve"> « تَنَحَّ » ، أي تجنّب وصِرْ في ناحية. راجع : </w:t>
      </w:r>
      <w:r w:rsidRPr="009D1ACE">
        <w:rPr>
          <w:rStyle w:val="libFootnoteBoldChar"/>
          <w:rtl/>
        </w:rPr>
        <w:t>لسان العرب</w:t>
      </w:r>
      <w:r w:rsidRPr="00132E65">
        <w:rPr>
          <w:rtl/>
        </w:rPr>
        <w:t xml:space="preserve"> ، ج 15 ، ص 311 </w:t>
      </w:r>
      <w:r>
        <w:rPr>
          <w:rtl/>
        </w:rPr>
        <w:t>و 3</w:t>
      </w:r>
      <w:r w:rsidRPr="00132E65">
        <w:rPr>
          <w:rtl/>
        </w:rPr>
        <w:t>12 ( نحا )</w:t>
      </w:r>
      <w:r>
        <w:rPr>
          <w:rtl/>
        </w:rPr>
        <w:t>.</w:t>
      </w:r>
    </w:p>
    <w:p w:rsidR="000C39D1" w:rsidRPr="00132E65" w:rsidRDefault="000C39D1" w:rsidP="000C39D1">
      <w:pPr>
        <w:pStyle w:val="libFootnote0"/>
        <w:rPr>
          <w:rtl/>
          <w:lang w:bidi="fa-IR"/>
        </w:rPr>
      </w:pPr>
      <w:r>
        <w:rPr>
          <w:rtl/>
        </w:rPr>
        <w:t>(4).</w:t>
      </w:r>
      <w:r w:rsidRPr="00132E65">
        <w:rPr>
          <w:rtl/>
        </w:rPr>
        <w:t xml:space="preserve"> في « ب » : « ولا يريدك »</w:t>
      </w:r>
      <w:r>
        <w:rPr>
          <w:rtl/>
        </w:rPr>
        <w:t>.</w:t>
      </w:r>
      <w:r w:rsidRPr="00132E65">
        <w:rPr>
          <w:rtl/>
        </w:rPr>
        <w:t xml:space="preserve"> وفي « ف » : « ليس يريدك »</w:t>
      </w:r>
      <w:r>
        <w:rPr>
          <w:rtl/>
        </w:rPr>
        <w:t>.</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عنّي »</w:t>
      </w:r>
      <w:r>
        <w:rPr>
          <w:rtl/>
        </w:rPr>
        <w:t>.</w:t>
      </w:r>
    </w:p>
    <w:p w:rsidR="000C39D1" w:rsidRPr="00132E65" w:rsidRDefault="000C39D1" w:rsidP="000C39D1">
      <w:pPr>
        <w:pStyle w:val="libFootnote0"/>
        <w:rPr>
          <w:rtl/>
          <w:lang w:bidi="fa-IR"/>
        </w:rPr>
      </w:pPr>
      <w:r>
        <w:rPr>
          <w:rtl/>
        </w:rPr>
        <w:t>(6).</w:t>
      </w:r>
      <w:r w:rsidRPr="00132E65">
        <w:rPr>
          <w:rtl/>
        </w:rPr>
        <w:t xml:space="preserve"> في الإرشاد : « عنّي »</w:t>
      </w:r>
      <w:r>
        <w:rPr>
          <w:rtl/>
        </w:rPr>
        <w:t>.</w:t>
      </w:r>
    </w:p>
    <w:p w:rsidR="000C39D1" w:rsidRPr="00132E65" w:rsidRDefault="000C39D1" w:rsidP="000C39D1">
      <w:pPr>
        <w:pStyle w:val="libFootnote0"/>
        <w:rPr>
          <w:rtl/>
          <w:lang w:bidi="fa-IR"/>
        </w:rPr>
      </w:pPr>
      <w:r>
        <w:rPr>
          <w:rtl/>
        </w:rPr>
        <w:t>(7).</w:t>
      </w:r>
      <w:r w:rsidRPr="00132E65">
        <w:rPr>
          <w:rtl/>
        </w:rPr>
        <w:t xml:space="preserve"> في « بر » : « أن »</w:t>
      </w:r>
      <w:r>
        <w:rPr>
          <w:rtl/>
        </w:rPr>
        <w:t>.</w:t>
      </w:r>
    </w:p>
    <w:p w:rsidR="000C39D1" w:rsidRPr="00132E65" w:rsidRDefault="000C39D1" w:rsidP="000C39D1">
      <w:pPr>
        <w:pStyle w:val="libFootnote0"/>
        <w:rPr>
          <w:rtl/>
          <w:lang w:bidi="fa-IR"/>
        </w:rPr>
      </w:pPr>
      <w:r>
        <w:rPr>
          <w:rtl/>
        </w:rPr>
        <w:t>(8).</w:t>
      </w:r>
      <w:r w:rsidRPr="00132E65">
        <w:rPr>
          <w:rtl/>
        </w:rPr>
        <w:t xml:space="preserve"> في الإرشاد : « عُرِضْتُ »</w:t>
      </w:r>
      <w:r>
        <w:rPr>
          <w:rtl/>
        </w:rPr>
        <w:t>.</w:t>
      </w:r>
    </w:p>
    <w:p w:rsidR="000C39D1" w:rsidRPr="00132E65" w:rsidRDefault="000C39D1" w:rsidP="000C39D1">
      <w:pPr>
        <w:pStyle w:val="libFootnote0"/>
        <w:rPr>
          <w:rtl/>
          <w:lang w:bidi="fa-IR"/>
        </w:rPr>
      </w:pPr>
      <w:r>
        <w:rPr>
          <w:rtl/>
        </w:rPr>
        <w:t>(9).</w:t>
      </w:r>
      <w:r w:rsidRPr="00132E65">
        <w:rPr>
          <w:rtl/>
        </w:rPr>
        <w:t xml:space="preserve"> في « بح » والإرشاد :</w:t>
      </w:r>
      <w:r>
        <w:rPr>
          <w:rtl/>
        </w:rPr>
        <w:t xml:space="preserve"> + </w:t>
      </w:r>
      <w:r w:rsidRPr="00132E65">
        <w:rPr>
          <w:rtl/>
        </w:rPr>
        <w:t>« موسى »</w:t>
      </w:r>
      <w:r>
        <w:rPr>
          <w:rtl/>
        </w:rPr>
        <w:t>.</w:t>
      </w:r>
    </w:p>
    <w:p w:rsidR="000C39D1" w:rsidRPr="00132E65" w:rsidRDefault="000C39D1" w:rsidP="000C39D1">
      <w:pPr>
        <w:pStyle w:val="libFootnote0"/>
        <w:rPr>
          <w:rtl/>
          <w:lang w:bidi="fa-IR"/>
        </w:rPr>
      </w:pPr>
      <w:r>
        <w:rPr>
          <w:rtl/>
        </w:rPr>
        <w:t>(10). « خل</w:t>
      </w:r>
      <w:r>
        <w:rPr>
          <w:rFonts w:hint="cs"/>
          <w:rtl/>
        </w:rPr>
        <w:t>ّ</w:t>
      </w:r>
      <w:r>
        <w:rPr>
          <w:rtl/>
        </w:rPr>
        <w:t>ا</w:t>
      </w:r>
      <w:r w:rsidRPr="00132E65">
        <w:rPr>
          <w:rtl/>
        </w:rPr>
        <w:t xml:space="preserve">ني » ، أي تركني. راجع : </w:t>
      </w:r>
      <w:r w:rsidRPr="0056297C">
        <w:rPr>
          <w:rStyle w:val="libFootnoteBoldChar"/>
          <w:rtl/>
        </w:rPr>
        <w:t>القاموس المحيط</w:t>
      </w:r>
      <w:r w:rsidRPr="00132E65">
        <w:rPr>
          <w:rtl/>
        </w:rPr>
        <w:t xml:space="preserve"> ، ج 2 ، ص 1680 ( خلو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 ف » </w:t>
            </w:r>
            <w:r>
              <w:rPr>
                <w:rtl/>
              </w:rPr>
              <w:t xml:space="preserve">: - </w:t>
            </w:r>
            <w:r w:rsidRPr="00132E65">
              <w:rPr>
                <w:rtl/>
              </w:rPr>
              <w:t>« فدخلت »</w:t>
            </w:r>
            <w:r>
              <w:rPr>
                <w:rtl/>
              </w:rPr>
              <w:t>.</w:t>
            </w:r>
          </w:p>
        </w:tc>
        <w:tc>
          <w:tcPr>
            <w:tcW w:w="4006" w:type="dxa"/>
          </w:tcPr>
          <w:p w:rsidR="000C39D1" w:rsidRDefault="000C39D1" w:rsidP="00B53873">
            <w:pPr>
              <w:pStyle w:val="libFootnote0"/>
              <w:rPr>
                <w:rtl/>
              </w:rPr>
            </w:pPr>
            <w:r>
              <w:rPr>
                <w:rtl/>
              </w:rPr>
              <w:t>(12).</w:t>
            </w:r>
            <w:r w:rsidRPr="00132E65">
              <w:rPr>
                <w:rtl/>
              </w:rPr>
              <w:t xml:space="preserve"> في « ه‍ ، بس » </w:t>
            </w:r>
            <w:r>
              <w:rPr>
                <w:rtl/>
              </w:rPr>
              <w:t xml:space="preserve">: - </w:t>
            </w:r>
            <w:r w:rsidRPr="00132E65">
              <w:rPr>
                <w:rtl/>
              </w:rPr>
              <w:t>« موسى »</w:t>
            </w:r>
            <w:r>
              <w:rPr>
                <w:rtl/>
              </w:rPr>
              <w:t>.</w:t>
            </w:r>
          </w:p>
        </w:tc>
      </w:tr>
      <w:tr w:rsidR="000C39D1" w:rsidTr="00B53873">
        <w:tc>
          <w:tcPr>
            <w:tcW w:w="4006" w:type="dxa"/>
          </w:tcPr>
          <w:p w:rsidR="000C39D1" w:rsidRDefault="000C39D1" w:rsidP="00B53873">
            <w:pPr>
              <w:pStyle w:val="libFootnote0"/>
              <w:rPr>
                <w:rtl/>
              </w:rPr>
            </w:pPr>
            <w:r>
              <w:rPr>
                <w:rtl/>
              </w:rPr>
              <w:t>(13)</w:t>
            </w:r>
            <w:r w:rsidRPr="00132E65">
              <w:rPr>
                <w:rtl/>
              </w:rPr>
              <w:t xml:space="preserve"> في « بح »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(14)</w:t>
            </w:r>
            <w:r w:rsidRPr="00132E65">
              <w:rPr>
                <w:rtl/>
              </w:rPr>
              <w:t xml:space="preserve"> في « ه‍ </w:t>
            </w:r>
            <w:r w:rsidR="0033724D" w:rsidRPr="00132E65">
              <w:rPr>
                <w:rtl/>
              </w:rPr>
              <w:t>»</w:t>
            </w:r>
            <w:r>
              <w:rPr>
                <w:rFonts w:hint="cs"/>
                <w:rtl/>
              </w:rPr>
              <w:t xml:space="preserve"> </w:t>
            </w:r>
            <w:r w:rsidRPr="00132E65">
              <w:rPr>
                <w:rtl/>
              </w:rPr>
              <w:t>: « ولا إلى المعتزلة ولا إلى الزيديّة »</w:t>
            </w:r>
            <w:r>
              <w:rPr>
                <w:rtl/>
              </w:rPr>
              <w:t>.</w:t>
            </w:r>
          </w:p>
        </w:tc>
      </w:tr>
      <w:tr w:rsidR="000C39D1" w:rsidTr="00B53873">
        <w:tc>
          <w:tcPr>
            <w:tcW w:w="4006" w:type="dxa"/>
          </w:tcPr>
          <w:p w:rsidR="000C39D1" w:rsidRDefault="000C39D1" w:rsidP="00B53873">
            <w:pPr>
              <w:pStyle w:val="libFootnote0"/>
              <w:rPr>
                <w:rtl/>
              </w:rPr>
            </w:pPr>
            <w:r>
              <w:rPr>
                <w:rtl/>
              </w:rPr>
              <w:t>(15)</w:t>
            </w:r>
            <w:r w:rsidRPr="00132E65">
              <w:rPr>
                <w:rtl/>
              </w:rPr>
              <w:t xml:space="preserve"> في « ف ، بح » : « فقال »</w:t>
            </w:r>
            <w:r>
              <w:rPr>
                <w:rtl/>
              </w:rPr>
              <w:t>.</w:t>
            </w:r>
          </w:p>
        </w:tc>
        <w:tc>
          <w:tcPr>
            <w:tcW w:w="4006" w:type="dxa"/>
          </w:tcPr>
          <w:p w:rsidR="000C39D1" w:rsidRDefault="000C39D1" w:rsidP="00B53873">
            <w:pPr>
              <w:pStyle w:val="libFootnote0"/>
              <w:rPr>
                <w:rtl/>
              </w:rPr>
            </w:pPr>
            <w:r>
              <w:rPr>
                <w:rtl/>
              </w:rPr>
              <w:t>(16)</w:t>
            </w:r>
            <w:r w:rsidRPr="00132E65">
              <w:rPr>
                <w:rtl/>
              </w:rPr>
              <w:t xml:space="preserve"> في « ب » والإرشاد : « قال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لَا يُعْبَدَ </w:t>
      </w:r>
      <w:r>
        <w:rPr>
          <w:rStyle w:val="libFootnotenumChar"/>
          <w:rtl/>
        </w:rPr>
        <w:t>(1)</w:t>
      </w:r>
      <w:r w:rsidRPr="00132E65">
        <w:rPr>
          <w:rtl/>
          <w:lang w:bidi="fa-IR"/>
        </w:rPr>
        <w:t xml:space="preserve"> اللهُ »</w:t>
      </w:r>
      <w:r>
        <w:rPr>
          <w:rtl/>
          <w:lang w:bidi="fa-IR"/>
        </w:rPr>
        <w:t>.</w:t>
      </w:r>
      <w:r w:rsidRPr="00132E65">
        <w:rPr>
          <w:rtl/>
          <w:lang w:bidi="fa-IR"/>
        </w:rPr>
        <w:t xml:space="preserve"> قَالَ : قُلْتُ : جُعِلْتُ فِدَاكَ ، فَمَنْ لَنَا مِنْ </w:t>
      </w:r>
      <w:r>
        <w:rPr>
          <w:rStyle w:val="libFootnotenumChar"/>
          <w:rtl/>
        </w:rPr>
        <w:t>(2)</w:t>
      </w:r>
      <w:r w:rsidRPr="00132E65">
        <w:rPr>
          <w:rtl/>
          <w:lang w:bidi="fa-IR"/>
        </w:rPr>
        <w:t xml:space="preserve"> بَعْدِهِ</w:t>
      </w:r>
      <w:r>
        <w:rPr>
          <w:rtl/>
          <w:lang w:bidi="fa-IR"/>
        </w:rPr>
        <w:t>؟</w:t>
      </w:r>
      <w:r w:rsidRPr="00132E65">
        <w:rPr>
          <w:rtl/>
          <w:lang w:bidi="fa-IR"/>
        </w:rPr>
        <w:t xml:space="preserve"> قَالَ : « إِنْ شَاءَ اللهُ أَنْ يَهْدِيَكَ ، هَدَاكَ »</w:t>
      </w:r>
      <w:r>
        <w:rPr>
          <w:rtl/>
          <w:lang w:bidi="fa-IR"/>
        </w:rPr>
        <w:t>.</w:t>
      </w:r>
      <w:r w:rsidRPr="00132E65">
        <w:rPr>
          <w:rtl/>
          <w:lang w:bidi="fa-IR"/>
        </w:rPr>
        <w:t xml:space="preserve"> قَالَ : قُلْتُّ </w:t>
      </w:r>
      <w:r>
        <w:rPr>
          <w:rStyle w:val="libFootnotenumChar"/>
          <w:rtl/>
        </w:rPr>
        <w:t>(3)</w:t>
      </w:r>
      <w:r w:rsidRPr="00132E65">
        <w:rPr>
          <w:rtl/>
          <w:lang w:bidi="fa-IR"/>
        </w:rPr>
        <w:t xml:space="preserve"> : جُعِلْتُ فِدَاكَ </w:t>
      </w:r>
      <w:r>
        <w:rPr>
          <w:rStyle w:val="libFootnotenumChar"/>
          <w:rtl/>
        </w:rPr>
        <w:t>(4)</w:t>
      </w:r>
      <w:r w:rsidRPr="00132E65">
        <w:rPr>
          <w:rtl/>
          <w:lang w:bidi="fa-IR"/>
        </w:rPr>
        <w:t xml:space="preserve"> ، فَأَنْتَ </w:t>
      </w:r>
      <w:r>
        <w:rPr>
          <w:rStyle w:val="libFootnotenumChar"/>
          <w:rtl/>
        </w:rPr>
        <w:t>(5)</w:t>
      </w:r>
      <w:r w:rsidRPr="00132E65">
        <w:rPr>
          <w:rtl/>
          <w:lang w:bidi="fa-IR"/>
        </w:rPr>
        <w:t xml:space="preserve"> هُوَ</w:t>
      </w:r>
      <w:r>
        <w:rPr>
          <w:rtl/>
          <w:lang w:bidi="fa-IR"/>
        </w:rPr>
        <w:t>؟</w:t>
      </w:r>
      <w:r w:rsidRPr="00132E65">
        <w:rPr>
          <w:rtl/>
          <w:lang w:bidi="fa-IR"/>
        </w:rPr>
        <w:t xml:space="preserve"> قَالَ : « لَا ، مَا أَقُولُ ذلِكَ </w:t>
      </w:r>
      <w:r>
        <w:rPr>
          <w:rStyle w:val="libFootnotenumChar"/>
          <w:rtl/>
        </w:rPr>
        <w:t>(6)</w:t>
      </w:r>
      <w:r w:rsidRPr="00132E65">
        <w:rPr>
          <w:rtl/>
          <w:lang w:bidi="fa-IR"/>
        </w:rPr>
        <w:t xml:space="preserve"> »</w:t>
      </w:r>
      <w:r>
        <w:rPr>
          <w:rtl/>
          <w:lang w:bidi="fa-IR"/>
        </w:rPr>
        <w:t>.</w:t>
      </w:r>
      <w:r>
        <w:rPr>
          <w:rFonts w:hint="cs"/>
          <w:rtl/>
          <w:lang w:bidi="fa-IR"/>
        </w:rPr>
        <w:t xml:space="preserve"> </w:t>
      </w:r>
      <w:r w:rsidRPr="00132E65">
        <w:rPr>
          <w:rtl/>
          <w:lang w:bidi="fa-IR"/>
        </w:rPr>
        <w:t xml:space="preserve">قَالَ : فَقُلْتُ </w:t>
      </w:r>
      <w:r>
        <w:rPr>
          <w:rStyle w:val="libFootnotenumChar"/>
          <w:rtl/>
        </w:rPr>
        <w:t>(7)</w:t>
      </w:r>
      <w:r w:rsidRPr="00132E65">
        <w:rPr>
          <w:rtl/>
          <w:lang w:bidi="fa-IR"/>
        </w:rPr>
        <w:t xml:space="preserve"> فِي نَفْسِي : لَمْ أُصِبْ طَرِيقَ الْمَسْأَلَةِ </w:t>
      </w:r>
      <w:r>
        <w:rPr>
          <w:rStyle w:val="libFootnotenumChar"/>
          <w:rtl/>
        </w:rPr>
        <w:t>(8)</w:t>
      </w:r>
      <w:r w:rsidRPr="000A6075">
        <w:rPr>
          <w:rStyle w:val="libNormalChar"/>
          <w:rFonts w:hint="cs"/>
          <w:rtl/>
        </w:rPr>
        <w:t>.</w:t>
      </w:r>
    </w:p>
    <w:p w:rsidR="000C39D1" w:rsidRPr="00132E65" w:rsidRDefault="000C39D1" w:rsidP="000C39D1">
      <w:pPr>
        <w:pStyle w:val="libNormal"/>
        <w:rPr>
          <w:rtl/>
          <w:lang w:bidi="fa-IR"/>
        </w:rPr>
      </w:pPr>
      <w:r w:rsidRPr="00132E65">
        <w:rPr>
          <w:rtl/>
          <w:lang w:bidi="fa-IR"/>
        </w:rPr>
        <w:t xml:space="preserve">ثُمَّ قُلْتُ لَهُ </w:t>
      </w:r>
      <w:r>
        <w:rPr>
          <w:rStyle w:val="libFootnotenumChar"/>
          <w:rtl/>
        </w:rPr>
        <w:t>(9)</w:t>
      </w:r>
      <w:r w:rsidRPr="00132E65">
        <w:rPr>
          <w:rtl/>
          <w:lang w:bidi="fa-IR"/>
        </w:rPr>
        <w:t xml:space="preserve"> : جُعِلْتُ فِدَاكَ ، عَلَيْكَ إِمَامٌ</w:t>
      </w:r>
      <w:r>
        <w:rPr>
          <w:rtl/>
          <w:lang w:bidi="fa-IR"/>
        </w:rPr>
        <w:t>؟</w:t>
      </w:r>
      <w:r w:rsidRPr="00132E65">
        <w:rPr>
          <w:rtl/>
          <w:lang w:bidi="fa-IR"/>
        </w:rPr>
        <w:t xml:space="preserve"> قَالَ : « لَا »</w:t>
      </w:r>
      <w:r>
        <w:rPr>
          <w:rtl/>
          <w:lang w:bidi="fa-IR"/>
        </w:rPr>
        <w:t>.</w:t>
      </w:r>
      <w:r w:rsidRPr="00132E65">
        <w:rPr>
          <w:rtl/>
          <w:lang w:bidi="fa-IR"/>
        </w:rPr>
        <w:t xml:space="preserve"> فَدَاخَلَنِي شَيْ‌ءٌ لَايَعْلَمُهُ </w:t>
      </w:r>
      <w:r>
        <w:rPr>
          <w:rStyle w:val="libFootnotenumChar"/>
          <w:rtl/>
        </w:rPr>
        <w:t>(10)</w:t>
      </w:r>
      <w:r>
        <w:rPr>
          <w:rtl/>
          <w:lang w:bidi="fa-IR"/>
        </w:rPr>
        <w:t xml:space="preserve"> إِل</w:t>
      </w:r>
      <w:r>
        <w:rPr>
          <w:rFonts w:hint="cs"/>
          <w:rtl/>
          <w:lang w:bidi="fa-IR"/>
        </w:rPr>
        <w:t>َّ</w:t>
      </w:r>
      <w:r>
        <w:rPr>
          <w:rtl/>
          <w:lang w:bidi="fa-IR"/>
        </w:rPr>
        <w:t>ا</w:t>
      </w:r>
      <w:r w:rsidRPr="00132E65">
        <w:rPr>
          <w:rtl/>
          <w:lang w:bidi="fa-IR"/>
        </w:rPr>
        <w:t xml:space="preserve"> اللهُ</w:t>
      </w:r>
      <w:r>
        <w:rPr>
          <w:rtl/>
          <w:lang w:bidi="fa-IR"/>
        </w:rPr>
        <w:t xml:space="preserve"> - </w:t>
      </w:r>
      <w:r w:rsidRPr="00132E65">
        <w:rPr>
          <w:rtl/>
          <w:lang w:bidi="fa-IR"/>
        </w:rPr>
        <w:t>عَزَّ وجَلَّ</w:t>
      </w:r>
      <w:r>
        <w:rPr>
          <w:rtl/>
          <w:lang w:bidi="fa-IR"/>
        </w:rPr>
        <w:t xml:space="preserve"> - </w:t>
      </w:r>
      <w:r w:rsidRPr="00132E65">
        <w:rPr>
          <w:rtl/>
          <w:lang w:bidi="fa-IR"/>
        </w:rPr>
        <w:t xml:space="preserve">إِعْظَاماً </w:t>
      </w:r>
      <w:r>
        <w:rPr>
          <w:rStyle w:val="libFootnotenumChar"/>
          <w:rtl/>
        </w:rPr>
        <w:t>(11)</w:t>
      </w:r>
      <w:r w:rsidRPr="00132E65">
        <w:rPr>
          <w:rtl/>
          <w:lang w:bidi="fa-IR"/>
        </w:rPr>
        <w:t xml:space="preserve"> لَهُ و</w:t>
      </w:r>
      <w:r>
        <w:rPr>
          <w:rFonts w:hint="cs"/>
          <w:rtl/>
          <w:lang w:bidi="fa-IR"/>
        </w:rPr>
        <w:t>َ</w:t>
      </w:r>
      <w:r w:rsidRPr="00132E65">
        <w:rPr>
          <w:rtl/>
          <w:lang w:bidi="fa-IR"/>
        </w:rPr>
        <w:t xml:space="preserve">هَيْبَةً أَكْثَرَ مِمَّا </w:t>
      </w:r>
      <w:r>
        <w:rPr>
          <w:rStyle w:val="libFootnotenumChar"/>
          <w:rtl/>
        </w:rPr>
        <w:t>(12)</w:t>
      </w:r>
      <w:r w:rsidRPr="00132E65">
        <w:rPr>
          <w:rtl/>
          <w:lang w:bidi="fa-IR"/>
        </w:rPr>
        <w:t xml:space="preserve"> كَانَ يَحُلُّ بِي مِنْ أَبِيهِ إِذَا دَخَلْتُ عَلَيْهِ.</w:t>
      </w:r>
    </w:p>
    <w:p w:rsidR="000C39D1" w:rsidRPr="00132E65" w:rsidRDefault="000C39D1" w:rsidP="000C39D1">
      <w:pPr>
        <w:pStyle w:val="libNormal"/>
        <w:rPr>
          <w:rtl/>
          <w:lang w:bidi="fa-IR"/>
        </w:rPr>
      </w:pPr>
      <w:r w:rsidRPr="00132E65">
        <w:rPr>
          <w:rtl/>
          <w:lang w:bidi="fa-IR"/>
        </w:rPr>
        <w:t xml:space="preserve">ثُمَّ قُلْتُ لَهُ : جُعِلْتُ فِدَاكَ ، أَسْأَلُكَ كَمَا </w:t>
      </w:r>
      <w:r w:rsidRPr="00F543F1">
        <w:rPr>
          <w:rStyle w:val="libFootnotenumChar"/>
          <w:rtl/>
        </w:rPr>
        <w:t>(13)</w:t>
      </w:r>
      <w:r w:rsidRPr="00132E65">
        <w:rPr>
          <w:rtl/>
          <w:lang w:bidi="fa-IR"/>
        </w:rPr>
        <w:t xml:space="preserve"> كُنْتُ أَسْأَلُ أَبَاكَ</w:t>
      </w:r>
      <w:r>
        <w:rPr>
          <w:rtl/>
          <w:lang w:bidi="fa-IR"/>
        </w:rPr>
        <w:t>؟</w:t>
      </w:r>
      <w:r w:rsidRPr="00132E65">
        <w:rPr>
          <w:rtl/>
          <w:lang w:bidi="fa-IR"/>
        </w:rPr>
        <w:t xml:space="preserve"> فَقَالَ : « سَلْ تُخْبَرْ ، ولَا تُذِعْ </w:t>
      </w:r>
      <w:r w:rsidRPr="00F543F1">
        <w:rPr>
          <w:rStyle w:val="libFootnotenumChar"/>
          <w:rtl/>
        </w:rPr>
        <w:t>(14)</w:t>
      </w:r>
      <w:r w:rsidRPr="00132E65">
        <w:rPr>
          <w:rtl/>
          <w:lang w:bidi="fa-IR"/>
        </w:rPr>
        <w:t xml:space="preserve"> ، فَإِنْ أَذَعْتَ فَهُوَ الذَّبْحُ » قَالَ </w:t>
      </w:r>
      <w:r w:rsidRPr="00F543F1">
        <w:rPr>
          <w:rStyle w:val="libFootnotenumChar"/>
          <w:rtl/>
        </w:rPr>
        <w:t>(15)</w:t>
      </w:r>
      <w:r w:rsidRPr="00132E65">
        <w:rPr>
          <w:rtl/>
          <w:lang w:bidi="fa-IR"/>
        </w:rPr>
        <w:t xml:space="preserve"> : فَسَأَلْتُهُ ، فَإِذَا هُوَ بَحْرٌ لَايُنْزَفُ </w:t>
      </w:r>
      <w:r w:rsidRPr="00F543F1">
        <w:rPr>
          <w:rStyle w:val="libFootnotenumChar"/>
          <w:rtl/>
        </w:rPr>
        <w:t>(16)</w:t>
      </w:r>
      <w:r w:rsidRPr="00A73692">
        <w:rPr>
          <w:rFonts w:hint="cs"/>
          <w:rtl/>
        </w:rPr>
        <w:t>.</w:t>
      </w:r>
    </w:p>
    <w:p w:rsidR="000C39D1" w:rsidRPr="00132E65" w:rsidRDefault="000C39D1" w:rsidP="000C39D1">
      <w:pPr>
        <w:pStyle w:val="libNormal"/>
        <w:rPr>
          <w:rtl/>
          <w:lang w:bidi="fa-IR"/>
        </w:rPr>
      </w:pPr>
      <w:r w:rsidRPr="00132E65">
        <w:rPr>
          <w:rtl/>
          <w:lang w:bidi="fa-IR"/>
        </w:rPr>
        <w:t xml:space="preserve">قُلْتُ : جُعِلْتُ فِدَاكَ ، شِيعَتُكَ وشِيعَةُ أَبِيكَ ضُلاَّلٌ ، فَأُلْقِي إِلَيْهِمْ وأَدْعُوهُمْ </w:t>
      </w:r>
      <w:r w:rsidRPr="00F543F1">
        <w:rPr>
          <w:rStyle w:val="libFootnotenumChar"/>
          <w:rtl/>
        </w:rPr>
        <w:t>(17)</w:t>
      </w:r>
      <w:r w:rsidRPr="00132E65">
        <w:rPr>
          <w:rtl/>
          <w:lang w:bidi="fa-IR"/>
        </w:rPr>
        <w:t xml:space="preserve"> إِلَيْكَ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جوّز المازندراني في شرحه كون « لا يعبد » على صيغة المعلوم.</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من »</w:t>
      </w:r>
      <w:r>
        <w:rPr>
          <w:rtl/>
        </w:rPr>
        <w:t>.</w:t>
      </w:r>
      <w:r w:rsidRPr="00132E65">
        <w:rPr>
          <w:rtl/>
        </w:rPr>
        <w:t xml:space="preserve"> وفي « ه‍ » : « فأنت » بدل « فمن لنا من بعده »</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في « ب » </w:t>
      </w:r>
      <w:r>
        <w:rPr>
          <w:rtl/>
        </w:rPr>
        <w:t xml:space="preserve">: - </w:t>
      </w:r>
      <w:r w:rsidRPr="00132E65">
        <w:rPr>
          <w:rtl/>
        </w:rPr>
        <w:t>« جعلت فداك »</w:t>
      </w:r>
      <w:r>
        <w:rPr>
          <w:rtl/>
        </w:rPr>
        <w:t>.</w:t>
      </w:r>
    </w:p>
    <w:p w:rsidR="000C39D1" w:rsidRPr="00132E65" w:rsidRDefault="000C39D1" w:rsidP="000C39D1">
      <w:pPr>
        <w:pStyle w:val="libFootnote0"/>
        <w:rPr>
          <w:rtl/>
          <w:lang w:bidi="fa-IR"/>
        </w:rPr>
      </w:pPr>
      <w:r>
        <w:rPr>
          <w:rtl/>
        </w:rPr>
        <w:t>(5).</w:t>
      </w:r>
      <w:r w:rsidRPr="00132E65">
        <w:rPr>
          <w:rtl/>
        </w:rPr>
        <w:t xml:space="preserve"> في « بس » : « وأنت »</w:t>
      </w:r>
      <w:r>
        <w:rPr>
          <w:rtl/>
        </w:rPr>
        <w:t>.</w:t>
      </w:r>
    </w:p>
    <w:p w:rsidR="000C39D1" w:rsidRPr="00132E65" w:rsidRDefault="000C39D1" w:rsidP="000C39D1">
      <w:pPr>
        <w:pStyle w:val="libFootnote0"/>
        <w:rPr>
          <w:rtl/>
          <w:lang w:bidi="fa-IR"/>
        </w:rPr>
      </w:pPr>
      <w:r>
        <w:rPr>
          <w:rtl/>
        </w:rPr>
        <w:t>(6). لم</w:t>
      </w:r>
      <w:r>
        <w:rPr>
          <w:rFonts w:hint="cs"/>
          <w:rtl/>
        </w:rPr>
        <w:t>ـّ</w:t>
      </w:r>
      <w:r w:rsidRPr="00132E65">
        <w:rPr>
          <w:rtl/>
        </w:rPr>
        <w:t>ا كان الجواب غير صريح في المطلوب ، بل ظاهر في غيره ، قال المازندراني في شرحه : « أي قال : لست أنا هو من عندي ، ما أقول ذلك من قبلي ، بل أنا هو من عند الله وعند رسوله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ج ، ف » : « قال »</w:t>
            </w:r>
            <w:r>
              <w:rPr>
                <w:rtl/>
              </w:rPr>
              <w:t>.</w:t>
            </w:r>
          </w:p>
        </w:tc>
        <w:tc>
          <w:tcPr>
            <w:tcW w:w="4006" w:type="dxa"/>
          </w:tcPr>
          <w:p w:rsidR="000C39D1" w:rsidRDefault="000C39D1" w:rsidP="00B53873">
            <w:pPr>
              <w:pStyle w:val="libFootnote0"/>
              <w:rPr>
                <w:rtl/>
              </w:rPr>
            </w:pPr>
            <w:r>
              <w:rPr>
                <w:rtl/>
              </w:rPr>
              <w:t>(8).</w:t>
            </w:r>
            <w:r w:rsidRPr="00132E65">
              <w:rPr>
                <w:rtl/>
              </w:rPr>
              <w:t xml:space="preserve"> في « ه‍ » : « طريقاً إلى المسألة »</w:t>
            </w:r>
            <w:r>
              <w:rPr>
                <w:rtl/>
              </w:rPr>
              <w:t>.</w:t>
            </w:r>
          </w:p>
        </w:tc>
      </w:tr>
    </w:tbl>
    <w:p w:rsidR="000C39D1" w:rsidRPr="00132E65" w:rsidRDefault="000C39D1" w:rsidP="000C39D1">
      <w:pPr>
        <w:pStyle w:val="libFootnote0"/>
        <w:rPr>
          <w:rtl/>
          <w:lang w:bidi="fa-IR"/>
        </w:rPr>
      </w:pPr>
      <w:r>
        <w:rPr>
          <w:rtl/>
        </w:rPr>
        <w:t>(9).</w:t>
      </w:r>
      <w:r w:rsidRPr="00132E65">
        <w:rPr>
          <w:rtl/>
        </w:rPr>
        <w:t xml:space="preserve"> في « ه‍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(10).</w:t>
      </w:r>
      <w:r w:rsidRPr="00132E65">
        <w:rPr>
          <w:rtl/>
        </w:rPr>
        <w:t xml:space="preserve"> هكذا في النسخ التي قوبلت </w:t>
      </w:r>
      <w:r w:rsidRPr="00A73692">
        <w:rPr>
          <w:rtl/>
        </w:rPr>
        <w:t>والوافي</w:t>
      </w:r>
      <w:r w:rsidRPr="00132E65">
        <w:rPr>
          <w:rtl/>
        </w:rPr>
        <w:t xml:space="preserve"> والإرشاد. وفي المطبوع : « لا يعلم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 إعظاماً ، تميز لشي‌ء ، « أكثر » منصوب ، نعت إعظاماً وهيبة »</w:t>
      </w:r>
      <w:r>
        <w:rPr>
          <w:rtl/>
        </w:rPr>
        <w:t>.</w:t>
      </w:r>
    </w:p>
    <w:p w:rsidR="000C39D1" w:rsidRPr="00132E65" w:rsidRDefault="000C39D1" w:rsidP="000C39D1">
      <w:pPr>
        <w:pStyle w:val="libFootnote0"/>
        <w:rPr>
          <w:rtl/>
          <w:lang w:bidi="fa-IR"/>
        </w:rPr>
      </w:pPr>
      <w:r>
        <w:rPr>
          <w:rtl/>
        </w:rPr>
        <w:t>(12).</w:t>
      </w:r>
      <w:r w:rsidRPr="00132E65">
        <w:rPr>
          <w:rtl/>
        </w:rPr>
        <w:t xml:space="preserve"> في حاشية « ف » : « ما »</w:t>
      </w:r>
      <w:r>
        <w:rPr>
          <w:rtl/>
        </w:rPr>
        <w:t>.</w:t>
      </w:r>
    </w:p>
    <w:p w:rsidR="000C39D1" w:rsidRPr="00132E65" w:rsidRDefault="000C39D1" w:rsidP="000C39D1">
      <w:pPr>
        <w:pStyle w:val="libFootnote0"/>
        <w:rPr>
          <w:rtl/>
          <w:lang w:bidi="fa-IR"/>
        </w:rPr>
      </w:pPr>
      <w:r>
        <w:rPr>
          <w:rtl/>
        </w:rPr>
        <w:t>(13)</w:t>
      </w:r>
      <w:r w:rsidRPr="00132E65">
        <w:rPr>
          <w:rtl/>
        </w:rPr>
        <w:t xml:space="preserve"> هكذا في النسخ التي قوبلت والإرشاد. وفي المطبوع : « عمّا »</w:t>
      </w:r>
      <w:r>
        <w:rPr>
          <w:rtl/>
        </w:rPr>
        <w:t>.</w:t>
      </w:r>
    </w:p>
    <w:p w:rsidR="000C39D1" w:rsidRPr="00132E65" w:rsidRDefault="000C39D1" w:rsidP="000C39D1">
      <w:pPr>
        <w:pStyle w:val="libFootnote0"/>
        <w:rPr>
          <w:rtl/>
          <w:lang w:bidi="fa-IR"/>
        </w:rPr>
      </w:pPr>
      <w:r>
        <w:rPr>
          <w:rtl/>
        </w:rPr>
        <w:t>(14)</w:t>
      </w:r>
      <w:r w:rsidRPr="00132E65">
        <w:rPr>
          <w:rtl/>
        </w:rPr>
        <w:t xml:space="preserve"> « لا تُذِع » ، أي لا تنشر ولا تُفش. راجع : </w:t>
      </w:r>
      <w:r w:rsidRPr="00A73692">
        <w:rPr>
          <w:rStyle w:val="libFootnoteBoldChar"/>
          <w:rtl/>
        </w:rPr>
        <w:t>الصحاح</w:t>
      </w:r>
      <w:r w:rsidRPr="00132E65">
        <w:rPr>
          <w:rtl/>
        </w:rPr>
        <w:t xml:space="preserve"> ، ج 3 ، ص 1211 ( ذيع )</w:t>
      </w:r>
      <w:r>
        <w:rPr>
          <w:rtl/>
        </w:rPr>
        <w:t>.</w:t>
      </w:r>
    </w:p>
    <w:p w:rsidR="000C39D1" w:rsidRPr="00132E65" w:rsidRDefault="000C39D1" w:rsidP="000C39D1">
      <w:pPr>
        <w:pStyle w:val="libFootnote0"/>
        <w:rPr>
          <w:rtl/>
          <w:lang w:bidi="fa-IR"/>
        </w:rPr>
      </w:pPr>
      <w:r>
        <w:rPr>
          <w:rtl/>
        </w:rPr>
        <w:t>(15)</w:t>
      </w:r>
      <w:r w:rsidRPr="00132E65">
        <w:rPr>
          <w:rtl/>
        </w:rPr>
        <w:t xml:space="preserve"> هكذا في « ب ، ج ، ض ، ف ، ه‍ ، بح » والإرشاد. وفي المطبوع وسائر النسخ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(16)</w:t>
      </w:r>
      <w:r w:rsidRPr="00132E65">
        <w:rPr>
          <w:rtl/>
        </w:rPr>
        <w:t xml:space="preserve"> في « ف » : « لا ينصرف »</w:t>
      </w:r>
      <w:r>
        <w:rPr>
          <w:rtl/>
        </w:rPr>
        <w:t>.</w:t>
      </w:r>
      <w:r w:rsidRPr="00132E65">
        <w:rPr>
          <w:rtl/>
        </w:rPr>
        <w:t xml:space="preserve"> وقوله : « لا يُنْزَفُ » ، أي لا يذهب ماؤه ولا يفنى. راجع : </w:t>
      </w:r>
      <w:r w:rsidRPr="009D1ACE">
        <w:rPr>
          <w:rStyle w:val="libFootnoteBoldChar"/>
          <w:rtl/>
        </w:rPr>
        <w:t>لسان العرب</w:t>
      </w:r>
      <w:r w:rsidRPr="00132E65">
        <w:rPr>
          <w:rtl/>
        </w:rPr>
        <w:t xml:space="preserve"> ، ج 9 ، ص 325 ( نزف )</w:t>
      </w:r>
      <w:r>
        <w:rPr>
          <w:rtl/>
        </w:rPr>
        <w:t>.</w:t>
      </w:r>
    </w:p>
    <w:p w:rsidR="000C39D1" w:rsidRPr="00132E65" w:rsidRDefault="000C39D1" w:rsidP="000C39D1">
      <w:pPr>
        <w:pStyle w:val="libFootnote0"/>
        <w:rPr>
          <w:rtl/>
          <w:lang w:bidi="fa-IR"/>
        </w:rPr>
      </w:pPr>
      <w:r>
        <w:rPr>
          <w:rtl/>
        </w:rPr>
        <w:t>(17)</w:t>
      </w:r>
      <w:r w:rsidRPr="00132E65">
        <w:rPr>
          <w:rtl/>
        </w:rPr>
        <w:t xml:space="preserve"> في « بح ، بر ، بس ، بف » و</w:t>
      </w:r>
      <w:r w:rsidRPr="009D1ACE">
        <w:rPr>
          <w:rStyle w:val="libFootnoteBoldChar"/>
          <w:rtl/>
        </w:rPr>
        <w:t>الوافي</w:t>
      </w:r>
      <w:r w:rsidRPr="00132E65">
        <w:rPr>
          <w:rtl/>
        </w:rPr>
        <w:t xml:space="preserve"> : « فألق إليهم وادعهم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فَقَدْ </w:t>
      </w:r>
      <w:r>
        <w:rPr>
          <w:rStyle w:val="libFootnotenumChar"/>
          <w:rtl/>
        </w:rPr>
        <w:t>(1)</w:t>
      </w:r>
      <w:r w:rsidRPr="00132E65">
        <w:rPr>
          <w:rtl/>
          <w:lang w:bidi="fa-IR"/>
        </w:rPr>
        <w:t xml:space="preserve"> أَخَذْتَ عَلَيَّ الْكِتْمَانَ</w:t>
      </w:r>
      <w:r>
        <w:rPr>
          <w:rtl/>
          <w:lang w:bidi="fa-IR"/>
        </w:rPr>
        <w:t>؟</w:t>
      </w:r>
      <w:r w:rsidRPr="00132E65">
        <w:rPr>
          <w:rtl/>
          <w:lang w:bidi="fa-IR"/>
        </w:rPr>
        <w:t xml:space="preserve"> قَالَ : « مَنْ آنَسْتَ مِنْهُ </w:t>
      </w:r>
      <w:r>
        <w:rPr>
          <w:rStyle w:val="libFootnotenumChar"/>
          <w:rtl/>
        </w:rPr>
        <w:t>(2)</w:t>
      </w:r>
      <w:r w:rsidRPr="00132E65">
        <w:rPr>
          <w:rtl/>
          <w:lang w:bidi="fa-IR"/>
        </w:rPr>
        <w:t xml:space="preserve"> رُشْداً فَأَلْقِ إِلَيْهِ </w:t>
      </w:r>
      <w:r>
        <w:rPr>
          <w:rStyle w:val="libFootnotenumChar"/>
          <w:rtl/>
        </w:rPr>
        <w:t>(3)</w:t>
      </w:r>
      <w:r w:rsidRPr="00132E65">
        <w:rPr>
          <w:rtl/>
          <w:lang w:bidi="fa-IR"/>
        </w:rPr>
        <w:t xml:space="preserve"> ، وخُذْ عَلَيْهِ الْكِتْمَانَ </w:t>
      </w:r>
      <w:r>
        <w:rPr>
          <w:rStyle w:val="libFootnotenumChar"/>
          <w:rtl/>
        </w:rPr>
        <w:t>(4)</w:t>
      </w:r>
      <w:r w:rsidRPr="00132E65">
        <w:rPr>
          <w:rtl/>
          <w:lang w:bidi="fa-IR"/>
        </w:rPr>
        <w:t xml:space="preserve"> ، فَإِنْ </w:t>
      </w:r>
      <w:r>
        <w:rPr>
          <w:rStyle w:val="libFootnotenumChar"/>
          <w:rtl/>
        </w:rPr>
        <w:t>(5)</w:t>
      </w:r>
      <w:r w:rsidRPr="00132E65">
        <w:rPr>
          <w:rtl/>
          <w:lang w:bidi="fa-IR"/>
        </w:rPr>
        <w:t xml:space="preserve"> أَذَاعُوا </w:t>
      </w:r>
      <w:r>
        <w:rPr>
          <w:rStyle w:val="libFootnotenumChar"/>
          <w:rtl/>
        </w:rPr>
        <w:t>(6)</w:t>
      </w:r>
      <w:r w:rsidRPr="00132E65">
        <w:rPr>
          <w:rtl/>
          <w:lang w:bidi="fa-IR"/>
        </w:rPr>
        <w:t xml:space="preserve"> فَهُوَ الذَّبْحُ » وأَشَارَ بِيَدِهِ إِلى حَلْقِهِ.</w:t>
      </w:r>
    </w:p>
    <w:p w:rsidR="000C39D1" w:rsidRPr="00132E65" w:rsidRDefault="000C39D1" w:rsidP="000C39D1">
      <w:pPr>
        <w:pStyle w:val="libNormal"/>
        <w:rPr>
          <w:rtl/>
          <w:lang w:bidi="fa-IR"/>
        </w:rPr>
      </w:pPr>
      <w:r w:rsidRPr="00132E65">
        <w:rPr>
          <w:rtl/>
          <w:lang w:bidi="fa-IR"/>
        </w:rPr>
        <w:t xml:space="preserve">قَالَ : فَخَرَجْتُ مِنْ عِنْدِهِ ، فَلَقِيتُ أَبَا جَعْفَرٍ الْأَحْوَلَ ، فَقَالَ لِي : مَا ورَاءَكَ </w:t>
      </w:r>
      <w:r>
        <w:rPr>
          <w:rStyle w:val="libFootnotenumChar"/>
          <w:rtl/>
        </w:rPr>
        <w:t>(7)</w:t>
      </w:r>
      <w:r>
        <w:rPr>
          <w:rtl/>
          <w:lang w:bidi="fa-IR"/>
        </w:rPr>
        <w:t>؟</w:t>
      </w:r>
      <w:r w:rsidRPr="00132E65">
        <w:rPr>
          <w:rtl/>
          <w:lang w:bidi="fa-IR"/>
        </w:rPr>
        <w:t xml:space="preserve"> قُلْتُ :</w:t>
      </w:r>
      <w:r>
        <w:rPr>
          <w:rFonts w:hint="cs"/>
          <w:rtl/>
          <w:lang w:bidi="fa-IR"/>
        </w:rPr>
        <w:t xml:space="preserve"> </w:t>
      </w:r>
      <w:r w:rsidRPr="00132E65">
        <w:rPr>
          <w:rtl/>
          <w:lang w:bidi="fa-IR"/>
        </w:rPr>
        <w:t xml:space="preserve">الْهُدى ، فَحَدَّثْتُهُ </w:t>
      </w:r>
      <w:r>
        <w:rPr>
          <w:rStyle w:val="libFootnotenumChar"/>
          <w:rtl/>
        </w:rPr>
        <w:t>(8)</w:t>
      </w:r>
      <w:r w:rsidRPr="00132E65">
        <w:rPr>
          <w:rtl/>
          <w:lang w:bidi="fa-IR"/>
        </w:rPr>
        <w:t xml:space="preserve"> بِالْقِصَّةِ ، قَالَ </w:t>
      </w:r>
      <w:r>
        <w:rPr>
          <w:rStyle w:val="libFootnotenumChar"/>
          <w:rtl/>
        </w:rPr>
        <w:t>(9)</w:t>
      </w:r>
      <w:r w:rsidRPr="00132E65">
        <w:rPr>
          <w:rtl/>
          <w:lang w:bidi="fa-IR"/>
        </w:rPr>
        <w:t xml:space="preserve"> : ثُمَّ لَقِينَا الْفُضَيْلَ </w:t>
      </w:r>
      <w:r>
        <w:rPr>
          <w:rStyle w:val="libFootnotenumChar"/>
          <w:rtl/>
        </w:rPr>
        <w:t>(10)</w:t>
      </w:r>
      <w:r w:rsidRPr="00132E65">
        <w:rPr>
          <w:rtl/>
          <w:lang w:bidi="fa-IR"/>
        </w:rPr>
        <w:t xml:space="preserve"> وأَبَا بَصِيرٍ ، فَدَخَلَا عَلَيْهِ ، وسَمِعَا كَلَامَهُ ، وسَاءَلَاهُ </w:t>
      </w:r>
      <w:r>
        <w:rPr>
          <w:rStyle w:val="libFootnotenumChar"/>
          <w:rtl/>
        </w:rPr>
        <w:t>(11)</w:t>
      </w:r>
      <w:r w:rsidRPr="00132E65">
        <w:rPr>
          <w:rtl/>
          <w:lang w:bidi="fa-IR"/>
        </w:rPr>
        <w:t xml:space="preserve"> ، وقَطَعَا عَلَيْهِ بِالْإِمَامَةِ.</w:t>
      </w:r>
    </w:p>
    <w:p w:rsidR="000C39D1" w:rsidRPr="00132E65" w:rsidRDefault="000C39D1" w:rsidP="000C39D1">
      <w:pPr>
        <w:pStyle w:val="libNormal"/>
        <w:rPr>
          <w:rtl/>
          <w:lang w:bidi="fa-IR"/>
        </w:rPr>
      </w:pPr>
      <w:r w:rsidRPr="00132E65">
        <w:rPr>
          <w:rtl/>
          <w:lang w:bidi="fa-IR"/>
        </w:rPr>
        <w:t xml:space="preserve">ثُمَّ لَقِينَا النَّاسَ أَفْوَاجاً ، فَكُلُّ </w:t>
      </w:r>
      <w:r>
        <w:rPr>
          <w:rStyle w:val="libFootnotenumChar"/>
          <w:rtl/>
        </w:rPr>
        <w:t>(12)</w:t>
      </w:r>
      <w:r w:rsidRPr="00132E65">
        <w:rPr>
          <w:rtl/>
          <w:lang w:bidi="fa-IR"/>
        </w:rPr>
        <w:t xml:space="preserve"> مَ</w:t>
      </w:r>
      <w:r>
        <w:rPr>
          <w:rtl/>
          <w:lang w:bidi="fa-IR"/>
        </w:rPr>
        <w:t>نْ دَخَلَ عَلَيْهِ قَطَعَ إِل</w:t>
      </w:r>
      <w:r>
        <w:rPr>
          <w:rFonts w:hint="cs"/>
          <w:rtl/>
          <w:lang w:bidi="fa-IR"/>
        </w:rPr>
        <w:t>َّ</w:t>
      </w:r>
      <w:r>
        <w:rPr>
          <w:rtl/>
          <w:lang w:bidi="fa-IR"/>
        </w:rPr>
        <w:t>ا</w:t>
      </w:r>
      <w:r w:rsidRPr="00132E65">
        <w:rPr>
          <w:rtl/>
          <w:lang w:bidi="fa-IR"/>
        </w:rPr>
        <w:t xml:space="preserve"> طَائِفَةَ عَمَّارٍ </w:t>
      </w:r>
      <w:r w:rsidRPr="00F543F1">
        <w:rPr>
          <w:rStyle w:val="libFootnotenumChar"/>
          <w:rtl/>
        </w:rPr>
        <w:t>(13)</w:t>
      </w:r>
      <w:r w:rsidRPr="00132E65">
        <w:rPr>
          <w:rtl/>
          <w:lang w:bidi="fa-IR"/>
        </w:rPr>
        <w:t xml:space="preserve"> وأَصْحَابَهُ ، وَبَقِيَ عَبْدُ اللهِ </w:t>
      </w:r>
      <w:r w:rsidRPr="00F543F1">
        <w:rPr>
          <w:rStyle w:val="libFootnotenumChar"/>
          <w:rtl/>
        </w:rPr>
        <w:t>(14)</w:t>
      </w:r>
      <w:r w:rsidRPr="00132E65">
        <w:rPr>
          <w:rtl/>
          <w:lang w:bidi="fa-IR"/>
        </w:rPr>
        <w:t xml:space="preserve"> لَايَدْخُلُ إِلَيْهِ </w:t>
      </w:r>
      <w:r w:rsidRPr="00F543F1">
        <w:rPr>
          <w:rStyle w:val="libFootnotenumChar"/>
          <w:rtl/>
        </w:rPr>
        <w:t>(15)</w:t>
      </w:r>
      <w:r>
        <w:rPr>
          <w:rtl/>
          <w:lang w:bidi="fa-IR"/>
        </w:rPr>
        <w:t xml:space="preserve"> إِل</w:t>
      </w:r>
      <w:r>
        <w:rPr>
          <w:rFonts w:hint="cs"/>
          <w:rtl/>
          <w:lang w:bidi="fa-IR"/>
        </w:rPr>
        <w:t>َّ</w:t>
      </w:r>
      <w:r>
        <w:rPr>
          <w:rtl/>
          <w:lang w:bidi="fa-IR"/>
        </w:rPr>
        <w:t>ا</w:t>
      </w:r>
      <w:r w:rsidRPr="00132E65">
        <w:rPr>
          <w:rtl/>
          <w:lang w:bidi="fa-IR"/>
        </w:rPr>
        <w:t xml:space="preserve"> قَلِيلٌ مِنَ النَّاسِ ، فَلَمَّا رَأى ذلِكَ ، قَالَ : مَا حَالَ النَّاسَ</w:t>
      </w:r>
      <w:r>
        <w:rPr>
          <w:rtl/>
          <w:lang w:bidi="fa-IR"/>
        </w:rPr>
        <w:t>؟</w:t>
      </w:r>
      <w:r w:rsidRPr="00132E65">
        <w:rPr>
          <w:rtl/>
          <w:lang w:bidi="fa-IR"/>
        </w:rPr>
        <w:t xml:space="preserve"> فَأُخْبِرَ أَنَّ هِشَاماً صَدَّ عَنْكَ النَّاسَ. قَالَ هِشَامٌ : فَأَقْعَدَ لِي بِالْمَدِينَةِ غَيْرَ واحِدٍ لِيَضْرِبُونِي. </w:t>
      </w:r>
      <w:r w:rsidRPr="00F543F1">
        <w:rPr>
          <w:rStyle w:val="libFootnotenumChar"/>
          <w:rtl/>
        </w:rPr>
        <w:t>(16)</w:t>
      </w:r>
    </w:p>
    <w:p w:rsidR="000C39D1" w:rsidRPr="00132E65" w:rsidRDefault="000C39D1" w:rsidP="000C39D1">
      <w:pPr>
        <w:pStyle w:val="libNormal"/>
        <w:rPr>
          <w:rtl/>
          <w:lang w:bidi="fa-IR"/>
        </w:rPr>
      </w:pPr>
      <w:r w:rsidRPr="007271BC">
        <w:rPr>
          <w:rtl/>
        </w:rPr>
        <w:t>929</w:t>
      </w:r>
      <w:r w:rsidRPr="004325D8">
        <w:rPr>
          <w:rStyle w:val="libBold2Char"/>
          <w:rtl/>
        </w:rPr>
        <w:t xml:space="preserve"> / 8.</w:t>
      </w:r>
      <w:r w:rsidRPr="00132E65">
        <w:rPr>
          <w:rtl/>
          <w:lang w:bidi="fa-IR"/>
        </w:rPr>
        <w:t xml:space="preserve"> عَلِيُّ بْنُ إِبْرَاهِيمَ ، عَنْ أَبِيهِ ، عَنْ مُحَمَّدٍ </w:t>
      </w:r>
      <w:r w:rsidRPr="00F543F1">
        <w:rPr>
          <w:rStyle w:val="libFootnotenumChar"/>
          <w:rtl/>
        </w:rPr>
        <w:t>(17)</w:t>
      </w:r>
      <w:r w:rsidRPr="00132E65">
        <w:rPr>
          <w:rtl/>
          <w:lang w:bidi="fa-IR"/>
        </w:rPr>
        <w:t xml:space="preserve"> ، عَنْ </w:t>
      </w:r>
      <w:r w:rsidRPr="00F543F1">
        <w:rPr>
          <w:rStyle w:val="libFootnotenumChar"/>
          <w:rtl/>
        </w:rPr>
        <w:t>(18)</w:t>
      </w:r>
      <w:r w:rsidRPr="00132E65">
        <w:rPr>
          <w:rtl/>
          <w:lang w:bidi="fa-IR"/>
        </w:rPr>
        <w:t xml:space="preserve"> مُحَمَّدِ بْنِ فُلَانٍ الْوَاقِفِيِّ </w:t>
      </w:r>
      <w:r w:rsidRPr="00F543F1">
        <w:rPr>
          <w:rStyle w:val="libFootnotenumChar"/>
          <w:rtl/>
        </w:rPr>
        <w:t>(19)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w:t>
      </w:r>
      <w:r w:rsidRPr="00583EBA">
        <w:rPr>
          <w:rtl/>
        </w:rPr>
        <w:t>والوافي</w:t>
      </w:r>
      <w:r w:rsidRPr="00132E65">
        <w:rPr>
          <w:rtl/>
        </w:rPr>
        <w:t xml:space="preserve"> والإرشاد. وفي المطبوع : « وقد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 ب ، ف » والإرشاد : « منهم »</w:t>
            </w:r>
            <w:r>
              <w:rPr>
                <w:rtl/>
              </w:rPr>
              <w:t>.</w:t>
            </w:r>
          </w:p>
        </w:tc>
        <w:tc>
          <w:tcPr>
            <w:tcW w:w="4006" w:type="dxa"/>
          </w:tcPr>
          <w:p w:rsidR="000C39D1" w:rsidRDefault="000C39D1" w:rsidP="00B53873">
            <w:pPr>
              <w:pStyle w:val="libFootnote0"/>
              <w:rPr>
                <w:rtl/>
              </w:rPr>
            </w:pPr>
            <w:r>
              <w:rPr>
                <w:rtl/>
              </w:rPr>
              <w:t>(3).</w:t>
            </w:r>
            <w:r w:rsidRPr="00132E65">
              <w:rPr>
                <w:rtl/>
              </w:rPr>
              <w:t xml:space="preserve"> في « ب » : « إليهم »</w:t>
            </w:r>
            <w:r>
              <w:rPr>
                <w:rtl/>
              </w:rPr>
              <w:t>.</w:t>
            </w:r>
          </w:p>
        </w:tc>
      </w:tr>
      <w:tr w:rsidR="000C39D1" w:rsidTr="00B53873">
        <w:tc>
          <w:tcPr>
            <w:tcW w:w="4006" w:type="dxa"/>
          </w:tcPr>
          <w:p w:rsidR="000C39D1" w:rsidRDefault="000C39D1" w:rsidP="00B53873">
            <w:pPr>
              <w:pStyle w:val="libFootnote0"/>
              <w:rPr>
                <w:rtl/>
              </w:rPr>
            </w:pPr>
            <w:r>
              <w:rPr>
                <w:rtl/>
              </w:rPr>
              <w:t>(4).</w:t>
            </w:r>
            <w:r w:rsidRPr="00132E65">
              <w:rPr>
                <w:rtl/>
              </w:rPr>
              <w:t xml:space="preserve"> في الإرشاد : « بالكتمان »</w:t>
            </w:r>
            <w:r>
              <w:rPr>
                <w:rFonts w:hint="cs"/>
                <w:rtl/>
              </w:rPr>
              <w:t>.</w:t>
            </w:r>
          </w:p>
        </w:tc>
        <w:tc>
          <w:tcPr>
            <w:tcW w:w="4006" w:type="dxa"/>
          </w:tcPr>
          <w:p w:rsidR="000C39D1" w:rsidRDefault="000C39D1" w:rsidP="00B53873">
            <w:pPr>
              <w:pStyle w:val="libFootnote0"/>
              <w:rPr>
                <w:rtl/>
              </w:rPr>
            </w:pPr>
            <w:r>
              <w:rPr>
                <w:rtl/>
              </w:rPr>
              <w:t>(5).</w:t>
            </w:r>
            <w:r w:rsidRPr="00132E65">
              <w:rPr>
                <w:rtl/>
              </w:rPr>
              <w:t xml:space="preserve"> في « بف » : « فإذا »</w:t>
            </w:r>
            <w:r>
              <w:rPr>
                <w:rtl/>
              </w:rPr>
              <w:t>.</w:t>
            </w:r>
          </w:p>
        </w:tc>
      </w:tr>
      <w:tr w:rsidR="000C39D1" w:rsidTr="00B53873">
        <w:tc>
          <w:tcPr>
            <w:tcW w:w="4006" w:type="dxa"/>
          </w:tcPr>
          <w:p w:rsidR="000C39D1" w:rsidRDefault="000C39D1" w:rsidP="00B53873">
            <w:pPr>
              <w:pStyle w:val="libFootnote0"/>
              <w:rPr>
                <w:rtl/>
              </w:rPr>
            </w:pPr>
            <w:r>
              <w:rPr>
                <w:rtl/>
              </w:rPr>
              <w:t>(6).</w:t>
            </w:r>
            <w:r w:rsidRPr="00132E65">
              <w:rPr>
                <w:rtl/>
              </w:rPr>
              <w:t xml:space="preserve"> في الإرشاد : « أذاع »</w:t>
            </w:r>
            <w:r>
              <w:rPr>
                <w:rtl/>
              </w:rPr>
              <w:t>.</w:t>
            </w:r>
          </w:p>
        </w:tc>
        <w:tc>
          <w:tcPr>
            <w:tcW w:w="4006" w:type="dxa"/>
          </w:tcPr>
          <w:p w:rsidR="000C39D1" w:rsidRDefault="000C39D1" w:rsidP="00B53873">
            <w:pPr>
              <w:pStyle w:val="libFootnote0"/>
              <w:rPr>
                <w:rtl/>
              </w:rPr>
            </w:pPr>
            <w:r>
              <w:rPr>
                <w:rtl/>
              </w:rPr>
              <w:t>(7).</w:t>
            </w:r>
            <w:r w:rsidRPr="00132E65">
              <w:rPr>
                <w:rtl/>
              </w:rPr>
              <w:t xml:space="preserve"> في </w:t>
            </w:r>
            <w:r w:rsidRPr="00583EBA">
              <w:rPr>
                <w:rtl/>
              </w:rPr>
              <w:t>الوافي</w:t>
            </w:r>
            <w:r w:rsidRPr="00132E65">
              <w:rPr>
                <w:rtl/>
              </w:rPr>
              <w:t xml:space="preserve"> : « ماوراك »</w:t>
            </w:r>
            <w:r>
              <w:rPr>
                <w:rtl/>
              </w:rPr>
              <w:t>.</w:t>
            </w:r>
          </w:p>
        </w:tc>
      </w:tr>
      <w:tr w:rsidR="000C39D1" w:rsidTr="00B53873">
        <w:tc>
          <w:tcPr>
            <w:tcW w:w="4006" w:type="dxa"/>
          </w:tcPr>
          <w:p w:rsidR="000C39D1" w:rsidRDefault="000C39D1" w:rsidP="00B53873">
            <w:pPr>
              <w:pStyle w:val="libFootnote0"/>
              <w:rPr>
                <w:rtl/>
              </w:rPr>
            </w:pPr>
            <w:r>
              <w:rPr>
                <w:rtl/>
              </w:rPr>
              <w:t>(8).</w:t>
            </w:r>
            <w:r w:rsidRPr="00132E65">
              <w:rPr>
                <w:rtl/>
              </w:rPr>
              <w:t xml:space="preserve"> في « ف » والإرشاد : « وحدّثته »</w:t>
            </w:r>
            <w:r>
              <w:rPr>
                <w:rtl/>
              </w:rPr>
              <w:t>.</w:t>
            </w:r>
          </w:p>
        </w:tc>
        <w:tc>
          <w:tcPr>
            <w:tcW w:w="4006" w:type="dxa"/>
          </w:tcPr>
          <w:p w:rsidR="000C39D1" w:rsidRDefault="000C39D1" w:rsidP="00B53873">
            <w:pPr>
              <w:pStyle w:val="libFootnote0"/>
              <w:rPr>
                <w:rtl/>
              </w:rPr>
            </w:pPr>
            <w:r>
              <w:rPr>
                <w:rtl/>
              </w:rPr>
              <w:t>(9).</w:t>
            </w:r>
            <w:r w:rsidRPr="00132E65">
              <w:rPr>
                <w:rtl/>
              </w:rPr>
              <w:t xml:space="preserve"> في « ج » </w:t>
            </w:r>
            <w:r>
              <w:rPr>
                <w:rtl/>
              </w:rPr>
              <w:t>: - «قال</w:t>
            </w:r>
            <w:r w:rsidRPr="00132E65">
              <w:rPr>
                <w:rtl/>
              </w:rPr>
              <w:t>»</w:t>
            </w:r>
            <w:r>
              <w:rPr>
                <w:rtl/>
              </w:rPr>
              <w:t>.وفي «بف» : «ثمّ قال</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(10).</w:t>
            </w:r>
            <w:r w:rsidRPr="00132E65">
              <w:rPr>
                <w:rtl/>
              </w:rPr>
              <w:t xml:space="preserve"> في الإرشاد : « زرارة »</w:t>
            </w:r>
            <w:r>
              <w:rPr>
                <w:rtl/>
              </w:rPr>
              <w:t>.</w:t>
            </w:r>
          </w:p>
        </w:tc>
        <w:tc>
          <w:tcPr>
            <w:tcW w:w="4006" w:type="dxa"/>
          </w:tcPr>
          <w:p w:rsidR="000C39D1" w:rsidRDefault="000C39D1" w:rsidP="00B53873">
            <w:pPr>
              <w:pStyle w:val="libFootnote0"/>
              <w:rPr>
                <w:rtl/>
              </w:rPr>
            </w:pPr>
            <w:r>
              <w:rPr>
                <w:rtl/>
              </w:rPr>
              <w:t>(11).</w:t>
            </w:r>
            <w:r w:rsidRPr="00132E65">
              <w:rPr>
                <w:rtl/>
              </w:rPr>
              <w:t xml:space="preserve"> في « ف » : « سألاه »</w:t>
            </w:r>
            <w:r>
              <w:rPr>
                <w:rtl/>
              </w:rPr>
              <w:t>.</w:t>
            </w:r>
          </w:p>
        </w:tc>
      </w:tr>
      <w:tr w:rsidR="000C39D1" w:rsidTr="00B53873">
        <w:tc>
          <w:tcPr>
            <w:tcW w:w="4006" w:type="dxa"/>
          </w:tcPr>
          <w:p w:rsidR="000C39D1" w:rsidRDefault="000C39D1" w:rsidP="00B53873">
            <w:pPr>
              <w:pStyle w:val="libFootnote0"/>
              <w:rPr>
                <w:rtl/>
              </w:rPr>
            </w:pPr>
            <w:r>
              <w:rPr>
                <w:rtl/>
              </w:rPr>
              <w:t>(12).</w:t>
            </w:r>
            <w:r w:rsidRPr="00132E65">
              <w:rPr>
                <w:rtl/>
              </w:rPr>
              <w:t xml:space="preserve"> في « ب ، بح » : « وكلّ »</w:t>
            </w:r>
            <w:r>
              <w:rPr>
                <w:rtl/>
              </w:rPr>
              <w:t>.</w:t>
            </w:r>
          </w:p>
        </w:tc>
        <w:tc>
          <w:tcPr>
            <w:tcW w:w="4006" w:type="dxa"/>
          </w:tcPr>
          <w:p w:rsidR="000C39D1" w:rsidRDefault="000C39D1" w:rsidP="00B53873">
            <w:pPr>
              <w:pStyle w:val="libFootnote0"/>
              <w:rPr>
                <w:rtl/>
              </w:rPr>
            </w:pPr>
            <w:r>
              <w:rPr>
                <w:rtl/>
              </w:rPr>
              <w:t>(13)</w:t>
            </w:r>
            <w:r>
              <w:rPr>
                <w:rFonts w:hint="cs"/>
                <w:rtl/>
              </w:rPr>
              <w:t>.</w:t>
            </w:r>
            <w:r w:rsidRPr="00132E65">
              <w:rPr>
                <w:rtl/>
              </w:rPr>
              <w:t xml:space="preserve"> في </w:t>
            </w:r>
            <w:r w:rsidRPr="009D1ACE">
              <w:rPr>
                <w:rStyle w:val="libFootnoteBoldChar"/>
                <w:rtl/>
              </w:rPr>
              <w:t>الوافي</w:t>
            </w:r>
            <w:r w:rsidRPr="00132E65">
              <w:rPr>
                <w:rtl/>
              </w:rPr>
              <w:t xml:space="preserve"> : « يعني عمّار بن موسى الساباطي »</w:t>
            </w:r>
            <w:r>
              <w:rPr>
                <w:rtl/>
              </w:rPr>
              <w:t>.</w:t>
            </w:r>
          </w:p>
        </w:tc>
      </w:tr>
      <w:tr w:rsidR="000C39D1" w:rsidTr="00B53873">
        <w:tc>
          <w:tcPr>
            <w:tcW w:w="4006" w:type="dxa"/>
          </w:tcPr>
          <w:p w:rsidR="000C39D1" w:rsidRDefault="000C39D1" w:rsidP="00B53873">
            <w:pPr>
              <w:pStyle w:val="libFootnote0"/>
              <w:rPr>
                <w:rtl/>
              </w:rPr>
            </w:pPr>
            <w:r>
              <w:rPr>
                <w:rtl/>
              </w:rPr>
              <w:t>(14)</w:t>
            </w:r>
            <w:r>
              <w:rPr>
                <w:rFonts w:hint="cs"/>
                <w:rtl/>
              </w:rPr>
              <w:t>.</w:t>
            </w:r>
            <w:r w:rsidRPr="00132E65">
              <w:rPr>
                <w:rtl/>
              </w:rPr>
              <w:t xml:space="preserve"> في « ج » :</w:t>
            </w:r>
            <w:r>
              <w:rPr>
                <w:rtl/>
              </w:rPr>
              <w:t xml:space="preserve"> + </w:t>
            </w:r>
            <w:r w:rsidRPr="00132E65">
              <w:rPr>
                <w:rtl/>
              </w:rPr>
              <w:t>« بن جعفر »</w:t>
            </w:r>
            <w:r>
              <w:rPr>
                <w:rtl/>
              </w:rPr>
              <w:t>.</w:t>
            </w:r>
          </w:p>
        </w:tc>
        <w:tc>
          <w:tcPr>
            <w:tcW w:w="4006" w:type="dxa"/>
          </w:tcPr>
          <w:p w:rsidR="000C39D1" w:rsidRDefault="000C39D1" w:rsidP="00B53873">
            <w:pPr>
              <w:pStyle w:val="libFootnote0"/>
              <w:rPr>
                <w:rtl/>
              </w:rPr>
            </w:pPr>
            <w:r>
              <w:rPr>
                <w:rtl/>
              </w:rPr>
              <w:t>(15)</w:t>
            </w:r>
            <w:r>
              <w:rPr>
                <w:rFonts w:hint="cs"/>
                <w:rtl/>
              </w:rPr>
              <w:t>.</w:t>
            </w:r>
            <w:r>
              <w:rPr>
                <w:rtl/>
              </w:rPr>
              <w:t xml:space="preserve"> في «ب،ج»:«عليه</w:t>
            </w:r>
            <w:r w:rsidRPr="00132E65">
              <w:rPr>
                <w:rtl/>
              </w:rPr>
              <w:t>»</w:t>
            </w:r>
            <w:r>
              <w:rPr>
                <w:rtl/>
              </w:rPr>
              <w:t>.وفي حاشية«بر»</w:t>
            </w:r>
            <w:r w:rsidRPr="00132E65">
              <w:rPr>
                <w:rtl/>
              </w:rPr>
              <w:t>:</w:t>
            </w:r>
            <w:r>
              <w:rPr>
                <w:rtl/>
              </w:rPr>
              <w:t>+«أحد</w:t>
            </w:r>
            <w:r w:rsidRPr="00132E65">
              <w:rPr>
                <w:rtl/>
              </w:rPr>
              <w:t>»</w:t>
            </w:r>
            <w:r>
              <w:rPr>
                <w:rtl/>
              </w:rPr>
              <w:t>.</w:t>
            </w:r>
          </w:p>
        </w:tc>
      </w:tr>
    </w:tbl>
    <w:p w:rsidR="000C39D1" w:rsidRPr="00132E65" w:rsidRDefault="000C39D1" w:rsidP="000C39D1">
      <w:pPr>
        <w:pStyle w:val="libFootnote0"/>
        <w:rPr>
          <w:rtl/>
          <w:lang w:bidi="fa-IR"/>
        </w:rPr>
      </w:pPr>
      <w:r>
        <w:rPr>
          <w:rtl/>
        </w:rPr>
        <w:t>(16)</w:t>
      </w:r>
      <w:r>
        <w:rPr>
          <w:rFonts w:hint="cs"/>
          <w:rtl/>
        </w:rPr>
        <w:t>.</w:t>
      </w:r>
      <w:r w:rsidRPr="00132E65">
        <w:rPr>
          <w:rtl/>
        </w:rPr>
        <w:t xml:space="preserve"> </w:t>
      </w:r>
      <w:r w:rsidRPr="000577A7">
        <w:rPr>
          <w:rStyle w:val="libFootnoteBoldChar"/>
          <w:rtl/>
        </w:rPr>
        <w:t>الكافي</w:t>
      </w:r>
      <w:r w:rsidRPr="00132E65">
        <w:rPr>
          <w:rtl/>
        </w:rPr>
        <w:t xml:space="preserve"> ، كتاب الحجّة ، باب الا</w:t>
      </w:r>
      <w:r>
        <w:rPr>
          <w:rFonts w:hint="cs"/>
          <w:rtl/>
        </w:rPr>
        <w:t>ُ</w:t>
      </w:r>
      <w:r w:rsidRPr="00132E65">
        <w:rPr>
          <w:rtl/>
        </w:rPr>
        <w:t xml:space="preserve">مور التي توجب حجّة الإمام </w:t>
      </w:r>
      <w:r w:rsidRPr="00071CF9">
        <w:rPr>
          <w:rStyle w:val="libAlaemChar"/>
          <w:rtl/>
        </w:rPr>
        <w:t>عليه‌السلام</w:t>
      </w:r>
      <w:r w:rsidRPr="00132E65">
        <w:rPr>
          <w:rtl/>
        </w:rPr>
        <w:t xml:space="preserve"> ، ح 752 وفيه هذه القطعة : « إنّ الأمر في الكبير ما لم تكن فيه عاهة » ؛ </w:t>
      </w:r>
      <w:r w:rsidRPr="00583EBA">
        <w:rPr>
          <w:rStyle w:val="libFootnoteBoldChar"/>
          <w:rtl/>
        </w:rPr>
        <w:t>الإرشاد</w:t>
      </w:r>
      <w:r w:rsidRPr="00132E65">
        <w:rPr>
          <w:rtl/>
        </w:rPr>
        <w:t xml:space="preserve"> ، ج 2 ، ص 221 ، بسنده عن الكلين</w:t>
      </w:r>
      <w:r>
        <w:rPr>
          <w:rtl/>
        </w:rPr>
        <w:t>ي إلى قوله : « لا يدخل إليه إل</w:t>
      </w:r>
      <w:r>
        <w:rPr>
          <w:rFonts w:hint="cs"/>
          <w:rtl/>
        </w:rPr>
        <w:t>ّ</w:t>
      </w:r>
      <w:r>
        <w:rPr>
          <w:rtl/>
        </w:rPr>
        <w:t>ا</w:t>
      </w:r>
      <w:r>
        <w:rPr>
          <w:rFonts w:hint="cs"/>
          <w:rtl/>
        </w:rPr>
        <w:t xml:space="preserve"> </w:t>
      </w:r>
      <w:r w:rsidRPr="00132E65">
        <w:rPr>
          <w:rtl/>
        </w:rPr>
        <w:t>قليل من الناس »</w:t>
      </w:r>
      <w:r>
        <w:rPr>
          <w:rtl/>
        </w:rPr>
        <w:t>.</w:t>
      </w:r>
      <w:r w:rsidRPr="00132E65">
        <w:rPr>
          <w:rtl/>
        </w:rPr>
        <w:t xml:space="preserve"> </w:t>
      </w:r>
      <w:r w:rsidRPr="007271BC">
        <w:rPr>
          <w:rtl/>
        </w:rPr>
        <w:t>رجال الكشّي</w:t>
      </w:r>
      <w:r w:rsidRPr="00132E65">
        <w:rPr>
          <w:rtl/>
        </w:rPr>
        <w:t xml:space="preserve"> ، ص 282 ، ح 502 بسنده عن أبي يحيى </w:t>
      </w:r>
      <w:r>
        <w:rPr>
          <w:rFonts w:hint="cs"/>
          <w:rtl/>
        </w:rPr>
        <w:t>.</w:t>
      </w:r>
      <w:r w:rsidRPr="009D1ACE">
        <w:rPr>
          <w:rStyle w:val="libFootnoteBoldChar"/>
          <w:rtl/>
        </w:rPr>
        <w:t>الوافي</w:t>
      </w:r>
      <w:r w:rsidRPr="00132E65">
        <w:rPr>
          <w:rtl/>
        </w:rPr>
        <w:t xml:space="preserve"> ، ج 2 ، ص 167 ، ح 621.</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(17)</w:t>
            </w:r>
            <w:r w:rsidRPr="00132E65">
              <w:rPr>
                <w:rtl/>
              </w:rPr>
              <w:t xml:space="preserve"> في « ه‍ » والوسائل </w:t>
            </w:r>
            <w:r>
              <w:rPr>
                <w:rtl/>
              </w:rPr>
              <w:t xml:space="preserve">: - </w:t>
            </w:r>
            <w:r w:rsidRPr="00132E65">
              <w:rPr>
                <w:rtl/>
              </w:rPr>
              <w:t>« عن محمّد »</w:t>
            </w:r>
            <w:r>
              <w:rPr>
                <w:rtl/>
              </w:rPr>
              <w:t>.</w:t>
            </w:r>
          </w:p>
        </w:tc>
        <w:tc>
          <w:tcPr>
            <w:tcW w:w="4006" w:type="dxa"/>
          </w:tcPr>
          <w:p w:rsidR="000C39D1" w:rsidRDefault="000C39D1" w:rsidP="00B53873">
            <w:pPr>
              <w:pStyle w:val="libFootnote0"/>
              <w:rPr>
                <w:rtl/>
              </w:rPr>
            </w:pPr>
            <w:r>
              <w:rPr>
                <w:rtl/>
              </w:rPr>
              <w:t>(18)</w:t>
            </w:r>
            <w:r w:rsidRPr="00132E65">
              <w:rPr>
                <w:rtl/>
              </w:rPr>
              <w:t xml:space="preserve"> في حاشية « بح » </w:t>
            </w:r>
            <w:r w:rsidRPr="00583EBA">
              <w:rPr>
                <w:rtl/>
              </w:rPr>
              <w:t>والوافي</w:t>
            </w:r>
            <w:r w:rsidRPr="00132E65">
              <w:rPr>
                <w:rtl/>
              </w:rPr>
              <w:t xml:space="preserve"> : « بن »</w:t>
            </w:r>
            <w:r>
              <w:rPr>
                <w:rtl/>
              </w:rPr>
              <w:t>.</w:t>
            </w:r>
          </w:p>
        </w:tc>
      </w:tr>
    </w:tbl>
    <w:p w:rsidR="000C39D1" w:rsidRDefault="000C39D1" w:rsidP="000C39D1">
      <w:pPr>
        <w:pStyle w:val="libFootnote0"/>
        <w:rPr>
          <w:rtl/>
          <w:lang w:bidi="fa-IR"/>
        </w:rPr>
      </w:pPr>
      <w:r>
        <w:rPr>
          <w:rtl/>
        </w:rPr>
        <w:t>(19)</w:t>
      </w:r>
      <w:r w:rsidRPr="00132E65">
        <w:rPr>
          <w:rtl/>
        </w:rPr>
        <w:t xml:space="preserve"> في « ج ، ض ، بس » وحاشية « ج ، بح ، بر ، بف » : « الرافقي »</w:t>
      </w:r>
      <w:r>
        <w:rPr>
          <w:rtl/>
        </w:rPr>
        <w:t>.</w:t>
      </w:r>
      <w:r>
        <w:rPr>
          <w:rFonts w:hint="cs"/>
          <w:rtl/>
        </w:rPr>
        <w:t xml:space="preserve"> </w:t>
      </w:r>
      <w:r w:rsidRPr="00132E65">
        <w:rPr>
          <w:rtl/>
        </w:rPr>
        <w:t>وفي حاشية «</w:t>
      </w:r>
      <w:r>
        <w:rPr>
          <w:rtl/>
        </w:rPr>
        <w:t xml:space="preserve"> و »</w:t>
      </w:r>
      <w:r w:rsidRPr="00132E65">
        <w:rPr>
          <w:rtl/>
        </w:rPr>
        <w:t xml:space="preserve"> : « الرافعي »</w:t>
      </w:r>
      <w:r>
        <w:rPr>
          <w:rtl/>
        </w:rPr>
        <w:t>.</w:t>
      </w:r>
      <w:r>
        <w:rPr>
          <w:rFonts w:hint="cs"/>
          <w:rtl/>
          <w:lang w:bidi="fa-IR"/>
        </w:rPr>
        <w:t xml:space="preserve"> </w:t>
      </w:r>
    </w:p>
    <w:p w:rsidR="000C39D1" w:rsidRPr="00E55206" w:rsidRDefault="000C39D1" w:rsidP="000C39D1">
      <w:pPr>
        <w:pStyle w:val="libFootnote0"/>
        <w:rPr>
          <w:rtl/>
        </w:rPr>
      </w:pPr>
      <w:r w:rsidRPr="005468B3">
        <w:rPr>
          <w:rtl/>
        </w:rPr>
        <w:t xml:space="preserve">والخبر رواه الصفّار في </w:t>
      </w:r>
      <w:r w:rsidRPr="00583EBA">
        <w:rPr>
          <w:rStyle w:val="libFootnoteBoldChar"/>
          <w:rtl/>
        </w:rPr>
        <w:t>بصائر الدرجات</w:t>
      </w:r>
      <w:r w:rsidRPr="00E55206">
        <w:rPr>
          <w:rtl/>
        </w:rPr>
        <w:t xml:space="preserve"> ، ص 254 ، ح 6 - باختلاف في الألفاظ - عن إبراهيم بن إسحاق عن </w:t>
      </w:r>
      <w:r w:rsidRPr="00E5520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قَالَ :</w:t>
      </w:r>
    </w:p>
    <w:p w:rsidR="000C39D1" w:rsidRPr="00132E65" w:rsidRDefault="000C39D1" w:rsidP="000C39D1">
      <w:pPr>
        <w:pStyle w:val="libNormal"/>
        <w:rPr>
          <w:rtl/>
          <w:lang w:bidi="fa-IR"/>
        </w:rPr>
      </w:pPr>
      <w:r w:rsidRPr="00132E65">
        <w:rPr>
          <w:rtl/>
          <w:lang w:bidi="fa-IR"/>
        </w:rPr>
        <w:t>كَانَ لِيَ ابْنُ عَمٍّ يُقَالُ لَهُ : الْحَسَنُ بْنُ عَبْدِ اللهِ ، و</w:t>
      </w:r>
      <w:r>
        <w:rPr>
          <w:rFonts w:hint="cs"/>
          <w:rtl/>
          <w:lang w:bidi="fa-IR"/>
        </w:rPr>
        <w:t xml:space="preserve">َ </w:t>
      </w:r>
      <w:r>
        <w:rPr>
          <w:rStyle w:val="libFootnotenumChar"/>
          <w:rtl/>
        </w:rPr>
        <w:t>(1)</w:t>
      </w:r>
      <w:r w:rsidRPr="00132E65">
        <w:rPr>
          <w:rtl/>
          <w:lang w:bidi="fa-IR"/>
        </w:rPr>
        <w:t xml:space="preserve"> كَانَ زَاهِداً ، وكَانَ مِنْ أَعْبَدِ أَهْلِ زَمَانِهِ ، و</w:t>
      </w:r>
      <w:r>
        <w:rPr>
          <w:rFonts w:hint="cs"/>
          <w:rtl/>
          <w:lang w:bidi="fa-IR"/>
        </w:rPr>
        <w:t>َ</w:t>
      </w:r>
      <w:r w:rsidRPr="00132E65">
        <w:rPr>
          <w:rtl/>
          <w:lang w:bidi="fa-IR"/>
        </w:rPr>
        <w:t>كَانَ يَتَّقِيهِ السُّلْطَانُ ؛ لِجِدِّهِ فِي الدِّينِ و</w:t>
      </w:r>
      <w:r>
        <w:rPr>
          <w:rFonts w:hint="cs"/>
          <w:rtl/>
          <w:lang w:bidi="fa-IR"/>
        </w:rPr>
        <w:t>َ</w:t>
      </w:r>
      <w:r w:rsidRPr="00132E65">
        <w:rPr>
          <w:rtl/>
          <w:lang w:bidi="fa-IR"/>
        </w:rPr>
        <w:t xml:space="preserve">اجْتِهَادِهِ </w:t>
      </w:r>
      <w:r>
        <w:rPr>
          <w:rStyle w:val="libFootnotenumChar"/>
          <w:rtl/>
        </w:rPr>
        <w:t>(2)</w:t>
      </w:r>
      <w:r w:rsidRPr="00132E65">
        <w:rPr>
          <w:rtl/>
          <w:lang w:bidi="fa-IR"/>
        </w:rPr>
        <w:t xml:space="preserve"> ، ورُبَّمَا </w:t>
      </w:r>
      <w:r>
        <w:rPr>
          <w:rStyle w:val="libFootnotenumChar"/>
          <w:rtl/>
        </w:rPr>
        <w:t>(3)</w:t>
      </w:r>
      <w:r w:rsidRPr="00132E65">
        <w:rPr>
          <w:rtl/>
          <w:lang w:bidi="fa-IR"/>
        </w:rPr>
        <w:t xml:space="preserve"> اسْتَقْبَلَ السُّلْطَانَ بِكَلَامٍ صَعْبٍ يَعِظُهُ ، ويَأْمُرُهُ </w:t>
      </w:r>
      <w:r>
        <w:rPr>
          <w:rStyle w:val="libFootnotenumChar"/>
          <w:rtl/>
        </w:rPr>
        <w:t>(4)</w:t>
      </w:r>
      <w:r w:rsidRPr="00132E65">
        <w:rPr>
          <w:rtl/>
          <w:lang w:bidi="fa-IR"/>
        </w:rPr>
        <w:t xml:space="preserve"> بِالْمَعْرُوفِ ، ويَنْهَاهُ عَنِ الْمُنْكَرِ ، وكَانَ السُّلْطَانُ يَحْتَمِلُهُ ؛ لِصَلَاحِهِ ، فَلَمْ </w:t>
      </w:r>
      <w:r>
        <w:rPr>
          <w:rStyle w:val="libFootnotenumChar"/>
          <w:rtl/>
        </w:rPr>
        <w:t>(5)</w:t>
      </w:r>
      <w:r w:rsidRPr="00132E65">
        <w:rPr>
          <w:rtl/>
          <w:lang w:bidi="fa-IR"/>
        </w:rPr>
        <w:t xml:space="preserve"> تَزَلْ هذِهِ حَالَتَهُ حَتّى كَانَ يَوْمٌ مِنَ الْأَيَّامِ إِذْ دَخَلَ عَلَيْهِ أَبُو الْحَسَنِ مُوسى </w:t>
      </w:r>
      <w:r w:rsidRPr="00071CF9">
        <w:rPr>
          <w:rStyle w:val="libAlaemChar"/>
          <w:rtl/>
        </w:rPr>
        <w:t>عليه‌السلام</w:t>
      </w:r>
      <w:r>
        <w:rPr>
          <w:rtl/>
          <w:lang w:bidi="fa-IR"/>
        </w:rPr>
        <w:t xml:space="preserve"> - </w:t>
      </w:r>
      <w:r w:rsidRPr="00132E65">
        <w:rPr>
          <w:rtl/>
          <w:lang w:bidi="fa-IR"/>
        </w:rPr>
        <w:t xml:space="preserve">وهُوَ فِي الْمَسْجِدِ </w:t>
      </w:r>
      <w:r>
        <w:rPr>
          <w:rStyle w:val="libFootnotenumChar"/>
          <w:rtl/>
        </w:rPr>
        <w:t>(6)</w:t>
      </w:r>
      <w:r>
        <w:rPr>
          <w:rtl/>
          <w:lang w:bidi="fa-IR"/>
        </w:rPr>
        <w:t xml:space="preserve"> - </w:t>
      </w:r>
      <w:r w:rsidRPr="00132E65">
        <w:rPr>
          <w:rtl/>
          <w:lang w:bidi="fa-IR"/>
        </w:rPr>
        <w:t xml:space="preserve">فَرَآهُ ، فَأَوْمَأَ إِلَيْهِ ، فَأَتَاهُ ، فَقَالَ لَهُ : « يَا أَبَا عَلِيٍّ ، مَا أَحَبَّ إِلَيَّ مَا أَنْتَ فِيهِ وأَسَرَّنِي </w:t>
      </w:r>
      <w:r>
        <w:rPr>
          <w:rStyle w:val="libFootnotenumChar"/>
          <w:rtl/>
        </w:rPr>
        <w:t>(7)</w:t>
      </w:r>
      <w:r>
        <w:rPr>
          <w:rtl/>
          <w:lang w:bidi="fa-IR"/>
        </w:rPr>
        <w:t xml:space="preserve"> ، إِل</w:t>
      </w:r>
      <w:r>
        <w:rPr>
          <w:rFonts w:hint="cs"/>
          <w:rtl/>
          <w:lang w:bidi="fa-IR"/>
        </w:rPr>
        <w:t>َّ</w:t>
      </w:r>
      <w:r>
        <w:rPr>
          <w:rtl/>
          <w:lang w:bidi="fa-IR"/>
        </w:rPr>
        <w:t>ا</w:t>
      </w:r>
      <w:r w:rsidRPr="00132E65">
        <w:rPr>
          <w:rtl/>
          <w:lang w:bidi="fa-IR"/>
        </w:rPr>
        <w:t xml:space="preserve"> أَنَّهُ لَيْسَتْ لَكَ مَعْرِفَةٌ ، فَاطْلُبِ الْمَعْرِفَةَ »</w:t>
      </w:r>
      <w:r>
        <w:rPr>
          <w:rtl/>
          <w:lang w:bidi="fa-IR"/>
        </w:rPr>
        <w:t>.</w:t>
      </w:r>
    </w:p>
    <w:p w:rsidR="000C39D1" w:rsidRPr="00132E65" w:rsidRDefault="000C39D1" w:rsidP="000C39D1">
      <w:pPr>
        <w:pStyle w:val="libNormal"/>
        <w:rPr>
          <w:rtl/>
          <w:lang w:bidi="fa-IR"/>
        </w:rPr>
      </w:pPr>
      <w:r w:rsidRPr="00132E65">
        <w:rPr>
          <w:rtl/>
          <w:lang w:bidi="fa-IR"/>
        </w:rPr>
        <w:t>قَالَ : جُعِلْتُ فِدَاكَ ، و</w:t>
      </w:r>
      <w:r>
        <w:rPr>
          <w:rFonts w:hint="cs"/>
          <w:rtl/>
          <w:lang w:bidi="fa-IR"/>
        </w:rPr>
        <w:t>َ</w:t>
      </w:r>
      <w:r w:rsidRPr="00132E65">
        <w:rPr>
          <w:rtl/>
          <w:lang w:bidi="fa-IR"/>
        </w:rPr>
        <w:t xml:space="preserve">مَا </w:t>
      </w:r>
      <w:r>
        <w:rPr>
          <w:rStyle w:val="libFootnotenumChar"/>
          <w:rtl/>
        </w:rPr>
        <w:t>(8)</w:t>
      </w:r>
      <w:r w:rsidRPr="00132E65">
        <w:rPr>
          <w:rtl/>
          <w:lang w:bidi="fa-IR"/>
        </w:rPr>
        <w:t xml:space="preserve"> الْمَعْرِفَةُ</w:t>
      </w:r>
      <w:r>
        <w:rPr>
          <w:rtl/>
          <w:lang w:bidi="fa-IR"/>
        </w:rPr>
        <w:t>؟</w:t>
      </w:r>
      <w:r w:rsidRPr="00132E65">
        <w:rPr>
          <w:rtl/>
          <w:lang w:bidi="fa-IR"/>
        </w:rPr>
        <w:t xml:space="preserve"> قَالَ </w:t>
      </w:r>
      <w:r>
        <w:rPr>
          <w:rStyle w:val="libFootnotenumChar"/>
          <w:rtl/>
        </w:rPr>
        <w:t>(9)</w:t>
      </w:r>
      <w:r w:rsidRPr="00132E65">
        <w:rPr>
          <w:rtl/>
          <w:lang w:bidi="fa-IR"/>
        </w:rPr>
        <w:t xml:space="preserve"> : « اذْهَبْ فَتَفَقَّهْ ، و</w:t>
      </w:r>
      <w:r>
        <w:rPr>
          <w:rFonts w:hint="cs"/>
          <w:rtl/>
          <w:lang w:bidi="fa-IR"/>
        </w:rPr>
        <w:t>َ</w:t>
      </w:r>
      <w:r w:rsidRPr="00132E65">
        <w:rPr>
          <w:rtl/>
          <w:lang w:bidi="fa-IR"/>
        </w:rPr>
        <w:t>اطْلُبِ الْحَدِيثَ »</w:t>
      </w:r>
      <w:r>
        <w:rPr>
          <w:rtl/>
          <w:lang w:bidi="fa-IR"/>
        </w:rPr>
        <w:t>.</w:t>
      </w:r>
      <w:r w:rsidRPr="00132E65">
        <w:rPr>
          <w:rtl/>
          <w:lang w:bidi="fa-IR"/>
        </w:rPr>
        <w:t xml:space="preserve"> قَالَ :</w:t>
      </w:r>
      <w:r>
        <w:rPr>
          <w:rFonts w:hint="cs"/>
          <w:rtl/>
          <w:lang w:bidi="fa-IR"/>
        </w:rPr>
        <w:t xml:space="preserve"> </w:t>
      </w:r>
      <w:r w:rsidRPr="00132E65">
        <w:rPr>
          <w:rtl/>
          <w:lang w:bidi="fa-IR"/>
        </w:rPr>
        <w:t>عَمَّنْ</w:t>
      </w:r>
      <w:r>
        <w:rPr>
          <w:rtl/>
          <w:lang w:bidi="fa-IR"/>
        </w:rPr>
        <w:t>؟</w:t>
      </w:r>
      <w:r w:rsidRPr="00132E65">
        <w:rPr>
          <w:rtl/>
          <w:lang w:bidi="fa-IR"/>
        </w:rPr>
        <w:t xml:space="preserve"> قَالَ : « عَنْ فُقَهَاءِ أَهْلِ الْمَدِينَةِ ، ثُمَّ اعْرِضْ عَلَيَّ </w:t>
      </w:r>
      <w:r>
        <w:rPr>
          <w:rStyle w:val="libFootnotenumChar"/>
          <w:rtl/>
        </w:rPr>
        <w:t>(10)</w:t>
      </w:r>
      <w:r w:rsidRPr="00132E65">
        <w:rPr>
          <w:rtl/>
          <w:lang w:bidi="fa-IR"/>
        </w:rPr>
        <w:t xml:space="preserve"> الْحَدِيثَ »</w:t>
      </w:r>
      <w:r>
        <w:rPr>
          <w:rtl/>
          <w:lang w:bidi="fa-IR"/>
        </w:rPr>
        <w:t>.</w:t>
      </w:r>
      <w:r w:rsidRPr="00132E65">
        <w:rPr>
          <w:rtl/>
          <w:lang w:bidi="fa-IR"/>
        </w:rPr>
        <w:t xml:space="preserve"> قَالَ : فَذَهَبَ ، فَكَتَبَ </w:t>
      </w:r>
      <w:r>
        <w:rPr>
          <w:rStyle w:val="libFootnotenumChar"/>
          <w:rtl/>
        </w:rPr>
        <w:t>(11)</w:t>
      </w:r>
      <w:r w:rsidRPr="00132E65">
        <w:rPr>
          <w:rtl/>
          <w:lang w:bidi="fa-IR"/>
        </w:rPr>
        <w:t xml:space="preserve"> ، ثُمَّ جَاءَهُ </w:t>
      </w:r>
      <w:r>
        <w:rPr>
          <w:rStyle w:val="libFootnotenumChar"/>
          <w:rtl/>
        </w:rPr>
        <w:t>(12)</w:t>
      </w:r>
      <w:r w:rsidRPr="00132E65">
        <w:rPr>
          <w:rtl/>
          <w:lang w:bidi="fa-IR"/>
        </w:rPr>
        <w:t xml:space="preserve"> ، فَقَرَأَهُ عَلَيْهِ فَأَسْقَطَهُ كُلَّهُ ، ثُمَّ قَالَ لَهُ : « اذْهَبْ فَاعْرِفِ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3B4E89" w:rsidRDefault="000C39D1" w:rsidP="000C39D1">
      <w:pPr>
        <w:pStyle w:val="libFootnote0"/>
        <w:rPr>
          <w:rtl/>
        </w:rPr>
      </w:pPr>
      <w:r>
        <w:rPr>
          <w:rFonts w:hint="cs"/>
          <w:rtl/>
        </w:rPr>
        <w:t>=</w:t>
      </w:r>
      <w:r w:rsidRPr="003B4E89">
        <w:rPr>
          <w:rtl/>
        </w:rPr>
        <w:t xml:space="preserve">محمّد بن فلان الرافعي ، وهكذا في </w:t>
      </w:r>
      <w:r w:rsidRPr="00EA445A">
        <w:rPr>
          <w:rStyle w:val="libFootnoteBoldChar"/>
          <w:rtl/>
        </w:rPr>
        <w:t>البحار</w:t>
      </w:r>
      <w:r w:rsidRPr="003B4E89">
        <w:rPr>
          <w:rtl/>
        </w:rPr>
        <w:t xml:space="preserve"> ، ج 48 ، ص 52 ، ح 48 نقلاً من </w:t>
      </w:r>
      <w:r w:rsidRPr="00EA445A">
        <w:rPr>
          <w:rStyle w:val="libFootnoteBoldChar"/>
          <w:rtl/>
        </w:rPr>
        <w:t>البصائر</w:t>
      </w:r>
      <w:r w:rsidRPr="003B4E89">
        <w:rPr>
          <w:rtl/>
        </w:rPr>
        <w:t xml:space="preserve"> ، لكن في ج 58 ، ص 185 ، ح 54 : « الواقفي ». وأورده المفيد أيضاً في </w:t>
      </w:r>
      <w:r w:rsidRPr="00EA445A">
        <w:rPr>
          <w:rStyle w:val="libFootnoteBoldChar"/>
          <w:rtl/>
        </w:rPr>
        <w:t>الإرشاد</w:t>
      </w:r>
      <w:r w:rsidRPr="003B4E89">
        <w:rPr>
          <w:rtl/>
        </w:rPr>
        <w:t xml:space="preserve"> ، ج 2 ، ص 223 ، بسنده عن محمّد بن يعقوب ، عن عليّ بن إبراهيم ، عن أبيه ، عن الرافعي ، كما ورد الخبر في </w:t>
      </w:r>
      <w:r w:rsidRPr="00EA445A">
        <w:rPr>
          <w:rStyle w:val="libFootnoteBoldChar"/>
          <w:rtl/>
        </w:rPr>
        <w:t>إعلام الورى</w:t>
      </w:r>
      <w:r w:rsidRPr="003B4E89">
        <w:rPr>
          <w:rtl/>
        </w:rPr>
        <w:t xml:space="preserve"> ، ص 301 ، عنه ( محمّد بن يعقوب ) عن عليّ بن إبراهيم ، عن أبيه ، عن الواقفي.</w:t>
      </w:r>
    </w:p>
    <w:p w:rsidR="000C39D1" w:rsidRPr="00132E65" w:rsidRDefault="000C39D1" w:rsidP="000C39D1">
      <w:pPr>
        <w:pStyle w:val="libFootnote0"/>
        <w:rPr>
          <w:rtl/>
          <w:lang w:bidi="fa-IR"/>
        </w:rPr>
      </w:pPr>
      <w:r w:rsidRPr="002A3884">
        <w:rPr>
          <w:rtl/>
        </w:rPr>
        <w:t>ثمّ</w:t>
      </w:r>
      <w:r w:rsidRPr="00E55206">
        <w:rPr>
          <w:rtl/>
        </w:rPr>
        <w:t xml:space="preserve"> إنّه لا يبعد كون الصواب في لقب محمّد بن فلان هو « الرافقي » وتصحيفه بالواقفي ، من باب تصحيف الغريب بالمعهود المأنوس عند الأذهان ، يؤيّد ذلك ورود « الوامغي » في بعض النسخ.</w:t>
      </w:r>
    </w:p>
    <w:p w:rsidR="000C39D1" w:rsidRDefault="000C39D1" w:rsidP="000C39D1">
      <w:pPr>
        <w:pStyle w:val="libFootnote0"/>
        <w:rPr>
          <w:rtl/>
        </w:rPr>
      </w:pPr>
      <w:r w:rsidRPr="0046781C">
        <w:rPr>
          <w:rtl/>
        </w:rPr>
        <w:t>هذا ، ويحتمل زيادة « عن محمّد » بعد « أبيه » في السند ، والله هو العالم.</w:t>
      </w:r>
      <w:r w:rsidRPr="00132E65">
        <w:rPr>
          <w:rtl/>
        </w:rPr>
        <w:t xml:space="preserve"> </w:t>
      </w:r>
    </w:p>
    <w:p w:rsidR="000C39D1" w:rsidRPr="00132E65" w:rsidRDefault="000C39D1" w:rsidP="000C39D1">
      <w:pPr>
        <w:pStyle w:val="libFootnote0"/>
        <w:rPr>
          <w:rtl/>
          <w:lang w:bidi="fa-IR"/>
        </w:rPr>
      </w:pPr>
      <w:r>
        <w:rPr>
          <w:rtl/>
        </w:rPr>
        <w:t>(1).</w:t>
      </w:r>
      <w:r w:rsidRPr="00132E65">
        <w:rPr>
          <w:rtl/>
        </w:rPr>
        <w:t xml:space="preserve"> هكذا في النسخ التي قوبلت و</w:t>
      </w:r>
      <w:r w:rsidRPr="009D1ACE">
        <w:rPr>
          <w:rStyle w:val="libFootnoteBoldChar"/>
          <w:rtl/>
        </w:rPr>
        <w:t>الوافي</w:t>
      </w:r>
      <w:r w:rsidRPr="00132E65">
        <w:rPr>
          <w:rtl/>
        </w:rPr>
        <w:t xml:space="preserve"> والإرشاد. وفي المطبوع </w:t>
      </w:r>
      <w:r>
        <w:rPr>
          <w:rtl/>
        </w:rPr>
        <w:t xml:space="preserve">: - </w:t>
      </w:r>
      <w:r w:rsidRPr="00132E65">
        <w:rPr>
          <w:rtl/>
        </w:rPr>
        <w:t xml:space="preserve">« </w:t>
      </w:r>
      <w:r>
        <w:rPr>
          <w:rtl/>
        </w:rPr>
        <w:t>و ».</w:t>
      </w:r>
      <w:r w:rsidRPr="00132E65">
        <w:rPr>
          <w:rtl/>
        </w:rPr>
        <w:t xml:space="preserve"> وفي الوسائل </w:t>
      </w:r>
      <w:r>
        <w:rPr>
          <w:rtl/>
        </w:rPr>
        <w:t xml:space="preserve">: - </w:t>
      </w:r>
      <w:r w:rsidRPr="00132E65">
        <w:rPr>
          <w:rtl/>
        </w:rPr>
        <w:t xml:space="preserve">« يقال له : الحسن بن‌عبد الله </w:t>
      </w:r>
      <w:r>
        <w:rPr>
          <w:rtl/>
        </w:rPr>
        <w:t>و ».</w:t>
      </w:r>
      <w:r>
        <w:rPr>
          <w:rFonts w:hint="cs"/>
          <w:rtl/>
        </w:rPr>
        <w:t xml:space="preserve">                                         </w:t>
      </w:r>
      <w:r w:rsidR="0033724D">
        <w:rPr>
          <w:rFonts w:hint="cs"/>
          <w:rtl/>
        </w:rPr>
        <w:t xml:space="preserve">        </w:t>
      </w:r>
      <w:r>
        <w:rPr>
          <w:rFonts w:hint="cs"/>
          <w:rtl/>
        </w:rPr>
        <w:t xml:space="preserve">     </w:t>
      </w:r>
      <w:r>
        <w:rPr>
          <w:rtl/>
        </w:rPr>
        <w:t>(2).</w:t>
      </w:r>
      <w:r w:rsidRPr="00132E65">
        <w:rPr>
          <w:rtl/>
        </w:rPr>
        <w:t xml:space="preserve"> في « ف » : « واجتهاده في الدين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بر » : « فربما »</w:t>
            </w:r>
            <w:r>
              <w:rPr>
                <w:rtl/>
              </w:rPr>
              <w:t>.</w:t>
            </w:r>
          </w:p>
        </w:tc>
        <w:tc>
          <w:tcPr>
            <w:tcW w:w="4006" w:type="dxa"/>
          </w:tcPr>
          <w:p w:rsidR="000C39D1" w:rsidRDefault="000C39D1" w:rsidP="00B53873">
            <w:pPr>
              <w:pStyle w:val="libFootnote0"/>
              <w:rPr>
                <w:rtl/>
              </w:rPr>
            </w:pPr>
            <w:r>
              <w:rPr>
                <w:rtl/>
              </w:rPr>
              <w:t>(4).</w:t>
            </w:r>
            <w:r w:rsidRPr="00132E65">
              <w:rPr>
                <w:rtl/>
              </w:rPr>
              <w:t xml:space="preserve"> في « ه‍ » والبصائر : « يأمر »</w:t>
            </w:r>
            <w:r>
              <w:rPr>
                <w:rtl/>
              </w:rPr>
              <w:t>.</w:t>
            </w:r>
          </w:p>
        </w:tc>
      </w:tr>
    </w:tbl>
    <w:p w:rsidR="000C39D1" w:rsidRPr="00132E65" w:rsidRDefault="000C39D1" w:rsidP="000C39D1">
      <w:pPr>
        <w:pStyle w:val="libFootnote0"/>
        <w:rPr>
          <w:rtl/>
          <w:lang w:bidi="fa-IR"/>
        </w:rPr>
      </w:pPr>
      <w:r>
        <w:rPr>
          <w:rtl/>
        </w:rPr>
        <w:t>(5).</w:t>
      </w:r>
      <w:r w:rsidRPr="00132E65">
        <w:rPr>
          <w:rtl/>
        </w:rPr>
        <w:t xml:space="preserve"> هكذا في النسخ التي قوبلت و</w:t>
      </w:r>
      <w:r w:rsidRPr="009D1ACE">
        <w:rPr>
          <w:rStyle w:val="libFootnoteBoldChar"/>
          <w:rtl/>
        </w:rPr>
        <w:t>الوافي</w:t>
      </w:r>
      <w:r w:rsidRPr="00132E65">
        <w:rPr>
          <w:rtl/>
        </w:rPr>
        <w:t>. وفي المطبوع : « ولم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بح » : « بالمسجد »</w:t>
            </w:r>
            <w:r>
              <w:rPr>
                <w:rtl/>
              </w:rPr>
              <w:t>.</w:t>
            </w:r>
          </w:p>
        </w:tc>
        <w:tc>
          <w:tcPr>
            <w:tcW w:w="4006" w:type="dxa"/>
          </w:tcPr>
          <w:p w:rsidR="000C39D1" w:rsidRDefault="000C39D1" w:rsidP="00B53873">
            <w:pPr>
              <w:pStyle w:val="libFootnote0"/>
              <w:rPr>
                <w:rtl/>
              </w:rPr>
            </w:pPr>
            <w:r>
              <w:rPr>
                <w:rtl/>
              </w:rPr>
              <w:t>(7).في حاشية «ب،ج،ه‍،بح،بر» والإرشاد:«أسرّني به</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(8).</w:t>
            </w:r>
            <w:r w:rsidRPr="00132E65">
              <w:rPr>
                <w:rtl/>
              </w:rPr>
              <w:t xml:space="preserve"> في « ض » : « فما »</w:t>
            </w:r>
            <w:r>
              <w:rPr>
                <w:rtl/>
              </w:rPr>
              <w:t>.</w:t>
            </w:r>
          </w:p>
        </w:tc>
        <w:tc>
          <w:tcPr>
            <w:tcW w:w="4006" w:type="dxa"/>
          </w:tcPr>
          <w:p w:rsidR="000C39D1" w:rsidRDefault="000C39D1" w:rsidP="00B53873">
            <w:pPr>
              <w:pStyle w:val="libFootnote0"/>
              <w:rPr>
                <w:rtl/>
              </w:rPr>
            </w:pPr>
            <w:r>
              <w:rPr>
                <w:rtl/>
              </w:rPr>
              <w:t>(9).</w:t>
            </w:r>
            <w:r w:rsidRPr="00132E65">
              <w:rPr>
                <w:rtl/>
              </w:rPr>
              <w:t xml:space="preserve"> في الوسائل : « فقال له أبو الحسن </w:t>
            </w:r>
            <w:r w:rsidRPr="00EA445A">
              <w:rPr>
                <w:rStyle w:val="libFootnoteAlaemChar"/>
                <w:rtl/>
              </w:rPr>
              <w:t>عليه‌السلام</w:t>
            </w:r>
            <w:r w:rsidRPr="00132E65">
              <w:rPr>
                <w:rtl/>
              </w:rPr>
              <w:t xml:space="preserve"> »</w:t>
            </w:r>
            <w:r>
              <w:rPr>
                <w:rtl/>
              </w:rPr>
              <w:t>.</w:t>
            </w:r>
          </w:p>
        </w:tc>
      </w:tr>
      <w:tr w:rsidR="000C39D1" w:rsidTr="00B53873">
        <w:tc>
          <w:tcPr>
            <w:tcW w:w="4006" w:type="dxa"/>
          </w:tcPr>
          <w:p w:rsidR="000C39D1" w:rsidRDefault="000C39D1" w:rsidP="00B53873">
            <w:pPr>
              <w:pStyle w:val="libFootnote0"/>
              <w:rPr>
                <w:rtl/>
              </w:rPr>
            </w:pPr>
            <w:r>
              <w:rPr>
                <w:rtl/>
              </w:rPr>
              <w:t>(10).</w:t>
            </w:r>
            <w:r w:rsidRPr="00132E65">
              <w:rPr>
                <w:rtl/>
              </w:rPr>
              <w:t xml:space="preserve"> في « ف » :</w:t>
            </w:r>
            <w:r>
              <w:rPr>
                <w:rtl/>
              </w:rPr>
              <w:t xml:space="preserve"> + </w:t>
            </w:r>
            <w:r w:rsidRPr="00132E65">
              <w:rPr>
                <w:rtl/>
              </w:rPr>
              <w:t>« يا أبا عليّ »</w:t>
            </w:r>
            <w:r>
              <w:rPr>
                <w:rtl/>
              </w:rPr>
              <w:t>.</w:t>
            </w:r>
          </w:p>
        </w:tc>
        <w:tc>
          <w:tcPr>
            <w:tcW w:w="4006" w:type="dxa"/>
          </w:tcPr>
          <w:p w:rsidR="000C39D1" w:rsidRDefault="000C39D1" w:rsidP="00B53873">
            <w:pPr>
              <w:pStyle w:val="libFootnote0"/>
              <w:rPr>
                <w:rtl/>
              </w:rPr>
            </w:pPr>
            <w:r>
              <w:rPr>
                <w:rtl/>
              </w:rPr>
              <w:t>(11).</w:t>
            </w:r>
            <w:r w:rsidRPr="00132E65">
              <w:rPr>
                <w:rtl/>
              </w:rPr>
              <w:t xml:space="preserve"> في « ب » : « وكتب »</w:t>
            </w:r>
            <w:r>
              <w:rPr>
                <w:rtl/>
              </w:rPr>
              <w:t>.</w:t>
            </w:r>
          </w:p>
        </w:tc>
      </w:tr>
    </w:tbl>
    <w:p w:rsidR="000C39D1" w:rsidRPr="00132E65" w:rsidRDefault="000C39D1" w:rsidP="000C39D1">
      <w:pPr>
        <w:pStyle w:val="libFootnote0"/>
        <w:rPr>
          <w:rtl/>
          <w:lang w:bidi="fa-IR"/>
        </w:rPr>
      </w:pPr>
      <w:r>
        <w:rPr>
          <w:rtl/>
        </w:rPr>
        <w:t>(12).</w:t>
      </w:r>
      <w:r w:rsidRPr="00132E65">
        <w:rPr>
          <w:rtl/>
        </w:rPr>
        <w:t xml:space="preserve"> في « ف » والإرشاد : « جاء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مرآة العقول</w:t>
      </w:r>
      <w:r w:rsidRPr="00132E65">
        <w:rPr>
          <w:rtl/>
        </w:rPr>
        <w:t xml:space="preserve"> : « واعرف »</w:t>
      </w:r>
      <w:r>
        <w:rPr>
          <w:rtl/>
        </w:rPr>
        <w:t>.</w:t>
      </w:r>
      <w:r w:rsidRPr="00132E65">
        <w:rPr>
          <w:rtl/>
        </w:rPr>
        <w:t xml:space="preserve"> وفي البصائر : « واطلب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الْمَعْرِفَةَ </w:t>
      </w:r>
      <w:r>
        <w:rPr>
          <w:rStyle w:val="libFootnotenumChar"/>
          <w:rtl/>
        </w:rPr>
        <w:t>(1)</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وَكَانَ الرَّجُلُ مَعْنِيّاً </w:t>
      </w:r>
      <w:r>
        <w:rPr>
          <w:rStyle w:val="libFootnotenumChar"/>
          <w:rtl/>
        </w:rPr>
        <w:t>(2)</w:t>
      </w:r>
      <w:r w:rsidRPr="00132E65">
        <w:rPr>
          <w:rtl/>
          <w:lang w:bidi="fa-IR"/>
        </w:rPr>
        <w:t xml:space="preserve"> بِدِينِهِ ، قَالَ </w:t>
      </w:r>
      <w:r>
        <w:rPr>
          <w:rStyle w:val="libFootnotenumChar"/>
          <w:rtl/>
        </w:rPr>
        <w:t>(3)</w:t>
      </w:r>
      <w:r w:rsidRPr="00132E65">
        <w:rPr>
          <w:rtl/>
          <w:lang w:bidi="fa-IR"/>
        </w:rPr>
        <w:t xml:space="preserve"> : فَلَمْ يَزَلْ يَتَرَصَّدُ أَبَا الْحَسَنِ </w:t>
      </w:r>
      <w:r w:rsidRPr="00071CF9">
        <w:rPr>
          <w:rStyle w:val="libAlaemChar"/>
          <w:rtl/>
        </w:rPr>
        <w:t>عليه‌السلام</w:t>
      </w:r>
      <w:r w:rsidRPr="00132E65">
        <w:rPr>
          <w:rtl/>
          <w:lang w:bidi="fa-IR"/>
        </w:rPr>
        <w:t xml:space="preserve"> حَتّى خَرَجَ إِلى ضَيْعَةٍ </w:t>
      </w:r>
      <w:r>
        <w:rPr>
          <w:rStyle w:val="libFootnotenumChar"/>
          <w:rtl/>
        </w:rPr>
        <w:t>(4)</w:t>
      </w:r>
      <w:r w:rsidRPr="00132E65">
        <w:rPr>
          <w:rtl/>
          <w:lang w:bidi="fa-IR"/>
        </w:rPr>
        <w:t xml:space="preserve"> لَهُ ، فَلَقِيَهُ فِي الطَّرِيقِ ، فَقَالَ لَهُ : جُعِلْتُ فِدَاكَ ، إِنِّي أَحْتَجُّ عَلَيْكَ بَيْنَ يَدَيِ اللهِ ، فَدُلَّنِي عَلَى الْمَعْرِفَةِ ، قَالَ : فَأَخْبَرَهُ بِأَمِيرِ الْمُؤْمِنِينَ </w:t>
      </w:r>
      <w:r w:rsidRPr="00071CF9">
        <w:rPr>
          <w:rStyle w:val="libAlaemChar"/>
          <w:rtl/>
        </w:rPr>
        <w:t>عليه‌السلام</w:t>
      </w:r>
      <w:r w:rsidRPr="00132E65">
        <w:rPr>
          <w:rtl/>
          <w:lang w:bidi="fa-IR"/>
        </w:rPr>
        <w:t xml:space="preserve"> ، ومَا كَانَ بَعْدَ رَسُولِ اللهِ </w:t>
      </w:r>
      <w:r w:rsidRPr="00EA445A">
        <w:rPr>
          <w:rStyle w:val="libAlaemChar"/>
          <w:rFonts w:eastAsiaTheme="minorHAnsi"/>
          <w:rtl/>
        </w:rPr>
        <w:t>صلى‌الله‌عليه‌وآله</w:t>
      </w:r>
      <w:r w:rsidRPr="00132E65">
        <w:rPr>
          <w:rtl/>
          <w:lang w:bidi="fa-IR"/>
        </w:rPr>
        <w:t xml:space="preserve"> ، وَأَخْبَرَهُ بِأَمْرِ الرَّجُلَيْنِ فَقَبِلَ مِنْهُ. ثُمَّ قَالَ لَهُ : فَمَنْ كَانَ </w:t>
      </w:r>
      <w:r>
        <w:rPr>
          <w:rStyle w:val="libFootnotenumChar"/>
          <w:rtl/>
        </w:rPr>
        <w:t>(5)</w:t>
      </w:r>
      <w:r w:rsidRPr="00132E65">
        <w:rPr>
          <w:rtl/>
          <w:lang w:bidi="fa-IR"/>
        </w:rPr>
        <w:t xml:space="preserve"> بَعْدَ أَمِيرِ الْمُؤْمِنِينَ </w:t>
      </w:r>
      <w:r w:rsidRPr="00071CF9">
        <w:rPr>
          <w:rStyle w:val="libAlaemChar"/>
          <w:rtl/>
        </w:rPr>
        <w:t>عليه‌السلام</w:t>
      </w:r>
      <w:r>
        <w:rPr>
          <w:rtl/>
          <w:lang w:bidi="fa-IR"/>
        </w:rPr>
        <w:t>؟</w:t>
      </w:r>
      <w:r w:rsidRPr="00132E65">
        <w:rPr>
          <w:rtl/>
          <w:lang w:bidi="fa-IR"/>
        </w:rPr>
        <w:t xml:space="preserve"> قَالَ :</w:t>
      </w:r>
      <w:r>
        <w:rPr>
          <w:rFonts w:hint="cs"/>
          <w:rtl/>
          <w:lang w:bidi="fa-IR"/>
        </w:rPr>
        <w:t xml:space="preserve"> </w:t>
      </w:r>
      <w:r w:rsidRPr="00132E65">
        <w:rPr>
          <w:rtl/>
          <w:lang w:bidi="fa-IR"/>
        </w:rPr>
        <w:t xml:space="preserve">« الْحَسَنُ ثُمَّ الْحُسَيْنُ </w:t>
      </w:r>
      <w:r w:rsidRPr="00071CF9">
        <w:rPr>
          <w:rStyle w:val="libAlaemChar"/>
          <w:rtl/>
        </w:rPr>
        <w:t>عليهما‌السلام</w:t>
      </w:r>
      <w:r w:rsidRPr="00132E65">
        <w:rPr>
          <w:rtl/>
          <w:lang w:bidi="fa-IR"/>
        </w:rPr>
        <w:t xml:space="preserve"> »</w:t>
      </w:r>
      <w:r>
        <w:rPr>
          <w:rtl/>
          <w:lang w:bidi="fa-IR"/>
        </w:rPr>
        <w:t>.</w:t>
      </w:r>
      <w:r w:rsidRPr="00132E65">
        <w:rPr>
          <w:rtl/>
          <w:lang w:bidi="fa-IR"/>
        </w:rPr>
        <w:t xml:space="preserve"> حَتَّى </w:t>
      </w:r>
      <w:r>
        <w:rPr>
          <w:rStyle w:val="libFootnotenumChar"/>
          <w:rtl/>
        </w:rPr>
        <w:t>(6)</w:t>
      </w:r>
      <w:r w:rsidRPr="00132E65">
        <w:rPr>
          <w:rtl/>
          <w:lang w:bidi="fa-IR"/>
        </w:rPr>
        <w:t xml:space="preserve"> انْتَهى إِلى نَفْسِهِ ، ثُمَّ سَكَتَ.</w:t>
      </w:r>
    </w:p>
    <w:p w:rsidR="000C39D1" w:rsidRPr="00132E65" w:rsidRDefault="000C39D1" w:rsidP="000C39D1">
      <w:pPr>
        <w:pStyle w:val="libNormal"/>
        <w:rPr>
          <w:rtl/>
          <w:lang w:bidi="fa-IR"/>
        </w:rPr>
      </w:pPr>
      <w:r w:rsidRPr="00132E65">
        <w:rPr>
          <w:rtl/>
          <w:lang w:bidi="fa-IR"/>
        </w:rPr>
        <w:t>قَالَ : فَقَالَ لَهُ : جُعِلْتُ فِدَاكَ ، فَمَنْ هُوَ الْيَوْمَ</w:t>
      </w:r>
      <w:r>
        <w:rPr>
          <w:rtl/>
          <w:lang w:bidi="fa-IR"/>
        </w:rPr>
        <w:t>؟</w:t>
      </w:r>
      <w:r w:rsidRPr="00132E65">
        <w:rPr>
          <w:rtl/>
          <w:lang w:bidi="fa-IR"/>
        </w:rPr>
        <w:t xml:space="preserve"> قَالَ : « إِنْ أَخْبَرْتُكَ ، تَقْبَلُ</w:t>
      </w:r>
      <w:r>
        <w:rPr>
          <w:rtl/>
          <w:lang w:bidi="fa-IR"/>
        </w:rPr>
        <w:t>؟</w:t>
      </w:r>
      <w:r w:rsidRPr="00132E65">
        <w:rPr>
          <w:rtl/>
          <w:lang w:bidi="fa-IR"/>
        </w:rPr>
        <w:t xml:space="preserve"> » قَالَ : بَلى جُعِلْتُ فِدَاكَ ، قَالَ : « أَنَا </w:t>
      </w:r>
      <w:r>
        <w:rPr>
          <w:rStyle w:val="libFootnotenumChar"/>
          <w:rtl/>
        </w:rPr>
        <w:t>(7)</w:t>
      </w:r>
      <w:r w:rsidRPr="00132E65">
        <w:rPr>
          <w:rtl/>
          <w:lang w:bidi="fa-IR"/>
        </w:rPr>
        <w:t xml:space="preserve"> هُوَ »</w:t>
      </w:r>
      <w:r>
        <w:rPr>
          <w:rtl/>
          <w:lang w:bidi="fa-IR"/>
        </w:rPr>
        <w:t>.</w:t>
      </w:r>
      <w:r w:rsidRPr="00132E65">
        <w:rPr>
          <w:rtl/>
          <w:lang w:bidi="fa-IR"/>
        </w:rPr>
        <w:t xml:space="preserve"> قَالَ : فَشَيْ‌ءٌ أَسْتَدِلُّ بِهِ</w:t>
      </w:r>
      <w:r>
        <w:rPr>
          <w:rtl/>
          <w:lang w:bidi="fa-IR"/>
        </w:rPr>
        <w:t>؟</w:t>
      </w:r>
      <w:r w:rsidRPr="00132E65">
        <w:rPr>
          <w:rtl/>
          <w:lang w:bidi="fa-IR"/>
        </w:rPr>
        <w:t xml:space="preserve"> قَالَ : « اذْهَبْ إِلى تِلْكَ الشَّجَرَةِ</w:t>
      </w:r>
      <w:r>
        <w:rPr>
          <w:rtl/>
          <w:lang w:bidi="fa-IR"/>
        </w:rPr>
        <w:t xml:space="preserve"> - </w:t>
      </w:r>
      <w:r w:rsidRPr="00132E65">
        <w:rPr>
          <w:rtl/>
          <w:lang w:bidi="fa-IR"/>
        </w:rPr>
        <w:t xml:space="preserve">وأَشَارَ </w:t>
      </w:r>
      <w:r>
        <w:rPr>
          <w:rStyle w:val="libFootnotenumChar"/>
          <w:rtl/>
        </w:rPr>
        <w:t>(8)</w:t>
      </w:r>
      <w:r w:rsidRPr="00132E65">
        <w:rPr>
          <w:rtl/>
          <w:lang w:bidi="fa-IR"/>
        </w:rPr>
        <w:t xml:space="preserve"> إِلى </w:t>
      </w:r>
      <w:r>
        <w:rPr>
          <w:rStyle w:val="libFootnotenumChar"/>
          <w:rtl/>
        </w:rPr>
        <w:t>(9)</w:t>
      </w:r>
      <w:r w:rsidRPr="00132E65">
        <w:rPr>
          <w:rtl/>
          <w:lang w:bidi="fa-IR"/>
        </w:rPr>
        <w:t xml:space="preserve"> أُمِّ غَيْلَانَ </w:t>
      </w:r>
      <w:r>
        <w:rPr>
          <w:rStyle w:val="libFootnotenumChar"/>
          <w:rtl/>
        </w:rPr>
        <w:t>(10)</w:t>
      </w:r>
      <w:r>
        <w:rPr>
          <w:rtl/>
          <w:lang w:bidi="fa-IR"/>
        </w:rPr>
        <w:t xml:space="preserve"> - </w:t>
      </w:r>
      <w:r w:rsidRPr="00132E65">
        <w:rPr>
          <w:rtl/>
          <w:lang w:bidi="fa-IR"/>
        </w:rPr>
        <w:t>فَقُلْ لَهَا : يَقُولُ لَكَ مُوسَى بْنُ جَعْفَرٍ : أَقْبِلِي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(11)</w:t>
      </w:r>
      <w:r w:rsidRPr="00132E65">
        <w:rPr>
          <w:rtl/>
          <w:lang w:bidi="fa-IR"/>
        </w:rPr>
        <w:t xml:space="preserve"> : فَأَتَيْتُهَا ، فَرَأَيْتُهَا واللهِ تَخُدُّ الْأَرْضَ </w:t>
      </w:r>
      <w:r>
        <w:rPr>
          <w:rStyle w:val="libFootnotenumChar"/>
          <w:rtl/>
        </w:rPr>
        <w:t>(12)</w:t>
      </w:r>
      <w:r w:rsidRPr="00132E65">
        <w:rPr>
          <w:rtl/>
          <w:lang w:bidi="fa-IR"/>
        </w:rPr>
        <w:t xml:space="preserve"> خَدّاً حَتّى وقَفَتْ </w:t>
      </w:r>
      <w:r w:rsidRPr="00F543F1">
        <w:rPr>
          <w:rStyle w:val="libFootnotenumChar"/>
          <w:rtl/>
        </w:rPr>
        <w:t>(13)</w:t>
      </w:r>
      <w:r w:rsidRPr="00132E65">
        <w:rPr>
          <w:rtl/>
          <w:lang w:bidi="fa-IR"/>
        </w:rPr>
        <w:t xml:space="preserve"> بَيْنَ يَدَيْهِ ، ثُمَّ‌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المعرفة »</w:t>
      </w:r>
      <w:r>
        <w:rPr>
          <w:rtl/>
        </w:rPr>
        <w:t>.</w:t>
      </w:r>
    </w:p>
    <w:p w:rsidR="000C39D1" w:rsidRPr="00132E65" w:rsidRDefault="000C39D1" w:rsidP="000C39D1">
      <w:pPr>
        <w:pStyle w:val="libFootnote0"/>
        <w:rPr>
          <w:rtl/>
          <w:lang w:bidi="fa-IR"/>
        </w:rPr>
      </w:pPr>
      <w:r>
        <w:rPr>
          <w:rtl/>
        </w:rPr>
        <w:t>(2).</w:t>
      </w:r>
      <w:r w:rsidRPr="00132E65">
        <w:rPr>
          <w:rtl/>
        </w:rPr>
        <w:t xml:space="preserve"> في البصائر : « معيّناً »</w:t>
      </w:r>
      <w:r>
        <w:rPr>
          <w:rtl/>
        </w:rPr>
        <w:t>.</w:t>
      </w:r>
      <w:r w:rsidRPr="00132E65">
        <w:rPr>
          <w:rtl/>
        </w:rPr>
        <w:t xml:space="preserve"> وقوله : « مَعْنيّاً بدينه » ، أي ذا عناية واهتمام به. راجع : </w:t>
      </w:r>
      <w:r w:rsidRPr="00EA445A">
        <w:rPr>
          <w:rStyle w:val="libFootnoteBoldChar"/>
          <w:rtl/>
        </w:rPr>
        <w:t>النهاية</w:t>
      </w:r>
      <w:r w:rsidR="0033724D">
        <w:rPr>
          <w:rtl/>
        </w:rPr>
        <w:t xml:space="preserve"> ، ج 3 ، ص 314 ( عنا</w:t>
      </w:r>
      <w:r w:rsidRPr="00132E65">
        <w:rPr>
          <w:rtl/>
        </w:rPr>
        <w:t>)</w:t>
      </w:r>
      <w:r>
        <w:rPr>
          <w:rtl/>
        </w:rPr>
        <w:t>.</w:t>
      </w:r>
    </w:p>
    <w:p w:rsidR="000C39D1" w:rsidRPr="00132E65" w:rsidRDefault="000C39D1" w:rsidP="000C39D1">
      <w:pPr>
        <w:pStyle w:val="libFootnote0"/>
        <w:rPr>
          <w:rtl/>
          <w:lang w:bidi="fa-IR"/>
        </w:rPr>
      </w:pPr>
      <w:r>
        <w:rPr>
          <w:rtl/>
        </w:rPr>
        <w:t>(3).</w:t>
      </w:r>
      <w:r w:rsidRPr="00132E65">
        <w:rPr>
          <w:rtl/>
        </w:rPr>
        <w:t xml:space="preserve"> هكذا في النسخ التي قوبلت </w:t>
      </w:r>
      <w:r w:rsidRPr="00EA445A">
        <w:rPr>
          <w:rtl/>
        </w:rPr>
        <w:t>والوافي</w:t>
      </w:r>
      <w:r w:rsidRPr="00132E65">
        <w:rPr>
          <w:rtl/>
        </w:rPr>
        <w:t xml:space="preserve"> والإرشاد. وفي المطبوع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 « الضيعة » : الأرض الم</w:t>
      </w:r>
      <w:r>
        <w:rPr>
          <w:rFonts w:hint="cs"/>
          <w:rtl/>
        </w:rPr>
        <w:t>ـُ</w:t>
      </w:r>
      <w:r w:rsidRPr="00132E65">
        <w:rPr>
          <w:rtl/>
        </w:rPr>
        <w:t xml:space="preserve">غِلَّة. والجمع : ضِيَع. </w:t>
      </w:r>
      <w:r w:rsidRPr="009D1ACE">
        <w:rPr>
          <w:rStyle w:val="libFootnoteBoldChar"/>
          <w:rtl/>
        </w:rPr>
        <w:t>لسان العرب</w:t>
      </w:r>
      <w:r w:rsidRPr="00132E65">
        <w:rPr>
          <w:rtl/>
        </w:rPr>
        <w:t xml:space="preserve"> ، ج 8 ، ص 230 ( ضيع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(5).</w:t>
            </w:r>
            <w:r w:rsidRPr="00132E65">
              <w:rPr>
                <w:rtl/>
              </w:rPr>
              <w:t xml:space="preserve"> في « ف » :</w:t>
            </w:r>
            <w:r>
              <w:rPr>
                <w:rtl/>
              </w:rPr>
              <w:t xml:space="preserve"> + </w:t>
            </w:r>
            <w:r w:rsidRPr="00132E65">
              <w:rPr>
                <w:rtl/>
              </w:rPr>
              <w:t>« منكم »</w:t>
            </w:r>
            <w:r>
              <w:rPr>
                <w:rtl/>
              </w:rPr>
              <w:t>.</w:t>
            </w:r>
          </w:p>
        </w:tc>
        <w:tc>
          <w:tcPr>
            <w:tcW w:w="4006" w:type="dxa"/>
          </w:tcPr>
          <w:p w:rsidR="000C39D1" w:rsidRDefault="000C39D1" w:rsidP="00B53873">
            <w:pPr>
              <w:pStyle w:val="libFootnote0"/>
              <w:rPr>
                <w:rtl/>
                <w:lang w:bidi="fa-IR"/>
              </w:rPr>
            </w:pPr>
            <w:r>
              <w:rPr>
                <w:rtl/>
              </w:rPr>
              <w:t>(6).</w:t>
            </w:r>
            <w:r w:rsidRPr="00132E65">
              <w:rPr>
                <w:rtl/>
              </w:rPr>
              <w:t xml:space="preserve"> في « ب » : « ثمّ »</w:t>
            </w:r>
            <w:r>
              <w:rPr>
                <w:rtl/>
              </w:rPr>
              <w:t>.</w:t>
            </w:r>
          </w:p>
        </w:tc>
      </w:tr>
    </w:tbl>
    <w:p w:rsidR="000C39D1" w:rsidRPr="00132E65" w:rsidRDefault="000C39D1" w:rsidP="000C39D1">
      <w:pPr>
        <w:pStyle w:val="libFootnote0"/>
        <w:rPr>
          <w:rtl/>
          <w:lang w:bidi="fa-IR"/>
        </w:rPr>
      </w:pPr>
      <w:r>
        <w:rPr>
          <w:rtl/>
        </w:rPr>
        <w:t>(7).</w:t>
      </w:r>
      <w:r w:rsidRPr="00132E65">
        <w:rPr>
          <w:rtl/>
        </w:rPr>
        <w:t xml:space="preserve"> في « ب » : « فأنا »</w:t>
      </w:r>
      <w:r>
        <w:rPr>
          <w:rtl/>
        </w:rPr>
        <w:t>.</w:t>
      </w:r>
    </w:p>
    <w:p w:rsidR="000C39D1" w:rsidRPr="00132E65" w:rsidRDefault="000C39D1" w:rsidP="000C39D1">
      <w:pPr>
        <w:pStyle w:val="libFootnote0"/>
        <w:rPr>
          <w:rtl/>
          <w:lang w:bidi="fa-IR"/>
        </w:rPr>
      </w:pPr>
      <w:r>
        <w:rPr>
          <w:rtl/>
        </w:rPr>
        <w:t>(8).</w:t>
      </w:r>
      <w:r w:rsidRPr="00132E65">
        <w:rPr>
          <w:rtl/>
        </w:rPr>
        <w:t xml:space="preserve"> هكذا في « ج ، ض ، ف ، ه‍ ، و، بح ، بر ، بس ، بف » </w:t>
      </w:r>
      <w:r w:rsidRPr="00EA445A">
        <w:rPr>
          <w:rtl/>
        </w:rPr>
        <w:t>والوافي</w:t>
      </w:r>
      <w:r w:rsidRPr="00132E65">
        <w:rPr>
          <w:rtl/>
        </w:rPr>
        <w:t xml:space="preserve"> والبصائر. وفي « ب » والمطبوع :</w:t>
      </w:r>
      <w:r>
        <w:rPr>
          <w:rtl/>
        </w:rPr>
        <w:t xml:space="preserve"> + «بيده</w:t>
      </w:r>
      <w:r w:rsidRPr="00132E65">
        <w:rPr>
          <w:rtl/>
        </w:rPr>
        <w:t>»</w:t>
      </w:r>
      <w:r>
        <w:rPr>
          <w:rtl/>
        </w:rPr>
        <w:t>.</w:t>
      </w:r>
    </w:p>
    <w:p w:rsidR="000C39D1" w:rsidRPr="00132E65" w:rsidRDefault="000C39D1" w:rsidP="000C39D1">
      <w:pPr>
        <w:pStyle w:val="libFootnote0"/>
        <w:rPr>
          <w:rtl/>
          <w:lang w:bidi="fa-IR"/>
        </w:rPr>
      </w:pPr>
      <w:r>
        <w:rPr>
          <w:rtl/>
        </w:rPr>
        <w:t>(9).</w:t>
      </w:r>
      <w:r w:rsidRPr="00132E65">
        <w:rPr>
          <w:rtl/>
        </w:rPr>
        <w:t xml:space="preserve"> في الإرشاد :</w:t>
      </w:r>
      <w:r>
        <w:rPr>
          <w:rtl/>
        </w:rPr>
        <w:t xml:space="preserve"> + </w:t>
      </w:r>
      <w:r w:rsidRPr="00132E65">
        <w:rPr>
          <w:rtl/>
        </w:rPr>
        <w:t>« بعض شجر »</w:t>
      </w:r>
      <w:r>
        <w:rPr>
          <w:rtl/>
        </w:rPr>
        <w:t>.</w:t>
      </w:r>
    </w:p>
    <w:p w:rsidR="000C39D1" w:rsidRPr="00132E65" w:rsidRDefault="000C39D1" w:rsidP="000C39D1">
      <w:pPr>
        <w:pStyle w:val="libFootnote0"/>
        <w:rPr>
          <w:rtl/>
          <w:lang w:bidi="fa-IR"/>
        </w:rPr>
      </w:pPr>
      <w:r>
        <w:rPr>
          <w:rtl/>
        </w:rPr>
        <w:t>(10).</w:t>
      </w:r>
      <w:r w:rsidRPr="00132E65">
        <w:rPr>
          <w:rtl/>
        </w:rPr>
        <w:t xml:space="preserve"> « ا</w:t>
      </w:r>
      <w:r>
        <w:rPr>
          <w:rFonts w:hint="cs"/>
          <w:rtl/>
        </w:rPr>
        <w:t>ُ</w:t>
      </w:r>
      <w:r w:rsidRPr="00132E65">
        <w:rPr>
          <w:rtl/>
        </w:rPr>
        <w:t xml:space="preserve">مُّ غَيْلانَ » : شجر السَمُر ، وهو من شجر الطَلْح. وقيل : الطَلْح : شجرة طويلة لها ظلّ يستظلّ بها الناس والإبل ، وورقها قليل ولها أغصان طِوال عِظام تناوي السماء من </w:t>
      </w:r>
      <w:r>
        <w:rPr>
          <w:rtl/>
        </w:rPr>
        <w:t>طولها ، ولها شَوْك كثير من سُل</w:t>
      </w:r>
      <w:r>
        <w:rPr>
          <w:rFonts w:hint="cs"/>
          <w:rtl/>
        </w:rPr>
        <w:t>ّ</w:t>
      </w:r>
      <w:r>
        <w:rPr>
          <w:rtl/>
        </w:rPr>
        <w:t>ا</w:t>
      </w:r>
      <w:r w:rsidRPr="00132E65">
        <w:rPr>
          <w:rtl/>
        </w:rPr>
        <w:t>ء النخل ، ولها ساق عظيمة لا تلتقي عليه يدا الرجل ، تأكل الإبل منها أكلاً كثيراً ، وهي ا</w:t>
      </w:r>
      <w:r>
        <w:rPr>
          <w:rFonts w:hint="cs"/>
          <w:rtl/>
        </w:rPr>
        <w:t>ُ</w:t>
      </w:r>
      <w:r w:rsidRPr="00132E65">
        <w:rPr>
          <w:rtl/>
        </w:rPr>
        <w:t xml:space="preserve">مّ غيلان ، تنبت في الجبل. وقيل غير ذلك. راجع : </w:t>
      </w:r>
      <w:r w:rsidRPr="009D1ACE">
        <w:rPr>
          <w:rStyle w:val="libFootnoteBoldChar"/>
          <w:rtl/>
        </w:rPr>
        <w:t>لسان العرب</w:t>
      </w:r>
      <w:r w:rsidRPr="00132E65">
        <w:rPr>
          <w:rtl/>
        </w:rPr>
        <w:t xml:space="preserve"> ، ج 2 ، ص 532 ( طلع ) ؛ وج 11 ، ص 513 ( غيل )</w:t>
      </w:r>
      <w:r>
        <w:rPr>
          <w:rtl/>
        </w:rPr>
        <w:t>.</w:t>
      </w:r>
    </w:p>
    <w:p w:rsidR="000C39D1" w:rsidRPr="00132E65" w:rsidRDefault="000C39D1" w:rsidP="000C39D1">
      <w:pPr>
        <w:pStyle w:val="libFootnote0"/>
        <w:rPr>
          <w:rtl/>
          <w:lang w:bidi="fa-IR"/>
        </w:rPr>
      </w:pPr>
      <w:r>
        <w:rPr>
          <w:rtl/>
        </w:rPr>
        <w:t>(11).</w:t>
      </w:r>
      <w:r w:rsidRPr="00132E65">
        <w:rPr>
          <w:rtl/>
        </w:rPr>
        <w:t xml:space="preserve"> في « بح » : « فقال »</w:t>
      </w:r>
      <w:r>
        <w:rPr>
          <w:rtl/>
        </w:rPr>
        <w:t>.</w:t>
      </w:r>
    </w:p>
    <w:p w:rsidR="000C39D1" w:rsidRPr="00132E65" w:rsidRDefault="000C39D1" w:rsidP="000C39D1">
      <w:pPr>
        <w:pStyle w:val="libFootnote0"/>
        <w:rPr>
          <w:rtl/>
          <w:lang w:bidi="fa-IR"/>
        </w:rPr>
      </w:pPr>
      <w:r>
        <w:rPr>
          <w:rtl/>
        </w:rPr>
        <w:t>(12).</w:t>
      </w:r>
      <w:r w:rsidRPr="00132E65">
        <w:rPr>
          <w:rtl/>
        </w:rPr>
        <w:t xml:space="preserve"> « تَخُدُّ الأرضَ » ، أي تشقّه وتحفره ؛ من الخدّ وهو جعلك ا</w:t>
      </w:r>
      <w:r>
        <w:rPr>
          <w:rFonts w:hint="cs"/>
          <w:rtl/>
        </w:rPr>
        <w:t>ُ</w:t>
      </w:r>
      <w:r w:rsidRPr="00132E65">
        <w:rPr>
          <w:rtl/>
        </w:rPr>
        <w:t xml:space="preserve">خدوداً في الأرض ، تحفره مستطيلاً. راجع : </w:t>
      </w:r>
      <w:r w:rsidRPr="009D1ACE">
        <w:rPr>
          <w:rStyle w:val="libFootnoteBoldChar"/>
          <w:rtl/>
        </w:rPr>
        <w:t>لسان العرب</w:t>
      </w:r>
      <w:r w:rsidRPr="00132E65">
        <w:rPr>
          <w:rtl/>
        </w:rPr>
        <w:t xml:space="preserve"> ، ج 3 ، ص 160 ( خدد )</w:t>
      </w:r>
      <w:r>
        <w:rPr>
          <w:rtl/>
        </w:rPr>
        <w:t>.</w:t>
      </w:r>
      <w:r>
        <w:rPr>
          <w:rFonts w:hint="cs"/>
          <w:rtl/>
        </w:rPr>
        <w:t xml:space="preserve">                         </w:t>
      </w:r>
      <w:r>
        <w:rPr>
          <w:rtl/>
        </w:rPr>
        <w:t>(13)</w:t>
      </w:r>
      <w:r w:rsidRPr="00132E65">
        <w:rPr>
          <w:rtl/>
        </w:rPr>
        <w:t xml:space="preserve"> في « بح » : « وقعت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أَشَارَ إِلَيْهَا </w:t>
      </w:r>
      <w:r>
        <w:rPr>
          <w:rStyle w:val="libFootnotenumChar"/>
          <w:rtl/>
        </w:rPr>
        <w:t>(1)</w:t>
      </w:r>
      <w:r w:rsidRPr="00132E65">
        <w:rPr>
          <w:rtl/>
          <w:lang w:bidi="fa-IR"/>
        </w:rPr>
        <w:t xml:space="preserve"> ، فَرَجَعَتْ ، قَالَ : فَأَقَرَّ بِهِ ثُمَّ لَزِمَ الصَّمْتَ والْعِبَادَةَ ، فَكَانَ </w:t>
      </w:r>
      <w:r>
        <w:rPr>
          <w:rStyle w:val="libFootnotenumChar"/>
          <w:rtl/>
        </w:rPr>
        <w:t>(2)</w:t>
      </w:r>
      <w:r w:rsidRPr="00132E65">
        <w:rPr>
          <w:rtl/>
          <w:lang w:bidi="fa-IR"/>
        </w:rPr>
        <w:t xml:space="preserve"> لَايَرَاهُ أَحَدٌ </w:t>
      </w:r>
      <w:r>
        <w:rPr>
          <w:rStyle w:val="libFootnotenumChar"/>
          <w:rtl/>
        </w:rPr>
        <w:t>(3)</w:t>
      </w:r>
      <w:r w:rsidRPr="00132E65">
        <w:rPr>
          <w:rtl/>
          <w:lang w:bidi="fa-IR"/>
        </w:rPr>
        <w:t xml:space="preserve"> يَتَكَلَّمُ </w:t>
      </w:r>
      <w:r>
        <w:rPr>
          <w:rStyle w:val="libFootnotenumChar"/>
          <w:rtl/>
        </w:rPr>
        <w:t>(4)</w:t>
      </w:r>
      <w:r w:rsidRPr="00132E65">
        <w:rPr>
          <w:rtl/>
          <w:lang w:bidi="fa-IR"/>
        </w:rPr>
        <w:t xml:space="preserve"> بَعْدَ ذلِكَ.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132E65">
        <w:rPr>
          <w:rtl/>
          <w:lang w:bidi="fa-IR"/>
        </w:rPr>
        <w:t>مُحَمَّدُ بْنُ يَحْيى وأَحْمَدُ بْنُ مُحَمَّدٍ ، عَنْ مُحَمَّدِ بْنِ الْحَسَنِ ، عَنْ إِبْرَاهِيمَ بْنِ هَاشِمٍ ، مِثْلَهُ.</w:t>
      </w:r>
    </w:p>
    <w:p w:rsidR="000C39D1" w:rsidRPr="00132E65" w:rsidRDefault="000C39D1" w:rsidP="000C39D1">
      <w:pPr>
        <w:pStyle w:val="libNormal"/>
        <w:rPr>
          <w:rtl/>
          <w:lang w:bidi="fa-IR"/>
        </w:rPr>
      </w:pPr>
      <w:r w:rsidRPr="002A3884">
        <w:rPr>
          <w:rtl/>
        </w:rPr>
        <w:t>930</w:t>
      </w:r>
      <w:r w:rsidRPr="004325D8">
        <w:rPr>
          <w:rStyle w:val="libBold2Char"/>
          <w:rtl/>
        </w:rPr>
        <w:t xml:space="preserve"> / 9.</w:t>
      </w:r>
      <w:r w:rsidRPr="00132E65">
        <w:rPr>
          <w:rtl/>
          <w:lang w:bidi="fa-IR"/>
        </w:rPr>
        <w:t xml:space="preserve"> مُحَمَّدُ بْنُ يَحْيى وأَحْمَدُ بْنُ مُحَمَّدٍ ، عَنْ مُحَمَّدِ بْنِ الْحَسَنِ ، عَنْ أَحْمَدَ بْنِ الْحُسَيْنِ ، عَنْ مُحَمَّدِ </w:t>
      </w:r>
      <w:r>
        <w:rPr>
          <w:rStyle w:val="libFootnotenumChar"/>
          <w:rtl/>
        </w:rPr>
        <w:t>(6)</w:t>
      </w:r>
      <w:r w:rsidRPr="00132E65">
        <w:rPr>
          <w:rtl/>
          <w:lang w:bidi="fa-IR"/>
        </w:rPr>
        <w:t xml:space="preserve"> بْنِ الطَّيِّبِ ، عَنْ عَبْدِ الْوَهَّابِ بْنِ مَنْصُورٍ ، عَنْ مُحَمَّدِ بْنِ </w:t>
      </w:r>
      <w:r>
        <w:rPr>
          <w:rStyle w:val="libFootnotenumChar"/>
          <w:rtl/>
        </w:rPr>
        <w:t>(7)</w:t>
      </w:r>
      <w:r w:rsidRPr="00132E65">
        <w:rPr>
          <w:rtl/>
          <w:lang w:bidi="fa-IR"/>
        </w:rPr>
        <w:t xml:space="preserve"> أَبِي الْعَلَاءِ ، قَالَ :</w:t>
      </w:r>
    </w:p>
    <w:p w:rsidR="000C39D1" w:rsidRPr="00132E65" w:rsidRDefault="000C39D1" w:rsidP="000C39D1">
      <w:pPr>
        <w:pStyle w:val="libNormal"/>
        <w:rPr>
          <w:rtl/>
          <w:lang w:bidi="fa-IR"/>
        </w:rPr>
      </w:pPr>
      <w:r w:rsidRPr="00132E65">
        <w:rPr>
          <w:rtl/>
          <w:lang w:bidi="fa-IR"/>
        </w:rPr>
        <w:t xml:space="preserve">سَمِعْتُ يَحْيَى بْنَ أَكْثَمَ قَاضِيَ سَامَرَّاءَ </w:t>
      </w:r>
      <w:r>
        <w:rPr>
          <w:rStyle w:val="libFootnotenumChar"/>
          <w:rtl/>
        </w:rPr>
        <w:t>(8)</w:t>
      </w:r>
      <w:r>
        <w:rPr>
          <w:rtl/>
          <w:lang w:bidi="fa-IR"/>
        </w:rPr>
        <w:t xml:space="preserve"> - </w:t>
      </w:r>
      <w:r w:rsidRPr="00132E65">
        <w:rPr>
          <w:rtl/>
          <w:lang w:bidi="fa-IR"/>
        </w:rPr>
        <w:t xml:space="preserve">بَعْدَ مَا جَهَدْتُ بِهِ </w:t>
      </w:r>
      <w:r>
        <w:rPr>
          <w:rStyle w:val="libFootnotenumChar"/>
          <w:rtl/>
        </w:rPr>
        <w:t>(9)</w:t>
      </w:r>
      <w:r w:rsidRPr="00132E65">
        <w:rPr>
          <w:rtl/>
          <w:lang w:bidi="fa-IR"/>
        </w:rPr>
        <w:t xml:space="preserve"> ونَاظَرْتُهُ وحَاوَرْتُهُ </w:t>
      </w:r>
      <w:r>
        <w:rPr>
          <w:rStyle w:val="libFootnotenumChar"/>
          <w:rtl/>
        </w:rPr>
        <w:t>(10)</w:t>
      </w:r>
      <w:r w:rsidRPr="00132E65">
        <w:rPr>
          <w:rtl/>
          <w:lang w:bidi="fa-IR"/>
        </w:rPr>
        <w:t xml:space="preserve"> وَو</w:t>
      </w:r>
      <w:r>
        <w:rPr>
          <w:rFonts w:hint="cs"/>
          <w:rtl/>
          <w:lang w:bidi="fa-IR"/>
        </w:rPr>
        <w:t>َ</w:t>
      </w:r>
      <w:r w:rsidRPr="00132E65">
        <w:rPr>
          <w:rtl/>
          <w:lang w:bidi="fa-IR"/>
        </w:rPr>
        <w:t xml:space="preserve">اصَلْتُهُ </w:t>
      </w:r>
      <w:r>
        <w:rPr>
          <w:rStyle w:val="libFootnotenumChar"/>
          <w:rtl/>
        </w:rPr>
        <w:t>(11)</w:t>
      </w:r>
      <w:r w:rsidRPr="00132E65">
        <w:rPr>
          <w:rtl/>
          <w:lang w:bidi="fa-IR"/>
        </w:rPr>
        <w:t xml:space="preserve"> وسَأَلْتُهُ </w:t>
      </w:r>
      <w:r>
        <w:rPr>
          <w:rStyle w:val="libFootnotenumChar"/>
          <w:rtl/>
        </w:rPr>
        <w:t>(12)</w:t>
      </w:r>
      <w:r w:rsidRPr="00132E65">
        <w:rPr>
          <w:rtl/>
          <w:lang w:bidi="fa-IR"/>
        </w:rPr>
        <w:t xml:space="preserve"> عَنْ عُلُومِ آلِ مُحَمَّدٍ</w:t>
      </w:r>
      <w:r>
        <w:rPr>
          <w:rtl/>
          <w:lang w:bidi="fa-IR"/>
        </w:rPr>
        <w:t xml:space="preserve"> - </w:t>
      </w:r>
      <w:r w:rsidRPr="00132E65">
        <w:rPr>
          <w:rtl/>
          <w:lang w:bidi="fa-IR"/>
        </w:rPr>
        <w:t xml:space="preserve">فَقَالَ : بَيْنَا </w:t>
      </w:r>
      <w:r w:rsidRPr="00F543F1">
        <w:rPr>
          <w:rStyle w:val="libFootnotenumChar"/>
          <w:rtl/>
        </w:rPr>
        <w:t>(13)</w:t>
      </w:r>
      <w:r w:rsidRPr="00132E65">
        <w:rPr>
          <w:rtl/>
          <w:lang w:bidi="fa-IR"/>
        </w:rPr>
        <w:t xml:space="preserve"> أَنَا ذَاتَ يَوْمٍ دَخَلْتُ أَطُوفُ بِقَبْرِ رَسُولِ اللهِ </w:t>
      </w:r>
      <w:r w:rsidRPr="0093484F">
        <w:rPr>
          <w:rStyle w:val="libAlaemChar"/>
          <w:rFonts w:eastAsiaTheme="minorHAnsi"/>
          <w:rtl/>
        </w:rPr>
        <w:t>صلى‌الله‌عليه‌وآله</w:t>
      </w:r>
      <w:r w:rsidRPr="00132E65">
        <w:rPr>
          <w:rtl/>
          <w:lang w:bidi="fa-IR"/>
        </w:rPr>
        <w:t xml:space="preserve"> ، فَرَأَيْتُ مُحَمَّدَ بْنَ عَلِيٍّ الرِّضَا </w:t>
      </w:r>
      <w:r w:rsidRPr="00071CF9">
        <w:rPr>
          <w:rStyle w:val="libAlaemChar"/>
          <w:rtl/>
        </w:rPr>
        <w:t>عليهما‌السلام</w:t>
      </w:r>
      <w:r w:rsidRPr="00132E65">
        <w:rPr>
          <w:rtl/>
          <w:lang w:bidi="fa-IR"/>
        </w:rPr>
        <w:t xml:space="preserve"> يَطُوفُ بِهِ ، فَنَاظَرْتُهُ فِي مَسَائِلَ عِنْدِي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بالرجوع »</w:t>
      </w:r>
      <w:r>
        <w:rPr>
          <w:rtl/>
        </w:rPr>
        <w:t>.</w:t>
      </w:r>
    </w:p>
    <w:p w:rsidR="000C39D1" w:rsidRPr="00132E65" w:rsidRDefault="000C39D1" w:rsidP="000C39D1">
      <w:pPr>
        <w:pStyle w:val="libFootnote0"/>
        <w:rPr>
          <w:rtl/>
          <w:lang w:bidi="fa-IR"/>
        </w:rPr>
      </w:pPr>
      <w:r>
        <w:rPr>
          <w:rtl/>
        </w:rPr>
        <w:t>(2).</w:t>
      </w:r>
      <w:r w:rsidRPr="00132E65">
        <w:rPr>
          <w:rtl/>
        </w:rPr>
        <w:t xml:space="preserve"> في « ف » : « وكان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بح » : « واحد »</w:t>
            </w:r>
            <w:r>
              <w:rPr>
                <w:rtl/>
              </w:rPr>
              <w:t>.</w:t>
            </w:r>
          </w:p>
        </w:tc>
        <w:tc>
          <w:tcPr>
            <w:tcW w:w="4006" w:type="dxa"/>
          </w:tcPr>
          <w:p w:rsidR="000C39D1" w:rsidRDefault="000C39D1" w:rsidP="00B53873">
            <w:pPr>
              <w:pStyle w:val="libFootnote0"/>
              <w:rPr>
                <w:rtl/>
              </w:rPr>
            </w:pPr>
            <w:r>
              <w:rPr>
                <w:rtl/>
              </w:rPr>
              <w:t>(4).</w:t>
            </w:r>
            <w:r w:rsidRPr="00132E65">
              <w:rPr>
                <w:rtl/>
              </w:rPr>
              <w:t xml:space="preserve"> في « ب » : « تكلّم »</w:t>
            </w:r>
            <w:r>
              <w:rPr>
                <w:rtl/>
              </w:rPr>
              <w:t>.</w:t>
            </w:r>
          </w:p>
        </w:tc>
      </w:tr>
    </w:tbl>
    <w:p w:rsidR="000C39D1" w:rsidRPr="00132E65" w:rsidRDefault="000C39D1" w:rsidP="000C39D1">
      <w:pPr>
        <w:pStyle w:val="libFootnote0"/>
        <w:rPr>
          <w:rtl/>
          <w:lang w:bidi="fa-IR"/>
        </w:rPr>
      </w:pPr>
      <w:r>
        <w:rPr>
          <w:rtl/>
        </w:rPr>
        <w:t>(5).</w:t>
      </w:r>
      <w:r w:rsidRPr="00132E65">
        <w:rPr>
          <w:rtl/>
        </w:rPr>
        <w:t xml:space="preserve"> </w:t>
      </w:r>
      <w:r w:rsidRPr="00404EF6">
        <w:rPr>
          <w:rStyle w:val="libFootnoteBoldChar"/>
          <w:rtl/>
        </w:rPr>
        <w:t>الإرشاد</w:t>
      </w:r>
      <w:r w:rsidRPr="00132E65">
        <w:rPr>
          <w:rtl/>
        </w:rPr>
        <w:t xml:space="preserve"> ، ج 2 ، ص 223 ، بسنده عن الكليني. </w:t>
      </w:r>
      <w:r w:rsidRPr="007A1104">
        <w:rPr>
          <w:rStyle w:val="libFootnoteBoldChar"/>
          <w:rtl/>
        </w:rPr>
        <w:t>بصائر الدرجات</w:t>
      </w:r>
      <w:r w:rsidRPr="00132E65">
        <w:rPr>
          <w:rtl/>
        </w:rPr>
        <w:t xml:space="preserve"> ، ص 254 ، ح 6 ، بسنده عن محمّد بن فلان الرافعي ، مع زيادة في آخره </w:t>
      </w:r>
      <w:r>
        <w:rPr>
          <w:rFonts w:hint="cs"/>
          <w:rtl/>
        </w:rPr>
        <w:t>.</w:t>
      </w:r>
      <w:r w:rsidRPr="009D1ACE">
        <w:rPr>
          <w:rStyle w:val="libFootnoteBoldChar"/>
          <w:rtl/>
        </w:rPr>
        <w:t>الوافي</w:t>
      </w:r>
      <w:r w:rsidRPr="00132E65">
        <w:rPr>
          <w:rtl/>
        </w:rPr>
        <w:t xml:space="preserve"> ، ج 2 ، ص 170 ، ح 622 ؛ </w:t>
      </w:r>
      <w:r w:rsidRPr="002A3884">
        <w:rPr>
          <w:rtl/>
        </w:rPr>
        <w:t>الوسائل</w:t>
      </w:r>
      <w:r w:rsidRPr="00132E65">
        <w:rPr>
          <w:rtl/>
        </w:rPr>
        <w:t xml:space="preserve"> ، ج 27 ، ص 86 ، ح 33278 ، وفيه من قوله : « اذهب فتفقّه » إلى قوله : « ثمّ اعرض عليّ الحديث »</w:t>
      </w:r>
      <w:r>
        <w:rPr>
          <w:rtl/>
        </w:rPr>
        <w:t>.</w:t>
      </w:r>
    </w:p>
    <w:p w:rsidR="000C39D1" w:rsidRPr="00132E65" w:rsidRDefault="000C39D1" w:rsidP="000C39D1">
      <w:pPr>
        <w:pStyle w:val="libFootnote0"/>
        <w:rPr>
          <w:rtl/>
          <w:lang w:bidi="fa-IR"/>
        </w:rPr>
      </w:pPr>
      <w:r>
        <w:rPr>
          <w:rtl/>
        </w:rPr>
        <w:t>(6).</w:t>
      </w:r>
      <w:r w:rsidRPr="00132E65">
        <w:rPr>
          <w:rtl/>
        </w:rPr>
        <w:t xml:space="preserve"> في « ج » وحاشية « بح ، بر ، بس ، بف » : « أحمد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بح ، بس » </w:t>
            </w:r>
            <w:r>
              <w:rPr>
                <w:rtl/>
              </w:rPr>
              <w:t xml:space="preserve">: - </w:t>
            </w:r>
            <w:r w:rsidRPr="00132E65">
              <w:rPr>
                <w:rtl/>
              </w:rPr>
              <w:t>« محمّد بن »</w:t>
            </w:r>
            <w:r>
              <w:rPr>
                <w:rtl/>
              </w:rPr>
              <w:t>.</w:t>
            </w:r>
          </w:p>
        </w:tc>
        <w:tc>
          <w:tcPr>
            <w:tcW w:w="4006" w:type="dxa"/>
          </w:tcPr>
          <w:p w:rsidR="000C39D1" w:rsidRDefault="000C39D1" w:rsidP="00B53873">
            <w:pPr>
              <w:pStyle w:val="libFootnote0"/>
              <w:rPr>
                <w:rtl/>
              </w:rPr>
            </w:pPr>
            <w:r>
              <w:rPr>
                <w:rtl/>
              </w:rPr>
              <w:t>(8).</w:t>
            </w:r>
            <w:r w:rsidRPr="00132E65">
              <w:rPr>
                <w:rtl/>
              </w:rPr>
              <w:t xml:space="preserve"> في « ج » وحاشية « بر » : « سرّ من رأى »</w:t>
            </w:r>
            <w:r>
              <w:rPr>
                <w:rtl/>
              </w:rPr>
              <w:t>.</w:t>
            </w:r>
          </w:p>
        </w:tc>
      </w:tr>
    </w:tbl>
    <w:p w:rsidR="000C39D1" w:rsidRPr="00132E65" w:rsidRDefault="000C39D1" w:rsidP="000C39D1">
      <w:pPr>
        <w:pStyle w:val="libFootnote0"/>
        <w:rPr>
          <w:rtl/>
          <w:lang w:bidi="fa-IR"/>
        </w:rPr>
      </w:pPr>
      <w:r>
        <w:rPr>
          <w:rtl/>
        </w:rPr>
        <w:t>(9).</w:t>
      </w:r>
      <w:r w:rsidRPr="00132E65">
        <w:rPr>
          <w:rtl/>
        </w:rPr>
        <w:t xml:space="preserve"> « جَهَدْتُ به » ، أي امتحنته. يقال : جهد بالرجل ، أي امتحنه عن الخير وغيره. والمازندراني قال : « الباء بمعنى مع ، والضمير راجع إلى يحيى. يقال : جهد الرجل في الشي‌ء ، إذا بذل الوسع والطاقة فيه وبالغ تفتيشه »</w:t>
      </w:r>
      <w:r>
        <w:rPr>
          <w:rtl/>
        </w:rPr>
        <w:t>.</w:t>
      </w:r>
      <w:r w:rsidRPr="00132E65">
        <w:rPr>
          <w:rtl/>
        </w:rPr>
        <w:t xml:space="preserve"> راجع : </w:t>
      </w:r>
      <w:r w:rsidRPr="009D1ACE">
        <w:rPr>
          <w:rStyle w:val="libFootnoteBoldChar"/>
          <w:rtl/>
        </w:rPr>
        <w:t>لسان العرب</w:t>
      </w:r>
      <w:r w:rsidRPr="00132E65">
        <w:rPr>
          <w:rtl/>
        </w:rPr>
        <w:t xml:space="preserve"> ، ج 3 ، ص 133 ( جهد ) ؛ </w:t>
      </w:r>
      <w:r w:rsidRPr="002A3884">
        <w:rPr>
          <w:rtl/>
        </w:rPr>
        <w:t>شرح المازندراني</w:t>
      </w:r>
      <w:r w:rsidRPr="00132E65">
        <w:rPr>
          <w:rtl/>
        </w:rPr>
        <w:t xml:space="preserve"> ، ج 6 ، ص 281.</w:t>
      </w:r>
    </w:p>
    <w:p w:rsidR="000C39D1" w:rsidRPr="00132E65" w:rsidRDefault="000C39D1" w:rsidP="000C39D1">
      <w:pPr>
        <w:pStyle w:val="libFootnote0"/>
        <w:rPr>
          <w:rtl/>
          <w:lang w:bidi="fa-IR"/>
        </w:rPr>
      </w:pPr>
      <w:r>
        <w:rPr>
          <w:rtl/>
        </w:rPr>
        <w:t>(10).</w:t>
      </w:r>
      <w:r w:rsidRPr="00132E65">
        <w:rPr>
          <w:rtl/>
        </w:rPr>
        <w:t xml:space="preserve"> « ال</w:t>
      </w:r>
      <w:r>
        <w:rPr>
          <w:rFonts w:hint="cs"/>
          <w:rtl/>
        </w:rPr>
        <w:t>ـ</w:t>
      </w:r>
      <w:r w:rsidRPr="00132E65">
        <w:rPr>
          <w:rtl/>
        </w:rPr>
        <w:t xml:space="preserve">مُحاوَرَة » : المجاوبة ومراجعة المنطق والكلام في المخاطبة. </w:t>
      </w:r>
      <w:r w:rsidRPr="009D1ACE">
        <w:rPr>
          <w:rStyle w:val="libFootnoteBoldChar"/>
          <w:rtl/>
        </w:rPr>
        <w:t>لسان العرب</w:t>
      </w:r>
      <w:r w:rsidRPr="00132E65">
        <w:rPr>
          <w:rtl/>
        </w:rPr>
        <w:t xml:space="preserve"> ، ج 4 ، ص 218 ( حور )</w:t>
      </w:r>
      <w:r>
        <w:rPr>
          <w:rtl/>
        </w:rPr>
        <w:t>.</w:t>
      </w:r>
    </w:p>
    <w:p w:rsidR="000C39D1" w:rsidRPr="00132E65" w:rsidRDefault="000C39D1" w:rsidP="000C39D1">
      <w:pPr>
        <w:pStyle w:val="libFootnote0"/>
        <w:rPr>
          <w:rtl/>
          <w:lang w:bidi="fa-IR"/>
        </w:rPr>
      </w:pPr>
      <w:r>
        <w:rPr>
          <w:rtl/>
        </w:rPr>
        <w:t>(11).</w:t>
      </w:r>
      <w:r w:rsidRPr="00132E65">
        <w:rPr>
          <w:rtl/>
        </w:rPr>
        <w:t xml:space="preserve"> في البحار ، ج 50 : « راسلته »</w:t>
      </w:r>
      <w:r>
        <w:rPr>
          <w:rtl/>
        </w:rPr>
        <w:t>.</w:t>
      </w:r>
      <w:r w:rsidRPr="00132E65">
        <w:rPr>
          <w:rtl/>
        </w:rPr>
        <w:t xml:space="preserve"> </w:t>
      </w:r>
      <w:r>
        <w:rPr>
          <w:rtl/>
        </w:rPr>
        <w:t>و «</w:t>
      </w:r>
      <w:r w:rsidRPr="00132E65">
        <w:rPr>
          <w:rtl/>
        </w:rPr>
        <w:t xml:space="preserve"> المواصلة » : المحابّة. ووَصَلَه وصْلاً وصِلةً ، وواصَلَه مواصلةً ووصالاً ، كلاهمايكون في عفاف الحبّ ودَعارَته. </w:t>
      </w:r>
      <w:r w:rsidRPr="009D1ACE">
        <w:rPr>
          <w:rStyle w:val="libFootnoteBoldChar"/>
          <w:rtl/>
        </w:rPr>
        <w:t>لسان العرب</w:t>
      </w:r>
      <w:r w:rsidRPr="00132E65">
        <w:rPr>
          <w:rtl/>
        </w:rPr>
        <w:t xml:space="preserve"> ، ج 11 ، ص 727 ( وصل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(12).</w:t>
            </w:r>
            <w:r w:rsidRPr="00132E65">
              <w:rPr>
                <w:rtl/>
              </w:rPr>
              <w:t xml:space="preserve"> في « ف » : « فسألته »</w:t>
            </w:r>
            <w:r>
              <w:rPr>
                <w:rtl/>
              </w:rPr>
              <w:t>.</w:t>
            </w:r>
          </w:p>
        </w:tc>
        <w:tc>
          <w:tcPr>
            <w:tcW w:w="4006" w:type="dxa"/>
          </w:tcPr>
          <w:p w:rsidR="000C39D1" w:rsidRDefault="000C39D1" w:rsidP="00B53873">
            <w:pPr>
              <w:pStyle w:val="libFootnote0"/>
              <w:rPr>
                <w:rtl/>
              </w:rPr>
            </w:pPr>
            <w:r>
              <w:rPr>
                <w:rtl/>
              </w:rPr>
              <w:t>(13) في«بح،بر»:«بينما</w:t>
            </w:r>
            <w:r w:rsidRPr="00132E65">
              <w:rPr>
                <w:rtl/>
              </w:rPr>
              <w:t>»</w:t>
            </w:r>
            <w:r>
              <w:rPr>
                <w:rtl/>
              </w:rPr>
              <w:t>.وفي البحار، ج 50«فبينا</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فَأَخْرَجَهَا إِلَيَّ ، فَقُلْتُ لَهُ : واللهِ ، إِنِّي </w:t>
      </w:r>
      <w:r>
        <w:rPr>
          <w:rStyle w:val="libFootnotenumChar"/>
          <w:rtl/>
        </w:rPr>
        <w:t>(1)</w:t>
      </w:r>
      <w:r w:rsidRPr="00132E65">
        <w:rPr>
          <w:rtl/>
          <w:lang w:bidi="fa-IR"/>
        </w:rPr>
        <w:t xml:space="preserve"> أُرِيدُ أَنْ أَسْأَلَكَ مَسْأَلَةً </w:t>
      </w:r>
      <w:r>
        <w:rPr>
          <w:rStyle w:val="libFootnotenumChar"/>
          <w:rtl/>
        </w:rPr>
        <w:t>(2)</w:t>
      </w:r>
      <w:r w:rsidRPr="00132E65">
        <w:rPr>
          <w:rtl/>
          <w:lang w:bidi="fa-IR"/>
        </w:rPr>
        <w:t xml:space="preserve"> ، وإِنِّي واللهِ ، لَأَسْتَحْيِي </w:t>
      </w:r>
      <w:r>
        <w:rPr>
          <w:rStyle w:val="libFootnotenumChar"/>
          <w:rtl/>
        </w:rPr>
        <w:t>(3)</w:t>
      </w:r>
      <w:r w:rsidRPr="00132E65">
        <w:rPr>
          <w:rtl/>
          <w:lang w:bidi="fa-IR"/>
        </w:rPr>
        <w:t xml:space="preserve"> مِنْ ذلِكَ ، فَقَالَ لِي : « أَنَا </w:t>
      </w:r>
      <w:r>
        <w:rPr>
          <w:rStyle w:val="libFootnotenumChar"/>
          <w:rtl/>
        </w:rPr>
        <w:t>(4)</w:t>
      </w:r>
      <w:r w:rsidRPr="00132E65">
        <w:rPr>
          <w:rtl/>
          <w:lang w:bidi="fa-IR"/>
        </w:rPr>
        <w:t xml:space="preserve"> أُخْبِرُكَ قَبْلَ أَنْ تَسْأَلَنِي ، تَسْأَلُنِي عَنِ الْإِمَامِ »</w:t>
      </w:r>
      <w:r>
        <w:rPr>
          <w:rtl/>
          <w:lang w:bidi="fa-IR"/>
        </w:rPr>
        <w:t>.</w:t>
      </w:r>
      <w:r w:rsidRPr="00132E65">
        <w:rPr>
          <w:rtl/>
          <w:lang w:bidi="fa-IR"/>
        </w:rPr>
        <w:t xml:space="preserve"> فَقُلْتُ : هُوَ واللهِ هذَا ، فَقَالَ : « أَنَا هُوَ »</w:t>
      </w:r>
      <w:r>
        <w:rPr>
          <w:rtl/>
          <w:lang w:bidi="fa-IR"/>
        </w:rPr>
        <w:t>.</w:t>
      </w:r>
      <w:r w:rsidRPr="00132E65">
        <w:rPr>
          <w:rtl/>
          <w:lang w:bidi="fa-IR"/>
        </w:rPr>
        <w:t xml:space="preserve"> فَقُلْتُ : عَلَامَةً </w:t>
      </w:r>
      <w:r>
        <w:rPr>
          <w:rStyle w:val="libFootnotenumChar"/>
          <w:rtl/>
        </w:rPr>
        <w:t>(5)</w:t>
      </w:r>
      <w:r>
        <w:rPr>
          <w:rtl/>
          <w:lang w:bidi="fa-IR"/>
        </w:rPr>
        <w:t>؟</w:t>
      </w:r>
      <w:r w:rsidRPr="00132E65">
        <w:rPr>
          <w:rtl/>
          <w:lang w:bidi="fa-IR"/>
        </w:rPr>
        <w:t xml:space="preserve"> فَكَانَ </w:t>
      </w:r>
      <w:r>
        <w:rPr>
          <w:rStyle w:val="libFootnotenumChar"/>
          <w:rtl/>
        </w:rPr>
        <w:t>(6)</w:t>
      </w:r>
      <w:r w:rsidRPr="00132E65">
        <w:rPr>
          <w:rtl/>
          <w:lang w:bidi="fa-IR"/>
        </w:rPr>
        <w:t xml:space="preserve"> فِي يَدِهِ عَصًا ، فَنَطَقَتْ ، وقَالَتْ : إِنَّ </w:t>
      </w:r>
      <w:r>
        <w:rPr>
          <w:rStyle w:val="libFootnotenumChar"/>
          <w:rtl/>
        </w:rPr>
        <w:t>(7)</w:t>
      </w:r>
      <w:r w:rsidRPr="00132E65">
        <w:rPr>
          <w:rtl/>
          <w:lang w:bidi="fa-IR"/>
        </w:rPr>
        <w:t xml:space="preserve"> مَوْلَايَ إِمَامُ هذَا الزَّمَانِ ، وهُوَ الْحُجَّةُ. </w:t>
      </w:r>
      <w:r>
        <w:rPr>
          <w:rStyle w:val="libFootnotenumChar"/>
          <w:rtl/>
        </w:rPr>
        <w:t>(8)</w:t>
      </w:r>
      <w:r w:rsidRPr="00132E65">
        <w:rPr>
          <w:rtl/>
          <w:lang w:bidi="fa-IR"/>
        </w:rPr>
        <w:t>‌</w:t>
      </w:r>
    </w:p>
    <w:p w:rsidR="000C39D1" w:rsidRPr="00132E65" w:rsidRDefault="000C39D1" w:rsidP="000C39D1">
      <w:pPr>
        <w:pStyle w:val="libNormal"/>
        <w:rPr>
          <w:rtl/>
          <w:lang w:bidi="fa-IR"/>
        </w:rPr>
      </w:pPr>
      <w:r w:rsidRPr="002A3884">
        <w:rPr>
          <w:rtl/>
        </w:rPr>
        <w:t>931</w:t>
      </w:r>
      <w:r w:rsidRPr="004325D8">
        <w:rPr>
          <w:rStyle w:val="libBold2Char"/>
          <w:rtl/>
        </w:rPr>
        <w:t xml:space="preserve"> / 10.</w:t>
      </w:r>
      <w:r w:rsidRPr="00132E65">
        <w:rPr>
          <w:rtl/>
          <w:lang w:bidi="fa-IR"/>
        </w:rPr>
        <w:t xml:space="preserve"> مُحَمَّدُ بْنُ يَحْيى ، عَنْ أَحْمَدَ بْنِ مُحَمَّدٍ أَوْ </w:t>
      </w:r>
      <w:r>
        <w:rPr>
          <w:rStyle w:val="libFootnotenumChar"/>
          <w:rtl/>
        </w:rPr>
        <w:t>(9)</w:t>
      </w:r>
      <w:r w:rsidRPr="00132E65">
        <w:rPr>
          <w:rtl/>
          <w:lang w:bidi="fa-IR"/>
        </w:rPr>
        <w:t xml:space="preserve"> غَيْرِهِ ، عَنْ عَلِيِّ بْنِ الْحَكَمِ ، عَنِ الْحُسَيْنِ بْنِ عُمَرَ بْنِ يَزِيدَ ، قَالَ :</w:t>
      </w:r>
    </w:p>
    <w:p w:rsidR="000C39D1" w:rsidRPr="00132E65" w:rsidRDefault="000C39D1" w:rsidP="000C39D1">
      <w:pPr>
        <w:pStyle w:val="libNormal"/>
        <w:rPr>
          <w:rtl/>
          <w:lang w:bidi="fa-IR"/>
        </w:rPr>
      </w:pPr>
      <w:r w:rsidRPr="00132E65">
        <w:rPr>
          <w:rtl/>
          <w:lang w:bidi="fa-IR"/>
        </w:rPr>
        <w:t xml:space="preserve">دَخَلْتُ عَلَى الرِّضَا </w:t>
      </w:r>
      <w:r w:rsidRPr="00071CF9">
        <w:rPr>
          <w:rStyle w:val="libAlaemChar"/>
          <w:rtl/>
        </w:rPr>
        <w:t>عليه‌السلام</w:t>
      </w:r>
      <w:r>
        <w:rPr>
          <w:rtl/>
          <w:lang w:bidi="fa-IR"/>
        </w:rPr>
        <w:t xml:space="preserve"> - </w:t>
      </w:r>
      <w:r w:rsidRPr="00132E65">
        <w:rPr>
          <w:rtl/>
          <w:lang w:bidi="fa-IR"/>
        </w:rPr>
        <w:t xml:space="preserve">وأَنَا يَوْمَئِذٍ واقِفٌ </w:t>
      </w:r>
      <w:r>
        <w:rPr>
          <w:rStyle w:val="libFootnotenumChar"/>
          <w:rtl/>
        </w:rPr>
        <w:t>(10)</w:t>
      </w:r>
      <w:r w:rsidRPr="00132E65">
        <w:rPr>
          <w:rtl/>
          <w:lang w:bidi="fa-IR"/>
        </w:rPr>
        <w:t xml:space="preserve"> ، وقَدْ كَانَ أَبِي سَأَلَ أَبَاهُ عَنْ سَبْعِ مَسَائِلَ ، فَأَجَابَهُ فِي سِتٍّ </w:t>
      </w:r>
      <w:r>
        <w:rPr>
          <w:rStyle w:val="libFootnotenumChar"/>
          <w:rtl/>
        </w:rPr>
        <w:t>(11)</w:t>
      </w:r>
      <w:r w:rsidRPr="00132E65">
        <w:rPr>
          <w:rtl/>
          <w:lang w:bidi="fa-IR"/>
        </w:rPr>
        <w:t xml:space="preserve"> وأَمْسَكَ عَنِ السَّابِعَةِ</w:t>
      </w:r>
      <w:r>
        <w:rPr>
          <w:rtl/>
          <w:lang w:bidi="fa-IR"/>
        </w:rPr>
        <w:t xml:space="preserve"> - </w:t>
      </w:r>
      <w:r w:rsidRPr="00132E65">
        <w:rPr>
          <w:rtl/>
          <w:lang w:bidi="fa-IR"/>
        </w:rPr>
        <w:t xml:space="preserve">فَقُلْتُ : واللهِ ، لَأَسْأَلَنَّهُ عَمَّا سَأَلَ أَبِي أَبَاهُ ، فَإِنْ أَجَابَ بِمِثْلِ جَوَابِ أَبِيهِ ، كَانَتْ </w:t>
      </w:r>
      <w:r>
        <w:rPr>
          <w:rStyle w:val="libFootnotenumChar"/>
          <w:rtl/>
        </w:rPr>
        <w:t>(12)</w:t>
      </w:r>
      <w:r w:rsidRPr="00132E65">
        <w:rPr>
          <w:rtl/>
          <w:lang w:bidi="fa-IR"/>
        </w:rPr>
        <w:t xml:space="preserve"> دَلَالَةً ، فَسَأَلْتُهُ ، فَأَجَابَ بِمِثْلِ جَوَابِ أَبِيهِ أَبِي فِي الْمَسَائِلِ السِّتِّ ، فَلَمْ يَزِدْ </w:t>
      </w:r>
      <w:r w:rsidRPr="00F543F1">
        <w:rPr>
          <w:rStyle w:val="libFootnotenumChar"/>
          <w:rtl/>
        </w:rPr>
        <w:t>(13)</w:t>
      </w:r>
      <w:r w:rsidRPr="00132E65">
        <w:rPr>
          <w:rtl/>
          <w:lang w:bidi="fa-IR"/>
        </w:rPr>
        <w:t xml:space="preserve"> فِي الْجَوَابِ و</w:t>
      </w:r>
      <w:r>
        <w:rPr>
          <w:rFonts w:hint="cs"/>
          <w:rtl/>
          <w:lang w:bidi="fa-IR"/>
        </w:rPr>
        <w:t>َ</w:t>
      </w:r>
      <w:r w:rsidRPr="00132E65">
        <w:rPr>
          <w:rtl/>
          <w:lang w:bidi="fa-IR"/>
        </w:rPr>
        <w:t xml:space="preserve">اواً ولَايَاءً </w:t>
      </w:r>
      <w:r w:rsidRPr="00F543F1">
        <w:rPr>
          <w:rStyle w:val="libFootnotenumChar"/>
          <w:rtl/>
        </w:rPr>
        <w:t>(14)</w:t>
      </w:r>
      <w:r w:rsidRPr="00132E65">
        <w:rPr>
          <w:rtl/>
          <w:lang w:bidi="fa-IR"/>
        </w:rPr>
        <w:t xml:space="preserve"> ، وأَمْسَكَ عَنِ السَّابِعَةِ.</w:t>
      </w:r>
    </w:p>
    <w:p w:rsidR="000C39D1" w:rsidRPr="00132E65" w:rsidRDefault="000C39D1" w:rsidP="000C39D1">
      <w:pPr>
        <w:pStyle w:val="libNormal"/>
        <w:rPr>
          <w:rtl/>
          <w:lang w:bidi="fa-IR"/>
        </w:rPr>
      </w:pPr>
      <w:r w:rsidRPr="00132E65">
        <w:rPr>
          <w:rtl/>
          <w:lang w:bidi="fa-IR"/>
        </w:rPr>
        <w:t>وَقَدْ كَانَ أَبِي قَالَ لِأَبِيهِ : إِنِّي أَحْتَجُّ عَلَيْكَ عِنْدَ اللهِ يَوْمَ الْقِيَامَةِ أَنَّكَ زَعَمْتَ أَنَّ‌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w:t>
            </w:r>
            <w:r w:rsidRPr="00132E65">
              <w:rPr>
                <w:rtl/>
              </w:rPr>
              <w:t xml:space="preserve"> في « ب ، ف ، ه‍ » : « إنّي والله »</w:t>
            </w:r>
            <w:r>
              <w:rPr>
                <w:rtl/>
              </w:rPr>
              <w:t>.</w:t>
            </w:r>
          </w:p>
        </w:tc>
        <w:tc>
          <w:tcPr>
            <w:tcW w:w="4006" w:type="dxa"/>
          </w:tcPr>
          <w:p w:rsidR="000C39D1" w:rsidRDefault="000C39D1" w:rsidP="00B53873">
            <w:pPr>
              <w:pStyle w:val="libFootnote0"/>
              <w:rPr>
                <w:rtl/>
                <w:lang w:bidi="fa-IR"/>
              </w:rPr>
            </w:pPr>
            <w:r>
              <w:rPr>
                <w:rtl/>
              </w:rPr>
              <w:t>(2). في«ب»وحاشية«بح»والبحار،ج50</w:t>
            </w:r>
            <w:r w:rsidRPr="00132E65">
              <w:rPr>
                <w:rtl/>
              </w:rPr>
              <w:t>:</w:t>
            </w:r>
            <w:r>
              <w:rPr>
                <w:rtl/>
              </w:rPr>
              <w:t>+«واحدة</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(3).</w:t>
            </w:r>
            <w:r w:rsidRPr="00132E65">
              <w:rPr>
                <w:rtl/>
              </w:rPr>
              <w:t xml:space="preserve"> في « ف » : « لأستحي »</w:t>
            </w:r>
            <w:r>
              <w:rPr>
                <w:rtl/>
              </w:rPr>
              <w:t>.</w:t>
            </w:r>
          </w:p>
        </w:tc>
        <w:tc>
          <w:tcPr>
            <w:tcW w:w="4006" w:type="dxa"/>
          </w:tcPr>
          <w:p w:rsidR="000C39D1" w:rsidRDefault="000C39D1" w:rsidP="00B53873">
            <w:pPr>
              <w:pStyle w:val="libFootnote0"/>
              <w:rPr>
                <w:rtl/>
              </w:rPr>
            </w:pPr>
            <w:r>
              <w:rPr>
                <w:rtl/>
              </w:rPr>
              <w:t>(4).</w:t>
            </w:r>
            <w:r w:rsidRPr="00132E65">
              <w:rPr>
                <w:rtl/>
              </w:rPr>
              <w:t xml:space="preserve"> في « ف » : « أما أنا »</w:t>
            </w:r>
            <w:r>
              <w:rPr>
                <w:rtl/>
              </w:rPr>
              <w:t>. وفي</w:t>
            </w:r>
            <w:r w:rsidRPr="00132E65">
              <w:rPr>
                <w:rtl/>
              </w:rPr>
              <w:t>« بس »</w:t>
            </w:r>
            <w:r>
              <w:rPr>
                <w:rtl/>
              </w:rPr>
              <w:t>:</w:t>
            </w:r>
            <w:r w:rsidRPr="00132E65">
              <w:rPr>
                <w:rtl/>
              </w:rPr>
              <w:t>« إنّي »</w:t>
            </w:r>
            <w:r>
              <w:rPr>
                <w:rtl/>
              </w:rPr>
              <w:t>.</w:t>
            </w:r>
          </w:p>
        </w:tc>
      </w:tr>
    </w:tbl>
    <w:p w:rsidR="000C39D1" w:rsidRPr="00132E65" w:rsidRDefault="000C39D1" w:rsidP="000C39D1">
      <w:pPr>
        <w:pStyle w:val="libFootnote0"/>
        <w:rPr>
          <w:rtl/>
          <w:lang w:bidi="fa-IR"/>
        </w:rPr>
      </w:pPr>
      <w:r>
        <w:rPr>
          <w:rtl/>
        </w:rPr>
        <w:t>(5).</w:t>
      </w:r>
      <w:r w:rsidRPr="00132E65">
        <w:rPr>
          <w:rtl/>
        </w:rPr>
        <w:t xml:space="preserve"> جوّز المجلسي كون علامة بالرفع ، أي تجب علامةٌ. وقال المازندراني : « وقد يجعل « على » حرف جرّ ، </w:t>
      </w:r>
      <w:r>
        <w:rPr>
          <w:rtl/>
        </w:rPr>
        <w:t>و «</w:t>
      </w:r>
      <w:r w:rsidRPr="00132E65">
        <w:rPr>
          <w:rtl/>
        </w:rPr>
        <w:t xml:space="preserve"> ما » للاستفهام بإسقاط الألف ، وإلحاق الهاء للوقف ، وهو للوقف ، وهو بعيد مع أنّ رسم الخطّ لا يلائمه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(6).</w:t>
            </w:r>
            <w:r w:rsidRPr="00132E65">
              <w:rPr>
                <w:rtl/>
              </w:rPr>
              <w:t xml:space="preserve"> في « ض » : « وكان »</w:t>
            </w:r>
            <w:r>
              <w:rPr>
                <w:rtl/>
              </w:rPr>
              <w:t>.</w:t>
            </w:r>
          </w:p>
        </w:tc>
        <w:tc>
          <w:tcPr>
            <w:tcW w:w="4006" w:type="dxa"/>
          </w:tcPr>
          <w:p w:rsidR="000C39D1" w:rsidRDefault="000C39D1" w:rsidP="00B53873">
            <w:pPr>
              <w:pStyle w:val="libFootnote0"/>
              <w:rPr>
                <w:rtl/>
                <w:lang w:bidi="fa-IR"/>
              </w:rPr>
            </w:pPr>
            <w:r>
              <w:rPr>
                <w:rtl/>
              </w:rPr>
              <w:t>(7).</w:t>
            </w:r>
            <w:r w:rsidRPr="00132E65">
              <w:rPr>
                <w:rtl/>
              </w:rPr>
              <w:t xml:space="preserve"> في البحار ، ج 50 : « فقالت : إنّه »</w:t>
            </w:r>
            <w:r>
              <w:rPr>
                <w:rtl/>
              </w:rPr>
              <w:t>.</w:t>
            </w:r>
          </w:p>
        </w:tc>
      </w:tr>
    </w:tbl>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2 ، ص 178 ، ح 632 ؛ </w:t>
      </w:r>
      <w:r w:rsidRPr="002A3884">
        <w:rPr>
          <w:rtl/>
        </w:rPr>
        <w:t>الوسائل</w:t>
      </w:r>
      <w:r w:rsidRPr="00132E65">
        <w:rPr>
          <w:rtl/>
        </w:rPr>
        <w:t xml:space="preserve"> ، ج 14 ، ص 574 ، ح 19848 ، وفيه من قوله : « فقال : بينا أنا ذات يوم » إلى قوله : « فناظرته في مسائل عندي » ؛ </w:t>
      </w:r>
      <w:r w:rsidRPr="002A3884">
        <w:rPr>
          <w:rtl/>
        </w:rPr>
        <w:t>البحار</w:t>
      </w:r>
      <w:r w:rsidRPr="00132E65">
        <w:rPr>
          <w:rtl/>
        </w:rPr>
        <w:t xml:space="preserve"> ، ج 50 ، ص 68 ، ح 46 ؛ وج 100 ، ص 126 ، ح 4 ، وفيه إلى قوله : « في مسائل عندي فأخرجها إليّ »</w:t>
      </w:r>
      <w:r>
        <w:rPr>
          <w:rtl/>
        </w:rPr>
        <w:t>.</w:t>
      </w:r>
      <w:r>
        <w:rPr>
          <w:rFonts w:hint="cs"/>
          <w:rtl/>
        </w:rPr>
        <w:t xml:space="preserve">                 </w:t>
      </w:r>
      <w:r>
        <w:rPr>
          <w:rtl/>
        </w:rPr>
        <w:t>(9).</w:t>
      </w:r>
      <w:r w:rsidRPr="00132E65">
        <w:rPr>
          <w:rtl/>
        </w:rPr>
        <w:t xml:space="preserve"> في البحار : « </w:t>
      </w:r>
      <w:r>
        <w:rPr>
          <w:rtl/>
        </w:rPr>
        <w:t>و ».</w:t>
      </w:r>
    </w:p>
    <w:p w:rsidR="000C39D1" w:rsidRPr="00132E65" w:rsidRDefault="000C39D1" w:rsidP="000C39D1">
      <w:pPr>
        <w:pStyle w:val="libFootnote0"/>
        <w:rPr>
          <w:rtl/>
          <w:lang w:bidi="fa-IR"/>
        </w:rPr>
      </w:pPr>
      <w:r>
        <w:rPr>
          <w:rtl/>
        </w:rPr>
        <w:t>(10).</w:t>
      </w:r>
      <w:r w:rsidRPr="00132E65">
        <w:rPr>
          <w:rtl/>
        </w:rPr>
        <w:t xml:space="preserve"> « أنا واقف » ، أي أعتقد مذهب الواقفيّة ، وكنت أقف بالإمامة على أبيه ، لم ا</w:t>
      </w:r>
      <w:r>
        <w:rPr>
          <w:rFonts w:hint="cs"/>
          <w:rtl/>
        </w:rPr>
        <w:t>ُ</w:t>
      </w:r>
      <w:r w:rsidRPr="00132E65">
        <w:rPr>
          <w:rtl/>
        </w:rPr>
        <w:t xml:space="preserve">جاوز به إليه صلوات الله عليهما ؛ لاعتقادي في أبيه الغيبة. راجع : </w:t>
      </w:r>
      <w:r w:rsidRPr="009D1ACE">
        <w:rPr>
          <w:rStyle w:val="libFootnoteBoldChar"/>
          <w:rtl/>
        </w:rPr>
        <w:t>الوافي</w:t>
      </w:r>
      <w:r w:rsidRPr="00132E65">
        <w:rPr>
          <w:rtl/>
        </w:rPr>
        <w:t xml:space="preserve"> ، ج 2 ، ص 176 ؛ </w:t>
      </w:r>
      <w:r w:rsidRPr="009D1ACE">
        <w:rPr>
          <w:rStyle w:val="libFootnoteBoldChar"/>
          <w:rtl/>
        </w:rPr>
        <w:t>مرآة العقول</w:t>
      </w:r>
      <w:r w:rsidRPr="00132E65">
        <w:rPr>
          <w:rtl/>
        </w:rPr>
        <w:t xml:space="preserve"> ، ج 4 ، ص 100.</w:t>
      </w:r>
    </w:p>
    <w:p w:rsidR="000C39D1" w:rsidRPr="00132E65" w:rsidRDefault="000C39D1" w:rsidP="000C39D1">
      <w:pPr>
        <w:pStyle w:val="libFootnote0"/>
        <w:rPr>
          <w:rtl/>
          <w:lang w:bidi="fa-IR"/>
        </w:rPr>
      </w:pPr>
      <w:r>
        <w:rPr>
          <w:rtl/>
        </w:rPr>
        <w:t>(11).</w:t>
      </w:r>
      <w:r w:rsidRPr="00132E65">
        <w:rPr>
          <w:rtl/>
        </w:rPr>
        <w:t xml:space="preserve"> في « ف » : « ستّة »</w:t>
      </w:r>
      <w:r>
        <w:rPr>
          <w:rtl/>
        </w:rPr>
        <w:t>.</w:t>
      </w:r>
      <w:r w:rsidRPr="00132E65">
        <w:rPr>
          <w:rtl/>
        </w:rPr>
        <w:t xml:space="preserve"> عند حذف التميز يجوز التذكير والتأنيث.</w:t>
      </w:r>
    </w:p>
    <w:p w:rsidR="000C39D1" w:rsidRPr="00132E65" w:rsidRDefault="000C39D1" w:rsidP="000C39D1">
      <w:pPr>
        <w:pStyle w:val="libFootnote0"/>
        <w:rPr>
          <w:rtl/>
          <w:lang w:bidi="fa-IR"/>
        </w:rPr>
      </w:pPr>
      <w:r>
        <w:rPr>
          <w:rtl/>
        </w:rPr>
        <w:t>(12).</w:t>
      </w:r>
      <w:r w:rsidRPr="00132E65">
        <w:rPr>
          <w:rtl/>
        </w:rPr>
        <w:t xml:space="preserve"> في البحار : « فكانت »</w:t>
      </w:r>
      <w:r>
        <w:rPr>
          <w:rtl/>
        </w:rPr>
        <w:t>.</w:t>
      </w:r>
      <w:r w:rsidRPr="00132E65">
        <w:rPr>
          <w:rtl/>
        </w:rPr>
        <w:t xml:space="preserve"> وفي </w:t>
      </w:r>
      <w:r w:rsidRPr="009D1ACE">
        <w:rPr>
          <w:rStyle w:val="libFootnoteBoldChar"/>
          <w:rtl/>
        </w:rPr>
        <w:t>مرآة العقول</w:t>
      </w:r>
      <w:r w:rsidRPr="00132E65">
        <w:rPr>
          <w:rtl/>
        </w:rPr>
        <w:t xml:space="preserve"> : « يحتمل التامّة والناقصة »</w:t>
      </w:r>
      <w:r>
        <w:rPr>
          <w:rtl/>
        </w:rPr>
        <w:t>.</w:t>
      </w:r>
    </w:p>
    <w:p w:rsidR="000C39D1" w:rsidRPr="00132E65" w:rsidRDefault="000C39D1" w:rsidP="000C39D1">
      <w:pPr>
        <w:pStyle w:val="libFootnote0"/>
        <w:rPr>
          <w:rtl/>
          <w:lang w:bidi="fa-IR"/>
        </w:rPr>
      </w:pPr>
      <w:r>
        <w:rPr>
          <w:rtl/>
        </w:rPr>
        <w:t>(13)</w:t>
      </w:r>
      <w:r w:rsidRPr="00132E65">
        <w:rPr>
          <w:rtl/>
        </w:rPr>
        <w:t xml:space="preserve"> في « ب » : « فلم يزدني »</w:t>
      </w:r>
      <w:r>
        <w:rPr>
          <w:rtl/>
        </w:rPr>
        <w:t>.</w:t>
      </w:r>
      <w:r w:rsidRPr="00132E65">
        <w:rPr>
          <w:rtl/>
        </w:rPr>
        <w:t xml:space="preserve"> وفي « ف » : « ولم يزد »</w:t>
      </w:r>
      <w:r>
        <w:rPr>
          <w:rtl/>
        </w:rPr>
        <w:t>.</w:t>
      </w:r>
    </w:p>
    <w:p w:rsidR="000C39D1" w:rsidRPr="00132E65" w:rsidRDefault="000C39D1" w:rsidP="000C39D1">
      <w:pPr>
        <w:pStyle w:val="libFootnote0"/>
        <w:rPr>
          <w:rtl/>
          <w:lang w:bidi="fa-IR"/>
        </w:rPr>
      </w:pPr>
      <w:r>
        <w:rPr>
          <w:rtl/>
        </w:rPr>
        <w:t>(14)</w:t>
      </w:r>
      <w:r w:rsidRPr="00132E65">
        <w:rPr>
          <w:rtl/>
        </w:rPr>
        <w:t xml:space="preserve"> في « ب ، ه‍ ، بس » : « باءً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عَبْدَ اللهِ لَمْ يَكُنْ إِمَاماً ، فَوَضَعَ يَدَهُ عَلى عُنُقِهِ </w:t>
      </w:r>
      <w:r>
        <w:rPr>
          <w:rStyle w:val="libFootnotenumChar"/>
          <w:rtl/>
        </w:rPr>
        <w:t>(1)</w:t>
      </w:r>
      <w:r w:rsidRPr="00132E65">
        <w:rPr>
          <w:rtl/>
          <w:lang w:bidi="fa-IR"/>
        </w:rPr>
        <w:t xml:space="preserve"> ، ثُمَّ قَالَ لَهُ </w:t>
      </w:r>
      <w:r>
        <w:rPr>
          <w:rStyle w:val="libFootnotenumChar"/>
          <w:rtl/>
        </w:rPr>
        <w:t>(2)</w:t>
      </w:r>
      <w:r w:rsidRPr="00132E65">
        <w:rPr>
          <w:rtl/>
          <w:lang w:bidi="fa-IR"/>
        </w:rPr>
        <w:t xml:space="preserve"> : « نَعَمِ احْتَجَّ عَلَيَّ بِذلِكَ عِنْدَ اللهِ عَزَّ وجَلَّ ، فَمَا كَانَ فِيهِ مِنْ إِثْمٍ ، فَهُوَ فِي رَقَبَتِي </w:t>
      </w:r>
      <w:r>
        <w:rPr>
          <w:rStyle w:val="libFootnotenumChar"/>
          <w:rtl/>
        </w:rPr>
        <w:t>(3)</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فَلَمَّا ودَّعْتُهُ ، قَالَ </w:t>
      </w:r>
      <w:r>
        <w:rPr>
          <w:rStyle w:val="libFootnotenumChar"/>
          <w:rtl/>
        </w:rPr>
        <w:t>(4)</w:t>
      </w:r>
      <w:r w:rsidRPr="00132E65">
        <w:rPr>
          <w:rtl/>
          <w:lang w:bidi="fa-IR"/>
        </w:rPr>
        <w:t xml:space="preserve"> : « إِنَّهُ لَيْسَ أَحَدٌ مِنْ شِيعَتِنَا يُبْتَلى بِبَلِيَّةٍ أَوْ يَشْتَكِي </w:t>
      </w:r>
      <w:r>
        <w:rPr>
          <w:rStyle w:val="libFootnotenumChar"/>
          <w:rtl/>
        </w:rPr>
        <w:t>(5)</w:t>
      </w:r>
      <w:r w:rsidRPr="00132E65">
        <w:rPr>
          <w:rtl/>
          <w:lang w:bidi="fa-IR"/>
        </w:rPr>
        <w:t xml:space="preserve"> </w:t>
      </w:r>
      <w:r>
        <w:rPr>
          <w:rtl/>
          <w:lang w:bidi="fa-IR"/>
        </w:rPr>
        <w:t>، فَيَصْبِرُ عَلى ذلِكَ ، إِل</w:t>
      </w:r>
      <w:r>
        <w:rPr>
          <w:rFonts w:hint="cs"/>
          <w:rtl/>
          <w:lang w:bidi="fa-IR"/>
        </w:rPr>
        <w:t>َّ</w:t>
      </w:r>
      <w:r>
        <w:rPr>
          <w:rtl/>
          <w:lang w:bidi="fa-IR"/>
        </w:rPr>
        <w:t>ا</w:t>
      </w:r>
      <w:r w:rsidRPr="00132E65">
        <w:rPr>
          <w:rtl/>
          <w:lang w:bidi="fa-IR"/>
        </w:rPr>
        <w:t xml:space="preserve"> كَتَبَ اللهُ لَهُ أَجْرَ أَلْفِ شَهِيدٍ »</w:t>
      </w:r>
      <w:r>
        <w:rPr>
          <w:rtl/>
          <w:lang w:bidi="fa-IR"/>
        </w:rPr>
        <w:t>.</w:t>
      </w:r>
    </w:p>
    <w:p w:rsidR="000C39D1" w:rsidRPr="00132E65" w:rsidRDefault="000C39D1" w:rsidP="000C39D1">
      <w:pPr>
        <w:pStyle w:val="libNormal"/>
        <w:rPr>
          <w:rtl/>
          <w:lang w:bidi="fa-IR"/>
        </w:rPr>
      </w:pPr>
      <w:r w:rsidRPr="00132E65">
        <w:rPr>
          <w:rtl/>
          <w:lang w:bidi="fa-IR"/>
        </w:rPr>
        <w:t xml:space="preserve">فَقُلْتُ فِي نَفْسِي : واللهِ ، مَا كَانَ لِهذَا ذِكْرٌ ، فَلَمَّا مَضَيْتُ وكُنْتُ فِي بَعْضِ الطَّرِيقِ ، خَرَجَ بِي عِرْقُ الْمَدِينِيِّ </w:t>
      </w:r>
      <w:r>
        <w:rPr>
          <w:rStyle w:val="libFootnotenumChar"/>
          <w:rtl/>
        </w:rPr>
        <w:t>(6)</w:t>
      </w:r>
      <w:r w:rsidRPr="00132E65">
        <w:rPr>
          <w:rtl/>
          <w:lang w:bidi="fa-IR"/>
        </w:rPr>
        <w:t xml:space="preserve"> ، فَلَقِيتُ مِنْهُ </w:t>
      </w:r>
      <w:r>
        <w:rPr>
          <w:rStyle w:val="libFootnotenumChar"/>
          <w:rtl/>
        </w:rPr>
        <w:t>(7)</w:t>
      </w:r>
      <w:r w:rsidRPr="00132E65">
        <w:rPr>
          <w:rtl/>
          <w:lang w:bidi="fa-IR"/>
        </w:rPr>
        <w:t xml:space="preserve"> شِدَّةً.</w:t>
      </w:r>
    </w:p>
    <w:p w:rsidR="000C39D1" w:rsidRPr="00132E65" w:rsidRDefault="000C39D1" w:rsidP="000C39D1">
      <w:pPr>
        <w:pStyle w:val="libNormal"/>
        <w:rPr>
          <w:rtl/>
          <w:lang w:bidi="fa-IR"/>
        </w:rPr>
      </w:pPr>
      <w:r w:rsidRPr="00132E65">
        <w:rPr>
          <w:rtl/>
          <w:lang w:bidi="fa-IR"/>
        </w:rPr>
        <w:t xml:space="preserve">فَلَمَّا كَانَ مِنْ قَابِلٍ ، حَجَجْتُ ، فَدَخَلْتُ عَلَيْهِ وقَدْ بَقِيَ مِنْ وجَعِي بَقِيَّةٌ </w:t>
      </w:r>
      <w:r>
        <w:rPr>
          <w:rStyle w:val="libFootnotenumChar"/>
          <w:rtl/>
        </w:rPr>
        <w:t>(8)</w:t>
      </w:r>
      <w:r w:rsidRPr="00132E65">
        <w:rPr>
          <w:rtl/>
          <w:lang w:bidi="fa-IR"/>
        </w:rPr>
        <w:t xml:space="preserve"> ، فَشَكَوْتُ إِلَيْهِ ، وقُلْتُ </w:t>
      </w:r>
      <w:r>
        <w:rPr>
          <w:rStyle w:val="libFootnotenumChar"/>
          <w:rtl/>
        </w:rPr>
        <w:t>(9)</w:t>
      </w:r>
      <w:r w:rsidRPr="00132E65">
        <w:rPr>
          <w:rtl/>
          <w:lang w:bidi="fa-IR"/>
        </w:rPr>
        <w:t xml:space="preserve"> لَهُ : جُعِلْتُ فِدَاكَ ، عَوِّذْ </w:t>
      </w:r>
      <w:r>
        <w:rPr>
          <w:rStyle w:val="libFootnotenumChar"/>
          <w:rtl/>
        </w:rPr>
        <w:t>(10)</w:t>
      </w:r>
      <w:r w:rsidRPr="00132E65">
        <w:rPr>
          <w:rtl/>
          <w:lang w:bidi="fa-IR"/>
        </w:rPr>
        <w:t xml:space="preserve"> رِجْلِي</w:t>
      </w:r>
      <w:r>
        <w:rPr>
          <w:rtl/>
          <w:lang w:bidi="fa-IR"/>
        </w:rPr>
        <w:t xml:space="preserve"> - </w:t>
      </w:r>
      <w:r w:rsidRPr="00132E65">
        <w:rPr>
          <w:rtl/>
          <w:lang w:bidi="fa-IR"/>
        </w:rPr>
        <w:t xml:space="preserve">وبَسَطْتُهَا </w:t>
      </w:r>
      <w:r>
        <w:rPr>
          <w:rStyle w:val="libFootnotenumChar"/>
          <w:rtl/>
        </w:rPr>
        <w:t>(11)</w:t>
      </w:r>
      <w:r w:rsidRPr="00132E65">
        <w:rPr>
          <w:rtl/>
          <w:lang w:bidi="fa-IR"/>
        </w:rPr>
        <w:t xml:space="preserve"> بَيْنَ يَدَيْهِ</w:t>
      </w:r>
      <w:r>
        <w:rPr>
          <w:rtl/>
          <w:lang w:bidi="fa-IR"/>
        </w:rPr>
        <w:t xml:space="preserve"> - </w:t>
      </w:r>
      <w:r w:rsidRPr="00132E65">
        <w:rPr>
          <w:rtl/>
          <w:lang w:bidi="fa-IR"/>
        </w:rPr>
        <w:t>فَقَالَ لِي : « لَيْسَ عَلى رِجْلِكَ هذِهِ بَأْسٌ ، ولكِنْ أَرِنِي رِجْلَكَ الصَّحِيحَةَ »</w:t>
      </w:r>
      <w:r>
        <w:rPr>
          <w:rtl/>
          <w:lang w:bidi="fa-IR"/>
        </w:rPr>
        <w:t>.</w:t>
      </w:r>
      <w:r w:rsidRPr="00132E65">
        <w:rPr>
          <w:rtl/>
          <w:lang w:bidi="fa-IR"/>
        </w:rPr>
        <w:t xml:space="preserve"> فَبَسَطْتُهَا بَيْنَ يَدَيْهِ ، فَعَوَّذَهَا ، فَلَمَّا خَرَجْتُ </w:t>
      </w:r>
      <w:r>
        <w:rPr>
          <w:rStyle w:val="libFootnotenumChar"/>
          <w:rtl/>
        </w:rPr>
        <w:t>(12)</w:t>
      </w:r>
      <w:r>
        <w:rPr>
          <w:rtl/>
          <w:lang w:bidi="fa-IR"/>
        </w:rPr>
        <w:t xml:space="preserve"> لَمْ أَلْبَثْ إِل</w:t>
      </w:r>
      <w:r>
        <w:rPr>
          <w:rFonts w:hint="cs"/>
          <w:rtl/>
          <w:lang w:bidi="fa-IR"/>
        </w:rPr>
        <w:t>َّ</w:t>
      </w:r>
      <w:r>
        <w:rPr>
          <w:rtl/>
          <w:lang w:bidi="fa-IR"/>
        </w:rPr>
        <w:t>ا</w:t>
      </w:r>
      <w:r w:rsidRPr="00132E65">
        <w:rPr>
          <w:rtl/>
          <w:lang w:bidi="fa-IR"/>
        </w:rPr>
        <w:t xml:space="preserve"> يَسِيراً حَتّى خَرَجَ بِيَ الْعِرْقُ ، وكَانَ وجَعُهُ يَسِيراً. </w:t>
      </w:r>
      <w:r w:rsidRPr="00F543F1">
        <w:rPr>
          <w:rStyle w:val="libFootnotenumChar"/>
          <w:rtl/>
        </w:rPr>
        <w:t>(13)</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ووضع على عنقه يده »</w:t>
      </w:r>
      <w:r>
        <w:rPr>
          <w:rtl/>
        </w:rPr>
        <w:t>.</w:t>
      </w:r>
    </w:p>
    <w:p w:rsidR="000C39D1" w:rsidRPr="00132E65" w:rsidRDefault="000C39D1" w:rsidP="000C39D1">
      <w:pPr>
        <w:pStyle w:val="libFootnote0"/>
        <w:rPr>
          <w:rtl/>
          <w:lang w:bidi="fa-IR"/>
        </w:rPr>
      </w:pPr>
      <w:r>
        <w:rPr>
          <w:rtl/>
        </w:rPr>
        <w:t>(2).</w:t>
      </w:r>
      <w:r w:rsidRPr="00132E65">
        <w:rPr>
          <w:rtl/>
        </w:rPr>
        <w:t xml:space="preserve"> في البحار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بر »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(4).</w:t>
            </w:r>
            <w:r w:rsidRPr="00132E65">
              <w:rPr>
                <w:rtl/>
              </w:rPr>
              <w:t xml:space="preserve"> في « بر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(5).</w:t>
      </w:r>
      <w:r w:rsidRPr="00132E65">
        <w:rPr>
          <w:rtl/>
        </w:rPr>
        <w:t xml:space="preserve"> « يشتكي » ، أي يمرض ، من الاشتكاء ، وهو يستعمل في ال</w:t>
      </w:r>
      <w:r>
        <w:rPr>
          <w:rFonts w:hint="cs"/>
          <w:rtl/>
        </w:rPr>
        <w:t>ـ</w:t>
      </w:r>
      <w:r w:rsidRPr="00132E65">
        <w:rPr>
          <w:rtl/>
        </w:rPr>
        <w:t xml:space="preserve">مَوْجِدَة والمرض. راجع : </w:t>
      </w:r>
      <w:r w:rsidRPr="009D1ACE">
        <w:rPr>
          <w:rStyle w:val="libFootnoteBoldChar"/>
          <w:rtl/>
        </w:rPr>
        <w:t>لسان العرب</w:t>
      </w:r>
      <w:r w:rsidRPr="00132E65">
        <w:rPr>
          <w:rtl/>
        </w:rPr>
        <w:t xml:space="preserve"> ، ج 14 ، ص 439 ( شكا )</w:t>
      </w:r>
      <w:r>
        <w:rPr>
          <w:rtl/>
        </w:rPr>
        <w:t>.</w:t>
      </w:r>
    </w:p>
    <w:p w:rsidR="000C39D1" w:rsidRPr="00132E65" w:rsidRDefault="000C39D1" w:rsidP="000C39D1">
      <w:pPr>
        <w:pStyle w:val="libFootnote0"/>
        <w:rPr>
          <w:rtl/>
          <w:lang w:bidi="fa-IR"/>
        </w:rPr>
      </w:pPr>
      <w:r>
        <w:rPr>
          <w:rtl/>
        </w:rPr>
        <w:t>(6).</w:t>
      </w:r>
      <w:r w:rsidRPr="00132E65">
        <w:rPr>
          <w:rtl/>
        </w:rPr>
        <w:t xml:space="preserve"> في البحار : « المدني »</w:t>
      </w:r>
      <w:r>
        <w:rPr>
          <w:rtl/>
        </w:rPr>
        <w:t>.</w:t>
      </w:r>
      <w:r w:rsidRPr="00132E65">
        <w:rPr>
          <w:rtl/>
        </w:rPr>
        <w:t xml:space="preserve"> وقوله : « عِرْق ال</w:t>
      </w:r>
      <w:r>
        <w:rPr>
          <w:rFonts w:hint="cs"/>
          <w:rtl/>
        </w:rPr>
        <w:t>ـ</w:t>
      </w:r>
      <w:r w:rsidRPr="00132E65">
        <w:rPr>
          <w:rtl/>
        </w:rPr>
        <w:t xml:space="preserve">مَدِينيّ » مركّب إضافي ، وهو خيط يخرج من الرجل تدريجاً مثل الشعر ويشتدّ وجعه. راجع : </w:t>
      </w:r>
      <w:r w:rsidRPr="002A3884">
        <w:rPr>
          <w:rtl/>
        </w:rPr>
        <w:t>شرح المازندراني</w:t>
      </w:r>
      <w:r w:rsidRPr="00132E65">
        <w:rPr>
          <w:rtl/>
        </w:rPr>
        <w:t xml:space="preserve"> ، ج 6 ، ص 282 ؛ </w:t>
      </w:r>
      <w:r w:rsidRPr="009D1ACE">
        <w:rPr>
          <w:rStyle w:val="libFootnoteBoldChar"/>
          <w:rtl/>
        </w:rPr>
        <w:t>مرآة العقول</w:t>
      </w:r>
      <w:r w:rsidRPr="00132E65">
        <w:rPr>
          <w:rtl/>
        </w:rPr>
        <w:t xml:space="preserve"> ، ج 4 ، ص 101.</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ف » : « عنه »</w:t>
            </w:r>
            <w:r>
              <w:rPr>
                <w:rtl/>
              </w:rPr>
              <w:t>.</w:t>
            </w:r>
          </w:p>
        </w:tc>
        <w:tc>
          <w:tcPr>
            <w:tcW w:w="4006" w:type="dxa"/>
          </w:tcPr>
          <w:p w:rsidR="000C39D1" w:rsidRDefault="000C39D1" w:rsidP="00B53873">
            <w:pPr>
              <w:pStyle w:val="libFootnote0"/>
              <w:rPr>
                <w:rtl/>
              </w:rPr>
            </w:pPr>
            <w:r>
              <w:rPr>
                <w:rtl/>
              </w:rPr>
              <w:t>(8).</w:t>
            </w:r>
            <w:r w:rsidRPr="00132E65">
              <w:rPr>
                <w:rtl/>
              </w:rPr>
              <w:t xml:space="preserve"> في « ف » : « بقيّته »</w:t>
            </w:r>
            <w:r>
              <w:rPr>
                <w:rtl/>
              </w:rPr>
              <w:t>.</w:t>
            </w:r>
          </w:p>
        </w:tc>
      </w:tr>
    </w:tbl>
    <w:p w:rsidR="000C39D1" w:rsidRPr="00132E65" w:rsidRDefault="000C39D1" w:rsidP="000C39D1">
      <w:pPr>
        <w:pStyle w:val="libFootnote0"/>
        <w:rPr>
          <w:rtl/>
          <w:lang w:bidi="fa-IR"/>
        </w:rPr>
      </w:pPr>
      <w:r>
        <w:rPr>
          <w:rtl/>
        </w:rPr>
        <w:t>(9).</w:t>
      </w:r>
      <w:r w:rsidRPr="00132E65">
        <w:rPr>
          <w:rtl/>
        </w:rPr>
        <w:t xml:space="preserve"> في « ض ، بر » : « فقلت »</w:t>
      </w:r>
      <w:r>
        <w:rPr>
          <w:rtl/>
        </w:rPr>
        <w:t>.</w:t>
      </w:r>
    </w:p>
    <w:p w:rsidR="000C39D1" w:rsidRPr="00132E65" w:rsidRDefault="000C39D1" w:rsidP="000C39D1">
      <w:pPr>
        <w:pStyle w:val="libFootnote0"/>
        <w:rPr>
          <w:rtl/>
          <w:lang w:bidi="fa-IR"/>
        </w:rPr>
      </w:pPr>
      <w:r>
        <w:rPr>
          <w:rtl/>
        </w:rPr>
        <w:t>(10).</w:t>
      </w:r>
      <w:r w:rsidRPr="00132E65">
        <w:rPr>
          <w:rtl/>
        </w:rPr>
        <w:t xml:space="preserve"> « العَوْذَة » </w:t>
      </w:r>
      <w:r>
        <w:rPr>
          <w:rtl/>
        </w:rPr>
        <w:t>و «</w:t>
      </w:r>
      <w:r w:rsidRPr="00132E65">
        <w:rPr>
          <w:rtl/>
        </w:rPr>
        <w:t xml:space="preserve"> المعاذاة » </w:t>
      </w:r>
      <w:r>
        <w:rPr>
          <w:rtl/>
        </w:rPr>
        <w:t>و «</w:t>
      </w:r>
      <w:r w:rsidRPr="00132E65">
        <w:rPr>
          <w:rtl/>
        </w:rPr>
        <w:t xml:space="preserve"> التعويذ » : الرُقْية التي يُرقى بها الإنسان من فزع أو جنون ؛ لأنّه يعاذ بها. ويقال : عوّذتُ فلاناً بالله وأسمائه وبالمعوّذتين ، إذا قلت : ا</w:t>
      </w:r>
      <w:r>
        <w:rPr>
          <w:rFonts w:hint="cs"/>
          <w:rtl/>
        </w:rPr>
        <w:t>ُ</w:t>
      </w:r>
      <w:r w:rsidRPr="00132E65">
        <w:rPr>
          <w:rtl/>
        </w:rPr>
        <w:t xml:space="preserve">عيذك بالله وأسمائه من كلّ ذي شرّ وكلّ داء وحاسد وحَيْن. راجع : </w:t>
      </w:r>
      <w:r w:rsidRPr="009D1ACE">
        <w:rPr>
          <w:rStyle w:val="libFootnoteBoldChar"/>
          <w:rtl/>
        </w:rPr>
        <w:t>لسان العرب</w:t>
      </w:r>
      <w:r w:rsidRPr="00132E65">
        <w:rPr>
          <w:rtl/>
        </w:rPr>
        <w:t xml:space="preserve"> ، ج 3 ، ص 499 ( عوذ )</w:t>
      </w:r>
      <w:r>
        <w:rPr>
          <w:rtl/>
        </w:rPr>
        <w:t>.</w:t>
      </w:r>
      <w:r>
        <w:rPr>
          <w:rFonts w:hint="cs"/>
          <w:rtl/>
        </w:rPr>
        <w:t xml:space="preserve">                  </w:t>
      </w:r>
      <w:r>
        <w:rPr>
          <w:rtl/>
        </w:rPr>
        <w:t>(11).</w:t>
      </w:r>
      <w:r w:rsidRPr="00132E65">
        <w:rPr>
          <w:rtl/>
        </w:rPr>
        <w:t xml:space="preserve"> في « ج » : « فبسطتها »</w:t>
      </w:r>
      <w:r>
        <w:rPr>
          <w:rtl/>
        </w:rPr>
        <w:t>.</w:t>
      </w:r>
    </w:p>
    <w:p w:rsidR="000C39D1" w:rsidRPr="00132E65" w:rsidRDefault="000C39D1" w:rsidP="000C39D1">
      <w:pPr>
        <w:pStyle w:val="libFootnote0"/>
        <w:rPr>
          <w:rtl/>
          <w:lang w:bidi="fa-IR"/>
        </w:rPr>
      </w:pPr>
      <w:r>
        <w:rPr>
          <w:rtl/>
          <w:lang w:bidi="fa-IR"/>
        </w:rPr>
        <w:t>(12).</w:t>
      </w:r>
      <w:r w:rsidRPr="00132E65">
        <w:rPr>
          <w:rtl/>
          <w:lang w:bidi="fa-IR"/>
        </w:rPr>
        <w:t xml:space="preserve"> في « بف » : « فخرجت » بدل « فلمّا خرجت »</w:t>
      </w:r>
      <w:r>
        <w:rPr>
          <w:rtl/>
          <w:lang w:bidi="fa-IR"/>
        </w:rPr>
        <w:t>.</w:t>
      </w:r>
    </w:p>
    <w:p w:rsidR="000C39D1" w:rsidRPr="00132E65" w:rsidRDefault="000C39D1" w:rsidP="000C39D1">
      <w:pPr>
        <w:pStyle w:val="libFootnote0"/>
        <w:rPr>
          <w:rtl/>
          <w:lang w:bidi="fa-IR"/>
        </w:rPr>
      </w:pPr>
      <w:r>
        <w:rPr>
          <w:rtl/>
        </w:rPr>
        <w:t>(13)</w:t>
      </w:r>
      <w:r w:rsidRPr="00132E65">
        <w:rPr>
          <w:rtl/>
        </w:rPr>
        <w:t xml:space="preserve"> راجع : </w:t>
      </w:r>
      <w:r w:rsidRPr="002A3884">
        <w:rPr>
          <w:rtl/>
        </w:rPr>
        <w:t>عيون الأخبار</w:t>
      </w:r>
      <w:r w:rsidRPr="00132E65">
        <w:rPr>
          <w:rtl/>
        </w:rPr>
        <w:t xml:space="preserve"> ، ج 2 ، ص 221 ؛ و</w:t>
      </w:r>
      <w:r w:rsidRPr="002A3884">
        <w:rPr>
          <w:rtl/>
        </w:rPr>
        <w:t xml:space="preserve">المؤمن </w:t>
      </w:r>
      <w:r w:rsidRPr="00132E65">
        <w:rPr>
          <w:rtl/>
        </w:rPr>
        <w:t>، ص 16 ، ح 8</w:t>
      </w:r>
      <w:r>
        <w:rPr>
          <w:rFonts w:hint="cs"/>
          <w:rtl/>
        </w:rPr>
        <w:t>.</w:t>
      </w:r>
      <w:r w:rsidRPr="009D1ACE">
        <w:rPr>
          <w:rStyle w:val="libFootnoteBoldChar"/>
          <w:rtl/>
        </w:rPr>
        <w:t>الوافي</w:t>
      </w:r>
      <w:r w:rsidRPr="00132E65">
        <w:rPr>
          <w:rtl/>
        </w:rPr>
        <w:t xml:space="preserve"> ، ج 2 ، ص 175 ، ح 626 ؛ </w:t>
      </w:r>
      <w:r w:rsidRPr="002A3884">
        <w:rPr>
          <w:rtl/>
        </w:rPr>
        <w:t>البحار</w:t>
      </w:r>
      <w:r w:rsidRPr="00132E65">
        <w:rPr>
          <w:rtl/>
        </w:rPr>
        <w:t xml:space="preserve"> ، ج 49 ، ص 67 ، ح 88.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2A3884">
        <w:rPr>
          <w:rtl/>
        </w:rPr>
        <w:t>932</w:t>
      </w:r>
      <w:r w:rsidRPr="004325D8">
        <w:rPr>
          <w:rStyle w:val="libBold2Char"/>
          <w:rtl/>
        </w:rPr>
        <w:t xml:space="preserve"> / 11.</w:t>
      </w:r>
      <w:r w:rsidRPr="00132E65">
        <w:rPr>
          <w:rtl/>
          <w:lang w:bidi="fa-IR"/>
        </w:rPr>
        <w:t xml:space="preserve"> أَحْمَدُ بْنُ مِهْرَانَ </w:t>
      </w:r>
      <w:r>
        <w:rPr>
          <w:rStyle w:val="libFootnotenumChar"/>
          <w:rtl/>
        </w:rPr>
        <w:t>(1)</w:t>
      </w:r>
      <w:r w:rsidRPr="00132E65">
        <w:rPr>
          <w:rtl/>
          <w:lang w:bidi="fa-IR"/>
        </w:rPr>
        <w:t xml:space="preserve"> ، عَنْ مُحَمَّدِ بْنِ عَلِيٍّ ، عَنِ ابْنِ قِيَامَا الْوَاسِطِيِّ</w:t>
      </w:r>
      <w:r>
        <w:rPr>
          <w:rtl/>
          <w:lang w:bidi="fa-IR"/>
        </w:rPr>
        <w:t xml:space="preserve"> - </w:t>
      </w:r>
      <w:r w:rsidRPr="00132E65">
        <w:rPr>
          <w:rtl/>
          <w:lang w:bidi="fa-IR"/>
        </w:rPr>
        <w:t>وكَانَ مِنَ الْوَاقِفَةِ</w:t>
      </w:r>
      <w:r>
        <w:rPr>
          <w:rtl/>
          <w:lang w:bidi="fa-IR"/>
        </w:rPr>
        <w:t xml:space="preserve"> - </w:t>
      </w:r>
      <w:r w:rsidRPr="00132E65">
        <w:rPr>
          <w:rtl/>
          <w:lang w:bidi="fa-IR"/>
        </w:rPr>
        <w:t>قَالَ :</w:t>
      </w:r>
    </w:p>
    <w:p w:rsidR="000C39D1" w:rsidRPr="00132E65" w:rsidRDefault="000C39D1" w:rsidP="000C39D1">
      <w:pPr>
        <w:pStyle w:val="libNormal"/>
        <w:rPr>
          <w:rtl/>
          <w:lang w:bidi="fa-IR"/>
        </w:rPr>
      </w:pPr>
      <w:r w:rsidRPr="00132E65">
        <w:rPr>
          <w:rtl/>
          <w:lang w:bidi="fa-IR"/>
        </w:rPr>
        <w:t xml:space="preserve">دَخَلْتُ عَلى عَلِيِّ بْنِ مُوسَى الرِّضَا </w:t>
      </w:r>
      <w:r w:rsidRPr="00071CF9">
        <w:rPr>
          <w:rStyle w:val="libAlaemChar"/>
          <w:rtl/>
        </w:rPr>
        <w:t>عليهما‌السلام</w:t>
      </w:r>
      <w:r w:rsidRPr="00132E65">
        <w:rPr>
          <w:rtl/>
          <w:lang w:bidi="fa-IR"/>
        </w:rPr>
        <w:t xml:space="preserve"> ، فَقُلْتُ لَهُ : يَكُونُ إِمَامَانِ</w:t>
      </w:r>
      <w:r>
        <w:rPr>
          <w:rtl/>
          <w:lang w:bidi="fa-IR"/>
        </w:rPr>
        <w:t>؟</w:t>
      </w:r>
      <w:r w:rsidRPr="00132E65">
        <w:rPr>
          <w:rtl/>
          <w:lang w:bidi="fa-IR"/>
        </w:rPr>
        <w:t xml:space="preserve"> قَالَ </w:t>
      </w:r>
      <w:r>
        <w:rPr>
          <w:rStyle w:val="libFootnotenumChar"/>
          <w:rtl/>
        </w:rPr>
        <w:t>(2)</w:t>
      </w:r>
      <w:r>
        <w:rPr>
          <w:rtl/>
          <w:lang w:bidi="fa-IR"/>
        </w:rPr>
        <w:t xml:space="preserve"> : « لَا ، إِل</w:t>
      </w:r>
      <w:r>
        <w:rPr>
          <w:rFonts w:hint="cs"/>
          <w:rtl/>
          <w:lang w:bidi="fa-IR"/>
        </w:rPr>
        <w:t>َّ</w:t>
      </w:r>
      <w:r>
        <w:rPr>
          <w:rtl/>
          <w:lang w:bidi="fa-IR"/>
        </w:rPr>
        <w:t>ا</w:t>
      </w:r>
      <w:r w:rsidRPr="00132E65">
        <w:rPr>
          <w:rtl/>
          <w:lang w:bidi="fa-IR"/>
        </w:rPr>
        <w:t xml:space="preserve"> وَأَحَدُهُمَا صَامِتٌ »</w:t>
      </w:r>
      <w:r>
        <w:rPr>
          <w:rtl/>
          <w:lang w:bidi="fa-IR"/>
        </w:rPr>
        <w:t>.</w:t>
      </w:r>
    </w:p>
    <w:p w:rsidR="000C39D1" w:rsidRPr="00132E65" w:rsidRDefault="000C39D1" w:rsidP="000C39D1">
      <w:pPr>
        <w:pStyle w:val="libNormal"/>
        <w:rPr>
          <w:rtl/>
          <w:lang w:bidi="fa-IR"/>
        </w:rPr>
      </w:pPr>
      <w:r w:rsidRPr="00132E65">
        <w:rPr>
          <w:rtl/>
          <w:lang w:bidi="fa-IR"/>
        </w:rPr>
        <w:t xml:space="preserve">فَقُلْتُ لَهُ : هُوَ ذَا أَنْتَ ، لَيْسَ </w:t>
      </w:r>
      <w:r>
        <w:rPr>
          <w:rStyle w:val="libFootnotenumChar"/>
          <w:rtl/>
        </w:rPr>
        <w:t>(3)</w:t>
      </w:r>
      <w:r w:rsidRPr="00132E65">
        <w:rPr>
          <w:rtl/>
          <w:lang w:bidi="fa-IR"/>
        </w:rPr>
        <w:t xml:space="preserve"> لَكَ صَامِتٌ</w:t>
      </w:r>
      <w:r>
        <w:rPr>
          <w:rtl/>
          <w:lang w:bidi="fa-IR"/>
        </w:rPr>
        <w:t xml:space="preserve"> - </w:t>
      </w:r>
      <w:r w:rsidRPr="00132E65">
        <w:rPr>
          <w:rtl/>
          <w:lang w:bidi="fa-IR"/>
        </w:rPr>
        <w:t xml:space="preserve">ولَمْ يَكُنْ ولِدَ لَهُ </w:t>
      </w:r>
      <w:r>
        <w:rPr>
          <w:rStyle w:val="libFootnotenumChar"/>
          <w:rtl/>
        </w:rPr>
        <w:t>(4)</w:t>
      </w:r>
      <w:r w:rsidRPr="00132E65">
        <w:rPr>
          <w:rtl/>
          <w:lang w:bidi="fa-IR"/>
        </w:rPr>
        <w:t xml:space="preserve"> أَبُو جَعْفَرٍ بَعْدُ</w:t>
      </w:r>
      <w:r>
        <w:rPr>
          <w:rtl/>
          <w:lang w:bidi="fa-IR"/>
        </w:rPr>
        <w:t xml:space="preserve"> - </w:t>
      </w:r>
      <w:r w:rsidRPr="00132E65">
        <w:rPr>
          <w:rtl/>
          <w:lang w:bidi="fa-IR"/>
        </w:rPr>
        <w:t xml:space="preserve">فَقَالَ لِي </w:t>
      </w:r>
      <w:r>
        <w:rPr>
          <w:rStyle w:val="libFootnotenumChar"/>
          <w:rtl/>
        </w:rPr>
        <w:t>(5)</w:t>
      </w:r>
      <w:r w:rsidRPr="00132E65">
        <w:rPr>
          <w:rtl/>
          <w:lang w:bidi="fa-IR"/>
        </w:rPr>
        <w:t xml:space="preserve"> : « وَاللهِ ، لَيَجْعَلَنَّ اللهُ مِنِّي مَا يُثْبِتُ بِهِ الْحَقَّ وأَهْلَهُ ، ويَمْحَقُ بِهِ الْبَاطِلَ وأَهْلَهُ »</w:t>
      </w:r>
      <w:r>
        <w:rPr>
          <w:rtl/>
          <w:lang w:bidi="fa-IR"/>
        </w:rPr>
        <w:t>.</w:t>
      </w:r>
      <w:r>
        <w:rPr>
          <w:rFonts w:hint="cs"/>
          <w:rtl/>
          <w:lang w:bidi="fa-IR"/>
        </w:rPr>
        <w:t xml:space="preserve"> </w:t>
      </w:r>
      <w:r w:rsidRPr="00132E65">
        <w:rPr>
          <w:rtl/>
          <w:lang w:bidi="fa-IR"/>
        </w:rPr>
        <w:t xml:space="preserve">فَوُلِدَ لَهُ </w:t>
      </w:r>
      <w:r>
        <w:rPr>
          <w:rStyle w:val="libFootnotenumChar"/>
          <w:rtl/>
        </w:rPr>
        <w:t>(6)</w:t>
      </w:r>
      <w:r w:rsidRPr="00132E65">
        <w:rPr>
          <w:rtl/>
          <w:lang w:bidi="fa-IR"/>
        </w:rPr>
        <w:t xml:space="preserve"> بَعْدَ سَنَةٍ أَبُو جَعْفَرٍ </w:t>
      </w:r>
      <w:r w:rsidRPr="00071CF9">
        <w:rPr>
          <w:rStyle w:val="libAlaemChar"/>
          <w:rtl/>
        </w:rPr>
        <w:t>عليه‌السلام</w:t>
      </w:r>
      <w:r>
        <w:rPr>
          <w:rFonts w:hint="cs"/>
          <w:rtl/>
          <w:lang w:bidi="fa-IR"/>
        </w:rPr>
        <w:t>.</w:t>
      </w:r>
    </w:p>
    <w:p w:rsidR="000C39D1" w:rsidRPr="00132E65" w:rsidRDefault="000C39D1" w:rsidP="000C39D1">
      <w:pPr>
        <w:pStyle w:val="libNormal"/>
        <w:rPr>
          <w:rtl/>
          <w:lang w:bidi="fa-IR"/>
        </w:rPr>
      </w:pPr>
      <w:r>
        <w:rPr>
          <w:rtl/>
          <w:lang w:bidi="fa-IR"/>
        </w:rPr>
        <w:t>فَقِيلَ لِابْنِ قِيَامَا : أَ</w:t>
      </w:r>
      <w:r>
        <w:rPr>
          <w:rFonts w:hint="cs"/>
          <w:rtl/>
          <w:lang w:bidi="fa-IR"/>
        </w:rPr>
        <w:t xml:space="preserve"> </w:t>
      </w:r>
      <w:r w:rsidRPr="00132E65">
        <w:rPr>
          <w:rtl/>
          <w:lang w:bidi="fa-IR"/>
        </w:rPr>
        <w:t xml:space="preserve">لَاتُقْنِعُكَ </w:t>
      </w:r>
      <w:r>
        <w:rPr>
          <w:rStyle w:val="libFootnotenumChar"/>
          <w:rtl/>
        </w:rPr>
        <w:t>(7)</w:t>
      </w:r>
      <w:r w:rsidRPr="00132E65">
        <w:rPr>
          <w:rtl/>
          <w:lang w:bidi="fa-IR"/>
        </w:rPr>
        <w:t xml:space="preserve"> هذِهِ الْآيَةُ</w:t>
      </w:r>
      <w:r>
        <w:rPr>
          <w:rtl/>
          <w:lang w:bidi="fa-IR"/>
        </w:rPr>
        <w:t>؟</w:t>
      </w:r>
      <w:r w:rsidRPr="00132E65">
        <w:rPr>
          <w:rtl/>
          <w:lang w:bidi="fa-IR"/>
        </w:rPr>
        <w:t xml:space="preserve"> فَقَالَ : أَمَا </w:t>
      </w:r>
      <w:r>
        <w:rPr>
          <w:rStyle w:val="libFootnotenumChar"/>
          <w:rtl/>
        </w:rPr>
        <w:t>(8)</w:t>
      </w:r>
      <w:r w:rsidRPr="00132E65">
        <w:rPr>
          <w:rtl/>
          <w:lang w:bidi="fa-IR"/>
        </w:rPr>
        <w:t xml:space="preserve"> واللهِ ، إِنَّهَا لَآيَةٌ عَظِيمَةٌ ، وَلكِنْ كَيْفَ أَصْنَعُ بِمَا قَالَ أَبُو عَبْدِ اللهِ </w:t>
      </w:r>
      <w:r w:rsidRPr="00071CF9">
        <w:rPr>
          <w:rStyle w:val="libAlaemChar"/>
          <w:rtl/>
        </w:rPr>
        <w:t>عليه‌السلام</w:t>
      </w:r>
      <w:r w:rsidRPr="00132E65">
        <w:rPr>
          <w:rtl/>
          <w:lang w:bidi="fa-IR"/>
        </w:rPr>
        <w:t xml:space="preserve"> </w:t>
      </w:r>
      <w:r>
        <w:rPr>
          <w:rStyle w:val="libFootnotenumChar"/>
          <w:rtl/>
        </w:rPr>
        <w:t>(9)</w:t>
      </w:r>
      <w:r w:rsidRPr="00132E65">
        <w:rPr>
          <w:rtl/>
          <w:lang w:bidi="fa-IR"/>
        </w:rPr>
        <w:t xml:space="preserve"> فِي ابْنِهِ</w:t>
      </w:r>
      <w:r>
        <w:rPr>
          <w:rtl/>
          <w:lang w:bidi="fa-IR"/>
        </w:rPr>
        <w:t>؟</w:t>
      </w:r>
      <w:r w:rsidRPr="00132E65">
        <w:rPr>
          <w:rtl/>
          <w:lang w:bidi="fa-IR"/>
        </w:rPr>
        <w:t xml:space="preserve"> </w:t>
      </w:r>
      <w:r>
        <w:rPr>
          <w:rStyle w:val="libFootnotenumChar"/>
          <w:rtl/>
        </w:rPr>
        <w:t>(10)</w:t>
      </w:r>
    </w:p>
    <w:p w:rsidR="000C39D1" w:rsidRPr="00132E65" w:rsidRDefault="000C39D1" w:rsidP="000C39D1">
      <w:pPr>
        <w:pStyle w:val="libNormal"/>
        <w:rPr>
          <w:rtl/>
          <w:lang w:bidi="fa-IR"/>
        </w:rPr>
      </w:pPr>
      <w:r w:rsidRPr="002A3884">
        <w:rPr>
          <w:rtl/>
        </w:rPr>
        <w:t>933</w:t>
      </w:r>
      <w:r w:rsidRPr="004325D8">
        <w:rPr>
          <w:rStyle w:val="libBold2Char"/>
          <w:rtl/>
        </w:rPr>
        <w:t xml:space="preserve"> / 12.</w:t>
      </w:r>
      <w:r w:rsidRPr="00132E65">
        <w:rPr>
          <w:rtl/>
          <w:lang w:bidi="fa-IR"/>
        </w:rPr>
        <w:t xml:space="preserve"> الْحُسَيْنُ بْنُ مُحَمَّدٍ ، عَنْ مُعَلَّى بْنِ مُحَمَّدٍ ، عَنِ الْوَشَّاءِ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أحمد بن محمّد »</w:t>
      </w:r>
      <w:r>
        <w:rPr>
          <w:rtl/>
        </w:rPr>
        <w:t>.</w:t>
      </w:r>
      <w:r w:rsidRPr="00132E65">
        <w:rPr>
          <w:rtl/>
        </w:rPr>
        <w:t xml:space="preserve"> وهو سهو ؛ فإنّه لم يثبت رواية أحمد بن محمّد شيخ الكليني عن محمّد بن‌عليّ مباشرة. وقد تكرّرت في الأسناد رواية أحمد بن مهران ، عن محمّد بن عليّ. راجع : </w:t>
      </w:r>
      <w:r w:rsidRPr="002A3884">
        <w:rPr>
          <w:rtl/>
        </w:rPr>
        <w:t>معجم رجال الحديث</w:t>
      </w:r>
      <w:r w:rsidRPr="00132E65">
        <w:rPr>
          <w:rtl/>
        </w:rPr>
        <w:t xml:space="preserve"> ، ج 2 ، ص 709.</w:t>
      </w:r>
    </w:p>
    <w:p w:rsidR="000C39D1" w:rsidRPr="00132E65" w:rsidRDefault="000C39D1" w:rsidP="000C39D1">
      <w:pPr>
        <w:pStyle w:val="libFootnote0"/>
        <w:rPr>
          <w:rtl/>
          <w:lang w:bidi="fa-IR"/>
        </w:rPr>
      </w:pPr>
      <w:r>
        <w:rPr>
          <w:rtl/>
        </w:rPr>
        <w:t>(2).</w:t>
      </w:r>
      <w:r w:rsidRPr="00132E65">
        <w:rPr>
          <w:rtl/>
        </w:rPr>
        <w:t xml:space="preserve"> في « بس » : « فقال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 « وليس »</w:t>
            </w:r>
            <w:r>
              <w:rPr>
                <w:rtl/>
              </w:rPr>
              <w:t>.</w:t>
            </w:r>
          </w:p>
        </w:tc>
        <w:tc>
          <w:tcPr>
            <w:tcW w:w="4006" w:type="dxa"/>
          </w:tcPr>
          <w:p w:rsidR="000C39D1" w:rsidRDefault="000C39D1" w:rsidP="00B53873">
            <w:pPr>
              <w:pStyle w:val="libFootnote0"/>
              <w:rPr>
                <w:rtl/>
              </w:rPr>
            </w:pPr>
            <w:r>
              <w:rPr>
                <w:rtl/>
              </w:rPr>
              <w:t>(4). في « ض » :</w:t>
            </w:r>
            <w:r w:rsidRPr="00132E65">
              <w:rPr>
                <w:rtl/>
              </w:rPr>
              <w:t>« ولده »</w:t>
            </w:r>
            <w:r>
              <w:rPr>
                <w:rtl/>
              </w:rPr>
              <w:t>. وفي« ف »:</w:t>
            </w:r>
            <w:r w:rsidRPr="00132E65">
              <w:rPr>
                <w:rtl/>
              </w:rPr>
              <w:t>« له ولد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البحار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(6).</w:t>
            </w:r>
            <w:r w:rsidRPr="00132E65">
              <w:rPr>
                <w:rtl/>
              </w:rPr>
              <w:t xml:space="preserve"> في « ض »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(7).</w:t>
      </w:r>
      <w:r w:rsidRPr="00132E65">
        <w:rPr>
          <w:rtl/>
        </w:rPr>
        <w:t xml:space="preserve"> في « ب ، ه‍ ، بر » : « ألا يقنعك »</w:t>
      </w:r>
      <w:r>
        <w:rPr>
          <w:rtl/>
        </w:rPr>
        <w:t>.</w:t>
      </w:r>
      <w:r w:rsidRPr="00132E65">
        <w:rPr>
          <w:rtl/>
        </w:rPr>
        <w:t xml:space="preserve"> وفي « ج » : « ألا تقنّعك »</w:t>
      </w:r>
      <w:r>
        <w:rPr>
          <w:rtl/>
        </w:rPr>
        <w:t>.</w:t>
      </w:r>
      <w:r w:rsidRPr="00132E65">
        <w:rPr>
          <w:rtl/>
        </w:rPr>
        <w:t xml:space="preserve"> وفي « بف » : « ألا تنفعك »</w:t>
      </w:r>
      <w:r>
        <w:rPr>
          <w:rtl/>
        </w:rPr>
        <w:t>.</w:t>
      </w:r>
    </w:p>
    <w:p w:rsidR="000C39D1" w:rsidRPr="00132E65" w:rsidRDefault="000C39D1" w:rsidP="000C39D1">
      <w:pPr>
        <w:pStyle w:val="libFootnote0"/>
        <w:rPr>
          <w:rtl/>
          <w:lang w:bidi="fa-IR"/>
        </w:rPr>
      </w:pPr>
      <w:r>
        <w:rPr>
          <w:rtl/>
        </w:rPr>
        <w:t>(8).</w:t>
      </w:r>
      <w:r w:rsidRPr="00132E65">
        <w:rPr>
          <w:rtl/>
        </w:rPr>
        <w:t xml:space="preserve"> في « ه‍ » : « فقال له » بدل « فقال أما »</w:t>
      </w:r>
      <w:r>
        <w:rPr>
          <w:rtl/>
        </w:rPr>
        <w:t>.</w:t>
      </w:r>
    </w:p>
    <w:p w:rsidR="000C39D1" w:rsidRPr="00132E65" w:rsidRDefault="000C39D1" w:rsidP="000C39D1">
      <w:pPr>
        <w:pStyle w:val="libFootnote0"/>
        <w:rPr>
          <w:rtl/>
          <w:lang w:bidi="fa-IR"/>
        </w:rPr>
      </w:pPr>
      <w:r>
        <w:rPr>
          <w:rtl/>
        </w:rPr>
        <w:t>(9).</w:t>
      </w:r>
      <w:r w:rsidRPr="00132E65">
        <w:rPr>
          <w:rtl/>
        </w:rPr>
        <w:t xml:space="preserve"> قوله : « بما قال أبو عبد الله </w:t>
      </w:r>
      <w:r w:rsidRPr="00AC3D56">
        <w:rPr>
          <w:rStyle w:val="libFootnoteAlaemChar"/>
          <w:rtl/>
        </w:rPr>
        <w:t>عليه‌السلام</w:t>
      </w:r>
      <w:r w:rsidRPr="00132E65">
        <w:rPr>
          <w:rtl/>
        </w:rPr>
        <w:t xml:space="preserve"> » كأنّه إشارة إلى حديث نقل عنه </w:t>
      </w:r>
      <w:r w:rsidRPr="00AC3D56">
        <w:rPr>
          <w:rStyle w:val="libFootnoteAlaemChar"/>
          <w:rtl/>
        </w:rPr>
        <w:t>عليه‌السلام</w:t>
      </w:r>
      <w:r w:rsidRPr="00132E65">
        <w:rPr>
          <w:rtl/>
        </w:rPr>
        <w:t xml:space="preserve"> قال : « منّا ثمانية محدّثون سابعهم القائم »</w:t>
      </w:r>
      <w:r>
        <w:rPr>
          <w:rtl/>
        </w:rPr>
        <w:t>.</w:t>
      </w:r>
      <w:r w:rsidRPr="00132E65">
        <w:rPr>
          <w:rtl/>
        </w:rPr>
        <w:t xml:space="preserve"> وهو من مفتريات الواقفيّة. راجع : </w:t>
      </w:r>
      <w:r w:rsidRPr="002A3884">
        <w:rPr>
          <w:rtl/>
        </w:rPr>
        <w:t>شرح المازندراني</w:t>
      </w:r>
      <w:r w:rsidRPr="00132E65">
        <w:rPr>
          <w:rtl/>
        </w:rPr>
        <w:t xml:space="preserve"> ، ج 6 ، ص 283 ؛ </w:t>
      </w:r>
      <w:r w:rsidRPr="009D1ACE">
        <w:rPr>
          <w:rStyle w:val="libFootnoteBoldChar"/>
          <w:rtl/>
        </w:rPr>
        <w:t>مرآة العقول</w:t>
      </w:r>
      <w:r w:rsidRPr="00132E65">
        <w:rPr>
          <w:rtl/>
        </w:rPr>
        <w:t xml:space="preserve"> ، ج 4 ، ص 102.</w:t>
      </w:r>
    </w:p>
    <w:p w:rsidR="000C39D1" w:rsidRPr="00132E65" w:rsidRDefault="000C39D1" w:rsidP="000C39D1">
      <w:pPr>
        <w:pStyle w:val="libFootnote0"/>
        <w:rPr>
          <w:rtl/>
          <w:lang w:bidi="fa-IR"/>
        </w:rPr>
      </w:pPr>
      <w:r>
        <w:rPr>
          <w:rtl/>
        </w:rPr>
        <w:t>(10).</w:t>
      </w:r>
      <w:r w:rsidRPr="00132E65">
        <w:rPr>
          <w:rtl/>
        </w:rPr>
        <w:t xml:space="preserve"> </w:t>
      </w:r>
      <w:r w:rsidRPr="000577A7">
        <w:rPr>
          <w:rStyle w:val="libFootnoteBoldChar"/>
          <w:rtl/>
        </w:rPr>
        <w:t>الكافي</w:t>
      </w:r>
      <w:r w:rsidRPr="00132E65">
        <w:rPr>
          <w:rtl/>
        </w:rPr>
        <w:t xml:space="preserve"> ، كتاب الحجّة ، باب الإشارة والنصّ على أبي جعفر الثاني </w:t>
      </w:r>
      <w:r w:rsidRPr="00AC3D56">
        <w:rPr>
          <w:rStyle w:val="libFootnoteAlaemChar"/>
          <w:rtl/>
        </w:rPr>
        <w:t>عليه‌السلام</w:t>
      </w:r>
      <w:r w:rsidRPr="00132E65">
        <w:rPr>
          <w:rtl/>
        </w:rPr>
        <w:t xml:space="preserve"> ، ح 839. وفي </w:t>
      </w:r>
      <w:r w:rsidRPr="002A3884">
        <w:rPr>
          <w:rtl/>
        </w:rPr>
        <w:t>الإرشاد</w:t>
      </w:r>
      <w:r w:rsidRPr="00132E65">
        <w:rPr>
          <w:rtl/>
        </w:rPr>
        <w:t xml:space="preserve"> ، ج 2 ، ص 277 ، بسنده عن الكليني ، عن أحمد بن محمّد ، عن محمّد بن عليّ. وفيهما إلى قوله : « فولد له بعد سنة أبو جعفر </w:t>
      </w:r>
      <w:r w:rsidRPr="00AC3D56">
        <w:rPr>
          <w:rStyle w:val="libFootnoteAlaemChar"/>
          <w:rtl/>
        </w:rPr>
        <w:t>عليه‌السلام</w:t>
      </w:r>
      <w:r w:rsidRPr="00132E65">
        <w:rPr>
          <w:rtl/>
        </w:rPr>
        <w:t xml:space="preserve"> » مع اختلاف يسير. وراجع : </w:t>
      </w:r>
      <w:r w:rsidRPr="000577A7">
        <w:rPr>
          <w:rStyle w:val="libFootnoteBoldChar"/>
          <w:rtl/>
        </w:rPr>
        <w:t>الكافي</w:t>
      </w:r>
      <w:r w:rsidRPr="00132E65">
        <w:rPr>
          <w:rtl/>
        </w:rPr>
        <w:t xml:space="preserve"> ، كتاب الحجّة ، باب أنّ الأرض لا تخلو من حجّة ، ح 451 ؛ </w:t>
      </w:r>
      <w:r w:rsidRPr="002A3884">
        <w:rPr>
          <w:rtl/>
        </w:rPr>
        <w:t>وكتاب سليم بن قيس</w:t>
      </w:r>
      <w:r w:rsidRPr="00132E65">
        <w:rPr>
          <w:rtl/>
        </w:rPr>
        <w:t xml:space="preserve"> ، ص 821 ؛ و</w:t>
      </w:r>
      <w:r w:rsidRPr="007A1104">
        <w:rPr>
          <w:rStyle w:val="libFootnoteBoldChar"/>
          <w:rtl/>
        </w:rPr>
        <w:t>بصائر الدرجات</w:t>
      </w:r>
      <w:r w:rsidRPr="00132E65">
        <w:rPr>
          <w:rtl/>
        </w:rPr>
        <w:t xml:space="preserve"> ، ص 486 ، ح 11 ؛ وص 511 ، ح 20 ؛ وص 516 ، ح 44 ؛ و</w:t>
      </w:r>
      <w:r w:rsidRPr="002A3884">
        <w:rPr>
          <w:rtl/>
        </w:rPr>
        <w:t>كمال الدين</w:t>
      </w:r>
      <w:r w:rsidRPr="00132E65">
        <w:rPr>
          <w:rtl/>
        </w:rPr>
        <w:t xml:space="preserve"> ، ص 223 ، ح 17 ؛ وص 233 ، ح 41</w:t>
      </w:r>
      <w:r>
        <w:rPr>
          <w:rFonts w:hint="cs"/>
          <w:rtl/>
        </w:rPr>
        <w:t>.</w:t>
      </w:r>
      <w:r w:rsidRPr="009D1ACE">
        <w:rPr>
          <w:rStyle w:val="libFootnoteBoldChar"/>
          <w:rtl/>
        </w:rPr>
        <w:t>الوافي</w:t>
      </w:r>
      <w:r w:rsidRPr="00132E65">
        <w:rPr>
          <w:rtl/>
        </w:rPr>
        <w:t xml:space="preserve"> ، ج 2 ، ص 176 ، ح 627 ؛ </w:t>
      </w:r>
      <w:r w:rsidRPr="002A3884">
        <w:rPr>
          <w:rtl/>
        </w:rPr>
        <w:t>البحار</w:t>
      </w:r>
      <w:r w:rsidRPr="00132E65">
        <w:rPr>
          <w:rtl/>
        </w:rPr>
        <w:t xml:space="preserve"> ، ج 49 ، ص 68 ، ح 89.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أَتَيْتُ خُرَاسَانَ وأَنَا واقِفٌ ، فَحَمَلْتُ مَعِي مَتَاعاً ، وكَانَ مَعِي ثَوْبٌ وشِيٌّ </w:t>
      </w:r>
      <w:r>
        <w:rPr>
          <w:rStyle w:val="libFootnotenumChar"/>
          <w:rtl/>
        </w:rPr>
        <w:t>(1)</w:t>
      </w:r>
      <w:r w:rsidRPr="00132E65">
        <w:rPr>
          <w:rtl/>
          <w:lang w:bidi="fa-IR"/>
        </w:rPr>
        <w:t xml:space="preserve"> فِي بَعْضِ الرِّزَمِ </w:t>
      </w:r>
      <w:r>
        <w:rPr>
          <w:rStyle w:val="libFootnotenumChar"/>
          <w:rtl/>
        </w:rPr>
        <w:t>(2)</w:t>
      </w:r>
      <w:r w:rsidRPr="00132E65">
        <w:rPr>
          <w:rtl/>
          <w:lang w:bidi="fa-IR"/>
        </w:rPr>
        <w:t xml:space="preserve"> ، ولَمْ أَشْعُرْ بِهِ ، ولَمْ أَعْرِفْ مَكَانَهُ ، فَلَمَّا قَدِمْتُ مَرْوَ ، و</w:t>
      </w:r>
      <w:r>
        <w:rPr>
          <w:rFonts w:hint="cs"/>
          <w:rtl/>
          <w:lang w:bidi="fa-IR"/>
        </w:rPr>
        <w:t xml:space="preserve">َ </w:t>
      </w:r>
      <w:r>
        <w:rPr>
          <w:rStyle w:val="libFootnotenumChar"/>
          <w:rtl/>
        </w:rPr>
        <w:t>(3)</w:t>
      </w:r>
      <w:r w:rsidRPr="00132E65">
        <w:rPr>
          <w:rtl/>
          <w:lang w:bidi="fa-IR"/>
        </w:rPr>
        <w:t xml:space="preserve"> نَزَلْتُ فِي بَعْضِ مَن</w:t>
      </w:r>
      <w:r>
        <w:rPr>
          <w:rtl/>
          <w:lang w:bidi="fa-IR"/>
        </w:rPr>
        <w:t>َازِلِهَا ، لَمْ أَشْعُرْ إِل</w:t>
      </w:r>
      <w:r>
        <w:rPr>
          <w:rFonts w:hint="cs"/>
          <w:rtl/>
          <w:lang w:bidi="fa-IR"/>
        </w:rPr>
        <w:t>َّ</w:t>
      </w:r>
      <w:r>
        <w:rPr>
          <w:rtl/>
          <w:lang w:bidi="fa-IR"/>
        </w:rPr>
        <w:t>ا</w:t>
      </w:r>
      <w:r w:rsidRPr="00132E65">
        <w:rPr>
          <w:rtl/>
          <w:lang w:bidi="fa-IR"/>
        </w:rPr>
        <w:t xml:space="preserve"> ورَجُلٌ مَدَنِيٌّ </w:t>
      </w:r>
      <w:r>
        <w:rPr>
          <w:rStyle w:val="libFootnotenumChar"/>
          <w:rtl/>
        </w:rPr>
        <w:t>(4)</w:t>
      </w:r>
      <w:r w:rsidRPr="00132E65">
        <w:rPr>
          <w:rtl/>
          <w:lang w:bidi="fa-IR"/>
        </w:rPr>
        <w:t xml:space="preserve"> مِنْ بَعْضِ مُوَلَّدِيهَا </w:t>
      </w:r>
      <w:r>
        <w:rPr>
          <w:rStyle w:val="libFootnotenumChar"/>
          <w:rtl/>
        </w:rPr>
        <w:t>(5)</w:t>
      </w:r>
      <w:r w:rsidRPr="00132E65">
        <w:rPr>
          <w:rtl/>
          <w:lang w:bidi="fa-IR"/>
        </w:rPr>
        <w:t xml:space="preserve"> ، فَقَالَ لِي : إِنَّ أَبَا الْحَسَنِ الرِّضَا </w:t>
      </w:r>
      <w:r w:rsidRPr="00071CF9">
        <w:rPr>
          <w:rStyle w:val="libAlaemChar"/>
          <w:rtl/>
        </w:rPr>
        <w:t>عليه‌السلام</w:t>
      </w:r>
      <w:r w:rsidRPr="00132E65">
        <w:rPr>
          <w:rtl/>
          <w:lang w:bidi="fa-IR"/>
        </w:rPr>
        <w:t xml:space="preserve"> يَقُولُ لَكَ : « ابْعَثْ إِلَيَّ الثَّوْبَ الْوَشِيَّ الَّذِي عِنْدَكَ »</w:t>
      </w:r>
      <w:r>
        <w:rPr>
          <w:rtl/>
          <w:lang w:bidi="fa-IR"/>
        </w:rPr>
        <w:t>.</w:t>
      </w:r>
      <w:r w:rsidRPr="00132E65">
        <w:rPr>
          <w:rtl/>
          <w:lang w:bidi="fa-IR"/>
        </w:rPr>
        <w:t xml:space="preserve"> قَالَ : فَقُلْتُ : ومَنْ أَخْبَرَ أَبَا الْحَسَنِ بِقُدُومِي وَأَنَا قَدِمْتُ </w:t>
      </w:r>
      <w:r>
        <w:rPr>
          <w:rStyle w:val="libFootnotenumChar"/>
          <w:rtl/>
        </w:rPr>
        <w:t>(6)</w:t>
      </w:r>
      <w:r w:rsidRPr="00132E65">
        <w:rPr>
          <w:rtl/>
          <w:lang w:bidi="fa-IR"/>
        </w:rPr>
        <w:t xml:space="preserve"> آنِفاً</w:t>
      </w:r>
      <w:r>
        <w:rPr>
          <w:rtl/>
          <w:lang w:bidi="fa-IR"/>
        </w:rPr>
        <w:t>؟</w:t>
      </w:r>
      <w:r w:rsidRPr="00132E65">
        <w:rPr>
          <w:rtl/>
          <w:lang w:bidi="fa-IR"/>
        </w:rPr>
        <w:t xml:space="preserve"> ومَا عِنْدِي ثَوْبٌ وشِيٌّ </w:t>
      </w:r>
      <w:r>
        <w:rPr>
          <w:rStyle w:val="libFootnotenumChar"/>
          <w:rtl/>
        </w:rPr>
        <w:t>(7)</w:t>
      </w:r>
      <w:r w:rsidRPr="00132E65">
        <w:rPr>
          <w:rtl/>
          <w:lang w:bidi="fa-IR"/>
        </w:rPr>
        <w:t xml:space="preserve"> ، فَرَجَعَ إِلَيْهِ ، وعَادَ إِلَيَّ ، فَقَالَ : يَقُولُ لَكَ </w:t>
      </w:r>
      <w:r>
        <w:rPr>
          <w:rStyle w:val="libFootnotenumChar"/>
          <w:rtl/>
        </w:rPr>
        <w:t>(8)</w:t>
      </w:r>
      <w:r w:rsidRPr="00132E65">
        <w:rPr>
          <w:rtl/>
          <w:lang w:bidi="fa-IR"/>
        </w:rPr>
        <w:t xml:space="preserve"> :</w:t>
      </w:r>
      <w:r>
        <w:rPr>
          <w:rFonts w:hint="cs"/>
          <w:rtl/>
          <w:lang w:bidi="fa-IR"/>
        </w:rPr>
        <w:t xml:space="preserve"> </w:t>
      </w:r>
      <w:r w:rsidRPr="00132E65">
        <w:rPr>
          <w:rtl/>
          <w:lang w:bidi="fa-IR"/>
        </w:rPr>
        <w:t xml:space="preserve">« بَلى هُوَ فِي </w:t>
      </w:r>
      <w:r>
        <w:rPr>
          <w:rStyle w:val="libFootnotenumChar"/>
          <w:rtl/>
        </w:rPr>
        <w:t>(9)</w:t>
      </w:r>
      <w:r w:rsidRPr="00132E65">
        <w:rPr>
          <w:rtl/>
          <w:lang w:bidi="fa-IR"/>
        </w:rPr>
        <w:t xml:space="preserve"> مَوْضِعِ كَذَا وكَذَا ، ورِزْمَتُهُ </w:t>
      </w:r>
      <w:r>
        <w:rPr>
          <w:rStyle w:val="libFootnotenumChar"/>
          <w:rtl/>
        </w:rPr>
        <w:t>(10)</w:t>
      </w:r>
      <w:r w:rsidRPr="00132E65">
        <w:rPr>
          <w:rtl/>
          <w:lang w:bidi="fa-IR"/>
        </w:rPr>
        <w:t xml:space="preserve"> كَذَا وكَذَا »</w:t>
      </w:r>
      <w:r>
        <w:rPr>
          <w:rtl/>
          <w:lang w:bidi="fa-IR"/>
        </w:rPr>
        <w:t>.</w:t>
      </w:r>
      <w:r w:rsidRPr="00132E65">
        <w:rPr>
          <w:rtl/>
          <w:lang w:bidi="fa-IR"/>
        </w:rPr>
        <w:t xml:space="preserve"> فَطَلَبْتُهُ حَيْثُ قَالَ ، فَوَجَدْتُهُ فِي أَسْفَلِ الرِّزْمَةِ ، فَبَعَثْتُ بِهِ إِلَيْهِ.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2A3884">
        <w:rPr>
          <w:rtl/>
        </w:rPr>
        <w:t>934</w:t>
      </w:r>
      <w:r w:rsidRPr="004325D8">
        <w:rPr>
          <w:rStyle w:val="libBold2Char"/>
          <w:rtl/>
        </w:rPr>
        <w:t xml:space="preserve"> / 13.</w:t>
      </w:r>
      <w:r w:rsidRPr="00132E65">
        <w:rPr>
          <w:rtl/>
          <w:lang w:bidi="fa-IR"/>
        </w:rPr>
        <w:t xml:space="preserve"> ابْنُ فَضَّالٍ </w:t>
      </w:r>
      <w:r>
        <w:rPr>
          <w:rStyle w:val="libFootnotenumChar"/>
          <w:rtl/>
        </w:rPr>
        <w:t>(12)</w:t>
      </w:r>
      <w:r w:rsidRPr="00132E65">
        <w:rPr>
          <w:rtl/>
          <w:lang w:bidi="fa-IR"/>
        </w:rPr>
        <w:t xml:space="preserve"> ، عَنْ عَبْدِ اللهِ بْنِ الْمُغِيرَةِ ، قَالَ :</w:t>
      </w:r>
    </w:p>
    <w:p w:rsidR="000C39D1" w:rsidRPr="00132E65" w:rsidRDefault="000C39D1" w:rsidP="000C39D1">
      <w:pPr>
        <w:pStyle w:val="libNormal"/>
        <w:rPr>
          <w:rtl/>
          <w:lang w:bidi="fa-IR"/>
        </w:rPr>
      </w:pPr>
      <w:r w:rsidRPr="00132E65">
        <w:rPr>
          <w:rtl/>
          <w:lang w:bidi="fa-IR"/>
        </w:rPr>
        <w:t>كُنْتُ واقِفاً ، وحَجَجْتُ عَلى تِلْكَ الْحَالِ ، فَلَمَّا صِرْتُ بِمَكَّةَ ، خَلَجَ فِي صَدْرِي‌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الوَشِيُّ » : المنقوش ، من الوَشْي في اللون ، وهو خلط لون بلون آخر. يقال : وشَى الثوبَ وشْياً وشِيَةً ، أي‌حسّنه ونَقَشَه ورقَمَه وصوّره ولوّنه وزيّنه. والوَشْيُ أيضاً : نوع من الثياب ال</w:t>
      </w:r>
      <w:r>
        <w:rPr>
          <w:rFonts w:hint="cs"/>
          <w:rtl/>
        </w:rPr>
        <w:t>ـ</w:t>
      </w:r>
      <w:r w:rsidRPr="00132E65">
        <w:rPr>
          <w:rtl/>
        </w:rPr>
        <w:t xml:space="preserve">مَوْشِيَّة تسمية بالمصدر. راجع : </w:t>
      </w:r>
      <w:r w:rsidRPr="009D1ACE">
        <w:rPr>
          <w:rStyle w:val="libFootnoteBoldChar"/>
          <w:rtl/>
        </w:rPr>
        <w:t>لسان العرب</w:t>
      </w:r>
      <w:r w:rsidRPr="00132E65">
        <w:rPr>
          <w:rtl/>
        </w:rPr>
        <w:t xml:space="preserve"> ، ج 15 ، ص 392 ؛ </w:t>
      </w:r>
      <w:r w:rsidRPr="002A3884">
        <w:rPr>
          <w:rtl/>
        </w:rPr>
        <w:t>المصباح المنير</w:t>
      </w:r>
      <w:r w:rsidRPr="00132E65">
        <w:rPr>
          <w:rtl/>
        </w:rPr>
        <w:t xml:space="preserve"> ، ص 661 ( وشى )</w:t>
      </w:r>
      <w:r>
        <w:rPr>
          <w:rtl/>
        </w:rPr>
        <w:t>.</w:t>
      </w:r>
    </w:p>
    <w:p w:rsidR="000C39D1" w:rsidRPr="00132E65" w:rsidRDefault="000C39D1" w:rsidP="000C39D1">
      <w:pPr>
        <w:pStyle w:val="libFootnote0"/>
        <w:rPr>
          <w:rtl/>
          <w:lang w:bidi="fa-IR"/>
        </w:rPr>
      </w:pPr>
      <w:r>
        <w:rPr>
          <w:rtl/>
        </w:rPr>
        <w:t>(2).</w:t>
      </w:r>
      <w:r w:rsidRPr="00132E65">
        <w:rPr>
          <w:rtl/>
        </w:rPr>
        <w:t xml:space="preserve"> « الرِزَمُ » : جمع الرِزْمة ، وهي من الثياب ما شُدَّ وجُمع في ثوب واحد. </w:t>
      </w:r>
      <w:r w:rsidRPr="009D1ACE">
        <w:rPr>
          <w:rStyle w:val="libFootnoteBoldChar"/>
          <w:rtl/>
        </w:rPr>
        <w:t>لسان العرب</w:t>
      </w:r>
      <w:r>
        <w:rPr>
          <w:rtl/>
        </w:rPr>
        <w:t xml:space="preserve"> ، ج 12 ، ص 239(رزم</w:t>
      </w:r>
      <w:r w:rsidRPr="00132E65">
        <w:rPr>
          <w:rtl/>
        </w:rPr>
        <w:t>)</w:t>
      </w:r>
      <w:r>
        <w:rPr>
          <w:rtl/>
        </w:rPr>
        <w:t>.</w:t>
      </w:r>
    </w:p>
    <w:p w:rsidR="000C39D1" w:rsidRPr="00132E65" w:rsidRDefault="000C39D1" w:rsidP="00D14011">
      <w:pPr>
        <w:pStyle w:val="libFootnote0"/>
        <w:rPr>
          <w:rtl/>
          <w:lang w:bidi="fa-IR"/>
        </w:rPr>
      </w:pPr>
      <w:r>
        <w:rPr>
          <w:rtl/>
        </w:rPr>
        <w:t>(3).</w:t>
      </w:r>
      <w:r w:rsidRPr="00132E65">
        <w:rPr>
          <w:rtl/>
        </w:rPr>
        <w:t xml:space="preserve"> في « ف ، ه‍ </w:t>
      </w:r>
      <w:r w:rsidR="00D14011" w:rsidRPr="00132E65">
        <w:rPr>
          <w:rtl/>
        </w:rPr>
        <w:t>»</w:t>
      </w:r>
      <w:r w:rsidRPr="00132E65">
        <w:rPr>
          <w:rtl/>
        </w:rPr>
        <w:t xml:space="preserve"> </w:t>
      </w:r>
      <w:r>
        <w:rPr>
          <w:rtl/>
        </w:rPr>
        <w:t xml:space="preserve">: - </w:t>
      </w:r>
      <w:r w:rsidRPr="00132E65">
        <w:rPr>
          <w:rtl/>
        </w:rPr>
        <w:t xml:space="preserve">« </w:t>
      </w:r>
      <w:r>
        <w:rPr>
          <w:rtl/>
        </w:rPr>
        <w:t>و ».</w:t>
      </w:r>
    </w:p>
    <w:p w:rsidR="000C39D1" w:rsidRPr="00132E65" w:rsidRDefault="000C39D1" w:rsidP="00D14011">
      <w:pPr>
        <w:pStyle w:val="libFootnote0"/>
        <w:rPr>
          <w:rtl/>
          <w:lang w:bidi="fa-IR"/>
        </w:rPr>
      </w:pPr>
      <w:r>
        <w:rPr>
          <w:rtl/>
        </w:rPr>
        <w:t>(4).</w:t>
      </w:r>
      <w:r w:rsidRPr="00132E65">
        <w:rPr>
          <w:rtl/>
        </w:rPr>
        <w:t xml:space="preserve"> في « ه‍ </w:t>
      </w:r>
      <w:r w:rsidR="00D14011" w:rsidRPr="00132E65">
        <w:rPr>
          <w:rtl/>
        </w:rPr>
        <w:t>»</w:t>
      </w:r>
      <w:r w:rsidRPr="00132E65">
        <w:rPr>
          <w:rtl/>
        </w:rPr>
        <w:t xml:space="preserve"> : « مديني »</w:t>
      </w:r>
      <w:r>
        <w:rPr>
          <w:rtl/>
        </w:rPr>
        <w:t>.</w:t>
      </w:r>
    </w:p>
    <w:p w:rsidR="000C39D1" w:rsidRPr="00132E65" w:rsidRDefault="000C39D1" w:rsidP="000C39D1">
      <w:pPr>
        <w:pStyle w:val="libFootnote0"/>
        <w:rPr>
          <w:rtl/>
          <w:lang w:bidi="fa-IR"/>
        </w:rPr>
      </w:pPr>
      <w:r>
        <w:rPr>
          <w:rtl/>
        </w:rPr>
        <w:t>(5).</w:t>
      </w:r>
      <w:r w:rsidRPr="00132E65">
        <w:rPr>
          <w:rtl/>
        </w:rPr>
        <w:t xml:space="preserve"> قال المجلسي في </w:t>
      </w:r>
      <w:r w:rsidRPr="009D1ACE">
        <w:rPr>
          <w:rStyle w:val="libFootnoteBoldChar"/>
          <w:rtl/>
        </w:rPr>
        <w:t>مرآة العقول</w:t>
      </w:r>
      <w:r w:rsidRPr="00132E65">
        <w:rPr>
          <w:rtl/>
        </w:rPr>
        <w:t xml:space="preserve"> : « من بعض مولّديها ، الضمير للمدينة الطيّبة ، أي أبواه ولدا</w:t>
      </w:r>
      <w:r>
        <w:rPr>
          <w:rtl/>
        </w:rPr>
        <w:t>ه بهاولم يكوناعنها</w:t>
      </w:r>
      <w:r w:rsidRPr="00132E65">
        <w:rPr>
          <w:rtl/>
        </w:rPr>
        <w:t>»</w:t>
      </w:r>
      <w:r>
        <w:rPr>
          <w:rtl/>
        </w:rPr>
        <w:t>.</w:t>
      </w:r>
    </w:p>
    <w:p w:rsidR="000C39D1" w:rsidRPr="00132E65" w:rsidRDefault="000C39D1" w:rsidP="000C39D1">
      <w:pPr>
        <w:pStyle w:val="libFootnote0"/>
        <w:rPr>
          <w:rtl/>
          <w:lang w:bidi="fa-IR"/>
        </w:rPr>
      </w:pPr>
      <w:r>
        <w:rPr>
          <w:rtl/>
        </w:rPr>
        <w:t>(6).</w:t>
      </w:r>
      <w:r w:rsidRPr="00132E65">
        <w:rPr>
          <w:rtl/>
        </w:rPr>
        <w:t xml:space="preserve"> في « ف » : « قد قدّمت »</w:t>
      </w:r>
      <w:r>
        <w:rPr>
          <w:rtl/>
        </w:rPr>
        <w:t>.</w:t>
      </w:r>
    </w:p>
    <w:p w:rsidR="000C39D1" w:rsidRPr="00132E65" w:rsidRDefault="000C39D1" w:rsidP="00D14011">
      <w:pPr>
        <w:pStyle w:val="libFootnote0"/>
        <w:rPr>
          <w:rtl/>
          <w:lang w:bidi="fa-IR"/>
        </w:rPr>
      </w:pPr>
      <w:r>
        <w:rPr>
          <w:rtl/>
        </w:rPr>
        <w:t>(7).</w:t>
      </w:r>
      <w:r w:rsidRPr="00132E65">
        <w:rPr>
          <w:rtl/>
        </w:rPr>
        <w:t xml:space="preserve"> في « ه‍ </w:t>
      </w:r>
      <w:r w:rsidR="00D14011" w:rsidRPr="00132E65">
        <w:rPr>
          <w:rtl/>
        </w:rPr>
        <w:t>»</w:t>
      </w:r>
      <w:r w:rsidRPr="00132E65">
        <w:rPr>
          <w:rtl/>
        </w:rPr>
        <w:t xml:space="preserve"> :</w:t>
      </w:r>
      <w:r>
        <w:rPr>
          <w:rtl/>
        </w:rPr>
        <w:t xml:space="preserve"> + </w:t>
      </w:r>
      <w:r w:rsidRPr="00132E65">
        <w:rPr>
          <w:rtl/>
        </w:rPr>
        <w:t>« فقال لي : لا أدري من أخبره ، فقلت : ما عندي ثوب وشيّ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(8).</w:t>
            </w:r>
            <w:r w:rsidRPr="00132E65">
              <w:rPr>
                <w:rtl/>
              </w:rPr>
              <w:t xml:space="preserve"> في « ب ، ف » </w:t>
            </w:r>
            <w:r>
              <w:rPr>
                <w:rtl/>
              </w:rPr>
              <w:t xml:space="preserve">: - </w:t>
            </w:r>
            <w:r w:rsidRPr="00132E65">
              <w:rPr>
                <w:rtl/>
              </w:rPr>
              <w:t>« لك »</w:t>
            </w:r>
            <w:r>
              <w:rPr>
                <w:rtl/>
              </w:rPr>
              <w:t>.</w:t>
            </w:r>
          </w:p>
        </w:tc>
        <w:tc>
          <w:tcPr>
            <w:tcW w:w="4006" w:type="dxa"/>
          </w:tcPr>
          <w:p w:rsidR="000C39D1" w:rsidRDefault="000C39D1" w:rsidP="00B53873">
            <w:pPr>
              <w:pStyle w:val="libFootnote0"/>
              <w:rPr>
                <w:rtl/>
                <w:lang w:bidi="fa-IR"/>
              </w:rPr>
            </w:pPr>
            <w:r>
              <w:rPr>
                <w:rtl/>
              </w:rPr>
              <w:t>(9).</w:t>
            </w:r>
            <w:r w:rsidRPr="00132E65">
              <w:rPr>
                <w:rtl/>
              </w:rPr>
              <w:t xml:space="preserve"> في « ج » </w:t>
            </w:r>
            <w:r>
              <w:rPr>
                <w:rtl/>
              </w:rPr>
              <w:t xml:space="preserve">: - </w:t>
            </w:r>
            <w:r w:rsidRPr="00132E65">
              <w:rPr>
                <w:rtl/>
              </w:rPr>
              <w:t>« في »</w:t>
            </w:r>
            <w:r>
              <w:rPr>
                <w:rtl/>
              </w:rPr>
              <w:t>.</w:t>
            </w:r>
          </w:p>
        </w:tc>
      </w:tr>
    </w:tbl>
    <w:p w:rsidR="000C39D1" w:rsidRPr="00132E65" w:rsidRDefault="000C39D1" w:rsidP="00D14011">
      <w:pPr>
        <w:pStyle w:val="libFootnote0"/>
        <w:rPr>
          <w:rtl/>
          <w:lang w:bidi="fa-IR"/>
        </w:rPr>
      </w:pPr>
      <w:r>
        <w:rPr>
          <w:rtl/>
        </w:rPr>
        <w:t>(10).</w:t>
      </w:r>
      <w:r w:rsidRPr="00132E65">
        <w:rPr>
          <w:rtl/>
        </w:rPr>
        <w:t xml:space="preserve"> في « ه‍ </w:t>
      </w:r>
      <w:r w:rsidR="00D14011" w:rsidRPr="00132E65">
        <w:rPr>
          <w:rtl/>
        </w:rPr>
        <w:t>»</w:t>
      </w:r>
      <w:r w:rsidRPr="00132E65">
        <w:rPr>
          <w:rtl/>
        </w:rPr>
        <w:t xml:space="preserve"> والبحار : « رزمة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2 ، ص 176 ، ح 628 ؛ </w:t>
      </w:r>
      <w:r w:rsidRPr="002A3884">
        <w:rPr>
          <w:rtl/>
        </w:rPr>
        <w:t>البحار</w:t>
      </w:r>
      <w:r w:rsidRPr="00132E65">
        <w:rPr>
          <w:rtl/>
        </w:rPr>
        <w:t xml:space="preserve"> ، ج 49 ، ص 68 ، ح 90.</w:t>
      </w:r>
    </w:p>
    <w:p w:rsidR="000C39D1" w:rsidRPr="00132E65" w:rsidRDefault="000C39D1" w:rsidP="000C39D1">
      <w:pPr>
        <w:pStyle w:val="libFootnote0"/>
        <w:rPr>
          <w:rtl/>
          <w:lang w:bidi="fa-IR"/>
        </w:rPr>
      </w:pPr>
      <w:r>
        <w:rPr>
          <w:rtl/>
        </w:rPr>
        <w:t>(12).</w:t>
      </w:r>
      <w:r w:rsidRPr="00132E65">
        <w:rPr>
          <w:rtl/>
        </w:rPr>
        <w:t xml:space="preserve"> ابن فضّال الراوي عن عبد الله بن المغيرة ، هو الحسن بن عليّ بن فضّال ( راجع : </w:t>
      </w:r>
      <w:r w:rsidRPr="002A3884">
        <w:rPr>
          <w:rtl/>
        </w:rPr>
        <w:t>التهذيب</w:t>
      </w:r>
      <w:r w:rsidRPr="00132E65">
        <w:rPr>
          <w:rtl/>
        </w:rPr>
        <w:t xml:space="preserve"> ، ج 9 ، ص 273 ، ح 988 ؛ وص 301 ، ح 1077 ؛ و</w:t>
      </w:r>
      <w:r w:rsidRPr="007A1104">
        <w:rPr>
          <w:rStyle w:val="libFootnoteBoldChar"/>
          <w:rtl/>
        </w:rPr>
        <w:t>الاستبصار</w:t>
      </w:r>
      <w:r w:rsidRPr="00132E65">
        <w:rPr>
          <w:rtl/>
        </w:rPr>
        <w:t xml:space="preserve"> ، ج 4 ، ص 153 ، ح 580 ) وليس هو من مشايخ الكليني </w:t>
      </w:r>
      <w:r w:rsidRPr="00D86701">
        <w:rPr>
          <w:rStyle w:val="libFootnoteAlaemChar"/>
          <w:rtl/>
        </w:rPr>
        <w:t>قدس‌سره</w:t>
      </w:r>
      <w:r w:rsidRPr="00132E65">
        <w:rPr>
          <w:rtl/>
        </w:rPr>
        <w:t xml:space="preserve"> ، بل يروي عنه الكليني معمولاً بواسطتين. ومع ذلك ليس في الأسناد السابقة ما يصلح أن يكون هذا السند معلّقاً عليه.</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شَيْ‌ءٌ </w:t>
      </w:r>
      <w:r>
        <w:rPr>
          <w:rStyle w:val="libFootnotenumChar"/>
          <w:rtl/>
        </w:rPr>
        <w:t>(1)</w:t>
      </w:r>
      <w:r w:rsidRPr="00132E65">
        <w:rPr>
          <w:rtl/>
          <w:lang w:bidi="fa-IR"/>
        </w:rPr>
        <w:t xml:space="preserve"> ، فَتَعَلَّقْتُ بِالْمُلْتَزَمِ </w:t>
      </w:r>
      <w:r>
        <w:rPr>
          <w:rStyle w:val="libFootnotenumChar"/>
          <w:rtl/>
        </w:rPr>
        <w:t>(2)</w:t>
      </w:r>
      <w:r w:rsidRPr="00132E65">
        <w:rPr>
          <w:rtl/>
          <w:lang w:bidi="fa-IR"/>
        </w:rPr>
        <w:t xml:space="preserve"> ، ثُمَّ قُلْتُ : اللهُمَّ قَدْ عَلِمْتَ طَلِبَتِي وإِرَادَتِي ، فَأَرْشِدْنِي إِلى خَيْرِ الْأَدْيَانِ.</w:t>
      </w:r>
    </w:p>
    <w:p w:rsidR="000C39D1" w:rsidRPr="00132E65" w:rsidRDefault="000C39D1" w:rsidP="000C39D1">
      <w:pPr>
        <w:pStyle w:val="libNormal"/>
        <w:rPr>
          <w:rtl/>
          <w:lang w:bidi="fa-IR"/>
        </w:rPr>
      </w:pPr>
      <w:r w:rsidRPr="00132E65">
        <w:rPr>
          <w:rtl/>
          <w:lang w:bidi="fa-IR"/>
        </w:rPr>
        <w:t xml:space="preserve">فَوَقَعَ فِي نَفْسِي أَنْ آتِيَ الرِّضَا </w:t>
      </w:r>
      <w:r w:rsidRPr="00071CF9">
        <w:rPr>
          <w:rStyle w:val="libAlaemChar"/>
          <w:rtl/>
        </w:rPr>
        <w:t>عليه‌السلام</w:t>
      </w:r>
      <w:r w:rsidRPr="00132E65">
        <w:rPr>
          <w:rtl/>
          <w:lang w:bidi="fa-IR"/>
        </w:rPr>
        <w:t xml:space="preserve"> ، فَأَتَيْتُ الْمَدِينَةَ ، فَوَقَفْتُ بِبَابِهِ ، وقُلْتُ </w:t>
      </w:r>
      <w:r>
        <w:rPr>
          <w:rStyle w:val="libFootnotenumChar"/>
          <w:rtl/>
        </w:rPr>
        <w:t>(3)</w:t>
      </w:r>
      <w:r w:rsidRPr="00132E65">
        <w:rPr>
          <w:rtl/>
          <w:lang w:bidi="fa-IR"/>
        </w:rPr>
        <w:t xml:space="preserve"> لِلْغُلَامِ :</w:t>
      </w:r>
      <w:r>
        <w:rPr>
          <w:rFonts w:hint="cs"/>
          <w:rtl/>
          <w:lang w:bidi="fa-IR"/>
        </w:rPr>
        <w:t xml:space="preserve"> </w:t>
      </w:r>
      <w:r w:rsidRPr="00132E65">
        <w:rPr>
          <w:rtl/>
          <w:lang w:bidi="fa-IR"/>
        </w:rPr>
        <w:t xml:space="preserve">قُلْ لِمَوْلَاكَ : رَجُلٌ مِنْ أَهْلِ الْعِرَاقِ بِالْبَابِ ، قَالَ : فَسَمِعْتُ نِدَاءَهُ </w:t>
      </w:r>
      <w:r>
        <w:rPr>
          <w:rStyle w:val="libFootnotenumChar"/>
          <w:rtl/>
        </w:rPr>
        <w:t>(4)</w:t>
      </w:r>
      <w:r w:rsidRPr="00132E65">
        <w:rPr>
          <w:rtl/>
          <w:lang w:bidi="fa-IR"/>
        </w:rPr>
        <w:t xml:space="preserve"> وهُوَ يَقُولُ : « ادْخُلْ يَا عَبْدَ اللهِ بْنَ الْمُغِيرَةِ ، ادْخُلْ يَا عَبْدَ اللهِ بْنَ الْمُغِيرَةِ »</w:t>
      </w:r>
      <w:r>
        <w:rPr>
          <w:rtl/>
          <w:lang w:bidi="fa-IR"/>
        </w:rPr>
        <w:t>.</w:t>
      </w:r>
      <w:r w:rsidRPr="00132E65">
        <w:rPr>
          <w:rtl/>
          <w:lang w:bidi="fa-IR"/>
        </w:rPr>
        <w:t xml:space="preserve"> فَدَخَلْتُ ، فَلَمَّا نَظَرَ إِلَيَّ ، قَالَ لِي : « قَدْ أَجَابَ اللهُ دُعَاءَكَ </w:t>
      </w:r>
      <w:r>
        <w:rPr>
          <w:rStyle w:val="libFootnotenumChar"/>
          <w:rtl/>
        </w:rPr>
        <w:t>(5)</w:t>
      </w:r>
      <w:r w:rsidRPr="00132E65">
        <w:rPr>
          <w:rtl/>
          <w:lang w:bidi="fa-IR"/>
        </w:rPr>
        <w:t xml:space="preserve"> ، وهَدَاكَ لِدِينِهِ »</w:t>
      </w:r>
      <w:r>
        <w:rPr>
          <w:rtl/>
          <w:lang w:bidi="fa-IR"/>
        </w:rPr>
        <w:t>.</w:t>
      </w:r>
      <w:r w:rsidRPr="00132E65">
        <w:rPr>
          <w:rtl/>
          <w:lang w:bidi="fa-IR"/>
        </w:rPr>
        <w:t xml:space="preserve"> فَقُلْتُ : أَشْهَدُ </w:t>
      </w:r>
      <w:r>
        <w:rPr>
          <w:rStyle w:val="libFootnotenumChar"/>
          <w:rtl/>
        </w:rPr>
        <w:t>(6)</w:t>
      </w:r>
      <w:r w:rsidRPr="00132E65">
        <w:rPr>
          <w:rtl/>
          <w:lang w:bidi="fa-IR"/>
        </w:rPr>
        <w:t xml:space="preserve"> أَنَّكَ حُجَّةُ اللهِ ، وأَمِينُهُ عَلى خَلْقِهِ. </w:t>
      </w:r>
      <w:r>
        <w:rPr>
          <w:rStyle w:val="libFootnotenumChar"/>
          <w:rtl/>
        </w:rPr>
        <w:t>(7)</w:t>
      </w:r>
      <w:r w:rsidRPr="00132E65">
        <w:rPr>
          <w:rtl/>
          <w:lang w:bidi="fa-IR"/>
        </w:rPr>
        <w:t>‌</w:t>
      </w:r>
    </w:p>
    <w:p w:rsidR="000C39D1" w:rsidRPr="00132E65" w:rsidRDefault="000C39D1" w:rsidP="000C39D1">
      <w:pPr>
        <w:pStyle w:val="libNormal"/>
        <w:rPr>
          <w:rtl/>
          <w:lang w:bidi="fa-IR"/>
        </w:rPr>
      </w:pPr>
      <w:r w:rsidRPr="002A3884">
        <w:rPr>
          <w:rtl/>
        </w:rPr>
        <w:t>935</w:t>
      </w:r>
      <w:r w:rsidRPr="004325D8">
        <w:rPr>
          <w:rStyle w:val="libBold2Char"/>
          <w:rtl/>
        </w:rPr>
        <w:t xml:space="preserve"> / 14.</w:t>
      </w:r>
      <w:r w:rsidRPr="00132E65">
        <w:rPr>
          <w:rtl/>
          <w:lang w:bidi="fa-IR"/>
        </w:rPr>
        <w:t xml:space="preserve"> الْحُسَيْنُ بْنُ مُحَمَّدٍ ، عَنْ مُعَلَّى بْنِ مُحَمَّدٍ ، عَنْ أَحْمَدَ بْنِ مُحَ</w:t>
      </w:r>
      <w:r>
        <w:rPr>
          <w:rtl/>
          <w:lang w:bidi="fa-IR"/>
        </w:rPr>
        <w:t>مَّدِ بْنِ عَبْدِ اللهِ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كَانَ عَبْدُ اللهِ بْنُ هُلَيْلٍ يَقُولُ بِعَبْدِ اللهِ </w:t>
      </w:r>
      <w:r>
        <w:rPr>
          <w:rStyle w:val="libFootnotenumChar"/>
          <w:rtl/>
        </w:rPr>
        <w:t>(8)</w:t>
      </w:r>
      <w:r w:rsidRPr="00132E65">
        <w:rPr>
          <w:rtl/>
          <w:lang w:bidi="fa-IR"/>
        </w:rPr>
        <w:t xml:space="preserve"> ، فَصَارَ إِلَى الْعَسْكَرِ </w:t>
      </w:r>
      <w:r>
        <w:rPr>
          <w:rStyle w:val="libFootnotenumChar"/>
          <w:rtl/>
        </w:rPr>
        <w:t>(9)</w:t>
      </w:r>
      <w:r w:rsidRPr="00132E65">
        <w:rPr>
          <w:rtl/>
          <w:lang w:bidi="fa-IR"/>
        </w:rPr>
        <w:t xml:space="preserve"> ، فَرَجَعَ عَنْ ذلِكَ ، فَسَأَلْتُهُ عَنْ سَبَبِ رُجُوعِهِ ، فَقَالَ : إِنِّي عَرَضْتُ </w:t>
      </w:r>
      <w:r>
        <w:rPr>
          <w:rStyle w:val="libFootnotenumChar"/>
          <w:rtl/>
        </w:rPr>
        <w:t>(10)</w:t>
      </w:r>
      <w:r w:rsidRPr="00132E65">
        <w:rPr>
          <w:rtl/>
          <w:lang w:bidi="fa-IR"/>
        </w:rPr>
        <w:t xml:space="preserve"> لِأَبِي الْحَسَنِ </w:t>
      </w:r>
      <w:r w:rsidRPr="00071CF9">
        <w:rPr>
          <w:rStyle w:val="libAlaemChar"/>
          <w:rtl/>
        </w:rPr>
        <w:t>عليه‌السلام</w:t>
      </w:r>
      <w:r w:rsidRPr="00132E65">
        <w:rPr>
          <w:rtl/>
          <w:lang w:bidi="fa-IR"/>
        </w:rPr>
        <w:t xml:space="preserve"> أَنْ </w:t>
      </w:r>
      <w:r>
        <w:rPr>
          <w:rStyle w:val="libFootnotenumChar"/>
          <w:rtl/>
        </w:rPr>
        <w:t>(11)</w:t>
      </w:r>
      <w:r w:rsidRPr="00132E65">
        <w:rPr>
          <w:rtl/>
          <w:lang w:bidi="fa-IR"/>
        </w:rPr>
        <w:t xml:space="preserve"> أَسْأَلَهُ عَنْ ذلِكَ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خَلَجَ في صدري شي‌ء » ، أي تحرّك فيه شي‌ء من الريبة والشكّ ؛ من الخَلْج بمعنى الحركة والاضطراب ، مثل‌الاختلاج. راجع : </w:t>
      </w:r>
      <w:r w:rsidRPr="009D1ACE">
        <w:rPr>
          <w:rStyle w:val="libFootnoteBoldChar"/>
          <w:rtl/>
        </w:rPr>
        <w:t>لسان العرب</w:t>
      </w:r>
      <w:r w:rsidRPr="00132E65">
        <w:rPr>
          <w:rtl/>
        </w:rPr>
        <w:t xml:space="preserve"> ، ج 2 ، ص 258 ( خلج )</w:t>
      </w:r>
      <w:r>
        <w:rPr>
          <w:rtl/>
        </w:rPr>
        <w:t>.</w:t>
      </w:r>
    </w:p>
    <w:p w:rsidR="000C39D1" w:rsidRPr="00132E65" w:rsidRDefault="000C39D1" w:rsidP="000C39D1">
      <w:pPr>
        <w:pStyle w:val="libFootnote0"/>
        <w:rPr>
          <w:rtl/>
          <w:lang w:bidi="fa-IR"/>
        </w:rPr>
      </w:pPr>
      <w:r>
        <w:rPr>
          <w:rtl/>
        </w:rPr>
        <w:t>(2).</w:t>
      </w:r>
      <w:r w:rsidRPr="00132E65">
        <w:rPr>
          <w:rtl/>
        </w:rPr>
        <w:t xml:space="preserve"> قال المجلسي في </w:t>
      </w:r>
      <w:r w:rsidRPr="009D1ACE">
        <w:rPr>
          <w:rStyle w:val="libFootnoteBoldChar"/>
          <w:rtl/>
        </w:rPr>
        <w:t>مرآة العقول</w:t>
      </w:r>
      <w:r w:rsidRPr="00132E65">
        <w:rPr>
          <w:rtl/>
        </w:rPr>
        <w:t xml:space="preserve"> : « والملتزم هو المستجار محاذي باب الكعبة من ظهرها ، يستحبّ إلصاق البطن والصدر بحائطه والتزامه ، والدعاء فيه مستجاب »</w:t>
      </w:r>
      <w:r>
        <w:rPr>
          <w:rtl/>
        </w:rPr>
        <w:t>.</w:t>
      </w:r>
    </w:p>
    <w:p w:rsidR="000C39D1" w:rsidRPr="00132E65" w:rsidRDefault="000C39D1" w:rsidP="000C39D1">
      <w:pPr>
        <w:pStyle w:val="libFootnote0"/>
        <w:rPr>
          <w:rtl/>
          <w:lang w:bidi="fa-IR"/>
        </w:rPr>
      </w:pPr>
      <w:r>
        <w:rPr>
          <w:rtl/>
        </w:rPr>
        <w:t>(3).</w:t>
      </w:r>
      <w:r w:rsidRPr="00132E65">
        <w:rPr>
          <w:rtl/>
        </w:rPr>
        <w:t xml:space="preserve"> في « ض » والعيون : « فقلت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 ض ، بس » : « نداه »</w:t>
            </w:r>
            <w:r>
              <w:rPr>
                <w:rtl/>
              </w:rPr>
              <w:t>.</w:t>
            </w:r>
          </w:p>
        </w:tc>
        <w:tc>
          <w:tcPr>
            <w:tcW w:w="4006" w:type="dxa"/>
          </w:tcPr>
          <w:p w:rsidR="000C39D1" w:rsidRDefault="000C39D1" w:rsidP="00B53873">
            <w:pPr>
              <w:pStyle w:val="libFootnote0"/>
              <w:rPr>
                <w:rtl/>
              </w:rPr>
            </w:pPr>
            <w:r>
              <w:rPr>
                <w:rtl/>
              </w:rPr>
              <w:t>(5).</w:t>
            </w:r>
            <w:r w:rsidRPr="00132E65">
              <w:rPr>
                <w:rtl/>
              </w:rPr>
              <w:t xml:space="preserve"> في « ج ، ض ، بح ، بس ، بف » : « دعاك »</w:t>
            </w:r>
            <w:r>
              <w:rPr>
                <w:rtl/>
              </w:rPr>
              <w:t>.</w:t>
            </w:r>
          </w:p>
        </w:tc>
      </w:tr>
    </w:tbl>
    <w:p w:rsidR="000C39D1" w:rsidRPr="00132E65" w:rsidRDefault="000C39D1" w:rsidP="000C39D1">
      <w:pPr>
        <w:pStyle w:val="libFootnote0"/>
        <w:rPr>
          <w:rtl/>
          <w:lang w:bidi="fa-IR"/>
        </w:rPr>
      </w:pPr>
      <w:r>
        <w:rPr>
          <w:rtl/>
        </w:rPr>
        <w:t>(6).</w:t>
      </w:r>
      <w:r w:rsidRPr="00132E65">
        <w:rPr>
          <w:rtl/>
        </w:rPr>
        <w:t xml:space="preserve"> في « ف » : « أشهدك »</w:t>
      </w:r>
      <w:r>
        <w:rPr>
          <w:rtl/>
        </w:rPr>
        <w:t>.</w:t>
      </w:r>
    </w:p>
    <w:p w:rsidR="000C39D1" w:rsidRPr="00132E65" w:rsidRDefault="000C39D1" w:rsidP="000C39D1">
      <w:pPr>
        <w:pStyle w:val="libFootnote0"/>
        <w:rPr>
          <w:rtl/>
          <w:lang w:bidi="fa-IR"/>
        </w:rPr>
      </w:pPr>
      <w:r>
        <w:rPr>
          <w:rtl/>
        </w:rPr>
        <w:t>(7).</w:t>
      </w:r>
      <w:r w:rsidRPr="00132E65">
        <w:rPr>
          <w:rtl/>
        </w:rPr>
        <w:t xml:space="preserve"> </w:t>
      </w:r>
      <w:r w:rsidRPr="002A3884">
        <w:rPr>
          <w:rtl/>
        </w:rPr>
        <w:t>عيون الأخبار</w:t>
      </w:r>
      <w:r w:rsidRPr="00132E65">
        <w:rPr>
          <w:rtl/>
        </w:rPr>
        <w:t xml:space="preserve"> ، ج 2 ، ص 219 ، ح 31 ؛ و</w:t>
      </w:r>
      <w:r w:rsidRPr="002A3884">
        <w:rPr>
          <w:rtl/>
        </w:rPr>
        <w:t>الاختصاص</w:t>
      </w:r>
      <w:r w:rsidRPr="00132E65">
        <w:rPr>
          <w:rtl/>
        </w:rPr>
        <w:t xml:space="preserve"> ، ص 84 ، بسندهما عن الحسن بن عليّ بن فضّال</w:t>
      </w:r>
      <w:r>
        <w:rPr>
          <w:rFonts w:hint="cs"/>
          <w:rtl/>
        </w:rPr>
        <w:t>.</w:t>
      </w:r>
      <w:r w:rsidRPr="009D1ACE">
        <w:rPr>
          <w:rStyle w:val="libFootnoteBoldChar"/>
          <w:rtl/>
        </w:rPr>
        <w:t>الوافي</w:t>
      </w:r>
      <w:r w:rsidRPr="00132E65">
        <w:rPr>
          <w:rtl/>
        </w:rPr>
        <w:t xml:space="preserve"> ، ج 2 ، ص 177 ، ح 629.</w:t>
      </w:r>
    </w:p>
    <w:p w:rsidR="000C39D1" w:rsidRPr="00132E65" w:rsidRDefault="000C39D1" w:rsidP="000C39D1">
      <w:pPr>
        <w:pStyle w:val="libFootnote0"/>
        <w:rPr>
          <w:rtl/>
          <w:lang w:bidi="fa-IR"/>
        </w:rPr>
      </w:pPr>
      <w:r>
        <w:rPr>
          <w:rtl/>
        </w:rPr>
        <w:t>(8).</w:t>
      </w:r>
      <w:r w:rsidRPr="00132E65">
        <w:rPr>
          <w:rtl/>
        </w:rPr>
        <w:t xml:space="preserve"> في حاشية « بر » :</w:t>
      </w:r>
      <w:r>
        <w:rPr>
          <w:rtl/>
        </w:rPr>
        <w:t xml:space="preserve"> + </w:t>
      </w:r>
      <w:r w:rsidRPr="00132E65">
        <w:rPr>
          <w:rtl/>
        </w:rPr>
        <w:t>« بن جعفر »</w:t>
      </w:r>
      <w:r>
        <w:rPr>
          <w:rtl/>
        </w:rPr>
        <w:t>.</w:t>
      </w:r>
      <w:r w:rsidRPr="00132E65">
        <w:rPr>
          <w:rtl/>
        </w:rPr>
        <w:t xml:space="preserve"> وفي </w:t>
      </w:r>
      <w:r w:rsidRPr="009D1ACE">
        <w:rPr>
          <w:rStyle w:val="libFootnoteBoldChar"/>
          <w:rtl/>
        </w:rPr>
        <w:t>الوافي</w:t>
      </w:r>
      <w:r w:rsidRPr="00132E65">
        <w:rPr>
          <w:rtl/>
        </w:rPr>
        <w:t xml:space="preserve"> : « يعني يقول بإمامة عبدالله الأفطح »</w:t>
      </w:r>
      <w:r>
        <w:rPr>
          <w:rtl/>
        </w:rPr>
        <w:t>.</w:t>
      </w:r>
    </w:p>
    <w:p w:rsidR="000C39D1" w:rsidRPr="00132E65" w:rsidRDefault="000C39D1" w:rsidP="000C39D1">
      <w:pPr>
        <w:pStyle w:val="libFootnote0"/>
        <w:rPr>
          <w:rtl/>
          <w:lang w:bidi="fa-IR"/>
        </w:rPr>
      </w:pPr>
      <w:r>
        <w:rPr>
          <w:rtl/>
        </w:rPr>
        <w:t>(9).</w:t>
      </w:r>
      <w:r w:rsidRPr="00132E65">
        <w:rPr>
          <w:rtl/>
        </w:rPr>
        <w:t xml:space="preserve"> أي إلى سامرّاء.</w:t>
      </w:r>
    </w:p>
    <w:p w:rsidR="000C39D1" w:rsidRPr="00132E65" w:rsidRDefault="000C39D1" w:rsidP="000C39D1">
      <w:pPr>
        <w:pStyle w:val="libFootnote0"/>
        <w:rPr>
          <w:rtl/>
          <w:lang w:bidi="fa-IR"/>
        </w:rPr>
      </w:pPr>
      <w:r>
        <w:rPr>
          <w:rtl/>
        </w:rPr>
        <w:t>(10).</w:t>
      </w:r>
      <w:r w:rsidRPr="00132E65">
        <w:rPr>
          <w:rtl/>
        </w:rPr>
        <w:t xml:space="preserve"> في الشروح : « عَرَضْتُ » مجرّداً ، بمعنى ظهرتُ له ووقفت في طريقه ، أو أظهرت له أن أسأله عن أمر عبد الله‌وإمامته ، أو بمعنى تعرّضت ، أي تصدّيت وطلبت. وراجع : </w:t>
      </w:r>
      <w:r w:rsidRPr="002A3884">
        <w:rPr>
          <w:rtl/>
        </w:rPr>
        <w:t>المصباح المنير</w:t>
      </w:r>
      <w:r w:rsidRPr="00132E65">
        <w:rPr>
          <w:rtl/>
        </w:rPr>
        <w:t xml:space="preserve"> ، ص 402 ( عرض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أن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فَوَافَقَنِي </w:t>
      </w:r>
      <w:r>
        <w:rPr>
          <w:rStyle w:val="libFootnotenumChar"/>
          <w:rtl/>
        </w:rPr>
        <w:t>(1)</w:t>
      </w:r>
      <w:r w:rsidRPr="00132E65">
        <w:rPr>
          <w:rtl/>
          <w:lang w:bidi="fa-IR"/>
        </w:rPr>
        <w:t xml:space="preserve"> فِي طَرِيقٍ ضَيِّقٍ ، فَمَالَ نَحْوِي حَتّى إِذَا حَاذَانِي أَقْبَلَ نَحْوِي بِشَيْ‌ءٍ مِنْ فِيهِ ، فَوَقَعَ عَلى صَدْرِي ، فَأَخَذْتُهُ فَإِذَا هُوَ رَقٌّ </w:t>
      </w:r>
      <w:r>
        <w:rPr>
          <w:rStyle w:val="libFootnotenumChar"/>
          <w:rtl/>
        </w:rPr>
        <w:t>(2)</w:t>
      </w:r>
      <w:r w:rsidRPr="00132E65">
        <w:rPr>
          <w:rtl/>
          <w:lang w:bidi="fa-IR"/>
        </w:rPr>
        <w:t xml:space="preserve"> فِيهِ مَكْتُوبٌ : « مَا كَانَ هُنَالِكَ </w:t>
      </w:r>
      <w:r>
        <w:rPr>
          <w:rStyle w:val="libFootnotenumChar"/>
          <w:rtl/>
        </w:rPr>
        <w:t>(3)</w:t>
      </w:r>
      <w:r w:rsidRPr="00132E65">
        <w:rPr>
          <w:rtl/>
          <w:lang w:bidi="fa-IR"/>
        </w:rPr>
        <w:t xml:space="preserve"> ، ولَاكَذلِكَ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2A3884">
        <w:rPr>
          <w:rtl/>
        </w:rPr>
        <w:t>936</w:t>
      </w:r>
      <w:r w:rsidRPr="004325D8">
        <w:rPr>
          <w:rStyle w:val="libBold2Char"/>
          <w:rtl/>
        </w:rPr>
        <w:t xml:space="preserve"> / 15.</w:t>
      </w:r>
      <w:r w:rsidRPr="00132E65">
        <w:rPr>
          <w:rtl/>
          <w:lang w:bidi="fa-IR"/>
        </w:rPr>
        <w:t xml:space="preserve"> عَلِيُّ بْنُ مُحَمَّدٍ ، عَنْ بَعْضِ أَصْحَابِنَا</w:t>
      </w:r>
      <w:r>
        <w:rPr>
          <w:rtl/>
          <w:lang w:bidi="fa-IR"/>
        </w:rPr>
        <w:t xml:space="preserve"> - </w:t>
      </w:r>
      <w:r w:rsidRPr="00132E65">
        <w:rPr>
          <w:rtl/>
          <w:lang w:bidi="fa-IR"/>
        </w:rPr>
        <w:t>ذَكَرَ اسْمَهُ</w:t>
      </w:r>
      <w:r>
        <w:rPr>
          <w:rtl/>
          <w:lang w:bidi="fa-IR"/>
        </w:rPr>
        <w:t xml:space="preserve"> - </w:t>
      </w:r>
      <w:r w:rsidRPr="00132E65">
        <w:rPr>
          <w:rtl/>
          <w:lang w:bidi="fa-IR"/>
        </w:rPr>
        <w:t xml:space="preserve">قَالَ : حَدَّثَنَا مُحَمَّدُ بْنُ إِبْرَاهِيمَ ، قَالَ : أَخْبَرَنَا مُوسَى بْنُ مُحَمَّدِ بْنِ إِسْمَاعِيلَ بْنِ عَبْدِ اللهِ بْنِ عُبَيْدِ اللهِ بْنِ الْعَبَّاسِ </w:t>
      </w:r>
      <w:r>
        <w:rPr>
          <w:rStyle w:val="libFootnotenumChar"/>
          <w:rtl/>
        </w:rPr>
        <w:t>(5)</w:t>
      </w:r>
      <w:r w:rsidRPr="00132E65">
        <w:rPr>
          <w:rtl/>
          <w:lang w:bidi="fa-IR"/>
        </w:rPr>
        <w:t xml:space="preserve"> بْنِ عَلِيِّ بْنِ أَبِي طَالِبٍ ، قَالَ : حَدَّثَنِي جَعْفَرُ بْنُ زَيْدِ بْنِ مُوسى ، عَنْ أَبِيهِ ، عَنْ آبَائِهِ </w:t>
      </w:r>
      <w:r w:rsidRPr="00071CF9">
        <w:rPr>
          <w:rStyle w:val="libAlaemChar"/>
          <w:rtl/>
        </w:rPr>
        <w:t>عليهم‌السلام</w:t>
      </w:r>
      <w:r w:rsidRPr="00132E65">
        <w:rPr>
          <w:rtl/>
          <w:lang w:bidi="fa-IR"/>
        </w:rPr>
        <w:t xml:space="preserve"> ، قَالُوا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 جَاءَتْ أُمُّ أَسْلَمَ يَوْماً </w:t>
      </w:r>
      <w:r>
        <w:rPr>
          <w:rStyle w:val="libFootnotenumChar"/>
          <w:rtl/>
        </w:rPr>
        <w:t>(7)</w:t>
      </w:r>
      <w:r w:rsidRPr="00132E65">
        <w:rPr>
          <w:rtl/>
          <w:lang w:bidi="fa-IR"/>
        </w:rPr>
        <w:t xml:space="preserve"> إِلَى النَّبِيِّ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وهُوَ فِي مَنْزِلِ أُمِّ سَلَمَةَ</w:t>
      </w:r>
      <w:r>
        <w:rPr>
          <w:rtl/>
          <w:lang w:bidi="fa-IR"/>
        </w:rPr>
        <w:t xml:space="preserve"> - </w:t>
      </w:r>
      <w:r w:rsidRPr="00132E65">
        <w:rPr>
          <w:rtl/>
          <w:lang w:bidi="fa-IR"/>
        </w:rPr>
        <w:t xml:space="preserve">فَسَأَلَتْهَا عَنْ رَسُولِ اللهِ </w:t>
      </w:r>
      <w:r w:rsidRPr="0093484F">
        <w:rPr>
          <w:rStyle w:val="libAlaemChar"/>
          <w:rFonts w:eastAsiaTheme="minorHAnsi"/>
          <w:rtl/>
        </w:rPr>
        <w:t>صلى‌الله‌عليه‌وآله</w:t>
      </w:r>
      <w:r w:rsidRPr="00132E65">
        <w:rPr>
          <w:rtl/>
          <w:lang w:bidi="fa-IR"/>
        </w:rPr>
        <w:t xml:space="preserve"> ، فَقَالَتْ : خَرَجَ فِي بَعْضِ الْحَوَائِجِ والسَّاعَةَ يَجِي‌ءُ ، فَانْتَظَرَتْهُ عِنْدَ أُمِّ سَلَمَةَ حَتّى جَاءَ </w:t>
      </w:r>
      <w:r w:rsidRPr="00071CF9">
        <w:rPr>
          <w:rStyle w:val="libAlaemChar"/>
          <w:rtl/>
        </w:rPr>
        <w:t>عليه‌السلام</w:t>
      </w:r>
      <w:r w:rsidRPr="00132E65">
        <w:rPr>
          <w:rtl/>
          <w:lang w:bidi="fa-IR"/>
        </w:rPr>
        <w:t xml:space="preserve"> </w:t>
      </w:r>
      <w:r>
        <w:rPr>
          <w:rStyle w:val="libFootnotenumChar"/>
          <w:rtl/>
        </w:rPr>
        <w:t>(8)</w:t>
      </w:r>
      <w:r w:rsidRPr="00132E65">
        <w:rPr>
          <w:rtl/>
          <w:lang w:bidi="fa-IR"/>
        </w:rPr>
        <w:t xml:space="preserve"> ، فَقَالَتْ أُمُّ أَسْلَمَ : بِأَبِي أَنْتَ وأُمِّي يَا رَسُولَ اللهِ ، إِنِّي قَدْ قَرَأْتُ الْكُتُ</w:t>
      </w:r>
      <w:r>
        <w:rPr>
          <w:rtl/>
          <w:lang w:bidi="fa-IR"/>
        </w:rPr>
        <w:t>بَ ، وعَلِمْتُ كُلَّ نَبِيٍّ و</w:t>
      </w:r>
      <w:r>
        <w:rPr>
          <w:rFonts w:hint="cs"/>
          <w:rtl/>
          <w:lang w:bidi="fa-IR"/>
        </w:rPr>
        <w:t xml:space="preserve">َ </w:t>
      </w:r>
      <w:r>
        <w:rPr>
          <w:rtl/>
          <w:lang w:bidi="fa-IR"/>
        </w:rPr>
        <w:t>و</w:t>
      </w:r>
      <w:r>
        <w:rPr>
          <w:rFonts w:hint="cs"/>
          <w:rtl/>
          <w:lang w:bidi="fa-IR"/>
        </w:rPr>
        <w:t>َ</w:t>
      </w:r>
      <w:r w:rsidRPr="00132E65">
        <w:rPr>
          <w:rtl/>
          <w:lang w:bidi="fa-IR"/>
        </w:rPr>
        <w:t xml:space="preserve">صِيٍّ </w:t>
      </w:r>
      <w:r>
        <w:rPr>
          <w:rStyle w:val="libFootnotenumChar"/>
          <w:rtl/>
        </w:rPr>
        <w:t>(9)</w:t>
      </w:r>
      <w:r w:rsidRPr="00132E65">
        <w:rPr>
          <w:rtl/>
          <w:lang w:bidi="fa-IR"/>
        </w:rPr>
        <w:t xml:space="preserve"> ، فَمُوسى كَانَ</w:t>
      </w:r>
      <w:r>
        <w:rPr>
          <w:rtl/>
          <w:lang w:bidi="fa-IR"/>
        </w:rPr>
        <w:t xml:space="preserve"> لَهُ وصِيٌّ فِي حَيَاتِهِ ، و</w:t>
      </w:r>
      <w:r>
        <w:rPr>
          <w:rFonts w:hint="cs"/>
          <w:rtl/>
          <w:lang w:bidi="fa-IR"/>
        </w:rPr>
        <w:t xml:space="preserve">َ </w:t>
      </w:r>
      <w:r>
        <w:rPr>
          <w:rtl/>
          <w:lang w:bidi="fa-IR"/>
        </w:rPr>
        <w:t>و</w:t>
      </w:r>
      <w:r>
        <w:rPr>
          <w:rFonts w:hint="cs"/>
          <w:rtl/>
          <w:lang w:bidi="fa-IR"/>
        </w:rPr>
        <w:t>َ</w:t>
      </w:r>
      <w:r w:rsidRPr="00132E65">
        <w:rPr>
          <w:rtl/>
          <w:lang w:bidi="fa-IR"/>
        </w:rPr>
        <w:t xml:space="preserve">صِيٌّ بَعْدَ مَوْتِهِ </w:t>
      </w:r>
      <w:r>
        <w:rPr>
          <w:rStyle w:val="libFootnotenumChar"/>
          <w:rtl/>
        </w:rPr>
        <w:t>(10)</w:t>
      </w:r>
      <w:r w:rsidRPr="00132E65">
        <w:rPr>
          <w:rtl/>
          <w:lang w:bidi="fa-IR"/>
        </w:rPr>
        <w:t xml:space="preserve"> ، وكَذلِكَ عِيسى ، فَمَنْ و</w:t>
      </w:r>
      <w:r>
        <w:rPr>
          <w:rFonts w:hint="cs"/>
          <w:rtl/>
          <w:lang w:bidi="fa-IR"/>
        </w:rPr>
        <w:t>َ</w:t>
      </w:r>
      <w:r w:rsidRPr="00132E65">
        <w:rPr>
          <w:rtl/>
          <w:lang w:bidi="fa-IR"/>
        </w:rPr>
        <w:t>صِيُّكَ يَا رَسُولَ اللهِ</w:t>
      </w:r>
      <w:r>
        <w:rPr>
          <w:rtl/>
          <w:lang w:bidi="fa-IR"/>
        </w:rPr>
        <w:t>؟</w:t>
      </w:r>
      <w:r w:rsidRPr="00132E65">
        <w:rPr>
          <w:rtl/>
          <w:lang w:bidi="fa-IR"/>
        </w:rPr>
        <w:t xml:space="preserve"> فَقَالَ لَهَا : يَا أُمَّ أَسْلَمَ ، و</w:t>
      </w:r>
      <w:r>
        <w:rPr>
          <w:rFonts w:hint="cs"/>
          <w:rtl/>
          <w:lang w:bidi="fa-IR"/>
        </w:rPr>
        <w:t>َ</w:t>
      </w:r>
      <w:r w:rsidRPr="00132E65">
        <w:rPr>
          <w:rtl/>
          <w:lang w:bidi="fa-IR"/>
        </w:rPr>
        <w:t>صِيِّي‌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فوافَقَني » ، أي صادفني. </w:t>
      </w:r>
      <w:r w:rsidRPr="002A3884">
        <w:rPr>
          <w:rtl/>
        </w:rPr>
        <w:t>الصحاح</w:t>
      </w:r>
      <w:r w:rsidRPr="00132E65">
        <w:rPr>
          <w:rtl/>
        </w:rPr>
        <w:t xml:space="preserve"> ، ج 4 ، ص 1567 ( وفق )</w:t>
      </w:r>
      <w:r>
        <w:rPr>
          <w:rtl/>
        </w:rPr>
        <w:t>.</w:t>
      </w:r>
    </w:p>
    <w:p w:rsidR="000C39D1" w:rsidRPr="00132E65" w:rsidRDefault="000C39D1" w:rsidP="000C39D1">
      <w:pPr>
        <w:pStyle w:val="libFootnote0"/>
        <w:rPr>
          <w:rtl/>
          <w:lang w:bidi="fa-IR"/>
        </w:rPr>
      </w:pPr>
      <w:r>
        <w:rPr>
          <w:rtl/>
        </w:rPr>
        <w:t>(2).</w:t>
      </w:r>
      <w:r w:rsidRPr="00132E65">
        <w:rPr>
          <w:rtl/>
        </w:rPr>
        <w:t xml:space="preserve"> « الرَقُّ » : ما يكتب فيه ، وهو جلد رقيق. وقيل : الرَقُّ : الصحيفة البيضاء. </w:t>
      </w:r>
      <w:r w:rsidRPr="009D1ACE">
        <w:rPr>
          <w:rStyle w:val="libFootnoteBoldChar"/>
          <w:rtl/>
        </w:rPr>
        <w:t>لسان العرب</w:t>
      </w:r>
      <w:r w:rsidR="00D14011">
        <w:rPr>
          <w:rtl/>
        </w:rPr>
        <w:t xml:space="preserve"> ، ج 10 ، ص 123 (رقق</w:t>
      </w:r>
      <w:r w:rsidRPr="00132E65">
        <w:rPr>
          <w:rtl/>
        </w:rPr>
        <w:t>)</w:t>
      </w:r>
      <w:r>
        <w:rPr>
          <w:rtl/>
        </w:rPr>
        <w:t>.</w:t>
      </w:r>
    </w:p>
    <w:p w:rsidR="000C39D1" w:rsidRPr="00132E65" w:rsidRDefault="000C39D1" w:rsidP="000C39D1">
      <w:pPr>
        <w:pStyle w:val="libFootnote0"/>
        <w:rPr>
          <w:rtl/>
          <w:lang w:bidi="fa-IR"/>
        </w:rPr>
      </w:pPr>
      <w:r>
        <w:rPr>
          <w:rtl/>
        </w:rPr>
        <w:t>(3).</w:t>
      </w:r>
      <w:r w:rsidRPr="00132E65">
        <w:rPr>
          <w:rtl/>
        </w:rPr>
        <w:t xml:space="preserve"> في « ج » وحاشية « ض » والمرآة : « هناك »</w:t>
      </w:r>
      <w:r>
        <w:rPr>
          <w:rtl/>
        </w:rPr>
        <w:t>.</w:t>
      </w:r>
      <w:r w:rsidRPr="00132E65">
        <w:rPr>
          <w:rtl/>
        </w:rPr>
        <w:t xml:space="preserve"> وقال في </w:t>
      </w:r>
      <w:r w:rsidRPr="009D1ACE">
        <w:rPr>
          <w:rStyle w:val="libFootnoteBoldChar"/>
          <w:rtl/>
        </w:rPr>
        <w:t>مرآة العقول</w:t>
      </w:r>
      <w:r w:rsidRPr="00132E65">
        <w:rPr>
          <w:rtl/>
        </w:rPr>
        <w:t xml:space="preserve"> : « أي ما كان عبدالله هناك ، أي في مقام الإمامة ؛ ولا كان كذلك ، أي مستحقّاً للإمامة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2 ، ص 174 ، ح 625 ؛ </w:t>
      </w:r>
      <w:r w:rsidRPr="002A3884">
        <w:rPr>
          <w:rtl/>
        </w:rPr>
        <w:t>البحار</w:t>
      </w:r>
      <w:r w:rsidRPr="00132E65">
        <w:rPr>
          <w:rtl/>
        </w:rPr>
        <w:t xml:space="preserve"> ، ج 50 ، ص 184 ، ح 61.</w:t>
      </w:r>
    </w:p>
    <w:p w:rsidR="000C39D1" w:rsidRPr="00132E65" w:rsidRDefault="000C39D1" w:rsidP="000C39D1">
      <w:pPr>
        <w:pStyle w:val="libFootnote0"/>
        <w:rPr>
          <w:rtl/>
          <w:lang w:bidi="fa-IR"/>
        </w:rPr>
      </w:pPr>
      <w:r>
        <w:rPr>
          <w:rtl/>
        </w:rPr>
        <w:t>(5).</w:t>
      </w:r>
      <w:r w:rsidRPr="00132E65">
        <w:rPr>
          <w:rtl/>
        </w:rPr>
        <w:t xml:space="preserve"> هكذا في « ب ، ض ، و، بر »</w:t>
      </w:r>
      <w:r>
        <w:rPr>
          <w:rtl/>
        </w:rPr>
        <w:t>. إل</w:t>
      </w:r>
      <w:r>
        <w:rPr>
          <w:rFonts w:hint="cs"/>
          <w:rtl/>
        </w:rPr>
        <w:t>ّ</w:t>
      </w:r>
      <w:r>
        <w:rPr>
          <w:rtl/>
        </w:rPr>
        <w:t>ا</w:t>
      </w:r>
      <w:r>
        <w:rPr>
          <w:rFonts w:hint="cs"/>
          <w:rtl/>
        </w:rPr>
        <w:t xml:space="preserve"> </w:t>
      </w:r>
      <w:r w:rsidRPr="00132E65">
        <w:rPr>
          <w:rtl/>
        </w:rPr>
        <w:t>أنّ في « ب ، ض » : « عبّاس » بدل « العبّاس »</w:t>
      </w:r>
      <w:r>
        <w:rPr>
          <w:rtl/>
        </w:rPr>
        <w:t>.</w:t>
      </w:r>
      <w:r w:rsidRPr="00132E65">
        <w:rPr>
          <w:rtl/>
        </w:rPr>
        <w:t xml:space="preserve"> وفي « ألف ، ج ، بس ، بف » و</w:t>
      </w:r>
      <w:r w:rsidRPr="009D1ACE">
        <w:rPr>
          <w:rStyle w:val="libFootnoteBoldChar"/>
          <w:rtl/>
        </w:rPr>
        <w:t>الوافي</w:t>
      </w:r>
      <w:r w:rsidRPr="00132E65">
        <w:rPr>
          <w:rtl/>
        </w:rPr>
        <w:t xml:space="preserve"> </w:t>
      </w:r>
      <w:r>
        <w:rPr>
          <w:rtl/>
        </w:rPr>
        <w:t xml:space="preserve">: - </w:t>
      </w:r>
      <w:r w:rsidRPr="00132E65">
        <w:rPr>
          <w:rtl/>
        </w:rPr>
        <w:t>« بن عبيد الله »</w:t>
      </w:r>
      <w:r>
        <w:rPr>
          <w:rtl/>
        </w:rPr>
        <w:t>.</w:t>
      </w:r>
      <w:r w:rsidRPr="00132E65">
        <w:rPr>
          <w:rtl/>
        </w:rPr>
        <w:t xml:space="preserve"> وفي « بح » والمطبوع </w:t>
      </w:r>
      <w:r>
        <w:rPr>
          <w:rtl/>
        </w:rPr>
        <w:t xml:space="preserve">: - </w:t>
      </w:r>
      <w:r w:rsidRPr="00132E65">
        <w:rPr>
          <w:rtl/>
        </w:rPr>
        <w:t>« بن عبد الله »</w:t>
      </w:r>
      <w:r>
        <w:rPr>
          <w:rtl/>
        </w:rPr>
        <w:t>.</w:t>
      </w:r>
    </w:p>
    <w:p w:rsidR="000C39D1" w:rsidRPr="00132E65" w:rsidRDefault="000C39D1" w:rsidP="000C39D1">
      <w:pPr>
        <w:pStyle w:val="libFootnote0"/>
        <w:rPr>
          <w:rtl/>
          <w:lang w:bidi="fa-IR"/>
        </w:rPr>
      </w:pPr>
      <w:r w:rsidRPr="00E55206">
        <w:rPr>
          <w:rtl/>
        </w:rPr>
        <w:t xml:space="preserve">وموسى هذا ، هو موسى بن محمّد بن إسماعيل بن عبد الله بن عبيد الله بن الحسن بن عبيد الله بن العبّاس بن عليّ بن أبي طالب. راجع : </w:t>
      </w:r>
      <w:r w:rsidRPr="002A3884">
        <w:rPr>
          <w:rtl/>
        </w:rPr>
        <w:t>تهذيب الأنساب</w:t>
      </w:r>
      <w:r w:rsidRPr="00E55206">
        <w:rPr>
          <w:rtl/>
        </w:rPr>
        <w:t xml:space="preserve"> ، ص 281 - 284 ؛ </w:t>
      </w:r>
      <w:r w:rsidRPr="002A3884">
        <w:rPr>
          <w:rtl/>
        </w:rPr>
        <w:t>الشجرة المباركة في أنساب الطالبيّة</w:t>
      </w:r>
      <w:r w:rsidRPr="00E55206">
        <w:rPr>
          <w:rtl/>
        </w:rPr>
        <w:t xml:space="preserve"> ، ص 186 - 187 ؛ </w:t>
      </w:r>
      <w:r w:rsidRPr="002A3884">
        <w:rPr>
          <w:rtl/>
        </w:rPr>
        <w:t>المجدي في أنساب الطالبيّين</w:t>
      </w:r>
      <w:r w:rsidRPr="00E55206">
        <w:rPr>
          <w:rtl/>
        </w:rPr>
        <w:t xml:space="preserve"> ، ص 241.</w:t>
      </w:r>
    </w:p>
    <w:p w:rsidR="000C39D1" w:rsidRPr="00132E65" w:rsidRDefault="000C39D1" w:rsidP="00E55206">
      <w:pPr>
        <w:pStyle w:val="libFootnote0"/>
        <w:rPr>
          <w:rtl/>
          <w:lang w:bidi="fa-IR"/>
        </w:rPr>
      </w:pPr>
      <w:r w:rsidRPr="0046781C">
        <w:rPr>
          <w:rtl/>
        </w:rPr>
        <w:t>فعليه ، في ما أثبتناه إمّا سقط بجواز النظر من « عبيد الله » الأوّل إلى « عبيد الله » الثاني ، أو اختصار في النسب ، كما هو واضح.</w:t>
      </w:r>
      <w:r>
        <w:rPr>
          <w:rFonts w:hint="cs"/>
          <w:rtl/>
        </w:rPr>
        <w:t xml:space="preserve">                                                    </w:t>
      </w:r>
      <w:r>
        <w:rPr>
          <w:rtl/>
        </w:rPr>
        <w:t>(6).</w:t>
      </w:r>
      <w:r w:rsidRPr="00132E65">
        <w:rPr>
          <w:rtl/>
        </w:rPr>
        <w:t xml:space="preserve"> في « بح » : « قال »</w:t>
      </w:r>
      <w:r>
        <w:rPr>
          <w:rtl/>
        </w:rPr>
        <w:t>.</w:t>
      </w:r>
    </w:p>
    <w:p w:rsidR="000C39D1" w:rsidRPr="00132E65" w:rsidRDefault="000C39D1" w:rsidP="000C39D1">
      <w:pPr>
        <w:pStyle w:val="libFootnote0"/>
        <w:rPr>
          <w:rtl/>
          <w:lang w:bidi="fa-IR"/>
        </w:rPr>
      </w:pPr>
      <w:r>
        <w:rPr>
          <w:rtl/>
        </w:rPr>
        <w:t>(7).</w:t>
      </w:r>
      <w:r w:rsidRPr="00132E65">
        <w:rPr>
          <w:rtl/>
        </w:rPr>
        <w:t xml:space="preserve"> في « بح ، بس ، بف » و</w:t>
      </w:r>
      <w:r w:rsidRPr="009D1ACE">
        <w:rPr>
          <w:rStyle w:val="libFootnoteBoldChar"/>
          <w:rtl/>
        </w:rPr>
        <w:t>الوافي</w:t>
      </w:r>
      <w:r w:rsidRPr="00132E65">
        <w:rPr>
          <w:rtl/>
        </w:rPr>
        <w:t xml:space="preserve"> </w:t>
      </w:r>
      <w:r>
        <w:rPr>
          <w:rtl/>
        </w:rPr>
        <w:t xml:space="preserve">: - </w:t>
      </w:r>
      <w:r w:rsidRPr="00132E65">
        <w:rPr>
          <w:rtl/>
        </w:rPr>
        <w:t>« يوماً »</w:t>
      </w:r>
      <w:r>
        <w:rPr>
          <w:rtl/>
        </w:rPr>
        <w:t>.</w:t>
      </w:r>
    </w:p>
    <w:p w:rsidR="000C39D1" w:rsidRPr="00132E65" w:rsidRDefault="000C39D1" w:rsidP="000C39D1">
      <w:pPr>
        <w:pStyle w:val="libFootnote0"/>
        <w:rPr>
          <w:rtl/>
          <w:lang w:bidi="fa-IR"/>
        </w:rPr>
      </w:pPr>
      <w:r>
        <w:rPr>
          <w:rtl/>
        </w:rPr>
        <w:t>(8).</w:t>
      </w:r>
      <w:r w:rsidRPr="00132E65">
        <w:rPr>
          <w:rtl/>
        </w:rPr>
        <w:t xml:space="preserve"> هكذا في النسخ التي قوبلت. وفي المطبوع : « </w:t>
      </w:r>
      <w:r w:rsidRPr="00FC6C2F">
        <w:rPr>
          <w:rStyle w:val="libFootnoteAlaemChar"/>
          <w:rFonts w:eastAsiaTheme="minorHAnsi"/>
          <w:rtl/>
        </w:rPr>
        <w:t>صلى‌الله‌عليه‌وآله</w:t>
      </w:r>
      <w:r w:rsidRPr="00132E65">
        <w:rPr>
          <w:rtl/>
          <w:lang w:bidi="fa-IR"/>
        </w:rPr>
        <w:t xml:space="preserve"> </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بر ، بف » : « وكلّ وصيّ »</w:t>
            </w:r>
            <w:r>
              <w:rPr>
                <w:rtl/>
              </w:rPr>
              <w:t>.</w:t>
            </w:r>
          </w:p>
        </w:tc>
        <w:tc>
          <w:tcPr>
            <w:tcW w:w="4006" w:type="dxa"/>
          </w:tcPr>
          <w:p w:rsidR="000C39D1" w:rsidRDefault="000C39D1" w:rsidP="00B53873">
            <w:pPr>
              <w:pStyle w:val="libFootnote0"/>
              <w:rPr>
                <w:rtl/>
              </w:rPr>
            </w:pPr>
            <w:r>
              <w:rPr>
                <w:rtl/>
              </w:rPr>
              <w:t>(10). في «ب»:</w:t>
            </w:r>
            <w:r w:rsidRPr="00132E65">
              <w:rPr>
                <w:rtl/>
              </w:rPr>
              <w:t>« مماته »</w:t>
            </w:r>
            <w:r>
              <w:rPr>
                <w:rtl/>
              </w:rPr>
              <w:t>.</w:t>
            </w:r>
            <w:r w:rsidRPr="00132E65">
              <w:rPr>
                <w:rtl/>
              </w:rPr>
              <w:t xml:space="preserve">وفي </w:t>
            </w:r>
            <w:r w:rsidRPr="009D1ACE">
              <w:rPr>
                <w:rStyle w:val="libFootnoteBoldChar"/>
                <w:rtl/>
              </w:rPr>
              <w:t>مرآة العقول</w:t>
            </w:r>
            <w:r>
              <w:rPr>
                <w:rtl/>
              </w:rPr>
              <w:t>:«</w:t>
            </w:r>
            <w:r w:rsidRPr="00132E65">
              <w:rPr>
                <w:rtl/>
              </w:rPr>
              <w:t>وفاته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فِي حَيَاتِي وبَعْدَ مَمَاتِي واحِدٌ.</w:t>
      </w:r>
    </w:p>
    <w:p w:rsidR="000C39D1" w:rsidRPr="00132E65" w:rsidRDefault="000C39D1" w:rsidP="000C39D1">
      <w:pPr>
        <w:pStyle w:val="libNormal"/>
        <w:rPr>
          <w:rtl/>
          <w:lang w:bidi="fa-IR"/>
        </w:rPr>
      </w:pPr>
      <w:r w:rsidRPr="00132E65">
        <w:rPr>
          <w:rtl/>
          <w:lang w:bidi="fa-IR"/>
        </w:rPr>
        <w:t xml:space="preserve">ثُمَّ قَالَ لَهَا : يَا أُمَّ أَسْلَمَ ، مَنْ فَعَلَ فِعْلِي </w:t>
      </w:r>
      <w:r>
        <w:rPr>
          <w:rStyle w:val="libFootnotenumChar"/>
          <w:rtl/>
        </w:rPr>
        <w:t>(1)</w:t>
      </w:r>
      <w:r w:rsidRPr="00132E65">
        <w:rPr>
          <w:rtl/>
          <w:lang w:bidi="fa-IR"/>
        </w:rPr>
        <w:t xml:space="preserve"> ، فَهُوَ وصِيِّي.</w:t>
      </w:r>
    </w:p>
    <w:p w:rsidR="000C39D1" w:rsidRPr="00132E65" w:rsidRDefault="000C39D1" w:rsidP="000C39D1">
      <w:pPr>
        <w:pStyle w:val="libNormal"/>
        <w:rPr>
          <w:rtl/>
          <w:lang w:bidi="fa-IR"/>
        </w:rPr>
      </w:pPr>
      <w:r w:rsidRPr="00132E65">
        <w:rPr>
          <w:rtl/>
          <w:lang w:bidi="fa-IR"/>
        </w:rPr>
        <w:t xml:space="preserve">ثُمَّ ضَرَبَ بِيَدِهِ إِلى حَصَاةٍ مِنَ الْأَرْضِ ، فَفَرَكَهَا </w:t>
      </w:r>
      <w:r>
        <w:rPr>
          <w:rStyle w:val="libFootnotenumChar"/>
          <w:rtl/>
        </w:rPr>
        <w:t>(2)</w:t>
      </w:r>
      <w:r w:rsidRPr="00132E65">
        <w:rPr>
          <w:rtl/>
          <w:lang w:bidi="fa-IR"/>
        </w:rPr>
        <w:t xml:space="preserve"> بِإِصْبَعِهِ ، فَجَعَلَهَا شِبْهَ الدَّقِيقِ ، ثُمَّ عَجَنَهَا </w:t>
      </w:r>
      <w:r>
        <w:rPr>
          <w:rStyle w:val="libFootnotenumChar"/>
          <w:rtl/>
        </w:rPr>
        <w:t>(3)</w:t>
      </w:r>
      <w:r w:rsidRPr="00132E65">
        <w:rPr>
          <w:rtl/>
          <w:lang w:bidi="fa-IR"/>
        </w:rPr>
        <w:t xml:space="preserve"> ، ثُمَّ طَبَعَهَا </w:t>
      </w:r>
      <w:r>
        <w:rPr>
          <w:rStyle w:val="libFootnotenumChar"/>
          <w:rtl/>
        </w:rPr>
        <w:t>(4)</w:t>
      </w:r>
      <w:r w:rsidRPr="00132E65">
        <w:rPr>
          <w:rtl/>
          <w:lang w:bidi="fa-IR"/>
        </w:rPr>
        <w:t xml:space="preserve"> بِخَاتَمِهِ ، ثُمَّ قَالَ </w:t>
      </w:r>
      <w:r>
        <w:rPr>
          <w:rStyle w:val="libFootnotenumChar"/>
          <w:rtl/>
        </w:rPr>
        <w:t>(5)</w:t>
      </w:r>
      <w:r w:rsidRPr="00132E65">
        <w:rPr>
          <w:rtl/>
          <w:lang w:bidi="fa-IR"/>
        </w:rPr>
        <w:t xml:space="preserve"> : مَنْ فَعَلَ فِعْلِي هذَا ، فَهُوَ وصِيِّي فِي حَيَاتِي وَبَعْدَ مَمَاتِي.</w:t>
      </w:r>
    </w:p>
    <w:p w:rsidR="000C39D1" w:rsidRPr="00132E65" w:rsidRDefault="000C39D1" w:rsidP="000C39D1">
      <w:pPr>
        <w:pStyle w:val="libNormal"/>
        <w:rPr>
          <w:rtl/>
          <w:lang w:bidi="fa-IR"/>
        </w:rPr>
      </w:pPr>
      <w:r w:rsidRPr="00132E65">
        <w:rPr>
          <w:rtl/>
          <w:lang w:bidi="fa-IR"/>
        </w:rPr>
        <w:t xml:space="preserve">فَخَرَجْتُ مِنْ عِنْدِهِ ، فَأَتَيْتُ </w:t>
      </w:r>
      <w:r>
        <w:rPr>
          <w:rStyle w:val="libFootnotenumChar"/>
          <w:rtl/>
        </w:rPr>
        <w:t>(6)</w:t>
      </w:r>
      <w:r w:rsidRPr="00132E65">
        <w:rPr>
          <w:rtl/>
          <w:lang w:bidi="fa-IR"/>
        </w:rPr>
        <w:t xml:space="preserve"> أَمِيرَ الْمُؤْمِنِينَ </w:t>
      </w:r>
      <w:r w:rsidRPr="00071CF9">
        <w:rPr>
          <w:rStyle w:val="libAlaemChar"/>
          <w:rtl/>
        </w:rPr>
        <w:t>عليه‌السلام</w:t>
      </w:r>
      <w:r w:rsidRPr="00132E65">
        <w:rPr>
          <w:rtl/>
          <w:lang w:bidi="fa-IR"/>
        </w:rPr>
        <w:t xml:space="preserve"> ، فَقُلْتُ </w:t>
      </w:r>
      <w:r>
        <w:rPr>
          <w:rStyle w:val="libFootnotenumChar"/>
          <w:rtl/>
        </w:rPr>
        <w:t>(7)</w:t>
      </w:r>
      <w:r w:rsidRPr="00132E65">
        <w:rPr>
          <w:rtl/>
          <w:lang w:bidi="fa-IR"/>
        </w:rPr>
        <w:t xml:space="preserve"> : بِأَبِي أَنْتَ وأُمِّي ، أَنْتَ وَصِيُّ رَسُولِ اللهِ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قَالَ </w:t>
      </w:r>
      <w:r>
        <w:rPr>
          <w:rStyle w:val="libFootnotenumChar"/>
          <w:rtl/>
        </w:rPr>
        <w:t>(8)</w:t>
      </w:r>
      <w:r w:rsidRPr="00132E65">
        <w:rPr>
          <w:rtl/>
          <w:lang w:bidi="fa-IR"/>
        </w:rPr>
        <w:t xml:space="preserve"> : نَعَمْ يَا أُمَّ أَسْلَمَ.</w:t>
      </w:r>
    </w:p>
    <w:p w:rsidR="000C39D1" w:rsidRPr="00132E65" w:rsidRDefault="000C39D1" w:rsidP="000C39D1">
      <w:pPr>
        <w:pStyle w:val="libNormal"/>
        <w:rPr>
          <w:rtl/>
          <w:lang w:bidi="fa-IR"/>
        </w:rPr>
      </w:pPr>
      <w:r w:rsidRPr="00132E65">
        <w:rPr>
          <w:rtl/>
          <w:lang w:bidi="fa-IR"/>
        </w:rPr>
        <w:t xml:space="preserve">ثُمَّ </w:t>
      </w:r>
      <w:r>
        <w:rPr>
          <w:rStyle w:val="libFootnotenumChar"/>
          <w:rtl/>
        </w:rPr>
        <w:t>(9)</w:t>
      </w:r>
      <w:r w:rsidRPr="00132E65">
        <w:rPr>
          <w:rtl/>
          <w:lang w:bidi="fa-IR"/>
        </w:rPr>
        <w:t xml:space="preserve"> ضَرَبَ بِيَدِهِ إِلى حَصَاةٍ </w:t>
      </w:r>
      <w:r>
        <w:rPr>
          <w:rStyle w:val="libFootnotenumChar"/>
          <w:rtl/>
        </w:rPr>
        <w:t>(10)</w:t>
      </w:r>
      <w:r w:rsidRPr="00132E65">
        <w:rPr>
          <w:rtl/>
          <w:lang w:bidi="fa-IR"/>
        </w:rPr>
        <w:t xml:space="preserve"> ، فَفَرَكَهَا ، فَجَعَلَهَا كَهَيْئَةِ الدَّقِيقِ ، ثُمَّ عَجَنَهَا </w:t>
      </w:r>
      <w:r>
        <w:rPr>
          <w:rStyle w:val="libFootnotenumChar"/>
          <w:rtl/>
        </w:rPr>
        <w:t>(11)</w:t>
      </w:r>
      <w:r w:rsidRPr="00132E65">
        <w:rPr>
          <w:rtl/>
          <w:lang w:bidi="fa-IR"/>
        </w:rPr>
        <w:t xml:space="preserve"> ، وَخَتَمَهَا بِخَاتَمِهِ ، ثُمَّ قَالَ : يَا أُمَّ أَسْلَمَ ، مَنْ فَعَلَ فِعْلِي هذَا ، فَهُوَ وصِيِّي.</w:t>
      </w:r>
    </w:p>
    <w:p w:rsidR="000C39D1" w:rsidRPr="00132E65" w:rsidRDefault="000C39D1" w:rsidP="000C39D1">
      <w:pPr>
        <w:pStyle w:val="libNormal"/>
        <w:rPr>
          <w:rtl/>
          <w:lang w:bidi="fa-IR"/>
        </w:rPr>
      </w:pPr>
      <w:r w:rsidRPr="00132E65">
        <w:rPr>
          <w:rtl/>
          <w:lang w:bidi="fa-IR"/>
        </w:rPr>
        <w:t xml:space="preserve">فَأَتَيْتُ الْحَسَنَ </w:t>
      </w:r>
      <w:r w:rsidRPr="00071CF9">
        <w:rPr>
          <w:rStyle w:val="libAlaemChar"/>
          <w:rtl/>
        </w:rPr>
        <w:t>عليه‌السلام</w:t>
      </w:r>
      <w:r>
        <w:rPr>
          <w:rtl/>
          <w:lang w:bidi="fa-IR"/>
        </w:rPr>
        <w:t xml:space="preserve"> - </w:t>
      </w:r>
      <w:r w:rsidRPr="00132E65">
        <w:rPr>
          <w:rtl/>
          <w:lang w:bidi="fa-IR"/>
        </w:rPr>
        <w:t>وهُوَ غُلَامٌ</w:t>
      </w:r>
      <w:r>
        <w:rPr>
          <w:rtl/>
          <w:lang w:bidi="fa-IR"/>
        </w:rPr>
        <w:t xml:space="preserve"> - </w:t>
      </w:r>
      <w:r w:rsidRPr="00132E65">
        <w:rPr>
          <w:rtl/>
          <w:lang w:bidi="fa-IR"/>
        </w:rPr>
        <w:t>فَقُلْتُ لَهُ : يَا سَيِّدِي ، أَنْتَ وصِيُّ أَبِيكَ</w:t>
      </w:r>
      <w:r>
        <w:rPr>
          <w:rtl/>
          <w:lang w:bidi="fa-IR"/>
        </w:rPr>
        <w:t>؟</w:t>
      </w:r>
      <w:r w:rsidRPr="00132E65">
        <w:rPr>
          <w:rtl/>
          <w:lang w:bidi="fa-IR"/>
        </w:rPr>
        <w:t xml:space="preserve"> فَقَالَ : نَعَمْ يَا أُمَّ أَسْلَمَ ، وضَرَبَ بِيَدِهِ ، وأَخَذَ حَصَاةً ، فَفَعَلَ بِهَا كَفِعْلِهِمَا.</w:t>
      </w:r>
    </w:p>
    <w:p w:rsidR="000C39D1" w:rsidRPr="00132E65" w:rsidRDefault="000C39D1" w:rsidP="000C39D1">
      <w:pPr>
        <w:pStyle w:val="libNormal"/>
        <w:rPr>
          <w:rtl/>
          <w:lang w:bidi="fa-IR"/>
        </w:rPr>
      </w:pPr>
      <w:r w:rsidRPr="00132E65">
        <w:rPr>
          <w:rtl/>
          <w:lang w:bidi="fa-IR"/>
        </w:rPr>
        <w:t xml:space="preserve">فَخَرَجْتُ مِنْ عِنْدِهِ ، فَأَتَيْتُ الْحُسَيْنَ </w:t>
      </w:r>
      <w:r w:rsidRPr="00071CF9">
        <w:rPr>
          <w:rStyle w:val="libAlaemChar"/>
          <w:rtl/>
        </w:rPr>
        <w:t>عليه‌السلام</w:t>
      </w:r>
      <w:r>
        <w:rPr>
          <w:rtl/>
          <w:lang w:bidi="fa-IR"/>
        </w:rPr>
        <w:t xml:space="preserve"> - </w:t>
      </w:r>
      <w:r w:rsidRPr="00132E65">
        <w:rPr>
          <w:rtl/>
          <w:lang w:bidi="fa-IR"/>
        </w:rPr>
        <w:t>وإِنِّي لَمُسْتَصْغِرَةٌ لِسِنِّهِ</w:t>
      </w:r>
      <w:r>
        <w:rPr>
          <w:rtl/>
          <w:lang w:bidi="fa-IR"/>
        </w:rPr>
        <w:t xml:space="preserve"> - </w:t>
      </w:r>
      <w:r w:rsidRPr="00132E65">
        <w:rPr>
          <w:rtl/>
          <w:lang w:bidi="fa-IR"/>
        </w:rPr>
        <w:t>فَقُلْتُ لَهُ :</w:t>
      </w:r>
      <w:r>
        <w:rPr>
          <w:rFonts w:hint="cs"/>
          <w:rtl/>
          <w:lang w:bidi="fa-IR"/>
        </w:rPr>
        <w:t xml:space="preserve"> </w:t>
      </w:r>
      <w:r w:rsidRPr="00132E65">
        <w:rPr>
          <w:rtl/>
          <w:lang w:bidi="fa-IR"/>
        </w:rPr>
        <w:t>بِأَبِي أَنْتَ وأُمِّي ، أَنْتَ وصِيُّ أَخِيكَ</w:t>
      </w:r>
      <w:r>
        <w:rPr>
          <w:rtl/>
          <w:lang w:bidi="fa-IR"/>
        </w:rPr>
        <w:t>؟</w:t>
      </w:r>
      <w:r w:rsidRPr="00132E65">
        <w:rPr>
          <w:rtl/>
          <w:lang w:bidi="fa-IR"/>
        </w:rPr>
        <w:t xml:space="preserve"> فَقَالَ : نَعَمْ يَا أُمَّ أَسْلَمَ ، ائْتِينِي بِحَصَاةٍ. ثُمَّ فَعَلَ‌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ج ، ض ، ف ، ه‍ ، و، بح ، بر ، بس ، بف » و</w:t>
      </w:r>
      <w:r w:rsidRPr="009D1ACE">
        <w:rPr>
          <w:rStyle w:val="libFootnoteBoldChar"/>
          <w:rtl/>
        </w:rPr>
        <w:t>الوافي</w:t>
      </w:r>
      <w:r w:rsidRPr="00132E65">
        <w:rPr>
          <w:rtl/>
        </w:rPr>
        <w:t>. وفي « ب » والمطبوع :</w:t>
      </w:r>
      <w:r>
        <w:rPr>
          <w:rtl/>
        </w:rPr>
        <w:t xml:space="preserve"> + </w:t>
      </w:r>
      <w:r w:rsidRPr="00132E65">
        <w:rPr>
          <w:rtl/>
        </w:rPr>
        <w:t>« هذا »</w:t>
      </w:r>
      <w:r>
        <w:rPr>
          <w:rtl/>
        </w:rPr>
        <w:t>.</w:t>
      </w:r>
      <w:r w:rsidRPr="00132E65">
        <w:rPr>
          <w:rtl/>
        </w:rPr>
        <w:t xml:space="preserve"> وفي </w:t>
      </w:r>
      <w:r w:rsidRPr="009D1ACE">
        <w:rPr>
          <w:rStyle w:val="libFootnoteBoldChar"/>
          <w:rtl/>
        </w:rPr>
        <w:t>مرآة العقول</w:t>
      </w:r>
      <w:r w:rsidRPr="00132E65">
        <w:rPr>
          <w:rtl/>
        </w:rPr>
        <w:t xml:space="preserve"> : « من فعل فعلي ، بالفتح مصدر للنوع ، أو بالكسر مفعول به ، أي مثل فعلي »</w:t>
      </w:r>
      <w:r>
        <w:rPr>
          <w:rtl/>
        </w:rPr>
        <w:t>.</w:t>
      </w:r>
    </w:p>
    <w:p w:rsidR="000C39D1" w:rsidRPr="00132E65" w:rsidRDefault="000C39D1" w:rsidP="000C39D1">
      <w:pPr>
        <w:pStyle w:val="libFootnote0"/>
        <w:rPr>
          <w:rtl/>
          <w:lang w:bidi="fa-IR"/>
        </w:rPr>
      </w:pPr>
      <w:r>
        <w:rPr>
          <w:rtl/>
        </w:rPr>
        <w:t>(2).</w:t>
      </w:r>
      <w:r w:rsidRPr="00132E65">
        <w:rPr>
          <w:rtl/>
        </w:rPr>
        <w:t xml:space="preserve"> في « ض » : « فحركها »</w:t>
      </w:r>
      <w:r>
        <w:rPr>
          <w:rtl/>
        </w:rPr>
        <w:t>.</w:t>
      </w:r>
      <w:r w:rsidRPr="00132E65">
        <w:rPr>
          <w:rtl/>
        </w:rPr>
        <w:t xml:space="preserve"> وقوله : « ففركها » ، أي دَلَكها من الفَرْك ، وهو دَلك الشي‌ء حتّى ينقلع قشره عن لبّه‌كالجَوْز. راجع : </w:t>
      </w:r>
      <w:r w:rsidRPr="009D1ACE">
        <w:rPr>
          <w:rStyle w:val="libFootnoteBoldChar"/>
          <w:rtl/>
        </w:rPr>
        <w:t>لسان العرب</w:t>
      </w:r>
      <w:r w:rsidRPr="00132E65">
        <w:rPr>
          <w:rtl/>
        </w:rPr>
        <w:t xml:space="preserve"> ، ج 10 ، ص 473 ( فرك )</w:t>
      </w:r>
      <w:r>
        <w:rPr>
          <w:rtl/>
        </w:rPr>
        <w:t>.</w:t>
      </w:r>
    </w:p>
    <w:p w:rsidR="000C39D1" w:rsidRPr="00132E65" w:rsidRDefault="000C39D1" w:rsidP="000C39D1">
      <w:pPr>
        <w:pStyle w:val="libFootnote0"/>
        <w:rPr>
          <w:rtl/>
          <w:lang w:bidi="fa-IR"/>
        </w:rPr>
      </w:pPr>
      <w:r>
        <w:rPr>
          <w:rtl/>
        </w:rPr>
        <w:t>(3).</w:t>
      </w:r>
      <w:r w:rsidRPr="00132E65">
        <w:rPr>
          <w:rtl/>
        </w:rPr>
        <w:t xml:space="preserve"> في « ف » : « عجّنها »</w:t>
      </w:r>
      <w:r>
        <w:rPr>
          <w:rtl/>
        </w:rPr>
        <w:t>.</w:t>
      </w:r>
    </w:p>
    <w:p w:rsidR="000C39D1" w:rsidRPr="00132E65" w:rsidRDefault="000C39D1" w:rsidP="000C39D1">
      <w:pPr>
        <w:pStyle w:val="libFootnote0"/>
        <w:rPr>
          <w:rtl/>
          <w:lang w:bidi="fa-IR"/>
        </w:rPr>
      </w:pPr>
      <w:r>
        <w:rPr>
          <w:rtl/>
        </w:rPr>
        <w:t>(4).</w:t>
      </w:r>
      <w:r w:rsidRPr="00132E65">
        <w:rPr>
          <w:rtl/>
        </w:rPr>
        <w:t xml:space="preserve"> في « بر » : « فطبعها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ج » :</w:t>
            </w:r>
            <w:r>
              <w:rPr>
                <w:rtl/>
              </w:rPr>
              <w:t xml:space="preserve"> + </w:t>
            </w:r>
            <w:r w:rsidRPr="00132E65">
              <w:rPr>
                <w:rtl/>
              </w:rPr>
              <w:t>« لي »</w:t>
            </w:r>
            <w:r>
              <w:rPr>
                <w:rtl/>
              </w:rPr>
              <w:t>.</w:t>
            </w:r>
          </w:p>
        </w:tc>
        <w:tc>
          <w:tcPr>
            <w:tcW w:w="4006" w:type="dxa"/>
          </w:tcPr>
          <w:p w:rsidR="000C39D1" w:rsidRDefault="000C39D1" w:rsidP="00B53873">
            <w:pPr>
              <w:pStyle w:val="libFootnote0"/>
              <w:rPr>
                <w:rtl/>
              </w:rPr>
            </w:pPr>
            <w:r>
              <w:rPr>
                <w:rtl/>
              </w:rPr>
              <w:t>(6).</w:t>
            </w:r>
            <w:r w:rsidRPr="00132E65">
              <w:rPr>
                <w:rtl/>
              </w:rPr>
              <w:t xml:space="preserve"> في « ج » : « فلقيت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ب ، بر »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(8).</w:t>
            </w:r>
            <w:r w:rsidRPr="00132E65">
              <w:rPr>
                <w:rtl/>
              </w:rPr>
              <w:t xml:space="preserve"> في « بر » : « فقال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ه‍ </w:t>
            </w:r>
            <w:r>
              <w:rPr>
                <w:rtl/>
              </w:rPr>
              <w:t>»</w:t>
            </w:r>
            <w:r w:rsidRPr="00132E65">
              <w:rPr>
                <w:rtl/>
              </w:rPr>
              <w:t xml:space="preserve"> : « </w:t>
            </w:r>
            <w:r>
              <w:rPr>
                <w:rtl/>
              </w:rPr>
              <w:t>و ».</w:t>
            </w:r>
          </w:p>
        </w:tc>
        <w:tc>
          <w:tcPr>
            <w:tcW w:w="4006" w:type="dxa"/>
          </w:tcPr>
          <w:p w:rsidR="000C39D1" w:rsidRDefault="000C39D1" w:rsidP="00B53873">
            <w:pPr>
              <w:pStyle w:val="libFootnote0"/>
              <w:rPr>
                <w:rtl/>
              </w:rPr>
            </w:pPr>
            <w:r>
              <w:rPr>
                <w:rtl/>
              </w:rPr>
              <w:t>(10).</w:t>
            </w:r>
            <w:r w:rsidRPr="00132E65">
              <w:rPr>
                <w:rtl/>
              </w:rPr>
              <w:t xml:space="preserve"> في « بح » : « الحصاة »</w:t>
            </w:r>
            <w:r>
              <w:rPr>
                <w:rtl/>
              </w:rPr>
              <w:t>.</w:t>
            </w:r>
          </w:p>
        </w:tc>
      </w:tr>
    </w:tbl>
    <w:p w:rsidR="000C39D1" w:rsidRPr="00132E65" w:rsidRDefault="000C39D1" w:rsidP="000C39D1">
      <w:pPr>
        <w:pStyle w:val="libFootnote0"/>
        <w:rPr>
          <w:rtl/>
          <w:lang w:bidi="fa-IR"/>
        </w:rPr>
      </w:pPr>
      <w:r>
        <w:rPr>
          <w:rtl/>
        </w:rPr>
        <w:t>(11).</w:t>
      </w:r>
      <w:r w:rsidRPr="00132E65">
        <w:rPr>
          <w:rtl/>
        </w:rPr>
        <w:t xml:space="preserve"> في « ف » : « عجّنها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كَفِعْلِهِمْ </w:t>
      </w:r>
      <w:r>
        <w:rPr>
          <w:rStyle w:val="libFootnotenumChar"/>
          <w:rtl/>
        </w:rPr>
        <w:t>(1)</w:t>
      </w:r>
    </w:p>
    <w:p w:rsidR="000C39D1" w:rsidRPr="00132E65" w:rsidRDefault="000C39D1" w:rsidP="000C39D1">
      <w:pPr>
        <w:pStyle w:val="libNormal"/>
        <w:rPr>
          <w:rtl/>
          <w:lang w:bidi="fa-IR"/>
        </w:rPr>
      </w:pPr>
      <w:r w:rsidRPr="00132E65">
        <w:rPr>
          <w:rtl/>
          <w:lang w:bidi="fa-IR"/>
        </w:rPr>
        <w:t xml:space="preserve">فَعَمَرَتْ </w:t>
      </w:r>
      <w:r>
        <w:rPr>
          <w:rStyle w:val="libFootnotenumChar"/>
          <w:rtl/>
        </w:rPr>
        <w:t>(2)</w:t>
      </w:r>
      <w:r w:rsidRPr="00132E65">
        <w:rPr>
          <w:rtl/>
          <w:lang w:bidi="fa-IR"/>
        </w:rPr>
        <w:t xml:space="preserve"> أُمُّ أَسْلَمَ </w:t>
      </w:r>
      <w:r>
        <w:rPr>
          <w:rStyle w:val="libFootnotenumChar"/>
          <w:rtl/>
        </w:rPr>
        <w:t>(3)</w:t>
      </w:r>
      <w:r w:rsidRPr="00132E65">
        <w:rPr>
          <w:rtl/>
          <w:lang w:bidi="fa-IR"/>
        </w:rPr>
        <w:t xml:space="preserve"> حَتّى لَحِقَتْ بِعَلِيِّ بْنِ الْحُسَيْنِ بَعْدَ قَتْلِ الْحُسَيْنِ </w:t>
      </w:r>
      <w:r w:rsidRPr="00071CF9">
        <w:rPr>
          <w:rStyle w:val="libAlaemChar"/>
          <w:rtl/>
        </w:rPr>
        <w:t>عليه‌السلام</w:t>
      </w:r>
      <w:r w:rsidRPr="00132E65">
        <w:rPr>
          <w:rtl/>
          <w:lang w:bidi="fa-IR"/>
        </w:rPr>
        <w:t xml:space="preserve"> </w:t>
      </w:r>
      <w:r>
        <w:rPr>
          <w:rStyle w:val="libFootnotenumChar"/>
          <w:rtl/>
        </w:rPr>
        <w:t>(4)</w:t>
      </w:r>
      <w:r w:rsidRPr="00132E65">
        <w:rPr>
          <w:rtl/>
          <w:lang w:bidi="fa-IR"/>
        </w:rPr>
        <w:t xml:space="preserve"> فِي مُنْصَرَفِهِ ، فَسَأَلَتْهُ : أَنْتَ وصِيُّ أَبِيكَ </w:t>
      </w:r>
      <w:r>
        <w:rPr>
          <w:rStyle w:val="libFootnotenumChar"/>
          <w:rtl/>
        </w:rPr>
        <w:t>(5)</w:t>
      </w:r>
      <w:r>
        <w:rPr>
          <w:rtl/>
          <w:lang w:bidi="fa-IR"/>
        </w:rPr>
        <w:t>؟</w:t>
      </w:r>
      <w:r w:rsidRPr="00132E65">
        <w:rPr>
          <w:rtl/>
          <w:lang w:bidi="fa-IR"/>
        </w:rPr>
        <w:t xml:space="preserve"> فَقَالَ : نَعَمْ. ثُمَّ فَعَلَ كَفِعْلِهِمْ صَلَوَاتُ اللهِ عَلَيْهِمْ أَجْمَعِينَ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2A3884">
        <w:rPr>
          <w:rtl/>
        </w:rPr>
        <w:t>937</w:t>
      </w:r>
      <w:r w:rsidRPr="004325D8">
        <w:rPr>
          <w:rStyle w:val="libBold2Char"/>
          <w:rtl/>
        </w:rPr>
        <w:t xml:space="preserve"> / 16.</w:t>
      </w:r>
      <w:r w:rsidRPr="00132E65">
        <w:rPr>
          <w:rtl/>
          <w:lang w:bidi="fa-IR"/>
        </w:rPr>
        <w:t xml:space="preserve"> مُحَمَّدُ بْنُ يَحْيى ، عَنْ أَحْمَدَ بْنِ مُحَمَّدٍ ، عَنِ الْحُسَيْنِ بْنِ سَعِيدٍ ، عَنِ الْحُسَيْنِ بْنِ الْجَارُودِ </w:t>
      </w:r>
      <w:r>
        <w:rPr>
          <w:rStyle w:val="libFootnotenumChar"/>
          <w:rtl/>
        </w:rPr>
        <w:t>(7)</w:t>
      </w:r>
      <w:r w:rsidRPr="00132E65">
        <w:rPr>
          <w:rtl/>
          <w:lang w:bidi="fa-IR"/>
        </w:rPr>
        <w:t xml:space="preserve"> ، عَنْ مُوسَى بْنِ بَكْرِ بْنِ دَابٍ </w:t>
      </w:r>
      <w:r>
        <w:rPr>
          <w:rStyle w:val="libFootnotenumChar"/>
          <w:rtl/>
        </w:rPr>
        <w:t>(8)</w:t>
      </w:r>
      <w:r w:rsidRPr="00132E65">
        <w:rPr>
          <w:rtl/>
          <w:lang w:bidi="fa-IR"/>
        </w:rPr>
        <w:t xml:space="preserve"> ، عَمَّنْ حَدَّثَهُ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أَنَّ زَيْدَ بْنَ عَلِيِّ بْنِ الْحُسَيْنِ دَخَلَ عَلى أَبِي جَعْفَرٍ مُحَمَّدِ بْنِ عَلِيٍّ </w:t>
      </w:r>
      <w:r w:rsidRPr="00071CF9">
        <w:rPr>
          <w:rStyle w:val="libAlaemChar"/>
          <w:rtl/>
        </w:rPr>
        <w:t>عليه‌السلام</w:t>
      </w:r>
      <w:r w:rsidRPr="00132E65">
        <w:rPr>
          <w:rtl/>
          <w:lang w:bidi="fa-IR"/>
        </w:rPr>
        <w:t xml:space="preserve"> ، ومَعَهُ كُتُبٌ مِنْ أَهْلِ الْكُوفَةِ يَدْعُونَهُ فِيهَا إِلى أَنْفُسِهِمْ ، ويُخْبِرُونَهُ بِاجْتِمَاعِهِمْ ، وَيَأْمُرُونَهُ بِالْخُرُوجِ.</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(9)</w:t>
      </w:r>
      <w:r w:rsidRPr="00132E65">
        <w:rPr>
          <w:rtl/>
          <w:lang w:bidi="fa-IR"/>
        </w:rPr>
        <w:t xml:space="preserve"> أَبُو جَعْفَرٍ </w:t>
      </w:r>
      <w:r w:rsidRPr="00071CF9">
        <w:rPr>
          <w:rStyle w:val="libAlaemChar"/>
          <w:rtl/>
        </w:rPr>
        <w:t>عليه‌السلام</w:t>
      </w:r>
      <w:r w:rsidRPr="00132E65">
        <w:rPr>
          <w:rtl/>
          <w:lang w:bidi="fa-IR"/>
        </w:rPr>
        <w:t xml:space="preserve"> : « هذِهِ الْكُتُبُ ابْتِدَاءٌ مِنْهُمْ ، أَوْ </w:t>
      </w:r>
      <w:r>
        <w:rPr>
          <w:rStyle w:val="libFootnotenumChar"/>
          <w:rtl/>
        </w:rPr>
        <w:t>(10)</w:t>
      </w:r>
      <w:r w:rsidRPr="00132E65">
        <w:rPr>
          <w:rtl/>
          <w:lang w:bidi="fa-IR"/>
        </w:rPr>
        <w:t xml:space="preserve"> جَوَابُ مَا كَتَبْتَ بِهِ إِلَيْهِمْ وَدَعَوْتَهُمْ إِلَيْهِ</w:t>
      </w:r>
      <w:r>
        <w:rPr>
          <w:rtl/>
          <w:lang w:bidi="fa-IR"/>
        </w:rPr>
        <w:t>؟</w:t>
      </w:r>
      <w:r w:rsidRPr="00132E65">
        <w:rPr>
          <w:rtl/>
          <w:lang w:bidi="fa-IR"/>
        </w:rPr>
        <w:t xml:space="preserve"> » فَقَالَ : بَلِ ابْتِدَاءٌ مِنَ الْقَوْمِ ؛ لِمَعْرِفَتِهِمْ بِحَقِّنَا وبِقَرَابَتِنَا </w:t>
      </w:r>
      <w:r>
        <w:rPr>
          <w:rStyle w:val="libFootnotenumChar"/>
          <w:rtl/>
        </w:rPr>
        <w:t>(11)</w:t>
      </w:r>
      <w:r w:rsidRPr="00132E65">
        <w:rPr>
          <w:rtl/>
          <w:lang w:bidi="fa-IR"/>
        </w:rPr>
        <w:t xml:space="preserve"> مِنْ رَسُولِ اللهِ </w:t>
      </w:r>
      <w:r w:rsidRPr="0093484F">
        <w:rPr>
          <w:rStyle w:val="libAlaemChar"/>
          <w:rFonts w:eastAsiaTheme="minorHAnsi"/>
          <w:rtl/>
        </w:rPr>
        <w:t>صلى‌الله‌عليه‌وآله</w:t>
      </w:r>
      <w:r w:rsidRPr="00132E65">
        <w:rPr>
          <w:rtl/>
          <w:lang w:bidi="fa-IR"/>
        </w:rPr>
        <w:t xml:space="preserve"> ، ولِمَا يَجِدُونَ </w:t>
      </w:r>
      <w:r>
        <w:rPr>
          <w:rStyle w:val="libFootnotenumChar"/>
          <w:rtl/>
        </w:rPr>
        <w:t>(12)</w:t>
      </w:r>
      <w:r w:rsidRPr="00132E65">
        <w:rPr>
          <w:rtl/>
          <w:lang w:bidi="fa-IR"/>
        </w:rPr>
        <w:t xml:space="preserve"> فِي كِتَابِ اللهِ</w:t>
      </w:r>
      <w:r>
        <w:rPr>
          <w:rtl/>
          <w:lang w:bidi="fa-IR"/>
        </w:rPr>
        <w:t xml:space="preserve"> - </w:t>
      </w:r>
      <w:r w:rsidRPr="00132E65">
        <w:rPr>
          <w:rtl/>
          <w:lang w:bidi="fa-IR"/>
        </w:rPr>
        <w:t>عَزَّ وجَلَّ</w:t>
      </w:r>
      <w:r>
        <w:rPr>
          <w:rtl/>
          <w:lang w:bidi="fa-IR"/>
        </w:rPr>
        <w:t xml:space="preserve"> - </w:t>
      </w:r>
      <w:r w:rsidRPr="00132E65">
        <w:rPr>
          <w:rtl/>
          <w:lang w:bidi="fa-IR"/>
        </w:rPr>
        <w:t xml:space="preserve">مِنْ وجُوبِ مَوَدَّتِنَا وفَرْضِ طَاعَتِنَا ، ولِمَا نَحْنُ فِيهِ مِنَ الضِّيقِ والضَّنْكِ </w:t>
      </w:r>
      <w:r w:rsidRPr="00F543F1">
        <w:rPr>
          <w:rStyle w:val="libFootnotenumChar"/>
          <w:rtl/>
        </w:rPr>
        <w:t>(13)</w:t>
      </w:r>
      <w:r w:rsidRPr="00132E65">
        <w:rPr>
          <w:rtl/>
          <w:lang w:bidi="fa-IR"/>
        </w:rPr>
        <w:t xml:space="preserve"> والْبَلَاءِ </w:t>
      </w:r>
      <w:r w:rsidRPr="00F543F1">
        <w:rPr>
          <w:rStyle w:val="libFootnotenumChar"/>
          <w:rtl/>
        </w:rPr>
        <w:t>(14)</w:t>
      </w:r>
      <w:r w:rsidRPr="005E789A">
        <w:rPr>
          <w:rFonts w:hint="cs"/>
          <w:rtl/>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w:t>
      </w:r>
      <w:r>
        <w:rPr>
          <w:rtl/>
        </w:rPr>
        <w:t xml:space="preserve"> + </w:t>
      </w:r>
      <w:r w:rsidRPr="00132E65">
        <w:rPr>
          <w:rtl/>
        </w:rPr>
        <w:t>« أخيه وأبيه »</w:t>
      </w:r>
      <w:r>
        <w:rPr>
          <w:rtl/>
        </w:rPr>
        <w:t>.</w:t>
      </w:r>
    </w:p>
    <w:p w:rsidR="000C39D1" w:rsidRPr="00132E65" w:rsidRDefault="000C39D1" w:rsidP="000C39D1">
      <w:pPr>
        <w:pStyle w:val="libFootnote0"/>
        <w:rPr>
          <w:rtl/>
          <w:lang w:bidi="fa-IR"/>
        </w:rPr>
      </w:pPr>
      <w:r>
        <w:rPr>
          <w:rtl/>
        </w:rPr>
        <w:t>(2).</w:t>
      </w:r>
      <w:r w:rsidRPr="00132E65">
        <w:rPr>
          <w:rtl/>
        </w:rPr>
        <w:t xml:space="preserve"> في « ج ، ض ، ف ، بف » : « فعمّرت »</w:t>
      </w:r>
      <w:r>
        <w:rPr>
          <w:rtl/>
        </w:rPr>
        <w:t>.</w:t>
      </w:r>
      <w:r w:rsidRPr="00132E65">
        <w:rPr>
          <w:rtl/>
        </w:rPr>
        <w:t xml:space="preserve"> وفي « ب ، بح » : « فَعُمِّرت »</w:t>
      </w:r>
      <w:r>
        <w:rPr>
          <w:rtl/>
        </w:rPr>
        <w:t>.</w:t>
      </w:r>
      <w:r w:rsidRPr="00132E65">
        <w:rPr>
          <w:rtl/>
        </w:rPr>
        <w:t xml:space="preserve"> وفي حاشية « ف » : « فعيّشت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بر » </w:t>
            </w:r>
            <w:r>
              <w:rPr>
                <w:rtl/>
              </w:rPr>
              <w:t xml:space="preserve">: - </w:t>
            </w:r>
            <w:r w:rsidRPr="00132E65">
              <w:rPr>
                <w:rtl/>
              </w:rPr>
              <w:t>« ا</w:t>
            </w:r>
            <w:r>
              <w:rPr>
                <w:rFonts w:hint="cs"/>
                <w:rtl/>
              </w:rPr>
              <w:t>ُ</w:t>
            </w:r>
            <w:r w:rsidRPr="00132E65">
              <w:rPr>
                <w:rtl/>
              </w:rPr>
              <w:t>مّ أسلم »</w:t>
            </w:r>
            <w:r>
              <w:rPr>
                <w:rtl/>
              </w:rPr>
              <w:t>.</w:t>
            </w:r>
          </w:p>
        </w:tc>
        <w:tc>
          <w:tcPr>
            <w:tcW w:w="4006" w:type="dxa"/>
          </w:tcPr>
          <w:p w:rsidR="000C39D1" w:rsidRDefault="000C39D1" w:rsidP="00B53873">
            <w:pPr>
              <w:pStyle w:val="libFootnote0"/>
              <w:rPr>
                <w:rtl/>
              </w:rPr>
            </w:pPr>
            <w:r>
              <w:rPr>
                <w:rtl/>
              </w:rPr>
              <w:t>(4).</w:t>
            </w:r>
            <w:r w:rsidRPr="00132E65">
              <w:rPr>
                <w:rtl/>
              </w:rPr>
              <w:t xml:space="preserve"> وفي « ف » </w:t>
            </w:r>
            <w:r>
              <w:rPr>
                <w:rtl/>
              </w:rPr>
              <w:t xml:space="preserve">: - </w:t>
            </w:r>
            <w:r w:rsidRPr="00132E65">
              <w:rPr>
                <w:rtl/>
              </w:rPr>
              <w:t xml:space="preserve">« بعد قتل الحسين </w:t>
            </w:r>
            <w:r w:rsidRPr="005E789A">
              <w:rPr>
                <w:rStyle w:val="libFootnoteAlaemChar"/>
                <w:rtl/>
              </w:rPr>
              <w:t>عليه‌السلام</w:t>
            </w:r>
            <w:r w:rsidRPr="00132E65">
              <w:rPr>
                <w:rtl/>
              </w:rPr>
              <w:t xml:space="preserve">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بس » :</w:t>
            </w:r>
            <w:r>
              <w:rPr>
                <w:rtl/>
              </w:rPr>
              <w:t xml:space="preserve"> + </w:t>
            </w:r>
            <w:r w:rsidRPr="00132E65">
              <w:rPr>
                <w:rtl/>
              </w:rPr>
              <w:t>« قال »</w:t>
            </w:r>
            <w:r>
              <w:rPr>
                <w:rtl/>
              </w:rPr>
              <w:t>.</w:t>
            </w:r>
          </w:p>
        </w:tc>
        <w:tc>
          <w:tcPr>
            <w:tcW w:w="4006" w:type="dxa"/>
          </w:tcPr>
          <w:p w:rsidR="000C39D1" w:rsidRDefault="000C39D1" w:rsidP="00B53873">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2 ، ص 145 ، ح 616.</w:t>
            </w:r>
          </w:p>
        </w:tc>
      </w:tr>
    </w:tbl>
    <w:p w:rsidR="000C39D1" w:rsidRPr="00132E65" w:rsidRDefault="000C39D1" w:rsidP="000C39D1">
      <w:pPr>
        <w:pStyle w:val="libFootnote0"/>
        <w:rPr>
          <w:rtl/>
          <w:lang w:bidi="fa-IR"/>
        </w:rPr>
      </w:pPr>
      <w:r>
        <w:rPr>
          <w:rtl/>
        </w:rPr>
        <w:t>(7).</w:t>
      </w:r>
      <w:r w:rsidRPr="00132E65">
        <w:rPr>
          <w:rtl/>
        </w:rPr>
        <w:t xml:space="preserve"> في « ب » : « الحسين بن أبي الجارود »</w:t>
      </w:r>
      <w:r>
        <w:rPr>
          <w:rtl/>
        </w:rPr>
        <w:t>.</w:t>
      </w:r>
      <w:r w:rsidRPr="00132E65">
        <w:rPr>
          <w:rtl/>
        </w:rPr>
        <w:t xml:space="preserve"> وفي « ف » : « الحسين بن جارود »</w:t>
      </w:r>
      <w:r>
        <w:rPr>
          <w:rtl/>
        </w:rPr>
        <w:t>.</w:t>
      </w:r>
    </w:p>
    <w:p w:rsidR="000C39D1" w:rsidRPr="00132E65" w:rsidRDefault="000C39D1" w:rsidP="000C39D1">
      <w:pPr>
        <w:pStyle w:val="libFootnote0"/>
        <w:rPr>
          <w:rtl/>
          <w:lang w:bidi="fa-IR"/>
        </w:rPr>
      </w:pPr>
      <w:r>
        <w:rPr>
          <w:rtl/>
        </w:rPr>
        <w:t>(8).</w:t>
      </w:r>
      <w:r w:rsidRPr="00132E65">
        <w:rPr>
          <w:rtl/>
        </w:rPr>
        <w:t xml:space="preserve"> في حاشية « </w:t>
      </w:r>
      <w:r>
        <w:rPr>
          <w:rtl/>
        </w:rPr>
        <w:t>و »</w:t>
      </w:r>
      <w:r w:rsidRPr="00132E65">
        <w:rPr>
          <w:rtl/>
        </w:rPr>
        <w:t xml:space="preserve"> : « ذياب »</w:t>
      </w:r>
      <w:r>
        <w:rPr>
          <w:rtl/>
        </w:rPr>
        <w:t>.</w:t>
      </w:r>
      <w:r w:rsidRPr="00132E65">
        <w:rPr>
          <w:rtl/>
        </w:rPr>
        <w:t xml:space="preserve"> وفي حاشية « بر » : « ذباب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(9).</w:t>
            </w:r>
            <w:r w:rsidRPr="00132E65">
              <w:rPr>
                <w:rtl/>
              </w:rPr>
              <w:t xml:space="preserve"> في « بف » وتفسير العيّاشي </w:t>
            </w:r>
            <w:r>
              <w:rPr>
                <w:rtl/>
              </w:rPr>
              <w:t xml:space="preserve">: - </w:t>
            </w:r>
            <w:r w:rsidRPr="00132E65">
              <w:rPr>
                <w:rtl/>
              </w:rPr>
              <w:t>« له »</w:t>
            </w:r>
            <w:r>
              <w:rPr>
                <w:rtl/>
              </w:rPr>
              <w:t>.</w:t>
            </w:r>
          </w:p>
        </w:tc>
        <w:tc>
          <w:tcPr>
            <w:tcW w:w="4006" w:type="dxa"/>
          </w:tcPr>
          <w:p w:rsidR="000C39D1" w:rsidRDefault="000C39D1" w:rsidP="00B53873">
            <w:pPr>
              <w:pStyle w:val="libFootnote0"/>
              <w:rPr>
                <w:rtl/>
              </w:rPr>
            </w:pPr>
            <w:r>
              <w:rPr>
                <w:rtl/>
              </w:rPr>
              <w:t>(10).</w:t>
            </w:r>
            <w:r w:rsidRPr="00132E65">
              <w:rPr>
                <w:rtl/>
              </w:rPr>
              <w:t xml:space="preserve"> في « ف » : « أم »</w:t>
            </w:r>
            <w:r>
              <w:rPr>
                <w:rtl/>
              </w:rPr>
              <w:t>.</w:t>
            </w:r>
          </w:p>
        </w:tc>
      </w:tr>
      <w:tr w:rsidR="000C39D1" w:rsidTr="00B53873">
        <w:tc>
          <w:tcPr>
            <w:tcW w:w="4006" w:type="dxa"/>
          </w:tcPr>
          <w:p w:rsidR="000C39D1" w:rsidRDefault="000C39D1" w:rsidP="00B53873">
            <w:pPr>
              <w:pStyle w:val="libFootnote0"/>
              <w:rPr>
                <w:rtl/>
              </w:rPr>
            </w:pPr>
            <w:r>
              <w:rPr>
                <w:rtl/>
              </w:rPr>
              <w:t>(11).</w:t>
            </w:r>
            <w:r w:rsidRPr="00132E65">
              <w:rPr>
                <w:rtl/>
              </w:rPr>
              <w:t xml:space="preserve"> في « ف » : « قرابتنا »</w:t>
            </w:r>
            <w:r>
              <w:rPr>
                <w:rtl/>
              </w:rPr>
              <w:t>.</w:t>
            </w:r>
          </w:p>
        </w:tc>
        <w:tc>
          <w:tcPr>
            <w:tcW w:w="4006" w:type="dxa"/>
          </w:tcPr>
          <w:p w:rsidR="000C39D1" w:rsidRDefault="000C39D1" w:rsidP="00B53873">
            <w:pPr>
              <w:pStyle w:val="libFootnote0"/>
              <w:rPr>
                <w:rtl/>
              </w:rPr>
            </w:pPr>
            <w:r>
              <w:rPr>
                <w:rtl/>
              </w:rPr>
              <w:t>(12).</w:t>
            </w:r>
            <w:r w:rsidRPr="00132E65">
              <w:rPr>
                <w:rtl/>
              </w:rPr>
              <w:t xml:space="preserve"> في </w:t>
            </w:r>
            <w:r w:rsidRPr="009D1ACE">
              <w:rPr>
                <w:rStyle w:val="libFootnoteBoldChar"/>
                <w:rtl/>
              </w:rPr>
              <w:t>الوافي</w:t>
            </w:r>
            <w:r w:rsidRPr="00132E65">
              <w:rPr>
                <w:rtl/>
              </w:rPr>
              <w:t xml:space="preserve"> « يجدونه »</w:t>
            </w:r>
            <w:r>
              <w:rPr>
                <w:rtl/>
              </w:rPr>
              <w:t>.</w:t>
            </w:r>
          </w:p>
        </w:tc>
      </w:tr>
    </w:tbl>
    <w:p w:rsidR="000C39D1" w:rsidRPr="00132E65" w:rsidRDefault="000C39D1" w:rsidP="000C39D1">
      <w:pPr>
        <w:pStyle w:val="libFootnote0"/>
        <w:rPr>
          <w:rtl/>
          <w:lang w:bidi="fa-IR"/>
        </w:rPr>
      </w:pPr>
      <w:r>
        <w:rPr>
          <w:rtl/>
        </w:rPr>
        <w:t>(13)</w:t>
      </w:r>
      <w:r w:rsidRPr="00132E65">
        <w:rPr>
          <w:rtl/>
        </w:rPr>
        <w:t xml:space="preserve"> « الضَنْكُ » : الضِيق من كلّ شي‌ء. </w:t>
      </w:r>
      <w:r w:rsidRPr="009D1ACE">
        <w:rPr>
          <w:rStyle w:val="libFootnoteBoldChar"/>
          <w:rtl/>
        </w:rPr>
        <w:t>لسان العرب</w:t>
      </w:r>
      <w:r w:rsidRPr="00132E65">
        <w:rPr>
          <w:rtl/>
        </w:rPr>
        <w:t xml:space="preserve"> ، ج 10 ، ص 462 ( ضنك )</w:t>
      </w:r>
      <w:r>
        <w:rPr>
          <w:rtl/>
        </w:rPr>
        <w:t>.</w:t>
      </w:r>
    </w:p>
    <w:p w:rsidR="000C39D1" w:rsidRPr="00132E65" w:rsidRDefault="000C39D1" w:rsidP="000C39D1">
      <w:pPr>
        <w:pStyle w:val="libFootnote0"/>
        <w:rPr>
          <w:rtl/>
          <w:lang w:bidi="fa-IR"/>
        </w:rPr>
      </w:pPr>
      <w:r>
        <w:rPr>
          <w:rtl/>
        </w:rPr>
        <w:t>(14)</w:t>
      </w:r>
      <w:r w:rsidRPr="00132E65">
        <w:rPr>
          <w:rtl/>
        </w:rPr>
        <w:t xml:space="preserve"> في الشروح : هذه الثلاثة متقاربة المعنى. أو المراد بالضيق ضيق الصدر والحزن ، وبالضنك ضيق المعاش ، </w:t>
      </w:r>
      <w:r>
        <w:rPr>
          <w:rFonts w:hint="cs"/>
          <w:rtl/>
        </w:rPr>
        <w:t>=</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132E65">
        <w:rPr>
          <w:rtl/>
          <w:lang w:bidi="fa-IR"/>
        </w:rPr>
        <w:t xml:space="preserve">فَقَالَ لَهُ أَبُو جَعْفَرٍ </w:t>
      </w:r>
      <w:r w:rsidRPr="00071CF9">
        <w:rPr>
          <w:rStyle w:val="libAlaemChar"/>
          <w:rtl/>
        </w:rPr>
        <w:t>عليه‌السلام</w:t>
      </w:r>
      <w:r w:rsidRPr="00132E65">
        <w:rPr>
          <w:rtl/>
          <w:lang w:bidi="fa-IR"/>
        </w:rPr>
        <w:t xml:space="preserve"> : « إِنَّ الطَّاعَةَ مَفْرُوضَةٌ </w:t>
      </w:r>
      <w:r>
        <w:rPr>
          <w:rStyle w:val="libFootnotenumChar"/>
          <w:rtl/>
        </w:rPr>
        <w:t>(1)</w:t>
      </w:r>
      <w:r w:rsidRPr="00132E65">
        <w:rPr>
          <w:rtl/>
          <w:lang w:bidi="fa-IR"/>
        </w:rPr>
        <w:t xml:space="preserve"> مِنَ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وسُنَّةٌ </w:t>
      </w:r>
      <w:r>
        <w:rPr>
          <w:rStyle w:val="libFootnotenumChar"/>
          <w:rtl/>
        </w:rPr>
        <w:t>(2)</w:t>
      </w:r>
      <w:r w:rsidRPr="00132E65">
        <w:rPr>
          <w:rtl/>
          <w:lang w:bidi="fa-IR"/>
        </w:rPr>
        <w:t xml:space="preserve"> أَمْضَاهَا فِي الْأَوَّلِينَ ، وكَذلِكَ يُجْرِيهَا فِي الْآخِرِينَ ، والطَّاعَةُ لِوَاحِدٍ مِنَّا </w:t>
      </w:r>
      <w:r>
        <w:rPr>
          <w:rStyle w:val="libFootnotenumChar"/>
          <w:rtl/>
        </w:rPr>
        <w:t>(3)</w:t>
      </w:r>
      <w:r w:rsidRPr="00132E65">
        <w:rPr>
          <w:rtl/>
          <w:lang w:bidi="fa-IR"/>
        </w:rPr>
        <w:t xml:space="preserve"> ، والْمَوَدَّةُ لِلْجَمِيعِ ، وأَمْرُ اللهِ يَجْرِي لِأَوْلِيَائِهِ </w:t>
      </w:r>
      <w:r>
        <w:rPr>
          <w:rStyle w:val="libFootnotenumChar"/>
          <w:rtl/>
        </w:rPr>
        <w:t>(4)</w:t>
      </w:r>
      <w:r w:rsidRPr="00132E65">
        <w:rPr>
          <w:rtl/>
          <w:lang w:bidi="fa-IR"/>
        </w:rPr>
        <w:t xml:space="preserve"> بِحُكْمٍ مَوْصُولٍ ، وقَضَاءٍ مَفْصُولٍ </w:t>
      </w:r>
      <w:r>
        <w:rPr>
          <w:rStyle w:val="libFootnotenumChar"/>
          <w:rtl/>
        </w:rPr>
        <w:t>(5)</w:t>
      </w:r>
      <w:r w:rsidRPr="00132E65">
        <w:rPr>
          <w:rtl/>
          <w:lang w:bidi="fa-IR"/>
        </w:rPr>
        <w:t xml:space="preserve"> ، وحَتْمٍ مَقْضِيٍّ ، وقَدَرٍ مَقْدُورٍ ، وَأَجَلٍ مُسَمًّى لِوَقْتٍ مَعْلُومٍ ، فَلَا يَسْتَخِفَّنَّكَ </w:t>
      </w:r>
      <w:r>
        <w:rPr>
          <w:rStyle w:val="libFootnotenumChar"/>
          <w:rtl/>
        </w:rPr>
        <w:t>(6)</w:t>
      </w:r>
      <w:r w:rsidRPr="00132E65">
        <w:rPr>
          <w:rtl/>
          <w:lang w:bidi="fa-IR"/>
        </w:rPr>
        <w:t xml:space="preserve"> الَّذِينَ لَايُوقِنُونَ </w:t>
      </w:r>
      <w:r>
        <w:rPr>
          <w:rStyle w:val="libFootnotenumChar"/>
          <w:rtl/>
        </w:rPr>
        <w:t>(7)</w:t>
      </w:r>
      <w:r w:rsidRPr="00132E65">
        <w:rPr>
          <w:rtl/>
          <w:lang w:bidi="fa-IR"/>
        </w:rPr>
        <w:t xml:space="preserve"> ، إِنَّهُمْ لَنْ يُغْنُوا </w:t>
      </w:r>
      <w:r>
        <w:rPr>
          <w:rStyle w:val="libFootnotenumChar"/>
          <w:rtl/>
        </w:rPr>
        <w:t>(8)</w:t>
      </w:r>
      <w:r w:rsidRPr="00132E65">
        <w:rPr>
          <w:rtl/>
          <w:lang w:bidi="fa-IR"/>
        </w:rPr>
        <w:t xml:space="preserve"> عَنْكَ مِنَ اللهِ شَيْئاً ، فَلَا تَعْجَلْ </w:t>
      </w:r>
      <w:r>
        <w:rPr>
          <w:rStyle w:val="libFootnotenumChar"/>
          <w:rtl/>
        </w:rPr>
        <w:t>(9)</w:t>
      </w:r>
      <w:r w:rsidRPr="00132E65">
        <w:rPr>
          <w:rtl/>
          <w:lang w:bidi="fa-IR"/>
        </w:rPr>
        <w:t xml:space="preserve"> ؛ فَإِنَّ اللهَ لَايَعْجَلُ </w:t>
      </w:r>
      <w:r>
        <w:rPr>
          <w:rStyle w:val="libFootnotenumChar"/>
          <w:rtl/>
        </w:rPr>
        <w:t>(10)</w:t>
      </w:r>
      <w:r w:rsidRPr="00132E65">
        <w:rPr>
          <w:rtl/>
          <w:lang w:bidi="fa-IR"/>
        </w:rPr>
        <w:t xml:space="preserve"> لِعَجَلَةِ </w:t>
      </w:r>
      <w:r>
        <w:rPr>
          <w:rStyle w:val="libFootnotenumChar"/>
          <w:rtl/>
        </w:rPr>
        <w:t>(11)</w:t>
      </w:r>
      <w:r w:rsidRPr="00132E65">
        <w:rPr>
          <w:rtl/>
          <w:lang w:bidi="fa-IR"/>
        </w:rPr>
        <w:t xml:space="preserve"> الْعِبَادِ ، ولَاتَسْبِقَنَّ اللهَ ؛ فَتُعْجِزَكَ </w:t>
      </w:r>
      <w:r>
        <w:rPr>
          <w:rStyle w:val="libFootnotenumChar"/>
          <w:rtl/>
        </w:rPr>
        <w:t>(12)</w:t>
      </w:r>
      <w:r w:rsidRPr="00132E65">
        <w:rPr>
          <w:rtl/>
          <w:lang w:bidi="fa-IR"/>
        </w:rPr>
        <w:t xml:space="preserve"> الْبَلِيَّةُ فَتَصْرَعَكَ </w:t>
      </w:r>
      <w:r w:rsidRPr="00F543F1">
        <w:rPr>
          <w:rStyle w:val="libFootnotenumChar"/>
          <w:rtl/>
        </w:rPr>
        <w:t>(13)</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فَغَضِبَ زَيْدٌ عِنْدَ ذلِكَ ، ثُمَّ قَالَ : لَيْسَ الْإِمَامُ مِنَّا مَنْ جَلَسَ فِي بَيْتِهِ ، وأَرْخى سِتْرَهُ </w:t>
      </w:r>
      <w:r w:rsidRPr="00F543F1">
        <w:rPr>
          <w:rStyle w:val="libFootnotenumChar"/>
          <w:rtl/>
        </w:rPr>
        <w:t>(1</w:t>
      </w:r>
      <w:r w:rsidRPr="00F543F1">
        <w:rPr>
          <w:rStyle w:val="libFootnotenumChar"/>
          <w:rFonts w:hint="cs"/>
          <w:rtl/>
        </w:rPr>
        <w:t>4</w:t>
      </w:r>
      <w:r w:rsidRPr="00F543F1">
        <w:rPr>
          <w:rStyle w:val="libFootnotenumChar"/>
          <w:rtl/>
        </w:rPr>
        <w:t>)</w:t>
      </w:r>
      <w:r w:rsidRPr="00132E65">
        <w:rPr>
          <w:rtl/>
          <w:lang w:bidi="fa-IR"/>
        </w:rPr>
        <w:t xml:space="preserve"> ، وثَبَّطَ </w:t>
      </w:r>
      <w:r w:rsidRPr="00F543F1">
        <w:rPr>
          <w:rStyle w:val="libFootnotenumChar"/>
          <w:rtl/>
        </w:rPr>
        <w:t>(</w:t>
      </w:r>
      <w:r w:rsidRPr="00F543F1">
        <w:rPr>
          <w:rStyle w:val="libFootnotenumChar"/>
          <w:rFonts w:hint="cs"/>
          <w:rtl/>
        </w:rPr>
        <w:t>15</w:t>
      </w:r>
      <w:r w:rsidRPr="00F543F1">
        <w:rPr>
          <w:rStyle w:val="libFootnotenumChar"/>
          <w:rtl/>
        </w:rPr>
        <w:t>)</w:t>
      </w:r>
      <w:r w:rsidRPr="00132E65">
        <w:rPr>
          <w:rtl/>
          <w:lang w:bidi="fa-IR"/>
        </w:rPr>
        <w:t xml:space="preserve"> عَنِ الْجِهَادِ ، ولكِنَّ الْإِمَامَ مِنَّا مَنْ مَنَعَ</w:t>
      </w:r>
      <w:r>
        <w:rPr>
          <w:rFonts w:hint="cs"/>
          <w:rtl/>
          <w:lang w:bidi="fa-IR"/>
        </w:rPr>
        <w:t xml:space="preserve">                                </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وبالبلاء ضرر الأعداء والمكاره منهم. راجع : </w:t>
      </w:r>
      <w:r w:rsidRPr="009D1ACE">
        <w:rPr>
          <w:rStyle w:val="libFootnoteBoldChar"/>
          <w:rtl/>
        </w:rPr>
        <w:t>لسان العرب</w:t>
      </w:r>
      <w:r w:rsidRPr="00132E65">
        <w:rPr>
          <w:rtl/>
        </w:rPr>
        <w:t xml:space="preserve"> ، ج 14 ، ص 84 ( بلا ) ؛ </w:t>
      </w:r>
      <w:r w:rsidRPr="002A3884">
        <w:rPr>
          <w:rtl/>
        </w:rPr>
        <w:t>شرح المازندراني</w:t>
      </w:r>
      <w:r w:rsidRPr="00132E65">
        <w:rPr>
          <w:rtl/>
        </w:rPr>
        <w:t xml:space="preserve"> ، ج 6 ، ص 287 ؛ </w:t>
      </w:r>
      <w:r w:rsidRPr="009D1ACE">
        <w:rPr>
          <w:rStyle w:val="libFootnoteBoldChar"/>
          <w:rtl/>
        </w:rPr>
        <w:t>مرآة العقول</w:t>
      </w:r>
      <w:r w:rsidRPr="00132E65">
        <w:rPr>
          <w:rtl/>
        </w:rPr>
        <w:t xml:space="preserve"> ، ج 4 ، ص 111.</w:t>
      </w:r>
    </w:p>
    <w:p w:rsidR="000C39D1" w:rsidRPr="00132E65" w:rsidRDefault="000C39D1" w:rsidP="000C39D1">
      <w:pPr>
        <w:pStyle w:val="libFootnote0"/>
        <w:rPr>
          <w:rtl/>
          <w:lang w:bidi="fa-IR"/>
        </w:rPr>
      </w:pPr>
      <w:r>
        <w:rPr>
          <w:rtl/>
        </w:rPr>
        <w:t>(1).</w:t>
      </w:r>
      <w:r w:rsidRPr="00132E65">
        <w:rPr>
          <w:rtl/>
        </w:rPr>
        <w:t xml:space="preserve"> في « ه‍ » : « فريضة »</w:t>
      </w:r>
      <w:r>
        <w:rPr>
          <w:rtl/>
        </w:rPr>
        <w:t>.</w:t>
      </w:r>
    </w:p>
    <w:p w:rsidR="000C39D1" w:rsidRPr="00132E65" w:rsidRDefault="000C39D1" w:rsidP="000C39D1">
      <w:pPr>
        <w:pStyle w:val="libFootnote0"/>
        <w:rPr>
          <w:rtl/>
          <w:lang w:bidi="fa-IR"/>
        </w:rPr>
      </w:pPr>
      <w:r>
        <w:rPr>
          <w:rtl/>
        </w:rPr>
        <w:t>(2).</w:t>
      </w:r>
      <w:r w:rsidRPr="00132E65">
        <w:rPr>
          <w:rtl/>
        </w:rPr>
        <w:t xml:space="preserve"> قال ابن الأثير : « الأصل في السنّة الطريقة والسيرة »</w:t>
      </w:r>
      <w:r>
        <w:rPr>
          <w:rtl/>
        </w:rPr>
        <w:t>.</w:t>
      </w:r>
      <w:r w:rsidRPr="00132E65">
        <w:rPr>
          <w:rtl/>
        </w:rPr>
        <w:t xml:space="preserve"> في </w:t>
      </w:r>
      <w:r w:rsidRPr="002A3884">
        <w:rPr>
          <w:rtl/>
        </w:rPr>
        <w:t>النهاية</w:t>
      </w:r>
      <w:r w:rsidRPr="00132E65">
        <w:rPr>
          <w:rtl/>
        </w:rPr>
        <w:t xml:space="preserve"> ، ج 2 ، ص 409 ( سنن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ف » :</w:t>
            </w:r>
            <w:r>
              <w:rPr>
                <w:rtl/>
              </w:rPr>
              <w:t xml:space="preserve"> + </w:t>
            </w:r>
            <w:r w:rsidRPr="00132E65">
              <w:rPr>
                <w:rtl/>
              </w:rPr>
              <w:t>« بعد واحد »</w:t>
            </w:r>
            <w:r>
              <w:rPr>
                <w:rtl/>
              </w:rPr>
              <w:t>.</w:t>
            </w:r>
          </w:p>
        </w:tc>
        <w:tc>
          <w:tcPr>
            <w:tcW w:w="4006" w:type="dxa"/>
          </w:tcPr>
          <w:p w:rsidR="000C39D1" w:rsidRDefault="000C39D1" w:rsidP="00B53873">
            <w:pPr>
              <w:pStyle w:val="libFootnote0"/>
              <w:rPr>
                <w:rtl/>
              </w:rPr>
            </w:pPr>
            <w:r>
              <w:rPr>
                <w:rtl/>
              </w:rPr>
              <w:t>(4).</w:t>
            </w:r>
            <w:r w:rsidRPr="00132E65">
              <w:rPr>
                <w:rtl/>
              </w:rPr>
              <w:t xml:space="preserve"> في « ه‍ </w:t>
            </w:r>
            <w:r w:rsidR="00D14011" w:rsidRPr="00132E65">
              <w:rPr>
                <w:rtl/>
              </w:rPr>
              <w:t>»</w:t>
            </w:r>
            <w:r w:rsidRPr="00132E65">
              <w:rPr>
                <w:rtl/>
              </w:rPr>
              <w:t xml:space="preserve"> : « لأدلاّئه »</w:t>
            </w:r>
            <w:r>
              <w:rPr>
                <w:rtl/>
              </w:rPr>
              <w:t>.</w:t>
            </w:r>
          </w:p>
        </w:tc>
      </w:tr>
    </w:tbl>
    <w:p w:rsidR="000C39D1" w:rsidRPr="00132E65" w:rsidRDefault="000C39D1" w:rsidP="000C39D1">
      <w:pPr>
        <w:pStyle w:val="libFootnote0"/>
        <w:rPr>
          <w:rtl/>
          <w:lang w:bidi="fa-IR"/>
        </w:rPr>
      </w:pPr>
      <w:r>
        <w:rPr>
          <w:rtl/>
        </w:rPr>
        <w:t>(5).</w:t>
      </w:r>
      <w:r w:rsidRPr="00132E65">
        <w:rPr>
          <w:rtl/>
        </w:rPr>
        <w:t xml:space="preserve"> « بحكم موصول » أي متّصل بعضه ببعض ، وارد لواحد بعد واحد. </w:t>
      </w:r>
      <w:r>
        <w:rPr>
          <w:rtl/>
        </w:rPr>
        <w:t>و «</w:t>
      </w:r>
      <w:r w:rsidRPr="00132E65">
        <w:rPr>
          <w:rtl/>
        </w:rPr>
        <w:t xml:space="preserve"> قضاء مفصول » ، أي مُبيَّن ظاهر يفصل بين الحقّ والباطل. والقضاء في الأصل : القطع والفصل. راجع : </w:t>
      </w:r>
      <w:r w:rsidRPr="009D1ACE">
        <w:rPr>
          <w:rStyle w:val="libFootnoteBoldChar"/>
          <w:rtl/>
        </w:rPr>
        <w:t>الوافي</w:t>
      </w:r>
      <w:r w:rsidRPr="00132E65">
        <w:rPr>
          <w:rtl/>
        </w:rPr>
        <w:t xml:space="preserve"> ، ج 2 ، ص 151 ؛ </w:t>
      </w:r>
      <w:r w:rsidRPr="002A3884">
        <w:rPr>
          <w:rtl/>
        </w:rPr>
        <w:t>النهاية</w:t>
      </w:r>
      <w:r w:rsidRPr="00132E65">
        <w:rPr>
          <w:rtl/>
        </w:rPr>
        <w:t xml:space="preserve"> ، ج 3 ، ص 451 ( فصل ) ، وج 4 ، ص 78 ( قضا )</w:t>
      </w:r>
      <w:r>
        <w:rPr>
          <w:rtl/>
        </w:rPr>
        <w:t>.</w:t>
      </w:r>
    </w:p>
    <w:p w:rsidR="000C39D1" w:rsidRPr="00132E65" w:rsidRDefault="000C39D1" w:rsidP="000C39D1">
      <w:pPr>
        <w:pStyle w:val="libFootnote0"/>
        <w:rPr>
          <w:rtl/>
          <w:lang w:bidi="fa-IR"/>
        </w:rPr>
      </w:pPr>
      <w:r>
        <w:rPr>
          <w:rtl/>
        </w:rPr>
        <w:t>(6).</w:t>
      </w:r>
      <w:r w:rsidRPr="00132E65">
        <w:rPr>
          <w:rtl/>
        </w:rPr>
        <w:t xml:space="preserve"> فلا يستخفنّك ، أي لا يحملنّك على الخِفّة والجهل ، ولا يُزْعجنّك ويُزيلنّك عن اعتقادك بما يوقعون من‌الشبه. راجع : </w:t>
      </w:r>
      <w:r w:rsidRPr="002A3884">
        <w:rPr>
          <w:rtl/>
        </w:rPr>
        <w:t>المفردات</w:t>
      </w:r>
      <w:r w:rsidRPr="00132E65">
        <w:rPr>
          <w:rtl/>
        </w:rPr>
        <w:t xml:space="preserve"> للراغب ، ص 289 ؛ </w:t>
      </w:r>
      <w:r w:rsidRPr="002A3884">
        <w:rPr>
          <w:rtl/>
        </w:rPr>
        <w:t>المصباح المنير</w:t>
      </w:r>
      <w:r w:rsidRPr="00132E65">
        <w:rPr>
          <w:rtl/>
        </w:rPr>
        <w:t xml:space="preserve"> ، ص 175 ( خفف )</w:t>
      </w:r>
      <w:r>
        <w:rPr>
          <w:rtl/>
        </w:rPr>
        <w:t>.</w:t>
      </w:r>
    </w:p>
    <w:p w:rsidR="000C39D1" w:rsidRPr="00132E65" w:rsidRDefault="000C39D1" w:rsidP="000C39D1">
      <w:pPr>
        <w:pStyle w:val="libFootnote0"/>
        <w:rPr>
          <w:rtl/>
          <w:lang w:bidi="fa-IR"/>
        </w:rPr>
      </w:pPr>
      <w:r>
        <w:rPr>
          <w:rtl/>
        </w:rPr>
        <w:t>(7).</w:t>
      </w:r>
      <w:r w:rsidRPr="00132E65">
        <w:rPr>
          <w:rtl/>
        </w:rPr>
        <w:t xml:space="preserve"> إشارة إلى الآية 60 من سورة الروم (30</w:t>
      </w:r>
      <w:r>
        <w:rPr>
          <w:rtl/>
        </w:rPr>
        <w:t>) :</w:t>
      </w:r>
      <w:r w:rsidRPr="00132E65">
        <w:rPr>
          <w:rtl/>
        </w:rPr>
        <w:t xml:space="preserve"> </w:t>
      </w:r>
      <w:r w:rsidRPr="00D2225F">
        <w:rPr>
          <w:rStyle w:val="libFootnoteAlaemChar"/>
          <w:rtl/>
        </w:rPr>
        <w:t>(</w:t>
      </w:r>
      <w:r>
        <w:rPr>
          <w:rFonts w:hint="cs"/>
          <w:rtl/>
        </w:rPr>
        <w:t xml:space="preserve"> </w:t>
      </w:r>
      <w:r w:rsidRPr="00C2691A">
        <w:rPr>
          <w:rStyle w:val="libFootnoteAieChar"/>
          <w:rtl/>
        </w:rPr>
        <w:t>فَاصْبِرْ إِنَّ وَعْدَ اللهِ حَقٌّ وَلا يَسْتَخِفَّنَّكَ الَّذِينَ لا يُوقِنُونَ</w:t>
      </w:r>
      <w:r>
        <w:rPr>
          <w:rFonts w:hint="cs"/>
          <w:rtl/>
        </w:rPr>
        <w:t xml:space="preserve"> </w:t>
      </w:r>
      <w:r w:rsidRPr="00D2225F">
        <w:rPr>
          <w:rStyle w:val="libFootnoteAlaemChar"/>
          <w:rtl/>
        </w:rPr>
        <w:t>)</w:t>
      </w:r>
      <w:r w:rsidRPr="00132E65">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w:t>
            </w:r>
            <w:r w:rsidRPr="009D1ACE">
              <w:rPr>
                <w:rStyle w:val="libFootnoteBoldChar"/>
                <w:rtl/>
              </w:rPr>
              <w:t>مرآة العقول</w:t>
            </w:r>
            <w:r w:rsidRPr="00132E65">
              <w:rPr>
                <w:rtl/>
              </w:rPr>
              <w:t xml:space="preserve"> : « لم يغنوا »</w:t>
            </w:r>
            <w:r>
              <w:rPr>
                <w:rtl/>
              </w:rPr>
              <w:t>.</w:t>
            </w:r>
          </w:p>
        </w:tc>
        <w:tc>
          <w:tcPr>
            <w:tcW w:w="4006" w:type="dxa"/>
          </w:tcPr>
          <w:p w:rsidR="000C39D1" w:rsidRDefault="000C39D1" w:rsidP="00B53873">
            <w:pPr>
              <w:pStyle w:val="libFootnote0"/>
              <w:rPr>
                <w:rtl/>
              </w:rPr>
            </w:pPr>
            <w:r>
              <w:rPr>
                <w:rtl/>
              </w:rPr>
              <w:t>(9). في «ف،بر»:«فلاتعجّل</w:t>
            </w:r>
            <w:r w:rsidRPr="00132E65">
              <w:rPr>
                <w:rtl/>
              </w:rPr>
              <w:t>»</w:t>
            </w:r>
            <w:r>
              <w:rPr>
                <w:rtl/>
              </w:rPr>
              <w:t>.</w:t>
            </w:r>
            <w:r w:rsidRPr="00132E65">
              <w:rPr>
                <w:rtl/>
              </w:rPr>
              <w:t>وفي</w:t>
            </w:r>
            <w:r w:rsidRPr="009D1ACE">
              <w:rPr>
                <w:rStyle w:val="libFootnoteBoldChar"/>
                <w:rtl/>
              </w:rPr>
              <w:t>الوافي</w:t>
            </w:r>
            <w:r>
              <w:rPr>
                <w:rtl/>
              </w:rPr>
              <w:t>:«ولاتعجل</w:t>
            </w:r>
            <w:r w:rsidRPr="00132E65">
              <w:rPr>
                <w:rtl/>
              </w:rPr>
              <w:t>»</w:t>
            </w:r>
            <w:r>
              <w:rPr>
                <w:rtl/>
              </w:rPr>
              <w:t>.</w:t>
            </w:r>
          </w:p>
        </w:tc>
      </w:tr>
      <w:tr w:rsidR="000C39D1" w:rsidTr="00B53873">
        <w:tc>
          <w:tcPr>
            <w:tcW w:w="4006" w:type="dxa"/>
          </w:tcPr>
          <w:p w:rsidR="000C39D1" w:rsidRDefault="000C39D1" w:rsidP="00B53873">
            <w:pPr>
              <w:pStyle w:val="libFootnote0"/>
              <w:rPr>
                <w:rtl/>
              </w:rPr>
            </w:pPr>
            <w:r>
              <w:rPr>
                <w:rtl/>
              </w:rPr>
              <w:t>(10).</w:t>
            </w:r>
            <w:r w:rsidRPr="00132E65">
              <w:rPr>
                <w:rtl/>
              </w:rPr>
              <w:t xml:space="preserve"> في « بر » :</w:t>
            </w:r>
            <w:r>
              <w:rPr>
                <w:rtl/>
              </w:rPr>
              <w:t xml:space="preserve"> + </w:t>
            </w:r>
            <w:r w:rsidRPr="00132E65">
              <w:rPr>
                <w:rtl/>
              </w:rPr>
              <w:t>« فيه »</w:t>
            </w:r>
            <w:r>
              <w:rPr>
                <w:rtl/>
              </w:rPr>
              <w:t>.</w:t>
            </w:r>
          </w:p>
        </w:tc>
        <w:tc>
          <w:tcPr>
            <w:tcW w:w="4006" w:type="dxa"/>
          </w:tcPr>
          <w:p w:rsidR="000C39D1" w:rsidRDefault="000C39D1" w:rsidP="00B53873">
            <w:pPr>
              <w:pStyle w:val="libFootnote0"/>
              <w:rPr>
                <w:rtl/>
              </w:rPr>
            </w:pPr>
            <w:r>
              <w:rPr>
                <w:rtl/>
              </w:rPr>
              <w:t>(11).</w:t>
            </w:r>
            <w:r w:rsidRPr="00132E65">
              <w:rPr>
                <w:rtl/>
              </w:rPr>
              <w:t xml:space="preserve"> في « ب » : « بعجلة »</w:t>
            </w:r>
            <w:r>
              <w:rPr>
                <w:rtl/>
              </w:rPr>
              <w:t>.</w:t>
            </w:r>
          </w:p>
        </w:tc>
      </w:tr>
    </w:tbl>
    <w:p w:rsidR="000C39D1" w:rsidRPr="00132E65" w:rsidRDefault="000C39D1" w:rsidP="000C39D1">
      <w:pPr>
        <w:pStyle w:val="libFootnote0"/>
        <w:rPr>
          <w:rtl/>
          <w:lang w:bidi="fa-IR"/>
        </w:rPr>
      </w:pPr>
      <w:r>
        <w:rPr>
          <w:rtl/>
        </w:rPr>
        <w:t>(12).</w:t>
      </w:r>
      <w:r w:rsidRPr="00132E65">
        <w:rPr>
          <w:rtl/>
        </w:rPr>
        <w:t xml:space="preserve"> في « بف » : « فيعجزك »</w:t>
      </w:r>
      <w:r>
        <w:rPr>
          <w:rtl/>
        </w:rPr>
        <w:t>.</w:t>
      </w:r>
    </w:p>
    <w:p w:rsidR="000C39D1" w:rsidRPr="00132E65" w:rsidRDefault="000C39D1" w:rsidP="000C39D1">
      <w:pPr>
        <w:pStyle w:val="libFootnote0"/>
        <w:rPr>
          <w:rtl/>
          <w:lang w:bidi="fa-IR"/>
        </w:rPr>
      </w:pPr>
      <w:r>
        <w:rPr>
          <w:rtl/>
        </w:rPr>
        <w:t>(13)</w:t>
      </w:r>
      <w:r w:rsidRPr="00132E65">
        <w:rPr>
          <w:rtl/>
        </w:rPr>
        <w:t xml:space="preserve"> « فَتَصْرَعَكَ » ، أي تطرحك على الأرض ؛ من الصَرْع ، وهو الطرح بالأرض. وخصّه بعضهم بالإنسان. راجع : </w:t>
      </w:r>
      <w:r w:rsidRPr="009D1ACE">
        <w:rPr>
          <w:rStyle w:val="libFootnoteBoldChar"/>
          <w:rtl/>
        </w:rPr>
        <w:t>لسان العرب</w:t>
      </w:r>
      <w:r w:rsidRPr="00132E65">
        <w:rPr>
          <w:rtl/>
        </w:rPr>
        <w:t xml:space="preserve"> ، ج 8 ، ص 197 ( صرع )</w:t>
      </w:r>
      <w:r>
        <w:rPr>
          <w:rtl/>
        </w:rPr>
        <w:t>.</w:t>
      </w:r>
    </w:p>
    <w:p w:rsidR="000C39D1" w:rsidRPr="00132E65" w:rsidRDefault="000C39D1" w:rsidP="000C39D1">
      <w:pPr>
        <w:pStyle w:val="libFootnote0"/>
        <w:rPr>
          <w:rtl/>
          <w:lang w:bidi="fa-IR"/>
        </w:rPr>
      </w:pPr>
      <w:r>
        <w:rPr>
          <w:rtl/>
        </w:rPr>
        <w:t>(14)</w:t>
      </w:r>
      <w:r w:rsidRPr="00132E65">
        <w:rPr>
          <w:rtl/>
        </w:rPr>
        <w:t xml:space="preserve"> « أرخى سِتْرَهُ » ، أي أرسله. راجع : </w:t>
      </w:r>
      <w:r w:rsidRPr="002A3884">
        <w:rPr>
          <w:rtl/>
        </w:rPr>
        <w:t>الصحاح</w:t>
      </w:r>
      <w:r w:rsidRPr="00132E65">
        <w:rPr>
          <w:rtl/>
        </w:rPr>
        <w:t xml:space="preserve"> ، ج 6 ، ص 2354 ( رخا )</w:t>
      </w:r>
      <w:r>
        <w:rPr>
          <w:rtl/>
        </w:rPr>
        <w:t>.</w:t>
      </w:r>
    </w:p>
    <w:p w:rsidR="000C39D1" w:rsidRPr="00132E65" w:rsidRDefault="000C39D1" w:rsidP="000C39D1">
      <w:pPr>
        <w:pStyle w:val="libFootnote0"/>
        <w:rPr>
          <w:rtl/>
          <w:lang w:bidi="fa-IR"/>
        </w:rPr>
      </w:pPr>
      <w:r>
        <w:rPr>
          <w:rtl/>
        </w:rPr>
        <w:t>(15)</w:t>
      </w:r>
      <w:r w:rsidRPr="00132E65">
        <w:rPr>
          <w:rtl/>
        </w:rPr>
        <w:t xml:space="preserve"> « ثَبَّطَ عن الجهاد » ، أي شَغَلَ عنه الناسَ ؛ من التثبيط ، وهو التعويق والشَغْلُ عن المراد. يقال : ثَبَّطَهُ عن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حَوْزَتَهُ </w:t>
      </w:r>
      <w:r>
        <w:rPr>
          <w:rStyle w:val="libFootnotenumChar"/>
          <w:rtl/>
        </w:rPr>
        <w:t>(1)</w:t>
      </w:r>
      <w:r w:rsidRPr="00132E65">
        <w:rPr>
          <w:rtl/>
          <w:lang w:bidi="fa-IR"/>
        </w:rPr>
        <w:t xml:space="preserve"> ، وجَاهَدَ فِي سَبِيلِ اللهِ حَقَّ جِهَادِهِ ، ودَفَعَ عَنْ رَعِيَّتِهِ ، وذَبَّ عَنْ حَرِيمِهِ.</w:t>
      </w:r>
    </w:p>
    <w:p w:rsidR="000C39D1" w:rsidRPr="00132E65" w:rsidRDefault="000C39D1" w:rsidP="000C39D1">
      <w:pPr>
        <w:pStyle w:val="libNormal"/>
        <w:rPr>
          <w:rtl/>
          <w:lang w:bidi="fa-IR"/>
        </w:rPr>
      </w:pPr>
      <w:r w:rsidRPr="00132E65">
        <w:rPr>
          <w:rtl/>
          <w:lang w:bidi="fa-IR"/>
        </w:rPr>
        <w:t xml:space="preserve">قَالَ </w:t>
      </w:r>
      <w:r>
        <w:rPr>
          <w:rStyle w:val="libFootnotenumChar"/>
          <w:rtl/>
        </w:rPr>
        <w:t>(2)</w:t>
      </w:r>
      <w:r w:rsidRPr="00132E65">
        <w:rPr>
          <w:rtl/>
          <w:lang w:bidi="fa-IR"/>
        </w:rPr>
        <w:t xml:space="preserve"> أَبُو جَعْفَرٍ </w:t>
      </w:r>
      <w:r w:rsidRPr="00071CF9">
        <w:rPr>
          <w:rStyle w:val="libAlaemChar"/>
          <w:rtl/>
        </w:rPr>
        <w:t>عليه‌السلام</w:t>
      </w:r>
      <w:r w:rsidRPr="00132E65">
        <w:rPr>
          <w:rtl/>
          <w:lang w:bidi="fa-IR"/>
        </w:rPr>
        <w:t xml:space="preserve"> : « هَلْ تَعْرِفُ يَا أَخِي مِنْ </w:t>
      </w:r>
      <w:r>
        <w:rPr>
          <w:rStyle w:val="libFootnotenumChar"/>
          <w:rtl/>
        </w:rPr>
        <w:t>(3)</w:t>
      </w:r>
      <w:r w:rsidRPr="00132E65">
        <w:rPr>
          <w:rtl/>
          <w:lang w:bidi="fa-IR"/>
        </w:rPr>
        <w:t xml:space="preserve"> نَفْسِكَ شَيْئاً مِمَّا نَسَبْتَهَا إِلَيْهِ ؛ فَتَجِي‌ءَ عَلَيْهِ بِشَاهِدٍ مِنْ كِتَابِ اللهِ ، أَوْ </w:t>
      </w:r>
      <w:r>
        <w:rPr>
          <w:rStyle w:val="libFootnotenumChar"/>
          <w:rtl/>
        </w:rPr>
        <w:t>(4)</w:t>
      </w:r>
      <w:r w:rsidRPr="00132E65">
        <w:rPr>
          <w:rtl/>
          <w:lang w:bidi="fa-IR"/>
        </w:rPr>
        <w:t xml:space="preserve"> حُجَّةٍ مِنْ رَسُولِ اللهِ </w:t>
      </w:r>
      <w:r w:rsidRPr="0093484F">
        <w:rPr>
          <w:rStyle w:val="libAlaemChar"/>
          <w:rFonts w:eastAsiaTheme="minorHAnsi"/>
          <w:rtl/>
        </w:rPr>
        <w:t>صلى‌الله‌عليه‌وآله</w:t>
      </w:r>
      <w:r w:rsidRPr="00132E65">
        <w:rPr>
          <w:rtl/>
          <w:lang w:bidi="fa-IR"/>
        </w:rPr>
        <w:t xml:space="preserve"> ، أَوْ تَضْرِبَ بِهِ مَثَلاً</w:t>
      </w:r>
      <w:r>
        <w:rPr>
          <w:rtl/>
          <w:lang w:bidi="fa-IR"/>
        </w:rPr>
        <w:t>؟</w:t>
      </w:r>
      <w:r w:rsidRPr="00132E65">
        <w:rPr>
          <w:rtl/>
          <w:lang w:bidi="fa-IR"/>
        </w:rPr>
        <w:t xml:space="preserve"> فَإِنَّ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أَحَلَّ حَلَالاً ، وحَرَّمَ حَرَاماً ، وفَرَضَ فَرَائِضَ ، وضَرَبَ أَمْثَالاً ، وسَنَّ سُنَناً </w:t>
      </w:r>
      <w:r>
        <w:rPr>
          <w:rStyle w:val="libFootnotenumChar"/>
          <w:rtl/>
        </w:rPr>
        <w:t>(5)</w:t>
      </w:r>
      <w:r w:rsidRPr="00132E65">
        <w:rPr>
          <w:rtl/>
          <w:lang w:bidi="fa-IR"/>
        </w:rPr>
        <w:t xml:space="preserve"> ، وَلَمْ يَجْعَلِ الْإِمَامَ الْقَائِمَ بِأَمْرِهِ فِي </w:t>
      </w:r>
      <w:r>
        <w:rPr>
          <w:rStyle w:val="libFootnotenumChar"/>
          <w:rtl/>
        </w:rPr>
        <w:t>(6)</w:t>
      </w:r>
      <w:r w:rsidRPr="00132E65">
        <w:rPr>
          <w:rtl/>
          <w:lang w:bidi="fa-IR"/>
        </w:rPr>
        <w:t xml:space="preserve"> شُبْهَةٍ فِيمَا </w:t>
      </w:r>
      <w:r>
        <w:rPr>
          <w:rStyle w:val="libFootnotenumChar"/>
          <w:rtl/>
        </w:rPr>
        <w:t>(7)</w:t>
      </w:r>
      <w:r w:rsidRPr="00132E65">
        <w:rPr>
          <w:rtl/>
          <w:lang w:bidi="fa-IR"/>
        </w:rPr>
        <w:t xml:space="preserve"> فَرَضَ </w:t>
      </w:r>
      <w:r>
        <w:rPr>
          <w:rStyle w:val="libFootnotenumChar"/>
          <w:rtl/>
        </w:rPr>
        <w:t>(8)</w:t>
      </w:r>
      <w:r w:rsidRPr="00132E65">
        <w:rPr>
          <w:rtl/>
          <w:lang w:bidi="fa-IR"/>
        </w:rPr>
        <w:t xml:space="preserve"> لَهُ مِنَ الطَّاعَةِ أَنْ </w:t>
      </w:r>
      <w:r>
        <w:rPr>
          <w:rStyle w:val="libFootnotenumChar"/>
          <w:rtl/>
        </w:rPr>
        <w:t>(9)</w:t>
      </w:r>
      <w:r w:rsidRPr="00132E65">
        <w:rPr>
          <w:rtl/>
          <w:lang w:bidi="fa-IR"/>
        </w:rPr>
        <w:t xml:space="preserve"> يَسْبِقَهُ بِأَمْرٍ قَبْلَ </w:t>
      </w:r>
      <w:r>
        <w:rPr>
          <w:rStyle w:val="libFootnotenumChar"/>
          <w:rtl/>
        </w:rPr>
        <w:t>(10)</w:t>
      </w:r>
      <w:r w:rsidRPr="00132E65">
        <w:rPr>
          <w:rtl/>
          <w:lang w:bidi="fa-IR"/>
        </w:rPr>
        <w:t xml:space="preserve"> مَحَلِّهِ ، أَوْ يُجَاهِدَ فِيهِ </w:t>
      </w:r>
      <w:r>
        <w:rPr>
          <w:rStyle w:val="libFootnotenumChar"/>
          <w:rtl/>
        </w:rPr>
        <w:t>(11)</w:t>
      </w:r>
      <w:r w:rsidRPr="00132E65">
        <w:rPr>
          <w:rtl/>
          <w:lang w:bidi="fa-IR"/>
        </w:rPr>
        <w:t xml:space="preserve"> قَبْلَ حُلُولِهِ ؛ وقَدْ قَالَ اللهُ</w:t>
      </w:r>
      <w:r>
        <w:rPr>
          <w:rtl/>
          <w:lang w:bidi="fa-IR"/>
        </w:rPr>
        <w:t xml:space="preserve"> - </w:t>
      </w:r>
      <w:r w:rsidRPr="00132E65">
        <w:rPr>
          <w:rtl/>
          <w:lang w:bidi="fa-IR"/>
        </w:rPr>
        <w:t>عَزَّ وجَلَّ</w:t>
      </w:r>
      <w:r>
        <w:rPr>
          <w:rtl/>
          <w:lang w:bidi="fa-IR"/>
        </w:rPr>
        <w:t xml:space="preserve"> - </w:t>
      </w:r>
      <w:r w:rsidRPr="00132E65">
        <w:rPr>
          <w:rtl/>
          <w:lang w:bidi="fa-IR"/>
        </w:rPr>
        <w:t xml:space="preserve">فِي الصَّيْدِ : </w:t>
      </w:r>
      <w:r w:rsidRPr="00071CF9">
        <w:rPr>
          <w:rStyle w:val="libAlaemChar"/>
          <w:rtl/>
        </w:rPr>
        <w:t>(</w:t>
      </w:r>
      <w:r w:rsidRPr="00071CF9">
        <w:rPr>
          <w:rStyle w:val="libAieChar"/>
          <w:rtl/>
        </w:rPr>
        <w:t xml:space="preserve"> لا تَقْتُلُوا الصَّيْدَ وَأَنْتُمْ حُرُمٌ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أَفَقَتْلُ </w:t>
      </w:r>
      <w:r w:rsidRPr="00F543F1">
        <w:rPr>
          <w:rStyle w:val="libFootnotenumChar"/>
          <w:rtl/>
        </w:rPr>
        <w:t>(1</w:t>
      </w:r>
      <w:r w:rsidRPr="00F543F1">
        <w:rPr>
          <w:rStyle w:val="libFootnotenumChar"/>
          <w:rFonts w:hint="cs"/>
          <w:rtl/>
        </w:rPr>
        <w:t>3</w:t>
      </w:r>
      <w:r w:rsidRPr="00F543F1">
        <w:rPr>
          <w:rStyle w:val="libFootnotenumChar"/>
          <w:rtl/>
        </w:rPr>
        <w:t>)</w:t>
      </w:r>
      <w:r w:rsidRPr="00132E65">
        <w:rPr>
          <w:rtl/>
          <w:lang w:bidi="fa-IR"/>
        </w:rPr>
        <w:t xml:space="preserve"> الصَّيْدِ أَعْظَمُ ، أَمْ قَتْلُ النَّفْسِ الَّتِي حَرَّمَ اللهُ</w:t>
      </w:r>
      <w:r>
        <w:rPr>
          <w:rtl/>
          <w:lang w:bidi="fa-IR"/>
        </w:rPr>
        <w:t>؟</w:t>
      </w:r>
    </w:p>
    <w:p w:rsidR="000C39D1" w:rsidRPr="00132E65" w:rsidRDefault="000C39D1" w:rsidP="000C39D1">
      <w:pPr>
        <w:pStyle w:val="libNormal"/>
        <w:rPr>
          <w:rtl/>
          <w:lang w:bidi="fa-IR"/>
        </w:rPr>
      </w:pPr>
      <w:r w:rsidRPr="00132E65">
        <w:rPr>
          <w:rtl/>
          <w:lang w:bidi="fa-IR"/>
        </w:rPr>
        <w:t xml:space="preserve">وَجَعَلَ لِكُلِّ شَيْ‌ءٍ مَحَلًّا ، وقَالَ </w:t>
      </w:r>
      <w:r w:rsidRPr="00F543F1">
        <w:rPr>
          <w:rStyle w:val="libFootnotenumChar"/>
          <w:rtl/>
        </w:rPr>
        <w:t>(1</w:t>
      </w:r>
      <w:r w:rsidRPr="00F543F1">
        <w:rPr>
          <w:rStyle w:val="libFootnotenumChar"/>
          <w:rFonts w:hint="cs"/>
          <w:rtl/>
        </w:rPr>
        <w:t>4</w:t>
      </w:r>
      <w:r w:rsidRPr="00F543F1">
        <w:rPr>
          <w:rStyle w:val="libFootnotenumChar"/>
          <w:rtl/>
        </w:rPr>
        <w:t>)</w:t>
      </w:r>
      <w:r w:rsidRPr="00132E65">
        <w:rPr>
          <w:rtl/>
          <w:lang w:bidi="fa-IR"/>
        </w:rPr>
        <w:t xml:space="preserve"> عَزَّ وجَلَّ : </w:t>
      </w:r>
      <w:r w:rsidRPr="00071CF9">
        <w:rPr>
          <w:rStyle w:val="libAlaemChar"/>
          <w:rtl/>
        </w:rPr>
        <w:t>(</w:t>
      </w:r>
      <w:r w:rsidRPr="00071CF9">
        <w:rPr>
          <w:rStyle w:val="libAieChar"/>
          <w:rtl/>
        </w:rPr>
        <w:t xml:space="preserve"> وَإِذا حَلَلْتُمْ فَاصْطادُوا </w:t>
      </w:r>
      <w:r w:rsidRPr="00071CF9">
        <w:rPr>
          <w:rStyle w:val="libAlaemChar"/>
          <w:rtl/>
        </w:rPr>
        <w:t>)</w:t>
      </w:r>
      <w:r w:rsidRPr="00132E65">
        <w:rPr>
          <w:rtl/>
          <w:lang w:bidi="fa-IR"/>
        </w:rPr>
        <w:t xml:space="preserve"> وقَالَ </w:t>
      </w:r>
      <w:r w:rsidRPr="00F543F1">
        <w:rPr>
          <w:rStyle w:val="libFootnotenumChar"/>
          <w:rtl/>
        </w:rPr>
        <w:t>(1</w:t>
      </w:r>
      <w:r w:rsidRPr="00F543F1">
        <w:rPr>
          <w:rStyle w:val="libFootnotenumChar"/>
          <w:rFonts w:hint="cs"/>
          <w:rtl/>
        </w:rPr>
        <w:t>5</w:t>
      </w:r>
      <w:r w:rsidRPr="00F543F1">
        <w:rPr>
          <w:rStyle w:val="libFootnotenumChar"/>
          <w:rtl/>
        </w:rPr>
        <w:t>)</w:t>
      </w:r>
      <w:r w:rsidRPr="00132E65">
        <w:rPr>
          <w:rtl/>
          <w:lang w:bidi="fa-IR"/>
        </w:rPr>
        <w:t xml:space="preserve"> عَزَّ وجَلَّ : </w:t>
      </w:r>
      <w:r w:rsidRPr="00071CF9">
        <w:rPr>
          <w:rStyle w:val="libAlaemChar"/>
          <w:rtl/>
        </w:rPr>
        <w:t>(</w:t>
      </w:r>
      <w:r w:rsidRPr="00071CF9">
        <w:rPr>
          <w:rStyle w:val="libAieChar"/>
          <w:rtl/>
        </w:rPr>
        <w:t xml:space="preserve"> لا تُحِلُّوا شَعائِرَ اللهِ وَلَا الشَّهْرَ الْحَرامَ </w:t>
      </w:r>
      <w:r w:rsidRPr="00071CF9">
        <w:rPr>
          <w:rStyle w:val="libAlaemChar"/>
          <w:rtl/>
        </w:rPr>
        <w:t>)</w:t>
      </w:r>
      <w:r w:rsidRPr="00132E65">
        <w:rPr>
          <w:rtl/>
          <w:lang w:bidi="fa-IR"/>
        </w:rPr>
        <w:t xml:space="preserve"> </w:t>
      </w:r>
      <w:r w:rsidRPr="00F543F1">
        <w:rPr>
          <w:rStyle w:val="libFootnotenumChar"/>
          <w:rtl/>
        </w:rPr>
        <w:t>(1</w:t>
      </w:r>
      <w:r w:rsidRPr="00F543F1">
        <w:rPr>
          <w:rStyle w:val="libFootnotenumChar"/>
          <w:rFonts w:hint="cs"/>
          <w:rtl/>
        </w:rPr>
        <w:t>6</w:t>
      </w:r>
      <w:r w:rsidRPr="00F543F1">
        <w:rPr>
          <w:rStyle w:val="libFootnotenumChar"/>
          <w:rtl/>
        </w:rPr>
        <w:t>)</w:t>
      </w:r>
      <w:r w:rsidRPr="00132E65">
        <w:rPr>
          <w:rtl/>
          <w:lang w:bidi="fa-IR"/>
        </w:rPr>
        <w:t xml:space="preserve"> فَجَعَلَ الشُّهُورَ عِدَّةً مَعْلُومَةً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الشي‌ء تثبيطاً ، إذا شغله عنه. هذا ، ولكنّ المازندراني قال : « ثبط</w:t>
      </w:r>
      <w:r>
        <w:rPr>
          <w:rtl/>
        </w:rPr>
        <w:t xml:space="preserve"> - </w:t>
      </w:r>
      <w:r w:rsidRPr="00132E65">
        <w:rPr>
          <w:rtl/>
        </w:rPr>
        <w:t xml:space="preserve">بفتح الفاء وكسر العين ، كما هو المضبوط في </w:t>
      </w:r>
      <w:r w:rsidRPr="002A3884">
        <w:rPr>
          <w:rtl/>
        </w:rPr>
        <w:t>الفائق</w:t>
      </w:r>
      <w:r>
        <w:rPr>
          <w:rtl/>
        </w:rPr>
        <w:t xml:space="preserve"> - </w:t>
      </w:r>
      <w:r w:rsidRPr="00132E65">
        <w:rPr>
          <w:rtl/>
        </w:rPr>
        <w:t>بمعنى ثقل وبطئ ، شغل عن المراد. يقال : هو ثَبِطٌ ، أي ثقيل بطي‌ء »</w:t>
      </w:r>
      <w:r>
        <w:rPr>
          <w:rtl/>
        </w:rPr>
        <w:t>.</w:t>
      </w:r>
      <w:r w:rsidRPr="00132E65">
        <w:rPr>
          <w:rtl/>
        </w:rPr>
        <w:t xml:space="preserve"> راجع : </w:t>
      </w:r>
      <w:r w:rsidRPr="009D1ACE">
        <w:rPr>
          <w:rStyle w:val="libFootnoteBoldChar"/>
          <w:rtl/>
        </w:rPr>
        <w:t>لسان العرب</w:t>
      </w:r>
      <w:r w:rsidR="00D14011">
        <w:rPr>
          <w:rtl/>
        </w:rPr>
        <w:t xml:space="preserve"> ، ج 7 ، ص 266 ( ثبط</w:t>
      </w:r>
      <w:r w:rsidRPr="00132E65">
        <w:rPr>
          <w:rtl/>
        </w:rPr>
        <w:t>)</w:t>
      </w:r>
      <w:r>
        <w:rPr>
          <w:rtl/>
        </w:rPr>
        <w:t>.</w:t>
      </w:r>
    </w:p>
    <w:p w:rsidR="000C39D1" w:rsidRPr="00132E65" w:rsidRDefault="000C39D1" w:rsidP="000C39D1">
      <w:pPr>
        <w:pStyle w:val="libFootnote0"/>
        <w:rPr>
          <w:rtl/>
          <w:lang w:bidi="fa-IR"/>
        </w:rPr>
      </w:pPr>
      <w:r>
        <w:rPr>
          <w:rtl/>
        </w:rPr>
        <w:t>(1).</w:t>
      </w:r>
      <w:r w:rsidRPr="00132E65">
        <w:rPr>
          <w:rtl/>
        </w:rPr>
        <w:t xml:space="preserve"> « منع حَوْزَتَهُ » أي منع ما في حيّزه. يقال : فلان مانع لحَوْزَتِهِ ، أي لما في حيّزه ، والحَوْزَةُ فَعْلَةٌ منه ، سمّيت بها الناحية. راجع : </w:t>
      </w:r>
      <w:r w:rsidRPr="003B7B35">
        <w:rPr>
          <w:rtl/>
        </w:rPr>
        <w:t>النهاية</w:t>
      </w:r>
      <w:r w:rsidRPr="00132E65">
        <w:rPr>
          <w:rtl/>
        </w:rPr>
        <w:t xml:space="preserve"> ، ج 1 ، ص 460 ( حوز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(2).</w:t>
            </w:r>
            <w:r w:rsidRPr="00132E65">
              <w:rPr>
                <w:rtl/>
              </w:rPr>
              <w:t xml:space="preserve"> في « ف » :</w:t>
            </w:r>
            <w:r>
              <w:rPr>
                <w:rtl/>
              </w:rPr>
              <w:t xml:space="preserve"> + </w:t>
            </w:r>
            <w:r w:rsidRPr="00132E65">
              <w:rPr>
                <w:rtl/>
              </w:rPr>
              <w:t>« له »</w:t>
            </w:r>
            <w:r>
              <w:rPr>
                <w:rtl/>
              </w:rPr>
              <w:t>. وفي « بر »:</w:t>
            </w:r>
            <w:r w:rsidRPr="00132E65">
              <w:rPr>
                <w:rtl/>
              </w:rPr>
              <w:t>« فقال »</w:t>
            </w:r>
            <w:r>
              <w:rPr>
                <w:rtl/>
              </w:rPr>
              <w:t>.</w:t>
            </w:r>
          </w:p>
        </w:tc>
        <w:tc>
          <w:tcPr>
            <w:tcW w:w="4006" w:type="dxa"/>
          </w:tcPr>
          <w:p w:rsidR="000C39D1" w:rsidRDefault="000C39D1" w:rsidP="00B53873">
            <w:pPr>
              <w:pStyle w:val="libFootnote0"/>
              <w:rPr>
                <w:rtl/>
              </w:rPr>
            </w:pPr>
            <w:r>
              <w:rPr>
                <w:rtl/>
              </w:rPr>
              <w:t>(3).</w:t>
            </w:r>
            <w:r w:rsidRPr="00132E65">
              <w:rPr>
                <w:rtl/>
              </w:rPr>
              <w:t xml:space="preserve"> في « بر » : « في »</w:t>
            </w:r>
            <w:r>
              <w:rPr>
                <w:rtl/>
              </w:rPr>
              <w:t>.</w:t>
            </w:r>
          </w:p>
        </w:tc>
      </w:tr>
    </w:tbl>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w:t>
      </w:r>
      <w:r>
        <w:rPr>
          <w:rtl/>
        </w:rPr>
        <w:t>و ».</w:t>
      </w:r>
    </w:p>
    <w:p w:rsidR="000C39D1" w:rsidRPr="00132E65" w:rsidRDefault="000C39D1" w:rsidP="000C39D1">
      <w:pPr>
        <w:pStyle w:val="libFootnote0"/>
        <w:rPr>
          <w:rtl/>
          <w:lang w:bidi="fa-IR"/>
        </w:rPr>
      </w:pPr>
      <w:r>
        <w:rPr>
          <w:rtl/>
        </w:rPr>
        <w:t>(5).</w:t>
      </w:r>
      <w:r w:rsidRPr="00132E65">
        <w:rPr>
          <w:rtl/>
        </w:rPr>
        <w:t xml:space="preserve"> « سنّ سنناً » ، أي بيّن طرقاً قويمة. والسُنّةُ : الطريقة والسيرة. وسُنّة الله : أحكامه وأوامره ونواهيه. راجع : </w:t>
      </w:r>
      <w:r w:rsidRPr="003B7B35">
        <w:rPr>
          <w:rtl/>
        </w:rPr>
        <w:t>لسان‌العرب</w:t>
      </w:r>
      <w:r w:rsidRPr="00132E65">
        <w:rPr>
          <w:rtl/>
        </w:rPr>
        <w:t xml:space="preserve"> ، ج 13 ، ص 225 ( سنن )</w:t>
      </w:r>
      <w:r>
        <w:rPr>
          <w:rtl/>
        </w:rPr>
        <w:t>.</w:t>
      </w:r>
    </w:p>
    <w:p w:rsidR="000C39D1" w:rsidRPr="00132E65" w:rsidRDefault="000C39D1" w:rsidP="000C39D1">
      <w:pPr>
        <w:pStyle w:val="libFootnote0"/>
        <w:rPr>
          <w:rtl/>
          <w:lang w:bidi="fa-IR"/>
        </w:rPr>
      </w:pPr>
      <w:r>
        <w:rPr>
          <w:rtl/>
        </w:rPr>
        <w:t>(6).</w:t>
      </w:r>
      <w:r w:rsidRPr="00132E65">
        <w:rPr>
          <w:rtl/>
        </w:rPr>
        <w:t xml:space="preserve"> هكذا في النسخ التي قوبلت والبحار. وفي المطبوع </w:t>
      </w:r>
      <w:r>
        <w:rPr>
          <w:rtl/>
        </w:rPr>
        <w:t xml:space="preserve">: - </w:t>
      </w:r>
      <w:r w:rsidRPr="00132E65">
        <w:rPr>
          <w:rtl/>
        </w:rPr>
        <w:t>« في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 ، ف » وتفسير العيّاشي : « ممّا »</w:t>
            </w:r>
            <w:r>
              <w:rPr>
                <w:rtl/>
              </w:rPr>
              <w:t>.</w:t>
            </w:r>
          </w:p>
        </w:tc>
        <w:tc>
          <w:tcPr>
            <w:tcW w:w="4006" w:type="dxa"/>
          </w:tcPr>
          <w:p w:rsidR="000C39D1" w:rsidRDefault="000C39D1" w:rsidP="00B53873">
            <w:pPr>
              <w:pStyle w:val="libFootnote0"/>
              <w:rPr>
                <w:rtl/>
              </w:rPr>
            </w:pPr>
            <w:r>
              <w:rPr>
                <w:rtl/>
              </w:rPr>
              <w:t>(8).</w:t>
            </w:r>
            <w:r w:rsidRPr="00132E65">
              <w:rPr>
                <w:rtl/>
              </w:rPr>
              <w:t xml:space="preserve"> في حاشية « بر » وتفسير العيّاشي :</w:t>
            </w:r>
            <w:r>
              <w:rPr>
                <w:rtl/>
              </w:rPr>
              <w:t xml:space="preserve"> + </w:t>
            </w:r>
            <w:r w:rsidRPr="00132E65">
              <w:rPr>
                <w:rtl/>
              </w:rPr>
              <w:t>« الله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w:t>
            </w:r>
            <w:r w:rsidRPr="009D1ACE">
              <w:rPr>
                <w:rStyle w:val="libFootnoteBoldChar"/>
                <w:rtl/>
              </w:rPr>
              <w:t>الوافي</w:t>
            </w:r>
            <w:r w:rsidRPr="00132E65">
              <w:rPr>
                <w:rtl/>
              </w:rPr>
              <w:t xml:space="preserve"> : « أو أن »</w:t>
            </w:r>
            <w:r>
              <w:rPr>
                <w:rtl/>
              </w:rPr>
              <w:t>.</w:t>
            </w:r>
          </w:p>
        </w:tc>
        <w:tc>
          <w:tcPr>
            <w:tcW w:w="4006" w:type="dxa"/>
          </w:tcPr>
          <w:p w:rsidR="000C39D1" w:rsidRDefault="000C39D1" w:rsidP="00B53873">
            <w:pPr>
              <w:pStyle w:val="libFootnote0"/>
              <w:rPr>
                <w:rtl/>
              </w:rPr>
            </w:pPr>
            <w:r>
              <w:rPr>
                <w:rtl/>
              </w:rPr>
              <w:t>(10).</w:t>
            </w:r>
            <w:r w:rsidRPr="00132E65">
              <w:rPr>
                <w:rtl/>
              </w:rPr>
              <w:t xml:space="preserve"> في « ف » : « من قبل »</w:t>
            </w:r>
            <w:r>
              <w:rPr>
                <w:rtl/>
              </w:rPr>
              <w:t>.</w:t>
            </w:r>
          </w:p>
        </w:tc>
      </w:tr>
      <w:tr w:rsidR="000C39D1" w:rsidTr="00B53873">
        <w:tc>
          <w:tcPr>
            <w:tcW w:w="4006" w:type="dxa"/>
          </w:tcPr>
          <w:p w:rsidR="000C39D1" w:rsidRDefault="000C39D1" w:rsidP="00B53873">
            <w:pPr>
              <w:pStyle w:val="libFootnote0"/>
              <w:rPr>
                <w:rtl/>
              </w:rPr>
            </w:pPr>
            <w:r>
              <w:rPr>
                <w:rtl/>
              </w:rPr>
              <w:t>(11).</w:t>
            </w:r>
            <w:r w:rsidRPr="00132E65">
              <w:rPr>
                <w:rtl/>
              </w:rPr>
              <w:t xml:space="preserve"> في « بح » : « به »</w:t>
            </w:r>
            <w:r>
              <w:rPr>
                <w:rtl/>
              </w:rPr>
              <w:t>.</w:t>
            </w:r>
          </w:p>
        </w:tc>
        <w:tc>
          <w:tcPr>
            <w:tcW w:w="4006" w:type="dxa"/>
          </w:tcPr>
          <w:p w:rsidR="000C39D1" w:rsidRDefault="000C39D1" w:rsidP="00B53873">
            <w:pPr>
              <w:pStyle w:val="libFootnote0"/>
              <w:rPr>
                <w:rtl/>
              </w:rPr>
            </w:pPr>
            <w:r>
              <w:rPr>
                <w:rtl/>
              </w:rPr>
              <w:t>(12).</w:t>
            </w:r>
            <w:r w:rsidRPr="00132E65">
              <w:rPr>
                <w:rtl/>
              </w:rPr>
              <w:t xml:space="preserve"> المائدة </w:t>
            </w:r>
            <w:r>
              <w:rPr>
                <w:rtl/>
              </w:rPr>
              <w:t>(5)</w:t>
            </w:r>
            <w:r w:rsidRPr="00132E65">
              <w:rPr>
                <w:rtl/>
              </w:rPr>
              <w:t xml:space="preserve"> : 95.</w:t>
            </w:r>
          </w:p>
        </w:tc>
      </w:tr>
    </w:tbl>
    <w:p w:rsidR="000C39D1" w:rsidRPr="00132E65" w:rsidRDefault="000C39D1" w:rsidP="000C39D1">
      <w:pPr>
        <w:pStyle w:val="libFootnote0"/>
        <w:rPr>
          <w:rtl/>
          <w:lang w:bidi="fa-IR"/>
        </w:rPr>
      </w:pPr>
      <w:r>
        <w:rPr>
          <w:rtl/>
        </w:rPr>
        <w:t>(13)</w:t>
      </w:r>
      <w:r w:rsidRPr="00132E65">
        <w:rPr>
          <w:rtl/>
        </w:rPr>
        <w:t xml:space="preserve"> في « ج » : « فقتل » بدون همزة الاستفهام.</w:t>
      </w:r>
    </w:p>
    <w:p w:rsidR="000C39D1" w:rsidRPr="00132E65" w:rsidRDefault="000C39D1" w:rsidP="000C39D1">
      <w:pPr>
        <w:pStyle w:val="libFootnote0"/>
        <w:rPr>
          <w:rtl/>
          <w:lang w:bidi="fa-IR"/>
        </w:rPr>
      </w:pPr>
      <w:r>
        <w:rPr>
          <w:rtl/>
        </w:rPr>
        <w:t>(14)</w:t>
      </w:r>
      <w:r w:rsidRPr="00132E65">
        <w:rPr>
          <w:rtl/>
        </w:rPr>
        <w:t xml:space="preserve"> هكذا في « ب ، ج ، ض ، ف ، ه‍ ، و، بح ، بر ، بس ، بف » والبحار. وفي « ف » : « فقال »</w:t>
      </w:r>
      <w:r>
        <w:rPr>
          <w:rtl/>
        </w:rPr>
        <w:t>.</w:t>
      </w:r>
      <w:r w:rsidRPr="00132E65">
        <w:rPr>
          <w:rtl/>
        </w:rPr>
        <w:t xml:space="preserve"> وفي المطبوع :</w:t>
      </w:r>
      <w:r>
        <w:rPr>
          <w:rtl/>
        </w:rPr>
        <w:t xml:space="preserve"> + </w:t>
      </w:r>
      <w:r w:rsidRPr="00132E65">
        <w:rPr>
          <w:rtl/>
        </w:rPr>
        <w:t>« الله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(15)</w:t>
            </w:r>
            <w:r w:rsidRPr="00132E65">
              <w:rPr>
                <w:rtl/>
              </w:rPr>
              <w:t xml:space="preserve"> في « ه‍ » :</w:t>
            </w:r>
            <w:r>
              <w:rPr>
                <w:rtl/>
              </w:rPr>
              <w:t xml:space="preserve"> + </w:t>
            </w:r>
            <w:r w:rsidRPr="00132E65">
              <w:rPr>
                <w:rtl/>
              </w:rPr>
              <w:t>« الله »</w:t>
            </w:r>
            <w:r>
              <w:rPr>
                <w:rtl/>
              </w:rPr>
              <w:t>.</w:t>
            </w:r>
          </w:p>
        </w:tc>
        <w:tc>
          <w:tcPr>
            <w:tcW w:w="4006" w:type="dxa"/>
          </w:tcPr>
          <w:p w:rsidR="000C39D1" w:rsidRDefault="000C39D1" w:rsidP="00B53873">
            <w:pPr>
              <w:pStyle w:val="libFootnote0"/>
              <w:rPr>
                <w:rtl/>
              </w:rPr>
            </w:pPr>
            <w:r>
              <w:rPr>
                <w:rtl/>
              </w:rPr>
              <w:t>(16)</w:t>
            </w:r>
            <w:r w:rsidRPr="00132E65">
              <w:rPr>
                <w:rtl/>
              </w:rPr>
              <w:t xml:space="preserve"> المائدة </w:t>
            </w:r>
            <w:r>
              <w:rPr>
                <w:rtl/>
              </w:rPr>
              <w:t>(5): 2.وفي« ف »</w:t>
            </w:r>
            <w:r w:rsidRPr="00132E65">
              <w:rPr>
                <w:rtl/>
              </w:rPr>
              <w:t>:</w:t>
            </w:r>
            <w:r>
              <w:rPr>
                <w:rtl/>
              </w:rPr>
              <w:t>+</w:t>
            </w:r>
            <w:r w:rsidRPr="003567C9">
              <w:rPr>
                <w:rStyle w:val="libFootnoteAlaemChar"/>
                <w:rFonts w:hint="cs"/>
                <w:rtl/>
              </w:rPr>
              <w:t>(</w:t>
            </w:r>
            <w:r>
              <w:rPr>
                <w:rStyle w:val="libFootnoteAieChar"/>
                <w:rtl/>
              </w:rPr>
              <w:t xml:space="preserve"> وَلَا الْق</w:t>
            </w:r>
            <w:r>
              <w:rPr>
                <w:rStyle w:val="libFootnoteAieChar"/>
                <w:rFonts w:hint="cs"/>
                <w:rtl/>
              </w:rPr>
              <w:t>َلَآئِدَ</w:t>
            </w:r>
            <w:r w:rsidRPr="00132E65">
              <w:rPr>
                <w:rtl/>
              </w:rPr>
              <w:t xml:space="preserve"> </w:t>
            </w:r>
            <w:r w:rsidRPr="003567C9">
              <w:rPr>
                <w:rStyle w:val="libFootnoteAlaemChar"/>
                <w:rFonts w:hint="cs"/>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فَجَعَلَ مِنْهَا </w:t>
      </w:r>
      <w:r>
        <w:rPr>
          <w:rStyle w:val="libFootnotenumChar"/>
          <w:rtl/>
        </w:rPr>
        <w:t>(1)</w:t>
      </w:r>
      <w:r w:rsidRPr="00132E65">
        <w:rPr>
          <w:rtl/>
          <w:lang w:bidi="fa-IR"/>
        </w:rPr>
        <w:t xml:space="preserve"> أَرْبَعَةً حُرُماً ، وقَالَ : </w:t>
      </w:r>
      <w:r w:rsidRPr="00071CF9">
        <w:rPr>
          <w:rStyle w:val="libAlaemChar"/>
          <w:rtl/>
        </w:rPr>
        <w:t>(</w:t>
      </w:r>
      <w:r w:rsidRPr="00071CF9">
        <w:rPr>
          <w:rStyle w:val="libAieChar"/>
          <w:rtl/>
        </w:rPr>
        <w:t xml:space="preserve"> فَسِيحُوا فِي الْأَرْضِ أَرْبَعَةَ أَشْهُرٍ وَاعْلَمُوا أَنَّكُمْ غَيْرُ مُعْجِزِي اللهِ </w:t>
      </w:r>
      <w:r w:rsidRPr="00071CF9">
        <w:rPr>
          <w:rStyle w:val="libAlaemChar"/>
          <w:rtl/>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132E65">
        <w:rPr>
          <w:rtl/>
          <w:lang w:bidi="fa-IR"/>
        </w:rPr>
        <w:t xml:space="preserve">ثُمَّ قَالَ تَبَارَكَ وتَعَالى : </w:t>
      </w:r>
      <w:r w:rsidRPr="00071CF9">
        <w:rPr>
          <w:rStyle w:val="libAlaemChar"/>
          <w:rtl/>
        </w:rPr>
        <w:t>(</w:t>
      </w:r>
      <w:r w:rsidRPr="00071CF9">
        <w:rPr>
          <w:rStyle w:val="libAieChar"/>
          <w:rtl/>
        </w:rPr>
        <w:t xml:space="preserve"> فَإِذَا انْسَلَخَ الْأَشْهُرُ الْحُرُمُ فَاقْتُلُوا الْمُشْرِكِينَ حَيْثُ وَجَدْتُمُوهُمْ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فَجَعَلَ لِذلِكَ مَحَلًّا ، وقَالَ : </w:t>
      </w:r>
      <w:r w:rsidRPr="00071CF9">
        <w:rPr>
          <w:rStyle w:val="libAlaemChar"/>
          <w:rtl/>
        </w:rPr>
        <w:t>(</w:t>
      </w:r>
      <w:r w:rsidRPr="00071CF9">
        <w:rPr>
          <w:rStyle w:val="libAieChar"/>
          <w:rtl/>
        </w:rPr>
        <w:t xml:space="preserve"> وَل</w:t>
      </w:r>
      <w:r>
        <w:rPr>
          <w:rStyle w:val="libAieChar"/>
          <w:rFonts w:hint="cs"/>
          <w:rtl/>
        </w:rPr>
        <w:t>َ</w:t>
      </w:r>
      <w:r w:rsidRPr="00071CF9">
        <w:rPr>
          <w:rStyle w:val="libAieChar"/>
          <w:rtl/>
        </w:rPr>
        <w:t xml:space="preserve">ا تَعْزِمُوا عُقْدَةَ النِّكاحِ حَتّى يَبْلُغَ الْكِتابُ أَجَلَهُ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فَجَعَلَ لِكُلِّ شَيْ‌ءٍ مَحَلاًّ </w:t>
      </w:r>
      <w:r>
        <w:rPr>
          <w:rStyle w:val="libFootnotenumChar"/>
          <w:rtl/>
        </w:rPr>
        <w:t>(5)</w:t>
      </w:r>
      <w:r w:rsidRPr="00132E65">
        <w:rPr>
          <w:rtl/>
          <w:lang w:bidi="fa-IR"/>
        </w:rPr>
        <w:t xml:space="preserve"> ، ولِكُلِّ أَجَلٍ كِتَاباً.</w:t>
      </w:r>
    </w:p>
    <w:p w:rsidR="000C39D1" w:rsidRPr="00132E65" w:rsidRDefault="000C39D1" w:rsidP="000C39D1">
      <w:pPr>
        <w:pStyle w:val="libNormal"/>
        <w:rPr>
          <w:rtl/>
          <w:lang w:bidi="fa-IR"/>
        </w:rPr>
      </w:pPr>
      <w:r w:rsidRPr="00132E65">
        <w:rPr>
          <w:rtl/>
          <w:lang w:bidi="fa-IR"/>
        </w:rPr>
        <w:t>فَإِنْ كُنْتَ عَلى بَيِّنَةٍ مِنْ رَبِّكَ ، ويَقِينٍ مِنْ أَمْرِكَ ، وتِبْيَانٍ مِنْ</w:t>
      </w:r>
      <w:r>
        <w:rPr>
          <w:rtl/>
          <w:lang w:bidi="fa-IR"/>
        </w:rPr>
        <w:t xml:space="preserve"> شَأْنِكَ ، فَشَأْنَكَ ، وإِل</w:t>
      </w:r>
      <w:r>
        <w:rPr>
          <w:rFonts w:hint="cs"/>
          <w:rtl/>
          <w:lang w:bidi="fa-IR"/>
        </w:rPr>
        <w:t>َّ</w:t>
      </w:r>
      <w:r>
        <w:rPr>
          <w:rtl/>
          <w:lang w:bidi="fa-IR"/>
        </w:rPr>
        <w:t>ا</w:t>
      </w:r>
      <w:r w:rsidRPr="00132E65">
        <w:rPr>
          <w:rtl/>
          <w:lang w:bidi="fa-IR"/>
        </w:rPr>
        <w:t xml:space="preserve"> فَلَا تَرُومَنَّ </w:t>
      </w:r>
      <w:r>
        <w:rPr>
          <w:rStyle w:val="libFootnotenumChar"/>
          <w:rtl/>
        </w:rPr>
        <w:t>(6)</w:t>
      </w:r>
      <w:r w:rsidRPr="00132E65">
        <w:rPr>
          <w:rtl/>
          <w:lang w:bidi="fa-IR"/>
        </w:rPr>
        <w:t xml:space="preserve"> أَمْراً أَنْتَ مِنْهُ فِي شَكٍّ وشُبْهَةٍ ، ولَاتَتَعَاطَ </w:t>
      </w:r>
      <w:r>
        <w:rPr>
          <w:rStyle w:val="libFootnotenumChar"/>
          <w:rtl/>
        </w:rPr>
        <w:t>(7)</w:t>
      </w:r>
      <w:r w:rsidRPr="00132E65">
        <w:rPr>
          <w:rtl/>
          <w:lang w:bidi="fa-IR"/>
        </w:rPr>
        <w:t xml:space="preserve"> زَوَالَ مُلْكٍ لَمْ يَنْقَضِ </w:t>
      </w:r>
      <w:r>
        <w:rPr>
          <w:rStyle w:val="libFootnotenumChar"/>
          <w:rtl/>
        </w:rPr>
        <w:t>(8)</w:t>
      </w:r>
      <w:r w:rsidRPr="00132E65">
        <w:rPr>
          <w:rtl/>
          <w:lang w:bidi="fa-IR"/>
        </w:rPr>
        <w:t xml:space="preserve"> أُكُلُهُ </w:t>
      </w:r>
      <w:r>
        <w:rPr>
          <w:rStyle w:val="libFootnotenumChar"/>
          <w:rtl/>
        </w:rPr>
        <w:t>(9)</w:t>
      </w:r>
      <w:r w:rsidRPr="00132E65">
        <w:rPr>
          <w:rtl/>
          <w:lang w:bidi="fa-IR"/>
        </w:rPr>
        <w:t xml:space="preserve"> ، وَلَمْ يَنْقَطِعْ مَدَاهُ </w:t>
      </w:r>
      <w:r>
        <w:rPr>
          <w:rStyle w:val="libFootnotenumChar"/>
          <w:rtl/>
        </w:rPr>
        <w:t>(10)</w:t>
      </w:r>
      <w:r w:rsidRPr="00132E65">
        <w:rPr>
          <w:rtl/>
          <w:lang w:bidi="fa-IR"/>
        </w:rPr>
        <w:t xml:space="preserve"> ، ولَمْ يَبْلُغِ الْكِتَابُ أَجَلَهُ ، فَلَوْ قَدْ بَلَغَ مَدَاهُ ، وانْقَطَعَ أُكُلُهُ </w:t>
      </w:r>
      <w:r>
        <w:rPr>
          <w:rStyle w:val="libFootnotenumChar"/>
          <w:rtl/>
        </w:rPr>
        <w:t>(11)</w:t>
      </w:r>
      <w:r w:rsidRPr="00132E65">
        <w:rPr>
          <w:rtl/>
          <w:lang w:bidi="fa-IR"/>
        </w:rPr>
        <w:t xml:space="preserve"> ، وبَلَغَ الْكِتَابُ أَجَلَهُ ، لَانْقَطَعَ </w:t>
      </w:r>
      <w:r>
        <w:rPr>
          <w:rStyle w:val="libFootnotenumChar"/>
          <w:rtl/>
        </w:rPr>
        <w:t>(12)</w:t>
      </w:r>
      <w:r w:rsidRPr="00132E65">
        <w:rPr>
          <w:rtl/>
          <w:lang w:bidi="fa-IR"/>
        </w:rPr>
        <w:t xml:space="preserve"> الْفَصْلُ </w:t>
      </w:r>
      <w:r w:rsidRPr="00F543F1">
        <w:rPr>
          <w:rStyle w:val="libFootnotenumChar"/>
          <w:rtl/>
        </w:rPr>
        <w:t>(13)</w:t>
      </w:r>
      <w:r w:rsidRPr="00132E65">
        <w:rPr>
          <w:rtl/>
          <w:lang w:bidi="fa-IR"/>
        </w:rPr>
        <w:t xml:space="preserve"> ، وتَتَابَعَ النِّظَامُ ، ولَأَعْقَبَ </w:t>
      </w:r>
      <w:r w:rsidRPr="00F543F1">
        <w:rPr>
          <w:rStyle w:val="libFootnotenumChar"/>
          <w:rtl/>
        </w:rPr>
        <w:t>(14)</w:t>
      </w:r>
      <w:r w:rsidRPr="00132E65">
        <w:rPr>
          <w:rtl/>
          <w:lang w:bidi="fa-IR"/>
        </w:rPr>
        <w:t xml:space="preserve"> اللهُ فِي </w:t>
      </w:r>
      <w:r w:rsidRPr="00F543F1">
        <w:rPr>
          <w:rStyle w:val="libFootnotenumChar"/>
          <w:rtl/>
        </w:rPr>
        <w:t>(15)</w:t>
      </w:r>
      <w:r w:rsidRPr="00132E65">
        <w:rPr>
          <w:rtl/>
          <w:lang w:bidi="fa-IR"/>
        </w:rPr>
        <w:t xml:space="preserve"> التَّابِعِ وَالْمَتْبُوعِ الذُّلَّ </w:t>
      </w:r>
      <w:r w:rsidRPr="00F543F1">
        <w:rPr>
          <w:rStyle w:val="libFootnotenumChar"/>
          <w:rtl/>
        </w:rPr>
        <w:t>(16)</w:t>
      </w:r>
      <w:r w:rsidRPr="00132E65">
        <w:rPr>
          <w:rtl/>
          <w:lang w:bidi="fa-IR"/>
        </w:rPr>
        <w:t xml:space="preserve"> والصَّغَارَ.</w:t>
      </w:r>
    </w:p>
    <w:p w:rsidR="000C39D1" w:rsidRPr="00132E65" w:rsidRDefault="000C39D1" w:rsidP="000C39D1">
      <w:pPr>
        <w:pStyle w:val="libNormal"/>
        <w:rPr>
          <w:rtl/>
          <w:lang w:bidi="fa-IR"/>
        </w:rPr>
      </w:pPr>
      <w:r w:rsidRPr="00132E65">
        <w:rPr>
          <w:rtl/>
          <w:lang w:bidi="fa-IR"/>
        </w:rPr>
        <w:t xml:space="preserve">أَعُوذُ بِاللهِ مِنْ إِمَامٍ ضَلَّ عَنْ وقْتِهِ ، فَكَانَ التَّابِعُ فِيهِ </w:t>
      </w:r>
      <w:r>
        <w:rPr>
          <w:rtl/>
          <w:lang w:bidi="fa-IR"/>
        </w:rPr>
        <w:t>أَعْلَمَ مِنَ الْمَتْبُوعِ ، أَ</w:t>
      </w:r>
      <w:r w:rsidRPr="00132E65">
        <w:rPr>
          <w:rtl/>
          <w:lang w:bidi="fa-IR"/>
        </w:rPr>
        <w:t>تُرِيدُ‌</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البحار : « فيها »</w:t>
            </w:r>
            <w:r>
              <w:rPr>
                <w:rtl/>
              </w:rPr>
              <w:t>.</w:t>
            </w:r>
          </w:p>
        </w:tc>
        <w:tc>
          <w:tcPr>
            <w:tcW w:w="4006" w:type="dxa"/>
          </w:tcPr>
          <w:p w:rsidR="000C39D1" w:rsidRDefault="000C39D1" w:rsidP="00B53873">
            <w:pPr>
              <w:pStyle w:val="libFootnote0"/>
              <w:rPr>
                <w:rtl/>
              </w:rPr>
            </w:pPr>
            <w:r>
              <w:rPr>
                <w:rtl/>
              </w:rPr>
              <w:t>(2).</w:t>
            </w:r>
            <w:r w:rsidRPr="00132E65">
              <w:rPr>
                <w:rtl/>
              </w:rPr>
              <w:t xml:space="preserve"> التوبة </w:t>
            </w:r>
            <w:r>
              <w:rPr>
                <w:rtl/>
              </w:rPr>
              <w:t>(9)</w:t>
            </w:r>
            <w:r w:rsidRPr="00132E65">
              <w:rPr>
                <w:rtl/>
              </w:rPr>
              <w:t xml:space="preserve"> : 2.</w:t>
            </w:r>
          </w:p>
        </w:tc>
      </w:tr>
      <w:tr w:rsidR="000C39D1" w:rsidTr="00B53873">
        <w:tc>
          <w:tcPr>
            <w:tcW w:w="4006" w:type="dxa"/>
          </w:tcPr>
          <w:p w:rsidR="000C39D1" w:rsidRDefault="000C39D1" w:rsidP="00B53873">
            <w:pPr>
              <w:pStyle w:val="libFootnote0"/>
              <w:rPr>
                <w:rtl/>
              </w:rPr>
            </w:pPr>
            <w:r>
              <w:rPr>
                <w:rtl/>
              </w:rPr>
              <w:t>(3).</w:t>
            </w:r>
            <w:r w:rsidRPr="00132E65">
              <w:rPr>
                <w:rtl/>
              </w:rPr>
              <w:t xml:space="preserve"> التوبة </w:t>
            </w:r>
            <w:r>
              <w:rPr>
                <w:rtl/>
              </w:rPr>
              <w:t>(9)</w:t>
            </w:r>
            <w:r w:rsidRPr="00132E65">
              <w:rPr>
                <w:rtl/>
              </w:rPr>
              <w:t xml:space="preserve"> : 5.</w:t>
            </w:r>
          </w:p>
        </w:tc>
        <w:tc>
          <w:tcPr>
            <w:tcW w:w="4006" w:type="dxa"/>
          </w:tcPr>
          <w:p w:rsidR="000C39D1" w:rsidRDefault="000C39D1" w:rsidP="00B53873">
            <w:pPr>
              <w:pStyle w:val="libFootnote0"/>
              <w:rPr>
                <w:rtl/>
              </w:rPr>
            </w:pPr>
            <w:r>
              <w:rPr>
                <w:rtl/>
              </w:rPr>
              <w:t>(4).</w:t>
            </w:r>
            <w:r w:rsidRPr="00132E65">
              <w:rPr>
                <w:rtl/>
              </w:rPr>
              <w:t xml:space="preserve"> البقرة </w:t>
            </w:r>
            <w:r>
              <w:rPr>
                <w:rtl/>
              </w:rPr>
              <w:t>(2)</w:t>
            </w:r>
            <w:r w:rsidRPr="00132E65">
              <w:rPr>
                <w:rtl/>
              </w:rPr>
              <w:t xml:space="preserve"> : 235.</w:t>
            </w:r>
          </w:p>
        </w:tc>
      </w:tr>
    </w:tbl>
    <w:p w:rsidR="000C39D1" w:rsidRPr="00132E65" w:rsidRDefault="000C39D1" w:rsidP="000C39D1">
      <w:pPr>
        <w:pStyle w:val="libFootnote0"/>
        <w:rPr>
          <w:rtl/>
          <w:lang w:bidi="fa-IR"/>
        </w:rPr>
      </w:pPr>
      <w:r>
        <w:rPr>
          <w:rtl/>
        </w:rPr>
        <w:t>(5).</w:t>
      </w:r>
      <w:r w:rsidRPr="00132E65">
        <w:rPr>
          <w:rtl/>
        </w:rPr>
        <w:t xml:space="preserve"> هكذا في و</w:t>
      </w:r>
      <w:r w:rsidRPr="009D1ACE">
        <w:rPr>
          <w:rStyle w:val="libFootnoteBoldChar"/>
          <w:rtl/>
        </w:rPr>
        <w:t>الوافي</w:t>
      </w:r>
      <w:r w:rsidRPr="00132E65">
        <w:rPr>
          <w:rtl/>
        </w:rPr>
        <w:t xml:space="preserve"> والبحار. وفي المطبوع : « أجلاً »</w:t>
      </w:r>
      <w:r>
        <w:rPr>
          <w:rtl/>
        </w:rPr>
        <w:t>.</w:t>
      </w:r>
    </w:p>
    <w:p w:rsidR="000C39D1" w:rsidRPr="00132E65" w:rsidRDefault="000C39D1" w:rsidP="000C39D1">
      <w:pPr>
        <w:pStyle w:val="libFootnote0"/>
        <w:rPr>
          <w:rtl/>
          <w:lang w:bidi="fa-IR"/>
        </w:rPr>
      </w:pPr>
      <w:r>
        <w:rPr>
          <w:rtl/>
        </w:rPr>
        <w:t>(6).</w:t>
      </w:r>
      <w:r w:rsidRPr="00132E65">
        <w:rPr>
          <w:rtl/>
        </w:rPr>
        <w:t xml:space="preserve"> « فلا تَرُومَنَّ » ، أي لا تطلبنّ. راجع : </w:t>
      </w:r>
      <w:r w:rsidRPr="009D1ACE">
        <w:rPr>
          <w:rStyle w:val="libFootnoteBoldChar"/>
          <w:rtl/>
        </w:rPr>
        <w:t>لسان العرب</w:t>
      </w:r>
      <w:r w:rsidRPr="00132E65">
        <w:rPr>
          <w:rtl/>
        </w:rPr>
        <w:t xml:space="preserve"> ، ج 12 ، ص 258 ( روم )</w:t>
      </w:r>
      <w:r>
        <w:rPr>
          <w:rtl/>
        </w:rPr>
        <w:t>.</w:t>
      </w:r>
    </w:p>
    <w:p w:rsidR="000C39D1" w:rsidRPr="00132E65" w:rsidRDefault="000C39D1" w:rsidP="000C39D1">
      <w:pPr>
        <w:pStyle w:val="libFootnote0"/>
        <w:rPr>
          <w:rtl/>
          <w:lang w:bidi="fa-IR"/>
        </w:rPr>
      </w:pPr>
      <w:r>
        <w:rPr>
          <w:rtl/>
        </w:rPr>
        <w:t>(7).</w:t>
      </w:r>
      <w:r w:rsidRPr="00132E65">
        <w:rPr>
          <w:rtl/>
        </w:rPr>
        <w:t xml:space="preserve"> « التعاطي » : « التناول ، وتناول ما لا يحقّ ، والتنازع في الأخذ ، ورُكوب الأمر »</w:t>
      </w:r>
      <w:r>
        <w:rPr>
          <w:rtl/>
        </w:rPr>
        <w:t>.</w:t>
      </w:r>
      <w:r w:rsidRPr="00132E65">
        <w:rPr>
          <w:rtl/>
        </w:rPr>
        <w:t xml:space="preserve"> </w:t>
      </w:r>
      <w:r w:rsidRPr="003B7B35">
        <w:rPr>
          <w:rtl/>
        </w:rPr>
        <w:t>القاموس المحيط</w:t>
      </w:r>
      <w:r w:rsidRPr="00132E65">
        <w:rPr>
          <w:rtl/>
        </w:rPr>
        <w:t xml:space="preserve"> ، ج 2 ، ص 172 ( عطى )</w:t>
      </w:r>
      <w:r>
        <w:rPr>
          <w:rtl/>
        </w:rPr>
        <w:t>.</w:t>
      </w:r>
      <w:r>
        <w:rPr>
          <w:rFonts w:hint="cs"/>
          <w:rtl/>
        </w:rPr>
        <w:t xml:space="preserve">                               </w:t>
      </w:r>
      <w:r w:rsidR="00D14011">
        <w:rPr>
          <w:rFonts w:hint="cs"/>
          <w:rtl/>
        </w:rPr>
        <w:t xml:space="preserve">              </w:t>
      </w:r>
      <w:r>
        <w:rPr>
          <w:rFonts w:hint="cs"/>
          <w:rtl/>
        </w:rPr>
        <w:t xml:space="preserve">   </w:t>
      </w:r>
      <w:r>
        <w:rPr>
          <w:rtl/>
        </w:rPr>
        <w:t>(8).</w:t>
      </w:r>
      <w:r w:rsidRPr="00132E65">
        <w:rPr>
          <w:rtl/>
        </w:rPr>
        <w:t xml:space="preserve"> هكذا في النسخ و</w:t>
      </w:r>
      <w:r w:rsidRPr="009D1ACE">
        <w:rPr>
          <w:rStyle w:val="libFootnoteBoldChar"/>
          <w:rtl/>
        </w:rPr>
        <w:t>الوافي</w:t>
      </w:r>
      <w:r w:rsidRPr="00132E65">
        <w:rPr>
          <w:rtl/>
        </w:rPr>
        <w:t xml:space="preserve"> و</w:t>
      </w:r>
      <w:r>
        <w:rPr>
          <w:rtl/>
        </w:rPr>
        <w:t>البحار.وفي</w:t>
      </w:r>
      <w:r>
        <w:rPr>
          <w:rFonts w:hint="cs"/>
          <w:rtl/>
        </w:rPr>
        <w:t xml:space="preserve"> </w:t>
      </w:r>
      <w:r>
        <w:rPr>
          <w:rtl/>
        </w:rPr>
        <w:t>المطبوع:«لم تنقض</w:t>
      </w:r>
      <w:r w:rsidRPr="00132E65">
        <w:rPr>
          <w:rtl/>
        </w:rPr>
        <w:t>»</w:t>
      </w:r>
      <w:r>
        <w:rPr>
          <w:rtl/>
        </w:rPr>
        <w:t>.</w:t>
      </w:r>
    </w:p>
    <w:p w:rsidR="000C39D1" w:rsidRPr="00132E65" w:rsidRDefault="000C39D1" w:rsidP="000C39D1">
      <w:pPr>
        <w:pStyle w:val="libFootnote0"/>
        <w:rPr>
          <w:rtl/>
          <w:lang w:bidi="fa-IR"/>
        </w:rPr>
      </w:pPr>
      <w:r>
        <w:rPr>
          <w:rtl/>
        </w:rPr>
        <w:t>(9).</w:t>
      </w:r>
      <w:r w:rsidRPr="00132E65">
        <w:rPr>
          <w:rtl/>
        </w:rPr>
        <w:t xml:space="preserve"> الأُكْلُ والا</w:t>
      </w:r>
      <w:r>
        <w:rPr>
          <w:rFonts w:hint="cs"/>
          <w:rtl/>
        </w:rPr>
        <w:t>ُ</w:t>
      </w:r>
      <w:r w:rsidRPr="00132E65">
        <w:rPr>
          <w:rtl/>
        </w:rPr>
        <w:t>كُل : الرزق ، والحظّ من الدنيا. ونقل المازندراني عن بعض النسخ : « أجله » بدل « أكله »</w:t>
      </w:r>
      <w:r>
        <w:rPr>
          <w:rtl/>
        </w:rPr>
        <w:t>.</w:t>
      </w:r>
      <w:r w:rsidRPr="00132E65">
        <w:rPr>
          <w:rtl/>
        </w:rPr>
        <w:t xml:space="preserve"> راجع : </w:t>
      </w:r>
      <w:r w:rsidRPr="003B7B35">
        <w:rPr>
          <w:rtl/>
        </w:rPr>
        <w:t>القاموس المحيط</w:t>
      </w:r>
      <w:r w:rsidRPr="00132E65">
        <w:rPr>
          <w:rtl/>
        </w:rPr>
        <w:t xml:space="preserve"> ، ج 2 ، ص 1273 ( أكل ) ؛ </w:t>
      </w:r>
      <w:r w:rsidRPr="003B7B35">
        <w:rPr>
          <w:rtl/>
        </w:rPr>
        <w:t>شرح المازندراني</w:t>
      </w:r>
      <w:r w:rsidRPr="00132E65">
        <w:rPr>
          <w:rtl/>
        </w:rPr>
        <w:t xml:space="preserve"> ، ج 6 ، ص 292.</w:t>
      </w:r>
    </w:p>
    <w:p w:rsidR="000C39D1" w:rsidRPr="00132E65" w:rsidRDefault="000C39D1" w:rsidP="000C39D1">
      <w:pPr>
        <w:pStyle w:val="libFootnote0"/>
        <w:rPr>
          <w:rtl/>
          <w:lang w:bidi="fa-IR"/>
        </w:rPr>
      </w:pPr>
      <w:r>
        <w:rPr>
          <w:rtl/>
        </w:rPr>
        <w:t>(10).</w:t>
      </w:r>
      <w:r w:rsidRPr="00132E65">
        <w:rPr>
          <w:rtl/>
        </w:rPr>
        <w:t xml:space="preserve"> « ال</w:t>
      </w:r>
      <w:r>
        <w:rPr>
          <w:rFonts w:hint="cs"/>
          <w:rtl/>
        </w:rPr>
        <w:t>ـ</w:t>
      </w:r>
      <w:r w:rsidRPr="00132E65">
        <w:rPr>
          <w:rtl/>
        </w:rPr>
        <w:t xml:space="preserve">مَدَى » : الغاية والمنتهى. راجع : </w:t>
      </w:r>
      <w:r w:rsidRPr="003B7B35">
        <w:rPr>
          <w:rtl/>
        </w:rPr>
        <w:t>المصباح المنير</w:t>
      </w:r>
      <w:r w:rsidRPr="00132E65">
        <w:rPr>
          <w:rtl/>
        </w:rPr>
        <w:t xml:space="preserve"> ، ص 567 ( مدى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(11).</w:t>
            </w:r>
            <w:r w:rsidRPr="00132E65">
              <w:rPr>
                <w:rtl/>
              </w:rPr>
              <w:t xml:space="preserve"> في حاشية « ف » : « أجله »</w:t>
            </w:r>
            <w:r>
              <w:rPr>
                <w:rtl/>
              </w:rPr>
              <w:t>.</w:t>
            </w:r>
          </w:p>
        </w:tc>
        <w:tc>
          <w:tcPr>
            <w:tcW w:w="4006" w:type="dxa"/>
          </w:tcPr>
          <w:p w:rsidR="000C39D1" w:rsidRDefault="000C39D1" w:rsidP="00B53873">
            <w:pPr>
              <w:pStyle w:val="libFootnote0"/>
              <w:rPr>
                <w:rtl/>
                <w:lang w:bidi="fa-IR"/>
              </w:rPr>
            </w:pPr>
            <w:r>
              <w:rPr>
                <w:rtl/>
              </w:rPr>
              <w:t>(12).</w:t>
            </w:r>
            <w:r w:rsidRPr="00132E65">
              <w:rPr>
                <w:rtl/>
              </w:rPr>
              <w:t xml:space="preserve"> في « ف » : « لا ينقطع »</w:t>
            </w:r>
            <w:r>
              <w:rPr>
                <w:rtl/>
              </w:rPr>
              <w:t>.</w:t>
            </w:r>
          </w:p>
        </w:tc>
      </w:tr>
    </w:tbl>
    <w:p w:rsidR="000C39D1" w:rsidRPr="00132E65" w:rsidRDefault="000C39D1" w:rsidP="00D14011">
      <w:pPr>
        <w:pStyle w:val="libFootnote0"/>
        <w:rPr>
          <w:rtl/>
          <w:lang w:bidi="fa-IR"/>
        </w:rPr>
      </w:pPr>
      <w:r>
        <w:rPr>
          <w:rtl/>
        </w:rPr>
        <w:t>(13)</w:t>
      </w:r>
      <w:r w:rsidRPr="00132E65">
        <w:rPr>
          <w:rtl/>
        </w:rPr>
        <w:t xml:space="preserve"> في « ه‍ </w:t>
      </w:r>
      <w:r w:rsidR="00D14011" w:rsidRPr="00132E65">
        <w:rPr>
          <w:rtl/>
        </w:rPr>
        <w:t>»</w:t>
      </w:r>
      <w:r w:rsidRPr="00132E65">
        <w:rPr>
          <w:rtl/>
        </w:rPr>
        <w:t xml:space="preserve"> : « الفضل »</w:t>
      </w:r>
      <w:r>
        <w:rPr>
          <w:rtl/>
        </w:rPr>
        <w:t>.</w:t>
      </w:r>
      <w:r w:rsidRPr="00132E65">
        <w:rPr>
          <w:rtl/>
        </w:rPr>
        <w:t xml:space="preserve"> وقال المجلسي في </w:t>
      </w:r>
      <w:r w:rsidRPr="009D1ACE">
        <w:rPr>
          <w:rStyle w:val="libFootnoteBoldChar"/>
          <w:rtl/>
        </w:rPr>
        <w:t>مرآة العقول</w:t>
      </w:r>
      <w:r w:rsidRPr="003B7B35">
        <w:rPr>
          <w:rtl/>
        </w:rPr>
        <w:t xml:space="preserve"> </w:t>
      </w:r>
      <w:r w:rsidRPr="00132E65">
        <w:rPr>
          <w:rtl/>
        </w:rPr>
        <w:t xml:space="preserve">: « وربّما يقرأ بالضاد المعجمة ، أي البقيّة ، </w:t>
      </w:r>
      <w:r>
        <w:rPr>
          <w:rtl/>
        </w:rPr>
        <w:t>و «</w:t>
      </w:r>
      <w:r w:rsidRPr="00132E65">
        <w:rPr>
          <w:rtl/>
        </w:rPr>
        <w:t xml:space="preserve"> تتابع » مصدراً عطفاً على « الفضل » ، وهو بعيد ، والأظهر أنّ « تتابع » فعل »</w:t>
      </w:r>
      <w:r>
        <w:rPr>
          <w:rtl/>
        </w:rPr>
        <w:t>.</w:t>
      </w:r>
    </w:p>
    <w:p w:rsidR="000C39D1" w:rsidRPr="00132E65" w:rsidRDefault="000C39D1" w:rsidP="000C39D1">
      <w:pPr>
        <w:pStyle w:val="libFootnote0"/>
        <w:rPr>
          <w:rtl/>
          <w:lang w:bidi="fa-IR"/>
        </w:rPr>
      </w:pPr>
      <w:r>
        <w:rPr>
          <w:rtl/>
        </w:rPr>
        <w:t>(14)</w:t>
      </w:r>
      <w:r w:rsidRPr="00132E65">
        <w:rPr>
          <w:rtl/>
        </w:rPr>
        <w:t xml:space="preserve"> « أعقب » : أورث. يقال : أعقبه ندماً ، أي أورثه. راجع : </w:t>
      </w:r>
      <w:r w:rsidRPr="003B7B35">
        <w:rPr>
          <w:rtl/>
        </w:rPr>
        <w:t>المصباح المنير</w:t>
      </w:r>
      <w:r w:rsidRPr="00132E65">
        <w:rPr>
          <w:rtl/>
        </w:rPr>
        <w:t xml:space="preserve"> ، ص 420 ( عقب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(15)</w:t>
            </w:r>
            <w:r w:rsidRPr="00132E65">
              <w:rPr>
                <w:rtl/>
              </w:rPr>
              <w:t xml:space="preserve"> في « ه‍ </w:t>
            </w:r>
            <w:r w:rsidR="00D14011" w:rsidRPr="00132E65">
              <w:rPr>
                <w:rtl/>
              </w:rPr>
              <w:t>»</w:t>
            </w:r>
            <w:r w:rsidRPr="00132E65">
              <w:rPr>
                <w:rtl/>
              </w:rPr>
              <w:t xml:space="preserve"> : « فيه »</w:t>
            </w:r>
            <w:r>
              <w:rPr>
                <w:rtl/>
              </w:rPr>
              <w:t>.</w:t>
            </w:r>
          </w:p>
        </w:tc>
        <w:tc>
          <w:tcPr>
            <w:tcW w:w="4006" w:type="dxa"/>
          </w:tcPr>
          <w:p w:rsidR="000C39D1" w:rsidRDefault="000C39D1" w:rsidP="00B53873">
            <w:pPr>
              <w:pStyle w:val="libFootnote0"/>
              <w:rPr>
                <w:rtl/>
              </w:rPr>
            </w:pPr>
            <w:r>
              <w:rPr>
                <w:rtl/>
              </w:rPr>
              <w:t>(16)</w:t>
            </w:r>
            <w:r w:rsidRPr="00132E65">
              <w:rPr>
                <w:rtl/>
              </w:rPr>
              <w:t xml:space="preserve"> في « بح » : « بالذلّ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يَا أَخِي أَنْ تُحْيِيَ مِلَّةَ </w:t>
      </w:r>
      <w:r>
        <w:rPr>
          <w:rStyle w:val="libFootnotenumChar"/>
          <w:rtl/>
        </w:rPr>
        <w:t>(1)</w:t>
      </w:r>
      <w:r w:rsidRPr="00132E65">
        <w:rPr>
          <w:rtl/>
          <w:lang w:bidi="fa-IR"/>
        </w:rPr>
        <w:t xml:space="preserve"> قَوْمٍ قَدْ </w:t>
      </w:r>
      <w:r>
        <w:rPr>
          <w:rStyle w:val="libFootnotenumChar"/>
          <w:rtl/>
        </w:rPr>
        <w:t>(2)</w:t>
      </w:r>
      <w:r w:rsidRPr="00132E65">
        <w:rPr>
          <w:rtl/>
          <w:lang w:bidi="fa-IR"/>
        </w:rPr>
        <w:t xml:space="preserve"> كَفَرُوا بِآيَاتِ اللهِ ، وعَصَوْا رَسُولَهُ </w:t>
      </w:r>
      <w:r>
        <w:rPr>
          <w:rStyle w:val="libFootnotenumChar"/>
          <w:rtl/>
        </w:rPr>
        <w:t>(3)</w:t>
      </w:r>
      <w:r w:rsidRPr="00132E65">
        <w:rPr>
          <w:rtl/>
          <w:lang w:bidi="fa-IR"/>
        </w:rPr>
        <w:t xml:space="preserve"> ، واتَّبَعُوا أَهْوَاءَهُمْ بِغَيْرِ هُدًى مِنَ اللهِ ، وادَّعَوُا الْخِلَافَةَ بِلَا بُرْهَانٍ مِنَ اللهِ ولَاعَهْدٍ مِنْ رَسُولِهِ </w:t>
      </w:r>
      <w:r>
        <w:rPr>
          <w:rStyle w:val="libFootnotenumChar"/>
          <w:rtl/>
        </w:rPr>
        <w:t>(4)</w:t>
      </w:r>
      <w:r>
        <w:rPr>
          <w:rtl/>
          <w:lang w:bidi="fa-IR"/>
        </w:rPr>
        <w:t>؟</w:t>
      </w:r>
      <w:r w:rsidRPr="00132E65">
        <w:rPr>
          <w:rtl/>
          <w:lang w:bidi="fa-IR"/>
        </w:rPr>
        <w:t xml:space="preserve"> أُعِيذُكَ بِاللهِ يَا أَخِي أَنْ تَكُونَ غَداً الْمَصْلُوبَ بِالْكُنَاسَةِ »</w:t>
      </w:r>
      <w:r>
        <w:rPr>
          <w:rtl/>
          <w:lang w:bidi="fa-IR"/>
        </w:rPr>
        <w:t>.</w:t>
      </w:r>
    </w:p>
    <w:p w:rsidR="000C39D1" w:rsidRPr="00132E65" w:rsidRDefault="000C39D1" w:rsidP="000C39D1">
      <w:pPr>
        <w:pStyle w:val="libNormal"/>
        <w:rPr>
          <w:rtl/>
          <w:lang w:bidi="fa-IR"/>
        </w:rPr>
      </w:pPr>
      <w:r w:rsidRPr="00132E65">
        <w:rPr>
          <w:rtl/>
          <w:lang w:bidi="fa-IR"/>
        </w:rPr>
        <w:t xml:space="preserve">ثُمَّ ارْفَضَّتْ عَيْنَاهُ </w:t>
      </w:r>
      <w:r>
        <w:rPr>
          <w:rStyle w:val="libFootnotenumChar"/>
          <w:rtl/>
        </w:rPr>
        <w:t>(5)</w:t>
      </w:r>
      <w:r w:rsidRPr="00132E65">
        <w:rPr>
          <w:rtl/>
          <w:lang w:bidi="fa-IR"/>
        </w:rPr>
        <w:t xml:space="preserve"> ، وسَالَتْ دُمُوعُهُ ، ثُمَّ قَالَ : « اللهُ بَيْنَنَا وبَيْنَ مَنْ هَتَكَ سِتْرَنَا ، وَجَحَدَنَا حَقَّنَا ، وأَفْشى سِرَّنَا ، ونَسَبَنَا إِلى غَيْرِ جَدِّنَا </w:t>
      </w:r>
      <w:r>
        <w:rPr>
          <w:rStyle w:val="libFootnotenumChar"/>
          <w:rtl/>
        </w:rPr>
        <w:t>(6)</w:t>
      </w:r>
      <w:r w:rsidRPr="00132E65">
        <w:rPr>
          <w:rtl/>
          <w:lang w:bidi="fa-IR"/>
        </w:rPr>
        <w:t xml:space="preserve"> ، وقَالَ فِينَا مَا لَمْ نَقُلْهُ فِي أَنْفُسِنَا »</w:t>
      </w:r>
      <w:r>
        <w:rPr>
          <w:rtl/>
          <w:lang w:bidi="fa-IR"/>
        </w:rPr>
        <w:t>.</w:t>
      </w:r>
      <w:r w:rsidRPr="00132E65">
        <w:rPr>
          <w:rtl/>
          <w:lang w:bidi="fa-IR"/>
        </w:rPr>
        <w:t xml:space="preserve"> </w:t>
      </w:r>
      <w:r>
        <w:rPr>
          <w:rStyle w:val="libFootnotenumChar"/>
          <w:rtl/>
        </w:rPr>
        <w:t>(7)</w:t>
      </w:r>
    </w:p>
    <w:p w:rsidR="000C39D1" w:rsidRPr="00132E65" w:rsidRDefault="000C39D1" w:rsidP="000C39D1">
      <w:pPr>
        <w:pStyle w:val="libNormal"/>
        <w:rPr>
          <w:rtl/>
          <w:lang w:bidi="fa-IR"/>
        </w:rPr>
      </w:pPr>
      <w:r w:rsidRPr="003B7B35">
        <w:rPr>
          <w:rtl/>
        </w:rPr>
        <w:t>938</w:t>
      </w:r>
      <w:r w:rsidRPr="004325D8">
        <w:rPr>
          <w:rStyle w:val="libBold2Char"/>
          <w:rtl/>
        </w:rPr>
        <w:t xml:space="preserve"> / 17.</w:t>
      </w:r>
      <w:r w:rsidRPr="00132E65">
        <w:rPr>
          <w:rtl/>
          <w:lang w:bidi="fa-IR"/>
        </w:rPr>
        <w:t xml:space="preserve"> بَعْضُ أَصْحَابِنَا ، عَنْ مُحَمَّدِ بْنِ حَسَّانَ ، عَنْ مُوسَى </w:t>
      </w:r>
      <w:r>
        <w:rPr>
          <w:rStyle w:val="libFootnotenumChar"/>
          <w:rtl/>
        </w:rPr>
        <w:t>(8)</w:t>
      </w:r>
      <w:r w:rsidRPr="00132E65">
        <w:rPr>
          <w:rtl/>
          <w:lang w:bidi="fa-IR"/>
        </w:rPr>
        <w:t xml:space="preserve"> بْنِ زَنْجَوَيْهِ </w:t>
      </w:r>
      <w:r>
        <w:rPr>
          <w:rStyle w:val="libFootnotenumChar"/>
          <w:rtl/>
        </w:rPr>
        <w:t>(9)</w:t>
      </w:r>
      <w:r w:rsidRPr="00132E65">
        <w:rPr>
          <w:rtl/>
          <w:lang w:bidi="fa-IR"/>
        </w:rPr>
        <w:t xml:space="preserve">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الملّة » في اللغة : السنة والطريقة. راجع : </w:t>
      </w:r>
      <w:r w:rsidRPr="009D1ACE">
        <w:rPr>
          <w:rStyle w:val="libFootnoteBoldChar"/>
          <w:rtl/>
        </w:rPr>
        <w:t>لسان العرب</w:t>
      </w:r>
      <w:r w:rsidRPr="00132E65">
        <w:rPr>
          <w:rtl/>
        </w:rPr>
        <w:t xml:space="preserve"> ، ج 11 ، ص 631 ( ملل )</w:t>
      </w:r>
      <w:r>
        <w:rPr>
          <w:rtl/>
        </w:rPr>
        <w:t>.</w:t>
      </w:r>
    </w:p>
    <w:tbl>
      <w:tblPr>
        <w:tblStyle w:val="TableGrid"/>
        <w:bidiVisual/>
        <w:tblW w:w="0" w:type="auto"/>
        <w:tblLook w:val="04A0" w:firstRow="1" w:lastRow="0" w:firstColumn="1" w:lastColumn="0" w:noHBand="0" w:noVBand="1"/>
      </w:tblPr>
      <w:tblGrid>
        <w:gridCol w:w="3621"/>
        <w:gridCol w:w="4391"/>
      </w:tblGrid>
      <w:tr w:rsidR="000C39D1" w:rsidTr="00B53873">
        <w:tc>
          <w:tcPr>
            <w:tcW w:w="3621" w:type="dxa"/>
          </w:tcPr>
          <w:p w:rsidR="000C39D1" w:rsidRDefault="000C39D1" w:rsidP="00B53873">
            <w:pPr>
              <w:pStyle w:val="libFootnote0"/>
              <w:rPr>
                <w:rtl/>
              </w:rPr>
            </w:pPr>
            <w:r>
              <w:rPr>
                <w:rtl/>
              </w:rPr>
              <w:t>(2).</w:t>
            </w:r>
            <w:r w:rsidRPr="00132E65">
              <w:rPr>
                <w:rtl/>
              </w:rPr>
              <w:t xml:space="preserve"> في « ه‍ </w:t>
            </w:r>
            <w:r w:rsidR="00D14011" w:rsidRPr="00132E65">
              <w:rPr>
                <w:rtl/>
              </w:rPr>
              <w:t>»</w:t>
            </w:r>
            <w:r w:rsidRPr="00132E65">
              <w:rPr>
                <w:rtl/>
              </w:rPr>
              <w:t xml:space="preserve"> </w:t>
            </w:r>
            <w:r>
              <w:rPr>
                <w:rtl/>
              </w:rPr>
              <w:t xml:space="preserve">: - </w:t>
            </w:r>
            <w:r w:rsidRPr="00132E65">
              <w:rPr>
                <w:rtl/>
              </w:rPr>
              <w:t>« قد »</w:t>
            </w:r>
            <w:r>
              <w:rPr>
                <w:rtl/>
              </w:rPr>
              <w:t>.</w:t>
            </w:r>
          </w:p>
        </w:tc>
        <w:tc>
          <w:tcPr>
            <w:tcW w:w="4391" w:type="dxa"/>
          </w:tcPr>
          <w:p w:rsidR="000C39D1" w:rsidRDefault="000C39D1" w:rsidP="00B53873">
            <w:pPr>
              <w:pStyle w:val="libFootnote0"/>
              <w:rPr>
                <w:rtl/>
              </w:rPr>
            </w:pPr>
            <w:r>
              <w:rPr>
                <w:rtl/>
              </w:rPr>
              <w:t>(3).في«ف»:«</w:t>
            </w:r>
            <w:r w:rsidRPr="00132E65">
              <w:rPr>
                <w:rtl/>
              </w:rPr>
              <w:t xml:space="preserve">رسول الله </w:t>
            </w:r>
            <w:r w:rsidRPr="00877CA1">
              <w:rPr>
                <w:rStyle w:val="libFootnoteAlaemChar"/>
                <w:rFonts w:eastAsiaTheme="minorHAnsi"/>
                <w:rtl/>
              </w:rPr>
              <w:t>صلى‌الله‌عليه‌وآله</w:t>
            </w:r>
            <w:r w:rsidRPr="00132E65">
              <w:rPr>
                <w:rtl/>
              </w:rPr>
              <w:t>»</w:t>
            </w:r>
            <w:r>
              <w:rPr>
                <w:rtl/>
              </w:rPr>
              <w:t>.وفي</w:t>
            </w:r>
            <w:r>
              <w:rPr>
                <w:rFonts w:hint="cs"/>
                <w:rtl/>
              </w:rPr>
              <w:t xml:space="preserve"> </w:t>
            </w:r>
            <w:r>
              <w:rPr>
                <w:rtl/>
              </w:rPr>
              <w:t>حاشية«بر»:«رسله</w:t>
            </w:r>
            <w:r w:rsidRPr="00132E65">
              <w:rPr>
                <w:rtl/>
              </w:rPr>
              <w:t>»</w:t>
            </w:r>
            <w:r>
              <w:rPr>
                <w:rtl/>
              </w:rPr>
              <w:t>.</w:t>
            </w:r>
          </w:p>
        </w:tc>
      </w:tr>
    </w:tbl>
    <w:p w:rsidR="000C39D1" w:rsidRPr="00132E65" w:rsidRDefault="000C39D1" w:rsidP="000C39D1">
      <w:pPr>
        <w:pStyle w:val="libFootnote0"/>
        <w:rPr>
          <w:rtl/>
          <w:lang w:bidi="fa-IR"/>
        </w:rPr>
      </w:pPr>
      <w:r>
        <w:rPr>
          <w:rtl/>
        </w:rPr>
        <w:t>(4).</w:t>
      </w:r>
      <w:r w:rsidRPr="00132E65">
        <w:rPr>
          <w:rtl/>
        </w:rPr>
        <w:t xml:space="preserve"> في « ب » : « رسول الله »</w:t>
      </w:r>
      <w:r>
        <w:rPr>
          <w:rtl/>
        </w:rPr>
        <w:t>.</w:t>
      </w:r>
      <w:r w:rsidRPr="00132E65">
        <w:rPr>
          <w:rtl/>
        </w:rPr>
        <w:t xml:space="preserve"> وفي « ف » : « رسول الله </w:t>
      </w:r>
      <w:r w:rsidRPr="00877CA1">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Pr="00132E65" w:rsidRDefault="000C39D1" w:rsidP="000C39D1">
      <w:pPr>
        <w:pStyle w:val="libFootnote0"/>
        <w:rPr>
          <w:rtl/>
          <w:lang w:bidi="fa-IR"/>
        </w:rPr>
      </w:pPr>
      <w:r>
        <w:rPr>
          <w:rtl/>
        </w:rPr>
        <w:t>(5).</w:t>
      </w:r>
      <w:r w:rsidRPr="00132E65">
        <w:rPr>
          <w:rtl/>
        </w:rPr>
        <w:t xml:space="preserve"> قال الجوهري : « ارفضاض الدمع : ترشّشه »</w:t>
      </w:r>
      <w:r>
        <w:rPr>
          <w:rtl/>
        </w:rPr>
        <w:t>.</w:t>
      </w:r>
      <w:r w:rsidRPr="00132E65">
        <w:rPr>
          <w:rtl/>
        </w:rPr>
        <w:t xml:space="preserve"> وفي </w:t>
      </w:r>
      <w:r w:rsidRPr="009D1ACE">
        <w:rPr>
          <w:rStyle w:val="libFootnoteBoldChar"/>
          <w:rtl/>
        </w:rPr>
        <w:t>لسان العرب</w:t>
      </w:r>
      <w:r w:rsidRPr="00132E65">
        <w:rPr>
          <w:rtl/>
        </w:rPr>
        <w:t xml:space="preserve"> : « ارفضّ الدمعُ ارفضاضاً وترفّض : سال‌وتفرّق وتتابع سَيَلانه وقَطَرانه »</w:t>
      </w:r>
      <w:r>
        <w:rPr>
          <w:rtl/>
        </w:rPr>
        <w:t>.</w:t>
      </w:r>
      <w:r w:rsidRPr="00132E65">
        <w:rPr>
          <w:rtl/>
        </w:rPr>
        <w:t xml:space="preserve"> راجع : </w:t>
      </w:r>
      <w:r w:rsidRPr="003B7B35">
        <w:rPr>
          <w:rtl/>
        </w:rPr>
        <w:t>الصحاح</w:t>
      </w:r>
      <w:r w:rsidRPr="00132E65">
        <w:rPr>
          <w:rtl/>
        </w:rPr>
        <w:t xml:space="preserve"> ، ج 3 ، ص 1079 ؛ </w:t>
      </w:r>
      <w:r w:rsidRPr="009D1ACE">
        <w:rPr>
          <w:rStyle w:val="libFootnoteBoldChar"/>
          <w:rtl/>
        </w:rPr>
        <w:t>لسان العرب</w:t>
      </w:r>
      <w:r w:rsidRPr="00132E65">
        <w:rPr>
          <w:rtl/>
        </w:rPr>
        <w:t xml:space="preserve"> ، ج 7 ، ص 156 ( رفض )</w:t>
      </w:r>
      <w:r>
        <w:rPr>
          <w:rtl/>
        </w:rPr>
        <w:t>.</w:t>
      </w:r>
    </w:p>
    <w:p w:rsidR="000C39D1" w:rsidRPr="00132E65" w:rsidRDefault="000C39D1" w:rsidP="000C39D1">
      <w:pPr>
        <w:pStyle w:val="libFootnote0"/>
        <w:rPr>
          <w:rtl/>
          <w:lang w:bidi="fa-IR"/>
        </w:rPr>
      </w:pPr>
      <w:r>
        <w:rPr>
          <w:rtl/>
        </w:rPr>
        <w:t>(6).</w:t>
      </w:r>
      <w:r w:rsidRPr="00132E65">
        <w:rPr>
          <w:rtl/>
        </w:rPr>
        <w:t xml:space="preserve"> في « ض » : « حدّنا »</w:t>
      </w:r>
      <w:r>
        <w:rPr>
          <w:rtl/>
        </w:rPr>
        <w:t>.</w:t>
      </w:r>
    </w:p>
    <w:p w:rsidR="000C39D1" w:rsidRPr="00132E65" w:rsidRDefault="000C39D1" w:rsidP="000C39D1">
      <w:pPr>
        <w:pStyle w:val="libFootnote0"/>
        <w:rPr>
          <w:rtl/>
          <w:lang w:bidi="fa-IR"/>
        </w:rPr>
      </w:pPr>
      <w:r>
        <w:rPr>
          <w:rtl/>
        </w:rPr>
        <w:t>(7).</w:t>
      </w:r>
      <w:r w:rsidRPr="00132E65">
        <w:rPr>
          <w:rtl/>
        </w:rPr>
        <w:t xml:space="preserve"> </w:t>
      </w:r>
      <w:r w:rsidRPr="003B7B35">
        <w:rPr>
          <w:rtl/>
        </w:rPr>
        <w:t>تفسير العيّاشي</w:t>
      </w:r>
      <w:r w:rsidRPr="00132E65">
        <w:rPr>
          <w:rtl/>
        </w:rPr>
        <w:t xml:space="preserve"> ، ج 1 ، ص 290 ، ح 14 ، عن موسى بن بكير ، عن بعض رجاله ، عن زيد بن عليّ ، من قوله : « فإنّ الله عزّ وجلّ أحلّ حلالاً » إلى قوله : « غير معجزى الله » </w:t>
      </w:r>
      <w:r w:rsidRPr="009D1ACE">
        <w:rPr>
          <w:rStyle w:val="libFootnoteBoldChar"/>
          <w:rtl/>
        </w:rPr>
        <w:t>الوافي</w:t>
      </w:r>
      <w:r w:rsidRPr="00132E65">
        <w:rPr>
          <w:rtl/>
        </w:rPr>
        <w:t xml:space="preserve"> ، ج 2 ، ص 148 ، ح 618 ؛ </w:t>
      </w:r>
      <w:r w:rsidRPr="003B7B35">
        <w:rPr>
          <w:rtl/>
        </w:rPr>
        <w:t>البحار</w:t>
      </w:r>
      <w:r w:rsidRPr="00132E65">
        <w:rPr>
          <w:rtl/>
        </w:rPr>
        <w:t xml:space="preserve"> ، ج 46 ، ص 203 ، ح 79.</w:t>
      </w:r>
    </w:p>
    <w:p w:rsidR="000C39D1" w:rsidRPr="00132E65" w:rsidRDefault="000C39D1" w:rsidP="000C39D1">
      <w:pPr>
        <w:pStyle w:val="libFootnote0"/>
        <w:rPr>
          <w:rtl/>
          <w:lang w:bidi="fa-IR"/>
        </w:rPr>
      </w:pPr>
      <w:r>
        <w:rPr>
          <w:rtl/>
        </w:rPr>
        <w:t>(8).</w:t>
      </w:r>
      <w:r w:rsidRPr="00132E65">
        <w:rPr>
          <w:rtl/>
        </w:rPr>
        <w:t xml:space="preserve"> هكذا في حاشية « بح »</w:t>
      </w:r>
      <w:r>
        <w:rPr>
          <w:rtl/>
        </w:rPr>
        <w:t>.</w:t>
      </w:r>
      <w:r w:rsidRPr="00132E65">
        <w:rPr>
          <w:rtl/>
        </w:rPr>
        <w:t xml:space="preserve"> وفي النسخ والمطبوع : « محمّد »</w:t>
      </w:r>
      <w:r>
        <w:rPr>
          <w:rtl/>
        </w:rPr>
        <w:t>.</w:t>
      </w:r>
      <w:r w:rsidRPr="00132E65">
        <w:rPr>
          <w:rtl/>
        </w:rPr>
        <w:t xml:space="preserve"> والصواب ما أثبتناه كما سنوضحه.</w:t>
      </w:r>
    </w:p>
    <w:p w:rsidR="000C39D1" w:rsidRPr="00132E65" w:rsidRDefault="000C39D1" w:rsidP="000C39D1">
      <w:pPr>
        <w:pStyle w:val="libFootnote0"/>
        <w:rPr>
          <w:rtl/>
          <w:lang w:bidi="fa-IR"/>
        </w:rPr>
      </w:pPr>
      <w:r>
        <w:rPr>
          <w:rtl/>
        </w:rPr>
        <w:t>(9).</w:t>
      </w:r>
      <w:r w:rsidRPr="00132E65">
        <w:rPr>
          <w:rtl/>
        </w:rPr>
        <w:t xml:space="preserve"> هكذا في « ب ، ج ، ف ، بر » و</w:t>
      </w:r>
      <w:r w:rsidRPr="009D1ACE">
        <w:rPr>
          <w:rStyle w:val="libFootnoteBoldChar"/>
          <w:rtl/>
        </w:rPr>
        <w:t>الوافي</w:t>
      </w:r>
      <w:r w:rsidRPr="00132E65">
        <w:rPr>
          <w:rtl/>
        </w:rPr>
        <w:t xml:space="preserve"> والوسائل ، ج 3 وج 17 والبحار. وفي سائر النسخ والمطبوع : « رنجويه »</w:t>
      </w:r>
      <w:r>
        <w:rPr>
          <w:rtl/>
        </w:rPr>
        <w:t>.</w:t>
      </w:r>
    </w:p>
    <w:p w:rsidR="000C39D1" w:rsidRPr="0088054D" w:rsidRDefault="000C39D1" w:rsidP="00E55206">
      <w:pPr>
        <w:pStyle w:val="libFootnote0"/>
        <w:rPr>
          <w:rtl/>
        </w:rPr>
      </w:pPr>
      <w:r w:rsidRPr="00F543F1">
        <w:rPr>
          <w:rtl/>
        </w:rPr>
        <w:t xml:space="preserve">هذا ، ثمّ إنّه روى أحمد بن إدريس ، عن محمّد بن حسّان ، عن أبي عمران موسى بن رنجويه الأرمني ، عن عبد الله بن الحكم الأرمني كتابه. راجع </w:t>
      </w:r>
      <w:r w:rsidRPr="0088054D">
        <w:rPr>
          <w:rtl/>
        </w:rPr>
        <w:t>: رجال النجاشي</w:t>
      </w:r>
      <w:r w:rsidRPr="00F543F1">
        <w:rPr>
          <w:rtl/>
        </w:rPr>
        <w:t xml:space="preserve"> ، ص 225 ، الرقم 591 ؛ </w:t>
      </w:r>
      <w:r w:rsidRPr="005F74A6">
        <w:rPr>
          <w:rtl/>
        </w:rPr>
        <w:t>الفهرست للطوسي</w:t>
      </w:r>
      <w:r w:rsidRPr="0088054D">
        <w:rPr>
          <w:rtl/>
        </w:rPr>
        <w:t xml:space="preserve"> ، ص 293 ، الرقم 483.</w:t>
      </w:r>
    </w:p>
    <w:p w:rsidR="000C39D1" w:rsidRPr="00E55206" w:rsidRDefault="000C39D1" w:rsidP="00E55206">
      <w:pPr>
        <w:pStyle w:val="libFootnote0"/>
        <w:rPr>
          <w:rtl/>
        </w:rPr>
      </w:pPr>
      <w:r w:rsidRPr="005F74A6">
        <w:rPr>
          <w:rtl/>
        </w:rPr>
        <w:t>ومصادرنا الرجاليّة بالنسبة إلى لفظة « رنجويه » مضطربة ، ففي طريق النجاشي إلى إبراهيم بن أبي الكرام الجعفري : « محمّد بن حسّان عن أبي عمران موسى بن زنجويه الأرمني ». راجع : رجال النجاشى</w:t>
      </w:r>
      <w:r w:rsidRPr="00E55206">
        <w:rPr>
          <w:rtl/>
        </w:rPr>
        <w:t xml:space="preserve"> ، ص 21 ، ح 29. وفي رجال البرقي ، ص 55 : « موسى بن زنجويه ». وكذا في بعض نسخ </w:t>
      </w:r>
      <w:r w:rsidRPr="005F74A6">
        <w:rPr>
          <w:rtl/>
        </w:rPr>
        <w:t>رجال الطوسي</w:t>
      </w:r>
      <w:r w:rsidRPr="00E55206">
        <w:rPr>
          <w:rtl/>
        </w:rPr>
        <w:t xml:space="preserve"> ، ص 366 ، الرقم 5434 ، وص 437 ، الرقم 6257 حينما ذكر « موسى بن رنجويه ». وضبطه العل</w:t>
      </w:r>
      <w:r w:rsidRPr="00E55206">
        <w:rPr>
          <w:rFonts w:hint="cs"/>
          <w:rtl/>
        </w:rPr>
        <w:t>ّ</w:t>
      </w:r>
      <w:r w:rsidRPr="00E55206">
        <w:rPr>
          <w:rtl/>
        </w:rPr>
        <w:t xml:space="preserve">امة في </w:t>
      </w:r>
      <w:r w:rsidRPr="005F74A6">
        <w:rPr>
          <w:rtl/>
        </w:rPr>
        <w:t>خلاصة الأقوال</w:t>
      </w:r>
      <w:r w:rsidRPr="00E55206">
        <w:rPr>
          <w:rtl/>
        </w:rPr>
        <w:t xml:space="preserve"> ، ص 258 ، الرقم 7 ، بالزاي ، لكن ابن داود ضبطه في رجاله ، ص 521 ، الرقم 511 ، بالراء.</w:t>
      </w:r>
      <w:r w:rsidRPr="00E5520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عَبْدِ اللهِ بْنِ الْحَكَمِ الْأَرْمَنِيِّ ، عَنْ عَبْدِ اللهِ بْنِ إِبْرَاهِيمَ بْنِ مُحَمَّدٍ الْجَعْفَرِيِّ ، قَالَ :</w:t>
      </w:r>
    </w:p>
    <w:p w:rsidR="000C39D1" w:rsidRDefault="000C39D1" w:rsidP="000C39D1">
      <w:pPr>
        <w:pStyle w:val="libNormal"/>
        <w:rPr>
          <w:rtl/>
          <w:lang w:bidi="fa-IR"/>
        </w:rPr>
      </w:pPr>
      <w:r w:rsidRPr="00132E65">
        <w:rPr>
          <w:rtl/>
          <w:lang w:bidi="fa-IR"/>
        </w:rPr>
        <w:t>أَتَيْنَا خَدِيجَةَ</w:t>
      </w:r>
      <w:r>
        <w:rPr>
          <w:rtl/>
          <w:lang w:bidi="fa-IR"/>
        </w:rPr>
        <w:t xml:space="preserve"> - </w:t>
      </w:r>
      <w:r w:rsidRPr="00132E65">
        <w:rPr>
          <w:rtl/>
          <w:lang w:bidi="fa-IR"/>
        </w:rPr>
        <w:t xml:space="preserve">بِنْتَ عُمَرَ بْنِ عَلِيِّ بْنِ الْحُسَيْنِ بْنِ عَلِيِّ بْنِ أَبِي طَالِبٍ </w:t>
      </w:r>
      <w:r w:rsidRPr="00071CF9">
        <w:rPr>
          <w:rStyle w:val="libAlaemChar"/>
          <w:rtl/>
        </w:rPr>
        <w:t>عليهما‌السلام</w:t>
      </w:r>
      <w:r>
        <w:rPr>
          <w:rtl/>
          <w:lang w:bidi="fa-IR"/>
        </w:rPr>
        <w:t xml:space="preserve"> - </w:t>
      </w:r>
      <w:r w:rsidRPr="00132E65">
        <w:rPr>
          <w:rtl/>
          <w:lang w:bidi="fa-IR"/>
        </w:rPr>
        <w:t xml:space="preserve">نُعَزِّيهَا بِابْنِ بِنْتِهَا ، فَوَجَدْنَا عِنْدَهَا مُوسَى بْنَ عَبْدِ اللهِ بْنِ الْحَسَنِ ، فَإِذَا هِيَ فِي نَاحِيَةٍ قَرِيباً </w:t>
      </w:r>
      <w:r>
        <w:rPr>
          <w:rStyle w:val="libFootnotenumChar"/>
          <w:rtl/>
        </w:rPr>
        <w:t>(1)</w:t>
      </w:r>
      <w:r w:rsidRPr="00132E65">
        <w:rPr>
          <w:rtl/>
          <w:lang w:bidi="fa-IR"/>
        </w:rPr>
        <w:t xml:space="preserve"> مِنَ النِّسَاءِ ، فَعَزَّيْنَاهُمْ </w:t>
      </w:r>
      <w:r>
        <w:rPr>
          <w:rStyle w:val="libFootnotenumChar"/>
          <w:rtl/>
        </w:rPr>
        <w:t>(2)</w:t>
      </w:r>
      <w:r w:rsidRPr="00132E65">
        <w:rPr>
          <w:rtl/>
          <w:lang w:bidi="fa-IR"/>
        </w:rPr>
        <w:t xml:space="preserve"> ، ثُمَّ أَقْبَلْنَا عَلَيْهِ ، فَإِذَا هُوَ يَقُولُ لِابْنَةِ أَبِي يَشْكُرَ الرَّاثِيَةِ : قُولِي </w:t>
      </w:r>
      <w:r>
        <w:rPr>
          <w:rStyle w:val="libFootnotenumChar"/>
          <w:rtl/>
        </w:rPr>
        <w:t>(3)</w:t>
      </w:r>
      <w:r w:rsidRPr="00132E65">
        <w:rPr>
          <w:rtl/>
          <w:lang w:bidi="fa-IR"/>
        </w:rPr>
        <w:t xml:space="preserve"> ، فَقَالَتْ :</w:t>
      </w:r>
    </w:p>
    <w:tbl>
      <w:tblPr>
        <w:tblStyle w:val="TableGrid"/>
        <w:bidiVisual/>
        <w:tblW w:w="4562" w:type="pct"/>
        <w:tblInd w:w="384" w:type="dxa"/>
        <w:tblLook w:val="01E0" w:firstRow="1" w:lastRow="1" w:firstColumn="1" w:lastColumn="1" w:noHBand="0" w:noVBand="0"/>
      </w:tblPr>
      <w:tblGrid>
        <w:gridCol w:w="4799"/>
        <w:gridCol w:w="368"/>
        <w:gridCol w:w="4720"/>
      </w:tblGrid>
      <w:tr w:rsidR="000C39D1" w:rsidTr="00B53873">
        <w:trPr>
          <w:trHeight w:val="350"/>
        </w:trPr>
        <w:tc>
          <w:tcPr>
            <w:tcW w:w="3548" w:type="dxa"/>
            <w:shd w:val="clear" w:color="auto" w:fill="auto"/>
          </w:tcPr>
          <w:p w:rsidR="000C39D1" w:rsidRDefault="000C39D1" w:rsidP="00B53873">
            <w:pPr>
              <w:pStyle w:val="libPoem"/>
            </w:pPr>
            <w:r w:rsidRPr="00132E65">
              <w:rPr>
                <w:rtl/>
                <w:lang w:bidi="fa-IR"/>
              </w:rPr>
              <w:t>ا</w:t>
            </w:r>
            <w:r>
              <w:rPr>
                <w:rFonts w:hint="cs"/>
                <w:rtl/>
                <w:lang w:bidi="fa-IR"/>
              </w:rPr>
              <w:t>ُ</w:t>
            </w:r>
            <w:r w:rsidRPr="00132E65">
              <w:rPr>
                <w:rtl/>
                <w:lang w:bidi="fa-IR"/>
              </w:rPr>
              <w:t>عْدُدْ رَسُولَ اللهِ واعْدُدْ بَعْدَهُ</w:t>
            </w:r>
            <w:r w:rsidRPr="00725071">
              <w:rPr>
                <w:rStyle w:val="libPoemTiniChar0"/>
                <w:rtl/>
              </w:rPr>
              <w:br/>
              <w:t> </w:t>
            </w:r>
          </w:p>
        </w:tc>
        <w:tc>
          <w:tcPr>
            <w:tcW w:w="272" w:type="dxa"/>
            <w:shd w:val="clear" w:color="auto" w:fill="auto"/>
          </w:tcPr>
          <w:p w:rsidR="000C39D1" w:rsidRDefault="000C39D1" w:rsidP="00B53873">
            <w:pPr>
              <w:pStyle w:val="libPoem"/>
              <w:rPr>
                <w:rtl/>
              </w:rPr>
            </w:pPr>
          </w:p>
        </w:tc>
        <w:tc>
          <w:tcPr>
            <w:tcW w:w="3490" w:type="dxa"/>
            <w:shd w:val="clear" w:color="auto" w:fill="auto"/>
          </w:tcPr>
          <w:p w:rsidR="000C39D1" w:rsidRDefault="000C39D1" w:rsidP="00B53873">
            <w:pPr>
              <w:pStyle w:val="libPoem"/>
            </w:pPr>
            <w:r w:rsidRPr="00132E65">
              <w:rPr>
                <w:rtl/>
                <w:lang w:bidi="fa-IR"/>
              </w:rPr>
              <w:t>أَسَدَ الْإِلهِ وثَالِثاً عَبَّاسَا</w:t>
            </w:r>
            <w:r w:rsidRPr="00725071">
              <w:rPr>
                <w:rStyle w:val="libPoemTiniChar0"/>
                <w:rtl/>
              </w:rPr>
              <w:br/>
              <w:t> </w:t>
            </w:r>
          </w:p>
        </w:tc>
      </w:tr>
      <w:tr w:rsidR="000C39D1" w:rsidTr="00B53873">
        <w:trPr>
          <w:trHeight w:val="350"/>
        </w:trPr>
        <w:tc>
          <w:tcPr>
            <w:tcW w:w="3548" w:type="dxa"/>
          </w:tcPr>
          <w:p w:rsidR="000C39D1" w:rsidRDefault="000C39D1" w:rsidP="00B53873">
            <w:pPr>
              <w:pStyle w:val="libPoem"/>
            </w:pPr>
            <w:r>
              <w:rPr>
                <w:rtl/>
                <w:lang w:bidi="fa-IR"/>
              </w:rPr>
              <w:t>وَ</w:t>
            </w:r>
            <w:r w:rsidRPr="00132E65">
              <w:rPr>
                <w:rtl/>
                <w:lang w:bidi="fa-IR"/>
              </w:rPr>
              <w:t xml:space="preserve">اعْدُدْ </w:t>
            </w:r>
            <w:r>
              <w:rPr>
                <w:rStyle w:val="libFootnotenumChar"/>
                <w:rtl/>
              </w:rPr>
              <w:t>(4)</w:t>
            </w:r>
            <w:r w:rsidRPr="00132E65">
              <w:rPr>
                <w:rtl/>
                <w:lang w:bidi="fa-IR"/>
              </w:rPr>
              <w:t xml:space="preserve"> عَلِيَّ </w:t>
            </w:r>
            <w:r>
              <w:rPr>
                <w:rStyle w:val="libFootnotenumChar"/>
                <w:rtl/>
              </w:rPr>
              <w:t>(5)</w:t>
            </w:r>
            <w:r w:rsidRPr="00132E65">
              <w:rPr>
                <w:rtl/>
                <w:lang w:bidi="fa-IR"/>
              </w:rPr>
              <w:t xml:space="preserve"> الْخَيْرِ واعْدُدْ جَعْفَراً</w:t>
            </w:r>
            <w:r w:rsidRPr="00725071">
              <w:rPr>
                <w:rStyle w:val="libPoemTiniChar0"/>
                <w:rtl/>
              </w:rPr>
              <w:br/>
              <w:t> </w:t>
            </w:r>
          </w:p>
        </w:tc>
        <w:tc>
          <w:tcPr>
            <w:tcW w:w="272" w:type="dxa"/>
          </w:tcPr>
          <w:p w:rsidR="000C39D1" w:rsidRDefault="000C39D1" w:rsidP="00B53873">
            <w:pPr>
              <w:pStyle w:val="libPoem"/>
              <w:rPr>
                <w:rtl/>
              </w:rPr>
            </w:pPr>
          </w:p>
        </w:tc>
        <w:tc>
          <w:tcPr>
            <w:tcW w:w="3490" w:type="dxa"/>
          </w:tcPr>
          <w:p w:rsidR="000C39D1" w:rsidRDefault="000C39D1" w:rsidP="00B53873">
            <w:pPr>
              <w:pStyle w:val="libPoem"/>
            </w:pPr>
            <w:r>
              <w:rPr>
                <w:rtl/>
                <w:lang w:bidi="fa-IR"/>
              </w:rPr>
              <w:t>وَ</w:t>
            </w:r>
            <w:r w:rsidRPr="00132E65">
              <w:rPr>
                <w:rtl/>
                <w:lang w:bidi="fa-IR"/>
              </w:rPr>
              <w:t>اعْدُدْ عَقِيلاً بَعْدَهُ الرُّوَّاسَا</w:t>
            </w:r>
            <w:r>
              <w:rPr>
                <w:rFonts w:hint="cs"/>
                <w:rtl/>
                <w:lang w:bidi="fa-IR"/>
              </w:rPr>
              <w:t xml:space="preserve"> </w:t>
            </w:r>
            <w:r>
              <w:rPr>
                <w:rStyle w:val="libFootnotenumChar"/>
                <w:rtl/>
              </w:rPr>
              <w:t>(6)</w:t>
            </w:r>
            <w:r w:rsidRPr="00725071">
              <w:rPr>
                <w:rStyle w:val="libPoemTiniChar0"/>
                <w:rtl/>
              </w:rPr>
              <w:br/>
              <w:t> </w:t>
            </w:r>
          </w:p>
        </w:tc>
      </w:tr>
    </w:tbl>
    <w:p w:rsidR="000C39D1" w:rsidRPr="00132E65" w:rsidRDefault="000C39D1" w:rsidP="000C39D1">
      <w:pPr>
        <w:pStyle w:val="libLine"/>
        <w:rPr>
          <w:rtl/>
          <w:lang w:bidi="fa-IR"/>
        </w:rPr>
      </w:pPr>
      <w:r w:rsidRPr="00132E65">
        <w:rPr>
          <w:rtl/>
          <w:lang w:bidi="fa-IR"/>
        </w:rPr>
        <w:t>__________________</w:t>
      </w:r>
    </w:p>
    <w:p w:rsidR="000C39D1" w:rsidRPr="00F66A3D" w:rsidRDefault="000C39D1" w:rsidP="000C39D1">
      <w:pPr>
        <w:pStyle w:val="libFootnote0"/>
        <w:rPr>
          <w:rtl/>
        </w:rPr>
      </w:pPr>
      <w:r>
        <w:rPr>
          <w:rFonts w:hint="cs"/>
          <w:rtl/>
        </w:rPr>
        <w:t xml:space="preserve">= </w:t>
      </w:r>
      <w:r w:rsidRPr="00F66A3D">
        <w:rPr>
          <w:rtl/>
        </w:rPr>
        <w:t>والظاهر من ملاحظة الاستعمالات ، صحّة « زنجويه » ؛ فإنّا لم نجد في مصادر العامّة من كتب التراجم ، والحديث ، والمؤتلف والمختلف ، والتاريخ ، لفظة « رنجويه » ، وقد وردت لفظة « زنجويه » في استعمالاتهم كثيرة ، كأنْ لم يُعهَد « رنجويه » عندهم.</w:t>
      </w:r>
    </w:p>
    <w:p w:rsidR="000C39D1" w:rsidRPr="00792FF7" w:rsidRDefault="000C39D1" w:rsidP="00E55206">
      <w:pPr>
        <w:pStyle w:val="libFootnote0"/>
        <w:rPr>
          <w:rtl/>
        </w:rPr>
      </w:pPr>
      <w:r w:rsidRPr="00F543F1">
        <w:rPr>
          <w:rtl/>
        </w:rPr>
        <w:t xml:space="preserve">يؤيّد ذلك ما قاله عبد الله عمر الباروردي في تعليقته على </w:t>
      </w:r>
      <w:r w:rsidRPr="00792FF7">
        <w:rPr>
          <w:rtl/>
        </w:rPr>
        <w:t>الأنساب للسمعاني</w:t>
      </w:r>
      <w:r w:rsidRPr="00F543F1">
        <w:rPr>
          <w:rtl/>
        </w:rPr>
        <w:t xml:space="preserve"> ، ج 3 ، ص 170 ، ذيل « الزنجوني » حيث قال السمعاني : « </w:t>
      </w:r>
      <w:r w:rsidRPr="00792FF7">
        <w:rPr>
          <w:rtl/>
        </w:rPr>
        <w:t>هذه النسبة إلى زنجونة</w:t>
      </w:r>
      <w:r w:rsidRPr="00F543F1">
        <w:rPr>
          <w:rtl/>
        </w:rPr>
        <w:t xml:space="preserve"> » ، قال الباروردي في ا</w:t>
      </w:r>
      <w:r w:rsidRPr="00792FF7">
        <w:rPr>
          <w:rtl/>
        </w:rPr>
        <w:t xml:space="preserve">لتعليقة : « هذا الاسم يشتبه بزنجويه </w:t>
      </w:r>
      <w:r>
        <w:rPr>
          <w:rtl/>
        </w:rPr>
        <w:t>-</w:t>
      </w:r>
      <w:r w:rsidRPr="00792FF7">
        <w:rPr>
          <w:rtl/>
        </w:rPr>
        <w:t xml:space="preserve"> بالياء </w:t>
      </w:r>
      <w:r>
        <w:rPr>
          <w:rtl/>
        </w:rPr>
        <w:t>-</w:t>
      </w:r>
      <w:r w:rsidRPr="00792FF7">
        <w:rPr>
          <w:rtl/>
        </w:rPr>
        <w:t xml:space="preserve"> لقب مخلد والد الحافظ حميد بن حميد بن مخلد المشهور بحميد بن زنجويه. وهو مشهور في رجال التهذيب ، وهو بالياء في مراجع لا تحصى. فإذا كان هذا بالنون ، فهما من المشتبه فكان على ابن نقطة ومن بعده من المؤلّفين في المؤتلف والمختلف أن يذكروا هذا الباب فلماذا أغفلوه ».</w:t>
      </w:r>
    </w:p>
    <w:p w:rsidR="000C39D1" w:rsidRPr="00792FF7" w:rsidRDefault="000C39D1" w:rsidP="00E55206">
      <w:pPr>
        <w:pStyle w:val="libFootnote0"/>
        <w:rPr>
          <w:rtl/>
        </w:rPr>
      </w:pPr>
      <w:r w:rsidRPr="00792FF7">
        <w:rPr>
          <w:rtl/>
        </w:rPr>
        <w:t xml:space="preserve">وأنت ترى أنّه لم يذكر </w:t>
      </w:r>
      <w:r>
        <w:rPr>
          <w:rtl/>
        </w:rPr>
        <w:t>-</w:t>
      </w:r>
      <w:r w:rsidRPr="00792FF7">
        <w:rPr>
          <w:rtl/>
        </w:rPr>
        <w:t xml:space="preserve"> وهو معترض على أصحاب المؤتلف والمختلف </w:t>
      </w:r>
      <w:r>
        <w:rPr>
          <w:rtl/>
        </w:rPr>
        <w:t>-</w:t>
      </w:r>
      <w:r w:rsidRPr="00792FF7">
        <w:rPr>
          <w:rtl/>
        </w:rPr>
        <w:t xml:space="preserve"> رنجويه. وعدم ذكره هذا اللفظ في هذا المقام قرينة قويّة على عدم معهوديّته عندهم ، كما ذكرنا.</w:t>
      </w:r>
    </w:p>
    <w:p w:rsidR="000C39D1" w:rsidRDefault="000C39D1" w:rsidP="00E55206">
      <w:pPr>
        <w:pStyle w:val="libFootnote0"/>
        <w:rPr>
          <w:rtl/>
        </w:rPr>
      </w:pPr>
      <w:r w:rsidRPr="00792FF7">
        <w:rPr>
          <w:rtl/>
        </w:rPr>
        <w:t xml:space="preserve">وأمّا نسبة استعمال « زنجويه » </w:t>
      </w:r>
      <w:r>
        <w:rPr>
          <w:rtl/>
        </w:rPr>
        <w:t>و «</w:t>
      </w:r>
      <w:r w:rsidRPr="00792FF7">
        <w:rPr>
          <w:rtl/>
        </w:rPr>
        <w:t xml:space="preserve"> رنجويه » في مصادرنا ، هي نسبة المائة بثلاث وثلاثين والنصف ، وهي أيضاً قرينة اخرى على صحّة « زنجويه ».</w:t>
      </w:r>
    </w:p>
    <w:p w:rsidR="000C39D1" w:rsidRPr="00132E65" w:rsidRDefault="000C39D1" w:rsidP="000C39D1">
      <w:pPr>
        <w:pStyle w:val="libFootnote0"/>
        <w:rPr>
          <w:rtl/>
          <w:lang w:bidi="fa-IR"/>
        </w:rPr>
      </w:pPr>
      <w:r>
        <w:rPr>
          <w:rtl/>
        </w:rPr>
        <w:t>(1).</w:t>
      </w:r>
      <w:r w:rsidRPr="00132E65">
        <w:rPr>
          <w:rtl/>
        </w:rPr>
        <w:t xml:space="preserve"> « قريباً » حال عن الضمير المستتر في الظرف ، وتذكيره باعتبار كون الناحية مؤنّثاً مجازيّاً. وقيل : إذا كان‌القريب في معنى المسافة يذكّر ويؤنّث. راجع : </w:t>
      </w:r>
      <w:r w:rsidRPr="009D1ACE">
        <w:rPr>
          <w:rStyle w:val="libFootnoteBoldChar"/>
          <w:rtl/>
        </w:rPr>
        <w:t>مرآة العقول</w:t>
      </w:r>
      <w:r w:rsidRPr="00132E65">
        <w:rPr>
          <w:rtl/>
        </w:rPr>
        <w:t xml:space="preserve"> ، ج 4 ، ص 121 ؛ </w:t>
      </w:r>
      <w:r w:rsidRPr="003B7B35">
        <w:rPr>
          <w:rtl/>
        </w:rPr>
        <w:t>الصحاح</w:t>
      </w:r>
      <w:r w:rsidRPr="00132E65">
        <w:rPr>
          <w:rtl/>
        </w:rPr>
        <w:t xml:space="preserve"> ، ج 1 ، ص 198 ( قرب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تذكير الضمير على التغليب ؛ لدخول موسى بينهم »</w:t>
      </w:r>
      <w:r>
        <w:rPr>
          <w:rtl/>
        </w:rPr>
        <w:t>.</w:t>
      </w:r>
      <w:r w:rsidRPr="00132E65">
        <w:rPr>
          <w:rtl/>
        </w:rPr>
        <w:t xml:space="preserve"> وفي « بر » : « فعزّيناها »</w:t>
      </w:r>
      <w:r>
        <w:rPr>
          <w:rtl/>
        </w:rPr>
        <w:t>.</w:t>
      </w:r>
    </w:p>
    <w:p w:rsidR="000C39D1" w:rsidRPr="00132E65" w:rsidRDefault="000C39D1" w:rsidP="000C39D1">
      <w:pPr>
        <w:pStyle w:val="libFootnote0"/>
        <w:rPr>
          <w:rtl/>
          <w:lang w:bidi="fa-IR"/>
        </w:rPr>
      </w:pPr>
      <w:r>
        <w:rPr>
          <w:rtl/>
        </w:rPr>
        <w:t>(3).</w:t>
      </w:r>
      <w:r w:rsidRPr="00132E65">
        <w:rPr>
          <w:rtl/>
        </w:rPr>
        <w:t xml:space="preserve"> أي أنشدي شعراً ومرثية.</w:t>
      </w:r>
    </w:p>
    <w:p w:rsidR="000C39D1" w:rsidRPr="00132E65" w:rsidRDefault="000C39D1" w:rsidP="000C39D1">
      <w:pPr>
        <w:pStyle w:val="libFootnote0"/>
        <w:rPr>
          <w:rtl/>
          <w:lang w:bidi="fa-IR"/>
        </w:rPr>
      </w:pPr>
      <w:r>
        <w:rPr>
          <w:rtl/>
        </w:rPr>
        <w:t>(4).</w:t>
      </w:r>
      <w:r w:rsidRPr="00132E65">
        <w:rPr>
          <w:rtl/>
        </w:rPr>
        <w:t xml:space="preserve"> في « ف » : « عدّد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3B7B35">
        <w:rPr>
          <w:rtl/>
        </w:rPr>
        <w:t>شرح المازندراني</w:t>
      </w:r>
      <w:r w:rsidRPr="00132E65">
        <w:rPr>
          <w:rtl/>
        </w:rPr>
        <w:t xml:space="preserve"> : « يجوز أن يكون « على » حرف جرّ ، ومفعولُ « اعدد » محذوف ، أي اعددهم على الخير »</w:t>
      </w:r>
      <w:r>
        <w:rPr>
          <w:rtl/>
        </w:rPr>
        <w:t>.</w:t>
      </w:r>
    </w:p>
    <w:p w:rsidR="000C39D1" w:rsidRPr="00132E65" w:rsidRDefault="000C39D1" w:rsidP="000C39D1">
      <w:pPr>
        <w:pStyle w:val="libFootnote0"/>
        <w:rPr>
          <w:rtl/>
          <w:lang w:bidi="fa-IR"/>
        </w:rPr>
      </w:pPr>
      <w:r>
        <w:rPr>
          <w:rtl/>
        </w:rPr>
        <w:t>(6).</w:t>
      </w:r>
      <w:r w:rsidRPr="00132E65">
        <w:rPr>
          <w:rtl/>
        </w:rPr>
        <w:t xml:space="preserve"> في حاشية « بس ، بف » : « بعد ذا الروّاسا »</w:t>
      </w:r>
      <w:r>
        <w:rPr>
          <w:rtl/>
        </w:rPr>
        <w:t>.</w:t>
      </w:r>
      <w:r w:rsidRPr="00132E65">
        <w:rPr>
          <w:rtl/>
        </w:rPr>
        <w:t xml:space="preserve"> وفي </w:t>
      </w:r>
      <w:r w:rsidRPr="009D1ACE">
        <w:rPr>
          <w:rStyle w:val="libFootnoteBoldChar"/>
          <w:rtl/>
        </w:rPr>
        <w:t>الوافي</w:t>
      </w:r>
      <w:r>
        <w:rPr>
          <w:rtl/>
        </w:rPr>
        <w:t xml:space="preserve"> : « بعد ذا الرؤسا</w:t>
      </w:r>
      <w:r w:rsidRPr="00132E65">
        <w:rPr>
          <w:rtl/>
        </w:rPr>
        <w:t>»</w:t>
      </w:r>
      <w:r>
        <w:rPr>
          <w:rtl/>
        </w:rPr>
        <w:t>.</w:t>
      </w:r>
      <w:r w:rsidRPr="00132E65">
        <w:rPr>
          <w:rtl/>
        </w:rPr>
        <w:t xml:space="preserve">ونقل في </w:t>
      </w:r>
      <w:r w:rsidRPr="003B7B35">
        <w:rPr>
          <w:rtl/>
        </w:rPr>
        <w:t>شرح المازندراني</w:t>
      </w:r>
      <w:r w:rsidRPr="00132E65">
        <w:rPr>
          <w:rtl/>
        </w:rPr>
        <w:t xml:space="preserve"> </w:t>
      </w:r>
      <w:r>
        <w:rPr>
          <w:rFonts w:hint="cs"/>
          <w:rtl/>
        </w:rPr>
        <w:t>عن =</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 أَحْسَنْتِ وأَطْرَبْتِنِي </w:t>
      </w:r>
      <w:r>
        <w:rPr>
          <w:rStyle w:val="libFootnotenumChar"/>
          <w:rtl/>
        </w:rPr>
        <w:t>(1)</w:t>
      </w:r>
      <w:r w:rsidRPr="00132E65">
        <w:rPr>
          <w:rtl/>
          <w:lang w:bidi="fa-IR"/>
        </w:rPr>
        <w:t xml:space="preserve"> ، زِيدِينِي ، فَانْدَفَعَتْ </w:t>
      </w:r>
      <w:r>
        <w:rPr>
          <w:rStyle w:val="libFootnotenumChar"/>
          <w:rtl/>
        </w:rPr>
        <w:t>(2)</w:t>
      </w:r>
      <w:r w:rsidRPr="00132E65">
        <w:rPr>
          <w:rtl/>
          <w:lang w:bidi="fa-IR"/>
        </w:rPr>
        <w:t xml:space="preserve"> تَقُولُ :</w:t>
      </w:r>
    </w:p>
    <w:tbl>
      <w:tblPr>
        <w:tblStyle w:val="TableGrid"/>
        <w:bidiVisual/>
        <w:tblW w:w="5000" w:type="pct"/>
        <w:tblInd w:w="384" w:type="dxa"/>
        <w:tblLook w:val="01E0" w:firstRow="1" w:lastRow="1" w:firstColumn="1" w:lastColumn="1" w:noHBand="0" w:noVBand="0"/>
      </w:tblPr>
      <w:tblGrid>
        <w:gridCol w:w="5256"/>
        <w:gridCol w:w="376"/>
        <w:gridCol w:w="5204"/>
      </w:tblGrid>
      <w:tr w:rsidR="000C39D1" w:rsidTr="00B53873">
        <w:trPr>
          <w:trHeight w:val="350"/>
        </w:trPr>
        <w:tc>
          <w:tcPr>
            <w:tcW w:w="3886" w:type="dxa"/>
            <w:shd w:val="clear" w:color="auto" w:fill="auto"/>
          </w:tcPr>
          <w:p w:rsidR="000C39D1" w:rsidRDefault="000C39D1" w:rsidP="00B53873">
            <w:pPr>
              <w:pStyle w:val="libPoem"/>
            </w:pPr>
            <w:r>
              <w:rPr>
                <w:rtl/>
                <w:lang w:bidi="fa-IR"/>
              </w:rPr>
              <w:t>وَ</w:t>
            </w:r>
            <w:r w:rsidRPr="00132E65">
              <w:rPr>
                <w:rtl/>
                <w:lang w:bidi="fa-IR"/>
              </w:rPr>
              <w:t>مِنَّا إِمَامُ الْمُتَّقِينَ مُحَمَّدٌ</w:t>
            </w:r>
            <w:r w:rsidRPr="00725071">
              <w:rPr>
                <w:rStyle w:val="libPoemTiniChar0"/>
                <w:rtl/>
              </w:rPr>
              <w:br/>
              <w:t> </w:t>
            </w:r>
          </w:p>
        </w:tc>
        <w:tc>
          <w:tcPr>
            <w:tcW w:w="278" w:type="dxa"/>
            <w:shd w:val="clear" w:color="auto" w:fill="auto"/>
          </w:tcPr>
          <w:p w:rsidR="000C39D1" w:rsidRDefault="000C39D1" w:rsidP="00B53873">
            <w:pPr>
              <w:pStyle w:val="libPoem"/>
              <w:rPr>
                <w:rtl/>
              </w:rPr>
            </w:pPr>
          </w:p>
        </w:tc>
        <w:tc>
          <w:tcPr>
            <w:tcW w:w="3848" w:type="dxa"/>
            <w:shd w:val="clear" w:color="auto" w:fill="auto"/>
          </w:tcPr>
          <w:p w:rsidR="000C39D1" w:rsidRDefault="000C39D1" w:rsidP="00B53873">
            <w:pPr>
              <w:pStyle w:val="libPoem"/>
            </w:pPr>
            <w:r>
              <w:rPr>
                <w:rtl/>
                <w:lang w:bidi="fa-IR"/>
              </w:rPr>
              <w:t>وَ</w:t>
            </w:r>
            <w:r w:rsidRPr="00132E65">
              <w:rPr>
                <w:rtl/>
                <w:lang w:bidi="fa-IR"/>
              </w:rPr>
              <w:t>حَمْزَةُ مِنَّا والْمُهَذَّبُ جَعْفَرُ</w:t>
            </w:r>
            <w:r w:rsidRPr="00725071">
              <w:rPr>
                <w:rStyle w:val="libPoemTiniChar0"/>
                <w:rtl/>
              </w:rPr>
              <w:br/>
              <w:t> </w:t>
            </w:r>
          </w:p>
        </w:tc>
      </w:tr>
      <w:tr w:rsidR="000C39D1" w:rsidTr="00B53873">
        <w:trPr>
          <w:trHeight w:val="350"/>
        </w:trPr>
        <w:tc>
          <w:tcPr>
            <w:tcW w:w="3886" w:type="dxa"/>
          </w:tcPr>
          <w:p w:rsidR="000C39D1" w:rsidRDefault="000C39D1" w:rsidP="00B53873">
            <w:pPr>
              <w:pStyle w:val="libPoem"/>
            </w:pPr>
            <w:r>
              <w:rPr>
                <w:rtl/>
                <w:lang w:bidi="fa-IR"/>
              </w:rPr>
              <w:t>وَ</w:t>
            </w:r>
            <w:r w:rsidRPr="00132E65">
              <w:rPr>
                <w:rtl/>
                <w:lang w:bidi="fa-IR"/>
              </w:rPr>
              <w:t>مِنَّا عَلِيٌّ صِهْرُهُ وابْنُ عَمِّهِ</w:t>
            </w:r>
            <w:r w:rsidRPr="00725071">
              <w:rPr>
                <w:rStyle w:val="libPoemTiniChar0"/>
                <w:rtl/>
              </w:rPr>
              <w:br/>
              <w:t> </w:t>
            </w:r>
          </w:p>
        </w:tc>
        <w:tc>
          <w:tcPr>
            <w:tcW w:w="278" w:type="dxa"/>
          </w:tcPr>
          <w:p w:rsidR="000C39D1" w:rsidRDefault="000C39D1" w:rsidP="00B53873">
            <w:pPr>
              <w:pStyle w:val="libPoem"/>
              <w:rPr>
                <w:rtl/>
              </w:rPr>
            </w:pPr>
          </w:p>
        </w:tc>
        <w:tc>
          <w:tcPr>
            <w:tcW w:w="3848" w:type="dxa"/>
          </w:tcPr>
          <w:p w:rsidR="000C39D1" w:rsidRDefault="000C39D1" w:rsidP="00B53873">
            <w:pPr>
              <w:pStyle w:val="libPoem"/>
            </w:pPr>
            <w:r>
              <w:rPr>
                <w:rtl/>
                <w:lang w:bidi="fa-IR"/>
              </w:rPr>
              <w:t>وَ</w:t>
            </w:r>
            <w:r w:rsidRPr="00132E65">
              <w:rPr>
                <w:rtl/>
                <w:lang w:bidi="fa-IR"/>
              </w:rPr>
              <w:t>فَارِسُهُ ذَاكَ الْإِمَامُ الْمُطَهَّرُ</w:t>
            </w:r>
            <w:r>
              <w:rPr>
                <w:rFonts w:hint="cs"/>
                <w:rtl/>
                <w:lang w:bidi="fa-IR"/>
              </w:rPr>
              <w:t xml:space="preserve"> </w:t>
            </w:r>
            <w:r>
              <w:rPr>
                <w:rStyle w:val="libFootnotenumChar"/>
                <w:rtl/>
              </w:rPr>
              <w:t>(3)</w:t>
            </w:r>
            <w:r w:rsidRPr="00725071">
              <w:rPr>
                <w:rStyle w:val="libPoemTiniChar0"/>
                <w:rtl/>
              </w:rPr>
              <w:br/>
              <w:t> </w:t>
            </w:r>
          </w:p>
        </w:tc>
      </w:tr>
    </w:tbl>
    <w:p w:rsidR="000C39D1" w:rsidRPr="00132E65" w:rsidRDefault="000C39D1" w:rsidP="000C39D1">
      <w:pPr>
        <w:pStyle w:val="libNormal"/>
        <w:rPr>
          <w:rtl/>
          <w:lang w:bidi="fa-IR"/>
        </w:rPr>
      </w:pPr>
      <w:r w:rsidRPr="00132E65">
        <w:rPr>
          <w:rtl/>
          <w:lang w:bidi="fa-IR"/>
        </w:rPr>
        <w:t xml:space="preserve">فَأَقَمْنَا عِنْدَهَا </w:t>
      </w:r>
      <w:r>
        <w:rPr>
          <w:rStyle w:val="libFootnotenumChar"/>
          <w:rtl/>
        </w:rPr>
        <w:t>(4)</w:t>
      </w:r>
      <w:r w:rsidRPr="00132E65">
        <w:rPr>
          <w:rtl/>
          <w:lang w:bidi="fa-IR"/>
        </w:rPr>
        <w:t xml:space="preserve"> حَتّى كَادَ اللَّيْلُ أَنْ يَجِي‌ءَ.</w:t>
      </w:r>
    </w:p>
    <w:p w:rsidR="000C39D1" w:rsidRPr="00132E65" w:rsidRDefault="000C39D1" w:rsidP="000C39D1">
      <w:pPr>
        <w:pStyle w:val="libNormal"/>
        <w:rPr>
          <w:rtl/>
          <w:lang w:bidi="fa-IR"/>
        </w:rPr>
      </w:pPr>
      <w:r w:rsidRPr="00132E65">
        <w:rPr>
          <w:rtl/>
          <w:lang w:bidi="fa-IR"/>
        </w:rPr>
        <w:t xml:space="preserve">ثُمَّ قَالَتْ خَدِيجَةُ : سَمِعْتُ عَمِّي </w:t>
      </w:r>
      <w:r>
        <w:rPr>
          <w:rStyle w:val="libFootnotenumChar"/>
          <w:rtl/>
        </w:rPr>
        <w:t>(5)</w:t>
      </w:r>
      <w:r w:rsidRPr="00132E65">
        <w:rPr>
          <w:rtl/>
          <w:lang w:bidi="fa-IR"/>
        </w:rPr>
        <w:t xml:space="preserve"> مُحَمَّدَ بْنَ عَلِيٍّ</w:t>
      </w:r>
      <w:r>
        <w:rPr>
          <w:rtl/>
          <w:lang w:bidi="fa-IR"/>
        </w:rPr>
        <w:t xml:space="preserve"> - </w:t>
      </w:r>
      <w:r w:rsidRPr="00132E65">
        <w:rPr>
          <w:rtl/>
          <w:lang w:bidi="fa-IR"/>
        </w:rPr>
        <w:t>صَلَوَاتُ اللهِ عَلَيْهِ</w:t>
      </w:r>
      <w:r>
        <w:rPr>
          <w:rtl/>
          <w:lang w:bidi="fa-IR"/>
        </w:rPr>
        <w:t xml:space="preserve"> - </w:t>
      </w:r>
      <w:r w:rsidRPr="00132E65">
        <w:rPr>
          <w:rtl/>
          <w:lang w:bidi="fa-IR"/>
        </w:rPr>
        <w:t>وهُوَ يَقُولُ :</w:t>
      </w:r>
      <w:r>
        <w:rPr>
          <w:rFonts w:hint="cs"/>
          <w:rtl/>
          <w:lang w:bidi="fa-IR"/>
        </w:rPr>
        <w:t xml:space="preserve"> </w:t>
      </w:r>
      <w:r w:rsidRPr="00132E65">
        <w:rPr>
          <w:rtl/>
          <w:lang w:bidi="fa-IR"/>
        </w:rPr>
        <w:t xml:space="preserve">« إِنَّمَا تَحْتَاجُ </w:t>
      </w:r>
      <w:r>
        <w:rPr>
          <w:rStyle w:val="libFootnotenumChar"/>
          <w:rtl/>
        </w:rPr>
        <w:t>(6)</w:t>
      </w:r>
      <w:r w:rsidRPr="00132E65">
        <w:rPr>
          <w:rtl/>
          <w:lang w:bidi="fa-IR"/>
        </w:rPr>
        <w:t xml:space="preserve"> الْمَرْأَةُ فِي الْمَأْتَمِ </w:t>
      </w:r>
      <w:r>
        <w:rPr>
          <w:rStyle w:val="libFootnotenumChar"/>
          <w:rtl/>
        </w:rPr>
        <w:t>(7)</w:t>
      </w:r>
      <w:r w:rsidRPr="00132E65">
        <w:rPr>
          <w:rtl/>
          <w:lang w:bidi="fa-IR"/>
        </w:rPr>
        <w:t xml:space="preserve"> إِلَى النَّوْحِ لِتَسِيلَ دَمْعَتُهَا ، ولَايَنْبَغِي لَهَا أَنْ تَقُولَ هُجْراً </w:t>
      </w:r>
      <w:r>
        <w:rPr>
          <w:rStyle w:val="libFootnotenumChar"/>
          <w:rtl/>
        </w:rPr>
        <w:t>(8)</w:t>
      </w:r>
      <w:r w:rsidRPr="00132E65">
        <w:rPr>
          <w:rtl/>
          <w:lang w:bidi="fa-IR"/>
        </w:rPr>
        <w:t xml:space="preserve"> ، فَإِذَا جَاءَ </w:t>
      </w:r>
      <w:r>
        <w:rPr>
          <w:rStyle w:val="libFootnotenumChar"/>
          <w:rtl/>
        </w:rPr>
        <w:t>(9)</w:t>
      </w:r>
      <w:r w:rsidRPr="00132E65">
        <w:rPr>
          <w:rtl/>
          <w:lang w:bidi="fa-IR"/>
        </w:rPr>
        <w:t xml:space="preserve"> اللَّيْلُ ، فَلَا تُؤْذِي الْمَلَائِكَةَ بِالنَّوْحِ »</w:t>
      </w:r>
      <w:r>
        <w:rPr>
          <w:rtl/>
          <w:lang w:bidi="fa-IR"/>
        </w:rPr>
        <w:t>.</w:t>
      </w:r>
    </w:p>
    <w:p w:rsidR="000C39D1" w:rsidRPr="00132E65" w:rsidRDefault="000C39D1" w:rsidP="00D14011">
      <w:pPr>
        <w:pStyle w:val="libNormal"/>
        <w:rPr>
          <w:rtl/>
          <w:lang w:bidi="fa-IR"/>
        </w:rPr>
      </w:pPr>
      <w:r w:rsidRPr="00132E65">
        <w:rPr>
          <w:rtl/>
          <w:lang w:bidi="fa-IR"/>
        </w:rPr>
        <w:t xml:space="preserve">ثُمَّ خَرَجْنَا ، فَغَدَوْنَا إِلَيْهَا غُدْوَةً </w:t>
      </w:r>
      <w:r>
        <w:rPr>
          <w:rStyle w:val="libFootnotenumChar"/>
          <w:rtl/>
        </w:rPr>
        <w:t>(10)</w:t>
      </w:r>
      <w:r w:rsidRPr="00132E65">
        <w:rPr>
          <w:rtl/>
          <w:lang w:bidi="fa-IR"/>
        </w:rPr>
        <w:t xml:space="preserve"> ، فَتَذَاكَرْنَا عِنْدَهَا اخْتِزَالَ </w:t>
      </w:r>
      <w:r>
        <w:rPr>
          <w:rStyle w:val="libFootnotenumChar"/>
          <w:rtl/>
        </w:rPr>
        <w:t>(11)</w:t>
      </w:r>
      <w:r w:rsidRPr="00132E65">
        <w:rPr>
          <w:rtl/>
          <w:lang w:bidi="fa-IR"/>
        </w:rPr>
        <w:t xml:space="preserve"> مَنْزِلِهَا مِنْ دَارِ أَبِي عَبْدِ اللهِ جَعْفَرِ بْنِ مُحَمَّدٍ ، فَقَالَ </w:t>
      </w:r>
      <w:r>
        <w:rPr>
          <w:rStyle w:val="libFootnotenumChar"/>
          <w:rtl/>
        </w:rPr>
        <w:t>(12)</w:t>
      </w:r>
      <w:r w:rsidRPr="00132E65">
        <w:rPr>
          <w:rtl/>
          <w:lang w:bidi="fa-IR"/>
        </w:rPr>
        <w:t xml:space="preserve"> : هذِهِ دَارٌ </w:t>
      </w:r>
      <w:r w:rsidRPr="00F543F1">
        <w:rPr>
          <w:rStyle w:val="libFootnotenumChar"/>
          <w:rtl/>
        </w:rPr>
        <w:t>(1</w:t>
      </w:r>
      <w:r w:rsidRPr="00F543F1">
        <w:rPr>
          <w:rStyle w:val="libFootnotenumChar"/>
          <w:rFonts w:hint="cs"/>
          <w:rtl/>
        </w:rPr>
        <w:t>3</w:t>
      </w:r>
      <w:r w:rsidRPr="00F543F1">
        <w:rPr>
          <w:rStyle w:val="libFootnotenumChar"/>
          <w:rtl/>
        </w:rPr>
        <w:t>)</w:t>
      </w:r>
      <w:r w:rsidRPr="00132E65">
        <w:rPr>
          <w:rtl/>
          <w:lang w:bidi="fa-IR"/>
        </w:rPr>
        <w:t xml:space="preserve"> تُسَمّى‌</w:t>
      </w:r>
      <w:r w:rsidR="00D14011">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عن بعض النسخ : « بعد ذا الرؤاسا » ، ونقل المجلسي في </w:t>
      </w:r>
      <w:r w:rsidRPr="009D1ACE">
        <w:rPr>
          <w:rStyle w:val="libFootnoteBoldChar"/>
          <w:rtl/>
        </w:rPr>
        <w:t>مرآة العقول</w:t>
      </w:r>
      <w:r w:rsidRPr="00132E65">
        <w:rPr>
          <w:rtl/>
        </w:rPr>
        <w:t xml:space="preserve"> عن بعضه : « والرؤساء » بعدَما قال : « الرَؤّاس</w:t>
      </w:r>
      <w:r>
        <w:rPr>
          <w:rtl/>
        </w:rPr>
        <w:t xml:space="preserve"> - </w:t>
      </w:r>
      <w:r w:rsidRPr="00132E65">
        <w:rPr>
          <w:rtl/>
        </w:rPr>
        <w:t>بفتح الراء وتشديد الهمزة</w:t>
      </w:r>
      <w:r>
        <w:rPr>
          <w:rtl/>
        </w:rPr>
        <w:t xml:space="preserve"> - </w:t>
      </w:r>
      <w:r w:rsidRPr="00132E65">
        <w:rPr>
          <w:rtl/>
        </w:rPr>
        <w:t>صفة للعقيل</w:t>
      </w:r>
      <w:r>
        <w:rPr>
          <w:rtl/>
        </w:rPr>
        <w:t xml:space="preserve"> - </w:t>
      </w:r>
      <w:r w:rsidRPr="00132E65">
        <w:rPr>
          <w:rtl/>
        </w:rPr>
        <w:t>كما زعم</w:t>
      </w:r>
      <w:r>
        <w:rPr>
          <w:rtl/>
        </w:rPr>
        <w:t xml:space="preserve"> - </w:t>
      </w:r>
      <w:r w:rsidRPr="00132E65">
        <w:rPr>
          <w:rtl/>
        </w:rPr>
        <w:t xml:space="preserve">وهو بعيد ؛ </w:t>
      </w:r>
      <w:r>
        <w:rPr>
          <w:rtl/>
        </w:rPr>
        <w:t>لأنّ الرَؤّاس بايع الرؤوس ، إل</w:t>
      </w:r>
      <w:r>
        <w:rPr>
          <w:rFonts w:hint="cs"/>
          <w:rtl/>
        </w:rPr>
        <w:t>ّ</w:t>
      </w:r>
      <w:r>
        <w:rPr>
          <w:rtl/>
        </w:rPr>
        <w:t>ا</w:t>
      </w:r>
      <w:r>
        <w:rPr>
          <w:rFonts w:hint="cs"/>
          <w:rtl/>
        </w:rPr>
        <w:t xml:space="preserve"> </w:t>
      </w:r>
      <w:r w:rsidRPr="00132E65">
        <w:rPr>
          <w:rtl/>
        </w:rPr>
        <w:t>أن يقال : ا</w:t>
      </w:r>
      <w:r>
        <w:rPr>
          <w:rFonts w:hint="cs"/>
          <w:rtl/>
        </w:rPr>
        <w:t>ُ</w:t>
      </w:r>
      <w:r w:rsidRPr="00132E65">
        <w:rPr>
          <w:rtl/>
        </w:rPr>
        <w:t>طلق على الرئيس مجازاً ، والظاهر أنّه بضمّ الراء جمع رأس صفة للجميع ، أو بضمّ الراء وفتح الهمزة ، فإنّه ممدوداً جمع رئيس ، كشريف وشرفاء ، ا</w:t>
      </w:r>
      <w:r>
        <w:rPr>
          <w:rFonts w:hint="cs"/>
          <w:rtl/>
        </w:rPr>
        <w:t>ُ</w:t>
      </w:r>
      <w:r w:rsidRPr="00132E65">
        <w:rPr>
          <w:rtl/>
        </w:rPr>
        <w:t>سقطت الهمزة للقافية »</w:t>
      </w:r>
      <w:r>
        <w:rPr>
          <w:rtl/>
        </w:rPr>
        <w:t>.</w:t>
      </w:r>
      <w:r w:rsidRPr="00132E65">
        <w:rPr>
          <w:rtl/>
        </w:rPr>
        <w:t xml:space="preserve"> والأخير هو مختار المازندراني.</w:t>
      </w:r>
    </w:p>
    <w:p w:rsidR="000C39D1" w:rsidRPr="00132E65" w:rsidRDefault="000C39D1" w:rsidP="000C39D1">
      <w:pPr>
        <w:pStyle w:val="libFootnote0"/>
        <w:rPr>
          <w:rtl/>
          <w:lang w:bidi="fa-IR"/>
        </w:rPr>
      </w:pPr>
      <w:r>
        <w:rPr>
          <w:rtl/>
        </w:rPr>
        <w:t>(1).</w:t>
      </w:r>
      <w:r w:rsidRPr="00132E65">
        <w:rPr>
          <w:rtl/>
        </w:rPr>
        <w:t xml:space="preserve"> في البحار : « اطربتيني »</w:t>
      </w:r>
      <w:r>
        <w:rPr>
          <w:rtl/>
        </w:rPr>
        <w:t>.</w:t>
      </w:r>
    </w:p>
    <w:p w:rsidR="000C39D1" w:rsidRPr="00132E65" w:rsidRDefault="000C39D1" w:rsidP="000C39D1">
      <w:pPr>
        <w:pStyle w:val="libFootnote0"/>
        <w:rPr>
          <w:rtl/>
          <w:lang w:bidi="fa-IR"/>
        </w:rPr>
      </w:pPr>
      <w:r>
        <w:rPr>
          <w:rtl/>
        </w:rPr>
        <w:t>(2).</w:t>
      </w:r>
      <w:r w:rsidRPr="00132E65">
        <w:rPr>
          <w:rtl/>
        </w:rPr>
        <w:t xml:space="preserve"> « فاندفعت » : أي ابتدأت وأسرعت ، يقال : اندفع الفرس ، أي أسرع في سيره. واندفعوا في الحديث ، أي ابتدؤوا وأسرعوا فيه. راجع : </w:t>
      </w:r>
      <w:r w:rsidRPr="009D1ACE">
        <w:rPr>
          <w:rStyle w:val="libFootnoteBoldChar"/>
          <w:rtl/>
        </w:rPr>
        <w:t>لسان العرب</w:t>
      </w:r>
      <w:r w:rsidRPr="00132E65">
        <w:rPr>
          <w:rtl/>
        </w:rPr>
        <w:t xml:space="preserve"> ، ج 8 ، ص 88 ( دفع ) ؛ </w:t>
      </w:r>
      <w:r w:rsidRPr="003B7B35">
        <w:rPr>
          <w:rtl/>
        </w:rPr>
        <w:t>شرح المازندراني</w:t>
      </w:r>
      <w:r w:rsidRPr="00132E65">
        <w:rPr>
          <w:rtl/>
        </w:rPr>
        <w:t xml:space="preserve"> ، ج 6 ، ص 294.</w:t>
      </w:r>
    </w:p>
    <w:p w:rsidR="000C39D1" w:rsidRPr="00132E65" w:rsidRDefault="000C39D1" w:rsidP="000C39D1">
      <w:pPr>
        <w:pStyle w:val="libFootnote0"/>
        <w:rPr>
          <w:rtl/>
          <w:lang w:bidi="fa-IR"/>
        </w:rPr>
      </w:pPr>
      <w:r>
        <w:rPr>
          <w:rtl/>
        </w:rPr>
        <w:t>(3).</w:t>
      </w:r>
      <w:r w:rsidRPr="00132E65">
        <w:rPr>
          <w:rtl/>
        </w:rPr>
        <w:t xml:space="preserve"> اتّفقت النسخ </w:t>
      </w:r>
      <w:r w:rsidRPr="003B7B35">
        <w:rPr>
          <w:rtl/>
        </w:rPr>
        <w:t>و</w:t>
      </w:r>
      <w:r w:rsidRPr="009D1ACE">
        <w:rPr>
          <w:rStyle w:val="libFootnoteBoldChar"/>
          <w:rtl/>
        </w:rPr>
        <w:t>الوافي</w:t>
      </w:r>
      <w:r w:rsidRPr="00132E65">
        <w:rPr>
          <w:rtl/>
        </w:rPr>
        <w:t xml:space="preserve"> على الترتيب المذكور ، خلافاً للترتيب الذي في المطبوع.</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(4).</w:t>
            </w:r>
            <w:r w:rsidRPr="00132E65">
              <w:rPr>
                <w:rtl/>
              </w:rPr>
              <w:t xml:space="preserve"> في البحار : « عنده »</w:t>
            </w:r>
            <w:r>
              <w:rPr>
                <w:rtl/>
              </w:rPr>
              <w:t>.</w:t>
            </w:r>
          </w:p>
        </w:tc>
        <w:tc>
          <w:tcPr>
            <w:tcW w:w="4006" w:type="dxa"/>
          </w:tcPr>
          <w:p w:rsidR="000C39D1" w:rsidRDefault="000C39D1" w:rsidP="00B53873">
            <w:pPr>
              <w:pStyle w:val="libFootnote0"/>
              <w:rPr>
                <w:rtl/>
              </w:rPr>
            </w:pPr>
            <w:r>
              <w:rPr>
                <w:rtl/>
              </w:rPr>
              <w:t>(5).</w:t>
            </w:r>
            <w:r w:rsidRPr="00132E65">
              <w:rPr>
                <w:rtl/>
              </w:rPr>
              <w:t xml:space="preserve"> في « بح » : « عن »</w:t>
            </w:r>
            <w:r>
              <w:rPr>
                <w:rtl/>
              </w:rPr>
              <w:t>.</w:t>
            </w:r>
          </w:p>
        </w:tc>
      </w:tr>
      <w:tr w:rsidR="000C39D1" w:rsidTr="00B53873">
        <w:tc>
          <w:tcPr>
            <w:tcW w:w="4006" w:type="dxa"/>
          </w:tcPr>
          <w:p w:rsidR="000C39D1" w:rsidRDefault="000C39D1" w:rsidP="00B53873">
            <w:pPr>
              <w:pStyle w:val="libFootnote0"/>
              <w:rPr>
                <w:rtl/>
              </w:rPr>
            </w:pPr>
            <w:r>
              <w:rPr>
                <w:rtl/>
              </w:rPr>
              <w:t>(6).</w:t>
            </w:r>
            <w:r w:rsidRPr="00132E65">
              <w:rPr>
                <w:rtl/>
              </w:rPr>
              <w:t xml:space="preserve"> في « ض » : « يحتاج »</w:t>
            </w:r>
            <w:r>
              <w:rPr>
                <w:rtl/>
              </w:rPr>
              <w:t>.</w:t>
            </w:r>
          </w:p>
        </w:tc>
        <w:tc>
          <w:tcPr>
            <w:tcW w:w="4006" w:type="dxa"/>
          </w:tcPr>
          <w:p w:rsidR="000C39D1" w:rsidRDefault="000C39D1" w:rsidP="00B53873">
            <w:pPr>
              <w:pStyle w:val="libFootnote0"/>
              <w:rPr>
                <w:rtl/>
              </w:rPr>
            </w:pPr>
            <w:r>
              <w:rPr>
                <w:rtl/>
              </w:rPr>
              <w:t>(7).</w:t>
            </w:r>
            <w:r w:rsidRPr="00132E65">
              <w:rPr>
                <w:rtl/>
              </w:rPr>
              <w:t xml:space="preserve"> في الوسائل ، ج 17 </w:t>
            </w:r>
            <w:r>
              <w:rPr>
                <w:rtl/>
              </w:rPr>
              <w:t xml:space="preserve">: - </w:t>
            </w:r>
            <w:r w:rsidRPr="00132E65">
              <w:rPr>
                <w:rtl/>
              </w:rPr>
              <w:t>« فى المأتم »</w:t>
            </w:r>
            <w:r>
              <w:rPr>
                <w:rtl/>
              </w:rPr>
              <w:t>.</w:t>
            </w:r>
          </w:p>
        </w:tc>
      </w:tr>
    </w:tbl>
    <w:p w:rsidR="000C39D1" w:rsidRPr="00132E65" w:rsidRDefault="000C39D1" w:rsidP="000C39D1">
      <w:pPr>
        <w:pStyle w:val="libFootnote0"/>
        <w:rPr>
          <w:rtl/>
          <w:lang w:bidi="fa-IR"/>
        </w:rPr>
      </w:pPr>
      <w:r>
        <w:rPr>
          <w:rtl/>
        </w:rPr>
        <w:t>(8).</w:t>
      </w:r>
      <w:r w:rsidRPr="00132E65">
        <w:rPr>
          <w:rtl/>
        </w:rPr>
        <w:t xml:space="preserve"> « الهُجْرُ » : هو الهَذَيان والقبيح من القول ، من أهجر في منطقه ، إذا أفحش وإذا أكثر الكلام في ما لا ينبغي. وهَجَرَ ، إذا خَلَطَ في كلامه ، وإذا هذى. والاسم الهُجْرُ. راجع : </w:t>
      </w:r>
      <w:r w:rsidRPr="003B7B35">
        <w:rPr>
          <w:rtl/>
        </w:rPr>
        <w:t>النهاية</w:t>
      </w:r>
      <w:r w:rsidRPr="00132E65">
        <w:rPr>
          <w:rtl/>
        </w:rPr>
        <w:t xml:space="preserve"> ، ج 5 ، ص 245 ( هجر )</w:t>
      </w:r>
      <w:r>
        <w:rPr>
          <w:rtl/>
        </w:rPr>
        <w:t>.</w:t>
      </w:r>
    </w:p>
    <w:p w:rsidR="000C39D1" w:rsidRPr="00132E65" w:rsidRDefault="000C39D1" w:rsidP="000C39D1">
      <w:pPr>
        <w:pStyle w:val="libFootnote0"/>
        <w:rPr>
          <w:rtl/>
          <w:lang w:bidi="fa-IR"/>
        </w:rPr>
      </w:pPr>
      <w:r>
        <w:rPr>
          <w:rtl/>
        </w:rPr>
        <w:t>(9).</w:t>
      </w:r>
      <w:r w:rsidRPr="00132E65">
        <w:rPr>
          <w:rtl/>
        </w:rPr>
        <w:t xml:space="preserve"> في الوسائل : « جاءها »</w:t>
      </w:r>
      <w:r>
        <w:rPr>
          <w:rtl/>
        </w:rPr>
        <w:t>.</w:t>
      </w:r>
    </w:p>
    <w:p w:rsidR="000C39D1" w:rsidRPr="00132E65" w:rsidRDefault="000C39D1" w:rsidP="000C39D1">
      <w:pPr>
        <w:pStyle w:val="libFootnote0"/>
        <w:rPr>
          <w:rtl/>
          <w:lang w:bidi="fa-IR"/>
        </w:rPr>
      </w:pPr>
      <w:r>
        <w:rPr>
          <w:rtl/>
        </w:rPr>
        <w:t>(10).</w:t>
      </w:r>
      <w:r w:rsidRPr="00132E65">
        <w:rPr>
          <w:rtl/>
        </w:rPr>
        <w:t xml:space="preserve"> « الغُدْوَةُ » : ما بين صلاة الغداة ، وطلوع الشمس. والغَدْوَةُ : المرّة من الغُدُوّ ، وهو سير أوّل النهار. والمعنى : جئناه بُكْرَةً. راجع : </w:t>
      </w:r>
      <w:r w:rsidRPr="003B7B35">
        <w:rPr>
          <w:rtl/>
        </w:rPr>
        <w:t>النهاية</w:t>
      </w:r>
      <w:r w:rsidRPr="00132E65">
        <w:rPr>
          <w:rtl/>
        </w:rPr>
        <w:t xml:space="preserve"> ، ج 3 ، ص 346 ( غدا )</w:t>
      </w:r>
      <w:r>
        <w:rPr>
          <w:rtl/>
        </w:rPr>
        <w:t>.</w:t>
      </w:r>
    </w:p>
    <w:p w:rsidR="000C39D1" w:rsidRPr="00132E65" w:rsidRDefault="000C39D1" w:rsidP="000C39D1">
      <w:pPr>
        <w:pStyle w:val="libFootnote0"/>
        <w:rPr>
          <w:rtl/>
          <w:lang w:bidi="fa-IR"/>
        </w:rPr>
      </w:pPr>
      <w:r>
        <w:rPr>
          <w:rtl/>
        </w:rPr>
        <w:t>(11).</w:t>
      </w:r>
      <w:r w:rsidRPr="00132E65">
        <w:rPr>
          <w:rtl/>
        </w:rPr>
        <w:t xml:space="preserve"> « الاختزال » : الانفراد ، والحذف ، والاقتطاع. </w:t>
      </w:r>
      <w:r w:rsidRPr="003B7B35">
        <w:rPr>
          <w:rtl/>
        </w:rPr>
        <w:t>القاموس المحيط</w:t>
      </w:r>
      <w:r w:rsidRPr="00132E65">
        <w:rPr>
          <w:rtl/>
        </w:rPr>
        <w:t xml:space="preserve"> ، ج 2 ، ص 1312 ( خزل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(12).</w:t>
            </w:r>
            <w:r w:rsidRPr="00132E65">
              <w:rPr>
                <w:rtl/>
              </w:rPr>
              <w:t xml:space="preserve"> يعني موسى بن عبدالله.</w:t>
            </w:r>
          </w:p>
        </w:tc>
        <w:tc>
          <w:tcPr>
            <w:tcW w:w="4006" w:type="dxa"/>
          </w:tcPr>
          <w:p w:rsidR="000C39D1" w:rsidRDefault="000C39D1" w:rsidP="00B53873">
            <w:pPr>
              <w:pStyle w:val="libFootnote0"/>
              <w:rPr>
                <w:rtl/>
              </w:rPr>
            </w:pPr>
            <w:r>
              <w:rPr>
                <w:rtl/>
              </w:rPr>
              <w:t>(13)</w:t>
            </w:r>
            <w:r w:rsidRPr="00132E65">
              <w:rPr>
                <w:rtl/>
              </w:rPr>
              <w:t xml:space="preserve"> في « بح » و</w:t>
            </w:r>
            <w:r w:rsidRPr="009D1ACE">
              <w:rPr>
                <w:rStyle w:val="libFootnoteBoldChar"/>
                <w:rtl/>
              </w:rPr>
              <w:t>الوافي</w:t>
            </w:r>
            <w:r w:rsidRPr="00132E65">
              <w:rPr>
                <w:rtl/>
              </w:rPr>
              <w:t xml:space="preserve"> </w:t>
            </w:r>
            <w:r>
              <w:rPr>
                <w:rtl/>
              </w:rPr>
              <w:t xml:space="preserve">: - </w:t>
            </w:r>
            <w:r w:rsidRPr="00132E65">
              <w:rPr>
                <w:rtl/>
              </w:rPr>
              <w:t>« دار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دَارَ السَّرِقَةِ </w:t>
      </w:r>
      <w:r>
        <w:rPr>
          <w:rStyle w:val="libFootnotenumChar"/>
          <w:rtl/>
        </w:rPr>
        <w:t>(1)</w:t>
      </w:r>
      <w:r w:rsidRPr="00132E65">
        <w:rPr>
          <w:rtl/>
          <w:lang w:bidi="fa-IR"/>
        </w:rPr>
        <w:t xml:space="preserve"> ، فَقَالَتْ : هذَا </w:t>
      </w:r>
      <w:r>
        <w:rPr>
          <w:rStyle w:val="libFootnotenumChar"/>
          <w:rtl/>
        </w:rPr>
        <w:t>(2)</w:t>
      </w:r>
      <w:r w:rsidRPr="00132E65">
        <w:rPr>
          <w:rtl/>
          <w:lang w:bidi="fa-IR"/>
        </w:rPr>
        <w:t xml:space="preserve"> مَا اصْطَفى مَهْدِيُّنَا</w:t>
      </w:r>
      <w:r>
        <w:rPr>
          <w:rtl/>
          <w:lang w:bidi="fa-IR"/>
        </w:rPr>
        <w:t xml:space="preserve"> - </w:t>
      </w:r>
      <w:r w:rsidRPr="00132E65">
        <w:rPr>
          <w:rtl/>
          <w:lang w:bidi="fa-IR"/>
        </w:rPr>
        <w:t>تَعْنِي مُحَمَّدَ بْنَ عَبْدِ اللهِ بْنِ الْحَسَنِ تُمَازِحُهُ بِذلِكَ</w:t>
      </w:r>
      <w:r>
        <w:rPr>
          <w:rtl/>
          <w:lang w:bidi="fa-IR"/>
        </w:rPr>
        <w:t xml:space="preserve"> - </w:t>
      </w:r>
      <w:r w:rsidRPr="00132E65">
        <w:rPr>
          <w:rtl/>
          <w:lang w:bidi="fa-IR"/>
        </w:rPr>
        <w:t xml:space="preserve">فَقَالَ مُوسَى بْنُ عَبْدِ اللهِ : واللهِ ، لَأُخْبِرَنَّكُمْ </w:t>
      </w:r>
      <w:r>
        <w:rPr>
          <w:rStyle w:val="libFootnotenumChar"/>
          <w:rtl/>
        </w:rPr>
        <w:t>(3)</w:t>
      </w:r>
      <w:r w:rsidRPr="00132E65">
        <w:rPr>
          <w:rtl/>
          <w:lang w:bidi="fa-IR"/>
        </w:rPr>
        <w:t xml:space="preserve"> بِالْعَجَبِ :</w:t>
      </w:r>
    </w:p>
    <w:p w:rsidR="000C39D1" w:rsidRPr="00132E65" w:rsidRDefault="000C39D1" w:rsidP="000C39D1">
      <w:pPr>
        <w:pStyle w:val="libNormal"/>
        <w:rPr>
          <w:rtl/>
          <w:lang w:bidi="fa-IR"/>
        </w:rPr>
      </w:pPr>
      <w:r w:rsidRPr="00132E65">
        <w:rPr>
          <w:rtl/>
          <w:lang w:bidi="fa-IR"/>
        </w:rPr>
        <w:t>رَأَيْتُ أَبِي</w:t>
      </w:r>
      <w:r>
        <w:rPr>
          <w:rtl/>
          <w:lang w:bidi="fa-IR"/>
        </w:rPr>
        <w:t xml:space="preserve"> - </w:t>
      </w:r>
      <w:r w:rsidRPr="00132E65">
        <w:rPr>
          <w:rtl/>
          <w:lang w:bidi="fa-IR"/>
        </w:rPr>
        <w:t>رَحِمَهُ اللهُ</w:t>
      </w:r>
      <w:r>
        <w:rPr>
          <w:rtl/>
          <w:lang w:bidi="fa-IR"/>
        </w:rPr>
        <w:t xml:space="preserve"> - </w:t>
      </w:r>
      <w:r w:rsidRPr="00132E65">
        <w:rPr>
          <w:rtl/>
          <w:lang w:bidi="fa-IR"/>
        </w:rPr>
        <w:t xml:space="preserve">لَمَّا أَخَذَ فِي أَمْرِ مُحَمَّدِ بْنِ عَبْدِ اللهِ ، وأَجْمَعَ </w:t>
      </w:r>
      <w:r>
        <w:rPr>
          <w:rStyle w:val="libFootnotenumChar"/>
          <w:rtl/>
        </w:rPr>
        <w:t>(4)</w:t>
      </w:r>
      <w:r w:rsidRPr="00132E65">
        <w:rPr>
          <w:rtl/>
          <w:lang w:bidi="fa-IR"/>
        </w:rPr>
        <w:t xml:space="preserve"> عَلى لِقَاءِ أَصْحَابِهِ ، فَقَالَ : لَا</w:t>
      </w:r>
      <w:r>
        <w:rPr>
          <w:rFonts w:hint="cs"/>
          <w:rtl/>
          <w:lang w:bidi="fa-IR"/>
        </w:rPr>
        <w:t xml:space="preserve"> </w:t>
      </w:r>
      <w:r w:rsidRPr="00132E65">
        <w:rPr>
          <w:rtl/>
          <w:lang w:bidi="fa-IR"/>
        </w:rPr>
        <w:t>أَجِدُ ه</w:t>
      </w:r>
      <w:r>
        <w:rPr>
          <w:rtl/>
          <w:lang w:bidi="fa-IR"/>
        </w:rPr>
        <w:t>ذَا الْأَمْرَ يَسْتَقِيمُ إِل</w:t>
      </w:r>
      <w:r>
        <w:rPr>
          <w:rFonts w:hint="cs"/>
          <w:rtl/>
          <w:lang w:bidi="fa-IR"/>
        </w:rPr>
        <w:t>َّ</w:t>
      </w:r>
      <w:r>
        <w:rPr>
          <w:rtl/>
          <w:lang w:bidi="fa-IR"/>
        </w:rPr>
        <w:t>ا</w:t>
      </w:r>
      <w:r w:rsidRPr="00132E65">
        <w:rPr>
          <w:rtl/>
          <w:lang w:bidi="fa-IR"/>
        </w:rPr>
        <w:t xml:space="preserve"> </w:t>
      </w:r>
      <w:r>
        <w:rPr>
          <w:rStyle w:val="libFootnotenumChar"/>
          <w:rtl/>
        </w:rPr>
        <w:t>(5)</w:t>
      </w:r>
      <w:r w:rsidRPr="00132E65">
        <w:rPr>
          <w:rtl/>
          <w:lang w:bidi="fa-IR"/>
        </w:rPr>
        <w:t xml:space="preserve"> أَنْ أَلْقى أَبَا عَبْدِ اللهِ جَعْفَرَ بْنَ مُحَمَّدٍ ، فَانْطَلَقَ</w:t>
      </w:r>
      <w:r>
        <w:rPr>
          <w:rtl/>
          <w:lang w:bidi="fa-IR"/>
        </w:rPr>
        <w:t xml:space="preserve"> - </w:t>
      </w:r>
      <w:r w:rsidRPr="00132E65">
        <w:rPr>
          <w:rtl/>
          <w:lang w:bidi="fa-IR"/>
        </w:rPr>
        <w:t xml:space="preserve">وهُوَ مُتَّكٍ </w:t>
      </w:r>
      <w:r>
        <w:rPr>
          <w:rStyle w:val="libFootnotenumChar"/>
          <w:rtl/>
        </w:rPr>
        <w:t>(6)</w:t>
      </w:r>
      <w:r w:rsidRPr="00132E65">
        <w:rPr>
          <w:rtl/>
          <w:lang w:bidi="fa-IR"/>
        </w:rPr>
        <w:t xml:space="preserve"> عَلَيَّ</w:t>
      </w:r>
      <w:r>
        <w:rPr>
          <w:rtl/>
          <w:lang w:bidi="fa-IR"/>
        </w:rPr>
        <w:t xml:space="preserve"> - </w:t>
      </w:r>
      <w:r w:rsidRPr="00132E65">
        <w:rPr>
          <w:rtl/>
          <w:lang w:bidi="fa-IR"/>
        </w:rPr>
        <w:t xml:space="preserve">فَانْطَلَقْتُ مَعَهُ حَتّى أَتَيْنَا أَبَا عَبْدِ اللهِ </w:t>
      </w:r>
      <w:r w:rsidRPr="00071CF9">
        <w:rPr>
          <w:rStyle w:val="libAlaemChar"/>
          <w:rtl/>
        </w:rPr>
        <w:t>عليه‌السلام</w:t>
      </w:r>
      <w:r w:rsidRPr="00132E65">
        <w:rPr>
          <w:rtl/>
          <w:lang w:bidi="fa-IR"/>
        </w:rPr>
        <w:t xml:space="preserve"> ، فَلَقِينَاهُ خَارِجاً يُرِيدُ الْمَسْجِدَ ، فَاسْتَوْقَفَهُ أَبِي وكَلَّمَهُ ، فَقَالَ لَهُ أَبُو عَبْدِ اللهِ </w:t>
      </w:r>
      <w:r w:rsidRPr="00071CF9">
        <w:rPr>
          <w:rStyle w:val="libAlaemChar"/>
          <w:rtl/>
        </w:rPr>
        <w:t>عليه‌السلام</w:t>
      </w:r>
      <w:r w:rsidRPr="00132E65">
        <w:rPr>
          <w:rtl/>
          <w:lang w:bidi="fa-IR"/>
        </w:rPr>
        <w:t xml:space="preserve"> : « لَيْسَ هذَا مَوْضِعَ ذلِكَ ، نَلْتَقِي إِنْ شَاءَ اللهُ » فَرَجَعَ أَبِي </w:t>
      </w:r>
      <w:r>
        <w:rPr>
          <w:rStyle w:val="libFootnotenumChar"/>
          <w:rtl/>
        </w:rPr>
        <w:t>(7)</w:t>
      </w:r>
      <w:r w:rsidRPr="00132E65">
        <w:rPr>
          <w:rtl/>
          <w:lang w:bidi="fa-IR"/>
        </w:rPr>
        <w:t xml:space="preserve"> مَسْرُوراً.</w:t>
      </w:r>
    </w:p>
    <w:p w:rsidR="000C39D1" w:rsidRPr="00132E65" w:rsidRDefault="000C39D1" w:rsidP="000C39D1">
      <w:pPr>
        <w:pStyle w:val="libNormal"/>
        <w:rPr>
          <w:rtl/>
          <w:lang w:bidi="fa-IR"/>
        </w:rPr>
      </w:pPr>
      <w:r w:rsidRPr="00132E65">
        <w:rPr>
          <w:rtl/>
          <w:lang w:bidi="fa-IR"/>
        </w:rPr>
        <w:t xml:space="preserve">ثُمَّ أَقَامَ حَتّى إِذَا كَانَ الْغَدُ أَوْ بَعْدَهُ بِيَوْمٍ ، انْطَلَقْنَا حَتّى أَتَيْنَاهُ ، فَدَخَلَ عَلَيْهِ أَبِي وأَنَا مَعَهُ ، فَابْتَدَأَ </w:t>
      </w:r>
      <w:r>
        <w:rPr>
          <w:rStyle w:val="libFootnotenumChar"/>
          <w:rtl/>
        </w:rPr>
        <w:t>(8)</w:t>
      </w:r>
      <w:r w:rsidRPr="00132E65">
        <w:rPr>
          <w:rtl/>
          <w:lang w:bidi="fa-IR"/>
        </w:rPr>
        <w:t xml:space="preserve"> الْكَلَامَ </w:t>
      </w:r>
      <w:r>
        <w:rPr>
          <w:rStyle w:val="libFootnotenumChar"/>
          <w:rtl/>
        </w:rPr>
        <w:t>(9)</w:t>
      </w:r>
      <w:r w:rsidRPr="00132E65">
        <w:rPr>
          <w:rtl/>
          <w:lang w:bidi="fa-IR"/>
        </w:rPr>
        <w:t xml:space="preserve"> ، ثُمَّ قَالَ لَهُ فِيمَا يَقُولُ : قَدْ عَلِمْتَ</w:t>
      </w:r>
      <w:r>
        <w:rPr>
          <w:rtl/>
          <w:lang w:bidi="fa-IR"/>
        </w:rPr>
        <w:t xml:space="preserve"> - </w:t>
      </w:r>
      <w:r w:rsidRPr="00132E65">
        <w:rPr>
          <w:rtl/>
          <w:lang w:bidi="fa-IR"/>
        </w:rPr>
        <w:t>جُعِلْتُ فِدَاكَ</w:t>
      </w:r>
      <w:r>
        <w:rPr>
          <w:rtl/>
          <w:lang w:bidi="fa-IR"/>
        </w:rPr>
        <w:t xml:space="preserve"> - </w:t>
      </w:r>
      <w:r w:rsidRPr="00132E65">
        <w:rPr>
          <w:rtl/>
          <w:lang w:bidi="fa-IR"/>
        </w:rPr>
        <w:t xml:space="preserve">أَنَّ السِّنَّ لِي عَلَيْكَ ، وأَنَّ </w:t>
      </w:r>
      <w:r>
        <w:rPr>
          <w:rStyle w:val="libFootnotenumChar"/>
          <w:rtl/>
        </w:rPr>
        <w:t>(10)</w:t>
      </w:r>
      <w:r w:rsidRPr="00132E65">
        <w:rPr>
          <w:rtl/>
          <w:lang w:bidi="fa-IR"/>
        </w:rPr>
        <w:t xml:space="preserve"> فِي قَوْمِكَ مَنْ هُوَ أَسَنُّ مِنْكَ ، ولكِنَّ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قَدْ قَدَّمَ لَكَ فَضْلاً لَيْسَ هُوَ لِأَحَدٍ مِنْ قَوْمِكَ ، وقَدْ جِئْتُكَ مُعْتَمِداً </w:t>
      </w:r>
      <w:r>
        <w:rPr>
          <w:rStyle w:val="libFootnotenumChar"/>
          <w:rtl/>
        </w:rPr>
        <w:t>(11)</w:t>
      </w:r>
      <w:r w:rsidRPr="00132E65">
        <w:rPr>
          <w:rtl/>
          <w:lang w:bidi="fa-IR"/>
        </w:rPr>
        <w:t xml:space="preserve"> لِمَا أَعْلَمُ مِنْ بِرِّكَ ، وأَعْلَمُ </w:t>
      </w:r>
      <w:r>
        <w:rPr>
          <w:rStyle w:val="libFootnotenumChar"/>
          <w:rtl/>
        </w:rPr>
        <w:t>(12)</w:t>
      </w:r>
      <w:r>
        <w:rPr>
          <w:rtl/>
          <w:lang w:bidi="fa-IR"/>
        </w:rPr>
        <w:t xml:space="preserve"> - </w:t>
      </w:r>
      <w:r w:rsidRPr="00132E65">
        <w:rPr>
          <w:rtl/>
          <w:lang w:bidi="fa-IR"/>
        </w:rPr>
        <w:t>فَدَيْتُكَ</w:t>
      </w:r>
      <w:r>
        <w:rPr>
          <w:rtl/>
          <w:lang w:bidi="fa-IR"/>
        </w:rPr>
        <w:t xml:space="preserve"> - </w:t>
      </w:r>
      <w:r w:rsidRPr="00132E65">
        <w:rPr>
          <w:rtl/>
          <w:lang w:bidi="fa-IR"/>
        </w:rPr>
        <w:t>أَنَّكَ إِذَا أَجَبْتَنِي لَمْ يَتَخَلَّفْ عَنِّي أَحَدٌ مِنْ أَصْحَابِكَ ، ولَمْ يَخْتَلِفْ عَلَيَّ اثْنَانِ مِنْ قُرَيْشٍ ولَاغَيْرِهِمْ.</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إِنَّكَ تَجِدُ غَيْرِي أَطْوَعَ لَكَ مِنِّي ، ولَاحَاجَةَ لَكَ فِيَّ </w:t>
      </w:r>
      <w:r w:rsidRPr="00F543F1">
        <w:rPr>
          <w:rStyle w:val="libFootnotenumChar"/>
          <w:rtl/>
        </w:rPr>
        <w:t>(</w:t>
      </w:r>
      <w:r w:rsidRPr="00F543F1">
        <w:rPr>
          <w:rStyle w:val="libFootnotenumChar"/>
          <w:rFonts w:hint="cs"/>
          <w:rtl/>
        </w:rPr>
        <w:t>13</w:t>
      </w:r>
      <w:r w:rsidRPr="00F543F1">
        <w:rPr>
          <w:rStyle w:val="libFootnotenumChar"/>
          <w:rtl/>
        </w:rPr>
        <w:t>)</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البحار : « السرق »</w:t>
            </w:r>
            <w:r>
              <w:rPr>
                <w:rtl/>
              </w:rPr>
              <w:t>.</w:t>
            </w:r>
          </w:p>
        </w:tc>
        <w:tc>
          <w:tcPr>
            <w:tcW w:w="4006" w:type="dxa"/>
          </w:tcPr>
          <w:p w:rsidR="000C39D1" w:rsidRDefault="000C39D1" w:rsidP="00B53873">
            <w:pPr>
              <w:pStyle w:val="libFootnote0"/>
              <w:rPr>
                <w:rtl/>
              </w:rPr>
            </w:pPr>
            <w:r>
              <w:rPr>
                <w:rtl/>
              </w:rPr>
              <w:t>(2).</w:t>
            </w:r>
            <w:r w:rsidRPr="00132E65">
              <w:rPr>
                <w:rtl/>
              </w:rPr>
              <w:t xml:space="preserve"> في « ب » : « هذه »</w:t>
            </w:r>
            <w:r>
              <w:rPr>
                <w:rtl/>
              </w:rPr>
              <w:t>.</w:t>
            </w:r>
          </w:p>
        </w:tc>
      </w:tr>
    </w:tbl>
    <w:p w:rsidR="000C39D1" w:rsidRPr="00132E65" w:rsidRDefault="000C39D1" w:rsidP="000C39D1">
      <w:pPr>
        <w:pStyle w:val="libFootnote0"/>
        <w:rPr>
          <w:rtl/>
          <w:lang w:bidi="fa-IR"/>
        </w:rPr>
      </w:pPr>
      <w:r>
        <w:rPr>
          <w:rtl/>
        </w:rPr>
        <w:t>(3).</w:t>
      </w:r>
      <w:r w:rsidRPr="00132E65">
        <w:rPr>
          <w:rtl/>
        </w:rPr>
        <w:t xml:space="preserve"> في « بر » : « لأخبرتك »</w:t>
      </w:r>
      <w:r>
        <w:rPr>
          <w:rtl/>
        </w:rPr>
        <w:t>.</w:t>
      </w:r>
    </w:p>
    <w:p w:rsidR="000C39D1" w:rsidRPr="00132E65" w:rsidRDefault="000C39D1" w:rsidP="000C39D1">
      <w:pPr>
        <w:pStyle w:val="libFootnote0"/>
        <w:rPr>
          <w:rtl/>
          <w:lang w:bidi="fa-IR"/>
        </w:rPr>
      </w:pPr>
      <w:r>
        <w:rPr>
          <w:rtl/>
        </w:rPr>
        <w:t>(4).</w:t>
      </w:r>
      <w:r w:rsidRPr="00132E65">
        <w:rPr>
          <w:rtl/>
        </w:rPr>
        <w:t xml:space="preserve"> « أجمع » أي عزم. والإجماع : إحكام النيّة والعزيمة. راجع : </w:t>
      </w:r>
      <w:r w:rsidRPr="003662C8">
        <w:rPr>
          <w:rtl/>
        </w:rPr>
        <w:t>النهاية</w:t>
      </w:r>
      <w:r w:rsidRPr="00132E65">
        <w:rPr>
          <w:rtl/>
        </w:rPr>
        <w:t xml:space="preserve"> ، ج 1 ، ص 296 ( جمع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حاشية « ج » : « إلى »</w:t>
            </w:r>
            <w:r>
              <w:rPr>
                <w:rtl/>
              </w:rPr>
              <w:t>.</w:t>
            </w:r>
          </w:p>
        </w:tc>
        <w:tc>
          <w:tcPr>
            <w:tcW w:w="4006" w:type="dxa"/>
          </w:tcPr>
          <w:p w:rsidR="000C39D1" w:rsidRDefault="000C39D1" w:rsidP="00B53873">
            <w:pPr>
              <w:pStyle w:val="libFootnote0"/>
              <w:rPr>
                <w:rtl/>
              </w:rPr>
            </w:pPr>
            <w:r>
              <w:rPr>
                <w:rtl/>
              </w:rPr>
              <w:t>(6).</w:t>
            </w:r>
            <w:r w:rsidRPr="00132E65">
              <w:rPr>
                <w:rtl/>
              </w:rPr>
              <w:t xml:space="preserve"> في البحار : « متّكئ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البحار : « إليّ »</w:t>
            </w:r>
            <w:r>
              <w:rPr>
                <w:rtl/>
              </w:rPr>
              <w:t>.</w:t>
            </w:r>
          </w:p>
        </w:tc>
        <w:tc>
          <w:tcPr>
            <w:tcW w:w="4006" w:type="dxa"/>
          </w:tcPr>
          <w:p w:rsidR="000C39D1" w:rsidRDefault="000C39D1" w:rsidP="00B53873">
            <w:pPr>
              <w:pStyle w:val="libFootnote0"/>
              <w:rPr>
                <w:rtl/>
              </w:rPr>
            </w:pPr>
            <w:r>
              <w:rPr>
                <w:rtl/>
              </w:rPr>
              <w:t>(8).</w:t>
            </w:r>
            <w:r w:rsidRPr="00132E65">
              <w:rPr>
                <w:rtl/>
              </w:rPr>
              <w:t xml:space="preserve"> في حاشية « بح » : « فابتدأنا »</w:t>
            </w:r>
            <w:r>
              <w:rPr>
                <w:rtl/>
              </w:rPr>
              <w:t>.</w:t>
            </w:r>
          </w:p>
        </w:tc>
      </w:tr>
      <w:tr w:rsidR="000C39D1" w:rsidTr="00B53873">
        <w:tc>
          <w:tcPr>
            <w:tcW w:w="4006" w:type="dxa"/>
          </w:tcPr>
          <w:p w:rsidR="000C39D1" w:rsidRDefault="000C39D1" w:rsidP="00B53873">
            <w:pPr>
              <w:pStyle w:val="libFootnote0"/>
              <w:rPr>
                <w:rtl/>
              </w:rPr>
            </w:pPr>
            <w:r>
              <w:rPr>
                <w:rtl/>
              </w:rPr>
              <w:t>(9).</w:t>
            </w:r>
            <w:r w:rsidRPr="00132E65">
              <w:rPr>
                <w:rtl/>
              </w:rPr>
              <w:t xml:space="preserve"> في « بح » : « بالكلام »</w:t>
            </w:r>
            <w:r>
              <w:rPr>
                <w:rtl/>
              </w:rPr>
              <w:t>.</w:t>
            </w:r>
          </w:p>
        </w:tc>
        <w:tc>
          <w:tcPr>
            <w:tcW w:w="4006" w:type="dxa"/>
          </w:tcPr>
          <w:p w:rsidR="000C39D1" w:rsidRDefault="000C39D1" w:rsidP="00B53873">
            <w:pPr>
              <w:pStyle w:val="libFootnote0"/>
              <w:rPr>
                <w:rtl/>
              </w:rPr>
            </w:pPr>
            <w:r>
              <w:rPr>
                <w:rtl/>
              </w:rPr>
              <w:t>(10).</w:t>
            </w:r>
            <w:r w:rsidRPr="00132E65">
              <w:rPr>
                <w:rtl/>
              </w:rPr>
              <w:t xml:space="preserve"> في البحار : « فإنّ »</w:t>
            </w:r>
            <w:r>
              <w:rPr>
                <w:rtl/>
              </w:rPr>
              <w:t>.</w:t>
            </w:r>
          </w:p>
        </w:tc>
      </w:tr>
    </w:tbl>
    <w:p w:rsidR="000C39D1" w:rsidRPr="00132E65" w:rsidRDefault="000C39D1" w:rsidP="000C39D1">
      <w:pPr>
        <w:pStyle w:val="libFootnote0"/>
        <w:rPr>
          <w:rtl/>
          <w:lang w:bidi="fa-IR"/>
        </w:rPr>
      </w:pPr>
      <w:r>
        <w:rPr>
          <w:rtl/>
        </w:rPr>
        <w:t>(11).</w:t>
      </w:r>
      <w:r w:rsidRPr="00132E65">
        <w:rPr>
          <w:rtl/>
        </w:rPr>
        <w:t xml:space="preserve"> في « ف » : « متعمّداً »</w:t>
      </w:r>
      <w:r>
        <w:rPr>
          <w:rtl/>
        </w:rPr>
        <w:t>.</w:t>
      </w:r>
    </w:p>
    <w:p w:rsidR="000C39D1" w:rsidRPr="00132E65" w:rsidRDefault="000C39D1" w:rsidP="000C39D1">
      <w:pPr>
        <w:pStyle w:val="libFootnote0"/>
        <w:rPr>
          <w:rtl/>
          <w:lang w:bidi="fa-IR"/>
        </w:rPr>
      </w:pPr>
      <w:r>
        <w:rPr>
          <w:rtl/>
        </w:rPr>
        <w:t>(12). احتمل العل</w:t>
      </w:r>
      <w:r>
        <w:rPr>
          <w:rFonts w:hint="cs"/>
          <w:rtl/>
        </w:rPr>
        <w:t>ّ</w:t>
      </w:r>
      <w:r>
        <w:rPr>
          <w:rtl/>
        </w:rPr>
        <w:t>ا</w:t>
      </w:r>
      <w:r w:rsidRPr="00132E65">
        <w:rPr>
          <w:rtl/>
        </w:rPr>
        <w:t xml:space="preserve">مة المجلسي على بُعدٍ كون « اعلم » على صيغة الأمر. راجع : </w:t>
      </w:r>
      <w:r w:rsidRPr="009D1ACE">
        <w:rPr>
          <w:rStyle w:val="libFootnoteBoldChar"/>
          <w:rtl/>
        </w:rPr>
        <w:t>مرآة العقول</w:t>
      </w:r>
      <w:r w:rsidRPr="00132E65">
        <w:rPr>
          <w:rtl/>
        </w:rPr>
        <w:t xml:space="preserve"> ، ج 4 ، ص 125.</w:t>
      </w:r>
    </w:p>
    <w:p w:rsidR="000C39D1" w:rsidRPr="00132E65" w:rsidRDefault="000C39D1" w:rsidP="000C39D1">
      <w:pPr>
        <w:pStyle w:val="libFootnote0"/>
        <w:rPr>
          <w:rtl/>
          <w:lang w:bidi="fa-IR"/>
        </w:rPr>
      </w:pPr>
      <w:r>
        <w:rPr>
          <w:rtl/>
        </w:rPr>
        <w:t>(13)</w:t>
      </w:r>
      <w:r w:rsidRPr="00132E65">
        <w:rPr>
          <w:rtl/>
        </w:rPr>
        <w:t xml:space="preserve"> في « البحار » </w:t>
      </w:r>
      <w:r>
        <w:rPr>
          <w:rtl/>
        </w:rPr>
        <w:t xml:space="preserve">: - </w:t>
      </w:r>
      <w:r w:rsidRPr="00132E65">
        <w:rPr>
          <w:rtl/>
        </w:rPr>
        <w:t>« فيّ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فَوَ اللهِ ، إِنَّكَ لَتَعْلَمُ أَنِّي أُرِيدُ الْبَادِيَةَ أَوْ </w:t>
      </w:r>
      <w:r>
        <w:rPr>
          <w:rStyle w:val="libFootnotenumChar"/>
          <w:rFonts w:hint="cs"/>
          <w:rtl/>
        </w:rPr>
        <w:t>(1)</w:t>
      </w:r>
      <w:r w:rsidRPr="00132E65">
        <w:rPr>
          <w:rtl/>
          <w:lang w:bidi="fa-IR"/>
        </w:rPr>
        <w:t xml:space="preserve"> أَهُمُّ بِهَا </w:t>
      </w:r>
      <w:r>
        <w:rPr>
          <w:rStyle w:val="libFootnotenumChar"/>
          <w:rtl/>
        </w:rPr>
        <w:t>(2)</w:t>
      </w:r>
      <w:r w:rsidRPr="00132E65">
        <w:rPr>
          <w:rtl/>
          <w:lang w:bidi="fa-IR"/>
        </w:rPr>
        <w:t xml:space="preserve"> ، فَأَثْقُلُ </w:t>
      </w:r>
      <w:r>
        <w:rPr>
          <w:rStyle w:val="libFootnotenumChar"/>
          <w:rtl/>
        </w:rPr>
        <w:t>(3)</w:t>
      </w:r>
      <w:r w:rsidRPr="00132E65">
        <w:rPr>
          <w:rtl/>
          <w:lang w:bidi="fa-IR"/>
        </w:rPr>
        <w:t xml:space="preserve"> عَنْهَا ، وأُرِيدُ </w:t>
      </w:r>
      <w:r>
        <w:rPr>
          <w:rtl/>
          <w:lang w:bidi="fa-IR"/>
        </w:rPr>
        <w:t>الْحَجَّ فَمَا أُدْرِكُهُ إِل</w:t>
      </w:r>
      <w:r>
        <w:rPr>
          <w:rFonts w:hint="cs"/>
          <w:rtl/>
        </w:rPr>
        <w:t>َّ</w:t>
      </w:r>
      <w:r>
        <w:rPr>
          <w:rtl/>
          <w:lang w:bidi="fa-IR"/>
        </w:rPr>
        <w:t>ا</w:t>
      </w:r>
      <w:r w:rsidRPr="00132E65">
        <w:rPr>
          <w:rtl/>
          <w:lang w:bidi="fa-IR"/>
        </w:rPr>
        <w:t xml:space="preserve"> بَعْدَ كَدٍّ وتَعَبٍ ومَشَقَّةٍ عَلى نَفْسِي ؛ فَاطْلُبْ غَيْرِي ، وسَلْهُ ذلِكَ ، ولَاتُعْلِمْهُمْ أَنَّكَ جِئْتَنِي »</w:t>
      </w:r>
      <w:r>
        <w:rPr>
          <w:rtl/>
          <w:lang w:bidi="fa-IR"/>
        </w:rPr>
        <w:t>.</w:t>
      </w:r>
    </w:p>
    <w:p w:rsidR="000C39D1" w:rsidRPr="00132E65" w:rsidRDefault="000C39D1" w:rsidP="000C39D1">
      <w:pPr>
        <w:pStyle w:val="libNormal"/>
        <w:rPr>
          <w:rtl/>
          <w:lang w:bidi="fa-IR"/>
        </w:rPr>
      </w:pPr>
      <w:r w:rsidRPr="00132E65">
        <w:rPr>
          <w:rtl/>
          <w:lang w:bidi="fa-IR"/>
        </w:rPr>
        <w:t xml:space="preserve">فَقَالَ لَهُ : إِنَّ النَّاسَ مَادُّونَ أَعْنَاقَهُمْ إِلَيْكَ ، وإِنْ أَجَبْتَنِي لَمْ يَتَخَلَّفْ عَنِّي </w:t>
      </w:r>
      <w:r>
        <w:rPr>
          <w:rStyle w:val="libFootnotenumChar"/>
          <w:rtl/>
        </w:rPr>
        <w:t>(4)</w:t>
      </w:r>
      <w:r w:rsidRPr="00132E65">
        <w:rPr>
          <w:rtl/>
          <w:lang w:bidi="fa-IR"/>
        </w:rPr>
        <w:t xml:space="preserve"> أَحَدٌ ، وَلَكَ أَنْ لَاتُكَلَّفَ قِتَالاً ولَامَكْرُوهاً.</w:t>
      </w:r>
    </w:p>
    <w:p w:rsidR="000C39D1" w:rsidRPr="00132E65" w:rsidRDefault="000C39D1" w:rsidP="000C39D1">
      <w:pPr>
        <w:pStyle w:val="libNormal"/>
        <w:rPr>
          <w:rtl/>
          <w:lang w:bidi="fa-IR"/>
        </w:rPr>
      </w:pPr>
      <w:r w:rsidRPr="00132E65">
        <w:rPr>
          <w:rtl/>
          <w:lang w:bidi="fa-IR"/>
        </w:rPr>
        <w:t>قَالَ : وهَجَمَ عَلَيْنَا نَاسٌ فَدَخَلُوا ، وقَطَعُوا كَلَامَنَا ، فَقَالَ أَبِي : جُعِلْتُ فِدَاكَ ، مَا تَقُولُ</w:t>
      </w:r>
      <w:r>
        <w:rPr>
          <w:rtl/>
          <w:lang w:bidi="fa-IR"/>
        </w:rPr>
        <w:t>؟</w:t>
      </w:r>
      <w:r w:rsidRPr="00132E65">
        <w:rPr>
          <w:rtl/>
          <w:lang w:bidi="fa-IR"/>
        </w:rPr>
        <w:t xml:space="preserve"> فَقَالَ : « نَلْتَقِي إِنْ شَاءَ اللهُ »</w:t>
      </w:r>
      <w:r>
        <w:rPr>
          <w:rtl/>
          <w:lang w:bidi="fa-IR"/>
        </w:rPr>
        <w:t>. فَقَالَ : أَ</w:t>
      </w:r>
      <w:r w:rsidRPr="00132E65">
        <w:rPr>
          <w:rtl/>
          <w:lang w:bidi="fa-IR"/>
        </w:rPr>
        <w:t>لَيْسَ عَلى مَا أُحِبُّ</w:t>
      </w:r>
      <w:r>
        <w:rPr>
          <w:rtl/>
          <w:lang w:bidi="fa-IR"/>
        </w:rPr>
        <w:t>؟</w:t>
      </w:r>
      <w:r w:rsidRPr="00132E65">
        <w:rPr>
          <w:rtl/>
          <w:lang w:bidi="fa-IR"/>
        </w:rPr>
        <w:t xml:space="preserve"> فَقَالَ </w:t>
      </w:r>
      <w:r>
        <w:rPr>
          <w:rStyle w:val="libFootnotenumChar"/>
          <w:rtl/>
        </w:rPr>
        <w:t>(5)</w:t>
      </w:r>
      <w:r w:rsidRPr="00132E65">
        <w:rPr>
          <w:rtl/>
          <w:lang w:bidi="fa-IR"/>
        </w:rPr>
        <w:t xml:space="preserve"> : « عَلى مَا تُحِبُّ</w:t>
      </w:r>
      <w:r>
        <w:rPr>
          <w:rtl/>
          <w:lang w:bidi="fa-IR"/>
        </w:rPr>
        <w:t xml:space="preserve"> - </w:t>
      </w:r>
      <w:r w:rsidRPr="00132E65">
        <w:rPr>
          <w:rtl/>
          <w:lang w:bidi="fa-IR"/>
        </w:rPr>
        <w:t>إِنْ شَاءَ اللهُ</w:t>
      </w:r>
      <w:r>
        <w:rPr>
          <w:rtl/>
          <w:lang w:bidi="fa-IR"/>
        </w:rPr>
        <w:t xml:space="preserve"> - </w:t>
      </w:r>
      <w:r w:rsidRPr="00132E65">
        <w:rPr>
          <w:rtl/>
          <w:lang w:bidi="fa-IR"/>
        </w:rPr>
        <w:t xml:space="preserve">مِنْ إِصْلَاحِكَ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ثُمَّ انْصَرَفَ حَتّى جَاءَ الْبَيْتَ ، فَبَعَثَ رَسُولاً إِلى مُحَمَّدٍ فِي جَبَلٍ بِجُهَيْنَةَ</w:t>
      </w:r>
      <w:r>
        <w:rPr>
          <w:rtl/>
          <w:lang w:bidi="fa-IR"/>
        </w:rPr>
        <w:t xml:space="preserve"> - </w:t>
      </w:r>
      <w:r w:rsidRPr="00132E65">
        <w:rPr>
          <w:rtl/>
          <w:lang w:bidi="fa-IR"/>
        </w:rPr>
        <w:t>يُقَالُ لَهُ :</w:t>
      </w:r>
      <w:r>
        <w:rPr>
          <w:rFonts w:hint="cs"/>
          <w:rtl/>
          <w:lang w:bidi="fa-IR"/>
        </w:rPr>
        <w:t xml:space="preserve"> </w:t>
      </w:r>
      <w:r w:rsidRPr="00132E65">
        <w:rPr>
          <w:rtl/>
          <w:lang w:bidi="fa-IR"/>
        </w:rPr>
        <w:t>الْأَشْقَرُ</w:t>
      </w:r>
      <w:r>
        <w:rPr>
          <w:rtl/>
          <w:lang w:bidi="fa-IR"/>
        </w:rPr>
        <w:t xml:space="preserve"> - </w:t>
      </w:r>
      <w:r w:rsidRPr="00132E65">
        <w:rPr>
          <w:rtl/>
          <w:lang w:bidi="fa-IR"/>
        </w:rPr>
        <w:t>عَلى لَيْلَتَيْنِ مِنَ الْمَدِينَةِ ، فَبَشَّرَهُ ، وأَعْلَمَهُ أَنَّهُ قَدْ ظَفِرَ لَهُ بِوَجْهِ حَاجَتِهِ ومَا طَلَبَ.</w:t>
      </w:r>
    </w:p>
    <w:p w:rsidR="000C39D1" w:rsidRPr="00132E65" w:rsidRDefault="000C39D1" w:rsidP="000C39D1">
      <w:pPr>
        <w:pStyle w:val="libNormal"/>
        <w:rPr>
          <w:rtl/>
          <w:lang w:bidi="fa-IR"/>
        </w:rPr>
      </w:pPr>
      <w:r w:rsidRPr="00132E65">
        <w:rPr>
          <w:rtl/>
          <w:lang w:bidi="fa-IR"/>
        </w:rPr>
        <w:t>ثُمَّ عَادَ بَعْدَ ثَلَاثَةِ أَيَّامٍ ، فَوُقِّفْنَا بِالْبَابِ</w:t>
      </w:r>
      <w:r>
        <w:rPr>
          <w:rtl/>
          <w:lang w:bidi="fa-IR"/>
        </w:rPr>
        <w:t xml:space="preserve"> - </w:t>
      </w:r>
      <w:r w:rsidRPr="00132E65">
        <w:rPr>
          <w:rtl/>
          <w:lang w:bidi="fa-IR"/>
        </w:rPr>
        <w:t xml:space="preserve">ولَمْ نَكُنْ نُحْجَبُ </w:t>
      </w:r>
      <w:r>
        <w:rPr>
          <w:rStyle w:val="libFootnotenumChar"/>
          <w:rtl/>
        </w:rPr>
        <w:t>(7)</w:t>
      </w:r>
      <w:r w:rsidRPr="00132E65">
        <w:rPr>
          <w:rtl/>
          <w:lang w:bidi="fa-IR"/>
        </w:rPr>
        <w:t xml:space="preserve"> إِذَا جِئْنَا</w:t>
      </w:r>
      <w:r>
        <w:rPr>
          <w:rtl/>
          <w:lang w:bidi="fa-IR"/>
        </w:rPr>
        <w:t xml:space="preserve"> - </w:t>
      </w:r>
      <w:r w:rsidRPr="00132E65">
        <w:rPr>
          <w:rtl/>
          <w:lang w:bidi="fa-IR"/>
        </w:rPr>
        <w:t xml:space="preserve">فَأَبْطَأَ الرَّسُولُ ، ثُمَّ أَذِنَ لَنَا ، فَدَخَلْنَا عَلَيْهِ ، فَجَلَسْتُ فِي نَاحِيَةِ الْحُجْرَةِ ، ودَنَا أَبِي إِلَيْهِ ، فَقَبَّلَ رَأْسَهُ ، ثُمَّ قَالَ </w:t>
      </w:r>
      <w:r>
        <w:rPr>
          <w:rStyle w:val="libFootnotenumChar"/>
          <w:rtl/>
        </w:rPr>
        <w:t>(8)</w:t>
      </w:r>
      <w:r w:rsidRPr="00132E65">
        <w:rPr>
          <w:rtl/>
          <w:lang w:bidi="fa-IR"/>
        </w:rPr>
        <w:t xml:space="preserve"> : جُعِلْتُ فِدَاكَ ، قَدْ عُدْتُ إِلَيْكَ رَاجِياً ، مُؤَمِّلاً ، قَدِ انْبَسَطَ رَجَائِي وأَمَلِي ، ورَجَوْتُ الدَّرْكَ </w:t>
      </w:r>
      <w:r>
        <w:rPr>
          <w:rStyle w:val="libFootnotenumChar"/>
          <w:rtl/>
        </w:rPr>
        <w:t>(9)</w:t>
      </w:r>
      <w:r w:rsidRPr="00132E65">
        <w:rPr>
          <w:rtl/>
          <w:lang w:bidi="fa-IR"/>
        </w:rPr>
        <w:t xml:space="preserve"> لِحَاجَتِي.</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يَا ابْنَ عَمِّ </w:t>
      </w:r>
      <w:r>
        <w:rPr>
          <w:rStyle w:val="libFootnotenumChar"/>
          <w:rtl/>
        </w:rPr>
        <w:t>(10)</w:t>
      </w:r>
      <w:r w:rsidRPr="00132E65">
        <w:rPr>
          <w:rtl/>
          <w:lang w:bidi="fa-IR"/>
        </w:rPr>
        <w:t xml:space="preserve"> ، إِنِّي أُعِيذُكَ بِاللهِ مِنَ التَّعَرُّضِ لِهذَا الْأَمْرِ‌</w:t>
      </w:r>
    </w:p>
    <w:p w:rsidR="000C39D1"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w:t>
      </w:r>
      <w:r>
        <w:rPr>
          <w:rtl/>
        </w:rPr>
        <w:t>و ».</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الهمّ : فوق الإرادة. ويحتمل أن يكون « أو » بمعنى « بل »</w:t>
      </w:r>
      <w:r>
        <w:rPr>
          <w:rtl/>
        </w:rPr>
        <w:t>.</w:t>
      </w:r>
      <w:r w:rsidRPr="00132E65">
        <w:rPr>
          <w:rtl/>
        </w:rPr>
        <w:t xml:space="preserve"> أو الشكّ من الراوي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ه‍ </w:t>
            </w:r>
            <w:r w:rsidR="00D14011" w:rsidRPr="00132E65">
              <w:rPr>
                <w:rtl/>
              </w:rPr>
              <w:t>»</w:t>
            </w:r>
            <w:r w:rsidRPr="00132E65">
              <w:rPr>
                <w:rtl/>
              </w:rPr>
              <w:t xml:space="preserve"> : « فأنقل »</w:t>
            </w:r>
            <w:r>
              <w:rPr>
                <w:rtl/>
              </w:rPr>
              <w:t>.</w:t>
            </w:r>
          </w:p>
        </w:tc>
        <w:tc>
          <w:tcPr>
            <w:tcW w:w="4006" w:type="dxa"/>
          </w:tcPr>
          <w:p w:rsidR="000C39D1" w:rsidRDefault="000C39D1" w:rsidP="00B53873">
            <w:pPr>
              <w:pStyle w:val="libFootnote0"/>
              <w:rPr>
                <w:rtl/>
              </w:rPr>
            </w:pPr>
            <w:r>
              <w:rPr>
                <w:rtl/>
              </w:rPr>
              <w:t>(4).</w:t>
            </w:r>
            <w:r w:rsidRPr="00132E65">
              <w:rPr>
                <w:rtl/>
              </w:rPr>
              <w:t xml:space="preserve"> في « ب » : « منّي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بس ، بف » و</w:t>
            </w:r>
            <w:r w:rsidRPr="009D1ACE">
              <w:rPr>
                <w:rStyle w:val="libFootnoteBoldChar"/>
                <w:rtl/>
              </w:rPr>
              <w:t>الوافي</w:t>
            </w:r>
            <w:r w:rsidRPr="00132E65">
              <w:rPr>
                <w:rtl/>
              </w:rPr>
              <w:t xml:space="preserve"> والبحار : « قال »</w:t>
            </w:r>
            <w:r>
              <w:rPr>
                <w:rtl/>
              </w:rPr>
              <w:t>.</w:t>
            </w:r>
          </w:p>
        </w:tc>
        <w:tc>
          <w:tcPr>
            <w:tcW w:w="4006" w:type="dxa"/>
          </w:tcPr>
          <w:p w:rsidR="000C39D1" w:rsidRDefault="000C39D1" w:rsidP="00B53873">
            <w:pPr>
              <w:pStyle w:val="libFootnote0"/>
              <w:rPr>
                <w:rtl/>
              </w:rPr>
            </w:pPr>
            <w:r>
              <w:rPr>
                <w:rtl/>
              </w:rPr>
              <w:t>(6).</w:t>
            </w:r>
            <w:r w:rsidRPr="00132E65">
              <w:rPr>
                <w:rtl/>
              </w:rPr>
              <w:t xml:space="preserve"> في « ب » والبحار : « إصلاح حالك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ه‍ </w:t>
            </w:r>
            <w:r w:rsidR="00D14011" w:rsidRPr="00132E65">
              <w:rPr>
                <w:rtl/>
              </w:rPr>
              <w:t>»</w:t>
            </w:r>
            <w:r w:rsidRPr="00132E65">
              <w:rPr>
                <w:rtl/>
              </w:rPr>
              <w:t xml:space="preserve"> : « فلم يكن يحجب »</w:t>
            </w:r>
            <w:r>
              <w:rPr>
                <w:rtl/>
              </w:rPr>
              <w:t>.</w:t>
            </w:r>
          </w:p>
        </w:tc>
        <w:tc>
          <w:tcPr>
            <w:tcW w:w="4006" w:type="dxa"/>
          </w:tcPr>
          <w:p w:rsidR="000C39D1" w:rsidRDefault="000C39D1" w:rsidP="00B53873">
            <w:pPr>
              <w:pStyle w:val="libFootnote0"/>
              <w:rPr>
                <w:rtl/>
              </w:rPr>
            </w:pPr>
            <w:r>
              <w:rPr>
                <w:rtl/>
              </w:rPr>
              <w:t>(8).</w:t>
            </w:r>
            <w:r w:rsidRPr="00132E65">
              <w:rPr>
                <w:rtl/>
              </w:rPr>
              <w:t xml:space="preserve"> في « ف »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(9).</w:t>
      </w:r>
      <w:r w:rsidRPr="00132E65">
        <w:rPr>
          <w:rtl/>
        </w:rPr>
        <w:t xml:space="preserve"> « الدَرْك » </w:t>
      </w:r>
      <w:r>
        <w:rPr>
          <w:rtl/>
        </w:rPr>
        <w:t>و «</w:t>
      </w:r>
      <w:r w:rsidRPr="00132E65">
        <w:rPr>
          <w:rtl/>
        </w:rPr>
        <w:t xml:space="preserve"> الدَرَك » : اللحاق والوصول إلى الشي‌ء. راجع : </w:t>
      </w:r>
      <w:r w:rsidRPr="009D1ACE">
        <w:rPr>
          <w:rStyle w:val="libFootnoteBoldChar"/>
          <w:rtl/>
        </w:rPr>
        <w:t>لسان العرب</w:t>
      </w:r>
      <w:r w:rsidRPr="00132E65">
        <w:rPr>
          <w:rtl/>
        </w:rPr>
        <w:t xml:space="preserve"> ، ج 10 ، ص 419 ( درك )</w:t>
      </w:r>
      <w:r>
        <w:rPr>
          <w:rtl/>
        </w:rPr>
        <w:t>.</w:t>
      </w:r>
    </w:p>
    <w:p w:rsidR="000C39D1" w:rsidRPr="00132E65" w:rsidRDefault="000C39D1" w:rsidP="00D14011">
      <w:pPr>
        <w:pStyle w:val="libFootnote0"/>
        <w:rPr>
          <w:rtl/>
          <w:lang w:bidi="fa-IR"/>
        </w:rPr>
      </w:pPr>
      <w:r>
        <w:rPr>
          <w:rtl/>
        </w:rPr>
        <w:t>(10).</w:t>
      </w:r>
      <w:r w:rsidRPr="00132E65">
        <w:rPr>
          <w:rtl/>
        </w:rPr>
        <w:t xml:space="preserve"> في « ب ، ه‍ </w:t>
      </w:r>
      <w:r w:rsidR="00D14011" w:rsidRPr="00132E65">
        <w:rPr>
          <w:rtl/>
        </w:rPr>
        <w:t>»</w:t>
      </w:r>
      <w:r w:rsidRPr="00132E65">
        <w:rPr>
          <w:rtl/>
        </w:rPr>
        <w:t xml:space="preserve"> : « عمّي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الَّذِي أَمْسَيْتَ فِيهِ ، وإِنِّي لَخَائِفٌ عَلَيْكَ أَنْ يَكْسِبَكَ شَرّاً »</w:t>
      </w:r>
      <w:r>
        <w:rPr>
          <w:rtl/>
          <w:lang w:bidi="fa-IR"/>
        </w:rPr>
        <w:t>.</w:t>
      </w:r>
    </w:p>
    <w:p w:rsidR="000C39D1" w:rsidRPr="00132E65" w:rsidRDefault="000C39D1" w:rsidP="000C39D1">
      <w:pPr>
        <w:pStyle w:val="libNormal"/>
        <w:rPr>
          <w:rtl/>
          <w:lang w:bidi="fa-IR"/>
        </w:rPr>
      </w:pPr>
      <w:r w:rsidRPr="00132E65">
        <w:rPr>
          <w:rtl/>
          <w:lang w:bidi="fa-IR"/>
        </w:rPr>
        <w:t xml:space="preserve">فَجَرَى الْكَلَامُ بَيْنَهُمَا حَتّى أَفْضى إِلى مَا لَمْ يَكُنْ يُرِيدُ </w:t>
      </w:r>
      <w:r>
        <w:rPr>
          <w:rStyle w:val="libFootnotenumChar"/>
          <w:rtl/>
        </w:rPr>
        <w:t>(1)</w:t>
      </w:r>
      <w:r w:rsidRPr="00132E65">
        <w:rPr>
          <w:rtl/>
          <w:lang w:bidi="fa-IR"/>
        </w:rPr>
        <w:t xml:space="preserve"> ، وكَانَ مِنْ قَوْلِهِ : بِأَيِّ شَيْ‌ءٍ كَانَ الْحُسَيْنُ أَحَقَّ بِهَا مِنْ الْحَسَنِ</w:t>
      </w:r>
      <w:r>
        <w:rPr>
          <w:rtl/>
          <w:lang w:bidi="fa-IR"/>
        </w:rPr>
        <w:t>؟</w:t>
      </w:r>
    </w:p>
    <w:p w:rsidR="000C39D1" w:rsidRPr="00132E65" w:rsidRDefault="000C39D1" w:rsidP="000C39D1">
      <w:pPr>
        <w:pStyle w:val="libNormal"/>
        <w:rPr>
          <w:rtl/>
          <w:lang w:bidi="fa-IR"/>
        </w:rPr>
      </w:pPr>
      <w:r w:rsidRPr="00132E65">
        <w:rPr>
          <w:rtl/>
          <w:lang w:bidi="fa-IR"/>
        </w:rPr>
        <w:t xml:space="preserve">فَقَالَ أَبُو عَبْدِ اللهِ </w:t>
      </w:r>
      <w:r w:rsidRPr="00071CF9">
        <w:rPr>
          <w:rStyle w:val="libAlaemChar"/>
          <w:rtl/>
        </w:rPr>
        <w:t>عليه‌السلام</w:t>
      </w:r>
      <w:r w:rsidRPr="00132E65">
        <w:rPr>
          <w:rtl/>
          <w:lang w:bidi="fa-IR"/>
        </w:rPr>
        <w:t xml:space="preserve"> : « رَحِمَ اللهُ الْحَسَنَ ورَحِمَ </w:t>
      </w:r>
      <w:r>
        <w:rPr>
          <w:rStyle w:val="libFootnotenumChar"/>
          <w:rtl/>
        </w:rPr>
        <w:t>(2)</w:t>
      </w:r>
      <w:r w:rsidRPr="00132E65">
        <w:rPr>
          <w:rtl/>
          <w:lang w:bidi="fa-IR"/>
        </w:rPr>
        <w:t xml:space="preserve"> الْحُسَيْنَ </w:t>
      </w:r>
      <w:r w:rsidRPr="00071CF9">
        <w:rPr>
          <w:rStyle w:val="libAlaemChar"/>
          <w:rtl/>
        </w:rPr>
        <w:t>عليهما‌السلام</w:t>
      </w:r>
      <w:r w:rsidRPr="00132E65">
        <w:rPr>
          <w:rtl/>
          <w:lang w:bidi="fa-IR"/>
        </w:rPr>
        <w:t xml:space="preserve"> ، وكَيْفَ ذَكَرْتَ هذَا</w:t>
      </w:r>
      <w:r>
        <w:rPr>
          <w:rtl/>
          <w:lang w:bidi="fa-IR"/>
        </w:rPr>
        <w:t>؟!</w:t>
      </w:r>
      <w:r w:rsidRPr="00132E65">
        <w:rPr>
          <w:rtl/>
          <w:lang w:bidi="fa-IR"/>
        </w:rPr>
        <w:t xml:space="preserve"> » قَالَ : لِأَنَّ الْحُسَيْنَ </w:t>
      </w:r>
      <w:r w:rsidRPr="00071CF9">
        <w:rPr>
          <w:rStyle w:val="libAlaemChar"/>
          <w:rtl/>
        </w:rPr>
        <w:t>عليه‌السلام</w:t>
      </w:r>
      <w:r w:rsidRPr="00132E65">
        <w:rPr>
          <w:rtl/>
          <w:lang w:bidi="fa-IR"/>
        </w:rPr>
        <w:t xml:space="preserve"> كَانَ يَنْبَغِي لَهُ</w:t>
      </w:r>
      <w:r>
        <w:rPr>
          <w:rtl/>
          <w:lang w:bidi="fa-IR"/>
        </w:rPr>
        <w:t xml:space="preserve"> - </w:t>
      </w:r>
      <w:r w:rsidRPr="00132E65">
        <w:rPr>
          <w:rtl/>
          <w:lang w:bidi="fa-IR"/>
        </w:rPr>
        <w:t>إِذَا عَدَلَ</w:t>
      </w:r>
      <w:r>
        <w:rPr>
          <w:rtl/>
          <w:lang w:bidi="fa-IR"/>
        </w:rPr>
        <w:t xml:space="preserve"> - </w:t>
      </w:r>
      <w:r w:rsidRPr="00132E65">
        <w:rPr>
          <w:rtl/>
          <w:lang w:bidi="fa-IR"/>
        </w:rPr>
        <w:t xml:space="preserve">أَنْ يَجْعَلَهَا فِي الْأَسَنِّ مِنْ ولْدِ الْحَسَنِ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(3)</w:t>
      </w:r>
      <w:r w:rsidRPr="00132E65">
        <w:rPr>
          <w:rtl/>
          <w:lang w:bidi="fa-IR"/>
        </w:rPr>
        <w:t xml:space="preserve"> أَبُو عَبْدِ اللهِ </w:t>
      </w:r>
      <w:r w:rsidRPr="00071CF9">
        <w:rPr>
          <w:rStyle w:val="libAlaemChar"/>
          <w:rtl/>
        </w:rPr>
        <w:t>عليه‌السلام</w:t>
      </w:r>
      <w:r w:rsidRPr="00132E65">
        <w:rPr>
          <w:rtl/>
          <w:lang w:bidi="fa-IR"/>
        </w:rPr>
        <w:t xml:space="preserve">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لَمَّا أَنْ أَوْحى إِلى مُحَمَّدٍ </w:t>
      </w:r>
      <w:r w:rsidRPr="0093484F">
        <w:rPr>
          <w:rStyle w:val="libAlaemChar"/>
          <w:rFonts w:eastAsiaTheme="minorHAnsi"/>
          <w:rtl/>
        </w:rPr>
        <w:t>صلى‌الله‌عليه‌وآله</w:t>
      </w:r>
      <w:r w:rsidRPr="00132E65">
        <w:rPr>
          <w:rtl/>
          <w:lang w:bidi="fa-IR"/>
        </w:rPr>
        <w:t xml:space="preserve"> ، أَوْحى إِلَيْهِ بِمَا شَاءَ ، ولَمْ يُؤَامِرْ </w:t>
      </w:r>
      <w:r>
        <w:rPr>
          <w:rStyle w:val="libFootnotenumChar"/>
          <w:rtl/>
        </w:rPr>
        <w:t>(4)</w:t>
      </w:r>
      <w:r w:rsidRPr="00132E65">
        <w:rPr>
          <w:rtl/>
          <w:lang w:bidi="fa-IR"/>
        </w:rPr>
        <w:t xml:space="preserve"> أَحَداً مِنْ </w:t>
      </w:r>
      <w:r>
        <w:rPr>
          <w:rStyle w:val="libFootnotenumChar"/>
          <w:rtl/>
        </w:rPr>
        <w:t>(5)</w:t>
      </w:r>
      <w:r w:rsidRPr="00132E65">
        <w:rPr>
          <w:rtl/>
          <w:lang w:bidi="fa-IR"/>
        </w:rPr>
        <w:t xml:space="preserve"> خَلْقِهِ ، وأَمَرَ مُحَمَّدٌ </w:t>
      </w:r>
      <w:r w:rsidRPr="0093484F">
        <w:rPr>
          <w:rStyle w:val="libAlaemChar"/>
          <w:rFonts w:eastAsiaTheme="minorHAnsi"/>
          <w:rtl/>
        </w:rPr>
        <w:t>صلى‌الله‌عليه‌وآله</w:t>
      </w:r>
      <w:r w:rsidRPr="00132E65">
        <w:rPr>
          <w:rtl/>
          <w:lang w:bidi="fa-IR"/>
        </w:rPr>
        <w:t xml:space="preserve"> عَلِيّاً </w:t>
      </w:r>
      <w:r w:rsidRPr="00071CF9">
        <w:rPr>
          <w:rStyle w:val="libAlaemChar"/>
          <w:rtl/>
        </w:rPr>
        <w:t>عليه‌السلام</w:t>
      </w:r>
      <w:r w:rsidRPr="00132E65">
        <w:rPr>
          <w:rtl/>
          <w:lang w:bidi="fa-IR"/>
        </w:rPr>
        <w:t xml:space="preserve"> بِمَا شَاءَ ، فَفَعَلَ مَا أُمِرَ بِهِ</w:t>
      </w:r>
      <w:r>
        <w:rPr>
          <w:rtl/>
          <w:lang w:bidi="fa-IR"/>
        </w:rPr>
        <w:t xml:space="preserve"> ، ولَسْنَا نَقُولُ فِيهِ إِل</w:t>
      </w:r>
      <w:r>
        <w:rPr>
          <w:rFonts w:hint="cs"/>
          <w:rtl/>
          <w:lang w:bidi="fa-IR"/>
        </w:rPr>
        <w:t>َّ</w:t>
      </w:r>
      <w:r>
        <w:rPr>
          <w:rtl/>
          <w:lang w:bidi="fa-IR"/>
        </w:rPr>
        <w:t>ا</w:t>
      </w:r>
      <w:r w:rsidRPr="00132E65">
        <w:rPr>
          <w:rtl/>
          <w:lang w:bidi="fa-IR"/>
        </w:rPr>
        <w:t xml:space="preserve"> مَا قَالَ رَسُولُ اللهِ </w:t>
      </w:r>
      <w:r w:rsidRPr="0093484F">
        <w:rPr>
          <w:rStyle w:val="libAlaemChar"/>
          <w:rFonts w:eastAsiaTheme="minorHAnsi"/>
          <w:rtl/>
        </w:rPr>
        <w:t>صلى‌الله‌عليه‌وآله</w:t>
      </w:r>
      <w:r w:rsidRPr="00132E65">
        <w:rPr>
          <w:rtl/>
          <w:lang w:bidi="fa-IR"/>
        </w:rPr>
        <w:t xml:space="preserve"> مِنْ تَبْجِيلِهِ </w:t>
      </w:r>
      <w:r>
        <w:rPr>
          <w:rStyle w:val="libFootnotenumChar"/>
          <w:rtl/>
        </w:rPr>
        <w:t>(6)</w:t>
      </w:r>
      <w:r w:rsidRPr="00132E65">
        <w:rPr>
          <w:rtl/>
          <w:lang w:bidi="fa-IR"/>
        </w:rPr>
        <w:t xml:space="preserve"> وتَصْدِيقِهِ ، فَلَوْ كَانَ أَمَرَ </w:t>
      </w:r>
      <w:r>
        <w:rPr>
          <w:rStyle w:val="libFootnotenumChar"/>
          <w:rtl/>
        </w:rPr>
        <w:t>(7)</w:t>
      </w:r>
      <w:r w:rsidRPr="00132E65">
        <w:rPr>
          <w:rtl/>
          <w:lang w:bidi="fa-IR"/>
        </w:rPr>
        <w:t xml:space="preserve"> الْحُسَيْنَ </w:t>
      </w:r>
      <w:r w:rsidRPr="00071CF9">
        <w:rPr>
          <w:rStyle w:val="libAlaemChar"/>
          <w:rtl/>
        </w:rPr>
        <w:t>عليه‌السلام</w:t>
      </w:r>
      <w:r w:rsidRPr="00132E65">
        <w:rPr>
          <w:rtl/>
          <w:lang w:bidi="fa-IR"/>
        </w:rPr>
        <w:t xml:space="preserve"> أَنْ يُصَيِّرَهَا فِي الْأَسَنِّ </w:t>
      </w:r>
      <w:r>
        <w:rPr>
          <w:rStyle w:val="libFootnotenumChar"/>
          <w:rtl/>
        </w:rPr>
        <w:t>(8)</w:t>
      </w:r>
      <w:r w:rsidRPr="00132E65">
        <w:rPr>
          <w:rtl/>
          <w:lang w:bidi="fa-IR"/>
        </w:rPr>
        <w:t xml:space="preserve"> ، أَوْ يَنْقُلَهَا فِي </w:t>
      </w:r>
      <w:r>
        <w:rPr>
          <w:rStyle w:val="libFootnotenumChar"/>
          <w:rtl/>
        </w:rPr>
        <w:t>(9)</w:t>
      </w:r>
      <w:r w:rsidRPr="00132E65">
        <w:rPr>
          <w:rtl/>
          <w:lang w:bidi="fa-IR"/>
        </w:rPr>
        <w:t xml:space="preserve"> ولْدِهِمَا</w:t>
      </w:r>
      <w:r>
        <w:rPr>
          <w:rtl/>
          <w:lang w:bidi="fa-IR"/>
        </w:rPr>
        <w:t xml:space="preserve"> - </w:t>
      </w:r>
      <w:r w:rsidRPr="00132E65">
        <w:rPr>
          <w:rtl/>
          <w:lang w:bidi="fa-IR"/>
        </w:rPr>
        <w:t xml:space="preserve">يَعْنِي الْوَصِيَّةَ </w:t>
      </w:r>
      <w:r>
        <w:rPr>
          <w:rStyle w:val="libFootnotenumChar"/>
          <w:rtl/>
        </w:rPr>
        <w:t>(10)</w:t>
      </w:r>
      <w:r>
        <w:rPr>
          <w:rtl/>
          <w:lang w:bidi="fa-IR"/>
        </w:rPr>
        <w:t xml:space="preserve"> - </w:t>
      </w:r>
      <w:r w:rsidRPr="00132E65">
        <w:rPr>
          <w:rtl/>
          <w:lang w:bidi="fa-IR"/>
        </w:rPr>
        <w:t xml:space="preserve">لَفَعَلَ ذلِكَ الْحُسَيْنُ </w:t>
      </w:r>
      <w:r w:rsidRPr="00071CF9">
        <w:rPr>
          <w:rStyle w:val="libAlaemChar"/>
          <w:rtl/>
        </w:rPr>
        <w:t>عليه‌السلام</w:t>
      </w:r>
      <w:r w:rsidRPr="00132E65">
        <w:rPr>
          <w:rtl/>
          <w:lang w:bidi="fa-IR"/>
        </w:rPr>
        <w:t xml:space="preserve"> ، ومَا هُوَ بِالْمُتَّهَمِ عِنْدَنَا فِي الذَّخِيرَةِ لِنَفْسِهِ ، ولَقَدْ وَلّى </w:t>
      </w:r>
      <w:r>
        <w:rPr>
          <w:rStyle w:val="libFootnotenumChar"/>
          <w:rtl/>
        </w:rPr>
        <w:t>(11)</w:t>
      </w:r>
      <w:r w:rsidRPr="00132E65">
        <w:rPr>
          <w:rtl/>
          <w:lang w:bidi="fa-IR"/>
        </w:rPr>
        <w:t xml:space="preserve"> وتَرَكَ ذلِكَ ، ولكِنَّهُ مَضى لِمَا أُمِرَ بِهِ ، وهُوَ جَدُّكَ وعَمُّكَ </w:t>
      </w:r>
      <w:r>
        <w:rPr>
          <w:rStyle w:val="libFootnotenumChar"/>
          <w:rtl/>
        </w:rPr>
        <w:t>(12)</w:t>
      </w:r>
      <w:r>
        <w:rPr>
          <w:rtl/>
          <w:lang w:bidi="fa-IR"/>
        </w:rPr>
        <w:t xml:space="preserve"> ؛ فَإِنْ قُلْتَ خَيْراً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ب ، بر » : « لم نكن نريد »</w:t>
            </w:r>
            <w:r>
              <w:rPr>
                <w:rtl/>
              </w:rPr>
              <w:t>.</w:t>
            </w:r>
          </w:p>
        </w:tc>
        <w:tc>
          <w:tcPr>
            <w:tcW w:w="4006" w:type="dxa"/>
          </w:tcPr>
          <w:p w:rsidR="000C39D1" w:rsidRDefault="000C39D1" w:rsidP="00B53873">
            <w:pPr>
              <w:pStyle w:val="libFootnote0"/>
              <w:rPr>
                <w:rtl/>
              </w:rPr>
            </w:pPr>
            <w:r>
              <w:rPr>
                <w:rtl/>
              </w:rPr>
              <w:t>(2).</w:t>
            </w:r>
            <w:r w:rsidRPr="00132E65">
              <w:rPr>
                <w:rtl/>
              </w:rPr>
              <w:t xml:space="preserve"> في « ض ، ف ، ه‍ ، بر » و</w:t>
            </w:r>
            <w:r w:rsidRPr="009D1ACE">
              <w:rPr>
                <w:rStyle w:val="libFootnoteBoldChar"/>
                <w:rtl/>
              </w:rPr>
              <w:t>الوافي</w:t>
            </w:r>
            <w:r w:rsidRPr="00132E65">
              <w:rPr>
                <w:rtl/>
              </w:rPr>
              <w:t xml:space="preserve">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 لم يُؤامِرْ » ، أي لم يشاور. قال الجوهري : « آمَرْتُهُ في أمري مؤامرةً ، إذا شاورته. والعامّة تقول : وامَرْتُه »</w:t>
      </w:r>
      <w:r>
        <w:rPr>
          <w:rtl/>
        </w:rPr>
        <w:t>.</w:t>
      </w:r>
      <w:r w:rsidRPr="00132E65">
        <w:rPr>
          <w:rtl/>
        </w:rPr>
        <w:t xml:space="preserve"> </w:t>
      </w:r>
      <w:r w:rsidRPr="003662C8">
        <w:rPr>
          <w:rtl/>
        </w:rPr>
        <w:t>الصحاح</w:t>
      </w:r>
      <w:r w:rsidRPr="00132E65">
        <w:rPr>
          <w:rtl/>
        </w:rPr>
        <w:t xml:space="preserve"> ، ج 2 ، ص 582 ( أمر )</w:t>
      </w:r>
      <w:r>
        <w:rPr>
          <w:rtl/>
        </w:rPr>
        <w:t>.</w:t>
      </w:r>
      <w:r>
        <w:rPr>
          <w:rFonts w:hint="cs"/>
          <w:rtl/>
        </w:rPr>
        <w:t xml:space="preserve">                 </w:t>
      </w:r>
      <w:r w:rsidR="00D14011">
        <w:rPr>
          <w:rFonts w:hint="cs"/>
          <w:rtl/>
        </w:rPr>
        <w:t xml:space="preserve">           </w:t>
      </w:r>
      <w:r>
        <w:rPr>
          <w:rFonts w:hint="cs"/>
          <w:rtl/>
        </w:rPr>
        <w:t xml:space="preserve">     </w:t>
      </w:r>
      <w:r>
        <w:rPr>
          <w:rtl/>
        </w:rPr>
        <w:t>(5).</w:t>
      </w:r>
      <w:r w:rsidRPr="00132E65">
        <w:rPr>
          <w:rtl/>
        </w:rPr>
        <w:t xml:space="preserve"> في « ه‍ » : « في »</w:t>
      </w:r>
      <w:r>
        <w:rPr>
          <w:rtl/>
        </w:rPr>
        <w:t>.</w:t>
      </w:r>
    </w:p>
    <w:p w:rsidR="000C39D1" w:rsidRPr="00132E65" w:rsidRDefault="000C39D1" w:rsidP="000C39D1">
      <w:pPr>
        <w:pStyle w:val="libFootnote0"/>
        <w:rPr>
          <w:rtl/>
          <w:lang w:bidi="fa-IR"/>
        </w:rPr>
      </w:pPr>
      <w:r>
        <w:rPr>
          <w:rtl/>
        </w:rPr>
        <w:t>(6).</w:t>
      </w:r>
      <w:r w:rsidRPr="00132E65">
        <w:rPr>
          <w:rtl/>
        </w:rPr>
        <w:t xml:space="preserve"> قال الجوهري : « التبجيل : التعظيم »</w:t>
      </w:r>
      <w:r>
        <w:rPr>
          <w:rtl/>
        </w:rPr>
        <w:t>.</w:t>
      </w:r>
      <w:r w:rsidRPr="00132E65">
        <w:rPr>
          <w:rtl/>
        </w:rPr>
        <w:t xml:space="preserve"> </w:t>
      </w:r>
      <w:r w:rsidRPr="003662C8">
        <w:rPr>
          <w:rtl/>
        </w:rPr>
        <w:t>الصحاح</w:t>
      </w:r>
      <w:r w:rsidRPr="00132E65">
        <w:rPr>
          <w:rtl/>
        </w:rPr>
        <w:t xml:space="preserve"> ، ج 4 ، ص 1631 ( بجل )</w:t>
      </w:r>
      <w:r>
        <w:rPr>
          <w:rtl/>
        </w:rPr>
        <w:t>.</w:t>
      </w:r>
    </w:p>
    <w:p w:rsidR="000C39D1" w:rsidRPr="00132E65" w:rsidRDefault="000C39D1" w:rsidP="000C39D1">
      <w:pPr>
        <w:pStyle w:val="libFootnote0"/>
        <w:rPr>
          <w:rtl/>
          <w:lang w:bidi="fa-IR"/>
        </w:rPr>
      </w:pPr>
      <w:r>
        <w:rPr>
          <w:rtl/>
        </w:rPr>
        <w:t>(7).</w:t>
      </w:r>
      <w:r w:rsidRPr="00132E65">
        <w:rPr>
          <w:rtl/>
        </w:rPr>
        <w:t xml:space="preserve"> في « بح ، بر » : « ا</w:t>
      </w:r>
      <w:r>
        <w:rPr>
          <w:rFonts w:hint="cs"/>
          <w:rtl/>
        </w:rPr>
        <w:t>ُ</w:t>
      </w:r>
      <w:r w:rsidRPr="00132E65">
        <w:rPr>
          <w:rtl/>
        </w:rPr>
        <w:t xml:space="preserve">مر » واحتمله في </w:t>
      </w:r>
      <w:r w:rsidRPr="009D1ACE">
        <w:rPr>
          <w:rStyle w:val="libFootnoteBoldChar"/>
          <w:rtl/>
        </w:rPr>
        <w:t>مرآة العقول</w:t>
      </w:r>
      <w:r w:rsidRPr="00132E65">
        <w:rPr>
          <w:rtl/>
        </w:rPr>
        <w:t xml:space="preserve"> ، ج 4 ، ص 127.</w:t>
      </w:r>
    </w:p>
    <w:p w:rsidR="000C39D1" w:rsidRPr="00132E65" w:rsidRDefault="000C39D1" w:rsidP="000C39D1">
      <w:pPr>
        <w:pStyle w:val="libFootnote0"/>
        <w:rPr>
          <w:rtl/>
          <w:lang w:bidi="fa-IR"/>
        </w:rPr>
      </w:pPr>
      <w:r>
        <w:rPr>
          <w:rtl/>
        </w:rPr>
        <w:t>(8).</w:t>
      </w:r>
      <w:r w:rsidRPr="00132E65">
        <w:rPr>
          <w:rtl/>
        </w:rPr>
        <w:t xml:space="preserve"> في « ج ، بر » و</w:t>
      </w:r>
      <w:r w:rsidRPr="009D1ACE">
        <w:rPr>
          <w:rStyle w:val="libFootnoteBoldChar"/>
          <w:rtl/>
        </w:rPr>
        <w:t>الوافي</w:t>
      </w:r>
      <w:r w:rsidRPr="00132E65">
        <w:rPr>
          <w:rtl/>
        </w:rPr>
        <w:t xml:space="preserve"> : « السنّ »</w:t>
      </w:r>
      <w:r>
        <w:rPr>
          <w:rtl/>
        </w:rPr>
        <w:t>.</w:t>
      </w:r>
      <w:r w:rsidRPr="00132E65">
        <w:rPr>
          <w:rtl/>
        </w:rPr>
        <w:t xml:space="preserve"> وفي « ض » : « أسنّ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عن بعض النسخ : « من »</w:t>
      </w:r>
      <w:r>
        <w:rPr>
          <w:rtl/>
        </w:rPr>
        <w:t>.</w:t>
      </w:r>
    </w:p>
    <w:p w:rsidR="000C39D1" w:rsidRPr="00132E65" w:rsidRDefault="000C39D1" w:rsidP="000C39D1">
      <w:pPr>
        <w:pStyle w:val="libFootnote0"/>
        <w:rPr>
          <w:rtl/>
          <w:lang w:bidi="fa-IR"/>
        </w:rPr>
      </w:pPr>
      <w:r>
        <w:rPr>
          <w:rtl/>
        </w:rPr>
        <w:t>(10).</w:t>
      </w:r>
      <w:r w:rsidRPr="00132E65">
        <w:rPr>
          <w:rtl/>
        </w:rPr>
        <w:t xml:space="preserve"> قال المجلسي في </w:t>
      </w:r>
      <w:r w:rsidRPr="009D1ACE">
        <w:rPr>
          <w:rStyle w:val="libFootnoteBoldChar"/>
          <w:rtl/>
        </w:rPr>
        <w:t>مرآة العقول</w:t>
      </w:r>
      <w:r w:rsidRPr="00132E65">
        <w:rPr>
          <w:rtl/>
        </w:rPr>
        <w:t xml:space="preserve"> : « يعني الوصيّة ، كلام موسى ، أو الجعفري »</w:t>
      </w:r>
      <w:r>
        <w:rPr>
          <w:rtl/>
        </w:rPr>
        <w:t>.</w:t>
      </w:r>
    </w:p>
    <w:p w:rsidR="000C39D1" w:rsidRPr="00132E65" w:rsidRDefault="000C39D1" w:rsidP="000C39D1">
      <w:pPr>
        <w:pStyle w:val="libFootnote0"/>
        <w:rPr>
          <w:rtl/>
          <w:lang w:bidi="fa-IR"/>
        </w:rPr>
      </w:pPr>
      <w:r>
        <w:rPr>
          <w:rtl/>
        </w:rPr>
        <w:t>(11).</w:t>
      </w:r>
      <w:r w:rsidRPr="00132E65">
        <w:rPr>
          <w:rtl/>
        </w:rPr>
        <w:t xml:space="preserve"> في « بح » : « وقد ولى »</w:t>
      </w:r>
      <w:r>
        <w:rPr>
          <w:rtl/>
        </w:rPr>
        <w:t>.</w:t>
      </w:r>
      <w:r w:rsidRPr="00132E65">
        <w:rPr>
          <w:rtl/>
        </w:rPr>
        <w:t xml:space="preserve"> وفي </w:t>
      </w:r>
      <w:r w:rsidRPr="009D1ACE">
        <w:rPr>
          <w:rStyle w:val="libFootnoteBoldChar"/>
          <w:rtl/>
        </w:rPr>
        <w:t>الوافي</w:t>
      </w:r>
      <w:r w:rsidRPr="00132E65">
        <w:rPr>
          <w:rtl/>
        </w:rPr>
        <w:t xml:space="preserve"> : « ولقد ولِيَ ، أي الأَمْرَ ، أو بالتشديد ، أي أدبر »</w:t>
      </w:r>
      <w:r>
        <w:rPr>
          <w:rtl/>
        </w:rPr>
        <w:t>.</w:t>
      </w:r>
      <w:r w:rsidRPr="00132E65">
        <w:rPr>
          <w:rtl/>
        </w:rPr>
        <w:t xml:space="preserve"> والأوّل هو البعيد عندالمجلسي في </w:t>
      </w:r>
      <w:r w:rsidRPr="009D1ACE">
        <w:rPr>
          <w:rStyle w:val="libFootnoteBoldChar"/>
          <w:rtl/>
        </w:rPr>
        <w:t>مرآة العقول</w:t>
      </w:r>
      <w:r w:rsidRPr="00132E65">
        <w:rPr>
          <w:rtl/>
        </w:rPr>
        <w:t>.</w:t>
      </w:r>
    </w:p>
    <w:p w:rsidR="000C39D1" w:rsidRPr="00132E65" w:rsidRDefault="000C39D1" w:rsidP="000C39D1">
      <w:pPr>
        <w:pStyle w:val="libFootnote0"/>
        <w:rPr>
          <w:rtl/>
          <w:lang w:bidi="fa-IR"/>
        </w:rPr>
      </w:pPr>
      <w:r>
        <w:rPr>
          <w:rtl/>
        </w:rPr>
        <w:t>(12).</w:t>
      </w:r>
      <w:r w:rsidRPr="00132E65">
        <w:rPr>
          <w:rtl/>
        </w:rPr>
        <w:t xml:space="preserve"> « جدّك » ، أي من جهة الامّ ؛ لأنّ امّه كانت فاطمة بنت الحسين </w:t>
      </w:r>
      <w:r w:rsidRPr="00D85906">
        <w:rPr>
          <w:rStyle w:val="libFootnoteAlaemChar"/>
          <w:rtl/>
        </w:rPr>
        <w:t>عليه‌السلام</w:t>
      </w:r>
      <w:r w:rsidRPr="00132E65">
        <w:rPr>
          <w:rtl/>
        </w:rPr>
        <w:t xml:space="preserve">. </w:t>
      </w:r>
      <w:r>
        <w:rPr>
          <w:rtl/>
        </w:rPr>
        <w:t>و «</w:t>
      </w:r>
      <w:r w:rsidRPr="00132E65">
        <w:rPr>
          <w:rtl/>
        </w:rPr>
        <w:t xml:space="preserve"> عمّك » أي من جهة الأب. راجع : </w:t>
      </w:r>
      <w:r w:rsidRPr="003662C8">
        <w:rPr>
          <w:rtl/>
        </w:rPr>
        <w:t>شرح المازندراني</w:t>
      </w:r>
      <w:r w:rsidRPr="00132E65">
        <w:rPr>
          <w:rtl/>
        </w:rPr>
        <w:t xml:space="preserve"> ، ج 6 ، ص 298 ؛ </w:t>
      </w:r>
      <w:r w:rsidRPr="009D1ACE">
        <w:rPr>
          <w:rStyle w:val="libFootnoteBoldChar"/>
          <w:rtl/>
        </w:rPr>
        <w:t>مرآة العقول</w:t>
      </w:r>
      <w:r w:rsidRPr="00132E65">
        <w:rPr>
          <w:rtl/>
        </w:rPr>
        <w:t xml:space="preserve"> ، ج 4 ، ص 127.</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فَمَا أَوْلَاكَ بِهِ </w:t>
      </w:r>
      <w:r>
        <w:rPr>
          <w:rStyle w:val="libFootnotenumChar"/>
          <w:rtl/>
        </w:rPr>
        <w:t>(1)</w:t>
      </w:r>
      <w:r w:rsidRPr="00132E65">
        <w:rPr>
          <w:rtl/>
          <w:lang w:bidi="fa-IR"/>
        </w:rPr>
        <w:t xml:space="preserve"> ، وإِنْ قُلْتَ هُجْراً ، فَيَغْفِرُ اللهُ لَكَ ، أَطِعْنِي يَا ابْنَ عَمِّ ، واسْمَعْ كَلَامِي ، فَوَ اللهِ</w:t>
      </w:r>
      <w:r>
        <w:rPr>
          <w:rtl/>
          <w:lang w:bidi="fa-IR"/>
        </w:rPr>
        <w:t xml:space="preserve"> - </w:t>
      </w:r>
      <w:r w:rsidRPr="00132E65">
        <w:rPr>
          <w:rtl/>
          <w:lang w:bidi="fa-IR"/>
        </w:rPr>
        <w:t>الَّذِي لَا</w:t>
      </w:r>
      <w:r>
        <w:rPr>
          <w:rFonts w:hint="cs"/>
          <w:rtl/>
          <w:lang w:bidi="fa-IR"/>
        </w:rPr>
        <w:t xml:space="preserve"> </w:t>
      </w:r>
      <w:r>
        <w:rPr>
          <w:rtl/>
          <w:lang w:bidi="fa-IR"/>
        </w:rPr>
        <w:t>إِلَهَ إِل</w:t>
      </w:r>
      <w:r>
        <w:rPr>
          <w:rFonts w:hint="cs"/>
          <w:rtl/>
          <w:lang w:bidi="fa-IR"/>
        </w:rPr>
        <w:t>َّ</w:t>
      </w:r>
      <w:r>
        <w:rPr>
          <w:rtl/>
          <w:lang w:bidi="fa-IR"/>
        </w:rPr>
        <w:t>ا</w:t>
      </w:r>
      <w:r w:rsidRPr="00132E65">
        <w:rPr>
          <w:rtl/>
          <w:lang w:bidi="fa-IR"/>
        </w:rPr>
        <w:t xml:space="preserve"> هُوَ</w:t>
      </w:r>
      <w:r>
        <w:rPr>
          <w:rtl/>
          <w:lang w:bidi="fa-IR"/>
        </w:rPr>
        <w:t xml:space="preserve"> - </w:t>
      </w:r>
      <w:r w:rsidRPr="00132E65">
        <w:rPr>
          <w:rtl/>
          <w:lang w:bidi="fa-IR"/>
        </w:rPr>
        <w:t>لَا</w:t>
      </w:r>
      <w:r>
        <w:rPr>
          <w:rFonts w:hint="cs"/>
          <w:rtl/>
          <w:lang w:bidi="fa-IR"/>
        </w:rPr>
        <w:t xml:space="preserve"> </w:t>
      </w:r>
      <w:r w:rsidRPr="00132E65">
        <w:rPr>
          <w:rtl/>
          <w:lang w:bidi="fa-IR"/>
        </w:rPr>
        <w:t xml:space="preserve">آلُوكَ نُصْحاً </w:t>
      </w:r>
      <w:r>
        <w:rPr>
          <w:rStyle w:val="libFootnotenumChar"/>
          <w:rtl/>
        </w:rPr>
        <w:t>(2)</w:t>
      </w:r>
      <w:r w:rsidRPr="00132E65">
        <w:rPr>
          <w:rtl/>
          <w:lang w:bidi="fa-IR"/>
        </w:rPr>
        <w:t xml:space="preserve"> وحِرْصاً </w:t>
      </w:r>
      <w:r>
        <w:rPr>
          <w:rStyle w:val="libFootnotenumChar"/>
          <w:rtl/>
        </w:rPr>
        <w:t>(3)</w:t>
      </w:r>
      <w:r w:rsidRPr="00132E65">
        <w:rPr>
          <w:rtl/>
          <w:lang w:bidi="fa-IR"/>
        </w:rPr>
        <w:t xml:space="preserve"> ، فَكَيْفَ ولَا</w:t>
      </w:r>
      <w:r>
        <w:rPr>
          <w:rFonts w:hint="cs"/>
          <w:rtl/>
          <w:lang w:bidi="fa-IR"/>
        </w:rPr>
        <w:t xml:space="preserve"> </w:t>
      </w:r>
      <w:r w:rsidRPr="00132E65">
        <w:rPr>
          <w:rtl/>
          <w:lang w:bidi="fa-IR"/>
        </w:rPr>
        <w:t>أَرَاكَ تَفْعَلُ ، ومَا لِأَمْرِ اللهِ مِنْ مَرَدٍّ »</w:t>
      </w:r>
      <w:r>
        <w:rPr>
          <w:rtl/>
          <w:lang w:bidi="fa-IR"/>
        </w:rPr>
        <w:t>.</w:t>
      </w:r>
    </w:p>
    <w:p w:rsidR="000C39D1" w:rsidRPr="00132E65" w:rsidRDefault="000C39D1" w:rsidP="000C39D1">
      <w:pPr>
        <w:pStyle w:val="libNormal"/>
        <w:rPr>
          <w:rtl/>
          <w:lang w:bidi="fa-IR"/>
        </w:rPr>
      </w:pPr>
      <w:r w:rsidRPr="00132E65">
        <w:rPr>
          <w:rtl/>
          <w:lang w:bidi="fa-IR"/>
        </w:rPr>
        <w:t xml:space="preserve">فَسُرَّ أَبِي عِنْدَ ذلِكَ ، فَقَالَ لَهُ أَبُو عَبْدِ اللهِ </w:t>
      </w:r>
      <w:r w:rsidRPr="00071CF9">
        <w:rPr>
          <w:rStyle w:val="libAlaemChar"/>
          <w:rtl/>
        </w:rPr>
        <w:t>عليه‌السلام</w:t>
      </w:r>
      <w:r w:rsidRPr="00132E65">
        <w:rPr>
          <w:rtl/>
          <w:lang w:bidi="fa-IR"/>
        </w:rPr>
        <w:t xml:space="preserve"> : « وَاللهِ ، إِنَّكَ لَتَعْلَمُ أَنَّهُ الْأَحْوَلُ </w:t>
      </w:r>
      <w:r>
        <w:rPr>
          <w:rStyle w:val="libFootnotenumChar"/>
          <w:rtl/>
        </w:rPr>
        <w:t>(4)</w:t>
      </w:r>
      <w:r w:rsidRPr="00132E65">
        <w:rPr>
          <w:rtl/>
          <w:lang w:bidi="fa-IR"/>
        </w:rPr>
        <w:t xml:space="preserve"> الْأَكْشَفُ </w:t>
      </w:r>
      <w:r>
        <w:rPr>
          <w:rStyle w:val="libFootnotenumChar"/>
          <w:rtl/>
        </w:rPr>
        <w:t>(5)</w:t>
      </w:r>
      <w:r w:rsidRPr="00132E65">
        <w:rPr>
          <w:rtl/>
          <w:lang w:bidi="fa-IR"/>
        </w:rPr>
        <w:t xml:space="preserve"> ، الْأَخْضَرُ </w:t>
      </w:r>
      <w:r>
        <w:rPr>
          <w:rStyle w:val="libFootnotenumChar"/>
          <w:rtl/>
        </w:rPr>
        <w:t>(6)</w:t>
      </w:r>
      <w:r w:rsidRPr="00132E65">
        <w:rPr>
          <w:rtl/>
          <w:lang w:bidi="fa-IR"/>
        </w:rPr>
        <w:t xml:space="preserve"> الْمَقْتُولُ بِسُدَّةِ </w:t>
      </w:r>
      <w:r>
        <w:rPr>
          <w:rStyle w:val="libFootnotenumChar"/>
          <w:rtl/>
        </w:rPr>
        <w:t>(7)</w:t>
      </w:r>
      <w:r w:rsidRPr="00132E65">
        <w:rPr>
          <w:rtl/>
          <w:lang w:bidi="fa-IR"/>
        </w:rPr>
        <w:t xml:space="preserve"> أَشْجَعَ </w:t>
      </w:r>
      <w:r>
        <w:rPr>
          <w:rStyle w:val="libFootnotenumChar"/>
          <w:rtl/>
        </w:rPr>
        <w:t>(8)</w:t>
      </w:r>
      <w:r w:rsidRPr="00132E65">
        <w:rPr>
          <w:rtl/>
          <w:lang w:bidi="fa-IR"/>
        </w:rPr>
        <w:t xml:space="preserve"> عِنْدَ بَطْنِ مَسِيلِهَا »</w:t>
      </w:r>
      <w:r>
        <w:rPr>
          <w:rtl/>
          <w:lang w:bidi="fa-IR"/>
        </w:rPr>
        <w:t>.</w:t>
      </w:r>
    </w:p>
    <w:p w:rsidR="000C39D1" w:rsidRPr="00132E65" w:rsidRDefault="000C39D1" w:rsidP="000C39D1">
      <w:pPr>
        <w:pStyle w:val="libNormal"/>
        <w:rPr>
          <w:rtl/>
          <w:lang w:bidi="fa-IR"/>
        </w:rPr>
      </w:pPr>
      <w:r w:rsidRPr="00132E65">
        <w:rPr>
          <w:rtl/>
          <w:lang w:bidi="fa-IR"/>
        </w:rPr>
        <w:t xml:space="preserve">فَقَالَ أَبِي : لَيْسَ هُوَ ذلِكَ </w:t>
      </w:r>
      <w:r>
        <w:rPr>
          <w:rStyle w:val="libFootnotenumChar"/>
          <w:rtl/>
        </w:rPr>
        <w:t>(9)</w:t>
      </w:r>
      <w:r w:rsidRPr="00132E65">
        <w:rPr>
          <w:rtl/>
          <w:lang w:bidi="fa-IR"/>
        </w:rPr>
        <w:t xml:space="preserve"> ، واللهِ ، لَيُحَارِبَنَّ </w:t>
      </w:r>
      <w:r>
        <w:rPr>
          <w:rStyle w:val="libFootnotenumChar"/>
          <w:rtl/>
        </w:rPr>
        <w:t>(10)</w:t>
      </w:r>
      <w:r w:rsidRPr="00132E65">
        <w:rPr>
          <w:rtl/>
          <w:lang w:bidi="fa-IR"/>
        </w:rPr>
        <w:t xml:space="preserve"> بِالْيَوْمِ يَوْماً ، وبِالسَّاعَةِ سَاعَةً ، وَبِالسَّنَةِ سَنَةً ، ولَيَقُومَنَّ </w:t>
      </w:r>
      <w:r>
        <w:rPr>
          <w:rStyle w:val="libFootnotenumChar"/>
          <w:rtl/>
        </w:rPr>
        <w:t>(11)</w:t>
      </w:r>
      <w:r w:rsidRPr="00132E65">
        <w:rPr>
          <w:rtl/>
          <w:lang w:bidi="fa-IR"/>
        </w:rPr>
        <w:t xml:space="preserve"> بِثَأْرِ </w:t>
      </w:r>
      <w:r>
        <w:rPr>
          <w:rStyle w:val="libFootnotenumChar"/>
          <w:rtl/>
        </w:rPr>
        <w:t>(12)</w:t>
      </w:r>
      <w:r w:rsidRPr="00132E65">
        <w:rPr>
          <w:rtl/>
          <w:lang w:bidi="fa-IR"/>
        </w:rPr>
        <w:t xml:space="preserve"> بَنِي أَبِي طَالِبٍ جَمِيعاً.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(2).</w:t>
      </w:r>
      <w:r w:rsidRPr="00132E65">
        <w:rPr>
          <w:rtl/>
        </w:rPr>
        <w:t xml:space="preserve"> « لا آلوك نُصْحاً » ، أي لا أدع النصح فيك ولا أتركه وأفتر ، ولا ا</w:t>
      </w:r>
      <w:r>
        <w:rPr>
          <w:rFonts w:hint="cs"/>
          <w:rtl/>
        </w:rPr>
        <w:t>ُ</w:t>
      </w:r>
      <w:r w:rsidRPr="00132E65">
        <w:rPr>
          <w:rtl/>
        </w:rPr>
        <w:t xml:space="preserve">قصّر في نصحك. راجع : </w:t>
      </w:r>
      <w:r w:rsidRPr="009D1ACE">
        <w:rPr>
          <w:rStyle w:val="libFootnoteBoldChar"/>
          <w:rtl/>
        </w:rPr>
        <w:t>لسان العرب</w:t>
      </w:r>
      <w:r w:rsidRPr="00132E65">
        <w:rPr>
          <w:rtl/>
        </w:rPr>
        <w:t xml:space="preserve"> ، ج 14 ، ص 40 ( ألا )</w:t>
      </w:r>
      <w:r>
        <w:rPr>
          <w:rtl/>
        </w:rPr>
        <w:t>.</w:t>
      </w:r>
    </w:p>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ونفعاً »</w:t>
      </w:r>
      <w:r>
        <w:rPr>
          <w:rtl/>
        </w:rPr>
        <w:t>.</w:t>
      </w:r>
      <w:r w:rsidRPr="00132E65">
        <w:rPr>
          <w:rtl/>
        </w:rPr>
        <w:t xml:space="preserve"> وفي </w:t>
      </w:r>
      <w:r w:rsidRPr="009D1ACE">
        <w:rPr>
          <w:rStyle w:val="libFootnoteBoldChar"/>
          <w:rtl/>
        </w:rPr>
        <w:t>مرآة العقول</w:t>
      </w:r>
      <w:r w:rsidRPr="00132E65">
        <w:rPr>
          <w:rtl/>
        </w:rPr>
        <w:t xml:space="preserve"> : « وحِرْصاً ، أي على إصلاحك. وقد يقرأ بالفتح ، وهو الشقّ والقشر ، كناية عن التصريح بالحقّ. والأوّل أظهر »</w:t>
      </w:r>
      <w:r>
        <w:rPr>
          <w:rtl/>
        </w:rPr>
        <w:t>.</w:t>
      </w:r>
    </w:p>
    <w:p w:rsidR="000C39D1" w:rsidRPr="00132E65" w:rsidRDefault="000C39D1" w:rsidP="000C39D1">
      <w:pPr>
        <w:pStyle w:val="libFootnote0"/>
        <w:rPr>
          <w:rtl/>
          <w:lang w:bidi="fa-IR"/>
        </w:rPr>
      </w:pPr>
      <w:r>
        <w:rPr>
          <w:rtl/>
        </w:rPr>
        <w:t>(4).</w:t>
      </w:r>
      <w:r w:rsidRPr="00132E65">
        <w:rPr>
          <w:rtl/>
        </w:rPr>
        <w:t xml:space="preserve"> « الأحْوَلُ » : مَنْ به حَوَلٌ ، وهو إقبال الحدقة على الأنف. وقيل : هو ذهاب حدقتها قِبَل مُؤْخِرِها. وقيل غيرذلك. راجع : </w:t>
      </w:r>
      <w:r w:rsidRPr="009D1ACE">
        <w:rPr>
          <w:rStyle w:val="libFootnoteBoldChar"/>
          <w:rtl/>
        </w:rPr>
        <w:t>لسان العرب</w:t>
      </w:r>
      <w:r w:rsidRPr="00132E65">
        <w:rPr>
          <w:rtl/>
        </w:rPr>
        <w:t xml:space="preserve"> ، ج 11 ، ص 191 ( حول )</w:t>
      </w:r>
      <w:r>
        <w:rPr>
          <w:rtl/>
        </w:rPr>
        <w:t>.</w:t>
      </w:r>
      <w:r w:rsidRPr="00132E65">
        <w:rPr>
          <w:rtl/>
        </w:rPr>
        <w:t xml:space="preserve"> وفي </w:t>
      </w:r>
      <w:r w:rsidRPr="009D1ACE">
        <w:rPr>
          <w:rStyle w:val="libFootnoteBoldChar"/>
          <w:rtl/>
        </w:rPr>
        <w:t>الوافي</w:t>
      </w:r>
      <w:r w:rsidRPr="00132E65">
        <w:rPr>
          <w:rtl/>
        </w:rPr>
        <w:t xml:space="preserve"> : « أي لتعلم أنّ ابنك محمّداً هذا هو الأحول الأكشف الذي أخبر به المخبر الصادق أنّه سيخرج بغير حقّ ويقتل صاغراً »</w:t>
      </w:r>
      <w:r>
        <w:rPr>
          <w:rtl/>
        </w:rPr>
        <w:t>.</w:t>
      </w:r>
    </w:p>
    <w:p w:rsidR="000C39D1" w:rsidRPr="00132E65" w:rsidRDefault="000C39D1" w:rsidP="000C39D1">
      <w:pPr>
        <w:pStyle w:val="libFootnote0"/>
        <w:rPr>
          <w:rtl/>
          <w:lang w:bidi="fa-IR"/>
        </w:rPr>
      </w:pPr>
      <w:r>
        <w:rPr>
          <w:rtl/>
        </w:rPr>
        <w:t>(5).</w:t>
      </w:r>
      <w:r w:rsidRPr="00132E65">
        <w:rPr>
          <w:rtl/>
        </w:rPr>
        <w:t xml:space="preserve"> قال ابن الأثير : « الأكشف : الذي تَنْبُت له شَعَراتٌ في قُصاص ناصيته ثائرة ، لا تكاد تسترسل. والعرب تتشاءم به »</w:t>
      </w:r>
      <w:r>
        <w:rPr>
          <w:rtl/>
        </w:rPr>
        <w:t>.</w:t>
      </w:r>
      <w:r w:rsidRPr="00132E65">
        <w:rPr>
          <w:rtl/>
        </w:rPr>
        <w:t xml:space="preserve"> </w:t>
      </w:r>
      <w:r w:rsidRPr="003662C8">
        <w:rPr>
          <w:rtl/>
        </w:rPr>
        <w:t>النهاية</w:t>
      </w:r>
      <w:r w:rsidRPr="00132E65">
        <w:rPr>
          <w:rtl/>
        </w:rPr>
        <w:t xml:space="preserve"> ، ج 4 ، ص 176 ( كشف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3662C8">
        <w:rPr>
          <w:rtl/>
        </w:rPr>
        <w:t>القاموس</w:t>
      </w:r>
      <w:r w:rsidRPr="00132E65">
        <w:rPr>
          <w:rtl/>
        </w:rPr>
        <w:t xml:space="preserve"> : « الأخضر : الأسود »</w:t>
      </w:r>
      <w:r>
        <w:rPr>
          <w:rtl/>
        </w:rPr>
        <w:t>.</w:t>
      </w:r>
      <w:r w:rsidRPr="00132E65">
        <w:rPr>
          <w:rtl/>
        </w:rPr>
        <w:t xml:space="preserve"> وقال المجلسي : « أقول : ويحتمل أن يكون المراد هنا خُضْرَةُ العين. وهو أيضاً ممّا يُتشاءم به »</w:t>
      </w:r>
      <w:r>
        <w:rPr>
          <w:rtl/>
        </w:rPr>
        <w:t>.</w:t>
      </w:r>
      <w:r w:rsidRPr="00132E65">
        <w:rPr>
          <w:rtl/>
        </w:rPr>
        <w:t xml:space="preserve"> </w:t>
      </w:r>
      <w:r w:rsidRPr="003662C8">
        <w:rPr>
          <w:rtl/>
        </w:rPr>
        <w:t>القاموس المحيط</w:t>
      </w:r>
      <w:r w:rsidRPr="00132E65">
        <w:rPr>
          <w:rtl/>
        </w:rPr>
        <w:t xml:space="preserve"> ، ج 1 ، ص 549 ( خضر )</w:t>
      </w:r>
      <w:r>
        <w:rPr>
          <w:rtl/>
        </w:rPr>
        <w:t>.</w:t>
      </w:r>
    </w:p>
    <w:p w:rsidR="000C39D1" w:rsidRPr="00132E65" w:rsidRDefault="000C39D1" w:rsidP="000C39D1">
      <w:pPr>
        <w:pStyle w:val="libFootnote0"/>
        <w:rPr>
          <w:rtl/>
          <w:lang w:bidi="fa-IR"/>
        </w:rPr>
      </w:pPr>
      <w:r>
        <w:rPr>
          <w:rtl/>
        </w:rPr>
        <w:t>(7).</w:t>
      </w:r>
      <w:r w:rsidRPr="00132E65">
        <w:rPr>
          <w:rtl/>
        </w:rPr>
        <w:t xml:space="preserve"> قال ابن الأثير : « السُدَّةُ : كالظُلَّةُ على الباب ، لتقي البابَ من المطر. وقيل : هي البابُ نفسه. وقيل : هي الساحة بين يديه »</w:t>
      </w:r>
      <w:r>
        <w:rPr>
          <w:rtl/>
        </w:rPr>
        <w:t>.</w:t>
      </w:r>
      <w:r w:rsidRPr="00132E65">
        <w:rPr>
          <w:rtl/>
        </w:rPr>
        <w:t xml:space="preserve"> وقال المجلسي : « وربّما يقرأ بالفتح لمناسبتها للمسيل »</w:t>
      </w:r>
      <w:r>
        <w:rPr>
          <w:rtl/>
        </w:rPr>
        <w:t>.</w:t>
      </w:r>
      <w:r w:rsidRPr="00132E65">
        <w:rPr>
          <w:rtl/>
        </w:rPr>
        <w:t xml:space="preserve"> </w:t>
      </w:r>
      <w:r w:rsidRPr="003662C8">
        <w:rPr>
          <w:rtl/>
        </w:rPr>
        <w:t>النهاية</w:t>
      </w:r>
      <w:r w:rsidRPr="00132E65">
        <w:rPr>
          <w:rtl/>
        </w:rPr>
        <w:t xml:space="preserve"> ، ج 2 ، ص 253 ( سدد )</w:t>
      </w:r>
      <w:r>
        <w:rPr>
          <w:rtl/>
        </w:rPr>
        <w:t>.</w:t>
      </w:r>
    </w:p>
    <w:p w:rsidR="000C39D1" w:rsidRPr="00132E65" w:rsidRDefault="000C39D1" w:rsidP="000C39D1">
      <w:pPr>
        <w:pStyle w:val="libFootnote0"/>
        <w:rPr>
          <w:rtl/>
          <w:lang w:bidi="fa-IR"/>
        </w:rPr>
      </w:pPr>
      <w:r>
        <w:rPr>
          <w:rtl/>
        </w:rPr>
        <w:t>(8).</w:t>
      </w:r>
      <w:r w:rsidRPr="00132E65">
        <w:rPr>
          <w:rtl/>
        </w:rPr>
        <w:t xml:space="preserve"> في « ض » :</w:t>
      </w:r>
      <w:r>
        <w:rPr>
          <w:rtl/>
        </w:rPr>
        <w:t xml:space="preserve"> + </w:t>
      </w:r>
      <w:r w:rsidRPr="00132E65">
        <w:rPr>
          <w:rtl/>
        </w:rPr>
        <w:t>« ذلك »</w:t>
      </w:r>
      <w:r>
        <w:rPr>
          <w:rtl/>
        </w:rPr>
        <w:t>.</w:t>
      </w:r>
      <w:r w:rsidRPr="00132E65">
        <w:rPr>
          <w:rtl/>
        </w:rPr>
        <w:t xml:space="preserve"> وفي البحار :</w:t>
      </w:r>
      <w:r>
        <w:rPr>
          <w:rtl/>
        </w:rPr>
        <w:t xml:space="preserve"> + </w:t>
      </w:r>
      <w:r w:rsidRPr="00132E65">
        <w:rPr>
          <w:rtl/>
        </w:rPr>
        <w:t>« بين دورها »</w:t>
      </w:r>
      <w:r>
        <w:rPr>
          <w:rtl/>
        </w:rPr>
        <w:t>.</w:t>
      </w:r>
      <w:r w:rsidRPr="00132E65">
        <w:rPr>
          <w:rtl/>
        </w:rPr>
        <w:t xml:space="preserve"> وقال الجوهري : « الأشجع : قبيلة من غطفان »</w:t>
      </w:r>
      <w:r>
        <w:rPr>
          <w:rtl/>
        </w:rPr>
        <w:t>.</w:t>
      </w:r>
      <w:r w:rsidRPr="00132E65">
        <w:rPr>
          <w:rtl/>
        </w:rPr>
        <w:t xml:space="preserve"> </w:t>
      </w:r>
      <w:r w:rsidRPr="003662C8">
        <w:rPr>
          <w:rtl/>
        </w:rPr>
        <w:t>الصحاح</w:t>
      </w:r>
      <w:r w:rsidRPr="00132E65">
        <w:rPr>
          <w:rtl/>
        </w:rPr>
        <w:t xml:space="preserve"> ، ج 3 ، ص 1235 ( شجع )</w:t>
      </w:r>
      <w:r>
        <w:rPr>
          <w:rtl/>
        </w:rPr>
        <w:t>.</w:t>
      </w:r>
      <w:r>
        <w:rPr>
          <w:rFonts w:hint="cs"/>
          <w:rtl/>
        </w:rPr>
        <w:t xml:space="preserve">                         </w:t>
      </w:r>
      <w:r>
        <w:rPr>
          <w:rtl/>
        </w:rPr>
        <w:t>(9).</w:t>
      </w:r>
      <w:r w:rsidRPr="00132E65">
        <w:rPr>
          <w:rtl/>
        </w:rPr>
        <w:t xml:space="preserve"> في « ف ، ه‍ ، بس » و</w:t>
      </w:r>
      <w:r w:rsidRPr="009D1ACE">
        <w:rPr>
          <w:rStyle w:val="libFootnoteBoldChar"/>
          <w:rtl/>
        </w:rPr>
        <w:t>الوافي</w:t>
      </w:r>
      <w:r w:rsidRPr="00132E65">
        <w:rPr>
          <w:rtl/>
        </w:rPr>
        <w:t xml:space="preserve"> : « ذاك »</w:t>
      </w:r>
      <w:r>
        <w:rPr>
          <w:rtl/>
        </w:rPr>
        <w:t>.</w:t>
      </w:r>
    </w:p>
    <w:p w:rsidR="000C39D1" w:rsidRPr="00132E65" w:rsidRDefault="000C39D1" w:rsidP="000C39D1">
      <w:pPr>
        <w:pStyle w:val="libFootnote0"/>
        <w:rPr>
          <w:rtl/>
          <w:lang w:bidi="fa-IR"/>
        </w:rPr>
      </w:pPr>
      <w:r>
        <w:rPr>
          <w:rtl/>
        </w:rPr>
        <w:t>(10).</w:t>
      </w:r>
      <w:r w:rsidRPr="00132E65">
        <w:rPr>
          <w:rtl/>
        </w:rPr>
        <w:t xml:space="preserve"> في « ب ، ج ، </w:t>
      </w:r>
      <w:r>
        <w:rPr>
          <w:rtl/>
        </w:rPr>
        <w:t>و »</w:t>
      </w:r>
      <w:r w:rsidRPr="00132E65">
        <w:rPr>
          <w:rtl/>
        </w:rPr>
        <w:t xml:space="preserve"> و</w:t>
      </w:r>
      <w:r w:rsidRPr="009D1ACE">
        <w:rPr>
          <w:rStyle w:val="libFootnoteBoldChar"/>
          <w:rtl/>
        </w:rPr>
        <w:t>مرآة العقول</w:t>
      </w:r>
      <w:r w:rsidRPr="00132E65">
        <w:rPr>
          <w:rtl/>
        </w:rPr>
        <w:t xml:space="preserve"> : « ليجازينّ »</w:t>
      </w:r>
      <w:r>
        <w:rPr>
          <w:rtl/>
        </w:rPr>
        <w:t>.</w:t>
      </w:r>
      <w:r w:rsidRPr="00132E65">
        <w:rPr>
          <w:rtl/>
        </w:rPr>
        <w:t xml:space="preserve"> وفي « ض ، بر » والبحار : « لنجازينّ »</w:t>
      </w:r>
      <w:r>
        <w:rPr>
          <w:rtl/>
        </w:rPr>
        <w:t>.</w:t>
      </w:r>
      <w:r w:rsidRPr="00132E65">
        <w:rPr>
          <w:rtl/>
        </w:rPr>
        <w:t xml:space="preserve"> وفي « ف » : « لنحاربنّ »</w:t>
      </w:r>
      <w:r>
        <w:rPr>
          <w:rtl/>
        </w:rPr>
        <w:t>.</w:t>
      </w:r>
      <w:r w:rsidRPr="00132E65">
        <w:rPr>
          <w:rtl/>
        </w:rPr>
        <w:t xml:space="preserve"> وفي « ه‍ ، بس ، بف » : « لتحاربنّ »</w:t>
      </w:r>
      <w:r>
        <w:rPr>
          <w:rtl/>
        </w:rPr>
        <w:t>.</w:t>
      </w:r>
      <w:r w:rsidRPr="00132E65">
        <w:rPr>
          <w:rtl/>
        </w:rPr>
        <w:t xml:space="preserve"> وفي « بح » : « ليحاذين »</w:t>
      </w:r>
      <w:r>
        <w:rPr>
          <w:rtl/>
        </w:rPr>
        <w:t>.</w:t>
      </w:r>
    </w:p>
    <w:p w:rsidR="000C39D1" w:rsidRPr="00132E65" w:rsidRDefault="000C39D1" w:rsidP="000C39D1">
      <w:pPr>
        <w:pStyle w:val="libFootnote0"/>
        <w:rPr>
          <w:rtl/>
          <w:lang w:bidi="fa-IR"/>
        </w:rPr>
      </w:pPr>
      <w:r>
        <w:rPr>
          <w:rtl/>
        </w:rPr>
        <w:t>(11).</w:t>
      </w:r>
      <w:r w:rsidRPr="00132E65">
        <w:rPr>
          <w:rtl/>
        </w:rPr>
        <w:t xml:space="preserve"> في « ض ، ف ، ه‍ ، بر ، بف » والبحار : « لنقومنّ »</w:t>
      </w:r>
      <w:r>
        <w:rPr>
          <w:rtl/>
        </w:rPr>
        <w:t>.</w:t>
      </w:r>
    </w:p>
    <w:p w:rsidR="000C39D1" w:rsidRPr="00132E65" w:rsidRDefault="000C39D1" w:rsidP="000C39D1">
      <w:pPr>
        <w:pStyle w:val="libFootnote0"/>
        <w:rPr>
          <w:rtl/>
          <w:lang w:bidi="fa-IR"/>
        </w:rPr>
      </w:pPr>
      <w:r>
        <w:rPr>
          <w:rtl/>
        </w:rPr>
        <w:t>(12).</w:t>
      </w:r>
      <w:r w:rsidRPr="00132E65">
        <w:rPr>
          <w:rtl/>
        </w:rPr>
        <w:t xml:space="preserve"> « الثأر » : الطلب بالدم. يقال : ثار به وثأره ، أي طلب دمه. راجع : </w:t>
      </w:r>
      <w:r w:rsidRPr="009D1ACE">
        <w:rPr>
          <w:rStyle w:val="libFootnoteBoldChar"/>
          <w:rtl/>
        </w:rPr>
        <w:t>لسان العرب</w:t>
      </w:r>
      <w:r w:rsidRPr="00132E65">
        <w:rPr>
          <w:rtl/>
        </w:rPr>
        <w:t xml:space="preserve"> ، ج 4 ، ص 97 ( ثأر )</w:t>
      </w:r>
      <w:r>
        <w:rPr>
          <w:rtl/>
        </w:rPr>
        <w:t>.</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يَغْفِرُ اللهُ لَكَ ، مَا أَخْوَفَنِي أَنْ يَكُونَ هذَا الْبَيْتُ يَلْحَقُ صَاحِبَنَا </w:t>
      </w:r>
      <w:r>
        <w:rPr>
          <w:rStyle w:val="libFootnotenumChar"/>
          <w:rtl/>
        </w:rPr>
        <w:t>(1)</w:t>
      </w:r>
      <w:r w:rsidRPr="00132E65">
        <w:rPr>
          <w:rtl/>
          <w:lang w:bidi="fa-IR"/>
        </w:rPr>
        <w:t xml:space="preserve"> :</w:t>
      </w:r>
    </w:p>
    <w:tbl>
      <w:tblPr>
        <w:tblStyle w:val="TableGrid"/>
        <w:bidiVisual/>
        <w:tblW w:w="4562" w:type="pct"/>
        <w:tblInd w:w="384" w:type="dxa"/>
        <w:tblLook w:val="01E0" w:firstRow="1" w:lastRow="1" w:firstColumn="1" w:lastColumn="1" w:noHBand="0" w:noVBand="0"/>
      </w:tblPr>
      <w:tblGrid>
        <w:gridCol w:w="4875"/>
        <w:gridCol w:w="367"/>
        <w:gridCol w:w="4645"/>
      </w:tblGrid>
      <w:tr w:rsidR="000C39D1" w:rsidTr="00B53873">
        <w:trPr>
          <w:trHeight w:val="350"/>
        </w:trPr>
        <w:tc>
          <w:tcPr>
            <w:tcW w:w="3605" w:type="dxa"/>
            <w:shd w:val="clear" w:color="auto" w:fill="auto"/>
          </w:tcPr>
          <w:p w:rsidR="000C39D1" w:rsidRDefault="000C39D1" w:rsidP="00B53873">
            <w:pPr>
              <w:pStyle w:val="libPoem"/>
            </w:pPr>
            <w:r w:rsidRPr="00132E65">
              <w:rPr>
                <w:rtl/>
              </w:rPr>
              <w:t>[</w:t>
            </w:r>
            <w:r>
              <w:rPr>
                <w:rtl/>
              </w:rPr>
              <w:t xml:space="preserve"> ................</w:t>
            </w:r>
            <w:r>
              <w:rPr>
                <w:rFonts w:hint="cs"/>
                <w:rtl/>
              </w:rPr>
              <w:t>...............</w:t>
            </w:r>
            <w:r w:rsidRPr="00132E65">
              <w:rPr>
                <w:rtl/>
              </w:rPr>
              <w:t>. ]</w:t>
            </w:r>
            <w:r w:rsidRPr="00725071">
              <w:rPr>
                <w:rStyle w:val="libPoemTiniChar0"/>
                <w:rtl/>
              </w:rPr>
              <w:br/>
              <w:t> </w:t>
            </w:r>
          </w:p>
        </w:tc>
        <w:tc>
          <w:tcPr>
            <w:tcW w:w="271" w:type="dxa"/>
            <w:shd w:val="clear" w:color="auto" w:fill="auto"/>
          </w:tcPr>
          <w:p w:rsidR="000C39D1" w:rsidRDefault="000C39D1" w:rsidP="00B53873">
            <w:pPr>
              <w:pStyle w:val="libPoem"/>
              <w:rPr>
                <w:rtl/>
              </w:rPr>
            </w:pPr>
          </w:p>
        </w:tc>
        <w:tc>
          <w:tcPr>
            <w:tcW w:w="3434" w:type="dxa"/>
            <w:shd w:val="clear" w:color="auto" w:fill="auto"/>
          </w:tcPr>
          <w:p w:rsidR="000C39D1" w:rsidRDefault="000C39D1" w:rsidP="00B53873">
            <w:pPr>
              <w:pStyle w:val="libPoem"/>
            </w:pPr>
            <w:r w:rsidRPr="00132E65">
              <w:rPr>
                <w:rtl/>
                <w:lang w:bidi="fa-IR"/>
              </w:rPr>
              <w:t>مَنَّتْكَ</w:t>
            </w:r>
            <w:r>
              <w:rPr>
                <w:rFonts w:hint="cs"/>
                <w:rtl/>
                <w:lang w:bidi="fa-IR"/>
              </w:rPr>
              <w:t xml:space="preserve"> </w:t>
            </w:r>
            <w:r>
              <w:rPr>
                <w:rStyle w:val="libFootnotenumChar"/>
                <w:rtl/>
              </w:rPr>
              <w:t>(2)</w:t>
            </w:r>
            <w:r w:rsidRPr="00132E65">
              <w:rPr>
                <w:rtl/>
                <w:lang w:bidi="fa-IR"/>
              </w:rPr>
              <w:t xml:space="preserve"> نَفْسُكَ فِي الْخَلَاءِ ضَلَالاً </w:t>
            </w:r>
            <w:r>
              <w:rPr>
                <w:rStyle w:val="libFootnotenumChar"/>
                <w:rtl/>
              </w:rPr>
              <w:t>(3)</w:t>
            </w:r>
            <w:r w:rsidRPr="00725071">
              <w:rPr>
                <w:rStyle w:val="libPoemTiniChar0"/>
                <w:rtl/>
              </w:rPr>
              <w:br/>
              <w:t> </w:t>
            </w:r>
          </w:p>
        </w:tc>
      </w:tr>
    </w:tbl>
    <w:p w:rsidR="000C39D1" w:rsidRDefault="000C39D1" w:rsidP="000C39D1">
      <w:pPr>
        <w:pStyle w:val="libNormal"/>
        <w:rPr>
          <w:rtl/>
          <w:lang w:bidi="fa-IR"/>
        </w:rPr>
      </w:pPr>
      <w:r w:rsidRPr="00132E65">
        <w:rPr>
          <w:rtl/>
          <w:lang w:bidi="fa-IR"/>
        </w:rPr>
        <w:t>لَا واللهِ ، لَايَمْلِكُ أَكْثَرَ مِنْ حِيطَانِ الْمَدِينَةِ ، ولَايَبْلُغُ عَمَلُهُ الطَّائِفَ إِذَا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أراد بالصاحب المخاطب »</w:t>
      </w:r>
      <w:r>
        <w:rPr>
          <w:rtl/>
        </w:rPr>
        <w:t>.</w:t>
      </w:r>
    </w:p>
    <w:p w:rsidR="000C39D1" w:rsidRPr="00132E65" w:rsidRDefault="000C39D1" w:rsidP="000C39D1">
      <w:pPr>
        <w:pStyle w:val="libFootnote0"/>
        <w:rPr>
          <w:rtl/>
          <w:lang w:bidi="fa-IR"/>
        </w:rPr>
      </w:pPr>
      <w:r>
        <w:rPr>
          <w:rtl/>
        </w:rPr>
        <w:t>(2).</w:t>
      </w:r>
      <w:r w:rsidRPr="00132E65">
        <w:rPr>
          <w:rtl/>
        </w:rPr>
        <w:t xml:space="preserve"> في حاشية « بر » : « منّنتك »</w:t>
      </w:r>
      <w:r>
        <w:rPr>
          <w:rtl/>
        </w:rPr>
        <w:t>.</w:t>
      </w:r>
      <w:r w:rsidRPr="00132E65">
        <w:rPr>
          <w:rtl/>
        </w:rPr>
        <w:t xml:space="preserve"> وقوله : « منّتك » ، أي أعطتك نفسك في الخلوة هذه الخصلة الذميمة ؛ من ال</w:t>
      </w:r>
      <w:r>
        <w:rPr>
          <w:rFonts w:hint="cs"/>
          <w:rtl/>
        </w:rPr>
        <w:t>ـ</w:t>
      </w:r>
      <w:r w:rsidRPr="00132E65">
        <w:rPr>
          <w:rtl/>
        </w:rPr>
        <w:t>مَنّ بمعنى الإحسان والإنعام والإعطاء. أو جعلك متيقّناً بالأمانيّ الباطلة ، من ال</w:t>
      </w:r>
      <w:r>
        <w:rPr>
          <w:rFonts w:hint="cs"/>
          <w:rtl/>
        </w:rPr>
        <w:t>ـ</w:t>
      </w:r>
      <w:r w:rsidRPr="00132E65">
        <w:rPr>
          <w:rtl/>
        </w:rPr>
        <w:t>مَنّ بمعنى اعتقاد ال</w:t>
      </w:r>
      <w:r>
        <w:rPr>
          <w:rFonts w:hint="cs"/>
          <w:rtl/>
        </w:rPr>
        <w:t>ـ</w:t>
      </w:r>
      <w:r w:rsidRPr="00132E65">
        <w:rPr>
          <w:rtl/>
        </w:rPr>
        <w:t>مَنّ. أو امتنّ عليك بالضلال ، من ال</w:t>
      </w:r>
      <w:r>
        <w:rPr>
          <w:rFonts w:hint="cs"/>
          <w:rtl/>
        </w:rPr>
        <w:t>ـ</w:t>
      </w:r>
      <w:r w:rsidRPr="00132E65">
        <w:rPr>
          <w:rtl/>
        </w:rPr>
        <w:t xml:space="preserve">مَنّ بمعنى الامتنان. راجع : </w:t>
      </w:r>
      <w:r w:rsidRPr="003662C8">
        <w:rPr>
          <w:rtl/>
        </w:rPr>
        <w:t>شرح المازندراني</w:t>
      </w:r>
      <w:r w:rsidRPr="00132E65">
        <w:rPr>
          <w:rtl/>
        </w:rPr>
        <w:t xml:space="preserve"> ، ج 6 ، ص 299 ؛ </w:t>
      </w:r>
      <w:r w:rsidRPr="009D1ACE">
        <w:rPr>
          <w:rStyle w:val="libFootnoteBoldChar"/>
          <w:rtl/>
        </w:rPr>
        <w:t>مرآة العقول</w:t>
      </w:r>
      <w:r w:rsidRPr="00132E65">
        <w:rPr>
          <w:rtl/>
        </w:rPr>
        <w:t xml:space="preserve"> ، ج 4 ، ص 129 ؛ </w:t>
      </w:r>
      <w:r w:rsidRPr="009D1ACE">
        <w:rPr>
          <w:rStyle w:val="libFootnoteBoldChar"/>
          <w:rtl/>
        </w:rPr>
        <w:t>لسان العرب</w:t>
      </w:r>
      <w:r w:rsidRPr="00132E65">
        <w:rPr>
          <w:rtl/>
        </w:rPr>
        <w:t xml:space="preserve"> ، ج 13 ، ص 417</w:t>
      </w:r>
      <w:r>
        <w:rPr>
          <w:rtl/>
        </w:rPr>
        <w:t xml:space="preserve"> - </w:t>
      </w:r>
      <w:r w:rsidRPr="00132E65">
        <w:rPr>
          <w:rtl/>
        </w:rPr>
        <w:t>418 ( منن )</w:t>
      </w:r>
      <w:r>
        <w:rPr>
          <w:rtl/>
        </w:rPr>
        <w:t>.</w:t>
      </w:r>
    </w:p>
    <w:p w:rsidR="000C39D1" w:rsidRDefault="000C39D1" w:rsidP="000C39D1">
      <w:pPr>
        <w:pStyle w:val="libFootnote0"/>
        <w:rPr>
          <w:rtl/>
        </w:rPr>
      </w:pPr>
      <w:r>
        <w:rPr>
          <w:rtl/>
        </w:rPr>
        <w:t>(3).</w:t>
      </w:r>
      <w:r w:rsidRPr="00132E65">
        <w:rPr>
          <w:rtl/>
        </w:rPr>
        <w:t xml:space="preserve"> هذا هو عجز بيت صدره :</w:t>
      </w:r>
    </w:p>
    <w:tbl>
      <w:tblPr>
        <w:tblStyle w:val="TableGrid"/>
        <w:bidiVisual/>
        <w:tblW w:w="4562" w:type="pct"/>
        <w:tblInd w:w="384" w:type="dxa"/>
        <w:tblLook w:val="01E0" w:firstRow="1" w:lastRow="1" w:firstColumn="1" w:lastColumn="1" w:noHBand="0" w:noVBand="0"/>
      </w:tblPr>
      <w:tblGrid>
        <w:gridCol w:w="4788"/>
        <w:gridCol w:w="368"/>
        <w:gridCol w:w="4731"/>
      </w:tblGrid>
      <w:tr w:rsidR="000C39D1" w:rsidTr="00B53873">
        <w:trPr>
          <w:trHeight w:val="350"/>
        </w:trPr>
        <w:tc>
          <w:tcPr>
            <w:tcW w:w="3540" w:type="dxa"/>
            <w:shd w:val="clear" w:color="auto" w:fill="auto"/>
          </w:tcPr>
          <w:p w:rsidR="000C39D1" w:rsidRDefault="000C39D1" w:rsidP="00B53873">
            <w:pPr>
              <w:pStyle w:val="libPoemFootnote"/>
            </w:pPr>
            <w:r w:rsidRPr="00132E65">
              <w:rPr>
                <w:rtl/>
                <w:lang w:bidi="fa-IR"/>
              </w:rPr>
              <w:t>أَنعِق بَضأنِك يا جرير فإنّما</w:t>
            </w:r>
            <w:r w:rsidRPr="00725071">
              <w:rPr>
                <w:rStyle w:val="libPoemTiniChar0"/>
                <w:rtl/>
              </w:rPr>
              <w:br/>
              <w:t> </w:t>
            </w:r>
          </w:p>
        </w:tc>
        <w:tc>
          <w:tcPr>
            <w:tcW w:w="272" w:type="dxa"/>
            <w:shd w:val="clear" w:color="auto" w:fill="auto"/>
          </w:tcPr>
          <w:p w:rsidR="000C39D1" w:rsidRDefault="000C39D1" w:rsidP="00B53873">
            <w:pPr>
              <w:pStyle w:val="libPoemFootnote"/>
              <w:rPr>
                <w:rtl/>
              </w:rPr>
            </w:pPr>
          </w:p>
        </w:tc>
        <w:tc>
          <w:tcPr>
            <w:tcW w:w="3498" w:type="dxa"/>
            <w:shd w:val="clear" w:color="auto" w:fill="auto"/>
          </w:tcPr>
          <w:p w:rsidR="000C39D1" w:rsidRDefault="000C39D1" w:rsidP="00B53873">
            <w:pPr>
              <w:pStyle w:val="libPoemFootnote"/>
            </w:pPr>
            <w:r w:rsidRPr="00132E65">
              <w:rPr>
                <w:rtl/>
                <w:lang w:bidi="fa-IR"/>
              </w:rPr>
              <w:t>مَنّتك نفسك في الخَلاءِ ضَلالا</w:t>
            </w:r>
            <w:r w:rsidRPr="00725071">
              <w:rPr>
                <w:rStyle w:val="libPoemTiniChar0"/>
                <w:rtl/>
              </w:rPr>
              <w:br/>
              <w:t> </w:t>
            </w:r>
          </w:p>
        </w:tc>
      </w:tr>
    </w:tbl>
    <w:p w:rsidR="000C39D1" w:rsidRPr="00A83929" w:rsidRDefault="000C39D1" w:rsidP="00E55206">
      <w:pPr>
        <w:pStyle w:val="libFootnote0"/>
        <w:rPr>
          <w:rtl/>
        </w:rPr>
      </w:pPr>
      <w:r w:rsidRPr="00A83929">
        <w:rPr>
          <w:rtl/>
        </w:rPr>
        <w:t xml:space="preserve">الوزن : البحر الكامل. والقائل : الأخطل ، وهو غياث بن غوث بن الصلت التغلبي النصراني ، والأخطل لقبه ؛ مشتقّ من الخطل : وهو استرخاء الاذنين. وقيل : لقّبه به كعب بن جُعيل الشاعر لبذاءته وسلاطة لسانه. ( لسان العرب ، ج 11 ، ص 209 </w:t>
      </w:r>
      <w:r>
        <w:rPr>
          <w:rtl/>
        </w:rPr>
        <w:t>-</w:t>
      </w:r>
      <w:r w:rsidRPr="00A83929">
        <w:rPr>
          <w:rtl/>
        </w:rPr>
        <w:t xml:space="preserve"> 210 ، خطل ).</w:t>
      </w:r>
    </w:p>
    <w:p w:rsidR="000C39D1" w:rsidRPr="00A83929" w:rsidRDefault="000C39D1" w:rsidP="00E55206">
      <w:pPr>
        <w:pStyle w:val="libFootnote0"/>
        <w:rPr>
          <w:rtl/>
        </w:rPr>
      </w:pPr>
      <w:r w:rsidRPr="00A83929">
        <w:rPr>
          <w:rtl/>
        </w:rPr>
        <w:t>ونشأ الأخطل في أطراف الحيرة على النصرانيّة ومات عليها ، وكان منقطعاً إلى حكّام بني ا</w:t>
      </w:r>
      <w:r>
        <w:rPr>
          <w:rFonts w:hint="cs"/>
          <w:rtl/>
        </w:rPr>
        <w:t>ُ</w:t>
      </w:r>
      <w:r w:rsidRPr="00A83929">
        <w:rPr>
          <w:rtl/>
        </w:rPr>
        <w:t xml:space="preserve">ميّة ، مقدّماً عندهم ، فقد مدح معاوية وابنه يزيد ، وهجا الأنصار </w:t>
      </w:r>
      <w:r>
        <w:rPr>
          <w:rtl/>
        </w:rPr>
        <w:t>-</w:t>
      </w:r>
      <w:r w:rsidRPr="00A83929">
        <w:rPr>
          <w:rtl/>
        </w:rPr>
        <w:t xml:space="preserve"> رضي الله عنهم </w:t>
      </w:r>
      <w:r>
        <w:rPr>
          <w:rtl/>
        </w:rPr>
        <w:t>-</w:t>
      </w:r>
      <w:r w:rsidRPr="00A83929">
        <w:rPr>
          <w:rtl/>
        </w:rPr>
        <w:t xml:space="preserve"> بسببه ، ونادم عبدالملك بن مروان ، وطوّل لسانه حتّى جاهر بالطعن على الدين والاستخفاف بالمسلمين ، وتناول أعراض المؤمنين وقبائل العرب وأشرافهم ، وتعرّض لجرير والفرزدق بأقبح الهجاء. ومات سنة 90 للهجرة. ( خزانة الأدب ، ج 1 ، ص 459 </w:t>
      </w:r>
      <w:r>
        <w:rPr>
          <w:rtl/>
        </w:rPr>
        <w:t>-</w:t>
      </w:r>
      <w:r w:rsidRPr="00A83929">
        <w:rPr>
          <w:rtl/>
        </w:rPr>
        <w:t xml:space="preserve"> 461 ؛ الأغاني ، ج 8 ، ص 280 ؛ الشعر والشعراء ، ص 325 ؛ دائرة المعارف الإسلاميّة ، ج 1 ، ص 515 ؛ الأعلام للزركلي ، ج 5 ، ص 123 ).</w:t>
      </w:r>
    </w:p>
    <w:p w:rsidR="000C39D1" w:rsidRPr="00A83929" w:rsidRDefault="000C39D1" w:rsidP="00E55206">
      <w:pPr>
        <w:pStyle w:val="libFootnote0"/>
        <w:rPr>
          <w:rtl/>
        </w:rPr>
      </w:pPr>
      <w:r w:rsidRPr="00A83929">
        <w:rPr>
          <w:rtl/>
        </w:rPr>
        <w:t xml:space="preserve">المصادر : أوردها الزمخشري في الكشّاف ، ج 1 ، ص 214 ؛ والبغدادي في خزانة الأدب ، ج 11 ، ص 133 ؛ وابن منظور في لسان العرب ، ج 1 ، ص 356. وراجع : ديوان الأخطل ، ص 41 </w:t>
      </w:r>
      <w:r>
        <w:rPr>
          <w:rtl/>
        </w:rPr>
        <w:t>-</w:t>
      </w:r>
      <w:r w:rsidRPr="00A83929">
        <w:rPr>
          <w:rtl/>
        </w:rPr>
        <w:t xml:space="preserve"> 51.</w:t>
      </w:r>
    </w:p>
    <w:p w:rsidR="000C39D1" w:rsidRPr="00A83929" w:rsidRDefault="000C39D1" w:rsidP="00E55206">
      <w:pPr>
        <w:pStyle w:val="libFootnote0"/>
        <w:rPr>
          <w:rtl/>
        </w:rPr>
      </w:pPr>
      <w:r w:rsidRPr="00A83929">
        <w:rPr>
          <w:rtl/>
        </w:rPr>
        <w:t>والبيت من قصيدة للشاعر هجا بها جريراً ، وروي عن جرير</w:t>
      </w:r>
      <w:r>
        <w:rPr>
          <w:rtl/>
        </w:rPr>
        <w:t xml:space="preserve"> أنّه قال : ما غلبني الأخطل إل</w:t>
      </w:r>
      <w:r>
        <w:rPr>
          <w:rFonts w:hint="cs"/>
          <w:rtl/>
        </w:rPr>
        <w:t>ّ</w:t>
      </w:r>
      <w:r>
        <w:rPr>
          <w:rtl/>
        </w:rPr>
        <w:t>ا</w:t>
      </w:r>
      <w:r>
        <w:rPr>
          <w:rFonts w:hint="cs"/>
          <w:rtl/>
        </w:rPr>
        <w:t xml:space="preserve"> </w:t>
      </w:r>
      <w:r w:rsidRPr="00A83929">
        <w:rPr>
          <w:rtl/>
        </w:rPr>
        <w:t>في هذه القصيدة.</w:t>
      </w:r>
    </w:p>
    <w:p w:rsidR="000C39D1" w:rsidRPr="00A83929" w:rsidRDefault="000C39D1" w:rsidP="00E55206">
      <w:pPr>
        <w:pStyle w:val="libFootnote0"/>
        <w:rPr>
          <w:rtl/>
        </w:rPr>
      </w:pPr>
      <w:r w:rsidRPr="00A83929">
        <w:rPr>
          <w:rtl/>
        </w:rPr>
        <w:t>شرح الغريب : النعيق : التصويت ، يقال : نعق الراعي بالغنم ينعِق نُعاقاً ونعيقاً : صاح بها وزجرها ( لسان العرب ، ج 10 ، ص 356 ، نعق ) والمعنى : أنّك يا جرير من رعاة الغنم ، ولست من الأشراف وأهل المفاخر ، وما منّتك به نفسك وسوّلته لك في الفضاء الخالي من الناس ، أنّك من العظماء ، إنّما هو ضلال باطل لاحقيقة له ، لأنّك لاتقدر على إظهاره في الملأ.</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أَحْفَلَ </w:t>
      </w:r>
      <w:r>
        <w:rPr>
          <w:rStyle w:val="libFootnotenumChar"/>
          <w:rtl/>
        </w:rPr>
        <w:t>(1)</w:t>
      </w:r>
      <w:r>
        <w:rPr>
          <w:rtl/>
          <w:lang w:bidi="fa-IR"/>
        </w:rPr>
        <w:t xml:space="preserve"> - </w:t>
      </w:r>
      <w:r w:rsidRPr="00132E65">
        <w:rPr>
          <w:rtl/>
          <w:lang w:bidi="fa-IR"/>
        </w:rPr>
        <w:t xml:space="preserve">يَعْنِي إِذَا أَجْهَدَ </w:t>
      </w:r>
      <w:r>
        <w:rPr>
          <w:rStyle w:val="libFootnotenumChar"/>
          <w:rtl/>
        </w:rPr>
        <w:t>(2)</w:t>
      </w:r>
      <w:r w:rsidRPr="00132E65">
        <w:rPr>
          <w:rtl/>
          <w:lang w:bidi="fa-IR"/>
        </w:rPr>
        <w:t xml:space="preserve"> نَفْسَهُ</w:t>
      </w:r>
      <w:r>
        <w:rPr>
          <w:rtl/>
          <w:lang w:bidi="fa-IR"/>
        </w:rPr>
        <w:t xml:space="preserve"> - </w:t>
      </w:r>
      <w:r w:rsidRPr="00132E65">
        <w:rPr>
          <w:rtl/>
          <w:lang w:bidi="fa-IR"/>
        </w:rPr>
        <w:t xml:space="preserve">ومَا لِلْأَمْرِ مِنْ </w:t>
      </w:r>
      <w:r>
        <w:rPr>
          <w:rStyle w:val="libFootnotenumChar"/>
          <w:rtl/>
        </w:rPr>
        <w:t>(3)</w:t>
      </w:r>
      <w:r w:rsidRPr="00132E65">
        <w:rPr>
          <w:rtl/>
          <w:lang w:bidi="fa-IR"/>
        </w:rPr>
        <w:t xml:space="preserve"> بُدٍّ أَنْ يَقَعَ ، فَاتَّقِ اللهَ ، وارْحَمْ نَفْسَكَ وَبَنِي أَبِيكَ ؛ فَوَ اللهِ ، إِنِّي لَأَرَاهُ أَشْأَمَ سَلْحَةٍ </w:t>
      </w:r>
      <w:r>
        <w:rPr>
          <w:rStyle w:val="libFootnotenumChar"/>
          <w:rtl/>
        </w:rPr>
        <w:t>(4)</w:t>
      </w:r>
      <w:r w:rsidRPr="00132E65">
        <w:rPr>
          <w:rtl/>
          <w:lang w:bidi="fa-IR"/>
        </w:rPr>
        <w:t xml:space="preserve"> أَخْرَجَتْهَا أَصْلَابُ الرِّجَالِ إِلى أَرْحَامِ النِّسَاءِ ؛ واللهِ ، إِنَّهُ الْمَقْتُولُ بِسُدَّةِ أَشْجَعَ بَيْنَ دُورِهَا ؛ واللهِ ، لَكَأَنِّي بِهِ صَرِيعاً </w:t>
      </w:r>
      <w:r>
        <w:rPr>
          <w:rStyle w:val="libFootnotenumChar"/>
          <w:rtl/>
        </w:rPr>
        <w:t>(5)</w:t>
      </w:r>
      <w:r w:rsidRPr="00132E65">
        <w:rPr>
          <w:rtl/>
          <w:lang w:bidi="fa-IR"/>
        </w:rPr>
        <w:t xml:space="preserve"> ، مَسْلُوباً بِزَّتَهُ </w:t>
      </w:r>
      <w:r>
        <w:rPr>
          <w:rStyle w:val="libFootnotenumChar"/>
          <w:rtl/>
        </w:rPr>
        <w:t>(6)</w:t>
      </w:r>
      <w:r w:rsidRPr="00132E65">
        <w:rPr>
          <w:rtl/>
          <w:lang w:bidi="fa-IR"/>
        </w:rPr>
        <w:t xml:space="preserve"> ، بَيْنَ رِجْلَيْهِ لَبِنَةٌ </w:t>
      </w:r>
      <w:r>
        <w:rPr>
          <w:rStyle w:val="libFootnotenumChar"/>
          <w:rtl/>
        </w:rPr>
        <w:t>(7)</w:t>
      </w:r>
      <w:r w:rsidRPr="00132E65">
        <w:rPr>
          <w:rtl/>
          <w:lang w:bidi="fa-IR"/>
        </w:rPr>
        <w:t xml:space="preserve"> ، ولَايَنْفَعُ هذَا الْغُلَامَ مَا يَسْمَعُ</w:t>
      </w:r>
      <w:r>
        <w:rPr>
          <w:rtl/>
          <w:lang w:bidi="fa-IR"/>
        </w:rPr>
        <w:t xml:space="preserve"> - </w:t>
      </w:r>
      <w:r w:rsidRPr="00132E65">
        <w:rPr>
          <w:rtl/>
          <w:lang w:bidi="fa-IR"/>
        </w:rPr>
        <w:t>قَالَ مُوسَى بْنُ عَبْدِ اللهِ :</w:t>
      </w:r>
      <w:r>
        <w:rPr>
          <w:rFonts w:hint="cs"/>
          <w:rtl/>
          <w:lang w:bidi="fa-IR"/>
        </w:rPr>
        <w:t xml:space="preserve"> </w:t>
      </w:r>
      <w:r w:rsidRPr="00132E65">
        <w:rPr>
          <w:rtl/>
          <w:lang w:bidi="fa-IR"/>
        </w:rPr>
        <w:t xml:space="preserve">يَعْنِينِي </w:t>
      </w:r>
      <w:r>
        <w:rPr>
          <w:rStyle w:val="libFootnotenumChar"/>
          <w:rtl/>
        </w:rPr>
        <w:t>(8)</w:t>
      </w:r>
      <w:r>
        <w:rPr>
          <w:rtl/>
          <w:lang w:bidi="fa-IR"/>
        </w:rPr>
        <w:t xml:space="preserve"> - </w:t>
      </w:r>
      <w:r w:rsidRPr="00132E65">
        <w:rPr>
          <w:rtl/>
          <w:lang w:bidi="fa-IR"/>
        </w:rPr>
        <w:t xml:space="preserve">ولَيَخْرُجَنَّ </w:t>
      </w:r>
      <w:r>
        <w:rPr>
          <w:rStyle w:val="libFootnotenumChar"/>
          <w:rtl/>
        </w:rPr>
        <w:t>(9)</w:t>
      </w:r>
      <w:r w:rsidRPr="00132E65">
        <w:rPr>
          <w:rtl/>
          <w:lang w:bidi="fa-IR"/>
        </w:rPr>
        <w:t xml:space="preserve"> مَعَهُ فَيُهْزَمُ </w:t>
      </w:r>
      <w:r>
        <w:rPr>
          <w:rStyle w:val="libFootnotenumChar"/>
          <w:rtl/>
        </w:rPr>
        <w:t>(10)</w:t>
      </w:r>
      <w:r w:rsidRPr="00132E65">
        <w:rPr>
          <w:rtl/>
          <w:lang w:bidi="fa-IR"/>
        </w:rPr>
        <w:t xml:space="preserve"> ويُقْتَلُ صَاحِبُهُ ، ثُمَّ يَمْضِي ، فَيَخْرُجُ مَعَهُ </w:t>
      </w:r>
      <w:r>
        <w:rPr>
          <w:rStyle w:val="libFootnotenumChar"/>
          <w:rtl/>
        </w:rPr>
        <w:t>(11)</w:t>
      </w:r>
      <w:r w:rsidRPr="00132E65">
        <w:rPr>
          <w:rtl/>
          <w:lang w:bidi="fa-IR"/>
        </w:rPr>
        <w:t xml:space="preserve"> رَايَةٌ أُخْرى ، فَيُقْتَلُ كَبْشُهَا </w:t>
      </w:r>
      <w:r>
        <w:rPr>
          <w:rStyle w:val="libFootnotenumChar"/>
          <w:rtl/>
        </w:rPr>
        <w:t>(12)</w:t>
      </w:r>
      <w:r w:rsidRPr="00132E65">
        <w:rPr>
          <w:rtl/>
          <w:lang w:bidi="fa-IR"/>
        </w:rPr>
        <w:t xml:space="preserve"> ، ويَتَفَرَّقُ </w:t>
      </w:r>
      <w:r w:rsidRPr="00F543F1">
        <w:rPr>
          <w:rStyle w:val="libFootnotenumChar"/>
          <w:rtl/>
        </w:rPr>
        <w:t>(13)</w:t>
      </w:r>
      <w:r w:rsidRPr="00132E65">
        <w:rPr>
          <w:rtl/>
          <w:lang w:bidi="fa-IR"/>
        </w:rPr>
        <w:t xml:space="preserve"> جَيْشُهَا ، فَإِنْ أَطَاعَنِي ، فَلْيَطْلُبِ الْأَمَانَ عِنْدَ ذلِكَ مِنْ بَنِي الْعَبَّاسِ حَتّى يَأْتِيَهُ اللهُ بِالْفَرَجِ.</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أحفل » لم نجده في اللغة ، فلعلّه تصحيف حَفَلَ ، أو حَفَّلَ بمعنى جمع ، أي جمع هِمَّتَهُ ، يقال : حَفَلَ اللبنَ‌وحفّله ، أي جمعه. وفي اللغة : ذوحفيل في أمره ، أي ذو اجتهاد. وفيها أيضاً : رجل ذو حفل وحفلة ، أي مبالغ فيما أخذ من الا</w:t>
      </w:r>
      <w:r>
        <w:rPr>
          <w:rFonts w:hint="cs"/>
          <w:rtl/>
        </w:rPr>
        <w:t>ُ</w:t>
      </w:r>
      <w:r w:rsidRPr="00132E65">
        <w:rPr>
          <w:rtl/>
        </w:rPr>
        <w:t xml:space="preserve">مور. والكلّ قريب من تفسير الراوي. راجع : </w:t>
      </w:r>
      <w:r w:rsidRPr="009D1ACE">
        <w:rPr>
          <w:rStyle w:val="libFootnoteBoldChar"/>
          <w:rtl/>
        </w:rPr>
        <w:t>لسان العرب</w:t>
      </w:r>
      <w:r w:rsidRPr="00132E65">
        <w:rPr>
          <w:rtl/>
        </w:rPr>
        <w:t xml:space="preserve"> ، ج 11 ، ص 157 ؛ </w:t>
      </w:r>
      <w:r w:rsidRPr="00AE0838">
        <w:rPr>
          <w:rtl/>
        </w:rPr>
        <w:t>القاموس المحيط</w:t>
      </w:r>
      <w:r w:rsidRPr="00132E65">
        <w:rPr>
          <w:rtl/>
        </w:rPr>
        <w:t xml:space="preserve"> ، ج 2 ص 1303 ( حفل )</w:t>
      </w:r>
      <w:r>
        <w:rPr>
          <w:rtl/>
        </w:rPr>
        <w:t>.</w:t>
      </w:r>
    </w:p>
    <w:p w:rsidR="000C39D1" w:rsidRPr="00132E65" w:rsidRDefault="000C39D1" w:rsidP="000C39D1">
      <w:pPr>
        <w:pStyle w:val="libFootnote0"/>
        <w:rPr>
          <w:rtl/>
          <w:lang w:bidi="fa-IR"/>
        </w:rPr>
      </w:pPr>
      <w:r>
        <w:rPr>
          <w:rtl/>
        </w:rPr>
        <w:t>(2).</w:t>
      </w:r>
      <w:r w:rsidRPr="00132E65">
        <w:rPr>
          <w:rtl/>
        </w:rPr>
        <w:t xml:space="preserve"> في « ب ، ج ، ف ، ه‍ ، بح » و</w:t>
      </w:r>
      <w:r w:rsidRPr="009D1ACE">
        <w:rPr>
          <w:rStyle w:val="libFootnoteBoldChar"/>
          <w:rtl/>
        </w:rPr>
        <w:t>الوافي</w:t>
      </w:r>
      <w:r w:rsidRPr="00132E65">
        <w:rPr>
          <w:rtl/>
        </w:rPr>
        <w:t xml:space="preserve"> : « إذا جهد »</w:t>
      </w:r>
      <w:r>
        <w:rPr>
          <w:rtl/>
        </w:rPr>
        <w:t>.</w:t>
      </w:r>
    </w:p>
    <w:p w:rsidR="000C39D1" w:rsidRPr="00132E65" w:rsidRDefault="000C39D1" w:rsidP="000C39D1">
      <w:pPr>
        <w:pStyle w:val="libFootnote0"/>
        <w:rPr>
          <w:rtl/>
          <w:lang w:bidi="fa-IR"/>
        </w:rPr>
      </w:pPr>
      <w:r>
        <w:rPr>
          <w:rtl/>
        </w:rPr>
        <w:t>(3).</w:t>
      </w:r>
      <w:r w:rsidRPr="00132E65">
        <w:rPr>
          <w:rtl/>
        </w:rPr>
        <w:t xml:space="preserve"> في « ب »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(4).</w:t>
      </w:r>
      <w:r w:rsidRPr="00132E65">
        <w:rPr>
          <w:rtl/>
        </w:rPr>
        <w:t xml:space="preserve"> « السَلْحُ » : هو من الطائر كالتغوّط من الإنسان. ا</w:t>
      </w:r>
      <w:r>
        <w:rPr>
          <w:rFonts w:hint="cs"/>
          <w:rtl/>
        </w:rPr>
        <w:t>ُ</w:t>
      </w:r>
      <w:r w:rsidRPr="00132E65">
        <w:rPr>
          <w:rtl/>
        </w:rPr>
        <w:t xml:space="preserve">طلق على النطفة استعارة. راجع : </w:t>
      </w:r>
      <w:r w:rsidRPr="00AE0838">
        <w:rPr>
          <w:rtl/>
        </w:rPr>
        <w:t>المصباح المنير</w:t>
      </w:r>
      <w:r w:rsidR="00D14011">
        <w:rPr>
          <w:rtl/>
        </w:rPr>
        <w:t xml:space="preserve"> ، ص 285 (سلح</w:t>
      </w:r>
      <w:r w:rsidRPr="00132E65">
        <w:rPr>
          <w:rtl/>
        </w:rPr>
        <w:t>)</w:t>
      </w:r>
      <w:r>
        <w:rPr>
          <w:rtl/>
        </w:rPr>
        <w:t>.</w:t>
      </w:r>
    </w:p>
    <w:p w:rsidR="000C39D1" w:rsidRPr="00132E65" w:rsidRDefault="000C39D1" w:rsidP="000C39D1">
      <w:pPr>
        <w:pStyle w:val="libFootnote0"/>
        <w:rPr>
          <w:rtl/>
          <w:lang w:bidi="fa-IR"/>
        </w:rPr>
      </w:pPr>
      <w:r>
        <w:rPr>
          <w:rtl/>
        </w:rPr>
        <w:t>(5).</w:t>
      </w:r>
      <w:r w:rsidRPr="00132E65">
        <w:rPr>
          <w:rtl/>
        </w:rPr>
        <w:t xml:space="preserve"> « صَرِيعاً » أي مطروحاً بالأرض ؛ من الصَرْع ، وهو الطرح بالأرض. وخصّه بعضهم بالإنسان. راجع : </w:t>
      </w:r>
      <w:r w:rsidRPr="00AE0838">
        <w:rPr>
          <w:rtl/>
        </w:rPr>
        <w:t>لسان‌العرب</w:t>
      </w:r>
      <w:r w:rsidRPr="00132E65">
        <w:rPr>
          <w:rtl/>
        </w:rPr>
        <w:t xml:space="preserve"> ، ج 8 ، ص 197 ( صرع )</w:t>
      </w:r>
      <w:r>
        <w:rPr>
          <w:rtl/>
        </w:rPr>
        <w:t>.</w:t>
      </w:r>
    </w:p>
    <w:p w:rsidR="000C39D1" w:rsidRPr="00132E65" w:rsidRDefault="000C39D1" w:rsidP="000C39D1">
      <w:pPr>
        <w:pStyle w:val="libFootnote0"/>
        <w:rPr>
          <w:rtl/>
          <w:lang w:bidi="fa-IR"/>
        </w:rPr>
      </w:pPr>
      <w:r>
        <w:rPr>
          <w:rtl/>
        </w:rPr>
        <w:t>(6).</w:t>
      </w:r>
      <w:r w:rsidRPr="00132E65">
        <w:rPr>
          <w:rtl/>
        </w:rPr>
        <w:t xml:space="preserve"> « بزّته » منصوب كما في بعض النسخ ؛ لأنّه مفعولٌ ثانٍ ، والأوّل مستتر في مسلوباً. وقال الجوهري : البَزُّ من‌الثياب : أمتعة البزّاز. والبَزُّ أيضاً : السلاح. والبِزَّةُ بالكسر : الهيئة. والبِزَّةُ أيضاً : السلاح. </w:t>
      </w:r>
      <w:r w:rsidRPr="00AE0838">
        <w:rPr>
          <w:rtl/>
        </w:rPr>
        <w:t>الصحاح</w:t>
      </w:r>
      <w:r w:rsidRPr="00132E65">
        <w:rPr>
          <w:rtl/>
        </w:rPr>
        <w:t xml:space="preserve"> ، ج 3 ، ص 865 ( بزز )</w:t>
      </w:r>
      <w:r>
        <w:rPr>
          <w:rtl/>
        </w:rPr>
        <w:t>.</w:t>
      </w:r>
    </w:p>
    <w:p w:rsidR="000C39D1" w:rsidRPr="00132E65" w:rsidRDefault="000C39D1" w:rsidP="000C39D1">
      <w:pPr>
        <w:pStyle w:val="libFootnote0"/>
        <w:rPr>
          <w:rtl/>
          <w:lang w:bidi="fa-IR"/>
        </w:rPr>
      </w:pPr>
      <w:r>
        <w:rPr>
          <w:rtl/>
        </w:rPr>
        <w:t>(7).</w:t>
      </w:r>
      <w:r w:rsidRPr="00132E65">
        <w:rPr>
          <w:rtl/>
        </w:rPr>
        <w:t xml:space="preserve"> اللَبِنَةُ : واحدة اللَبِن ، وهي التي يُبْنى بها الجدار. ويقال : بكسر اللام وسكون الباء ، كناية عن ستر عورته بها. راجع : </w:t>
      </w:r>
      <w:r w:rsidRPr="009D1ACE">
        <w:rPr>
          <w:rStyle w:val="libFootnoteBoldChar"/>
          <w:rtl/>
        </w:rPr>
        <w:t>الوافي</w:t>
      </w:r>
      <w:r w:rsidRPr="00132E65">
        <w:rPr>
          <w:rtl/>
        </w:rPr>
        <w:t xml:space="preserve"> ، ج 2 ، ص 162 ؛ و</w:t>
      </w:r>
      <w:r w:rsidRPr="00AE0838">
        <w:rPr>
          <w:rtl/>
        </w:rPr>
        <w:t>النهاية</w:t>
      </w:r>
      <w:r w:rsidRPr="00132E65">
        <w:rPr>
          <w:rtl/>
        </w:rPr>
        <w:t xml:space="preserve"> ، ج 4 ، ص 229 ( لبن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(8).</w:t>
            </w:r>
            <w:r w:rsidRPr="00132E65">
              <w:rPr>
                <w:rtl/>
              </w:rPr>
              <w:t xml:space="preserve"> في « ب » : « يعتبني »</w:t>
            </w:r>
            <w:r>
              <w:rPr>
                <w:rtl/>
              </w:rPr>
              <w:t>.</w:t>
            </w:r>
          </w:p>
        </w:tc>
        <w:tc>
          <w:tcPr>
            <w:tcW w:w="4006" w:type="dxa"/>
          </w:tcPr>
          <w:p w:rsidR="000C39D1" w:rsidRDefault="000C39D1" w:rsidP="00B53873">
            <w:pPr>
              <w:pStyle w:val="libFootnote0"/>
              <w:rPr>
                <w:rtl/>
              </w:rPr>
            </w:pPr>
            <w:r>
              <w:rPr>
                <w:rtl/>
              </w:rPr>
              <w:t>(9).</w:t>
            </w:r>
            <w:r w:rsidRPr="00132E65">
              <w:rPr>
                <w:rtl/>
              </w:rPr>
              <w:t xml:space="preserve"> في « ه‍ ، بس » : « لتخرجنّ »</w:t>
            </w:r>
            <w:r>
              <w:rPr>
                <w:rtl/>
              </w:rPr>
              <w:t>.</w:t>
            </w:r>
          </w:p>
        </w:tc>
      </w:tr>
    </w:tbl>
    <w:p w:rsidR="000C39D1" w:rsidRPr="00132E65" w:rsidRDefault="000C39D1" w:rsidP="000C39D1">
      <w:pPr>
        <w:pStyle w:val="libFootnote0"/>
        <w:rPr>
          <w:rtl/>
          <w:lang w:bidi="fa-IR"/>
        </w:rPr>
      </w:pPr>
      <w:r>
        <w:rPr>
          <w:rtl/>
        </w:rPr>
        <w:t>(10).</w:t>
      </w:r>
      <w:r w:rsidRPr="00132E65">
        <w:rPr>
          <w:rtl/>
        </w:rPr>
        <w:t xml:space="preserve"> في « ه‍ » : « فتهزم »</w:t>
      </w:r>
      <w:r>
        <w:rPr>
          <w:rtl/>
        </w:rPr>
        <w:t>.</w:t>
      </w:r>
      <w:r w:rsidRPr="00132E65">
        <w:rPr>
          <w:rtl/>
        </w:rPr>
        <w:t xml:space="preserve"> وفي حاشية « ض » والبحار : « فينهزم »</w:t>
      </w:r>
      <w:r>
        <w:rPr>
          <w:rtl/>
        </w:rPr>
        <w:t>.</w:t>
      </w:r>
    </w:p>
    <w:p w:rsidR="000C39D1" w:rsidRPr="00132E65" w:rsidRDefault="000C39D1" w:rsidP="000C39D1">
      <w:pPr>
        <w:pStyle w:val="libFootnote0"/>
        <w:rPr>
          <w:rtl/>
          <w:lang w:bidi="fa-IR"/>
        </w:rPr>
      </w:pPr>
      <w:r>
        <w:rPr>
          <w:rtl/>
        </w:rPr>
        <w:t>(11).</w:t>
      </w:r>
      <w:r w:rsidRPr="00132E65">
        <w:rPr>
          <w:rtl/>
        </w:rPr>
        <w:t xml:space="preserve"> قال المجلسي في </w:t>
      </w:r>
      <w:r w:rsidRPr="009D1ACE">
        <w:rPr>
          <w:rStyle w:val="libFootnoteBoldChar"/>
          <w:rtl/>
        </w:rPr>
        <w:t>مرآة العقول</w:t>
      </w:r>
      <w:r w:rsidRPr="00132E65">
        <w:rPr>
          <w:rtl/>
        </w:rPr>
        <w:t xml:space="preserve"> : « والأظهر « مع » بلا ضمير »</w:t>
      </w:r>
      <w:r>
        <w:rPr>
          <w:rtl/>
        </w:rPr>
        <w:t>.</w:t>
      </w:r>
    </w:p>
    <w:p w:rsidR="000C39D1" w:rsidRPr="00132E65" w:rsidRDefault="000C39D1" w:rsidP="000C39D1">
      <w:pPr>
        <w:pStyle w:val="libFootnote0"/>
        <w:rPr>
          <w:rtl/>
          <w:lang w:bidi="fa-IR"/>
        </w:rPr>
      </w:pPr>
      <w:r>
        <w:rPr>
          <w:rtl/>
        </w:rPr>
        <w:t>(12).</w:t>
      </w:r>
      <w:r w:rsidRPr="00132E65">
        <w:rPr>
          <w:rtl/>
        </w:rPr>
        <w:t xml:space="preserve"> كَبْشُ القوم : رئيسهم وسيّدهم ، وكبش الجيش : أميرهم. راجع : </w:t>
      </w:r>
      <w:r w:rsidRPr="009D1ACE">
        <w:rPr>
          <w:rStyle w:val="libFootnoteBoldChar"/>
          <w:rtl/>
        </w:rPr>
        <w:t>لسان العرب</w:t>
      </w:r>
      <w:r w:rsidRPr="00132E65">
        <w:rPr>
          <w:rtl/>
        </w:rPr>
        <w:t xml:space="preserve"> ، ج 6 ، ص 338 ( كبش )</w:t>
      </w:r>
      <w:r>
        <w:rPr>
          <w:rtl/>
        </w:rPr>
        <w:t>.</w:t>
      </w:r>
    </w:p>
    <w:p w:rsidR="000C39D1" w:rsidRPr="00132E65" w:rsidRDefault="000C39D1" w:rsidP="000C39D1">
      <w:pPr>
        <w:pStyle w:val="libFootnote0"/>
        <w:rPr>
          <w:rtl/>
          <w:lang w:bidi="fa-IR"/>
        </w:rPr>
      </w:pPr>
      <w:r>
        <w:rPr>
          <w:rtl/>
        </w:rPr>
        <w:t>(13)</w:t>
      </w:r>
      <w:r w:rsidRPr="00132E65">
        <w:rPr>
          <w:rtl/>
        </w:rPr>
        <w:t xml:space="preserve"> في « بح » وحاشية « بر » و</w:t>
      </w:r>
      <w:r w:rsidRPr="009D1ACE">
        <w:rPr>
          <w:rStyle w:val="libFootnoteBoldChar"/>
          <w:rtl/>
        </w:rPr>
        <w:t>الوافي</w:t>
      </w:r>
      <w:r w:rsidRPr="00132E65">
        <w:rPr>
          <w:rtl/>
        </w:rPr>
        <w:t xml:space="preserve"> : « يهزم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وَلَقَدْ عَلِمْتُ </w:t>
      </w:r>
      <w:r>
        <w:rPr>
          <w:rStyle w:val="libFootnotenumChar"/>
          <w:rtl/>
        </w:rPr>
        <w:t>(1)</w:t>
      </w:r>
      <w:r w:rsidRPr="00132E65">
        <w:rPr>
          <w:rtl/>
          <w:lang w:bidi="fa-IR"/>
        </w:rPr>
        <w:t xml:space="preserve"> بِأَنَّ هذَا الْأَمْرَ لَايَتِمُّ ، وإِنَّكَ لَتَعْلَمُ ونَعْلَمُ أَنَّ ابْنَكَ الْأَحْوَلُ الْأَخْضَرُ الْأَكْشَفُ الْمَقْتُولُ بِسُدَّةِ أَشْجَعَ بَيْنَ دُورِهَا عِنْدَ بَطْنِ مَسِيلِهَا »</w:t>
      </w:r>
      <w:r>
        <w:rPr>
          <w:rtl/>
          <w:lang w:bidi="fa-IR"/>
        </w:rPr>
        <w:t>.</w:t>
      </w:r>
    </w:p>
    <w:p w:rsidR="000C39D1" w:rsidRPr="00132E65" w:rsidRDefault="000C39D1" w:rsidP="000C39D1">
      <w:pPr>
        <w:pStyle w:val="libNormal"/>
        <w:rPr>
          <w:rtl/>
          <w:lang w:bidi="fa-IR"/>
        </w:rPr>
      </w:pPr>
      <w:r w:rsidRPr="00132E65">
        <w:rPr>
          <w:rtl/>
          <w:lang w:bidi="fa-IR"/>
        </w:rPr>
        <w:t xml:space="preserve">فَقَامَ أَبِي وهُوَ يَقُولُ : بَلْ يُغْنِي اللهُ </w:t>
      </w:r>
      <w:r>
        <w:rPr>
          <w:rStyle w:val="libFootnotenumChar"/>
          <w:rtl/>
        </w:rPr>
        <w:t>(2)</w:t>
      </w:r>
      <w:r w:rsidRPr="00132E65">
        <w:rPr>
          <w:rtl/>
          <w:lang w:bidi="fa-IR"/>
        </w:rPr>
        <w:t xml:space="preserve"> عَنْكَ ؛ ولَتَعُودَنَّ ، أَوْ لَيَقِي </w:t>
      </w:r>
      <w:r>
        <w:rPr>
          <w:rStyle w:val="libFootnotenumChar"/>
          <w:rtl/>
        </w:rPr>
        <w:t>(3)</w:t>
      </w:r>
      <w:r w:rsidRPr="00132E65">
        <w:rPr>
          <w:rtl/>
          <w:lang w:bidi="fa-IR"/>
        </w:rPr>
        <w:t xml:space="preserve"> اللهُ بِكَ وبِغَيْرِكَ ، وَمَا أَرَدْتَ </w:t>
      </w:r>
      <w:r>
        <w:rPr>
          <w:rStyle w:val="libFootnotenumChar"/>
          <w:rtl/>
        </w:rPr>
        <w:t>(4)</w:t>
      </w:r>
      <w:r>
        <w:rPr>
          <w:rtl/>
          <w:lang w:bidi="fa-IR"/>
        </w:rPr>
        <w:t xml:space="preserve"> بِهذَا إِل</w:t>
      </w:r>
      <w:r>
        <w:rPr>
          <w:rFonts w:hint="cs"/>
          <w:rtl/>
          <w:lang w:bidi="fa-IR"/>
        </w:rPr>
        <w:t>َّ</w:t>
      </w:r>
      <w:r>
        <w:rPr>
          <w:rtl/>
          <w:lang w:bidi="fa-IR"/>
        </w:rPr>
        <w:t>ا</w:t>
      </w:r>
      <w:r w:rsidRPr="00132E65">
        <w:rPr>
          <w:rtl/>
          <w:lang w:bidi="fa-IR"/>
        </w:rPr>
        <w:t xml:space="preserve"> امْتِنَاعَ </w:t>
      </w:r>
      <w:r>
        <w:rPr>
          <w:rStyle w:val="libFootnotenumChar"/>
          <w:rtl/>
        </w:rPr>
        <w:t>(5)</w:t>
      </w:r>
      <w:r w:rsidRPr="00132E65">
        <w:rPr>
          <w:rtl/>
          <w:lang w:bidi="fa-IR"/>
        </w:rPr>
        <w:t xml:space="preserve"> غَيْرِكَ ، وأَنْ تَكُونَ ذَرِيعَتَهُمْ إِلى ذلِكَ </w:t>
      </w:r>
      <w:r>
        <w:rPr>
          <w:rStyle w:val="libFootnotenumChar"/>
          <w:rtl/>
        </w:rPr>
        <w:t>(6)</w:t>
      </w:r>
    </w:p>
    <w:p w:rsidR="000C39D1" w:rsidRPr="00132E65" w:rsidRDefault="000C39D1" w:rsidP="000C39D1">
      <w:pPr>
        <w:pStyle w:val="libNormal"/>
        <w:rPr>
          <w:rtl/>
          <w:lang w:bidi="fa-IR"/>
        </w:rPr>
      </w:pPr>
      <w:r w:rsidRPr="00132E65">
        <w:rPr>
          <w:rtl/>
          <w:lang w:bidi="fa-IR"/>
        </w:rPr>
        <w:t xml:space="preserve">فَقَالَ أَبُو عَبْدِ اللهِ </w:t>
      </w:r>
      <w:r w:rsidRPr="00071CF9">
        <w:rPr>
          <w:rStyle w:val="libAlaemChar"/>
          <w:rtl/>
        </w:rPr>
        <w:t>عليه‌السلام</w:t>
      </w:r>
      <w:r w:rsidRPr="00132E65">
        <w:rPr>
          <w:rtl/>
          <w:lang w:bidi="fa-IR"/>
        </w:rPr>
        <w:t xml:space="preserve"> : « اللهُ يَعْلَمُ مَا أُرِيد</w:t>
      </w:r>
      <w:r>
        <w:rPr>
          <w:rtl/>
          <w:lang w:bidi="fa-IR"/>
        </w:rPr>
        <w:t>ُ إِل</w:t>
      </w:r>
      <w:r>
        <w:rPr>
          <w:rFonts w:hint="cs"/>
          <w:rtl/>
          <w:lang w:bidi="fa-IR"/>
        </w:rPr>
        <w:t>َّ</w:t>
      </w:r>
      <w:r>
        <w:rPr>
          <w:rtl/>
          <w:lang w:bidi="fa-IR"/>
        </w:rPr>
        <w:t>ا</w:t>
      </w:r>
      <w:r w:rsidRPr="00132E65">
        <w:rPr>
          <w:rtl/>
          <w:lang w:bidi="fa-IR"/>
        </w:rPr>
        <w:t xml:space="preserve"> نُصْحَكَ ورُشْدَكَ ، ومَا عَلَيَّ </w:t>
      </w:r>
      <w:r>
        <w:rPr>
          <w:rStyle w:val="libFootnotenumChar"/>
          <w:rtl/>
        </w:rPr>
        <w:t>(7)</w:t>
      </w:r>
      <w:r>
        <w:rPr>
          <w:rtl/>
          <w:lang w:bidi="fa-IR"/>
        </w:rPr>
        <w:t xml:space="preserve"> إِل</w:t>
      </w:r>
      <w:r>
        <w:rPr>
          <w:rFonts w:hint="cs"/>
          <w:rtl/>
          <w:lang w:bidi="fa-IR"/>
        </w:rPr>
        <w:t>َّ</w:t>
      </w:r>
      <w:r>
        <w:rPr>
          <w:rtl/>
          <w:lang w:bidi="fa-IR"/>
        </w:rPr>
        <w:t>ا</w:t>
      </w:r>
      <w:r w:rsidRPr="00132E65">
        <w:rPr>
          <w:rtl/>
          <w:lang w:bidi="fa-IR"/>
        </w:rPr>
        <w:t xml:space="preserve"> الْجَهْدُ </w:t>
      </w:r>
      <w:r>
        <w:rPr>
          <w:rStyle w:val="libFootnotenumChar"/>
          <w:rtl/>
        </w:rPr>
        <w:t>(8)</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فَقَامَ أَبِي يَجُرُّ ثَوْبَهُ مُغْضَباً ، فَلَحِقَهُ أَبُو عَبْدِ اللهِ </w:t>
      </w:r>
      <w:r w:rsidRPr="00071CF9">
        <w:rPr>
          <w:rStyle w:val="libAlaemChar"/>
          <w:rtl/>
        </w:rPr>
        <w:t>عليه‌السلام</w:t>
      </w:r>
      <w:r w:rsidRPr="00132E65">
        <w:rPr>
          <w:rtl/>
          <w:lang w:bidi="fa-IR"/>
        </w:rPr>
        <w:t xml:space="preserve"> ، فَقَالَ لَهُ : « أُخْبِرُكَ أَنِّي سَمِعْتُ عَمَّكَ</w:t>
      </w:r>
      <w:r>
        <w:rPr>
          <w:rtl/>
          <w:lang w:bidi="fa-IR"/>
        </w:rPr>
        <w:t xml:space="preserve"> - </w:t>
      </w:r>
      <w:r w:rsidRPr="00132E65">
        <w:rPr>
          <w:rtl/>
          <w:lang w:bidi="fa-IR"/>
        </w:rPr>
        <w:t xml:space="preserve">وهُوَ خَالُكَ </w:t>
      </w:r>
      <w:r>
        <w:rPr>
          <w:rStyle w:val="libFootnotenumChar"/>
          <w:rtl/>
        </w:rPr>
        <w:t>(9)</w:t>
      </w:r>
      <w:r>
        <w:rPr>
          <w:rtl/>
          <w:lang w:bidi="fa-IR"/>
        </w:rPr>
        <w:t xml:space="preserve"> - </w:t>
      </w:r>
      <w:r w:rsidRPr="00132E65">
        <w:rPr>
          <w:rtl/>
          <w:lang w:bidi="fa-IR"/>
        </w:rPr>
        <w:t xml:space="preserve">يَذْكُرُ أَنَّكَ وبَنِي أَبِيكَ سَتُقْتَلُونَ ، فَإِنْ أَطَعْتَنِي ورَأَيْتَ أَنْ تَدْفَعَ بِالَّتِي هِيَ أَحْسَنُ ، فَافْعَلْ ؛ فَوَ اللهِ </w:t>
      </w:r>
      <w:r>
        <w:rPr>
          <w:rStyle w:val="libFootnotenumChar"/>
          <w:rtl/>
        </w:rPr>
        <w:t>(10)</w:t>
      </w:r>
      <w:r>
        <w:rPr>
          <w:rtl/>
          <w:lang w:bidi="fa-IR"/>
        </w:rPr>
        <w:t xml:space="preserve"> - </w:t>
      </w:r>
      <w:r w:rsidRPr="00132E65">
        <w:rPr>
          <w:rtl/>
          <w:lang w:bidi="fa-IR"/>
        </w:rPr>
        <w:t>الَّذِي لَا</w:t>
      </w:r>
      <w:r>
        <w:rPr>
          <w:rFonts w:hint="cs"/>
          <w:rtl/>
          <w:lang w:bidi="fa-IR"/>
        </w:rPr>
        <w:t xml:space="preserve"> </w:t>
      </w:r>
      <w:r>
        <w:rPr>
          <w:rtl/>
          <w:lang w:bidi="fa-IR"/>
        </w:rPr>
        <w:t>إِلهَ إِل</w:t>
      </w:r>
      <w:r>
        <w:rPr>
          <w:rFonts w:hint="cs"/>
          <w:rtl/>
          <w:lang w:bidi="fa-IR"/>
        </w:rPr>
        <w:t>َّ</w:t>
      </w:r>
      <w:r>
        <w:rPr>
          <w:rtl/>
          <w:lang w:bidi="fa-IR"/>
        </w:rPr>
        <w:t>ا</w:t>
      </w:r>
      <w:r w:rsidRPr="00132E65">
        <w:rPr>
          <w:rtl/>
          <w:lang w:bidi="fa-IR"/>
        </w:rPr>
        <w:t xml:space="preserve"> هُوَ عَالِمُ الْغَيْبِ والشَّهَادَةِ ، الرَّحْمَنُ الرَّحِيمُ ، الْكَبِيرُ الْمُتَعَالِ عَلى خَلْقِهِ </w:t>
      </w:r>
      <w:r>
        <w:rPr>
          <w:rStyle w:val="libFootnotenumChar"/>
          <w:rtl/>
        </w:rPr>
        <w:t>(11)</w:t>
      </w:r>
      <w:r>
        <w:rPr>
          <w:rtl/>
          <w:lang w:bidi="fa-IR"/>
        </w:rPr>
        <w:t xml:space="preserve"> - </w:t>
      </w:r>
      <w:r w:rsidRPr="00132E65">
        <w:rPr>
          <w:rtl/>
          <w:lang w:bidi="fa-IR"/>
        </w:rPr>
        <w:t xml:space="preserve">لَوَدِدْتُ أَنِّي فَدَيْتُكَ بِوُلْدِي ، وبِأَحَبِّهِمْ إِلَيَّ ، وبِأَحَبِّ أَهْلِ بَيْتِي إِلَيَّ ، ومَا يَعْدِلُكَ عِنْدِي شَيْ‌ءٌ ، فَلَا تَرى أَنِّي </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w:t>
      </w:r>
      <w:r>
        <w:rPr>
          <w:rtl/>
        </w:rPr>
        <w:t>و »</w:t>
      </w:r>
      <w:r w:rsidRPr="00132E65">
        <w:rPr>
          <w:rtl/>
        </w:rPr>
        <w:t xml:space="preserve"> : « علمتُ » بصيغة التكلّم. وليس في سائر النسخ ما ينافيه. ويجوز فيه الخطاب أيضاً.</w:t>
      </w:r>
    </w:p>
    <w:p w:rsidR="000C39D1" w:rsidRPr="00132E65" w:rsidRDefault="000C39D1" w:rsidP="000C39D1">
      <w:pPr>
        <w:pStyle w:val="libFootnote0"/>
        <w:rPr>
          <w:rtl/>
          <w:lang w:bidi="fa-IR"/>
        </w:rPr>
      </w:pPr>
      <w:r>
        <w:rPr>
          <w:rtl/>
        </w:rPr>
        <w:t>(2).</w:t>
      </w:r>
      <w:r w:rsidRPr="00132E65">
        <w:rPr>
          <w:rtl/>
        </w:rPr>
        <w:t xml:space="preserve"> في « ف » : « بل الله يغني »</w:t>
      </w:r>
      <w:r>
        <w:rPr>
          <w:rtl/>
        </w:rPr>
        <w:t>.</w:t>
      </w:r>
    </w:p>
    <w:p w:rsidR="000C39D1" w:rsidRPr="00132E65" w:rsidRDefault="000C39D1" w:rsidP="000C39D1">
      <w:pPr>
        <w:pStyle w:val="libFootnote0"/>
        <w:rPr>
          <w:rtl/>
          <w:lang w:bidi="fa-IR"/>
        </w:rPr>
      </w:pPr>
      <w:r>
        <w:rPr>
          <w:rtl/>
        </w:rPr>
        <w:t>(3).</w:t>
      </w:r>
      <w:r w:rsidRPr="00132E65">
        <w:rPr>
          <w:rtl/>
        </w:rPr>
        <w:t xml:space="preserve"> في « ج ، ف ، ه‍ ، بس ، بف » : « ليفي »</w:t>
      </w:r>
      <w:r>
        <w:rPr>
          <w:rtl/>
        </w:rPr>
        <w:t>.</w:t>
      </w:r>
      <w:r w:rsidRPr="00132E65">
        <w:rPr>
          <w:rtl/>
        </w:rPr>
        <w:t xml:space="preserve"> وفي « و، بح ، بر » وحاشية « بح » وشرح المازندراني و</w:t>
      </w:r>
      <w:r w:rsidRPr="009D1ACE">
        <w:rPr>
          <w:rStyle w:val="libFootnoteBoldChar"/>
          <w:rtl/>
        </w:rPr>
        <w:t>مرآة العقول</w:t>
      </w:r>
      <w:r w:rsidRPr="00132E65">
        <w:rPr>
          <w:rtl/>
        </w:rPr>
        <w:t xml:space="preserve"> : « ليفي‌ء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وقرأ بعضهم : أردتُ ، بصيغة المتكلّم ، أي ما أردتُ بط</w:t>
      </w:r>
      <w:r>
        <w:rPr>
          <w:rtl/>
        </w:rPr>
        <w:t>لب بيعتك إل</w:t>
      </w:r>
      <w:r>
        <w:rPr>
          <w:rFonts w:hint="cs"/>
          <w:rtl/>
        </w:rPr>
        <w:t>ّ</w:t>
      </w:r>
      <w:r>
        <w:rPr>
          <w:rtl/>
        </w:rPr>
        <w:t>ا</w:t>
      </w:r>
      <w:r w:rsidRPr="00132E65">
        <w:rPr>
          <w:rtl/>
        </w:rPr>
        <w:t>رفع امتناع غيرك وأن تكون وسيلتهم إلى المبايعة والمتابعة ، ولا يخفى بعده »</w:t>
      </w:r>
      <w:r>
        <w:rPr>
          <w:rtl/>
        </w:rPr>
        <w:t>.</w:t>
      </w:r>
    </w:p>
    <w:p w:rsidR="000C39D1" w:rsidRPr="00132E65" w:rsidRDefault="000C39D1" w:rsidP="000C39D1">
      <w:pPr>
        <w:pStyle w:val="libFootnote0"/>
        <w:rPr>
          <w:rtl/>
          <w:lang w:bidi="fa-IR"/>
        </w:rPr>
      </w:pPr>
      <w:r>
        <w:rPr>
          <w:rtl/>
        </w:rPr>
        <w:t>(5).</w:t>
      </w:r>
      <w:r w:rsidRPr="00132E65">
        <w:rPr>
          <w:rtl/>
        </w:rPr>
        <w:t xml:space="preserve"> في « ج ، بر ، بس » : « بهذا الامتناع »</w:t>
      </w:r>
      <w:r>
        <w:rPr>
          <w:rtl/>
        </w:rPr>
        <w:t>.</w:t>
      </w:r>
    </w:p>
    <w:p w:rsidR="000C39D1" w:rsidRPr="00132E65" w:rsidRDefault="000C39D1" w:rsidP="000C39D1">
      <w:pPr>
        <w:pStyle w:val="libFootnote0"/>
        <w:rPr>
          <w:rtl/>
          <w:lang w:bidi="fa-IR"/>
        </w:rPr>
      </w:pPr>
      <w:r>
        <w:rPr>
          <w:rtl/>
        </w:rPr>
        <w:t>(6).</w:t>
      </w:r>
      <w:r w:rsidRPr="00132E65">
        <w:rPr>
          <w:rtl/>
        </w:rPr>
        <w:t xml:space="preserve"> في « ب ، ج ، ض ، بر ، بس ، بف » وحاشية « بح » والبحار : « ذاك »</w:t>
      </w:r>
      <w:r>
        <w:rPr>
          <w:rtl/>
        </w:rPr>
        <w:t>.</w:t>
      </w:r>
    </w:p>
    <w:p w:rsidR="000C39D1" w:rsidRPr="00132E65" w:rsidRDefault="000C39D1" w:rsidP="000C39D1">
      <w:pPr>
        <w:pStyle w:val="libFootnote0"/>
        <w:rPr>
          <w:rtl/>
          <w:lang w:bidi="fa-IR"/>
        </w:rPr>
      </w:pPr>
      <w:r>
        <w:rPr>
          <w:rtl/>
        </w:rPr>
        <w:t>(7).</w:t>
      </w:r>
      <w:r w:rsidRPr="00132E65">
        <w:rPr>
          <w:rtl/>
        </w:rPr>
        <w:t xml:space="preserve"> في « ف » : « عليك »</w:t>
      </w:r>
      <w:r>
        <w:rPr>
          <w:rtl/>
        </w:rPr>
        <w:t>.</w:t>
      </w:r>
    </w:p>
    <w:p w:rsidR="000C39D1" w:rsidRPr="00132E65" w:rsidRDefault="000C39D1" w:rsidP="000C39D1">
      <w:pPr>
        <w:pStyle w:val="libFootnote0"/>
        <w:rPr>
          <w:rtl/>
          <w:lang w:bidi="fa-IR"/>
        </w:rPr>
      </w:pPr>
      <w:r>
        <w:rPr>
          <w:rtl/>
        </w:rPr>
        <w:t>(8).</w:t>
      </w:r>
      <w:r w:rsidRPr="00132E65">
        <w:rPr>
          <w:rtl/>
        </w:rPr>
        <w:t xml:space="preserve"> « الجَهْد » بالفتح : السعي بأقصى الطاقة. </w:t>
      </w:r>
      <w:r w:rsidRPr="00AE0838">
        <w:rPr>
          <w:rtl/>
        </w:rPr>
        <w:t>الصحاح</w:t>
      </w:r>
      <w:r w:rsidRPr="00132E65">
        <w:rPr>
          <w:rtl/>
        </w:rPr>
        <w:t xml:space="preserve"> ، ج 2 ، ص 460 ( جهد )</w:t>
      </w:r>
      <w:r>
        <w:rPr>
          <w:rtl/>
        </w:rPr>
        <w:t>.</w:t>
      </w:r>
    </w:p>
    <w:p w:rsidR="000C39D1" w:rsidRPr="00132E65" w:rsidRDefault="000C39D1" w:rsidP="000C39D1">
      <w:pPr>
        <w:pStyle w:val="libFootnote0"/>
        <w:rPr>
          <w:rtl/>
          <w:lang w:bidi="fa-IR"/>
        </w:rPr>
      </w:pPr>
      <w:r>
        <w:rPr>
          <w:rtl/>
        </w:rPr>
        <w:t>(9).</w:t>
      </w:r>
      <w:r w:rsidRPr="00132E65">
        <w:rPr>
          <w:rtl/>
        </w:rPr>
        <w:t xml:space="preserve"> والمراد به هو عليّ بن الحسين </w:t>
      </w:r>
      <w:r w:rsidRPr="00C70429">
        <w:rPr>
          <w:rStyle w:val="libFootnoteAlaemChar"/>
          <w:rtl/>
        </w:rPr>
        <w:t>عليهما‌السلام</w:t>
      </w:r>
      <w:r w:rsidRPr="00132E65">
        <w:rPr>
          <w:rtl/>
        </w:rPr>
        <w:t xml:space="preserve"> ، فإنّه خاله حقيقة وعمّه مجازاً ؛ فإنّه ابن عمّه كما هو ابن عمّ أبيه الحسن‌أيضاً.</w:t>
      </w:r>
    </w:p>
    <w:p w:rsidR="000C39D1" w:rsidRPr="00132E65" w:rsidRDefault="000C39D1" w:rsidP="000C39D1">
      <w:pPr>
        <w:pStyle w:val="libFootnote0"/>
        <w:rPr>
          <w:rtl/>
          <w:lang w:bidi="fa-IR"/>
        </w:rPr>
      </w:pPr>
      <w:r>
        <w:rPr>
          <w:rtl/>
        </w:rPr>
        <w:t>(10).</w:t>
      </w:r>
      <w:r w:rsidRPr="00132E65">
        <w:rPr>
          <w:rtl/>
        </w:rPr>
        <w:t xml:space="preserve"> في « ب ، ف ، ه‍ ، بح » و</w:t>
      </w:r>
      <w:r w:rsidRPr="009D1ACE">
        <w:rPr>
          <w:rStyle w:val="libFootnoteBoldChar"/>
          <w:rtl/>
        </w:rPr>
        <w:t>الوافي</w:t>
      </w:r>
      <w:r w:rsidRPr="00132E65">
        <w:rPr>
          <w:rtl/>
        </w:rPr>
        <w:t xml:space="preserve"> والبحار : « ووالله »</w:t>
      </w:r>
      <w:r>
        <w:rPr>
          <w:rtl/>
        </w:rPr>
        <w:t>.</w:t>
      </w:r>
      <w:r w:rsidRPr="00132E65">
        <w:rPr>
          <w:rtl/>
        </w:rPr>
        <w:t xml:space="preserve"> وفي « ج ، بس ، بف » : « والله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 ض ، ف » :</w:t>
            </w:r>
            <w:r>
              <w:rPr>
                <w:rtl/>
              </w:rPr>
              <w:t xml:space="preserve"> + </w:t>
            </w:r>
            <w:r w:rsidRPr="00132E65">
              <w:rPr>
                <w:rtl/>
              </w:rPr>
              <w:t>« إنّي »</w:t>
            </w:r>
            <w:r>
              <w:rPr>
                <w:rtl/>
              </w:rPr>
              <w:t>.</w:t>
            </w:r>
          </w:p>
        </w:tc>
        <w:tc>
          <w:tcPr>
            <w:tcW w:w="4006" w:type="dxa"/>
          </w:tcPr>
          <w:p w:rsidR="000C39D1" w:rsidRDefault="000C39D1" w:rsidP="00B53873">
            <w:pPr>
              <w:pStyle w:val="libFootnote0"/>
              <w:rPr>
                <w:rtl/>
              </w:rPr>
            </w:pPr>
            <w:r>
              <w:rPr>
                <w:rtl/>
              </w:rPr>
              <w:t>(12).</w:t>
            </w:r>
            <w:r w:rsidRPr="00132E65">
              <w:rPr>
                <w:rtl/>
              </w:rPr>
              <w:t xml:space="preserve"> في « ه‍ </w:t>
            </w:r>
            <w:r w:rsidR="00D14011" w:rsidRPr="00132E65">
              <w:rPr>
                <w:rtl/>
              </w:rPr>
              <w:t>»</w:t>
            </w:r>
            <w:r w:rsidRPr="00132E65">
              <w:rPr>
                <w:rtl/>
              </w:rPr>
              <w:t xml:space="preserve"> : « أنّني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غَشَشْتُكَ </w:t>
      </w:r>
      <w:r>
        <w:rPr>
          <w:rStyle w:val="libFootnotenumChar"/>
          <w:rtl/>
        </w:rPr>
        <w:t>(1)</w:t>
      </w:r>
      <w:r w:rsidRPr="00132E65">
        <w:rPr>
          <w:rtl/>
          <w:lang w:bidi="fa-IR"/>
        </w:rPr>
        <w:t xml:space="preserve"> »</w:t>
      </w:r>
      <w:r>
        <w:rPr>
          <w:rtl/>
          <w:lang w:bidi="fa-IR"/>
        </w:rPr>
        <w:t>.</w:t>
      </w:r>
      <w:r w:rsidRPr="00132E65">
        <w:rPr>
          <w:rtl/>
          <w:lang w:bidi="fa-IR"/>
        </w:rPr>
        <w:t xml:space="preserve"> فَخَرَجَ أَبِي مِنْ عِنْدِهِ مُغْضَباً أَسِفاً </w:t>
      </w:r>
      <w:r>
        <w:rPr>
          <w:rStyle w:val="libFootnotenumChar"/>
          <w:rtl/>
        </w:rPr>
        <w:t>(2)</w:t>
      </w:r>
      <w:r w:rsidRPr="00742ACD">
        <w:rPr>
          <w:rStyle w:val="libNormalChar"/>
          <w:rFonts w:hint="cs"/>
          <w:rtl/>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(3)</w:t>
      </w:r>
      <w:r w:rsidRPr="00132E65">
        <w:rPr>
          <w:rtl/>
          <w:lang w:bidi="fa-IR"/>
        </w:rPr>
        <w:t xml:space="preserve"> : فَم</w:t>
      </w:r>
      <w:r>
        <w:rPr>
          <w:rtl/>
          <w:lang w:bidi="fa-IR"/>
        </w:rPr>
        <w:t>َا أَقَمْنَا بَعْدَ ذلِكَ إِل</w:t>
      </w:r>
      <w:r>
        <w:rPr>
          <w:rFonts w:hint="cs"/>
          <w:rtl/>
          <w:lang w:bidi="fa-IR"/>
        </w:rPr>
        <w:t>َّ</w:t>
      </w:r>
      <w:r>
        <w:rPr>
          <w:rtl/>
          <w:lang w:bidi="fa-IR"/>
        </w:rPr>
        <w:t>ا</w:t>
      </w:r>
      <w:r w:rsidRPr="00132E65">
        <w:rPr>
          <w:rtl/>
          <w:lang w:bidi="fa-IR"/>
        </w:rPr>
        <w:t xml:space="preserve"> قَلِيلاً</w:t>
      </w:r>
      <w:r>
        <w:rPr>
          <w:rtl/>
          <w:lang w:bidi="fa-IR"/>
        </w:rPr>
        <w:t xml:space="preserve"> - </w:t>
      </w:r>
      <w:r w:rsidRPr="00132E65">
        <w:rPr>
          <w:rtl/>
          <w:lang w:bidi="fa-IR"/>
        </w:rPr>
        <w:t>عِشْرِينَ لَيْلَةً أَوْ نَحْوَهَا</w:t>
      </w:r>
      <w:r>
        <w:rPr>
          <w:rtl/>
          <w:lang w:bidi="fa-IR"/>
        </w:rPr>
        <w:t xml:space="preserve"> - </w:t>
      </w:r>
      <w:r w:rsidRPr="00132E65">
        <w:rPr>
          <w:rtl/>
          <w:lang w:bidi="fa-IR"/>
        </w:rPr>
        <w:t xml:space="preserve">حَتّى قَدِمَتْ رُسُلُ أَبِي جَعْفَرٍ ، فَأَخَذُوا أَبِي وعُمُومَتِي : سُلَيْمَانَ بْنَ حَسَنٍ </w:t>
      </w:r>
      <w:r>
        <w:rPr>
          <w:rStyle w:val="libFootnotenumChar"/>
          <w:rtl/>
        </w:rPr>
        <w:t>(4)</w:t>
      </w:r>
      <w:r w:rsidRPr="00132E65">
        <w:rPr>
          <w:rtl/>
          <w:lang w:bidi="fa-IR"/>
        </w:rPr>
        <w:t xml:space="preserve"> ، وحَسَنَ بْنَ حَسَنٍ ، وإِبْرَاهِيمَ بْنَ حَسَنٍ ، ودَاوُدَ بْنَ حَسَنٍ ، وعَلِيَّ بْنَ حَسَنٍ ، وسُلَيْمَانَ بْنَ دَاوُدَ بْنِ حَسَنٍ ، وعَلِيَّ بْنَ إِبْرَاهِيمَ بْنِ حَسَنٍ ، وحَسَنَ بْنَ جَعْفَرِ بْنِ حَسَنٍ ، وطَبَاطَبَا </w:t>
      </w:r>
      <w:r>
        <w:rPr>
          <w:rStyle w:val="libFootnotenumChar"/>
          <w:rtl/>
        </w:rPr>
        <w:t>(5)</w:t>
      </w:r>
      <w:r w:rsidRPr="00132E65">
        <w:rPr>
          <w:rtl/>
          <w:lang w:bidi="fa-IR"/>
        </w:rPr>
        <w:t xml:space="preserve"> إِبْرَاهِيمَ بْنَ إِسْمَاعِيلَ بْنِ حَسَنٍ ، وعَبْدَ اللهِ بْنَ دَاوُدَ.</w:t>
      </w:r>
    </w:p>
    <w:p w:rsidR="000C39D1" w:rsidRPr="00132E65" w:rsidRDefault="000C39D1" w:rsidP="000C39D1">
      <w:pPr>
        <w:pStyle w:val="libNormal"/>
        <w:rPr>
          <w:rtl/>
          <w:lang w:bidi="fa-IR"/>
        </w:rPr>
      </w:pPr>
      <w:r w:rsidRPr="00132E65">
        <w:rPr>
          <w:rtl/>
          <w:lang w:bidi="fa-IR"/>
        </w:rPr>
        <w:t xml:space="preserve">قَالَ </w:t>
      </w:r>
      <w:r>
        <w:rPr>
          <w:rStyle w:val="libFootnotenumChar"/>
          <w:rtl/>
        </w:rPr>
        <w:t>(6)</w:t>
      </w:r>
      <w:r w:rsidRPr="00132E65">
        <w:rPr>
          <w:rtl/>
          <w:lang w:bidi="fa-IR"/>
        </w:rPr>
        <w:t xml:space="preserve"> : فَصُفِّدُوا </w:t>
      </w:r>
      <w:r>
        <w:rPr>
          <w:rStyle w:val="libFootnotenumChar"/>
          <w:rtl/>
        </w:rPr>
        <w:t>(7)</w:t>
      </w:r>
      <w:r w:rsidRPr="00132E65">
        <w:rPr>
          <w:rtl/>
          <w:lang w:bidi="fa-IR"/>
        </w:rPr>
        <w:t xml:space="preserve"> فِي الْحَدِيدِ ، ثُمَّ حُمِلُوا فِي مَحَامِلَ </w:t>
      </w:r>
      <w:r>
        <w:rPr>
          <w:rStyle w:val="libFootnotenumChar"/>
          <w:rtl/>
        </w:rPr>
        <w:t>(8)</w:t>
      </w:r>
      <w:r w:rsidRPr="00132E65">
        <w:rPr>
          <w:rtl/>
          <w:lang w:bidi="fa-IR"/>
        </w:rPr>
        <w:t xml:space="preserve"> أَعْرَاءً </w:t>
      </w:r>
      <w:r>
        <w:rPr>
          <w:rStyle w:val="libFootnotenumChar"/>
          <w:rtl/>
        </w:rPr>
        <w:t>(9)</w:t>
      </w:r>
      <w:r w:rsidRPr="00132E65">
        <w:rPr>
          <w:rtl/>
          <w:lang w:bidi="fa-IR"/>
        </w:rPr>
        <w:t xml:space="preserve"> لَاوِطَاءَ </w:t>
      </w:r>
      <w:r>
        <w:rPr>
          <w:rStyle w:val="libFootnotenumChar"/>
          <w:rtl/>
        </w:rPr>
        <w:t>(10)</w:t>
      </w:r>
      <w:r w:rsidRPr="00132E65">
        <w:rPr>
          <w:rtl/>
          <w:lang w:bidi="fa-IR"/>
        </w:rPr>
        <w:t xml:space="preserve"> فِيهَا ، وو قِّفُوا بِالْمُصَلّى </w:t>
      </w:r>
      <w:r>
        <w:rPr>
          <w:rStyle w:val="libFootnotenumChar"/>
          <w:rtl/>
        </w:rPr>
        <w:t>(11)</w:t>
      </w:r>
      <w:r w:rsidRPr="00132E65">
        <w:rPr>
          <w:rtl/>
          <w:lang w:bidi="fa-IR"/>
        </w:rPr>
        <w:t xml:space="preserve"> لِكَيْ يَشْتِمَهُمُ </w:t>
      </w:r>
      <w:r>
        <w:rPr>
          <w:rStyle w:val="libFootnotenumChar"/>
          <w:rtl/>
        </w:rPr>
        <w:t>(12)</w:t>
      </w:r>
      <w:r w:rsidRPr="00132E65">
        <w:rPr>
          <w:rtl/>
          <w:lang w:bidi="fa-IR"/>
        </w:rPr>
        <w:t xml:space="preserve"> النَّاسُ.</w:t>
      </w:r>
    </w:p>
    <w:p w:rsidR="000C39D1" w:rsidRPr="00132E65" w:rsidRDefault="000C39D1" w:rsidP="000C39D1">
      <w:pPr>
        <w:pStyle w:val="libNormal"/>
        <w:rPr>
          <w:rtl/>
          <w:lang w:bidi="fa-IR"/>
        </w:rPr>
      </w:pPr>
      <w:r w:rsidRPr="00132E65">
        <w:rPr>
          <w:rtl/>
          <w:lang w:bidi="fa-IR"/>
        </w:rPr>
        <w:t xml:space="preserve">قَالَ : فَكَفَّ النَّاسُ عَنْهُمْ ، ورَقُّوا لَهُمْ لِلْحَالِ الَّتِي هُمْ فِيهَا ، ثُمَّ انْطَلَقُوا بِهِمْ حَتّى وُقِّفُوا عِنْدَ بَابِ مَسْجِدِ رَسُولِ اللهِ </w:t>
      </w:r>
      <w:r w:rsidRPr="0093484F">
        <w:rPr>
          <w:rStyle w:val="libAlaemChar"/>
          <w:rFonts w:eastAsiaTheme="minorHAnsi"/>
          <w:rtl/>
        </w:rPr>
        <w:t>صلى‌الله‌عليه‌وآله</w:t>
      </w:r>
      <w:r w:rsidRPr="00132E65">
        <w:rPr>
          <w:rtl/>
          <w:lang w:bidi="fa-IR"/>
        </w:rPr>
        <w:t>.</w:t>
      </w:r>
    </w:p>
    <w:p w:rsidR="000C39D1" w:rsidRPr="00132E65" w:rsidRDefault="000C39D1" w:rsidP="000C39D1">
      <w:pPr>
        <w:pStyle w:val="libNormal"/>
        <w:rPr>
          <w:rtl/>
          <w:lang w:bidi="fa-IR"/>
        </w:rPr>
      </w:pPr>
      <w:r w:rsidRPr="00132E65">
        <w:rPr>
          <w:rtl/>
          <w:lang w:bidi="fa-IR"/>
        </w:rPr>
        <w:t xml:space="preserve">قَالَ عَبْدُ اللهِ بْنُ إِبْرَاهِيمَ الْجَعْفَرِيُّ : فَحَدَّثَتْنَا خَدِيجَةُ بِنْتُ </w:t>
      </w:r>
      <w:r w:rsidRPr="00F543F1">
        <w:rPr>
          <w:rStyle w:val="libFootnotenumChar"/>
          <w:rtl/>
        </w:rPr>
        <w:t>(13)</w:t>
      </w:r>
      <w:r w:rsidRPr="00132E65">
        <w:rPr>
          <w:rtl/>
          <w:lang w:bidi="fa-IR"/>
        </w:rPr>
        <w:t xml:space="preserve"> عُمَرَ بْنِ عَلِيٍّ : أَنَّهُمْ‌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AE0838">
        <w:rPr>
          <w:rtl/>
        </w:rPr>
        <w:t>القاموس</w:t>
      </w:r>
      <w:r w:rsidRPr="00132E65">
        <w:rPr>
          <w:rtl/>
        </w:rPr>
        <w:t xml:space="preserve"> : « غَشَّهُ : لم يمحضه النُصْحَ ، أو أظهر له خلاف ما أضمره »</w:t>
      </w:r>
      <w:r>
        <w:rPr>
          <w:rtl/>
        </w:rPr>
        <w:t>.</w:t>
      </w:r>
      <w:r w:rsidRPr="00132E65">
        <w:rPr>
          <w:rtl/>
        </w:rPr>
        <w:t xml:space="preserve"> </w:t>
      </w:r>
      <w:r w:rsidRPr="00AE0838">
        <w:rPr>
          <w:rtl/>
        </w:rPr>
        <w:t>القاموس المحيط</w:t>
      </w:r>
      <w:r w:rsidRPr="00132E65">
        <w:rPr>
          <w:rtl/>
        </w:rPr>
        <w:t xml:space="preserve"> ، ج 1 ، ص 817 ( غشش )</w:t>
      </w:r>
      <w:r>
        <w:rPr>
          <w:rtl/>
        </w:rPr>
        <w:t>.</w:t>
      </w:r>
    </w:p>
    <w:p w:rsidR="000C39D1" w:rsidRPr="00132E65" w:rsidRDefault="000C39D1" w:rsidP="000C39D1">
      <w:pPr>
        <w:pStyle w:val="libFootnote0"/>
        <w:rPr>
          <w:rtl/>
          <w:lang w:bidi="fa-IR"/>
        </w:rPr>
      </w:pPr>
      <w:r>
        <w:rPr>
          <w:rtl/>
        </w:rPr>
        <w:t>(2).</w:t>
      </w:r>
      <w:r w:rsidRPr="00132E65">
        <w:rPr>
          <w:rtl/>
        </w:rPr>
        <w:t xml:space="preserve"> « أسفاً » ، أي حزيناً ؛ من الأسف بمعنى أشدّ الحزن. </w:t>
      </w:r>
      <w:r w:rsidRPr="00AE0838">
        <w:rPr>
          <w:rtl/>
        </w:rPr>
        <w:t>الصحاح</w:t>
      </w:r>
      <w:r w:rsidRPr="00132E65">
        <w:rPr>
          <w:rtl/>
        </w:rPr>
        <w:t xml:space="preserve"> ، ج 4 ، ص 1330 ( أسف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ه‍ </w:t>
            </w:r>
            <w:r w:rsidR="00D14011" w:rsidRPr="00132E65">
              <w:rPr>
                <w:rtl/>
              </w:rPr>
              <w:t>»</w:t>
            </w:r>
            <w:r w:rsidRPr="00132E65">
              <w:rPr>
                <w:rtl/>
              </w:rPr>
              <w:t xml:space="preserve"> : « فقال »</w:t>
            </w:r>
            <w:r>
              <w:rPr>
                <w:rtl/>
              </w:rPr>
              <w:t>.</w:t>
            </w:r>
          </w:p>
        </w:tc>
        <w:tc>
          <w:tcPr>
            <w:tcW w:w="4006" w:type="dxa"/>
          </w:tcPr>
          <w:p w:rsidR="000C39D1" w:rsidRDefault="000C39D1" w:rsidP="00B53873">
            <w:pPr>
              <w:pStyle w:val="libFootnote0"/>
              <w:rPr>
                <w:rtl/>
              </w:rPr>
            </w:pPr>
            <w:r>
              <w:rPr>
                <w:rtl/>
              </w:rPr>
              <w:t>(4). لفظة«حسن»</w:t>
            </w:r>
            <w:r w:rsidR="00D14011">
              <w:rPr>
                <w:rFonts w:hint="cs"/>
                <w:rtl/>
              </w:rPr>
              <w:t xml:space="preserve"> </w:t>
            </w:r>
            <w:r w:rsidRPr="00132E65">
              <w:rPr>
                <w:rtl/>
              </w:rPr>
              <w:t xml:space="preserve">هذه ومابعده في </w:t>
            </w:r>
            <w:r w:rsidRPr="009D1ACE">
              <w:rPr>
                <w:rStyle w:val="libFootnoteBoldChar"/>
                <w:rtl/>
              </w:rPr>
              <w:t>الوافي</w:t>
            </w:r>
            <w:r>
              <w:rPr>
                <w:rtl/>
              </w:rPr>
              <w:t>:</w:t>
            </w:r>
            <w:r w:rsidRPr="00132E65">
              <w:rPr>
                <w:rtl/>
              </w:rPr>
              <w:t>« الحسن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ف » :</w:t>
            </w:r>
            <w:r>
              <w:rPr>
                <w:rtl/>
              </w:rPr>
              <w:t xml:space="preserve"> + </w:t>
            </w:r>
            <w:r w:rsidRPr="00132E65">
              <w:rPr>
                <w:rtl/>
              </w:rPr>
              <w:t>« بن »</w:t>
            </w:r>
            <w:r>
              <w:rPr>
                <w:rtl/>
              </w:rPr>
              <w:t>.</w:t>
            </w:r>
          </w:p>
        </w:tc>
        <w:tc>
          <w:tcPr>
            <w:tcW w:w="4006" w:type="dxa"/>
          </w:tcPr>
          <w:p w:rsidR="000C39D1" w:rsidRDefault="000C39D1" w:rsidP="00B53873">
            <w:pPr>
              <w:pStyle w:val="libFootnote0"/>
              <w:rPr>
                <w:rtl/>
              </w:rPr>
            </w:pPr>
            <w:r>
              <w:rPr>
                <w:rtl/>
              </w:rPr>
              <w:t>(6).</w:t>
            </w:r>
            <w:r w:rsidRPr="00132E65">
              <w:rPr>
                <w:rtl/>
              </w:rPr>
              <w:t xml:space="preserve"> في البحار : « وقال »</w:t>
            </w:r>
            <w:r>
              <w:rPr>
                <w:rtl/>
              </w:rPr>
              <w:t>.</w:t>
            </w:r>
          </w:p>
        </w:tc>
      </w:tr>
    </w:tbl>
    <w:p w:rsidR="000C39D1" w:rsidRPr="00132E65" w:rsidRDefault="000C39D1" w:rsidP="000C39D1">
      <w:pPr>
        <w:pStyle w:val="libFootnote0"/>
        <w:rPr>
          <w:rtl/>
          <w:lang w:bidi="fa-IR"/>
        </w:rPr>
      </w:pPr>
      <w:r>
        <w:rPr>
          <w:rtl/>
        </w:rPr>
        <w:t>(7).</w:t>
      </w:r>
      <w:r w:rsidRPr="00132E65">
        <w:rPr>
          <w:rtl/>
        </w:rPr>
        <w:t xml:space="preserve"> قوله : صُفِدُوا ، أو صُفِّدُوا ، أي شُدُّوا وأُوثقوا بالأغلال. راجع : </w:t>
      </w:r>
      <w:r w:rsidRPr="00AE0838">
        <w:rPr>
          <w:rtl/>
        </w:rPr>
        <w:t>النهاية</w:t>
      </w:r>
      <w:r w:rsidRPr="00132E65">
        <w:rPr>
          <w:rtl/>
        </w:rPr>
        <w:t xml:space="preserve"> ، ج 3 ، ص 35 ( صفد )</w:t>
      </w:r>
      <w:r>
        <w:rPr>
          <w:rtl/>
        </w:rPr>
        <w:t>.</w:t>
      </w:r>
    </w:p>
    <w:p w:rsidR="000C39D1" w:rsidRPr="00132E65" w:rsidRDefault="000C39D1" w:rsidP="000C39D1">
      <w:pPr>
        <w:pStyle w:val="libFootnote0"/>
        <w:rPr>
          <w:rtl/>
          <w:lang w:bidi="fa-IR"/>
        </w:rPr>
      </w:pPr>
      <w:r>
        <w:rPr>
          <w:rtl/>
        </w:rPr>
        <w:t>(8).</w:t>
      </w:r>
      <w:r w:rsidRPr="00132E65">
        <w:rPr>
          <w:rtl/>
        </w:rPr>
        <w:t xml:space="preserve"> في « ض » : « المحامل »</w:t>
      </w:r>
      <w:r>
        <w:rPr>
          <w:rtl/>
        </w:rPr>
        <w:t>.</w:t>
      </w:r>
    </w:p>
    <w:p w:rsidR="000C39D1" w:rsidRPr="00132E65" w:rsidRDefault="000C39D1" w:rsidP="000C39D1">
      <w:pPr>
        <w:pStyle w:val="libFootnote0"/>
        <w:rPr>
          <w:rtl/>
          <w:lang w:bidi="fa-IR"/>
        </w:rPr>
      </w:pPr>
      <w:r>
        <w:rPr>
          <w:rtl/>
        </w:rPr>
        <w:t>(9).</w:t>
      </w:r>
      <w:r w:rsidRPr="00132E65">
        <w:rPr>
          <w:rtl/>
        </w:rPr>
        <w:t xml:space="preserve"> « الأعْراء » : جمع العَراء ، وهو المكان الفضاء لا يَسْتَتر فيه شي‌ء. </w:t>
      </w:r>
      <w:r w:rsidRPr="009D1ACE">
        <w:rPr>
          <w:rStyle w:val="libFootnoteBoldChar"/>
          <w:rtl/>
        </w:rPr>
        <w:t>لسان العرب</w:t>
      </w:r>
      <w:r w:rsidRPr="00132E65">
        <w:rPr>
          <w:rtl/>
        </w:rPr>
        <w:t xml:space="preserve"> ، ج 15 ، ص 49 ( عرا )</w:t>
      </w:r>
      <w:r>
        <w:rPr>
          <w:rtl/>
        </w:rPr>
        <w:t>.</w:t>
      </w:r>
    </w:p>
    <w:p w:rsidR="000C39D1" w:rsidRPr="00132E65" w:rsidRDefault="000C39D1" w:rsidP="000C39D1">
      <w:pPr>
        <w:pStyle w:val="libFootnote0"/>
        <w:rPr>
          <w:rtl/>
          <w:lang w:bidi="fa-IR"/>
        </w:rPr>
      </w:pPr>
      <w:r>
        <w:rPr>
          <w:rtl/>
        </w:rPr>
        <w:t>(10).</w:t>
      </w:r>
      <w:r w:rsidRPr="00132E65">
        <w:rPr>
          <w:rtl/>
        </w:rPr>
        <w:t xml:space="preserve"> قال الجوهري : « الوِطاءُ : خلاف الغطاء »</w:t>
      </w:r>
      <w:r>
        <w:rPr>
          <w:rtl/>
        </w:rPr>
        <w:t>.</w:t>
      </w:r>
      <w:r w:rsidRPr="00132E65">
        <w:rPr>
          <w:rtl/>
        </w:rPr>
        <w:t xml:space="preserve"> والمراد عدم الفرش تحتهم ، كما في </w:t>
      </w:r>
      <w:r w:rsidRPr="009D1ACE">
        <w:rPr>
          <w:rStyle w:val="libFootnoteBoldChar"/>
          <w:rtl/>
        </w:rPr>
        <w:t>مرآة العقول</w:t>
      </w:r>
      <w:r w:rsidRPr="00132E65">
        <w:rPr>
          <w:rtl/>
        </w:rPr>
        <w:t xml:space="preserve"> وراجع : </w:t>
      </w:r>
      <w:r w:rsidRPr="00AE0838">
        <w:rPr>
          <w:rtl/>
        </w:rPr>
        <w:t>الصحاح</w:t>
      </w:r>
      <w:r w:rsidRPr="00132E65">
        <w:rPr>
          <w:rtl/>
        </w:rPr>
        <w:t xml:space="preserve"> ، ج 1 ، ص 81 ( وطأ )</w:t>
      </w:r>
      <w:r>
        <w:rPr>
          <w:rtl/>
        </w:rPr>
        <w:t>.</w:t>
      </w:r>
      <w:r>
        <w:rPr>
          <w:rFonts w:hint="cs"/>
          <w:rtl/>
        </w:rPr>
        <w:t xml:space="preserve">                      </w:t>
      </w:r>
      <w:r w:rsidR="00D14011">
        <w:rPr>
          <w:rFonts w:hint="cs"/>
          <w:rtl/>
        </w:rPr>
        <w:t xml:space="preserve">             </w:t>
      </w:r>
      <w:r>
        <w:rPr>
          <w:rFonts w:hint="cs"/>
          <w:rtl/>
        </w:rPr>
        <w:t xml:space="preserve"> </w:t>
      </w:r>
      <w:r>
        <w:rPr>
          <w:rtl/>
        </w:rPr>
        <w:t>(11).</w:t>
      </w:r>
      <w:r w:rsidRPr="00132E65">
        <w:rPr>
          <w:rtl/>
        </w:rPr>
        <w:t xml:space="preserve"> في « ه‍ » :</w:t>
      </w:r>
      <w:r>
        <w:rPr>
          <w:rtl/>
        </w:rPr>
        <w:t xml:space="preserve"> + </w:t>
      </w:r>
      <w:r w:rsidRPr="00132E65">
        <w:rPr>
          <w:rtl/>
        </w:rPr>
        <w:t>« للنّاس »</w:t>
      </w:r>
      <w:r>
        <w:rPr>
          <w:rtl/>
        </w:rPr>
        <w:t>.</w:t>
      </w:r>
    </w:p>
    <w:p w:rsidR="000C39D1" w:rsidRPr="00132E65" w:rsidRDefault="000C39D1" w:rsidP="000C39D1">
      <w:pPr>
        <w:pStyle w:val="libFootnote0"/>
        <w:rPr>
          <w:rtl/>
          <w:lang w:bidi="fa-IR"/>
        </w:rPr>
      </w:pPr>
      <w:r>
        <w:rPr>
          <w:rtl/>
        </w:rPr>
        <w:t>(12).</w:t>
      </w:r>
      <w:r w:rsidRPr="00132E65">
        <w:rPr>
          <w:rtl/>
        </w:rPr>
        <w:t xml:space="preserve"> هكذا في « ب ، ج ، ف ، ه‍ ، و، بح ، بر ، بس » وحاشية « بف » والبحار. ويؤيّده عدم مجي‌ء شمت متعدّياً ، وعدم تناسب الإشمات للمقام. وفي المطبوع و</w:t>
      </w:r>
      <w:r w:rsidRPr="009D1ACE">
        <w:rPr>
          <w:rStyle w:val="libFootnoteBoldChar"/>
          <w:rtl/>
        </w:rPr>
        <w:t>الوافي</w:t>
      </w:r>
      <w:r w:rsidRPr="00132E65">
        <w:rPr>
          <w:rtl/>
        </w:rPr>
        <w:t xml:space="preserve"> : « يشمتهم »</w:t>
      </w:r>
      <w:r>
        <w:rPr>
          <w:rtl/>
        </w:rPr>
        <w:t>.</w:t>
      </w:r>
    </w:p>
    <w:p w:rsidR="000C39D1" w:rsidRPr="00132E65" w:rsidRDefault="000C39D1" w:rsidP="00D14011">
      <w:pPr>
        <w:pStyle w:val="libFootnote0"/>
        <w:rPr>
          <w:rtl/>
          <w:lang w:bidi="fa-IR"/>
        </w:rPr>
      </w:pPr>
      <w:r>
        <w:rPr>
          <w:rtl/>
        </w:rPr>
        <w:t>(13)</w:t>
      </w:r>
      <w:r w:rsidRPr="00132E65">
        <w:rPr>
          <w:rtl/>
        </w:rPr>
        <w:t xml:space="preserve"> في « ه‍ </w:t>
      </w:r>
      <w:r w:rsidR="00D14011" w:rsidRPr="00132E65">
        <w:rPr>
          <w:rtl/>
        </w:rPr>
        <w:t>»</w:t>
      </w:r>
      <w:r w:rsidRPr="00132E65">
        <w:rPr>
          <w:rtl/>
        </w:rPr>
        <w:t xml:space="preserve"> : « ابنة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لَمَّا أُوقِفُوا عِنْدَ بَابِ الْمَسْجِدِ</w:t>
      </w:r>
      <w:r>
        <w:rPr>
          <w:rtl/>
          <w:lang w:bidi="fa-IR"/>
        </w:rPr>
        <w:t xml:space="preserve"> - </w:t>
      </w:r>
      <w:r w:rsidRPr="00132E65">
        <w:rPr>
          <w:rtl/>
          <w:lang w:bidi="fa-IR"/>
        </w:rPr>
        <w:t>الْبَابِ الَّذِي يُقَالُ لَهُ : بَابُ جَبْرَئِيلَ</w:t>
      </w:r>
      <w:r>
        <w:rPr>
          <w:rtl/>
          <w:lang w:bidi="fa-IR"/>
        </w:rPr>
        <w:t xml:space="preserve"> - </w:t>
      </w:r>
      <w:r w:rsidRPr="00132E65">
        <w:rPr>
          <w:rtl/>
          <w:lang w:bidi="fa-IR"/>
        </w:rPr>
        <w:t xml:space="preserve">أَطْلَعَ </w:t>
      </w:r>
      <w:r>
        <w:rPr>
          <w:rStyle w:val="libFootnotenumChar"/>
          <w:rtl/>
        </w:rPr>
        <w:t>(1)</w:t>
      </w:r>
      <w:r w:rsidRPr="00132E65">
        <w:rPr>
          <w:rtl/>
          <w:lang w:bidi="fa-IR"/>
        </w:rPr>
        <w:t xml:space="preserve"> عَلَيْهِمْ أَبُو عَبْدِ اللهِ </w:t>
      </w:r>
      <w:r w:rsidRPr="00071CF9">
        <w:rPr>
          <w:rStyle w:val="libAlaemChar"/>
          <w:rtl/>
        </w:rPr>
        <w:t>عليه‌السلام</w:t>
      </w:r>
      <w:r>
        <w:rPr>
          <w:rtl/>
          <w:lang w:bidi="fa-IR"/>
        </w:rPr>
        <w:t xml:space="preserve"> - </w:t>
      </w:r>
      <w:r w:rsidRPr="00132E65">
        <w:rPr>
          <w:rtl/>
          <w:lang w:bidi="fa-IR"/>
        </w:rPr>
        <w:t>وعَامَّةُ رِدَائِهِ مَطْرُوحٌ بِالْأَرْضِ</w:t>
      </w:r>
      <w:r>
        <w:rPr>
          <w:rtl/>
          <w:lang w:bidi="fa-IR"/>
        </w:rPr>
        <w:t xml:space="preserve"> - </w:t>
      </w:r>
      <w:r w:rsidRPr="00132E65">
        <w:rPr>
          <w:rtl/>
          <w:lang w:bidi="fa-IR"/>
        </w:rPr>
        <w:t>ثُمَّ أَطْلَعَ مِنْ بَابِ الْمَسْجِدِ ، فَقَالَ :</w:t>
      </w:r>
      <w:r>
        <w:rPr>
          <w:rFonts w:hint="cs"/>
          <w:rtl/>
          <w:lang w:bidi="fa-IR"/>
        </w:rPr>
        <w:t xml:space="preserve"> </w:t>
      </w:r>
      <w:r w:rsidRPr="00132E65">
        <w:rPr>
          <w:rtl/>
          <w:lang w:bidi="fa-IR"/>
        </w:rPr>
        <w:t xml:space="preserve">« لَعَنَكُمُ اللهُ يَا مَعَاشِرَ </w:t>
      </w:r>
      <w:r>
        <w:rPr>
          <w:rStyle w:val="libFootnotenumChar"/>
          <w:rtl/>
        </w:rPr>
        <w:t>(2)</w:t>
      </w:r>
      <w:r w:rsidRPr="00132E65">
        <w:rPr>
          <w:rtl/>
          <w:lang w:bidi="fa-IR"/>
        </w:rPr>
        <w:t xml:space="preserve"> الْأَنْصَارِ</w:t>
      </w:r>
      <w:r>
        <w:rPr>
          <w:rtl/>
          <w:lang w:bidi="fa-IR"/>
        </w:rPr>
        <w:t xml:space="preserve"> - </w:t>
      </w:r>
      <w:r w:rsidRPr="00132E65">
        <w:rPr>
          <w:rtl/>
          <w:lang w:bidi="fa-IR"/>
        </w:rPr>
        <w:t>ثَلَاثاً</w:t>
      </w:r>
      <w:r>
        <w:rPr>
          <w:rtl/>
          <w:lang w:bidi="fa-IR"/>
        </w:rPr>
        <w:t xml:space="preserve"> - </w:t>
      </w:r>
      <w:r w:rsidRPr="00132E65">
        <w:rPr>
          <w:rtl/>
          <w:lang w:bidi="fa-IR"/>
        </w:rPr>
        <w:t xml:space="preserve">مَا عَلى هذَا عَاهَدْتُمْ رَسُولَ اللهِ </w:t>
      </w:r>
      <w:r w:rsidRPr="0093484F">
        <w:rPr>
          <w:rStyle w:val="libAlaemChar"/>
          <w:rFonts w:eastAsiaTheme="minorHAnsi"/>
          <w:rtl/>
        </w:rPr>
        <w:t>صلى‌الله‌عليه‌وآله</w:t>
      </w:r>
      <w:r w:rsidRPr="00132E65">
        <w:rPr>
          <w:rtl/>
          <w:lang w:bidi="fa-IR"/>
        </w:rPr>
        <w:t xml:space="preserve"> ، ولَا بَايَعْتُمُوهُ ، أَمَا واللهِ إِنْ </w:t>
      </w:r>
      <w:r>
        <w:rPr>
          <w:rStyle w:val="libFootnotenumChar"/>
          <w:rtl/>
        </w:rPr>
        <w:t>(3)</w:t>
      </w:r>
      <w:r w:rsidRPr="00132E65">
        <w:rPr>
          <w:rtl/>
          <w:lang w:bidi="fa-IR"/>
        </w:rPr>
        <w:t xml:space="preserve"> كُنْتُ حَرِيصاً ، ولكِنِّي غُلِبْتُ ، ولَيْسَ لِلْقَضَاءِ مَدْفَعٌ »</w:t>
      </w:r>
      <w:r>
        <w:rPr>
          <w:rtl/>
          <w:lang w:bidi="fa-IR"/>
        </w:rPr>
        <w:t>.</w:t>
      </w:r>
    </w:p>
    <w:p w:rsidR="000C39D1" w:rsidRPr="00132E65" w:rsidRDefault="000C39D1" w:rsidP="000C39D1">
      <w:pPr>
        <w:pStyle w:val="libNormal"/>
        <w:rPr>
          <w:rtl/>
          <w:lang w:bidi="fa-IR"/>
        </w:rPr>
      </w:pPr>
      <w:r w:rsidRPr="00132E65">
        <w:rPr>
          <w:rtl/>
          <w:lang w:bidi="fa-IR"/>
        </w:rPr>
        <w:t xml:space="preserve">ثُمَّ قَامَ وأَخَذَ إِحْدى نَعْلَيْهِ ، فَأَدْخَلَهَا رِجْلَهُ ، والْأُخْرى فِي يَدِهِ ، وعَامَّةُ رِدَائِهِ يَجُرُّهُ فِي الْأَرْضِ ، ثُمَّ دَخَلَ بَيْتَهُ </w:t>
      </w:r>
      <w:r>
        <w:rPr>
          <w:rStyle w:val="libFootnotenumChar"/>
          <w:rtl/>
        </w:rPr>
        <w:t>(4)</w:t>
      </w:r>
      <w:r w:rsidRPr="00132E65">
        <w:rPr>
          <w:rtl/>
          <w:lang w:bidi="fa-IR"/>
        </w:rPr>
        <w:t xml:space="preserve"> ، فَحُمَّ عِشْرِينَ لَيْلَةً لَمْ يَزَلْ يَبْكِي فِيهَا </w:t>
      </w:r>
      <w:r>
        <w:rPr>
          <w:rStyle w:val="libFootnotenumChar"/>
          <w:rtl/>
        </w:rPr>
        <w:t>(5)</w:t>
      </w:r>
      <w:r w:rsidRPr="00132E65">
        <w:rPr>
          <w:rtl/>
          <w:lang w:bidi="fa-IR"/>
        </w:rPr>
        <w:t xml:space="preserve"> اللَّيْلَ والنَّهَارَ حَتّى خِفْنَا عَلَيْهِ. فَهذَا حَدِيثُ خَدِيجَةَ.</w:t>
      </w:r>
    </w:p>
    <w:p w:rsidR="000C39D1" w:rsidRPr="00132E65" w:rsidRDefault="000C39D1" w:rsidP="000C39D1">
      <w:pPr>
        <w:pStyle w:val="libNormal"/>
        <w:rPr>
          <w:rtl/>
          <w:lang w:bidi="fa-IR"/>
        </w:rPr>
      </w:pPr>
      <w:r>
        <w:rPr>
          <w:rFonts w:hint="cs"/>
          <w:rtl/>
          <w:lang w:bidi="fa-IR"/>
        </w:rPr>
        <w:t xml:space="preserve">* </w:t>
      </w:r>
      <w:r w:rsidRPr="00132E65">
        <w:rPr>
          <w:rtl/>
          <w:lang w:bidi="fa-IR"/>
        </w:rPr>
        <w:t xml:space="preserve">قَالَ الْجَعْفَرِيُّ : وحَدَّثَنَا </w:t>
      </w:r>
      <w:r>
        <w:rPr>
          <w:rStyle w:val="libFootnotenumChar"/>
          <w:rtl/>
        </w:rPr>
        <w:t>(6)</w:t>
      </w:r>
      <w:r w:rsidRPr="00132E65">
        <w:rPr>
          <w:rtl/>
          <w:lang w:bidi="fa-IR"/>
        </w:rPr>
        <w:t xml:space="preserve"> مُوسَى بْنُ عَبْدِ اللهِ بْنِ الْحَسَنِ :</w:t>
      </w:r>
    </w:p>
    <w:p w:rsidR="000C39D1" w:rsidRPr="00132E65" w:rsidRDefault="000C39D1" w:rsidP="000C39D1">
      <w:pPr>
        <w:pStyle w:val="libNormal"/>
        <w:rPr>
          <w:rtl/>
          <w:lang w:bidi="fa-IR"/>
        </w:rPr>
      </w:pPr>
      <w:r w:rsidRPr="00132E65">
        <w:rPr>
          <w:rtl/>
          <w:lang w:bidi="fa-IR"/>
        </w:rPr>
        <w:t xml:space="preserve">أَنَّهُ لَمَّا طُلِعَ </w:t>
      </w:r>
      <w:r>
        <w:rPr>
          <w:rStyle w:val="libFootnotenumChar"/>
          <w:rtl/>
        </w:rPr>
        <w:t>(7)</w:t>
      </w:r>
      <w:r w:rsidRPr="00132E65">
        <w:rPr>
          <w:rtl/>
          <w:lang w:bidi="fa-IR"/>
        </w:rPr>
        <w:t xml:space="preserve"> بِالْقَوْمِ فِي الْمَحَامِلِ ، قَامَ أَبُو عَبْدِ اللهِ </w:t>
      </w:r>
      <w:r w:rsidRPr="00071CF9">
        <w:rPr>
          <w:rStyle w:val="libAlaemChar"/>
          <w:rtl/>
        </w:rPr>
        <w:t>عليه‌السلام</w:t>
      </w:r>
      <w:r w:rsidRPr="00132E65">
        <w:rPr>
          <w:rtl/>
          <w:lang w:bidi="fa-IR"/>
        </w:rPr>
        <w:t xml:space="preserve"> مِنَ الْمَسْجِدِ ، ثُمَّ أَهْوى إِلَى الْمَحْمِلِ </w:t>
      </w:r>
      <w:r>
        <w:rPr>
          <w:rStyle w:val="libFootnotenumChar"/>
          <w:rtl/>
        </w:rPr>
        <w:t>(8)</w:t>
      </w:r>
      <w:r w:rsidRPr="00132E65">
        <w:rPr>
          <w:rtl/>
          <w:lang w:bidi="fa-IR"/>
        </w:rPr>
        <w:t xml:space="preserve"> الَّذِي فِيهِ عَبْدُ اللهِ بْنُ الْحَسَنِ يُرِيدُ كَلَامَهُ ، فَمُنِعَ أَشَدَّ الْمَنْعِ ، وأَهْوى إِلَيْهِ الْحَرَسِيُّ </w:t>
      </w:r>
      <w:r>
        <w:rPr>
          <w:rStyle w:val="libFootnotenumChar"/>
          <w:rtl/>
        </w:rPr>
        <w:t>(9)</w:t>
      </w:r>
      <w:r w:rsidRPr="00132E65">
        <w:rPr>
          <w:rtl/>
          <w:lang w:bidi="fa-IR"/>
        </w:rPr>
        <w:t xml:space="preserve"> ، فَدَفَعَهُ ، وقَالَ : تَنَحَّ عَنْ هذَا ؛ فَإِنَّ اللهَ سَيَكْفِيكَ </w:t>
      </w:r>
      <w:r>
        <w:rPr>
          <w:rStyle w:val="libFootnotenumChar"/>
          <w:rtl/>
        </w:rPr>
        <w:t>(10)</w:t>
      </w:r>
      <w:r w:rsidRPr="00132E65">
        <w:rPr>
          <w:rtl/>
          <w:lang w:bidi="fa-IR"/>
        </w:rPr>
        <w:t xml:space="preserve"> ويَكْفِي غَيْرَكَ ، ثُمَّ‌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ظاهر النسخ هو الاتّفاق على الإفعال في الموردين ، ويجوز الافتعال لغةً أيضاً. والتفصيل بين الموردين</w:t>
      </w:r>
      <w:r>
        <w:rPr>
          <w:rtl/>
        </w:rPr>
        <w:t xml:space="preserve"> - </w:t>
      </w:r>
      <w:r w:rsidRPr="00132E65">
        <w:rPr>
          <w:rtl/>
        </w:rPr>
        <w:t xml:space="preserve">كمافي </w:t>
      </w:r>
      <w:r w:rsidRPr="00AE0838">
        <w:rPr>
          <w:rtl/>
        </w:rPr>
        <w:t>شرح المازندراني</w:t>
      </w:r>
      <w:r w:rsidRPr="00132E65">
        <w:rPr>
          <w:rtl/>
        </w:rPr>
        <w:t xml:space="preserve"> ، ج 6 ، ص 301 ، و</w:t>
      </w:r>
      <w:r w:rsidRPr="009D1ACE">
        <w:rPr>
          <w:rStyle w:val="libFootnoteBoldChar"/>
          <w:rtl/>
        </w:rPr>
        <w:t>مرآة العقول</w:t>
      </w:r>
      <w:r w:rsidRPr="00132E65">
        <w:rPr>
          <w:rtl/>
        </w:rPr>
        <w:t xml:space="preserve"> ، ج 4 ، ص 132</w:t>
      </w:r>
      <w:r>
        <w:rPr>
          <w:rtl/>
        </w:rPr>
        <w:t xml:space="preserve"> - </w:t>
      </w:r>
      <w:r w:rsidRPr="00132E65">
        <w:rPr>
          <w:rtl/>
        </w:rPr>
        <w:t>لا ملزم له.</w:t>
      </w:r>
    </w:p>
    <w:p w:rsidR="000C39D1" w:rsidRPr="00132E65" w:rsidRDefault="000C39D1" w:rsidP="000C39D1">
      <w:pPr>
        <w:pStyle w:val="libFootnote0"/>
        <w:rPr>
          <w:rtl/>
          <w:lang w:bidi="fa-IR"/>
        </w:rPr>
      </w:pPr>
      <w:r>
        <w:rPr>
          <w:rtl/>
        </w:rPr>
        <w:t>(2).</w:t>
      </w:r>
      <w:r w:rsidRPr="00132E65">
        <w:rPr>
          <w:rtl/>
        </w:rPr>
        <w:t xml:space="preserve"> في « بح » والبحار : « معشر »</w:t>
      </w:r>
      <w:r>
        <w:rPr>
          <w:rtl/>
        </w:rPr>
        <w:t>.</w:t>
      </w:r>
    </w:p>
    <w:p w:rsidR="000C39D1" w:rsidRPr="00132E65" w:rsidRDefault="000C39D1" w:rsidP="000C39D1">
      <w:pPr>
        <w:pStyle w:val="libFootnote0"/>
        <w:rPr>
          <w:rtl/>
          <w:lang w:bidi="fa-IR"/>
        </w:rPr>
      </w:pPr>
      <w:r>
        <w:rPr>
          <w:rtl/>
        </w:rPr>
        <w:t>(3).</w:t>
      </w:r>
      <w:r w:rsidRPr="00132E65">
        <w:rPr>
          <w:rtl/>
        </w:rPr>
        <w:t xml:space="preserve"> في « ب » : « إنّي »</w:t>
      </w:r>
      <w:r>
        <w:rPr>
          <w:rtl/>
        </w:rPr>
        <w:t>.</w:t>
      </w:r>
      <w:r w:rsidRPr="00132E65">
        <w:rPr>
          <w:rtl/>
        </w:rPr>
        <w:t xml:space="preserve"> وقوله : « إن » : مخفّفة من المثقّلة ، وضمير الشأن محذوف ، يعني قد كنت حريصاً على دفع هذا الأمر عنهم بالنصيحة لهم. راجع : </w:t>
      </w:r>
      <w:r w:rsidRPr="009D1ACE">
        <w:rPr>
          <w:rStyle w:val="libFootnoteBoldChar"/>
          <w:rtl/>
        </w:rPr>
        <w:t>الوافي</w:t>
      </w:r>
      <w:r w:rsidRPr="00132E65">
        <w:rPr>
          <w:rtl/>
        </w:rPr>
        <w:t xml:space="preserve"> ، ج 2 ، ص 162 ؛ </w:t>
      </w:r>
      <w:r w:rsidRPr="009D1ACE">
        <w:rPr>
          <w:rStyle w:val="libFootnoteBoldChar"/>
          <w:rtl/>
        </w:rPr>
        <w:t>مرآة العقول</w:t>
      </w:r>
      <w:r w:rsidRPr="00132E65">
        <w:rPr>
          <w:rtl/>
        </w:rPr>
        <w:t xml:space="preserve"> ، ج 4 ، ص 133.</w:t>
      </w:r>
    </w:p>
    <w:p w:rsidR="000C39D1" w:rsidRPr="00132E65" w:rsidRDefault="000C39D1" w:rsidP="000C39D1">
      <w:pPr>
        <w:pStyle w:val="libFootnote0"/>
        <w:rPr>
          <w:rtl/>
          <w:lang w:bidi="fa-IR"/>
        </w:rPr>
      </w:pPr>
      <w:r>
        <w:rPr>
          <w:rtl/>
        </w:rPr>
        <w:t>(4).</w:t>
      </w:r>
      <w:r w:rsidRPr="00132E65">
        <w:rPr>
          <w:rtl/>
        </w:rPr>
        <w:t xml:space="preserve"> في البحار : « في بيته »</w:t>
      </w:r>
      <w:r>
        <w:rPr>
          <w:rtl/>
        </w:rPr>
        <w:t>.</w:t>
      </w:r>
    </w:p>
    <w:p w:rsidR="000C39D1" w:rsidRPr="00132E65" w:rsidRDefault="000C39D1" w:rsidP="000C39D1">
      <w:pPr>
        <w:pStyle w:val="libFootnote0"/>
        <w:rPr>
          <w:rtl/>
          <w:lang w:bidi="fa-IR"/>
        </w:rPr>
      </w:pPr>
      <w:r>
        <w:rPr>
          <w:rtl/>
        </w:rPr>
        <w:t>(5).</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 « فيه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(6).</w:t>
            </w:r>
            <w:r w:rsidRPr="00132E65">
              <w:rPr>
                <w:rtl/>
              </w:rPr>
              <w:t xml:space="preserve"> في « ه‍ » : « فحدّثنا »</w:t>
            </w:r>
            <w:r>
              <w:rPr>
                <w:rtl/>
              </w:rPr>
              <w:t>.</w:t>
            </w:r>
          </w:p>
        </w:tc>
        <w:tc>
          <w:tcPr>
            <w:tcW w:w="4006" w:type="dxa"/>
          </w:tcPr>
          <w:p w:rsidR="000C39D1" w:rsidRDefault="000C39D1" w:rsidP="00B53873">
            <w:pPr>
              <w:pStyle w:val="libFootnote0"/>
              <w:rPr>
                <w:rtl/>
              </w:rPr>
            </w:pPr>
            <w:r>
              <w:rPr>
                <w:rtl/>
              </w:rPr>
              <w:t>(7).</w:t>
            </w:r>
            <w:r w:rsidRPr="00132E65">
              <w:rPr>
                <w:rtl/>
              </w:rPr>
              <w:t xml:space="preserve"> في « ض » : « ا</w:t>
            </w:r>
            <w:r>
              <w:rPr>
                <w:rFonts w:hint="cs"/>
                <w:rtl/>
              </w:rPr>
              <w:t>ُ</w:t>
            </w:r>
            <w:r w:rsidRPr="00132E65">
              <w:rPr>
                <w:rtl/>
              </w:rPr>
              <w:t>طلع »</w:t>
            </w:r>
            <w:r>
              <w:rPr>
                <w:rtl/>
              </w:rPr>
              <w:t>.</w:t>
            </w:r>
          </w:p>
        </w:tc>
      </w:tr>
    </w:tbl>
    <w:p w:rsidR="000C39D1" w:rsidRPr="00132E65" w:rsidRDefault="000C39D1" w:rsidP="000C39D1">
      <w:pPr>
        <w:pStyle w:val="libFootnote0"/>
        <w:rPr>
          <w:rtl/>
          <w:lang w:bidi="fa-IR"/>
        </w:rPr>
      </w:pPr>
      <w:r>
        <w:rPr>
          <w:rtl/>
        </w:rPr>
        <w:t>(8).</w:t>
      </w:r>
      <w:r w:rsidRPr="00132E65">
        <w:rPr>
          <w:rtl/>
        </w:rPr>
        <w:t xml:space="preserve"> « أهوى إلى المحمل » ، أي مدّ يده نحوه وأمالها إليه. راجع : </w:t>
      </w:r>
      <w:r w:rsidRPr="00AE0838">
        <w:rPr>
          <w:rtl/>
        </w:rPr>
        <w:t>النهاية</w:t>
      </w:r>
      <w:r w:rsidRPr="00132E65">
        <w:rPr>
          <w:rtl/>
        </w:rPr>
        <w:t xml:space="preserve"> ، ج 5 ، ص 285 ( هوا )</w:t>
      </w:r>
      <w:r>
        <w:rPr>
          <w:rtl/>
        </w:rPr>
        <w:t>.</w:t>
      </w:r>
    </w:p>
    <w:p w:rsidR="000C39D1" w:rsidRPr="00132E65" w:rsidRDefault="000C39D1" w:rsidP="000C39D1">
      <w:pPr>
        <w:pStyle w:val="libFootnote0"/>
        <w:rPr>
          <w:rtl/>
          <w:lang w:bidi="fa-IR"/>
        </w:rPr>
      </w:pPr>
      <w:r>
        <w:rPr>
          <w:rtl/>
        </w:rPr>
        <w:t>(9).</w:t>
      </w:r>
      <w:r w:rsidRPr="00132E65">
        <w:rPr>
          <w:rtl/>
        </w:rPr>
        <w:t xml:space="preserve"> قال ابن الأثير : « الحَرَسِيُّ بفتح الراء : واحد الحُرّاس والحَرَس ، وهم خَدَم السلطان ، المرتّبون لحفظه‌وحِراسته. والحَرَسِيُّ واحد الحَرَس ، كأنّه منسوب إليه ، حيث قد صار اسم جنس. ويجوز أن يكون منسوباً إلى الجمع شاذّاً »</w:t>
      </w:r>
      <w:r>
        <w:rPr>
          <w:rtl/>
        </w:rPr>
        <w:t>.</w:t>
      </w:r>
      <w:r w:rsidRPr="00132E65">
        <w:rPr>
          <w:rtl/>
        </w:rPr>
        <w:t xml:space="preserve"> </w:t>
      </w:r>
      <w:r w:rsidRPr="00AE0838">
        <w:rPr>
          <w:rtl/>
        </w:rPr>
        <w:t>النهاية</w:t>
      </w:r>
      <w:r w:rsidRPr="00132E65">
        <w:rPr>
          <w:rtl/>
        </w:rPr>
        <w:t xml:space="preserve"> ، ج 1 ، ص 367 ( حرس )</w:t>
      </w:r>
      <w:r>
        <w:rPr>
          <w:rtl/>
        </w:rPr>
        <w:t>.</w:t>
      </w:r>
    </w:p>
    <w:p w:rsidR="000C39D1" w:rsidRPr="00132E65" w:rsidRDefault="000C39D1" w:rsidP="000C39D1">
      <w:pPr>
        <w:pStyle w:val="libFootnote0"/>
        <w:rPr>
          <w:rtl/>
          <w:lang w:bidi="fa-IR"/>
        </w:rPr>
      </w:pPr>
      <w:r>
        <w:rPr>
          <w:rtl/>
        </w:rPr>
        <w:t>(10).</w:t>
      </w:r>
      <w:r w:rsidRPr="00132E65">
        <w:rPr>
          <w:rtl/>
        </w:rPr>
        <w:t xml:space="preserve"> في « ف » : « يكفيك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دُخِلَ بِهِمُ الزُّقَاقَ ، ورَجَعَ أَبُو عَبْدِ اللهِ </w:t>
      </w:r>
      <w:r w:rsidRPr="00071CF9">
        <w:rPr>
          <w:rStyle w:val="libAlaemChar"/>
          <w:rtl/>
        </w:rPr>
        <w:t>عليه‌السلام</w:t>
      </w:r>
      <w:r w:rsidRPr="00132E65">
        <w:rPr>
          <w:rtl/>
          <w:lang w:bidi="fa-IR"/>
        </w:rPr>
        <w:t xml:space="preserve"> إِلى مَنْزِلِهِ ، فَلَمْ يُبْلَغْ </w:t>
      </w:r>
      <w:r>
        <w:rPr>
          <w:rStyle w:val="libFootnotenumChar"/>
          <w:rtl/>
        </w:rPr>
        <w:t>(1)</w:t>
      </w:r>
      <w:r w:rsidRPr="00132E65">
        <w:rPr>
          <w:rtl/>
          <w:lang w:bidi="fa-IR"/>
        </w:rPr>
        <w:t xml:space="preserve"> بِهِمُ الْبَقِيعَ حَتَّى ابْتُلِيَ الْحَرَسِيُّ بَلَاءً شَدِيداً ، رَمَحَتْهُ نَاقَتُهُ </w:t>
      </w:r>
      <w:r>
        <w:rPr>
          <w:rStyle w:val="libFootnotenumChar"/>
          <w:rtl/>
        </w:rPr>
        <w:t>(2)</w:t>
      </w:r>
      <w:r w:rsidRPr="00132E65">
        <w:rPr>
          <w:rtl/>
          <w:lang w:bidi="fa-IR"/>
        </w:rPr>
        <w:t xml:space="preserve"> ، فَدَقَّتْ ورِكُهُ </w:t>
      </w:r>
      <w:r>
        <w:rPr>
          <w:rStyle w:val="libFootnotenumChar"/>
          <w:rtl/>
        </w:rPr>
        <w:t>(3)</w:t>
      </w:r>
      <w:r w:rsidRPr="00132E65">
        <w:rPr>
          <w:rtl/>
          <w:lang w:bidi="fa-IR"/>
        </w:rPr>
        <w:t xml:space="preserve"> ، فَمَاتَ فِيهَا ، ومُضِيَ </w:t>
      </w:r>
      <w:r>
        <w:rPr>
          <w:rStyle w:val="libFootnotenumChar"/>
          <w:rtl/>
        </w:rPr>
        <w:t>(4)</w:t>
      </w:r>
      <w:r w:rsidRPr="00132E65">
        <w:rPr>
          <w:rtl/>
          <w:lang w:bidi="fa-IR"/>
        </w:rPr>
        <w:t xml:space="preserve"> بِالْقَوْمِ </w:t>
      </w:r>
      <w:r>
        <w:rPr>
          <w:rStyle w:val="libFootnotenumChar"/>
          <w:rtl/>
        </w:rPr>
        <w:t>(5)</w:t>
      </w:r>
      <w:r w:rsidRPr="003108A9">
        <w:rPr>
          <w:rStyle w:val="libNormalChar"/>
          <w:rFonts w:hint="cs"/>
          <w:rtl/>
        </w:rPr>
        <w:t>.</w:t>
      </w:r>
    </w:p>
    <w:p w:rsidR="000C39D1" w:rsidRPr="00132E65" w:rsidRDefault="000C39D1" w:rsidP="000C39D1">
      <w:pPr>
        <w:pStyle w:val="libNormal"/>
        <w:rPr>
          <w:rtl/>
          <w:lang w:bidi="fa-IR"/>
        </w:rPr>
      </w:pPr>
      <w:r w:rsidRPr="00132E65">
        <w:rPr>
          <w:rtl/>
          <w:lang w:bidi="fa-IR"/>
        </w:rPr>
        <w:t xml:space="preserve">فَأَقَمْنَا بَعْدَ ذلِكَ </w:t>
      </w:r>
      <w:r>
        <w:rPr>
          <w:rStyle w:val="libFootnotenumChar"/>
          <w:rtl/>
        </w:rPr>
        <w:t>(6)</w:t>
      </w:r>
      <w:r w:rsidRPr="00132E65">
        <w:rPr>
          <w:rtl/>
          <w:lang w:bidi="fa-IR"/>
        </w:rPr>
        <w:t xml:space="preserve"> حِيناً ، ثُمَّ أُتِيَ مُحَمَّدُ بْنُ عَبْدِ اللهِ بْنِ حَسَنٍ </w:t>
      </w:r>
      <w:r>
        <w:rPr>
          <w:rStyle w:val="libFootnotenumChar"/>
          <w:rtl/>
        </w:rPr>
        <w:t>(7)</w:t>
      </w:r>
      <w:r w:rsidRPr="00132E65">
        <w:rPr>
          <w:rtl/>
          <w:lang w:bidi="fa-IR"/>
        </w:rPr>
        <w:t xml:space="preserve"> ، فَأُخْبِرَ أَنَّ أَبَاهُ وَعُمُومَتَهُ قُتِلُوا</w:t>
      </w:r>
      <w:r>
        <w:rPr>
          <w:rtl/>
          <w:lang w:bidi="fa-IR"/>
        </w:rPr>
        <w:t xml:space="preserve"> - </w:t>
      </w:r>
      <w:r w:rsidRPr="00132E65">
        <w:rPr>
          <w:rtl/>
          <w:lang w:bidi="fa-IR"/>
        </w:rPr>
        <w:t xml:space="preserve">قَتَلَهُمْ أَبُو جَعْفَرٍ </w:t>
      </w:r>
      <w:r>
        <w:rPr>
          <w:rStyle w:val="libFootnotenumChar"/>
          <w:rtl/>
        </w:rPr>
        <w:t>(8)</w:t>
      </w:r>
      <w:r>
        <w:rPr>
          <w:rtl/>
          <w:lang w:bidi="fa-IR"/>
        </w:rPr>
        <w:t xml:space="preserve"> - إِل</w:t>
      </w:r>
      <w:r>
        <w:rPr>
          <w:rFonts w:hint="cs"/>
          <w:rtl/>
          <w:lang w:bidi="fa-IR"/>
        </w:rPr>
        <w:t>َّ</w:t>
      </w:r>
      <w:r>
        <w:rPr>
          <w:rtl/>
          <w:lang w:bidi="fa-IR"/>
        </w:rPr>
        <w:t>ا</w:t>
      </w:r>
      <w:r w:rsidRPr="00132E65">
        <w:rPr>
          <w:rtl/>
          <w:lang w:bidi="fa-IR"/>
        </w:rPr>
        <w:t xml:space="preserve"> حَسَنَ بْنَ جَعْفَرٍ وطَبَاطَبَا وعَلِيَّ بْنَ إِبْرَاهِيمَ وَسُلَيْمَانَ بْنَ دَاوُدَ ودَاوُدَ بْنَ حَسَنٍ وعَبْدَ اللهِ بْنَ دَاوُدَ.</w:t>
      </w:r>
    </w:p>
    <w:p w:rsidR="000C39D1" w:rsidRPr="00132E65" w:rsidRDefault="000C39D1" w:rsidP="000C39D1">
      <w:pPr>
        <w:pStyle w:val="libNormal"/>
        <w:rPr>
          <w:rtl/>
          <w:lang w:bidi="fa-IR"/>
        </w:rPr>
      </w:pPr>
      <w:r w:rsidRPr="00132E65">
        <w:rPr>
          <w:rtl/>
          <w:lang w:bidi="fa-IR"/>
        </w:rPr>
        <w:t xml:space="preserve">قَالَ : فَظَهَرَ </w:t>
      </w:r>
      <w:r>
        <w:rPr>
          <w:rStyle w:val="libFootnotenumChar"/>
          <w:rtl/>
        </w:rPr>
        <w:t>(9)</w:t>
      </w:r>
      <w:r w:rsidRPr="00132E65">
        <w:rPr>
          <w:rtl/>
          <w:lang w:bidi="fa-IR"/>
        </w:rPr>
        <w:t xml:space="preserve"> مُحَمَّدُ بْنُ عَبْدِ اللهِ عِنْدَ ذلِكَ ، ودَعَا النَّاسَ لِبَيْعَتِهِ.</w:t>
      </w:r>
    </w:p>
    <w:p w:rsidR="000C39D1" w:rsidRPr="00132E65" w:rsidRDefault="000C39D1" w:rsidP="000C39D1">
      <w:pPr>
        <w:pStyle w:val="libNormal"/>
        <w:rPr>
          <w:rtl/>
          <w:lang w:bidi="fa-IR"/>
        </w:rPr>
      </w:pPr>
      <w:r w:rsidRPr="00132E65">
        <w:rPr>
          <w:rtl/>
          <w:lang w:bidi="fa-IR"/>
        </w:rPr>
        <w:t xml:space="preserve">قَالَ : فَكُنْتُ ثَالِثَ ثَلَاثَةٍ بَايَعُوهُ ، واسْتَوْثَقَ </w:t>
      </w:r>
      <w:r>
        <w:rPr>
          <w:rStyle w:val="libFootnotenumChar"/>
          <w:rtl/>
        </w:rPr>
        <w:t>(10)</w:t>
      </w:r>
      <w:r w:rsidRPr="00132E65">
        <w:rPr>
          <w:rtl/>
          <w:lang w:bidi="fa-IR"/>
        </w:rPr>
        <w:t xml:space="preserve"> النَّاسَ لِبَيْعَتِهِ ، ولَمْ يَخْتَلِفْ عَلَيْهِ قُرَشِيٌّ ولَا</w:t>
      </w:r>
      <w:r>
        <w:rPr>
          <w:rFonts w:hint="cs"/>
          <w:rtl/>
          <w:lang w:bidi="fa-IR"/>
        </w:rPr>
        <w:t xml:space="preserve"> </w:t>
      </w:r>
      <w:r w:rsidRPr="00132E65">
        <w:rPr>
          <w:rtl/>
          <w:lang w:bidi="fa-IR"/>
        </w:rPr>
        <w:t>أَنْصَارِيٌّ ولَاعَرَبِيٌّ.</w:t>
      </w:r>
    </w:p>
    <w:p w:rsidR="000C39D1" w:rsidRPr="00132E65" w:rsidRDefault="000C39D1" w:rsidP="000C39D1">
      <w:pPr>
        <w:pStyle w:val="libNormal"/>
        <w:rPr>
          <w:rtl/>
          <w:lang w:bidi="fa-IR"/>
        </w:rPr>
      </w:pPr>
      <w:r w:rsidRPr="00132E65">
        <w:rPr>
          <w:rtl/>
          <w:lang w:bidi="fa-IR"/>
        </w:rPr>
        <w:t xml:space="preserve">قَالَ : وشَاوَرَ </w:t>
      </w:r>
      <w:r>
        <w:rPr>
          <w:rStyle w:val="libFootnotenumChar"/>
          <w:rtl/>
        </w:rPr>
        <w:t>(11)</w:t>
      </w:r>
      <w:r w:rsidRPr="00132E65">
        <w:rPr>
          <w:rtl/>
          <w:lang w:bidi="fa-IR"/>
        </w:rPr>
        <w:t xml:space="preserve"> عِيسَى بْنَ زَيْدٍ </w:t>
      </w:r>
      <w:r>
        <w:rPr>
          <w:rStyle w:val="libFootnotenumChar"/>
          <w:rtl/>
        </w:rPr>
        <w:t>(12)</w:t>
      </w:r>
      <w:r>
        <w:rPr>
          <w:rtl/>
          <w:lang w:bidi="fa-IR"/>
        </w:rPr>
        <w:t xml:space="preserve"> - </w:t>
      </w:r>
      <w:r w:rsidRPr="00132E65">
        <w:rPr>
          <w:rtl/>
          <w:lang w:bidi="fa-IR"/>
        </w:rPr>
        <w:t xml:space="preserve">وكَانَ </w:t>
      </w:r>
      <w:r w:rsidRPr="00F543F1">
        <w:rPr>
          <w:rStyle w:val="libFootnotenumChar"/>
          <w:rtl/>
        </w:rPr>
        <w:t>(13)</w:t>
      </w:r>
      <w:r w:rsidRPr="00132E65">
        <w:rPr>
          <w:rtl/>
          <w:lang w:bidi="fa-IR"/>
        </w:rPr>
        <w:t xml:space="preserve"> مِنْ ثِقَاتِهِ وكَانَ عَلى شُرَطِهِ </w:t>
      </w:r>
      <w:r w:rsidRPr="00F543F1">
        <w:rPr>
          <w:rStyle w:val="libFootnotenumChar"/>
          <w:rtl/>
        </w:rPr>
        <w:t>(14)</w:t>
      </w:r>
      <w:r>
        <w:rPr>
          <w:rtl/>
          <w:lang w:bidi="fa-IR"/>
        </w:rPr>
        <w:t xml:space="preserve"> - </w:t>
      </w:r>
      <w:r w:rsidRPr="00132E65">
        <w:rPr>
          <w:rtl/>
          <w:lang w:bidi="fa-IR"/>
        </w:rPr>
        <w:t>فَشَاوَرَهُ‌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بح » ، مع عدم ما ينافيه في النسخ. وفي </w:t>
      </w:r>
      <w:r w:rsidRPr="009D1ACE">
        <w:rPr>
          <w:rStyle w:val="libFootnoteBoldChar"/>
          <w:rtl/>
        </w:rPr>
        <w:t>مرآة العقول</w:t>
      </w:r>
      <w:r w:rsidRPr="00132E65">
        <w:rPr>
          <w:rtl/>
        </w:rPr>
        <w:t xml:space="preserve"> : « فلم يبلغ ، على بناء المجهول ، أو المعلوم » ويؤيّد الأوّل عدم وجود الفاعل.</w:t>
      </w:r>
    </w:p>
    <w:p w:rsidR="000C39D1" w:rsidRPr="00132E65" w:rsidRDefault="000C39D1" w:rsidP="000C39D1">
      <w:pPr>
        <w:pStyle w:val="libFootnote0"/>
        <w:rPr>
          <w:rtl/>
          <w:lang w:bidi="fa-IR"/>
        </w:rPr>
      </w:pPr>
      <w:r>
        <w:rPr>
          <w:rtl/>
        </w:rPr>
        <w:t>(2).</w:t>
      </w:r>
      <w:r w:rsidRPr="00132E65">
        <w:rPr>
          <w:rtl/>
        </w:rPr>
        <w:t xml:space="preserve"> في « ض ، ه‍ ، بس ، بف » وحاشية « بح » و</w:t>
      </w:r>
      <w:r w:rsidRPr="009D1ACE">
        <w:rPr>
          <w:rStyle w:val="libFootnoteBoldChar"/>
          <w:rtl/>
        </w:rPr>
        <w:t>الوافي</w:t>
      </w:r>
      <w:r w:rsidRPr="00132E65">
        <w:rPr>
          <w:rtl/>
        </w:rPr>
        <w:t xml:space="preserve"> : « ناقة »</w:t>
      </w:r>
      <w:r>
        <w:rPr>
          <w:rtl/>
        </w:rPr>
        <w:t>.</w:t>
      </w:r>
      <w:r w:rsidRPr="00132E65">
        <w:rPr>
          <w:rtl/>
        </w:rPr>
        <w:t xml:space="preserve"> وقوله : « رَمَحَتْهُ ناقتُه » ، أي ضربته برجلها. يقال : رَمَحَهُ الفرس والبغل والحمار ، إذا ضربه برجله. راجع : </w:t>
      </w:r>
      <w:r w:rsidRPr="00AE0838">
        <w:rPr>
          <w:rtl/>
        </w:rPr>
        <w:t>الصحاح</w:t>
      </w:r>
      <w:r w:rsidRPr="00132E65">
        <w:rPr>
          <w:rtl/>
        </w:rPr>
        <w:t xml:space="preserve"> ، ج 1 ، ص 367 ( رمح )</w:t>
      </w:r>
      <w:r>
        <w:rPr>
          <w:rtl/>
        </w:rPr>
        <w:t>.</w:t>
      </w:r>
    </w:p>
    <w:p w:rsidR="000C39D1" w:rsidRPr="00132E65" w:rsidRDefault="000C39D1" w:rsidP="000C39D1">
      <w:pPr>
        <w:pStyle w:val="libFootnote0"/>
        <w:rPr>
          <w:rtl/>
          <w:lang w:bidi="fa-IR"/>
        </w:rPr>
      </w:pPr>
      <w:r>
        <w:rPr>
          <w:rtl/>
        </w:rPr>
        <w:t>(3).</w:t>
      </w:r>
      <w:r w:rsidRPr="00132E65">
        <w:rPr>
          <w:rtl/>
        </w:rPr>
        <w:t xml:space="preserve"> « الوَرِك » : ما فوق الفخذ. </w:t>
      </w:r>
      <w:r w:rsidRPr="00AE0838">
        <w:rPr>
          <w:rtl/>
        </w:rPr>
        <w:t>الصحاح</w:t>
      </w:r>
      <w:r w:rsidRPr="00132E65">
        <w:rPr>
          <w:rtl/>
        </w:rPr>
        <w:t xml:space="preserve"> ، ج 10 ، ص 509 ( ورك )</w:t>
      </w:r>
      <w:r>
        <w:rPr>
          <w:rtl/>
        </w:rPr>
        <w:t>.</w:t>
      </w:r>
    </w:p>
    <w:p w:rsidR="000C39D1" w:rsidRPr="00132E65" w:rsidRDefault="000C39D1" w:rsidP="000C39D1">
      <w:pPr>
        <w:pStyle w:val="libFootnote0"/>
        <w:rPr>
          <w:rtl/>
          <w:lang w:bidi="fa-IR"/>
        </w:rPr>
      </w:pPr>
      <w:r>
        <w:rPr>
          <w:rtl/>
        </w:rPr>
        <w:t>(4).</w:t>
      </w:r>
      <w:r w:rsidRPr="00132E65">
        <w:rPr>
          <w:rtl/>
        </w:rPr>
        <w:t xml:space="preserve"> هكذا في « ه‍ ، بح »</w:t>
      </w:r>
      <w:r>
        <w:rPr>
          <w:rtl/>
        </w:rPr>
        <w:t>.</w:t>
      </w:r>
      <w:r w:rsidRPr="00132E65">
        <w:rPr>
          <w:rtl/>
        </w:rPr>
        <w:t xml:space="preserve"> وقال في </w:t>
      </w:r>
      <w:r w:rsidRPr="009D1ACE">
        <w:rPr>
          <w:rStyle w:val="libFootnoteBoldChar"/>
          <w:rtl/>
        </w:rPr>
        <w:t>مرآة العقول</w:t>
      </w:r>
      <w:r w:rsidRPr="00132E65">
        <w:rPr>
          <w:rtl/>
        </w:rPr>
        <w:t xml:space="preserve"> : « مُضِيَ ، على بناء المجهول ، كأُتيَ وأُخبر »</w:t>
      </w:r>
      <w:r>
        <w:rPr>
          <w:rtl/>
        </w:rPr>
        <w:t>.</w:t>
      </w:r>
      <w:r w:rsidRPr="00132E65">
        <w:rPr>
          <w:rtl/>
        </w:rPr>
        <w:t xml:space="preserve"> ويؤيّده عدم وجود الفاعل.</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البحار : « القوم »</w:t>
            </w:r>
            <w:r>
              <w:rPr>
                <w:rtl/>
              </w:rPr>
              <w:t>.</w:t>
            </w:r>
          </w:p>
        </w:tc>
        <w:tc>
          <w:tcPr>
            <w:tcW w:w="4006" w:type="dxa"/>
          </w:tcPr>
          <w:p w:rsidR="000C39D1" w:rsidRDefault="000C39D1" w:rsidP="00B53873">
            <w:pPr>
              <w:pStyle w:val="libFootnote0"/>
              <w:rPr>
                <w:rtl/>
              </w:rPr>
            </w:pPr>
            <w:r>
              <w:rPr>
                <w:rtl/>
              </w:rPr>
              <w:t>(6).</w:t>
            </w:r>
            <w:r w:rsidRPr="00132E65">
              <w:rPr>
                <w:rtl/>
              </w:rPr>
              <w:t xml:space="preserve"> في « بح » :</w:t>
            </w:r>
            <w:r>
              <w:rPr>
                <w:rtl/>
              </w:rPr>
              <w:t xml:space="preserve"> + </w:t>
            </w:r>
            <w:r w:rsidRPr="00132E65">
              <w:rPr>
                <w:rtl/>
              </w:rPr>
              <w:t>« ثَمّ » بفتح الثاء.</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والبحار : « الحسن »</w:t>
            </w:r>
            <w:r>
              <w:rPr>
                <w:rtl/>
              </w:rPr>
              <w:t>.</w:t>
            </w:r>
          </w:p>
        </w:tc>
        <w:tc>
          <w:tcPr>
            <w:tcW w:w="4006" w:type="dxa"/>
          </w:tcPr>
          <w:p w:rsidR="000C39D1" w:rsidRDefault="000C39D1" w:rsidP="00B53873">
            <w:pPr>
              <w:pStyle w:val="libFootnote0"/>
              <w:rPr>
                <w:rtl/>
              </w:rPr>
            </w:pPr>
            <w:r>
              <w:rPr>
                <w:rtl/>
              </w:rPr>
              <w:t>(8).</w:t>
            </w:r>
            <w:r w:rsidRPr="00132E65">
              <w:rPr>
                <w:rtl/>
              </w:rPr>
              <w:t xml:space="preserve"> يعني الدوانيقي.</w:t>
            </w:r>
          </w:p>
        </w:tc>
      </w:tr>
    </w:tbl>
    <w:p w:rsidR="000C39D1" w:rsidRPr="00132E65" w:rsidRDefault="000C39D1" w:rsidP="000C39D1">
      <w:pPr>
        <w:pStyle w:val="libFootnote0"/>
        <w:rPr>
          <w:rtl/>
          <w:lang w:bidi="fa-IR"/>
        </w:rPr>
      </w:pPr>
      <w:r>
        <w:rPr>
          <w:rtl/>
        </w:rPr>
        <w:t>(9).</w:t>
      </w:r>
      <w:r w:rsidRPr="00132E65">
        <w:rPr>
          <w:rtl/>
        </w:rPr>
        <w:t xml:space="preserve"> في « ب ، ه‍ » وحاشية « بح » : « وظهر »</w:t>
      </w:r>
      <w:r>
        <w:rPr>
          <w:rtl/>
        </w:rPr>
        <w:t>.</w:t>
      </w:r>
    </w:p>
    <w:p w:rsidR="000C39D1" w:rsidRPr="00132E65" w:rsidRDefault="000C39D1" w:rsidP="000C39D1">
      <w:pPr>
        <w:pStyle w:val="libFootnote0"/>
        <w:rPr>
          <w:rtl/>
          <w:lang w:bidi="fa-IR"/>
        </w:rPr>
      </w:pPr>
      <w:r>
        <w:rPr>
          <w:rtl/>
        </w:rPr>
        <w:t>(10).</w:t>
      </w:r>
      <w:r w:rsidRPr="00132E65">
        <w:rPr>
          <w:rtl/>
        </w:rPr>
        <w:t xml:space="preserve"> هكذا في « ب ، ج ، ض ، ف ، ه‍ ، و، بح ، بس ، بف » والبحار. أي استوثق من الناس ، فهو منصوب بنزع‌الخافض. وفي « بر » وحاشية « بح ، بس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استوسق » ، بمعنى اجتمع. وفي المطبوع : « استونق » ولكن لم نجده في اللغة.</w:t>
      </w:r>
      <w:r>
        <w:rPr>
          <w:rFonts w:hint="cs"/>
          <w:rtl/>
        </w:rPr>
        <w:t xml:space="preserve">                          </w:t>
      </w:r>
      <w:r>
        <w:rPr>
          <w:rtl/>
        </w:rPr>
        <w:t>(11).</w:t>
      </w:r>
      <w:r w:rsidRPr="00132E65">
        <w:rPr>
          <w:rtl/>
        </w:rPr>
        <w:t xml:space="preserve"> في « ف » : « شاهد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(12).</w:t>
            </w:r>
            <w:r w:rsidRPr="00132E65">
              <w:rPr>
                <w:rtl/>
              </w:rPr>
              <w:t xml:space="preserve"> في « ف » : « يزيد »</w:t>
            </w:r>
            <w:r>
              <w:rPr>
                <w:rtl/>
              </w:rPr>
              <w:t>.</w:t>
            </w:r>
          </w:p>
        </w:tc>
        <w:tc>
          <w:tcPr>
            <w:tcW w:w="4006" w:type="dxa"/>
          </w:tcPr>
          <w:p w:rsidR="000C39D1" w:rsidRDefault="000C39D1" w:rsidP="00B53873">
            <w:pPr>
              <w:pStyle w:val="libFootnote0"/>
              <w:rPr>
                <w:rtl/>
              </w:rPr>
            </w:pPr>
            <w:r>
              <w:rPr>
                <w:rtl/>
              </w:rPr>
              <w:t>(13)</w:t>
            </w:r>
            <w:r w:rsidRPr="00132E65">
              <w:rPr>
                <w:rtl/>
              </w:rPr>
              <w:t xml:space="preserve"> في « ف » : « فكان »</w:t>
            </w:r>
            <w:r>
              <w:rPr>
                <w:rtl/>
              </w:rPr>
              <w:t>.</w:t>
            </w:r>
          </w:p>
        </w:tc>
      </w:tr>
    </w:tbl>
    <w:p w:rsidR="000C39D1" w:rsidRPr="00132E65" w:rsidRDefault="000C39D1" w:rsidP="000C39D1">
      <w:pPr>
        <w:pStyle w:val="libFootnote0"/>
        <w:rPr>
          <w:rtl/>
          <w:lang w:bidi="fa-IR"/>
        </w:rPr>
      </w:pPr>
      <w:r>
        <w:rPr>
          <w:rtl/>
        </w:rPr>
        <w:t>(14)</w:t>
      </w:r>
      <w:r w:rsidRPr="00132E65">
        <w:rPr>
          <w:rtl/>
        </w:rPr>
        <w:t xml:space="preserve"> في « ب ، ض » وحاشية « بح ، بر » والبحار : « شرطته »</w:t>
      </w:r>
      <w:r>
        <w:rPr>
          <w:rtl/>
        </w:rPr>
        <w:t>.</w:t>
      </w:r>
      <w:r w:rsidRPr="00132E65">
        <w:rPr>
          <w:rtl/>
        </w:rPr>
        <w:t xml:space="preserve"> </w:t>
      </w:r>
      <w:r>
        <w:rPr>
          <w:rtl/>
        </w:rPr>
        <w:t>و «</w:t>
      </w:r>
      <w:r w:rsidRPr="00132E65">
        <w:rPr>
          <w:rtl/>
        </w:rPr>
        <w:t xml:space="preserve"> الشُرَط » : جمع الشُرطَة ، وهي أوّل طائفة من الجيش تشهد الوقعة. وشُرَط السلطان : نُخبة أصحابه الذين يقدّمهم على غيرهم من جنده. راجع : </w:t>
      </w:r>
      <w:r w:rsidRPr="00AE0838">
        <w:rPr>
          <w:rtl/>
        </w:rPr>
        <w:t>النهاية</w:t>
      </w:r>
      <w:r w:rsidRPr="00132E65">
        <w:rPr>
          <w:rtl/>
        </w:rPr>
        <w:t xml:space="preserve"> ، ج 2 ، ص 460 ( شرط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فِي الْبِعْثَةِ </w:t>
      </w:r>
      <w:r>
        <w:rPr>
          <w:rStyle w:val="libFootnotenumChar"/>
          <w:rtl/>
        </w:rPr>
        <w:t>(1)</w:t>
      </w:r>
      <w:r w:rsidRPr="00132E65">
        <w:rPr>
          <w:rtl/>
          <w:lang w:bidi="fa-IR"/>
        </w:rPr>
        <w:t xml:space="preserve"> إِلى وجُوهِ قَوْمِهِ ، فَقَالَ لَهُ عِيسَى بْنُ زَيْدٍ </w:t>
      </w:r>
      <w:r>
        <w:rPr>
          <w:rStyle w:val="libFootnotenumChar"/>
          <w:rtl/>
        </w:rPr>
        <w:t>(2)</w:t>
      </w:r>
      <w:r w:rsidRPr="00132E65">
        <w:rPr>
          <w:rtl/>
          <w:lang w:bidi="fa-IR"/>
        </w:rPr>
        <w:t xml:space="preserve"> : إِنْ دَعَوْتَهُمْ دُعَاءً يَسِيراً ، لَمْ يُجِيبُوكَ ، أَوْ تَغْلُظَ عَلَيْهِمْ ، فَخَلِّنِي وإِيَّاهُمْ ، فَقَالَ </w:t>
      </w:r>
      <w:r>
        <w:rPr>
          <w:rStyle w:val="libFootnotenumChar"/>
          <w:rtl/>
        </w:rPr>
        <w:t>(3)</w:t>
      </w:r>
      <w:r w:rsidRPr="00132E65">
        <w:rPr>
          <w:rtl/>
          <w:lang w:bidi="fa-IR"/>
        </w:rPr>
        <w:t xml:space="preserve"> لَهُ مُحَمَّدٌ : امْضِ إِلى مَنْ أَرَدْتَ مِنْهُمْ ، فَقَالَ : ابْعَثْ إِلى رَئِيسِهِمْ وكَبِيرِهِمْ</w:t>
      </w:r>
      <w:r>
        <w:rPr>
          <w:rtl/>
          <w:lang w:bidi="fa-IR"/>
        </w:rPr>
        <w:t xml:space="preserve"> - </w:t>
      </w:r>
      <w:r w:rsidRPr="00132E65">
        <w:rPr>
          <w:rtl/>
          <w:lang w:bidi="fa-IR"/>
        </w:rPr>
        <w:t xml:space="preserve">يَعْنِي أَبَا عَبْدِ اللهِ جَعْفَرَ بْنَ مُحَمَّدٍ </w:t>
      </w:r>
      <w:r w:rsidRPr="00071CF9">
        <w:rPr>
          <w:rStyle w:val="libAlaemChar"/>
          <w:rtl/>
        </w:rPr>
        <w:t>عليه‌السلام</w:t>
      </w:r>
      <w:r>
        <w:rPr>
          <w:rtl/>
          <w:lang w:bidi="fa-IR"/>
        </w:rPr>
        <w:t xml:space="preserve"> - </w:t>
      </w:r>
      <w:r w:rsidRPr="00132E65">
        <w:rPr>
          <w:rtl/>
          <w:lang w:bidi="fa-IR"/>
        </w:rPr>
        <w:t xml:space="preserve">فَإِنَّكَ إِذَا أَغْلَظْتَ </w:t>
      </w:r>
      <w:r>
        <w:rPr>
          <w:rStyle w:val="libFootnotenumChar"/>
          <w:rtl/>
        </w:rPr>
        <w:t>(4)</w:t>
      </w:r>
      <w:r w:rsidRPr="00132E65">
        <w:rPr>
          <w:rtl/>
          <w:lang w:bidi="fa-IR"/>
        </w:rPr>
        <w:t xml:space="preserve"> عَلَيْهِ ، عَلِمُوا جَمِيعاً أَنَّكَ سَتُمِرُّهُمْ عَلَى الطَّرِيقِ </w:t>
      </w:r>
      <w:r>
        <w:rPr>
          <w:rStyle w:val="libFootnotenumChar"/>
          <w:rtl/>
        </w:rPr>
        <w:t>(5)</w:t>
      </w:r>
      <w:r w:rsidRPr="00132E65">
        <w:rPr>
          <w:rtl/>
          <w:lang w:bidi="fa-IR"/>
        </w:rPr>
        <w:t xml:space="preserve"> الَّتِي أَمْرَرْتَ عَلَيْهَا أَبَا عَبْدِ اللهِ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قَالَ : فَوَ اللهِ ، مَا لَبِثْنَا أَنْ </w:t>
      </w:r>
      <w:r>
        <w:rPr>
          <w:rStyle w:val="libFootnotenumChar"/>
          <w:rtl/>
        </w:rPr>
        <w:t>(6)</w:t>
      </w:r>
      <w:r w:rsidRPr="00132E65">
        <w:rPr>
          <w:rtl/>
          <w:lang w:bidi="fa-IR"/>
        </w:rPr>
        <w:t xml:space="preserve"> أُتِيَ بِأَبِي عَبْدِ اللهِ </w:t>
      </w:r>
      <w:r w:rsidRPr="00071CF9">
        <w:rPr>
          <w:rStyle w:val="libAlaemChar"/>
          <w:rtl/>
        </w:rPr>
        <w:t>عليه‌السلام</w:t>
      </w:r>
      <w:r w:rsidRPr="00132E65">
        <w:rPr>
          <w:rtl/>
          <w:lang w:bidi="fa-IR"/>
        </w:rPr>
        <w:t xml:space="preserve"> حَتّى أُوقِفَ </w:t>
      </w:r>
      <w:r>
        <w:rPr>
          <w:rStyle w:val="libFootnotenumChar"/>
          <w:rtl/>
        </w:rPr>
        <w:t>(7)</w:t>
      </w:r>
      <w:r w:rsidRPr="00132E65">
        <w:rPr>
          <w:rtl/>
          <w:lang w:bidi="fa-IR"/>
        </w:rPr>
        <w:t xml:space="preserve"> بَيْنَ يَدَيْهِ ، فَقَالَ لَهُ عِيسَى بْنُ زَيْدٍ </w:t>
      </w:r>
      <w:r>
        <w:rPr>
          <w:rStyle w:val="libFootnotenumChar"/>
          <w:rtl/>
        </w:rPr>
        <w:t>(8)</w:t>
      </w:r>
      <w:r w:rsidRPr="00132E65">
        <w:rPr>
          <w:rtl/>
          <w:lang w:bidi="fa-IR"/>
        </w:rPr>
        <w:t xml:space="preserve"> : أَسْلِمْ ؛ تَسْلَمْ.</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Pr>
          <w:rtl/>
          <w:lang w:bidi="fa-IR"/>
        </w:rPr>
        <w:t xml:space="preserve"> : « أَ</w:t>
      </w:r>
      <w:r w:rsidRPr="00132E65">
        <w:rPr>
          <w:rtl/>
          <w:lang w:bidi="fa-IR"/>
        </w:rPr>
        <w:t xml:space="preserve">حَدَثَتْ نُبُوَّةٌ بَعْدَ مُحَمَّدٍ </w:t>
      </w:r>
      <w:r w:rsidRPr="0093484F">
        <w:rPr>
          <w:rStyle w:val="libAlaemChar"/>
          <w:rFonts w:eastAsiaTheme="minorHAnsi"/>
          <w:rtl/>
        </w:rPr>
        <w:t>صلى‌الله‌عليه‌وآله</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لَهُ مُحَمَّدٌ </w:t>
      </w:r>
      <w:r>
        <w:rPr>
          <w:rStyle w:val="libFootnotenumChar"/>
          <w:rtl/>
        </w:rPr>
        <w:t>(9)</w:t>
      </w:r>
      <w:r w:rsidRPr="00132E65">
        <w:rPr>
          <w:rtl/>
          <w:lang w:bidi="fa-IR"/>
        </w:rPr>
        <w:t xml:space="preserve"> : لَا ، ولكِنْ بَايِعْ ؛ تَأْمَنْ عَلى نَفْسِكَ ومَالِكَ </w:t>
      </w:r>
      <w:r>
        <w:rPr>
          <w:rtl/>
          <w:lang w:bidi="fa-IR"/>
        </w:rPr>
        <w:t>و</w:t>
      </w:r>
      <w:r>
        <w:rPr>
          <w:rFonts w:hint="cs"/>
          <w:rtl/>
          <w:lang w:bidi="fa-IR"/>
        </w:rPr>
        <w:t xml:space="preserve">َ </w:t>
      </w:r>
      <w:r>
        <w:rPr>
          <w:rtl/>
          <w:lang w:bidi="fa-IR"/>
        </w:rPr>
        <w:t>و</w:t>
      </w:r>
      <w:r>
        <w:rPr>
          <w:rFonts w:hint="cs"/>
          <w:rtl/>
          <w:lang w:bidi="fa-IR"/>
        </w:rPr>
        <w:t>ُ</w:t>
      </w:r>
      <w:r w:rsidRPr="00132E65">
        <w:rPr>
          <w:rtl/>
          <w:lang w:bidi="fa-IR"/>
        </w:rPr>
        <w:t>لْدِكَ ، ولَاتُكَلَّفَنَّ حَرْباً.</w:t>
      </w:r>
    </w:p>
    <w:p w:rsidR="000C39D1" w:rsidRPr="00132E65" w:rsidRDefault="000C39D1" w:rsidP="00D1401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مَا فِيَّ حَرْبٌ ولَاقِتَالٌ </w:t>
      </w:r>
      <w:r>
        <w:rPr>
          <w:rStyle w:val="libFootnotenumChar"/>
          <w:rtl/>
        </w:rPr>
        <w:t>(10)</w:t>
      </w:r>
      <w:r w:rsidRPr="00132E65">
        <w:rPr>
          <w:rtl/>
          <w:lang w:bidi="fa-IR"/>
        </w:rPr>
        <w:t xml:space="preserve"> ، ولَقَدْ تَقَدَّمْتُ </w:t>
      </w:r>
      <w:r>
        <w:rPr>
          <w:rStyle w:val="libFootnotenumChar"/>
          <w:rtl/>
        </w:rPr>
        <w:t>(11)</w:t>
      </w:r>
      <w:r w:rsidRPr="00132E65">
        <w:rPr>
          <w:rtl/>
          <w:lang w:bidi="fa-IR"/>
        </w:rPr>
        <w:t xml:space="preserve"> إِلى أَبِيكَ ، وَحَذَّرْتُهُ الَّذِي حَاقَ بِهِ </w:t>
      </w:r>
      <w:r>
        <w:rPr>
          <w:rStyle w:val="libFootnotenumChar"/>
          <w:rtl/>
        </w:rPr>
        <w:t>(12)</w:t>
      </w:r>
      <w:r w:rsidRPr="00132E65">
        <w:rPr>
          <w:rtl/>
          <w:lang w:bidi="fa-IR"/>
        </w:rPr>
        <w:t xml:space="preserve"> ، ولكِنْ لَايَنْفَعُ حَذَرٌ مِنْ قَدَرٍ ، يَا ابْنَ‌</w:t>
      </w:r>
      <w:r w:rsidR="00D14011">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w:t>
            </w:r>
            <w:r w:rsidRPr="00132E65">
              <w:rPr>
                <w:rtl/>
              </w:rPr>
              <w:t xml:space="preserve"> في « ف » : « البيعة »</w:t>
            </w:r>
            <w:r>
              <w:rPr>
                <w:rtl/>
              </w:rPr>
              <w:t>.</w:t>
            </w:r>
          </w:p>
        </w:tc>
        <w:tc>
          <w:tcPr>
            <w:tcW w:w="4006" w:type="dxa"/>
          </w:tcPr>
          <w:p w:rsidR="000C39D1" w:rsidRDefault="000C39D1" w:rsidP="00B53873">
            <w:pPr>
              <w:pStyle w:val="libFootnote0"/>
              <w:rPr>
                <w:rtl/>
              </w:rPr>
            </w:pPr>
            <w:r>
              <w:rPr>
                <w:rtl/>
              </w:rPr>
              <w:t>(2).</w:t>
            </w:r>
            <w:r w:rsidRPr="00132E65">
              <w:rPr>
                <w:rtl/>
              </w:rPr>
              <w:t xml:space="preserve"> في « ف » : « يزيد »</w:t>
            </w:r>
            <w:r>
              <w:rPr>
                <w:rtl/>
              </w:rPr>
              <w:t>.</w:t>
            </w:r>
          </w:p>
        </w:tc>
      </w:tr>
    </w:tbl>
    <w:p w:rsidR="000C39D1" w:rsidRPr="00132E65" w:rsidRDefault="000C39D1" w:rsidP="000C39D1">
      <w:pPr>
        <w:pStyle w:val="libFootnote0"/>
        <w:rPr>
          <w:rtl/>
          <w:lang w:bidi="fa-IR"/>
        </w:rPr>
      </w:pPr>
      <w:r>
        <w:rPr>
          <w:rtl/>
        </w:rPr>
        <w:t>(3).</w:t>
      </w:r>
      <w:r w:rsidRPr="00132E65">
        <w:rPr>
          <w:rtl/>
        </w:rPr>
        <w:t xml:space="preserve"> في « ب » : « قال »</w:t>
      </w:r>
      <w:r>
        <w:rPr>
          <w:rtl/>
        </w:rPr>
        <w:t>.</w:t>
      </w:r>
    </w:p>
    <w:p w:rsidR="000C39D1" w:rsidRPr="00132E65" w:rsidRDefault="000C39D1" w:rsidP="000C39D1">
      <w:pPr>
        <w:pStyle w:val="libFootnote0"/>
        <w:rPr>
          <w:rtl/>
          <w:lang w:bidi="fa-IR"/>
        </w:rPr>
      </w:pPr>
      <w:r>
        <w:rPr>
          <w:rtl/>
        </w:rPr>
        <w:t>(4).</w:t>
      </w:r>
      <w:r w:rsidRPr="00132E65">
        <w:rPr>
          <w:rtl/>
        </w:rPr>
        <w:t xml:space="preserve"> في « ب ، بر ، بس ، بف » : « غلّظت » بالتضعيف. وفي « ض » : « غلظت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 ف » : « الطريقة »</w:t>
            </w:r>
            <w:r>
              <w:rPr>
                <w:rtl/>
              </w:rPr>
              <w:t>.</w:t>
            </w:r>
          </w:p>
        </w:tc>
        <w:tc>
          <w:tcPr>
            <w:tcW w:w="4006" w:type="dxa"/>
          </w:tcPr>
          <w:p w:rsidR="000C39D1" w:rsidRDefault="000C39D1" w:rsidP="00B53873">
            <w:pPr>
              <w:pStyle w:val="libFootnote0"/>
              <w:rPr>
                <w:rtl/>
              </w:rPr>
            </w:pPr>
            <w:r>
              <w:rPr>
                <w:rtl/>
              </w:rPr>
              <w:t>(6). في «ج،ف،بح،بر،بس،بف»وحاشية«</w:t>
            </w:r>
            <w:r w:rsidRPr="00132E65">
              <w:rPr>
                <w:rtl/>
              </w:rPr>
              <w:t>ه‍ »</w:t>
            </w:r>
            <w:r>
              <w:rPr>
                <w:rtl/>
              </w:rPr>
              <w:t>:«إذ</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في « ب » : « وقف »</w:t>
      </w:r>
      <w:r>
        <w:rPr>
          <w:rtl/>
        </w:rPr>
        <w:t>.</w:t>
      </w:r>
      <w:r w:rsidRPr="00132E65">
        <w:rPr>
          <w:rtl/>
        </w:rPr>
        <w:t xml:space="preserve"> وفي حاشية « بف » : « فوقف »</w:t>
      </w:r>
      <w:r>
        <w:rPr>
          <w:rtl/>
        </w:rPr>
        <w:t>.</w:t>
      </w:r>
    </w:p>
    <w:p w:rsidR="000C39D1" w:rsidRPr="00132E65" w:rsidRDefault="000C39D1" w:rsidP="000C39D1">
      <w:pPr>
        <w:pStyle w:val="libFootnote0"/>
        <w:rPr>
          <w:rtl/>
          <w:lang w:bidi="fa-IR"/>
        </w:rPr>
      </w:pPr>
      <w:r>
        <w:rPr>
          <w:rtl/>
        </w:rPr>
        <w:t>(8).</w:t>
      </w:r>
      <w:r w:rsidRPr="00132E65">
        <w:rPr>
          <w:rtl/>
        </w:rPr>
        <w:t xml:space="preserve"> في « ف » : « يزيد »</w:t>
      </w:r>
      <w:r>
        <w:rPr>
          <w:rtl/>
        </w:rPr>
        <w:t>.</w:t>
      </w:r>
    </w:p>
    <w:p w:rsidR="000C39D1" w:rsidRPr="00132E65" w:rsidRDefault="000C39D1" w:rsidP="000C39D1">
      <w:pPr>
        <w:pStyle w:val="libFootnote0"/>
        <w:rPr>
          <w:rtl/>
          <w:lang w:bidi="fa-IR"/>
        </w:rPr>
      </w:pPr>
      <w:r>
        <w:rPr>
          <w:rtl/>
        </w:rPr>
        <w:t>(9).</w:t>
      </w:r>
      <w:r w:rsidRPr="00132E65">
        <w:rPr>
          <w:rtl/>
        </w:rPr>
        <w:t xml:space="preserve"> يأتي فيما بعد تعبير الإمام </w:t>
      </w:r>
      <w:r w:rsidRPr="0017613D">
        <w:rPr>
          <w:rStyle w:val="libFootnoteAlaemChar"/>
          <w:rtl/>
        </w:rPr>
        <w:t>عليه‌السلام</w:t>
      </w:r>
      <w:r w:rsidRPr="00132E65">
        <w:rPr>
          <w:rtl/>
        </w:rPr>
        <w:t xml:space="preserve"> عنه</w:t>
      </w:r>
      <w:r>
        <w:rPr>
          <w:rtl/>
        </w:rPr>
        <w:t xml:space="preserve"> ب</w:t>
      </w:r>
      <w:r>
        <w:rPr>
          <w:rFonts w:hint="cs"/>
          <w:rtl/>
        </w:rPr>
        <w:t>ـ</w:t>
      </w:r>
      <w:r>
        <w:rPr>
          <w:rtl/>
        </w:rPr>
        <w:t xml:space="preserve"> «</w:t>
      </w:r>
      <w:r w:rsidRPr="00132E65">
        <w:rPr>
          <w:rtl/>
        </w:rPr>
        <w:t xml:space="preserve"> ابن أخي » وهو يؤيّد كون المخاطب هو عيسى بن زيد لا محمّداً وإن كان‌ما يأتي من قوله : « فقال له عيسى بن زيد » يأباه.</w:t>
      </w:r>
    </w:p>
    <w:p w:rsidR="000C39D1" w:rsidRPr="00132E65" w:rsidRDefault="000C39D1" w:rsidP="000C39D1">
      <w:pPr>
        <w:pStyle w:val="libFootnote0"/>
        <w:rPr>
          <w:rtl/>
          <w:lang w:bidi="fa-IR"/>
        </w:rPr>
      </w:pPr>
      <w:r>
        <w:rPr>
          <w:rtl/>
        </w:rPr>
        <w:t>(10).</w:t>
      </w:r>
      <w:r w:rsidRPr="00132E65">
        <w:rPr>
          <w:rtl/>
        </w:rPr>
        <w:t xml:space="preserve"> احتمل المجلسي في </w:t>
      </w:r>
      <w:r w:rsidRPr="009D1ACE">
        <w:rPr>
          <w:rStyle w:val="libFootnoteBoldChar"/>
          <w:rtl/>
        </w:rPr>
        <w:t>مرآة العقول</w:t>
      </w:r>
      <w:r w:rsidRPr="00132E65">
        <w:rPr>
          <w:rtl/>
        </w:rPr>
        <w:t xml:space="preserve"> كونه : قَتال ، بفتح القاف بمعنى القوّة. ثمّ قال : « أي ليس لي قوّة على الحرب‌ولا غيره»</w:t>
      </w:r>
      <w:r>
        <w:rPr>
          <w:rtl/>
        </w:rPr>
        <w:t>.</w:t>
      </w:r>
      <w:r w:rsidRPr="00132E65">
        <w:rPr>
          <w:rtl/>
        </w:rPr>
        <w:t xml:space="preserve"> وراجع : </w:t>
      </w:r>
      <w:r w:rsidRPr="00AE0838">
        <w:rPr>
          <w:rtl/>
        </w:rPr>
        <w:t>القاموس المحيط</w:t>
      </w:r>
      <w:r w:rsidRPr="00132E65">
        <w:rPr>
          <w:rtl/>
        </w:rPr>
        <w:t xml:space="preserve"> ، ج 2 ، ص 1382 ( قتل )</w:t>
      </w:r>
      <w:r>
        <w:rPr>
          <w:rtl/>
        </w:rPr>
        <w:t>.</w:t>
      </w:r>
    </w:p>
    <w:p w:rsidR="000C39D1" w:rsidRPr="00132E65" w:rsidRDefault="000C39D1" w:rsidP="000C39D1">
      <w:pPr>
        <w:pStyle w:val="libFootnote0"/>
        <w:rPr>
          <w:rtl/>
          <w:lang w:bidi="fa-IR"/>
        </w:rPr>
      </w:pPr>
      <w:r>
        <w:rPr>
          <w:rtl/>
        </w:rPr>
        <w:t>(11).</w:t>
      </w:r>
      <w:r w:rsidRPr="00132E65">
        <w:rPr>
          <w:rtl/>
        </w:rPr>
        <w:t xml:space="preserve"> في « ج ، بر ، بف » : « ولكن لقد تقدّمت »</w:t>
      </w:r>
      <w:r>
        <w:rPr>
          <w:rtl/>
        </w:rPr>
        <w:t>.</w:t>
      </w:r>
      <w:r w:rsidRPr="00132E65">
        <w:rPr>
          <w:rtl/>
        </w:rPr>
        <w:t xml:space="preserve"> وفي « بح ، بس » : « ولكن تقدّمت » وفي </w:t>
      </w:r>
      <w:r w:rsidRPr="009D1ACE">
        <w:rPr>
          <w:rStyle w:val="libFootnoteBoldChar"/>
          <w:rtl/>
        </w:rPr>
        <w:t>الوافي</w:t>
      </w:r>
      <w:r w:rsidRPr="00132E65">
        <w:rPr>
          <w:rtl/>
        </w:rPr>
        <w:t xml:space="preserve"> : « وقد تقدّمت »</w:t>
      </w:r>
      <w:r>
        <w:rPr>
          <w:rtl/>
        </w:rPr>
        <w:t>.</w:t>
      </w:r>
    </w:p>
    <w:p w:rsidR="000C39D1" w:rsidRPr="00132E65" w:rsidRDefault="000C39D1" w:rsidP="000C39D1">
      <w:pPr>
        <w:pStyle w:val="libFootnote0"/>
        <w:rPr>
          <w:rtl/>
          <w:lang w:bidi="fa-IR"/>
        </w:rPr>
      </w:pPr>
      <w:r>
        <w:rPr>
          <w:rtl/>
        </w:rPr>
        <w:t>(12).</w:t>
      </w:r>
      <w:r w:rsidRPr="00132E65">
        <w:rPr>
          <w:rtl/>
        </w:rPr>
        <w:t xml:space="preserve"> قال الجوهري : « حاق به الشي‌ء يحيق ، أي أحاط به. وحاق بهم العذاب ، أي أحاط بهم ونزل »</w:t>
      </w:r>
      <w:r>
        <w:rPr>
          <w:rtl/>
        </w:rPr>
        <w:t>.</w:t>
      </w:r>
      <w:r w:rsidRPr="00132E65">
        <w:rPr>
          <w:rtl/>
        </w:rPr>
        <w:t xml:space="preserve"> </w:t>
      </w:r>
      <w:r w:rsidRPr="00AE0838">
        <w:rPr>
          <w:rtl/>
        </w:rPr>
        <w:t>الصحاح</w:t>
      </w:r>
      <w:r w:rsidRPr="00132E65">
        <w:rPr>
          <w:rtl/>
        </w:rPr>
        <w:t xml:space="preserve"> ، ج 4 ، ص 1466 ( حيق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أَخِي </w:t>
      </w:r>
      <w:r>
        <w:rPr>
          <w:rStyle w:val="libFootnotenumChar"/>
          <w:rtl/>
        </w:rPr>
        <w:t>(1)</w:t>
      </w:r>
      <w:r w:rsidRPr="00132E65">
        <w:rPr>
          <w:rtl/>
          <w:lang w:bidi="fa-IR"/>
        </w:rPr>
        <w:t xml:space="preserve"> ، عَلَيْكَ بِالشَّبَابِ </w:t>
      </w:r>
      <w:r>
        <w:rPr>
          <w:rStyle w:val="libFootnotenumChar"/>
          <w:rtl/>
        </w:rPr>
        <w:t>(2)</w:t>
      </w:r>
      <w:r w:rsidRPr="00132E65">
        <w:rPr>
          <w:rtl/>
          <w:lang w:bidi="fa-IR"/>
        </w:rPr>
        <w:t xml:space="preserve"> ، ودَعْ عَنْكَ الشُّيُوخَ »</w:t>
      </w:r>
      <w:r>
        <w:rPr>
          <w:rtl/>
          <w:lang w:bidi="fa-IR"/>
        </w:rPr>
        <w:t>.</w:t>
      </w:r>
    </w:p>
    <w:p w:rsidR="000C39D1" w:rsidRPr="00132E65" w:rsidRDefault="000C39D1" w:rsidP="000C39D1">
      <w:pPr>
        <w:pStyle w:val="libNormal"/>
        <w:rPr>
          <w:rtl/>
          <w:lang w:bidi="fa-IR"/>
        </w:rPr>
      </w:pPr>
      <w:r w:rsidRPr="00132E65">
        <w:rPr>
          <w:rtl/>
          <w:lang w:bidi="fa-IR"/>
        </w:rPr>
        <w:t>فَقَالَ لَهُ مُحَمَّدٌ : مَا أَقْرَبَ مَا بَيْنِي وبَيْنَكَ فِي السِّنِّ</w:t>
      </w:r>
      <w:r>
        <w:rPr>
          <w:rtl/>
          <w:lang w:bidi="fa-IR"/>
        </w:rPr>
        <w:t>!</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إِنِّي لَمْ أُعَازَّكَ </w:t>
      </w:r>
      <w:r>
        <w:rPr>
          <w:rStyle w:val="libFootnotenumChar"/>
          <w:rtl/>
        </w:rPr>
        <w:t>(3)</w:t>
      </w:r>
      <w:r w:rsidRPr="00132E65">
        <w:rPr>
          <w:rtl/>
          <w:lang w:bidi="fa-IR"/>
        </w:rPr>
        <w:t xml:space="preserve"> ، ولَمْ أَجِئْ لِأَتَقَدَّمَ عَلَيْكَ فِي الَّذِي أَنْتَ فِيهِ »</w:t>
      </w:r>
      <w:r>
        <w:rPr>
          <w:rtl/>
          <w:lang w:bidi="fa-IR"/>
        </w:rPr>
        <w:t>.</w:t>
      </w:r>
    </w:p>
    <w:p w:rsidR="000C39D1" w:rsidRPr="00132E65" w:rsidRDefault="000C39D1" w:rsidP="000C39D1">
      <w:pPr>
        <w:pStyle w:val="libNormal"/>
        <w:rPr>
          <w:rtl/>
          <w:lang w:bidi="fa-IR"/>
        </w:rPr>
      </w:pPr>
      <w:r w:rsidRPr="00132E65">
        <w:rPr>
          <w:rtl/>
          <w:lang w:bidi="fa-IR"/>
        </w:rPr>
        <w:t xml:space="preserve">فَقَالَ لَهُ مُحَمَّدٌ : لَاوَ اللهِ ، لَابُدَّ مِنْ أَنْ تُبَايِعَ </w:t>
      </w:r>
      <w:r>
        <w:rPr>
          <w:rStyle w:val="libFootnotenumChar"/>
          <w:rtl/>
        </w:rPr>
        <w:t>(4)</w:t>
      </w:r>
      <w:r w:rsidRPr="00BE3914">
        <w:rPr>
          <w:rStyle w:val="libFootnoteAlaemChar"/>
          <w:rFonts w:hint="cs"/>
          <w:rtl/>
        </w:rPr>
        <w:t>.</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مَا فِيَّ يَا ابْنَ أَخِي طَلَبٌ ولَاحَرْبٌ </w:t>
      </w:r>
      <w:r>
        <w:rPr>
          <w:rStyle w:val="libFootnotenumChar"/>
          <w:rtl/>
        </w:rPr>
        <w:t>(5)</w:t>
      </w:r>
      <w:r w:rsidRPr="00132E65">
        <w:rPr>
          <w:rtl/>
          <w:lang w:bidi="fa-IR"/>
        </w:rPr>
        <w:t xml:space="preserve"> ، وإِنِّي لَأُرِيدُ </w:t>
      </w:r>
      <w:r>
        <w:rPr>
          <w:rStyle w:val="libFootnotenumChar"/>
          <w:rtl/>
        </w:rPr>
        <w:t>(6)</w:t>
      </w:r>
      <w:r w:rsidRPr="00132E65">
        <w:rPr>
          <w:rtl/>
          <w:lang w:bidi="fa-IR"/>
        </w:rPr>
        <w:t xml:space="preserve"> الْخُرُوجَ إِلَى الْبَادِيَةِ ، فَيَصُدُّنِي ذلِكَ ، ويَثْقُلُ عَلَيَّ حَتّى تُكَلِّمَنِي </w:t>
      </w:r>
      <w:r>
        <w:rPr>
          <w:rStyle w:val="libFootnotenumChar"/>
          <w:rtl/>
        </w:rPr>
        <w:t>(7)</w:t>
      </w:r>
      <w:r w:rsidRPr="00132E65">
        <w:rPr>
          <w:rtl/>
          <w:lang w:bidi="fa-IR"/>
        </w:rPr>
        <w:t xml:space="preserve"> فِي ذلِكَ الْأَهْلُ غَيْرَ مَرَّةٍ ، ولَايَمْنَعُنِي </w:t>
      </w:r>
      <w:r>
        <w:rPr>
          <w:rStyle w:val="libFootnotenumChar"/>
          <w:rtl/>
        </w:rPr>
        <w:t>(8)</w:t>
      </w:r>
      <w:r>
        <w:rPr>
          <w:rtl/>
          <w:lang w:bidi="fa-IR"/>
        </w:rPr>
        <w:t xml:space="preserve"> مِنْهُ إِل</w:t>
      </w:r>
      <w:r>
        <w:rPr>
          <w:rFonts w:hint="cs"/>
          <w:rtl/>
          <w:lang w:bidi="fa-IR"/>
        </w:rPr>
        <w:t>َّ</w:t>
      </w:r>
      <w:r>
        <w:rPr>
          <w:rtl/>
          <w:lang w:bidi="fa-IR"/>
        </w:rPr>
        <w:t>ا</w:t>
      </w:r>
      <w:r w:rsidRPr="00132E65">
        <w:rPr>
          <w:rtl/>
          <w:lang w:bidi="fa-IR"/>
        </w:rPr>
        <w:t xml:space="preserve"> الضَّعْفُ ، واللهِ والرَّحِمِ </w:t>
      </w:r>
      <w:r>
        <w:rPr>
          <w:rStyle w:val="libFootnotenumChar"/>
          <w:rtl/>
        </w:rPr>
        <w:t>(9)</w:t>
      </w:r>
      <w:r w:rsidRPr="00132E65">
        <w:rPr>
          <w:rtl/>
          <w:lang w:bidi="fa-IR"/>
        </w:rPr>
        <w:t xml:space="preserve"> أَنْ تُدْبِرَ </w:t>
      </w:r>
      <w:r>
        <w:rPr>
          <w:rStyle w:val="libFootnotenumChar"/>
          <w:rtl/>
        </w:rPr>
        <w:t>(10)</w:t>
      </w:r>
      <w:r w:rsidRPr="00132E65">
        <w:rPr>
          <w:rtl/>
          <w:lang w:bidi="fa-IR"/>
        </w:rPr>
        <w:t xml:space="preserve"> عَنَّا ، ونَشْقى </w:t>
      </w:r>
      <w:r>
        <w:rPr>
          <w:rStyle w:val="libFootnotenumChar"/>
          <w:rtl/>
        </w:rPr>
        <w:t>(11)</w:t>
      </w:r>
      <w:r w:rsidRPr="00132E65">
        <w:rPr>
          <w:rtl/>
          <w:lang w:bidi="fa-IR"/>
        </w:rPr>
        <w:t xml:space="preserve"> بِكَ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محمّد هذا حسنيّ فلا يمكن أن يكون ابن أخ الصادق </w:t>
      </w:r>
      <w:r w:rsidRPr="00BE3914">
        <w:rPr>
          <w:rStyle w:val="libFootnoteAlaemChar"/>
          <w:rtl/>
        </w:rPr>
        <w:t>عليه‌السلام</w:t>
      </w:r>
      <w:r w:rsidRPr="00132E65">
        <w:rPr>
          <w:rtl/>
        </w:rPr>
        <w:t xml:space="preserve"> </w:t>
      </w:r>
      <w:r>
        <w:rPr>
          <w:rtl/>
        </w:rPr>
        <w:t>إل</w:t>
      </w:r>
      <w:r>
        <w:rPr>
          <w:rFonts w:hint="cs"/>
          <w:rtl/>
        </w:rPr>
        <w:t>ّ</w:t>
      </w:r>
      <w:r>
        <w:rPr>
          <w:rtl/>
        </w:rPr>
        <w:t>ا</w:t>
      </w:r>
      <w:r>
        <w:rPr>
          <w:rFonts w:hint="cs"/>
          <w:rtl/>
        </w:rPr>
        <w:t xml:space="preserve"> </w:t>
      </w:r>
      <w:r w:rsidRPr="00132E65">
        <w:rPr>
          <w:rtl/>
        </w:rPr>
        <w:t xml:space="preserve">أن يكون أبوه أخاً رضاعياً له </w:t>
      </w:r>
      <w:r w:rsidRPr="00BE3914">
        <w:rPr>
          <w:rStyle w:val="libFootnoteAlaemChar"/>
          <w:rtl/>
        </w:rPr>
        <w:t>عليه‌السلام</w:t>
      </w:r>
      <w:r w:rsidRPr="00132E65">
        <w:rPr>
          <w:rtl/>
        </w:rPr>
        <w:t>. ويحتمل أن يكون المخاطب هو عيسى بن زيد وكان محمّد خطأً وإن كان ما يأتي من قوله : « فقال له عيسى بن زيد » يأباه.</w:t>
      </w:r>
    </w:p>
    <w:p w:rsidR="000C39D1" w:rsidRPr="00132E65" w:rsidRDefault="000C39D1" w:rsidP="000C39D1">
      <w:pPr>
        <w:pStyle w:val="libFootnote0"/>
        <w:rPr>
          <w:rtl/>
          <w:lang w:bidi="fa-IR"/>
        </w:rPr>
      </w:pPr>
      <w:r>
        <w:rPr>
          <w:rtl/>
        </w:rPr>
        <w:t>(2).</w:t>
      </w:r>
      <w:r w:rsidRPr="00132E65">
        <w:rPr>
          <w:rtl/>
        </w:rPr>
        <w:t xml:space="preserve"> في « ف » : « بالشبّان »</w:t>
      </w:r>
      <w:r>
        <w:rPr>
          <w:rtl/>
        </w:rPr>
        <w:t>.</w:t>
      </w:r>
      <w:r w:rsidRPr="00132E65">
        <w:rPr>
          <w:rtl/>
        </w:rPr>
        <w:t xml:space="preserve"> وفي حاشية « ج » : « الشبّان »</w:t>
      </w:r>
      <w:r>
        <w:rPr>
          <w:rtl/>
        </w:rPr>
        <w:t>.</w:t>
      </w:r>
    </w:p>
    <w:p w:rsidR="000C39D1" w:rsidRPr="00132E65" w:rsidRDefault="000C39D1" w:rsidP="000C39D1">
      <w:pPr>
        <w:pStyle w:val="libFootnote0"/>
        <w:rPr>
          <w:rtl/>
          <w:lang w:bidi="fa-IR"/>
        </w:rPr>
      </w:pPr>
      <w:r>
        <w:rPr>
          <w:rtl/>
        </w:rPr>
        <w:t>(3).</w:t>
      </w:r>
      <w:r w:rsidRPr="00132E65">
        <w:rPr>
          <w:rtl/>
        </w:rPr>
        <w:t xml:space="preserve"> في « ج ، بح ، بر ، بس » : « لم ا</w:t>
      </w:r>
      <w:r>
        <w:rPr>
          <w:rFonts w:hint="cs"/>
          <w:rtl/>
        </w:rPr>
        <w:t>ُ</w:t>
      </w:r>
      <w:r w:rsidRPr="00132E65">
        <w:rPr>
          <w:rtl/>
        </w:rPr>
        <w:t>غازّك » بالمعجمتين ، أي لم انازعك. وفي « بف » : « لم ا</w:t>
      </w:r>
      <w:r>
        <w:rPr>
          <w:rFonts w:hint="cs"/>
          <w:rtl/>
        </w:rPr>
        <w:t>ُ</w:t>
      </w:r>
      <w:r w:rsidRPr="00132E65">
        <w:rPr>
          <w:rtl/>
        </w:rPr>
        <w:t>عارّك » بالمهملتين ، أي لم‌ا</w:t>
      </w:r>
      <w:r>
        <w:rPr>
          <w:rFonts w:hint="cs"/>
          <w:rtl/>
        </w:rPr>
        <w:t>ُ</w:t>
      </w:r>
      <w:r w:rsidRPr="00132E65">
        <w:rPr>
          <w:rtl/>
        </w:rPr>
        <w:t>قاتلك ولم ا</w:t>
      </w:r>
      <w:r>
        <w:rPr>
          <w:rFonts w:hint="cs"/>
          <w:rtl/>
        </w:rPr>
        <w:t>ُ</w:t>
      </w:r>
      <w:r w:rsidRPr="00132E65">
        <w:rPr>
          <w:rtl/>
        </w:rPr>
        <w:t xml:space="preserve">وذك. وفي </w:t>
      </w:r>
      <w:r w:rsidRPr="009D1ACE">
        <w:rPr>
          <w:rStyle w:val="libFootnoteBoldChar"/>
          <w:rtl/>
        </w:rPr>
        <w:t>الوافي</w:t>
      </w:r>
      <w:r w:rsidRPr="00132E65">
        <w:rPr>
          <w:rtl/>
        </w:rPr>
        <w:t xml:space="preserve"> : « لم ا</w:t>
      </w:r>
      <w:r>
        <w:rPr>
          <w:rFonts w:hint="cs"/>
          <w:rtl/>
        </w:rPr>
        <w:t>ُ</w:t>
      </w:r>
      <w:r w:rsidRPr="00132E65">
        <w:rPr>
          <w:rtl/>
        </w:rPr>
        <w:t>عادك »</w:t>
      </w:r>
      <w:r>
        <w:rPr>
          <w:rtl/>
        </w:rPr>
        <w:t>.</w:t>
      </w:r>
      <w:r w:rsidRPr="00132E65">
        <w:rPr>
          <w:rtl/>
        </w:rPr>
        <w:t xml:space="preserve"> وقوله : « لم ا</w:t>
      </w:r>
      <w:r>
        <w:rPr>
          <w:rFonts w:hint="cs"/>
          <w:rtl/>
        </w:rPr>
        <w:t>ُ</w:t>
      </w:r>
      <w:r w:rsidRPr="00132E65">
        <w:rPr>
          <w:rtl/>
        </w:rPr>
        <w:t xml:space="preserve">عازّك » ، أي اغالبك. يقال : عازّني فعززته ، أي غالبني فغلبته. والاسم : العزّة ، وهي القوّة والغلبة. راجع : </w:t>
      </w:r>
      <w:r w:rsidRPr="009D1ACE">
        <w:rPr>
          <w:rStyle w:val="libFootnoteBoldChar"/>
          <w:rtl/>
        </w:rPr>
        <w:t>لسان العرب</w:t>
      </w:r>
      <w:r w:rsidRPr="00132E65">
        <w:rPr>
          <w:rtl/>
        </w:rPr>
        <w:t xml:space="preserve"> ، ج 5 ، ص 378 ( عزز )</w:t>
      </w:r>
      <w:r>
        <w:rPr>
          <w:rtl/>
        </w:rPr>
        <w:t>.</w:t>
      </w:r>
    </w:p>
    <w:p w:rsidR="000C39D1" w:rsidRPr="00132E65" w:rsidRDefault="000C39D1" w:rsidP="000C39D1">
      <w:pPr>
        <w:pStyle w:val="libFootnote0"/>
        <w:rPr>
          <w:rtl/>
          <w:lang w:bidi="fa-IR"/>
        </w:rPr>
      </w:pPr>
      <w:r>
        <w:rPr>
          <w:rtl/>
        </w:rPr>
        <w:t>(4).</w:t>
      </w:r>
      <w:r w:rsidRPr="00132E65">
        <w:rPr>
          <w:rtl/>
        </w:rPr>
        <w:t xml:space="preserve"> في « بس » </w:t>
      </w:r>
      <w:r>
        <w:rPr>
          <w:rtl/>
        </w:rPr>
        <w:t xml:space="preserve">: - </w:t>
      </w:r>
      <w:r w:rsidRPr="00132E65">
        <w:rPr>
          <w:rtl/>
        </w:rPr>
        <w:t>« من أن تبايع »</w:t>
      </w:r>
      <w:r>
        <w:rPr>
          <w:rtl/>
        </w:rPr>
        <w:t>.</w:t>
      </w:r>
    </w:p>
    <w:p w:rsidR="000C39D1" w:rsidRPr="00132E65" w:rsidRDefault="000C39D1" w:rsidP="000C39D1">
      <w:pPr>
        <w:pStyle w:val="libFootnote0"/>
        <w:rPr>
          <w:rtl/>
          <w:lang w:bidi="fa-IR"/>
        </w:rPr>
      </w:pPr>
      <w:r>
        <w:rPr>
          <w:rtl/>
        </w:rPr>
        <w:t>(5).</w:t>
      </w:r>
      <w:r w:rsidRPr="00132E65">
        <w:rPr>
          <w:rtl/>
        </w:rPr>
        <w:t xml:space="preserve"> في « ج ، ف ، ه‍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 « هرب »</w:t>
      </w:r>
      <w:r>
        <w:rPr>
          <w:rtl/>
        </w:rPr>
        <w:t>.</w:t>
      </w:r>
    </w:p>
    <w:p w:rsidR="000C39D1" w:rsidRPr="00132E65" w:rsidRDefault="000C39D1" w:rsidP="000C39D1">
      <w:pPr>
        <w:pStyle w:val="libFootnote0"/>
        <w:rPr>
          <w:rtl/>
          <w:lang w:bidi="fa-IR"/>
        </w:rPr>
      </w:pPr>
      <w:r>
        <w:rPr>
          <w:rtl/>
        </w:rPr>
        <w:t>(6).</w:t>
      </w:r>
      <w:r w:rsidRPr="00132E65">
        <w:rPr>
          <w:rtl/>
        </w:rPr>
        <w:t xml:space="preserve"> في « ف » : « ا</w:t>
      </w:r>
      <w:r>
        <w:rPr>
          <w:rFonts w:hint="cs"/>
          <w:rtl/>
        </w:rPr>
        <w:t>ُ</w:t>
      </w:r>
      <w:r w:rsidRPr="00132E65">
        <w:rPr>
          <w:rtl/>
        </w:rPr>
        <w:t>ريد »</w:t>
      </w:r>
      <w:r>
        <w:rPr>
          <w:rtl/>
        </w:rPr>
        <w:t>.</w:t>
      </w:r>
    </w:p>
    <w:p w:rsidR="000C39D1" w:rsidRPr="00132E65" w:rsidRDefault="000C39D1" w:rsidP="000C39D1">
      <w:pPr>
        <w:pStyle w:val="libFootnote0"/>
        <w:rPr>
          <w:rtl/>
          <w:lang w:bidi="fa-IR"/>
        </w:rPr>
      </w:pPr>
      <w:r>
        <w:rPr>
          <w:rtl/>
        </w:rPr>
        <w:t>(7).</w:t>
      </w:r>
      <w:r w:rsidRPr="00132E65">
        <w:rPr>
          <w:rtl/>
        </w:rPr>
        <w:t xml:space="preserve"> في « ب ، بح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يكلّمني »</w:t>
      </w:r>
      <w:r>
        <w:rPr>
          <w:rtl/>
        </w:rPr>
        <w:t>.</w:t>
      </w:r>
    </w:p>
    <w:p w:rsidR="000C39D1" w:rsidRPr="00132E65" w:rsidRDefault="000C39D1" w:rsidP="000C39D1">
      <w:pPr>
        <w:pStyle w:val="libFootnote0"/>
        <w:rPr>
          <w:rtl/>
          <w:lang w:bidi="fa-IR"/>
        </w:rPr>
      </w:pPr>
      <w:r>
        <w:rPr>
          <w:rtl/>
        </w:rPr>
        <w:t>(8).</w:t>
      </w:r>
      <w:r w:rsidRPr="00132E65">
        <w:rPr>
          <w:rtl/>
        </w:rPr>
        <w:t xml:space="preserve"> في « ض ، بح ، بر ، بس ، بف » والبحار : « وما يمنعني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والله والرحم ، بالجرّ ، أي أنشد بالله وبالرحم في أن لا تدبر. أو بالنصب ، بتقدير أذكر أن تدبر »</w:t>
      </w:r>
      <w:r>
        <w:rPr>
          <w:rtl/>
        </w:rPr>
        <w:t>.</w:t>
      </w:r>
    </w:p>
    <w:p w:rsidR="000C39D1" w:rsidRPr="00132E65" w:rsidRDefault="000C39D1" w:rsidP="000C39D1">
      <w:pPr>
        <w:pStyle w:val="libFootnote0"/>
        <w:rPr>
          <w:rtl/>
          <w:lang w:bidi="fa-IR"/>
        </w:rPr>
      </w:pPr>
      <w:r>
        <w:rPr>
          <w:rtl/>
        </w:rPr>
        <w:t>(10).</w:t>
      </w:r>
      <w:r w:rsidRPr="00132E65">
        <w:rPr>
          <w:rtl/>
        </w:rPr>
        <w:t xml:space="preserve"> قال المازندراني : « تدبر ، إمّا مجرّد ، أو مزيد. والدابر : الرجل الذي يقطع رحمه ، والإدبار عن الشي‌ء : نقيض الإقبال إليه »</w:t>
      </w:r>
      <w:r>
        <w:rPr>
          <w:rtl/>
        </w:rPr>
        <w:t>.</w:t>
      </w:r>
      <w:r w:rsidRPr="00132E65">
        <w:rPr>
          <w:rtl/>
        </w:rPr>
        <w:t xml:space="preserve"> وفي اللغة : يقال : رجلٌ أدابِرٌ للذي يقطع رحمه ، مثل أَباتِر. راجع : </w:t>
      </w:r>
      <w:r w:rsidRPr="00AE0838">
        <w:rPr>
          <w:rtl/>
        </w:rPr>
        <w:t>شرح المازندراني</w:t>
      </w:r>
      <w:r w:rsidRPr="00132E65">
        <w:rPr>
          <w:rtl/>
        </w:rPr>
        <w:t xml:space="preserve"> ، ج 6 ، ص 303 ؛ </w:t>
      </w:r>
      <w:r w:rsidRPr="00AE0838">
        <w:rPr>
          <w:rtl/>
        </w:rPr>
        <w:t>الصحاح</w:t>
      </w:r>
      <w:r w:rsidRPr="00132E65">
        <w:rPr>
          <w:rtl/>
        </w:rPr>
        <w:t xml:space="preserve"> ، ج 2 ، ص 653 ( دبر )</w:t>
      </w:r>
      <w:r>
        <w:rPr>
          <w:rtl/>
        </w:rPr>
        <w:t>.</w:t>
      </w:r>
    </w:p>
    <w:p w:rsidR="000C39D1" w:rsidRPr="00132E65" w:rsidRDefault="000C39D1" w:rsidP="000C39D1">
      <w:pPr>
        <w:pStyle w:val="libFootnote0"/>
        <w:rPr>
          <w:rtl/>
          <w:lang w:bidi="fa-IR"/>
        </w:rPr>
      </w:pPr>
      <w:r>
        <w:rPr>
          <w:rtl/>
        </w:rPr>
        <w:t>(11).</w:t>
      </w:r>
      <w:r w:rsidRPr="00132E65">
        <w:rPr>
          <w:rtl/>
        </w:rPr>
        <w:t xml:space="preserve"> في شرح المازندراني : « أو نشقي »</w:t>
      </w:r>
      <w:r>
        <w:rPr>
          <w:rtl/>
        </w:rPr>
        <w:t>. وقوله : «نشقى بك»</w:t>
      </w:r>
      <w:r w:rsidRPr="00132E65">
        <w:rPr>
          <w:rtl/>
        </w:rPr>
        <w:t xml:space="preserve">، أي يلحقنا الشقاء ونقع في التعب والعناء بسبب </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لَهُ : يَا أَبَا عَبْدِ اللهِ ، قَدْ واللهِ مَاتَ أَبُو الدَّوَانِيقِ </w:t>
      </w:r>
      <w:r>
        <w:rPr>
          <w:rStyle w:val="libFootnotenumChar"/>
          <w:rtl/>
        </w:rPr>
        <w:t>(1)</w:t>
      </w:r>
      <w:r w:rsidRPr="00132E65">
        <w:rPr>
          <w:rtl/>
          <w:lang w:bidi="fa-IR"/>
        </w:rPr>
        <w:t xml:space="preserve"> يَعْنِي أَبَا جَعْفَرٍ </w:t>
      </w:r>
      <w:r>
        <w:rPr>
          <w:rStyle w:val="libFootnotenumChar"/>
          <w:rtl/>
        </w:rPr>
        <w:t>(2)</w:t>
      </w:r>
      <w:r w:rsidRPr="00C61591">
        <w:rPr>
          <w:rFonts w:hint="cs"/>
          <w:rtl/>
        </w:rPr>
        <w:t>.</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وَمَا تَصْنَعُ بِي وقَدْ مَاتَ</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أُرِيدُ الْجَمَالَ </w:t>
      </w:r>
      <w:r>
        <w:rPr>
          <w:rStyle w:val="libFootnotenumChar"/>
          <w:rtl/>
        </w:rPr>
        <w:t>(3)</w:t>
      </w:r>
      <w:r w:rsidRPr="00132E65">
        <w:rPr>
          <w:rtl/>
          <w:lang w:bidi="fa-IR"/>
        </w:rPr>
        <w:t xml:space="preserve"> بِكَ.</w:t>
      </w:r>
    </w:p>
    <w:p w:rsidR="000C39D1" w:rsidRPr="00132E65" w:rsidRDefault="000C39D1" w:rsidP="000C39D1">
      <w:pPr>
        <w:pStyle w:val="libNormal"/>
        <w:rPr>
          <w:rtl/>
          <w:lang w:bidi="fa-IR"/>
        </w:rPr>
      </w:pPr>
      <w:r w:rsidRPr="00132E65">
        <w:rPr>
          <w:rtl/>
          <w:lang w:bidi="fa-IR"/>
        </w:rPr>
        <w:t xml:space="preserve">قَالَ : « مَا إِلى مَا تُرِيدُ سَبِيلٌ ، لَاوَ اللهِ ، مَا </w:t>
      </w:r>
      <w:r>
        <w:rPr>
          <w:rtl/>
          <w:lang w:bidi="fa-IR"/>
        </w:rPr>
        <w:t>مَاتَ أَبُو الدَّوَانِيقِ إِل</w:t>
      </w:r>
      <w:r>
        <w:rPr>
          <w:rFonts w:hint="cs"/>
          <w:rtl/>
          <w:lang w:bidi="fa-IR"/>
        </w:rPr>
        <w:t>َّ</w:t>
      </w:r>
      <w:r>
        <w:rPr>
          <w:rtl/>
          <w:lang w:bidi="fa-IR"/>
        </w:rPr>
        <w:t>ا</w:t>
      </w:r>
      <w:r w:rsidRPr="00132E65">
        <w:rPr>
          <w:rtl/>
          <w:lang w:bidi="fa-IR"/>
        </w:rPr>
        <w:t xml:space="preserve"> أَنْ يَكُونَ مَاتَ مَوْتَ النَّوْمِ »</w:t>
      </w:r>
      <w:r>
        <w:rPr>
          <w:rtl/>
          <w:lang w:bidi="fa-IR"/>
        </w:rPr>
        <w:t>.</w:t>
      </w:r>
    </w:p>
    <w:p w:rsidR="000C39D1" w:rsidRPr="00132E65" w:rsidRDefault="000C39D1" w:rsidP="000C39D1">
      <w:pPr>
        <w:pStyle w:val="libNormal"/>
        <w:rPr>
          <w:rtl/>
          <w:lang w:bidi="fa-IR"/>
        </w:rPr>
      </w:pPr>
      <w:r w:rsidRPr="00132E65">
        <w:rPr>
          <w:rtl/>
          <w:lang w:bidi="fa-IR"/>
        </w:rPr>
        <w:t xml:space="preserve">قَالَ : واللهِ ، لَتُبَايِعُنِي </w:t>
      </w:r>
      <w:r>
        <w:rPr>
          <w:rStyle w:val="libFootnotenumChar"/>
          <w:rtl/>
        </w:rPr>
        <w:t>(4)</w:t>
      </w:r>
      <w:r w:rsidRPr="00132E65">
        <w:rPr>
          <w:rtl/>
          <w:lang w:bidi="fa-IR"/>
        </w:rPr>
        <w:t xml:space="preserve"> طَائِعاً أَوْ مُكْرَهاً </w:t>
      </w:r>
      <w:r>
        <w:rPr>
          <w:rStyle w:val="libFootnotenumChar"/>
          <w:rtl/>
        </w:rPr>
        <w:t>(5)</w:t>
      </w:r>
      <w:r w:rsidRPr="00132E65">
        <w:rPr>
          <w:rtl/>
          <w:lang w:bidi="fa-IR"/>
        </w:rPr>
        <w:t xml:space="preserve"> ، ولَاتُحْمَدُ </w:t>
      </w:r>
      <w:r>
        <w:rPr>
          <w:rStyle w:val="libFootnotenumChar"/>
          <w:rtl/>
        </w:rPr>
        <w:t>(6)</w:t>
      </w:r>
      <w:r w:rsidRPr="00132E65">
        <w:rPr>
          <w:rtl/>
          <w:lang w:bidi="fa-IR"/>
        </w:rPr>
        <w:t xml:space="preserve"> فِي بَيْعَتِكَ </w:t>
      </w:r>
      <w:r>
        <w:rPr>
          <w:rStyle w:val="libFootnotenumChar"/>
          <w:rtl/>
        </w:rPr>
        <w:t>(7)</w:t>
      </w:r>
      <w:r w:rsidRPr="00132E65">
        <w:rPr>
          <w:rtl/>
          <w:lang w:bidi="fa-IR"/>
        </w:rPr>
        <w:t xml:space="preserve"> ، فَأَبى عَلَيْهِ إِبَاءً شَدِيداً ، وأَمَرَ </w:t>
      </w:r>
      <w:r>
        <w:rPr>
          <w:rStyle w:val="libFootnotenumChar"/>
          <w:rtl/>
        </w:rPr>
        <w:t>(8)</w:t>
      </w:r>
      <w:r w:rsidRPr="00132E65">
        <w:rPr>
          <w:rtl/>
          <w:lang w:bidi="fa-IR"/>
        </w:rPr>
        <w:t xml:space="preserve"> بِهِ إِلَى الْحَبْسِ.</w:t>
      </w:r>
    </w:p>
    <w:p w:rsidR="000C39D1" w:rsidRPr="00132E65" w:rsidRDefault="000C39D1" w:rsidP="000C39D1">
      <w:pPr>
        <w:pStyle w:val="libNormal"/>
        <w:rPr>
          <w:rtl/>
          <w:lang w:bidi="fa-IR"/>
        </w:rPr>
      </w:pPr>
      <w:r w:rsidRPr="00132E65">
        <w:rPr>
          <w:rtl/>
          <w:lang w:bidi="fa-IR"/>
        </w:rPr>
        <w:t>فَقَالَ لَهُ عِيسَى بْنُ زَيْدٍ : أَمَا إِنْ طَرَحْنَاهُ فِي السِّجْنِ</w:t>
      </w:r>
      <w:r>
        <w:rPr>
          <w:rtl/>
          <w:lang w:bidi="fa-IR"/>
        </w:rPr>
        <w:t xml:space="preserve"> - </w:t>
      </w:r>
      <w:r w:rsidRPr="00132E65">
        <w:rPr>
          <w:rtl/>
          <w:lang w:bidi="fa-IR"/>
        </w:rPr>
        <w:t xml:space="preserve">وقَدْ خَرِبَ السِّجْنُ ، ولَيْسَ عَلَيْهِ الْيَوْمَ </w:t>
      </w:r>
      <w:r>
        <w:rPr>
          <w:rStyle w:val="libFootnotenumChar"/>
          <w:rtl/>
        </w:rPr>
        <w:t>(9)</w:t>
      </w:r>
      <w:r w:rsidRPr="00132E65">
        <w:rPr>
          <w:rtl/>
          <w:lang w:bidi="fa-IR"/>
        </w:rPr>
        <w:t xml:space="preserve"> غَلَقٌ </w:t>
      </w:r>
      <w:r>
        <w:rPr>
          <w:rStyle w:val="libFootnotenumChar"/>
          <w:rtl/>
        </w:rPr>
        <w:t>(10)</w:t>
      </w:r>
      <w:r>
        <w:rPr>
          <w:rtl/>
          <w:lang w:bidi="fa-IR"/>
        </w:rPr>
        <w:t xml:space="preserve"> - </w:t>
      </w:r>
      <w:r w:rsidRPr="00132E65">
        <w:rPr>
          <w:rtl/>
          <w:lang w:bidi="fa-IR"/>
        </w:rPr>
        <w:t xml:space="preserve">خِفْنَا أَنْ يَهْرُبَ مِنْهُ ، فَضَحِكَ أَبُو عَبْدِ اللهِ </w:t>
      </w:r>
      <w:r w:rsidRPr="00071CF9">
        <w:rPr>
          <w:rStyle w:val="libAlaemChar"/>
          <w:rtl/>
        </w:rPr>
        <w:t>عليه‌السلام</w:t>
      </w:r>
      <w:r w:rsidRPr="00132E65">
        <w:rPr>
          <w:rtl/>
          <w:lang w:bidi="fa-IR"/>
        </w:rPr>
        <w:t xml:space="preserve"> ، ثُمَّ قَالَ : « لَا حَوْلَ </w:t>
      </w:r>
      <w:r>
        <w:rPr>
          <w:rStyle w:val="libFootnotenumChar"/>
          <w:rtl/>
        </w:rPr>
        <w:t>(11)</w:t>
      </w:r>
      <w:r>
        <w:rPr>
          <w:rtl/>
          <w:lang w:bidi="fa-IR"/>
        </w:rPr>
        <w:t xml:space="preserve"> وَلَاقُوَّةَ إِل</w:t>
      </w:r>
      <w:r>
        <w:rPr>
          <w:rFonts w:hint="cs"/>
          <w:rtl/>
          <w:lang w:bidi="fa-IR"/>
        </w:rPr>
        <w:t>َّ</w:t>
      </w:r>
      <w:r>
        <w:rPr>
          <w:rtl/>
          <w:lang w:bidi="fa-IR"/>
        </w:rPr>
        <w:t>ا</w:t>
      </w:r>
      <w:r w:rsidRPr="00132E65">
        <w:rPr>
          <w:rtl/>
          <w:lang w:bidi="fa-IR"/>
        </w:rPr>
        <w:t xml:space="preserve"> بِاللهِ الْعَلِيِّ ال</w:t>
      </w:r>
      <w:r>
        <w:rPr>
          <w:rtl/>
          <w:lang w:bidi="fa-IR"/>
        </w:rPr>
        <w:t>ْعَظِيمِ ، أَ</w:t>
      </w:r>
      <w:r w:rsidRPr="00132E65">
        <w:rPr>
          <w:rtl/>
          <w:lang w:bidi="fa-IR"/>
        </w:rPr>
        <w:t>وتُرَاكَ تَسْجُنُنِي</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نَعَمْ ، والَّذِي أَكْرَمَ </w:t>
      </w:r>
      <w:r>
        <w:rPr>
          <w:rStyle w:val="libFootnotenumChar"/>
          <w:rtl/>
        </w:rPr>
        <w:t>(12)</w:t>
      </w:r>
      <w:r w:rsidRPr="00132E65">
        <w:rPr>
          <w:rtl/>
          <w:lang w:bidi="fa-IR"/>
        </w:rPr>
        <w:t xml:space="preserve"> مُحَمَّداً </w:t>
      </w:r>
      <w:r w:rsidRPr="0093484F">
        <w:rPr>
          <w:rStyle w:val="libAlaemChar"/>
          <w:rFonts w:eastAsiaTheme="minorHAnsi"/>
          <w:rtl/>
        </w:rPr>
        <w:t>صلى‌الله‌عليه‌وآله</w:t>
      </w:r>
      <w:r w:rsidRPr="00132E65">
        <w:rPr>
          <w:rtl/>
          <w:lang w:bidi="fa-IR"/>
        </w:rPr>
        <w:t xml:space="preserve"> بِالنُّبُوَّةِ </w:t>
      </w:r>
      <w:r w:rsidRPr="00F543F1">
        <w:rPr>
          <w:rStyle w:val="libFootnotenumChar"/>
          <w:rtl/>
        </w:rPr>
        <w:t>(13)</w:t>
      </w:r>
      <w:r w:rsidRPr="00132E65">
        <w:rPr>
          <w:rtl/>
          <w:lang w:bidi="fa-IR"/>
        </w:rPr>
        <w:t xml:space="preserve"> لَأَسْجُنَنَّكَ ، ولَأُشَدِّدَنَّ عَلَيْكَ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مبايعتك ؛ من الشَقاء ، وهو الشِدَّة والعُسْرة. راجع : </w:t>
      </w:r>
      <w:r w:rsidRPr="009D1ACE">
        <w:rPr>
          <w:rStyle w:val="libFootnoteBoldChar"/>
          <w:rtl/>
        </w:rPr>
        <w:t>الوافي</w:t>
      </w:r>
      <w:r w:rsidRPr="00132E65">
        <w:rPr>
          <w:rtl/>
        </w:rPr>
        <w:t xml:space="preserve"> ، ج 2 ، ص 163 ؛ </w:t>
      </w:r>
      <w:r w:rsidRPr="009D1ACE">
        <w:rPr>
          <w:rStyle w:val="libFootnoteBoldChar"/>
          <w:rtl/>
        </w:rPr>
        <w:t>لسان العرب</w:t>
      </w:r>
      <w:r w:rsidRPr="00132E65">
        <w:rPr>
          <w:rtl/>
        </w:rPr>
        <w:t xml:space="preserve"> ، ج 14 ، ص 439 ( شقا )</w:t>
      </w:r>
      <w:r>
        <w:rPr>
          <w:rtl/>
        </w:rPr>
        <w:t>.</w:t>
      </w:r>
    </w:p>
    <w:p w:rsidR="000C39D1" w:rsidRPr="00132E65" w:rsidRDefault="000C39D1" w:rsidP="000C39D1">
      <w:pPr>
        <w:pStyle w:val="libFootnote0"/>
        <w:rPr>
          <w:rtl/>
          <w:lang w:bidi="fa-IR"/>
        </w:rPr>
      </w:pPr>
      <w:r>
        <w:rPr>
          <w:rtl/>
        </w:rPr>
        <w:t>(1).</w:t>
      </w:r>
      <w:r w:rsidRPr="00132E65">
        <w:rPr>
          <w:rtl/>
        </w:rPr>
        <w:t xml:space="preserve"> « الدانِقُ » </w:t>
      </w:r>
      <w:r>
        <w:rPr>
          <w:rtl/>
        </w:rPr>
        <w:t>و «</w:t>
      </w:r>
      <w:r w:rsidRPr="00132E65">
        <w:rPr>
          <w:rtl/>
        </w:rPr>
        <w:t xml:space="preserve"> الدانَقُ » : سدس الدينار والدرهم ، والجمع دَوانِق والدوانيق. الأخيرة شاذّة. ومنهم من فصّله فقال : جمع دانِق : دَوانِقَ ، وجمع دانَق : دَوانيق. راجع : </w:t>
      </w:r>
      <w:r w:rsidRPr="009D1ACE">
        <w:rPr>
          <w:rStyle w:val="libFootnoteBoldChar"/>
          <w:rtl/>
        </w:rPr>
        <w:t>لسان العرب</w:t>
      </w:r>
      <w:r w:rsidRPr="00132E65">
        <w:rPr>
          <w:rtl/>
        </w:rPr>
        <w:t xml:space="preserve"> ، ج 10 ، ص 105 ( دنق )</w:t>
      </w:r>
      <w:r>
        <w:rPr>
          <w:rtl/>
        </w:rPr>
        <w:t>.</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المقهور لعنه الله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حاشية « ف » : « الكمال »</w:t>
            </w:r>
            <w:r>
              <w:rPr>
                <w:rtl/>
              </w:rPr>
              <w:t>.</w:t>
            </w:r>
          </w:p>
        </w:tc>
        <w:tc>
          <w:tcPr>
            <w:tcW w:w="4006" w:type="dxa"/>
          </w:tcPr>
          <w:p w:rsidR="000C39D1" w:rsidRDefault="000C39D1" w:rsidP="00B53873">
            <w:pPr>
              <w:pStyle w:val="libFootnote0"/>
              <w:rPr>
                <w:rtl/>
              </w:rPr>
            </w:pPr>
            <w:r>
              <w:rPr>
                <w:rtl/>
              </w:rPr>
              <w:t>(4).</w:t>
            </w:r>
            <w:r w:rsidRPr="00132E65">
              <w:rPr>
                <w:rtl/>
              </w:rPr>
              <w:t xml:space="preserve"> في « ب » : « لتبايعنّ »</w:t>
            </w:r>
            <w:r>
              <w:rPr>
                <w:rtl/>
              </w:rPr>
              <w:t>.</w:t>
            </w:r>
          </w:p>
        </w:tc>
      </w:tr>
      <w:tr w:rsidR="000C39D1" w:rsidTr="00B53873">
        <w:tc>
          <w:tcPr>
            <w:tcW w:w="4006" w:type="dxa"/>
          </w:tcPr>
          <w:p w:rsidR="000C39D1" w:rsidRDefault="000C39D1" w:rsidP="00B53873">
            <w:pPr>
              <w:pStyle w:val="libFootnote0"/>
              <w:rPr>
                <w:rtl/>
              </w:rPr>
            </w:pPr>
            <w:r>
              <w:rPr>
                <w:rtl/>
              </w:rPr>
              <w:t>(5).</w:t>
            </w:r>
            <w:r w:rsidRPr="00132E65">
              <w:rPr>
                <w:rtl/>
              </w:rPr>
              <w:t xml:space="preserve"> في « ب ، ج ، بس » : « مكروهاً »</w:t>
            </w:r>
            <w:r>
              <w:rPr>
                <w:rtl/>
              </w:rPr>
              <w:t>.</w:t>
            </w:r>
          </w:p>
        </w:tc>
        <w:tc>
          <w:tcPr>
            <w:tcW w:w="4006" w:type="dxa"/>
          </w:tcPr>
          <w:p w:rsidR="000C39D1" w:rsidRDefault="000C39D1" w:rsidP="00B53873">
            <w:pPr>
              <w:pStyle w:val="libFootnote0"/>
              <w:rPr>
                <w:rtl/>
              </w:rPr>
            </w:pPr>
            <w:r>
              <w:rPr>
                <w:rtl/>
              </w:rPr>
              <w:t>(6).</w:t>
            </w:r>
            <w:r w:rsidRPr="00132E65">
              <w:rPr>
                <w:rtl/>
              </w:rPr>
              <w:t xml:space="preserve"> في « بر ، بف » : « ولا تحمل »</w:t>
            </w:r>
            <w:r>
              <w:rPr>
                <w:rtl/>
              </w:rPr>
              <w:t>.</w:t>
            </w:r>
          </w:p>
        </w:tc>
      </w:tr>
    </w:tbl>
    <w:p w:rsidR="000C39D1" w:rsidRPr="00132E65" w:rsidRDefault="000C39D1" w:rsidP="000C39D1">
      <w:pPr>
        <w:pStyle w:val="libFootnote0"/>
        <w:rPr>
          <w:rtl/>
          <w:lang w:bidi="fa-IR"/>
        </w:rPr>
      </w:pPr>
      <w:r>
        <w:rPr>
          <w:rtl/>
        </w:rPr>
        <w:t>(7).</w:t>
      </w:r>
      <w:r w:rsidRPr="00132E65">
        <w:rPr>
          <w:rtl/>
        </w:rPr>
        <w:t xml:space="preserve"> في « ه‍ » : « تبعتك »</w:t>
      </w:r>
      <w:r>
        <w:rPr>
          <w:rtl/>
        </w:rPr>
        <w:t>.</w:t>
      </w:r>
    </w:p>
    <w:p w:rsidR="000C39D1" w:rsidRPr="00132E65" w:rsidRDefault="000C39D1" w:rsidP="000C39D1">
      <w:pPr>
        <w:pStyle w:val="libFootnote0"/>
        <w:rPr>
          <w:rtl/>
          <w:lang w:bidi="fa-IR"/>
        </w:rPr>
      </w:pPr>
      <w:r>
        <w:rPr>
          <w:rtl/>
        </w:rPr>
        <w:t>(8).</w:t>
      </w:r>
      <w:r w:rsidRPr="00132E65">
        <w:rPr>
          <w:rtl/>
        </w:rPr>
        <w:t xml:space="preserve"> في « ج ، ض ، بر » : « فأمر »</w:t>
      </w:r>
      <w:r>
        <w:rPr>
          <w:rtl/>
        </w:rPr>
        <w:t>.</w:t>
      </w:r>
      <w:r w:rsidRPr="00132E65">
        <w:rPr>
          <w:rtl/>
        </w:rPr>
        <w:t xml:space="preserve"> وفي حاشية « بح » و</w:t>
      </w:r>
      <w:r w:rsidRPr="009D1ACE">
        <w:rPr>
          <w:rStyle w:val="libFootnoteBoldChar"/>
          <w:rtl/>
        </w:rPr>
        <w:t>الوافي</w:t>
      </w:r>
      <w:r w:rsidRPr="00132E65">
        <w:rPr>
          <w:rtl/>
        </w:rPr>
        <w:t xml:space="preserve"> والبحار : « فا</w:t>
      </w:r>
      <w:r>
        <w:rPr>
          <w:rFonts w:hint="cs"/>
          <w:rtl/>
        </w:rPr>
        <w:t>ُ</w:t>
      </w:r>
      <w:r w:rsidRPr="00132E65">
        <w:rPr>
          <w:rtl/>
        </w:rPr>
        <w:t>مر »</w:t>
      </w:r>
      <w:r>
        <w:rPr>
          <w:rtl/>
        </w:rPr>
        <w:t>.</w:t>
      </w:r>
    </w:p>
    <w:p w:rsidR="000C39D1" w:rsidRPr="00132E65" w:rsidRDefault="000C39D1" w:rsidP="000C39D1">
      <w:pPr>
        <w:pStyle w:val="libFootnote0"/>
        <w:rPr>
          <w:rtl/>
          <w:lang w:bidi="fa-IR"/>
        </w:rPr>
      </w:pPr>
      <w:r>
        <w:rPr>
          <w:rtl/>
        </w:rPr>
        <w:t>(9).</w:t>
      </w:r>
      <w:r w:rsidRPr="00132E65">
        <w:rPr>
          <w:rtl/>
        </w:rPr>
        <w:t xml:space="preserve"> في « ب ، ج ، بح ، بس ، بف » و</w:t>
      </w:r>
      <w:r w:rsidRPr="009D1ACE">
        <w:rPr>
          <w:rStyle w:val="libFootnoteBoldChar"/>
          <w:rtl/>
        </w:rPr>
        <w:t>الوافي</w:t>
      </w:r>
      <w:r w:rsidRPr="00132E65">
        <w:rPr>
          <w:rtl/>
        </w:rPr>
        <w:t xml:space="preserve"> : « اليوم عليه »</w:t>
      </w:r>
      <w:r>
        <w:rPr>
          <w:rtl/>
        </w:rPr>
        <w:t>.</w:t>
      </w:r>
    </w:p>
    <w:p w:rsidR="000C39D1" w:rsidRPr="00132E65" w:rsidRDefault="000C39D1" w:rsidP="000C39D1">
      <w:pPr>
        <w:pStyle w:val="libFootnote0"/>
        <w:rPr>
          <w:rtl/>
          <w:lang w:bidi="fa-IR"/>
        </w:rPr>
      </w:pPr>
      <w:r>
        <w:rPr>
          <w:rtl/>
        </w:rPr>
        <w:t>(10).</w:t>
      </w:r>
      <w:r w:rsidRPr="00132E65">
        <w:rPr>
          <w:rtl/>
        </w:rPr>
        <w:t xml:space="preserve"> الغَلَقُ بالتحريك : المِغْلاقُ ، وهو ما يُغْلَق به الباب. </w:t>
      </w:r>
      <w:r w:rsidRPr="00765AEE">
        <w:rPr>
          <w:rtl/>
        </w:rPr>
        <w:t>الصحاح</w:t>
      </w:r>
      <w:r w:rsidRPr="00132E65">
        <w:rPr>
          <w:rtl/>
        </w:rPr>
        <w:t xml:space="preserve"> ، ج 4 ، ص 1538 ( غلق )</w:t>
      </w:r>
      <w:r>
        <w:rPr>
          <w:rtl/>
        </w:rPr>
        <w:t>.</w:t>
      </w:r>
    </w:p>
    <w:p w:rsidR="000C39D1" w:rsidRPr="00132E65" w:rsidRDefault="000C39D1" w:rsidP="000C39D1">
      <w:pPr>
        <w:pStyle w:val="libFootnote0"/>
        <w:rPr>
          <w:rtl/>
          <w:lang w:bidi="fa-IR"/>
        </w:rPr>
      </w:pPr>
      <w:r>
        <w:rPr>
          <w:rtl/>
        </w:rPr>
        <w:t>(11).</w:t>
      </w:r>
      <w:r w:rsidRPr="00132E65">
        <w:rPr>
          <w:rtl/>
        </w:rPr>
        <w:t xml:space="preserve"> قال ابن الأثير : « الحَوْلُ هاهنا : الحركة. يقال : حالَ الشخص يحول ، إذا تحرّك. المعنى : لا حركة و</w:t>
      </w:r>
      <w:r>
        <w:rPr>
          <w:rtl/>
        </w:rPr>
        <w:t>لا قوّة إل</w:t>
      </w:r>
      <w:r>
        <w:rPr>
          <w:rFonts w:hint="cs"/>
          <w:rtl/>
        </w:rPr>
        <w:t>ّ</w:t>
      </w:r>
      <w:r>
        <w:rPr>
          <w:rtl/>
        </w:rPr>
        <w:t>ا</w:t>
      </w:r>
      <w:r w:rsidRPr="00132E65">
        <w:rPr>
          <w:rtl/>
        </w:rPr>
        <w:t>بمشيئة الله تعالى. وقيل : الحَوْل : الحِيلة ، والأوّل أشبه »</w:t>
      </w:r>
      <w:r>
        <w:rPr>
          <w:rtl/>
        </w:rPr>
        <w:t>.</w:t>
      </w:r>
      <w:r w:rsidRPr="00132E65">
        <w:rPr>
          <w:rtl/>
        </w:rPr>
        <w:t xml:space="preserve"> </w:t>
      </w:r>
      <w:r w:rsidRPr="00765AEE">
        <w:rPr>
          <w:rtl/>
        </w:rPr>
        <w:t>النهاية</w:t>
      </w:r>
      <w:r w:rsidRPr="00132E65">
        <w:rPr>
          <w:rtl/>
        </w:rPr>
        <w:t xml:space="preserve"> ، ج 1 ، ص 462 ( حول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(12).</w:t>
            </w:r>
            <w:r w:rsidRPr="00132E65">
              <w:rPr>
                <w:rtl/>
              </w:rPr>
              <w:t xml:space="preserve"> في « ف » : « كرّم »</w:t>
            </w:r>
            <w:r>
              <w:rPr>
                <w:rtl/>
              </w:rPr>
              <w:t>.</w:t>
            </w:r>
          </w:p>
        </w:tc>
        <w:tc>
          <w:tcPr>
            <w:tcW w:w="4006" w:type="dxa"/>
          </w:tcPr>
          <w:p w:rsidR="000C39D1" w:rsidRDefault="000C39D1" w:rsidP="00B53873">
            <w:pPr>
              <w:pStyle w:val="libFootnote0"/>
              <w:rPr>
                <w:rtl/>
                <w:lang w:bidi="fa-IR"/>
              </w:rPr>
            </w:pPr>
            <w:r>
              <w:rPr>
                <w:rtl/>
              </w:rPr>
              <w:t>(13)</w:t>
            </w:r>
            <w:r w:rsidRPr="00132E65">
              <w:rPr>
                <w:rtl/>
              </w:rPr>
              <w:t xml:space="preserve"> في « بر » :</w:t>
            </w:r>
            <w:r>
              <w:rPr>
                <w:rtl/>
              </w:rPr>
              <w:t xml:space="preserve"> + </w:t>
            </w:r>
            <w:r w:rsidRPr="00132E65">
              <w:rPr>
                <w:rtl/>
              </w:rPr>
              <w:t xml:space="preserve">« </w:t>
            </w:r>
            <w:r>
              <w:rPr>
                <w:rtl/>
              </w:rPr>
              <w:t>و ».</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فَقَالَ عِيسَى بْنُ زَيْدٍ : احْبِسُوهُ فِي الْمَخْبَا </w:t>
      </w:r>
      <w:r>
        <w:rPr>
          <w:rStyle w:val="libFootnotenumChar"/>
          <w:rtl/>
        </w:rPr>
        <w:t>(1)</w:t>
      </w:r>
      <w:r>
        <w:rPr>
          <w:rtl/>
          <w:lang w:bidi="fa-IR"/>
        </w:rPr>
        <w:t xml:space="preserve"> - </w:t>
      </w:r>
      <w:r w:rsidRPr="00132E65">
        <w:rPr>
          <w:rtl/>
          <w:lang w:bidi="fa-IR"/>
        </w:rPr>
        <w:t xml:space="preserve">وذلِكَ </w:t>
      </w:r>
      <w:r>
        <w:rPr>
          <w:rStyle w:val="libFootnotenumChar"/>
          <w:rtl/>
        </w:rPr>
        <w:t>(2)</w:t>
      </w:r>
      <w:r w:rsidRPr="00132E65">
        <w:rPr>
          <w:rtl/>
          <w:lang w:bidi="fa-IR"/>
        </w:rPr>
        <w:t xml:space="preserve"> دَارُ رَيْطَةَ </w:t>
      </w:r>
      <w:r>
        <w:rPr>
          <w:rStyle w:val="libFootnotenumChar"/>
          <w:rtl/>
        </w:rPr>
        <w:t>(3)</w:t>
      </w:r>
      <w:r w:rsidRPr="00132E65">
        <w:rPr>
          <w:rtl/>
          <w:lang w:bidi="fa-IR"/>
        </w:rPr>
        <w:t xml:space="preserve"> الْيَوْمَ</w:t>
      </w:r>
      <w:r>
        <w:rPr>
          <w:rtl/>
          <w:lang w:bidi="fa-IR"/>
        </w:rPr>
        <w:t xml:space="preserve"> - </w:t>
      </w:r>
      <w:r w:rsidRPr="00132E65">
        <w:rPr>
          <w:rtl/>
          <w:lang w:bidi="fa-IR"/>
        </w:rPr>
        <w:t xml:space="preserve">فَقَالَ لَهُ </w:t>
      </w:r>
      <w:r>
        <w:rPr>
          <w:rStyle w:val="libFootnotenumChar"/>
          <w:rtl/>
        </w:rPr>
        <w:t>(4)</w:t>
      </w:r>
      <w:r w:rsidRPr="00132E65">
        <w:rPr>
          <w:rtl/>
          <w:lang w:bidi="fa-IR"/>
        </w:rPr>
        <w:t xml:space="preserve"> أَبُو عَبْدِ اللهِ </w:t>
      </w:r>
      <w:r w:rsidRPr="00071CF9">
        <w:rPr>
          <w:rStyle w:val="libAlaemChar"/>
          <w:rtl/>
        </w:rPr>
        <w:t>عليه‌السلام</w:t>
      </w:r>
      <w:r w:rsidRPr="00132E65">
        <w:rPr>
          <w:rtl/>
          <w:lang w:bidi="fa-IR"/>
        </w:rPr>
        <w:t xml:space="preserve"> : « أَمَا واللهِ </w:t>
      </w:r>
      <w:r>
        <w:rPr>
          <w:rStyle w:val="libFootnotenumChar"/>
          <w:rtl/>
        </w:rPr>
        <w:t>(5)</w:t>
      </w:r>
      <w:r w:rsidRPr="00132E65">
        <w:rPr>
          <w:rtl/>
          <w:lang w:bidi="fa-IR"/>
        </w:rPr>
        <w:t xml:space="preserve"> إِنِّي سَأَقُولُ ، ثُمَّ أُصَدَّقُ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(7)</w:t>
      </w:r>
      <w:r w:rsidRPr="00132E65">
        <w:rPr>
          <w:rtl/>
          <w:lang w:bidi="fa-IR"/>
        </w:rPr>
        <w:t xml:space="preserve"> عِيسَى بْنُ زَيْدٍ : لَوْ تَكَلَّمْتَ لَكَسَرْتُ </w:t>
      </w:r>
      <w:r>
        <w:rPr>
          <w:rStyle w:val="libFootnotenumChar"/>
          <w:rtl/>
        </w:rPr>
        <w:t>(8)</w:t>
      </w:r>
      <w:r w:rsidRPr="00132E65">
        <w:rPr>
          <w:rtl/>
          <w:lang w:bidi="fa-IR"/>
        </w:rPr>
        <w:t xml:space="preserve"> فَمَكَ.</w:t>
      </w:r>
    </w:p>
    <w:p w:rsidR="000C39D1" w:rsidRPr="00132E65" w:rsidRDefault="000C39D1" w:rsidP="00D1401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أَمَا واللهِ </w:t>
      </w:r>
      <w:r>
        <w:rPr>
          <w:rStyle w:val="libFootnotenumChar"/>
          <w:rtl/>
        </w:rPr>
        <w:t>(9)</w:t>
      </w:r>
      <w:r w:rsidRPr="00132E65">
        <w:rPr>
          <w:rtl/>
          <w:lang w:bidi="fa-IR"/>
        </w:rPr>
        <w:t xml:space="preserve"> يَا أَكْشَفُ يَا أَزْرَقُ </w:t>
      </w:r>
      <w:r>
        <w:rPr>
          <w:rStyle w:val="libFootnotenumChar"/>
          <w:rtl/>
        </w:rPr>
        <w:t>(10)</w:t>
      </w:r>
      <w:r w:rsidRPr="00132E65">
        <w:rPr>
          <w:rtl/>
          <w:lang w:bidi="fa-IR"/>
        </w:rPr>
        <w:t xml:space="preserve"> ، لَكَأَنِّي بِكَ تَطْلُبُ </w:t>
      </w:r>
      <w:r>
        <w:rPr>
          <w:rStyle w:val="libFootnotenumChar"/>
          <w:rtl/>
        </w:rPr>
        <w:t>(11)</w:t>
      </w:r>
      <w:r w:rsidRPr="00132E65">
        <w:rPr>
          <w:rtl/>
          <w:lang w:bidi="fa-IR"/>
        </w:rPr>
        <w:t xml:space="preserve"> لِنَفْسِكَ جُحْراً </w:t>
      </w:r>
      <w:r>
        <w:rPr>
          <w:rStyle w:val="libFootnotenumChar"/>
          <w:rtl/>
        </w:rPr>
        <w:t>(12)</w:t>
      </w:r>
      <w:r w:rsidRPr="00132E65">
        <w:rPr>
          <w:rtl/>
          <w:lang w:bidi="fa-IR"/>
        </w:rPr>
        <w:t xml:space="preserve"> تَدْخُلُ فِيهِ ، ومَا أَنْتَ فِي </w:t>
      </w:r>
      <w:r w:rsidRPr="00F543F1">
        <w:rPr>
          <w:rStyle w:val="libFootnotenumChar"/>
          <w:rtl/>
        </w:rPr>
        <w:t>(13)</w:t>
      </w:r>
      <w:r w:rsidRPr="00132E65">
        <w:rPr>
          <w:rtl/>
          <w:lang w:bidi="fa-IR"/>
        </w:rPr>
        <w:t xml:space="preserve"> الْمَذْكُورِينَ عِنْدَ اللِّقَاءِ </w:t>
      </w:r>
      <w:r w:rsidRPr="00F543F1">
        <w:rPr>
          <w:rStyle w:val="libFootnotenumChar"/>
          <w:rtl/>
        </w:rPr>
        <w:t>(14)</w:t>
      </w:r>
      <w:r w:rsidRPr="00132E65">
        <w:rPr>
          <w:rtl/>
          <w:lang w:bidi="fa-IR"/>
        </w:rPr>
        <w:t xml:space="preserve"> ، وإِنِّي لَأَظُنُّكَ</w:t>
      </w:r>
      <w:r>
        <w:rPr>
          <w:rtl/>
          <w:lang w:bidi="fa-IR"/>
        </w:rPr>
        <w:t xml:space="preserve"> - </w:t>
      </w:r>
      <w:r w:rsidRPr="00132E65">
        <w:rPr>
          <w:rtl/>
          <w:lang w:bidi="fa-IR"/>
        </w:rPr>
        <w:t xml:space="preserve">إِذَا صُفِّقَ </w:t>
      </w:r>
      <w:r w:rsidRPr="00F543F1">
        <w:rPr>
          <w:rStyle w:val="libFootnotenumChar"/>
          <w:rtl/>
        </w:rPr>
        <w:t>(15)</w:t>
      </w:r>
      <w:r w:rsidRPr="00132E65">
        <w:rPr>
          <w:rtl/>
          <w:lang w:bidi="fa-IR"/>
        </w:rPr>
        <w:t xml:space="preserve"> خَلْفَكَ</w:t>
      </w:r>
      <w:r>
        <w:rPr>
          <w:rtl/>
          <w:lang w:bidi="fa-IR"/>
        </w:rPr>
        <w:t xml:space="preserve"> - </w:t>
      </w:r>
      <w:r w:rsidRPr="00132E65">
        <w:rPr>
          <w:rtl/>
          <w:lang w:bidi="fa-IR"/>
        </w:rPr>
        <w:t xml:space="preserve">طِرْتَ مِثْلَ الْهَيْقِ </w:t>
      </w:r>
      <w:r w:rsidRPr="00F543F1">
        <w:rPr>
          <w:rStyle w:val="libFootnotenumChar"/>
          <w:rtl/>
        </w:rPr>
        <w:t>(16)</w:t>
      </w:r>
      <w:r w:rsidRPr="00132E65">
        <w:rPr>
          <w:rtl/>
          <w:lang w:bidi="fa-IR"/>
        </w:rPr>
        <w:t xml:space="preserve"> النَّافِرِ »</w:t>
      </w:r>
      <w:r>
        <w:rPr>
          <w:rtl/>
          <w:lang w:bidi="fa-IR"/>
        </w:rPr>
        <w:t>.</w:t>
      </w:r>
      <w:r w:rsidRPr="00132E65">
        <w:rPr>
          <w:rtl/>
          <w:lang w:bidi="fa-IR"/>
        </w:rPr>
        <w:t xml:space="preserve"> فَنَفَرَ</w:t>
      </w:r>
      <w:r w:rsidR="00D14011">
        <w:rPr>
          <w:rFonts w:hint="cs"/>
          <w:rtl/>
          <w:lang w:bidi="fa-IR"/>
        </w:rPr>
        <w:t>................................................</w:t>
      </w:r>
      <w:r>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بالمخبأ »</w:t>
      </w:r>
      <w:r>
        <w:rPr>
          <w:rtl/>
        </w:rPr>
        <w:t>.</w:t>
      </w:r>
      <w:r w:rsidRPr="00132E65">
        <w:rPr>
          <w:rtl/>
        </w:rPr>
        <w:t xml:space="preserve"> </w:t>
      </w:r>
      <w:r>
        <w:rPr>
          <w:rtl/>
        </w:rPr>
        <w:t>و «</w:t>
      </w:r>
      <w:r w:rsidRPr="00132E65">
        <w:rPr>
          <w:rtl/>
        </w:rPr>
        <w:t xml:space="preserve"> ال</w:t>
      </w:r>
      <w:r>
        <w:rPr>
          <w:rFonts w:hint="cs"/>
          <w:rtl/>
        </w:rPr>
        <w:t>ـ</w:t>
      </w:r>
      <w:r w:rsidRPr="00132E65">
        <w:rPr>
          <w:rtl/>
        </w:rPr>
        <w:t xml:space="preserve">مَخْبَأ » : موضع الاستتار. اسم مكان من خَبَأ الشي‌ء يَخْبَؤ خَبْأً ، أي ستره وأخفاه ، فاختبأ ، أي استتر واختفى. راجع : </w:t>
      </w:r>
      <w:r w:rsidRPr="009D1ACE">
        <w:rPr>
          <w:rStyle w:val="libFootnoteBoldChar"/>
          <w:rtl/>
        </w:rPr>
        <w:t>لسان العرب</w:t>
      </w:r>
      <w:r w:rsidRPr="00132E65">
        <w:rPr>
          <w:rtl/>
        </w:rPr>
        <w:t xml:space="preserve"> ، ج 1 ، ص 62 ( خبأ )</w:t>
      </w:r>
      <w:r>
        <w:rPr>
          <w:rtl/>
        </w:rPr>
        <w:t>.</w:t>
      </w:r>
    </w:p>
    <w:p w:rsidR="000C39D1" w:rsidRPr="00132E65" w:rsidRDefault="000C39D1" w:rsidP="000C39D1">
      <w:pPr>
        <w:pStyle w:val="libFootnote0"/>
        <w:rPr>
          <w:rtl/>
          <w:lang w:bidi="fa-IR"/>
        </w:rPr>
      </w:pPr>
      <w:r>
        <w:rPr>
          <w:rtl/>
        </w:rPr>
        <w:t>(2).</w:t>
      </w:r>
      <w:r w:rsidRPr="00132E65">
        <w:rPr>
          <w:rtl/>
        </w:rPr>
        <w:t xml:space="preserve"> في « ب ، ج ، بح ، بر ، بف » وحاشية بدرالدين : « ذاك »</w:t>
      </w:r>
      <w:r>
        <w:rPr>
          <w:rtl/>
        </w:rPr>
        <w:t>.</w:t>
      </w:r>
    </w:p>
    <w:p w:rsidR="000C39D1" w:rsidRPr="00132E65" w:rsidRDefault="000C39D1" w:rsidP="000C39D1">
      <w:pPr>
        <w:pStyle w:val="libFootnote0"/>
        <w:rPr>
          <w:rtl/>
          <w:lang w:bidi="fa-IR"/>
        </w:rPr>
      </w:pPr>
      <w:r>
        <w:rPr>
          <w:rtl/>
        </w:rPr>
        <w:t>(3).</w:t>
      </w:r>
      <w:r w:rsidRPr="00132E65">
        <w:rPr>
          <w:rtl/>
        </w:rPr>
        <w:t xml:space="preserve"> في « بح ، بس » و</w:t>
      </w:r>
      <w:r w:rsidRPr="009D1ACE">
        <w:rPr>
          <w:rStyle w:val="libFootnoteBoldChar"/>
          <w:rtl/>
        </w:rPr>
        <w:t>الوافي</w:t>
      </w:r>
      <w:r w:rsidRPr="00132E65">
        <w:rPr>
          <w:rtl/>
        </w:rPr>
        <w:t xml:space="preserve"> : « ربطه »</w:t>
      </w:r>
      <w:r>
        <w:rPr>
          <w:rtl/>
        </w:rPr>
        <w:t>.</w:t>
      </w:r>
      <w:r w:rsidRPr="00132E65">
        <w:rPr>
          <w:rtl/>
        </w:rPr>
        <w:t xml:space="preserve"> وقوله : « الرَيْطَةُ » : ال</w:t>
      </w:r>
      <w:r>
        <w:rPr>
          <w:rFonts w:hint="cs"/>
          <w:rtl/>
        </w:rPr>
        <w:t>ـ</w:t>
      </w:r>
      <w:r w:rsidRPr="00132E65">
        <w:rPr>
          <w:rtl/>
        </w:rPr>
        <w:t>مُلاءَةُ إذا كانت قِطْعة واحدة ولم تكن لِفْقَيْن. وقيل : الريطة كلّ مُلاءة غير ذات لِفْقَيْن. وقيل : هو كلّ ثوب ليّن دقيق ، وهي للمرأة أيضاً ، أي دار ينسج فيها الريطة ، أو توضع فيها. وفي بعض النسخ : ربطة ، أي دار تربط فيها الخيل. قال المجلسي : « والأظهر عندي أنّه بالمثنّاة اسم ريطه بنت عبد الله محمّد بن الحنفيّة امّ يحيى بن زيد ، وكانت ريطة في هذا اليوم تسكن هذه الدار »</w:t>
      </w:r>
      <w:r>
        <w:rPr>
          <w:rtl/>
        </w:rPr>
        <w:t>.</w:t>
      </w:r>
      <w:r w:rsidRPr="00132E65">
        <w:rPr>
          <w:rtl/>
        </w:rPr>
        <w:t xml:space="preserve"> راجع : </w:t>
      </w:r>
      <w:r w:rsidRPr="009D1ACE">
        <w:rPr>
          <w:rStyle w:val="libFootnoteBoldChar"/>
          <w:rtl/>
        </w:rPr>
        <w:t>لسان العرب</w:t>
      </w:r>
      <w:r w:rsidRPr="00132E65">
        <w:rPr>
          <w:rtl/>
        </w:rPr>
        <w:t xml:space="preserve"> ، ج 7 ، ص 370 ( ريط )</w:t>
      </w:r>
      <w:r>
        <w:rPr>
          <w:rtl/>
        </w:rPr>
        <w:t>.</w:t>
      </w:r>
      <w:r>
        <w:rPr>
          <w:rFonts w:hint="cs"/>
          <w:rtl/>
        </w:rPr>
        <w:t xml:space="preserve">                       </w:t>
      </w:r>
      <w:r>
        <w:rPr>
          <w:rtl/>
        </w:rPr>
        <w:t>(4).</w:t>
      </w:r>
      <w:r w:rsidRPr="00132E65">
        <w:rPr>
          <w:rtl/>
        </w:rPr>
        <w:t xml:space="preserve"> في « ب ، ج ، ف ، ه‍ ، بح ، بس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في « ب » : « إنّي أما والله »</w:t>
      </w:r>
      <w:r>
        <w:rPr>
          <w:rtl/>
        </w:rPr>
        <w:t>.</w:t>
      </w:r>
      <w:r w:rsidRPr="00132E65">
        <w:rPr>
          <w:rtl/>
        </w:rPr>
        <w:t xml:space="preserve"> وفي « ف ، ه‍ ، بح ، بس ، بف » و</w:t>
      </w:r>
      <w:r w:rsidRPr="009D1ACE">
        <w:rPr>
          <w:rStyle w:val="libFootnoteBoldChar"/>
          <w:rtl/>
        </w:rPr>
        <w:t>الوافي</w:t>
      </w:r>
      <w:r w:rsidRPr="00132E65">
        <w:rPr>
          <w:rtl/>
        </w:rPr>
        <w:t xml:space="preserve"> </w:t>
      </w:r>
      <w:r>
        <w:rPr>
          <w:rtl/>
        </w:rPr>
        <w:t xml:space="preserve">: - </w:t>
      </w:r>
      <w:r w:rsidRPr="00132E65">
        <w:rPr>
          <w:rtl/>
        </w:rPr>
        <w:t>« أما والله »</w:t>
      </w:r>
      <w:r>
        <w:rPr>
          <w:rtl/>
        </w:rPr>
        <w:t>.</w:t>
      </w:r>
    </w:p>
    <w:p w:rsidR="000C39D1" w:rsidRPr="00132E65" w:rsidRDefault="000C39D1" w:rsidP="000C39D1">
      <w:pPr>
        <w:pStyle w:val="libFootnote0"/>
        <w:rPr>
          <w:rtl/>
          <w:lang w:bidi="fa-IR"/>
        </w:rPr>
      </w:pPr>
      <w:r>
        <w:rPr>
          <w:rtl/>
        </w:rPr>
        <w:t>(6).</w:t>
      </w:r>
      <w:r w:rsidRPr="00132E65">
        <w:rPr>
          <w:rtl/>
        </w:rPr>
        <w:t xml:space="preserve"> « ا</w:t>
      </w:r>
      <w:r>
        <w:rPr>
          <w:rFonts w:hint="cs"/>
          <w:rtl/>
        </w:rPr>
        <w:t>ُ</w:t>
      </w:r>
      <w:r w:rsidRPr="00132E65">
        <w:rPr>
          <w:rtl/>
        </w:rPr>
        <w:t xml:space="preserve">صدق » بتشديد الدال وتخفيفها ، كما احْتمله في </w:t>
      </w:r>
      <w:r w:rsidRPr="009D1ACE">
        <w:rPr>
          <w:rStyle w:val="libFootnoteBoldChar"/>
          <w:rtl/>
        </w:rPr>
        <w:t>الوافي</w:t>
      </w:r>
      <w:r w:rsidRPr="00132E65">
        <w:rPr>
          <w:rtl/>
        </w:rPr>
        <w:t xml:space="preserve"> و</w:t>
      </w:r>
      <w:r w:rsidRPr="009D1ACE">
        <w:rPr>
          <w:rStyle w:val="libFootnoteBoldChar"/>
          <w:rtl/>
        </w:rPr>
        <w:t>مرآة العقول</w:t>
      </w:r>
      <w:r w:rsidRPr="00765AEE">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 في«ب»:-«له</w:t>
            </w:r>
            <w:r w:rsidRPr="00132E65">
              <w:rPr>
                <w:rtl/>
              </w:rPr>
              <w:t>»</w:t>
            </w:r>
            <w:r>
              <w:rPr>
                <w:rtl/>
              </w:rPr>
              <w:t>.</w:t>
            </w:r>
            <w:r w:rsidRPr="00132E65">
              <w:rPr>
                <w:rtl/>
              </w:rPr>
              <w:t xml:space="preserve"> وفي « بف » : « ثمّ قال له »</w:t>
            </w:r>
            <w:r>
              <w:rPr>
                <w:rtl/>
              </w:rPr>
              <w:t>.</w:t>
            </w:r>
          </w:p>
        </w:tc>
        <w:tc>
          <w:tcPr>
            <w:tcW w:w="4006" w:type="dxa"/>
          </w:tcPr>
          <w:p w:rsidR="000C39D1" w:rsidRDefault="000C39D1" w:rsidP="00B53873">
            <w:pPr>
              <w:pStyle w:val="libFootnote0"/>
              <w:rPr>
                <w:rtl/>
              </w:rPr>
            </w:pPr>
            <w:r>
              <w:rPr>
                <w:rtl/>
              </w:rPr>
              <w:t>(8).</w:t>
            </w:r>
            <w:r w:rsidRPr="00132E65">
              <w:rPr>
                <w:rtl/>
              </w:rPr>
              <w:t xml:space="preserve"> في « ف » : « لكسّرت » بالتثقيل.</w:t>
            </w:r>
          </w:p>
        </w:tc>
      </w:tr>
    </w:tbl>
    <w:p w:rsidR="000C39D1" w:rsidRPr="00132E65" w:rsidRDefault="000C39D1" w:rsidP="000C39D1">
      <w:pPr>
        <w:pStyle w:val="libFootnote0"/>
        <w:rPr>
          <w:rtl/>
          <w:lang w:bidi="fa-IR"/>
        </w:rPr>
      </w:pPr>
      <w:r>
        <w:rPr>
          <w:rtl/>
        </w:rPr>
        <w:t>(9).</w:t>
      </w:r>
      <w:r w:rsidRPr="00132E65">
        <w:rPr>
          <w:rtl/>
        </w:rPr>
        <w:t xml:space="preserve"> في « بح » </w:t>
      </w:r>
      <w:r>
        <w:rPr>
          <w:rtl/>
        </w:rPr>
        <w:t xml:space="preserve">: - </w:t>
      </w:r>
      <w:r w:rsidRPr="00132E65">
        <w:rPr>
          <w:rtl/>
        </w:rPr>
        <w:t>« أما والله »</w:t>
      </w:r>
      <w:r>
        <w:rPr>
          <w:rtl/>
        </w:rPr>
        <w:t>.</w:t>
      </w:r>
    </w:p>
    <w:p w:rsidR="000C39D1" w:rsidRPr="00132E65" w:rsidRDefault="000C39D1" w:rsidP="000C39D1">
      <w:pPr>
        <w:pStyle w:val="libFootnote0"/>
        <w:rPr>
          <w:rtl/>
          <w:lang w:bidi="fa-IR"/>
        </w:rPr>
      </w:pPr>
      <w:r>
        <w:rPr>
          <w:rtl/>
        </w:rPr>
        <w:t>(10).</w:t>
      </w:r>
      <w:r w:rsidRPr="00132E65">
        <w:rPr>
          <w:rtl/>
        </w:rPr>
        <w:t xml:space="preserve"> « الأزرق » : ذو الزُرْقَة ، وهي خضرة في سواد العين. وقيل : هو أن يتغشّى سوادَها بياض. راجع : </w:t>
      </w:r>
      <w:r w:rsidRPr="009D1ACE">
        <w:rPr>
          <w:rStyle w:val="libFootnoteBoldChar"/>
          <w:rtl/>
        </w:rPr>
        <w:t>لسان العرب</w:t>
      </w:r>
      <w:r w:rsidRPr="00132E65">
        <w:rPr>
          <w:rtl/>
        </w:rPr>
        <w:t xml:space="preserve"> ، ج 10 ، ص 138 ( زرق )</w:t>
      </w:r>
      <w:r>
        <w:rPr>
          <w:rtl/>
        </w:rPr>
        <w:t>.</w:t>
      </w:r>
      <w:r>
        <w:rPr>
          <w:rFonts w:hint="cs"/>
          <w:rtl/>
        </w:rPr>
        <w:t xml:space="preserve">              </w:t>
      </w:r>
      <w:r w:rsidR="00D14011">
        <w:rPr>
          <w:rFonts w:hint="cs"/>
          <w:rtl/>
        </w:rPr>
        <w:t xml:space="preserve">           </w:t>
      </w:r>
      <w:r>
        <w:rPr>
          <w:rFonts w:hint="cs"/>
          <w:rtl/>
        </w:rPr>
        <w:t xml:space="preserve">        </w:t>
      </w:r>
      <w:r>
        <w:rPr>
          <w:rtl/>
        </w:rPr>
        <w:t>(11).</w:t>
      </w:r>
      <w:r w:rsidRPr="00132E65">
        <w:rPr>
          <w:rtl/>
        </w:rPr>
        <w:t xml:space="preserve"> في « بح » : « لتطلب »</w:t>
      </w:r>
      <w:r>
        <w:rPr>
          <w:rtl/>
        </w:rPr>
        <w:t>.</w:t>
      </w:r>
    </w:p>
    <w:p w:rsidR="000C39D1" w:rsidRPr="00132E65" w:rsidRDefault="000C39D1" w:rsidP="000C39D1">
      <w:pPr>
        <w:pStyle w:val="libFootnote0"/>
        <w:rPr>
          <w:rtl/>
          <w:lang w:bidi="fa-IR"/>
        </w:rPr>
      </w:pPr>
      <w:r>
        <w:rPr>
          <w:rtl/>
        </w:rPr>
        <w:t>(12).</w:t>
      </w:r>
      <w:r w:rsidRPr="00132E65">
        <w:rPr>
          <w:rtl/>
        </w:rPr>
        <w:t xml:space="preserve"> « الجُحْرُ » : كلّ شي‌ء يُحْتَفَرُ في الأرض إذا لم يكن من عظام الخلق. قال ابن سيدة : الجُحْرُ كلّ شي‌ء تحتفره الهوامّ والسباع لأنفسها. </w:t>
      </w:r>
      <w:r w:rsidRPr="009D1ACE">
        <w:rPr>
          <w:rStyle w:val="libFootnoteBoldChar"/>
          <w:rtl/>
        </w:rPr>
        <w:t>لسان العرب</w:t>
      </w:r>
      <w:r w:rsidRPr="00132E65">
        <w:rPr>
          <w:rtl/>
        </w:rPr>
        <w:t xml:space="preserve"> ، ج 4 ، ص 117 ( جحر )</w:t>
      </w:r>
      <w:r>
        <w:rPr>
          <w:rtl/>
        </w:rPr>
        <w:t>.</w:t>
      </w:r>
    </w:p>
    <w:p w:rsidR="000C39D1" w:rsidRPr="00132E65" w:rsidRDefault="000C39D1" w:rsidP="000C39D1">
      <w:pPr>
        <w:pStyle w:val="libFootnote0"/>
        <w:rPr>
          <w:rtl/>
          <w:lang w:bidi="fa-IR"/>
        </w:rPr>
      </w:pPr>
      <w:r>
        <w:rPr>
          <w:rtl/>
        </w:rPr>
        <w:t>(13)</w:t>
      </w:r>
      <w:r w:rsidRPr="00132E65">
        <w:rPr>
          <w:rtl/>
        </w:rPr>
        <w:t xml:space="preserve"> في حاشية « ف » : « من »</w:t>
      </w:r>
      <w:r>
        <w:rPr>
          <w:rtl/>
        </w:rPr>
        <w:t>.</w:t>
      </w:r>
    </w:p>
    <w:p w:rsidR="000C39D1" w:rsidRPr="00132E65" w:rsidRDefault="000C39D1" w:rsidP="000C39D1">
      <w:pPr>
        <w:pStyle w:val="libFootnote0"/>
        <w:rPr>
          <w:rtl/>
          <w:lang w:bidi="fa-IR"/>
        </w:rPr>
      </w:pPr>
      <w:r>
        <w:rPr>
          <w:rtl/>
        </w:rPr>
        <w:t>(14)</w:t>
      </w:r>
      <w:r w:rsidRPr="00132E65">
        <w:rPr>
          <w:rtl/>
        </w:rPr>
        <w:t xml:space="preserve"> في « ف » : « لقاء الله »</w:t>
      </w:r>
      <w:r>
        <w:rPr>
          <w:rtl/>
        </w:rPr>
        <w:t>.</w:t>
      </w:r>
      <w:r w:rsidRPr="00132E65">
        <w:rPr>
          <w:rtl/>
        </w:rPr>
        <w:t xml:space="preserve"> وفي </w:t>
      </w:r>
      <w:r w:rsidRPr="009D1ACE">
        <w:rPr>
          <w:rStyle w:val="libFootnoteBoldChar"/>
          <w:rtl/>
        </w:rPr>
        <w:t>الوافي</w:t>
      </w:r>
      <w:r w:rsidRPr="00132E65">
        <w:rPr>
          <w:rtl/>
        </w:rPr>
        <w:t xml:space="preserve"> : « عند اللقاء ، أي لقاء العدوّ »</w:t>
      </w:r>
      <w:r>
        <w:rPr>
          <w:rtl/>
        </w:rPr>
        <w:t>.</w:t>
      </w:r>
    </w:p>
    <w:p w:rsidR="000C39D1" w:rsidRPr="00132E65" w:rsidRDefault="000C39D1" w:rsidP="000C39D1">
      <w:pPr>
        <w:pStyle w:val="libFootnote0"/>
        <w:rPr>
          <w:rtl/>
          <w:lang w:bidi="fa-IR"/>
        </w:rPr>
      </w:pPr>
      <w:r>
        <w:rPr>
          <w:rtl/>
        </w:rPr>
        <w:t>(15)</w:t>
      </w:r>
      <w:r w:rsidRPr="00132E65">
        <w:rPr>
          <w:rtl/>
        </w:rPr>
        <w:t xml:space="preserve"> الصَفْقُ : الضرب الذي يُسْمَعُ له صوت ، وكذلك التصفيق : ضرب إحدى اليدين بالاخرى. راجع : </w:t>
      </w:r>
      <w:r w:rsidRPr="00765AEE">
        <w:rPr>
          <w:rtl/>
        </w:rPr>
        <w:t>الصحاح</w:t>
      </w:r>
      <w:r w:rsidRPr="00132E65">
        <w:rPr>
          <w:rtl/>
        </w:rPr>
        <w:t xml:space="preserve"> ، ج 4 ، ص 1507 ( صفق )</w:t>
      </w:r>
      <w:r>
        <w:rPr>
          <w:rtl/>
        </w:rPr>
        <w:t>.</w:t>
      </w:r>
    </w:p>
    <w:p w:rsidR="000C39D1" w:rsidRPr="00132E65" w:rsidRDefault="000C39D1" w:rsidP="000C39D1">
      <w:pPr>
        <w:pStyle w:val="libFootnote0"/>
        <w:rPr>
          <w:rtl/>
          <w:lang w:bidi="fa-IR"/>
        </w:rPr>
      </w:pPr>
      <w:r>
        <w:rPr>
          <w:rtl/>
        </w:rPr>
        <w:t>(16)</w:t>
      </w:r>
      <w:r w:rsidRPr="00132E65">
        <w:rPr>
          <w:rtl/>
        </w:rPr>
        <w:t xml:space="preserve"> « الهَيْقُ » : الظَليم ، وهو ذَكَر النَعام ، وهو نوع من الطيور. ويقال : رجلٌ هَيْقٌ ، يُشَبَّهُ بالظَليم لِنِفاره وجبنه. </w:t>
      </w:r>
      <w:r>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عَلَيْهِ </w:t>
      </w:r>
      <w:r>
        <w:rPr>
          <w:rStyle w:val="libFootnotenumChar"/>
          <w:rtl/>
        </w:rPr>
        <w:t>(1)</w:t>
      </w:r>
      <w:r w:rsidRPr="00132E65">
        <w:rPr>
          <w:rtl/>
          <w:lang w:bidi="fa-IR"/>
        </w:rPr>
        <w:t xml:space="preserve"> مُحَمَّدٌ بِانْتِهَارٍ </w:t>
      </w:r>
      <w:r>
        <w:rPr>
          <w:rStyle w:val="libFootnotenumChar"/>
          <w:rtl/>
        </w:rPr>
        <w:t>(2)</w:t>
      </w:r>
      <w:r w:rsidRPr="00132E65">
        <w:rPr>
          <w:rtl/>
          <w:lang w:bidi="fa-IR"/>
        </w:rPr>
        <w:t xml:space="preserve"> : احْبِسْهُ ، و</w:t>
      </w:r>
      <w:r>
        <w:rPr>
          <w:rFonts w:hint="cs"/>
          <w:rtl/>
          <w:lang w:bidi="fa-IR"/>
        </w:rPr>
        <w:t xml:space="preserve">َ </w:t>
      </w:r>
      <w:r>
        <w:rPr>
          <w:rStyle w:val="libFootnotenumChar"/>
          <w:rtl/>
        </w:rPr>
        <w:t>(3)</w:t>
      </w:r>
      <w:r w:rsidRPr="00132E65">
        <w:rPr>
          <w:rtl/>
          <w:lang w:bidi="fa-IR"/>
        </w:rPr>
        <w:t xml:space="preserve"> شَدِّدْ عَلَيْهِ ، واغْلُظْ عَلَيْهِ.</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(4)</w:t>
      </w:r>
      <w:r w:rsidRPr="00132E65">
        <w:rPr>
          <w:rtl/>
          <w:lang w:bidi="fa-IR"/>
        </w:rPr>
        <w:t xml:space="preserve"> أَبُو عَبْدِ اللهِ </w:t>
      </w:r>
      <w:r w:rsidRPr="00071CF9">
        <w:rPr>
          <w:rStyle w:val="libAlaemChar"/>
          <w:rtl/>
        </w:rPr>
        <w:t>عليه‌السلام</w:t>
      </w:r>
      <w:r w:rsidRPr="00132E65">
        <w:rPr>
          <w:rtl/>
          <w:lang w:bidi="fa-IR"/>
        </w:rPr>
        <w:t xml:space="preserve"> : « أَمَا واللهِ لَكَأَنِّي بِكَ خَارِجاً مِنْ سُدَّةِ أَشْجَعَ إِلى بَطْنِ الْوَادِي </w:t>
      </w:r>
      <w:r>
        <w:rPr>
          <w:rStyle w:val="libFootnotenumChar"/>
          <w:rtl/>
        </w:rPr>
        <w:t>(5)</w:t>
      </w:r>
      <w:r w:rsidRPr="00132E65">
        <w:rPr>
          <w:rtl/>
          <w:lang w:bidi="fa-IR"/>
        </w:rPr>
        <w:t xml:space="preserve"> ، وقَدْ حَمَلَ عَلَيْكَ فَارِسٌ مُعْلِمٌ </w:t>
      </w:r>
      <w:r>
        <w:rPr>
          <w:rStyle w:val="libFootnotenumChar"/>
          <w:rtl/>
        </w:rPr>
        <w:t>(6)</w:t>
      </w:r>
      <w:r w:rsidRPr="00132E65">
        <w:rPr>
          <w:rtl/>
          <w:lang w:bidi="fa-IR"/>
        </w:rPr>
        <w:t xml:space="preserve"> ، فِي يَدِهِ طِرَادَةٌ </w:t>
      </w:r>
      <w:r>
        <w:rPr>
          <w:rStyle w:val="libFootnotenumChar"/>
          <w:rtl/>
        </w:rPr>
        <w:t>(7)</w:t>
      </w:r>
      <w:r w:rsidRPr="00132E65">
        <w:rPr>
          <w:rtl/>
          <w:lang w:bidi="fa-IR"/>
        </w:rPr>
        <w:t xml:space="preserve"> ، نِصْفُهَا أَبْيَضُ ، ونِصْفُهَا أَسْوَدُ ، عَلى فَرَسٍ كُمَيْتٍ </w:t>
      </w:r>
      <w:r>
        <w:rPr>
          <w:rStyle w:val="libFootnotenumChar"/>
          <w:rtl/>
        </w:rPr>
        <w:t>(8)</w:t>
      </w:r>
      <w:r w:rsidRPr="00132E65">
        <w:rPr>
          <w:rtl/>
          <w:lang w:bidi="fa-IR"/>
        </w:rPr>
        <w:t xml:space="preserve"> أَقْرَحَ </w:t>
      </w:r>
      <w:r>
        <w:rPr>
          <w:rStyle w:val="libFootnotenumChar"/>
          <w:rtl/>
        </w:rPr>
        <w:t>(9)</w:t>
      </w:r>
      <w:r w:rsidRPr="00132E65">
        <w:rPr>
          <w:rtl/>
          <w:lang w:bidi="fa-IR"/>
        </w:rPr>
        <w:t xml:space="preserve"> ، فَطَعَنَكَ </w:t>
      </w:r>
      <w:r>
        <w:rPr>
          <w:rStyle w:val="libFootnotenumChar"/>
          <w:rtl/>
        </w:rPr>
        <w:t>(10)</w:t>
      </w:r>
      <w:r w:rsidRPr="00132E65">
        <w:rPr>
          <w:rtl/>
          <w:lang w:bidi="fa-IR"/>
        </w:rPr>
        <w:t xml:space="preserve"> ، فَلَمْ يَصْنَعْ فِيكَ شَيْئاً ، وضَرَبْتَ </w:t>
      </w:r>
      <w:r>
        <w:rPr>
          <w:rStyle w:val="libFootnotenumChar"/>
          <w:rtl/>
        </w:rPr>
        <w:t>(11)</w:t>
      </w:r>
      <w:r w:rsidRPr="00132E65">
        <w:rPr>
          <w:rtl/>
          <w:lang w:bidi="fa-IR"/>
        </w:rPr>
        <w:t xml:space="preserve"> خَيْشُومَ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Fonts w:hint="cs"/>
          <w:rtl/>
        </w:rPr>
        <w:t xml:space="preserve">= </w:t>
      </w:r>
      <w:r w:rsidRPr="00132E65">
        <w:rPr>
          <w:rtl/>
        </w:rPr>
        <w:t xml:space="preserve">راجع : </w:t>
      </w:r>
      <w:r w:rsidRPr="00765AEE">
        <w:rPr>
          <w:rtl/>
        </w:rPr>
        <w:t>ترتيب كتاب العين</w:t>
      </w:r>
      <w:r w:rsidRPr="00132E65">
        <w:rPr>
          <w:rtl/>
        </w:rPr>
        <w:t xml:space="preserve"> ، ج 3 ، ص 1915 ( هيق )</w:t>
      </w:r>
      <w:r>
        <w:rPr>
          <w:rtl/>
        </w:rPr>
        <w:t>.</w:t>
      </w:r>
    </w:p>
    <w:p w:rsidR="000C39D1" w:rsidRPr="00132E65" w:rsidRDefault="000C39D1" w:rsidP="000C39D1">
      <w:pPr>
        <w:pStyle w:val="libFootnote0"/>
        <w:rPr>
          <w:rtl/>
          <w:lang w:bidi="fa-IR"/>
        </w:rPr>
      </w:pPr>
      <w:r>
        <w:rPr>
          <w:rtl/>
        </w:rPr>
        <w:t>(1).</w:t>
      </w:r>
      <w:r w:rsidRPr="00132E65">
        <w:rPr>
          <w:rtl/>
        </w:rPr>
        <w:t xml:space="preserve"> قرأه الفيض على بناء المجرّد ؛ حيث قال : النفر : الزجر والغلظة. وقرأه المازندراني والمجلسي : فَنَفَّرَ عليه ، على بناء التفعيل ، كما في « ج ، ض ، ف » وهو مُساعَدٌ بما في اللغة : نَفَّرَ الحاكمُ أحدَهما على صاحبه تنفيراً ، أي قضى عليه بالغلبة ، وكذلك أنفره. قال المازندراني : « يعني قضى محمّد لعيسى بن زيد وحكم له على أبي عبد الله بالغلبة » ، ثمّ نقل عن بعض النسخ : « فنغر عليه » بمعنى اغتاظ. راجع : </w:t>
      </w:r>
      <w:r w:rsidRPr="00765AEE">
        <w:rPr>
          <w:rtl/>
        </w:rPr>
        <w:t>شرح المازندراني</w:t>
      </w:r>
      <w:r w:rsidRPr="00132E65">
        <w:rPr>
          <w:rtl/>
        </w:rPr>
        <w:t xml:space="preserve"> ، ج 6 ، ص 304 ؛ </w:t>
      </w:r>
      <w:r w:rsidRPr="009D1ACE">
        <w:rPr>
          <w:rStyle w:val="libFootnoteBoldChar"/>
          <w:rtl/>
        </w:rPr>
        <w:t>الوافي</w:t>
      </w:r>
      <w:r w:rsidRPr="00132E65">
        <w:rPr>
          <w:rtl/>
        </w:rPr>
        <w:t xml:space="preserve"> ، ج 2 ، ص 163 ؛ </w:t>
      </w:r>
      <w:r w:rsidRPr="009D1ACE">
        <w:rPr>
          <w:rStyle w:val="libFootnoteBoldChar"/>
          <w:rtl/>
        </w:rPr>
        <w:t>مرآة العقول</w:t>
      </w:r>
      <w:r w:rsidRPr="00132E65">
        <w:rPr>
          <w:rtl/>
        </w:rPr>
        <w:t xml:space="preserve"> ، ج 4 ، ص 139 ؛ </w:t>
      </w:r>
      <w:r w:rsidRPr="009D1ACE">
        <w:rPr>
          <w:rStyle w:val="libFootnoteBoldChar"/>
          <w:rtl/>
        </w:rPr>
        <w:t>لسان العرب</w:t>
      </w:r>
      <w:r w:rsidRPr="00132E65">
        <w:rPr>
          <w:rtl/>
        </w:rPr>
        <w:t xml:space="preserve"> ، ج 5 ، ص 22 ( نفر )</w:t>
      </w:r>
      <w:r>
        <w:rPr>
          <w:rtl/>
        </w:rPr>
        <w:t>.</w:t>
      </w:r>
    </w:p>
    <w:p w:rsidR="000C39D1" w:rsidRPr="00132E65" w:rsidRDefault="000C39D1" w:rsidP="000C39D1">
      <w:pPr>
        <w:pStyle w:val="libFootnote0"/>
        <w:rPr>
          <w:rtl/>
          <w:lang w:bidi="fa-IR"/>
        </w:rPr>
      </w:pPr>
      <w:r>
        <w:rPr>
          <w:rtl/>
        </w:rPr>
        <w:t>(2).</w:t>
      </w:r>
      <w:r w:rsidRPr="00132E65">
        <w:rPr>
          <w:rtl/>
        </w:rPr>
        <w:t xml:space="preserve"> « النَهْرُ » </w:t>
      </w:r>
      <w:r>
        <w:rPr>
          <w:rtl/>
        </w:rPr>
        <w:t>و «</w:t>
      </w:r>
      <w:r w:rsidRPr="00132E65">
        <w:rPr>
          <w:rtl/>
        </w:rPr>
        <w:t xml:space="preserve"> الانتهار » : الزَجْر بمغالظة. يقال : نَهَرَهُ وانتهره ، إذا زجره بكلام غليظ. راجع : المغرب ، ص 472 ( نهر )</w:t>
      </w:r>
      <w:r>
        <w:rPr>
          <w:rtl/>
        </w:rPr>
        <w:t>.</w:t>
      </w:r>
      <w:r>
        <w:rPr>
          <w:rFonts w:hint="cs"/>
          <w:rtl/>
        </w:rPr>
        <w:t xml:space="preserve">                                               </w:t>
      </w:r>
      <w:r>
        <w:rPr>
          <w:rtl/>
        </w:rPr>
        <w:t>(3).</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xml:space="preserve">« </w:t>
      </w:r>
      <w:r>
        <w:rPr>
          <w:rtl/>
        </w:rPr>
        <w:t>و ».</w:t>
      </w:r>
    </w:p>
    <w:p w:rsidR="000C39D1" w:rsidRPr="00132E65" w:rsidRDefault="000C39D1" w:rsidP="000C39D1">
      <w:pPr>
        <w:pStyle w:val="libFootnote0"/>
        <w:rPr>
          <w:rtl/>
          <w:lang w:bidi="fa-IR"/>
        </w:rPr>
      </w:pPr>
      <w:r>
        <w:rPr>
          <w:rtl/>
        </w:rPr>
        <w:t>(4).</w:t>
      </w:r>
      <w:r w:rsidRPr="00132E65">
        <w:rPr>
          <w:rtl/>
        </w:rPr>
        <w:t xml:space="preserve"> في « ب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 الوادِي » : كلّ مَفْرَج بين الجبال والتلال والآكام ، سمّي بذلك لسَيَلانه ، يكون مَسْلكاً للسيل ومنفذاً. </w:t>
      </w:r>
      <w:r w:rsidRPr="00765AEE">
        <w:rPr>
          <w:rtl/>
        </w:rPr>
        <w:t>لسان‌العرب</w:t>
      </w:r>
      <w:r w:rsidRPr="00132E65">
        <w:rPr>
          <w:rtl/>
        </w:rPr>
        <w:t xml:space="preserve"> ، ج 15 ، ص 384 ( ودى )</w:t>
      </w:r>
      <w:r>
        <w:rPr>
          <w:rtl/>
        </w:rPr>
        <w:t>.</w:t>
      </w:r>
    </w:p>
    <w:p w:rsidR="000C39D1" w:rsidRPr="00132E65" w:rsidRDefault="000C39D1" w:rsidP="000C39D1">
      <w:pPr>
        <w:pStyle w:val="libFootnote0"/>
        <w:rPr>
          <w:rtl/>
          <w:lang w:bidi="fa-IR"/>
        </w:rPr>
      </w:pPr>
      <w:r>
        <w:rPr>
          <w:rtl/>
        </w:rPr>
        <w:t>(6).</w:t>
      </w:r>
      <w:r w:rsidRPr="00132E65">
        <w:rPr>
          <w:rtl/>
        </w:rPr>
        <w:t xml:space="preserve"> في « ج ، بح ، بر » وظاهر الشروح : « مُعْلِمٌ » بكسر اللام ، وليس في غيرها ما ينافيه. من قولهم : أعلم الفارسُ ، أي جعل لنفسه علامة الشُجْعان ، فهو مُعْلِمٌ. ورجلٌ مُعْلِمٌ ، إذا عُلِم مكانه في الحرب بعلامة أعلمها. راجع : </w:t>
      </w:r>
      <w:r w:rsidRPr="009D1ACE">
        <w:rPr>
          <w:rStyle w:val="libFootnoteBoldChar"/>
          <w:rtl/>
        </w:rPr>
        <w:t>لسان العرب</w:t>
      </w:r>
      <w:r w:rsidRPr="00132E65">
        <w:rPr>
          <w:rtl/>
        </w:rPr>
        <w:t xml:space="preserve"> ، ج 12 ، ص 419 ( علم )</w:t>
      </w:r>
      <w:r>
        <w:rPr>
          <w:rtl/>
        </w:rPr>
        <w:t>.</w:t>
      </w:r>
    </w:p>
    <w:p w:rsidR="000C39D1" w:rsidRPr="00132E65" w:rsidRDefault="000C39D1" w:rsidP="000C39D1">
      <w:pPr>
        <w:pStyle w:val="libFootnote0"/>
        <w:rPr>
          <w:rtl/>
          <w:lang w:bidi="fa-IR"/>
        </w:rPr>
      </w:pPr>
      <w:r>
        <w:rPr>
          <w:rtl/>
        </w:rPr>
        <w:t>(7).</w:t>
      </w:r>
      <w:r w:rsidRPr="00132E65">
        <w:rPr>
          <w:rtl/>
        </w:rPr>
        <w:t xml:space="preserve"> ظاهر الشروح : « طِرادةٌ » وهو مساعَد بما في اللغة. والطِرادُ : الرُمْح الصغير ؛ لأنّ صاحبه يطارد به. وكذلك المِطْرَدُ. راجع : </w:t>
      </w:r>
      <w:r w:rsidRPr="009D1ACE">
        <w:rPr>
          <w:rStyle w:val="libFootnoteBoldChar"/>
          <w:rtl/>
        </w:rPr>
        <w:t>لسان العرب</w:t>
      </w:r>
      <w:r w:rsidRPr="00132E65">
        <w:rPr>
          <w:rtl/>
        </w:rPr>
        <w:t xml:space="preserve"> ، ج 3 ، ص 268 ( طرد )</w:t>
      </w:r>
      <w:r>
        <w:rPr>
          <w:rtl/>
        </w:rPr>
        <w:t>.</w:t>
      </w:r>
    </w:p>
    <w:p w:rsidR="000C39D1" w:rsidRPr="00132E65" w:rsidRDefault="000C39D1" w:rsidP="000C39D1">
      <w:pPr>
        <w:pStyle w:val="libFootnote0"/>
        <w:rPr>
          <w:rtl/>
          <w:lang w:bidi="fa-IR"/>
        </w:rPr>
      </w:pPr>
      <w:r>
        <w:rPr>
          <w:rtl/>
        </w:rPr>
        <w:t>(8).</w:t>
      </w:r>
      <w:r w:rsidRPr="00132E65">
        <w:rPr>
          <w:rtl/>
        </w:rPr>
        <w:t xml:space="preserve"> الكُمَيْتُ من الخيل ، يستوي فيه المذكّر والمؤنّث ، ولونه الكُمْتَةُ ، وهي حُمْرَةٌ يدخلها قُنُوءٌ ، وهو سواد غيرخالص. راجع : </w:t>
      </w:r>
      <w:r w:rsidRPr="00765AEE">
        <w:rPr>
          <w:rtl/>
        </w:rPr>
        <w:t>الصحاح</w:t>
      </w:r>
      <w:r w:rsidRPr="00132E65">
        <w:rPr>
          <w:rtl/>
        </w:rPr>
        <w:t xml:space="preserve"> ، ج 1 ، ص 263 ( كمت )</w:t>
      </w:r>
      <w:r>
        <w:rPr>
          <w:rtl/>
        </w:rPr>
        <w:t>.</w:t>
      </w:r>
    </w:p>
    <w:p w:rsidR="000C39D1" w:rsidRPr="00132E65" w:rsidRDefault="000C39D1" w:rsidP="000C39D1">
      <w:pPr>
        <w:pStyle w:val="libFootnote0"/>
        <w:rPr>
          <w:rtl/>
          <w:lang w:bidi="fa-IR"/>
        </w:rPr>
      </w:pPr>
      <w:r>
        <w:rPr>
          <w:rtl/>
        </w:rPr>
        <w:t>(9).</w:t>
      </w:r>
      <w:r w:rsidRPr="00132E65">
        <w:rPr>
          <w:rtl/>
        </w:rPr>
        <w:t xml:space="preserve"> « الأقْرَحُ » : هو ما كان في جبهته قُرْحَةٌ ، وهي بياض يسير في وجه الفرس دون الغُرَّة ، والغرّة : بياض في جبهته فوق الدرهم. راجع : </w:t>
      </w:r>
      <w:r w:rsidRPr="00765AEE">
        <w:rPr>
          <w:rtl/>
        </w:rPr>
        <w:t>النهاية</w:t>
      </w:r>
      <w:r w:rsidRPr="00132E65">
        <w:rPr>
          <w:rtl/>
        </w:rPr>
        <w:t xml:space="preserve"> ، ج 4 ، ص 36 ( قرح )</w:t>
      </w:r>
      <w:r>
        <w:rPr>
          <w:rtl/>
        </w:rPr>
        <w:t>.</w:t>
      </w:r>
    </w:p>
    <w:p w:rsidR="000C39D1" w:rsidRPr="00132E65" w:rsidRDefault="000C39D1" w:rsidP="000C39D1">
      <w:pPr>
        <w:pStyle w:val="libFootnote0"/>
        <w:rPr>
          <w:rtl/>
          <w:lang w:bidi="fa-IR"/>
        </w:rPr>
      </w:pPr>
      <w:r>
        <w:rPr>
          <w:rtl/>
        </w:rPr>
        <w:t>(10).</w:t>
      </w:r>
      <w:r w:rsidRPr="00132E65">
        <w:rPr>
          <w:rtl/>
        </w:rPr>
        <w:t xml:space="preserve"> « فَطَعَنَكَ » ، أي ضربك. يقال : طَعَنَهُ بالرُمح ، أي ضربه. راجع : </w:t>
      </w:r>
      <w:r w:rsidRPr="00765AEE">
        <w:rPr>
          <w:rtl/>
        </w:rPr>
        <w:t>القاموس المحيط</w:t>
      </w:r>
      <w:r w:rsidRPr="00132E65">
        <w:rPr>
          <w:rtl/>
        </w:rPr>
        <w:t xml:space="preserve"> ، ج 2 ، ص 1594 ( طعن )</w:t>
      </w:r>
      <w:r>
        <w:rPr>
          <w:rtl/>
        </w:rPr>
        <w:t>.</w:t>
      </w:r>
    </w:p>
    <w:p w:rsidR="000C39D1" w:rsidRPr="00132E65" w:rsidRDefault="000C39D1" w:rsidP="000C39D1">
      <w:pPr>
        <w:pStyle w:val="libFootnote0"/>
        <w:rPr>
          <w:rtl/>
          <w:lang w:bidi="fa-IR"/>
        </w:rPr>
      </w:pPr>
      <w:r>
        <w:rPr>
          <w:rtl/>
        </w:rPr>
        <w:t>(11).</w:t>
      </w:r>
      <w:r w:rsidRPr="00132E65">
        <w:rPr>
          <w:rtl/>
        </w:rPr>
        <w:t xml:space="preserve"> في « ض ، بر » : « فضربت »</w:t>
      </w:r>
      <w:r>
        <w:rPr>
          <w:rtl/>
        </w:rPr>
        <w:t>.</w:t>
      </w:r>
    </w:p>
    <w:p w:rsidR="000C39D1" w:rsidRPr="00132E65" w:rsidRDefault="000C39D1" w:rsidP="000C39D1">
      <w:pPr>
        <w:pStyle w:val="libFootnote0"/>
        <w:rPr>
          <w:rtl/>
          <w:lang w:bidi="fa-IR"/>
        </w:rPr>
      </w:pPr>
      <w:r>
        <w:rPr>
          <w:rtl/>
        </w:rPr>
        <w:t>(12).</w:t>
      </w:r>
      <w:r w:rsidRPr="00132E65">
        <w:rPr>
          <w:rtl/>
        </w:rPr>
        <w:t xml:space="preserve"> الخَيْشُومُ من الأنف : مافوق نُخْرَته من القَصَبة وما تحتها من خشارِمِ رأسه ، أو هو غُرْضُوف في أقصى الأنف بينه وبين الدماغ ، أو عرقٌ في باطن الأنف ، أو هو أقصى الفم. راجع : </w:t>
      </w:r>
      <w:r w:rsidRPr="009D1ACE">
        <w:rPr>
          <w:rStyle w:val="libFootnoteBoldChar"/>
          <w:rtl/>
        </w:rPr>
        <w:t>لسان العرب</w:t>
      </w:r>
      <w:r w:rsidRPr="00132E65">
        <w:rPr>
          <w:rtl/>
        </w:rPr>
        <w:t xml:space="preserve"> ، ج 12 ، ص 178 ( خشم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فَرَسِهِ ، فَطَرَحْتَهُ ، وحَمَلَ عَلَيْكَ آخَرُ خَارِجٌ مِنْ زُقَاقِ آلِ أَبِي عَمَّارٍ الدُّؤَلِيِّينَ </w:t>
      </w:r>
      <w:r>
        <w:rPr>
          <w:rStyle w:val="libFootnotenumChar"/>
          <w:rtl/>
        </w:rPr>
        <w:t>(1)</w:t>
      </w:r>
      <w:r w:rsidRPr="00132E65">
        <w:rPr>
          <w:rtl/>
          <w:lang w:bidi="fa-IR"/>
        </w:rPr>
        <w:t xml:space="preserve"> ، عَلَيْهِ غَدِيرَتَانِ </w:t>
      </w:r>
      <w:r>
        <w:rPr>
          <w:rStyle w:val="libFootnotenumChar"/>
          <w:rtl/>
        </w:rPr>
        <w:t>(2)</w:t>
      </w:r>
      <w:r w:rsidRPr="00132E65">
        <w:rPr>
          <w:rtl/>
          <w:lang w:bidi="fa-IR"/>
        </w:rPr>
        <w:t xml:space="preserve"> مَضْفُورَتَانِ </w:t>
      </w:r>
      <w:r>
        <w:rPr>
          <w:rStyle w:val="libFootnotenumChar"/>
          <w:rtl/>
        </w:rPr>
        <w:t>(3)</w:t>
      </w:r>
      <w:r w:rsidRPr="00132E65">
        <w:rPr>
          <w:rtl/>
          <w:lang w:bidi="fa-IR"/>
        </w:rPr>
        <w:t xml:space="preserve"> ، و</w:t>
      </w:r>
      <w:r>
        <w:rPr>
          <w:rFonts w:hint="cs"/>
          <w:rtl/>
          <w:lang w:bidi="fa-IR"/>
        </w:rPr>
        <w:t xml:space="preserve"> </w:t>
      </w:r>
      <w:r>
        <w:rPr>
          <w:rStyle w:val="libFootnotenumChar"/>
          <w:rtl/>
        </w:rPr>
        <w:t>(4)</w:t>
      </w:r>
      <w:r w:rsidRPr="00132E65">
        <w:rPr>
          <w:rtl/>
          <w:lang w:bidi="fa-IR"/>
        </w:rPr>
        <w:t xml:space="preserve"> قَدْ خَرَجَتَا مِنْ تَحْتِ بَيْضَتِهِ </w:t>
      </w:r>
      <w:r>
        <w:rPr>
          <w:rStyle w:val="libFootnotenumChar"/>
          <w:rtl/>
        </w:rPr>
        <w:t>(5)</w:t>
      </w:r>
      <w:r w:rsidRPr="00132E65">
        <w:rPr>
          <w:rtl/>
          <w:lang w:bidi="fa-IR"/>
        </w:rPr>
        <w:t xml:space="preserve"> كَثِيرُ شَعْرِ الشَّارِبَيْنِ ، فَهُوَ واللهِ صَاحِبُكَ ، فَلَا رَحِمَ اللهُ رِمَّتَهُ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لَهُ مُحَمَّدٌ : يَا أَبَا عَبْدِ اللهِ ، حَسِبْتَ فَأَخْطَأْتَ. وقَامَ إِلَيْهِ السُّرَاقِيُّ بْنُ سَلْخِ الْحُوتِ </w:t>
      </w:r>
      <w:r>
        <w:rPr>
          <w:rStyle w:val="libFootnotenumChar"/>
          <w:rtl/>
        </w:rPr>
        <w:t>(7)</w:t>
      </w:r>
      <w:r w:rsidRPr="00132E65">
        <w:rPr>
          <w:rtl/>
          <w:lang w:bidi="fa-IR"/>
        </w:rPr>
        <w:t xml:space="preserve"> ، فَدَفَعَ فِي ظَهْرِهِ حَتّى أُدْخِلَ </w:t>
      </w:r>
      <w:r>
        <w:rPr>
          <w:rStyle w:val="libFootnotenumChar"/>
          <w:rtl/>
        </w:rPr>
        <w:t>(8)</w:t>
      </w:r>
      <w:r w:rsidRPr="00132E65">
        <w:rPr>
          <w:rtl/>
          <w:lang w:bidi="fa-IR"/>
        </w:rPr>
        <w:t xml:space="preserve"> السِّجْنَ </w:t>
      </w:r>
      <w:r>
        <w:rPr>
          <w:rStyle w:val="libFootnotenumChar"/>
          <w:rtl/>
        </w:rPr>
        <w:t>(9)</w:t>
      </w:r>
      <w:r w:rsidRPr="00132E65">
        <w:rPr>
          <w:rtl/>
          <w:lang w:bidi="fa-IR"/>
        </w:rPr>
        <w:t xml:space="preserve"> ، واصْطُفِيَ مَا كَانَ لَهُ مِنْ مَالٍ ، ومَا كَانَ لِقَوْمِهِ مِمَّنْ لَمْ يَخْرُجْ مَعَ مُحَمَّدٍ.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الديلين »</w:t>
      </w:r>
      <w:r>
        <w:rPr>
          <w:rtl/>
        </w:rPr>
        <w:t>.</w:t>
      </w:r>
      <w:r w:rsidRPr="00132E65">
        <w:rPr>
          <w:rtl/>
        </w:rPr>
        <w:t xml:space="preserve"> وفي « بح » وشرح المازندراني : « الديليين »</w:t>
      </w:r>
      <w:r>
        <w:rPr>
          <w:rtl/>
        </w:rPr>
        <w:t>.</w:t>
      </w:r>
      <w:r w:rsidRPr="00132E65">
        <w:rPr>
          <w:rtl/>
        </w:rPr>
        <w:t xml:space="preserve"> وفي البحار : « الدئليين »</w:t>
      </w:r>
      <w:r>
        <w:rPr>
          <w:rtl/>
        </w:rPr>
        <w:t>.</w:t>
      </w:r>
      <w:r w:rsidRPr="00132E65">
        <w:rPr>
          <w:rtl/>
        </w:rPr>
        <w:t xml:space="preserve"> </w:t>
      </w:r>
      <w:r>
        <w:rPr>
          <w:rtl/>
        </w:rPr>
        <w:t>و «</w:t>
      </w:r>
      <w:r w:rsidRPr="00132E65">
        <w:rPr>
          <w:rtl/>
        </w:rPr>
        <w:t xml:space="preserve"> الدُئل » بكسرالهمزة : هم حيّ من كنانة ، وينسب إليهم أبو الأسود الدُئَلي. فتفتح الهمزة استثقالاً واستيحاشاً لتوالي الكسرتين مع ياء النسب. وربّما قالوا : الدُوَلي بقلب الهمزة واواً ؛ لأنّ الهمزة إذا انفتحت وكانت قبلها ضمّة فتخفيفها أن تقلبها واواً محضةً. وقال الكلبيّ : هو أبو الأسود الدِيليّ فقلب الهمزة ياء حين انكسرت ، فإذا انقلبت ياء كسرت الدال لتسلم الياء ، والدِيلُ : حيّ من عبد القيس ينسب إليه الدِيليّ ، وهما ديلان.</w:t>
      </w:r>
    </w:p>
    <w:p w:rsidR="000C39D1" w:rsidRPr="00132E65" w:rsidRDefault="000C39D1" w:rsidP="000C39D1">
      <w:pPr>
        <w:pStyle w:val="libFootnote0"/>
        <w:rPr>
          <w:rtl/>
          <w:lang w:bidi="fa-IR"/>
        </w:rPr>
      </w:pPr>
      <w:r w:rsidRPr="00E55206">
        <w:rPr>
          <w:rtl/>
        </w:rPr>
        <w:t xml:space="preserve">وفي </w:t>
      </w:r>
      <w:r w:rsidRPr="00500189">
        <w:rPr>
          <w:rtl/>
        </w:rPr>
        <w:t>المرآة</w:t>
      </w:r>
      <w:r w:rsidRPr="00E55206">
        <w:rPr>
          <w:rtl/>
        </w:rPr>
        <w:t xml:space="preserve"> عن بعض النسخ : الدِيلين ، وعن بعضها : الديليّ. راجع : </w:t>
      </w:r>
      <w:r w:rsidRPr="00500189">
        <w:rPr>
          <w:rtl/>
        </w:rPr>
        <w:t>الصحاح</w:t>
      </w:r>
      <w:r w:rsidRPr="00E55206">
        <w:rPr>
          <w:rtl/>
        </w:rPr>
        <w:t xml:space="preserve"> ، ج 4 ، ص 1694 ( دئل ) وص 1700 ( دول ).</w:t>
      </w:r>
    </w:p>
    <w:p w:rsidR="000C39D1" w:rsidRPr="00132E65" w:rsidRDefault="000C39D1" w:rsidP="000C39D1">
      <w:pPr>
        <w:pStyle w:val="libFootnote0"/>
        <w:rPr>
          <w:rtl/>
          <w:lang w:bidi="fa-IR"/>
        </w:rPr>
      </w:pPr>
      <w:r>
        <w:rPr>
          <w:rtl/>
        </w:rPr>
        <w:t>(2).</w:t>
      </w:r>
      <w:r w:rsidRPr="00132E65">
        <w:rPr>
          <w:rtl/>
        </w:rPr>
        <w:t xml:space="preserve"> « الغَدِيرتان » : الذُؤابتان اللتان تسقطان على الصدر. والذُؤابة : خُصلة من الشعر المنسوج بعضها على بعض‌مرسلة. راجع : </w:t>
      </w:r>
      <w:r w:rsidRPr="009D1ACE">
        <w:rPr>
          <w:rStyle w:val="libFootnoteBoldChar"/>
          <w:rtl/>
        </w:rPr>
        <w:t>لسان العرب</w:t>
      </w:r>
      <w:r w:rsidRPr="00132E65">
        <w:rPr>
          <w:rtl/>
        </w:rPr>
        <w:t xml:space="preserve"> ، ج 5 ، ص 10 ( غدر )</w:t>
      </w:r>
      <w:r>
        <w:rPr>
          <w:rtl/>
        </w:rPr>
        <w:t>.</w:t>
      </w:r>
    </w:p>
    <w:p w:rsidR="000C39D1" w:rsidRPr="00132E65" w:rsidRDefault="000C39D1" w:rsidP="000C39D1">
      <w:pPr>
        <w:pStyle w:val="libFootnote0"/>
        <w:rPr>
          <w:rtl/>
          <w:lang w:bidi="fa-IR"/>
        </w:rPr>
      </w:pPr>
      <w:r>
        <w:rPr>
          <w:rtl/>
        </w:rPr>
        <w:t>(3).</w:t>
      </w:r>
      <w:r w:rsidRPr="00132E65">
        <w:rPr>
          <w:rtl/>
        </w:rPr>
        <w:t xml:space="preserve"> « مضفورتان » ، أي منسوجتان ، من الضَفْر وهو النسج ، راجع : </w:t>
      </w:r>
      <w:r w:rsidRPr="00500189">
        <w:rPr>
          <w:rtl/>
        </w:rPr>
        <w:t>النهاية</w:t>
      </w:r>
      <w:r w:rsidRPr="00132E65">
        <w:rPr>
          <w:rtl/>
        </w:rPr>
        <w:t xml:space="preserve"> ، ج 3 ، ص 92 ( ضفر )</w:t>
      </w:r>
      <w:r>
        <w:rPr>
          <w:rtl/>
        </w:rPr>
        <w:t>.</w:t>
      </w:r>
    </w:p>
    <w:p w:rsidR="000C39D1" w:rsidRPr="00132E65" w:rsidRDefault="000C39D1" w:rsidP="000C39D1">
      <w:pPr>
        <w:pStyle w:val="libFootnote0"/>
        <w:rPr>
          <w:rtl/>
          <w:lang w:bidi="fa-IR"/>
        </w:rPr>
      </w:pPr>
      <w:r>
        <w:rPr>
          <w:rtl/>
        </w:rPr>
        <w:t>(4).</w:t>
      </w:r>
      <w:r w:rsidRPr="00132E65">
        <w:rPr>
          <w:rtl/>
        </w:rPr>
        <w:t xml:space="preserve"> في « ب ، ض ، و، بح ، بر ، بس » و</w:t>
      </w:r>
      <w:r w:rsidRPr="009D1ACE">
        <w:rPr>
          <w:rStyle w:val="libFootnoteBoldChar"/>
          <w:rtl/>
        </w:rPr>
        <w:t>الوافي</w:t>
      </w:r>
      <w:r w:rsidRPr="00132E65">
        <w:rPr>
          <w:rtl/>
        </w:rPr>
        <w:t xml:space="preserve"> والبحار </w:t>
      </w:r>
      <w:r>
        <w:rPr>
          <w:rtl/>
        </w:rPr>
        <w:t xml:space="preserve">: - </w:t>
      </w:r>
      <w:r w:rsidRPr="00132E65">
        <w:rPr>
          <w:rtl/>
        </w:rPr>
        <w:t xml:space="preserve">« </w:t>
      </w:r>
      <w:r>
        <w:rPr>
          <w:rtl/>
        </w:rPr>
        <w:t>و ».</w:t>
      </w:r>
    </w:p>
    <w:p w:rsidR="000C39D1" w:rsidRPr="00132E65" w:rsidRDefault="000C39D1" w:rsidP="000C39D1">
      <w:pPr>
        <w:pStyle w:val="libFootnote0"/>
        <w:rPr>
          <w:rtl/>
          <w:lang w:bidi="fa-IR"/>
        </w:rPr>
      </w:pPr>
      <w:r>
        <w:rPr>
          <w:rtl/>
        </w:rPr>
        <w:t>(5).</w:t>
      </w:r>
      <w:r w:rsidRPr="00132E65">
        <w:rPr>
          <w:rtl/>
        </w:rPr>
        <w:t xml:space="preserve"> هكذا في « ج ، ض ، ف ، ه‍ ، و، بح ، بر ، بس ، بف » و</w:t>
      </w:r>
      <w:r w:rsidRPr="009D1ACE">
        <w:rPr>
          <w:rStyle w:val="libFootnoteBoldChar"/>
          <w:rtl/>
        </w:rPr>
        <w:t>الوافي</w:t>
      </w:r>
      <w:r w:rsidRPr="00132E65">
        <w:rPr>
          <w:rtl/>
        </w:rPr>
        <w:t xml:space="preserve"> والبحار. وفي « ب » : « بيضه »</w:t>
      </w:r>
      <w:r>
        <w:rPr>
          <w:rtl/>
        </w:rPr>
        <w:t>.</w:t>
      </w:r>
      <w:r w:rsidRPr="00132E65">
        <w:rPr>
          <w:rtl/>
        </w:rPr>
        <w:t xml:space="preserve"> وفي المطبوع : « بيضة »</w:t>
      </w:r>
      <w:r>
        <w:rPr>
          <w:rtl/>
        </w:rPr>
        <w:t>.</w:t>
      </w:r>
    </w:p>
    <w:p w:rsidR="000C39D1" w:rsidRPr="00132E65" w:rsidRDefault="000C39D1" w:rsidP="000C39D1">
      <w:pPr>
        <w:pStyle w:val="libFootnote0"/>
        <w:rPr>
          <w:rtl/>
          <w:lang w:bidi="fa-IR"/>
        </w:rPr>
      </w:pPr>
      <w:r>
        <w:rPr>
          <w:rtl/>
        </w:rPr>
        <w:t>(6).</w:t>
      </w:r>
      <w:r w:rsidRPr="00132E65">
        <w:rPr>
          <w:rtl/>
        </w:rPr>
        <w:t xml:space="preserve"> « الرِمَّةُ » : العظام البالية ، والجمع : رِمَمٌ ورِمامٌ. والمعنى : لا </w:t>
      </w:r>
      <w:r w:rsidRPr="00306E38">
        <w:rPr>
          <w:rStyle w:val="libFootnoteAlaemChar"/>
          <w:rtl/>
        </w:rPr>
        <w:t>رحمه‌الله</w:t>
      </w:r>
      <w:r w:rsidRPr="00132E65">
        <w:rPr>
          <w:rtl/>
        </w:rPr>
        <w:t xml:space="preserve"> أبداً ولو بعد صيرورته رميماً. راجع : </w:t>
      </w:r>
      <w:r w:rsidRPr="00500189">
        <w:rPr>
          <w:rtl/>
        </w:rPr>
        <w:t>الصحاح</w:t>
      </w:r>
      <w:r w:rsidRPr="00132E65">
        <w:rPr>
          <w:rtl/>
        </w:rPr>
        <w:t xml:space="preserve"> ، ج 5 ، ص 1936 ( رمم )</w:t>
      </w:r>
      <w:r>
        <w:rPr>
          <w:rtl/>
        </w:rPr>
        <w:t>.</w:t>
      </w:r>
    </w:p>
    <w:p w:rsidR="000C39D1" w:rsidRPr="00132E65" w:rsidRDefault="000C39D1" w:rsidP="000C39D1">
      <w:pPr>
        <w:pStyle w:val="libFootnote0"/>
        <w:rPr>
          <w:rtl/>
          <w:lang w:bidi="fa-IR"/>
        </w:rPr>
      </w:pPr>
      <w:r>
        <w:rPr>
          <w:rtl/>
        </w:rPr>
        <w:t>(7).</w:t>
      </w:r>
      <w:r w:rsidRPr="00132E65">
        <w:rPr>
          <w:rtl/>
        </w:rPr>
        <w:t xml:space="preserve"> في البحار : « سلح الحوت »</w:t>
      </w:r>
      <w:r>
        <w:rPr>
          <w:rtl/>
        </w:rPr>
        <w:t>.</w:t>
      </w:r>
      <w:r w:rsidRPr="00132E65">
        <w:rPr>
          <w:rtl/>
        </w:rPr>
        <w:t xml:space="preserve"> وفي </w:t>
      </w:r>
      <w:r w:rsidRPr="009D1ACE">
        <w:rPr>
          <w:rStyle w:val="libFootnoteBoldChar"/>
          <w:rtl/>
        </w:rPr>
        <w:t>مرآة العقول</w:t>
      </w:r>
      <w:r w:rsidRPr="00132E65">
        <w:rPr>
          <w:rtl/>
        </w:rPr>
        <w:t xml:space="preserve"> : « سلح الحوت</w:t>
      </w:r>
      <w:r>
        <w:rPr>
          <w:rtl/>
        </w:rPr>
        <w:t xml:space="preserve"> - </w:t>
      </w:r>
      <w:r w:rsidRPr="00132E65">
        <w:rPr>
          <w:rtl/>
        </w:rPr>
        <w:t>بالحاء المهملة</w:t>
      </w:r>
      <w:r>
        <w:rPr>
          <w:rtl/>
        </w:rPr>
        <w:t xml:space="preserve"> - </w:t>
      </w:r>
      <w:r w:rsidRPr="00132E65">
        <w:rPr>
          <w:rtl/>
        </w:rPr>
        <w:t>من الألقاب المذمومة التي‌تنابزها تشبيهاً بعذرة الحوت ، كما مرّ في سلح الغراب. وفي بعض النسخ بالخاء المعجمة تشبيهاً بالحوت المسلوخ ، والأوّل أظهر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حتّى أُدخل ، على المجهول ، ويحتمل المعلوم ، وكذا اصطفي يحتملهما ، أي غصب ونهب أمواله </w:t>
      </w:r>
      <w:r w:rsidRPr="00306E38">
        <w:rPr>
          <w:rStyle w:val="libFootnoteAlaemChar"/>
          <w:rtl/>
        </w:rPr>
        <w:t>عليه‌السلام</w:t>
      </w:r>
      <w:r w:rsidRPr="00132E65">
        <w:rPr>
          <w:rtl/>
        </w:rPr>
        <w:t xml:space="preserve"> وأموال أصحابه »</w:t>
      </w:r>
      <w:r>
        <w:rPr>
          <w:rtl/>
        </w:rPr>
        <w:t>.</w:t>
      </w:r>
    </w:p>
    <w:p w:rsidR="000C39D1" w:rsidRPr="00132E65" w:rsidRDefault="000C39D1" w:rsidP="000C39D1">
      <w:pPr>
        <w:pStyle w:val="libFootnote0"/>
        <w:rPr>
          <w:rtl/>
          <w:lang w:bidi="fa-IR"/>
        </w:rPr>
      </w:pPr>
      <w:r>
        <w:rPr>
          <w:rtl/>
        </w:rPr>
        <w:t>(9).</w:t>
      </w:r>
      <w:r w:rsidRPr="00132E65">
        <w:rPr>
          <w:rtl/>
        </w:rPr>
        <w:t xml:space="preserve"> في « ف » : « في السجن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فَطُلِعَ </w:t>
      </w:r>
      <w:r>
        <w:rPr>
          <w:rStyle w:val="libFootnotenumChar"/>
          <w:rtl/>
        </w:rPr>
        <w:t>(1)</w:t>
      </w:r>
      <w:r w:rsidRPr="00132E65">
        <w:rPr>
          <w:rtl/>
          <w:lang w:bidi="fa-IR"/>
        </w:rPr>
        <w:t xml:space="preserve"> بِإِسْمَاعِيلَ بْنِ عَبْدِ اللهِ بْنِ جَعْفَرِ بْنِ أَبِي طَالِبٍ ، وهُوَ شَيْخٌ كَبِيرٌ ضَعِيفٌ ، قَدْ ذَهَبَتْ </w:t>
      </w:r>
      <w:r>
        <w:rPr>
          <w:rStyle w:val="libFootnotenumChar"/>
          <w:rtl/>
        </w:rPr>
        <w:t>(2)</w:t>
      </w:r>
      <w:r w:rsidRPr="00132E65">
        <w:rPr>
          <w:rtl/>
          <w:lang w:bidi="fa-IR"/>
        </w:rPr>
        <w:t xml:space="preserve"> إِحْدى عَيْنَيْهِ ، وذَهَبَتْ </w:t>
      </w:r>
      <w:r>
        <w:rPr>
          <w:rStyle w:val="libFootnotenumChar"/>
          <w:rtl/>
        </w:rPr>
        <w:t>(3)</w:t>
      </w:r>
      <w:r w:rsidRPr="00132E65">
        <w:rPr>
          <w:rtl/>
          <w:lang w:bidi="fa-IR"/>
        </w:rPr>
        <w:t xml:space="preserve"> رِجْلَاهُ وهُوَ </w:t>
      </w:r>
      <w:r>
        <w:rPr>
          <w:rStyle w:val="libFootnotenumChar"/>
          <w:rtl/>
        </w:rPr>
        <w:t>(4)</w:t>
      </w:r>
      <w:r w:rsidRPr="00132E65">
        <w:rPr>
          <w:rtl/>
          <w:lang w:bidi="fa-IR"/>
        </w:rPr>
        <w:t xml:space="preserve"> يُحْمَلُ حَمْلاً ، فَدَعَاهُ إِلَى الْبَيْعَةِ ، فَقَالَ لَهُ : يَا ابْنَ أَخِي ، إِنِّي شَيْخٌ كَبِيرٌ ضَعِيفٌ ، وأَنَا إِلى بِرِّكَ وعَوْنِكَ أَحْوَجُ.</w:t>
      </w:r>
    </w:p>
    <w:p w:rsidR="000C39D1" w:rsidRPr="00132E65" w:rsidRDefault="000C39D1" w:rsidP="000C39D1">
      <w:pPr>
        <w:pStyle w:val="libNormal"/>
        <w:rPr>
          <w:rtl/>
          <w:lang w:bidi="fa-IR"/>
        </w:rPr>
      </w:pPr>
      <w:r w:rsidRPr="00132E65">
        <w:rPr>
          <w:rtl/>
          <w:lang w:bidi="fa-IR"/>
        </w:rPr>
        <w:t>فَقَالَ لَهُ : لَابُدَّ مِنْ أَنْ تُبَايِعَ.</w:t>
      </w:r>
    </w:p>
    <w:p w:rsidR="000C39D1" w:rsidRPr="00132E65" w:rsidRDefault="000C39D1" w:rsidP="000C39D1">
      <w:pPr>
        <w:pStyle w:val="libNormal"/>
        <w:rPr>
          <w:rtl/>
          <w:lang w:bidi="fa-IR"/>
        </w:rPr>
      </w:pPr>
      <w:r w:rsidRPr="00132E65">
        <w:rPr>
          <w:rtl/>
          <w:lang w:bidi="fa-IR"/>
        </w:rPr>
        <w:t>فَقَالَ لَهُ : وأَيَّ شَيْ‌ءٍ تَنْتَفِعُ بِبَيْعَتِي ؛ و</w:t>
      </w:r>
      <w:r>
        <w:rPr>
          <w:rFonts w:hint="cs"/>
          <w:rtl/>
          <w:lang w:bidi="fa-IR"/>
        </w:rPr>
        <w:t>َ</w:t>
      </w:r>
      <w:r w:rsidRPr="00132E65">
        <w:rPr>
          <w:rtl/>
          <w:lang w:bidi="fa-IR"/>
        </w:rPr>
        <w:t>اللهِ ، إِنِّي لَأُضَيِّقُ عَلَيْكَ مَكَانَ اسْمِ رَجُلٍ إِنْ كَتَبْتَهُ.</w:t>
      </w:r>
    </w:p>
    <w:p w:rsidR="000C39D1" w:rsidRPr="00132E65" w:rsidRDefault="000C39D1" w:rsidP="000C39D1">
      <w:pPr>
        <w:pStyle w:val="libNormal"/>
        <w:rPr>
          <w:rtl/>
          <w:lang w:bidi="fa-IR"/>
        </w:rPr>
      </w:pPr>
      <w:r w:rsidRPr="00132E65">
        <w:rPr>
          <w:rtl/>
          <w:lang w:bidi="fa-IR"/>
        </w:rPr>
        <w:t xml:space="preserve">قَال </w:t>
      </w:r>
      <w:r>
        <w:rPr>
          <w:rStyle w:val="libFootnotenumChar"/>
          <w:rtl/>
        </w:rPr>
        <w:t>(5)</w:t>
      </w:r>
      <w:r w:rsidRPr="00132E65">
        <w:rPr>
          <w:rtl/>
          <w:lang w:bidi="fa-IR"/>
        </w:rPr>
        <w:t xml:space="preserve"> : لَابُدَّ لَكَ أَنْ تَفْعَلَ. وأَغْلَظَ </w:t>
      </w:r>
      <w:r>
        <w:rPr>
          <w:rStyle w:val="libFootnotenumChar"/>
          <w:rtl/>
        </w:rPr>
        <w:t>(6)</w:t>
      </w:r>
      <w:r w:rsidRPr="00132E65">
        <w:rPr>
          <w:rtl/>
          <w:lang w:bidi="fa-IR"/>
        </w:rPr>
        <w:t xml:space="preserve"> لَهُ </w:t>
      </w:r>
      <w:r>
        <w:rPr>
          <w:rStyle w:val="libFootnotenumChar"/>
          <w:rtl/>
        </w:rPr>
        <w:t>(7)</w:t>
      </w:r>
      <w:r w:rsidRPr="00132E65">
        <w:rPr>
          <w:rtl/>
          <w:lang w:bidi="fa-IR"/>
        </w:rPr>
        <w:t xml:space="preserve"> فِي الْقَوْلِ.</w:t>
      </w:r>
    </w:p>
    <w:p w:rsidR="000C39D1" w:rsidRPr="00132E65" w:rsidRDefault="000C39D1" w:rsidP="000C39D1">
      <w:pPr>
        <w:pStyle w:val="libNormal"/>
        <w:rPr>
          <w:rtl/>
          <w:lang w:bidi="fa-IR"/>
        </w:rPr>
      </w:pPr>
      <w:r w:rsidRPr="00132E65">
        <w:rPr>
          <w:rtl/>
          <w:lang w:bidi="fa-IR"/>
        </w:rPr>
        <w:t xml:space="preserve">فَقَالَ لَهُ إِسْمَاعِيلُ </w:t>
      </w:r>
      <w:r>
        <w:rPr>
          <w:rStyle w:val="libFootnotenumChar"/>
          <w:rtl/>
        </w:rPr>
        <w:t>(8)</w:t>
      </w:r>
      <w:r w:rsidRPr="00132E65">
        <w:rPr>
          <w:rtl/>
          <w:lang w:bidi="fa-IR"/>
        </w:rPr>
        <w:t xml:space="preserve"> : ادْعُ لِي جَعْفَرَ بْنَ مُحَمَّدٍ ، فَلَعَلَّنَا نُبَايِعُ جَمِيعاً.</w:t>
      </w:r>
    </w:p>
    <w:p w:rsidR="000C39D1" w:rsidRPr="00132E65" w:rsidRDefault="000C39D1" w:rsidP="000C39D1">
      <w:pPr>
        <w:pStyle w:val="libNormal"/>
        <w:rPr>
          <w:rtl/>
          <w:lang w:bidi="fa-IR"/>
        </w:rPr>
      </w:pPr>
      <w:r w:rsidRPr="00132E65">
        <w:rPr>
          <w:rtl/>
          <w:lang w:bidi="fa-IR"/>
        </w:rPr>
        <w:t xml:space="preserve">قَالَ : فَدَعَا جَعْفَراً </w:t>
      </w:r>
      <w:r w:rsidRPr="00071CF9">
        <w:rPr>
          <w:rStyle w:val="libAlaemChar"/>
          <w:rtl/>
        </w:rPr>
        <w:t>عليه‌السلام</w:t>
      </w:r>
      <w:r w:rsidRPr="00132E65">
        <w:rPr>
          <w:rtl/>
          <w:lang w:bidi="fa-IR"/>
        </w:rPr>
        <w:t xml:space="preserve"> ، فَقَالَ لَهُ إِسْمَاعِيلُ : جُعِلْتُ فِدَاكَ ، إِنْ رَأَيْتَ أَنْ تُبَيِّنَ لَهُ فَافْعَلْ ، لَعَلَّ اللهَ يَكُفُّهُ </w:t>
      </w:r>
      <w:r>
        <w:rPr>
          <w:rStyle w:val="libFootnotenumChar"/>
          <w:rtl/>
        </w:rPr>
        <w:t>(9)</w:t>
      </w:r>
      <w:r w:rsidRPr="00132E65">
        <w:rPr>
          <w:rtl/>
          <w:lang w:bidi="fa-IR"/>
        </w:rPr>
        <w:t xml:space="preserve"> عَنَّا.</w:t>
      </w:r>
    </w:p>
    <w:p w:rsidR="000C39D1" w:rsidRPr="00132E65" w:rsidRDefault="000C39D1" w:rsidP="000C39D1">
      <w:pPr>
        <w:pStyle w:val="libNormal"/>
        <w:rPr>
          <w:rtl/>
          <w:lang w:bidi="fa-IR"/>
        </w:rPr>
      </w:pPr>
      <w:r w:rsidRPr="00132E65">
        <w:rPr>
          <w:rtl/>
          <w:lang w:bidi="fa-IR"/>
        </w:rPr>
        <w:t xml:space="preserve">قَالَ : « قَدْ أَجْمَعْتُ </w:t>
      </w:r>
      <w:r>
        <w:rPr>
          <w:rStyle w:val="libFootnotenumChar"/>
          <w:rtl/>
        </w:rPr>
        <w:t>(10)</w:t>
      </w:r>
      <w:r w:rsidRPr="00132E65">
        <w:rPr>
          <w:rtl/>
          <w:lang w:bidi="fa-IR"/>
        </w:rPr>
        <w:t xml:space="preserve"> أَلاَّ أُكَلِّمَهُ ، فَلْيَرَ </w:t>
      </w:r>
      <w:r>
        <w:rPr>
          <w:rStyle w:val="libFootnotenumChar"/>
          <w:rtl/>
        </w:rPr>
        <w:t>(11)</w:t>
      </w:r>
      <w:r w:rsidRPr="00132E65">
        <w:rPr>
          <w:rtl/>
          <w:lang w:bidi="fa-IR"/>
        </w:rPr>
        <w:t xml:space="preserve"> فِيَّ رَأْيَهُ </w:t>
      </w:r>
      <w:r>
        <w:rPr>
          <w:rStyle w:val="libFootnotenumChar"/>
          <w:rtl/>
        </w:rPr>
        <w:t>(12)</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إِسْمَاعِيلُ لِأَبِي عَبْدِ اللهِ </w:t>
      </w:r>
      <w:r w:rsidRPr="00071CF9">
        <w:rPr>
          <w:rStyle w:val="libAlaemChar"/>
          <w:rtl/>
        </w:rPr>
        <w:t>عليه‌السلام</w:t>
      </w:r>
      <w:r w:rsidRPr="00132E65">
        <w:rPr>
          <w:rtl/>
          <w:lang w:bidi="fa-IR"/>
        </w:rPr>
        <w:t xml:space="preserve"> : أَنْشُدُكَ اللهَ هَلْ </w:t>
      </w:r>
      <w:r w:rsidRPr="00F543F1">
        <w:rPr>
          <w:rStyle w:val="libFootnotenumChar"/>
          <w:rtl/>
        </w:rPr>
        <w:t>(13)</w:t>
      </w:r>
      <w:r w:rsidRPr="00132E65">
        <w:rPr>
          <w:rtl/>
          <w:lang w:bidi="fa-IR"/>
        </w:rPr>
        <w:t xml:space="preserve"> تَذْكُرُ يَوْماً أَتَيْتُ أَبَاكَ مُحَمَّدَ بْنَ عَلِيٍّ </w:t>
      </w:r>
      <w:r w:rsidRPr="00071CF9">
        <w:rPr>
          <w:rStyle w:val="libAlaemChar"/>
          <w:rtl/>
        </w:rPr>
        <w:t>عليهما‌السلام</w:t>
      </w:r>
      <w:r w:rsidRPr="00132E65">
        <w:rPr>
          <w:rtl/>
          <w:lang w:bidi="fa-IR"/>
        </w:rPr>
        <w:t xml:space="preserve"> وعَلَيَّ حُلَّتَانِ صَفْرَاوَانِ ، فَأَدَامَ </w:t>
      </w:r>
      <w:r w:rsidRPr="00F543F1">
        <w:rPr>
          <w:rStyle w:val="libFootnotenumChar"/>
          <w:rtl/>
        </w:rPr>
        <w:t>(14)</w:t>
      </w:r>
      <w:r w:rsidRPr="00132E65">
        <w:rPr>
          <w:rtl/>
          <w:lang w:bidi="fa-IR"/>
        </w:rPr>
        <w:t xml:space="preserve"> النَّظَرَ إِلَيَّ ، فَبَكى </w:t>
      </w:r>
      <w:r w:rsidRPr="00F543F1">
        <w:rPr>
          <w:rStyle w:val="libFootnotenumChar"/>
          <w:rtl/>
        </w:rPr>
        <w:t>(15)</w:t>
      </w:r>
      <w:r w:rsidRPr="00132E65">
        <w:rPr>
          <w:rtl/>
          <w:lang w:bidi="fa-IR"/>
        </w:rPr>
        <w:t xml:space="preserve"> ، فَقُلْتُ لَهُ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فطُلِعَ » ،</w:t>
      </w:r>
      <w:r w:rsidR="00D14011">
        <w:rPr>
          <w:rtl/>
        </w:rPr>
        <w:t xml:space="preserve"> أي أُتِيَ به ، فالباء للتعدية.</w:t>
      </w:r>
      <w:r w:rsidR="00D14011">
        <w:rPr>
          <w:rFonts w:hint="cs"/>
          <w:rtl/>
        </w:rPr>
        <w:t xml:space="preserve"> </w:t>
      </w:r>
      <w:r w:rsidRPr="00132E65">
        <w:rPr>
          <w:rtl/>
        </w:rPr>
        <w:t xml:space="preserve">يقال : طَلَعَ فلان علينا ، أي أتانا. راجع : </w:t>
      </w:r>
      <w:r w:rsidRPr="00500189">
        <w:rPr>
          <w:rtl/>
        </w:rPr>
        <w:t>القاموس المحيط</w:t>
      </w:r>
      <w:r w:rsidRPr="00132E65">
        <w:rPr>
          <w:rtl/>
        </w:rPr>
        <w:t xml:space="preserve"> ، ج 2 ، ص 997 ( طلع )</w:t>
      </w:r>
      <w:r>
        <w:rPr>
          <w:rtl/>
        </w:rPr>
        <w:t>.</w:t>
      </w:r>
      <w:r>
        <w:rPr>
          <w:rFonts w:hint="cs"/>
          <w:rtl/>
        </w:rPr>
        <w:t xml:space="preserve">                                      </w:t>
      </w:r>
      <w:r w:rsidR="00D14011">
        <w:rPr>
          <w:rFonts w:hint="cs"/>
          <w:rtl/>
        </w:rPr>
        <w:t xml:space="preserve">    </w:t>
      </w:r>
      <w:r>
        <w:rPr>
          <w:rFonts w:hint="cs"/>
          <w:rtl/>
        </w:rPr>
        <w:t xml:space="preserve">        </w:t>
      </w:r>
      <w:r>
        <w:rPr>
          <w:rtl/>
        </w:rPr>
        <w:t>(2).</w:t>
      </w:r>
      <w:r w:rsidRPr="00132E65">
        <w:rPr>
          <w:rtl/>
        </w:rPr>
        <w:t xml:space="preserve"> في « بف » : « ذهب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(3).</w:t>
            </w:r>
            <w:r w:rsidRPr="00132E65">
              <w:rPr>
                <w:rtl/>
              </w:rPr>
              <w:t xml:space="preserve"> في « بف » : « ذهب »</w:t>
            </w:r>
            <w:r>
              <w:rPr>
                <w:rtl/>
              </w:rPr>
              <w:t>.</w:t>
            </w:r>
          </w:p>
        </w:tc>
        <w:tc>
          <w:tcPr>
            <w:tcW w:w="4006" w:type="dxa"/>
          </w:tcPr>
          <w:p w:rsidR="000C39D1" w:rsidRDefault="000C39D1" w:rsidP="00B53873">
            <w:pPr>
              <w:pStyle w:val="libFootnote0"/>
              <w:rPr>
                <w:rtl/>
              </w:rPr>
            </w:pPr>
            <w:r>
              <w:rPr>
                <w:rtl/>
              </w:rPr>
              <w:t>(4).</w:t>
            </w:r>
            <w:r w:rsidRPr="00132E65">
              <w:rPr>
                <w:rtl/>
              </w:rPr>
              <w:t xml:space="preserve"> في « ف » : « فهو »</w:t>
            </w:r>
            <w:r>
              <w:rPr>
                <w:rtl/>
              </w:rPr>
              <w:t>.</w:t>
            </w:r>
          </w:p>
        </w:tc>
      </w:tr>
      <w:tr w:rsidR="000C39D1" w:rsidTr="00B53873">
        <w:tc>
          <w:tcPr>
            <w:tcW w:w="4006" w:type="dxa"/>
          </w:tcPr>
          <w:p w:rsidR="000C39D1" w:rsidRDefault="000C39D1" w:rsidP="00B53873">
            <w:pPr>
              <w:pStyle w:val="libFootnote0"/>
              <w:rPr>
                <w:rtl/>
              </w:rPr>
            </w:pPr>
            <w:r>
              <w:rPr>
                <w:rtl/>
              </w:rPr>
              <w:t>(5). في«ف»</w:t>
            </w:r>
            <w:r w:rsidRPr="00132E65">
              <w:rPr>
                <w:rtl/>
              </w:rPr>
              <w:t>:</w:t>
            </w:r>
            <w:r>
              <w:rPr>
                <w:rtl/>
              </w:rPr>
              <w:t>+</w:t>
            </w:r>
            <w:r w:rsidRPr="00132E65">
              <w:rPr>
                <w:rtl/>
              </w:rPr>
              <w:t>« له »</w:t>
            </w:r>
            <w:r>
              <w:rPr>
                <w:rtl/>
              </w:rPr>
              <w:t>.</w:t>
            </w:r>
            <w:r w:rsidRPr="00132E65">
              <w:rPr>
                <w:rtl/>
              </w:rPr>
              <w:t xml:space="preserve"> وفي « ه‍ ، بر » : « فقال »</w:t>
            </w:r>
            <w:r>
              <w:rPr>
                <w:rtl/>
              </w:rPr>
              <w:t>.</w:t>
            </w:r>
          </w:p>
        </w:tc>
        <w:tc>
          <w:tcPr>
            <w:tcW w:w="4006" w:type="dxa"/>
          </w:tcPr>
          <w:p w:rsidR="000C39D1" w:rsidRDefault="000C39D1" w:rsidP="00B53873">
            <w:pPr>
              <w:pStyle w:val="libFootnote0"/>
              <w:rPr>
                <w:rtl/>
              </w:rPr>
            </w:pPr>
            <w:r>
              <w:rPr>
                <w:rtl/>
              </w:rPr>
              <w:t>(6).</w:t>
            </w:r>
            <w:r w:rsidRPr="00132E65">
              <w:rPr>
                <w:rtl/>
              </w:rPr>
              <w:t xml:space="preserve"> في « ب » : « فأغلظ »</w:t>
            </w:r>
            <w:r>
              <w:rPr>
                <w:rtl/>
              </w:rPr>
              <w:t>.</w:t>
            </w:r>
          </w:p>
        </w:tc>
      </w:tr>
      <w:tr w:rsidR="000C39D1" w:rsidTr="00B53873">
        <w:tc>
          <w:tcPr>
            <w:tcW w:w="4006" w:type="dxa"/>
          </w:tcPr>
          <w:p w:rsidR="000C39D1" w:rsidRDefault="000C39D1" w:rsidP="00B53873">
            <w:pPr>
              <w:pStyle w:val="libFootnote0"/>
              <w:rPr>
                <w:rtl/>
              </w:rPr>
            </w:pPr>
            <w:r>
              <w:rPr>
                <w:rtl/>
              </w:rPr>
              <w:t>(7).</w:t>
            </w:r>
            <w:r w:rsidRPr="00132E65">
              <w:rPr>
                <w:rtl/>
              </w:rPr>
              <w:t xml:space="preserve"> في « ب » وحاشية « بر » والبحار : « عليه »</w:t>
            </w:r>
            <w:r>
              <w:rPr>
                <w:rtl/>
              </w:rPr>
              <w:t>.</w:t>
            </w:r>
          </w:p>
        </w:tc>
        <w:tc>
          <w:tcPr>
            <w:tcW w:w="4006" w:type="dxa"/>
          </w:tcPr>
          <w:p w:rsidR="000C39D1" w:rsidRDefault="000C39D1" w:rsidP="00B53873">
            <w:pPr>
              <w:pStyle w:val="libFootnote0"/>
              <w:rPr>
                <w:rtl/>
              </w:rPr>
            </w:pPr>
            <w:r>
              <w:rPr>
                <w:rtl/>
              </w:rPr>
              <w:t>(8).</w:t>
            </w:r>
            <w:r w:rsidRPr="00132E65">
              <w:rPr>
                <w:rtl/>
              </w:rPr>
              <w:t xml:space="preserve"> في حاشية « بر » :</w:t>
            </w:r>
            <w:r>
              <w:rPr>
                <w:rtl/>
              </w:rPr>
              <w:t xml:space="preserve"> + </w:t>
            </w:r>
            <w:r w:rsidRPr="00132E65">
              <w:rPr>
                <w:rtl/>
              </w:rPr>
              <w:t>« جعلت فداك »</w:t>
            </w:r>
            <w:r>
              <w:rPr>
                <w:rtl/>
              </w:rPr>
              <w:t>.</w:t>
            </w:r>
          </w:p>
        </w:tc>
      </w:tr>
    </w:tbl>
    <w:p w:rsidR="000C39D1" w:rsidRPr="00132E65" w:rsidRDefault="000C39D1" w:rsidP="000C39D1">
      <w:pPr>
        <w:pStyle w:val="libFootnote0"/>
        <w:rPr>
          <w:rtl/>
          <w:lang w:bidi="fa-IR"/>
        </w:rPr>
      </w:pPr>
      <w:r>
        <w:rPr>
          <w:rtl/>
        </w:rPr>
        <w:t>(9).</w:t>
      </w:r>
      <w:r w:rsidRPr="00132E65">
        <w:rPr>
          <w:rtl/>
        </w:rPr>
        <w:t xml:space="preserve"> في « ض ، ف » : « أن يكفّه »</w:t>
      </w:r>
      <w:r>
        <w:rPr>
          <w:rtl/>
        </w:rPr>
        <w:t>.</w:t>
      </w:r>
      <w:r w:rsidRPr="00132E65">
        <w:rPr>
          <w:rtl/>
        </w:rPr>
        <w:t xml:space="preserve"> وفي « ه‍ » : « يكفيه »</w:t>
      </w:r>
      <w:r>
        <w:rPr>
          <w:rtl/>
        </w:rPr>
        <w:t>.</w:t>
      </w:r>
    </w:p>
    <w:p w:rsidR="000C39D1" w:rsidRPr="00132E65" w:rsidRDefault="000C39D1" w:rsidP="000C39D1">
      <w:pPr>
        <w:pStyle w:val="libFootnote0"/>
        <w:rPr>
          <w:rtl/>
          <w:lang w:bidi="fa-IR"/>
        </w:rPr>
      </w:pPr>
      <w:r>
        <w:rPr>
          <w:rtl/>
        </w:rPr>
        <w:t>(10).</w:t>
      </w:r>
      <w:r w:rsidRPr="00132E65">
        <w:rPr>
          <w:rtl/>
        </w:rPr>
        <w:t xml:space="preserve"> في « ج » : « اجتمعت »</w:t>
      </w:r>
      <w:r>
        <w:rPr>
          <w:rtl/>
        </w:rPr>
        <w:t>.</w:t>
      </w:r>
    </w:p>
    <w:p w:rsidR="000C39D1" w:rsidRPr="00132E65" w:rsidRDefault="000C39D1" w:rsidP="000C39D1">
      <w:pPr>
        <w:pStyle w:val="libFootnote0"/>
        <w:rPr>
          <w:rtl/>
          <w:lang w:bidi="fa-IR"/>
        </w:rPr>
      </w:pPr>
      <w:r>
        <w:rPr>
          <w:rtl/>
        </w:rPr>
        <w:t>(11).</w:t>
      </w:r>
      <w:r w:rsidRPr="00132E65">
        <w:rPr>
          <w:rtl/>
        </w:rPr>
        <w:t xml:space="preserve"> هكذا في النسخ و</w:t>
      </w:r>
      <w:r w:rsidRPr="009D1ACE">
        <w:rPr>
          <w:rStyle w:val="libFootnoteBoldChar"/>
          <w:rtl/>
        </w:rPr>
        <w:t>الوافي</w:t>
      </w:r>
      <w:r w:rsidRPr="00132E65">
        <w:rPr>
          <w:rtl/>
        </w:rPr>
        <w:t xml:space="preserve"> والبحار. وفي المطبوع : « أفَلْيَرَ »</w:t>
      </w:r>
      <w:r>
        <w:rPr>
          <w:rtl/>
        </w:rPr>
        <w:t>.</w:t>
      </w:r>
    </w:p>
    <w:p w:rsidR="000C39D1" w:rsidRPr="00132E65" w:rsidRDefault="000C39D1" w:rsidP="000C39D1">
      <w:pPr>
        <w:pStyle w:val="libFootnote0"/>
        <w:rPr>
          <w:rtl/>
          <w:lang w:bidi="fa-IR"/>
        </w:rPr>
      </w:pPr>
      <w:r>
        <w:rPr>
          <w:rtl/>
        </w:rPr>
        <w:t>(12).</w:t>
      </w:r>
      <w:r w:rsidRPr="00132E65">
        <w:rPr>
          <w:rtl/>
        </w:rPr>
        <w:t xml:space="preserve"> هكذا في النسخ التي قوبلت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وفي المطبوع : « برأيه »</w:t>
      </w:r>
      <w:r>
        <w:rPr>
          <w:rtl/>
        </w:rPr>
        <w:t>.</w:t>
      </w:r>
    </w:p>
    <w:tbl>
      <w:tblPr>
        <w:tblStyle w:val="TableGrid"/>
        <w:bidiVisual/>
        <w:tblW w:w="0" w:type="auto"/>
        <w:tblLook w:val="04A0" w:firstRow="1" w:lastRow="0" w:firstColumn="1" w:lastColumn="0" w:noHBand="0" w:noVBand="1"/>
      </w:tblPr>
      <w:tblGrid>
        <w:gridCol w:w="3044"/>
        <w:gridCol w:w="4968"/>
      </w:tblGrid>
      <w:tr w:rsidR="000C39D1" w:rsidTr="00B53873">
        <w:tc>
          <w:tcPr>
            <w:tcW w:w="3044" w:type="dxa"/>
          </w:tcPr>
          <w:p w:rsidR="000C39D1" w:rsidRDefault="000C39D1" w:rsidP="00B53873">
            <w:pPr>
              <w:pStyle w:val="libFootnote0"/>
              <w:rPr>
                <w:rtl/>
              </w:rPr>
            </w:pPr>
            <w:r>
              <w:rPr>
                <w:rtl/>
              </w:rPr>
              <w:t>(13)</w:t>
            </w:r>
            <w:r w:rsidRPr="00132E65">
              <w:rPr>
                <w:rtl/>
              </w:rPr>
              <w:t xml:space="preserve"> في « ب » : « أن »</w:t>
            </w:r>
            <w:r>
              <w:rPr>
                <w:rtl/>
              </w:rPr>
              <w:t>.</w:t>
            </w:r>
          </w:p>
        </w:tc>
        <w:tc>
          <w:tcPr>
            <w:tcW w:w="4968" w:type="dxa"/>
          </w:tcPr>
          <w:p w:rsidR="000C39D1" w:rsidRDefault="000C39D1" w:rsidP="00B53873">
            <w:pPr>
              <w:pStyle w:val="libFootnote0"/>
              <w:rPr>
                <w:rtl/>
              </w:rPr>
            </w:pPr>
            <w:r>
              <w:rPr>
                <w:rtl/>
              </w:rPr>
              <w:t>(14) هكذافي النسخ التي قوبلت</w:t>
            </w:r>
            <w:r>
              <w:rPr>
                <w:rFonts w:hint="cs"/>
                <w:rtl/>
              </w:rPr>
              <w:t xml:space="preserve"> </w:t>
            </w:r>
            <w:r w:rsidRPr="00132E65">
              <w:rPr>
                <w:rtl/>
              </w:rPr>
              <w:t>و</w:t>
            </w:r>
            <w:r w:rsidRPr="009D1ACE">
              <w:rPr>
                <w:rStyle w:val="libFootnoteBoldChar"/>
                <w:rtl/>
              </w:rPr>
              <w:t>الوافي</w:t>
            </w:r>
            <w:r>
              <w:rPr>
                <w:rtl/>
              </w:rPr>
              <w:t xml:space="preserve"> والبحار.وفي المطبوع:«فدام</w:t>
            </w:r>
            <w:r w:rsidRPr="00132E65">
              <w:rPr>
                <w:rtl/>
              </w:rPr>
              <w:t>»</w:t>
            </w:r>
            <w:r>
              <w:rPr>
                <w:rtl/>
              </w:rPr>
              <w:t>.</w:t>
            </w:r>
          </w:p>
        </w:tc>
      </w:tr>
    </w:tbl>
    <w:p w:rsidR="000C39D1" w:rsidRPr="00132E65" w:rsidRDefault="000C39D1" w:rsidP="000C39D1">
      <w:pPr>
        <w:pStyle w:val="libFootnote0"/>
        <w:rPr>
          <w:rtl/>
          <w:lang w:bidi="fa-IR"/>
        </w:rPr>
      </w:pPr>
      <w:r>
        <w:rPr>
          <w:rtl/>
        </w:rPr>
        <w:t>(15)</w:t>
      </w:r>
      <w:r w:rsidRPr="00132E65">
        <w:rPr>
          <w:rtl/>
        </w:rPr>
        <w:t xml:space="preserve"> في « ب ، ه‍ ، بر » وحاشية « بح » والبحار : « ثمّ بكى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مَا يُبْكِيكَ</w:t>
      </w:r>
      <w:r>
        <w:rPr>
          <w:rtl/>
          <w:lang w:bidi="fa-IR"/>
        </w:rPr>
        <w:t>؟</w:t>
      </w:r>
      <w:r w:rsidRPr="00132E65">
        <w:rPr>
          <w:rtl/>
          <w:lang w:bidi="fa-IR"/>
        </w:rPr>
        <w:t xml:space="preserve"> فَقَالَ لِي : « يُبْكِينِي أَنَّكَ تُقْتَلُ عِنْدَ كِبَرِ سِنِّكَ ضَيَاعاً ، لَايَنْتَطِحُ فِي دَمِكَ عَنْزَانِ </w:t>
      </w:r>
      <w:r>
        <w:rPr>
          <w:rStyle w:val="libFootnotenumChar"/>
          <w:rtl/>
        </w:rPr>
        <w:t>(1)</w:t>
      </w:r>
      <w:r w:rsidRPr="00132E65">
        <w:rPr>
          <w:rtl/>
          <w:lang w:bidi="fa-IR"/>
        </w:rPr>
        <w:t xml:space="preserve"> »</w:t>
      </w:r>
      <w:r>
        <w:rPr>
          <w:rtl/>
          <w:lang w:bidi="fa-IR"/>
        </w:rPr>
        <w:t>.</w:t>
      </w:r>
      <w:r w:rsidRPr="00132E65">
        <w:rPr>
          <w:rtl/>
          <w:lang w:bidi="fa-IR"/>
        </w:rPr>
        <w:t xml:space="preserve"> قَالَ : فَقُلْتُ : مَتى </w:t>
      </w:r>
      <w:r>
        <w:rPr>
          <w:rStyle w:val="libFootnotenumChar"/>
          <w:rtl/>
        </w:rPr>
        <w:t>(2)</w:t>
      </w:r>
      <w:r w:rsidRPr="00132E65">
        <w:rPr>
          <w:rtl/>
          <w:lang w:bidi="fa-IR"/>
        </w:rPr>
        <w:t xml:space="preserve"> ذَاكَ</w:t>
      </w:r>
      <w:r>
        <w:rPr>
          <w:rtl/>
          <w:lang w:bidi="fa-IR"/>
        </w:rPr>
        <w:t>؟</w:t>
      </w:r>
      <w:r w:rsidRPr="00132E65">
        <w:rPr>
          <w:rtl/>
          <w:lang w:bidi="fa-IR"/>
        </w:rPr>
        <w:t xml:space="preserve"> قَالَ : « إِذَا دُعِيتَ إِلَى الْبَاطِلِ فَأَبَيْتَهُ ؛ وإِذَا نَظَرْتَ إِلَى الْأَحْوَلِ </w:t>
      </w:r>
      <w:r>
        <w:rPr>
          <w:rStyle w:val="libFootnotenumChar"/>
          <w:rtl/>
        </w:rPr>
        <w:t>(3)</w:t>
      </w:r>
      <w:r w:rsidRPr="00132E65">
        <w:rPr>
          <w:rtl/>
          <w:lang w:bidi="fa-IR"/>
        </w:rPr>
        <w:t xml:space="preserve"> مَشُومِ </w:t>
      </w:r>
      <w:r>
        <w:rPr>
          <w:rStyle w:val="libFootnotenumChar"/>
          <w:rtl/>
        </w:rPr>
        <w:t>(4)</w:t>
      </w:r>
      <w:r w:rsidRPr="00132E65">
        <w:rPr>
          <w:rtl/>
          <w:lang w:bidi="fa-IR"/>
        </w:rPr>
        <w:t xml:space="preserve"> قَوْمِهِ يَنْتَمِي </w:t>
      </w:r>
      <w:r>
        <w:rPr>
          <w:rStyle w:val="libFootnotenumChar"/>
          <w:rtl/>
        </w:rPr>
        <w:t>(5)</w:t>
      </w:r>
      <w:r w:rsidRPr="00132E65">
        <w:rPr>
          <w:rtl/>
          <w:lang w:bidi="fa-IR"/>
        </w:rPr>
        <w:t xml:space="preserve"> مِنْ آلِ الْحَسَنِ عَلى مِنْبَرِ رَسُولِ اللهِ </w:t>
      </w:r>
      <w:r w:rsidRPr="0093484F">
        <w:rPr>
          <w:rStyle w:val="libAlaemChar"/>
          <w:rFonts w:eastAsiaTheme="minorHAnsi"/>
          <w:rtl/>
        </w:rPr>
        <w:t>صلى‌الله‌عليه‌وآله</w:t>
      </w:r>
      <w:r w:rsidRPr="00132E65">
        <w:rPr>
          <w:rtl/>
          <w:lang w:bidi="fa-IR"/>
        </w:rPr>
        <w:t xml:space="preserve"> يَدْعُو إِلى نَفْسِهِ قَدْ تَسَمّى </w:t>
      </w:r>
      <w:r>
        <w:rPr>
          <w:rStyle w:val="libFootnotenumChar"/>
          <w:rtl/>
        </w:rPr>
        <w:t>(6)</w:t>
      </w:r>
      <w:r w:rsidRPr="00132E65">
        <w:rPr>
          <w:rtl/>
          <w:lang w:bidi="fa-IR"/>
        </w:rPr>
        <w:t xml:space="preserve"> بِغَيْرِ اسْمِهِ ، فَأَحْدِثْ عَهْدَكَ ، واكْتُبْ وصِيَّتَكَ ؛ فَإِنَّكَ مَقْتُولٌ فِي </w:t>
      </w:r>
      <w:r>
        <w:rPr>
          <w:rStyle w:val="libFootnotenumChar"/>
          <w:rtl/>
        </w:rPr>
        <w:t>(7)</w:t>
      </w:r>
      <w:r w:rsidRPr="00132E65">
        <w:rPr>
          <w:rtl/>
          <w:lang w:bidi="fa-IR"/>
        </w:rPr>
        <w:t xml:space="preserve"> يَوْمِكَ </w:t>
      </w:r>
      <w:r>
        <w:rPr>
          <w:rStyle w:val="libFootnotenumChar"/>
          <w:rtl/>
        </w:rPr>
        <w:t>(8)</w:t>
      </w:r>
      <w:r w:rsidRPr="00132E65">
        <w:rPr>
          <w:rtl/>
          <w:lang w:bidi="fa-IR"/>
        </w:rPr>
        <w:t xml:space="preserve"> أَوْ مِنْ غَدٍ </w:t>
      </w:r>
      <w:r>
        <w:rPr>
          <w:rStyle w:val="libFootnotenumChar"/>
          <w:rtl/>
        </w:rPr>
        <w:t>(9)</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لَهُ أَبُو عَبْدِ اللهِ </w:t>
      </w:r>
      <w:r w:rsidRPr="00071CF9">
        <w:rPr>
          <w:rStyle w:val="libAlaemChar"/>
          <w:rtl/>
        </w:rPr>
        <w:t>عليه‌السلام</w:t>
      </w:r>
      <w:r w:rsidRPr="00132E65">
        <w:rPr>
          <w:rtl/>
          <w:lang w:bidi="fa-IR"/>
        </w:rPr>
        <w:t xml:space="preserve"> : « نَعَمْ ، و</w:t>
      </w:r>
      <w:r>
        <w:rPr>
          <w:rFonts w:hint="cs"/>
          <w:rtl/>
          <w:lang w:bidi="fa-IR"/>
        </w:rPr>
        <w:t xml:space="preserve"> </w:t>
      </w:r>
      <w:r>
        <w:rPr>
          <w:rStyle w:val="libFootnotenumChar"/>
          <w:rtl/>
        </w:rPr>
        <w:t>(10)</w:t>
      </w:r>
      <w:r w:rsidRPr="00132E65">
        <w:rPr>
          <w:rtl/>
          <w:lang w:bidi="fa-IR"/>
        </w:rPr>
        <w:t xml:space="preserve"> هذَا</w:t>
      </w:r>
      <w:r>
        <w:rPr>
          <w:rtl/>
          <w:lang w:bidi="fa-IR"/>
        </w:rPr>
        <w:t xml:space="preserve"> - </w:t>
      </w:r>
      <w:r w:rsidRPr="00132E65">
        <w:rPr>
          <w:rtl/>
          <w:lang w:bidi="fa-IR"/>
        </w:rPr>
        <w:t>ورَبِّ الْكَعْبَةِ</w:t>
      </w:r>
      <w:r>
        <w:rPr>
          <w:rtl/>
          <w:lang w:bidi="fa-IR"/>
        </w:rPr>
        <w:t xml:space="preserve"> - </w:t>
      </w:r>
      <w:r w:rsidRPr="00132E65">
        <w:rPr>
          <w:rtl/>
          <w:lang w:bidi="fa-IR"/>
        </w:rPr>
        <w:t>لَايَصُ</w:t>
      </w:r>
      <w:r>
        <w:rPr>
          <w:rtl/>
          <w:lang w:bidi="fa-IR"/>
        </w:rPr>
        <w:t>ومُ مِنْ شَهْرِ رَمَضَانَ إِل</w:t>
      </w:r>
      <w:r>
        <w:rPr>
          <w:rFonts w:hint="cs"/>
          <w:rtl/>
          <w:lang w:bidi="fa-IR"/>
        </w:rPr>
        <w:t>َّ</w:t>
      </w:r>
      <w:r>
        <w:rPr>
          <w:rtl/>
          <w:lang w:bidi="fa-IR"/>
        </w:rPr>
        <w:t>ا</w:t>
      </w:r>
      <w:r w:rsidRPr="00132E65">
        <w:rPr>
          <w:rtl/>
          <w:lang w:bidi="fa-IR"/>
        </w:rPr>
        <w:t xml:space="preserve"> أَقَلَّهُ ، فَأَسْتَوْدِعُكَ اللهَ يَا أَبَا الْحَسَنِ ، وأَعْظَمَ اللهُ أَجْرَنَا فِيكَ ، وأَحْسَنَ الْخِلَافَةَ عَلى مَنْ خَلَّفْتَ </w:t>
      </w:r>
      <w:r>
        <w:rPr>
          <w:rStyle w:val="libFootnotenumChar"/>
          <w:rtl/>
        </w:rPr>
        <w:t>(11)</w:t>
      </w:r>
      <w:r w:rsidRPr="00132E65">
        <w:rPr>
          <w:rtl/>
          <w:lang w:bidi="fa-IR"/>
        </w:rPr>
        <w:t xml:space="preserve"> ، و</w:t>
      </w:r>
      <w:r>
        <w:rPr>
          <w:rFonts w:hint="cs"/>
          <w:rtl/>
          <w:lang w:bidi="fa-IR"/>
        </w:rPr>
        <w:t xml:space="preserve">َ </w:t>
      </w:r>
      <w:r w:rsidRPr="00071CF9">
        <w:rPr>
          <w:rStyle w:val="libAlaemChar"/>
          <w:rtl/>
        </w:rPr>
        <w:t>(</w:t>
      </w:r>
      <w:r w:rsidRPr="00071CF9">
        <w:rPr>
          <w:rStyle w:val="libAieChar"/>
          <w:rtl/>
        </w:rPr>
        <w:t xml:space="preserve"> إِنّا لِلّهِ وَإِنّا إِلَيْهِ راجِعُونَ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ثُمَّ احْتُمِلَ إِسْمَاعِيلُ ، ورُدَّ جَعْفَرٌ إِلَى الْحَبْسِ. قَالَ </w:t>
      </w:r>
      <w:r w:rsidRPr="00F543F1">
        <w:rPr>
          <w:rStyle w:val="libFootnotenumChar"/>
          <w:rtl/>
        </w:rPr>
        <w:t>(13)</w:t>
      </w:r>
      <w:r w:rsidRPr="00132E65">
        <w:rPr>
          <w:rtl/>
          <w:lang w:bidi="fa-IR"/>
        </w:rPr>
        <w:t xml:space="preserve"> : فَوَ اللهِ ، مَا أَمْسَيْنَا‌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لا ينتطح في دمك عنزان » ، أي لا يصيب أحدهما الآخر بقرنه ؛ من نَطَحَهُ ، أي أصابه بقرنه. وانتطح ، أي‌تناطح. والعَنْزُ : الانثى من ال</w:t>
      </w:r>
      <w:r>
        <w:rPr>
          <w:rFonts w:hint="cs"/>
          <w:rtl/>
        </w:rPr>
        <w:t>ـ</w:t>
      </w:r>
      <w:r w:rsidRPr="00132E65">
        <w:rPr>
          <w:rtl/>
        </w:rPr>
        <w:t xml:space="preserve">مَعْز. والمعنى : لا يلتقي فيه ضعيفان ؛ لأنّ النطاح ليس من شأن العُنوز. وهذا مثل يضرب في أمر هيّن لا يكون له تغيير ولا نكير ، أو هو إشارة إلى قضيّة مخصوصة لا يجري فيها خُلْف ولا نزاع. راجع : </w:t>
      </w:r>
      <w:r w:rsidRPr="00E07A6C">
        <w:rPr>
          <w:rtl/>
        </w:rPr>
        <w:t>النهاية</w:t>
      </w:r>
      <w:r w:rsidRPr="00132E65">
        <w:rPr>
          <w:rtl/>
        </w:rPr>
        <w:t xml:space="preserve"> ، ج 5 ، ص 74 ؛ </w:t>
      </w:r>
      <w:r w:rsidRPr="00E07A6C">
        <w:rPr>
          <w:rtl/>
        </w:rPr>
        <w:t>المغرب</w:t>
      </w:r>
      <w:r w:rsidRPr="00132E65">
        <w:rPr>
          <w:rtl/>
        </w:rPr>
        <w:t xml:space="preserve"> ، ص 455 ؛ </w:t>
      </w:r>
      <w:r w:rsidRPr="00E07A6C">
        <w:rPr>
          <w:rtl/>
        </w:rPr>
        <w:t>القاموس المحيط</w:t>
      </w:r>
      <w:r w:rsidRPr="00132E65">
        <w:rPr>
          <w:rtl/>
        </w:rPr>
        <w:t xml:space="preserve"> ، ج 1 ، ص 367 ( نطح ) ، وص 714 ( عنز )</w:t>
      </w:r>
      <w:r>
        <w:rPr>
          <w:rtl/>
        </w:rPr>
        <w:t>.</w:t>
      </w:r>
    </w:p>
    <w:p w:rsidR="000C39D1" w:rsidRPr="00132E65" w:rsidRDefault="000C39D1" w:rsidP="000C39D1">
      <w:pPr>
        <w:pStyle w:val="libFootnote0"/>
        <w:rPr>
          <w:rtl/>
          <w:lang w:bidi="fa-IR"/>
        </w:rPr>
      </w:pPr>
      <w:r>
        <w:rPr>
          <w:rtl/>
        </w:rPr>
        <w:t>(2).</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 « قلت : فمتى »</w:t>
      </w:r>
      <w:r>
        <w:rPr>
          <w:rtl/>
        </w:rPr>
        <w:t>.</w:t>
      </w:r>
    </w:p>
    <w:p w:rsidR="000C39D1" w:rsidRPr="00132E65" w:rsidRDefault="000C39D1" w:rsidP="000C39D1">
      <w:pPr>
        <w:pStyle w:val="libFootnote0"/>
        <w:rPr>
          <w:rtl/>
          <w:lang w:bidi="fa-IR"/>
        </w:rPr>
      </w:pPr>
      <w:r>
        <w:rPr>
          <w:rtl/>
        </w:rPr>
        <w:t>(3).</w:t>
      </w:r>
      <w:r w:rsidRPr="00132E65">
        <w:rPr>
          <w:rtl/>
        </w:rPr>
        <w:t xml:space="preserve"> في البحار : « أحول »</w:t>
      </w:r>
      <w:r>
        <w:rPr>
          <w:rtl/>
        </w:rPr>
        <w:t>.</w:t>
      </w:r>
    </w:p>
    <w:p w:rsidR="000C39D1" w:rsidRPr="00132E65" w:rsidRDefault="000C39D1" w:rsidP="000C39D1">
      <w:pPr>
        <w:pStyle w:val="libFootnote0"/>
        <w:rPr>
          <w:rtl/>
          <w:lang w:bidi="fa-IR"/>
        </w:rPr>
      </w:pPr>
      <w:r>
        <w:rPr>
          <w:rtl/>
        </w:rPr>
        <w:t>(4).</w:t>
      </w:r>
      <w:r w:rsidRPr="00132E65">
        <w:rPr>
          <w:rtl/>
        </w:rPr>
        <w:t xml:space="preserve"> اتّفقت النسخ على تخفيف الهمزة. وقال في </w:t>
      </w:r>
      <w:r w:rsidRPr="009D1ACE">
        <w:rPr>
          <w:rStyle w:val="libFootnoteBoldChar"/>
          <w:rtl/>
        </w:rPr>
        <w:t>مرآة العقول</w:t>
      </w:r>
      <w:r w:rsidRPr="00132E65">
        <w:rPr>
          <w:rtl/>
        </w:rPr>
        <w:t xml:space="preserve"> : « والمشوم ، مخفّف مشؤوم ، بالهمزة : ضدّ المبارك »</w:t>
      </w:r>
      <w:r>
        <w:rPr>
          <w:rtl/>
        </w:rPr>
        <w:t>.</w:t>
      </w:r>
    </w:p>
    <w:p w:rsidR="000C39D1" w:rsidRPr="00132E65" w:rsidRDefault="000C39D1" w:rsidP="000C39D1">
      <w:pPr>
        <w:pStyle w:val="libFootnote0"/>
        <w:rPr>
          <w:rtl/>
          <w:lang w:bidi="fa-IR"/>
        </w:rPr>
      </w:pPr>
      <w:r>
        <w:rPr>
          <w:rtl/>
        </w:rPr>
        <w:t>(5).</w:t>
      </w:r>
      <w:r w:rsidRPr="00132E65">
        <w:rPr>
          <w:rtl/>
        </w:rPr>
        <w:t xml:space="preserve"> في « ج ، بر ، بح ، بف » وحاشية « ه‍ » و</w:t>
      </w:r>
      <w:r w:rsidRPr="009D1ACE">
        <w:rPr>
          <w:rStyle w:val="libFootnoteBoldChar"/>
          <w:rtl/>
        </w:rPr>
        <w:t>الوافي</w:t>
      </w:r>
      <w:r w:rsidRPr="00132E65">
        <w:rPr>
          <w:rtl/>
        </w:rPr>
        <w:t xml:space="preserve"> : « يتمنّى »</w:t>
      </w:r>
      <w:r>
        <w:rPr>
          <w:rtl/>
        </w:rPr>
        <w:t>.</w:t>
      </w:r>
      <w:r w:rsidRPr="00132E65">
        <w:rPr>
          <w:rtl/>
        </w:rPr>
        <w:t xml:space="preserve"> وفي « بس » وحاشية « ج » : « يتنمّى »</w:t>
      </w:r>
      <w:r>
        <w:rPr>
          <w:rtl/>
        </w:rPr>
        <w:t>.</w:t>
      </w:r>
      <w:r w:rsidRPr="00132E65">
        <w:rPr>
          <w:rtl/>
        </w:rPr>
        <w:t xml:space="preserve"> وقوله : « ينتمي » ، أي يرتفع. راجع : </w:t>
      </w:r>
      <w:r w:rsidRPr="00E07A6C">
        <w:rPr>
          <w:rtl/>
        </w:rPr>
        <w:t>القاموس المحيط</w:t>
      </w:r>
      <w:r w:rsidRPr="00132E65">
        <w:rPr>
          <w:rtl/>
        </w:rPr>
        <w:t xml:space="preserve"> ، ج 2 ، ص 1756 ( نمى )</w:t>
      </w:r>
      <w:r>
        <w:rPr>
          <w:rtl/>
        </w:rPr>
        <w:t>.</w:t>
      </w:r>
    </w:p>
    <w:p w:rsidR="000C39D1" w:rsidRPr="00132E65" w:rsidRDefault="000C39D1" w:rsidP="000C39D1">
      <w:pPr>
        <w:pStyle w:val="libFootnote0"/>
        <w:rPr>
          <w:rtl/>
          <w:lang w:bidi="fa-IR"/>
        </w:rPr>
      </w:pPr>
      <w:r>
        <w:rPr>
          <w:rtl/>
        </w:rPr>
        <w:t>(6).</w:t>
      </w:r>
      <w:r w:rsidRPr="00132E65">
        <w:rPr>
          <w:rtl/>
        </w:rPr>
        <w:t xml:space="preserve"> في « بح ، بف » : « يسمّى »</w:t>
      </w:r>
      <w:r>
        <w:rPr>
          <w:rtl/>
        </w:rPr>
        <w:t>.</w:t>
      </w:r>
      <w:r w:rsidRPr="00132E65">
        <w:rPr>
          <w:rtl/>
        </w:rPr>
        <w:t xml:space="preserve"> وفي « بس » : « يتسمّى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(7).</w:t>
            </w:r>
            <w:r w:rsidRPr="00132E65">
              <w:rPr>
                <w:rtl/>
              </w:rPr>
              <w:t xml:space="preserve"> في « ب » وحاشية « بح » والبحار : « من »</w:t>
            </w:r>
            <w:r>
              <w:rPr>
                <w:rtl/>
              </w:rPr>
              <w:t>.</w:t>
            </w:r>
          </w:p>
        </w:tc>
        <w:tc>
          <w:tcPr>
            <w:tcW w:w="4006" w:type="dxa"/>
          </w:tcPr>
          <w:p w:rsidR="000C39D1" w:rsidRDefault="000C39D1" w:rsidP="00B53873">
            <w:pPr>
              <w:pStyle w:val="libFootnote0"/>
              <w:rPr>
                <w:rtl/>
              </w:rPr>
            </w:pPr>
            <w:r>
              <w:rPr>
                <w:rtl/>
              </w:rPr>
              <w:t>(8).</w:t>
            </w:r>
            <w:r w:rsidRPr="00132E65">
              <w:rPr>
                <w:rtl/>
              </w:rPr>
              <w:t xml:space="preserve"> في « ف » :</w:t>
            </w:r>
            <w:r>
              <w:rPr>
                <w:rtl/>
              </w:rPr>
              <w:t xml:space="preserve"> + </w:t>
            </w:r>
            <w:r w:rsidRPr="00132E65">
              <w:rPr>
                <w:rtl/>
              </w:rPr>
              <w:t>« هذا »</w:t>
            </w:r>
            <w:r>
              <w:rPr>
                <w:rtl/>
              </w:rPr>
              <w:t>.</w:t>
            </w:r>
          </w:p>
        </w:tc>
      </w:tr>
    </w:tbl>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أو من غد ، إمّا تبهيم من الإمام </w:t>
      </w:r>
      <w:r w:rsidRPr="00256E40">
        <w:rPr>
          <w:rStyle w:val="libFootnoteAlaemChar"/>
          <w:rtl/>
        </w:rPr>
        <w:t>عليه‌السلام</w:t>
      </w:r>
      <w:r w:rsidRPr="00132E65">
        <w:rPr>
          <w:rtl/>
        </w:rPr>
        <w:t xml:space="preserve"> للمصلحة ؛ لئلاّ ينسب إليهم علم الغيب ، أو ترديد من بعض الرواة »</w:t>
      </w:r>
      <w:r>
        <w:rPr>
          <w:rtl/>
        </w:rPr>
        <w:t>.</w:t>
      </w:r>
      <w:r>
        <w:rPr>
          <w:rFonts w:hint="cs"/>
          <w:rtl/>
        </w:rPr>
        <w:t xml:space="preserve">                                  </w:t>
      </w:r>
      <w:r w:rsidR="00D14011">
        <w:rPr>
          <w:rFonts w:hint="cs"/>
          <w:rtl/>
        </w:rPr>
        <w:t xml:space="preserve"> </w:t>
      </w:r>
      <w:r>
        <w:rPr>
          <w:rFonts w:hint="cs"/>
          <w:rtl/>
        </w:rPr>
        <w:t xml:space="preserve">         </w:t>
      </w:r>
      <w:r>
        <w:rPr>
          <w:rtl/>
        </w:rPr>
        <w:t>(10).</w:t>
      </w:r>
      <w:r w:rsidRPr="00132E65">
        <w:rPr>
          <w:rtl/>
        </w:rPr>
        <w:t xml:space="preserve"> في « ب » </w:t>
      </w:r>
      <w:r>
        <w:rPr>
          <w:rtl/>
        </w:rPr>
        <w:t xml:space="preserve">: - </w:t>
      </w:r>
      <w:r w:rsidRPr="00132E65">
        <w:rPr>
          <w:rtl/>
        </w:rPr>
        <w:t xml:space="preserve">« </w:t>
      </w:r>
      <w:r>
        <w:rPr>
          <w:rtl/>
        </w:rPr>
        <w:t>و ».</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 بح ، بر » : « خلفك »</w:t>
            </w:r>
            <w:r>
              <w:rPr>
                <w:rtl/>
              </w:rPr>
              <w:t>.</w:t>
            </w:r>
          </w:p>
        </w:tc>
        <w:tc>
          <w:tcPr>
            <w:tcW w:w="4006" w:type="dxa"/>
          </w:tcPr>
          <w:p w:rsidR="000C39D1" w:rsidRDefault="000C39D1" w:rsidP="00B53873">
            <w:pPr>
              <w:pStyle w:val="libFootnote0"/>
              <w:rPr>
                <w:rtl/>
              </w:rPr>
            </w:pPr>
            <w:r>
              <w:rPr>
                <w:rtl/>
              </w:rPr>
              <w:t>(12).</w:t>
            </w:r>
            <w:r w:rsidRPr="00132E65">
              <w:rPr>
                <w:rtl/>
              </w:rPr>
              <w:t xml:space="preserve"> البقرة </w:t>
            </w:r>
            <w:r>
              <w:rPr>
                <w:rtl/>
              </w:rPr>
              <w:t>(2).</w:t>
            </w:r>
            <w:r w:rsidRPr="00132E65">
              <w:rPr>
                <w:rtl/>
              </w:rPr>
              <w:t xml:space="preserve"> : 156.</w:t>
            </w:r>
          </w:p>
        </w:tc>
      </w:tr>
    </w:tbl>
    <w:p w:rsidR="000C39D1" w:rsidRPr="00132E65" w:rsidRDefault="000C39D1" w:rsidP="000C39D1">
      <w:pPr>
        <w:pStyle w:val="libFootnote0"/>
        <w:rPr>
          <w:rtl/>
          <w:lang w:bidi="fa-IR"/>
        </w:rPr>
      </w:pPr>
      <w:r>
        <w:rPr>
          <w:rtl/>
        </w:rPr>
        <w:t>(13)</w:t>
      </w:r>
      <w:r w:rsidRPr="00132E65">
        <w:rPr>
          <w:rtl/>
        </w:rPr>
        <w:t xml:space="preserve"> في « بف » : « فقال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حَتّى دَخَلَ </w:t>
      </w:r>
      <w:r>
        <w:rPr>
          <w:rStyle w:val="libFootnotenumChar"/>
          <w:rtl/>
        </w:rPr>
        <w:t>(1)</w:t>
      </w:r>
      <w:r w:rsidRPr="00132E65">
        <w:rPr>
          <w:rtl/>
          <w:lang w:bidi="fa-IR"/>
        </w:rPr>
        <w:t xml:space="preserve"> عَلَيْهِ بَنُو أَخِيهِ : بَنُو مُعَاوِيَةَ بْنِ عَبْدِ اللهِ بْنِ جَعْفَرٍ ، فَتَوَطَّؤُوهُ </w:t>
      </w:r>
      <w:r>
        <w:rPr>
          <w:rStyle w:val="libFootnotenumChar"/>
          <w:rtl/>
        </w:rPr>
        <w:t>(2)</w:t>
      </w:r>
      <w:r w:rsidRPr="00132E65">
        <w:rPr>
          <w:rtl/>
          <w:lang w:bidi="fa-IR"/>
        </w:rPr>
        <w:t xml:space="preserve"> حَتّى قَتَلُوهُ ، وَبَعَثَ مُحَمَّدُ بْنُ عَبْدِ اللهِ إِلى جَعْفَرٍ ، فَخَلّى سَبِيلَهُ.</w:t>
      </w:r>
    </w:p>
    <w:p w:rsidR="000C39D1" w:rsidRPr="00132E65" w:rsidRDefault="000C39D1" w:rsidP="000C39D1">
      <w:pPr>
        <w:pStyle w:val="libNormal"/>
        <w:rPr>
          <w:rtl/>
          <w:lang w:bidi="fa-IR"/>
        </w:rPr>
      </w:pPr>
      <w:r w:rsidRPr="00132E65">
        <w:rPr>
          <w:rtl/>
          <w:lang w:bidi="fa-IR"/>
        </w:rPr>
        <w:t>قَالَ : وأَقَمْنَا بَعْدَ ذلِكَ حَتَّى اسْتَهْلَلْنَا شَهْرَ رَمَضَانَ ، فَبَلَغَنَا خُرُوجُ عِيسَى بْنِ مُوسى يُرِيدُ الْمَدِينَةَ.</w:t>
      </w:r>
    </w:p>
    <w:p w:rsidR="000C39D1" w:rsidRPr="00132E65" w:rsidRDefault="000C39D1" w:rsidP="000C39D1">
      <w:pPr>
        <w:pStyle w:val="libNormal"/>
        <w:rPr>
          <w:rtl/>
          <w:lang w:bidi="fa-IR"/>
        </w:rPr>
      </w:pPr>
      <w:r w:rsidRPr="00132E65">
        <w:rPr>
          <w:rtl/>
          <w:lang w:bidi="fa-IR"/>
        </w:rPr>
        <w:t xml:space="preserve">قَالَ : فَتَقَدَّمَ </w:t>
      </w:r>
      <w:r>
        <w:rPr>
          <w:rStyle w:val="libFootnotenumChar"/>
          <w:rtl/>
        </w:rPr>
        <w:t>(3)</w:t>
      </w:r>
      <w:r w:rsidRPr="00132E65">
        <w:rPr>
          <w:rtl/>
          <w:lang w:bidi="fa-IR"/>
        </w:rPr>
        <w:t xml:space="preserve"> مُحَمَّدُ بْنُ عَبْدِ اللهِ عَلى مُقَدِّمَتِهِ يَزِيدُ بْنُ مُعَاوِيَةَ بْنِ عَبْدِ اللهِ بْنِ جَعْفَرٍ ، وكَانَ عَلى مُقَدِّمَةِ عِيسَى بْنِ مُوسى : و</w:t>
      </w:r>
      <w:r>
        <w:rPr>
          <w:rFonts w:hint="cs"/>
          <w:rtl/>
          <w:lang w:bidi="fa-IR"/>
        </w:rPr>
        <w:t>ُ</w:t>
      </w:r>
      <w:r w:rsidRPr="00132E65">
        <w:rPr>
          <w:rtl/>
          <w:lang w:bidi="fa-IR"/>
        </w:rPr>
        <w:t xml:space="preserve">لْدُ الْحَسَنِ بْنِ زَيْدِ بْنِ الْحَسَنِ بْنِ الْحَسَنِ </w:t>
      </w:r>
      <w:r>
        <w:rPr>
          <w:rStyle w:val="libFootnotenumChar"/>
          <w:rtl/>
        </w:rPr>
        <w:t>(4)</w:t>
      </w:r>
      <w:r w:rsidRPr="00132E65">
        <w:rPr>
          <w:rtl/>
          <w:lang w:bidi="fa-IR"/>
        </w:rPr>
        <w:t xml:space="preserve"> ، وقَاسِمٌ </w:t>
      </w:r>
      <w:r>
        <w:rPr>
          <w:rStyle w:val="libFootnotenumChar"/>
          <w:rtl/>
        </w:rPr>
        <w:t>(5)</w:t>
      </w:r>
      <w:r w:rsidRPr="00132E65">
        <w:rPr>
          <w:rtl/>
          <w:lang w:bidi="fa-IR"/>
        </w:rPr>
        <w:t xml:space="preserve"> ، ومُحَمَّدُ بْنُ زَيْدٍ ، وعَلِيٌّ وإِبْرَاهِيمُ بَنُو </w:t>
      </w:r>
      <w:r>
        <w:rPr>
          <w:rStyle w:val="libFootnotenumChar"/>
          <w:rtl/>
        </w:rPr>
        <w:t>(6)</w:t>
      </w:r>
      <w:r w:rsidRPr="00132E65">
        <w:rPr>
          <w:rtl/>
          <w:lang w:bidi="fa-IR"/>
        </w:rPr>
        <w:t xml:space="preserve"> الْحَسَنِ بْنِ زَيْدٍ ، فَهُزِمَ يَزِيدُ بْنُ مُعَاوِيَةَ ، وقَدِمَ عِيسَى بْنُ مُوسَى الْمَدِينَةَ ، وصَارَ الْقِتَالُ بِالْمَدِينَةِ ، فَنَزَلَ بِذُبَابٍ </w:t>
      </w:r>
      <w:r>
        <w:rPr>
          <w:rStyle w:val="libFootnotenumChar"/>
          <w:rtl/>
        </w:rPr>
        <w:t>(7)</w:t>
      </w:r>
      <w:r w:rsidRPr="00132E65">
        <w:rPr>
          <w:rtl/>
          <w:lang w:bidi="fa-IR"/>
        </w:rPr>
        <w:t xml:space="preserve"> ، ودَخَلَتْ عَلَيْنَا الْمُسَوِّدَةُ </w:t>
      </w:r>
      <w:r>
        <w:rPr>
          <w:rStyle w:val="libFootnotenumChar"/>
          <w:rtl/>
        </w:rPr>
        <w:t>(8)</w:t>
      </w:r>
      <w:r w:rsidRPr="00132E65">
        <w:rPr>
          <w:rtl/>
          <w:lang w:bidi="fa-IR"/>
        </w:rPr>
        <w:t xml:space="preserve"> مِنْ خَلْفِنَا ، وخَرَجَ مُحَمَّدٌ فِي أَصْحَابِهِ حَتّى بَلَغَ السُّوقَ ، فَأَوْصَلَهُمْ ، و</w:t>
      </w:r>
      <w:r>
        <w:rPr>
          <w:rFonts w:hint="cs"/>
          <w:rtl/>
          <w:lang w:bidi="fa-IR"/>
        </w:rPr>
        <w:t>َ</w:t>
      </w:r>
      <w:r w:rsidRPr="00132E65">
        <w:rPr>
          <w:rtl/>
          <w:lang w:bidi="fa-IR"/>
        </w:rPr>
        <w:t xml:space="preserve">مَضى ، ثُمَّ تَبِعَهُمْ حَتَّى انْتَهى إِلى مَسْجِدِ الْخَوَّامِينَ </w:t>
      </w:r>
      <w:r>
        <w:rPr>
          <w:rStyle w:val="libFootnotenumChar"/>
          <w:rtl/>
        </w:rPr>
        <w:t>(9)</w:t>
      </w:r>
      <w:r w:rsidRPr="00132E65">
        <w:rPr>
          <w:rtl/>
          <w:lang w:bidi="fa-IR"/>
        </w:rPr>
        <w:t xml:space="preserve"> ، فَنَظَرَ‌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دخلوا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فتوطّئوه ، على باب التفعيل ، أي داسوه بأرجلهم »</w:t>
      </w:r>
      <w:r>
        <w:rPr>
          <w:rtl/>
        </w:rPr>
        <w:t>.</w:t>
      </w:r>
      <w:r w:rsidRPr="00132E65">
        <w:rPr>
          <w:rtl/>
        </w:rPr>
        <w:t xml:space="preserve"> وراجع : </w:t>
      </w:r>
      <w:r w:rsidRPr="00471F07">
        <w:rPr>
          <w:rStyle w:val="libFootnoteBoldChar"/>
          <w:rtl/>
        </w:rPr>
        <w:t>القاموس المحيط</w:t>
      </w:r>
      <w:r w:rsidRPr="00132E65">
        <w:rPr>
          <w:rtl/>
        </w:rPr>
        <w:t xml:space="preserve"> ، ج 1 ، ص 124 ( وطأ )</w:t>
      </w:r>
      <w:r>
        <w:rPr>
          <w:rtl/>
        </w:rPr>
        <w:t>.</w:t>
      </w:r>
    </w:p>
    <w:p w:rsidR="000C39D1" w:rsidRPr="00132E65" w:rsidRDefault="000C39D1" w:rsidP="000C39D1">
      <w:pPr>
        <w:pStyle w:val="libFootnote0"/>
        <w:rPr>
          <w:rtl/>
          <w:lang w:bidi="fa-IR"/>
        </w:rPr>
      </w:pPr>
      <w:r>
        <w:rPr>
          <w:rtl/>
        </w:rPr>
        <w:t>(3).</w:t>
      </w:r>
      <w:r w:rsidRPr="00132E65">
        <w:rPr>
          <w:rtl/>
        </w:rPr>
        <w:t xml:space="preserve"> في حاشية « بح » : « فقدّم »</w:t>
      </w:r>
      <w:r>
        <w:rPr>
          <w:rtl/>
        </w:rPr>
        <w:t>.</w:t>
      </w:r>
    </w:p>
    <w:p w:rsidR="000C39D1" w:rsidRPr="00132E65" w:rsidRDefault="000C39D1" w:rsidP="000C39D1">
      <w:pPr>
        <w:pStyle w:val="libFootnote0"/>
        <w:rPr>
          <w:rtl/>
          <w:lang w:bidi="fa-IR"/>
        </w:rPr>
      </w:pPr>
      <w:r>
        <w:rPr>
          <w:rtl/>
        </w:rPr>
        <w:t>(4).</w:t>
      </w:r>
      <w:r w:rsidRPr="00132E65">
        <w:rPr>
          <w:rtl/>
        </w:rPr>
        <w:t xml:space="preserve"> في « بف » </w:t>
      </w:r>
      <w:r>
        <w:rPr>
          <w:rtl/>
        </w:rPr>
        <w:t xml:space="preserve">: - </w:t>
      </w:r>
      <w:r w:rsidRPr="00132E65">
        <w:rPr>
          <w:rtl/>
        </w:rPr>
        <w:t>« بن الحسن »</w:t>
      </w:r>
      <w:r>
        <w:rPr>
          <w:rtl/>
        </w:rPr>
        <w:t>.</w:t>
      </w:r>
      <w:r w:rsidRPr="00132E65">
        <w:rPr>
          <w:rtl/>
        </w:rPr>
        <w:t xml:space="preserve"> وفي </w:t>
      </w:r>
      <w:r w:rsidRPr="009D1ACE">
        <w:rPr>
          <w:rStyle w:val="libFootnoteBoldChar"/>
          <w:rtl/>
        </w:rPr>
        <w:t>مرآة العقول</w:t>
      </w:r>
      <w:r w:rsidRPr="00132E65">
        <w:rPr>
          <w:rtl/>
        </w:rPr>
        <w:t xml:space="preserve"> : « الظاهر أنّه كان هكذا : ولد الحسن بن زيد بن الحسن قاسم‌</w:t>
      </w:r>
      <w:r>
        <w:rPr>
          <w:rFonts w:hint="cs"/>
          <w:rtl/>
        </w:rPr>
        <w:t xml:space="preserve"> </w:t>
      </w:r>
      <w:r w:rsidRPr="00132E65">
        <w:rPr>
          <w:rtl/>
        </w:rPr>
        <w:t>وزيد وعليّ وإبراهيم بنو الحسن بن زيد. ولو كان في ولد الحسن بن زيد محمّدٌ لاحتمل أن يكون : ومحمّد وزيد ، ولكن لم يذكره أرباب النسب. ومحمّد بن زيد لا يستقيم ؛ لأنّه لم يكن لزيد ولد</w:t>
      </w:r>
      <w:r>
        <w:rPr>
          <w:rtl/>
        </w:rPr>
        <w:t xml:space="preserve"> سوى الحسن كما ذكره أرباب النسب</w:t>
      </w:r>
      <w:r w:rsidRPr="00132E65">
        <w:rPr>
          <w:rtl/>
        </w:rPr>
        <w:t>»</w:t>
      </w:r>
      <w:r>
        <w:rPr>
          <w:rtl/>
        </w:rPr>
        <w:t>.</w:t>
      </w:r>
      <w:r w:rsidRPr="00132E65">
        <w:rPr>
          <w:rtl/>
        </w:rPr>
        <w:t xml:space="preserve"> وله في </w:t>
      </w:r>
      <w:r w:rsidRPr="00471F07">
        <w:rPr>
          <w:rStyle w:val="libFootnoteBoldChar"/>
          <w:rtl/>
        </w:rPr>
        <w:t>المرآة</w:t>
      </w:r>
      <w:r w:rsidRPr="00132E65">
        <w:rPr>
          <w:rtl/>
        </w:rPr>
        <w:t xml:space="preserve"> توجيهان آخران.</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(5).</w:t>
            </w:r>
            <w:r w:rsidRPr="00132E65">
              <w:rPr>
                <w:rtl/>
              </w:rPr>
              <w:t xml:space="preserve"> في حاشية « ج » :</w:t>
            </w:r>
            <w:r>
              <w:rPr>
                <w:rtl/>
              </w:rPr>
              <w:t xml:space="preserve"> + </w:t>
            </w:r>
            <w:r w:rsidRPr="00132E65">
              <w:rPr>
                <w:rtl/>
              </w:rPr>
              <w:t>« بن الحسن »</w:t>
            </w:r>
            <w:r>
              <w:rPr>
                <w:rtl/>
              </w:rPr>
              <w:t>.</w:t>
            </w:r>
          </w:p>
        </w:tc>
        <w:tc>
          <w:tcPr>
            <w:tcW w:w="4006" w:type="dxa"/>
          </w:tcPr>
          <w:p w:rsidR="000C39D1" w:rsidRDefault="000C39D1" w:rsidP="00B53873">
            <w:pPr>
              <w:pStyle w:val="libFootnote0"/>
              <w:rPr>
                <w:rtl/>
              </w:rPr>
            </w:pPr>
            <w:r>
              <w:rPr>
                <w:rtl/>
              </w:rPr>
              <w:t>(6).</w:t>
            </w:r>
            <w:r w:rsidRPr="00132E65">
              <w:rPr>
                <w:rtl/>
              </w:rPr>
              <w:t xml:space="preserve"> في « ف » : « وبنو »</w:t>
            </w:r>
            <w:r>
              <w:rPr>
                <w:rtl/>
              </w:rPr>
              <w:t>.</w:t>
            </w:r>
          </w:p>
        </w:tc>
      </w:tr>
    </w:tbl>
    <w:p w:rsidR="000C39D1" w:rsidRPr="00132E65" w:rsidRDefault="000C39D1" w:rsidP="000C39D1">
      <w:pPr>
        <w:pStyle w:val="libFootnote0"/>
        <w:rPr>
          <w:rtl/>
          <w:lang w:bidi="fa-IR"/>
        </w:rPr>
      </w:pPr>
      <w:r>
        <w:rPr>
          <w:rtl/>
        </w:rPr>
        <w:t>(7).</w:t>
      </w:r>
      <w:r w:rsidRPr="00132E65">
        <w:rPr>
          <w:rtl/>
        </w:rPr>
        <w:t xml:space="preserve"> الذُباب : هو جبل بالمدينة. </w:t>
      </w:r>
      <w:r w:rsidRPr="004B3C2C">
        <w:rPr>
          <w:rStyle w:val="libFootnoteBoldChar"/>
          <w:rtl/>
        </w:rPr>
        <w:t>النهاية</w:t>
      </w:r>
      <w:r w:rsidRPr="00132E65">
        <w:rPr>
          <w:rtl/>
        </w:rPr>
        <w:t xml:space="preserve"> ، ج 2 ، ص 152 ( ذبب )</w:t>
      </w:r>
      <w:r>
        <w:rPr>
          <w:rtl/>
        </w:rPr>
        <w:t>.</w:t>
      </w:r>
    </w:p>
    <w:p w:rsidR="000C39D1" w:rsidRPr="00132E65" w:rsidRDefault="000C39D1" w:rsidP="000C39D1">
      <w:pPr>
        <w:pStyle w:val="libFootnote0"/>
        <w:rPr>
          <w:rtl/>
          <w:lang w:bidi="fa-IR"/>
        </w:rPr>
      </w:pPr>
      <w:r>
        <w:rPr>
          <w:rtl/>
        </w:rPr>
        <w:t>(8). « الم</w:t>
      </w:r>
      <w:r>
        <w:rPr>
          <w:rFonts w:hint="cs"/>
          <w:rtl/>
        </w:rPr>
        <w:t>ـُ</w:t>
      </w:r>
      <w:r w:rsidRPr="00132E65">
        <w:rPr>
          <w:rtl/>
        </w:rPr>
        <w:t>سَوِّدَةُ » : الذين كانوا يلبسون السود من الثياب ، وهم جند بني العبّاس الذين كانوا معهم عيسى بن موسى ، كالم</w:t>
      </w:r>
      <w:r>
        <w:rPr>
          <w:rFonts w:hint="cs"/>
          <w:rtl/>
        </w:rPr>
        <w:t>ـُ</w:t>
      </w:r>
      <w:r w:rsidRPr="00132E65">
        <w:rPr>
          <w:rtl/>
        </w:rPr>
        <w:t xml:space="preserve">بَيِّضة لأصحاب محمّد لتبييضهم ثيابهم. راجع : </w:t>
      </w:r>
      <w:r w:rsidRPr="004B3C2C">
        <w:rPr>
          <w:rStyle w:val="libFootnoteBoldChar"/>
          <w:rtl/>
        </w:rPr>
        <w:t>شرح المازندراني</w:t>
      </w:r>
      <w:r w:rsidRPr="00132E65">
        <w:rPr>
          <w:rtl/>
        </w:rPr>
        <w:t xml:space="preserve"> ، ج 6 ، ص 307 ؛ </w:t>
      </w:r>
      <w:r w:rsidRPr="009D1ACE">
        <w:rPr>
          <w:rStyle w:val="libFootnoteBoldChar"/>
          <w:rtl/>
        </w:rPr>
        <w:t>الوافي</w:t>
      </w:r>
      <w:r w:rsidRPr="00132E65">
        <w:rPr>
          <w:rtl/>
        </w:rPr>
        <w:t xml:space="preserve"> ، ج 2 ، ص 163 ؛ </w:t>
      </w:r>
      <w:r w:rsidRPr="009D1ACE">
        <w:rPr>
          <w:rStyle w:val="libFootnoteBoldChar"/>
          <w:rtl/>
        </w:rPr>
        <w:t>مرآة العقول</w:t>
      </w:r>
      <w:r w:rsidRPr="00132E65">
        <w:rPr>
          <w:rtl/>
        </w:rPr>
        <w:t xml:space="preserve"> ، ج 4 ، ص 144.</w:t>
      </w:r>
    </w:p>
    <w:p w:rsidR="000C39D1" w:rsidRPr="00132E65" w:rsidRDefault="000C39D1" w:rsidP="000C39D1">
      <w:pPr>
        <w:pStyle w:val="libFootnote0"/>
        <w:rPr>
          <w:rtl/>
          <w:lang w:bidi="fa-IR"/>
        </w:rPr>
      </w:pPr>
      <w:r>
        <w:rPr>
          <w:rtl/>
        </w:rPr>
        <w:t>(9).</w:t>
      </w:r>
      <w:r w:rsidRPr="00132E65">
        <w:rPr>
          <w:rtl/>
        </w:rPr>
        <w:t xml:space="preserve"> « مسجد الخوّامين » : مسجد بنواحي المدينة. والخام : جلد لم يُدبغ. قال الفيض : « الخوّامين ، يشبه أن يكون‌</w:t>
      </w:r>
      <w:r>
        <w:rPr>
          <w:rFonts w:hint="cs"/>
          <w:rtl/>
        </w:rPr>
        <w:t xml:space="preserve"> </w:t>
      </w:r>
      <w:r w:rsidRPr="00132E65">
        <w:rPr>
          <w:rtl/>
        </w:rPr>
        <w:t>بالحاء المهملة بمعنى الأماكن الغلاظ المنقادة ، جمع حومانة »</w:t>
      </w:r>
      <w:r>
        <w:rPr>
          <w:rtl/>
        </w:rPr>
        <w:t>.</w:t>
      </w:r>
      <w:r w:rsidRPr="00132E65">
        <w:rPr>
          <w:rtl/>
        </w:rPr>
        <w:t xml:space="preserve"> وراجع : </w:t>
      </w:r>
      <w:r w:rsidRPr="004B3C2C">
        <w:rPr>
          <w:rStyle w:val="libFootnoteBoldChar"/>
          <w:rtl/>
        </w:rPr>
        <w:t>مجمع البحرين</w:t>
      </w:r>
      <w:r w:rsidRPr="00132E65">
        <w:rPr>
          <w:rtl/>
        </w:rPr>
        <w:t xml:space="preserve"> ، ج 6 ، ص 60.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إِلى مَا هُنَاكَ فَضَاءٍ لَيْسَ فِيهِ </w:t>
      </w:r>
      <w:r>
        <w:rPr>
          <w:rStyle w:val="libFootnotenumChar"/>
          <w:rtl/>
        </w:rPr>
        <w:t>(1)</w:t>
      </w:r>
      <w:r w:rsidRPr="00132E65">
        <w:rPr>
          <w:rtl/>
          <w:lang w:bidi="fa-IR"/>
        </w:rPr>
        <w:t xml:space="preserve"> مُسَوِّدٌ و</w:t>
      </w:r>
      <w:r>
        <w:rPr>
          <w:rFonts w:hint="cs"/>
          <w:rtl/>
          <w:lang w:bidi="fa-IR"/>
        </w:rPr>
        <w:t>َ</w:t>
      </w:r>
      <w:r w:rsidRPr="00132E65">
        <w:rPr>
          <w:rtl/>
          <w:lang w:bidi="fa-IR"/>
        </w:rPr>
        <w:t xml:space="preserve">لَامُبَيِّضٌ ، فَاسْتَقْدَمَ حَتَّى انْتَهى إِلى شِعْبِ فَزَارَةَ </w:t>
      </w:r>
      <w:r>
        <w:rPr>
          <w:rStyle w:val="libFootnotenumChar"/>
          <w:rtl/>
        </w:rPr>
        <w:t>(2)</w:t>
      </w:r>
      <w:r w:rsidRPr="00132E65">
        <w:rPr>
          <w:rtl/>
          <w:lang w:bidi="fa-IR"/>
        </w:rPr>
        <w:t xml:space="preserve"> ، ثُمَّ دَخَلَ هُذَيْلَ </w:t>
      </w:r>
      <w:r>
        <w:rPr>
          <w:rStyle w:val="libFootnotenumChar"/>
          <w:rtl/>
        </w:rPr>
        <w:t>(3)</w:t>
      </w:r>
      <w:r w:rsidRPr="00132E65">
        <w:rPr>
          <w:rtl/>
          <w:lang w:bidi="fa-IR"/>
        </w:rPr>
        <w:t xml:space="preserve"> ، ثُمَّ مَضى إِلى أَشْجَعَ ، فَخَرَجَ إِلَيْهِ الْفَارِسُ</w:t>
      </w:r>
      <w:r>
        <w:rPr>
          <w:rtl/>
          <w:lang w:bidi="fa-IR"/>
        </w:rPr>
        <w:t xml:space="preserve"> - </w:t>
      </w:r>
      <w:r w:rsidRPr="00132E65">
        <w:rPr>
          <w:rtl/>
          <w:lang w:bidi="fa-IR"/>
        </w:rPr>
        <w:t xml:space="preserve">الَّذِي قَالَ أَبُو عَبْدِ اللهِ </w:t>
      </w:r>
      <w:r w:rsidRPr="00071CF9">
        <w:rPr>
          <w:rStyle w:val="libAlaemChar"/>
          <w:rtl/>
        </w:rPr>
        <w:t>عليه‌السلام</w:t>
      </w:r>
      <w:r>
        <w:rPr>
          <w:rtl/>
          <w:lang w:bidi="fa-IR"/>
        </w:rPr>
        <w:t xml:space="preserve"> - </w:t>
      </w:r>
      <w:r w:rsidRPr="00132E65">
        <w:rPr>
          <w:rtl/>
          <w:lang w:bidi="fa-IR"/>
        </w:rPr>
        <w:t xml:space="preserve">مِنْ خَلْفِهِ مِنْ سِكَّةِ هُذَيْلَ ، فَطَعَنَهُ ، فَلَمْ يَصْنَعْ </w:t>
      </w:r>
      <w:r>
        <w:rPr>
          <w:rStyle w:val="libFootnotenumChar"/>
          <w:rtl/>
        </w:rPr>
        <w:t>(4)</w:t>
      </w:r>
      <w:r w:rsidRPr="00132E65">
        <w:rPr>
          <w:rtl/>
          <w:lang w:bidi="fa-IR"/>
        </w:rPr>
        <w:t xml:space="preserve"> فِيهِ شَيْئاً ، وحَمَلَ عَلَى الْفَارِسِ ، فَضَرَبَ </w:t>
      </w:r>
      <w:r>
        <w:rPr>
          <w:rStyle w:val="libFootnotenumChar"/>
          <w:rtl/>
        </w:rPr>
        <w:t>(5)</w:t>
      </w:r>
      <w:r w:rsidRPr="00132E65">
        <w:rPr>
          <w:rtl/>
          <w:lang w:bidi="fa-IR"/>
        </w:rPr>
        <w:t xml:space="preserve"> خَيْشُومَ فَرَسِهِ بِالسَّيْفِ </w:t>
      </w:r>
      <w:r>
        <w:rPr>
          <w:rStyle w:val="libFootnotenumChar"/>
          <w:rtl/>
        </w:rPr>
        <w:t>(6)</w:t>
      </w:r>
      <w:r w:rsidRPr="00132E65">
        <w:rPr>
          <w:rtl/>
          <w:lang w:bidi="fa-IR"/>
        </w:rPr>
        <w:t xml:space="preserve"> ، فَطَعَنَهُ الْفَارِسُ ، فَأَنْفَذَهُ فِي الدِّرْعِ ، وانْثَنى عَلَيْهِ </w:t>
      </w:r>
      <w:r>
        <w:rPr>
          <w:rStyle w:val="libFootnotenumChar"/>
          <w:rtl/>
        </w:rPr>
        <w:t>(7)</w:t>
      </w:r>
      <w:r w:rsidRPr="00132E65">
        <w:rPr>
          <w:rtl/>
          <w:lang w:bidi="fa-IR"/>
        </w:rPr>
        <w:t xml:space="preserve"> مُحَمَّدٌ ، فَضَرَبَهُ ، فَأَثْخَنَهُ </w:t>
      </w:r>
      <w:r>
        <w:rPr>
          <w:rStyle w:val="libFootnotenumChar"/>
          <w:rtl/>
        </w:rPr>
        <w:t>(8)</w:t>
      </w:r>
      <w:r w:rsidRPr="00132E65">
        <w:rPr>
          <w:rtl/>
          <w:lang w:bidi="fa-IR"/>
        </w:rPr>
        <w:t xml:space="preserve"> ، وخَرَجَ </w:t>
      </w:r>
      <w:r>
        <w:rPr>
          <w:rStyle w:val="libFootnotenumChar"/>
          <w:rtl/>
        </w:rPr>
        <w:t>(9)</w:t>
      </w:r>
      <w:r w:rsidRPr="00132E65">
        <w:rPr>
          <w:rtl/>
          <w:lang w:bidi="fa-IR"/>
        </w:rPr>
        <w:t xml:space="preserve"> عَلَيْهِ </w:t>
      </w:r>
      <w:r>
        <w:rPr>
          <w:rStyle w:val="libFootnotenumChar"/>
          <w:rtl/>
        </w:rPr>
        <w:t>(10)</w:t>
      </w:r>
      <w:r w:rsidRPr="00132E65">
        <w:rPr>
          <w:rtl/>
          <w:lang w:bidi="fa-IR"/>
        </w:rPr>
        <w:t xml:space="preserve"> حُمَيْدُ بْنُ قَحْطَبَةَ </w:t>
      </w:r>
      <w:r>
        <w:rPr>
          <w:rStyle w:val="libFootnotenumChar"/>
          <w:rtl/>
        </w:rPr>
        <w:t>(11)</w:t>
      </w:r>
      <w:r>
        <w:rPr>
          <w:rtl/>
          <w:lang w:bidi="fa-IR"/>
        </w:rPr>
        <w:t xml:space="preserve"> - </w:t>
      </w:r>
      <w:r w:rsidRPr="00132E65">
        <w:rPr>
          <w:rtl/>
          <w:lang w:bidi="fa-IR"/>
        </w:rPr>
        <w:t xml:space="preserve">وهُوَ مُدْبِرٌ </w:t>
      </w:r>
      <w:r>
        <w:rPr>
          <w:rStyle w:val="libFootnotenumChar"/>
          <w:rtl/>
        </w:rPr>
        <w:t>(12)</w:t>
      </w:r>
      <w:r>
        <w:rPr>
          <w:rtl/>
          <w:lang w:bidi="fa-IR"/>
        </w:rPr>
        <w:t xml:space="preserve"> </w:t>
      </w:r>
      <w:r w:rsidRPr="00132E65">
        <w:rPr>
          <w:rtl/>
          <w:lang w:bidi="fa-IR"/>
        </w:rPr>
        <w:t xml:space="preserve">عَلَى </w:t>
      </w:r>
      <w:r w:rsidRPr="00F543F1">
        <w:rPr>
          <w:rStyle w:val="libFootnotenumChar"/>
          <w:rtl/>
        </w:rPr>
        <w:t>(</w:t>
      </w:r>
      <w:r w:rsidRPr="00F543F1">
        <w:rPr>
          <w:rStyle w:val="libFootnotenumChar"/>
          <w:rFonts w:hint="cs"/>
          <w:rtl/>
        </w:rPr>
        <w:t>13</w:t>
      </w:r>
      <w:r w:rsidRPr="00F543F1">
        <w:rPr>
          <w:rStyle w:val="libFootnotenumChar"/>
          <w:rtl/>
        </w:rPr>
        <w:t>)</w:t>
      </w:r>
      <w:r w:rsidRPr="00132E65">
        <w:rPr>
          <w:rtl/>
          <w:lang w:bidi="fa-IR"/>
        </w:rPr>
        <w:t xml:space="preserve"> الْفَارِسِ </w:t>
      </w:r>
      <w:r w:rsidRPr="00F543F1">
        <w:rPr>
          <w:rStyle w:val="libFootnotenumChar"/>
          <w:rtl/>
        </w:rPr>
        <w:t>(</w:t>
      </w:r>
      <w:r w:rsidRPr="00F543F1">
        <w:rPr>
          <w:rStyle w:val="libFootnotenumChar"/>
          <w:rFonts w:hint="cs"/>
          <w:rtl/>
        </w:rPr>
        <w:t>14</w:t>
      </w:r>
      <w:r w:rsidRPr="00F543F1">
        <w:rPr>
          <w:rStyle w:val="libFootnotenumChar"/>
          <w:rtl/>
        </w:rPr>
        <w:t>)</w:t>
      </w:r>
      <w:r w:rsidRPr="00132E65">
        <w:rPr>
          <w:rtl/>
          <w:lang w:bidi="fa-IR"/>
        </w:rPr>
        <w:t xml:space="preserve"> يَضْرِبُهُ </w:t>
      </w:r>
      <w:r w:rsidRPr="00F543F1">
        <w:rPr>
          <w:rStyle w:val="libFootnotenumChar"/>
          <w:rtl/>
        </w:rPr>
        <w:t>(</w:t>
      </w:r>
      <w:r w:rsidRPr="00F543F1">
        <w:rPr>
          <w:rStyle w:val="libFootnotenumChar"/>
          <w:rFonts w:hint="cs"/>
          <w:rtl/>
        </w:rPr>
        <w:t>15</w:t>
      </w:r>
      <w:r w:rsidRPr="00F543F1">
        <w:rPr>
          <w:rStyle w:val="libFootnotenumChar"/>
          <w:rtl/>
        </w:rPr>
        <w:t>)</w:t>
      </w:r>
      <w:r>
        <w:rPr>
          <w:rtl/>
          <w:lang w:bidi="fa-IR"/>
        </w:rPr>
        <w:t xml:space="preserve"> - </w:t>
      </w:r>
      <w:r w:rsidRPr="00132E65">
        <w:rPr>
          <w:rtl/>
          <w:lang w:bidi="fa-IR"/>
        </w:rPr>
        <w:t xml:space="preserve">مِنْ زُقَاقِ الْعَمَّارِيِّينَ </w:t>
      </w:r>
      <w:r w:rsidRPr="00F543F1">
        <w:rPr>
          <w:rStyle w:val="libFootnotenumChar"/>
          <w:rtl/>
        </w:rPr>
        <w:t>(</w:t>
      </w:r>
      <w:r w:rsidRPr="00F543F1">
        <w:rPr>
          <w:rStyle w:val="libFootnotenumChar"/>
          <w:rFonts w:hint="cs"/>
          <w:rtl/>
        </w:rPr>
        <w:t>16</w:t>
      </w:r>
      <w:r w:rsidRPr="00F543F1">
        <w:rPr>
          <w:rStyle w:val="libFootnotenumChar"/>
          <w:rtl/>
        </w:rPr>
        <w:t>)</w:t>
      </w:r>
      <w:r w:rsidRPr="00132E65">
        <w:rPr>
          <w:rtl/>
          <w:lang w:bidi="fa-IR"/>
        </w:rPr>
        <w:t xml:space="preserve"> ، فَطَعَنَهُ طَعْنَةً أَنْفَذَ السِّنَانَ فِيهِ ، فَكُسِرَ الرُّمْحُ ، وحَمَلَ عَلى حُمَيْدٍ ، فَطَعَنَهُ حُمَيْدٌ بِزُجِّ </w:t>
      </w:r>
      <w:r w:rsidRPr="00F543F1">
        <w:rPr>
          <w:rStyle w:val="libFootnotenumChar"/>
          <w:rtl/>
        </w:rPr>
        <w:t>(</w:t>
      </w:r>
      <w:r w:rsidRPr="00F543F1">
        <w:rPr>
          <w:rStyle w:val="libFootnotenumChar"/>
          <w:rFonts w:hint="cs"/>
          <w:rtl/>
        </w:rPr>
        <w:t>17</w:t>
      </w:r>
      <w:r w:rsidRPr="00F543F1">
        <w:rPr>
          <w:rStyle w:val="libFootnotenumChar"/>
          <w:rtl/>
        </w:rPr>
        <w:t>)</w:t>
      </w:r>
      <w:r w:rsidRPr="00132E65">
        <w:rPr>
          <w:rtl/>
          <w:lang w:bidi="fa-IR"/>
        </w:rPr>
        <w:t xml:space="preserve"> الرُّمْحِ ، فَصَرَعَهُ ، ثُمَّ نَزَلَ إِلَيْهِ </w:t>
      </w:r>
      <w:r w:rsidRPr="00F543F1">
        <w:rPr>
          <w:rStyle w:val="libFootnotenumChar"/>
          <w:rtl/>
        </w:rPr>
        <w:t>(</w:t>
      </w:r>
      <w:r w:rsidRPr="00F543F1">
        <w:rPr>
          <w:rStyle w:val="libFootnotenumChar"/>
          <w:rFonts w:hint="cs"/>
          <w:rtl/>
        </w:rPr>
        <w:t>18</w:t>
      </w:r>
      <w:r w:rsidRPr="00F543F1">
        <w:rPr>
          <w:rStyle w:val="libFootnotenumChar"/>
          <w:rtl/>
        </w:rPr>
        <w:t>)</w:t>
      </w:r>
      <w:r w:rsidRPr="00132E65">
        <w:rPr>
          <w:rtl/>
          <w:lang w:bidi="fa-IR"/>
        </w:rPr>
        <w:t xml:space="preserve"> ، فَضَرَبَهُ حَتّى أَثْخَنَهُ وقَتَلَهُ ، وأَخَذَ رَأْسَهُ ، و</w:t>
      </w:r>
      <w:r>
        <w:rPr>
          <w:rFonts w:hint="cs"/>
          <w:rtl/>
          <w:lang w:bidi="fa-IR"/>
        </w:rPr>
        <w:t>َ</w:t>
      </w:r>
      <w:r w:rsidRPr="00132E65">
        <w:rPr>
          <w:rtl/>
          <w:lang w:bidi="fa-IR"/>
        </w:rPr>
        <w:t xml:space="preserve">دَخَلَ الْجُنْدُ مِنْ كُلِّ جَانِبٍ ، وأُخِذَتِ </w:t>
      </w:r>
      <w:r w:rsidRPr="00F543F1">
        <w:rPr>
          <w:rStyle w:val="libFootnotenumChar"/>
          <w:rtl/>
        </w:rPr>
        <w:t>(</w:t>
      </w:r>
      <w:r w:rsidRPr="00F543F1">
        <w:rPr>
          <w:rStyle w:val="libFootnotenumChar"/>
          <w:rFonts w:hint="cs"/>
          <w:rtl/>
        </w:rPr>
        <w:t>19</w:t>
      </w:r>
      <w:r w:rsidRPr="00F543F1">
        <w:rPr>
          <w:rStyle w:val="libFootnotenumChar"/>
          <w:rtl/>
        </w:rPr>
        <w:t>)</w:t>
      </w:r>
      <w:r w:rsidRPr="00132E65">
        <w:rPr>
          <w:rtl/>
          <w:lang w:bidi="fa-IR"/>
        </w:rPr>
        <w:t xml:space="preserve"> الْمَدِينَةُ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البحار </w:t>
      </w:r>
      <w:r>
        <w:rPr>
          <w:rtl/>
        </w:rPr>
        <w:t xml:space="preserve">: - </w:t>
      </w:r>
      <w:r w:rsidRPr="00132E65">
        <w:rPr>
          <w:rtl/>
        </w:rPr>
        <w:t>« فيه »</w:t>
      </w:r>
      <w:r>
        <w:rPr>
          <w:rtl/>
        </w:rPr>
        <w:t>.</w:t>
      </w:r>
    </w:p>
    <w:p w:rsidR="000C39D1" w:rsidRPr="00132E65" w:rsidRDefault="000C39D1" w:rsidP="000C39D1">
      <w:pPr>
        <w:pStyle w:val="libFootnote0"/>
        <w:rPr>
          <w:rtl/>
          <w:lang w:bidi="fa-IR"/>
        </w:rPr>
      </w:pPr>
      <w:r>
        <w:rPr>
          <w:rtl/>
        </w:rPr>
        <w:t>(2).</w:t>
      </w:r>
      <w:r w:rsidRPr="00132E65">
        <w:rPr>
          <w:rtl/>
        </w:rPr>
        <w:t xml:space="preserve"> « فزارة » : أبو حيّ من غَطَفانَ ، وهو فزارة بن ذبيان بن بغيض بن ريث بن غطفان. </w:t>
      </w:r>
      <w:r w:rsidRPr="004B3C2C">
        <w:rPr>
          <w:rStyle w:val="libFootnoteBoldChar"/>
          <w:rtl/>
        </w:rPr>
        <w:t>الصحاح</w:t>
      </w:r>
      <w:r w:rsidRPr="00132E65">
        <w:rPr>
          <w:rtl/>
        </w:rPr>
        <w:t xml:space="preserve"> ، ج 2 ، ص 781 ( فزر )</w:t>
      </w:r>
      <w:r>
        <w:rPr>
          <w:rtl/>
        </w:rPr>
        <w:t>.</w:t>
      </w:r>
    </w:p>
    <w:p w:rsidR="000C39D1" w:rsidRPr="00132E65" w:rsidRDefault="000C39D1" w:rsidP="000C39D1">
      <w:pPr>
        <w:pStyle w:val="libFootnote0"/>
        <w:rPr>
          <w:rtl/>
          <w:lang w:bidi="fa-IR"/>
        </w:rPr>
      </w:pPr>
      <w:r>
        <w:rPr>
          <w:rtl/>
        </w:rPr>
        <w:t>(3).</w:t>
      </w:r>
      <w:r w:rsidRPr="00132E65">
        <w:rPr>
          <w:rtl/>
        </w:rPr>
        <w:t xml:space="preserve"> « هُذَيْل » : حيّ من مُضَر ، وهو هذيل بن مُدْرِكة بن إلياس بن مُضَر. </w:t>
      </w:r>
      <w:r w:rsidRPr="004B3C2C">
        <w:rPr>
          <w:rStyle w:val="libFootnoteBoldChar"/>
          <w:rtl/>
        </w:rPr>
        <w:t>الصحاح</w:t>
      </w:r>
      <w:r w:rsidRPr="00132E65">
        <w:rPr>
          <w:rtl/>
        </w:rPr>
        <w:t xml:space="preserve"> </w:t>
      </w:r>
      <w:r>
        <w:rPr>
          <w:rtl/>
        </w:rPr>
        <w:t>، ج 5 ، ص 1849 (هذل</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lang w:bidi="fa-IR"/>
              </w:rPr>
            </w:pPr>
            <w:r>
              <w:rPr>
                <w:rtl/>
              </w:rPr>
              <w:t>(4).</w:t>
            </w:r>
            <w:r w:rsidRPr="00132E65">
              <w:rPr>
                <w:rtl/>
              </w:rPr>
              <w:t xml:space="preserve"> في « ب » : « فلم تصنع » أي الصنعة.</w:t>
            </w:r>
          </w:p>
        </w:tc>
        <w:tc>
          <w:tcPr>
            <w:tcW w:w="4006" w:type="dxa"/>
          </w:tcPr>
          <w:p w:rsidR="000C39D1" w:rsidRDefault="000C39D1" w:rsidP="00B53873">
            <w:pPr>
              <w:pStyle w:val="libFootnote0"/>
              <w:rPr>
                <w:rtl/>
                <w:lang w:bidi="fa-IR"/>
              </w:rPr>
            </w:pPr>
            <w:r>
              <w:rPr>
                <w:rtl/>
              </w:rPr>
              <w:t>(5).</w:t>
            </w:r>
            <w:r w:rsidRPr="00132E65">
              <w:rPr>
                <w:rtl/>
              </w:rPr>
              <w:t xml:space="preserve"> في البحار : « وضرب »</w:t>
            </w:r>
            <w:r>
              <w:rPr>
                <w:rtl/>
              </w:rPr>
              <w:t>.</w:t>
            </w:r>
          </w:p>
        </w:tc>
      </w:tr>
    </w:tbl>
    <w:p w:rsidR="000C39D1" w:rsidRPr="00132E65" w:rsidRDefault="000C39D1" w:rsidP="000C39D1">
      <w:pPr>
        <w:pStyle w:val="libFootnote0"/>
        <w:rPr>
          <w:rtl/>
          <w:lang w:bidi="fa-IR"/>
        </w:rPr>
      </w:pPr>
      <w:r>
        <w:rPr>
          <w:rtl/>
        </w:rPr>
        <w:t>(6).</w:t>
      </w:r>
      <w:r w:rsidRPr="00132E65">
        <w:rPr>
          <w:rtl/>
        </w:rPr>
        <w:t xml:space="preserve"> في « ض ، بح ، بس ، بف » و</w:t>
      </w:r>
      <w:r w:rsidRPr="009D1ACE">
        <w:rPr>
          <w:rStyle w:val="libFootnoteBoldChar"/>
          <w:rtl/>
        </w:rPr>
        <w:t>الوافي</w:t>
      </w:r>
      <w:r w:rsidRPr="00132E65">
        <w:rPr>
          <w:rtl/>
        </w:rPr>
        <w:t xml:space="preserve"> </w:t>
      </w:r>
      <w:r>
        <w:rPr>
          <w:rtl/>
        </w:rPr>
        <w:t xml:space="preserve">: - </w:t>
      </w:r>
      <w:r w:rsidRPr="00132E65">
        <w:rPr>
          <w:rtl/>
        </w:rPr>
        <w:t>« بالسيف »</w:t>
      </w:r>
      <w:r>
        <w:rPr>
          <w:rtl/>
        </w:rPr>
        <w:t>.</w:t>
      </w:r>
    </w:p>
    <w:p w:rsidR="000C39D1" w:rsidRPr="00132E65" w:rsidRDefault="000C39D1" w:rsidP="000C39D1">
      <w:pPr>
        <w:pStyle w:val="libFootnote0"/>
        <w:rPr>
          <w:rtl/>
          <w:lang w:bidi="fa-IR"/>
        </w:rPr>
      </w:pPr>
      <w:r>
        <w:rPr>
          <w:rtl/>
        </w:rPr>
        <w:t>(7).</w:t>
      </w:r>
      <w:r w:rsidRPr="00132E65">
        <w:rPr>
          <w:rtl/>
        </w:rPr>
        <w:t xml:space="preserve"> « انثنى » : انعطف. يقال : ثنيتُ الشي‌ءَ ، أي عطفته فانثنى. راجع : </w:t>
      </w:r>
      <w:r w:rsidRPr="00E07A6C">
        <w:rPr>
          <w:rtl/>
        </w:rPr>
        <w:t>الصحاح</w:t>
      </w:r>
      <w:r w:rsidRPr="00132E65">
        <w:rPr>
          <w:rtl/>
        </w:rPr>
        <w:t xml:space="preserve"> ، ج 6 ، ص 2296 ( ثنى )</w:t>
      </w:r>
      <w:r>
        <w:rPr>
          <w:rtl/>
        </w:rPr>
        <w:t>.</w:t>
      </w:r>
    </w:p>
    <w:p w:rsidR="000C39D1" w:rsidRPr="00132E65" w:rsidRDefault="000C39D1" w:rsidP="000C39D1">
      <w:pPr>
        <w:pStyle w:val="libFootnote0"/>
        <w:rPr>
          <w:rtl/>
          <w:lang w:bidi="fa-IR"/>
        </w:rPr>
      </w:pPr>
      <w:r>
        <w:rPr>
          <w:rtl/>
        </w:rPr>
        <w:t>(8).</w:t>
      </w:r>
      <w:r w:rsidRPr="00132E65">
        <w:rPr>
          <w:rtl/>
        </w:rPr>
        <w:t xml:space="preserve"> في حاشية « ج » : « وأثخنه »</w:t>
      </w:r>
      <w:r>
        <w:rPr>
          <w:rtl/>
        </w:rPr>
        <w:t>.</w:t>
      </w:r>
      <w:r w:rsidRPr="00132E65">
        <w:rPr>
          <w:rtl/>
        </w:rPr>
        <w:t xml:space="preserve"> وقوله : « أثخنه » ، أي أوهنه بالجراحة وبالغ الجراحة فيه وأتمّ قتله ؛ من الإثخان في الشي‌ء ، أي المبالغة فيه والإكثار منه. راجع : </w:t>
      </w:r>
      <w:r w:rsidRPr="009D1ACE">
        <w:rPr>
          <w:rStyle w:val="libFootnoteBoldChar"/>
          <w:rtl/>
        </w:rPr>
        <w:t>لسان العرب</w:t>
      </w:r>
      <w:r w:rsidRPr="00132E65">
        <w:rPr>
          <w:rtl/>
        </w:rPr>
        <w:t xml:space="preserve"> ، ج 13 ، ص 77 ( ثخن )</w:t>
      </w:r>
      <w:r>
        <w:rPr>
          <w:rtl/>
        </w:rPr>
        <w:t>.</w:t>
      </w:r>
    </w:p>
    <w:p w:rsidR="000C39D1" w:rsidRPr="00132E65" w:rsidRDefault="000C39D1" w:rsidP="000C39D1">
      <w:pPr>
        <w:pStyle w:val="libFootnote0"/>
        <w:rPr>
          <w:rtl/>
          <w:lang w:bidi="fa-IR"/>
        </w:rPr>
      </w:pPr>
      <w:r>
        <w:rPr>
          <w:rtl/>
        </w:rPr>
        <w:t>(9).</w:t>
      </w:r>
      <w:r w:rsidRPr="00132E65">
        <w:rPr>
          <w:rtl/>
        </w:rPr>
        <w:t xml:space="preserve"> في « ض » </w:t>
      </w:r>
      <w:r>
        <w:rPr>
          <w:rtl/>
        </w:rPr>
        <w:t xml:space="preserve">: - </w:t>
      </w:r>
      <w:r w:rsidRPr="00132E65">
        <w:rPr>
          <w:rtl/>
        </w:rPr>
        <w:t>« وخرج »</w:t>
      </w:r>
      <w:r>
        <w:rPr>
          <w:rtl/>
        </w:rPr>
        <w:t>.</w:t>
      </w:r>
      <w:r w:rsidRPr="00132E65">
        <w:rPr>
          <w:rtl/>
        </w:rPr>
        <w:t xml:space="preserve"> وفي « ف » : « فخرج »</w:t>
      </w:r>
      <w:r>
        <w:rPr>
          <w:rtl/>
        </w:rPr>
        <w:t>.</w:t>
      </w:r>
    </w:p>
    <w:p w:rsidR="000C39D1" w:rsidRPr="00132E65" w:rsidRDefault="000C39D1" w:rsidP="000C39D1">
      <w:pPr>
        <w:pStyle w:val="libFootnote0"/>
        <w:rPr>
          <w:rtl/>
          <w:lang w:bidi="fa-IR"/>
        </w:rPr>
      </w:pPr>
      <w:r>
        <w:rPr>
          <w:rtl/>
        </w:rPr>
        <w:t>(10).</w:t>
      </w:r>
      <w:r w:rsidRPr="00132E65">
        <w:rPr>
          <w:rtl/>
        </w:rPr>
        <w:t xml:space="preserve"> في شرح المازندراني والبحار : « إليه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(11).</w:t>
            </w:r>
            <w:r w:rsidRPr="00132E65">
              <w:rPr>
                <w:rtl/>
              </w:rPr>
              <w:t xml:space="preserve"> في « ف » :</w:t>
            </w:r>
            <w:r>
              <w:rPr>
                <w:rtl/>
              </w:rPr>
              <w:t xml:space="preserve"> + </w:t>
            </w:r>
            <w:r w:rsidRPr="00132E65">
              <w:rPr>
                <w:rtl/>
              </w:rPr>
              <w:t>« فطعنه حميد »</w:t>
            </w:r>
            <w:r>
              <w:rPr>
                <w:rtl/>
              </w:rPr>
              <w:t>.</w:t>
            </w:r>
          </w:p>
        </w:tc>
        <w:tc>
          <w:tcPr>
            <w:tcW w:w="4006" w:type="dxa"/>
          </w:tcPr>
          <w:p w:rsidR="000C39D1" w:rsidRDefault="000C39D1" w:rsidP="00B53873">
            <w:pPr>
              <w:pStyle w:val="libFootnote0"/>
              <w:rPr>
                <w:rtl/>
              </w:rPr>
            </w:pPr>
            <w:r>
              <w:rPr>
                <w:rtl/>
              </w:rPr>
              <w:t>(12).</w:t>
            </w:r>
            <w:r w:rsidRPr="00132E65">
              <w:rPr>
                <w:rtl/>
              </w:rPr>
              <w:t xml:space="preserve"> في « ف ، بح ، بف » : « مدير »</w:t>
            </w:r>
            <w:r>
              <w:rPr>
                <w:rtl/>
              </w:rPr>
              <w:t>.</w:t>
            </w:r>
          </w:p>
        </w:tc>
      </w:tr>
    </w:tbl>
    <w:p w:rsidR="000C39D1" w:rsidRPr="00132E65" w:rsidRDefault="000C39D1" w:rsidP="000C39D1">
      <w:pPr>
        <w:pStyle w:val="libFootnote0"/>
        <w:rPr>
          <w:rtl/>
          <w:lang w:bidi="fa-IR"/>
        </w:rPr>
      </w:pPr>
      <w:r>
        <w:rPr>
          <w:rtl/>
        </w:rPr>
        <w:t>(13)</w:t>
      </w:r>
      <w:r w:rsidRPr="00132E65">
        <w:rPr>
          <w:rtl/>
        </w:rPr>
        <w:t xml:space="preserve"> في « ف » : « عن »</w:t>
      </w:r>
      <w:r>
        <w:rPr>
          <w:rtl/>
        </w:rPr>
        <w:t>.</w:t>
      </w:r>
    </w:p>
    <w:p w:rsidR="000C39D1" w:rsidRPr="00132E65" w:rsidRDefault="000C39D1" w:rsidP="000C39D1">
      <w:pPr>
        <w:pStyle w:val="libFootnote0"/>
        <w:rPr>
          <w:rtl/>
          <w:lang w:bidi="fa-IR"/>
        </w:rPr>
      </w:pPr>
      <w:r>
        <w:rPr>
          <w:rtl/>
        </w:rPr>
        <w:t>(14)</w:t>
      </w:r>
      <w:r w:rsidRPr="00132E65">
        <w:rPr>
          <w:rtl/>
        </w:rPr>
        <w:t xml:space="preserve"> في </w:t>
      </w:r>
      <w:r w:rsidRPr="009D1ACE">
        <w:rPr>
          <w:rStyle w:val="libFootnoteBoldChar"/>
          <w:rtl/>
        </w:rPr>
        <w:t>مرآة العقول</w:t>
      </w:r>
      <w:r w:rsidRPr="00132E65">
        <w:rPr>
          <w:rtl/>
        </w:rPr>
        <w:t xml:space="preserve"> : « وهو ، أي محمّد مدبر على الفارس ، فيه تضمين معنى الإقبال ، أو الحملة »</w:t>
      </w:r>
      <w:r>
        <w:rPr>
          <w:rtl/>
        </w:rPr>
        <w:t>.</w:t>
      </w:r>
    </w:p>
    <w:tbl>
      <w:tblPr>
        <w:tblStyle w:val="TableGrid"/>
        <w:bidiVisual/>
        <w:tblW w:w="0" w:type="auto"/>
        <w:tblLook w:val="04A0" w:firstRow="1" w:lastRow="0" w:firstColumn="1" w:lastColumn="0" w:noHBand="0" w:noVBand="1"/>
      </w:tblPr>
      <w:tblGrid>
        <w:gridCol w:w="4006"/>
        <w:gridCol w:w="4006"/>
      </w:tblGrid>
      <w:tr w:rsidR="000C39D1" w:rsidTr="00B53873">
        <w:tc>
          <w:tcPr>
            <w:tcW w:w="4006" w:type="dxa"/>
          </w:tcPr>
          <w:p w:rsidR="000C39D1" w:rsidRDefault="000C39D1" w:rsidP="00B53873">
            <w:pPr>
              <w:pStyle w:val="libFootnote0"/>
              <w:rPr>
                <w:rtl/>
              </w:rPr>
            </w:pPr>
            <w:r>
              <w:rPr>
                <w:rtl/>
              </w:rPr>
              <w:t>(15)</w:t>
            </w:r>
            <w:r w:rsidRPr="00132E65">
              <w:rPr>
                <w:rtl/>
              </w:rPr>
              <w:t xml:space="preserve"> في « ب ، ه‍ </w:t>
            </w:r>
            <w:r w:rsidR="00D14011" w:rsidRPr="00132E65">
              <w:rPr>
                <w:rtl/>
              </w:rPr>
              <w:t>»</w:t>
            </w:r>
            <w:r w:rsidRPr="00132E65">
              <w:rPr>
                <w:rtl/>
              </w:rPr>
              <w:t xml:space="preserve"> : « بضربة »</w:t>
            </w:r>
            <w:r>
              <w:rPr>
                <w:rtl/>
              </w:rPr>
              <w:t>.</w:t>
            </w:r>
          </w:p>
        </w:tc>
        <w:tc>
          <w:tcPr>
            <w:tcW w:w="4006" w:type="dxa"/>
          </w:tcPr>
          <w:p w:rsidR="000C39D1" w:rsidRDefault="000C39D1" w:rsidP="00B53873">
            <w:pPr>
              <w:pStyle w:val="libFootnote0"/>
              <w:rPr>
                <w:rtl/>
              </w:rPr>
            </w:pPr>
            <w:r>
              <w:rPr>
                <w:rtl/>
              </w:rPr>
              <w:t>(16)</w:t>
            </w:r>
            <w:r w:rsidRPr="00132E65">
              <w:rPr>
                <w:rtl/>
              </w:rPr>
              <w:t xml:space="preserve"> في حاشية « ج » : « العمارين »</w:t>
            </w:r>
            <w:r>
              <w:rPr>
                <w:rtl/>
              </w:rPr>
              <w:t>.</w:t>
            </w:r>
          </w:p>
        </w:tc>
      </w:tr>
    </w:tbl>
    <w:p w:rsidR="000C39D1" w:rsidRPr="00132E65" w:rsidRDefault="000C39D1" w:rsidP="00D14011">
      <w:pPr>
        <w:pStyle w:val="libFootnote0"/>
        <w:rPr>
          <w:rtl/>
          <w:lang w:bidi="fa-IR"/>
        </w:rPr>
      </w:pPr>
      <w:r>
        <w:rPr>
          <w:rtl/>
        </w:rPr>
        <w:t>(17)</w:t>
      </w:r>
      <w:r w:rsidRPr="00132E65">
        <w:rPr>
          <w:rtl/>
        </w:rPr>
        <w:t xml:space="preserve"> « الزُجّ » : الحديدة التي في أسفل الرمح. والجمع زِجَجَة وزِجاج ، ولا تقل : أزِجَّة. </w:t>
      </w:r>
      <w:r w:rsidRPr="00E07A6C">
        <w:rPr>
          <w:rtl/>
        </w:rPr>
        <w:t>الصحاح</w:t>
      </w:r>
      <w:r w:rsidR="00D14011">
        <w:rPr>
          <w:rtl/>
        </w:rPr>
        <w:t xml:space="preserve"> ، ج 1 ، ص 318 ( زجج</w:t>
      </w:r>
      <w:r w:rsidRPr="00132E65">
        <w:rPr>
          <w:rtl/>
        </w:rPr>
        <w:t>)</w:t>
      </w:r>
      <w:r>
        <w:rPr>
          <w:rtl/>
        </w:rPr>
        <w:t>.</w:t>
      </w:r>
      <w:r>
        <w:rPr>
          <w:rFonts w:hint="cs"/>
          <w:rtl/>
        </w:rPr>
        <w:t xml:space="preserve">                            </w:t>
      </w:r>
      <w:r w:rsidR="00D14011">
        <w:rPr>
          <w:rFonts w:hint="cs"/>
          <w:rtl/>
        </w:rPr>
        <w:t xml:space="preserve">                        </w:t>
      </w:r>
      <w:r>
        <w:rPr>
          <w:rtl/>
        </w:rPr>
        <w:t>(18)</w:t>
      </w:r>
      <w:r w:rsidRPr="00132E65">
        <w:rPr>
          <w:rtl/>
        </w:rPr>
        <w:t xml:space="preserve"> في البحار </w:t>
      </w:r>
      <w:r>
        <w:rPr>
          <w:rtl/>
        </w:rPr>
        <w:t xml:space="preserve">: - </w:t>
      </w:r>
      <w:r w:rsidRPr="00132E65">
        <w:rPr>
          <w:rtl/>
        </w:rPr>
        <w:t>« إليه »</w:t>
      </w:r>
      <w:r>
        <w:rPr>
          <w:rtl/>
        </w:rPr>
        <w:t>.</w:t>
      </w:r>
    </w:p>
    <w:p w:rsidR="000C39D1" w:rsidRPr="00132E65" w:rsidRDefault="000C39D1" w:rsidP="000C39D1">
      <w:pPr>
        <w:pStyle w:val="libFootnote0"/>
        <w:rPr>
          <w:rtl/>
          <w:lang w:bidi="fa-IR"/>
        </w:rPr>
      </w:pPr>
      <w:r>
        <w:rPr>
          <w:rtl/>
        </w:rPr>
        <w:t>(19)</w:t>
      </w:r>
      <w:r w:rsidRPr="00132E65">
        <w:rPr>
          <w:rtl/>
        </w:rPr>
        <w:t xml:space="preserve"> في « بح » : « أخذ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وَأُجْلِينَا </w:t>
      </w:r>
      <w:r>
        <w:rPr>
          <w:rStyle w:val="libFootnotenumChar"/>
          <w:rtl/>
        </w:rPr>
        <w:t>(1)</w:t>
      </w:r>
      <w:r w:rsidRPr="00132E65">
        <w:rPr>
          <w:rtl/>
          <w:lang w:bidi="fa-IR"/>
        </w:rPr>
        <w:t xml:space="preserve"> هَرَباً فِي الْبِلَادِ </w:t>
      </w:r>
      <w:r>
        <w:rPr>
          <w:rStyle w:val="libFootnotenumChar"/>
          <w:rtl/>
        </w:rPr>
        <w:t>(2)</w:t>
      </w:r>
      <w:r w:rsidR="00B53873" w:rsidRPr="00B53873">
        <w:rPr>
          <w:rStyle w:val="libNormalChar"/>
          <w:rFonts w:hint="cs"/>
          <w:rtl/>
        </w:rPr>
        <w:t>.</w:t>
      </w:r>
    </w:p>
    <w:p w:rsidR="000C39D1" w:rsidRPr="00132E65" w:rsidRDefault="000C39D1" w:rsidP="000C39D1">
      <w:pPr>
        <w:pStyle w:val="libNormal"/>
        <w:rPr>
          <w:rtl/>
          <w:lang w:bidi="fa-IR"/>
        </w:rPr>
      </w:pPr>
      <w:r w:rsidRPr="00132E65">
        <w:rPr>
          <w:rtl/>
          <w:lang w:bidi="fa-IR"/>
        </w:rPr>
        <w:t xml:space="preserve">قَالَ مُوسَى بْنُ عَبْدِ اللهِ : فَانْطَلَقْتُ حَتّى لَحِقْتُ بِإِبْرَاهِيمَ بْنِ عَبْدِ اللهِ ، فَوَجَدْتُ عِيسَى بْنَ زَيْدٍ مُكْمَناً عِنْدَهُ ، فَأَخْبَرْتُهُ بِسُوءِ تَدْبِيرِهِ </w:t>
      </w:r>
      <w:r>
        <w:rPr>
          <w:rStyle w:val="libFootnotenumChar"/>
          <w:rtl/>
        </w:rPr>
        <w:t>(3)</w:t>
      </w:r>
      <w:r w:rsidRPr="00132E65">
        <w:rPr>
          <w:rtl/>
          <w:lang w:bidi="fa-IR"/>
        </w:rPr>
        <w:t xml:space="preserve"> ، وخَرَجْنَا مَعَهُ حَتّى أُصِيبَ</w:t>
      </w:r>
      <w:r>
        <w:rPr>
          <w:rtl/>
          <w:lang w:bidi="fa-IR"/>
        </w:rPr>
        <w:t xml:space="preserve"> - </w:t>
      </w:r>
      <w:r w:rsidRPr="00132E65">
        <w:rPr>
          <w:rtl/>
          <w:lang w:bidi="fa-IR"/>
        </w:rPr>
        <w:t xml:space="preserve">رَحِمَهُ اللهُ </w:t>
      </w:r>
      <w:r>
        <w:rPr>
          <w:rStyle w:val="libFootnotenumChar"/>
          <w:rtl/>
        </w:rPr>
        <w:t>(4)</w:t>
      </w:r>
      <w:r>
        <w:rPr>
          <w:rtl/>
          <w:lang w:bidi="fa-IR"/>
        </w:rPr>
        <w:t xml:space="preserve"> - </w:t>
      </w:r>
      <w:r w:rsidRPr="00132E65">
        <w:rPr>
          <w:rtl/>
          <w:lang w:bidi="fa-IR"/>
        </w:rPr>
        <w:t xml:space="preserve">ثُمَّ مَضَيْتُ </w:t>
      </w:r>
      <w:r>
        <w:rPr>
          <w:rStyle w:val="libFootnotenumChar"/>
          <w:rtl/>
        </w:rPr>
        <w:t>(5)</w:t>
      </w:r>
      <w:r w:rsidRPr="00132E65">
        <w:rPr>
          <w:rtl/>
          <w:lang w:bidi="fa-IR"/>
        </w:rPr>
        <w:t xml:space="preserve"> مَعَ ابْنِ أَخِي الْأَشْتَرِ : عَبْدِ اللهِ بْنِ مُحَمَّدِ بْنِ عَبْدِ اللهِ بْنِ حَسَنٍ </w:t>
      </w:r>
      <w:r>
        <w:rPr>
          <w:rStyle w:val="libFootnotenumChar"/>
          <w:rtl/>
        </w:rPr>
        <w:t>(6)</w:t>
      </w:r>
      <w:r w:rsidRPr="00132E65">
        <w:rPr>
          <w:rtl/>
          <w:lang w:bidi="fa-IR"/>
        </w:rPr>
        <w:t xml:space="preserve"> حَتّى أُصِيبَ بِالسِّنْدِ ، ثُمَّ رَجَعْتُ شَرِيداً </w:t>
      </w:r>
      <w:r>
        <w:rPr>
          <w:rStyle w:val="libFootnotenumChar"/>
          <w:rtl/>
        </w:rPr>
        <w:t>(7)</w:t>
      </w:r>
      <w:r w:rsidRPr="00132E65">
        <w:rPr>
          <w:rtl/>
          <w:lang w:bidi="fa-IR"/>
        </w:rPr>
        <w:t xml:space="preserve"> طَرِيداً </w:t>
      </w:r>
      <w:r>
        <w:rPr>
          <w:rStyle w:val="libFootnotenumChar"/>
          <w:rtl/>
        </w:rPr>
        <w:t>(8)</w:t>
      </w:r>
      <w:r w:rsidRPr="00132E65">
        <w:rPr>
          <w:rtl/>
          <w:lang w:bidi="fa-IR"/>
        </w:rPr>
        <w:t xml:space="preserve"> تَضِيقُ </w:t>
      </w:r>
      <w:r>
        <w:rPr>
          <w:rStyle w:val="libFootnotenumChar"/>
          <w:rtl/>
        </w:rPr>
        <w:t>(9)</w:t>
      </w:r>
      <w:r w:rsidRPr="00132E65">
        <w:rPr>
          <w:rtl/>
          <w:lang w:bidi="fa-IR"/>
        </w:rPr>
        <w:t xml:space="preserve"> عَلَيَّ الْبِلَادُ.</w:t>
      </w:r>
    </w:p>
    <w:p w:rsidR="000C39D1" w:rsidRPr="00132E65" w:rsidRDefault="000C39D1" w:rsidP="000C39D1">
      <w:pPr>
        <w:pStyle w:val="libNormal"/>
        <w:rPr>
          <w:rtl/>
          <w:lang w:bidi="fa-IR"/>
        </w:rPr>
      </w:pPr>
      <w:r w:rsidRPr="00132E65">
        <w:rPr>
          <w:rtl/>
          <w:lang w:bidi="fa-IR"/>
        </w:rPr>
        <w:t>فَلَمَّا ضَاقَتْ عَلَيَّ الْأَرْضُ ، و</w:t>
      </w:r>
      <w:r w:rsidR="00B53873">
        <w:rPr>
          <w:rFonts w:hint="cs"/>
          <w:rtl/>
          <w:lang w:bidi="fa-IR"/>
        </w:rPr>
        <w:t>َ</w:t>
      </w:r>
      <w:r w:rsidRPr="00132E65">
        <w:rPr>
          <w:rtl/>
          <w:lang w:bidi="fa-IR"/>
        </w:rPr>
        <w:t xml:space="preserve">اشْتَدَّ بِيَ </w:t>
      </w:r>
      <w:r>
        <w:rPr>
          <w:rStyle w:val="libFootnotenumChar"/>
          <w:rtl/>
        </w:rPr>
        <w:t>(10)</w:t>
      </w:r>
      <w:r w:rsidRPr="00132E65">
        <w:rPr>
          <w:rtl/>
          <w:lang w:bidi="fa-IR"/>
        </w:rPr>
        <w:t xml:space="preserve"> الْخَوْفُ ، ذَكَرْتُ مَا قَالَ أَبُو عَبْدِ اللهِ </w:t>
      </w:r>
      <w:r w:rsidRPr="00071CF9">
        <w:rPr>
          <w:rStyle w:val="libAlaemChar"/>
          <w:rtl/>
        </w:rPr>
        <w:t>عليه‌السلام</w:t>
      </w:r>
      <w:r w:rsidRPr="00132E65">
        <w:rPr>
          <w:rtl/>
          <w:lang w:bidi="fa-IR"/>
        </w:rPr>
        <w:t xml:space="preserve"> ، فَجِئْتُ إِلَى الْمَهْدِيِّ</w:t>
      </w:r>
      <w:r>
        <w:rPr>
          <w:rtl/>
          <w:lang w:bidi="fa-IR"/>
        </w:rPr>
        <w:t xml:space="preserve"> - </w:t>
      </w:r>
      <w:r w:rsidRPr="00132E65">
        <w:rPr>
          <w:rtl/>
          <w:lang w:bidi="fa-IR"/>
        </w:rPr>
        <w:t>وقَدْ حَجَّ و</w:t>
      </w:r>
      <w:r w:rsidR="00B53873">
        <w:rPr>
          <w:rFonts w:hint="cs"/>
          <w:rtl/>
          <w:lang w:bidi="fa-IR"/>
        </w:rPr>
        <w:t>َ</w:t>
      </w:r>
      <w:r w:rsidRPr="00132E65">
        <w:rPr>
          <w:rtl/>
          <w:lang w:bidi="fa-IR"/>
        </w:rPr>
        <w:t xml:space="preserve">هُوَ يَخْطُبُ النَّاسَ فِي ظِلِّ الْكَعْبَةِ ، فَمَا </w:t>
      </w:r>
      <w:r>
        <w:rPr>
          <w:rStyle w:val="libFootnotenumChar"/>
          <w:rtl/>
        </w:rPr>
        <w:t>(11)</w:t>
      </w:r>
      <w:r w:rsidR="00B53873">
        <w:rPr>
          <w:rtl/>
          <w:lang w:bidi="fa-IR"/>
        </w:rPr>
        <w:t xml:space="preserve"> شَعَرَ إِل</w:t>
      </w:r>
      <w:r w:rsidR="00B53873">
        <w:rPr>
          <w:rFonts w:hint="cs"/>
          <w:rtl/>
          <w:lang w:bidi="fa-IR"/>
        </w:rPr>
        <w:t>َّ</w:t>
      </w:r>
      <w:r w:rsidR="00B53873">
        <w:rPr>
          <w:rtl/>
          <w:lang w:bidi="fa-IR"/>
        </w:rPr>
        <w:t>ا</w:t>
      </w:r>
      <w:r w:rsidRPr="00132E65">
        <w:rPr>
          <w:rtl/>
          <w:lang w:bidi="fa-IR"/>
        </w:rPr>
        <w:t xml:space="preserve"> وَأَنِّي </w:t>
      </w:r>
      <w:r>
        <w:rPr>
          <w:rStyle w:val="libFootnotenumChar"/>
          <w:rtl/>
        </w:rPr>
        <w:t>(12)</w:t>
      </w:r>
      <w:r w:rsidRPr="00132E65">
        <w:rPr>
          <w:rtl/>
          <w:lang w:bidi="fa-IR"/>
        </w:rPr>
        <w:t xml:space="preserve"> قَدْ قُمْتُ مِنْ تَحْتِ</w:t>
      </w:r>
      <w:r>
        <w:rPr>
          <w:rFonts w:hint="cs"/>
          <w:rtl/>
          <w:lang w:bidi="fa-IR"/>
        </w:rPr>
        <w:t xml:space="preserve"> </w:t>
      </w:r>
      <w:r w:rsidRPr="00132E65">
        <w:rPr>
          <w:rtl/>
          <w:lang w:bidi="fa-IR"/>
        </w:rPr>
        <w:t>الْمِنْبَرِ</w:t>
      </w:r>
      <w:r>
        <w:rPr>
          <w:rtl/>
          <w:lang w:bidi="fa-IR"/>
        </w:rPr>
        <w:t xml:space="preserve"> - </w:t>
      </w:r>
      <w:r w:rsidRPr="00132E65">
        <w:rPr>
          <w:rtl/>
          <w:lang w:bidi="fa-IR"/>
        </w:rPr>
        <w:t xml:space="preserve">فَقُلْتُ : لِيَ </w:t>
      </w:r>
      <w:r w:rsidRPr="00F543F1">
        <w:rPr>
          <w:rStyle w:val="libFootnotenumChar"/>
          <w:rtl/>
        </w:rPr>
        <w:t>(</w:t>
      </w:r>
      <w:r w:rsidRPr="00F543F1">
        <w:rPr>
          <w:rStyle w:val="libFootnotenumChar"/>
          <w:rFonts w:hint="cs"/>
          <w:rtl/>
        </w:rPr>
        <w:t>13</w:t>
      </w:r>
      <w:r w:rsidRPr="00F543F1">
        <w:rPr>
          <w:rStyle w:val="libFootnotenumChar"/>
          <w:rtl/>
        </w:rPr>
        <w:t>)</w:t>
      </w:r>
      <w:r w:rsidRPr="00132E65">
        <w:rPr>
          <w:rtl/>
          <w:lang w:bidi="fa-IR"/>
        </w:rPr>
        <w:t xml:space="preserve"> الْأَمَانُ يَا أَمِيرَ الْمُؤْمِنِينَ ، وأَدُلُّكَ عَلى نَصِيحَةٍ لَكَ عِنْدِي</w:t>
      </w:r>
      <w:r>
        <w:rPr>
          <w:rtl/>
          <w:lang w:bidi="fa-IR"/>
        </w:rPr>
        <w:t>؟</w:t>
      </w:r>
      <w:r w:rsidRPr="00132E65">
        <w:rPr>
          <w:rtl/>
          <w:lang w:bidi="fa-IR"/>
        </w:rPr>
        <w:t xml:space="preserve"> فَقَالَ : نَعَمْ ، مَا هِيَ</w:t>
      </w:r>
      <w:r>
        <w:rPr>
          <w:rtl/>
          <w:lang w:bidi="fa-IR"/>
        </w:rPr>
        <w:t>؟</w:t>
      </w:r>
      <w:r w:rsidRPr="00132E65">
        <w:rPr>
          <w:rtl/>
          <w:lang w:bidi="fa-IR"/>
        </w:rPr>
        <w:t xml:space="preserve"> قُلْتُ : أَدُلُّكَ عَلى مُوسَى بْنِ عَبْدِ اللهِ بْنِ حَسَنٍ </w:t>
      </w:r>
      <w:r w:rsidRPr="00F543F1">
        <w:rPr>
          <w:rStyle w:val="libFootnotenumChar"/>
          <w:rtl/>
        </w:rPr>
        <w:t>(</w:t>
      </w:r>
      <w:r w:rsidRPr="00F543F1">
        <w:rPr>
          <w:rStyle w:val="libFootnotenumChar"/>
          <w:rFonts w:hint="cs"/>
          <w:rtl/>
        </w:rPr>
        <w:t>14</w:t>
      </w:r>
      <w:r w:rsidRPr="00F543F1">
        <w:rPr>
          <w:rStyle w:val="libFootnotenumChar"/>
          <w:rtl/>
        </w:rPr>
        <w:t>)</w:t>
      </w:r>
      <w:r w:rsidRPr="00132E65">
        <w:rPr>
          <w:rtl/>
          <w:lang w:bidi="fa-IR"/>
        </w:rPr>
        <w:t xml:space="preserve"> ، فَقَالَ لِي </w:t>
      </w:r>
      <w:r w:rsidRPr="00F543F1">
        <w:rPr>
          <w:rStyle w:val="libFootnotenumChar"/>
          <w:rtl/>
        </w:rPr>
        <w:t>(</w:t>
      </w:r>
      <w:r w:rsidRPr="00F543F1">
        <w:rPr>
          <w:rStyle w:val="libFootnotenumChar"/>
          <w:rFonts w:hint="cs"/>
          <w:rtl/>
        </w:rPr>
        <w:t>15</w:t>
      </w:r>
      <w:r w:rsidRPr="00F543F1">
        <w:rPr>
          <w:rStyle w:val="libFootnotenumChar"/>
          <w:rtl/>
        </w:rPr>
        <w:t>)</w:t>
      </w:r>
      <w:r w:rsidRPr="00132E65">
        <w:rPr>
          <w:rtl/>
          <w:lang w:bidi="fa-IR"/>
        </w:rPr>
        <w:t xml:space="preserve"> : نَعَمْ ، لَكَ الْأَمَانُ ، فَقُلْتُ لَهُ : أَعْطِنِي مَا أَثِقُ بِهِ ، فَأَخَذْتُ مِنْهُ‌</w:t>
      </w:r>
    </w:p>
    <w:p w:rsidR="000C39D1" w:rsidRDefault="000C39D1" w:rsidP="000C39D1">
      <w:pPr>
        <w:pStyle w:val="libLine"/>
        <w:rPr>
          <w:rtl/>
          <w:lang w:bidi="fa-IR"/>
        </w:rPr>
      </w:pPr>
      <w:r w:rsidRPr="00132E65">
        <w:rPr>
          <w:rtl/>
          <w:lang w:bidi="fa-IR"/>
        </w:rPr>
        <w:t>__________________</w:t>
      </w:r>
    </w:p>
    <w:p w:rsidR="000C39D1" w:rsidRPr="00132E65" w:rsidRDefault="000C39D1" w:rsidP="002421D2">
      <w:pPr>
        <w:pStyle w:val="libFootnote0"/>
        <w:rPr>
          <w:rtl/>
          <w:lang w:bidi="fa-IR"/>
        </w:rPr>
      </w:pPr>
      <w:r w:rsidRPr="00132E65">
        <w:rPr>
          <w:rtl/>
        </w:rPr>
        <w:t>(</w:t>
      </w:r>
      <w:r>
        <w:rPr>
          <w:rFonts w:hint="cs"/>
          <w:rtl/>
        </w:rPr>
        <w:t>1</w:t>
      </w:r>
      <w:r w:rsidRPr="00132E65">
        <w:rPr>
          <w:rtl/>
        </w:rPr>
        <w:t>)</w:t>
      </w:r>
      <w:r>
        <w:rPr>
          <w:rtl/>
        </w:rPr>
        <w:t>.</w:t>
      </w:r>
      <w:r w:rsidRPr="00132E65">
        <w:rPr>
          <w:rtl/>
        </w:rPr>
        <w:t xml:space="preserve"> « الجَلاء » : الخروج عن البلد. يقال جَلَوْا عن أوطانهم ، وجَلَوْتُهم أنا. ويقال أيضاً : أجْلَوْا عن البلد ، وأجليتهم أنا. يتعدّى ولا يتعدّى. فيمكن أن يقرأ هنا على بناء المعلوم والمجهول. راجع : </w:t>
      </w:r>
      <w:r w:rsidRPr="00B53873">
        <w:rPr>
          <w:rStyle w:val="libFootnoteBoldChar"/>
          <w:rtl/>
        </w:rPr>
        <w:t>الصحاح</w:t>
      </w:r>
      <w:r w:rsidRPr="00132E65">
        <w:rPr>
          <w:rtl/>
        </w:rPr>
        <w:t xml:space="preserve"> </w:t>
      </w:r>
      <w:r w:rsidR="00B53873">
        <w:rPr>
          <w:rtl/>
        </w:rPr>
        <w:t>، ج 6 ، ص 2304 ( جلا</w:t>
      </w:r>
      <w:r w:rsidRPr="00132E65">
        <w:rPr>
          <w:rtl/>
        </w:rPr>
        <w:t>)</w:t>
      </w:r>
      <w:r>
        <w:rPr>
          <w:rtl/>
        </w:rPr>
        <w:t>.</w:t>
      </w:r>
    </w:p>
    <w:p w:rsidR="000C39D1" w:rsidRPr="00132E65" w:rsidRDefault="000C39D1" w:rsidP="000C39D1">
      <w:pPr>
        <w:pStyle w:val="libFootnote0"/>
        <w:rPr>
          <w:rtl/>
          <w:lang w:bidi="fa-IR"/>
        </w:rPr>
      </w:pPr>
      <w:r>
        <w:rPr>
          <w:rtl/>
        </w:rPr>
        <w:t>(2).</w:t>
      </w:r>
      <w:r w:rsidRPr="00132E65">
        <w:rPr>
          <w:rtl/>
        </w:rPr>
        <w:t xml:space="preserve"> في « بس » :</w:t>
      </w:r>
      <w:r>
        <w:rPr>
          <w:rtl/>
        </w:rPr>
        <w:t xml:space="preserve"> + </w:t>
      </w:r>
      <w:r w:rsidRPr="00132E65">
        <w:rPr>
          <w:rtl/>
        </w:rPr>
        <w:t xml:space="preserve">« </w:t>
      </w:r>
      <w:r>
        <w:rPr>
          <w:rtl/>
        </w:rPr>
        <w:t>و ».</w:t>
      </w:r>
    </w:p>
    <w:tbl>
      <w:tblPr>
        <w:tblStyle w:val="TableGrid"/>
        <w:bidiVisual/>
        <w:tblW w:w="0" w:type="auto"/>
        <w:tblLook w:val="04A0" w:firstRow="1" w:lastRow="0" w:firstColumn="1" w:lastColumn="0" w:noHBand="0" w:noVBand="1"/>
      </w:tblPr>
      <w:tblGrid>
        <w:gridCol w:w="4006"/>
        <w:gridCol w:w="4006"/>
      </w:tblGrid>
      <w:tr w:rsidR="00B53873" w:rsidTr="00B53873">
        <w:tc>
          <w:tcPr>
            <w:tcW w:w="4006" w:type="dxa"/>
          </w:tcPr>
          <w:p w:rsidR="00B53873" w:rsidRDefault="00B53873" w:rsidP="000C39D1">
            <w:pPr>
              <w:pStyle w:val="libFootnote0"/>
              <w:rPr>
                <w:rtl/>
              </w:rPr>
            </w:pPr>
            <w:r>
              <w:rPr>
                <w:rtl/>
              </w:rPr>
              <w:t>(3).</w:t>
            </w:r>
            <w:r w:rsidRPr="00132E65">
              <w:rPr>
                <w:rtl/>
              </w:rPr>
              <w:t xml:space="preserve"> في « ف » : « تدبيرهم »</w:t>
            </w:r>
            <w:r>
              <w:rPr>
                <w:rtl/>
              </w:rPr>
              <w:t>.</w:t>
            </w:r>
          </w:p>
        </w:tc>
        <w:tc>
          <w:tcPr>
            <w:tcW w:w="4006" w:type="dxa"/>
          </w:tcPr>
          <w:p w:rsidR="00B53873" w:rsidRDefault="00B53873" w:rsidP="000C39D1">
            <w:pPr>
              <w:pStyle w:val="libFootnote0"/>
              <w:rPr>
                <w:rtl/>
              </w:rPr>
            </w:pPr>
            <w:r>
              <w:rPr>
                <w:rtl/>
              </w:rPr>
              <w:t>(4).</w:t>
            </w:r>
            <w:r w:rsidR="007C24AF">
              <w:rPr>
                <w:rtl/>
              </w:rPr>
              <w:t xml:space="preserve"> في البحار: «</w:t>
            </w:r>
            <w:r w:rsidRPr="00132E65">
              <w:rPr>
                <w:rtl/>
              </w:rPr>
              <w:t>رحمة الله »</w:t>
            </w:r>
            <w:r>
              <w:rPr>
                <w:rtl/>
              </w:rPr>
              <w:t>.</w:t>
            </w:r>
            <w:r w:rsidRPr="00132E65">
              <w:rPr>
                <w:rtl/>
              </w:rPr>
              <w:t xml:space="preserve"> وفي </w:t>
            </w:r>
            <w:r w:rsidRPr="00B53873">
              <w:rPr>
                <w:rtl/>
              </w:rPr>
              <w:t>الوافي</w:t>
            </w:r>
            <w:r w:rsidRPr="00132E65">
              <w:rPr>
                <w:rtl/>
              </w:rPr>
              <w:t xml:space="preserve"> </w:t>
            </w:r>
            <w:r>
              <w:rPr>
                <w:rtl/>
              </w:rPr>
              <w:t xml:space="preserve">: - </w:t>
            </w:r>
            <w:r w:rsidRPr="00132E65">
              <w:rPr>
                <w:rtl/>
              </w:rPr>
              <w:t xml:space="preserve">« </w:t>
            </w:r>
            <w:r w:rsidRPr="00B53873">
              <w:rPr>
                <w:rStyle w:val="libFootnoteAlaemChar"/>
                <w:rtl/>
              </w:rPr>
              <w:t>رحمه‌الله</w:t>
            </w:r>
            <w:r w:rsidRPr="00132E65">
              <w:rPr>
                <w:rtl/>
              </w:rPr>
              <w:t xml:space="preserve"> »</w:t>
            </w:r>
            <w:r>
              <w:rPr>
                <w:rtl/>
              </w:rPr>
              <w:t>.</w:t>
            </w:r>
          </w:p>
        </w:tc>
      </w:tr>
    </w:tbl>
    <w:p w:rsidR="000C39D1" w:rsidRPr="00132E65" w:rsidRDefault="000C39D1" w:rsidP="000C39D1">
      <w:pPr>
        <w:pStyle w:val="libFootnote0"/>
        <w:rPr>
          <w:rtl/>
          <w:lang w:bidi="fa-IR"/>
        </w:rPr>
      </w:pPr>
      <w:r>
        <w:rPr>
          <w:rtl/>
        </w:rPr>
        <w:t>(5).</w:t>
      </w:r>
      <w:r w:rsidRPr="00132E65">
        <w:rPr>
          <w:rtl/>
        </w:rPr>
        <w:t xml:space="preserve"> في « ف ، بس ، بف » وحاشية « ج » </w:t>
      </w:r>
      <w:r w:rsidRPr="007C24AF">
        <w:rPr>
          <w:rtl/>
        </w:rPr>
        <w:t>والوافي</w:t>
      </w:r>
      <w:r w:rsidRPr="00132E65">
        <w:rPr>
          <w:rtl/>
        </w:rPr>
        <w:t xml:space="preserve"> : « مضينا »</w:t>
      </w:r>
      <w:r>
        <w:rPr>
          <w:rtl/>
        </w:rPr>
        <w:t>.</w:t>
      </w:r>
    </w:p>
    <w:p w:rsidR="000C39D1" w:rsidRPr="00132E65" w:rsidRDefault="000C39D1" w:rsidP="000C39D1">
      <w:pPr>
        <w:pStyle w:val="libFootnote0"/>
        <w:rPr>
          <w:rtl/>
          <w:lang w:bidi="fa-IR"/>
        </w:rPr>
      </w:pPr>
      <w:r>
        <w:rPr>
          <w:rtl/>
        </w:rPr>
        <w:t>(6).</w:t>
      </w:r>
      <w:r w:rsidRPr="00132E65">
        <w:rPr>
          <w:rtl/>
        </w:rPr>
        <w:t xml:space="preserve"> في « ب » : « الحسن »</w:t>
      </w:r>
      <w:r>
        <w:rPr>
          <w:rtl/>
        </w:rPr>
        <w:t>.</w:t>
      </w:r>
    </w:p>
    <w:p w:rsidR="000C39D1" w:rsidRPr="00132E65" w:rsidRDefault="000C39D1" w:rsidP="000C39D1">
      <w:pPr>
        <w:pStyle w:val="libFootnote0"/>
        <w:rPr>
          <w:rtl/>
          <w:lang w:bidi="fa-IR"/>
        </w:rPr>
      </w:pPr>
      <w:r>
        <w:rPr>
          <w:rtl/>
        </w:rPr>
        <w:t>(7).</w:t>
      </w:r>
      <w:r w:rsidRPr="00132E65">
        <w:rPr>
          <w:rtl/>
        </w:rPr>
        <w:t xml:space="preserve"> « الشريد » : النافر ؛ من شرد البعير يَشْرُد شروداً وشِراداً ، إذا نفر وذهب في الأرض. راجع : </w:t>
      </w:r>
      <w:r w:rsidRPr="007C24AF">
        <w:rPr>
          <w:rStyle w:val="libFootnoteBoldChar"/>
          <w:rtl/>
        </w:rPr>
        <w:t>النهاية</w:t>
      </w:r>
      <w:r w:rsidRPr="00132E65">
        <w:rPr>
          <w:rtl/>
        </w:rPr>
        <w:t xml:space="preserve"> ، ج 2 ، ص 457 ( شرد )</w:t>
      </w:r>
      <w:r>
        <w:rPr>
          <w:rtl/>
        </w:rPr>
        <w:t>.</w:t>
      </w:r>
    </w:p>
    <w:p w:rsidR="000C39D1" w:rsidRPr="00132E65" w:rsidRDefault="000C39D1" w:rsidP="000C39D1">
      <w:pPr>
        <w:pStyle w:val="libFootnote0"/>
        <w:rPr>
          <w:rtl/>
          <w:lang w:bidi="fa-IR"/>
        </w:rPr>
      </w:pPr>
      <w:r>
        <w:rPr>
          <w:rtl/>
        </w:rPr>
        <w:t>(8).</w:t>
      </w:r>
      <w:r w:rsidRPr="00132E65">
        <w:rPr>
          <w:rtl/>
        </w:rPr>
        <w:t xml:space="preserve"> « طريداً » ، أي مُخْرَجاً مُبْعَداً. يقال : أطرده السلطان وطرّده ، إذا أخرجه عن بلده. وحقيقته أنّه صيّره طريداً. وطردت الرجل طرداً ، إذا أبعدته. راجع : </w:t>
      </w:r>
      <w:r w:rsidRPr="007C24AF">
        <w:rPr>
          <w:rStyle w:val="libFootnoteBoldChar"/>
          <w:rtl/>
        </w:rPr>
        <w:t>النهاية</w:t>
      </w:r>
      <w:r w:rsidRPr="00132E65">
        <w:rPr>
          <w:rtl/>
        </w:rPr>
        <w:t xml:space="preserve"> ، ج 3 ، ص 118 ( طرد )</w:t>
      </w:r>
      <w:r>
        <w:rPr>
          <w:rtl/>
        </w:rPr>
        <w:t>.</w:t>
      </w:r>
    </w:p>
    <w:p w:rsidR="000C39D1" w:rsidRPr="00132E65" w:rsidRDefault="000C39D1" w:rsidP="007C24AF">
      <w:pPr>
        <w:pStyle w:val="libFootnote0"/>
        <w:rPr>
          <w:rtl/>
          <w:lang w:bidi="fa-IR"/>
        </w:rPr>
      </w:pPr>
      <w:r>
        <w:rPr>
          <w:rtl/>
        </w:rPr>
        <w:t>(9).</w:t>
      </w:r>
      <w:r w:rsidRPr="00132E65">
        <w:rPr>
          <w:rtl/>
        </w:rPr>
        <w:t xml:space="preserve"> هكذا في أكثر النسخ ، ويؤيّده قوله : « ضاقت »</w:t>
      </w:r>
      <w:r>
        <w:rPr>
          <w:rtl/>
        </w:rPr>
        <w:t>.</w:t>
      </w:r>
      <w:r w:rsidRPr="00132E65">
        <w:rPr>
          <w:rtl/>
        </w:rPr>
        <w:t xml:space="preserve"> وفي المطبوع : « تضيّق »</w:t>
      </w:r>
      <w:r>
        <w:rPr>
          <w:rtl/>
        </w:rPr>
        <w:t>.</w:t>
      </w:r>
      <w:r w:rsidRPr="00132E65">
        <w:rPr>
          <w:rtl/>
        </w:rPr>
        <w:t xml:space="preserve"> وفي « ه‍ </w:t>
      </w:r>
      <w:r w:rsidR="007C24AF" w:rsidRPr="00132E65">
        <w:rPr>
          <w:rtl/>
        </w:rPr>
        <w:t>»</w:t>
      </w:r>
      <w:r w:rsidRPr="00132E65">
        <w:rPr>
          <w:rtl/>
        </w:rPr>
        <w:t xml:space="preserve"> : « يضيق »</w:t>
      </w:r>
      <w:r>
        <w:rPr>
          <w:rtl/>
        </w:rPr>
        <w:t>.</w:t>
      </w:r>
    </w:p>
    <w:p w:rsidR="000C39D1" w:rsidRPr="00132E65" w:rsidRDefault="000C39D1" w:rsidP="000C39D1">
      <w:pPr>
        <w:pStyle w:val="libFootnote0"/>
        <w:rPr>
          <w:rtl/>
          <w:lang w:bidi="fa-IR"/>
        </w:rPr>
      </w:pPr>
      <w:r>
        <w:rPr>
          <w:rtl/>
        </w:rPr>
        <w:t>(10).</w:t>
      </w:r>
      <w:r w:rsidRPr="00132E65">
        <w:rPr>
          <w:rtl/>
        </w:rPr>
        <w:t xml:space="preserve"> في « ب ، ج ، ض ، ف ، بر ، بس ، بف » و</w:t>
      </w:r>
      <w:r w:rsidRPr="009D1ACE">
        <w:rPr>
          <w:rStyle w:val="libFootnoteBoldChar"/>
          <w:rtl/>
        </w:rPr>
        <w:t>الوافي</w:t>
      </w:r>
      <w:r w:rsidRPr="00132E65">
        <w:rPr>
          <w:rtl/>
        </w:rPr>
        <w:t xml:space="preserve"> والبحار </w:t>
      </w:r>
      <w:r>
        <w:rPr>
          <w:rtl/>
        </w:rPr>
        <w:t xml:space="preserve">: - </w:t>
      </w:r>
      <w:r w:rsidRPr="00132E65">
        <w:rPr>
          <w:rtl/>
        </w:rPr>
        <w:t>« بي »</w:t>
      </w:r>
      <w:r>
        <w:rPr>
          <w:rtl/>
        </w:rPr>
        <w:t>.</w:t>
      </w:r>
    </w:p>
    <w:tbl>
      <w:tblPr>
        <w:tblStyle w:val="TableGrid"/>
        <w:bidiVisual/>
        <w:tblW w:w="0" w:type="auto"/>
        <w:tblLook w:val="04A0" w:firstRow="1" w:lastRow="0" w:firstColumn="1" w:lastColumn="0" w:noHBand="0" w:noVBand="1"/>
      </w:tblPr>
      <w:tblGrid>
        <w:gridCol w:w="4006"/>
        <w:gridCol w:w="4006"/>
      </w:tblGrid>
      <w:tr w:rsidR="007C24AF" w:rsidTr="007C24AF">
        <w:tc>
          <w:tcPr>
            <w:tcW w:w="4006" w:type="dxa"/>
          </w:tcPr>
          <w:p w:rsidR="007C24AF" w:rsidRDefault="007C24AF" w:rsidP="000C39D1">
            <w:pPr>
              <w:pStyle w:val="libFootnote0"/>
              <w:rPr>
                <w:rtl/>
              </w:rPr>
            </w:pPr>
            <w:r>
              <w:rPr>
                <w:rtl/>
              </w:rPr>
              <w:t>(11).</w:t>
            </w:r>
            <w:r w:rsidRPr="00132E65">
              <w:rPr>
                <w:rtl/>
              </w:rPr>
              <w:t xml:space="preserve"> في « بر » : « وما »</w:t>
            </w:r>
            <w:r>
              <w:rPr>
                <w:rtl/>
              </w:rPr>
              <w:t>.</w:t>
            </w:r>
          </w:p>
        </w:tc>
        <w:tc>
          <w:tcPr>
            <w:tcW w:w="4006" w:type="dxa"/>
          </w:tcPr>
          <w:p w:rsidR="007C24AF" w:rsidRDefault="007C24AF" w:rsidP="000C39D1">
            <w:pPr>
              <w:pStyle w:val="libFootnote0"/>
              <w:rPr>
                <w:rtl/>
              </w:rPr>
            </w:pPr>
            <w:r>
              <w:rPr>
                <w:rtl/>
              </w:rPr>
              <w:t>(12).</w:t>
            </w:r>
            <w:r w:rsidRPr="00132E65">
              <w:rPr>
                <w:rtl/>
              </w:rPr>
              <w:t xml:space="preserve"> في « بر » : « أنا »</w:t>
            </w:r>
            <w:r>
              <w:rPr>
                <w:rtl/>
              </w:rPr>
              <w:t>.</w:t>
            </w:r>
          </w:p>
        </w:tc>
      </w:tr>
      <w:tr w:rsidR="007C24AF" w:rsidTr="007C24AF">
        <w:tc>
          <w:tcPr>
            <w:tcW w:w="4006" w:type="dxa"/>
          </w:tcPr>
          <w:p w:rsidR="007C24AF" w:rsidRDefault="007C24AF" w:rsidP="000C39D1">
            <w:pPr>
              <w:pStyle w:val="libFootnote0"/>
              <w:rPr>
                <w:rtl/>
              </w:rPr>
            </w:pPr>
            <w:r>
              <w:rPr>
                <w:rtl/>
              </w:rPr>
              <w:t>(13) في « بس » : « أ</w:t>
            </w:r>
            <w:r w:rsidRPr="00132E65">
              <w:rPr>
                <w:rtl/>
              </w:rPr>
              <w:t>لي »</w:t>
            </w:r>
            <w:r>
              <w:rPr>
                <w:rtl/>
              </w:rPr>
              <w:t>.</w:t>
            </w:r>
          </w:p>
        </w:tc>
        <w:tc>
          <w:tcPr>
            <w:tcW w:w="4006" w:type="dxa"/>
          </w:tcPr>
          <w:p w:rsidR="007C24AF" w:rsidRDefault="007C24AF" w:rsidP="000C39D1">
            <w:pPr>
              <w:pStyle w:val="libFootnote0"/>
              <w:rPr>
                <w:rtl/>
              </w:rPr>
            </w:pPr>
            <w:r>
              <w:rPr>
                <w:rtl/>
              </w:rPr>
              <w:t>(14)</w:t>
            </w:r>
            <w:r w:rsidRPr="00132E65">
              <w:rPr>
                <w:rtl/>
              </w:rPr>
              <w:t xml:space="preserve"> في « ض » </w:t>
            </w:r>
            <w:r w:rsidRPr="007C24AF">
              <w:rPr>
                <w:rtl/>
              </w:rPr>
              <w:t>والوافي</w:t>
            </w:r>
            <w:r w:rsidRPr="00132E65">
              <w:rPr>
                <w:rtl/>
              </w:rPr>
              <w:t xml:space="preserve"> : « الحسن »</w:t>
            </w:r>
            <w:r>
              <w:rPr>
                <w:rtl/>
              </w:rPr>
              <w:t>.</w:t>
            </w:r>
          </w:p>
        </w:tc>
      </w:tr>
    </w:tbl>
    <w:p w:rsidR="000C39D1" w:rsidRPr="00132E65" w:rsidRDefault="000C39D1" w:rsidP="000C39D1">
      <w:pPr>
        <w:pStyle w:val="libFootnote0"/>
        <w:rPr>
          <w:rtl/>
          <w:lang w:bidi="fa-IR"/>
        </w:rPr>
      </w:pPr>
      <w:r>
        <w:rPr>
          <w:rtl/>
        </w:rPr>
        <w:t>(15)</w:t>
      </w:r>
      <w:r w:rsidRPr="00132E65">
        <w:rPr>
          <w:rtl/>
        </w:rPr>
        <w:t xml:space="preserve"> في البحار </w:t>
      </w:r>
      <w:r>
        <w:rPr>
          <w:rtl/>
        </w:rPr>
        <w:t xml:space="preserve">: - </w:t>
      </w:r>
      <w:r w:rsidRPr="00132E65">
        <w:rPr>
          <w:rtl/>
        </w:rPr>
        <w:t>« لي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عُهُوداً و</w:t>
      </w:r>
      <w:r w:rsidR="007C24AF">
        <w:rPr>
          <w:rFonts w:hint="cs"/>
          <w:rtl/>
          <w:lang w:bidi="fa-IR"/>
        </w:rPr>
        <w:t>َ</w:t>
      </w:r>
      <w:r w:rsidRPr="00132E65">
        <w:rPr>
          <w:rtl/>
          <w:lang w:bidi="fa-IR"/>
        </w:rPr>
        <w:t>مَوَاثِيقَ ، و</w:t>
      </w:r>
      <w:r w:rsidR="007C24AF">
        <w:rPr>
          <w:rFonts w:hint="cs"/>
          <w:rtl/>
          <w:lang w:bidi="fa-IR"/>
        </w:rPr>
        <w:t xml:space="preserve">َ </w:t>
      </w:r>
      <w:r w:rsidRPr="00132E65">
        <w:rPr>
          <w:rtl/>
          <w:lang w:bidi="fa-IR"/>
        </w:rPr>
        <w:t>و</w:t>
      </w:r>
      <w:r w:rsidR="007C24AF">
        <w:rPr>
          <w:rFonts w:hint="cs"/>
          <w:rtl/>
          <w:lang w:bidi="fa-IR"/>
        </w:rPr>
        <w:t>َ</w:t>
      </w:r>
      <w:r w:rsidRPr="00132E65">
        <w:rPr>
          <w:rtl/>
          <w:lang w:bidi="fa-IR"/>
        </w:rPr>
        <w:t xml:space="preserve">ثَّقْتُ لِنَفْسِي ، ثُمَّ قُلْتُ </w:t>
      </w:r>
      <w:r>
        <w:rPr>
          <w:rStyle w:val="libFootnotenumChar"/>
          <w:rtl/>
        </w:rPr>
        <w:t>(1)</w:t>
      </w:r>
      <w:r w:rsidRPr="00132E65">
        <w:rPr>
          <w:rtl/>
          <w:lang w:bidi="fa-IR"/>
        </w:rPr>
        <w:t xml:space="preserve"> : أَنَا مُوسَى بْنُ عَبْدِ اللهِ ، فَقَالَ لِي : إِذاً تُكْرَمَ وتُحْبى </w:t>
      </w:r>
      <w:r>
        <w:rPr>
          <w:rStyle w:val="libFootnotenumChar"/>
          <w:rtl/>
        </w:rPr>
        <w:t>(2)</w:t>
      </w:r>
      <w:r w:rsidRPr="00132E65">
        <w:rPr>
          <w:rtl/>
          <w:lang w:bidi="fa-IR"/>
        </w:rPr>
        <w:t xml:space="preserve"> ، فَقُلْتُ لَهُ : أَقْطِعْنِي </w:t>
      </w:r>
      <w:r>
        <w:rPr>
          <w:rStyle w:val="libFootnotenumChar"/>
          <w:rtl/>
        </w:rPr>
        <w:t>(3)</w:t>
      </w:r>
      <w:r w:rsidRPr="00132E65">
        <w:rPr>
          <w:rtl/>
          <w:lang w:bidi="fa-IR"/>
        </w:rPr>
        <w:t xml:space="preserve"> إِلى بَعْضِ أَهْلِ بَيْتِكَ يَقُومُ بِأَمْرِي عِنْدَكَ ، فَقَالَ لِيَ </w:t>
      </w:r>
      <w:r>
        <w:rPr>
          <w:rStyle w:val="libFootnotenumChar"/>
          <w:rtl/>
        </w:rPr>
        <w:t>(4)</w:t>
      </w:r>
      <w:r w:rsidRPr="00132E65">
        <w:rPr>
          <w:rtl/>
          <w:lang w:bidi="fa-IR"/>
        </w:rPr>
        <w:t xml:space="preserve"> : انْظُرْ إِلى </w:t>
      </w:r>
      <w:r>
        <w:rPr>
          <w:rStyle w:val="libFootnotenumChar"/>
          <w:rtl/>
        </w:rPr>
        <w:t>(5)</w:t>
      </w:r>
      <w:r w:rsidRPr="00132E65">
        <w:rPr>
          <w:rtl/>
          <w:lang w:bidi="fa-IR"/>
        </w:rPr>
        <w:t xml:space="preserve"> مَنْ أَرَدْتَ ، فَقُلْتُ : عَمَّكَ الْعَبَّاسَ بْنَ مُحَمَّدٍ ، فَقَالَ الْعَبَّاسُ : لَاحَاجَةَ لِي فِيكَ ، فَقُلْتُ : ولكِنْ لِي فِيكَ الْحَاجَةُ ، أَسْأَلُكَ بِحَق</w:t>
      </w:r>
      <w:r w:rsidR="007C24AF">
        <w:rPr>
          <w:rtl/>
          <w:lang w:bidi="fa-IR"/>
        </w:rPr>
        <w:t>ِّ أَمِيرِ الْمُؤْمِنِينَ إِل</w:t>
      </w:r>
      <w:r w:rsidR="007C24AF">
        <w:rPr>
          <w:rFonts w:hint="cs"/>
          <w:rtl/>
          <w:lang w:bidi="fa-IR"/>
        </w:rPr>
        <w:t>َّ</w:t>
      </w:r>
      <w:r w:rsidR="007C24AF">
        <w:rPr>
          <w:rtl/>
          <w:lang w:bidi="fa-IR"/>
        </w:rPr>
        <w:t>ا</w:t>
      </w:r>
      <w:r w:rsidRPr="00132E65">
        <w:rPr>
          <w:rtl/>
          <w:lang w:bidi="fa-IR"/>
        </w:rPr>
        <w:t xml:space="preserve"> قَبِلْتَنِي ، فَقَبِلَنِي </w:t>
      </w:r>
      <w:r>
        <w:rPr>
          <w:rStyle w:val="libFootnotenumChar"/>
          <w:rtl/>
        </w:rPr>
        <w:t>(6)</w:t>
      </w:r>
      <w:r w:rsidRPr="00132E65">
        <w:rPr>
          <w:rtl/>
          <w:lang w:bidi="fa-IR"/>
        </w:rPr>
        <w:t xml:space="preserve"> شَاءَ أَوْ أَبى.</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(7)</w:t>
      </w:r>
      <w:r w:rsidRPr="00132E65">
        <w:rPr>
          <w:rtl/>
          <w:lang w:bidi="fa-IR"/>
        </w:rPr>
        <w:t xml:space="preserve"> قَالَ لِيَ </w:t>
      </w:r>
      <w:r>
        <w:rPr>
          <w:rStyle w:val="libFootnotenumChar"/>
          <w:rtl/>
        </w:rPr>
        <w:t>(8)</w:t>
      </w:r>
      <w:r w:rsidRPr="00132E65">
        <w:rPr>
          <w:rtl/>
          <w:lang w:bidi="fa-IR"/>
        </w:rPr>
        <w:t xml:space="preserve"> الْمَهْدِيُّ : مَنْ يَعْرِفُكَ</w:t>
      </w:r>
      <w:r>
        <w:rPr>
          <w:rtl/>
          <w:lang w:bidi="fa-IR"/>
        </w:rPr>
        <w:t xml:space="preserve">؟ - </w:t>
      </w:r>
      <w:r w:rsidRPr="00132E65">
        <w:rPr>
          <w:rtl/>
          <w:lang w:bidi="fa-IR"/>
        </w:rPr>
        <w:t>و</w:t>
      </w:r>
      <w:r w:rsidR="007C24AF">
        <w:rPr>
          <w:rFonts w:hint="cs"/>
          <w:rtl/>
          <w:lang w:bidi="fa-IR"/>
        </w:rPr>
        <w:t>َ</w:t>
      </w:r>
      <w:r w:rsidRPr="00132E65">
        <w:rPr>
          <w:rtl/>
          <w:lang w:bidi="fa-IR"/>
        </w:rPr>
        <w:t xml:space="preserve">حَوْلَهُ أَصْحَابُنَا أَوْ </w:t>
      </w:r>
      <w:r>
        <w:rPr>
          <w:rStyle w:val="libFootnotenumChar"/>
          <w:rtl/>
        </w:rPr>
        <w:t>(9)</w:t>
      </w:r>
      <w:r w:rsidRPr="00132E65">
        <w:rPr>
          <w:rtl/>
          <w:lang w:bidi="fa-IR"/>
        </w:rPr>
        <w:t xml:space="preserve"> أَكْثَرُهُمْ</w:t>
      </w:r>
      <w:r>
        <w:rPr>
          <w:rtl/>
          <w:lang w:bidi="fa-IR"/>
        </w:rPr>
        <w:t xml:space="preserve"> - </w:t>
      </w:r>
      <w:r w:rsidRPr="00132E65">
        <w:rPr>
          <w:rtl/>
          <w:lang w:bidi="fa-IR"/>
        </w:rPr>
        <w:t xml:space="preserve">فَقُلْتُ : هذَا الْحَسَنُ بْنُ زَيْدٍ يَعْرِفُنِي ، وهذَا مُوسَى بْنُ جَعْفَرٍ يَعْرِفُنِي ، وهذَا الْحَسَنُ بْنُ عَبْدِ اللهِ </w:t>
      </w:r>
      <w:r>
        <w:rPr>
          <w:rStyle w:val="libFootnotenumChar"/>
          <w:rtl/>
        </w:rPr>
        <w:t>(10)</w:t>
      </w:r>
      <w:r w:rsidRPr="00132E65">
        <w:rPr>
          <w:rtl/>
          <w:lang w:bidi="fa-IR"/>
        </w:rPr>
        <w:t xml:space="preserve"> بْنِ الْعَبَّاسِ </w:t>
      </w:r>
      <w:r>
        <w:rPr>
          <w:rStyle w:val="libFootnotenumChar"/>
          <w:rtl/>
        </w:rPr>
        <w:t>(11)</w:t>
      </w:r>
      <w:r w:rsidRPr="00132E65">
        <w:rPr>
          <w:rtl/>
          <w:lang w:bidi="fa-IR"/>
        </w:rPr>
        <w:t xml:space="preserve"> يَعْرِفُنِي ، فَقَالُوا : نَعَمْ ، يَا أَمِيرَ الْمُؤْمِنِينَ </w:t>
      </w:r>
      <w:r>
        <w:rPr>
          <w:rStyle w:val="libFootnotenumChar"/>
          <w:rtl/>
        </w:rPr>
        <w:t>(12)</w:t>
      </w:r>
      <w:r w:rsidRPr="00132E65">
        <w:rPr>
          <w:rtl/>
          <w:lang w:bidi="fa-IR"/>
        </w:rPr>
        <w:t xml:space="preserve"> ، كَأَنَّهُ لَمْ يَغِبْ عَنَّا.</w:t>
      </w:r>
    </w:p>
    <w:p w:rsidR="000C39D1" w:rsidRPr="00132E65" w:rsidRDefault="000C39D1" w:rsidP="000C39D1">
      <w:pPr>
        <w:pStyle w:val="libNormal"/>
        <w:rPr>
          <w:rtl/>
          <w:lang w:bidi="fa-IR"/>
        </w:rPr>
      </w:pPr>
      <w:r w:rsidRPr="00132E65">
        <w:rPr>
          <w:rtl/>
          <w:lang w:bidi="fa-IR"/>
        </w:rPr>
        <w:t>ثُمَّ قُلْتُ لِلْمَهْدِيِّ : يَا أَمِيرَ الْمُؤْمِنِينَ ، لَقَدْ أَخْبَرَنِي بِهذَا الْمَقَامِ أَبُو هذَا الرَّجُلِ</w:t>
      </w:r>
      <w:r>
        <w:rPr>
          <w:rtl/>
          <w:lang w:bidi="fa-IR"/>
        </w:rPr>
        <w:t xml:space="preserve"> - </w:t>
      </w:r>
      <w:r w:rsidRPr="00132E65">
        <w:rPr>
          <w:rtl/>
          <w:lang w:bidi="fa-IR"/>
        </w:rPr>
        <w:t xml:space="preserve">وأَشَرْتُ إِلى مُوسَى بْنِ جَعْفَرٍ </w:t>
      </w:r>
      <w:r w:rsidRPr="00071CF9">
        <w:rPr>
          <w:rStyle w:val="libAlaemChar"/>
          <w:rtl/>
        </w:rPr>
        <w:t>عليه‌السلام</w:t>
      </w:r>
      <w:r>
        <w:rPr>
          <w:rtl/>
          <w:lang w:bidi="fa-IR"/>
        </w:rPr>
        <w:t xml:space="preserve"> - </w:t>
      </w:r>
      <w:r w:rsidRPr="00132E65">
        <w:rPr>
          <w:rtl/>
          <w:lang w:bidi="fa-IR"/>
        </w:rPr>
        <w:t>قَالَ مُوسَى بْنُ عَبْدِ اللهِ : و</w:t>
      </w:r>
      <w:r w:rsidR="007C24AF">
        <w:rPr>
          <w:rFonts w:hint="cs"/>
          <w:rtl/>
          <w:lang w:bidi="fa-IR"/>
        </w:rPr>
        <w:t>َ</w:t>
      </w:r>
      <w:r w:rsidRPr="00132E65">
        <w:rPr>
          <w:rtl/>
          <w:lang w:bidi="fa-IR"/>
        </w:rPr>
        <w:t xml:space="preserve">كَذَبْتُ عَلى جَعْفَرٍ كَذِبَةً ، فَقُلْتُ لَهُ : وأَمَرَنِي أَنْ أُقْرِئَكَ السَّلَامَ ، وقَالَ : إِنَّهُ إِمَامُ عَدْلٍ وسَخَاءٍ </w:t>
      </w:r>
      <w:r w:rsidRPr="00F543F1">
        <w:rPr>
          <w:rStyle w:val="libFootnotenumChar"/>
          <w:rtl/>
        </w:rPr>
        <w:t>(13)</w:t>
      </w:r>
      <w:r w:rsidR="007C24AF" w:rsidRPr="007C24AF">
        <w:rPr>
          <w:rFonts w:hint="cs"/>
          <w:rtl/>
        </w:rPr>
        <w:t>.</w:t>
      </w:r>
    </w:p>
    <w:p w:rsidR="000C39D1" w:rsidRPr="00132E65" w:rsidRDefault="000C39D1" w:rsidP="000C39D1">
      <w:pPr>
        <w:pStyle w:val="libNormal"/>
        <w:rPr>
          <w:rtl/>
          <w:lang w:bidi="fa-IR"/>
        </w:rPr>
      </w:pPr>
      <w:r w:rsidRPr="00132E65">
        <w:rPr>
          <w:rtl/>
          <w:lang w:bidi="fa-IR"/>
        </w:rPr>
        <w:t xml:space="preserve">قَالَ فَأَمَرَ لِمُوسَى بْنِ جَعْفَرٍ بِخَمْسَةِ آلَافِ دِينَارٍ ، فَأَمَرَ لِي مِنْهَا مُوسى </w:t>
      </w:r>
      <w:r w:rsidRPr="00F543F1">
        <w:rPr>
          <w:rStyle w:val="libFootnotenumChar"/>
          <w:rtl/>
        </w:rPr>
        <w:t>(14)</w:t>
      </w:r>
      <w:r w:rsidRPr="00132E65">
        <w:rPr>
          <w:rtl/>
          <w:lang w:bidi="fa-IR"/>
        </w:rPr>
        <w:t xml:space="preserve"> بِأَلْفَيْ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 « فقلت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تُحْبَى ، على المجهول من الحباء ، وهو العطيّة »</w:t>
      </w:r>
      <w:r>
        <w:rPr>
          <w:rtl/>
        </w:rPr>
        <w:t>.</w:t>
      </w:r>
      <w:r w:rsidRPr="00132E65">
        <w:rPr>
          <w:rtl/>
        </w:rPr>
        <w:t xml:space="preserve"> وراجع أيضاً : </w:t>
      </w:r>
      <w:r w:rsidRPr="00870130">
        <w:rPr>
          <w:rStyle w:val="libFootnoteBoldChar"/>
          <w:rtl/>
        </w:rPr>
        <w:t>النهاية</w:t>
      </w:r>
      <w:r w:rsidRPr="00132E65">
        <w:rPr>
          <w:rtl/>
        </w:rPr>
        <w:t xml:space="preserve"> </w:t>
      </w:r>
      <w:r w:rsidR="00870130">
        <w:rPr>
          <w:rtl/>
        </w:rPr>
        <w:t>، ج 1 ، ص 336 (</w:t>
      </w:r>
      <w:r w:rsidRPr="00132E65">
        <w:rPr>
          <w:rtl/>
        </w:rPr>
        <w:t>حبا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قوله : أقْطِعْنِي ، لعلّه من قولهم : أقطعه قطيعةً ، أي طائفة من أرض الخراج ، كتابةً عن أنّه يحفظني ويقوم بما يصلحني كأنّي ملك له. وقيل : أي أوصلني إلى مأمن ، مستعار من أقطع فلاناً إذا جاوز به نهراً ، وأوصله إلى الشاطئ »</w:t>
      </w:r>
      <w:r>
        <w:rPr>
          <w:rtl/>
        </w:rPr>
        <w:t>.</w:t>
      </w:r>
      <w:r w:rsidRPr="00132E65">
        <w:rPr>
          <w:rtl/>
        </w:rPr>
        <w:t xml:space="preserve"> وراجع أيضاً : </w:t>
      </w:r>
      <w:r w:rsidRPr="00870130">
        <w:rPr>
          <w:rStyle w:val="libFootnoteBoldChar"/>
          <w:rtl/>
        </w:rPr>
        <w:t>القاموس المحيط</w:t>
      </w:r>
      <w:r w:rsidRPr="00132E65">
        <w:rPr>
          <w:rtl/>
        </w:rPr>
        <w:t xml:space="preserve"> ، ج 2 ، ص 1009 ( قطع )</w:t>
      </w:r>
      <w:r>
        <w:rPr>
          <w:rtl/>
        </w:rPr>
        <w:t>.</w:t>
      </w:r>
    </w:p>
    <w:tbl>
      <w:tblPr>
        <w:tblStyle w:val="TableGrid"/>
        <w:bidiVisual/>
        <w:tblW w:w="0" w:type="auto"/>
        <w:tblLook w:val="04A0" w:firstRow="1" w:lastRow="0" w:firstColumn="1" w:lastColumn="0" w:noHBand="0" w:noVBand="1"/>
      </w:tblPr>
      <w:tblGrid>
        <w:gridCol w:w="4006"/>
        <w:gridCol w:w="4006"/>
      </w:tblGrid>
      <w:tr w:rsidR="00870130" w:rsidTr="00870130">
        <w:tc>
          <w:tcPr>
            <w:tcW w:w="4006" w:type="dxa"/>
          </w:tcPr>
          <w:p w:rsidR="00870130" w:rsidRDefault="00870130" w:rsidP="000C39D1">
            <w:pPr>
              <w:pStyle w:val="libFootnote0"/>
              <w:rPr>
                <w:rtl/>
              </w:rPr>
            </w:pPr>
            <w:r>
              <w:rPr>
                <w:rtl/>
              </w:rPr>
              <w:t>(4).</w:t>
            </w:r>
            <w:r w:rsidRPr="00132E65">
              <w:rPr>
                <w:rtl/>
              </w:rPr>
              <w:t xml:space="preserve"> في البحار </w:t>
            </w:r>
            <w:r>
              <w:rPr>
                <w:rtl/>
              </w:rPr>
              <w:t xml:space="preserve">: - </w:t>
            </w:r>
            <w:r w:rsidRPr="00132E65">
              <w:rPr>
                <w:rtl/>
              </w:rPr>
              <w:t>« لي »</w:t>
            </w:r>
            <w:r>
              <w:rPr>
                <w:rtl/>
              </w:rPr>
              <w:t>.</w:t>
            </w:r>
          </w:p>
        </w:tc>
        <w:tc>
          <w:tcPr>
            <w:tcW w:w="4006" w:type="dxa"/>
          </w:tcPr>
          <w:p w:rsidR="00870130" w:rsidRDefault="00870130" w:rsidP="000C39D1">
            <w:pPr>
              <w:pStyle w:val="libFootnote0"/>
              <w:rPr>
                <w:rtl/>
              </w:rPr>
            </w:pPr>
            <w:r>
              <w:rPr>
                <w:rtl/>
              </w:rPr>
              <w:t>(5). في «ب ، ف ،ه‍</w:t>
            </w:r>
            <w:r w:rsidRPr="00132E65">
              <w:rPr>
                <w:rtl/>
              </w:rPr>
              <w:t>، بس ، ب</w:t>
            </w:r>
            <w:r>
              <w:rPr>
                <w:rtl/>
              </w:rPr>
              <w:t>ف</w:t>
            </w:r>
            <w:r w:rsidRPr="00132E65">
              <w:rPr>
                <w:rtl/>
              </w:rPr>
              <w:t>» و</w:t>
            </w:r>
            <w:r w:rsidRPr="009D1ACE">
              <w:rPr>
                <w:rStyle w:val="libFootnoteBoldChar"/>
                <w:rtl/>
              </w:rPr>
              <w:t>الوافي</w:t>
            </w:r>
            <w:r>
              <w:rPr>
                <w:rtl/>
              </w:rPr>
              <w:t>: -«إلى</w:t>
            </w:r>
            <w:r w:rsidRPr="00132E65">
              <w:rPr>
                <w:rtl/>
              </w:rPr>
              <w:t>»</w:t>
            </w:r>
            <w:r>
              <w:rPr>
                <w:rtl/>
              </w:rPr>
              <w:t>.</w:t>
            </w:r>
          </w:p>
        </w:tc>
      </w:tr>
      <w:tr w:rsidR="00870130" w:rsidTr="00870130">
        <w:tc>
          <w:tcPr>
            <w:tcW w:w="4006" w:type="dxa"/>
          </w:tcPr>
          <w:p w:rsidR="00870130" w:rsidRDefault="00870130" w:rsidP="000C39D1">
            <w:pPr>
              <w:pStyle w:val="libFootnote0"/>
              <w:rPr>
                <w:rtl/>
              </w:rPr>
            </w:pPr>
            <w:r>
              <w:rPr>
                <w:rtl/>
              </w:rPr>
              <w:t>(6).</w:t>
            </w:r>
            <w:r w:rsidRPr="00132E65">
              <w:rPr>
                <w:rtl/>
              </w:rPr>
              <w:t xml:space="preserve"> في حاشية « ج ، بر » : « فقبل منّي »</w:t>
            </w:r>
            <w:r>
              <w:rPr>
                <w:rtl/>
              </w:rPr>
              <w:t>.</w:t>
            </w:r>
          </w:p>
        </w:tc>
        <w:tc>
          <w:tcPr>
            <w:tcW w:w="4006" w:type="dxa"/>
          </w:tcPr>
          <w:p w:rsidR="00870130" w:rsidRDefault="00870130" w:rsidP="000C39D1">
            <w:pPr>
              <w:pStyle w:val="libFootnote0"/>
              <w:rPr>
                <w:rtl/>
              </w:rPr>
            </w:pPr>
            <w:r>
              <w:rPr>
                <w:rtl/>
              </w:rPr>
              <w:t>(7).</w:t>
            </w:r>
            <w:r w:rsidRPr="00132E65">
              <w:rPr>
                <w:rtl/>
              </w:rPr>
              <w:t xml:space="preserve"> في « ف » </w:t>
            </w:r>
            <w:r>
              <w:rPr>
                <w:rtl/>
              </w:rPr>
              <w:t xml:space="preserve">: - </w:t>
            </w:r>
            <w:r w:rsidRPr="00132E65">
              <w:rPr>
                <w:rtl/>
              </w:rPr>
              <w:t xml:space="preserve">« </w:t>
            </w:r>
            <w:r>
              <w:rPr>
                <w:rtl/>
              </w:rPr>
              <w:t>و ».</w:t>
            </w:r>
          </w:p>
        </w:tc>
      </w:tr>
      <w:tr w:rsidR="00870130" w:rsidTr="00870130">
        <w:tc>
          <w:tcPr>
            <w:tcW w:w="4006" w:type="dxa"/>
          </w:tcPr>
          <w:p w:rsidR="00870130" w:rsidRDefault="00870130" w:rsidP="000C39D1">
            <w:pPr>
              <w:pStyle w:val="libFootnote0"/>
              <w:rPr>
                <w:rtl/>
              </w:rPr>
            </w:pPr>
            <w:r>
              <w:rPr>
                <w:rtl/>
              </w:rPr>
              <w:t>(8).</w:t>
            </w:r>
            <w:r w:rsidRPr="00132E65">
              <w:rPr>
                <w:rtl/>
              </w:rPr>
              <w:t xml:space="preserve"> في « ج ، ض ، بف » و</w:t>
            </w:r>
            <w:r w:rsidRPr="009D1ACE">
              <w:rPr>
                <w:rStyle w:val="libFootnoteBoldChar"/>
                <w:rtl/>
              </w:rPr>
              <w:t>الوافي</w:t>
            </w:r>
            <w:r w:rsidRPr="00132E65">
              <w:rPr>
                <w:rtl/>
              </w:rPr>
              <w:t xml:space="preserve"> </w:t>
            </w:r>
            <w:r>
              <w:rPr>
                <w:rtl/>
              </w:rPr>
              <w:t xml:space="preserve">: - </w:t>
            </w:r>
            <w:r w:rsidRPr="00132E65">
              <w:rPr>
                <w:rtl/>
              </w:rPr>
              <w:t>« لي »</w:t>
            </w:r>
            <w:r>
              <w:rPr>
                <w:rtl/>
              </w:rPr>
              <w:t>.</w:t>
            </w:r>
          </w:p>
        </w:tc>
        <w:tc>
          <w:tcPr>
            <w:tcW w:w="4006" w:type="dxa"/>
          </w:tcPr>
          <w:p w:rsidR="00870130" w:rsidRDefault="00870130" w:rsidP="000C39D1">
            <w:pPr>
              <w:pStyle w:val="libFootnote0"/>
              <w:rPr>
                <w:rtl/>
              </w:rPr>
            </w:pPr>
            <w:r>
              <w:rPr>
                <w:rtl/>
              </w:rPr>
              <w:t>(9). في «ج ، بح ، بر ، بس ، بف</w:t>
            </w:r>
            <w:r w:rsidRPr="00132E65">
              <w:rPr>
                <w:rtl/>
              </w:rPr>
              <w:t>» و</w:t>
            </w:r>
            <w:r w:rsidRPr="009D1ACE">
              <w:rPr>
                <w:rStyle w:val="libFootnoteBoldChar"/>
                <w:rtl/>
              </w:rPr>
              <w:t>الوافي</w:t>
            </w:r>
            <w:r>
              <w:rPr>
                <w:rtl/>
              </w:rPr>
              <w:t xml:space="preserve"> : «و».</w:t>
            </w:r>
          </w:p>
        </w:tc>
      </w:tr>
    </w:tbl>
    <w:p w:rsidR="000C39D1" w:rsidRPr="00132E65" w:rsidRDefault="000C39D1" w:rsidP="000C39D1">
      <w:pPr>
        <w:pStyle w:val="libFootnote0"/>
        <w:rPr>
          <w:rtl/>
          <w:lang w:bidi="fa-IR"/>
        </w:rPr>
      </w:pPr>
      <w:r>
        <w:rPr>
          <w:rtl/>
        </w:rPr>
        <w:t>(10).</w:t>
      </w:r>
      <w:r w:rsidRPr="00132E65">
        <w:rPr>
          <w:rtl/>
        </w:rPr>
        <w:t xml:space="preserve"> في البحار : « عبيد الله »</w:t>
      </w:r>
      <w:r>
        <w:rPr>
          <w:rtl/>
        </w:rPr>
        <w:t>.</w:t>
      </w:r>
    </w:p>
    <w:p w:rsidR="000C39D1" w:rsidRPr="00132E65" w:rsidRDefault="000C39D1" w:rsidP="000C39D1">
      <w:pPr>
        <w:pStyle w:val="libFootnote0"/>
        <w:rPr>
          <w:rtl/>
          <w:lang w:bidi="fa-IR"/>
        </w:rPr>
      </w:pPr>
      <w:r>
        <w:rPr>
          <w:rtl/>
        </w:rPr>
        <w:t>(11).</w:t>
      </w:r>
      <w:r w:rsidRPr="00132E65">
        <w:rPr>
          <w:rtl/>
        </w:rPr>
        <w:t xml:space="preserve"> في « ب » </w:t>
      </w:r>
      <w:r>
        <w:rPr>
          <w:rtl/>
        </w:rPr>
        <w:t xml:space="preserve">: - </w:t>
      </w:r>
      <w:r w:rsidRPr="00132E65">
        <w:rPr>
          <w:rtl/>
        </w:rPr>
        <w:t>« بن »</w:t>
      </w:r>
      <w:r>
        <w:rPr>
          <w:rtl/>
        </w:rPr>
        <w:t>.</w:t>
      </w:r>
      <w:r w:rsidRPr="00132E65">
        <w:rPr>
          <w:rtl/>
        </w:rPr>
        <w:t xml:space="preserve"> وفي « ب ، ج ، ض ، ه‍ ، بح ، بس ، بف » والبحار : « عبّاس »</w:t>
      </w:r>
      <w:r>
        <w:rPr>
          <w:rtl/>
        </w:rPr>
        <w:t>.</w:t>
      </w:r>
    </w:p>
    <w:tbl>
      <w:tblPr>
        <w:tblStyle w:val="TableGrid"/>
        <w:bidiVisual/>
        <w:tblW w:w="0" w:type="auto"/>
        <w:tblLook w:val="04A0" w:firstRow="1" w:lastRow="0" w:firstColumn="1" w:lastColumn="0" w:noHBand="0" w:noVBand="1"/>
      </w:tblPr>
      <w:tblGrid>
        <w:gridCol w:w="4006"/>
        <w:gridCol w:w="4006"/>
      </w:tblGrid>
      <w:tr w:rsidR="00870130" w:rsidTr="00870130">
        <w:tc>
          <w:tcPr>
            <w:tcW w:w="4006" w:type="dxa"/>
          </w:tcPr>
          <w:p w:rsidR="00870130" w:rsidRDefault="00870130" w:rsidP="000C39D1">
            <w:pPr>
              <w:pStyle w:val="libFootnote0"/>
              <w:rPr>
                <w:rtl/>
              </w:rPr>
            </w:pPr>
            <w:r>
              <w:rPr>
                <w:rtl/>
              </w:rPr>
              <w:t>(12).</w:t>
            </w:r>
            <w:r w:rsidRPr="00132E65">
              <w:rPr>
                <w:rtl/>
              </w:rPr>
              <w:t xml:space="preserve"> في « بف » </w:t>
            </w:r>
            <w:r>
              <w:rPr>
                <w:rtl/>
              </w:rPr>
              <w:t xml:space="preserve">: - </w:t>
            </w:r>
            <w:r w:rsidRPr="00132E65">
              <w:rPr>
                <w:rtl/>
              </w:rPr>
              <w:t>« يا أمير المؤمنين »</w:t>
            </w:r>
            <w:r>
              <w:rPr>
                <w:rtl/>
              </w:rPr>
              <w:t>.</w:t>
            </w:r>
          </w:p>
        </w:tc>
        <w:tc>
          <w:tcPr>
            <w:tcW w:w="4006" w:type="dxa"/>
          </w:tcPr>
          <w:p w:rsidR="00870130" w:rsidRDefault="00870130" w:rsidP="000C39D1">
            <w:pPr>
              <w:pStyle w:val="libFootnote0"/>
              <w:rPr>
                <w:rtl/>
              </w:rPr>
            </w:pPr>
            <w:r>
              <w:rPr>
                <w:rtl/>
              </w:rPr>
              <w:t>(13)</w:t>
            </w:r>
            <w:r w:rsidRPr="00132E65">
              <w:rPr>
                <w:rtl/>
              </w:rPr>
              <w:t xml:space="preserve"> في البحار : « سخي »</w:t>
            </w:r>
            <w:r>
              <w:rPr>
                <w:rtl/>
              </w:rPr>
              <w:t>.</w:t>
            </w:r>
          </w:p>
        </w:tc>
      </w:tr>
      <w:tr w:rsidR="00870130" w:rsidTr="00870130">
        <w:tc>
          <w:tcPr>
            <w:tcW w:w="4006" w:type="dxa"/>
          </w:tcPr>
          <w:p w:rsidR="00870130" w:rsidRDefault="00870130" w:rsidP="000C39D1">
            <w:pPr>
              <w:pStyle w:val="libFootnote0"/>
              <w:rPr>
                <w:rtl/>
              </w:rPr>
            </w:pPr>
            <w:r>
              <w:rPr>
                <w:rtl/>
              </w:rPr>
              <w:t>(14)</w:t>
            </w:r>
            <w:r w:rsidRPr="00132E65">
              <w:rPr>
                <w:rtl/>
              </w:rPr>
              <w:t xml:space="preserve"> في « ب » والبحار : « موسى منها »</w:t>
            </w:r>
            <w:r>
              <w:rPr>
                <w:rtl/>
              </w:rPr>
              <w:t>.</w:t>
            </w:r>
          </w:p>
        </w:tc>
        <w:tc>
          <w:tcPr>
            <w:tcW w:w="4006" w:type="dxa"/>
          </w:tcPr>
          <w:p w:rsidR="00870130" w:rsidRDefault="00870130" w:rsidP="000C39D1">
            <w:pPr>
              <w:pStyle w:val="libFootnote0"/>
              <w:rPr>
                <w:rtl/>
              </w:rPr>
            </w:pPr>
            <w:r>
              <w:rPr>
                <w:rtl/>
              </w:rPr>
              <w:t>(15)</w:t>
            </w:r>
            <w:r w:rsidRPr="00132E65">
              <w:rPr>
                <w:rtl/>
              </w:rPr>
              <w:t xml:space="preserve"> في حاشية « بح ، بر » : « بألف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دِينَارٍ ، و</w:t>
      </w:r>
      <w:r w:rsidR="00870130">
        <w:rPr>
          <w:rFonts w:hint="cs"/>
          <w:rtl/>
          <w:lang w:bidi="fa-IR"/>
        </w:rPr>
        <w:t xml:space="preserve">َ </w:t>
      </w:r>
      <w:r w:rsidR="00870130">
        <w:rPr>
          <w:rtl/>
          <w:lang w:bidi="fa-IR"/>
        </w:rPr>
        <w:t>و</w:t>
      </w:r>
      <w:r w:rsidR="00870130">
        <w:rPr>
          <w:rFonts w:hint="cs"/>
          <w:rtl/>
          <w:lang w:bidi="fa-IR"/>
        </w:rPr>
        <w:t>َ</w:t>
      </w:r>
      <w:r w:rsidRPr="00132E65">
        <w:rPr>
          <w:rtl/>
          <w:lang w:bidi="fa-IR"/>
        </w:rPr>
        <w:t>صَلَ عَامَّةَ أَصْحَابِهِ و</w:t>
      </w:r>
      <w:r w:rsidR="00870130">
        <w:rPr>
          <w:rFonts w:hint="cs"/>
          <w:rtl/>
          <w:lang w:bidi="fa-IR"/>
        </w:rPr>
        <w:t xml:space="preserve">َ </w:t>
      </w:r>
      <w:r w:rsidR="00870130">
        <w:rPr>
          <w:rtl/>
          <w:lang w:bidi="fa-IR"/>
        </w:rPr>
        <w:t>و</w:t>
      </w:r>
      <w:r w:rsidR="00870130">
        <w:rPr>
          <w:rFonts w:hint="cs"/>
          <w:rtl/>
          <w:lang w:bidi="fa-IR"/>
        </w:rPr>
        <w:t>َ</w:t>
      </w:r>
      <w:r w:rsidRPr="00132E65">
        <w:rPr>
          <w:rtl/>
          <w:lang w:bidi="fa-IR"/>
        </w:rPr>
        <w:t>صَلَنِي ، فَأَحْسَنَ صِلَتِي ، فَحَيْثُ مَا ذُكِرَ و</w:t>
      </w:r>
      <w:r w:rsidR="00870130">
        <w:rPr>
          <w:rFonts w:hint="cs"/>
          <w:rtl/>
          <w:lang w:bidi="fa-IR"/>
        </w:rPr>
        <w:t>ُ</w:t>
      </w:r>
      <w:r w:rsidRPr="00132E65">
        <w:rPr>
          <w:rtl/>
          <w:lang w:bidi="fa-IR"/>
        </w:rPr>
        <w:t>لْدُ مُحَمَّدِ بْنِ عَلِيِّ بْنِ الْحُسَيْنِ ، فَقُولُوا : صَلَّى اللهُ عَلَيْهِمْ و</w:t>
      </w:r>
      <w:r w:rsidR="00870130">
        <w:rPr>
          <w:rFonts w:hint="cs"/>
          <w:rtl/>
          <w:lang w:bidi="fa-IR"/>
        </w:rPr>
        <w:t xml:space="preserve">َ </w:t>
      </w:r>
      <w:r w:rsidRPr="00132E65">
        <w:rPr>
          <w:rtl/>
          <w:lang w:bidi="fa-IR"/>
        </w:rPr>
        <w:t>مَلَائِكَتُهُ وحَمَلَةُ عَرْشِهِ والْكِرَامُ الْكَاتِبُونَ ، وخُصُّوا أَبَا عَبْدِ اللهِ بِأَطْيَبِ ذلِكَ ، و</w:t>
      </w:r>
      <w:r w:rsidR="00870130">
        <w:rPr>
          <w:rFonts w:hint="cs"/>
          <w:rtl/>
          <w:lang w:bidi="fa-IR"/>
        </w:rPr>
        <w:t xml:space="preserve">َ </w:t>
      </w:r>
      <w:r w:rsidRPr="00132E65">
        <w:rPr>
          <w:rtl/>
          <w:lang w:bidi="fa-IR"/>
        </w:rPr>
        <w:t xml:space="preserve">جَزى مُوسَى بْنَ جَعْفَرٍ عَنِّي خَيْراً ، فَأَنَا وَاللهِ مَوْلَاهُمْ </w:t>
      </w:r>
      <w:r>
        <w:rPr>
          <w:rStyle w:val="libFootnotenumChar"/>
          <w:rtl/>
        </w:rPr>
        <w:t>(1)</w:t>
      </w:r>
      <w:r w:rsidRPr="00132E65">
        <w:rPr>
          <w:rtl/>
          <w:lang w:bidi="fa-IR"/>
        </w:rPr>
        <w:t xml:space="preserve"> بَعْدَ اللهِ. </w:t>
      </w:r>
      <w:r>
        <w:rPr>
          <w:rStyle w:val="libFootnotenumChar"/>
          <w:rtl/>
        </w:rPr>
        <w:t>(2)</w:t>
      </w:r>
    </w:p>
    <w:p w:rsidR="000C39D1" w:rsidRPr="00132E65" w:rsidRDefault="000C39D1" w:rsidP="000C39D1">
      <w:pPr>
        <w:pStyle w:val="libNormal"/>
        <w:rPr>
          <w:rtl/>
          <w:lang w:bidi="fa-IR"/>
        </w:rPr>
      </w:pPr>
      <w:r w:rsidRPr="00E07A6C">
        <w:rPr>
          <w:rtl/>
        </w:rPr>
        <w:t>939</w:t>
      </w:r>
      <w:r w:rsidRPr="004325D8">
        <w:rPr>
          <w:rStyle w:val="libBold2Char"/>
          <w:rtl/>
        </w:rPr>
        <w:t xml:space="preserve"> / 18.</w:t>
      </w:r>
      <w:r w:rsidRPr="00132E65">
        <w:rPr>
          <w:rtl/>
          <w:lang w:bidi="fa-IR"/>
        </w:rPr>
        <w:t xml:space="preserve"> وبِهذَا الْإِسْنَادِ </w:t>
      </w:r>
      <w:r>
        <w:rPr>
          <w:rStyle w:val="libFootnotenumChar"/>
          <w:rtl/>
        </w:rPr>
        <w:t>(3)</w:t>
      </w:r>
      <w:r w:rsidRPr="00132E65">
        <w:rPr>
          <w:rtl/>
          <w:lang w:bidi="fa-IR"/>
        </w:rPr>
        <w:t xml:space="preserve"> ، عَنْ عَبْدِ اللهِ بْنِ جَعْفَرِ بْنِ إِبْرَاهِيمَ الْجَعْفَرِيِّ </w:t>
      </w:r>
      <w:r>
        <w:rPr>
          <w:rStyle w:val="libFootnotenumChar"/>
          <w:rtl/>
        </w:rPr>
        <w:t>(4)</w:t>
      </w:r>
      <w:r w:rsidRPr="00132E65">
        <w:rPr>
          <w:rtl/>
          <w:lang w:bidi="fa-IR"/>
        </w:rPr>
        <w:t xml:space="preserve"> ، قَالَ : حَدَّثَنَا عَبْدُ اللهِ بْنُ الْمُفَضَّلِ : مَوْلى عَبْدِ اللهِ بْنِ جَعْفَرِ بْنِ أَبِي طَالِبٍ ، قَالَ :</w:t>
      </w:r>
    </w:p>
    <w:p w:rsidR="000C39D1" w:rsidRPr="00132E65" w:rsidRDefault="000C39D1" w:rsidP="000C39D1">
      <w:pPr>
        <w:pStyle w:val="libNormal"/>
        <w:rPr>
          <w:rtl/>
          <w:lang w:bidi="fa-IR"/>
        </w:rPr>
      </w:pPr>
      <w:r w:rsidRPr="00132E65">
        <w:rPr>
          <w:rtl/>
          <w:lang w:bidi="fa-IR"/>
        </w:rPr>
        <w:t xml:space="preserve">لَمَّا خَرَجَ الْحُسَيْنُ بْنُ عَلِيٍّ الْمَقْتُولُ بِفَخٍّ </w:t>
      </w:r>
      <w:r>
        <w:rPr>
          <w:rStyle w:val="libFootnotenumChar"/>
          <w:rtl/>
        </w:rPr>
        <w:t>(5)</w:t>
      </w:r>
      <w:r w:rsidRPr="00132E65">
        <w:rPr>
          <w:rtl/>
          <w:lang w:bidi="fa-IR"/>
        </w:rPr>
        <w:t xml:space="preserve"> ، واحْتَوى عَلَي الْمَدِينَةِ </w:t>
      </w:r>
      <w:r>
        <w:rPr>
          <w:rStyle w:val="libFootnotenumChar"/>
          <w:rtl/>
        </w:rPr>
        <w:t>(6)</w:t>
      </w:r>
      <w:r w:rsidRPr="00132E65">
        <w:rPr>
          <w:rtl/>
          <w:lang w:bidi="fa-IR"/>
        </w:rPr>
        <w:t xml:space="preserve"> ، دَعَا مُوسَى بْنَ جَعْفَرٍ </w:t>
      </w:r>
      <w:r w:rsidRPr="00071CF9">
        <w:rPr>
          <w:rStyle w:val="libAlaemChar"/>
          <w:rtl/>
        </w:rPr>
        <w:t>عليه‌السلام</w:t>
      </w:r>
      <w:r w:rsidRPr="00132E65">
        <w:rPr>
          <w:rtl/>
          <w:lang w:bidi="fa-IR"/>
        </w:rPr>
        <w:t xml:space="preserve"> إِلَى الْبَيْعَةِ ، فَأَتَاهُ ، فَقَالَ لَهُ : « يَا ابْنَ عَمِّ ، لَاتُكَلِّفْنِي مَا كَلَّفَ ابْنُ عَمِّكَ عَمَّكَ </w:t>
      </w:r>
      <w:r>
        <w:rPr>
          <w:rStyle w:val="libFootnotenumChar"/>
          <w:rtl/>
        </w:rPr>
        <w:t>(7)</w:t>
      </w:r>
      <w:r w:rsidRPr="00132E65">
        <w:rPr>
          <w:rtl/>
          <w:lang w:bidi="fa-IR"/>
        </w:rPr>
        <w:t xml:space="preserve"> أَبَا عَبْدِ اللهِ ، فَيَخْرُجَ مِنِّي مَا لَا</w:t>
      </w:r>
      <w:r>
        <w:rPr>
          <w:rFonts w:hint="cs"/>
          <w:rtl/>
          <w:lang w:bidi="fa-IR"/>
        </w:rPr>
        <w:t xml:space="preserve"> </w:t>
      </w:r>
      <w:r w:rsidRPr="00132E65">
        <w:rPr>
          <w:rtl/>
          <w:lang w:bidi="fa-IR"/>
        </w:rPr>
        <w:t xml:space="preserve">أُرِيدُ </w:t>
      </w:r>
      <w:r>
        <w:rPr>
          <w:rStyle w:val="libFootnotenumChar"/>
          <w:rtl/>
        </w:rPr>
        <w:t>(8)</w:t>
      </w:r>
      <w:r w:rsidRPr="00132E65">
        <w:rPr>
          <w:rtl/>
          <w:lang w:bidi="fa-IR"/>
        </w:rPr>
        <w:t xml:space="preserve"> ، كَمَا خَرَجَ مِنْ أَبِي عَبْدِ اللهِ مَا لَمْ يَكُنْ يُرِيدُ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00870130">
        <w:rPr>
          <w:rtl/>
        </w:rPr>
        <w:t xml:space="preserve"> « الم</w:t>
      </w:r>
      <w:r w:rsidR="00870130">
        <w:rPr>
          <w:rFonts w:hint="cs"/>
          <w:rtl/>
        </w:rPr>
        <w:t>ـَ</w:t>
      </w:r>
      <w:r w:rsidRPr="00132E65">
        <w:rPr>
          <w:rtl/>
        </w:rPr>
        <w:t>وْلى » : ا</w:t>
      </w:r>
      <w:r w:rsidR="00870130">
        <w:rPr>
          <w:rtl/>
        </w:rPr>
        <w:t>لتابع ، والمحبّ ، والعبد ، والم</w:t>
      </w:r>
      <w:r w:rsidR="00870130">
        <w:rPr>
          <w:rFonts w:hint="cs"/>
          <w:rtl/>
        </w:rPr>
        <w:t>ـُ</w:t>
      </w:r>
      <w:r w:rsidRPr="00132E65">
        <w:rPr>
          <w:rtl/>
        </w:rPr>
        <w:t xml:space="preserve">عْتَق ، والمنعم عليه. راجع : </w:t>
      </w:r>
      <w:r w:rsidRPr="00870130">
        <w:rPr>
          <w:rStyle w:val="libFootnoteBoldChar"/>
          <w:rtl/>
        </w:rPr>
        <w:t>النهاية</w:t>
      </w:r>
      <w:r w:rsidRPr="00132E65">
        <w:rPr>
          <w:rtl/>
        </w:rPr>
        <w:t xml:space="preserve"> ، ج 4 ، ص 228 ( ولا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2 ، ص 151 ، ح 619 ؛ وفي </w:t>
      </w:r>
      <w:r w:rsidRPr="00870130">
        <w:rPr>
          <w:rStyle w:val="libFootnoteBoldChar"/>
          <w:rtl/>
        </w:rPr>
        <w:t>الوسائل</w:t>
      </w:r>
      <w:r w:rsidRPr="00132E65">
        <w:rPr>
          <w:rtl/>
        </w:rPr>
        <w:t xml:space="preserve"> ، ج 3 ، ص 242 ، ح 3519 ؛ وج 17 ، ص 127 ، ح 22161 ، من قوله : « إنّما تحتاج المرأة في المأتم إلى النوح » إلى قوله : « فلا تؤذي الملائكة بالنوح » ؛ </w:t>
      </w:r>
      <w:r w:rsidRPr="00870130">
        <w:rPr>
          <w:rStyle w:val="libFootnoteBoldChar"/>
          <w:rtl/>
        </w:rPr>
        <w:t>البحار</w:t>
      </w:r>
      <w:r w:rsidRPr="00132E65">
        <w:rPr>
          <w:rtl/>
        </w:rPr>
        <w:t xml:space="preserve"> ، ج 47 ، ص 278 ، ح 19.</w:t>
      </w:r>
    </w:p>
    <w:p w:rsidR="000C39D1" w:rsidRPr="00132E65" w:rsidRDefault="000C39D1" w:rsidP="000C39D1">
      <w:pPr>
        <w:pStyle w:val="libFootnote0"/>
        <w:rPr>
          <w:rtl/>
          <w:lang w:bidi="fa-IR"/>
        </w:rPr>
      </w:pPr>
      <w:r>
        <w:rPr>
          <w:rtl/>
        </w:rPr>
        <w:t>(3).</w:t>
      </w:r>
      <w:r w:rsidRPr="00132E65">
        <w:rPr>
          <w:rtl/>
        </w:rPr>
        <w:t xml:space="preserve"> إشارة إلى السند المتقدّم إلى عبد الله بن إبراهيم بن محمّد الجعفري.</w:t>
      </w:r>
    </w:p>
    <w:p w:rsidR="000C39D1" w:rsidRPr="00132E65" w:rsidRDefault="000C39D1" w:rsidP="000C39D1">
      <w:pPr>
        <w:pStyle w:val="libFootnote0"/>
        <w:rPr>
          <w:rtl/>
          <w:lang w:bidi="fa-IR"/>
        </w:rPr>
      </w:pPr>
      <w:r>
        <w:rPr>
          <w:rtl/>
        </w:rPr>
        <w:t>(4).</w:t>
      </w:r>
      <w:r w:rsidRPr="00132E65">
        <w:rPr>
          <w:rtl/>
        </w:rPr>
        <w:t xml:space="preserve"> كذا في النسخ والمطبوع ، لكن الظاهر زيادة « بن جعفر »</w:t>
      </w:r>
      <w:r>
        <w:rPr>
          <w:rtl/>
        </w:rPr>
        <w:t>.</w:t>
      </w:r>
      <w:r w:rsidRPr="00132E65">
        <w:rPr>
          <w:rtl/>
        </w:rPr>
        <w:t xml:space="preserve"> وعبد الله هذا ، هو عبد الله بن إبراهيم بن محمّد بن عليّ بن عبد الله بن جعفر بن أبي طالب ، له عدّة كتب : منها كتاب خروج صاحب فَخّ ومقتله. راجع : </w:t>
      </w:r>
      <w:r w:rsidRPr="007A1104">
        <w:rPr>
          <w:rStyle w:val="libFootnoteBoldChar"/>
          <w:rtl/>
        </w:rPr>
        <w:t>رجال النجاشى</w:t>
      </w:r>
      <w:r w:rsidRPr="00132E65">
        <w:rPr>
          <w:rtl/>
        </w:rPr>
        <w:t xml:space="preserve"> ، ص 216 ، الرقم 562 ؛ </w:t>
      </w:r>
      <w:r w:rsidRPr="00870130">
        <w:rPr>
          <w:rStyle w:val="libFootnoteBoldChar"/>
          <w:rtl/>
        </w:rPr>
        <w:t>تهذيب الأنساب</w:t>
      </w:r>
      <w:r w:rsidRPr="00132E65">
        <w:rPr>
          <w:rtl/>
        </w:rPr>
        <w:t xml:space="preserve"> ، ص 306.</w:t>
      </w:r>
    </w:p>
    <w:p w:rsidR="000C39D1" w:rsidRPr="00132E65" w:rsidRDefault="000C39D1" w:rsidP="000C39D1">
      <w:pPr>
        <w:pStyle w:val="libFootnote0"/>
        <w:rPr>
          <w:rtl/>
          <w:lang w:bidi="fa-IR"/>
        </w:rPr>
      </w:pPr>
      <w:r>
        <w:rPr>
          <w:rtl/>
        </w:rPr>
        <w:t>(5).</w:t>
      </w:r>
      <w:r w:rsidRPr="00132E65">
        <w:rPr>
          <w:rtl/>
        </w:rPr>
        <w:t xml:space="preserve"> قال ابن الأثير : « الفَخُّ : موضع عند مكّة. وقيل : وادٍ دُفن فيه عبد الله بن عمر ، وهو أيضاً ما أقطعه النبيّ </w:t>
      </w:r>
      <w:r w:rsidRPr="00870130">
        <w:rPr>
          <w:rStyle w:val="libFootnoteAlaemChar"/>
          <w:rFonts w:eastAsiaTheme="minorHAnsi"/>
          <w:rtl/>
        </w:rPr>
        <w:t>صلى‌الله‌عليه‌وآله</w:t>
      </w:r>
      <w:r w:rsidRPr="00132E65">
        <w:rPr>
          <w:rtl/>
          <w:lang w:bidi="fa-IR"/>
        </w:rPr>
        <w:t xml:space="preserve"> </w:t>
      </w:r>
      <w:r w:rsidRPr="00132E65">
        <w:rPr>
          <w:rtl/>
        </w:rPr>
        <w:t>عُظَيْمَ بن الحارث المحاربيّ »</w:t>
      </w:r>
      <w:r>
        <w:rPr>
          <w:rtl/>
        </w:rPr>
        <w:t>.</w:t>
      </w:r>
      <w:r w:rsidRPr="00132E65">
        <w:rPr>
          <w:rtl/>
        </w:rPr>
        <w:t xml:space="preserve"> وقال المجلسي : « بئر بين التنعيم وبين مكّة وبينه وبين مكّة فرسخ تقريباً »</w:t>
      </w:r>
      <w:r>
        <w:rPr>
          <w:rtl/>
        </w:rPr>
        <w:t>.</w:t>
      </w:r>
      <w:r w:rsidRPr="00132E65">
        <w:rPr>
          <w:rtl/>
        </w:rPr>
        <w:t xml:space="preserve"> وقال : « والحسين هو الحسين بن عليّ بن الحسن بن الحسن بن الحسن بن عليّ </w:t>
      </w:r>
      <w:r w:rsidRPr="00652F75">
        <w:rPr>
          <w:rStyle w:val="libFootnoteAlaemChar"/>
          <w:rtl/>
        </w:rPr>
        <w:t>عليهما‌السلام</w:t>
      </w:r>
      <w:r w:rsidRPr="00132E65">
        <w:rPr>
          <w:rtl/>
        </w:rPr>
        <w:t xml:space="preserve"> ، وا</w:t>
      </w:r>
      <w:r w:rsidR="00652F75">
        <w:rPr>
          <w:rFonts w:hint="cs"/>
          <w:rtl/>
        </w:rPr>
        <w:t>ُ</w:t>
      </w:r>
      <w:r w:rsidRPr="00132E65">
        <w:rPr>
          <w:rtl/>
        </w:rPr>
        <w:t>مّه زينب بنت عبدالله بن الحسن ، خرج في أيّام موسى الهادي ابن محمّد المهديّ ابن أبي جعفر المنصور ، وخرج معه جماعة كثيرة من العلويين ، وكان خروجه بالمدينة في ذي القعدة سنة تسع وستّين ومائة بعد موت المهديّ بمكّة وخلافة الهادي ابنه »</w:t>
      </w:r>
      <w:r>
        <w:rPr>
          <w:rtl/>
        </w:rPr>
        <w:t>.</w:t>
      </w:r>
      <w:r w:rsidRPr="00132E65">
        <w:rPr>
          <w:rtl/>
        </w:rPr>
        <w:t xml:space="preserve"> راجع : </w:t>
      </w:r>
      <w:r w:rsidRPr="00652F75">
        <w:rPr>
          <w:rStyle w:val="libFootnoteBoldChar"/>
          <w:rtl/>
        </w:rPr>
        <w:t>النهاية</w:t>
      </w:r>
      <w:r w:rsidRPr="00132E65">
        <w:rPr>
          <w:rtl/>
        </w:rPr>
        <w:t xml:space="preserve"> ، ج 3 ، ص 418 ( فخخ ) ؛ </w:t>
      </w:r>
      <w:r w:rsidRPr="009D1ACE">
        <w:rPr>
          <w:rStyle w:val="libFootnoteBoldChar"/>
          <w:rtl/>
        </w:rPr>
        <w:t>مرآة العقول</w:t>
      </w:r>
      <w:r w:rsidRPr="00132E65">
        <w:rPr>
          <w:rtl/>
        </w:rPr>
        <w:t xml:space="preserve"> ، ج 4 ، ص 151.</w:t>
      </w:r>
    </w:p>
    <w:p w:rsidR="000C39D1" w:rsidRPr="00132E65" w:rsidRDefault="000C39D1" w:rsidP="000C39D1">
      <w:pPr>
        <w:pStyle w:val="libFootnote0"/>
        <w:rPr>
          <w:rtl/>
          <w:lang w:bidi="fa-IR"/>
        </w:rPr>
      </w:pPr>
      <w:r>
        <w:rPr>
          <w:rtl/>
        </w:rPr>
        <w:t>(6).</w:t>
      </w:r>
      <w:r w:rsidRPr="00132E65">
        <w:rPr>
          <w:rtl/>
        </w:rPr>
        <w:t xml:space="preserve"> « احتوى على المدينة » ، أي غلب عليها وأحاط بها واستولى عليها. راجع : </w:t>
      </w:r>
      <w:r w:rsidRPr="00652F75">
        <w:rPr>
          <w:rStyle w:val="libFootnoteBoldChar"/>
          <w:rtl/>
        </w:rPr>
        <w:t>المصباح المنير</w:t>
      </w:r>
      <w:r w:rsidR="00652F75">
        <w:rPr>
          <w:rtl/>
        </w:rPr>
        <w:t xml:space="preserve"> ، ص 158 (حوى</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652F75" w:rsidTr="00652F75">
        <w:tc>
          <w:tcPr>
            <w:tcW w:w="4006" w:type="dxa"/>
          </w:tcPr>
          <w:p w:rsidR="00652F75" w:rsidRDefault="00652F75" w:rsidP="000C39D1">
            <w:pPr>
              <w:pStyle w:val="libFootnote0"/>
              <w:rPr>
                <w:rtl/>
                <w:lang w:bidi="fa-IR"/>
              </w:rPr>
            </w:pPr>
            <w:r>
              <w:rPr>
                <w:rtl/>
              </w:rPr>
              <w:t>(7).</w:t>
            </w:r>
            <w:r w:rsidRPr="00132E65">
              <w:rPr>
                <w:rtl/>
              </w:rPr>
              <w:t xml:space="preserve"> في « ب ، ف » </w:t>
            </w:r>
            <w:r>
              <w:rPr>
                <w:rtl/>
              </w:rPr>
              <w:t xml:space="preserve">: - </w:t>
            </w:r>
            <w:r w:rsidRPr="00132E65">
              <w:rPr>
                <w:rtl/>
              </w:rPr>
              <w:t>« عمّك »</w:t>
            </w:r>
            <w:r>
              <w:rPr>
                <w:rtl/>
              </w:rPr>
              <w:t>.</w:t>
            </w:r>
          </w:p>
        </w:tc>
        <w:tc>
          <w:tcPr>
            <w:tcW w:w="4006" w:type="dxa"/>
          </w:tcPr>
          <w:p w:rsidR="00652F75" w:rsidRDefault="00652F75" w:rsidP="000C39D1">
            <w:pPr>
              <w:pStyle w:val="libFootnote0"/>
              <w:rPr>
                <w:rtl/>
                <w:lang w:bidi="fa-IR"/>
              </w:rPr>
            </w:pPr>
            <w:r>
              <w:rPr>
                <w:rtl/>
              </w:rPr>
              <w:t>(8).</w:t>
            </w:r>
            <w:r w:rsidRPr="00132E65">
              <w:rPr>
                <w:rtl/>
              </w:rPr>
              <w:t xml:space="preserve"> في « ج » : « لن ا</w:t>
            </w:r>
            <w:r>
              <w:rPr>
                <w:rFonts w:hint="cs"/>
                <w:rtl/>
              </w:rPr>
              <w:t>ُ</w:t>
            </w:r>
            <w:r w:rsidRPr="00132E65">
              <w:rPr>
                <w:rtl/>
              </w:rPr>
              <w:t>ريد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لَهُ الْحُسَيْنُ : إِنَّمَا عَرَضْتُ عَلَيْكَ أَمْراً ، فَإِنْ </w:t>
      </w:r>
      <w:r>
        <w:rPr>
          <w:rStyle w:val="libFootnotenumChar"/>
          <w:rtl/>
        </w:rPr>
        <w:t>(1)</w:t>
      </w:r>
      <w:r w:rsidRPr="00132E65">
        <w:rPr>
          <w:rtl/>
          <w:lang w:bidi="fa-IR"/>
        </w:rPr>
        <w:t xml:space="preserve"> أَرَدْتَهُ دَخَلْتَ فِيهِ ، وإِنْ كَرِهْتَهُ لَمْ أَحْمِلْكَ عَلَيْهِ ، واللهُ الْمُسْتَعَانُ. ثُمَّ و</w:t>
      </w:r>
      <w:r w:rsidR="00652F75">
        <w:rPr>
          <w:rFonts w:hint="cs"/>
          <w:rtl/>
          <w:lang w:bidi="fa-IR"/>
        </w:rPr>
        <w:t>َ</w:t>
      </w:r>
      <w:r w:rsidRPr="00132E65">
        <w:rPr>
          <w:rtl/>
          <w:lang w:bidi="fa-IR"/>
        </w:rPr>
        <w:t xml:space="preserve">دَّعَهُ ، فَقَالَ لَهُ أَبُو الْحَسَنِ مُوسَى بْنُ جَعْفَرٍ </w:t>
      </w:r>
      <w:r w:rsidRPr="00071CF9">
        <w:rPr>
          <w:rStyle w:val="libAlaemChar"/>
          <w:rtl/>
        </w:rPr>
        <w:t>عليه‌السلام</w:t>
      </w:r>
      <w:r w:rsidRPr="00132E65">
        <w:rPr>
          <w:rtl/>
          <w:lang w:bidi="fa-IR"/>
        </w:rPr>
        <w:t xml:space="preserve"> حِينَ وَدَّعَهُ : « يَا ابْنَ عَمِّ ، إِنَّكَ مَقْتُولٌ ، فَأَجِدَّ </w:t>
      </w:r>
      <w:r>
        <w:rPr>
          <w:rStyle w:val="libFootnotenumChar"/>
          <w:rtl/>
        </w:rPr>
        <w:t>(2)</w:t>
      </w:r>
      <w:r w:rsidRPr="00132E65">
        <w:rPr>
          <w:rtl/>
          <w:lang w:bidi="fa-IR"/>
        </w:rPr>
        <w:t xml:space="preserve"> الضِّرَابَ ؛ فَإِنَّ الْقَوْمَ فُسَّاقٌ يُظْهِرُونَ إِيمَاناً ، وَيُسِرُّونَ </w:t>
      </w:r>
      <w:r>
        <w:rPr>
          <w:rStyle w:val="libFootnotenumChar"/>
          <w:rtl/>
        </w:rPr>
        <w:t>(3)</w:t>
      </w:r>
      <w:r w:rsidRPr="00132E65">
        <w:rPr>
          <w:rtl/>
          <w:lang w:bidi="fa-IR"/>
        </w:rPr>
        <w:t xml:space="preserve"> شِرْكاً </w:t>
      </w:r>
      <w:r>
        <w:rPr>
          <w:rStyle w:val="libFootnotenumChar"/>
          <w:rtl/>
        </w:rPr>
        <w:t>(4)</w:t>
      </w:r>
      <w:r w:rsidRPr="00132E65">
        <w:rPr>
          <w:rtl/>
          <w:lang w:bidi="fa-IR"/>
        </w:rPr>
        <w:t xml:space="preserve"> ، و</w:t>
      </w:r>
      <w:r w:rsidR="00652F75">
        <w:rPr>
          <w:rFonts w:hint="cs"/>
          <w:rtl/>
          <w:lang w:bidi="fa-IR"/>
        </w:rPr>
        <w:t>َ</w:t>
      </w:r>
      <w:r>
        <w:rPr>
          <w:rFonts w:hint="cs"/>
          <w:rtl/>
          <w:lang w:bidi="fa-IR"/>
        </w:rPr>
        <w:t xml:space="preserve"> </w:t>
      </w:r>
      <w:r w:rsidRPr="00071CF9">
        <w:rPr>
          <w:rStyle w:val="libAlaemChar"/>
          <w:rtl/>
        </w:rPr>
        <w:t>(</w:t>
      </w:r>
      <w:r w:rsidRPr="00071CF9">
        <w:rPr>
          <w:rStyle w:val="libAieChar"/>
          <w:rtl/>
        </w:rPr>
        <w:t xml:space="preserve"> إِنّ</w:t>
      </w:r>
      <w:r w:rsidR="00652F75">
        <w:rPr>
          <w:rStyle w:val="libAieChar"/>
          <w:rFonts w:hint="cs"/>
          <w:rtl/>
        </w:rPr>
        <w:t>َ</w:t>
      </w:r>
      <w:r w:rsidRPr="00071CF9">
        <w:rPr>
          <w:rStyle w:val="libAieChar"/>
          <w:rtl/>
        </w:rPr>
        <w:t>ا لِلّهِ وَإِنّ</w:t>
      </w:r>
      <w:r w:rsidR="00652F75">
        <w:rPr>
          <w:rStyle w:val="libAieChar"/>
          <w:rFonts w:hint="cs"/>
          <w:rtl/>
        </w:rPr>
        <w:t>َ</w:t>
      </w:r>
      <w:r w:rsidRPr="00071CF9">
        <w:rPr>
          <w:rStyle w:val="libAieChar"/>
          <w:rtl/>
        </w:rPr>
        <w:t>ا إِلَيْهِ ر</w:t>
      </w:r>
      <w:r w:rsidR="00652F75">
        <w:rPr>
          <w:rStyle w:val="libAieChar"/>
          <w:rFonts w:hint="cs"/>
          <w:rtl/>
        </w:rPr>
        <w:t>َ</w:t>
      </w:r>
      <w:r w:rsidRPr="00071CF9">
        <w:rPr>
          <w:rStyle w:val="libAieChar"/>
          <w:rtl/>
        </w:rPr>
        <w:t xml:space="preserve">اجِعُونَ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أَحْتَسِبُكُمْ عِنْدَ اللهِ مِنْ عُصْبَةٍ </w:t>
      </w:r>
      <w:r>
        <w:rPr>
          <w:rStyle w:val="libFootnotenumChar"/>
          <w:rtl/>
        </w:rPr>
        <w:t>(6)</w:t>
      </w:r>
      <w:r w:rsidRPr="00132E65">
        <w:rPr>
          <w:rtl/>
          <w:lang w:bidi="fa-IR"/>
        </w:rPr>
        <w:t xml:space="preserve"> »</w:t>
      </w:r>
      <w:r>
        <w:rPr>
          <w:rtl/>
          <w:lang w:bidi="fa-IR"/>
        </w:rPr>
        <w:t>.</w:t>
      </w:r>
      <w:r w:rsidRPr="00132E65">
        <w:rPr>
          <w:rtl/>
          <w:lang w:bidi="fa-IR"/>
        </w:rPr>
        <w:t xml:space="preserve"> ثُمَّ خَرَجَ الْحُسَيْنُ ، و</w:t>
      </w:r>
      <w:r w:rsidR="00652F75">
        <w:rPr>
          <w:rFonts w:hint="cs"/>
          <w:rtl/>
          <w:lang w:bidi="fa-IR"/>
        </w:rPr>
        <w:t>َ</w:t>
      </w:r>
      <w:r w:rsidRPr="00132E65">
        <w:rPr>
          <w:rtl/>
          <w:lang w:bidi="fa-IR"/>
        </w:rPr>
        <w:t>ك</w:t>
      </w:r>
      <w:r w:rsidR="00652F75">
        <w:rPr>
          <w:rFonts w:hint="cs"/>
          <w:rtl/>
          <w:lang w:bidi="fa-IR"/>
        </w:rPr>
        <w:t>َ</w:t>
      </w:r>
      <w:r w:rsidRPr="00132E65">
        <w:rPr>
          <w:rtl/>
          <w:lang w:bidi="fa-IR"/>
        </w:rPr>
        <w:t xml:space="preserve">انَ مِنْ أَمْرِهِ مَا كَانَ ، قُتِلُوا </w:t>
      </w:r>
      <w:r>
        <w:rPr>
          <w:rStyle w:val="libFootnotenumChar"/>
          <w:rtl/>
        </w:rPr>
        <w:t>(7)</w:t>
      </w:r>
      <w:r w:rsidRPr="00132E65">
        <w:rPr>
          <w:rtl/>
          <w:lang w:bidi="fa-IR"/>
        </w:rPr>
        <w:t xml:space="preserve"> كُلُّهُمْ كَمَا قَالَ </w:t>
      </w:r>
      <w:r w:rsidRPr="00071CF9">
        <w:rPr>
          <w:rStyle w:val="libAlaemChar"/>
          <w:rtl/>
        </w:rPr>
        <w:t>عليه‌السلام</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E07A6C">
        <w:rPr>
          <w:rtl/>
        </w:rPr>
        <w:t>940</w:t>
      </w:r>
      <w:r w:rsidRPr="004325D8">
        <w:rPr>
          <w:rStyle w:val="libBold2Char"/>
          <w:rtl/>
        </w:rPr>
        <w:t xml:space="preserve"> / 19.</w:t>
      </w:r>
      <w:r w:rsidRPr="00132E65">
        <w:rPr>
          <w:rtl/>
          <w:lang w:bidi="fa-IR"/>
        </w:rPr>
        <w:t xml:space="preserve"> و</w:t>
      </w:r>
      <w:r w:rsidR="00652F75">
        <w:rPr>
          <w:rFonts w:hint="cs"/>
          <w:rtl/>
          <w:lang w:bidi="fa-IR"/>
        </w:rPr>
        <w:t>َ</w:t>
      </w:r>
      <w:r w:rsidRPr="00132E65">
        <w:rPr>
          <w:rtl/>
          <w:lang w:bidi="fa-IR"/>
        </w:rPr>
        <w:t>بِهذَا الْإِسْنَادِ ، عَنْ عَبْدِ اللهِ بْنِ إِبْرَاهِيمَ الْجَعْفَرِيِّ ، قَالَ :</w:t>
      </w:r>
    </w:p>
    <w:p w:rsidR="000C39D1" w:rsidRPr="00132E65" w:rsidRDefault="000C39D1" w:rsidP="000C39D1">
      <w:pPr>
        <w:pStyle w:val="libNormal"/>
        <w:rPr>
          <w:rtl/>
          <w:lang w:bidi="fa-IR"/>
        </w:rPr>
      </w:pPr>
      <w:r w:rsidRPr="00132E65">
        <w:rPr>
          <w:rtl/>
          <w:lang w:bidi="fa-IR"/>
        </w:rPr>
        <w:t xml:space="preserve">كَتَبَ يَحْيَى بْنُ عَبْدِ اللهِ بْنِ الْحَسَنِ </w:t>
      </w:r>
      <w:r>
        <w:rPr>
          <w:rStyle w:val="libFootnotenumChar"/>
          <w:rtl/>
        </w:rPr>
        <w:t>(9)</w:t>
      </w:r>
      <w:r w:rsidRPr="00132E65">
        <w:rPr>
          <w:rtl/>
          <w:lang w:bidi="fa-IR"/>
        </w:rPr>
        <w:t xml:space="preserve"> إِلى مُوسَى بْنِ جَعْفَرٍ </w:t>
      </w:r>
      <w:r w:rsidRPr="00071CF9">
        <w:rPr>
          <w:rStyle w:val="libAlaemChar"/>
          <w:rtl/>
        </w:rPr>
        <w:t>عليهما‌السلام</w:t>
      </w:r>
      <w:r w:rsidRPr="00132E65">
        <w:rPr>
          <w:rtl/>
          <w:lang w:bidi="fa-IR"/>
        </w:rPr>
        <w:t xml:space="preserve"> : أَمَّا بَعْدُ ، فَإِنِّي أُوصِي نَفْسِي بِتَقْوَى اللهِ ، و</w:t>
      </w:r>
      <w:r w:rsidR="00652F75">
        <w:rPr>
          <w:rFonts w:hint="cs"/>
          <w:rtl/>
          <w:lang w:bidi="fa-IR"/>
        </w:rPr>
        <w:t>َ</w:t>
      </w:r>
      <w:r w:rsidRPr="00132E65">
        <w:rPr>
          <w:rtl/>
          <w:lang w:bidi="fa-IR"/>
        </w:rPr>
        <w:t>بِهَا أُوصِيكَ ؛ فَإِنَّهَا و</w:t>
      </w:r>
      <w:r w:rsidR="00652F75">
        <w:rPr>
          <w:rFonts w:hint="cs"/>
          <w:rtl/>
          <w:lang w:bidi="fa-IR"/>
        </w:rPr>
        <w:t>َ</w:t>
      </w:r>
      <w:r w:rsidRPr="00132E65">
        <w:rPr>
          <w:rtl/>
          <w:lang w:bidi="fa-IR"/>
        </w:rPr>
        <w:t>صِيَّةُ اللهِ فِي الْأَوَّلِينَ ، و</w:t>
      </w:r>
      <w:r w:rsidR="00652F75">
        <w:rPr>
          <w:rFonts w:hint="cs"/>
          <w:rtl/>
          <w:lang w:bidi="fa-IR"/>
        </w:rPr>
        <w:t xml:space="preserve">َ </w:t>
      </w:r>
      <w:r w:rsidRPr="00132E65">
        <w:rPr>
          <w:rtl/>
          <w:lang w:bidi="fa-IR"/>
        </w:rPr>
        <w:t>و</w:t>
      </w:r>
      <w:r w:rsidR="00652F75">
        <w:rPr>
          <w:rFonts w:hint="cs"/>
          <w:rtl/>
          <w:lang w:bidi="fa-IR"/>
        </w:rPr>
        <w:t>َ</w:t>
      </w:r>
      <w:r w:rsidRPr="00132E65">
        <w:rPr>
          <w:rtl/>
          <w:lang w:bidi="fa-IR"/>
        </w:rPr>
        <w:t>صِيَّتُهُ فِي الْآخِرِينَ ، خَبَّرَنِي مَنْ ورَدَ عَلَيَّ مِنْ أَعْوَانِ اللهِ عَلى دِينِهِ و</w:t>
      </w:r>
      <w:r w:rsidR="00652F75">
        <w:rPr>
          <w:rFonts w:hint="cs"/>
          <w:rtl/>
          <w:lang w:bidi="fa-IR"/>
        </w:rPr>
        <w:t>َ</w:t>
      </w:r>
      <w:r w:rsidRPr="00132E65">
        <w:rPr>
          <w:rtl/>
          <w:lang w:bidi="fa-IR"/>
        </w:rPr>
        <w:t xml:space="preserve">نَشْرِ طَاعَتِهِ بِمَا كَانَ مِنْ تَحَنُّنِكَ </w:t>
      </w:r>
      <w:r>
        <w:rPr>
          <w:rStyle w:val="libFootnotenumChar"/>
          <w:rtl/>
        </w:rPr>
        <w:t>(10)</w:t>
      </w:r>
      <w:r w:rsidRPr="00132E65">
        <w:rPr>
          <w:rtl/>
          <w:lang w:bidi="fa-IR"/>
        </w:rPr>
        <w:t xml:space="preserve"> مَعَ خِذْلَانِكَ </w:t>
      </w:r>
      <w:r>
        <w:rPr>
          <w:rStyle w:val="libFootnotenumChar"/>
          <w:rtl/>
        </w:rPr>
        <w:t>(11)</w:t>
      </w:r>
      <w:r w:rsidRPr="00132E65">
        <w:rPr>
          <w:rtl/>
          <w:lang w:bidi="fa-IR"/>
        </w:rPr>
        <w:t xml:space="preserve"> ، و</w:t>
      </w:r>
      <w:r w:rsidR="00652F75">
        <w:rPr>
          <w:rFonts w:hint="cs"/>
          <w:rtl/>
          <w:lang w:bidi="fa-IR"/>
        </w:rPr>
        <w:t xml:space="preserve">َ </w:t>
      </w:r>
      <w:r w:rsidRPr="00132E65">
        <w:rPr>
          <w:rtl/>
          <w:lang w:bidi="fa-IR"/>
        </w:rPr>
        <w:t xml:space="preserve">قَدْ شَاوَرْتُ فِي الدَّعْوَةِ لِلرِّضَا مِنْ آلِ مُحَمَّدٍ </w:t>
      </w:r>
      <w:r w:rsidRPr="0093484F">
        <w:rPr>
          <w:rStyle w:val="libAlaemChar"/>
          <w:rFonts w:eastAsiaTheme="minorHAnsi"/>
          <w:rtl/>
        </w:rPr>
        <w:t>صلى‌الله‌عليه‌وآله</w:t>
      </w:r>
      <w:r w:rsidRPr="00132E65">
        <w:rPr>
          <w:rtl/>
          <w:lang w:bidi="fa-IR"/>
        </w:rPr>
        <w:t xml:space="preserve"> و</w:t>
      </w:r>
      <w:r w:rsidR="00652F75">
        <w:rPr>
          <w:rFonts w:hint="cs"/>
          <w:rtl/>
          <w:lang w:bidi="fa-IR"/>
        </w:rPr>
        <w:t>َ</w:t>
      </w:r>
      <w:r w:rsidRPr="00132E65">
        <w:rPr>
          <w:rtl/>
          <w:lang w:bidi="fa-IR"/>
        </w:rPr>
        <w:t>قَدِ‌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 « فإذ »</w:t>
      </w:r>
      <w:r>
        <w:rPr>
          <w:rtl/>
        </w:rPr>
        <w:t>.</w:t>
      </w:r>
    </w:p>
    <w:p w:rsidR="000C39D1" w:rsidRPr="00132E65" w:rsidRDefault="000C39D1" w:rsidP="000C39D1">
      <w:pPr>
        <w:pStyle w:val="libFootnote0"/>
        <w:rPr>
          <w:rtl/>
          <w:lang w:bidi="fa-IR"/>
        </w:rPr>
      </w:pPr>
      <w:r>
        <w:rPr>
          <w:rtl/>
        </w:rPr>
        <w:t>(2).</w:t>
      </w:r>
      <w:r w:rsidRPr="00132E65">
        <w:rPr>
          <w:rtl/>
        </w:rPr>
        <w:t xml:space="preserve"> في « ب ، ج » : « فأجِدْ » من الإجادة. وقوله : « فأجِدَّ » أمر من الإجداد بمعنى الاجتهاد. يقال : أجدّ يُجدّ ، إذا</w:t>
      </w:r>
      <w:r>
        <w:rPr>
          <w:rFonts w:hint="cs"/>
          <w:rtl/>
        </w:rPr>
        <w:t xml:space="preserve"> </w:t>
      </w:r>
      <w:r w:rsidRPr="00132E65">
        <w:rPr>
          <w:rtl/>
        </w:rPr>
        <w:t xml:space="preserve">اجتهد وصار ذا جدّ واجتهاد. وفي الشروح : أمر من الإجادة ، بمعنى الإحسان والإتيان بالجيّد. يقال : جاد جودةً وأجاد ، أي أتى بالجيّد من القول أو الفعل. وإن كان ما في المتن هو المحتمل أيضاً في </w:t>
      </w:r>
      <w:r w:rsidRPr="00652F75">
        <w:rPr>
          <w:rStyle w:val="libFootnoteBoldChar"/>
          <w:rtl/>
        </w:rPr>
        <w:t>المرآة</w:t>
      </w:r>
      <w:r w:rsidRPr="00132E65">
        <w:rPr>
          <w:rtl/>
        </w:rPr>
        <w:t xml:space="preserve">. والضراب : القتال. راجع : </w:t>
      </w:r>
      <w:r w:rsidRPr="009D1ACE">
        <w:rPr>
          <w:rStyle w:val="libFootnoteBoldChar"/>
          <w:rtl/>
        </w:rPr>
        <w:t>لسان العرب</w:t>
      </w:r>
      <w:r w:rsidRPr="00132E65">
        <w:rPr>
          <w:rtl/>
        </w:rPr>
        <w:t xml:space="preserve"> ، ج 3 ، ص 113 ( جدد ) ، ص 135 ( جود )</w:t>
      </w:r>
      <w:r>
        <w:rPr>
          <w:rtl/>
        </w:rPr>
        <w:t>.</w:t>
      </w:r>
    </w:p>
    <w:p w:rsidR="000C39D1" w:rsidRPr="00132E65" w:rsidRDefault="000C39D1" w:rsidP="00652F75">
      <w:pPr>
        <w:pStyle w:val="libFootnote0"/>
        <w:rPr>
          <w:rtl/>
          <w:lang w:bidi="fa-IR"/>
        </w:rPr>
      </w:pPr>
      <w:r>
        <w:rPr>
          <w:rtl/>
        </w:rPr>
        <w:t>(3).</w:t>
      </w:r>
      <w:r w:rsidRPr="00132E65">
        <w:rPr>
          <w:rtl/>
        </w:rPr>
        <w:t xml:space="preserve"> هكذا في « ب ، ج ، ض ، ف ، ه‍ ، بح ، بر ، بس » </w:t>
      </w:r>
      <w:r w:rsidRPr="00652F75">
        <w:rPr>
          <w:rtl/>
        </w:rPr>
        <w:t>والوافي</w:t>
      </w:r>
      <w:r w:rsidRPr="00132E65">
        <w:rPr>
          <w:rtl/>
        </w:rPr>
        <w:t xml:space="preserve"> والبحار. وفي « بف » : « يستترون »</w:t>
      </w:r>
      <w:r>
        <w:rPr>
          <w:rtl/>
        </w:rPr>
        <w:t>.</w:t>
      </w:r>
      <w:r w:rsidRPr="00132E65">
        <w:rPr>
          <w:rtl/>
        </w:rPr>
        <w:t xml:space="preserve"> وفي المطبوع : « يسترون »</w:t>
      </w:r>
      <w:r>
        <w:rPr>
          <w:rtl/>
        </w:rPr>
        <w:t>.</w:t>
      </w:r>
      <w:r w:rsidR="00652F75">
        <w:rPr>
          <w:rFonts w:hint="cs"/>
          <w:rtl/>
        </w:rPr>
        <w:t xml:space="preserve">                                  </w:t>
      </w:r>
      <w:r w:rsidR="00D14011">
        <w:rPr>
          <w:rFonts w:hint="cs"/>
          <w:rtl/>
        </w:rPr>
        <w:t xml:space="preserve">       </w:t>
      </w:r>
      <w:r w:rsidR="00652F75">
        <w:rPr>
          <w:rFonts w:hint="cs"/>
          <w:rtl/>
        </w:rPr>
        <w:t xml:space="preserve">   </w:t>
      </w:r>
      <w:r>
        <w:rPr>
          <w:rtl/>
        </w:rPr>
        <w:t>(4).</w:t>
      </w:r>
      <w:r w:rsidRPr="00132E65">
        <w:rPr>
          <w:rtl/>
        </w:rPr>
        <w:t xml:space="preserve"> في « بس » :</w:t>
      </w:r>
      <w:r>
        <w:rPr>
          <w:rtl/>
        </w:rPr>
        <w:t xml:space="preserve"> + </w:t>
      </w:r>
      <w:r w:rsidRPr="00132E65">
        <w:rPr>
          <w:rtl/>
        </w:rPr>
        <w:t>« بالله »</w:t>
      </w:r>
      <w:r>
        <w:rPr>
          <w:rtl/>
        </w:rPr>
        <w:t>.</w:t>
      </w:r>
    </w:p>
    <w:p w:rsidR="000C39D1" w:rsidRPr="00132E65" w:rsidRDefault="000C39D1" w:rsidP="000C39D1">
      <w:pPr>
        <w:pStyle w:val="libFootnote0"/>
        <w:rPr>
          <w:rtl/>
          <w:lang w:bidi="fa-IR"/>
        </w:rPr>
      </w:pPr>
      <w:r>
        <w:rPr>
          <w:rtl/>
        </w:rPr>
        <w:t>(5).</w:t>
      </w:r>
      <w:r w:rsidRPr="00132E65">
        <w:rPr>
          <w:rtl/>
        </w:rPr>
        <w:t xml:space="preserve"> البقرة </w:t>
      </w:r>
      <w:r>
        <w:rPr>
          <w:rtl/>
        </w:rPr>
        <w:t>(2).</w:t>
      </w:r>
      <w:r w:rsidRPr="00132E65">
        <w:rPr>
          <w:rtl/>
        </w:rPr>
        <w:t xml:space="preserve"> : 156.</w:t>
      </w:r>
    </w:p>
    <w:p w:rsidR="000C39D1" w:rsidRPr="00132E65" w:rsidRDefault="000C39D1" w:rsidP="000C39D1">
      <w:pPr>
        <w:pStyle w:val="libFootnote0"/>
        <w:rPr>
          <w:rtl/>
          <w:lang w:bidi="fa-IR"/>
        </w:rPr>
      </w:pPr>
      <w:r>
        <w:rPr>
          <w:rtl/>
        </w:rPr>
        <w:t>(6).</w:t>
      </w:r>
      <w:r w:rsidRPr="00132E65">
        <w:rPr>
          <w:rtl/>
        </w:rPr>
        <w:t xml:space="preserve"> « أحتسبكم » أي أطلب الأجر في مصيبتكم. والعُصْبَة من الرجال : ما بين العشرة إلى الأربعين. وقال الفيض : « العَصَبةُ محرَّكةً يقال لقوم الرجل الذين يتعصّبون له »</w:t>
      </w:r>
      <w:r>
        <w:rPr>
          <w:rtl/>
        </w:rPr>
        <w:t>.</w:t>
      </w:r>
      <w:r w:rsidRPr="00132E65">
        <w:rPr>
          <w:rtl/>
        </w:rPr>
        <w:t xml:space="preserve"> راجع : </w:t>
      </w:r>
      <w:r w:rsidRPr="00652F75">
        <w:rPr>
          <w:rStyle w:val="libFootnoteBoldChar"/>
          <w:rtl/>
        </w:rPr>
        <w:t>الصحاح</w:t>
      </w:r>
      <w:r w:rsidRPr="00132E65">
        <w:rPr>
          <w:rtl/>
        </w:rPr>
        <w:t xml:space="preserve"> ، ج 1 ، ص 182 ( عصب )</w:t>
      </w:r>
      <w:r>
        <w:rPr>
          <w:rtl/>
        </w:rPr>
        <w:t>.</w:t>
      </w:r>
    </w:p>
    <w:p w:rsidR="000C39D1" w:rsidRPr="00132E65" w:rsidRDefault="000C39D1" w:rsidP="000C39D1">
      <w:pPr>
        <w:pStyle w:val="libFootnote0"/>
        <w:rPr>
          <w:rtl/>
          <w:lang w:bidi="fa-IR"/>
        </w:rPr>
      </w:pPr>
      <w:r>
        <w:rPr>
          <w:rtl/>
        </w:rPr>
        <w:t>(7).</w:t>
      </w:r>
      <w:r w:rsidRPr="00132E65">
        <w:rPr>
          <w:rtl/>
        </w:rPr>
        <w:t xml:space="preserve"> في « ب » : « فقتلوا »</w:t>
      </w:r>
      <w:r>
        <w:rPr>
          <w:rtl/>
        </w:rPr>
        <w:t>.</w:t>
      </w:r>
    </w:p>
    <w:p w:rsidR="000C39D1" w:rsidRPr="00132E65" w:rsidRDefault="000C39D1" w:rsidP="008959CC">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2 ، ص 171 ، باب ما يفصل به بين دعوى المحقّ</w:t>
      </w:r>
      <w:r>
        <w:rPr>
          <w:rtl/>
        </w:rPr>
        <w:t xml:space="preserve"> ..</w:t>
      </w:r>
      <w:r w:rsidRPr="00132E65">
        <w:rPr>
          <w:rtl/>
        </w:rPr>
        <w:t xml:space="preserve">. ، ح 623 ؛ </w:t>
      </w:r>
      <w:r w:rsidRPr="008959CC">
        <w:rPr>
          <w:rStyle w:val="libFootnoteBoldChar"/>
          <w:rtl/>
        </w:rPr>
        <w:t>البحار</w:t>
      </w:r>
      <w:r w:rsidRPr="00132E65">
        <w:rPr>
          <w:rtl/>
        </w:rPr>
        <w:t xml:space="preserve"> ، ج 48 ، ص 160 ، باب أحوال عشائره [ الكاظم </w:t>
      </w:r>
      <w:r w:rsidRPr="008959CC">
        <w:rPr>
          <w:rStyle w:val="libFootnoteAlaemChar"/>
          <w:rtl/>
        </w:rPr>
        <w:t>عليه‌السلام</w:t>
      </w:r>
      <w:r w:rsidRPr="00132E65">
        <w:rPr>
          <w:rtl/>
        </w:rPr>
        <w:t xml:space="preserve"> ] وأصحابه</w:t>
      </w:r>
      <w:r>
        <w:rPr>
          <w:rtl/>
        </w:rPr>
        <w:t xml:space="preserve"> ..</w:t>
      </w:r>
      <w:r w:rsidRPr="00132E65">
        <w:rPr>
          <w:rtl/>
        </w:rPr>
        <w:t>. ، ح 6.</w:t>
      </w:r>
      <w:r w:rsidR="008959CC">
        <w:rPr>
          <w:rFonts w:hint="cs"/>
          <w:rtl/>
        </w:rPr>
        <w:t xml:space="preserve">      </w:t>
      </w:r>
      <w:r>
        <w:rPr>
          <w:rtl/>
        </w:rPr>
        <w:t>(9).</w:t>
      </w:r>
      <w:r w:rsidRPr="00132E65">
        <w:rPr>
          <w:rtl/>
        </w:rPr>
        <w:t xml:space="preserve"> في « و، بس » : « حسن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8959CC">
        <w:rPr>
          <w:rtl/>
        </w:rPr>
        <w:t>الوافي</w:t>
      </w:r>
      <w:r w:rsidRPr="00132E65">
        <w:rPr>
          <w:rtl/>
        </w:rPr>
        <w:t xml:space="preserve"> : « محبّتك » وقال : « يعني لنا ، أو للإمامة والخلافة »</w:t>
      </w:r>
      <w:r>
        <w:rPr>
          <w:rtl/>
        </w:rPr>
        <w:t>.</w:t>
      </w:r>
      <w:r w:rsidRPr="00132E65">
        <w:rPr>
          <w:rtl/>
        </w:rPr>
        <w:t xml:space="preserve"> وقوله : « التَحَنُّن » : الترحّم. يقال : تحنّن عليه ، أي ترحّم. راجع : </w:t>
      </w:r>
      <w:r w:rsidRPr="008959CC">
        <w:rPr>
          <w:rStyle w:val="libFootnoteBoldChar"/>
          <w:rtl/>
        </w:rPr>
        <w:t>الصحاح</w:t>
      </w:r>
      <w:r w:rsidRPr="00132E65">
        <w:rPr>
          <w:rtl/>
        </w:rPr>
        <w:t xml:space="preserve"> ، ج 5 ، ص 2104 ( حنن )</w:t>
      </w:r>
      <w:r>
        <w:rPr>
          <w:rtl/>
        </w:rPr>
        <w:t>.</w:t>
      </w:r>
    </w:p>
    <w:p w:rsidR="000C39D1" w:rsidRPr="00132E65" w:rsidRDefault="000C39D1" w:rsidP="000C39D1">
      <w:pPr>
        <w:pStyle w:val="libFootnote0"/>
        <w:rPr>
          <w:rtl/>
          <w:lang w:bidi="fa-IR"/>
        </w:rPr>
      </w:pPr>
      <w:r>
        <w:rPr>
          <w:rtl/>
        </w:rPr>
        <w:t>(11).</w:t>
      </w:r>
      <w:r w:rsidRPr="00132E65">
        <w:rPr>
          <w:rtl/>
        </w:rPr>
        <w:t xml:space="preserve"> « الخُذْلان » : عدم النصرة. يقال : خَذَلَهُ خِذْلاناً ، إذا ترك عونه ونصرته. وفي </w:t>
      </w:r>
      <w:r w:rsidRPr="009D1ACE">
        <w:rPr>
          <w:rStyle w:val="libFootnoteBoldChar"/>
          <w:rtl/>
        </w:rPr>
        <w:t>الوافي</w:t>
      </w:r>
      <w:r w:rsidR="008959CC">
        <w:rPr>
          <w:rtl/>
        </w:rPr>
        <w:t xml:space="preserve"> « مع خذلانك ، يعني</w:t>
      </w:r>
      <w:r w:rsidR="008959CC">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احْتَجَبْتَهَا </w:t>
      </w:r>
      <w:r>
        <w:rPr>
          <w:rStyle w:val="libFootnotenumChar"/>
          <w:rtl/>
        </w:rPr>
        <w:t>(1)</w:t>
      </w:r>
      <w:r w:rsidRPr="00132E65">
        <w:rPr>
          <w:rtl/>
          <w:lang w:bidi="fa-IR"/>
        </w:rPr>
        <w:t xml:space="preserve"> واحْتَجَبَهَا أَبُوكَ مِنْ قَبْلِكَ ، وقَدِيماً ادَّعَيْتُمْ مَا لَيْسَ لَكُمْ ، وبَسَطْتُمْ آمَالَكُمْ إِلى مَا لَمْ يُعْطِكُمُ اللهُ ، فَاسْتَهْوَيْتُمْ </w:t>
      </w:r>
      <w:r>
        <w:rPr>
          <w:rStyle w:val="libFootnotenumChar"/>
          <w:rtl/>
        </w:rPr>
        <w:t>(2)</w:t>
      </w:r>
      <w:r w:rsidRPr="00132E65">
        <w:rPr>
          <w:rtl/>
          <w:lang w:bidi="fa-IR"/>
        </w:rPr>
        <w:t xml:space="preserve"> و</w:t>
      </w:r>
      <w:r w:rsidR="008959CC">
        <w:rPr>
          <w:rFonts w:hint="cs"/>
          <w:rtl/>
          <w:lang w:bidi="fa-IR"/>
        </w:rPr>
        <w:t xml:space="preserve">َ </w:t>
      </w:r>
      <w:r w:rsidRPr="00132E65">
        <w:rPr>
          <w:rtl/>
          <w:lang w:bidi="fa-IR"/>
        </w:rPr>
        <w:t>أَضْلَلْتُمْ ، وأَنَا مُحَذِّرُكَ مَا حَذَّرَكَ اللهُ مِنْ نَفْسِهِ.</w:t>
      </w:r>
    </w:p>
    <w:p w:rsidR="000C39D1" w:rsidRPr="00132E65" w:rsidRDefault="000C39D1" w:rsidP="008959CC">
      <w:pPr>
        <w:pStyle w:val="libNormal"/>
        <w:rPr>
          <w:rtl/>
          <w:lang w:bidi="fa-IR"/>
        </w:rPr>
      </w:pPr>
      <w:r w:rsidRPr="00132E65">
        <w:rPr>
          <w:rtl/>
          <w:lang w:bidi="fa-IR"/>
        </w:rPr>
        <w:t xml:space="preserve">فَكَتَبَ إِلَيْهِ أَبُو الْحَسَنِ مُوسَى بْنُ جَعْفَرٍ </w:t>
      </w:r>
      <w:r w:rsidRPr="00071CF9">
        <w:rPr>
          <w:rStyle w:val="libAlaemChar"/>
          <w:rtl/>
        </w:rPr>
        <w:t>عليه‌السلام</w:t>
      </w:r>
      <w:r w:rsidRPr="00132E65">
        <w:rPr>
          <w:rtl/>
          <w:lang w:bidi="fa-IR"/>
        </w:rPr>
        <w:t xml:space="preserve"> : « مِنْ مُوسَى بْنِ عَبْدِ اللهِ جَعْفَرٍ </w:t>
      </w:r>
      <w:r>
        <w:rPr>
          <w:rStyle w:val="libFootnotenumChar"/>
          <w:rtl/>
        </w:rPr>
        <w:t>(3)</w:t>
      </w:r>
      <w:r w:rsidRPr="00132E65">
        <w:rPr>
          <w:rtl/>
          <w:lang w:bidi="fa-IR"/>
        </w:rPr>
        <w:t xml:space="preserve"> وَعَلِيٍّ </w:t>
      </w:r>
      <w:r>
        <w:rPr>
          <w:rStyle w:val="libFootnotenumChar"/>
          <w:rtl/>
        </w:rPr>
        <w:t>(4)</w:t>
      </w:r>
      <w:r w:rsidRPr="00132E65">
        <w:rPr>
          <w:rtl/>
          <w:lang w:bidi="fa-IR"/>
        </w:rPr>
        <w:t xml:space="preserve"> مُشْتَرِكَيْنِ </w:t>
      </w:r>
      <w:r>
        <w:rPr>
          <w:rStyle w:val="libFootnotenumChar"/>
          <w:rtl/>
        </w:rPr>
        <w:t>(5)</w:t>
      </w:r>
      <w:r w:rsidRPr="00132E65">
        <w:rPr>
          <w:rtl/>
          <w:lang w:bidi="fa-IR"/>
        </w:rPr>
        <w:t xml:space="preserve"> فِي التَّذَلُّلِ لِلّهِ و</w:t>
      </w:r>
      <w:r w:rsidR="008959CC">
        <w:rPr>
          <w:rFonts w:hint="cs"/>
          <w:rtl/>
          <w:lang w:bidi="fa-IR"/>
        </w:rPr>
        <w:t>َ</w:t>
      </w:r>
      <w:r w:rsidRPr="00132E65">
        <w:rPr>
          <w:rtl/>
          <w:lang w:bidi="fa-IR"/>
        </w:rPr>
        <w:t xml:space="preserve">طَاعَتِهِ ، إِلى يَحْيَى بْنِ عَبْدِ اللهِ بْنِ حَسَنٍ </w:t>
      </w:r>
      <w:r>
        <w:rPr>
          <w:rStyle w:val="libFootnotenumChar"/>
          <w:rtl/>
        </w:rPr>
        <w:t>(6)</w:t>
      </w:r>
      <w:r w:rsidRPr="00132E65">
        <w:rPr>
          <w:rtl/>
          <w:lang w:bidi="fa-IR"/>
        </w:rPr>
        <w:t xml:space="preserve"> : أَمَّا بَعْدُ ، فَإِنِّي أُحَذِّرُكَ اللهَ ونَفْسِي ، وأُعْلِمُكَ أَلِيمَ عَذَابِهِ و</w:t>
      </w:r>
      <w:r w:rsidR="008959CC">
        <w:rPr>
          <w:rFonts w:hint="cs"/>
          <w:rtl/>
          <w:lang w:bidi="fa-IR"/>
        </w:rPr>
        <w:t>َ</w:t>
      </w:r>
      <w:r w:rsidRPr="00132E65">
        <w:rPr>
          <w:rtl/>
          <w:lang w:bidi="fa-IR"/>
        </w:rPr>
        <w:t>شَدِيدَ عِقَابِهِ وتَكَامُلَ نَقِمَاتِهِ ، وَأُوصِيكَ و</w:t>
      </w:r>
      <w:r w:rsidR="008959CC">
        <w:rPr>
          <w:rFonts w:hint="cs"/>
          <w:rtl/>
          <w:lang w:bidi="fa-IR"/>
        </w:rPr>
        <w:t>َ</w:t>
      </w:r>
      <w:r w:rsidRPr="00132E65">
        <w:rPr>
          <w:rtl/>
          <w:lang w:bidi="fa-IR"/>
        </w:rPr>
        <w:t>نَفْسِي بِتَقْوَى اللهِ ؛ فَإِنَّهَا زَيْنُ الْكَلَامِ وتَثْبِيتُ النِّعَمِ ، أَتَانِي كِتَابُكَ تَذْكُرُ فِيهِ أَنِّي مُدَّعٍ وأَبِي مِنْ قَبْلُ ، و</w:t>
      </w:r>
      <w:r w:rsidR="008959CC">
        <w:rPr>
          <w:rFonts w:hint="cs"/>
          <w:rtl/>
          <w:lang w:bidi="fa-IR"/>
        </w:rPr>
        <w:t>َ</w:t>
      </w:r>
      <w:r w:rsidRPr="00132E65">
        <w:rPr>
          <w:rtl/>
          <w:lang w:bidi="fa-IR"/>
        </w:rPr>
        <w:t>مَا سَمِعْتَ ذلِكَ مِنِّي و</w:t>
      </w:r>
      <w:r w:rsidR="008959CC">
        <w:rPr>
          <w:rFonts w:hint="cs"/>
          <w:rtl/>
          <w:lang w:bidi="fa-IR"/>
        </w:rPr>
        <w:t>َ</w:t>
      </w:r>
      <w:r>
        <w:rPr>
          <w:rFonts w:hint="cs"/>
          <w:rtl/>
          <w:lang w:bidi="fa-IR"/>
        </w:rPr>
        <w:t xml:space="preserve"> </w:t>
      </w:r>
      <w:r w:rsidRPr="00071CF9">
        <w:rPr>
          <w:rStyle w:val="libAlaemChar"/>
          <w:rtl/>
        </w:rPr>
        <w:t>(</w:t>
      </w:r>
      <w:r w:rsidRPr="00071CF9">
        <w:rPr>
          <w:rStyle w:val="libAieChar"/>
          <w:rtl/>
        </w:rPr>
        <w:t xml:space="preserve"> سَتُكْتَبُ شَه</w:t>
      </w:r>
      <w:r w:rsidR="008959CC">
        <w:rPr>
          <w:rStyle w:val="libAieChar"/>
          <w:rFonts w:hint="cs"/>
          <w:rtl/>
        </w:rPr>
        <w:t>َ</w:t>
      </w:r>
      <w:r w:rsidR="008959CC">
        <w:rPr>
          <w:rStyle w:val="libAieChar"/>
          <w:rtl/>
        </w:rPr>
        <w:t>ادَتُهُمْ وَيُسْ</w:t>
      </w:r>
      <w:r w:rsidR="008959CC">
        <w:rPr>
          <w:rStyle w:val="libAieChar"/>
          <w:rFonts w:hint="cs"/>
          <w:rtl/>
        </w:rPr>
        <w:t>أَ</w:t>
      </w:r>
      <w:r w:rsidRPr="00071CF9">
        <w:rPr>
          <w:rStyle w:val="libAieChar"/>
          <w:rtl/>
        </w:rPr>
        <w:t xml:space="preserve">لُونَ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و</w:t>
      </w:r>
      <w:r w:rsidR="008959CC">
        <w:rPr>
          <w:rFonts w:hint="cs"/>
          <w:rtl/>
          <w:lang w:bidi="fa-IR"/>
        </w:rPr>
        <w:t>َ</w:t>
      </w:r>
      <w:r w:rsidRPr="00132E65">
        <w:rPr>
          <w:rtl/>
          <w:lang w:bidi="fa-IR"/>
        </w:rPr>
        <w:t>لَمْ يَدَعْ حِرْصُ الدُّنْيَا و</w:t>
      </w:r>
      <w:r w:rsidR="008959CC">
        <w:rPr>
          <w:rFonts w:hint="cs"/>
          <w:rtl/>
          <w:lang w:bidi="fa-IR"/>
        </w:rPr>
        <w:t>َ</w:t>
      </w:r>
      <w:r w:rsidRPr="00132E65">
        <w:rPr>
          <w:rtl/>
          <w:lang w:bidi="fa-IR"/>
        </w:rPr>
        <w:t xml:space="preserve">مَطَالِبُهَا </w:t>
      </w:r>
      <w:r>
        <w:rPr>
          <w:rStyle w:val="libFootnotenumChar"/>
          <w:rtl/>
        </w:rPr>
        <w:t>(8)</w:t>
      </w:r>
      <w:r w:rsidRPr="00132E65">
        <w:rPr>
          <w:rtl/>
          <w:lang w:bidi="fa-IR"/>
        </w:rPr>
        <w:t xml:space="preserve"> لِأَهْلِهَا مَطْلَباً لآِخِرَتِهِمْ حَتّى يُفْسِدَ </w:t>
      </w:r>
      <w:r>
        <w:rPr>
          <w:rStyle w:val="libFootnotenumChar"/>
          <w:rtl/>
        </w:rPr>
        <w:t>(9)</w:t>
      </w:r>
      <w:r w:rsidRPr="00132E65">
        <w:rPr>
          <w:rtl/>
          <w:lang w:bidi="fa-IR"/>
        </w:rPr>
        <w:t xml:space="preserve"> عَلَيْهِمْ مَطْلَبَ‌</w:t>
      </w:r>
    </w:p>
    <w:p w:rsidR="000C39D1" w:rsidRPr="00132E65" w:rsidRDefault="000C39D1" w:rsidP="000C39D1">
      <w:pPr>
        <w:pStyle w:val="libLine"/>
        <w:rPr>
          <w:rtl/>
          <w:lang w:bidi="fa-IR"/>
        </w:rPr>
      </w:pPr>
      <w:r w:rsidRPr="00132E65">
        <w:rPr>
          <w:rtl/>
          <w:lang w:bidi="fa-IR"/>
        </w:rPr>
        <w:t>__________________</w:t>
      </w:r>
    </w:p>
    <w:p w:rsidR="000C39D1" w:rsidRPr="00132E65" w:rsidRDefault="008959CC" w:rsidP="000C39D1">
      <w:pPr>
        <w:pStyle w:val="libFootnote0"/>
        <w:rPr>
          <w:rtl/>
          <w:lang w:bidi="fa-IR"/>
        </w:rPr>
      </w:pPr>
      <w:r>
        <w:rPr>
          <w:rFonts w:hint="cs"/>
          <w:rtl/>
        </w:rPr>
        <w:t>=</w:t>
      </w:r>
      <w:r w:rsidR="002F6B3B">
        <w:rPr>
          <w:rFonts w:hint="cs"/>
          <w:rtl/>
        </w:rPr>
        <w:t xml:space="preserve"> </w:t>
      </w:r>
      <w:r w:rsidR="000C39D1" w:rsidRPr="00132E65">
        <w:rPr>
          <w:rtl/>
        </w:rPr>
        <w:t>إيّانا ، أو مع أنّك مخذول »</w:t>
      </w:r>
      <w:r w:rsidR="000C39D1">
        <w:rPr>
          <w:rtl/>
        </w:rPr>
        <w:t>.</w:t>
      </w:r>
      <w:r w:rsidR="000C39D1" w:rsidRPr="00132E65">
        <w:rPr>
          <w:rtl/>
        </w:rPr>
        <w:t xml:space="preserve"> ونقل المجلسي عن بعض النسخ : « من رحمتك »</w:t>
      </w:r>
      <w:r w:rsidR="000C39D1">
        <w:rPr>
          <w:rtl/>
        </w:rPr>
        <w:t>.</w:t>
      </w:r>
      <w:r w:rsidR="000C39D1" w:rsidRPr="00132E65">
        <w:rPr>
          <w:rtl/>
        </w:rPr>
        <w:t xml:space="preserve"> راجع : </w:t>
      </w:r>
      <w:r w:rsidR="000C39D1" w:rsidRPr="002F6B3B">
        <w:rPr>
          <w:rStyle w:val="libFootnoteBoldChar"/>
          <w:rtl/>
        </w:rPr>
        <w:t>الصحاح</w:t>
      </w:r>
      <w:r w:rsidR="000C39D1" w:rsidRPr="00132E65">
        <w:rPr>
          <w:rtl/>
        </w:rPr>
        <w:t xml:space="preserve"> ، ج 4 ، ص 1683 ( خذل )</w:t>
      </w:r>
      <w:r w:rsidR="000C39D1">
        <w:rPr>
          <w:rtl/>
        </w:rPr>
        <w:t>.</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قد احتجبتها : احتجبتَ عن مشاورتي ولم تحضرها ، فصار ذلك سبباً لتعوّق الناس عنّي »</w:t>
      </w:r>
      <w:r>
        <w:rPr>
          <w:rtl/>
        </w:rPr>
        <w:t>.</w:t>
      </w:r>
    </w:p>
    <w:p w:rsidR="000C39D1" w:rsidRPr="00132E65" w:rsidRDefault="000C39D1" w:rsidP="000C39D1">
      <w:pPr>
        <w:pStyle w:val="libFootnote0"/>
        <w:rPr>
          <w:rtl/>
          <w:lang w:bidi="fa-IR"/>
        </w:rPr>
      </w:pPr>
      <w:r>
        <w:rPr>
          <w:rtl/>
        </w:rPr>
        <w:t>(2).</w:t>
      </w:r>
      <w:r w:rsidRPr="00132E65">
        <w:rPr>
          <w:rtl/>
        </w:rPr>
        <w:t xml:space="preserve"> « فاستهويتم » ، أي ذهبتم بعقول الناس وأهوائهم ، أو حيّرتموهم ، أو زيّنتم لهم هواهم. راجع : </w:t>
      </w:r>
      <w:r w:rsidRPr="002F6B3B">
        <w:rPr>
          <w:rStyle w:val="libFootnoteBoldChar"/>
          <w:rtl/>
        </w:rPr>
        <w:t>القاموس</w:t>
      </w:r>
      <w:r w:rsidRPr="00E07A6C">
        <w:rPr>
          <w:rtl/>
        </w:rPr>
        <w:t xml:space="preserve"> المحيط</w:t>
      </w:r>
      <w:r w:rsidRPr="00132E65">
        <w:rPr>
          <w:rtl/>
        </w:rPr>
        <w:t xml:space="preserve"> ، ج 2 ، ص 1764 ( هوى )</w:t>
      </w:r>
      <w:r>
        <w:rPr>
          <w:rtl/>
        </w:rPr>
        <w:t>.</w:t>
      </w:r>
    </w:p>
    <w:p w:rsidR="000C39D1" w:rsidRPr="00132E65" w:rsidRDefault="000C39D1" w:rsidP="000C39D1">
      <w:pPr>
        <w:pStyle w:val="libFootnote0"/>
        <w:rPr>
          <w:rtl/>
          <w:lang w:bidi="fa-IR"/>
        </w:rPr>
      </w:pPr>
      <w:r>
        <w:rPr>
          <w:rtl/>
        </w:rPr>
        <w:t>(3).</w:t>
      </w:r>
      <w:r w:rsidRPr="00132E65">
        <w:rPr>
          <w:rtl/>
        </w:rPr>
        <w:t xml:space="preserve"> هكذا في « ألف ، ج ، ض ، و، بح ، بر ، بس ، بف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وفي </w:t>
      </w:r>
      <w:r w:rsidRPr="009D1ACE">
        <w:rPr>
          <w:rStyle w:val="libFootnoteBoldChar"/>
          <w:rtl/>
        </w:rPr>
        <w:t>الوافي</w:t>
      </w:r>
      <w:r w:rsidRPr="00132E65">
        <w:rPr>
          <w:rtl/>
        </w:rPr>
        <w:t xml:space="preserve"> : « كنّى أوّلاً بالعبوديّة ثمّ صرّح باسمه »</w:t>
      </w:r>
      <w:r>
        <w:rPr>
          <w:rtl/>
        </w:rPr>
        <w:t>.</w:t>
      </w:r>
      <w:r w:rsidRPr="00132E65">
        <w:rPr>
          <w:rtl/>
        </w:rPr>
        <w:t xml:space="preserve"> وفي « ف » والطبعة السابقة : « موسى بن عبد الله بن جعفر »</w:t>
      </w:r>
      <w:r>
        <w:rPr>
          <w:rtl/>
        </w:rPr>
        <w:t>.</w:t>
      </w:r>
      <w:r w:rsidRPr="00132E65">
        <w:rPr>
          <w:rtl/>
        </w:rPr>
        <w:t xml:space="preserve"> وفي المطبوع : « موسى بن أبي عبد الله جعفر » ، واستظهر في حاشيتها صحّته.</w:t>
      </w:r>
    </w:p>
    <w:p w:rsidR="000C39D1" w:rsidRPr="00132E65" w:rsidRDefault="000C39D1" w:rsidP="000C39D1">
      <w:pPr>
        <w:pStyle w:val="libFootnote0"/>
        <w:rPr>
          <w:rtl/>
          <w:lang w:bidi="fa-IR"/>
        </w:rPr>
      </w:pPr>
      <w:r w:rsidRPr="00E55206">
        <w:rPr>
          <w:rtl/>
        </w:rPr>
        <w:t xml:space="preserve">هذا ، وفي </w:t>
      </w:r>
      <w:r w:rsidRPr="002F6B3B">
        <w:rPr>
          <w:rStyle w:val="libFootnoteBoldChar"/>
          <w:rtl/>
        </w:rPr>
        <w:t>بحار الأنوار</w:t>
      </w:r>
      <w:r w:rsidRPr="00E55206">
        <w:rPr>
          <w:rtl/>
        </w:rPr>
        <w:t xml:space="preserve"> ، ج 48 ، ص 166 : « موسى بن أبي عبد الله جعفر » لكنّ الظاهر أنّ وقوع هذا العنوان في المتن سهو ؛ لما </w:t>
      </w:r>
      <w:r w:rsidR="002F6B3B" w:rsidRPr="00E55206">
        <w:rPr>
          <w:rtl/>
        </w:rPr>
        <w:t>أورد العل</w:t>
      </w:r>
      <w:r w:rsidR="002F6B3B" w:rsidRPr="00E55206">
        <w:rPr>
          <w:rFonts w:hint="cs"/>
          <w:rtl/>
        </w:rPr>
        <w:t>ّ</w:t>
      </w:r>
      <w:r w:rsidR="002F6B3B" w:rsidRPr="00E55206">
        <w:rPr>
          <w:rtl/>
        </w:rPr>
        <w:t>ا</w:t>
      </w:r>
      <w:r w:rsidRPr="00E55206">
        <w:rPr>
          <w:rtl/>
        </w:rPr>
        <w:t xml:space="preserve">مة المجلسي في ذيل الحديث - في </w:t>
      </w:r>
      <w:r w:rsidRPr="00E07A6C">
        <w:rPr>
          <w:rtl/>
        </w:rPr>
        <w:t xml:space="preserve">إيضاح </w:t>
      </w:r>
      <w:r w:rsidRPr="00E55206">
        <w:rPr>
          <w:rtl/>
        </w:rPr>
        <w:t>- حيث قال : « قوله : من موسى بن عبد الله : في بعض النسخ : « عبدي الله » وهو الأظهر » إلى أن قال : « وفي بعض النسخ : « أبي عبد الله ».</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كأنّه </w:t>
      </w:r>
      <w:r w:rsidRPr="00D14011">
        <w:rPr>
          <w:rStyle w:val="libFootnoteAlaemChar"/>
          <w:rtl/>
        </w:rPr>
        <w:t>عليه‌السلام</w:t>
      </w:r>
      <w:r w:rsidRPr="00132E65">
        <w:rPr>
          <w:rtl/>
        </w:rPr>
        <w:t xml:space="preserve"> أشرك أخاه عليّ بن جعفر معه في المكاتبة ليصرف بذلك عنه م</w:t>
      </w:r>
      <w:r w:rsidR="002F6B3B">
        <w:rPr>
          <w:rtl/>
        </w:rPr>
        <w:t>ا يصرف عن نفسه من‌الدعوى ؛ لئل</w:t>
      </w:r>
      <w:r w:rsidR="002F6B3B">
        <w:rPr>
          <w:rFonts w:hint="cs"/>
          <w:rtl/>
        </w:rPr>
        <w:t>ّ</w:t>
      </w:r>
      <w:r w:rsidR="002F6B3B">
        <w:rPr>
          <w:rtl/>
        </w:rPr>
        <w:t>ا</w:t>
      </w:r>
      <w:r w:rsidRPr="00132E65">
        <w:rPr>
          <w:rtl/>
        </w:rPr>
        <w:t xml:space="preserve"> يظنّ به الظنّ ، كما ظنّ به </w:t>
      </w:r>
      <w:r w:rsidRPr="00D14011">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مشركَيْن ، بصيغة التثنية ، حال عنهما »</w:t>
      </w:r>
      <w:r>
        <w:rPr>
          <w:rtl/>
        </w:rPr>
        <w:t>.</w:t>
      </w:r>
      <w:r w:rsidRPr="00132E65">
        <w:rPr>
          <w:rtl/>
        </w:rPr>
        <w:t xml:space="preserve"> وفي </w:t>
      </w:r>
      <w:r w:rsidRPr="009D1ACE">
        <w:rPr>
          <w:rStyle w:val="libFootnoteBoldChar"/>
          <w:rtl/>
        </w:rPr>
        <w:t>مرآة العقول</w:t>
      </w:r>
      <w:r w:rsidRPr="00132E65">
        <w:rPr>
          <w:rtl/>
        </w:rPr>
        <w:t xml:space="preserve"> : « مشتركين ، بصيغة الجمع حال عن الجميع ، ويؤيّده ما في بعض النسخ : من عبدي الله جعفر وعليّ</w:t>
      </w:r>
      <w:r>
        <w:rPr>
          <w:rtl/>
        </w:rPr>
        <w:t xml:space="preserve"> ..</w:t>
      </w:r>
      <w:r w:rsidRPr="00132E65">
        <w:rPr>
          <w:rtl/>
        </w:rPr>
        <w:t>. ولعلّ فيه زيادة أو تحريفاً من النسّاخ »</w:t>
      </w:r>
      <w:r>
        <w:rPr>
          <w:rtl/>
        </w:rPr>
        <w:t>.</w:t>
      </w:r>
    </w:p>
    <w:tbl>
      <w:tblPr>
        <w:tblStyle w:val="TableGrid"/>
        <w:bidiVisual/>
        <w:tblW w:w="0" w:type="auto"/>
        <w:tblLook w:val="04A0" w:firstRow="1" w:lastRow="0" w:firstColumn="1" w:lastColumn="0" w:noHBand="0" w:noVBand="1"/>
      </w:tblPr>
      <w:tblGrid>
        <w:gridCol w:w="4006"/>
        <w:gridCol w:w="4006"/>
      </w:tblGrid>
      <w:tr w:rsidR="002F6B3B" w:rsidTr="002F6B3B">
        <w:tc>
          <w:tcPr>
            <w:tcW w:w="4006" w:type="dxa"/>
          </w:tcPr>
          <w:p w:rsidR="002F6B3B" w:rsidRDefault="002F6B3B" w:rsidP="000C39D1">
            <w:pPr>
              <w:pStyle w:val="libFootnote0"/>
              <w:rPr>
                <w:rtl/>
              </w:rPr>
            </w:pPr>
            <w:r>
              <w:rPr>
                <w:rtl/>
              </w:rPr>
              <w:t>(6).</w:t>
            </w:r>
            <w:r w:rsidRPr="00132E65">
              <w:rPr>
                <w:rtl/>
              </w:rPr>
              <w:t xml:space="preserve"> في </w:t>
            </w:r>
            <w:r w:rsidRPr="009D1ACE">
              <w:rPr>
                <w:rStyle w:val="libFootnoteBoldChar"/>
                <w:rtl/>
              </w:rPr>
              <w:t>الوافي</w:t>
            </w:r>
            <w:r w:rsidRPr="00132E65">
              <w:rPr>
                <w:rtl/>
              </w:rPr>
              <w:t xml:space="preserve"> والبحار : « الحسن »</w:t>
            </w:r>
            <w:r>
              <w:rPr>
                <w:rtl/>
              </w:rPr>
              <w:t>.</w:t>
            </w:r>
          </w:p>
        </w:tc>
        <w:tc>
          <w:tcPr>
            <w:tcW w:w="4006" w:type="dxa"/>
          </w:tcPr>
          <w:p w:rsidR="002F6B3B" w:rsidRDefault="002F6B3B" w:rsidP="000C39D1">
            <w:pPr>
              <w:pStyle w:val="libFootnote0"/>
              <w:rPr>
                <w:rtl/>
              </w:rPr>
            </w:pPr>
            <w:r>
              <w:rPr>
                <w:rtl/>
              </w:rPr>
              <w:t>(7).</w:t>
            </w:r>
            <w:r w:rsidRPr="00132E65">
              <w:rPr>
                <w:rtl/>
              </w:rPr>
              <w:t xml:space="preserve"> الزخرف (43) : 19.</w:t>
            </w:r>
          </w:p>
        </w:tc>
      </w:tr>
    </w:tbl>
    <w:p w:rsidR="000C39D1" w:rsidRPr="00132E65" w:rsidRDefault="000C39D1" w:rsidP="000C39D1">
      <w:pPr>
        <w:pStyle w:val="libFootnote0"/>
        <w:rPr>
          <w:rtl/>
          <w:lang w:bidi="fa-IR"/>
        </w:rPr>
      </w:pPr>
      <w:r>
        <w:rPr>
          <w:rtl/>
        </w:rPr>
        <w:t>(8).</w:t>
      </w:r>
      <w:r w:rsidRPr="00132E65">
        <w:rPr>
          <w:rtl/>
        </w:rPr>
        <w:t xml:space="preserve"> في « ف » : « مطالبتها »</w:t>
      </w:r>
      <w:r>
        <w:rPr>
          <w:rtl/>
        </w:rPr>
        <w:t>.</w:t>
      </w:r>
      <w:r w:rsidRPr="00132E65">
        <w:rPr>
          <w:rtl/>
        </w:rPr>
        <w:t xml:space="preserve"> وفي </w:t>
      </w:r>
      <w:r w:rsidRPr="009D1ACE">
        <w:rPr>
          <w:rStyle w:val="libFootnoteBoldChar"/>
          <w:rtl/>
        </w:rPr>
        <w:t>مرآة العقول</w:t>
      </w:r>
      <w:r w:rsidRPr="00132E65">
        <w:rPr>
          <w:rtl/>
        </w:rPr>
        <w:t xml:space="preserve"> : « ومطالبها ، بالرفع عطفاً على الحرص ، أو بالجرّ عطفاً على الدنيا »</w:t>
      </w:r>
      <w:r>
        <w:rPr>
          <w:rtl/>
        </w:rPr>
        <w:t>.</w:t>
      </w:r>
    </w:p>
    <w:p w:rsidR="000C39D1" w:rsidRPr="00132E65" w:rsidRDefault="000C39D1" w:rsidP="000C39D1">
      <w:pPr>
        <w:pStyle w:val="libFootnote0"/>
        <w:rPr>
          <w:rtl/>
          <w:lang w:bidi="fa-IR"/>
        </w:rPr>
      </w:pPr>
      <w:r>
        <w:rPr>
          <w:rtl/>
        </w:rPr>
        <w:t>(9).</w:t>
      </w:r>
      <w:r w:rsidRPr="00132E65">
        <w:rPr>
          <w:rtl/>
        </w:rPr>
        <w:t xml:space="preserve"> في « ف ، بس » : « تفسد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آخِرَتِهِمْ فِي دُنْيَاهُمْ ، و</w:t>
      </w:r>
      <w:r w:rsidR="002F6B3B">
        <w:rPr>
          <w:rFonts w:hint="cs"/>
          <w:rtl/>
          <w:lang w:bidi="fa-IR"/>
        </w:rPr>
        <w:t>َ</w:t>
      </w:r>
      <w:r w:rsidRPr="00132E65">
        <w:rPr>
          <w:rtl/>
          <w:lang w:bidi="fa-IR"/>
        </w:rPr>
        <w:t xml:space="preserve">ذَكَرْتَ أَنِّي ثَبَّطْتُ النَّاسَ عَنْكَ </w:t>
      </w:r>
      <w:r>
        <w:rPr>
          <w:rStyle w:val="libFootnotenumChar"/>
          <w:rtl/>
        </w:rPr>
        <w:t>(1)</w:t>
      </w:r>
      <w:r w:rsidRPr="00132E65">
        <w:rPr>
          <w:rtl/>
          <w:lang w:bidi="fa-IR"/>
        </w:rPr>
        <w:t xml:space="preserve"> لِرَغْبَتِي فِيمَا فِي يَدَيْكَ ، و</w:t>
      </w:r>
      <w:r w:rsidR="002F6B3B">
        <w:rPr>
          <w:rFonts w:hint="cs"/>
          <w:rtl/>
          <w:lang w:bidi="fa-IR"/>
        </w:rPr>
        <w:t>َ</w:t>
      </w:r>
      <w:r w:rsidRPr="00132E65">
        <w:rPr>
          <w:rtl/>
          <w:lang w:bidi="fa-IR"/>
        </w:rPr>
        <w:t>مَا مَنَعَنِي مِنْ مَدْخَلِكَ الَّذِي أَنْتَ فِيهِ</w:t>
      </w:r>
      <w:r>
        <w:rPr>
          <w:rtl/>
          <w:lang w:bidi="fa-IR"/>
        </w:rPr>
        <w:t xml:space="preserve"> - </w:t>
      </w:r>
      <w:r w:rsidRPr="00132E65">
        <w:rPr>
          <w:rtl/>
          <w:lang w:bidi="fa-IR"/>
        </w:rPr>
        <w:t>لَوْ كُنْتُ رَاغِباً</w:t>
      </w:r>
      <w:r>
        <w:rPr>
          <w:rtl/>
          <w:lang w:bidi="fa-IR"/>
        </w:rPr>
        <w:t xml:space="preserve"> - </w:t>
      </w:r>
      <w:r w:rsidRPr="00132E65">
        <w:rPr>
          <w:rtl/>
          <w:lang w:bidi="fa-IR"/>
        </w:rPr>
        <w:t>ضَعْفٌ عَنْ سُنَّةٍ ، و</w:t>
      </w:r>
      <w:r w:rsidR="002F6B3B">
        <w:rPr>
          <w:rFonts w:hint="cs"/>
          <w:rtl/>
          <w:lang w:bidi="fa-IR"/>
        </w:rPr>
        <w:t>َ</w:t>
      </w:r>
      <w:r w:rsidRPr="00132E65">
        <w:rPr>
          <w:rtl/>
          <w:lang w:bidi="fa-IR"/>
        </w:rPr>
        <w:t>لَا</w:t>
      </w:r>
      <w:r w:rsidR="002F6B3B">
        <w:rPr>
          <w:rFonts w:hint="cs"/>
          <w:rtl/>
          <w:lang w:bidi="fa-IR"/>
        </w:rPr>
        <w:t xml:space="preserve"> </w:t>
      </w:r>
      <w:r w:rsidRPr="00132E65">
        <w:rPr>
          <w:rtl/>
          <w:lang w:bidi="fa-IR"/>
        </w:rPr>
        <w:t>قِلَّةُ بَصِيرَةٍ بِحُجَّةٍ ، و</w:t>
      </w:r>
      <w:r w:rsidR="002F6B3B">
        <w:rPr>
          <w:rFonts w:hint="cs"/>
          <w:rtl/>
          <w:lang w:bidi="fa-IR"/>
        </w:rPr>
        <w:t>َ</w:t>
      </w:r>
      <w:r w:rsidRPr="00132E65">
        <w:rPr>
          <w:rtl/>
          <w:lang w:bidi="fa-IR"/>
        </w:rPr>
        <w:t>لكِنَّ اللهَ</w:t>
      </w:r>
      <w:r>
        <w:rPr>
          <w:rtl/>
          <w:lang w:bidi="fa-IR"/>
        </w:rPr>
        <w:t xml:space="preserve"> - </w:t>
      </w:r>
      <w:r w:rsidRPr="00132E65">
        <w:rPr>
          <w:rtl/>
          <w:lang w:bidi="fa-IR"/>
        </w:rPr>
        <w:t xml:space="preserve">تَبَارَكَ وتَعَالى </w:t>
      </w:r>
      <w:r>
        <w:rPr>
          <w:rStyle w:val="libFootnotenumChar"/>
          <w:rtl/>
        </w:rPr>
        <w:t>(2)</w:t>
      </w:r>
      <w:r>
        <w:rPr>
          <w:rtl/>
          <w:lang w:bidi="fa-IR"/>
        </w:rPr>
        <w:t xml:space="preserve"> - </w:t>
      </w:r>
      <w:r w:rsidRPr="00132E65">
        <w:rPr>
          <w:rtl/>
          <w:lang w:bidi="fa-IR"/>
        </w:rPr>
        <w:t xml:space="preserve">خَلَقَ النَّاسَ أَمْشَاجاً </w:t>
      </w:r>
      <w:r>
        <w:rPr>
          <w:rStyle w:val="libFootnotenumChar"/>
          <w:rtl/>
        </w:rPr>
        <w:t>(3)</w:t>
      </w:r>
      <w:r w:rsidRPr="00132E65">
        <w:rPr>
          <w:rtl/>
          <w:lang w:bidi="fa-IR"/>
        </w:rPr>
        <w:t xml:space="preserve"> و</w:t>
      </w:r>
      <w:r w:rsidR="002F6B3B">
        <w:rPr>
          <w:rFonts w:hint="cs"/>
          <w:rtl/>
          <w:lang w:bidi="fa-IR"/>
        </w:rPr>
        <w:t>َ</w:t>
      </w:r>
      <w:r w:rsidRPr="00132E65">
        <w:rPr>
          <w:rtl/>
          <w:lang w:bidi="fa-IR"/>
        </w:rPr>
        <w:t xml:space="preserve">غَرَائِبَ </w:t>
      </w:r>
      <w:r>
        <w:rPr>
          <w:rStyle w:val="libFootnotenumChar"/>
          <w:rtl/>
        </w:rPr>
        <w:t>(4)</w:t>
      </w:r>
      <w:r w:rsidRPr="00132E65">
        <w:rPr>
          <w:rtl/>
          <w:lang w:bidi="fa-IR"/>
        </w:rPr>
        <w:t xml:space="preserve"> وغَرَائِزَ ، فَأَخْبِرْنِي عَنْ حَرْفَيْنِ أَسْأَلُكَ عَنْهُمَا : مَا الْعَتْرَفُ </w:t>
      </w:r>
      <w:r>
        <w:rPr>
          <w:rStyle w:val="libFootnotenumChar"/>
          <w:rtl/>
        </w:rPr>
        <w:t>(5)</w:t>
      </w:r>
      <w:r w:rsidRPr="00132E65">
        <w:rPr>
          <w:rtl/>
          <w:lang w:bidi="fa-IR"/>
        </w:rPr>
        <w:t xml:space="preserve"> فِي بَدَنِكَ</w:t>
      </w:r>
      <w:r>
        <w:rPr>
          <w:rtl/>
          <w:lang w:bidi="fa-IR"/>
        </w:rPr>
        <w:t>؟</w:t>
      </w:r>
      <w:r w:rsidRPr="00132E65">
        <w:rPr>
          <w:rtl/>
          <w:lang w:bidi="fa-IR"/>
        </w:rPr>
        <w:t xml:space="preserve"> و</w:t>
      </w:r>
      <w:r w:rsidR="002F6B3B">
        <w:rPr>
          <w:rFonts w:hint="cs"/>
          <w:rtl/>
          <w:lang w:bidi="fa-IR"/>
        </w:rPr>
        <w:t>َ</w:t>
      </w:r>
      <w:r w:rsidRPr="00132E65">
        <w:rPr>
          <w:rtl/>
          <w:lang w:bidi="fa-IR"/>
        </w:rPr>
        <w:t xml:space="preserve">مَا الصَّهْلَجُ </w:t>
      </w:r>
      <w:r>
        <w:rPr>
          <w:rStyle w:val="libFootnotenumChar"/>
          <w:rtl/>
        </w:rPr>
        <w:t>(6)</w:t>
      </w:r>
      <w:r w:rsidRPr="00132E65">
        <w:rPr>
          <w:rtl/>
          <w:lang w:bidi="fa-IR"/>
        </w:rPr>
        <w:t xml:space="preserve"> فِي الْإِنْسَانِ</w:t>
      </w:r>
      <w:r>
        <w:rPr>
          <w:rtl/>
          <w:lang w:bidi="fa-IR"/>
        </w:rPr>
        <w:t>؟</w:t>
      </w:r>
      <w:r w:rsidRPr="00132E65">
        <w:rPr>
          <w:rtl/>
          <w:lang w:bidi="fa-IR"/>
        </w:rPr>
        <w:t xml:space="preserve"> ثُمَّ اكْتُبْ إِلَيَّ بِخَبَرِ ذلِكَ ، وأَنَا مُتَقَدِّمٌ إِلَيْكَ ، أُحَذِّرُكَ مَعْصِيَةَ الْخَلِيفَةِ ، وأَحُثُّكَ عَلى بِرِّهِ و</w:t>
      </w:r>
      <w:r w:rsidR="002F6B3B">
        <w:rPr>
          <w:rFonts w:hint="cs"/>
          <w:rtl/>
          <w:lang w:bidi="fa-IR"/>
        </w:rPr>
        <w:t>َ</w:t>
      </w:r>
      <w:r w:rsidRPr="00132E65">
        <w:rPr>
          <w:rtl/>
          <w:lang w:bidi="fa-IR"/>
        </w:rPr>
        <w:t xml:space="preserve">طَاعَتِهِ ، وَأَنْ تَطْلُبَ لِنَفْسِكَ أَمَاناً قَبْلَ أَنْ تَأْخُذَكَ الْأَظْفَارُ ، ويَلْزَمَكَ الْخِنَاقُ </w:t>
      </w:r>
      <w:r>
        <w:rPr>
          <w:rStyle w:val="libFootnotenumChar"/>
          <w:rtl/>
        </w:rPr>
        <w:t>(7)</w:t>
      </w:r>
      <w:r w:rsidRPr="00132E65">
        <w:rPr>
          <w:rtl/>
          <w:lang w:bidi="fa-IR"/>
        </w:rPr>
        <w:t xml:space="preserve"> مِنْ كُلِّ مَكَانٍ ؛ فَتَرَوَّحَ </w:t>
      </w:r>
      <w:r>
        <w:rPr>
          <w:rStyle w:val="libFootnotenumChar"/>
          <w:rtl/>
        </w:rPr>
        <w:t>(8)</w:t>
      </w:r>
      <w:r w:rsidRPr="00132E65">
        <w:rPr>
          <w:rtl/>
          <w:lang w:bidi="fa-IR"/>
        </w:rPr>
        <w:t xml:space="preserve"> إِلَى النَّفَسِ مِنْ كُلِّ مَكَانٍ ولَاتَجِدَهُ حَتّى يَمُنَّ اللهُ عَلَيْكَ بِمَنِّهِ و</w:t>
      </w:r>
      <w:r w:rsidR="002F6B3B">
        <w:rPr>
          <w:rFonts w:hint="cs"/>
          <w:rtl/>
          <w:lang w:bidi="fa-IR"/>
        </w:rPr>
        <w:t>َ</w:t>
      </w:r>
      <w:r w:rsidRPr="00132E65">
        <w:rPr>
          <w:rtl/>
          <w:lang w:bidi="fa-IR"/>
        </w:rPr>
        <w:t>فَضْلِهِ و</w:t>
      </w:r>
      <w:r w:rsidR="002F6B3B">
        <w:rPr>
          <w:rFonts w:hint="cs"/>
          <w:rtl/>
          <w:lang w:bidi="fa-IR"/>
        </w:rPr>
        <w:t xml:space="preserve">َ </w:t>
      </w:r>
      <w:r w:rsidRPr="00132E65">
        <w:rPr>
          <w:rtl/>
          <w:lang w:bidi="fa-IR"/>
        </w:rPr>
        <w:t>رِقَّةِ الْخَلِيفَةِ</w:t>
      </w:r>
      <w:r>
        <w:rPr>
          <w:rtl/>
          <w:lang w:bidi="fa-IR"/>
        </w:rPr>
        <w:t xml:space="preserve"> - </w:t>
      </w:r>
      <w:r w:rsidRPr="00132E65">
        <w:rPr>
          <w:rtl/>
          <w:lang w:bidi="fa-IR"/>
        </w:rPr>
        <w:t>أَبْقَاهُ اللهُ</w:t>
      </w:r>
      <w:r>
        <w:rPr>
          <w:rtl/>
          <w:lang w:bidi="fa-IR"/>
        </w:rPr>
        <w:t xml:space="preserve"> - </w:t>
      </w:r>
      <w:r w:rsidRPr="00132E65">
        <w:rPr>
          <w:rtl/>
          <w:lang w:bidi="fa-IR"/>
        </w:rPr>
        <w:t xml:space="preserve">فَيُؤْمِنَكَ ويَرْحَمَكَ ، ويَحْفَظَ فِيكَ أَرْحَامَ رَسُولِ اللهِ </w:t>
      </w:r>
      <w:r w:rsidRPr="0093484F">
        <w:rPr>
          <w:rStyle w:val="libAlaemChar"/>
          <w:rFonts w:eastAsiaTheme="minorHAnsi"/>
          <w:rtl/>
        </w:rPr>
        <w:t>صلى‌الله‌عليه‌وآله</w:t>
      </w:r>
      <w:r w:rsidRPr="00132E65">
        <w:rPr>
          <w:rtl/>
          <w:lang w:bidi="fa-IR"/>
        </w:rPr>
        <w:t xml:space="preserve"> </w:t>
      </w:r>
      <w:r w:rsidRPr="00071CF9">
        <w:rPr>
          <w:rStyle w:val="libAlaemChar"/>
          <w:rtl/>
        </w:rPr>
        <w:t>(</w:t>
      </w:r>
      <w:r w:rsidRPr="00071CF9">
        <w:rPr>
          <w:rStyle w:val="libAieChar"/>
          <w:rtl/>
        </w:rPr>
        <w:t xml:space="preserve"> وَالسَّل</w:t>
      </w:r>
      <w:r w:rsidR="00CD3CF0">
        <w:rPr>
          <w:rStyle w:val="libAieChar"/>
          <w:rFonts w:hint="cs"/>
          <w:rtl/>
        </w:rPr>
        <w:t>َ</w:t>
      </w:r>
      <w:r w:rsidRPr="00071CF9">
        <w:rPr>
          <w:rStyle w:val="libAieChar"/>
          <w:rtl/>
        </w:rPr>
        <w:t xml:space="preserve">امُ عَلى مَنِ اتَّبَعَ الْهُدى </w:t>
      </w:r>
      <w:r w:rsidR="00CD3CF0">
        <w:rPr>
          <w:rStyle w:val="libAieChar"/>
          <w:rFonts w:hint="cs"/>
          <w:rtl/>
        </w:rPr>
        <w:t xml:space="preserve">* </w:t>
      </w:r>
      <w:r w:rsidRPr="00071CF9">
        <w:rPr>
          <w:rStyle w:val="libAieChar"/>
          <w:rtl/>
        </w:rPr>
        <w:t>إِنّ</w:t>
      </w:r>
      <w:r w:rsidR="00CD3CF0">
        <w:rPr>
          <w:rStyle w:val="libAieChar"/>
          <w:rFonts w:hint="cs"/>
          <w:rtl/>
        </w:rPr>
        <w:t>َ</w:t>
      </w:r>
      <w:r w:rsidRPr="00071CF9">
        <w:rPr>
          <w:rStyle w:val="libAieChar"/>
          <w:rtl/>
        </w:rPr>
        <w:t xml:space="preserve">ا قَدْ أُوحِيَ إِلَيْنا أَنَّ الْعَذابَ عَلى مَنْ كَذَّبَ وَتَوَلّى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(10)</w:t>
      </w:r>
      <w:r w:rsidRPr="00132E65">
        <w:rPr>
          <w:rtl/>
          <w:lang w:bidi="fa-IR"/>
        </w:rPr>
        <w:t xml:space="preserve"> الْجَعْفَرِيُّ : فَبَلَغَنِي أَنَّ كِتَابَ مُوسَى بْنِ جَعْفَرٍ </w:t>
      </w:r>
      <w:r w:rsidRPr="00071CF9">
        <w:rPr>
          <w:rStyle w:val="libAlaemChar"/>
          <w:rtl/>
        </w:rPr>
        <w:t>عليه‌السلام</w:t>
      </w:r>
      <w:r w:rsidRPr="00132E65">
        <w:rPr>
          <w:rtl/>
          <w:lang w:bidi="fa-IR"/>
        </w:rPr>
        <w:t xml:space="preserve"> وقَعَ فِي يَدَيْ </w:t>
      </w:r>
      <w:r>
        <w:rPr>
          <w:rStyle w:val="libFootnotenumChar"/>
          <w:rtl/>
        </w:rPr>
        <w:t>(11)</w:t>
      </w:r>
      <w:r w:rsidRPr="00132E65">
        <w:rPr>
          <w:rtl/>
          <w:lang w:bidi="fa-IR"/>
        </w:rPr>
        <w:t xml:space="preserve"> هَارُونَ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ثبّطتُ الناس عنك » ، أي شغلتهم وعوّقتهم عنك. راجع : </w:t>
      </w:r>
      <w:r w:rsidRPr="00CD3CF0">
        <w:rPr>
          <w:rStyle w:val="libFootnoteBoldChar"/>
          <w:rtl/>
        </w:rPr>
        <w:t>النهاية</w:t>
      </w:r>
      <w:r w:rsidRPr="00132E65">
        <w:rPr>
          <w:rtl/>
        </w:rPr>
        <w:t xml:space="preserve"> ، ج 1 ، ص 207 ( ثبط )</w:t>
      </w:r>
      <w:r>
        <w:rPr>
          <w:rtl/>
        </w:rPr>
        <w:t>.</w:t>
      </w:r>
    </w:p>
    <w:p w:rsidR="000C39D1" w:rsidRPr="00132E65" w:rsidRDefault="000C39D1" w:rsidP="00CD3CF0">
      <w:pPr>
        <w:pStyle w:val="libFootnote0"/>
        <w:rPr>
          <w:rtl/>
          <w:lang w:bidi="fa-IR"/>
        </w:rPr>
      </w:pPr>
      <w:r>
        <w:rPr>
          <w:rtl/>
        </w:rPr>
        <w:t>(2).</w:t>
      </w:r>
      <w:r w:rsidRPr="00132E65">
        <w:rPr>
          <w:rtl/>
        </w:rPr>
        <w:t xml:space="preserve"> في « ف » :</w:t>
      </w:r>
      <w:r>
        <w:rPr>
          <w:rtl/>
        </w:rPr>
        <w:t xml:space="preserve"> + </w:t>
      </w:r>
      <w:r w:rsidRPr="00132E65">
        <w:rPr>
          <w:rtl/>
        </w:rPr>
        <w:t>« اسمه »</w:t>
      </w:r>
      <w:r>
        <w:rPr>
          <w:rtl/>
        </w:rPr>
        <w:t>.</w:t>
      </w:r>
      <w:r w:rsidRPr="00132E65">
        <w:rPr>
          <w:rtl/>
        </w:rPr>
        <w:t xml:space="preserve"> وفي « ه‍ </w:t>
      </w:r>
      <w:r w:rsidR="00CD3CF0" w:rsidRPr="00132E65">
        <w:rPr>
          <w:rtl/>
        </w:rPr>
        <w:t>»</w:t>
      </w:r>
      <w:r w:rsidRPr="00132E65">
        <w:rPr>
          <w:rtl/>
        </w:rPr>
        <w:t xml:space="preserve"> : « تبارك اسمه »</w:t>
      </w:r>
      <w:r>
        <w:rPr>
          <w:rtl/>
        </w:rPr>
        <w:t>.</w:t>
      </w:r>
    </w:p>
    <w:p w:rsidR="000C39D1" w:rsidRPr="00132E65" w:rsidRDefault="000C39D1" w:rsidP="000C39D1">
      <w:pPr>
        <w:pStyle w:val="libFootnote0"/>
        <w:rPr>
          <w:rtl/>
          <w:lang w:bidi="fa-IR"/>
        </w:rPr>
      </w:pPr>
      <w:r>
        <w:rPr>
          <w:rtl/>
        </w:rPr>
        <w:t>(3).</w:t>
      </w:r>
      <w:r w:rsidR="00CD3CF0">
        <w:rPr>
          <w:rtl/>
        </w:rPr>
        <w:t xml:space="preserve"> « الأمشاج » : جمع الم</w:t>
      </w:r>
      <w:r w:rsidR="00CD3CF0">
        <w:rPr>
          <w:rFonts w:hint="cs"/>
          <w:rtl/>
        </w:rPr>
        <w:t>ـَ</w:t>
      </w:r>
      <w:r w:rsidRPr="00132E65">
        <w:rPr>
          <w:rtl/>
        </w:rPr>
        <w:t xml:space="preserve">شيج ، وهو المختلط من كلّ شي‌ء مخلوط. والمراد : خلق الناس أخلاطاً شتّى. راجع : </w:t>
      </w:r>
      <w:r w:rsidRPr="00CD3CF0">
        <w:rPr>
          <w:rStyle w:val="libFootnoteBoldChar"/>
          <w:rtl/>
        </w:rPr>
        <w:t>النهاية</w:t>
      </w:r>
      <w:r w:rsidRPr="00132E65">
        <w:rPr>
          <w:rtl/>
        </w:rPr>
        <w:t xml:space="preserve"> ، ج 4 ، ص 332 ( مشج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وغرائب : ذوي العجائب ، فإنّك تدّعي هذا الأمر مع جهلك وضلالتك ، وأنا لا أدّعيه مع وفور علمي وهداي ، وأيّ غريبة أغرب من ذلك وا</w:t>
      </w:r>
      <w:r w:rsidR="00CD3CF0">
        <w:rPr>
          <w:rFonts w:hint="cs"/>
          <w:rtl/>
        </w:rPr>
        <w:t>ُ</w:t>
      </w:r>
      <w:r w:rsidRPr="00132E65">
        <w:rPr>
          <w:rtl/>
        </w:rPr>
        <w:t>عجوبة أعجب منه »</w:t>
      </w:r>
      <w:r>
        <w:rPr>
          <w:rtl/>
        </w:rPr>
        <w:t>.</w:t>
      </w:r>
    </w:p>
    <w:p w:rsidR="000C39D1" w:rsidRPr="00132E65" w:rsidRDefault="000C39D1" w:rsidP="000C39D1">
      <w:pPr>
        <w:pStyle w:val="libFootnote0"/>
        <w:rPr>
          <w:rtl/>
          <w:lang w:bidi="fa-IR"/>
        </w:rPr>
      </w:pPr>
      <w:r>
        <w:rPr>
          <w:rtl/>
        </w:rPr>
        <w:t>(5).</w:t>
      </w:r>
      <w:r w:rsidRPr="00132E65">
        <w:rPr>
          <w:rtl/>
        </w:rPr>
        <w:t xml:space="preserve"> في « ض » : « العطرف »</w:t>
      </w:r>
      <w:r>
        <w:rPr>
          <w:rtl/>
        </w:rPr>
        <w:t>.</w:t>
      </w:r>
      <w:r w:rsidRPr="00132E65">
        <w:rPr>
          <w:rtl/>
        </w:rPr>
        <w:t xml:space="preserve"> وفي </w:t>
      </w:r>
      <w:r w:rsidRPr="00CD3CF0">
        <w:rPr>
          <w:rStyle w:val="libFootnoteBoldChar"/>
          <w:rtl/>
        </w:rPr>
        <w:t>شرح المازندراني</w:t>
      </w:r>
      <w:r w:rsidRPr="00132E65">
        <w:rPr>
          <w:rtl/>
        </w:rPr>
        <w:t xml:space="preserve"> : « العترف : داء عظيم</w:t>
      </w:r>
      <w:r w:rsidR="00CD3CF0">
        <w:rPr>
          <w:rtl/>
        </w:rPr>
        <w:t xml:space="preserve"> خبيث يحرّك صاحبه فيما لا ينبغي</w:t>
      </w:r>
      <w:r w:rsidRPr="00132E65">
        <w:rPr>
          <w:rtl/>
        </w:rPr>
        <w:t>»</w:t>
      </w:r>
      <w:r>
        <w:rPr>
          <w:rtl/>
        </w:rPr>
        <w:t>.</w:t>
      </w:r>
    </w:p>
    <w:p w:rsidR="000C39D1" w:rsidRPr="00132E65" w:rsidRDefault="000C39D1" w:rsidP="000C39D1">
      <w:pPr>
        <w:pStyle w:val="libFootnote0"/>
        <w:rPr>
          <w:rtl/>
          <w:lang w:bidi="fa-IR"/>
        </w:rPr>
      </w:pPr>
      <w:r>
        <w:rPr>
          <w:rtl/>
        </w:rPr>
        <w:t>(6).</w:t>
      </w:r>
      <w:r w:rsidRPr="00132E65">
        <w:rPr>
          <w:rtl/>
        </w:rPr>
        <w:t xml:space="preserve"> في </w:t>
      </w:r>
      <w:r w:rsidRPr="00E07A6C">
        <w:rPr>
          <w:rtl/>
        </w:rPr>
        <w:t>شرح المازندراني</w:t>
      </w:r>
      <w:r w:rsidRPr="00132E65">
        <w:rPr>
          <w:rtl/>
        </w:rPr>
        <w:t xml:space="preserve"> : « كأنّ الصهلج عرق »</w:t>
      </w:r>
      <w:r>
        <w:rPr>
          <w:rtl/>
        </w:rPr>
        <w:t>.</w:t>
      </w:r>
    </w:p>
    <w:p w:rsidR="000C39D1" w:rsidRPr="00132E65" w:rsidRDefault="000C39D1" w:rsidP="000C39D1">
      <w:pPr>
        <w:pStyle w:val="libFootnote0"/>
        <w:rPr>
          <w:rtl/>
          <w:lang w:bidi="fa-IR"/>
        </w:rPr>
      </w:pPr>
      <w:r>
        <w:rPr>
          <w:rtl/>
        </w:rPr>
        <w:t>(7).</w:t>
      </w:r>
      <w:r w:rsidRPr="00132E65">
        <w:rPr>
          <w:rtl/>
        </w:rPr>
        <w:t xml:space="preserve"> « الخِناقُ » : ما يُخْنَقُ به من حبل وغيره ؛ من خَنَقَهُ ، أي عَصَرَ حلقَه حتّى مات ، كناية عن الإشراف على الهلاك. أو الخُناق ، وهو داء أو ريح يأخذ الإنسان والدوابّ في الحلوق. واحتمل المجلسي كونه الخَناق أيضاً مصدر خنقه ، ولكن لا تساعده اللغة. راجع : </w:t>
      </w:r>
      <w:r w:rsidRPr="009D1ACE">
        <w:rPr>
          <w:rStyle w:val="libFootnoteBoldChar"/>
          <w:rtl/>
        </w:rPr>
        <w:t>لسان العرب</w:t>
      </w:r>
      <w:r w:rsidRPr="00132E65">
        <w:rPr>
          <w:rtl/>
        </w:rPr>
        <w:t xml:space="preserve"> ، ج 10 ، ص 92 ( خنق )</w:t>
      </w:r>
      <w:r>
        <w:rPr>
          <w:rtl/>
        </w:rPr>
        <w:t>.</w:t>
      </w:r>
    </w:p>
    <w:p w:rsidR="000C39D1" w:rsidRPr="00132E65" w:rsidRDefault="000C39D1" w:rsidP="000C39D1">
      <w:pPr>
        <w:pStyle w:val="libFootnote0"/>
        <w:rPr>
          <w:rtl/>
          <w:lang w:bidi="fa-IR"/>
        </w:rPr>
      </w:pPr>
      <w:r>
        <w:rPr>
          <w:rtl/>
        </w:rPr>
        <w:t>(8).</w:t>
      </w:r>
      <w:r w:rsidRPr="00132E65">
        <w:rPr>
          <w:rtl/>
        </w:rPr>
        <w:t xml:space="preserve"> في البحار : « تتروّح »</w:t>
      </w:r>
      <w:r>
        <w:rPr>
          <w:rtl/>
        </w:rPr>
        <w:t>.</w:t>
      </w:r>
      <w:r w:rsidRPr="00132E65">
        <w:rPr>
          <w:rtl/>
        </w:rPr>
        <w:t xml:space="preserve"> وقوله : « فتروّح إلى النفس » أي تسير وتغدو ، وترجع إلى الراحة والسعة ، أي إلى‌</w:t>
      </w:r>
      <w:r w:rsidR="00CD3CF0">
        <w:rPr>
          <w:rFonts w:hint="cs"/>
          <w:rtl/>
        </w:rPr>
        <w:t xml:space="preserve"> </w:t>
      </w:r>
      <w:r w:rsidRPr="00132E65">
        <w:rPr>
          <w:rtl/>
        </w:rPr>
        <w:t xml:space="preserve">طلبها. راجع : </w:t>
      </w:r>
      <w:r w:rsidRPr="00CD3CF0">
        <w:rPr>
          <w:rStyle w:val="libFootnoteBoldChar"/>
          <w:rtl/>
        </w:rPr>
        <w:t>المصباح المنير</w:t>
      </w:r>
      <w:r w:rsidRPr="00132E65">
        <w:rPr>
          <w:rtl/>
        </w:rPr>
        <w:t xml:space="preserve"> ، ص 243 ( روح )</w:t>
      </w:r>
      <w:r>
        <w:rPr>
          <w:rtl/>
        </w:rPr>
        <w:t>.</w:t>
      </w:r>
    </w:p>
    <w:tbl>
      <w:tblPr>
        <w:tblStyle w:val="TableGrid"/>
        <w:bidiVisual/>
        <w:tblW w:w="0" w:type="auto"/>
        <w:tblLook w:val="04A0" w:firstRow="1" w:lastRow="0" w:firstColumn="1" w:lastColumn="0" w:noHBand="0" w:noVBand="1"/>
      </w:tblPr>
      <w:tblGrid>
        <w:gridCol w:w="4006"/>
        <w:gridCol w:w="4006"/>
      </w:tblGrid>
      <w:tr w:rsidR="00CD3CF0" w:rsidTr="00CD3CF0">
        <w:tc>
          <w:tcPr>
            <w:tcW w:w="4006" w:type="dxa"/>
          </w:tcPr>
          <w:p w:rsidR="00CD3CF0" w:rsidRDefault="00CD3CF0" w:rsidP="000C39D1">
            <w:pPr>
              <w:pStyle w:val="libFootnote0"/>
              <w:rPr>
                <w:rtl/>
              </w:rPr>
            </w:pPr>
            <w:r>
              <w:rPr>
                <w:rtl/>
              </w:rPr>
              <w:t>(9).</w:t>
            </w:r>
            <w:r w:rsidRPr="00132E65">
              <w:rPr>
                <w:rtl/>
              </w:rPr>
              <w:t xml:space="preserve"> طه (20) : 47</w:t>
            </w:r>
            <w:r>
              <w:rPr>
                <w:rtl/>
              </w:rPr>
              <w:t xml:space="preserve"> - </w:t>
            </w:r>
            <w:r w:rsidRPr="00132E65">
              <w:rPr>
                <w:rtl/>
              </w:rPr>
              <w:t>48.</w:t>
            </w:r>
          </w:p>
        </w:tc>
        <w:tc>
          <w:tcPr>
            <w:tcW w:w="4006" w:type="dxa"/>
          </w:tcPr>
          <w:p w:rsidR="00CD3CF0" w:rsidRDefault="00CD3CF0" w:rsidP="000C39D1">
            <w:pPr>
              <w:pStyle w:val="libFootnote0"/>
              <w:rPr>
                <w:rtl/>
              </w:rPr>
            </w:pPr>
            <w:r>
              <w:rPr>
                <w:rtl/>
              </w:rPr>
              <w:t>(10).</w:t>
            </w:r>
            <w:r w:rsidRPr="00132E65">
              <w:rPr>
                <w:rtl/>
              </w:rPr>
              <w:t xml:space="preserve"> في « ض » :</w:t>
            </w:r>
            <w:r>
              <w:rPr>
                <w:rtl/>
              </w:rPr>
              <w:t xml:space="preserve"> + </w:t>
            </w:r>
            <w:r w:rsidRPr="00132E65">
              <w:rPr>
                <w:rtl/>
              </w:rPr>
              <w:t>« حدّثنا »</w:t>
            </w:r>
            <w:r>
              <w:rPr>
                <w:rtl/>
              </w:rPr>
              <w:t>.</w:t>
            </w:r>
          </w:p>
        </w:tc>
      </w:tr>
    </w:tbl>
    <w:p w:rsidR="000C39D1" w:rsidRPr="00132E65" w:rsidRDefault="000C39D1" w:rsidP="000C39D1">
      <w:pPr>
        <w:pStyle w:val="libFootnote0"/>
        <w:rPr>
          <w:rtl/>
          <w:lang w:bidi="fa-IR"/>
        </w:rPr>
      </w:pPr>
      <w:r>
        <w:rPr>
          <w:rtl/>
        </w:rPr>
        <w:t>(11).</w:t>
      </w:r>
      <w:r w:rsidRPr="00132E65">
        <w:rPr>
          <w:rtl/>
        </w:rPr>
        <w:t xml:space="preserve"> في « ب ، ج ، ف » : « يد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فَلَمَّا قَرَأَهُ ، قَالَ : النَّاسُ يَحْمِلُونِّي </w:t>
      </w:r>
      <w:r>
        <w:rPr>
          <w:rStyle w:val="libFootnotenumChar"/>
          <w:rtl/>
        </w:rPr>
        <w:t>(1)</w:t>
      </w:r>
      <w:r w:rsidRPr="00132E65">
        <w:rPr>
          <w:rtl/>
          <w:lang w:bidi="fa-IR"/>
        </w:rPr>
        <w:t xml:space="preserve"> عَلى مُوسَى بْنِ جَعْفَرٍ ، و</w:t>
      </w:r>
      <w:r w:rsidR="00CD3CF0">
        <w:rPr>
          <w:rFonts w:hint="cs"/>
          <w:rtl/>
          <w:lang w:bidi="fa-IR"/>
        </w:rPr>
        <w:t xml:space="preserve">َ </w:t>
      </w:r>
      <w:r w:rsidRPr="00132E65">
        <w:rPr>
          <w:rtl/>
          <w:lang w:bidi="fa-IR"/>
        </w:rPr>
        <w:t xml:space="preserve">هُوَ بَرِي‌ءٌ مِمَّا يُرْمى بِهِ. </w:t>
      </w:r>
      <w:r>
        <w:rPr>
          <w:rStyle w:val="libFootnotenumChar"/>
          <w:rtl/>
        </w:rPr>
        <w:t>(2)</w:t>
      </w:r>
      <w:r w:rsidRPr="00132E65">
        <w:rPr>
          <w:rtl/>
          <w:lang w:bidi="fa-IR"/>
        </w:rPr>
        <w:t>‌</w:t>
      </w:r>
    </w:p>
    <w:p w:rsidR="000C39D1" w:rsidRDefault="000C39D1" w:rsidP="000C39D1">
      <w:pPr>
        <w:pStyle w:val="libCenter"/>
        <w:rPr>
          <w:rtl/>
        </w:rPr>
      </w:pPr>
      <w:r w:rsidRPr="00EA257F">
        <w:rPr>
          <w:rtl/>
        </w:rPr>
        <w:t xml:space="preserve">تَمَّ </w:t>
      </w:r>
      <w:r>
        <w:rPr>
          <w:rStyle w:val="libFootnotenumChar"/>
          <w:rtl/>
        </w:rPr>
        <w:t>(3)</w:t>
      </w:r>
      <w:r w:rsidRPr="00EA257F">
        <w:rPr>
          <w:rtl/>
        </w:rPr>
        <w:t xml:space="preserve"> الْجُزْءُ الثَّانِي ، مِنْ كِتَابِ الْكَافِي ، ويَتْلُوهُ </w:t>
      </w:r>
      <w:r>
        <w:rPr>
          <w:rtl/>
        </w:rPr>
        <w:t>-</w:t>
      </w:r>
      <w:r w:rsidRPr="00EA257F">
        <w:rPr>
          <w:rtl/>
        </w:rPr>
        <w:t xml:space="preserve"> بِمَشِيئَةِ اللهِ وعَوْنِهِ </w:t>
      </w:r>
      <w:r>
        <w:rPr>
          <w:rtl/>
        </w:rPr>
        <w:t>-</w:t>
      </w:r>
      <w:r w:rsidR="00CD3CF0">
        <w:rPr>
          <w:rtl/>
        </w:rPr>
        <w:t xml:space="preserve"> الْجُزْءُ</w:t>
      </w:r>
    </w:p>
    <w:p w:rsidR="000C39D1" w:rsidRDefault="000C39D1" w:rsidP="000C39D1">
      <w:pPr>
        <w:pStyle w:val="libCenter"/>
        <w:rPr>
          <w:rtl/>
        </w:rPr>
      </w:pPr>
      <w:r w:rsidRPr="00EA257F">
        <w:rPr>
          <w:rtl/>
        </w:rPr>
        <w:t xml:space="preserve">الثَّالِثُ ، وهُوَ بَابُ كَرَاهِيَةِ التَّوْقِيتِ. والْحَمْدُ </w:t>
      </w:r>
      <w:r>
        <w:rPr>
          <w:rStyle w:val="libFootnotenumChar"/>
          <w:rtl/>
        </w:rPr>
        <w:t>(4)</w:t>
      </w:r>
      <w:r w:rsidRPr="00EA257F">
        <w:rPr>
          <w:rtl/>
        </w:rPr>
        <w:t xml:space="preserve"> لِلّهِ رَ</w:t>
      </w:r>
      <w:r w:rsidR="00CD3CF0">
        <w:rPr>
          <w:rtl/>
        </w:rPr>
        <w:t>بِّ الْعَالَمِينَ ، والصَّلَاةُ</w:t>
      </w:r>
    </w:p>
    <w:p w:rsidR="000C39D1" w:rsidRPr="00EA257F" w:rsidRDefault="000C39D1" w:rsidP="000C39D1">
      <w:pPr>
        <w:pStyle w:val="libCenter"/>
        <w:rPr>
          <w:rtl/>
        </w:rPr>
      </w:pPr>
      <w:r w:rsidRPr="00EA257F">
        <w:rPr>
          <w:rtl/>
        </w:rPr>
        <w:t>وَالسَّلَامُ عَلى مُحَمَّدٍ وآلِهِ أَجْمَعِينَ.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تحملوني »</w:t>
      </w:r>
      <w:r>
        <w:rPr>
          <w:rtl/>
        </w:rPr>
        <w:t>.</w:t>
      </w:r>
      <w:r w:rsidRPr="00132E65">
        <w:rPr>
          <w:rtl/>
        </w:rPr>
        <w:t xml:space="preserve"> قال في النحو </w:t>
      </w:r>
      <w:r w:rsidRPr="009D1ACE">
        <w:rPr>
          <w:rStyle w:val="libFootnoteBoldChar"/>
          <w:rtl/>
        </w:rPr>
        <w:t>الوافي</w:t>
      </w:r>
      <w:r w:rsidRPr="00132E65">
        <w:rPr>
          <w:rtl/>
        </w:rPr>
        <w:t xml:space="preserve"> ، ج 1 ، ص 163 : « هناك لغة تحذف نون الرفع ( أي : نون الأفعال الخمسة ) في غير ما سبق »</w:t>
      </w:r>
      <w:r>
        <w:rPr>
          <w:rtl/>
        </w:rPr>
        <w:t>.</w:t>
      </w:r>
      <w:r w:rsidRPr="00132E65">
        <w:rPr>
          <w:rtl/>
        </w:rPr>
        <w:t xml:space="preserve"> فعليه لا نحتاج إلى تشديد النون.</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2 ، ص 172 ، ح 624 ؛ </w:t>
      </w:r>
      <w:r w:rsidRPr="00CD3CF0">
        <w:rPr>
          <w:rStyle w:val="libFootnoteBoldChar"/>
          <w:rtl/>
        </w:rPr>
        <w:t>البحار</w:t>
      </w:r>
      <w:r w:rsidRPr="00132E65">
        <w:rPr>
          <w:rtl/>
        </w:rPr>
        <w:t xml:space="preserve"> ، ج 48 ، ص 165 ، ح 7.</w:t>
      </w:r>
    </w:p>
    <w:p w:rsidR="000C39D1" w:rsidRPr="00132E65" w:rsidRDefault="000C39D1" w:rsidP="00CD3CF0">
      <w:pPr>
        <w:pStyle w:val="libFootnote0"/>
        <w:rPr>
          <w:rtl/>
          <w:lang w:bidi="fa-IR"/>
        </w:rPr>
      </w:pPr>
      <w:r>
        <w:rPr>
          <w:rtl/>
        </w:rPr>
        <w:t>(3).</w:t>
      </w:r>
      <w:r w:rsidRPr="00132E65">
        <w:rPr>
          <w:rtl/>
        </w:rPr>
        <w:t xml:space="preserve"> في « ض » : « به تمّ الجزء الثاني من كتاب </w:t>
      </w:r>
      <w:r w:rsidRPr="000577A7">
        <w:rPr>
          <w:rStyle w:val="libFootnoteBoldChar"/>
          <w:rtl/>
        </w:rPr>
        <w:t>الكافي</w:t>
      </w:r>
      <w:r w:rsidRPr="00132E65">
        <w:rPr>
          <w:rtl/>
        </w:rPr>
        <w:t xml:space="preserve"> ، ويتلوه لمشيّة الله وعونه الجزء الثالث ، وهو باب من كتاب</w:t>
      </w:r>
      <w:r w:rsidR="00CD3CF0">
        <w:rPr>
          <w:rFonts w:hint="cs"/>
          <w:rtl/>
        </w:rPr>
        <w:t xml:space="preserve"> </w:t>
      </w:r>
      <w:r w:rsidRPr="00132E65">
        <w:rPr>
          <w:rtl/>
        </w:rPr>
        <w:t>‌</w:t>
      </w:r>
      <w:r w:rsidRPr="000577A7">
        <w:rPr>
          <w:rStyle w:val="libFootnoteBoldChar"/>
          <w:rtl/>
        </w:rPr>
        <w:t>الكافي</w:t>
      </w:r>
      <w:r w:rsidRPr="00132E65">
        <w:rPr>
          <w:rtl/>
        </w:rPr>
        <w:t xml:space="preserve"> تصنيف الشيخ أبي جعفر محمّد بن يعقوب الكليني رحمة الله عليه » بدل « تمّ الجزء الثاني</w:t>
      </w:r>
      <w:r>
        <w:rPr>
          <w:rtl/>
        </w:rPr>
        <w:t xml:space="preserve"> - </w:t>
      </w:r>
      <w:r w:rsidRPr="00132E65">
        <w:rPr>
          <w:rtl/>
        </w:rPr>
        <w:t>إلى</w:t>
      </w:r>
      <w:r>
        <w:rPr>
          <w:rtl/>
        </w:rPr>
        <w:t xml:space="preserve"> - </w:t>
      </w:r>
      <w:r w:rsidRPr="00132E65">
        <w:rPr>
          <w:rtl/>
        </w:rPr>
        <w:t>وآله أجمعين »</w:t>
      </w:r>
      <w:r>
        <w:rPr>
          <w:rtl/>
        </w:rPr>
        <w:t>.</w:t>
      </w:r>
      <w:r w:rsidRPr="00132E65">
        <w:rPr>
          <w:rtl/>
        </w:rPr>
        <w:t xml:space="preserve"> وفي « بف » </w:t>
      </w:r>
      <w:r>
        <w:rPr>
          <w:rtl/>
        </w:rPr>
        <w:t xml:space="preserve">: - </w:t>
      </w:r>
      <w:r w:rsidRPr="00132E65">
        <w:rPr>
          <w:rtl/>
        </w:rPr>
        <w:t>« تمّ الجزء الثاني</w:t>
      </w:r>
      <w:r>
        <w:rPr>
          <w:rtl/>
        </w:rPr>
        <w:t xml:space="preserve"> - </w:t>
      </w:r>
      <w:r w:rsidRPr="00132E65">
        <w:rPr>
          <w:rtl/>
        </w:rPr>
        <w:t>إلى</w:t>
      </w:r>
      <w:r>
        <w:rPr>
          <w:rtl/>
        </w:rPr>
        <w:t xml:space="preserve"> - </w:t>
      </w:r>
      <w:r w:rsidRPr="00132E65">
        <w:rPr>
          <w:rtl/>
        </w:rPr>
        <w:t>وآله أجمعين »</w:t>
      </w:r>
      <w:r>
        <w:rPr>
          <w:rtl/>
        </w:rPr>
        <w:t>.</w:t>
      </w:r>
      <w:r w:rsidRPr="00132E65">
        <w:rPr>
          <w:rtl/>
        </w:rPr>
        <w:t xml:space="preserve"> وفي « ف » : « قد تمّ الجزء الأوّل من كتاب الحجّة من كتاب </w:t>
      </w:r>
      <w:r w:rsidRPr="000577A7">
        <w:rPr>
          <w:rStyle w:val="libFootnoteBoldChar"/>
          <w:rtl/>
        </w:rPr>
        <w:t>الكافي</w:t>
      </w:r>
      <w:r w:rsidRPr="00132E65">
        <w:rPr>
          <w:rtl/>
        </w:rPr>
        <w:t xml:space="preserve"> لأبي جعفر محمّد بن يعقوب الكليني </w:t>
      </w:r>
      <w:r w:rsidRPr="00CD3CF0">
        <w:rPr>
          <w:rStyle w:val="libFootnoteAlaemChar"/>
          <w:rtl/>
        </w:rPr>
        <w:t>رضي‌الله‌عنه</w:t>
      </w:r>
      <w:r w:rsidRPr="00132E65">
        <w:rPr>
          <w:rtl/>
        </w:rPr>
        <w:t xml:space="preserve"> وأرضاه. ويتلوه في الجزء الثاني باب كراهة التوقيت » بدل « تمّ الجزء الثاني</w:t>
      </w:r>
      <w:r>
        <w:rPr>
          <w:rtl/>
        </w:rPr>
        <w:t xml:space="preserve"> - </w:t>
      </w:r>
      <w:r w:rsidRPr="00132E65">
        <w:rPr>
          <w:rtl/>
        </w:rPr>
        <w:t>إلى</w:t>
      </w:r>
      <w:r>
        <w:rPr>
          <w:rtl/>
        </w:rPr>
        <w:t xml:space="preserve"> - </w:t>
      </w:r>
      <w:r w:rsidRPr="00132E65">
        <w:rPr>
          <w:rtl/>
        </w:rPr>
        <w:t>كراهية التوقيت »</w:t>
      </w:r>
      <w:r>
        <w:rPr>
          <w:rtl/>
        </w:rPr>
        <w:t>.</w:t>
      </w:r>
      <w:r w:rsidRPr="00132E65">
        <w:rPr>
          <w:rtl/>
        </w:rPr>
        <w:t xml:space="preserve"> وبدله في « ه‍ </w:t>
      </w:r>
      <w:r w:rsidR="00CD3CF0" w:rsidRPr="00132E65">
        <w:rPr>
          <w:rtl/>
        </w:rPr>
        <w:t>»</w:t>
      </w:r>
      <w:r w:rsidRPr="00132E65">
        <w:rPr>
          <w:rtl/>
        </w:rPr>
        <w:t xml:space="preserve"> : « تمّ الجزء الأوّل من كتاب الحجّة من الكليني ، ويتلوه بمشيّة الله وعونه في أوّل الثاني إن شاء الله باب كراهية التوقيت »</w:t>
      </w:r>
      <w:r>
        <w:rPr>
          <w:rtl/>
        </w:rPr>
        <w:t>.</w:t>
      </w:r>
    </w:p>
    <w:p w:rsidR="000C39D1" w:rsidRPr="00132E65" w:rsidRDefault="000C39D1" w:rsidP="000C39D1">
      <w:pPr>
        <w:pStyle w:val="libFootnote0"/>
        <w:rPr>
          <w:rtl/>
          <w:lang w:bidi="fa-IR"/>
        </w:rPr>
      </w:pPr>
      <w:r>
        <w:rPr>
          <w:rtl/>
        </w:rPr>
        <w:t>(4).</w:t>
      </w:r>
      <w:r w:rsidR="004E5C60">
        <w:rPr>
          <w:rtl/>
        </w:rPr>
        <w:t xml:space="preserve"> في « ب » : «</w:t>
      </w:r>
      <w:r w:rsidRPr="00132E65">
        <w:rPr>
          <w:rtl/>
        </w:rPr>
        <w:t>والحمد لله‌</w:t>
      </w:r>
      <w:r w:rsidR="004E5C60">
        <w:rPr>
          <w:rFonts w:hint="cs"/>
          <w:rtl/>
        </w:rPr>
        <w:t xml:space="preserve"> </w:t>
      </w:r>
      <w:r w:rsidRPr="00132E65">
        <w:rPr>
          <w:rtl/>
        </w:rPr>
        <w:t>وحده وصلّى ال</w:t>
      </w:r>
      <w:r w:rsidR="004E5C60">
        <w:rPr>
          <w:rtl/>
        </w:rPr>
        <w:t>له على سيّدنا محمّد وآله أجمعين</w:t>
      </w:r>
      <w:r w:rsidRPr="00132E65">
        <w:rPr>
          <w:rtl/>
        </w:rPr>
        <w:t>» بدل « والحمد لله</w:t>
      </w:r>
      <w:r>
        <w:rPr>
          <w:rtl/>
        </w:rPr>
        <w:t xml:space="preserve"> - </w:t>
      </w:r>
      <w:r w:rsidRPr="00132E65">
        <w:rPr>
          <w:rtl/>
        </w:rPr>
        <w:t>إلى</w:t>
      </w:r>
      <w:r>
        <w:rPr>
          <w:rtl/>
        </w:rPr>
        <w:t xml:space="preserve"> - </w:t>
      </w:r>
      <w:r w:rsidRPr="00132E65">
        <w:rPr>
          <w:rtl/>
        </w:rPr>
        <w:t>أجمعين »</w:t>
      </w:r>
      <w:r>
        <w:rPr>
          <w:rtl/>
        </w:rPr>
        <w:t>.</w:t>
      </w:r>
    </w:p>
    <w:p w:rsidR="000C39D1" w:rsidRPr="00132E65" w:rsidRDefault="000C39D1" w:rsidP="00E55206">
      <w:pPr>
        <w:pStyle w:val="libFootnote0"/>
        <w:rPr>
          <w:rtl/>
          <w:lang w:bidi="fa-IR"/>
        </w:rPr>
      </w:pPr>
      <w:r w:rsidRPr="0046781C">
        <w:rPr>
          <w:rtl/>
        </w:rPr>
        <w:t>وبدله في « ج » : « والحمد لله‌</w:t>
      </w:r>
      <w:r w:rsidR="004E5C60">
        <w:rPr>
          <w:rFonts w:hint="cs"/>
          <w:rtl/>
        </w:rPr>
        <w:t xml:space="preserve"> </w:t>
      </w:r>
      <w:r w:rsidRPr="0046781C">
        <w:rPr>
          <w:rtl/>
        </w:rPr>
        <w:t>وحده وصلّى الله عليه خير خلقه محمّد وآله وسلّم تسليماً كثيراً كثيراً »</w:t>
      </w:r>
      <w:r>
        <w:rPr>
          <w:rtl/>
        </w:rPr>
        <w:t>.</w:t>
      </w:r>
    </w:p>
    <w:p w:rsidR="000C39D1" w:rsidRPr="00132E65" w:rsidRDefault="000C39D1" w:rsidP="00E55206">
      <w:pPr>
        <w:pStyle w:val="libFootnote0"/>
        <w:rPr>
          <w:rtl/>
          <w:lang w:bidi="fa-IR"/>
        </w:rPr>
      </w:pPr>
      <w:r w:rsidRPr="0046781C">
        <w:rPr>
          <w:rtl/>
        </w:rPr>
        <w:t>وبدله في « ف » : « الحمد لوليّه ، والصلاة على نبيّه ، والسلام على حبيبه ، والحمد لله</w:t>
      </w:r>
      <w:r w:rsidR="004E5C60">
        <w:rPr>
          <w:rFonts w:hint="cs"/>
          <w:rtl/>
        </w:rPr>
        <w:t xml:space="preserve"> </w:t>
      </w:r>
      <w:r w:rsidRPr="0046781C">
        <w:rPr>
          <w:rtl/>
        </w:rPr>
        <w:t>‌ربّ العالمين ، ونحن على ذلك من الشاهدين »</w:t>
      </w:r>
      <w:r>
        <w:rPr>
          <w:rtl/>
        </w:rPr>
        <w:t>.</w:t>
      </w:r>
    </w:p>
    <w:p w:rsidR="000C39D1" w:rsidRPr="00132E65" w:rsidRDefault="000C39D1" w:rsidP="00E55206">
      <w:pPr>
        <w:pStyle w:val="libFootnote0"/>
        <w:rPr>
          <w:rtl/>
          <w:lang w:bidi="fa-IR"/>
        </w:rPr>
      </w:pPr>
      <w:r w:rsidRPr="0046781C">
        <w:rPr>
          <w:rtl/>
        </w:rPr>
        <w:t>وبدله في « ه‍</w:t>
      </w:r>
      <w:r>
        <w:rPr>
          <w:rFonts w:hint="cs"/>
          <w:rtl/>
        </w:rPr>
        <w:t xml:space="preserve"> </w:t>
      </w:r>
      <w:r w:rsidRPr="0046781C">
        <w:rPr>
          <w:rtl/>
        </w:rPr>
        <w:t>» : « والحمد لله‌</w:t>
      </w:r>
      <w:r w:rsidR="004E5C60">
        <w:rPr>
          <w:rFonts w:hint="cs"/>
          <w:rtl/>
        </w:rPr>
        <w:t xml:space="preserve"> </w:t>
      </w:r>
      <w:r w:rsidRPr="0046781C">
        <w:rPr>
          <w:rtl/>
        </w:rPr>
        <w:t>ربّ العالمين ، وصلاة على خيرته من خلقه محمّد وآله الطاهرين »</w:t>
      </w:r>
      <w:r>
        <w:rPr>
          <w:rtl/>
        </w:rPr>
        <w:t>.</w:t>
      </w:r>
    </w:p>
    <w:p w:rsidR="000C39D1" w:rsidRPr="00132E65" w:rsidRDefault="000C39D1" w:rsidP="00E55206">
      <w:pPr>
        <w:pStyle w:val="libFootnote0"/>
        <w:rPr>
          <w:rtl/>
          <w:lang w:bidi="fa-IR"/>
        </w:rPr>
      </w:pPr>
      <w:r w:rsidRPr="0046781C">
        <w:rPr>
          <w:rtl/>
        </w:rPr>
        <w:t>وبدله في « بح » : « والحمد لله</w:t>
      </w:r>
      <w:r w:rsidR="004E5C60">
        <w:rPr>
          <w:rFonts w:hint="cs"/>
          <w:rtl/>
        </w:rPr>
        <w:t xml:space="preserve"> </w:t>
      </w:r>
      <w:r w:rsidRPr="0046781C">
        <w:rPr>
          <w:rtl/>
        </w:rPr>
        <w:t>‌وحده وصلّى الله على محمّد وآله الطيّبين الطاهرين »</w:t>
      </w:r>
      <w:r>
        <w:rPr>
          <w:rtl/>
        </w:rPr>
        <w:t>.</w:t>
      </w:r>
    </w:p>
    <w:p w:rsidR="000C39D1" w:rsidRPr="00132E65" w:rsidRDefault="000C39D1" w:rsidP="00E55206">
      <w:pPr>
        <w:pStyle w:val="libFootnote0"/>
        <w:rPr>
          <w:rtl/>
          <w:lang w:bidi="fa-IR"/>
        </w:rPr>
      </w:pPr>
      <w:r w:rsidRPr="0046781C">
        <w:rPr>
          <w:rtl/>
        </w:rPr>
        <w:t>وبدله في « بس » : « والحمد لله‌</w:t>
      </w:r>
      <w:r w:rsidR="004E5C60">
        <w:rPr>
          <w:rFonts w:hint="cs"/>
          <w:rtl/>
        </w:rPr>
        <w:t xml:space="preserve"> </w:t>
      </w:r>
      <w:r w:rsidRPr="0046781C">
        <w:rPr>
          <w:rtl/>
        </w:rPr>
        <w:t>وحده وصلّى الله على محمّد وآله وسلّم تسليماً كثيراً »</w:t>
      </w:r>
      <w:r>
        <w:rPr>
          <w:rtl/>
        </w:rPr>
        <w:t>.</w:t>
      </w:r>
    </w:p>
    <w:p w:rsidR="000C39D1" w:rsidRDefault="000C39D1" w:rsidP="000C39D1">
      <w:pPr>
        <w:pStyle w:val="libBold2"/>
        <w:rPr>
          <w:rtl/>
          <w:lang w:bidi="fa-IR"/>
        </w:rPr>
      </w:pPr>
      <w:r>
        <w:rPr>
          <w:rtl/>
          <w:lang w:bidi="fa-IR"/>
        </w:rPr>
        <w:br w:type="page"/>
      </w:r>
    </w:p>
    <w:p w:rsidR="000C39D1" w:rsidRDefault="000C39D1" w:rsidP="000C39D1">
      <w:pPr>
        <w:pStyle w:val="libBold2"/>
        <w:rPr>
          <w:rtl/>
          <w:lang w:bidi="fa-IR"/>
        </w:rPr>
      </w:pPr>
      <w:r>
        <w:rPr>
          <w:rtl/>
          <w:lang w:bidi="fa-IR"/>
        </w:rPr>
        <w:br w:type="page"/>
      </w:r>
    </w:p>
    <w:p w:rsidR="000C39D1" w:rsidRPr="00EA257F" w:rsidRDefault="000C39D1" w:rsidP="000C39D1">
      <w:pPr>
        <w:pStyle w:val="Heading2Center"/>
        <w:rPr>
          <w:rtl/>
        </w:rPr>
      </w:pPr>
      <w:bookmarkStart w:id="45" w:name="_Toc459459110"/>
      <w:bookmarkStart w:id="46" w:name="_Toc34663079"/>
      <w:r w:rsidRPr="00EA257F">
        <w:rPr>
          <w:rtl/>
        </w:rPr>
        <w:t>ب</w:t>
      </w:r>
      <w:r w:rsidR="004E5C60">
        <w:rPr>
          <w:rFonts w:hint="cs"/>
          <w:rtl/>
        </w:rPr>
        <w:t>ِ</w:t>
      </w:r>
      <w:r w:rsidRPr="00EA257F">
        <w:rPr>
          <w:rtl/>
        </w:rPr>
        <w:t>س</w:t>
      </w:r>
      <w:r w:rsidR="004E5C60">
        <w:rPr>
          <w:rFonts w:hint="cs"/>
          <w:rtl/>
        </w:rPr>
        <w:t>ْ</w:t>
      </w:r>
      <w:r w:rsidRPr="00EA257F">
        <w:rPr>
          <w:rtl/>
        </w:rPr>
        <w:t>م</w:t>
      </w:r>
      <w:r w:rsidR="004E5C60">
        <w:rPr>
          <w:rFonts w:hint="cs"/>
          <w:rtl/>
        </w:rPr>
        <w:t>ِ</w:t>
      </w:r>
      <w:r w:rsidRPr="00EA257F">
        <w:rPr>
          <w:rtl/>
        </w:rPr>
        <w:t xml:space="preserve"> الله</w:t>
      </w:r>
      <w:r w:rsidR="004E5C60">
        <w:rPr>
          <w:rFonts w:hint="cs"/>
          <w:rtl/>
        </w:rPr>
        <w:t>ِ</w:t>
      </w:r>
      <w:r w:rsidRPr="00EA257F">
        <w:rPr>
          <w:rtl/>
        </w:rPr>
        <w:t xml:space="preserve"> الر</w:t>
      </w:r>
      <w:r w:rsidR="004E5C60">
        <w:rPr>
          <w:rFonts w:hint="cs"/>
          <w:rtl/>
        </w:rPr>
        <w:t>َّ</w:t>
      </w:r>
      <w:r w:rsidRPr="00EA257F">
        <w:rPr>
          <w:rtl/>
        </w:rPr>
        <w:t>ح</w:t>
      </w:r>
      <w:r w:rsidR="004E5C60">
        <w:rPr>
          <w:rFonts w:hint="cs"/>
          <w:rtl/>
        </w:rPr>
        <w:t>ْ</w:t>
      </w:r>
      <w:r w:rsidRPr="00EA257F">
        <w:rPr>
          <w:rtl/>
        </w:rPr>
        <w:t>من</w:t>
      </w:r>
      <w:r w:rsidR="004E5C60">
        <w:rPr>
          <w:rFonts w:hint="cs"/>
          <w:rtl/>
        </w:rPr>
        <w:t>ِ</w:t>
      </w:r>
      <w:r w:rsidRPr="00EA257F">
        <w:rPr>
          <w:rtl/>
        </w:rPr>
        <w:t xml:space="preserve"> الر</w:t>
      </w:r>
      <w:r w:rsidR="004E5C60">
        <w:rPr>
          <w:rFonts w:hint="cs"/>
          <w:rtl/>
        </w:rPr>
        <w:t>َّ</w:t>
      </w:r>
      <w:r w:rsidRPr="00EA257F">
        <w:rPr>
          <w:rtl/>
        </w:rPr>
        <w:t>ح</w:t>
      </w:r>
      <w:r w:rsidR="004E5C60">
        <w:rPr>
          <w:rFonts w:hint="cs"/>
          <w:rtl/>
        </w:rPr>
        <w:t>ِ</w:t>
      </w:r>
      <w:r w:rsidRPr="00EA257F">
        <w:rPr>
          <w:rtl/>
        </w:rPr>
        <w:t>يم</w:t>
      </w:r>
      <w:r w:rsidR="004E5C60">
        <w:rPr>
          <w:rFonts w:hint="cs"/>
          <w:rtl/>
        </w:rPr>
        <w:t>ِ</w:t>
      </w:r>
      <w:r w:rsidRPr="00EA257F">
        <w:rPr>
          <w:rtl/>
        </w:rPr>
        <w:t xml:space="preserve"> </w:t>
      </w:r>
      <w:r>
        <w:rPr>
          <w:rStyle w:val="libFootnotenumChar"/>
          <w:rtl/>
        </w:rPr>
        <w:t>(1)</w:t>
      </w:r>
      <w:bookmarkEnd w:id="45"/>
      <w:bookmarkEnd w:id="46"/>
    </w:p>
    <w:p w:rsidR="000C39D1" w:rsidRPr="00132E65" w:rsidRDefault="000C39D1" w:rsidP="000C39D1">
      <w:pPr>
        <w:pStyle w:val="Heading2Center"/>
        <w:rPr>
          <w:rtl/>
          <w:lang w:bidi="fa-IR"/>
        </w:rPr>
      </w:pPr>
      <w:bookmarkStart w:id="47" w:name="_Toc459459111"/>
      <w:bookmarkStart w:id="48" w:name="_Toc34663080"/>
      <w:r w:rsidRPr="00132E65">
        <w:rPr>
          <w:rtl/>
          <w:lang w:bidi="fa-IR"/>
        </w:rPr>
        <w:t>82</w:t>
      </w:r>
      <w:r>
        <w:rPr>
          <w:rtl/>
          <w:lang w:bidi="fa-IR"/>
        </w:rPr>
        <w:t xml:space="preserve"> - </w:t>
      </w:r>
      <w:r w:rsidRPr="00132E65">
        <w:rPr>
          <w:rtl/>
          <w:lang w:bidi="fa-IR"/>
        </w:rPr>
        <w:t xml:space="preserve">بَابُ كَرَاهِيَةِ التَّوْقِيتِ </w:t>
      </w:r>
      <w:r>
        <w:rPr>
          <w:rStyle w:val="libFootnotenumChar"/>
          <w:rtl/>
        </w:rPr>
        <w:t>(2)</w:t>
      </w:r>
      <w:bookmarkEnd w:id="47"/>
      <w:bookmarkEnd w:id="48"/>
    </w:p>
    <w:p w:rsidR="000C39D1" w:rsidRDefault="000C39D1" w:rsidP="000C39D1">
      <w:pPr>
        <w:pStyle w:val="libNormal"/>
        <w:rPr>
          <w:rtl/>
          <w:lang w:bidi="fa-IR"/>
        </w:rPr>
      </w:pPr>
      <w:r w:rsidRPr="009C026E">
        <w:rPr>
          <w:rtl/>
        </w:rPr>
        <w:t>941</w:t>
      </w:r>
      <w:r w:rsidRPr="004325D8">
        <w:rPr>
          <w:rStyle w:val="libBold2Char"/>
          <w:rtl/>
        </w:rPr>
        <w:t xml:space="preserve"> / 1.</w:t>
      </w:r>
      <w:r w:rsidRPr="00132E65">
        <w:rPr>
          <w:rtl/>
          <w:lang w:bidi="fa-IR"/>
        </w:rPr>
        <w:t xml:space="preserve"> عَلِيُّ بْنُ مُحَمَّدٍ ومُحَمَّدُ بْنُ الْحَسَنِ ، عَنْ سَهْلِ بْنِ زِيَادٍ ؛</w:t>
      </w:r>
    </w:p>
    <w:p w:rsidR="000C39D1" w:rsidRPr="00132E65" w:rsidRDefault="004E5C60" w:rsidP="000C39D1">
      <w:pPr>
        <w:pStyle w:val="libNormal"/>
        <w:rPr>
          <w:rtl/>
          <w:lang w:bidi="fa-IR"/>
        </w:rPr>
      </w:pPr>
      <w:r>
        <w:rPr>
          <w:rFonts w:hint="cs"/>
          <w:rtl/>
          <w:lang w:bidi="fa-IR"/>
        </w:rPr>
        <w:t xml:space="preserve">           </w:t>
      </w:r>
      <w:r w:rsidR="000C39D1" w:rsidRPr="00132E65">
        <w:rPr>
          <w:rtl/>
          <w:lang w:bidi="fa-IR"/>
        </w:rPr>
        <w:t>وَمُحَمَّدُ بْنُ يَحْيى ، عَنْ أَحْمَدَ بْنِ مُحَمَّدِ بْنِ عِيسى جَمِيعاً ، عَنِ الْحَسَنِ بْنِ مَحْبُوبٍ ، عَنْ أَبِي حَمْزَةَ الثُّمَالِيِّ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يَا </w:t>
      </w:r>
      <w:r>
        <w:rPr>
          <w:rStyle w:val="libFootnotenumChar"/>
          <w:rtl/>
        </w:rPr>
        <w:t>(3)</w:t>
      </w:r>
      <w:r w:rsidRPr="00132E65">
        <w:rPr>
          <w:rtl/>
          <w:lang w:bidi="fa-IR"/>
        </w:rPr>
        <w:t xml:space="preserve"> ثَابِتُ ، إِنَّ اللهَ</w:t>
      </w:r>
      <w:r>
        <w:rPr>
          <w:rtl/>
          <w:lang w:bidi="fa-IR"/>
        </w:rPr>
        <w:t xml:space="preserve"> - </w:t>
      </w:r>
      <w:r w:rsidRPr="00132E65">
        <w:rPr>
          <w:rtl/>
          <w:lang w:bidi="fa-IR"/>
        </w:rPr>
        <w:t>تَبَارَكَ وتَعَالى</w:t>
      </w:r>
      <w:r>
        <w:rPr>
          <w:rtl/>
          <w:lang w:bidi="fa-IR"/>
        </w:rPr>
        <w:t xml:space="preserve"> - </w:t>
      </w:r>
      <w:r w:rsidRPr="00132E65">
        <w:rPr>
          <w:rtl/>
          <w:lang w:bidi="fa-IR"/>
        </w:rPr>
        <w:t>قَدْ كَانَ و</w:t>
      </w:r>
      <w:r w:rsidR="004E5C60">
        <w:rPr>
          <w:rFonts w:hint="cs"/>
          <w:rtl/>
          <w:lang w:bidi="fa-IR"/>
        </w:rPr>
        <w:t>َ</w:t>
      </w:r>
      <w:r w:rsidRPr="00132E65">
        <w:rPr>
          <w:rtl/>
          <w:lang w:bidi="fa-IR"/>
        </w:rPr>
        <w:t>قَّتَ هذَا الْأَمْرَ فِي السَّبْعِينَ ، فَلَمَّا أَنْ قُتِلَ الْحُسَيْنُ</w:t>
      </w:r>
      <w:r>
        <w:rPr>
          <w:rtl/>
          <w:lang w:bidi="fa-IR"/>
        </w:rPr>
        <w:t xml:space="preserve"> - </w:t>
      </w:r>
      <w:r w:rsidRPr="00132E65">
        <w:rPr>
          <w:rtl/>
          <w:lang w:bidi="fa-IR"/>
        </w:rPr>
        <w:t>صَلَوَاتُ اللهِ عَلَيْهِ</w:t>
      </w:r>
      <w:r>
        <w:rPr>
          <w:rtl/>
          <w:lang w:bidi="fa-IR"/>
        </w:rPr>
        <w:t xml:space="preserve"> - </w:t>
      </w:r>
      <w:r w:rsidRPr="00132E65">
        <w:rPr>
          <w:rtl/>
          <w:lang w:bidi="fa-IR"/>
        </w:rPr>
        <w:t xml:space="preserve">اشْتَدَّ غَضَبُ اللهِ تَعَالى عَلى أَهْلِ الْأَرْضِ ، فَأَخَّرَهُ إِلى أَرْبَعِينَ ومِائَةٍ ، فَحَدَّثْنَاكُمْ فَأَذَعْتُمُ الْحَدِيثَ فَكَشَفْتُمْ قِنَاعَ السَّتْرِ </w:t>
      </w:r>
      <w:r>
        <w:rPr>
          <w:rStyle w:val="libFootnotenumChar"/>
          <w:rtl/>
        </w:rPr>
        <w:t>(4)</w:t>
      </w:r>
      <w:r w:rsidRPr="00132E65">
        <w:rPr>
          <w:rtl/>
          <w:lang w:bidi="fa-IR"/>
        </w:rPr>
        <w:t xml:space="preserve"> ، ولَمْ يَجْعَلِ اللهُ لَهُ </w:t>
      </w:r>
      <w:r>
        <w:rPr>
          <w:rStyle w:val="libFootnotenumChar"/>
          <w:rtl/>
        </w:rPr>
        <w:t>(5)</w:t>
      </w:r>
      <w:r w:rsidRPr="00132E65">
        <w:rPr>
          <w:rtl/>
          <w:lang w:bidi="fa-IR"/>
        </w:rPr>
        <w:t xml:space="preserve"> بَعْدَ ذلِكَ وقْتاً عِنْدَنَا ، و</w:t>
      </w:r>
      <w:r w:rsidR="004E5C60">
        <w:rPr>
          <w:rFonts w:hint="cs"/>
          <w:rtl/>
          <w:lang w:bidi="fa-IR"/>
        </w:rPr>
        <w:t>َ</w:t>
      </w:r>
      <w:r>
        <w:rPr>
          <w:rFonts w:hint="cs"/>
          <w:rtl/>
          <w:lang w:bidi="fa-IR"/>
        </w:rPr>
        <w:t xml:space="preserve"> </w:t>
      </w:r>
      <w:r w:rsidRPr="00071CF9">
        <w:rPr>
          <w:rStyle w:val="libAlaemChar"/>
          <w:rtl/>
        </w:rPr>
        <w:t>(</w:t>
      </w:r>
      <w:r w:rsidRPr="00071CF9">
        <w:rPr>
          <w:rStyle w:val="libAieChar"/>
          <w:rtl/>
        </w:rPr>
        <w:t xml:space="preserve"> يَمْحُوا اللهُ م</w:t>
      </w:r>
      <w:r w:rsidR="004E5C60">
        <w:rPr>
          <w:rStyle w:val="libAieChar"/>
          <w:rFonts w:hint="cs"/>
          <w:rtl/>
        </w:rPr>
        <w:t>َ</w:t>
      </w:r>
      <w:r w:rsidRPr="00071CF9">
        <w:rPr>
          <w:rStyle w:val="libAieChar"/>
          <w:rtl/>
        </w:rPr>
        <w:t>ا يَش</w:t>
      </w:r>
      <w:r w:rsidR="004E5C60">
        <w:rPr>
          <w:rStyle w:val="libAieChar"/>
          <w:rFonts w:hint="cs"/>
          <w:rtl/>
        </w:rPr>
        <w:t>َ</w:t>
      </w:r>
      <w:r w:rsidRPr="00071CF9">
        <w:rPr>
          <w:rStyle w:val="libAieChar"/>
          <w:rtl/>
        </w:rPr>
        <w:t>اءُ وَيُثْبِتُ وَعِنْدَهُ أُمُّ الْكِت</w:t>
      </w:r>
      <w:r w:rsidR="004E5C60">
        <w:rPr>
          <w:rStyle w:val="libAieChar"/>
          <w:rFonts w:hint="cs"/>
          <w:rtl/>
        </w:rPr>
        <w:t>َ</w:t>
      </w:r>
      <w:r w:rsidRPr="00071CF9">
        <w:rPr>
          <w:rStyle w:val="libAieChar"/>
          <w:rtl/>
        </w:rPr>
        <w:t xml:space="preserve">ابِ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w:t>
      </w:r>
      <w:r>
        <w:rPr>
          <w:rtl/>
        </w:rPr>
        <w:t xml:space="preserve"> + </w:t>
      </w:r>
      <w:r w:rsidRPr="00132E65">
        <w:rPr>
          <w:rtl/>
        </w:rPr>
        <w:t>« وعليه توكّلي »</w:t>
      </w:r>
      <w:r>
        <w:rPr>
          <w:rtl/>
        </w:rPr>
        <w:t>.</w:t>
      </w:r>
      <w:r w:rsidRPr="00132E65">
        <w:rPr>
          <w:rtl/>
        </w:rPr>
        <w:t xml:space="preserve"> وفي « ج » :</w:t>
      </w:r>
      <w:r>
        <w:rPr>
          <w:rtl/>
        </w:rPr>
        <w:t xml:space="preserve"> + </w:t>
      </w:r>
      <w:r w:rsidRPr="00132E65">
        <w:rPr>
          <w:rtl/>
        </w:rPr>
        <w:t>« وبه ثقتي »</w:t>
      </w:r>
      <w:r>
        <w:rPr>
          <w:rtl/>
        </w:rPr>
        <w:t>.</w:t>
      </w:r>
      <w:r w:rsidRPr="00132E65">
        <w:rPr>
          <w:rtl/>
        </w:rPr>
        <w:t xml:space="preserve"> وفي « ض » :</w:t>
      </w:r>
      <w:r>
        <w:rPr>
          <w:rtl/>
        </w:rPr>
        <w:t xml:space="preserve"> + </w:t>
      </w:r>
      <w:r w:rsidRPr="00132E65">
        <w:rPr>
          <w:rtl/>
        </w:rPr>
        <w:t>« والحمد لله</w:t>
      </w:r>
      <w:r w:rsidR="004E5C60">
        <w:rPr>
          <w:rFonts w:hint="cs"/>
          <w:rtl/>
        </w:rPr>
        <w:t xml:space="preserve"> </w:t>
      </w:r>
      <w:r w:rsidRPr="00132E65">
        <w:rPr>
          <w:rtl/>
        </w:rPr>
        <w:t>‌وحده ، وصلّى الله على محمّد وآله »</w:t>
      </w:r>
      <w:r>
        <w:rPr>
          <w:rtl/>
        </w:rPr>
        <w:t>.</w:t>
      </w:r>
      <w:r w:rsidRPr="00132E65">
        <w:rPr>
          <w:rtl/>
        </w:rPr>
        <w:t xml:space="preserve"> وفي « بح » :</w:t>
      </w:r>
      <w:r>
        <w:rPr>
          <w:rtl/>
        </w:rPr>
        <w:t xml:space="preserve"> + </w:t>
      </w:r>
      <w:r w:rsidRPr="00132E65">
        <w:rPr>
          <w:rtl/>
        </w:rPr>
        <w:t>« وبه نستعين »</w:t>
      </w:r>
      <w:r>
        <w:rPr>
          <w:rtl/>
        </w:rPr>
        <w:t>.</w:t>
      </w:r>
      <w:r w:rsidRPr="00132E65">
        <w:rPr>
          <w:rtl/>
        </w:rPr>
        <w:t xml:space="preserve"> وفي « بر » :</w:t>
      </w:r>
      <w:r>
        <w:rPr>
          <w:rtl/>
        </w:rPr>
        <w:t xml:space="preserve"> + </w:t>
      </w:r>
      <w:r w:rsidRPr="00132E65">
        <w:rPr>
          <w:rtl/>
        </w:rPr>
        <w:t>« ربّ يسّر ولا تعسّر آمين »</w:t>
      </w:r>
      <w:r>
        <w:rPr>
          <w:rtl/>
        </w:rPr>
        <w:t>.</w:t>
      </w:r>
      <w:r w:rsidRPr="00132E65">
        <w:rPr>
          <w:rtl/>
        </w:rPr>
        <w:t xml:space="preserve"> وفي « بف » </w:t>
      </w:r>
      <w:r>
        <w:rPr>
          <w:rtl/>
        </w:rPr>
        <w:t xml:space="preserve">: - </w:t>
      </w:r>
      <w:r w:rsidRPr="00132E65">
        <w:rPr>
          <w:rtl/>
        </w:rPr>
        <w:t>« بسم الله الرحمن الرحيم »</w:t>
      </w:r>
      <w:r>
        <w:rPr>
          <w:rtl/>
        </w:rPr>
        <w:t>.</w:t>
      </w:r>
    </w:p>
    <w:p w:rsidR="000C39D1" w:rsidRPr="00132E65" w:rsidRDefault="000C39D1" w:rsidP="00D14011">
      <w:pPr>
        <w:pStyle w:val="libFootnote0"/>
        <w:rPr>
          <w:rtl/>
          <w:lang w:bidi="fa-IR"/>
        </w:rPr>
      </w:pPr>
      <w:r>
        <w:rPr>
          <w:rtl/>
        </w:rPr>
        <w:t>(2).</w:t>
      </w:r>
      <w:r w:rsidRPr="00132E65">
        <w:rPr>
          <w:rtl/>
        </w:rPr>
        <w:t xml:space="preserve"> في « ج » وحاشية « ض ، بر » :</w:t>
      </w:r>
      <w:r>
        <w:rPr>
          <w:rtl/>
        </w:rPr>
        <w:t xml:space="preserve"> + </w:t>
      </w:r>
      <w:r w:rsidRPr="00132E65">
        <w:rPr>
          <w:rtl/>
        </w:rPr>
        <w:t xml:space="preserve">« من كتاب </w:t>
      </w:r>
      <w:r w:rsidRPr="000577A7">
        <w:rPr>
          <w:rStyle w:val="libFootnoteBoldChar"/>
          <w:rtl/>
        </w:rPr>
        <w:t>الكافي</w:t>
      </w:r>
      <w:r w:rsidRPr="00132E65">
        <w:rPr>
          <w:rtl/>
        </w:rPr>
        <w:t xml:space="preserve"> تصنيف الشيخ أبي جعفر محمّد بن يعقوب الكليني </w:t>
      </w:r>
      <w:r w:rsidR="00D14011" w:rsidRPr="00D14011">
        <w:rPr>
          <w:rStyle w:val="libFootnoteAlaemChar"/>
          <w:rtl/>
        </w:rPr>
        <w:t>رحمه‌الله</w:t>
      </w:r>
      <w:r w:rsidR="00D14011" w:rsidRPr="00132E65">
        <w:rPr>
          <w:rtl/>
        </w:rPr>
        <w:t xml:space="preserve"> </w:t>
      </w:r>
      <w:r w:rsidRPr="00132E65">
        <w:rPr>
          <w:rtl/>
        </w:rPr>
        <w:t>»</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يا »</w:t>
      </w:r>
      <w:r>
        <w:rPr>
          <w:rtl/>
        </w:rPr>
        <w:t>.</w:t>
      </w:r>
    </w:p>
    <w:p w:rsidR="000C39D1" w:rsidRPr="00132E65" w:rsidRDefault="000C39D1" w:rsidP="000C39D1">
      <w:pPr>
        <w:pStyle w:val="libFootnote0"/>
        <w:rPr>
          <w:rtl/>
          <w:lang w:bidi="fa-IR"/>
        </w:rPr>
      </w:pPr>
      <w:r>
        <w:rPr>
          <w:rtl/>
        </w:rPr>
        <w:t>(4).</w:t>
      </w:r>
      <w:r w:rsidRPr="00132E65">
        <w:rPr>
          <w:rtl/>
        </w:rPr>
        <w:t xml:space="preserve"> في « بس ، بف » وشرح المازندراني : « السرّ »</w:t>
      </w:r>
      <w:r>
        <w:rPr>
          <w:rtl/>
        </w:rPr>
        <w:t>.</w:t>
      </w:r>
    </w:p>
    <w:p w:rsidR="000C39D1" w:rsidRPr="00132E65" w:rsidRDefault="000C39D1" w:rsidP="000C39D1">
      <w:pPr>
        <w:pStyle w:val="libFootnote0"/>
        <w:rPr>
          <w:rtl/>
          <w:lang w:bidi="fa-IR"/>
        </w:rPr>
      </w:pPr>
      <w:r>
        <w:rPr>
          <w:rtl/>
        </w:rPr>
        <w:t>(5).</w:t>
      </w:r>
      <w:r w:rsidRPr="00132E65">
        <w:rPr>
          <w:rtl/>
        </w:rPr>
        <w:t xml:space="preserve"> في « ب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الرعد (13) : 39.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أَبُو حَمْزَةَ : فَحَدَّثْتُ بِذلِكَ أَبَا عَبْدِ اللهِ </w:t>
      </w:r>
      <w:r w:rsidRPr="00071CF9">
        <w:rPr>
          <w:rStyle w:val="libAlaemChar"/>
          <w:rtl/>
        </w:rPr>
        <w:t>عليه‌السلام</w:t>
      </w:r>
      <w:r w:rsidRPr="00132E65">
        <w:rPr>
          <w:rtl/>
          <w:lang w:bidi="fa-IR"/>
        </w:rPr>
        <w:t xml:space="preserve"> ، فَقَالَ : « قَدْ كَانَ كَذلِكَ </w:t>
      </w:r>
      <w:r>
        <w:rPr>
          <w:rStyle w:val="libFootnotenumChar"/>
          <w:rtl/>
        </w:rPr>
        <w:t>(1)</w:t>
      </w:r>
      <w:r w:rsidRPr="00132E65">
        <w:rPr>
          <w:rtl/>
          <w:lang w:bidi="fa-IR"/>
        </w:rPr>
        <w:t xml:space="preserve"> »</w:t>
      </w:r>
      <w:r>
        <w:rPr>
          <w:rtl/>
          <w:lang w:bidi="fa-IR"/>
        </w:rPr>
        <w:t>.</w:t>
      </w:r>
      <w:r>
        <w:rPr>
          <w:rStyle w:val="libFootnotenumChar"/>
          <w:rtl/>
        </w:rPr>
        <w:t>(2)</w:t>
      </w:r>
    </w:p>
    <w:p w:rsidR="000C39D1" w:rsidRPr="00132E65" w:rsidRDefault="000C39D1" w:rsidP="000C39D1">
      <w:pPr>
        <w:pStyle w:val="libNormal"/>
        <w:rPr>
          <w:rtl/>
          <w:lang w:bidi="fa-IR"/>
        </w:rPr>
      </w:pPr>
      <w:r w:rsidRPr="009C026E">
        <w:rPr>
          <w:rtl/>
        </w:rPr>
        <w:t>942</w:t>
      </w:r>
      <w:r w:rsidRPr="004325D8">
        <w:rPr>
          <w:rStyle w:val="libBold2Char"/>
          <w:rtl/>
        </w:rPr>
        <w:t xml:space="preserve"> / 2.</w:t>
      </w:r>
      <w:r w:rsidRPr="00132E65">
        <w:rPr>
          <w:rtl/>
          <w:lang w:bidi="fa-IR"/>
        </w:rPr>
        <w:t xml:space="preserve"> مُحَمَّدُ بْنُ يَحْيى ، عَنْ سَلَمَةَ بْنِ الْخَطَّابِ ، عَنْ عَلِيِّ بْنِ حَسَّانَ ، عَنْ عَبْدِ الرَّحْمنِ بْنِ كَثِيرٍ ، قَالَ :</w:t>
      </w:r>
    </w:p>
    <w:p w:rsidR="000C39D1" w:rsidRPr="00132E65" w:rsidRDefault="000C39D1" w:rsidP="000C39D1">
      <w:pPr>
        <w:pStyle w:val="libNormal"/>
        <w:rPr>
          <w:rtl/>
          <w:lang w:bidi="fa-IR"/>
        </w:rPr>
      </w:pPr>
      <w:r w:rsidRPr="00132E65">
        <w:rPr>
          <w:rtl/>
          <w:lang w:bidi="fa-IR"/>
        </w:rPr>
        <w:t xml:space="preserve">كُنْتُ عِنْدَ أَبِي عَبْدِ اللهِ </w:t>
      </w:r>
      <w:r w:rsidRPr="00071CF9">
        <w:rPr>
          <w:rStyle w:val="libAlaemChar"/>
          <w:rtl/>
        </w:rPr>
        <w:t>عليه‌السلام</w:t>
      </w:r>
      <w:r w:rsidRPr="00132E65">
        <w:rPr>
          <w:rtl/>
          <w:lang w:bidi="fa-IR"/>
        </w:rPr>
        <w:t xml:space="preserve"> إِذْ دَخَلَ عَلَيْهِ مِهْزَمٌ ، فَقَالَ لَهُ : جُعِلْتُ فِدَاكَ ، أَخْبِرْنِي عَنْ هذَا الْأَمْرِ الَّذِي نَنْتَظِرُهُ </w:t>
      </w:r>
      <w:r>
        <w:rPr>
          <w:rStyle w:val="libFootnotenumChar"/>
          <w:rtl/>
        </w:rPr>
        <w:t>(3)</w:t>
      </w:r>
      <w:r w:rsidRPr="00132E65">
        <w:rPr>
          <w:rtl/>
          <w:lang w:bidi="fa-IR"/>
        </w:rPr>
        <w:t xml:space="preserve"> مَتى هُوَ</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(4)</w:t>
      </w:r>
      <w:r w:rsidRPr="00132E65">
        <w:rPr>
          <w:rtl/>
          <w:lang w:bidi="fa-IR"/>
        </w:rPr>
        <w:t xml:space="preserve"> : « يَا مِهْزَمُ ، كَذَبَ الْوَقَّاتُونَ </w:t>
      </w:r>
      <w:r>
        <w:rPr>
          <w:rStyle w:val="libFootnotenumChar"/>
          <w:rtl/>
        </w:rPr>
        <w:t>(5)</w:t>
      </w:r>
      <w:r w:rsidRPr="00132E65">
        <w:rPr>
          <w:rtl/>
          <w:lang w:bidi="fa-IR"/>
        </w:rPr>
        <w:t xml:space="preserve"> ، وهَلَكَ الْمُسْتَعْجِلُونَ ، ونَجَا الْمُسَلِّمُونَ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9C026E">
        <w:rPr>
          <w:rtl/>
        </w:rPr>
        <w:t>943</w:t>
      </w:r>
      <w:r w:rsidRPr="004325D8">
        <w:rPr>
          <w:rStyle w:val="libBold2Char"/>
          <w:rtl/>
        </w:rPr>
        <w:t xml:space="preserve"> / 3.</w:t>
      </w:r>
      <w:r w:rsidRPr="00132E65">
        <w:rPr>
          <w:rtl/>
          <w:lang w:bidi="fa-IR"/>
        </w:rPr>
        <w:t xml:space="preserve"> عِدَّةٌ مِنْ أَصْحَابِنَا ، عَنْ أَحْمَدَ بْنِ مُحَمَّدِ بْنِ خَالِدٍ ، عَنْ أَبِيهِ ، عَنِ الْقَاسِمِ بْنِ مُحَمَّدٍ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سَأَلْتُهُ عَنِ الْقَائِمِ </w:t>
      </w:r>
      <w:r w:rsidRPr="00071CF9">
        <w:rPr>
          <w:rStyle w:val="libAlaemChar"/>
          <w:rtl/>
        </w:rPr>
        <w:t>عليه‌السلام</w:t>
      </w:r>
      <w:r w:rsidRPr="00132E65">
        <w:rPr>
          <w:rtl/>
          <w:lang w:bidi="fa-IR"/>
        </w:rPr>
        <w:t xml:space="preserve"> ، فَقَالَ : « كَذَبَ الْوَقَّاتُونَ ، إِنَّا أَهْلُ بَيْتٍ </w:t>
      </w:r>
      <w:r>
        <w:rPr>
          <w:rStyle w:val="libFootnotenumChar"/>
          <w:rtl/>
        </w:rPr>
        <w:t>(8)</w:t>
      </w:r>
      <w:r w:rsidRPr="00132E65">
        <w:rPr>
          <w:rtl/>
          <w:lang w:bidi="fa-IR"/>
        </w:rPr>
        <w:t xml:space="preserve"> لَانُوَقِّتُ »</w:t>
      </w:r>
      <w:r>
        <w:rPr>
          <w:rtl/>
          <w:lang w:bidi="fa-IR"/>
        </w:rPr>
        <w:t>.</w:t>
      </w:r>
      <w:r w:rsidRPr="00132E65">
        <w:rPr>
          <w:rtl/>
          <w:lang w:bidi="fa-IR"/>
        </w:rPr>
        <w:t xml:space="preserve"> </w:t>
      </w:r>
      <w:r>
        <w:rPr>
          <w:rStyle w:val="libFootnotenumChar"/>
          <w:rtl/>
        </w:rPr>
        <w:t>(9)</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ض ، ف ، بح ، بر ، بس ، بف » والغيبة للنعماني : « ذلك »</w:t>
      </w:r>
      <w:r>
        <w:rPr>
          <w:rtl/>
        </w:rPr>
        <w:t>.</w:t>
      </w:r>
    </w:p>
    <w:p w:rsidR="000C39D1" w:rsidRPr="00132E65" w:rsidRDefault="000C39D1" w:rsidP="000C39D1">
      <w:pPr>
        <w:pStyle w:val="libFootnote0"/>
        <w:rPr>
          <w:rtl/>
          <w:lang w:bidi="fa-IR"/>
        </w:rPr>
      </w:pPr>
      <w:r>
        <w:rPr>
          <w:rtl/>
        </w:rPr>
        <w:t>(2).</w:t>
      </w:r>
      <w:r w:rsidRPr="00132E65">
        <w:rPr>
          <w:rtl/>
        </w:rPr>
        <w:t xml:space="preserve"> </w:t>
      </w:r>
      <w:r w:rsidRPr="00BE36EE">
        <w:rPr>
          <w:rStyle w:val="libFootnoteBoldChar"/>
          <w:rtl/>
        </w:rPr>
        <w:t>الغيبة</w:t>
      </w:r>
      <w:r w:rsidRPr="00132E65">
        <w:rPr>
          <w:rtl/>
        </w:rPr>
        <w:t xml:space="preserve"> للنعماني ، ص 293 ، ح 10 ، عن الكليني. </w:t>
      </w:r>
      <w:r w:rsidRPr="00BE36EE">
        <w:rPr>
          <w:rStyle w:val="libFootnoteBoldChar"/>
          <w:rtl/>
        </w:rPr>
        <w:t>الغيبة للطوسي</w:t>
      </w:r>
      <w:r w:rsidRPr="00132E65">
        <w:rPr>
          <w:rtl/>
        </w:rPr>
        <w:t xml:space="preserve"> ، ص 428 ، ح 417 ، بسنده عن الحسن بن محبوب. وفي </w:t>
      </w:r>
      <w:r w:rsidRPr="00BE36EE">
        <w:rPr>
          <w:rStyle w:val="libFootnoteBoldChar"/>
          <w:rtl/>
        </w:rPr>
        <w:t>تفسير العيّاشي</w:t>
      </w:r>
      <w:r w:rsidRPr="00132E65">
        <w:rPr>
          <w:rtl/>
        </w:rPr>
        <w:t xml:space="preserve"> ، ج 2 ، ص 218 ، ح 69 ، عن أبي حمزة ، وفيهما مع اختلاف يسير وزيادة في أوّلهما </w:t>
      </w:r>
      <w:r w:rsidR="00BE36EE">
        <w:rPr>
          <w:rFonts w:hint="cs"/>
          <w:rtl/>
        </w:rPr>
        <w:t>.</w:t>
      </w:r>
      <w:r w:rsidRPr="009D1ACE">
        <w:rPr>
          <w:rStyle w:val="libFootnoteBoldChar"/>
          <w:rtl/>
        </w:rPr>
        <w:t>الوافي</w:t>
      </w:r>
      <w:r w:rsidRPr="00132E65">
        <w:rPr>
          <w:rtl/>
        </w:rPr>
        <w:t xml:space="preserve"> ، ج 2 ، ص 426 ، ح 934.</w:t>
      </w:r>
    </w:p>
    <w:p w:rsidR="000C39D1" w:rsidRPr="00132E65" w:rsidRDefault="000C39D1" w:rsidP="00BE36EE">
      <w:pPr>
        <w:pStyle w:val="libFootnote0"/>
        <w:rPr>
          <w:rtl/>
          <w:lang w:bidi="fa-IR"/>
        </w:rPr>
      </w:pPr>
      <w:r>
        <w:rPr>
          <w:rtl/>
        </w:rPr>
        <w:t>(3).</w:t>
      </w:r>
      <w:r w:rsidRPr="00132E65">
        <w:rPr>
          <w:rtl/>
        </w:rPr>
        <w:t xml:space="preserve"> هكذا في « ب ، ج ، ف ، بح ، بف » وشرح المازندراني و</w:t>
      </w:r>
      <w:r w:rsidRPr="009D1ACE">
        <w:rPr>
          <w:rStyle w:val="libFootnoteBoldChar"/>
          <w:rtl/>
        </w:rPr>
        <w:t>الوافي</w:t>
      </w:r>
      <w:r w:rsidRPr="00132E65">
        <w:rPr>
          <w:rtl/>
        </w:rPr>
        <w:t xml:space="preserve"> </w:t>
      </w:r>
      <w:r w:rsidRPr="00BE36EE">
        <w:rPr>
          <w:rStyle w:val="libFootnoteBoldChar"/>
          <w:rtl/>
        </w:rPr>
        <w:t>والغيبة للنعماني</w:t>
      </w:r>
      <w:r w:rsidRPr="00132E65">
        <w:rPr>
          <w:rtl/>
        </w:rPr>
        <w:t xml:space="preserve"> ، ص 294. وفي سائر النسخ والمطبوع : « ننتظر »</w:t>
      </w:r>
      <w:r>
        <w:rPr>
          <w:rtl/>
        </w:rPr>
        <w:t>.</w:t>
      </w:r>
      <w:r w:rsidR="00BE36EE">
        <w:rPr>
          <w:rFonts w:hint="cs"/>
          <w:rtl/>
        </w:rPr>
        <w:t xml:space="preserve">                                    </w:t>
      </w:r>
      <w:r>
        <w:rPr>
          <w:rtl/>
        </w:rPr>
        <w:t>(4).</w:t>
      </w:r>
      <w:r w:rsidRPr="00132E65">
        <w:rPr>
          <w:rtl/>
        </w:rPr>
        <w:t xml:space="preserve"> في « ف » : « قال »</w:t>
      </w:r>
      <w:r>
        <w:rPr>
          <w:rtl/>
        </w:rPr>
        <w:t>.</w:t>
      </w:r>
    </w:p>
    <w:p w:rsidR="000C39D1" w:rsidRPr="00132E65" w:rsidRDefault="000C39D1" w:rsidP="000C39D1">
      <w:pPr>
        <w:pStyle w:val="libFootnote0"/>
        <w:rPr>
          <w:rtl/>
          <w:lang w:bidi="fa-IR"/>
        </w:rPr>
      </w:pPr>
      <w:r>
        <w:rPr>
          <w:rtl/>
        </w:rPr>
        <w:t>(5).</w:t>
      </w:r>
      <w:r w:rsidRPr="00132E65">
        <w:rPr>
          <w:rtl/>
        </w:rPr>
        <w:t xml:space="preserve"> في الغيبة للنعماني ، ص 197 : « المتمنّون »</w:t>
      </w:r>
      <w:r>
        <w:rPr>
          <w:rtl/>
        </w:rPr>
        <w:t>.</w:t>
      </w:r>
    </w:p>
    <w:p w:rsidR="000C39D1" w:rsidRPr="00132E65" w:rsidRDefault="000C39D1" w:rsidP="000C39D1">
      <w:pPr>
        <w:pStyle w:val="libFootnote0"/>
        <w:rPr>
          <w:rtl/>
          <w:lang w:bidi="fa-IR"/>
        </w:rPr>
      </w:pPr>
      <w:r>
        <w:rPr>
          <w:rtl/>
        </w:rPr>
        <w:t>(6).</w:t>
      </w:r>
      <w:r w:rsidRPr="00132E65">
        <w:rPr>
          <w:rtl/>
        </w:rPr>
        <w:t xml:space="preserve"> في « ف » : « المسلّمون</w:t>
      </w:r>
      <w:r>
        <w:rPr>
          <w:rtl/>
        </w:rPr>
        <w:t xml:space="preserve"> - </w:t>
      </w:r>
      <w:r w:rsidRPr="00132E65">
        <w:rPr>
          <w:rtl/>
        </w:rPr>
        <w:t>معاً »</w:t>
      </w:r>
      <w:r>
        <w:rPr>
          <w:rtl/>
        </w:rPr>
        <w:t>.</w:t>
      </w:r>
      <w:r w:rsidRPr="00132E65">
        <w:rPr>
          <w:rtl/>
        </w:rPr>
        <w:t xml:space="preserve"> أي بتشديد اللام وتخفيفها. وفي الغيبة </w:t>
      </w:r>
      <w:r w:rsidR="00BE36EE">
        <w:rPr>
          <w:rtl/>
        </w:rPr>
        <w:t>للنعماني ، ص 197 والغيبة للطوسي</w:t>
      </w:r>
      <w:r w:rsidRPr="00132E65">
        <w:rPr>
          <w:rtl/>
        </w:rPr>
        <w:t>:</w:t>
      </w:r>
      <w:r>
        <w:rPr>
          <w:rtl/>
        </w:rPr>
        <w:t xml:space="preserve"> + </w:t>
      </w:r>
      <w:r w:rsidRPr="00132E65">
        <w:rPr>
          <w:rtl/>
        </w:rPr>
        <w:t>« وإلينا يصيرون »</w:t>
      </w:r>
      <w:r>
        <w:rPr>
          <w:rtl/>
        </w:rPr>
        <w:t>.</w:t>
      </w:r>
    </w:p>
    <w:p w:rsidR="000C39D1" w:rsidRPr="00132E65" w:rsidRDefault="000C39D1" w:rsidP="000C39D1">
      <w:pPr>
        <w:pStyle w:val="libFootnote0"/>
        <w:rPr>
          <w:rtl/>
          <w:lang w:bidi="fa-IR"/>
        </w:rPr>
      </w:pPr>
      <w:r>
        <w:rPr>
          <w:rtl/>
        </w:rPr>
        <w:t>(7).</w:t>
      </w:r>
      <w:r w:rsidRPr="00132E65">
        <w:rPr>
          <w:rtl/>
        </w:rPr>
        <w:t xml:space="preserve"> </w:t>
      </w:r>
      <w:r w:rsidRPr="009C026E">
        <w:rPr>
          <w:rtl/>
        </w:rPr>
        <w:t>الغيبة</w:t>
      </w:r>
      <w:r w:rsidRPr="00132E65">
        <w:rPr>
          <w:rtl/>
        </w:rPr>
        <w:t xml:space="preserve"> للنعماني ، ص 294 ، ح 11 ، عن الكليني. </w:t>
      </w:r>
      <w:r w:rsidRPr="009C026E">
        <w:rPr>
          <w:rtl/>
        </w:rPr>
        <w:t>وفيه</w:t>
      </w:r>
      <w:r w:rsidRPr="00132E65">
        <w:rPr>
          <w:rtl/>
        </w:rPr>
        <w:t xml:space="preserve"> ، ص 197 ، ح 8 ، بسنده عن عليّ بن حسان ؛ </w:t>
      </w:r>
      <w:r w:rsidRPr="00BE36EE">
        <w:rPr>
          <w:rStyle w:val="libFootnoteBoldChar"/>
          <w:rtl/>
        </w:rPr>
        <w:t>الغيبة للطوسي</w:t>
      </w:r>
      <w:r w:rsidRPr="00132E65">
        <w:rPr>
          <w:rtl/>
        </w:rPr>
        <w:t xml:space="preserve"> ، ص 426 ، ح 413 ، بسنده عن عبد الرحمن بن كثير </w:t>
      </w:r>
      <w:r w:rsidR="00BE36EE">
        <w:rPr>
          <w:rFonts w:hint="cs"/>
          <w:rtl/>
        </w:rPr>
        <w:t>.</w:t>
      </w:r>
      <w:r w:rsidRPr="009D1ACE">
        <w:rPr>
          <w:rStyle w:val="libFootnoteBoldChar"/>
          <w:rtl/>
        </w:rPr>
        <w:t>الوافي</w:t>
      </w:r>
      <w:r w:rsidRPr="00132E65">
        <w:rPr>
          <w:rtl/>
        </w:rPr>
        <w:t xml:space="preserve"> ، ج 2 ، ص 426 ، ح 935.</w:t>
      </w:r>
    </w:p>
    <w:p w:rsidR="000C39D1" w:rsidRPr="00132E65" w:rsidRDefault="000C39D1" w:rsidP="000C39D1">
      <w:pPr>
        <w:pStyle w:val="libFootnote0"/>
        <w:rPr>
          <w:rtl/>
          <w:lang w:bidi="fa-IR"/>
        </w:rPr>
      </w:pPr>
      <w:r>
        <w:rPr>
          <w:rtl/>
        </w:rPr>
        <w:t>(8).</w:t>
      </w:r>
      <w:r w:rsidRPr="00132E65">
        <w:rPr>
          <w:rtl/>
        </w:rPr>
        <w:t xml:space="preserve"> في شرح المازندراني : « أهل البيت »</w:t>
      </w:r>
      <w:r>
        <w:rPr>
          <w:rtl/>
        </w:rPr>
        <w:t>.</w:t>
      </w:r>
    </w:p>
    <w:p w:rsidR="000C39D1" w:rsidRPr="00132E65" w:rsidRDefault="000C39D1" w:rsidP="000C39D1">
      <w:pPr>
        <w:pStyle w:val="libFootnote0"/>
        <w:rPr>
          <w:rtl/>
          <w:lang w:bidi="fa-IR"/>
        </w:rPr>
      </w:pPr>
      <w:r>
        <w:rPr>
          <w:rtl/>
        </w:rPr>
        <w:t>(9).</w:t>
      </w:r>
      <w:r w:rsidRPr="00132E65">
        <w:rPr>
          <w:rtl/>
        </w:rPr>
        <w:t xml:space="preserve"> </w:t>
      </w:r>
      <w:r w:rsidRPr="00BE36EE">
        <w:rPr>
          <w:rStyle w:val="libFootnoteBoldChar"/>
          <w:rtl/>
        </w:rPr>
        <w:t>الغيبة للنعماني</w:t>
      </w:r>
      <w:r w:rsidRPr="00132E65">
        <w:rPr>
          <w:rtl/>
        </w:rPr>
        <w:t xml:space="preserve"> ، ص 294 ، ح 12 ، عن الكليني مع زيادة. </w:t>
      </w:r>
      <w:r w:rsidRPr="009C026E">
        <w:rPr>
          <w:rtl/>
        </w:rPr>
        <w:t>وفيه</w:t>
      </w:r>
      <w:r w:rsidRPr="00132E65">
        <w:rPr>
          <w:rtl/>
        </w:rPr>
        <w:t xml:space="preserve"> ، ص 28 ، ح 6 ، بسنده عن عليّ بن أبي حمزة ، مع اختلاف يسير وزيادة في آخره. </w:t>
      </w:r>
      <w:r w:rsidRPr="009C026E">
        <w:rPr>
          <w:rtl/>
        </w:rPr>
        <w:t>وفيه</w:t>
      </w:r>
      <w:r w:rsidRPr="00132E65">
        <w:rPr>
          <w:rtl/>
        </w:rPr>
        <w:t xml:space="preserve"> أيضاً ، ح 5 ؛ </w:t>
      </w:r>
      <w:r w:rsidRPr="00BE36EE">
        <w:rPr>
          <w:rStyle w:val="libFootnoteBoldChar"/>
          <w:rtl/>
        </w:rPr>
        <w:t>والغيبة للطوسي</w:t>
      </w:r>
      <w:r w:rsidRPr="00132E65">
        <w:rPr>
          <w:rtl/>
        </w:rPr>
        <w:t xml:space="preserve"> ، ص 426 ، ح 412 </w:t>
      </w:r>
      <w:r>
        <w:rPr>
          <w:rtl/>
        </w:rPr>
        <w:t>و 4</w:t>
      </w:r>
      <w:r w:rsidRPr="00132E65">
        <w:rPr>
          <w:rtl/>
        </w:rPr>
        <w:t xml:space="preserve">14 ، بسند آخر ، مع </w:t>
      </w:r>
      <w:r w:rsidR="00BE36EE">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C026E">
        <w:rPr>
          <w:rtl/>
        </w:rPr>
        <w:t>944</w:t>
      </w:r>
      <w:r w:rsidRPr="004325D8">
        <w:rPr>
          <w:rStyle w:val="libBold2Char"/>
          <w:rtl/>
        </w:rPr>
        <w:t xml:space="preserve"> / 4.</w:t>
      </w:r>
      <w:r w:rsidRPr="00132E65">
        <w:rPr>
          <w:rtl/>
          <w:lang w:bidi="fa-IR"/>
        </w:rPr>
        <w:t xml:space="preserve"> أَحْمَدُ </w:t>
      </w:r>
      <w:r>
        <w:rPr>
          <w:rStyle w:val="libFootnotenumChar"/>
          <w:rtl/>
        </w:rPr>
        <w:t>(1)</w:t>
      </w:r>
      <w:r w:rsidRPr="00132E65">
        <w:rPr>
          <w:rtl/>
          <w:lang w:bidi="fa-IR"/>
        </w:rPr>
        <w:t xml:space="preserve"> بِإِسْنَادِهِ ، قَالَ :</w:t>
      </w:r>
    </w:p>
    <w:p w:rsidR="000C39D1" w:rsidRPr="00132E65" w:rsidRDefault="000C39D1" w:rsidP="000C39D1">
      <w:pPr>
        <w:pStyle w:val="libNormal"/>
        <w:rPr>
          <w:rtl/>
          <w:lang w:bidi="fa-IR"/>
        </w:rPr>
      </w:pPr>
      <w:r w:rsidRPr="00132E65">
        <w:rPr>
          <w:rtl/>
          <w:lang w:bidi="fa-IR"/>
        </w:rPr>
        <w:t xml:space="preserve">قَالَ </w:t>
      </w:r>
      <w:r>
        <w:rPr>
          <w:rStyle w:val="libFootnotenumChar"/>
          <w:rtl/>
        </w:rPr>
        <w:t>(2)</w:t>
      </w:r>
      <w:r w:rsidR="00BE36EE">
        <w:rPr>
          <w:rtl/>
          <w:lang w:bidi="fa-IR"/>
        </w:rPr>
        <w:t xml:space="preserve"> : « أَبَى اللهُ إِل</w:t>
      </w:r>
      <w:r w:rsidR="00BE36EE">
        <w:rPr>
          <w:rFonts w:hint="cs"/>
          <w:rtl/>
          <w:lang w:bidi="fa-IR"/>
        </w:rPr>
        <w:t>َّ</w:t>
      </w:r>
      <w:r w:rsidR="00BE36EE">
        <w:rPr>
          <w:rtl/>
          <w:lang w:bidi="fa-IR"/>
        </w:rPr>
        <w:t>ا</w:t>
      </w:r>
      <w:r w:rsidRPr="00132E65">
        <w:rPr>
          <w:rtl/>
          <w:lang w:bidi="fa-IR"/>
        </w:rPr>
        <w:t xml:space="preserve"> أَنْ يُخَالِفَ </w:t>
      </w:r>
      <w:r>
        <w:rPr>
          <w:rStyle w:val="libFootnotenumChar"/>
          <w:rtl/>
        </w:rPr>
        <w:t>(3)</w:t>
      </w:r>
      <w:r w:rsidRPr="00132E65">
        <w:rPr>
          <w:rtl/>
          <w:lang w:bidi="fa-IR"/>
        </w:rPr>
        <w:t xml:space="preserve"> و</w:t>
      </w:r>
      <w:r w:rsidR="00BE36EE">
        <w:rPr>
          <w:rFonts w:hint="cs"/>
          <w:rtl/>
          <w:lang w:bidi="fa-IR"/>
        </w:rPr>
        <w:t>َ</w:t>
      </w:r>
      <w:r w:rsidRPr="00132E65">
        <w:rPr>
          <w:rtl/>
          <w:lang w:bidi="fa-IR"/>
        </w:rPr>
        <w:t xml:space="preserve">قْتَ </w:t>
      </w:r>
      <w:r>
        <w:rPr>
          <w:rStyle w:val="libFootnotenumChar"/>
          <w:rtl/>
        </w:rPr>
        <w:t>(4)</w:t>
      </w:r>
      <w:r w:rsidRPr="00132E65">
        <w:rPr>
          <w:rtl/>
          <w:lang w:bidi="fa-IR"/>
        </w:rPr>
        <w:t xml:space="preserve"> الْمُوَقِّتِينَ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9C026E">
        <w:rPr>
          <w:rtl/>
        </w:rPr>
        <w:t>945</w:t>
      </w:r>
      <w:r w:rsidRPr="004325D8">
        <w:rPr>
          <w:rStyle w:val="libBold2Char"/>
          <w:rtl/>
        </w:rPr>
        <w:t xml:space="preserve"> / 5.</w:t>
      </w:r>
      <w:r w:rsidRPr="00132E65">
        <w:rPr>
          <w:rtl/>
          <w:lang w:bidi="fa-IR"/>
        </w:rPr>
        <w:t xml:space="preserve"> الْحُسَيْنُ بْنُ مُحَمَّدٍ ، عَنْ مُعَلَّى بْنِ مُحَمَّدٍ ، عَنِ الْحَسَنِ بْنِ عَلِيٍّ الْخَزَّازِ ، عَنْ عَبْدِ الْكَرِيمِ بْنِ عَمْرٍو الْخَثْعَمِيِّ ، عَنِ الْفُضَيْلِ </w:t>
      </w:r>
      <w:r>
        <w:rPr>
          <w:rStyle w:val="libFootnotenumChar"/>
          <w:rtl/>
        </w:rPr>
        <w:t>(6)</w:t>
      </w:r>
      <w:r w:rsidRPr="00132E65">
        <w:rPr>
          <w:rtl/>
          <w:lang w:bidi="fa-IR"/>
        </w:rPr>
        <w:t xml:space="preserve"> بْنِ يَسَارٍ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قُلْتُ : لِهذَا الْأَمْرِ وقْتٌ</w:t>
      </w:r>
      <w:r>
        <w:rPr>
          <w:rtl/>
          <w:lang w:bidi="fa-IR"/>
        </w:rPr>
        <w:t>؟</w:t>
      </w:r>
    </w:p>
    <w:p w:rsidR="000C39D1" w:rsidRPr="00132E65" w:rsidRDefault="000C39D1" w:rsidP="000C39D1">
      <w:pPr>
        <w:pStyle w:val="libNormal"/>
        <w:rPr>
          <w:rtl/>
          <w:lang w:bidi="fa-IR"/>
        </w:rPr>
      </w:pPr>
      <w:r w:rsidRPr="00132E65">
        <w:rPr>
          <w:rtl/>
          <w:lang w:bidi="fa-IR"/>
        </w:rPr>
        <w:t xml:space="preserve">فَقَالَ : « كَذَبَ الْوَقَّاتُونَ ، كَذَبَ الْوَقَّاتُونَ ، كَذَبَ الْوَقَّاتُونَ ؛ إِنَّ مُوسى </w:t>
      </w:r>
      <w:r w:rsidRPr="00071CF9">
        <w:rPr>
          <w:rStyle w:val="libAlaemChar"/>
          <w:rtl/>
        </w:rPr>
        <w:t>عليه‌السلام</w:t>
      </w:r>
      <w:r w:rsidRPr="00132E65">
        <w:rPr>
          <w:rtl/>
          <w:lang w:bidi="fa-IR"/>
        </w:rPr>
        <w:t xml:space="preserve"> لَمَّا خَرَجَ وافِداً </w:t>
      </w:r>
      <w:r>
        <w:rPr>
          <w:rStyle w:val="libFootnotenumChar"/>
          <w:rtl/>
        </w:rPr>
        <w:t>(7)</w:t>
      </w:r>
      <w:r w:rsidRPr="00132E65">
        <w:rPr>
          <w:rtl/>
          <w:lang w:bidi="fa-IR"/>
        </w:rPr>
        <w:t xml:space="preserve"> إِلى رَبِّهِ ، و</w:t>
      </w:r>
      <w:r w:rsidR="00BE36EE">
        <w:rPr>
          <w:rFonts w:hint="cs"/>
          <w:rtl/>
          <w:lang w:bidi="fa-IR"/>
        </w:rPr>
        <w:t>َ</w:t>
      </w:r>
      <w:r w:rsidRPr="00132E65">
        <w:rPr>
          <w:rtl/>
          <w:lang w:bidi="fa-IR"/>
        </w:rPr>
        <w:t xml:space="preserve">اعَدَهُمْ ثَلَاثِينَ يَوْماً ، فَلَمَّا زَادَهُ </w:t>
      </w:r>
      <w:r>
        <w:rPr>
          <w:rStyle w:val="libFootnotenumChar"/>
          <w:rtl/>
        </w:rPr>
        <w:t>(8)</w:t>
      </w:r>
      <w:r w:rsidRPr="00132E65">
        <w:rPr>
          <w:rtl/>
          <w:lang w:bidi="fa-IR"/>
        </w:rPr>
        <w:t xml:space="preserve"> اللهُ عَلَى الثَّلَاثِينَ عَشْراً ، قَالَ </w:t>
      </w:r>
      <w:r>
        <w:rPr>
          <w:rStyle w:val="libFootnotenumChar"/>
          <w:rtl/>
        </w:rPr>
        <w:t>(9)</w:t>
      </w:r>
      <w:r w:rsidRPr="00132E65">
        <w:rPr>
          <w:rtl/>
          <w:lang w:bidi="fa-IR"/>
        </w:rPr>
        <w:t xml:space="preserve"> قَوْمُهُ : قَدْ أَخْلَفَنَا مُوسى ، فَصَنَعُوا مَا صَنَعُوا ؛ فَإِذَا حَدَّثْنَاكُمُ الْحَدِيثَ </w:t>
      </w:r>
      <w:r>
        <w:rPr>
          <w:rStyle w:val="libFootnotenumChar"/>
          <w:rtl/>
        </w:rPr>
        <w:t>(10)</w:t>
      </w:r>
      <w:r w:rsidRPr="00132E65">
        <w:rPr>
          <w:rtl/>
          <w:lang w:bidi="fa-IR"/>
        </w:rPr>
        <w:t xml:space="preserve"> فَجَاءَ عَلى مَا حَدَّثْنَاكُمْ بِهِ </w:t>
      </w:r>
      <w:r>
        <w:rPr>
          <w:rStyle w:val="libFootnotenumChar"/>
          <w:rtl/>
        </w:rPr>
        <w:t>(11)</w:t>
      </w:r>
      <w:r w:rsidRPr="00132E65">
        <w:rPr>
          <w:rtl/>
          <w:lang w:bidi="fa-IR"/>
        </w:rPr>
        <w:t xml:space="preserve"> ، فَقُولُوا : صَدَقَ اللهُ ؛ وإِذَا حَدَّثْنَاكُمُ‌</w:t>
      </w:r>
      <w:r w:rsidR="00BE36EE">
        <w:rPr>
          <w:rFonts w:hint="cs"/>
          <w:rtl/>
          <w:lang w:bidi="fa-IR"/>
        </w:rPr>
        <w:t>.....................................</w:t>
      </w:r>
      <w:r w:rsidR="00BE36EE">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BE36EE" w:rsidP="000C39D1">
      <w:pPr>
        <w:pStyle w:val="libFootnote0"/>
        <w:rPr>
          <w:rtl/>
          <w:lang w:bidi="fa-IR"/>
        </w:rPr>
      </w:pPr>
      <w:r>
        <w:rPr>
          <w:rFonts w:hint="cs"/>
          <w:rtl/>
        </w:rPr>
        <w:t xml:space="preserve">= </w:t>
      </w:r>
      <w:r w:rsidR="000C39D1" w:rsidRPr="00132E65">
        <w:rPr>
          <w:rtl/>
        </w:rPr>
        <w:t xml:space="preserve">اختلاف. راجع : </w:t>
      </w:r>
      <w:r w:rsidR="000C39D1" w:rsidRPr="00BE36EE">
        <w:rPr>
          <w:rStyle w:val="libFootnoteBoldChar"/>
          <w:rtl/>
        </w:rPr>
        <w:t>كمال الدين</w:t>
      </w:r>
      <w:r w:rsidR="000C39D1" w:rsidRPr="00132E65">
        <w:rPr>
          <w:rtl/>
        </w:rPr>
        <w:t xml:space="preserve"> ، ص 438 ، ح 3 </w:t>
      </w:r>
      <w:r w:rsidR="000C39D1">
        <w:rPr>
          <w:rtl/>
        </w:rPr>
        <w:t>و 4</w:t>
      </w:r>
      <w:r w:rsidR="000C39D1" w:rsidRPr="00132E65">
        <w:rPr>
          <w:rtl/>
        </w:rPr>
        <w:t xml:space="preserve"> ؛ </w:t>
      </w:r>
      <w:r w:rsidR="000C39D1" w:rsidRPr="00BE36EE">
        <w:rPr>
          <w:rStyle w:val="libFootnoteBoldChar"/>
          <w:rtl/>
        </w:rPr>
        <w:t>والغيبة للطوسي</w:t>
      </w:r>
      <w:r w:rsidR="000C39D1" w:rsidRPr="00132E65">
        <w:rPr>
          <w:rtl/>
        </w:rPr>
        <w:t xml:space="preserve"> ، ص 290 ، ح 247 </w:t>
      </w:r>
      <w:r>
        <w:rPr>
          <w:rFonts w:hint="cs"/>
          <w:rtl/>
        </w:rPr>
        <w:t>.</w:t>
      </w:r>
      <w:r w:rsidR="000C39D1" w:rsidRPr="009D1ACE">
        <w:rPr>
          <w:rStyle w:val="libFootnoteBoldChar"/>
          <w:rtl/>
        </w:rPr>
        <w:t>الوافي</w:t>
      </w:r>
      <w:r w:rsidR="000C39D1" w:rsidRPr="00132E65">
        <w:rPr>
          <w:rtl/>
        </w:rPr>
        <w:t xml:space="preserve"> ، ج 2 ، ص 427 ، ح 936.</w:t>
      </w:r>
    </w:p>
    <w:p w:rsidR="000C39D1" w:rsidRPr="00132E65" w:rsidRDefault="000C39D1" w:rsidP="000C39D1">
      <w:pPr>
        <w:pStyle w:val="libFootnote0"/>
        <w:rPr>
          <w:rtl/>
          <w:lang w:bidi="fa-IR"/>
        </w:rPr>
      </w:pPr>
      <w:r>
        <w:rPr>
          <w:rtl/>
        </w:rPr>
        <w:t>(1).</w:t>
      </w:r>
      <w:r w:rsidRPr="00132E65">
        <w:rPr>
          <w:rtl/>
        </w:rPr>
        <w:t xml:space="preserve"> السند معلّق على ما قبله ، ويروي عن أحمد ، عدّة من أصحابنا.</w:t>
      </w:r>
    </w:p>
    <w:p w:rsidR="000C39D1" w:rsidRPr="00132E65" w:rsidRDefault="000C39D1" w:rsidP="000C39D1">
      <w:pPr>
        <w:pStyle w:val="libFootnote0"/>
        <w:rPr>
          <w:rtl/>
          <w:lang w:bidi="fa-IR"/>
        </w:rPr>
      </w:pPr>
      <w:r w:rsidRPr="00E55206">
        <w:rPr>
          <w:rtl/>
        </w:rPr>
        <w:t xml:space="preserve">ثمّ إنّ الظاهر أنّ المراد بقوله « بإسناده » ، هو سند أحمد بن محمّد بن خالد المذكور إلى أبي عبد الله </w:t>
      </w:r>
      <w:r w:rsidRPr="00D14011">
        <w:rPr>
          <w:rStyle w:val="libFootnoteAlaemChar"/>
          <w:rtl/>
        </w:rPr>
        <w:t>عليه‌السلام</w:t>
      </w:r>
      <w:r w:rsidRPr="00E55206">
        <w:rPr>
          <w:rtl/>
        </w:rPr>
        <w:t>.</w:t>
      </w:r>
    </w:p>
    <w:p w:rsidR="000C39D1" w:rsidRPr="00132E65" w:rsidRDefault="000C39D1" w:rsidP="00BE36EE">
      <w:pPr>
        <w:pStyle w:val="libFootnote0"/>
        <w:rPr>
          <w:rtl/>
          <w:lang w:bidi="fa-IR"/>
        </w:rPr>
      </w:pPr>
      <w:r w:rsidRPr="00E55206">
        <w:rPr>
          <w:rtl/>
        </w:rPr>
        <w:t xml:space="preserve">يؤيّد ذلك ما ورد في </w:t>
      </w:r>
      <w:r w:rsidRPr="00BE36EE">
        <w:rPr>
          <w:rStyle w:val="libFootnoteBoldChar"/>
          <w:rtl/>
        </w:rPr>
        <w:t>الغيبة</w:t>
      </w:r>
      <w:r w:rsidRPr="00E55206">
        <w:rPr>
          <w:rtl/>
        </w:rPr>
        <w:t xml:space="preserve"> للنعماني ، ص 294 ، ح 12 ؛ من نقل الخبر عن محمّد بن يعقوب بنفس السند إلى أبي بصير ، عن أبي عبد الله </w:t>
      </w:r>
      <w:r w:rsidRPr="00D14011">
        <w:rPr>
          <w:rStyle w:val="libFootnoteAlaemChar"/>
          <w:rtl/>
        </w:rPr>
        <w:t>عليه‌السلام</w:t>
      </w:r>
      <w:r w:rsidRPr="00E55206">
        <w:rPr>
          <w:rtl/>
        </w:rPr>
        <w:t xml:space="preserve"> قال : سألته عن القائم </w:t>
      </w:r>
      <w:r w:rsidRPr="00D14011">
        <w:rPr>
          <w:rStyle w:val="libFootnoteAlaemChar"/>
          <w:rtl/>
        </w:rPr>
        <w:t>عليه‌السلام</w:t>
      </w:r>
      <w:r w:rsidRPr="00E55206">
        <w:rPr>
          <w:rtl/>
        </w:rPr>
        <w:t>. فقال : « كذب الوقّاتون ، إنّا أهل بيت لا</w:t>
      </w:r>
      <w:r w:rsidR="00BE36EE" w:rsidRPr="00E55206">
        <w:rPr>
          <w:rtl/>
        </w:rPr>
        <w:t xml:space="preserve"> نوقّت ، ثمّ قال : أبى الله إل</w:t>
      </w:r>
      <w:r w:rsidR="00BE36EE" w:rsidRPr="00E55206">
        <w:rPr>
          <w:rFonts w:hint="cs"/>
          <w:rtl/>
        </w:rPr>
        <w:t>ّ</w:t>
      </w:r>
      <w:r w:rsidR="00BE36EE" w:rsidRPr="00E55206">
        <w:rPr>
          <w:rtl/>
        </w:rPr>
        <w:t>ا</w:t>
      </w:r>
      <w:r w:rsidRPr="00E55206">
        <w:rPr>
          <w:rFonts w:hint="cs"/>
          <w:rtl/>
        </w:rPr>
        <w:t xml:space="preserve"> </w:t>
      </w:r>
      <w:r w:rsidRPr="00E55206">
        <w:rPr>
          <w:rtl/>
        </w:rPr>
        <w:t>أن يُخلِف وقت الموقّتين ».</w:t>
      </w:r>
      <w:r w:rsidR="00BE36EE" w:rsidRPr="00E55206">
        <w:rPr>
          <w:rFonts w:hint="cs"/>
          <w:rtl/>
        </w:rPr>
        <w:t xml:space="preserve">                  </w:t>
      </w:r>
      <w:r>
        <w:rPr>
          <w:rtl/>
        </w:rPr>
        <w:t>(2).</w:t>
      </w:r>
      <w:r w:rsidRPr="00132E65">
        <w:rPr>
          <w:rtl/>
        </w:rPr>
        <w:t xml:space="preserve"> في حاشية « بف » و</w:t>
      </w:r>
      <w:r w:rsidRPr="009D1ACE">
        <w:rPr>
          <w:rStyle w:val="libFootnoteBoldChar"/>
          <w:rtl/>
        </w:rPr>
        <w:t>الوافي</w:t>
      </w:r>
      <w:r w:rsidRPr="00132E65">
        <w:rPr>
          <w:rtl/>
        </w:rPr>
        <w:t xml:space="preserve"> :</w:t>
      </w:r>
      <w:r>
        <w:rPr>
          <w:rtl/>
        </w:rPr>
        <w:t xml:space="preserve"> + </w:t>
      </w:r>
      <w:r w:rsidRPr="00132E65">
        <w:rPr>
          <w:rtl/>
        </w:rPr>
        <w:t>« أبو عبد الله »</w:t>
      </w:r>
      <w:r>
        <w:rPr>
          <w:rtl/>
        </w:rPr>
        <w:t>.</w:t>
      </w:r>
    </w:p>
    <w:p w:rsidR="000C39D1" w:rsidRPr="00132E65" w:rsidRDefault="000C39D1" w:rsidP="000C39D1">
      <w:pPr>
        <w:pStyle w:val="libFootnote0"/>
        <w:rPr>
          <w:rtl/>
          <w:lang w:bidi="fa-IR"/>
        </w:rPr>
      </w:pPr>
      <w:r>
        <w:rPr>
          <w:rtl/>
        </w:rPr>
        <w:t>(3).</w:t>
      </w:r>
      <w:r w:rsidRPr="00132E65">
        <w:rPr>
          <w:rtl/>
        </w:rPr>
        <w:t xml:space="preserve"> في الغيبة : « أن يخلف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ج 4 ، ص 175 : « ووقت ، يمكن أن يقرأ بالرفع والنصب ، وعلى الأوّل المفعول محذوف ، أي وقت ظهور هذا الأمر »</w:t>
      </w:r>
      <w:r>
        <w:rPr>
          <w:rtl/>
        </w:rPr>
        <w:t>.</w:t>
      </w:r>
    </w:p>
    <w:p w:rsidR="000C39D1" w:rsidRPr="00132E65" w:rsidRDefault="000C39D1" w:rsidP="000C39D1">
      <w:pPr>
        <w:pStyle w:val="libFootnote0"/>
        <w:rPr>
          <w:rtl/>
          <w:lang w:bidi="fa-IR"/>
        </w:rPr>
      </w:pPr>
      <w:r>
        <w:rPr>
          <w:rtl/>
        </w:rPr>
        <w:t>(5).</w:t>
      </w:r>
      <w:r w:rsidRPr="00132E65">
        <w:rPr>
          <w:rtl/>
        </w:rPr>
        <w:t xml:space="preserve"> </w:t>
      </w:r>
      <w:r w:rsidRPr="00BE36EE">
        <w:rPr>
          <w:rStyle w:val="libFootnoteBoldChar"/>
          <w:rtl/>
        </w:rPr>
        <w:t>الغيبة للنعماني</w:t>
      </w:r>
      <w:r w:rsidRPr="00132E65">
        <w:rPr>
          <w:rtl/>
        </w:rPr>
        <w:t xml:space="preserve"> ، ص 294 ، ذيل ح 12 ، عن الكليني. </w:t>
      </w:r>
      <w:r w:rsidRPr="009C026E">
        <w:rPr>
          <w:rtl/>
        </w:rPr>
        <w:t>وفيه</w:t>
      </w:r>
      <w:r w:rsidRPr="00132E65">
        <w:rPr>
          <w:rtl/>
        </w:rPr>
        <w:t xml:space="preserve"> ، ص 289 ، ح 4 ، بسند آخر ، عن أبي عبد الله </w:t>
      </w:r>
      <w:r w:rsidRPr="00BE36EE">
        <w:rPr>
          <w:rStyle w:val="libFootnoteAlaemChar"/>
          <w:rtl/>
        </w:rPr>
        <w:t>عليه‌السلام</w:t>
      </w:r>
      <w:r w:rsidRPr="00132E65">
        <w:rPr>
          <w:rtl/>
        </w:rPr>
        <w:t xml:space="preserve"> </w:t>
      </w:r>
      <w:r w:rsidR="00BE36EE">
        <w:rPr>
          <w:rFonts w:hint="cs"/>
          <w:rtl/>
        </w:rPr>
        <w:t>.</w:t>
      </w:r>
      <w:r w:rsidRPr="009D1ACE">
        <w:rPr>
          <w:rStyle w:val="libFootnoteBoldChar"/>
          <w:rtl/>
        </w:rPr>
        <w:t>الوافي</w:t>
      </w:r>
      <w:r w:rsidRPr="00132E65">
        <w:rPr>
          <w:rtl/>
        </w:rPr>
        <w:t xml:space="preserve"> ، ج 2 ، ص 427 ، ح 937.</w:t>
      </w:r>
    </w:p>
    <w:p w:rsidR="000C39D1" w:rsidRPr="00132E65" w:rsidRDefault="000C39D1" w:rsidP="000C39D1">
      <w:pPr>
        <w:pStyle w:val="libFootnote0"/>
        <w:rPr>
          <w:rtl/>
          <w:lang w:bidi="fa-IR"/>
        </w:rPr>
      </w:pPr>
      <w:r>
        <w:rPr>
          <w:rtl/>
        </w:rPr>
        <w:t>(6).</w:t>
      </w:r>
      <w:r w:rsidRPr="00132E65">
        <w:rPr>
          <w:rtl/>
        </w:rPr>
        <w:t xml:space="preserve"> هكذا في « ألف ، ج ، ض ، ف ، و، بح ، بر ، جر »</w:t>
      </w:r>
      <w:r>
        <w:rPr>
          <w:rtl/>
        </w:rPr>
        <w:t>.</w:t>
      </w:r>
      <w:r w:rsidRPr="00132E65">
        <w:rPr>
          <w:rtl/>
        </w:rPr>
        <w:t xml:space="preserve"> وفي « بس ، بف » والمطبوع : « الفضل »</w:t>
      </w:r>
      <w:r>
        <w:rPr>
          <w:rtl/>
        </w:rPr>
        <w:t>.</w:t>
      </w:r>
      <w:r w:rsidRPr="00132E65">
        <w:rPr>
          <w:rtl/>
        </w:rPr>
        <w:t xml:space="preserve"> وهو سهو واضح.</w:t>
      </w:r>
    </w:p>
    <w:p w:rsidR="000C39D1" w:rsidRPr="00132E65" w:rsidRDefault="000C39D1" w:rsidP="000C39D1">
      <w:pPr>
        <w:pStyle w:val="libFootnote0"/>
        <w:rPr>
          <w:rtl/>
          <w:lang w:bidi="fa-IR"/>
        </w:rPr>
      </w:pPr>
      <w:r>
        <w:rPr>
          <w:rtl/>
        </w:rPr>
        <w:t>(7).</w:t>
      </w:r>
      <w:r w:rsidRPr="00132E65">
        <w:rPr>
          <w:rtl/>
        </w:rPr>
        <w:t xml:space="preserve"> « وافداً » ، أي وارداً رسولاً. راجع : </w:t>
      </w:r>
      <w:r w:rsidRPr="00B622C6">
        <w:rPr>
          <w:rStyle w:val="libFootnoteBoldChar"/>
          <w:rtl/>
        </w:rPr>
        <w:t>الصحاح</w:t>
      </w:r>
      <w:r w:rsidRPr="00132E65">
        <w:rPr>
          <w:rtl/>
        </w:rPr>
        <w:t xml:space="preserve"> ، ج 2 ، ص 553 ( وفد )</w:t>
      </w:r>
      <w:r>
        <w:rPr>
          <w:rtl/>
        </w:rPr>
        <w:t>.</w:t>
      </w:r>
    </w:p>
    <w:tbl>
      <w:tblPr>
        <w:tblStyle w:val="TableGrid"/>
        <w:bidiVisual/>
        <w:tblW w:w="0" w:type="auto"/>
        <w:tblLook w:val="04A0" w:firstRow="1" w:lastRow="0" w:firstColumn="1" w:lastColumn="0" w:noHBand="0" w:noVBand="1"/>
      </w:tblPr>
      <w:tblGrid>
        <w:gridCol w:w="4006"/>
        <w:gridCol w:w="4006"/>
      </w:tblGrid>
      <w:tr w:rsidR="00B622C6" w:rsidTr="00B622C6">
        <w:tc>
          <w:tcPr>
            <w:tcW w:w="4006" w:type="dxa"/>
          </w:tcPr>
          <w:p w:rsidR="00B622C6" w:rsidRDefault="00B622C6" w:rsidP="000C39D1">
            <w:pPr>
              <w:pStyle w:val="libFootnote0"/>
              <w:rPr>
                <w:rtl/>
              </w:rPr>
            </w:pPr>
            <w:r>
              <w:rPr>
                <w:rtl/>
              </w:rPr>
              <w:t>(8).</w:t>
            </w:r>
            <w:r w:rsidRPr="00132E65">
              <w:rPr>
                <w:rtl/>
              </w:rPr>
              <w:t xml:space="preserve"> في البحار : « زاد »</w:t>
            </w:r>
            <w:r>
              <w:rPr>
                <w:rtl/>
              </w:rPr>
              <w:t>.</w:t>
            </w:r>
          </w:p>
        </w:tc>
        <w:tc>
          <w:tcPr>
            <w:tcW w:w="4006" w:type="dxa"/>
          </w:tcPr>
          <w:p w:rsidR="00B622C6" w:rsidRDefault="00B622C6" w:rsidP="000C39D1">
            <w:pPr>
              <w:pStyle w:val="libFootnote0"/>
              <w:rPr>
                <w:rtl/>
              </w:rPr>
            </w:pPr>
            <w:r>
              <w:rPr>
                <w:rtl/>
              </w:rPr>
              <w:t>(9).</w:t>
            </w:r>
            <w:r w:rsidRPr="00132E65">
              <w:rPr>
                <w:rtl/>
              </w:rPr>
              <w:t xml:space="preserve"> في « ف » : « قد قال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الغيبة : « بحديث »</w:t>
      </w:r>
      <w:r>
        <w:rPr>
          <w:rtl/>
        </w:rPr>
        <w:t>.</w:t>
      </w:r>
    </w:p>
    <w:p w:rsidR="000C39D1" w:rsidRPr="00132E65" w:rsidRDefault="000C39D1" w:rsidP="000C39D1">
      <w:pPr>
        <w:pStyle w:val="libFootnote0"/>
        <w:rPr>
          <w:rtl/>
          <w:lang w:bidi="fa-IR"/>
        </w:rPr>
      </w:pPr>
      <w:r>
        <w:rPr>
          <w:rtl/>
        </w:rPr>
        <w:t>(11).</w:t>
      </w:r>
      <w:r w:rsidRPr="00132E65">
        <w:rPr>
          <w:rtl/>
        </w:rPr>
        <w:t xml:space="preserve"> في « ب ، ج ، ض ، ف ، بر ، بس ، بف » </w:t>
      </w:r>
      <w:r w:rsidRPr="00B622C6">
        <w:rPr>
          <w:rtl/>
        </w:rPr>
        <w:t>والوافي</w:t>
      </w:r>
      <w:r w:rsidRPr="00132E65">
        <w:rPr>
          <w:rtl/>
        </w:rPr>
        <w:t xml:space="preserve"> والبحار </w:t>
      </w:r>
      <w:r>
        <w:rPr>
          <w:rtl/>
        </w:rPr>
        <w:t xml:space="preserve">: - </w:t>
      </w:r>
      <w:r w:rsidRPr="00132E65">
        <w:rPr>
          <w:rtl/>
        </w:rPr>
        <w:t>« به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الْحَدِيثَ </w:t>
      </w:r>
      <w:r>
        <w:rPr>
          <w:rStyle w:val="libFootnotenumChar"/>
          <w:rtl/>
        </w:rPr>
        <w:t>(1)</w:t>
      </w:r>
      <w:r w:rsidRPr="00132E65">
        <w:rPr>
          <w:rtl/>
          <w:lang w:bidi="fa-IR"/>
        </w:rPr>
        <w:t xml:space="preserve"> فَجَاءَ عَلى خِلَافِ مَا حَدَّثْنَاكُمْ بِهِ </w:t>
      </w:r>
      <w:r>
        <w:rPr>
          <w:rStyle w:val="libFootnotenumChar"/>
          <w:rtl/>
        </w:rPr>
        <w:t>(2)</w:t>
      </w:r>
      <w:r w:rsidRPr="00132E65">
        <w:rPr>
          <w:rtl/>
          <w:lang w:bidi="fa-IR"/>
        </w:rPr>
        <w:t xml:space="preserve"> ، فَقُولُوا : صَدَقَ اللهُ ؛ تُؤْجَرُوا مَرَّتَيْنِ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9C026E">
        <w:rPr>
          <w:rtl/>
        </w:rPr>
        <w:t>946</w:t>
      </w:r>
      <w:r w:rsidRPr="004325D8">
        <w:rPr>
          <w:rStyle w:val="libBold2Char"/>
          <w:rtl/>
        </w:rPr>
        <w:t xml:space="preserve"> / 6.</w:t>
      </w:r>
      <w:r w:rsidRPr="00132E65">
        <w:rPr>
          <w:rtl/>
          <w:lang w:bidi="fa-IR"/>
        </w:rPr>
        <w:t xml:space="preserve"> مُحَمَّدُ بْنُ يَحْيى وأَحْمَدُ بْنُ إِدْرِيسَ ، عَنْ مُحَمَّدِ بْنِ أَحْمَدَ ، عَنِ السَّيَّارِيِّ ، عَنِ الْحَسَنِ بْنِ عَلِيِّ بْنِ يَقْطِينٍ ، عَنْ أَخِيهِ الْحُسَيْنِ ، عَنْ أَبِيهِ عَلِيِّ بْنِ يَقْطِينٍ ، قَالَ :</w:t>
      </w:r>
    </w:p>
    <w:p w:rsidR="000C39D1" w:rsidRPr="00132E65" w:rsidRDefault="000C39D1" w:rsidP="000C39D1">
      <w:pPr>
        <w:pStyle w:val="libNormal"/>
        <w:rPr>
          <w:rtl/>
          <w:lang w:bidi="fa-IR"/>
        </w:rPr>
      </w:pPr>
      <w:r w:rsidRPr="00132E65">
        <w:rPr>
          <w:rtl/>
          <w:lang w:bidi="fa-IR"/>
        </w:rPr>
        <w:t xml:space="preserve">قَالَ لِي أَبُو الْحَسَنِ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 « الشِّيعَةُ تُرَبّى بِالْأَمَانِيِّ مُنْذُ مِائَتَيْ سَنَةٍ »</w:t>
      </w:r>
      <w:r>
        <w:rPr>
          <w:rtl/>
          <w:lang w:bidi="fa-IR"/>
        </w:rPr>
        <w:t>.</w:t>
      </w:r>
    </w:p>
    <w:p w:rsidR="000C39D1" w:rsidRPr="00132E65" w:rsidRDefault="000C39D1" w:rsidP="000C39D1">
      <w:pPr>
        <w:pStyle w:val="libNormal"/>
        <w:rPr>
          <w:rtl/>
          <w:lang w:bidi="fa-IR"/>
        </w:rPr>
      </w:pPr>
      <w:r w:rsidRPr="00132E65">
        <w:rPr>
          <w:rtl/>
          <w:lang w:bidi="fa-IR"/>
        </w:rPr>
        <w:t>قَالَ : و</w:t>
      </w:r>
      <w:r w:rsidR="00B622C6">
        <w:rPr>
          <w:rFonts w:hint="cs"/>
          <w:rtl/>
          <w:lang w:bidi="fa-IR"/>
        </w:rPr>
        <w:t>َ</w:t>
      </w:r>
      <w:r w:rsidRPr="00132E65">
        <w:rPr>
          <w:rtl/>
          <w:lang w:bidi="fa-IR"/>
        </w:rPr>
        <w:t xml:space="preserve">قَالَ </w:t>
      </w:r>
      <w:r>
        <w:rPr>
          <w:rStyle w:val="libFootnotenumChar"/>
          <w:rtl/>
        </w:rPr>
        <w:t>(6)</w:t>
      </w:r>
      <w:r w:rsidRPr="00132E65">
        <w:rPr>
          <w:rtl/>
          <w:lang w:bidi="fa-IR"/>
        </w:rPr>
        <w:t xml:space="preserve"> يَقْطِينٌ لِابْنِهِ عَلِيِّ بْنِ يَقْطِينٍ : مَا بَالُنَا قِيلَ لَنَا فَكَانَ ، وقِيلَ لَكُمْ فَلَمْ يَكُنْ </w:t>
      </w:r>
      <w:r>
        <w:rPr>
          <w:rStyle w:val="libFootnotenumChar"/>
          <w:rtl/>
        </w:rPr>
        <w:t>(7)</w:t>
      </w:r>
      <w:r>
        <w:rPr>
          <w:rtl/>
          <w:lang w:bidi="fa-IR"/>
        </w:rPr>
        <w:t>؟</w:t>
      </w:r>
      <w:r w:rsidRPr="00132E65">
        <w:rPr>
          <w:rtl/>
          <w:lang w:bidi="fa-IR"/>
        </w:rPr>
        <w:t xml:space="preserve"> قَالَ : فَقَالَ لَهُ عَلِيٌّ : إِنَّ الَّذِي قِيلَ لَنَا و</w:t>
      </w:r>
      <w:r w:rsidR="00B622C6">
        <w:rPr>
          <w:rFonts w:hint="cs"/>
          <w:rtl/>
          <w:lang w:bidi="fa-IR"/>
        </w:rPr>
        <w:t>َ</w:t>
      </w:r>
      <w:r w:rsidRPr="00132E65">
        <w:rPr>
          <w:rtl/>
          <w:lang w:bidi="fa-IR"/>
        </w:rPr>
        <w:t xml:space="preserve">لَكُمْ كَانَ مِنْ مَخْرَجٍ واحِدٍ ، غَيْرَ أَنَّ أَمْرَكُمْ حَضَرَ </w:t>
      </w:r>
      <w:r>
        <w:rPr>
          <w:rStyle w:val="libFootnotenumChar"/>
          <w:rtl/>
        </w:rPr>
        <w:t>(8)</w:t>
      </w:r>
      <w:r w:rsidRPr="00132E65">
        <w:rPr>
          <w:rtl/>
          <w:lang w:bidi="fa-IR"/>
        </w:rPr>
        <w:t xml:space="preserve"> ، فَأُعْطِيتُمْ مَحْضَهُ ، فَكَانَ كَمَا قِيلَ لَكُمْ ، وأَنَّ أَمْرَنَا لَمْ يَحْضُرْ ، فَعُلِّلْنَا بِالْأَمَانِيِّ </w:t>
      </w:r>
      <w:r>
        <w:rPr>
          <w:rStyle w:val="libFootnotenumChar"/>
          <w:rtl/>
        </w:rPr>
        <w:t>(9)</w:t>
      </w:r>
      <w:r w:rsidRPr="00132E65">
        <w:rPr>
          <w:rtl/>
          <w:lang w:bidi="fa-IR"/>
        </w:rPr>
        <w:t xml:space="preserve"> ، فَلَوْ قِيلَ لَنَا : إِنَّ </w:t>
      </w:r>
      <w:r w:rsidR="00B035B7">
        <w:rPr>
          <w:rtl/>
          <w:lang w:bidi="fa-IR"/>
        </w:rPr>
        <w:t>هذَا الْأَمْرَ لَايَكُونُ إِل</w:t>
      </w:r>
      <w:r w:rsidR="00B035B7">
        <w:rPr>
          <w:rFonts w:hint="cs"/>
          <w:rtl/>
          <w:lang w:bidi="fa-IR"/>
        </w:rPr>
        <w:t>َّ</w:t>
      </w:r>
      <w:r w:rsidR="00B035B7">
        <w:rPr>
          <w:rtl/>
          <w:lang w:bidi="fa-IR"/>
        </w:rPr>
        <w:t>ا</w:t>
      </w:r>
      <w:r w:rsidRPr="00132E65">
        <w:rPr>
          <w:rtl/>
          <w:lang w:bidi="fa-IR"/>
        </w:rPr>
        <w:t xml:space="preserve"> </w:t>
      </w:r>
      <w:r>
        <w:rPr>
          <w:rStyle w:val="libFootnotenumChar"/>
          <w:rtl/>
        </w:rPr>
        <w:t>(10)</w:t>
      </w:r>
      <w:r w:rsidRPr="00132E65">
        <w:rPr>
          <w:rtl/>
          <w:lang w:bidi="fa-IR"/>
        </w:rPr>
        <w:t xml:space="preserve"> إِلى مِائَتَيْ سَنَةٍ أَوْ ثَلَاثِمِائَةِ سَنَةٍ ، لَقَسَتِ الْقُلُوبُ ، ولَرَجَعَ عَامَّةُ النَّاسِ عَنِ الْإِسْلَامِ </w:t>
      </w:r>
      <w:r>
        <w:rPr>
          <w:rStyle w:val="libFootnotenumChar"/>
          <w:rtl/>
        </w:rPr>
        <w:t>(11)</w:t>
      </w:r>
      <w:r w:rsidRPr="00132E65">
        <w:rPr>
          <w:rtl/>
          <w:lang w:bidi="fa-IR"/>
        </w:rPr>
        <w:t xml:space="preserve"> ، ولكِنْ قَالُوا : مَا أَسْرَعَهُ</w:t>
      </w:r>
      <w:r>
        <w:rPr>
          <w:rtl/>
          <w:lang w:bidi="fa-IR"/>
        </w:rPr>
        <w:t>!</w:t>
      </w:r>
      <w:r w:rsidRPr="00132E65">
        <w:rPr>
          <w:rtl/>
          <w:lang w:bidi="fa-IR"/>
        </w:rPr>
        <w:t xml:space="preserve"> و</w:t>
      </w:r>
      <w:r w:rsidR="00B035B7">
        <w:rPr>
          <w:rFonts w:hint="cs"/>
          <w:rtl/>
          <w:lang w:bidi="fa-IR"/>
        </w:rPr>
        <w:t>َ</w:t>
      </w:r>
      <w:r>
        <w:rPr>
          <w:rFonts w:hint="cs"/>
          <w:rtl/>
          <w:lang w:bidi="fa-IR"/>
        </w:rPr>
        <w:t xml:space="preserve"> </w:t>
      </w:r>
      <w:r>
        <w:rPr>
          <w:rStyle w:val="libFootnotenumChar"/>
          <w:rtl/>
        </w:rPr>
        <w:t>(12)</w:t>
      </w:r>
      <w:r w:rsidRPr="00132E65">
        <w:rPr>
          <w:rtl/>
          <w:lang w:bidi="fa-IR"/>
        </w:rPr>
        <w:t xml:space="preserve"> مَا أَقْرَبَهُ</w:t>
      </w:r>
      <w:r>
        <w:rPr>
          <w:rtl/>
          <w:lang w:bidi="fa-IR"/>
        </w:rPr>
        <w:t>!</w:t>
      </w:r>
      <w:r w:rsidRPr="00132E65">
        <w:rPr>
          <w:rtl/>
          <w:lang w:bidi="fa-IR"/>
        </w:rPr>
        <w:t xml:space="preserve"> ؛ تَأَلُّفاً لِقُلُوبِ النَّاسِ ، و</w:t>
      </w:r>
      <w:r w:rsidR="00B035B7">
        <w:rPr>
          <w:rFonts w:hint="cs"/>
          <w:rtl/>
          <w:lang w:bidi="fa-IR"/>
        </w:rPr>
        <w:t>َ</w:t>
      </w:r>
      <w:r w:rsidRPr="00132E65">
        <w:rPr>
          <w:rtl/>
          <w:lang w:bidi="fa-IR"/>
        </w:rPr>
        <w:t>تَقْرِيباً لِلْفَرَجِ.</w:t>
      </w:r>
      <w:r w:rsidRPr="00F543F1">
        <w:rPr>
          <w:rStyle w:val="libFootnotenumChar"/>
          <w:rtl/>
        </w:rPr>
        <w:t>(13)</w:t>
      </w:r>
    </w:p>
    <w:p w:rsidR="000C39D1" w:rsidRPr="00132E65" w:rsidRDefault="000C39D1" w:rsidP="000C39D1">
      <w:pPr>
        <w:pStyle w:val="libNormal"/>
        <w:rPr>
          <w:rtl/>
          <w:lang w:bidi="fa-IR"/>
        </w:rPr>
      </w:pPr>
      <w:r w:rsidRPr="009C026E">
        <w:rPr>
          <w:rtl/>
        </w:rPr>
        <w:t>947</w:t>
      </w:r>
      <w:r w:rsidRPr="004325D8">
        <w:rPr>
          <w:rStyle w:val="libBold2Char"/>
          <w:rtl/>
        </w:rPr>
        <w:t xml:space="preserve"> / 7.</w:t>
      </w:r>
      <w:r w:rsidRPr="00132E65">
        <w:rPr>
          <w:rtl/>
          <w:lang w:bidi="fa-IR"/>
        </w:rPr>
        <w:t xml:space="preserve"> الْحُسَيْنُ بْنُ مُحَمَّدٍ ، عَنْ جَعْفَرِ بْنِ مُحَمَّدٍ ، عَنِ الْقَاسِمِ بْنِ إِسْمَاعِيلَ‌</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035B7" w:rsidTr="00B035B7">
        <w:tc>
          <w:tcPr>
            <w:tcW w:w="4006" w:type="dxa"/>
          </w:tcPr>
          <w:p w:rsidR="00B035B7" w:rsidRDefault="00B035B7" w:rsidP="000C39D1">
            <w:pPr>
              <w:pStyle w:val="libFootnote0"/>
              <w:rPr>
                <w:rtl/>
              </w:rPr>
            </w:pPr>
            <w:r>
              <w:rPr>
                <w:rtl/>
              </w:rPr>
              <w:t>(1).</w:t>
            </w:r>
            <w:r w:rsidRPr="00132E65">
              <w:rPr>
                <w:rtl/>
              </w:rPr>
              <w:t xml:space="preserve"> في الغيبة : « بحديث »</w:t>
            </w:r>
            <w:r>
              <w:rPr>
                <w:rtl/>
              </w:rPr>
              <w:t>.</w:t>
            </w:r>
          </w:p>
        </w:tc>
        <w:tc>
          <w:tcPr>
            <w:tcW w:w="4006" w:type="dxa"/>
          </w:tcPr>
          <w:p w:rsidR="00B035B7" w:rsidRDefault="00B035B7" w:rsidP="000C39D1">
            <w:pPr>
              <w:pStyle w:val="libFootnote0"/>
              <w:rPr>
                <w:rtl/>
              </w:rPr>
            </w:pPr>
            <w:r>
              <w:rPr>
                <w:rtl/>
              </w:rPr>
              <w:t>(2).</w:t>
            </w:r>
            <w:r w:rsidRPr="00132E65">
              <w:rPr>
                <w:rtl/>
              </w:rPr>
              <w:t xml:space="preserve"> في « ج » </w:t>
            </w:r>
            <w:r>
              <w:rPr>
                <w:rtl/>
              </w:rPr>
              <w:t xml:space="preserve">: - </w:t>
            </w:r>
            <w:r w:rsidRPr="00132E65">
              <w:rPr>
                <w:rtl/>
              </w:rPr>
              <w:t>« به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إنّما يؤجرون مرّتين لإيمانهم بصدقهم أوّلاً ، وثباتهم عليه بعد ظهور خلاف ما أخبروا به ثانياً »</w:t>
      </w:r>
      <w:r>
        <w:rPr>
          <w:rtl/>
        </w:rPr>
        <w:t>.</w:t>
      </w:r>
    </w:p>
    <w:p w:rsidR="000C39D1" w:rsidRPr="00132E65" w:rsidRDefault="000C39D1" w:rsidP="000C39D1">
      <w:pPr>
        <w:pStyle w:val="libFootnote0"/>
        <w:rPr>
          <w:rtl/>
          <w:lang w:bidi="fa-IR"/>
        </w:rPr>
      </w:pPr>
      <w:r>
        <w:rPr>
          <w:rtl/>
        </w:rPr>
        <w:t>(4).</w:t>
      </w:r>
      <w:r w:rsidRPr="00132E65">
        <w:rPr>
          <w:rtl/>
        </w:rPr>
        <w:t xml:space="preserve"> </w:t>
      </w:r>
      <w:r w:rsidRPr="00B035B7">
        <w:rPr>
          <w:rStyle w:val="libFootnoteBoldChar"/>
          <w:rtl/>
        </w:rPr>
        <w:t>الغيبة</w:t>
      </w:r>
      <w:r w:rsidRPr="00132E65">
        <w:rPr>
          <w:rtl/>
        </w:rPr>
        <w:t xml:space="preserve"> </w:t>
      </w:r>
      <w:r w:rsidRPr="00B035B7">
        <w:rPr>
          <w:rStyle w:val="libFootnoteBoldChar"/>
          <w:rtl/>
        </w:rPr>
        <w:t>للنعماني</w:t>
      </w:r>
      <w:r w:rsidRPr="00132E65">
        <w:rPr>
          <w:rtl/>
        </w:rPr>
        <w:t xml:space="preserve"> ، ص 294 ، ح 13 ، عن الكليني. وفي </w:t>
      </w:r>
      <w:r w:rsidRPr="00B035B7">
        <w:rPr>
          <w:rStyle w:val="libFootnoteBoldChar"/>
          <w:rtl/>
        </w:rPr>
        <w:t>تفسير العيّاشي</w:t>
      </w:r>
      <w:r w:rsidRPr="00132E65">
        <w:rPr>
          <w:rtl/>
        </w:rPr>
        <w:t xml:space="preserve"> ، ج 2 ، ص 26 ، ح 70 </w:t>
      </w:r>
      <w:r>
        <w:rPr>
          <w:rtl/>
        </w:rPr>
        <w:t>و 7</w:t>
      </w:r>
      <w:r w:rsidRPr="00132E65">
        <w:rPr>
          <w:rtl/>
        </w:rPr>
        <w:t xml:space="preserve">1 عن الفضيل بن يسار ، مع اختلاف </w:t>
      </w:r>
      <w:r w:rsidR="00B035B7">
        <w:rPr>
          <w:rFonts w:hint="cs"/>
          <w:rtl/>
        </w:rPr>
        <w:t>.</w:t>
      </w:r>
      <w:r w:rsidRPr="009D1ACE">
        <w:rPr>
          <w:rStyle w:val="libFootnoteBoldChar"/>
          <w:rtl/>
        </w:rPr>
        <w:t>الوافي</w:t>
      </w:r>
      <w:r w:rsidRPr="00132E65">
        <w:rPr>
          <w:rtl/>
        </w:rPr>
        <w:t xml:space="preserve"> ، ج 2 ، ص 427 ، ح 938 ؛ </w:t>
      </w:r>
      <w:r w:rsidRPr="00B035B7">
        <w:rPr>
          <w:rStyle w:val="libFootnoteBoldChar"/>
          <w:rtl/>
        </w:rPr>
        <w:t>البحار</w:t>
      </w:r>
      <w:r w:rsidRPr="00132E65">
        <w:rPr>
          <w:rtl/>
        </w:rPr>
        <w:t xml:space="preserve"> </w:t>
      </w:r>
      <w:r w:rsidR="00B035B7">
        <w:rPr>
          <w:rtl/>
        </w:rPr>
        <w:t>، ج 4 ، ص 132 ، ذيل ح</w:t>
      </w:r>
      <w:r w:rsidRPr="00132E65">
        <w:rPr>
          <w:rtl/>
        </w:rPr>
        <w:t>70.</w:t>
      </w:r>
    </w:p>
    <w:p w:rsidR="000C39D1" w:rsidRPr="00132E65" w:rsidRDefault="000C39D1" w:rsidP="000C39D1">
      <w:pPr>
        <w:pStyle w:val="libFootnote0"/>
        <w:rPr>
          <w:rtl/>
          <w:lang w:bidi="fa-IR"/>
        </w:rPr>
      </w:pPr>
      <w:r>
        <w:rPr>
          <w:rtl/>
        </w:rPr>
        <w:t>(5).</w:t>
      </w:r>
      <w:r w:rsidRPr="00132E65">
        <w:rPr>
          <w:rtl/>
        </w:rPr>
        <w:t xml:space="preserve"> في الغيبة للنعماني :</w:t>
      </w:r>
      <w:r>
        <w:rPr>
          <w:rtl/>
        </w:rPr>
        <w:t xml:space="preserve"> + </w:t>
      </w:r>
      <w:r w:rsidRPr="00132E65">
        <w:rPr>
          <w:rtl/>
        </w:rPr>
        <w:t xml:space="preserve">« موسى بن جعفر </w:t>
      </w:r>
      <w:r w:rsidRPr="00B035B7">
        <w:rPr>
          <w:rStyle w:val="libFootnoteAlaemChar"/>
          <w:rtl/>
        </w:rPr>
        <w:t>عليه‌السلام</w:t>
      </w:r>
      <w:r w:rsidRPr="00132E65">
        <w:rPr>
          <w:rtl/>
        </w:rPr>
        <w:t xml:space="preserve"> : يا عليّ »</w:t>
      </w:r>
      <w:r>
        <w:rPr>
          <w:rtl/>
        </w:rPr>
        <w:t>.</w:t>
      </w:r>
    </w:p>
    <w:tbl>
      <w:tblPr>
        <w:tblStyle w:val="TableGrid"/>
        <w:bidiVisual/>
        <w:tblW w:w="0" w:type="auto"/>
        <w:tblLook w:val="04A0" w:firstRow="1" w:lastRow="0" w:firstColumn="1" w:lastColumn="0" w:noHBand="0" w:noVBand="1"/>
      </w:tblPr>
      <w:tblGrid>
        <w:gridCol w:w="4006"/>
        <w:gridCol w:w="4006"/>
      </w:tblGrid>
      <w:tr w:rsidR="00B035B7" w:rsidTr="00B035B7">
        <w:tc>
          <w:tcPr>
            <w:tcW w:w="4006" w:type="dxa"/>
          </w:tcPr>
          <w:p w:rsidR="00B035B7" w:rsidRDefault="00B035B7" w:rsidP="000C39D1">
            <w:pPr>
              <w:pStyle w:val="libFootnote0"/>
              <w:rPr>
                <w:rtl/>
              </w:rPr>
            </w:pPr>
            <w:r>
              <w:rPr>
                <w:rtl/>
              </w:rPr>
              <w:t>(6).</w:t>
            </w:r>
            <w:r w:rsidRPr="00132E65">
              <w:rPr>
                <w:rtl/>
              </w:rPr>
              <w:t xml:space="preserve"> في « ب » : « فقال »</w:t>
            </w:r>
            <w:r>
              <w:rPr>
                <w:rtl/>
              </w:rPr>
              <w:t>.</w:t>
            </w:r>
          </w:p>
        </w:tc>
        <w:tc>
          <w:tcPr>
            <w:tcW w:w="4006" w:type="dxa"/>
          </w:tcPr>
          <w:p w:rsidR="00B035B7" w:rsidRDefault="00B035B7" w:rsidP="000C39D1">
            <w:pPr>
              <w:pStyle w:val="libFootnote0"/>
              <w:rPr>
                <w:rtl/>
              </w:rPr>
            </w:pPr>
            <w:r>
              <w:rPr>
                <w:rtl/>
              </w:rPr>
              <w:t>(7).</w:t>
            </w:r>
            <w:r w:rsidRPr="00132E65">
              <w:rPr>
                <w:rtl/>
              </w:rPr>
              <w:t xml:space="preserve"> في الغيبة للنعماني :</w:t>
            </w:r>
            <w:r>
              <w:rPr>
                <w:rtl/>
              </w:rPr>
              <w:t xml:space="preserve"> + </w:t>
            </w:r>
            <w:r w:rsidRPr="00132E65">
              <w:rPr>
                <w:rtl/>
              </w:rPr>
              <w:t>« يعني أمر بني العبّاس »</w:t>
            </w:r>
            <w:r>
              <w:rPr>
                <w:rtl/>
              </w:rPr>
              <w:t>.</w:t>
            </w:r>
          </w:p>
        </w:tc>
      </w:tr>
    </w:tbl>
    <w:p w:rsidR="000C39D1" w:rsidRPr="00132E65" w:rsidRDefault="000C39D1" w:rsidP="000C39D1">
      <w:pPr>
        <w:pStyle w:val="libFootnote0"/>
        <w:rPr>
          <w:rtl/>
          <w:lang w:bidi="fa-IR"/>
        </w:rPr>
      </w:pPr>
      <w:r>
        <w:rPr>
          <w:rtl/>
        </w:rPr>
        <w:t>(8).</w:t>
      </w:r>
      <w:r w:rsidRPr="00132E65">
        <w:rPr>
          <w:rtl/>
        </w:rPr>
        <w:t xml:space="preserve"> في « ف » والغيبة للطوسي : « حضركم »</w:t>
      </w:r>
      <w:r>
        <w:rPr>
          <w:rtl/>
        </w:rPr>
        <w:t>.</w:t>
      </w:r>
      <w:r w:rsidRPr="00132E65">
        <w:rPr>
          <w:rtl/>
        </w:rPr>
        <w:t xml:space="preserve"> وفي الغيبة للنعماني :</w:t>
      </w:r>
      <w:r>
        <w:rPr>
          <w:rtl/>
        </w:rPr>
        <w:t xml:space="preserve"> + </w:t>
      </w:r>
      <w:r w:rsidRPr="00132E65">
        <w:rPr>
          <w:rtl/>
        </w:rPr>
        <w:t>« وقته »</w:t>
      </w:r>
      <w:r>
        <w:rPr>
          <w:rtl/>
        </w:rPr>
        <w:t>.</w:t>
      </w:r>
    </w:p>
    <w:p w:rsidR="000C39D1" w:rsidRPr="00132E65" w:rsidRDefault="000C39D1" w:rsidP="000C39D1">
      <w:pPr>
        <w:pStyle w:val="libFootnote0"/>
        <w:rPr>
          <w:rtl/>
          <w:lang w:bidi="fa-IR"/>
        </w:rPr>
      </w:pPr>
      <w:r>
        <w:rPr>
          <w:rtl/>
        </w:rPr>
        <w:t>(9).</w:t>
      </w:r>
      <w:r w:rsidRPr="00132E65">
        <w:rPr>
          <w:rtl/>
        </w:rPr>
        <w:t xml:space="preserve"> « فَعُلِّلنا بالأمانيّ » ، أي شُغِلنا به ، أو سقينا بالأمانيّ مرّة بعد ا</w:t>
      </w:r>
      <w:r w:rsidR="00B035B7">
        <w:rPr>
          <w:rFonts w:hint="cs"/>
          <w:rtl/>
        </w:rPr>
        <w:t>ُ</w:t>
      </w:r>
      <w:r w:rsidRPr="00132E65">
        <w:rPr>
          <w:rtl/>
        </w:rPr>
        <w:t xml:space="preserve">خرى. والثاني بعيد عند المجلسي. راجع : </w:t>
      </w:r>
      <w:r w:rsidRPr="00B035B7">
        <w:rPr>
          <w:rStyle w:val="libFootnoteBoldChar"/>
          <w:rtl/>
        </w:rPr>
        <w:t>الصحاح</w:t>
      </w:r>
      <w:r w:rsidRPr="00132E65">
        <w:rPr>
          <w:rtl/>
        </w:rPr>
        <w:t xml:space="preserve"> ، ج 5 ، ص 1773 ( علل )</w:t>
      </w:r>
      <w:r>
        <w:rPr>
          <w:rtl/>
        </w:rPr>
        <w:t>.</w:t>
      </w:r>
    </w:p>
    <w:p w:rsidR="000C39D1" w:rsidRPr="00132E65" w:rsidRDefault="000C39D1" w:rsidP="000C39D1">
      <w:pPr>
        <w:pStyle w:val="libFootnote0"/>
        <w:rPr>
          <w:rtl/>
          <w:lang w:bidi="fa-IR"/>
        </w:rPr>
      </w:pPr>
      <w:r>
        <w:rPr>
          <w:rtl/>
        </w:rPr>
        <w:t>(10).</w:t>
      </w:r>
      <w:r w:rsidRPr="00132E65">
        <w:rPr>
          <w:rtl/>
        </w:rPr>
        <w:t xml:space="preserve"> في « ض ، بس ، بف » و</w:t>
      </w:r>
      <w:r w:rsidRPr="009D1ACE">
        <w:rPr>
          <w:rStyle w:val="libFootnoteBoldChar"/>
          <w:rtl/>
        </w:rPr>
        <w:t>الوافي</w:t>
      </w:r>
      <w:r w:rsidRPr="00132E65">
        <w:rPr>
          <w:rtl/>
        </w:rPr>
        <w:t xml:space="preserve"> والغيبة للطوسي </w:t>
      </w:r>
      <w:r>
        <w:rPr>
          <w:rtl/>
        </w:rPr>
        <w:t xml:space="preserve">: - </w:t>
      </w:r>
      <w:r w:rsidRPr="00132E65">
        <w:rPr>
          <w:rtl/>
        </w:rPr>
        <w:t>« إل</w:t>
      </w:r>
      <w:r w:rsidR="00B035B7">
        <w:rPr>
          <w:rFonts w:hint="cs"/>
          <w:rtl/>
        </w:rPr>
        <w:t>ّ</w:t>
      </w:r>
      <w:r w:rsidRPr="00132E65">
        <w:rPr>
          <w:rtl/>
        </w:rPr>
        <w:t>ا »</w:t>
      </w:r>
      <w:r>
        <w:rPr>
          <w:rtl/>
        </w:rPr>
        <w:t>.</w:t>
      </w:r>
    </w:p>
    <w:p w:rsidR="000C39D1" w:rsidRPr="00132E65" w:rsidRDefault="000C39D1" w:rsidP="000C39D1">
      <w:pPr>
        <w:pStyle w:val="libFootnote0"/>
        <w:rPr>
          <w:rtl/>
          <w:lang w:bidi="fa-IR"/>
        </w:rPr>
      </w:pPr>
      <w:r>
        <w:rPr>
          <w:rtl/>
        </w:rPr>
        <w:t>(11).</w:t>
      </w:r>
      <w:r w:rsidRPr="00132E65">
        <w:rPr>
          <w:rtl/>
        </w:rPr>
        <w:t xml:space="preserve"> في الغيبة للنعماني : « عن الإيمان إلى الإسلام » بدل « عن الإسلام »</w:t>
      </w:r>
      <w:r>
        <w:rPr>
          <w:rtl/>
        </w:rPr>
        <w:t>.</w:t>
      </w:r>
    </w:p>
    <w:p w:rsidR="000C39D1" w:rsidRPr="00132E65" w:rsidRDefault="000C39D1" w:rsidP="000C39D1">
      <w:pPr>
        <w:pStyle w:val="libFootnote0"/>
        <w:rPr>
          <w:rtl/>
          <w:lang w:bidi="fa-IR"/>
        </w:rPr>
      </w:pPr>
      <w:r>
        <w:rPr>
          <w:rtl/>
        </w:rPr>
        <w:t>(12).</w:t>
      </w:r>
      <w:r w:rsidRPr="00132E65">
        <w:rPr>
          <w:rtl/>
        </w:rPr>
        <w:t xml:space="preserve"> في « بر » </w:t>
      </w:r>
      <w:r>
        <w:rPr>
          <w:rtl/>
        </w:rPr>
        <w:t xml:space="preserve">: - </w:t>
      </w:r>
      <w:r w:rsidRPr="00132E65">
        <w:rPr>
          <w:rtl/>
        </w:rPr>
        <w:t xml:space="preserve">« </w:t>
      </w:r>
      <w:r>
        <w:rPr>
          <w:rtl/>
        </w:rPr>
        <w:t>و ».</w:t>
      </w:r>
    </w:p>
    <w:p w:rsidR="000C39D1" w:rsidRPr="00132E65" w:rsidRDefault="000C39D1" w:rsidP="000C39D1">
      <w:pPr>
        <w:pStyle w:val="libFootnote0"/>
        <w:rPr>
          <w:rtl/>
          <w:lang w:bidi="fa-IR"/>
        </w:rPr>
      </w:pPr>
      <w:r>
        <w:rPr>
          <w:rtl/>
        </w:rPr>
        <w:t>(13)</w:t>
      </w:r>
      <w:r w:rsidRPr="00132E65">
        <w:rPr>
          <w:rtl/>
        </w:rPr>
        <w:t xml:space="preserve"> </w:t>
      </w:r>
      <w:r w:rsidRPr="00B035B7">
        <w:rPr>
          <w:rStyle w:val="libFootnoteBoldChar"/>
          <w:rtl/>
        </w:rPr>
        <w:t>الغيبة للنعماني</w:t>
      </w:r>
      <w:r w:rsidRPr="00132E65">
        <w:rPr>
          <w:rtl/>
        </w:rPr>
        <w:t xml:space="preserve"> ، ص 295 ، ح 14 ، عن الكليني. وفي </w:t>
      </w:r>
      <w:r w:rsidRPr="00B035B7">
        <w:rPr>
          <w:rStyle w:val="libFootnoteBoldChar"/>
          <w:rtl/>
        </w:rPr>
        <w:t>الغيبة للطوسي</w:t>
      </w:r>
      <w:r w:rsidRPr="00132E65">
        <w:rPr>
          <w:rtl/>
        </w:rPr>
        <w:t xml:space="preserve"> ، ص 341 ، ح 292 ، مرسلاً عن عليّ بن يقطين </w:t>
      </w:r>
      <w:r w:rsidR="00B035B7">
        <w:rPr>
          <w:rFonts w:hint="cs"/>
          <w:rtl/>
        </w:rPr>
        <w:t>.</w:t>
      </w:r>
      <w:r w:rsidRPr="009D1ACE">
        <w:rPr>
          <w:rStyle w:val="libFootnoteBoldChar"/>
          <w:rtl/>
        </w:rPr>
        <w:t>الوافي</w:t>
      </w:r>
      <w:r w:rsidRPr="00132E65">
        <w:rPr>
          <w:rtl/>
        </w:rPr>
        <w:t xml:space="preserve"> ، ج 2 ، ص 428 ، ح 939 ؛ </w:t>
      </w:r>
      <w:r w:rsidRPr="00B035B7">
        <w:rPr>
          <w:rStyle w:val="libFootnoteBoldChar"/>
          <w:rtl/>
        </w:rPr>
        <w:t>البحار</w:t>
      </w:r>
      <w:r w:rsidRPr="00132E65">
        <w:rPr>
          <w:rtl/>
        </w:rPr>
        <w:t xml:space="preserve"> ، ج 4 ، ص 132 ، ذيل ح 70.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الْأَنْبَارِيِّ ، عَنِ الْحَسَنِ بْنِ عَلِيٍّ ، عَنْ إِبْرَاهِيمَ بْنِ مِهْزَمٍ ، عَنْ أَبِيهِ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ذَكَرْنَا عِنْدَهُ مُلُوكَ آلِ فُلَانٍ </w:t>
      </w:r>
      <w:r>
        <w:rPr>
          <w:rStyle w:val="libFootnotenumChar"/>
          <w:rtl/>
        </w:rPr>
        <w:t>(1)</w:t>
      </w:r>
      <w:r w:rsidRPr="00132E65">
        <w:rPr>
          <w:rtl/>
          <w:lang w:bidi="fa-IR"/>
        </w:rPr>
        <w:t xml:space="preserve"> ، فَقَالَ : « إِنَّمَا هَلَكَ النَّاسُ مِنِ اسْتِعْجَالِهِمْ لِهذَا الْأَمْرِ ؛ إِنَّ اللهَ لَايَعْجَلُ </w:t>
      </w:r>
      <w:r>
        <w:rPr>
          <w:rStyle w:val="libFootnotenumChar"/>
          <w:rtl/>
        </w:rPr>
        <w:t>(2)</w:t>
      </w:r>
      <w:r w:rsidRPr="00132E65">
        <w:rPr>
          <w:rtl/>
          <w:lang w:bidi="fa-IR"/>
        </w:rPr>
        <w:t xml:space="preserve"> لِعَجَلَةِ الْعِبَادِ ؛ إِنَّ لِهذَا الْأَمْرِ غَايَةً يَنْتَهِي إِلَيْهَا ، فَلَوْ قَدْ بَلَغُوهَا لَمْ يَسْتَقْدِمُوا سَاعَةً ، ولَمْ يَسْتَأْخِرُوا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Heading2Center"/>
        <w:rPr>
          <w:rtl/>
          <w:lang w:bidi="fa-IR"/>
        </w:rPr>
      </w:pPr>
      <w:bookmarkStart w:id="49" w:name="_Toc459459112"/>
      <w:bookmarkStart w:id="50" w:name="_Toc34663081"/>
      <w:r w:rsidRPr="00132E65">
        <w:rPr>
          <w:rtl/>
          <w:lang w:bidi="fa-IR"/>
        </w:rPr>
        <w:t>83</w:t>
      </w:r>
      <w:r>
        <w:rPr>
          <w:rtl/>
          <w:lang w:bidi="fa-IR"/>
        </w:rPr>
        <w:t xml:space="preserve"> - </w:t>
      </w:r>
      <w:r w:rsidRPr="00132E65">
        <w:rPr>
          <w:rtl/>
          <w:lang w:bidi="fa-IR"/>
        </w:rPr>
        <w:t>بَابُ التَّمْحِيصِ و</w:t>
      </w:r>
      <w:r w:rsidR="00B035B7">
        <w:rPr>
          <w:rFonts w:hint="cs"/>
          <w:rtl/>
          <w:lang w:bidi="fa-IR"/>
        </w:rPr>
        <w:t>َ</w:t>
      </w:r>
      <w:r w:rsidRPr="00132E65">
        <w:rPr>
          <w:rtl/>
          <w:lang w:bidi="fa-IR"/>
        </w:rPr>
        <w:t>الِامْتِحَانِ‌</w:t>
      </w:r>
      <w:bookmarkEnd w:id="49"/>
      <w:bookmarkEnd w:id="50"/>
    </w:p>
    <w:p w:rsidR="000C39D1" w:rsidRPr="00132E65" w:rsidRDefault="000C39D1" w:rsidP="000C39D1">
      <w:pPr>
        <w:pStyle w:val="libNormal"/>
        <w:rPr>
          <w:rtl/>
          <w:lang w:bidi="fa-IR"/>
        </w:rPr>
      </w:pPr>
      <w:r w:rsidRPr="009C026E">
        <w:rPr>
          <w:rtl/>
        </w:rPr>
        <w:t>948</w:t>
      </w:r>
      <w:r w:rsidRPr="004325D8">
        <w:rPr>
          <w:rStyle w:val="libBold2Char"/>
          <w:rtl/>
        </w:rPr>
        <w:t xml:space="preserve"> / 1.</w:t>
      </w:r>
      <w:r w:rsidRPr="00132E65">
        <w:rPr>
          <w:rtl/>
          <w:lang w:bidi="fa-IR"/>
        </w:rPr>
        <w:t xml:space="preserve"> عَلِيُّ بْنُ إِبْرَاهِيمَ ، عَنْ أَبِيهِ ، عَنِ الْحَسَنِ بْنِ مَحْبُوبٍ ، عَنْ يَعْقُوبَ السَّرَّاجِ وَعَلِيِّ بْنِ رِئَابٍ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 أَنَّ أَمِيرَ الْمُؤْمِنِينَ </w:t>
      </w:r>
      <w:r w:rsidRPr="00071CF9">
        <w:rPr>
          <w:rStyle w:val="libAlaemChar"/>
          <w:rtl/>
        </w:rPr>
        <w:t>عليه‌السلام</w:t>
      </w:r>
      <w:r w:rsidRPr="00132E65">
        <w:rPr>
          <w:rtl/>
          <w:lang w:bidi="fa-IR"/>
        </w:rPr>
        <w:t xml:space="preserve"> لَمَّا بُويِعَ بَعْدَ مَقْتَلِ </w:t>
      </w:r>
      <w:r>
        <w:rPr>
          <w:rStyle w:val="libFootnotenumChar"/>
          <w:rtl/>
        </w:rPr>
        <w:t>(6)</w:t>
      </w:r>
      <w:r w:rsidRPr="00132E65">
        <w:rPr>
          <w:rtl/>
          <w:lang w:bidi="fa-IR"/>
        </w:rPr>
        <w:t xml:space="preserve"> عُثْمَانَ ، صَعِدَ الْمِنْبَرَ وخَطَبَ بِخُطْبَةٍ</w:t>
      </w:r>
      <w:r>
        <w:rPr>
          <w:rtl/>
          <w:lang w:bidi="fa-IR"/>
        </w:rPr>
        <w:t xml:space="preserve"> - </w:t>
      </w:r>
      <w:r w:rsidRPr="00132E65">
        <w:rPr>
          <w:rtl/>
          <w:lang w:bidi="fa-IR"/>
        </w:rPr>
        <w:t>ذَكَرَهَا</w:t>
      </w:r>
      <w:r>
        <w:rPr>
          <w:rtl/>
          <w:lang w:bidi="fa-IR"/>
        </w:rPr>
        <w:t xml:space="preserve"> - </w:t>
      </w:r>
      <w:r w:rsidRPr="00132E65">
        <w:rPr>
          <w:rtl/>
          <w:lang w:bidi="fa-IR"/>
        </w:rPr>
        <w:t xml:space="preserve">يَقُولُ فِيهَا : أَلَا إِنَّ بَلِيَّتَكُمْ قَدْ عَادَتْ كَهَيْئَتِهَا يَوْمَ بَعَثَ اللهُ نَبِيَّهُ </w:t>
      </w:r>
      <w:r w:rsidRPr="0093484F">
        <w:rPr>
          <w:rStyle w:val="libAlaemChar"/>
          <w:rFonts w:eastAsiaTheme="minorHAnsi"/>
          <w:rtl/>
        </w:rPr>
        <w:t>صلى‌الله‌عليه‌وآله</w:t>
      </w:r>
      <w:r w:rsidRPr="00132E65">
        <w:rPr>
          <w:rtl/>
          <w:lang w:bidi="fa-IR"/>
        </w:rPr>
        <w:t xml:space="preserve"> ، والَّذِي بَعَثَهُ بِالْحَقِّ ، لَتُبَلْبَلُنَّ بَلْبَلَةً </w:t>
      </w:r>
      <w:r>
        <w:rPr>
          <w:rStyle w:val="libFootnotenumChar"/>
          <w:rtl/>
        </w:rPr>
        <w:t>(7)</w:t>
      </w:r>
      <w:r w:rsidRPr="00132E65">
        <w:rPr>
          <w:rtl/>
          <w:lang w:bidi="fa-IR"/>
        </w:rPr>
        <w:t xml:space="preserve"> ، ولَتُغَرْبَلُنَّ غَرْبَلَةً </w:t>
      </w:r>
      <w:r>
        <w:rPr>
          <w:rStyle w:val="libFootnotenumChar"/>
          <w:rtl/>
        </w:rPr>
        <w:t>(8)</w:t>
      </w:r>
      <w:r w:rsidRPr="00132E65">
        <w:rPr>
          <w:rtl/>
          <w:lang w:bidi="fa-IR"/>
        </w:rPr>
        <w:t xml:space="preserve"> حَتّى يَعُودَ </w:t>
      </w:r>
      <w:r>
        <w:rPr>
          <w:rStyle w:val="libFootnotenumChar"/>
          <w:rtl/>
        </w:rPr>
        <w:t>(9)</w:t>
      </w:r>
      <w:r w:rsidRPr="00132E65">
        <w:rPr>
          <w:rtl/>
          <w:lang w:bidi="fa-IR"/>
        </w:rPr>
        <w:t xml:space="preserve"> أَسْفَلُكُمْ أَعْلَاكُمْ ، و</w:t>
      </w:r>
      <w:r w:rsidR="00C05F1D">
        <w:rPr>
          <w:rFonts w:hint="cs"/>
          <w:rtl/>
          <w:lang w:bidi="fa-IR"/>
        </w:rPr>
        <w:t xml:space="preserve">َ </w:t>
      </w:r>
      <w:r w:rsidRPr="00132E65">
        <w:rPr>
          <w:rtl/>
          <w:lang w:bidi="fa-IR"/>
        </w:rPr>
        <w:t>أَعْلَاكُمْ أَسْفَلَكُمْ ، و</w:t>
      </w:r>
      <w:r w:rsidR="00C05F1D">
        <w:rPr>
          <w:rFonts w:hint="cs"/>
          <w:rtl/>
          <w:lang w:bidi="fa-IR"/>
        </w:rPr>
        <w:t>َ</w:t>
      </w:r>
      <w:r w:rsidRPr="00132E65">
        <w:rPr>
          <w:rtl/>
          <w:lang w:bidi="fa-IR"/>
        </w:rPr>
        <w:t xml:space="preserve">لَيَسْبِقَنَّ سَبَّاقُونَ </w:t>
      </w:r>
      <w:r>
        <w:rPr>
          <w:rStyle w:val="libFootnotenumChar"/>
          <w:rtl/>
        </w:rPr>
        <w:t>(10)</w:t>
      </w:r>
      <w:r w:rsidRPr="00132E65">
        <w:rPr>
          <w:rtl/>
          <w:lang w:bidi="fa-IR"/>
        </w:rPr>
        <w:t xml:space="preserve"> كَانُوا قَصَّرُوا </w:t>
      </w:r>
      <w:r>
        <w:rPr>
          <w:rStyle w:val="libFootnotenumChar"/>
          <w:rtl/>
        </w:rPr>
        <w:t>(11)</w:t>
      </w:r>
      <w:r w:rsidRPr="00132E65">
        <w:rPr>
          <w:rtl/>
          <w:lang w:bidi="fa-IR"/>
        </w:rPr>
        <w:t xml:space="preserve"> ، ولَيُقَصِّرَنَّ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5F1D" w:rsidTr="00C05F1D">
        <w:tc>
          <w:tcPr>
            <w:tcW w:w="4006" w:type="dxa"/>
          </w:tcPr>
          <w:p w:rsidR="00C05F1D" w:rsidRDefault="00C05F1D"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 « آل فلان ، كناية عن بني العبّاس »</w:t>
            </w:r>
            <w:r>
              <w:rPr>
                <w:rtl/>
              </w:rPr>
              <w:t>.</w:t>
            </w:r>
          </w:p>
        </w:tc>
        <w:tc>
          <w:tcPr>
            <w:tcW w:w="4006" w:type="dxa"/>
          </w:tcPr>
          <w:p w:rsidR="00C05F1D" w:rsidRDefault="00C05F1D" w:rsidP="000C39D1">
            <w:pPr>
              <w:pStyle w:val="libFootnote0"/>
              <w:rPr>
                <w:rtl/>
              </w:rPr>
            </w:pPr>
            <w:r>
              <w:rPr>
                <w:rtl/>
              </w:rPr>
              <w:t>(2).</w:t>
            </w:r>
            <w:r w:rsidRPr="00132E65">
              <w:rPr>
                <w:rtl/>
              </w:rPr>
              <w:t xml:space="preserve"> في « ج ، ف ، بر » : « لا يعجّل » بالتضعيف.</w:t>
            </w:r>
          </w:p>
        </w:tc>
      </w:tr>
    </w:tbl>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عنها »</w:t>
      </w:r>
      <w:r>
        <w:rPr>
          <w:rtl/>
        </w:rPr>
        <w:t>.</w:t>
      </w:r>
    </w:p>
    <w:p w:rsidR="000C39D1" w:rsidRPr="00132E65" w:rsidRDefault="000C39D1" w:rsidP="000C39D1">
      <w:pPr>
        <w:pStyle w:val="libFootnote0"/>
        <w:rPr>
          <w:rtl/>
          <w:lang w:bidi="fa-IR"/>
        </w:rPr>
      </w:pPr>
      <w:r>
        <w:rPr>
          <w:rtl/>
        </w:rPr>
        <w:t>(4).</w:t>
      </w:r>
      <w:r w:rsidRPr="00132E65">
        <w:rPr>
          <w:rtl/>
        </w:rPr>
        <w:t xml:space="preserve"> </w:t>
      </w:r>
      <w:r w:rsidRPr="00C05F1D">
        <w:rPr>
          <w:rStyle w:val="libFootnoteBoldChar"/>
          <w:rtl/>
        </w:rPr>
        <w:t>الغيبة للنعماني</w:t>
      </w:r>
      <w:r w:rsidRPr="00132E65">
        <w:rPr>
          <w:rtl/>
        </w:rPr>
        <w:t xml:space="preserve"> ، ص 296 ، ح 15 ، عن الكليني </w:t>
      </w:r>
      <w:r w:rsidR="00C05F1D">
        <w:rPr>
          <w:rFonts w:hint="cs"/>
          <w:rtl/>
        </w:rPr>
        <w:t>.</w:t>
      </w:r>
      <w:r w:rsidRPr="009D1ACE">
        <w:rPr>
          <w:rStyle w:val="libFootnoteBoldChar"/>
          <w:rtl/>
        </w:rPr>
        <w:t>الوافي</w:t>
      </w:r>
      <w:r w:rsidRPr="00132E65">
        <w:rPr>
          <w:rtl/>
        </w:rPr>
        <w:t xml:space="preserve"> ، ج 2 ، ص 428 ، ح 940.</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(6).</w:t>
      </w:r>
      <w:r w:rsidRPr="00132E65">
        <w:rPr>
          <w:rtl/>
        </w:rPr>
        <w:t xml:space="preserve"> في « ف » : « قتل »</w:t>
      </w:r>
      <w:r>
        <w:rPr>
          <w:rtl/>
        </w:rPr>
        <w:t>.</w:t>
      </w:r>
    </w:p>
    <w:p w:rsidR="000C39D1" w:rsidRPr="00132E65" w:rsidRDefault="000C39D1" w:rsidP="000C39D1">
      <w:pPr>
        <w:pStyle w:val="libFootnote0"/>
        <w:rPr>
          <w:rtl/>
          <w:lang w:bidi="fa-IR"/>
        </w:rPr>
      </w:pPr>
      <w:r>
        <w:rPr>
          <w:rtl/>
        </w:rPr>
        <w:t>(7).</w:t>
      </w:r>
      <w:r w:rsidRPr="00132E65">
        <w:rPr>
          <w:rtl/>
        </w:rPr>
        <w:t xml:space="preserve"> في « ض » : « لتبلينّ بليّة »</w:t>
      </w:r>
      <w:r>
        <w:rPr>
          <w:rtl/>
        </w:rPr>
        <w:t>.</w:t>
      </w:r>
      <w:r w:rsidRPr="00132E65">
        <w:rPr>
          <w:rtl/>
        </w:rPr>
        <w:t xml:space="preserve"> وفي « ف » : « لتبليُنّ ببليّة »</w:t>
      </w:r>
      <w:r>
        <w:rPr>
          <w:rtl/>
        </w:rPr>
        <w:t>.</w:t>
      </w:r>
      <w:r w:rsidRPr="00132E65">
        <w:rPr>
          <w:rtl/>
        </w:rPr>
        <w:t xml:space="preserve"> وفي « بح » : « بليّة »</w:t>
      </w:r>
      <w:r>
        <w:rPr>
          <w:rtl/>
        </w:rPr>
        <w:t>.</w:t>
      </w:r>
      <w:r w:rsidRPr="00132E65">
        <w:rPr>
          <w:rtl/>
        </w:rPr>
        <w:t xml:space="preserve"> </w:t>
      </w:r>
      <w:r>
        <w:rPr>
          <w:rtl/>
        </w:rPr>
        <w:t>و «</w:t>
      </w:r>
      <w:r w:rsidRPr="00132E65">
        <w:rPr>
          <w:rtl/>
        </w:rPr>
        <w:t xml:space="preserve"> البَلْبَلَة » : الهمّ ووسواس الصدر ، واختلاط الألسن. </w:t>
      </w:r>
      <w:r w:rsidRPr="00C05F1D">
        <w:rPr>
          <w:rStyle w:val="libFootnoteBoldChar"/>
          <w:rtl/>
        </w:rPr>
        <w:t>الصحاح</w:t>
      </w:r>
      <w:r w:rsidRPr="00132E65">
        <w:rPr>
          <w:rtl/>
        </w:rPr>
        <w:t xml:space="preserve"> ، ج 4 ، ص 1640 ( بلل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 ح 14838 ونهج البلاغة :</w:t>
      </w:r>
      <w:r>
        <w:rPr>
          <w:rtl/>
        </w:rPr>
        <w:t xml:space="preserve"> + </w:t>
      </w:r>
      <w:r w:rsidRPr="00132E65">
        <w:rPr>
          <w:rtl/>
        </w:rPr>
        <w:t>« ولتساطنّ سوطة [ نهج البلاغة : سوط ] القِدر »</w:t>
      </w:r>
      <w:r>
        <w:rPr>
          <w:rtl/>
        </w:rPr>
        <w:t>.</w:t>
      </w:r>
    </w:p>
    <w:p w:rsidR="000C39D1" w:rsidRPr="00132E65" w:rsidRDefault="000C39D1" w:rsidP="000C39D1">
      <w:pPr>
        <w:pStyle w:val="libFootnote0"/>
        <w:rPr>
          <w:rtl/>
          <w:lang w:bidi="fa-IR"/>
        </w:rPr>
      </w:pPr>
      <w:r>
        <w:rPr>
          <w:rtl/>
        </w:rPr>
        <w:t>(9).</w:t>
      </w:r>
      <w:r w:rsidRPr="00132E65">
        <w:rPr>
          <w:rtl/>
        </w:rPr>
        <w:t xml:space="preserve"> في « بح ، بر » وحاشية « بف » و</w:t>
      </w:r>
      <w:r w:rsidRPr="009D1ACE">
        <w:rPr>
          <w:rStyle w:val="libFootnoteBoldChar"/>
          <w:rtl/>
        </w:rPr>
        <w:t>مرآة العقول</w:t>
      </w:r>
      <w:r w:rsidRPr="00132E65">
        <w:rPr>
          <w:rtl/>
        </w:rPr>
        <w:t xml:space="preserve"> : « يصير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0577A7">
        <w:rPr>
          <w:rStyle w:val="libFootnoteBoldChar"/>
          <w:rtl/>
        </w:rPr>
        <w:t>الكافي</w:t>
      </w:r>
      <w:r w:rsidRPr="00132E65">
        <w:rPr>
          <w:rtl/>
        </w:rPr>
        <w:t xml:space="preserve"> ، ح 14838 ، ونهج البلاغة : « سابقون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ج 4 ، ص 182 : « وقرأ بعضهم : قُصِّروا وسُبّقوا ، على بناء المجهول من التفعيل. وكذا يسبقنّ ويقصرنّ على المجهول من التفعيل ؛ من سبّقه ، إذا عدّه سابقاً ، وقصّره ، إذا عدّه قاصراً »</w:t>
      </w:r>
      <w:r>
        <w:rPr>
          <w:rtl/>
        </w:rPr>
        <w:t>.</w:t>
      </w:r>
    </w:p>
    <w:p w:rsidR="000C39D1" w:rsidRPr="00132E65" w:rsidRDefault="000C39D1" w:rsidP="000C39D1">
      <w:pPr>
        <w:pStyle w:val="libFootnote0"/>
        <w:rPr>
          <w:rtl/>
          <w:lang w:bidi="fa-IR"/>
        </w:rPr>
      </w:pPr>
      <w:r>
        <w:rPr>
          <w:rtl/>
        </w:rPr>
        <w:t>(12).</w:t>
      </w:r>
      <w:r w:rsidRPr="00132E65">
        <w:rPr>
          <w:rtl/>
        </w:rPr>
        <w:t xml:space="preserve"> في « ج » : « ليسبقنّ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سَبَّاقُونَ </w:t>
      </w:r>
      <w:r>
        <w:rPr>
          <w:rStyle w:val="libFootnotenumChar"/>
          <w:rtl/>
        </w:rPr>
        <w:t>(1)</w:t>
      </w:r>
      <w:r w:rsidRPr="00132E65">
        <w:rPr>
          <w:rtl/>
          <w:lang w:bidi="fa-IR"/>
        </w:rPr>
        <w:t xml:space="preserve"> كَانُوا سَبَقُوا </w:t>
      </w:r>
      <w:r>
        <w:rPr>
          <w:rStyle w:val="libFootnotenumChar"/>
          <w:rtl/>
        </w:rPr>
        <w:t>(2)</w:t>
      </w:r>
      <w:r w:rsidRPr="00132E65">
        <w:rPr>
          <w:rtl/>
          <w:lang w:bidi="fa-IR"/>
        </w:rPr>
        <w:t xml:space="preserve"> ؛ و</w:t>
      </w:r>
      <w:r w:rsidR="00C05F1D">
        <w:rPr>
          <w:rFonts w:hint="cs"/>
          <w:rtl/>
          <w:lang w:bidi="fa-IR"/>
        </w:rPr>
        <w:t>َ</w:t>
      </w:r>
      <w:r w:rsidRPr="00132E65">
        <w:rPr>
          <w:rtl/>
          <w:lang w:bidi="fa-IR"/>
        </w:rPr>
        <w:t xml:space="preserve">اللهِ مَا كَتَمْتُ </w:t>
      </w:r>
      <w:r>
        <w:rPr>
          <w:rStyle w:val="libFootnotenumChar"/>
          <w:rtl/>
        </w:rPr>
        <w:t>(3)</w:t>
      </w:r>
      <w:r w:rsidRPr="00132E65">
        <w:rPr>
          <w:rtl/>
          <w:lang w:bidi="fa-IR"/>
        </w:rPr>
        <w:t xml:space="preserve"> و</w:t>
      </w:r>
      <w:r w:rsidR="00C05F1D">
        <w:rPr>
          <w:rFonts w:hint="cs"/>
          <w:rtl/>
          <w:lang w:bidi="fa-IR"/>
        </w:rPr>
        <w:t>َ</w:t>
      </w:r>
      <w:r w:rsidRPr="00132E65">
        <w:rPr>
          <w:rtl/>
          <w:lang w:bidi="fa-IR"/>
        </w:rPr>
        <w:t xml:space="preserve">شْمَةً </w:t>
      </w:r>
      <w:r>
        <w:rPr>
          <w:rStyle w:val="libFootnotenumChar"/>
          <w:rtl/>
        </w:rPr>
        <w:t>(4)</w:t>
      </w:r>
      <w:r w:rsidRPr="00132E65">
        <w:rPr>
          <w:rtl/>
          <w:lang w:bidi="fa-IR"/>
        </w:rPr>
        <w:t xml:space="preserve"> ، و</w:t>
      </w:r>
      <w:r w:rsidR="00C05F1D">
        <w:rPr>
          <w:rFonts w:hint="cs"/>
          <w:rtl/>
          <w:lang w:bidi="fa-IR"/>
        </w:rPr>
        <w:t>َ</w:t>
      </w:r>
      <w:r w:rsidRPr="00132E65">
        <w:rPr>
          <w:rtl/>
          <w:lang w:bidi="fa-IR"/>
        </w:rPr>
        <w:t xml:space="preserve">لَاكَذَبْتُ </w:t>
      </w:r>
      <w:r>
        <w:rPr>
          <w:rStyle w:val="libFootnotenumChar"/>
          <w:rtl/>
        </w:rPr>
        <w:t>(5)</w:t>
      </w:r>
      <w:r w:rsidRPr="00132E65">
        <w:rPr>
          <w:rtl/>
          <w:lang w:bidi="fa-IR"/>
        </w:rPr>
        <w:t xml:space="preserve"> كَذِبَةً </w:t>
      </w:r>
      <w:r>
        <w:rPr>
          <w:rStyle w:val="libFootnotenumChar"/>
          <w:rtl/>
        </w:rPr>
        <w:t>(6)</w:t>
      </w:r>
      <w:r w:rsidRPr="00132E65">
        <w:rPr>
          <w:rtl/>
          <w:lang w:bidi="fa-IR"/>
        </w:rPr>
        <w:t xml:space="preserve"> ، ولَقَدْ نُبِّئْتُ بِهذَا الْمَقَامِ وهذَا الْيَوْمِ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9C026E">
        <w:rPr>
          <w:rtl/>
        </w:rPr>
        <w:t>949</w:t>
      </w:r>
      <w:r w:rsidRPr="004325D8">
        <w:rPr>
          <w:rStyle w:val="libBold2Char"/>
          <w:rtl/>
        </w:rPr>
        <w:t xml:space="preserve"> / 2.</w:t>
      </w:r>
      <w:r w:rsidRPr="00132E65">
        <w:rPr>
          <w:rtl/>
          <w:lang w:bidi="fa-IR"/>
        </w:rPr>
        <w:t xml:space="preserve"> مُحَمَّدُ بْنُ يَحْيى والْحُسَيْنُ </w:t>
      </w:r>
      <w:r>
        <w:rPr>
          <w:rStyle w:val="libFootnotenumChar"/>
          <w:rtl/>
        </w:rPr>
        <w:t>(8)</w:t>
      </w:r>
      <w:r w:rsidRPr="00132E65">
        <w:rPr>
          <w:rtl/>
          <w:lang w:bidi="fa-IR"/>
        </w:rPr>
        <w:t xml:space="preserve"> بْنُ مُحَمَّدٍ ، عَنْ جَعْفَرِ بْنِ مُحَمَّدٍ ، عَنِ الْقَاسِمِ بْنِ إِسْمَاعِيلَ الْأَنْبَارِيِّ ، عَنِ الْحَسَنِ </w:t>
      </w:r>
      <w:r>
        <w:rPr>
          <w:rStyle w:val="libFootnotenumChar"/>
          <w:rtl/>
        </w:rPr>
        <w:t>(9)</w:t>
      </w:r>
      <w:r w:rsidRPr="00132E65">
        <w:rPr>
          <w:rtl/>
          <w:lang w:bidi="fa-IR"/>
        </w:rPr>
        <w:t xml:space="preserve"> بْنِ عَلِيٍّ ، عَنْ أَبِي الْمَغْرَاءِ ، عَنِ ابْنِ أَبِي يَعْفُورٍ ، قَالَ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5F1D" w:rsidTr="00C05F1D">
        <w:tc>
          <w:tcPr>
            <w:tcW w:w="4006" w:type="dxa"/>
          </w:tcPr>
          <w:p w:rsidR="00C05F1D" w:rsidRDefault="00C05F1D" w:rsidP="000C39D1">
            <w:pPr>
              <w:pStyle w:val="libFootnote0"/>
              <w:rPr>
                <w:rtl/>
              </w:rPr>
            </w:pPr>
            <w:r>
              <w:rPr>
                <w:rtl/>
              </w:rPr>
              <w:t>(1).في «ب</w:t>
            </w:r>
            <w:r w:rsidRPr="00132E65">
              <w:rPr>
                <w:rtl/>
              </w:rPr>
              <w:t>» و</w:t>
            </w:r>
            <w:r w:rsidRPr="000577A7">
              <w:rPr>
                <w:rStyle w:val="libFootnoteBoldChar"/>
                <w:rtl/>
              </w:rPr>
              <w:t>الكافي</w:t>
            </w:r>
            <w:r w:rsidRPr="00132E65">
              <w:rPr>
                <w:rtl/>
              </w:rPr>
              <w:t xml:space="preserve"> ، ح 14838 : « سابقون »</w:t>
            </w:r>
            <w:r>
              <w:rPr>
                <w:rtl/>
              </w:rPr>
              <w:t>.</w:t>
            </w:r>
          </w:p>
        </w:tc>
        <w:tc>
          <w:tcPr>
            <w:tcW w:w="4006" w:type="dxa"/>
          </w:tcPr>
          <w:p w:rsidR="00C05F1D" w:rsidRDefault="00C05F1D" w:rsidP="000C39D1">
            <w:pPr>
              <w:pStyle w:val="libFootnote0"/>
              <w:rPr>
                <w:rtl/>
              </w:rPr>
            </w:pPr>
            <w:r>
              <w:rPr>
                <w:rtl/>
              </w:rPr>
              <w:t>(2).</w:t>
            </w:r>
            <w:r w:rsidRPr="00132E65">
              <w:rPr>
                <w:rtl/>
              </w:rPr>
              <w:t xml:space="preserve"> في « ج » : « قصّروا »</w:t>
            </w:r>
            <w:r>
              <w:rPr>
                <w:rtl/>
              </w:rPr>
              <w:t>.</w:t>
            </w:r>
          </w:p>
        </w:tc>
      </w:tr>
    </w:tbl>
    <w:p w:rsidR="000C39D1" w:rsidRPr="00132E65" w:rsidRDefault="000C39D1" w:rsidP="000C39D1">
      <w:pPr>
        <w:pStyle w:val="libFootnote0"/>
        <w:rPr>
          <w:rtl/>
          <w:lang w:bidi="fa-IR"/>
        </w:rPr>
      </w:pPr>
      <w:r>
        <w:rPr>
          <w:rtl/>
        </w:rPr>
        <w:t>(3).</w:t>
      </w:r>
      <w:r w:rsidRPr="00132E65">
        <w:rPr>
          <w:rtl/>
        </w:rPr>
        <w:t xml:space="preserve"> في « ج » : « كُتمت » على بناء المجهول.</w:t>
      </w:r>
    </w:p>
    <w:p w:rsidR="000C39D1" w:rsidRPr="00132E65" w:rsidRDefault="000C39D1" w:rsidP="000C39D1">
      <w:pPr>
        <w:pStyle w:val="libFootnote0"/>
        <w:rPr>
          <w:rtl/>
          <w:lang w:bidi="fa-IR"/>
        </w:rPr>
      </w:pPr>
      <w:r>
        <w:rPr>
          <w:rtl/>
        </w:rPr>
        <w:t>(4).</w:t>
      </w:r>
      <w:r w:rsidRPr="00132E65">
        <w:rPr>
          <w:rtl/>
        </w:rPr>
        <w:t xml:space="preserve"> هكذا في « ب ، ج ، ف » وشرح المازندراني </w:t>
      </w:r>
      <w:r w:rsidRPr="00C05F1D">
        <w:rPr>
          <w:rtl/>
        </w:rPr>
        <w:t>والوافي</w:t>
      </w:r>
      <w:r w:rsidRPr="00132E65">
        <w:rPr>
          <w:rtl/>
        </w:rPr>
        <w:t xml:space="preserve"> و</w:t>
      </w:r>
      <w:r w:rsidRPr="009D1ACE">
        <w:rPr>
          <w:rStyle w:val="libFootnoteBoldChar"/>
          <w:rtl/>
        </w:rPr>
        <w:t>مرآة العقول</w:t>
      </w:r>
      <w:r w:rsidRPr="00132E65">
        <w:rPr>
          <w:rtl/>
        </w:rPr>
        <w:t xml:space="preserve"> ، و</w:t>
      </w:r>
      <w:r w:rsidRPr="000577A7">
        <w:rPr>
          <w:rStyle w:val="libFootnoteBoldChar"/>
          <w:rtl/>
        </w:rPr>
        <w:t>الكافي</w:t>
      </w:r>
      <w:r w:rsidRPr="00132E65">
        <w:rPr>
          <w:rtl/>
        </w:rPr>
        <w:t xml:space="preserve"> ، ح 14838 ، ونهج البلاغة. وفي سائر النسخ والمطبوع : « وسمة »</w:t>
      </w:r>
      <w:r>
        <w:rPr>
          <w:rtl/>
        </w:rPr>
        <w:t>.</w:t>
      </w:r>
      <w:r w:rsidRPr="00132E65">
        <w:rPr>
          <w:rtl/>
        </w:rPr>
        <w:t xml:space="preserve"> </w:t>
      </w:r>
      <w:r>
        <w:rPr>
          <w:rtl/>
        </w:rPr>
        <w:t>و «</w:t>
      </w:r>
      <w:r w:rsidRPr="00132E65">
        <w:rPr>
          <w:rtl/>
        </w:rPr>
        <w:t xml:space="preserve"> الوشمة » بالشين المعجمة : الكلمة. وبالمهملة : العلامة ، وعلى الثاني يكون المعنى : ما سترت علامة تدلّ على سبيل الحقّ. وفي </w:t>
      </w:r>
      <w:r w:rsidRPr="00C05F1D">
        <w:rPr>
          <w:rStyle w:val="libFootnoteBoldChar"/>
          <w:rtl/>
        </w:rPr>
        <w:t>مجمع البحرين</w:t>
      </w:r>
      <w:r w:rsidRPr="00132E65">
        <w:rPr>
          <w:rtl/>
        </w:rPr>
        <w:t xml:space="preserve"> : « ويقال في ما كتمت وشمة ولا كذبت كذبة : أنّ الوشمة غريزة الإبرة في البدن ؛ يعني بمثل هذا المقدار ما كتمت شيئاً من الحقّ الذي يجب إظهاره عليَّ »</w:t>
      </w:r>
      <w:r>
        <w:rPr>
          <w:rtl/>
        </w:rPr>
        <w:t>.</w:t>
      </w:r>
      <w:r w:rsidRPr="00132E65">
        <w:rPr>
          <w:rtl/>
        </w:rPr>
        <w:t xml:space="preserve"> راجع : </w:t>
      </w:r>
      <w:r w:rsidRPr="00C05F1D">
        <w:rPr>
          <w:rStyle w:val="libFootnoteBoldChar"/>
          <w:rtl/>
        </w:rPr>
        <w:t>الصحاح</w:t>
      </w:r>
      <w:r w:rsidRPr="00132E65">
        <w:rPr>
          <w:rtl/>
        </w:rPr>
        <w:t xml:space="preserve"> ، ج 5 ، ص 2052 ؛ </w:t>
      </w:r>
      <w:r w:rsidRPr="00C05F1D">
        <w:rPr>
          <w:rStyle w:val="libFootnoteBoldChar"/>
          <w:rtl/>
        </w:rPr>
        <w:t>النهاية</w:t>
      </w:r>
      <w:r w:rsidRPr="00132E65">
        <w:rPr>
          <w:rtl/>
        </w:rPr>
        <w:t xml:space="preserve"> ، ج 5 ، ص 189 ؛ </w:t>
      </w:r>
      <w:r w:rsidRPr="00C05F1D">
        <w:rPr>
          <w:rStyle w:val="libFootnoteBoldChar"/>
          <w:rtl/>
        </w:rPr>
        <w:t>مجمع البحرين</w:t>
      </w:r>
      <w:r w:rsidRPr="00132E65">
        <w:rPr>
          <w:rtl/>
        </w:rPr>
        <w:t xml:space="preserve"> ، ج 4 ، ص 505 ( وشم )</w:t>
      </w:r>
      <w:r>
        <w:rPr>
          <w:rtl/>
        </w:rPr>
        <w:t>.</w:t>
      </w:r>
    </w:p>
    <w:p w:rsidR="000C39D1" w:rsidRPr="00132E65" w:rsidRDefault="000C39D1" w:rsidP="000C39D1">
      <w:pPr>
        <w:pStyle w:val="libFootnote0"/>
        <w:rPr>
          <w:rtl/>
          <w:lang w:bidi="fa-IR"/>
        </w:rPr>
      </w:pPr>
      <w:r>
        <w:rPr>
          <w:rtl/>
        </w:rPr>
        <w:t>(5).</w:t>
      </w:r>
      <w:r w:rsidRPr="00132E65">
        <w:rPr>
          <w:rtl/>
        </w:rPr>
        <w:t xml:space="preserve"> في « ج » : « كُذِبت » على بناء المجهول.</w:t>
      </w:r>
    </w:p>
    <w:p w:rsidR="000C39D1" w:rsidRPr="00132E65" w:rsidRDefault="000C39D1" w:rsidP="000C39D1">
      <w:pPr>
        <w:pStyle w:val="libFootnote0"/>
        <w:rPr>
          <w:rtl/>
          <w:lang w:bidi="fa-IR"/>
        </w:rPr>
      </w:pPr>
      <w:r>
        <w:rPr>
          <w:rtl/>
        </w:rPr>
        <w:t>(6).</w:t>
      </w:r>
      <w:r w:rsidRPr="00132E65">
        <w:rPr>
          <w:rtl/>
        </w:rPr>
        <w:t xml:space="preserve"> قرأ المجلسي مضافاً لما في المتن : كَذْبَة وكِذْبَة. ثمّ قال : « وربّما يقرأ : كُتمت وكُذِبتُ على بناء المجهول فيهما »</w:t>
      </w:r>
      <w:r>
        <w:rPr>
          <w:rtl/>
        </w:rPr>
        <w:t>.</w:t>
      </w:r>
    </w:p>
    <w:p w:rsidR="000C39D1" w:rsidRPr="00132E65" w:rsidRDefault="000C39D1" w:rsidP="000C39D1">
      <w:pPr>
        <w:pStyle w:val="libFootnote0"/>
        <w:rPr>
          <w:rtl/>
          <w:lang w:bidi="fa-IR"/>
        </w:rPr>
      </w:pPr>
      <w:r>
        <w:rPr>
          <w:rtl/>
        </w:rPr>
        <w:t>(7).</w:t>
      </w:r>
      <w:r w:rsidRPr="00132E65">
        <w:rPr>
          <w:rtl/>
        </w:rPr>
        <w:t xml:space="preserve"> </w:t>
      </w:r>
      <w:r w:rsidRPr="000577A7">
        <w:rPr>
          <w:rStyle w:val="libFootnoteBoldChar"/>
          <w:rtl/>
        </w:rPr>
        <w:t>الكافي</w:t>
      </w:r>
      <w:r w:rsidRPr="00132E65">
        <w:rPr>
          <w:rtl/>
        </w:rPr>
        <w:t xml:space="preserve"> ، كتاب الروضة ، ح 14838 ، مع زيادة في أوّله وآخره ؛ </w:t>
      </w:r>
      <w:r w:rsidRPr="00A1664D">
        <w:rPr>
          <w:rStyle w:val="libFootnoteBoldChar"/>
          <w:rtl/>
        </w:rPr>
        <w:t>الغيبة للنعماني</w:t>
      </w:r>
      <w:r w:rsidRPr="00132E65">
        <w:rPr>
          <w:rtl/>
        </w:rPr>
        <w:t xml:space="preserve"> ، ص 201 ، ح 1 ، عن الكليني. </w:t>
      </w:r>
      <w:r w:rsidRPr="00A1664D">
        <w:rPr>
          <w:rStyle w:val="libFootnoteBoldChar"/>
          <w:rtl/>
        </w:rPr>
        <w:t>نهج البلاغة</w:t>
      </w:r>
      <w:r w:rsidRPr="00132E65">
        <w:rPr>
          <w:rtl/>
        </w:rPr>
        <w:t xml:space="preserve"> ، ص 57 ، الخطبة 16 ، مع زيادة في أوّله وآخره </w:t>
      </w:r>
      <w:r w:rsidR="00A1664D">
        <w:rPr>
          <w:rFonts w:hint="cs"/>
          <w:rtl/>
        </w:rPr>
        <w:t>.</w:t>
      </w:r>
      <w:r w:rsidRPr="009D1ACE">
        <w:rPr>
          <w:rStyle w:val="libFootnoteBoldChar"/>
          <w:rtl/>
        </w:rPr>
        <w:t>الوافي</w:t>
      </w:r>
      <w:r w:rsidRPr="00132E65">
        <w:rPr>
          <w:rtl/>
        </w:rPr>
        <w:t xml:space="preserve"> ، ج 2 ، ص 431 ، ح 943 ؛ </w:t>
      </w:r>
      <w:r w:rsidRPr="00A1664D">
        <w:rPr>
          <w:rStyle w:val="libFootnoteBoldChar"/>
          <w:rtl/>
        </w:rPr>
        <w:t>البحار</w:t>
      </w:r>
      <w:r w:rsidRPr="00132E65">
        <w:rPr>
          <w:rtl/>
        </w:rPr>
        <w:t xml:space="preserve"> ، ج 5 ، ص 218 ، ح 12.</w:t>
      </w:r>
    </w:p>
    <w:p w:rsidR="000C39D1" w:rsidRPr="00132E65" w:rsidRDefault="000C39D1" w:rsidP="000C39D1">
      <w:pPr>
        <w:pStyle w:val="libFootnote0"/>
        <w:rPr>
          <w:rtl/>
          <w:lang w:bidi="fa-IR"/>
        </w:rPr>
      </w:pPr>
      <w:r>
        <w:rPr>
          <w:rtl/>
        </w:rPr>
        <w:t>(8).</w:t>
      </w:r>
      <w:r w:rsidRPr="00132E65">
        <w:rPr>
          <w:rtl/>
        </w:rPr>
        <w:t xml:space="preserve"> هكذا في « ألف ، ج ، جر » وحاشية « ض ، ف ، </w:t>
      </w:r>
      <w:r>
        <w:rPr>
          <w:rtl/>
        </w:rPr>
        <w:t>و »</w:t>
      </w:r>
      <w:r w:rsidRPr="00132E65">
        <w:rPr>
          <w:rtl/>
        </w:rPr>
        <w:t xml:space="preserve"> و</w:t>
      </w:r>
      <w:r w:rsidRPr="009D1ACE">
        <w:rPr>
          <w:rStyle w:val="libFootnoteBoldChar"/>
          <w:rtl/>
        </w:rPr>
        <w:t>الوافي</w:t>
      </w:r>
      <w:r w:rsidRPr="00132E65">
        <w:rPr>
          <w:rtl/>
        </w:rPr>
        <w:t>. وفي « ض ، ف ، و، بح ، بر ، بس ، بف » والمطبوع : « الحسن »</w:t>
      </w:r>
      <w:r>
        <w:rPr>
          <w:rtl/>
        </w:rPr>
        <w:t>.</w:t>
      </w:r>
    </w:p>
    <w:p w:rsidR="000C39D1" w:rsidRPr="00132E65" w:rsidRDefault="000C39D1" w:rsidP="00A1664D">
      <w:pPr>
        <w:pStyle w:val="libFootnote0"/>
        <w:rPr>
          <w:rtl/>
          <w:lang w:bidi="fa-IR"/>
        </w:rPr>
      </w:pPr>
      <w:r w:rsidRPr="0046781C">
        <w:rPr>
          <w:rtl/>
        </w:rPr>
        <w:t>والصواب ما أثبتناه ، كما تقدّم وجهه ، ذيل ح 891.</w:t>
      </w:r>
    </w:p>
    <w:p w:rsidR="000C39D1" w:rsidRPr="00132E65" w:rsidRDefault="000C39D1" w:rsidP="000C39D1">
      <w:pPr>
        <w:pStyle w:val="libFootnote0"/>
        <w:rPr>
          <w:rtl/>
          <w:lang w:bidi="fa-IR"/>
        </w:rPr>
      </w:pPr>
      <w:r>
        <w:rPr>
          <w:rtl/>
        </w:rPr>
        <w:t>(9).</w:t>
      </w:r>
      <w:r w:rsidRPr="00132E65">
        <w:rPr>
          <w:rtl/>
        </w:rPr>
        <w:t xml:space="preserve"> هكذا في « بح » وحاشية « بر » وحاشية المطبوع. وفي سائر النسخ والمطبوع : « الحسين »</w:t>
      </w:r>
      <w:r>
        <w:rPr>
          <w:rtl/>
        </w:rPr>
        <w:t>.</w:t>
      </w:r>
    </w:p>
    <w:p w:rsidR="000C39D1" w:rsidRPr="00132E65" w:rsidRDefault="000C39D1" w:rsidP="000C39D1">
      <w:pPr>
        <w:pStyle w:val="libFootnote0"/>
        <w:rPr>
          <w:rtl/>
          <w:lang w:bidi="fa-IR"/>
        </w:rPr>
      </w:pPr>
      <w:r w:rsidRPr="00E55206">
        <w:rPr>
          <w:rtl/>
        </w:rPr>
        <w:t xml:space="preserve">والصواب ما أثبتناه ؛ فقد تقدّمت في ح 947 ، رواية القاسم بن إسماعيل الأنباري عن الحسن بن عليّ. وأبو المغراء هو حميد بن المثنّى. راجع : </w:t>
      </w:r>
      <w:r w:rsidRPr="00A1664D">
        <w:rPr>
          <w:rStyle w:val="libFootnoteBoldChar"/>
          <w:rtl/>
        </w:rPr>
        <w:t>رجال النجاشي</w:t>
      </w:r>
      <w:r w:rsidRPr="00E55206">
        <w:rPr>
          <w:rtl/>
        </w:rPr>
        <w:t xml:space="preserve"> ، ص 133 ، الرقم 340 ؛ </w:t>
      </w:r>
      <w:r w:rsidRPr="00A1664D">
        <w:rPr>
          <w:rStyle w:val="libFootnoteBoldChar"/>
          <w:rtl/>
        </w:rPr>
        <w:t>الفهرست للطوسي</w:t>
      </w:r>
      <w:r w:rsidRPr="00E55206">
        <w:rPr>
          <w:rtl/>
        </w:rPr>
        <w:t xml:space="preserve"> ، ص 154 ، الرقم 236. ولم يثبت في رواته من يسمّى بالحسين بن عليّ ، لكن روى عنه الحسن بن عليّ بن فضّال بعناوينه المختلفة في بعض الأسناد. والظاهر أنّ المراد بالحسن بن عليّ في ما نحن فيه هو ابن فضّال ، ا</w:t>
      </w:r>
      <w:r w:rsidR="00A1664D" w:rsidRPr="00E55206">
        <w:rPr>
          <w:rFonts w:hint="cs"/>
          <w:rtl/>
        </w:rPr>
        <w:t>ُ</w:t>
      </w:r>
      <w:r w:rsidRPr="00E55206">
        <w:rPr>
          <w:rtl/>
        </w:rPr>
        <w:t xml:space="preserve">نظر على سبيل المثال ، </w:t>
      </w:r>
      <w:r w:rsidRPr="000577A7">
        <w:rPr>
          <w:rStyle w:val="libFootnoteBoldChar"/>
          <w:rtl/>
        </w:rPr>
        <w:t>الكافي</w:t>
      </w:r>
      <w:r w:rsidRPr="00E55206">
        <w:rPr>
          <w:rtl/>
        </w:rPr>
        <w:t xml:space="preserve"> ، ح 2618 و 2733 و 9233 و 11669 و 12995 ؛ </w:t>
      </w:r>
      <w:r w:rsidRPr="00A1664D">
        <w:rPr>
          <w:rStyle w:val="libFootnoteBoldChar"/>
          <w:rtl/>
        </w:rPr>
        <w:t>التهذيب</w:t>
      </w:r>
      <w:r w:rsidRPr="00E55206">
        <w:rPr>
          <w:rtl/>
        </w:rPr>
        <w:t xml:space="preserve"> ، ج 3 ، ص 165 ، ح 356 ، وص 227 ، ح 575 ؛ وج 7 ، وص 202 ، ح 893 ؛ </w:t>
      </w:r>
      <w:r w:rsidRPr="00A1664D">
        <w:rPr>
          <w:rStyle w:val="libFootnoteBoldChar"/>
          <w:rtl/>
        </w:rPr>
        <w:t>المحاسن</w:t>
      </w:r>
      <w:r w:rsidRPr="00E55206">
        <w:rPr>
          <w:rtl/>
        </w:rPr>
        <w:t xml:space="preserve"> ، ص 96 ، ح 57 ؛ وص 429 ، ح 245 ؛ وص 443 ، ح 317 ؛ وص 444 ، ح 320 ؛ وص 626 ، ح 91.</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وَيْلٌ لِطُغَاةِ الْعَرَبِ مِنْ أَمْرٍ قَدِ اقْتَرَبَ »</w:t>
      </w:r>
      <w:r>
        <w:rPr>
          <w:rtl/>
          <w:lang w:bidi="fa-IR"/>
        </w:rPr>
        <w:t>.</w:t>
      </w:r>
    </w:p>
    <w:p w:rsidR="000C39D1" w:rsidRPr="00132E65" w:rsidRDefault="000C39D1" w:rsidP="000C39D1">
      <w:pPr>
        <w:pStyle w:val="libNormal"/>
        <w:rPr>
          <w:rtl/>
          <w:lang w:bidi="fa-IR"/>
        </w:rPr>
      </w:pPr>
      <w:r w:rsidRPr="00132E65">
        <w:rPr>
          <w:rtl/>
          <w:lang w:bidi="fa-IR"/>
        </w:rPr>
        <w:t>قُلْتُ : جُعِلْتُ فِدَاكَ ، كَمْ مَعَ الْقَائِمِ مِنَ الْعَرَبِ</w:t>
      </w:r>
      <w:r>
        <w:rPr>
          <w:rtl/>
          <w:lang w:bidi="fa-IR"/>
        </w:rPr>
        <w:t>؟</w:t>
      </w:r>
      <w:r w:rsidRPr="00132E65">
        <w:rPr>
          <w:rtl/>
          <w:lang w:bidi="fa-IR"/>
        </w:rPr>
        <w:t xml:space="preserve"> قَالَ : « نَفَرٌ يَسِيرٌ »</w:t>
      </w:r>
      <w:r>
        <w:rPr>
          <w:rtl/>
          <w:lang w:bidi="fa-IR"/>
        </w:rPr>
        <w:t>.</w:t>
      </w:r>
    </w:p>
    <w:p w:rsidR="000C39D1" w:rsidRPr="00132E65" w:rsidRDefault="000C39D1" w:rsidP="000C39D1">
      <w:pPr>
        <w:pStyle w:val="libNormal"/>
        <w:rPr>
          <w:rtl/>
          <w:lang w:bidi="fa-IR"/>
        </w:rPr>
      </w:pPr>
      <w:r w:rsidRPr="00132E65">
        <w:rPr>
          <w:rtl/>
          <w:lang w:bidi="fa-IR"/>
        </w:rPr>
        <w:t>قُلْتُ : و</w:t>
      </w:r>
      <w:r w:rsidR="00A1664D">
        <w:rPr>
          <w:rFonts w:hint="cs"/>
          <w:rtl/>
          <w:lang w:bidi="fa-IR"/>
        </w:rPr>
        <w:t xml:space="preserve">َ </w:t>
      </w:r>
      <w:r w:rsidRPr="00132E65">
        <w:rPr>
          <w:rtl/>
          <w:lang w:bidi="fa-IR"/>
        </w:rPr>
        <w:t>اللهِ ، إِنَّ مَنْ يَصِفُ هذَا الْأَمْرَ مِنْهُمْ لَكَثِيرٌ ، قَالَ : « لَا بُدَّ لِلنَّاسِ مِنْ أَنْ يُمَحَّصُوا ، و</w:t>
      </w:r>
      <w:r w:rsidR="00A1664D">
        <w:rPr>
          <w:rFonts w:hint="cs"/>
          <w:rtl/>
          <w:lang w:bidi="fa-IR"/>
        </w:rPr>
        <w:t xml:space="preserve">َ </w:t>
      </w:r>
      <w:r w:rsidRPr="00132E65">
        <w:rPr>
          <w:rtl/>
          <w:lang w:bidi="fa-IR"/>
        </w:rPr>
        <w:t>يُمَيَّزُوا ، ويُغَرْبَلُوا ، و</w:t>
      </w:r>
      <w:r w:rsidR="00A1664D">
        <w:rPr>
          <w:rFonts w:hint="cs"/>
          <w:rtl/>
          <w:lang w:bidi="fa-IR"/>
        </w:rPr>
        <w:t xml:space="preserve">َ </w:t>
      </w:r>
      <w:r w:rsidRPr="00132E65">
        <w:rPr>
          <w:rtl/>
          <w:lang w:bidi="fa-IR"/>
        </w:rPr>
        <w:t xml:space="preserve">يُسْتَخْرَجَ فِي </w:t>
      </w:r>
      <w:r>
        <w:rPr>
          <w:rStyle w:val="libFootnotenumChar"/>
          <w:rtl/>
        </w:rPr>
        <w:t>(1)</w:t>
      </w:r>
      <w:r w:rsidRPr="00132E65">
        <w:rPr>
          <w:rtl/>
          <w:lang w:bidi="fa-IR"/>
        </w:rPr>
        <w:t xml:space="preserve"> الْغِرْبَالِ خَلْقٌ كَثِيرٌ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541BF7">
        <w:rPr>
          <w:rtl/>
        </w:rPr>
        <w:t>950</w:t>
      </w:r>
      <w:r w:rsidRPr="004325D8">
        <w:rPr>
          <w:rStyle w:val="libBold2Char"/>
          <w:rtl/>
        </w:rPr>
        <w:t xml:space="preserve"> / 3.</w:t>
      </w:r>
      <w:r w:rsidRPr="00132E65">
        <w:rPr>
          <w:rtl/>
          <w:lang w:bidi="fa-IR"/>
        </w:rPr>
        <w:t xml:space="preserve"> مُحَمَّدُ بْنُ يَحْيى والْحُسَيْنُ </w:t>
      </w:r>
      <w:r>
        <w:rPr>
          <w:rStyle w:val="libFootnotenumChar"/>
          <w:rtl/>
        </w:rPr>
        <w:t>(3)</w:t>
      </w:r>
      <w:r w:rsidRPr="00132E65">
        <w:rPr>
          <w:rtl/>
          <w:lang w:bidi="fa-IR"/>
        </w:rPr>
        <w:t xml:space="preserve"> بْنُ مُحَمَّدٍ ، عَنْ جَعْفَرِ بْنِ مُحَمَّدٍ ، عَنِ الْحَسَنِ بْنِ مُحَمَّدٍ الصَّيْرَفِيِّ ، عَنْ جَعْفَرِ بْنِ مُحَمَّدٍ الصَّيْقَلِ ، عَنْ أَبِيهِ ، عَنْ مَنْصُورٍ ، قَالَ :</w:t>
      </w:r>
    </w:p>
    <w:p w:rsidR="000C39D1" w:rsidRPr="00132E65" w:rsidRDefault="000C39D1" w:rsidP="000C39D1">
      <w:pPr>
        <w:pStyle w:val="libNormal"/>
        <w:rPr>
          <w:rtl/>
          <w:lang w:bidi="fa-IR"/>
        </w:rPr>
      </w:pPr>
      <w:r w:rsidRPr="00132E65">
        <w:rPr>
          <w:rtl/>
          <w:lang w:bidi="fa-IR"/>
        </w:rPr>
        <w:t xml:space="preserve">قَالَ لِي أَبُو عَبْدِ اللهِ </w:t>
      </w:r>
      <w:r w:rsidRPr="00071CF9">
        <w:rPr>
          <w:rStyle w:val="libAlaemChar"/>
          <w:rtl/>
        </w:rPr>
        <w:t>عليه‌السلام</w:t>
      </w:r>
      <w:r w:rsidRPr="00132E65">
        <w:rPr>
          <w:rtl/>
          <w:lang w:bidi="fa-IR"/>
        </w:rPr>
        <w:t xml:space="preserve"> : « يَا مَنْصُورُ ، إِنَّ هذَا</w:t>
      </w:r>
      <w:r w:rsidR="00A1664D">
        <w:rPr>
          <w:rtl/>
          <w:lang w:bidi="fa-IR"/>
        </w:rPr>
        <w:t xml:space="preserve"> الْأَمْرَ لَايَأْتِيكُمْ إِل</w:t>
      </w:r>
      <w:r w:rsidR="00A1664D">
        <w:rPr>
          <w:rFonts w:hint="cs"/>
          <w:rtl/>
          <w:lang w:bidi="fa-IR"/>
        </w:rPr>
        <w:t>َّ</w:t>
      </w:r>
      <w:r w:rsidR="00A1664D">
        <w:rPr>
          <w:rtl/>
          <w:lang w:bidi="fa-IR"/>
        </w:rPr>
        <w:t>ا</w:t>
      </w:r>
      <w:r w:rsidRPr="00132E65">
        <w:rPr>
          <w:rtl/>
          <w:lang w:bidi="fa-IR"/>
        </w:rPr>
        <w:t xml:space="preserve"> بَعْدَ إِيَاسٍ </w:t>
      </w:r>
      <w:r>
        <w:rPr>
          <w:rStyle w:val="libFootnotenumChar"/>
          <w:rtl/>
        </w:rPr>
        <w:t>(4)</w:t>
      </w:r>
      <w:r w:rsidRPr="00132E65">
        <w:rPr>
          <w:rtl/>
          <w:lang w:bidi="fa-IR"/>
        </w:rPr>
        <w:t xml:space="preserve"> ، وَلَا</w:t>
      </w:r>
      <w:r w:rsidR="00A1664D">
        <w:rPr>
          <w:rFonts w:hint="cs"/>
          <w:rtl/>
          <w:lang w:bidi="fa-IR"/>
        </w:rPr>
        <w:t xml:space="preserve"> </w:t>
      </w:r>
      <w:r w:rsidRPr="00132E65">
        <w:rPr>
          <w:rtl/>
          <w:lang w:bidi="fa-IR"/>
        </w:rPr>
        <w:t xml:space="preserve">وَ اللهِ </w:t>
      </w:r>
      <w:r>
        <w:rPr>
          <w:rStyle w:val="libFootnotenumChar"/>
          <w:rtl/>
        </w:rPr>
        <w:t>(5)</w:t>
      </w:r>
      <w:r w:rsidRPr="00132E65">
        <w:rPr>
          <w:rtl/>
          <w:lang w:bidi="fa-IR"/>
        </w:rPr>
        <w:t xml:space="preserve"> ، حَتّى تُمَيَّزُوا </w:t>
      </w:r>
      <w:r>
        <w:rPr>
          <w:rStyle w:val="libFootnotenumChar"/>
          <w:rtl/>
        </w:rPr>
        <w:t>(6)</w:t>
      </w:r>
      <w:r w:rsidRPr="00132E65">
        <w:rPr>
          <w:rtl/>
          <w:lang w:bidi="fa-IR"/>
        </w:rPr>
        <w:t xml:space="preserve"> ؛ ولَاوَ اللهِ ، حَتّى تُمَحَّصُوا </w:t>
      </w:r>
      <w:r>
        <w:rPr>
          <w:rStyle w:val="libFootnotenumChar"/>
          <w:rtl/>
        </w:rPr>
        <w:t>(7)</w:t>
      </w:r>
      <w:r w:rsidRPr="00132E65">
        <w:rPr>
          <w:rtl/>
          <w:lang w:bidi="fa-IR"/>
        </w:rPr>
        <w:t xml:space="preserve"> ؛ و</w:t>
      </w:r>
      <w:r w:rsidR="00A1664D">
        <w:rPr>
          <w:rFonts w:hint="cs"/>
          <w:rtl/>
          <w:lang w:bidi="fa-IR"/>
        </w:rPr>
        <w:t xml:space="preserve">َ </w:t>
      </w:r>
      <w:r w:rsidRPr="00132E65">
        <w:rPr>
          <w:rtl/>
          <w:lang w:bidi="fa-IR"/>
        </w:rPr>
        <w:t>لَا</w:t>
      </w:r>
      <w:r w:rsidR="00A1664D">
        <w:rPr>
          <w:rFonts w:hint="cs"/>
          <w:rtl/>
          <w:lang w:bidi="fa-IR"/>
        </w:rPr>
        <w:t xml:space="preserve"> </w:t>
      </w:r>
      <w:r w:rsidRPr="00132E65">
        <w:rPr>
          <w:rtl/>
          <w:lang w:bidi="fa-IR"/>
        </w:rPr>
        <w:t xml:space="preserve">وَ اللهِ ، حَتّى يَشْقى مَنْ يَشْقى </w:t>
      </w:r>
      <w:r>
        <w:rPr>
          <w:rStyle w:val="libFootnotenumChar"/>
          <w:rtl/>
        </w:rPr>
        <w:t>(8)</w:t>
      </w:r>
      <w:r w:rsidRPr="00132E65">
        <w:rPr>
          <w:rtl/>
          <w:lang w:bidi="fa-IR"/>
        </w:rPr>
        <w:t xml:space="preserve"> ، و</w:t>
      </w:r>
      <w:r w:rsidR="00A1664D">
        <w:rPr>
          <w:rFonts w:hint="cs"/>
          <w:rtl/>
          <w:lang w:bidi="fa-IR"/>
        </w:rPr>
        <w:t>َ</w:t>
      </w:r>
      <w:r w:rsidR="00D14011">
        <w:rPr>
          <w:rtl/>
          <w:lang w:bidi="fa-IR"/>
        </w:rPr>
        <w:t>يَسْعَدَ مَنْ يَسْعَدُ</w:t>
      </w:r>
      <w:r w:rsidRPr="00132E65">
        <w:rPr>
          <w:rtl/>
          <w:lang w:bidi="fa-IR"/>
        </w:rPr>
        <w:t>»</w:t>
      </w:r>
      <w:r>
        <w:rPr>
          <w:rtl/>
          <w:lang w:bidi="fa-IR"/>
        </w:rPr>
        <w:t>.</w:t>
      </w:r>
      <w:r w:rsidRPr="00132E65">
        <w:rPr>
          <w:rtl/>
          <w:lang w:bidi="fa-IR"/>
        </w:rPr>
        <w:t xml:space="preserve"> </w:t>
      </w:r>
      <w:r>
        <w:rPr>
          <w:rStyle w:val="libFootnotenumChar"/>
          <w:rtl/>
        </w:rPr>
        <w:t>(9)</w:t>
      </w:r>
    </w:p>
    <w:p w:rsidR="000C39D1" w:rsidRPr="00132E65" w:rsidRDefault="000C39D1" w:rsidP="000C39D1">
      <w:pPr>
        <w:pStyle w:val="libNormal"/>
        <w:rPr>
          <w:rtl/>
          <w:lang w:bidi="fa-IR"/>
        </w:rPr>
      </w:pPr>
      <w:r w:rsidRPr="00541BF7">
        <w:rPr>
          <w:rtl/>
        </w:rPr>
        <w:t>951</w:t>
      </w:r>
      <w:r w:rsidRPr="004325D8">
        <w:rPr>
          <w:rStyle w:val="libBold2Char"/>
          <w:rtl/>
        </w:rPr>
        <w:t xml:space="preserve"> / 4.</w:t>
      </w:r>
      <w:r w:rsidRPr="00132E65">
        <w:rPr>
          <w:rtl/>
          <w:lang w:bidi="fa-IR"/>
        </w:rPr>
        <w:t xml:space="preserve"> عِدَّةٌ مِنْ أَصْحَابِنَا ، عَنْ أَحْمَدَ بْنِ مُحَمّ</w:t>
      </w:r>
      <w:r w:rsidR="00A1664D">
        <w:rPr>
          <w:rtl/>
          <w:lang w:bidi="fa-IR"/>
        </w:rPr>
        <w:t>َدٍ ، عَنْ مُعَمَّرِ بْنِ خَل</w:t>
      </w:r>
      <w:r w:rsidR="00A1664D">
        <w:rPr>
          <w:rFonts w:hint="cs"/>
          <w:rtl/>
          <w:lang w:bidi="fa-IR"/>
        </w:rPr>
        <w:t>َّ</w:t>
      </w:r>
      <w:r w:rsidR="00A1664D">
        <w:rPr>
          <w:rtl/>
          <w:lang w:bidi="fa-IR"/>
        </w:rPr>
        <w:t>ا</w:t>
      </w:r>
      <w:r w:rsidRPr="00132E65">
        <w:rPr>
          <w:rtl/>
          <w:lang w:bidi="fa-IR"/>
        </w:rPr>
        <w:t>دٍ ، قَالَ :</w:t>
      </w:r>
    </w:p>
    <w:p w:rsidR="000C39D1" w:rsidRPr="00132E65" w:rsidRDefault="000C39D1" w:rsidP="000C39D1">
      <w:pPr>
        <w:pStyle w:val="libNormal"/>
        <w:rPr>
          <w:rtl/>
          <w:lang w:bidi="fa-IR"/>
        </w:rPr>
      </w:pPr>
      <w:r w:rsidRPr="00132E65">
        <w:rPr>
          <w:rtl/>
          <w:lang w:bidi="fa-IR"/>
        </w:rPr>
        <w:t xml:space="preserve">سَمِعْتُ أَبَا الْحَسَنِ </w:t>
      </w:r>
      <w:r w:rsidRPr="00071CF9">
        <w:rPr>
          <w:rStyle w:val="libAlaemChar"/>
          <w:rtl/>
        </w:rPr>
        <w:t>عليه‌السلام</w:t>
      </w:r>
      <w:r w:rsidRPr="00132E65">
        <w:rPr>
          <w:rtl/>
          <w:lang w:bidi="fa-IR"/>
        </w:rPr>
        <w:t xml:space="preserve"> يَقُولُ : « </w:t>
      </w:r>
      <w:r w:rsidRPr="00071CF9">
        <w:rPr>
          <w:rStyle w:val="libAlaemChar"/>
          <w:rtl/>
        </w:rPr>
        <w:t>(</w:t>
      </w:r>
      <w:r w:rsidRPr="00071CF9">
        <w:rPr>
          <w:rStyle w:val="libAieChar"/>
          <w:rtl/>
        </w:rPr>
        <w:t xml:space="preserve"> الم</w:t>
      </w:r>
      <w:r w:rsidR="00A1664D">
        <w:rPr>
          <w:rStyle w:val="libAieChar"/>
          <w:rFonts w:hint="cs"/>
          <w:rtl/>
        </w:rPr>
        <w:t xml:space="preserve"> *</w:t>
      </w:r>
      <w:r w:rsidRPr="00071CF9">
        <w:rPr>
          <w:rStyle w:val="libAieChar"/>
          <w:rtl/>
        </w:rPr>
        <w:t xml:space="preserve"> أَحَسِبَ النّ</w:t>
      </w:r>
      <w:r w:rsidR="00A1664D">
        <w:rPr>
          <w:rStyle w:val="libAieChar"/>
          <w:rFonts w:hint="cs"/>
          <w:rtl/>
        </w:rPr>
        <w:t>َ</w:t>
      </w:r>
      <w:r w:rsidRPr="00071CF9">
        <w:rPr>
          <w:rStyle w:val="libAieChar"/>
          <w:rtl/>
        </w:rPr>
        <w:t>اسُ أَنْ يُتْرَكُوا أَنْ يَقُولُوا آمَنّا وَهُمْ لا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ض » : « من »</w:t>
      </w:r>
      <w:r>
        <w:rPr>
          <w:rtl/>
        </w:rPr>
        <w:t>.</w:t>
      </w:r>
      <w:r w:rsidRPr="00132E65">
        <w:rPr>
          <w:rtl/>
        </w:rPr>
        <w:t xml:space="preserve"> وفي </w:t>
      </w:r>
      <w:r w:rsidRPr="00A1664D">
        <w:rPr>
          <w:rStyle w:val="libFootnoteBoldChar"/>
          <w:rtl/>
        </w:rPr>
        <w:t>الغيبة للنعماني</w:t>
      </w:r>
      <w:r w:rsidRPr="00132E65">
        <w:rPr>
          <w:rtl/>
        </w:rPr>
        <w:t xml:space="preserve"> ، ح 7 : « ويخرج من » بدل « ويستخرج في »</w:t>
      </w:r>
      <w:r>
        <w:rPr>
          <w:rtl/>
        </w:rPr>
        <w:t>.</w:t>
      </w:r>
    </w:p>
    <w:p w:rsidR="000C39D1" w:rsidRPr="00132E65" w:rsidRDefault="000C39D1" w:rsidP="000C39D1">
      <w:pPr>
        <w:pStyle w:val="libFootnote0"/>
        <w:rPr>
          <w:rtl/>
          <w:lang w:bidi="fa-IR"/>
        </w:rPr>
      </w:pPr>
      <w:r>
        <w:rPr>
          <w:rtl/>
        </w:rPr>
        <w:t>(2).</w:t>
      </w:r>
      <w:r w:rsidRPr="00132E65">
        <w:rPr>
          <w:rtl/>
        </w:rPr>
        <w:t xml:space="preserve"> </w:t>
      </w:r>
      <w:r w:rsidRPr="00A1664D">
        <w:rPr>
          <w:rStyle w:val="libFootnoteBoldChar"/>
          <w:rtl/>
        </w:rPr>
        <w:t>الغيبة للنعماني</w:t>
      </w:r>
      <w:r w:rsidRPr="00132E65">
        <w:rPr>
          <w:rtl/>
        </w:rPr>
        <w:t xml:space="preserve"> ، ص 204 ، ذيل ح 7 ، عن الكليني. </w:t>
      </w:r>
      <w:r w:rsidRPr="00541BF7">
        <w:rPr>
          <w:rtl/>
        </w:rPr>
        <w:t>وفيه</w:t>
      </w:r>
      <w:r w:rsidRPr="00132E65">
        <w:rPr>
          <w:rtl/>
        </w:rPr>
        <w:t xml:space="preserve"> ، ح 7 ، بسنده عن محمّد بن يحيى العطّار ، عن محمّد بن حسّان الرازي ، عن محمّد بن عليّ الكوفي ، عن الحسن بن محبوب ، عن أبي المغراء ، عن عبد الله بن أبي يعفور ، </w:t>
      </w:r>
      <w:r w:rsidRPr="00541BF7">
        <w:rPr>
          <w:rtl/>
        </w:rPr>
        <w:t>وفيه</w:t>
      </w:r>
      <w:r w:rsidRPr="00132E65">
        <w:rPr>
          <w:rtl/>
        </w:rPr>
        <w:t xml:space="preserve"> أيضاً ، ص 204 ، ح 6 ، بسند آخر ، مع اختلاف يسير </w:t>
      </w:r>
      <w:r w:rsidR="00A1664D">
        <w:rPr>
          <w:rFonts w:hint="cs"/>
          <w:rtl/>
        </w:rPr>
        <w:t>.</w:t>
      </w:r>
      <w:r w:rsidRPr="009D1ACE">
        <w:rPr>
          <w:rStyle w:val="libFootnoteBoldChar"/>
          <w:rtl/>
        </w:rPr>
        <w:t>الوافي</w:t>
      </w:r>
      <w:r w:rsidRPr="00132E65">
        <w:rPr>
          <w:rtl/>
        </w:rPr>
        <w:t xml:space="preserve"> ، ج 2 ، ص 432 ، ح 944 ؛ </w:t>
      </w:r>
      <w:r w:rsidRPr="00A1664D">
        <w:rPr>
          <w:rStyle w:val="libFootnoteBoldChar"/>
          <w:rtl/>
        </w:rPr>
        <w:t>البحار</w:t>
      </w:r>
      <w:r w:rsidRPr="00132E65">
        <w:rPr>
          <w:rtl/>
        </w:rPr>
        <w:t xml:space="preserve"> ، ج 5 ، ص 219 ، ح 13.</w:t>
      </w:r>
    </w:p>
    <w:p w:rsidR="000C39D1" w:rsidRPr="00132E65" w:rsidRDefault="000C39D1" w:rsidP="000C39D1">
      <w:pPr>
        <w:pStyle w:val="libFootnote0"/>
        <w:rPr>
          <w:rtl/>
          <w:lang w:bidi="fa-IR"/>
        </w:rPr>
      </w:pPr>
      <w:r>
        <w:rPr>
          <w:rtl/>
        </w:rPr>
        <w:t>(3).</w:t>
      </w:r>
      <w:r w:rsidRPr="00132E65">
        <w:rPr>
          <w:rtl/>
        </w:rPr>
        <w:t xml:space="preserve"> هكذا في « ألف ، ج » وحاشية « بر » و</w:t>
      </w:r>
      <w:r w:rsidRPr="009D1ACE">
        <w:rPr>
          <w:rStyle w:val="libFootnoteBoldChar"/>
          <w:rtl/>
        </w:rPr>
        <w:t>الوافي</w:t>
      </w:r>
      <w:r w:rsidRPr="00132E65">
        <w:rPr>
          <w:rtl/>
        </w:rPr>
        <w:t>. وفي سائر النسخ والمطبوع : « الحسن »</w:t>
      </w:r>
      <w:r>
        <w:rPr>
          <w:rtl/>
        </w:rPr>
        <w:t>.</w:t>
      </w:r>
      <w:r w:rsidRPr="00132E65">
        <w:rPr>
          <w:rtl/>
        </w:rPr>
        <w:t xml:space="preserve"> لاحظ ما قدّمناه </w:t>
      </w:r>
      <w:r w:rsidRPr="00DB73CB">
        <w:rPr>
          <w:rtl/>
        </w:rPr>
        <w:t>في</w:t>
      </w:r>
      <w:r w:rsidR="00A1664D">
        <w:rPr>
          <w:rFonts w:hint="cs"/>
          <w:rtl/>
        </w:rPr>
        <w:t xml:space="preserve"> </w:t>
      </w:r>
      <w:r w:rsidRPr="00DB73CB">
        <w:rPr>
          <w:rtl/>
        </w:rPr>
        <w:t>‌</w:t>
      </w:r>
      <w:r w:rsidRPr="000577A7">
        <w:rPr>
          <w:rStyle w:val="libFootnoteBoldChar"/>
          <w:rtl/>
        </w:rPr>
        <w:t>الكافي</w:t>
      </w:r>
      <w:r w:rsidRPr="00132E65">
        <w:rPr>
          <w:rtl/>
        </w:rPr>
        <w:t xml:space="preserve"> ، ذيل ح 891.</w:t>
      </w:r>
    </w:p>
    <w:p w:rsidR="000C39D1" w:rsidRPr="00132E65" w:rsidRDefault="000C39D1" w:rsidP="000C39D1">
      <w:pPr>
        <w:pStyle w:val="libFootnote0"/>
        <w:rPr>
          <w:rtl/>
          <w:lang w:bidi="fa-IR"/>
        </w:rPr>
      </w:pPr>
      <w:r>
        <w:rPr>
          <w:rtl/>
        </w:rPr>
        <w:t>(4).</w:t>
      </w:r>
      <w:r w:rsidRPr="00132E65">
        <w:rPr>
          <w:rtl/>
        </w:rPr>
        <w:t xml:space="preserve"> « إياس » : مصدر على وزن الإفعال من اليأس ، وهو ضدّ الرجاء. أصله إيئاس ، حذف الهمز تخفيفاً. وقرأ</w:t>
      </w:r>
      <w:r>
        <w:rPr>
          <w:rFonts w:hint="cs"/>
          <w:rtl/>
        </w:rPr>
        <w:t xml:space="preserve"> </w:t>
      </w:r>
      <w:r w:rsidRPr="00132E65">
        <w:rPr>
          <w:rtl/>
        </w:rPr>
        <w:t xml:space="preserve">المجلسي بالفتح ، ولكن لا تساعده اللغة. راجع : </w:t>
      </w:r>
      <w:r w:rsidRPr="009D1ACE">
        <w:rPr>
          <w:rStyle w:val="libFootnoteBoldChar"/>
          <w:rtl/>
        </w:rPr>
        <w:t>لسان العرب</w:t>
      </w:r>
      <w:r w:rsidRPr="00132E65">
        <w:rPr>
          <w:rtl/>
        </w:rPr>
        <w:t xml:space="preserve"> ، ج 6 ، ص 260 ( يأس )</w:t>
      </w:r>
      <w:r>
        <w:rPr>
          <w:rtl/>
        </w:rPr>
        <w:t>.</w:t>
      </w:r>
    </w:p>
    <w:p w:rsidR="000C39D1" w:rsidRPr="00132E65" w:rsidRDefault="000C39D1" w:rsidP="000C39D1">
      <w:pPr>
        <w:pStyle w:val="libFootnote0"/>
        <w:rPr>
          <w:rtl/>
          <w:lang w:bidi="fa-IR"/>
        </w:rPr>
      </w:pPr>
      <w:r>
        <w:rPr>
          <w:rtl/>
        </w:rPr>
        <w:t>(5).</w:t>
      </w:r>
      <w:r w:rsidRPr="00132E65">
        <w:rPr>
          <w:rtl/>
        </w:rPr>
        <w:t xml:space="preserve"> في كمال الدين :</w:t>
      </w:r>
      <w:r>
        <w:rPr>
          <w:rtl/>
        </w:rPr>
        <w:t xml:space="preserve"> + </w:t>
      </w:r>
      <w:r w:rsidRPr="00132E65">
        <w:rPr>
          <w:rtl/>
        </w:rPr>
        <w:t>« لا يأتيكم » وكذا فيما بعد في الموضعين.</w:t>
      </w:r>
    </w:p>
    <w:tbl>
      <w:tblPr>
        <w:tblStyle w:val="TableGrid"/>
        <w:bidiVisual/>
        <w:tblW w:w="0" w:type="auto"/>
        <w:tblLook w:val="04A0" w:firstRow="1" w:lastRow="0" w:firstColumn="1" w:lastColumn="0" w:noHBand="0" w:noVBand="1"/>
      </w:tblPr>
      <w:tblGrid>
        <w:gridCol w:w="4006"/>
        <w:gridCol w:w="4006"/>
      </w:tblGrid>
      <w:tr w:rsidR="00A1664D" w:rsidTr="00A1664D">
        <w:tc>
          <w:tcPr>
            <w:tcW w:w="4006" w:type="dxa"/>
          </w:tcPr>
          <w:p w:rsidR="00A1664D" w:rsidRDefault="00A1664D" w:rsidP="000C39D1">
            <w:pPr>
              <w:pStyle w:val="libFootnote0"/>
              <w:rPr>
                <w:rtl/>
              </w:rPr>
            </w:pPr>
            <w:r>
              <w:rPr>
                <w:rtl/>
              </w:rPr>
              <w:t>(6).</w:t>
            </w:r>
            <w:r w:rsidRPr="00132E65">
              <w:rPr>
                <w:rtl/>
              </w:rPr>
              <w:t xml:space="preserve"> في « بس » : « يميّزوا »</w:t>
            </w:r>
            <w:r>
              <w:rPr>
                <w:rtl/>
              </w:rPr>
              <w:t>.</w:t>
            </w:r>
          </w:p>
        </w:tc>
        <w:tc>
          <w:tcPr>
            <w:tcW w:w="4006" w:type="dxa"/>
          </w:tcPr>
          <w:p w:rsidR="00A1664D" w:rsidRDefault="00A1664D" w:rsidP="000C39D1">
            <w:pPr>
              <w:pStyle w:val="libFootnote0"/>
              <w:rPr>
                <w:rtl/>
              </w:rPr>
            </w:pPr>
            <w:r>
              <w:rPr>
                <w:rtl/>
              </w:rPr>
              <w:t>(7).</w:t>
            </w:r>
            <w:r w:rsidRPr="00132E65">
              <w:rPr>
                <w:rtl/>
              </w:rPr>
              <w:t xml:space="preserve"> في « بس » : « يمحّصوا »</w:t>
            </w:r>
            <w:r>
              <w:rPr>
                <w:rtl/>
              </w:rPr>
              <w:t>.</w:t>
            </w:r>
          </w:p>
        </w:tc>
      </w:tr>
    </w:tbl>
    <w:p w:rsidR="000C39D1" w:rsidRPr="00132E65" w:rsidRDefault="000C39D1" w:rsidP="000C39D1">
      <w:pPr>
        <w:pStyle w:val="libFootnote0"/>
        <w:rPr>
          <w:rtl/>
          <w:lang w:bidi="fa-IR"/>
        </w:rPr>
      </w:pPr>
      <w:r>
        <w:rPr>
          <w:rtl/>
        </w:rPr>
        <w:t>(8).</w:t>
      </w:r>
      <w:r w:rsidRPr="00132E65">
        <w:rPr>
          <w:rtl/>
        </w:rPr>
        <w:t xml:space="preserve"> في « بس » وكمال الدين : « شقى »</w:t>
      </w:r>
      <w:r>
        <w:rPr>
          <w:rtl/>
        </w:rPr>
        <w:t>.</w:t>
      </w:r>
    </w:p>
    <w:p w:rsidR="000C39D1" w:rsidRPr="00132E65" w:rsidRDefault="000C39D1" w:rsidP="000C39D1">
      <w:pPr>
        <w:pStyle w:val="libFootnote0"/>
        <w:rPr>
          <w:rtl/>
          <w:lang w:bidi="fa-IR"/>
        </w:rPr>
      </w:pPr>
      <w:r>
        <w:rPr>
          <w:rtl/>
        </w:rPr>
        <w:t>(9).</w:t>
      </w:r>
      <w:r w:rsidRPr="00132E65">
        <w:rPr>
          <w:rtl/>
        </w:rPr>
        <w:t xml:space="preserve"> </w:t>
      </w:r>
      <w:r w:rsidRPr="00A1664D">
        <w:rPr>
          <w:rStyle w:val="libFootnoteBoldChar"/>
          <w:rtl/>
        </w:rPr>
        <w:t>كمال الدين</w:t>
      </w:r>
      <w:r w:rsidRPr="00132E65">
        <w:rPr>
          <w:rtl/>
        </w:rPr>
        <w:t xml:space="preserve"> ، ص 346 ، ح 32 ، بسنده عن محمّد بن الفضيل ، عن أبيه ، عن منصور </w:t>
      </w:r>
      <w:r w:rsidR="00A1664D">
        <w:rPr>
          <w:rFonts w:hint="cs"/>
          <w:rtl/>
        </w:rPr>
        <w:t>.</w:t>
      </w:r>
      <w:r w:rsidRPr="009D1ACE">
        <w:rPr>
          <w:rStyle w:val="libFootnoteBoldChar"/>
          <w:rtl/>
        </w:rPr>
        <w:t>الوافي</w:t>
      </w:r>
      <w:r w:rsidRPr="00132E65">
        <w:rPr>
          <w:rtl/>
        </w:rPr>
        <w:t xml:space="preserve"> ، ج 2 ، ص 433 ، ح 945.</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يُفْتَنُونَ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Pr>
          <w:rtl/>
          <w:lang w:bidi="fa-IR"/>
        </w:rPr>
        <w:t>.</w:t>
      </w:r>
      <w:r w:rsidRPr="00132E65">
        <w:rPr>
          <w:rtl/>
          <w:lang w:bidi="fa-IR"/>
        </w:rPr>
        <w:t xml:space="preserve"> ثُمَّ قَالَ لِي : « مَا </w:t>
      </w:r>
      <w:r>
        <w:rPr>
          <w:rStyle w:val="libFootnotenumChar"/>
          <w:rtl/>
        </w:rPr>
        <w:t>(2)</w:t>
      </w:r>
      <w:r w:rsidRPr="00132E65">
        <w:rPr>
          <w:rtl/>
          <w:lang w:bidi="fa-IR"/>
        </w:rPr>
        <w:t xml:space="preserve"> الْفِتْنَةُ</w:t>
      </w:r>
      <w:r>
        <w:rPr>
          <w:rtl/>
          <w:lang w:bidi="fa-IR"/>
        </w:rPr>
        <w:t>؟</w:t>
      </w:r>
      <w:r w:rsidRPr="00132E65">
        <w:rPr>
          <w:rtl/>
          <w:lang w:bidi="fa-IR"/>
        </w:rPr>
        <w:t xml:space="preserve"> » قُلْتُ : جُعِلْتُ فِدَاكَ ، الَّذِي عِنْدَنَا </w:t>
      </w:r>
      <w:r>
        <w:rPr>
          <w:rStyle w:val="libFootnotenumChar"/>
          <w:rtl/>
        </w:rPr>
        <w:t>(3)</w:t>
      </w:r>
      <w:r w:rsidRPr="00132E65">
        <w:rPr>
          <w:rtl/>
          <w:lang w:bidi="fa-IR"/>
        </w:rPr>
        <w:t xml:space="preserve"> الْفِتْنَةُ فِي الدِّينِ ، فَقَالَ : « يُفْتَنُونَ كَمَا يُفْتَنُ </w:t>
      </w:r>
      <w:r>
        <w:rPr>
          <w:rStyle w:val="libFootnotenumChar"/>
          <w:rtl/>
        </w:rPr>
        <w:t>(4)</w:t>
      </w:r>
      <w:r w:rsidRPr="00132E65">
        <w:rPr>
          <w:rtl/>
          <w:lang w:bidi="fa-IR"/>
        </w:rPr>
        <w:t xml:space="preserve"> الذَّهَبُ »</w:t>
      </w:r>
      <w:r>
        <w:rPr>
          <w:rtl/>
          <w:lang w:bidi="fa-IR"/>
        </w:rPr>
        <w:t>.</w:t>
      </w:r>
      <w:r w:rsidRPr="00132E65">
        <w:rPr>
          <w:rtl/>
          <w:lang w:bidi="fa-IR"/>
        </w:rPr>
        <w:t xml:space="preserve"> ثُمَّ قَالَ </w:t>
      </w:r>
      <w:r>
        <w:rPr>
          <w:rStyle w:val="libFootnotenumChar"/>
          <w:rtl/>
        </w:rPr>
        <w:t>(5)</w:t>
      </w:r>
      <w:r w:rsidRPr="00132E65">
        <w:rPr>
          <w:rtl/>
          <w:lang w:bidi="fa-IR"/>
        </w:rPr>
        <w:t xml:space="preserve"> : « يُخْلَصُونَ كَمَا يُخْلَصُ </w:t>
      </w:r>
      <w:r>
        <w:rPr>
          <w:rStyle w:val="libFootnotenumChar"/>
          <w:rtl/>
        </w:rPr>
        <w:t>(6)</w:t>
      </w:r>
      <w:r w:rsidR="00A7332E">
        <w:rPr>
          <w:rtl/>
          <w:lang w:bidi="fa-IR"/>
        </w:rPr>
        <w:t xml:space="preserve"> الذَّهَبُ</w:t>
      </w:r>
      <w:r w:rsidRPr="00132E65">
        <w:rPr>
          <w:rtl/>
          <w:lang w:bidi="fa-IR"/>
        </w:rPr>
        <w:t>»</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DB73CB">
        <w:rPr>
          <w:rtl/>
        </w:rPr>
        <w:t>952</w:t>
      </w:r>
      <w:r w:rsidRPr="004325D8">
        <w:rPr>
          <w:rStyle w:val="libBold2Char"/>
          <w:rtl/>
        </w:rPr>
        <w:t xml:space="preserve"> / 5.</w:t>
      </w:r>
      <w:r w:rsidRPr="00132E65">
        <w:rPr>
          <w:rtl/>
          <w:lang w:bidi="fa-IR"/>
        </w:rPr>
        <w:t xml:space="preserve"> عَلِيُّ بْنُ إِبْرَاهِيمَ ، عَنْ مُحَمَّدِ بْنِ عِيسى ، عَنْ يُونُسَ ، عَنْ سُ</w:t>
      </w:r>
      <w:r w:rsidR="00A7332E">
        <w:rPr>
          <w:rtl/>
          <w:lang w:bidi="fa-IR"/>
        </w:rPr>
        <w:t>لَيْمَانَ بْنِ صَالِحٍ رَفَعَهُ</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قَالَ : « إِنَّ حَدِيثَكُمْ هذَا لَتَشْمَئِزُّ </w:t>
      </w:r>
      <w:r>
        <w:rPr>
          <w:rStyle w:val="libFootnotenumChar"/>
          <w:rtl/>
        </w:rPr>
        <w:t>(8)</w:t>
      </w:r>
      <w:r w:rsidRPr="00132E65">
        <w:rPr>
          <w:rtl/>
          <w:lang w:bidi="fa-IR"/>
        </w:rPr>
        <w:t xml:space="preserve"> مِنْهُ قُلُوبُ الرِّجَالِ </w:t>
      </w:r>
      <w:r>
        <w:rPr>
          <w:rStyle w:val="libFootnotenumChar"/>
          <w:rtl/>
        </w:rPr>
        <w:t>(9)</w:t>
      </w:r>
      <w:r w:rsidRPr="00132E65">
        <w:rPr>
          <w:rtl/>
          <w:lang w:bidi="fa-IR"/>
        </w:rPr>
        <w:t xml:space="preserve"> ، فَمَنْ أَقَرَّ بِهِ فَزِيدُوهُ ؛ و</w:t>
      </w:r>
      <w:r w:rsidR="00A7332E">
        <w:rPr>
          <w:rFonts w:hint="cs"/>
          <w:rtl/>
          <w:lang w:bidi="fa-IR"/>
        </w:rPr>
        <w:t>َ</w:t>
      </w:r>
      <w:r w:rsidRPr="00132E65">
        <w:rPr>
          <w:rtl/>
          <w:lang w:bidi="fa-IR"/>
        </w:rPr>
        <w:t xml:space="preserve">مَنْ أَنْكَرَهُ فَذَرُوهُ ؛ إِنَّهُ لَابُدَّ مِنْ أَنْ تَكُونَ </w:t>
      </w:r>
      <w:r>
        <w:rPr>
          <w:rStyle w:val="libFootnotenumChar"/>
          <w:rtl/>
        </w:rPr>
        <w:t>(10)</w:t>
      </w:r>
      <w:r w:rsidRPr="00132E65">
        <w:rPr>
          <w:rtl/>
          <w:lang w:bidi="fa-IR"/>
        </w:rPr>
        <w:t xml:space="preserve"> فِتْنَةٌ يَسْقُطُ </w:t>
      </w:r>
      <w:r>
        <w:rPr>
          <w:rStyle w:val="libFootnotenumChar"/>
          <w:rtl/>
        </w:rPr>
        <w:t>(11)</w:t>
      </w:r>
      <w:r w:rsidRPr="00132E65">
        <w:rPr>
          <w:rtl/>
          <w:lang w:bidi="fa-IR"/>
        </w:rPr>
        <w:t xml:space="preserve"> فِيهَا كُلُّ بِطَانَةٍ </w:t>
      </w:r>
      <w:r>
        <w:rPr>
          <w:rStyle w:val="libFootnotenumChar"/>
          <w:rtl/>
        </w:rPr>
        <w:t>(12)</w:t>
      </w:r>
      <w:r w:rsidRPr="00132E65">
        <w:rPr>
          <w:rtl/>
          <w:lang w:bidi="fa-IR"/>
        </w:rPr>
        <w:t xml:space="preserve"> و</w:t>
      </w:r>
      <w:r w:rsidR="00A7332E">
        <w:rPr>
          <w:rFonts w:hint="cs"/>
          <w:rtl/>
          <w:lang w:bidi="fa-IR"/>
        </w:rPr>
        <w:t xml:space="preserve">َ </w:t>
      </w:r>
      <w:r w:rsidRPr="00132E65">
        <w:rPr>
          <w:rtl/>
          <w:lang w:bidi="fa-IR"/>
        </w:rPr>
        <w:t>و</w:t>
      </w:r>
      <w:r w:rsidR="00A7332E">
        <w:rPr>
          <w:rFonts w:hint="cs"/>
          <w:rtl/>
          <w:lang w:bidi="fa-IR"/>
        </w:rPr>
        <w:t>َ</w:t>
      </w:r>
      <w:r w:rsidRPr="00132E65">
        <w:rPr>
          <w:rtl/>
          <w:lang w:bidi="fa-IR"/>
        </w:rPr>
        <w:t xml:space="preserve">لِيجَةٍ </w:t>
      </w:r>
      <w:r w:rsidRPr="00F543F1">
        <w:rPr>
          <w:rStyle w:val="libFootnotenumChar"/>
          <w:rtl/>
        </w:rPr>
        <w:t>(13)</w:t>
      </w:r>
      <w:r w:rsidRPr="00132E65">
        <w:rPr>
          <w:rtl/>
          <w:lang w:bidi="fa-IR"/>
        </w:rPr>
        <w:t xml:space="preserve"> ، حَتّى يَسْقُطَ فِيهَا مَنْ يَشُقُّ </w:t>
      </w:r>
      <w:r w:rsidRPr="00F543F1">
        <w:rPr>
          <w:rStyle w:val="libFootnotenumChar"/>
          <w:rtl/>
        </w:rPr>
        <w:t>(14)</w:t>
      </w:r>
      <w:r w:rsidRPr="00132E65">
        <w:rPr>
          <w:rtl/>
          <w:lang w:bidi="fa-IR"/>
        </w:rPr>
        <w:t xml:space="preserve"> الشَّعْرَ </w:t>
      </w:r>
      <w:r w:rsidRPr="00F543F1">
        <w:rPr>
          <w:rStyle w:val="libFootnotenumChar"/>
          <w:rtl/>
        </w:rPr>
        <w:t>(15)</w:t>
      </w:r>
      <w:r w:rsidRPr="00132E65">
        <w:rPr>
          <w:rtl/>
          <w:lang w:bidi="fa-IR"/>
        </w:rPr>
        <w:t xml:space="preserve"> بِشَعْرَتَيْنِ ، حَتّى لَايَبْقى </w:t>
      </w:r>
      <w:r w:rsidRPr="00F543F1">
        <w:rPr>
          <w:rStyle w:val="libFootnotenumChar"/>
          <w:rtl/>
        </w:rPr>
        <w:t>(16)</w:t>
      </w:r>
      <w:r w:rsidR="00A7332E">
        <w:rPr>
          <w:rtl/>
          <w:lang w:bidi="fa-IR"/>
        </w:rPr>
        <w:t xml:space="preserve"> إِل</w:t>
      </w:r>
      <w:r w:rsidR="00A7332E">
        <w:rPr>
          <w:rFonts w:hint="cs"/>
          <w:rtl/>
          <w:lang w:bidi="fa-IR"/>
        </w:rPr>
        <w:t>َّ</w:t>
      </w:r>
      <w:r w:rsidR="00A7332E">
        <w:rPr>
          <w:rtl/>
          <w:lang w:bidi="fa-IR"/>
        </w:rPr>
        <w:t>ا</w:t>
      </w:r>
      <w:r w:rsidRPr="00132E65">
        <w:rPr>
          <w:rtl/>
          <w:lang w:bidi="fa-IR"/>
        </w:rPr>
        <w:t xml:space="preserve"> نَحْنُ و</w:t>
      </w:r>
      <w:r w:rsidR="00A7332E">
        <w:rPr>
          <w:rFonts w:hint="cs"/>
          <w:rtl/>
          <w:lang w:bidi="fa-IR"/>
        </w:rPr>
        <w:t>َ</w:t>
      </w:r>
      <w:r w:rsidRPr="00132E65">
        <w:rPr>
          <w:rtl/>
          <w:lang w:bidi="fa-IR"/>
        </w:rPr>
        <w:t>شِيعَتُنَا »</w:t>
      </w:r>
      <w:r>
        <w:rPr>
          <w:rtl/>
          <w:lang w:bidi="fa-IR"/>
        </w:rPr>
        <w:t>.</w:t>
      </w:r>
      <w:r w:rsidRPr="00132E65">
        <w:rPr>
          <w:rtl/>
          <w:lang w:bidi="fa-IR"/>
        </w:rPr>
        <w:t xml:space="preserve"> </w:t>
      </w:r>
      <w:r w:rsidRPr="00F543F1">
        <w:rPr>
          <w:rStyle w:val="libFootnotenumChar"/>
          <w:rtl/>
        </w:rPr>
        <w:t>(17)</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7332E" w:rsidTr="00A7332E">
        <w:tc>
          <w:tcPr>
            <w:tcW w:w="4006" w:type="dxa"/>
          </w:tcPr>
          <w:p w:rsidR="00A7332E" w:rsidRDefault="00A7332E" w:rsidP="000C39D1">
            <w:pPr>
              <w:pStyle w:val="libFootnote0"/>
              <w:rPr>
                <w:rtl/>
              </w:rPr>
            </w:pPr>
            <w:r>
              <w:rPr>
                <w:rtl/>
              </w:rPr>
              <w:t>(1).</w:t>
            </w:r>
            <w:r w:rsidRPr="00132E65">
              <w:rPr>
                <w:rtl/>
              </w:rPr>
              <w:t xml:space="preserve"> العنكبوت (29) : 1</w:t>
            </w:r>
            <w:r>
              <w:rPr>
                <w:rtl/>
              </w:rPr>
              <w:t xml:space="preserve"> - </w:t>
            </w:r>
            <w:r w:rsidRPr="00132E65">
              <w:rPr>
                <w:rtl/>
              </w:rPr>
              <w:t>2.</w:t>
            </w:r>
          </w:p>
        </w:tc>
        <w:tc>
          <w:tcPr>
            <w:tcW w:w="4006" w:type="dxa"/>
          </w:tcPr>
          <w:p w:rsidR="00A7332E" w:rsidRDefault="00A7332E" w:rsidP="000C39D1">
            <w:pPr>
              <w:pStyle w:val="libFootnote0"/>
              <w:rPr>
                <w:rtl/>
              </w:rPr>
            </w:pPr>
            <w:r>
              <w:rPr>
                <w:rtl/>
              </w:rPr>
              <w:t>(2).</w:t>
            </w:r>
            <w:r w:rsidRPr="00132E65">
              <w:rPr>
                <w:rtl/>
              </w:rPr>
              <w:t xml:space="preserve"> في « بر » : « ما هذه »</w:t>
            </w:r>
            <w:r>
              <w:rPr>
                <w:rtl/>
              </w:rPr>
              <w:t>.</w:t>
            </w:r>
          </w:p>
        </w:tc>
      </w:tr>
      <w:tr w:rsidR="00A7332E" w:rsidTr="00A7332E">
        <w:tc>
          <w:tcPr>
            <w:tcW w:w="4006" w:type="dxa"/>
          </w:tcPr>
          <w:p w:rsidR="00A7332E" w:rsidRDefault="00A7332E" w:rsidP="000C39D1">
            <w:pPr>
              <w:pStyle w:val="libFootnote0"/>
              <w:rPr>
                <w:rtl/>
              </w:rPr>
            </w:pPr>
            <w:r>
              <w:rPr>
                <w:rtl/>
              </w:rPr>
              <w:t>(3).</w:t>
            </w:r>
            <w:r w:rsidRPr="00132E65">
              <w:rPr>
                <w:rtl/>
              </w:rPr>
              <w:t xml:space="preserve"> في الغيبة للنعماني :</w:t>
            </w:r>
            <w:r>
              <w:rPr>
                <w:rtl/>
              </w:rPr>
              <w:t xml:space="preserve"> + </w:t>
            </w:r>
            <w:r w:rsidRPr="00132E65">
              <w:rPr>
                <w:rtl/>
              </w:rPr>
              <w:t>« أنّ »</w:t>
            </w:r>
            <w:r>
              <w:rPr>
                <w:rtl/>
              </w:rPr>
              <w:t>.</w:t>
            </w:r>
          </w:p>
        </w:tc>
        <w:tc>
          <w:tcPr>
            <w:tcW w:w="4006" w:type="dxa"/>
          </w:tcPr>
          <w:p w:rsidR="00A7332E" w:rsidRDefault="00A7332E" w:rsidP="000C39D1">
            <w:pPr>
              <w:pStyle w:val="libFootnote0"/>
              <w:rPr>
                <w:rtl/>
              </w:rPr>
            </w:pPr>
            <w:r>
              <w:rPr>
                <w:rtl/>
              </w:rPr>
              <w:t>(4).</w:t>
            </w:r>
            <w:r w:rsidRPr="00132E65">
              <w:rPr>
                <w:rtl/>
              </w:rPr>
              <w:t xml:space="preserve"> في « بر » : « يفتّنون كما يفتّن »</w:t>
            </w:r>
            <w:r>
              <w:rPr>
                <w:rtl/>
              </w:rPr>
              <w:t>.</w:t>
            </w:r>
          </w:p>
        </w:tc>
      </w:tr>
    </w:tbl>
    <w:p w:rsidR="000C39D1" w:rsidRPr="00132E65" w:rsidRDefault="000C39D1" w:rsidP="000C39D1">
      <w:pPr>
        <w:pStyle w:val="libFootnote0"/>
        <w:rPr>
          <w:rtl/>
          <w:lang w:bidi="fa-IR"/>
        </w:rPr>
      </w:pPr>
      <w:r>
        <w:rPr>
          <w:rtl/>
        </w:rPr>
        <w:t>(5).</w:t>
      </w:r>
      <w:r w:rsidRPr="00132E65">
        <w:rPr>
          <w:rtl/>
        </w:rPr>
        <w:t xml:space="preserve"> في البحار ، ج 67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(6).</w:t>
      </w:r>
      <w:r w:rsidRPr="00132E65">
        <w:rPr>
          <w:rtl/>
        </w:rPr>
        <w:t xml:space="preserve"> في « ج وبح » : « يخلّصون كما يخلّص »</w:t>
      </w:r>
      <w:r>
        <w:rPr>
          <w:rtl/>
        </w:rPr>
        <w:t>.</w:t>
      </w:r>
      <w:r w:rsidRPr="00132E65">
        <w:rPr>
          <w:rtl/>
        </w:rPr>
        <w:t xml:space="preserve"> وفي « ف » : « تخلصون كما تخلّص »</w:t>
      </w:r>
      <w:r>
        <w:rPr>
          <w:rtl/>
        </w:rPr>
        <w:t>.</w:t>
      </w:r>
      <w:r w:rsidRPr="00132E65">
        <w:rPr>
          <w:rtl/>
        </w:rPr>
        <w:t xml:space="preserve"> وفي </w:t>
      </w:r>
      <w:r w:rsidRPr="009D1ACE">
        <w:rPr>
          <w:rStyle w:val="libFootnoteBoldChar"/>
          <w:rtl/>
        </w:rPr>
        <w:t>لسان العرب</w:t>
      </w:r>
      <w:r w:rsidRPr="00132E65">
        <w:rPr>
          <w:rtl/>
        </w:rPr>
        <w:t xml:space="preserve"> ، ج 1 ، ص 394 ( ذهب ) : « الذهب ، معروف ، وربّما ا</w:t>
      </w:r>
      <w:r w:rsidR="00A7332E">
        <w:rPr>
          <w:rFonts w:hint="cs"/>
          <w:rtl/>
        </w:rPr>
        <w:t>ُ</w:t>
      </w:r>
      <w:r w:rsidRPr="00132E65">
        <w:rPr>
          <w:rtl/>
        </w:rPr>
        <w:t>نِّث »</w:t>
      </w:r>
      <w:r>
        <w:rPr>
          <w:rtl/>
        </w:rPr>
        <w:t>.</w:t>
      </w:r>
      <w:r w:rsidRPr="00132E65">
        <w:rPr>
          <w:rtl/>
        </w:rPr>
        <w:t xml:space="preserve"> وأيضاً قال : « وفي حديث عليّ</w:t>
      </w:r>
      <w:r>
        <w:rPr>
          <w:rtl/>
        </w:rPr>
        <w:t xml:space="preserve"> - </w:t>
      </w:r>
      <w:r w:rsidRPr="00132E65">
        <w:rPr>
          <w:rtl/>
        </w:rPr>
        <w:t>كرّم الله وجهه</w:t>
      </w:r>
      <w:r>
        <w:rPr>
          <w:rtl/>
        </w:rPr>
        <w:t xml:space="preserve"> - </w:t>
      </w:r>
      <w:r w:rsidRPr="00132E65">
        <w:rPr>
          <w:rtl/>
        </w:rPr>
        <w:t>فبعث من اليمن بذُهَيْبة. قال ابن الأثير : وهي تصغير ذهب ، وإدخال الهاء فيها لأنّ الذهب يؤنّث »</w:t>
      </w:r>
      <w:r>
        <w:rPr>
          <w:rtl/>
        </w:rPr>
        <w:t>.</w:t>
      </w:r>
    </w:p>
    <w:p w:rsidR="000C39D1" w:rsidRPr="00132E65" w:rsidRDefault="000C39D1" w:rsidP="000C39D1">
      <w:pPr>
        <w:pStyle w:val="libFootnote0"/>
        <w:rPr>
          <w:rtl/>
          <w:lang w:bidi="fa-IR"/>
        </w:rPr>
      </w:pPr>
      <w:r>
        <w:rPr>
          <w:rtl/>
        </w:rPr>
        <w:t>(7).</w:t>
      </w:r>
      <w:r w:rsidRPr="00132E65">
        <w:rPr>
          <w:rtl/>
        </w:rPr>
        <w:t xml:space="preserve"> </w:t>
      </w:r>
      <w:r w:rsidRPr="00A7332E">
        <w:rPr>
          <w:rStyle w:val="libFootnoteBoldChar"/>
          <w:rtl/>
        </w:rPr>
        <w:t>الغيبة للنعماني</w:t>
      </w:r>
      <w:r w:rsidRPr="00132E65">
        <w:rPr>
          <w:rtl/>
        </w:rPr>
        <w:t xml:space="preserve"> ، ص 202 ، ح 2 ، عن الكليني </w:t>
      </w:r>
      <w:r w:rsidR="00A7332E">
        <w:rPr>
          <w:rFonts w:hint="cs"/>
          <w:rtl/>
        </w:rPr>
        <w:t>.</w:t>
      </w:r>
      <w:r w:rsidRPr="009D1ACE">
        <w:rPr>
          <w:rStyle w:val="libFootnoteBoldChar"/>
          <w:rtl/>
        </w:rPr>
        <w:t>الوافي</w:t>
      </w:r>
      <w:r w:rsidRPr="00132E65">
        <w:rPr>
          <w:rtl/>
        </w:rPr>
        <w:t xml:space="preserve"> ، ج 2 ، ص 433 ، ح 947 ؛ </w:t>
      </w:r>
      <w:r w:rsidRPr="00A7332E">
        <w:rPr>
          <w:rStyle w:val="libFootnoteBoldChar"/>
          <w:rtl/>
        </w:rPr>
        <w:t>البحار</w:t>
      </w:r>
      <w:r w:rsidRPr="00132E65">
        <w:rPr>
          <w:rtl/>
        </w:rPr>
        <w:t xml:space="preserve"> ، ج 5 ، ص 219 ، ح 14 ؛ وج 67 ، ص 42.</w:t>
      </w:r>
    </w:p>
    <w:p w:rsidR="000C39D1" w:rsidRPr="00132E65" w:rsidRDefault="000C39D1" w:rsidP="00A7332E">
      <w:pPr>
        <w:pStyle w:val="libFootnote0"/>
        <w:rPr>
          <w:rtl/>
          <w:lang w:bidi="fa-IR"/>
        </w:rPr>
      </w:pPr>
      <w:r>
        <w:rPr>
          <w:rtl/>
        </w:rPr>
        <w:t>(8).</w:t>
      </w:r>
      <w:r w:rsidRPr="00132E65">
        <w:rPr>
          <w:rtl/>
        </w:rPr>
        <w:t xml:space="preserve"> « الشَمْزُ » : التقبّض. اشمأزّ اشمئزازاً : انقبض واجتمع بعضه إلى بعض. والمراد : النفرة والتجافي. راجع : </w:t>
      </w:r>
      <w:r w:rsidRPr="009D1ACE">
        <w:rPr>
          <w:rStyle w:val="libFootnoteBoldChar"/>
          <w:rtl/>
        </w:rPr>
        <w:t>لسان العرب</w:t>
      </w:r>
      <w:r w:rsidRPr="00132E65">
        <w:rPr>
          <w:rtl/>
        </w:rPr>
        <w:t xml:space="preserve"> ، ج 5 ، ص 362 ( شمز )</w:t>
      </w:r>
      <w:r>
        <w:rPr>
          <w:rtl/>
        </w:rPr>
        <w:t>.</w:t>
      </w:r>
      <w:r w:rsidR="00A7332E">
        <w:rPr>
          <w:rFonts w:hint="cs"/>
          <w:rtl/>
        </w:rPr>
        <w:t xml:space="preserve">                     </w:t>
      </w:r>
      <w:r w:rsidR="00D14011">
        <w:rPr>
          <w:rFonts w:hint="cs"/>
          <w:rtl/>
        </w:rPr>
        <w:t xml:space="preserve">          </w:t>
      </w:r>
      <w:r w:rsidR="00A7332E">
        <w:rPr>
          <w:rFonts w:hint="cs"/>
          <w:rtl/>
        </w:rPr>
        <w:t xml:space="preserve"> </w:t>
      </w:r>
      <w:r>
        <w:rPr>
          <w:rtl/>
        </w:rPr>
        <w:t>(9).</w:t>
      </w:r>
      <w:r w:rsidRPr="00132E65">
        <w:rPr>
          <w:rtl/>
        </w:rPr>
        <w:t xml:space="preserve"> في الغيبة للنعماني :</w:t>
      </w:r>
      <w:r>
        <w:rPr>
          <w:rtl/>
        </w:rPr>
        <w:t xml:space="preserve"> + </w:t>
      </w:r>
      <w:r w:rsidRPr="00132E65">
        <w:rPr>
          <w:rtl/>
        </w:rPr>
        <w:t>« فانبذوه إليهم نبذاً »</w:t>
      </w:r>
      <w:r>
        <w:rPr>
          <w:rtl/>
        </w:rPr>
        <w:t>.</w:t>
      </w:r>
    </w:p>
    <w:p w:rsidR="000C39D1" w:rsidRPr="00132E65" w:rsidRDefault="000C39D1" w:rsidP="00A7332E">
      <w:pPr>
        <w:pStyle w:val="libFootnote0"/>
        <w:rPr>
          <w:rtl/>
          <w:lang w:bidi="fa-IR"/>
        </w:rPr>
      </w:pPr>
      <w:r>
        <w:rPr>
          <w:rtl/>
        </w:rPr>
        <w:t>(10).</w:t>
      </w:r>
      <w:r w:rsidRPr="00132E65">
        <w:rPr>
          <w:rtl/>
        </w:rPr>
        <w:t xml:space="preserve"> هكذا في « ب ، ج ، ف ، بح ، بر ، بس » و</w:t>
      </w:r>
      <w:r w:rsidRPr="009D1ACE">
        <w:rPr>
          <w:rStyle w:val="libFootnoteBoldChar"/>
          <w:rtl/>
        </w:rPr>
        <w:t>الوافي</w:t>
      </w:r>
      <w:r w:rsidRPr="00132E65">
        <w:rPr>
          <w:rtl/>
        </w:rPr>
        <w:t xml:space="preserve"> والبصائر والغيبة للنعماني. وفي سائر النسخ والمطبوع : « أن‌يكون »</w:t>
      </w:r>
      <w:r>
        <w:rPr>
          <w:rtl/>
        </w:rPr>
        <w:t>.</w:t>
      </w:r>
      <w:r w:rsidR="00A7332E">
        <w:rPr>
          <w:rFonts w:hint="cs"/>
          <w:rtl/>
        </w:rPr>
        <w:t xml:space="preserve">                                             </w:t>
      </w:r>
      <w:r w:rsidR="00D14011">
        <w:rPr>
          <w:rFonts w:hint="cs"/>
          <w:rtl/>
        </w:rPr>
        <w:t xml:space="preserve"> </w:t>
      </w:r>
      <w:r w:rsidR="00A7332E">
        <w:rPr>
          <w:rFonts w:hint="cs"/>
          <w:rtl/>
        </w:rPr>
        <w:t xml:space="preserve"> </w:t>
      </w:r>
      <w:r>
        <w:rPr>
          <w:rtl/>
        </w:rPr>
        <w:t>(11).</w:t>
      </w:r>
      <w:r w:rsidRPr="00132E65">
        <w:rPr>
          <w:rtl/>
        </w:rPr>
        <w:t xml:space="preserve"> في « ف » : « تسقط »</w:t>
      </w:r>
      <w:r>
        <w:rPr>
          <w:rtl/>
        </w:rPr>
        <w:t>.</w:t>
      </w:r>
    </w:p>
    <w:p w:rsidR="000C39D1" w:rsidRPr="00132E65" w:rsidRDefault="000C39D1" w:rsidP="000C39D1">
      <w:pPr>
        <w:pStyle w:val="libFootnote0"/>
        <w:rPr>
          <w:rtl/>
          <w:lang w:bidi="fa-IR"/>
        </w:rPr>
      </w:pPr>
      <w:r>
        <w:rPr>
          <w:rtl/>
        </w:rPr>
        <w:t>(12).</w:t>
      </w:r>
      <w:r w:rsidRPr="00132E65">
        <w:rPr>
          <w:rtl/>
        </w:rPr>
        <w:t xml:space="preserve"> بِطانَةُ الرجل : صاحب سرّه وداخلة أمره الذي يشاوره في أحواله. </w:t>
      </w:r>
      <w:r w:rsidRPr="00A7332E">
        <w:rPr>
          <w:rStyle w:val="libFootnoteBoldChar"/>
          <w:rtl/>
        </w:rPr>
        <w:t>النهاية</w:t>
      </w:r>
      <w:r w:rsidRPr="00132E65">
        <w:rPr>
          <w:rtl/>
        </w:rPr>
        <w:t xml:space="preserve"> ، ج 1 ، ص 136 ( بطن )</w:t>
      </w:r>
      <w:r>
        <w:rPr>
          <w:rtl/>
        </w:rPr>
        <w:t>.</w:t>
      </w:r>
    </w:p>
    <w:p w:rsidR="000C39D1" w:rsidRPr="00132E65" w:rsidRDefault="000C39D1" w:rsidP="00A7332E">
      <w:pPr>
        <w:pStyle w:val="libFootnote0"/>
        <w:rPr>
          <w:rtl/>
          <w:lang w:bidi="fa-IR"/>
        </w:rPr>
      </w:pPr>
      <w:r>
        <w:rPr>
          <w:rtl/>
        </w:rPr>
        <w:t>(13)</w:t>
      </w:r>
      <w:r w:rsidRPr="00132E65">
        <w:rPr>
          <w:rtl/>
        </w:rPr>
        <w:t xml:space="preserve"> و</w:t>
      </w:r>
      <w:r w:rsidR="00A7332E">
        <w:rPr>
          <w:rFonts w:hint="cs"/>
          <w:rtl/>
        </w:rPr>
        <w:t>َ</w:t>
      </w:r>
      <w:r w:rsidRPr="00132E65">
        <w:rPr>
          <w:rtl/>
        </w:rPr>
        <w:t xml:space="preserve">ليجة الرجل : بِطانته ودُخلاؤه وخاصّته ومن يتّخذه معتمداً عليه من غير أهله. راجع : </w:t>
      </w:r>
      <w:r w:rsidRPr="009D1ACE">
        <w:rPr>
          <w:rStyle w:val="libFootnoteBoldChar"/>
          <w:rtl/>
        </w:rPr>
        <w:t>لسان العرب</w:t>
      </w:r>
      <w:r w:rsidRPr="00132E65">
        <w:rPr>
          <w:rtl/>
        </w:rPr>
        <w:t xml:space="preserve"> ، ج 2 ، ص 400 ؛ </w:t>
      </w:r>
      <w:r w:rsidRPr="00A7332E">
        <w:rPr>
          <w:rStyle w:val="libFootnoteBoldChar"/>
          <w:rtl/>
        </w:rPr>
        <w:t>النهاية</w:t>
      </w:r>
      <w:r w:rsidRPr="00132E65">
        <w:rPr>
          <w:rtl/>
        </w:rPr>
        <w:t xml:space="preserve"> ، ج 5 ، ص 224 ( ولج )</w:t>
      </w:r>
      <w:r>
        <w:rPr>
          <w:rtl/>
        </w:rPr>
        <w:t>.</w:t>
      </w:r>
      <w:r w:rsidR="00A7332E">
        <w:rPr>
          <w:rFonts w:hint="cs"/>
          <w:rtl/>
        </w:rPr>
        <w:t xml:space="preserve">      </w:t>
      </w:r>
      <w:r w:rsidR="00D14011">
        <w:rPr>
          <w:rFonts w:hint="cs"/>
          <w:rtl/>
        </w:rPr>
        <w:t xml:space="preserve">        </w:t>
      </w:r>
      <w:r w:rsidR="00A7332E">
        <w:rPr>
          <w:rFonts w:hint="cs"/>
          <w:rtl/>
        </w:rPr>
        <w:t xml:space="preserve"> </w:t>
      </w:r>
      <w:r>
        <w:rPr>
          <w:rtl/>
        </w:rPr>
        <w:t>(14)</w:t>
      </w:r>
      <w:r w:rsidRPr="00132E65">
        <w:rPr>
          <w:rtl/>
        </w:rPr>
        <w:t xml:space="preserve"> في « بس » : « شقّ »</w:t>
      </w:r>
      <w:r>
        <w:rPr>
          <w:rtl/>
        </w:rPr>
        <w:t>.</w:t>
      </w:r>
    </w:p>
    <w:tbl>
      <w:tblPr>
        <w:tblStyle w:val="TableGrid"/>
        <w:bidiVisual/>
        <w:tblW w:w="0" w:type="auto"/>
        <w:tblLook w:val="04A0" w:firstRow="1" w:lastRow="0" w:firstColumn="1" w:lastColumn="0" w:noHBand="0" w:noVBand="1"/>
      </w:tblPr>
      <w:tblGrid>
        <w:gridCol w:w="4006"/>
        <w:gridCol w:w="4006"/>
      </w:tblGrid>
      <w:tr w:rsidR="00A7332E" w:rsidTr="00A7332E">
        <w:tc>
          <w:tcPr>
            <w:tcW w:w="4006" w:type="dxa"/>
          </w:tcPr>
          <w:p w:rsidR="00A7332E" w:rsidRDefault="00A7332E" w:rsidP="000C39D1">
            <w:pPr>
              <w:pStyle w:val="libFootnote0"/>
              <w:rPr>
                <w:rtl/>
              </w:rPr>
            </w:pPr>
            <w:r>
              <w:rPr>
                <w:rtl/>
              </w:rPr>
              <w:t>(15)</w:t>
            </w:r>
            <w:r w:rsidRPr="00132E65">
              <w:rPr>
                <w:rtl/>
              </w:rPr>
              <w:t xml:space="preserve"> في الغيبة للنعماني : « الشعرة »</w:t>
            </w:r>
            <w:r>
              <w:rPr>
                <w:rtl/>
              </w:rPr>
              <w:t>.</w:t>
            </w:r>
          </w:p>
        </w:tc>
        <w:tc>
          <w:tcPr>
            <w:tcW w:w="4006" w:type="dxa"/>
          </w:tcPr>
          <w:p w:rsidR="00A7332E" w:rsidRDefault="00A7332E" w:rsidP="000C39D1">
            <w:pPr>
              <w:pStyle w:val="libFootnote0"/>
              <w:rPr>
                <w:rtl/>
              </w:rPr>
            </w:pPr>
            <w:r>
              <w:rPr>
                <w:rtl/>
              </w:rPr>
              <w:t>(16)</w:t>
            </w:r>
            <w:r w:rsidRPr="00132E65">
              <w:rPr>
                <w:rtl/>
              </w:rPr>
              <w:t xml:space="preserve"> في « ج ، ض » :</w:t>
            </w:r>
            <w:r>
              <w:rPr>
                <w:rtl/>
              </w:rPr>
              <w:t xml:space="preserve"> + </w:t>
            </w:r>
            <w:r w:rsidRPr="00132E65">
              <w:rPr>
                <w:rtl/>
              </w:rPr>
              <w:t>« فيها »</w:t>
            </w:r>
            <w:r>
              <w:rPr>
                <w:rtl/>
              </w:rPr>
              <w:t>.</w:t>
            </w:r>
          </w:p>
        </w:tc>
      </w:tr>
    </w:tbl>
    <w:p w:rsidR="000C39D1" w:rsidRPr="00132E65" w:rsidRDefault="000C39D1" w:rsidP="000C39D1">
      <w:pPr>
        <w:pStyle w:val="libFootnote0"/>
        <w:rPr>
          <w:rtl/>
          <w:lang w:bidi="fa-IR"/>
        </w:rPr>
      </w:pPr>
      <w:r>
        <w:rPr>
          <w:rtl/>
        </w:rPr>
        <w:t>(17)</w:t>
      </w:r>
      <w:r w:rsidRPr="00132E65">
        <w:rPr>
          <w:rtl/>
        </w:rPr>
        <w:t xml:space="preserve"> </w:t>
      </w:r>
      <w:r w:rsidRPr="00A7332E">
        <w:rPr>
          <w:rStyle w:val="libFootnoteBoldChar"/>
          <w:rtl/>
        </w:rPr>
        <w:t>الغيبة للنعماني</w:t>
      </w:r>
      <w:r w:rsidRPr="00132E65">
        <w:rPr>
          <w:rtl/>
        </w:rPr>
        <w:t xml:space="preserve"> ، ص 202 ، ح 3 ، عن الكليني. </w:t>
      </w:r>
      <w:r w:rsidRPr="007A1104">
        <w:rPr>
          <w:rStyle w:val="libFootnoteBoldChar"/>
          <w:rtl/>
        </w:rPr>
        <w:t>بصائر الدرجات</w:t>
      </w:r>
      <w:r w:rsidRPr="00132E65">
        <w:rPr>
          <w:rtl/>
        </w:rPr>
        <w:t xml:space="preserve"> ، ص 23 ، ح 14 ، بسنده عن يونس ، عن سليمة بن صالح رفعه إلى أبي جعفر </w:t>
      </w:r>
      <w:r w:rsidR="00A7332E">
        <w:rPr>
          <w:rFonts w:hint="cs"/>
          <w:rtl/>
        </w:rPr>
        <w:t>.</w:t>
      </w:r>
      <w:r w:rsidRPr="009D1ACE">
        <w:rPr>
          <w:rStyle w:val="libFootnoteBoldChar"/>
          <w:rtl/>
        </w:rPr>
        <w:t>الوافي</w:t>
      </w:r>
      <w:r w:rsidRPr="00132E65">
        <w:rPr>
          <w:rtl/>
        </w:rPr>
        <w:t xml:space="preserve"> ، ج 2 ، ص 434 ، ح 948.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DB73CB">
        <w:rPr>
          <w:rtl/>
        </w:rPr>
        <w:t>953</w:t>
      </w:r>
      <w:r w:rsidRPr="004325D8">
        <w:rPr>
          <w:rStyle w:val="libBold2Char"/>
          <w:rtl/>
        </w:rPr>
        <w:t xml:space="preserve"> / 6.</w:t>
      </w:r>
      <w:r w:rsidRPr="00132E65">
        <w:rPr>
          <w:rtl/>
          <w:lang w:bidi="fa-IR"/>
        </w:rPr>
        <w:t xml:space="preserve"> مُحَمَّدُ بْنُ الْحَسَنِ وعَلِيُّ بْنُ مُحَمَّدٍ ، عَنْ سَهْلِ بْنِ زِيَادٍ ، عَنْ مُحَمَّدِ بْنِ سِنَانٍ ، عَنْ مُحَمَّدِ بْنِ مَنْصُورٍ الصَّيْقَلِ ، عَنْ أَبِيهِ ، قَالَ :</w:t>
      </w:r>
    </w:p>
    <w:p w:rsidR="000C39D1" w:rsidRPr="00132E65" w:rsidRDefault="000C39D1" w:rsidP="000C39D1">
      <w:pPr>
        <w:pStyle w:val="libNormal"/>
        <w:rPr>
          <w:rtl/>
          <w:lang w:bidi="fa-IR"/>
        </w:rPr>
      </w:pPr>
      <w:r w:rsidRPr="00132E65">
        <w:rPr>
          <w:rtl/>
          <w:lang w:bidi="fa-IR"/>
        </w:rPr>
        <w:t xml:space="preserve">كُنْتُ أَنَا والْحَارِثُ بْنُ الْمُغِيرَةِ وجَمَاعَةٌ مِنْ أَصْحَابِنَا جُلُوساً وأَبُو عَبْدِ اللهِ </w:t>
      </w:r>
      <w:r w:rsidRPr="00071CF9">
        <w:rPr>
          <w:rStyle w:val="libAlaemChar"/>
          <w:rtl/>
        </w:rPr>
        <w:t>عليه‌السلام</w:t>
      </w:r>
      <w:r w:rsidRPr="00132E65">
        <w:rPr>
          <w:rtl/>
          <w:lang w:bidi="fa-IR"/>
        </w:rPr>
        <w:t xml:space="preserve"> يَسْمَعُ كَلَامَنَا ، فَقَالَ لَنَا : « فِي أَيِّ شَيْ‌ءٍ أَنْتُمْ</w:t>
      </w:r>
      <w:r>
        <w:rPr>
          <w:rtl/>
          <w:lang w:bidi="fa-IR"/>
        </w:rPr>
        <w:t>؟</w:t>
      </w:r>
      <w:r w:rsidRPr="00132E65">
        <w:rPr>
          <w:rtl/>
          <w:lang w:bidi="fa-IR"/>
        </w:rPr>
        <w:t xml:space="preserve"> هَيْهَاتَ هَيْهَاتَ ؛ لَا</w:t>
      </w:r>
      <w:r w:rsidR="00A7332E">
        <w:rPr>
          <w:rFonts w:hint="cs"/>
          <w:rtl/>
          <w:lang w:bidi="fa-IR"/>
        </w:rPr>
        <w:t xml:space="preserve"> </w:t>
      </w:r>
      <w:r w:rsidRPr="00132E65">
        <w:rPr>
          <w:rtl/>
          <w:lang w:bidi="fa-IR"/>
        </w:rPr>
        <w:t>وَ اللهِ ، لَايَكُونُ مَا تَمُدُّونَ إِلَيْهِ أَعْيُنَكُمْ حَتّى تُغَرْبَلُوا ؛ لَا</w:t>
      </w:r>
      <w:r w:rsidR="00A7332E">
        <w:rPr>
          <w:rFonts w:hint="cs"/>
          <w:rtl/>
          <w:lang w:bidi="fa-IR"/>
        </w:rPr>
        <w:t xml:space="preserve"> </w:t>
      </w:r>
      <w:r w:rsidRPr="00132E65">
        <w:rPr>
          <w:rtl/>
          <w:lang w:bidi="fa-IR"/>
        </w:rPr>
        <w:t xml:space="preserve">وَ اللهِ ، لَايَكُونُ </w:t>
      </w:r>
      <w:r>
        <w:rPr>
          <w:rStyle w:val="libFootnotenumChar"/>
          <w:rtl/>
        </w:rPr>
        <w:t>(1)</w:t>
      </w:r>
      <w:r w:rsidRPr="00132E65">
        <w:rPr>
          <w:rtl/>
          <w:lang w:bidi="fa-IR"/>
        </w:rPr>
        <w:t xml:space="preserve"> مَا تَمُدُّونَ إِلَيْهِ أَعْيُنَكُمْ حَتّى تُمَحَّصُوا ؛ لَاوَ اللهِ ، لَايَكُونُ </w:t>
      </w:r>
      <w:r>
        <w:rPr>
          <w:rStyle w:val="libFootnotenumChar"/>
          <w:rtl/>
        </w:rPr>
        <w:t>(2)</w:t>
      </w:r>
      <w:r w:rsidRPr="00132E65">
        <w:rPr>
          <w:rtl/>
          <w:lang w:bidi="fa-IR"/>
        </w:rPr>
        <w:t xml:space="preserve"> مَا تَمُدُّونَ إِلَيْهِ أَعْيُنَكُمْ حَتّى تُمَيَّزُوا </w:t>
      </w:r>
      <w:r>
        <w:rPr>
          <w:rStyle w:val="libFootnotenumChar"/>
          <w:rtl/>
        </w:rPr>
        <w:t>(3)</w:t>
      </w:r>
      <w:r w:rsidRPr="00132E65">
        <w:rPr>
          <w:rtl/>
          <w:lang w:bidi="fa-IR"/>
        </w:rPr>
        <w:t xml:space="preserve"> ؛ لَا</w:t>
      </w:r>
      <w:r w:rsidR="00A7332E">
        <w:rPr>
          <w:rFonts w:hint="cs"/>
          <w:rtl/>
          <w:lang w:bidi="fa-IR"/>
        </w:rPr>
        <w:t xml:space="preserve"> </w:t>
      </w:r>
      <w:r w:rsidRPr="00132E65">
        <w:rPr>
          <w:rtl/>
          <w:lang w:bidi="fa-IR"/>
        </w:rPr>
        <w:t xml:space="preserve">وَ اللهِ ، لَايَكُونُ </w:t>
      </w:r>
      <w:r>
        <w:rPr>
          <w:rStyle w:val="libFootnotenumChar"/>
          <w:rtl/>
        </w:rPr>
        <w:t>(4)</w:t>
      </w:r>
      <w:r w:rsidRPr="00132E65">
        <w:rPr>
          <w:rtl/>
          <w:lang w:bidi="fa-IR"/>
        </w:rPr>
        <w:t xml:space="preserve"> مَا تَمُدُّ</w:t>
      </w:r>
      <w:r w:rsidR="00A7332E">
        <w:rPr>
          <w:rtl/>
          <w:lang w:bidi="fa-IR"/>
        </w:rPr>
        <w:t>ونَ إِلَيْهِ أَعْيُنَكُمْ إِل</w:t>
      </w:r>
      <w:r w:rsidR="00A7332E">
        <w:rPr>
          <w:rFonts w:hint="cs"/>
          <w:rtl/>
          <w:lang w:bidi="fa-IR"/>
        </w:rPr>
        <w:t>َّ</w:t>
      </w:r>
      <w:r w:rsidR="00A7332E">
        <w:rPr>
          <w:rtl/>
          <w:lang w:bidi="fa-IR"/>
        </w:rPr>
        <w:t>ا</w:t>
      </w:r>
      <w:r w:rsidRPr="00132E65">
        <w:rPr>
          <w:rtl/>
          <w:lang w:bidi="fa-IR"/>
        </w:rPr>
        <w:t xml:space="preserve"> بَعْدَ إِيَاسٍ ؛ لَا</w:t>
      </w:r>
      <w:r w:rsidR="00A7332E">
        <w:rPr>
          <w:rFonts w:hint="cs"/>
          <w:rtl/>
          <w:lang w:bidi="fa-IR"/>
        </w:rPr>
        <w:t xml:space="preserve"> </w:t>
      </w:r>
      <w:r w:rsidRPr="00132E65">
        <w:rPr>
          <w:rtl/>
          <w:lang w:bidi="fa-IR"/>
        </w:rPr>
        <w:t xml:space="preserve">وَ اللهِ ، لَايَكُونُ </w:t>
      </w:r>
      <w:r>
        <w:rPr>
          <w:rStyle w:val="libFootnotenumChar"/>
          <w:rtl/>
        </w:rPr>
        <w:t>(5)</w:t>
      </w:r>
      <w:r w:rsidRPr="00132E65">
        <w:rPr>
          <w:rtl/>
          <w:lang w:bidi="fa-IR"/>
        </w:rPr>
        <w:t xml:space="preserve"> مَا تَمُدُّونَ إِلَيْهِ أَعْيُنَكُمْ حَتّى يَشْقى مَنْ يَشْقى ، ويَسْعَدَ مَنْ يَسْعَدُ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Heading2Center"/>
        <w:rPr>
          <w:rtl/>
          <w:lang w:bidi="fa-IR"/>
        </w:rPr>
      </w:pPr>
      <w:bookmarkStart w:id="51" w:name="_Toc459459113"/>
      <w:bookmarkStart w:id="52" w:name="_Toc34663082"/>
      <w:r w:rsidRPr="00132E65">
        <w:rPr>
          <w:rtl/>
          <w:lang w:bidi="fa-IR"/>
        </w:rPr>
        <w:t>84</w:t>
      </w:r>
      <w:r>
        <w:rPr>
          <w:rtl/>
          <w:lang w:bidi="fa-IR"/>
        </w:rPr>
        <w:t xml:space="preserve"> - </w:t>
      </w:r>
      <w:r w:rsidRPr="00132E65">
        <w:rPr>
          <w:rtl/>
          <w:lang w:bidi="fa-IR"/>
        </w:rPr>
        <w:t xml:space="preserve">بَابُ أَنَّهُ مَنْ عَرَفَ إِمَامَهُ لَمْ يَضُرَّهُ </w:t>
      </w:r>
      <w:r>
        <w:rPr>
          <w:rStyle w:val="libFootnotenumChar"/>
          <w:rtl/>
        </w:rPr>
        <w:t>(7)</w:t>
      </w:r>
      <w:r>
        <w:rPr>
          <w:rtl/>
          <w:lang w:bidi="fa-IR"/>
        </w:rPr>
        <w:t xml:space="preserve"> </w:t>
      </w:r>
      <w:r w:rsidRPr="00132E65">
        <w:rPr>
          <w:rtl/>
          <w:lang w:bidi="fa-IR"/>
        </w:rPr>
        <w:t>تَقَدَّمَ هذَا الْأَمْرُ أَوْ تَأَخَّرَ‌</w:t>
      </w:r>
      <w:bookmarkEnd w:id="51"/>
      <w:bookmarkEnd w:id="52"/>
    </w:p>
    <w:p w:rsidR="000C39D1" w:rsidRPr="00132E65" w:rsidRDefault="000C39D1" w:rsidP="000C39D1">
      <w:pPr>
        <w:pStyle w:val="libNormal"/>
        <w:rPr>
          <w:rtl/>
          <w:lang w:bidi="fa-IR"/>
        </w:rPr>
      </w:pPr>
      <w:r w:rsidRPr="00DB73CB">
        <w:rPr>
          <w:rtl/>
        </w:rPr>
        <w:t>954</w:t>
      </w:r>
      <w:r w:rsidRPr="004325D8">
        <w:rPr>
          <w:rStyle w:val="libBold2Char"/>
          <w:rtl/>
        </w:rPr>
        <w:t xml:space="preserve"> / 1.</w:t>
      </w:r>
      <w:r w:rsidRPr="00132E65">
        <w:rPr>
          <w:rtl/>
          <w:lang w:bidi="fa-IR"/>
        </w:rPr>
        <w:t xml:space="preserve"> عَلِيُّ بْنُ إِبْرَاهِيمَ ، عَنْ أَبِيهِ ، عَنْ حَمَّادِ بْنِ عِيسى ، عَنْ حَرِيزٍ ، عَنْ زُرَارَةَ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اعْرِفْ إِمَامَكَ ؛ فَإِنَّكَ إِذَا عَرَفْتَهُ </w:t>
      </w:r>
      <w:r>
        <w:rPr>
          <w:rStyle w:val="libFootnotenumChar"/>
          <w:rtl/>
        </w:rPr>
        <w:t>(8)</w:t>
      </w:r>
      <w:r w:rsidRPr="00132E65">
        <w:rPr>
          <w:rtl/>
          <w:lang w:bidi="fa-IR"/>
        </w:rPr>
        <w:t xml:space="preserve"> ، لَمْ يَضُرَّكَ تَقَدَّمَ هذَا الْأَمْرُ أَوْ‌</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B1FFC" w:rsidTr="00CB1FFC">
        <w:tc>
          <w:tcPr>
            <w:tcW w:w="4006" w:type="dxa"/>
          </w:tcPr>
          <w:p w:rsidR="00CB1FFC" w:rsidRDefault="00CB1FFC" w:rsidP="000C39D1">
            <w:pPr>
              <w:pStyle w:val="libFootnote0"/>
              <w:rPr>
                <w:rtl/>
              </w:rPr>
            </w:pPr>
            <w:r>
              <w:rPr>
                <w:rtl/>
              </w:rPr>
              <w:t>(1).</w:t>
            </w:r>
            <w:r w:rsidRPr="00132E65">
              <w:rPr>
                <w:rtl/>
              </w:rPr>
              <w:t xml:space="preserve"> في حاشية « ج » : « ما يكون »</w:t>
            </w:r>
            <w:r>
              <w:rPr>
                <w:rtl/>
              </w:rPr>
              <w:t>.</w:t>
            </w:r>
          </w:p>
        </w:tc>
        <w:tc>
          <w:tcPr>
            <w:tcW w:w="4006" w:type="dxa"/>
          </w:tcPr>
          <w:p w:rsidR="00CB1FFC" w:rsidRDefault="00CB1FFC" w:rsidP="000C39D1">
            <w:pPr>
              <w:pStyle w:val="libFootnote0"/>
              <w:rPr>
                <w:rtl/>
              </w:rPr>
            </w:pPr>
            <w:r>
              <w:rPr>
                <w:rtl/>
              </w:rPr>
              <w:t>(2).</w:t>
            </w:r>
            <w:r w:rsidRPr="00132E65">
              <w:rPr>
                <w:rtl/>
              </w:rPr>
              <w:t xml:space="preserve"> في « ف » : « ما يكون »</w:t>
            </w:r>
            <w:r>
              <w:rPr>
                <w:rtl/>
              </w:rPr>
              <w:t>.</w:t>
            </w:r>
          </w:p>
        </w:tc>
      </w:tr>
    </w:tbl>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لا والله</w:t>
      </w:r>
      <w:r>
        <w:rPr>
          <w:rtl/>
        </w:rPr>
        <w:t xml:space="preserve"> - </w:t>
      </w:r>
      <w:r w:rsidRPr="00132E65">
        <w:rPr>
          <w:rtl/>
        </w:rPr>
        <w:t>إلى</w:t>
      </w:r>
      <w:r>
        <w:rPr>
          <w:rtl/>
        </w:rPr>
        <w:t xml:space="preserve"> - </w:t>
      </w:r>
      <w:r w:rsidRPr="00132E65">
        <w:rPr>
          <w:rtl/>
        </w:rPr>
        <w:t>تميّزوا »</w:t>
      </w:r>
      <w:r>
        <w:rPr>
          <w:rtl/>
        </w:rPr>
        <w:t>.</w:t>
      </w:r>
    </w:p>
    <w:p w:rsidR="000C39D1" w:rsidRPr="00132E65" w:rsidRDefault="000C39D1" w:rsidP="000C39D1">
      <w:pPr>
        <w:pStyle w:val="libFootnote0"/>
        <w:rPr>
          <w:rtl/>
          <w:lang w:bidi="fa-IR"/>
        </w:rPr>
      </w:pPr>
      <w:r>
        <w:rPr>
          <w:rtl/>
        </w:rPr>
        <w:t>(4).</w:t>
      </w:r>
      <w:r w:rsidRPr="00132E65">
        <w:rPr>
          <w:rtl/>
        </w:rPr>
        <w:t xml:space="preserve"> هكذا في « ض ، بر » وحاشية « بف »</w:t>
      </w:r>
      <w:r>
        <w:rPr>
          <w:rtl/>
        </w:rPr>
        <w:t>.</w:t>
      </w:r>
      <w:r w:rsidRPr="00132E65">
        <w:rPr>
          <w:rtl/>
        </w:rPr>
        <w:t xml:space="preserve"> وفي سائر النسخ والمطبوع : « ما يكون »</w:t>
      </w:r>
      <w:r>
        <w:rPr>
          <w:rtl/>
        </w:rPr>
        <w:t>.</w:t>
      </w:r>
    </w:p>
    <w:p w:rsidR="000C39D1" w:rsidRPr="00132E65" w:rsidRDefault="000C39D1" w:rsidP="000C39D1">
      <w:pPr>
        <w:pStyle w:val="libFootnote0"/>
        <w:rPr>
          <w:rtl/>
          <w:lang w:bidi="fa-IR"/>
        </w:rPr>
      </w:pPr>
      <w:r>
        <w:rPr>
          <w:rtl/>
        </w:rPr>
        <w:t>(5).</w:t>
      </w:r>
      <w:r w:rsidRPr="00132E65">
        <w:rPr>
          <w:rtl/>
        </w:rPr>
        <w:t xml:space="preserve"> في « ج ، بح ، بس ، بف » </w:t>
      </w:r>
      <w:r w:rsidRPr="00312B4E">
        <w:rPr>
          <w:rtl/>
        </w:rPr>
        <w:t>و</w:t>
      </w:r>
      <w:r w:rsidR="00312B4E">
        <w:rPr>
          <w:rFonts w:hint="cs"/>
          <w:rtl/>
        </w:rPr>
        <w:t xml:space="preserve"> </w:t>
      </w:r>
      <w:r w:rsidRPr="00312B4E">
        <w:rPr>
          <w:rtl/>
        </w:rPr>
        <w:t>الوافي</w:t>
      </w:r>
      <w:r w:rsidRPr="00132E65">
        <w:rPr>
          <w:rtl/>
        </w:rPr>
        <w:t xml:space="preserve"> والبحار : « ما يكون »</w:t>
      </w:r>
      <w:r>
        <w:rPr>
          <w:rtl/>
        </w:rPr>
        <w:t>.</w:t>
      </w:r>
    </w:p>
    <w:p w:rsidR="000C39D1" w:rsidRPr="00132E65" w:rsidRDefault="000C39D1" w:rsidP="000C39D1">
      <w:pPr>
        <w:pStyle w:val="libFootnote0"/>
        <w:rPr>
          <w:rtl/>
          <w:lang w:bidi="fa-IR"/>
        </w:rPr>
      </w:pPr>
      <w:r>
        <w:rPr>
          <w:rtl/>
        </w:rPr>
        <w:t>(6).</w:t>
      </w:r>
      <w:r w:rsidRPr="00132E65">
        <w:rPr>
          <w:rtl/>
        </w:rPr>
        <w:t xml:space="preserve"> </w:t>
      </w:r>
      <w:r w:rsidRPr="00312B4E">
        <w:rPr>
          <w:rStyle w:val="libFootnoteBoldChar"/>
          <w:rtl/>
        </w:rPr>
        <w:t>الغيبة للنعماني</w:t>
      </w:r>
      <w:r w:rsidRPr="00132E65">
        <w:rPr>
          <w:rtl/>
        </w:rPr>
        <w:t xml:space="preserve"> ، ص 208 ، ذيل ح 16 ، عن الكليني. </w:t>
      </w:r>
      <w:r w:rsidRPr="00DB73CB">
        <w:rPr>
          <w:rtl/>
        </w:rPr>
        <w:t>وفيه</w:t>
      </w:r>
      <w:r w:rsidRPr="00132E65">
        <w:rPr>
          <w:rtl/>
        </w:rPr>
        <w:t xml:space="preserve"> ، ح 16 بسند آخر عن محمّد بن منصور الصيقل ، عن أبيه ، عن أبي جعفر </w:t>
      </w:r>
      <w:r w:rsidRPr="00071CF9">
        <w:rPr>
          <w:rStyle w:val="libAlaemChar"/>
          <w:rtl/>
        </w:rPr>
        <w:t>عليه‌السلام</w:t>
      </w:r>
      <w:r w:rsidRPr="00132E65">
        <w:rPr>
          <w:rtl/>
        </w:rPr>
        <w:t xml:space="preserve"> مع اختلاف يسير. وفي </w:t>
      </w:r>
      <w:r w:rsidRPr="00DB73CB">
        <w:rPr>
          <w:rtl/>
        </w:rPr>
        <w:t>الغيبة</w:t>
      </w:r>
      <w:r w:rsidRPr="00132E65">
        <w:rPr>
          <w:rtl/>
        </w:rPr>
        <w:t xml:space="preserve"> للطوسي ، ص 335 ، ح 281 ، بسنده عن محمّد بن منصور ، عن أبيه ، عن أبي عبد الله ، مع اختلاف يسير. راجع : </w:t>
      </w:r>
      <w:r w:rsidRPr="00312B4E">
        <w:rPr>
          <w:rStyle w:val="libFootnoteBoldChar"/>
          <w:rtl/>
        </w:rPr>
        <w:t>الغيبة للنعماني</w:t>
      </w:r>
      <w:r w:rsidRPr="00132E65">
        <w:rPr>
          <w:rtl/>
        </w:rPr>
        <w:t xml:space="preserve"> ، ص 208 ، ح 14 </w:t>
      </w:r>
      <w:r>
        <w:rPr>
          <w:rtl/>
        </w:rPr>
        <w:t>و 1</w:t>
      </w:r>
      <w:r w:rsidRPr="00132E65">
        <w:rPr>
          <w:rtl/>
        </w:rPr>
        <w:t xml:space="preserve">5 ؛ </w:t>
      </w:r>
      <w:r w:rsidRPr="00312B4E">
        <w:rPr>
          <w:rStyle w:val="libFootnoteBoldChar"/>
          <w:rtl/>
        </w:rPr>
        <w:t>والإرشاد</w:t>
      </w:r>
      <w:r w:rsidRPr="00132E65">
        <w:rPr>
          <w:rtl/>
        </w:rPr>
        <w:t xml:space="preserve"> ، ج 2 ، ص 375 ؛ </w:t>
      </w:r>
      <w:r w:rsidRPr="00312B4E">
        <w:rPr>
          <w:rStyle w:val="libFootnoteBoldChar"/>
          <w:rtl/>
        </w:rPr>
        <w:t>والغيبة للطوسي</w:t>
      </w:r>
      <w:r w:rsidRPr="00132E65">
        <w:rPr>
          <w:rtl/>
        </w:rPr>
        <w:t xml:space="preserve"> ، ص 336 ، ح 283 </w:t>
      </w:r>
      <w:r w:rsidR="00312B4E">
        <w:rPr>
          <w:rFonts w:hint="cs"/>
          <w:rtl/>
        </w:rPr>
        <w:t>.</w:t>
      </w:r>
      <w:r w:rsidRPr="009D1ACE">
        <w:rPr>
          <w:rStyle w:val="libFootnoteBoldChar"/>
          <w:rtl/>
        </w:rPr>
        <w:t>الوافي</w:t>
      </w:r>
      <w:r w:rsidRPr="00132E65">
        <w:rPr>
          <w:rtl/>
        </w:rPr>
        <w:t xml:space="preserve"> ، ج 2 ، ص 433 ، ح 946 ؛ </w:t>
      </w:r>
      <w:r w:rsidRPr="00312B4E">
        <w:rPr>
          <w:rStyle w:val="libFootnoteBoldChar"/>
          <w:rtl/>
        </w:rPr>
        <w:t>البحار</w:t>
      </w:r>
      <w:r w:rsidRPr="00132E65">
        <w:rPr>
          <w:rtl/>
        </w:rPr>
        <w:t xml:space="preserve"> ، ج 5 ، ص 219 ، ح 15.</w:t>
      </w:r>
    </w:p>
    <w:p w:rsidR="000C39D1" w:rsidRPr="00132E65" w:rsidRDefault="000C39D1" w:rsidP="000C39D1">
      <w:pPr>
        <w:pStyle w:val="libFootnote0"/>
        <w:rPr>
          <w:rtl/>
          <w:lang w:bidi="fa-IR"/>
        </w:rPr>
      </w:pPr>
      <w:r>
        <w:rPr>
          <w:rtl/>
        </w:rPr>
        <w:t>(7).</w:t>
      </w:r>
      <w:r w:rsidRPr="00132E65">
        <w:rPr>
          <w:rtl/>
        </w:rPr>
        <w:t xml:space="preserve"> في « ف » : « لم يغيّره »</w:t>
      </w:r>
      <w:r>
        <w:rPr>
          <w:rtl/>
        </w:rPr>
        <w:t>.</w:t>
      </w:r>
    </w:p>
    <w:p w:rsidR="000C39D1" w:rsidRPr="00132E65" w:rsidRDefault="000C39D1" w:rsidP="000C39D1">
      <w:pPr>
        <w:pStyle w:val="libFootnote0"/>
        <w:rPr>
          <w:rtl/>
          <w:lang w:bidi="fa-IR"/>
        </w:rPr>
      </w:pPr>
      <w:r>
        <w:rPr>
          <w:rtl/>
        </w:rPr>
        <w:t>(8).</w:t>
      </w:r>
      <w:r w:rsidRPr="00132E65">
        <w:rPr>
          <w:rtl/>
        </w:rPr>
        <w:t xml:space="preserve"> هكذا في النسخ التي قوبلت وشرح المازندراني و</w:t>
      </w:r>
      <w:r w:rsidRPr="009D1ACE">
        <w:rPr>
          <w:rStyle w:val="libFootnoteBoldChar"/>
          <w:rtl/>
        </w:rPr>
        <w:t>الوافي</w:t>
      </w:r>
      <w:r w:rsidRPr="00132E65">
        <w:rPr>
          <w:rtl/>
        </w:rPr>
        <w:t xml:space="preserve"> والغيبة للنعماني. وفي المطبوع : « عرفت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تَأَخَّرَ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DB73CB">
        <w:rPr>
          <w:rtl/>
        </w:rPr>
        <w:t>955</w:t>
      </w:r>
      <w:r w:rsidRPr="004325D8">
        <w:rPr>
          <w:rStyle w:val="libBold2Char"/>
          <w:rtl/>
        </w:rPr>
        <w:t xml:space="preserve"> / 2.</w:t>
      </w:r>
      <w:r w:rsidRPr="00132E65">
        <w:rPr>
          <w:rtl/>
          <w:lang w:bidi="fa-IR"/>
        </w:rPr>
        <w:t xml:space="preserve"> الْحُسَيْنُ بْنُ مُحَمَّدٍ ، عَنْ مُعَلَّى بْنِ مُحَمَّدٍ ، عَنْ مُحَمَّدِ بْنِ جُمْهُورٍ ، عَنْ صَفْوَانَ بْنِ يَحْيى ، عَنْ مُحَمَّدِ بْنِ مَرْوَانَ ، عَنِ الْفُضَيْلِ بْنِ يَسَارٍ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تَبَارَكَ وتَعَالى : </w:t>
      </w:r>
      <w:r w:rsidRPr="00071CF9">
        <w:rPr>
          <w:rStyle w:val="libAlaemChar"/>
          <w:rtl/>
        </w:rPr>
        <w:t>(</w:t>
      </w:r>
      <w:r w:rsidRPr="00071CF9">
        <w:rPr>
          <w:rStyle w:val="libAieChar"/>
          <w:rtl/>
        </w:rPr>
        <w:t xml:space="preserve"> يَوْمَ نَدْعُوا كُلَّ أُناسٍ بِإِمامِهِمْ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فَقَالَ : « يَا فُضَيْلُ ، اعْرِفْ إِمَامَكَ ؛ فَإِنَّكَ إِذَا عَرَفْتَ إِمَامَكَ ، لَمْ يَضُرَّكَ تَقَدَّمَ هذَا الْأَمْرُ أَوْ تَأَخَّرَ ؛ ومَنْ عَرَفَ إِمَامَهُ ، ثُمَّ مَاتَ قَبْلَ أَنْ يَقُومَ صَاحِبُ هذَا الْأَمْرِ ، كَانَ بِمَنْزِلَةِ مَنْ كَانَ قَاعِداً فِي عَسْكَرِهِ ؛ لَا ، بَلْ </w:t>
      </w:r>
      <w:r>
        <w:rPr>
          <w:rStyle w:val="libFootnotenumChar"/>
          <w:rtl/>
        </w:rPr>
        <w:t>(3)</w:t>
      </w:r>
      <w:r w:rsidRPr="00132E65">
        <w:rPr>
          <w:rtl/>
          <w:lang w:bidi="fa-IR"/>
        </w:rPr>
        <w:t xml:space="preserve"> بِمَنْزِلَةِ مَنْ قَعَدَ تَحْتَ لِوَائِهِ »</w:t>
      </w:r>
      <w:r>
        <w:rPr>
          <w:rtl/>
          <w:lang w:bidi="fa-IR"/>
        </w:rPr>
        <w:t>.</w:t>
      </w:r>
    </w:p>
    <w:p w:rsidR="000C39D1" w:rsidRPr="00132E65" w:rsidRDefault="000C39D1" w:rsidP="000C39D1">
      <w:pPr>
        <w:pStyle w:val="libNormal"/>
        <w:rPr>
          <w:rtl/>
          <w:lang w:bidi="fa-IR"/>
        </w:rPr>
      </w:pPr>
      <w:r w:rsidRPr="00132E65">
        <w:rPr>
          <w:rtl/>
          <w:lang w:bidi="fa-IR"/>
        </w:rPr>
        <w:t xml:space="preserve">قَالَ : وقَالَ بَعْضُ أَصْحَابِهِ </w:t>
      </w:r>
      <w:r>
        <w:rPr>
          <w:rStyle w:val="libFootnotenumChar"/>
          <w:rtl/>
        </w:rPr>
        <w:t>(4)</w:t>
      </w:r>
      <w:r w:rsidRPr="00132E65">
        <w:rPr>
          <w:rtl/>
          <w:lang w:bidi="fa-IR"/>
        </w:rPr>
        <w:t xml:space="preserve"> : بِمَنْزِلَةِ مَنِ اسْتُشْهِدَ مَعَ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DB73CB">
        <w:rPr>
          <w:rtl/>
        </w:rPr>
        <w:t>956</w:t>
      </w:r>
      <w:r w:rsidRPr="004325D8">
        <w:rPr>
          <w:rStyle w:val="libBold2Char"/>
          <w:rtl/>
        </w:rPr>
        <w:t xml:space="preserve"> / 3.</w:t>
      </w:r>
      <w:r w:rsidRPr="00132E65">
        <w:rPr>
          <w:rtl/>
          <w:lang w:bidi="fa-IR"/>
        </w:rPr>
        <w:t xml:space="preserve"> عَلِيُّ بْنُ مُحَمَّدٍ رَفَعَهُ ، عَنْ </w:t>
      </w:r>
      <w:r>
        <w:rPr>
          <w:rStyle w:val="libFootnotenumChar"/>
          <w:rtl/>
        </w:rPr>
        <w:t>(6)</w:t>
      </w:r>
      <w:r w:rsidRPr="00132E65">
        <w:rPr>
          <w:rtl/>
          <w:lang w:bidi="fa-IR"/>
        </w:rPr>
        <w:t xml:space="preserve"> عَلِيِّ بْنِ أَبِي حَمْزَةَ ، عَنْ أَبِي بَصِيرٍ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جُعِلْتُ فِدَاكَ ، مَتَى الْفَرَجُ</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(7)</w:t>
      </w:r>
      <w:r w:rsidRPr="00132E65">
        <w:rPr>
          <w:rtl/>
          <w:lang w:bidi="fa-IR"/>
        </w:rPr>
        <w:t xml:space="preserve"> : « يَا أَبَا بَصِيرٍ ، وأَنْتَ مِمَّنْ يُرِيدُ الدُّنْيَا ، مَنْ عَرَفَ هذَا الْأَمْرَ ، فَقَدْ فُرِّجَ </w:t>
      </w:r>
      <w:r>
        <w:rPr>
          <w:rStyle w:val="libFootnotenumChar"/>
          <w:rtl/>
        </w:rPr>
        <w:t>(8)</w:t>
      </w:r>
      <w:r w:rsidRPr="00132E65">
        <w:rPr>
          <w:rtl/>
          <w:lang w:bidi="fa-IR"/>
        </w:rPr>
        <w:t xml:space="preserve"> عَنْهُ ؛ لِانْتِظَارِهِ </w:t>
      </w:r>
      <w:r>
        <w:rPr>
          <w:rStyle w:val="libFootnotenumChar"/>
          <w:rtl/>
        </w:rPr>
        <w:t>(9)</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DB73CB">
        <w:rPr>
          <w:rtl/>
        </w:rPr>
        <w:t>957</w:t>
      </w:r>
      <w:r w:rsidRPr="004325D8">
        <w:rPr>
          <w:rStyle w:val="libBold2Char"/>
          <w:rtl/>
        </w:rPr>
        <w:t xml:space="preserve"> / 4.</w:t>
      </w:r>
      <w:r w:rsidRPr="00132E65">
        <w:rPr>
          <w:rtl/>
          <w:lang w:bidi="fa-IR"/>
        </w:rPr>
        <w:t xml:space="preserve"> عَلِيُّ بْنُ إِبْرَاهِيمَ ، عَنْ صَالِحِ بْنِ السِّنْدِيِّ ، عَنْ جَعْفَرِ بْنِ بَشِيرٍ ، عَنْ إِسْمَاعِيلَ بْنِ مُحَمَّدٍ الْخُزَاعِيِّ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DB73CB">
        <w:rPr>
          <w:rtl/>
        </w:rPr>
        <w:t>الغيبة</w:t>
      </w:r>
      <w:r w:rsidRPr="00132E65">
        <w:rPr>
          <w:rtl/>
        </w:rPr>
        <w:t xml:space="preserve"> للنعماني ، ص 329 ، ح 1 ، عن الكليني </w:t>
      </w:r>
      <w:r w:rsidR="00312B4E">
        <w:rPr>
          <w:rFonts w:hint="cs"/>
          <w:rtl/>
        </w:rPr>
        <w:t>.</w:t>
      </w:r>
      <w:r w:rsidRPr="009D1ACE">
        <w:rPr>
          <w:rStyle w:val="libFootnoteBoldChar"/>
          <w:rtl/>
        </w:rPr>
        <w:t>الوافي</w:t>
      </w:r>
      <w:r w:rsidRPr="00132E65">
        <w:rPr>
          <w:rtl/>
        </w:rPr>
        <w:t xml:space="preserve"> ، ج 2 ، ص 435 ، ح 949.</w:t>
      </w:r>
    </w:p>
    <w:tbl>
      <w:tblPr>
        <w:tblStyle w:val="TableGrid"/>
        <w:bidiVisual/>
        <w:tblW w:w="0" w:type="auto"/>
        <w:tblLook w:val="04A0" w:firstRow="1" w:lastRow="0" w:firstColumn="1" w:lastColumn="0" w:noHBand="0" w:noVBand="1"/>
      </w:tblPr>
      <w:tblGrid>
        <w:gridCol w:w="4006"/>
        <w:gridCol w:w="4006"/>
      </w:tblGrid>
      <w:tr w:rsidR="00312B4E" w:rsidTr="00312B4E">
        <w:tc>
          <w:tcPr>
            <w:tcW w:w="4006" w:type="dxa"/>
          </w:tcPr>
          <w:p w:rsidR="00312B4E" w:rsidRDefault="00312B4E" w:rsidP="000C39D1">
            <w:pPr>
              <w:pStyle w:val="libFootnote0"/>
              <w:rPr>
                <w:rtl/>
              </w:rPr>
            </w:pPr>
            <w:r>
              <w:rPr>
                <w:rtl/>
              </w:rPr>
              <w:t>(2).</w:t>
            </w:r>
            <w:r w:rsidRPr="00132E65">
              <w:rPr>
                <w:rtl/>
              </w:rPr>
              <w:t xml:space="preserve"> الإسراء (17) : 71.</w:t>
            </w:r>
          </w:p>
        </w:tc>
        <w:tc>
          <w:tcPr>
            <w:tcW w:w="4006" w:type="dxa"/>
          </w:tcPr>
          <w:p w:rsidR="00312B4E" w:rsidRDefault="00312B4E" w:rsidP="000C39D1">
            <w:pPr>
              <w:pStyle w:val="libFootnote0"/>
              <w:rPr>
                <w:rtl/>
              </w:rPr>
            </w:pPr>
            <w:r>
              <w:rPr>
                <w:rtl/>
              </w:rPr>
              <w:t>(3).</w:t>
            </w:r>
            <w:r w:rsidRPr="00132E65">
              <w:rPr>
                <w:rtl/>
              </w:rPr>
              <w:t xml:space="preserve"> في « ب » </w:t>
            </w:r>
            <w:r>
              <w:rPr>
                <w:rtl/>
              </w:rPr>
              <w:t xml:space="preserve">: - </w:t>
            </w:r>
            <w:r w:rsidRPr="00132E65">
              <w:rPr>
                <w:rtl/>
              </w:rPr>
              <w:t>« بل »</w:t>
            </w:r>
            <w:r>
              <w:rPr>
                <w:rtl/>
              </w:rPr>
              <w:t>.</w:t>
            </w:r>
          </w:p>
        </w:tc>
      </w:tr>
    </w:tbl>
    <w:p w:rsidR="000C39D1" w:rsidRPr="00132E65" w:rsidRDefault="000C39D1" w:rsidP="000C39D1">
      <w:pPr>
        <w:pStyle w:val="libFootnote0"/>
        <w:rPr>
          <w:rtl/>
          <w:lang w:bidi="fa-IR"/>
        </w:rPr>
      </w:pPr>
      <w:r>
        <w:rPr>
          <w:rtl/>
        </w:rPr>
        <w:t>(4).</w:t>
      </w:r>
      <w:r w:rsidRPr="00132E65">
        <w:rPr>
          <w:rtl/>
        </w:rPr>
        <w:t xml:space="preserve"> في « ف » :</w:t>
      </w:r>
      <w:r>
        <w:rPr>
          <w:rtl/>
        </w:rPr>
        <w:t xml:space="preserve"> + </w:t>
      </w:r>
      <w:r w:rsidRPr="00132E65">
        <w:rPr>
          <w:rtl/>
        </w:rPr>
        <w:t>« بل »</w:t>
      </w:r>
      <w:r>
        <w:rPr>
          <w:rtl/>
        </w:rPr>
        <w:t>.</w:t>
      </w:r>
      <w:r w:rsidRPr="00132E65">
        <w:rPr>
          <w:rtl/>
        </w:rPr>
        <w:t xml:space="preserve"> وفي الغيبة للنعماني ، ص 329 : « أصحابنا »</w:t>
      </w:r>
      <w:r>
        <w:rPr>
          <w:rtl/>
        </w:rPr>
        <w:t>.</w:t>
      </w:r>
    </w:p>
    <w:p w:rsidR="000C39D1" w:rsidRPr="00132E65" w:rsidRDefault="000C39D1" w:rsidP="000C39D1">
      <w:pPr>
        <w:pStyle w:val="libFootnote0"/>
        <w:rPr>
          <w:rtl/>
          <w:lang w:bidi="fa-IR"/>
        </w:rPr>
      </w:pPr>
      <w:r>
        <w:rPr>
          <w:rtl/>
        </w:rPr>
        <w:t>(5).</w:t>
      </w:r>
      <w:r w:rsidRPr="00132E65">
        <w:rPr>
          <w:rtl/>
        </w:rPr>
        <w:t xml:space="preserve"> </w:t>
      </w:r>
      <w:r w:rsidRPr="00312B4E">
        <w:rPr>
          <w:rStyle w:val="libFootnoteBoldChar"/>
          <w:rtl/>
        </w:rPr>
        <w:t>الغيبة للنعماني</w:t>
      </w:r>
      <w:r w:rsidRPr="00132E65">
        <w:rPr>
          <w:rtl/>
        </w:rPr>
        <w:t xml:space="preserve"> ، ص 329 ، ح 2 ، عن الكليني. </w:t>
      </w:r>
      <w:r w:rsidRPr="00DB73CB">
        <w:rPr>
          <w:rtl/>
        </w:rPr>
        <w:t>وفيه</w:t>
      </w:r>
      <w:r w:rsidRPr="00132E65">
        <w:rPr>
          <w:rtl/>
        </w:rPr>
        <w:t xml:space="preserve"> ، ص 331 ، ح 7 ، بسند آخر ؛ </w:t>
      </w:r>
      <w:r w:rsidRPr="00312B4E">
        <w:rPr>
          <w:rStyle w:val="libFootnoteBoldChar"/>
          <w:rtl/>
        </w:rPr>
        <w:t>الغيبة للطوسي</w:t>
      </w:r>
      <w:r w:rsidRPr="00132E65">
        <w:rPr>
          <w:rtl/>
        </w:rPr>
        <w:t xml:space="preserve"> ، ص 459 ، ح 472 ، بسند آخر من دون الإسناد إلى المعصوم </w:t>
      </w:r>
      <w:r w:rsidRPr="00312B4E">
        <w:rPr>
          <w:rStyle w:val="libFootnoteAlaemChar"/>
          <w:rtl/>
        </w:rPr>
        <w:t>عليه‌السلام</w:t>
      </w:r>
      <w:r w:rsidRPr="00132E65">
        <w:rPr>
          <w:rtl/>
        </w:rPr>
        <w:t xml:space="preserve"> ، وفيهما مع اختلاف </w:t>
      </w:r>
      <w:r w:rsidR="00312B4E">
        <w:rPr>
          <w:rFonts w:hint="cs"/>
          <w:rtl/>
        </w:rPr>
        <w:t>.</w:t>
      </w:r>
      <w:r w:rsidRPr="009D1ACE">
        <w:rPr>
          <w:rStyle w:val="libFootnoteBoldChar"/>
          <w:rtl/>
        </w:rPr>
        <w:t>الوافي</w:t>
      </w:r>
      <w:r w:rsidRPr="00132E65">
        <w:rPr>
          <w:rtl/>
        </w:rPr>
        <w:t xml:space="preserve"> ، ج 2 ، ص 435 ، ح 950.</w:t>
      </w:r>
    </w:p>
    <w:tbl>
      <w:tblPr>
        <w:tblStyle w:val="TableGrid"/>
        <w:bidiVisual/>
        <w:tblW w:w="0" w:type="auto"/>
        <w:tblLook w:val="04A0" w:firstRow="1" w:lastRow="0" w:firstColumn="1" w:lastColumn="0" w:noHBand="0" w:noVBand="1"/>
      </w:tblPr>
      <w:tblGrid>
        <w:gridCol w:w="4006"/>
        <w:gridCol w:w="4006"/>
      </w:tblGrid>
      <w:tr w:rsidR="00312B4E" w:rsidTr="00312B4E">
        <w:tc>
          <w:tcPr>
            <w:tcW w:w="4006" w:type="dxa"/>
          </w:tcPr>
          <w:p w:rsidR="00312B4E" w:rsidRDefault="00312B4E" w:rsidP="000C39D1">
            <w:pPr>
              <w:pStyle w:val="libFootnote0"/>
              <w:rPr>
                <w:rtl/>
              </w:rPr>
            </w:pPr>
            <w:r>
              <w:rPr>
                <w:rtl/>
              </w:rPr>
              <w:t>(6).</w:t>
            </w:r>
            <w:r w:rsidRPr="00132E65">
              <w:rPr>
                <w:rtl/>
              </w:rPr>
              <w:t xml:space="preserve"> في الغيبة للنعماني : « إلى »</w:t>
            </w:r>
            <w:r>
              <w:rPr>
                <w:rtl/>
              </w:rPr>
              <w:t>.</w:t>
            </w:r>
          </w:p>
        </w:tc>
        <w:tc>
          <w:tcPr>
            <w:tcW w:w="4006" w:type="dxa"/>
          </w:tcPr>
          <w:p w:rsidR="00312B4E" w:rsidRDefault="00312B4E" w:rsidP="000C39D1">
            <w:pPr>
              <w:pStyle w:val="libFootnote0"/>
              <w:rPr>
                <w:rtl/>
              </w:rPr>
            </w:pPr>
            <w:r>
              <w:rPr>
                <w:rtl/>
              </w:rPr>
              <w:t>(7).</w:t>
            </w:r>
            <w:r w:rsidRPr="00132E65">
              <w:rPr>
                <w:rtl/>
              </w:rPr>
              <w:t xml:space="preserve"> في « ج » : « قال »</w:t>
            </w:r>
            <w:r>
              <w:rPr>
                <w:rtl/>
              </w:rPr>
              <w:t>.</w:t>
            </w:r>
          </w:p>
        </w:tc>
      </w:tr>
    </w:tbl>
    <w:p w:rsidR="000C39D1" w:rsidRPr="00132E65" w:rsidRDefault="000C39D1" w:rsidP="000C39D1">
      <w:pPr>
        <w:pStyle w:val="libFootnote0"/>
        <w:rPr>
          <w:rtl/>
          <w:lang w:bidi="fa-IR"/>
        </w:rPr>
      </w:pPr>
      <w:r>
        <w:rPr>
          <w:rtl/>
        </w:rPr>
        <w:t>(8).</w:t>
      </w:r>
      <w:r w:rsidRPr="00132E65">
        <w:rPr>
          <w:rtl/>
        </w:rPr>
        <w:t xml:space="preserve"> احتمل المجلسي في </w:t>
      </w:r>
      <w:r w:rsidRPr="009D1ACE">
        <w:rPr>
          <w:rStyle w:val="libFootnoteBoldChar"/>
          <w:rtl/>
        </w:rPr>
        <w:t>مرآة العقول</w:t>
      </w:r>
      <w:r w:rsidRPr="00132E65">
        <w:rPr>
          <w:rtl/>
        </w:rPr>
        <w:t xml:space="preserve"> كون « فرج » على بناء المجرّد أيضاً.</w:t>
      </w:r>
    </w:p>
    <w:p w:rsidR="000C39D1" w:rsidRPr="00132E65" w:rsidRDefault="000C39D1" w:rsidP="000C39D1">
      <w:pPr>
        <w:pStyle w:val="libFootnote0"/>
        <w:rPr>
          <w:rtl/>
          <w:lang w:bidi="fa-IR"/>
        </w:rPr>
      </w:pPr>
      <w:r>
        <w:rPr>
          <w:rtl/>
        </w:rPr>
        <w:t>(9).</w:t>
      </w:r>
      <w:r w:rsidRPr="00132E65">
        <w:rPr>
          <w:rtl/>
        </w:rPr>
        <w:t xml:space="preserve"> في الغيبة للنعماني : « بانتظاره »</w:t>
      </w:r>
      <w:r>
        <w:rPr>
          <w:rtl/>
        </w:rPr>
        <w:t>.</w:t>
      </w:r>
    </w:p>
    <w:p w:rsidR="000C39D1" w:rsidRPr="00132E65" w:rsidRDefault="000C39D1" w:rsidP="000C39D1">
      <w:pPr>
        <w:pStyle w:val="libFootnote0"/>
        <w:rPr>
          <w:rtl/>
          <w:lang w:bidi="fa-IR"/>
        </w:rPr>
      </w:pPr>
      <w:r>
        <w:rPr>
          <w:rtl/>
        </w:rPr>
        <w:t>(10).</w:t>
      </w:r>
      <w:r w:rsidRPr="00132E65">
        <w:rPr>
          <w:rtl/>
        </w:rPr>
        <w:t xml:space="preserve"> </w:t>
      </w:r>
      <w:r w:rsidRPr="00312B4E">
        <w:rPr>
          <w:rStyle w:val="libFootnoteBoldChar"/>
          <w:rtl/>
        </w:rPr>
        <w:t>الغيبة للنعماني</w:t>
      </w:r>
      <w:r w:rsidRPr="00132E65">
        <w:rPr>
          <w:rtl/>
        </w:rPr>
        <w:t xml:space="preserve"> ، ص 330 ، ح 3 ، عن الكليني </w:t>
      </w:r>
      <w:r w:rsidR="00312B4E">
        <w:rPr>
          <w:rFonts w:hint="cs"/>
          <w:rtl/>
        </w:rPr>
        <w:t>.</w:t>
      </w:r>
      <w:r w:rsidRPr="009D1ACE">
        <w:rPr>
          <w:rStyle w:val="libFootnoteBoldChar"/>
          <w:rtl/>
        </w:rPr>
        <w:t>الوافي</w:t>
      </w:r>
      <w:r w:rsidRPr="00132E65">
        <w:rPr>
          <w:rtl/>
        </w:rPr>
        <w:t xml:space="preserve"> ، ج 2 ، ص 437 ، ح 955.</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سَأَلَ أَبُو بَصِيرٍ أَبَا عَبْدِ اللهِ </w:t>
      </w:r>
      <w:r w:rsidRPr="00071CF9">
        <w:rPr>
          <w:rStyle w:val="libAlaemChar"/>
          <w:rtl/>
        </w:rPr>
        <w:t>عليه‌السلام</w:t>
      </w:r>
      <w:r w:rsidRPr="00132E65">
        <w:rPr>
          <w:rtl/>
          <w:lang w:bidi="fa-IR"/>
        </w:rPr>
        <w:t xml:space="preserve"> وأَنَا أَسْمَعُ ، فَقَالَ : تَرَانِي أُدْرِكُ الْقَائِمَ </w:t>
      </w:r>
      <w:r w:rsidRPr="00071CF9">
        <w:rPr>
          <w:rStyle w:val="libAlaemChar"/>
          <w:rtl/>
        </w:rPr>
        <w:t>عليه‌السلام</w:t>
      </w:r>
      <w:r>
        <w:rPr>
          <w:rtl/>
          <w:lang w:bidi="fa-IR"/>
        </w:rPr>
        <w:t>؟</w:t>
      </w:r>
    </w:p>
    <w:p w:rsidR="000C39D1" w:rsidRPr="00132E65" w:rsidRDefault="000C39D1" w:rsidP="00312B4E">
      <w:pPr>
        <w:pStyle w:val="libNormal"/>
        <w:rPr>
          <w:rtl/>
          <w:lang w:bidi="fa-IR"/>
        </w:rPr>
      </w:pPr>
      <w:r w:rsidRPr="00132E65">
        <w:rPr>
          <w:rtl/>
          <w:lang w:bidi="fa-IR"/>
        </w:rPr>
        <w:t>فَقَالَ : « يَا أَبَا بَصِي</w:t>
      </w:r>
      <w:r>
        <w:rPr>
          <w:rtl/>
          <w:lang w:bidi="fa-IR"/>
        </w:rPr>
        <w:t>رٍ ، أَ</w:t>
      </w:r>
      <w:r w:rsidRPr="00132E65">
        <w:rPr>
          <w:rtl/>
          <w:lang w:bidi="fa-IR"/>
        </w:rPr>
        <w:t>لَسْتَ تَعْرِفُ إِمَامَكَ</w:t>
      </w:r>
      <w:r>
        <w:rPr>
          <w:rtl/>
          <w:lang w:bidi="fa-IR"/>
        </w:rPr>
        <w:t>؟</w:t>
      </w:r>
      <w:r w:rsidRPr="00132E65">
        <w:rPr>
          <w:rtl/>
          <w:lang w:bidi="fa-IR"/>
        </w:rPr>
        <w:t xml:space="preserve"> » فَقَالَ : إِي و</w:t>
      </w:r>
      <w:r w:rsidR="00312B4E">
        <w:rPr>
          <w:rFonts w:hint="cs"/>
          <w:rtl/>
          <w:lang w:bidi="fa-IR"/>
        </w:rPr>
        <w:t>َ</w:t>
      </w:r>
      <w:r w:rsidRPr="00132E65">
        <w:rPr>
          <w:rtl/>
          <w:lang w:bidi="fa-IR"/>
        </w:rPr>
        <w:t>اللهِ ، و</w:t>
      </w:r>
      <w:r w:rsidR="00312B4E">
        <w:rPr>
          <w:rFonts w:hint="cs"/>
          <w:rtl/>
          <w:lang w:bidi="fa-IR"/>
        </w:rPr>
        <w:t xml:space="preserve">َ </w:t>
      </w:r>
      <w:r w:rsidRPr="00132E65">
        <w:rPr>
          <w:rtl/>
          <w:lang w:bidi="fa-IR"/>
        </w:rPr>
        <w:t>أَنْتَ هُوَ</w:t>
      </w:r>
      <w:r>
        <w:rPr>
          <w:rtl/>
          <w:lang w:bidi="fa-IR"/>
        </w:rPr>
        <w:t xml:space="preserve"> </w:t>
      </w:r>
      <w:r w:rsidR="00312B4E">
        <w:rPr>
          <w:rFonts w:hint="cs"/>
          <w:rtl/>
          <w:lang w:bidi="fa-IR"/>
        </w:rPr>
        <w:t>-</w:t>
      </w:r>
      <w:r>
        <w:rPr>
          <w:rtl/>
          <w:lang w:bidi="fa-IR"/>
        </w:rPr>
        <w:t xml:space="preserve"> </w:t>
      </w:r>
      <w:r w:rsidRPr="00132E65">
        <w:rPr>
          <w:rtl/>
          <w:lang w:bidi="fa-IR"/>
        </w:rPr>
        <w:t>و</w:t>
      </w:r>
      <w:r w:rsidR="00312B4E">
        <w:rPr>
          <w:rFonts w:hint="cs"/>
          <w:rtl/>
          <w:lang w:bidi="fa-IR"/>
        </w:rPr>
        <w:t xml:space="preserve">َ </w:t>
      </w:r>
      <w:r w:rsidRPr="00132E65">
        <w:rPr>
          <w:rtl/>
          <w:lang w:bidi="fa-IR"/>
        </w:rPr>
        <w:t xml:space="preserve">تَنَاوَلَ </w:t>
      </w:r>
      <w:r>
        <w:rPr>
          <w:rStyle w:val="libFootnotenumChar"/>
          <w:rtl/>
        </w:rPr>
        <w:t>(1)</w:t>
      </w:r>
      <w:r w:rsidRPr="00132E65">
        <w:rPr>
          <w:rtl/>
          <w:lang w:bidi="fa-IR"/>
        </w:rPr>
        <w:t xml:space="preserve"> يَدَهُ </w:t>
      </w:r>
      <w:r>
        <w:rPr>
          <w:rStyle w:val="libFootnotenumChar"/>
          <w:rtl/>
        </w:rPr>
        <w:t>(2)</w:t>
      </w:r>
      <w:r>
        <w:rPr>
          <w:rtl/>
          <w:lang w:bidi="fa-IR"/>
        </w:rPr>
        <w:t xml:space="preserve"> - </w:t>
      </w:r>
      <w:r w:rsidRPr="00132E65">
        <w:rPr>
          <w:rtl/>
          <w:lang w:bidi="fa-IR"/>
        </w:rPr>
        <w:t>فَقَالَ : « وَاللهِ ، مَا ت</w:t>
      </w:r>
      <w:r w:rsidR="00312B4E">
        <w:rPr>
          <w:rtl/>
          <w:lang w:bidi="fa-IR"/>
        </w:rPr>
        <w:t>ُبَالِي يَا أَبَا بَصِيرٍ أَل</w:t>
      </w:r>
      <w:r w:rsidR="00312B4E">
        <w:rPr>
          <w:rFonts w:hint="cs"/>
          <w:rtl/>
          <w:lang w:bidi="fa-IR"/>
        </w:rPr>
        <w:t>َّ</w:t>
      </w:r>
      <w:r w:rsidR="00312B4E">
        <w:rPr>
          <w:rtl/>
          <w:lang w:bidi="fa-IR"/>
        </w:rPr>
        <w:t>ا</w:t>
      </w:r>
      <w:r w:rsidRPr="00132E65">
        <w:rPr>
          <w:rtl/>
          <w:lang w:bidi="fa-IR"/>
        </w:rPr>
        <w:t xml:space="preserve"> تَكُونَ مُحْتَبِياً </w:t>
      </w:r>
      <w:r>
        <w:rPr>
          <w:rStyle w:val="libFootnotenumChar"/>
          <w:rtl/>
        </w:rPr>
        <w:t>(3)</w:t>
      </w:r>
      <w:r w:rsidRPr="00132E65">
        <w:rPr>
          <w:rtl/>
          <w:lang w:bidi="fa-IR"/>
        </w:rPr>
        <w:t xml:space="preserve"> بِسَيْفِكَ فِي ظِلِّ رِوَاقِ </w:t>
      </w:r>
      <w:r>
        <w:rPr>
          <w:rStyle w:val="libFootnotenumChar"/>
          <w:rtl/>
        </w:rPr>
        <w:t>(4)</w:t>
      </w:r>
      <w:r w:rsidRPr="00132E65">
        <w:rPr>
          <w:rtl/>
          <w:lang w:bidi="fa-IR"/>
        </w:rPr>
        <w:t xml:space="preserve"> الْقَائِمِ صَلَوَاتُ اللهِ عَلَيْهِ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DB73CB">
        <w:rPr>
          <w:rtl/>
        </w:rPr>
        <w:t>958</w:t>
      </w:r>
      <w:r w:rsidRPr="004325D8">
        <w:rPr>
          <w:rStyle w:val="libBold2Char"/>
          <w:rtl/>
        </w:rPr>
        <w:t xml:space="preserve"> / 5.</w:t>
      </w:r>
      <w:r w:rsidRPr="00132E65">
        <w:rPr>
          <w:rtl/>
          <w:lang w:bidi="fa-IR"/>
        </w:rPr>
        <w:t xml:space="preserve"> عِدَّةٌ مِنْ أَصْحَابِنَا ، عَنْ أَحْمَدَ بْنِ مُحَمَّدٍ ، عَنْ عَلِيِّ بْنِ النُّعْمَانِ ، عَنْ مُحَمَّدِ بْنِ مَرْوَانَ ، عَنْ فُضَيْلِ بْنِ يَسَارٍ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مَنْ مَاتَ و</w:t>
      </w:r>
      <w:r w:rsidR="00AB055E">
        <w:rPr>
          <w:rFonts w:hint="cs"/>
          <w:rtl/>
          <w:lang w:bidi="fa-IR"/>
        </w:rPr>
        <w:t>َ</w:t>
      </w:r>
      <w:r w:rsidRPr="00132E65">
        <w:rPr>
          <w:rtl/>
          <w:lang w:bidi="fa-IR"/>
        </w:rPr>
        <w:t xml:space="preserve">لَيْسَ لَهُ إِمَامٌ ، فَمِيتَتُهُ </w:t>
      </w:r>
      <w:r>
        <w:rPr>
          <w:rStyle w:val="libFootnotenumChar"/>
          <w:rtl/>
        </w:rPr>
        <w:t>(6)</w:t>
      </w:r>
      <w:r w:rsidRPr="00132E65">
        <w:rPr>
          <w:rtl/>
          <w:lang w:bidi="fa-IR"/>
        </w:rPr>
        <w:t xml:space="preserve"> مِيتَةُ جَاهِلِيَّةٍ </w:t>
      </w:r>
      <w:r>
        <w:rPr>
          <w:rStyle w:val="libFootnotenumChar"/>
          <w:rtl/>
        </w:rPr>
        <w:t>(7)</w:t>
      </w:r>
      <w:r w:rsidRPr="00132E65">
        <w:rPr>
          <w:rtl/>
          <w:lang w:bidi="fa-IR"/>
        </w:rPr>
        <w:t xml:space="preserve"> ؛ و</w:t>
      </w:r>
      <w:r w:rsidR="00AB055E">
        <w:rPr>
          <w:rFonts w:hint="cs"/>
          <w:rtl/>
          <w:lang w:bidi="fa-IR"/>
        </w:rPr>
        <w:t>َ</w:t>
      </w:r>
      <w:r w:rsidRPr="00132E65">
        <w:rPr>
          <w:rtl/>
          <w:lang w:bidi="fa-IR"/>
        </w:rPr>
        <w:t>مَنْ مَاتَ و</w:t>
      </w:r>
      <w:r w:rsidR="00AB055E">
        <w:rPr>
          <w:rFonts w:hint="cs"/>
          <w:rtl/>
          <w:lang w:bidi="fa-IR"/>
        </w:rPr>
        <w:t>َ</w:t>
      </w:r>
      <w:r w:rsidRPr="00132E65">
        <w:rPr>
          <w:rtl/>
          <w:lang w:bidi="fa-IR"/>
        </w:rPr>
        <w:t>هُوَ عَارِفٌ لِإِمَامِهِ ، لَمْ يَضُرَّهُ تَقَدَّمَ هذَا الْأَمْرُ أَوْ تَأَخَّرَ ؛ و</w:t>
      </w:r>
      <w:r w:rsidR="00AB055E">
        <w:rPr>
          <w:rFonts w:hint="cs"/>
          <w:rtl/>
          <w:lang w:bidi="fa-IR"/>
        </w:rPr>
        <w:t>َ</w:t>
      </w:r>
      <w:r w:rsidRPr="00132E65">
        <w:rPr>
          <w:rtl/>
          <w:lang w:bidi="fa-IR"/>
        </w:rPr>
        <w:t xml:space="preserve">مَنْ مَاتَ وهُوَ عَارِفٌ لِإِمَامِهِ ، كَانَ كَمَنْ هُوَ </w:t>
      </w:r>
      <w:r>
        <w:rPr>
          <w:rStyle w:val="libFootnotenumChar"/>
          <w:rtl/>
        </w:rPr>
        <w:t>(8)</w:t>
      </w:r>
      <w:r w:rsidRPr="00132E65">
        <w:rPr>
          <w:rtl/>
          <w:lang w:bidi="fa-IR"/>
        </w:rPr>
        <w:t xml:space="preserve"> مَعَ الْقَائِمِ فِي فُسْطَاطِهِ </w:t>
      </w:r>
      <w:r>
        <w:rPr>
          <w:rStyle w:val="libFootnotenumChar"/>
          <w:rtl/>
        </w:rPr>
        <w:t>(9)</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 « تناوله »</w:t>
      </w:r>
      <w:r>
        <w:rPr>
          <w:rtl/>
        </w:rPr>
        <w:t>.</w:t>
      </w:r>
    </w:p>
    <w:p w:rsidR="000C39D1" w:rsidRPr="00132E65" w:rsidRDefault="000C39D1" w:rsidP="000C39D1">
      <w:pPr>
        <w:pStyle w:val="libFootnote0"/>
        <w:rPr>
          <w:rtl/>
          <w:lang w:bidi="fa-IR"/>
        </w:rPr>
      </w:pPr>
      <w:r>
        <w:rPr>
          <w:rtl/>
        </w:rPr>
        <w:t>(2).</w:t>
      </w:r>
      <w:r w:rsidRPr="00132E65">
        <w:rPr>
          <w:rtl/>
        </w:rPr>
        <w:t xml:space="preserve"> في حاشية « ج » : « بيده »</w:t>
      </w:r>
      <w:r>
        <w:rPr>
          <w:rtl/>
        </w:rPr>
        <w:t>.</w:t>
      </w:r>
    </w:p>
    <w:p w:rsidR="000C39D1" w:rsidRPr="00132E65" w:rsidRDefault="000C39D1" w:rsidP="000C39D1">
      <w:pPr>
        <w:pStyle w:val="libFootnote0"/>
        <w:rPr>
          <w:rtl/>
          <w:lang w:bidi="fa-IR"/>
        </w:rPr>
      </w:pPr>
      <w:r>
        <w:rPr>
          <w:rtl/>
        </w:rPr>
        <w:t>(3).</w:t>
      </w:r>
      <w:r w:rsidRPr="00132E65">
        <w:rPr>
          <w:rtl/>
        </w:rPr>
        <w:t xml:space="preserve"> الاحتباء بالثوب : الاشتمال. أو هو أن يضمّ الإنسان رجليه إلى بطنه بثوب يجمعهما به مع ظهره ويشدّه عليها. راجع : </w:t>
      </w:r>
      <w:r w:rsidRPr="009D1ACE">
        <w:rPr>
          <w:rStyle w:val="libFootnoteBoldChar"/>
          <w:rtl/>
        </w:rPr>
        <w:t>لسان العرب</w:t>
      </w:r>
      <w:r w:rsidRPr="00132E65">
        <w:rPr>
          <w:rtl/>
        </w:rPr>
        <w:t xml:space="preserve"> ، ج 12 ، ص 160 ( حبا )</w:t>
      </w:r>
      <w:r>
        <w:rPr>
          <w:rtl/>
        </w:rPr>
        <w:t>.</w:t>
      </w:r>
    </w:p>
    <w:p w:rsidR="000C39D1" w:rsidRPr="00132E65" w:rsidRDefault="000C39D1" w:rsidP="000C39D1">
      <w:pPr>
        <w:pStyle w:val="libFootnote0"/>
        <w:rPr>
          <w:rtl/>
          <w:lang w:bidi="fa-IR"/>
        </w:rPr>
      </w:pPr>
      <w:r>
        <w:rPr>
          <w:rtl/>
        </w:rPr>
        <w:t>(4).</w:t>
      </w:r>
      <w:r w:rsidRPr="00132E65">
        <w:rPr>
          <w:rtl/>
        </w:rPr>
        <w:t xml:space="preserve"> « الرِواق » </w:t>
      </w:r>
      <w:r>
        <w:rPr>
          <w:rtl/>
        </w:rPr>
        <w:t>و «</w:t>
      </w:r>
      <w:r w:rsidRPr="00132E65">
        <w:rPr>
          <w:rtl/>
        </w:rPr>
        <w:t xml:space="preserve"> الرُواق » : بيت كالفسطاط ، أو سقف في مقدّم البيت. </w:t>
      </w:r>
      <w:r w:rsidRPr="00AB055E">
        <w:rPr>
          <w:rStyle w:val="libFootnoteBoldChar"/>
          <w:rtl/>
        </w:rPr>
        <w:t>القاموس المحيط</w:t>
      </w:r>
      <w:r w:rsidRPr="00132E65">
        <w:rPr>
          <w:rtl/>
        </w:rPr>
        <w:t xml:space="preserve"> ، ج 2 ، ص 1180 ( روق )</w:t>
      </w:r>
      <w:r>
        <w:rPr>
          <w:rtl/>
        </w:rPr>
        <w:t>.</w:t>
      </w:r>
    </w:p>
    <w:p w:rsidR="000C39D1" w:rsidRPr="00132E65" w:rsidRDefault="000C39D1" w:rsidP="000C39D1">
      <w:pPr>
        <w:pStyle w:val="libFootnote0"/>
        <w:rPr>
          <w:rtl/>
          <w:lang w:bidi="fa-IR"/>
        </w:rPr>
      </w:pPr>
      <w:r>
        <w:rPr>
          <w:rtl/>
        </w:rPr>
        <w:t>(5).</w:t>
      </w:r>
      <w:r w:rsidRPr="00132E65">
        <w:rPr>
          <w:rtl/>
        </w:rPr>
        <w:t xml:space="preserve"> </w:t>
      </w:r>
      <w:r w:rsidRPr="00AB055E">
        <w:rPr>
          <w:rStyle w:val="libFootnoteBoldChar"/>
          <w:rtl/>
        </w:rPr>
        <w:t>الغيبة للنعماني</w:t>
      </w:r>
      <w:r w:rsidRPr="00132E65">
        <w:rPr>
          <w:rtl/>
        </w:rPr>
        <w:t xml:space="preserve"> ، ص 330 ، ح 4 ، عن الكليني </w:t>
      </w:r>
      <w:r w:rsidR="00AB055E">
        <w:rPr>
          <w:rFonts w:hint="cs"/>
          <w:rtl/>
        </w:rPr>
        <w:t>.</w:t>
      </w:r>
      <w:r w:rsidRPr="009D1ACE">
        <w:rPr>
          <w:rStyle w:val="libFootnoteBoldChar"/>
          <w:rtl/>
        </w:rPr>
        <w:t>الوافي</w:t>
      </w:r>
      <w:r w:rsidRPr="00132E65">
        <w:rPr>
          <w:rtl/>
        </w:rPr>
        <w:t xml:space="preserve"> ، ج 2 ، ص 437 ، ح 954.</w:t>
      </w:r>
    </w:p>
    <w:p w:rsidR="000C39D1" w:rsidRPr="00132E65" w:rsidRDefault="000C39D1" w:rsidP="000C39D1">
      <w:pPr>
        <w:pStyle w:val="libFootnote0"/>
        <w:rPr>
          <w:rtl/>
          <w:lang w:bidi="fa-IR"/>
        </w:rPr>
      </w:pPr>
      <w:r>
        <w:rPr>
          <w:rtl/>
        </w:rPr>
        <w:t>(6).</w:t>
      </w:r>
      <w:r w:rsidRPr="00132E65">
        <w:rPr>
          <w:rtl/>
        </w:rPr>
        <w:t xml:space="preserve"> في المحاسن : « فموته »</w:t>
      </w:r>
      <w:r>
        <w:rPr>
          <w:rtl/>
        </w:rPr>
        <w:t>.</w:t>
      </w:r>
    </w:p>
    <w:p w:rsidR="000C39D1" w:rsidRPr="00132E65" w:rsidRDefault="000C39D1" w:rsidP="000C39D1">
      <w:pPr>
        <w:pStyle w:val="libFootnote0"/>
        <w:rPr>
          <w:rtl/>
          <w:lang w:bidi="fa-IR"/>
        </w:rPr>
      </w:pPr>
      <w:r>
        <w:rPr>
          <w:rtl/>
        </w:rPr>
        <w:t>(7).</w:t>
      </w:r>
      <w:r w:rsidRPr="00132E65">
        <w:rPr>
          <w:rtl/>
        </w:rPr>
        <w:t xml:space="preserve"> في المحاسن :</w:t>
      </w:r>
      <w:r>
        <w:rPr>
          <w:rtl/>
        </w:rPr>
        <w:t xml:space="preserve"> + </w:t>
      </w:r>
      <w:r w:rsidRPr="00132E65">
        <w:rPr>
          <w:rtl/>
        </w:rPr>
        <w:t>« ولا يعذر الناس حتّى يعرفوا إمامهم »</w:t>
      </w:r>
      <w:r>
        <w:rPr>
          <w:rtl/>
        </w:rPr>
        <w:t>.</w:t>
      </w:r>
      <w:r w:rsidRPr="00132E65">
        <w:rPr>
          <w:rtl/>
        </w:rPr>
        <w:t xml:space="preserve"> وفي </w:t>
      </w:r>
      <w:r w:rsidRPr="009D1ACE">
        <w:rPr>
          <w:rStyle w:val="libFootnoteBoldChar"/>
          <w:rtl/>
        </w:rPr>
        <w:t>مرآة العقول</w:t>
      </w:r>
      <w:r w:rsidR="00AB055E">
        <w:rPr>
          <w:rtl/>
        </w:rPr>
        <w:t xml:space="preserve"> ، ج 4 ، ص 190 : « الم</w:t>
      </w:r>
      <w:r w:rsidR="00AB055E">
        <w:rPr>
          <w:rFonts w:hint="cs"/>
          <w:rtl/>
        </w:rPr>
        <w:t>ـِ</w:t>
      </w:r>
      <w:r w:rsidRPr="00132E65">
        <w:rPr>
          <w:rtl/>
        </w:rPr>
        <w:t>يتَةُ بالكسر : مصدر نوعيّ ، وميتة جاهليّة ، تركيب إضافيّ ، أو توصيفي »</w:t>
      </w:r>
      <w:r>
        <w:rPr>
          <w:rtl/>
        </w:rPr>
        <w:t>.</w:t>
      </w:r>
    </w:p>
    <w:p w:rsidR="000C39D1" w:rsidRPr="00132E65" w:rsidRDefault="000C39D1" w:rsidP="000C39D1">
      <w:pPr>
        <w:pStyle w:val="libFootnote0"/>
        <w:rPr>
          <w:rtl/>
          <w:lang w:bidi="fa-IR"/>
        </w:rPr>
      </w:pPr>
      <w:r>
        <w:rPr>
          <w:rtl/>
        </w:rPr>
        <w:t>(8).</w:t>
      </w:r>
      <w:r w:rsidRPr="00132E65">
        <w:rPr>
          <w:rtl/>
        </w:rPr>
        <w:t xml:space="preserve"> في المحاسن :</w:t>
      </w:r>
      <w:r>
        <w:rPr>
          <w:rtl/>
        </w:rPr>
        <w:t xml:space="preserve"> + </w:t>
      </w:r>
      <w:r w:rsidRPr="00132E65">
        <w:rPr>
          <w:rtl/>
        </w:rPr>
        <w:t>« قائم »</w:t>
      </w:r>
      <w:r>
        <w:rPr>
          <w:rtl/>
        </w:rPr>
        <w:t>.</w:t>
      </w:r>
    </w:p>
    <w:p w:rsidR="000C39D1" w:rsidRPr="00132E65" w:rsidRDefault="000C39D1" w:rsidP="000C39D1">
      <w:pPr>
        <w:pStyle w:val="libFootnote0"/>
        <w:rPr>
          <w:rtl/>
          <w:lang w:bidi="fa-IR"/>
        </w:rPr>
      </w:pPr>
      <w:r>
        <w:rPr>
          <w:rtl/>
        </w:rPr>
        <w:t>(9).</w:t>
      </w:r>
      <w:r w:rsidRPr="00132E65">
        <w:rPr>
          <w:rtl/>
        </w:rPr>
        <w:t xml:space="preserve"> قال الجوهري : « الفُسْطاطُ : بيت من شَعَرٍ ، وفيه ثلاث لغات : فُسْطاطٌ ، وفُسْتاط ، وفُسّاطٌ. وكسر الفاء لغة فيهنّ »</w:t>
      </w:r>
      <w:r>
        <w:rPr>
          <w:rtl/>
        </w:rPr>
        <w:t>.</w:t>
      </w:r>
      <w:r w:rsidRPr="00132E65">
        <w:rPr>
          <w:rtl/>
        </w:rPr>
        <w:t xml:space="preserve"> </w:t>
      </w:r>
      <w:r w:rsidRPr="00DB73CB">
        <w:rPr>
          <w:rtl/>
        </w:rPr>
        <w:t>الصحاح</w:t>
      </w:r>
      <w:r w:rsidRPr="00132E65">
        <w:rPr>
          <w:rtl/>
        </w:rPr>
        <w:t xml:space="preserve"> ، ج 3 ، ص 1150 ( فسط )</w:t>
      </w:r>
      <w:r>
        <w:rPr>
          <w:rtl/>
        </w:rPr>
        <w:t>.</w:t>
      </w:r>
    </w:p>
    <w:p w:rsidR="000C39D1" w:rsidRPr="00132E65" w:rsidRDefault="000C39D1" w:rsidP="000C39D1">
      <w:pPr>
        <w:pStyle w:val="libFootnote0"/>
        <w:rPr>
          <w:rtl/>
          <w:lang w:bidi="fa-IR"/>
        </w:rPr>
      </w:pPr>
      <w:r>
        <w:rPr>
          <w:rtl/>
        </w:rPr>
        <w:t>(10).</w:t>
      </w:r>
      <w:r w:rsidRPr="00132E65">
        <w:rPr>
          <w:rtl/>
        </w:rPr>
        <w:t xml:space="preserve"> </w:t>
      </w:r>
      <w:r w:rsidRPr="00AB055E">
        <w:rPr>
          <w:rStyle w:val="libFootnoteBoldChar"/>
          <w:rtl/>
        </w:rPr>
        <w:t>الغيبة للنعماني</w:t>
      </w:r>
      <w:r w:rsidRPr="00132E65">
        <w:rPr>
          <w:rtl/>
        </w:rPr>
        <w:t xml:space="preserve"> ، ص 330 ، ح 5 ، عن الكليني. </w:t>
      </w:r>
      <w:r w:rsidRPr="00AB055E">
        <w:rPr>
          <w:rStyle w:val="libFootnoteBoldChar"/>
          <w:rtl/>
        </w:rPr>
        <w:t>المحاسن</w:t>
      </w:r>
      <w:r w:rsidRPr="00132E65">
        <w:rPr>
          <w:rtl/>
        </w:rPr>
        <w:t xml:space="preserve"> ، ص 155 ، كتاب الصفوة ، ح 85 ، عن أبيه ، عن عليّ بن نعمان ، </w:t>
      </w:r>
      <w:r w:rsidRPr="000577A7">
        <w:rPr>
          <w:rStyle w:val="libFootnoteBoldChar"/>
          <w:rtl/>
        </w:rPr>
        <w:t>الكافي</w:t>
      </w:r>
      <w:r w:rsidRPr="00132E65">
        <w:rPr>
          <w:rtl/>
        </w:rPr>
        <w:t xml:space="preserve"> ، كتاب الحجّة ، باب من مات وليس له إمام</w:t>
      </w:r>
      <w:r>
        <w:rPr>
          <w:rtl/>
        </w:rPr>
        <w:t xml:space="preserve"> ..</w:t>
      </w:r>
      <w:r w:rsidRPr="00132E65">
        <w:rPr>
          <w:rtl/>
        </w:rPr>
        <w:t xml:space="preserve">. ، ح 978 ، بسنده عن الفضيل بن يسار ، عن أبي عبدالله </w:t>
      </w:r>
      <w:r w:rsidRPr="00D14011">
        <w:rPr>
          <w:rStyle w:val="libFootnoteAlaemChar"/>
          <w:rtl/>
        </w:rPr>
        <w:t>عليه‌السلام</w:t>
      </w:r>
      <w:r w:rsidRPr="00132E65">
        <w:rPr>
          <w:rtl/>
        </w:rPr>
        <w:t xml:space="preserve"> ، عن رسول الله </w:t>
      </w:r>
      <w:r w:rsidRPr="00D14011">
        <w:rPr>
          <w:rStyle w:val="libFootnoteAlaemChar"/>
          <w:rFonts w:eastAsiaTheme="minorHAnsi"/>
          <w:rtl/>
        </w:rPr>
        <w:t>صلى‌الله‌عليه‌وآله</w:t>
      </w:r>
      <w:r w:rsidRPr="00132E65">
        <w:rPr>
          <w:rtl/>
          <w:lang w:bidi="fa-IR"/>
        </w:rPr>
        <w:t xml:space="preserve"> </w:t>
      </w:r>
      <w:r w:rsidRPr="00132E65">
        <w:rPr>
          <w:rtl/>
        </w:rPr>
        <w:t xml:space="preserve">، إلى قوله : « فميتته ميتة الجاهليّة » مع اختلاف يسير وزيادة في آخره </w:t>
      </w:r>
      <w:r w:rsidR="00005057">
        <w:rPr>
          <w:rFonts w:hint="cs"/>
          <w:rtl/>
        </w:rPr>
        <w:t>.</w:t>
      </w:r>
      <w:r w:rsidRPr="009D1ACE">
        <w:rPr>
          <w:rStyle w:val="libFootnoteBoldChar"/>
          <w:rtl/>
        </w:rPr>
        <w:t>الوافي</w:t>
      </w:r>
      <w:r w:rsidRPr="00132E65">
        <w:rPr>
          <w:rtl/>
        </w:rPr>
        <w:t xml:space="preserve"> ، ج 2 ، ص 436 ، ح 952.</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DB73CB">
        <w:rPr>
          <w:rtl/>
        </w:rPr>
        <w:t>959</w:t>
      </w:r>
      <w:r w:rsidRPr="004325D8">
        <w:rPr>
          <w:rStyle w:val="libBold2Char"/>
          <w:rtl/>
        </w:rPr>
        <w:t xml:space="preserve"> / 6.</w:t>
      </w:r>
      <w:r w:rsidRPr="00132E65">
        <w:rPr>
          <w:rtl/>
          <w:lang w:bidi="fa-IR"/>
        </w:rPr>
        <w:t xml:space="preserve"> الْحُسَيْنُ </w:t>
      </w:r>
      <w:r>
        <w:rPr>
          <w:rStyle w:val="libFootnotenumChar"/>
          <w:rtl/>
        </w:rPr>
        <w:t>(1)</w:t>
      </w:r>
      <w:r w:rsidRPr="00132E65">
        <w:rPr>
          <w:rtl/>
          <w:lang w:bidi="fa-IR"/>
        </w:rPr>
        <w:t xml:space="preserve"> بْنُ عَلِيٍّ الْعَلَوِيُّ ، عَنْ سَهْلِ بْنِ جُمْهُورٍ ، عَنْ عَبْدِ الْعَظِيمِ بْنِ عَبْدِ اللهِ الْحَسَنِيِّ ، عَنِ الْحَسَنِ بْنِ الْحُسَيْنِ الْعُرَنِيِّ ، عَنْ عَلِيِّ بْنِ هَاشِمٍ ، عَنْ أَبِيهِ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مَا ضَرَّ مَنْ مَاتَ</w:t>
      </w:r>
      <w:r w:rsidR="00005057">
        <w:rPr>
          <w:rtl/>
          <w:lang w:bidi="fa-IR"/>
        </w:rPr>
        <w:t xml:space="preserve"> مُنْتَظِراً لِأَمْرِنَا أَل</w:t>
      </w:r>
      <w:r w:rsidR="00005057">
        <w:rPr>
          <w:rFonts w:hint="cs"/>
          <w:rtl/>
          <w:lang w:bidi="fa-IR"/>
        </w:rPr>
        <w:t>َّ</w:t>
      </w:r>
      <w:r w:rsidR="00005057">
        <w:rPr>
          <w:rtl/>
          <w:lang w:bidi="fa-IR"/>
        </w:rPr>
        <w:t>ا</w:t>
      </w:r>
      <w:r w:rsidRPr="00132E65">
        <w:rPr>
          <w:rtl/>
          <w:lang w:bidi="fa-IR"/>
        </w:rPr>
        <w:t xml:space="preserve"> يَمُوتَ فِي و</w:t>
      </w:r>
      <w:r w:rsidR="00005057">
        <w:rPr>
          <w:rFonts w:hint="cs"/>
          <w:rtl/>
          <w:lang w:bidi="fa-IR"/>
        </w:rPr>
        <w:t>َ</w:t>
      </w:r>
      <w:r w:rsidRPr="00132E65">
        <w:rPr>
          <w:rtl/>
          <w:lang w:bidi="fa-IR"/>
        </w:rPr>
        <w:t xml:space="preserve">سَطِ فُسْطَاطِ الْمَهْدِيِّ </w:t>
      </w:r>
      <w:r>
        <w:rPr>
          <w:rStyle w:val="libFootnotenumChar"/>
          <w:rtl/>
        </w:rPr>
        <w:t>(2)</w:t>
      </w:r>
      <w:r w:rsidRPr="00132E65">
        <w:rPr>
          <w:rtl/>
          <w:lang w:bidi="fa-IR"/>
        </w:rPr>
        <w:t xml:space="preserve"> أَوْ </w:t>
      </w:r>
      <w:r>
        <w:rPr>
          <w:rStyle w:val="libFootnotenumChar"/>
          <w:rtl/>
        </w:rPr>
        <w:t>(3)</w:t>
      </w:r>
      <w:r w:rsidRPr="00132E65">
        <w:rPr>
          <w:rtl/>
          <w:lang w:bidi="fa-IR"/>
        </w:rPr>
        <w:t xml:space="preserve"> عَسْكَرِهِ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DB73CB">
        <w:rPr>
          <w:rtl/>
        </w:rPr>
        <w:t>960</w:t>
      </w:r>
      <w:r w:rsidRPr="004325D8">
        <w:rPr>
          <w:rStyle w:val="libBold2Char"/>
          <w:rtl/>
        </w:rPr>
        <w:t xml:space="preserve"> / 7.</w:t>
      </w:r>
      <w:r w:rsidRPr="00132E65">
        <w:rPr>
          <w:rtl/>
          <w:lang w:bidi="fa-IR"/>
        </w:rPr>
        <w:t xml:space="preserve"> عَلِيُّ بْنُ مُحَمَّدٍ ، عَنْ سَهْلِ بْنِ زِيَادٍ ، عَنِ الْحُسَيْنِ بْنِ سَعِيدٍ ، عَنْ فَضَالَةَ بْنِ أَيُّوبَ ، عَنْ عُمَرَ بْنِ أَبَانٍ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اعْرِفِ الْعَلَامَةَ </w:t>
      </w:r>
      <w:r>
        <w:rPr>
          <w:rStyle w:val="libFootnotenumChar"/>
          <w:rtl/>
        </w:rPr>
        <w:t>(5)</w:t>
      </w:r>
      <w:r w:rsidRPr="00132E65">
        <w:rPr>
          <w:rtl/>
          <w:lang w:bidi="fa-IR"/>
        </w:rPr>
        <w:t xml:space="preserve"> ؛ فَإِذَا عَرَفْتَهُ لَمْ يَضُرَّكَ تَقَدَّمَ هذَا الْأَمْرُ أَوْ تَأَخَّرَ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يَوْمَ نَدْعُوا كُلَّ أُناسٍ بِإِمامِهِمْ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فَمَنْ عَرَفَ‌</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كذا في النسخ والمطبوع ، ويروي المصنّف في </w:t>
      </w:r>
      <w:r w:rsidRPr="000577A7">
        <w:rPr>
          <w:rStyle w:val="libFootnoteBoldChar"/>
          <w:rtl/>
        </w:rPr>
        <w:t>الكافي</w:t>
      </w:r>
      <w:r w:rsidRPr="00132E65">
        <w:rPr>
          <w:rtl/>
        </w:rPr>
        <w:t xml:space="preserve"> ، ح 1374 ، عن الحسن بن عليّ العلوي بعض</w:t>
      </w:r>
      <w:r w:rsidR="00005057">
        <w:rPr>
          <w:rFonts w:hint="cs"/>
          <w:rtl/>
        </w:rPr>
        <w:t xml:space="preserve"> </w:t>
      </w:r>
      <w:r w:rsidRPr="00132E65">
        <w:rPr>
          <w:rtl/>
        </w:rPr>
        <w:t xml:space="preserve">‌التوقيعات الواردة من الناحية المقدّسة ، كما يروي عنه عن سهل بن جمهور ، عن عبد العظيم بن عبد الله بن الحسن بن الحسين العرني في </w:t>
      </w:r>
      <w:r w:rsidRPr="000577A7">
        <w:rPr>
          <w:rStyle w:val="libFootnoteBoldChar"/>
          <w:rtl/>
        </w:rPr>
        <w:t>الكافي</w:t>
      </w:r>
      <w:r w:rsidRPr="00132E65">
        <w:rPr>
          <w:rtl/>
        </w:rPr>
        <w:t xml:space="preserve"> ، ح 4107 </w:t>
      </w:r>
      <w:r>
        <w:rPr>
          <w:rtl/>
        </w:rPr>
        <w:t>و 5</w:t>
      </w:r>
      <w:r w:rsidRPr="00132E65">
        <w:rPr>
          <w:rtl/>
        </w:rPr>
        <w:t>229.</w:t>
      </w:r>
    </w:p>
    <w:p w:rsidR="000C39D1" w:rsidRPr="00132E65" w:rsidRDefault="000C39D1" w:rsidP="000C39D1">
      <w:pPr>
        <w:pStyle w:val="libFootnote0"/>
        <w:rPr>
          <w:rtl/>
          <w:lang w:bidi="fa-IR"/>
        </w:rPr>
      </w:pPr>
      <w:r w:rsidRPr="00E55206">
        <w:rPr>
          <w:rtl/>
        </w:rPr>
        <w:t xml:space="preserve">فعليه يحتمل كون الصواب في سندنا هذا أيضاً هو « الحسن » ، وأنّه هو الحسن بن عليّ الدينوري العلوي الذي روى عنه عليّ بن الحسين بن بابويه والد الصدوق ؛ فإنّه والكليني في طبقة واحدة. راجع : </w:t>
      </w:r>
      <w:r w:rsidRPr="00D21E6B">
        <w:rPr>
          <w:rStyle w:val="libFootnoteBoldChar"/>
          <w:rtl/>
        </w:rPr>
        <w:t>رجال النجاشي</w:t>
      </w:r>
      <w:r w:rsidRPr="00E55206">
        <w:rPr>
          <w:rtl/>
        </w:rPr>
        <w:t xml:space="preserve"> ، ص 176 ، الرقم 464 ؛ </w:t>
      </w:r>
      <w:r w:rsidRPr="00D21E6B">
        <w:rPr>
          <w:rStyle w:val="libFootnoteBoldChar"/>
          <w:rtl/>
        </w:rPr>
        <w:t>الفهرست للطوسي</w:t>
      </w:r>
      <w:r w:rsidRPr="00E55206">
        <w:rPr>
          <w:rtl/>
        </w:rPr>
        <w:t xml:space="preserve"> ، ص 211 ، الرقم 314 ؛ </w:t>
      </w:r>
      <w:r w:rsidRPr="00D21E6B">
        <w:rPr>
          <w:rStyle w:val="libFootnoteBoldChar"/>
          <w:rtl/>
        </w:rPr>
        <w:t>رجال الطوسي</w:t>
      </w:r>
      <w:r w:rsidRPr="00E55206">
        <w:rPr>
          <w:rtl/>
        </w:rPr>
        <w:t xml:space="preserve"> ، ص 426 ، الرقم 6633.</w:t>
      </w:r>
    </w:p>
    <w:p w:rsidR="000C39D1" w:rsidRPr="00132E65" w:rsidRDefault="000C39D1" w:rsidP="000C39D1">
      <w:pPr>
        <w:pStyle w:val="libFootnote0"/>
        <w:rPr>
          <w:rtl/>
          <w:lang w:bidi="fa-IR"/>
        </w:rPr>
      </w:pPr>
      <w:r w:rsidRPr="00E55206">
        <w:rPr>
          <w:rtl/>
        </w:rPr>
        <w:t xml:space="preserve">ثمّ إنّ الظاهر اتّحاد الحسن بن عليّ هذا مع الحسن بن عليّ الهاشمي الذي يروي عنه الكليني في بعض الأسناد. راجع : </w:t>
      </w:r>
      <w:r w:rsidRPr="00D21E6B">
        <w:rPr>
          <w:rStyle w:val="libFootnoteBoldChar"/>
          <w:rtl/>
        </w:rPr>
        <w:t>معجم رجال الحديث</w:t>
      </w:r>
      <w:r w:rsidRPr="00E55206">
        <w:rPr>
          <w:rtl/>
        </w:rPr>
        <w:t xml:space="preserve"> ، ج 5 ، ص 74 ، الرقم 3033. والتفصيل موكول إلى محلّه.</w:t>
      </w:r>
    </w:p>
    <w:p w:rsidR="000C39D1" w:rsidRPr="00132E65" w:rsidRDefault="000C39D1" w:rsidP="000C39D1">
      <w:pPr>
        <w:pStyle w:val="libFootnote0"/>
        <w:rPr>
          <w:rtl/>
          <w:lang w:bidi="fa-IR"/>
        </w:rPr>
      </w:pPr>
      <w:r>
        <w:rPr>
          <w:rtl/>
        </w:rPr>
        <w:t>(2).</w:t>
      </w:r>
      <w:r w:rsidRPr="00132E65">
        <w:rPr>
          <w:rtl/>
        </w:rPr>
        <w:t xml:space="preserve"> في </w:t>
      </w:r>
      <w:r w:rsidRPr="00D21E6B">
        <w:rPr>
          <w:rStyle w:val="libFootnoteBoldChar"/>
          <w:rtl/>
        </w:rPr>
        <w:t>شرح المازندراني</w:t>
      </w:r>
      <w:r w:rsidRPr="00132E65">
        <w:rPr>
          <w:rtl/>
        </w:rPr>
        <w:t xml:space="preserve"> </w:t>
      </w:r>
      <w:r w:rsidR="00D21E6B">
        <w:rPr>
          <w:rtl/>
        </w:rPr>
        <w:t>، ج 6 ، ص 325 : « أل</w:t>
      </w:r>
      <w:r w:rsidR="00D21E6B">
        <w:rPr>
          <w:rFonts w:hint="cs"/>
          <w:rtl/>
        </w:rPr>
        <w:t>ّ</w:t>
      </w:r>
      <w:r w:rsidR="00D21E6B">
        <w:rPr>
          <w:rtl/>
        </w:rPr>
        <w:t>ا</w:t>
      </w:r>
      <w:r w:rsidRPr="00132E65">
        <w:rPr>
          <w:rtl/>
        </w:rPr>
        <w:t xml:space="preserve"> يموت » بفتح الهمزة فاعل « ضرّ » </w:t>
      </w:r>
      <w:r>
        <w:rPr>
          <w:rtl/>
        </w:rPr>
        <w:t>و «</w:t>
      </w:r>
      <w:r w:rsidRPr="00132E65">
        <w:rPr>
          <w:rtl/>
        </w:rPr>
        <w:t xml:space="preserve"> من مات » مفعوله. يعني من عرف حقّنا وقال بوجود المهديّ وانتظر لظهوره ، لا يضرّ أن لايدرك المهديّ ولايموت في فسطاته أو في عسكره ، فإنّه يدرك تلك الفضيلة وينال تلك الكرامة بحسب الواقع »</w:t>
      </w:r>
      <w:r>
        <w:rPr>
          <w:rtl/>
        </w:rPr>
        <w:t>.</w:t>
      </w:r>
    </w:p>
    <w:p w:rsidR="000C39D1" w:rsidRPr="00132E65" w:rsidRDefault="000C39D1" w:rsidP="000C39D1">
      <w:pPr>
        <w:pStyle w:val="libFootnote0"/>
        <w:rPr>
          <w:rtl/>
          <w:lang w:bidi="fa-IR"/>
        </w:rPr>
      </w:pPr>
      <w:r>
        <w:rPr>
          <w:rtl/>
        </w:rPr>
        <w:t>(3).</w:t>
      </w:r>
      <w:r w:rsidRPr="00132E65">
        <w:rPr>
          <w:rtl/>
        </w:rPr>
        <w:t xml:space="preserve"> هكذا في « ب ، ج ، ض ، ف ، بح ، بر ، بس » و</w:t>
      </w:r>
      <w:r w:rsidRPr="009D1ACE">
        <w:rPr>
          <w:rStyle w:val="libFootnoteBoldChar"/>
          <w:rtl/>
        </w:rPr>
        <w:t>مرآة العقول</w:t>
      </w:r>
      <w:r w:rsidRPr="00132E65">
        <w:rPr>
          <w:rtl/>
        </w:rPr>
        <w:t xml:space="preserve">. وفي « و، بف » والمطبوع : « </w:t>
      </w:r>
      <w:r>
        <w:rPr>
          <w:rtl/>
        </w:rPr>
        <w:t>و ».</w:t>
      </w:r>
    </w:p>
    <w:p w:rsidR="000C39D1" w:rsidRPr="00132E65" w:rsidRDefault="000C39D1" w:rsidP="000C39D1">
      <w:pPr>
        <w:pStyle w:val="libFootnote0"/>
        <w:rPr>
          <w:rtl/>
          <w:lang w:bidi="fa-IR"/>
        </w:rPr>
      </w:pPr>
      <w:r>
        <w:rPr>
          <w:rtl/>
        </w:rPr>
        <w:t>(4).</w:t>
      </w:r>
      <w:r w:rsidRPr="00132E65">
        <w:rPr>
          <w:rtl/>
        </w:rPr>
        <w:t xml:space="preserve"> راجع : </w:t>
      </w:r>
      <w:r w:rsidRPr="000577A7">
        <w:rPr>
          <w:rStyle w:val="libFootnoteBoldChar"/>
          <w:rtl/>
        </w:rPr>
        <w:t>الكافي</w:t>
      </w:r>
      <w:r w:rsidRPr="00132E65">
        <w:rPr>
          <w:rtl/>
        </w:rPr>
        <w:t xml:space="preserve"> ، كتاب الجهاد ، باب الجهاد الواجب مع من يكون ، ح 8225 </w:t>
      </w:r>
      <w:r w:rsidR="00D21E6B">
        <w:rPr>
          <w:rFonts w:hint="cs"/>
          <w:rtl/>
        </w:rPr>
        <w:t>.</w:t>
      </w:r>
      <w:r w:rsidRPr="009D1ACE">
        <w:rPr>
          <w:rStyle w:val="libFootnoteBoldChar"/>
          <w:rtl/>
        </w:rPr>
        <w:t>الوافي</w:t>
      </w:r>
      <w:r w:rsidRPr="00132E65">
        <w:rPr>
          <w:rtl/>
        </w:rPr>
        <w:t xml:space="preserve"> ، ج 2 ، ص 436 ، ح 953.</w:t>
      </w:r>
    </w:p>
    <w:p w:rsidR="000C39D1" w:rsidRPr="00132E65" w:rsidRDefault="000C39D1" w:rsidP="000C39D1">
      <w:pPr>
        <w:pStyle w:val="libFootnote0"/>
        <w:rPr>
          <w:rtl/>
          <w:lang w:bidi="fa-IR"/>
        </w:rPr>
      </w:pPr>
      <w:r>
        <w:rPr>
          <w:rtl/>
        </w:rPr>
        <w:t>(5).</w:t>
      </w:r>
      <w:r w:rsidRPr="00132E65">
        <w:rPr>
          <w:rtl/>
        </w:rPr>
        <w:t xml:space="preserve"> في « ض ، ف ، بح » وحاشية « بر ، بس » : « الغلام »</w:t>
      </w:r>
      <w:r>
        <w:rPr>
          <w:rtl/>
        </w:rPr>
        <w:t>.</w:t>
      </w:r>
      <w:r w:rsidRPr="00132E65">
        <w:rPr>
          <w:rtl/>
        </w:rPr>
        <w:t xml:space="preserve"> ويؤيّده قوله : « فإذا عرفته »</w:t>
      </w:r>
      <w:r>
        <w:rPr>
          <w:rtl/>
        </w:rPr>
        <w:t>.</w:t>
      </w:r>
      <w:r w:rsidRPr="00132E65">
        <w:rPr>
          <w:rtl/>
        </w:rPr>
        <w:t xml:space="preserve"> وفي </w:t>
      </w:r>
      <w:r w:rsidRPr="009D1ACE">
        <w:rPr>
          <w:rStyle w:val="libFootnoteBoldChar"/>
          <w:rtl/>
        </w:rPr>
        <w:t>الوافي</w:t>
      </w:r>
      <w:r w:rsidRPr="00132E65">
        <w:rPr>
          <w:rtl/>
        </w:rPr>
        <w:t xml:space="preserve"> : « يعني بالعلامة</w:t>
      </w:r>
      <w:r w:rsidR="00D21E6B">
        <w:rPr>
          <w:rFonts w:hint="cs"/>
          <w:rtl/>
        </w:rPr>
        <w:t xml:space="preserve"> </w:t>
      </w:r>
      <w:r w:rsidRPr="00132E65">
        <w:rPr>
          <w:rtl/>
        </w:rPr>
        <w:t xml:space="preserve">الإمام كما ورد عنهم </w:t>
      </w:r>
      <w:r w:rsidRPr="00D14011">
        <w:rPr>
          <w:rStyle w:val="libFootnoteAlaemChar"/>
          <w:rtl/>
        </w:rPr>
        <w:t>عليهم‌السلام</w:t>
      </w:r>
      <w:r w:rsidRPr="00132E65">
        <w:rPr>
          <w:rtl/>
        </w:rPr>
        <w:t xml:space="preserve"> في قوله عزّوجلّ : </w:t>
      </w:r>
      <w:r w:rsidRPr="00071CF9">
        <w:rPr>
          <w:rStyle w:val="libAlaemChar"/>
          <w:rtl/>
        </w:rPr>
        <w:t>(</w:t>
      </w:r>
      <w:r>
        <w:rPr>
          <w:rFonts w:hint="cs"/>
          <w:rtl/>
        </w:rPr>
        <w:t xml:space="preserve"> </w:t>
      </w:r>
      <w:r w:rsidRPr="00C2691A">
        <w:rPr>
          <w:rStyle w:val="libFootnoteAieChar"/>
          <w:rtl/>
        </w:rPr>
        <w:t>وَعَل</w:t>
      </w:r>
      <w:r w:rsidR="00D21E6B">
        <w:rPr>
          <w:rStyle w:val="libFootnoteAieChar"/>
          <w:rFonts w:hint="cs"/>
          <w:rtl/>
        </w:rPr>
        <w:t>َ</w:t>
      </w:r>
      <w:r w:rsidRPr="00C2691A">
        <w:rPr>
          <w:rStyle w:val="libFootnoteAieChar"/>
          <w:rtl/>
        </w:rPr>
        <w:t>ام</w:t>
      </w:r>
      <w:r w:rsidR="00D21E6B">
        <w:rPr>
          <w:rStyle w:val="libFootnoteAieChar"/>
          <w:rFonts w:hint="cs"/>
          <w:rtl/>
        </w:rPr>
        <w:t>َ</w:t>
      </w:r>
      <w:r w:rsidRPr="00C2691A">
        <w:rPr>
          <w:rStyle w:val="libFootnoteAieChar"/>
          <w:rtl/>
        </w:rPr>
        <w:t>اتٍ وَبِالنَّجْمِ هُمْ يَهْتَدُونَ</w:t>
      </w:r>
      <w:r w:rsidRPr="00AB24CC">
        <w:rPr>
          <w:rFonts w:hint="cs"/>
          <w:rtl/>
        </w:rPr>
        <w:t xml:space="preserve"> </w:t>
      </w:r>
      <w:r w:rsidRPr="00071CF9">
        <w:rPr>
          <w:rStyle w:val="libAlaemChar"/>
          <w:rtl/>
        </w:rPr>
        <w:t>)</w:t>
      </w:r>
      <w:r w:rsidRPr="00132E65">
        <w:rPr>
          <w:rtl/>
        </w:rPr>
        <w:t xml:space="preserve"> [ النحل (16) : 16 ] إنّ العلامات هم الأئمّة ، والنجم رسول الله </w:t>
      </w:r>
      <w:r w:rsidRPr="00D14011">
        <w:rPr>
          <w:rStyle w:val="libFootnoteAlaemChar"/>
          <w:rFonts w:eastAsiaTheme="minorHAnsi"/>
          <w:rtl/>
        </w:rPr>
        <w:t>صلى‌الله‌عليه‌وآله</w:t>
      </w:r>
      <w:r w:rsidRPr="00132E65">
        <w:rPr>
          <w:rtl/>
        </w:rPr>
        <w:t xml:space="preserve">. أو يعني بها علامة الإمام ونعته المختصّ به ، وأنّه مَن وابن مَن. وفي نسخة الشيخ الشهيد الثاني : « اعرف الغلام » يعني المهديّ </w:t>
      </w:r>
      <w:r w:rsidRPr="00D14011">
        <w:rPr>
          <w:rStyle w:val="libFootnoteAlaemChar"/>
          <w:rtl/>
        </w:rPr>
        <w:t>عليه‌السلام</w:t>
      </w:r>
      <w:r w:rsidRPr="00132E65">
        <w:rPr>
          <w:rtl/>
        </w:rPr>
        <w:t xml:space="preserve"> ، فإنّه قد مضى ذكره بهذا العنوان »</w:t>
      </w:r>
      <w:r>
        <w:rPr>
          <w:rtl/>
        </w:rPr>
        <w:t>.</w:t>
      </w:r>
      <w:r w:rsidRPr="00132E65">
        <w:rPr>
          <w:rtl/>
        </w:rPr>
        <w:t xml:space="preserve"> وفي </w:t>
      </w:r>
      <w:r w:rsidRPr="009D1ACE">
        <w:rPr>
          <w:rStyle w:val="libFootnoteBoldChar"/>
          <w:rtl/>
        </w:rPr>
        <w:t>مرآة العقول</w:t>
      </w:r>
      <w:r w:rsidR="00D21E6B">
        <w:rPr>
          <w:rtl/>
        </w:rPr>
        <w:t xml:space="preserve"> : « قد يقرأ : العل</w:t>
      </w:r>
      <w:r w:rsidR="00D21E6B">
        <w:rPr>
          <w:rFonts w:hint="cs"/>
          <w:rtl/>
        </w:rPr>
        <w:t>ّ</w:t>
      </w:r>
      <w:r w:rsidR="00D21E6B">
        <w:rPr>
          <w:rtl/>
        </w:rPr>
        <w:t>ا</w:t>
      </w:r>
      <w:r w:rsidRPr="00132E65">
        <w:rPr>
          <w:rtl/>
        </w:rPr>
        <w:t>مة ، بتشديد اللام ، فالتاء للمبالغة »</w:t>
      </w:r>
      <w:r>
        <w:rPr>
          <w:rtl/>
        </w:rPr>
        <w:t>.</w:t>
      </w:r>
    </w:p>
    <w:p w:rsidR="000C39D1" w:rsidRPr="00132E65" w:rsidRDefault="000C39D1" w:rsidP="000C39D1">
      <w:pPr>
        <w:pStyle w:val="libFootnote0"/>
        <w:rPr>
          <w:rtl/>
          <w:lang w:bidi="fa-IR"/>
        </w:rPr>
      </w:pPr>
      <w:r>
        <w:rPr>
          <w:rtl/>
        </w:rPr>
        <w:t>(6).</w:t>
      </w:r>
      <w:r w:rsidRPr="00132E65">
        <w:rPr>
          <w:rtl/>
        </w:rPr>
        <w:t xml:space="preserve"> الإسراء (17) : 71.</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إِمَامَهُ ، كَانَ </w:t>
      </w:r>
      <w:r>
        <w:rPr>
          <w:rStyle w:val="libFootnotenumChar"/>
          <w:rtl/>
        </w:rPr>
        <w:t>(1)</w:t>
      </w:r>
      <w:r w:rsidRPr="00132E65">
        <w:rPr>
          <w:rtl/>
          <w:lang w:bidi="fa-IR"/>
        </w:rPr>
        <w:t xml:space="preserve"> كَمَنْ كَانَ فِي فُسْطَاطِ </w:t>
      </w:r>
      <w:r>
        <w:rPr>
          <w:rStyle w:val="libFootnotenumChar"/>
          <w:rtl/>
        </w:rPr>
        <w:t>(2)</w:t>
      </w:r>
      <w:r w:rsidRPr="00132E65">
        <w:rPr>
          <w:rtl/>
          <w:lang w:bidi="fa-IR"/>
        </w:rPr>
        <w:t xml:space="preserve"> الْمُنْتَظَرِ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Default="000C39D1" w:rsidP="000C39D1">
      <w:pPr>
        <w:pStyle w:val="Heading2Center"/>
        <w:rPr>
          <w:rtl/>
          <w:lang w:bidi="fa-IR"/>
        </w:rPr>
      </w:pPr>
      <w:bookmarkStart w:id="53" w:name="_Toc459459114"/>
      <w:bookmarkStart w:id="54" w:name="_Toc34663083"/>
      <w:r w:rsidRPr="00132E65">
        <w:rPr>
          <w:rtl/>
          <w:lang w:bidi="fa-IR"/>
        </w:rPr>
        <w:t>85</w:t>
      </w:r>
      <w:r>
        <w:rPr>
          <w:rtl/>
          <w:lang w:bidi="fa-IR"/>
        </w:rPr>
        <w:t xml:space="preserve"> - </w:t>
      </w:r>
      <w:r w:rsidRPr="00132E65">
        <w:rPr>
          <w:rtl/>
          <w:lang w:bidi="fa-IR"/>
        </w:rPr>
        <w:t xml:space="preserve">بَابُ مَنِ ادَّعَى الْإِمَامَةَ ولَيْسَ لَهَا بِأَهْلٍ </w:t>
      </w:r>
      <w:r>
        <w:rPr>
          <w:rStyle w:val="libFootnotenumChar"/>
          <w:rtl/>
        </w:rPr>
        <w:t>(4)</w:t>
      </w:r>
      <w:r>
        <w:rPr>
          <w:rtl/>
          <w:lang w:bidi="fa-IR"/>
        </w:rPr>
        <w:t xml:space="preserve"> </w:t>
      </w:r>
      <w:r w:rsidRPr="00132E65">
        <w:rPr>
          <w:rtl/>
          <w:lang w:bidi="fa-IR"/>
        </w:rPr>
        <w:t>، ومَنْ جَحَدَ الْأَئِمَّةَ</w:t>
      </w:r>
      <w:bookmarkEnd w:id="53"/>
      <w:bookmarkEnd w:id="54"/>
    </w:p>
    <w:p w:rsidR="000C39D1" w:rsidRPr="00132E65" w:rsidRDefault="000C39D1" w:rsidP="000C39D1">
      <w:pPr>
        <w:pStyle w:val="Heading2Center"/>
        <w:rPr>
          <w:rtl/>
          <w:lang w:bidi="fa-IR"/>
        </w:rPr>
      </w:pPr>
      <w:bookmarkStart w:id="55" w:name="_Toc459455096"/>
      <w:bookmarkStart w:id="56" w:name="_Toc459459115"/>
      <w:bookmarkStart w:id="57" w:name="_Toc34663084"/>
      <w:r w:rsidRPr="00132E65">
        <w:rPr>
          <w:rtl/>
          <w:lang w:bidi="fa-IR"/>
        </w:rPr>
        <w:t>أَوْ بَعْضَهُمْ ، و</w:t>
      </w:r>
      <w:r w:rsidR="007213F9">
        <w:rPr>
          <w:rFonts w:hint="cs"/>
          <w:rtl/>
          <w:lang w:bidi="fa-IR"/>
        </w:rPr>
        <w:t>َ</w:t>
      </w:r>
      <w:r w:rsidRPr="00132E65">
        <w:rPr>
          <w:rtl/>
          <w:lang w:bidi="fa-IR"/>
        </w:rPr>
        <w:t>مَنْ أَثْبَتَ الْإِمَامَةَ لِمَنْ لَيْسَ لَهَا بِأَهْلٍ‌</w:t>
      </w:r>
      <w:bookmarkEnd w:id="55"/>
      <w:bookmarkEnd w:id="56"/>
      <w:bookmarkEnd w:id="57"/>
    </w:p>
    <w:p w:rsidR="000C39D1" w:rsidRPr="00132E65" w:rsidRDefault="000C39D1" w:rsidP="000C39D1">
      <w:pPr>
        <w:pStyle w:val="libNormal"/>
        <w:rPr>
          <w:rtl/>
          <w:lang w:bidi="fa-IR"/>
        </w:rPr>
      </w:pPr>
      <w:r w:rsidRPr="0072017D">
        <w:rPr>
          <w:rtl/>
        </w:rPr>
        <w:t>961</w:t>
      </w:r>
      <w:r w:rsidRPr="004325D8">
        <w:rPr>
          <w:rStyle w:val="libBold2Char"/>
          <w:rtl/>
        </w:rPr>
        <w:t xml:space="preserve"> / 1.</w:t>
      </w:r>
      <w:r w:rsidRPr="00132E65">
        <w:rPr>
          <w:rtl/>
          <w:lang w:bidi="fa-IR"/>
        </w:rPr>
        <w:t xml:space="preserve"> مُحَمَّدُ بْنُ يَحْيى ، عَنْ أَحْمَدَ بْنِ مُحَمَّدٍ ، عَنْ مُحَمَّدِ بْنِ سِنَانٍ ، عَنْ أَبِي سَلاَّمٍ ، عَنْ سَوْرَةَ بْنِ كُلَيْبٍ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قُلْتُ لَهُ </w:t>
      </w:r>
      <w:r>
        <w:rPr>
          <w:rStyle w:val="libFootnotenumChar"/>
          <w:rtl/>
        </w:rPr>
        <w:t>(5)</w:t>
      </w:r>
      <w:r w:rsidRPr="00132E65">
        <w:rPr>
          <w:rtl/>
          <w:lang w:bidi="fa-IR"/>
        </w:rPr>
        <w:t xml:space="preserve"> : قَوْلُ </w:t>
      </w:r>
      <w:r>
        <w:rPr>
          <w:rStyle w:val="libFootnotenumChar"/>
          <w:rtl/>
        </w:rPr>
        <w:t>(6)</w:t>
      </w:r>
      <w:r w:rsidRPr="00132E65">
        <w:rPr>
          <w:rtl/>
          <w:lang w:bidi="fa-IR"/>
        </w:rPr>
        <w:t xml:space="preserve"> اللهِ عَزَّ وجَلَّ : </w:t>
      </w:r>
      <w:r w:rsidRPr="00071CF9">
        <w:rPr>
          <w:rStyle w:val="libAlaemChar"/>
          <w:rtl/>
        </w:rPr>
        <w:t>(</w:t>
      </w:r>
      <w:r w:rsidRPr="00071CF9">
        <w:rPr>
          <w:rStyle w:val="libAieChar"/>
          <w:rtl/>
        </w:rPr>
        <w:t xml:space="preserve"> وَيَوْمَ الْقِيامَةِ تَرَى الَّذِينَ كَذَبُوا عَلَى اللهِ وُجُوهُهُمْ مُسْوَدَّةٌ </w:t>
      </w:r>
      <w:r w:rsidRPr="00071CF9">
        <w:rPr>
          <w:rStyle w:val="libAlaemChar"/>
          <w:rtl/>
        </w:rPr>
        <w:t>)</w:t>
      </w:r>
      <w:r w:rsidRPr="00132E65">
        <w:rPr>
          <w:rtl/>
          <w:lang w:bidi="fa-IR"/>
        </w:rPr>
        <w:t xml:space="preserve"> </w:t>
      </w:r>
      <w:r>
        <w:rPr>
          <w:rStyle w:val="libFootnotenumChar"/>
          <w:rtl/>
        </w:rPr>
        <w:t>(7)</w:t>
      </w:r>
      <w:r>
        <w:rPr>
          <w:rtl/>
          <w:lang w:bidi="fa-IR"/>
        </w:rPr>
        <w:t>؟</w:t>
      </w:r>
      <w:r w:rsidRPr="00132E65">
        <w:rPr>
          <w:rtl/>
          <w:lang w:bidi="fa-IR"/>
        </w:rPr>
        <w:t xml:space="preserve"> قَالَ : « مَنْ قَالَ : إِنِّي إِمَامٌ ولَيْسَ بِإِمَامٍ »</w:t>
      </w:r>
      <w:r>
        <w:rPr>
          <w:rtl/>
          <w:lang w:bidi="fa-IR"/>
        </w:rPr>
        <w:t>.</w:t>
      </w:r>
    </w:p>
    <w:p w:rsidR="000C39D1" w:rsidRPr="00132E65" w:rsidRDefault="000C39D1" w:rsidP="000C39D1">
      <w:pPr>
        <w:pStyle w:val="libNormal"/>
        <w:rPr>
          <w:rtl/>
          <w:lang w:bidi="fa-IR"/>
        </w:rPr>
      </w:pPr>
      <w:r w:rsidRPr="00132E65">
        <w:rPr>
          <w:rtl/>
          <w:lang w:bidi="fa-IR"/>
        </w:rPr>
        <w:t>قَالَ : قُلْتُ : وإِنْ كَانَ عَلَوِيّاً</w:t>
      </w:r>
      <w:r>
        <w:rPr>
          <w:rtl/>
          <w:lang w:bidi="fa-IR"/>
        </w:rPr>
        <w:t>؟</w:t>
      </w:r>
      <w:r w:rsidRPr="00132E65">
        <w:rPr>
          <w:rtl/>
          <w:lang w:bidi="fa-IR"/>
        </w:rPr>
        <w:t xml:space="preserve"> قَالَ : « وَإِنْ كَانَ عَلَوِيّاً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قُلْتُ : وإِنْ كَانَ مِنْ ولْدِ عَلِيِّ بْنِ أَبِي طَالِبٍ</w:t>
      </w:r>
      <w:r>
        <w:rPr>
          <w:rtl/>
          <w:lang w:bidi="fa-IR"/>
        </w:rPr>
        <w:t>؟</w:t>
      </w:r>
      <w:r w:rsidRPr="00132E65">
        <w:rPr>
          <w:rtl/>
          <w:lang w:bidi="fa-IR"/>
        </w:rPr>
        <w:t xml:space="preserve"> قَالَ : « وَإِنْ كَانَ </w:t>
      </w:r>
      <w:r>
        <w:rPr>
          <w:rStyle w:val="libFootnotenumChar"/>
          <w:rtl/>
        </w:rPr>
        <w:t>(9)</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9E4166">
        <w:rPr>
          <w:rtl/>
        </w:rPr>
        <w:t>962</w:t>
      </w:r>
      <w:r w:rsidRPr="004325D8">
        <w:rPr>
          <w:rStyle w:val="libBold2Char"/>
          <w:rtl/>
        </w:rPr>
        <w:t xml:space="preserve"> / 2.</w:t>
      </w:r>
      <w:r w:rsidRPr="00132E65">
        <w:rPr>
          <w:rtl/>
          <w:lang w:bidi="fa-IR"/>
        </w:rPr>
        <w:t xml:space="preserve"> مُحَمَّدُ بْنُ يَحْيى ، عَنْ عَبْدِ اللهِ بْنِ مُحَمَّدِ بْنِ عِيسى ، عَنْ عَلِيِّ بْنِ الْحَكَمِ ، عَنْ أَبَانٍ ، عَنِ الْفُضَيْلِ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مَنِ ادَّعَى الْإِمَامَةَ ولَيْسَ مِنْ أَهْلِهَا ، فَهُوَ كَافِرٌ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w:t>
      </w:r>
      <w:r>
        <w:rPr>
          <w:rtl/>
        </w:rPr>
        <w:t xml:space="preserve">: - </w:t>
      </w:r>
      <w:r w:rsidRPr="00132E65">
        <w:rPr>
          <w:rtl/>
        </w:rPr>
        <w:t>« كان »</w:t>
      </w:r>
      <w:r>
        <w:rPr>
          <w:rtl/>
        </w:rPr>
        <w:t>.</w:t>
      </w:r>
      <w:r w:rsidRPr="00132E65">
        <w:rPr>
          <w:rtl/>
        </w:rPr>
        <w:t xml:space="preserve"> وفي الغيبة للنعماني : « هو » بدل « كان »</w:t>
      </w:r>
      <w:r>
        <w:rPr>
          <w:rtl/>
        </w:rPr>
        <w:t>.</w:t>
      </w:r>
    </w:p>
    <w:p w:rsidR="000C39D1" w:rsidRPr="00132E65" w:rsidRDefault="000C39D1" w:rsidP="000C39D1">
      <w:pPr>
        <w:pStyle w:val="libFootnote0"/>
        <w:rPr>
          <w:rtl/>
          <w:lang w:bidi="fa-IR"/>
        </w:rPr>
      </w:pPr>
      <w:r>
        <w:rPr>
          <w:rtl/>
        </w:rPr>
        <w:t>(2).</w:t>
      </w:r>
      <w:r w:rsidRPr="00132E65">
        <w:rPr>
          <w:rtl/>
        </w:rPr>
        <w:t xml:space="preserve"> في « بف » :</w:t>
      </w:r>
      <w:r>
        <w:rPr>
          <w:rtl/>
        </w:rPr>
        <w:t xml:space="preserve"> + </w:t>
      </w:r>
      <w:r w:rsidRPr="00132E65">
        <w:rPr>
          <w:rtl/>
        </w:rPr>
        <w:t>« المهديّ »</w:t>
      </w:r>
      <w:r>
        <w:rPr>
          <w:rtl/>
        </w:rPr>
        <w:t>.</w:t>
      </w:r>
    </w:p>
    <w:p w:rsidR="000C39D1" w:rsidRPr="00132E65" w:rsidRDefault="000C39D1" w:rsidP="000C39D1">
      <w:pPr>
        <w:pStyle w:val="libFootnote0"/>
        <w:rPr>
          <w:rtl/>
          <w:lang w:bidi="fa-IR"/>
        </w:rPr>
      </w:pPr>
      <w:r>
        <w:rPr>
          <w:rtl/>
        </w:rPr>
        <w:t>(3).</w:t>
      </w:r>
      <w:r w:rsidRPr="00132E65">
        <w:rPr>
          <w:rtl/>
        </w:rPr>
        <w:t xml:space="preserve"> </w:t>
      </w:r>
      <w:r w:rsidRPr="007213F9">
        <w:rPr>
          <w:rStyle w:val="libFootnoteBoldChar"/>
          <w:rtl/>
        </w:rPr>
        <w:t>الغيبة للنعماني</w:t>
      </w:r>
      <w:r w:rsidRPr="00132E65">
        <w:rPr>
          <w:rtl/>
        </w:rPr>
        <w:t xml:space="preserve"> ، ص 330 ، ح 6 ، عن الكليني </w:t>
      </w:r>
      <w:r w:rsidR="007213F9">
        <w:rPr>
          <w:rFonts w:hint="cs"/>
          <w:rtl/>
        </w:rPr>
        <w:t>.</w:t>
      </w:r>
      <w:r w:rsidRPr="009D1ACE">
        <w:rPr>
          <w:rStyle w:val="libFootnoteBoldChar"/>
          <w:rtl/>
        </w:rPr>
        <w:t>الوافي</w:t>
      </w:r>
      <w:r w:rsidRPr="00132E65">
        <w:rPr>
          <w:rtl/>
        </w:rPr>
        <w:t xml:space="preserve"> ، ج 2 ، ص 435 ، ح 951.</w:t>
      </w:r>
    </w:p>
    <w:tbl>
      <w:tblPr>
        <w:tblStyle w:val="TableGrid"/>
        <w:bidiVisual/>
        <w:tblW w:w="0" w:type="auto"/>
        <w:tblLook w:val="04A0" w:firstRow="1" w:lastRow="0" w:firstColumn="1" w:lastColumn="0" w:noHBand="0" w:noVBand="1"/>
      </w:tblPr>
      <w:tblGrid>
        <w:gridCol w:w="4006"/>
        <w:gridCol w:w="4006"/>
      </w:tblGrid>
      <w:tr w:rsidR="007213F9" w:rsidTr="007213F9">
        <w:tc>
          <w:tcPr>
            <w:tcW w:w="4006" w:type="dxa"/>
          </w:tcPr>
          <w:p w:rsidR="007213F9" w:rsidRDefault="007213F9" w:rsidP="000C39D1">
            <w:pPr>
              <w:pStyle w:val="libFootnote0"/>
              <w:rPr>
                <w:rtl/>
              </w:rPr>
            </w:pPr>
            <w:r>
              <w:rPr>
                <w:rtl/>
              </w:rPr>
              <w:t>(4).</w:t>
            </w:r>
            <w:r w:rsidRPr="00132E65">
              <w:rPr>
                <w:rtl/>
              </w:rPr>
              <w:t xml:space="preserve"> في « ب » : « بأهلٍ لها »</w:t>
            </w:r>
            <w:r>
              <w:rPr>
                <w:rtl/>
              </w:rPr>
              <w:t>.</w:t>
            </w:r>
          </w:p>
        </w:tc>
        <w:tc>
          <w:tcPr>
            <w:tcW w:w="4006" w:type="dxa"/>
          </w:tcPr>
          <w:p w:rsidR="007213F9" w:rsidRDefault="007213F9" w:rsidP="000C39D1">
            <w:pPr>
              <w:pStyle w:val="libFootnote0"/>
              <w:rPr>
                <w:rtl/>
              </w:rPr>
            </w:pPr>
            <w:r>
              <w:rPr>
                <w:rtl/>
              </w:rPr>
              <w:t>(5). في «ب،ج،ض،بح،بر،بس،بف»</w:t>
            </w:r>
            <w:r w:rsidRPr="00132E65">
              <w:rPr>
                <w:rtl/>
              </w:rPr>
              <w:t>و</w:t>
            </w:r>
            <w:r w:rsidRPr="009D1ACE">
              <w:rPr>
                <w:rStyle w:val="libFootnoteBoldChar"/>
                <w:rtl/>
              </w:rPr>
              <w:t>الوافي</w:t>
            </w:r>
            <w:r>
              <w:rPr>
                <w:rtl/>
              </w:rPr>
              <w:t>:-«</w:t>
            </w:r>
            <w:r w:rsidRPr="00132E65">
              <w:rPr>
                <w:rtl/>
              </w:rPr>
              <w:t>له»</w:t>
            </w:r>
            <w:r>
              <w:rPr>
                <w:rtl/>
              </w:rPr>
              <w:t>.</w:t>
            </w:r>
          </w:p>
        </w:tc>
      </w:tr>
      <w:tr w:rsidR="007213F9" w:rsidTr="007213F9">
        <w:tc>
          <w:tcPr>
            <w:tcW w:w="4006" w:type="dxa"/>
          </w:tcPr>
          <w:p w:rsidR="007213F9" w:rsidRDefault="007213F9" w:rsidP="000C39D1">
            <w:pPr>
              <w:pStyle w:val="libFootnote0"/>
              <w:rPr>
                <w:rtl/>
              </w:rPr>
            </w:pPr>
            <w:r>
              <w:rPr>
                <w:rtl/>
              </w:rPr>
              <w:t>(6).</w:t>
            </w:r>
            <w:r w:rsidRPr="00132E65">
              <w:rPr>
                <w:rtl/>
              </w:rPr>
              <w:t xml:space="preserve"> في « ف » : « ما قول »</w:t>
            </w:r>
            <w:r>
              <w:rPr>
                <w:rtl/>
              </w:rPr>
              <w:t>.</w:t>
            </w:r>
          </w:p>
        </w:tc>
        <w:tc>
          <w:tcPr>
            <w:tcW w:w="4006" w:type="dxa"/>
          </w:tcPr>
          <w:p w:rsidR="007213F9" w:rsidRDefault="007213F9" w:rsidP="000C39D1">
            <w:pPr>
              <w:pStyle w:val="libFootnote0"/>
              <w:rPr>
                <w:rtl/>
              </w:rPr>
            </w:pPr>
            <w:r>
              <w:rPr>
                <w:rtl/>
              </w:rPr>
              <w:t>(7).</w:t>
            </w:r>
            <w:r w:rsidRPr="00132E65">
              <w:rPr>
                <w:rtl/>
              </w:rPr>
              <w:t xml:space="preserve"> الزمر (39) : 60.</w:t>
            </w:r>
          </w:p>
        </w:tc>
      </w:tr>
    </w:tbl>
    <w:p w:rsidR="000C39D1" w:rsidRPr="00132E65" w:rsidRDefault="000C39D1" w:rsidP="000C39D1">
      <w:pPr>
        <w:pStyle w:val="libFootnote0"/>
        <w:rPr>
          <w:rtl/>
          <w:lang w:bidi="fa-IR"/>
        </w:rPr>
      </w:pPr>
      <w:r>
        <w:rPr>
          <w:rtl/>
        </w:rPr>
        <w:t>(8).</w:t>
      </w:r>
      <w:r w:rsidRPr="00132E65">
        <w:rPr>
          <w:rtl/>
        </w:rPr>
        <w:t xml:space="preserve"> في الغيبة للنعماني ، ص 114 : « قلت : وإن كان علويّاً فاطميّاً</w:t>
      </w:r>
      <w:r>
        <w:rPr>
          <w:rtl/>
        </w:rPr>
        <w:t>؟</w:t>
      </w:r>
      <w:r w:rsidRPr="00132E65">
        <w:rPr>
          <w:rtl/>
        </w:rPr>
        <w:t xml:space="preserve"> قال : وإن كان علويّاً فاطميّاً »</w:t>
      </w:r>
      <w:r>
        <w:rPr>
          <w:rtl/>
        </w:rPr>
        <w:t>.</w:t>
      </w:r>
    </w:p>
    <w:p w:rsidR="000C39D1" w:rsidRPr="00132E65" w:rsidRDefault="000C39D1" w:rsidP="000C39D1">
      <w:pPr>
        <w:pStyle w:val="libFootnote0"/>
        <w:rPr>
          <w:rtl/>
          <w:lang w:bidi="fa-IR"/>
        </w:rPr>
      </w:pPr>
      <w:r>
        <w:rPr>
          <w:rtl/>
        </w:rPr>
        <w:t>(9).</w:t>
      </w:r>
      <w:r w:rsidRPr="00132E65">
        <w:rPr>
          <w:rtl/>
        </w:rPr>
        <w:t xml:space="preserve"> في الغيبة للنعماني :</w:t>
      </w:r>
      <w:r>
        <w:rPr>
          <w:rtl/>
        </w:rPr>
        <w:t xml:space="preserve"> + </w:t>
      </w:r>
      <w:r w:rsidRPr="00132E65">
        <w:rPr>
          <w:rtl/>
        </w:rPr>
        <w:t>« من ولد عليّ بن أبي طالب »</w:t>
      </w:r>
      <w:r>
        <w:rPr>
          <w:rtl/>
        </w:rPr>
        <w:t>.</w:t>
      </w:r>
    </w:p>
    <w:p w:rsidR="000C39D1" w:rsidRPr="00132E65" w:rsidRDefault="000C39D1" w:rsidP="000C39D1">
      <w:pPr>
        <w:pStyle w:val="libFootnote0"/>
        <w:rPr>
          <w:rtl/>
          <w:lang w:bidi="fa-IR"/>
        </w:rPr>
      </w:pPr>
      <w:r>
        <w:rPr>
          <w:rtl/>
        </w:rPr>
        <w:t>(10).</w:t>
      </w:r>
      <w:r w:rsidRPr="00132E65">
        <w:rPr>
          <w:rtl/>
        </w:rPr>
        <w:t xml:space="preserve"> </w:t>
      </w:r>
      <w:r w:rsidRPr="007213F9">
        <w:rPr>
          <w:rStyle w:val="libFootnoteBoldChar"/>
          <w:rtl/>
        </w:rPr>
        <w:t>الغيبة للنعماني</w:t>
      </w:r>
      <w:r w:rsidRPr="00132E65">
        <w:rPr>
          <w:rtl/>
        </w:rPr>
        <w:t xml:space="preserve"> ، ص 114 ، ذيل ح 8 ، عن الكليني. </w:t>
      </w:r>
      <w:r w:rsidRPr="009E4166">
        <w:rPr>
          <w:rtl/>
        </w:rPr>
        <w:t>وفيه</w:t>
      </w:r>
      <w:r w:rsidRPr="00132E65">
        <w:rPr>
          <w:rtl/>
        </w:rPr>
        <w:t xml:space="preserve"> ، ح 8 ، بسند آخر عن محمّد بن سنان ؛ </w:t>
      </w:r>
      <w:r w:rsidRPr="009E4166">
        <w:rPr>
          <w:rtl/>
        </w:rPr>
        <w:t>وفيه</w:t>
      </w:r>
      <w:r w:rsidRPr="00132E65">
        <w:rPr>
          <w:rtl/>
        </w:rPr>
        <w:t xml:space="preserve"> أيضاً ، ص 112 ، ح 5 ؛ </w:t>
      </w:r>
      <w:r w:rsidRPr="007213F9">
        <w:rPr>
          <w:rStyle w:val="libFootnoteBoldChar"/>
          <w:rtl/>
        </w:rPr>
        <w:t>وثواب</w:t>
      </w:r>
      <w:r w:rsidRPr="009E4166">
        <w:rPr>
          <w:rtl/>
        </w:rPr>
        <w:t xml:space="preserve"> </w:t>
      </w:r>
      <w:r w:rsidRPr="007213F9">
        <w:rPr>
          <w:rStyle w:val="libFootnoteBoldChar"/>
          <w:rtl/>
        </w:rPr>
        <w:t>الأعمال</w:t>
      </w:r>
      <w:r w:rsidRPr="00132E65">
        <w:rPr>
          <w:rtl/>
        </w:rPr>
        <w:t xml:space="preserve"> ،</w:t>
      </w:r>
      <w:r w:rsidR="007213F9">
        <w:rPr>
          <w:rtl/>
        </w:rPr>
        <w:t xml:space="preserve"> ص 254 ، ح 1 بسندهما عن أبي سل</w:t>
      </w:r>
      <w:r w:rsidR="007213F9">
        <w:rPr>
          <w:rFonts w:hint="cs"/>
          <w:rtl/>
        </w:rPr>
        <w:t>ّ</w:t>
      </w:r>
      <w:r w:rsidR="007213F9">
        <w:rPr>
          <w:rtl/>
        </w:rPr>
        <w:t>ا</w:t>
      </w:r>
      <w:r w:rsidRPr="00132E65">
        <w:rPr>
          <w:rtl/>
        </w:rPr>
        <w:t xml:space="preserve">م ، مع اختلاف يسير </w:t>
      </w:r>
      <w:r w:rsidR="007213F9">
        <w:rPr>
          <w:rFonts w:hint="cs"/>
          <w:rtl/>
        </w:rPr>
        <w:t>.</w:t>
      </w:r>
      <w:r w:rsidRPr="009D1ACE">
        <w:rPr>
          <w:rStyle w:val="libFootnoteBoldChar"/>
          <w:rtl/>
        </w:rPr>
        <w:t>الوافي</w:t>
      </w:r>
      <w:r w:rsidRPr="00132E65">
        <w:rPr>
          <w:rtl/>
        </w:rPr>
        <w:t xml:space="preserve"> ، ج 2 ، ص 179 ، ح 633.</w:t>
      </w:r>
    </w:p>
    <w:p w:rsidR="000C39D1" w:rsidRPr="00132E65" w:rsidRDefault="000C39D1" w:rsidP="000C39D1">
      <w:pPr>
        <w:pStyle w:val="libFootnote0"/>
        <w:rPr>
          <w:rtl/>
          <w:lang w:bidi="fa-IR"/>
        </w:rPr>
      </w:pPr>
      <w:r>
        <w:rPr>
          <w:rtl/>
        </w:rPr>
        <w:t>(11).</w:t>
      </w:r>
      <w:r w:rsidRPr="00132E65">
        <w:rPr>
          <w:rtl/>
        </w:rPr>
        <w:t xml:space="preserve"> </w:t>
      </w:r>
      <w:r w:rsidRPr="007213F9">
        <w:rPr>
          <w:rStyle w:val="libFootnoteBoldChar"/>
          <w:rtl/>
        </w:rPr>
        <w:t>الغيبة للنعماني</w:t>
      </w:r>
      <w:r w:rsidRPr="00132E65">
        <w:rPr>
          <w:rtl/>
        </w:rPr>
        <w:t xml:space="preserve"> ، ص 115 ، ح 13 ، بسنده عن عليّ بن الحكم ، مع زيادة في أوّله ؛ </w:t>
      </w:r>
      <w:r w:rsidRPr="007213F9">
        <w:rPr>
          <w:rStyle w:val="libFootnoteBoldChar"/>
          <w:rtl/>
        </w:rPr>
        <w:t>ثواب الأعمال</w:t>
      </w:r>
      <w:r w:rsidRPr="00132E65">
        <w:rPr>
          <w:rtl/>
        </w:rPr>
        <w:t xml:space="preserve"> ، ص 255 ، </w:t>
      </w:r>
      <w:r w:rsidR="007213F9">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E4166">
        <w:rPr>
          <w:rtl/>
        </w:rPr>
        <w:t>963</w:t>
      </w:r>
      <w:r w:rsidRPr="004325D8">
        <w:rPr>
          <w:rStyle w:val="libBold2Char"/>
          <w:rtl/>
        </w:rPr>
        <w:t xml:space="preserve"> / 3.</w:t>
      </w:r>
      <w:r w:rsidRPr="00132E65">
        <w:rPr>
          <w:rtl/>
          <w:lang w:bidi="fa-IR"/>
        </w:rPr>
        <w:t xml:space="preserve"> الْحُسَيْنُ بْنُ مُحَمَّدٍ ، عَنْ مُعَلَّى بْنِ مُحَمَّدٍ ، عَنْ مُحَمَّدِ بْنِ جُمْهُورٍ ، عَنْ عَبْدِ اللهِ بْنِ عَبْدِ الرَّحْمنِ ، عَنِ الْحُسَيْنِ بْنِ الْمُخْتَارِ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جُعِلْتُ فِدَاكَ</w:t>
      </w:r>
      <w:r>
        <w:rPr>
          <w:rFonts w:hint="cs"/>
          <w:rtl/>
          <w:lang w:bidi="fa-IR"/>
        </w:rPr>
        <w:t xml:space="preserve"> </w:t>
      </w:r>
      <w:r w:rsidRPr="00071CF9">
        <w:rPr>
          <w:rStyle w:val="libAlaemChar"/>
          <w:rtl/>
        </w:rPr>
        <w:t>(</w:t>
      </w:r>
      <w:r w:rsidRPr="00071CF9">
        <w:rPr>
          <w:rStyle w:val="libAieChar"/>
          <w:rtl/>
        </w:rPr>
        <w:t xml:space="preserve"> وَيَوْمَ الْقِيامَةِ تَرَى الَّذِينَ كَذَبُوا عَلَى اللهِ </w:t>
      </w:r>
      <w:r w:rsidRPr="00071CF9">
        <w:rPr>
          <w:rStyle w:val="libAlaemChar"/>
          <w:rtl/>
        </w:rPr>
        <w:t>)</w:t>
      </w:r>
      <w:r w:rsidRPr="00132E65">
        <w:rPr>
          <w:rtl/>
          <w:lang w:bidi="fa-IR"/>
        </w:rPr>
        <w:t xml:space="preserve"> </w:t>
      </w:r>
      <w:r>
        <w:rPr>
          <w:rStyle w:val="libFootnotenumChar"/>
          <w:rtl/>
        </w:rPr>
        <w:t>(1)</w:t>
      </w:r>
      <w:r>
        <w:rPr>
          <w:rtl/>
          <w:lang w:bidi="fa-IR"/>
        </w:rPr>
        <w:t>؟</w:t>
      </w:r>
      <w:r w:rsidRPr="00132E65">
        <w:rPr>
          <w:rtl/>
          <w:lang w:bidi="fa-IR"/>
        </w:rPr>
        <w:t xml:space="preserve"> قَالَ :</w:t>
      </w:r>
      <w:r>
        <w:rPr>
          <w:rFonts w:hint="cs"/>
          <w:rtl/>
          <w:lang w:bidi="fa-IR"/>
        </w:rPr>
        <w:t xml:space="preserve"> </w:t>
      </w:r>
      <w:r w:rsidRPr="00132E65">
        <w:rPr>
          <w:rtl/>
          <w:lang w:bidi="fa-IR"/>
        </w:rPr>
        <w:t>« كُلُّ مَنْ زَعَمَ أَنَّهُ إِمَامٌ ولَيْسَ بِإِمَامٍ »</w:t>
      </w:r>
      <w:r>
        <w:rPr>
          <w:rtl/>
          <w:lang w:bidi="fa-IR"/>
        </w:rPr>
        <w:t>.</w:t>
      </w:r>
    </w:p>
    <w:p w:rsidR="000C39D1" w:rsidRPr="00132E65" w:rsidRDefault="000C39D1" w:rsidP="000C39D1">
      <w:pPr>
        <w:pStyle w:val="libNormal"/>
        <w:rPr>
          <w:rtl/>
          <w:lang w:bidi="fa-IR"/>
        </w:rPr>
      </w:pPr>
      <w:r w:rsidRPr="00132E65">
        <w:rPr>
          <w:rtl/>
          <w:lang w:bidi="fa-IR"/>
        </w:rPr>
        <w:t xml:space="preserve">قُلْتُ </w:t>
      </w:r>
      <w:r>
        <w:rPr>
          <w:rStyle w:val="libFootnotenumChar"/>
          <w:rtl/>
        </w:rPr>
        <w:t>(2)</w:t>
      </w:r>
      <w:r w:rsidRPr="00132E65">
        <w:rPr>
          <w:rtl/>
          <w:lang w:bidi="fa-IR"/>
        </w:rPr>
        <w:t xml:space="preserve"> : وإِنْ كَانَ فَاطِمِيّاً عَلَوِيّاً</w:t>
      </w:r>
      <w:r>
        <w:rPr>
          <w:rtl/>
          <w:lang w:bidi="fa-IR"/>
        </w:rPr>
        <w:t>؟</w:t>
      </w:r>
      <w:r w:rsidRPr="00132E65">
        <w:rPr>
          <w:rtl/>
          <w:lang w:bidi="fa-IR"/>
        </w:rPr>
        <w:t xml:space="preserve"> قَالَ : « وَإِنْ كَانَ فَاطِمِيّاً عَلَوِيّاً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9E4166">
        <w:rPr>
          <w:rtl/>
        </w:rPr>
        <w:t>964</w:t>
      </w:r>
      <w:r w:rsidRPr="004325D8">
        <w:rPr>
          <w:rStyle w:val="libBold2Char"/>
          <w:rtl/>
        </w:rPr>
        <w:t xml:space="preserve"> / 4.</w:t>
      </w:r>
      <w:r w:rsidRPr="00132E65">
        <w:rPr>
          <w:rtl/>
          <w:lang w:bidi="fa-IR"/>
        </w:rPr>
        <w:t xml:space="preserve"> عِدَّةٌ مِنْ أَصْحَابِنَا ، عَنْ أَحْمَدَ بْنِ مُحَمَّدٍ ، عَنِ الْوَشَّاءِ ، عَنْ دَاوُدَ الْحَمَّارِ </w:t>
      </w:r>
      <w:r>
        <w:rPr>
          <w:rStyle w:val="libFootnotenumChar"/>
          <w:rtl/>
        </w:rPr>
        <w:t>(4)</w:t>
      </w:r>
      <w:r w:rsidRPr="00132E65">
        <w:rPr>
          <w:rtl/>
          <w:lang w:bidi="fa-IR"/>
        </w:rPr>
        <w:t xml:space="preserve"> ، عَنِ ابْنِ أَبِي يَعْفُورٍ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ثَلَاثَةٌ لَايُكَلِّمُهُمُ اللهُ يَوْمَ الْقِيَامَةِ ولَا يُزَكِّيهِمْ ولَهُمْ عَذَابٌ أَلِيمٌ : مَنِ ادَّعى إِمَامَةً مِنَ اللهِ لَيْسَتْ </w:t>
      </w:r>
      <w:r>
        <w:rPr>
          <w:rStyle w:val="libFootnotenumChar"/>
          <w:rtl/>
        </w:rPr>
        <w:t>(5)</w:t>
      </w:r>
      <w:r w:rsidRPr="00132E65">
        <w:rPr>
          <w:rtl/>
          <w:lang w:bidi="fa-IR"/>
        </w:rPr>
        <w:t xml:space="preserve"> لَهُ ، و</w:t>
      </w:r>
      <w:r w:rsidR="007213F9">
        <w:rPr>
          <w:rFonts w:hint="cs"/>
          <w:rtl/>
          <w:lang w:bidi="fa-IR"/>
        </w:rPr>
        <w:t>َ</w:t>
      </w:r>
      <w:r w:rsidRPr="00132E65">
        <w:rPr>
          <w:rtl/>
          <w:lang w:bidi="fa-IR"/>
        </w:rPr>
        <w:t>مَنْ جَحَدَ إِمَاماً مِنَ اللهِ ، ومَنْ زَعَمَ أَنَّ لَهُمَا فِي الْإِسْلَامِ نَصِيباً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9E4166">
        <w:rPr>
          <w:rtl/>
        </w:rPr>
        <w:t>965</w:t>
      </w:r>
      <w:r w:rsidRPr="004325D8">
        <w:rPr>
          <w:rStyle w:val="libBold2Char"/>
          <w:rtl/>
        </w:rPr>
        <w:t xml:space="preserve"> / 5.</w:t>
      </w:r>
      <w:r w:rsidRPr="00132E65">
        <w:rPr>
          <w:rtl/>
          <w:lang w:bidi="fa-IR"/>
        </w:rPr>
        <w:t xml:space="preserve"> مُحَمَّدُ بْنُ يَحْيى ، عَنْ أَحْمَدَ بْنِ مُحَمَّدٍ ، عَنِ ابْنِ سِنَانٍ ، عَنْ يَحْيى أَخِي‌</w:t>
      </w:r>
    </w:p>
    <w:p w:rsidR="000C39D1" w:rsidRPr="00132E65" w:rsidRDefault="000C39D1" w:rsidP="000C39D1">
      <w:pPr>
        <w:pStyle w:val="libLine"/>
        <w:rPr>
          <w:rtl/>
          <w:lang w:bidi="fa-IR"/>
        </w:rPr>
      </w:pPr>
      <w:r w:rsidRPr="00132E65">
        <w:rPr>
          <w:rtl/>
          <w:lang w:bidi="fa-IR"/>
        </w:rPr>
        <w:t>__________________</w:t>
      </w:r>
    </w:p>
    <w:p w:rsidR="000C39D1" w:rsidRPr="00132E65" w:rsidRDefault="007213F9" w:rsidP="000C39D1">
      <w:pPr>
        <w:pStyle w:val="libFootnote0"/>
        <w:rPr>
          <w:rtl/>
          <w:lang w:bidi="fa-IR"/>
        </w:rPr>
      </w:pPr>
      <w:r>
        <w:rPr>
          <w:rFonts w:hint="cs"/>
          <w:rtl/>
        </w:rPr>
        <w:t xml:space="preserve">= </w:t>
      </w:r>
      <w:r w:rsidR="000C39D1" w:rsidRPr="00132E65">
        <w:rPr>
          <w:rtl/>
        </w:rPr>
        <w:t xml:space="preserve">ح 2 ، بسنده عن أبان </w:t>
      </w:r>
      <w:r>
        <w:rPr>
          <w:rFonts w:hint="cs"/>
          <w:rtl/>
        </w:rPr>
        <w:t>.</w:t>
      </w:r>
      <w:r w:rsidR="000C39D1" w:rsidRPr="009D1ACE">
        <w:rPr>
          <w:rStyle w:val="libFootnoteBoldChar"/>
          <w:rtl/>
        </w:rPr>
        <w:t>الوافي</w:t>
      </w:r>
      <w:r w:rsidR="000C39D1" w:rsidRPr="00132E65">
        <w:rPr>
          <w:rtl/>
        </w:rPr>
        <w:t xml:space="preserve"> ، ج 2 ، ص 179 ، ح 635.</w:t>
      </w:r>
    </w:p>
    <w:p w:rsidR="000C39D1" w:rsidRPr="00132E65" w:rsidRDefault="000C39D1" w:rsidP="007213F9">
      <w:pPr>
        <w:pStyle w:val="libFootnote0"/>
        <w:rPr>
          <w:rtl/>
          <w:lang w:bidi="fa-IR"/>
        </w:rPr>
      </w:pPr>
      <w:r>
        <w:rPr>
          <w:rtl/>
        </w:rPr>
        <w:t>(1).</w:t>
      </w:r>
      <w:r w:rsidRPr="00132E65">
        <w:rPr>
          <w:rtl/>
        </w:rPr>
        <w:t xml:space="preserve"> الزمر (39) : 60. وفي « ف » :</w:t>
      </w:r>
      <w:r>
        <w:rPr>
          <w:rtl/>
        </w:rPr>
        <w:t xml:space="preserve"> + </w:t>
      </w:r>
      <w:r w:rsidR="007213F9" w:rsidRPr="007213F9">
        <w:rPr>
          <w:rStyle w:val="libFootnoteAlaemChar"/>
          <w:rFonts w:hint="cs"/>
          <w:rtl/>
        </w:rPr>
        <w:t>(</w:t>
      </w:r>
      <w:r w:rsidRPr="007213F9">
        <w:rPr>
          <w:rStyle w:val="libFootnoteAieChar"/>
          <w:rtl/>
        </w:rPr>
        <w:t xml:space="preserve"> وُجُوهُهُمْ مُسْوَدَّةٌ </w:t>
      </w:r>
      <w:r w:rsidR="007213F9" w:rsidRPr="007213F9">
        <w:rPr>
          <w:rStyle w:val="libFootnoteAlaemChar"/>
          <w:rFonts w:hint="cs"/>
          <w:rtl/>
        </w:rPr>
        <w:t>)</w:t>
      </w:r>
      <w:r>
        <w:rPr>
          <w:rtl/>
        </w:rPr>
        <w:t>.</w:t>
      </w:r>
    </w:p>
    <w:p w:rsidR="000C39D1" w:rsidRPr="00132E65" w:rsidRDefault="000C39D1" w:rsidP="000C39D1">
      <w:pPr>
        <w:pStyle w:val="libFootnote0"/>
        <w:rPr>
          <w:rtl/>
          <w:lang w:bidi="fa-IR"/>
        </w:rPr>
      </w:pPr>
      <w:r>
        <w:rPr>
          <w:rtl/>
        </w:rPr>
        <w:t>(2).</w:t>
      </w:r>
      <w:r w:rsidRPr="00132E65">
        <w:rPr>
          <w:rtl/>
        </w:rPr>
        <w:t xml:space="preserve"> في « بر » :</w:t>
      </w:r>
      <w:r>
        <w:rPr>
          <w:rtl/>
        </w:rPr>
        <w:t xml:space="preserve"> + </w:t>
      </w:r>
      <w:r w:rsidRPr="00132E65">
        <w:rPr>
          <w:rtl/>
        </w:rPr>
        <w:t>« جعلت فداك »</w:t>
      </w:r>
      <w:r>
        <w:rPr>
          <w:rtl/>
        </w:rPr>
        <w:t>.</w:t>
      </w:r>
    </w:p>
    <w:p w:rsidR="000C39D1" w:rsidRPr="00132E65" w:rsidRDefault="000C39D1" w:rsidP="000C39D1">
      <w:pPr>
        <w:pStyle w:val="libFootnote0"/>
        <w:rPr>
          <w:rtl/>
          <w:lang w:bidi="fa-IR"/>
        </w:rPr>
      </w:pPr>
      <w:r>
        <w:rPr>
          <w:rtl/>
        </w:rPr>
        <w:t>(3).</w:t>
      </w:r>
      <w:r w:rsidRPr="00132E65">
        <w:rPr>
          <w:rtl/>
        </w:rPr>
        <w:t xml:space="preserve"> </w:t>
      </w:r>
      <w:r w:rsidRPr="007213F9">
        <w:rPr>
          <w:rStyle w:val="libFootnoteBoldChar"/>
          <w:rtl/>
        </w:rPr>
        <w:t>تفسير القمّي</w:t>
      </w:r>
      <w:r w:rsidRPr="00132E65">
        <w:rPr>
          <w:rtl/>
        </w:rPr>
        <w:t xml:space="preserve"> ، ج 2 ، ص 215 ؛ </w:t>
      </w:r>
      <w:r w:rsidRPr="007213F9">
        <w:rPr>
          <w:rStyle w:val="libFootnoteBoldChar"/>
          <w:rtl/>
        </w:rPr>
        <w:t>والغيبة للنعماني</w:t>
      </w:r>
      <w:r w:rsidRPr="00132E65">
        <w:rPr>
          <w:rtl/>
        </w:rPr>
        <w:t xml:space="preserve"> ، ص 111 ، ح 1 ، بسند آخر ، مع اختلاف يسير </w:t>
      </w:r>
      <w:r w:rsidR="007213F9">
        <w:rPr>
          <w:rFonts w:hint="cs"/>
          <w:rtl/>
        </w:rPr>
        <w:t>.</w:t>
      </w:r>
      <w:r w:rsidRPr="009D1ACE">
        <w:rPr>
          <w:rStyle w:val="libFootnoteBoldChar"/>
          <w:rtl/>
        </w:rPr>
        <w:t>الوافي</w:t>
      </w:r>
      <w:r w:rsidRPr="00132E65">
        <w:rPr>
          <w:rtl/>
        </w:rPr>
        <w:t xml:space="preserve"> ، ج 2 ، ص 179 ، ح 634.</w:t>
      </w:r>
    </w:p>
    <w:p w:rsidR="000C39D1" w:rsidRPr="00132E65" w:rsidRDefault="000C39D1" w:rsidP="000C39D1">
      <w:pPr>
        <w:pStyle w:val="libFootnote0"/>
        <w:rPr>
          <w:rtl/>
          <w:lang w:bidi="fa-IR"/>
        </w:rPr>
      </w:pPr>
      <w:r>
        <w:rPr>
          <w:rtl/>
        </w:rPr>
        <w:t>(4).</w:t>
      </w:r>
      <w:r w:rsidRPr="00132E65">
        <w:rPr>
          <w:rtl/>
        </w:rPr>
        <w:t xml:space="preserve"> في « ج » : « الجمّاز »</w:t>
      </w:r>
      <w:r>
        <w:rPr>
          <w:rtl/>
        </w:rPr>
        <w:t>.</w:t>
      </w:r>
      <w:r w:rsidRPr="00132E65">
        <w:rPr>
          <w:rtl/>
        </w:rPr>
        <w:t xml:space="preserve"> وهو سهو. وداود هذا ، هو داود بن سليمان أبو سليمان الحمّار. راجع : </w:t>
      </w:r>
      <w:r w:rsidRPr="007213F9">
        <w:rPr>
          <w:rStyle w:val="libFootnoteBoldChar"/>
          <w:rtl/>
        </w:rPr>
        <w:t>رجال النجاشي</w:t>
      </w:r>
      <w:r w:rsidRPr="00132E65">
        <w:rPr>
          <w:rtl/>
        </w:rPr>
        <w:t xml:space="preserve"> ، ص 160 ، الرقم 423 ؛ </w:t>
      </w:r>
      <w:r w:rsidRPr="007213F9">
        <w:rPr>
          <w:rStyle w:val="libFootnoteBoldChar"/>
          <w:rtl/>
        </w:rPr>
        <w:t>رجال البرقي</w:t>
      </w:r>
      <w:r w:rsidRPr="00132E65">
        <w:rPr>
          <w:rtl/>
        </w:rPr>
        <w:t xml:space="preserve"> ، ص 32 ؛ </w:t>
      </w:r>
      <w:r w:rsidRPr="007213F9">
        <w:rPr>
          <w:rStyle w:val="libFootnoteBoldChar"/>
          <w:rtl/>
        </w:rPr>
        <w:t>الفهرست للطوسي</w:t>
      </w:r>
      <w:r w:rsidRPr="00132E65">
        <w:rPr>
          <w:rtl/>
        </w:rPr>
        <w:t xml:space="preserve"> ، ص 184 ، الرقم 286 ؛ </w:t>
      </w:r>
      <w:r w:rsidRPr="007213F9">
        <w:rPr>
          <w:rStyle w:val="libFootnoteBoldChar"/>
          <w:rtl/>
        </w:rPr>
        <w:t>رجال الطوسي</w:t>
      </w:r>
      <w:r w:rsidRPr="00132E65">
        <w:rPr>
          <w:rtl/>
        </w:rPr>
        <w:t xml:space="preserve"> ، ص 202 ، الرقم 2573.</w:t>
      </w:r>
    </w:p>
    <w:p w:rsidR="000C39D1" w:rsidRPr="00132E65" w:rsidRDefault="000C39D1" w:rsidP="000C39D1">
      <w:pPr>
        <w:pStyle w:val="libFootnote0"/>
        <w:rPr>
          <w:rtl/>
          <w:lang w:bidi="fa-IR"/>
        </w:rPr>
      </w:pPr>
      <w:r>
        <w:rPr>
          <w:rtl/>
        </w:rPr>
        <w:t>(5).</w:t>
      </w:r>
      <w:r w:rsidRPr="00132E65">
        <w:rPr>
          <w:rtl/>
        </w:rPr>
        <w:t xml:space="preserve"> في « ج » : « وليست »</w:t>
      </w:r>
      <w:r>
        <w:rPr>
          <w:rtl/>
        </w:rPr>
        <w:t>.</w:t>
      </w:r>
    </w:p>
    <w:p w:rsidR="000C39D1" w:rsidRPr="00132E65" w:rsidRDefault="000C39D1" w:rsidP="000C39D1">
      <w:pPr>
        <w:pStyle w:val="libFootnote0"/>
        <w:rPr>
          <w:rtl/>
          <w:lang w:bidi="fa-IR"/>
        </w:rPr>
      </w:pPr>
      <w:r>
        <w:rPr>
          <w:rtl/>
        </w:rPr>
        <w:t>(6).</w:t>
      </w:r>
      <w:r w:rsidRPr="00132E65">
        <w:rPr>
          <w:rtl/>
        </w:rPr>
        <w:t xml:space="preserve"> </w:t>
      </w:r>
      <w:r w:rsidRPr="007213F9">
        <w:rPr>
          <w:rStyle w:val="libFootnoteBoldChar"/>
          <w:rtl/>
        </w:rPr>
        <w:t>الغيبة للنعماني</w:t>
      </w:r>
      <w:r w:rsidRPr="00132E65">
        <w:rPr>
          <w:rtl/>
        </w:rPr>
        <w:t xml:space="preserve"> ، ص 111 ، ح 2 </w:t>
      </w:r>
      <w:r>
        <w:rPr>
          <w:rtl/>
        </w:rPr>
        <w:t>و 3</w:t>
      </w:r>
      <w:r w:rsidRPr="00132E65">
        <w:rPr>
          <w:rtl/>
        </w:rPr>
        <w:t xml:space="preserve"> ؛ </w:t>
      </w:r>
      <w:r w:rsidRPr="007213F9">
        <w:rPr>
          <w:rStyle w:val="libFootnoteBoldChar"/>
          <w:rtl/>
        </w:rPr>
        <w:t>الخصال</w:t>
      </w:r>
      <w:r w:rsidRPr="00132E65">
        <w:rPr>
          <w:rtl/>
        </w:rPr>
        <w:t xml:space="preserve"> ، ص 106 ، باب الثلاثة ح 69 ؛ </w:t>
      </w:r>
      <w:r w:rsidRPr="007213F9">
        <w:rPr>
          <w:rStyle w:val="libFootnoteBoldChar"/>
          <w:rtl/>
        </w:rPr>
        <w:t>ثواب الأعمال</w:t>
      </w:r>
      <w:r w:rsidRPr="00132E65">
        <w:rPr>
          <w:rtl/>
        </w:rPr>
        <w:t xml:space="preserve"> ، ص 255 ، ح 3 ، وفيه عن أبي الحسن الماضي ، مع زيادة في أوّله وآخره ، وفي كلّها بسند آخر. وفي </w:t>
      </w:r>
      <w:r w:rsidRPr="007213F9">
        <w:rPr>
          <w:rStyle w:val="libFootnoteBoldChar"/>
          <w:rtl/>
        </w:rPr>
        <w:t>تفسير العيّاشي</w:t>
      </w:r>
      <w:r w:rsidRPr="00132E65">
        <w:rPr>
          <w:rtl/>
        </w:rPr>
        <w:t xml:space="preserve"> ، ج 1 ، ص 178 ، ح 65 ، عن أبي حمزة الثمالي ، عن عليّ بن الحسين </w:t>
      </w:r>
      <w:r w:rsidRPr="00D14011">
        <w:rPr>
          <w:rStyle w:val="libFootnoteAlaemChar"/>
          <w:rtl/>
        </w:rPr>
        <w:t>عليه‌السلام</w:t>
      </w:r>
      <w:r w:rsidRPr="00132E65">
        <w:rPr>
          <w:rtl/>
        </w:rPr>
        <w:t xml:space="preserve"> ؛ </w:t>
      </w:r>
      <w:r w:rsidRPr="007213F9">
        <w:rPr>
          <w:rStyle w:val="libFootnoteBoldChar"/>
          <w:rtl/>
        </w:rPr>
        <w:t>تحف العقول</w:t>
      </w:r>
      <w:r w:rsidRPr="00132E65">
        <w:rPr>
          <w:rtl/>
        </w:rPr>
        <w:t xml:space="preserve"> ، ص 329 ، وفي كلّها مع اختلاف يسير </w:t>
      </w:r>
      <w:r w:rsidR="007213F9">
        <w:rPr>
          <w:rFonts w:hint="cs"/>
          <w:rtl/>
        </w:rPr>
        <w:t>.</w:t>
      </w:r>
      <w:r w:rsidRPr="009D1ACE">
        <w:rPr>
          <w:rStyle w:val="libFootnoteBoldChar"/>
          <w:rtl/>
        </w:rPr>
        <w:t>الوافي</w:t>
      </w:r>
      <w:r w:rsidRPr="00132E65">
        <w:rPr>
          <w:rtl/>
        </w:rPr>
        <w:t xml:space="preserve"> ، ج 2 ، ص 180 ، ح 636 ؛ </w:t>
      </w:r>
      <w:r w:rsidRPr="007213F9">
        <w:rPr>
          <w:rStyle w:val="libFootnoteBoldChar"/>
          <w:rtl/>
        </w:rPr>
        <w:t>الوسائل</w:t>
      </w:r>
      <w:r w:rsidRPr="00132E65">
        <w:rPr>
          <w:rtl/>
        </w:rPr>
        <w:t xml:space="preserve"> ، ج 28 ، ص 349 ، ذيل ح 34937 ؛ </w:t>
      </w:r>
      <w:r w:rsidRPr="007213F9">
        <w:rPr>
          <w:rStyle w:val="libFootnoteBoldChar"/>
          <w:rtl/>
        </w:rPr>
        <w:t>البحار</w:t>
      </w:r>
      <w:r w:rsidRPr="00132E65">
        <w:rPr>
          <w:rtl/>
        </w:rPr>
        <w:t xml:space="preserve"> ، ج 7 ، ص 212 ، ذيل ح 113 ؛ وج 8 ، ص 363 ، ح 40.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أُدَيْمٍ ، عَنِ الْوَلِيدِ بْنِ صَبِيحٍ ، قَالَ :</w:t>
      </w:r>
    </w:p>
    <w:p w:rsidR="000C39D1" w:rsidRPr="00132E65" w:rsidRDefault="000C39D1" w:rsidP="007213F9">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هذَا الْأَمْرَ لَايَدَّعِيهِ غَيْرُ صَاحِبِهِ إ</w:t>
      </w:r>
      <w:r w:rsidR="007213F9">
        <w:rPr>
          <w:rtl/>
          <w:lang w:bidi="fa-IR"/>
        </w:rPr>
        <w:t>ِل</w:t>
      </w:r>
      <w:r w:rsidR="007213F9">
        <w:rPr>
          <w:rFonts w:hint="cs"/>
          <w:rtl/>
          <w:lang w:bidi="fa-IR"/>
        </w:rPr>
        <w:t>َّ</w:t>
      </w:r>
      <w:r w:rsidR="007213F9">
        <w:rPr>
          <w:rtl/>
          <w:lang w:bidi="fa-IR"/>
        </w:rPr>
        <w:t>ا</w:t>
      </w:r>
      <w:r w:rsidRPr="00132E65">
        <w:rPr>
          <w:rtl/>
          <w:lang w:bidi="fa-IR"/>
        </w:rPr>
        <w:t xml:space="preserve"> بَتَرَ </w:t>
      </w:r>
      <w:r>
        <w:rPr>
          <w:rStyle w:val="libFootnotenumChar"/>
          <w:rtl/>
        </w:rPr>
        <w:t>(1)</w:t>
      </w:r>
      <w:r w:rsidRPr="00132E65">
        <w:rPr>
          <w:rtl/>
          <w:lang w:bidi="fa-IR"/>
        </w:rPr>
        <w:t xml:space="preserve"> اللهُ عُمُرَهُ »</w:t>
      </w:r>
      <w:r>
        <w:rPr>
          <w:rtl/>
          <w:lang w:bidi="fa-IR"/>
        </w:rPr>
        <w:t>.</w:t>
      </w:r>
      <w:r>
        <w:rPr>
          <w:rStyle w:val="libFootnotenumChar"/>
          <w:rtl/>
        </w:rPr>
        <w:t>(2)</w:t>
      </w:r>
    </w:p>
    <w:p w:rsidR="000C39D1" w:rsidRPr="00132E65" w:rsidRDefault="000C39D1" w:rsidP="000C39D1">
      <w:pPr>
        <w:pStyle w:val="libNormal"/>
        <w:rPr>
          <w:rtl/>
          <w:lang w:bidi="fa-IR"/>
        </w:rPr>
      </w:pPr>
      <w:r w:rsidRPr="009E4166">
        <w:rPr>
          <w:rtl/>
        </w:rPr>
        <w:t>966</w:t>
      </w:r>
      <w:r w:rsidRPr="004325D8">
        <w:rPr>
          <w:rStyle w:val="libBold2Char"/>
          <w:rtl/>
        </w:rPr>
        <w:t xml:space="preserve"> / 6.</w:t>
      </w:r>
      <w:r w:rsidRPr="00132E65">
        <w:rPr>
          <w:rtl/>
          <w:lang w:bidi="fa-IR"/>
        </w:rPr>
        <w:t xml:space="preserve"> مُحَمَّدُ بْنُ يَحْيى ، عَنْ مُحَمَّدِ بْنِ الْحُسَيْنِ ، عَنْ مُحَمَّدِ بْنِ سِنَانٍ ، عَنْ طَلْحَةَ بْنِ زَيْدٍ</w:t>
      </w:r>
      <w:r>
        <w:rPr>
          <w:rStyle w:val="libFootnotenumChar"/>
          <w:rtl/>
        </w:rPr>
        <w:t>(3)</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مَنْ أَشْرَكَ مَعَ إِمَامٍ</w:t>
      </w:r>
      <w:r>
        <w:rPr>
          <w:rtl/>
          <w:lang w:bidi="fa-IR"/>
        </w:rPr>
        <w:t xml:space="preserve"> - </w:t>
      </w:r>
      <w:r w:rsidRPr="00132E65">
        <w:rPr>
          <w:rtl/>
          <w:lang w:bidi="fa-IR"/>
        </w:rPr>
        <w:t>إِمَامَتُهُ مِنْ عِنْدِ اللهِ</w:t>
      </w:r>
      <w:r>
        <w:rPr>
          <w:rtl/>
          <w:lang w:bidi="fa-IR"/>
        </w:rPr>
        <w:t xml:space="preserve"> - </w:t>
      </w:r>
      <w:r w:rsidRPr="00132E65">
        <w:rPr>
          <w:rtl/>
          <w:lang w:bidi="fa-IR"/>
        </w:rPr>
        <w:t xml:space="preserve">مَنْ لَيْسَتْ إِمَامَتُهُ مِنَ اللهِ ، كَانَ مُشْرِكاً بِاللهِ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9E4166">
        <w:rPr>
          <w:rtl/>
        </w:rPr>
        <w:t>967</w:t>
      </w:r>
      <w:r w:rsidRPr="004325D8">
        <w:rPr>
          <w:rStyle w:val="libBold2Char"/>
          <w:rtl/>
        </w:rPr>
        <w:t xml:space="preserve"> / 7.</w:t>
      </w:r>
      <w:r w:rsidRPr="00132E65">
        <w:rPr>
          <w:rtl/>
          <w:lang w:bidi="fa-IR"/>
        </w:rPr>
        <w:t xml:space="preserve"> مُحَمَّدُ بْنُ يَحْيى ، عَنْ أَحْمَدَ بْنِ مُحَمَّدٍ ، عَنْ مُحَمَّدِ بْنِ إِسْمَاعِيلَ ، عَنْ مَنْصُورِ بْنِ يُونُسَ ، عَنْ مُحَمَّدِ بْنِ مُسْلِمٍ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رَجُلٌ قَالَ لِيَ : اعْرِفِ الْآخِرَ مِنَ الْأَئِمَّةِ </w:t>
      </w:r>
      <w:r>
        <w:rPr>
          <w:rStyle w:val="libFootnotenumChar"/>
          <w:rtl/>
        </w:rPr>
        <w:t>(6)</w:t>
      </w:r>
      <w:r w:rsidRPr="00132E65">
        <w:rPr>
          <w:rtl/>
          <w:lang w:bidi="fa-IR"/>
        </w:rPr>
        <w:t xml:space="preserve"> ، ولَايَضُرُّكَ أَنْ لَا تَعْرِفَ الْأَوَّلَ.</w:t>
      </w:r>
    </w:p>
    <w:p w:rsidR="000C39D1" w:rsidRPr="00132E65" w:rsidRDefault="000C39D1" w:rsidP="000C39D1">
      <w:pPr>
        <w:pStyle w:val="libNormal"/>
        <w:rPr>
          <w:rtl/>
          <w:lang w:bidi="fa-IR"/>
        </w:rPr>
      </w:pPr>
      <w:r w:rsidRPr="00132E65">
        <w:rPr>
          <w:rtl/>
          <w:lang w:bidi="fa-IR"/>
        </w:rPr>
        <w:t>قَالَ : فَقَالَ : « لَعَنَ اللهُ هذَا ؛ فَإِنِّي أُبْغِضُهُ ، ولَا</w:t>
      </w:r>
      <w:r>
        <w:rPr>
          <w:rFonts w:hint="cs"/>
          <w:rtl/>
          <w:lang w:bidi="fa-IR"/>
        </w:rPr>
        <w:t xml:space="preserve"> </w:t>
      </w:r>
      <w:r w:rsidRPr="00132E65">
        <w:rPr>
          <w:rtl/>
          <w:lang w:bidi="fa-IR"/>
        </w:rPr>
        <w:t xml:space="preserve">أَعْرِفُهُ ، وهَلْ عُرِفَ </w:t>
      </w:r>
      <w:r>
        <w:rPr>
          <w:rStyle w:val="libFootnotenumChar"/>
          <w:rtl/>
        </w:rPr>
        <w:t>(7)</w:t>
      </w:r>
      <w:r w:rsidRPr="00132E65">
        <w:rPr>
          <w:rtl/>
          <w:lang w:bidi="fa-IR"/>
        </w:rPr>
        <w:t xml:space="preserve"> الْآخِرُ </w:t>
      </w:r>
      <w:r>
        <w:rPr>
          <w:rStyle w:val="libFootnotenumChar"/>
          <w:rtl/>
        </w:rPr>
        <w:t>(8)</w:t>
      </w:r>
      <w:r w:rsidR="007213F9">
        <w:rPr>
          <w:rtl/>
          <w:lang w:bidi="fa-IR"/>
        </w:rPr>
        <w:t xml:space="preserve"> إِل</w:t>
      </w:r>
      <w:r w:rsidR="007213F9">
        <w:rPr>
          <w:rFonts w:hint="cs"/>
          <w:rtl/>
          <w:lang w:bidi="fa-IR"/>
        </w:rPr>
        <w:t>َّ</w:t>
      </w:r>
      <w:r w:rsidR="007213F9">
        <w:rPr>
          <w:rtl/>
          <w:lang w:bidi="fa-IR"/>
        </w:rPr>
        <w:t>ا</w:t>
      </w:r>
      <w:r w:rsidRPr="00132E65">
        <w:rPr>
          <w:rtl/>
          <w:lang w:bidi="fa-IR"/>
        </w:rPr>
        <w:t xml:space="preserve"> بِالْأَوَّلِ</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بح ، بر ، بس ، بف » وشرح المازندراني و</w:t>
      </w:r>
      <w:r w:rsidRPr="009D1ACE">
        <w:rPr>
          <w:rStyle w:val="libFootnoteBoldChar"/>
          <w:rtl/>
        </w:rPr>
        <w:t>مرآة العقول</w:t>
      </w:r>
      <w:r w:rsidRPr="00132E65">
        <w:rPr>
          <w:rtl/>
        </w:rPr>
        <w:t xml:space="preserve">. </w:t>
      </w:r>
      <w:r>
        <w:rPr>
          <w:rtl/>
        </w:rPr>
        <w:t>و «</w:t>
      </w:r>
      <w:r w:rsidRPr="00132E65">
        <w:rPr>
          <w:rtl/>
        </w:rPr>
        <w:t xml:space="preserve"> البتر » : القطع والاستيصال. وفي « ف » : « بتّر »</w:t>
      </w:r>
      <w:r>
        <w:rPr>
          <w:rtl/>
        </w:rPr>
        <w:t>.</w:t>
      </w:r>
      <w:r w:rsidRPr="00132E65">
        <w:rPr>
          <w:rtl/>
        </w:rPr>
        <w:t xml:space="preserve"> وفي المطبوع : « تبّر » ، أي كسّر وأهلك.</w:t>
      </w:r>
    </w:p>
    <w:p w:rsidR="000C39D1" w:rsidRPr="00132E65" w:rsidRDefault="000C39D1" w:rsidP="000C39D1">
      <w:pPr>
        <w:pStyle w:val="libFootnote0"/>
        <w:rPr>
          <w:rtl/>
          <w:lang w:bidi="fa-IR"/>
        </w:rPr>
      </w:pPr>
      <w:r>
        <w:rPr>
          <w:rtl/>
        </w:rPr>
        <w:t>(2).</w:t>
      </w:r>
      <w:r w:rsidRPr="00132E65">
        <w:rPr>
          <w:rtl/>
        </w:rPr>
        <w:t xml:space="preserve"> </w:t>
      </w:r>
      <w:r w:rsidRPr="00717E9E">
        <w:rPr>
          <w:rStyle w:val="libFootnoteBoldChar"/>
          <w:rtl/>
        </w:rPr>
        <w:t>ثواب الأعمال</w:t>
      </w:r>
      <w:r w:rsidRPr="00132E65">
        <w:rPr>
          <w:rtl/>
        </w:rPr>
        <w:t xml:space="preserve"> ، ص 255 ، ح 4 ، بسنده عن ابن سنان </w:t>
      </w:r>
      <w:r w:rsidR="00717E9E">
        <w:rPr>
          <w:rFonts w:hint="cs"/>
          <w:rtl/>
        </w:rPr>
        <w:t>.</w:t>
      </w:r>
      <w:r w:rsidRPr="009D1ACE">
        <w:rPr>
          <w:rStyle w:val="libFootnoteBoldChar"/>
          <w:rtl/>
        </w:rPr>
        <w:t>الوافي</w:t>
      </w:r>
      <w:r w:rsidRPr="00132E65">
        <w:rPr>
          <w:rtl/>
        </w:rPr>
        <w:t xml:space="preserve"> ، ج 2 ، ص 180 ، ح 637.</w:t>
      </w:r>
    </w:p>
    <w:p w:rsidR="000C39D1" w:rsidRPr="00132E65" w:rsidRDefault="000C39D1" w:rsidP="000C39D1">
      <w:pPr>
        <w:pStyle w:val="libFootnote0"/>
        <w:rPr>
          <w:rtl/>
          <w:lang w:bidi="fa-IR"/>
        </w:rPr>
      </w:pPr>
      <w:r>
        <w:rPr>
          <w:rtl/>
        </w:rPr>
        <w:t>(3).</w:t>
      </w:r>
      <w:r w:rsidRPr="00132E65">
        <w:rPr>
          <w:rtl/>
        </w:rPr>
        <w:t xml:space="preserve"> في الغيبة للنعماني : « عن بعض رجاله » بدل « عن طلحة بن زيد »</w:t>
      </w:r>
      <w:r>
        <w:rPr>
          <w:rtl/>
        </w:rPr>
        <w:t>.</w:t>
      </w:r>
    </w:p>
    <w:p w:rsidR="000C39D1" w:rsidRPr="00132E65" w:rsidRDefault="000C39D1" w:rsidP="000C39D1">
      <w:pPr>
        <w:pStyle w:val="libFootnote0"/>
        <w:rPr>
          <w:rtl/>
          <w:lang w:bidi="fa-IR"/>
        </w:rPr>
      </w:pPr>
      <w:r>
        <w:rPr>
          <w:rtl/>
        </w:rPr>
        <w:t>(4).</w:t>
      </w:r>
      <w:r w:rsidRPr="00132E65">
        <w:rPr>
          <w:rtl/>
        </w:rPr>
        <w:t xml:space="preserve"> في الغيبة للنعماني </w:t>
      </w:r>
      <w:r>
        <w:rPr>
          <w:rtl/>
        </w:rPr>
        <w:t xml:space="preserve">: - </w:t>
      </w:r>
      <w:r w:rsidRPr="00132E65">
        <w:rPr>
          <w:rtl/>
        </w:rPr>
        <w:t>« بالله »</w:t>
      </w:r>
      <w:r>
        <w:rPr>
          <w:rtl/>
        </w:rPr>
        <w:t>.</w:t>
      </w:r>
    </w:p>
    <w:p w:rsidR="000C39D1" w:rsidRPr="00132E65" w:rsidRDefault="000C39D1" w:rsidP="000C39D1">
      <w:pPr>
        <w:pStyle w:val="libFootnote0"/>
        <w:rPr>
          <w:rtl/>
          <w:lang w:bidi="fa-IR"/>
        </w:rPr>
      </w:pPr>
      <w:r>
        <w:rPr>
          <w:rtl/>
        </w:rPr>
        <w:t>(5).</w:t>
      </w:r>
      <w:r w:rsidRPr="00132E65">
        <w:rPr>
          <w:rtl/>
        </w:rPr>
        <w:t xml:space="preserve"> </w:t>
      </w:r>
      <w:r w:rsidRPr="00717E9E">
        <w:rPr>
          <w:rStyle w:val="libFootnoteBoldChar"/>
          <w:rtl/>
        </w:rPr>
        <w:t>الغيبة للنعماني</w:t>
      </w:r>
      <w:r w:rsidRPr="00132E65">
        <w:rPr>
          <w:rtl/>
        </w:rPr>
        <w:t xml:space="preserve"> ، ص 130 ، ح 8 ، عن الكليني </w:t>
      </w:r>
      <w:r w:rsidR="00717E9E">
        <w:rPr>
          <w:rFonts w:hint="cs"/>
          <w:rtl/>
        </w:rPr>
        <w:t>.</w:t>
      </w:r>
      <w:r w:rsidRPr="009D1ACE">
        <w:rPr>
          <w:rStyle w:val="libFootnoteBoldChar"/>
          <w:rtl/>
        </w:rPr>
        <w:t>الوافي</w:t>
      </w:r>
      <w:r w:rsidRPr="00132E65">
        <w:rPr>
          <w:rtl/>
        </w:rPr>
        <w:t xml:space="preserve"> ، ج 2 ، ص 180 ، ح 638.</w:t>
      </w:r>
    </w:p>
    <w:p w:rsidR="000C39D1" w:rsidRPr="00132E65" w:rsidRDefault="000C39D1" w:rsidP="000C39D1">
      <w:pPr>
        <w:pStyle w:val="libFootnote0"/>
        <w:rPr>
          <w:rtl/>
          <w:lang w:bidi="fa-IR"/>
        </w:rPr>
      </w:pPr>
      <w:r>
        <w:rPr>
          <w:rtl/>
        </w:rPr>
        <w:t>(6).</w:t>
      </w:r>
      <w:r w:rsidRPr="00132E65">
        <w:rPr>
          <w:rtl/>
        </w:rPr>
        <w:t xml:space="preserve"> في « بف » </w:t>
      </w:r>
      <w:r>
        <w:rPr>
          <w:rtl/>
        </w:rPr>
        <w:t xml:space="preserve">: - </w:t>
      </w:r>
      <w:r w:rsidRPr="00132E65">
        <w:rPr>
          <w:rtl/>
        </w:rPr>
        <w:t>« من الأئمّة »</w:t>
      </w:r>
      <w:r>
        <w:rPr>
          <w:rtl/>
        </w:rPr>
        <w:t>.</w:t>
      </w:r>
    </w:p>
    <w:p w:rsidR="000C39D1" w:rsidRPr="00132E65" w:rsidRDefault="000C39D1" w:rsidP="000C39D1">
      <w:pPr>
        <w:pStyle w:val="libFootnote0"/>
        <w:rPr>
          <w:rtl/>
          <w:lang w:bidi="fa-IR"/>
        </w:rPr>
      </w:pPr>
      <w:r>
        <w:rPr>
          <w:rtl/>
        </w:rPr>
        <w:t>(7).</w:t>
      </w:r>
      <w:r w:rsidRPr="00132E65">
        <w:rPr>
          <w:rtl/>
        </w:rPr>
        <w:t xml:space="preserve"> في « بر » : « يعرف »</w:t>
      </w:r>
      <w:r>
        <w:rPr>
          <w:rtl/>
        </w:rPr>
        <w:t>.</w:t>
      </w:r>
      <w:r w:rsidRPr="00132E65">
        <w:rPr>
          <w:rtl/>
        </w:rPr>
        <w:t xml:space="preserve"> وفي </w:t>
      </w:r>
      <w:r w:rsidRPr="009D1ACE">
        <w:rPr>
          <w:rStyle w:val="libFootnoteBoldChar"/>
          <w:rtl/>
        </w:rPr>
        <w:t>مرآة العقول</w:t>
      </w:r>
      <w:r w:rsidRPr="00132E65">
        <w:rPr>
          <w:rtl/>
        </w:rPr>
        <w:t xml:space="preserve"> : « وهل عرف ، على المعلوم ، أو المجهول استفهام إنكاريّ »</w:t>
      </w:r>
      <w:r>
        <w:rPr>
          <w:rtl/>
        </w:rPr>
        <w:t>.</w:t>
      </w:r>
    </w:p>
    <w:p w:rsidR="000C39D1" w:rsidRPr="00132E65" w:rsidRDefault="000C39D1" w:rsidP="000C39D1">
      <w:pPr>
        <w:pStyle w:val="libFootnote0"/>
        <w:rPr>
          <w:rtl/>
          <w:lang w:bidi="fa-IR"/>
        </w:rPr>
      </w:pPr>
      <w:r>
        <w:rPr>
          <w:rtl/>
        </w:rPr>
        <w:t>(8).</w:t>
      </w:r>
      <w:r w:rsidRPr="00132E65">
        <w:rPr>
          <w:rtl/>
        </w:rPr>
        <w:t xml:space="preserve"> في « بف » </w:t>
      </w:r>
      <w:r>
        <w:rPr>
          <w:rtl/>
        </w:rPr>
        <w:t xml:space="preserve">: - </w:t>
      </w:r>
      <w:r w:rsidRPr="00132E65">
        <w:rPr>
          <w:rtl/>
        </w:rPr>
        <w:t>« وهل عُرف الآخر »</w:t>
      </w:r>
      <w:r>
        <w:rPr>
          <w:rtl/>
        </w:rPr>
        <w:t>.</w:t>
      </w:r>
    </w:p>
    <w:p w:rsidR="000C39D1" w:rsidRPr="00132E65" w:rsidRDefault="000C39D1" w:rsidP="000C39D1">
      <w:pPr>
        <w:pStyle w:val="libFootnote0"/>
        <w:rPr>
          <w:rtl/>
          <w:lang w:bidi="fa-IR"/>
        </w:rPr>
      </w:pPr>
      <w:r>
        <w:rPr>
          <w:rtl/>
        </w:rPr>
        <w:t>(9).</w:t>
      </w:r>
      <w:r w:rsidRPr="00132E65">
        <w:rPr>
          <w:rtl/>
        </w:rPr>
        <w:t xml:space="preserve"> </w:t>
      </w:r>
      <w:r w:rsidRPr="00C32D2B">
        <w:rPr>
          <w:rStyle w:val="libFootnoteBoldChar"/>
          <w:rtl/>
        </w:rPr>
        <w:t>الغيبة للنعماني</w:t>
      </w:r>
      <w:r w:rsidRPr="00132E65">
        <w:rPr>
          <w:rtl/>
        </w:rPr>
        <w:t xml:space="preserve"> ، ص 130 ، ح 9 ، عن الكليني </w:t>
      </w:r>
      <w:r w:rsidR="00C32D2B">
        <w:rPr>
          <w:rFonts w:hint="cs"/>
          <w:rtl/>
        </w:rPr>
        <w:t>.</w:t>
      </w:r>
      <w:r w:rsidRPr="009D1ACE">
        <w:rPr>
          <w:rStyle w:val="libFootnoteBoldChar"/>
          <w:rtl/>
        </w:rPr>
        <w:t>الوافي</w:t>
      </w:r>
      <w:r w:rsidRPr="00132E65">
        <w:rPr>
          <w:rtl/>
        </w:rPr>
        <w:t xml:space="preserve"> ، ج 2 ، ص 180 ، ح 639.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E4166">
        <w:rPr>
          <w:rtl/>
        </w:rPr>
        <w:t>968</w:t>
      </w:r>
      <w:r w:rsidRPr="004325D8">
        <w:rPr>
          <w:rStyle w:val="libBold2Char"/>
          <w:rtl/>
        </w:rPr>
        <w:t xml:space="preserve"> / 8.</w:t>
      </w:r>
      <w:r w:rsidRPr="00132E65">
        <w:rPr>
          <w:rtl/>
          <w:lang w:bidi="fa-IR"/>
        </w:rPr>
        <w:t xml:space="preserve"> الْحُسَيْنُ بْنُ مُحَمَّدٍ ، عَنْ مُعَلَّى بْنِ مُحَمَّدٍ ، عَنْ مُحَمَّدِ بْنِ جُمْهُورٍ ، عَنْ صَفْوَانَ ، عَنِ ابْنِ مُسْكَانَ ، قَالَ :</w:t>
      </w:r>
    </w:p>
    <w:p w:rsidR="000C39D1" w:rsidRPr="00132E65" w:rsidRDefault="000C39D1" w:rsidP="000C39D1">
      <w:pPr>
        <w:pStyle w:val="libNormal"/>
        <w:rPr>
          <w:rtl/>
          <w:lang w:bidi="fa-IR"/>
        </w:rPr>
      </w:pPr>
      <w:r w:rsidRPr="00132E65">
        <w:rPr>
          <w:rtl/>
          <w:lang w:bidi="fa-IR"/>
        </w:rPr>
        <w:t xml:space="preserve">سَأَلْتُ الشَّيْخَ </w:t>
      </w:r>
      <w:r w:rsidRPr="00071CF9">
        <w:rPr>
          <w:rStyle w:val="libAlaemChar"/>
          <w:rtl/>
        </w:rPr>
        <w:t>عليه‌السلام</w:t>
      </w:r>
      <w:r w:rsidRPr="00132E65">
        <w:rPr>
          <w:rtl/>
          <w:lang w:bidi="fa-IR"/>
        </w:rPr>
        <w:t xml:space="preserve"> عَنِ الْأَئِمَّةِ صَلَوَاتُ اللهِ عَلَيْهِمْ ، قَالَ : « مَنْ أَنْكَرَ واحِداً مِنَ الْأَحْيَاءِ ، فَقَدْ أَنْكَرَ الْأَمْوَاتَ »</w:t>
      </w:r>
      <w:r>
        <w:rPr>
          <w:rtl/>
          <w:lang w:bidi="fa-IR"/>
        </w:rPr>
        <w:t>.</w:t>
      </w:r>
      <w:r w:rsidRPr="00132E65">
        <w:rPr>
          <w:rtl/>
          <w:lang w:bidi="fa-IR"/>
        </w:rPr>
        <w:t xml:space="preserve"> </w:t>
      </w:r>
      <w:r>
        <w:rPr>
          <w:rStyle w:val="libFootnotenumChar"/>
          <w:rtl/>
        </w:rPr>
        <w:t>(1)</w:t>
      </w:r>
      <w:r w:rsidRPr="00132E65">
        <w:rPr>
          <w:rtl/>
          <w:lang w:bidi="fa-IR"/>
        </w:rPr>
        <w:t>‌</w:t>
      </w:r>
    </w:p>
    <w:p w:rsidR="000C39D1" w:rsidRPr="00132E65" w:rsidRDefault="000C39D1" w:rsidP="000C39D1">
      <w:pPr>
        <w:pStyle w:val="libNormal"/>
        <w:rPr>
          <w:rtl/>
          <w:lang w:bidi="fa-IR"/>
        </w:rPr>
      </w:pPr>
      <w:r w:rsidRPr="009E4166">
        <w:rPr>
          <w:rtl/>
        </w:rPr>
        <w:t>969</w:t>
      </w:r>
      <w:r w:rsidRPr="004325D8">
        <w:rPr>
          <w:rStyle w:val="libBold2Char"/>
          <w:rtl/>
        </w:rPr>
        <w:t xml:space="preserve"> / 9.</w:t>
      </w:r>
      <w:r w:rsidRPr="00132E65">
        <w:rPr>
          <w:rtl/>
          <w:lang w:bidi="fa-IR"/>
        </w:rPr>
        <w:t xml:space="preserve"> عِدَّةٌ مِنْ أَصْحَابِنَا ، عَنْ أَحْمَدَ بْنِ مُحَمَّدٍ ، عَنِ الْحُسَيْنِ بْنِ سَعِيدٍ ، عَنْ أَبِي وهْبٍ ، عَنْ مُحَمَّدِ بْنِ مَنْصُورٍ ، قَالَ :</w:t>
      </w:r>
    </w:p>
    <w:p w:rsidR="000C39D1" w:rsidRPr="00132E65" w:rsidRDefault="000C39D1" w:rsidP="000C39D1">
      <w:pPr>
        <w:pStyle w:val="libNormal"/>
        <w:rPr>
          <w:rtl/>
          <w:lang w:bidi="fa-IR"/>
        </w:rPr>
      </w:pPr>
      <w:r w:rsidRPr="00132E65">
        <w:rPr>
          <w:rtl/>
          <w:lang w:bidi="fa-IR"/>
        </w:rPr>
        <w:t xml:space="preserve">سَأَلْتُهُ </w:t>
      </w:r>
      <w:r>
        <w:rPr>
          <w:rStyle w:val="libFootnotenumChar"/>
          <w:rtl/>
        </w:rPr>
        <w:t>(2)</w:t>
      </w:r>
      <w:r w:rsidRPr="00132E65">
        <w:rPr>
          <w:rtl/>
          <w:lang w:bidi="fa-IR"/>
        </w:rPr>
        <w:t xml:space="preserve"> عَنْ قَوْلِ اللهِ عَزَّ وجَلَّ : </w:t>
      </w:r>
      <w:r w:rsidRPr="00071CF9">
        <w:rPr>
          <w:rStyle w:val="libAlaemChar"/>
          <w:rtl/>
        </w:rPr>
        <w:t>(</w:t>
      </w:r>
      <w:r w:rsidRPr="00071CF9">
        <w:rPr>
          <w:rStyle w:val="libAieChar"/>
          <w:rtl/>
        </w:rPr>
        <w:t xml:space="preserve"> وَإِذا فَعَلُوا فاحِشَةً قالُوا وَجَدْنا عَلَيْها آباءَنا وَاللهُ أَمَرَنا بِها قُلْ إِنَّ اللهَ لا يَأْمُرُ بِالْفَحْشاءِ أَتَقُولُونَ عَلَى اللهِ ما لا تَعْلَمُونَ </w:t>
      </w:r>
      <w:r w:rsidRPr="00071CF9">
        <w:rPr>
          <w:rStyle w:val="libAlaemChar"/>
          <w:rtl/>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132E65">
        <w:rPr>
          <w:rtl/>
          <w:lang w:bidi="fa-IR"/>
        </w:rPr>
        <w:t xml:space="preserve">قَالَ : فَقَالَ : « هَلْ رَأَيْتَ أَحَداً زَعَمَ أَنَّ اللهَ أَمَرَ </w:t>
      </w:r>
      <w:r>
        <w:rPr>
          <w:rStyle w:val="libFootnotenumChar"/>
          <w:rtl/>
        </w:rPr>
        <w:t>(4)</w:t>
      </w:r>
      <w:r w:rsidRPr="00132E65">
        <w:rPr>
          <w:rtl/>
          <w:lang w:bidi="fa-IR"/>
        </w:rPr>
        <w:t xml:space="preserve"> بِالزِّنى وشُرْبِ </w:t>
      </w:r>
      <w:r>
        <w:rPr>
          <w:rStyle w:val="libFootnotenumChar"/>
          <w:rtl/>
        </w:rPr>
        <w:t>(5)</w:t>
      </w:r>
      <w:r w:rsidRPr="00132E65">
        <w:rPr>
          <w:rtl/>
          <w:lang w:bidi="fa-IR"/>
        </w:rPr>
        <w:t xml:space="preserve"> الْخَمْرِ ، أَوْ شَيْ‌ءٍ مِنْ هذِهِ الْمَحَارِمِ</w:t>
      </w:r>
      <w:r>
        <w:rPr>
          <w:rtl/>
          <w:lang w:bidi="fa-IR"/>
        </w:rPr>
        <w:t>؟</w:t>
      </w:r>
      <w:r w:rsidRPr="00132E65">
        <w:rPr>
          <w:rtl/>
          <w:lang w:bidi="fa-IR"/>
        </w:rPr>
        <w:t xml:space="preserve"> » فَقُلْتُ : لَا.</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(6)</w:t>
      </w:r>
      <w:r w:rsidRPr="00132E65">
        <w:rPr>
          <w:rtl/>
          <w:lang w:bidi="fa-IR"/>
        </w:rPr>
        <w:t xml:space="preserve"> : « مَا هذِهِ الْفَاحِشَةُ الَّتِي يَدَّعُونَ أَنَّ اللهَ أَمَرَهُمْ بِهَا</w:t>
      </w:r>
      <w:r>
        <w:rPr>
          <w:rtl/>
          <w:lang w:bidi="fa-IR"/>
        </w:rPr>
        <w:t>؟</w:t>
      </w:r>
      <w:r w:rsidRPr="00132E65">
        <w:rPr>
          <w:rtl/>
          <w:lang w:bidi="fa-IR"/>
        </w:rPr>
        <w:t xml:space="preserve"> » قُلْتُ : اللهُ أَعْلَمُ و</w:t>
      </w:r>
      <w:r w:rsidR="00C32D2B">
        <w:rPr>
          <w:rFonts w:hint="cs"/>
          <w:rtl/>
          <w:lang w:bidi="fa-IR"/>
        </w:rPr>
        <w:t xml:space="preserve">َ </w:t>
      </w:r>
      <w:r w:rsidR="00C32D2B">
        <w:rPr>
          <w:rtl/>
          <w:lang w:bidi="fa-IR"/>
        </w:rPr>
        <w:t>و</w:t>
      </w:r>
      <w:r w:rsidR="00C32D2B">
        <w:rPr>
          <w:rFonts w:hint="cs"/>
          <w:rtl/>
          <w:lang w:bidi="fa-IR"/>
        </w:rPr>
        <w:t>َ</w:t>
      </w:r>
      <w:r w:rsidRPr="00132E65">
        <w:rPr>
          <w:rtl/>
          <w:lang w:bidi="fa-IR"/>
        </w:rPr>
        <w:t xml:space="preserve">لِيُّهُ ، فَقَالَ </w:t>
      </w:r>
      <w:r>
        <w:rPr>
          <w:rStyle w:val="libFootnotenumChar"/>
          <w:rtl/>
        </w:rPr>
        <w:t>(7)</w:t>
      </w:r>
      <w:r w:rsidRPr="00132E65">
        <w:rPr>
          <w:rtl/>
          <w:lang w:bidi="fa-IR"/>
        </w:rPr>
        <w:t xml:space="preserve"> : « فَإِنَّ هذَا </w:t>
      </w:r>
      <w:r>
        <w:rPr>
          <w:rStyle w:val="libFootnotenumChar"/>
          <w:rtl/>
        </w:rPr>
        <w:t>(8)</w:t>
      </w:r>
      <w:r w:rsidRPr="00132E65">
        <w:rPr>
          <w:rtl/>
          <w:lang w:bidi="fa-IR"/>
        </w:rPr>
        <w:t xml:space="preserve"> فِي </w:t>
      </w:r>
      <w:r>
        <w:rPr>
          <w:rStyle w:val="libFootnotenumChar"/>
          <w:rtl/>
        </w:rPr>
        <w:t>(9)</w:t>
      </w:r>
      <w:r w:rsidRPr="00132E65">
        <w:rPr>
          <w:rtl/>
          <w:lang w:bidi="fa-IR"/>
        </w:rPr>
        <w:t xml:space="preserve"> أَئِمَّةِ الْجَوْرِ ، ادَّعَوْا أَنَّ اللهَ أَمَرَهُمْ بِالِائْتِمَامِ بِقَوْمٍ لَمْ يَأْمُرْهُمُ اللهُ بِالِائْتِمَامِ بِهِمْ ، فَرَدَّ اللهُ ذلِكَ عَلَيْهِمْ ، فَأَخْبَرَ أَنَّهُمْ قَدْ قَالُوا عَلَيْهِ الْكَذِبَ ، وسَمّى ذلِكَ مِنْهُمْ فَاحِشَةً »</w:t>
      </w:r>
      <w:r>
        <w:rPr>
          <w:rtl/>
          <w:lang w:bidi="fa-IR"/>
        </w:rPr>
        <w:t>.</w:t>
      </w:r>
      <w:r w:rsidRPr="00132E65">
        <w:rPr>
          <w:rtl/>
          <w:lang w:bidi="fa-IR"/>
        </w:rPr>
        <w:t xml:space="preserve"> </w:t>
      </w:r>
      <w:r>
        <w:rPr>
          <w:rStyle w:val="libFootnotenumChar"/>
          <w:rtl/>
        </w:rPr>
        <w:t>(10)</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C32D2B">
        <w:rPr>
          <w:rStyle w:val="libFootnoteBoldChar"/>
          <w:rtl/>
        </w:rPr>
        <w:t>الغيبة للنعماني</w:t>
      </w:r>
      <w:r w:rsidRPr="00132E65">
        <w:rPr>
          <w:rtl/>
        </w:rPr>
        <w:t xml:space="preserve"> ، ص 129 ، ح 5 ، عن الكليني. </w:t>
      </w:r>
      <w:r w:rsidRPr="009E4166">
        <w:rPr>
          <w:rtl/>
        </w:rPr>
        <w:t>وفيه</w:t>
      </w:r>
      <w:r w:rsidRPr="00132E65">
        <w:rPr>
          <w:rtl/>
        </w:rPr>
        <w:t xml:space="preserve"> ، ح 4 ، بسند آخر عن أبي عبد الله </w:t>
      </w:r>
      <w:r w:rsidRPr="00D14011">
        <w:rPr>
          <w:rStyle w:val="libFootnoteAlaemChar"/>
          <w:rtl/>
        </w:rPr>
        <w:t>عليه‌السلام</w:t>
      </w:r>
      <w:r w:rsidRPr="00132E65">
        <w:rPr>
          <w:rtl/>
        </w:rPr>
        <w:t xml:space="preserve">. </w:t>
      </w:r>
      <w:r w:rsidRPr="00C32D2B">
        <w:rPr>
          <w:rStyle w:val="libFootnoteBoldChar"/>
          <w:rtl/>
        </w:rPr>
        <w:t>كمال الدين</w:t>
      </w:r>
      <w:r w:rsidRPr="00132E65">
        <w:rPr>
          <w:rtl/>
        </w:rPr>
        <w:t xml:space="preserve"> ، ص 410 ، ح 1 </w:t>
      </w:r>
      <w:r>
        <w:rPr>
          <w:rtl/>
        </w:rPr>
        <w:t>و 2</w:t>
      </w:r>
      <w:r w:rsidRPr="00132E65">
        <w:rPr>
          <w:rtl/>
        </w:rPr>
        <w:t xml:space="preserve"> ، بسنده عن صفوان ، عن ابن مسكان ، عن أبي عبد الله </w:t>
      </w:r>
      <w:r w:rsidRPr="00D14011">
        <w:rPr>
          <w:rStyle w:val="libFootnoteAlaemChar"/>
          <w:rtl/>
        </w:rPr>
        <w:t>عليه‌السلام</w:t>
      </w:r>
      <w:r w:rsidRPr="00132E65">
        <w:rPr>
          <w:rtl/>
        </w:rPr>
        <w:t xml:space="preserve"> </w:t>
      </w:r>
      <w:r w:rsidR="00C32D2B">
        <w:rPr>
          <w:rFonts w:hint="cs"/>
          <w:rtl/>
        </w:rPr>
        <w:t>.</w:t>
      </w:r>
      <w:r w:rsidRPr="009D1ACE">
        <w:rPr>
          <w:rStyle w:val="libFootnoteBoldChar"/>
          <w:rtl/>
        </w:rPr>
        <w:t>الوافي</w:t>
      </w:r>
      <w:r w:rsidRPr="00132E65">
        <w:rPr>
          <w:rtl/>
        </w:rPr>
        <w:t xml:space="preserve"> ، ج 2 ، ص 181 ، ح 640.</w:t>
      </w:r>
    </w:p>
    <w:tbl>
      <w:tblPr>
        <w:tblStyle w:val="TableGrid"/>
        <w:bidiVisual/>
        <w:tblW w:w="0" w:type="auto"/>
        <w:tblLook w:val="04A0" w:firstRow="1" w:lastRow="0" w:firstColumn="1" w:lastColumn="0" w:noHBand="0" w:noVBand="1"/>
      </w:tblPr>
      <w:tblGrid>
        <w:gridCol w:w="4006"/>
        <w:gridCol w:w="4006"/>
      </w:tblGrid>
      <w:tr w:rsidR="00C32D2B" w:rsidTr="00C32D2B">
        <w:tc>
          <w:tcPr>
            <w:tcW w:w="4006" w:type="dxa"/>
          </w:tcPr>
          <w:p w:rsidR="00C32D2B" w:rsidRDefault="00C32D2B" w:rsidP="000C39D1">
            <w:pPr>
              <w:pStyle w:val="libFootnote0"/>
              <w:rPr>
                <w:rtl/>
              </w:rPr>
            </w:pPr>
            <w:r>
              <w:rPr>
                <w:rtl/>
              </w:rPr>
              <w:t>(2).</w:t>
            </w:r>
            <w:r w:rsidRPr="00132E65">
              <w:rPr>
                <w:rtl/>
              </w:rPr>
              <w:t xml:space="preserve"> في الغيبة للنعماني :</w:t>
            </w:r>
            <w:r>
              <w:rPr>
                <w:rtl/>
              </w:rPr>
              <w:t>+«</w:t>
            </w:r>
            <w:r w:rsidRPr="00132E65">
              <w:rPr>
                <w:rtl/>
              </w:rPr>
              <w:t xml:space="preserve">يعني أبا عبد الله </w:t>
            </w:r>
            <w:r w:rsidRPr="00C32D2B">
              <w:rPr>
                <w:rStyle w:val="libFootnoteAlaemChar"/>
                <w:rtl/>
              </w:rPr>
              <w:t>عليه‌السلام</w:t>
            </w:r>
            <w:r w:rsidRPr="00132E65">
              <w:rPr>
                <w:rtl/>
              </w:rPr>
              <w:t xml:space="preserve"> »</w:t>
            </w:r>
            <w:r>
              <w:rPr>
                <w:rtl/>
              </w:rPr>
              <w:t>.</w:t>
            </w:r>
          </w:p>
        </w:tc>
        <w:tc>
          <w:tcPr>
            <w:tcW w:w="4006" w:type="dxa"/>
          </w:tcPr>
          <w:p w:rsidR="00C32D2B" w:rsidRDefault="00C32D2B" w:rsidP="000C39D1">
            <w:pPr>
              <w:pStyle w:val="libFootnote0"/>
              <w:rPr>
                <w:rtl/>
              </w:rPr>
            </w:pPr>
            <w:r>
              <w:rPr>
                <w:rtl/>
              </w:rPr>
              <w:t>(3).</w:t>
            </w:r>
            <w:r w:rsidRPr="00132E65">
              <w:rPr>
                <w:rtl/>
              </w:rPr>
              <w:t xml:space="preserve"> الأعراف </w:t>
            </w:r>
            <w:r>
              <w:rPr>
                <w:rtl/>
              </w:rPr>
              <w:t>(7)</w:t>
            </w:r>
            <w:r w:rsidRPr="00132E65">
              <w:rPr>
                <w:rtl/>
              </w:rPr>
              <w:t xml:space="preserve"> : 28.</w:t>
            </w:r>
          </w:p>
        </w:tc>
      </w:tr>
    </w:tbl>
    <w:p w:rsidR="000C39D1" w:rsidRPr="00132E65" w:rsidRDefault="000C39D1" w:rsidP="000C39D1">
      <w:pPr>
        <w:pStyle w:val="libFootnote0"/>
        <w:rPr>
          <w:rtl/>
          <w:lang w:bidi="fa-IR"/>
        </w:rPr>
      </w:pPr>
      <w:r>
        <w:rPr>
          <w:rtl/>
        </w:rPr>
        <w:t>(4).</w:t>
      </w:r>
      <w:r w:rsidRPr="00132E65">
        <w:rPr>
          <w:rtl/>
        </w:rPr>
        <w:t xml:space="preserve"> في « ف » : « يأمر »</w:t>
      </w:r>
      <w:r>
        <w:rPr>
          <w:rtl/>
        </w:rPr>
        <w:t>.</w:t>
      </w:r>
      <w:r w:rsidRPr="00132E65">
        <w:rPr>
          <w:rtl/>
        </w:rPr>
        <w:t xml:space="preserve"> وفي الغيبة للنعماني : « أمره »</w:t>
      </w:r>
      <w:r>
        <w:rPr>
          <w:rtl/>
        </w:rPr>
        <w:t>.</w:t>
      </w:r>
      <w:r w:rsidRPr="00132E65">
        <w:rPr>
          <w:rtl/>
        </w:rPr>
        <w:t xml:space="preserve"> وفي تفسير العيّاشي : « أمرنا »</w:t>
      </w:r>
      <w:r>
        <w:rPr>
          <w:rtl/>
        </w:rPr>
        <w:t>.</w:t>
      </w:r>
    </w:p>
    <w:tbl>
      <w:tblPr>
        <w:tblStyle w:val="TableGrid"/>
        <w:bidiVisual/>
        <w:tblW w:w="0" w:type="auto"/>
        <w:tblLook w:val="04A0" w:firstRow="1" w:lastRow="0" w:firstColumn="1" w:lastColumn="0" w:noHBand="0" w:noVBand="1"/>
      </w:tblPr>
      <w:tblGrid>
        <w:gridCol w:w="4006"/>
        <w:gridCol w:w="4006"/>
      </w:tblGrid>
      <w:tr w:rsidR="00C32D2B" w:rsidTr="00C32D2B">
        <w:tc>
          <w:tcPr>
            <w:tcW w:w="4006" w:type="dxa"/>
          </w:tcPr>
          <w:p w:rsidR="00C32D2B" w:rsidRDefault="00C32D2B" w:rsidP="000C39D1">
            <w:pPr>
              <w:pStyle w:val="libFootnote0"/>
              <w:rPr>
                <w:rtl/>
              </w:rPr>
            </w:pPr>
            <w:r>
              <w:rPr>
                <w:rtl/>
              </w:rPr>
              <w:t>(5).</w:t>
            </w:r>
            <w:r w:rsidRPr="00132E65">
              <w:rPr>
                <w:rtl/>
              </w:rPr>
              <w:t xml:space="preserve"> في « ف » : « أو شرب »</w:t>
            </w:r>
            <w:r>
              <w:rPr>
                <w:rtl/>
              </w:rPr>
              <w:t>.</w:t>
            </w:r>
          </w:p>
        </w:tc>
        <w:tc>
          <w:tcPr>
            <w:tcW w:w="4006" w:type="dxa"/>
          </w:tcPr>
          <w:p w:rsidR="00C32D2B" w:rsidRDefault="00C32D2B" w:rsidP="000C39D1">
            <w:pPr>
              <w:pStyle w:val="libFootnote0"/>
              <w:rPr>
                <w:rtl/>
              </w:rPr>
            </w:pPr>
            <w:r>
              <w:rPr>
                <w:rtl/>
              </w:rPr>
              <w:t>(6).في «ج ، ف ، بح ، بس ، بف</w:t>
            </w:r>
            <w:r w:rsidRPr="00132E65">
              <w:rPr>
                <w:rtl/>
              </w:rPr>
              <w:t>» و</w:t>
            </w:r>
            <w:r w:rsidRPr="009D1ACE">
              <w:rPr>
                <w:rStyle w:val="libFootnoteBoldChar"/>
                <w:rtl/>
              </w:rPr>
              <w:t>الوافي</w:t>
            </w:r>
            <w:r>
              <w:rPr>
                <w:rtl/>
              </w:rPr>
              <w:t>:«قال</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هكذا في النسخ التي قوبلت و</w:t>
      </w:r>
      <w:r w:rsidRPr="009D1ACE">
        <w:rPr>
          <w:rStyle w:val="libFootnoteBoldChar"/>
          <w:rtl/>
        </w:rPr>
        <w:t>الوافي</w:t>
      </w:r>
      <w:r w:rsidRPr="00132E65">
        <w:rPr>
          <w:rtl/>
        </w:rPr>
        <w:t>. وفي المطبوع : « قال »</w:t>
      </w:r>
      <w:r>
        <w:rPr>
          <w:rtl/>
        </w:rPr>
        <w:t>.</w:t>
      </w:r>
    </w:p>
    <w:tbl>
      <w:tblPr>
        <w:tblStyle w:val="TableGrid"/>
        <w:bidiVisual/>
        <w:tblW w:w="0" w:type="auto"/>
        <w:tblLook w:val="04A0" w:firstRow="1" w:lastRow="0" w:firstColumn="1" w:lastColumn="0" w:noHBand="0" w:noVBand="1"/>
      </w:tblPr>
      <w:tblGrid>
        <w:gridCol w:w="4006"/>
        <w:gridCol w:w="4006"/>
      </w:tblGrid>
      <w:tr w:rsidR="00C32D2B" w:rsidTr="00C32D2B">
        <w:tc>
          <w:tcPr>
            <w:tcW w:w="4006" w:type="dxa"/>
          </w:tcPr>
          <w:p w:rsidR="00C32D2B" w:rsidRDefault="00C32D2B" w:rsidP="000C39D1">
            <w:pPr>
              <w:pStyle w:val="libFootnote0"/>
              <w:rPr>
                <w:rtl/>
                <w:lang w:bidi="fa-IR"/>
              </w:rPr>
            </w:pPr>
            <w:r>
              <w:rPr>
                <w:rtl/>
              </w:rPr>
              <w:t>(8).</w:t>
            </w:r>
            <w:r w:rsidRPr="00132E65">
              <w:rPr>
                <w:rtl/>
              </w:rPr>
              <w:t xml:space="preserve"> في البصائر : « هذه »</w:t>
            </w:r>
            <w:r>
              <w:rPr>
                <w:rtl/>
              </w:rPr>
              <w:t>.</w:t>
            </w:r>
          </w:p>
        </w:tc>
        <w:tc>
          <w:tcPr>
            <w:tcW w:w="4006" w:type="dxa"/>
          </w:tcPr>
          <w:p w:rsidR="00C32D2B" w:rsidRDefault="00C32D2B" w:rsidP="000C39D1">
            <w:pPr>
              <w:pStyle w:val="libFootnote0"/>
              <w:rPr>
                <w:rtl/>
                <w:lang w:bidi="fa-IR"/>
              </w:rPr>
            </w:pPr>
            <w:r>
              <w:rPr>
                <w:rtl/>
              </w:rPr>
              <w:t>(9).</w:t>
            </w:r>
            <w:r w:rsidRPr="00132E65">
              <w:rPr>
                <w:rtl/>
              </w:rPr>
              <w:t xml:space="preserve"> في الغيبة :</w:t>
            </w:r>
            <w:r>
              <w:rPr>
                <w:rtl/>
              </w:rPr>
              <w:t xml:space="preserve"> + </w:t>
            </w:r>
            <w:r w:rsidRPr="00132E65">
              <w:rPr>
                <w:rtl/>
              </w:rPr>
              <w:t>« أولياء »</w:t>
            </w:r>
            <w:r>
              <w:rPr>
                <w:rtl/>
              </w:rPr>
              <w:t>.</w:t>
            </w:r>
          </w:p>
        </w:tc>
      </w:tr>
    </w:tbl>
    <w:p w:rsidR="000C39D1" w:rsidRPr="00132E65" w:rsidRDefault="000C39D1" w:rsidP="000C39D1">
      <w:pPr>
        <w:pStyle w:val="libFootnote0"/>
        <w:rPr>
          <w:rtl/>
          <w:lang w:bidi="fa-IR"/>
        </w:rPr>
      </w:pPr>
      <w:r>
        <w:rPr>
          <w:rtl/>
        </w:rPr>
        <w:t>(10).</w:t>
      </w:r>
      <w:r w:rsidRPr="00132E65">
        <w:rPr>
          <w:rtl/>
        </w:rPr>
        <w:t xml:space="preserve"> </w:t>
      </w:r>
      <w:r w:rsidRPr="00C32D2B">
        <w:rPr>
          <w:rStyle w:val="libFootnoteBoldChar"/>
          <w:rtl/>
        </w:rPr>
        <w:t>الغيبة للنعماني</w:t>
      </w:r>
      <w:r w:rsidRPr="00132E65">
        <w:rPr>
          <w:rtl/>
        </w:rPr>
        <w:t xml:space="preserve"> ، ص 130 ، ح 10 ، عن الكليني. </w:t>
      </w:r>
      <w:r w:rsidRPr="007A1104">
        <w:rPr>
          <w:rStyle w:val="libFootnoteBoldChar"/>
          <w:rtl/>
        </w:rPr>
        <w:t>بصائر الدرجات</w:t>
      </w:r>
      <w:r w:rsidRPr="00132E65">
        <w:rPr>
          <w:rtl/>
        </w:rPr>
        <w:t xml:space="preserve"> ، ص 3 ، ح 4 ، عن أحمد بن محمّد ، عن الحسين بن سعيد ، عن محمّد بن منصور. </w:t>
      </w:r>
      <w:r w:rsidRPr="00C32D2B">
        <w:rPr>
          <w:rStyle w:val="libFootnoteBoldChar"/>
          <w:rtl/>
        </w:rPr>
        <w:t>تفسير العيّاشي</w:t>
      </w:r>
      <w:r w:rsidRPr="00132E65">
        <w:rPr>
          <w:rtl/>
        </w:rPr>
        <w:t xml:space="preserve"> ، ج 2 ، ص 12 ، ح 15 ، عن محمّد بن منصور ، عن عبد صالح </w:t>
      </w:r>
      <w:r w:rsidRPr="00C32D2B">
        <w:rPr>
          <w:rStyle w:val="libFootnoteAlaemChar"/>
          <w:rtl/>
        </w:rPr>
        <w:t>عليه‌السلام</w:t>
      </w:r>
      <w:r w:rsidRPr="00132E65">
        <w:rPr>
          <w:rtl/>
        </w:rPr>
        <w:t xml:space="preserve"> </w:t>
      </w:r>
      <w:r w:rsidR="00C32D2B">
        <w:rPr>
          <w:rFonts w:hint="cs"/>
          <w:rtl/>
        </w:rPr>
        <w:t>.</w:t>
      </w:r>
      <w:r w:rsidRPr="009D1ACE">
        <w:rPr>
          <w:rStyle w:val="libFootnoteBoldChar"/>
          <w:rtl/>
        </w:rPr>
        <w:t>الوافي</w:t>
      </w:r>
      <w:r w:rsidRPr="00132E65">
        <w:rPr>
          <w:rtl/>
        </w:rPr>
        <w:t xml:space="preserve"> ، ج 2 ، ص 181 ، ح 641.</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E4166">
        <w:rPr>
          <w:rtl/>
        </w:rPr>
        <w:t>970</w:t>
      </w:r>
      <w:r w:rsidRPr="004325D8">
        <w:rPr>
          <w:rStyle w:val="libBold2Char"/>
          <w:rtl/>
        </w:rPr>
        <w:t xml:space="preserve"> / 10.</w:t>
      </w:r>
      <w:r w:rsidRPr="00132E65">
        <w:rPr>
          <w:rtl/>
          <w:lang w:bidi="fa-IR"/>
        </w:rPr>
        <w:t xml:space="preserve"> عِدَّةٌ مِنْ أَصْحَابِنَا ، عَنْ أَحْمَدَ بْنِ مُحَمَّدٍ ، عَنِ الْحُسَيْنِ بْنِ سَعِيدٍ </w:t>
      </w:r>
      <w:r>
        <w:rPr>
          <w:rStyle w:val="libFootnotenumChar"/>
          <w:rtl/>
        </w:rPr>
        <w:t>(1)</w:t>
      </w:r>
      <w:r w:rsidRPr="00132E65">
        <w:rPr>
          <w:rtl/>
          <w:lang w:bidi="fa-IR"/>
        </w:rPr>
        <w:t xml:space="preserve"> ، عَنْ أَبِي و</w:t>
      </w:r>
      <w:r w:rsidR="00C32D2B">
        <w:rPr>
          <w:rFonts w:hint="cs"/>
          <w:rtl/>
          <w:lang w:bidi="fa-IR"/>
        </w:rPr>
        <w:t>َ</w:t>
      </w:r>
      <w:r w:rsidRPr="00132E65">
        <w:rPr>
          <w:rtl/>
          <w:lang w:bidi="fa-IR"/>
        </w:rPr>
        <w:t>هْبِ ، عَنْ مُحَمَّدِ بْنِ مَنْصُورٍ ، قَالَ :</w:t>
      </w:r>
    </w:p>
    <w:p w:rsidR="000C39D1" w:rsidRPr="00132E65" w:rsidRDefault="000C39D1" w:rsidP="000C39D1">
      <w:pPr>
        <w:pStyle w:val="libNormal"/>
        <w:rPr>
          <w:rtl/>
          <w:lang w:bidi="fa-IR"/>
        </w:rPr>
      </w:pPr>
      <w:r w:rsidRPr="00132E65">
        <w:rPr>
          <w:rtl/>
          <w:lang w:bidi="fa-IR"/>
        </w:rPr>
        <w:t xml:space="preserve">سَأَلْتُ عَبْداً صَالِحاً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قُلْ إِنَّما حَرَّمَ رَبِّيَ الْفَواحِشَ م</w:t>
      </w:r>
      <w:r w:rsidR="0000072D">
        <w:rPr>
          <w:rStyle w:val="libAieChar"/>
          <w:rFonts w:hint="cs"/>
          <w:rtl/>
        </w:rPr>
        <w:t>َ</w:t>
      </w:r>
      <w:r w:rsidRPr="00071CF9">
        <w:rPr>
          <w:rStyle w:val="libAieChar"/>
          <w:rtl/>
        </w:rPr>
        <w:t>ا ظَهَرَ مِنْها وَم</w:t>
      </w:r>
      <w:r w:rsidR="0000072D">
        <w:rPr>
          <w:rStyle w:val="libAieChar"/>
          <w:rFonts w:hint="cs"/>
          <w:rtl/>
        </w:rPr>
        <w:t>َ</w:t>
      </w:r>
      <w:r w:rsidRPr="00071CF9">
        <w:rPr>
          <w:rStyle w:val="libAieChar"/>
          <w:rtl/>
        </w:rPr>
        <w:t xml:space="preserve">ا بَطَنَ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فَقَالَ : « إِنَّ الْقُرْآنَ لَهُ ظَهْرٌ وبَطْنٌ </w:t>
      </w:r>
      <w:r>
        <w:rPr>
          <w:rStyle w:val="libFootnotenumChar"/>
          <w:rtl/>
        </w:rPr>
        <w:t>(3)</w:t>
      </w:r>
      <w:r w:rsidRPr="00132E65">
        <w:rPr>
          <w:rtl/>
          <w:lang w:bidi="fa-IR"/>
        </w:rPr>
        <w:t xml:space="preserve"> ، فَجَمِيعُ </w:t>
      </w:r>
      <w:r>
        <w:rPr>
          <w:rStyle w:val="libFootnotenumChar"/>
          <w:rtl/>
        </w:rPr>
        <w:t>(4)</w:t>
      </w:r>
      <w:r w:rsidRPr="00132E65">
        <w:rPr>
          <w:rtl/>
          <w:lang w:bidi="fa-IR"/>
        </w:rPr>
        <w:t xml:space="preserve"> مَا حَرَّمَ </w:t>
      </w:r>
      <w:r>
        <w:rPr>
          <w:rStyle w:val="libFootnotenumChar"/>
          <w:rtl/>
        </w:rPr>
        <w:t>(5)</w:t>
      </w:r>
      <w:r w:rsidRPr="00132E65">
        <w:rPr>
          <w:rtl/>
          <w:lang w:bidi="fa-IR"/>
        </w:rPr>
        <w:t xml:space="preserve"> اللهُ فِي </w:t>
      </w:r>
      <w:r>
        <w:rPr>
          <w:rStyle w:val="libFootnotenumChar"/>
          <w:rtl/>
        </w:rPr>
        <w:t>(6)</w:t>
      </w:r>
      <w:r w:rsidRPr="00132E65">
        <w:rPr>
          <w:rtl/>
          <w:lang w:bidi="fa-IR"/>
        </w:rPr>
        <w:t xml:space="preserve"> الْقُرْآنِ هُوَ الظَّاهِرُ </w:t>
      </w:r>
      <w:r>
        <w:rPr>
          <w:rStyle w:val="libFootnotenumChar"/>
          <w:rtl/>
        </w:rPr>
        <w:t>(7)</w:t>
      </w:r>
      <w:r w:rsidRPr="00132E65">
        <w:rPr>
          <w:rtl/>
          <w:lang w:bidi="fa-IR"/>
        </w:rPr>
        <w:t xml:space="preserve"> ؛ والْبَاطِنُ </w:t>
      </w:r>
      <w:r>
        <w:rPr>
          <w:rStyle w:val="libFootnotenumChar"/>
          <w:rtl/>
        </w:rPr>
        <w:t>(8)</w:t>
      </w:r>
      <w:r w:rsidRPr="00132E65">
        <w:rPr>
          <w:rtl/>
          <w:lang w:bidi="fa-IR"/>
        </w:rPr>
        <w:t xml:space="preserve"> مِنْ ذلِكَ أَئِمَّةُ الْجَوْرِ ، و</w:t>
      </w:r>
      <w:r w:rsidR="0000072D">
        <w:rPr>
          <w:rFonts w:hint="cs"/>
          <w:rtl/>
          <w:lang w:bidi="fa-IR"/>
        </w:rPr>
        <w:t>َ</w:t>
      </w:r>
      <w:r w:rsidRPr="00132E65">
        <w:rPr>
          <w:rtl/>
          <w:lang w:bidi="fa-IR"/>
        </w:rPr>
        <w:t xml:space="preserve">جَمِيعُ مَا أَحَلَّ اللهُ تَعَالى فِي الْكِتَابِ </w:t>
      </w:r>
      <w:r>
        <w:rPr>
          <w:rStyle w:val="libFootnotenumChar"/>
          <w:rtl/>
        </w:rPr>
        <w:t>(9)</w:t>
      </w:r>
      <w:r w:rsidRPr="00132E65">
        <w:rPr>
          <w:rtl/>
          <w:lang w:bidi="fa-IR"/>
        </w:rPr>
        <w:t xml:space="preserve"> هُوَ الظَّاهِرُ ؛ والْبَاطِنُ مِنْ ذلِكَ أَئِمَّةُ الْحَقِّ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9E4166">
        <w:rPr>
          <w:rtl/>
        </w:rPr>
        <w:t>971</w:t>
      </w:r>
      <w:r w:rsidRPr="004325D8">
        <w:rPr>
          <w:rStyle w:val="libBold2Char"/>
          <w:rtl/>
        </w:rPr>
        <w:t xml:space="preserve"> / 11.</w:t>
      </w:r>
      <w:r w:rsidRPr="00132E65">
        <w:rPr>
          <w:rtl/>
          <w:lang w:bidi="fa-IR"/>
        </w:rPr>
        <w:t xml:space="preserve"> مُحَمَّدُ بْنُ يَحْيى ، عَنْ أَحْمَدَ بْنِ مُحَمَّدِ بْنِ عِيسى ، عَنِ الْحَسَنِ بْنِ مَحْبُوبٍ ، عَنْ عَمْرِو بْنِ ثَابِتٍ ، عَنْ جَابِرٍ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عَنْ قَوْلِ اللهِ </w:t>
      </w:r>
      <w:r>
        <w:rPr>
          <w:rStyle w:val="libFootnotenumChar"/>
          <w:rtl/>
        </w:rPr>
        <w:t>(11)</w:t>
      </w:r>
      <w:r w:rsidRPr="00132E65">
        <w:rPr>
          <w:rtl/>
          <w:lang w:bidi="fa-IR"/>
        </w:rPr>
        <w:t xml:space="preserve"> عَزَّ وجَلَّ : </w:t>
      </w:r>
      <w:r w:rsidRPr="00071CF9">
        <w:rPr>
          <w:rStyle w:val="libAlaemChar"/>
          <w:rtl/>
        </w:rPr>
        <w:t>(</w:t>
      </w:r>
      <w:r w:rsidRPr="00071CF9">
        <w:rPr>
          <w:rStyle w:val="libAieChar"/>
          <w:rtl/>
        </w:rPr>
        <w:t xml:space="preserve"> وَمِنَ النّ</w:t>
      </w:r>
      <w:r w:rsidR="0000072D">
        <w:rPr>
          <w:rStyle w:val="libAieChar"/>
          <w:rFonts w:hint="cs"/>
          <w:rtl/>
        </w:rPr>
        <w:t>َ</w:t>
      </w:r>
      <w:r w:rsidRPr="00071CF9">
        <w:rPr>
          <w:rStyle w:val="libAieChar"/>
          <w:rtl/>
        </w:rPr>
        <w:t xml:space="preserve">اسِ مَنْ يَتَّخِذُ مِنْ دُونِ اللهِ أَنْداداً يُحِبُّونَهُمْ كَحُبِّ اللهِ </w:t>
      </w:r>
      <w:r w:rsidRPr="00071CF9">
        <w:rPr>
          <w:rStyle w:val="libAlaemChar"/>
          <w:rtl/>
        </w:rPr>
        <w:t>)</w:t>
      </w:r>
      <w:r w:rsidRPr="0018432E">
        <w:rPr>
          <w:rFonts w:hint="cs"/>
          <w:rtl/>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قَالَ : « هُمْ واللهِ ، أَوْلِيَاءُ فُلَانٍ وفُلَانٍ </w:t>
      </w:r>
      <w:r w:rsidRPr="00F543F1">
        <w:rPr>
          <w:rStyle w:val="libFootnotenumChar"/>
          <w:rtl/>
        </w:rPr>
        <w:t>(13)</w:t>
      </w:r>
      <w:r w:rsidRPr="00132E65">
        <w:rPr>
          <w:rtl/>
          <w:lang w:bidi="fa-IR"/>
        </w:rPr>
        <w:t xml:space="preserve"> ، اتَّخَذُوهُمْ أَئِمَّةً دُونَ الْإِمَامِ الَّذِي جَعَلَهُ‌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ورد الخبر في </w:t>
      </w:r>
      <w:r w:rsidRPr="007A1104">
        <w:rPr>
          <w:rStyle w:val="libFootnoteBoldChar"/>
          <w:rtl/>
        </w:rPr>
        <w:t>بصائر الدرجات</w:t>
      </w:r>
      <w:r w:rsidRPr="00132E65">
        <w:rPr>
          <w:rtl/>
        </w:rPr>
        <w:t xml:space="preserve"> ، ص 33 ، ح 2 ، عن أحمد بن محمّد ، عن محمّد بن الحسن ، عن الحسين بن‌سعيد ، لكن في بعض مخطوطاته : « عن أحمد بن محمّد ، عن الحسين بن سعيد »</w:t>
      </w:r>
      <w:r>
        <w:rPr>
          <w:rtl/>
        </w:rPr>
        <w:t>.</w:t>
      </w:r>
      <w:r w:rsidRPr="00132E65">
        <w:rPr>
          <w:rtl/>
        </w:rPr>
        <w:t xml:space="preserve"> وهو الصواب.</w:t>
      </w:r>
    </w:p>
    <w:tbl>
      <w:tblPr>
        <w:tblStyle w:val="TableGrid"/>
        <w:bidiVisual/>
        <w:tblW w:w="0" w:type="auto"/>
        <w:tblLook w:val="04A0" w:firstRow="1" w:lastRow="0" w:firstColumn="1" w:lastColumn="0" w:noHBand="0" w:noVBand="1"/>
      </w:tblPr>
      <w:tblGrid>
        <w:gridCol w:w="4006"/>
        <w:gridCol w:w="4006"/>
      </w:tblGrid>
      <w:tr w:rsidR="0000072D" w:rsidTr="0000072D">
        <w:tc>
          <w:tcPr>
            <w:tcW w:w="4006" w:type="dxa"/>
          </w:tcPr>
          <w:p w:rsidR="0000072D" w:rsidRDefault="0000072D" w:rsidP="000C39D1">
            <w:pPr>
              <w:pStyle w:val="libFootnote0"/>
              <w:rPr>
                <w:rtl/>
              </w:rPr>
            </w:pPr>
            <w:r>
              <w:rPr>
                <w:rtl/>
              </w:rPr>
              <w:t>(2).</w:t>
            </w:r>
            <w:r w:rsidRPr="00132E65">
              <w:rPr>
                <w:rtl/>
              </w:rPr>
              <w:t xml:space="preserve"> الأعراف </w:t>
            </w:r>
            <w:r>
              <w:rPr>
                <w:rtl/>
              </w:rPr>
              <w:t>(7)</w:t>
            </w:r>
            <w:r w:rsidRPr="00132E65">
              <w:rPr>
                <w:rtl/>
              </w:rPr>
              <w:t xml:space="preserve"> : 33.</w:t>
            </w:r>
          </w:p>
        </w:tc>
        <w:tc>
          <w:tcPr>
            <w:tcW w:w="4006" w:type="dxa"/>
          </w:tcPr>
          <w:p w:rsidR="0000072D" w:rsidRDefault="0000072D" w:rsidP="000C39D1">
            <w:pPr>
              <w:pStyle w:val="libFootnote0"/>
              <w:rPr>
                <w:rtl/>
              </w:rPr>
            </w:pPr>
            <w:r>
              <w:rPr>
                <w:rtl/>
              </w:rPr>
              <w:t>(3).</w:t>
            </w:r>
            <w:r w:rsidRPr="00132E65">
              <w:rPr>
                <w:rtl/>
              </w:rPr>
              <w:t xml:space="preserve"> في الغيبة : « له ظاهر وباطن »</w:t>
            </w:r>
            <w:r>
              <w:rPr>
                <w:rtl/>
              </w:rPr>
              <w:t>.</w:t>
            </w:r>
          </w:p>
        </w:tc>
      </w:tr>
    </w:tbl>
    <w:p w:rsidR="000C39D1" w:rsidRPr="00132E65" w:rsidRDefault="000C39D1" w:rsidP="000C39D1">
      <w:pPr>
        <w:pStyle w:val="libFootnote0"/>
        <w:rPr>
          <w:rtl/>
          <w:lang w:bidi="fa-IR"/>
        </w:rPr>
      </w:pPr>
      <w:r>
        <w:rPr>
          <w:rtl/>
        </w:rPr>
        <w:t>(4).</w:t>
      </w:r>
      <w:r w:rsidRPr="00132E65">
        <w:rPr>
          <w:rtl/>
        </w:rPr>
        <w:t xml:space="preserve"> في « ض » و</w:t>
      </w:r>
      <w:r w:rsidRPr="009D1ACE">
        <w:rPr>
          <w:rStyle w:val="libFootnoteBoldChar"/>
          <w:rtl/>
        </w:rPr>
        <w:t>مرآة العقول</w:t>
      </w:r>
      <w:r w:rsidRPr="00132E65">
        <w:rPr>
          <w:rtl/>
        </w:rPr>
        <w:t xml:space="preserve"> : « فجميع ما حرّم القرآن » بدل « فجميع</w:t>
      </w:r>
      <w:r>
        <w:rPr>
          <w:rtl/>
        </w:rPr>
        <w:t xml:space="preserve"> - </w:t>
      </w:r>
      <w:r w:rsidRPr="00132E65">
        <w:rPr>
          <w:rtl/>
        </w:rPr>
        <w:t>إلى</w:t>
      </w:r>
      <w:r>
        <w:rPr>
          <w:rtl/>
        </w:rPr>
        <w:t xml:space="preserve"> - </w:t>
      </w:r>
      <w:r w:rsidRPr="00132E65">
        <w:rPr>
          <w:rtl/>
        </w:rPr>
        <w:t>والباطن »</w:t>
      </w:r>
      <w:r>
        <w:rPr>
          <w:rtl/>
        </w:rPr>
        <w:t>.</w:t>
      </w:r>
      <w:r w:rsidRPr="00132E65">
        <w:rPr>
          <w:rtl/>
        </w:rPr>
        <w:t xml:space="preserve"> وفي « بس » : « وجميع »</w:t>
      </w:r>
      <w:r>
        <w:rPr>
          <w:rtl/>
        </w:rPr>
        <w:t>.</w:t>
      </w:r>
    </w:p>
    <w:p w:rsidR="000C39D1" w:rsidRPr="00132E65" w:rsidRDefault="000C39D1" w:rsidP="000C39D1">
      <w:pPr>
        <w:pStyle w:val="libFootnote0"/>
        <w:rPr>
          <w:rtl/>
          <w:lang w:bidi="fa-IR"/>
        </w:rPr>
      </w:pPr>
      <w:r>
        <w:rPr>
          <w:rtl/>
        </w:rPr>
        <w:t>(5).</w:t>
      </w:r>
      <w:r w:rsidRPr="00132E65">
        <w:rPr>
          <w:rtl/>
        </w:rPr>
        <w:t xml:space="preserve"> في « ف » : « حرّمه »</w:t>
      </w:r>
      <w:r>
        <w:rPr>
          <w:rtl/>
        </w:rPr>
        <w:t>.</w:t>
      </w:r>
    </w:p>
    <w:p w:rsidR="000C39D1" w:rsidRPr="00132E65" w:rsidRDefault="000C39D1" w:rsidP="000C39D1">
      <w:pPr>
        <w:pStyle w:val="libFootnote0"/>
        <w:rPr>
          <w:rtl/>
          <w:lang w:bidi="fa-IR"/>
        </w:rPr>
      </w:pPr>
      <w:r>
        <w:rPr>
          <w:rtl/>
        </w:rPr>
        <w:t>(6).</w:t>
      </w:r>
      <w:r w:rsidRPr="00132E65">
        <w:rPr>
          <w:rtl/>
        </w:rPr>
        <w:t xml:space="preserve"> في « ج ، بح ، بر ، بف » </w:t>
      </w:r>
      <w:r>
        <w:rPr>
          <w:rtl/>
        </w:rPr>
        <w:t xml:space="preserve">: - </w:t>
      </w:r>
      <w:r w:rsidRPr="00132E65">
        <w:rPr>
          <w:rtl/>
        </w:rPr>
        <w:t>« الله في »</w:t>
      </w:r>
      <w:r>
        <w:rPr>
          <w:rtl/>
        </w:rPr>
        <w:t>.</w:t>
      </w:r>
      <w:r w:rsidRPr="00132E65">
        <w:rPr>
          <w:rtl/>
        </w:rPr>
        <w:t xml:space="preserve"> وفي البصائر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(7).</w:t>
      </w:r>
      <w:r w:rsidRPr="00132E65">
        <w:rPr>
          <w:rtl/>
        </w:rPr>
        <w:t xml:space="preserve"> في الغيبة : « فجميع ما حرّم الله في القرآن فهو حرام على ظاهره كما هو في الظاهر »</w:t>
      </w:r>
      <w:r>
        <w:rPr>
          <w:rtl/>
        </w:rPr>
        <w:t>.</w:t>
      </w:r>
    </w:p>
    <w:p w:rsidR="000C39D1" w:rsidRPr="00132E65" w:rsidRDefault="000C39D1" w:rsidP="000C39D1">
      <w:pPr>
        <w:pStyle w:val="libFootnote0"/>
        <w:rPr>
          <w:rtl/>
          <w:lang w:bidi="fa-IR"/>
        </w:rPr>
      </w:pPr>
      <w:r>
        <w:rPr>
          <w:rtl/>
        </w:rPr>
        <w:t>(8).</w:t>
      </w:r>
      <w:r w:rsidRPr="00132E65">
        <w:rPr>
          <w:rtl/>
        </w:rPr>
        <w:t xml:space="preserve"> في « ب ، ج ، ف ، بر ، بف » </w:t>
      </w:r>
      <w:r>
        <w:rPr>
          <w:rtl/>
        </w:rPr>
        <w:t xml:space="preserve">: - </w:t>
      </w:r>
      <w:r w:rsidRPr="00132E65">
        <w:rPr>
          <w:rtl/>
        </w:rPr>
        <w:t>« هو الظاهر والباطن »</w:t>
      </w:r>
      <w:r>
        <w:rPr>
          <w:rtl/>
        </w:rPr>
        <w:t>.</w:t>
      </w:r>
      <w:r w:rsidRPr="00132E65">
        <w:rPr>
          <w:rtl/>
        </w:rPr>
        <w:t xml:space="preserve"> وفي « بس » </w:t>
      </w:r>
      <w:r>
        <w:rPr>
          <w:rtl/>
        </w:rPr>
        <w:t xml:space="preserve">: - </w:t>
      </w:r>
      <w:r w:rsidRPr="00132E65">
        <w:rPr>
          <w:rtl/>
        </w:rPr>
        <w:t>« هو الظاهر والباطن من ذلك »</w:t>
      </w:r>
      <w:r>
        <w:rPr>
          <w:rtl/>
        </w:rPr>
        <w:t>.</w:t>
      </w:r>
    </w:p>
    <w:p w:rsidR="000C39D1" w:rsidRPr="00132E65" w:rsidRDefault="000C39D1" w:rsidP="000C39D1">
      <w:pPr>
        <w:pStyle w:val="libFootnote0"/>
        <w:rPr>
          <w:rtl/>
          <w:lang w:bidi="fa-IR"/>
        </w:rPr>
      </w:pPr>
      <w:r>
        <w:rPr>
          <w:rtl/>
        </w:rPr>
        <w:t>(9).</w:t>
      </w:r>
      <w:r w:rsidRPr="00132E65">
        <w:rPr>
          <w:rtl/>
        </w:rPr>
        <w:t xml:space="preserve"> في الغيبة :</w:t>
      </w:r>
      <w:r>
        <w:rPr>
          <w:rtl/>
        </w:rPr>
        <w:t xml:space="preserve"> + </w:t>
      </w:r>
      <w:r w:rsidRPr="00132E65">
        <w:rPr>
          <w:rtl/>
        </w:rPr>
        <w:t xml:space="preserve">« فهو حلال </w:t>
      </w:r>
      <w:r>
        <w:rPr>
          <w:rtl/>
        </w:rPr>
        <w:t>و ».</w:t>
      </w:r>
    </w:p>
    <w:p w:rsidR="000C39D1" w:rsidRPr="00132E65" w:rsidRDefault="000C39D1" w:rsidP="000C39D1">
      <w:pPr>
        <w:pStyle w:val="libFootnote0"/>
        <w:rPr>
          <w:rtl/>
          <w:lang w:bidi="fa-IR"/>
        </w:rPr>
      </w:pPr>
      <w:r>
        <w:rPr>
          <w:rtl/>
        </w:rPr>
        <w:t>(10).</w:t>
      </w:r>
      <w:r w:rsidRPr="00132E65">
        <w:rPr>
          <w:rtl/>
        </w:rPr>
        <w:t xml:space="preserve"> </w:t>
      </w:r>
      <w:r w:rsidRPr="0000072D">
        <w:rPr>
          <w:rStyle w:val="libFootnoteBoldChar"/>
          <w:rtl/>
        </w:rPr>
        <w:t>الغيبة للنعماني</w:t>
      </w:r>
      <w:r w:rsidRPr="00132E65">
        <w:rPr>
          <w:rtl/>
        </w:rPr>
        <w:t xml:space="preserve"> ، ص 131 ، ح 11 ، عن الكليني. وفي </w:t>
      </w:r>
      <w:r w:rsidRPr="007A1104">
        <w:rPr>
          <w:rStyle w:val="libFootnoteBoldChar"/>
          <w:rtl/>
        </w:rPr>
        <w:t>بصائر الدرجات</w:t>
      </w:r>
      <w:r w:rsidRPr="00132E65">
        <w:rPr>
          <w:rtl/>
        </w:rPr>
        <w:t xml:space="preserve"> ، ص 33 ، ح 2 ، عن أحمد بن محمّد ، عن محمّد بن الحسن ، عن الحسين بن سعيد. </w:t>
      </w:r>
      <w:r w:rsidRPr="0000072D">
        <w:rPr>
          <w:rStyle w:val="libFootnoteBoldChar"/>
          <w:rtl/>
        </w:rPr>
        <w:t>تفسير العيّاشي</w:t>
      </w:r>
      <w:r w:rsidRPr="00132E65">
        <w:rPr>
          <w:rtl/>
        </w:rPr>
        <w:t xml:space="preserve"> ، ج 2 ، ص 16 ، ح 36 ، عن محمّد بن منصور </w:t>
      </w:r>
      <w:r w:rsidR="0000072D">
        <w:rPr>
          <w:rFonts w:hint="cs"/>
          <w:rtl/>
        </w:rPr>
        <w:t>.</w:t>
      </w:r>
      <w:r w:rsidRPr="009D1ACE">
        <w:rPr>
          <w:rStyle w:val="libFootnoteBoldChar"/>
          <w:rtl/>
        </w:rPr>
        <w:t>الوافي</w:t>
      </w:r>
      <w:r w:rsidRPr="00132E65">
        <w:rPr>
          <w:rtl/>
        </w:rPr>
        <w:t xml:space="preserve"> ، ج 2 ، ص 181 ، ح 642 ؛ </w:t>
      </w:r>
      <w:r w:rsidRPr="0000072D">
        <w:rPr>
          <w:rStyle w:val="libFootnoteBoldChar"/>
          <w:rtl/>
        </w:rPr>
        <w:t>الوسائل</w:t>
      </w:r>
      <w:r w:rsidRPr="00132E65">
        <w:rPr>
          <w:rtl/>
        </w:rPr>
        <w:t xml:space="preserve"> ، ج 27 ، ص 182 ، ح 33548 ، وفيه قطعة : « إنّ القرآن له ظهرٌ وبطنٌ »</w:t>
      </w:r>
      <w:r>
        <w:rPr>
          <w:rtl/>
        </w:rPr>
        <w:t>.</w:t>
      </w:r>
    </w:p>
    <w:tbl>
      <w:tblPr>
        <w:tblStyle w:val="TableGrid"/>
        <w:bidiVisual/>
        <w:tblW w:w="0" w:type="auto"/>
        <w:tblLook w:val="04A0" w:firstRow="1" w:lastRow="0" w:firstColumn="1" w:lastColumn="0" w:noHBand="0" w:noVBand="1"/>
      </w:tblPr>
      <w:tblGrid>
        <w:gridCol w:w="4006"/>
        <w:gridCol w:w="4006"/>
      </w:tblGrid>
      <w:tr w:rsidR="0000072D" w:rsidTr="0000072D">
        <w:tc>
          <w:tcPr>
            <w:tcW w:w="4006" w:type="dxa"/>
          </w:tcPr>
          <w:p w:rsidR="0000072D" w:rsidRDefault="0000072D" w:rsidP="000C39D1">
            <w:pPr>
              <w:pStyle w:val="libFootnote0"/>
              <w:rPr>
                <w:rtl/>
              </w:rPr>
            </w:pPr>
            <w:r>
              <w:rPr>
                <w:rtl/>
              </w:rPr>
              <w:t>(11).</w:t>
            </w:r>
            <w:r w:rsidRPr="00132E65">
              <w:rPr>
                <w:rtl/>
              </w:rPr>
              <w:t xml:space="preserve"> في « ب » : « عن قوله »</w:t>
            </w:r>
            <w:r>
              <w:rPr>
                <w:rtl/>
              </w:rPr>
              <w:t>.</w:t>
            </w:r>
          </w:p>
        </w:tc>
        <w:tc>
          <w:tcPr>
            <w:tcW w:w="4006" w:type="dxa"/>
          </w:tcPr>
          <w:p w:rsidR="0000072D" w:rsidRDefault="0000072D" w:rsidP="000C39D1">
            <w:pPr>
              <w:pStyle w:val="libFootnote0"/>
              <w:rPr>
                <w:rtl/>
              </w:rPr>
            </w:pPr>
            <w:r>
              <w:rPr>
                <w:rtl/>
              </w:rPr>
              <w:t>(12).</w:t>
            </w:r>
            <w:r w:rsidRPr="00132E65">
              <w:rPr>
                <w:rtl/>
              </w:rPr>
              <w:t xml:space="preserve"> البقرة </w:t>
            </w:r>
            <w:r>
              <w:rPr>
                <w:rtl/>
              </w:rPr>
              <w:t>(2)</w:t>
            </w:r>
            <w:r w:rsidRPr="00132E65">
              <w:rPr>
                <w:rtl/>
              </w:rPr>
              <w:t xml:space="preserve"> : 165.</w:t>
            </w:r>
          </w:p>
        </w:tc>
      </w:tr>
    </w:tbl>
    <w:p w:rsidR="000C39D1" w:rsidRPr="00132E65" w:rsidRDefault="000C39D1" w:rsidP="000C39D1">
      <w:pPr>
        <w:pStyle w:val="libFootnote0"/>
        <w:rPr>
          <w:rtl/>
          <w:lang w:bidi="fa-IR"/>
        </w:rPr>
      </w:pPr>
      <w:r>
        <w:rPr>
          <w:rtl/>
        </w:rPr>
        <w:t>(13)</w:t>
      </w:r>
      <w:r w:rsidRPr="00132E65">
        <w:rPr>
          <w:rtl/>
        </w:rPr>
        <w:t xml:space="preserve"> في </w:t>
      </w:r>
      <w:r w:rsidRPr="0000072D">
        <w:rPr>
          <w:rStyle w:val="libFootnoteBoldChar"/>
          <w:rtl/>
        </w:rPr>
        <w:t>تفسير العيّاشي</w:t>
      </w:r>
      <w:r w:rsidRPr="00132E65">
        <w:rPr>
          <w:rtl/>
        </w:rPr>
        <w:t xml:space="preserve"> </w:t>
      </w:r>
      <w:r w:rsidRPr="0000072D">
        <w:rPr>
          <w:rStyle w:val="libFootnoteBoldChar"/>
          <w:rtl/>
        </w:rPr>
        <w:t>والاختصاص</w:t>
      </w:r>
      <w:r w:rsidRPr="00132E65">
        <w:rPr>
          <w:rtl/>
        </w:rPr>
        <w:t xml:space="preserve"> :</w:t>
      </w:r>
      <w:r>
        <w:rPr>
          <w:rtl/>
        </w:rPr>
        <w:t xml:space="preserve"> + </w:t>
      </w:r>
      <w:r w:rsidRPr="00132E65">
        <w:rPr>
          <w:rtl/>
        </w:rPr>
        <w:t>« وفلان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0072D">
      <w:pPr>
        <w:pStyle w:val="libNormal0"/>
        <w:tabs>
          <w:tab w:val="left" w:pos="3968"/>
        </w:tabs>
        <w:rPr>
          <w:rtl/>
          <w:lang w:bidi="fa-IR"/>
        </w:rPr>
      </w:pPr>
      <w:r w:rsidRPr="00132E65">
        <w:rPr>
          <w:rtl/>
          <w:lang w:bidi="fa-IR"/>
        </w:rPr>
        <w:t xml:space="preserve">اللهُ لِلنَّاسِ إِمَاماً ، فَلِذلِكَ </w:t>
      </w:r>
      <w:r>
        <w:rPr>
          <w:rStyle w:val="libFootnotenumChar"/>
          <w:rtl/>
        </w:rPr>
        <w:t>(1)</w:t>
      </w:r>
      <w:r w:rsidRPr="00132E65">
        <w:rPr>
          <w:rtl/>
          <w:lang w:bidi="fa-IR"/>
        </w:rPr>
        <w:t xml:space="preserve"> قَالَ : </w:t>
      </w:r>
      <w:r w:rsidRPr="00071CF9">
        <w:rPr>
          <w:rStyle w:val="libAlaemChar"/>
          <w:rtl/>
        </w:rPr>
        <w:t>(</w:t>
      </w:r>
      <w:r w:rsidRPr="00071CF9">
        <w:rPr>
          <w:rStyle w:val="libAieChar"/>
          <w:rtl/>
        </w:rPr>
        <w:t xml:space="preserve"> وَلَوْ يَرَى </w:t>
      </w:r>
      <w:r>
        <w:rPr>
          <w:rStyle w:val="libFootnotenumChar"/>
          <w:rtl/>
        </w:rPr>
        <w:t>(2)</w:t>
      </w:r>
      <w:r w:rsidR="0000072D" w:rsidRPr="0000072D">
        <w:rPr>
          <w:rStyle w:val="libFootnoteAieChar"/>
          <w:rFonts w:hint="cs"/>
          <w:rtl/>
        </w:rPr>
        <w:t xml:space="preserve"> </w:t>
      </w:r>
      <w:r w:rsidRPr="00071CF9">
        <w:rPr>
          <w:rStyle w:val="libAieChar"/>
          <w:rtl/>
        </w:rPr>
        <w:t xml:space="preserve">الَّذِينَ ظَلَمُوا إِذْ يَرَوْنَ الْعَذابَ أَنَّ الْقُوَّةَ لِلّهِ جَمِيعاً وَأَنَّ اللهَ شَدِيدُ الْعَذابِ </w:t>
      </w:r>
      <w:r w:rsidR="0000072D">
        <w:rPr>
          <w:rStyle w:val="libAieChar"/>
          <w:rFonts w:hint="cs"/>
          <w:rtl/>
        </w:rPr>
        <w:t xml:space="preserve">* </w:t>
      </w:r>
      <w:r w:rsidRPr="00071CF9">
        <w:rPr>
          <w:rStyle w:val="libAieChar"/>
          <w:rtl/>
        </w:rPr>
        <w:t xml:space="preserve">إِذْ تَبَرَّأَ الَّذِينَ اتُّبِعُوا مِنَ الَّذِينَ اتَّبَعُوا وَرَأَوُا الْعَذابَ وَتَقَطَّعَتْ بِهِمُ الْأَسْبابُ </w:t>
      </w:r>
      <w:r w:rsidR="0000072D">
        <w:rPr>
          <w:rStyle w:val="libAieChar"/>
          <w:rFonts w:hint="cs"/>
          <w:rtl/>
        </w:rPr>
        <w:t xml:space="preserve">* </w:t>
      </w:r>
      <w:r w:rsidRPr="00071CF9">
        <w:rPr>
          <w:rStyle w:val="libAieChar"/>
          <w:rtl/>
        </w:rPr>
        <w:t>وَقالَ الَّذِينَ اتَّبَعُوا لَوْ أَنَّ لَنا كَرَّةً فَنَتَبَرَّأَ مِنْهُمْ كَما تَبَرَّؤُا مِنّ</w:t>
      </w:r>
      <w:r w:rsidR="0000072D">
        <w:rPr>
          <w:rStyle w:val="libAieChar"/>
          <w:rFonts w:hint="cs"/>
          <w:rtl/>
        </w:rPr>
        <w:t>َ</w:t>
      </w:r>
      <w:r w:rsidRPr="00071CF9">
        <w:rPr>
          <w:rStyle w:val="libAieChar"/>
          <w:rtl/>
        </w:rPr>
        <w:t>ا كَذلِكَ يُرِيهِمُ اللهُ أَعْمالَهُمْ حَسَراتٍ عَلَيْهِمْ وَما هُمْ بِخارِجِينَ مِنَ النّ</w:t>
      </w:r>
      <w:r w:rsidR="0000072D">
        <w:rPr>
          <w:rStyle w:val="libAieChar"/>
          <w:rFonts w:hint="cs"/>
          <w:rtl/>
        </w:rPr>
        <w:t>َ</w:t>
      </w:r>
      <w:r w:rsidRPr="00071CF9">
        <w:rPr>
          <w:rStyle w:val="libAieChar"/>
          <w:rtl/>
        </w:rPr>
        <w:t xml:space="preserve">ارِ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ثُمَّ قَالَ </w:t>
      </w:r>
      <w:r>
        <w:rPr>
          <w:rStyle w:val="libFootnotenumChar"/>
          <w:rtl/>
        </w:rPr>
        <w:t>(4)</w:t>
      </w:r>
      <w:r w:rsidRPr="00132E65">
        <w:rPr>
          <w:rtl/>
          <w:lang w:bidi="fa-IR"/>
        </w:rPr>
        <w:t xml:space="preserve"> أَبُو جَعْفَرٍ </w:t>
      </w:r>
      <w:r w:rsidRPr="00071CF9">
        <w:rPr>
          <w:rStyle w:val="libAlaemChar"/>
          <w:rtl/>
        </w:rPr>
        <w:t>عليه‌السلام</w:t>
      </w:r>
      <w:r w:rsidRPr="00132E65">
        <w:rPr>
          <w:rtl/>
          <w:lang w:bidi="fa-IR"/>
        </w:rPr>
        <w:t xml:space="preserve"> : « هُمْ</w:t>
      </w:r>
      <w:r>
        <w:rPr>
          <w:rtl/>
          <w:lang w:bidi="fa-IR"/>
        </w:rPr>
        <w:t xml:space="preserve"> - </w:t>
      </w:r>
      <w:r w:rsidRPr="00132E65">
        <w:rPr>
          <w:rtl/>
          <w:lang w:bidi="fa-IR"/>
        </w:rPr>
        <w:t>و</w:t>
      </w:r>
      <w:r w:rsidR="0000072D">
        <w:rPr>
          <w:rFonts w:hint="cs"/>
          <w:rtl/>
          <w:lang w:bidi="fa-IR"/>
        </w:rPr>
        <w:t>َ</w:t>
      </w:r>
      <w:r w:rsidRPr="00132E65">
        <w:rPr>
          <w:rtl/>
          <w:lang w:bidi="fa-IR"/>
        </w:rPr>
        <w:t>اللهِ يَا جَابِرُ</w:t>
      </w:r>
      <w:r>
        <w:rPr>
          <w:rtl/>
          <w:lang w:bidi="fa-IR"/>
        </w:rPr>
        <w:t xml:space="preserve"> - </w:t>
      </w:r>
      <w:r w:rsidRPr="00132E65">
        <w:rPr>
          <w:rtl/>
          <w:lang w:bidi="fa-IR"/>
        </w:rPr>
        <w:t xml:space="preserve">أَئِمَّةُ الظَّلَمَةِ </w:t>
      </w:r>
      <w:r>
        <w:rPr>
          <w:rStyle w:val="libFootnotenumChar"/>
          <w:rtl/>
        </w:rPr>
        <w:t>(5)</w:t>
      </w:r>
      <w:r w:rsidRPr="00132E65">
        <w:rPr>
          <w:rtl/>
          <w:lang w:bidi="fa-IR"/>
        </w:rPr>
        <w:t xml:space="preserve"> وأَشْيَاعُهُمْ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9E4166">
        <w:rPr>
          <w:rtl/>
        </w:rPr>
        <w:t>972</w:t>
      </w:r>
      <w:r w:rsidRPr="004325D8">
        <w:rPr>
          <w:rStyle w:val="libBold2Char"/>
          <w:rtl/>
        </w:rPr>
        <w:t xml:space="preserve"> / 12.</w:t>
      </w:r>
      <w:r w:rsidRPr="00132E65">
        <w:rPr>
          <w:rtl/>
          <w:lang w:bidi="fa-IR"/>
        </w:rPr>
        <w:t xml:space="preserve"> الْحُسَيْنُ بْنُ مُحَمَّدٍ ، عَنْ مُعَلَّى بْنِ مُحَمَّدٍ ، عَنْ أَبِي دَاوُدَ الْمُسْتَرِقِّ ، عَنْ عَلِيِّ بْنِ مَيْمُونٍ ، عَنِ ابْنِ أَبِي يَعْفُورٍ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ثَلَاثَةٌ لَايَنْظُرُ اللهُ إِلَيْهِمْ </w:t>
      </w:r>
      <w:r>
        <w:rPr>
          <w:rStyle w:val="libFootnotenumChar"/>
          <w:rtl/>
        </w:rPr>
        <w:t>(8)</w:t>
      </w:r>
      <w:r w:rsidRPr="00132E65">
        <w:rPr>
          <w:rtl/>
          <w:lang w:bidi="fa-IR"/>
        </w:rPr>
        <w:t xml:space="preserve"> يَوْمَ الْقِيَامَةِ ، ولَايُزَكِّيهِمْ ، وَلَهُمْ عَذَابٌ أَلِيمٌ : مَنِ ادَّعى إِمَامَةً مِنَ اللهِ لَيْسَتْ لَهُ ، و</w:t>
      </w:r>
      <w:r w:rsidR="0000072D">
        <w:rPr>
          <w:rFonts w:hint="cs"/>
          <w:rtl/>
          <w:lang w:bidi="fa-IR"/>
        </w:rPr>
        <w:t>َ</w:t>
      </w:r>
      <w:r w:rsidRPr="00132E65">
        <w:rPr>
          <w:rtl/>
          <w:lang w:bidi="fa-IR"/>
        </w:rPr>
        <w:t>مَنْ جَحَدَ إِمَاماً مِنَ اللهِ ، و</w:t>
      </w:r>
      <w:r w:rsidR="0000072D">
        <w:rPr>
          <w:rFonts w:hint="cs"/>
          <w:rtl/>
          <w:lang w:bidi="fa-IR"/>
        </w:rPr>
        <w:t>َ</w:t>
      </w:r>
      <w:r w:rsidRPr="00132E65">
        <w:rPr>
          <w:rtl/>
          <w:lang w:bidi="fa-IR"/>
        </w:rPr>
        <w:t xml:space="preserve">مَنْ زَعَمَ أَنَّ لَهُمَا فِي الْإِسْلَامِ </w:t>
      </w:r>
      <w:r>
        <w:rPr>
          <w:rStyle w:val="libFootnotenumChar"/>
          <w:rtl/>
        </w:rPr>
        <w:t>(9)</w:t>
      </w:r>
      <w:r w:rsidRPr="00132E65">
        <w:rPr>
          <w:rtl/>
          <w:lang w:bidi="fa-IR"/>
        </w:rPr>
        <w:t xml:space="preserve"> نَصِيباً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الغيبة : « ولذلك »</w:t>
      </w:r>
      <w:r>
        <w:rPr>
          <w:rtl/>
        </w:rPr>
        <w:t>.</w:t>
      </w:r>
    </w:p>
    <w:p w:rsidR="000C39D1" w:rsidRPr="00132E65" w:rsidRDefault="000C39D1" w:rsidP="000C39D1">
      <w:pPr>
        <w:pStyle w:val="libFootnote0"/>
        <w:rPr>
          <w:rtl/>
          <w:lang w:bidi="fa-IR"/>
        </w:rPr>
      </w:pPr>
      <w:r>
        <w:rPr>
          <w:rtl/>
        </w:rPr>
        <w:t>(2).</w:t>
      </w:r>
      <w:r w:rsidRPr="00132E65">
        <w:rPr>
          <w:rtl/>
        </w:rPr>
        <w:t xml:space="preserve"> هكذا في القرآن و</w:t>
      </w:r>
      <w:r w:rsidRPr="009D1ACE">
        <w:rPr>
          <w:rStyle w:val="libFootnoteBoldChar"/>
          <w:rtl/>
        </w:rPr>
        <w:t>مرآة العقول</w:t>
      </w:r>
      <w:r w:rsidRPr="00132E65">
        <w:rPr>
          <w:rtl/>
        </w:rPr>
        <w:t>. وفي النسخ و</w:t>
      </w:r>
      <w:r w:rsidRPr="009D1ACE">
        <w:rPr>
          <w:rStyle w:val="libFootnoteBoldChar"/>
          <w:rtl/>
        </w:rPr>
        <w:t>الوافي</w:t>
      </w:r>
      <w:r w:rsidRPr="00132E65">
        <w:rPr>
          <w:rtl/>
        </w:rPr>
        <w:t xml:space="preserve"> : « « ترى »</w:t>
      </w:r>
      <w:r>
        <w:rPr>
          <w:rtl/>
        </w:rPr>
        <w:t>.</w:t>
      </w:r>
    </w:p>
    <w:p w:rsidR="000C39D1" w:rsidRPr="00132E65" w:rsidRDefault="000C39D1" w:rsidP="000C39D1">
      <w:pPr>
        <w:pStyle w:val="libFootnote0"/>
        <w:rPr>
          <w:rtl/>
          <w:lang w:bidi="fa-IR"/>
        </w:rPr>
      </w:pPr>
      <w:r>
        <w:rPr>
          <w:rtl/>
        </w:rPr>
        <w:t>(3).</w:t>
      </w:r>
      <w:r w:rsidRPr="00132E65">
        <w:rPr>
          <w:rtl/>
        </w:rPr>
        <w:t xml:space="preserve"> البقرة </w:t>
      </w:r>
      <w:r w:rsidR="0000072D">
        <w:rPr>
          <w:rtl/>
        </w:rPr>
        <w:t>(2)</w:t>
      </w:r>
      <w:r w:rsidRPr="00132E65">
        <w:rPr>
          <w:rtl/>
        </w:rPr>
        <w:t xml:space="preserve"> : 165</w:t>
      </w:r>
      <w:r>
        <w:rPr>
          <w:rtl/>
        </w:rPr>
        <w:t xml:space="preserve"> - </w:t>
      </w:r>
      <w:r w:rsidRPr="00132E65">
        <w:rPr>
          <w:rtl/>
        </w:rPr>
        <w:t>167.</w:t>
      </w:r>
    </w:p>
    <w:p w:rsidR="000C39D1" w:rsidRPr="00132E65" w:rsidRDefault="000C39D1" w:rsidP="000C39D1">
      <w:pPr>
        <w:pStyle w:val="libFootnote0"/>
        <w:rPr>
          <w:rtl/>
          <w:lang w:bidi="fa-IR"/>
        </w:rPr>
      </w:pPr>
      <w:r>
        <w:rPr>
          <w:rtl/>
        </w:rPr>
        <w:t>(4).</w:t>
      </w:r>
      <w:r w:rsidRPr="00132E65">
        <w:rPr>
          <w:rtl/>
        </w:rPr>
        <w:t xml:space="preserve"> في حاشية « ج » : « فقال »</w:t>
      </w:r>
      <w:r>
        <w:rPr>
          <w:rtl/>
        </w:rPr>
        <w:t>.</w:t>
      </w:r>
    </w:p>
    <w:p w:rsidR="000C39D1" w:rsidRPr="00132E65" w:rsidRDefault="000C39D1" w:rsidP="000C39D1">
      <w:pPr>
        <w:pStyle w:val="libFootnote0"/>
        <w:rPr>
          <w:rtl/>
          <w:lang w:bidi="fa-IR"/>
        </w:rPr>
      </w:pPr>
      <w:r>
        <w:rPr>
          <w:rtl/>
        </w:rPr>
        <w:t>(5).</w:t>
      </w:r>
      <w:r w:rsidRPr="00132E65">
        <w:rPr>
          <w:rtl/>
        </w:rPr>
        <w:t xml:space="preserve"> في حاشية « ج » </w:t>
      </w:r>
      <w:r w:rsidRPr="00CB3FF3">
        <w:rPr>
          <w:rtl/>
        </w:rPr>
        <w:t>والوافي</w:t>
      </w:r>
      <w:r w:rsidRPr="00132E65">
        <w:rPr>
          <w:rtl/>
        </w:rPr>
        <w:t xml:space="preserve"> والغيبة : « الظلم »</w:t>
      </w:r>
      <w:r>
        <w:rPr>
          <w:rtl/>
        </w:rPr>
        <w:t>.</w:t>
      </w:r>
    </w:p>
    <w:p w:rsidR="000C39D1" w:rsidRPr="00132E65" w:rsidRDefault="000C39D1" w:rsidP="000C39D1">
      <w:pPr>
        <w:pStyle w:val="libFootnote0"/>
        <w:rPr>
          <w:rtl/>
          <w:lang w:bidi="fa-IR"/>
        </w:rPr>
      </w:pPr>
      <w:r>
        <w:rPr>
          <w:rtl/>
        </w:rPr>
        <w:t>(6).</w:t>
      </w:r>
      <w:r w:rsidRPr="00132E65">
        <w:rPr>
          <w:rtl/>
        </w:rPr>
        <w:t xml:space="preserve"> في « ف » : « أتباعهم »</w:t>
      </w:r>
      <w:r>
        <w:rPr>
          <w:rtl/>
        </w:rPr>
        <w:t>.</w:t>
      </w:r>
    </w:p>
    <w:p w:rsidR="000C39D1" w:rsidRPr="00132E65" w:rsidRDefault="000C39D1" w:rsidP="000C39D1">
      <w:pPr>
        <w:pStyle w:val="libFootnote0"/>
        <w:rPr>
          <w:rtl/>
          <w:lang w:bidi="fa-IR"/>
        </w:rPr>
      </w:pPr>
      <w:r>
        <w:rPr>
          <w:rtl/>
        </w:rPr>
        <w:t>(7).</w:t>
      </w:r>
      <w:r w:rsidRPr="00132E65">
        <w:rPr>
          <w:rtl/>
        </w:rPr>
        <w:t xml:space="preserve"> </w:t>
      </w:r>
      <w:r w:rsidRPr="00CB3FF3">
        <w:rPr>
          <w:rStyle w:val="libFootnoteBoldChar"/>
          <w:rtl/>
        </w:rPr>
        <w:t>الغيبة للنعماني</w:t>
      </w:r>
      <w:r w:rsidRPr="00132E65">
        <w:rPr>
          <w:rtl/>
        </w:rPr>
        <w:t xml:space="preserve"> ، ص 131 ، ح 12 ، عن الكليني. </w:t>
      </w:r>
      <w:r w:rsidRPr="00CB3FF3">
        <w:rPr>
          <w:rStyle w:val="libFootnoteBoldChar"/>
          <w:rtl/>
        </w:rPr>
        <w:t>تفسير العيّاشي</w:t>
      </w:r>
      <w:r w:rsidRPr="00132E65">
        <w:rPr>
          <w:rtl/>
        </w:rPr>
        <w:t xml:space="preserve"> ، ج 1 ، ص 72 ، ص 142 ، عن جابر ، عن أبي عبد الله </w:t>
      </w:r>
      <w:r w:rsidRPr="00D14011">
        <w:rPr>
          <w:rStyle w:val="libFootnoteAlaemChar"/>
          <w:rtl/>
        </w:rPr>
        <w:t>عليه‌السلام</w:t>
      </w:r>
      <w:r w:rsidRPr="00132E65">
        <w:rPr>
          <w:rtl/>
        </w:rPr>
        <w:t xml:space="preserve"> ؛ </w:t>
      </w:r>
      <w:r w:rsidRPr="00CB3FF3">
        <w:rPr>
          <w:rStyle w:val="libFootnoteBoldChar"/>
          <w:rtl/>
        </w:rPr>
        <w:t>الاختصاص</w:t>
      </w:r>
      <w:r w:rsidRPr="00132E65">
        <w:rPr>
          <w:rtl/>
        </w:rPr>
        <w:t xml:space="preserve"> ، ص 334 ، مرسلاً عن عمرو بن ثابت ، عن أبي جعفر </w:t>
      </w:r>
      <w:r w:rsidRPr="00D14011">
        <w:rPr>
          <w:rStyle w:val="libFootnoteAlaemChar"/>
          <w:rtl/>
        </w:rPr>
        <w:t>عليه‌السلام</w:t>
      </w:r>
      <w:r w:rsidRPr="00132E65">
        <w:rPr>
          <w:rtl/>
        </w:rPr>
        <w:t xml:space="preserve"> </w:t>
      </w:r>
      <w:r w:rsidR="00CB3FF3">
        <w:rPr>
          <w:rFonts w:hint="cs"/>
          <w:rtl/>
        </w:rPr>
        <w:t>.</w:t>
      </w:r>
      <w:r w:rsidRPr="009D1ACE">
        <w:rPr>
          <w:rStyle w:val="libFootnoteBoldChar"/>
          <w:rtl/>
        </w:rPr>
        <w:t>الوافي</w:t>
      </w:r>
      <w:r w:rsidRPr="00132E65">
        <w:rPr>
          <w:rtl/>
        </w:rPr>
        <w:t xml:space="preserve"> ، ج 2 ، ص 182 ، ح 643.</w:t>
      </w:r>
    </w:p>
    <w:p w:rsidR="000C39D1" w:rsidRPr="00132E65" w:rsidRDefault="000C39D1" w:rsidP="000C39D1">
      <w:pPr>
        <w:pStyle w:val="libFootnote0"/>
        <w:rPr>
          <w:rtl/>
          <w:lang w:bidi="fa-IR"/>
        </w:rPr>
      </w:pPr>
      <w:r>
        <w:rPr>
          <w:rtl/>
        </w:rPr>
        <w:t>(8).</w:t>
      </w:r>
      <w:r w:rsidRPr="00132E65">
        <w:rPr>
          <w:rtl/>
        </w:rPr>
        <w:t xml:space="preserve"> في </w:t>
      </w:r>
      <w:r w:rsidRPr="00CB3FF3">
        <w:rPr>
          <w:rtl/>
        </w:rPr>
        <w:t>الوافي</w:t>
      </w:r>
      <w:r w:rsidRPr="00132E65">
        <w:rPr>
          <w:rtl/>
        </w:rPr>
        <w:t xml:space="preserve"> والغيبة للنعماني والوسائل : « لا يكلّمهم الله » بدل « لا ينظر الله إليهم »</w:t>
      </w:r>
      <w:r>
        <w:rPr>
          <w:rtl/>
        </w:rPr>
        <w:t>.</w:t>
      </w:r>
    </w:p>
    <w:p w:rsidR="000C39D1" w:rsidRPr="00132E65" w:rsidRDefault="000C39D1" w:rsidP="000C39D1">
      <w:pPr>
        <w:pStyle w:val="libFootnote0"/>
        <w:rPr>
          <w:rtl/>
          <w:lang w:bidi="fa-IR"/>
        </w:rPr>
      </w:pPr>
      <w:r>
        <w:rPr>
          <w:rtl/>
        </w:rPr>
        <w:t>(9).</w:t>
      </w:r>
      <w:r w:rsidRPr="00132E65">
        <w:rPr>
          <w:rtl/>
        </w:rPr>
        <w:t xml:space="preserve"> في « بف » : « في الدين »</w:t>
      </w:r>
      <w:r>
        <w:rPr>
          <w:rtl/>
        </w:rPr>
        <w:t>.</w:t>
      </w:r>
    </w:p>
    <w:p w:rsidR="000C39D1" w:rsidRPr="00132E65" w:rsidRDefault="000C39D1" w:rsidP="000C39D1">
      <w:pPr>
        <w:pStyle w:val="libFootnote0"/>
        <w:rPr>
          <w:rtl/>
          <w:lang w:bidi="fa-IR"/>
        </w:rPr>
      </w:pPr>
      <w:r>
        <w:rPr>
          <w:rtl/>
        </w:rPr>
        <w:t>(10).</w:t>
      </w:r>
      <w:r w:rsidRPr="00132E65">
        <w:rPr>
          <w:rtl/>
        </w:rPr>
        <w:t xml:space="preserve"> </w:t>
      </w:r>
      <w:r w:rsidRPr="00CB3FF3">
        <w:rPr>
          <w:rStyle w:val="libFootnoteBoldChar"/>
          <w:rtl/>
        </w:rPr>
        <w:t>الغيبة للنعماني</w:t>
      </w:r>
      <w:r w:rsidRPr="00132E65">
        <w:rPr>
          <w:rtl/>
        </w:rPr>
        <w:t xml:space="preserve"> ، ص 112 ، ح 3 ، عن الكليني. </w:t>
      </w:r>
      <w:r w:rsidRPr="009E4166">
        <w:rPr>
          <w:rtl/>
        </w:rPr>
        <w:t>تفسير العيّاشي</w:t>
      </w:r>
      <w:r w:rsidRPr="00132E65">
        <w:rPr>
          <w:rtl/>
        </w:rPr>
        <w:t xml:space="preserve"> ، ج 1 ، ص 178 ، ح 64 ، عن عليّ بن ميمون الصائغ ، عن عبد الله بن أبي يعفور. </w:t>
      </w:r>
      <w:r w:rsidRPr="00CB3FF3">
        <w:rPr>
          <w:rStyle w:val="libFootnoteBoldChar"/>
          <w:rtl/>
        </w:rPr>
        <w:t>ثواب الأعمال</w:t>
      </w:r>
      <w:r w:rsidRPr="00132E65">
        <w:rPr>
          <w:rtl/>
        </w:rPr>
        <w:t xml:space="preserve"> ، ص 255 ، ح 3 ، بسند آخر عن أبي الحسن الماضي </w:t>
      </w:r>
      <w:r w:rsidRPr="00CB3FF3">
        <w:rPr>
          <w:rStyle w:val="libFootnoteAlaemChar"/>
          <w:rtl/>
        </w:rPr>
        <w:t>عليه‌السلام</w:t>
      </w:r>
      <w:r w:rsidRPr="00132E65">
        <w:rPr>
          <w:rtl/>
        </w:rPr>
        <w:t xml:space="preserve"> ، مع زيادة في أوّله وآخره ، ومع اختلاف يسير </w:t>
      </w:r>
      <w:r w:rsidR="00CB3FF3">
        <w:rPr>
          <w:rFonts w:hint="cs"/>
          <w:rtl/>
        </w:rPr>
        <w:t>.</w:t>
      </w:r>
      <w:r w:rsidRPr="009D1ACE">
        <w:rPr>
          <w:rStyle w:val="libFootnoteBoldChar"/>
          <w:rtl/>
        </w:rPr>
        <w:t>الوافي</w:t>
      </w:r>
      <w:r w:rsidRPr="00132E65">
        <w:rPr>
          <w:rtl/>
        </w:rPr>
        <w:t xml:space="preserve"> ، ج 2 ، ص 180 ، ذيل ح 636 ؛ </w:t>
      </w:r>
      <w:r w:rsidRPr="00CB3FF3">
        <w:rPr>
          <w:rStyle w:val="libFootnoteBoldChar"/>
          <w:rtl/>
        </w:rPr>
        <w:t>الوسائل</w:t>
      </w:r>
      <w:r w:rsidRPr="00132E65">
        <w:rPr>
          <w:rtl/>
        </w:rPr>
        <w:t xml:space="preserve"> ، ج 28 ، ص 349 ، ح 34937 ؛ </w:t>
      </w:r>
      <w:r w:rsidRPr="00CB3FF3">
        <w:rPr>
          <w:rStyle w:val="libFootnoteBoldChar"/>
          <w:rtl/>
        </w:rPr>
        <w:t>البحار</w:t>
      </w:r>
      <w:r w:rsidRPr="00132E65">
        <w:rPr>
          <w:rtl/>
        </w:rPr>
        <w:t xml:space="preserve"> ، ج 7 ، ص 212 ، ح 113 ؛ وج 8 ، ص 363 ، ح 40.</w:t>
      </w:r>
    </w:p>
    <w:p w:rsidR="000C39D1" w:rsidRDefault="000C39D1" w:rsidP="00CB3FF3">
      <w:pPr>
        <w:pStyle w:val="libNormal"/>
        <w:rPr>
          <w:rtl/>
          <w:lang w:bidi="fa-IR"/>
        </w:rPr>
      </w:pPr>
      <w:r>
        <w:rPr>
          <w:rtl/>
          <w:lang w:bidi="fa-IR"/>
        </w:rPr>
        <w:br w:type="page"/>
      </w:r>
    </w:p>
    <w:p w:rsidR="000C39D1" w:rsidRPr="00132E65" w:rsidRDefault="000C39D1" w:rsidP="000C39D1">
      <w:pPr>
        <w:pStyle w:val="Heading2Center"/>
        <w:rPr>
          <w:rtl/>
          <w:lang w:bidi="fa-IR"/>
        </w:rPr>
      </w:pPr>
      <w:bookmarkStart w:id="58" w:name="_Toc459459116"/>
      <w:bookmarkStart w:id="59" w:name="_Toc34663085"/>
      <w:r w:rsidRPr="00132E65">
        <w:rPr>
          <w:rtl/>
          <w:lang w:bidi="fa-IR"/>
        </w:rPr>
        <w:t>86</w:t>
      </w:r>
      <w:r>
        <w:rPr>
          <w:rtl/>
          <w:lang w:bidi="fa-IR"/>
        </w:rPr>
        <w:t xml:space="preserve"> - </w:t>
      </w:r>
      <w:r w:rsidRPr="00132E65">
        <w:rPr>
          <w:rtl/>
          <w:lang w:bidi="fa-IR"/>
        </w:rPr>
        <w:t xml:space="preserve">بَابٌ فِيمَنْ </w:t>
      </w:r>
      <w:r>
        <w:rPr>
          <w:rStyle w:val="libFootnotenumChar"/>
          <w:rtl/>
        </w:rPr>
        <w:t>(1)</w:t>
      </w:r>
      <w:r>
        <w:rPr>
          <w:rtl/>
          <w:lang w:bidi="fa-IR"/>
        </w:rPr>
        <w:t xml:space="preserve"> </w:t>
      </w:r>
      <w:r w:rsidRPr="00132E65">
        <w:rPr>
          <w:rtl/>
          <w:lang w:bidi="fa-IR"/>
        </w:rPr>
        <w:t>دَانَ اللهَ عَزَّ وجَلَّ بِغَيْرِ إِمَامٍ مِنَ اللهِ جَلَّ جَلَالُهُ‌</w:t>
      </w:r>
      <w:bookmarkEnd w:id="58"/>
      <w:bookmarkEnd w:id="59"/>
    </w:p>
    <w:p w:rsidR="000C39D1" w:rsidRPr="00132E65" w:rsidRDefault="000C39D1" w:rsidP="000C39D1">
      <w:pPr>
        <w:pStyle w:val="libNormal"/>
        <w:rPr>
          <w:rtl/>
          <w:lang w:bidi="fa-IR"/>
        </w:rPr>
      </w:pPr>
      <w:r w:rsidRPr="00CF3215">
        <w:rPr>
          <w:rtl/>
        </w:rPr>
        <w:t>973</w:t>
      </w:r>
      <w:r w:rsidRPr="004325D8">
        <w:rPr>
          <w:rStyle w:val="libBold2Char"/>
          <w:rtl/>
        </w:rPr>
        <w:t xml:space="preserve"> / 1.</w:t>
      </w:r>
      <w:r w:rsidRPr="00132E65">
        <w:rPr>
          <w:rtl/>
          <w:lang w:bidi="fa-IR"/>
        </w:rPr>
        <w:t xml:space="preserve"> عِدَّةٌ مِنْ أَصْحَابِنَا ، عَنْ أَحْمَدَ بْنِ مُحَمَّدٍ ، عَنِ </w:t>
      </w:r>
      <w:r>
        <w:rPr>
          <w:rStyle w:val="libFootnotenumChar"/>
          <w:rtl/>
        </w:rPr>
        <w:t>(2)</w:t>
      </w:r>
      <w:r w:rsidRPr="00132E65">
        <w:rPr>
          <w:rtl/>
          <w:lang w:bidi="fa-IR"/>
        </w:rPr>
        <w:t xml:space="preserve"> ابْنِ أَبِي نَصْرٍ :</w:t>
      </w:r>
    </w:p>
    <w:p w:rsidR="000C39D1" w:rsidRPr="00132E65" w:rsidRDefault="000C39D1" w:rsidP="000C39D1">
      <w:pPr>
        <w:pStyle w:val="libNormal"/>
        <w:rPr>
          <w:rtl/>
          <w:lang w:bidi="fa-IR"/>
        </w:rPr>
      </w:pPr>
      <w:r w:rsidRPr="00132E65">
        <w:rPr>
          <w:rtl/>
          <w:lang w:bidi="fa-IR"/>
        </w:rPr>
        <w:t xml:space="preserve">عَنْ أَبِي الْحَسَنِ </w:t>
      </w:r>
      <w:r>
        <w:rPr>
          <w:rStyle w:val="libFootnotenumChar"/>
          <w:rtl/>
        </w:rPr>
        <w:t>(3)</w:t>
      </w:r>
      <w:r w:rsidRPr="00132E65">
        <w:rPr>
          <w:rtl/>
          <w:lang w:bidi="fa-IR"/>
        </w:rPr>
        <w:t xml:space="preserve">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وَمَنْ أَضَلُّ مِمَّنِ اتَّبَعَ هَواهُ بِغَيْرِ هُدىً مِنَ اللهِ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قَالَ : « يَعْنِي مَنِ اتَّخَذَ دِينَهُ رَأْيَهُ </w:t>
      </w:r>
      <w:r>
        <w:rPr>
          <w:rStyle w:val="libFootnotenumChar"/>
          <w:rtl/>
        </w:rPr>
        <w:t>(5)</w:t>
      </w:r>
      <w:r w:rsidRPr="00132E65">
        <w:rPr>
          <w:rtl/>
          <w:lang w:bidi="fa-IR"/>
        </w:rPr>
        <w:t xml:space="preserve"> بِغَيْرِ إِمَامٍ مِنْ أَئِمَّةِ الْهُدى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CF3215">
        <w:rPr>
          <w:rtl/>
        </w:rPr>
        <w:t>974</w:t>
      </w:r>
      <w:r w:rsidRPr="004325D8">
        <w:rPr>
          <w:rStyle w:val="libBold2Char"/>
          <w:rtl/>
        </w:rPr>
        <w:t xml:space="preserve"> / 2.</w:t>
      </w:r>
      <w:r w:rsidRPr="00132E65">
        <w:rPr>
          <w:rtl/>
          <w:lang w:bidi="fa-IR"/>
        </w:rPr>
        <w:t xml:space="preserve"> مُحَمَّدُ بْنُ يَحْيى ، عَنْ مُحَمَّدِ بْنِ الْحُسَيْنِ ، عَنْ صَفْوَانَ بْنِ يَحْيى ، عَنِ الْعَلَاءِ بْنِ رَزِينٍ ، عَنْ مُحَمَّدِ بْنِ مُسْلِمٍ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كُلُّ مَنْ دَانَ اللهَ بِعِبَادَةٍ يُجْهِدُ فِيهَا نَفْسَهُ ولَا</w:t>
      </w:r>
      <w:r>
        <w:rPr>
          <w:rFonts w:hint="cs"/>
          <w:rtl/>
          <w:lang w:bidi="fa-IR"/>
        </w:rPr>
        <w:t xml:space="preserve"> </w:t>
      </w:r>
      <w:r w:rsidRPr="00132E65">
        <w:rPr>
          <w:rtl/>
          <w:lang w:bidi="fa-IR"/>
        </w:rPr>
        <w:t xml:space="preserve">إِمَامَ لَهُ </w:t>
      </w:r>
      <w:r>
        <w:rPr>
          <w:rStyle w:val="libFootnotenumChar"/>
          <w:rtl/>
        </w:rPr>
        <w:t>(7)</w:t>
      </w:r>
      <w:r w:rsidRPr="00132E65">
        <w:rPr>
          <w:rtl/>
          <w:lang w:bidi="fa-IR"/>
        </w:rPr>
        <w:t xml:space="preserve"> مِنَ اللهِ ، فَسَعْيُهُ غَيْرُ مَقْبُولٍ ، وهُوَ ضَالٌّ مُتَحَيِّرٌ ، و</w:t>
      </w:r>
      <w:r w:rsidR="00CB3FF3">
        <w:rPr>
          <w:rFonts w:hint="cs"/>
          <w:rtl/>
          <w:lang w:bidi="fa-IR"/>
        </w:rPr>
        <w:t>َ</w:t>
      </w:r>
      <w:r w:rsidRPr="00132E65">
        <w:rPr>
          <w:rtl/>
          <w:lang w:bidi="fa-IR"/>
        </w:rPr>
        <w:t xml:space="preserve">اللهُ شَانِئٌ </w:t>
      </w:r>
      <w:r>
        <w:rPr>
          <w:rStyle w:val="libFootnotenumChar"/>
          <w:rtl/>
        </w:rPr>
        <w:t>(8)</w:t>
      </w:r>
      <w:r w:rsidRPr="00132E65">
        <w:rPr>
          <w:rtl/>
          <w:lang w:bidi="fa-IR"/>
        </w:rPr>
        <w:t xml:space="preserve"> لِأَعْمَالِهِ ، ومَثَلُهُ كَمَثَلِ شَاةٍ ضَلَّتْ عَنْ رَاعِيهَا وقَطِيعِهَا </w:t>
      </w:r>
      <w:r>
        <w:rPr>
          <w:rStyle w:val="libFootnotenumChar"/>
          <w:rtl/>
        </w:rPr>
        <w:t>(9)</w:t>
      </w:r>
      <w:r w:rsidRPr="00132E65">
        <w:rPr>
          <w:rtl/>
          <w:lang w:bidi="fa-IR"/>
        </w:rPr>
        <w:t xml:space="preserve"> ، فَهَجَمَتْ </w:t>
      </w:r>
      <w:r>
        <w:rPr>
          <w:rStyle w:val="libFootnotenumChar"/>
          <w:rtl/>
        </w:rPr>
        <w:t>(10)</w:t>
      </w:r>
      <w:r w:rsidRPr="00132E65">
        <w:rPr>
          <w:rtl/>
          <w:lang w:bidi="fa-IR"/>
        </w:rPr>
        <w:t xml:space="preserve"> ذَاهِبَةً وجَائِيَةً </w:t>
      </w:r>
      <w:r>
        <w:rPr>
          <w:rStyle w:val="libFootnotenumChar"/>
          <w:rtl/>
        </w:rPr>
        <w:t>(11)</w:t>
      </w:r>
      <w:r w:rsidRPr="00132E65">
        <w:rPr>
          <w:rtl/>
          <w:lang w:bidi="fa-IR"/>
        </w:rPr>
        <w:t xml:space="preserve"> يَوْمَهَا ، فَلَمَّا جَنَّهَا‌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من »</w:t>
      </w:r>
      <w:r>
        <w:rPr>
          <w:rtl/>
        </w:rPr>
        <w:t>.</w:t>
      </w:r>
    </w:p>
    <w:p w:rsidR="000C39D1" w:rsidRPr="00132E65" w:rsidRDefault="000C39D1" w:rsidP="000C39D1">
      <w:pPr>
        <w:pStyle w:val="libFootnote0"/>
        <w:rPr>
          <w:rtl/>
          <w:lang w:bidi="fa-IR"/>
        </w:rPr>
      </w:pPr>
      <w:r>
        <w:rPr>
          <w:rtl/>
        </w:rPr>
        <w:t>(2).</w:t>
      </w:r>
      <w:r w:rsidRPr="00132E65">
        <w:rPr>
          <w:rtl/>
        </w:rPr>
        <w:t xml:space="preserve"> في « ج ، ض » </w:t>
      </w:r>
      <w:r>
        <w:rPr>
          <w:rtl/>
        </w:rPr>
        <w:t xml:space="preserve">: - </w:t>
      </w:r>
      <w:r w:rsidRPr="00132E65">
        <w:rPr>
          <w:rtl/>
        </w:rPr>
        <w:t>« عن »</w:t>
      </w:r>
      <w:r>
        <w:rPr>
          <w:rtl/>
        </w:rPr>
        <w:t>.</w:t>
      </w:r>
      <w:r w:rsidRPr="00132E65">
        <w:rPr>
          <w:rtl/>
        </w:rPr>
        <w:t xml:space="preserve"> والمتكرّر في أسناد </w:t>
      </w:r>
      <w:r w:rsidRPr="000577A7">
        <w:rPr>
          <w:rStyle w:val="libFootnoteBoldChar"/>
          <w:rtl/>
        </w:rPr>
        <w:t>الكافي</w:t>
      </w:r>
      <w:r w:rsidRPr="00132E65">
        <w:rPr>
          <w:rtl/>
        </w:rPr>
        <w:t xml:space="preserve"> رواية « عدّة من أصحابنا ، عن أحمد بن محمّد ، عن [ أحمد بن محمّد ] بن أبي نصر »</w:t>
      </w:r>
      <w:r>
        <w:rPr>
          <w:rtl/>
        </w:rPr>
        <w:t>.</w:t>
      </w:r>
    </w:p>
    <w:p w:rsidR="000C39D1" w:rsidRPr="00132E65" w:rsidRDefault="000C39D1" w:rsidP="000C39D1">
      <w:pPr>
        <w:pStyle w:val="libFootnote0"/>
        <w:rPr>
          <w:rtl/>
          <w:lang w:bidi="fa-IR"/>
        </w:rPr>
      </w:pPr>
      <w:r>
        <w:rPr>
          <w:rtl/>
        </w:rPr>
        <w:t>(3).</w:t>
      </w:r>
      <w:r w:rsidRPr="00132E65">
        <w:rPr>
          <w:rtl/>
        </w:rPr>
        <w:t xml:space="preserve"> في « ض » :</w:t>
      </w:r>
      <w:r>
        <w:rPr>
          <w:rtl/>
        </w:rPr>
        <w:t xml:space="preserve"> + </w:t>
      </w:r>
      <w:r w:rsidRPr="00132E65">
        <w:rPr>
          <w:rtl/>
        </w:rPr>
        <w:t>« الرضا »</w:t>
      </w:r>
      <w:r>
        <w:rPr>
          <w:rtl/>
        </w:rPr>
        <w:t>.</w:t>
      </w:r>
    </w:p>
    <w:p w:rsidR="000C39D1" w:rsidRPr="00132E65" w:rsidRDefault="000C39D1" w:rsidP="000C39D1">
      <w:pPr>
        <w:pStyle w:val="libFootnote0"/>
        <w:rPr>
          <w:rtl/>
          <w:lang w:bidi="fa-IR"/>
        </w:rPr>
      </w:pPr>
      <w:r>
        <w:rPr>
          <w:rtl/>
        </w:rPr>
        <w:t>(4).</w:t>
      </w:r>
      <w:r w:rsidRPr="00132E65">
        <w:rPr>
          <w:rtl/>
        </w:rPr>
        <w:t xml:space="preserve"> القصص (28) : 50.</w:t>
      </w:r>
    </w:p>
    <w:p w:rsidR="000C39D1" w:rsidRPr="00132E65" w:rsidRDefault="000C39D1" w:rsidP="000C39D1">
      <w:pPr>
        <w:pStyle w:val="libFootnote0"/>
        <w:rPr>
          <w:rtl/>
          <w:lang w:bidi="fa-IR"/>
        </w:rPr>
      </w:pPr>
      <w:r>
        <w:rPr>
          <w:rtl/>
        </w:rPr>
        <w:t>(5).</w:t>
      </w:r>
      <w:r w:rsidRPr="00132E65">
        <w:rPr>
          <w:rtl/>
        </w:rPr>
        <w:t xml:space="preserve"> في « ج » : « برأيه »</w:t>
      </w:r>
      <w:r>
        <w:rPr>
          <w:rtl/>
        </w:rPr>
        <w:t>.</w:t>
      </w:r>
      <w:r w:rsidRPr="00132E65">
        <w:rPr>
          <w:rtl/>
        </w:rPr>
        <w:t xml:space="preserve"> وفي « ف » : « ورأيه »</w:t>
      </w:r>
      <w:r>
        <w:rPr>
          <w:rtl/>
        </w:rPr>
        <w:t>.</w:t>
      </w:r>
    </w:p>
    <w:p w:rsidR="000C39D1" w:rsidRPr="00132E65" w:rsidRDefault="000C39D1" w:rsidP="000C39D1">
      <w:pPr>
        <w:pStyle w:val="libFootnote0"/>
        <w:rPr>
          <w:rtl/>
          <w:lang w:bidi="fa-IR"/>
        </w:rPr>
      </w:pPr>
      <w:r>
        <w:rPr>
          <w:rtl/>
        </w:rPr>
        <w:t>(6).</w:t>
      </w:r>
      <w:r w:rsidRPr="00132E65">
        <w:rPr>
          <w:rtl/>
        </w:rPr>
        <w:t xml:space="preserve"> </w:t>
      </w:r>
      <w:r w:rsidRPr="00CB3FF3">
        <w:rPr>
          <w:rStyle w:val="libFootnoteBoldChar"/>
          <w:rtl/>
        </w:rPr>
        <w:t>الغيبة للنعماني</w:t>
      </w:r>
      <w:r w:rsidRPr="00132E65">
        <w:rPr>
          <w:rtl/>
        </w:rPr>
        <w:t xml:space="preserve"> ، ص 130 ، ح 7 ، عن الكليني. </w:t>
      </w:r>
      <w:r w:rsidRPr="007A1104">
        <w:rPr>
          <w:rStyle w:val="libFootnoteBoldChar"/>
          <w:rtl/>
        </w:rPr>
        <w:t>بصائر الدرجات</w:t>
      </w:r>
      <w:r w:rsidRPr="00132E65">
        <w:rPr>
          <w:rtl/>
        </w:rPr>
        <w:t xml:space="preserve"> ، ص 13 ، ح 2 ، بسنده عن أحمد بن محمّد ، عن أبي الحسن </w:t>
      </w:r>
      <w:r w:rsidRPr="00D14011">
        <w:rPr>
          <w:rStyle w:val="libFootnoteAlaemChar"/>
          <w:rtl/>
        </w:rPr>
        <w:t>عليه‌السلام</w:t>
      </w:r>
      <w:r w:rsidRPr="00132E65">
        <w:rPr>
          <w:rtl/>
        </w:rPr>
        <w:t xml:space="preserve"> ؛ </w:t>
      </w:r>
      <w:r w:rsidRPr="00CF3215">
        <w:rPr>
          <w:rtl/>
        </w:rPr>
        <w:t>وفيه</w:t>
      </w:r>
      <w:r w:rsidRPr="00132E65">
        <w:rPr>
          <w:rtl/>
        </w:rPr>
        <w:t xml:space="preserve"> ، ح 5 ، بسند آخر عن أبي الحسن </w:t>
      </w:r>
      <w:r w:rsidRPr="00D14011">
        <w:rPr>
          <w:rStyle w:val="libFootnoteAlaemChar"/>
          <w:rtl/>
        </w:rPr>
        <w:t>عليه‌السلام</w:t>
      </w:r>
      <w:r w:rsidRPr="00132E65">
        <w:rPr>
          <w:rtl/>
        </w:rPr>
        <w:t xml:space="preserve"> ؛ </w:t>
      </w:r>
      <w:r w:rsidRPr="00CF3215">
        <w:rPr>
          <w:rtl/>
        </w:rPr>
        <w:t>وفيه</w:t>
      </w:r>
      <w:r w:rsidRPr="00132E65">
        <w:rPr>
          <w:rtl/>
        </w:rPr>
        <w:t xml:space="preserve"> أيضاً ، ح 1 ، بسند آخر ؛ عن أبي عبد الله </w:t>
      </w:r>
      <w:r w:rsidRPr="00D14011">
        <w:rPr>
          <w:rStyle w:val="libFootnoteAlaemChar"/>
          <w:rtl/>
        </w:rPr>
        <w:t>عليه‌السلام</w:t>
      </w:r>
      <w:r w:rsidRPr="00132E65">
        <w:rPr>
          <w:rtl/>
        </w:rPr>
        <w:t xml:space="preserve"> ؛ </w:t>
      </w:r>
      <w:r w:rsidRPr="00CF3215">
        <w:rPr>
          <w:rtl/>
        </w:rPr>
        <w:t>وفيه</w:t>
      </w:r>
      <w:r w:rsidRPr="00132E65">
        <w:rPr>
          <w:rtl/>
        </w:rPr>
        <w:t xml:space="preserve"> أيضاً ، ح 3 ، بسند آخر عن أبي جعفر </w:t>
      </w:r>
      <w:r w:rsidRPr="00D14011">
        <w:rPr>
          <w:rStyle w:val="libFootnoteAlaemChar"/>
          <w:rtl/>
        </w:rPr>
        <w:t>عليه‌السلام</w:t>
      </w:r>
      <w:r w:rsidRPr="00132E65">
        <w:rPr>
          <w:rtl/>
        </w:rPr>
        <w:t xml:space="preserve"> ؛ </w:t>
      </w:r>
      <w:r w:rsidRPr="00CF3215">
        <w:rPr>
          <w:rtl/>
        </w:rPr>
        <w:t>وفيه</w:t>
      </w:r>
      <w:r w:rsidRPr="00132E65">
        <w:rPr>
          <w:rtl/>
        </w:rPr>
        <w:t xml:space="preserve"> أيضاً ، ح 4 ، بسند آخر عن أبي عبد الله </w:t>
      </w:r>
      <w:r w:rsidRPr="00D14011">
        <w:rPr>
          <w:rStyle w:val="libFootnoteAlaemChar"/>
          <w:rtl/>
        </w:rPr>
        <w:t>عليه‌السلام</w:t>
      </w:r>
      <w:r w:rsidRPr="00132E65">
        <w:rPr>
          <w:rtl/>
        </w:rPr>
        <w:t xml:space="preserve"> ، إلى قوله : « دينه رأيه » وفي كلّها مع اختلاف يسير </w:t>
      </w:r>
      <w:r w:rsidR="00CB3FF3">
        <w:rPr>
          <w:rFonts w:hint="cs"/>
          <w:rtl/>
        </w:rPr>
        <w:t>.</w:t>
      </w:r>
      <w:r w:rsidRPr="009D1ACE">
        <w:rPr>
          <w:rStyle w:val="libFootnoteBoldChar"/>
          <w:rtl/>
        </w:rPr>
        <w:t>الوافي</w:t>
      </w:r>
      <w:r w:rsidRPr="00132E65">
        <w:rPr>
          <w:rtl/>
        </w:rPr>
        <w:t xml:space="preserve"> ، ج 2 ، ص 118 ، ح 579.</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(8).</w:t>
      </w:r>
      <w:r w:rsidR="00CB3FF3">
        <w:rPr>
          <w:rtl/>
        </w:rPr>
        <w:t xml:space="preserve"> « الشانئ » : الم</w:t>
      </w:r>
      <w:r w:rsidR="00CB3FF3">
        <w:rPr>
          <w:rFonts w:hint="cs"/>
          <w:rtl/>
        </w:rPr>
        <w:t>ـُ</w:t>
      </w:r>
      <w:r w:rsidRPr="00132E65">
        <w:rPr>
          <w:rtl/>
        </w:rPr>
        <w:t xml:space="preserve">بغض. من الشناءة مثال الشناعة ، بمعنى البُغض. راجع : </w:t>
      </w:r>
      <w:r w:rsidRPr="00CB3FF3">
        <w:rPr>
          <w:rStyle w:val="libFootnoteBoldChar"/>
          <w:rtl/>
        </w:rPr>
        <w:t>الصحاح</w:t>
      </w:r>
      <w:r w:rsidRPr="00132E65">
        <w:rPr>
          <w:rtl/>
        </w:rPr>
        <w:t xml:space="preserve"> ، ج 1 ، ص 57 ( شنأ )</w:t>
      </w:r>
      <w:r>
        <w:rPr>
          <w:rtl/>
        </w:rPr>
        <w:t>.</w:t>
      </w:r>
    </w:p>
    <w:p w:rsidR="000C39D1" w:rsidRPr="00132E65" w:rsidRDefault="000C39D1" w:rsidP="000C39D1">
      <w:pPr>
        <w:pStyle w:val="libFootnote0"/>
        <w:rPr>
          <w:rtl/>
          <w:lang w:bidi="fa-IR"/>
        </w:rPr>
      </w:pPr>
      <w:r>
        <w:rPr>
          <w:rtl/>
        </w:rPr>
        <w:t>(9).</w:t>
      </w:r>
      <w:r w:rsidRPr="00132E65">
        <w:rPr>
          <w:rtl/>
        </w:rPr>
        <w:t xml:space="preserve"> « القَطِيع » : الطائفة من البقر والغنم. </w:t>
      </w:r>
      <w:r w:rsidRPr="00CB3FF3">
        <w:rPr>
          <w:rStyle w:val="libFootnoteBoldChar"/>
          <w:rtl/>
        </w:rPr>
        <w:t>الصحاح</w:t>
      </w:r>
      <w:r w:rsidRPr="00132E65">
        <w:rPr>
          <w:rtl/>
        </w:rPr>
        <w:t xml:space="preserve"> ، ج 3 ، ص 1268 ( قطع )</w:t>
      </w:r>
      <w:r>
        <w:rPr>
          <w:rtl/>
        </w:rPr>
        <w:t>.</w:t>
      </w:r>
    </w:p>
    <w:p w:rsidR="000C39D1" w:rsidRPr="00132E65" w:rsidRDefault="000C39D1" w:rsidP="000C39D1">
      <w:pPr>
        <w:pStyle w:val="libFootnote0"/>
        <w:rPr>
          <w:rtl/>
          <w:lang w:bidi="fa-IR"/>
        </w:rPr>
      </w:pPr>
      <w:r>
        <w:rPr>
          <w:rtl/>
        </w:rPr>
        <w:t>(10).</w:t>
      </w:r>
      <w:r w:rsidRPr="00132E65">
        <w:rPr>
          <w:rtl/>
        </w:rPr>
        <w:t xml:space="preserve"> في المحاسن والغيبة : « فتاهت »</w:t>
      </w:r>
      <w:r>
        <w:rPr>
          <w:rtl/>
        </w:rPr>
        <w:t>.</w:t>
      </w:r>
      <w:r w:rsidRPr="00132E65">
        <w:rPr>
          <w:rtl/>
        </w:rPr>
        <w:t xml:space="preserve"> </w:t>
      </w:r>
      <w:r>
        <w:rPr>
          <w:rtl/>
        </w:rPr>
        <w:t>و «</w:t>
      </w:r>
      <w:r w:rsidRPr="00132E65">
        <w:rPr>
          <w:rtl/>
        </w:rPr>
        <w:t xml:space="preserve"> هجمت » أي دخلت بلا رويّة.</w:t>
      </w:r>
    </w:p>
    <w:p w:rsidR="000C39D1" w:rsidRPr="00132E65" w:rsidRDefault="000C39D1" w:rsidP="000C39D1">
      <w:pPr>
        <w:pStyle w:val="libFootnote0"/>
        <w:rPr>
          <w:rtl/>
          <w:lang w:bidi="fa-IR"/>
        </w:rPr>
      </w:pPr>
      <w:r>
        <w:rPr>
          <w:rtl/>
        </w:rPr>
        <w:t>(11).</w:t>
      </w:r>
      <w:r w:rsidRPr="00132E65">
        <w:rPr>
          <w:rtl/>
        </w:rPr>
        <w:t xml:space="preserve"> في الغيبة :</w:t>
      </w:r>
      <w:r>
        <w:rPr>
          <w:rtl/>
        </w:rPr>
        <w:t xml:space="preserve"> + </w:t>
      </w:r>
      <w:r w:rsidRPr="00132E65">
        <w:rPr>
          <w:rtl/>
        </w:rPr>
        <w:t>« وحارت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اللَّيْلُ ، بَصُرَتْ بِقَطِيعٍ مَعَ </w:t>
      </w:r>
      <w:r>
        <w:rPr>
          <w:rStyle w:val="libFootnotenumChar"/>
          <w:rtl/>
        </w:rPr>
        <w:t>(1)</w:t>
      </w:r>
      <w:r w:rsidRPr="00132E65">
        <w:rPr>
          <w:rtl/>
          <w:lang w:bidi="fa-IR"/>
        </w:rPr>
        <w:t xml:space="preserve"> غَيْرِ رَاعِيهَا </w:t>
      </w:r>
      <w:r>
        <w:rPr>
          <w:rStyle w:val="libFootnotenumChar"/>
          <w:rtl/>
        </w:rPr>
        <w:t>(2)</w:t>
      </w:r>
      <w:r w:rsidRPr="00132E65">
        <w:rPr>
          <w:rtl/>
          <w:lang w:bidi="fa-IR"/>
        </w:rPr>
        <w:t xml:space="preserve"> ، فَحَنَّتْ إِلَيْهَا </w:t>
      </w:r>
      <w:r>
        <w:rPr>
          <w:rStyle w:val="libFootnotenumChar"/>
          <w:rtl/>
        </w:rPr>
        <w:t>(3)</w:t>
      </w:r>
      <w:r w:rsidRPr="00132E65">
        <w:rPr>
          <w:rtl/>
          <w:lang w:bidi="fa-IR"/>
        </w:rPr>
        <w:t xml:space="preserve"> واغْتَرَّتْ بِهَا </w:t>
      </w:r>
      <w:r>
        <w:rPr>
          <w:rStyle w:val="libFootnotenumChar"/>
          <w:rtl/>
        </w:rPr>
        <w:t>(4)</w:t>
      </w:r>
      <w:r w:rsidRPr="00132E65">
        <w:rPr>
          <w:rtl/>
          <w:lang w:bidi="fa-IR"/>
        </w:rPr>
        <w:t xml:space="preserve"> ، فَبَاتَتْ مَعَهَا فِي رَبَضَتِهَا </w:t>
      </w:r>
      <w:r>
        <w:rPr>
          <w:rStyle w:val="libFootnotenumChar"/>
          <w:rtl/>
        </w:rPr>
        <w:t>(5)</w:t>
      </w:r>
      <w:r w:rsidRPr="00132E65">
        <w:rPr>
          <w:rtl/>
          <w:lang w:bidi="fa-IR"/>
        </w:rPr>
        <w:t xml:space="preserve"> ، فَلَمَّا أَنْ سَاقَ </w:t>
      </w:r>
      <w:r>
        <w:rPr>
          <w:rStyle w:val="libFootnotenumChar"/>
          <w:rtl/>
        </w:rPr>
        <w:t>(6)</w:t>
      </w:r>
      <w:r w:rsidRPr="00132E65">
        <w:rPr>
          <w:rtl/>
          <w:lang w:bidi="fa-IR"/>
        </w:rPr>
        <w:t xml:space="preserve"> الرَّاعِي قَطِيعَهُ ، أَنْكَرَتْ رَاعِيَهَا وقَطِيعَهَا ، فَهَجَمَتْ مُتَحَيِّرَةً تَطْلُبُ رَاعِيَهَا وقَطِيعَهَا ، فَبَصُرَتْ بِغَنَمٍ مَعَ رَاعِيهَا ، فَحَنَّتْ إِلَيْهَا واغْتَرَّتْ بِهَا ، فَصَاحَ بِهَا الرَّاعِي : الْحَقِي بِرَاعِيكِ وقَطِيعِكِ ؛ فَإِنَّكِ </w:t>
      </w:r>
      <w:r>
        <w:rPr>
          <w:rStyle w:val="libFootnotenumChar"/>
          <w:rtl/>
        </w:rPr>
        <w:t>(7)</w:t>
      </w:r>
      <w:r w:rsidRPr="00132E65">
        <w:rPr>
          <w:rtl/>
          <w:lang w:bidi="fa-IR"/>
        </w:rPr>
        <w:t xml:space="preserve"> تَائِهَةٌ مُتَحَيِّرَةٌ عَنْ رَاعِيكِ وقَطِيعِكِ ، فَهَجَمَتْ ذَعِرَةً </w:t>
      </w:r>
      <w:r>
        <w:rPr>
          <w:rStyle w:val="libFootnotenumChar"/>
          <w:rtl/>
        </w:rPr>
        <w:t>(8)</w:t>
      </w:r>
      <w:r w:rsidRPr="00132E65">
        <w:rPr>
          <w:rtl/>
          <w:lang w:bidi="fa-IR"/>
        </w:rPr>
        <w:t xml:space="preserve"> مُتَحَيِّرَةً نَادَّةً </w:t>
      </w:r>
      <w:r>
        <w:rPr>
          <w:rStyle w:val="libFootnotenumChar"/>
          <w:rtl/>
        </w:rPr>
        <w:t>(9)</w:t>
      </w:r>
      <w:r w:rsidRPr="00132E65">
        <w:rPr>
          <w:rtl/>
          <w:lang w:bidi="fa-IR"/>
        </w:rPr>
        <w:t xml:space="preserve"> ، لَا</w:t>
      </w:r>
      <w:r w:rsidR="00CB527C">
        <w:rPr>
          <w:rFonts w:hint="cs"/>
          <w:rtl/>
          <w:lang w:bidi="fa-IR"/>
        </w:rPr>
        <w:t xml:space="preserve"> </w:t>
      </w:r>
      <w:r w:rsidRPr="00132E65">
        <w:rPr>
          <w:rtl/>
          <w:lang w:bidi="fa-IR"/>
        </w:rPr>
        <w:t xml:space="preserve">رَاعِيَ لَهَا يُرْشِدُهَا إِلى مَرْعَاهَا ، أَوْ يَرُدُّهَا ، فَبَيْنَا </w:t>
      </w:r>
      <w:r>
        <w:rPr>
          <w:rStyle w:val="libFootnotenumChar"/>
          <w:rtl/>
        </w:rPr>
        <w:t>(10)</w:t>
      </w:r>
      <w:r w:rsidRPr="00132E65">
        <w:rPr>
          <w:rtl/>
          <w:lang w:bidi="fa-IR"/>
        </w:rPr>
        <w:t xml:space="preserve"> هِيَ كَذلِكَ إِذَا </w:t>
      </w:r>
      <w:r>
        <w:rPr>
          <w:rStyle w:val="libFootnotenumChar"/>
          <w:rtl/>
        </w:rPr>
        <w:t>(11)</w:t>
      </w:r>
      <w:r w:rsidRPr="00132E65">
        <w:rPr>
          <w:rtl/>
          <w:lang w:bidi="fa-IR"/>
        </w:rPr>
        <w:t xml:space="preserve"> اغْتَنَمَ الذِّئْبُ ضَيْعَتَهَا </w:t>
      </w:r>
      <w:r>
        <w:rPr>
          <w:rStyle w:val="libFootnotenumChar"/>
          <w:rtl/>
        </w:rPr>
        <w:t>(12)</w:t>
      </w:r>
      <w:r w:rsidRPr="00132E65">
        <w:rPr>
          <w:rtl/>
          <w:lang w:bidi="fa-IR"/>
        </w:rPr>
        <w:t xml:space="preserve"> ، فَأَكَلَهَا.</w:t>
      </w:r>
    </w:p>
    <w:p w:rsidR="000C39D1" w:rsidRPr="00132E65" w:rsidRDefault="000C39D1" w:rsidP="00CB527C">
      <w:pPr>
        <w:pStyle w:val="libNormal"/>
        <w:rPr>
          <w:rtl/>
          <w:lang w:bidi="fa-IR"/>
        </w:rPr>
      </w:pPr>
      <w:r w:rsidRPr="00132E65">
        <w:rPr>
          <w:rtl/>
          <w:lang w:bidi="fa-IR"/>
        </w:rPr>
        <w:t>وَكَذلِكَ</w:t>
      </w:r>
      <w:r>
        <w:rPr>
          <w:rtl/>
          <w:lang w:bidi="fa-IR"/>
        </w:rPr>
        <w:t xml:space="preserve"> - </w:t>
      </w:r>
      <w:r w:rsidRPr="00132E65">
        <w:rPr>
          <w:rtl/>
          <w:lang w:bidi="fa-IR"/>
        </w:rPr>
        <w:t>و</w:t>
      </w:r>
      <w:r w:rsidR="00CB527C">
        <w:rPr>
          <w:rFonts w:hint="cs"/>
          <w:rtl/>
          <w:lang w:bidi="fa-IR"/>
        </w:rPr>
        <w:t>َ</w:t>
      </w:r>
      <w:r w:rsidRPr="00132E65">
        <w:rPr>
          <w:rtl/>
          <w:lang w:bidi="fa-IR"/>
        </w:rPr>
        <w:t>اللهِ يَا مُحَمَّدُ</w:t>
      </w:r>
      <w:r>
        <w:rPr>
          <w:rtl/>
          <w:lang w:bidi="fa-IR"/>
        </w:rPr>
        <w:t xml:space="preserve"> - </w:t>
      </w:r>
      <w:r w:rsidRPr="00132E65">
        <w:rPr>
          <w:rtl/>
          <w:lang w:bidi="fa-IR"/>
        </w:rPr>
        <w:t>مَنْ أَصْبَحَ مِنْ هذِهِ الْأُمَّةِ لَا</w:t>
      </w:r>
      <w:r>
        <w:rPr>
          <w:rFonts w:hint="cs"/>
          <w:rtl/>
          <w:lang w:bidi="fa-IR"/>
        </w:rPr>
        <w:t xml:space="preserve"> </w:t>
      </w:r>
      <w:r w:rsidRPr="00132E65">
        <w:rPr>
          <w:rtl/>
          <w:lang w:bidi="fa-IR"/>
        </w:rPr>
        <w:t>إِمَامَ لَهُ مِنَ اللهِ</w:t>
      </w:r>
      <w:r>
        <w:rPr>
          <w:rtl/>
          <w:lang w:bidi="fa-IR"/>
        </w:rPr>
        <w:t xml:space="preserve"> - </w:t>
      </w:r>
      <w:r w:rsidRPr="00132E65">
        <w:rPr>
          <w:rtl/>
          <w:lang w:bidi="fa-IR"/>
        </w:rPr>
        <w:t>جَلَّ وعَزَّ</w:t>
      </w:r>
      <w:r>
        <w:rPr>
          <w:rtl/>
          <w:lang w:bidi="fa-IR"/>
        </w:rPr>
        <w:t xml:space="preserve"> - </w:t>
      </w:r>
      <w:r w:rsidRPr="00132E65">
        <w:rPr>
          <w:rtl/>
          <w:lang w:bidi="fa-IR"/>
        </w:rPr>
        <w:t xml:space="preserve">ظَاهِراً </w:t>
      </w:r>
      <w:r w:rsidRPr="00F543F1">
        <w:rPr>
          <w:rStyle w:val="libFootnotenumChar"/>
          <w:rtl/>
        </w:rPr>
        <w:t>(13)</w:t>
      </w:r>
      <w:r w:rsidRPr="00132E65">
        <w:rPr>
          <w:rtl/>
          <w:lang w:bidi="fa-IR"/>
        </w:rPr>
        <w:t xml:space="preserve"> عَادِلاً ، أَصْبَحَ ضَالًّا تَائِهاً ، وإِنْ مَاتَ عَلى هذِهِ‌</w:t>
      </w:r>
      <w:r w:rsidR="00CB527C">
        <w:rPr>
          <w:rFonts w:hint="cs"/>
          <w:rtl/>
          <w:lang w:bidi="fa-IR"/>
        </w:rPr>
        <w:t>...............................</w:t>
      </w:r>
      <w:r w:rsidR="00CB527C">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بر ، بف » وشرح المازندراني : « من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CB527C">
        <w:rPr>
          <w:rtl/>
        </w:rPr>
        <w:t>الكافي</w:t>
      </w:r>
      <w:r w:rsidRPr="00132E65">
        <w:rPr>
          <w:rtl/>
        </w:rPr>
        <w:t xml:space="preserve"> ، ح 476 والمحاسن والغيبة : « بقطيع غنم مع راعيها » بدل « بقطيع مع غير راعيها »</w:t>
      </w:r>
      <w:r>
        <w:rPr>
          <w:rtl/>
        </w:rPr>
        <w:t>.</w:t>
      </w:r>
    </w:p>
    <w:p w:rsidR="000C39D1" w:rsidRPr="00132E65" w:rsidRDefault="000C39D1" w:rsidP="000C39D1">
      <w:pPr>
        <w:pStyle w:val="libFootnote0"/>
        <w:rPr>
          <w:rtl/>
          <w:lang w:bidi="fa-IR"/>
        </w:rPr>
      </w:pPr>
      <w:r>
        <w:rPr>
          <w:rtl/>
        </w:rPr>
        <w:t>(3).</w:t>
      </w:r>
      <w:r w:rsidRPr="00132E65">
        <w:rPr>
          <w:rtl/>
        </w:rPr>
        <w:t xml:space="preserve"> « فَحَنَّتْ إليها » أي اشتاقت ؛ من الحنين بمعنى الشوق وتَوَقان النفس. راجع : </w:t>
      </w:r>
      <w:r w:rsidRPr="00CB527C">
        <w:rPr>
          <w:rStyle w:val="libFootnoteBoldChar"/>
          <w:rtl/>
        </w:rPr>
        <w:t>الصحاح</w:t>
      </w:r>
      <w:r w:rsidR="00D14011">
        <w:rPr>
          <w:rtl/>
        </w:rPr>
        <w:t xml:space="preserve"> ، ج 5 ، ص 2104 ( حنن</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 اغترّت بها » ، أي غفلت بها عن طلب راعيها ؛ من الغِرَّة بمعنى الغفلة ، أو خُدِعَتْ بها ، يقال : اغترّ بالشي‌ء ، أي خُدِعَ به. راجع : </w:t>
      </w:r>
      <w:r w:rsidRPr="00CB527C">
        <w:rPr>
          <w:rStyle w:val="libFootnoteBoldChar"/>
          <w:rtl/>
        </w:rPr>
        <w:t>الصحاح</w:t>
      </w:r>
      <w:r w:rsidRPr="00132E65">
        <w:rPr>
          <w:rtl/>
        </w:rPr>
        <w:t xml:space="preserve"> ، ج 2 ، ص 768 ( غرر )</w:t>
      </w:r>
      <w:r>
        <w:rPr>
          <w:rtl/>
        </w:rPr>
        <w:t>.</w:t>
      </w:r>
    </w:p>
    <w:p w:rsidR="000C39D1" w:rsidRPr="00132E65" w:rsidRDefault="000C39D1" w:rsidP="000C39D1">
      <w:pPr>
        <w:pStyle w:val="libFootnote0"/>
        <w:rPr>
          <w:rtl/>
          <w:lang w:bidi="fa-IR"/>
        </w:rPr>
      </w:pPr>
      <w:r>
        <w:rPr>
          <w:rtl/>
        </w:rPr>
        <w:t>(5).</w:t>
      </w:r>
      <w:r w:rsidRPr="00132E65">
        <w:rPr>
          <w:rtl/>
        </w:rPr>
        <w:t xml:space="preserve"> في حاشية « ج » : « ربضها »</w:t>
      </w:r>
      <w:r>
        <w:rPr>
          <w:rtl/>
        </w:rPr>
        <w:t>.</w:t>
      </w:r>
      <w:r w:rsidRPr="00132E65">
        <w:rPr>
          <w:rtl/>
        </w:rPr>
        <w:t xml:space="preserve"> وفي </w:t>
      </w:r>
      <w:r w:rsidRPr="00CB527C">
        <w:rPr>
          <w:rtl/>
        </w:rPr>
        <w:t>الكافي</w:t>
      </w:r>
      <w:r w:rsidRPr="00132E65">
        <w:rPr>
          <w:rtl/>
        </w:rPr>
        <w:t xml:space="preserve"> ، ح 476 ، </w:t>
      </w:r>
      <w:r w:rsidRPr="00CB527C">
        <w:rPr>
          <w:rtl/>
        </w:rPr>
        <w:t>والوافي</w:t>
      </w:r>
      <w:r w:rsidRPr="00132E65">
        <w:rPr>
          <w:rtl/>
        </w:rPr>
        <w:t xml:space="preserve"> : « مربضها »</w:t>
      </w:r>
      <w:r>
        <w:rPr>
          <w:rtl/>
        </w:rPr>
        <w:t>.</w:t>
      </w:r>
      <w:r w:rsidRPr="00132E65">
        <w:rPr>
          <w:rtl/>
        </w:rPr>
        <w:t xml:space="preserve"> </w:t>
      </w:r>
      <w:r>
        <w:rPr>
          <w:rtl/>
        </w:rPr>
        <w:t>و «</w:t>
      </w:r>
      <w:r w:rsidRPr="00132E65">
        <w:rPr>
          <w:rtl/>
        </w:rPr>
        <w:t xml:space="preserve"> الرَبَضُ » : موضع الغنم ومأواها</w:t>
      </w:r>
      <w:r>
        <w:rPr>
          <w:rFonts w:hint="cs"/>
          <w:rtl/>
        </w:rPr>
        <w:t xml:space="preserve"> </w:t>
      </w:r>
      <w:r w:rsidRPr="00132E65">
        <w:rPr>
          <w:rtl/>
        </w:rPr>
        <w:t xml:space="preserve">الذي تَرْبِضُ وتقيم فيه. راجع : </w:t>
      </w:r>
      <w:r w:rsidRPr="00CB527C">
        <w:rPr>
          <w:rStyle w:val="libFootnoteBoldChar"/>
          <w:rtl/>
        </w:rPr>
        <w:t>النهاية</w:t>
      </w:r>
      <w:r w:rsidRPr="00132E65">
        <w:rPr>
          <w:rtl/>
        </w:rPr>
        <w:t xml:space="preserve"> ، ج 2 ، ص 185 ( ربض )</w:t>
      </w:r>
      <w:r>
        <w:rPr>
          <w:rtl/>
        </w:rPr>
        <w:t>.</w:t>
      </w:r>
    </w:p>
    <w:p w:rsidR="000C39D1" w:rsidRPr="00132E65" w:rsidRDefault="000C39D1" w:rsidP="000C39D1">
      <w:pPr>
        <w:pStyle w:val="libFootnote0"/>
        <w:rPr>
          <w:rtl/>
          <w:lang w:bidi="fa-IR"/>
        </w:rPr>
      </w:pPr>
      <w:r>
        <w:rPr>
          <w:rtl/>
        </w:rPr>
        <w:t>(6).</w:t>
      </w:r>
      <w:r w:rsidRPr="00132E65">
        <w:rPr>
          <w:rtl/>
        </w:rPr>
        <w:t xml:space="preserve"> في الغيبة : « فلمّا أصبحت وساق » بدل « فلمّا أن ساق »</w:t>
      </w:r>
      <w:r>
        <w:rPr>
          <w:rtl/>
        </w:rPr>
        <w:t>.</w:t>
      </w:r>
    </w:p>
    <w:p w:rsidR="000C39D1" w:rsidRPr="00132E65" w:rsidRDefault="000C39D1" w:rsidP="000C39D1">
      <w:pPr>
        <w:pStyle w:val="libFootnote0"/>
        <w:rPr>
          <w:rtl/>
          <w:lang w:bidi="fa-IR"/>
        </w:rPr>
      </w:pPr>
      <w:r>
        <w:rPr>
          <w:rtl/>
        </w:rPr>
        <w:t>(7).</w:t>
      </w:r>
      <w:r w:rsidRPr="00132E65">
        <w:rPr>
          <w:rtl/>
        </w:rPr>
        <w:t xml:space="preserve"> في حاشية « بح » </w:t>
      </w:r>
      <w:r w:rsidRPr="00CB527C">
        <w:rPr>
          <w:rtl/>
        </w:rPr>
        <w:t>والكافي</w:t>
      </w:r>
      <w:r w:rsidRPr="00132E65">
        <w:rPr>
          <w:rtl/>
        </w:rPr>
        <w:t xml:space="preserve"> ، ح 476 : « فأنت »</w:t>
      </w:r>
      <w:r>
        <w:rPr>
          <w:rtl/>
        </w:rPr>
        <w:t>.</w:t>
      </w:r>
    </w:p>
    <w:p w:rsidR="000C39D1" w:rsidRPr="00132E65" w:rsidRDefault="000C39D1" w:rsidP="000C39D1">
      <w:pPr>
        <w:pStyle w:val="libFootnote0"/>
        <w:rPr>
          <w:rtl/>
          <w:lang w:bidi="fa-IR"/>
        </w:rPr>
      </w:pPr>
      <w:r>
        <w:rPr>
          <w:rtl/>
        </w:rPr>
        <w:t>(8).</w:t>
      </w:r>
      <w:r w:rsidRPr="00132E65">
        <w:rPr>
          <w:rtl/>
        </w:rPr>
        <w:t xml:space="preserve"> « ذعرة » ، أي خائفاً ؛ من الزعر بمعنى الخوف والفزع. راجع : </w:t>
      </w:r>
      <w:r w:rsidRPr="009D1ACE">
        <w:rPr>
          <w:rStyle w:val="libFootnoteBoldChar"/>
          <w:rtl/>
        </w:rPr>
        <w:t>لسان العرب</w:t>
      </w:r>
      <w:r w:rsidRPr="00132E65">
        <w:rPr>
          <w:rtl/>
        </w:rPr>
        <w:t xml:space="preserve"> ، ج 4 ، ص 306 ( ذعر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476 والغيبة : « تائهة »</w:t>
      </w:r>
      <w:r>
        <w:rPr>
          <w:rtl/>
        </w:rPr>
        <w:t>.</w:t>
      </w:r>
      <w:r w:rsidRPr="00132E65">
        <w:rPr>
          <w:rtl/>
        </w:rPr>
        <w:t xml:space="preserve"> وفي المحاسن </w:t>
      </w:r>
      <w:r>
        <w:rPr>
          <w:rtl/>
        </w:rPr>
        <w:t xml:space="preserve">: - </w:t>
      </w:r>
      <w:r w:rsidRPr="00132E65">
        <w:rPr>
          <w:rtl/>
        </w:rPr>
        <w:t>« نادّة »</w:t>
      </w:r>
      <w:r>
        <w:rPr>
          <w:rtl/>
        </w:rPr>
        <w:t>.</w:t>
      </w:r>
      <w:r w:rsidRPr="00132E65">
        <w:rPr>
          <w:rtl/>
        </w:rPr>
        <w:t xml:space="preserve"> </w:t>
      </w:r>
      <w:r>
        <w:rPr>
          <w:rtl/>
        </w:rPr>
        <w:t>و «</w:t>
      </w:r>
      <w:r w:rsidRPr="00132E65">
        <w:rPr>
          <w:rtl/>
        </w:rPr>
        <w:t xml:space="preserve"> نادّة » ، أي شاردة نافرة. يقال : ندّ البعير ، أي نفر وذهب على وجهه شارداً. راجع : </w:t>
      </w:r>
      <w:r w:rsidRPr="00CF3215">
        <w:rPr>
          <w:rtl/>
        </w:rPr>
        <w:t>الصحاح</w:t>
      </w:r>
      <w:r w:rsidRPr="00132E65">
        <w:rPr>
          <w:rtl/>
        </w:rPr>
        <w:t xml:space="preserve"> ، ج 2 ، ص 543 ( ندد )</w:t>
      </w:r>
      <w:r>
        <w:rPr>
          <w:rtl/>
        </w:rPr>
        <w:t>.</w:t>
      </w:r>
    </w:p>
    <w:tbl>
      <w:tblPr>
        <w:tblStyle w:val="TableGrid"/>
        <w:bidiVisual/>
        <w:tblW w:w="0" w:type="auto"/>
        <w:tblLook w:val="04A0" w:firstRow="1" w:lastRow="0" w:firstColumn="1" w:lastColumn="0" w:noHBand="0" w:noVBand="1"/>
      </w:tblPr>
      <w:tblGrid>
        <w:gridCol w:w="4006"/>
        <w:gridCol w:w="4006"/>
      </w:tblGrid>
      <w:tr w:rsidR="00CB527C" w:rsidTr="00CB527C">
        <w:tc>
          <w:tcPr>
            <w:tcW w:w="4006" w:type="dxa"/>
          </w:tcPr>
          <w:p w:rsidR="00CB527C" w:rsidRDefault="00CB527C" w:rsidP="000C39D1">
            <w:pPr>
              <w:pStyle w:val="libFootnote0"/>
              <w:rPr>
                <w:rtl/>
              </w:rPr>
            </w:pPr>
            <w:r>
              <w:rPr>
                <w:rtl/>
              </w:rPr>
              <w:t>(10).</w:t>
            </w:r>
            <w:r w:rsidRPr="00132E65">
              <w:rPr>
                <w:rtl/>
              </w:rPr>
              <w:t xml:space="preserve"> في « ف » والغيبة للنعماني : « فبينما »</w:t>
            </w:r>
            <w:r>
              <w:rPr>
                <w:rtl/>
              </w:rPr>
              <w:t>.</w:t>
            </w:r>
          </w:p>
        </w:tc>
        <w:tc>
          <w:tcPr>
            <w:tcW w:w="4006" w:type="dxa"/>
          </w:tcPr>
          <w:p w:rsidR="00CB527C" w:rsidRDefault="00CB527C" w:rsidP="000C39D1">
            <w:pPr>
              <w:pStyle w:val="libFootnote0"/>
              <w:rPr>
                <w:rtl/>
              </w:rPr>
            </w:pPr>
            <w:r>
              <w:rPr>
                <w:rtl/>
              </w:rPr>
              <w:t>(11).</w:t>
            </w:r>
            <w:r w:rsidRPr="00132E65">
              <w:rPr>
                <w:rtl/>
              </w:rPr>
              <w:t xml:space="preserve"> في </w:t>
            </w:r>
            <w:r w:rsidRPr="009D1ACE">
              <w:rPr>
                <w:rStyle w:val="libFootnoteBoldChar"/>
                <w:rtl/>
              </w:rPr>
              <w:t>الوافي</w:t>
            </w:r>
            <w:r w:rsidRPr="00132E65">
              <w:rPr>
                <w:rtl/>
              </w:rPr>
              <w:t xml:space="preserve"> : « إذ »</w:t>
            </w:r>
            <w:r>
              <w:rPr>
                <w:rtl/>
              </w:rPr>
              <w:t>.</w:t>
            </w:r>
          </w:p>
        </w:tc>
      </w:tr>
    </w:tbl>
    <w:p w:rsidR="000C39D1" w:rsidRPr="00132E65" w:rsidRDefault="000C39D1" w:rsidP="000C39D1">
      <w:pPr>
        <w:pStyle w:val="libFootnote0"/>
        <w:rPr>
          <w:rtl/>
          <w:lang w:bidi="fa-IR"/>
        </w:rPr>
      </w:pPr>
      <w:r>
        <w:rPr>
          <w:rtl/>
        </w:rPr>
        <w:t>(12).</w:t>
      </w:r>
      <w:r w:rsidRPr="00132E65">
        <w:rPr>
          <w:rtl/>
        </w:rPr>
        <w:t xml:space="preserve"> في « ف » : « ضيّعتها »</w:t>
      </w:r>
      <w:r>
        <w:rPr>
          <w:rtl/>
        </w:rPr>
        <w:t>.</w:t>
      </w:r>
      <w:r w:rsidRPr="00132E65">
        <w:rPr>
          <w:rtl/>
        </w:rPr>
        <w:t xml:space="preserve"> وقوله : « ضَيْعَتها » ، أي هلاكها. يقال : ضاع الشي‌ء يضيع ضيعَةً وضِياعاً ، أي هلك. راجع : </w:t>
      </w:r>
      <w:r w:rsidRPr="00CB527C">
        <w:rPr>
          <w:rStyle w:val="libFootnoteBoldChar"/>
          <w:rtl/>
        </w:rPr>
        <w:t>الصحاح</w:t>
      </w:r>
      <w:r w:rsidRPr="00132E65">
        <w:rPr>
          <w:rtl/>
        </w:rPr>
        <w:t xml:space="preserve"> ، ج 3 ، ص 1252 ( ضيع )</w:t>
      </w:r>
      <w:r>
        <w:rPr>
          <w:rtl/>
        </w:rPr>
        <w:t>.</w:t>
      </w:r>
    </w:p>
    <w:p w:rsidR="000C39D1" w:rsidRPr="00132E65" w:rsidRDefault="000C39D1" w:rsidP="000C39D1">
      <w:pPr>
        <w:pStyle w:val="libFootnote0"/>
        <w:rPr>
          <w:rtl/>
          <w:lang w:bidi="fa-IR"/>
        </w:rPr>
      </w:pPr>
      <w:r>
        <w:rPr>
          <w:rtl/>
        </w:rPr>
        <w:t>(13)</w:t>
      </w:r>
      <w:r w:rsidRPr="00132E65">
        <w:rPr>
          <w:rtl/>
        </w:rPr>
        <w:t xml:space="preserve"> « ظاهراً » ، أي البيّن إمامته بنصّ صريح جليّ من الله ورسوله ، لا الظاهر بين الناس ليرد النقض بالصاحب </w:t>
      </w:r>
      <w:r w:rsidRPr="00CB527C">
        <w:rPr>
          <w:rStyle w:val="libFootnoteAlaemChar"/>
          <w:rtl/>
        </w:rPr>
        <w:t>عليه‌السلام</w:t>
      </w:r>
      <w:r w:rsidRPr="00132E65">
        <w:rPr>
          <w:rtl/>
        </w:rPr>
        <w:t xml:space="preserve">. راجع : </w:t>
      </w:r>
      <w:r w:rsidRPr="00CB527C">
        <w:rPr>
          <w:rStyle w:val="libFootnoteBoldChar"/>
          <w:rtl/>
        </w:rPr>
        <w:t>شرح المازندراني</w:t>
      </w:r>
      <w:r w:rsidRPr="00132E65">
        <w:rPr>
          <w:rtl/>
        </w:rPr>
        <w:t xml:space="preserve"> ، ج 6 ، ص 331 ؛ </w:t>
      </w:r>
      <w:r w:rsidRPr="009D1ACE">
        <w:rPr>
          <w:rStyle w:val="libFootnoteBoldChar"/>
          <w:rtl/>
        </w:rPr>
        <w:t>مرآة العقول</w:t>
      </w:r>
      <w:r w:rsidRPr="00132E65">
        <w:rPr>
          <w:rtl/>
        </w:rPr>
        <w:t xml:space="preserve"> ، ج 4 ، ص 214.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الْحَالِ </w:t>
      </w:r>
      <w:r>
        <w:rPr>
          <w:rStyle w:val="libFootnotenumChar"/>
          <w:rtl/>
        </w:rPr>
        <w:t>(1)</w:t>
      </w:r>
      <w:r w:rsidRPr="00132E65">
        <w:rPr>
          <w:rtl/>
          <w:lang w:bidi="fa-IR"/>
        </w:rPr>
        <w:t xml:space="preserve"> ، مَاتَ مِيتَةَ كُفْرٍ ونِفَاقٍ.</w:t>
      </w:r>
    </w:p>
    <w:p w:rsidR="000C39D1" w:rsidRPr="00132E65" w:rsidRDefault="000C39D1" w:rsidP="00CB527C">
      <w:pPr>
        <w:pStyle w:val="libNormal"/>
        <w:rPr>
          <w:rtl/>
          <w:lang w:bidi="fa-IR"/>
        </w:rPr>
      </w:pPr>
      <w:r w:rsidRPr="00132E65">
        <w:rPr>
          <w:rtl/>
          <w:lang w:bidi="fa-IR"/>
        </w:rPr>
        <w:t>وَاعْلَمْ يَا مُحَمَّدُ ، أَنَّ أَئِمَّةَ الْجَوْرِ وأَتْبَاعَهُمْ لَمَعْزُولُونَ عَنْ دِينِ اللهِ ، قَدْ ضَلُّوا وَأَضَلُّوا ، فَأَعْمَالُهُمُ الَّتِي يَعْمَلُونَهَا</w:t>
      </w:r>
      <w:r>
        <w:rPr>
          <w:rFonts w:hint="cs"/>
          <w:rtl/>
          <w:lang w:bidi="fa-IR"/>
        </w:rPr>
        <w:t xml:space="preserve"> </w:t>
      </w:r>
      <w:r w:rsidRPr="00071CF9">
        <w:rPr>
          <w:rStyle w:val="libAlaemChar"/>
          <w:rtl/>
        </w:rPr>
        <w:t>(</w:t>
      </w:r>
      <w:r w:rsidRPr="00071CF9">
        <w:rPr>
          <w:rStyle w:val="libAieChar"/>
          <w:rtl/>
        </w:rPr>
        <w:t xml:space="preserve"> كَرَمادٍ اشْتَدَّتْ بِهِ الرِّيحُ فِي يَوْمٍ عاصِفٍ </w:t>
      </w:r>
      <w:r w:rsidRPr="00132E65">
        <w:rPr>
          <w:rtl/>
          <w:lang w:bidi="fa-IR"/>
        </w:rPr>
        <w:t xml:space="preserve"> </w:t>
      </w:r>
      <w:r>
        <w:rPr>
          <w:rStyle w:val="libFootnotenumChar"/>
          <w:rtl/>
        </w:rPr>
        <w:t>(2)</w:t>
      </w:r>
      <w:r w:rsidR="00CB527C">
        <w:rPr>
          <w:rFonts w:hint="cs"/>
          <w:rtl/>
          <w:lang w:bidi="fa-IR"/>
        </w:rPr>
        <w:t xml:space="preserve"> </w:t>
      </w:r>
      <w:r w:rsidRPr="00071CF9">
        <w:rPr>
          <w:rStyle w:val="libAieChar"/>
          <w:rtl/>
        </w:rPr>
        <w:t xml:space="preserve">لا يَقْدِرُونَ مِمّا كَسَبُوا عَلى شَيْ‌ءٍ ذلِكَ هُوَ الضَّلالُ الْبَعِيدُ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CF3215">
        <w:rPr>
          <w:rtl/>
        </w:rPr>
        <w:t>975</w:t>
      </w:r>
      <w:r w:rsidRPr="004325D8">
        <w:rPr>
          <w:rStyle w:val="libBold2Char"/>
          <w:rtl/>
        </w:rPr>
        <w:t xml:space="preserve"> / 3.</w:t>
      </w:r>
      <w:r w:rsidRPr="00132E65">
        <w:rPr>
          <w:rtl/>
          <w:lang w:bidi="fa-IR"/>
        </w:rPr>
        <w:t xml:space="preserve"> عِدَّةٌ مِنْ أَصْحَابِنَا ، عَنْ أَحْمَدَ بْنِ مُحَمَّدِ بْنِ عِيسى ، عَنِ ابْنِ مَحْبُوبٍ ، عَنْ عَبْدِ الْعَزِيزِ الْعَبْدِيِّ ، عَنْ عَبْدِ اللهِ بْنِ أَبِي يَعْفُورٍ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إِنِّي أُخَالِطُ النَّاسَ ، فَيَكْثُرُ عَجَبِي مِنْ أَقْوَامٍ لَايَتَوَلَّوْنَكُمْ ، وَيَتَوَلَّوْنَ فُلَاناً وفُلَاناً ، لَهُمْ أَمَانَةٌ وصِدْقٌ و</w:t>
      </w:r>
      <w:r w:rsidR="00CB527C">
        <w:rPr>
          <w:rFonts w:hint="cs"/>
          <w:rtl/>
          <w:lang w:bidi="fa-IR"/>
        </w:rPr>
        <w:t xml:space="preserve">َ </w:t>
      </w:r>
      <w:r w:rsidR="00CB527C">
        <w:rPr>
          <w:rtl/>
          <w:lang w:bidi="fa-IR"/>
        </w:rPr>
        <w:t>و</w:t>
      </w:r>
      <w:r w:rsidR="00CB527C">
        <w:rPr>
          <w:rFonts w:hint="cs"/>
          <w:rtl/>
          <w:lang w:bidi="fa-IR"/>
        </w:rPr>
        <w:t>َ</w:t>
      </w:r>
      <w:r w:rsidRPr="00132E65">
        <w:rPr>
          <w:rtl/>
          <w:lang w:bidi="fa-IR"/>
        </w:rPr>
        <w:t xml:space="preserve">فَاءٌ ، وأَقْوَامٍ يَتَوَلَّوْنَكُمْ ، لَيْسَ </w:t>
      </w:r>
      <w:r>
        <w:rPr>
          <w:rStyle w:val="libFootnotenumChar"/>
          <w:rtl/>
        </w:rPr>
        <w:t>(5)</w:t>
      </w:r>
      <w:r w:rsidRPr="00132E65">
        <w:rPr>
          <w:rtl/>
          <w:lang w:bidi="fa-IR"/>
        </w:rPr>
        <w:t xml:space="preserve"> لَهُمْ تِلْكَ الْأَمَانَةُ ولَا</w:t>
      </w:r>
      <w:r>
        <w:rPr>
          <w:rFonts w:hint="cs"/>
          <w:rtl/>
          <w:lang w:bidi="fa-IR"/>
        </w:rPr>
        <w:t xml:space="preserve"> </w:t>
      </w:r>
      <w:r w:rsidRPr="00132E65">
        <w:rPr>
          <w:rtl/>
          <w:lang w:bidi="fa-IR"/>
        </w:rPr>
        <w:t>الْوَفَاءُ و</w:t>
      </w:r>
      <w:r w:rsidR="00CB527C">
        <w:rPr>
          <w:rFonts w:hint="cs"/>
          <w:rtl/>
          <w:lang w:bidi="fa-IR"/>
        </w:rPr>
        <w:t>َ</w:t>
      </w:r>
      <w:r w:rsidRPr="00132E65">
        <w:rPr>
          <w:rtl/>
          <w:lang w:bidi="fa-IR"/>
        </w:rPr>
        <w:t xml:space="preserve">الصِّدْقُ </w:t>
      </w:r>
      <w:r>
        <w:rPr>
          <w:rStyle w:val="libFootnotenumChar"/>
          <w:rtl/>
        </w:rPr>
        <w:t>(6)</w:t>
      </w:r>
      <w:r>
        <w:rPr>
          <w:rtl/>
          <w:lang w:bidi="fa-IR"/>
        </w:rPr>
        <w:t>؟</w:t>
      </w:r>
    </w:p>
    <w:p w:rsidR="000C39D1" w:rsidRPr="00132E65" w:rsidRDefault="000C39D1" w:rsidP="000C39D1">
      <w:pPr>
        <w:pStyle w:val="libNormal"/>
        <w:rPr>
          <w:rtl/>
          <w:lang w:bidi="fa-IR"/>
        </w:rPr>
      </w:pPr>
      <w:r w:rsidRPr="00132E65">
        <w:rPr>
          <w:rtl/>
          <w:lang w:bidi="fa-IR"/>
        </w:rPr>
        <w:t xml:space="preserve">قَالَ : فَاسْتَوى أَبُو عَبْدِ اللهِ </w:t>
      </w:r>
      <w:r w:rsidRPr="00071CF9">
        <w:rPr>
          <w:rStyle w:val="libAlaemChar"/>
          <w:rtl/>
        </w:rPr>
        <w:t>عليه‌السلام</w:t>
      </w:r>
      <w:r w:rsidRPr="00132E65">
        <w:rPr>
          <w:rtl/>
          <w:lang w:bidi="fa-IR"/>
        </w:rPr>
        <w:t xml:space="preserve"> جَالِساً ، فَأَقْبَلَ عَلَيَّ كَالْغَضْبَانِ </w:t>
      </w:r>
      <w:r>
        <w:rPr>
          <w:rStyle w:val="libFootnotenumChar"/>
          <w:rtl/>
        </w:rPr>
        <w:t>(7)</w:t>
      </w:r>
      <w:r w:rsidRPr="00132E65">
        <w:rPr>
          <w:rtl/>
          <w:lang w:bidi="fa-IR"/>
        </w:rPr>
        <w:t xml:space="preserve"> ، ثُمَّ قَالَ : « لَا دِينَ لِمَنْ دَانَ اللهَ </w:t>
      </w:r>
      <w:r>
        <w:rPr>
          <w:rStyle w:val="libFootnotenumChar"/>
          <w:rtl/>
        </w:rPr>
        <w:t>(8)</w:t>
      </w:r>
      <w:r w:rsidRPr="00132E65">
        <w:rPr>
          <w:rtl/>
          <w:lang w:bidi="fa-IR"/>
        </w:rPr>
        <w:t xml:space="preserve"> بِوَلَايَةِ إِمَامٍ جَائِرٍ لَيْسَ مِنَ اللهِ ، و</w:t>
      </w:r>
      <w:r w:rsidR="00386191">
        <w:rPr>
          <w:rFonts w:hint="cs"/>
          <w:rtl/>
          <w:lang w:bidi="fa-IR"/>
        </w:rPr>
        <w:t>َ</w:t>
      </w:r>
      <w:r w:rsidRPr="00132E65">
        <w:rPr>
          <w:rtl/>
          <w:lang w:bidi="fa-IR"/>
        </w:rPr>
        <w:t xml:space="preserve">لَاعَتْبَ </w:t>
      </w:r>
      <w:r>
        <w:rPr>
          <w:rStyle w:val="libFootnotenumChar"/>
          <w:rtl/>
        </w:rPr>
        <w:t>(9)</w:t>
      </w:r>
      <w:r w:rsidRPr="00132E65">
        <w:rPr>
          <w:rtl/>
          <w:lang w:bidi="fa-IR"/>
        </w:rPr>
        <w:t xml:space="preserve"> عَلى مَنْ دَانَ </w:t>
      </w:r>
      <w:r>
        <w:rPr>
          <w:rStyle w:val="libFootnotenumChar"/>
          <w:rtl/>
        </w:rPr>
        <w:t>(10)</w:t>
      </w:r>
      <w:r w:rsidRPr="00132E65">
        <w:rPr>
          <w:rtl/>
          <w:lang w:bidi="fa-IR"/>
        </w:rPr>
        <w:t xml:space="preserve"> بِوَلَايَةِ إِمَامٍ عَادِلٍ مِنَ اللهِ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w:t>
      </w:r>
      <w:r w:rsidRPr="00386191">
        <w:rPr>
          <w:rtl/>
        </w:rPr>
        <w:t>والكافي</w:t>
      </w:r>
      <w:r w:rsidRPr="00132E65">
        <w:rPr>
          <w:rtl/>
        </w:rPr>
        <w:t xml:space="preserve"> ، ح 476 : « الحالة »</w:t>
      </w:r>
      <w:r>
        <w:rPr>
          <w:rtl/>
        </w:rPr>
        <w:t>.</w:t>
      </w:r>
    </w:p>
    <w:p w:rsidR="000C39D1" w:rsidRPr="00132E65" w:rsidRDefault="000C39D1" w:rsidP="000C39D1">
      <w:pPr>
        <w:pStyle w:val="libFootnote0"/>
        <w:rPr>
          <w:rtl/>
          <w:lang w:bidi="fa-IR"/>
        </w:rPr>
      </w:pPr>
      <w:r>
        <w:rPr>
          <w:rtl/>
        </w:rPr>
        <w:t>(2).</w:t>
      </w:r>
      <w:r w:rsidRPr="00132E65">
        <w:rPr>
          <w:rtl/>
        </w:rPr>
        <w:t xml:space="preserve"> قال الجوهري : يومٌ عاصفٌ ، أي تَعْصِفُ وتشتدّ فيه الريح. وهو فاعل بمعنى مفعول فيه ، مثل قولهم : ليلٌ نائمٌ</w:t>
      </w:r>
      <w:r w:rsidR="00386191">
        <w:rPr>
          <w:rFonts w:hint="cs"/>
          <w:rtl/>
        </w:rPr>
        <w:t xml:space="preserve"> </w:t>
      </w:r>
      <w:r w:rsidRPr="00132E65">
        <w:rPr>
          <w:rtl/>
        </w:rPr>
        <w:t xml:space="preserve">‌وهَمٌّ ناصبٌ. </w:t>
      </w:r>
      <w:r w:rsidRPr="00386191">
        <w:rPr>
          <w:rStyle w:val="libFootnoteBoldChar"/>
          <w:rtl/>
        </w:rPr>
        <w:t>الصحاح</w:t>
      </w:r>
      <w:r w:rsidRPr="00132E65">
        <w:rPr>
          <w:rtl/>
        </w:rPr>
        <w:t xml:space="preserve"> ، ج 4 ، ص 1404 ( عصف )</w:t>
      </w:r>
      <w:r>
        <w:rPr>
          <w:rtl/>
        </w:rPr>
        <w:t>.</w:t>
      </w:r>
    </w:p>
    <w:p w:rsidR="000C39D1" w:rsidRPr="00132E65" w:rsidRDefault="000C39D1" w:rsidP="000C39D1">
      <w:pPr>
        <w:pStyle w:val="libFootnote0"/>
        <w:rPr>
          <w:rtl/>
          <w:lang w:bidi="fa-IR"/>
        </w:rPr>
      </w:pPr>
      <w:r>
        <w:rPr>
          <w:rtl/>
        </w:rPr>
        <w:t>(3).</w:t>
      </w:r>
      <w:r w:rsidRPr="00132E65">
        <w:rPr>
          <w:rtl/>
        </w:rPr>
        <w:t xml:space="preserve"> إبراهيم (14) : 18.</w:t>
      </w:r>
    </w:p>
    <w:p w:rsidR="000C39D1" w:rsidRPr="00132E65" w:rsidRDefault="000C39D1" w:rsidP="00386191">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الحجّة ، باب معرفة الإمام والردّ إليه ، ح 476. وفي </w:t>
      </w:r>
      <w:r w:rsidRPr="00386191">
        <w:rPr>
          <w:rStyle w:val="libFootnoteBoldChar"/>
          <w:rtl/>
        </w:rPr>
        <w:t>المحاسن</w:t>
      </w:r>
      <w:r w:rsidRPr="00132E65">
        <w:rPr>
          <w:rtl/>
        </w:rPr>
        <w:t xml:space="preserve"> ، ص 92</w:t>
      </w:r>
      <w:r>
        <w:rPr>
          <w:rtl/>
        </w:rPr>
        <w:t xml:space="preserve"> - </w:t>
      </w:r>
      <w:r w:rsidRPr="00132E65">
        <w:rPr>
          <w:rtl/>
        </w:rPr>
        <w:t xml:space="preserve">93 ، كتاب عقاب الأعمال ، ح 47 </w:t>
      </w:r>
      <w:r>
        <w:rPr>
          <w:rtl/>
        </w:rPr>
        <w:t>و 4</w:t>
      </w:r>
      <w:r w:rsidRPr="00132E65">
        <w:rPr>
          <w:rtl/>
        </w:rPr>
        <w:t xml:space="preserve">8 ، بسنده عن العلاء بن رزين ؛ </w:t>
      </w:r>
      <w:r w:rsidRPr="00386191">
        <w:rPr>
          <w:rStyle w:val="libFootnoteBoldChar"/>
          <w:rtl/>
        </w:rPr>
        <w:t>الغيبة للنعماني</w:t>
      </w:r>
      <w:r w:rsidRPr="00132E65">
        <w:rPr>
          <w:rtl/>
        </w:rPr>
        <w:t xml:space="preserve"> ، ص 127 ، ح 2 ، بأسانيد مختلفة عن محمّد بن مسلم </w:t>
      </w:r>
      <w:r w:rsidR="00386191">
        <w:rPr>
          <w:rFonts w:hint="cs"/>
          <w:rtl/>
        </w:rPr>
        <w:t>.</w:t>
      </w:r>
      <w:r w:rsidRPr="009D1ACE">
        <w:rPr>
          <w:rStyle w:val="libFootnoteBoldChar"/>
          <w:rtl/>
        </w:rPr>
        <w:t>الوافي</w:t>
      </w:r>
      <w:r w:rsidRPr="00132E65">
        <w:rPr>
          <w:rtl/>
        </w:rPr>
        <w:t xml:space="preserve"> ، ج 2 ، ص 118 ، ح 580 ؛ </w:t>
      </w:r>
      <w:r w:rsidRPr="00386191">
        <w:rPr>
          <w:rStyle w:val="libFootnoteBoldChar"/>
          <w:rtl/>
        </w:rPr>
        <w:t>الوسائل</w:t>
      </w:r>
      <w:r w:rsidRPr="00132E65">
        <w:rPr>
          <w:rtl/>
        </w:rPr>
        <w:t xml:space="preserve"> ، ج 1 ، ص 118 ، ح 297 ؛ وج 28 ، ص 350 ، ذيل ح 34940.</w:t>
      </w:r>
      <w:r w:rsidR="00386191">
        <w:rPr>
          <w:rFonts w:hint="cs"/>
          <w:rtl/>
        </w:rPr>
        <w:t xml:space="preserve">                      </w:t>
      </w:r>
      <w:r w:rsidR="00D14011">
        <w:rPr>
          <w:rFonts w:hint="cs"/>
          <w:rtl/>
        </w:rPr>
        <w:t xml:space="preserve">                     </w:t>
      </w:r>
      <w:r w:rsidR="00386191">
        <w:rPr>
          <w:rFonts w:hint="cs"/>
          <w:rtl/>
        </w:rPr>
        <w:t xml:space="preserve">      </w:t>
      </w:r>
      <w:r>
        <w:rPr>
          <w:rtl/>
        </w:rPr>
        <w:t>(5).</w:t>
      </w:r>
      <w:r w:rsidRPr="00132E65">
        <w:rPr>
          <w:rtl/>
        </w:rPr>
        <w:t xml:space="preserve"> في « ف » : « ليست »</w:t>
      </w:r>
      <w:r>
        <w:rPr>
          <w:rtl/>
        </w:rPr>
        <w:t>.</w:t>
      </w:r>
    </w:p>
    <w:tbl>
      <w:tblPr>
        <w:tblStyle w:val="TableGrid"/>
        <w:bidiVisual/>
        <w:tblW w:w="0" w:type="auto"/>
        <w:tblLook w:val="04A0" w:firstRow="1" w:lastRow="0" w:firstColumn="1" w:lastColumn="0" w:noHBand="0" w:noVBand="1"/>
      </w:tblPr>
      <w:tblGrid>
        <w:gridCol w:w="4006"/>
        <w:gridCol w:w="4006"/>
      </w:tblGrid>
      <w:tr w:rsidR="00386191" w:rsidTr="00386191">
        <w:tc>
          <w:tcPr>
            <w:tcW w:w="4006" w:type="dxa"/>
          </w:tcPr>
          <w:p w:rsidR="00386191" w:rsidRDefault="00386191" w:rsidP="000C39D1">
            <w:pPr>
              <w:pStyle w:val="libFootnote0"/>
              <w:rPr>
                <w:rtl/>
              </w:rPr>
            </w:pPr>
            <w:r>
              <w:rPr>
                <w:rtl/>
              </w:rPr>
              <w:t>(6).</w:t>
            </w:r>
            <w:r w:rsidRPr="00132E65">
              <w:rPr>
                <w:rtl/>
              </w:rPr>
              <w:t xml:space="preserve"> في الغيبة : « ولا الصدق »</w:t>
            </w:r>
            <w:r>
              <w:rPr>
                <w:rtl/>
              </w:rPr>
              <w:t>.</w:t>
            </w:r>
          </w:p>
        </w:tc>
        <w:tc>
          <w:tcPr>
            <w:tcW w:w="4006" w:type="dxa"/>
          </w:tcPr>
          <w:p w:rsidR="00386191" w:rsidRDefault="00386191" w:rsidP="000C39D1">
            <w:pPr>
              <w:pStyle w:val="libFootnote0"/>
              <w:rPr>
                <w:rtl/>
              </w:rPr>
            </w:pPr>
            <w:r>
              <w:rPr>
                <w:rtl/>
              </w:rPr>
              <w:t>(7).</w:t>
            </w:r>
            <w:r w:rsidRPr="00132E65">
              <w:rPr>
                <w:rtl/>
              </w:rPr>
              <w:t xml:space="preserve"> في الغيبة : « كالمغضب »</w:t>
            </w:r>
            <w:r>
              <w:rPr>
                <w:rtl/>
              </w:rPr>
              <w:t>.</w:t>
            </w:r>
          </w:p>
        </w:tc>
      </w:tr>
    </w:tbl>
    <w:p w:rsidR="000C39D1" w:rsidRPr="00132E65" w:rsidRDefault="000C39D1" w:rsidP="000C39D1">
      <w:pPr>
        <w:pStyle w:val="libFootnote0"/>
        <w:rPr>
          <w:rtl/>
          <w:lang w:bidi="fa-IR"/>
        </w:rPr>
      </w:pPr>
      <w:r>
        <w:rPr>
          <w:rtl/>
        </w:rPr>
        <w:t>(8).</w:t>
      </w:r>
      <w:r w:rsidRPr="00132E65">
        <w:rPr>
          <w:rtl/>
        </w:rPr>
        <w:t xml:space="preserve"> في الغيبة </w:t>
      </w:r>
      <w:r>
        <w:rPr>
          <w:rtl/>
        </w:rPr>
        <w:t xml:space="preserve">: - </w:t>
      </w:r>
      <w:r w:rsidRPr="00132E65">
        <w:rPr>
          <w:rtl/>
        </w:rPr>
        <w:t>« الله »</w:t>
      </w:r>
      <w:r>
        <w:rPr>
          <w:rtl/>
        </w:rPr>
        <w:t>.</w:t>
      </w:r>
    </w:p>
    <w:p w:rsidR="000C39D1" w:rsidRPr="00132E65" w:rsidRDefault="000C39D1" w:rsidP="00386191">
      <w:pPr>
        <w:pStyle w:val="libFootnote0"/>
        <w:rPr>
          <w:rtl/>
          <w:lang w:bidi="fa-IR"/>
        </w:rPr>
      </w:pPr>
      <w:r>
        <w:rPr>
          <w:rtl/>
        </w:rPr>
        <w:t>(9).</w:t>
      </w:r>
      <w:r w:rsidRPr="00132E65">
        <w:rPr>
          <w:rtl/>
        </w:rPr>
        <w:t xml:space="preserve"> « العَتْبُ » : ال</w:t>
      </w:r>
      <w:r w:rsidR="00386191">
        <w:rPr>
          <w:rtl/>
        </w:rPr>
        <w:t>م</w:t>
      </w:r>
      <w:r w:rsidR="00386191">
        <w:rPr>
          <w:rFonts w:hint="cs"/>
          <w:rtl/>
        </w:rPr>
        <w:t>ـَ</w:t>
      </w:r>
      <w:r w:rsidRPr="00132E65">
        <w:rPr>
          <w:rtl/>
        </w:rPr>
        <w:t xml:space="preserve">وْجِدَةُ ، أي الغضب والملامةُ. والعَتَبُ : الشدّةُ والأمر الكريه. </w:t>
      </w:r>
      <w:r w:rsidRPr="00386191">
        <w:rPr>
          <w:rStyle w:val="libFootnoteBoldChar"/>
          <w:rtl/>
        </w:rPr>
        <w:t>القاموس المحيط</w:t>
      </w:r>
      <w:r w:rsidRPr="00132E65">
        <w:rPr>
          <w:rtl/>
        </w:rPr>
        <w:t xml:space="preserve"> ، ج 1 ، ص 196 ( عتب )</w:t>
      </w:r>
      <w:r>
        <w:rPr>
          <w:rtl/>
        </w:rPr>
        <w:t>.</w:t>
      </w:r>
      <w:r w:rsidR="00386191">
        <w:rPr>
          <w:rFonts w:hint="cs"/>
          <w:rtl/>
        </w:rPr>
        <w:t xml:space="preserve">                                  </w:t>
      </w:r>
      <w:r w:rsidR="00D14011">
        <w:rPr>
          <w:rFonts w:hint="cs"/>
          <w:rtl/>
        </w:rPr>
        <w:t xml:space="preserve">         </w:t>
      </w:r>
      <w:r w:rsidR="00386191">
        <w:rPr>
          <w:rFonts w:hint="cs"/>
          <w:rtl/>
        </w:rPr>
        <w:t xml:space="preserve">       </w:t>
      </w:r>
      <w:r>
        <w:rPr>
          <w:rtl/>
        </w:rPr>
        <w:t>(10).</w:t>
      </w:r>
      <w:r w:rsidRPr="00132E65">
        <w:rPr>
          <w:rtl/>
        </w:rPr>
        <w:t xml:space="preserve"> في « بف » و</w:t>
      </w:r>
      <w:r w:rsidRPr="009D1ACE">
        <w:rPr>
          <w:rStyle w:val="libFootnoteBoldChar"/>
          <w:rtl/>
        </w:rPr>
        <w:t>الوافي</w:t>
      </w:r>
      <w:r w:rsidRPr="00132E65">
        <w:rPr>
          <w:rtl/>
        </w:rPr>
        <w:t xml:space="preserve"> :</w:t>
      </w:r>
      <w:r>
        <w:rPr>
          <w:rtl/>
        </w:rPr>
        <w:t xml:space="preserve"> + </w:t>
      </w:r>
      <w:r w:rsidRPr="00132E65">
        <w:rPr>
          <w:rtl/>
        </w:rPr>
        <w:t>« الله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 لَا </w:t>
      </w:r>
      <w:r>
        <w:rPr>
          <w:rStyle w:val="libFootnotenumChar"/>
          <w:rtl/>
        </w:rPr>
        <w:t>(1)</w:t>
      </w:r>
      <w:r w:rsidRPr="00132E65">
        <w:rPr>
          <w:rtl/>
          <w:lang w:bidi="fa-IR"/>
        </w:rPr>
        <w:t xml:space="preserve"> دِينَ لِأُولئِكَ ، ولَاعَتْبَ عَلى هؤُلَاءِ</w:t>
      </w:r>
      <w:r>
        <w:rPr>
          <w:rtl/>
          <w:lang w:bidi="fa-IR"/>
        </w:rPr>
        <w:t>؟!</w:t>
      </w:r>
    </w:p>
    <w:p w:rsidR="000C39D1" w:rsidRPr="00132E65" w:rsidRDefault="000C39D1" w:rsidP="00D14011">
      <w:pPr>
        <w:pStyle w:val="libNormal"/>
        <w:rPr>
          <w:rtl/>
          <w:lang w:bidi="fa-IR"/>
        </w:rPr>
      </w:pPr>
      <w:r w:rsidRPr="00132E65">
        <w:rPr>
          <w:rtl/>
          <w:lang w:bidi="fa-IR"/>
        </w:rPr>
        <w:t xml:space="preserve">قَالَ : « نَعَمْ ، لَادِينَ لِأُولئِكَ ، ولَاعَتْبَ عَلى </w:t>
      </w:r>
      <w:r>
        <w:rPr>
          <w:rtl/>
          <w:lang w:bidi="fa-IR"/>
        </w:rPr>
        <w:t>هؤُلَاءِ » ثُمَّ قَالَ : « أَ</w:t>
      </w:r>
      <w:r w:rsidRPr="00132E65">
        <w:rPr>
          <w:rtl/>
          <w:lang w:bidi="fa-IR"/>
        </w:rPr>
        <w:t xml:space="preserve">لَا </w:t>
      </w:r>
      <w:r>
        <w:rPr>
          <w:rStyle w:val="libFootnotenumChar"/>
          <w:rtl/>
        </w:rPr>
        <w:t>(2)</w:t>
      </w:r>
      <w:r w:rsidRPr="00132E65">
        <w:rPr>
          <w:rtl/>
          <w:lang w:bidi="fa-IR"/>
        </w:rPr>
        <w:t xml:space="preserve"> تَسْمَعُ لِقَوْلِ اللهِ عَزَّ وجَلَّ : </w:t>
      </w:r>
      <w:r w:rsidRPr="00071CF9">
        <w:rPr>
          <w:rStyle w:val="libAlaemChar"/>
          <w:rtl/>
        </w:rPr>
        <w:t>(</w:t>
      </w:r>
      <w:r w:rsidRPr="00071CF9">
        <w:rPr>
          <w:rStyle w:val="libAieChar"/>
          <w:rtl/>
        </w:rPr>
        <w:t xml:space="preserve"> اللهُ وَلِيُّ الَّذِينَ آمَنُوا يُخْرِجُهُمْ مِنَ الظُّلُماتِ إِلَى النُّورِ </w:t>
      </w:r>
      <w:r w:rsidRPr="00071CF9">
        <w:rPr>
          <w:rStyle w:val="libAlaemChar"/>
          <w:rtl/>
        </w:rPr>
        <w:t>)</w:t>
      </w:r>
      <w:r w:rsidRPr="00132E65">
        <w:rPr>
          <w:rtl/>
          <w:lang w:bidi="fa-IR"/>
        </w:rPr>
        <w:t xml:space="preserve"> يَعْنِي </w:t>
      </w:r>
      <w:r>
        <w:rPr>
          <w:rStyle w:val="libFootnotenumChar"/>
          <w:rtl/>
        </w:rPr>
        <w:t>(3)</w:t>
      </w:r>
      <w:r w:rsidRPr="00132E65">
        <w:rPr>
          <w:rtl/>
          <w:lang w:bidi="fa-IR"/>
        </w:rPr>
        <w:t xml:space="preserve"> ظُلُمَاتِ الذُّنُوبِ </w:t>
      </w:r>
      <w:r>
        <w:rPr>
          <w:rStyle w:val="libFootnotenumChar"/>
          <w:rtl/>
        </w:rPr>
        <w:t>(4)</w:t>
      </w:r>
      <w:r w:rsidRPr="00132E65">
        <w:rPr>
          <w:rtl/>
          <w:lang w:bidi="fa-IR"/>
        </w:rPr>
        <w:t xml:space="preserve"> إِلى نُورِ التَّوْبَةِ والْمَغْفِرَةِ ؛ لِوَلَايَتِهِمْ كُلَّ إِمَامٍ عَادِلٍ مِنَ اللهِ ، وقَالَ </w:t>
      </w:r>
      <w:r>
        <w:rPr>
          <w:rStyle w:val="libFootnotenumChar"/>
          <w:rtl/>
        </w:rPr>
        <w:t>(5)</w:t>
      </w:r>
      <w:r w:rsidRPr="00132E65">
        <w:rPr>
          <w:rtl/>
          <w:lang w:bidi="fa-IR"/>
        </w:rPr>
        <w:t xml:space="preserve"> : </w:t>
      </w:r>
      <w:r w:rsidRPr="00071CF9">
        <w:rPr>
          <w:rStyle w:val="libAlaemChar"/>
          <w:rtl/>
        </w:rPr>
        <w:t>(</w:t>
      </w:r>
      <w:r w:rsidRPr="00071CF9">
        <w:rPr>
          <w:rStyle w:val="libAieChar"/>
          <w:rtl/>
        </w:rPr>
        <w:t xml:space="preserve"> وَالَّذِينَ كَفَرُوا</w:t>
      </w:r>
      <w:r w:rsidRPr="00071CF9">
        <w:rPr>
          <w:rStyle w:val="libAieChar"/>
          <w:rFonts w:hint="cs"/>
          <w:rtl/>
        </w:rPr>
        <w:t xml:space="preserve"> </w:t>
      </w:r>
      <w:r w:rsidRPr="00071CF9">
        <w:rPr>
          <w:rStyle w:val="libAieChar"/>
          <w:rtl/>
        </w:rPr>
        <w:t xml:space="preserve">أَوْلِياؤُهُمُ الطّاغُوتُ يُخْرِجُونَهُمْ مِنَ النُّورِ إِلَى الظُّلُماتِ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إِنَّمَا عَنى </w:t>
      </w:r>
      <w:r>
        <w:rPr>
          <w:rStyle w:val="libFootnotenumChar"/>
          <w:rtl/>
        </w:rPr>
        <w:t>(7)</w:t>
      </w:r>
      <w:r w:rsidRPr="00132E65">
        <w:rPr>
          <w:rtl/>
          <w:lang w:bidi="fa-IR"/>
        </w:rPr>
        <w:t xml:space="preserve"> بِهذَا أَنَّهُمْ كَانُوا عَلى نُورِ الْإِسْلَامِ ، فَلَمَّا أَنْ تَوَلَّوْا كُلَّ إِمَامٍ جَائِرٍ لَيْسَ </w:t>
      </w:r>
      <w:r>
        <w:rPr>
          <w:rStyle w:val="libFootnotenumChar"/>
          <w:rtl/>
        </w:rPr>
        <w:t>(8)</w:t>
      </w:r>
      <w:r w:rsidRPr="00132E65">
        <w:rPr>
          <w:rtl/>
          <w:lang w:bidi="fa-IR"/>
        </w:rPr>
        <w:t xml:space="preserve"> مِنَ اللهِ</w:t>
      </w:r>
      <w:r>
        <w:rPr>
          <w:rtl/>
          <w:lang w:bidi="fa-IR"/>
        </w:rPr>
        <w:t xml:space="preserve"> - </w:t>
      </w:r>
      <w:r w:rsidRPr="00132E65">
        <w:rPr>
          <w:rtl/>
          <w:lang w:bidi="fa-IR"/>
        </w:rPr>
        <w:t>عَزَّ وجَلَّ</w:t>
      </w:r>
      <w:r>
        <w:rPr>
          <w:rtl/>
          <w:lang w:bidi="fa-IR"/>
        </w:rPr>
        <w:t xml:space="preserve"> - </w:t>
      </w:r>
      <w:r w:rsidRPr="00132E65">
        <w:rPr>
          <w:rtl/>
          <w:lang w:bidi="fa-IR"/>
        </w:rPr>
        <w:t xml:space="preserve">خَرَجُوا بِوَلَايَتِهِمْ إِيَّاهُ </w:t>
      </w:r>
      <w:r>
        <w:rPr>
          <w:rStyle w:val="libFootnotenumChar"/>
          <w:rtl/>
        </w:rPr>
        <w:t>(9)</w:t>
      </w:r>
      <w:r w:rsidRPr="00132E65">
        <w:rPr>
          <w:rtl/>
          <w:lang w:bidi="fa-IR"/>
        </w:rPr>
        <w:t xml:space="preserve"> مِنْ نُورِ الْإِسْلَامِ إِلى ظُلُمَاتِ الْكُفْرِ ، فَأَوْجَبَ اللهُ لَهُمُ النَّارَ مَعَ الْكُفَّارِ </w:t>
      </w:r>
      <w:r>
        <w:rPr>
          <w:rStyle w:val="libFootnotenumChar"/>
          <w:rtl/>
        </w:rPr>
        <w:t>(10)</w:t>
      </w:r>
      <w:r w:rsidRPr="00132E65">
        <w:rPr>
          <w:rtl/>
          <w:lang w:bidi="fa-IR"/>
        </w:rPr>
        <w:t xml:space="preserve"> ف</w:t>
      </w:r>
      <w:r w:rsidR="00D14011">
        <w:rPr>
          <w:rFonts w:hint="cs"/>
          <w:rtl/>
          <w:lang w:bidi="fa-IR"/>
        </w:rPr>
        <w:t>ـ</w:t>
      </w:r>
      <w:r>
        <w:rPr>
          <w:rFonts w:hint="cs"/>
          <w:rtl/>
          <w:lang w:bidi="fa-IR"/>
        </w:rPr>
        <w:t xml:space="preserve"> </w:t>
      </w:r>
      <w:r w:rsidRPr="00071CF9">
        <w:rPr>
          <w:rStyle w:val="libAlaemChar"/>
          <w:rtl/>
        </w:rPr>
        <w:t>(</w:t>
      </w:r>
      <w:r w:rsidRPr="00071CF9">
        <w:rPr>
          <w:rStyle w:val="libAieChar"/>
          <w:rtl/>
        </w:rPr>
        <w:t xml:space="preserve"> أُولئِكَ أَصْحابُ النّارِ هُمْ فِيها خالِدُونَ</w:t>
      </w:r>
      <w:r w:rsidRPr="00071CF9">
        <w:rPr>
          <w:rStyle w:val="libAlaemChar"/>
          <w:rtl/>
        </w:rPr>
        <w:t>)</w:t>
      </w:r>
      <w:r>
        <w:rPr>
          <w:rStyle w:val="libFootnotenumChar"/>
          <w:rtl/>
        </w:rPr>
        <w:t>(11)</w:t>
      </w:r>
      <w:r w:rsidRPr="00132E65">
        <w:rPr>
          <w:rtl/>
          <w:lang w:bidi="fa-IR"/>
        </w:rPr>
        <w:t>»</w:t>
      </w:r>
      <w:r>
        <w:rPr>
          <w:rtl/>
          <w:lang w:bidi="fa-IR"/>
        </w:rPr>
        <w:t>.</w:t>
      </w:r>
      <w:r>
        <w:rPr>
          <w:rStyle w:val="libFootnotenumChar"/>
          <w:rtl/>
        </w:rPr>
        <w:t>(12)</w:t>
      </w:r>
      <w:r w:rsidRPr="00132E65">
        <w:rPr>
          <w:rtl/>
          <w:lang w:bidi="fa-IR"/>
        </w:rPr>
        <w:t>‌</w:t>
      </w:r>
    </w:p>
    <w:p w:rsidR="000C39D1" w:rsidRPr="00132E65" w:rsidRDefault="000C39D1" w:rsidP="000C39D1">
      <w:pPr>
        <w:pStyle w:val="libNormal"/>
        <w:rPr>
          <w:rtl/>
          <w:lang w:bidi="fa-IR"/>
        </w:rPr>
      </w:pPr>
      <w:r w:rsidRPr="00CF3215">
        <w:rPr>
          <w:rtl/>
        </w:rPr>
        <w:t>976</w:t>
      </w:r>
      <w:r w:rsidRPr="004325D8">
        <w:rPr>
          <w:rStyle w:val="libBold2Char"/>
          <w:rtl/>
        </w:rPr>
        <w:t xml:space="preserve"> / 4.</w:t>
      </w:r>
      <w:r w:rsidRPr="00132E65">
        <w:rPr>
          <w:rtl/>
          <w:lang w:bidi="fa-IR"/>
        </w:rPr>
        <w:t xml:space="preserve"> وعَنْهُ </w:t>
      </w:r>
      <w:r w:rsidRPr="00F543F1">
        <w:rPr>
          <w:rStyle w:val="libFootnotenumChar"/>
          <w:rtl/>
        </w:rPr>
        <w:t>(13)</w:t>
      </w:r>
      <w:r w:rsidRPr="00132E65">
        <w:rPr>
          <w:rtl/>
          <w:lang w:bidi="fa-IR"/>
        </w:rPr>
        <w:t xml:space="preserve"> ، عَنْ هِشَامِ بْنِ سَالِمٍ ، عَنْ حَبِيبٍ السِّجِسْتَانِيِّ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اللهُ تَبَارَكَ وتَعَالى : لَأُعَذِّبَنَّ كُلَّ رَعِيَّةٍ فِي الْإِسْلَامِ دَانَتْ بِوَلَايَةِ كُلِّ إِمَامٍ جَائِرٍ لَيْسَ مِنَ اللهِ ، وإِنْ كَانَتِ الرَّعِيَّةُ فِي أَعْمَالِهَا </w:t>
      </w:r>
      <w:r w:rsidRPr="00F543F1">
        <w:rPr>
          <w:rStyle w:val="libFootnotenumChar"/>
          <w:rtl/>
        </w:rPr>
        <w:t>(14)</w:t>
      </w:r>
      <w:r w:rsidRPr="00132E65">
        <w:rPr>
          <w:rtl/>
          <w:lang w:bidi="fa-IR"/>
        </w:rPr>
        <w:t xml:space="preserve"> بَرَّةً تَقِيَّةً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60D1F" w:rsidTr="00B60D1F">
        <w:tc>
          <w:tcPr>
            <w:tcW w:w="4006" w:type="dxa"/>
          </w:tcPr>
          <w:p w:rsidR="00B60D1F" w:rsidRDefault="00B60D1F" w:rsidP="000C39D1">
            <w:pPr>
              <w:pStyle w:val="libFootnote0"/>
              <w:rPr>
                <w:rtl/>
              </w:rPr>
            </w:pPr>
            <w:r>
              <w:rPr>
                <w:rtl/>
              </w:rPr>
              <w:t>(1).</w:t>
            </w:r>
            <w:r w:rsidRPr="00132E65">
              <w:rPr>
                <w:rtl/>
              </w:rPr>
              <w:t xml:space="preserve"> في « ف » : « فلا »</w:t>
            </w:r>
            <w:r>
              <w:rPr>
                <w:rtl/>
              </w:rPr>
              <w:t>.</w:t>
            </w:r>
          </w:p>
        </w:tc>
        <w:tc>
          <w:tcPr>
            <w:tcW w:w="4006" w:type="dxa"/>
          </w:tcPr>
          <w:p w:rsidR="00B60D1F" w:rsidRDefault="00B60D1F" w:rsidP="000C39D1">
            <w:pPr>
              <w:pStyle w:val="libFootnote0"/>
              <w:rPr>
                <w:rtl/>
              </w:rPr>
            </w:pPr>
            <w:r>
              <w:rPr>
                <w:rtl/>
              </w:rPr>
              <w:t>(2).</w:t>
            </w:r>
            <w:r w:rsidRPr="00132E65">
              <w:rPr>
                <w:rtl/>
              </w:rPr>
              <w:t xml:space="preserve"> في الغيبة : « أما »</w:t>
            </w:r>
            <w:r>
              <w:rPr>
                <w:rtl/>
              </w:rPr>
              <w:t>.</w:t>
            </w:r>
          </w:p>
        </w:tc>
      </w:tr>
    </w:tbl>
    <w:p w:rsidR="000C39D1" w:rsidRPr="00132E65" w:rsidRDefault="000C39D1" w:rsidP="000C39D1">
      <w:pPr>
        <w:pStyle w:val="libFootnote0"/>
        <w:rPr>
          <w:rtl/>
          <w:lang w:bidi="fa-IR"/>
        </w:rPr>
      </w:pPr>
      <w:r>
        <w:rPr>
          <w:rtl/>
        </w:rPr>
        <w:t>(3).</w:t>
      </w:r>
      <w:r w:rsidRPr="00132E65">
        <w:rPr>
          <w:rtl/>
        </w:rPr>
        <w:t xml:space="preserve"> هكذا في النسخ التي قوبلت و</w:t>
      </w:r>
      <w:r w:rsidRPr="009D1ACE">
        <w:rPr>
          <w:rStyle w:val="libFootnoteBoldChar"/>
          <w:rtl/>
        </w:rPr>
        <w:t>الوافي</w:t>
      </w:r>
      <w:r w:rsidRPr="00132E65">
        <w:rPr>
          <w:rtl/>
        </w:rPr>
        <w:t xml:space="preserve"> </w:t>
      </w:r>
      <w:r w:rsidRPr="00B60D1F">
        <w:rPr>
          <w:rStyle w:val="libFootnoteBoldChar"/>
          <w:rtl/>
        </w:rPr>
        <w:t>والبحار</w:t>
      </w:r>
      <w:r w:rsidRPr="00132E65">
        <w:rPr>
          <w:rtl/>
        </w:rPr>
        <w:t>. وفي المطبوع :</w:t>
      </w:r>
      <w:r>
        <w:rPr>
          <w:rtl/>
        </w:rPr>
        <w:t xml:space="preserve"> + </w:t>
      </w:r>
      <w:r w:rsidRPr="00132E65">
        <w:rPr>
          <w:rtl/>
        </w:rPr>
        <w:t>« [ من ] »</w:t>
      </w:r>
      <w:r>
        <w:rPr>
          <w:rtl/>
        </w:rPr>
        <w:t>.</w:t>
      </w:r>
    </w:p>
    <w:tbl>
      <w:tblPr>
        <w:tblStyle w:val="TableGrid"/>
        <w:bidiVisual/>
        <w:tblW w:w="0" w:type="auto"/>
        <w:tblLook w:val="04A0" w:firstRow="1" w:lastRow="0" w:firstColumn="1" w:lastColumn="0" w:noHBand="0" w:noVBand="1"/>
      </w:tblPr>
      <w:tblGrid>
        <w:gridCol w:w="4006"/>
        <w:gridCol w:w="4006"/>
      </w:tblGrid>
      <w:tr w:rsidR="00B60D1F" w:rsidTr="00B60D1F">
        <w:tc>
          <w:tcPr>
            <w:tcW w:w="4006" w:type="dxa"/>
          </w:tcPr>
          <w:p w:rsidR="00B60D1F" w:rsidRDefault="00B60D1F" w:rsidP="000C39D1">
            <w:pPr>
              <w:pStyle w:val="libFootnote0"/>
              <w:rPr>
                <w:rtl/>
              </w:rPr>
            </w:pPr>
            <w:r>
              <w:rPr>
                <w:rtl/>
              </w:rPr>
              <w:t>(4).</w:t>
            </w:r>
            <w:r w:rsidRPr="00132E65">
              <w:rPr>
                <w:rtl/>
              </w:rPr>
              <w:t xml:space="preserve"> في البحار : « الكفر »</w:t>
            </w:r>
            <w:r>
              <w:rPr>
                <w:rtl/>
              </w:rPr>
              <w:t>.</w:t>
            </w:r>
          </w:p>
        </w:tc>
        <w:tc>
          <w:tcPr>
            <w:tcW w:w="4006" w:type="dxa"/>
          </w:tcPr>
          <w:p w:rsidR="00B60D1F" w:rsidRDefault="00B60D1F" w:rsidP="000C39D1">
            <w:pPr>
              <w:pStyle w:val="libFootnote0"/>
              <w:rPr>
                <w:rtl/>
              </w:rPr>
            </w:pPr>
            <w:r>
              <w:rPr>
                <w:rtl/>
              </w:rPr>
              <w:t>(5).</w:t>
            </w:r>
            <w:r w:rsidRPr="00132E65">
              <w:rPr>
                <w:rtl/>
              </w:rPr>
              <w:t xml:space="preserve"> في الغيبة : « ثمّ قال »</w:t>
            </w:r>
            <w:r>
              <w:rPr>
                <w:rtl/>
              </w:rPr>
              <w:t>.</w:t>
            </w:r>
          </w:p>
        </w:tc>
      </w:tr>
    </w:tbl>
    <w:p w:rsidR="000C39D1" w:rsidRPr="00132E65" w:rsidRDefault="000C39D1" w:rsidP="000C39D1">
      <w:pPr>
        <w:pStyle w:val="libFootnote0"/>
        <w:rPr>
          <w:rtl/>
          <w:lang w:bidi="fa-IR"/>
        </w:rPr>
      </w:pPr>
      <w:r>
        <w:rPr>
          <w:rtl/>
        </w:rPr>
        <w:t>(6).</w:t>
      </w:r>
      <w:r w:rsidRPr="00132E65">
        <w:rPr>
          <w:rtl/>
        </w:rPr>
        <w:t xml:space="preserve"> في الغيبة :</w:t>
      </w:r>
      <w:r>
        <w:rPr>
          <w:rtl/>
        </w:rPr>
        <w:t xml:space="preserve"> + </w:t>
      </w:r>
      <w:r w:rsidRPr="00132E65">
        <w:rPr>
          <w:rtl/>
        </w:rPr>
        <w:t>« فأيّ نور يكون للكافر فيخرج منه »</w:t>
      </w:r>
      <w:r>
        <w:rPr>
          <w:rtl/>
        </w:rPr>
        <w:t>.</w:t>
      </w:r>
    </w:p>
    <w:p w:rsidR="000C39D1" w:rsidRPr="00132E65" w:rsidRDefault="000C39D1" w:rsidP="000C39D1">
      <w:pPr>
        <w:pStyle w:val="libFootnote0"/>
        <w:rPr>
          <w:rtl/>
          <w:lang w:bidi="fa-IR"/>
        </w:rPr>
      </w:pPr>
      <w:r>
        <w:rPr>
          <w:rtl/>
        </w:rPr>
        <w:t>(7).</w:t>
      </w:r>
      <w:r w:rsidRPr="00132E65">
        <w:rPr>
          <w:rtl/>
        </w:rPr>
        <w:t xml:space="preserve"> في « ب » : « يعني »</w:t>
      </w:r>
      <w:r>
        <w:rPr>
          <w:rtl/>
        </w:rPr>
        <w:t>.</w:t>
      </w:r>
    </w:p>
    <w:p w:rsidR="000C39D1" w:rsidRPr="00132E65" w:rsidRDefault="000C39D1" w:rsidP="000C39D1">
      <w:pPr>
        <w:pStyle w:val="libFootnote0"/>
        <w:rPr>
          <w:rtl/>
          <w:lang w:bidi="fa-IR"/>
        </w:rPr>
      </w:pPr>
      <w:r>
        <w:rPr>
          <w:rtl/>
        </w:rPr>
        <w:t>(8).</w:t>
      </w:r>
      <w:r w:rsidRPr="00132E65">
        <w:rPr>
          <w:rtl/>
        </w:rPr>
        <w:t xml:space="preserve"> في حاشية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(9).</w:t>
      </w:r>
      <w:r w:rsidRPr="00132E65">
        <w:rPr>
          <w:rtl/>
        </w:rPr>
        <w:t xml:space="preserve"> في « ج ، ف ، بح ، بف » وشرح المازندراني و</w:t>
      </w:r>
      <w:r w:rsidRPr="009D1ACE">
        <w:rPr>
          <w:rStyle w:val="libFootnoteBoldChar"/>
          <w:rtl/>
        </w:rPr>
        <w:t>الوافي</w:t>
      </w:r>
      <w:r w:rsidRPr="00132E65">
        <w:rPr>
          <w:rtl/>
        </w:rPr>
        <w:t xml:space="preserve"> </w:t>
      </w:r>
      <w:r w:rsidRPr="00B60D1F">
        <w:rPr>
          <w:rStyle w:val="libFootnoteBoldChar"/>
          <w:rtl/>
        </w:rPr>
        <w:t>والبحار</w:t>
      </w:r>
      <w:r w:rsidRPr="00132E65">
        <w:rPr>
          <w:rtl/>
        </w:rPr>
        <w:t xml:space="preserve"> </w:t>
      </w:r>
      <w:r>
        <w:rPr>
          <w:rtl/>
        </w:rPr>
        <w:t xml:space="preserve">: - </w:t>
      </w:r>
      <w:r w:rsidRPr="00132E65">
        <w:rPr>
          <w:rtl/>
        </w:rPr>
        <w:t>« إيّاه »</w:t>
      </w:r>
      <w:r>
        <w:rPr>
          <w:rtl/>
        </w:rPr>
        <w:t>.</w:t>
      </w:r>
    </w:p>
    <w:tbl>
      <w:tblPr>
        <w:tblStyle w:val="TableGrid"/>
        <w:bidiVisual/>
        <w:tblW w:w="0" w:type="auto"/>
        <w:tblLook w:val="04A0" w:firstRow="1" w:lastRow="0" w:firstColumn="1" w:lastColumn="0" w:noHBand="0" w:noVBand="1"/>
      </w:tblPr>
      <w:tblGrid>
        <w:gridCol w:w="4006"/>
        <w:gridCol w:w="4006"/>
      </w:tblGrid>
      <w:tr w:rsidR="00B60D1F" w:rsidTr="00B60D1F">
        <w:tc>
          <w:tcPr>
            <w:tcW w:w="4006" w:type="dxa"/>
          </w:tcPr>
          <w:p w:rsidR="00B60D1F" w:rsidRDefault="00B60D1F" w:rsidP="000C39D1">
            <w:pPr>
              <w:pStyle w:val="libFootnote0"/>
              <w:rPr>
                <w:rtl/>
              </w:rPr>
            </w:pPr>
            <w:r>
              <w:rPr>
                <w:rtl/>
              </w:rPr>
              <w:t>(10).</w:t>
            </w:r>
            <w:r w:rsidRPr="00132E65">
              <w:rPr>
                <w:rtl/>
              </w:rPr>
              <w:t xml:space="preserve"> في « بف » : « الكفر »</w:t>
            </w:r>
            <w:r>
              <w:rPr>
                <w:rtl/>
              </w:rPr>
              <w:t>.</w:t>
            </w:r>
          </w:p>
        </w:tc>
        <w:tc>
          <w:tcPr>
            <w:tcW w:w="4006" w:type="dxa"/>
          </w:tcPr>
          <w:p w:rsidR="00B60D1F" w:rsidRDefault="00B60D1F" w:rsidP="000C39D1">
            <w:pPr>
              <w:pStyle w:val="libFootnote0"/>
              <w:rPr>
                <w:rtl/>
              </w:rPr>
            </w:pPr>
            <w:r>
              <w:rPr>
                <w:rtl/>
              </w:rPr>
              <w:t>(11).</w:t>
            </w:r>
            <w:r w:rsidRPr="00132E65">
              <w:rPr>
                <w:rtl/>
              </w:rPr>
              <w:t xml:space="preserve"> البقرة </w:t>
            </w:r>
            <w:r>
              <w:rPr>
                <w:rtl/>
              </w:rPr>
              <w:t>(2)</w:t>
            </w:r>
            <w:r w:rsidRPr="00132E65">
              <w:rPr>
                <w:rtl/>
              </w:rPr>
              <w:t xml:space="preserve"> : 257.</w:t>
            </w:r>
          </w:p>
        </w:tc>
      </w:tr>
    </w:tbl>
    <w:p w:rsidR="000C39D1" w:rsidRPr="00132E65" w:rsidRDefault="000C39D1" w:rsidP="00B60D1F">
      <w:pPr>
        <w:pStyle w:val="libFootnote0"/>
        <w:rPr>
          <w:rtl/>
          <w:lang w:bidi="fa-IR"/>
        </w:rPr>
      </w:pPr>
      <w:r>
        <w:rPr>
          <w:rtl/>
        </w:rPr>
        <w:t>(12).</w:t>
      </w:r>
      <w:r w:rsidRPr="00132E65">
        <w:rPr>
          <w:rtl/>
        </w:rPr>
        <w:t xml:space="preserve"> </w:t>
      </w:r>
      <w:r w:rsidRPr="00B60D1F">
        <w:rPr>
          <w:rStyle w:val="libFootnoteBoldChar"/>
          <w:rtl/>
        </w:rPr>
        <w:t>الغيبة للنعماني</w:t>
      </w:r>
      <w:r w:rsidRPr="00132E65">
        <w:rPr>
          <w:rtl/>
        </w:rPr>
        <w:t xml:space="preserve"> ، ص 132 ، ح 14 ، عن الكليني. </w:t>
      </w:r>
      <w:r w:rsidRPr="00B60D1F">
        <w:rPr>
          <w:rStyle w:val="libFootnoteBoldChar"/>
          <w:rtl/>
        </w:rPr>
        <w:t>تفسير العيّاشي</w:t>
      </w:r>
      <w:r w:rsidRPr="00132E65">
        <w:rPr>
          <w:rtl/>
        </w:rPr>
        <w:t xml:space="preserve"> ، ج 1 ، ص 138 ، ح 460 ، عن عبد الله بن أبي يعفور ، مع اختلاف يسير. وراجع : </w:t>
      </w:r>
      <w:r w:rsidRPr="00B60D1F">
        <w:rPr>
          <w:rStyle w:val="libFootnoteBoldChar"/>
          <w:rtl/>
        </w:rPr>
        <w:t>الزهد</w:t>
      </w:r>
      <w:r w:rsidRPr="00132E65">
        <w:rPr>
          <w:rtl/>
        </w:rPr>
        <w:t xml:space="preserve"> ، ص 79 ، ح 42 </w:t>
      </w:r>
      <w:r w:rsidR="00B60D1F">
        <w:rPr>
          <w:rFonts w:hint="cs"/>
          <w:rtl/>
        </w:rPr>
        <w:t>.</w:t>
      </w:r>
      <w:r w:rsidRPr="009D1ACE">
        <w:rPr>
          <w:rStyle w:val="libFootnoteBoldChar"/>
          <w:rtl/>
        </w:rPr>
        <w:t>الوافي</w:t>
      </w:r>
      <w:r w:rsidRPr="00132E65">
        <w:rPr>
          <w:rtl/>
        </w:rPr>
        <w:t xml:space="preserve"> ، ج 2 ، ص 120 ، ح 581 ؛ </w:t>
      </w:r>
      <w:r w:rsidRPr="00B60D1F">
        <w:rPr>
          <w:rStyle w:val="libFootnoteBoldChar"/>
          <w:rtl/>
        </w:rPr>
        <w:t>البحار</w:t>
      </w:r>
      <w:r w:rsidRPr="00132E65">
        <w:rPr>
          <w:rtl/>
        </w:rPr>
        <w:t xml:space="preserve"> ، ج 67 ، ص 23 وفيه من قوله : </w:t>
      </w:r>
      <w:r w:rsidR="00B60D1F" w:rsidRPr="00B60D1F">
        <w:rPr>
          <w:rStyle w:val="libFootnoteAlaemChar"/>
          <w:rFonts w:hint="cs"/>
          <w:rtl/>
        </w:rPr>
        <w:t>(</w:t>
      </w:r>
      <w:r w:rsidRPr="00B60D1F">
        <w:rPr>
          <w:rStyle w:val="libFootnoteAieChar"/>
          <w:rtl/>
        </w:rPr>
        <w:t xml:space="preserve"> يُخْرِجُهُمْ مِنَ الظُّلُماتِ إِلى النُّورِ </w:t>
      </w:r>
      <w:r w:rsidR="00B60D1F" w:rsidRPr="00B60D1F">
        <w:rPr>
          <w:rStyle w:val="libFootnoteAlaemChar"/>
          <w:rFonts w:hint="cs"/>
          <w:rtl/>
        </w:rPr>
        <w:t>)</w:t>
      </w:r>
      <w:r>
        <w:rPr>
          <w:rtl/>
        </w:rPr>
        <w:t>.</w:t>
      </w:r>
    </w:p>
    <w:p w:rsidR="000C39D1" w:rsidRPr="00132E65" w:rsidRDefault="000C39D1" w:rsidP="000C39D1">
      <w:pPr>
        <w:pStyle w:val="libFootnote0"/>
        <w:rPr>
          <w:rtl/>
          <w:lang w:bidi="fa-IR"/>
        </w:rPr>
      </w:pPr>
      <w:r>
        <w:rPr>
          <w:rtl/>
        </w:rPr>
        <w:t>(13)</w:t>
      </w:r>
      <w:r w:rsidRPr="00132E65">
        <w:rPr>
          <w:rtl/>
        </w:rPr>
        <w:t xml:space="preserve"> الضمير راجع إلى ابن محبوب المذكور في السند المتقدّم ؛ فقد أكثر [ الحسن ] بن محبوب من الرواية عن هشام بن سالم. راجع : </w:t>
      </w:r>
      <w:r w:rsidRPr="00545B4D">
        <w:rPr>
          <w:rStyle w:val="libFootnoteBoldChar"/>
          <w:rtl/>
        </w:rPr>
        <w:t>معجم رجال الحديث</w:t>
      </w:r>
      <w:r w:rsidRPr="00132E65">
        <w:rPr>
          <w:rtl/>
        </w:rPr>
        <w:t xml:space="preserve"> ، ج 5 ، ص 92</w:t>
      </w:r>
      <w:r>
        <w:rPr>
          <w:rtl/>
        </w:rPr>
        <w:t xml:space="preserve"> - </w:t>
      </w:r>
      <w:r w:rsidRPr="00132E65">
        <w:rPr>
          <w:rtl/>
        </w:rPr>
        <w:t>94 ؛ وج 23 ، ص 19</w:t>
      </w:r>
      <w:r>
        <w:rPr>
          <w:rtl/>
        </w:rPr>
        <w:t xml:space="preserve"> - </w:t>
      </w:r>
      <w:r w:rsidRPr="00132E65">
        <w:rPr>
          <w:rtl/>
        </w:rPr>
        <w:t>21.</w:t>
      </w:r>
    </w:p>
    <w:p w:rsidR="000C39D1" w:rsidRPr="00132E65" w:rsidRDefault="000C39D1" w:rsidP="000C39D1">
      <w:pPr>
        <w:pStyle w:val="libFootnote0"/>
        <w:rPr>
          <w:rtl/>
          <w:lang w:bidi="fa-IR"/>
        </w:rPr>
      </w:pPr>
      <w:r>
        <w:rPr>
          <w:rtl/>
        </w:rPr>
        <w:t>(14)</w:t>
      </w:r>
      <w:r w:rsidRPr="00132E65">
        <w:rPr>
          <w:rtl/>
        </w:rPr>
        <w:t xml:space="preserve"> في « ف » : « أعمالهم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وَلَأَعْفُوَنَّ عَنْ كُلِّ رَعِيَّةٍ فِي الْإِسْلَامِ دَانَتْ بِوَلَايَةِ كُلِّ إِمَامٍ عَادِلٍ مِنَ اللهِ ، وإِنْ كَانَتِ الرَّعِيَّةُ فِي أَنْفُسِهَا ظَالِمَةً </w:t>
      </w:r>
      <w:r>
        <w:rPr>
          <w:rStyle w:val="libFootnotenumChar"/>
          <w:rtl/>
        </w:rPr>
        <w:t>(1)</w:t>
      </w:r>
      <w:r w:rsidRPr="00132E65">
        <w:rPr>
          <w:rtl/>
          <w:lang w:bidi="fa-IR"/>
        </w:rPr>
        <w:t xml:space="preserve"> مُسِيئَةً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CF3215">
        <w:rPr>
          <w:rtl/>
        </w:rPr>
        <w:t>977</w:t>
      </w:r>
      <w:r w:rsidRPr="004325D8">
        <w:rPr>
          <w:rStyle w:val="libBold2Char"/>
          <w:rtl/>
        </w:rPr>
        <w:t xml:space="preserve"> / 5.</w:t>
      </w:r>
      <w:r w:rsidRPr="00132E65">
        <w:rPr>
          <w:rtl/>
          <w:lang w:bidi="fa-IR"/>
        </w:rPr>
        <w:t xml:space="preserve"> عَلِيُّ بْنُ مُحَمَّدٍ ، عَنِ ابْنِ جُمْهُورٍ ، عَنْ أَبِيهِ ، عَنْ صَفْوَانَ ، عَنِ ابْنِ مُسْكَانَ ، عَنْ عَبْدِ اللهِ بْنِ سِنَانٍ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قَالَ : « إِنَّ اللهَ لَايَسْتَحْيِي </w:t>
      </w:r>
      <w:r>
        <w:rPr>
          <w:rStyle w:val="libFootnotenumChar"/>
          <w:rtl/>
        </w:rPr>
        <w:t>(4)</w:t>
      </w:r>
      <w:r w:rsidRPr="00132E65">
        <w:rPr>
          <w:rtl/>
          <w:lang w:bidi="fa-IR"/>
        </w:rPr>
        <w:t xml:space="preserve"> أَنْ يُعَذِّبَ أُمَّةً دَانَتْ بِإِمَامٍ لَيْسَ مِنَ اللهِ ، وإِنْ كَانَتْ فِي أَعْمَالِهَا </w:t>
      </w:r>
      <w:r>
        <w:rPr>
          <w:rStyle w:val="libFootnotenumChar"/>
          <w:rtl/>
        </w:rPr>
        <w:t>(5)</w:t>
      </w:r>
      <w:r w:rsidRPr="00132E65">
        <w:rPr>
          <w:rtl/>
          <w:lang w:bidi="fa-IR"/>
        </w:rPr>
        <w:t xml:space="preserve"> بَرَّةً تَقِيَّةً ؛ وإِنَّ اللهَ لَيَسْتَحْيِي </w:t>
      </w:r>
      <w:r>
        <w:rPr>
          <w:rStyle w:val="libFootnotenumChar"/>
          <w:rtl/>
        </w:rPr>
        <w:t>(6)</w:t>
      </w:r>
      <w:r w:rsidRPr="00132E65">
        <w:rPr>
          <w:rtl/>
          <w:lang w:bidi="fa-IR"/>
        </w:rPr>
        <w:t xml:space="preserve"> أَنْ يُعَذِّبَ أُمَّةً دَانَتْ بِإِمَامٍ مِنَ اللهِ ، وإِنْ كَانَتْ فِي أَعْمَالِهَا </w:t>
      </w:r>
      <w:r>
        <w:rPr>
          <w:rStyle w:val="libFootnotenumChar"/>
          <w:rtl/>
        </w:rPr>
        <w:t>(7)</w:t>
      </w:r>
      <w:r w:rsidRPr="00132E65">
        <w:rPr>
          <w:rtl/>
          <w:lang w:bidi="fa-IR"/>
        </w:rPr>
        <w:t xml:space="preserve"> ظَالِمَةً مُسِيئَةً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ظالمة »</w:t>
      </w:r>
      <w:r>
        <w:rPr>
          <w:rtl/>
        </w:rPr>
        <w:t>.</w:t>
      </w:r>
    </w:p>
    <w:p w:rsidR="000C39D1" w:rsidRPr="00132E65" w:rsidRDefault="000C39D1" w:rsidP="000C39D1">
      <w:pPr>
        <w:pStyle w:val="libFootnote0"/>
        <w:rPr>
          <w:rtl/>
          <w:lang w:bidi="fa-IR"/>
        </w:rPr>
      </w:pPr>
      <w:r>
        <w:rPr>
          <w:rtl/>
        </w:rPr>
        <w:t>(2).</w:t>
      </w:r>
      <w:r w:rsidRPr="00132E65">
        <w:rPr>
          <w:rtl/>
        </w:rPr>
        <w:t xml:space="preserve"> </w:t>
      </w:r>
      <w:r w:rsidRPr="00545B4D">
        <w:rPr>
          <w:rStyle w:val="libFootnoteBoldChar"/>
          <w:rtl/>
        </w:rPr>
        <w:t>الغيبة</w:t>
      </w:r>
      <w:r w:rsidRPr="00132E65">
        <w:rPr>
          <w:rtl/>
        </w:rPr>
        <w:t xml:space="preserve"> </w:t>
      </w:r>
      <w:r w:rsidRPr="00545B4D">
        <w:rPr>
          <w:rStyle w:val="libFootnoteBoldChar"/>
          <w:rtl/>
        </w:rPr>
        <w:t>للنعماني</w:t>
      </w:r>
      <w:r w:rsidRPr="00132E65">
        <w:rPr>
          <w:rtl/>
        </w:rPr>
        <w:t xml:space="preserve"> ، ص 132 ، ح 13 ، عن الكليني. وفي </w:t>
      </w:r>
      <w:r w:rsidRPr="00545B4D">
        <w:rPr>
          <w:rStyle w:val="libFootnoteBoldChar"/>
          <w:rtl/>
        </w:rPr>
        <w:t>المحاسن</w:t>
      </w:r>
      <w:r w:rsidRPr="00132E65">
        <w:rPr>
          <w:rtl/>
        </w:rPr>
        <w:t xml:space="preserve"> ، ص 94 ، كتاب عقاب الأعمال ، ح 51 ؛ </w:t>
      </w:r>
      <w:r w:rsidRPr="00545B4D">
        <w:rPr>
          <w:rStyle w:val="libFootnoteBoldChar"/>
          <w:rtl/>
        </w:rPr>
        <w:t>وثواب الأعمال</w:t>
      </w:r>
      <w:r w:rsidRPr="00132E65">
        <w:rPr>
          <w:rtl/>
        </w:rPr>
        <w:t xml:space="preserve"> ، ص 245 ، ح 1 ؛ </w:t>
      </w:r>
      <w:r w:rsidRPr="00545B4D">
        <w:rPr>
          <w:rStyle w:val="libFootnoteBoldChar"/>
          <w:rtl/>
        </w:rPr>
        <w:t>والاختصاص</w:t>
      </w:r>
      <w:r w:rsidRPr="00CF3215">
        <w:rPr>
          <w:rtl/>
        </w:rPr>
        <w:t xml:space="preserve"> </w:t>
      </w:r>
      <w:r w:rsidRPr="00132E65">
        <w:rPr>
          <w:rtl/>
        </w:rPr>
        <w:t xml:space="preserve">، ص 259 بسندهم عن ابن محبوب ، عن هشام بن سالم ؛ </w:t>
      </w:r>
      <w:r w:rsidRPr="00545B4D">
        <w:rPr>
          <w:rStyle w:val="libFootnoteBoldChar"/>
          <w:rtl/>
        </w:rPr>
        <w:t>فضائل الشيعة</w:t>
      </w:r>
      <w:r w:rsidRPr="00132E65">
        <w:rPr>
          <w:rtl/>
        </w:rPr>
        <w:t xml:space="preserve"> ، ص 13 ، ح 12 بسنده عن هشام بن سالم ؛ </w:t>
      </w:r>
      <w:r w:rsidRPr="00545B4D">
        <w:rPr>
          <w:rStyle w:val="libFootnoteBoldChar"/>
          <w:rtl/>
        </w:rPr>
        <w:t>الأمالي للطوسي</w:t>
      </w:r>
      <w:r w:rsidRPr="00132E65">
        <w:rPr>
          <w:rtl/>
        </w:rPr>
        <w:t xml:space="preserve"> ، ص 634 ، المجلس 31 ، ح 10 ، بسنده عن أحمد بن محمّد بن عيسى ، عن ابن محبوب ، عن هشام بن سالم</w:t>
      </w:r>
      <w:r>
        <w:rPr>
          <w:rtl/>
        </w:rPr>
        <w:t xml:space="preserve"> ..</w:t>
      </w:r>
      <w:r w:rsidRPr="00132E65">
        <w:rPr>
          <w:rtl/>
        </w:rPr>
        <w:t xml:space="preserve">. عن أبي جعفر ، عن آبائه ، عن رسول الله ، عن جبرئيل ، عن الله ، مع زيادة في آخره. </w:t>
      </w:r>
      <w:r w:rsidRPr="00545B4D">
        <w:rPr>
          <w:rStyle w:val="libFootnoteBoldChar"/>
          <w:rtl/>
        </w:rPr>
        <w:t>كفاية الأثر</w:t>
      </w:r>
      <w:r w:rsidRPr="00132E65">
        <w:rPr>
          <w:rtl/>
        </w:rPr>
        <w:t xml:space="preserve"> ، ص 156 ، بسند آخر عن أمير المؤمنين </w:t>
      </w:r>
      <w:r w:rsidRPr="00545B4D">
        <w:rPr>
          <w:rStyle w:val="libFootnoteAlaemChar"/>
          <w:rtl/>
        </w:rPr>
        <w:t>عليه‌السلام</w:t>
      </w:r>
      <w:r w:rsidRPr="00132E65">
        <w:rPr>
          <w:rtl/>
        </w:rPr>
        <w:t xml:space="preserve"> ، عن النبيّ </w:t>
      </w:r>
      <w:r w:rsidRPr="00545B4D">
        <w:rPr>
          <w:rStyle w:val="libFootnoteAlaemChar"/>
          <w:rFonts w:eastAsiaTheme="minorHAnsi"/>
          <w:rtl/>
        </w:rPr>
        <w:t>صلى‌الله‌عليه‌وآله</w:t>
      </w:r>
      <w:r w:rsidRPr="00132E65">
        <w:rPr>
          <w:rtl/>
          <w:lang w:bidi="fa-IR"/>
        </w:rPr>
        <w:t xml:space="preserve"> </w:t>
      </w:r>
      <w:r w:rsidRPr="00132E65">
        <w:rPr>
          <w:rtl/>
        </w:rPr>
        <w:t xml:space="preserve">، مع اختلاف يسير وزيادة في آخره. </w:t>
      </w:r>
      <w:r w:rsidRPr="00545B4D">
        <w:rPr>
          <w:rStyle w:val="libFootnoteBoldChar"/>
          <w:rtl/>
        </w:rPr>
        <w:t>تفسير العيّاشي</w:t>
      </w:r>
      <w:r w:rsidRPr="00132E65">
        <w:rPr>
          <w:rtl/>
        </w:rPr>
        <w:t xml:space="preserve"> ، ج 1 ، ص 139 ، ح 462 ، عن مهزم الأسدي ، عن الصادق </w:t>
      </w:r>
      <w:r w:rsidRPr="00545B4D">
        <w:rPr>
          <w:rStyle w:val="libFootnoteAlaemChar"/>
          <w:rtl/>
        </w:rPr>
        <w:t>عليه‌السلام</w:t>
      </w:r>
      <w:r w:rsidRPr="00132E65">
        <w:rPr>
          <w:rtl/>
        </w:rPr>
        <w:t xml:space="preserve"> ، مع زيادة في آخره </w:t>
      </w:r>
      <w:r w:rsidR="00545B4D">
        <w:rPr>
          <w:rFonts w:hint="cs"/>
          <w:rtl/>
        </w:rPr>
        <w:t>.</w:t>
      </w:r>
      <w:r w:rsidRPr="009D1ACE">
        <w:rPr>
          <w:rStyle w:val="libFootnoteBoldChar"/>
          <w:rtl/>
        </w:rPr>
        <w:t>الوافي</w:t>
      </w:r>
      <w:r w:rsidRPr="00132E65">
        <w:rPr>
          <w:rtl/>
        </w:rPr>
        <w:t xml:space="preserve"> ، ج 2 ، ص 121 ، ح 582.</w:t>
      </w:r>
    </w:p>
    <w:p w:rsidR="000C39D1" w:rsidRPr="00132E65" w:rsidRDefault="000C39D1" w:rsidP="000C39D1">
      <w:pPr>
        <w:pStyle w:val="libFootnote0"/>
        <w:rPr>
          <w:rtl/>
          <w:lang w:bidi="fa-IR"/>
        </w:rPr>
      </w:pPr>
      <w:r>
        <w:rPr>
          <w:rtl/>
        </w:rPr>
        <w:t>(3).</w:t>
      </w:r>
      <w:r w:rsidRPr="00132E65">
        <w:rPr>
          <w:rtl/>
        </w:rPr>
        <w:t xml:space="preserve"> روى صفوان [ بن يحيى ] عن [ عبدالله ] بن سنان في أسنادٍ عديدة. ولم نجد توسّط ابن مسكان بينهما في موضع. ولم يُعهَد التعاطف بين ابن مسكان وابن</w:t>
      </w:r>
      <w:r w:rsidR="00545B4D">
        <w:rPr>
          <w:rtl/>
        </w:rPr>
        <w:t xml:space="preserve"> سنان في ما روى عنهما صفوان إل</w:t>
      </w:r>
      <w:r w:rsidR="00545B4D">
        <w:rPr>
          <w:rFonts w:hint="cs"/>
          <w:rtl/>
        </w:rPr>
        <w:t>ّ</w:t>
      </w:r>
      <w:r w:rsidR="00545B4D">
        <w:rPr>
          <w:rtl/>
        </w:rPr>
        <w:t>ا</w:t>
      </w:r>
      <w:r w:rsidR="00545B4D">
        <w:rPr>
          <w:rFonts w:hint="cs"/>
          <w:rtl/>
        </w:rPr>
        <w:t xml:space="preserve"> </w:t>
      </w:r>
      <w:r w:rsidRPr="00132E65">
        <w:rPr>
          <w:rtl/>
        </w:rPr>
        <w:t xml:space="preserve">في ما ورد في </w:t>
      </w:r>
      <w:r w:rsidRPr="00CF3215">
        <w:rPr>
          <w:rtl/>
        </w:rPr>
        <w:t>المحاسن</w:t>
      </w:r>
      <w:r w:rsidRPr="00132E65">
        <w:rPr>
          <w:rtl/>
        </w:rPr>
        <w:t xml:space="preserve"> ، ص 416 ، ح 172 ، من رواية صفوان بن يحيى ، عن عبدالله بن سنان أو ابن مسكان ، عن محمّد الحلبى. فلايبعد القول بزيادة « عن ابن مسكان » أو « عن عبدالله بن سنان » في ما نحن فيه ، ولعلّ القول بزيادة « عن عبدالله بن سنان » أولى ؛ فإنّ المراد من والد ابن جمهور في سندنا ، هو محمّد بن جمهور ، وقد روى هو عن صفوان عن [ عبدالله ] بن مسكان في </w:t>
      </w:r>
      <w:r w:rsidRPr="000577A7">
        <w:rPr>
          <w:rStyle w:val="libFootnoteBoldChar"/>
          <w:rtl/>
        </w:rPr>
        <w:t>الكافي</w:t>
      </w:r>
      <w:r w:rsidRPr="00132E65">
        <w:rPr>
          <w:rtl/>
        </w:rPr>
        <w:t xml:space="preserve"> ، ح 968 </w:t>
      </w:r>
      <w:r>
        <w:rPr>
          <w:rtl/>
        </w:rPr>
        <w:t>و 1</w:t>
      </w:r>
      <w:r w:rsidRPr="00132E65">
        <w:rPr>
          <w:rtl/>
        </w:rPr>
        <w:t xml:space="preserve">103 ؛ </w:t>
      </w:r>
      <w:r w:rsidRPr="00545B4D">
        <w:rPr>
          <w:rStyle w:val="libFootnoteBoldChar"/>
          <w:rtl/>
        </w:rPr>
        <w:t>وتأويل الآيات</w:t>
      </w:r>
      <w:r w:rsidRPr="00CF3215">
        <w:rPr>
          <w:rtl/>
        </w:rPr>
        <w:t xml:space="preserve"> </w:t>
      </w:r>
      <w:r w:rsidRPr="00132E65">
        <w:rPr>
          <w:rtl/>
        </w:rPr>
        <w:t>، ص 791. وأمّا رواية محمّد بن جمهور عن صفوان [ بن يحيى ] عن [ عبدالله ] بن سنان ، فلم نعثر عليها في موضع.</w:t>
      </w:r>
    </w:p>
    <w:p w:rsidR="000C39D1" w:rsidRPr="00132E65" w:rsidRDefault="000C39D1" w:rsidP="000C39D1">
      <w:pPr>
        <w:pStyle w:val="libFootnote0"/>
        <w:rPr>
          <w:rtl/>
          <w:lang w:bidi="fa-IR"/>
        </w:rPr>
      </w:pPr>
      <w:r>
        <w:rPr>
          <w:rtl/>
        </w:rPr>
        <w:t>(4).</w:t>
      </w:r>
      <w:r w:rsidRPr="00132E65">
        <w:rPr>
          <w:rtl/>
        </w:rPr>
        <w:t xml:space="preserve"> في « ف » : « لا يستحي »</w:t>
      </w:r>
      <w:r>
        <w:rPr>
          <w:rtl/>
        </w:rPr>
        <w:t>.</w:t>
      </w:r>
    </w:p>
    <w:p w:rsidR="000C39D1" w:rsidRPr="00132E65" w:rsidRDefault="000C39D1" w:rsidP="000C39D1">
      <w:pPr>
        <w:pStyle w:val="libFootnote0"/>
        <w:rPr>
          <w:rtl/>
          <w:lang w:bidi="fa-IR"/>
        </w:rPr>
      </w:pPr>
      <w:r>
        <w:rPr>
          <w:rtl/>
        </w:rPr>
        <w:t>(5).</w:t>
      </w:r>
      <w:r w:rsidRPr="00132E65">
        <w:rPr>
          <w:rtl/>
        </w:rPr>
        <w:t xml:space="preserve"> في حاشية « ف » : « أعمالهم »</w:t>
      </w:r>
      <w:r>
        <w:rPr>
          <w:rtl/>
        </w:rPr>
        <w:t>.</w:t>
      </w:r>
    </w:p>
    <w:tbl>
      <w:tblPr>
        <w:tblStyle w:val="TableGrid"/>
        <w:bidiVisual/>
        <w:tblW w:w="0" w:type="auto"/>
        <w:tblLook w:val="04A0" w:firstRow="1" w:lastRow="0" w:firstColumn="1" w:lastColumn="0" w:noHBand="0" w:noVBand="1"/>
      </w:tblPr>
      <w:tblGrid>
        <w:gridCol w:w="4006"/>
        <w:gridCol w:w="4006"/>
      </w:tblGrid>
      <w:tr w:rsidR="00545B4D" w:rsidTr="00545B4D">
        <w:tc>
          <w:tcPr>
            <w:tcW w:w="4006" w:type="dxa"/>
          </w:tcPr>
          <w:p w:rsidR="00545B4D" w:rsidRDefault="00545B4D" w:rsidP="000C39D1">
            <w:pPr>
              <w:pStyle w:val="libFootnote0"/>
              <w:rPr>
                <w:rtl/>
              </w:rPr>
            </w:pPr>
            <w:r>
              <w:rPr>
                <w:rtl/>
              </w:rPr>
              <w:t>(6).</w:t>
            </w:r>
            <w:r w:rsidRPr="00132E65">
              <w:rPr>
                <w:rtl/>
              </w:rPr>
              <w:t xml:space="preserve"> في الغيبة : « يستحيي »</w:t>
            </w:r>
            <w:r>
              <w:rPr>
                <w:rtl/>
              </w:rPr>
              <w:t>.</w:t>
            </w:r>
          </w:p>
        </w:tc>
        <w:tc>
          <w:tcPr>
            <w:tcW w:w="4006" w:type="dxa"/>
          </w:tcPr>
          <w:p w:rsidR="00545B4D" w:rsidRDefault="00545B4D" w:rsidP="000C39D1">
            <w:pPr>
              <w:pStyle w:val="libFootnote0"/>
              <w:rPr>
                <w:rtl/>
              </w:rPr>
            </w:pPr>
            <w:r>
              <w:rPr>
                <w:rtl/>
              </w:rPr>
              <w:t>(7). في «ف»:«في أعمالهم</w:t>
            </w:r>
            <w:r w:rsidRPr="00132E65">
              <w:rPr>
                <w:rtl/>
              </w:rPr>
              <w:t>»</w:t>
            </w:r>
            <w:r>
              <w:rPr>
                <w:rtl/>
              </w:rPr>
              <w:t>. وفي «بر» : «بأعمالها</w:t>
            </w:r>
            <w:r w:rsidRPr="00132E65">
              <w:rPr>
                <w:rtl/>
              </w:rPr>
              <w:t>»</w:t>
            </w:r>
            <w:r>
              <w:rPr>
                <w:rtl/>
              </w:rPr>
              <w:t>.</w:t>
            </w:r>
          </w:p>
        </w:tc>
      </w:tr>
    </w:tbl>
    <w:p w:rsidR="000C39D1" w:rsidRPr="00132E65" w:rsidRDefault="000C39D1" w:rsidP="000C39D1">
      <w:pPr>
        <w:pStyle w:val="libFootnote0"/>
        <w:rPr>
          <w:rtl/>
          <w:lang w:bidi="fa-IR"/>
        </w:rPr>
      </w:pPr>
      <w:r>
        <w:rPr>
          <w:rtl/>
        </w:rPr>
        <w:t>(8).</w:t>
      </w:r>
      <w:r w:rsidRPr="00132E65">
        <w:rPr>
          <w:rtl/>
        </w:rPr>
        <w:t xml:space="preserve"> </w:t>
      </w:r>
      <w:r w:rsidRPr="00545B4D">
        <w:rPr>
          <w:rStyle w:val="libFootnoteBoldChar"/>
          <w:rtl/>
        </w:rPr>
        <w:t>الغيبة للنعماني</w:t>
      </w:r>
      <w:r w:rsidRPr="00132E65">
        <w:rPr>
          <w:rtl/>
        </w:rPr>
        <w:t xml:space="preserve"> ، ص 133 ، ح 15 ، عن الكليني </w:t>
      </w:r>
      <w:r w:rsidR="00545B4D">
        <w:rPr>
          <w:rFonts w:hint="cs"/>
          <w:rtl/>
        </w:rPr>
        <w:t>.</w:t>
      </w:r>
      <w:r w:rsidRPr="009D1ACE">
        <w:rPr>
          <w:rStyle w:val="libFootnoteBoldChar"/>
          <w:rtl/>
        </w:rPr>
        <w:t>الوافي</w:t>
      </w:r>
      <w:r w:rsidRPr="00132E65">
        <w:rPr>
          <w:rtl/>
        </w:rPr>
        <w:t xml:space="preserve"> ، ج 2 ، ص 121 ، ح 583.</w:t>
      </w:r>
    </w:p>
    <w:p w:rsidR="000C39D1" w:rsidRDefault="000C39D1" w:rsidP="00545B4D">
      <w:pPr>
        <w:pStyle w:val="libNormal"/>
        <w:rPr>
          <w:rtl/>
          <w:lang w:bidi="fa-IR"/>
        </w:rPr>
      </w:pPr>
      <w:r>
        <w:rPr>
          <w:rtl/>
          <w:lang w:bidi="fa-IR"/>
        </w:rPr>
        <w:br w:type="page"/>
      </w:r>
    </w:p>
    <w:p w:rsidR="000C39D1" w:rsidRDefault="000C39D1" w:rsidP="000C39D1">
      <w:pPr>
        <w:pStyle w:val="Heading2Center"/>
        <w:rPr>
          <w:rtl/>
          <w:lang w:bidi="fa-IR"/>
        </w:rPr>
      </w:pPr>
      <w:bookmarkStart w:id="60" w:name="_Toc459459117"/>
      <w:bookmarkStart w:id="61" w:name="_Toc34663086"/>
      <w:r w:rsidRPr="00132E65">
        <w:rPr>
          <w:rtl/>
          <w:lang w:bidi="fa-IR"/>
        </w:rPr>
        <w:t>87</w:t>
      </w:r>
      <w:r>
        <w:rPr>
          <w:rtl/>
          <w:lang w:bidi="fa-IR"/>
        </w:rPr>
        <w:t xml:space="preserve"> - </w:t>
      </w:r>
      <w:r w:rsidRPr="00132E65">
        <w:rPr>
          <w:rtl/>
          <w:lang w:bidi="fa-IR"/>
        </w:rPr>
        <w:t xml:space="preserve">بَابُ مَنْ مَاتَ ولَيْسَ لَهُ إِمَامٌ </w:t>
      </w:r>
      <w:r>
        <w:rPr>
          <w:rStyle w:val="libFootnotenumChar"/>
          <w:rtl/>
        </w:rPr>
        <w:t>(1)</w:t>
      </w:r>
      <w:r>
        <w:rPr>
          <w:rtl/>
          <w:lang w:bidi="fa-IR"/>
        </w:rPr>
        <w:t xml:space="preserve"> </w:t>
      </w:r>
      <w:r w:rsidRPr="00132E65">
        <w:rPr>
          <w:rtl/>
          <w:lang w:bidi="fa-IR"/>
        </w:rPr>
        <w:t>مِنْ أَئِمَّةِ الْهُدى</w:t>
      </w:r>
      <w:bookmarkEnd w:id="60"/>
      <w:bookmarkEnd w:id="61"/>
    </w:p>
    <w:p w:rsidR="000C39D1" w:rsidRPr="00132E65" w:rsidRDefault="000C39D1" w:rsidP="000C39D1">
      <w:pPr>
        <w:pStyle w:val="Heading2Center"/>
        <w:rPr>
          <w:rtl/>
          <w:lang w:bidi="fa-IR"/>
        </w:rPr>
      </w:pPr>
      <w:bookmarkStart w:id="62" w:name="_Toc459293630"/>
      <w:bookmarkStart w:id="63" w:name="_Toc459455099"/>
      <w:bookmarkStart w:id="64" w:name="_Toc459459118"/>
      <w:bookmarkStart w:id="65" w:name="_Toc34663087"/>
      <w:r w:rsidRPr="00132E65">
        <w:rPr>
          <w:rtl/>
          <w:lang w:bidi="fa-IR"/>
        </w:rPr>
        <w:t>وَهُوَ مِنَ الْبَابِ الْأَوَّلِ‌</w:t>
      </w:r>
      <w:bookmarkEnd w:id="62"/>
      <w:bookmarkEnd w:id="63"/>
      <w:bookmarkEnd w:id="64"/>
      <w:bookmarkEnd w:id="65"/>
    </w:p>
    <w:p w:rsidR="000C39D1" w:rsidRPr="00132E65" w:rsidRDefault="000C39D1" w:rsidP="000C39D1">
      <w:pPr>
        <w:pStyle w:val="libNormal"/>
        <w:rPr>
          <w:rtl/>
          <w:lang w:bidi="fa-IR"/>
        </w:rPr>
      </w:pPr>
      <w:r w:rsidRPr="00CF3215">
        <w:rPr>
          <w:rtl/>
        </w:rPr>
        <w:t>978</w:t>
      </w:r>
      <w:r w:rsidRPr="004325D8">
        <w:rPr>
          <w:rStyle w:val="libBold2Char"/>
          <w:rtl/>
        </w:rPr>
        <w:t xml:space="preserve"> / 1.</w:t>
      </w:r>
      <w:r w:rsidRPr="00132E65">
        <w:rPr>
          <w:rtl/>
          <w:lang w:bidi="fa-IR"/>
        </w:rPr>
        <w:t xml:space="preserve"> الْحُسَيْنُ بْنُ مُحَمَّدٍ ، عَنْ مُعَلَّى بْنِ مُحَمَّدٍ ، عَنِ الْحَسَنِ بْنِ عَلِيٍّ الْوَشَّاءِ ، عَنْ أَحْمَدَ بْنِ عَائِذٍ ، عَنِ ابْنِ أُذَيْنَةَ ، عَنِ الْفُضَيْلِ بْنِ يَسَارٍ ، قَالَ :</w:t>
      </w:r>
    </w:p>
    <w:p w:rsidR="000C39D1" w:rsidRPr="00132E65" w:rsidRDefault="000C39D1" w:rsidP="000C39D1">
      <w:pPr>
        <w:pStyle w:val="libNormal"/>
        <w:rPr>
          <w:rtl/>
          <w:lang w:bidi="fa-IR"/>
        </w:rPr>
      </w:pPr>
      <w:r w:rsidRPr="00132E65">
        <w:rPr>
          <w:rtl/>
          <w:lang w:bidi="fa-IR"/>
        </w:rPr>
        <w:t xml:space="preserve">ابْتَدَأَنَا أَبُو عَبْدِ اللهِ </w:t>
      </w:r>
      <w:r w:rsidRPr="00071CF9">
        <w:rPr>
          <w:rStyle w:val="libAlaemChar"/>
          <w:rtl/>
        </w:rPr>
        <w:t>عليه‌السلام</w:t>
      </w:r>
      <w:r w:rsidRPr="00132E65">
        <w:rPr>
          <w:rtl/>
          <w:lang w:bidi="fa-IR"/>
        </w:rPr>
        <w:t xml:space="preserve"> يَوْماً ، وقَالَ : « قَالَ رَسُولُ اللهِ </w:t>
      </w:r>
      <w:r w:rsidRPr="0093484F">
        <w:rPr>
          <w:rStyle w:val="libAlaemChar"/>
          <w:rFonts w:eastAsiaTheme="minorHAnsi"/>
          <w:rtl/>
        </w:rPr>
        <w:t>صلى‌الله‌عليه‌وآله</w:t>
      </w:r>
      <w:r w:rsidRPr="00132E65">
        <w:rPr>
          <w:rtl/>
          <w:lang w:bidi="fa-IR"/>
        </w:rPr>
        <w:t xml:space="preserve"> : مَنْ مَاتَ و</w:t>
      </w:r>
      <w:r w:rsidR="006628E1">
        <w:rPr>
          <w:rFonts w:hint="cs"/>
          <w:rtl/>
          <w:lang w:bidi="fa-IR"/>
        </w:rPr>
        <w:t>َ</w:t>
      </w:r>
      <w:r w:rsidRPr="00132E65">
        <w:rPr>
          <w:rtl/>
          <w:lang w:bidi="fa-IR"/>
        </w:rPr>
        <w:t xml:space="preserve">لَيْسَ عَلَيْهِ </w:t>
      </w:r>
      <w:r>
        <w:rPr>
          <w:rStyle w:val="libFootnotenumChar"/>
          <w:rtl/>
        </w:rPr>
        <w:t>(2)</w:t>
      </w:r>
      <w:r w:rsidRPr="00132E65">
        <w:rPr>
          <w:rtl/>
          <w:lang w:bidi="fa-IR"/>
        </w:rPr>
        <w:t xml:space="preserve"> إِمَامٌ ، فَمِيتَتُهُ مِيتَةُ جَاهِلِيَّةٍ </w:t>
      </w:r>
      <w:r>
        <w:rPr>
          <w:rStyle w:val="libFootnotenumChar"/>
          <w:rtl/>
        </w:rPr>
        <w:t>(3)</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فَقُلْتُ : قَالَ ذلِكَ رَسُولُ اللهِ </w:t>
      </w:r>
      <w:r w:rsidRPr="0093484F">
        <w:rPr>
          <w:rStyle w:val="libAlaemChar"/>
          <w:rFonts w:eastAsiaTheme="minorHAnsi"/>
          <w:rtl/>
        </w:rPr>
        <w:t>صلى‌الله‌عليه‌وآله</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فَقَالَ : « إِي و</w:t>
      </w:r>
      <w:r w:rsidR="006628E1">
        <w:rPr>
          <w:rFonts w:hint="cs"/>
          <w:rtl/>
          <w:lang w:bidi="fa-IR"/>
        </w:rPr>
        <w:t xml:space="preserve">َ </w:t>
      </w:r>
      <w:r w:rsidRPr="00132E65">
        <w:rPr>
          <w:rtl/>
          <w:lang w:bidi="fa-IR"/>
        </w:rPr>
        <w:t>اللهِ قَدْ قَالَ »</w:t>
      </w:r>
      <w:r>
        <w:rPr>
          <w:rtl/>
          <w:lang w:bidi="fa-IR"/>
        </w:rPr>
        <w:t>.</w:t>
      </w:r>
      <w:r w:rsidRPr="00132E65">
        <w:rPr>
          <w:rtl/>
          <w:lang w:bidi="fa-IR"/>
        </w:rPr>
        <w:t xml:space="preserve"> قُلْتُ : فَكُلُّ مَنْ مَاتَ و</w:t>
      </w:r>
      <w:r w:rsidR="006628E1">
        <w:rPr>
          <w:rFonts w:hint="cs"/>
          <w:rtl/>
          <w:lang w:bidi="fa-IR"/>
        </w:rPr>
        <w:t>َ</w:t>
      </w:r>
      <w:r w:rsidRPr="00132E65">
        <w:rPr>
          <w:rtl/>
          <w:lang w:bidi="fa-IR"/>
        </w:rPr>
        <w:t>لَيْسَ لَهُ إِمَامٌ ، فَمِيتَتُهُ مِيتَةُ جَاهِلِيَّةٍ</w:t>
      </w:r>
      <w:r>
        <w:rPr>
          <w:rtl/>
          <w:lang w:bidi="fa-IR"/>
        </w:rPr>
        <w:t>؟</w:t>
      </w:r>
      <w:r w:rsidRPr="00132E65">
        <w:rPr>
          <w:rtl/>
          <w:lang w:bidi="fa-IR"/>
        </w:rPr>
        <w:t xml:space="preserve"> قَالَ : « نَعَمْ »</w:t>
      </w:r>
      <w:r>
        <w:rPr>
          <w:rtl/>
          <w:lang w:bidi="fa-IR"/>
        </w:rPr>
        <w:t>.</w:t>
      </w:r>
      <w:r w:rsidRPr="00132E65">
        <w:rPr>
          <w:rtl/>
          <w:lang w:bidi="fa-IR"/>
        </w:rPr>
        <w:t xml:space="preserve"> </w:t>
      </w:r>
      <w:r>
        <w:rPr>
          <w:rStyle w:val="libFootnotenumChar"/>
          <w:rtl/>
        </w:rPr>
        <w:t>(4)</w:t>
      </w:r>
    </w:p>
    <w:p w:rsidR="000C39D1" w:rsidRPr="00132E65" w:rsidRDefault="000C39D1" w:rsidP="000C39D1">
      <w:pPr>
        <w:pStyle w:val="libNormal"/>
        <w:rPr>
          <w:rtl/>
          <w:lang w:bidi="fa-IR"/>
        </w:rPr>
      </w:pPr>
      <w:r w:rsidRPr="00CF3215">
        <w:rPr>
          <w:rtl/>
        </w:rPr>
        <w:t>979</w:t>
      </w:r>
      <w:r w:rsidRPr="004325D8">
        <w:rPr>
          <w:rStyle w:val="libBold2Char"/>
          <w:rtl/>
        </w:rPr>
        <w:t xml:space="preserve"> / 2.</w:t>
      </w:r>
      <w:r w:rsidRPr="00132E65">
        <w:rPr>
          <w:rtl/>
          <w:lang w:bidi="fa-IR"/>
        </w:rPr>
        <w:t xml:space="preserve"> الْحُسَيْنُ بْنُ مُحَمَّدٍ ، عَنْ مُعَلَّى بْنِ مُحَمَّدٍ ، عَنِ الْوَشَّاءِ ، قَالَ : حَدَّثَنِي </w:t>
      </w:r>
      <w:r>
        <w:rPr>
          <w:rStyle w:val="libFootnotenumChar"/>
          <w:rtl/>
        </w:rPr>
        <w:t>(5)</w:t>
      </w:r>
      <w:r w:rsidRPr="00132E65">
        <w:rPr>
          <w:rtl/>
          <w:lang w:bidi="fa-IR"/>
        </w:rPr>
        <w:t xml:space="preserve"> عَبْدُ الْكَرِيمِ بْنُ عَمْرٍو ، عَنِ ابْنِ أَبِي يَعْفُورٍ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رَسُولِ اللهِ </w:t>
      </w:r>
      <w:r w:rsidRPr="0093484F">
        <w:rPr>
          <w:rStyle w:val="libAlaemChar"/>
          <w:rFonts w:eastAsiaTheme="minorHAnsi"/>
          <w:rtl/>
        </w:rPr>
        <w:t>صلى‌الله‌عليه‌وآله</w:t>
      </w:r>
      <w:r w:rsidRPr="00132E65">
        <w:rPr>
          <w:rtl/>
          <w:lang w:bidi="fa-IR"/>
        </w:rPr>
        <w:t xml:space="preserve"> : « مَنْ مَاتَ و</w:t>
      </w:r>
      <w:r w:rsidR="006628E1">
        <w:rPr>
          <w:rFonts w:hint="cs"/>
          <w:rtl/>
          <w:lang w:bidi="fa-IR"/>
        </w:rPr>
        <w:t>َ</w:t>
      </w:r>
      <w:r w:rsidRPr="00132E65">
        <w:rPr>
          <w:rtl/>
          <w:lang w:bidi="fa-IR"/>
        </w:rPr>
        <w:t>لَيْسَ لَهُ إِمَامٌ ، فَمِيتَتُهُ‌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من الله »</w:t>
      </w:r>
      <w:r>
        <w:rPr>
          <w:rtl/>
        </w:rPr>
        <w:t>.</w:t>
      </w:r>
    </w:p>
    <w:p w:rsidR="000C39D1" w:rsidRPr="00132E65" w:rsidRDefault="000C39D1" w:rsidP="000C39D1">
      <w:pPr>
        <w:pStyle w:val="libFootnote0"/>
        <w:rPr>
          <w:rtl/>
          <w:lang w:bidi="fa-IR"/>
        </w:rPr>
      </w:pPr>
      <w:r>
        <w:rPr>
          <w:rtl/>
        </w:rPr>
        <w:t>(2).</w:t>
      </w:r>
      <w:r w:rsidRPr="00132E65">
        <w:rPr>
          <w:rtl/>
        </w:rPr>
        <w:t xml:space="preserve"> في « ف ، بر ، بف » وحاشية « ض ، بح » </w:t>
      </w:r>
      <w:r w:rsidRPr="006628E1">
        <w:rPr>
          <w:rtl/>
        </w:rPr>
        <w:t>والوافي</w:t>
      </w:r>
      <w:r w:rsidRPr="00132E65">
        <w:rPr>
          <w:rtl/>
        </w:rPr>
        <w:t xml:space="preserve"> : « له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ج 4 ، ص 219 : « والميتة ، بكسر الميم : مصدر نوعيّ</w:t>
      </w:r>
      <w:r w:rsidR="006628E1">
        <w:rPr>
          <w:rtl/>
        </w:rPr>
        <w:t xml:space="preserve"> من باب نصر. وهي مع «الجاهليّة</w:t>
      </w:r>
      <w:r w:rsidRPr="00132E65">
        <w:rPr>
          <w:rtl/>
        </w:rPr>
        <w:t>» مركّب إضافي ، أو توصيفي »</w:t>
      </w:r>
      <w:r>
        <w:rPr>
          <w:rtl/>
        </w:rPr>
        <w:t>.</w:t>
      </w:r>
    </w:p>
    <w:p w:rsidR="000C39D1" w:rsidRPr="00132E65" w:rsidRDefault="000C39D1" w:rsidP="000C39D1">
      <w:pPr>
        <w:pStyle w:val="libFootnote0"/>
        <w:rPr>
          <w:rtl/>
          <w:lang w:bidi="fa-IR"/>
        </w:rPr>
      </w:pPr>
      <w:r>
        <w:rPr>
          <w:rtl/>
        </w:rPr>
        <w:t>(4).</w:t>
      </w:r>
      <w:r w:rsidRPr="00132E65">
        <w:rPr>
          <w:rtl/>
        </w:rPr>
        <w:t xml:space="preserve"> راجع : </w:t>
      </w:r>
      <w:r w:rsidRPr="000577A7">
        <w:rPr>
          <w:rStyle w:val="libFootnoteBoldChar"/>
          <w:rtl/>
        </w:rPr>
        <w:t>الكافي</w:t>
      </w:r>
      <w:r w:rsidRPr="00132E65">
        <w:rPr>
          <w:rtl/>
        </w:rPr>
        <w:t xml:space="preserve"> ، </w:t>
      </w:r>
      <w:r w:rsidRPr="006628E1">
        <w:rPr>
          <w:rStyle w:val="libFootnoteBoldChar"/>
          <w:rtl/>
        </w:rPr>
        <w:t>كتاب الحجّة</w:t>
      </w:r>
      <w:r w:rsidRPr="00132E65">
        <w:rPr>
          <w:rtl/>
        </w:rPr>
        <w:t xml:space="preserve"> ، باب أنّه من عرف إمامه لم يضرّه</w:t>
      </w:r>
      <w:r>
        <w:rPr>
          <w:rtl/>
        </w:rPr>
        <w:t xml:space="preserve"> ..</w:t>
      </w:r>
      <w:r w:rsidRPr="00132E65">
        <w:rPr>
          <w:rtl/>
        </w:rPr>
        <w:t xml:space="preserve">. ، ح 958 ؛ وباب ما يجب على الناس عند مضيّ الإمام ، ح 987 ؛ وكتاب الإيمان والكفر ، باب دعائم الإسلام ، ح 1498 ؛ وكتاب الروضة ، ح 14938 ؛ </w:t>
      </w:r>
      <w:r w:rsidRPr="006628E1">
        <w:rPr>
          <w:rStyle w:val="libFootnoteBoldChar"/>
          <w:rtl/>
        </w:rPr>
        <w:t>والمحاسن</w:t>
      </w:r>
      <w:r w:rsidRPr="00132E65">
        <w:rPr>
          <w:rtl/>
        </w:rPr>
        <w:t xml:space="preserve"> ، ص 155 ، كتاب الصفوة ، ح 85 ؛ و</w:t>
      </w:r>
      <w:r w:rsidRPr="007A1104">
        <w:rPr>
          <w:rStyle w:val="libFootnoteBoldChar"/>
          <w:rtl/>
        </w:rPr>
        <w:t>بصائر الدرجات</w:t>
      </w:r>
      <w:r w:rsidRPr="00132E65">
        <w:rPr>
          <w:rtl/>
        </w:rPr>
        <w:t xml:space="preserve"> ، ص 259 ، ح 5 ؛ وص 509 </w:t>
      </w:r>
      <w:r>
        <w:rPr>
          <w:rtl/>
        </w:rPr>
        <w:t>و 5</w:t>
      </w:r>
      <w:r w:rsidRPr="00132E65">
        <w:rPr>
          <w:rtl/>
        </w:rPr>
        <w:t xml:space="preserve">10 ، ح 11 </w:t>
      </w:r>
      <w:r>
        <w:rPr>
          <w:rtl/>
        </w:rPr>
        <w:t>و 1</w:t>
      </w:r>
      <w:r w:rsidRPr="00132E65">
        <w:rPr>
          <w:rtl/>
        </w:rPr>
        <w:t xml:space="preserve">5 ؛ </w:t>
      </w:r>
      <w:r w:rsidRPr="006628E1">
        <w:rPr>
          <w:rStyle w:val="libFootnoteBoldChar"/>
          <w:rtl/>
        </w:rPr>
        <w:t>والغيبة للنعماني</w:t>
      </w:r>
      <w:r w:rsidRPr="00132E65">
        <w:rPr>
          <w:rtl/>
        </w:rPr>
        <w:t xml:space="preserve"> ، ص 330 ، ح 5 ؛ </w:t>
      </w:r>
      <w:r w:rsidRPr="006628E1">
        <w:rPr>
          <w:rStyle w:val="libFootnoteBoldChar"/>
          <w:rtl/>
        </w:rPr>
        <w:t>وعيون الأخبار</w:t>
      </w:r>
      <w:r w:rsidRPr="00132E65">
        <w:rPr>
          <w:rtl/>
        </w:rPr>
        <w:t xml:space="preserve"> ، ج 2 ، ص 58 ، ح 214 ؛ </w:t>
      </w:r>
      <w:r w:rsidRPr="006628E1">
        <w:rPr>
          <w:rStyle w:val="libFootnoteBoldChar"/>
          <w:rtl/>
        </w:rPr>
        <w:t>وكمال الدين</w:t>
      </w:r>
      <w:r w:rsidRPr="003D2E47">
        <w:rPr>
          <w:rtl/>
        </w:rPr>
        <w:t xml:space="preserve"> </w:t>
      </w:r>
      <w:r w:rsidRPr="00132E65">
        <w:rPr>
          <w:rtl/>
        </w:rPr>
        <w:t xml:space="preserve">، ص 409 ، ح 9 ؛ وص 412 ، ح 10 ؛ </w:t>
      </w:r>
      <w:r w:rsidRPr="006628E1">
        <w:rPr>
          <w:rStyle w:val="libFootnoteBoldChar"/>
          <w:rtl/>
        </w:rPr>
        <w:t>والاختصاص</w:t>
      </w:r>
      <w:r w:rsidRPr="00132E65">
        <w:rPr>
          <w:rtl/>
        </w:rPr>
        <w:t xml:space="preserve"> ، ص 268</w:t>
      </w:r>
      <w:r>
        <w:rPr>
          <w:rtl/>
        </w:rPr>
        <w:t xml:space="preserve"> - </w:t>
      </w:r>
      <w:r w:rsidRPr="00132E65">
        <w:rPr>
          <w:rtl/>
        </w:rPr>
        <w:t xml:space="preserve">269 ؛ </w:t>
      </w:r>
      <w:r w:rsidRPr="006628E1">
        <w:rPr>
          <w:rStyle w:val="libFootnoteBoldChar"/>
          <w:rtl/>
        </w:rPr>
        <w:t>وتفسير العيّاشي</w:t>
      </w:r>
      <w:r w:rsidRPr="00132E65">
        <w:rPr>
          <w:rtl/>
        </w:rPr>
        <w:t xml:space="preserve"> ، ج 1 ، ص 252 ، ح 175 ؛ وج 2 ، ص 303 ، ح 119 ؛ </w:t>
      </w:r>
      <w:r w:rsidRPr="006628E1">
        <w:rPr>
          <w:rStyle w:val="libFootnoteBoldChar"/>
          <w:rtl/>
        </w:rPr>
        <w:t>وقرب الإسناد</w:t>
      </w:r>
      <w:r w:rsidRPr="00132E65">
        <w:rPr>
          <w:rtl/>
        </w:rPr>
        <w:t xml:space="preserve"> ، ص 348 ، ح 1260 ؛ </w:t>
      </w:r>
      <w:r w:rsidRPr="006628E1">
        <w:rPr>
          <w:rStyle w:val="libFootnoteBoldChar"/>
          <w:rtl/>
        </w:rPr>
        <w:t>وكفاية الأثر</w:t>
      </w:r>
      <w:r w:rsidRPr="00132E65">
        <w:rPr>
          <w:rtl/>
        </w:rPr>
        <w:t xml:space="preserve"> ، ص 296 </w:t>
      </w:r>
      <w:r w:rsidR="006628E1">
        <w:rPr>
          <w:rFonts w:hint="cs"/>
          <w:rtl/>
        </w:rPr>
        <w:t>.</w:t>
      </w:r>
      <w:r w:rsidRPr="009D1ACE">
        <w:rPr>
          <w:rStyle w:val="libFootnoteBoldChar"/>
          <w:rtl/>
        </w:rPr>
        <w:t>الوافي</w:t>
      </w:r>
      <w:r w:rsidRPr="00132E65">
        <w:rPr>
          <w:rtl/>
        </w:rPr>
        <w:t xml:space="preserve"> ، ج 2 ، ص 123 ، ح 586.</w:t>
      </w:r>
    </w:p>
    <w:p w:rsidR="000C39D1" w:rsidRPr="00132E65" w:rsidRDefault="000C39D1" w:rsidP="000C39D1">
      <w:pPr>
        <w:pStyle w:val="libFootnote0"/>
        <w:rPr>
          <w:rtl/>
          <w:lang w:bidi="fa-IR"/>
        </w:rPr>
      </w:pPr>
      <w:r>
        <w:rPr>
          <w:rtl/>
        </w:rPr>
        <w:t>(5).</w:t>
      </w:r>
      <w:r w:rsidRPr="00132E65">
        <w:rPr>
          <w:rtl/>
        </w:rPr>
        <w:t xml:space="preserve"> في « ف » : « حدَّثنا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مِيتَةُ جَاهِلِيَّةٍ »</w:t>
      </w:r>
      <w:r>
        <w:rPr>
          <w:rtl/>
          <w:lang w:bidi="fa-IR"/>
        </w:rPr>
        <w:t>.</w:t>
      </w:r>
      <w:r w:rsidRPr="00132E65">
        <w:rPr>
          <w:rtl/>
          <w:lang w:bidi="fa-IR"/>
        </w:rPr>
        <w:t xml:space="preserve"> قَالَ : فَقُلْتُ </w:t>
      </w:r>
      <w:r>
        <w:rPr>
          <w:rStyle w:val="libFootnotenumChar"/>
          <w:rtl/>
        </w:rPr>
        <w:t>(1)</w:t>
      </w:r>
      <w:r w:rsidRPr="00132E65">
        <w:rPr>
          <w:rtl/>
          <w:lang w:bidi="fa-IR"/>
        </w:rPr>
        <w:t xml:space="preserve"> : مِيتَةُ كُفْرٍ</w:t>
      </w:r>
      <w:r>
        <w:rPr>
          <w:rtl/>
          <w:lang w:bidi="fa-IR"/>
        </w:rPr>
        <w:t>؟</w:t>
      </w:r>
      <w:r w:rsidRPr="00132E65">
        <w:rPr>
          <w:rtl/>
          <w:lang w:bidi="fa-IR"/>
        </w:rPr>
        <w:t xml:space="preserve"> قَالَ </w:t>
      </w:r>
      <w:r>
        <w:rPr>
          <w:rStyle w:val="libFootnotenumChar"/>
          <w:rtl/>
        </w:rPr>
        <w:t>(2)</w:t>
      </w:r>
      <w:r w:rsidRPr="00132E65">
        <w:rPr>
          <w:rtl/>
          <w:lang w:bidi="fa-IR"/>
        </w:rPr>
        <w:t xml:space="preserve"> : « مِيتَةُ ضَلَالٍ </w:t>
      </w:r>
      <w:r>
        <w:rPr>
          <w:rStyle w:val="libFootnotenumChar"/>
          <w:rtl/>
        </w:rPr>
        <w:t>(3)</w:t>
      </w:r>
      <w:r w:rsidRPr="00132E65">
        <w:rPr>
          <w:rtl/>
          <w:lang w:bidi="fa-IR"/>
        </w:rPr>
        <w:t xml:space="preserve"> »</w:t>
      </w:r>
      <w:r>
        <w:rPr>
          <w:rtl/>
          <w:lang w:bidi="fa-IR"/>
        </w:rPr>
        <w:t>.</w:t>
      </w:r>
      <w:r w:rsidRPr="00132E65">
        <w:rPr>
          <w:rtl/>
          <w:lang w:bidi="fa-IR"/>
        </w:rPr>
        <w:t xml:space="preserve"> قُلْتُ </w:t>
      </w:r>
      <w:r>
        <w:rPr>
          <w:rStyle w:val="libFootnotenumChar"/>
          <w:rtl/>
        </w:rPr>
        <w:t>(4)</w:t>
      </w:r>
      <w:r w:rsidRPr="00132E65">
        <w:rPr>
          <w:rtl/>
          <w:lang w:bidi="fa-IR"/>
        </w:rPr>
        <w:t xml:space="preserve"> : فَمَنْ مَاتَ الْيَوْمَ وَلَيْسَ لَهُ إِمَامٌ ، فَمِيتَتُهُ مِيتَةُ جَاهِلِيَّةٍ</w:t>
      </w:r>
      <w:r>
        <w:rPr>
          <w:rtl/>
          <w:lang w:bidi="fa-IR"/>
        </w:rPr>
        <w:t>؟</w:t>
      </w:r>
      <w:r w:rsidRPr="00132E65">
        <w:rPr>
          <w:rtl/>
          <w:lang w:bidi="fa-IR"/>
        </w:rPr>
        <w:t xml:space="preserve"> فَقَالَ : « نَعَمْ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D2E47">
        <w:rPr>
          <w:rtl/>
        </w:rPr>
        <w:t>980</w:t>
      </w:r>
      <w:r w:rsidRPr="004325D8">
        <w:rPr>
          <w:rStyle w:val="libBold2Char"/>
          <w:rtl/>
        </w:rPr>
        <w:t xml:space="preserve"> / 3.</w:t>
      </w:r>
      <w:r w:rsidRPr="00132E65">
        <w:rPr>
          <w:rtl/>
          <w:lang w:bidi="fa-IR"/>
        </w:rPr>
        <w:t xml:space="preserve"> أَحْمَدُ بْنُ إِدْرِيسَ ، عَنْ مُحَمَّدِ بْنِ عَبْدِ الْجَبَّارِ ، عَنْ صَفْوَانَ ، عَنِ الْفُضَيْلِ </w:t>
      </w:r>
      <w:r>
        <w:rPr>
          <w:rStyle w:val="libFootnotenumChar"/>
          <w:rtl/>
        </w:rPr>
        <w:t>(6)</w:t>
      </w:r>
      <w:r w:rsidRPr="00132E65">
        <w:rPr>
          <w:rtl/>
          <w:lang w:bidi="fa-IR"/>
        </w:rPr>
        <w:t xml:space="preserve"> ، عَنِ الْحَارِثِ بْنِ الْمُغِيرَةِ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قَالَ رَسُولُ اللهِ </w:t>
      </w:r>
      <w:r w:rsidRPr="0093484F">
        <w:rPr>
          <w:rStyle w:val="libAlaemChar"/>
          <w:rFonts w:eastAsiaTheme="minorHAnsi"/>
          <w:rtl/>
        </w:rPr>
        <w:t>صلى‌الله‌عليه‌وآله</w:t>
      </w:r>
      <w:r w:rsidRPr="00132E65">
        <w:rPr>
          <w:rtl/>
          <w:lang w:bidi="fa-IR"/>
        </w:rPr>
        <w:t xml:space="preserve">: مَنْ مَاتَ لَايَعْرِفُ </w:t>
      </w:r>
      <w:r>
        <w:rPr>
          <w:rStyle w:val="libFootnotenumChar"/>
          <w:rtl/>
        </w:rPr>
        <w:t>(7)</w:t>
      </w:r>
      <w:r w:rsidRPr="00132E65">
        <w:rPr>
          <w:rtl/>
          <w:lang w:bidi="fa-IR"/>
        </w:rPr>
        <w:t xml:space="preserve"> إِمَامَهُ ، مَاتَ مِيتَةً جَاهِلِيَّةً</w:t>
      </w:r>
      <w:r>
        <w:rPr>
          <w:rtl/>
          <w:lang w:bidi="fa-IR"/>
        </w:rPr>
        <w:t>؟</w:t>
      </w:r>
      <w:r w:rsidRPr="00132E65">
        <w:rPr>
          <w:rtl/>
          <w:lang w:bidi="fa-IR"/>
        </w:rPr>
        <w:t xml:space="preserve"> قَالَ : « نَعَمْ »</w:t>
      </w:r>
      <w:r>
        <w:rPr>
          <w:rtl/>
          <w:lang w:bidi="fa-IR"/>
        </w:rPr>
        <w:t>.</w:t>
      </w:r>
      <w:r w:rsidRPr="00132E65">
        <w:rPr>
          <w:rtl/>
          <w:lang w:bidi="fa-IR"/>
        </w:rPr>
        <w:t xml:space="preserve"> قُلْتُ : جَاهِلِيَّةً جَهْلَاءَ </w:t>
      </w:r>
      <w:r>
        <w:rPr>
          <w:rStyle w:val="libFootnotenumChar"/>
          <w:rtl/>
        </w:rPr>
        <w:t>(8)</w:t>
      </w:r>
      <w:r w:rsidRPr="00132E65">
        <w:rPr>
          <w:rtl/>
          <w:lang w:bidi="fa-IR"/>
        </w:rPr>
        <w:t xml:space="preserve"> ، أَوْ جَاهِلِيَّةً لَايَعْرِفُ </w:t>
      </w:r>
      <w:r>
        <w:rPr>
          <w:rStyle w:val="libFootnotenumChar"/>
          <w:rtl/>
        </w:rPr>
        <w:t>(9)</w:t>
      </w:r>
      <w:r w:rsidRPr="00132E65">
        <w:rPr>
          <w:rtl/>
          <w:lang w:bidi="fa-IR"/>
        </w:rPr>
        <w:t xml:space="preserve"> إِمَامَهُ</w:t>
      </w:r>
      <w:r>
        <w:rPr>
          <w:rtl/>
          <w:lang w:bidi="fa-IR"/>
        </w:rPr>
        <w:t>؟</w:t>
      </w:r>
      <w:r w:rsidRPr="00132E65">
        <w:rPr>
          <w:rtl/>
          <w:lang w:bidi="fa-IR"/>
        </w:rPr>
        <w:t xml:space="preserve"> قَالَ :</w:t>
      </w:r>
      <w:r>
        <w:rPr>
          <w:rFonts w:hint="cs"/>
          <w:rtl/>
          <w:lang w:bidi="fa-IR"/>
        </w:rPr>
        <w:t xml:space="preserve"> </w:t>
      </w:r>
      <w:r w:rsidRPr="00132E65">
        <w:rPr>
          <w:rtl/>
          <w:lang w:bidi="fa-IR"/>
        </w:rPr>
        <w:t>« جَاهِلِيَّةَ كُفْرٍ ونِفَاقٍ وضَلَالٍ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وفي المطبوع : « قلت »</w:t>
      </w:r>
      <w:r>
        <w:rPr>
          <w:rtl/>
        </w:rPr>
        <w:t>.</w:t>
      </w:r>
    </w:p>
    <w:p w:rsidR="000C39D1" w:rsidRPr="00132E65" w:rsidRDefault="000C39D1" w:rsidP="000C39D1">
      <w:pPr>
        <w:pStyle w:val="libFootnote0"/>
        <w:rPr>
          <w:rtl/>
          <w:lang w:bidi="fa-IR"/>
        </w:rPr>
      </w:pPr>
      <w:r>
        <w:rPr>
          <w:rtl/>
        </w:rPr>
        <w:t>(2).</w:t>
      </w:r>
      <w:r w:rsidRPr="00132E65">
        <w:rPr>
          <w:rtl/>
        </w:rPr>
        <w:t xml:space="preserve"> في المحاسن :</w:t>
      </w:r>
      <w:r>
        <w:rPr>
          <w:rtl/>
        </w:rPr>
        <w:t xml:space="preserve"> + </w:t>
      </w:r>
      <w:r w:rsidRPr="00132E65">
        <w:rPr>
          <w:rtl/>
        </w:rPr>
        <w:t>« لا »</w:t>
      </w:r>
      <w:r>
        <w:rPr>
          <w:rtl/>
        </w:rPr>
        <w:t>.</w:t>
      </w:r>
    </w:p>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في « بف » : « قال »</w:t>
      </w:r>
      <w:r>
        <w:rPr>
          <w:rtl/>
        </w:rPr>
        <w:t>.</w:t>
      </w:r>
    </w:p>
    <w:p w:rsidR="000C39D1" w:rsidRPr="00132E65" w:rsidRDefault="000C39D1" w:rsidP="000C39D1">
      <w:pPr>
        <w:pStyle w:val="libFootnote0"/>
        <w:rPr>
          <w:rtl/>
          <w:lang w:bidi="fa-IR"/>
        </w:rPr>
      </w:pPr>
      <w:r>
        <w:rPr>
          <w:rtl/>
        </w:rPr>
        <w:t>(5).</w:t>
      </w:r>
      <w:r w:rsidRPr="00132E65">
        <w:rPr>
          <w:rtl/>
        </w:rPr>
        <w:t xml:space="preserve"> </w:t>
      </w:r>
      <w:r w:rsidRPr="006628E1">
        <w:rPr>
          <w:rStyle w:val="libFootnoteBoldChar"/>
          <w:rtl/>
        </w:rPr>
        <w:t>المحاسن</w:t>
      </w:r>
      <w:r w:rsidRPr="00132E65">
        <w:rPr>
          <w:rtl/>
        </w:rPr>
        <w:t xml:space="preserve"> ، ص 154 ، كتاب </w:t>
      </w:r>
      <w:r w:rsidRPr="006628E1">
        <w:rPr>
          <w:rStyle w:val="libFootnoteBoldChar"/>
          <w:rtl/>
        </w:rPr>
        <w:t>الصفوة</w:t>
      </w:r>
      <w:r w:rsidRPr="00132E65">
        <w:rPr>
          <w:rtl/>
        </w:rPr>
        <w:t xml:space="preserve"> ، ح 80 ، بسند آخر ، وفيه إلى قوله : « ميتة ضلال » </w:t>
      </w:r>
      <w:r w:rsidR="006628E1">
        <w:rPr>
          <w:rFonts w:hint="cs"/>
          <w:rtl/>
        </w:rPr>
        <w:t>.</w:t>
      </w:r>
      <w:r w:rsidRPr="009D1ACE">
        <w:rPr>
          <w:rStyle w:val="libFootnoteBoldChar"/>
          <w:rtl/>
        </w:rPr>
        <w:t>الوافي</w:t>
      </w:r>
      <w:r w:rsidRPr="00132E65">
        <w:rPr>
          <w:rtl/>
        </w:rPr>
        <w:t xml:space="preserve"> ، ج 2 ، ص 123 ، ح 587.</w:t>
      </w:r>
    </w:p>
    <w:p w:rsidR="000C39D1" w:rsidRPr="00132E65" w:rsidRDefault="000C39D1" w:rsidP="000C39D1">
      <w:pPr>
        <w:pStyle w:val="libFootnote0"/>
        <w:rPr>
          <w:rtl/>
          <w:lang w:bidi="fa-IR"/>
        </w:rPr>
      </w:pPr>
      <w:r>
        <w:rPr>
          <w:rtl/>
        </w:rPr>
        <w:t>(6).</w:t>
      </w:r>
      <w:r w:rsidRPr="00132E65">
        <w:rPr>
          <w:rtl/>
        </w:rPr>
        <w:t xml:space="preserve"> في « بف » : « الفضل »</w:t>
      </w:r>
      <w:r>
        <w:rPr>
          <w:rtl/>
        </w:rPr>
        <w:t>.</w:t>
      </w:r>
      <w:r w:rsidRPr="00132E65">
        <w:rPr>
          <w:rtl/>
        </w:rPr>
        <w:t xml:space="preserve"> ثمّ إنّ الظاهر أنّ الفضيل هذا ، هو الفضيل بن عثمان الأعور ؛ لما روى عنه صفوان [ بن‌يحيى ] في بعض الأسناد ، ولم يثبت رواية صفوان عمّن يسمّى بالفضل غيره. راجع : </w:t>
      </w:r>
      <w:r w:rsidRPr="000577A7">
        <w:rPr>
          <w:rStyle w:val="libFootnoteBoldChar"/>
          <w:rtl/>
        </w:rPr>
        <w:t>الكافي</w:t>
      </w:r>
      <w:r w:rsidRPr="00132E65">
        <w:rPr>
          <w:rtl/>
        </w:rPr>
        <w:t xml:space="preserve"> ، ج 1 ، ح 316 </w:t>
      </w:r>
      <w:r>
        <w:rPr>
          <w:rtl/>
        </w:rPr>
        <w:t>و 1</w:t>
      </w:r>
      <w:r w:rsidRPr="00132E65">
        <w:rPr>
          <w:rtl/>
        </w:rPr>
        <w:t xml:space="preserve">585 ؛ </w:t>
      </w:r>
      <w:r w:rsidRPr="006628E1">
        <w:rPr>
          <w:rStyle w:val="libFootnoteBoldChar"/>
          <w:rtl/>
        </w:rPr>
        <w:t>المحاسن</w:t>
      </w:r>
      <w:r w:rsidRPr="00132E65">
        <w:rPr>
          <w:rtl/>
        </w:rPr>
        <w:t xml:space="preserve"> ، ص 394 ، ح 50 ؛ </w:t>
      </w:r>
      <w:r w:rsidRPr="006628E1">
        <w:rPr>
          <w:rStyle w:val="libFootnoteBoldChar"/>
          <w:rtl/>
        </w:rPr>
        <w:t>التوحيد</w:t>
      </w:r>
      <w:r w:rsidRPr="00132E65">
        <w:rPr>
          <w:rtl/>
        </w:rPr>
        <w:t xml:space="preserve"> ، ص 314 ، ح 2 ؛ وص 457 ، ح 15 ؛ </w:t>
      </w:r>
      <w:r w:rsidRPr="006628E1">
        <w:rPr>
          <w:rStyle w:val="libFootnoteBoldChar"/>
          <w:rtl/>
        </w:rPr>
        <w:t>الفقيه</w:t>
      </w:r>
      <w:r w:rsidRPr="00132E65">
        <w:rPr>
          <w:rtl/>
        </w:rPr>
        <w:t xml:space="preserve"> ، ج 4 ، ص 436 ؛ </w:t>
      </w:r>
      <w:r w:rsidRPr="006628E1">
        <w:rPr>
          <w:rStyle w:val="libFootnoteBoldChar"/>
          <w:rtl/>
        </w:rPr>
        <w:t>رجال الكشّي</w:t>
      </w:r>
      <w:r w:rsidRPr="00132E65">
        <w:rPr>
          <w:rtl/>
        </w:rPr>
        <w:t xml:space="preserve"> ، ص 235 ، الرقم 428.</w:t>
      </w:r>
    </w:p>
    <w:p w:rsidR="000C39D1" w:rsidRPr="00132E65" w:rsidRDefault="000C39D1" w:rsidP="000C39D1">
      <w:pPr>
        <w:pStyle w:val="libFootnote0"/>
        <w:rPr>
          <w:rtl/>
          <w:lang w:bidi="fa-IR"/>
        </w:rPr>
      </w:pPr>
      <w:r w:rsidRPr="00E55206">
        <w:rPr>
          <w:rtl/>
        </w:rPr>
        <w:t xml:space="preserve">إذا تبيّن ذلك ، فنقول : إنّ الفضيل بن عثمان كان يقال له « الفضل » أيضاً. راجع : </w:t>
      </w:r>
      <w:r w:rsidRPr="006628E1">
        <w:rPr>
          <w:rStyle w:val="libFootnoteBoldChar"/>
          <w:rtl/>
        </w:rPr>
        <w:t>رجال النجاشي</w:t>
      </w:r>
      <w:r w:rsidRPr="00E55206">
        <w:rPr>
          <w:rtl/>
        </w:rPr>
        <w:t xml:space="preserve"> ، ص 308 ، الرقم 841 ؛ </w:t>
      </w:r>
      <w:r w:rsidRPr="006628E1">
        <w:rPr>
          <w:rStyle w:val="libFootnoteBoldChar"/>
          <w:rtl/>
        </w:rPr>
        <w:t>رجال الطوسي</w:t>
      </w:r>
      <w:r w:rsidRPr="00E55206">
        <w:rPr>
          <w:rtl/>
        </w:rPr>
        <w:t xml:space="preserve"> ، ص 268 ، الرقم 3854 ؛ وص 269 ، الرقم 3877.</w:t>
      </w:r>
    </w:p>
    <w:p w:rsidR="000C39D1" w:rsidRPr="00132E65" w:rsidRDefault="000C39D1" w:rsidP="000C39D1">
      <w:pPr>
        <w:pStyle w:val="libFootnote0"/>
        <w:rPr>
          <w:rtl/>
          <w:lang w:bidi="fa-IR"/>
        </w:rPr>
      </w:pPr>
      <w:r>
        <w:rPr>
          <w:rtl/>
        </w:rPr>
        <w:t>(7).</w:t>
      </w:r>
      <w:r w:rsidRPr="00132E65">
        <w:rPr>
          <w:rtl/>
        </w:rPr>
        <w:t xml:space="preserve"> في الوسائل : « ولا يعرف »</w:t>
      </w:r>
      <w:r>
        <w:rPr>
          <w:rtl/>
        </w:rPr>
        <w:t>.</w:t>
      </w:r>
    </w:p>
    <w:p w:rsidR="000C39D1" w:rsidRPr="00132E65" w:rsidRDefault="000C39D1" w:rsidP="000C39D1">
      <w:pPr>
        <w:pStyle w:val="libFootnote0"/>
        <w:rPr>
          <w:rtl/>
          <w:lang w:bidi="fa-IR"/>
        </w:rPr>
      </w:pPr>
      <w:r>
        <w:rPr>
          <w:rtl/>
        </w:rPr>
        <w:t>(8).</w:t>
      </w:r>
      <w:r w:rsidRPr="00132E65">
        <w:rPr>
          <w:rtl/>
        </w:rPr>
        <w:t xml:space="preserve"> قال الجوهري : « قولهم : كان ذلك في الجاهليّة الجَهْلاء ، هو توكيد للأوّل ، يشتقّ له من اسمه ما يؤكّد به ، كما</w:t>
      </w:r>
      <w:r w:rsidR="006628E1">
        <w:rPr>
          <w:rFonts w:hint="cs"/>
          <w:rtl/>
        </w:rPr>
        <w:t xml:space="preserve"> </w:t>
      </w:r>
      <w:r w:rsidRPr="00132E65">
        <w:rPr>
          <w:rtl/>
        </w:rPr>
        <w:t>يقال : و</w:t>
      </w:r>
      <w:r w:rsidR="006628E1">
        <w:rPr>
          <w:rFonts w:hint="cs"/>
          <w:rtl/>
        </w:rPr>
        <w:t>َ</w:t>
      </w:r>
      <w:r w:rsidRPr="00132E65">
        <w:rPr>
          <w:rtl/>
        </w:rPr>
        <w:t>تِدٌ واتد ، وهمج هامج ، وليلة ليلاء ، ويوم أيوم »</w:t>
      </w:r>
      <w:r>
        <w:rPr>
          <w:rtl/>
        </w:rPr>
        <w:t>.</w:t>
      </w:r>
      <w:r w:rsidRPr="00132E65">
        <w:rPr>
          <w:rtl/>
        </w:rPr>
        <w:t xml:space="preserve"> </w:t>
      </w:r>
      <w:r w:rsidRPr="006628E1">
        <w:rPr>
          <w:rStyle w:val="libFootnoteBoldChar"/>
          <w:rtl/>
        </w:rPr>
        <w:t>الصحاح</w:t>
      </w:r>
      <w:r w:rsidRPr="00132E65">
        <w:rPr>
          <w:rtl/>
        </w:rPr>
        <w:t xml:space="preserve"> ، ج 4 ، ص 1664 ( جهل )</w:t>
      </w:r>
      <w:r>
        <w:rPr>
          <w:rtl/>
        </w:rPr>
        <w:t>.</w:t>
      </w:r>
    </w:p>
    <w:p w:rsidR="000C39D1" w:rsidRPr="00132E65" w:rsidRDefault="000C39D1" w:rsidP="000C39D1">
      <w:pPr>
        <w:pStyle w:val="libFootnote0"/>
        <w:rPr>
          <w:rtl/>
          <w:lang w:bidi="fa-IR"/>
        </w:rPr>
      </w:pPr>
      <w:r>
        <w:rPr>
          <w:rtl/>
        </w:rPr>
        <w:t>(9).</w:t>
      </w:r>
      <w:r w:rsidRPr="00132E65">
        <w:rPr>
          <w:rtl/>
        </w:rPr>
        <w:t xml:space="preserve"> في « ب ، ض ، بف » : « ولا يعرف »</w:t>
      </w:r>
      <w:r>
        <w:rPr>
          <w:rtl/>
        </w:rPr>
        <w:t>.</w:t>
      </w:r>
      <w:r w:rsidRPr="00132E65">
        <w:rPr>
          <w:rtl/>
        </w:rPr>
        <w:t xml:space="preserve"> وفي « ف » : « وليس يعرف »</w:t>
      </w:r>
      <w:r>
        <w:rPr>
          <w:rtl/>
        </w:rPr>
        <w:t>.</w:t>
      </w:r>
    </w:p>
    <w:p w:rsidR="000C39D1" w:rsidRPr="00132E65" w:rsidRDefault="000C39D1" w:rsidP="000C39D1">
      <w:pPr>
        <w:pStyle w:val="libFootnote0"/>
        <w:rPr>
          <w:rtl/>
          <w:lang w:bidi="fa-IR"/>
        </w:rPr>
      </w:pPr>
      <w:r>
        <w:rPr>
          <w:rtl/>
        </w:rPr>
        <w:t>(10).</w:t>
      </w:r>
      <w:r w:rsidRPr="00132E65">
        <w:rPr>
          <w:rtl/>
        </w:rPr>
        <w:t xml:space="preserve"> </w:t>
      </w:r>
      <w:r w:rsidRPr="006628E1">
        <w:rPr>
          <w:rStyle w:val="libFootnoteBoldChar"/>
          <w:rtl/>
        </w:rPr>
        <w:t>المحاسن</w:t>
      </w:r>
      <w:r w:rsidRPr="00132E65">
        <w:rPr>
          <w:rtl/>
        </w:rPr>
        <w:t xml:space="preserve"> ، ص 155 ، كتاب الصفوة ، ح 82 ، بسنده عن الحارث بن المغيرة ، عن عثمان بن المغيرة ، عن الصادق </w:t>
      </w:r>
      <w:r w:rsidRPr="006628E1">
        <w:rPr>
          <w:rStyle w:val="libFootnoteAlaemChar"/>
          <w:rtl/>
        </w:rPr>
        <w:t>عليه‌السلام</w:t>
      </w:r>
      <w:r w:rsidRPr="00132E65">
        <w:rPr>
          <w:rtl/>
        </w:rPr>
        <w:t xml:space="preserve"> ، عن عليّ </w:t>
      </w:r>
      <w:r w:rsidRPr="006628E1">
        <w:rPr>
          <w:rStyle w:val="libFootnoteAlaemChar"/>
          <w:rtl/>
        </w:rPr>
        <w:t>عليه‌السلام</w:t>
      </w:r>
      <w:r w:rsidRPr="00132E65">
        <w:rPr>
          <w:rtl/>
        </w:rPr>
        <w:t xml:space="preserve"> ، عن النبيّ </w:t>
      </w:r>
      <w:r w:rsidRPr="006628E1">
        <w:rPr>
          <w:rStyle w:val="libFootnoteAlaemChar"/>
          <w:rFonts w:eastAsiaTheme="minorHAnsi"/>
          <w:rtl/>
        </w:rPr>
        <w:t>صلى‌الله‌عليه‌وآله</w:t>
      </w:r>
      <w:r w:rsidRPr="00132E65">
        <w:rPr>
          <w:rtl/>
          <w:lang w:bidi="fa-IR"/>
        </w:rPr>
        <w:t xml:space="preserve"> </w:t>
      </w:r>
      <w:r w:rsidRPr="00132E65">
        <w:rPr>
          <w:rtl/>
        </w:rPr>
        <w:t xml:space="preserve">مع اختلاف يسير </w:t>
      </w:r>
      <w:r w:rsidR="006628E1">
        <w:rPr>
          <w:rFonts w:hint="cs"/>
          <w:rtl/>
        </w:rPr>
        <w:t>.</w:t>
      </w:r>
      <w:r w:rsidRPr="009D1ACE">
        <w:rPr>
          <w:rStyle w:val="libFootnoteBoldChar"/>
          <w:rtl/>
        </w:rPr>
        <w:t>الوافي</w:t>
      </w:r>
      <w:r w:rsidRPr="00132E65">
        <w:rPr>
          <w:rtl/>
        </w:rPr>
        <w:t xml:space="preserve"> ، ج 2 ، ص 123 ، ح 588 ؛ </w:t>
      </w:r>
      <w:r w:rsidRPr="006628E1">
        <w:rPr>
          <w:rStyle w:val="libFootnoteBoldChar"/>
          <w:rtl/>
        </w:rPr>
        <w:t>الوسائل</w:t>
      </w:r>
      <w:r w:rsidRPr="00132E65">
        <w:rPr>
          <w:rtl/>
        </w:rPr>
        <w:t xml:space="preserve"> ، ج 28 ، ص 353 ، ح 34950 ؛ </w:t>
      </w:r>
      <w:r w:rsidRPr="006628E1">
        <w:rPr>
          <w:rStyle w:val="libFootnoteBoldChar"/>
          <w:rtl/>
        </w:rPr>
        <w:t>البحار</w:t>
      </w:r>
      <w:r w:rsidRPr="00132E65">
        <w:rPr>
          <w:rtl/>
        </w:rPr>
        <w:t xml:space="preserve"> ، ج 8 ، ص 362 ، ح 39.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D2E47">
        <w:rPr>
          <w:rtl/>
        </w:rPr>
        <w:t>981</w:t>
      </w:r>
      <w:r w:rsidRPr="004325D8">
        <w:rPr>
          <w:rStyle w:val="libBold2Char"/>
          <w:rtl/>
        </w:rPr>
        <w:t xml:space="preserve"> / 4.</w:t>
      </w:r>
      <w:r w:rsidRPr="00132E65">
        <w:rPr>
          <w:rtl/>
          <w:lang w:bidi="fa-IR"/>
        </w:rPr>
        <w:t xml:space="preserve"> بَعْضُ أَصْحَابِنَا </w:t>
      </w:r>
      <w:r>
        <w:rPr>
          <w:rStyle w:val="libFootnotenumChar"/>
          <w:rtl/>
        </w:rPr>
        <w:t>(1)</w:t>
      </w:r>
      <w:r w:rsidRPr="00132E65">
        <w:rPr>
          <w:rtl/>
          <w:lang w:bidi="fa-IR"/>
        </w:rPr>
        <w:t xml:space="preserve"> ، عَنْ عَبْدِ الْعَظِيمِ بْنِ عَبْدِ اللهِ الْحَسَنِيِّ ، عَنْ مَالِكَ بْنِ عَامِرٍ ، عَنِ الْمُفَضَّلِ بْنِ زَائِدَةَ ، عَنِ الْمُفَضَّلِ بْنِ عُمَرَ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مَنْ دَانَ اللهَ </w:t>
      </w:r>
      <w:r>
        <w:rPr>
          <w:rStyle w:val="libFootnotenumChar"/>
          <w:rtl/>
        </w:rPr>
        <w:t>(2)</w:t>
      </w:r>
      <w:r w:rsidRPr="00132E65">
        <w:rPr>
          <w:rtl/>
          <w:lang w:bidi="fa-IR"/>
        </w:rPr>
        <w:t xml:space="preserve"> بِغَيْرِ سَمَاعٍ عَنْ صَادِقٍ </w:t>
      </w:r>
      <w:r>
        <w:rPr>
          <w:rStyle w:val="libFootnotenumChar"/>
          <w:rtl/>
        </w:rPr>
        <w:t>(3)</w:t>
      </w:r>
      <w:r w:rsidRPr="00132E65">
        <w:rPr>
          <w:rtl/>
          <w:lang w:bidi="fa-IR"/>
        </w:rPr>
        <w:t xml:space="preserve"> ، أَلْزَمَهُ اللهُ </w:t>
      </w:r>
      <w:r>
        <w:rPr>
          <w:rStyle w:val="libFootnotenumChar"/>
          <w:rtl/>
        </w:rPr>
        <w:t>(4)</w:t>
      </w:r>
      <w:r w:rsidRPr="00132E65">
        <w:rPr>
          <w:rtl/>
          <w:lang w:bidi="fa-IR"/>
        </w:rPr>
        <w:t xml:space="preserve"> أَلْبَتَّةَ </w:t>
      </w:r>
      <w:r>
        <w:rPr>
          <w:rStyle w:val="libFootnotenumChar"/>
          <w:rtl/>
        </w:rPr>
        <w:t>(5)</w:t>
      </w:r>
      <w:r w:rsidRPr="00132E65">
        <w:rPr>
          <w:rtl/>
          <w:lang w:bidi="fa-IR"/>
        </w:rPr>
        <w:t xml:space="preserve"> إِلَى </w:t>
      </w:r>
      <w:r>
        <w:rPr>
          <w:rStyle w:val="libFootnotenumChar"/>
          <w:rtl/>
        </w:rPr>
        <w:t>(6)</w:t>
      </w:r>
      <w:r w:rsidRPr="00132E65">
        <w:rPr>
          <w:rtl/>
          <w:lang w:bidi="fa-IR"/>
        </w:rPr>
        <w:t xml:space="preserve"> الْعَنَاءِ </w:t>
      </w:r>
      <w:r>
        <w:rPr>
          <w:rStyle w:val="libFootnotenumChar"/>
          <w:rtl/>
        </w:rPr>
        <w:t>(7)</w:t>
      </w:r>
      <w:r w:rsidRPr="00132E65">
        <w:rPr>
          <w:rtl/>
          <w:lang w:bidi="fa-IR"/>
        </w:rPr>
        <w:t xml:space="preserve"> ، و</w:t>
      </w:r>
      <w:r w:rsidR="006628E1">
        <w:rPr>
          <w:rFonts w:hint="cs"/>
          <w:rtl/>
          <w:lang w:bidi="fa-IR"/>
        </w:rPr>
        <w:t xml:space="preserve">َ </w:t>
      </w:r>
      <w:r w:rsidRPr="00132E65">
        <w:rPr>
          <w:rtl/>
          <w:lang w:bidi="fa-IR"/>
        </w:rPr>
        <w:t xml:space="preserve">مَنِ ادَّعى سَمَاعاً مِنْ غَيْرِ الْبَابِ الَّذِي فَتَحَهُ اللهُ ، فَهُوَ مُشْرِكٌ ، وذلِكَ الْبَابُ الْمَأْمُونُ </w:t>
      </w:r>
      <w:r>
        <w:rPr>
          <w:rStyle w:val="libFootnotenumChar"/>
          <w:rtl/>
        </w:rPr>
        <w:t>(8)</w:t>
      </w:r>
      <w:r w:rsidRPr="00132E65">
        <w:rPr>
          <w:rtl/>
          <w:lang w:bidi="fa-IR"/>
        </w:rPr>
        <w:t xml:space="preserve"> عَلى سِرِّ اللهِ الْمَكْنُونِ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Heading2Center"/>
        <w:rPr>
          <w:rtl/>
          <w:lang w:bidi="fa-IR"/>
        </w:rPr>
      </w:pPr>
      <w:bookmarkStart w:id="66" w:name="_Toc459459119"/>
      <w:bookmarkStart w:id="67" w:name="_Toc34663088"/>
      <w:r w:rsidRPr="00132E65">
        <w:rPr>
          <w:rtl/>
          <w:lang w:bidi="fa-IR"/>
        </w:rPr>
        <w:t>88</w:t>
      </w:r>
      <w:r>
        <w:rPr>
          <w:rtl/>
          <w:lang w:bidi="fa-IR"/>
        </w:rPr>
        <w:t xml:space="preserve"> - </w:t>
      </w:r>
      <w:r w:rsidRPr="00132E65">
        <w:rPr>
          <w:rtl/>
          <w:lang w:bidi="fa-IR"/>
        </w:rPr>
        <w:t xml:space="preserve">بَابٌ فِيمَنْ عَرَفَ الْحَقَّ مِنْ أَهْلِ الْبَيْتِ ومَنْ أَنْكَرَ </w:t>
      </w:r>
      <w:r>
        <w:rPr>
          <w:rStyle w:val="libFootnotenumChar"/>
          <w:rtl/>
        </w:rPr>
        <w:t>(10)</w:t>
      </w:r>
      <w:r w:rsidRPr="00132E65">
        <w:rPr>
          <w:rtl/>
          <w:lang w:bidi="fa-IR"/>
        </w:rPr>
        <w:t xml:space="preserve"> ‌</w:t>
      </w:r>
      <w:bookmarkEnd w:id="66"/>
      <w:bookmarkEnd w:id="67"/>
    </w:p>
    <w:p w:rsidR="000C39D1" w:rsidRPr="00132E65" w:rsidRDefault="000C39D1" w:rsidP="000C39D1">
      <w:pPr>
        <w:pStyle w:val="libNormal"/>
        <w:rPr>
          <w:rtl/>
          <w:lang w:bidi="fa-IR"/>
        </w:rPr>
      </w:pPr>
      <w:r w:rsidRPr="003D2E47">
        <w:rPr>
          <w:rtl/>
        </w:rPr>
        <w:t>982</w:t>
      </w:r>
      <w:r w:rsidRPr="004325D8">
        <w:rPr>
          <w:rStyle w:val="libBold2Char"/>
          <w:rtl/>
        </w:rPr>
        <w:t xml:space="preserve"> / 1.</w:t>
      </w:r>
      <w:r w:rsidRPr="00132E65">
        <w:rPr>
          <w:rtl/>
          <w:lang w:bidi="fa-IR"/>
        </w:rPr>
        <w:t xml:space="preserve"> عِدَّةٌ مِنْ أَصْحَابِنَا ، عَنْ أَحْمَدَ بْنِ مُحَمَّدِ بْنِ عِيسى ، عَنْ عَلِيِّ بْنِ الْحَكَمِ ، عَنْ سُلَيْمَانَ بْنِ جَعْفَرٍ ، قَالَ :</w:t>
      </w:r>
    </w:p>
    <w:p w:rsidR="000C39D1" w:rsidRPr="00132E65" w:rsidRDefault="000C39D1" w:rsidP="000C39D1">
      <w:pPr>
        <w:pStyle w:val="libNormal"/>
        <w:rPr>
          <w:rtl/>
          <w:lang w:bidi="fa-IR"/>
        </w:rPr>
      </w:pPr>
      <w:r w:rsidRPr="00132E65">
        <w:rPr>
          <w:rtl/>
          <w:lang w:bidi="fa-IR"/>
        </w:rPr>
        <w:t xml:space="preserve">سَمِعْتُ الرِّضَا </w:t>
      </w:r>
      <w:r w:rsidRPr="00071CF9">
        <w:rPr>
          <w:rStyle w:val="libAlaemChar"/>
          <w:rtl/>
        </w:rPr>
        <w:t>عليه‌السلام</w:t>
      </w:r>
      <w:r w:rsidRPr="00132E65">
        <w:rPr>
          <w:rtl/>
          <w:lang w:bidi="fa-IR"/>
        </w:rPr>
        <w:t xml:space="preserve"> يَقُولُ : « إِنَّ عَلِيَّ بْنَ عَبْدِ اللهِ </w:t>
      </w:r>
      <w:r>
        <w:rPr>
          <w:rStyle w:val="libFootnotenumChar"/>
          <w:rtl/>
        </w:rPr>
        <w:t>(11)</w:t>
      </w:r>
      <w:r w:rsidRPr="00132E65">
        <w:rPr>
          <w:rtl/>
          <w:lang w:bidi="fa-IR"/>
        </w:rPr>
        <w:t xml:space="preserve"> بْنِ الْحُسَيْنِ بْنِ عَلِيِّ بْنِ‌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628E1" w:rsidTr="006628E1">
        <w:tc>
          <w:tcPr>
            <w:tcW w:w="4006" w:type="dxa"/>
          </w:tcPr>
          <w:p w:rsidR="006628E1" w:rsidRDefault="006628E1" w:rsidP="000C39D1">
            <w:pPr>
              <w:pStyle w:val="libFootnote0"/>
              <w:rPr>
                <w:rtl/>
              </w:rPr>
            </w:pPr>
            <w:r>
              <w:rPr>
                <w:rtl/>
              </w:rPr>
              <w:t>(1).</w:t>
            </w:r>
            <w:r w:rsidRPr="00132E65">
              <w:rPr>
                <w:rtl/>
              </w:rPr>
              <w:t xml:space="preserve"> في « بس » : « عدّة من أصحابنا »</w:t>
            </w:r>
            <w:r>
              <w:rPr>
                <w:rtl/>
              </w:rPr>
              <w:t>.</w:t>
            </w:r>
          </w:p>
        </w:tc>
        <w:tc>
          <w:tcPr>
            <w:tcW w:w="4006" w:type="dxa"/>
          </w:tcPr>
          <w:p w:rsidR="006628E1" w:rsidRDefault="006628E1" w:rsidP="000C39D1">
            <w:pPr>
              <w:pStyle w:val="libFootnote0"/>
              <w:rPr>
                <w:rtl/>
              </w:rPr>
            </w:pPr>
            <w:r>
              <w:rPr>
                <w:rtl/>
              </w:rPr>
              <w:t>(2).</w:t>
            </w:r>
            <w:r w:rsidRPr="00132E65">
              <w:rPr>
                <w:rtl/>
              </w:rPr>
              <w:t xml:space="preserve"> في </w:t>
            </w:r>
            <w:r w:rsidRPr="006628E1">
              <w:rPr>
                <w:rStyle w:val="libFootnoteBoldChar"/>
                <w:rtl/>
              </w:rPr>
              <w:t>الغيبة</w:t>
            </w:r>
            <w:r w:rsidRPr="00132E65">
              <w:rPr>
                <w:rtl/>
              </w:rPr>
              <w:t xml:space="preserve"> ، ذيل ح 18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(3).</w:t>
      </w:r>
      <w:r w:rsidRPr="00132E65">
        <w:rPr>
          <w:rtl/>
        </w:rPr>
        <w:t xml:space="preserve"> في الغيبة ، ذيل ح 18 : « من صادق »</w:t>
      </w:r>
      <w:r>
        <w:rPr>
          <w:rtl/>
        </w:rPr>
        <w:t>.</w:t>
      </w:r>
      <w:r w:rsidRPr="00132E65">
        <w:rPr>
          <w:rtl/>
        </w:rPr>
        <w:t xml:space="preserve"> وفيه ح 18 : « عن عالم »</w:t>
      </w:r>
      <w:r>
        <w:rPr>
          <w:rtl/>
        </w:rPr>
        <w:t>.</w:t>
      </w:r>
    </w:p>
    <w:p w:rsidR="000C39D1" w:rsidRPr="00132E65" w:rsidRDefault="000C39D1" w:rsidP="000C39D1">
      <w:pPr>
        <w:pStyle w:val="libFootnote0"/>
        <w:rPr>
          <w:rtl/>
          <w:lang w:bidi="fa-IR"/>
        </w:rPr>
      </w:pPr>
      <w:r>
        <w:rPr>
          <w:rtl/>
        </w:rPr>
        <w:t>(4).</w:t>
      </w:r>
      <w:r w:rsidRPr="00132E65">
        <w:rPr>
          <w:rtl/>
        </w:rPr>
        <w:t xml:space="preserve"> في « بح ، بس »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(5).</w:t>
      </w:r>
      <w:r w:rsidRPr="00132E65">
        <w:rPr>
          <w:rtl/>
        </w:rPr>
        <w:t xml:space="preserve"> في « ض » والغيبة للنعماني والوسائل : « التِيهَ »</w:t>
      </w:r>
      <w:r>
        <w:rPr>
          <w:rtl/>
        </w:rPr>
        <w:t>.</w:t>
      </w:r>
      <w:r w:rsidRPr="00132E65">
        <w:rPr>
          <w:rtl/>
        </w:rPr>
        <w:t xml:space="preserve"> وفي </w:t>
      </w:r>
      <w:r w:rsidRPr="009D1ACE">
        <w:rPr>
          <w:rStyle w:val="libFootnoteBoldChar"/>
          <w:rtl/>
        </w:rPr>
        <w:t>مرآة العقول</w:t>
      </w:r>
      <w:r w:rsidRPr="00132E65">
        <w:rPr>
          <w:rtl/>
        </w:rPr>
        <w:t xml:space="preserve"> عن بعض النسخ : « البتّةَ » ، أي قطعاً.</w:t>
      </w:r>
    </w:p>
    <w:p w:rsidR="000C39D1" w:rsidRPr="00132E65" w:rsidRDefault="000C39D1" w:rsidP="000C39D1">
      <w:pPr>
        <w:pStyle w:val="libFootnote0"/>
        <w:rPr>
          <w:rtl/>
          <w:lang w:bidi="fa-IR"/>
        </w:rPr>
      </w:pPr>
      <w:r>
        <w:rPr>
          <w:rtl/>
        </w:rPr>
        <w:t>(6).</w:t>
      </w:r>
      <w:r w:rsidRPr="00132E65">
        <w:rPr>
          <w:rtl/>
        </w:rPr>
        <w:t xml:space="preserve"> في « بس » </w:t>
      </w:r>
      <w:r>
        <w:rPr>
          <w:rtl/>
        </w:rPr>
        <w:t xml:space="preserve">: - </w:t>
      </w:r>
      <w:r w:rsidRPr="00132E65">
        <w:rPr>
          <w:rtl/>
        </w:rPr>
        <w:t>« إلى »</w:t>
      </w:r>
      <w:r>
        <w:rPr>
          <w:rtl/>
        </w:rPr>
        <w:t>.</w:t>
      </w:r>
    </w:p>
    <w:p w:rsidR="000C39D1" w:rsidRPr="00132E65" w:rsidRDefault="000C39D1" w:rsidP="000C39D1">
      <w:pPr>
        <w:pStyle w:val="libFootnote0"/>
        <w:rPr>
          <w:rtl/>
          <w:lang w:bidi="fa-IR"/>
        </w:rPr>
      </w:pPr>
      <w:r>
        <w:rPr>
          <w:rtl/>
        </w:rPr>
        <w:t>(7).</w:t>
      </w:r>
      <w:r w:rsidRPr="00132E65">
        <w:rPr>
          <w:rtl/>
        </w:rPr>
        <w:t xml:space="preserve"> « العناء » : التعب والمشقّة. يقال : عني الإنسان عَناءً ، أي تعب ونصب. راجع : </w:t>
      </w:r>
      <w:r w:rsidRPr="006628E1">
        <w:rPr>
          <w:rStyle w:val="libFootnoteBoldChar"/>
          <w:rtl/>
        </w:rPr>
        <w:t>الصحاح</w:t>
      </w:r>
      <w:r w:rsidRPr="00132E65">
        <w:rPr>
          <w:rtl/>
        </w:rPr>
        <w:t xml:space="preserve"> ، ج 6 ، ص 2440 ( عنا )</w:t>
      </w:r>
      <w:r>
        <w:rPr>
          <w:rtl/>
        </w:rPr>
        <w:t>.</w:t>
      </w:r>
    </w:p>
    <w:p w:rsidR="000C39D1" w:rsidRPr="00132E65" w:rsidRDefault="000C39D1" w:rsidP="000C39D1">
      <w:pPr>
        <w:pStyle w:val="libFootnote0"/>
        <w:rPr>
          <w:rtl/>
          <w:lang w:bidi="fa-IR"/>
        </w:rPr>
      </w:pPr>
      <w:r>
        <w:rPr>
          <w:rtl/>
        </w:rPr>
        <w:t>(8).</w:t>
      </w:r>
      <w:r w:rsidRPr="00132E65">
        <w:rPr>
          <w:rtl/>
        </w:rPr>
        <w:t xml:space="preserve"> في الغيبة : « وذلك الباب هو الأمين المأمون »</w:t>
      </w:r>
      <w:r>
        <w:rPr>
          <w:rtl/>
        </w:rPr>
        <w:t>.</w:t>
      </w:r>
    </w:p>
    <w:p w:rsidR="000C39D1" w:rsidRPr="00132E65" w:rsidRDefault="000C39D1" w:rsidP="000C39D1">
      <w:pPr>
        <w:pStyle w:val="libFootnote0"/>
        <w:rPr>
          <w:rtl/>
          <w:lang w:bidi="fa-IR"/>
        </w:rPr>
      </w:pPr>
      <w:r>
        <w:rPr>
          <w:rtl/>
        </w:rPr>
        <w:t>(9).</w:t>
      </w:r>
      <w:r w:rsidRPr="00132E65">
        <w:rPr>
          <w:rtl/>
        </w:rPr>
        <w:t xml:space="preserve"> </w:t>
      </w:r>
      <w:r w:rsidRPr="006628E1">
        <w:rPr>
          <w:rStyle w:val="libFootnoteBoldChar"/>
          <w:rtl/>
        </w:rPr>
        <w:t>الغيبة للنعماني</w:t>
      </w:r>
      <w:r w:rsidRPr="00132E65">
        <w:rPr>
          <w:rtl/>
        </w:rPr>
        <w:t xml:space="preserve"> ، ص 134 ، ذيل ح 18 ، عن الكليني. </w:t>
      </w:r>
      <w:r w:rsidRPr="003D2E47">
        <w:rPr>
          <w:rtl/>
        </w:rPr>
        <w:t>وفيه</w:t>
      </w:r>
      <w:r w:rsidRPr="00132E65">
        <w:rPr>
          <w:rtl/>
        </w:rPr>
        <w:t xml:space="preserve"> ، ح 18 ، بسنده عن المفضّل بن زائدة. </w:t>
      </w:r>
      <w:r w:rsidRPr="007A1104">
        <w:rPr>
          <w:rStyle w:val="libFootnoteBoldChar"/>
          <w:rtl/>
        </w:rPr>
        <w:t>بصائر الدرجات</w:t>
      </w:r>
      <w:r w:rsidRPr="003D2E47">
        <w:rPr>
          <w:rtl/>
        </w:rPr>
        <w:t xml:space="preserve"> </w:t>
      </w:r>
      <w:r w:rsidRPr="00132E65">
        <w:rPr>
          <w:rtl/>
        </w:rPr>
        <w:t xml:space="preserve">، ص 13 ، ح 1 ، بسند آخر عن أبي جعفر </w:t>
      </w:r>
      <w:r w:rsidRPr="006628E1">
        <w:rPr>
          <w:rStyle w:val="libFootnoteAlaemChar"/>
          <w:rtl/>
        </w:rPr>
        <w:t>عليه‌السلام</w:t>
      </w:r>
      <w:r w:rsidRPr="00132E65">
        <w:rPr>
          <w:rtl/>
        </w:rPr>
        <w:t xml:space="preserve"> ، إلى قوله : « إلى العناء » ؛ </w:t>
      </w:r>
      <w:r w:rsidRPr="006628E1">
        <w:rPr>
          <w:rStyle w:val="libFootnoteBoldChar"/>
          <w:rtl/>
        </w:rPr>
        <w:t>عيون الأخبار</w:t>
      </w:r>
      <w:r w:rsidRPr="00132E65">
        <w:rPr>
          <w:rtl/>
        </w:rPr>
        <w:t xml:space="preserve"> ، ج 2 ، ص 9 ، ح 22 ، بسند آخر عن عليّ بن موسى الرضا </w:t>
      </w:r>
      <w:r w:rsidRPr="006628E1">
        <w:rPr>
          <w:rStyle w:val="libFootnoteAlaemChar"/>
          <w:rtl/>
        </w:rPr>
        <w:t>عليه‌السلام</w:t>
      </w:r>
      <w:r w:rsidRPr="00132E65">
        <w:rPr>
          <w:rtl/>
        </w:rPr>
        <w:t xml:space="preserve"> عن آبائه ، عن النبيّ </w:t>
      </w:r>
      <w:r w:rsidRPr="006628E1">
        <w:rPr>
          <w:rStyle w:val="libFootnoteAlaemChar"/>
          <w:rFonts w:eastAsiaTheme="minorHAnsi"/>
          <w:rtl/>
        </w:rPr>
        <w:t>صلى‌الله‌عليه‌وآله</w:t>
      </w:r>
      <w:r w:rsidRPr="00132E65">
        <w:rPr>
          <w:rtl/>
          <w:lang w:bidi="fa-IR"/>
        </w:rPr>
        <w:t xml:space="preserve"> </w:t>
      </w:r>
      <w:r w:rsidRPr="00132E65">
        <w:rPr>
          <w:rtl/>
        </w:rPr>
        <w:t xml:space="preserve">، وفيهما مع اختلاف يسير </w:t>
      </w:r>
      <w:r w:rsidR="006628E1">
        <w:rPr>
          <w:rFonts w:hint="cs"/>
          <w:rtl/>
        </w:rPr>
        <w:t>.</w:t>
      </w:r>
      <w:r w:rsidRPr="009D1ACE">
        <w:rPr>
          <w:rStyle w:val="libFootnoteBoldChar"/>
          <w:rtl/>
        </w:rPr>
        <w:t>الوافي</w:t>
      </w:r>
      <w:r w:rsidRPr="00132E65">
        <w:rPr>
          <w:rtl/>
        </w:rPr>
        <w:t xml:space="preserve"> ، ج 2 ، ص 121 ، ح 584 ؛ </w:t>
      </w:r>
      <w:r w:rsidRPr="006628E1">
        <w:rPr>
          <w:rStyle w:val="libFootnoteBoldChar"/>
          <w:rtl/>
        </w:rPr>
        <w:t>الوسائل</w:t>
      </w:r>
      <w:r w:rsidRPr="00132E65">
        <w:rPr>
          <w:rtl/>
        </w:rPr>
        <w:t xml:space="preserve"> ، ج 27 ، ص 128 ، ح 33393.</w:t>
      </w:r>
    </w:p>
    <w:p w:rsidR="000C39D1" w:rsidRPr="00132E65" w:rsidRDefault="000C39D1" w:rsidP="000C39D1">
      <w:pPr>
        <w:pStyle w:val="libFootnote0"/>
        <w:rPr>
          <w:rtl/>
          <w:lang w:bidi="fa-IR"/>
        </w:rPr>
      </w:pPr>
      <w:r>
        <w:rPr>
          <w:rtl/>
        </w:rPr>
        <w:t>(10).</w:t>
      </w:r>
      <w:r w:rsidRPr="00132E65">
        <w:rPr>
          <w:rtl/>
        </w:rPr>
        <w:t xml:space="preserve"> في « ب » : « أنكره »</w:t>
      </w:r>
      <w:r>
        <w:rPr>
          <w:rtl/>
        </w:rPr>
        <w:t>.</w:t>
      </w:r>
    </w:p>
    <w:p w:rsidR="000C39D1" w:rsidRPr="00132E65" w:rsidRDefault="000C39D1" w:rsidP="000C39D1">
      <w:pPr>
        <w:pStyle w:val="libFootnote0"/>
        <w:rPr>
          <w:rtl/>
          <w:lang w:bidi="fa-IR"/>
        </w:rPr>
      </w:pPr>
      <w:r>
        <w:rPr>
          <w:rtl/>
        </w:rPr>
        <w:t>(11).</w:t>
      </w:r>
      <w:r w:rsidRPr="00132E65">
        <w:rPr>
          <w:rtl/>
        </w:rPr>
        <w:t xml:space="preserve"> كذا في النسخ والمطبوع. والظاهر أنّ الصواب هو عبيدالله. وعليّ هذا هو علي بن عبيدالله الأعرج ابن‌الحسين بن عليّ بن الحسين بن عليّ بن أبي طالب المذكور في كتب الأنساب والرجال. يؤيّد ذلك ما ورد في </w:t>
      </w:r>
      <w:r w:rsidR="006628E1">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الْحُسَيْنِ بْنِ عَلِىِّ بْنِ أَبِي طَالِبٍ </w:t>
      </w:r>
      <w:r w:rsidRPr="00071CF9">
        <w:rPr>
          <w:rStyle w:val="libAlaemChar"/>
          <w:rtl/>
        </w:rPr>
        <w:t>عليهم‌السلام</w:t>
      </w:r>
      <w:r w:rsidRPr="00132E65">
        <w:rPr>
          <w:rtl/>
          <w:lang w:bidi="fa-IR"/>
        </w:rPr>
        <w:t xml:space="preserve"> وامْرَأَتَهُ وبَنِيهِ مِنْ أَهْلِ الْجَنَّةِ »</w:t>
      </w:r>
      <w:r>
        <w:rPr>
          <w:rtl/>
          <w:lang w:bidi="fa-IR"/>
        </w:rPr>
        <w:t>.</w:t>
      </w:r>
      <w:r w:rsidRPr="00132E65">
        <w:rPr>
          <w:rtl/>
          <w:lang w:bidi="fa-IR"/>
        </w:rPr>
        <w:t xml:space="preserve"> ثُمَّ قَالَ : « مَنْ عَرَفَ هذَا الْأَمْرَ مِنْ و</w:t>
      </w:r>
      <w:r w:rsidR="005D386B">
        <w:rPr>
          <w:rFonts w:hint="cs"/>
          <w:rtl/>
          <w:lang w:bidi="fa-IR"/>
        </w:rPr>
        <w:t>ُ</w:t>
      </w:r>
      <w:r w:rsidRPr="00132E65">
        <w:rPr>
          <w:rtl/>
          <w:lang w:bidi="fa-IR"/>
        </w:rPr>
        <w:t xml:space="preserve">لْدِ عَلِيٍّ وفَاطِمَةَ </w:t>
      </w:r>
      <w:r w:rsidRPr="00071CF9">
        <w:rPr>
          <w:rStyle w:val="libAlaemChar"/>
          <w:rtl/>
        </w:rPr>
        <w:t>عليهما‌السلام</w:t>
      </w:r>
      <w:r w:rsidRPr="00132E65">
        <w:rPr>
          <w:rtl/>
          <w:lang w:bidi="fa-IR"/>
        </w:rPr>
        <w:t xml:space="preserve"> ، لَمْ يَكُنْ كَالنَّاسِ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081B94">
        <w:rPr>
          <w:rtl/>
        </w:rPr>
        <w:t>983</w:t>
      </w:r>
      <w:r w:rsidRPr="004325D8">
        <w:rPr>
          <w:rStyle w:val="libBold2Char"/>
          <w:rtl/>
        </w:rPr>
        <w:t xml:space="preserve"> / 2.</w:t>
      </w:r>
      <w:r w:rsidRPr="00132E65">
        <w:rPr>
          <w:rtl/>
          <w:lang w:bidi="fa-IR"/>
        </w:rPr>
        <w:t xml:space="preserve"> الْحُسَيْنُ بْنُ مُحَمَّدٍ ، عَنْ مُعَلَّى بْنِ مُحَمَّدٍ ، قَالَ : حَدَّثَنِي الْوَشَّاءُ ، قَالَ : حَدَّثَنَ</w:t>
      </w:r>
      <w:r w:rsidR="005D386B">
        <w:rPr>
          <w:rtl/>
          <w:lang w:bidi="fa-IR"/>
        </w:rPr>
        <w:t>ا أَحْمَدُ بْنُ عُمَرَ الْحَل</w:t>
      </w:r>
      <w:r w:rsidR="005D386B">
        <w:rPr>
          <w:rFonts w:hint="cs"/>
          <w:rtl/>
          <w:lang w:bidi="fa-IR"/>
        </w:rPr>
        <w:t>َّ</w:t>
      </w:r>
      <w:r w:rsidR="005D386B">
        <w:rPr>
          <w:rtl/>
          <w:lang w:bidi="fa-IR"/>
        </w:rPr>
        <w:t>ا</w:t>
      </w:r>
      <w:r w:rsidRPr="00132E65">
        <w:rPr>
          <w:rtl/>
          <w:lang w:bidi="fa-IR"/>
        </w:rPr>
        <w:t>لُ ، قَالَ :</w:t>
      </w:r>
    </w:p>
    <w:p w:rsidR="000C39D1" w:rsidRPr="00132E65" w:rsidRDefault="000C39D1" w:rsidP="000C39D1">
      <w:pPr>
        <w:pStyle w:val="libNormal"/>
        <w:rPr>
          <w:rtl/>
          <w:lang w:bidi="fa-IR"/>
        </w:rPr>
      </w:pPr>
      <w:r w:rsidRPr="00132E65">
        <w:rPr>
          <w:rtl/>
          <w:lang w:bidi="fa-IR"/>
        </w:rPr>
        <w:t xml:space="preserve">قُلْتُ لِأَبِي الْحَسَنِ </w:t>
      </w:r>
      <w:r w:rsidRPr="00071CF9">
        <w:rPr>
          <w:rStyle w:val="libAlaemChar"/>
          <w:rtl/>
        </w:rPr>
        <w:t>عليه‌السلام</w:t>
      </w:r>
      <w:r w:rsidRPr="00132E65">
        <w:rPr>
          <w:rtl/>
          <w:lang w:bidi="fa-IR"/>
        </w:rPr>
        <w:t xml:space="preserve"> : أَخْبِرْنِي عَمَّنْ عَانَدَكَ ولَمْ يَعْرِفْ حَقَّكَ مِنْ و</w:t>
      </w:r>
      <w:r w:rsidR="005D386B">
        <w:rPr>
          <w:rFonts w:hint="cs"/>
          <w:rtl/>
          <w:lang w:bidi="fa-IR"/>
        </w:rPr>
        <w:t>ُ</w:t>
      </w:r>
      <w:r w:rsidRPr="00132E65">
        <w:rPr>
          <w:rtl/>
          <w:lang w:bidi="fa-IR"/>
        </w:rPr>
        <w:t xml:space="preserve">لْدِ فَاطِمَةَ </w:t>
      </w:r>
      <w:r w:rsidRPr="00071CF9">
        <w:rPr>
          <w:rStyle w:val="libAlaemChar"/>
          <w:rtl/>
        </w:rPr>
        <w:t>عليها‌السلام</w:t>
      </w:r>
      <w:r w:rsidRPr="00132E65">
        <w:rPr>
          <w:rtl/>
          <w:lang w:bidi="fa-IR"/>
        </w:rPr>
        <w:t xml:space="preserve"> ، هُوَ وسَائِرُ النَّاسِ سَوَاءٌ فِي الْعِقَابِ</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(3)</w:t>
      </w:r>
      <w:r w:rsidRPr="00132E65">
        <w:rPr>
          <w:rtl/>
          <w:lang w:bidi="fa-IR"/>
        </w:rPr>
        <w:t xml:space="preserve"> : « كَانَ عَلِيُّ بْنُ الْحُسَيْنِ </w:t>
      </w:r>
      <w:r w:rsidRPr="00071CF9">
        <w:rPr>
          <w:rStyle w:val="libAlaemChar"/>
          <w:rtl/>
        </w:rPr>
        <w:t>عليه‌السلام</w:t>
      </w:r>
      <w:r w:rsidRPr="00132E65">
        <w:rPr>
          <w:rtl/>
          <w:lang w:bidi="fa-IR"/>
        </w:rPr>
        <w:t xml:space="preserve"> يَقُولُ : عَلَيْهِمْ ضِعْفَا </w:t>
      </w:r>
      <w:r>
        <w:rPr>
          <w:rStyle w:val="libFootnotenumChar"/>
          <w:rtl/>
        </w:rPr>
        <w:t>(4)</w:t>
      </w:r>
      <w:r w:rsidRPr="00132E65">
        <w:rPr>
          <w:rtl/>
          <w:lang w:bidi="fa-IR"/>
        </w:rPr>
        <w:t xml:space="preserve"> الْعِقَابِ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081B94">
        <w:rPr>
          <w:rtl/>
        </w:rPr>
        <w:t>984</w:t>
      </w:r>
      <w:r w:rsidRPr="004325D8">
        <w:rPr>
          <w:rStyle w:val="libBold2Char"/>
          <w:rtl/>
        </w:rPr>
        <w:t xml:space="preserve"> / 3.</w:t>
      </w:r>
      <w:r w:rsidRPr="00132E65">
        <w:rPr>
          <w:rtl/>
          <w:lang w:bidi="fa-IR"/>
        </w:rPr>
        <w:t xml:space="preserve"> الْحُسَيْنُ بْنُ مُحَمَّدٍ ، عَنْ مُعَلَّى بْنِ مُحَمَّدٍ ، عَنِ الْحَسَنِ بْنِ رَاشِدٍ ، قَالَ : حَدَّثَنَا عَلِيُّ بْنُ إِسْمَاعِيلَ الْمِيثَمِيُّ ، قَالَ : حَدَّثَنِي </w:t>
      </w:r>
      <w:r>
        <w:rPr>
          <w:rStyle w:val="libFootnotenumChar"/>
          <w:rtl/>
        </w:rPr>
        <w:t>(6)</w:t>
      </w:r>
      <w:r w:rsidRPr="00132E65">
        <w:rPr>
          <w:rtl/>
          <w:lang w:bidi="fa-IR"/>
        </w:rPr>
        <w:t xml:space="preserve"> رِبْعِيُّ بْنُ عَبْدِ اللهِ ، قَالَ : قَالَ لِي عَبْدُ الرَّحْمنِ بْنُ أَبِي عَبْدِ اللهِ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الْمُنْكِرُ لِهذَا الْأَمْرِ مِنْ بَنِي هَاشِمٍ وغَيْرِهِمْ سَوَاءٌ </w:t>
      </w:r>
      <w:r>
        <w:rPr>
          <w:rStyle w:val="libFootnotenumChar"/>
          <w:rtl/>
        </w:rPr>
        <w:t>(7)</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5D386B" w:rsidP="000C39D1">
      <w:pPr>
        <w:pStyle w:val="libFootnote0"/>
        <w:rPr>
          <w:rtl/>
          <w:lang w:bidi="fa-IR"/>
        </w:rPr>
      </w:pPr>
      <w:r>
        <w:rPr>
          <w:rFonts w:hint="cs"/>
          <w:rtl/>
        </w:rPr>
        <w:t>=</w:t>
      </w:r>
      <w:r w:rsidR="000C39D1" w:rsidRPr="003D2E47">
        <w:rPr>
          <w:rtl/>
        </w:rPr>
        <w:t>رجال الكشّي</w:t>
      </w:r>
      <w:r w:rsidR="000C39D1" w:rsidRPr="00132E65">
        <w:rPr>
          <w:rtl/>
        </w:rPr>
        <w:t xml:space="preserve"> ، ص 593 ، الرقم 1109 ، من نقل خبر طويل عن أحمد بن محمّد بن عيسى ، عن عليّ بن الحكم ، عن سليمان بن جعفر ، يشتمل على مضمون خبرنا هذا في ذيل عنوان عليّ بن عبيدالله بن الحسين بن عليّ بن الحسين بن عليّ بن أبي طالب. راجع : </w:t>
      </w:r>
      <w:r w:rsidR="000C39D1" w:rsidRPr="005D386B">
        <w:rPr>
          <w:rStyle w:val="libFootnoteBoldChar"/>
          <w:rtl/>
        </w:rPr>
        <w:t>رجال النجاشي</w:t>
      </w:r>
      <w:r w:rsidR="000C39D1" w:rsidRPr="00132E65">
        <w:rPr>
          <w:rtl/>
        </w:rPr>
        <w:t xml:space="preserve"> ، ص 256 ، الرقم 671 ؛ </w:t>
      </w:r>
      <w:r w:rsidR="000C39D1" w:rsidRPr="005D386B">
        <w:rPr>
          <w:rStyle w:val="libFootnoteBoldChar"/>
          <w:rtl/>
        </w:rPr>
        <w:t>تهذيب الأنساب</w:t>
      </w:r>
      <w:r w:rsidR="000C39D1" w:rsidRPr="00132E65">
        <w:rPr>
          <w:rtl/>
        </w:rPr>
        <w:t xml:space="preserve"> ، ص 222 ؛ الفخري في </w:t>
      </w:r>
      <w:r w:rsidR="000C39D1" w:rsidRPr="005D386B">
        <w:rPr>
          <w:rStyle w:val="libFootnoteBoldChar"/>
          <w:rtl/>
        </w:rPr>
        <w:t>أنساب الطالبيّين</w:t>
      </w:r>
      <w:r w:rsidR="000C39D1" w:rsidRPr="00132E65">
        <w:rPr>
          <w:rtl/>
        </w:rPr>
        <w:t xml:space="preserve"> ، ص 57</w:t>
      </w:r>
      <w:r w:rsidR="000C39D1">
        <w:rPr>
          <w:rtl/>
        </w:rPr>
        <w:t xml:space="preserve"> - </w:t>
      </w:r>
      <w:r w:rsidR="000C39D1" w:rsidRPr="00132E65">
        <w:rPr>
          <w:rtl/>
        </w:rPr>
        <w:t>/ 58.</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وذلك لأنّ أسباب البغض والحسد في ذوي القربى أكثر وأحكم وأشدّ ، فمن نفى عن نفسه ذلك منهم مع ذلك ، فقد أكمل الفتوّة والمروّة والرجوليّة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2 ، ص 125 ، ح 589 ؛ </w:t>
      </w:r>
      <w:r w:rsidRPr="005D386B">
        <w:rPr>
          <w:rStyle w:val="libFootnoteBoldChar"/>
          <w:rtl/>
        </w:rPr>
        <w:t>البحار</w:t>
      </w:r>
      <w:r w:rsidRPr="00132E65">
        <w:rPr>
          <w:rtl/>
        </w:rPr>
        <w:t xml:space="preserve"> ، ج 49 ، ص 232 ، ح 18 </w:t>
      </w:r>
      <w:r w:rsidR="005D386B">
        <w:rPr>
          <w:rtl/>
        </w:rPr>
        <w:t>وفيه إلى قوله : « من أهل الجنّة</w:t>
      </w:r>
      <w:r w:rsidRPr="00132E65">
        <w:rPr>
          <w:rtl/>
        </w:rPr>
        <w:t>»</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قال »</w:t>
      </w:r>
      <w:r>
        <w:rPr>
          <w:rtl/>
        </w:rPr>
        <w:t>.</w:t>
      </w:r>
    </w:p>
    <w:p w:rsidR="000C39D1" w:rsidRPr="00132E65" w:rsidRDefault="000C39D1" w:rsidP="000C39D1">
      <w:pPr>
        <w:pStyle w:val="libFootnote0"/>
        <w:rPr>
          <w:rtl/>
          <w:lang w:bidi="fa-IR"/>
        </w:rPr>
      </w:pPr>
      <w:r>
        <w:rPr>
          <w:rtl/>
        </w:rPr>
        <w:t>(4).</w:t>
      </w:r>
      <w:r w:rsidRPr="00132E65">
        <w:rPr>
          <w:rtl/>
        </w:rPr>
        <w:t xml:space="preserve"> ضِعْفُ الشي‌ء : مِثْلُهُ ، وضِعفاه : مثلاه. وقيل : الضِعْفُ : المِثْلُ فما زاد ، وليس بمقصور على مِثْلين ، فأقلّ الضعف محصور في الواحد ، وأكثره غير محصور. </w:t>
      </w:r>
      <w:r w:rsidRPr="005D386B">
        <w:rPr>
          <w:rStyle w:val="libFootnoteBoldChar"/>
          <w:rtl/>
        </w:rPr>
        <w:t>النهاية</w:t>
      </w:r>
      <w:r w:rsidRPr="00132E65">
        <w:rPr>
          <w:rtl/>
        </w:rPr>
        <w:t xml:space="preserve"> ، ج 3 ، ص 89 ( ضعف )</w:t>
      </w:r>
      <w:r>
        <w:rPr>
          <w:rtl/>
        </w:rPr>
        <w:t>.</w:t>
      </w:r>
      <w:r w:rsidRPr="00132E65">
        <w:rPr>
          <w:rtl/>
        </w:rPr>
        <w:t xml:space="preserve"> وفي </w:t>
      </w:r>
      <w:r w:rsidRPr="009D1ACE">
        <w:rPr>
          <w:rStyle w:val="libFootnoteBoldChar"/>
          <w:rtl/>
        </w:rPr>
        <w:t>الوافي</w:t>
      </w:r>
      <w:r w:rsidRPr="00132E65">
        <w:rPr>
          <w:rtl/>
        </w:rPr>
        <w:t xml:space="preserve"> : « وإنّما ضوعف عليهم العقاب لأنّ ضرر جحودهم أكثر ؛ لإفضائه إلى ضلال الناس بهم أكثر من ضلالهم بغيرهم.</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2 ، ص 125 ، ح 590.</w:t>
      </w:r>
    </w:p>
    <w:p w:rsidR="000C39D1" w:rsidRPr="00132E65" w:rsidRDefault="000C39D1" w:rsidP="000C39D1">
      <w:pPr>
        <w:pStyle w:val="libFootnote0"/>
        <w:rPr>
          <w:rtl/>
          <w:lang w:bidi="fa-IR"/>
        </w:rPr>
      </w:pPr>
      <w:r>
        <w:rPr>
          <w:rtl/>
        </w:rPr>
        <w:t>(6).</w:t>
      </w:r>
      <w:r w:rsidRPr="00132E65">
        <w:rPr>
          <w:rtl/>
        </w:rPr>
        <w:t xml:space="preserve"> هكذا في « ألف ، ب ، ج ، ض ، ف ، بح ، بر ، بس ، بف ، جر »</w:t>
      </w:r>
      <w:r>
        <w:rPr>
          <w:rtl/>
        </w:rPr>
        <w:t>.</w:t>
      </w:r>
      <w:r w:rsidRPr="00132E65">
        <w:rPr>
          <w:rtl/>
        </w:rPr>
        <w:t xml:space="preserve"> وفي « </w:t>
      </w:r>
      <w:r>
        <w:rPr>
          <w:rtl/>
        </w:rPr>
        <w:t>و »</w:t>
      </w:r>
      <w:r w:rsidRPr="00132E65">
        <w:rPr>
          <w:rtl/>
        </w:rPr>
        <w:t xml:space="preserve"> والمطبوع : « حدّثنا »</w:t>
      </w:r>
      <w:r>
        <w:rPr>
          <w:rtl/>
        </w:rPr>
        <w:t>.</w:t>
      </w:r>
    </w:p>
    <w:p w:rsidR="000C39D1" w:rsidRPr="00132E65" w:rsidRDefault="000C39D1" w:rsidP="000C39D1">
      <w:pPr>
        <w:pStyle w:val="libFootnote0"/>
        <w:rPr>
          <w:rtl/>
          <w:lang w:bidi="fa-IR"/>
        </w:rPr>
      </w:pPr>
      <w:r>
        <w:rPr>
          <w:rtl/>
        </w:rPr>
        <w:t>(7).</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فَقَالَ لِي : « لَا تَقُلِ : الْمُنْكِرُ ، و</w:t>
      </w:r>
      <w:r w:rsidR="005D386B">
        <w:rPr>
          <w:rFonts w:hint="cs"/>
          <w:rtl/>
          <w:lang w:bidi="fa-IR"/>
        </w:rPr>
        <w:t>َ</w:t>
      </w:r>
      <w:r w:rsidRPr="00132E65">
        <w:rPr>
          <w:rtl/>
          <w:lang w:bidi="fa-IR"/>
        </w:rPr>
        <w:t xml:space="preserve">لكِنْ قُلِ : الْجَاحِدُ </w:t>
      </w:r>
      <w:r>
        <w:rPr>
          <w:rStyle w:val="libFootnotenumChar"/>
          <w:rtl/>
        </w:rPr>
        <w:t>(1)</w:t>
      </w:r>
      <w:r w:rsidRPr="00132E65">
        <w:rPr>
          <w:rtl/>
          <w:lang w:bidi="fa-IR"/>
        </w:rPr>
        <w:t xml:space="preserve"> مِنْ بَنِي هَاشِمٍ وغَيْرِهِمْ »</w:t>
      </w:r>
      <w:r>
        <w:rPr>
          <w:rtl/>
          <w:lang w:bidi="fa-IR"/>
        </w:rPr>
        <w:t>.</w:t>
      </w:r>
    </w:p>
    <w:p w:rsidR="000C39D1" w:rsidRPr="00132E65" w:rsidRDefault="000C39D1" w:rsidP="005D386B">
      <w:pPr>
        <w:pStyle w:val="libNormal"/>
        <w:rPr>
          <w:rtl/>
          <w:lang w:bidi="fa-IR"/>
        </w:rPr>
      </w:pPr>
      <w:r w:rsidRPr="00132E65">
        <w:rPr>
          <w:rtl/>
          <w:lang w:bidi="fa-IR"/>
        </w:rPr>
        <w:t xml:space="preserve">قَالَ أَبُو الْحَسَنِ </w:t>
      </w:r>
      <w:r>
        <w:rPr>
          <w:rStyle w:val="libFootnotenumChar"/>
          <w:rtl/>
        </w:rPr>
        <w:t>(2)</w:t>
      </w:r>
      <w:r w:rsidRPr="00132E65">
        <w:rPr>
          <w:rtl/>
          <w:lang w:bidi="fa-IR"/>
        </w:rPr>
        <w:t xml:space="preserve"> : فَتَفَكَّرْتُ </w:t>
      </w:r>
      <w:r>
        <w:rPr>
          <w:rStyle w:val="libFootnotenumChar"/>
          <w:rtl/>
        </w:rPr>
        <w:t>(3)</w:t>
      </w:r>
      <w:r w:rsidRPr="00132E65">
        <w:rPr>
          <w:rtl/>
          <w:lang w:bidi="fa-IR"/>
        </w:rPr>
        <w:t xml:space="preserve"> فِيهِ </w:t>
      </w:r>
      <w:r>
        <w:rPr>
          <w:rStyle w:val="libFootnotenumChar"/>
          <w:rtl/>
        </w:rPr>
        <w:t>(4)</w:t>
      </w:r>
      <w:r w:rsidRPr="00132E65">
        <w:rPr>
          <w:rtl/>
          <w:lang w:bidi="fa-IR"/>
        </w:rPr>
        <w:t xml:space="preserve"> ، فَذَكَرْتُ </w:t>
      </w:r>
      <w:r>
        <w:rPr>
          <w:rStyle w:val="libFootnotenumChar"/>
          <w:rtl/>
        </w:rPr>
        <w:t>(5)</w:t>
      </w:r>
      <w:r w:rsidRPr="00132E65">
        <w:rPr>
          <w:rtl/>
          <w:lang w:bidi="fa-IR"/>
        </w:rPr>
        <w:t xml:space="preserve"> قَوْلَ اللهِ</w:t>
      </w:r>
      <w:r>
        <w:rPr>
          <w:rtl/>
          <w:lang w:bidi="fa-IR"/>
        </w:rPr>
        <w:t xml:space="preserve"> - </w:t>
      </w:r>
      <w:r w:rsidRPr="00132E65">
        <w:rPr>
          <w:rtl/>
          <w:lang w:bidi="fa-IR"/>
        </w:rPr>
        <w:t>عَزَّ وجَلَّ</w:t>
      </w:r>
      <w:r>
        <w:rPr>
          <w:rtl/>
          <w:lang w:bidi="fa-IR"/>
        </w:rPr>
        <w:t xml:space="preserve"> - </w:t>
      </w:r>
      <w:r w:rsidR="005D386B">
        <w:rPr>
          <w:rtl/>
          <w:lang w:bidi="fa-IR"/>
        </w:rPr>
        <w:t>فِي إِخْوَةِ يُوسُفَ</w:t>
      </w:r>
      <w:r w:rsidRPr="00132E65">
        <w:rPr>
          <w:rtl/>
          <w:lang w:bidi="fa-IR"/>
        </w:rPr>
        <w:t>:</w:t>
      </w:r>
      <w:r>
        <w:rPr>
          <w:rFonts w:hint="cs"/>
          <w:rtl/>
          <w:lang w:bidi="fa-IR"/>
        </w:rPr>
        <w:t xml:space="preserve"> </w:t>
      </w:r>
      <w:r w:rsidRPr="00071CF9">
        <w:rPr>
          <w:rStyle w:val="libAlaemChar"/>
          <w:rtl/>
        </w:rPr>
        <w:t>(</w:t>
      </w:r>
      <w:r w:rsidRPr="00071CF9">
        <w:rPr>
          <w:rStyle w:val="libAieChar"/>
          <w:rtl/>
        </w:rPr>
        <w:t xml:space="preserve">فَعَرَفَهُمْ وَهُمْ لَهُ مُنْكِرُونَ </w:t>
      </w:r>
      <w:r w:rsidRPr="00071CF9">
        <w:rPr>
          <w:rStyle w:val="libAlaemChar"/>
          <w:rtl/>
        </w:rPr>
        <w:t>)</w:t>
      </w:r>
      <w:r w:rsidRPr="00132E65">
        <w:rPr>
          <w:rtl/>
          <w:lang w:bidi="fa-IR"/>
        </w:rPr>
        <w:t xml:space="preserve"> </w:t>
      </w:r>
      <w:r>
        <w:rPr>
          <w:rStyle w:val="libFootnotenumChar"/>
          <w:rtl/>
        </w:rPr>
        <w:t>(6)</w:t>
      </w:r>
      <w:r w:rsidR="005D386B">
        <w:rPr>
          <w:rFonts w:hint="cs"/>
          <w:rtl/>
          <w:lang w:bidi="fa-IR"/>
        </w:rPr>
        <w:t>.</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081B94">
        <w:rPr>
          <w:rtl/>
        </w:rPr>
        <w:t>985</w:t>
      </w:r>
      <w:r w:rsidRPr="004325D8">
        <w:rPr>
          <w:rStyle w:val="libBold2Char"/>
          <w:rtl/>
        </w:rPr>
        <w:t xml:space="preserve"> / 4.</w:t>
      </w:r>
      <w:r w:rsidRPr="00132E65">
        <w:rPr>
          <w:rtl/>
          <w:lang w:bidi="fa-IR"/>
        </w:rPr>
        <w:t xml:space="preserve"> عِدَّةٌ مِنْ أَصْحَابِنَا ، عَنْ أَحْمَدَ بْنِ مُحَمَّدٍ ، عَنِ ابْنِ أَبِي نَصْرٍ ، قَالَ :</w:t>
      </w:r>
    </w:p>
    <w:p w:rsidR="000C39D1" w:rsidRPr="00132E65" w:rsidRDefault="000C39D1" w:rsidP="000C39D1">
      <w:pPr>
        <w:pStyle w:val="libNormal"/>
        <w:rPr>
          <w:rtl/>
          <w:lang w:bidi="fa-IR"/>
        </w:rPr>
      </w:pPr>
      <w:r w:rsidRPr="00132E65">
        <w:rPr>
          <w:rtl/>
          <w:lang w:bidi="fa-IR"/>
        </w:rPr>
        <w:t xml:space="preserve">سَأَلْتُ الرِّضَا </w:t>
      </w:r>
      <w:r w:rsidRPr="00071CF9">
        <w:rPr>
          <w:rStyle w:val="libAlaemChar"/>
          <w:rtl/>
        </w:rPr>
        <w:t>عليه‌السلام</w:t>
      </w:r>
      <w:r w:rsidRPr="00132E65">
        <w:rPr>
          <w:rtl/>
          <w:lang w:bidi="fa-IR"/>
        </w:rPr>
        <w:t xml:space="preserve"> ، قُلْتُ </w:t>
      </w:r>
      <w:r>
        <w:rPr>
          <w:rStyle w:val="libFootnotenumChar"/>
          <w:rtl/>
        </w:rPr>
        <w:t>(8)</w:t>
      </w:r>
      <w:r w:rsidRPr="00132E65">
        <w:rPr>
          <w:rtl/>
          <w:lang w:bidi="fa-IR"/>
        </w:rPr>
        <w:t xml:space="preserve"> لَهُ : الْجَاحِدُ مِنْكُمْ ومِنْ غَيْرِكُمْ سَوَاءٌ</w:t>
      </w:r>
      <w:r>
        <w:rPr>
          <w:rtl/>
          <w:lang w:bidi="fa-IR"/>
        </w:rPr>
        <w:t>؟</w:t>
      </w:r>
    </w:p>
    <w:p w:rsidR="000C39D1" w:rsidRPr="00132E65" w:rsidRDefault="000C39D1" w:rsidP="000C39D1">
      <w:pPr>
        <w:pStyle w:val="libNormal"/>
        <w:rPr>
          <w:rtl/>
          <w:lang w:bidi="fa-IR"/>
        </w:rPr>
      </w:pPr>
      <w:r w:rsidRPr="00132E65">
        <w:rPr>
          <w:rtl/>
          <w:lang w:bidi="fa-IR"/>
        </w:rPr>
        <w:t xml:space="preserve">فَقَالَ : « الْجَاحِدُ مِنَّا لَهُ ذَنْبَانِ ، والْمُحْسِنُ </w:t>
      </w:r>
      <w:r>
        <w:rPr>
          <w:rStyle w:val="libFootnotenumChar"/>
          <w:rtl/>
        </w:rPr>
        <w:t>(9)</w:t>
      </w:r>
      <w:r w:rsidRPr="00132E65">
        <w:rPr>
          <w:rtl/>
          <w:lang w:bidi="fa-IR"/>
        </w:rPr>
        <w:t xml:space="preserve"> لَهُ حَسَنَتَانِ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Heading2Center"/>
        <w:rPr>
          <w:rtl/>
          <w:lang w:bidi="fa-IR"/>
        </w:rPr>
      </w:pPr>
      <w:bookmarkStart w:id="68" w:name="_Toc459459120"/>
      <w:bookmarkStart w:id="69" w:name="_Toc34663089"/>
      <w:r w:rsidRPr="00132E65">
        <w:rPr>
          <w:rtl/>
          <w:lang w:bidi="fa-IR"/>
        </w:rPr>
        <w:t>89</w:t>
      </w:r>
      <w:r>
        <w:rPr>
          <w:rtl/>
          <w:lang w:bidi="fa-IR"/>
        </w:rPr>
        <w:t xml:space="preserve"> - </w:t>
      </w:r>
      <w:r w:rsidRPr="00132E65">
        <w:rPr>
          <w:rtl/>
          <w:lang w:bidi="fa-IR"/>
        </w:rPr>
        <w:t>بَابُ مَا يَجِبُ عَلَى النَّاسِ عِنْدَ مُضِيِّ الْإِمَامِ‌</w:t>
      </w:r>
      <w:bookmarkEnd w:id="68"/>
      <w:bookmarkEnd w:id="69"/>
    </w:p>
    <w:p w:rsidR="000C39D1" w:rsidRPr="00132E65" w:rsidRDefault="000C39D1" w:rsidP="000C39D1">
      <w:pPr>
        <w:pStyle w:val="libNormal"/>
        <w:rPr>
          <w:rtl/>
          <w:lang w:bidi="fa-IR"/>
        </w:rPr>
      </w:pPr>
      <w:r w:rsidRPr="00081B94">
        <w:rPr>
          <w:rtl/>
        </w:rPr>
        <w:t>986</w:t>
      </w:r>
      <w:r w:rsidRPr="004325D8">
        <w:rPr>
          <w:rStyle w:val="libBold2Char"/>
          <w:rtl/>
        </w:rPr>
        <w:t xml:space="preserve"> / 1.</w:t>
      </w:r>
      <w:r w:rsidRPr="00132E65">
        <w:rPr>
          <w:rtl/>
          <w:lang w:bidi="fa-IR"/>
        </w:rPr>
        <w:t xml:space="preserve"> مُحَمَّدُ بْنُ يَحْيى ، عَنْ مُحَمَّدِ بْنِ الْحُسَيْنِ ، عَنْ صَفْوَانَ ، عَنْ يَعْقُوبَ بْنِ شُعَيْبٍ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إِذَا حَدَثَ عَلَى الْإِمَامِ حَدَثٌ ، كَيْفَ يَصْنَعُ النَّاسُ</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الجاحد » : من الجُحود ، وهو الإنكار مع العلم. والإنكار من النَكِرَة ، وهو ضدّ المعرفة ، أو الإنكار أعمّ كما قال المازندراني. راجع : </w:t>
      </w:r>
      <w:r w:rsidRPr="005D386B">
        <w:rPr>
          <w:rStyle w:val="libFootnoteBoldChar"/>
          <w:rtl/>
        </w:rPr>
        <w:t>الصحاح</w:t>
      </w:r>
      <w:r w:rsidRPr="00132E65">
        <w:rPr>
          <w:rtl/>
        </w:rPr>
        <w:t xml:space="preserve"> ، ج 2 ، ص 451 ( جحد ) ، وص 836 ( نكر ) ؛ </w:t>
      </w:r>
      <w:r w:rsidRPr="005D386B">
        <w:rPr>
          <w:rStyle w:val="libFootnoteBoldChar"/>
          <w:rtl/>
        </w:rPr>
        <w:t>شرح المازندراني</w:t>
      </w:r>
      <w:r w:rsidRPr="00132E65">
        <w:rPr>
          <w:rtl/>
        </w:rPr>
        <w:t xml:space="preserve"> ، ج 6 ، ص 336.</w:t>
      </w:r>
    </w:p>
    <w:p w:rsidR="000C39D1" w:rsidRPr="00132E65" w:rsidRDefault="000C39D1" w:rsidP="000C39D1">
      <w:pPr>
        <w:pStyle w:val="libFootnote0"/>
        <w:rPr>
          <w:rtl/>
          <w:lang w:bidi="fa-IR"/>
        </w:rPr>
      </w:pPr>
      <w:r>
        <w:rPr>
          <w:rtl/>
        </w:rPr>
        <w:t>(2).</w:t>
      </w:r>
      <w:r w:rsidRPr="00132E65">
        <w:rPr>
          <w:rtl/>
        </w:rPr>
        <w:t xml:space="preserve"> أبوالحسن كنية لرجلين من الرجال المذكورين في السند ، وهما معلى بن محمّد ؛ كما في </w:t>
      </w:r>
      <w:r w:rsidRPr="005D386B">
        <w:rPr>
          <w:rStyle w:val="libFootnoteBoldChar"/>
          <w:rtl/>
        </w:rPr>
        <w:t>رجال النجاشي</w:t>
      </w:r>
      <w:r w:rsidRPr="00132E65">
        <w:rPr>
          <w:rtl/>
        </w:rPr>
        <w:t xml:space="preserve"> ، ص 418 ، الرقم 1117 ، وعلى بن إسماعيل الميثمي ، كما من الكتاب المذكور ، ص 251 ، الرقم 661. لكن الغالب في كنية المسمّينَ بعليّ هو أبوالحسن ، ولعلّ هذا الأمر يرجّح كون المراد من أبي الحسن هو عليّ بن إسماعيل الميثمي. أضف إلى ذلك أنّ عليّ بن إسماعيل كان متكلّماً صنّف كتاباً في الإمامة. راجع : </w:t>
      </w:r>
      <w:r w:rsidRPr="005D386B">
        <w:rPr>
          <w:rStyle w:val="libFootnoteBoldChar"/>
          <w:rtl/>
        </w:rPr>
        <w:t>الفهرست للطوسي</w:t>
      </w:r>
      <w:r w:rsidRPr="00132E65">
        <w:rPr>
          <w:rtl/>
        </w:rPr>
        <w:t xml:space="preserve"> ، ص 263 ، الرقم 374.</w:t>
      </w:r>
    </w:p>
    <w:tbl>
      <w:tblPr>
        <w:tblStyle w:val="TableGrid"/>
        <w:bidiVisual/>
        <w:tblW w:w="0" w:type="auto"/>
        <w:tblLook w:val="04A0" w:firstRow="1" w:lastRow="0" w:firstColumn="1" w:lastColumn="0" w:noHBand="0" w:noVBand="1"/>
      </w:tblPr>
      <w:tblGrid>
        <w:gridCol w:w="4006"/>
        <w:gridCol w:w="4006"/>
      </w:tblGrid>
      <w:tr w:rsidR="005D386B" w:rsidTr="005D386B">
        <w:tc>
          <w:tcPr>
            <w:tcW w:w="4006" w:type="dxa"/>
          </w:tcPr>
          <w:p w:rsidR="005D386B" w:rsidRDefault="005D386B" w:rsidP="000C39D1">
            <w:pPr>
              <w:pStyle w:val="libFootnote0"/>
              <w:rPr>
                <w:rtl/>
              </w:rPr>
            </w:pPr>
            <w:r>
              <w:rPr>
                <w:rtl/>
              </w:rPr>
              <w:t>(3).</w:t>
            </w:r>
            <w:r w:rsidRPr="00132E65">
              <w:rPr>
                <w:rtl/>
              </w:rPr>
              <w:t xml:space="preserve"> في حاشية « ف » : « ففكرت »</w:t>
            </w:r>
            <w:r>
              <w:rPr>
                <w:rtl/>
              </w:rPr>
              <w:t>.</w:t>
            </w:r>
          </w:p>
        </w:tc>
        <w:tc>
          <w:tcPr>
            <w:tcW w:w="4006" w:type="dxa"/>
          </w:tcPr>
          <w:p w:rsidR="005D386B" w:rsidRDefault="005D386B" w:rsidP="000C39D1">
            <w:pPr>
              <w:pStyle w:val="libFootnote0"/>
              <w:rPr>
                <w:rtl/>
              </w:rPr>
            </w:pPr>
            <w:r>
              <w:rPr>
                <w:rtl/>
              </w:rPr>
              <w:t>(4).</w:t>
            </w:r>
            <w:r w:rsidRPr="00132E65">
              <w:rPr>
                <w:rtl/>
              </w:rPr>
              <w:t xml:space="preserve"> في « ف ، بح » و</w:t>
            </w:r>
            <w:r w:rsidRPr="009D1ACE">
              <w:rPr>
                <w:rStyle w:val="libFootnoteBoldChar"/>
                <w:rtl/>
              </w:rPr>
              <w:t>الوافي</w:t>
            </w:r>
            <w:r w:rsidRPr="00132E65">
              <w:rPr>
                <w:rtl/>
              </w:rPr>
              <w:t xml:space="preserve"> </w:t>
            </w:r>
            <w:r>
              <w:rPr>
                <w:rtl/>
              </w:rPr>
              <w:t xml:space="preserve">: - </w:t>
            </w:r>
            <w:r w:rsidRPr="00132E65">
              <w:rPr>
                <w:rtl/>
              </w:rPr>
              <w:t>« فيه »</w:t>
            </w:r>
            <w:r>
              <w:rPr>
                <w:rtl/>
              </w:rPr>
              <w:t>.</w:t>
            </w:r>
          </w:p>
        </w:tc>
      </w:tr>
      <w:tr w:rsidR="005D386B" w:rsidTr="005D386B">
        <w:tc>
          <w:tcPr>
            <w:tcW w:w="4006" w:type="dxa"/>
          </w:tcPr>
          <w:p w:rsidR="005D386B" w:rsidRDefault="005D386B" w:rsidP="000C39D1">
            <w:pPr>
              <w:pStyle w:val="libFootnote0"/>
              <w:rPr>
                <w:rtl/>
              </w:rPr>
            </w:pPr>
            <w:r>
              <w:rPr>
                <w:rtl/>
              </w:rPr>
              <w:t>(5).</w:t>
            </w:r>
            <w:r w:rsidRPr="00132E65">
              <w:rPr>
                <w:rtl/>
              </w:rPr>
              <w:t xml:space="preserve"> في « ج » : « فذكّرت »</w:t>
            </w:r>
            <w:r>
              <w:rPr>
                <w:rtl/>
              </w:rPr>
              <w:t>.</w:t>
            </w:r>
          </w:p>
        </w:tc>
        <w:tc>
          <w:tcPr>
            <w:tcW w:w="4006" w:type="dxa"/>
          </w:tcPr>
          <w:p w:rsidR="005D386B" w:rsidRDefault="005D386B" w:rsidP="000C39D1">
            <w:pPr>
              <w:pStyle w:val="libFootnote0"/>
              <w:rPr>
                <w:rtl/>
              </w:rPr>
            </w:pPr>
            <w:r>
              <w:rPr>
                <w:rtl/>
              </w:rPr>
              <w:t>(6).</w:t>
            </w:r>
            <w:r w:rsidRPr="00132E65">
              <w:rPr>
                <w:rtl/>
              </w:rPr>
              <w:t xml:space="preserve"> يوسف </w:t>
            </w:r>
            <w:r>
              <w:rPr>
                <w:rtl/>
              </w:rPr>
              <w:t>(12).</w:t>
            </w:r>
            <w:r w:rsidRPr="00132E65">
              <w:rPr>
                <w:rtl/>
              </w:rPr>
              <w:t xml:space="preserve"> : 58.</w:t>
            </w:r>
          </w:p>
        </w:tc>
      </w:tr>
      <w:tr w:rsidR="005D386B" w:rsidTr="005D386B">
        <w:tc>
          <w:tcPr>
            <w:tcW w:w="4006" w:type="dxa"/>
          </w:tcPr>
          <w:p w:rsidR="005D386B" w:rsidRDefault="005D386B" w:rsidP="000C39D1">
            <w:pPr>
              <w:pStyle w:val="libFootnote0"/>
              <w:rPr>
                <w:rtl/>
              </w:rPr>
            </w:pPr>
            <w:r>
              <w:rPr>
                <w:rtl/>
              </w:rPr>
              <w:t>(7).</w:t>
            </w:r>
            <w:r w:rsidRPr="00132E65">
              <w:rPr>
                <w:rtl/>
              </w:rPr>
              <w:t xml:space="preserve"> </w:t>
            </w:r>
            <w:r w:rsidRPr="009D1ACE">
              <w:rPr>
                <w:rStyle w:val="libFootnoteBoldChar"/>
                <w:rtl/>
              </w:rPr>
              <w:t>الوافي</w:t>
            </w:r>
            <w:r w:rsidRPr="00132E65">
              <w:rPr>
                <w:rtl/>
              </w:rPr>
              <w:t xml:space="preserve"> ، ج 2 ، ص 126 ، ح 591.</w:t>
            </w:r>
          </w:p>
        </w:tc>
        <w:tc>
          <w:tcPr>
            <w:tcW w:w="4006" w:type="dxa"/>
          </w:tcPr>
          <w:p w:rsidR="005D386B" w:rsidRDefault="005D386B" w:rsidP="000C39D1">
            <w:pPr>
              <w:pStyle w:val="libFootnote0"/>
              <w:rPr>
                <w:rtl/>
              </w:rPr>
            </w:pPr>
            <w:r>
              <w:rPr>
                <w:rtl/>
              </w:rPr>
              <w:t>(8).</w:t>
            </w:r>
            <w:r w:rsidRPr="00132E65">
              <w:rPr>
                <w:rtl/>
              </w:rPr>
              <w:t xml:space="preserve"> في « ج » : « فقلت »</w:t>
            </w:r>
            <w:r>
              <w:rPr>
                <w:rtl/>
              </w:rPr>
              <w:t>. وفي « ف » : «وقلت</w:t>
            </w:r>
            <w:r w:rsidRPr="00132E65">
              <w:rPr>
                <w:rtl/>
              </w:rPr>
              <w:t>»</w:t>
            </w:r>
            <w:r>
              <w:rPr>
                <w:rtl/>
              </w:rPr>
              <w:t>.</w:t>
            </w:r>
          </w:p>
        </w:tc>
      </w:tr>
    </w:tbl>
    <w:p w:rsidR="000C39D1" w:rsidRPr="00132E65" w:rsidRDefault="000C39D1" w:rsidP="000C39D1">
      <w:pPr>
        <w:pStyle w:val="libFootnote0"/>
        <w:rPr>
          <w:rtl/>
          <w:lang w:bidi="fa-IR"/>
        </w:rPr>
      </w:pPr>
      <w:r>
        <w:rPr>
          <w:rtl/>
        </w:rPr>
        <w:t>(9).</w:t>
      </w:r>
      <w:r w:rsidRPr="00132E65">
        <w:rPr>
          <w:rtl/>
        </w:rPr>
        <w:t xml:space="preserve"> في « بس » :</w:t>
      </w:r>
      <w:r>
        <w:rPr>
          <w:rtl/>
        </w:rPr>
        <w:t xml:space="preserve"> + </w:t>
      </w:r>
      <w:r w:rsidRPr="00132E65">
        <w:rPr>
          <w:rtl/>
        </w:rPr>
        <w:t>« منّا »</w:t>
      </w:r>
      <w:r>
        <w:rPr>
          <w:rtl/>
        </w:rPr>
        <w:t>.</w:t>
      </w:r>
    </w:p>
    <w:p w:rsidR="000C39D1" w:rsidRPr="00132E65" w:rsidRDefault="000C39D1" w:rsidP="000C39D1">
      <w:pPr>
        <w:pStyle w:val="libFootnote0"/>
        <w:rPr>
          <w:rtl/>
          <w:lang w:bidi="fa-IR"/>
        </w:rPr>
      </w:pPr>
      <w:r>
        <w:rPr>
          <w:rtl/>
        </w:rPr>
        <w:t>(10).</w:t>
      </w:r>
      <w:r w:rsidRPr="00132E65">
        <w:rPr>
          <w:rtl/>
        </w:rPr>
        <w:t xml:space="preserve"> </w:t>
      </w:r>
      <w:r w:rsidRPr="00281A8B">
        <w:rPr>
          <w:rStyle w:val="libFootnoteBoldChar"/>
          <w:rtl/>
        </w:rPr>
        <w:t>قرب الإسناد</w:t>
      </w:r>
      <w:r w:rsidRPr="00132E65">
        <w:rPr>
          <w:rtl/>
        </w:rPr>
        <w:t xml:space="preserve"> ، ص 357 ، ح 1276 ، عن أحمد بن محمّد ، عن أحمد بن محمّد بن أبي نصر ، مع زيادة واختلاف يسير </w:t>
      </w:r>
      <w:r w:rsidR="00281A8B">
        <w:rPr>
          <w:rFonts w:hint="cs"/>
          <w:rtl/>
        </w:rPr>
        <w:t>.</w:t>
      </w:r>
      <w:r w:rsidRPr="009D1ACE">
        <w:rPr>
          <w:rStyle w:val="libFootnoteBoldChar"/>
          <w:rtl/>
        </w:rPr>
        <w:t>الوافي</w:t>
      </w:r>
      <w:r w:rsidRPr="00132E65">
        <w:rPr>
          <w:rtl/>
        </w:rPr>
        <w:t xml:space="preserve"> ، ج 2 ، ص 126 ، ح 592.</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 أَيْنَ قَوْلُ اللهِ عَزَّ وجَلَّ : </w:t>
      </w:r>
      <w:r w:rsidRPr="00071CF9">
        <w:rPr>
          <w:rStyle w:val="libAlaemChar"/>
          <w:rtl/>
        </w:rPr>
        <w:t>(</w:t>
      </w:r>
      <w:r w:rsidRPr="00071CF9">
        <w:rPr>
          <w:rStyle w:val="libAieChar"/>
          <w:rtl/>
        </w:rPr>
        <w:t xml:space="preserve"> فَلَوْ لا نَفَرَ مِنْ كُلِّ فِرْقَةٍ مِنْهُمْ طائِفَةٌ لِيَتَفَقَّهُوا فِي الدِّينِ وَلِيُنْذِرُوا قَوْمَهُمْ إِذا رَجَعُوا إِلَيْهِمْ لَعَلَّهُمْ يَحْذَرُونَ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 قَالَ : « هُمْ فِي عُذْرٍ مَا دَامُوا فِي الطَّلَبِ ، وَهؤُلَاءِ الَّذِينَ يَنْتَظِرُونَهُمْ فِي عُذْرٍ حَتّى يَرْجِعَ إِلَيْهِمْ أَصْحَابُهُمْ »</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081B94">
        <w:rPr>
          <w:rtl/>
        </w:rPr>
        <w:t>987</w:t>
      </w:r>
      <w:r w:rsidRPr="004325D8">
        <w:rPr>
          <w:rStyle w:val="libBold2Char"/>
          <w:rtl/>
        </w:rPr>
        <w:t xml:space="preserve"> / 2.</w:t>
      </w:r>
      <w:r w:rsidRPr="00132E65">
        <w:rPr>
          <w:rtl/>
          <w:lang w:bidi="fa-IR"/>
        </w:rPr>
        <w:t xml:space="preserve"> عَلِيُّ بْنُ إِبْرَاهِيمَ ، عَنْ مُحَمَّدِ بْنِ عِيسى ، عَنْ يُونُسَ بْنِ عَبْدِ الرَّحْمنِ ، قَالَ :</w:t>
      </w:r>
    </w:p>
    <w:p w:rsidR="000C39D1" w:rsidRPr="00132E65" w:rsidRDefault="000C39D1" w:rsidP="000C39D1">
      <w:pPr>
        <w:pStyle w:val="libNormal"/>
        <w:rPr>
          <w:rtl/>
          <w:lang w:bidi="fa-IR"/>
        </w:rPr>
      </w:pPr>
      <w:r w:rsidRPr="00132E65">
        <w:rPr>
          <w:rtl/>
          <w:lang w:bidi="fa-IR"/>
        </w:rPr>
        <w:t xml:space="preserve">حَدَّثَنَا حَمَّادٌ </w:t>
      </w:r>
      <w:r>
        <w:rPr>
          <w:rStyle w:val="libFootnotenumChar"/>
          <w:rtl/>
        </w:rPr>
        <w:t>(3)</w:t>
      </w:r>
      <w:r w:rsidRPr="00132E65">
        <w:rPr>
          <w:rtl/>
          <w:lang w:bidi="fa-IR"/>
        </w:rPr>
        <w:t xml:space="preserve"> ، عَنْ عَبْدِ الْأَعْلى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الْعَامَّةِ </w:t>
      </w:r>
      <w:r>
        <w:rPr>
          <w:rStyle w:val="libFootnotenumChar"/>
          <w:rtl/>
        </w:rPr>
        <w:t>(4)</w:t>
      </w:r>
      <w:r w:rsidRPr="00132E65">
        <w:rPr>
          <w:rtl/>
          <w:lang w:bidi="fa-IR"/>
        </w:rPr>
        <w:t xml:space="preserve"> : إِنَّ رَسُولَ اللهِ </w:t>
      </w:r>
      <w:r w:rsidRPr="0093484F">
        <w:rPr>
          <w:rStyle w:val="libAlaemChar"/>
          <w:rFonts w:eastAsiaTheme="minorHAnsi"/>
          <w:rtl/>
        </w:rPr>
        <w:t>صلى‌الله‌عليه‌وآله</w:t>
      </w:r>
      <w:r w:rsidRPr="00132E65">
        <w:rPr>
          <w:rtl/>
          <w:lang w:bidi="fa-IR"/>
        </w:rPr>
        <w:t xml:space="preserve"> قَالَ : « مَنْ مَاتَ و</w:t>
      </w:r>
      <w:r w:rsidR="00281A8B">
        <w:rPr>
          <w:rFonts w:hint="cs"/>
          <w:rtl/>
          <w:lang w:bidi="fa-IR"/>
        </w:rPr>
        <w:t>َ</w:t>
      </w:r>
      <w:r w:rsidRPr="00132E65">
        <w:rPr>
          <w:rtl/>
          <w:lang w:bidi="fa-IR"/>
        </w:rPr>
        <w:t xml:space="preserve">لَيْسَ لَهُ إِمَامٌ ، مَاتَ مِيتَةً جَاهِلِيَّةً </w:t>
      </w:r>
      <w:r>
        <w:rPr>
          <w:rStyle w:val="libFootnotenumChar"/>
          <w:rtl/>
        </w:rPr>
        <w:t>(5)</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فَقَالَ : « الْحَقُّ و</w:t>
      </w:r>
      <w:r w:rsidR="00281A8B">
        <w:rPr>
          <w:rFonts w:hint="cs"/>
          <w:rtl/>
          <w:lang w:bidi="fa-IR"/>
        </w:rPr>
        <w:t>َ</w:t>
      </w:r>
      <w:r w:rsidRPr="00132E65">
        <w:rPr>
          <w:rtl/>
          <w:lang w:bidi="fa-IR"/>
        </w:rPr>
        <w:t>اللهِ »</w:t>
      </w:r>
      <w:r>
        <w:rPr>
          <w:rtl/>
          <w:lang w:bidi="fa-IR"/>
        </w:rPr>
        <w:t>.</w:t>
      </w:r>
    </w:p>
    <w:p w:rsidR="000C39D1" w:rsidRPr="00132E65" w:rsidRDefault="000C39D1" w:rsidP="000C39D1">
      <w:pPr>
        <w:pStyle w:val="libNormal"/>
        <w:rPr>
          <w:rtl/>
          <w:lang w:bidi="fa-IR"/>
        </w:rPr>
      </w:pPr>
      <w:r w:rsidRPr="00132E65">
        <w:rPr>
          <w:rtl/>
          <w:lang w:bidi="fa-IR"/>
        </w:rPr>
        <w:t>قُلْتُ : فَإِنَّ إِمَاماً هَلَكَ و</w:t>
      </w:r>
      <w:r w:rsidR="00281A8B">
        <w:rPr>
          <w:rFonts w:hint="cs"/>
          <w:rtl/>
          <w:lang w:bidi="fa-IR"/>
        </w:rPr>
        <w:t>َ</w:t>
      </w:r>
      <w:r w:rsidRPr="00132E65">
        <w:rPr>
          <w:rtl/>
          <w:lang w:bidi="fa-IR"/>
        </w:rPr>
        <w:t>رَجُلٌ بِخُرَاسَانَ لَايَعْلَمُ مَنْ و</w:t>
      </w:r>
      <w:r w:rsidR="00281A8B">
        <w:rPr>
          <w:rFonts w:hint="cs"/>
          <w:rtl/>
          <w:lang w:bidi="fa-IR"/>
        </w:rPr>
        <w:t>َ</w:t>
      </w:r>
      <w:r w:rsidRPr="00132E65">
        <w:rPr>
          <w:rtl/>
          <w:lang w:bidi="fa-IR"/>
        </w:rPr>
        <w:t xml:space="preserve">صِيُّهُ لَمْ </w:t>
      </w:r>
      <w:r>
        <w:rPr>
          <w:rStyle w:val="libFootnotenumChar"/>
          <w:rtl/>
        </w:rPr>
        <w:t>(6)</w:t>
      </w:r>
      <w:r w:rsidRPr="00132E65">
        <w:rPr>
          <w:rtl/>
          <w:lang w:bidi="fa-IR"/>
        </w:rPr>
        <w:t xml:space="preserve"> يَسَعْهُ ذلِكَ</w:t>
      </w:r>
      <w:r>
        <w:rPr>
          <w:rtl/>
          <w:lang w:bidi="fa-IR"/>
        </w:rPr>
        <w:t>؟</w:t>
      </w:r>
    </w:p>
    <w:p w:rsidR="000C39D1" w:rsidRPr="00132E65" w:rsidRDefault="000C39D1" w:rsidP="000C39D1">
      <w:pPr>
        <w:pStyle w:val="libNormal"/>
        <w:rPr>
          <w:rtl/>
          <w:lang w:bidi="fa-IR"/>
        </w:rPr>
      </w:pPr>
      <w:r w:rsidRPr="00132E65">
        <w:rPr>
          <w:rtl/>
          <w:lang w:bidi="fa-IR"/>
        </w:rPr>
        <w:t>قَالَ : « لَا يَسَعُهُ ؛ إِنَّ الْإِمَامَ إِذَا هَلَكَ ، و</w:t>
      </w:r>
      <w:r w:rsidR="00281A8B">
        <w:rPr>
          <w:rFonts w:hint="cs"/>
          <w:rtl/>
          <w:lang w:bidi="fa-IR"/>
        </w:rPr>
        <w:t>َ</w:t>
      </w:r>
      <w:r w:rsidRPr="00132E65">
        <w:rPr>
          <w:rtl/>
          <w:lang w:bidi="fa-IR"/>
        </w:rPr>
        <w:t>قَعَتْ حُجَّةُ و</w:t>
      </w:r>
      <w:r w:rsidR="00281A8B">
        <w:rPr>
          <w:rFonts w:hint="cs"/>
          <w:rtl/>
          <w:lang w:bidi="fa-IR"/>
        </w:rPr>
        <w:t>َ</w:t>
      </w:r>
      <w:r w:rsidRPr="00132E65">
        <w:rPr>
          <w:rtl/>
          <w:lang w:bidi="fa-IR"/>
        </w:rPr>
        <w:t xml:space="preserve">صِيِّهِ </w:t>
      </w:r>
      <w:r>
        <w:rPr>
          <w:rStyle w:val="libFootnotenumChar"/>
          <w:rtl/>
        </w:rPr>
        <w:t>(7)</w:t>
      </w:r>
      <w:r w:rsidRPr="00132E65">
        <w:rPr>
          <w:rtl/>
          <w:lang w:bidi="fa-IR"/>
        </w:rPr>
        <w:t xml:space="preserve"> عَلى مَنْ هُوَ مَعَهُ فِي الْبَلَدِ ، وحَقَّ النَّفْرُ عَلى مَنْ لَيْسَ بِحَضْرَتِهِ إِذَا بَلَغَهُمْ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فَلَوْ لا نَفَرَ مِنْ كُلِّ فِرْقَةٍ مِنْهُمْ طائِفَةٌ لِيَتَفَقَّهُوا فِي الدِّينِ وَلِيُنْذِرُوا قَوْمَهُمْ إِذا رَجَعُوا إِلَيْهِمْ لَعَلَّهُمْ يَحْذَرُونَ </w:t>
      </w:r>
      <w:r w:rsidRPr="00071CF9">
        <w:rPr>
          <w:rStyle w:val="libAlaemChar"/>
          <w:rtl/>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قُلْتُ : فَنَفَرَ قَوْمٌ ، فَهَلَكَ بَعْضُهُمْ قَبْلَ أَنْ يَصِلَ ، فَيَعْلَمَ</w:t>
      </w:r>
      <w:r>
        <w:rPr>
          <w:rtl/>
          <w:lang w:bidi="fa-IR"/>
        </w:rPr>
        <w:t>؟</w:t>
      </w:r>
    </w:p>
    <w:p w:rsidR="000C39D1" w:rsidRPr="00132E65" w:rsidRDefault="000C39D1" w:rsidP="000C39D1">
      <w:pPr>
        <w:pStyle w:val="libNormal"/>
        <w:rPr>
          <w:rtl/>
          <w:lang w:bidi="fa-IR"/>
        </w:rPr>
      </w:pPr>
      <w:r w:rsidRPr="00132E65">
        <w:rPr>
          <w:rtl/>
          <w:lang w:bidi="fa-IR"/>
        </w:rPr>
        <w:t>قَالَ : « إِنَّ اللهَ</w:t>
      </w:r>
      <w:r>
        <w:rPr>
          <w:rtl/>
          <w:lang w:bidi="fa-IR"/>
        </w:rPr>
        <w:t xml:space="preserve"> - </w:t>
      </w:r>
      <w:r w:rsidRPr="00132E65">
        <w:rPr>
          <w:rtl/>
          <w:lang w:bidi="fa-IR"/>
        </w:rPr>
        <w:t>جَلَّ وعَزَّ</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وَمَنْ يَخْرُجْ مِنْ بَيْتِهِ مُهاجِراً إِلَى اللهِ وَرَسُولِهِ ثُمَّ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التوبة </w:t>
      </w:r>
      <w:r w:rsidR="00281A8B">
        <w:rPr>
          <w:rtl/>
        </w:rPr>
        <w:t>(9)</w:t>
      </w:r>
      <w:r w:rsidRPr="00132E65">
        <w:rPr>
          <w:rtl/>
        </w:rPr>
        <w:t xml:space="preserve"> : 122.</w:t>
      </w:r>
    </w:p>
    <w:p w:rsidR="000C39D1" w:rsidRPr="00132E65" w:rsidRDefault="000C39D1" w:rsidP="000C39D1">
      <w:pPr>
        <w:pStyle w:val="libFootnote0"/>
        <w:rPr>
          <w:rtl/>
          <w:lang w:bidi="fa-IR"/>
        </w:rPr>
      </w:pPr>
      <w:r>
        <w:rPr>
          <w:rtl/>
        </w:rPr>
        <w:t>(2).</w:t>
      </w:r>
      <w:r w:rsidRPr="00132E65">
        <w:rPr>
          <w:rtl/>
        </w:rPr>
        <w:t xml:space="preserve"> </w:t>
      </w:r>
      <w:r w:rsidRPr="00281A8B">
        <w:rPr>
          <w:rStyle w:val="libFootnoteBoldChar"/>
          <w:rtl/>
        </w:rPr>
        <w:t>علل الشرائع</w:t>
      </w:r>
      <w:r w:rsidRPr="00132E65">
        <w:rPr>
          <w:rtl/>
        </w:rPr>
        <w:t xml:space="preserve"> ، ص 591 ، ح 41 ، بسنده عن صفوان بن يحيى ، عن يعقوب بن شعيب ، مع اختلاف يسير. </w:t>
      </w:r>
      <w:r w:rsidRPr="00281A8B">
        <w:rPr>
          <w:rStyle w:val="libFootnoteBoldChar"/>
          <w:rtl/>
        </w:rPr>
        <w:t>تفسير العيّاشي</w:t>
      </w:r>
      <w:r w:rsidRPr="00132E65">
        <w:rPr>
          <w:rtl/>
        </w:rPr>
        <w:t xml:space="preserve"> ، ج 2 ، ص 117 ، ح 158 ، عن يعقوب بن شعيب ، إلى قوله : « قال هم في عذر ماداموا في الطلب » ، مع اختلاف يسير. وراجع : </w:t>
      </w:r>
      <w:r w:rsidRPr="00081B94">
        <w:rPr>
          <w:rtl/>
        </w:rPr>
        <w:t>تفسير القمّي</w:t>
      </w:r>
      <w:r w:rsidRPr="00132E65">
        <w:rPr>
          <w:rtl/>
        </w:rPr>
        <w:t xml:space="preserve"> ، ج 1 ، ص 307 </w:t>
      </w:r>
      <w:r w:rsidR="00281A8B">
        <w:rPr>
          <w:rFonts w:hint="cs"/>
          <w:rtl/>
        </w:rPr>
        <w:t>.</w:t>
      </w:r>
      <w:r w:rsidRPr="009D1ACE">
        <w:rPr>
          <w:rStyle w:val="libFootnoteBoldChar"/>
          <w:rtl/>
        </w:rPr>
        <w:t>الوافي</w:t>
      </w:r>
      <w:r w:rsidRPr="00132E65">
        <w:rPr>
          <w:rtl/>
        </w:rPr>
        <w:t xml:space="preserve"> ، ج 2 ، ص 12 ، ح 593.</w:t>
      </w:r>
    </w:p>
    <w:p w:rsidR="000C39D1" w:rsidRPr="00132E65" w:rsidRDefault="000C39D1" w:rsidP="000C39D1">
      <w:pPr>
        <w:pStyle w:val="libFootnote0"/>
        <w:rPr>
          <w:rtl/>
          <w:lang w:bidi="fa-IR"/>
        </w:rPr>
      </w:pPr>
      <w:r>
        <w:rPr>
          <w:rtl/>
        </w:rPr>
        <w:t>(3).</w:t>
      </w:r>
      <w:r w:rsidRPr="00132E65">
        <w:rPr>
          <w:rtl/>
        </w:rPr>
        <w:t xml:space="preserve"> في </w:t>
      </w:r>
      <w:r w:rsidRPr="000577A7">
        <w:rPr>
          <w:rStyle w:val="libFootnoteBoldChar"/>
          <w:rtl/>
        </w:rPr>
        <w:t>الكافي</w:t>
      </w:r>
      <w:r w:rsidRPr="00132E65">
        <w:rPr>
          <w:rtl/>
        </w:rPr>
        <w:t xml:space="preserve"> ، ح 800 </w:t>
      </w:r>
      <w:r>
        <w:rPr>
          <w:rtl/>
        </w:rPr>
        <w:t xml:space="preserve">: - </w:t>
      </w:r>
      <w:r w:rsidRPr="00132E65">
        <w:rPr>
          <w:rtl/>
        </w:rPr>
        <w:t>« قال : حدّثنا حمّاد »</w:t>
      </w:r>
      <w:r>
        <w:rPr>
          <w:rtl/>
        </w:rPr>
        <w:t>.</w:t>
      </w:r>
      <w:r w:rsidRPr="00132E65">
        <w:rPr>
          <w:rtl/>
        </w:rPr>
        <w:t xml:space="preserve"> وهو سهو كما قدّمناه تفصيلاً ، فلاحظ.</w:t>
      </w:r>
    </w:p>
    <w:tbl>
      <w:tblPr>
        <w:tblStyle w:val="TableGrid"/>
        <w:bidiVisual/>
        <w:tblW w:w="0" w:type="auto"/>
        <w:tblLook w:val="04A0" w:firstRow="1" w:lastRow="0" w:firstColumn="1" w:lastColumn="0" w:noHBand="0" w:noVBand="1"/>
      </w:tblPr>
      <w:tblGrid>
        <w:gridCol w:w="4006"/>
        <w:gridCol w:w="4006"/>
      </w:tblGrid>
      <w:tr w:rsidR="00281A8B" w:rsidTr="00281A8B">
        <w:tc>
          <w:tcPr>
            <w:tcW w:w="4006" w:type="dxa"/>
          </w:tcPr>
          <w:p w:rsidR="00281A8B" w:rsidRDefault="00281A8B" w:rsidP="000C39D1">
            <w:pPr>
              <w:pStyle w:val="libFootnote0"/>
              <w:rPr>
                <w:rtl/>
              </w:rPr>
            </w:pPr>
            <w:r>
              <w:rPr>
                <w:rtl/>
              </w:rPr>
              <w:t>(4).</w:t>
            </w:r>
            <w:r w:rsidRPr="00132E65">
              <w:rPr>
                <w:rtl/>
              </w:rPr>
              <w:t xml:space="preserve"> في حاشية « ف » :</w:t>
            </w:r>
            <w:r>
              <w:rPr>
                <w:rtl/>
              </w:rPr>
              <w:t xml:space="preserve"> + </w:t>
            </w:r>
            <w:r w:rsidRPr="00132E65">
              <w:rPr>
                <w:rtl/>
              </w:rPr>
              <w:t>« قالوا »</w:t>
            </w:r>
            <w:r>
              <w:rPr>
                <w:rtl/>
              </w:rPr>
              <w:t>.</w:t>
            </w:r>
          </w:p>
        </w:tc>
        <w:tc>
          <w:tcPr>
            <w:tcW w:w="4006" w:type="dxa"/>
          </w:tcPr>
          <w:p w:rsidR="00281A8B" w:rsidRDefault="00281A8B" w:rsidP="000C39D1">
            <w:pPr>
              <w:pStyle w:val="libFootnote0"/>
              <w:rPr>
                <w:rtl/>
              </w:rPr>
            </w:pPr>
            <w:r>
              <w:rPr>
                <w:rtl/>
              </w:rPr>
              <w:t>(5).</w:t>
            </w:r>
            <w:r w:rsidRPr="00132E65">
              <w:rPr>
                <w:rtl/>
              </w:rPr>
              <w:t xml:space="preserve"> يجوز فيه التركيب الإضافي أيضاً.</w:t>
            </w:r>
          </w:p>
        </w:tc>
      </w:tr>
    </w:tbl>
    <w:p w:rsidR="000C39D1" w:rsidRPr="00132E65" w:rsidRDefault="000C39D1" w:rsidP="000C39D1">
      <w:pPr>
        <w:pStyle w:val="libFootnote0"/>
        <w:rPr>
          <w:rtl/>
          <w:lang w:bidi="fa-IR"/>
        </w:rPr>
      </w:pPr>
      <w:r>
        <w:rPr>
          <w:rtl/>
        </w:rPr>
        <w:t>(6).</w:t>
      </w:r>
      <w:r w:rsidRPr="00132E65">
        <w:rPr>
          <w:rtl/>
        </w:rPr>
        <w:t xml:space="preserve"> في « ف » : « ولم »</w:t>
      </w:r>
      <w:r>
        <w:rPr>
          <w:rtl/>
        </w:rPr>
        <w:t>.</w:t>
      </w:r>
      <w:r w:rsidRPr="00132E65">
        <w:rPr>
          <w:rtl/>
        </w:rPr>
        <w:t xml:space="preserve"> وقوله : « لم يسعه ذلك » استفهام بتقدير أداته. أي لم يجز له المقام على الجهالة. راجع : </w:t>
      </w:r>
      <w:r w:rsidRPr="002E1A56">
        <w:rPr>
          <w:rStyle w:val="libFootnoteBoldChar"/>
          <w:rtl/>
        </w:rPr>
        <w:t>شرح المازندراني</w:t>
      </w:r>
      <w:r w:rsidRPr="00132E65">
        <w:rPr>
          <w:rtl/>
        </w:rPr>
        <w:t xml:space="preserve"> ، ج 6 ، ص 338 ؛ </w:t>
      </w:r>
      <w:r w:rsidRPr="009D1ACE">
        <w:rPr>
          <w:rStyle w:val="libFootnoteBoldChar"/>
          <w:rtl/>
        </w:rPr>
        <w:t>مرآة العقول</w:t>
      </w:r>
      <w:r w:rsidRPr="00132E65">
        <w:rPr>
          <w:rtl/>
        </w:rPr>
        <w:t xml:space="preserve"> ، ج 4 ، ص 229.</w:t>
      </w:r>
    </w:p>
    <w:p w:rsidR="000C39D1" w:rsidRPr="00132E65" w:rsidRDefault="000C39D1" w:rsidP="000C39D1">
      <w:pPr>
        <w:pStyle w:val="libFootnote0"/>
        <w:rPr>
          <w:rtl/>
          <w:lang w:bidi="fa-IR"/>
        </w:rPr>
      </w:pPr>
      <w:r>
        <w:rPr>
          <w:rtl/>
        </w:rPr>
        <w:t>(7).</w:t>
      </w:r>
      <w:r w:rsidRPr="00132E65">
        <w:rPr>
          <w:rtl/>
        </w:rPr>
        <w:t xml:space="preserve"> في « ب » : « وصيّته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يُدْرِكْهُ الْمَوْتُ فَقَدْ وَقَعَ أَجْرُهُ عَلَى اللهِ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 فَبَلَغَ الْبَلَدَ بَعْضُهُمْ ، فَوَجَدَكَ مُغْلَقاً عَلَيْكَ بَابُكَ ، ومُرْخًى </w:t>
      </w:r>
      <w:r>
        <w:rPr>
          <w:rStyle w:val="libFootnotenumChar"/>
          <w:rtl/>
        </w:rPr>
        <w:t>(2)</w:t>
      </w:r>
      <w:r w:rsidRPr="00132E65">
        <w:rPr>
          <w:rtl/>
          <w:lang w:bidi="fa-IR"/>
        </w:rPr>
        <w:t xml:space="preserve"> عَلَيْكَ سِتْرُكَ لَا تَدْعُوهُمْ إِلى نَفْسِكَ ، و</w:t>
      </w:r>
      <w:r w:rsidR="002E1A56">
        <w:rPr>
          <w:rFonts w:hint="cs"/>
          <w:rtl/>
          <w:lang w:bidi="fa-IR"/>
        </w:rPr>
        <w:t>َ</w:t>
      </w:r>
      <w:r w:rsidRPr="00132E65">
        <w:rPr>
          <w:rtl/>
          <w:lang w:bidi="fa-IR"/>
        </w:rPr>
        <w:t xml:space="preserve">لَايَكُونُ مَنْ يَدُلُّهُمْ عَلَيْكَ ، فَبِمَا </w:t>
      </w:r>
      <w:r>
        <w:rPr>
          <w:rStyle w:val="libFootnotenumChar"/>
          <w:rtl/>
        </w:rPr>
        <w:t>(3)</w:t>
      </w:r>
      <w:r w:rsidRPr="00132E65">
        <w:rPr>
          <w:rtl/>
          <w:lang w:bidi="fa-IR"/>
        </w:rPr>
        <w:t xml:space="preserve"> يَعْرِفُونَ ذلِكَ</w:t>
      </w:r>
      <w:r>
        <w:rPr>
          <w:rtl/>
          <w:lang w:bidi="fa-IR"/>
        </w:rPr>
        <w:t>؟</w:t>
      </w:r>
    </w:p>
    <w:p w:rsidR="000C39D1" w:rsidRPr="00132E65" w:rsidRDefault="000C39D1" w:rsidP="000C39D1">
      <w:pPr>
        <w:pStyle w:val="libNormal"/>
        <w:rPr>
          <w:rtl/>
          <w:lang w:bidi="fa-IR"/>
        </w:rPr>
      </w:pPr>
      <w:r w:rsidRPr="00132E65">
        <w:rPr>
          <w:rtl/>
          <w:lang w:bidi="fa-IR"/>
        </w:rPr>
        <w:t>قَالَ : « بِكِتَابِ اللهِ الْمُنْزَلِ »</w:t>
      </w:r>
      <w:r>
        <w:rPr>
          <w:rtl/>
          <w:lang w:bidi="fa-IR"/>
        </w:rPr>
        <w:t>.</w:t>
      </w:r>
    </w:p>
    <w:p w:rsidR="000C39D1" w:rsidRPr="00132E65" w:rsidRDefault="000C39D1" w:rsidP="000C39D1">
      <w:pPr>
        <w:pStyle w:val="libNormal"/>
        <w:rPr>
          <w:rtl/>
          <w:lang w:bidi="fa-IR"/>
        </w:rPr>
      </w:pPr>
      <w:r w:rsidRPr="00132E65">
        <w:rPr>
          <w:rtl/>
          <w:lang w:bidi="fa-IR"/>
        </w:rPr>
        <w:t xml:space="preserve">قُلْتُ : فَبِقَوْلِ اللهُ </w:t>
      </w:r>
      <w:r>
        <w:rPr>
          <w:rStyle w:val="libFootnotenumChar"/>
          <w:rtl/>
        </w:rPr>
        <w:t>(4)</w:t>
      </w:r>
      <w:r w:rsidRPr="00132E65">
        <w:rPr>
          <w:rtl/>
          <w:lang w:bidi="fa-IR"/>
        </w:rPr>
        <w:t xml:space="preserve"> جَلَّ وعَزَّ ، كَيْفَ</w:t>
      </w:r>
      <w:r>
        <w:rPr>
          <w:rtl/>
          <w:lang w:bidi="fa-IR"/>
        </w:rPr>
        <w:t>؟</w:t>
      </w:r>
    </w:p>
    <w:p w:rsidR="000C39D1" w:rsidRPr="00132E65" w:rsidRDefault="000C39D1" w:rsidP="000C39D1">
      <w:pPr>
        <w:pStyle w:val="libNormal"/>
        <w:rPr>
          <w:rtl/>
          <w:lang w:bidi="fa-IR"/>
        </w:rPr>
      </w:pPr>
      <w:r w:rsidRPr="00132E65">
        <w:rPr>
          <w:rtl/>
          <w:lang w:bidi="fa-IR"/>
        </w:rPr>
        <w:t>قَالَ : « أَرَاكَ قَدْ تَكَلَّمْتَ فِي هذَا قَبْلَ الْيَوْمِ »</w:t>
      </w:r>
      <w:r>
        <w:rPr>
          <w:rtl/>
          <w:lang w:bidi="fa-IR"/>
        </w:rPr>
        <w:t>.</w:t>
      </w:r>
      <w:r w:rsidRPr="00132E65">
        <w:rPr>
          <w:rtl/>
          <w:lang w:bidi="fa-IR"/>
        </w:rPr>
        <w:t xml:space="preserve"> قُلْتُ : أَجَلْ ، قَالَ : « فَذَكِّرْ مَا أَنْزَلَ اللهُ فِي عَلِيٍّ </w:t>
      </w:r>
      <w:r w:rsidRPr="00071CF9">
        <w:rPr>
          <w:rStyle w:val="libAlaemChar"/>
          <w:rtl/>
        </w:rPr>
        <w:t>عليه‌السلام</w:t>
      </w:r>
      <w:r w:rsidRPr="00132E65">
        <w:rPr>
          <w:rtl/>
          <w:lang w:bidi="fa-IR"/>
        </w:rPr>
        <w:t xml:space="preserve"> ، و</w:t>
      </w:r>
      <w:r w:rsidR="002E1A56">
        <w:rPr>
          <w:rFonts w:hint="cs"/>
          <w:rtl/>
          <w:lang w:bidi="fa-IR"/>
        </w:rPr>
        <w:t>َ</w:t>
      </w:r>
      <w:r w:rsidRPr="00132E65">
        <w:rPr>
          <w:rtl/>
          <w:lang w:bidi="fa-IR"/>
        </w:rPr>
        <w:t xml:space="preserve">مَا قَالَ لَهُ رَسُولُ اللهِ </w:t>
      </w:r>
      <w:r w:rsidRPr="0093484F">
        <w:rPr>
          <w:rStyle w:val="libAlaemChar"/>
          <w:rFonts w:eastAsiaTheme="minorHAnsi"/>
          <w:rtl/>
        </w:rPr>
        <w:t>صلى‌الله‌عليه‌وآله</w:t>
      </w:r>
      <w:r w:rsidRPr="00132E65">
        <w:rPr>
          <w:rtl/>
          <w:lang w:bidi="fa-IR"/>
        </w:rPr>
        <w:t xml:space="preserve"> فِي حَسَنٍ وحُسَيْنٍ </w:t>
      </w:r>
      <w:r w:rsidRPr="00071CF9">
        <w:rPr>
          <w:rStyle w:val="libAlaemChar"/>
          <w:rtl/>
        </w:rPr>
        <w:t>عليهما‌السلام</w:t>
      </w:r>
      <w:r w:rsidRPr="00132E65">
        <w:rPr>
          <w:rtl/>
          <w:lang w:bidi="fa-IR"/>
        </w:rPr>
        <w:t xml:space="preserve"> ، و</w:t>
      </w:r>
      <w:r w:rsidR="002E1A56">
        <w:rPr>
          <w:rFonts w:hint="cs"/>
          <w:rtl/>
          <w:lang w:bidi="fa-IR"/>
        </w:rPr>
        <w:t>َ</w:t>
      </w:r>
      <w:r w:rsidRPr="00132E65">
        <w:rPr>
          <w:rtl/>
          <w:lang w:bidi="fa-IR"/>
        </w:rPr>
        <w:t xml:space="preserve">مَا خَصَّ اللهُ بِهِ عَلِيّاً </w:t>
      </w:r>
      <w:r w:rsidRPr="00071CF9">
        <w:rPr>
          <w:rStyle w:val="libAlaemChar"/>
          <w:rtl/>
        </w:rPr>
        <w:t>عليه‌السلام</w:t>
      </w:r>
      <w:r w:rsidRPr="00132E65">
        <w:rPr>
          <w:rtl/>
          <w:lang w:bidi="fa-IR"/>
        </w:rPr>
        <w:t xml:space="preserve"> ، وَمَا قَالَ فِيهِ رَسُولُ اللهِ </w:t>
      </w:r>
      <w:r w:rsidRPr="0093484F">
        <w:rPr>
          <w:rStyle w:val="libAlaemChar"/>
          <w:rFonts w:eastAsiaTheme="minorHAnsi"/>
          <w:rtl/>
        </w:rPr>
        <w:t>صلى‌الله‌عليه‌وآله</w:t>
      </w:r>
      <w:r w:rsidRPr="00132E65">
        <w:rPr>
          <w:rtl/>
          <w:lang w:bidi="fa-IR"/>
        </w:rPr>
        <w:t>: مِنْ و</w:t>
      </w:r>
      <w:r w:rsidR="002E1A56">
        <w:rPr>
          <w:rFonts w:hint="cs"/>
          <w:rtl/>
          <w:lang w:bidi="fa-IR"/>
        </w:rPr>
        <w:t>َ</w:t>
      </w:r>
      <w:r w:rsidRPr="00132E65">
        <w:rPr>
          <w:rtl/>
          <w:lang w:bidi="fa-IR"/>
        </w:rPr>
        <w:t>صِيَّتِهِ إِلَيْهِ ، ونَصْبِهِ إِيَّاهُ ، و</w:t>
      </w:r>
      <w:r w:rsidR="002E1A56">
        <w:rPr>
          <w:rFonts w:hint="cs"/>
          <w:rtl/>
          <w:lang w:bidi="fa-IR"/>
        </w:rPr>
        <w:t>َ</w:t>
      </w:r>
      <w:r w:rsidRPr="00132E65">
        <w:rPr>
          <w:rtl/>
          <w:lang w:bidi="fa-IR"/>
        </w:rPr>
        <w:t>مَا يُصِيبُهُمْ ، وإِقْرَارِ الْحَسَنِ والْحُسَيْنِ بِذلِكَ ، و</w:t>
      </w:r>
      <w:r w:rsidR="002E1A56">
        <w:rPr>
          <w:rFonts w:hint="cs"/>
          <w:rtl/>
          <w:lang w:bidi="fa-IR"/>
        </w:rPr>
        <w:t xml:space="preserve">َ </w:t>
      </w:r>
      <w:r w:rsidR="002E1A56">
        <w:rPr>
          <w:rtl/>
          <w:lang w:bidi="fa-IR"/>
        </w:rPr>
        <w:t>و</w:t>
      </w:r>
      <w:r w:rsidR="002E1A56">
        <w:rPr>
          <w:rFonts w:hint="cs"/>
          <w:rtl/>
          <w:lang w:bidi="fa-IR"/>
        </w:rPr>
        <w:t>َ</w:t>
      </w:r>
      <w:r w:rsidRPr="00132E65">
        <w:rPr>
          <w:rtl/>
          <w:lang w:bidi="fa-IR"/>
        </w:rPr>
        <w:t xml:space="preserve">صِيَّتِهِ إِلَى الْحَسَنِ ، وتَسْلِيمِ الْحُسَيْنِ لَهُ ؛ يَقوُلُ </w:t>
      </w:r>
      <w:r>
        <w:rPr>
          <w:rStyle w:val="libFootnotenumChar"/>
          <w:rtl/>
        </w:rPr>
        <w:t>(5)</w:t>
      </w:r>
      <w:r w:rsidRPr="00132E65">
        <w:rPr>
          <w:rtl/>
          <w:lang w:bidi="fa-IR"/>
        </w:rPr>
        <w:t xml:space="preserve"> اللهُ :</w:t>
      </w:r>
      <w:r>
        <w:rPr>
          <w:rFonts w:hint="cs"/>
          <w:rtl/>
          <w:lang w:bidi="fa-IR"/>
        </w:rPr>
        <w:t xml:space="preserve"> </w:t>
      </w:r>
      <w:r w:rsidRPr="00071CF9">
        <w:rPr>
          <w:rStyle w:val="libAlaemChar"/>
          <w:rtl/>
        </w:rPr>
        <w:t>(</w:t>
      </w:r>
      <w:r w:rsidRPr="00071CF9">
        <w:rPr>
          <w:rStyle w:val="libAieChar"/>
          <w:rtl/>
        </w:rPr>
        <w:t xml:space="preserve"> النَّبِيُّ أَوْلى بِالْمُؤْمِنِينَ مِنْ أَنْفُسِهِمْ وَأَزْواجُهُ أُمَّهاتُهُمْ وَأُولُوا الْأَرْحامِ بَعْضُهُمْ أَوْلى بِبَعْضٍ فِي كِتابِ اللهِ </w:t>
      </w:r>
      <w:r w:rsidRPr="00071CF9">
        <w:rPr>
          <w:rStyle w:val="libAlaemChar"/>
          <w:rtl/>
        </w:rPr>
        <w:t>)</w:t>
      </w:r>
      <w:r w:rsidRPr="00071CF9">
        <w:rPr>
          <w:rStyle w:val="libAieChar"/>
          <w:rtl/>
        </w:rPr>
        <w:t xml:space="preserve"> </w:t>
      </w:r>
      <w:r w:rsidRPr="00081B94">
        <w:rPr>
          <w:rtl/>
        </w:rPr>
        <w:t xml:space="preserve">» </w:t>
      </w:r>
      <w:r>
        <w:rPr>
          <w:rStyle w:val="libFootnotenumChar"/>
          <w:rtl/>
        </w:rPr>
        <w:t>(6)</w:t>
      </w:r>
    </w:p>
    <w:p w:rsidR="000C39D1" w:rsidRPr="00132E65" w:rsidRDefault="000C39D1" w:rsidP="000C39D1">
      <w:pPr>
        <w:pStyle w:val="libNormal"/>
        <w:rPr>
          <w:rtl/>
          <w:lang w:bidi="fa-IR"/>
        </w:rPr>
      </w:pPr>
      <w:r w:rsidRPr="00132E65">
        <w:rPr>
          <w:rtl/>
          <w:lang w:bidi="fa-IR"/>
        </w:rPr>
        <w:t xml:space="preserve">قُلْتُ : فَإِنَّ النَّاسَ تَكَلَّمُوا فِي أَبِي جَعْفَرٍ </w:t>
      </w:r>
      <w:r w:rsidRPr="00071CF9">
        <w:rPr>
          <w:rStyle w:val="libAlaemChar"/>
          <w:rtl/>
        </w:rPr>
        <w:t>عليه‌السلام</w:t>
      </w:r>
      <w:r w:rsidRPr="00132E65">
        <w:rPr>
          <w:rtl/>
          <w:lang w:bidi="fa-IR"/>
        </w:rPr>
        <w:t xml:space="preserve"> ، و</w:t>
      </w:r>
      <w:r w:rsidR="002E1A56">
        <w:rPr>
          <w:rFonts w:hint="cs"/>
          <w:rtl/>
          <w:lang w:bidi="fa-IR"/>
        </w:rPr>
        <w:t>َ</w:t>
      </w:r>
      <w:r w:rsidRPr="00132E65">
        <w:rPr>
          <w:rtl/>
          <w:lang w:bidi="fa-IR"/>
        </w:rPr>
        <w:t xml:space="preserve">يَقُولُونَ : كَيْفَ تَخَطَّتْ </w:t>
      </w:r>
      <w:r>
        <w:rPr>
          <w:rStyle w:val="libFootnotenumChar"/>
          <w:rtl/>
        </w:rPr>
        <w:t>(7)</w:t>
      </w:r>
      <w:r w:rsidRPr="00132E65">
        <w:rPr>
          <w:rtl/>
          <w:lang w:bidi="fa-IR"/>
        </w:rPr>
        <w:t xml:space="preserve"> مِنْ و</w:t>
      </w:r>
      <w:r w:rsidR="002E1A56">
        <w:rPr>
          <w:rFonts w:hint="cs"/>
          <w:rtl/>
          <w:lang w:bidi="fa-IR"/>
        </w:rPr>
        <w:t>ُ</w:t>
      </w:r>
      <w:r w:rsidRPr="00132E65">
        <w:rPr>
          <w:rtl/>
          <w:lang w:bidi="fa-IR"/>
        </w:rPr>
        <w:t>لْدِ أَبِيهِ مَنْ لَهُ مِثْلُ قَرَابَتِهِ و</w:t>
      </w:r>
      <w:r w:rsidR="002E1A56">
        <w:rPr>
          <w:rFonts w:hint="cs"/>
          <w:rtl/>
          <w:lang w:bidi="fa-IR"/>
        </w:rPr>
        <w:t>َ</w:t>
      </w:r>
      <w:r w:rsidRPr="00132E65">
        <w:rPr>
          <w:rtl/>
          <w:lang w:bidi="fa-IR"/>
        </w:rPr>
        <w:t>مَنْ هُوَ أَسَنُّ مِنْهُ ، و</w:t>
      </w:r>
      <w:r w:rsidR="002E1A56">
        <w:rPr>
          <w:rFonts w:hint="cs"/>
          <w:rtl/>
          <w:lang w:bidi="fa-IR"/>
        </w:rPr>
        <w:t>َ</w:t>
      </w:r>
      <w:r w:rsidRPr="00132E65">
        <w:rPr>
          <w:rtl/>
          <w:lang w:bidi="fa-IR"/>
        </w:rPr>
        <w:t xml:space="preserve">قَصُرَتْ </w:t>
      </w:r>
      <w:r>
        <w:rPr>
          <w:rStyle w:val="libFootnotenumChar"/>
          <w:rtl/>
        </w:rPr>
        <w:t>(8)</w:t>
      </w:r>
      <w:r w:rsidRPr="00132E65">
        <w:rPr>
          <w:rtl/>
          <w:lang w:bidi="fa-IR"/>
        </w:rPr>
        <w:t xml:space="preserve"> عَمَّنْ هُوَ أَصْغَرُ </w:t>
      </w:r>
      <w:r>
        <w:rPr>
          <w:rStyle w:val="libFootnotenumChar"/>
          <w:rtl/>
        </w:rPr>
        <w:t>(9)</w:t>
      </w:r>
      <w:r w:rsidRPr="00132E65">
        <w:rPr>
          <w:rtl/>
          <w:lang w:bidi="fa-IR"/>
        </w:rPr>
        <w:t xml:space="preserve"> مِنْهُ</w:t>
      </w:r>
      <w:r>
        <w:rPr>
          <w:rtl/>
          <w:lang w:bidi="fa-IR"/>
        </w:rPr>
        <w:t>؟</w:t>
      </w:r>
    </w:p>
    <w:p w:rsidR="000C39D1" w:rsidRPr="00132E65" w:rsidRDefault="000C39D1" w:rsidP="000C39D1">
      <w:pPr>
        <w:pStyle w:val="libNormal"/>
        <w:rPr>
          <w:rtl/>
          <w:lang w:bidi="fa-IR"/>
        </w:rPr>
      </w:pPr>
      <w:r w:rsidRPr="00132E65">
        <w:rPr>
          <w:rtl/>
          <w:lang w:bidi="fa-IR"/>
        </w:rPr>
        <w:t>فَقَالَ : « يُعْرَفُ صَاحِبُ هذَا الْأَمْرِ بِثَلَاثِ خِصَالٍ لَاتَكُونُ فِي غَيْرِهِ : هُوَ أَوْلَى النَّاسِ‌</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النساء </w:t>
      </w:r>
      <w:r w:rsidR="002E1A56">
        <w:rPr>
          <w:rtl/>
        </w:rPr>
        <w:t>(4)</w:t>
      </w:r>
      <w:r w:rsidRPr="00132E65">
        <w:rPr>
          <w:rtl/>
        </w:rPr>
        <w:t xml:space="preserve"> : 100.</w:t>
      </w:r>
    </w:p>
    <w:p w:rsidR="000C39D1" w:rsidRPr="00132E65" w:rsidRDefault="000C39D1" w:rsidP="000C39D1">
      <w:pPr>
        <w:pStyle w:val="libFootnote0"/>
        <w:rPr>
          <w:rtl/>
          <w:lang w:bidi="fa-IR"/>
        </w:rPr>
      </w:pPr>
      <w:r>
        <w:rPr>
          <w:rtl/>
        </w:rPr>
        <w:t>(2).</w:t>
      </w:r>
      <w:r w:rsidRPr="00132E65">
        <w:rPr>
          <w:rtl/>
        </w:rPr>
        <w:t xml:space="preserve"> « مرخىً » على صيغة اسم المفعول ، من الإرخاء بمعنى الإرسال. راجع : </w:t>
      </w:r>
      <w:r w:rsidRPr="002E1A56">
        <w:rPr>
          <w:rStyle w:val="libFootnoteBoldChar"/>
          <w:rtl/>
        </w:rPr>
        <w:t>الصحاح</w:t>
      </w:r>
      <w:r w:rsidRPr="00132E65">
        <w:rPr>
          <w:rtl/>
        </w:rPr>
        <w:t xml:space="preserve"> </w:t>
      </w:r>
      <w:r w:rsidR="002E1A56">
        <w:rPr>
          <w:rtl/>
        </w:rPr>
        <w:t>، ج 6 ، ص 2354 (رخا</w:t>
      </w:r>
      <w:r w:rsidRPr="00132E65">
        <w:rPr>
          <w:rtl/>
        </w:rPr>
        <w:t>)</w:t>
      </w:r>
      <w:r>
        <w:rPr>
          <w:rtl/>
        </w:rPr>
        <w:t>.</w:t>
      </w:r>
    </w:p>
    <w:p w:rsidR="000C39D1" w:rsidRPr="00132E65" w:rsidRDefault="000C39D1" w:rsidP="000C39D1">
      <w:pPr>
        <w:pStyle w:val="libFootnote0"/>
        <w:rPr>
          <w:rtl/>
          <w:lang w:bidi="fa-IR"/>
        </w:rPr>
      </w:pPr>
      <w:r>
        <w:rPr>
          <w:rtl/>
        </w:rPr>
        <w:t>(3).</w:t>
      </w:r>
      <w:r w:rsidRPr="00132E65">
        <w:rPr>
          <w:rtl/>
        </w:rPr>
        <w:t xml:space="preserve"> في حاشية « بح ، بر » : « فبم »</w:t>
      </w:r>
      <w:r>
        <w:rPr>
          <w:rtl/>
        </w:rPr>
        <w:t>.</w:t>
      </w:r>
    </w:p>
    <w:p w:rsidR="000C39D1" w:rsidRPr="00132E65" w:rsidRDefault="000C39D1" w:rsidP="000C39D1">
      <w:pPr>
        <w:pStyle w:val="libFootnote0"/>
        <w:rPr>
          <w:rtl/>
          <w:lang w:bidi="fa-IR"/>
        </w:rPr>
      </w:pPr>
      <w:r>
        <w:rPr>
          <w:rtl/>
        </w:rPr>
        <w:t>(4).</w:t>
      </w:r>
      <w:r w:rsidRPr="00132E65">
        <w:rPr>
          <w:rtl/>
        </w:rPr>
        <w:t xml:space="preserve"> هكذا في « ب ، ج ، ض ، بر »</w:t>
      </w:r>
      <w:r>
        <w:rPr>
          <w:rtl/>
        </w:rPr>
        <w:t>.</w:t>
      </w:r>
      <w:r w:rsidRPr="00132E65">
        <w:rPr>
          <w:rtl/>
        </w:rPr>
        <w:t xml:space="preserve"> وفي سائر النسخ والمطبوع : « فيقول الله »</w:t>
      </w:r>
      <w:r>
        <w:rPr>
          <w:rtl/>
        </w:rPr>
        <w:t>.</w:t>
      </w:r>
      <w:r w:rsidRPr="00132E65">
        <w:rPr>
          <w:rtl/>
        </w:rPr>
        <w:t xml:space="preserve"> وفي حاشية الميرزا رفيعا : أنّ « كيف » مفعول لقول الله.</w:t>
      </w:r>
    </w:p>
    <w:p w:rsidR="000C39D1" w:rsidRPr="00132E65" w:rsidRDefault="000C39D1" w:rsidP="000C39D1">
      <w:pPr>
        <w:pStyle w:val="libFootnote0"/>
        <w:rPr>
          <w:rtl/>
          <w:lang w:bidi="fa-IR"/>
        </w:rPr>
      </w:pPr>
      <w:r>
        <w:rPr>
          <w:rtl/>
        </w:rPr>
        <w:t>(5).</w:t>
      </w:r>
      <w:r w:rsidRPr="00132E65">
        <w:rPr>
          <w:rtl/>
        </w:rPr>
        <w:t xml:space="preserve"> هكذا في « ج ، ض ، ف ، بر ، بس ، بف » </w:t>
      </w:r>
      <w:r w:rsidRPr="002E1A56">
        <w:rPr>
          <w:rtl/>
        </w:rPr>
        <w:t>والوافي</w:t>
      </w:r>
      <w:r w:rsidRPr="00132E65">
        <w:rPr>
          <w:rtl/>
        </w:rPr>
        <w:t>. وفي بعض النسخ والمطبوع : « بقول »</w:t>
      </w:r>
      <w:r>
        <w:rPr>
          <w:rtl/>
        </w:rPr>
        <w:t>.</w:t>
      </w:r>
    </w:p>
    <w:p w:rsidR="000C39D1" w:rsidRPr="00132E65" w:rsidRDefault="000C39D1" w:rsidP="000C39D1">
      <w:pPr>
        <w:pStyle w:val="libFootnote0"/>
        <w:rPr>
          <w:rtl/>
          <w:lang w:bidi="fa-IR"/>
        </w:rPr>
      </w:pPr>
      <w:r>
        <w:rPr>
          <w:rtl/>
        </w:rPr>
        <w:t>(6).</w:t>
      </w:r>
      <w:r w:rsidRPr="00132E65">
        <w:rPr>
          <w:rtl/>
        </w:rPr>
        <w:t xml:space="preserve"> الأحزاب (33) : 6.</w:t>
      </w:r>
    </w:p>
    <w:p w:rsidR="000C39D1" w:rsidRPr="00132E65" w:rsidRDefault="000C39D1" w:rsidP="000C39D1">
      <w:pPr>
        <w:pStyle w:val="libFootnote0"/>
        <w:rPr>
          <w:rtl/>
          <w:lang w:bidi="fa-IR"/>
        </w:rPr>
      </w:pPr>
      <w:r>
        <w:rPr>
          <w:rtl/>
        </w:rPr>
        <w:t>(7).</w:t>
      </w:r>
      <w:r w:rsidRPr="00132E65">
        <w:rPr>
          <w:rtl/>
        </w:rPr>
        <w:t xml:space="preserve"> « تخطَّت » ، أي تجاوزت الإمامةُ. من قولك : تَخَطَّيتُه ، إذا تجاوزته. راجع : </w:t>
      </w:r>
      <w:r w:rsidRPr="002E1A56">
        <w:rPr>
          <w:rStyle w:val="libFootnoteBoldChar"/>
          <w:rtl/>
        </w:rPr>
        <w:t>الصحاح</w:t>
      </w:r>
      <w:r w:rsidRPr="00132E65">
        <w:rPr>
          <w:rtl/>
        </w:rPr>
        <w:t xml:space="preserve"> ، ج 6 ، ص 2328 ( خطا )</w:t>
      </w:r>
      <w:r>
        <w:rPr>
          <w:rtl/>
        </w:rPr>
        <w:t>.</w:t>
      </w:r>
    </w:p>
    <w:p w:rsidR="000C39D1" w:rsidRPr="00132E65" w:rsidRDefault="000C39D1" w:rsidP="002E1A56">
      <w:pPr>
        <w:pStyle w:val="libFootnote0"/>
        <w:rPr>
          <w:rtl/>
          <w:lang w:bidi="fa-IR"/>
        </w:rPr>
      </w:pPr>
      <w:r>
        <w:rPr>
          <w:rtl/>
        </w:rPr>
        <w:t>(8).</w:t>
      </w:r>
      <w:r w:rsidRPr="00132E65">
        <w:rPr>
          <w:rtl/>
        </w:rPr>
        <w:t xml:space="preserve"> في </w:t>
      </w:r>
      <w:r w:rsidRPr="002E1A56">
        <w:rPr>
          <w:rStyle w:val="libFootnoteBoldChar"/>
          <w:rtl/>
        </w:rPr>
        <w:t>شرح المازندراني</w:t>
      </w:r>
      <w:r w:rsidRPr="00132E65">
        <w:rPr>
          <w:rtl/>
        </w:rPr>
        <w:t xml:space="preserve"> : « قصرت ، على </w:t>
      </w:r>
      <w:r w:rsidRPr="002E1A56">
        <w:rPr>
          <w:rStyle w:val="libFootnoteBoldChar"/>
          <w:rtl/>
        </w:rPr>
        <w:t>صيغة المجهول</w:t>
      </w:r>
      <w:r w:rsidRPr="00132E65">
        <w:rPr>
          <w:rtl/>
        </w:rPr>
        <w:t>. يقال : قصرت الشي‌ء على كذا ، أي حبسته عليه ولم أتجاوز به إلى غيره ،</w:t>
      </w:r>
      <w:r>
        <w:rPr>
          <w:rtl/>
        </w:rPr>
        <w:t xml:space="preserve"> ف</w:t>
      </w:r>
      <w:r w:rsidR="002E1A56">
        <w:rPr>
          <w:rFonts w:hint="cs"/>
          <w:rtl/>
        </w:rPr>
        <w:t>ـ</w:t>
      </w:r>
      <w:r>
        <w:rPr>
          <w:rtl/>
        </w:rPr>
        <w:t xml:space="preserve"> «</w:t>
      </w:r>
      <w:r w:rsidRPr="00132E65">
        <w:rPr>
          <w:rtl/>
        </w:rPr>
        <w:t xml:space="preserve"> عن » بمعنى « على »</w:t>
      </w:r>
      <w:r>
        <w:rPr>
          <w:rtl/>
        </w:rPr>
        <w:t>.</w:t>
      </w:r>
      <w:r w:rsidR="002E1A56">
        <w:rPr>
          <w:rFonts w:hint="cs"/>
          <w:rtl/>
        </w:rPr>
        <w:t xml:space="preserve">                   </w:t>
      </w:r>
      <w:r>
        <w:rPr>
          <w:rtl/>
        </w:rPr>
        <w:t>(9).</w:t>
      </w:r>
      <w:r w:rsidRPr="00132E65">
        <w:rPr>
          <w:rtl/>
        </w:rPr>
        <w:t xml:space="preserve"> في « ف » : « أضعف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بِالَّذِي قَبْلَهُ و</w:t>
      </w:r>
      <w:r w:rsidR="002E1A56">
        <w:rPr>
          <w:rFonts w:hint="cs"/>
          <w:rtl/>
          <w:lang w:bidi="fa-IR"/>
        </w:rPr>
        <w:t xml:space="preserve">َ </w:t>
      </w:r>
      <w:r w:rsidRPr="00132E65">
        <w:rPr>
          <w:rtl/>
          <w:lang w:bidi="fa-IR"/>
        </w:rPr>
        <w:t>هُوَ و</w:t>
      </w:r>
      <w:r w:rsidR="002E1A56">
        <w:rPr>
          <w:rFonts w:hint="cs"/>
          <w:rtl/>
          <w:lang w:bidi="fa-IR"/>
        </w:rPr>
        <w:t>َ</w:t>
      </w:r>
      <w:r w:rsidRPr="00132E65">
        <w:rPr>
          <w:rtl/>
          <w:lang w:bidi="fa-IR"/>
        </w:rPr>
        <w:t xml:space="preserve">صِيُّهُ ، وعِنْدَهُ سِلَاحُ رَسُولِ اللهِ </w:t>
      </w:r>
      <w:r w:rsidRPr="0093484F">
        <w:rPr>
          <w:rStyle w:val="libAlaemChar"/>
          <w:rFonts w:eastAsiaTheme="minorHAnsi"/>
          <w:rtl/>
        </w:rPr>
        <w:t>صلى‌الله‌عليه‌وآله</w:t>
      </w:r>
      <w:r w:rsidR="002E1A56">
        <w:rPr>
          <w:rtl/>
          <w:lang w:bidi="fa-IR"/>
        </w:rPr>
        <w:t xml:space="preserve"> ، و</w:t>
      </w:r>
      <w:r w:rsidR="002E1A56">
        <w:rPr>
          <w:rFonts w:hint="cs"/>
          <w:rtl/>
          <w:lang w:bidi="fa-IR"/>
        </w:rPr>
        <w:t xml:space="preserve">َ </w:t>
      </w:r>
      <w:r w:rsidR="002E1A56">
        <w:rPr>
          <w:rtl/>
          <w:lang w:bidi="fa-IR"/>
        </w:rPr>
        <w:t>و</w:t>
      </w:r>
      <w:r w:rsidR="002E1A56">
        <w:rPr>
          <w:rFonts w:hint="cs"/>
          <w:rtl/>
          <w:lang w:bidi="fa-IR"/>
        </w:rPr>
        <w:t>َ</w:t>
      </w:r>
      <w:r w:rsidRPr="00132E65">
        <w:rPr>
          <w:rtl/>
          <w:lang w:bidi="fa-IR"/>
        </w:rPr>
        <w:t>صِيَّتُهُ ، و</w:t>
      </w:r>
      <w:r w:rsidR="002E1A56">
        <w:rPr>
          <w:rFonts w:hint="cs"/>
          <w:rtl/>
          <w:lang w:bidi="fa-IR"/>
        </w:rPr>
        <w:t>َ</w:t>
      </w:r>
      <w:r w:rsidRPr="00132E65">
        <w:rPr>
          <w:rtl/>
          <w:lang w:bidi="fa-IR"/>
        </w:rPr>
        <w:t xml:space="preserve">ذلِكَ عِنْدِي لَا أُنَازَعُ </w:t>
      </w:r>
      <w:r>
        <w:rPr>
          <w:rStyle w:val="libFootnotenumChar"/>
          <w:rtl/>
        </w:rPr>
        <w:t>(1)</w:t>
      </w:r>
      <w:r w:rsidRPr="00132E65">
        <w:rPr>
          <w:rtl/>
          <w:lang w:bidi="fa-IR"/>
        </w:rPr>
        <w:t xml:space="preserve"> فِيهِ »</w:t>
      </w:r>
      <w:r>
        <w:rPr>
          <w:rtl/>
          <w:lang w:bidi="fa-IR"/>
        </w:rPr>
        <w:t>.</w:t>
      </w:r>
    </w:p>
    <w:p w:rsidR="000C39D1" w:rsidRPr="00132E65" w:rsidRDefault="000C39D1" w:rsidP="000C39D1">
      <w:pPr>
        <w:pStyle w:val="libNormal"/>
        <w:rPr>
          <w:rtl/>
          <w:lang w:bidi="fa-IR"/>
        </w:rPr>
      </w:pPr>
      <w:r w:rsidRPr="00132E65">
        <w:rPr>
          <w:rtl/>
          <w:lang w:bidi="fa-IR"/>
        </w:rPr>
        <w:t>قُلْتُ : إِنَّ ذلِكَ مَسْتُورٌ مَخَافَةَ السُّلْطَانِ</w:t>
      </w:r>
      <w:r>
        <w:rPr>
          <w:rtl/>
          <w:lang w:bidi="fa-IR"/>
        </w:rPr>
        <w:t>؟</w:t>
      </w:r>
    </w:p>
    <w:p w:rsidR="000C39D1" w:rsidRPr="00132E65" w:rsidRDefault="000C39D1" w:rsidP="000C39D1">
      <w:pPr>
        <w:pStyle w:val="libNormal"/>
        <w:rPr>
          <w:rtl/>
          <w:lang w:bidi="fa-IR"/>
        </w:rPr>
      </w:pPr>
      <w:r w:rsidRPr="00132E65">
        <w:rPr>
          <w:rtl/>
          <w:lang w:bidi="fa-IR"/>
        </w:rPr>
        <w:t xml:space="preserve">قَالَ : « لَا يَكُونُ فِي سِتْرٍ </w:t>
      </w:r>
      <w:r>
        <w:rPr>
          <w:rStyle w:val="libFootnotenumChar"/>
          <w:rtl/>
        </w:rPr>
        <w:t>(2)</w:t>
      </w:r>
      <w:r w:rsidR="008414B9">
        <w:rPr>
          <w:rtl/>
          <w:lang w:bidi="fa-IR"/>
        </w:rPr>
        <w:t xml:space="preserve"> إِل</w:t>
      </w:r>
      <w:r w:rsidR="008414B9">
        <w:rPr>
          <w:rFonts w:hint="cs"/>
          <w:rtl/>
          <w:lang w:bidi="fa-IR"/>
        </w:rPr>
        <w:t>َّ</w:t>
      </w:r>
      <w:r w:rsidR="008414B9">
        <w:rPr>
          <w:rtl/>
          <w:lang w:bidi="fa-IR"/>
        </w:rPr>
        <w:t>ا</w:t>
      </w:r>
      <w:r w:rsidRPr="00132E65">
        <w:rPr>
          <w:rtl/>
          <w:lang w:bidi="fa-IR"/>
        </w:rPr>
        <w:t xml:space="preserve"> و</w:t>
      </w:r>
      <w:r w:rsidR="008414B9">
        <w:rPr>
          <w:rFonts w:hint="cs"/>
          <w:rtl/>
          <w:lang w:bidi="fa-IR"/>
        </w:rPr>
        <w:t>َ</w:t>
      </w:r>
      <w:r w:rsidRPr="00132E65">
        <w:rPr>
          <w:rtl/>
          <w:lang w:bidi="fa-IR"/>
        </w:rPr>
        <w:t xml:space="preserve">لَهُ حُجَّةٌ ظَاهِرَةٌ ؛ إِنَّ أَبِي اسْتَوْدَعَنِي مَا هُنَاكَ ، فَلَمَّا حَضَرَتْهُ الْوَفَاةُ ، قَالَ : ادْعُ لِي شُهُوداً ، فَدَعَوْتُ أَرْبَعَةً مِنْ قُرَيْشٍ ، فِيهِمْ نَافِعٌ مَوْلى عَبْدِ اللهِ بْنِ عُمَرَ ، قَالَ : اكْتُبْ : هذَا مَا أَوْصى بِهِ يَعْقُوبُ بَنِيهِ : </w:t>
      </w:r>
      <w:r w:rsidRPr="00071CF9">
        <w:rPr>
          <w:rStyle w:val="libAlaemChar"/>
          <w:rtl/>
        </w:rPr>
        <w:t>(</w:t>
      </w:r>
      <w:r w:rsidRPr="00071CF9">
        <w:rPr>
          <w:rStyle w:val="libAieChar"/>
          <w:rtl/>
        </w:rPr>
        <w:t xml:space="preserve"> يا بَنِيَّ إِنَّ اللهَ اصْطَفى لَكُمُ الدِّينَ فَلا تَمُوتُنَّ إِلاّ وَأَنْتُمْ مُسْلِمُونَ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 و</w:t>
      </w:r>
      <w:r w:rsidR="008414B9">
        <w:rPr>
          <w:rFonts w:hint="cs"/>
          <w:rtl/>
          <w:lang w:bidi="fa-IR"/>
        </w:rPr>
        <w:t>َ</w:t>
      </w:r>
      <w:r w:rsidRPr="00132E65">
        <w:rPr>
          <w:rtl/>
          <w:lang w:bidi="fa-IR"/>
        </w:rPr>
        <w:t xml:space="preserve">أَوْصى مُحَمَّدُ بْنُ عَلِيٍّ إِلَى ابْنِهِ </w:t>
      </w:r>
      <w:r>
        <w:rPr>
          <w:rStyle w:val="libFootnotenumChar"/>
          <w:rtl/>
        </w:rPr>
        <w:t>(4)</w:t>
      </w:r>
      <w:r w:rsidRPr="00132E65">
        <w:rPr>
          <w:rtl/>
          <w:lang w:bidi="fa-IR"/>
        </w:rPr>
        <w:t xml:space="preserve"> جَعْفَرِ بْنِ مُحَمَّدٍ ، وَأَمَرَهُ أَنْ يُكَفِّنَهُ فِي بُرْدِهِ الَّذِي كَانَ يُصَلِّي فِيهِ الْجُمَعَ </w:t>
      </w:r>
      <w:r>
        <w:rPr>
          <w:rStyle w:val="libFootnotenumChar"/>
          <w:rtl/>
        </w:rPr>
        <w:t>(5)</w:t>
      </w:r>
      <w:r w:rsidRPr="00132E65">
        <w:rPr>
          <w:rtl/>
          <w:lang w:bidi="fa-IR"/>
        </w:rPr>
        <w:t xml:space="preserve"> ، و</w:t>
      </w:r>
      <w:r w:rsidR="008414B9">
        <w:rPr>
          <w:rFonts w:hint="cs"/>
          <w:rtl/>
          <w:lang w:bidi="fa-IR"/>
        </w:rPr>
        <w:t>َ</w:t>
      </w:r>
      <w:r w:rsidRPr="00132E65">
        <w:rPr>
          <w:rtl/>
          <w:lang w:bidi="fa-IR"/>
        </w:rPr>
        <w:t xml:space="preserve">أَنْ يُعَمِّمَهُ بِعِمَامَتِهِ ، وأَنْ يُرَبِّعَ قَبْرَهُ ، ويَرْفَعَهُ </w:t>
      </w:r>
      <w:r>
        <w:rPr>
          <w:rStyle w:val="libFootnotenumChar"/>
          <w:rtl/>
        </w:rPr>
        <w:t>(6)</w:t>
      </w:r>
      <w:r w:rsidRPr="00132E65">
        <w:rPr>
          <w:rtl/>
          <w:lang w:bidi="fa-IR"/>
        </w:rPr>
        <w:t xml:space="preserve"> أَرْبَعَ </w:t>
      </w:r>
      <w:r>
        <w:rPr>
          <w:rStyle w:val="libFootnotenumChar"/>
          <w:rtl/>
        </w:rPr>
        <w:t>(7)</w:t>
      </w:r>
      <w:r w:rsidRPr="00132E65">
        <w:rPr>
          <w:rtl/>
          <w:lang w:bidi="fa-IR"/>
        </w:rPr>
        <w:t xml:space="preserve"> أَصَابِعَ ، ثُمَّ يُخَلِّيَ عَنْهُ » ، فَقَالَ : « اطْوُوهُ </w:t>
      </w:r>
      <w:r>
        <w:rPr>
          <w:rStyle w:val="libFootnotenumChar"/>
          <w:rtl/>
        </w:rPr>
        <w:t>(8)</w:t>
      </w:r>
      <w:r w:rsidRPr="00132E65">
        <w:rPr>
          <w:rtl/>
          <w:lang w:bidi="fa-IR"/>
        </w:rPr>
        <w:t xml:space="preserve"> »</w:t>
      </w:r>
      <w:r>
        <w:rPr>
          <w:rtl/>
          <w:lang w:bidi="fa-IR"/>
        </w:rPr>
        <w:t>.</w:t>
      </w:r>
      <w:r w:rsidRPr="00132E65">
        <w:rPr>
          <w:rtl/>
          <w:lang w:bidi="fa-IR"/>
        </w:rPr>
        <w:t xml:space="preserve"> ثُمَّ قَالَ لِلشُّهُودِ :</w:t>
      </w:r>
      <w:r>
        <w:rPr>
          <w:rFonts w:hint="cs"/>
          <w:rtl/>
          <w:lang w:bidi="fa-IR"/>
        </w:rPr>
        <w:t xml:space="preserve"> </w:t>
      </w:r>
      <w:r w:rsidRPr="00132E65">
        <w:rPr>
          <w:rtl/>
          <w:lang w:bidi="fa-IR"/>
        </w:rPr>
        <w:t>« انْصَرِفُوا رَحِمَكُمُ اللهُ »</w:t>
      </w:r>
      <w:r>
        <w:rPr>
          <w:rtl/>
          <w:lang w:bidi="fa-IR"/>
        </w:rPr>
        <w:t>.</w:t>
      </w:r>
    </w:p>
    <w:p w:rsidR="000C39D1" w:rsidRPr="00132E65" w:rsidRDefault="000C39D1" w:rsidP="000C39D1">
      <w:pPr>
        <w:pStyle w:val="libNormal"/>
        <w:rPr>
          <w:rtl/>
          <w:lang w:bidi="fa-IR"/>
        </w:rPr>
      </w:pPr>
      <w:r w:rsidRPr="00132E65">
        <w:rPr>
          <w:rtl/>
          <w:lang w:bidi="fa-IR"/>
        </w:rPr>
        <w:t xml:space="preserve">فَقُلْتُ بَعْدَ مَا انْصَرَفُوا : « مَا كَانَ فِي </w:t>
      </w:r>
      <w:r>
        <w:rPr>
          <w:rStyle w:val="libFootnotenumChar"/>
          <w:rtl/>
        </w:rPr>
        <w:t>(9)</w:t>
      </w:r>
      <w:r w:rsidRPr="00132E65">
        <w:rPr>
          <w:rtl/>
          <w:lang w:bidi="fa-IR"/>
        </w:rPr>
        <w:t xml:space="preserve"> هذَا يَا أَبَتِ </w:t>
      </w:r>
      <w:r>
        <w:rPr>
          <w:rStyle w:val="libFootnotenumChar"/>
          <w:rtl/>
        </w:rPr>
        <w:t>(10)</w:t>
      </w:r>
      <w:r w:rsidRPr="00132E65">
        <w:rPr>
          <w:rtl/>
          <w:lang w:bidi="fa-IR"/>
        </w:rPr>
        <w:t xml:space="preserve"> ، أَنْ </w:t>
      </w:r>
      <w:r>
        <w:rPr>
          <w:rStyle w:val="libFootnotenumChar"/>
          <w:rtl/>
        </w:rPr>
        <w:t>(11)</w:t>
      </w:r>
      <w:r w:rsidRPr="00132E65">
        <w:rPr>
          <w:rtl/>
          <w:lang w:bidi="fa-IR"/>
        </w:rPr>
        <w:t xml:space="preserve"> تُشْهِدَ عَلَيْهِ</w:t>
      </w:r>
      <w:r>
        <w:rPr>
          <w:rtl/>
          <w:lang w:bidi="fa-IR"/>
        </w:rPr>
        <w:t>؟</w:t>
      </w:r>
      <w:r w:rsidRPr="00132E65">
        <w:rPr>
          <w:rtl/>
          <w:lang w:bidi="fa-IR"/>
        </w:rPr>
        <w:t xml:space="preserve"> » ‌</w:t>
      </w:r>
    </w:p>
    <w:p w:rsidR="000C39D1" w:rsidRPr="00132E65" w:rsidRDefault="000C39D1" w:rsidP="000C39D1">
      <w:pPr>
        <w:pStyle w:val="libNormal"/>
        <w:rPr>
          <w:rtl/>
          <w:lang w:bidi="fa-IR"/>
        </w:rPr>
      </w:pPr>
      <w:r w:rsidRPr="00132E65">
        <w:rPr>
          <w:rtl/>
          <w:lang w:bidi="fa-IR"/>
        </w:rPr>
        <w:t>فَقَالَ : « إِنِّي كَرِهْتُ أَنْ تُغْلَبَ ، و</w:t>
      </w:r>
      <w:r w:rsidR="008414B9">
        <w:rPr>
          <w:rFonts w:hint="cs"/>
          <w:rtl/>
          <w:lang w:bidi="fa-IR"/>
        </w:rPr>
        <w:t>َ</w:t>
      </w:r>
      <w:r w:rsidRPr="00132E65">
        <w:rPr>
          <w:rtl/>
          <w:lang w:bidi="fa-IR"/>
        </w:rPr>
        <w:t xml:space="preserve">أَنْ يُقَالَ : إِنَّهُ لَمْ يُوصَ </w:t>
      </w:r>
      <w:r>
        <w:rPr>
          <w:rStyle w:val="libFootnotenumChar"/>
          <w:rtl/>
        </w:rPr>
        <w:t>(12)</w:t>
      </w:r>
      <w:r w:rsidRPr="00132E65">
        <w:rPr>
          <w:rtl/>
          <w:lang w:bidi="fa-IR"/>
        </w:rPr>
        <w:t xml:space="preserve"> ، فَأَرَدْتُ أَنْ تَكُونَ </w:t>
      </w:r>
      <w:r w:rsidRPr="00F543F1">
        <w:rPr>
          <w:rStyle w:val="libFootnotenumChar"/>
          <w:rtl/>
        </w:rPr>
        <w:t>(13)</w:t>
      </w:r>
      <w:r w:rsidRPr="00132E65">
        <w:rPr>
          <w:rtl/>
          <w:lang w:bidi="fa-IR"/>
        </w:rPr>
        <w:t xml:space="preserve"> لَكَ حُجَّةٌ ، فَهُوَ الَّذِي إِذَا قَدِمَ الرَّجُلُ الْبَلَدَ ، قَالَ : مَنْ و</w:t>
      </w:r>
      <w:r w:rsidR="008414B9">
        <w:rPr>
          <w:rFonts w:hint="cs"/>
          <w:rtl/>
          <w:lang w:bidi="fa-IR"/>
        </w:rPr>
        <w:t>َ</w:t>
      </w:r>
      <w:r w:rsidRPr="00132E65">
        <w:rPr>
          <w:rtl/>
          <w:lang w:bidi="fa-IR"/>
        </w:rPr>
        <w:t>صِيُّ فُلَانٍ</w:t>
      </w:r>
      <w:r>
        <w:rPr>
          <w:rtl/>
          <w:lang w:bidi="fa-IR"/>
        </w:rPr>
        <w:t>؟</w:t>
      </w:r>
      <w:r w:rsidRPr="00132E65">
        <w:rPr>
          <w:rtl/>
          <w:lang w:bidi="fa-IR"/>
        </w:rPr>
        <w:t xml:space="preserve"> قِيلَ </w:t>
      </w:r>
      <w:r w:rsidRPr="00F543F1">
        <w:rPr>
          <w:rStyle w:val="libFootnotenumChar"/>
          <w:rtl/>
        </w:rPr>
        <w:t>(14)</w:t>
      </w:r>
      <w:r w:rsidRPr="00132E65">
        <w:rPr>
          <w:rtl/>
          <w:lang w:bidi="fa-IR"/>
        </w:rPr>
        <w:t xml:space="preserve"> : فُلَانٌ »</w:t>
      </w:r>
      <w:r>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414B9" w:rsidTr="008414B9">
        <w:tc>
          <w:tcPr>
            <w:tcW w:w="4006" w:type="dxa"/>
          </w:tcPr>
          <w:p w:rsidR="008414B9" w:rsidRDefault="008414B9" w:rsidP="000C39D1">
            <w:pPr>
              <w:pStyle w:val="libFootnote0"/>
              <w:rPr>
                <w:rtl/>
              </w:rPr>
            </w:pPr>
            <w:r>
              <w:rPr>
                <w:rtl/>
              </w:rPr>
              <w:t>(1).</w:t>
            </w:r>
            <w:r w:rsidRPr="00132E65">
              <w:rPr>
                <w:rtl/>
              </w:rPr>
              <w:t xml:space="preserve"> في « بح » : « ولا ا</w:t>
            </w:r>
            <w:r>
              <w:rPr>
                <w:rFonts w:hint="cs"/>
                <w:rtl/>
              </w:rPr>
              <w:t>ُ</w:t>
            </w:r>
            <w:r w:rsidRPr="00132E65">
              <w:rPr>
                <w:rtl/>
              </w:rPr>
              <w:t>نازع »</w:t>
            </w:r>
            <w:r>
              <w:rPr>
                <w:rtl/>
              </w:rPr>
              <w:t>.</w:t>
            </w:r>
          </w:p>
        </w:tc>
        <w:tc>
          <w:tcPr>
            <w:tcW w:w="4006" w:type="dxa"/>
          </w:tcPr>
          <w:p w:rsidR="008414B9" w:rsidRDefault="008414B9" w:rsidP="000C39D1">
            <w:pPr>
              <w:pStyle w:val="libFootnote0"/>
              <w:rPr>
                <w:rtl/>
              </w:rPr>
            </w:pPr>
            <w:r>
              <w:rPr>
                <w:rtl/>
              </w:rPr>
              <w:t>(2).</w:t>
            </w:r>
            <w:r w:rsidRPr="00132E65">
              <w:rPr>
                <w:rtl/>
              </w:rPr>
              <w:t xml:space="preserve"> في حاشية « ف ، بس ، بف » : « سرّ »</w:t>
            </w:r>
            <w:r>
              <w:rPr>
                <w:rtl/>
              </w:rPr>
              <w:t>.</w:t>
            </w:r>
          </w:p>
        </w:tc>
      </w:tr>
    </w:tbl>
    <w:p w:rsidR="000C39D1" w:rsidRPr="00132E65" w:rsidRDefault="000C39D1" w:rsidP="000C39D1">
      <w:pPr>
        <w:pStyle w:val="libFootnote0"/>
        <w:rPr>
          <w:rtl/>
          <w:lang w:bidi="fa-IR"/>
        </w:rPr>
      </w:pPr>
      <w:r>
        <w:rPr>
          <w:rtl/>
        </w:rPr>
        <w:t>(3).</w:t>
      </w:r>
      <w:r w:rsidRPr="00132E65">
        <w:rPr>
          <w:rtl/>
        </w:rPr>
        <w:t xml:space="preserve"> البقرة </w:t>
      </w:r>
      <w:r w:rsidR="008414B9">
        <w:rPr>
          <w:rtl/>
        </w:rPr>
        <w:t>(2)</w:t>
      </w:r>
      <w:r w:rsidRPr="00132E65">
        <w:rPr>
          <w:rtl/>
        </w:rPr>
        <w:t xml:space="preserve"> : 132.</w:t>
      </w:r>
    </w:p>
    <w:p w:rsidR="000C39D1" w:rsidRPr="00132E65" w:rsidRDefault="000C39D1" w:rsidP="000C39D1">
      <w:pPr>
        <w:pStyle w:val="libFootnote0"/>
        <w:rPr>
          <w:rtl/>
          <w:lang w:bidi="fa-IR"/>
        </w:rPr>
      </w:pPr>
      <w:r>
        <w:rPr>
          <w:rtl/>
        </w:rPr>
        <w:t>(4).</w:t>
      </w:r>
      <w:r w:rsidRPr="00132E65">
        <w:rPr>
          <w:rtl/>
        </w:rPr>
        <w:t xml:space="preserve"> في « ج ، بح ، بر ، بس ، بف » و</w:t>
      </w:r>
      <w:r w:rsidRPr="000577A7">
        <w:rPr>
          <w:rStyle w:val="libFootnoteBoldChar"/>
          <w:rtl/>
        </w:rPr>
        <w:t>الكافي</w:t>
      </w:r>
      <w:r w:rsidRPr="00132E65">
        <w:rPr>
          <w:rtl/>
        </w:rPr>
        <w:t xml:space="preserve"> ، ح 800 ، و</w:t>
      </w:r>
      <w:r w:rsidRPr="009D1ACE">
        <w:rPr>
          <w:rStyle w:val="libFootnoteBoldChar"/>
          <w:rtl/>
        </w:rPr>
        <w:t>الوافي</w:t>
      </w:r>
      <w:r w:rsidRPr="00132E65">
        <w:rPr>
          <w:rtl/>
        </w:rPr>
        <w:t xml:space="preserve"> والإرشاد </w:t>
      </w:r>
      <w:r>
        <w:rPr>
          <w:rtl/>
        </w:rPr>
        <w:t xml:space="preserve">: - </w:t>
      </w:r>
      <w:r w:rsidRPr="00132E65">
        <w:rPr>
          <w:rtl/>
        </w:rPr>
        <w:t>« ابنه »</w:t>
      </w:r>
      <w:r>
        <w:rPr>
          <w:rtl/>
        </w:rPr>
        <w:t>.</w:t>
      </w:r>
    </w:p>
    <w:tbl>
      <w:tblPr>
        <w:tblStyle w:val="TableGrid"/>
        <w:bidiVisual/>
        <w:tblW w:w="0" w:type="auto"/>
        <w:tblLook w:val="04A0" w:firstRow="1" w:lastRow="0" w:firstColumn="1" w:lastColumn="0" w:noHBand="0" w:noVBand="1"/>
      </w:tblPr>
      <w:tblGrid>
        <w:gridCol w:w="4006"/>
        <w:gridCol w:w="4006"/>
      </w:tblGrid>
      <w:tr w:rsidR="008414B9" w:rsidTr="008414B9">
        <w:tc>
          <w:tcPr>
            <w:tcW w:w="4006" w:type="dxa"/>
          </w:tcPr>
          <w:p w:rsidR="008414B9" w:rsidRDefault="008414B9" w:rsidP="000C39D1">
            <w:pPr>
              <w:pStyle w:val="libFootnote0"/>
              <w:rPr>
                <w:rtl/>
              </w:rPr>
            </w:pPr>
            <w:r>
              <w:rPr>
                <w:rtl/>
              </w:rPr>
              <w:t>(5).</w:t>
            </w:r>
            <w:r w:rsidRPr="00132E65">
              <w:rPr>
                <w:rtl/>
              </w:rPr>
              <w:t xml:space="preserve"> في </w:t>
            </w:r>
            <w:r w:rsidRPr="000577A7">
              <w:rPr>
                <w:rStyle w:val="libFootnoteBoldChar"/>
                <w:rtl/>
              </w:rPr>
              <w:t>الكافي</w:t>
            </w:r>
            <w:r w:rsidRPr="00132E65">
              <w:rPr>
                <w:rtl/>
              </w:rPr>
              <w:t xml:space="preserve"> ، ح 800 : « الجمعة »</w:t>
            </w:r>
            <w:r>
              <w:rPr>
                <w:rtl/>
              </w:rPr>
              <w:t>.</w:t>
            </w:r>
          </w:p>
        </w:tc>
        <w:tc>
          <w:tcPr>
            <w:tcW w:w="4006" w:type="dxa"/>
          </w:tcPr>
          <w:p w:rsidR="008414B9" w:rsidRDefault="008414B9" w:rsidP="000C39D1">
            <w:pPr>
              <w:pStyle w:val="libFootnote0"/>
              <w:rPr>
                <w:rtl/>
              </w:rPr>
            </w:pPr>
            <w:r>
              <w:rPr>
                <w:rtl/>
              </w:rPr>
              <w:t>(6).</w:t>
            </w:r>
            <w:r w:rsidRPr="00132E65">
              <w:rPr>
                <w:rtl/>
              </w:rPr>
              <w:t xml:space="preserve"> في « ف » : « وأن يرفعه »</w:t>
            </w:r>
            <w:r>
              <w:rPr>
                <w:rtl/>
              </w:rPr>
              <w:t>.</w:t>
            </w:r>
          </w:p>
        </w:tc>
      </w:tr>
    </w:tbl>
    <w:p w:rsidR="000C39D1" w:rsidRPr="00132E65" w:rsidRDefault="000C39D1" w:rsidP="000C39D1">
      <w:pPr>
        <w:pStyle w:val="libFootnote0"/>
        <w:rPr>
          <w:rtl/>
          <w:lang w:bidi="fa-IR"/>
        </w:rPr>
      </w:pPr>
      <w:r>
        <w:rPr>
          <w:rtl/>
        </w:rPr>
        <w:t>(7).</w:t>
      </w:r>
      <w:r w:rsidRPr="00132E65">
        <w:rPr>
          <w:rtl/>
        </w:rPr>
        <w:t xml:space="preserve"> في « بح » : « أربعة »</w:t>
      </w:r>
      <w:r>
        <w:rPr>
          <w:rtl/>
        </w:rPr>
        <w:t>.</w:t>
      </w:r>
      <w:r w:rsidRPr="00132E65">
        <w:rPr>
          <w:rtl/>
        </w:rPr>
        <w:t xml:space="preserve"> والإصبع ممّا يذكّر ويؤنّث.</w:t>
      </w:r>
    </w:p>
    <w:p w:rsidR="000C39D1" w:rsidRPr="00132E65" w:rsidRDefault="000C39D1" w:rsidP="000C39D1">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 ح 800 : « وأن يحلّ عنه أطماره عند دفنه » بدل « ثمّ يخلّي عنه ، فقال : اطووه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في »</w:t>
      </w:r>
      <w:r>
        <w:rPr>
          <w:rtl/>
        </w:rPr>
        <w:t>.</w:t>
      </w:r>
      <w:r w:rsidRPr="00132E65">
        <w:rPr>
          <w:rtl/>
        </w:rPr>
        <w:t xml:space="preserve"> وقال : « وبعض النسخ : « في هذا »</w:t>
      </w:r>
      <w:r>
        <w:rPr>
          <w:rtl/>
        </w:rPr>
        <w:t>.</w:t>
      </w:r>
      <w:r w:rsidRPr="00132E65">
        <w:rPr>
          <w:rtl/>
        </w:rPr>
        <w:t xml:space="preserve"> والكلام يحتمل النفي والاستفهام »</w:t>
      </w:r>
      <w:r>
        <w:rPr>
          <w:rtl/>
        </w:rPr>
        <w:t>.</w:t>
      </w:r>
    </w:p>
    <w:tbl>
      <w:tblPr>
        <w:tblStyle w:val="TableGrid"/>
        <w:bidiVisual/>
        <w:tblW w:w="0" w:type="auto"/>
        <w:tblLook w:val="04A0" w:firstRow="1" w:lastRow="0" w:firstColumn="1" w:lastColumn="0" w:noHBand="0" w:noVBand="1"/>
      </w:tblPr>
      <w:tblGrid>
        <w:gridCol w:w="4006"/>
        <w:gridCol w:w="4006"/>
      </w:tblGrid>
      <w:tr w:rsidR="008414B9" w:rsidTr="008414B9">
        <w:tc>
          <w:tcPr>
            <w:tcW w:w="4006" w:type="dxa"/>
          </w:tcPr>
          <w:p w:rsidR="008414B9" w:rsidRDefault="008414B9" w:rsidP="000C39D1">
            <w:pPr>
              <w:pStyle w:val="libFootnote0"/>
              <w:rPr>
                <w:rtl/>
              </w:rPr>
            </w:pPr>
            <w:r>
              <w:rPr>
                <w:rtl/>
              </w:rPr>
              <w:t>(10).</w:t>
            </w:r>
            <w:r w:rsidRPr="00132E65">
              <w:rPr>
                <w:rtl/>
              </w:rPr>
              <w:t xml:space="preserve"> في « ب ، ج ، بح » و</w:t>
            </w:r>
            <w:r w:rsidRPr="009D1ACE">
              <w:rPr>
                <w:rStyle w:val="libFootnoteBoldChar"/>
                <w:rtl/>
              </w:rPr>
              <w:t>الوافي</w:t>
            </w:r>
            <w:r w:rsidRPr="00132E65">
              <w:rPr>
                <w:rtl/>
              </w:rPr>
              <w:t xml:space="preserve"> : « يا أبه »</w:t>
            </w:r>
            <w:r>
              <w:rPr>
                <w:rtl/>
              </w:rPr>
              <w:t>.</w:t>
            </w:r>
          </w:p>
        </w:tc>
        <w:tc>
          <w:tcPr>
            <w:tcW w:w="4006" w:type="dxa"/>
          </w:tcPr>
          <w:p w:rsidR="008414B9" w:rsidRDefault="008414B9" w:rsidP="000C39D1">
            <w:pPr>
              <w:pStyle w:val="libFootnote0"/>
              <w:rPr>
                <w:rtl/>
              </w:rPr>
            </w:pPr>
            <w:r>
              <w:rPr>
                <w:rtl/>
              </w:rPr>
              <w:t>(11).</w:t>
            </w:r>
            <w:r w:rsidRPr="00132E65">
              <w:rPr>
                <w:rtl/>
              </w:rPr>
              <w:t xml:space="preserve"> في « ف » : « أنت »</w:t>
            </w:r>
            <w:r>
              <w:rPr>
                <w:rtl/>
              </w:rPr>
              <w:t>.</w:t>
            </w:r>
          </w:p>
        </w:tc>
      </w:tr>
    </w:tbl>
    <w:p w:rsidR="000C39D1" w:rsidRPr="00132E65" w:rsidRDefault="000C39D1" w:rsidP="000C39D1">
      <w:pPr>
        <w:pStyle w:val="libFootnote0"/>
        <w:rPr>
          <w:rtl/>
          <w:lang w:bidi="fa-IR"/>
        </w:rPr>
      </w:pPr>
      <w:r>
        <w:rPr>
          <w:rtl/>
        </w:rPr>
        <w:t>(12).</w:t>
      </w:r>
      <w:r w:rsidRPr="00132E65">
        <w:rPr>
          <w:rtl/>
        </w:rPr>
        <w:t xml:space="preserve"> في « ف » :</w:t>
      </w:r>
      <w:r>
        <w:rPr>
          <w:rtl/>
        </w:rPr>
        <w:t xml:space="preserve"> + </w:t>
      </w:r>
      <w:r w:rsidRPr="00132E65">
        <w:rPr>
          <w:rtl/>
        </w:rPr>
        <w:t>« إليك »</w:t>
      </w:r>
      <w:r>
        <w:rPr>
          <w:rtl/>
        </w:rPr>
        <w:t>.</w:t>
      </w:r>
      <w:r w:rsidRPr="00132E65">
        <w:rPr>
          <w:rtl/>
        </w:rPr>
        <w:t xml:space="preserve"> وفي </w:t>
      </w:r>
      <w:r w:rsidRPr="000577A7">
        <w:rPr>
          <w:rStyle w:val="libFootnoteBoldChar"/>
          <w:rtl/>
        </w:rPr>
        <w:t>الكافي</w:t>
      </w:r>
      <w:r w:rsidRPr="00132E65">
        <w:rPr>
          <w:rtl/>
        </w:rPr>
        <w:t xml:space="preserve"> ، ح 800 :</w:t>
      </w:r>
      <w:r>
        <w:rPr>
          <w:rtl/>
        </w:rPr>
        <w:t xml:space="preserve"> + </w:t>
      </w:r>
      <w:r w:rsidRPr="00132E65">
        <w:rPr>
          <w:rtl/>
        </w:rPr>
        <w:t>« إليه »</w:t>
      </w:r>
      <w:r>
        <w:rPr>
          <w:rtl/>
        </w:rPr>
        <w:t>.</w:t>
      </w:r>
      <w:r w:rsidRPr="00132E65">
        <w:rPr>
          <w:rtl/>
        </w:rPr>
        <w:t xml:space="preserve"> وقوله : « لم يوص » يجوز فيه كسر الصاد وفتحها.</w:t>
      </w:r>
    </w:p>
    <w:p w:rsidR="000C39D1" w:rsidRPr="00132E65" w:rsidRDefault="000C39D1" w:rsidP="000C39D1">
      <w:pPr>
        <w:pStyle w:val="libFootnote0"/>
        <w:rPr>
          <w:rtl/>
          <w:lang w:bidi="fa-IR"/>
        </w:rPr>
      </w:pPr>
      <w:r>
        <w:rPr>
          <w:rtl/>
        </w:rPr>
        <w:t>(13)</w:t>
      </w:r>
      <w:r w:rsidRPr="00132E65">
        <w:rPr>
          <w:rtl/>
        </w:rPr>
        <w:t xml:space="preserve"> في « ض ، بح » : « يكون »</w:t>
      </w:r>
      <w:r>
        <w:rPr>
          <w:rtl/>
        </w:rPr>
        <w:t>.</w:t>
      </w:r>
      <w:r w:rsidRPr="00132E65">
        <w:rPr>
          <w:rtl/>
        </w:rPr>
        <w:t xml:space="preserve"> وفي </w:t>
      </w:r>
      <w:r w:rsidRPr="000577A7">
        <w:rPr>
          <w:rStyle w:val="libFootnoteBoldChar"/>
          <w:rtl/>
        </w:rPr>
        <w:t>الكافي</w:t>
      </w:r>
      <w:r w:rsidRPr="00132E65">
        <w:rPr>
          <w:rtl/>
        </w:rPr>
        <w:t xml:space="preserve"> ، ح 800 : « الحجّة » بدل « حجّة »</w:t>
      </w:r>
      <w:r>
        <w:rPr>
          <w:rtl/>
        </w:rPr>
        <w:t>.</w:t>
      </w:r>
    </w:p>
    <w:p w:rsidR="000C39D1" w:rsidRPr="00132E65" w:rsidRDefault="000C39D1" w:rsidP="000C39D1">
      <w:pPr>
        <w:pStyle w:val="libFootnote0"/>
        <w:rPr>
          <w:rtl/>
          <w:lang w:bidi="fa-IR"/>
        </w:rPr>
      </w:pPr>
      <w:r>
        <w:rPr>
          <w:rtl/>
        </w:rPr>
        <w:t>(14)</w:t>
      </w:r>
      <w:r w:rsidRPr="00132E65">
        <w:rPr>
          <w:rtl/>
        </w:rPr>
        <w:t xml:space="preserve"> « قيل » جواب « إذا »</w:t>
      </w:r>
      <w:r>
        <w:rPr>
          <w:rtl/>
        </w:rPr>
        <w:t>.</w:t>
      </w:r>
      <w:r w:rsidRPr="00132E65">
        <w:rPr>
          <w:rtl/>
        </w:rPr>
        <w:t xml:space="preserve"> وقوله : « قال » عطف على « قدم » بحذف العاطف.</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 فَإِنْ أَشْرَكَ </w:t>
      </w:r>
      <w:r>
        <w:rPr>
          <w:rStyle w:val="libFootnotenumChar"/>
          <w:rtl/>
        </w:rPr>
        <w:t>(1)</w:t>
      </w:r>
      <w:r w:rsidRPr="00132E65">
        <w:rPr>
          <w:rtl/>
          <w:lang w:bidi="fa-IR"/>
        </w:rPr>
        <w:t xml:space="preserve"> فِي الْوَصِيَّةِ</w:t>
      </w:r>
      <w:r>
        <w:rPr>
          <w:rtl/>
          <w:lang w:bidi="fa-IR"/>
        </w:rPr>
        <w:t>؟</w:t>
      </w:r>
      <w:r w:rsidRPr="00132E65">
        <w:rPr>
          <w:rtl/>
          <w:lang w:bidi="fa-IR"/>
        </w:rPr>
        <w:t xml:space="preserve"> قَالَ : « تَسْأَلُونَهُ </w:t>
      </w:r>
      <w:r>
        <w:rPr>
          <w:rStyle w:val="libFootnotenumChar"/>
          <w:rtl/>
        </w:rPr>
        <w:t>(2)</w:t>
      </w:r>
      <w:r w:rsidRPr="00132E65">
        <w:rPr>
          <w:rtl/>
          <w:lang w:bidi="fa-IR"/>
        </w:rPr>
        <w:t xml:space="preserve"> ؛ فَإِنَّهُ سَيُبَيِّنُ </w:t>
      </w:r>
      <w:r>
        <w:rPr>
          <w:rStyle w:val="libFootnotenumChar"/>
          <w:rtl/>
        </w:rPr>
        <w:t>(3)</w:t>
      </w:r>
      <w:r w:rsidRPr="00132E65">
        <w:rPr>
          <w:rtl/>
          <w:lang w:bidi="fa-IR"/>
        </w:rPr>
        <w:t xml:space="preserve"> لَكُمْ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BB3FFF">
        <w:rPr>
          <w:rtl/>
        </w:rPr>
        <w:t>988</w:t>
      </w:r>
      <w:r w:rsidRPr="004325D8">
        <w:rPr>
          <w:rStyle w:val="libBold2Char"/>
          <w:rtl/>
        </w:rPr>
        <w:t xml:space="preserve"> / 3.</w:t>
      </w:r>
      <w:r w:rsidRPr="00132E65">
        <w:rPr>
          <w:rtl/>
          <w:lang w:bidi="fa-IR"/>
        </w:rPr>
        <w:t xml:space="preserve"> مُحَمَّدُ بْنُ يَحْيى ، عَنْ أَحْمَدَ بْنِ مُحَمَّدِ بْنِ عِيسى ، عَنْ مُحَمَّدِ بْنِ خَالِدٍ ، عَنِ النَّضْرِ بْنِ سُوَيْدٍ ، عَنْ يَحْيَى الْحَلَبِيِّ ، عَنْ بُرَيْدِ بْنِ مُعَاوِيَةَ ، عَنْ مُحَمَّدِ بْنِ مُسْلِمٍ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أَصْلَحَكَ اللهُ ، بَلَغَنَا شَكْوَاكَ </w:t>
      </w:r>
      <w:r>
        <w:rPr>
          <w:rStyle w:val="libFootnotenumChar"/>
          <w:rtl/>
        </w:rPr>
        <w:t>(5)</w:t>
      </w:r>
      <w:r w:rsidRPr="00132E65">
        <w:rPr>
          <w:rtl/>
          <w:lang w:bidi="fa-IR"/>
        </w:rPr>
        <w:t xml:space="preserve"> و</w:t>
      </w:r>
      <w:r w:rsidR="008414B9">
        <w:rPr>
          <w:rFonts w:hint="cs"/>
          <w:rtl/>
          <w:lang w:bidi="fa-IR"/>
        </w:rPr>
        <w:t>َ</w:t>
      </w:r>
      <w:r w:rsidRPr="00132E65">
        <w:rPr>
          <w:rtl/>
          <w:lang w:bidi="fa-IR"/>
        </w:rPr>
        <w:t xml:space="preserve">أَشْفَقْنَا </w:t>
      </w:r>
      <w:r>
        <w:rPr>
          <w:rStyle w:val="libFootnotenumChar"/>
          <w:rtl/>
        </w:rPr>
        <w:t>(6)</w:t>
      </w:r>
      <w:r w:rsidRPr="00132E65">
        <w:rPr>
          <w:rtl/>
          <w:lang w:bidi="fa-IR"/>
        </w:rPr>
        <w:t xml:space="preserve"> ، فَلَوْ أَعْلَمْتَنَا أَوْ عَلَّمْتَنَا </w:t>
      </w:r>
      <w:r>
        <w:rPr>
          <w:rStyle w:val="libFootnotenumChar"/>
          <w:rtl/>
        </w:rPr>
        <w:t>(7)</w:t>
      </w:r>
      <w:r w:rsidRPr="00132E65">
        <w:rPr>
          <w:rtl/>
          <w:lang w:bidi="fa-IR"/>
        </w:rPr>
        <w:t xml:space="preserve"> مَنْ</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(8)</w:t>
      </w:r>
      <w:r w:rsidRPr="00132E65">
        <w:rPr>
          <w:rtl/>
          <w:lang w:bidi="fa-IR"/>
        </w:rPr>
        <w:t xml:space="preserve"> : « إِنَّ عَلِيّاً </w:t>
      </w:r>
      <w:r w:rsidRPr="00071CF9">
        <w:rPr>
          <w:rStyle w:val="libAlaemChar"/>
          <w:rtl/>
        </w:rPr>
        <w:t>عليه‌السلام</w:t>
      </w:r>
      <w:r w:rsidRPr="00132E65">
        <w:rPr>
          <w:rtl/>
          <w:lang w:bidi="fa-IR"/>
        </w:rPr>
        <w:t xml:space="preserve"> كَانَ عَالِماً ، و</w:t>
      </w:r>
      <w:r w:rsidR="008414B9">
        <w:rPr>
          <w:rFonts w:hint="cs"/>
          <w:rtl/>
          <w:lang w:bidi="fa-IR"/>
        </w:rPr>
        <w:t>َ</w:t>
      </w:r>
      <w:r w:rsidRPr="00132E65">
        <w:rPr>
          <w:rtl/>
          <w:lang w:bidi="fa-IR"/>
        </w:rPr>
        <w:t>الْعِلْمُ يُتَوَارَثُ</w:t>
      </w:r>
      <w:r w:rsidR="008414B9">
        <w:rPr>
          <w:rtl/>
          <w:lang w:bidi="fa-IR"/>
        </w:rPr>
        <w:t xml:space="preserve"> ، فَلَا يَهْلِكُ عَالِمٌ إِل</w:t>
      </w:r>
      <w:r w:rsidR="008414B9">
        <w:rPr>
          <w:rFonts w:hint="cs"/>
          <w:rtl/>
          <w:lang w:bidi="fa-IR"/>
        </w:rPr>
        <w:t>َّ</w:t>
      </w:r>
      <w:r w:rsidR="008414B9">
        <w:rPr>
          <w:rtl/>
          <w:lang w:bidi="fa-IR"/>
        </w:rPr>
        <w:t>ا</w:t>
      </w:r>
      <w:r w:rsidRPr="00132E65">
        <w:rPr>
          <w:rtl/>
          <w:lang w:bidi="fa-IR"/>
        </w:rPr>
        <w:t xml:space="preserve"> بَقِيَ </w:t>
      </w:r>
      <w:r>
        <w:rPr>
          <w:rStyle w:val="libFootnotenumChar"/>
          <w:rtl/>
        </w:rPr>
        <w:t>(9)</w:t>
      </w:r>
      <w:r w:rsidRPr="00132E65">
        <w:rPr>
          <w:rtl/>
          <w:lang w:bidi="fa-IR"/>
        </w:rPr>
        <w:t xml:space="preserve"> مِنْ بَعْدِهِ مَنْ يَعْلَمُ مِثْلَ عِلْمِهِ ، أَوْ مَا شَاءَ اللهُ »</w:t>
      </w:r>
      <w:r>
        <w:rPr>
          <w:rtl/>
          <w:lang w:bidi="fa-IR"/>
        </w:rPr>
        <w:t>.</w:t>
      </w:r>
    </w:p>
    <w:p w:rsidR="000C39D1" w:rsidRPr="00132E65" w:rsidRDefault="000C39D1" w:rsidP="000C39D1">
      <w:pPr>
        <w:pStyle w:val="libNormal"/>
        <w:rPr>
          <w:rtl/>
          <w:lang w:bidi="fa-IR"/>
        </w:rPr>
      </w:pPr>
      <w:r>
        <w:rPr>
          <w:rtl/>
          <w:lang w:bidi="fa-IR"/>
        </w:rPr>
        <w:t>قُلْتُ : أَ</w:t>
      </w:r>
      <w:r w:rsidRPr="00132E65">
        <w:rPr>
          <w:rtl/>
          <w:lang w:bidi="fa-IR"/>
        </w:rPr>
        <w:t>فَيَسَعُ النَّا</w:t>
      </w:r>
      <w:r w:rsidR="008414B9">
        <w:rPr>
          <w:rtl/>
          <w:lang w:bidi="fa-IR"/>
        </w:rPr>
        <w:t>سَ إِذَا مَاتَ الْعَالِمُ أَل</w:t>
      </w:r>
      <w:r w:rsidR="008414B9">
        <w:rPr>
          <w:rFonts w:hint="cs"/>
          <w:rtl/>
          <w:lang w:bidi="fa-IR"/>
        </w:rPr>
        <w:t>َّ</w:t>
      </w:r>
      <w:r w:rsidR="008414B9">
        <w:rPr>
          <w:rtl/>
          <w:lang w:bidi="fa-IR"/>
        </w:rPr>
        <w:t>ا</w:t>
      </w:r>
      <w:r w:rsidRPr="00132E65">
        <w:rPr>
          <w:rtl/>
          <w:lang w:bidi="fa-IR"/>
        </w:rPr>
        <w:t xml:space="preserve"> يَعْرِفُوا الَّذِي بَعْدَهُ</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يجوز فيه المبنيّ للفاعل والمبنيّ للمفعول. وفي « بس » : « اشترك »</w:t>
      </w:r>
      <w:r>
        <w:rPr>
          <w:rtl/>
        </w:rPr>
        <w:t>.</w:t>
      </w:r>
    </w:p>
    <w:p w:rsidR="000C39D1" w:rsidRPr="00132E65" w:rsidRDefault="000C39D1" w:rsidP="000C39D1">
      <w:pPr>
        <w:pStyle w:val="libFootnote0"/>
        <w:rPr>
          <w:rtl/>
          <w:lang w:bidi="fa-IR"/>
        </w:rPr>
      </w:pPr>
      <w:r>
        <w:rPr>
          <w:rtl/>
        </w:rPr>
        <w:t>(2).</w:t>
      </w:r>
      <w:r w:rsidRPr="00132E65">
        <w:rPr>
          <w:rtl/>
        </w:rPr>
        <w:t xml:space="preserve"> في « بس » : « يسألونه »</w:t>
      </w:r>
      <w:r>
        <w:rPr>
          <w:rtl/>
        </w:rPr>
        <w:t>.</w:t>
      </w:r>
      <w:r w:rsidRPr="00132E65">
        <w:rPr>
          <w:rtl/>
        </w:rPr>
        <w:t xml:space="preserve"> وفي « بف » : « لا تسألونه »</w:t>
      </w:r>
      <w:r>
        <w:rPr>
          <w:rtl/>
        </w:rPr>
        <w:t>.</w:t>
      </w:r>
      <w:r w:rsidRPr="00132E65">
        <w:rPr>
          <w:rtl/>
        </w:rPr>
        <w:t xml:space="preserve"> فالتعليل للنفي لا المنفيّ.</w:t>
      </w:r>
    </w:p>
    <w:p w:rsidR="000C39D1" w:rsidRPr="00132E65" w:rsidRDefault="000C39D1" w:rsidP="000C39D1">
      <w:pPr>
        <w:pStyle w:val="libFootnote0"/>
        <w:rPr>
          <w:rtl/>
          <w:lang w:bidi="fa-IR"/>
        </w:rPr>
      </w:pPr>
      <w:r>
        <w:rPr>
          <w:rtl/>
        </w:rPr>
        <w:t>(3).</w:t>
      </w:r>
      <w:r w:rsidRPr="00132E65">
        <w:rPr>
          <w:rtl/>
        </w:rPr>
        <w:t xml:space="preserve"> يمكن أن يكون على صيغة المجهول أو المعلوم من التفعيل ، وعلى المجرّد المعلوم.</w:t>
      </w:r>
    </w:p>
    <w:p w:rsidR="000C39D1" w:rsidRPr="00132E65" w:rsidRDefault="000C39D1" w:rsidP="008414B9">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w:t>
      </w:r>
      <w:r w:rsidRPr="008414B9">
        <w:rPr>
          <w:rStyle w:val="libFootnoteBoldChar"/>
          <w:rtl/>
        </w:rPr>
        <w:t>الحجّة</w:t>
      </w:r>
      <w:r w:rsidRPr="00132E65">
        <w:rPr>
          <w:rtl/>
        </w:rPr>
        <w:t xml:space="preserve"> ، باب الإشارة </w:t>
      </w:r>
      <w:r w:rsidRPr="008414B9">
        <w:rPr>
          <w:rStyle w:val="libFootnoteBoldChar"/>
          <w:rtl/>
        </w:rPr>
        <w:t>والنصّ</w:t>
      </w:r>
      <w:r w:rsidRPr="00132E65">
        <w:rPr>
          <w:rtl/>
        </w:rPr>
        <w:t xml:space="preserve"> على أبي عبد الله جعفر بن محمّد الصادق صلوات الله عليه ، ح 800. وفي </w:t>
      </w:r>
      <w:r w:rsidRPr="008414B9">
        <w:rPr>
          <w:rStyle w:val="libFootnoteBoldChar"/>
          <w:rtl/>
        </w:rPr>
        <w:t>الإرشاد</w:t>
      </w:r>
      <w:r w:rsidRPr="00132E65">
        <w:rPr>
          <w:rtl/>
        </w:rPr>
        <w:t xml:space="preserve"> ، ج 2 ، ص 181 ،</w:t>
      </w:r>
      <w:r>
        <w:rPr>
          <w:rtl/>
        </w:rPr>
        <w:t xml:space="preserve"> ..</w:t>
      </w:r>
      <w:r w:rsidRPr="00132E65">
        <w:rPr>
          <w:rtl/>
        </w:rPr>
        <w:t>. ، عن يونس بن عبد الرحمن ، عن عبد الأعلى ، وفيهما من قوله : « إنّ أبي استودعني ما هناك » إلى قوله : « فأردت أن تكون له حجّة »</w:t>
      </w:r>
      <w:r>
        <w:rPr>
          <w:rtl/>
        </w:rPr>
        <w:t>.</w:t>
      </w:r>
      <w:r w:rsidRPr="00132E65">
        <w:rPr>
          <w:rtl/>
        </w:rPr>
        <w:t xml:space="preserve"> </w:t>
      </w:r>
      <w:r w:rsidRPr="007A1104">
        <w:rPr>
          <w:rStyle w:val="libFootnoteBoldChar"/>
          <w:rtl/>
        </w:rPr>
        <w:t>بصائر الدرجات</w:t>
      </w:r>
      <w:r w:rsidRPr="00132E65">
        <w:rPr>
          <w:rtl/>
        </w:rPr>
        <w:t xml:space="preserve"> ، ص 182 ، ح 28 ، عن محمّد بن أحمد ، عن محمّد بن عيسى ، عن حمّاد بن عيسى ، عن عبد الأعلى ، من قوله : « قلت : فإنّ الناس تكلّموا في أبي جعفر </w:t>
      </w:r>
      <w:r w:rsidRPr="00936037">
        <w:rPr>
          <w:rStyle w:val="libFootnoteAlaemChar"/>
          <w:rtl/>
        </w:rPr>
        <w:t>عليه‌السلام</w:t>
      </w:r>
      <w:r w:rsidRPr="00132E65">
        <w:rPr>
          <w:rtl/>
        </w:rPr>
        <w:t xml:space="preserve"> » إلى قوله : « وذلك عندي لا انازع فيه »</w:t>
      </w:r>
      <w:r>
        <w:rPr>
          <w:rtl/>
        </w:rPr>
        <w:t>.</w:t>
      </w:r>
      <w:r w:rsidRPr="00132E65">
        <w:rPr>
          <w:rtl/>
        </w:rPr>
        <w:t xml:space="preserve"> وفي </w:t>
      </w:r>
      <w:r w:rsidRPr="00BB3FFF">
        <w:rPr>
          <w:rtl/>
        </w:rPr>
        <w:t>علل الشرائع</w:t>
      </w:r>
      <w:r w:rsidRPr="00132E65">
        <w:rPr>
          <w:rtl/>
        </w:rPr>
        <w:t xml:space="preserve"> ، ص 591 ، ح 42 ، بسنده عن عبد الأعلى ، إلى قوله : </w:t>
      </w:r>
      <w:r w:rsidR="008414B9" w:rsidRPr="008414B9">
        <w:rPr>
          <w:rStyle w:val="libFootnoteAlaemChar"/>
          <w:rFonts w:hint="cs"/>
          <w:rtl/>
        </w:rPr>
        <w:t>(</w:t>
      </w:r>
      <w:r w:rsidRPr="008414B9">
        <w:rPr>
          <w:rStyle w:val="libFootnoteAieChar"/>
          <w:rtl/>
        </w:rPr>
        <w:t xml:space="preserve"> فَقَدْ و</w:t>
      </w:r>
      <w:r w:rsidR="007E1A5C">
        <w:rPr>
          <w:rStyle w:val="libFootnoteAieChar"/>
          <w:rFonts w:hint="cs"/>
          <w:rtl/>
        </w:rPr>
        <w:t>َ</w:t>
      </w:r>
      <w:r w:rsidRPr="008414B9">
        <w:rPr>
          <w:rStyle w:val="libFootnoteAieChar"/>
          <w:rtl/>
        </w:rPr>
        <w:t xml:space="preserve">قَعَ أَجْرُهُ عَلى اللهِ </w:t>
      </w:r>
      <w:r w:rsidR="008414B9" w:rsidRPr="008414B9">
        <w:rPr>
          <w:rStyle w:val="libFootnoteAlaemChar"/>
          <w:rFonts w:hint="cs"/>
          <w:rtl/>
        </w:rPr>
        <w:t>)</w:t>
      </w:r>
      <w:r w:rsidRPr="00132E65">
        <w:rPr>
          <w:rtl/>
        </w:rPr>
        <w:t xml:space="preserve"> ، مع اختلاف. </w:t>
      </w:r>
      <w:r w:rsidRPr="000577A7">
        <w:rPr>
          <w:rStyle w:val="libFootnoteBoldChar"/>
          <w:rtl/>
        </w:rPr>
        <w:t>الكافي</w:t>
      </w:r>
      <w:r w:rsidRPr="00132E65">
        <w:rPr>
          <w:rtl/>
        </w:rPr>
        <w:t xml:space="preserve"> ، كتاب </w:t>
      </w:r>
      <w:r w:rsidRPr="007E1A5C">
        <w:rPr>
          <w:rStyle w:val="libFootnoteBoldChar"/>
          <w:rtl/>
        </w:rPr>
        <w:t>الحجّة</w:t>
      </w:r>
      <w:r w:rsidRPr="00132E65">
        <w:rPr>
          <w:rtl/>
        </w:rPr>
        <w:t xml:space="preserve"> ، باب من مات وليس له إمام</w:t>
      </w:r>
      <w:r>
        <w:rPr>
          <w:rtl/>
        </w:rPr>
        <w:t xml:space="preserve"> ..</w:t>
      </w:r>
      <w:r w:rsidRPr="00132E65">
        <w:rPr>
          <w:rtl/>
        </w:rPr>
        <w:t xml:space="preserve">. ، ح 978 ، بسند آخر عن أبي عبدالله </w:t>
      </w:r>
      <w:r w:rsidRPr="00936037">
        <w:rPr>
          <w:rStyle w:val="libFootnoteAlaemChar"/>
          <w:rtl/>
        </w:rPr>
        <w:t>عليه‌السلام</w:t>
      </w:r>
      <w:r w:rsidRPr="00132E65">
        <w:rPr>
          <w:rtl/>
        </w:rPr>
        <w:t xml:space="preserve"> ، عن رسول الله </w:t>
      </w:r>
      <w:r w:rsidRPr="00936037">
        <w:rPr>
          <w:rStyle w:val="libFootnoteAlaemChar"/>
          <w:rFonts w:eastAsiaTheme="minorHAnsi"/>
          <w:rtl/>
        </w:rPr>
        <w:t>صلى‌الله‌عليه‌وآله</w:t>
      </w:r>
      <w:r w:rsidRPr="00132E65">
        <w:rPr>
          <w:rtl/>
          <w:lang w:bidi="fa-IR"/>
        </w:rPr>
        <w:t xml:space="preserve"> </w:t>
      </w:r>
      <w:r w:rsidRPr="00132E65">
        <w:rPr>
          <w:rtl/>
        </w:rPr>
        <w:t xml:space="preserve">، إلى قوله : « مات ميتة جاهليّة » مع اختلاف يسير وزيادة في آخره. راجع : </w:t>
      </w:r>
      <w:r w:rsidRPr="000577A7">
        <w:rPr>
          <w:rStyle w:val="libFootnoteBoldChar"/>
          <w:rtl/>
        </w:rPr>
        <w:t>الكافي</w:t>
      </w:r>
      <w:r w:rsidRPr="00132E65">
        <w:rPr>
          <w:rtl/>
        </w:rPr>
        <w:t xml:space="preserve"> ، كتاب </w:t>
      </w:r>
      <w:r w:rsidRPr="007E1A5C">
        <w:rPr>
          <w:rStyle w:val="libFootnoteBoldChar"/>
          <w:rtl/>
        </w:rPr>
        <w:t>الحجّة</w:t>
      </w:r>
      <w:r w:rsidRPr="00132E65">
        <w:rPr>
          <w:rtl/>
        </w:rPr>
        <w:t xml:space="preserve"> ، باب الا</w:t>
      </w:r>
      <w:r w:rsidR="007E1A5C">
        <w:rPr>
          <w:rFonts w:hint="cs"/>
          <w:rtl/>
        </w:rPr>
        <w:t>ُ</w:t>
      </w:r>
      <w:r w:rsidRPr="00132E65">
        <w:rPr>
          <w:rtl/>
        </w:rPr>
        <w:t xml:space="preserve">مور التي توجب حجّة الإمام </w:t>
      </w:r>
      <w:r w:rsidRPr="00936037">
        <w:rPr>
          <w:rStyle w:val="libFootnoteAlaemChar"/>
          <w:rtl/>
        </w:rPr>
        <w:t>عليه‌السلام</w:t>
      </w:r>
      <w:r w:rsidRPr="00132E65">
        <w:rPr>
          <w:rtl/>
        </w:rPr>
        <w:t xml:space="preserve"> ، ح 748 ؛ </w:t>
      </w:r>
      <w:r w:rsidRPr="00BB3FFF">
        <w:rPr>
          <w:rtl/>
        </w:rPr>
        <w:t>و</w:t>
      </w:r>
      <w:r w:rsidRPr="007A1104">
        <w:rPr>
          <w:rStyle w:val="libFootnoteBoldChar"/>
          <w:rtl/>
        </w:rPr>
        <w:t>بصائر الدرجات</w:t>
      </w:r>
      <w:r w:rsidRPr="00132E65">
        <w:rPr>
          <w:rtl/>
        </w:rPr>
        <w:t xml:space="preserve"> ، ص 180 ، ح 22 ؛ </w:t>
      </w:r>
      <w:r w:rsidRPr="007E1A5C">
        <w:rPr>
          <w:rStyle w:val="libFootnoteBoldChar"/>
          <w:rtl/>
        </w:rPr>
        <w:t>والخصال</w:t>
      </w:r>
      <w:r w:rsidRPr="00BB3FFF">
        <w:rPr>
          <w:rtl/>
        </w:rPr>
        <w:t xml:space="preserve"> </w:t>
      </w:r>
      <w:r w:rsidRPr="00132E65">
        <w:rPr>
          <w:rtl/>
        </w:rPr>
        <w:t xml:space="preserve">، ص 117 ، باب الثلاثة ، ح 99 ؛ </w:t>
      </w:r>
      <w:r w:rsidRPr="007E1A5C">
        <w:rPr>
          <w:rStyle w:val="libFootnoteBoldChar"/>
          <w:rtl/>
        </w:rPr>
        <w:t>وتفسير العيّاشي</w:t>
      </w:r>
      <w:r w:rsidRPr="00132E65">
        <w:rPr>
          <w:rtl/>
        </w:rPr>
        <w:t xml:space="preserve"> ، ج 1 ، ص 249 ، ح 163 ؛ وج 2 ، ص 118 ، ح 161 </w:t>
      </w:r>
      <w:r w:rsidR="007E1A5C">
        <w:rPr>
          <w:rFonts w:hint="cs"/>
          <w:rtl/>
        </w:rPr>
        <w:t>.</w:t>
      </w:r>
      <w:r w:rsidRPr="009D1ACE">
        <w:rPr>
          <w:rStyle w:val="libFootnoteBoldChar"/>
          <w:rtl/>
        </w:rPr>
        <w:t>الوافي</w:t>
      </w:r>
      <w:r w:rsidRPr="00132E65">
        <w:rPr>
          <w:rtl/>
        </w:rPr>
        <w:t xml:space="preserve"> ، ج 2 ، ص 128 ، ح 595.</w:t>
      </w:r>
    </w:p>
    <w:p w:rsidR="000C39D1" w:rsidRPr="00132E65" w:rsidRDefault="000C39D1" w:rsidP="000C39D1">
      <w:pPr>
        <w:pStyle w:val="libFootnote0"/>
        <w:rPr>
          <w:rtl/>
          <w:lang w:bidi="fa-IR"/>
        </w:rPr>
      </w:pPr>
      <w:r>
        <w:rPr>
          <w:rtl/>
        </w:rPr>
        <w:t>(5).</w:t>
      </w:r>
      <w:r w:rsidRPr="00132E65">
        <w:rPr>
          <w:rtl/>
        </w:rPr>
        <w:t xml:space="preserve"> الشَكْوى والشكاة والشِكاية : المرض. </w:t>
      </w:r>
      <w:r w:rsidRPr="007E1A5C">
        <w:rPr>
          <w:rStyle w:val="libFootnoteBoldChar"/>
          <w:rtl/>
        </w:rPr>
        <w:t>النهاية</w:t>
      </w:r>
      <w:r w:rsidRPr="00132E65">
        <w:rPr>
          <w:rtl/>
        </w:rPr>
        <w:t xml:space="preserve"> ، ج 2 ، ص 497 ( شكا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أشفقنا : خفنا أن تجيب داعي الله وتختار الآخرة على الدنيا ، فنبقى في حيرة من أمرنا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و</w:t>
      </w:r>
      <w:r w:rsidRPr="009D1ACE">
        <w:rPr>
          <w:rStyle w:val="libFootnoteBoldChar"/>
          <w:rtl/>
        </w:rPr>
        <w:t>الوافي</w:t>
      </w:r>
      <w:r w:rsidRPr="00132E65">
        <w:rPr>
          <w:rtl/>
        </w:rPr>
        <w:t xml:space="preserve"> : « علمنا »</w:t>
      </w:r>
      <w:r>
        <w:rPr>
          <w:rtl/>
        </w:rPr>
        <w:t>.</w:t>
      </w:r>
      <w:r w:rsidRPr="00132E65">
        <w:rPr>
          <w:rtl/>
        </w:rPr>
        <w:t xml:space="preserve"> قال في </w:t>
      </w:r>
      <w:r w:rsidRPr="00BB3FFF">
        <w:rPr>
          <w:rtl/>
        </w:rPr>
        <w:t>المرآة</w:t>
      </w:r>
      <w:r w:rsidRPr="00132E65">
        <w:rPr>
          <w:rtl/>
        </w:rPr>
        <w:t xml:space="preserve"> : « وفي بعض النسخ : أو علّمتنا »</w:t>
      </w:r>
      <w:r>
        <w:rPr>
          <w:rtl/>
        </w:rPr>
        <w:t>.</w:t>
      </w:r>
    </w:p>
    <w:p w:rsidR="000C39D1" w:rsidRPr="00132E65" w:rsidRDefault="000C39D1" w:rsidP="000C39D1">
      <w:pPr>
        <w:pStyle w:val="libFootnote0"/>
        <w:rPr>
          <w:rtl/>
          <w:lang w:bidi="fa-IR"/>
        </w:rPr>
      </w:pPr>
      <w:r>
        <w:rPr>
          <w:rtl/>
        </w:rPr>
        <w:t>(8).</w:t>
      </w:r>
      <w:r w:rsidRPr="00132E65">
        <w:rPr>
          <w:rtl/>
        </w:rPr>
        <w:t xml:space="preserve"> هكذا في « ب ، ج ، ض ، ف ، بح ، بر ، بس ، بف » و</w:t>
      </w:r>
      <w:r w:rsidRPr="009D1ACE">
        <w:rPr>
          <w:rStyle w:val="libFootnoteBoldChar"/>
          <w:rtl/>
        </w:rPr>
        <w:t>الوافي</w:t>
      </w:r>
      <w:r w:rsidRPr="00132E65">
        <w:rPr>
          <w:rtl/>
        </w:rPr>
        <w:t>. وفي المطبوع : « قال »</w:t>
      </w:r>
      <w:r>
        <w:rPr>
          <w:rtl/>
        </w:rPr>
        <w:t>.</w:t>
      </w:r>
    </w:p>
    <w:p w:rsidR="000C39D1" w:rsidRPr="00132E65" w:rsidRDefault="000C39D1" w:rsidP="000C39D1">
      <w:pPr>
        <w:pStyle w:val="libFootnote0"/>
        <w:rPr>
          <w:rtl/>
          <w:lang w:bidi="fa-IR"/>
        </w:rPr>
      </w:pPr>
      <w:r>
        <w:rPr>
          <w:rtl/>
        </w:rPr>
        <w:t>(9).</w:t>
      </w:r>
      <w:r w:rsidRPr="00132E65">
        <w:rPr>
          <w:rtl/>
        </w:rPr>
        <w:t xml:space="preserve"> في « ف » : « قد بقي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فَقَالَ : « أَمَّا أَهْلُ هذِهِ الْبَلْدَةِ ، فَلَا</w:t>
      </w:r>
      <w:r>
        <w:rPr>
          <w:rtl/>
          <w:lang w:bidi="fa-IR"/>
        </w:rPr>
        <w:t xml:space="preserve"> - </w:t>
      </w:r>
      <w:r w:rsidRPr="00132E65">
        <w:rPr>
          <w:rtl/>
          <w:lang w:bidi="fa-IR"/>
        </w:rPr>
        <w:t>يَعْنِي الْمَدِينَةَ</w:t>
      </w:r>
      <w:r>
        <w:rPr>
          <w:rtl/>
          <w:lang w:bidi="fa-IR"/>
        </w:rPr>
        <w:t xml:space="preserve"> - </w:t>
      </w:r>
      <w:r w:rsidRPr="00132E65">
        <w:rPr>
          <w:rtl/>
          <w:lang w:bidi="fa-IR"/>
        </w:rPr>
        <w:t>و</w:t>
      </w:r>
      <w:r w:rsidR="007E1A5C">
        <w:rPr>
          <w:rFonts w:hint="cs"/>
          <w:rtl/>
          <w:lang w:bidi="fa-IR"/>
        </w:rPr>
        <w:t>َ</w:t>
      </w:r>
      <w:r w:rsidRPr="00132E65">
        <w:rPr>
          <w:rtl/>
          <w:lang w:bidi="fa-IR"/>
        </w:rPr>
        <w:t xml:space="preserve">أَمَّا غَيْرُهَا مِنَ </w:t>
      </w:r>
      <w:r>
        <w:rPr>
          <w:rStyle w:val="libFootnotenumChar"/>
          <w:rtl/>
        </w:rPr>
        <w:t>(1)</w:t>
      </w:r>
      <w:r w:rsidRPr="00132E65">
        <w:rPr>
          <w:rtl/>
          <w:lang w:bidi="fa-IR"/>
        </w:rPr>
        <w:t xml:space="preserve"> الْبُلْدَانِ ، فَبِقَدْرِ مَسِيرِهِمْ ؛ إِنَّ اللهَ يَقُولُ : </w:t>
      </w:r>
      <w:r w:rsidRPr="00071CF9">
        <w:rPr>
          <w:rStyle w:val="libAlaemChar"/>
          <w:rtl/>
        </w:rPr>
        <w:t>(</w:t>
      </w:r>
      <w:r w:rsidRPr="00071CF9">
        <w:rPr>
          <w:rStyle w:val="libAieChar"/>
          <w:rtl/>
        </w:rPr>
        <w:t xml:space="preserve"> وَما كانَ الْمُؤْمِنُونَ لِيَنْفِرُوا كَافَّةً فَلَوْ لا نَفَرَ مِنْ كُلِّ فِرْقَةٍ مِنْهُمْ طائِفَةٌ لِيَتَفَقَّهُوا فِي الدِّينِ وَلِيُنْذِرُوا قَوْمَهُمْ إِذا رَجَعُوا إِلَيْهِمْ لَعَلَّهُمْ يَحْذَرُونَ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(3)</w:t>
      </w:r>
      <w:r>
        <w:rPr>
          <w:rtl/>
          <w:lang w:bidi="fa-IR"/>
        </w:rPr>
        <w:t xml:space="preserve"> : قُلْتُ : أَ</w:t>
      </w:r>
      <w:r w:rsidRPr="00132E65">
        <w:rPr>
          <w:rtl/>
          <w:lang w:bidi="fa-IR"/>
        </w:rPr>
        <w:t>رَأَيْتَ مَنْ مَاتَ فِي ذلِكَ</w:t>
      </w:r>
      <w:r>
        <w:rPr>
          <w:rtl/>
          <w:lang w:bidi="fa-IR"/>
        </w:rPr>
        <w:t>؟</w:t>
      </w:r>
    </w:p>
    <w:p w:rsidR="000C39D1" w:rsidRPr="00132E65" w:rsidRDefault="000C39D1" w:rsidP="000C39D1">
      <w:pPr>
        <w:pStyle w:val="libNormal"/>
        <w:rPr>
          <w:rtl/>
          <w:lang w:bidi="fa-IR"/>
        </w:rPr>
      </w:pPr>
      <w:r w:rsidRPr="00132E65">
        <w:rPr>
          <w:rtl/>
          <w:lang w:bidi="fa-IR"/>
        </w:rPr>
        <w:t>فَقَالَ : « هُوَ بِمَنْزِلَةِ مَنْ خَرَجَ مِنْ بَيْتِهِ مُهَاجِراً إِلَى اللهِ و</w:t>
      </w:r>
      <w:r w:rsidR="007E1A5C">
        <w:rPr>
          <w:rFonts w:hint="cs"/>
          <w:rtl/>
          <w:lang w:bidi="fa-IR"/>
        </w:rPr>
        <w:t xml:space="preserve">َ </w:t>
      </w:r>
      <w:r w:rsidRPr="00132E65">
        <w:rPr>
          <w:rtl/>
          <w:lang w:bidi="fa-IR"/>
        </w:rPr>
        <w:t>رَسُولِهِ ، ثُمَّ يُدْرِكُهُ الْمَوْتُ ، فَقَدْ و</w:t>
      </w:r>
      <w:r w:rsidR="007E1A5C">
        <w:rPr>
          <w:rFonts w:hint="cs"/>
          <w:rtl/>
          <w:lang w:bidi="fa-IR"/>
        </w:rPr>
        <w:t>َ</w:t>
      </w:r>
      <w:r w:rsidRPr="00132E65">
        <w:rPr>
          <w:rtl/>
          <w:lang w:bidi="fa-IR"/>
        </w:rPr>
        <w:t xml:space="preserve">قَعَ أَجْرُهُ عَلَى اللهِ » </w:t>
      </w:r>
      <w:r>
        <w:rPr>
          <w:rStyle w:val="libFootnotenumChar"/>
          <w:rtl/>
        </w:rPr>
        <w:t>(4)</w:t>
      </w:r>
    </w:p>
    <w:p w:rsidR="000C39D1" w:rsidRPr="00132E65" w:rsidRDefault="000C39D1" w:rsidP="000C39D1">
      <w:pPr>
        <w:pStyle w:val="libNormal"/>
        <w:rPr>
          <w:rtl/>
          <w:lang w:bidi="fa-IR"/>
        </w:rPr>
      </w:pPr>
      <w:r w:rsidRPr="00132E65">
        <w:rPr>
          <w:rtl/>
          <w:lang w:bidi="fa-IR"/>
        </w:rPr>
        <w:t>قَالَ : قُلْتُ : فَإِذَا قَدِمُوا بِأَيِّ شَيْ‌ءٍ يَعْرِفُونَ صَاحِبَهُمْ</w:t>
      </w:r>
      <w:r>
        <w:rPr>
          <w:rtl/>
          <w:lang w:bidi="fa-IR"/>
        </w:rPr>
        <w:t>؟</w:t>
      </w:r>
    </w:p>
    <w:p w:rsidR="000C39D1" w:rsidRPr="00132E65" w:rsidRDefault="000C39D1" w:rsidP="000C39D1">
      <w:pPr>
        <w:pStyle w:val="libNormal"/>
        <w:rPr>
          <w:rtl/>
          <w:lang w:bidi="fa-IR"/>
        </w:rPr>
      </w:pPr>
      <w:r w:rsidRPr="00132E65">
        <w:rPr>
          <w:rtl/>
          <w:lang w:bidi="fa-IR"/>
        </w:rPr>
        <w:t>قَالَ : « يُعْطَى السَّكِينَةَ و</w:t>
      </w:r>
      <w:r w:rsidR="007E1A5C">
        <w:rPr>
          <w:rFonts w:hint="cs"/>
          <w:rtl/>
          <w:lang w:bidi="fa-IR"/>
        </w:rPr>
        <w:t>َ</w:t>
      </w:r>
      <w:r w:rsidRPr="00132E65">
        <w:rPr>
          <w:rtl/>
          <w:lang w:bidi="fa-IR"/>
        </w:rPr>
        <w:t>الْوَقَارَ و</w:t>
      </w:r>
      <w:r w:rsidR="007E1A5C">
        <w:rPr>
          <w:rFonts w:hint="cs"/>
          <w:rtl/>
          <w:lang w:bidi="fa-IR"/>
        </w:rPr>
        <w:t>َ</w:t>
      </w:r>
      <w:r w:rsidRPr="00132E65">
        <w:rPr>
          <w:rtl/>
          <w:lang w:bidi="fa-IR"/>
        </w:rPr>
        <w:t xml:space="preserve">الْهَيْبَةَ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Heading2Center"/>
        <w:rPr>
          <w:rtl/>
          <w:lang w:bidi="fa-IR"/>
        </w:rPr>
      </w:pPr>
      <w:bookmarkStart w:id="70" w:name="_Toc459459121"/>
      <w:bookmarkStart w:id="71" w:name="_Toc34663090"/>
      <w:r w:rsidRPr="00132E65">
        <w:rPr>
          <w:rtl/>
          <w:lang w:bidi="fa-IR"/>
        </w:rPr>
        <w:t>90</w:t>
      </w:r>
      <w:r>
        <w:rPr>
          <w:rtl/>
          <w:lang w:bidi="fa-IR"/>
        </w:rPr>
        <w:t xml:space="preserve"> - </w:t>
      </w:r>
      <w:r w:rsidRPr="00132E65">
        <w:rPr>
          <w:rtl/>
          <w:lang w:bidi="fa-IR"/>
        </w:rPr>
        <w:t xml:space="preserve">بَابٌ فِي أَنَّ الْإِمَامَ مَتى يَعْلَمُ أَنَّ الْأَمْرَ قَدْ </w:t>
      </w:r>
      <w:r>
        <w:rPr>
          <w:rStyle w:val="libFootnotenumChar"/>
          <w:rtl/>
        </w:rPr>
        <w:t>(7)</w:t>
      </w:r>
      <w:r>
        <w:rPr>
          <w:rtl/>
          <w:lang w:bidi="fa-IR"/>
        </w:rPr>
        <w:t xml:space="preserve"> </w:t>
      </w:r>
      <w:r w:rsidRPr="00132E65">
        <w:rPr>
          <w:rtl/>
          <w:lang w:bidi="fa-IR"/>
        </w:rPr>
        <w:t>صَارَ إِلَيْهِ‌</w:t>
      </w:r>
      <w:bookmarkEnd w:id="70"/>
      <w:bookmarkEnd w:id="71"/>
    </w:p>
    <w:p w:rsidR="000C39D1" w:rsidRPr="00132E65" w:rsidRDefault="000C39D1" w:rsidP="000C39D1">
      <w:pPr>
        <w:pStyle w:val="libNormal"/>
        <w:rPr>
          <w:rtl/>
          <w:lang w:bidi="fa-IR"/>
        </w:rPr>
      </w:pPr>
      <w:r w:rsidRPr="00BB3FFF">
        <w:rPr>
          <w:rtl/>
        </w:rPr>
        <w:t>989</w:t>
      </w:r>
      <w:r w:rsidRPr="004325D8">
        <w:rPr>
          <w:rStyle w:val="libBold2Char"/>
          <w:rtl/>
        </w:rPr>
        <w:t xml:space="preserve"> / 1.</w:t>
      </w:r>
      <w:r w:rsidRPr="00132E65">
        <w:rPr>
          <w:rtl/>
          <w:lang w:bidi="fa-IR"/>
        </w:rPr>
        <w:t xml:space="preserve"> أَحْمَدُ بْنُ إِدْرِيسَ ، عَنْ مُحَمَّدِ بْنِ عَبْدِ الْجَبَّارِ ، عَنْ صَفْوَانَ بْنِ يَحْيى ، عَنْ أَبِي جَرِيرٍ الْقُمِّيِّ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في »</w:t>
      </w:r>
      <w:r>
        <w:rPr>
          <w:rtl/>
        </w:rPr>
        <w:t>.</w:t>
      </w:r>
    </w:p>
    <w:p w:rsidR="000C39D1" w:rsidRPr="00132E65" w:rsidRDefault="000C39D1" w:rsidP="000C39D1">
      <w:pPr>
        <w:pStyle w:val="libFootnote0"/>
        <w:rPr>
          <w:rtl/>
          <w:lang w:bidi="fa-IR"/>
        </w:rPr>
      </w:pPr>
      <w:r>
        <w:rPr>
          <w:rtl/>
        </w:rPr>
        <w:t>(2).</w:t>
      </w:r>
      <w:r w:rsidRPr="00132E65">
        <w:rPr>
          <w:rtl/>
        </w:rPr>
        <w:t xml:space="preserve"> التوبة </w:t>
      </w:r>
      <w:r w:rsidR="007E1A5C">
        <w:rPr>
          <w:rtl/>
        </w:rPr>
        <w:t>(9)</w:t>
      </w:r>
      <w:r w:rsidRPr="00132E65">
        <w:rPr>
          <w:rtl/>
        </w:rPr>
        <w:t xml:space="preserve"> : 122.</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إشارة إلى الآية 100 من سورة النساء </w:t>
      </w:r>
      <w:r>
        <w:rPr>
          <w:rtl/>
        </w:rPr>
        <w:t>(4).</w:t>
      </w:r>
    </w:p>
    <w:p w:rsidR="000C39D1" w:rsidRPr="00132E65" w:rsidRDefault="000C39D1" w:rsidP="000C39D1">
      <w:pPr>
        <w:pStyle w:val="libFootnote0"/>
        <w:rPr>
          <w:rtl/>
          <w:lang w:bidi="fa-IR"/>
        </w:rPr>
      </w:pPr>
      <w:r>
        <w:rPr>
          <w:rtl/>
        </w:rPr>
        <w:t>(5).</w:t>
      </w:r>
      <w:r w:rsidRPr="00132E65">
        <w:rPr>
          <w:rtl/>
        </w:rPr>
        <w:t xml:space="preserve"> « اله</w:t>
      </w:r>
      <w:r w:rsidR="007E1A5C">
        <w:rPr>
          <w:rtl/>
        </w:rPr>
        <w:t>يبة » : المخافة والتقيّة ، كالم</w:t>
      </w:r>
      <w:r w:rsidR="007E1A5C">
        <w:rPr>
          <w:rFonts w:hint="cs"/>
          <w:rtl/>
        </w:rPr>
        <w:t>ـُ</w:t>
      </w:r>
      <w:r w:rsidRPr="00132E65">
        <w:rPr>
          <w:rtl/>
        </w:rPr>
        <w:t xml:space="preserve">هابة. وهابَه يَهابُه هَيْباً ومَهابة : خافه. </w:t>
      </w:r>
      <w:r w:rsidRPr="007E1A5C">
        <w:rPr>
          <w:rStyle w:val="libFootnoteBoldChar"/>
          <w:rtl/>
        </w:rPr>
        <w:t>القاموس المحيط</w:t>
      </w:r>
      <w:r w:rsidR="007E1A5C">
        <w:rPr>
          <w:rtl/>
        </w:rPr>
        <w:t xml:space="preserve"> ، ج 1 ، ص 239 (</w:t>
      </w:r>
      <w:r w:rsidRPr="00132E65">
        <w:rPr>
          <w:rtl/>
        </w:rPr>
        <w:t>هيب )</w:t>
      </w:r>
      <w:r>
        <w:rPr>
          <w:rtl/>
        </w:rPr>
        <w:t>.</w:t>
      </w:r>
    </w:p>
    <w:p w:rsidR="000C39D1" w:rsidRPr="00132E65" w:rsidRDefault="000C39D1" w:rsidP="000C39D1">
      <w:pPr>
        <w:pStyle w:val="libFootnote0"/>
        <w:rPr>
          <w:rtl/>
          <w:lang w:bidi="fa-IR"/>
        </w:rPr>
      </w:pPr>
      <w:r>
        <w:rPr>
          <w:rtl/>
        </w:rPr>
        <w:t>(6).</w:t>
      </w:r>
      <w:r w:rsidRPr="00132E65">
        <w:rPr>
          <w:rtl/>
        </w:rPr>
        <w:t xml:space="preserve"> </w:t>
      </w:r>
      <w:r w:rsidRPr="007E1A5C">
        <w:rPr>
          <w:rStyle w:val="libFootnoteBoldChar"/>
          <w:rtl/>
        </w:rPr>
        <w:t>علل الشرائع</w:t>
      </w:r>
      <w:r w:rsidRPr="00132E65">
        <w:rPr>
          <w:rtl/>
        </w:rPr>
        <w:t xml:space="preserve"> ، ص 591 ، ح 40 ، بسنده عن أحمد بن محمّد بن عيسى. وفي </w:t>
      </w:r>
      <w:r w:rsidRPr="000577A7">
        <w:rPr>
          <w:rStyle w:val="libFootnoteBoldChar"/>
          <w:rtl/>
        </w:rPr>
        <w:t>الكافي</w:t>
      </w:r>
      <w:r w:rsidRPr="00132E65">
        <w:rPr>
          <w:rtl/>
        </w:rPr>
        <w:t xml:space="preserve"> ، كتاب </w:t>
      </w:r>
      <w:r w:rsidRPr="007E1A5C">
        <w:rPr>
          <w:rStyle w:val="libFootnoteBoldChar"/>
          <w:rtl/>
        </w:rPr>
        <w:t>الحجّة</w:t>
      </w:r>
      <w:r w:rsidRPr="00132E65">
        <w:rPr>
          <w:rtl/>
        </w:rPr>
        <w:t xml:space="preserve"> ، باب أنّ الأئمّة </w:t>
      </w:r>
      <w:r w:rsidRPr="007E1A5C">
        <w:rPr>
          <w:rStyle w:val="libFootnoteAlaemChar"/>
          <w:rtl/>
        </w:rPr>
        <w:t>عليهم‌السلام</w:t>
      </w:r>
      <w:r w:rsidRPr="00132E65">
        <w:rPr>
          <w:rtl/>
        </w:rPr>
        <w:t xml:space="preserve"> ورثة العلم</w:t>
      </w:r>
      <w:r>
        <w:rPr>
          <w:rtl/>
        </w:rPr>
        <w:t xml:space="preserve"> ..</w:t>
      </w:r>
      <w:r w:rsidRPr="00132E65">
        <w:rPr>
          <w:rtl/>
        </w:rPr>
        <w:t>. ، ح 594 ؛ و</w:t>
      </w:r>
      <w:r w:rsidRPr="007A1104">
        <w:rPr>
          <w:rStyle w:val="libFootnoteBoldChar"/>
          <w:rtl/>
        </w:rPr>
        <w:t>بصائر الدرجات</w:t>
      </w:r>
      <w:r w:rsidRPr="00132E65">
        <w:rPr>
          <w:rtl/>
        </w:rPr>
        <w:t xml:space="preserve"> ، ص 118 ، ح 2 ، بسندهما عن النضر بن سويد ، من قوله : « إنّ عليّاً كان عالماً » إلى قوله : « أو ما شاء الله »</w:t>
      </w:r>
      <w:r>
        <w:rPr>
          <w:rtl/>
        </w:rPr>
        <w:t>.</w:t>
      </w:r>
      <w:r w:rsidRPr="00132E65">
        <w:rPr>
          <w:rtl/>
        </w:rPr>
        <w:t xml:space="preserve"> راجع : </w:t>
      </w:r>
      <w:r w:rsidRPr="000577A7">
        <w:rPr>
          <w:rStyle w:val="libFootnoteBoldChar"/>
          <w:rtl/>
        </w:rPr>
        <w:t>الكافي</w:t>
      </w:r>
      <w:r w:rsidRPr="00132E65">
        <w:rPr>
          <w:rtl/>
        </w:rPr>
        <w:t xml:space="preserve"> ، كتاب </w:t>
      </w:r>
      <w:r w:rsidRPr="007E1A5C">
        <w:rPr>
          <w:rStyle w:val="libFootnoteBoldChar"/>
          <w:rtl/>
        </w:rPr>
        <w:t>الحجّة</w:t>
      </w:r>
      <w:r w:rsidRPr="00132E65">
        <w:rPr>
          <w:rtl/>
        </w:rPr>
        <w:t xml:space="preserve"> ، نفس الباب ، ح 595 </w:t>
      </w:r>
      <w:r>
        <w:rPr>
          <w:rtl/>
        </w:rPr>
        <w:t>و 5</w:t>
      </w:r>
      <w:r w:rsidRPr="00132E65">
        <w:rPr>
          <w:rtl/>
        </w:rPr>
        <w:t xml:space="preserve">99 ؛ </w:t>
      </w:r>
      <w:r w:rsidRPr="007E1A5C">
        <w:rPr>
          <w:rStyle w:val="libFootnoteBoldChar"/>
          <w:rtl/>
        </w:rPr>
        <w:t>والمحاسن</w:t>
      </w:r>
      <w:r w:rsidRPr="00132E65">
        <w:rPr>
          <w:rtl/>
        </w:rPr>
        <w:t xml:space="preserve"> ، ص 235 ، كتاب </w:t>
      </w:r>
      <w:r w:rsidRPr="007E1A5C">
        <w:rPr>
          <w:rStyle w:val="libFootnoteBoldChar"/>
          <w:rtl/>
        </w:rPr>
        <w:t>مصابيح الظلم</w:t>
      </w:r>
      <w:r w:rsidRPr="00132E65">
        <w:rPr>
          <w:rtl/>
        </w:rPr>
        <w:t xml:space="preserve"> ، ح 196 ؛ و</w:t>
      </w:r>
      <w:r w:rsidRPr="007A1104">
        <w:rPr>
          <w:rStyle w:val="libFootnoteBoldChar"/>
          <w:rtl/>
        </w:rPr>
        <w:t>بصائر الدرجات</w:t>
      </w:r>
      <w:r w:rsidRPr="00132E65">
        <w:rPr>
          <w:rtl/>
        </w:rPr>
        <w:t xml:space="preserve"> ، ص 114</w:t>
      </w:r>
      <w:r>
        <w:rPr>
          <w:rtl/>
        </w:rPr>
        <w:t xml:space="preserve"> - </w:t>
      </w:r>
      <w:r w:rsidRPr="00132E65">
        <w:rPr>
          <w:rtl/>
        </w:rPr>
        <w:t xml:space="preserve">116 ، ح 1 </w:t>
      </w:r>
      <w:r>
        <w:rPr>
          <w:rtl/>
        </w:rPr>
        <w:t>و 4</w:t>
      </w:r>
      <w:r w:rsidRPr="00132E65">
        <w:rPr>
          <w:rtl/>
        </w:rPr>
        <w:t xml:space="preserve"> </w:t>
      </w:r>
      <w:r>
        <w:rPr>
          <w:rtl/>
        </w:rPr>
        <w:t>و 8</w:t>
      </w:r>
      <w:r w:rsidRPr="00132E65">
        <w:rPr>
          <w:rtl/>
        </w:rPr>
        <w:t xml:space="preserve"> </w:t>
      </w:r>
      <w:r>
        <w:rPr>
          <w:rtl/>
        </w:rPr>
        <w:t>و 1</w:t>
      </w:r>
      <w:r w:rsidRPr="00132E65">
        <w:rPr>
          <w:rtl/>
        </w:rPr>
        <w:t>0 ؛ وص 117</w:t>
      </w:r>
      <w:r>
        <w:rPr>
          <w:rtl/>
        </w:rPr>
        <w:t xml:space="preserve"> - </w:t>
      </w:r>
      <w:r w:rsidRPr="00132E65">
        <w:rPr>
          <w:rtl/>
        </w:rPr>
        <w:t xml:space="preserve">118 ، ح 1 </w:t>
      </w:r>
      <w:r>
        <w:rPr>
          <w:rtl/>
        </w:rPr>
        <w:t>و 3</w:t>
      </w:r>
      <w:r w:rsidRPr="00132E65">
        <w:rPr>
          <w:rtl/>
        </w:rPr>
        <w:t xml:space="preserve"> </w:t>
      </w:r>
      <w:r>
        <w:rPr>
          <w:rtl/>
        </w:rPr>
        <w:t>و 4</w:t>
      </w:r>
      <w:r w:rsidRPr="00132E65">
        <w:rPr>
          <w:rtl/>
        </w:rPr>
        <w:t xml:space="preserve"> ؛ وص 511 ، ح 20 ؛ </w:t>
      </w:r>
      <w:r w:rsidRPr="007E1A5C">
        <w:rPr>
          <w:rStyle w:val="libFootnoteBoldChar"/>
          <w:rtl/>
        </w:rPr>
        <w:t>وكمال الدين</w:t>
      </w:r>
      <w:r w:rsidRPr="00BB3FFF">
        <w:rPr>
          <w:rtl/>
        </w:rPr>
        <w:t xml:space="preserve"> </w:t>
      </w:r>
      <w:r w:rsidRPr="00132E65">
        <w:rPr>
          <w:rtl/>
        </w:rPr>
        <w:t xml:space="preserve">، ص 223 ، ح 13 </w:t>
      </w:r>
      <w:r w:rsidR="007E1A5C">
        <w:rPr>
          <w:rFonts w:hint="cs"/>
          <w:rtl/>
        </w:rPr>
        <w:t>.</w:t>
      </w:r>
      <w:r w:rsidRPr="009D1ACE">
        <w:rPr>
          <w:rStyle w:val="libFootnoteBoldChar"/>
          <w:rtl/>
        </w:rPr>
        <w:t>الوافي</w:t>
      </w:r>
      <w:r w:rsidRPr="00132E65">
        <w:rPr>
          <w:rtl/>
        </w:rPr>
        <w:t xml:space="preserve"> ، ج 2 ، ص 127 ، ح 594.</w:t>
      </w:r>
    </w:p>
    <w:p w:rsidR="000C39D1" w:rsidRPr="00132E65" w:rsidRDefault="000C39D1" w:rsidP="000C39D1">
      <w:pPr>
        <w:pStyle w:val="libFootnote0"/>
        <w:rPr>
          <w:rtl/>
          <w:lang w:bidi="fa-IR"/>
        </w:rPr>
      </w:pPr>
      <w:r>
        <w:rPr>
          <w:rtl/>
        </w:rPr>
        <w:t>(7).</w:t>
      </w:r>
      <w:r w:rsidRPr="00132E65">
        <w:rPr>
          <w:rtl/>
        </w:rPr>
        <w:t xml:space="preserve"> في « ب » </w:t>
      </w:r>
      <w:r>
        <w:rPr>
          <w:rtl/>
        </w:rPr>
        <w:t xml:space="preserve">: - </w:t>
      </w:r>
      <w:r w:rsidRPr="00132E65">
        <w:rPr>
          <w:rtl/>
        </w:rPr>
        <w:t>« قد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لِأَبِي الْحَسَنِ </w:t>
      </w:r>
      <w:r w:rsidRPr="00071CF9">
        <w:rPr>
          <w:rStyle w:val="libAlaemChar"/>
          <w:rtl/>
        </w:rPr>
        <w:t>عليه‌السلام</w:t>
      </w:r>
      <w:r w:rsidRPr="00132E65">
        <w:rPr>
          <w:rtl/>
          <w:lang w:bidi="fa-IR"/>
        </w:rPr>
        <w:t xml:space="preserve"> : جُعِلْتُ فِدَاكَ ، قَدْ عَرَفْتَ انْقِطَاعِي إِلى أَبِيكَ ، ثُمَّ إِلَيْكَ ، ثُمَّ حَلَفْتُ لَهُ</w:t>
      </w:r>
      <w:r>
        <w:rPr>
          <w:rtl/>
          <w:lang w:bidi="fa-IR"/>
        </w:rPr>
        <w:t xml:space="preserve"> - </w:t>
      </w:r>
      <w:r w:rsidRPr="00132E65">
        <w:rPr>
          <w:rtl/>
          <w:lang w:bidi="fa-IR"/>
        </w:rPr>
        <w:t>و</w:t>
      </w:r>
      <w:r w:rsidR="007E1A5C">
        <w:rPr>
          <w:rFonts w:hint="cs"/>
          <w:rtl/>
          <w:lang w:bidi="fa-IR"/>
        </w:rPr>
        <w:t>َ</w:t>
      </w:r>
      <w:r w:rsidRPr="00132E65">
        <w:rPr>
          <w:rtl/>
          <w:lang w:bidi="fa-IR"/>
        </w:rPr>
        <w:t xml:space="preserve">حَقِّ رَسُولِ اللهِ </w:t>
      </w:r>
      <w:r w:rsidRPr="0093484F">
        <w:rPr>
          <w:rStyle w:val="libAlaemChar"/>
          <w:rFonts w:eastAsiaTheme="minorHAnsi"/>
          <w:rtl/>
        </w:rPr>
        <w:t>صلى‌الله‌عليه‌وآله</w:t>
      </w:r>
      <w:r w:rsidRPr="00132E65">
        <w:rPr>
          <w:rtl/>
          <w:lang w:bidi="fa-IR"/>
        </w:rPr>
        <w:t xml:space="preserve"> ، و</w:t>
      </w:r>
      <w:r w:rsidR="007E1A5C">
        <w:rPr>
          <w:rFonts w:hint="cs"/>
          <w:rtl/>
          <w:lang w:bidi="fa-IR"/>
        </w:rPr>
        <w:t>َ</w:t>
      </w:r>
      <w:r w:rsidRPr="00132E65">
        <w:rPr>
          <w:rtl/>
          <w:lang w:bidi="fa-IR"/>
        </w:rPr>
        <w:t>حَقِّ فُلَانٍ وفُلَانٍ حَتَّى انْتَهَيْتُ إِلَيْهِ</w:t>
      </w:r>
      <w:r>
        <w:rPr>
          <w:rtl/>
          <w:lang w:bidi="fa-IR"/>
        </w:rPr>
        <w:t xml:space="preserve"> - </w:t>
      </w:r>
      <w:r w:rsidRPr="00132E65">
        <w:rPr>
          <w:rtl/>
          <w:lang w:bidi="fa-IR"/>
        </w:rPr>
        <w:t xml:space="preserve">بِأَنَّهُ </w:t>
      </w:r>
      <w:r>
        <w:rPr>
          <w:rStyle w:val="libFootnotenumChar"/>
          <w:rtl/>
        </w:rPr>
        <w:t>(1)</w:t>
      </w:r>
      <w:r w:rsidRPr="00132E65">
        <w:rPr>
          <w:rtl/>
          <w:lang w:bidi="fa-IR"/>
        </w:rPr>
        <w:t xml:space="preserve"> لَايَخْرُجُ مِنِّي </w:t>
      </w:r>
      <w:r>
        <w:rPr>
          <w:rStyle w:val="libFootnotenumChar"/>
          <w:rtl/>
        </w:rPr>
        <w:t>(2)</w:t>
      </w:r>
      <w:r w:rsidRPr="00132E65">
        <w:rPr>
          <w:rtl/>
          <w:lang w:bidi="fa-IR"/>
        </w:rPr>
        <w:t xml:space="preserve"> مَا تُخْبِرُنِي </w:t>
      </w:r>
      <w:r>
        <w:rPr>
          <w:rStyle w:val="libFootnotenumChar"/>
          <w:rtl/>
        </w:rPr>
        <w:t>(3)</w:t>
      </w:r>
      <w:r w:rsidRPr="00132E65">
        <w:rPr>
          <w:rtl/>
          <w:lang w:bidi="fa-IR"/>
        </w:rPr>
        <w:t xml:space="preserve"> بِهِ إِلى أَحَدٍ مِنَ النَّاسِ ، و</w:t>
      </w:r>
      <w:r w:rsidR="00EC4293">
        <w:rPr>
          <w:rFonts w:hint="cs"/>
          <w:rtl/>
          <w:lang w:bidi="fa-IR"/>
        </w:rPr>
        <w:t>َ</w:t>
      </w:r>
      <w:r w:rsidRPr="00132E65">
        <w:rPr>
          <w:rtl/>
          <w:lang w:bidi="fa-IR"/>
        </w:rPr>
        <w:t>سَأَلْتُهُ عَنْ أَبِيهِ :</w:t>
      </w:r>
      <w:r>
        <w:rPr>
          <w:rtl/>
          <w:lang w:bidi="fa-IR"/>
        </w:rPr>
        <w:t xml:space="preserve"> أَ</w:t>
      </w:r>
      <w:r w:rsidRPr="00132E65">
        <w:rPr>
          <w:rtl/>
          <w:lang w:bidi="fa-IR"/>
        </w:rPr>
        <w:t xml:space="preserve">حَيٌّ هُوَ أَوْ مَيِّتٌ </w:t>
      </w:r>
      <w:r>
        <w:rPr>
          <w:rStyle w:val="libFootnotenumChar"/>
          <w:rtl/>
        </w:rPr>
        <w:t>(4)</w:t>
      </w:r>
      <w:r>
        <w:rPr>
          <w:rtl/>
          <w:lang w:bidi="fa-IR"/>
        </w:rPr>
        <w:t>؟</w:t>
      </w:r>
      <w:r w:rsidRPr="00132E65">
        <w:rPr>
          <w:rtl/>
          <w:lang w:bidi="fa-IR"/>
        </w:rPr>
        <w:t xml:space="preserve"> فَقَالَ :</w:t>
      </w:r>
      <w:r>
        <w:rPr>
          <w:rFonts w:hint="cs"/>
          <w:rtl/>
          <w:lang w:bidi="fa-IR"/>
        </w:rPr>
        <w:t xml:space="preserve"> </w:t>
      </w:r>
      <w:r w:rsidRPr="00132E65">
        <w:rPr>
          <w:rtl/>
          <w:lang w:bidi="fa-IR"/>
        </w:rPr>
        <w:t>« قَدْ و</w:t>
      </w:r>
      <w:r w:rsidR="00EC4293">
        <w:rPr>
          <w:rFonts w:hint="cs"/>
          <w:rtl/>
          <w:lang w:bidi="fa-IR"/>
        </w:rPr>
        <w:t>َ</w:t>
      </w:r>
      <w:r w:rsidRPr="00132E65">
        <w:rPr>
          <w:rtl/>
          <w:lang w:bidi="fa-IR"/>
        </w:rPr>
        <w:t>اللهِ مَاتَ »</w:t>
      </w:r>
      <w:r>
        <w:rPr>
          <w:rtl/>
          <w:lang w:bidi="fa-IR"/>
        </w:rPr>
        <w:t>.</w:t>
      </w:r>
    </w:p>
    <w:p w:rsidR="000C39D1" w:rsidRPr="00132E65" w:rsidRDefault="000C39D1" w:rsidP="000C39D1">
      <w:pPr>
        <w:pStyle w:val="libNormal"/>
        <w:rPr>
          <w:rtl/>
          <w:lang w:bidi="fa-IR"/>
        </w:rPr>
      </w:pPr>
      <w:r w:rsidRPr="00132E65">
        <w:rPr>
          <w:rtl/>
          <w:lang w:bidi="fa-IR"/>
        </w:rPr>
        <w:t xml:space="preserve">فَقُلْتُ </w:t>
      </w:r>
      <w:r>
        <w:rPr>
          <w:rStyle w:val="libFootnotenumChar"/>
          <w:rtl/>
        </w:rPr>
        <w:t>(5)</w:t>
      </w:r>
      <w:r w:rsidRPr="00132E65">
        <w:rPr>
          <w:rtl/>
          <w:lang w:bidi="fa-IR"/>
        </w:rPr>
        <w:t xml:space="preserve"> : جُعِلْتُ فِدَاكَ ، إِنَّ شِيعَتَكَ يَرْوُونَ أَنَّ فِيهِ سُنَّةَ أَرْبَعَةِ أَنْبِيَاءَ </w:t>
      </w:r>
      <w:r>
        <w:rPr>
          <w:rStyle w:val="libFootnotenumChar"/>
          <w:rtl/>
        </w:rPr>
        <w:t>(6)</w:t>
      </w:r>
      <w:r>
        <w:rPr>
          <w:rtl/>
          <w:lang w:bidi="fa-IR"/>
        </w:rPr>
        <w:t>؟</w:t>
      </w:r>
      <w:r w:rsidRPr="00132E65">
        <w:rPr>
          <w:rtl/>
          <w:lang w:bidi="fa-IR"/>
        </w:rPr>
        <w:t xml:space="preserve"> قَالَ : « قَدْ وَاللهِ</w:t>
      </w:r>
      <w:r>
        <w:rPr>
          <w:rtl/>
          <w:lang w:bidi="fa-IR"/>
        </w:rPr>
        <w:t xml:space="preserve"> - </w:t>
      </w:r>
      <w:r w:rsidRPr="00132E65">
        <w:rPr>
          <w:rtl/>
          <w:lang w:bidi="fa-IR"/>
        </w:rPr>
        <w:t>الَّذِي لَا</w:t>
      </w:r>
      <w:r>
        <w:rPr>
          <w:rFonts w:hint="cs"/>
          <w:rtl/>
          <w:lang w:bidi="fa-IR"/>
        </w:rPr>
        <w:t xml:space="preserve"> </w:t>
      </w:r>
      <w:r w:rsidR="00306948">
        <w:rPr>
          <w:rtl/>
          <w:lang w:bidi="fa-IR"/>
        </w:rPr>
        <w:t>إِلهَ إِل</w:t>
      </w:r>
      <w:r w:rsidR="00306948">
        <w:rPr>
          <w:rFonts w:hint="cs"/>
          <w:rtl/>
          <w:lang w:bidi="fa-IR"/>
        </w:rPr>
        <w:t>َّ</w:t>
      </w:r>
      <w:r w:rsidR="00306948">
        <w:rPr>
          <w:rtl/>
          <w:lang w:bidi="fa-IR"/>
        </w:rPr>
        <w:t>ا</w:t>
      </w:r>
      <w:r w:rsidRPr="00132E65">
        <w:rPr>
          <w:rtl/>
          <w:lang w:bidi="fa-IR"/>
        </w:rPr>
        <w:t xml:space="preserve"> هُوَ</w:t>
      </w:r>
      <w:r>
        <w:rPr>
          <w:rtl/>
          <w:lang w:bidi="fa-IR"/>
        </w:rPr>
        <w:t xml:space="preserve"> - </w:t>
      </w:r>
      <w:r w:rsidRPr="00132E65">
        <w:rPr>
          <w:rtl/>
          <w:lang w:bidi="fa-IR"/>
        </w:rPr>
        <w:t>هَلَكَ »</w:t>
      </w:r>
      <w:r>
        <w:rPr>
          <w:rtl/>
          <w:lang w:bidi="fa-IR"/>
        </w:rPr>
        <w:t>.</w:t>
      </w:r>
    </w:p>
    <w:p w:rsidR="000C39D1" w:rsidRPr="00132E65" w:rsidRDefault="000C39D1" w:rsidP="000C39D1">
      <w:pPr>
        <w:pStyle w:val="libNormal"/>
        <w:rPr>
          <w:rtl/>
          <w:lang w:bidi="fa-IR"/>
        </w:rPr>
      </w:pPr>
      <w:r w:rsidRPr="00132E65">
        <w:rPr>
          <w:rtl/>
          <w:lang w:bidi="fa-IR"/>
        </w:rPr>
        <w:t>قُلْتُ : هَلَاكَ غَيْبَةٍ ، أَوْ هَلَاكَ مَوْتٍ</w:t>
      </w:r>
      <w:r>
        <w:rPr>
          <w:rtl/>
          <w:lang w:bidi="fa-IR"/>
        </w:rPr>
        <w:t>؟</w:t>
      </w:r>
      <w:r w:rsidRPr="00132E65">
        <w:rPr>
          <w:rtl/>
          <w:lang w:bidi="fa-IR"/>
        </w:rPr>
        <w:t xml:space="preserve"> قَالَ : « هَلَاكَ مَوْتٍ »</w:t>
      </w:r>
      <w:r>
        <w:rPr>
          <w:rtl/>
          <w:lang w:bidi="fa-IR"/>
        </w:rPr>
        <w:t>.</w:t>
      </w:r>
      <w:r w:rsidRPr="00132E65">
        <w:rPr>
          <w:rtl/>
          <w:lang w:bidi="fa-IR"/>
        </w:rPr>
        <w:t xml:space="preserve"> فَقُلْتُ : لَعَلَّكَ مِنِّي فِي تَقِيَّةٍ</w:t>
      </w:r>
      <w:r>
        <w:rPr>
          <w:rtl/>
          <w:lang w:bidi="fa-IR"/>
        </w:rPr>
        <w:t>؟</w:t>
      </w:r>
      <w:r w:rsidRPr="00132E65">
        <w:rPr>
          <w:rtl/>
          <w:lang w:bidi="fa-IR"/>
        </w:rPr>
        <w:t xml:space="preserve"> فَقَالَ : « سُبْحَانَ اللهِ</w:t>
      </w:r>
      <w:r>
        <w:rPr>
          <w:rtl/>
          <w:lang w:bidi="fa-IR"/>
        </w:rPr>
        <w:t>!</w:t>
      </w:r>
      <w:r w:rsidRPr="00132E65">
        <w:rPr>
          <w:rtl/>
          <w:lang w:bidi="fa-IR"/>
        </w:rPr>
        <w:t xml:space="preserve"> »</w:t>
      </w:r>
      <w:r>
        <w:rPr>
          <w:rtl/>
          <w:lang w:bidi="fa-IR"/>
        </w:rPr>
        <w:t>.</w:t>
      </w:r>
      <w:r w:rsidRPr="00132E65">
        <w:rPr>
          <w:rtl/>
          <w:lang w:bidi="fa-IR"/>
        </w:rPr>
        <w:t xml:space="preserve"> قُلْتُ : فَأَوْصى إِلَيْكَ</w:t>
      </w:r>
      <w:r>
        <w:rPr>
          <w:rtl/>
          <w:lang w:bidi="fa-IR"/>
        </w:rPr>
        <w:t>؟</w:t>
      </w:r>
      <w:r w:rsidRPr="00132E65">
        <w:rPr>
          <w:rtl/>
          <w:lang w:bidi="fa-IR"/>
        </w:rPr>
        <w:t xml:space="preserve"> قَالَ : « نَعَمْ »</w:t>
      </w:r>
      <w:r>
        <w:rPr>
          <w:rtl/>
          <w:lang w:bidi="fa-IR"/>
        </w:rPr>
        <w:t>.</w:t>
      </w:r>
      <w:r w:rsidRPr="00132E65">
        <w:rPr>
          <w:rtl/>
          <w:lang w:bidi="fa-IR"/>
        </w:rPr>
        <w:t xml:space="preserve"> قُلْتُ : فَأَشْرَكَ مَعَكَ فِيهَا أَحَداً</w:t>
      </w:r>
      <w:r>
        <w:rPr>
          <w:rtl/>
          <w:lang w:bidi="fa-IR"/>
        </w:rPr>
        <w:t>؟</w:t>
      </w:r>
      <w:r w:rsidRPr="00132E65">
        <w:rPr>
          <w:rtl/>
          <w:lang w:bidi="fa-IR"/>
        </w:rPr>
        <w:t xml:space="preserve"> قَالَ : « لَا »</w:t>
      </w:r>
      <w:r>
        <w:rPr>
          <w:rtl/>
          <w:lang w:bidi="fa-IR"/>
        </w:rPr>
        <w:t>.</w:t>
      </w:r>
      <w:r w:rsidRPr="00132E65">
        <w:rPr>
          <w:rtl/>
          <w:lang w:bidi="fa-IR"/>
        </w:rPr>
        <w:t xml:space="preserve"> قُلْتُ : فَعَلَيْكَ مِنْ إِخْوَتِكَ إِمَامٌ</w:t>
      </w:r>
      <w:r>
        <w:rPr>
          <w:rtl/>
          <w:lang w:bidi="fa-IR"/>
        </w:rPr>
        <w:t>؟</w:t>
      </w:r>
      <w:r w:rsidRPr="00132E65">
        <w:rPr>
          <w:rtl/>
          <w:lang w:bidi="fa-IR"/>
        </w:rPr>
        <w:t xml:space="preserve"> قَالَ : « لَا »</w:t>
      </w:r>
      <w:r>
        <w:rPr>
          <w:rtl/>
          <w:lang w:bidi="fa-IR"/>
        </w:rPr>
        <w:t>.</w:t>
      </w:r>
      <w:r w:rsidRPr="00132E65">
        <w:rPr>
          <w:rtl/>
          <w:lang w:bidi="fa-IR"/>
        </w:rPr>
        <w:t xml:space="preserve"> قُلْتُ : فَأَنْتَ الْإِمَامُ</w:t>
      </w:r>
      <w:r>
        <w:rPr>
          <w:rtl/>
          <w:lang w:bidi="fa-IR"/>
        </w:rPr>
        <w:t>؟</w:t>
      </w:r>
      <w:r w:rsidRPr="00132E65">
        <w:rPr>
          <w:rtl/>
          <w:lang w:bidi="fa-IR"/>
        </w:rPr>
        <w:t xml:space="preserve"> قَالَ :</w:t>
      </w:r>
      <w:r>
        <w:rPr>
          <w:rFonts w:hint="cs"/>
          <w:rtl/>
          <w:lang w:bidi="fa-IR"/>
        </w:rPr>
        <w:t xml:space="preserve"> </w:t>
      </w:r>
      <w:r w:rsidRPr="00132E65">
        <w:rPr>
          <w:rtl/>
          <w:lang w:bidi="fa-IR"/>
        </w:rPr>
        <w:t>« نَعَمْ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BB3FFF">
        <w:rPr>
          <w:rtl/>
        </w:rPr>
        <w:t>990</w:t>
      </w:r>
      <w:r w:rsidRPr="004325D8">
        <w:rPr>
          <w:rStyle w:val="libBold2Char"/>
          <w:rtl/>
        </w:rPr>
        <w:t xml:space="preserve"> / 2.</w:t>
      </w:r>
      <w:r w:rsidRPr="00132E65">
        <w:rPr>
          <w:rtl/>
          <w:lang w:bidi="fa-IR"/>
        </w:rPr>
        <w:t xml:space="preserve"> الْحُسَيْنُ بْنُ مُحَمَّدٍ ، عَنْ مُعَلَّى بْنِ مُحَمَّدٍ ، عَنْ عَلِيِّ بْنِ أَسْبَاطٍ ، قَالَ :</w:t>
      </w:r>
    </w:p>
    <w:p w:rsidR="000C39D1" w:rsidRPr="00132E65" w:rsidRDefault="000C39D1" w:rsidP="000C39D1">
      <w:pPr>
        <w:pStyle w:val="libNormal"/>
        <w:rPr>
          <w:rtl/>
          <w:lang w:bidi="fa-IR"/>
        </w:rPr>
      </w:pPr>
      <w:r w:rsidRPr="00132E65">
        <w:rPr>
          <w:rtl/>
          <w:lang w:bidi="fa-IR"/>
        </w:rPr>
        <w:t xml:space="preserve">قُلْتُ لِلرِّضَا </w:t>
      </w:r>
      <w:r w:rsidRPr="00071CF9">
        <w:rPr>
          <w:rStyle w:val="libAlaemChar"/>
          <w:rtl/>
        </w:rPr>
        <w:t>عليه‌السلام</w:t>
      </w:r>
      <w:r w:rsidRPr="00132E65">
        <w:rPr>
          <w:rtl/>
          <w:lang w:bidi="fa-IR"/>
        </w:rPr>
        <w:t xml:space="preserve"> : إِنَّ رَجُلاً عَنى </w:t>
      </w:r>
      <w:r>
        <w:rPr>
          <w:rStyle w:val="libFootnotenumChar"/>
          <w:rtl/>
        </w:rPr>
        <w:t>(8)</w:t>
      </w:r>
      <w:r w:rsidRPr="00132E65">
        <w:rPr>
          <w:rtl/>
          <w:lang w:bidi="fa-IR"/>
        </w:rPr>
        <w:t xml:space="preserve"> أَخَاكَ إِبْرَاهِيمَ ، فَذَكَرَ لَهُ أَنَّ أَبَاكَ فِي الْحَيَاةِ ، و</w:t>
      </w:r>
      <w:r w:rsidR="00306948">
        <w:rPr>
          <w:rFonts w:hint="cs"/>
          <w:rtl/>
          <w:lang w:bidi="fa-IR"/>
        </w:rPr>
        <w:t>َ</w:t>
      </w:r>
      <w:r w:rsidRPr="00132E65">
        <w:rPr>
          <w:rtl/>
          <w:lang w:bidi="fa-IR"/>
        </w:rPr>
        <w:t xml:space="preserve">أَنَّكَ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الوسائل : « أنّه »</w:t>
      </w:r>
      <w:r>
        <w:rPr>
          <w:rtl/>
        </w:rPr>
        <w:t>.</w:t>
      </w:r>
    </w:p>
    <w:p w:rsidR="000C39D1" w:rsidRPr="00132E65" w:rsidRDefault="000C39D1" w:rsidP="000C39D1">
      <w:pPr>
        <w:pStyle w:val="libFootnote0"/>
        <w:rPr>
          <w:rtl/>
          <w:lang w:bidi="fa-IR"/>
        </w:rPr>
      </w:pPr>
      <w:r>
        <w:rPr>
          <w:rtl/>
        </w:rPr>
        <w:t>(2).</w:t>
      </w:r>
      <w:r w:rsidRPr="00132E65">
        <w:rPr>
          <w:rtl/>
        </w:rPr>
        <w:t xml:space="preserve"> في الوسائل </w:t>
      </w:r>
      <w:r>
        <w:rPr>
          <w:rtl/>
        </w:rPr>
        <w:t xml:space="preserve">: - </w:t>
      </w:r>
      <w:r w:rsidRPr="00132E65">
        <w:rPr>
          <w:rtl/>
        </w:rPr>
        <w:t>« منّي »</w:t>
      </w:r>
      <w:r>
        <w:rPr>
          <w:rtl/>
        </w:rPr>
        <w:t>.</w:t>
      </w:r>
    </w:p>
    <w:p w:rsidR="000C39D1" w:rsidRPr="00132E65" w:rsidRDefault="000C39D1" w:rsidP="000C39D1">
      <w:pPr>
        <w:pStyle w:val="libFootnote0"/>
        <w:rPr>
          <w:rtl/>
          <w:lang w:bidi="fa-IR"/>
        </w:rPr>
      </w:pPr>
      <w:r>
        <w:rPr>
          <w:rtl/>
        </w:rPr>
        <w:t>(3).</w:t>
      </w:r>
      <w:r w:rsidRPr="00132E65">
        <w:rPr>
          <w:rtl/>
        </w:rPr>
        <w:t xml:space="preserve"> في « ب ، ج ، بس ، بف » : « يخبرني » ، أي الإمام.</w:t>
      </w:r>
    </w:p>
    <w:tbl>
      <w:tblPr>
        <w:tblStyle w:val="TableGrid"/>
        <w:bidiVisual/>
        <w:tblW w:w="0" w:type="auto"/>
        <w:tblLook w:val="04A0" w:firstRow="1" w:lastRow="0" w:firstColumn="1" w:lastColumn="0" w:noHBand="0" w:noVBand="1"/>
      </w:tblPr>
      <w:tblGrid>
        <w:gridCol w:w="4006"/>
        <w:gridCol w:w="4006"/>
      </w:tblGrid>
      <w:tr w:rsidR="00306948" w:rsidTr="00306948">
        <w:tc>
          <w:tcPr>
            <w:tcW w:w="4006" w:type="dxa"/>
          </w:tcPr>
          <w:p w:rsidR="00306948" w:rsidRDefault="00306948" w:rsidP="000C39D1">
            <w:pPr>
              <w:pStyle w:val="libFootnote0"/>
              <w:rPr>
                <w:rtl/>
              </w:rPr>
            </w:pPr>
            <w:r>
              <w:rPr>
                <w:rtl/>
              </w:rPr>
              <w:t>(4).</w:t>
            </w:r>
            <w:r w:rsidRPr="00132E65">
              <w:rPr>
                <w:rtl/>
              </w:rPr>
              <w:t xml:space="preserve"> في « ف ، بح » : « أم ميّت »</w:t>
            </w:r>
            <w:r>
              <w:rPr>
                <w:rtl/>
              </w:rPr>
              <w:t>.</w:t>
            </w:r>
          </w:p>
        </w:tc>
        <w:tc>
          <w:tcPr>
            <w:tcW w:w="4006" w:type="dxa"/>
          </w:tcPr>
          <w:p w:rsidR="00306948" w:rsidRDefault="00306948" w:rsidP="000C39D1">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 « قلت »</w:t>
            </w:r>
            <w:r>
              <w:rPr>
                <w:rtl/>
              </w:rPr>
              <w:t>.</w:t>
            </w:r>
          </w:p>
        </w:tc>
      </w:tr>
    </w:tbl>
    <w:p w:rsidR="000C39D1" w:rsidRPr="00132E65" w:rsidRDefault="000C39D1" w:rsidP="000C39D1">
      <w:pPr>
        <w:pStyle w:val="libFootnote0"/>
        <w:rPr>
          <w:rtl/>
          <w:lang w:bidi="fa-IR"/>
        </w:rPr>
      </w:pPr>
      <w:r>
        <w:rPr>
          <w:rtl/>
        </w:rPr>
        <w:t>(6).</w:t>
      </w:r>
      <w:r w:rsidRPr="00132E65">
        <w:rPr>
          <w:rtl/>
        </w:rPr>
        <w:t xml:space="preserve"> إنّ ذلك مرويّ في القائم </w:t>
      </w:r>
      <w:r w:rsidRPr="00306948">
        <w:rPr>
          <w:rStyle w:val="libFootnoteAlaemChar"/>
          <w:rtl/>
        </w:rPr>
        <w:t>عليه‌السلام</w:t>
      </w:r>
      <w:r w:rsidRPr="00132E65">
        <w:rPr>
          <w:rtl/>
        </w:rPr>
        <w:t xml:space="preserve"> ، لا الكاظم </w:t>
      </w:r>
      <w:r w:rsidRPr="00306948">
        <w:rPr>
          <w:rStyle w:val="libFootnoteAlaemChar"/>
          <w:rtl/>
        </w:rPr>
        <w:t>عليه‌السلام</w:t>
      </w:r>
      <w:r w:rsidRPr="00132E65">
        <w:rPr>
          <w:rtl/>
        </w:rPr>
        <w:t xml:space="preserve"> </w:t>
      </w:r>
      <w:r w:rsidR="00306948">
        <w:rPr>
          <w:rtl/>
        </w:rPr>
        <w:t>، إل</w:t>
      </w:r>
      <w:r w:rsidR="00306948">
        <w:rPr>
          <w:rFonts w:hint="cs"/>
          <w:rtl/>
        </w:rPr>
        <w:t>ّ</w:t>
      </w:r>
      <w:r w:rsidR="00306948">
        <w:rPr>
          <w:rtl/>
        </w:rPr>
        <w:t>ا</w:t>
      </w:r>
      <w:r w:rsidRPr="00132E65">
        <w:rPr>
          <w:rtl/>
        </w:rPr>
        <w:t>رؤساء الواقفيّة لبّسوا الأمر على أصحابهم بأمثال هذه التحريفات لأغراضهم الدنيويّة.</w:t>
      </w:r>
    </w:p>
    <w:p w:rsidR="000C39D1" w:rsidRPr="00132E65" w:rsidRDefault="000C39D1" w:rsidP="000C39D1">
      <w:pPr>
        <w:pStyle w:val="libFootnote0"/>
        <w:rPr>
          <w:rtl/>
          <w:lang w:bidi="fa-IR"/>
        </w:rPr>
      </w:pPr>
      <w:r w:rsidRPr="00E55206">
        <w:rPr>
          <w:rtl/>
        </w:rPr>
        <w:t xml:space="preserve">وقوله : « فيه سنّة أربعة أنبياء » يعني سنّة موسى وعيسى ويوسف ومحمّد </w:t>
      </w:r>
      <w:r w:rsidRPr="00306948">
        <w:rPr>
          <w:rStyle w:val="libFootnoteAlaemChar"/>
          <w:rtl/>
        </w:rPr>
        <w:t>عليهم‌السلام</w:t>
      </w:r>
      <w:r w:rsidRPr="00E55206">
        <w:rPr>
          <w:rtl/>
        </w:rPr>
        <w:t xml:space="preserve">. فأمّا سنّة موسى : فخائف مترقّب ؛ وأمّا سنّة عيسى : فيقال : إنّه مات ولم يمت ؛ وأمّا سنّة يوسف : فالسجن والغيبة ؛ وأمّا سنّة محمّد </w:t>
      </w:r>
      <w:r w:rsidRPr="00306948">
        <w:rPr>
          <w:rStyle w:val="libFootnoteAlaemChar"/>
          <w:rFonts w:eastAsiaTheme="minorHAnsi"/>
          <w:rtl/>
        </w:rPr>
        <w:t>صلى‌الله‌عليه‌وآله</w:t>
      </w:r>
      <w:r w:rsidRPr="00E55206">
        <w:rPr>
          <w:rtl/>
        </w:rPr>
        <w:t xml:space="preserve">: فالسيف والجهاد عند ظهور دولته. راجع : </w:t>
      </w:r>
      <w:r w:rsidRPr="009D1ACE">
        <w:rPr>
          <w:rStyle w:val="libFootnoteBoldChar"/>
          <w:rtl/>
        </w:rPr>
        <w:t>الوافي</w:t>
      </w:r>
      <w:r w:rsidRPr="00E55206">
        <w:rPr>
          <w:rtl/>
        </w:rPr>
        <w:t xml:space="preserve"> ، ج 3 ، ص 674 ؛ </w:t>
      </w:r>
      <w:r w:rsidRPr="00306948">
        <w:rPr>
          <w:rStyle w:val="libFootnoteBoldChar"/>
          <w:rtl/>
        </w:rPr>
        <w:t>شرح المازندراني</w:t>
      </w:r>
      <w:r w:rsidRPr="00E55206">
        <w:rPr>
          <w:rtl/>
        </w:rPr>
        <w:t xml:space="preserve"> ، ج 6 ، ص 366.</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674 ، ح 1279 ؛ </w:t>
      </w:r>
      <w:r w:rsidRPr="00306948">
        <w:rPr>
          <w:rStyle w:val="libFootnoteBoldChar"/>
          <w:rtl/>
        </w:rPr>
        <w:t>الوسائل</w:t>
      </w:r>
      <w:r w:rsidRPr="00132E65">
        <w:rPr>
          <w:rtl/>
        </w:rPr>
        <w:t xml:space="preserve"> ، ج 23 ، ص 261 ، ح 29524.</w:t>
      </w:r>
    </w:p>
    <w:p w:rsidR="000C39D1" w:rsidRPr="00132E65" w:rsidRDefault="000C39D1" w:rsidP="000C39D1">
      <w:pPr>
        <w:pStyle w:val="libFootnote0"/>
        <w:rPr>
          <w:rtl/>
          <w:lang w:bidi="fa-IR"/>
        </w:rPr>
      </w:pPr>
      <w:r>
        <w:rPr>
          <w:rtl/>
        </w:rPr>
        <w:t>(8).</w:t>
      </w:r>
      <w:r w:rsidRPr="00132E65">
        <w:rPr>
          <w:rtl/>
        </w:rPr>
        <w:t xml:space="preserve"> في « ج ، ض ، بر » و</w:t>
      </w:r>
      <w:r w:rsidRPr="009D1ACE">
        <w:rPr>
          <w:rStyle w:val="libFootnoteBoldChar"/>
          <w:rtl/>
        </w:rPr>
        <w:t>الوافي</w:t>
      </w:r>
      <w:r w:rsidRPr="00132E65">
        <w:rPr>
          <w:rtl/>
        </w:rPr>
        <w:t xml:space="preserve"> : « عنّى » بتشديد النون ، أي أوقعه في التعب والعناء. وفي حاشية « بر » : « غرّ »</w:t>
      </w:r>
      <w:r>
        <w:rPr>
          <w:rtl/>
        </w:rPr>
        <w:t>.</w:t>
      </w:r>
    </w:p>
    <w:p w:rsidR="000C39D1" w:rsidRPr="00132E65" w:rsidRDefault="000C39D1" w:rsidP="000C39D1">
      <w:pPr>
        <w:pStyle w:val="libFootnote0"/>
        <w:rPr>
          <w:rtl/>
          <w:lang w:bidi="fa-IR"/>
        </w:rPr>
      </w:pPr>
      <w:r>
        <w:rPr>
          <w:rtl/>
        </w:rPr>
        <w:t>(9).</w:t>
      </w:r>
      <w:r w:rsidRPr="00132E65">
        <w:rPr>
          <w:rtl/>
        </w:rPr>
        <w:t xml:space="preserve"> في البحار ، ج 48 : « وأنت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تَعْلَمُ مِنْ ذلِكَ </w:t>
      </w:r>
      <w:r>
        <w:rPr>
          <w:rStyle w:val="libFootnotenumChar"/>
          <w:rtl/>
        </w:rPr>
        <w:t>(1)</w:t>
      </w:r>
      <w:r w:rsidRPr="00132E65">
        <w:rPr>
          <w:rtl/>
          <w:lang w:bidi="fa-IR"/>
        </w:rPr>
        <w:t xml:space="preserve"> مَا يَعْلَمُ </w:t>
      </w:r>
      <w:r>
        <w:rPr>
          <w:rStyle w:val="libFootnotenumChar"/>
          <w:rtl/>
        </w:rPr>
        <w:t>(2)</w:t>
      </w:r>
      <w:r>
        <w:rPr>
          <w:rtl/>
          <w:lang w:bidi="fa-IR"/>
        </w:rPr>
        <w:t>؟</w:t>
      </w:r>
    </w:p>
    <w:p w:rsidR="000C39D1" w:rsidRPr="00132E65" w:rsidRDefault="000C39D1" w:rsidP="00306948">
      <w:pPr>
        <w:pStyle w:val="libNormal"/>
        <w:rPr>
          <w:rtl/>
          <w:lang w:bidi="fa-IR"/>
        </w:rPr>
      </w:pPr>
      <w:r w:rsidRPr="00132E65">
        <w:rPr>
          <w:rtl/>
          <w:lang w:bidi="fa-IR"/>
        </w:rPr>
        <w:t>فَقَالَ : « سُبْحَانَ اللهِ</w:t>
      </w:r>
      <w:r>
        <w:rPr>
          <w:rtl/>
          <w:lang w:bidi="fa-IR"/>
        </w:rPr>
        <w:t>!</w:t>
      </w:r>
      <w:r w:rsidRPr="00132E65">
        <w:rPr>
          <w:rtl/>
          <w:lang w:bidi="fa-IR"/>
        </w:rPr>
        <w:t xml:space="preserve"> يَمُوتُ رَسُولُ اللهِ </w:t>
      </w:r>
      <w:r w:rsidRPr="0093484F">
        <w:rPr>
          <w:rStyle w:val="libAlaemChar"/>
          <w:rFonts w:eastAsiaTheme="minorHAnsi"/>
          <w:rtl/>
        </w:rPr>
        <w:t>صلى‌الله‌عليه‌وآله</w:t>
      </w:r>
      <w:r w:rsidRPr="00132E65">
        <w:rPr>
          <w:rtl/>
          <w:lang w:bidi="fa-IR"/>
        </w:rPr>
        <w:t xml:space="preserve"> و</w:t>
      </w:r>
      <w:r w:rsidR="00306948">
        <w:rPr>
          <w:rFonts w:hint="cs"/>
          <w:rtl/>
          <w:lang w:bidi="fa-IR"/>
        </w:rPr>
        <w:t>َ</w:t>
      </w:r>
      <w:r w:rsidRPr="00132E65">
        <w:rPr>
          <w:rtl/>
          <w:lang w:bidi="fa-IR"/>
        </w:rPr>
        <w:t>لَايَمُوتُ مُوسى</w:t>
      </w:r>
      <w:r>
        <w:rPr>
          <w:rtl/>
          <w:lang w:bidi="fa-IR"/>
        </w:rPr>
        <w:t>؟!</w:t>
      </w:r>
      <w:r w:rsidRPr="00132E65">
        <w:rPr>
          <w:rtl/>
          <w:lang w:bidi="fa-IR"/>
        </w:rPr>
        <w:t xml:space="preserve"> قَدْ و</w:t>
      </w:r>
      <w:r w:rsidR="00306948">
        <w:rPr>
          <w:rFonts w:hint="cs"/>
          <w:rtl/>
          <w:lang w:bidi="fa-IR"/>
        </w:rPr>
        <w:t>َ</w:t>
      </w:r>
      <w:r w:rsidRPr="00132E65">
        <w:rPr>
          <w:rtl/>
          <w:lang w:bidi="fa-IR"/>
        </w:rPr>
        <w:t xml:space="preserve">اللهِ مَضى كَمَا مَضى رَسُولُ اللهِ </w:t>
      </w:r>
      <w:r w:rsidRPr="0093484F">
        <w:rPr>
          <w:rStyle w:val="libAlaemChar"/>
          <w:rFonts w:eastAsiaTheme="minorHAnsi"/>
          <w:rtl/>
        </w:rPr>
        <w:t>صلى‌الله‌عليه‌وآله</w:t>
      </w:r>
      <w:r w:rsidRPr="00132E65">
        <w:rPr>
          <w:rtl/>
          <w:lang w:bidi="fa-IR"/>
        </w:rPr>
        <w:t xml:space="preserve"> ، ولكِنَّ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لَمْ يَزَلْ مُنْذُ قَبَضَ نَبِيَّهُ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هَلُمَّ جَرّاً</w:t>
      </w:r>
      <w:r>
        <w:rPr>
          <w:rtl/>
          <w:lang w:bidi="fa-IR"/>
        </w:rPr>
        <w:t xml:space="preserve"> - </w:t>
      </w:r>
      <w:r w:rsidRPr="00132E65">
        <w:rPr>
          <w:rtl/>
          <w:lang w:bidi="fa-IR"/>
        </w:rPr>
        <w:t xml:space="preserve">يَمُنُّ بِهذَا الدِّينِ عَلى أَوْلَادِ الْأَعَاجِمِ ، ويَصْرِفُهُ عَنْ قَرَابَةِ نَبِيِّهِ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هَلُمَّ جَرّاً</w:t>
      </w:r>
      <w:r>
        <w:rPr>
          <w:rtl/>
          <w:lang w:bidi="fa-IR"/>
        </w:rPr>
        <w:t xml:space="preserve"> - </w:t>
      </w:r>
      <w:r w:rsidRPr="00132E65">
        <w:rPr>
          <w:rtl/>
          <w:lang w:bidi="fa-IR"/>
        </w:rPr>
        <w:t xml:space="preserve">فَيُعْطِي هؤُلَاءِ ، ويَمْنَعُ هؤُلَاءِ ، لَقَدْ قَضَيْتُ عَنْهُ فِي هِلَالِ ذِي الْحِجَّةِ أَلْفَ دِينَارٍ بَعْدَ أَنْ أَشْفى </w:t>
      </w:r>
      <w:r>
        <w:rPr>
          <w:rStyle w:val="libFootnotenumChar"/>
          <w:rtl/>
        </w:rPr>
        <w:t>(3)</w:t>
      </w:r>
      <w:r w:rsidRPr="00132E65">
        <w:rPr>
          <w:rtl/>
          <w:lang w:bidi="fa-IR"/>
        </w:rPr>
        <w:t xml:space="preserve"> عَلى طَلَاقِ نِسَائِهِ وعِتْقِ مَمَالِيكِهِ ، و</w:t>
      </w:r>
      <w:r w:rsidR="00306948">
        <w:rPr>
          <w:rFonts w:hint="cs"/>
          <w:rtl/>
          <w:lang w:bidi="fa-IR"/>
        </w:rPr>
        <w:t>َ</w:t>
      </w:r>
      <w:r w:rsidRPr="00132E65">
        <w:rPr>
          <w:rtl/>
          <w:lang w:bidi="fa-IR"/>
        </w:rPr>
        <w:t xml:space="preserve">لكِنْ قَدْ </w:t>
      </w:r>
      <w:r>
        <w:rPr>
          <w:rStyle w:val="libFootnotenumChar"/>
          <w:rtl/>
        </w:rPr>
        <w:t>(4)</w:t>
      </w:r>
      <w:r w:rsidRPr="00132E65">
        <w:rPr>
          <w:rtl/>
          <w:lang w:bidi="fa-IR"/>
        </w:rPr>
        <w:t xml:space="preserve"> سَمِعْتُ مَا لَقِيَ يُوسُفُ مِنْ </w:t>
      </w:r>
      <w:r>
        <w:rPr>
          <w:rStyle w:val="libFootnotenumChar"/>
          <w:rtl/>
        </w:rPr>
        <w:t>(5)</w:t>
      </w:r>
      <w:r w:rsidRPr="00132E65">
        <w:rPr>
          <w:rtl/>
          <w:lang w:bidi="fa-IR"/>
        </w:rPr>
        <w:t xml:space="preserve"> إِخْوَتِهِ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BB3FFF">
        <w:rPr>
          <w:rtl/>
        </w:rPr>
        <w:t>991</w:t>
      </w:r>
      <w:r w:rsidRPr="004325D8">
        <w:rPr>
          <w:rStyle w:val="libBold2Char"/>
          <w:rtl/>
        </w:rPr>
        <w:t xml:space="preserve"> / 3.</w:t>
      </w:r>
      <w:r w:rsidRPr="00132E65">
        <w:rPr>
          <w:rtl/>
          <w:lang w:bidi="fa-IR"/>
        </w:rPr>
        <w:t xml:space="preserve"> الْحُسَيْنُ بْنُ مُحَمَّدٍ ، عَنْ مُعَلَّى بْنِ مُحَمَّدٍ ، عَنِ الْوَشَّاءِ ، قَالَ :</w:t>
      </w:r>
    </w:p>
    <w:p w:rsidR="000C39D1" w:rsidRPr="00132E65" w:rsidRDefault="000C39D1" w:rsidP="000C39D1">
      <w:pPr>
        <w:pStyle w:val="libNormal"/>
        <w:rPr>
          <w:rtl/>
          <w:lang w:bidi="fa-IR"/>
        </w:rPr>
      </w:pPr>
      <w:r w:rsidRPr="00132E65">
        <w:rPr>
          <w:rtl/>
          <w:lang w:bidi="fa-IR"/>
        </w:rPr>
        <w:t xml:space="preserve">قُلْتُ لِأَبِي الْحَسَنِ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 إِنَّهُمْ رَوَوْا عَنْكَ فِي مَوْتِ أَبِي الْحَسَنِ </w:t>
      </w:r>
      <w:r>
        <w:rPr>
          <w:rStyle w:val="libFootnotenumChar"/>
          <w:rtl/>
        </w:rPr>
        <w:t>(8)</w:t>
      </w:r>
      <w:r w:rsidRPr="00132E65">
        <w:rPr>
          <w:rtl/>
          <w:lang w:bidi="fa-IR"/>
        </w:rPr>
        <w:t xml:space="preserve"> </w:t>
      </w:r>
      <w:r w:rsidRPr="00071CF9">
        <w:rPr>
          <w:rStyle w:val="libAlaemChar"/>
          <w:rtl/>
        </w:rPr>
        <w:t>عليه‌السلام</w:t>
      </w:r>
      <w:r w:rsidRPr="00132E65">
        <w:rPr>
          <w:rtl/>
          <w:lang w:bidi="fa-IR"/>
        </w:rPr>
        <w:t xml:space="preserve"> أَنَّ رَجُلاً قَالَ لَكَ </w:t>
      </w:r>
      <w:r>
        <w:rPr>
          <w:rStyle w:val="libFootnotenumChar"/>
          <w:rtl/>
        </w:rPr>
        <w:t>(9)</w:t>
      </w:r>
      <w:r w:rsidRPr="00132E65">
        <w:rPr>
          <w:rtl/>
          <w:lang w:bidi="fa-IR"/>
        </w:rPr>
        <w:t xml:space="preserve"> : عَلِمْتَ ذلِكَ بِقَوْلِ سَعِيدٍ </w:t>
      </w:r>
      <w:r>
        <w:rPr>
          <w:rStyle w:val="libFootnotenumChar"/>
          <w:rtl/>
        </w:rPr>
        <w:t>(10)</w:t>
      </w:r>
      <w:r>
        <w:rPr>
          <w:rtl/>
          <w:lang w:bidi="fa-IR"/>
        </w:rPr>
        <w:t>؟</w:t>
      </w:r>
    </w:p>
    <w:p w:rsidR="000C39D1" w:rsidRPr="00132E65" w:rsidRDefault="000C39D1" w:rsidP="000C39D1">
      <w:pPr>
        <w:pStyle w:val="libNormal"/>
        <w:rPr>
          <w:rtl/>
          <w:lang w:bidi="fa-IR"/>
        </w:rPr>
      </w:pPr>
      <w:r w:rsidRPr="00132E65">
        <w:rPr>
          <w:rtl/>
          <w:lang w:bidi="fa-IR"/>
        </w:rPr>
        <w:t>فَقَالَ : « جَاءَ سَعِيدٌ بَعْدَ مَا عَلِمْتُ بِهِ قَبْلَ مَجِيئِهِ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(11)</w:t>
      </w:r>
      <w:r w:rsidRPr="00132E65">
        <w:rPr>
          <w:rtl/>
          <w:lang w:bidi="fa-IR"/>
        </w:rPr>
        <w:t xml:space="preserve"> : و</w:t>
      </w:r>
      <w:r w:rsidR="00306948">
        <w:rPr>
          <w:rFonts w:hint="cs"/>
          <w:rtl/>
          <w:lang w:bidi="fa-IR"/>
        </w:rPr>
        <w:t>َ</w:t>
      </w:r>
      <w:r w:rsidRPr="00132E65">
        <w:rPr>
          <w:rtl/>
          <w:lang w:bidi="fa-IR"/>
        </w:rPr>
        <w:t xml:space="preserve">سَمِعْتُهُ يَقُولُ : « طَلَّقْتُ أُمَّ فَرْوَةَ بِنْتَ </w:t>
      </w:r>
      <w:r>
        <w:rPr>
          <w:rStyle w:val="libFootnotenumChar"/>
          <w:rtl/>
        </w:rPr>
        <w:t>(12)</w:t>
      </w:r>
      <w:r w:rsidRPr="00132E65">
        <w:rPr>
          <w:rtl/>
          <w:lang w:bidi="fa-IR"/>
        </w:rPr>
        <w:t xml:space="preserve"> إِسْحَاقَ فِي رَجَبٍ بَعْدَ مَوْتِ‌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w:t>
      </w:r>
      <w:r>
        <w:rPr>
          <w:rtl/>
        </w:rPr>
        <w:t xml:space="preserve"> + </w:t>
      </w:r>
      <w:r w:rsidRPr="00132E65">
        <w:rPr>
          <w:rtl/>
        </w:rPr>
        <w:t>« مثل »</w:t>
      </w:r>
      <w:r>
        <w:rPr>
          <w:rtl/>
        </w:rPr>
        <w:t>.</w:t>
      </w:r>
    </w:p>
    <w:p w:rsidR="000C39D1" w:rsidRPr="00132E65" w:rsidRDefault="000C39D1" w:rsidP="000C39D1">
      <w:pPr>
        <w:pStyle w:val="libFootnote0"/>
        <w:rPr>
          <w:rtl/>
          <w:lang w:bidi="fa-IR"/>
        </w:rPr>
      </w:pPr>
      <w:r>
        <w:rPr>
          <w:rtl/>
        </w:rPr>
        <w:t>(2).</w:t>
      </w:r>
      <w:r w:rsidRPr="00132E65">
        <w:rPr>
          <w:rtl/>
        </w:rPr>
        <w:t xml:space="preserve"> في « ب ، ض ، بح ، بر » </w:t>
      </w:r>
      <w:r w:rsidRPr="00306948">
        <w:rPr>
          <w:rStyle w:val="libFootnoteBoldChar"/>
          <w:rtl/>
        </w:rPr>
        <w:t>وشرح المازندراني</w:t>
      </w:r>
      <w:r w:rsidRPr="00132E65">
        <w:rPr>
          <w:rtl/>
        </w:rPr>
        <w:t xml:space="preserve"> و</w:t>
      </w:r>
      <w:r w:rsidRPr="009D1ACE">
        <w:rPr>
          <w:rStyle w:val="libFootnoteBoldChar"/>
          <w:rtl/>
        </w:rPr>
        <w:t>مرآة العقول</w:t>
      </w:r>
      <w:r w:rsidRPr="00132E65">
        <w:rPr>
          <w:rtl/>
        </w:rPr>
        <w:t xml:space="preserve"> </w:t>
      </w:r>
      <w:r w:rsidRPr="00306948">
        <w:rPr>
          <w:rStyle w:val="libFootnoteBoldChar"/>
          <w:rtl/>
        </w:rPr>
        <w:t>والبحار</w:t>
      </w:r>
      <w:r w:rsidRPr="00132E65">
        <w:rPr>
          <w:rtl/>
        </w:rPr>
        <w:t xml:space="preserve"> : « ما لا يعلم » بدل « ما يعلم » ، أي لا يعلم الرجل مكانه وموضعَ غيبته.</w:t>
      </w:r>
    </w:p>
    <w:p w:rsidR="000C39D1" w:rsidRPr="00132E65" w:rsidRDefault="000C39D1" w:rsidP="000C39D1">
      <w:pPr>
        <w:pStyle w:val="libFootnote0"/>
        <w:rPr>
          <w:rtl/>
          <w:lang w:bidi="fa-IR"/>
        </w:rPr>
      </w:pPr>
      <w:r>
        <w:rPr>
          <w:rtl/>
        </w:rPr>
        <w:t>(3).</w:t>
      </w:r>
      <w:r w:rsidRPr="00132E65">
        <w:rPr>
          <w:rtl/>
        </w:rPr>
        <w:t xml:space="preserve"> « أشفى على الشي » أي أشرف عليه. </w:t>
      </w:r>
      <w:r w:rsidRPr="00306948">
        <w:rPr>
          <w:rStyle w:val="libFootnoteBoldChar"/>
          <w:rtl/>
        </w:rPr>
        <w:t>الصحاح</w:t>
      </w:r>
      <w:r w:rsidRPr="00132E65">
        <w:rPr>
          <w:rtl/>
        </w:rPr>
        <w:t xml:space="preserve"> ، ج 6 ، ص 2394 ( شفى )</w:t>
      </w:r>
      <w:r>
        <w:rPr>
          <w:rtl/>
        </w:rPr>
        <w:t>.</w:t>
      </w:r>
    </w:p>
    <w:tbl>
      <w:tblPr>
        <w:tblStyle w:val="TableGrid"/>
        <w:bidiVisual/>
        <w:tblW w:w="0" w:type="auto"/>
        <w:tblLook w:val="04A0" w:firstRow="1" w:lastRow="0" w:firstColumn="1" w:lastColumn="0" w:noHBand="0" w:noVBand="1"/>
      </w:tblPr>
      <w:tblGrid>
        <w:gridCol w:w="4006"/>
        <w:gridCol w:w="4006"/>
      </w:tblGrid>
      <w:tr w:rsidR="00306948" w:rsidTr="00306948">
        <w:tc>
          <w:tcPr>
            <w:tcW w:w="4006" w:type="dxa"/>
          </w:tcPr>
          <w:p w:rsidR="00306948" w:rsidRDefault="00306948" w:rsidP="000C39D1">
            <w:pPr>
              <w:pStyle w:val="libFootnote0"/>
              <w:rPr>
                <w:rtl/>
              </w:rPr>
            </w:pPr>
            <w:r>
              <w:rPr>
                <w:rtl/>
              </w:rPr>
              <w:t>(4).</w:t>
            </w:r>
            <w:r w:rsidRPr="00132E65">
              <w:rPr>
                <w:rtl/>
              </w:rPr>
              <w:t xml:space="preserve"> في شرح المازندراني </w:t>
            </w:r>
            <w:r>
              <w:rPr>
                <w:rtl/>
              </w:rPr>
              <w:t xml:space="preserve">: - </w:t>
            </w:r>
            <w:r w:rsidRPr="00132E65">
              <w:rPr>
                <w:rtl/>
              </w:rPr>
              <w:t>« قد »</w:t>
            </w:r>
            <w:r>
              <w:rPr>
                <w:rtl/>
              </w:rPr>
              <w:t>.</w:t>
            </w:r>
          </w:p>
        </w:tc>
        <w:tc>
          <w:tcPr>
            <w:tcW w:w="4006" w:type="dxa"/>
          </w:tcPr>
          <w:p w:rsidR="00306948" w:rsidRDefault="00306948" w:rsidP="000C39D1">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 « عن »</w:t>
            </w:r>
            <w:r>
              <w:rPr>
                <w:rtl/>
              </w:rPr>
              <w:t>.</w:t>
            </w:r>
          </w:p>
        </w:tc>
      </w:tr>
    </w:tbl>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673 ، ح 1278 ؛ </w:t>
      </w:r>
      <w:r w:rsidRPr="00306948">
        <w:rPr>
          <w:rStyle w:val="libFootnoteBoldChar"/>
          <w:rtl/>
        </w:rPr>
        <w:t>البحار</w:t>
      </w:r>
      <w:r w:rsidRPr="00132E65">
        <w:rPr>
          <w:rtl/>
        </w:rPr>
        <w:t xml:space="preserve"> ، ج 48 ، ص 303 ؛ وج 49 ، ص 232 ، ح 18.</w:t>
      </w:r>
    </w:p>
    <w:tbl>
      <w:tblPr>
        <w:tblStyle w:val="TableGrid"/>
        <w:bidiVisual/>
        <w:tblW w:w="0" w:type="auto"/>
        <w:tblLook w:val="04A0" w:firstRow="1" w:lastRow="0" w:firstColumn="1" w:lastColumn="0" w:noHBand="0" w:noVBand="1"/>
      </w:tblPr>
      <w:tblGrid>
        <w:gridCol w:w="4006"/>
        <w:gridCol w:w="4006"/>
      </w:tblGrid>
      <w:tr w:rsidR="00306948" w:rsidTr="00306948">
        <w:tc>
          <w:tcPr>
            <w:tcW w:w="4006" w:type="dxa"/>
          </w:tcPr>
          <w:p w:rsidR="00306948" w:rsidRDefault="00306948" w:rsidP="000C39D1">
            <w:pPr>
              <w:pStyle w:val="libFootnote0"/>
              <w:rPr>
                <w:rtl/>
              </w:rPr>
            </w:pPr>
            <w:r>
              <w:rPr>
                <w:rtl/>
              </w:rPr>
              <w:t>(7).</w:t>
            </w:r>
            <w:r w:rsidRPr="00132E65">
              <w:rPr>
                <w:rtl/>
              </w:rPr>
              <w:t xml:space="preserve"> في حاشية « ج » :</w:t>
            </w:r>
            <w:r>
              <w:rPr>
                <w:rtl/>
              </w:rPr>
              <w:t xml:space="preserve"> + </w:t>
            </w:r>
            <w:r w:rsidRPr="00132E65">
              <w:rPr>
                <w:rtl/>
              </w:rPr>
              <w:t>« الرضا »</w:t>
            </w:r>
            <w:r>
              <w:rPr>
                <w:rtl/>
              </w:rPr>
              <w:t>.</w:t>
            </w:r>
          </w:p>
        </w:tc>
        <w:tc>
          <w:tcPr>
            <w:tcW w:w="4006" w:type="dxa"/>
          </w:tcPr>
          <w:p w:rsidR="00306948" w:rsidRDefault="00306948" w:rsidP="000C39D1">
            <w:pPr>
              <w:pStyle w:val="libFootnote0"/>
              <w:rPr>
                <w:rtl/>
              </w:rPr>
            </w:pPr>
            <w:r>
              <w:rPr>
                <w:rtl/>
              </w:rPr>
              <w:t>(8).</w:t>
            </w:r>
            <w:r w:rsidRPr="00132E65">
              <w:rPr>
                <w:rtl/>
              </w:rPr>
              <w:t xml:space="preserve"> في حاشية « ج » :</w:t>
            </w:r>
            <w:r>
              <w:rPr>
                <w:rtl/>
              </w:rPr>
              <w:t xml:space="preserve"> + </w:t>
            </w:r>
            <w:r w:rsidRPr="00132E65">
              <w:rPr>
                <w:rtl/>
              </w:rPr>
              <w:t>« موسى »</w:t>
            </w:r>
            <w:r>
              <w:rPr>
                <w:rtl/>
              </w:rPr>
              <w:t>.</w:t>
            </w:r>
          </w:p>
        </w:tc>
      </w:tr>
    </w:tbl>
    <w:p w:rsidR="000C39D1" w:rsidRPr="00132E65" w:rsidRDefault="000C39D1" w:rsidP="000C39D1">
      <w:pPr>
        <w:pStyle w:val="libFootnote0"/>
        <w:rPr>
          <w:rtl/>
          <w:lang w:bidi="fa-IR"/>
        </w:rPr>
      </w:pPr>
      <w:r>
        <w:rPr>
          <w:rtl/>
        </w:rPr>
        <w:t>(9).</w:t>
      </w:r>
      <w:r w:rsidRPr="00132E65">
        <w:rPr>
          <w:rtl/>
        </w:rPr>
        <w:t xml:space="preserve"> في « ف » :</w:t>
      </w:r>
      <w:r>
        <w:rPr>
          <w:rtl/>
        </w:rPr>
        <w:t xml:space="preserve"> + </w:t>
      </w:r>
      <w:r w:rsidRPr="00132E65">
        <w:rPr>
          <w:rtl/>
        </w:rPr>
        <w:t>« إنّك »</w:t>
      </w:r>
      <w:r>
        <w:rPr>
          <w:rtl/>
        </w:rPr>
        <w:t>.</w:t>
      </w:r>
    </w:p>
    <w:p w:rsidR="000C39D1" w:rsidRPr="00132E65" w:rsidRDefault="000C39D1" w:rsidP="000C39D1">
      <w:pPr>
        <w:pStyle w:val="libFootnote0"/>
        <w:rPr>
          <w:rtl/>
          <w:lang w:bidi="fa-IR"/>
        </w:rPr>
      </w:pPr>
      <w:r>
        <w:rPr>
          <w:rtl/>
        </w:rPr>
        <w:t>(10).</w:t>
      </w:r>
      <w:r w:rsidRPr="00132E65">
        <w:rPr>
          <w:rtl/>
        </w:rPr>
        <w:t xml:space="preserve"> احتمل المازندراني في الكلام الاستفهام والإخبار ، وقال : « يحتمل الاستفهام والإخبار وأن يكون القائل واقفياً في صدد الإنكار والتمسّك بأنّ قول سعيد لايفيد العلم. وسعيد قيل : هو خادم أبي الحسن </w:t>
      </w:r>
      <w:r w:rsidRPr="00306948">
        <w:rPr>
          <w:rStyle w:val="libFootnoteAlaemChar"/>
          <w:rtl/>
        </w:rPr>
        <w:t>عليه‌السلام</w:t>
      </w:r>
      <w:r w:rsidRPr="00132E65">
        <w:rPr>
          <w:rtl/>
        </w:rPr>
        <w:t xml:space="preserve"> »</w:t>
      </w:r>
      <w:r>
        <w:rPr>
          <w:rtl/>
        </w:rPr>
        <w:t>.</w:t>
      </w:r>
      <w:r w:rsidRPr="00132E65">
        <w:rPr>
          <w:rtl/>
        </w:rPr>
        <w:t xml:space="preserve"> وفي </w:t>
      </w:r>
      <w:r w:rsidRPr="009D1ACE">
        <w:rPr>
          <w:rStyle w:val="libFootnoteBoldChar"/>
          <w:rtl/>
        </w:rPr>
        <w:t>الوافي</w:t>
      </w:r>
      <w:r w:rsidRPr="00132E65">
        <w:rPr>
          <w:rtl/>
        </w:rPr>
        <w:t xml:space="preserve"> : « سعيد هذا هو الناعي بموته إلى المدينة من بغداد »</w:t>
      </w:r>
      <w:r>
        <w:rPr>
          <w:rtl/>
        </w:rPr>
        <w:t>.</w:t>
      </w:r>
    </w:p>
    <w:p w:rsidR="000C39D1" w:rsidRPr="00132E65" w:rsidRDefault="000C39D1" w:rsidP="000C39D1">
      <w:pPr>
        <w:pStyle w:val="libFootnote0"/>
        <w:rPr>
          <w:rtl/>
          <w:lang w:bidi="fa-IR"/>
        </w:rPr>
      </w:pPr>
      <w:r>
        <w:rPr>
          <w:rtl/>
        </w:rPr>
        <w:t>(11).</w:t>
      </w:r>
      <w:r w:rsidRPr="00132E65">
        <w:rPr>
          <w:rtl/>
        </w:rPr>
        <w:t xml:space="preserve"> في « ب » : « وقال »</w:t>
      </w:r>
      <w:r>
        <w:rPr>
          <w:rtl/>
        </w:rPr>
        <w:t>.</w:t>
      </w:r>
    </w:p>
    <w:p w:rsidR="000C39D1" w:rsidRPr="00132E65" w:rsidRDefault="000C39D1" w:rsidP="00936037">
      <w:pPr>
        <w:pStyle w:val="libFootnote0"/>
        <w:rPr>
          <w:rtl/>
          <w:lang w:bidi="fa-IR"/>
        </w:rPr>
      </w:pPr>
      <w:r>
        <w:rPr>
          <w:rtl/>
        </w:rPr>
        <w:t>(12).</w:t>
      </w:r>
      <w:r w:rsidRPr="00132E65">
        <w:rPr>
          <w:rtl/>
        </w:rPr>
        <w:t xml:space="preserve"> في « ف » : « ابنة »</w:t>
      </w:r>
      <w:r>
        <w:rPr>
          <w:rtl/>
        </w:rPr>
        <w:t>.</w:t>
      </w:r>
      <w:r w:rsidRPr="00132E65">
        <w:rPr>
          <w:rtl/>
        </w:rPr>
        <w:t xml:space="preserve"> وفي </w:t>
      </w:r>
      <w:r w:rsidRPr="009D1ACE">
        <w:rPr>
          <w:rStyle w:val="libFootnoteBoldChar"/>
          <w:rtl/>
        </w:rPr>
        <w:t>الوافي</w:t>
      </w:r>
      <w:r w:rsidRPr="00132E65">
        <w:rPr>
          <w:rtl/>
        </w:rPr>
        <w:t xml:space="preserve"> : « ا</w:t>
      </w:r>
      <w:r w:rsidR="00306948">
        <w:rPr>
          <w:rFonts w:hint="cs"/>
          <w:rtl/>
        </w:rPr>
        <w:t>ُ</w:t>
      </w:r>
      <w:r w:rsidRPr="00132E65">
        <w:rPr>
          <w:rtl/>
        </w:rPr>
        <w:t xml:space="preserve">مّ فروة هي إحدى نساء الكاظم </w:t>
      </w:r>
      <w:r w:rsidR="00936037" w:rsidRPr="00306948">
        <w:rPr>
          <w:rStyle w:val="libFootnoteAlaemChar"/>
          <w:rtl/>
        </w:rPr>
        <w:t>عليه‌السلام</w:t>
      </w:r>
      <w:r w:rsidRPr="00132E65">
        <w:rPr>
          <w:rtl/>
        </w:rPr>
        <w:t xml:space="preserve">. ولعلّ الرضا </w:t>
      </w:r>
      <w:r w:rsidRPr="00306948">
        <w:rPr>
          <w:rStyle w:val="libFootnoteAlaemChar"/>
          <w:rtl/>
        </w:rPr>
        <w:t>عليه‌السلام</w:t>
      </w:r>
      <w:r w:rsidRPr="00132E65">
        <w:rPr>
          <w:rtl/>
        </w:rPr>
        <w:t xml:space="preserve"> كان وكيلاً في طلاقها من </w:t>
      </w:r>
      <w:r w:rsidR="00306948">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الْحَسَنِ بِيَوْمٍ »</w:t>
      </w:r>
      <w:r>
        <w:rPr>
          <w:rtl/>
          <w:lang w:bidi="fa-IR"/>
        </w:rPr>
        <w:t>.</w:t>
      </w:r>
      <w:r w:rsidRPr="00132E65">
        <w:rPr>
          <w:rtl/>
          <w:lang w:bidi="fa-IR"/>
        </w:rPr>
        <w:t xml:space="preserve"> قُلْتُ : طَلَّقْتَهَا </w:t>
      </w:r>
      <w:r>
        <w:rPr>
          <w:rStyle w:val="libFootnotenumChar"/>
          <w:rtl/>
        </w:rPr>
        <w:t>(1)</w:t>
      </w:r>
      <w:r w:rsidRPr="00132E65">
        <w:rPr>
          <w:rtl/>
          <w:lang w:bidi="fa-IR"/>
        </w:rPr>
        <w:t xml:space="preserve"> و</w:t>
      </w:r>
      <w:r w:rsidR="00F3489A">
        <w:rPr>
          <w:rFonts w:hint="cs"/>
          <w:rtl/>
          <w:lang w:bidi="fa-IR"/>
        </w:rPr>
        <w:t>َ</w:t>
      </w:r>
      <w:r w:rsidRPr="00132E65">
        <w:rPr>
          <w:rtl/>
          <w:lang w:bidi="fa-IR"/>
        </w:rPr>
        <w:t>قَدْ عَلِمْتَ بِمَوْتِ أَبِي الْحَسَنِ</w:t>
      </w:r>
      <w:r>
        <w:rPr>
          <w:rtl/>
          <w:lang w:bidi="fa-IR"/>
        </w:rPr>
        <w:t>؟</w:t>
      </w:r>
      <w:r w:rsidRPr="00132E65">
        <w:rPr>
          <w:rtl/>
          <w:lang w:bidi="fa-IR"/>
        </w:rPr>
        <w:t xml:space="preserve"> قَالَ : « نَعَمْ </w:t>
      </w:r>
      <w:r>
        <w:rPr>
          <w:rStyle w:val="libFootnotenumChar"/>
          <w:rtl/>
        </w:rPr>
        <w:t>(2)</w:t>
      </w:r>
      <w:r w:rsidRPr="00132E65">
        <w:rPr>
          <w:rtl/>
          <w:lang w:bidi="fa-IR"/>
        </w:rPr>
        <w:t xml:space="preserve"> »</w:t>
      </w:r>
      <w:r>
        <w:rPr>
          <w:rtl/>
          <w:lang w:bidi="fa-IR"/>
        </w:rPr>
        <w:t>.</w:t>
      </w:r>
      <w:r w:rsidRPr="00132E65">
        <w:rPr>
          <w:rtl/>
          <w:lang w:bidi="fa-IR"/>
        </w:rPr>
        <w:t xml:space="preserve"> قُلْتُ :</w:t>
      </w:r>
      <w:r>
        <w:rPr>
          <w:rFonts w:hint="cs"/>
          <w:rtl/>
          <w:lang w:bidi="fa-IR"/>
        </w:rPr>
        <w:t xml:space="preserve"> </w:t>
      </w:r>
      <w:r w:rsidRPr="00132E65">
        <w:rPr>
          <w:rtl/>
          <w:lang w:bidi="fa-IR"/>
        </w:rPr>
        <w:t>قَبْلَ أَنْ يَقْدَمَ عَلَيْكَ سَعِيدٌ</w:t>
      </w:r>
      <w:r>
        <w:rPr>
          <w:rtl/>
          <w:lang w:bidi="fa-IR"/>
        </w:rPr>
        <w:t>؟</w:t>
      </w:r>
      <w:r w:rsidRPr="00132E65">
        <w:rPr>
          <w:rtl/>
          <w:lang w:bidi="fa-IR"/>
        </w:rPr>
        <w:t xml:space="preserve"> قَالَ : « نَعَمْ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BB3FFF">
        <w:rPr>
          <w:rtl/>
        </w:rPr>
        <w:t>992</w:t>
      </w:r>
      <w:r w:rsidRPr="004325D8">
        <w:rPr>
          <w:rStyle w:val="libBold2Char"/>
          <w:rtl/>
        </w:rPr>
        <w:t xml:space="preserve"> / 4.</w:t>
      </w:r>
      <w:r w:rsidRPr="00132E65">
        <w:rPr>
          <w:rtl/>
          <w:lang w:bidi="fa-IR"/>
        </w:rPr>
        <w:t xml:space="preserve"> مُحَمَّدُ بْنُ يَحْيى ، عَنْ مُحَمَّدِ بْنِ الْحُسَيْنِ ، عَنْ صَفْوَانَ ، قَالَ :</w:t>
      </w:r>
    </w:p>
    <w:p w:rsidR="000C39D1" w:rsidRPr="00132E65" w:rsidRDefault="000C39D1" w:rsidP="000C39D1">
      <w:pPr>
        <w:pStyle w:val="libNormal"/>
        <w:rPr>
          <w:rtl/>
          <w:lang w:bidi="fa-IR"/>
        </w:rPr>
      </w:pPr>
      <w:r w:rsidRPr="00132E65">
        <w:rPr>
          <w:rtl/>
          <w:lang w:bidi="fa-IR"/>
        </w:rPr>
        <w:t xml:space="preserve">قُلْتُ لِلرِّضَا </w:t>
      </w:r>
      <w:r w:rsidRPr="00071CF9">
        <w:rPr>
          <w:rStyle w:val="libAlaemChar"/>
          <w:rtl/>
        </w:rPr>
        <w:t>عليه‌السلام</w:t>
      </w:r>
      <w:r w:rsidRPr="00132E65">
        <w:rPr>
          <w:rtl/>
          <w:lang w:bidi="fa-IR"/>
        </w:rPr>
        <w:t xml:space="preserve"> : أَخْبِرْنِي عَنِ الْإِمَامِ ، مَتى يَعْلَمُ أَنَّهُ إِمَامٌ ، حِينَ يَبْلُغُهُ أَنَّ صَاحِبَهُ قَدْ مَضى ، أَوْ حِينَ يَمْضِي ، مِثْلَ </w:t>
      </w:r>
      <w:r>
        <w:rPr>
          <w:rStyle w:val="libFootnotenumChar"/>
          <w:rtl/>
        </w:rPr>
        <w:t>(4)</w:t>
      </w:r>
      <w:r w:rsidRPr="00132E65">
        <w:rPr>
          <w:rtl/>
          <w:lang w:bidi="fa-IR"/>
        </w:rPr>
        <w:t xml:space="preserve"> أَبِي الْحَسَنِ </w:t>
      </w:r>
      <w:r w:rsidRPr="00071CF9">
        <w:rPr>
          <w:rStyle w:val="libAlaemChar"/>
          <w:rtl/>
        </w:rPr>
        <w:t>عليه‌السلام</w:t>
      </w:r>
      <w:r w:rsidRPr="00132E65">
        <w:rPr>
          <w:rtl/>
          <w:lang w:bidi="fa-IR"/>
        </w:rPr>
        <w:t xml:space="preserve"> قُبِضَ بِبَغْدَادَ وأَنْتَ هَاهُنَا</w:t>
      </w:r>
      <w:r>
        <w:rPr>
          <w:rtl/>
          <w:lang w:bidi="fa-IR"/>
        </w:rPr>
        <w:t>؟</w:t>
      </w:r>
    </w:p>
    <w:p w:rsidR="000C39D1" w:rsidRPr="00132E65" w:rsidRDefault="000C39D1" w:rsidP="000C39D1">
      <w:pPr>
        <w:pStyle w:val="libNormal"/>
        <w:rPr>
          <w:rtl/>
          <w:lang w:bidi="fa-IR"/>
        </w:rPr>
      </w:pPr>
      <w:r w:rsidRPr="00132E65">
        <w:rPr>
          <w:rtl/>
          <w:lang w:bidi="fa-IR"/>
        </w:rPr>
        <w:t>قَالَ : « يَعْلَمُ ذلِكَ حِينَ يَمْضِي صَاحِبُهُ »</w:t>
      </w:r>
      <w:r>
        <w:rPr>
          <w:rtl/>
          <w:lang w:bidi="fa-IR"/>
        </w:rPr>
        <w:t>.</w:t>
      </w:r>
      <w:r w:rsidRPr="00132E65">
        <w:rPr>
          <w:rtl/>
          <w:lang w:bidi="fa-IR"/>
        </w:rPr>
        <w:t xml:space="preserve"> قُلْتُ : بِأَيِّ شَيْ‌ءٍ</w:t>
      </w:r>
      <w:r>
        <w:rPr>
          <w:rtl/>
          <w:lang w:bidi="fa-IR"/>
        </w:rPr>
        <w:t>؟</w:t>
      </w:r>
      <w:r w:rsidRPr="00132E65">
        <w:rPr>
          <w:rtl/>
          <w:lang w:bidi="fa-IR"/>
        </w:rPr>
        <w:t xml:space="preserve"> قَالَ : « يُلْهِمُهُ اللهُ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BB3FFF">
        <w:rPr>
          <w:rtl/>
        </w:rPr>
        <w:t>993</w:t>
      </w:r>
      <w:r w:rsidRPr="004325D8">
        <w:rPr>
          <w:rStyle w:val="libBold2Char"/>
          <w:rtl/>
        </w:rPr>
        <w:t xml:space="preserve"> / 5.</w:t>
      </w:r>
      <w:r w:rsidRPr="00132E65">
        <w:rPr>
          <w:rtl/>
          <w:lang w:bidi="fa-IR"/>
        </w:rPr>
        <w:t xml:space="preserve"> عَلِيُّ بْنُ إِبْرَاهِيمَ ، عَنْ مُحَمَّدِ بْنِ عِيسى ، عَنْ أَبِي الْفَضْلِ الشَّهْبَانِيِّ </w:t>
      </w:r>
      <w:r>
        <w:rPr>
          <w:rStyle w:val="libFootnotenumChar"/>
          <w:rtl/>
        </w:rPr>
        <w:t>(7)</w:t>
      </w:r>
      <w:r w:rsidRPr="00132E65">
        <w:rPr>
          <w:rtl/>
          <w:lang w:bidi="fa-IR"/>
        </w:rPr>
        <w:t xml:space="preserve"> ، عَنْ‌</w:t>
      </w:r>
    </w:p>
    <w:p w:rsidR="000C39D1" w:rsidRPr="00132E65" w:rsidRDefault="000C39D1" w:rsidP="000C39D1">
      <w:pPr>
        <w:pStyle w:val="libLine"/>
        <w:rPr>
          <w:rtl/>
          <w:lang w:bidi="fa-IR"/>
        </w:rPr>
      </w:pPr>
      <w:r w:rsidRPr="00132E65">
        <w:rPr>
          <w:rtl/>
          <w:lang w:bidi="fa-IR"/>
        </w:rPr>
        <w:t>__________________</w:t>
      </w:r>
    </w:p>
    <w:p w:rsidR="000C39D1" w:rsidRPr="00132E65" w:rsidRDefault="00F3489A" w:rsidP="00936037">
      <w:pPr>
        <w:pStyle w:val="libFootnote0"/>
        <w:rPr>
          <w:rtl/>
          <w:lang w:bidi="fa-IR"/>
        </w:rPr>
      </w:pPr>
      <w:r>
        <w:rPr>
          <w:rFonts w:hint="cs"/>
          <w:rtl/>
        </w:rPr>
        <w:t xml:space="preserve">= </w:t>
      </w:r>
      <w:r w:rsidR="000C39D1" w:rsidRPr="00132E65">
        <w:rPr>
          <w:rtl/>
        </w:rPr>
        <w:t xml:space="preserve">قبل أبيه </w:t>
      </w:r>
      <w:r w:rsidR="000C39D1" w:rsidRPr="00F3489A">
        <w:rPr>
          <w:rStyle w:val="libFootnoteAlaemChar"/>
          <w:rtl/>
        </w:rPr>
        <w:t>عليه‌السلام</w:t>
      </w:r>
      <w:r w:rsidR="000C39D1" w:rsidRPr="00132E65">
        <w:rPr>
          <w:rtl/>
        </w:rPr>
        <w:t xml:space="preserve">. وقد مضى أنّه فوّض أمر نسائه إليه صلوات الله عليه ، وإنّما جاز له </w:t>
      </w:r>
      <w:r w:rsidR="000C39D1" w:rsidRPr="00F3489A">
        <w:rPr>
          <w:rStyle w:val="libFootnoteAlaemChar"/>
          <w:rtl/>
        </w:rPr>
        <w:t>عليه‌السلام</w:t>
      </w:r>
      <w:r w:rsidR="000C39D1" w:rsidRPr="00132E65">
        <w:rPr>
          <w:rtl/>
        </w:rPr>
        <w:t xml:space="preserve"> طلاقها بعدُ موت أبيه ؛ لأنّ أحكام الشريعة تجري على ظاهر الأمر ، دون باطنه ، وموت أبيه </w:t>
      </w:r>
      <w:r w:rsidR="00936037" w:rsidRPr="00306948">
        <w:rPr>
          <w:rStyle w:val="libFootnoteAlaemChar"/>
          <w:rtl/>
        </w:rPr>
        <w:t>عليه‌السلام</w:t>
      </w:r>
      <w:r w:rsidR="00936037" w:rsidRPr="00132E65">
        <w:rPr>
          <w:rtl/>
        </w:rPr>
        <w:t xml:space="preserve"> </w:t>
      </w:r>
      <w:r w:rsidR="000C39D1" w:rsidRPr="00132E65">
        <w:rPr>
          <w:rtl/>
        </w:rPr>
        <w:t xml:space="preserve">كان لم يتحقّق بعد للناس في ظاهر الأمر هناك ، وإنّما علمه </w:t>
      </w:r>
      <w:r w:rsidR="000C39D1" w:rsidRPr="00F3489A">
        <w:rPr>
          <w:rStyle w:val="libFootnoteAlaemChar"/>
          <w:rtl/>
        </w:rPr>
        <w:t>عليه‌السلام</w:t>
      </w:r>
      <w:r w:rsidR="000C39D1" w:rsidRPr="00132E65">
        <w:rPr>
          <w:rtl/>
        </w:rPr>
        <w:t xml:space="preserve"> بنحو آخر غير النعي المعهود. إن قيل : ما فائدة مثل هذا الطلاق الذي يجي‌ء بعده ما يكشف عن عدم صحّته</w:t>
      </w:r>
      <w:r w:rsidR="000C39D1">
        <w:rPr>
          <w:rtl/>
        </w:rPr>
        <w:t>؟</w:t>
      </w:r>
      <w:r w:rsidR="000C39D1" w:rsidRPr="00132E65">
        <w:rPr>
          <w:rtl/>
        </w:rPr>
        <w:t xml:space="preserve"> قلنا : أمرهم </w:t>
      </w:r>
      <w:r w:rsidR="000C39D1" w:rsidRPr="00F3489A">
        <w:rPr>
          <w:rStyle w:val="libFootnoteAlaemChar"/>
          <w:rtl/>
        </w:rPr>
        <w:t>عليهم‌السلام</w:t>
      </w:r>
      <w:r w:rsidR="000C39D1" w:rsidRPr="00132E65">
        <w:rPr>
          <w:rtl/>
        </w:rPr>
        <w:t xml:space="preserve"> أرفع من أن تناله عقولنا ، فلعلّهم رأوا فيه مصلحة لانعلمها »</w:t>
      </w:r>
      <w:r w:rsidR="000C39D1">
        <w:rPr>
          <w:rtl/>
        </w:rPr>
        <w:t>.</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ج 4 ، ص 240 : « وربّما يقرأ : « طلّعتها » بالعين المهملة على بناء التفعيل ، أي أطلعتهاوأخبرتها. وهذا مخالف للمضبوط في النسخ »</w:t>
      </w:r>
      <w:r>
        <w:rPr>
          <w:rtl/>
        </w:rPr>
        <w:t>.</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467 ، ح 4 ، من قوله : « طلّقت ا</w:t>
      </w:r>
      <w:r w:rsidR="00F3489A">
        <w:rPr>
          <w:rFonts w:hint="cs"/>
          <w:rtl/>
        </w:rPr>
        <w:t>ُ</w:t>
      </w:r>
      <w:r w:rsidRPr="00132E65">
        <w:rPr>
          <w:rtl/>
        </w:rPr>
        <w:t xml:space="preserve">مّ فروة بنت إسحاق » ؛ وفيه ، ح 6 ، إلى قوله : « علمت به قبل مجيئه » وفيهما بسند آخر ، مع اختلاف يسير </w:t>
      </w:r>
      <w:r w:rsidR="00F3489A">
        <w:rPr>
          <w:rFonts w:hint="cs"/>
          <w:rtl/>
        </w:rPr>
        <w:t>.</w:t>
      </w:r>
      <w:r w:rsidRPr="009D1ACE">
        <w:rPr>
          <w:rStyle w:val="libFootnoteBoldChar"/>
          <w:rtl/>
        </w:rPr>
        <w:t>الوافي</w:t>
      </w:r>
      <w:r w:rsidRPr="00132E65">
        <w:rPr>
          <w:rtl/>
        </w:rPr>
        <w:t xml:space="preserve"> ، ج 3 ، ص 662 ، ح 1265 ؛ </w:t>
      </w:r>
      <w:r w:rsidRPr="00F3489A">
        <w:rPr>
          <w:rStyle w:val="libFootnoteBoldChar"/>
          <w:rtl/>
        </w:rPr>
        <w:t>البحار</w:t>
      </w:r>
      <w:r w:rsidRPr="00132E65">
        <w:rPr>
          <w:rtl/>
        </w:rPr>
        <w:t xml:space="preserve"> ، ج 27 ، ص 293 ، ح 6.</w:t>
      </w:r>
    </w:p>
    <w:p w:rsidR="000C39D1" w:rsidRPr="00132E65" w:rsidRDefault="000C39D1" w:rsidP="00F3489A">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ومثل ، مرفوع خبر مبتدأ محذوف ، أي موضع المسألة مثل هذه الواقعة ، أو منصوب بنيابة المفعول المطلق ، أي مثل مضيّ أبي الحسن »</w:t>
      </w:r>
      <w:r>
        <w:rPr>
          <w:rtl/>
        </w:rPr>
        <w:t>.</w:t>
      </w:r>
      <w:r w:rsidR="00F3489A">
        <w:rPr>
          <w:rFonts w:hint="cs"/>
          <w:rtl/>
        </w:rPr>
        <w:t xml:space="preserve">                   </w:t>
      </w:r>
      <w:r>
        <w:rPr>
          <w:rtl/>
        </w:rPr>
        <w:t>(5).</w:t>
      </w:r>
      <w:r w:rsidRPr="00132E65">
        <w:rPr>
          <w:rtl/>
        </w:rPr>
        <w:t xml:space="preserve"> في البصائر :</w:t>
      </w:r>
      <w:r>
        <w:rPr>
          <w:rtl/>
        </w:rPr>
        <w:t xml:space="preserve"> + </w:t>
      </w:r>
      <w:r w:rsidRPr="00132E65">
        <w:rPr>
          <w:rtl/>
        </w:rPr>
        <w:t>« ذلك »</w:t>
      </w:r>
      <w:r>
        <w:rPr>
          <w:rtl/>
        </w:rPr>
        <w:t>.</w:t>
      </w:r>
    </w:p>
    <w:p w:rsidR="000C39D1" w:rsidRPr="00132E65" w:rsidRDefault="000C39D1" w:rsidP="000C39D1">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466 ، ح 1 ، عن محمّد بن الحسين ، عن صفوان بن يحيى </w:t>
      </w:r>
      <w:r w:rsidR="00F3489A">
        <w:rPr>
          <w:rFonts w:hint="cs"/>
          <w:rtl/>
        </w:rPr>
        <w:t>.</w:t>
      </w:r>
      <w:r w:rsidRPr="009D1ACE">
        <w:rPr>
          <w:rStyle w:val="libFootnoteBoldChar"/>
          <w:rtl/>
        </w:rPr>
        <w:t>الوافي</w:t>
      </w:r>
      <w:r w:rsidRPr="00132E65">
        <w:rPr>
          <w:rtl/>
        </w:rPr>
        <w:t xml:space="preserve"> ، ج 3 ، ص 662 ، ح 1264 ؛ </w:t>
      </w:r>
      <w:r w:rsidRPr="00F3489A">
        <w:rPr>
          <w:rStyle w:val="libFootnoteBoldChar"/>
          <w:rtl/>
        </w:rPr>
        <w:t>البحار</w:t>
      </w:r>
      <w:r w:rsidRPr="00132E65">
        <w:rPr>
          <w:rtl/>
        </w:rPr>
        <w:t xml:space="preserve"> ، ج 48 ، ص 247 ، ح 55.</w:t>
      </w:r>
    </w:p>
    <w:p w:rsidR="000C39D1" w:rsidRPr="00F3489A" w:rsidRDefault="000C39D1" w:rsidP="00F3489A">
      <w:pPr>
        <w:pStyle w:val="libFootnote0"/>
        <w:rPr>
          <w:rtl/>
        </w:rPr>
      </w:pPr>
      <w:r w:rsidRPr="00F3489A">
        <w:rPr>
          <w:rtl/>
        </w:rPr>
        <w:t>(7). في « ألف ، ب ، ج ، بح ، بس ، بف » : « الميشائي ». وفي « ض » : « المنشائي ». وفي « ف » « النشائي ». وفي « و » : « الميشاني ». وفي « بر » وحاشية « و، بر ، بس ، بف » كما في المتن.</w:t>
      </w:r>
    </w:p>
    <w:p w:rsidR="000C39D1" w:rsidRPr="00F3489A" w:rsidRDefault="000C39D1" w:rsidP="00F3489A">
      <w:pPr>
        <w:pStyle w:val="libFootnote0"/>
        <w:rPr>
          <w:rtl/>
        </w:rPr>
      </w:pPr>
      <w:r w:rsidRPr="00F3489A">
        <w:rPr>
          <w:rtl/>
        </w:rPr>
        <w:t>ولم نجد مِن هذه الألقاب - حسب تتبّعنا في الأسناد وكتب الأنساب والألقاب -</w:t>
      </w:r>
      <w:r w:rsidR="00F3489A" w:rsidRPr="00F3489A">
        <w:rPr>
          <w:rtl/>
        </w:rPr>
        <w:t xml:space="preserve"> إل</w:t>
      </w:r>
      <w:r w:rsidR="00F3489A" w:rsidRPr="00F3489A">
        <w:rPr>
          <w:rFonts w:hint="cs"/>
          <w:rtl/>
        </w:rPr>
        <w:t>ّ</w:t>
      </w:r>
      <w:r w:rsidR="00F3489A" w:rsidRPr="00F3489A">
        <w:rPr>
          <w:rtl/>
        </w:rPr>
        <w:t>ا</w:t>
      </w:r>
      <w:r w:rsidRPr="00F3489A">
        <w:rPr>
          <w:rtl/>
        </w:rPr>
        <w:t xml:space="preserve"> « النشائي ». راجع : </w:t>
      </w:r>
      <w:r w:rsidRPr="00091B3D">
        <w:rPr>
          <w:rStyle w:val="libFootnoteBoldChar"/>
          <w:rtl/>
        </w:rPr>
        <w:t>الأنساب</w:t>
      </w:r>
      <w:r w:rsidRPr="00F3489A">
        <w:rPr>
          <w:rtl/>
        </w:rPr>
        <w:t xml:space="preserve"> </w:t>
      </w:r>
      <w:r w:rsidRPr="00091B3D">
        <w:rPr>
          <w:rStyle w:val="libFootnoteBoldChar"/>
          <w:rtl/>
        </w:rPr>
        <w:t>للسمعاني</w:t>
      </w:r>
      <w:r w:rsidRPr="00F3489A">
        <w:rPr>
          <w:rtl/>
        </w:rPr>
        <w:t xml:space="preserve"> ، ج 5 ، ص 489 ؛ </w:t>
      </w:r>
      <w:r w:rsidRPr="00091B3D">
        <w:rPr>
          <w:rStyle w:val="libFootnoteBoldChar"/>
          <w:rtl/>
        </w:rPr>
        <w:t>توضيح المشتبه</w:t>
      </w:r>
      <w:r w:rsidRPr="00F3489A">
        <w:rPr>
          <w:rtl/>
        </w:rPr>
        <w:t xml:space="preserve"> ، ج 5 ، ص 18 ؛ وج 9 ، ص 71</w:t>
      </w:r>
      <w:r w:rsidRPr="00091B3D">
        <w:rPr>
          <w:rtl/>
        </w:rPr>
        <w:t>.</w:t>
      </w:r>
    </w:p>
    <w:p w:rsidR="000C39D1" w:rsidRPr="00132E65" w:rsidRDefault="000C39D1" w:rsidP="00F3489A">
      <w:pPr>
        <w:pStyle w:val="libFootnote0"/>
        <w:rPr>
          <w:rtl/>
          <w:lang w:bidi="fa-IR"/>
        </w:rPr>
      </w:pPr>
      <w:r w:rsidRPr="00F3489A">
        <w:rPr>
          <w:rtl/>
        </w:rPr>
        <w:t xml:space="preserve">فعليه يحتمل إمّا صحّة « النشائي » </w:t>
      </w:r>
      <w:r w:rsidR="00091B3D">
        <w:rPr>
          <w:rtl/>
        </w:rPr>
        <w:t>، وإمّا أن يكون الصواب هو « الم</w:t>
      </w:r>
      <w:r w:rsidR="00091B3D">
        <w:rPr>
          <w:rFonts w:hint="cs"/>
          <w:rtl/>
        </w:rPr>
        <w:t>ـَ</w:t>
      </w:r>
      <w:r w:rsidRPr="00F3489A">
        <w:rPr>
          <w:rtl/>
        </w:rPr>
        <w:t>يساني » ، وهذا وإن لم يرد في ا</w:t>
      </w:r>
      <w:r w:rsidR="00F3489A" w:rsidRPr="00F3489A">
        <w:rPr>
          <w:rtl/>
        </w:rPr>
        <w:t>لنسخ لكنّه</w:t>
      </w:r>
      <w:r w:rsidR="00F3489A" w:rsidRPr="00F3489A">
        <w:rPr>
          <w:rFonts w:hint="cs"/>
          <w:rtl/>
        </w:rPr>
        <w:t>=</w:t>
      </w:r>
    </w:p>
    <w:p w:rsidR="000C39D1" w:rsidRDefault="000C39D1" w:rsidP="000C39D1">
      <w:pPr>
        <w:pStyle w:val="libNormal0"/>
        <w:tabs>
          <w:tab w:val="left" w:pos="3968"/>
        </w:tabs>
        <w:rPr>
          <w:rtl/>
          <w:lang w:bidi="fa-IR"/>
        </w:rPr>
      </w:pPr>
      <w:r>
        <w:rPr>
          <w:rtl/>
          <w:lang w:bidi="fa-IR"/>
        </w:rPr>
        <w:br w:type="page"/>
      </w:r>
    </w:p>
    <w:p w:rsidR="000C39D1" w:rsidRPr="00CE4585" w:rsidRDefault="000C39D1" w:rsidP="000C39D1">
      <w:pPr>
        <w:pStyle w:val="libNormal0"/>
        <w:tabs>
          <w:tab w:val="left" w:pos="3968"/>
        </w:tabs>
        <w:rPr>
          <w:rtl/>
        </w:rPr>
      </w:pPr>
      <w:r w:rsidRPr="00132E65">
        <w:rPr>
          <w:rtl/>
          <w:lang w:bidi="fa-IR"/>
        </w:rPr>
        <w:t>هَارُونَ بْنِ الْفَضْلِ ، قَالَ :</w:t>
      </w:r>
    </w:p>
    <w:p w:rsidR="000C39D1" w:rsidRPr="00132E65" w:rsidRDefault="000C39D1" w:rsidP="000C39D1">
      <w:pPr>
        <w:pStyle w:val="libNormal"/>
        <w:rPr>
          <w:rtl/>
          <w:lang w:bidi="fa-IR"/>
        </w:rPr>
      </w:pPr>
      <w:r w:rsidRPr="00132E65">
        <w:rPr>
          <w:rtl/>
          <w:lang w:bidi="fa-IR"/>
        </w:rPr>
        <w:t xml:space="preserve">رَأَيْتُ أَبَا الْحَسَنِ عَلِيَّ بْنَ مُحَمَّدٍ </w:t>
      </w:r>
      <w:r w:rsidRPr="00071CF9">
        <w:rPr>
          <w:rStyle w:val="libAlaemChar"/>
          <w:rtl/>
        </w:rPr>
        <w:t>عليه‌السلام</w:t>
      </w:r>
      <w:r w:rsidRPr="00132E65">
        <w:rPr>
          <w:rtl/>
          <w:lang w:bidi="fa-IR"/>
        </w:rPr>
        <w:t xml:space="preserve"> فِي الْيَوْمِ الَّذِي تُوُفِّيَ فِيهِ أَبُو جَعْفَرٍ </w:t>
      </w:r>
      <w:r w:rsidRPr="00071CF9">
        <w:rPr>
          <w:rStyle w:val="libAlaemChar"/>
          <w:rtl/>
        </w:rPr>
        <w:t>عليه‌السلام</w:t>
      </w:r>
      <w:r w:rsidRPr="00132E65">
        <w:rPr>
          <w:rtl/>
          <w:lang w:bidi="fa-IR"/>
        </w:rPr>
        <w:t xml:space="preserve"> ، فَقَالَ :</w:t>
      </w:r>
      <w:r>
        <w:rPr>
          <w:rFonts w:hint="cs"/>
          <w:rtl/>
          <w:lang w:bidi="fa-IR"/>
        </w:rPr>
        <w:t xml:space="preserve"> </w:t>
      </w:r>
      <w:r w:rsidRPr="00071CF9">
        <w:rPr>
          <w:rStyle w:val="libAlaemChar"/>
          <w:rtl/>
        </w:rPr>
        <w:t>(</w:t>
      </w:r>
      <w:r w:rsidRPr="00071CF9">
        <w:rPr>
          <w:rStyle w:val="libAieChar"/>
          <w:rtl/>
        </w:rPr>
        <w:t xml:space="preserve"> إِنّ</w:t>
      </w:r>
      <w:r w:rsidR="00091B3D">
        <w:rPr>
          <w:rStyle w:val="libAieChar"/>
          <w:rFonts w:hint="cs"/>
          <w:rtl/>
        </w:rPr>
        <w:t>َ</w:t>
      </w:r>
      <w:r w:rsidRPr="00071CF9">
        <w:rPr>
          <w:rStyle w:val="libAieChar"/>
          <w:rtl/>
        </w:rPr>
        <w:t>ا لِلّهِ وَإِنّ</w:t>
      </w:r>
      <w:r w:rsidR="00091B3D">
        <w:rPr>
          <w:rStyle w:val="libAieChar"/>
          <w:rFonts w:hint="cs"/>
          <w:rtl/>
        </w:rPr>
        <w:t>َ</w:t>
      </w:r>
      <w:r w:rsidRPr="00071CF9">
        <w:rPr>
          <w:rStyle w:val="libAieChar"/>
          <w:rtl/>
        </w:rPr>
        <w:t>ا إِلَيْهِ ر</w:t>
      </w:r>
      <w:r w:rsidR="00091B3D">
        <w:rPr>
          <w:rStyle w:val="libAieChar"/>
          <w:rFonts w:hint="cs"/>
          <w:rtl/>
        </w:rPr>
        <w:t>َ</w:t>
      </w:r>
      <w:r w:rsidRPr="00071CF9">
        <w:rPr>
          <w:rStyle w:val="libAieChar"/>
          <w:rtl/>
        </w:rPr>
        <w:t xml:space="preserve">اجِعُونَ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مَضى أَبُو جَعْفَرٍ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فَقِيلَ لَهُ : و</w:t>
      </w:r>
      <w:r w:rsidR="00091B3D">
        <w:rPr>
          <w:rFonts w:hint="cs"/>
          <w:rtl/>
          <w:lang w:bidi="fa-IR"/>
        </w:rPr>
        <w:t>َ</w:t>
      </w:r>
      <w:r w:rsidRPr="00132E65">
        <w:rPr>
          <w:rtl/>
          <w:lang w:bidi="fa-IR"/>
        </w:rPr>
        <w:t>كَيْفَ عَرَفْتَ</w:t>
      </w:r>
      <w:r>
        <w:rPr>
          <w:rtl/>
          <w:lang w:bidi="fa-IR"/>
        </w:rPr>
        <w:t>؟</w:t>
      </w:r>
      <w:r w:rsidRPr="00132E65">
        <w:rPr>
          <w:rtl/>
          <w:lang w:bidi="fa-IR"/>
        </w:rPr>
        <w:t xml:space="preserve"> قَالَ : « لِأَنَّهُ تَدَاخَلَنِي </w:t>
      </w:r>
      <w:r>
        <w:rPr>
          <w:rStyle w:val="libFootnotenumChar"/>
          <w:rtl/>
        </w:rPr>
        <w:t>(2)</w:t>
      </w:r>
      <w:r w:rsidRPr="00132E65">
        <w:rPr>
          <w:rtl/>
          <w:lang w:bidi="fa-IR"/>
        </w:rPr>
        <w:t xml:space="preserve"> ذِلَّةٌ لِلّهِ لَمْ أَكُنْ أَعْرِفُهَا »</w:t>
      </w:r>
      <w:r>
        <w:rPr>
          <w:rtl/>
          <w:lang w:bidi="fa-IR"/>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BB3FFF">
        <w:rPr>
          <w:rtl/>
        </w:rPr>
        <w:t>994</w:t>
      </w:r>
      <w:r w:rsidRPr="004325D8">
        <w:rPr>
          <w:rStyle w:val="libBold2Char"/>
          <w:rtl/>
        </w:rPr>
        <w:t xml:space="preserve"> / 6.</w:t>
      </w:r>
      <w:r w:rsidRPr="00132E65">
        <w:rPr>
          <w:rtl/>
          <w:lang w:bidi="fa-IR"/>
        </w:rPr>
        <w:t xml:space="preserve"> عَلِيُّ بْنُ إِبْرَاهِيمَ ، عَنْ مُحَمَّدِ بْنِ عِيسى ، عَنْ مُسَافِرٍ ، قَالَ :</w:t>
      </w:r>
    </w:p>
    <w:p w:rsidR="000C39D1" w:rsidRPr="00132E65" w:rsidRDefault="000C39D1" w:rsidP="000C39D1">
      <w:pPr>
        <w:pStyle w:val="libNormal"/>
        <w:rPr>
          <w:rtl/>
          <w:lang w:bidi="fa-IR"/>
        </w:rPr>
      </w:pPr>
      <w:r w:rsidRPr="00132E65">
        <w:rPr>
          <w:rtl/>
          <w:lang w:bidi="fa-IR"/>
        </w:rPr>
        <w:t xml:space="preserve">أَمَرَ أَبُو إِبْرَاهِيمَ </w:t>
      </w:r>
      <w:r w:rsidRPr="00071CF9">
        <w:rPr>
          <w:rStyle w:val="libAlaemChar"/>
          <w:rtl/>
        </w:rPr>
        <w:t>عليه‌السلام</w:t>
      </w:r>
      <w:r>
        <w:rPr>
          <w:rtl/>
          <w:lang w:bidi="fa-IR"/>
        </w:rPr>
        <w:t xml:space="preserve"> - </w:t>
      </w:r>
      <w:r w:rsidRPr="00132E65">
        <w:rPr>
          <w:rtl/>
          <w:lang w:bidi="fa-IR"/>
        </w:rPr>
        <w:t>حِينَ أُخْرِجَ بِهِ</w:t>
      </w:r>
      <w:r>
        <w:rPr>
          <w:rtl/>
          <w:lang w:bidi="fa-IR"/>
        </w:rPr>
        <w:t xml:space="preserve"> - </w:t>
      </w:r>
      <w:r w:rsidRPr="00132E65">
        <w:rPr>
          <w:rtl/>
          <w:lang w:bidi="fa-IR"/>
        </w:rPr>
        <w:t xml:space="preserve">أَبَا الْحَسَنِ </w:t>
      </w:r>
      <w:r>
        <w:rPr>
          <w:rStyle w:val="libFootnotenumChar"/>
          <w:rtl/>
        </w:rPr>
        <w:t>(4)</w:t>
      </w:r>
      <w:r w:rsidRPr="00132E65">
        <w:rPr>
          <w:rtl/>
          <w:lang w:bidi="fa-IR"/>
        </w:rPr>
        <w:t xml:space="preserve"> </w:t>
      </w:r>
      <w:r w:rsidRPr="00071CF9">
        <w:rPr>
          <w:rStyle w:val="libAlaemChar"/>
          <w:rtl/>
        </w:rPr>
        <w:t>عليه‌السلام</w:t>
      </w:r>
      <w:r w:rsidRPr="00132E65">
        <w:rPr>
          <w:rtl/>
          <w:lang w:bidi="fa-IR"/>
        </w:rPr>
        <w:t xml:space="preserve"> أَنْ يَنَامَ عَلى بَابِهِ فِي كُلِّ لَيْلَةٍ أَبَداً مَا كَانَ </w:t>
      </w:r>
      <w:r>
        <w:rPr>
          <w:rStyle w:val="libFootnotenumChar"/>
          <w:rtl/>
        </w:rPr>
        <w:t>(5)</w:t>
      </w:r>
      <w:r w:rsidRPr="00132E65">
        <w:rPr>
          <w:rtl/>
          <w:lang w:bidi="fa-IR"/>
        </w:rPr>
        <w:t xml:space="preserve"> حَيّاً إِلى أَنْ يَأْتِيَهُ خَبَرُهُ </w:t>
      </w:r>
      <w:r>
        <w:rPr>
          <w:rStyle w:val="libFootnotenumChar"/>
          <w:rtl/>
        </w:rPr>
        <w:t>(6)</w:t>
      </w:r>
      <w:r w:rsidRPr="00132E65">
        <w:rPr>
          <w:rtl/>
          <w:lang w:bidi="fa-IR"/>
        </w:rPr>
        <w:t xml:space="preserve"> ، قَالَ : فَكُنَّا فِي كُلِّ لَيْلَةٍ نَفْرُشُ لِأَبِي الْحَسَنِ فِي الدِّهْلِيزِ </w:t>
      </w:r>
      <w:r>
        <w:rPr>
          <w:rStyle w:val="libFootnotenumChar"/>
          <w:rtl/>
        </w:rPr>
        <w:t>(7)</w:t>
      </w:r>
      <w:r w:rsidRPr="00132E65">
        <w:rPr>
          <w:rtl/>
          <w:lang w:bidi="fa-IR"/>
        </w:rPr>
        <w:t xml:space="preserve"> ، ثُمَّ يَأْتِي بَعْدَ الْعِشَاءِ </w:t>
      </w:r>
      <w:r>
        <w:rPr>
          <w:rStyle w:val="libFootnotenumChar"/>
          <w:rtl/>
        </w:rPr>
        <w:t>(8)</w:t>
      </w:r>
      <w:r w:rsidRPr="00132E65">
        <w:rPr>
          <w:rtl/>
          <w:lang w:bidi="fa-IR"/>
        </w:rPr>
        <w:t xml:space="preserve"> فَيَنَامُ ، فَإِذَا أَصْبَحَ انْصَرَفَ إِلى مَنْزِلِهِ ، قَالَ : فَمَكَثَ عَلى هذِهِ الْحَالِ أَرْبَعَ سِنِينَ ، فَلَمَّا كَانَ </w:t>
      </w:r>
      <w:r>
        <w:rPr>
          <w:rStyle w:val="libFootnotenumChar"/>
          <w:rtl/>
        </w:rPr>
        <w:t>(9)</w:t>
      </w:r>
      <w:r w:rsidRPr="00132E65">
        <w:rPr>
          <w:rtl/>
          <w:lang w:bidi="fa-IR"/>
        </w:rPr>
        <w:t xml:space="preserve"> لَيْلَةٌ مِنَ اللَّيَالِي ، أَبْطَأَ عَنَّا و</w:t>
      </w:r>
      <w:r w:rsidR="00091B3D">
        <w:rPr>
          <w:rFonts w:hint="cs"/>
          <w:rtl/>
          <w:lang w:bidi="fa-IR"/>
        </w:rPr>
        <w:t xml:space="preserve">َ </w:t>
      </w:r>
      <w:r w:rsidRPr="00132E65">
        <w:rPr>
          <w:rtl/>
          <w:lang w:bidi="fa-IR"/>
        </w:rPr>
        <w:t xml:space="preserve">فُرِشَ لَهُ ، فَلَمْ يَأْتِ كَمَا كَانَ يَأْتِي ، فَاسْتَوْحَشَ الْعِيَالُ وذُعِرُوا </w:t>
      </w:r>
      <w:r>
        <w:rPr>
          <w:rStyle w:val="libFootnotenumChar"/>
          <w:rtl/>
        </w:rPr>
        <w:t>(10)</w:t>
      </w:r>
      <w:r w:rsidRPr="00132E65">
        <w:rPr>
          <w:rtl/>
          <w:lang w:bidi="fa-IR"/>
        </w:rPr>
        <w:t xml:space="preserve"> ، و</w:t>
      </w:r>
      <w:r w:rsidR="00091B3D">
        <w:rPr>
          <w:rFonts w:hint="cs"/>
          <w:rtl/>
          <w:lang w:bidi="fa-IR"/>
        </w:rPr>
        <w:t>َ</w:t>
      </w:r>
      <w:r w:rsidRPr="00132E65">
        <w:rPr>
          <w:rtl/>
          <w:lang w:bidi="fa-IR"/>
        </w:rPr>
        <w:t>دَخَلَنَا أَمْرٌ عَظِيمٌ مِنْ إِبْطَائِهِ.</w:t>
      </w:r>
    </w:p>
    <w:p w:rsidR="000C39D1" w:rsidRPr="00132E65" w:rsidRDefault="000C39D1" w:rsidP="000C39D1">
      <w:pPr>
        <w:pStyle w:val="libNormal"/>
        <w:rPr>
          <w:rtl/>
          <w:lang w:bidi="fa-IR"/>
        </w:rPr>
      </w:pPr>
      <w:r w:rsidRPr="00132E65">
        <w:rPr>
          <w:rtl/>
          <w:lang w:bidi="fa-IR"/>
        </w:rPr>
        <w:t xml:space="preserve">فَلَمَّا كَانَ مِنَ الْغَدِ ، أَتَى الدَّارَ ، ودَخَلَ إِلَى </w:t>
      </w:r>
      <w:r>
        <w:rPr>
          <w:rStyle w:val="libFootnotenumChar"/>
          <w:rtl/>
        </w:rPr>
        <w:t>(11)</w:t>
      </w:r>
      <w:r w:rsidRPr="00132E65">
        <w:rPr>
          <w:rtl/>
          <w:lang w:bidi="fa-IR"/>
        </w:rPr>
        <w:t xml:space="preserve"> الْعِيَالِ ، و</w:t>
      </w:r>
      <w:r w:rsidR="00091B3D">
        <w:rPr>
          <w:rFonts w:hint="cs"/>
          <w:rtl/>
          <w:lang w:bidi="fa-IR"/>
        </w:rPr>
        <w:t>َ</w:t>
      </w:r>
      <w:r w:rsidRPr="00132E65">
        <w:rPr>
          <w:rtl/>
          <w:lang w:bidi="fa-IR"/>
        </w:rPr>
        <w:t>قَصَدَ إِلى أُمِّ أَحْمَدَ ، فَقَالَ‌</w:t>
      </w:r>
    </w:p>
    <w:p w:rsidR="000C39D1" w:rsidRPr="00132E65" w:rsidRDefault="000C39D1" w:rsidP="000C39D1">
      <w:pPr>
        <w:pStyle w:val="libLine"/>
        <w:rPr>
          <w:rtl/>
          <w:lang w:bidi="fa-IR"/>
        </w:rPr>
      </w:pPr>
      <w:r w:rsidRPr="00132E65">
        <w:rPr>
          <w:rtl/>
          <w:lang w:bidi="fa-IR"/>
        </w:rPr>
        <w:t>__________________</w:t>
      </w:r>
    </w:p>
    <w:p w:rsidR="000C39D1" w:rsidRPr="00132E65" w:rsidRDefault="00091B3D" w:rsidP="000C39D1">
      <w:pPr>
        <w:pStyle w:val="libFootnote0"/>
        <w:rPr>
          <w:rtl/>
          <w:lang w:bidi="fa-IR"/>
        </w:rPr>
      </w:pPr>
      <w:r w:rsidRPr="00E55206">
        <w:rPr>
          <w:rFonts w:hint="cs"/>
          <w:rtl/>
        </w:rPr>
        <w:t>=</w:t>
      </w:r>
      <w:r w:rsidR="000C39D1" w:rsidRPr="00E55206">
        <w:rPr>
          <w:rtl/>
        </w:rPr>
        <w:t>مذكور في كتب الأنساب والألقا</w:t>
      </w:r>
      <w:r w:rsidRPr="00E55206">
        <w:rPr>
          <w:rtl/>
        </w:rPr>
        <w:t>ب. وتصحيف الم</w:t>
      </w:r>
      <w:r w:rsidRPr="00E55206">
        <w:rPr>
          <w:rFonts w:hint="cs"/>
          <w:rtl/>
        </w:rPr>
        <w:t>ـَ</w:t>
      </w:r>
      <w:r w:rsidR="000C39D1" w:rsidRPr="00E55206">
        <w:rPr>
          <w:rtl/>
        </w:rPr>
        <w:t xml:space="preserve">يساني بالميشاني والمنشائي والميشايي - كما عليها أكثر النسخ - سهل جدّاً. راجع : </w:t>
      </w:r>
      <w:r w:rsidR="000C39D1" w:rsidRPr="00091B3D">
        <w:rPr>
          <w:rStyle w:val="libFootnoteBoldChar"/>
          <w:rtl/>
        </w:rPr>
        <w:t>الأنساب للسمعاني</w:t>
      </w:r>
      <w:r w:rsidR="000C39D1" w:rsidRPr="00E55206">
        <w:rPr>
          <w:rtl/>
        </w:rPr>
        <w:t xml:space="preserve"> ، ج 5 ، ص 431 ؛ </w:t>
      </w:r>
      <w:r w:rsidR="000C39D1" w:rsidRPr="00091B3D">
        <w:rPr>
          <w:rStyle w:val="libFootnoteBoldChar"/>
          <w:rtl/>
        </w:rPr>
        <w:t>اللباب في تهذيب الأنساب</w:t>
      </w:r>
      <w:r w:rsidR="000C39D1" w:rsidRPr="00E55206">
        <w:rPr>
          <w:rtl/>
        </w:rPr>
        <w:t xml:space="preserve"> ، ج 3 ، ص 282.</w:t>
      </w:r>
    </w:p>
    <w:p w:rsidR="000C39D1" w:rsidRDefault="000C39D1" w:rsidP="000C39D1">
      <w:pPr>
        <w:pStyle w:val="libFootnote0"/>
        <w:rPr>
          <w:rtl/>
        </w:rPr>
      </w:pPr>
      <w:r w:rsidRPr="00E55206">
        <w:rPr>
          <w:rtl/>
        </w:rPr>
        <w:t xml:space="preserve">وأمّا ما ورد في </w:t>
      </w:r>
      <w:r w:rsidRPr="007A1104">
        <w:rPr>
          <w:rStyle w:val="libFootnoteBoldChar"/>
          <w:rtl/>
        </w:rPr>
        <w:t>بصائر الدرجات</w:t>
      </w:r>
      <w:r w:rsidRPr="00E55206">
        <w:rPr>
          <w:rtl/>
        </w:rPr>
        <w:t xml:space="preserve"> ، ص 467 ، ح 3 من « الشيباني » ، فالظاهر أنّه غير معتمد عليه ، ناشٍ من تكرّر « أبي المفضّل الشيباني » في الأسناد ، كما يدلّ عليه </w:t>
      </w:r>
      <w:r w:rsidRPr="00091B3D">
        <w:rPr>
          <w:rStyle w:val="libFootnoteBoldChar"/>
          <w:rtl/>
        </w:rPr>
        <w:t>البحار</w:t>
      </w:r>
      <w:r w:rsidRPr="00E55206">
        <w:rPr>
          <w:rtl/>
        </w:rPr>
        <w:t xml:space="preserve"> ، ج 50 ، ص 135 ، ح 16 نقلاً من البصائر.</w:t>
      </w:r>
    </w:p>
    <w:p w:rsidR="000C39D1" w:rsidRPr="00132E65" w:rsidRDefault="000C39D1" w:rsidP="000C39D1">
      <w:pPr>
        <w:pStyle w:val="libFootnote0"/>
        <w:rPr>
          <w:rtl/>
          <w:lang w:bidi="fa-IR"/>
        </w:rPr>
      </w:pPr>
      <w:r>
        <w:rPr>
          <w:rtl/>
        </w:rPr>
        <w:t>(1).</w:t>
      </w:r>
      <w:r w:rsidRPr="00132E65">
        <w:rPr>
          <w:rtl/>
        </w:rPr>
        <w:t xml:space="preserve"> البقرة </w:t>
      </w:r>
      <w:r w:rsidR="00091B3D">
        <w:rPr>
          <w:rtl/>
        </w:rPr>
        <w:t>(2)</w:t>
      </w:r>
      <w:r w:rsidRPr="00132E65">
        <w:rPr>
          <w:rtl/>
        </w:rPr>
        <w:t xml:space="preserve"> : 156.</w:t>
      </w:r>
    </w:p>
    <w:p w:rsidR="000C39D1" w:rsidRPr="00132E65" w:rsidRDefault="000C39D1" w:rsidP="000C39D1">
      <w:pPr>
        <w:pStyle w:val="libFootnote0"/>
        <w:rPr>
          <w:rtl/>
          <w:lang w:bidi="fa-IR"/>
        </w:rPr>
      </w:pPr>
      <w:r>
        <w:rPr>
          <w:rtl/>
        </w:rPr>
        <w:t>(2).</w:t>
      </w:r>
      <w:r w:rsidRPr="00132E65">
        <w:rPr>
          <w:rtl/>
        </w:rPr>
        <w:t xml:space="preserve"> أي دخلني ، من تداخل الا</w:t>
      </w:r>
      <w:r w:rsidR="00091B3D">
        <w:rPr>
          <w:rFonts w:hint="cs"/>
          <w:rtl/>
        </w:rPr>
        <w:t>ُ</w:t>
      </w:r>
      <w:r w:rsidRPr="00132E65">
        <w:rPr>
          <w:rtl/>
        </w:rPr>
        <w:t xml:space="preserve">مور ، وهو دخول بعضها في بعض. راجع : </w:t>
      </w:r>
      <w:r w:rsidRPr="009D1ACE">
        <w:rPr>
          <w:rStyle w:val="libFootnoteBoldChar"/>
          <w:rtl/>
        </w:rPr>
        <w:t>لسان العرب</w:t>
      </w:r>
      <w:r w:rsidRPr="00132E65">
        <w:rPr>
          <w:rtl/>
        </w:rPr>
        <w:t xml:space="preserve"> ، ج 11 ، ص 243 ( دخل )</w:t>
      </w:r>
      <w:r>
        <w:rPr>
          <w:rtl/>
        </w:rPr>
        <w:t>.</w:t>
      </w:r>
    </w:p>
    <w:p w:rsidR="000C39D1" w:rsidRPr="00132E65" w:rsidRDefault="000C39D1" w:rsidP="00091B3D">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467 ، ح 5 ، عن محمّد بن عيسى ، عن أبي الفضل ، عن هارون بن الفضل ؛ </w:t>
      </w:r>
      <w:r w:rsidRPr="00BB3FFF">
        <w:rPr>
          <w:rtl/>
        </w:rPr>
        <w:t>وفيه</w:t>
      </w:r>
      <w:r w:rsidRPr="00132E65">
        <w:rPr>
          <w:rtl/>
        </w:rPr>
        <w:t xml:space="preserve"> ، ح 3 ، بسنده عن أبي الفضل الشيباني ، عن هارون بن الفضل </w:t>
      </w:r>
      <w:r w:rsidR="00091B3D">
        <w:rPr>
          <w:rFonts w:hint="cs"/>
          <w:rtl/>
        </w:rPr>
        <w:t>.</w:t>
      </w:r>
      <w:r w:rsidRPr="009D1ACE">
        <w:rPr>
          <w:rStyle w:val="libFootnoteBoldChar"/>
          <w:rtl/>
        </w:rPr>
        <w:t>الوافي</w:t>
      </w:r>
      <w:r w:rsidRPr="00132E65">
        <w:rPr>
          <w:rtl/>
        </w:rPr>
        <w:t xml:space="preserve"> ، ج 3 ، ص 664 ، ح 1267 ؛ </w:t>
      </w:r>
      <w:r w:rsidRPr="00091B3D">
        <w:rPr>
          <w:rStyle w:val="libFootnoteBoldChar"/>
          <w:rtl/>
        </w:rPr>
        <w:t>البحار</w:t>
      </w:r>
      <w:r w:rsidRPr="00132E65">
        <w:rPr>
          <w:rtl/>
        </w:rPr>
        <w:t xml:space="preserve"> ، ج 50 ، ص 14 ، ح 15.</w:t>
      </w:r>
      <w:r w:rsidR="00091B3D">
        <w:rPr>
          <w:rFonts w:hint="cs"/>
          <w:rtl/>
        </w:rPr>
        <w:t xml:space="preserve">                    </w:t>
      </w:r>
      <w:r w:rsidR="00936037">
        <w:rPr>
          <w:rFonts w:hint="cs"/>
          <w:rtl/>
        </w:rPr>
        <w:t xml:space="preserve">              </w:t>
      </w:r>
      <w:r w:rsidR="00091B3D">
        <w:rPr>
          <w:rFonts w:hint="cs"/>
          <w:rtl/>
        </w:rPr>
        <w:t xml:space="preserve">          </w:t>
      </w:r>
      <w:r>
        <w:rPr>
          <w:rtl/>
        </w:rPr>
        <w:t>(4).</w:t>
      </w:r>
      <w:r w:rsidRPr="00132E65">
        <w:rPr>
          <w:rtl/>
        </w:rPr>
        <w:t xml:space="preserve"> في « ب » :</w:t>
      </w:r>
      <w:r>
        <w:rPr>
          <w:rtl/>
        </w:rPr>
        <w:t xml:space="preserve"> + </w:t>
      </w:r>
      <w:r w:rsidRPr="00132E65">
        <w:rPr>
          <w:rtl/>
        </w:rPr>
        <w:t>« عليّ بن موسى »</w:t>
      </w:r>
      <w:r>
        <w:rPr>
          <w:rtl/>
        </w:rPr>
        <w:t>.</w:t>
      </w:r>
    </w:p>
    <w:tbl>
      <w:tblPr>
        <w:tblStyle w:val="TableGrid"/>
        <w:bidiVisual/>
        <w:tblW w:w="0" w:type="auto"/>
        <w:tblLook w:val="04A0" w:firstRow="1" w:lastRow="0" w:firstColumn="1" w:lastColumn="0" w:noHBand="0" w:noVBand="1"/>
      </w:tblPr>
      <w:tblGrid>
        <w:gridCol w:w="4006"/>
        <w:gridCol w:w="4006"/>
      </w:tblGrid>
      <w:tr w:rsidR="00091B3D" w:rsidTr="00091B3D">
        <w:tc>
          <w:tcPr>
            <w:tcW w:w="4006" w:type="dxa"/>
          </w:tcPr>
          <w:p w:rsidR="00091B3D" w:rsidRDefault="00091B3D" w:rsidP="000C39D1">
            <w:pPr>
              <w:pStyle w:val="libFootnote0"/>
              <w:rPr>
                <w:rtl/>
              </w:rPr>
            </w:pPr>
            <w:r>
              <w:rPr>
                <w:rtl/>
              </w:rPr>
              <w:t>(5).</w:t>
            </w:r>
            <w:r w:rsidRPr="00132E65">
              <w:rPr>
                <w:rtl/>
              </w:rPr>
              <w:t xml:space="preserve"> في « بر » : « مادام »</w:t>
            </w:r>
            <w:r>
              <w:rPr>
                <w:rtl/>
              </w:rPr>
              <w:t>.</w:t>
            </w:r>
          </w:p>
        </w:tc>
        <w:tc>
          <w:tcPr>
            <w:tcW w:w="4006" w:type="dxa"/>
          </w:tcPr>
          <w:p w:rsidR="00091B3D" w:rsidRDefault="00091B3D" w:rsidP="000C39D1">
            <w:pPr>
              <w:pStyle w:val="libFootnote0"/>
              <w:rPr>
                <w:rtl/>
              </w:rPr>
            </w:pPr>
            <w:r>
              <w:rPr>
                <w:rtl/>
              </w:rPr>
              <w:t>(6).</w:t>
            </w:r>
            <w:r w:rsidRPr="00132E65">
              <w:rPr>
                <w:rtl/>
              </w:rPr>
              <w:t xml:space="preserve"> في « ب » : « خبر »</w:t>
            </w:r>
            <w:r>
              <w:rPr>
                <w:rtl/>
              </w:rPr>
              <w:t>.</w:t>
            </w:r>
          </w:p>
        </w:tc>
      </w:tr>
    </w:tbl>
    <w:p w:rsidR="000C39D1" w:rsidRPr="00132E65" w:rsidRDefault="000C39D1" w:rsidP="000C39D1">
      <w:pPr>
        <w:pStyle w:val="libFootnote0"/>
        <w:rPr>
          <w:rtl/>
          <w:lang w:bidi="fa-IR"/>
        </w:rPr>
      </w:pPr>
      <w:r>
        <w:rPr>
          <w:rtl/>
        </w:rPr>
        <w:t>(7).</w:t>
      </w:r>
      <w:r w:rsidRPr="00132E65">
        <w:rPr>
          <w:rtl/>
        </w:rPr>
        <w:t xml:space="preserve"> في « ف » : « الدهاليز »</w:t>
      </w:r>
      <w:r>
        <w:rPr>
          <w:rtl/>
        </w:rPr>
        <w:t>.</w:t>
      </w:r>
      <w:r w:rsidRPr="00132E65">
        <w:rPr>
          <w:rtl/>
        </w:rPr>
        <w:t xml:space="preserve"> </w:t>
      </w:r>
      <w:r>
        <w:rPr>
          <w:rtl/>
        </w:rPr>
        <w:t>و «</w:t>
      </w:r>
      <w:r w:rsidRPr="00132E65">
        <w:rPr>
          <w:rtl/>
        </w:rPr>
        <w:t xml:space="preserve"> الدِهليز » : ما بين الدار والباب. فارسي معرّب. </w:t>
      </w:r>
      <w:r w:rsidRPr="00091B3D">
        <w:rPr>
          <w:rStyle w:val="libFootnoteBoldChar"/>
          <w:rtl/>
        </w:rPr>
        <w:t>الصحاح</w:t>
      </w:r>
      <w:r w:rsidR="00936037">
        <w:rPr>
          <w:rtl/>
        </w:rPr>
        <w:t xml:space="preserve"> ، ج 3 ، ص 878 (دهلز</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091B3D" w:rsidTr="00091B3D">
        <w:tc>
          <w:tcPr>
            <w:tcW w:w="4006" w:type="dxa"/>
          </w:tcPr>
          <w:p w:rsidR="00091B3D" w:rsidRDefault="00091B3D" w:rsidP="000C39D1">
            <w:pPr>
              <w:pStyle w:val="libFootnote0"/>
              <w:rPr>
                <w:rtl/>
              </w:rPr>
            </w:pPr>
            <w:r>
              <w:rPr>
                <w:rtl/>
              </w:rPr>
              <w:t>(8).</w:t>
            </w:r>
            <w:r w:rsidRPr="00132E65">
              <w:rPr>
                <w:rtl/>
              </w:rPr>
              <w:t xml:space="preserve"> في « بح » : « يأتي العشاء »</w:t>
            </w:r>
            <w:r>
              <w:rPr>
                <w:rtl/>
              </w:rPr>
              <w:t>.</w:t>
            </w:r>
          </w:p>
        </w:tc>
        <w:tc>
          <w:tcPr>
            <w:tcW w:w="4006" w:type="dxa"/>
          </w:tcPr>
          <w:p w:rsidR="00091B3D" w:rsidRDefault="00091B3D" w:rsidP="000C39D1">
            <w:pPr>
              <w:pStyle w:val="libFootnote0"/>
              <w:rPr>
                <w:rtl/>
              </w:rPr>
            </w:pPr>
            <w:r>
              <w:rPr>
                <w:rtl/>
              </w:rPr>
              <w:t>(9).</w:t>
            </w:r>
            <w:r w:rsidRPr="00132E65">
              <w:rPr>
                <w:rtl/>
              </w:rPr>
              <w:t xml:space="preserve"> في حاشية « ف » : « كانت »</w:t>
            </w:r>
            <w:r>
              <w:rPr>
                <w:rtl/>
              </w:rPr>
              <w:t>.</w:t>
            </w:r>
          </w:p>
        </w:tc>
      </w:tr>
    </w:tbl>
    <w:p w:rsidR="000C39D1" w:rsidRPr="00132E65" w:rsidRDefault="000C39D1" w:rsidP="000C39D1">
      <w:pPr>
        <w:pStyle w:val="libFootnote0"/>
        <w:rPr>
          <w:rtl/>
          <w:lang w:bidi="fa-IR"/>
        </w:rPr>
      </w:pPr>
      <w:r>
        <w:rPr>
          <w:rtl/>
        </w:rPr>
        <w:t>(10).</w:t>
      </w:r>
      <w:r w:rsidRPr="00132E65">
        <w:rPr>
          <w:rtl/>
        </w:rPr>
        <w:t xml:space="preserve"> يجوز فيه المبنيّ للفاعل أيضاً. وهو من الذُعر بمعنى الخوف.</w:t>
      </w:r>
    </w:p>
    <w:p w:rsidR="000C39D1" w:rsidRPr="00132E65" w:rsidRDefault="000C39D1" w:rsidP="000C39D1">
      <w:pPr>
        <w:pStyle w:val="libFootnote0"/>
        <w:rPr>
          <w:rtl/>
          <w:lang w:bidi="fa-IR"/>
        </w:rPr>
      </w:pPr>
      <w:r>
        <w:rPr>
          <w:rtl/>
        </w:rPr>
        <w:t>(11).</w:t>
      </w:r>
      <w:r w:rsidRPr="00132E65">
        <w:rPr>
          <w:rtl/>
        </w:rPr>
        <w:t xml:space="preserve"> في حاشية « بح » : « على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لَهَا : « هَاتِ </w:t>
      </w:r>
      <w:r>
        <w:rPr>
          <w:rStyle w:val="libFootnotenumChar"/>
          <w:rtl/>
        </w:rPr>
        <w:t>(1)</w:t>
      </w:r>
      <w:r w:rsidRPr="00132E65">
        <w:rPr>
          <w:rtl/>
          <w:lang w:bidi="fa-IR"/>
        </w:rPr>
        <w:t xml:space="preserve"> الَّتِي </w:t>
      </w:r>
      <w:r>
        <w:rPr>
          <w:rStyle w:val="libFootnotenumChar"/>
          <w:rtl/>
        </w:rPr>
        <w:t>(2)</w:t>
      </w:r>
      <w:r w:rsidRPr="00132E65">
        <w:rPr>
          <w:rtl/>
          <w:lang w:bidi="fa-IR"/>
        </w:rPr>
        <w:t xml:space="preserve"> أَوْدَعَكِ أَبِي »</w:t>
      </w:r>
      <w:r>
        <w:rPr>
          <w:rtl/>
          <w:lang w:bidi="fa-IR"/>
        </w:rPr>
        <w:t>.</w:t>
      </w:r>
      <w:r w:rsidRPr="00132E65">
        <w:rPr>
          <w:rtl/>
          <w:lang w:bidi="fa-IR"/>
        </w:rPr>
        <w:t xml:space="preserve"> فَصَرَخَتْ </w:t>
      </w:r>
      <w:r>
        <w:rPr>
          <w:rStyle w:val="libFootnotenumChar"/>
          <w:rtl/>
        </w:rPr>
        <w:t>(3)</w:t>
      </w:r>
      <w:r w:rsidRPr="00132E65">
        <w:rPr>
          <w:rtl/>
          <w:lang w:bidi="fa-IR"/>
        </w:rPr>
        <w:t xml:space="preserve"> ، ولَطَمَتْ و</w:t>
      </w:r>
      <w:r w:rsidR="00882D8E">
        <w:rPr>
          <w:rFonts w:hint="cs"/>
          <w:rtl/>
          <w:lang w:bidi="fa-IR"/>
        </w:rPr>
        <w:t>َ</w:t>
      </w:r>
      <w:r w:rsidRPr="00132E65">
        <w:rPr>
          <w:rtl/>
          <w:lang w:bidi="fa-IR"/>
        </w:rPr>
        <w:t>جْهَهَا ، و</w:t>
      </w:r>
      <w:r w:rsidR="00882D8E">
        <w:rPr>
          <w:rFonts w:hint="cs"/>
          <w:rtl/>
          <w:lang w:bidi="fa-IR"/>
        </w:rPr>
        <w:t>َ</w:t>
      </w:r>
      <w:r w:rsidRPr="00132E65">
        <w:rPr>
          <w:rtl/>
          <w:lang w:bidi="fa-IR"/>
        </w:rPr>
        <w:t xml:space="preserve">شَقَّتْ جَيْبَهَا </w:t>
      </w:r>
      <w:r>
        <w:rPr>
          <w:rStyle w:val="libFootnotenumChar"/>
          <w:rtl/>
        </w:rPr>
        <w:t>(4)</w:t>
      </w:r>
      <w:r w:rsidRPr="00132E65">
        <w:rPr>
          <w:rtl/>
          <w:lang w:bidi="fa-IR"/>
        </w:rPr>
        <w:t xml:space="preserve"> ، و</w:t>
      </w:r>
      <w:r w:rsidR="00882D8E">
        <w:rPr>
          <w:rFonts w:hint="cs"/>
          <w:rtl/>
          <w:lang w:bidi="fa-IR"/>
        </w:rPr>
        <w:t>َ</w:t>
      </w:r>
      <w:r w:rsidRPr="00132E65">
        <w:rPr>
          <w:rtl/>
          <w:lang w:bidi="fa-IR"/>
        </w:rPr>
        <w:t>قَالَتْ :</w:t>
      </w:r>
      <w:r>
        <w:rPr>
          <w:rFonts w:hint="cs"/>
          <w:rtl/>
          <w:lang w:bidi="fa-IR"/>
        </w:rPr>
        <w:t xml:space="preserve"> </w:t>
      </w:r>
      <w:r w:rsidRPr="00132E65">
        <w:rPr>
          <w:rtl/>
          <w:lang w:bidi="fa-IR"/>
        </w:rPr>
        <w:t>مَاتَ و</w:t>
      </w:r>
      <w:r w:rsidR="00882D8E">
        <w:rPr>
          <w:rFonts w:hint="cs"/>
          <w:rtl/>
          <w:lang w:bidi="fa-IR"/>
        </w:rPr>
        <w:t>َ</w:t>
      </w:r>
      <w:r w:rsidRPr="00132E65">
        <w:rPr>
          <w:rtl/>
          <w:lang w:bidi="fa-IR"/>
        </w:rPr>
        <w:t>اللهِ سَيِّدِي ، فَكَفَّهَا ، و</w:t>
      </w:r>
      <w:r w:rsidR="00882D8E">
        <w:rPr>
          <w:rFonts w:hint="cs"/>
          <w:rtl/>
          <w:lang w:bidi="fa-IR"/>
        </w:rPr>
        <w:t>َ</w:t>
      </w:r>
      <w:r w:rsidRPr="00132E65">
        <w:rPr>
          <w:rtl/>
          <w:lang w:bidi="fa-IR"/>
        </w:rPr>
        <w:t xml:space="preserve">قَالَ لَهَا : « لَا تَكَلَّمِي </w:t>
      </w:r>
      <w:r>
        <w:rPr>
          <w:rStyle w:val="libFootnotenumChar"/>
          <w:rtl/>
        </w:rPr>
        <w:t>(5)</w:t>
      </w:r>
      <w:r w:rsidRPr="00132E65">
        <w:rPr>
          <w:rtl/>
          <w:lang w:bidi="fa-IR"/>
        </w:rPr>
        <w:t xml:space="preserve"> بِشَيْ‌ءٍ ، و</w:t>
      </w:r>
      <w:r w:rsidR="00882D8E">
        <w:rPr>
          <w:rFonts w:hint="cs"/>
          <w:rtl/>
          <w:lang w:bidi="fa-IR"/>
        </w:rPr>
        <w:t>َ</w:t>
      </w:r>
      <w:r w:rsidRPr="00132E65">
        <w:rPr>
          <w:rtl/>
          <w:lang w:bidi="fa-IR"/>
        </w:rPr>
        <w:t xml:space="preserve">لَاتُظْهِرِيهِ </w:t>
      </w:r>
      <w:r>
        <w:rPr>
          <w:rStyle w:val="libFootnotenumChar"/>
          <w:rtl/>
        </w:rPr>
        <w:t>(6)</w:t>
      </w:r>
      <w:r w:rsidRPr="00132E65">
        <w:rPr>
          <w:rtl/>
          <w:lang w:bidi="fa-IR"/>
        </w:rPr>
        <w:t xml:space="preserve"> حَتّى يَجِي‌ءَ الْخَبَرُ إِلَى الْوَالِي »</w:t>
      </w:r>
      <w:r>
        <w:rPr>
          <w:rtl/>
          <w:lang w:bidi="fa-IR"/>
        </w:rPr>
        <w:t>.</w:t>
      </w:r>
    </w:p>
    <w:p w:rsidR="000C39D1" w:rsidRPr="00132E65" w:rsidRDefault="000C39D1" w:rsidP="000C39D1">
      <w:pPr>
        <w:pStyle w:val="libNormal"/>
        <w:rPr>
          <w:rtl/>
          <w:lang w:bidi="fa-IR"/>
        </w:rPr>
      </w:pPr>
      <w:r w:rsidRPr="00132E65">
        <w:rPr>
          <w:rtl/>
          <w:lang w:bidi="fa-IR"/>
        </w:rPr>
        <w:t xml:space="preserve">فَأَخْرَجَتْ إِلَيْهِ سَفَطاً </w:t>
      </w:r>
      <w:r>
        <w:rPr>
          <w:rStyle w:val="libFootnotenumChar"/>
          <w:rtl/>
        </w:rPr>
        <w:t>(7)</w:t>
      </w:r>
      <w:r w:rsidRPr="00132E65">
        <w:rPr>
          <w:rtl/>
          <w:lang w:bidi="fa-IR"/>
        </w:rPr>
        <w:t xml:space="preserve"> ، و</w:t>
      </w:r>
      <w:r w:rsidR="00882D8E">
        <w:rPr>
          <w:rFonts w:hint="cs"/>
          <w:rtl/>
          <w:lang w:bidi="fa-IR"/>
        </w:rPr>
        <w:t>َ</w:t>
      </w:r>
      <w:r w:rsidRPr="00132E65">
        <w:rPr>
          <w:rtl/>
          <w:lang w:bidi="fa-IR"/>
        </w:rPr>
        <w:t>أَلْفَيْ دِينَارٍ ، أَوْ أَرْبَعَةَ آلَافِ دِينَارٍ ، فَدَفَعَتْ ذلِكَ أَجْمَعَ إِلَيْهِ دُونَ غَيْرِهِ ، و</w:t>
      </w:r>
      <w:r w:rsidR="00882D8E">
        <w:rPr>
          <w:rFonts w:hint="cs"/>
          <w:rtl/>
          <w:lang w:bidi="fa-IR"/>
        </w:rPr>
        <w:t>َ</w:t>
      </w:r>
      <w:r w:rsidRPr="00132E65">
        <w:rPr>
          <w:rtl/>
          <w:lang w:bidi="fa-IR"/>
        </w:rPr>
        <w:t>قَالَتْ : إِنَّهُ قَالَ لِي فِيمَا بَيْنِي وبَيْنَهُ</w:t>
      </w:r>
      <w:r>
        <w:rPr>
          <w:rtl/>
          <w:lang w:bidi="fa-IR"/>
        </w:rPr>
        <w:t xml:space="preserve"> - </w:t>
      </w:r>
      <w:r w:rsidRPr="00132E65">
        <w:rPr>
          <w:rtl/>
          <w:lang w:bidi="fa-IR"/>
        </w:rPr>
        <w:t>و</w:t>
      </w:r>
      <w:r w:rsidR="00882D8E">
        <w:rPr>
          <w:rFonts w:hint="cs"/>
          <w:rtl/>
          <w:lang w:bidi="fa-IR"/>
        </w:rPr>
        <w:t>َ</w:t>
      </w:r>
      <w:r w:rsidRPr="00132E65">
        <w:rPr>
          <w:rtl/>
          <w:lang w:bidi="fa-IR"/>
        </w:rPr>
        <w:t xml:space="preserve">كَانَتْ أَثِيرَةً </w:t>
      </w:r>
      <w:r>
        <w:rPr>
          <w:rStyle w:val="libFootnotenumChar"/>
          <w:rtl/>
        </w:rPr>
        <w:t>(8)</w:t>
      </w:r>
      <w:r w:rsidRPr="00132E65">
        <w:rPr>
          <w:rtl/>
          <w:lang w:bidi="fa-IR"/>
        </w:rPr>
        <w:t xml:space="preserve"> عِنْدَهُ</w:t>
      </w:r>
      <w:r>
        <w:rPr>
          <w:rtl/>
          <w:lang w:bidi="fa-IR"/>
        </w:rPr>
        <w:t xml:space="preserve"> - </w:t>
      </w:r>
      <w:r w:rsidRPr="00132E65">
        <w:rPr>
          <w:rtl/>
          <w:lang w:bidi="fa-IR"/>
        </w:rPr>
        <w:t xml:space="preserve">: « احْتَفِظِي بِهذِهِ </w:t>
      </w:r>
      <w:r>
        <w:rPr>
          <w:rStyle w:val="libFootnotenumChar"/>
          <w:rtl/>
        </w:rPr>
        <w:t>(9)</w:t>
      </w:r>
      <w:r w:rsidRPr="00132E65">
        <w:rPr>
          <w:rtl/>
          <w:lang w:bidi="fa-IR"/>
        </w:rPr>
        <w:t xml:space="preserve"> الْوَدِيعَةِ عِنْدَكِ ، لَا </w:t>
      </w:r>
      <w:r>
        <w:rPr>
          <w:rStyle w:val="libFootnotenumChar"/>
          <w:rtl/>
        </w:rPr>
        <w:t>(10)</w:t>
      </w:r>
      <w:r w:rsidRPr="00132E65">
        <w:rPr>
          <w:rtl/>
          <w:lang w:bidi="fa-IR"/>
        </w:rPr>
        <w:t xml:space="preserve"> تُطْلِعِي عَلَيْهَا أَحَداً حَتّى أَمُوتَ ، فَإِذَا مَضَيْتُ ، فَمَنْ أَتَاكِ مِنْ وُلْدِي فَطَلَبَهَا مِنْكِ ، فَادْفَعِيهَا إِلَيْهِ ، و</w:t>
      </w:r>
      <w:r w:rsidR="00882D8E">
        <w:rPr>
          <w:rFonts w:hint="cs"/>
          <w:rtl/>
          <w:lang w:bidi="fa-IR"/>
        </w:rPr>
        <w:t>َ</w:t>
      </w:r>
      <w:r w:rsidRPr="00132E65">
        <w:rPr>
          <w:rtl/>
          <w:lang w:bidi="fa-IR"/>
        </w:rPr>
        <w:t xml:space="preserve">اعْلَمِي أَنِّي قَدْ مِتُّ </w:t>
      </w:r>
      <w:r>
        <w:rPr>
          <w:rStyle w:val="libFootnotenumChar"/>
          <w:rtl/>
        </w:rPr>
        <w:t>(11)</w:t>
      </w:r>
      <w:r w:rsidRPr="00132E65">
        <w:rPr>
          <w:rtl/>
          <w:lang w:bidi="fa-IR"/>
        </w:rPr>
        <w:t xml:space="preserve"> »</w:t>
      </w:r>
      <w:r>
        <w:rPr>
          <w:rtl/>
          <w:lang w:bidi="fa-IR"/>
        </w:rPr>
        <w:t>.</w:t>
      </w:r>
      <w:r w:rsidRPr="00132E65">
        <w:rPr>
          <w:rtl/>
          <w:lang w:bidi="fa-IR"/>
        </w:rPr>
        <w:t xml:space="preserve"> و</w:t>
      </w:r>
      <w:r w:rsidR="00882D8E">
        <w:rPr>
          <w:rFonts w:hint="cs"/>
          <w:rtl/>
          <w:lang w:bidi="fa-IR"/>
        </w:rPr>
        <w:t>َ</w:t>
      </w:r>
      <w:r w:rsidRPr="00132E65">
        <w:rPr>
          <w:rtl/>
          <w:lang w:bidi="fa-IR"/>
        </w:rPr>
        <w:t xml:space="preserve">قَدْ جَاءَنِي </w:t>
      </w:r>
      <w:r>
        <w:rPr>
          <w:rStyle w:val="libFootnotenumChar"/>
          <w:rtl/>
        </w:rPr>
        <w:t>(12)</w:t>
      </w:r>
      <w:r w:rsidRPr="00132E65">
        <w:rPr>
          <w:rtl/>
          <w:lang w:bidi="fa-IR"/>
        </w:rPr>
        <w:t xml:space="preserve"> و</w:t>
      </w:r>
      <w:r w:rsidR="00882D8E">
        <w:rPr>
          <w:rFonts w:hint="cs"/>
          <w:rtl/>
          <w:lang w:bidi="fa-IR"/>
        </w:rPr>
        <w:t>َ</w:t>
      </w:r>
      <w:r w:rsidRPr="00132E65">
        <w:rPr>
          <w:rtl/>
          <w:lang w:bidi="fa-IR"/>
        </w:rPr>
        <w:t>اللهِ عَلَامَةُ سَيِّدِي.</w:t>
      </w:r>
    </w:p>
    <w:p w:rsidR="000C39D1" w:rsidRPr="00132E65" w:rsidRDefault="000C39D1" w:rsidP="000C39D1">
      <w:pPr>
        <w:pStyle w:val="libNormal"/>
        <w:rPr>
          <w:rtl/>
          <w:lang w:bidi="fa-IR"/>
        </w:rPr>
      </w:pPr>
      <w:r w:rsidRPr="00132E65">
        <w:rPr>
          <w:rtl/>
          <w:lang w:bidi="fa-IR"/>
        </w:rPr>
        <w:t>فَقَبَضَ ذلِكَ مِنْهَا ، و</w:t>
      </w:r>
      <w:r w:rsidR="00882D8E">
        <w:rPr>
          <w:rFonts w:hint="cs"/>
          <w:rtl/>
          <w:lang w:bidi="fa-IR"/>
        </w:rPr>
        <w:t>َ</w:t>
      </w:r>
      <w:r w:rsidRPr="00132E65">
        <w:rPr>
          <w:rtl/>
          <w:lang w:bidi="fa-IR"/>
        </w:rPr>
        <w:t xml:space="preserve">أَمَرَهُمْ </w:t>
      </w:r>
      <w:r w:rsidRPr="00F543F1">
        <w:rPr>
          <w:rStyle w:val="libFootnotenumChar"/>
          <w:rtl/>
        </w:rPr>
        <w:t>(13)</w:t>
      </w:r>
      <w:r w:rsidRPr="00132E65">
        <w:rPr>
          <w:rtl/>
          <w:lang w:bidi="fa-IR"/>
        </w:rPr>
        <w:t xml:space="preserve"> بِالْإِمْسَاكِ جَمِيعاً إِلى أَنْ ورَدَ الْخَبَرُ ، وانْصَرَفَ فَلَمْ يَعُدْ </w:t>
      </w:r>
      <w:r w:rsidRPr="00F543F1">
        <w:rPr>
          <w:rStyle w:val="libFootnotenumChar"/>
          <w:rtl/>
        </w:rPr>
        <w:t>(14)</w:t>
      </w:r>
      <w:r w:rsidRPr="00132E65">
        <w:rPr>
          <w:rtl/>
          <w:lang w:bidi="fa-IR"/>
        </w:rPr>
        <w:t xml:space="preserve"> لِشَيْ‌ءٍ </w:t>
      </w:r>
      <w:r w:rsidRPr="00F543F1">
        <w:rPr>
          <w:rStyle w:val="libFootnotenumChar"/>
          <w:rtl/>
        </w:rPr>
        <w:t>(15)</w:t>
      </w:r>
      <w:r w:rsidRPr="00132E65">
        <w:rPr>
          <w:rtl/>
          <w:lang w:bidi="fa-IR"/>
        </w:rPr>
        <w:t xml:space="preserve"> مِنَ الْمَبِيتِ ، كَمَا كَانَ يَفْعَلُ ، فَمَا لَب</w:t>
      </w:r>
      <w:r w:rsidR="00882D8E">
        <w:rPr>
          <w:rtl/>
          <w:lang w:bidi="fa-IR"/>
        </w:rPr>
        <w:t>ِثْنَا إِل</w:t>
      </w:r>
      <w:r w:rsidR="00882D8E">
        <w:rPr>
          <w:rFonts w:hint="cs"/>
          <w:rtl/>
          <w:lang w:bidi="fa-IR"/>
        </w:rPr>
        <w:t>َّ</w:t>
      </w:r>
      <w:r w:rsidR="00882D8E">
        <w:rPr>
          <w:rtl/>
          <w:lang w:bidi="fa-IR"/>
        </w:rPr>
        <w:t>ا</w:t>
      </w:r>
      <w:r w:rsidRPr="00132E65">
        <w:rPr>
          <w:rtl/>
          <w:lang w:bidi="fa-IR"/>
        </w:rPr>
        <w:t xml:space="preserve"> أَيَّاماً يَسِيرَةً حَتّى جَاءَتِ‌</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82D8E" w:rsidTr="00882D8E">
        <w:tc>
          <w:tcPr>
            <w:tcW w:w="4006" w:type="dxa"/>
          </w:tcPr>
          <w:p w:rsidR="00882D8E" w:rsidRDefault="00882D8E" w:rsidP="000C39D1">
            <w:pPr>
              <w:pStyle w:val="libFootnote0"/>
              <w:rPr>
                <w:rtl/>
              </w:rPr>
            </w:pPr>
            <w:r>
              <w:rPr>
                <w:rtl/>
              </w:rPr>
              <w:t>(1).</w:t>
            </w:r>
            <w:r w:rsidRPr="00132E65">
              <w:rPr>
                <w:rtl/>
              </w:rPr>
              <w:t xml:space="preserve"> في البحار : « هاتي »</w:t>
            </w:r>
            <w:r>
              <w:rPr>
                <w:rtl/>
              </w:rPr>
              <w:t>.</w:t>
            </w:r>
          </w:p>
        </w:tc>
        <w:tc>
          <w:tcPr>
            <w:tcW w:w="4006" w:type="dxa"/>
          </w:tcPr>
          <w:p w:rsidR="00882D8E" w:rsidRDefault="00882D8E" w:rsidP="00882D8E">
            <w:pPr>
              <w:pStyle w:val="libFootnote0"/>
              <w:rPr>
                <w:rtl/>
              </w:rPr>
            </w:pPr>
            <w:r>
              <w:rPr>
                <w:rtl/>
              </w:rPr>
              <w:t>(2). في «ج،ض،ف ،بح،بر»</w:t>
            </w:r>
            <w:r w:rsidRPr="00132E65">
              <w:rPr>
                <w:rtl/>
              </w:rPr>
              <w:t>و</w:t>
            </w:r>
            <w:r w:rsidRPr="009D1ACE">
              <w:rPr>
                <w:rStyle w:val="libFootnoteBoldChar"/>
                <w:rtl/>
              </w:rPr>
              <w:t>الوافي</w:t>
            </w:r>
            <w:r>
              <w:rPr>
                <w:rtl/>
              </w:rPr>
              <w:t xml:space="preserve"> والبحار:«الذي</w:t>
            </w:r>
            <w:r w:rsidRPr="00132E65">
              <w:rPr>
                <w:rtl/>
              </w:rPr>
              <w:t>»</w:t>
            </w:r>
            <w:r>
              <w:rPr>
                <w:rtl/>
              </w:rPr>
              <w:t>.</w:t>
            </w:r>
          </w:p>
        </w:tc>
      </w:tr>
    </w:tbl>
    <w:p w:rsidR="000C39D1" w:rsidRPr="00132E65" w:rsidRDefault="000C39D1" w:rsidP="000C39D1">
      <w:pPr>
        <w:pStyle w:val="libFootnote0"/>
        <w:rPr>
          <w:rtl/>
          <w:lang w:bidi="fa-IR"/>
        </w:rPr>
      </w:pPr>
      <w:r>
        <w:rPr>
          <w:rtl/>
        </w:rPr>
        <w:t>(3).</w:t>
      </w:r>
      <w:r w:rsidRPr="00132E65">
        <w:rPr>
          <w:rtl/>
        </w:rPr>
        <w:t xml:space="preserve"> « فَصَرَخَتْ » ، أي صاحت صيحةً شديدةً. راجع : </w:t>
      </w:r>
      <w:r w:rsidRPr="00882D8E">
        <w:rPr>
          <w:rStyle w:val="libFootnoteBoldChar"/>
          <w:rtl/>
        </w:rPr>
        <w:t>القاموس المحيط</w:t>
      </w:r>
      <w:r w:rsidRPr="00132E65">
        <w:rPr>
          <w:rtl/>
        </w:rPr>
        <w:t xml:space="preserve"> ، ج 5 ، ص 378 ( صرخ )</w:t>
      </w:r>
      <w:r>
        <w:rPr>
          <w:rtl/>
        </w:rPr>
        <w:t>.</w:t>
      </w:r>
    </w:p>
    <w:p w:rsidR="000C39D1" w:rsidRPr="00132E65" w:rsidRDefault="000C39D1" w:rsidP="000C39D1">
      <w:pPr>
        <w:pStyle w:val="libFootnote0"/>
        <w:rPr>
          <w:rtl/>
          <w:lang w:bidi="fa-IR"/>
        </w:rPr>
      </w:pPr>
      <w:r>
        <w:rPr>
          <w:rtl/>
        </w:rPr>
        <w:t>(4).</w:t>
      </w:r>
      <w:r w:rsidRPr="00132E65">
        <w:rPr>
          <w:rtl/>
        </w:rPr>
        <w:t xml:space="preserve"> في « ج » : « زِيقها »</w:t>
      </w:r>
      <w:r>
        <w:rPr>
          <w:rtl/>
        </w:rPr>
        <w:t>.</w:t>
      </w:r>
      <w:r w:rsidRPr="00132E65">
        <w:rPr>
          <w:rtl/>
        </w:rPr>
        <w:t xml:space="preserve"> والزِيق من الثوب ما أحاط منه بالعنق ، وما كفّ من جانب الجيب.</w:t>
      </w:r>
    </w:p>
    <w:tbl>
      <w:tblPr>
        <w:tblStyle w:val="TableGrid"/>
        <w:bidiVisual/>
        <w:tblW w:w="0" w:type="auto"/>
        <w:tblLook w:val="04A0" w:firstRow="1" w:lastRow="0" w:firstColumn="1" w:lastColumn="0" w:noHBand="0" w:noVBand="1"/>
      </w:tblPr>
      <w:tblGrid>
        <w:gridCol w:w="4006"/>
        <w:gridCol w:w="4006"/>
      </w:tblGrid>
      <w:tr w:rsidR="00882D8E" w:rsidTr="00882D8E">
        <w:tc>
          <w:tcPr>
            <w:tcW w:w="4006" w:type="dxa"/>
          </w:tcPr>
          <w:p w:rsidR="00882D8E" w:rsidRDefault="00882D8E" w:rsidP="000C39D1">
            <w:pPr>
              <w:pStyle w:val="libFootnote0"/>
              <w:rPr>
                <w:rtl/>
              </w:rPr>
            </w:pPr>
            <w:r>
              <w:rPr>
                <w:rtl/>
              </w:rPr>
              <w:t>(5).</w:t>
            </w:r>
            <w:r w:rsidRPr="00132E65">
              <w:rPr>
                <w:rtl/>
              </w:rPr>
              <w:t xml:space="preserve"> في « بح » : « لا تكلّمني »</w:t>
            </w:r>
            <w:r>
              <w:rPr>
                <w:rtl/>
              </w:rPr>
              <w:t>.</w:t>
            </w:r>
          </w:p>
        </w:tc>
        <w:tc>
          <w:tcPr>
            <w:tcW w:w="4006" w:type="dxa"/>
          </w:tcPr>
          <w:p w:rsidR="00882D8E" w:rsidRDefault="00882D8E" w:rsidP="000C39D1">
            <w:pPr>
              <w:pStyle w:val="libFootnote0"/>
              <w:rPr>
                <w:rtl/>
              </w:rPr>
            </w:pPr>
            <w:r>
              <w:rPr>
                <w:rtl/>
              </w:rPr>
              <w:t>(6).</w:t>
            </w:r>
            <w:r w:rsidRPr="00132E65">
              <w:rPr>
                <w:rtl/>
              </w:rPr>
              <w:t xml:space="preserve"> في « بح » : « لا تظهر به »</w:t>
            </w:r>
            <w:r>
              <w:rPr>
                <w:rtl/>
              </w:rPr>
              <w:t>.</w:t>
            </w:r>
          </w:p>
        </w:tc>
      </w:tr>
    </w:tbl>
    <w:p w:rsidR="000C39D1" w:rsidRPr="00132E65" w:rsidRDefault="000C39D1" w:rsidP="000C39D1">
      <w:pPr>
        <w:pStyle w:val="libFootnote0"/>
        <w:rPr>
          <w:rtl/>
          <w:lang w:bidi="fa-IR"/>
        </w:rPr>
      </w:pPr>
      <w:r>
        <w:rPr>
          <w:rtl/>
        </w:rPr>
        <w:t>(7).</w:t>
      </w:r>
      <w:r w:rsidRPr="00132E65">
        <w:rPr>
          <w:rtl/>
        </w:rPr>
        <w:t xml:space="preserve"> « السَفَطُ » : واحد الأسفاط ، وهو ما يُعَبَّى ويُصانُ فيه الطيب وما أشبهه من آلات النساء ، ويستعار للتابوت</w:t>
      </w:r>
      <w:r w:rsidR="00882D8E">
        <w:rPr>
          <w:rFonts w:hint="cs"/>
          <w:rtl/>
        </w:rPr>
        <w:t xml:space="preserve"> </w:t>
      </w:r>
      <w:r w:rsidRPr="00132E65">
        <w:rPr>
          <w:rtl/>
        </w:rPr>
        <w:t>‌الصغير. وقال الفيض : « وسَفَط ، معرّب سَبَد »</w:t>
      </w:r>
      <w:r>
        <w:rPr>
          <w:rtl/>
        </w:rPr>
        <w:t>.</w:t>
      </w:r>
      <w:r w:rsidRPr="00132E65">
        <w:rPr>
          <w:rtl/>
        </w:rPr>
        <w:t xml:space="preserve"> </w:t>
      </w:r>
      <w:r w:rsidRPr="00882D8E">
        <w:rPr>
          <w:rStyle w:val="libFootnoteBoldChar"/>
          <w:rtl/>
        </w:rPr>
        <w:t>المغرب</w:t>
      </w:r>
      <w:r w:rsidRPr="00132E65">
        <w:rPr>
          <w:rtl/>
        </w:rPr>
        <w:t xml:space="preserve"> ، ص 226 ( سفط )</w:t>
      </w:r>
      <w:r>
        <w:rPr>
          <w:rtl/>
        </w:rPr>
        <w:t>.</w:t>
      </w:r>
    </w:p>
    <w:p w:rsidR="000C39D1" w:rsidRPr="00132E65" w:rsidRDefault="000C39D1" w:rsidP="000C39D1">
      <w:pPr>
        <w:pStyle w:val="libFootnote0"/>
        <w:rPr>
          <w:rtl/>
          <w:lang w:bidi="fa-IR"/>
        </w:rPr>
      </w:pPr>
      <w:r>
        <w:rPr>
          <w:rtl/>
        </w:rPr>
        <w:t>(8).</w:t>
      </w:r>
      <w:r w:rsidRPr="00132E65">
        <w:rPr>
          <w:rtl/>
        </w:rPr>
        <w:t xml:space="preserve"> في « ف ، بر ، بف » وحاشية « بح » : « أميره »</w:t>
      </w:r>
      <w:r>
        <w:rPr>
          <w:rtl/>
        </w:rPr>
        <w:t>.</w:t>
      </w:r>
      <w:r w:rsidRPr="00132E65">
        <w:rPr>
          <w:rtl/>
        </w:rPr>
        <w:t xml:space="preserve"> وقوله : « كانت أثيرة عنده » ، معترضة من كلام مسافر. </w:t>
      </w:r>
      <w:r>
        <w:rPr>
          <w:rtl/>
        </w:rPr>
        <w:t>و «</w:t>
      </w:r>
      <w:r w:rsidRPr="00132E65">
        <w:rPr>
          <w:rtl/>
        </w:rPr>
        <w:t xml:space="preserve"> عنده » أي‌</w:t>
      </w:r>
      <w:r w:rsidR="00882D8E">
        <w:rPr>
          <w:rFonts w:hint="cs"/>
          <w:rtl/>
        </w:rPr>
        <w:t xml:space="preserve"> </w:t>
      </w:r>
      <w:r w:rsidRPr="00132E65">
        <w:rPr>
          <w:rtl/>
        </w:rPr>
        <w:t xml:space="preserve">عند الكاظم </w:t>
      </w:r>
      <w:r w:rsidRPr="00882D8E">
        <w:rPr>
          <w:rStyle w:val="libFootnoteAlaemChar"/>
          <w:rtl/>
        </w:rPr>
        <w:t>عليه‌السلام</w:t>
      </w:r>
      <w:r w:rsidRPr="00132E65">
        <w:rPr>
          <w:rtl/>
        </w:rPr>
        <w:t xml:space="preserve">. </w:t>
      </w:r>
      <w:r>
        <w:rPr>
          <w:rtl/>
        </w:rPr>
        <w:t>و «</w:t>
      </w:r>
      <w:r w:rsidR="00882D8E">
        <w:rPr>
          <w:rtl/>
        </w:rPr>
        <w:t xml:space="preserve"> الأثيرة » : المكينة والم</w:t>
      </w:r>
      <w:r w:rsidR="00882D8E">
        <w:rPr>
          <w:rFonts w:hint="cs"/>
          <w:rtl/>
        </w:rPr>
        <w:t>ـُ</w:t>
      </w:r>
      <w:r w:rsidRPr="00132E65">
        <w:rPr>
          <w:rtl/>
        </w:rPr>
        <w:t>كْرَمة. يقال : رجل أثير ، أي مكين مُكْرَم ، والجمع ا</w:t>
      </w:r>
      <w:r w:rsidR="00882D8E">
        <w:rPr>
          <w:rFonts w:hint="cs"/>
          <w:rtl/>
        </w:rPr>
        <w:t>ُ</w:t>
      </w:r>
      <w:r w:rsidRPr="00132E65">
        <w:rPr>
          <w:rtl/>
        </w:rPr>
        <w:t>ثَراء ، والا</w:t>
      </w:r>
      <w:r w:rsidR="00882D8E">
        <w:rPr>
          <w:rFonts w:hint="cs"/>
          <w:rtl/>
        </w:rPr>
        <w:t>ُ</w:t>
      </w:r>
      <w:r w:rsidRPr="00132E65">
        <w:rPr>
          <w:rtl/>
        </w:rPr>
        <w:t xml:space="preserve">نثى أثيرة. </w:t>
      </w:r>
      <w:r w:rsidRPr="009D1ACE">
        <w:rPr>
          <w:rStyle w:val="libFootnoteBoldChar"/>
          <w:rtl/>
        </w:rPr>
        <w:t>مرآة العقول</w:t>
      </w:r>
      <w:r w:rsidRPr="00132E65">
        <w:rPr>
          <w:rtl/>
        </w:rPr>
        <w:t xml:space="preserve"> ، ج 4 ، ص 241 ؛ </w:t>
      </w:r>
      <w:r w:rsidRPr="009D1ACE">
        <w:rPr>
          <w:rStyle w:val="libFootnoteBoldChar"/>
          <w:rtl/>
        </w:rPr>
        <w:t>لسان العرب</w:t>
      </w:r>
      <w:r w:rsidRPr="00132E65">
        <w:rPr>
          <w:rtl/>
        </w:rPr>
        <w:t xml:space="preserve"> ، ج 4 ، ص 7 ( أثر )</w:t>
      </w:r>
      <w:r>
        <w:rPr>
          <w:rtl/>
        </w:rPr>
        <w:t>.</w:t>
      </w:r>
    </w:p>
    <w:tbl>
      <w:tblPr>
        <w:tblStyle w:val="TableGrid"/>
        <w:bidiVisual/>
        <w:tblW w:w="0" w:type="auto"/>
        <w:tblLook w:val="04A0" w:firstRow="1" w:lastRow="0" w:firstColumn="1" w:lastColumn="0" w:noHBand="0" w:noVBand="1"/>
      </w:tblPr>
      <w:tblGrid>
        <w:gridCol w:w="4006"/>
        <w:gridCol w:w="4006"/>
      </w:tblGrid>
      <w:tr w:rsidR="00882D8E" w:rsidTr="00882D8E">
        <w:tc>
          <w:tcPr>
            <w:tcW w:w="4006" w:type="dxa"/>
          </w:tcPr>
          <w:p w:rsidR="00882D8E" w:rsidRDefault="00882D8E" w:rsidP="000C39D1">
            <w:pPr>
              <w:pStyle w:val="libFootnote0"/>
              <w:rPr>
                <w:rtl/>
              </w:rPr>
            </w:pPr>
            <w:r>
              <w:rPr>
                <w:rtl/>
              </w:rPr>
              <w:t>(9).</w:t>
            </w:r>
            <w:r w:rsidRPr="00132E65">
              <w:rPr>
                <w:rtl/>
              </w:rPr>
              <w:t xml:space="preserve"> في « بح » : « هذه »</w:t>
            </w:r>
            <w:r>
              <w:rPr>
                <w:rtl/>
              </w:rPr>
              <w:t>.</w:t>
            </w:r>
          </w:p>
        </w:tc>
        <w:tc>
          <w:tcPr>
            <w:tcW w:w="4006" w:type="dxa"/>
          </w:tcPr>
          <w:p w:rsidR="00882D8E" w:rsidRDefault="00882D8E" w:rsidP="000C39D1">
            <w:pPr>
              <w:pStyle w:val="libFootnote0"/>
              <w:rPr>
                <w:rtl/>
              </w:rPr>
            </w:pPr>
            <w:r>
              <w:rPr>
                <w:rtl/>
              </w:rPr>
              <w:t>(10).</w:t>
            </w:r>
            <w:r w:rsidRPr="00132E65">
              <w:rPr>
                <w:rtl/>
              </w:rPr>
              <w:t xml:space="preserve"> في « ف » : « ولا »</w:t>
            </w:r>
            <w:r>
              <w:rPr>
                <w:rtl/>
              </w:rPr>
              <w:t>.</w:t>
            </w:r>
          </w:p>
        </w:tc>
      </w:tr>
    </w:tbl>
    <w:p w:rsidR="000C39D1" w:rsidRPr="00132E65" w:rsidRDefault="000C39D1" w:rsidP="000C39D1">
      <w:pPr>
        <w:pStyle w:val="libFootnote0"/>
        <w:rPr>
          <w:rtl/>
          <w:lang w:bidi="fa-IR"/>
        </w:rPr>
      </w:pPr>
      <w:r>
        <w:rPr>
          <w:rtl/>
        </w:rPr>
        <w:t>(11).</w:t>
      </w:r>
      <w:r w:rsidRPr="00132E65">
        <w:rPr>
          <w:rtl/>
        </w:rPr>
        <w:t xml:space="preserve"> في « بر » : « مُتّ » بضمّ الميم وجاء جمع المخاطب في القرآن بضمّ الميم وكسرها كما في آل عمران في‌الآيتين : 157 </w:t>
      </w:r>
      <w:r>
        <w:rPr>
          <w:rtl/>
        </w:rPr>
        <w:t>و 1</w:t>
      </w:r>
      <w:r w:rsidRPr="00132E65">
        <w:rPr>
          <w:rtl/>
        </w:rPr>
        <w:t>58 وفي سورة المؤمنون في الآية : 35.</w:t>
      </w:r>
    </w:p>
    <w:p w:rsidR="000C39D1" w:rsidRPr="00132E65" w:rsidRDefault="000C39D1" w:rsidP="000C39D1">
      <w:pPr>
        <w:pStyle w:val="libFootnote0"/>
        <w:rPr>
          <w:rtl/>
          <w:lang w:bidi="fa-IR"/>
        </w:rPr>
      </w:pPr>
      <w:r>
        <w:rPr>
          <w:rtl/>
        </w:rPr>
        <w:t>(12).</w:t>
      </w:r>
      <w:r w:rsidRPr="00132E65">
        <w:rPr>
          <w:rtl/>
        </w:rPr>
        <w:t xml:space="preserve"> في « ض ، ف ، بح ، بر » و</w:t>
      </w:r>
      <w:r w:rsidRPr="009D1ACE">
        <w:rPr>
          <w:rStyle w:val="libFootnoteBoldChar"/>
          <w:rtl/>
        </w:rPr>
        <w:t>الوافي</w:t>
      </w:r>
      <w:r w:rsidRPr="00132E65">
        <w:rPr>
          <w:rtl/>
        </w:rPr>
        <w:t xml:space="preserve"> والبحار : « جاءتني »</w:t>
      </w:r>
      <w:r>
        <w:rPr>
          <w:rtl/>
        </w:rPr>
        <w:t>.</w:t>
      </w:r>
    </w:p>
    <w:tbl>
      <w:tblPr>
        <w:tblStyle w:val="TableGrid"/>
        <w:bidiVisual/>
        <w:tblW w:w="0" w:type="auto"/>
        <w:tblLook w:val="04A0" w:firstRow="1" w:lastRow="0" w:firstColumn="1" w:lastColumn="0" w:noHBand="0" w:noVBand="1"/>
      </w:tblPr>
      <w:tblGrid>
        <w:gridCol w:w="4006"/>
        <w:gridCol w:w="4006"/>
      </w:tblGrid>
      <w:tr w:rsidR="00882D8E" w:rsidTr="00882D8E">
        <w:tc>
          <w:tcPr>
            <w:tcW w:w="4006" w:type="dxa"/>
          </w:tcPr>
          <w:p w:rsidR="00882D8E" w:rsidRDefault="00882D8E" w:rsidP="000C39D1">
            <w:pPr>
              <w:pStyle w:val="libFootnote0"/>
              <w:rPr>
                <w:rtl/>
              </w:rPr>
            </w:pPr>
            <w:r>
              <w:rPr>
                <w:rtl/>
              </w:rPr>
              <w:t>(13)</w:t>
            </w:r>
            <w:r w:rsidRPr="00132E65">
              <w:rPr>
                <w:rtl/>
              </w:rPr>
              <w:t xml:space="preserve"> في « ف » : « فأمرهم »</w:t>
            </w:r>
            <w:r>
              <w:rPr>
                <w:rtl/>
              </w:rPr>
              <w:t>.</w:t>
            </w:r>
          </w:p>
        </w:tc>
        <w:tc>
          <w:tcPr>
            <w:tcW w:w="4006" w:type="dxa"/>
          </w:tcPr>
          <w:p w:rsidR="00882D8E" w:rsidRDefault="00882D8E" w:rsidP="000C39D1">
            <w:pPr>
              <w:pStyle w:val="libFootnote0"/>
              <w:rPr>
                <w:rtl/>
              </w:rPr>
            </w:pPr>
            <w:r>
              <w:rPr>
                <w:rtl/>
              </w:rPr>
              <w:t>(14)</w:t>
            </w:r>
            <w:r w:rsidRPr="00132E65">
              <w:rPr>
                <w:rtl/>
              </w:rPr>
              <w:t xml:space="preserve"> في « بح » : « ولم يعد »</w:t>
            </w:r>
            <w:r>
              <w:rPr>
                <w:rtl/>
              </w:rPr>
              <w:t>.</w:t>
            </w:r>
          </w:p>
        </w:tc>
      </w:tr>
    </w:tbl>
    <w:p w:rsidR="000C39D1" w:rsidRPr="00132E65" w:rsidRDefault="000C39D1" w:rsidP="000C39D1">
      <w:pPr>
        <w:pStyle w:val="libFootnote0"/>
        <w:rPr>
          <w:rtl/>
          <w:lang w:bidi="fa-IR"/>
        </w:rPr>
      </w:pPr>
      <w:r>
        <w:rPr>
          <w:rtl/>
        </w:rPr>
        <w:t>(15)</w:t>
      </w:r>
      <w:r w:rsidRPr="00132E65">
        <w:rPr>
          <w:rtl/>
        </w:rPr>
        <w:t xml:space="preserve"> في « ف » والبحار : « بشي‌ء »</w:t>
      </w:r>
      <w:r>
        <w:rPr>
          <w:rtl/>
        </w:rPr>
        <w:t>.</w:t>
      </w:r>
    </w:p>
    <w:p w:rsidR="000C39D1" w:rsidRDefault="000C39D1" w:rsidP="000C39D1">
      <w:pPr>
        <w:pStyle w:val="libNormal0"/>
        <w:tabs>
          <w:tab w:val="left" w:pos="3968"/>
        </w:tabs>
        <w:rPr>
          <w:rtl/>
          <w:lang w:bidi="fa-IR"/>
        </w:rPr>
      </w:pPr>
      <w:r>
        <w:rPr>
          <w:rtl/>
          <w:lang w:bidi="fa-IR"/>
        </w:rPr>
        <w:br w:type="page"/>
      </w:r>
    </w:p>
    <w:p w:rsidR="000C39D1" w:rsidRPr="00CE4585" w:rsidRDefault="000C39D1" w:rsidP="000C39D1">
      <w:pPr>
        <w:pStyle w:val="libNormal0"/>
        <w:tabs>
          <w:tab w:val="left" w:pos="3968"/>
        </w:tabs>
        <w:rPr>
          <w:rtl/>
        </w:rPr>
      </w:pPr>
      <w:r w:rsidRPr="00132E65">
        <w:rPr>
          <w:rtl/>
          <w:lang w:bidi="fa-IR"/>
        </w:rPr>
        <w:t xml:space="preserve">الْخَرِيطَةُ </w:t>
      </w:r>
      <w:r>
        <w:rPr>
          <w:rStyle w:val="libFootnotenumChar"/>
          <w:rtl/>
        </w:rPr>
        <w:t>(1)</w:t>
      </w:r>
      <w:r w:rsidRPr="00132E65">
        <w:rPr>
          <w:rtl/>
          <w:lang w:bidi="fa-IR"/>
        </w:rPr>
        <w:t xml:space="preserve"> بِنَعْيِهِ </w:t>
      </w:r>
      <w:r>
        <w:rPr>
          <w:rStyle w:val="libFootnotenumChar"/>
          <w:rtl/>
        </w:rPr>
        <w:t>(2)</w:t>
      </w:r>
      <w:r w:rsidRPr="00132E65">
        <w:rPr>
          <w:rtl/>
          <w:lang w:bidi="fa-IR"/>
        </w:rPr>
        <w:t xml:space="preserve"> ، فَعَدَدْنَا </w:t>
      </w:r>
      <w:r>
        <w:rPr>
          <w:rStyle w:val="libFootnotenumChar"/>
          <w:rtl/>
        </w:rPr>
        <w:t>(3)</w:t>
      </w:r>
      <w:r w:rsidRPr="00132E65">
        <w:rPr>
          <w:rtl/>
          <w:lang w:bidi="fa-IR"/>
        </w:rPr>
        <w:t xml:space="preserve"> الْأَيَّامَ ، و</w:t>
      </w:r>
      <w:r w:rsidR="00882D8E">
        <w:rPr>
          <w:rFonts w:hint="cs"/>
          <w:rtl/>
          <w:lang w:bidi="fa-IR"/>
        </w:rPr>
        <w:t>َ</w:t>
      </w:r>
      <w:r w:rsidRPr="00132E65">
        <w:rPr>
          <w:rtl/>
          <w:lang w:bidi="fa-IR"/>
        </w:rPr>
        <w:t xml:space="preserve">تَفَقَّدْنَا الْوَقْتَ </w:t>
      </w:r>
      <w:r>
        <w:rPr>
          <w:rStyle w:val="libFootnotenumChar"/>
          <w:rtl/>
        </w:rPr>
        <w:t>(4)</w:t>
      </w:r>
      <w:r w:rsidRPr="00132E65">
        <w:rPr>
          <w:rtl/>
          <w:lang w:bidi="fa-IR"/>
        </w:rPr>
        <w:t xml:space="preserve"> ، فَإِذَا هُوَ قَدْ مَاتَ فِي الْوَقْتِ الَّذِي فَعَلَ أَبُو الْحَسَنِ </w:t>
      </w:r>
      <w:r w:rsidRPr="00071CF9">
        <w:rPr>
          <w:rStyle w:val="libAlaemChar"/>
          <w:rtl/>
        </w:rPr>
        <w:t>عليه‌السلام</w:t>
      </w:r>
      <w:r w:rsidRPr="00132E65">
        <w:rPr>
          <w:rtl/>
          <w:lang w:bidi="fa-IR"/>
        </w:rPr>
        <w:t xml:space="preserve"> مَا فَعَلَ مِنْ تَخَلُّفِهِ عَنِ الْمَبِيتِ وقَبْضِهِ لِمَا قَبَضَ. </w:t>
      </w:r>
      <w:r>
        <w:rPr>
          <w:rStyle w:val="libFootnotenumChar"/>
          <w:rtl/>
        </w:rPr>
        <w:t>(5)</w:t>
      </w:r>
      <w:r w:rsidRPr="00132E65">
        <w:rPr>
          <w:rtl/>
          <w:lang w:bidi="fa-IR"/>
        </w:rPr>
        <w:t xml:space="preserve"> ‌</w:t>
      </w:r>
    </w:p>
    <w:p w:rsidR="000C39D1" w:rsidRPr="00132E65" w:rsidRDefault="000C39D1" w:rsidP="00882D8E">
      <w:pPr>
        <w:pStyle w:val="Heading2Center"/>
        <w:rPr>
          <w:rtl/>
          <w:lang w:bidi="fa-IR"/>
        </w:rPr>
      </w:pPr>
      <w:bookmarkStart w:id="72" w:name="_Toc459459122"/>
      <w:bookmarkStart w:id="73" w:name="_Toc34663091"/>
      <w:r w:rsidRPr="00132E65">
        <w:rPr>
          <w:rtl/>
          <w:lang w:bidi="fa-IR"/>
        </w:rPr>
        <w:t>91</w:t>
      </w:r>
      <w:r>
        <w:rPr>
          <w:rtl/>
          <w:lang w:bidi="fa-IR"/>
        </w:rPr>
        <w:t xml:space="preserve"> - </w:t>
      </w:r>
      <w:r w:rsidRPr="00132E65">
        <w:rPr>
          <w:rtl/>
          <w:lang w:bidi="fa-IR"/>
        </w:rPr>
        <w:t xml:space="preserve">بَابُ حَالَاتِ الْأَئِمَّةِ </w:t>
      </w:r>
      <w:r w:rsidR="00882D8E" w:rsidRPr="00882D8E">
        <w:rPr>
          <w:rStyle w:val="libAlaemChar"/>
          <w:rFonts w:eastAsiaTheme="minorHAnsi"/>
          <w:rtl/>
        </w:rPr>
        <w:t>عليهم‌السلام</w:t>
      </w:r>
      <w:r w:rsidR="00882D8E" w:rsidRPr="00132E65">
        <w:rPr>
          <w:rtl/>
          <w:lang w:bidi="fa-IR"/>
        </w:rPr>
        <w:t xml:space="preserve"> </w:t>
      </w:r>
      <w:r w:rsidRPr="00132E65">
        <w:rPr>
          <w:rtl/>
          <w:lang w:bidi="fa-IR"/>
        </w:rPr>
        <w:t>فِي السِّنِّ‌</w:t>
      </w:r>
      <w:bookmarkEnd w:id="72"/>
      <w:bookmarkEnd w:id="73"/>
    </w:p>
    <w:p w:rsidR="000C39D1" w:rsidRPr="00132E65" w:rsidRDefault="000C39D1" w:rsidP="000C39D1">
      <w:pPr>
        <w:pStyle w:val="libNormal"/>
        <w:rPr>
          <w:rtl/>
          <w:lang w:bidi="fa-IR"/>
        </w:rPr>
      </w:pPr>
      <w:r w:rsidRPr="00BB3FFF">
        <w:rPr>
          <w:rtl/>
        </w:rPr>
        <w:t>995</w:t>
      </w:r>
      <w:r w:rsidRPr="004325D8">
        <w:rPr>
          <w:rStyle w:val="libBold2Char"/>
          <w:rtl/>
        </w:rPr>
        <w:t xml:space="preserve"> / 1.</w:t>
      </w:r>
      <w:r w:rsidRPr="00132E65">
        <w:rPr>
          <w:rtl/>
          <w:lang w:bidi="fa-IR"/>
        </w:rPr>
        <w:t xml:space="preserve"> عِدَّةٌ مِنْ أَصْحَابِنَا ، عَنْ أَحْمَدَ بْنِ مُحَمَّدِ بْنِ عِيسى ، عَنِ ابْنِ مَحْبُوبٍ ، عَنْ هِشَامِ بْنِ سَالِمٍ ، عَنْ يَزِيدَ </w:t>
      </w:r>
      <w:r>
        <w:rPr>
          <w:rStyle w:val="libFootnotenumChar"/>
          <w:rtl/>
        </w:rPr>
        <w:t>(6)</w:t>
      </w:r>
      <w:r w:rsidRPr="00132E65">
        <w:rPr>
          <w:rtl/>
          <w:lang w:bidi="fa-IR"/>
        </w:rPr>
        <w:t xml:space="preserve"> الْكُنَاسِيِّ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Pr>
          <w:rtl/>
          <w:lang w:bidi="fa-IR"/>
        </w:rPr>
        <w:t xml:space="preserve"> : أَ</w:t>
      </w:r>
      <w:r w:rsidRPr="00132E65">
        <w:rPr>
          <w:rtl/>
          <w:lang w:bidi="fa-IR"/>
        </w:rPr>
        <w:t xml:space="preserve">كَانَ </w:t>
      </w:r>
      <w:r>
        <w:rPr>
          <w:rStyle w:val="libFootnotenumChar"/>
          <w:rtl/>
        </w:rPr>
        <w:t>(7)</w:t>
      </w:r>
      <w:r w:rsidRPr="00132E65">
        <w:rPr>
          <w:rtl/>
          <w:lang w:bidi="fa-IR"/>
        </w:rPr>
        <w:t xml:space="preserve"> عِيسَى بْنُ مَرْيَمَ </w:t>
      </w:r>
      <w:r w:rsidRPr="00071CF9">
        <w:rPr>
          <w:rStyle w:val="libAlaemChar"/>
          <w:rtl/>
        </w:rPr>
        <w:t>عليه‌السلام</w:t>
      </w:r>
      <w:r>
        <w:rPr>
          <w:rtl/>
          <w:lang w:bidi="fa-IR"/>
        </w:rPr>
        <w:t xml:space="preserve"> - </w:t>
      </w:r>
      <w:r w:rsidRPr="00132E65">
        <w:rPr>
          <w:rtl/>
          <w:lang w:bidi="fa-IR"/>
        </w:rPr>
        <w:t>حِينَ تَكَلَّمَ فِي الْمَهْدِ</w:t>
      </w:r>
      <w:r>
        <w:rPr>
          <w:rtl/>
          <w:lang w:bidi="fa-IR"/>
        </w:rPr>
        <w:t xml:space="preserve"> - </w:t>
      </w:r>
      <w:r w:rsidRPr="00132E65">
        <w:rPr>
          <w:rtl/>
          <w:lang w:bidi="fa-IR"/>
        </w:rPr>
        <w:t xml:space="preserve">حُجَّةَ اللهِ </w:t>
      </w:r>
      <w:r>
        <w:rPr>
          <w:rStyle w:val="libFootnotenumChar"/>
          <w:rtl/>
        </w:rPr>
        <w:t>(8)</w:t>
      </w:r>
      <w:r w:rsidRPr="00132E65">
        <w:rPr>
          <w:rtl/>
          <w:lang w:bidi="fa-IR"/>
        </w:rPr>
        <w:t xml:space="preserve"> عَلى أَهْلِ زَمَانِهِ</w:t>
      </w:r>
      <w:r>
        <w:rPr>
          <w:rtl/>
          <w:lang w:bidi="fa-IR"/>
        </w:rPr>
        <w:t>؟</w:t>
      </w:r>
    </w:p>
    <w:p w:rsidR="000C39D1" w:rsidRPr="00132E65" w:rsidRDefault="000C39D1" w:rsidP="000C39D1">
      <w:pPr>
        <w:pStyle w:val="libNormal"/>
        <w:rPr>
          <w:rtl/>
          <w:lang w:bidi="fa-IR"/>
        </w:rPr>
      </w:pPr>
      <w:r w:rsidRPr="00132E65">
        <w:rPr>
          <w:rtl/>
          <w:lang w:bidi="fa-IR"/>
        </w:rPr>
        <w:t xml:space="preserve">فَقَالَ : « كَانَ يَوْمَئِذٍ نَبِيّاً حُجَّةَ اللهِ </w:t>
      </w:r>
      <w:r>
        <w:rPr>
          <w:rStyle w:val="libFootnotenumChar"/>
          <w:rtl/>
        </w:rPr>
        <w:t>(9)</w:t>
      </w:r>
      <w:r>
        <w:rPr>
          <w:rtl/>
          <w:lang w:bidi="fa-IR"/>
        </w:rPr>
        <w:t xml:space="preserve"> غَيْرَ مُرْسَلٍ ؛ أَ</w:t>
      </w:r>
      <w:r w:rsidRPr="00132E65">
        <w:rPr>
          <w:rtl/>
          <w:lang w:bidi="fa-IR"/>
        </w:rPr>
        <w:t xml:space="preserve">مَا تَسْمَعُ </w:t>
      </w:r>
      <w:r>
        <w:rPr>
          <w:rStyle w:val="libFootnotenumChar"/>
          <w:rtl/>
        </w:rPr>
        <w:t>(10)</w:t>
      </w:r>
      <w:r w:rsidRPr="00132E65">
        <w:rPr>
          <w:rtl/>
          <w:lang w:bidi="fa-IR"/>
        </w:rPr>
        <w:t xml:space="preserve"> لِقَوْلِهِ حِينَ قَالَ : </w:t>
      </w:r>
      <w:r w:rsidRPr="00071CF9">
        <w:rPr>
          <w:rStyle w:val="libAlaemChar"/>
          <w:rtl/>
        </w:rPr>
        <w:t>(</w:t>
      </w:r>
      <w:r w:rsidRPr="00071CF9">
        <w:rPr>
          <w:rStyle w:val="libAieChar"/>
          <w:rtl/>
        </w:rPr>
        <w:t xml:space="preserve"> إِنِّي عَبْدُ اللهِ آتانِيَ الْكِتابَ وَجَعَلَنِي نَبِيًّا </w:t>
      </w:r>
      <w:r w:rsidR="00882D8E">
        <w:rPr>
          <w:rStyle w:val="libAieChar"/>
          <w:rFonts w:hint="cs"/>
          <w:rtl/>
        </w:rPr>
        <w:t xml:space="preserve">* </w:t>
      </w:r>
      <w:r w:rsidRPr="00071CF9">
        <w:rPr>
          <w:rStyle w:val="libAieChar"/>
          <w:rtl/>
        </w:rPr>
        <w:t xml:space="preserve">وَجَعَلَنِي مُبارَكاً أَيْنَ ما كُنْتُ وَأَوْصانِي بِالصَّلاةِ وَالزَّكاةِ ما دُمْتُ حَيًّا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الخَريطَةُ : هَنَةٌ مثل الكيس تكون من الخِرَق والأَدَم تُشْرَج على ما فيها ، أي يُداخَلُ بين أشراجها وعراها ويُشَدُّفاه. قال الفيض : « الخريطة : شدّة البكاء »</w:t>
      </w:r>
      <w:r>
        <w:rPr>
          <w:rtl/>
        </w:rPr>
        <w:t>.</w:t>
      </w:r>
      <w:r w:rsidRPr="00132E65">
        <w:rPr>
          <w:rtl/>
        </w:rPr>
        <w:t xml:space="preserve"> فكأنّه أخذه من استخرط الرجل في البكاء ، أي لجّ فيه واشتدّ. راجع : </w:t>
      </w:r>
      <w:r w:rsidRPr="009D1ACE">
        <w:rPr>
          <w:rStyle w:val="libFootnoteBoldChar"/>
          <w:rtl/>
        </w:rPr>
        <w:t>لسان العرب</w:t>
      </w:r>
      <w:r w:rsidRPr="00132E65">
        <w:rPr>
          <w:rtl/>
        </w:rPr>
        <w:t xml:space="preserve"> ، ج 7 ، ص 285</w:t>
      </w:r>
      <w:r>
        <w:rPr>
          <w:rtl/>
        </w:rPr>
        <w:t xml:space="preserve"> - </w:t>
      </w:r>
      <w:r w:rsidRPr="00132E65">
        <w:rPr>
          <w:rtl/>
        </w:rPr>
        <w:t xml:space="preserve">286 ( خرط ) ؛ </w:t>
      </w:r>
      <w:r w:rsidRPr="009D1ACE">
        <w:rPr>
          <w:rStyle w:val="libFootnoteBoldChar"/>
          <w:rtl/>
        </w:rPr>
        <w:t>الوافي</w:t>
      </w:r>
      <w:r w:rsidRPr="00132E65">
        <w:rPr>
          <w:rtl/>
        </w:rPr>
        <w:t xml:space="preserve"> ، ج 3 ، ص 665.</w:t>
      </w:r>
    </w:p>
    <w:p w:rsidR="000C39D1" w:rsidRPr="00132E65" w:rsidRDefault="000C39D1" w:rsidP="000C39D1">
      <w:pPr>
        <w:pStyle w:val="libFootnote0"/>
        <w:rPr>
          <w:rtl/>
          <w:lang w:bidi="fa-IR"/>
        </w:rPr>
      </w:pPr>
      <w:r>
        <w:rPr>
          <w:rtl/>
        </w:rPr>
        <w:t>(2).</w:t>
      </w:r>
      <w:r w:rsidRPr="00132E65">
        <w:rPr>
          <w:rtl/>
        </w:rPr>
        <w:t xml:space="preserve"> النَعْيُ : خبر الموت. </w:t>
      </w:r>
      <w:r w:rsidRPr="00882D8E">
        <w:rPr>
          <w:rStyle w:val="libFootnoteBoldChar"/>
          <w:rtl/>
        </w:rPr>
        <w:t>الصحاح</w:t>
      </w:r>
      <w:r w:rsidRPr="00132E65">
        <w:rPr>
          <w:rtl/>
        </w:rPr>
        <w:t xml:space="preserve"> ، ج 6 ، ص 2512 ( نعا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فعدّدنا »</w:t>
      </w:r>
      <w:r>
        <w:rPr>
          <w:rtl/>
        </w:rPr>
        <w:t>.</w:t>
      </w:r>
    </w:p>
    <w:p w:rsidR="000C39D1" w:rsidRPr="00132E65" w:rsidRDefault="000C39D1" w:rsidP="000C39D1">
      <w:pPr>
        <w:pStyle w:val="libFootnote0"/>
        <w:rPr>
          <w:rtl/>
          <w:lang w:bidi="fa-IR"/>
        </w:rPr>
      </w:pPr>
      <w:r>
        <w:rPr>
          <w:rtl/>
        </w:rPr>
        <w:t>(4).</w:t>
      </w:r>
      <w:r w:rsidRPr="00132E65">
        <w:rPr>
          <w:rtl/>
        </w:rPr>
        <w:t xml:space="preserve"> تفقّدنا الوقت ، أي طلبنا وقت فوته </w:t>
      </w:r>
      <w:r w:rsidRPr="00882D8E">
        <w:rPr>
          <w:rStyle w:val="libFootnoteAlaemChar"/>
          <w:rtl/>
        </w:rPr>
        <w:t>عليه‌السلام</w:t>
      </w:r>
      <w:r w:rsidRPr="00132E65">
        <w:rPr>
          <w:rtl/>
        </w:rPr>
        <w:t xml:space="preserve">. والتفقّد : طلب الشي‌ء عند غيبته. </w:t>
      </w:r>
      <w:r w:rsidRPr="00882D8E">
        <w:rPr>
          <w:rStyle w:val="libFootnoteBoldChar"/>
          <w:rtl/>
        </w:rPr>
        <w:t>الصحاح</w:t>
      </w:r>
      <w:r w:rsidRPr="00132E65">
        <w:rPr>
          <w:rtl/>
        </w:rPr>
        <w:t xml:space="preserve"> ، ج 2 ، ص 520 ( فقد )</w:t>
      </w:r>
      <w:r>
        <w:rPr>
          <w:rtl/>
        </w:rPr>
        <w:t>.</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663 ، ح 1266 ؛ </w:t>
      </w:r>
      <w:r w:rsidRPr="00882D8E">
        <w:rPr>
          <w:rStyle w:val="libFootnoteBoldChar"/>
          <w:rtl/>
        </w:rPr>
        <w:t>البحار</w:t>
      </w:r>
      <w:r w:rsidRPr="00132E65">
        <w:rPr>
          <w:rtl/>
        </w:rPr>
        <w:t xml:space="preserve"> ، ج 48 ، ص 246 ، ح 53.</w:t>
      </w:r>
    </w:p>
    <w:p w:rsidR="000C39D1" w:rsidRPr="00132E65" w:rsidRDefault="000C39D1" w:rsidP="000C39D1">
      <w:pPr>
        <w:pStyle w:val="libFootnote0"/>
        <w:rPr>
          <w:rtl/>
          <w:lang w:bidi="fa-IR"/>
        </w:rPr>
      </w:pPr>
      <w:r>
        <w:rPr>
          <w:rtl/>
        </w:rPr>
        <w:t>(6).</w:t>
      </w:r>
      <w:r w:rsidRPr="00132E65">
        <w:rPr>
          <w:rtl/>
        </w:rPr>
        <w:t xml:space="preserve"> في « ب ، ض ، </w:t>
      </w:r>
      <w:r>
        <w:rPr>
          <w:rtl/>
        </w:rPr>
        <w:t>و »</w:t>
      </w:r>
      <w:r w:rsidRPr="00132E65">
        <w:rPr>
          <w:rtl/>
        </w:rPr>
        <w:t xml:space="preserve"> : « بريد »</w:t>
      </w:r>
      <w:r>
        <w:rPr>
          <w:rtl/>
        </w:rPr>
        <w:t>.</w:t>
      </w:r>
      <w:r w:rsidRPr="00132E65">
        <w:rPr>
          <w:rtl/>
        </w:rPr>
        <w:t xml:space="preserve"> وهو سهو. ويزيد هذا ، هو يزيد أبو خالد الكناسي ، روى عنه هشام بن سالم في بعض الأسناد. راجع : </w:t>
      </w:r>
      <w:r w:rsidRPr="00882D8E">
        <w:rPr>
          <w:rStyle w:val="libFootnoteBoldChar"/>
          <w:rtl/>
        </w:rPr>
        <w:t>رجال البرقي</w:t>
      </w:r>
      <w:r w:rsidRPr="00132E65">
        <w:rPr>
          <w:rtl/>
        </w:rPr>
        <w:t xml:space="preserve"> ، ص 12 ؛ </w:t>
      </w:r>
      <w:r w:rsidRPr="00882D8E">
        <w:rPr>
          <w:rStyle w:val="libFootnoteBoldChar"/>
          <w:rtl/>
        </w:rPr>
        <w:t>رجال الطوسي</w:t>
      </w:r>
      <w:r w:rsidRPr="00132E65">
        <w:rPr>
          <w:rtl/>
        </w:rPr>
        <w:t xml:space="preserve"> ، ص 149 ، الرقم 1655 ، وص 323 ، الرقم 4833 ؛ </w:t>
      </w:r>
      <w:r w:rsidRPr="00882D8E">
        <w:rPr>
          <w:rStyle w:val="libFootnoteBoldChar"/>
          <w:rtl/>
        </w:rPr>
        <w:t>معجم رجال الحديث</w:t>
      </w:r>
      <w:r w:rsidRPr="00132E65">
        <w:rPr>
          <w:rtl/>
        </w:rPr>
        <w:t xml:space="preserve"> ، ج 19 ، ص 427. ويأتي البحث عن ذلك تفصيلاً في </w:t>
      </w:r>
      <w:r w:rsidRPr="000577A7">
        <w:rPr>
          <w:rStyle w:val="libFootnoteBoldChar"/>
          <w:rtl/>
        </w:rPr>
        <w:t>الكافي</w:t>
      </w:r>
      <w:r w:rsidRPr="00132E65">
        <w:rPr>
          <w:rtl/>
        </w:rPr>
        <w:t xml:space="preserve"> ، ذيل ح 11073 ، فلاحظ.</w:t>
      </w:r>
    </w:p>
    <w:p w:rsidR="000C39D1" w:rsidRPr="00132E65" w:rsidRDefault="000C39D1" w:rsidP="000C39D1">
      <w:pPr>
        <w:pStyle w:val="libFootnote0"/>
        <w:rPr>
          <w:rtl/>
          <w:lang w:bidi="fa-IR"/>
        </w:rPr>
      </w:pPr>
      <w:r>
        <w:rPr>
          <w:rtl/>
        </w:rPr>
        <w:t>(7).</w:t>
      </w:r>
      <w:r w:rsidRPr="00132E65">
        <w:rPr>
          <w:rtl/>
        </w:rPr>
        <w:t xml:space="preserve"> في « ب » والبحار ، ج 14 : « كان » بدون الهمزة.</w:t>
      </w:r>
    </w:p>
    <w:p w:rsidR="000C39D1" w:rsidRPr="00132E65" w:rsidRDefault="000C39D1" w:rsidP="000C39D1">
      <w:pPr>
        <w:pStyle w:val="libFootnote0"/>
        <w:rPr>
          <w:rtl/>
          <w:lang w:bidi="fa-IR"/>
        </w:rPr>
      </w:pPr>
      <w:r>
        <w:rPr>
          <w:rtl/>
        </w:rPr>
        <w:t>(8).</w:t>
      </w:r>
      <w:r w:rsidRPr="00132E65">
        <w:rPr>
          <w:rtl/>
        </w:rPr>
        <w:t xml:space="preserve"> في « ج ، بس ، بف » وحاشية « بر » والبحار ، ج 18 : « لله »</w:t>
      </w:r>
      <w:r>
        <w:rPr>
          <w:rtl/>
        </w:rPr>
        <w:t>.</w:t>
      </w:r>
    </w:p>
    <w:p w:rsidR="000C39D1" w:rsidRPr="00132E65" w:rsidRDefault="000C39D1" w:rsidP="000C39D1">
      <w:pPr>
        <w:pStyle w:val="libFootnote0"/>
        <w:rPr>
          <w:rtl/>
          <w:lang w:bidi="fa-IR"/>
        </w:rPr>
      </w:pPr>
      <w:r>
        <w:rPr>
          <w:rtl/>
        </w:rPr>
        <w:t>(9).</w:t>
      </w:r>
      <w:r w:rsidRPr="00132E65">
        <w:rPr>
          <w:rtl/>
        </w:rPr>
        <w:t xml:space="preserve"> في « ج ، بس ، بف » وحاشية « بر » والبحار ، ج 18 : « لله »</w:t>
      </w:r>
      <w:r>
        <w:rPr>
          <w:rtl/>
        </w:rPr>
        <w:t>.</w:t>
      </w:r>
    </w:p>
    <w:tbl>
      <w:tblPr>
        <w:tblStyle w:val="TableGrid"/>
        <w:bidiVisual/>
        <w:tblW w:w="0" w:type="auto"/>
        <w:tblLook w:val="04A0" w:firstRow="1" w:lastRow="0" w:firstColumn="1" w:lastColumn="0" w:noHBand="0" w:noVBand="1"/>
      </w:tblPr>
      <w:tblGrid>
        <w:gridCol w:w="4006"/>
        <w:gridCol w:w="4006"/>
      </w:tblGrid>
      <w:tr w:rsidR="00882D8E" w:rsidTr="00882D8E">
        <w:tc>
          <w:tcPr>
            <w:tcW w:w="4006" w:type="dxa"/>
          </w:tcPr>
          <w:p w:rsidR="00882D8E" w:rsidRDefault="00882D8E" w:rsidP="000C39D1">
            <w:pPr>
              <w:pStyle w:val="libFootnote0"/>
              <w:rPr>
                <w:rtl/>
              </w:rPr>
            </w:pPr>
            <w:r>
              <w:rPr>
                <w:rtl/>
              </w:rPr>
              <w:t>(10).</w:t>
            </w:r>
            <w:r w:rsidRPr="00132E65">
              <w:rPr>
                <w:rtl/>
              </w:rPr>
              <w:t xml:space="preserve"> في « ف » </w:t>
            </w:r>
            <w:r>
              <w:rPr>
                <w:rtl/>
              </w:rPr>
              <w:t xml:space="preserve">: - </w:t>
            </w:r>
            <w:r w:rsidRPr="00132E65">
              <w:rPr>
                <w:rtl/>
              </w:rPr>
              <w:t>« أما تسمع »</w:t>
            </w:r>
            <w:r>
              <w:rPr>
                <w:rtl/>
              </w:rPr>
              <w:t>.</w:t>
            </w:r>
          </w:p>
        </w:tc>
        <w:tc>
          <w:tcPr>
            <w:tcW w:w="4006" w:type="dxa"/>
          </w:tcPr>
          <w:p w:rsidR="00882D8E" w:rsidRDefault="00882D8E" w:rsidP="000C39D1">
            <w:pPr>
              <w:pStyle w:val="libFootnote0"/>
              <w:rPr>
                <w:rtl/>
              </w:rPr>
            </w:pPr>
            <w:r>
              <w:rPr>
                <w:rtl/>
              </w:rPr>
              <w:t>(11).</w:t>
            </w:r>
            <w:r w:rsidRPr="00132E65">
              <w:rPr>
                <w:rtl/>
              </w:rPr>
              <w:t xml:space="preserve"> مريم (19) : 30</w:t>
            </w:r>
            <w:r>
              <w:rPr>
                <w:rtl/>
              </w:rPr>
              <w:t xml:space="preserve"> - </w:t>
            </w:r>
            <w:r w:rsidRPr="00132E65">
              <w:rPr>
                <w:rtl/>
              </w:rPr>
              <w:t>31.</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w:t>
      </w:r>
      <w:r>
        <w:rPr>
          <w:rStyle w:val="libFootnotenumChar"/>
          <w:rtl/>
        </w:rPr>
        <w:t>(1)</w:t>
      </w:r>
      <w:r w:rsidRPr="00132E65">
        <w:rPr>
          <w:rtl/>
          <w:lang w:bidi="fa-IR"/>
        </w:rPr>
        <w:t xml:space="preserve"> : فَكَانَ يَوْمَئِذٍ حُجَّةً لِلّهِ </w:t>
      </w:r>
      <w:r>
        <w:rPr>
          <w:rStyle w:val="libFootnotenumChar"/>
          <w:rtl/>
        </w:rPr>
        <w:t>(2)</w:t>
      </w:r>
      <w:r w:rsidRPr="00132E65">
        <w:rPr>
          <w:rtl/>
          <w:lang w:bidi="fa-IR"/>
        </w:rPr>
        <w:t xml:space="preserve"> عَلى زَكَرِيَّا فِي تِلْكَ الْحَالِ و</w:t>
      </w:r>
      <w:r w:rsidR="00871169">
        <w:rPr>
          <w:rFonts w:hint="cs"/>
          <w:rtl/>
          <w:lang w:bidi="fa-IR"/>
        </w:rPr>
        <w:t>َ</w:t>
      </w:r>
      <w:r w:rsidRPr="00132E65">
        <w:rPr>
          <w:rtl/>
          <w:lang w:bidi="fa-IR"/>
        </w:rPr>
        <w:t>هُوَ فِي الْمَهْدِ</w:t>
      </w:r>
      <w:r>
        <w:rPr>
          <w:rtl/>
          <w:lang w:bidi="fa-IR"/>
        </w:rPr>
        <w:t>؟</w:t>
      </w:r>
    </w:p>
    <w:p w:rsidR="000C39D1" w:rsidRPr="00132E65" w:rsidRDefault="000C39D1" w:rsidP="000C39D1">
      <w:pPr>
        <w:pStyle w:val="libNormal"/>
        <w:rPr>
          <w:rtl/>
          <w:lang w:bidi="fa-IR"/>
        </w:rPr>
      </w:pPr>
      <w:r w:rsidRPr="00132E65">
        <w:rPr>
          <w:rtl/>
          <w:lang w:bidi="fa-IR"/>
        </w:rPr>
        <w:t>فَقَالَ : « كَانَ عِيسى فِي تِلْكَ الْحَالِ آيَةً لِلنَّاسِ ، و</w:t>
      </w:r>
      <w:r w:rsidR="00871169">
        <w:rPr>
          <w:rFonts w:hint="cs"/>
          <w:rtl/>
          <w:lang w:bidi="fa-IR"/>
        </w:rPr>
        <w:t xml:space="preserve">َ </w:t>
      </w:r>
      <w:r w:rsidRPr="00132E65">
        <w:rPr>
          <w:rtl/>
          <w:lang w:bidi="fa-IR"/>
        </w:rPr>
        <w:t xml:space="preserve">رَحْمَةً مِنَ اللهِ لِمَرْيَمَ حِينَ </w:t>
      </w:r>
      <w:r>
        <w:rPr>
          <w:rStyle w:val="libFootnotenumChar"/>
          <w:rtl/>
        </w:rPr>
        <w:t>(3)</w:t>
      </w:r>
      <w:r w:rsidRPr="00132E65">
        <w:rPr>
          <w:rtl/>
          <w:lang w:bidi="fa-IR"/>
        </w:rPr>
        <w:t xml:space="preserve"> تَكَلَّمَ ، فَعَبَّرَ </w:t>
      </w:r>
      <w:r>
        <w:rPr>
          <w:rStyle w:val="libFootnotenumChar"/>
          <w:rtl/>
        </w:rPr>
        <w:t>(4)</w:t>
      </w:r>
      <w:r w:rsidRPr="00132E65">
        <w:rPr>
          <w:rtl/>
          <w:lang w:bidi="fa-IR"/>
        </w:rPr>
        <w:t xml:space="preserve"> عَنْهَا ، وكَانَ نَبِيّاً حُجَّةً عَلى مَنْ سَمِعَ كَلَامَهُ فِي تِلْكَ الْحَالِ ، ثُمَّ صَمَتَ فَلَمْ يَتَكَلَّمْ حَتّى مَضَتْ لَهُ سَنَتَانِ ، و</w:t>
      </w:r>
      <w:r w:rsidR="00871169">
        <w:rPr>
          <w:rFonts w:hint="cs"/>
          <w:rtl/>
          <w:lang w:bidi="fa-IR"/>
        </w:rPr>
        <w:t>َ</w:t>
      </w:r>
      <w:r w:rsidRPr="00132E65">
        <w:rPr>
          <w:rtl/>
          <w:lang w:bidi="fa-IR"/>
        </w:rPr>
        <w:t xml:space="preserve">كَانَ </w:t>
      </w:r>
      <w:r>
        <w:rPr>
          <w:rStyle w:val="libFootnotenumChar"/>
          <w:rtl/>
        </w:rPr>
        <w:t>(5)</w:t>
      </w:r>
      <w:r w:rsidRPr="00132E65">
        <w:rPr>
          <w:rtl/>
          <w:lang w:bidi="fa-IR"/>
        </w:rPr>
        <w:t xml:space="preserve"> زَكَرِيَّا الْحُجَّةَ لِلّهِ</w:t>
      </w:r>
      <w:r>
        <w:rPr>
          <w:rtl/>
          <w:lang w:bidi="fa-IR"/>
        </w:rPr>
        <w:t xml:space="preserve"> - </w:t>
      </w:r>
      <w:r w:rsidRPr="00132E65">
        <w:rPr>
          <w:rtl/>
          <w:lang w:bidi="fa-IR"/>
        </w:rPr>
        <w:t>عَزَّ وجَلَّ</w:t>
      </w:r>
      <w:r>
        <w:rPr>
          <w:rtl/>
          <w:lang w:bidi="fa-IR"/>
        </w:rPr>
        <w:t xml:space="preserve"> - </w:t>
      </w:r>
      <w:r w:rsidRPr="00132E65">
        <w:rPr>
          <w:rtl/>
          <w:lang w:bidi="fa-IR"/>
        </w:rPr>
        <w:t xml:space="preserve">عَلَى النَّاسِ بَعْدَ صَمْتِ عِيسى بِسَنَتَيْنِ </w:t>
      </w:r>
      <w:r>
        <w:rPr>
          <w:rStyle w:val="libFootnotenumChar"/>
          <w:rtl/>
        </w:rPr>
        <w:t>(6)</w:t>
      </w:r>
      <w:r w:rsidRPr="00132E65">
        <w:rPr>
          <w:rtl/>
          <w:lang w:bidi="fa-IR"/>
        </w:rPr>
        <w:t xml:space="preserve"> ، ثُمَّ مَاتَ زَكَرِيَّا ، فَوَرِثَهُ ابْنُهُ يَحْيَى الْكِتَابَ والْحِكْ</w:t>
      </w:r>
      <w:r>
        <w:rPr>
          <w:rtl/>
          <w:lang w:bidi="fa-IR"/>
        </w:rPr>
        <w:t>مَةَ وهُوَ صَبِيٌّ صَغِيرٌ ؛ أَ</w:t>
      </w:r>
      <w:r w:rsidRPr="00132E65">
        <w:rPr>
          <w:rtl/>
          <w:lang w:bidi="fa-IR"/>
        </w:rPr>
        <w:t xml:space="preserve">مَا تَسْمَعُ لِقَوْلِهِ عَزَّ وجَلَّ : </w:t>
      </w:r>
      <w:r w:rsidRPr="00071CF9">
        <w:rPr>
          <w:rStyle w:val="libAlaemChar"/>
          <w:rtl/>
        </w:rPr>
        <w:t>(</w:t>
      </w:r>
      <w:r w:rsidRPr="00071CF9">
        <w:rPr>
          <w:rStyle w:val="libAieChar"/>
          <w:rtl/>
        </w:rPr>
        <w:t xml:space="preserve"> يا يَحْيى خُذِ الْكِتابَ بِقُوَّةٍ وَآتَيْناهُ الْحُكْمَ صَبِيًّا </w:t>
      </w:r>
      <w:r w:rsidRPr="00071CF9">
        <w:rPr>
          <w:rStyle w:val="libAlaemChar"/>
          <w:rtl/>
        </w:rPr>
        <w:t>)</w:t>
      </w:r>
      <w:r w:rsidRPr="00132E65">
        <w:rPr>
          <w:rtl/>
          <w:lang w:bidi="fa-IR"/>
        </w:rPr>
        <w:t xml:space="preserve"> </w:t>
      </w:r>
      <w:r>
        <w:rPr>
          <w:rStyle w:val="libFootnotenumChar"/>
          <w:rtl/>
        </w:rPr>
        <w:t>(7)</w:t>
      </w:r>
    </w:p>
    <w:p w:rsidR="000C39D1" w:rsidRPr="00132E65" w:rsidRDefault="000C39D1" w:rsidP="000C39D1">
      <w:pPr>
        <w:pStyle w:val="libNormal"/>
        <w:rPr>
          <w:rtl/>
          <w:lang w:bidi="fa-IR"/>
        </w:rPr>
      </w:pPr>
      <w:r w:rsidRPr="00132E65">
        <w:rPr>
          <w:rtl/>
          <w:lang w:bidi="fa-IR"/>
        </w:rPr>
        <w:t xml:space="preserve">فَلَمَّا بَلَغَ عِيسى </w:t>
      </w:r>
      <w:r w:rsidRPr="00071CF9">
        <w:rPr>
          <w:rStyle w:val="libAlaemChar"/>
          <w:rtl/>
        </w:rPr>
        <w:t>عليه‌السلام</w:t>
      </w:r>
      <w:r w:rsidRPr="00132E65">
        <w:rPr>
          <w:rtl/>
          <w:lang w:bidi="fa-IR"/>
        </w:rPr>
        <w:t xml:space="preserve"> سَبْعَ سِنِينَ ، تَكَلَّمَ بِالنُّبُوَّةِ والرِّسَالَةِ حِينَ أَوْحَى اللهُ تَعَالى إِلَيْهِ ، فَكَانَ عِيسَى الْحُجَّةَ عَلى يَحْيى وعَلَى النَّاسِ أَجْمَعِينَ ، و</w:t>
      </w:r>
      <w:r w:rsidR="00871169">
        <w:rPr>
          <w:rFonts w:hint="cs"/>
          <w:rtl/>
          <w:lang w:bidi="fa-IR"/>
        </w:rPr>
        <w:t>َ</w:t>
      </w:r>
      <w:r w:rsidRPr="00132E65">
        <w:rPr>
          <w:rtl/>
          <w:lang w:bidi="fa-IR"/>
        </w:rPr>
        <w:t>لَيْسَ تَبْقَى الْأَرْضُ</w:t>
      </w:r>
      <w:r>
        <w:rPr>
          <w:rtl/>
          <w:lang w:bidi="fa-IR"/>
        </w:rPr>
        <w:t xml:space="preserve"> - </w:t>
      </w:r>
      <w:r w:rsidRPr="00132E65">
        <w:rPr>
          <w:rtl/>
          <w:lang w:bidi="fa-IR"/>
        </w:rPr>
        <w:t>يَا أَبَا خَالِدٍ</w:t>
      </w:r>
      <w:r>
        <w:rPr>
          <w:rtl/>
          <w:lang w:bidi="fa-IR"/>
        </w:rPr>
        <w:t xml:space="preserve"> - </w:t>
      </w:r>
      <w:r w:rsidRPr="00132E65">
        <w:rPr>
          <w:rtl/>
          <w:lang w:bidi="fa-IR"/>
        </w:rPr>
        <w:t xml:space="preserve">يَوْماً واحِداً بِغَيْرِ حُجَّةٍ لِلّهِ </w:t>
      </w:r>
      <w:r>
        <w:rPr>
          <w:rStyle w:val="libFootnotenumChar"/>
          <w:rtl/>
        </w:rPr>
        <w:t>(8)</w:t>
      </w:r>
      <w:r w:rsidRPr="00132E65">
        <w:rPr>
          <w:rtl/>
          <w:lang w:bidi="fa-IR"/>
        </w:rPr>
        <w:t xml:space="preserve"> عَلَى النَّاسِ مُنْذُ يَوْمَ خَلَقَ اللهُ آدَمَ </w:t>
      </w:r>
      <w:r w:rsidRPr="00071CF9">
        <w:rPr>
          <w:rStyle w:val="libAlaemChar"/>
          <w:rtl/>
        </w:rPr>
        <w:t>عليه‌السلام</w:t>
      </w:r>
      <w:r w:rsidRPr="00132E65">
        <w:rPr>
          <w:rtl/>
          <w:lang w:bidi="fa-IR"/>
        </w:rPr>
        <w:t xml:space="preserve"> ، وأَسْكَنَهُ الْأَرْضَ »</w:t>
      </w:r>
      <w:r>
        <w:rPr>
          <w:rtl/>
          <w:lang w:bidi="fa-IR"/>
        </w:rPr>
        <w:t>.</w:t>
      </w:r>
    </w:p>
    <w:p w:rsidR="000C39D1" w:rsidRDefault="000C39D1" w:rsidP="000C39D1">
      <w:pPr>
        <w:pStyle w:val="libNormal"/>
        <w:rPr>
          <w:rtl/>
          <w:lang w:bidi="fa-IR"/>
        </w:rPr>
      </w:pPr>
      <w:r w:rsidRPr="00132E65">
        <w:rPr>
          <w:rtl/>
          <w:lang w:bidi="fa-IR"/>
        </w:rPr>
        <w:t>ف</w:t>
      </w:r>
      <w:r>
        <w:rPr>
          <w:rtl/>
          <w:lang w:bidi="fa-IR"/>
        </w:rPr>
        <w:t>َقُلْتُ : جُعِلْتُ فِدَاكَ ، أَ</w:t>
      </w:r>
      <w:r w:rsidRPr="00132E65">
        <w:rPr>
          <w:rtl/>
          <w:lang w:bidi="fa-IR"/>
        </w:rPr>
        <w:t xml:space="preserve">كَانَ </w:t>
      </w:r>
      <w:r>
        <w:rPr>
          <w:rStyle w:val="libFootnotenumChar"/>
          <w:rtl/>
        </w:rPr>
        <w:t>(9)</w:t>
      </w:r>
      <w:r w:rsidRPr="00132E65">
        <w:rPr>
          <w:rtl/>
          <w:lang w:bidi="fa-IR"/>
        </w:rPr>
        <w:t xml:space="preserve"> عَلِيٌّ </w:t>
      </w:r>
      <w:r w:rsidRPr="00071CF9">
        <w:rPr>
          <w:rStyle w:val="libAlaemChar"/>
          <w:rtl/>
        </w:rPr>
        <w:t>عليه‌السلام</w:t>
      </w:r>
      <w:r w:rsidRPr="00132E65">
        <w:rPr>
          <w:rtl/>
          <w:lang w:bidi="fa-IR"/>
        </w:rPr>
        <w:t xml:space="preserve"> حُجَّةً مِنَ اللهِ ورَسُولِهِ عَلى هذِهِ الْأُمَّةِ فِي حَيَاةِ رَسُولِ اللهِ </w:t>
      </w:r>
      <w:r w:rsidRPr="0093484F">
        <w:rPr>
          <w:rStyle w:val="libAlaemChar"/>
          <w:rFonts w:eastAsiaTheme="minorHAnsi"/>
          <w:rtl/>
        </w:rPr>
        <w:t>صلى‌الله‌عليه‌وآله</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 « نَعَمْ ، يَوْمَ أَقَامَهُ لِلنَّاسِ </w:t>
      </w:r>
      <w:r>
        <w:rPr>
          <w:rStyle w:val="libFootnotenumChar"/>
          <w:rtl/>
        </w:rPr>
        <w:t>(10)</w:t>
      </w:r>
      <w:r w:rsidRPr="00132E65">
        <w:rPr>
          <w:rtl/>
          <w:lang w:bidi="fa-IR"/>
        </w:rPr>
        <w:t xml:space="preserve"> ، و</w:t>
      </w:r>
      <w:r w:rsidR="00871169">
        <w:rPr>
          <w:rFonts w:hint="cs"/>
          <w:rtl/>
          <w:lang w:bidi="fa-IR"/>
        </w:rPr>
        <w:t>َ</w:t>
      </w:r>
      <w:r w:rsidRPr="00132E65">
        <w:rPr>
          <w:rtl/>
          <w:lang w:bidi="fa-IR"/>
        </w:rPr>
        <w:t>نَصَبَهُ عَلَماً ، و</w:t>
      </w:r>
      <w:r w:rsidR="00871169">
        <w:rPr>
          <w:rFonts w:hint="cs"/>
          <w:rtl/>
          <w:lang w:bidi="fa-IR"/>
        </w:rPr>
        <w:t>َ</w:t>
      </w:r>
      <w:r w:rsidRPr="00132E65">
        <w:rPr>
          <w:rtl/>
          <w:lang w:bidi="fa-IR"/>
        </w:rPr>
        <w:t>دَعَاهُمْ إِلى و</w:t>
      </w:r>
      <w:r w:rsidR="00871169">
        <w:rPr>
          <w:rFonts w:hint="cs"/>
          <w:rtl/>
          <w:lang w:bidi="fa-IR"/>
        </w:rPr>
        <w:t>َ</w:t>
      </w:r>
      <w:r w:rsidRPr="00132E65">
        <w:rPr>
          <w:rtl/>
          <w:lang w:bidi="fa-IR"/>
        </w:rPr>
        <w:t>لَايَتِهِ ، وأَمَرَهُمْ بِطَاعَتِهِ »</w:t>
      </w:r>
      <w:r>
        <w:rPr>
          <w:rtl/>
          <w:lang w:bidi="fa-IR"/>
        </w:rPr>
        <w:t>.</w:t>
      </w:r>
    </w:p>
    <w:p w:rsidR="000C39D1" w:rsidRPr="00132E65" w:rsidRDefault="000C39D1" w:rsidP="000C39D1">
      <w:pPr>
        <w:pStyle w:val="libNormal"/>
        <w:rPr>
          <w:rtl/>
          <w:lang w:bidi="fa-IR"/>
        </w:rPr>
      </w:pPr>
      <w:r w:rsidRPr="00132E65">
        <w:rPr>
          <w:rtl/>
          <w:lang w:bidi="fa-IR"/>
        </w:rPr>
        <w:t>قُلْتُ : و</w:t>
      </w:r>
      <w:r w:rsidR="00871169">
        <w:rPr>
          <w:rFonts w:hint="cs"/>
          <w:rtl/>
          <w:lang w:bidi="fa-IR"/>
        </w:rPr>
        <w:t>َ</w:t>
      </w:r>
      <w:r w:rsidRPr="00132E65">
        <w:rPr>
          <w:rtl/>
          <w:lang w:bidi="fa-IR"/>
        </w:rPr>
        <w:t xml:space="preserve">كَانَتْ </w:t>
      </w:r>
      <w:r>
        <w:rPr>
          <w:rStyle w:val="libFootnotenumChar"/>
          <w:rtl/>
        </w:rPr>
        <w:t>(11)</w:t>
      </w:r>
      <w:r w:rsidRPr="00132E65">
        <w:rPr>
          <w:rtl/>
          <w:lang w:bidi="fa-IR"/>
        </w:rPr>
        <w:t xml:space="preserve"> طَاعَةُ عَلِيٍّ </w:t>
      </w:r>
      <w:r w:rsidRPr="00071CF9">
        <w:rPr>
          <w:rStyle w:val="libAlaemChar"/>
          <w:rtl/>
        </w:rPr>
        <w:t>عليه‌السلام</w:t>
      </w:r>
      <w:r w:rsidRPr="00132E65">
        <w:rPr>
          <w:rtl/>
          <w:lang w:bidi="fa-IR"/>
        </w:rPr>
        <w:t xml:space="preserve"> و</w:t>
      </w:r>
      <w:r w:rsidR="00871169">
        <w:rPr>
          <w:rFonts w:hint="cs"/>
          <w:rtl/>
          <w:lang w:bidi="fa-IR"/>
        </w:rPr>
        <w:t>َ</w:t>
      </w:r>
      <w:r w:rsidRPr="00132E65">
        <w:rPr>
          <w:rtl/>
          <w:lang w:bidi="fa-IR"/>
        </w:rPr>
        <w:t xml:space="preserve">اجِبَةً عَلَى النَّاسِ فِي حَيَاةِ رَسُولِ اللهِ </w:t>
      </w:r>
      <w:r w:rsidRPr="0093484F">
        <w:rPr>
          <w:rStyle w:val="libAlaemChar"/>
          <w:rFonts w:eastAsiaTheme="minorHAnsi"/>
          <w:rtl/>
        </w:rPr>
        <w:t>صلى‌الله‌عليه‌وآله</w:t>
      </w:r>
      <w:r w:rsidRPr="00132E65">
        <w:rPr>
          <w:rtl/>
          <w:lang w:bidi="fa-IR"/>
        </w:rPr>
        <w:t xml:space="preserve"> و</w:t>
      </w:r>
      <w:r w:rsidR="00871169">
        <w:rPr>
          <w:rFonts w:hint="cs"/>
          <w:rtl/>
          <w:lang w:bidi="fa-IR"/>
        </w:rPr>
        <w:t>َ</w:t>
      </w:r>
      <w:r w:rsidRPr="00132E65">
        <w:rPr>
          <w:rtl/>
          <w:lang w:bidi="fa-IR"/>
        </w:rPr>
        <w:t>بَعْدَ وَفَاتِهِ</w:t>
      </w:r>
      <w:r>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71169" w:rsidTr="00871169">
        <w:tc>
          <w:tcPr>
            <w:tcW w:w="4006" w:type="dxa"/>
          </w:tcPr>
          <w:p w:rsidR="00871169" w:rsidRDefault="00871169" w:rsidP="000C39D1">
            <w:pPr>
              <w:pStyle w:val="libFootnote0"/>
              <w:rPr>
                <w:rtl/>
              </w:rPr>
            </w:pPr>
            <w:r>
              <w:rPr>
                <w:rtl/>
              </w:rPr>
              <w:t>(1).</w:t>
            </w:r>
            <w:r w:rsidRPr="00132E65">
              <w:rPr>
                <w:rtl/>
              </w:rPr>
              <w:t xml:space="preserve"> في « ج » </w:t>
            </w:r>
            <w:r>
              <w:rPr>
                <w:rtl/>
              </w:rPr>
              <w:t xml:space="preserve">: - </w:t>
            </w:r>
            <w:r w:rsidRPr="00132E65">
              <w:rPr>
                <w:rtl/>
              </w:rPr>
              <w:t>« قلت »</w:t>
            </w:r>
            <w:r>
              <w:rPr>
                <w:rtl/>
              </w:rPr>
              <w:t>.</w:t>
            </w:r>
          </w:p>
        </w:tc>
        <w:tc>
          <w:tcPr>
            <w:tcW w:w="4006" w:type="dxa"/>
          </w:tcPr>
          <w:p w:rsidR="00871169" w:rsidRDefault="00871169" w:rsidP="000C39D1">
            <w:pPr>
              <w:pStyle w:val="libFootnote0"/>
              <w:rPr>
                <w:rtl/>
              </w:rPr>
            </w:pPr>
            <w:r>
              <w:rPr>
                <w:rtl/>
              </w:rPr>
              <w:t>(2).</w:t>
            </w:r>
            <w:r w:rsidRPr="00132E65">
              <w:rPr>
                <w:rtl/>
              </w:rPr>
              <w:t xml:space="preserve"> في « بح » والبحار ، ج 14 : « الله »</w:t>
            </w:r>
            <w:r>
              <w:rPr>
                <w:rtl/>
              </w:rPr>
              <w:t>.</w:t>
            </w:r>
          </w:p>
        </w:tc>
      </w:tr>
    </w:tbl>
    <w:p w:rsidR="000C39D1" w:rsidRPr="00132E65" w:rsidRDefault="000C39D1" w:rsidP="000C39D1">
      <w:pPr>
        <w:pStyle w:val="libFootnote0"/>
        <w:rPr>
          <w:rtl/>
          <w:lang w:bidi="fa-IR"/>
        </w:rPr>
      </w:pPr>
      <w:r>
        <w:rPr>
          <w:rtl/>
        </w:rPr>
        <w:t>(3).</w:t>
      </w:r>
      <w:r w:rsidRPr="00132E65">
        <w:rPr>
          <w:rtl/>
        </w:rPr>
        <w:t xml:space="preserve"> في حاشية « بر » : « حتّى »</w:t>
      </w:r>
      <w:r>
        <w:rPr>
          <w:rtl/>
        </w:rPr>
        <w:t>.</w:t>
      </w:r>
    </w:p>
    <w:p w:rsidR="000C39D1" w:rsidRPr="00132E65" w:rsidRDefault="000C39D1" w:rsidP="00871169">
      <w:pPr>
        <w:pStyle w:val="libFootnote0"/>
        <w:rPr>
          <w:rtl/>
          <w:lang w:bidi="fa-IR"/>
        </w:rPr>
      </w:pPr>
      <w:r>
        <w:rPr>
          <w:rtl/>
        </w:rPr>
        <w:t>(4).</w:t>
      </w:r>
      <w:r w:rsidRPr="00132E65">
        <w:rPr>
          <w:rtl/>
        </w:rPr>
        <w:t xml:space="preserve"> في « بف » : « فغيّر »</w:t>
      </w:r>
      <w:r>
        <w:rPr>
          <w:rtl/>
        </w:rPr>
        <w:t>.</w:t>
      </w:r>
      <w:r w:rsidRPr="00132E65">
        <w:rPr>
          <w:rtl/>
        </w:rPr>
        <w:t xml:space="preserve"> وفي </w:t>
      </w:r>
      <w:r w:rsidRPr="009D1ACE">
        <w:rPr>
          <w:rStyle w:val="libFootnoteBoldChar"/>
          <w:rtl/>
        </w:rPr>
        <w:t>مرآة العقول</w:t>
      </w:r>
      <w:r w:rsidRPr="00132E65">
        <w:rPr>
          <w:rtl/>
        </w:rPr>
        <w:t xml:space="preserve"> : « وفي بعض النسخ : فغيّر بالغين المعجمة والياء ، أي غيّر وأزال التهمةعنها ، ولعلّه تصحيف »</w:t>
      </w:r>
      <w:r>
        <w:rPr>
          <w:rtl/>
        </w:rPr>
        <w:t>.</w:t>
      </w:r>
      <w:r w:rsidR="00871169">
        <w:rPr>
          <w:rFonts w:hint="cs"/>
          <w:rtl/>
        </w:rPr>
        <w:t xml:space="preserve">                        </w:t>
      </w:r>
      <w:r w:rsidR="00936037">
        <w:rPr>
          <w:rFonts w:hint="cs"/>
          <w:rtl/>
        </w:rPr>
        <w:t xml:space="preserve">            </w:t>
      </w:r>
      <w:r w:rsidR="00871169">
        <w:rPr>
          <w:rFonts w:hint="cs"/>
          <w:rtl/>
        </w:rPr>
        <w:t xml:space="preserve">   </w:t>
      </w:r>
      <w:r>
        <w:rPr>
          <w:rtl/>
        </w:rPr>
        <w:t>(5).</w:t>
      </w:r>
      <w:r w:rsidRPr="00132E65">
        <w:rPr>
          <w:rtl/>
        </w:rPr>
        <w:t xml:space="preserve"> في « ب » : « فكان »</w:t>
      </w:r>
      <w:r>
        <w:rPr>
          <w:rtl/>
        </w:rPr>
        <w:t>.</w:t>
      </w:r>
    </w:p>
    <w:tbl>
      <w:tblPr>
        <w:tblStyle w:val="TableGrid"/>
        <w:bidiVisual/>
        <w:tblW w:w="0" w:type="auto"/>
        <w:tblLook w:val="04A0" w:firstRow="1" w:lastRow="0" w:firstColumn="1" w:lastColumn="0" w:noHBand="0" w:noVBand="1"/>
      </w:tblPr>
      <w:tblGrid>
        <w:gridCol w:w="4006"/>
        <w:gridCol w:w="4006"/>
      </w:tblGrid>
      <w:tr w:rsidR="00871169" w:rsidTr="00871169">
        <w:tc>
          <w:tcPr>
            <w:tcW w:w="4006" w:type="dxa"/>
          </w:tcPr>
          <w:p w:rsidR="00871169" w:rsidRDefault="00871169" w:rsidP="000C39D1">
            <w:pPr>
              <w:pStyle w:val="libFootnote0"/>
              <w:rPr>
                <w:rtl/>
              </w:rPr>
            </w:pPr>
            <w:r>
              <w:rPr>
                <w:rtl/>
              </w:rPr>
              <w:t>(6).</w:t>
            </w:r>
            <w:r w:rsidRPr="00132E65">
              <w:rPr>
                <w:rtl/>
              </w:rPr>
              <w:t xml:space="preserve"> في « بر » : « سنتين »</w:t>
            </w:r>
            <w:r>
              <w:rPr>
                <w:rtl/>
              </w:rPr>
              <w:t>.</w:t>
            </w:r>
          </w:p>
        </w:tc>
        <w:tc>
          <w:tcPr>
            <w:tcW w:w="4006" w:type="dxa"/>
          </w:tcPr>
          <w:p w:rsidR="00871169" w:rsidRDefault="00871169" w:rsidP="000C39D1">
            <w:pPr>
              <w:pStyle w:val="libFootnote0"/>
              <w:rPr>
                <w:rtl/>
              </w:rPr>
            </w:pPr>
            <w:r>
              <w:rPr>
                <w:rtl/>
              </w:rPr>
              <w:t>(7).</w:t>
            </w:r>
            <w:r w:rsidRPr="00132E65">
              <w:rPr>
                <w:rtl/>
              </w:rPr>
              <w:t xml:space="preserve"> مريم (19) : 12.</w:t>
            </w:r>
          </w:p>
        </w:tc>
      </w:tr>
      <w:tr w:rsidR="00871169" w:rsidTr="00871169">
        <w:tc>
          <w:tcPr>
            <w:tcW w:w="4006" w:type="dxa"/>
          </w:tcPr>
          <w:p w:rsidR="00871169" w:rsidRDefault="00871169" w:rsidP="000C39D1">
            <w:pPr>
              <w:pStyle w:val="libFootnote0"/>
              <w:rPr>
                <w:rtl/>
              </w:rPr>
            </w:pPr>
            <w:r>
              <w:rPr>
                <w:rtl/>
              </w:rPr>
              <w:t>(8).</w:t>
            </w:r>
            <w:r w:rsidRPr="00132E65">
              <w:rPr>
                <w:rtl/>
              </w:rPr>
              <w:t xml:space="preserve"> في « بس » : « الله »</w:t>
            </w:r>
            <w:r>
              <w:rPr>
                <w:rtl/>
              </w:rPr>
              <w:t>.</w:t>
            </w:r>
          </w:p>
        </w:tc>
        <w:tc>
          <w:tcPr>
            <w:tcW w:w="4006" w:type="dxa"/>
          </w:tcPr>
          <w:p w:rsidR="00871169" w:rsidRDefault="00871169" w:rsidP="000C39D1">
            <w:pPr>
              <w:pStyle w:val="libFootnote0"/>
              <w:rPr>
                <w:rtl/>
              </w:rPr>
            </w:pPr>
            <w:r>
              <w:rPr>
                <w:rtl/>
              </w:rPr>
              <w:t>(9).</w:t>
            </w:r>
            <w:r w:rsidRPr="00132E65">
              <w:rPr>
                <w:rtl/>
              </w:rPr>
              <w:t xml:space="preserve"> في « بح » و</w:t>
            </w:r>
            <w:r w:rsidRPr="009D1ACE">
              <w:rPr>
                <w:rStyle w:val="libFootnoteBoldChar"/>
                <w:rtl/>
              </w:rPr>
              <w:t>مرآة العقول</w:t>
            </w:r>
            <w:r w:rsidRPr="00132E65">
              <w:rPr>
                <w:rtl/>
              </w:rPr>
              <w:t xml:space="preserve"> : « كان » بدون الهمزة.</w:t>
            </w:r>
          </w:p>
        </w:tc>
      </w:tr>
      <w:tr w:rsidR="00871169" w:rsidTr="00871169">
        <w:tc>
          <w:tcPr>
            <w:tcW w:w="4006" w:type="dxa"/>
          </w:tcPr>
          <w:p w:rsidR="00871169" w:rsidRDefault="00871169" w:rsidP="000C39D1">
            <w:pPr>
              <w:pStyle w:val="libFootnote0"/>
              <w:rPr>
                <w:rtl/>
              </w:rPr>
            </w:pPr>
            <w:r>
              <w:rPr>
                <w:rtl/>
              </w:rPr>
              <w:t>(10).</w:t>
            </w:r>
            <w:r w:rsidRPr="00132E65">
              <w:rPr>
                <w:rtl/>
              </w:rPr>
              <w:t xml:space="preserve"> في « ب ، ج » :</w:t>
            </w:r>
            <w:r>
              <w:rPr>
                <w:rtl/>
              </w:rPr>
              <w:t xml:space="preserve"> + </w:t>
            </w:r>
            <w:r w:rsidRPr="00132E65">
              <w:rPr>
                <w:rtl/>
              </w:rPr>
              <w:t>« حجّة »</w:t>
            </w:r>
            <w:r>
              <w:rPr>
                <w:rtl/>
              </w:rPr>
              <w:t>.</w:t>
            </w:r>
          </w:p>
        </w:tc>
        <w:tc>
          <w:tcPr>
            <w:tcW w:w="4006" w:type="dxa"/>
          </w:tcPr>
          <w:p w:rsidR="00871169" w:rsidRDefault="00871169" w:rsidP="000C39D1">
            <w:pPr>
              <w:pStyle w:val="libFootnote0"/>
              <w:rPr>
                <w:rtl/>
              </w:rPr>
            </w:pPr>
            <w:r>
              <w:rPr>
                <w:rtl/>
              </w:rPr>
              <w:t>(11). في «ف،بح ، بس ، بف</w:t>
            </w:r>
            <w:r w:rsidRPr="00132E65">
              <w:rPr>
                <w:rtl/>
              </w:rPr>
              <w:t>» و</w:t>
            </w:r>
            <w:r w:rsidRPr="009D1ACE">
              <w:rPr>
                <w:rStyle w:val="libFootnoteBoldChar"/>
                <w:rtl/>
              </w:rPr>
              <w:t>الوافي</w:t>
            </w:r>
            <w:r>
              <w:rPr>
                <w:rtl/>
              </w:rPr>
              <w:t xml:space="preserve"> : «فكانت</w:t>
            </w:r>
            <w:r w:rsidRPr="00132E65">
              <w:rPr>
                <w:rtl/>
              </w:rPr>
              <w:t>»</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فَقَالَ : « نَعَمْ ، و</w:t>
      </w:r>
      <w:r w:rsidR="00871169">
        <w:rPr>
          <w:rFonts w:hint="cs"/>
          <w:rtl/>
          <w:lang w:bidi="fa-IR"/>
        </w:rPr>
        <w:t>َ</w:t>
      </w:r>
      <w:r w:rsidRPr="00132E65">
        <w:rPr>
          <w:rtl/>
          <w:lang w:bidi="fa-IR"/>
        </w:rPr>
        <w:t xml:space="preserve">لكِنَّهُ صَمَتَ ، فَلَمْ يَتَكَلَّمْ </w:t>
      </w:r>
      <w:r>
        <w:rPr>
          <w:rStyle w:val="libFootnotenumChar"/>
          <w:rtl/>
        </w:rPr>
        <w:t>(1)</w:t>
      </w:r>
      <w:r w:rsidRPr="00132E65">
        <w:rPr>
          <w:rtl/>
          <w:lang w:bidi="fa-IR"/>
        </w:rPr>
        <w:t xml:space="preserve"> مَعَ رَسُولِ اللهِ </w:t>
      </w:r>
      <w:r w:rsidRPr="0093484F">
        <w:rPr>
          <w:rStyle w:val="libAlaemChar"/>
          <w:rFonts w:eastAsiaTheme="minorHAnsi"/>
          <w:rtl/>
        </w:rPr>
        <w:t>صلى‌الله‌عليه‌وآله</w:t>
      </w:r>
      <w:r w:rsidRPr="00132E65">
        <w:rPr>
          <w:rtl/>
          <w:lang w:bidi="fa-IR"/>
        </w:rPr>
        <w:t xml:space="preserve"> ، و</w:t>
      </w:r>
      <w:r w:rsidR="00871169">
        <w:rPr>
          <w:rFonts w:hint="cs"/>
          <w:rtl/>
          <w:lang w:bidi="fa-IR"/>
        </w:rPr>
        <w:t>َ</w:t>
      </w:r>
      <w:r w:rsidRPr="00132E65">
        <w:rPr>
          <w:rtl/>
          <w:lang w:bidi="fa-IR"/>
        </w:rPr>
        <w:t xml:space="preserve">كَانَتِ الطَّاعَةُ لِرَسُولِ اللهِ </w:t>
      </w:r>
      <w:r w:rsidRPr="0093484F">
        <w:rPr>
          <w:rStyle w:val="libAlaemChar"/>
          <w:rFonts w:eastAsiaTheme="minorHAnsi"/>
          <w:rtl/>
        </w:rPr>
        <w:t>صلى‌الله‌عليه‌وآله</w:t>
      </w:r>
      <w:r w:rsidRPr="00132E65">
        <w:rPr>
          <w:rtl/>
          <w:lang w:bidi="fa-IR"/>
        </w:rPr>
        <w:t xml:space="preserve"> عَلى أُمَّتِهِ و</w:t>
      </w:r>
      <w:r w:rsidR="00A73F8A">
        <w:rPr>
          <w:rFonts w:hint="cs"/>
          <w:rtl/>
          <w:lang w:bidi="fa-IR"/>
        </w:rPr>
        <w:t>َ</w:t>
      </w:r>
      <w:r w:rsidRPr="00132E65">
        <w:rPr>
          <w:rtl/>
          <w:lang w:bidi="fa-IR"/>
        </w:rPr>
        <w:t xml:space="preserve">عَلى عَلِيٍّ </w:t>
      </w:r>
      <w:r w:rsidRPr="00071CF9">
        <w:rPr>
          <w:rStyle w:val="libAlaemChar"/>
          <w:rtl/>
        </w:rPr>
        <w:t>عليه‌السلام</w:t>
      </w:r>
      <w:r w:rsidRPr="00132E65">
        <w:rPr>
          <w:rtl/>
          <w:lang w:bidi="fa-IR"/>
        </w:rPr>
        <w:t xml:space="preserve"> فِي حَيَاةِ رَسُولِ اللهِ </w:t>
      </w:r>
      <w:r w:rsidRPr="0093484F">
        <w:rPr>
          <w:rStyle w:val="libAlaemChar"/>
          <w:rFonts w:eastAsiaTheme="minorHAnsi"/>
          <w:rtl/>
        </w:rPr>
        <w:t>صلى‌الله‌عليه‌وآله</w:t>
      </w:r>
      <w:r w:rsidRPr="00132E65">
        <w:rPr>
          <w:rtl/>
          <w:lang w:bidi="fa-IR"/>
        </w:rPr>
        <w:t xml:space="preserve"> ، و</w:t>
      </w:r>
      <w:r w:rsidR="00A73F8A">
        <w:rPr>
          <w:rFonts w:hint="cs"/>
          <w:rtl/>
          <w:lang w:bidi="fa-IR"/>
        </w:rPr>
        <w:t>َ</w:t>
      </w:r>
      <w:r w:rsidRPr="00132E65">
        <w:rPr>
          <w:rtl/>
          <w:lang w:bidi="fa-IR"/>
        </w:rPr>
        <w:t xml:space="preserve">كَانَتِ </w:t>
      </w:r>
      <w:r>
        <w:rPr>
          <w:rStyle w:val="libFootnotenumChar"/>
          <w:rtl/>
        </w:rPr>
        <w:t>(2)</w:t>
      </w:r>
      <w:r w:rsidRPr="00132E65">
        <w:rPr>
          <w:rtl/>
          <w:lang w:bidi="fa-IR"/>
        </w:rPr>
        <w:t xml:space="preserve"> الطَّاعَةُ مِنَ اللهِ و</w:t>
      </w:r>
      <w:r w:rsidR="00A73F8A">
        <w:rPr>
          <w:rFonts w:hint="cs"/>
          <w:rtl/>
          <w:lang w:bidi="fa-IR"/>
        </w:rPr>
        <w:t>َ</w:t>
      </w:r>
      <w:r w:rsidRPr="00132E65">
        <w:rPr>
          <w:rtl/>
          <w:lang w:bidi="fa-IR"/>
        </w:rPr>
        <w:t xml:space="preserve">مِنْ رَسُولِهِ عَلَى النَّاسِ كُلِّهِمْ لِعَلِيٍّ </w:t>
      </w:r>
      <w:r w:rsidRPr="00071CF9">
        <w:rPr>
          <w:rStyle w:val="libAlaemChar"/>
          <w:rtl/>
        </w:rPr>
        <w:t>عليه‌السلام</w:t>
      </w:r>
      <w:r w:rsidRPr="00132E65">
        <w:rPr>
          <w:rtl/>
          <w:lang w:bidi="fa-IR"/>
        </w:rPr>
        <w:t xml:space="preserve"> بَعْدَ و</w:t>
      </w:r>
      <w:r w:rsidR="00A73F8A">
        <w:rPr>
          <w:rFonts w:hint="cs"/>
          <w:rtl/>
          <w:lang w:bidi="fa-IR"/>
        </w:rPr>
        <w:t>َ</w:t>
      </w:r>
      <w:r w:rsidRPr="00132E65">
        <w:rPr>
          <w:rtl/>
          <w:lang w:bidi="fa-IR"/>
        </w:rPr>
        <w:t xml:space="preserve">فَاةِ رَسُولِ اللهِ </w:t>
      </w:r>
      <w:r w:rsidRPr="0093484F">
        <w:rPr>
          <w:rStyle w:val="libAlaemChar"/>
          <w:rFonts w:eastAsiaTheme="minorHAnsi"/>
          <w:rtl/>
        </w:rPr>
        <w:t>صلى‌الله‌عليه‌وآله</w:t>
      </w:r>
      <w:r w:rsidRPr="00132E65">
        <w:rPr>
          <w:rtl/>
          <w:lang w:bidi="fa-IR"/>
        </w:rPr>
        <w:t xml:space="preserve"> ، و</w:t>
      </w:r>
      <w:r w:rsidR="00A73F8A">
        <w:rPr>
          <w:rFonts w:hint="cs"/>
          <w:rtl/>
          <w:lang w:bidi="fa-IR"/>
        </w:rPr>
        <w:t>َ</w:t>
      </w:r>
      <w:r w:rsidRPr="00132E65">
        <w:rPr>
          <w:rtl/>
          <w:lang w:bidi="fa-IR"/>
        </w:rPr>
        <w:t xml:space="preserve">كَانَ عَلِيٌّ </w:t>
      </w:r>
      <w:r w:rsidRPr="00071CF9">
        <w:rPr>
          <w:rStyle w:val="libAlaemChar"/>
          <w:rtl/>
        </w:rPr>
        <w:t>عليه‌السلام</w:t>
      </w:r>
      <w:r w:rsidRPr="00132E65">
        <w:rPr>
          <w:rtl/>
          <w:lang w:bidi="fa-IR"/>
        </w:rPr>
        <w:t xml:space="preserve"> حَكِيماً </w:t>
      </w:r>
      <w:r>
        <w:rPr>
          <w:rStyle w:val="libFootnotenumChar"/>
          <w:rtl/>
        </w:rPr>
        <w:t>(3)</w:t>
      </w:r>
      <w:r w:rsidRPr="00132E65">
        <w:rPr>
          <w:rtl/>
          <w:lang w:bidi="fa-IR"/>
        </w:rPr>
        <w:t xml:space="preserve"> عَالِما</w:t>
      </w:r>
      <w:r w:rsidR="00A73F8A">
        <w:rPr>
          <w:rtl/>
          <w:lang w:bidi="fa-IR"/>
        </w:rPr>
        <w:t>ً</w:t>
      </w:r>
      <w:r w:rsidRPr="00132E65">
        <w:rPr>
          <w:rtl/>
          <w:lang w:bidi="fa-IR"/>
        </w:rPr>
        <w:t>»</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BB3FFF">
        <w:rPr>
          <w:rtl/>
        </w:rPr>
        <w:t>996</w:t>
      </w:r>
      <w:r w:rsidRPr="004325D8">
        <w:rPr>
          <w:rStyle w:val="libBold2Char"/>
          <w:rtl/>
        </w:rPr>
        <w:t xml:space="preserve"> / 2.</w:t>
      </w:r>
      <w:r w:rsidRPr="00132E65">
        <w:rPr>
          <w:rtl/>
          <w:lang w:bidi="fa-IR"/>
        </w:rPr>
        <w:t xml:space="preserve"> مُحَمَّدُ بْنُ يَحْيى ، عَنْ أَحْمَدَ بْنِ مُحَمَّدِ بْنِ عِيسى ، عَنْ صَفْوَانَ بْنِ يَحْيى ، قَالَ :</w:t>
      </w:r>
    </w:p>
    <w:p w:rsidR="000C39D1" w:rsidRPr="00132E65" w:rsidRDefault="000C39D1" w:rsidP="000C39D1">
      <w:pPr>
        <w:pStyle w:val="libNormal"/>
        <w:rPr>
          <w:rtl/>
          <w:lang w:bidi="fa-IR"/>
        </w:rPr>
      </w:pPr>
      <w:r w:rsidRPr="00132E65">
        <w:rPr>
          <w:rtl/>
          <w:lang w:bidi="fa-IR"/>
        </w:rPr>
        <w:t xml:space="preserve">قُلْتُ لِلرِّضَا </w:t>
      </w:r>
      <w:r w:rsidRPr="00071CF9">
        <w:rPr>
          <w:rStyle w:val="libAlaemChar"/>
          <w:rtl/>
        </w:rPr>
        <w:t>عليه‌السلام</w:t>
      </w:r>
      <w:r w:rsidRPr="00132E65">
        <w:rPr>
          <w:rtl/>
          <w:lang w:bidi="fa-IR"/>
        </w:rPr>
        <w:t xml:space="preserve"> : قَدْ كُنَّا نَسْأَلُكَ قَبْلَ أَنْ يَهَبَ اللهُ لَكَ أَبَا جَعْفَرٍ </w:t>
      </w:r>
      <w:r w:rsidRPr="00071CF9">
        <w:rPr>
          <w:rStyle w:val="libAlaemChar"/>
          <w:rtl/>
        </w:rPr>
        <w:t>عليه‌السلام</w:t>
      </w:r>
      <w:r w:rsidRPr="00132E65">
        <w:rPr>
          <w:rtl/>
          <w:lang w:bidi="fa-IR"/>
        </w:rPr>
        <w:t xml:space="preserve"> ، فَكُنْتَ تَقُولُ :</w:t>
      </w:r>
      <w:r>
        <w:rPr>
          <w:rFonts w:hint="cs"/>
          <w:rtl/>
          <w:lang w:bidi="fa-IR"/>
        </w:rPr>
        <w:t xml:space="preserve"> </w:t>
      </w:r>
      <w:r w:rsidRPr="00132E65">
        <w:rPr>
          <w:rtl/>
          <w:lang w:bidi="fa-IR"/>
        </w:rPr>
        <w:t>« يَهَبُ اللهُ لِي غُلَاماً » فَقَدْ و</w:t>
      </w:r>
      <w:r w:rsidR="00A73F8A">
        <w:rPr>
          <w:rFonts w:hint="cs"/>
          <w:rtl/>
          <w:lang w:bidi="fa-IR"/>
        </w:rPr>
        <w:t>َ</w:t>
      </w:r>
      <w:r w:rsidRPr="00132E65">
        <w:rPr>
          <w:rtl/>
          <w:lang w:bidi="fa-IR"/>
        </w:rPr>
        <w:t xml:space="preserve">هَبَ </w:t>
      </w:r>
      <w:r>
        <w:rPr>
          <w:rStyle w:val="libFootnotenumChar"/>
          <w:rtl/>
        </w:rPr>
        <w:t>(5)</w:t>
      </w:r>
      <w:r w:rsidRPr="00132E65">
        <w:rPr>
          <w:rtl/>
          <w:lang w:bidi="fa-IR"/>
        </w:rPr>
        <w:t xml:space="preserve"> اللهُ لَكَ </w:t>
      </w:r>
      <w:r>
        <w:rPr>
          <w:rStyle w:val="libFootnotenumChar"/>
          <w:rtl/>
        </w:rPr>
        <w:t>(6)</w:t>
      </w:r>
      <w:r w:rsidRPr="00132E65">
        <w:rPr>
          <w:rtl/>
          <w:lang w:bidi="fa-IR"/>
        </w:rPr>
        <w:t xml:space="preserve"> ، فَقَرَّ </w:t>
      </w:r>
      <w:r>
        <w:rPr>
          <w:rStyle w:val="libFootnotenumChar"/>
          <w:rtl/>
        </w:rPr>
        <w:t>(7)</w:t>
      </w:r>
      <w:r w:rsidRPr="00132E65">
        <w:rPr>
          <w:rtl/>
          <w:lang w:bidi="fa-IR"/>
        </w:rPr>
        <w:t xml:space="preserve"> عُيُونُنَا </w:t>
      </w:r>
      <w:r>
        <w:rPr>
          <w:rStyle w:val="libFootnotenumChar"/>
          <w:rtl/>
        </w:rPr>
        <w:t>(8)</w:t>
      </w:r>
      <w:r w:rsidRPr="00132E65">
        <w:rPr>
          <w:rtl/>
          <w:lang w:bidi="fa-IR"/>
        </w:rPr>
        <w:t xml:space="preserve"> ، فَلَا أَرَانَا اللهُ يَوْمَكَ ، فَإِنْ كَانَ كَوْنٌ فَإِلى مَنْ</w:t>
      </w:r>
      <w:r>
        <w:rPr>
          <w:rtl/>
          <w:lang w:bidi="fa-IR"/>
        </w:rPr>
        <w:t>؟</w:t>
      </w:r>
      <w:r w:rsidRPr="00132E65">
        <w:rPr>
          <w:rtl/>
          <w:lang w:bidi="fa-IR"/>
        </w:rPr>
        <w:t xml:space="preserve"> فَأَشَارَ بِيَدِهِ إِلى أَبِي جَعْفَرٍ </w:t>
      </w:r>
      <w:r w:rsidRPr="00071CF9">
        <w:rPr>
          <w:rStyle w:val="libAlaemChar"/>
          <w:rtl/>
        </w:rPr>
        <w:t>عليه‌السلام</w:t>
      </w:r>
      <w:r w:rsidRPr="00132E65">
        <w:rPr>
          <w:rtl/>
          <w:lang w:bidi="fa-IR"/>
        </w:rPr>
        <w:t xml:space="preserve"> و</w:t>
      </w:r>
      <w:r w:rsidR="00A73F8A">
        <w:rPr>
          <w:rFonts w:hint="cs"/>
          <w:rtl/>
          <w:lang w:bidi="fa-IR"/>
        </w:rPr>
        <w:t xml:space="preserve">َ </w:t>
      </w:r>
      <w:r w:rsidRPr="00132E65">
        <w:rPr>
          <w:rtl/>
          <w:lang w:bidi="fa-IR"/>
        </w:rPr>
        <w:t>هُوَ قَائِمٌ بَيْنَ يَدَيْهِ.</w:t>
      </w:r>
    </w:p>
    <w:p w:rsidR="000C39D1" w:rsidRPr="00132E65" w:rsidRDefault="000C39D1" w:rsidP="000C39D1">
      <w:pPr>
        <w:pStyle w:val="libNormal"/>
        <w:rPr>
          <w:rtl/>
          <w:lang w:bidi="fa-IR"/>
        </w:rPr>
      </w:pPr>
      <w:r w:rsidRPr="00132E65">
        <w:rPr>
          <w:rtl/>
          <w:lang w:bidi="fa-IR"/>
        </w:rPr>
        <w:t xml:space="preserve">فَقُلْتُ : جُعِلْتُ فِدَاكَ ، هذَا </w:t>
      </w:r>
      <w:r>
        <w:rPr>
          <w:rStyle w:val="libFootnotenumChar"/>
          <w:rtl/>
        </w:rPr>
        <w:t>(9)</w:t>
      </w:r>
      <w:r w:rsidRPr="00132E65">
        <w:rPr>
          <w:rtl/>
          <w:lang w:bidi="fa-IR"/>
        </w:rPr>
        <w:t xml:space="preserve"> ابْنُ ثَلَاثِ سِنِينَ</w:t>
      </w:r>
      <w:r>
        <w:rPr>
          <w:rtl/>
          <w:lang w:bidi="fa-IR"/>
        </w:rPr>
        <w:t>؟!</w:t>
      </w:r>
      <w:r w:rsidRPr="00132E65">
        <w:rPr>
          <w:rtl/>
          <w:lang w:bidi="fa-IR"/>
        </w:rPr>
        <w:t xml:space="preserve"> قَالَ </w:t>
      </w:r>
      <w:r>
        <w:rPr>
          <w:rStyle w:val="libFootnotenumChar"/>
          <w:rtl/>
        </w:rPr>
        <w:t>(10)</w:t>
      </w:r>
      <w:r w:rsidRPr="00132E65">
        <w:rPr>
          <w:rtl/>
          <w:lang w:bidi="fa-IR"/>
        </w:rPr>
        <w:t xml:space="preserve"> : « وَمَا يَضُرُّهُ </w:t>
      </w:r>
      <w:r>
        <w:rPr>
          <w:rStyle w:val="libFootnotenumChar"/>
          <w:rtl/>
        </w:rPr>
        <w:t>(11)</w:t>
      </w:r>
      <w:r w:rsidRPr="00132E65">
        <w:rPr>
          <w:rtl/>
          <w:lang w:bidi="fa-IR"/>
        </w:rPr>
        <w:t xml:space="preserve"> مِنْ ذلِكَ </w:t>
      </w:r>
      <w:r>
        <w:rPr>
          <w:rStyle w:val="libFootnotenumChar"/>
          <w:rtl/>
        </w:rPr>
        <w:t>(12)</w:t>
      </w:r>
      <w:r w:rsidRPr="00132E65">
        <w:rPr>
          <w:rtl/>
          <w:lang w:bidi="fa-IR"/>
        </w:rPr>
        <w:t xml:space="preserve"> شَيْ‌ءٌ </w:t>
      </w:r>
      <w:r w:rsidRPr="00F543F1">
        <w:rPr>
          <w:rStyle w:val="libFootnotenumChar"/>
          <w:rtl/>
        </w:rPr>
        <w:t>(</w:t>
      </w:r>
      <w:r w:rsidRPr="00F543F1">
        <w:rPr>
          <w:rStyle w:val="libFootnotenumChar"/>
          <w:rFonts w:hint="cs"/>
          <w:rtl/>
        </w:rPr>
        <w:t>13</w:t>
      </w:r>
      <w:r w:rsidRPr="00F543F1">
        <w:rPr>
          <w:rStyle w:val="libFootnotenumChar"/>
          <w:rtl/>
        </w:rPr>
        <w:t>)</w:t>
      </w:r>
      <w:r w:rsidRPr="00132E65">
        <w:rPr>
          <w:rtl/>
          <w:lang w:bidi="fa-IR"/>
        </w:rPr>
        <w:t xml:space="preserve"> ؛ قَدْ قَامَ </w:t>
      </w:r>
      <w:r w:rsidRPr="00F543F1">
        <w:rPr>
          <w:rStyle w:val="libFootnotenumChar"/>
          <w:rtl/>
        </w:rPr>
        <w:t>(</w:t>
      </w:r>
      <w:r w:rsidRPr="00F543F1">
        <w:rPr>
          <w:rStyle w:val="libFootnotenumChar"/>
          <w:rFonts w:hint="cs"/>
          <w:rtl/>
        </w:rPr>
        <w:t>14</w:t>
      </w:r>
      <w:r w:rsidRPr="00F543F1">
        <w:rPr>
          <w:rStyle w:val="libFootnotenumChar"/>
          <w:rtl/>
        </w:rPr>
        <w:t>)</w:t>
      </w:r>
      <w:r w:rsidRPr="00132E65">
        <w:rPr>
          <w:rtl/>
          <w:lang w:bidi="fa-IR"/>
        </w:rPr>
        <w:t xml:space="preserve"> عِيسى </w:t>
      </w:r>
      <w:r w:rsidRPr="00F543F1">
        <w:rPr>
          <w:rStyle w:val="libFootnotenumChar"/>
          <w:rtl/>
        </w:rPr>
        <w:t>(</w:t>
      </w:r>
      <w:r w:rsidRPr="00F543F1">
        <w:rPr>
          <w:rStyle w:val="libFootnotenumChar"/>
          <w:rFonts w:hint="cs"/>
          <w:rtl/>
        </w:rPr>
        <w:t>15</w:t>
      </w:r>
      <w:r w:rsidRPr="00F543F1">
        <w:rPr>
          <w:rStyle w:val="libFootnotenumChar"/>
          <w:rtl/>
        </w:rPr>
        <w:t>)</w:t>
      </w:r>
      <w:r w:rsidRPr="00132E65">
        <w:rPr>
          <w:rtl/>
          <w:lang w:bidi="fa-IR"/>
        </w:rPr>
        <w:t xml:space="preserve"> </w:t>
      </w:r>
      <w:r w:rsidRPr="00071CF9">
        <w:rPr>
          <w:rStyle w:val="libAlaemChar"/>
          <w:rtl/>
        </w:rPr>
        <w:t>عليه‌السلام</w:t>
      </w:r>
      <w:r w:rsidRPr="00132E65">
        <w:rPr>
          <w:rtl/>
          <w:lang w:bidi="fa-IR"/>
        </w:rPr>
        <w:t xml:space="preserve"> بِالْحُجَّةِ و</w:t>
      </w:r>
      <w:r w:rsidR="00A73F8A">
        <w:rPr>
          <w:rFonts w:hint="cs"/>
          <w:rtl/>
          <w:lang w:bidi="fa-IR"/>
        </w:rPr>
        <w:t xml:space="preserve">َ </w:t>
      </w:r>
      <w:r w:rsidRPr="00132E65">
        <w:rPr>
          <w:rtl/>
          <w:lang w:bidi="fa-IR"/>
        </w:rPr>
        <w:t xml:space="preserve">هُوَ ابْنُ </w:t>
      </w:r>
      <w:r w:rsidRPr="00F543F1">
        <w:rPr>
          <w:rStyle w:val="libFootnotenumChar"/>
          <w:rtl/>
        </w:rPr>
        <w:t>(</w:t>
      </w:r>
      <w:r w:rsidRPr="00F543F1">
        <w:rPr>
          <w:rStyle w:val="libFootnotenumChar"/>
          <w:rFonts w:hint="cs"/>
          <w:rtl/>
        </w:rPr>
        <w:t>16</w:t>
      </w:r>
      <w:r w:rsidRPr="00F543F1">
        <w:rPr>
          <w:rStyle w:val="libFootnotenumChar"/>
          <w:rtl/>
        </w:rPr>
        <w:t>)</w:t>
      </w:r>
      <w:r w:rsidRPr="00132E65">
        <w:rPr>
          <w:rtl/>
          <w:lang w:bidi="fa-IR"/>
        </w:rPr>
        <w:t xml:space="preserve"> ثَلَاثِ سِنِينَ »</w:t>
      </w:r>
      <w:r>
        <w:rPr>
          <w:rtl/>
          <w:lang w:bidi="fa-IR"/>
        </w:rPr>
        <w:t>.</w:t>
      </w:r>
      <w:r w:rsidRPr="00132E65">
        <w:rPr>
          <w:rtl/>
          <w:lang w:bidi="fa-IR"/>
        </w:rPr>
        <w:t xml:space="preserve"> </w:t>
      </w:r>
      <w:r w:rsidRPr="00F543F1">
        <w:rPr>
          <w:rStyle w:val="libFootnotenumChar"/>
          <w:rtl/>
        </w:rPr>
        <w:t>(</w:t>
      </w:r>
      <w:r w:rsidRPr="00F543F1">
        <w:rPr>
          <w:rStyle w:val="libFootnotenumChar"/>
          <w:rFonts w:hint="cs"/>
          <w:rtl/>
        </w:rPr>
        <w:t>17</w:t>
      </w:r>
      <w:r w:rsidRPr="00F543F1">
        <w:rPr>
          <w:rStyle w:val="libFootnotenumChar"/>
          <w:rtl/>
        </w:rPr>
        <w:t>)</w:t>
      </w:r>
      <w:r w:rsidRPr="00132E65">
        <w:rPr>
          <w:rtl/>
          <w:lang w:bidi="fa-IR"/>
        </w:rPr>
        <w:t xml:space="preserve"> ‌</w:t>
      </w:r>
    </w:p>
    <w:p w:rsidR="000C39D1"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73F8A" w:rsidTr="00A73F8A">
        <w:tc>
          <w:tcPr>
            <w:tcW w:w="4006" w:type="dxa"/>
          </w:tcPr>
          <w:p w:rsidR="00A73F8A" w:rsidRDefault="00A73F8A" w:rsidP="000C39D1">
            <w:pPr>
              <w:pStyle w:val="libFootnote0"/>
              <w:rPr>
                <w:rtl/>
              </w:rPr>
            </w:pPr>
            <w:r>
              <w:rPr>
                <w:rtl/>
              </w:rPr>
              <w:t>(1).</w:t>
            </w:r>
            <w:r w:rsidRPr="00132E65">
              <w:rPr>
                <w:rtl/>
              </w:rPr>
              <w:t xml:space="preserve"> في « ج » : « ولم يتكلّم »</w:t>
            </w:r>
            <w:r>
              <w:rPr>
                <w:rtl/>
              </w:rPr>
              <w:t>.</w:t>
            </w:r>
          </w:p>
        </w:tc>
        <w:tc>
          <w:tcPr>
            <w:tcW w:w="4006" w:type="dxa"/>
          </w:tcPr>
          <w:p w:rsidR="00A73F8A" w:rsidRDefault="00A73F8A" w:rsidP="000C39D1">
            <w:pPr>
              <w:pStyle w:val="libFootnote0"/>
              <w:rPr>
                <w:rtl/>
              </w:rPr>
            </w:pPr>
            <w:r>
              <w:rPr>
                <w:rtl/>
              </w:rPr>
              <w:t>(2).</w:t>
            </w:r>
            <w:r w:rsidRPr="00132E65">
              <w:rPr>
                <w:rtl/>
              </w:rPr>
              <w:t xml:space="preserve"> في « بح » : « كان »</w:t>
            </w:r>
            <w:r>
              <w:rPr>
                <w:rtl/>
              </w:rPr>
              <w:t>.</w:t>
            </w:r>
          </w:p>
        </w:tc>
      </w:tr>
    </w:tbl>
    <w:p w:rsidR="000C39D1" w:rsidRPr="00132E65" w:rsidRDefault="000C39D1" w:rsidP="000C39D1">
      <w:pPr>
        <w:pStyle w:val="libFootnote0"/>
        <w:rPr>
          <w:rtl/>
          <w:lang w:bidi="fa-IR"/>
        </w:rPr>
      </w:pPr>
      <w:r>
        <w:rPr>
          <w:rtl/>
        </w:rPr>
        <w:t>(3).</w:t>
      </w:r>
      <w:r w:rsidRPr="00132E65">
        <w:rPr>
          <w:rtl/>
        </w:rPr>
        <w:t xml:space="preserve"> في « ج ، ض ، ف » وحاشية « بح ، بر ، بف » و</w:t>
      </w:r>
      <w:r w:rsidRPr="009D1ACE">
        <w:rPr>
          <w:rStyle w:val="libFootnoteBoldChar"/>
          <w:rtl/>
        </w:rPr>
        <w:t>مرآة العقول</w:t>
      </w:r>
      <w:r w:rsidRPr="00132E65">
        <w:rPr>
          <w:rtl/>
        </w:rPr>
        <w:t xml:space="preserve"> : « حليماً »</w:t>
      </w:r>
      <w:r>
        <w:rPr>
          <w:rtl/>
        </w:rPr>
        <w:t>.</w:t>
      </w:r>
      <w:r w:rsidRPr="00132E65">
        <w:rPr>
          <w:rtl/>
        </w:rPr>
        <w:t xml:space="preserve"> وفي </w:t>
      </w:r>
      <w:r w:rsidRPr="009D1ACE">
        <w:rPr>
          <w:rStyle w:val="libFootnoteBoldChar"/>
          <w:rtl/>
        </w:rPr>
        <w:t>الوافي</w:t>
      </w:r>
      <w:r w:rsidR="00936037">
        <w:rPr>
          <w:rtl/>
        </w:rPr>
        <w:t xml:space="preserve"> : « عليماً » بدل «عالماً</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2 ، ص 70 ، ح 514 ؛ </w:t>
      </w:r>
      <w:r w:rsidRPr="00A73F8A">
        <w:rPr>
          <w:rStyle w:val="libFootnoteBoldChar"/>
          <w:rtl/>
        </w:rPr>
        <w:t>البحار</w:t>
      </w:r>
      <w:r w:rsidRPr="00132E65">
        <w:rPr>
          <w:rtl/>
        </w:rPr>
        <w:t xml:space="preserve"> ، ج 14 ، ص 255 ، ح 51 ، وفيه إلى قوله : « منذ يوم خلق الله آدم </w:t>
      </w:r>
      <w:r w:rsidRPr="00A73F8A">
        <w:rPr>
          <w:rStyle w:val="libFootnoteAlaemChar"/>
          <w:rtl/>
        </w:rPr>
        <w:t>عليه‌السلام</w:t>
      </w:r>
      <w:r w:rsidRPr="00132E65">
        <w:rPr>
          <w:rtl/>
        </w:rPr>
        <w:t xml:space="preserve"> وأسكنه الأرض » ؛ وج 18 ، ص 278 ، ذيل ح 38 ، إلى قوله : « وعلى الناس أجمعين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0577A7">
        <w:rPr>
          <w:rStyle w:val="libFootnoteBoldChar"/>
          <w:rtl/>
        </w:rPr>
        <w:t>الكافي</w:t>
      </w:r>
      <w:r w:rsidRPr="00132E65">
        <w:rPr>
          <w:rtl/>
        </w:rPr>
        <w:t xml:space="preserve"> ، ح 842 و</w:t>
      </w:r>
      <w:r w:rsidRPr="009D1ACE">
        <w:rPr>
          <w:rStyle w:val="libFootnoteBoldChar"/>
          <w:rtl/>
        </w:rPr>
        <w:t>الوافي</w:t>
      </w:r>
      <w:r w:rsidRPr="00132E65">
        <w:rPr>
          <w:rtl/>
        </w:rPr>
        <w:t xml:space="preserve"> والإرشاد : « وهبه »</w:t>
      </w:r>
      <w:r>
        <w:rPr>
          <w:rtl/>
        </w:rPr>
        <w:t>.</w:t>
      </w:r>
    </w:p>
    <w:p w:rsidR="000C39D1" w:rsidRPr="00132E65" w:rsidRDefault="000C39D1" w:rsidP="000C39D1">
      <w:pPr>
        <w:pStyle w:val="libFootnote0"/>
        <w:rPr>
          <w:rtl/>
          <w:lang w:bidi="fa-IR"/>
        </w:rPr>
      </w:pPr>
      <w:r>
        <w:rPr>
          <w:rtl/>
        </w:rPr>
        <w:t>(6).</w:t>
      </w:r>
      <w:r w:rsidRPr="00132E65">
        <w:rPr>
          <w:rtl/>
        </w:rPr>
        <w:t xml:space="preserve"> في « ف » :</w:t>
      </w:r>
      <w:r>
        <w:rPr>
          <w:rtl/>
        </w:rPr>
        <w:t xml:space="preserve"> + </w:t>
      </w:r>
      <w:r w:rsidRPr="00132E65">
        <w:rPr>
          <w:rtl/>
        </w:rPr>
        <w:t>« غلاماً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ح 842 ، و</w:t>
      </w:r>
      <w:r w:rsidRPr="009D1ACE">
        <w:rPr>
          <w:rStyle w:val="libFootnoteBoldChar"/>
          <w:rtl/>
        </w:rPr>
        <w:t>الوافي</w:t>
      </w:r>
      <w:r w:rsidRPr="00132E65">
        <w:rPr>
          <w:rtl/>
        </w:rPr>
        <w:t xml:space="preserve"> : « فأقرّ »</w:t>
      </w:r>
      <w:r>
        <w:rPr>
          <w:rtl/>
        </w:rPr>
        <w:t>.</w:t>
      </w:r>
      <w:r w:rsidRPr="00132E65">
        <w:rPr>
          <w:rtl/>
        </w:rPr>
        <w:t xml:space="preserve"> وفي الإرشاد : « وقرّ »</w:t>
      </w:r>
      <w:r>
        <w:rPr>
          <w:rtl/>
        </w:rPr>
        <w:t>.</w:t>
      </w:r>
    </w:p>
    <w:tbl>
      <w:tblPr>
        <w:tblStyle w:val="TableGrid"/>
        <w:bidiVisual/>
        <w:tblW w:w="0" w:type="auto"/>
        <w:tblLook w:val="04A0" w:firstRow="1" w:lastRow="0" w:firstColumn="1" w:lastColumn="0" w:noHBand="0" w:noVBand="1"/>
      </w:tblPr>
      <w:tblGrid>
        <w:gridCol w:w="4006"/>
        <w:gridCol w:w="4006"/>
      </w:tblGrid>
      <w:tr w:rsidR="00A73F8A" w:rsidTr="00A73F8A">
        <w:tc>
          <w:tcPr>
            <w:tcW w:w="4006" w:type="dxa"/>
          </w:tcPr>
          <w:p w:rsidR="00A73F8A" w:rsidRDefault="00A73F8A" w:rsidP="000C39D1">
            <w:pPr>
              <w:pStyle w:val="libFootnote0"/>
              <w:rPr>
                <w:rtl/>
              </w:rPr>
            </w:pPr>
            <w:r>
              <w:rPr>
                <w:rtl/>
              </w:rPr>
              <w:t>(8).</w:t>
            </w:r>
            <w:r w:rsidRPr="00132E65">
              <w:rPr>
                <w:rtl/>
              </w:rPr>
              <w:t xml:space="preserve"> في الإرشاد :</w:t>
            </w:r>
            <w:r>
              <w:rPr>
                <w:rtl/>
              </w:rPr>
              <w:t xml:space="preserve"> + </w:t>
            </w:r>
            <w:r w:rsidRPr="00132E65">
              <w:rPr>
                <w:rtl/>
              </w:rPr>
              <w:t>« به »</w:t>
            </w:r>
            <w:r>
              <w:rPr>
                <w:rtl/>
              </w:rPr>
              <w:t>.</w:t>
            </w:r>
          </w:p>
        </w:tc>
        <w:tc>
          <w:tcPr>
            <w:tcW w:w="4006" w:type="dxa"/>
          </w:tcPr>
          <w:p w:rsidR="00A73F8A" w:rsidRDefault="00A73F8A" w:rsidP="000C39D1">
            <w:pPr>
              <w:pStyle w:val="libFootnote0"/>
              <w:rPr>
                <w:rtl/>
              </w:rPr>
            </w:pPr>
            <w:r>
              <w:rPr>
                <w:rtl/>
              </w:rPr>
              <w:t>(9).</w:t>
            </w:r>
            <w:r w:rsidRPr="00132E65">
              <w:rPr>
                <w:rtl/>
              </w:rPr>
              <w:t xml:space="preserve"> في الإرشاد : « وهذا »</w:t>
            </w:r>
            <w:r>
              <w:rPr>
                <w:rtl/>
              </w:rPr>
              <w:t>.</w:t>
            </w:r>
          </w:p>
        </w:tc>
      </w:tr>
      <w:tr w:rsidR="00A73F8A" w:rsidTr="00A73F8A">
        <w:tc>
          <w:tcPr>
            <w:tcW w:w="4006" w:type="dxa"/>
          </w:tcPr>
          <w:p w:rsidR="00A73F8A" w:rsidRDefault="00A73F8A" w:rsidP="000C39D1">
            <w:pPr>
              <w:pStyle w:val="libFootnote0"/>
              <w:rPr>
                <w:rtl/>
              </w:rPr>
            </w:pPr>
            <w:r>
              <w:rPr>
                <w:rtl/>
              </w:rPr>
              <w:t>(10).</w:t>
            </w:r>
            <w:r w:rsidRPr="00132E65">
              <w:rPr>
                <w:rtl/>
              </w:rPr>
              <w:t xml:space="preserve"> في </w:t>
            </w:r>
            <w:r w:rsidRPr="000577A7">
              <w:rPr>
                <w:rStyle w:val="libFootnoteBoldChar"/>
                <w:rtl/>
              </w:rPr>
              <w:t>الكافي</w:t>
            </w:r>
            <w:r w:rsidRPr="00132E65">
              <w:rPr>
                <w:rtl/>
              </w:rPr>
              <w:t xml:space="preserve"> ، ح 842 ، و</w:t>
            </w:r>
            <w:r w:rsidRPr="009D1ACE">
              <w:rPr>
                <w:rStyle w:val="libFootnoteBoldChar"/>
                <w:rtl/>
              </w:rPr>
              <w:t>الوافي</w:t>
            </w:r>
            <w:r w:rsidRPr="00132E65">
              <w:rPr>
                <w:rtl/>
              </w:rPr>
              <w:t xml:space="preserve"> : « فقال »</w:t>
            </w:r>
            <w:r>
              <w:rPr>
                <w:rtl/>
              </w:rPr>
              <w:t>.</w:t>
            </w:r>
          </w:p>
        </w:tc>
        <w:tc>
          <w:tcPr>
            <w:tcW w:w="4006" w:type="dxa"/>
          </w:tcPr>
          <w:p w:rsidR="00A73F8A" w:rsidRDefault="00A73F8A" w:rsidP="000C39D1">
            <w:pPr>
              <w:pStyle w:val="libFootnote0"/>
              <w:rPr>
                <w:rtl/>
              </w:rPr>
            </w:pPr>
            <w:r>
              <w:rPr>
                <w:rtl/>
              </w:rPr>
              <w:t>(11).</w:t>
            </w:r>
            <w:r w:rsidRPr="00132E65">
              <w:rPr>
                <w:rtl/>
              </w:rPr>
              <w:t xml:space="preserve"> في الإرشاد : « ما يضرّ »</w:t>
            </w:r>
            <w:r>
              <w:rPr>
                <w:rtl/>
              </w:rPr>
              <w:t>.</w:t>
            </w:r>
          </w:p>
        </w:tc>
      </w:tr>
      <w:tr w:rsidR="00A73F8A" w:rsidTr="00A73F8A">
        <w:tc>
          <w:tcPr>
            <w:tcW w:w="4006" w:type="dxa"/>
          </w:tcPr>
          <w:p w:rsidR="00A73F8A" w:rsidRDefault="00A73F8A" w:rsidP="000C39D1">
            <w:pPr>
              <w:pStyle w:val="libFootnote0"/>
              <w:rPr>
                <w:rtl/>
              </w:rPr>
            </w:pPr>
            <w:r>
              <w:rPr>
                <w:rtl/>
              </w:rPr>
              <w:t>(12).</w:t>
            </w:r>
            <w:r w:rsidRPr="00132E65">
              <w:rPr>
                <w:rtl/>
              </w:rPr>
              <w:t xml:space="preserve"> في « ج ، بح ، بر ، بس » : « ذاك »</w:t>
            </w:r>
            <w:r>
              <w:rPr>
                <w:rtl/>
              </w:rPr>
              <w:t>.</w:t>
            </w:r>
          </w:p>
        </w:tc>
        <w:tc>
          <w:tcPr>
            <w:tcW w:w="4006" w:type="dxa"/>
          </w:tcPr>
          <w:p w:rsidR="00A73F8A" w:rsidRDefault="00A73F8A" w:rsidP="000C39D1">
            <w:pPr>
              <w:pStyle w:val="libFootnote0"/>
              <w:rPr>
                <w:rtl/>
              </w:rPr>
            </w:pPr>
            <w:r>
              <w:rPr>
                <w:rtl/>
              </w:rPr>
              <w:t>(13)</w:t>
            </w:r>
            <w:r w:rsidRPr="00132E65">
              <w:rPr>
                <w:rtl/>
              </w:rPr>
              <w:t xml:space="preserve">في </w:t>
            </w:r>
            <w:r w:rsidRPr="000577A7">
              <w:rPr>
                <w:rStyle w:val="libFootnoteBoldChar"/>
                <w:rtl/>
              </w:rPr>
              <w:t>الكافي</w:t>
            </w:r>
            <w:r>
              <w:rPr>
                <w:rtl/>
              </w:rPr>
              <w:t>،ح 842،</w:t>
            </w:r>
            <w:r w:rsidRPr="00132E65">
              <w:rPr>
                <w:rtl/>
              </w:rPr>
              <w:t>و</w:t>
            </w:r>
            <w:r w:rsidRPr="009D1ACE">
              <w:rPr>
                <w:rStyle w:val="libFootnoteBoldChar"/>
                <w:rtl/>
              </w:rPr>
              <w:t>الوافي</w:t>
            </w:r>
            <w:r w:rsidRPr="00132E65">
              <w:rPr>
                <w:rtl/>
              </w:rPr>
              <w:t xml:space="preserve"> والإرشاد </w:t>
            </w:r>
            <w:r>
              <w:rPr>
                <w:rtl/>
              </w:rPr>
              <w:t>:-«شي‌ء</w:t>
            </w:r>
            <w:r w:rsidRPr="00132E65">
              <w:rPr>
                <w:rtl/>
              </w:rPr>
              <w:t>»</w:t>
            </w:r>
            <w:r>
              <w:rPr>
                <w:rtl/>
              </w:rPr>
              <w:t>.</w:t>
            </w:r>
          </w:p>
        </w:tc>
      </w:tr>
    </w:tbl>
    <w:p w:rsidR="000C39D1" w:rsidRPr="00132E65" w:rsidRDefault="000C39D1" w:rsidP="000C39D1">
      <w:pPr>
        <w:pStyle w:val="libFootnote0"/>
        <w:rPr>
          <w:rtl/>
          <w:lang w:bidi="fa-IR"/>
        </w:rPr>
      </w:pPr>
      <w:r>
        <w:rPr>
          <w:rtl/>
        </w:rPr>
        <w:t>(14)</w:t>
      </w:r>
      <w:r w:rsidRPr="00132E65">
        <w:rPr>
          <w:rtl/>
        </w:rPr>
        <w:t xml:space="preserve"> في </w:t>
      </w:r>
      <w:r w:rsidRPr="000577A7">
        <w:rPr>
          <w:rStyle w:val="libFootnoteBoldChar"/>
          <w:rtl/>
        </w:rPr>
        <w:t>الكافي</w:t>
      </w:r>
      <w:r w:rsidRPr="00132E65">
        <w:rPr>
          <w:rtl/>
        </w:rPr>
        <w:t xml:space="preserve"> ، ح 842 ، و</w:t>
      </w:r>
      <w:r w:rsidRPr="009D1ACE">
        <w:rPr>
          <w:rStyle w:val="libFootnoteBoldChar"/>
          <w:rtl/>
        </w:rPr>
        <w:t>الوافي</w:t>
      </w:r>
      <w:r w:rsidRPr="00132E65">
        <w:rPr>
          <w:rtl/>
        </w:rPr>
        <w:t xml:space="preserve"> : « فقد قام »</w:t>
      </w:r>
      <w:r>
        <w:rPr>
          <w:rtl/>
        </w:rPr>
        <w:t>.</w:t>
      </w:r>
      <w:r w:rsidRPr="00132E65">
        <w:rPr>
          <w:rtl/>
        </w:rPr>
        <w:t xml:space="preserve"> وفي الإرشاد : « قد كان »</w:t>
      </w:r>
      <w:r>
        <w:rPr>
          <w:rtl/>
        </w:rPr>
        <w:t>.</w:t>
      </w:r>
    </w:p>
    <w:tbl>
      <w:tblPr>
        <w:tblStyle w:val="TableGrid"/>
        <w:bidiVisual/>
        <w:tblW w:w="0" w:type="auto"/>
        <w:tblLook w:val="04A0" w:firstRow="1" w:lastRow="0" w:firstColumn="1" w:lastColumn="0" w:noHBand="0" w:noVBand="1"/>
      </w:tblPr>
      <w:tblGrid>
        <w:gridCol w:w="4006"/>
        <w:gridCol w:w="4006"/>
      </w:tblGrid>
      <w:tr w:rsidR="00A73F8A" w:rsidTr="00A73F8A">
        <w:tc>
          <w:tcPr>
            <w:tcW w:w="4006" w:type="dxa"/>
          </w:tcPr>
          <w:p w:rsidR="00A73F8A" w:rsidRDefault="00A73F8A" w:rsidP="000C39D1">
            <w:pPr>
              <w:pStyle w:val="libFootnote0"/>
              <w:rPr>
                <w:rtl/>
              </w:rPr>
            </w:pPr>
            <w:r>
              <w:rPr>
                <w:rtl/>
              </w:rPr>
              <w:t>(15)</w:t>
            </w:r>
            <w:r w:rsidRPr="00132E65">
              <w:rPr>
                <w:rtl/>
              </w:rPr>
              <w:t xml:space="preserve"> في « ض » :</w:t>
            </w:r>
            <w:r>
              <w:rPr>
                <w:rtl/>
              </w:rPr>
              <w:t xml:space="preserve"> + </w:t>
            </w:r>
            <w:r w:rsidRPr="00132E65">
              <w:rPr>
                <w:rtl/>
              </w:rPr>
              <w:t>« بن مريم »</w:t>
            </w:r>
            <w:r>
              <w:rPr>
                <w:rtl/>
              </w:rPr>
              <w:t>.</w:t>
            </w:r>
          </w:p>
        </w:tc>
        <w:tc>
          <w:tcPr>
            <w:tcW w:w="4006" w:type="dxa"/>
          </w:tcPr>
          <w:p w:rsidR="00A73F8A" w:rsidRDefault="00A73F8A" w:rsidP="000C39D1">
            <w:pPr>
              <w:pStyle w:val="libFootnote0"/>
              <w:rPr>
                <w:rtl/>
              </w:rPr>
            </w:pPr>
            <w:r>
              <w:rPr>
                <w:rtl/>
              </w:rPr>
              <w:t>(16)</w:t>
            </w:r>
            <w:r w:rsidRPr="00132E65">
              <w:rPr>
                <w:rtl/>
              </w:rPr>
              <w:t xml:space="preserve"> في الإرشاد :</w:t>
            </w:r>
            <w:r>
              <w:rPr>
                <w:rtl/>
              </w:rPr>
              <w:t xml:space="preserve"> + </w:t>
            </w:r>
            <w:r w:rsidRPr="00132E65">
              <w:rPr>
                <w:rtl/>
              </w:rPr>
              <w:t>« وهو أقلّ من »</w:t>
            </w:r>
            <w:r>
              <w:rPr>
                <w:rtl/>
              </w:rPr>
              <w:t>.</w:t>
            </w:r>
          </w:p>
        </w:tc>
      </w:tr>
    </w:tbl>
    <w:p w:rsidR="000C39D1" w:rsidRPr="00132E65" w:rsidRDefault="000C39D1" w:rsidP="000C39D1">
      <w:pPr>
        <w:pStyle w:val="libFootnote0"/>
        <w:rPr>
          <w:rtl/>
          <w:lang w:bidi="fa-IR"/>
        </w:rPr>
      </w:pPr>
      <w:r>
        <w:rPr>
          <w:rtl/>
        </w:rPr>
        <w:t>(17)</w:t>
      </w:r>
      <w:r w:rsidRPr="00132E65">
        <w:rPr>
          <w:rtl/>
        </w:rPr>
        <w:t xml:space="preserve"> </w:t>
      </w:r>
      <w:r w:rsidRPr="000577A7">
        <w:rPr>
          <w:rStyle w:val="libFootnoteBoldChar"/>
          <w:rtl/>
        </w:rPr>
        <w:t>الكافي</w:t>
      </w:r>
      <w:r w:rsidRPr="00132E65">
        <w:rPr>
          <w:rtl/>
        </w:rPr>
        <w:t xml:space="preserve"> ، </w:t>
      </w:r>
      <w:r w:rsidRPr="00A73F8A">
        <w:rPr>
          <w:rStyle w:val="libFootnoteBoldChar"/>
          <w:rtl/>
        </w:rPr>
        <w:t>كتاب الحجّة</w:t>
      </w:r>
      <w:r w:rsidRPr="00132E65">
        <w:rPr>
          <w:rtl/>
        </w:rPr>
        <w:t xml:space="preserve"> ، باب الإشارة </w:t>
      </w:r>
      <w:r w:rsidRPr="00A73F8A">
        <w:rPr>
          <w:rStyle w:val="libFootnoteBoldChar"/>
          <w:rtl/>
        </w:rPr>
        <w:t>والنصّ</w:t>
      </w:r>
      <w:r w:rsidRPr="00132E65">
        <w:rPr>
          <w:rtl/>
        </w:rPr>
        <w:t xml:space="preserve"> على أبي جعفر الثاني </w:t>
      </w:r>
      <w:r w:rsidRPr="00A73F8A">
        <w:rPr>
          <w:rStyle w:val="libFootnoteAlaemChar"/>
          <w:rtl/>
        </w:rPr>
        <w:t>عليه‌السلام</w:t>
      </w:r>
      <w:r w:rsidRPr="00132E65">
        <w:rPr>
          <w:rtl/>
        </w:rPr>
        <w:t xml:space="preserve"> ، ح 842 ؛ </w:t>
      </w:r>
      <w:r w:rsidRPr="00A73F8A">
        <w:rPr>
          <w:rStyle w:val="libFootnoteBoldChar"/>
          <w:rtl/>
        </w:rPr>
        <w:t>الإرشاد</w:t>
      </w:r>
      <w:r w:rsidRPr="00132E65">
        <w:rPr>
          <w:rtl/>
        </w:rPr>
        <w:t xml:space="preserve"> ، ج 2 ، ص 276 ، عن الكليني </w:t>
      </w:r>
      <w:r w:rsidR="00A73F8A">
        <w:rPr>
          <w:rFonts w:hint="cs"/>
          <w:rtl/>
        </w:rPr>
        <w:t>.</w:t>
      </w:r>
      <w:r w:rsidRPr="009D1ACE">
        <w:rPr>
          <w:rStyle w:val="libFootnoteBoldChar"/>
          <w:rtl/>
        </w:rPr>
        <w:t>الوافي</w:t>
      </w:r>
      <w:r w:rsidRPr="00132E65">
        <w:rPr>
          <w:rtl/>
        </w:rPr>
        <w:t xml:space="preserve"> ، ج 2 ، ص 376 ، ح 856 ؛ </w:t>
      </w:r>
      <w:r w:rsidRPr="00A73F8A">
        <w:rPr>
          <w:rStyle w:val="libFootnoteBoldChar"/>
          <w:rtl/>
        </w:rPr>
        <w:t>البحار</w:t>
      </w:r>
      <w:r w:rsidRPr="00132E65">
        <w:rPr>
          <w:rtl/>
        </w:rPr>
        <w:t xml:space="preserve"> ، ج 14 ، ص 256 ، ح 52 ؛ وج 25 ، ص 102 ، ح 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D37CF8">
        <w:rPr>
          <w:rtl/>
        </w:rPr>
        <w:t>997</w:t>
      </w:r>
      <w:r w:rsidRPr="004325D8">
        <w:rPr>
          <w:rStyle w:val="libBold2Char"/>
          <w:rtl/>
        </w:rPr>
        <w:t xml:space="preserve"> / 3.</w:t>
      </w:r>
      <w:r w:rsidRPr="00132E65">
        <w:rPr>
          <w:rtl/>
          <w:lang w:bidi="fa-IR"/>
        </w:rPr>
        <w:t xml:space="preserve"> مُحَمَّدُ بْنُ يَحْيى ، عَنْ أَحْمَدَ بْنِ مُحَمَّدٍ ، عَنْ عَلِيِّ بْنِ سَيْفٍ ، عَنْ بَعْضِ أَصْحَابِنَا :</w:t>
      </w:r>
    </w:p>
    <w:p w:rsidR="000C39D1" w:rsidRPr="00132E65" w:rsidRDefault="000C39D1" w:rsidP="000C39D1">
      <w:pPr>
        <w:pStyle w:val="libNormal"/>
        <w:rPr>
          <w:rtl/>
          <w:lang w:bidi="fa-IR"/>
        </w:rPr>
      </w:pPr>
      <w:r w:rsidRPr="00132E65">
        <w:rPr>
          <w:rtl/>
          <w:lang w:bidi="fa-IR"/>
        </w:rPr>
        <w:t xml:space="preserve">عَنْ أَبِي جَعْفَرٍ الثَّانِي </w:t>
      </w:r>
      <w:r w:rsidRPr="00071CF9">
        <w:rPr>
          <w:rStyle w:val="libAlaemChar"/>
          <w:rtl/>
        </w:rPr>
        <w:t>عليه‌السلام</w:t>
      </w:r>
      <w:r w:rsidRPr="00132E65">
        <w:rPr>
          <w:rtl/>
          <w:lang w:bidi="fa-IR"/>
        </w:rPr>
        <w:t xml:space="preserve"> ، قَالَ : قُلْتُ لَهُ </w:t>
      </w:r>
      <w:r>
        <w:rPr>
          <w:rStyle w:val="libFootnotenumChar"/>
          <w:rtl/>
        </w:rPr>
        <w:t>(1)</w:t>
      </w:r>
      <w:r w:rsidRPr="00132E65">
        <w:rPr>
          <w:rtl/>
          <w:lang w:bidi="fa-IR"/>
        </w:rPr>
        <w:t xml:space="preserve"> : إِنَّهُمْ يَقُولُونَ فِي حَدَاثَةِ سِنِّكَ ، فَقَالَ : « إِنَّ اللهَ تَعَالى أَوْحى إِلى دَاوُدَ أَنْ يَسْتَخْلِفَ سُلَيْمَانَ و</w:t>
      </w:r>
      <w:r w:rsidR="00A73F8A">
        <w:rPr>
          <w:rFonts w:hint="cs"/>
          <w:rtl/>
          <w:lang w:bidi="fa-IR"/>
        </w:rPr>
        <w:t xml:space="preserve">َ </w:t>
      </w:r>
      <w:r w:rsidRPr="00132E65">
        <w:rPr>
          <w:rtl/>
          <w:lang w:bidi="fa-IR"/>
        </w:rPr>
        <w:t>هُوَ صَبِيٌّ يَرْعَى الْغَنَمَ ، فَأَنْكَرَ ذلِكَ عُبَّادُ بَنِي إِسْرَائِيلَ و</w:t>
      </w:r>
      <w:r w:rsidR="00A73F8A">
        <w:rPr>
          <w:rFonts w:hint="cs"/>
          <w:rtl/>
          <w:lang w:bidi="fa-IR"/>
        </w:rPr>
        <w:t>َ</w:t>
      </w:r>
      <w:r w:rsidRPr="00132E65">
        <w:rPr>
          <w:rtl/>
          <w:lang w:bidi="fa-IR"/>
        </w:rPr>
        <w:t xml:space="preserve">عُلَمَاؤُهُمْ ، فَأَوْحَى اللهُ إِلى دَاوُدَ </w:t>
      </w:r>
      <w:r w:rsidRPr="00071CF9">
        <w:rPr>
          <w:rStyle w:val="libAlaemChar"/>
          <w:rtl/>
        </w:rPr>
        <w:t>عليه‌السلام</w:t>
      </w:r>
      <w:r w:rsidRPr="00132E65">
        <w:rPr>
          <w:rtl/>
          <w:lang w:bidi="fa-IR"/>
        </w:rPr>
        <w:t xml:space="preserve"> أَنْ خُذْ عِصِيَّ </w:t>
      </w:r>
      <w:r>
        <w:rPr>
          <w:rStyle w:val="libFootnotenumChar"/>
          <w:rtl/>
        </w:rPr>
        <w:t>(2)</w:t>
      </w:r>
      <w:r w:rsidRPr="00132E65">
        <w:rPr>
          <w:rtl/>
          <w:lang w:bidi="fa-IR"/>
        </w:rPr>
        <w:t xml:space="preserve"> الْمُتَكَلِّمِينَ وَعَصَا سُلَيْمَانَ ، واجْعَلْهَا </w:t>
      </w:r>
      <w:r>
        <w:rPr>
          <w:rStyle w:val="libFootnotenumChar"/>
          <w:rtl/>
        </w:rPr>
        <w:t>(3)</w:t>
      </w:r>
      <w:r w:rsidRPr="00132E65">
        <w:rPr>
          <w:rtl/>
          <w:lang w:bidi="fa-IR"/>
        </w:rPr>
        <w:t xml:space="preserve"> فِي بَيْتٍ ، و</w:t>
      </w:r>
      <w:r w:rsidR="00A73F8A">
        <w:rPr>
          <w:rFonts w:hint="cs"/>
          <w:rtl/>
          <w:lang w:bidi="fa-IR"/>
        </w:rPr>
        <w:t xml:space="preserve">َ </w:t>
      </w:r>
      <w:r w:rsidRPr="00132E65">
        <w:rPr>
          <w:rtl/>
          <w:lang w:bidi="fa-IR"/>
        </w:rPr>
        <w:t xml:space="preserve">اخْتِمْ عَلَيْهَا </w:t>
      </w:r>
      <w:r>
        <w:rPr>
          <w:rStyle w:val="libFootnotenumChar"/>
          <w:rtl/>
        </w:rPr>
        <w:t>(4)</w:t>
      </w:r>
      <w:r w:rsidRPr="00132E65">
        <w:rPr>
          <w:rtl/>
          <w:lang w:bidi="fa-IR"/>
        </w:rPr>
        <w:t xml:space="preserve"> بِخَوَاتِيمِ الْقَوْمِ ، فَإِذَا كَانَ مِنَ الْغَدِ ، فَمَنْ كَانَتْ عَصَاهُ </w:t>
      </w:r>
      <w:r>
        <w:rPr>
          <w:rStyle w:val="libFootnotenumChar"/>
          <w:rtl/>
        </w:rPr>
        <w:t>(5)</w:t>
      </w:r>
      <w:r w:rsidRPr="00132E65">
        <w:rPr>
          <w:rtl/>
          <w:lang w:bidi="fa-IR"/>
        </w:rPr>
        <w:t xml:space="preserve"> قَدْ أَوْرَقَتْ وأَثْمَرَتْ ، فَهُوَ الْخَلِيفَةُ ، فَأَخْبَرَهُمْ دَاوُدُ </w:t>
      </w:r>
      <w:r w:rsidRPr="00071CF9">
        <w:rPr>
          <w:rStyle w:val="libAlaemChar"/>
          <w:rtl/>
        </w:rPr>
        <w:t>عليه‌السلام</w:t>
      </w:r>
      <w:r w:rsidRPr="00132E65">
        <w:rPr>
          <w:rtl/>
          <w:lang w:bidi="fa-IR"/>
        </w:rPr>
        <w:t xml:space="preserve"> ، فَقَالُوا : قَدْ رَضِينَا وسَلَّمْنَا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D37CF8">
        <w:rPr>
          <w:rtl/>
        </w:rPr>
        <w:t>998</w:t>
      </w:r>
      <w:r w:rsidRPr="004325D8">
        <w:rPr>
          <w:rStyle w:val="libBold2Char"/>
          <w:rtl/>
        </w:rPr>
        <w:t xml:space="preserve"> / 4.</w:t>
      </w:r>
      <w:r w:rsidRPr="00132E65">
        <w:rPr>
          <w:rtl/>
          <w:lang w:bidi="fa-IR"/>
        </w:rPr>
        <w:t xml:space="preserve"> عَلِيُّ بْنُ مُحَمَّدٍ وغَيْرُهُ ، عَنْ سَهْلِ بْنِ زِيَادٍ ، عَنْ يَعْقُوبَ بْنِ يَزِيدَ ، عَنْ مُصْعَبٍ ، عَنْ مَسْعَدَةَ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أَبُو بَصِيرٍ </w:t>
      </w:r>
      <w:r>
        <w:rPr>
          <w:rStyle w:val="libFootnotenumChar"/>
          <w:rtl/>
        </w:rPr>
        <w:t>(7)</w:t>
      </w:r>
      <w:r w:rsidRPr="00132E65">
        <w:rPr>
          <w:rtl/>
          <w:lang w:bidi="fa-IR"/>
        </w:rPr>
        <w:t xml:space="preserve"> : دَخَلْتُ إِلَيْهِ</w:t>
      </w:r>
      <w:r>
        <w:rPr>
          <w:rtl/>
          <w:lang w:bidi="fa-IR"/>
        </w:rPr>
        <w:t xml:space="preserve"> - </w:t>
      </w:r>
      <w:r w:rsidRPr="00132E65">
        <w:rPr>
          <w:rtl/>
          <w:lang w:bidi="fa-IR"/>
        </w:rPr>
        <w:t>و</w:t>
      </w:r>
      <w:r w:rsidR="00A73F8A">
        <w:rPr>
          <w:rFonts w:hint="cs"/>
          <w:rtl/>
          <w:lang w:bidi="fa-IR"/>
        </w:rPr>
        <w:t>َ</w:t>
      </w:r>
      <w:r w:rsidRPr="00132E65">
        <w:rPr>
          <w:rtl/>
          <w:lang w:bidi="fa-IR"/>
        </w:rPr>
        <w:t xml:space="preserve">مَعِي غُلَامٌ يَقُودُنِي </w:t>
      </w:r>
      <w:r>
        <w:rPr>
          <w:rStyle w:val="libFootnotenumChar"/>
          <w:rtl/>
        </w:rPr>
        <w:t>(8)</w:t>
      </w:r>
      <w:r w:rsidRPr="00132E65">
        <w:rPr>
          <w:rtl/>
          <w:lang w:bidi="fa-IR"/>
        </w:rPr>
        <w:t xml:space="preserve"> خُمَاسِيٌّ </w:t>
      </w:r>
      <w:r>
        <w:rPr>
          <w:rStyle w:val="libFootnotenumChar"/>
          <w:rtl/>
        </w:rPr>
        <w:t>(9)</w:t>
      </w:r>
      <w:r w:rsidRPr="00132E65">
        <w:rPr>
          <w:rtl/>
          <w:lang w:bidi="fa-IR"/>
        </w:rPr>
        <w:t xml:space="preserve"> لَمْ يَبْلُغْ</w:t>
      </w:r>
      <w:r>
        <w:rPr>
          <w:rtl/>
          <w:lang w:bidi="fa-IR"/>
        </w:rPr>
        <w:t xml:space="preserve"> - </w:t>
      </w:r>
      <w:r w:rsidRPr="00132E65">
        <w:rPr>
          <w:rtl/>
          <w:lang w:bidi="fa-IR"/>
        </w:rPr>
        <w:t xml:space="preserve">فَقَالَ لِي </w:t>
      </w:r>
      <w:r>
        <w:rPr>
          <w:rStyle w:val="libFootnotenumChar"/>
          <w:rtl/>
        </w:rPr>
        <w:t>(10)</w:t>
      </w:r>
      <w:r w:rsidRPr="00132E65">
        <w:rPr>
          <w:rtl/>
          <w:lang w:bidi="fa-IR"/>
        </w:rPr>
        <w:t xml:space="preserve"> : « كَيْفَ أَنْتُمْ إِذَا احْتَجَّ عَلَيْكُمْ بِمِثْلِ سِنِّهِ »</w:t>
      </w:r>
      <w:r>
        <w:rPr>
          <w:rtl/>
          <w:lang w:bidi="fa-IR"/>
        </w:rPr>
        <w:t>.</w:t>
      </w:r>
      <w:r w:rsidRPr="00132E65">
        <w:rPr>
          <w:rtl/>
          <w:lang w:bidi="fa-IR"/>
        </w:rPr>
        <w:t xml:space="preserve"> أَوْ قَالَ : « سَيَلِي </w:t>
      </w:r>
      <w:r>
        <w:rPr>
          <w:rStyle w:val="libFootnotenumChar"/>
          <w:rtl/>
        </w:rPr>
        <w:t>(11)</w:t>
      </w:r>
      <w:r w:rsidRPr="00132E65">
        <w:rPr>
          <w:rtl/>
          <w:lang w:bidi="fa-IR"/>
        </w:rPr>
        <w:t xml:space="preserve"> عَلَيْكُمْ‌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هكذا في « ب ، ض » والبحار ، وهو الأنسب بالمقام. وفي أكثر النسخ والمطبوع : « عصا »</w:t>
      </w:r>
      <w:r>
        <w:rPr>
          <w:rtl/>
        </w:rPr>
        <w:t>.</w:t>
      </w:r>
      <w:r w:rsidRPr="00132E65">
        <w:rPr>
          <w:rtl/>
        </w:rPr>
        <w:t xml:space="preserve"> ولا يخفى ما فيه.</w:t>
      </w:r>
    </w:p>
    <w:p w:rsidR="000C39D1" w:rsidRPr="00132E65" w:rsidRDefault="000C39D1" w:rsidP="000C39D1">
      <w:pPr>
        <w:pStyle w:val="libFootnote0"/>
        <w:rPr>
          <w:rtl/>
          <w:lang w:bidi="fa-IR"/>
        </w:rPr>
      </w:pPr>
      <w:r>
        <w:rPr>
          <w:rtl/>
        </w:rPr>
        <w:t>(3).</w:t>
      </w:r>
      <w:r w:rsidRPr="00132E65">
        <w:rPr>
          <w:rtl/>
        </w:rPr>
        <w:t xml:space="preserve"> في أكثر النسخ : « اجعلهما »</w:t>
      </w:r>
      <w:r>
        <w:rPr>
          <w:rtl/>
        </w:rPr>
        <w:t>.</w:t>
      </w:r>
    </w:p>
    <w:p w:rsidR="000C39D1" w:rsidRPr="00132E65" w:rsidRDefault="000C39D1" w:rsidP="000C39D1">
      <w:pPr>
        <w:pStyle w:val="libFootnote0"/>
        <w:rPr>
          <w:rtl/>
          <w:lang w:bidi="fa-IR"/>
        </w:rPr>
      </w:pPr>
      <w:r>
        <w:rPr>
          <w:rtl/>
        </w:rPr>
        <w:t>(4).</w:t>
      </w:r>
      <w:r w:rsidRPr="00132E65">
        <w:rPr>
          <w:rtl/>
        </w:rPr>
        <w:t xml:space="preserve"> في حاشية « ج ، ض ، بر ، بس ، بف » : « عليهما »</w:t>
      </w:r>
      <w:r>
        <w:rPr>
          <w:rtl/>
        </w:rPr>
        <w:t>.</w:t>
      </w:r>
    </w:p>
    <w:p w:rsidR="000C39D1" w:rsidRPr="00132E65" w:rsidRDefault="000C39D1" w:rsidP="000C39D1">
      <w:pPr>
        <w:pStyle w:val="libFootnote0"/>
        <w:rPr>
          <w:rtl/>
          <w:lang w:bidi="fa-IR"/>
        </w:rPr>
      </w:pPr>
      <w:r>
        <w:rPr>
          <w:rtl/>
        </w:rPr>
        <w:t>(5).</w:t>
      </w:r>
      <w:r w:rsidRPr="00132E65">
        <w:rPr>
          <w:rtl/>
        </w:rPr>
        <w:t xml:space="preserve"> في « ج » : « عصاؤه »</w:t>
      </w:r>
      <w:r>
        <w:rPr>
          <w:rtl/>
        </w:rPr>
        <w:t>.</w:t>
      </w:r>
    </w:p>
    <w:p w:rsidR="000C39D1" w:rsidRPr="00132E65" w:rsidRDefault="000C39D1" w:rsidP="000C39D1">
      <w:pPr>
        <w:pStyle w:val="libFootnote0"/>
        <w:rPr>
          <w:rtl/>
          <w:lang w:bidi="fa-IR"/>
        </w:rPr>
      </w:pPr>
      <w:r>
        <w:rPr>
          <w:rtl/>
        </w:rPr>
        <w:t>(6).</w:t>
      </w:r>
      <w:r w:rsidRPr="00132E65">
        <w:rPr>
          <w:rtl/>
        </w:rPr>
        <w:t xml:space="preserve"> راجع : </w:t>
      </w:r>
      <w:r w:rsidRPr="00A73F8A">
        <w:rPr>
          <w:rStyle w:val="libFootnoteBoldChar"/>
          <w:rtl/>
        </w:rPr>
        <w:t>كمال الدين</w:t>
      </w:r>
      <w:r w:rsidRPr="00132E65">
        <w:rPr>
          <w:rtl/>
        </w:rPr>
        <w:t xml:space="preserve"> ، ص 156 ، ضمن ح 17 </w:t>
      </w:r>
      <w:r w:rsidR="00A73F8A">
        <w:rPr>
          <w:rFonts w:hint="cs"/>
          <w:rtl/>
        </w:rPr>
        <w:t>.</w:t>
      </w:r>
      <w:r w:rsidRPr="009D1ACE">
        <w:rPr>
          <w:rStyle w:val="libFootnoteBoldChar"/>
          <w:rtl/>
        </w:rPr>
        <w:t>الوافي</w:t>
      </w:r>
      <w:r w:rsidRPr="00132E65">
        <w:rPr>
          <w:rtl/>
        </w:rPr>
        <w:t xml:space="preserve"> ، ج 2 ، ص 377 ، ح 857 ؛ </w:t>
      </w:r>
      <w:r w:rsidRPr="00A73F8A">
        <w:rPr>
          <w:rStyle w:val="libFootnoteBoldChar"/>
          <w:rtl/>
        </w:rPr>
        <w:t>البحار</w:t>
      </w:r>
      <w:r w:rsidRPr="00132E65">
        <w:rPr>
          <w:rtl/>
        </w:rPr>
        <w:t xml:space="preserve"> ، ج 14 ، ص 81 ، ح 25.</w:t>
      </w:r>
    </w:p>
    <w:tbl>
      <w:tblPr>
        <w:tblStyle w:val="TableGrid"/>
        <w:bidiVisual/>
        <w:tblW w:w="0" w:type="auto"/>
        <w:tblLook w:val="04A0" w:firstRow="1" w:lastRow="0" w:firstColumn="1" w:lastColumn="0" w:noHBand="0" w:noVBand="1"/>
      </w:tblPr>
      <w:tblGrid>
        <w:gridCol w:w="4006"/>
        <w:gridCol w:w="4006"/>
      </w:tblGrid>
      <w:tr w:rsidR="00A73F8A" w:rsidTr="00A73F8A">
        <w:tc>
          <w:tcPr>
            <w:tcW w:w="4006" w:type="dxa"/>
          </w:tcPr>
          <w:p w:rsidR="00A73F8A" w:rsidRDefault="00A73F8A" w:rsidP="000C39D1">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أبو بصير »</w:t>
            </w:r>
            <w:r>
              <w:rPr>
                <w:rtl/>
              </w:rPr>
              <w:t>.</w:t>
            </w:r>
          </w:p>
        </w:tc>
        <w:tc>
          <w:tcPr>
            <w:tcW w:w="4006" w:type="dxa"/>
          </w:tcPr>
          <w:p w:rsidR="00A73F8A" w:rsidRDefault="00A73F8A" w:rsidP="000C39D1">
            <w:pPr>
              <w:pStyle w:val="libFootnote0"/>
              <w:rPr>
                <w:rtl/>
              </w:rPr>
            </w:pPr>
            <w:r>
              <w:rPr>
                <w:rtl/>
              </w:rPr>
              <w:t>(8).</w:t>
            </w:r>
            <w:r w:rsidRPr="00132E65">
              <w:rPr>
                <w:rtl/>
              </w:rPr>
              <w:t xml:space="preserve"> في البحار </w:t>
            </w:r>
            <w:r>
              <w:rPr>
                <w:rtl/>
              </w:rPr>
              <w:t xml:space="preserve">: - </w:t>
            </w:r>
            <w:r w:rsidRPr="00132E65">
              <w:rPr>
                <w:rtl/>
              </w:rPr>
              <w:t>« يقودني »</w:t>
            </w:r>
            <w:r>
              <w:rPr>
                <w:rtl/>
              </w:rPr>
              <w:t>.</w:t>
            </w:r>
          </w:p>
        </w:tc>
      </w:tr>
    </w:tbl>
    <w:p w:rsidR="000C39D1" w:rsidRPr="00132E65" w:rsidRDefault="000C39D1" w:rsidP="00A73F8A">
      <w:pPr>
        <w:pStyle w:val="libFootnote0"/>
        <w:rPr>
          <w:rtl/>
          <w:lang w:bidi="fa-IR"/>
        </w:rPr>
      </w:pPr>
      <w:r>
        <w:rPr>
          <w:rtl/>
        </w:rPr>
        <w:t>(9).</w:t>
      </w:r>
      <w:r w:rsidRPr="00132E65">
        <w:rPr>
          <w:rtl/>
        </w:rPr>
        <w:t xml:space="preserve"> « الخُماسِيُّ » يقال لمن طوله خمسة أشبار ، والا</w:t>
      </w:r>
      <w:r w:rsidR="00A73F8A">
        <w:rPr>
          <w:rFonts w:hint="cs"/>
          <w:rtl/>
        </w:rPr>
        <w:t>ُ</w:t>
      </w:r>
      <w:r w:rsidRPr="00132E65">
        <w:rPr>
          <w:rtl/>
        </w:rPr>
        <w:t>نثى خماسيّة. ولا يقال : سُداسِيٌّ ولا سُباعِيٌّ ولا في غير الخمسة. وقال المجلسي : « وقد يطلق على من له خمس سنين ، ولم أجد بهذا المعنى في كتب اللغة</w:t>
      </w:r>
      <w:r>
        <w:rPr>
          <w:rtl/>
        </w:rPr>
        <w:t xml:space="preserve"> ..</w:t>
      </w:r>
      <w:r w:rsidRPr="00132E65">
        <w:rPr>
          <w:rtl/>
        </w:rPr>
        <w:t>. ولكنّ الظاهر أنّ الخماسيّ إنّما لم تطلق على غلام كان في سنّ النموّ لم يبلغ ، لا مطلقاً »</w:t>
      </w:r>
      <w:r>
        <w:rPr>
          <w:rtl/>
        </w:rPr>
        <w:t>.</w:t>
      </w:r>
      <w:r w:rsidRPr="00132E65">
        <w:rPr>
          <w:rtl/>
        </w:rPr>
        <w:t xml:space="preserve"> راجع : </w:t>
      </w:r>
      <w:r w:rsidRPr="00A73F8A">
        <w:rPr>
          <w:rStyle w:val="libFootnoteBoldChar"/>
          <w:rtl/>
        </w:rPr>
        <w:t>النهاية</w:t>
      </w:r>
      <w:r w:rsidRPr="00132E65">
        <w:rPr>
          <w:rtl/>
        </w:rPr>
        <w:t xml:space="preserve"> ، ج 2 ، ص 79 ( خمس ) ؛ </w:t>
      </w:r>
      <w:r w:rsidRPr="009D1ACE">
        <w:rPr>
          <w:rStyle w:val="libFootnoteBoldChar"/>
          <w:rtl/>
        </w:rPr>
        <w:t>مرآة العقول</w:t>
      </w:r>
      <w:r w:rsidRPr="00132E65">
        <w:rPr>
          <w:rtl/>
        </w:rPr>
        <w:t xml:space="preserve"> ، ج 4 ، ص 248.</w:t>
      </w:r>
      <w:r w:rsidR="00A73F8A">
        <w:rPr>
          <w:rFonts w:hint="cs"/>
          <w:rtl/>
        </w:rPr>
        <w:t xml:space="preserve">                         </w:t>
      </w:r>
      <w:r w:rsidR="00936037">
        <w:rPr>
          <w:rFonts w:hint="cs"/>
          <w:rtl/>
        </w:rPr>
        <w:t xml:space="preserve">                      </w:t>
      </w:r>
      <w:r w:rsidR="00A73F8A">
        <w:rPr>
          <w:rFonts w:hint="cs"/>
          <w:rtl/>
        </w:rPr>
        <w:t xml:space="preserve">    </w:t>
      </w:r>
      <w:r>
        <w:rPr>
          <w:rtl/>
        </w:rPr>
        <w:t>(10).</w:t>
      </w:r>
      <w:r w:rsidRPr="00132E65">
        <w:rPr>
          <w:rtl/>
        </w:rPr>
        <w:t xml:space="preserve"> في البحار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(11).</w:t>
      </w:r>
      <w:r w:rsidRPr="00132E65">
        <w:rPr>
          <w:rtl/>
        </w:rPr>
        <w:t xml:space="preserve"> في « ب » وحاشية « ض » : « سيأتي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بِمِثْلِ سِنِّهِ </w:t>
      </w:r>
      <w:r>
        <w:rPr>
          <w:rStyle w:val="libFootnotenumChar"/>
          <w:rtl/>
        </w:rPr>
        <w:t>(1)</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D37CF8">
        <w:rPr>
          <w:rtl/>
        </w:rPr>
        <w:t>999</w:t>
      </w:r>
      <w:r w:rsidRPr="004325D8">
        <w:rPr>
          <w:rStyle w:val="libBold2Char"/>
          <w:rtl/>
        </w:rPr>
        <w:t xml:space="preserve"> / 5.</w:t>
      </w:r>
      <w:r w:rsidRPr="00132E65">
        <w:rPr>
          <w:rtl/>
          <w:lang w:bidi="fa-IR"/>
        </w:rPr>
        <w:t xml:space="preserve"> سَهْلُ بْنُ زِيَادٍ </w:t>
      </w:r>
      <w:r>
        <w:rPr>
          <w:rStyle w:val="libFootnotenumChar"/>
          <w:rtl/>
        </w:rPr>
        <w:t>(3)</w:t>
      </w:r>
      <w:r w:rsidRPr="00132E65">
        <w:rPr>
          <w:rtl/>
          <w:lang w:bidi="fa-IR"/>
        </w:rPr>
        <w:t xml:space="preserve"> ، عَنْ عَلِيِّ بْنِ مَهْزِيَارَ ، عَنْ مُحَمَّدِ بْنِ إِسْمَاعِيلَ بْنِ بَزِيعٍ ، قَالَ :</w:t>
      </w:r>
      <w:r>
        <w:rPr>
          <w:rFonts w:hint="cs"/>
          <w:rtl/>
          <w:lang w:bidi="fa-IR"/>
        </w:rPr>
        <w:t xml:space="preserve"> </w:t>
      </w:r>
      <w:r w:rsidRPr="00132E65">
        <w:rPr>
          <w:rtl/>
          <w:lang w:bidi="fa-IR"/>
        </w:rPr>
        <w:t>سَأَلْتُهُ</w:t>
      </w:r>
      <w:r>
        <w:rPr>
          <w:rtl/>
          <w:lang w:bidi="fa-IR"/>
        </w:rPr>
        <w:t xml:space="preserve"> - </w:t>
      </w:r>
      <w:r w:rsidRPr="00132E65">
        <w:rPr>
          <w:rtl/>
          <w:lang w:bidi="fa-IR"/>
        </w:rPr>
        <w:t xml:space="preserve">يَعْنِي أَبَا جَعْفَرٍ </w:t>
      </w:r>
      <w:r w:rsidRPr="00071CF9">
        <w:rPr>
          <w:rStyle w:val="libAlaemChar"/>
          <w:rtl/>
        </w:rPr>
        <w:t>عليه‌السلام</w:t>
      </w:r>
      <w:r>
        <w:rPr>
          <w:rtl/>
          <w:lang w:bidi="fa-IR"/>
        </w:rPr>
        <w:t xml:space="preserve"> - </w:t>
      </w:r>
      <w:r w:rsidRPr="00132E65">
        <w:rPr>
          <w:rtl/>
          <w:lang w:bidi="fa-IR"/>
        </w:rPr>
        <w:t xml:space="preserve">عَنْ شَيْ‌ءٍ مِنْ أَمْرِ الْإِمَامِ ، فَقُلْتُ </w:t>
      </w:r>
      <w:r>
        <w:rPr>
          <w:rStyle w:val="libFootnotenumChar"/>
          <w:rtl/>
        </w:rPr>
        <w:t>(4)</w:t>
      </w:r>
      <w:r w:rsidRPr="00132E65">
        <w:rPr>
          <w:rtl/>
          <w:lang w:bidi="fa-IR"/>
        </w:rPr>
        <w:t xml:space="preserve"> : يَكُونُ الْإِمَامُ ابْنَ أَقَلَّ مِنْ سَبْعِ سِنِينَ</w:t>
      </w:r>
      <w:r>
        <w:rPr>
          <w:rtl/>
          <w:lang w:bidi="fa-IR"/>
        </w:rPr>
        <w:t>؟</w:t>
      </w:r>
      <w:r w:rsidRPr="00132E65">
        <w:rPr>
          <w:rtl/>
          <w:lang w:bidi="fa-IR"/>
        </w:rPr>
        <w:t xml:space="preserve"> فَقَالَ : « نَعَمْ ، و</w:t>
      </w:r>
      <w:r w:rsidR="00A73F8A">
        <w:rPr>
          <w:rFonts w:hint="cs"/>
          <w:rtl/>
          <w:lang w:bidi="fa-IR"/>
        </w:rPr>
        <w:t>َ</w:t>
      </w:r>
      <w:r w:rsidRPr="00132E65">
        <w:rPr>
          <w:rtl/>
          <w:lang w:bidi="fa-IR"/>
        </w:rPr>
        <w:t>أَقَلَّ مِنْ خَمْسِ سِنِينَ »</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(5)</w:t>
      </w:r>
      <w:r w:rsidRPr="00132E65">
        <w:rPr>
          <w:rtl/>
          <w:lang w:bidi="fa-IR"/>
        </w:rPr>
        <w:t xml:space="preserve"> سَهْلٌ : فَحَدَّثَنِي عَلِيُّ بْنُ مَهْزِيَارَ بِهذَا فِي سَنَةِ إِحْدى و</w:t>
      </w:r>
      <w:r w:rsidR="00A73F8A">
        <w:rPr>
          <w:rFonts w:hint="cs"/>
          <w:rtl/>
          <w:lang w:bidi="fa-IR"/>
        </w:rPr>
        <w:t>َ</w:t>
      </w:r>
      <w:r w:rsidRPr="00132E65">
        <w:rPr>
          <w:rtl/>
          <w:lang w:bidi="fa-IR"/>
        </w:rPr>
        <w:t xml:space="preserve">عِشْرِينَ ومِائَتَيْنِ.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D37CF8">
        <w:rPr>
          <w:rtl/>
        </w:rPr>
        <w:t>1000</w:t>
      </w:r>
      <w:r w:rsidRPr="004325D8">
        <w:rPr>
          <w:rStyle w:val="libBold2Char"/>
          <w:rtl/>
        </w:rPr>
        <w:t xml:space="preserve"> / 6.</w:t>
      </w:r>
      <w:r w:rsidRPr="00132E65">
        <w:rPr>
          <w:rtl/>
          <w:lang w:bidi="fa-IR"/>
        </w:rPr>
        <w:t xml:space="preserve"> الْحُسَيْنُ بْنُ مُحَمَّدٍ ، عَنِ الْخَيْرَانِيِّ ، عَنْ أَبِيهِ ، قَالَ :</w:t>
      </w:r>
    </w:p>
    <w:p w:rsidR="000C39D1" w:rsidRPr="00132E65" w:rsidRDefault="000C39D1" w:rsidP="000C39D1">
      <w:pPr>
        <w:pStyle w:val="libNormal"/>
        <w:rPr>
          <w:rtl/>
          <w:lang w:bidi="fa-IR"/>
        </w:rPr>
      </w:pPr>
      <w:r w:rsidRPr="00132E65">
        <w:rPr>
          <w:rtl/>
          <w:lang w:bidi="fa-IR"/>
        </w:rPr>
        <w:t>كُنْتُ و</w:t>
      </w:r>
      <w:r w:rsidR="006C5FE8">
        <w:rPr>
          <w:rFonts w:hint="cs"/>
          <w:rtl/>
          <w:lang w:bidi="fa-IR"/>
        </w:rPr>
        <w:t>َ</w:t>
      </w:r>
      <w:r w:rsidRPr="00132E65">
        <w:rPr>
          <w:rtl/>
          <w:lang w:bidi="fa-IR"/>
        </w:rPr>
        <w:t xml:space="preserve">اقِفاً بَيْنَ يَدَيْ أَبِي الْحَسَنِ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بِخُرَاسَانَ ، فَقَالَ لَهُ </w:t>
      </w:r>
      <w:r>
        <w:rPr>
          <w:rStyle w:val="libFootnotenumChar"/>
          <w:rtl/>
        </w:rPr>
        <w:t>(8)</w:t>
      </w:r>
      <w:r w:rsidRPr="00132E65">
        <w:rPr>
          <w:rtl/>
          <w:lang w:bidi="fa-IR"/>
        </w:rPr>
        <w:t xml:space="preserve"> قَائِلٌ : يَا سَيِّدِي ، إِنْ كَانَ كَوْنٌ فَإِلى مَنْ</w:t>
      </w:r>
      <w:r>
        <w:rPr>
          <w:rtl/>
          <w:lang w:bidi="fa-IR"/>
        </w:rPr>
        <w:t>؟</w:t>
      </w:r>
      <w:r w:rsidRPr="00132E65">
        <w:rPr>
          <w:rtl/>
          <w:lang w:bidi="fa-IR"/>
        </w:rPr>
        <w:t xml:space="preserve"> قَالَ </w:t>
      </w:r>
      <w:r>
        <w:rPr>
          <w:rStyle w:val="libFootnotenumChar"/>
          <w:rtl/>
        </w:rPr>
        <w:t>(9)</w:t>
      </w:r>
      <w:r w:rsidRPr="00132E65">
        <w:rPr>
          <w:rtl/>
          <w:lang w:bidi="fa-IR"/>
        </w:rPr>
        <w:t xml:space="preserve"> : « إِلى أَبِي جَعْفَرٍ ابْنِي »</w:t>
      </w:r>
      <w:r>
        <w:rPr>
          <w:rtl/>
          <w:lang w:bidi="fa-IR"/>
        </w:rPr>
        <w:t>.</w:t>
      </w:r>
      <w:r w:rsidRPr="00132E65">
        <w:rPr>
          <w:rtl/>
          <w:lang w:bidi="fa-IR"/>
        </w:rPr>
        <w:t xml:space="preserve"> فَكَأَنَّ </w:t>
      </w:r>
      <w:r>
        <w:rPr>
          <w:rStyle w:val="libFootnotenumChar"/>
          <w:rtl/>
        </w:rPr>
        <w:t>(10)</w:t>
      </w:r>
      <w:r w:rsidRPr="00132E65">
        <w:rPr>
          <w:rtl/>
          <w:lang w:bidi="fa-IR"/>
        </w:rPr>
        <w:t xml:space="preserve"> الْقَائِلَ اسْتَصْغَرَ سِنَّ أَبِي جَعْفَرٍ </w:t>
      </w:r>
      <w:r w:rsidRPr="00071CF9">
        <w:rPr>
          <w:rStyle w:val="libAlaemChar"/>
          <w:rtl/>
        </w:rPr>
        <w:t>عليه‌السلام</w:t>
      </w:r>
      <w:r w:rsidRPr="00132E65">
        <w:rPr>
          <w:rtl/>
          <w:lang w:bidi="fa-IR"/>
        </w:rPr>
        <w:t xml:space="preserve"> ، فَقَالَ أَبُو الْحَسَنِ </w:t>
      </w:r>
      <w:r w:rsidRPr="00071CF9">
        <w:rPr>
          <w:rStyle w:val="libAlaemChar"/>
          <w:rtl/>
        </w:rPr>
        <w:t>عليه‌السلام</w:t>
      </w:r>
      <w:r w:rsidRPr="00132E65">
        <w:rPr>
          <w:rtl/>
          <w:lang w:bidi="fa-IR"/>
        </w:rPr>
        <w:t xml:space="preserve"> </w:t>
      </w:r>
      <w:r>
        <w:rPr>
          <w:rStyle w:val="libFootnotenumChar"/>
          <w:rtl/>
        </w:rPr>
        <w:t>(11)</w:t>
      </w:r>
      <w:r w:rsidRPr="00132E65">
        <w:rPr>
          <w:rtl/>
          <w:lang w:bidi="fa-IR"/>
        </w:rPr>
        <w:t xml:space="preserve">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بَعَثَ عِيسَى بْنَ مَرْيَمَ </w:t>
      </w:r>
      <w:r w:rsidRPr="00071CF9">
        <w:rPr>
          <w:rStyle w:val="libAlaemChar"/>
          <w:rtl/>
        </w:rPr>
        <w:t>عليه‌السلام</w:t>
      </w:r>
      <w:r w:rsidRPr="00132E65">
        <w:rPr>
          <w:rtl/>
          <w:lang w:bidi="fa-IR"/>
        </w:rPr>
        <w:t xml:space="preserve"> رَسُولاً نَبِيّاً ، صَاحِبَ شَرِيعَةٍ مُبْتَدَأَةٍ ، فِي أَصْغَرَ مِنَ </w:t>
      </w:r>
      <w:r>
        <w:rPr>
          <w:rStyle w:val="libFootnotenumChar"/>
          <w:rtl/>
        </w:rPr>
        <w:t>(12)</w:t>
      </w:r>
      <w:r w:rsidRPr="00132E65">
        <w:rPr>
          <w:rtl/>
          <w:lang w:bidi="fa-IR"/>
        </w:rPr>
        <w:t xml:space="preserve"> السِّنِّ الَّذِي فِيهِ أَبُو جَعْفَرٍ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D37CF8">
        <w:rPr>
          <w:rtl/>
        </w:rPr>
        <w:t>1001</w:t>
      </w:r>
      <w:r w:rsidRPr="004325D8">
        <w:rPr>
          <w:rStyle w:val="libBold2Char"/>
          <w:rtl/>
        </w:rPr>
        <w:t xml:space="preserve"> / 7.</w:t>
      </w:r>
      <w:r w:rsidRPr="00132E65">
        <w:rPr>
          <w:rtl/>
          <w:lang w:bidi="fa-IR"/>
        </w:rPr>
        <w:t xml:space="preserve"> الْحُسَيْنُ بْنُ مُحَمَّدٍ ، عَنْ مُعَلَّى بْنِ مُحَمَّدٍ ، عَنْ عَلِيِّ بْنِ أَسْبَاطٍ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ض ، ف ، بح ، بر ، بس ، بف » و</w:t>
      </w:r>
      <w:r w:rsidRPr="009D1ACE">
        <w:rPr>
          <w:rStyle w:val="libFootnoteBoldChar"/>
          <w:rtl/>
        </w:rPr>
        <w:t>الوافي</w:t>
      </w:r>
      <w:r w:rsidRPr="00132E65">
        <w:rPr>
          <w:rtl/>
        </w:rPr>
        <w:t xml:space="preserve"> والبحار </w:t>
      </w:r>
      <w:r>
        <w:rPr>
          <w:rtl/>
        </w:rPr>
        <w:t xml:space="preserve">: - </w:t>
      </w:r>
      <w:r w:rsidRPr="00132E65">
        <w:rPr>
          <w:rtl/>
        </w:rPr>
        <w:t>« أو قال</w:t>
      </w:r>
      <w:r>
        <w:rPr>
          <w:rtl/>
        </w:rPr>
        <w:t xml:space="preserve"> - </w:t>
      </w:r>
      <w:r w:rsidRPr="00132E65">
        <w:rPr>
          <w:rtl/>
        </w:rPr>
        <w:t>إلى</w:t>
      </w:r>
      <w:r>
        <w:rPr>
          <w:rtl/>
        </w:rPr>
        <w:t xml:space="preserve"> - </w:t>
      </w:r>
      <w:r w:rsidRPr="00132E65">
        <w:rPr>
          <w:rtl/>
        </w:rPr>
        <w:t>سنّه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2 ، ص 377 ، ح 858 ؛ </w:t>
      </w:r>
      <w:r w:rsidRPr="006C5FE8">
        <w:rPr>
          <w:rStyle w:val="libFootnoteBoldChar"/>
          <w:rtl/>
        </w:rPr>
        <w:t>البحار</w:t>
      </w:r>
      <w:r w:rsidRPr="00132E65">
        <w:rPr>
          <w:rtl/>
        </w:rPr>
        <w:t xml:space="preserve"> ، ج 25 ، ص 10 ، ح 5 ، وفيه إلى قوله : « إذا احتجّ عليكم بمثل سنّه »</w:t>
      </w:r>
      <w:r>
        <w:rPr>
          <w:rtl/>
        </w:rPr>
        <w:t>.</w:t>
      </w:r>
    </w:p>
    <w:p w:rsidR="000C39D1" w:rsidRPr="00132E65" w:rsidRDefault="000C39D1" w:rsidP="000C39D1">
      <w:pPr>
        <w:pStyle w:val="libFootnote0"/>
        <w:rPr>
          <w:rtl/>
          <w:lang w:bidi="fa-IR"/>
        </w:rPr>
      </w:pPr>
      <w:r>
        <w:rPr>
          <w:rtl/>
        </w:rPr>
        <w:t>(3).</w:t>
      </w:r>
      <w:r w:rsidRPr="00132E65">
        <w:rPr>
          <w:rtl/>
        </w:rPr>
        <w:t xml:space="preserve"> السند معلّق على سابقه. ويروي عن سهل بن زياد ، عليّ بن محمّد وغيره.</w:t>
      </w:r>
    </w:p>
    <w:p w:rsidR="000C39D1" w:rsidRPr="00132E65" w:rsidRDefault="000C39D1" w:rsidP="000C39D1">
      <w:pPr>
        <w:pStyle w:val="libFootnote0"/>
        <w:rPr>
          <w:rtl/>
          <w:lang w:bidi="fa-IR"/>
        </w:rPr>
      </w:pPr>
      <w:r>
        <w:rPr>
          <w:rtl/>
        </w:rPr>
        <w:t>(4).</w:t>
      </w:r>
      <w:r w:rsidRPr="00132E65">
        <w:rPr>
          <w:rtl/>
        </w:rPr>
        <w:t xml:space="preserve"> في « ب » : « قلت »</w:t>
      </w:r>
      <w:r>
        <w:rPr>
          <w:rtl/>
        </w:rPr>
        <w:t>.</w:t>
      </w:r>
    </w:p>
    <w:p w:rsidR="000C39D1" w:rsidRPr="00132E65" w:rsidRDefault="000C39D1" w:rsidP="000C39D1">
      <w:pPr>
        <w:pStyle w:val="libFootnote0"/>
        <w:rPr>
          <w:rtl/>
          <w:lang w:bidi="fa-IR"/>
        </w:rPr>
      </w:pPr>
      <w:r>
        <w:rPr>
          <w:rtl/>
        </w:rPr>
        <w:t>(5).</w:t>
      </w:r>
      <w:r w:rsidRPr="00132E65">
        <w:rPr>
          <w:rtl/>
        </w:rPr>
        <w:t xml:space="preserve"> في « ب » و</w:t>
      </w:r>
      <w:r w:rsidRPr="009D1ACE">
        <w:rPr>
          <w:rStyle w:val="libFootnoteBoldChar"/>
          <w:rtl/>
        </w:rPr>
        <w:t>مرآة العقول</w:t>
      </w:r>
      <w:r w:rsidRPr="00132E65">
        <w:rPr>
          <w:rtl/>
        </w:rPr>
        <w:t xml:space="preserve"> : « قال »</w:t>
      </w:r>
      <w:r>
        <w:rPr>
          <w:rtl/>
        </w:rPr>
        <w:t>.</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2 ، ص 377 ، ح 859 ؛ </w:t>
      </w:r>
      <w:r w:rsidRPr="006C5FE8">
        <w:rPr>
          <w:rStyle w:val="libFootnoteBoldChar"/>
          <w:rtl/>
        </w:rPr>
        <w:t>البحار</w:t>
      </w:r>
      <w:r w:rsidRPr="00132E65">
        <w:rPr>
          <w:rtl/>
        </w:rPr>
        <w:t xml:space="preserve"> ، ج 25 ، ص 10 ، ح 6.</w:t>
      </w:r>
    </w:p>
    <w:tbl>
      <w:tblPr>
        <w:tblStyle w:val="TableGrid"/>
        <w:bidiVisual/>
        <w:tblW w:w="0" w:type="auto"/>
        <w:tblLook w:val="04A0" w:firstRow="1" w:lastRow="0" w:firstColumn="1" w:lastColumn="0" w:noHBand="0" w:noVBand="1"/>
      </w:tblPr>
      <w:tblGrid>
        <w:gridCol w:w="4006"/>
        <w:gridCol w:w="4006"/>
      </w:tblGrid>
      <w:tr w:rsidR="006C5FE8" w:rsidTr="006C5FE8">
        <w:tc>
          <w:tcPr>
            <w:tcW w:w="4006" w:type="dxa"/>
          </w:tcPr>
          <w:p w:rsidR="006C5FE8" w:rsidRDefault="006C5FE8" w:rsidP="000C39D1">
            <w:pPr>
              <w:pStyle w:val="libFootnote0"/>
              <w:rPr>
                <w:rtl/>
              </w:rPr>
            </w:pPr>
            <w:r>
              <w:rPr>
                <w:rtl/>
              </w:rPr>
              <w:t>(7).</w:t>
            </w:r>
            <w:r w:rsidRPr="00132E65">
              <w:rPr>
                <w:rtl/>
              </w:rPr>
              <w:t xml:space="preserve"> في الإرشاد :</w:t>
            </w:r>
            <w:r>
              <w:rPr>
                <w:rtl/>
              </w:rPr>
              <w:t xml:space="preserve"> + </w:t>
            </w:r>
            <w:r w:rsidRPr="00132E65">
              <w:rPr>
                <w:rtl/>
              </w:rPr>
              <w:t>« الرضا »</w:t>
            </w:r>
            <w:r>
              <w:rPr>
                <w:rtl/>
              </w:rPr>
              <w:t>.</w:t>
            </w:r>
          </w:p>
        </w:tc>
        <w:tc>
          <w:tcPr>
            <w:tcW w:w="4006" w:type="dxa"/>
          </w:tcPr>
          <w:p w:rsidR="006C5FE8" w:rsidRDefault="006C5FE8" w:rsidP="000C39D1">
            <w:pPr>
              <w:pStyle w:val="libFootnote0"/>
              <w:rPr>
                <w:rtl/>
              </w:rPr>
            </w:pPr>
            <w:r>
              <w:rPr>
                <w:rtl/>
              </w:rPr>
              <w:t>(8).</w:t>
            </w:r>
            <w:r w:rsidRPr="00132E65">
              <w:rPr>
                <w:rtl/>
              </w:rPr>
              <w:t xml:space="preserve"> في الإرشاد </w:t>
            </w:r>
            <w:r>
              <w:rPr>
                <w:rtl/>
              </w:rPr>
              <w:t xml:space="preserve">: - </w:t>
            </w:r>
            <w:r w:rsidRPr="00132E65">
              <w:rPr>
                <w:rtl/>
              </w:rPr>
              <w:t>« له »</w:t>
            </w:r>
            <w:r>
              <w:rPr>
                <w:rtl/>
              </w:rPr>
              <w:t>.</w:t>
            </w:r>
          </w:p>
        </w:tc>
      </w:tr>
      <w:tr w:rsidR="006C5FE8" w:rsidTr="006C5FE8">
        <w:tc>
          <w:tcPr>
            <w:tcW w:w="4006" w:type="dxa"/>
          </w:tcPr>
          <w:p w:rsidR="006C5FE8" w:rsidRDefault="006C5FE8" w:rsidP="000C39D1">
            <w:pPr>
              <w:pStyle w:val="libFootnote0"/>
              <w:rPr>
                <w:rtl/>
              </w:rPr>
            </w:pPr>
            <w:r>
              <w:rPr>
                <w:rtl/>
              </w:rPr>
              <w:t>(9).</w:t>
            </w:r>
            <w:r w:rsidRPr="00132E65">
              <w:rPr>
                <w:rtl/>
              </w:rPr>
              <w:t xml:space="preserve"> في « بح » : « فقال »</w:t>
            </w:r>
            <w:r>
              <w:rPr>
                <w:rtl/>
              </w:rPr>
              <w:t>.</w:t>
            </w:r>
          </w:p>
        </w:tc>
        <w:tc>
          <w:tcPr>
            <w:tcW w:w="4006" w:type="dxa"/>
          </w:tcPr>
          <w:p w:rsidR="006C5FE8" w:rsidRDefault="006C5FE8" w:rsidP="000C39D1">
            <w:pPr>
              <w:pStyle w:val="libFootnote0"/>
              <w:rPr>
                <w:rtl/>
              </w:rPr>
            </w:pPr>
            <w:r>
              <w:rPr>
                <w:rtl/>
              </w:rPr>
              <w:t>(10).في«ب»:«وكأنّ</w:t>
            </w:r>
            <w:r w:rsidRPr="00132E65">
              <w:rPr>
                <w:rtl/>
              </w:rPr>
              <w:t>»</w:t>
            </w:r>
            <w:r>
              <w:rPr>
                <w:rtl/>
              </w:rPr>
              <w:t>.</w:t>
            </w:r>
            <w:r w:rsidRPr="00132E65">
              <w:rPr>
                <w:rtl/>
              </w:rPr>
              <w:t>و</w:t>
            </w:r>
            <w:r>
              <w:rPr>
                <w:rtl/>
              </w:rPr>
              <w:t>في«ف،بس، بف»: «فكان</w:t>
            </w:r>
            <w:r w:rsidRPr="00132E65">
              <w:rPr>
                <w:rtl/>
              </w:rPr>
              <w:t>»</w:t>
            </w:r>
            <w:r>
              <w:rPr>
                <w:rtl/>
              </w:rPr>
              <w:t>.</w:t>
            </w:r>
          </w:p>
        </w:tc>
      </w:tr>
      <w:tr w:rsidR="006C5FE8" w:rsidTr="006C5FE8">
        <w:tc>
          <w:tcPr>
            <w:tcW w:w="4006" w:type="dxa"/>
          </w:tcPr>
          <w:p w:rsidR="006C5FE8" w:rsidRDefault="006C5FE8" w:rsidP="000C39D1">
            <w:pPr>
              <w:pStyle w:val="libFootnote0"/>
              <w:rPr>
                <w:rtl/>
              </w:rPr>
            </w:pPr>
            <w:r>
              <w:rPr>
                <w:rtl/>
              </w:rPr>
              <w:t>(11).</w:t>
            </w:r>
            <w:r w:rsidRPr="00132E65">
              <w:rPr>
                <w:rtl/>
              </w:rPr>
              <w:t xml:space="preserve"> في « ج » :</w:t>
            </w:r>
            <w:r>
              <w:rPr>
                <w:rtl/>
              </w:rPr>
              <w:t xml:space="preserve"> + </w:t>
            </w:r>
            <w:r w:rsidRPr="00132E65">
              <w:rPr>
                <w:rtl/>
              </w:rPr>
              <w:t>« له »</w:t>
            </w:r>
            <w:r>
              <w:rPr>
                <w:rtl/>
              </w:rPr>
              <w:t>.</w:t>
            </w:r>
          </w:p>
        </w:tc>
        <w:tc>
          <w:tcPr>
            <w:tcW w:w="4006" w:type="dxa"/>
          </w:tcPr>
          <w:p w:rsidR="006C5FE8" w:rsidRDefault="006C5FE8" w:rsidP="000C39D1">
            <w:pPr>
              <w:pStyle w:val="libFootnote0"/>
              <w:rPr>
                <w:rtl/>
              </w:rPr>
            </w:pPr>
            <w:r>
              <w:rPr>
                <w:rtl/>
              </w:rPr>
              <w:t>(12). في «بس ، بف</w:t>
            </w:r>
            <w:r w:rsidRPr="00132E65">
              <w:rPr>
                <w:rtl/>
              </w:rPr>
              <w:t>» وحاشية بدر</w:t>
            </w:r>
            <w:r>
              <w:rPr>
                <w:rFonts w:hint="cs"/>
                <w:rtl/>
              </w:rPr>
              <w:t xml:space="preserve"> </w:t>
            </w:r>
            <w:r w:rsidRPr="00132E65">
              <w:rPr>
                <w:rtl/>
              </w:rPr>
              <w:t xml:space="preserve">الدين </w:t>
            </w:r>
            <w:r>
              <w:rPr>
                <w:rtl/>
              </w:rPr>
              <w:t>: - «من</w:t>
            </w:r>
            <w:r w:rsidRPr="00132E65">
              <w:rPr>
                <w:rtl/>
              </w:rPr>
              <w:t>»</w:t>
            </w:r>
            <w:r>
              <w:rPr>
                <w:rtl/>
              </w:rPr>
              <w:t>.</w:t>
            </w:r>
          </w:p>
        </w:tc>
      </w:tr>
    </w:tbl>
    <w:p w:rsidR="000C39D1" w:rsidRPr="00132E65" w:rsidRDefault="000C39D1" w:rsidP="000C39D1">
      <w:pPr>
        <w:pStyle w:val="libFootnote0"/>
        <w:rPr>
          <w:rtl/>
          <w:lang w:bidi="fa-IR"/>
        </w:rPr>
      </w:pPr>
      <w:r>
        <w:rPr>
          <w:rtl/>
        </w:rPr>
        <w:t>(13)</w:t>
      </w:r>
      <w:r w:rsidRPr="00132E65">
        <w:rPr>
          <w:rtl/>
        </w:rPr>
        <w:t xml:space="preserve"> </w:t>
      </w:r>
      <w:r w:rsidRPr="000577A7">
        <w:rPr>
          <w:rStyle w:val="libFootnoteBoldChar"/>
          <w:rtl/>
        </w:rPr>
        <w:t>الكافي</w:t>
      </w:r>
      <w:r w:rsidRPr="00132E65">
        <w:rPr>
          <w:rtl/>
        </w:rPr>
        <w:t xml:space="preserve"> ، </w:t>
      </w:r>
      <w:r w:rsidRPr="006C5FE8">
        <w:rPr>
          <w:rStyle w:val="libFootnoteBoldChar"/>
          <w:rtl/>
        </w:rPr>
        <w:t>كتاب الحجّة</w:t>
      </w:r>
      <w:r w:rsidRPr="00132E65">
        <w:rPr>
          <w:rtl/>
        </w:rPr>
        <w:t xml:space="preserve"> ، باب الإشارة </w:t>
      </w:r>
      <w:r w:rsidRPr="006C5FE8">
        <w:rPr>
          <w:rStyle w:val="libFootnoteBoldChar"/>
          <w:rtl/>
        </w:rPr>
        <w:t>والنصّ</w:t>
      </w:r>
      <w:r w:rsidRPr="00132E65">
        <w:rPr>
          <w:rtl/>
        </w:rPr>
        <w:t xml:space="preserve"> على أبي جعفر الثاني </w:t>
      </w:r>
      <w:r w:rsidRPr="006C5FE8">
        <w:rPr>
          <w:rStyle w:val="libFootnoteAlaemChar"/>
          <w:rtl/>
        </w:rPr>
        <w:t>عليه‌السلام</w:t>
      </w:r>
      <w:r w:rsidRPr="00132E65">
        <w:rPr>
          <w:rtl/>
        </w:rPr>
        <w:t xml:space="preserve"> ، ح 845 ؛ </w:t>
      </w:r>
      <w:r w:rsidRPr="006C5FE8">
        <w:rPr>
          <w:rStyle w:val="libFootnoteBoldChar"/>
          <w:rtl/>
        </w:rPr>
        <w:t>الإرشاد</w:t>
      </w:r>
      <w:r w:rsidRPr="00132E65">
        <w:rPr>
          <w:rtl/>
        </w:rPr>
        <w:t xml:space="preserve"> ، ج 2 ، ص 279 ، عن الكليني. وفي </w:t>
      </w:r>
      <w:r w:rsidRPr="006C5FE8">
        <w:rPr>
          <w:rStyle w:val="libFootnoteBoldChar"/>
          <w:rtl/>
        </w:rPr>
        <w:t>كفاية الأثر</w:t>
      </w:r>
      <w:r w:rsidRPr="00132E65">
        <w:rPr>
          <w:rtl/>
        </w:rPr>
        <w:t xml:space="preserve"> ، ص 277 ، بسند آخر ، مع اختلاف يسير </w:t>
      </w:r>
      <w:r w:rsidR="006C5FE8">
        <w:rPr>
          <w:rFonts w:hint="cs"/>
          <w:rtl/>
        </w:rPr>
        <w:t>.</w:t>
      </w:r>
      <w:r w:rsidRPr="009D1ACE">
        <w:rPr>
          <w:rStyle w:val="libFootnoteBoldChar"/>
          <w:rtl/>
        </w:rPr>
        <w:t>الوافي</w:t>
      </w:r>
      <w:r w:rsidRPr="00132E65">
        <w:rPr>
          <w:rtl/>
        </w:rPr>
        <w:t xml:space="preserve"> ، ج 2 ، ص 378 ، ح 860 ؛ </w:t>
      </w:r>
      <w:r w:rsidRPr="006C5FE8">
        <w:rPr>
          <w:rStyle w:val="libFootnoteBoldChar"/>
          <w:rtl/>
        </w:rPr>
        <w:t>البحار</w:t>
      </w:r>
      <w:r w:rsidRPr="00132E65">
        <w:rPr>
          <w:rtl/>
        </w:rPr>
        <w:t xml:space="preserve"> ، ج 14 ، ص 256 ، ح 53.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رَأَيْتُ أَبَا جَعْفَرٍ </w:t>
      </w:r>
      <w:r w:rsidRPr="00071CF9">
        <w:rPr>
          <w:rStyle w:val="libAlaemChar"/>
          <w:rtl/>
        </w:rPr>
        <w:t>عليه‌السلام</w:t>
      </w:r>
      <w:r>
        <w:rPr>
          <w:rtl/>
          <w:lang w:bidi="fa-IR"/>
        </w:rPr>
        <w:t xml:space="preserve"> - </w:t>
      </w:r>
      <w:r w:rsidRPr="00132E65">
        <w:rPr>
          <w:rtl/>
          <w:lang w:bidi="fa-IR"/>
        </w:rPr>
        <w:t>و</w:t>
      </w:r>
      <w:r w:rsidR="006C5FE8">
        <w:rPr>
          <w:rFonts w:hint="cs"/>
          <w:rtl/>
          <w:lang w:bidi="fa-IR"/>
        </w:rPr>
        <w:t>َ</w:t>
      </w:r>
      <w:r w:rsidRPr="00132E65">
        <w:rPr>
          <w:rtl/>
          <w:lang w:bidi="fa-IR"/>
        </w:rPr>
        <w:t>قَدْ خَرَجَ عَلَيَّ</w:t>
      </w:r>
      <w:r>
        <w:rPr>
          <w:rtl/>
          <w:lang w:bidi="fa-IR"/>
        </w:rPr>
        <w:t xml:space="preserve"> - </w:t>
      </w:r>
      <w:r w:rsidRPr="00132E65">
        <w:rPr>
          <w:rtl/>
          <w:lang w:bidi="fa-IR"/>
        </w:rPr>
        <w:t xml:space="preserve">فَأَخَذْتُ </w:t>
      </w:r>
      <w:r>
        <w:rPr>
          <w:rStyle w:val="libFootnotenumChar"/>
          <w:rtl/>
        </w:rPr>
        <w:t>(1)</w:t>
      </w:r>
      <w:r w:rsidRPr="00132E65">
        <w:rPr>
          <w:rtl/>
          <w:lang w:bidi="fa-IR"/>
        </w:rPr>
        <w:t xml:space="preserve"> النَّظَرَ إِلَيْهِ ، و</w:t>
      </w:r>
      <w:r w:rsidR="006C5FE8">
        <w:rPr>
          <w:rFonts w:hint="cs"/>
          <w:rtl/>
          <w:lang w:bidi="fa-IR"/>
        </w:rPr>
        <w:t>َ</w:t>
      </w:r>
      <w:r w:rsidRPr="00132E65">
        <w:rPr>
          <w:rtl/>
          <w:lang w:bidi="fa-IR"/>
        </w:rPr>
        <w:t xml:space="preserve">جَعَلْتُ </w:t>
      </w:r>
      <w:r>
        <w:rPr>
          <w:rStyle w:val="libFootnotenumChar"/>
          <w:rtl/>
        </w:rPr>
        <w:t>(2)</w:t>
      </w:r>
      <w:r w:rsidRPr="00132E65">
        <w:rPr>
          <w:rtl/>
          <w:lang w:bidi="fa-IR"/>
        </w:rPr>
        <w:t xml:space="preserve"> أَنْظُرُ </w:t>
      </w:r>
      <w:r>
        <w:rPr>
          <w:rStyle w:val="libFootnotenumChar"/>
          <w:rtl/>
        </w:rPr>
        <w:t>(3)</w:t>
      </w:r>
      <w:r w:rsidRPr="00132E65">
        <w:rPr>
          <w:rtl/>
          <w:lang w:bidi="fa-IR"/>
        </w:rPr>
        <w:t xml:space="preserve"> إِلى رَأْسِهِ وَ</w:t>
      </w:r>
      <w:r w:rsidR="006C5FE8">
        <w:rPr>
          <w:rFonts w:hint="cs"/>
          <w:rtl/>
          <w:lang w:bidi="fa-IR"/>
        </w:rPr>
        <w:t xml:space="preserve"> </w:t>
      </w:r>
      <w:r w:rsidRPr="00132E65">
        <w:rPr>
          <w:rtl/>
          <w:lang w:bidi="fa-IR"/>
        </w:rPr>
        <w:t xml:space="preserve">رِجْلَيْهِ ، لِأَصِفَ قَامَتَهُ لِأَصْحَابِنَا بِمِصْرَ ، فَبَيْنَا </w:t>
      </w:r>
      <w:r>
        <w:rPr>
          <w:rStyle w:val="libFootnotenumChar"/>
          <w:rtl/>
        </w:rPr>
        <w:t>(4)</w:t>
      </w:r>
      <w:r w:rsidRPr="00132E65">
        <w:rPr>
          <w:rtl/>
          <w:lang w:bidi="fa-IR"/>
        </w:rPr>
        <w:t xml:space="preserve"> أَنَا كَذلِكَ حَتّى قَعَدَ ، فَقَالَ </w:t>
      </w:r>
      <w:r>
        <w:rPr>
          <w:rStyle w:val="libFootnotenumChar"/>
          <w:rtl/>
        </w:rPr>
        <w:t>(5)</w:t>
      </w:r>
      <w:r w:rsidRPr="00132E65">
        <w:rPr>
          <w:rtl/>
          <w:lang w:bidi="fa-IR"/>
        </w:rPr>
        <w:t xml:space="preserve"> : « يَا عَلِيُّ ، إِنَّ اللهَ احْتَجَّ </w:t>
      </w:r>
      <w:r>
        <w:rPr>
          <w:rStyle w:val="libFootnotenumChar"/>
          <w:rtl/>
        </w:rPr>
        <w:t>(6)</w:t>
      </w:r>
      <w:r w:rsidRPr="00132E65">
        <w:rPr>
          <w:rtl/>
          <w:lang w:bidi="fa-IR"/>
        </w:rPr>
        <w:t xml:space="preserve"> فِي الْإِمَامَةِ بِمِثْلِ مَا احْتَجَّ بِهِ </w:t>
      </w:r>
      <w:r>
        <w:rPr>
          <w:rStyle w:val="libFootnotenumChar"/>
          <w:rtl/>
        </w:rPr>
        <w:t>(7)</w:t>
      </w:r>
      <w:r w:rsidRPr="00132E65">
        <w:rPr>
          <w:rtl/>
          <w:lang w:bidi="fa-IR"/>
        </w:rPr>
        <w:t xml:space="preserve"> فِي النُّبُوَّةِ ، فَقَالَ : </w:t>
      </w:r>
      <w:r w:rsidRPr="00071CF9">
        <w:rPr>
          <w:rStyle w:val="libAlaemChar"/>
          <w:rtl/>
        </w:rPr>
        <w:t>(</w:t>
      </w:r>
      <w:r w:rsidRPr="00071CF9">
        <w:rPr>
          <w:rStyle w:val="libAieChar"/>
          <w:rtl/>
        </w:rPr>
        <w:t xml:space="preserve"> وَآتَيْناهُ الْحُكْمَ صَبِيًّا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 </w:t>
      </w:r>
      <w:r w:rsidRPr="00071CF9">
        <w:rPr>
          <w:rStyle w:val="libAlaemChar"/>
          <w:rtl/>
        </w:rPr>
        <w:t>(</w:t>
      </w:r>
      <w:r w:rsidRPr="00071CF9">
        <w:rPr>
          <w:rStyle w:val="libAieChar"/>
          <w:rtl/>
        </w:rPr>
        <w:t xml:space="preserve"> وَلَمّا بَلَغَ أَشُدَّهُ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 </w:t>
      </w:r>
      <w:r w:rsidRPr="00071CF9">
        <w:rPr>
          <w:rStyle w:val="libAlaemChar"/>
          <w:rtl/>
        </w:rPr>
        <w:t>(</w:t>
      </w:r>
      <w:r w:rsidRPr="00071CF9">
        <w:rPr>
          <w:rStyle w:val="libAieChar"/>
          <w:rtl/>
        </w:rPr>
        <w:t xml:space="preserve"> وَبَلَغَ أَرْبَعِينَ سَنَةً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فَقَدْ يَجُوزُ أَنْ يُؤْتَى الْحِكْمَةَ </w:t>
      </w:r>
      <w:r>
        <w:rPr>
          <w:rStyle w:val="libFootnotenumChar"/>
          <w:rtl/>
        </w:rPr>
        <w:t>(11)</w:t>
      </w:r>
      <w:r w:rsidRPr="00132E65">
        <w:rPr>
          <w:rtl/>
          <w:lang w:bidi="fa-IR"/>
        </w:rPr>
        <w:t xml:space="preserve"> و</w:t>
      </w:r>
      <w:r w:rsidR="006C5FE8">
        <w:rPr>
          <w:rFonts w:hint="cs"/>
          <w:rtl/>
          <w:lang w:bidi="fa-IR"/>
        </w:rPr>
        <w:t xml:space="preserve">َ </w:t>
      </w:r>
      <w:r w:rsidRPr="00132E65">
        <w:rPr>
          <w:rtl/>
          <w:lang w:bidi="fa-IR"/>
        </w:rPr>
        <w:t xml:space="preserve">هُوَ صَبِيٌّ </w:t>
      </w:r>
      <w:r>
        <w:rPr>
          <w:rStyle w:val="libFootnotenumChar"/>
          <w:rtl/>
        </w:rPr>
        <w:t>(12)</w:t>
      </w:r>
      <w:r w:rsidRPr="00132E65">
        <w:rPr>
          <w:rtl/>
          <w:lang w:bidi="fa-IR"/>
        </w:rPr>
        <w:t xml:space="preserve"> ، وَيَجُوزُ أَنْ يُؤْتَاهَا </w:t>
      </w:r>
      <w:r w:rsidRPr="00F543F1">
        <w:rPr>
          <w:rStyle w:val="libFootnotenumChar"/>
          <w:rtl/>
        </w:rPr>
        <w:t>(13)</w:t>
      </w:r>
      <w:r w:rsidRPr="00132E65">
        <w:rPr>
          <w:rtl/>
          <w:lang w:bidi="fa-IR"/>
        </w:rPr>
        <w:t xml:space="preserve"> و</w:t>
      </w:r>
      <w:r w:rsidR="006C5FE8">
        <w:rPr>
          <w:rFonts w:hint="cs"/>
          <w:rtl/>
          <w:lang w:bidi="fa-IR"/>
        </w:rPr>
        <w:t>َ</w:t>
      </w:r>
      <w:r w:rsidRPr="00132E65">
        <w:rPr>
          <w:rtl/>
          <w:lang w:bidi="fa-IR"/>
        </w:rPr>
        <w:t>هُوَ ابْنُ أَرْبَعِينَ سَنَةً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D37CF8">
        <w:rPr>
          <w:rtl/>
        </w:rPr>
        <w:t>1002</w:t>
      </w:r>
      <w:r w:rsidRPr="004325D8">
        <w:rPr>
          <w:rStyle w:val="libBold2Char"/>
          <w:rtl/>
        </w:rPr>
        <w:t xml:space="preserve"> / 8.</w:t>
      </w:r>
      <w:r w:rsidRPr="00132E65">
        <w:rPr>
          <w:rtl/>
          <w:lang w:bidi="fa-IR"/>
        </w:rPr>
        <w:t xml:space="preserve"> عَلِيُّ بْنُ إِبْرَاهِيمَ ، عَنْ أَبِيهِ ، قَالَ :</w:t>
      </w:r>
    </w:p>
    <w:p w:rsidR="000C39D1" w:rsidRPr="00132E65" w:rsidRDefault="000C39D1" w:rsidP="000C39D1">
      <w:pPr>
        <w:pStyle w:val="libNormal"/>
        <w:rPr>
          <w:rtl/>
          <w:lang w:bidi="fa-IR"/>
        </w:rPr>
      </w:pPr>
      <w:r w:rsidRPr="00132E65">
        <w:rPr>
          <w:rtl/>
          <w:lang w:bidi="fa-IR"/>
        </w:rPr>
        <w:t xml:space="preserve">قَالَ عَلِيُّ بْنُ حَسَّانَ لِأَبِي جَعْفَرٍ </w:t>
      </w:r>
      <w:r w:rsidRPr="00071CF9">
        <w:rPr>
          <w:rStyle w:val="libAlaemChar"/>
          <w:rtl/>
        </w:rPr>
        <w:t>عليه‌السلام</w:t>
      </w:r>
      <w:r w:rsidRPr="00132E65">
        <w:rPr>
          <w:rtl/>
          <w:lang w:bidi="fa-IR"/>
        </w:rPr>
        <w:t xml:space="preserve"> : يَا سَيِّدِي ، إِنَّ النَّاسَ يُنْكِرُونَ عَلَيْكَ حَدَاثَةَ‌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وحاشية « ض ، بح ، بر » و</w:t>
      </w:r>
      <w:r w:rsidRPr="009D1ACE">
        <w:rPr>
          <w:rStyle w:val="libFootnoteBoldChar"/>
          <w:rtl/>
        </w:rPr>
        <w:t>الوافي</w:t>
      </w:r>
      <w:r w:rsidRPr="00132E65">
        <w:rPr>
          <w:rtl/>
        </w:rPr>
        <w:t xml:space="preserve"> : « فأجدت »</w:t>
      </w:r>
      <w:r>
        <w:rPr>
          <w:rtl/>
        </w:rPr>
        <w:t>.</w:t>
      </w:r>
      <w:r w:rsidRPr="00132E65">
        <w:rPr>
          <w:rtl/>
        </w:rPr>
        <w:t xml:space="preserve"> وفي </w:t>
      </w:r>
      <w:r w:rsidRPr="009D1ACE">
        <w:rPr>
          <w:rStyle w:val="libFootnoteBoldChar"/>
          <w:rtl/>
        </w:rPr>
        <w:t>مرآة العقول</w:t>
      </w:r>
      <w:r w:rsidRPr="00132E65">
        <w:rPr>
          <w:rtl/>
        </w:rPr>
        <w:t xml:space="preserve"> : « وفي بعضها</w:t>
      </w:r>
      <w:r>
        <w:rPr>
          <w:rtl/>
        </w:rPr>
        <w:t xml:space="preserve"> - </w:t>
      </w:r>
      <w:r w:rsidRPr="00132E65">
        <w:rPr>
          <w:rtl/>
        </w:rPr>
        <w:t>أي بعض النسخ</w:t>
      </w:r>
      <w:r>
        <w:rPr>
          <w:rtl/>
        </w:rPr>
        <w:t xml:space="preserve"> - </w:t>
      </w:r>
      <w:r w:rsidRPr="00132E65">
        <w:rPr>
          <w:rtl/>
        </w:rPr>
        <w:t>: أحددت ، بالحاء المهملة ، كما في البصائر ، أي نظرت نظراً حادّاً »</w:t>
      </w:r>
      <w:r>
        <w:rPr>
          <w:rtl/>
        </w:rPr>
        <w:t>.</w:t>
      </w:r>
    </w:p>
    <w:p w:rsidR="000C39D1" w:rsidRPr="00132E65" w:rsidRDefault="000C39D1" w:rsidP="000C39D1">
      <w:pPr>
        <w:pStyle w:val="libFootnote0"/>
        <w:rPr>
          <w:rtl/>
          <w:lang w:bidi="fa-IR"/>
        </w:rPr>
      </w:pPr>
      <w:r>
        <w:rPr>
          <w:rtl/>
        </w:rPr>
        <w:t>(2).</w:t>
      </w:r>
      <w:r w:rsidRPr="00132E65">
        <w:rPr>
          <w:rtl/>
        </w:rPr>
        <w:t xml:space="preserve"> في حاشية « ف » : « وكنت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0577A7">
        <w:rPr>
          <w:rStyle w:val="libFootnoteBoldChar"/>
          <w:rtl/>
        </w:rPr>
        <w:t>الكافي</w:t>
      </w:r>
      <w:r w:rsidRPr="00132E65">
        <w:rPr>
          <w:rtl/>
        </w:rPr>
        <w:t xml:space="preserve"> ، ح 1311 : « قال خرج </w:t>
      </w:r>
      <w:r w:rsidRPr="006C5FE8">
        <w:rPr>
          <w:rStyle w:val="libFootnoteAlaemChar"/>
          <w:rtl/>
        </w:rPr>
        <w:t>عليه‌السلام</w:t>
      </w:r>
      <w:r w:rsidRPr="00132E65">
        <w:rPr>
          <w:rtl/>
        </w:rPr>
        <w:t xml:space="preserve"> عَلَيّ فنظرت » بدل « قال : رأيت</w:t>
      </w:r>
      <w:r>
        <w:rPr>
          <w:rtl/>
        </w:rPr>
        <w:t xml:space="preserve"> - </w:t>
      </w:r>
      <w:r w:rsidRPr="00132E65">
        <w:rPr>
          <w:rtl/>
        </w:rPr>
        <w:t>إلى</w:t>
      </w:r>
      <w:r>
        <w:rPr>
          <w:rtl/>
        </w:rPr>
        <w:t xml:space="preserve"> - </w:t>
      </w:r>
      <w:r w:rsidRPr="00132E65">
        <w:rPr>
          <w:rtl/>
        </w:rPr>
        <w:t>وجعلت أنظر »</w:t>
      </w:r>
      <w:r>
        <w:rPr>
          <w:rtl/>
        </w:rPr>
        <w:t>.</w:t>
      </w:r>
    </w:p>
    <w:p w:rsidR="000C39D1" w:rsidRPr="00132E65" w:rsidRDefault="000C39D1" w:rsidP="000C39D1">
      <w:pPr>
        <w:pStyle w:val="libFootnote0"/>
        <w:rPr>
          <w:rtl/>
          <w:lang w:bidi="fa-IR"/>
        </w:rPr>
      </w:pPr>
      <w:r>
        <w:rPr>
          <w:rtl/>
        </w:rPr>
        <w:t>(4).</w:t>
      </w:r>
      <w:r w:rsidRPr="00132E65">
        <w:rPr>
          <w:rtl/>
        </w:rPr>
        <w:t xml:space="preserve"> في « بح ، بر » : « فبينما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0577A7">
        <w:rPr>
          <w:rStyle w:val="libFootnoteBoldChar"/>
          <w:rtl/>
        </w:rPr>
        <w:t>الكافي</w:t>
      </w:r>
      <w:r w:rsidRPr="00132E65">
        <w:rPr>
          <w:rtl/>
        </w:rPr>
        <w:t xml:space="preserve"> ، ح 1311 : « وقال »</w:t>
      </w:r>
      <w:r>
        <w:rPr>
          <w:rtl/>
        </w:rPr>
        <w:t>.</w:t>
      </w:r>
      <w:r w:rsidRPr="00132E65">
        <w:rPr>
          <w:rtl/>
        </w:rPr>
        <w:t xml:space="preserve"> وفي الإرشاد : « قال : خرج عَلَيّ أبو جعفر </w:t>
      </w:r>
      <w:r w:rsidRPr="006C5FE8">
        <w:rPr>
          <w:rStyle w:val="libFootnoteAlaemChar"/>
          <w:rtl/>
        </w:rPr>
        <w:t>عليه‌السلام</w:t>
      </w:r>
      <w:r w:rsidRPr="00132E65">
        <w:rPr>
          <w:rtl/>
        </w:rPr>
        <w:t xml:space="preserve"> حدثان موت أبيه ، فنظرت إلى قدّه لأصف قامته لأصحابي ، فقعد ثمّ قال » بدل « قال : رأيت أبا جعفر</w:t>
      </w:r>
      <w:r>
        <w:rPr>
          <w:rtl/>
        </w:rPr>
        <w:t xml:space="preserve"> - </w:t>
      </w:r>
      <w:r w:rsidRPr="00132E65">
        <w:rPr>
          <w:rtl/>
        </w:rPr>
        <w:t>إلى</w:t>
      </w:r>
      <w:r>
        <w:rPr>
          <w:rtl/>
        </w:rPr>
        <w:t xml:space="preserve"> - </w:t>
      </w:r>
      <w:r w:rsidRPr="00132E65">
        <w:rPr>
          <w:rtl/>
        </w:rPr>
        <w:t>قعد فقال »</w:t>
      </w:r>
      <w:r>
        <w:rPr>
          <w:rtl/>
        </w:rPr>
        <w:t>.</w:t>
      </w:r>
    </w:p>
    <w:p w:rsidR="000C39D1" w:rsidRPr="00132E65" w:rsidRDefault="000C39D1" w:rsidP="000C39D1">
      <w:pPr>
        <w:pStyle w:val="libFootnote0"/>
        <w:rPr>
          <w:rtl/>
          <w:lang w:bidi="fa-IR"/>
        </w:rPr>
      </w:pPr>
      <w:r>
        <w:rPr>
          <w:rtl/>
        </w:rPr>
        <w:t>(6).</w:t>
      </w:r>
      <w:r w:rsidRPr="00132E65">
        <w:rPr>
          <w:rtl/>
        </w:rPr>
        <w:t xml:space="preserve"> في حاشية « ف » : « قد احتجّ »</w:t>
      </w:r>
      <w:r>
        <w:rPr>
          <w:rtl/>
        </w:rPr>
        <w:t>.</w:t>
      </w:r>
    </w:p>
    <w:p w:rsidR="000C39D1" w:rsidRPr="00132E65" w:rsidRDefault="000C39D1" w:rsidP="000C39D1">
      <w:pPr>
        <w:pStyle w:val="libFootnote0"/>
        <w:rPr>
          <w:rtl/>
          <w:lang w:bidi="fa-IR"/>
        </w:rPr>
      </w:pPr>
      <w:r>
        <w:rPr>
          <w:rtl/>
        </w:rPr>
        <w:t>(7).</w:t>
      </w:r>
      <w:r w:rsidRPr="00132E65">
        <w:rPr>
          <w:rtl/>
        </w:rPr>
        <w:t xml:space="preserve"> في حاشية « ف » :</w:t>
      </w:r>
      <w:r>
        <w:rPr>
          <w:rtl/>
        </w:rPr>
        <w:t xml:space="preserve"> + </w:t>
      </w:r>
      <w:r w:rsidRPr="00132E65">
        <w:rPr>
          <w:rtl/>
        </w:rPr>
        <w:t>« في عيسى »</w:t>
      </w:r>
      <w:r>
        <w:rPr>
          <w:rtl/>
        </w:rPr>
        <w:t>.</w:t>
      </w:r>
      <w:r w:rsidRPr="00132E65">
        <w:rPr>
          <w:rtl/>
        </w:rPr>
        <w:t xml:space="preserve"> وفي </w:t>
      </w:r>
      <w:r w:rsidRPr="000577A7">
        <w:rPr>
          <w:rStyle w:val="libFootnoteBoldChar"/>
          <w:rtl/>
        </w:rPr>
        <w:t>الكافي</w:t>
      </w:r>
      <w:r w:rsidRPr="00132E65">
        <w:rPr>
          <w:rtl/>
        </w:rPr>
        <w:t xml:space="preserve"> ، ح 1311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(8).</w:t>
      </w:r>
      <w:r w:rsidRPr="00132E65">
        <w:rPr>
          <w:rtl/>
        </w:rPr>
        <w:t xml:space="preserve"> مريم (19) : 12. وفي </w:t>
      </w:r>
      <w:r w:rsidRPr="000577A7">
        <w:rPr>
          <w:rStyle w:val="libFootnoteBoldChar"/>
          <w:rtl/>
        </w:rPr>
        <w:t>الكافي</w:t>
      </w:r>
      <w:r w:rsidRPr="00132E65">
        <w:rPr>
          <w:rtl/>
        </w:rPr>
        <w:t xml:space="preserve"> ح 1311 :</w:t>
      </w:r>
      <w:r>
        <w:rPr>
          <w:rtl/>
        </w:rPr>
        <w:t xml:space="preserve"> + </w:t>
      </w:r>
      <w:r w:rsidRPr="00132E65">
        <w:rPr>
          <w:rtl/>
        </w:rPr>
        <w:t>« وقال »</w:t>
      </w:r>
      <w:r>
        <w:rPr>
          <w:rtl/>
        </w:rPr>
        <w:t>.</w:t>
      </w:r>
      <w:r w:rsidRPr="00132E65">
        <w:rPr>
          <w:rtl/>
        </w:rPr>
        <w:t xml:space="preserve"> وفي البصائر :</w:t>
      </w:r>
      <w:r>
        <w:rPr>
          <w:rtl/>
        </w:rPr>
        <w:t xml:space="preserve"> + </w:t>
      </w:r>
      <w:r w:rsidRPr="00132E65">
        <w:rPr>
          <w:rtl/>
        </w:rPr>
        <w:t>« قال الله »</w:t>
      </w:r>
      <w:r>
        <w:rPr>
          <w:rtl/>
        </w:rPr>
        <w:t>.</w:t>
      </w:r>
    </w:p>
    <w:p w:rsidR="000C39D1" w:rsidRPr="00132E65" w:rsidRDefault="000C39D1" w:rsidP="006C5FE8">
      <w:pPr>
        <w:pStyle w:val="libFootnote0"/>
        <w:rPr>
          <w:rtl/>
          <w:lang w:bidi="fa-IR"/>
        </w:rPr>
      </w:pPr>
      <w:r>
        <w:rPr>
          <w:rtl/>
        </w:rPr>
        <w:t>(9).</w:t>
      </w:r>
      <w:r w:rsidRPr="00132E65">
        <w:rPr>
          <w:rtl/>
        </w:rPr>
        <w:t xml:space="preserve"> يوسف </w:t>
      </w:r>
      <w:r w:rsidR="006C5FE8">
        <w:rPr>
          <w:rtl/>
        </w:rPr>
        <w:t>(12)</w:t>
      </w:r>
      <w:r w:rsidRPr="00132E65">
        <w:rPr>
          <w:rtl/>
        </w:rPr>
        <w:t xml:space="preserve"> : 22 : </w:t>
      </w:r>
      <w:r w:rsidRPr="00071CF9">
        <w:rPr>
          <w:rStyle w:val="libAlaemChar"/>
          <w:rtl/>
        </w:rPr>
        <w:t>(</w:t>
      </w:r>
      <w:r>
        <w:rPr>
          <w:rFonts w:hint="cs"/>
          <w:rtl/>
        </w:rPr>
        <w:t xml:space="preserve"> </w:t>
      </w:r>
      <w:r w:rsidRPr="00C2691A">
        <w:rPr>
          <w:rStyle w:val="libFootnoteAieChar"/>
          <w:rtl/>
        </w:rPr>
        <w:t>وَلَمّ</w:t>
      </w:r>
      <w:r w:rsidR="006C5FE8">
        <w:rPr>
          <w:rStyle w:val="libFootnoteAieChar"/>
          <w:rFonts w:hint="cs"/>
          <w:rtl/>
        </w:rPr>
        <w:t>َ</w:t>
      </w:r>
      <w:r w:rsidRPr="00C2691A">
        <w:rPr>
          <w:rStyle w:val="libFootnoteAieChar"/>
          <w:rtl/>
        </w:rPr>
        <w:t xml:space="preserve">ا بَلَغَ أَشُدَّهُ </w:t>
      </w:r>
      <w:r w:rsidR="006C5FE8">
        <w:rPr>
          <w:rStyle w:val="libFootnoteAieChar"/>
          <w:rFonts w:hint="cs"/>
          <w:rtl/>
        </w:rPr>
        <w:t>ءََا</w:t>
      </w:r>
      <w:r w:rsidRPr="00C2691A">
        <w:rPr>
          <w:rStyle w:val="libFootnoteAieChar"/>
          <w:rtl/>
        </w:rPr>
        <w:t>تَيْناهُ حُكْماً وَعِلْماً وَكَذلِكَ نَجْزِي الْمُحْسِنِينَ</w:t>
      </w:r>
      <w:r>
        <w:rPr>
          <w:rFonts w:hint="cs"/>
          <w:rtl/>
        </w:rPr>
        <w:t xml:space="preserve"> </w:t>
      </w:r>
      <w:r w:rsidRPr="00071CF9">
        <w:rPr>
          <w:rStyle w:val="libAlaemChar"/>
          <w:rtl/>
        </w:rPr>
        <w:t>)</w:t>
      </w:r>
      <w:r w:rsidRPr="00132E65">
        <w:rPr>
          <w:rtl/>
        </w:rPr>
        <w:t xml:space="preserve"> ؛ وفي القصص (28) : 14 : </w:t>
      </w:r>
      <w:r w:rsidRPr="00071CF9">
        <w:rPr>
          <w:rStyle w:val="libAlaemChar"/>
          <w:rtl/>
        </w:rPr>
        <w:t>(</w:t>
      </w:r>
      <w:r>
        <w:rPr>
          <w:rFonts w:hint="cs"/>
          <w:rtl/>
        </w:rPr>
        <w:t xml:space="preserve"> </w:t>
      </w:r>
      <w:r w:rsidRPr="00C2691A">
        <w:rPr>
          <w:rStyle w:val="libFootnoteAieChar"/>
          <w:rtl/>
        </w:rPr>
        <w:t>وَلَمّ</w:t>
      </w:r>
      <w:r w:rsidR="006C5FE8">
        <w:rPr>
          <w:rStyle w:val="libFootnoteAieChar"/>
          <w:rFonts w:hint="cs"/>
          <w:rtl/>
        </w:rPr>
        <w:t>َ</w:t>
      </w:r>
      <w:r w:rsidRPr="00C2691A">
        <w:rPr>
          <w:rStyle w:val="libFootnoteAieChar"/>
          <w:rtl/>
        </w:rPr>
        <w:t>ا بَلَغَ أَشُدَّهُ وَاسْتَو</w:t>
      </w:r>
      <w:r w:rsidR="006C5FE8">
        <w:rPr>
          <w:rStyle w:val="libFootnoteAieChar"/>
          <w:rFonts w:hint="cs"/>
          <w:rtl/>
        </w:rPr>
        <w:t>َ</w:t>
      </w:r>
      <w:r w:rsidRPr="00C2691A">
        <w:rPr>
          <w:rStyle w:val="libFootnoteAieChar"/>
          <w:rtl/>
        </w:rPr>
        <w:t xml:space="preserve">ى </w:t>
      </w:r>
      <w:r w:rsidR="006C5FE8">
        <w:rPr>
          <w:rStyle w:val="libFootnoteAieChar"/>
          <w:rFonts w:hint="cs"/>
          <w:rtl/>
        </w:rPr>
        <w:t>ءَا</w:t>
      </w:r>
      <w:r w:rsidRPr="00C2691A">
        <w:rPr>
          <w:rStyle w:val="libFootnoteAieChar"/>
          <w:rtl/>
        </w:rPr>
        <w:t>تَيْناهُ حُكْماً وَعِلْماً وَكَذلِكَ نَجْزِي الْمُحْسِنِينَ</w:t>
      </w:r>
      <w:r>
        <w:rPr>
          <w:rFonts w:hint="cs"/>
          <w:rtl/>
        </w:rPr>
        <w:t xml:space="preserve"> </w:t>
      </w:r>
      <w:r w:rsidRPr="00071CF9">
        <w:rPr>
          <w:rStyle w:val="libAlaemChar"/>
          <w:rtl/>
        </w:rPr>
        <w:t>)</w:t>
      </w:r>
      <w:r w:rsidRPr="00132E65">
        <w:rPr>
          <w:rtl/>
        </w:rPr>
        <w:t>.</w:t>
      </w:r>
    </w:p>
    <w:p w:rsidR="000C39D1" w:rsidRPr="00132E65" w:rsidRDefault="000C39D1" w:rsidP="000C39D1">
      <w:pPr>
        <w:pStyle w:val="libFootnote0"/>
        <w:rPr>
          <w:rtl/>
          <w:lang w:bidi="fa-IR"/>
        </w:rPr>
      </w:pPr>
      <w:r>
        <w:rPr>
          <w:rtl/>
        </w:rPr>
        <w:t>(10).</w:t>
      </w:r>
      <w:r w:rsidRPr="00132E65">
        <w:rPr>
          <w:rtl/>
        </w:rPr>
        <w:t xml:space="preserve"> الأحقاف (46) : 15 : </w:t>
      </w:r>
      <w:r w:rsidRPr="00071CF9">
        <w:rPr>
          <w:rStyle w:val="libAlaemChar"/>
          <w:rtl/>
        </w:rPr>
        <w:t>(</w:t>
      </w:r>
      <w:r>
        <w:rPr>
          <w:rFonts w:hint="cs"/>
          <w:rtl/>
        </w:rPr>
        <w:t xml:space="preserve"> </w:t>
      </w:r>
      <w:r w:rsidRPr="00C2691A">
        <w:rPr>
          <w:rStyle w:val="libFootnoteAieChar"/>
          <w:rtl/>
        </w:rPr>
        <w:t>حَتّ</w:t>
      </w:r>
      <w:r w:rsidR="006C5FE8">
        <w:rPr>
          <w:rStyle w:val="libFootnoteAieChar"/>
          <w:rFonts w:hint="cs"/>
          <w:rtl/>
        </w:rPr>
        <w:t>َ</w:t>
      </w:r>
      <w:r w:rsidRPr="00C2691A">
        <w:rPr>
          <w:rStyle w:val="libFootnoteAieChar"/>
          <w:rtl/>
        </w:rPr>
        <w:t>ى إِذ</w:t>
      </w:r>
      <w:r w:rsidR="006C5FE8">
        <w:rPr>
          <w:rStyle w:val="libFootnoteAieChar"/>
          <w:rFonts w:hint="cs"/>
          <w:rtl/>
        </w:rPr>
        <w:t>َ</w:t>
      </w:r>
      <w:r w:rsidRPr="00C2691A">
        <w:rPr>
          <w:rStyle w:val="libFootnoteAieChar"/>
          <w:rtl/>
        </w:rPr>
        <w:t>ا بَلَغَ أَشُدَّهُ وَبَلَغَ أَرْبَعِينَ سَنَةً</w:t>
      </w:r>
      <w:r>
        <w:rPr>
          <w:rFonts w:hint="cs"/>
          <w:rtl/>
        </w:rPr>
        <w:t xml:space="preserve"> </w:t>
      </w:r>
      <w:r w:rsidRPr="00071CF9">
        <w:rPr>
          <w:rStyle w:val="libAlaemChar"/>
          <w:rtl/>
        </w:rPr>
        <w:t>)</w:t>
      </w:r>
      <w:r w:rsidRPr="00132E65">
        <w:rPr>
          <w:rtl/>
        </w:rPr>
        <w:t>.</w:t>
      </w:r>
    </w:p>
    <w:p w:rsidR="000C39D1" w:rsidRPr="00132E65" w:rsidRDefault="000C39D1" w:rsidP="000C39D1">
      <w:pPr>
        <w:pStyle w:val="libFootnote0"/>
        <w:rPr>
          <w:rtl/>
          <w:lang w:bidi="fa-IR"/>
        </w:rPr>
      </w:pPr>
      <w:r>
        <w:rPr>
          <w:rtl/>
        </w:rPr>
        <w:t>(11).</w:t>
      </w:r>
      <w:r w:rsidRPr="00132E65">
        <w:rPr>
          <w:rtl/>
        </w:rPr>
        <w:t xml:space="preserve"> في « بس » : « الحكم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0577A7">
        <w:rPr>
          <w:rStyle w:val="libFootnoteBoldChar"/>
          <w:rtl/>
        </w:rPr>
        <w:t>الكافي</w:t>
      </w:r>
      <w:r w:rsidRPr="00132E65">
        <w:rPr>
          <w:rtl/>
        </w:rPr>
        <w:t xml:space="preserve"> ، ح 1311 : « الحكم صبيّاً » بدل « الحكمة وهو صبيّ »</w:t>
      </w:r>
      <w:r>
        <w:rPr>
          <w:rtl/>
        </w:rPr>
        <w:t>.</w:t>
      </w:r>
    </w:p>
    <w:p w:rsidR="000C39D1" w:rsidRPr="00132E65" w:rsidRDefault="000C39D1" w:rsidP="000C39D1">
      <w:pPr>
        <w:pStyle w:val="libFootnote0"/>
        <w:rPr>
          <w:rtl/>
          <w:lang w:bidi="fa-IR"/>
        </w:rPr>
      </w:pPr>
      <w:r>
        <w:rPr>
          <w:rtl/>
        </w:rPr>
        <w:t>(13)</w:t>
      </w:r>
      <w:r w:rsidRPr="00132E65">
        <w:rPr>
          <w:rtl/>
        </w:rPr>
        <w:t xml:space="preserve"> في « بس » : « أن يؤتى الحكم »</w:t>
      </w:r>
      <w:r>
        <w:rPr>
          <w:rtl/>
        </w:rPr>
        <w:t>.</w:t>
      </w:r>
      <w:r w:rsidRPr="00132E65">
        <w:rPr>
          <w:rtl/>
        </w:rPr>
        <w:t xml:space="preserve"> وفي </w:t>
      </w:r>
      <w:r w:rsidRPr="000577A7">
        <w:rPr>
          <w:rStyle w:val="libFootnoteBoldChar"/>
          <w:rtl/>
        </w:rPr>
        <w:t>الكافي</w:t>
      </w:r>
      <w:r w:rsidRPr="00132E65">
        <w:rPr>
          <w:rtl/>
        </w:rPr>
        <w:t xml:space="preserve"> ، ح 1311 : « يعطاها »</w:t>
      </w:r>
      <w:r>
        <w:rPr>
          <w:rtl/>
        </w:rPr>
        <w:t>.</w:t>
      </w:r>
    </w:p>
    <w:p w:rsidR="000C39D1" w:rsidRPr="00132E65" w:rsidRDefault="000C39D1" w:rsidP="000C39D1">
      <w:pPr>
        <w:pStyle w:val="libFootnote0"/>
        <w:rPr>
          <w:rtl/>
          <w:lang w:bidi="fa-IR"/>
        </w:rPr>
      </w:pPr>
      <w:r>
        <w:rPr>
          <w:rtl/>
        </w:rPr>
        <w:t>(14)</w:t>
      </w:r>
      <w:r w:rsidRPr="00132E65">
        <w:rPr>
          <w:rtl/>
        </w:rPr>
        <w:t xml:space="preserve"> </w:t>
      </w:r>
      <w:r w:rsidRPr="000577A7">
        <w:rPr>
          <w:rStyle w:val="libFootnoteBoldChar"/>
          <w:rtl/>
        </w:rPr>
        <w:t>الكافي</w:t>
      </w:r>
      <w:r w:rsidRPr="00132E65">
        <w:rPr>
          <w:rtl/>
        </w:rPr>
        <w:t xml:space="preserve"> ، كتاب الحجّة ، باب مولد أبي جعفر محمّد بن عليّ الثاني </w:t>
      </w:r>
      <w:r w:rsidRPr="00D45062">
        <w:rPr>
          <w:rStyle w:val="libFootnoteAlaemChar"/>
          <w:rtl/>
        </w:rPr>
        <w:t>عليه‌السلام</w:t>
      </w:r>
      <w:r w:rsidRPr="00132E65">
        <w:rPr>
          <w:rtl/>
        </w:rPr>
        <w:t xml:space="preserve"> ، ح 1311 ؛ </w:t>
      </w:r>
      <w:r w:rsidRPr="00D37CF8">
        <w:rPr>
          <w:rtl/>
        </w:rPr>
        <w:t>الإرشاد</w:t>
      </w:r>
      <w:r w:rsidRPr="00132E65">
        <w:rPr>
          <w:rtl/>
        </w:rPr>
        <w:t xml:space="preserve"> ، ج 2 ، ص 292 ، عن الكليني ، وفيه إلى قوله : </w:t>
      </w:r>
      <w:r w:rsidRPr="00071CF9">
        <w:rPr>
          <w:rStyle w:val="libAlaemChar"/>
          <w:rtl/>
        </w:rPr>
        <w:t>(</w:t>
      </w:r>
      <w:r>
        <w:rPr>
          <w:rFonts w:hint="cs"/>
          <w:rtl/>
        </w:rPr>
        <w:t xml:space="preserve"> </w:t>
      </w:r>
      <w:r w:rsidRPr="00C2691A">
        <w:rPr>
          <w:rStyle w:val="libFootnoteAieChar"/>
          <w:rtl/>
        </w:rPr>
        <w:t>وَآتَيْناهُ الْحُكْمَ صَبِيًّا</w:t>
      </w:r>
      <w:r>
        <w:rPr>
          <w:rFonts w:hint="cs"/>
          <w:rtl/>
        </w:rPr>
        <w:t xml:space="preserve"> </w:t>
      </w:r>
      <w:r w:rsidRPr="00071CF9">
        <w:rPr>
          <w:rStyle w:val="libAlaemChar"/>
          <w:rtl/>
        </w:rPr>
        <w:t>)</w:t>
      </w:r>
      <w:r w:rsidRPr="00132E65">
        <w:rPr>
          <w:rtl/>
        </w:rPr>
        <w:t xml:space="preserve">. </w:t>
      </w:r>
      <w:r w:rsidRPr="007A1104">
        <w:rPr>
          <w:rStyle w:val="libFootnoteBoldChar"/>
          <w:rtl/>
        </w:rPr>
        <w:t>بصائر الدرجات</w:t>
      </w:r>
      <w:r w:rsidRPr="00132E65">
        <w:rPr>
          <w:rtl/>
        </w:rPr>
        <w:t xml:space="preserve"> ، ص 238 ، ح 10 ، بسنده عن عليّ بن أسباط </w:t>
      </w:r>
      <w:r w:rsidR="00D45062">
        <w:rPr>
          <w:rFonts w:hint="cs"/>
          <w:rtl/>
        </w:rPr>
        <w:t>.</w:t>
      </w:r>
      <w:r w:rsidRPr="009D1ACE">
        <w:rPr>
          <w:rStyle w:val="libFootnoteBoldChar"/>
          <w:rtl/>
        </w:rPr>
        <w:t>الوافي</w:t>
      </w:r>
      <w:r w:rsidRPr="00132E65">
        <w:rPr>
          <w:rtl/>
        </w:rPr>
        <w:t xml:space="preserve"> ، ج 2 ، ص 378 ، ح 861.</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سِنِّكَ ، فَقَالَ </w:t>
      </w:r>
      <w:r>
        <w:rPr>
          <w:rStyle w:val="libFootnotenumChar"/>
          <w:rtl/>
        </w:rPr>
        <w:t>(1)</w:t>
      </w:r>
      <w:r w:rsidRPr="00132E65">
        <w:rPr>
          <w:rtl/>
          <w:lang w:bidi="fa-IR"/>
        </w:rPr>
        <w:t xml:space="preserve"> : « وَمَا يُنْكِرُونَ </w:t>
      </w:r>
      <w:r>
        <w:rPr>
          <w:rStyle w:val="libFootnotenumChar"/>
          <w:rtl/>
        </w:rPr>
        <w:t>(2)</w:t>
      </w:r>
      <w:r w:rsidRPr="00132E65">
        <w:rPr>
          <w:rtl/>
          <w:lang w:bidi="fa-IR"/>
        </w:rPr>
        <w:t xml:space="preserve"> مِنْ ذلِكَ</w:t>
      </w:r>
      <w:r>
        <w:rPr>
          <w:rtl/>
          <w:lang w:bidi="fa-IR"/>
        </w:rPr>
        <w:t>؟</w:t>
      </w:r>
      <w:r w:rsidRPr="00132E65">
        <w:rPr>
          <w:rtl/>
          <w:lang w:bidi="fa-IR"/>
        </w:rPr>
        <w:t xml:space="preserve"> قَوْلَ اللهِ </w:t>
      </w:r>
      <w:r>
        <w:rPr>
          <w:rStyle w:val="libFootnotenumChar"/>
          <w:rtl/>
        </w:rPr>
        <w:t>(3)</w:t>
      </w:r>
      <w:r w:rsidRPr="00132E65">
        <w:rPr>
          <w:rtl/>
          <w:lang w:bidi="fa-IR"/>
        </w:rPr>
        <w:t xml:space="preserve"> عَزَّ و</w:t>
      </w:r>
      <w:r w:rsidR="00D45062">
        <w:rPr>
          <w:rFonts w:hint="cs"/>
          <w:rtl/>
          <w:lang w:bidi="fa-IR"/>
        </w:rPr>
        <w:t>َ</w:t>
      </w:r>
      <w:r w:rsidRPr="00132E65">
        <w:rPr>
          <w:rtl/>
          <w:lang w:bidi="fa-IR"/>
        </w:rPr>
        <w:t>جَلَّ</w:t>
      </w:r>
      <w:r>
        <w:rPr>
          <w:rtl/>
          <w:lang w:bidi="fa-IR"/>
        </w:rPr>
        <w:t>؟</w:t>
      </w:r>
      <w:r w:rsidRPr="00132E65">
        <w:rPr>
          <w:rtl/>
          <w:lang w:bidi="fa-IR"/>
        </w:rPr>
        <w:t xml:space="preserve"> لَقَدْ قَالَ اللهُ لِنَبِيِّهِ </w:t>
      </w:r>
      <w:r w:rsidRPr="0093484F">
        <w:rPr>
          <w:rStyle w:val="libAlaemChar"/>
          <w:rFonts w:eastAsiaTheme="minorHAnsi"/>
          <w:rtl/>
        </w:rPr>
        <w:t>صلى‌الله‌عليه‌وآله</w:t>
      </w:r>
      <w:r w:rsidRPr="00132E65">
        <w:rPr>
          <w:rtl/>
          <w:lang w:bidi="fa-IR"/>
        </w:rPr>
        <w:t>:</w:t>
      </w:r>
      <w:r>
        <w:rPr>
          <w:rFonts w:hint="cs"/>
          <w:rtl/>
          <w:lang w:bidi="fa-IR"/>
        </w:rPr>
        <w:t xml:space="preserve"> </w:t>
      </w:r>
      <w:r w:rsidRPr="00071CF9">
        <w:rPr>
          <w:rStyle w:val="libAlaemChar"/>
          <w:rtl/>
        </w:rPr>
        <w:t>(</w:t>
      </w:r>
      <w:r w:rsidRPr="00071CF9">
        <w:rPr>
          <w:rStyle w:val="libAieChar"/>
          <w:rtl/>
        </w:rPr>
        <w:t xml:space="preserve"> قُلْ هذِهِ سَبِيلِي أَدْعُوا إِلَى اللهِ عَلى بَصِيرَةٍ أَنَا وَمَنِ اتَّبَعَنِي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فَوَاللهِ </w:t>
      </w:r>
      <w:r>
        <w:rPr>
          <w:rStyle w:val="libFootnotenumChar"/>
          <w:rtl/>
        </w:rPr>
        <w:t>(5)</w:t>
      </w:r>
      <w:r w:rsidRPr="00132E65">
        <w:rPr>
          <w:rtl/>
          <w:lang w:bidi="fa-IR"/>
        </w:rPr>
        <w:t xml:space="preserve"> مَا تَبِعَهُ </w:t>
      </w:r>
      <w:r>
        <w:rPr>
          <w:rStyle w:val="libFootnotenumChar"/>
          <w:rtl/>
        </w:rPr>
        <w:t>(6)</w:t>
      </w:r>
      <w:r w:rsidR="00D45062">
        <w:rPr>
          <w:rtl/>
          <w:lang w:bidi="fa-IR"/>
        </w:rPr>
        <w:t xml:space="preserve"> إِل</w:t>
      </w:r>
      <w:r w:rsidR="00D45062">
        <w:rPr>
          <w:rFonts w:hint="cs"/>
          <w:rtl/>
          <w:lang w:bidi="fa-IR"/>
        </w:rPr>
        <w:t>َّ</w:t>
      </w:r>
      <w:r w:rsidR="00D45062">
        <w:rPr>
          <w:rtl/>
          <w:lang w:bidi="fa-IR"/>
        </w:rPr>
        <w:t>ا</w:t>
      </w:r>
      <w:r w:rsidRPr="00132E65">
        <w:rPr>
          <w:rtl/>
          <w:lang w:bidi="fa-IR"/>
        </w:rPr>
        <w:t xml:space="preserve"> عَلِيٌّ </w:t>
      </w:r>
      <w:r w:rsidRPr="00071CF9">
        <w:rPr>
          <w:rStyle w:val="libAlaemChar"/>
          <w:rtl/>
        </w:rPr>
        <w:t>عليه‌السلام</w:t>
      </w:r>
      <w:r w:rsidRPr="00132E65">
        <w:rPr>
          <w:rtl/>
          <w:lang w:bidi="fa-IR"/>
        </w:rPr>
        <w:t xml:space="preserve"> وَلَهُ </w:t>
      </w:r>
      <w:r>
        <w:rPr>
          <w:rStyle w:val="libFootnotenumChar"/>
          <w:rtl/>
        </w:rPr>
        <w:t>(7)</w:t>
      </w:r>
      <w:r w:rsidRPr="00132E65">
        <w:rPr>
          <w:rtl/>
          <w:lang w:bidi="fa-IR"/>
        </w:rPr>
        <w:t xml:space="preserve"> تِسْعُ سِنِينَ ، وأَنَا ابْنُ تِسْعِ سِنِينَ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Heading2Center"/>
        <w:rPr>
          <w:rtl/>
          <w:lang w:bidi="fa-IR"/>
        </w:rPr>
      </w:pPr>
      <w:bookmarkStart w:id="74" w:name="_Toc459459123"/>
      <w:bookmarkStart w:id="75" w:name="_Toc34663092"/>
      <w:r w:rsidRPr="00132E65">
        <w:rPr>
          <w:rtl/>
          <w:lang w:bidi="fa-IR"/>
        </w:rPr>
        <w:t>92</w:t>
      </w:r>
      <w:r>
        <w:rPr>
          <w:rtl/>
          <w:lang w:bidi="fa-IR"/>
        </w:rPr>
        <w:t xml:space="preserve"> - </w:t>
      </w:r>
      <w:r w:rsidRPr="00132E65">
        <w:rPr>
          <w:rtl/>
          <w:lang w:bidi="fa-IR"/>
        </w:rPr>
        <w:t xml:space="preserve">بَابُ أَنَّ الْإِمَامَ لَايَغْسِلُهُ </w:t>
      </w:r>
      <w:r>
        <w:rPr>
          <w:rStyle w:val="libFootnotenumChar"/>
          <w:rtl/>
        </w:rPr>
        <w:t>(9)</w:t>
      </w:r>
      <w:r>
        <w:rPr>
          <w:rtl/>
          <w:lang w:bidi="fa-IR"/>
        </w:rPr>
        <w:t xml:space="preserve"> </w:t>
      </w:r>
      <w:r w:rsidR="00D45062">
        <w:rPr>
          <w:rtl/>
          <w:lang w:bidi="fa-IR"/>
        </w:rPr>
        <w:t>إِل</w:t>
      </w:r>
      <w:r w:rsidR="00D45062">
        <w:rPr>
          <w:rFonts w:hint="cs"/>
          <w:rtl/>
          <w:lang w:bidi="fa-IR"/>
        </w:rPr>
        <w:t>َّ</w:t>
      </w:r>
      <w:r w:rsidR="00D45062">
        <w:rPr>
          <w:rtl/>
          <w:lang w:bidi="fa-IR"/>
        </w:rPr>
        <w:t>ا</w:t>
      </w:r>
      <w:r w:rsidRPr="00132E65">
        <w:rPr>
          <w:rtl/>
          <w:lang w:bidi="fa-IR"/>
        </w:rPr>
        <w:t xml:space="preserve"> إِمَامٌ مِنَ </w:t>
      </w:r>
      <w:r>
        <w:rPr>
          <w:rStyle w:val="libFootnotenumChar"/>
          <w:rtl/>
        </w:rPr>
        <w:t>(10)</w:t>
      </w:r>
      <w:r>
        <w:rPr>
          <w:rtl/>
          <w:lang w:bidi="fa-IR"/>
        </w:rPr>
        <w:t xml:space="preserve"> </w:t>
      </w:r>
      <w:r w:rsidRPr="00132E65">
        <w:rPr>
          <w:rtl/>
          <w:lang w:bidi="fa-IR"/>
        </w:rPr>
        <w:t xml:space="preserve">الْأَئِمَّةِ </w:t>
      </w:r>
      <w:r w:rsidRPr="00071CF9">
        <w:rPr>
          <w:rStyle w:val="libAlaemChar"/>
          <w:rtl/>
        </w:rPr>
        <w:t>عليهم‌السلام</w:t>
      </w:r>
      <w:r w:rsidRPr="00132E65">
        <w:rPr>
          <w:rtl/>
          <w:lang w:bidi="fa-IR"/>
        </w:rPr>
        <w:t>‌</w:t>
      </w:r>
      <w:bookmarkEnd w:id="74"/>
      <w:bookmarkEnd w:id="75"/>
    </w:p>
    <w:p w:rsidR="000C39D1" w:rsidRPr="00132E65" w:rsidRDefault="000C39D1" w:rsidP="000C39D1">
      <w:pPr>
        <w:pStyle w:val="libNormal"/>
        <w:rPr>
          <w:rtl/>
          <w:lang w:bidi="fa-IR"/>
        </w:rPr>
      </w:pPr>
      <w:r w:rsidRPr="00D37CF8">
        <w:rPr>
          <w:rtl/>
        </w:rPr>
        <w:t>1003</w:t>
      </w:r>
      <w:r w:rsidRPr="004325D8">
        <w:rPr>
          <w:rStyle w:val="libBold2Char"/>
          <w:rtl/>
        </w:rPr>
        <w:t xml:space="preserve"> / 1.</w:t>
      </w:r>
      <w:r w:rsidRPr="00132E65">
        <w:rPr>
          <w:rtl/>
          <w:lang w:bidi="fa-IR"/>
        </w:rPr>
        <w:t xml:space="preserve"> الْحُسَيْنُ بْنُ مُحَمَّدٍ ، عَنْ مُعَلَّى بْنِ مُحَمَّدٍ ، عَنِ الْحَسَنِ بْنِ عَلِيٍّ الْوَشَّاءِ ، عَن</w:t>
      </w:r>
      <w:r w:rsidR="00D45062">
        <w:rPr>
          <w:rtl/>
          <w:lang w:bidi="fa-IR"/>
        </w:rPr>
        <w:t>ْ أَحْمَدَ بْنِ عُمَرَ الْحَل</w:t>
      </w:r>
      <w:r w:rsidR="00D45062">
        <w:rPr>
          <w:rFonts w:hint="cs"/>
          <w:rtl/>
          <w:lang w:bidi="fa-IR"/>
        </w:rPr>
        <w:t>َّ</w:t>
      </w:r>
      <w:r w:rsidR="00D45062">
        <w:rPr>
          <w:rtl/>
          <w:lang w:bidi="fa-IR"/>
        </w:rPr>
        <w:t>ا</w:t>
      </w:r>
      <w:r w:rsidRPr="00132E65">
        <w:rPr>
          <w:rtl/>
          <w:lang w:bidi="fa-IR"/>
        </w:rPr>
        <w:t>لِ أَوْ غَيْرِهِ :</w:t>
      </w:r>
    </w:p>
    <w:p w:rsidR="000C39D1" w:rsidRPr="00132E65" w:rsidRDefault="000C39D1" w:rsidP="000C39D1">
      <w:pPr>
        <w:pStyle w:val="libNormal"/>
        <w:rPr>
          <w:rtl/>
          <w:lang w:bidi="fa-IR"/>
        </w:rPr>
      </w:pPr>
      <w:r w:rsidRPr="00132E65">
        <w:rPr>
          <w:rtl/>
          <w:lang w:bidi="fa-IR"/>
        </w:rPr>
        <w:t xml:space="preserve">عَنِ الرِّضَا </w:t>
      </w:r>
      <w:r w:rsidRPr="00071CF9">
        <w:rPr>
          <w:rStyle w:val="libAlaemChar"/>
          <w:rtl/>
        </w:rPr>
        <w:t>عليه‌السلام</w:t>
      </w:r>
      <w:r w:rsidRPr="00132E65">
        <w:rPr>
          <w:rtl/>
          <w:lang w:bidi="fa-IR"/>
        </w:rPr>
        <w:t xml:space="preserve"> ، قَالَ : قُلْتُ لَهُ : إِنَّهُمْ يُحَاجُّونَّا </w:t>
      </w:r>
      <w:r>
        <w:rPr>
          <w:rStyle w:val="libFootnotenumChar"/>
          <w:rtl/>
        </w:rPr>
        <w:t>(11)</w:t>
      </w:r>
      <w:r w:rsidRPr="00132E65">
        <w:rPr>
          <w:rtl/>
          <w:lang w:bidi="fa-IR"/>
        </w:rPr>
        <w:t xml:space="preserve"> يَقُولُونَ </w:t>
      </w:r>
      <w:r>
        <w:rPr>
          <w:rStyle w:val="libFootnotenumChar"/>
          <w:rtl/>
        </w:rPr>
        <w:t>(12)</w:t>
      </w:r>
      <w:r w:rsidRPr="00132E65">
        <w:rPr>
          <w:rtl/>
          <w:lang w:bidi="fa-IR"/>
        </w:rPr>
        <w:t xml:space="preserve"> : إِنَّ </w:t>
      </w:r>
      <w:r w:rsidR="00D45062">
        <w:rPr>
          <w:rtl/>
          <w:lang w:bidi="fa-IR"/>
        </w:rPr>
        <w:t>الْإِمَامَ لَايَغْسِلُهُ إِل</w:t>
      </w:r>
      <w:r w:rsidR="00D45062">
        <w:rPr>
          <w:rFonts w:hint="cs"/>
          <w:rtl/>
          <w:lang w:bidi="fa-IR"/>
        </w:rPr>
        <w:t>َّ</w:t>
      </w:r>
      <w:r w:rsidR="00D45062">
        <w:rPr>
          <w:rtl/>
          <w:lang w:bidi="fa-IR"/>
        </w:rPr>
        <w:t>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تفسير القمّي : « قال »</w:t>
      </w:r>
      <w:r>
        <w:rPr>
          <w:rtl/>
        </w:rPr>
        <w:t>.</w:t>
      </w:r>
    </w:p>
    <w:p w:rsidR="000C39D1" w:rsidRPr="00132E65" w:rsidRDefault="000C39D1" w:rsidP="000C39D1">
      <w:pPr>
        <w:pStyle w:val="libFootnote0"/>
        <w:rPr>
          <w:rtl/>
          <w:lang w:bidi="fa-IR"/>
        </w:rPr>
      </w:pPr>
      <w:r>
        <w:rPr>
          <w:rtl/>
        </w:rPr>
        <w:t>(2).</w:t>
      </w:r>
      <w:r w:rsidRPr="00132E65">
        <w:rPr>
          <w:rtl/>
        </w:rPr>
        <w:t xml:space="preserve"> في تفسير القمّي :</w:t>
      </w:r>
      <w:r>
        <w:rPr>
          <w:rtl/>
        </w:rPr>
        <w:t xml:space="preserve"> + </w:t>
      </w:r>
      <w:r w:rsidRPr="00132E65">
        <w:rPr>
          <w:rtl/>
        </w:rPr>
        <w:t>« عَلَيّ »</w:t>
      </w:r>
      <w:r>
        <w:rPr>
          <w:rtl/>
        </w:rPr>
        <w:t>.</w:t>
      </w:r>
      <w:r w:rsidRPr="00132E65">
        <w:rPr>
          <w:rtl/>
        </w:rPr>
        <w:t xml:space="preserve"> وفي قوله </w:t>
      </w:r>
      <w:r w:rsidRPr="00D45062">
        <w:rPr>
          <w:rStyle w:val="libFootnoteAlaemChar"/>
          <w:rtl/>
        </w:rPr>
        <w:t>عليه‌السلام</w:t>
      </w:r>
      <w:r w:rsidRPr="00132E65">
        <w:rPr>
          <w:rtl/>
        </w:rPr>
        <w:t xml:space="preserve"> : « وما ينكرون » وجوه أربعة : الأوّل أن تكون « ما » نافية. الثاني أن تكون استفهاميّة ، </w:t>
      </w:r>
      <w:r>
        <w:rPr>
          <w:rtl/>
        </w:rPr>
        <w:t>و «</w:t>
      </w:r>
      <w:r w:rsidRPr="00132E65">
        <w:rPr>
          <w:rtl/>
        </w:rPr>
        <w:t xml:space="preserve"> قول الله » استفهام آخر. الثالث أن تكون « ما » استفهاميّة ، </w:t>
      </w:r>
      <w:r>
        <w:rPr>
          <w:rtl/>
        </w:rPr>
        <w:t>و «</w:t>
      </w:r>
      <w:r w:rsidRPr="00132E65">
        <w:rPr>
          <w:rtl/>
        </w:rPr>
        <w:t xml:space="preserve"> قول الله » مبتدأ ، </w:t>
      </w:r>
      <w:r>
        <w:rPr>
          <w:rtl/>
        </w:rPr>
        <w:t>و «</w:t>
      </w:r>
      <w:r w:rsidR="00936037">
        <w:rPr>
          <w:rtl/>
        </w:rPr>
        <w:t xml:space="preserve"> من ذلك</w:t>
      </w:r>
      <w:r w:rsidRPr="00132E65">
        <w:rPr>
          <w:rtl/>
        </w:rPr>
        <w:t xml:space="preserve">» خبره. الرابع أن تكون « ما » موصولة ، </w:t>
      </w:r>
      <w:r>
        <w:rPr>
          <w:rtl/>
        </w:rPr>
        <w:t>و «</w:t>
      </w:r>
      <w:r w:rsidRPr="00132E65">
        <w:rPr>
          <w:rtl/>
        </w:rPr>
        <w:t xml:space="preserve"> قول » خبره ، </w:t>
      </w:r>
      <w:r>
        <w:rPr>
          <w:rtl/>
        </w:rPr>
        <w:t>و «</w:t>
      </w:r>
      <w:r w:rsidRPr="00132E65">
        <w:rPr>
          <w:rtl/>
        </w:rPr>
        <w:t xml:space="preserve"> لقد » استينافاً بيانيّاً. راجع : </w:t>
      </w:r>
      <w:r w:rsidRPr="009D1ACE">
        <w:rPr>
          <w:rStyle w:val="libFootnoteBoldChar"/>
          <w:rtl/>
        </w:rPr>
        <w:t>مرآة العقول</w:t>
      </w:r>
      <w:r w:rsidRPr="00132E65">
        <w:rPr>
          <w:rtl/>
        </w:rPr>
        <w:t xml:space="preserve"> ، ج 4 ، ص 251.</w:t>
      </w:r>
    </w:p>
    <w:p w:rsidR="000C39D1" w:rsidRPr="00132E65" w:rsidRDefault="000C39D1" w:rsidP="000C39D1">
      <w:pPr>
        <w:pStyle w:val="libFootnote0"/>
        <w:rPr>
          <w:rtl/>
          <w:lang w:bidi="fa-IR"/>
        </w:rPr>
      </w:pPr>
      <w:r>
        <w:rPr>
          <w:rtl/>
        </w:rPr>
        <w:t>(3).</w:t>
      </w:r>
      <w:r w:rsidRPr="00132E65">
        <w:rPr>
          <w:rtl/>
        </w:rPr>
        <w:t xml:space="preserve"> في تفسير القمّي : « فوالله » بدل « قول الله »</w:t>
      </w:r>
      <w:r>
        <w:rPr>
          <w:rtl/>
        </w:rPr>
        <w:t>.</w:t>
      </w:r>
    </w:p>
    <w:p w:rsidR="000C39D1" w:rsidRPr="00132E65" w:rsidRDefault="000C39D1" w:rsidP="000C39D1">
      <w:pPr>
        <w:pStyle w:val="libFootnote0"/>
        <w:rPr>
          <w:rtl/>
          <w:lang w:bidi="fa-IR"/>
        </w:rPr>
      </w:pPr>
      <w:r>
        <w:rPr>
          <w:rtl/>
        </w:rPr>
        <w:t>(4).</w:t>
      </w:r>
      <w:r w:rsidRPr="00132E65">
        <w:rPr>
          <w:rtl/>
        </w:rPr>
        <w:t xml:space="preserve"> يوسف </w:t>
      </w:r>
      <w:r w:rsidR="00D45062">
        <w:rPr>
          <w:rtl/>
        </w:rPr>
        <w:t>(12)</w:t>
      </w:r>
      <w:r w:rsidRPr="00132E65">
        <w:rPr>
          <w:rtl/>
        </w:rPr>
        <w:t xml:space="preserve"> : 108.</w:t>
      </w:r>
    </w:p>
    <w:p w:rsidR="000C39D1" w:rsidRPr="00132E65" w:rsidRDefault="000C39D1" w:rsidP="000C39D1">
      <w:pPr>
        <w:pStyle w:val="libFootnote0"/>
        <w:rPr>
          <w:rtl/>
          <w:lang w:bidi="fa-IR"/>
        </w:rPr>
      </w:pPr>
      <w:r>
        <w:rPr>
          <w:rtl/>
        </w:rPr>
        <w:t>(5).</w:t>
      </w:r>
      <w:r w:rsidRPr="00132E65">
        <w:rPr>
          <w:rtl/>
        </w:rPr>
        <w:t xml:space="preserve"> في « بر » :</w:t>
      </w:r>
      <w:r>
        <w:rPr>
          <w:rtl/>
        </w:rPr>
        <w:t xml:space="preserve"> + </w:t>
      </w:r>
      <w:r w:rsidRPr="00132E65">
        <w:rPr>
          <w:rtl/>
        </w:rPr>
        <w:t xml:space="preserve">« </w:t>
      </w:r>
      <w:r>
        <w:rPr>
          <w:rtl/>
        </w:rPr>
        <w:t>و ».</w:t>
      </w:r>
      <w:r w:rsidRPr="00132E65">
        <w:rPr>
          <w:rtl/>
        </w:rPr>
        <w:t xml:space="preserve"> وفي تفسير القمّي </w:t>
      </w:r>
      <w:r>
        <w:rPr>
          <w:rtl/>
        </w:rPr>
        <w:t xml:space="preserve">: - </w:t>
      </w:r>
      <w:r w:rsidRPr="00132E65">
        <w:rPr>
          <w:rtl/>
        </w:rPr>
        <w:t>« فوالله »</w:t>
      </w:r>
      <w:r>
        <w:rPr>
          <w:rtl/>
        </w:rPr>
        <w:t>.</w:t>
      </w:r>
    </w:p>
    <w:p w:rsidR="000C39D1" w:rsidRPr="00132E65" w:rsidRDefault="000C39D1" w:rsidP="000C39D1">
      <w:pPr>
        <w:pStyle w:val="libFootnote0"/>
        <w:rPr>
          <w:rtl/>
          <w:lang w:bidi="fa-IR"/>
        </w:rPr>
      </w:pPr>
      <w:r>
        <w:rPr>
          <w:rtl/>
        </w:rPr>
        <w:t>(6).</w:t>
      </w:r>
      <w:r w:rsidRPr="00132E65">
        <w:rPr>
          <w:rtl/>
        </w:rPr>
        <w:t xml:space="preserve"> في « ف » و</w:t>
      </w:r>
      <w:r w:rsidRPr="009D1ACE">
        <w:rPr>
          <w:rStyle w:val="libFootnoteBoldChar"/>
          <w:rtl/>
        </w:rPr>
        <w:t>مرآة العقول</w:t>
      </w:r>
      <w:r w:rsidRPr="00132E65">
        <w:rPr>
          <w:rtl/>
        </w:rPr>
        <w:t xml:space="preserve"> : « ما</w:t>
      </w:r>
      <w:r>
        <w:rPr>
          <w:rFonts w:hint="cs"/>
          <w:rtl/>
        </w:rPr>
        <w:t xml:space="preserve"> </w:t>
      </w:r>
      <w:r w:rsidRPr="00132E65">
        <w:rPr>
          <w:rtl/>
        </w:rPr>
        <w:t>اتّبعه »</w:t>
      </w:r>
      <w:r>
        <w:rPr>
          <w:rtl/>
        </w:rPr>
        <w:t>.</w:t>
      </w:r>
    </w:p>
    <w:p w:rsidR="000C39D1" w:rsidRPr="00132E65" w:rsidRDefault="000C39D1" w:rsidP="000C39D1">
      <w:pPr>
        <w:pStyle w:val="libFootnote0"/>
        <w:rPr>
          <w:rtl/>
          <w:lang w:bidi="fa-IR"/>
        </w:rPr>
      </w:pPr>
      <w:r>
        <w:rPr>
          <w:rtl/>
        </w:rPr>
        <w:t>(7).</w:t>
      </w:r>
      <w:r w:rsidRPr="00132E65">
        <w:rPr>
          <w:rtl/>
        </w:rPr>
        <w:t xml:space="preserve"> في تفسير القمّي : « فما اتّبعه غير عليّ </w:t>
      </w:r>
      <w:r w:rsidRPr="00D45062">
        <w:rPr>
          <w:rStyle w:val="libFootnoteAlaemChar"/>
          <w:rtl/>
        </w:rPr>
        <w:t>عليه‌السلام</w:t>
      </w:r>
      <w:r w:rsidRPr="00132E65">
        <w:rPr>
          <w:rtl/>
        </w:rPr>
        <w:t xml:space="preserve"> وكان ابن » بدل « فوالله ما تبعه</w:t>
      </w:r>
      <w:r w:rsidR="00D45062">
        <w:rPr>
          <w:rtl/>
        </w:rPr>
        <w:t xml:space="preserve"> إل</w:t>
      </w:r>
      <w:r w:rsidR="00D45062">
        <w:rPr>
          <w:rFonts w:hint="cs"/>
          <w:rtl/>
        </w:rPr>
        <w:t>ّ</w:t>
      </w:r>
      <w:r w:rsidR="00D45062">
        <w:rPr>
          <w:rtl/>
        </w:rPr>
        <w:t>ا</w:t>
      </w:r>
      <w:r w:rsidRPr="00132E65">
        <w:rPr>
          <w:rtl/>
        </w:rPr>
        <w:t xml:space="preserve">عليّ </w:t>
      </w:r>
      <w:r w:rsidRPr="00D45062">
        <w:rPr>
          <w:rStyle w:val="libFootnoteAlaemChar"/>
          <w:rtl/>
        </w:rPr>
        <w:t>عليه‌السلام</w:t>
      </w:r>
      <w:r w:rsidRPr="00132E65">
        <w:rPr>
          <w:rtl/>
        </w:rPr>
        <w:t xml:space="preserve"> وله »</w:t>
      </w:r>
      <w:r>
        <w:rPr>
          <w:rtl/>
        </w:rPr>
        <w:t>.</w:t>
      </w:r>
    </w:p>
    <w:p w:rsidR="000C39D1" w:rsidRPr="00132E65" w:rsidRDefault="000C39D1" w:rsidP="000C39D1">
      <w:pPr>
        <w:pStyle w:val="libFootnote0"/>
        <w:rPr>
          <w:rtl/>
          <w:lang w:bidi="fa-IR"/>
        </w:rPr>
      </w:pPr>
      <w:r>
        <w:rPr>
          <w:rtl/>
        </w:rPr>
        <w:t>(8).</w:t>
      </w:r>
      <w:r w:rsidRPr="00132E65">
        <w:rPr>
          <w:rtl/>
        </w:rPr>
        <w:t xml:space="preserve"> </w:t>
      </w:r>
      <w:r w:rsidRPr="00D45062">
        <w:rPr>
          <w:rStyle w:val="libFootnoteBoldChar"/>
          <w:rtl/>
        </w:rPr>
        <w:t>تفسير القمّي</w:t>
      </w:r>
      <w:r w:rsidRPr="00132E65">
        <w:rPr>
          <w:rtl/>
        </w:rPr>
        <w:t xml:space="preserve"> ، ج 1 ، ص 358 ، عن عليّ بن إبراهيم ، عن أبيه ، عن ابن أسباط ، عن أبي جعفر الثاني </w:t>
      </w:r>
      <w:r w:rsidRPr="00D45062">
        <w:rPr>
          <w:rStyle w:val="libFootnoteAlaemChar"/>
          <w:rtl/>
        </w:rPr>
        <w:t>عليه‌السلام</w:t>
      </w:r>
      <w:r w:rsidRPr="00132E65">
        <w:rPr>
          <w:rtl/>
        </w:rPr>
        <w:t xml:space="preserve">. وفي </w:t>
      </w:r>
      <w:r w:rsidRPr="00D45062">
        <w:rPr>
          <w:rStyle w:val="libFootnoteBoldChar"/>
          <w:rtl/>
        </w:rPr>
        <w:t>تفسير العيّاشي</w:t>
      </w:r>
      <w:r w:rsidRPr="00132E65">
        <w:rPr>
          <w:rtl/>
        </w:rPr>
        <w:t xml:space="preserve"> ، ج 2 ، ص 200 ، ح 100 ، عن عليّ بن أسباط ، عن أبي الحسن الثاني </w:t>
      </w:r>
      <w:r w:rsidRPr="00D45062">
        <w:rPr>
          <w:rStyle w:val="libFootnoteAlaemChar"/>
          <w:rtl/>
        </w:rPr>
        <w:t>عليه‌السلام</w:t>
      </w:r>
      <w:r w:rsidRPr="00132E65">
        <w:rPr>
          <w:rtl/>
        </w:rPr>
        <w:t xml:space="preserve"> ، مع زيادة. راجع : </w:t>
      </w:r>
      <w:r w:rsidRPr="00D45062">
        <w:rPr>
          <w:rStyle w:val="libFootnoteBoldChar"/>
          <w:rtl/>
        </w:rPr>
        <w:t>تفسير القمّي</w:t>
      </w:r>
      <w:r w:rsidRPr="00132E65">
        <w:rPr>
          <w:rtl/>
        </w:rPr>
        <w:t xml:space="preserve"> ، ج 1 ، ص 358 ؛ </w:t>
      </w:r>
      <w:r w:rsidRPr="00D45062">
        <w:rPr>
          <w:rStyle w:val="libFootnoteBoldChar"/>
          <w:rtl/>
        </w:rPr>
        <w:t>وتفسير العيّاشي</w:t>
      </w:r>
      <w:r w:rsidRPr="00132E65">
        <w:rPr>
          <w:rtl/>
        </w:rPr>
        <w:t xml:space="preserve"> ، ج 2 ، ص 200 </w:t>
      </w:r>
      <w:r>
        <w:rPr>
          <w:rtl/>
        </w:rPr>
        <w:t>و 2</w:t>
      </w:r>
      <w:r w:rsidRPr="00132E65">
        <w:rPr>
          <w:rtl/>
        </w:rPr>
        <w:t xml:space="preserve">01 ، ح 99 </w:t>
      </w:r>
      <w:r>
        <w:rPr>
          <w:rtl/>
        </w:rPr>
        <w:t>و 1</w:t>
      </w:r>
      <w:r w:rsidRPr="00132E65">
        <w:rPr>
          <w:rtl/>
        </w:rPr>
        <w:t xml:space="preserve">01 ؛ </w:t>
      </w:r>
      <w:r w:rsidRPr="00D45062">
        <w:rPr>
          <w:rStyle w:val="libFootnoteBoldChar"/>
          <w:rtl/>
        </w:rPr>
        <w:t>وتفسير فرات</w:t>
      </w:r>
      <w:r w:rsidRPr="00D37CF8">
        <w:rPr>
          <w:rtl/>
        </w:rPr>
        <w:t xml:space="preserve"> </w:t>
      </w:r>
      <w:r w:rsidRPr="00132E65">
        <w:rPr>
          <w:rtl/>
        </w:rPr>
        <w:t>، ص 201</w:t>
      </w:r>
      <w:r>
        <w:rPr>
          <w:rtl/>
        </w:rPr>
        <w:t xml:space="preserve"> - </w:t>
      </w:r>
      <w:r w:rsidRPr="00132E65">
        <w:rPr>
          <w:rtl/>
        </w:rPr>
        <w:t>202 ، ح 264</w:t>
      </w:r>
      <w:r>
        <w:rPr>
          <w:rtl/>
        </w:rPr>
        <w:t xml:space="preserve"> - </w:t>
      </w:r>
      <w:r w:rsidRPr="00132E65">
        <w:rPr>
          <w:rtl/>
        </w:rPr>
        <w:t xml:space="preserve">267 </w:t>
      </w:r>
      <w:r w:rsidR="00D45062">
        <w:rPr>
          <w:rFonts w:hint="cs"/>
          <w:rtl/>
        </w:rPr>
        <w:t>.</w:t>
      </w:r>
      <w:r w:rsidRPr="009D1ACE">
        <w:rPr>
          <w:rStyle w:val="libFootnoteBoldChar"/>
          <w:rtl/>
        </w:rPr>
        <w:t>الوافي</w:t>
      </w:r>
      <w:r w:rsidRPr="00132E65">
        <w:rPr>
          <w:rtl/>
        </w:rPr>
        <w:t xml:space="preserve"> ، ج 2 ، ص 378 ، ح 862.</w:t>
      </w:r>
    </w:p>
    <w:p w:rsidR="000C39D1" w:rsidRPr="00132E65" w:rsidRDefault="000C39D1" w:rsidP="00D45062">
      <w:pPr>
        <w:pStyle w:val="libFootnote0"/>
        <w:rPr>
          <w:rtl/>
          <w:lang w:bidi="fa-IR"/>
        </w:rPr>
      </w:pPr>
      <w:r>
        <w:rPr>
          <w:rtl/>
        </w:rPr>
        <w:t>(9).</w:t>
      </w:r>
      <w:r w:rsidRPr="00132E65">
        <w:rPr>
          <w:rtl/>
        </w:rPr>
        <w:t xml:space="preserve"> في « ض ، ف ، بح ، بر » : « لا يغسّله » بالتضعيف. ويجوز فيه التخفيف والتضعيف واختلفت النسخ في جميع الموارد الآتية ، واخترنا فيها المجرّد.</w:t>
      </w:r>
      <w:r w:rsidR="00D45062">
        <w:rPr>
          <w:rFonts w:hint="cs"/>
          <w:rtl/>
        </w:rPr>
        <w:t xml:space="preserve">                      </w:t>
      </w:r>
      <w:r>
        <w:rPr>
          <w:rtl/>
        </w:rPr>
        <w:t>(10).</w:t>
      </w:r>
      <w:r w:rsidRPr="00132E65">
        <w:rPr>
          <w:rtl/>
        </w:rPr>
        <w:t xml:space="preserve"> في « بف » </w:t>
      </w:r>
      <w:r>
        <w:rPr>
          <w:rtl/>
        </w:rPr>
        <w:t xml:space="preserve">: - </w:t>
      </w:r>
      <w:r w:rsidRPr="00132E65">
        <w:rPr>
          <w:rtl/>
        </w:rPr>
        <w:t>« إمام من »</w:t>
      </w:r>
      <w:r>
        <w:rPr>
          <w:rtl/>
        </w:rPr>
        <w:t>.</w:t>
      </w:r>
    </w:p>
    <w:p w:rsidR="00936037" w:rsidRDefault="000C39D1" w:rsidP="00936037">
      <w:pPr>
        <w:pStyle w:val="libFootnote0"/>
        <w:rPr>
          <w:rtl/>
        </w:rPr>
      </w:pPr>
      <w:r>
        <w:rPr>
          <w:rtl/>
        </w:rPr>
        <w:t>(11).</w:t>
      </w:r>
      <w:r w:rsidRPr="00132E65">
        <w:rPr>
          <w:rtl/>
        </w:rPr>
        <w:t xml:space="preserve"> في شرح المازندراني : « يحاجّوننا »</w:t>
      </w:r>
      <w:r>
        <w:rPr>
          <w:rtl/>
        </w:rPr>
        <w:t>.</w:t>
      </w:r>
      <w:r w:rsidRPr="00132E65">
        <w:rPr>
          <w:rtl/>
        </w:rPr>
        <w:t xml:space="preserve"> قال في </w:t>
      </w:r>
      <w:r w:rsidRPr="00D45062">
        <w:rPr>
          <w:rStyle w:val="libFootnoteBoldChar"/>
          <w:rtl/>
        </w:rPr>
        <w:t>النحو</w:t>
      </w:r>
      <w:r w:rsidRPr="00D37CF8">
        <w:rPr>
          <w:rtl/>
        </w:rPr>
        <w:t xml:space="preserve"> </w:t>
      </w:r>
      <w:r w:rsidRPr="009D1ACE">
        <w:rPr>
          <w:rStyle w:val="libFootnoteBoldChar"/>
          <w:rtl/>
        </w:rPr>
        <w:t>الوافي</w:t>
      </w:r>
      <w:r w:rsidRPr="00132E65">
        <w:rPr>
          <w:rtl/>
        </w:rPr>
        <w:t xml:space="preserve"> ، ج 1 ، ص 163 : « هناك لغة تحذف نون الرفع ( </w:t>
      </w:r>
      <w:r w:rsidRPr="00D45062">
        <w:rPr>
          <w:rStyle w:val="libFootnoteBoldChar"/>
          <w:rtl/>
        </w:rPr>
        <w:t>أي</w:t>
      </w:r>
      <w:r w:rsidR="00D45062">
        <w:rPr>
          <w:rStyle w:val="libFootnoteBoldChar"/>
          <w:rFonts w:hint="cs"/>
          <w:rtl/>
        </w:rPr>
        <w:t xml:space="preserve"> </w:t>
      </w:r>
      <w:r w:rsidRPr="00D45062">
        <w:rPr>
          <w:rStyle w:val="libFootnoteBoldChar"/>
          <w:rtl/>
        </w:rPr>
        <w:t>‌نون الأفعال الخمسة</w:t>
      </w:r>
      <w:r w:rsidRPr="00132E65">
        <w:rPr>
          <w:rtl/>
        </w:rPr>
        <w:t xml:space="preserve"> ) في غير ما سبق » ومراده من غير ما سبق أي بلا جازم وناصب ؛ فلا يحتاج إلى تشديد النون.</w:t>
      </w:r>
    </w:p>
    <w:p w:rsidR="000C39D1" w:rsidRPr="00132E65" w:rsidRDefault="000C39D1" w:rsidP="00936037">
      <w:pPr>
        <w:pStyle w:val="libFootnote0"/>
        <w:rPr>
          <w:rtl/>
          <w:lang w:bidi="fa-IR"/>
        </w:rPr>
      </w:pPr>
      <w:r>
        <w:rPr>
          <w:rtl/>
        </w:rPr>
        <w:t>(12).</w:t>
      </w:r>
      <w:r w:rsidRPr="00132E65">
        <w:rPr>
          <w:rtl/>
        </w:rPr>
        <w:t xml:space="preserve"> في « ف » : « ويقولون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الْإِمَامُ </w:t>
      </w:r>
      <w:r>
        <w:rPr>
          <w:rStyle w:val="libFootnotenumChar"/>
          <w:rtl/>
        </w:rPr>
        <w:t>(1)</w:t>
      </w:r>
      <w:r>
        <w:rPr>
          <w:rtl/>
          <w:lang w:bidi="fa-IR"/>
        </w:rPr>
        <w:t>؟</w:t>
      </w:r>
    </w:p>
    <w:p w:rsidR="000C39D1" w:rsidRPr="00132E65" w:rsidRDefault="000C39D1" w:rsidP="00D45062">
      <w:pPr>
        <w:pStyle w:val="libNormal"/>
        <w:rPr>
          <w:rtl/>
          <w:lang w:bidi="fa-IR"/>
        </w:rPr>
      </w:pPr>
      <w:r w:rsidRPr="00132E65">
        <w:rPr>
          <w:rtl/>
          <w:lang w:bidi="fa-IR"/>
        </w:rPr>
        <w:t>قَالَ : فَقَالَ : « مَا يُدْرِيهِمْ مَنْ غَسَلَهُ</w:t>
      </w:r>
      <w:r>
        <w:rPr>
          <w:rtl/>
          <w:lang w:bidi="fa-IR"/>
        </w:rPr>
        <w:t>؟</w:t>
      </w:r>
      <w:r w:rsidRPr="00132E65">
        <w:rPr>
          <w:rtl/>
          <w:lang w:bidi="fa-IR"/>
        </w:rPr>
        <w:t xml:space="preserve"> فَمَا قُلْتَ لَهُمْ</w:t>
      </w:r>
      <w:r>
        <w:rPr>
          <w:rtl/>
          <w:lang w:bidi="fa-IR"/>
        </w:rPr>
        <w:t>؟</w:t>
      </w:r>
      <w:r w:rsidR="00D45062">
        <w:rPr>
          <w:rtl/>
          <w:lang w:bidi="fa-IR"/>
        </w:rPr>
        <w:t xml:space="preserve"> »</w:t>
      </w:r>
    </w:p>
    <w:p w:rsidR="000C39D1" w:rsidRPr="00132E65" w:rsidRDefault="000C39D1" w:rsidP="000C39D1">
      <w:pPr>
        <w:pStyle w:val="libNormal"/>
        <w:rPr>
          <w:rtl/>
          <w:lang w:bidi="fa-IR"/>
        </w:rPr>
      </w:pPr>
      <w:r w:rsidRPr="00132E65">
        <w:rPr>
          <w:rtl/>
          <w:lang w:bidi="fa-IR"/>
        </w:rPr>
        <w:t xml:space="preserve">قَالَ : قُلْتُ </w:t>
      </w:r>
      <w:r>
        <w:rPr>
          <w:rStyle w:val="libFootnotenumChar"/>
          <w:rtl/>
        </w:rPr>
        <w:t>(2)</w:t>
      </w:r>
      <w:r w:rsidRPr="00132E65">
        <w:rPr>
          <w:rtl/>
          <w:lang w:bidi="fa-IR"/>
        </w:rPr>
        <w:t xml:space="preserve"> : جُعِلْتُ فِدَاكَ ، قُلْتُ لَهُمْ : إِنْ قَالَ مَوْلَايَ : إِنَّهُ غَسَلَهُ تَحْتَ عَرْشِ رَبِّي ، فَقَدْ صَدَقَ ، وإِنْ قَالَ : غَسَلَهُ فِي تُخُومِ </w:t>
      </w:r>
      <w:r>
        <w:rPr>
          <w:rStyle w:val="libFootnotenumChar"/>
          <w:rtl/>
        </w:rPr>
        <w:t>(3)</w:t>
      </w:r>
      <w:r w:rsidRPr="00132E65">
        <w:rPr>
          <w:rtl/>
          <w:lang w:bidi="fa-IR"/>
        </w:rPr>
        <w:t xml:space="preserve"> الْأَرْضِ ، فَقَدْ صَدَقَ. قَالَ : « لَا هكَذَا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(4)</w:t>
      </w:r>
      <w:r w:rsidRPr="00132E65">
        <w:rPr>
          <w:rtl/>
          <w:lang w:bidi="fa-IR"/>
        </w:rPr>
        <w:t xml:space="preserve"> : فَقُلْتُ </w:t>
      </w:r>
      <w:r>
        <w:rPr>
          <w:rStyle w:val="libFootnotenumChar"/>
          <w:rtl/>
        </w:rPr>
        <w:t>(5)</w:t>
      </w:r>
      <w:r w:rsidRPr="00132E65">
        <w:rPr>
          <w:rtl/>
          <w:lang w:bidi="fa-IR"/>
        </w:rPr>
        <w:t xml:space="preserve"> : فَمَا أَقُولُ لَهُمْ</w:t>
      </w:r>
      <w:r>
        <w:rPr>
          <w:rtl/>
          <w:lang w:bidi="fa-IR"/>
        </w:rPr>
        <w:t>؟</w:t>
      </w:r>
      <w:r w:rsidRPr="00132E65">
        <w:rPr>
          <w:rtl/>
          <w:lang w:bidi="fa-IR"/>
        </w:rPr>
        <w:t xml:space="preserve"> قَالَ : « قُلْ لَهُمْ : إِنِّي غَسَلْتُهُ »</w:t>
      </w:r>
      <w:r>
        <w:rPr>
          <w:rtl/>
          <w:lang w:bidi="fa-IR"/>
        </w:rPr>
        <w:t>.</w:t>
      </w:r>
      <w:r w:rsidRPr="00132E65">
        <w:rPr>
          <w:rtl/>
          <w:lang w:bidi="fa-IR"/>
        </w:rPr>
        <w:t xml:space="preserve"> فَقُلْتُ : أَقُولُ لَهُمْ : إِنَّكَ غَسَلْتَهُ</w:t>
      </w:r>
      <w:r>
        <w:rPr>
          <w:rtl/>
          <w:lang w:bidi="fa-IR"/>
        </w:rPr>
        <w:t>؟</w:t>
      </w:r>
      <w:r w:rsidRPr="00132E65">
        <w:rPr>
          <w:rtl/>
          <w:lang w:bidi="fa-IR"/>
        </w:rPr>
        <w:t xml:space="preserve"> فَقَالَ : « نَعَمْ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D37CF8">
        <w:rPr>
          <w:rtl/>
        </w:rPr>
        <w:t>1004</w:t>
      </w:r>
      <w:r w:rsidRPr="004325D8">
        <w:rPr>
          <w:rStyle w:val="libBold2Char"/>
          <w:rtl/>
        </w:rPr>
        <w:t xml:space="preserve"> / 2.</w:t>
      </w:r>
      <w:r w:rsidRPr="00132E65">
        <w:rPr>
          <w:rtl/>
          <w:lang w:bidi="fa-IR"/>
        </w:rPr>
        <w:t xml:space="preserve"> الْحُسَيْنُ بْنُ مُحَمَّدٍ ، عَنْ مُعَلَّى بْنِ مُحَمَّدٍ ، عَنْ مُحَمَّدِ بْنِ جُمْهُورٍ ، قَالَ :</w:t>
      </w:r>
      <w:r>
        <w:rPr>
          <w:rFonts w:hint="cs"/>
          <w:rtl/>
          <w:lang w:bidi="fa-IR"/>
        </w:rPr>
        <w:t xml:space="preserve"> </w:t>
      </w:r>
      <w:r w:rsidRPr="00132E65">
        <w:rPr>
          <w:rtl/>
          <w:lang w:bidi="fa-IR"/>
        </w:rPr>
        <w:t>حَدَّثَنَا أَبُو مَعْمَرٍ ، قَالَ :</w:t>
      </w:r>
    </w:p>
    <w:p w:rsidR="000C39D1" w:rsidRPr="00132E65" w:rsidRDefault="000C39D1" w:rsidP="000C39D1">
      <w:pPr>
        <w:pStyle w:val="libNormal"/>
        <w:rPr>
          <w:rtl/>
          <w:lang w:bidi="fa-IR"/>
        </w:rPr>
      </w:pPr>
      <w:r w:rsidRPr="00132E65">
        <w:rPr>
          <w:rtl/>
          <w:lang w:bidi="fa-IR"/>
        </w:rPr>
        <w:t xml:space="preserve">سَأَلْتُ الرِّضَا </w:t>
      </w:r>
      <w:r w:rsidRPr="00071CF9">
        <w:rPr>
          <w:rStyle w:val="libAlaemChar"/>
          <w:rtl/>
        </w:rPr>
        <w:t>عليه‌السلام</w:t>
      </w:r>
      <w:r w:rsidRPr="00132E65">
        <w:rPr>
          <w:rtl/>
          <w:lang w:bidi="fa-IR"/>
        </w:rPr>
        <w:t xml:space="preserve"> عَنِ الْإِمَامِ يَغْسِلُهُ الْإِمَامُ</w:t>
      </w:r>
      <w:r>
        <w:rPr>
          <w:rtl/>
          <w:lang w:bidi="fa-IR"/>
        </w:rPr>
        <w:t>؟</w:t>
      </w:r>
    </w:p>
    <w:p w:rsidR="000C39D1" w:rsidRPr="00132E65" w:rsidRDefault="000C39D1" w:rsidP="000C39D1">
      <w:pPr>
        <w:pStyle w:val="libNormal"/>
        <w:rPr>
          <w:rtl/>
          <w:lang w:bidi="fa-IR"/>
        </w:rPr>
      </w:pPr>
      <w:r w:rsidRPr="00132E65">
        <w:rPr>
          <w:rtl/>
          <w:lang w:bidi="fa-IR"/>
        </w:rPr>
        <w:t xml:space="preserve">قَالَ : « سُنَّةُ مُوسَى بْنِ عِمْرَانَ </w:t>
      </w:r>
      <w:r>
        <w:rPr>
          <w:rStyle w:val="libFootnotenumChar"/>
          <w:rtl/>
        </w:rPr>
        <w:t>(8)</w:t>
      </w:r>
      <w:r w:rsidRPr="00132E65">
        <w:rPr>
          <w:rtl/>
          <w:lang w:bidi="fa-IR"/>
        </w:rPr>
        <w:t xml:space="preserve">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D37CF8">
        <w:rPr>
          <w:rtl/>
        </w:rPr>
        <w:t>1005</w:t>
      </w:r>
      <w:r w:rsidRPr="004325D8">
        <w:rPr>
          <w:rStyle w:val="libBold2Char"/>
          <w:rtl/>
        </w:rPr>
        <w:t xml:space="preserve"> / 3.</w:t>
      </w:r>
      <w:r w:rsidRPr="00132E65">
        <w:rPr>
          <w:rtl/>
          <w:lang w:bidi="fa-IR"/>
        </w:rPr>
        <w:t xml:space="preserve"> و</w:t>
      </w:r>
      <w:r w:rsidR="00D45062">
        <w:rPr>
          <w:rFonts w:hint="cs"/>
          <w:rtl/>
          <w:lang w:bidi="fa-IR"/>
        </w:rPr>
        <w:t>َ</w:t>
      </w:r>
      <w:r w:rsidRPr="00132E65">
        <w:rPr>
          <w:rtl/>
          <w:lang w:bidi="fa-IR"/>
        </w:rPr>
        <w:t>عَنْهُ ، عَنْ مُعَلَّى بْنِ مُحَمَّدٍ ، عَنْ مُحَمَّدِ بْنِ جُمْهُورٍ ، عَنْ يُونُسَ ، عَنْ طَلْحَةَ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بح » وحاشية « بر » : « إمام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بح ، بر ، بس ، بف » و</w:t>
      </w:r>
      <w:r w:rsidRPr="009D1ACE">
        <w:rPr>
          <w:rStyle w:val="libFootnoteBoldChar"/>
          <w:rtl/>
        </w:rPr>
        <w:t>الوافي</w:t>
      </w:r>
      <w:r w:rsidRPr="00132E65">
        <w:rPr>
          <w:rtl/>
        </w:rPr>
        <w:t xml:space="preserve"> </w:t>
      </w:r>
      <w:r w:rsidRPr="00D45062">
        <w:rPr>
          <w:rStyle w:val="libFootnoteBoldChar"/>
          <w:rtl/>
        </w:rPr>
        <w:t>والبحار</w:t>
      </w:r>
      <w:r w:rsidRPr="00132E65">
        <w:rPr>
          <w:rtl/>
        </w:rPr>
        <w:t>. وفي المطبوع : « فقلت »</w:t>
      </w:r>
      <w:r>
        <w:rPr>
          <w:rtl/>
        </w:rPr>
        <w:t>.</w:t>
      </w:r>
    </w:p>
    <w:p w:rsidR="000C39D1" w:rsidRPr="00132E65" w:rsidRDefault="000C39D1" w:rsidP="000C39D1">
      <w:pPr>
        <w:pStyle w:val="libFootnote0"/>
        <w:rPr>
          <w:rtl/>
          <w:lang w:bidi="fa-IR"/>
        </w:rPr>
      </w:pPr>
      <w:r>
        <w:rPr>
          <w:rtl/>
        </w:rPr>
        <w:t>(3).</w:t>
      </w:r>
      <w:r w:rsidRPr="00132E65">
        <w:rPr>
          <w:rtl/>
        </w:rPr>
        <w:t xml:space="preserve"> في « بح » : « تحت »</w:t>
      </w:r>
      <w:r>
        <w:rPr>
          <w:rtl/>
        </w:rPr>
        <w:t>.</w:t>
      </w:r>
      <w:r w:rsidRPr="00132E65">
        <w:rPr>
          <w:rtl/>
        </w:rPr>
        <w:t xml:space="preserve"> وفي حاشية « بر » : « تحت تخوم »</w:t>
      </w:r>
      <w:r>
        <w:rPr>
          <w:rtl/>
        </w:rPr>
        <w:t>.</w:t>
      </w:r>
      <w:r w:rsidRPr="00132E65">
        <w:rPr>
          <w:rtl/>
        </w:rPr>
        <w:t xml:space="preserve"> </w:t>
      </w:r>
      <w:r>
        <w:rPr>
          <w:rtl/>
        </w:rPr>
        <w:t>و «</w:t>
      </w:r>
      <w:r w:rsidRPr="00132E65">
        <w:rPr>
          <w:rtl/>
        </w:rPr>
        <w:t xml:space="preserve"> التُخُوم » : الفصل بين الأرَضين من الحدود والمعالم. </w:t>
      </w:r>
      <w:r w:rsidRPr="009D1ACE">
        <w:rPr>
          <w:rStyle w:val="libFootnoteBoldChar"/>
          <w:rtl/>
        </w:rPr>
        <w:t>لسان العرب</w:t>
      </w:r>
      <w:r w:rsidRPr="00132E65">
        <w:rPr>
          <w:rtl/>
        </w:rPr>
        <w:t xml:space="preserve"> ، ج 12 ، ص 64 ( تخم )</w:t>
      </w:r>
      <w:r>
        <w:rPr>
          <w:rtl/>
        </w:rPr>
        <w:t>.</w:t>
      </w:r>
    </w:p>
    <w:p w:rsidR="000C39D1" w:rsidRPr="00132E65" w:rsidRDefault="000C39D1" w:rsidP="000C39D1">
      <w:pPr>
        <w:pStyle w:val="libFootnote0"/>
        <w:rPr>
          <w:rtl/>
          <w:lang w:bidi="fa-IR"/>
        </w:rPr>
      </w:pPr>
      <w:r>
        <w:rPr>
          <w:rtl/>
        </w:rPr>
        <w:t>(4).</w:t>
      </w:r>
      <w:r w:rsidRPr="00132E65">
        <w:rPr>
          <w:rtl/>
        </w:rPr>
        <w:t xml:space="preserve"> في « ب ، ج ، بف » و</w:t>
      </w:r>
      <w:r w:rsidRPr="009D1ACE">
        <w:rPr>
          <w:rStyle w:val="libFootnoteBoldChar"/>
          <w:rtl/>
        </w:rPr>
        <w:t>الوافي</w:t>
      </w:r>
      <w:r w:rsidRPr="00132E65">
        <w:rPr>
          <w:rtl/>
        </w:rPr>
        <w:t xml:space="preserve"> والبحار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(5).</w:t>
      </w:r>
      <w:r w:rsidRPr="00132E65">
        <w:rPr>
          <w:rtl/>
        </w:rPr>
        <w:t xml:space="preserve"> في « بر ، بس » : « قلت » بدل « لا هكذا قال فقلتُ »</w:t>
      </w:r>
      <w:r>
        <w:rPr>
          <w:rtl/>
        </w:rPr>
        <w:t>.</w:t>
      </w:r>
      <w:r w:rsidRPr="00132E65">
        <w:rPr>
          <w:rtl/>
        </w:rPr>
        <w:t xml:space="preserve"> وفي « ف » </w:t>
      </w:r>
      <w:r>
        <w:rPr>
          <w:rtl/>
        </w:rPr>
        <w:t xml:space="preserve">: - </w:t>
      </w:r>
      <w:r w:rsidRPr="00132E65">
        <w:rPr>
          <w:rtl/>
        </w:rPr>
        <w:t>« قال : لا هكذا قال »</w:t>
      </w:r>
      <w:r>
        <w:rPr>
          <w:rtl/>
        </w:rPr>
        <w:t>.</w:t>
      </w:r>
    </w:p>
    <w:p w:rsidR="000C39D1" w:rsidRPr="00132E65" w:rsidRDefault="000C39D1" w:rsidP="000C39D1">
      <w:pPr>
        <w:pStyle w:val="libFootnote0"/>
        <w:rPr>
          <w:rtl/>
          <w:lang w:bidi="fa-IR"/>
        </w:rPr>
      </w:pPr>
      <w:r>
        <w:rPr>
          <w:rtl/>
        </w:rPr>
        <w:t>(6).</w:t>
      </w:r>
      <w:r w:rsidRPr="00132E65">
        <w:rPr>
          <w:rtl/>
        </w:rPr>
        <w:t xml:space="preserve"> في « ج ، ض ، ف ، بر ، بس ، بف » والبحار </w:t>
      </w:r>
      <w:r>
        <w:rPr>
          <w:rtl/>
        </w:rPr>
        <w:t xml:space="preserve">: - </w:t>
      </w:r>
      <w:r w:rsidRPr="00132E65">
        <w:rPr>
          <w:rtl/>
        </w:rPr>
        <w:t>« فقال : نعم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665 ، ح 1268 ؛ </w:t>
      </w:r>
      <w:r w:rsidRPr="00D45062">
        <w:rPr>
          <w:rStyle w:val="libFootnoteBoldChar"/>
          <w:rtl/>
        </w:rPr>
        <w:t>البحار</w:t>
      </w:r>
      <w:r w:rsidRPr="00132E65">
        <w:rPr>
          <w:rtl/>
        </w:rPr>
        <w:t xml:space="preserve"> ، ج 27 ، ص 290 ، ح 5.</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الوافي</w:t>
      </w:r>
      <w:r w:rsidRPr="00132E65">
        <w:rPr>
          <w:rtl/>
        </w:rPr>
        <w:t xml:space="preserve"> : « يستفاد من هذا الخبر مع ما مرّ أنّ موسى </w:t>
      </w:r>
      <w:r w:rsidRPr="00D45062">
        <w:rPr>
          <w:rStyle w:val="libFootnoteAlaemChar"/>
          <w:rtl/>
        </w:rPr>
        <w:t>عليه‌السلام</w:t>
      </w:r>
      <w:r w:rsidRPr="00132E65">
        <w:rPr>
          <w:rtl/>
        </w:rPr>
        <w:t xml:space="preserve"> إنّما غسّله وصيّه يوشع في حياته ، أو ملك من الملائكة بعد مماته ، أو كلاهما ؛ وذلك لأنّه </w:t>
      </w:r>
      <w:r w:rsidRPr="00D45062">
        <w:rPr>
          <w:rStyle w:val="libFootnoteAlaemChar"/>
          <w:rtl/>
        </w:rPr>
        <w:t>عليه‌السلام</w:t>
      </w:r>
      <w:r w:rsidRPr="00132E65">
        <w:rPr>
          <w:rtl/>
        </w:rPr>
        <w:t xml:space="preserve"> إنّما مات في ا</w:t>
      </w:r>
      <w:r w:rsidR="00D45062">
        <w:rPr>
          <w:rtl/>
        </w:rPr>
        <w:t>لتيه ولم يكن معه أحد وقتئذٍ إل</w:t>
      </w:r>
      <w:r w:rsidR="00D45062">
        <w:rPr>
          <w:rFonts w:hint="cs"/>
          <w:rtl/>
        </w:rPr>
        <w:t>ّ</w:t>
      </w:r>
      <w:r w:rsidR="00D45062">
        <w:rPr>
          <w:rtl/>
        </w:rPr>
        <w:t>ا</w:t>
      </w:r>
      <w:r w:rsidR="00D45062">
        <w:rPr>
          <w:rFonts w:hint="cs"/>
          <w:rtl/>
        </w:rPr>
        <w:t xml:space="preserve"> </w:t>
      </w:r>
      <w:r w:rsidRPr="00132E65">
        <w:rPr>
          <w:rtl/>
        </w:rPr>
        <w:t>ملك في صورة بشر كان قد حفر قبراً</w:t>
      </w:r>
      <w:r>
        <w:rPr>
          <w:rtl/>
        </w:rPr>
        <w:t xml:space="preserve"> ..</w:t>
      </w:r>
      <w:r w:rsidR="00936037">
        <w:rPr>
          <w:rtl/>
        </w:rPr>
        <w:t>.</w:t>
      </w:r>
      <w:r w:rsidRPr="00132E65">
        <w:rPr>
          <w:rtl/>
        </w:rPr>
        <w:t>»</w:t>
      </w:r>
      <w:r>
        <w:rPr>
          <w:rtl/>
        </w:rPr>
        <w:t>.</w:t>
      </w:r>
    </w:p>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3 ، ص 666 ، ح 1270 ؛ </w:t>
      </w:r>
      <w:r w:rsidRPr="00D45062">
        <w:rPr>
          <w:rStyle w:val="libFootnoteBoldChar"/>
          <w:rtl/>
        </w:rPr>
        <w:t>البحار</w:t>
      </w:r>
      <w:r w:rsidRPr="00132E65">
        <w:rPr>
          <w:rtl/>
        </w:rPr>
        <w:t xml:space="preserve"> ، ج 13 ، ص 364 ، ح 4 ؛ وج 27 ، ص 290 ، ح 6.</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لِلرِّضَا </w:t>
      </w:r>
      <w:r w:rsidRPr="00071CF9">
        <w:rPr>
          <w:rStyle w:val="libAlaemChar"/>
          <w:rtl/>
        </w:rPr>
        <w:t>عليه‌السلام</w:t>
      </w:r>
      <w:r w:rsidRPr="00132E65">
        <w:rPr>
          <w:rtl/>
          <w:lang w:bidi="fa-IR"/>
        </w:rPr>
        <w:t xml:space="preserve"> : إِنَّ</w:t>
      </w:r>
      <w:r w:rsidR="003A5A36">
        <w:rPr>
          <w:rtl/>
          <w:lang w:bidi="fa-IR"/>
        </w:rPr>
        <w:t xml:space="preserve"> الْإِمَامَ لَايَغْسِلُهُ إِل</w:t>
      </w:r>
      <w:r w:rsidR="003A5A36">
        <w:rPr>
          <w:rFonts w:hint="cs"/>
          <w:rtl/>
          <w:lang w:bidi="fa-IR"/>
        </w:rPr>
        <w:t>َّ</w:t>
      </w:r>
      <w:r w:rsidR="003A5A36">
        <w:rPr>
          <w:rtl/>
          <w:lang w:bidi="fa-IR"/>
        </w:rPr>
        <w:t>ا</w:t>
      </w:r>
      <w:r w:rsidRPr="00132E65">
        <w:rPr>
          <w:rtl/>
          <w:lang w:bidi="fa-IR"/>
        </w:rPr>
        <w:t xml:space="preserve"> الْإِمَامُ </w:t>
      </w:r>
      <w:r>
        <w:rPr>
          <w:rStyle w:val="libFootnotenumChar"/>
          <w:rtl/>
        </w:rPr>
        <w:t>(1)</w:t>
      </w:r>
      <w:r>
        <w:rPr>
          <w:rtl/>
          <w:lang w:bidi="fa-IR"/>
        </w:rPr>
        <w:t>؟</w:t>
      </w:r>
    </w:p>
    <w:p w:rsidR="000C39D1" w:rsidRPr="00132E65" w:rsidRDefault="000C39D1" w:rsidP="000C39D1">
      <w:pPr>
        <w:pStyle w:val="libNormal"/>
        <w:rPr>
          <w:rtl/>
          <w:lang w:bidi="fa-IR"/>
        </w:rPr>
      </w:pPr>
      <w:r>
        <w:rPr>
          <w:rtl/>
          <w:lang w:bidi="fa-IR"/>
        </w:rPr>
        <w:t>فَقَالَ : « أَ</w:t>
      </w:r>
      <w:r w:rsidRPr="00132E65">
        <w:rPr>
          <w:rtl/>
          <w:lang w:bidi="fa-IR"/>
        </w:rPr>
        <w:t xml:space="preserve">مَا تَدْرُونَ </w:t>
      </w:r>
      <w:r>
        <w:rPr>
          <w:rStyle w:val="libFootnotenumChar"/>
          <w:rtl/>
        </w:rPr>
        <w:t>(2)</w:t>
      </w:r>
      <w:r w:rsidRPr="00132E65">
        <w:rPr>
          <w:rtl/>
          <w:lang w:bidi="fa-IR"/>
        </w:rPr>
        <w:t xml:space="preserve"> مَنْ حَضَرَ</w:t>
      </w:r>
      <w:r>
        <w:rPr>
          <w:rtl/>
          <w:lang w:bidi="fa-IR"/>
        </w:rPr>
        <w:t>؟</w:t>
      </w:r>
      <w:r w:rsidRPr="00132E65">
        <w:rPr>
          <w:rtl/>
          <w:lang w:bidi="fa-IR"/>
        </w:rPr>
        <w:t xml:space="preserve"> لَعَلَّهُ </w:t>
      </w:r>
      <w:r>
        <w:rPr>
          <w:rStyle w:val="libFootnotenumChar"/>
          <w:rtl/>
        </w:rPr>
        <w:t>(3)</w:t>
      </w:r>
      <w:r w:rsidRPr="00132E65">
        <w:rPr>
          <w:rtl/>
          <w:lang w:bidi="fa-IR"/>
        </w:rPr>
        <w:t xml:space="preserve"> قَدْ حَضَرَهُ خَيْرٌ مِمَّنْ </w:t>
      </w:r>
      <w:r>
        <w:rPr>
          <w:rStyle w:val="libFootnotenumChar"/>
          <w:rtl/>
        </w:rPr>
        <w:t>(4)</w:t>
      </w:r>
      <w:r w:rsidRPr="00132E65">
        <w:rPr>
          <w:rtl/>
          <w:lang w:bidi="fa-IR"/>
        </w:rPr>
        <w:t xml:space="preserve"> غَابَ عَنْهُ ، الَّذِينَ </w:t>
      </w:r>
      <w:r>
        <w:rPr>
          <w:rStyle w:val="libFootnotenumChar"/>
          <w:rtl/>
        </w:rPr>
        <w:t>(5)</w:t>
      </w:r>
      <w:r w:rsidRPr="00132E65">
        <w:rPr>
          <w:rtl/>
          <w:lang w:bidi="fa-IR"/>
        </w:rPr>
        <w:t xml:space="preserve"> حَضَرُوا يُوسُفَ فِي الْجُبِّ حِينَ غَابَ عَنْهُ أَبَوَاهُ وأَهْلُ بَيْتِهِ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Heading2Center"/>
        <w:rPr>
          <w:rtl/>
          <w:lang w:bidi="fa-IR"/>
        </w:rPr>
      </w:pPr>
      <w:bookmarkStart w:id="76" w:name="_Toc459459124"/>
      <w:bookmarkStart w:id="77" w:name="_Toc34663093"/>
      <w:r w:rsidRPr="00132E65">
        <w:rPr>
          <w:rtl/>
          <w:lang w:bidi="fa-IR"/>
        </w:rPr>
        <w:t>93</w:t>
      </w:r>
      <w:r>
        <w:rPr>
          <w:rtl/>
          <w:lang w:bidi="fa-IR"/>
        </w:rPr>
        <w:t xml:space="preserve"> - </w:t>
      </w:r>
      <w:r w:rsidRPr="00132E65">
        <w:rPr>
          <w:rtl/>
          <w:lang w:bidi="fa-IR"/>
        </w:rPr>
        <w:t xml:space="preserve">بَابُ مَوَالِيدِ الْأَئِمَّةِ </w:t>
      </w:r>
      <w:r w:rsidRPr="00071CF9">
        <w:rPr>
          <w:rStyle w:val="libAlaemChar"/>
          <w:rtl/>
        </w:rPr>
        <w:t>عليهم‌السلام</w:t>
      </w:r>
      <w:r w:rsidRPr="00132E65">
        <w:rPr>
          <w:rtl/>
          <w:lang w:bidi="fa-IR"/>
        </w:rPr>
        <w:t>‌</w:t>
      </w:r>
      <w:bookmarkEnd w:id="76"/>
      <w:bookmarkEnd w:id="77"/>
    </w:p>
    <w:p w:rsidR="000C39D1" w:rsidRPr="00132E65" w:rsidRDefault="000C39D1" w:rsidP="000C39D1">
      <w:pPr>
        <w:pStyle w:val="libNormal"/>
        <w:rPr>
          <w:rtl/>
          <w:lang w:bidi="fa-IR"/>
        </w:rPr>
      </w:pPr>
      <w:r w:rsidRPr="00D37CF8">
        <w:rPr>
          <w:rtl/>
        </w:rPr>
        <w:t>1006</w:t>
      </w:r>
      <w:r w:rsidRPr="004325D8">
        <w:rPr>
          <w:rStyle w:val="libBold2Char"/>
          <w:rtl/>
        </w:rPr>
        <w:t xml:space="preserve"> / 1.</w:t>
      </w:r>
      <w:r w:rsidRPr="00132E65">
        <w:rPr>
          <w:rtl/>
          <w:lang w:bidi="fa-IR"/>
        </w:rPr>
        <w:t xml:space="preserve"> عَلِيُّ بْنُ مُحَمَّدٍ ، عَنْ عَبْدِ اللهِ بْنِ إِسْحَاقَ الْعَلَوِيِّ ، عَنْ مُحَمَّدِ بْنِ زَيْدٍ الرِّزَامِيِّ ، عَنْ مُحَمَّدِ بْنِ سُلَيْمَانَ الدَّيْلَمِيِّ ، عَنْ عَلِيِّ بْنِ أَبِي حَمْزَةَ ، عَنْ أَبِي بَصِيرٍ ، قَالَ :</w:t>
      </w:r>
    </w:p>
    <w:p w:rsidR="000C39D1" w:rsidRPr="00132E65" w:rsidRDefault="000C39D1" w:rsidP="000C39D1">
      <w:pPr>
        <w:pStyle w:val="libNormal"/>
        <w:rPr>
          <w:rtl/>
          <w:lang w:bidi="fa-IR"/>
        </w:rPr>
      </w:pPr>
      <w:r w:rsidRPr="00132E65">
        <w:rPr>
          <w:rtl/>
          <w:lang w:bidi="fa-IR"/>
        </w:rPr>
        <w:t xml:space="preserve">حَجَجْنَا مَعَ أَبِي عَبْدِ اللهِ </w:t>
      </w:r>
      <w:r w:rsidRPr="00071CF9">
        <w:rPr>
          <w:rStyle w:val="libAlaemChar"/>
          <w:rtl/>
        </w:rPr>
        <w:t>عليه‌السلام</w:t>
      </w:r>
      <w:r w:rsidRPr="00132E65">
        <w:rPr>
          <w:rtl/>
          <w:lang w:bidi="fa-IR"/>
        </w:rPr>
        <w:t xml:space="preserve"> فِي السَّنَةِ الَّتِي و</w:t>
      </w:r>
      <w:r w:rsidR="003A5A36">
        <w:rPr>
          <w:rFonts w:hint="cs"/>
          <w:rtl/>
          <w:lang w:bidi="fa-IR"/>
        </w:rPr>
        <w:t>ُ</w:t>
      </w:r>
      <w:r w:rsidRPr="00132E65">
        <w:rPr>
          <w:rtl/>
          <w:lang w:bidi="fa-IR"/>
        </w:rPr>
        <w:t xml:space="preserve">لِدَ فِيهَا ابْنُهُ مُوسى </w:t>
      </w:r>
      <w:r w:rsidRPr="00071CF9">
        <w:rPr>
          <w:rStyle w:val="libAlaemChar"/>
          <w:rtl/>
        </w:rPr>
        <w:t>عليه‌السلام</w:t>
      </w:r>
      <w:r w:rsidRPr="00132E65">
        <w:rPr>
          <w:rtl/>
          <w:lang w:bidi="fa-IR"/>
        </w:rPr>
        <w:t xml:space="preserve"> ، فَلَمَّا نَزَلْنَا </w:t>
      </w:r>
      <w:r>
        <w:rPr>
          <w:rStyle w:val="libFootnotenumChar"/>
          <w:rtl/>
        </w:rPr>
        <w:t>(8)</w:t>
      </w:r>
      <w:r w:rsidRPr="00132E65">
        <w:rPr>
          <w:rtl/>
          <w:lang w:bidi="fa-IR"/>
        </w:rPr>
        <w:t xml:space="preserve"> الْأَبْوَاءَ </w:t>
      </w:r>
      <w:r>
        <w:rPr>
          <w:rStyle w:val="libFootnotenumChar"/>
          <w:rtl/>
        </w:rPr>
        <w:t>(9)</w:t>
      </w:r>
      <w:r w:rsidRPr="00132E65">
        <w:rPr>
          <w:rtl/>
          <w:lang w:bidi="fa-IR"/>
        </w:rPr>
        <w:t xml:space="preserve"> و</w:t>
      </w:r>
      <w:r w:rsidR="003A5A36">
        <w:rPr>
          <w:rFonts w:hint="cs"/>
          <w:rtl/>
          <w:lang w:bidi="fa-IR"/>
        </w:rPr>
        <w:t>َ</w:t>
      </w:r>
      <w:r w:rsidRPr="00132E65">
        <w:rPr>
          <w:rtl/>
          <w:lang w:bidi="fa-IR"/>
        </w:rPr>
        <w:t xml:space="preserve">ضَعَ لَنَا الْغَدَاءَ </w:t>
      </w:r>
      <w:r>
        <w:rPr>
          <w:rStyle w:val="libFootnotenumChar"/>
          <w:rtl/>
        </w:rPr>
        <w:t>(10)</w:t>
      </w:r>
      <w:r w:rsidRPr="00132E65">
        <w:rPr>
          <w:rtl/>
          <w:lang w:bidi="fa-IR"/>
        </w:rPr>
        <w:t xml:space="preserve"> ، و</w:t>
      </w:r>
      <w:r w:rsidR="003A5A36">
        <w:rPr>
          <w:rFonts w:hint="cs"/>
          <w:rtl/>
          <w:lang w:bidi="fa-IR"/>
        </w:rPr>
        <w:t>َ</w:t>
      </w:r>
      <w:r w:rsidRPr="00132E65">
        <w:rPr>
          <w:rtl/>
          <w:lang w:bidi="fa-IR"/>
        </w:rPr>
        <w:t>كَانَ إِذَا وضَعَ الطَّعَامَ لِأَصْحَابِهِ أَكْثَرَ و</w:t>
      </w:r>
      <w:r w:rsidR="003A5A36">
        <w:rPr>
          <w:rFonts w:hint="cs"/>
          <w:rtl/>
          <w:lang w:bidi="fa-IR"/>
        </w:rPr>
        <w:t>َ</w:t>
      </w:r>
      <w:r w:rsidRPr="00132E65">
        <w:rPr>
          <w:rtl/>
          <w:lang w:bidi="fa-IR"/>
        </w:rPr>
        <w:t xml:space="preserve">أَطَابَ ، قَالَ : فَبَيْنَا </w:t>
      </w:r>
      <w:r>
        <w:rPr>
          <w:rStyle w:val="libFootnotenumChar"/>
          <w:rtl/>
        </w:rPr>
        <w:t>(11)</w:t>
      </w:r>
      <w:r w:rsidRPr="00132E65">
        <w:rPr>
          <w:rtl/>
          <w:lang w:bidi="fa-IR"/>
        </w:rPr>
        <w:t xml:space="preserve"> نَحْنُ نَأْكُلُ إِذْ أَتَاهُ رَسُولُ حَمِيدَةَ ، فَقَالَ لَهُ : إِنَّ حَمِيدَةَ تَقُولُ : قَدْ </w:t>
      </w:r>
      <w:r>
        <w:rPr>
          <w:rStyle w:val="libFootnotenumChar"/>
          <w:rtl/>
        </w:rPr>
        <w:t>(12)</w:t>
      </w:r>
      <w:r w:rsidRPr="00132E65">
        <w:rPr>
          <w:rtl/>
          <w:lang w:bidi="fa-IR"/>
        </w:rPr>
        <w:t xml:space="preserve"> أَنْكَرْتُ نَفْسِي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إمام »</w:t>
      </w:r>
      <w:r>
        <w:rPr>
          <w:rtl/>
        </w:rPr>
        <w:t>.</w:t>
      </w:r>
    </w:p>
    <w:p w:rsidR="000C39D1" w:rsidRPr="00132E65" w:rsidRDefault="000C39D1" w:rsidP="000C39D1">
      <w:pPr>
        <w:pStyle w:val="libFootnote0"/>
        <w:rPr>
          <w:rtl/>
          <w:lang w:bidi="fa-IR"/>
        </w:rPr>
      </w:pPr>
      <w:r>
        <w:rPr>
          <w:rtl/>
        </w:rPr>
        <w:t>(2).</w:t>
      </w:r>
      <w:r w:rsidRPr="00132E65">
        <w:rPr>
          <w:rtl/>
        </w:rPr>
        <w:t xml:space="preserve"> في « ف » : « ألا تدرون »</w:t>
      </w:r>
      <w:r>
        <w:rPr>
          <w:rtl/>
        </w:rPr>
        <w:t>.</w:t>
      </w:r>
      <w:r w:rsidRPr="00132E65">
        <w:rPr>
          <w:rtl/>
        </w:rPr>
        <w:t xml:space="preserve"> وفي </w:t>
      </w:r>
      <w:r w:rsidRPr="003A5A36">
        <w:rPr>
          <w:rStyle w:val="libFootnoteBoldChar"/>
          <w:rtl/>
        </w:rPr>
        <w:t>شرح المازندراني</w:t>
      </w:r>
      <w:r w:rsidRPr="00132E65">
        <w:rPr>
          <w:rtl/>
        </w:rPr>
        <w:t xml:space="preserve"> : « وفي بعضها : « ما تدرون » بدون الهمزة ، وهو الأظهر »</w:t>
      </w:r>
      <w:r>
        <w:rPr>
          <w:rtl/>
        </w:rPr>
        <w:t>.</w:t>
      </w:r>
    </w:p>
    <w:p w:rsidR="000C39D1" w:rsidRPr="00132E65" w:rsidRDefault="000C39D1" w:rsidP="000C39D1">
      <w:pPr>
        <w:pStyle w:val="libFootnote0"/>
        <w:rPr>
          <w:rtl/>
          <w:lang w:bidi="fa-IR"/>
        </w:rPr>
      </w:pPr>
      <w:r>
        <w:rPr>
          <w:rtl/>
        </w:rPr>
        <w:t>(3).</w:t>
      </w:r>
      <w:r w:rsidRPr="00132E65">
        <w:rPr>
          <w:rtl/>
        </w:rPr>
        <w:t xml:space="preserve"> هكذا في « ج ، ش ، ض ، ظ ، ف ، بج ، بح ، بد ، بر ، بس ، بش ، بع ، بف ، بل ، بو ، جح ، جس ، جف ، جل ، جم ، جو ، جه » و</w:t>
      </w:r>
      <w:r w:rsidRPr="009D1ACE">
        <w:rPr>
          <w:rStyle w:val="libFootnoteBoldChar"/>
          <w:rtl/>
        </w:rPr>
        <w:t>الوافي</w:t>
      </w:r>
      <w:r w:rsidRPr="00132E65">
        <w:rPr>
          <w:rtl/>
        </w:rPr>
        <w:t xml:space="preserve"> </w:t>
      </w:r>
      <w:r w:rsidRPr="003A5A36">
        <w:rPr>
          <w:rStyle w:val="libFootnoteBoldChar"/>
          <w:rtl/>
        </w:rPr>
        <w:t>وشرح المازندراني</w:t>
      </w:r>
      <w:r w:rsidRPr="00132E65">
        <w:rPr>
          <w:rtl/>
        </w:rPr>
        <w:t>. وفي بعض النسخ والمطبوع : « لغُسله »</w:t>
      </w:r>
      <w:r>
        <w:rPr>
          <w:rtl/>
        </w:rPr>
        <w:t>.</w:t>
      </w:r>
    </w:p>
    <w:p w:rsidR="000C39D1" w:rsidRPr="00132E65" w:rsidRDefault="000C39D1" w:rsidP="000C39D1">
      <w:pPr>
        <w:pStyle w:val="libFootnote0"/>
        <w:rPr>
          <w:rtl/>
          <w:lang w:bidi="fa-IR"/>
        </w:rPr>
      </w:pPr>
      <w:r>
        <w:rPr>
          <w:rtl/>
        </w:rPr>
        <w:t>(4).</w:t>
      </w:r>
      <w:r w:rsidRPr="00132E65">
        <w:rPr>
          <w:rtl/>
        </w:rPr>
        <w:t xml:space="preserve"> في « ف » وحاشية « ج » : « ممّا »</w:t>
      </w:r>
      <w:r>
        <w:rPr>
          <w:rtl/>
        </w:rPr>
        <w:t>.</w:t>
      </w:r>
    </w:p>
    <w:p w:rsidR="000C39D1" w:rsidRPr="00132E65" w:rsidRDefault="000C39D1" w:rsidP="000C39D1">
      <w:pPr>
        <w:pStyle w:val="libFootnote0"/>
        <w:rPr>
          <w:rtl/>
          <w:lang w:bidi="fa-IR"/>
        </w:rPr>
      </w:pPr>
      <w:r>
        <w:rPr>
          <w:rtl/>
        </w:rPr>
        <w:t>(5).</w:t>
      </w:r>
      <w:r w:rsidRPr="00132E65">
        <w:rPr>
          <w:rtl/>
        </w:rPr>
        <w:t xml:space="preserve"> قوله : « الذين » بدل عن قوله : « خير »</w:t>
      </w:r>
      <w:r>
        <w:rPr>
          <w:rtl/>
        </w:rPr>
        <w:t>.</w:t>
      </w:r>
      <w:r w:rsidRPr="00132E65">
        <w:rPr>
          <w:rtl/>
        </w:rPr>
        <w:t xml:space="preserve"> والمراد بهم الملائكة. والمراد من « من غاب » غير المعصوم ، أو يحمل الحديث على التقيّة.</w:t>
      </w:r>
    </w:p>
    <w:p w:rsidR="000C39D1" w:rsidRPr="00132E65" w:rsidRDefault="000C39D1" w:rsidP="000C39D1">
      <w:pPr>
        <w:pStyle w:val="libFootnote0"/>
        <w:rPr>
          <w:rtl/>
          <w:lang w:bidi="fa-IR"/>
        </w:rPr>
      </w:pPr>
      <w:r>
        <w:rPr>
          <w:rtl/>
        </w:rPr>
        <w:t>(6).</w:t>
      </w:r>
      <w:r w:rsidRPr="00132E65">
        <w:rPr>
          <w:rtl/>
        </w:rPr>
        <w:t xml:space="preserve"> في حاشية « ج ، ف » : « أبواه وإخوته »</w:t>
      </w:r>
      <w:r>
        <w:rPr>
          <w:rtl/>
        </w:rPr>
        <w:t>.</w:t>
      </w:r>
      <w:r w:rsidRPr="00132E65">
        <w:rPr>
          <w:rtl/>
        </w:rPr>
        <w:t xml:space="preserve"> وراجع في الجمع بين هذا الحديث والحديث الأوّل من هذا الباب : </w:t>
      </w:r>
      <w:r w:rsidRPr="009D1ACE">
        <w:rPr>
          <w:rStyle w:val="libFootnoteBoldChar"/>
          <w:rtl/>
        </w:rPr>
        <w:t>الوافي</w:t>
      </w:r>
      <w:r w:rsidRPr="00132E65">
        <w:rPr>
          <w:rtl/>
        </w:rPr>
        <w:t xml:space="preserve"> ، ج 3 ، ص 666 ؛ </w:t>
      </w:r>
      <w:r w:rsidRPr="009D1ACE">
        <w:rPr>
          <w:rStyle w:val="libFootnoteBoldChar"/>
          <w:rtl/>
        </w:rPr>
        <w:t>مرآة العقول</w:t>
      </w:r>
      <w:r w:rsidRPr="00132E65">
        <w:rPr>
          <w:rtl/>
        </w:rPr>
        <w:t xml:space="preserve"> ، ج 4 ، ص 258.</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666 ، ح 1269 ؛ </w:t>
      </w:r>
      <w:r w:rsidRPr="003A5A36">
        <w:rPr>
          <w:rStyle w:val="libFootnoteBoldChar"/>
          <w:rtl/>
        </w:rPr>
        <w:t>البحار</w:t>
      </w:r>
      <w:r w:rsidRPr="00132E65">
        <w:rPr>
          <w:rtl/>
        </w:rPr>
        <w:t xml:space="preserve"> ، ج 27 ، ص 289 ، ح 2 ؛ وج 48 ، ص 247 ، ح 54.</w:t>
      </w:r>
    </w:p>
    <w:p w:rsidR="000C39D1" w:rsidRPr="00132E65" w:rsidRDefault="000C39D1" w:rsidP="000C39D1">
      <w:pPr>
        <w:pStyle w:val="libFootnote0"/>
        <w:rPr>
          <w:rtl/>
          <w:lang w:bidi="fa-IR"/>
        </w:rPr>
      </w:pPr>
      <w:r>
        <w:rPr>
          <w:rtl/>
        </w:rPr>
        <w:t>(8).</w:t>
      </w:r>
      <w:r w:rsidRPr="00132E65">
        <w:rPr>
          <w:rtl/>
        </w:rPr>
        <w:t xml:space="preserve"> في « ج » : « نزّلنا »</w:t>
      </w:r>
      <w:r>
        <w:rPr>
          <w:rtl/>
        </w:rPr>
        <w:t>.</w:t>
      </w:r>
      <w:r w:rsidRPr="00132E65">
        <w:rPr>
          <w:rtl/>
        </w:rPr>
        <w:t xml:space="preserve"> وفي « ف » : « نزل »</w:t>
      </w:r>
      <w:r>
        <w:rPr>
          <w:rtl/>
        </w:rPr>
        <w:t>.</w:t>
      </w:r>
    </w:p>
    <w:p w:rsidR="000C39D1" w:rsidRPr="00132E65" w:rsidRDefault="000C39D1" w:rsidP="000C39D1">
      <w:pPr>
        <w:pStyle w:val="libFootnote0"/>
        <w:rPr>
          <w:rtl/>
          <w:lang w:bidi="fa-IR"/>
        </w:rPr>
      </w:pPr>
      <w:r>
        <w:rPr>
          <w:rtl/>
        </w:rPr>
        <w:t>(9).</w:t>
      </w:r>
      <w:r w:rsidRPr="00132E65">
        <w:rPr>
          <w:rtl/>
        </w:rPr>
        <w:t xml:space="preserve"> قال ابن الأثير : « الأَبْواءُ : جبل بين مكّة والمدينة ، وعنده بلد ينسب إليه »</w:t>
      </w:r>
      <w:r>
        <w:rPr>
          <w:rtl/>
        </w:rPr>
        <w:t>.</w:t>
      </w:r>
      <w:r w:rsidRPr="00132E65">
        <w:rPr>
          <w:rtl/>
        </w:rPr>
        <w:t xml:space="preserve"> </w:t>
      </w:r>
      <w:r w:rsidRPr="003A5A36">
        <w:rPr>
          <w:rStyle w:val="libFootnoteBoldChar"/>
          <w:rtl/>
        </w:rPr>
        <w:t>النهاية</w:t>
      </w:r>
      <w:r w:rsidRPr="00132E65">
        <w:rPr>
          <w:rtl/>
        </w:rPr>
        <w:t xml:space="preserve"> ، ج 1 ، ص 20 ( أبا )</w:t>
      </w:r>
      <w:r>
        <w:rPr>
          <w:rtl/>
        </w:rPr>
        <w:t>.</w:t>
      </w:r>
    </w:p>
    <w:p w:rsidR="000C39D1" w:rsidRPr="00132E65" w:rsidRDefault="000C39D1" w:rsidP="000C39D1">
      <w:pPr>
        <w:pStyle w:val="libFootnote0"/>
        <w:rPr>
          <w:rtl/>
          <w:lang w:bidi="fa-IR"/>
        </w:rPr>
      </w:pPr>
      <w:r>
        <w:rPr>
          <w:rtl/>
        </w:rPr>
        <w:t>(10).</w:t>
      </w:r>
      <w:r w:rsidRPr="00132E65">
        <w:rPr>
          <w:rtl/>
        </w:rPr>
        <w:t xml:space="preserve"> في « ب » : « الغذاء »</w:t>
      </w:r>
      <w:r>
        <w:rPr>
          <w:rtl/>
        </w:rPr>
        <w:t>.</w:t>
      </w:r>
      <w:r w:rsidRPr="00132E65">
        <w:rPr>
          <w:rtl/>
        </w:rPr>
        <w:t xml:space="preserve"> وقال ابن الأثير : « الغَداءُ : الطعام الذي يُؤكل أوّل النهار »</w:t>
      </w:r>
      <w:r>
        <w:rPr>
          <w:rtl/>
        </w:rPr>
        <w:t>.</w:t>
      </w:r>
      <w:r w:rsidRPr="00132E65">
        <w:rPr>
          <w:rtl/>
        </w:rPr>
        <w:t xml:space="preserve"> </w:t>
      </w:r>
      <w:r w:rsidRPr="003A5A36">
        <w:rPr>
          <w:rStyle w:val="libFootnoteBoldChar"/>
          <w:rtl/>
        </w:rPr>
        <w:t>النهاية</w:t>
      </w:r>
      <w:r w:rsidRPr="00132E65">
        <w:rPr>
          <w:rtl/>
        </w:rPr>
        <w:t xml:space="preserve"> ، ج 3 ، ص 34 ( غدا )</w:t>
      </w:r>
      <w:r>
        <w:rPr>
          <w:rtl/>
        </w:rPr>
        <w:t>.</w:t>
      </w:r>
    </w:p>
    <w:p w:rsidR="000C39D1" w:rsidRPr="00132E65" w:rsidRDefault="000C39D1" w:rsidP="000C39D1">
      <w:pPr>
        <w:pStyle w:val="libFootnote0"/>
        <w:rPr>
          <w:rtl/>
          <w:lang w:bidi="fa-IR"/>
        </w:rPr>
      </w:pPr>
      <w:r>
        <w:rPr>
          <w:rtl/>
        </w:rPr>
        <w:t>(11).</w:t>
      </w:r>
      <w:r w:rsidRPr="00132E65">
        <w:rPr>
          <w:rtl/>
        </w:rPr>
        <w:t xml:space="preserve"> في « بر » : « فبينما »</w:t>
      </w:r>
      <w:r>
        <w:rPr>
          <w:rtl/>
        </w:rPr>
        <w:t>.</w:t>
      </w:r>
    </w:p>
    <w:tbl>
      <w:tblPr>
        <w:tblStyle w:val="TableGrid"/>
        <w:bidiVisual/>
        <w:tblW w:w="0" w:type="auto"/>
        <w:tblLook w:val="04A0" w:firstRow="1" w:lastRow="0" w:firstColumn="1" w:lastColumn="0" w:noHBand="0" w:noVBand="1"/>
      </w:tblPr>
      <w:tblGrid>
        <w:gridCol w:w="4006"/>
        <w:gridCol w:w="4006"/>
      </w:tblGrid>
      <w:tr w:rsidR="003A5A36" w:rsidTr="003A5A36">
        <w:tc>
          <w:tcPr>
            <w:tcW w:w="4006" w:type="dxa"/>
          </w:tcPr>
          <w:p w:rsidR="003A5A36" w:rsidRDefault="003A5A36" w:rsidP="000C39D1">
            <w:pPr>
              <w:pStyle w:val="libFootnote0"/>
              <w:rPr>
                <w:rtl/>
              </w:rPr>
            </w:pPr>
            <w:r>
              <w:rPr>
                <w:rtl/>
              </w:rPr>
              <w:t>(12).</w:t>
            </w:r>
            <w:r w:rsidRPr="00132E65">
              <w:rPr>
                <w:rtl/>
              </w:rPr>
              <w:t xml:space="preserve"> في « بر » : « إنّي »</w:t>
            </w:r>
            <w:r>
              <w:rPr>
                <w:rtl/>
              </w:rPr>
              <w:t>.</w:t>
            </w:r>
          </w:p>
        </w:tc>
        <w:tc>
          <w:tcPr>
            <w:tcW w:w="4006" w:type="dxa"/>
          </w:tcPr>
          <w:p w:rsidR="003A5A36" w:rsidRDefault="003A5A36" w:rsidP="000C39D1">
            <w:pPr>
              <w:pStyle w:val="libFootnote0"/>
              <w:rPr>
                <w:rtl/>
              </w:rPr>
            </w:pPr>
            <w:r>
              <w:rPr>
                <w:rtl/>
              </w:rPr>
              <w:t>(13)</w:t>
            </w:r>
            <w:r w:rsidRPr="00132E65">
              <w:rPr>
                <w:rtl/>
              </w:rPr>
              <w:t xml:space="preserve"> أي وجدت تغيّر حال في نفسي ، كأنّي لا أعرفها.</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وَقَدْ وجَدْتُ مَا كُنْتُ أَجِدُ إِذَا حَضَرَتْ و</w:t>
      </w:r>
      <w:r w:rsidR="003A5A36">
        <w:rPr>
          <w:rFonts w:hint="cs"/>
          <w:rtl/>
          <w:lang w:bidi="fa-IR"/>
        </w:rPr>
        <w:t>ِ</w:t>
      </w:r>
      <w:r w:rsidRPr="00132E65">
        <w:rPr>
          <w:rtl/>
          <w:lang w:bidi="fa-IR"/>
        </w:rPr>
        <w:t>لَادَتِي ، وقَدْ أَمَرْتَنِي أَنْ لَا</w:t>
      </w:r>
      <w:r>
        <w:rPr>
          <w:rFonts w:hint="cs"/>
          <w:rtl/>
          <w:lang w:bidi="fa-IR"/>
        </w:rPr>
        <w:t xml:space="preserve"> </w:t>
      </w:r>
      <w:r w:rsidRPr="00132E65">
        <w:rPr>
          <w:rtl/>
          <w:lang w:bidi="fa-IR"/>
        </w:rPr>
        <w:t xml:space="preserve">أَسْتَبِقَكَ </w:t>
      </w:r>
      <w:r>
        <w:rPr>
          <w:rStyle w:val="libFootnotenumChar"/>
          <w:rtl/>
        </w:rPr>
        <w:t>(1)</w:t>
      </w:r>
      <w:r w:rsidRPr="00132E65">
        <w:rPr>
          <w:rtl/>
          <w:lang w:bidi="fa-IR"/>
        </w:rPr>
        <w:t xml:space="preserve"> بِابْنِكَ هذَا ، فَقَامَ أَبُو عَبْدِ اللهِ </w:t>
      </w:r>
      <w:r w:rsidRPr="00071CF9">
        <w:rPr>
          <w:rStyle w:val="libAlaemChar"/>
          <w:rtl/>
        </w:rPr>
        <w:t>عليه‌السلام</w:t>
      </w:r>
      <w:r w:rsidRPr="00132E65">
        <w:rPr>
          <w:rtl/>
          <w:lang w:bidi="fa-IR"/>
        </w:rPr>
        <w:t xml:space="preserve"> ، فَانْطَلَقَ </w:t>
      </w:r>
      <w:r>
        <w:rPr>
          <w:rStyle w:val="libFootnotenumChar"/>
          <w:rtl/>
        </w:rPr>
        <w:t>(2)</w:t>
      </w:r>
      <w:r w:rsidRPr="00132E65">
        <w:rPr>
          <w:rtl/>
          <w:lang w:bidi="fa-IR"/>
        </w:rPr>
        <w:t xml:space="preserve"> مَعَ الرَّسُولِ ، فَلَمَّا انْصَرَفَ قَالَ لَهُ أَصْحَابُهُ : سَرَّكَ اللهُ ، وَجَعَلَنَا فِدَاكَ ، فَمَا أَنْتَ صَنَعْتَ مِنْ حَمِيدَةَ</w:t>
      </w:r>
      <w:r>
        <w:rPr>
          <w:rtl/>
          <w:lang w:bidi="fa-IR"/>
        </w:rPr>
        <w:t>؟</w:t>
      </w:r>
      <w:r w:rsidRPr="00132E65">
        <w:rPr>
          <w:rtl/>
          <w:lang w:bidi="fa-IR"/>
        </w:rPr>
        <w:t xml:space="preserve"> قَالَ : « سَلَّمَهَا اللهُ ، و</w:t>
      </w:r>
      <w:r w:rsidR="003A5A36">
        <w:rPr>
          <w:rFonts w:hint="cs"/>
          <w:rtl/>
          <w:lang w:bidi="fa-IR"/>
        </w:rPr>
        <w:t>َ</w:t>
      </w:r>
      <w:r w:rsidRPr="00132E65">
        <w:rPr>
          <w:rtl/>
          <w:lang w:bidi="fa-IR"/>
        </w:rPr>
        <w:t>قَدْ و</w:t>
      </w:r>
      <w:r w:rsidR="003A5A36">
        <w:rPr>
          <w:rFonts w:hint="cs"/>
          <w:rtl/>
          <w:lang w:bidi="fa-IR"/>
        </w:rPr>
        <w:t>َ</w:t>
      </w:r>
      <w:r w:rsidRPr="00132E65">
        <w:rPr>
          <w:rtl/>
          <w:lang w:bidi="fa-IR"/>
        </w:rPr>
        <w:t xml:space="preserve">هَبَ لِي غُلَاماً وَهُوَ خَيْرُ مَنْ بَرَأَ </w:t>
      </w:r>
      <w:r>
        <w:rPr>
          <w:rStyle w:val="libFootnotenumChar"/>
          <w:rtl/>
        </w:rPr>
        <w:t>(3)</w:t>
      </w:r>
      <w:r w:rsidRPr="00132E65">
        <w:rPr>
          <w:rtl/>
          <w:lang w:bidi="fa-IR"/>
        </w:rPr>
        <w:t xml:space="preserve"> اللهُ فِي خَلْقِهِ ، و</w:t>
      </w:r>
      <w:r w:rsidR="003A5A36">
        <w:rPr>
          <w:rFonts w:hint="cs"/>
          <w:rtl/>
          <w:lang w:bidi="fa-IR"/>
        </w:rPr>
        <w:t>َ</w:t>
      </w:r>
      <w:r w:rsidRPr="00132E65">
        <w:rPr>
          <w:rtl/>
          <w:lang w:bidi="fa-IR"/>
        </w:rPr>
        <w:t>لَقَدْ أَخْبَرَتْنِي حَمِيدَةُ عَنْهُ بِأَمْرٍ ظَنَّتْ أَنِّي لَا</w:t>
      </w:r>
      <w:r>
        <w:rPr>
          <w:rFonts w:hint="cs"/>
          <w:rtl/>
          <w:lang w:bidi="fa-IR"/>
        </w:rPr>
        <w:t xml:space="preserve"> </w:t>
      </w:r>
      <w:r w:rsidRPr="00132E65">
        <w:rPr>
          <w:rtl/>
          <w:lang w:bidi="fa-IR"/>
        </w:rPr>
        <w:t>أَعْرِفُهُ ، وَلَقَدْ كُنْتُ أَعْلَمَ بِهِ مِنْهَا »</w:t>
      </w:r>
      <w:r>
        <w:rPr>
          <w:rtl/>
          <w:lang w:bidi="fa-IR"/>
        </w:rPr>
        <w:t>.</w:t>
      </w:r>
    </w:p>
    <w:p w:rsidR="000C39D1" w:rsidRPr="00132E65" w:rsidRDefault="000C39D1" w:rsidP="000C39D1">
      <w:pPr>
        <w:pStyle w:val="libNormal"/>
        <w:rPr>
          <w:rtl/>
          <w:lang w:bidi="fa-IR"/>
        </w:rPr>
      </w:pPr>
      <w:r w:rsidRPr="00132E65">
        <w:rPr>
          <w:rtl/>
          <w:lang w:bidi="fa-IR"/>
        </w:rPr>
        <w:t>فَقُلْتُ : جُعِلْتُ فِدَاكَ ، و</w:t>
      </w:r>
      <w:r w:rsidR="003A5A36">
        <w:rPr>
          <w:rFonts w:hint="cs"/>
          <w:rtl/>
          <w:lang w:bidi="fa-IR"/>
        </w:rPr>
        <w:t>َ</w:t>
      </w:r>
      <w:r w:rsidRPr="00132E65">
        <w:rPr>
          <w:rtl/>
          <w:lang w:bidi="fa-IR"/>
        </w:rPr>
        <w:t xml:space="preserve">مَا </w:t>
      </w:r>
      <w:r>
        <w:rPr>
          <w:rStyle w:val="libFootnotenumChar"/>
          <w:rtl/>
        </w:rPr>
        <w:t>(4)</w:t>
      </w:r>
      <w:r w:rsidRPr="00132E65">
        <w:rPr>
          <w:rtl/>
          <w:lang w:bidi="fa-IR"/>
        </w:rPr>
        <w:t xml:space="preserve"> الَّذِي أَخْبَرَتْكَ بِهِ حَمِيدَةُ عَنْهُ</w:t>
      </w:r>
      <w:r>
        <w:rPr>
          <w:rtl/>
          <w:lang w:bidi="fa-IR"/>
        </w:rPr>
        <w:t>؟</w:t>
      </w:r>
    </w:p>
    <w:p w:rsidR="000C39D1" w:rsidRPr="00132E65" w:rsidRDefault="000C39D1" w:rsidP="000C39D1">
      <w:pPr>
        <w:pStyle w:val="libNormal"/>
        <w:rPr>
          <w:rtl/>
          <w:lang w:bidi="fa-IR"/>
        </w:rPr>
      </w:pPr>
      <w:r w:rsidRPr="00132E65">
        <w:rPr>
          <w:rtl/>
          <w:lang w:bidi="fa-IR"/>
        </w:rPr>
        <w:t>قَالَ : « ذَكَرَتْ أَنَّهُ سَقَطَ مِنْ بَطْنِهَا</w:t>
      </w:r>
      <w:r>
        <w:rPr>
          <w:rtl/>
          <w:lang w:bidi="fa-IR"/>
        </w:rPr>
        <w:t xml:space="preserve"> - </w:t>
      </w:r>
      <w:r w:rsidRPr="00132E65">
        <w:rPr>
          <w:rtl/>
          <w:lang w:bidi="fa-IR"/>
        </w:rPr>
        <w:t>حِينَ سَقَطَ</w:t>
      </w:r>
      <w:r>
        <w:rPr>
          <w:rtl/>
          <w:lang w:bidi="fa-IR"/>
        </w:rPr>
        <w:t xml:space="preserve"> - </w:t>
      </w:r>
      <w:r w:rsidRPr="00132E65">
        <w:rPr>
          <w:rtl/>
          <w:lang w:bidi="fa-IR"/>
        </w:rPr>
        <w:t xml:space="preserve">واضِعاً يَدَهُ </w:t>
      </w:r>
      <w:r>
        <w:rPr>
          <w:rStyle w:val="libFootnotenumChar"/>
          <w:rtl/>
        </w:rPr>
        <w:t>(5)</w:t>
      </w:r>
      <w:r w:rsidRPr="00132E65">
        <w:rPr>
          <w:rtl/>
          <w:lang w:bidi="fa-IR"/>
        </w:rPr>
        <w:t xml:space="preserve"> عَلَى الْأَرْضِ ، رَافِعاً رَأْسَهُ إِلَى السَّمَاءِ ، فَأَخْبَرْتُهَا أَنَّ ذلِكَ أَمَارَةُ رَسُولِ اللهِ </w:t>
      </w:r>
      <w:r w:rsidRPr="0093484F">
        <w:rPr>
          <w:rStyle w:val="libAlaemChar"/>
          <w:rFonts w:eastAsiaTheme="minorHAnsi"/>
          <w:rtl/>
        </w:rPr>
        <w:t>صلى‌الله‌عليه‌وآله</w:t>
      </w:r>
      <w:r w:rsidRPr="00132E65">
        <w:rPr>
          <w:rtl/>
          <w:lang w:bidi="fa-IR"/>
        </w:rPr>
        <w:t xml:space="preserve"> ، و</w:t>
      </w:r>
      <w:r w:rsidR="003A5A36">
        <w:rPr>
          <w:rFonts w:hint="cs"/>
          <w:rtl/>
          <w:lang w:bidi="fa-IR"/>
        </w:rPr>
        <w:t>َ</w:t>
      </w:r>
      <w:r w:rsidRPr="00132E65">
        <w:rPr>
          <w:rtl/>
          <w:lang w:bidi="fa-IR"/>
        </w:rPr>
        <w:t xml:space="preserve">أَمَارَةُ الْوَصِيِّ </w:t>
      </w:r>
      <w:r>
        <w:rPr>
          <w:rStyle w:val="libFootnotenumChar"/>
          <w:rtl/>
        </w:rPr>
        <w:t>(6)</w:t>
      </w:r>
      <w:r w:rsidRPr="00132E65">
        <w:rPr>
          <w:rtl/>
          <w:lang w:bidi="fa-IR"/>
        </w:rPr>
        <w:t xml:space="preserve"> مِنْ بَعْدِهِ »</w:t>
      </w:r>
      <w:r>
        <w:rPr>
          <w:rtl/>
          <w:lang w:bidi="fa-IR"/>
        </w:rPr>
        <w:t>.</w:t>
      </w:r>
    </w:p>
    <w:p w:rsidR="000C39D1" w:rsidRPr="00132E65" w:rsidRDefault="000C39D1" w:rsidP="000C39D1">
      <w:pPr>
        <w:pStyle w:val="libNormal"/>
        <w:rPr>
          <w:rtl/>
          <w:lang w:bidi="fa-IR"/>
        </w:rPr>
      </w:pPr>
      <w:r w:rsidRPr="00132E65">
        <w:rPr>
          <w:rtl/>
          <w:lang w:bidi="fa-IR"/>
        </w:rPr>
        <w:t>فَقُلْتُ : جُعِلْتُ فِدَاكَ ، و</w:t>
      </w:r>
      <w:r w:rsidR="003A5A36">
        <w:rPr>
          <w:rFonts w:hint="cs"/>
          <w:rtl/>
          <w:lang w:bidi="fa-IR"/>
        </w:rPr>
        <w:t>َ</w:t>
      </w:r>
      <w:r w:rsidRPr="00132E65">
        <w:rPr>
          <w:rtl/>
          <w:lang w:bidi="fa-IR"/>
        </w:rPr>
        <w:t xml:space="preserve">مَا هذَا مِنْ أَمَارَةِ </w:t>
      </w:r>
      <w:r>
        <w:rPr>
          <w:rStyle w:val="libFootnotenumChar"/>
          <w:rtl/>
        </w:rPr>
        <w:t>(7)</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وأَمَارَةِ الْوَصِيِّ </w:t>
      </w:r>
      <w:r>
        <w:rPr>
          <w:rStyle w:val="libFootnotenumChar"/>
          <w:rtl/>
        </w:rPr>
        <w:t>(8)</w:t>
      </w:r>
      <w:r w:rsidRPr="00132E65">
        <w:rPr>
          <w:rtl/>
          <w:lang w:bidi="fa-IR"/>
        </w:rPr>
        <w:t xml:space="preserve"> مِنْ بَعْدِهِ </w:t>
      </w:r>
      <w:r>
        <w:rPr>
          <w:rStyle w:val="libFootnotenumChar"/>
          <w:rtl/>
        </w:rPr>
        <w:t>(9)</w:t>
      </w:r>
      <w:r>
        <w:rPr>
          <w:rtl/>
          <w:lang w:bidi="fa-IR"/>
        </w:rPr>
        <w:t>؟</w:t>
      </w:r>
    </w:p>
    <w:p w:rsidR="000C39D1" w:rsidRPr="00132E65" w:rsidRDefault="000C39D1" w:rsidP="000C39D1">
      <w:pPr>
        <w:pStyle w:val="libNormal"/>
        <w:rPr>
          <w:rtl/>
          <w:lang w:bidi="fa-IR"/>
        </w:rPr>
      </w:pPr>
      <w:r w:rsidRPr="00132E65">
        <w:rPr>
          <w:rtl/>
          <w:lang w:bidi="fa-IR"/>
        </w:rPr>
        <w:t xml:space="preserve">فَقَالَ لِي : « إِنَّهُ لَمَّا كَانَتِ اللَّيْلَةُ الَّتِي عُلِقَ </w:t>
      </w:r>
      <w:r>
        <w:rPr>
          <w:rStyle w:val="libFootnotenumChar"/>
          <w:rtl/>
        </w:rPr>
        <w:t>(10)</w:t>
      </w:r>
      <w:r w:rsidRPr="00132E65">
        <w:rPr>
          <w:rtl/>
          <w:lang w:bidi="fa-IR"/>
        </w:rPr>
        <w:t xml:space="preserve"> فِيهَا بِجَدِّي ، أَتى آتٍ جَدَّ أَبِي بِكَأْسٍ فِيهِ شَرْبَةٌ أَرَقُّ مِنَ الْمَاءِ ، وأَلْيَنُ مِنَ الزُّبْدِ </w:t>
      </w:r>
      <w:r>
        <w:rPr>
          <w:rStyle w:val="libFootnotenumChar"/>
          <w:rtl/>
        </w:rPr>
        <w:t>(11)</w:t>
      </w:r>
      <w:r w:rsidRPr="00132E65">
        <w:rPr>
          <w:rtl/>
          <w:lang w:bidi="fa-IR"/>
        </w:rPr>
        <w:t xml:space="preserve"> ، و</w:t>
      </w:r>
      <w:r w:rsidR="003A5A36">
        <w:rPr>
          <w:rFonts w:hint="cs"/>
          <w:rtl/>
          <w:lang w:bidi="fa-IR"/>
        </w:rPr>
        <w:t>َ</w:t>
      </w:r>
      <w:r w:rsidRPr="00132E65">
        <w:rPr>
          <w:rtl/>
          <w:lang w:bidi="fa-IR"/>
        </w:rPr>
        <w:t>أَحْلى مِنَ الشَّهْدِ ، و</w:t>
      </w:r>
      <w:r w:rsidR="003A5A36">
        <w:rPr>
          <w:rFonts w:hint="cs"/>
          <w:rtl/>
          <w:lang w:bidi="fa-IR"/>
        </w:rPr>
        <w:t>َ</w:t>
      </w:r>
      <w:r w:rsidRPr="00132E65">
        <w:rPr>
          <w:rtl/>
          <w:lang w:bidi="fa-IR"/>
        </w:rPr>
        <w:t>أَبْرَدُ مِنَ الثَّلْجِ ، وَأَبْيَضُ مِنَ اللَّبَنِ ، فَسَقَاهُ إِيَّاهُ ، و</w:t>
      </w:r>
      <w:r w:rsidR="003A5A36">
        <w:rPr>
          <w:rFonts w:hint="cs"/>
          <w:rtl/>
          <w:lang w:bidi="fa-IR"/>
        </w:rPr>
        <w:t>َ</w:t>
      </w:r>
      <w:r w:rsidRPr="00132E65">
        <w:rPr>
          <w:rtl/>
          <w:lang w:bidi="fa-IR"/>
        </w:rPr>
        <w:t>أَمَرَهُ بِالْجِمَاعِ ، فَقَامَ ، فَجَامَعَ ، فَعُلِقَ بِجَدِّي.</w:t>
      </w:r>
    </w:p>
    <w:p w:rsidR="000C39D1" w:rsidRPr="00132E65" w:rsidRDefault="000C39D1" w:rsidP="000C39D1">
      <w:pPr>
        <w:pStyle w:val="libNormal"/>
        <w:rPr>
          <w:rtl/>
          <w:lang w:bidi="fa-IR"/>
        </w:rPr>
      </w:pPr>
      <w:r w:rsidRPr="00132E65">
        <w:rPr>
          <w:rtl/>
          <w:lang w:bidi="fa-IR"/>
        </w:rPr>
        <w:t>وَلَمَّا أَنْ كَانَتِ اللَّيْلَةُ الَّتِي عُلِقَ فِيهَا بِأَبِي ، أَتى آتٍ جَدِّي ، فَسَقَاهُ كَمَا سَقى جَدَّ‌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ف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لا أسبقك »</w:t>
      </w:r>
      <w:r>
        <w:rPr>
          <w:rtl/>
        </w:rPr>
        <w:t>.</w:t>
      </w:r>
    </w:p>
    <w:tbl>
      <w:tblPr>
        <w:tblStyle w:val="TableGrid"/>
        <w:bidiVisual/>
        <w:tblW w:w="0" w:type="auto"/>
        <w:tblLook w:val="04A0" w:firstRow="1" w:lastRow="0" w:firstColumn="1" w:lastColumn="0" w:noHBand="0" w:noVBand="1"/>
      </w:tblPr>
      <w:tblGrid>
        <w:gridCol w:w="4006"/>
        <w:gridCol w:w="4006"/>
      </w:tblGrid>
      <w:tr w:rsidR="003A5A36" w:rsidTr="003A5A36">
        <w:tc>
          <w:tcPr>
            <w:tcW w:w="4006" w:type="dxa"/>
          </w:tcPr>
          <w:p w:rsidR="003A5A36" w:rsidRDefault="003A5A36" w:rsidP="000C39D1">
            <w:pPr>
              <w:pStyle w:val="libFootnote0"/>
              <w:rPr>
                <w:rtl/>
              </w:rPr>
            </w:pPr>
            <w:r>
              <w:rPr>
                <w:rtl/>
              </w:rPr>
              <w:t>(2).</w:t>
            </w:r>
            <w:r w:rsidRPr="00132E65">
              <w:rPr>
                <w:rtl/>
              </w:rPr>
              <w:t xml:space="preserve"> في « ب » : « وانطلق »</w:t>
            </w:r>
            <w:r>
              <w:rPr>
                <w:rtl/>
              </w:rPr>
              <w:t>.</w:t>
            </w:r>
          </w:p>
        </w:tc>
        <w:tc>
          <w:tcPr>
            <w:tcW w:w="4006" w:type="dxa"/>
          </w:tcPr>
          <w:p w:rsidR="003A5A36" w:rsidRDefault="003A5A36" w:rsidP="000C39D1">
            <w:pPr>
              <w:pStyle w:val="libFootnote0"/>
              <w:rPr>
                <w:rtl/>
              </w:rPr>
            </w:pPr>
            <w:r>
              <w:rPr>
                <w:rtl/>
              </w:rPr>
              <w:t>(3).</w:t>
            </w:r>
            <w:r w:rsidRPr="00132E65">
              <w:rPr>
                <w:rtl/>
              </w:rPr>
              <w:t xml:space="preserve"> في « ف » : « برأه »</w:t>
            </w:r>
            <w:r>
              <w:rPr>
                <w:rtl/>
              </w:rPr>
              <w:t>.</w:t>
            </w:r>
          </w:p>
        </w:tc>
      </w:tr>
    </w:tbl>
    <w:p w:rsidR="000C39D1" w:rsidRPr="00132E65" w:rsidRDefault="000C39D1" w:rsidP="000C39D1">
      <w:pPr>
        <w:pStyle w:val="libFootnote0"/>
        <w:rPr>
          <w:rtl/>
          <w:lang w:bidi="fa-IR"/>
        </w:rPr>
      </w:pPr>
      <w:r>
        <w:rPr>
          <w:rtl/>
        </w:rPr>
        <w:t>(4).</w:t>
      </w:r>
      <w:r w:rsidRPr="00132E65">
        <w:rPr>
          <w:rtl/>
        </w:rPr>
        <w:t xml:space="preserve"> في « ب » </w:t>
      </w:r>
      <w:r>
        <w:rPr>
          <w:rtl/>
        </w:rPr>
        <w:t xml:space="preserve">: - </w:t>
      </w:r>
      <w:r w:rsidRPr="00132E65">
        <w:rPr>
          <w:rtl/>
        </w:rPr>
        <w:t xml:space="preserve">« </w:t>
      </w:r>
      <w:r>
        <w:rPr>
          <w:rtl/>
        </w:rPr>
        <w:t>و ».</w:t>
      </w:r>
      <w:r w:rsidRPr="00132E65">
        <w:rPr>
          <w:rtl/>
        </w:rPr>
        <w:t xml:space="preserve"> وفي « ض ، بر ، بس ، بف » و</w:t>
      </w:r>
      <w:r w:rsidRPr="009D1ACE">
        <w:rPr>
          <w:rStyle w:val="libFootnoteBoldChar"/>
          <w:rtl/>
        </w:rPr>
        <w:t>الوافي</w:t>
      </w:r>
      <w:r w:rsidRPr="00132E65">
        <w:rPr>
          <w:rtl/>
        </w:rPr>
        <w:t xml:space="preserve"> : « فما »</w:t>
      </w:r>
      <w:r>
        <w:rPr>
          <w:rtl/>
        </w:rPr>
        <w:t>.</w:t>
      </w:r>
    </w:p>
    <w:p w:rsidR="000C39D1" w:rsidRPr="00132E65" w:rsidRDefault="000C39D1" w:rsidP="003A5A36">
      <w:pPr>
        <w:pStyle w:val="libFootnote0"/>
        <w:rPr>
          <w:rtl/>
          <w:lang w:bidi="fa-IR"/>
        </w:rPr>
      </w:pPr>
      <w:r>
        <w:rPr>
          <w:rtl/>
        </w:rPr>
        <w:t>(5).</w:t>
      </w:r>
      <w:r w:rsidRPr="00132E65">
        <w:rPr>
          <w:rtl/>
        </w:rPr>
        <w:t xml:space="preserve"> هكذا في « ب ، ج ، ض ، ف ، بح ، بر ، بس ، بف » والمحاسن والبحار ، وا</w:t>
      </w:r>
      <w:r w:rsidR="003A5A36">
        <w:rPr>
          <w:rFonts w:hint="cs"/>
          <w:rtl/>
        </w:rPr>
        <w:t>ُ</w:t>
      </w:r>
      <w:r w:rsidRPr="00132E65">
        <w:rPr>
          <w:rtl/>
        </w:rPr>
        <w:t>ريد بها الجنس. وفي المطبوع : « يديه »</w:t>
      </w:r>
      <w:r>
        <w:rPr>
          <w:rtl/>
        </w:rPr>
        <w:t>.</w:t>
      </w:r>
      <w:r w:rsidR="003A5A36">
        <w:rPr>
          <w:rFonts w:hint="cs"/>
          <w:rtl/>
        </w:rPr>
        <w:t xml:space="preserve">                                          </w:t>
      </w:r>
      <w:r w:rsidR="00936037">
        <w:rPr>
          <w:rFonts w:hint="cs"/>
          <w:rtl/>
        </w:rPr>
        <w:t xml:space="preserve">     </w:t>
      </w:r>
      <w:r w:rsidR="003A5A36">
        <w:rPr>
          <w:rFonts w:hint="cs"/>
          <w:rtl/>
        </w:rPr>
        <w:t xml:space="preserve">         </w:t>
      </w:r>
      <w:r>
        <w:rPr>
          <w:rtl/>
        </w:rPr>
        <w:t>(6).</w:t>
      </w:r>
      <w:r w:rsidRPr="00132E65">
        <w:rPr>
          <w:rtl/>
        </w:rPr>
        <w:t xml:space="preserve"> في حاشية « ف » : « الأوصياء »</w:t>
      </w:r>
      <w:r>
        <w:rPr>
          <w:rtl/>
        </w:rPr>
        <w:t>.</w:t>
      </w:r>
    </w:p>
    <w:tbl>
      <w:tblPr>
        <w:tblStyle w:val="TableGrid"/>
        <w:bidiVisual/>
        <w:tblW w:w="0" w:type="auto"/>
        <w:tblLook w:val="04A0" w:firstRow="1" w:lastRow="0" w:firstColumn="1" w:lastColumn="0" w:noHBand="0" w:noVBand="1"/>
      </w:tblPr>
      <w:tblGrid>
        <w:gridCol w:w="4006"/>
        <w:gridCol w:w="4006"/>
      </w:tblGrid>
      <w:tr w:rsidR="003A5A36" w:rsidTr="003A5A36">
        <w:tc>
          <w:tcPr>
            <w:tcW w:w="4006" w:type="dxa"/>
          </w:tcPr>
          <w:p w:rsidR="003A5A36" w:rsidRDefault="003A5A36" w:rsidP="000C39D1">
            <w:pPr>
              <w:pStyle w:val="libFootnote0"/>
              <w:rPr>
                <w:rtl/>
              </w:rPr>
            </w:pPr>
            <w:r>
              <w:rPr>
                <w:rtl/>
              </w:rPr>
              <w:t>(7).</w:t>
            </w:r>
            <w:r w:rsidRPr="00132E65">
              <w:rPr>
                <w:rtl/>
              </w:rPr>
              <w:t xml:space="preserve"> في « ف » : « وما هذه أمارة »</w:t>
            </w:r>
            <w:r>
              <w:rPr>
                <w:rtl/>
              </w:rPr>
              <w:t>.</w:t>
            </w:r>
          </w:p>
        </w:tc>
        <w:tc>
          <w:tcPr>
            <w:tcW w:w="4006" w:type="dxa"/>
          </w:tcPr>
          <w:p w:rsidR="003A5A36" w:rsidRDefault="003A5A36" w:rsidP="000C39D1">
            <w:pPr>
              <w:pStyle w:val="libFootnote0"/>
              <w:rPr>
                <w:rtl/>
              </w:rPr>
            </w:pPr>
            <w:r>
              <w:rPr>
                <w:rtl/>
              </w:rPr>
              <w:t>(8).</w:t>
            </w:r>
            <w:r w:rsidRPr="00132E65">
              <w:rPr>
                <w:rtl/>
              </w:rPr>
              <w:t xml:space="preserve"> في « ب » : « وصيّه »</w:t>
            </w:r>
            <w:r>
              <w:rPr>
                <w:rtl/>
              </w:rPr>
              <w:t>.</w:t>
            </w:r>
          </w:p>
        </w:tc>
      </w:tr>
    </w:tbl>
    <w:p w:rsidR="000C39D1" w:rsidRPr="00132E65" w:rsidRDefault="000C39D1" w:rsidP="000C39D1">
      <w:pPr>
        <w:pStyle w:val="libFootnote0"/>
        <w:rPr>
          <w:rtl/>
          <w:lang w:bidi="fa-IR"/>
        </w:rPr>
      </w:pPr>
      <w:r>
        <w:rPr>
          <w:rtl/>
        </w:rPr>
        <w:t>(9).</w:t>
      </w:r>
      <w:r w:rsidRPr="00132E65">
        <w:rPr>
          <w:rtl/>
        </w:rPr>
        <w:t xml:space="preserve"> في البحار </w:t>
      </w:r>
      <w:r>
        <w:rPr>
          <w:rtl/>
        </w:rPr>
        <w:t xml:space="preserve">: - </w:t>
      </w:r>
      <w:r w:rsidRPr="00132E65">
        <w:rPr>
          <w:rtl/>
        </w:rPr>
        <w:t>« فقلتُ : جعلت فداك</w:t>
      </w:r>
      <w:r>
        <w:rPr>
          <w:rtl/>
        </w:rPr>
        <w:t xml:space="preserve"> - </w:t>
      </w:r>
      <w:r w:rsidRPr="00132E65">
        <w:rPr>
          <w:rtl/>
        </w:rPr>
        <w:t>إلى</w:t>
      </w:r>
      <w:r>
        <w:rPr>
          <w:rtl/>
        </w:rPr>
        <w:t xml:space="preserve"> - </w:t>
      </w:r>
      <w:r w:rsidRPr="00132E65">
        <w:rPr>
          <w:rtl/>
        </w:rPr>
        <w:t>الوصيّ من بعده »</w:t>
      </w:r>
      <w:r>
        <w:rPr>
          <w:rtl/>
        </w:rPr>
        <w:t>.</w:t>
      </w:r>
    </w:p>
    <w:p w:rsidR="000C39D1" w:rsidRPr="00132E65" w:rsidRDefault="000C39D1" w:rsidP="000C39D1">
      <w:pPr>
        <w:pStyle w:val="libFootnote0"/>
        <w:rPr>
          <w:rtl/>
          <w:lang w:bidi="fa-IR"/>
        </w:rPr>
      </w:pPr>
      <w:r>
        <w:rPr>
          <w:rtl/>
        </w:rPr>
        <w:t>(10).</w:t>
      </w:r>
      <w:r w:rsidRPr="00132E65">
        <w:rPr>
          <w:rtl/>
        </w:rPr>
        <w:t xml:space="preserve"> « علق » : مجهول من عَلِقَت المرأةُ ، أي حَبَلتْ. </w:t>
      </w:r>
      <w:r w:rsidRPr="003A5A36">
        <w:rPr>
          <w:rStyle w:val="libFootnoteBoldChar"/>
          <w:rtl/>
        </w:rPr>
        <w:t>الصحاح</w:t>
      </w:r>
      <w:r w:rsidRPr="00132E65">
        <w:rPr>
          <w:rtl/>
        </w:rPr>
        <w:t xml:space="preserve"> ، ج 4 ، ص 1529 ( علق )</w:t>
      </w:r>
      <w:r>
        <w:rPr>
          <w:rtl/>
        </w:rPr>
        <w:t>.</w:t>
      </w:r>
      <w:r w:rsidRPr="00132E65">
        <w:rPr>
          <w:rtl/>
        </w:rPr>
        <w:t xml:space="preserve"> والمراد « بجدّي » السجّاد </w:t>
      </w:r>
      <w:r w:rsidRPr="003A5A36">
        <w:rPr>
          <w:rStyle w:val="libFootnoteAlaemChar"/>
          <w:rtl/>
        </w:rPr>
        <w:t>عليه‌السلام</w:t>
      </w:r>
      <w:r w:rsidRPr="00132E65">
        <w:rPr>
          <w:rtl/>
        </w:rPr>
        <w:t>.</w:t>
      </w:r>
    </w:p>
    <w:p w:rsidR="000C39D1" w:rsidRPr="00132E65" w:rsidRDefault="000C39D1" w:rsidP="000C39D1">
      <w:pPr>
        <w:pStyle w:val="libFootnote0"/>
        <w:rPr>
          <w:rtl/>
          <w:lang w:bidi="fa-IR"/>
        </w:rPr>
      </w:pPr>
      <w:r>
        <w:rPr>
          <w:rtl/>
        </w:rPr>
        <w:t>(11).</w:t>
      </w:r>
      <w:r w:rsidRPr="00132E65">
        <w:rPr>
          <w:rtl/>
        </w:rPr>
        <w:t xml:space="preserve"> « الزُبد » : ما يستخرج بالمخض من لبن البقر والغنم. </w:t>
      </w:r>
      <w:r w:rsidRPr="003A5A36">
        <w:rPr>
          <w:rStyle w:val="libFootnoteBoldChar"/>
          <w:rtl/>
        </w:rPr>
        <w:t>المصباح المنير</w:t>
      </w:r>
      <w:r w:rsidRPr="00132E65">
        <w:rPr>
          <w:rtl/>
        </w:rPr>
        <w:t xml:space="preserve"> ، ص 250 ( زبد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 و</w:t>
      </w:r>
      <w:r w:rsidR="003A5A36">
        <w:rPr>
          <w:rFonts w:hint="cs"/>
          <w:rtl/>
          <w:lang w:bidi="fa-IR"/>
        </w:rPr>
        <w:t>َ</w:t>
      </w:r>
      <w:r w:rsidRPr="00132E65">
        <w:rPr>
          <w:rtl/>
          <w:lang w:bidi="fa-IR"/>
        </w:rPr>
        <w:t xml:space="preserve">أَمَرَهُ بِمِثْلِ الَّذِي أَمَرَهُ </w:t>
      </w:r>
      <w:r>
        <w:rPr>
          <w:rStyle w:val="libFootnotenumChar"/>
          <w:rtl/>
        </w:rPr>
        <w:t>(1)</w:t>
      </w:r>
      <w:r w:rsidRPr="00132E65">
        <w:rPr>
          <w:rtl/>
          <w:lang w:bidi="fa-IR"/>
        </w:rPr>
        <w:t xml:space="preserve"> ، فَقَامَ ، فَجَامَعَ ، فَعُلِقَ بِأَبِي.</w:t>
      </w:r>
    </w:p>
    <w:p w:rsidR="000C39D1" w:rsidRPr="00132E65" w:rsidRDefault="000C39D1" w:rsidP="000C39D1">
      <w:pPr>
        <w:pStyle w:val="libNormal"/>
        <w:rPr>
          <w:rtl/>
          <w:lang w:bidi="fa-IR"/>
        </w:rPr>
      </w:pPr>
      <w:r w:rsidRPr="00132E65">
        <w:rPr>
          <w:rtl/>
          <w:lang w:bidi="fa-IR"/>
        </w:rPr>
        <w:t xml:space="preserve">وَلَمَّا </w:t>
      </w:r>
      <w:r>
        <w:rPr>
          <w:rStyle w:val="libFootnotenumChar"/>
          <w:rtl/>
        </w:rPr>
        <w:t>(2)</w:t>
      </w:r>
      <w:r w:rsidRPr="00132E65">
        <w:rPr>
          <w:rtl/>
          <w:lang w:bidi="fa-IR"/>
        </w:rPr>
        <w:t xml:space="preserve"> أَنْ كَانَتِ اللَّيْلَةُ الَّتِي عُلِقَ فِيهَا بِي ، أَتى آتٍ أَبِي ، فَسَقَاهُ بِمَا </w:t>
      </w:r>
      <w:r>
        <w:rPr>
          <w:rStyle w:val="libFootnotenumChar"/>
          <w:rtl/>
        </w:rPr>
        <w:t>(3)</w:t>
      </w:r>
      <w:r w:rsidRPr="00132E65">
        <w:rPr>
          <w:rtl/>
          <w:lang w:bidi="fa-IR"/>
        </w:rPr>
        <w:t xml:space="preserve"> سَقَاهُمْ ، و</w:t>
      </w:r>
      <w:r w:rsidR="003A5A36">
        <w:rPr>
          <w:rFonts w:hint="cs"/>
          <w:rtl/>
          <w:lang w:bidi="fa-IR"/>
        </w:rPr>
        <w:t>َ</w:t>
      </w:r>
      <w:r w:rsidRPr="00132E65">
        <w:rPr>
          <w:rtl/>
          <w:lang w:bidi="fa-IR"/>
        </w:rPr>
        <w:t xml:space="preserve">أَمَرَهُ بِالَّذِي أَمَرَهُمْ بِهِ </w:t>
      </w:r>
      <w:r>
        <w:rPr>
          <w:rStyle w:val="libFootnotenumChar"/>
          <w:rtl/>
        </w:rPr>
        <w:t>(4)</w:t>
      </w:r>
      <w:r w:rsidRPr="00132E65">
        <w:rPr>
          <w:rtl/>
          <w:lang w:bidi="fa-IR"/>
        </w:rPr>
        <w:t xml:space="preserve"> ، فَقَامَ </w:t>
      </w:r>
      <w:r>
        <w:rPr>
          <w:rStyle w:val="libFootnotenumChar"/>
          <w:rtl/>
        </w:rPr>
        <w:t>(5)</w:t>
      </w:r>
      <w:r w:rsidRPr="00132E65">
        <w:rPr>
          <w:rtl/>
          <w:lang w:bidi="fa-IR"/>
        </w:rPr>
        <w:t xml:space="preserve"> ، فَجَامَعَ ، فَعُلِقَ بِي.</w:t>
      </w:r>
    </w:p>
    <w:p w:rsidR="000C39D1" w:rsidRPr="00132E65" w:rsidRDefault="000C39D1" w:rsidP="000C39D1">
      <w:pPr>
        <w:pStyle w:val="libNormal"/>
        <w:rPr>
          <w:rtl/>
          <w:lang w:bidi="fa-IR"/>
        </w:rPr>
      </w:pPr>
      <w:r w:rsidRPr="00132E65">
        <w:rPr>
          <w:rtl/>
          <w:lang w:bidi="fa-IR"/>
        </w:rPr>
        <w:t xml:space="preserve">وَلَمَّا أَنْ كَانَتِ اللَّيْلَةُ الَّتِي عُلِقَ فِيهَا بِابْنِي ، أَتَانِي آتٍ كَمَا أَتَاهُمْ ، فَفَعَلَ </w:t>
      </w:r>
      <w:r>
        <w:rPr>
          <w:rStyle w:val="libFootnotenumChar"/>
          <w:rtl/>
        </w:rPr>
        <w:t>(6)</w:t>
      </w:r>
      <w:r w:rsidRPr="00132E65">
        <w:rPr>
          <w:rtl/>
          <w:lang w:bidi="fa-IR"/>
        </w:rPr>
        <w:t xml:space="preserve"> بِي كَمَا فَعَلَ بِهِمْ ، فَقُمْتُ بِعِلْمِ اللهِ </w:t>
      </w:r>
      <w:r>
        <w:rPr>
          <w:rStyle w:val="libFootnotenumChar"/>
          <w:rtl/>
        </w:rPr>
        <w:t>(7)</w:t>
      </w:r>
      <w:r w:rsidRPr="00132E65">
        <w:rPr>
          <w:rtl/>
          <w:lang w:bidi="fa-IR"/>
        </w:rPr>
        <w:t xml:space="preserve"> ، و</w:t>
      </w:r>
      <w:r w:rsidR="003A5A36">
        <w:rPr>
          <w:rFonts w:hint="cs"/>
          <w:rtl/>
          <w:lang w:bidi="fa-IR"/>
        </w:rPr>
        <w:t>َ</w:t>
      </w:r>
      <w:r w:rsidRPr="00132E65">
        <w:rPr>
          <w:rtl/>
          <w:lang w:bidi="fa-IR"/>
        </w:rPr>
        <w:t xml:space="preserve">إِنِّي مَسْرُورٌ بِمَا يَهَبُ اللهُ لِي ، فَجَامَعْتُ ، فَعُلِقَ </w:t>
      </w:r>
      <w:r>
        <w:rPr>
          <w:rStyle w:val="libFootnotenumChar"/>
          <w:rtl/>
        </w:rPr>
        <w:t>(8)</w:t>
      </w:r>
      <w:r w:rsidRPr="00132E65">
        <w:rPr>
          <w:rtl/>
          <w:lang w:bidi="fa-IR"/>
        </w:rPr>
        <w:t xml:space="preserve"> بِابْنِي هذَا الْمَوْلُودِ ، فَدُونَكُمْ ، فَهُوَ</w:t>
      </w:r>
      <w:r>
        <w:rPr>
          <w:rtl/>
          <w:lang w:bidi="fa-IR"/>
        </w:rPr>
        <w:t xml:space="preserve"> - </w:t>
      </w:r>
      <w:r w:rsidRPr="00132E65">
        <w:rPr>
          <w:rtl/>
          <w:lang w:bidi="fa-IR"/>
        </w:rPr>
        <w:t>و</w:t>
      </w:r>
      <w:r w:rsidR="003A5A36">
        <w:rPr>
          <w:rFonts w:hint="cs"/>
          <w:rtl/>
          <w:lang w:bidi="fa-IR"/>
        </w:rPr>
        <w:t>َ</w:t>
      </w:r>
      <w:r w:rsidRPr="00132E65">
        <w:rPr>
          <w:rtl/>
          <w:lang w:bidi="fa-IR"/>
        </w:rPr>
        <w:t>اللهِ</w:t>
      </w:r>
      <w:r>
        <w:rPr>
          <w:rtl/>
          <w:lang w:bidi="fa-IR"/>
        </w:rPr>
        <w:t xml:space="preserve"> - </w:t>
      </w:r>
      <w:r w:rsidRPr="00132E65">
        <w:rPr>
          <w:rtl/>
          <w:lang w:bidi="fa-IR"/>
        </w:rPr>
        <w:t xml:space="preserve">صَاحِبُكُمْ مِنْ بَعْدِي ؛ إِنَّ </w:t>
      </w:r>
      <w:r>
        <w:rPr>
          <w:rStyle w:val="libFootnotenumChar"/>
          <w:rtl/>
        </w:rPr>
        <w:t>(9)</w:t>
      </w:r>
      <w:r w:rsidRPr="00132E65">
        <w:rPr>
          <w:rtl/>
          <w:lang w:bidi="fa-IR"/>
        </w:rPr>
        <w:t xml:space="preserve"> نُطْفَةَ الْإِمَامِ مِمَّا أَخْبَرْتُكَ ، وإِذَا سَكَنَتِ النُّطْفَةُ فِي الرَّحِمِ أَرْبَعَةَ أَشْهُرٍ وأُنْشِئَ فِيهَا الرُّوحُ ، بَعَثَ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مَلَكاً ، يُقَالُ لَهُ : حَيَوَانُ ، فَكَتَبَ عَلى </w:t>
      </w:r>
      <w:r>
        <w:rPr>
          <w:rStyle w:val="libFootnotenumChar"/>
          <w:rtl/>
        </w:rPr>
        <w:t>(10)</w:t>
      </w:r>
      <w:r w:rsidRPr="00132E65">
        <w:rPr>
          <w:rtl/>
          <w:lang w:bidi="fa-IR"/>
        </w:rPr>
        <w:t xml:space="preserve"> عَضُدِهِ الْأَيْمَنِ : </w:t>
      </w:r>
      <w:r w:rsidRPr="00071CF9">
        <w:rPr>
          <w:rStyle w:val="libAlaemChar"/>
          <w:rtl/>
        </w:rPr>
        <w:t>(</w:t>
      </w:r>
      <w:r w:rsidRPr="00071CF9">
        <w:rPr>
          <w:rStyle w:val="libAieChar"/>
          <w:rtl/>
        </w:rPr>
        <w:t xml:space="preserve"> وَتَمَّتْ كَلِمَةُ رَبِّكَ صِدْقاً وَعَدْلاً لا مُبَدِّلَ لِكَلِماتِهِ وَهُوَ السَّمِيعُ الْعَلِيمُ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و</w:t>
      </w:r>
      <w:r w:rsidR="003A5A36">
        <w:rPr>
          <w:rFonts w:hint="cs"/>
          <w:rtl/>
          <w:lang w:bidi="fa-IR"/>
        </w:rPr>
        <w:t>َ</w:t>
      </w:r>
      <w:r w:rsidRPr="00132E65">
        <w:rPr>
          <w:rtl/>
          <w:lang w:bidi="fa-IR"/>
        </w:rPr>
        <w:t xml:space="preserve">إِذَا وقَعَ مِنْ </w:t>
      </w:r>
      <w:r>
        <w:rPr>
          <w:rStyle w:val="libFootnotenumChar"/>
          <w:rtl/>
        </w:rPr>
        <w:t>(12)</w:t>
      </w:r>
      <w:r w:rsidRPr="00132E65">
        <w:rPr>
          <w:rtl/>
          <w:lang w:bidi="fa-IR"/>
        </w:rPr>
        <w:t xml:space="preserve"> بَطْنِ أُمِّهِ ، وقَعَ وَاضِعاً يَدَيْهِ </w:t>
      </w:r>
      <w:r w:rsidRPr="00F543F1">
        <w:rPr>
          <w:rStyle w:val="libFootnotenumChar"/>
          <w:rtl/>
        </w:rPr>
        <w:t>(13)</w:t>
      </w:r>
      <w:r w:rsidRPr="00132E65">
        <w:rPr>
          <w:rtl/>
          <w:lang w:bidi="fa-IR"/>
        </w:rPr>
        <w:t xml:space="preserve"> عَلَى الْأَرْضِ ، رَافِعاً رَأْسَهُ إِلَى السَّمَاءِ ، فَأَمَّا و</w:t>
      </w:r>
      <w:r w:rsidR="003A5A36">
        <w:rPr>
          <w:rFonts w:hint="cs"/>
          <w:rtl/>
          <w:lang w:bidi="fa-IR"/>
        </w:rPr>
        <w:t>َ</w:t>
      </w:r>
      <w:r w:rsidRPr="00132E65">
        <w:rPr>
          <w:rtl/>
          <w:lang w:bidi="fa-IR"/>
        </w:rPr>
        <w:t xml:space="preserve">ضْعُهُ يَدَيْهِ عَلَى الْأَرْضِ ، فَإِنَّهُ يَقْبِضُ كُلَّ عِلْمٍ لِلّهِ أَنْزَلَهُ </w:t>
      </w:r>
      <w:r w:rsidRPr="00F543F1">
        <w:rPr>
          <w:rStyle w:val="libFootnotenumChar"/>
          <w:rtl/>
        </w:rPr>
        <w:t>(14)</w:t>
      </w:r>
      <w:r w:rsidRPr="00132E65">
        <w:rPr>
          <w:rtl/>
          <w:lang w:bidi="fa-IR"/>
        </w:rPr>
        <w:t xml:space="preserve"> مِنَ السَّمَاءِ إِلَى الْأَرْضِ ، وأَمَّا رَفْعُهُ رَأْسَهُ إِلَى السَّمَاءِ ، فَإِنَّ مُنَادِياً يُنَادِي بِهِ مِنْ بُطْنَانِ الْعَرْشِ </w:t>
      </w:r>
      <w:r w:rsidRPr="00F543F1">
        <w:rPr>
          <w:rStyle w:val="libFootnotenumChar"/>
          <w:rtl/>
        </w:rPr>
        <w:t>(15)</w:t>
      </w:r>
      <w:r w:rsidRPr="00132E65">
        <w:rPr>
          <w:rtl/>
          <w:lang w:bidi="fa-IR"/>
        </w:rPr>
        <w:t xml:space="preserve"> مِنْ قِبَلِ رَبِّ الْعِزَّةِ مِنَ الْأُفُقِ الْأَعْلى بِاسْمِهِ‌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(2).</w:t>
      </w:r>
      <w:r w:rsidRPr="00132E65">
        <w:rPr>
          <w:rtl/>
        </w:rPr>
        <w:t xml:space="preserve"> في « ب » : « فلمّا »</w:t>
      </w:r>
      <w:r>
        <w:rPr>
          <w:rtl/>
        </w:rPr>
        <w:t>.</w:t>
      </w:r>
    </w:p>
    <w:p w:rsidR="000C39D1" w:rsidRPr="00132E65" w:rsidRDefault="000C39D1" w:rsidP="000C39D1">
      <w:pPr>
        <w:pStyle w:val="libFootnote0"/>
        <w:rPr>
          <w:rtl/>
          <w:lang w:bidi="fa-IR"/>
        </w:rPr>
      </w:pPr>
      <w:r>
        <w:rPr>
          <w:rtl/>
        </w:rPr>
        <w:t>(3).</w:t>
      </w:r>
      <w:r w:rsidRPr="00132E65">
        <w:rPr>
          <w:rtl/>
        </w:rPr>
        <w:t xml:space="preserve"> في « ج » وحاشية « بح » : « كما »</w:t>
      </w:r>
      <w:r>
        <w:rPr>
          <w:rtl/>
        </w:rPr>
        <w:t>.</w:t>
      </w:r>
    </w:p>
    <w:tbl>
      <w:tblPr>
        <w:tblStyle w:val="TableGrid"/>
        <w:bidiVisual/>
        <w:tblW w:w="0" w:type="auto"/>
        <w:tblLook w:val="04A0" w:firstRow="1" w:lastRow="0" w:firstColumn="1" w:lastColumn="0" w:noHBand="0" w:noVBand="1"/>
      </w:tblPr>
      <w:tblGrid>
        <w:gridCol w:w="4006"/>
        <w:gridCol w:w="4006"/>
      </w:tblGrid>
      <w:tr w:rsidR="003A5A36" w:rsidTr="003A5A36">
        <w:tc>
          <w:tcPr>
            <w:tcW w:w="4006" w:type="dxa"/>
          </w:tcPr>
          <w:p w:rsidR="003A5A36" w:rsidRDefault="003A5A36" w:rsidP="000C39D1">
            <w:pPr>
              <w:pStyle w:val="libFootnote0"/>
              <w:rPr>
                <w:rtl/>
              </w:rPr>
            </w:pPr>
            <w:r>
              <w:rPr>
                <w:rtl/>
              </w:rPr>
              <w:t>(4).</w:t>
            </w:r>
            <w:r w:rsidRPr="00132E65">
              <w:rPr>
                <w:rtl/>
              </w:rPr>
              <w:t xml:space="preserve"> في « ب » </w:t>
            </w:r>
            <w:r>
              <w:rPr>
                <w:rtl/>
              </w:rPr>
              <w:t xml:space="preserve">: - </w:t>
            </w:r>
            <w:r w:rsidRPr="00132E65">
              <w:rPr>
                <w:rtl/>
              </w:rPr>
              <w:t>« به »</w:t>
            </w:r>
            <w:r>
              <w:rPr>
                <w:rtl/>
              </w:rPr>
              <w:t>.</w:t>
            </w:r>
          </w:p>
        </w:tc>
        <w:tc>
          <w:tcPr>
            <w:tcW w:w="4006" w:type="dxa"/>
          </w:tcPr>
          <w:p w:rsidR="003A5A36" w:rsidRDefault="003A5A36" w:rsidP="000C39D1">
            <w:pPr>
              <w:pStyle w:val="libFootnote0"/>
              <w:rPr>
                <w:rtl/>
              </w:rPr>
            </w:pPr>
            <w:r>
              <w:rPr>
                <w:rtl/>
              </w:rPr>
              <w:t>(5).</w:t>
            </w:r>
            <w:r w:rsidRPr="00132E65">
              <w:rPr>
                <w:rtl/>
              </w:rPr>
              <w:t xml:space="preserve"> في « ج » :</w:t>
            </w:r>
            <w:r>
              <w:rPr>
                <w:rtl/>
              </w:rPr>
              <w:t xml:space="preserve"> + </w:t>
            </w:r>
            <w:r w:rsidRPr="00132E65">
              <w:rPr>
                <w:rtl/>
              </w:rPr>
              <w:t>« أبي »</w:t>
            </w:r>
            <w:r>
              <w:rPr>
                <w:rtl/>
              </w:rPr>
              <w:t>.</w:t>
            </w:r>
          </w:p>
        </w:tc>
      </w:tr>
    </w:tbl>
    <w:p w:rsidR="000C39D1" w:rsidRPr="00132E65" w:rsidRDefault="000C39D1" w:rsidP="000C39D1">
      <w:pPr>
        <w:pStyle w:val="libFootnote0"/>
        <w:rPr>
          <w:rtl/>
          <w:lang w:bidi="fa-IR"/>
        </w:rPr>
      </w:pPr>
      <w:r>
        <w:rPr>
          <w:rtl/>
        </w:rPr>
        <w:t>(6).</w:t>
      </w:r>
      <w:r w:rsidRPr="00132E65">
        <w:rPr>
          <w:rtl/>
        </w:rPr>
        <w:t xml:space="preserve"> في « ف » : « وفعل »</w:t>
      </w:r>
      <w:r>
        <w:rPr>
          <w:rtl/>
        </w:rPr>
        <w:t>.</w:t>
      </w:r>
    </w:p>
    <w:p w:rsidR="000C39D1" w:rsidRPr="00132E65" w:rsidRDefault="000C39D1" w:rsidP="000C39D1">
      <w:pPr>
        <w:pStyle w:val="libFootnote0"/>
        <w:rPr>
          <w:rtl/>
          <w:lang w:bidi="fa-IR"/>
        </w:rPr>
      </w:pPr>
      <w:r>
        <w:rPr>
          <w:rtl/>
        </w:rPr>
        <w:t>(7).</w:t>
      </w:r>
      <w:r w:rsidRPr="00132E65">
        <w:rPr>
          <w:rtl/>
        </w:rPr>
        <w:t xml:space="preserve"> « بعلم الله » ، احتمل المازندراني في شرحه بعيداً كونه : بِعَلَمِ الله.</w:t>
      </w:r>
    </w:p>
    <w:p w:rsidR="000C39D1" w:rsidRPr="00132E65" w:rsidRDefault="000C39D1" w:rsidP="000C39D1">
      <w:pPr>
        <w:pStyle w:val="libFootnote0"/>
        <w:rPr>
          <w:rtl/>
          <w:lang w:bidi="fa-IR"/>
        </w:rPr>
      </w:pPr>
      <w:r>
        <w:rPr>
          <w:rtl/>
        </w:rPr>
        <w:t>(8).</w:t>
      </w:r>
      <w:r w:rsidRPr="00132E65">
        <w:rPr>
          <w:rtl/>
        </w:rPr>
        <w:t xml:space="preserve"> في « بس » والمحاسن : « فعلقت »</w:t>
      </w:r>
      <w:r>
        <w:rPr>
          <w:rtl/>
        </w:rPr>
        <w:t>.</w:t>
      </w:r>
    </w:p>
    <w:p w:rsidR="000C39D1" w:rsidRPr="00132E65" w:rsidRDefault="000C39D1" w:rsidP="000C39D1">
      <w:pPr>
        <w:pStyle w:val="libFootnote0"/>
        <w:rPr>
          <w:rtl/>
          <w:lang w:bidi="fa-IR"/>
        </w:rPr>
      </w:pPr>
      <w:r>
        <w:rPr>
          <w:rtl/>
        </w:rPr>
        <w:t>(9).</w:t>
      </w:r>
      <w:r w:rsidRPr="00132E65">
        <w:rPr>
          <w:rtl/>
        </w:rPr>
        <w:t xml:space="preserve"> في « ب » : « فإنّ »</w:t>
      </w:r>
      <w:r>
        <w:rPr>
          <w:rtl/>
        </w:rPr>
        <w:t>.</w:t>
      </w:r>
      <w:r w:rsidRPr="00132E65">
        <w:rPr>
          <w:rtl/>
        </w:rPr>
        <w:t xml:space="preserve"> وفي « ض ، ف ، بر ، بس ، بف » و</w:t>
      </w:r>
      <w:r w:rsidRPr="009D1ACE">
        <w:rPr>
          <w:rStyle w:val="libFootnoteBoldChar"/>
          <w:rtl/>
        </w:rPr>
        <w:t>الوافي</w:t>
      </w:r>
      <w:r w:rsidRPr="00132E65">
        <w:rPr>
          <w:rtl/>
        </w:rPr>
        <w:t xml:space="preserve"> والبحار : « وإنّ »</w:t>
      </w:r>
      <w:r>
        <w:rPr>
          <w:rtl/>
        </w:rPr>
        <w:t>.</w:t>
      </w:r>
    </w:p>
    <w:tbl>
      <w:tblPr>
        <w:tblStyle w:val="TableGrid"/>
        <w:bidiVisual/>
        <w:tblW w:w="0" w:type="auto"/>
        <w:tblLook w:val="04A0" w:firstRow="1" w:lastRow="0" w:firstColumn="1" w:lastColumn="0" w:noHBand="0" w:noVBand="1"/>
      </w:tblPr>
      <w:tblGrid>
        <w:gridCol w:w="4006"/>
        <w:gridCol w:w="4006"/>
      </w:tblGrid>
      <w:tr w:rsidR="003A5A36" w:rsidTr="003A5A36">
        <w:tc>
          <w:tcPr>
            <w:tcW w:w="4006" w:type="dxa"/>
          </w:tcPr>
          <w:p w:rsidR="003A5A36" w:rsidRDefault="003A5A36" w:rsidP="000C39D1">
            <w:pPr>
              <w:pStyle w:val="libFootnote0"/>
              <w:rPr>
                <w:rtl/>
              </w:rPr>
            </w:pPr>
            <w:r>
              <w:rPr>
                <w:rtl/>
              </w:rPr>
              <w:t>(10).</w:t>
            </w:r>
            <w:r w:rsidRPr="00132E65">
              <w:rPr>
                <w:rtl/>
              </w:rPr>
              <w:t xml:space="preserve"> في « بف » : « في »</w:t>
            </w:r>
            <w:r>
              <w:rPr>
                <w:rtl/>
              </w:rPr>
              <w:t>.</w:t>
            </w:r>
          </w:p>
        </w:tc>
        <w:tc>
          <w:tcPr>
            <w:tcW w:w="4006" w:type="dxa"/>
          </w:tcPr>
          <w:p w:rsidR="003A5A36" w:rsidRDefault="003A5A36" w:rsidP="000C39D1">
            <w:pPr>
              <w:pStyle w:val="libFootnote0"/>
              <w:rPr>
                <w:rtl/>
              </w:rPr>
            </w:pPr>
            <w:r>
              <w:rPr>
                <w:rtl/>
              </w:rPr>
              <w:t>(11).</w:t>
            </w:r>
            <w:r w:rsidRPr="00132E65">
              <w:rPr>
                <w:rtl/>
              </w:rPr>
              <w:t xml:space="preserve"> الأنعام </w:t>
            </w:r>
            <w:r>
              <w:rPr>
                <w:rtl/>
              </w:rPr>
              <w:t>(6)</w:t>
            </w:r>
            <w:r w:rsidRPr="00132E65">
              <w:rPr>
                <w:rtl/>
              </w:rPr>
              <w:t xml:space="preserve"> : 115.</w:t>
            </w:r>
          </w:p>
        </w:tc>
      </w:tr>
      <w:tr w:rsidR="003A5A36" w:rsidTr="003A5A36">
        <w:tc>
          <w:tcPr>
            <w:tcW w:w="4006" w:type="dxa"/>
          </w:tcPr>
          <w:p w:rsidR="003A5A36" w:rsidRDefault="003A5A36" w:rsidP="000C39D1">
            <w:pPr>
              <w:pStyle w:val="libFootnote0"/>
              <w:rPr>
                <w:rtl/>
              </w:rPr>
            </w:pPr>
            <w:r>
              <w:rPr>
                <w:rtl/>
              </w:rPr>
              <w:t>(12).</w:t>
            </w:r>
            <w:r w:rsidRPr="00132E65">
              <w:rPr>
                <w:rtl/>
              </w:rPr>
              <w:t xml:space="preserve"> في حاشية « ف » : « في »</w:t>
            </w:r>
            <w:r>
              <w:rPr>
                <w:rtl/>
              </w:rPr>
              <w:t>.</w:t>
            </w:r>
          </w:p>
        </w:tc>
        <w:tc>
          <w:tcPr>
            <w:tcW w:w="4006" w:type="dxa"/>
          </w:tcPr>
          <w:p w:rsidR="003A5A36" w:rsidRDefault="003A5A36" w:rsidP="000C39D1">
            <w:pPr>
              <w:pStyle w:val="libFootnote0"/>
              <w:rPr>
                <w:rtl/>
              </w:rPr>
            </w:pPr>
            <w:r>
              <w:rPr>
                <w:rtl/>
              </w:rPr>
              <w:t>(13)</w:t>
            </w:r>
            <w:r w:rsidRPr="00132E65">
              <w:rPr>
                <w:rtl/>
              </w:rPr>
              <w:t xml:space="preserve"> في « ف » : « يده »</w:t>
            </w:r>
            <w:r>
              <w:rPr>
                <w:rtl/>
              </w:rPr>
              <w:t>.</w:t>
            </w:r>
          </w:p>
        </w:tc>
      </w:tr>
    </w:tbl>
    <w:p w:rsidR="000C39D1" w:rsidRPr="00132E65" w:rsidRDefault="000C39D1" w:rsidP="000C39D1">
      <w:pPr>
        <w:pStyle w:val="libFootnote0"/>
        <w:rPr>
          <w:rtl/>
          <w:lang w:bidi="fa-IR"/>
        </w:rPr>
      </w:pPr>
      <w:r>
        <w:rPr>
          <w:rtl/>
        </w:rPr>
        <w:t>(14)</w:t>
      </w:r>
      <w:r w:rsidRPr="00132E65">
        <w:rPr>
          <w:rtl/>
        </w:rPr>
        <w:t xml:space="preserve"> في « ف » : « علم الله أنزله »</w:t>
      </w:r>
      <w:r>
        <w:rPr>
          <w:rtl/>
        </w:rPr>
        <w:t>.</w:t>
      </w:r>
      <w:r w:rsidRPr="00132E65">
        <w:rPr>
          <w:rtl/>
        </w:rPr>
        <w:t xml:space="preserve"> وفي « بح » : « علم الله أنزل »</w:t>
      </w:r>
      <w:r>
        <w:rPr>
          <w:rtl/>
        </w:rPr>
        <w:t>.</w:t>
      </w:r>
      <w:r w:rsidRPr="00132E65">
        <w:rPr>
          <w:rtl/>
        </w:rPr>
        <w:t xml:space="preserve"> وفي « بس » : « علم أنزله الله »</w:t>
      </w:r>
      <w:r>
        <w:rPr>
          <w:rtl/>
        </w:rPr>
        <w:t>.</w:t>
      </w:r>
    </w:p>
    <w:p w:rsidR="000C39D1" w:rsidRPr="00132E65" w:rsidRDefault="000C39D1" w:rsidP="000C39D1">
      <w:pPr>
        <w:pStyle w:val="libFootnote0"/>
        <w:rPr>
          <w:rtl/>
          <w:lang w:bidi="fa-IR"/>
        </w:rPr>
      </w:pPr>
      <w:r>
        <w:rPr>
          <w:rtl/>
        </w:rPr>
        <w:t>(15)</w:t>
      </w:r>
      <w:r w:rsidRPr="00132E65">
        <w:rPr>
          <w:rtl/>
        </w:rPr>
        <w:t xml:space="preserve"> « من بُطْنان العرش » ، أي من وسطه. وقيل : من أصله. وقيل : البُطْنان : جمع بَطْن ، وهو الغامض من الأرض ، يريد من دَواخل العرش. </w:t>
      </w:r>
      <w:r w:rsidRPr="003A5A36">
        <w:rPr>
          <w:rStyle w:val="libFootnoteBoldChar"/>
          <w:rtl/>
        </w:rPr>
        <w:t>النهاية</w:t>
      </w:r>
      <w:r w:rsidRPr="00132E65">
        <w:rPr>
          <w:rtl/>
        </w:rPr>
        <w:t xml:space="preserve"> ، ج 1 ، ص 137 ( بطن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6234A9" w:rsidP="000C39D1">
      <w:pPr>
        <w:pStyle w:val="libNormal0"/>
        <w:tabs>
          <w:tab w:val="left" w:pos="3968"/>
        </w:tabs>
        <w:rPr>
          <w:rtl/>
          <w:lang w:bidi="fa-IR"/>
        </w:rPr>
      </w:pPr>
      <w:r>
        <w:rPr>
          <w:rtl/>
          <w:lang w:bidi="fa-IR"/>
        </w:rPr>
        <w:t xml:space="preserve">وَاسْمِ </w:t>
      </w:r>
      <w:r>
        <w:rPr>
          <w:rFonts w:hint="cs"/>
          <w:rtl/>
          <w:lang w:bidi="fa-IR"/>
        </w:rPr>
        <w:t>أَ</w:t>
      </w:r>
      <w:r w:rsidR="000C39D1" w:rsidRPr="00132E65">
        <w:rPr>
          <w:rtl/>
          <w:lang w:bidi="fa-IR"/>
        </w:rPr>
        <w:t xml:space="preserve">بِيهِ يَقُولُ : يَا فُلَانَ بْنَ فُلَانٍ ، اثْبُتْ تُثْبَتْ </w:t>
      </w:r>
      <w:r w:rsidR="000C39D1">
        <w:rPr>
          <w:rStyle w:val="libFootnotenumChar"/>
          <w:rtl/>
        </w:rPr>
        <w:t>(1)</w:t>
      </w:r>
      <w:r w:rsidR="000C39D1" w:rsidRPr="00132E65">
        <w:rPr>
          <w:rtl/>
          <w:lang w:bidi="fa-IR"/>
        </w:rPr>
        <w:t xml:space="preserve"> ، فَلِعَظِيمٍ مَا خَلَقْتُكَ ، أَنْتَ صَفْوَتِي مِنْ خَلْقِي ، ومَوْضِعُ سِرِّي ، وعَيْبَةُ عِلْمِي ، وأَمِينِي عَلى وحْيِي ، وخَلِيفَتِي فِي أَرْضِي ، لَكَ ولِمَنْ تَوَلاَّكَ أَوْجَبْتُ رَحْمَتِي ، ومَنَحْتُ جِنَانِي </w:t>
      </w:r>
      <w:r w:rsidR="000C39D1">
        <w:rPr>
          <w:rStyle w:val="libFootnotenumChar"/>
          <w:rtl/>
        </w:rPr>
        <w:t>(2)</w:t>
      </w:r>
      <w:r w:rsidR="000C39D1" w:rsidRPr="00132E65">
        <w:rPr>
          <w:rtl/>
          <w:lang w:bidi="fa-IR"/>
        </w:rPr>
        <w:t xml:space="preserve"> ، وأَحْلَلْتُ جِوَارِي ، ثُمَّ وَعِزَّتِي وجَلَالِي ، لَأَصْلِيَنَّ </w:t>
      </w:r>
      <w:r w:rsidR="000C39D1">
        <w:rPr>
          <w:rStyle w:val="libFootnotenumChar"/>
          <w:rtl/>
        </w:rPr>
        <w:t>(3)</w:t>
      </w:r>
      <w:r w:rsidR="000C39D1" w:rsidRPr="00132E65">
        <w:rPr>
          <w:rtl/>
          <w:lang w:bidi="fa-IR"/>
        </w:rPr>
        <w:t xml:space="preserve"> مَنْ عَادَاكَ أَشَدَّ عَذَابِي وإِنْ وسَّعْتُ عَلَيْهِ فِي دُنْيَايَ مِنْ سَعَةِ رِزْقِي.</w:t>
      </w:r>
    </w:p>
    <w:p w:rsidR="000C39D1" w:rsidRPr="00132E65" w:rsidRDefault="000C39D1" w:rsidP="000C39D1">
      <w:pPr>
        <w:pStyle w:val="libNormal"/>
        <w:rPr>
          <w:rtl/>
          <w:lang w:bidi="fa-IR"/>
        </w:rPr>
      </w:pPr>
      <w:r w:rsidRPr="00132E65">
        <w:rPr>
          <w:rtl/>
          <w:lang w:bidi="fa-IR"/>
        </w:rPr>
        <w:t>فَإِذَا انْقَضَى الصَّوْتُ</w:t>
      </w:r>
      <w:r>
        <w:rPr>
          <w:rtl/>
          <w:lang w:bidi="fa-IR"/>
        </w:rPr>
        <w:t xml:space="preserve"> - </w:t>
      </w:r>
      <w:r w:rsidRPr="00132E65">
        <w:rPr>
          <w:rtl/>
          <w:lang w:bidi="fa-IR"/>
        </w:rPr>
        <w:t>صَوْتُ الْمُنَادِي</w:t>
      </w:r>
      <w:r>
        <w:rPr>
          <w:rtl/>
          <w:lang w:bidi="fa-IR"/>
        </w:rPr>
        <w:t xml:space="preserve"> - </w:t>
      </w:r>
      <w:r w:rsidRPr="00132E65">
        <w:rPr>
          <w:rtl/>
          <w:lang w:bidi="fa-IR"/>
        </w:rPr>
        <w:t xml:space="preserve">أَجَابَهُ هُوَ ، واضِعاً يَدَيْهِ </w:t>
      </w:r>
      <w:r>
        <w:rPr>
          <w:rStyle w:val="libFootnotenumChar"/>
          <w:rtl/>
        </w:rPr>
        <w:t>(4)</w:t>
      </w:r>
      <w:r w:rsidRPr="00132E65">
        <w:rPr>
          <w:rtl/>
          <w:lang w:bidi="fa-IR"/>
        </w:rPr>
        <w:t xml:space="preserve"> ، رَافِعاً رَأْسَهُ إِلَى السَّمَاءِ ، يَقُولُ : </w:t>
      </w:r>
      <w:r w:rsidRPr="00071CF9">
        <w:rPr>
          <w:rStyle w:val="libAlaemChar"/>
          <w:rtl/>
        </w:rPr>
        <w:t>(</w:t>
      </w:r>
      <w:r w:rsidRPr="00071CF9">
        <w:rPr>
          <w:rStyle w:val="libAieChar"/>
          <w:rtl/>
        </w:rPr>
        <w:t xml:space="preserve"> شَه</w:t>
      </w:r>
      <w:r w:rsidR="006234A9">
        <w:rPr>
          <w:rStyle w:val="libAieChar"/>
          <w:rtl/>
        </w:rPr>
        <w:t>ِدَ اللهُ أَنَّهُ لا إِلهَ إِل</w:t>
      </w:r>
      <w:r w:rsidR="006234A9">
        <w:rPr>
          <w:rStyle w:val="libAieChar"/>
          <w:rFonts w:hint="cs"/>
          <w:rtl/>
        </w:rPr>
        <w:t>ّ</w:t>
      </w:r>
      <w:r w:rsidR="006234A9">
        <w:rPr>
          <w:rStyle w:val="libAieChar"/>
          <w:rtl/>
        </w:rPr>
        <w:t>ا</w:t>
      </w:r>
      <w:r w:rsidRPr="00071CF9">
        <w:rPr>
          <w:rStyle w:val="libAieChar"/>
          <w:rtl/>
        </w:rPr>
        <w:t xml:space="preserve"> هُوَ وَالْمَلائِكَةُ وَأُولُوا الْعِلْمِ قا</w:t>
      </w:r>
      <w:r w:rsidR="006234A9">
        <w:rPr>
          <w:rStyle w:val="libAieChar"/>
          <w:rtl/>
        </w:rPr>
        <w:t>ئِماً بِالْقِسْطِ لا إِلهَ إِل</w:t>
      </w:r>
      <w:r w:rsidR="006234A9">
        <w:rPr>
          <w:rStyle w:val="libAieChar"/>
          <w:rFonts w:hint="cs"/>
          <w:rtl/>
        </w:rPr>
        <w:t>ّ</w:t>
      </w:r>
      <w:r w:rsidR="006234A9">
        <w:rPr>
          <w:rStyle w:val="libAieChar"/>
          <w:rtl/>
        </w:rPr>
        <w:t>ا</w:t>
      </w:r>
      <w:r w:rsidRPr="00071CF9">
        <w:rPr>
          <w:rStyle w:val="libAieChar"/>
          <w:rtl/>
        </w:rPr>
        <w:t xml:space="preserve"> هُوَ الْعَزِيزُ الْحَكِيمُ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 فَإِذَا قَالَ ذلِكَ ، أَعْطَاهُ اللهُ </w:t>
      </w:r>
      <w:r>
        <w:rPr>
          <w:rStyle w:val="libFootnotenumChar"/>
          <w:rtl/>
        </w:rPr>
        <w:t>(6)</w:t>
      </w:r>
      <w:r w:rsidRPr="00132E65">
        <w:rPr>
          <w:rtl/>
          <w:lang w:bidi="fa-IR"/>
        </w:rPr>
        <w:t xml:space="preserve"> الْعِلْمَ الْأَوَّلَ والْعِلْمَ الْآخِرَ ، واسْتَحَقَّ زِيَارَةَ الرُّوحِ </w:t>
      </w:r>
      <w:r>
        <w:rPr>
          <w:rStyle w:val="libFootnotenumChar"/>
          <w:rtl/>
        </w:rPr>
        <w:t>(7)</w:t>
      </w:r>
      <w:r w:rsidRPr="00132E65">
        <w:rPr>
          <w:rtl/>
          <w:lang w:bidi="fa-IR"/>
        </w:rPr>
        <w:t xml:space="preserve"> فِي لَيْلَةِ الْقَدْرِ »</w:t>
      </w:r>
      <w:r>
        <w:rPr>
          <w:rtl/>
          <w:lang w:bidi="fa-IR"/>
        </w:rPr>
        <w:t>.</w:t>
      </w:r>
    </w:p>
    <w:p w:rsidR="000C39D1" w:rsidRPr="00132E65" w:rsidRDefault="000C39D1" w:rsidP="000C39D1">
      <w:pPr>
        <w:pStyle w:val="libNormal"/>
        <w:rPr>
          <w:rtl/>
          <w:lang w:bidi="fa-IR"/>
        </w:rPr>
      </w:pPr>
      <w:r w:rsidRPr="00132E65">
        <w:rPr>
          <w:rtl/>
          <w:lang w:bidi="fa-IR"/>
        </w:rPr>
        <w:t>قُلْتُ : جُعِلْتُ فِدَاكَ ، الرُّوحُ لَيْسَ هُوَ جَبْرَئِيلَ</w:t>
      </w:r>
      <w:r>
        <w:rPr>
          <w:rtl/>
          <w:lang w:bidi="fa-IR"/>
        </w:rPr>
        <w:t>؟</w:t>
      </w:r>
    </w:p>
    <w:p w:rsidR="000C39D1" w:rsidRPr="00132E65" w:rsidRDefault="000C39D1" w:rsidP="000C39D1">
      <w:pPr>
        <w:pStyle w:val="libNormal"/>
        <w:rPr>
          <w:rtl/>
        </w:rPr>
      </w:pPr>
      <w:r w:rsidRPr="00132E65">
        <w:rPr>
          <w:rtl/>
          <w:lang w:bidi="fa-IR"/>
        </w:rPr>
        <w:t xml:space="preserve">قَالَ </w:t>
      </w:r>
      <w:r>
        <w:rPr>
          <w:rStyle w:val="libFootnotenumChar"/>
          <w:rtl/>
        </w:rPr>
        <w:t>(8)</w:t>
      </w:r>
      <w:r w:rsidRPr="00132E65">
        <w:rPr>
          <w:rtl/>
          <w:lang w:bidi="fa-IR"/>
        </w:rPr>
        <w:t xml:space="preserve"> : « الرُّوحُ </w:t>
      </w:r>
      <w:r>
        <w:rPr>
          <w:rStyle w:val="libFootnotenumChar"/>
          <w:rtl/>
        </w:rPr>
        <w:t>(9)</w:t>
      </w:r>
      <w:r w:rsidRPr="00132E65">
        <w:rPr>
          <w:rtl/>
          <w:lang w:bidi="fa-IR"/>
        </w:rPr>
        <w:t xml:space="preserve"> أَعْظَمُ مِنْ جَبْرَئِيلَ ؛ إِنَّ جَبْرَئِيلَ مِنَ الْمَلَائِكَةِ ، وإِنَّ الرُّوحَ هُوَ خَلْقٌ </w:t>
      </w:r>
      <w:r>
        <w:rPr>
          <w:rStyle w:val="libFootnotenumChar"/>
          <w:rtl/>
        </w:rPr>
        <w:t>(10)</w:t>
      </w:r>
      <w:r w:rsidRPr="00132E65">
        <w:rPr>
          <w:rtl/>
          <w:lang w:bidi="fa-IR"/>
        </w:rPr>
        <w:t xml:space="preserve"> أَ</w:t>
      </w:r>
      <w:r>
        <w:rPr>
          <w:rtl/>
          <w:lang w:bidi="fa-IR"/>
        </w:rPr>
        <w:t>عْظَمُ مِنَ الْمَلَائِكَةِ ؛ أَ</w:t>
      </w:r>
      <w:r w:rsidRPr="00132E65">
        <w:rPr>
          <w:rtl/>
          <w:lang w:bidi="fa-IR"/>
        </w:rPr>
        <w:t xml:space="preserve">لَيْسَ يَقُولُ اللهُ تَبَارَكَ وتَعَالى </w:t>
      </w:r>
      <w:r>
        <w:rPr>
          <w:rStyle w:val="libFootnotenumChar"/>
          <w:rtl/>
        </w:rPr>
        <w:t>(11)</w:t>
      </w:r>
      <w:r w:rsidRPr="00132E65">
        <w:rPr>
          <w:rtl/>
          <w:lang w:bidi="fa-IR"/>
        </w:rPr>
        <w:t xml:space="preserve"> : </w:t>
      </w:r>
      <w:r w:rsidRPr="00071CF9">
        <w:rPr>
          <w:rStyle w:val="libAlaemChar"/>
          <w:rtl/>
        </w:rPr>
        <w:t>(</w:t>
      </w:r>
      <w:r w:rsidRPr="00071CF9">
        <w:rPr>
          <w:rStyle w:val="libAieChar"/>
          <w:rtl/>
        </w:rPr>
        <w:t xml:space="preserve"> تَنَزَّلُ الْمَلائِكَةُ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تثبت » فيه وجوه : على صيغة الخطاب المعلوم من الإثبات أو التثبيت ، أو على صيغة الخطاب المجهول‌منهما ، أو على صيغة المتكلّم مع الغير منهما. وفي « ف » : « تثبّت »</w:t>
      </w:r>
      <w:r>
        <w:rPr>
          <w:rtl/>
        </w:rPr>
        <w:t>.</w:t>
      </w:r>
      <w:r w:rsidRPr="00132E65">
        <w:rPr>
          <w:rtl/>
        </w:rPr>
        <w:t xml:space="preserve"> على بناء الفاعل أو المفعول. راجع : </w:t>
      </w:r>
      <w:r w:rsidRPr="00D37CF8">
        <w:rPr>
          <w:rtl/>
        </w:rPr>
        <w:t>شرح المازندراني</w:t>
      </w:r>
      <w:r w:rsidRPr="00132E65">
        <w:rPr>
          <w:rtl/>
        </w:rPr>
        <w:t xml:space="preserve"> ، ج 6 ، ص 358 ؛ </w:t>
      </w:r>
      <w:r w:rsidRPr="009D1ACE">
        <w:rPr>
          <w:rStyle w:val="libFootnoteBoldChar"/>
          <w:rtl/>
        </w:rPr>
        <w:t>الوافي</w:t>
      </w:r>
      <w:r w:rsidRPr="00132E65">
        <w:rPr>
          <w:rtl/>
        </w:rPr>
        <w:t xml:space="preserve"> ، ج 3 ، ص 693 ؛ </w:t>
      </w:r>
      <w:r w:rsidRPr="009D1ACE">
        <w:rPr>
          <w:rStyle w:val="libFootnoteBoldChar"/>
          <w:rtl/>
        </w:rPr>
        <w:t>مرآة العقول</w:t>
      </w:r>
      <w:r w:rsidRPr="00132E65">
        <w:rPr>
          <w:rtl/>
        </w:rPr>
        <w:t xml:space="preserve"> ، ج 4 ، ص 261.</w:t>
      </w:r>
    </w:p>
    <w:p w:rsidR="000C39D1" w:rsidRPr="00132E65" w:rsidRDefault="000C39D1" w:rsidP="000C39D1">
      <w:pPr>
        <w:pStyle w:val="libFootnote0"/>
        <w:rPr>
          <w:rtl/>
          <w:lang w:bidi="fa-IR"/>
        </w:rPr>
      </w:pPr>
      <w:r>
        <w:rPr>
          <w:rtl/>
        </w:rPr>
        <w:t>(2).</w:t>
      </w:r>
      <w:r w:rsidRPr="00132E65">
        <w:rPr>
          <w:rtl/>
        </w:rPr>
        <w:t xml:space="preserve"> في « ب » : « جنّاتي »</w:t>
      </w:r>
      <w:r>
        <w:rPr>
          <w:rtl/>
        </w:rPr>
        <w:t>.</w:t>
      </w:r>
    </w:p>
    <w:p w:rsidR="000C39D1" w:rsidRPr="00132E65" w:rsidRDefault="000C39D1" w:rsidP="00156A8F">
      <w:pPr>
        <w:pStyle w:val="libFootnote0"/>
        <w:rPr>
          <w:rtl/>
          <w:lang w:bidi="fa-IR"/>
        </w:rPr>
      </w:pPr>
      <w:r>
        <w:rPr>
          <w:rtl/>
        </w:rPr>
        <w:t>(3).</w:t>
      </w:r>
      <w:r w:rsidR="00156A8F">
        <w:rPr>
          <w:rtl/>
        </w:rPr>
        <w:t xml:space="preserve"> في « ب ، بر » : « ل</w:t>
      </w:r>
      <w:r w:rsidRPr="00132E65">
        <w:rPr>
          <w:rtl/>
        </w:rPr>
        <w:t>ا</w:t>
      </w:r>
      <w:r w:rsidR="00156A8F">
        <w:rPr>
          <w:rFonts w:hint="cs"/>
          <w:rtl/>
        </w:rPr>
        <w:t>ُ</w:t>
      </w:r>
      <w:r w:rsidRPr="00132E65">
        <w:rPr>
          <w:rtl/>
        </w:rPr>
        <w:t>صلينّ »</w:t>
      </w:r>
      <w:r>
        <w:rPr>
          <w:rtl/>
        </w:rPr>
        <w:t>.</w:t>
      </w:r>
      <w:r w:rsidRPr="00132E65">
        <w:rPr>
          <w:rtl/>
        </w:rPr>
        <w:t xml:space="preserve"> ويقال : صَليتُ الرجل ناراً ، إذا أدخلته النار وجعلته يَصْلاها ، أي يحترق بها. راجع : </w:t>
      </w:r>
      <w:r w:rsidRPr="00D37CF8">
        <w:rPr>
          <w:rtl/>
        </w:rPr>
        <w:t>الصحاح</w:t>
      </w:r>
      <w:r w:rsidRPr="00132E65">
        <w:rPr>
          <w:rtl/>
        </w:rPr>
        <w:t xml:space="preserve"> ، ج 6 ، ص 2403 ( صلا )</w:t>
      </w:r>
      <w:r>
        <w:rPr>
          <w:rtl/>
        </w:rPr>
        <w:t>.</w:t>
      </w:r>
      <w:r w:rsidR="00156A8F">
        <w:rPr>
          <w:rFonts w:hint="cs"/>
          <w:rtl/>
        </w:rPr>
        <w:t xml:space="preserve">     </w:t>
      </w:r>
      <w:r w:rsidR="00936037">
        <w:rPr>
          <w:rFonts w:hint="cs"/>
          <w:rtl/>
        </w:rPr>
        <w:t xml:space="preserve">         </w:t>
      </w:r>
      <w:r w:rsidR="00156A8F">
        <w:rPr>
          <w:rFonts w:hint="cs"/>
          <w:rtl/>
        </w:rPr>
        <w:t xml:space="preserve">     </w:t>
      </w:r>
      <w:r>
        <w:rPr>
          <w:rtl/>
        </w:rPr>
        <w:t>(4).</w:t>
      </w:r>
      <w:r w:rsidRPr="00132E65">
        <w:rPr>
          <w:rtl/>
        </w:rPr>
        <w:t xml:space="preserve"> في « ف » :</w:t>
      </w:r>
      <w:r>
        <w:rPr>
          <w:rtl/>
        </w:rPr>
        <w:t xml:space="preserve"> + </w:t>
      </w:r>
      <w:r w:rsidRPr="00132E65">
        <w:rPr>
          <w:rtl/>
        </w:rPr>
        <w:t>« على الأرض »</w:t>
      </w:r>
      <w:r>
        <w:rPr>
          <w:rtl/>
        </w:rPr>
        <w:t>.</w:t>
      </w:r>
    </w:p>
    <w:tbl>
      <w:tblPr>
        <w:tblStyle w:val="TableGrid"/>
        <w:bidiVisual/>
        <w:tblW w:w="0" w:type="auto"/>
        <w:tblLook w:val="04A0" w:firstRow="1" w:lastRow="0" w:firstColumn="1" w:lastColumn="0" w:noHBand="0" w:noVBand="1"/>
      </w:tblPr>
      <w:tblGrid>
        <w:gridCol w:w="4006"/>
        <w:gridCol w:w="4006"/>
      </w:tblGrid>
      <w:tr w:rsidR="00156A8F" w:rsidTr="00156A8F">
        <w:tc>
          <w:tcPr>
            <w:tcW w:w="4006" w:type="dxa"/>
          </w:tcPr>
          <w:p w:rsidR="00156A8F" w:rsidRDefault="00156A8F" w:rsidP="000C39D1">
            <w:pPr>
              <w:pStyle w:val="libFootnote0"/>
              <w:rPr>
                <w:rtl/>
              </w:rPr>
            </w:pPr>
            <w:r>
              <w:rPr>
                <w:rtl/>
              </w:rPr>
              <w:t>(5).</w:t>
            </w:r>
            <w:r w:rsidRPr="00132E65">
              <w:rPr>
                <w:rtl/>
              </w:rPr>
              <w:t xml:space="preserve"> آل عمران </w:t>
            </w:r>
            <w:r>
              <w:rPr>
                <w:rtl/>
              </w:rPr>
              <w:t>(3)</w:t>
            </w:r>
            <w:r w:rsidRPr="00132E65">
              <w:rPr>
                <w:rtl/>
              </w:rPr>
              <w:t xml:space="preserve"> : 18.</w:t>
            </w:r>
          </w:p>
        </w:tc>
        <w:tc>
          <w:tcPr>
            <w:tcW w:w="4006" w:type="dxa"/>
          </w:tcPr>
          <w:p w:rsidR="00156A8F" w:rsidRDefault="00156A8F" w:rsidP="000C39D1">
            <w:pPr>
              <w:pStyle w:val="libFootnote0"/>
              <w:rPr>
                <w:rtl/>
              </w:rPr>
            </w:pPr>
            <w:r>
              <w:rPr>
                <w:rtl/>
              </w:rPr>
              <w:t>(6).</w:t>
            </w:r>
            <w:r w:rsidRPr="00132E65">
              <w:rPr>
                <w:rtl/>
              </w:rPr>
              <w:t xml:space="preserve"> في « ف »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في بعض النسخ : زيادة الروح. ولا يلائمه تفسير الروح بما فسّر »</w:t>
      </w:r>
      <w:r>
        <w:rPr>
          <w:rtl/>
        </w:rPr>
        <w:t>.</w:t>
      </w:r>
    </w:p>
    <w:p w:rsidR="000C39D1" w:rsidRPr="00132E65" w:rsidRDefault="000C39D1" w:rsidP="000C39D1">
      <w:pPr>
        <w:pStyle w:val="libFootnote0"/>
        <w:rPr>
          <w:rtl/>
          <w:lang w:bidi="fa-IR"/>
        </w:rPr>
      </w:pPr>
      <w:r>
        <w:rPr>
          <w:rtl/>
        </w:rPr>
        <w:t>(8).</w:t>
      </w:r>
      <w:r w:rsidRPr="00132E65">
        <w:rPr>
          <w:rtl/>
        </w:rPr>
        <w:t xml:space="preserve"> في « ض » والمحاسن :</w:t>
      </w:r>
      <w:r>
        <w:rPr>
          <w:rtl/>
        </w:rPr>
        <w:t xml:space="preserve"> + </w:t>
      </w:r>
      <w:r w:rsidRPr="00132E65">
        <w:rPr>
          <w:rtl/>
        </w:rPr>
        <w:t>« لا »</w:t>
      </w:r>
      <w:r>
        <w:rPr>
          <w:rtl/>
        </w:rPr>
        <w:t>.</w:t>
      </w:r>
    </w:p>
    <w:p w:rsidR="000C39D1" w:rsidRPr="00132E65" w:rsidRDefault="000C39D1" w:rsidP="000C39D1">
      <w:pPr>
        <w:pStyle w:val="libFootnote0"/>
        <w:rPr>
          <w:rtl/>
          <w:lang w:bidi="fa-IR"/>
        </w:rPr>
      </w:pPr>
      <w:r>
        <w:rPr>
          <w:rtl/>
        </w:rPr>
        <w:t>(9).</w:t>
      </w:r>
      <w:r w:rsidRPr="00132E65">
        <w:rPr>
          <w:rtl/>
        </w:rPr>
        <w:t xml:space="preserve"> هكذا في « ب ، ج ، ض ، ف ، بح ، بر ، بس ، بف »</w:t>
      </w:r>
      <w:r>
        <w:rPr>
          <w:rtl/>
        </w:rPr>
        <w:t>.</w:t>
      </w:r>
      <w:r w:rsidRPr="00132E65">
        <w:rPr>
          <w:rtl/>
        </w:rPr>
        <w:t xml:space="preserve"> وفي المطبوع :</w:t>
      </w:r>
      <w:r>
        <w:rPr>
          <w:rtl/>
        </w:rPr>
        <w:t xml:space="preserve"> + </w:t>
      </w:r>
      <w:r w:rsidRPr="00132E65">
        <w:rPr>
          <w:rtl/>
        </w:rPr>
        <w:t>« هو »</w:t>
      </w:r>
      <w:r>
        <w:rPr>
          <w:rtl/>
        </w:rPr>
        <w:t>.</w:t>
      </w:r>
    </w:p>
    <w:tbl>
      <w:tblPr>
        <w:tblStyle w:val="TableGrid"/>
        <w:bidiVisual/>
        <w:tblW w:w="0" w:type="auto"/>
        <w:tblLook w:val="04A0" w:firstRow="1" w:lastRow="0" w:firstColumn="1" w:lastColumn="0" w:noHBand="0" w:noVBand="1"/>
      </w:tblPr>
      <w:tblGrid>
        <w:gridCol w:w="4006"/>
        <w:gridCol w:w="4006"/>
      </w:tblGrid>
      <w:tr w:rsidR="00FE7ABB" w:rsidTr="00FE7ABB">
        <w:tc>
          <w:tcPr>
            <w:tcW w:w="4006" w:type="dxa"/>
          </w:tcPr>
          <w:p w:rsidR="00FE7ABB" w:rsidRDefault="00FE7ABB" w:rsidP="000C39D1">
            <w:pPr>
              <w:pStyle w:val="libFootnote0"/>
              <w:rPr>
                <w:rtl/>
              </w:rPr>
            </w:pPr>
            <w:r>
              <w:rPr>
                <w:rtl/>
              </w:rPr>
              <w:t>(10).</w:t>
            </w:r>
            <w:r w:rsidRPr="00132E65">
              <w:rPr>
                <w:rtl/>
              </w:rPr>
              <w:t xml:space="preserve"> في « ب » : « خلق هو »</w:t>
            </w:r>
            <w:r>
              <w:rPr>
                <w:rtl/>
              </w:rPr>
              <w:t>.</w:t>
            </w:r>
          </w:p>
        </w:tc>
        <w:tc>
          <w:tcPr>
            <w:tcW w:w="4006" w:type="dxa"/>
          </w:tcPr>
          <w:p w:rsidR="00FE7ABB" w:rsidRDefault="00FE7ABB" w:rsidP="000C39D1">
            <w:pPr>
              <w:pStyle w:val="libFootnote0"/>
              <w:rPr>
                <w:rtl/>
              </w:rPr>
            </w:pPr>
            <w:r>
              <w:rPr>
                <w:rtl/>
              </w:rPr>
              <w:t>(11). في « بف » :</w:t>
            </w:r>
            <w:r w:rsidRPr="00132E65">
              <w:rPr>
                <w:rtl/>
              </w:rPr>
              <w:t>« أليس الله تبارك وتعالى يقول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وَالرُّوحُ </w:t>
      </w:r>
      <w:r w:rsidRPr="00071CF9">
        <w:rPr>
          <w:rStyle w:val="libAlaemChar"/>
          <w:rtl/>
        </w:rPr>
        <w:t>)</w:t>
      </w:r>
      <w:r w:rsidRPr="00132E65">
        <w:rPr>
          <w:rtl/>
          <w:lang w:bidi="fa-IR"/>
        </w:rPr>
        <w:t xml:space="preserve"> </w:t>
      </w:r>
      <w:r>
        <w:rPr>
          <w:rStyle w:val="libFootnotenumChar"/>
          <w:rtl/>
        </w:rPr>
        <w:t>(1)</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w:t>
      </w:r>
    </w:p>
    <w:p w:rsidR="000C39D1" w:rsidRPr="00132E65" w:rsidRDefault="00B407BF" w:rsidP="000C39D1">
      <w:pPr>
        <w:pStyle w:val="libNormal"/>
        <w:rPr>
          <w:rtl/>
          <w:lang w:bidi="fa-IR"/>
        </w:rPr>
      </w:pPr>
      <w:r>
        <w:rPr>
          <w:rFonts w:hint="cs"/>
          <w:rtl/>
          <w:lang w:bidi="fa-IR"/>
        </w:rPr>
        <w:t xml:space="preserve">* </w:t>
      </w:r>
      <w:r w:rsidR="000C39D1" w:rsidRPr="00132E65">
        <w:rPr>
          <w:rtl/>
          <w:lang w:bidi="fa-IR"/>
        </w:rPr>
        <w:t xml:space="preserve">مُحَمَّدُ بْنُ يَحْيى وأَحْمَدُ بْنُ مُحَمَّدٍ ، عَنْ مُحَمَّدِ بْنِ الْحُسَيْنِ </w:t>
      </w:r>
      <w:r w:rsidR="000C39D1">
        <w:rPr>
          <w:rStyle w:val="libFootnotenumChar"/>
          <w:rtl/>
        </w:rPr>
        <w:t>(3)</w:t>
      </w:r>
      <w:r w:rsidR="000C39D1" w:rsidRPr="00132E65">
        <w:rPr>
          <w:rtl/>
          <w:lang w:bidi="fa-IR"/>
        </w:rPr>
        <w:t xml:space="preserve"> ، عَنْ أَحْمَدَ بْنِ الْحَسَنِ ، عَنِ الْمُخْتَارِ بْنِ زِيَادٍ ، عَنْ مُحَمَّدِ بْنِ سُلَيْمَانَ </w:t>
      </w:r>
      <w:r w:rsidR="000C39D1">
        <w:rPr>
          <w:rStyle w:val="libFootnotenumChar"/>
          <w:rtl/>
        </w:rPr>
        <w:t>(4)</w:t>
      </w:r>
      <w:r w:rsidR="000C39D1" w:rsidRPr="00132E65">
        <w:rPr>
          <w:rtl/>
          <w:lang w:bidi="fa-IR"/>
        </w:rPr>
        <w:t xml:space="preserve"> ، عَنْ أَبِيهِ ، عَنْ أَبِي بَصِيرٍ ، مِثْلَهُ. </w:t>
      </w:r>
      <w:r w:rsidR="000C39D1">
        <w:rPr>
          <w:rStyle w:val="libFootnotenumChar"/>
          <w:rtl/>
        </w:rPr>
        <w:t>(5)</w:t>
      </w:r>
      <w:r w:rsidR="000C39D1"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القدر (97) : 4.</w:t>
      </w:r>
    </w:p>
    <w:p w:rsidR="000C39D1" w:rsidRPr="00132E65" w:rsidRDefault="000C39D1" w:rsidP="00B407BF">
      <w:pPr>
        <w:pStyle w:val="libFootnote0"/>
        <w:rPr>
          <w:rtl/>
          <w:lang w:bidi="fa-IR"/>
        </w:rPr>
      </w:pPr>
      <w:r>
        <w:rPr>
          <w:rtl/>
        </w:rPr>
        <w:t>(2).</w:t>
      </w:r>
      <w:r w:rsidRPr="00132E65">
        <w:rPr>
          <w:rtl/>
        </w:rPr>
        <w:t xml:space="preserve"> </w:t>
      </w:r>
      <w:r w:rsidRPr="00D37CF8">
        <w:rPr>
          <w:rtl/>
        </w:rPr>
        <w:t>المحاسن</w:t>
      </w:r>
      <w:r w:rsidRPr="00132E65">
        <w:rPr>
          <w:rtl/>
        </w:rPr>
        <w:t xml:space="preserve"> ، ص 314 ، كتاب العلل ، ح 32 ، بسنده عن عليّ بن أبي حمزة ، مع اختلاف يسير. وراجع : </w:t>
      </w:r>
      <w:r w:rsidRPr="000577A7">
        <w:rPr>
          <w:rStyle w:val="libFootnoteBoldChar"/>
          <w:rtl/>
        </w:rPr>
        <w:t>الكافي</w:t>
      </w:r>
      <w:r w:rsidRPr="00132E65">
        <w:rPr>
          <w:rtl/>
        </w:rPr>
        <w:t xml:space="preserve"> ، كتاب الحجّة ، باب الروح التي يسدّد الله بها الأئمّة </w:t>
      </w:r>
      <w:r w:rsidRPr="00B407BF">
        <w:rPr>
          <w:rStyle w:val="libFootnoteAlaemChar"/>
          <w:rtl/>
        </w:rPr>
        <w:t>عليهم‌السلام</w:t>
      </w:r>
      <w:r w:rsidRPr="00132E65">
        <w:rPr>
          <w:rtl/>
        </w:rPr>
        <w:t xml:space="preserve"> ، ح 721 ؛ و</w:t>
      </w:r>
      <w:r w:rsidRPr="007A1104">
        <w:rPr>
          <w:rStyle w:val="libFootnoteBoldChar"/>
          <w:rtl/>
        </w:rPr>
        <w:t>بصائر الدرجات</w:t>
      </w:r>
      <w:r w:rsidRPr="00132E65">
        <w:rPr>
          <w:rtl/>
        </w:rPr>
        <w:t xml:space="preserve"> ، ص 442 ، ح 6 ؛ وص 455 ، ح 3 ؛ و</w:t>
      </w:r>
      <w:r w:rsidRPr="00D37CF8">
        <w:rPr>
          <w:rtl/>
        </w:rPr>
        <w:t xml:space="preserve">تفسير العيّاشي </w:t>
      </w:r>
      <w:r w:rsidRPr="00132E65">
        <w:rPr>
          <w:rtl/>
        </w:rPr>
        <w:t>، ج 2 ، ص 317 ، ح 161 ؛ و</w:t>
      </w:r>
      <w:r w:rsidRPr="00D37CF8">
        <w:rPr>
          <w:rtl/>
        </w:rPr>
        <w:t xml:space="preserve">تفسير القمّي </w:t>
      </w:r>
      <w:r w:rsidRPr="00132E65">
        <w:rPr>
          <w:rtl/>
        </w:rPr>
        <w:t>، ج 2 ، ص 279</w:t>
      </w:r>
      <w:r w:rsidR="00B407BF">
        <w:rPr>
          <w:rFonts w:hint="cs"/>
          <w:rtl/>
        </w:rPr>
        <w:t>.</w:t>
      </w:r>
      <w:r w:rsidRPr="009D1ACE">
        <w:rPr>
          <w:rStyle w:val="libFootnoteBoldChar"/>
          <w:rtl/>
        </w:rPr>
        <w:t>الوافي</w:t>
      </w:r>
      <w:r w:rsidRPr="00132E65">
        <w:rPr>
          <w:rtl/>
        </w:rPr>
        <w:t xml:space="preserve"> ، ج 3 ، ص 691 ، ح 1297 ؛ </w:t>
      </w:r>
      <w:r w:rsidRPr="00D37CF8">
        <w:rPr>
          <w:rtl/>
        </w:rPr>
        <w:t>البحار</w:t>
      </w:r>
      <w:r w:rsidRPr="00132E65">
        <w:rPr>
          <w:rtl/>
        </w:rPr>
        <w:t xml:space="preserve"> ، ج 15 ، ص 297 ، ح 36 ، وفيه إلى قوله : « زيارة الروح في ليلة القدر »</w:t>
      </w:r>
      <w:r>
        <w:rPr>
          <w:rtl/>
        </w:rPr>
        <w:t>.</w:t>
      </w:r>
    </w:p>
    <w:p w:rsidR="000C39D1" w:rsidRPr="00132E65" w:rsidRDefault="000C39D1" w:rsidP="000C39D1">
      <w:pPr>
        <w:pStyle w:val="libFootnote0"/>
        <w:rPr>
          <w:rtl/>
          <w:lang w:bidi="fa-IR"/>
        </w:rPr>
      </w:pPr>
      <w:r>
        <w:rPr>
          <w:rtl/>
        </w:rPr>
        <w:t>(3).</w:t>
      </w:r>
      <w:r w:rsidRPr="00132E65">
        <w:rPr>
          <w:rtl/>
        </w:rPr>
        <w:t xml:space="preserve"> الخبر رواه الصفّار في </w:t>
      </w:r>
      <w:r w:rsidRPr="007A1104">
        <w:rPr>
          <w:rStyle w:val="libFootnoteBoldChar"/>
          <w:rtl/>
        </w:rPr>
        <w:t>بصائر الدرجات</w:t>
      </w:r>
      <w:r w:rsidRPr="00132E65">
        <w:rPr>
          <w:rtl/>
        </w:rPr>
        <w:t xml:space="preserve"> ، ص 440 ، ح 4 ، وكذا ذيله في ص 464 ، ح 4 ، عن أحمد بن الحسين‌عن المختار بن زياد. وتقدّمت في </w:t>
      </w:r>
      <w:r w:rsidRPr="000577A7">
        <w:rPr>
          <w:rStyle w:val="libFootnoteBoldChar"/>
          <w:rtl/>
        </w:rPr>
        <w:t>الكافي</w:t>
      </w:r>
      <w:r w:rsidRPr="00132E65">
        <w:rPr>
          <w:rtl/>
        </w:rPr>
        <w:t xml:space="preserve"> ، ح 930 رواية محمّد بن يحيى وأحمد بن محمّد معطوفين ، عن محمّد بن الحسن عن أحمد بن الحسين.</w:t>
      </w:r>
    </w:p>
    <w:p w:rsidR="000C39D1" w:rsidRPr="00132E65" w:rsidRDefault="000C39D1" w:rsidP="000C39D1">
      <w:pPr>
        <w:pStyle w:val="libFootnote0"/>
        <w:rPr>
          <w:rtl/>
          <w:lang w:bidi="fa-IR"/>
        </w:rPr>
      </w:pPr>
      <w:r w:rsidRPr="0046781C">
        <w:rPr>
          <w:rtl/>
        </w:rPr>
        <w:t xml:space="preserve">فعليه ، الظاهر وقوع التصحيف في ما نحن فيه والصواب « محمّد بن الحسن عن أحمد بن الحسين » ، وقد اتّضح في ما سبق وقوع التصحيف في أسناد محمّد بن يحيى وأحمد بن محمّد عن محمّد بن الحسن ، راجع : ما قدّمناه في </w:t>
      </w:r>
      <w:r w:rsidRPr="000577A7">
        <w:rPr>
          <w:rStyle w:val="libFootnoteBoldChar"/>
          <w:rtl/>
        </w:rPr>
        <w:t>الكافي</w:t>
      </w:r>
      <w:r w:rsidRPr="0046781C">
        <w:rPr>
          <w:rtl/>
        </w:rPr>
        <w:t xml:space="preserve"> ، ذيل ح 743.</w:t>
      </w:r>
    </w:p>
    <w:p w:rsidR="000C39D1" w:rsidRPr="00132E65" w:rsidRDefault="000C39D1" w:rsidP="000C39D1">
      <w:pPr>
        <w:pStyle w:val="libFootnote0"/>
        <w:rPr>
          <w:rtl/>
          <w:lang w:bidi="fa-IR"/>
        </w:rPr>
      </w:pPr>
      <w:r w:rsidRPr="0046781C">
        <w:rPr>
          <w:rtl/>
        </w:rPr>
        <w:t xml:space="preserve">هذا ، وأحمد بن الحسين في مشايخ الصفّار هو أحمد بن الحسين بن سعيد ، كما يظهر من </w:t>
      </w:r>
      <w:r w:rsidRPr="007A1104">
        <w:rPr>
          <w:rStyle w:val="libFootnoteBoldChar"/>
          <w:rtl/>
        </w:rPr>
        <w:t>بصائر الدرجات</w:t>
      </w:r>
      <w:r w:rsidRPr="0046781C">
        <w:rPr>
          <w:rtl/>
        </w:rPr>
        <w:t xml:space="preserve"> ، ص 22 ، ح 9 ، وص 230 ، ح 4</w:t>
      </w:r>
      <w:r w:rsidR="00B407BF">
        <w:rPr>
          <w:rtl/>
        </w:rPr>
        <w:t>. وروى هو عن جميع شيوخ أبيه إل</w:t>
      </w:r>
      <w:r w:rsidR="00B407BF">
        <w:rPr>
          <w:rFonts w:hint="cs"/>
          <w:rtl/>
        </w:rPr>
        <w:t>ّ</w:t>
      </w:r>
      <w:r w:rsidR="00B407BF">
        <w:rPr>
          <w:rtl/>
        </w:rPr>
        <w:t>ا</w:t>
      </w:r>
      <w:r w:rsidRPr="0046781C">
        <w:rPr>
          <w:rtl/>
        </w:rPr>
        <w:t xml:space="preserve">حمّاد بن عيسى ، كما في </w:t>
      </w:r>
      <w:r w:rsidRPr="00D37CF8">
        <w:rPr>
          <w:rtl/>
        </w:rPr>
        <w:t>رجال النجاشي</w:t>
      </w:r>
      <w:r w:rsidRPr="0046781C">
        <w:rPr>
          <w:rtl/>
        </w:rPr>
        <w:t xml:space="preserve"> ، ص 77 ، الرقم 183 ؛ </w:t>
      </w:r>
      <w:r w:rsidRPr="00D37CF8">
        <w:rPr>
          <w:rtl/>
        </w:rPr>
        <w:t>الفهرست</w:t>
      </w:r>
      <w:r w:rsidRPr="0046781C">
        <w:rPr>
          <w:rtl/>
        </w:rPr>
        <w:t xml:space="preserve"> للطوسي ، ص 55 ، الرقم 67 ؛ و</w:t>
      </w:r>
      <w:r w:rsidRPr="00D37CF8">
        <w:rPr>
          <w:rtl/>
        </w:rPr>
        <w:t>رجال الطوسي</w:t>
      </w:r>
      <w:r w:rsidRPr="0046781C">
        <w:rPr>
          <w:rtl/>
        </w:rPr>
        <w:t xml:space="preserve"> ، ص 415 ، الرقم 6006. وقد روى الحسين بن سعيد عن المختار بن زياد ، كما في </w:t>
      </w:r>
      <w:r w:rsidRPr="00D37CF8">
        <w:rPr>
          <w:rtl/>
        </w:rPr>
        <w:t>التهذيب</w:t>
      </w:r>
      <w:r w:rsidRPr="0046781C">
        <w:rPr>
          <w:rtl/>
        </w:rPr>
        <w:t xml:space="preserve"> ، ج 4 ، ص 92 ، ح 267 ؛ و</w:t>
      </w:r>
      <w:r w:rsidRPr="007A1104">
        <w:rPr>
          <w:rStyle w:val="libFootnoteBoldChar"/>
          <w:rtl/>
        </w:rPr>
        <w:t>الاستبصار</w:t>
      </w:r>
      <w:r w:rsidRPr="00D37CF8">
        <w:rPr>
          <w:rtl/>
        </w:rPr>
        <w:t xml:space="preserve"> </w:t>
      </w:r>
      <w:r w:rsidRPr="0046781C">
        <w:rPr>
          <w:rtl/>
        </w:rPr>
        <w:t>، ج 2 ، ص 38 ، ح 119. وهذا ممّا يؤكّد وقوع التصحيف في « أحمد بن الحسن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7A1104">
        <w:rPr>
          <w:rStyle w:val="libFootnoteBoldChar"/>
          <w:rtl/>
        </w:rPr>
        <w:t>بصائر الدرجات</w:t>
      </w:r>
      <w:r w:rsidRPr="00132E65">
        <w:rPr>
          <w:rtl/>
        </w:rPr>
        <w:t xml:space="preserve"> ، ص 440 « أبي جعفر محمّد بن مسلم » لكنّ المذكور في بعض مخطوطاته « سليمان » بدل « مسلم » وهو الظاهر.</w:t>
      </w:r>
    </w:p>
    <w:p w:rsidR="000C39D1" w:rsidRPr="00132E65" w:rsidRDefault="000C39D1" w:rsidP="000C39D1">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440 ، ح 4 ، عن أحمد بن الحسين ، عن المختار بن زياد ، عن أبي جعفر محمّد بن مسلم ، عن أبيه ، عن أبي بصير ؛ </w:t>
      </w:r>
      <w:r w:rsidRPr="00D37CF8">
        <w:rPr>
          <w:rtl/>
        </w:rPr>
        <w:t>وفيه</w:t>
      </w:r>
      <w:r w:rsidRPr="00132E65">
        <w:rPr>
          <w:rtl/>
        </w:rPr>
        <w:t xml:space="preserve"> ، ص 464 ، ح 4 ، عن أحمد بن الحسين ، عن المختار بن زياد ، عن أبي جعفر محمّد بن سليمان ، عن أبيه ، عن أبي بصير ، وفيه من قوله : « قلت : جعلت فداك ، الروح ليس هو جبرئيل »</w:t>
      </w:r>
      <w:r>
        <w:rPr>
          <w:rtl/>
        </w:rPr>
        <w:t>.</w:t>
      </w:r>
      <w:r w:rsidRPr="00132E65">
        <w:rPr>
          <w:rtl/>
        </w:rPr>
        <w:t xml:space="preserve"> وفي </w:t>
      </w:r>
      <w:r w:rsidRPr="007A1104">
        <w:rPr>
          <w:rStyle w:val="libFootnoteBoldChar"/>
          <w:rtl/>
        </w:rPr>
        <w:t>بصائر الدرجات</w:t>
      </w:r>
      <w:r w:rsidRPr="00132E65">
        <w:rPr>
          <w:rtl/>
        </w:rPr>
        <w:t xml:space="preserve"> ، ص 223 ، ح 13 ، عن عبّاد بن سليمان ، عن محمّد بن سليمان الديلمي ، عن أبيه سليمان ، عن أبي عبد الله ، من قوله : « إنّ نطفة الإمام » إلى قوله : « استحقّ زيارة الروح في ليلة القدر » مع اختلاف يسير. </w:t>
      </w:r>
      <w:r w:rsidRPr="00D37CF8">
        <w:rPr>
          <w:rtl/>
        </w:rPr>
        <w:t>وفيه</w:t>
      </w:r>
      <w:r w:rsidRPr="00132E65">
        <w:rPr>
          <w:rtl/>
        </w:rPr>
        <w:t xml:space="preserve"> أيضاً ، ص 439 ، ح 4 ، بإسناد الأخير ، من قوله : « وإذا سكنت النطفة في الرحم أربعة أشهر » إلى قوله : « وهو السميع العليم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D37CF8">
        <w:rPr>
          <w:rtl/>
        </w:rPr>
        <w:t>1007</w:t>
      </w:r>
      <w:r w:rsidRPr="004325D8">
        <w:rPr>
          <w:rStyle w:val="libBold2Char"/>
          <w:rtl/>
        </w:rPr>
        <w:t xml:space="preserve"> / 2.</w:t>
      </w:r>
      <w:r w:rsidRPr="00132E65">
        <w:rPr>
          <w:rtl/>
          <w:lang w:bidi="fa-IR"/>
        </w:rPr>
        <w:t xml:space="preserve"> مُحَمَّدُ بْنُ يَحْيى ، عَنْ مُحَمَّدِ بْنِ الْحُسَيْنِ ، عَنْ مُوسَى بْنِ سَعْدَانَ ، عَنْ عَبْدِ اللهِ بْنِ الْقَاسِمِ ، عَنِ الْحَسَنِ بْنِ رَاشِدٍ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إِذَا أَحَبَّ أَنْ يَخْلُقَ الْإِمَامَ ، أَمَرَ مَلَكاً ، فَأَخَذَ </w:t>
      </w:r>
      <w:r>
        <w:rPr>
          <w:rStyle w:val="libFootnotenumChar"/>
          <w:rtl/>
        </w:rPr>
        <w:t>(1)</w:t>
      </w:r>
      <w:r w:rsidRPr="00132E65">
        <w:rPr>
          <w:rtl/>
          <w:lang w:bidi="fa-IR"/>
        </w:rPr>
        <w:t xml:space="preserve"> شَرْبَةً مِنْ مَاءٍ </w:t>
      </w:r>
      <w:r>
        <w:rPr>
          <w:rStyle w:val="libFootnotenumChar"/>
          <w:rtl/>
        </w:rPr>
        <w:t>(2)</w:t>
      </w:r>
      <w:r w:rsidRPr="00132E65">
        <w:rPr>
          <w:rtl/>
          <w:lang w:bidi="fa-IR"/>
        </w:rPr>
        <w:t xml:space="preserve"> تَحْتَ الْعَرْشِ ، فَيَسْقِيهَا أَبَاهُ </w:t>
      </w:r>
      <w:r>
        <w:rPr>
          <w:rStyle w:val="libFootnotenumChar"/>
          <w:rtl/>
        </w:rPr>
        <w:t>(3)</w:t>
      </w:r>
      <w:r w:rsidRPr="00132E65">
        <w:rPr>
          <w:rtl/>
          <w:lang w:bidi="fa-IR"/>
        </w:rPr>
        <w:t xml:space="preserve"> ، فَمِنْ ذلِكَ يَخْلُقُ الْإِمَامَ ، فَيَمْكُثُ </w:t>
      </w:r>
      <w:r>
        <w:rPr>
          <w:rStyle w:val="libFootnotenumChar"/>
          <w:rtl/>
        </w:rPr>
        <w:t>(4)</w:t>
      </w:r>
      <w:r w:rsidRPr="00132E65">
        <w:rPr>
          <w:rtl/>
          <w:lang w:bidi="fa-IR"/>
        </w:rPr>
        <w:t xml:space="preserve"> أَرْبَعِينَ يَوْماً ولَيْلَةً فِي بَطْنِ أُمِّهِ لَايَسْمَعُ الصَّوْتَ ، ثُمَّ يَسْمَعُ بَعْدَ ذلِكَ الْكَلَامَ ، فَإِذَا </w:t>
      </w:r>
      <w:r>
        <w:rPr>
          <w:rStyle w:val="libFootnotenumChar"/>
          <w:rtl/>
        </w:rPr>
        <w:t>(5)</w:t>
      </w:r>
      <w:r w:rsidRPr="00132E65">
        <w:rPr>
          <w:rtl/>
          <w:lang w:bidi="fa-IR"/>
        </w:rPr>
        <w:t xml:space="preserve"> ولِدَ بَعَثَ </w:t>
      </w:r>
      <w:r>
        <w:rPr>
          <w:rStyle w:val="libFootnotenumChar"/>
          <w:rtl/>
        </w:rPr>
        <w:t>(6)</w:t>
      </w:r>
      <w:r w:rsidRPr="00132E65">
        <w:rPr>
          <w:rtl/>
          <w:lang w:bidi="fa-IR"/>
        </w:rPr>
        <w:t xml:space="preserve"> ذلِكَ الْمَلَكَ ، فَيَكْتُبُ بَيْنَ عَيْنَيْهِ : </w:t>
      </w:r>
      <w:r w:rsidRPr="00071CF9">
        <w:rPr>
          <w:rStyle w:val="libAlaemChar"/>
          <w:rtl/>
        </w:rPr>
        <w:t>(</w:t>
      </w:r>
      <w:r w:rsidRPr="00071CF9">
        <w:rPr>
          <w:rStyle w:val="libAieChar"/>
          <w:rtl/>
        </w:rPr>
        <w:t xml:space="preserve"> وَتَمَّتْ كَلِمَةُ رَبِّكَ صِدْقاً وَعَدْلاً لا مُبَدِّلَ لِكَلِماتِهِ وَهُوَ السَّمِيعُ الْعَلِيمُ</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فَإِذَا مَضَى الْإِمَامُ الَّذِي كَانَ </w:t>
      </w:r>
      <w:r>
        <w:rPr>
          <w:rStyle w:val="libFootnotenumChar"/>
          <w:rtl/>
        </w:rPr>
        <w:t>(8)</w:t>
      </w:r>
      <w:r w:rsidRPr="00132E65">
        <w:rPr>
          <w:rtl/>
          <w:lang w:bidi="fa-IR"/>
        </w:rPr>
        <w:t xml:space="preserve"> قَبْلَهُ ، رُفِعَ لِهذَا مَنَارٌ مِنْ نُورٍ يَنْظُرُ بِهِ إِلى‌أَعْمَالِ الْخَلَائِقِ ؛ فَبِهذَا يَحْتَجُّ اللهُ عَلى خَلْقِهِ »</w:t>
      </w:r>
      <w:r>
        <w:rPr>
          <w:rtl/>
          <w:lang w:bidi="fa-IR"/>
        </w:rPr>
        <w:t>.</w:t>
      </w:r>
      <w:r w:rsidRPr="00132E65">
        <w:rPr>
          <w:rtl/>
          <w:lang w:bidi="fa-IR"/>
        </w:rPr>
        <w:t xml:space="preserve"> </w:t>
      </w:r>
      <w:r>
        <w:rPr>
          <w:rStyle w:val="libFootnotenumChar"/>
          <w:rtl/>
        </w:rPr>
        <w:t>(9)</w:t>
      </w:r>
      <w:r w:rsidRPr="00132E65">
        <w:rPr>
          <w:rtl/>
          <w:lang w:bidi="fa-IR"/>
        </w:rPr>
        <w:t>‌</w:t>
      </w:r>
    </w:p>
    <w:p w:rsidR="000C39D1" w:rsidRPr="00132E65" w:rsidRDefault="000C39D1" w:rsidP="000C39D1">
      <w:pPr>
        <w:pStyle w:val="libNormal"/>
        <w:rPr>
          <w:rtl/>
          <w:lang w:bidi="fa-IR"/>
        </w:rPr>
      </w:pPr>
      <w:r w:rsidRPr="00D37CF8">
        <w:rPr>
          <w:rtl/>
        </w:rPr>
        <w:t>1008</w:t>
      </w:r>
      <w:r w:rsidRPr="004325D8">
        <w:rPr>
          <w:rStyle w:val="libBold2Char"/>
          <w:rtl/>
        </w:rPr>
        <w:t xml:space="preserve"> / 3.</w:t>
      </w:r>
      <w:r w:rsidRPr="00132E65">
        <w:rPr>
          <w:rtl/>
          <w:lang w:bidi="fa-IR"/>
        </w:rPr>
        <w:t xml:space="preserve"> مُحَمَّدُ بْنُ يَحْيى ، عَنْ أَحْمَدَ بْنِ مُحَمَّدٍ ، عَنْ عَلِيِّ بْنِ حَدِيدٍ ، عَنْ مَنْصُورِ بْنِ يُونُسَ ، عَنْ يُونُسَ بْنِ ظَبْيَانَ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إِذَا أَرَادَ أَنْ يَخْلُقَ الْإِمَامَ مِنَ الْإِمَامِ </w:t>
      </w:r>
      <w:r>
        <w:rPr>
          <w:rStyle w:val="libFootnotenumChar"/>
          <w:rtl/>
        </w:rPr>
        <w:t>(10)</w:t>
      </w:r>
      <w:r w:rsidRPr="00132E65">
        <w:rPr>
          <w:rtl/>
          <w:lang w:bidi="fa-IR"/>
        </w:rPr>
        <w:t xml:space="preserve"> ، بَعَثَ مَلَكاً ، فَأَخَذَ شَرْبَةً مِنْ مَاءٍ </w:t>
      </w:r>
      <w:r>
        <w:rPr>
          <w:rStyle w:val="libFootnotenumChar"/>
          <w:rtl/>
        </w:rPr>
        <w:t>(11)</w:t>
      </w:r>
      <w:r w:rsidRPr="00132E65">
        <w:rPr>
          <w:rtl/>
          <w:lang w:bidi="fa-IR"/>
        </w:rPr>
        <w:t xml:space="preserve"> تَحْتَ الْعَرْشِ ، ثُمَّ أَوْقَعَهَا </w:t>
      </w:r>
      <w:r>
        <w:rPr>
          <w:rStyle w:val="libFootnotenumChar"/>
          <w:rtl/>
        </w:rPr>
        <w:t>(12)</w:t>
      </w:r>
      <w:r w:rsidRPr="00132E65">
        <w:rPr>
          <w:rtl/>
          <w:lang w:bidi="fa-IR"/>
        </w:rPr>
        <w:t xml:space="preserve"> أَوْ دَفَعَهَا </w:t>
      </w:r>
      <w:r w:rsidRPr="00F543F1">
        <w:rPr>
          <w:rStyle w:val="libFootnotenumChar"/>
          <w:rtl/>
        </w:rPr>
        <w:t>(13)</w:t>
      </w:r>
      <w:r w:rsidRPr="00132E65">
        <w:rPr>
          <w:rtl/>
          <w:lang w:bidi="fa-IR"/>
        </w:rPr>
        <w:t xml:space="preserve"> إِلَى الْإِمَامِ فَشَرِبَهَا </w:t>
      </w:r>
      <w:r w:rsidRPr="00F543F1">
        <w:rPr>
          <w:rStyle w:val="libFootnotenumChar"/>
          <w:rtl/>
        </w:rPr>
        <w:t>(14)</w:t>
      </w:r>
      <w:r w:rsidRPr="00132E65">
        <w:rPr>
          <w:rtl/>
          <w:lang w:bidi="fa-IR"/>
        </w:rPr>
        <w:t xml:space="preserve"> ، فَيَمْكُثُ فِي الرَّحِمِ أَرْبَعِينَ يَوْماً لَايَسْمَعُ الْكَلَامَ ، ثُمَّ يَسْمَعُ الْكَلَامَ </w:t>
      </w:r>
      <w:r w:rsidRPr="00F543F1">
        <w:rPr>
          <w:rStyle w:val="libFootnotenumChar"/>
          <w:rtl/>
        </w:rPr>
        <w:t>(15)</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55DF5" w:rsidTr="00E55DF5">
        <w:tc>
          <w:tcPr>
            <w:tcW w:w="4006" w:type="dxa"/>
          </w:tcPr>
          <w:p w:rsidR="00E55DF5" w:rsidRDefault="00E55DF5" w:rsidP="000C39D1">
            <w:pPr>
              <w:pStyle w:val="libFootnote0"/>
              <w:rPr>
                <w:rtl/>
              </w:rPr>
            </w:pPr>
            <w:r>
              <w:rPr>
                <w:rtl/>
              </w:rPr>
              <w:t>(1).</w:t>
            </w:r>
            <w:r w:rsidRPr="00132E65">
              <w:rPr>
                <w:rtl/>
              </w:rPr>
              <w:t xml:space="preserve"> في البصائر : « أن يأخذ »</w:t>
            </w:r>
            <w:r>
              <w:rPr>
                <w:rtl/>
              </w:rPr>
              <w:t>.</w:t>
            </w:r>
          </w:p>
        </w:tc>
        <w:tc>
          <w:tcPr>
            <w:tcW w:w="4006" w:type="dxa"/>
          </w:tcPr>
          <w:p w:rsidR="00E55DF5" w:rsidRDefault="00E55DF5" w:rsidP="000C39D1">
            <w:pPr>
              <w:pStyle w:val="libFootnote0"/>
              <w:rPr>
                <w:rtl/>
              </w:rPr>
            </w:pPr>
            <w:r>
              <w:rPr>
                <w:rtl/>
              </w:rPr>
              <w:t>(2). في«بس»</w:t>
            </w:r>
            <w:r w:rsidRPr="00132E65">
              <w:rPr>
                <w:rtl/>
              </w:rPr>
              <w:t>:</w:t>
            </w:r>
            <w:r>
              <w:rPr>
                <w:rtl/>
              </w:rPr>
              <w:t>+«من</w:t>
            </w:r>
            <w:r w:rsidRPr="00132E65">
              <w:rPr>
                <w:rtl/>
              </w:rPr>
              <w:t>»</w:t>
            </w:r>
            <w:r>
              <w:rPr>
                <w:rtl/>
              </w:rPr>
              <w:t>.</w:t>
            </w:r>
            <w:r w:rsidRPr="00132E65">
              <w:rPr>
                <w:rtl/>
              </w:rPr>
              <w:t>وفي</w:t>
            </w:r>
            <w:r w:rsidRPr="009D1ACE">
              <w:rPr>
                <w:rStyle w:val="libFootnoteBoldChar"/>
                <w:rtl/>
              </w:rPr>
              <w:t>مرآة العقول</w:t>
            </w:r>
            <w:r>
              <w:rPr>
                <w:rtl/>
              </w:rPr>
              <w:t>:</w:t>
            </w:r>
            <w:r w:rsidRPr="00132E65">
              <w:rPr>
                <w:rtl/>
              </w:rPr>
              <w:t>« من الماء »</w:t>
            </w:r>
            <w:r>
              <w:rPr>
                <w:rtl/>
              </w:rPr>
              <w:t>.</w:t>
            </w:r>
          </w:p>
        </w:tc>
      </w:tr>
      <w:tr w:rsidR="00E55DF5" w:rsidTr="00E55DF5">
        <w:tc>
          <w:tcPr>
            <w:tcW w:w="4006" w:type="dxa"/>
          </w:tcPr>
          <w:p w:rsidR="00E55DF5" w:rsidRDefault="00E55DF5" w:rsidP="000C39D1">
            <w:pPr>
              <w:pStyle w:val="libFootnote0"/>
              <w:rPr>
                <w:rtl/>
              </w:rPr>
            </w:pPr>
            <w:r>
              <w:rPr>
                <w:rtl/>
              </w:rPr>
              <w:t>(3).</w:t>
            </w:r>
            <w:r w:rsidRPr="00132E65">
              <w:rPr>
                <w:rtl/>
              </w:rPr>
              <w:t xml:space="preserve"> في البصائر : « إيّاه »</w:t>
            </w:r>
            <w:r>
              <w:rPr>
                <w:rtl/>
              </w:rPr>
              <w:t>.</w:t>
            </w:r>
          </w:p>
        </w:tc>
        <w:tc>
          <w:tcPr>
            <w:tcW w:w="4006" w:type="dxa"/>
          </w:tcPr>
          <w:p w:rsidR="00E55DF5" w:rsidRDefault="00E55DF5" w:rsidP="000C39D1">
            <w:pPr>
              <w:pStyle w:val="libFootnote0"/>
              <w:rPr>
                <w:rtl/>
              </w:rPr>
            </w:pPr>
            <w:r>
              <w:rPr>
                <w:rtl/>
              </w:rPr>
              <w:t>(4). في«ب» :</w:t>
            </w:r>
            <w:r w:rsidRPr="00132E65">
              <w:rPr>
                <w:rtl/>
              </w:rPr>
              <w:t>« فمكث »</w:t>
            </w:r>
            <w:r>
              <w:rPr>
                <w:rtl/>
              </w:rPr>
              <w:t>.وفي البصائر:</w:t>
            </w:r>
            <w:r w:rsidRPr="00132E65">
              <w:rPr>
                <w:rtl/>
              </w:rPr>
              <w:t>« ويمكث »</w:t>
            </w:r>
            <w:r>
              <w:rPr>
                <w:rtl/>
              </w:rPr>
              <w:t>.</w:t>
            </w:r>
          </w:p>
        </w:tc>
      </w:tr>
      <w:tr w:rsidR="00E55DF5" w:rsidTr="00E55DF5">
        <w:tc>
          <w:tcPr>
            <w:tcW w:w="4006" w:type="dxa"/>
          </w:tcPr>
          <w:p w:rsidR="00E55DF5" w:rsidRDefault="00E55DF5" w:rsidP="000C39D1">
            <w:pPr>
              <w:pStyle w:val="libFootnote0"/>
              <w:rPr>
                <w:rtl/>
              </w:rPr>
            </w:pPr>
            <w:r>
              <w:rPr>
                <w:rtl/>
              </w:rPr>
              <w:t>(5).</w:t>
            </w:r>
            <w:r w:rsidRPr="00132E65">
              <w:rPr>
                <w:rtl/>
              </w:rPr>
              <w:t xml:space="preserve"> في « بر » : « وإذا »</w:t>
            </w:r>
            <w:r>
              <w:rPr>
                <w:rtl/>
              </w:rPr>
              <w:t>.</w:t>
            </w:r>
          </w:p>
        </w:tc>
        <w:tc>
          <w:tcPr>
            <w:tcW w:w="4006" w:type="dxa"/>
          </w:tcPr>
          <w:p w:rsidR="00E55DF5" w:rsidRDefault="00E55DF5" w:rsidP="000C39D1">
            <w:pPr>
              <w:pStyle w:val="libFootnote0"/>
              <w:rPr>
                <w:rtl/>
              </w:rPr>
            </w:pPr>
            <w:r>
              <w:rPr>
                <w:rtl/>
              </w:rPr>
              <w:t>(6).</w:t>
            </w:r>
            <w:r w:rsidRPr="00132E65">
              <w:rPr>
                <w:rtl/>
              </w:rPr>
              <w:t xml:space="preserve"> في « ب ، ض » :</w:t>
            </w:r>
            <w:r>
              <w:rPr>
                <w:rtl/>
              </w:rPr>
              <w:t xml:space="preserve"> + </w:t>
            </w:r>
            <w:r w:rsidRPr="00132E65">
              <w:rPr>
                <w:rtl/>
              </w:rPr>
              <w:t>« الله »</w:t>
            </w:r>
            <w:r>
              <w:rPr>
                <w:rtl/>
              </w:rPr>
              <w:t>.</w:t>
            </w:r>
          </w:p>
        </w:tc>
      </w:tr>
      <w:tr w:rsidR="00E55DF5" w:rsidTr="00E55DF5">
        <w:tc>
          <w:tcPr>
            <w:tcW w:w="4006" w:type="dxa"/>
          </w:tcPr>
          <w:p w:rsidR="00E55DF5" w:rsidRDefault="00E55DF5" w:rsidP="000C39D1">
            <w:pPr>
              <w:pStyle w:val="libFootnote0"/>
              <w:rPr>
                <w:rtl/>
              </w:rPr>
            </w:pPr>
            <w:r>
              <w:rPr>
                <w:rtl/>
              </w:rPr>
              <w:t>(7).</w:t>
            </w:r>
            <w:r w:rsidRPr="00132E65">
              <w:rPr>
                <w:rtl/>
              </w:rPr>
              <w:t xml:space="preserve"> الأنعام </w:t>
            </w:r>
            <w:r>
              <w:rPr>
                <w:rtl/>
              </w:rPr>
              <w:t>(6)</w:t>
            </w:r>
            <w:r w:rsidRPr="00132E65">
              <w:rPr>
                <w:rtl/>
              </w:rPr>
              <w:t xml:space="preserve"> : 115.</w:t>
            </w:r>
          </w:p>
        </w:tc>
        <w:tc>
          <w:tcPr>
            <w:tcW w:w="4006" w:type="dxa"/>
          </w:tcPr>
          <w:p w:rsidR="00E55DF5" w:rsidRDefault="00E55DF5" w:rsidP="000C39D1">
            <w:pPr>
              <w:pStyle w:val="libFootnote0"/>
              <w:rPr>
                <w:rtl/>
              </w:rPr>
            </w:pPr>
            <w:r>
              <w:rPr>
                <w:rtl/>
              </w:rPr>
              <w:t>(8).</w:t>
            </w:r>
            <w:r w:rsidRPr="00132E65">
              <w:rPr>
                <w:rtl/>
              </w:rPr>
              <w:t xml:space="preserve"> في البصائر :</w:t>
            </w:r>
            <w:r>
              <w:rPr>
                <w:rtl/>
              </w:rPr>
              <w:t xml:space="preserve"> + </w:t>
            </w:r>
            <w:r w:rsidRPr="00132E65">
              <w:rPr>
                <w:rtl/>
              </w:rPr>
              <w:t>« من »</w:t>
            </w:r>
            <w:r>
              <w:rPr>
                <w:rtl/>
              </w:rPr>
              <w:t>.</w:t>
            </w:r>
          </w:p>
        </w:tc>
      </w:tr>
    </w:tbl>
    <w:p w:rsidR="000C39D1" w:rsidRPr="00132E65" w:rsidRDefault="000C39D1" w:rsidP="00EA054C">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432 ، ح 5 ، عن محمّد بن الحسين. </w:t>
      </w:r>
      <w:r w:rsidRPr="00D37CF8">
        <w:rPr>
          <w:rtl/>
        </w:rPr>
        <w:t>تفسير القمّي</w:t>
      </w:r>
      <w:r w:rsidRPr="00132E65">
        <w:rPr>
          <w:rtl/>
        </w:rPr>
        <w:t xml:space="preserve"> ، ج 1 ، ص 215 ، بسنده عن الحسن بن راشد ، مع اختلاف يسير</w:t>
      </w:r>
      <w:r w:rsidR="00EA054C">
        <w:rPr>
          <w:rFonts w:hint="cs"/>
          <w:rtl/>
        </w:rPr>
        <w:t>.</w:t>
      </w:r>
      <w:r w:rsidRPr="009D1ACE">
        <w:rPr>
          <w:rStyle w:val="libFootnoteBoldChar"/>
          <w:rtl/>
        </w:rPr>
        <w:t>الوافي</w:t>
      </w:r>
      <w:r w:rsidRPr="00132E65">
        <w:rPr>
          <w:rtl/>
        </w:rPr>
        <w:t xml:space="preserve"> ، ج 3 ، ص 687 ، ح 1291.</w:t>
      </w:r>
    </w:p>
    <w:p w:rsidR="000C39D1" w:rsidRPr="00132E65" w:rsidRDefault="000C39D1" w:rsidP="000C39D1">
      <w:pPr>
        <w:pStyle w:val="libFootnote0"/>
        <w:rPr>
          <w:rtl/>
          <w:lang w:bidi="fa-IR"/>
        </w:rPr>
      </w:pPr>
      <w:r>
        <w:rPr>
          <w:rtl/>
        </w:rPr>
        <w:t>(10).</w:t>
      </w:r>
      <w:r w:rsidRPr="00132E65">
        <w:rPr>
          <w:rtl/>
        </w:rPr>
        <w:t xml:space="preserve"> في البصائر ، ص 439 </w:t>
      </w:r>
      <w:r>
        <w:rPr>
          <w:rtl/>
        </w:rPr>
        <w:t xml:space="preserve">: - </w:t>
      </w:r>
      <w:r w:rsidRPr="00132E65">
        <w:rPr>
          <w:rtl/>
        </w:rPr>
        <w:t>« من الإمام »</w:t>
      </w:r>
      <w:r>
        <w:rPr>
          <w:rtl/>
        </w:rPr>
        <w:t>.</w:t>
      </w:r>
    </w:p>
    <w:p w:rsidR="000C39D1" w:rsidRPr="00132E65" w:rsidRDefault="000C39D1" w:rsidP="000C39D1">
      <w:pPr>
        <w:pStyle w:val="libFootnote0"/>
        <w:rPr>
          <w:rtl/>
          <w:lang w:bidi="fa-IR"/>
        </w:rPr>
      </w:pPr>
      <w:r>
        <w:rPr>
          <w:rtl/>
        </w:rPr>
        <w:t>(11).</w:t>
      </w:r>
      <w:r w:rsidRPr="00132E65">
        <w:rPr>
          <w:rtl/>
        </w:rPr>
        <w:t xml:space="preserve"> في « ب ، ض ، بح ، بر ، بف » و</w:t>
      </w:r>
      <w:r w:rsidRPr="009D1ACE">
        <w:rPr>
          <w:rStyle w:val="libFootnoteBoldChar"/>
          <w:rtl/>
        </w:rPr>
        <w:t>الوافي</w:t>
      </w:r>
      <w:r w:rsidRPr="00132E65">
        <w:rPr>
          <w:rtl/>
        </w:rPr>
        <w:t xml:space="preserve"> والبصائر ، ص 439 </w:t>
      </w:r>
      <w:r>
        <w:rPr>
          <w:rtl/>
        </w:rPr>
        <w:t xml:space="preserve">: - </w:t>
      </w:r>
      <w:r w:rsidRPr="00132E65">
        <w:rPr>
          <w:rtl/>
        </w:rPr>
        <w:t>« ماء »</w:t>
      </w:r>
      <w:r>
        <w:rPr>
          <w:rtl/>
        </w:rPr>
        <w:t>.</w:t>
      </w:r>
    </w:p>
    <w:p w:rsidR="000C39D1" w:rsidRPr="00132E65" w:rsidRDefault="000C39D1" w:rsidP="000C39D1">
      <w:pPr>
        <w:pStyle w:val="libFootnote0"/>
        <w:rPr>
          <w:rtl/>
          <w:lang w:bidi="fa-IR"/>
        </w:rPr>
      </w:pPr>
      <w:r>
        <w:rPr>
          <w:rtl/>
        </w:rPr>
        <w:t>(12).</w:t>
      </w:r>
      <w:r w:rsidRPr="00132E65">
        <w:rPr>
          <w:rtl/>
        </w:rPr>
        <w:t xml:space="preserve"> في « ض ، ف ، بح ، بر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أوقفها »</w:t>
      </w:r>
      <w:r>
        <w:rPr>
          <w:rtl/>
        </w:rPr>
        <w:t>.</w:t>
      </w:r>
      <w:r w:rsidRPr="00132E65">
        <w:rPr>
          <w:rtl/>
        </w:rPr>
        <w:t xml:space="preserve"> وفي البصائر ، ص 439 : « أوصلها »</w:t>
      </w:r>
      <w:r>
        <w:rPr>
          <w:rtl/>
        </w:rPr>
        <w:t>.</w:t>
      </w:r>
    </w:p>
    <w:p w:rsidR="000C39D1" w:rsidRPr="00132E65" w:rsidRDefault="000C39D1" w:rsidP="000C39D1">
      <w:pPr>
        <w:pStyle w:val="libFootnote0"/>
        <w:rPr>
          <w:rtl/>
          <w:lang w:bidi="fa-IR"/>
        </w:rPr>
      </w:pPr>
      <w:r>
        <w:rPr>
          <w:rtl/>
        </w:rPr>
        <w:t>(13)</w:t>
      </w:r>
      <w:r w:rsidRPr="00132E65">
        <w:rPr>
          <w:rtl/>
        </w:rPr>
        <w:t xml:space="preserve"> « أو دفعها » ، الترديد من الراوي. راجع : </w:t>
      </w:r>
      <w:r w:rsidRPr="00D37CF8">
        <w:rPr>
          <w:rtl/>
        </w:rPr>
        <w:t>شرح المازندراني</w:t>
      </w:r>
      <w:r w:rsidRPr="00132E65">
        <w:rPr>
          <w:rtl/>
        </w:rPr>
        <w:t xml:space="preserve"> ، ج 6 ، ص 360 ؛ </w:t>
      </w:r>
      <w:r w:rsidRPr="009D1ACE">
        <w:rPr>
          <w:rStyle w:val="libFootnoteBoldChar"/>
          <w:rtl/>
        </w:rPr>
        <w:t>مرآة العقول</w:t>
      </w:r>
      <w:r w:rsidRPr="00132E65">
        <w:rPr>
          <w:rtl/>
        </w:rPr>
        <w:t xml:space="preserve"> ، ج 4 ، ص 264.</w:t>
      </w:r>
    </w:p>
    <w:tbl>
      <w:tblPr>
        <w:tblStyle w:val="TableGrid"/>
        <w:bidiVisual/>
        <w:tblW w:w="0" w:type="auto"/>
        <w:tblLook w:val="04A0" w:firstRow="1" w:lastRow="0" w:firstColumn="1" w:lastColumn="0" w:noHBand="0" w:noVBand="1"/>
      </w:tblPr>
      <w:tblGrid>
        <w:gridCol w:w="4006"/>
        <w:gridCol w:w="4006"/>
      </w:tblGrid>
      <w:tr w:rsidR="00EA054C" w:rsidTr="00EA054C">
        <w:tc>
          <w:tcPr>
            <w:tcW w:w="4006" w:type="dxa"/>
          </w:tcPr>
          <w:p w:rsidR="00EA054C" w:rsidRDefault="00EA054C" w:rsidP="000C39D1">
            <w:pPr>
              <w:pStyle w:val="libFootnote0"/>
              <w:rPr>
                <w:rtl/>
              </w:rPr>
            </w:pPr>
            <w:r>
              <w:rPr>
                <w:rtl/>
              </w:rPr>
              <w:t>(14)</w:t>
            </w:r>
            <w:r w:rsidRPr="00132E65">
              <w:rPr>
                <w:rtl/>
              </w:rPr>
              <w:t xml:space="preserve"> في البصائر ، ص 439 </w:t>
            </w:r>
            <w:r>
              <w:rPr>
                <w:rtl/>
              </w:rPr>
              <w:t xml:space="preserve">: - </w:t>
            </w:r>
            <w:r w:rsidRPr="00132E65">
              <w:rPr>
                <w:rtl/>
              </w:rPr>
              <w:t>« فشربها »</w:t>
            </w:r>
            <w:r>
              <w:rPr>
                <w:rtl/>
              </w:rPr>
              <w:t>.</w:t>
            </w:r>
          </w:p>
        </w:tc>
        <w:tc>
          <w:tcPr>
            <w:tcW w:w="4006" w:type="dxa"/>
          </w:tcPr>
          <w:p w:rsidR="00EA054C" w:rsidRDefault="00EA054C" w:rsidP="000C39D1">
            <w:pPr>
              <w:pStyle w:val="libFootnote0"/>
              <w:rPr>
                <w:rtl/>
              </w:rPr>
            </w:pPr>
            <w:r>
              <w:rPr>
                <w:rtl/>
              </w:rPr>
              <w:t>(15)</w:t>
            </w:r>
            <w:r w:rsidRPr="00132E65">
              <w:rPr>
                <w:rtl/>
              </w:rPr>
              <w:t xml:space="preserve"> في البصائر ، ص 439 </w:t>
            </w:r>
            <w:r>
              <w:rPr>
                <w:rtl/>
              </w:rPr>
              <w:t xml:space="preserve">: - </w:t>
            </w:r>
            <w:r w:rsidRPr="00132E65">
              <w:rPr>
                <w:rtl/>
              </w:rPr>
              <w:t>« الكلام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FC6262">
      <w:pPr>
        <w:pStyle w:val="libNormal0"/>
        <w:tabs>
          <w:tab w:val="left" w:pos="3968"/>
        </w:tabs>
        <w:rPr>
          <w:rtl/>
          <w:lang w:bidi="fa-IR"/>
        </w:rPr>
      </w:pPr>
      <w:r w:rsidRPr="00132E65">
        <w:rPr>
          <w:rtl/>
          <w:lang w:bidi="fa-IR"/>
        </w:rPr>
        <w:t xml:space="preserve">بَعْدَ ذلِكَ ، فَإِذَا وضَعَتْهُ أُمُّهُ ، بَعَثَ اللهُ </w:t>
      </w:r>
      <w:r>
        <w:rPr>
          <w:rStyle w:val="libFootnotenumChar"/>
          <w:rtl/>
        </w:rPr>
        <w:t>(1)</w:t>
      </w:r>
      <w:r w:rsidRPr="00132E65">
        <w:rPr>
          <w:rtl/>
          <w:lang w:bidi="fa-IR"/>
        </w:rPr>
        <w:t xml:space="preserve"> إِلَيْهِ </w:t>
      </w:r>
      <w:r>
        <w:rPr>
          <w:rStyle w:val="libFootnotenumChar"/>
          <w:rtl/>
        </w:rPr>
        <w:t>(2)</w:t>
      </w:r>
      <w:r w:rsidRPr="00132E65">
        <w:rPr>
          <w:rtl/>
          <w:lang w:bidi="fa-IR"/>
        </w:rPr>
        <w:t xml:space="preserve"> ذلِكَ الْمَلَكَ الَّذِي أَخَذَ الشَّرْبَةَ ، فَكَتَبَ </w:t>
      </w:r>
      <w:r>
        <w:rPr>
          <w:rStyle w:val="libFootnotenumChar"/>
          <w:rtl/>
        </w:rPr>
        <w:t>(3)</w:t>
      </w:r>
      <w:r w:rsidRPr="00132E65">
        <w:rPr>
          <w:rtl/>
          <w:lang w:bidi="fa-IR"/>
        </w:rPr>
        <w:t xml:space="preserve"> عَلى عَضُدِهِ الْأَيْمَنِ : </w:t>
      </w:r>
      <w:r w:rsidRPr="00071CF9">
        <w:rPr>
          <w:rStyle w:val="libAlaemChar"/>
          <w:rtl/>
        </w:rPr>
        <w:t>(</w:t>
      </w:r>
      <w:r w:rsidRPr="00071CF9">
        <w:rPr>
          <w:rStyle w:val="libAieChar"/>
          <w:rtl/>
        </w:rPr>
        <w:t xml:space="preserve"> وَتَمَّتْ كَلِمَةُ رَبِّكَ صِدْقاً وَعَدْلاً لا مُبَدِّلَ لِكَلِماتِهِ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فَإِذَا قَامَ بِهذَا الْأَمْرِ ، رَفَعَ اللهُ لَهُ فِي كُلِّ بَلْدَةٍ مَنَاراً يَنْظُرُ بِهِ إِلى‌أَعْمَالِ الْعِبَادِ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673BBA">
        <w:rPr>
          <w:rtl/>
        </w:rPr>
        <w:t>1009</w:t>
      </w:r>
      <w:r w:rsidRPr="004325D8">
        <w:rPr>
          <w:rStyle w:val="libBold2Char"/>
          <w:rtl/>
        </w:rPr>
        <w:t xml:space="preserve"> / 4.</w:t>
      </w:r>
      <w:r w:rsidRPr="00132E65">
        <w:rPr>
          <w:rtl/>
          <w:lang w:bidi="fa-IR"/>
        </w:rPr>
        <w:t xml:space="preserve"> عِدَّةٌ مِنْ أَصْحَابِنَا ، عَنْ أَحْمَدَ بْنِ مُحَمَّدٍ ، عَنِ ابْنِ مَحْبُوبٍ ، عَنِ الرَّبِيعِ بْنِ مُحَمَّدٍ الْمُسْلِيِّ </w:t>
      </w:r>
      <w:r>
        <w:rPr>
          <w:rStyle w:val="libFootnotenumChar"/>
          <w:rtl/>
        </w:rPr>
        <w:t>(7)</w:t>
      </w:r>
      <w:r w:rsidRPr="00132E65">
        <w:rPr>
          <w:rtl/>
          <w:lang w:bidi="fa-IR"/>
        </w:rPr>
        <w:t xml:space="preserve"> ، عَنْ مُحَمَّدِ بْنِ مَرْوَانَ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الْإِمَامَ لَيَسْمَعُ </w:t>
      </w:r>
      <w:r>
        <w:rPr>
          <w:rStyle w:val="libFootnotenumChar"/>
          <w:rtl/>
        </w:rPr>
        <w:t>(8)</w:t>
      </w:r>
      <w:r w:rsidRPr="00132E65">
        <w:rPr>
          <w:rtl/>
          <w:lang w:bidi="fa-IR"/>
        </w:rPr>
        <w:t xml:space="preserve"> فِي بَطْنِ أُمِّهِ ، فَإِذَا ولِدَ خُطَّ بَيْنَ كَتِفَيْهِ : </w:t>
      </w:r>
      <w:r w:rsidRPr="00071CF9">
        <w:rPr>
          <w:rStyle w:val="libAlaemChar"/>
          <w:rtl/>
        </w:rPr>
        <w:t>(</w:t>
      </w:r>
      <w:r w:rsidRPr="00071CF9">
        <w:rPr>
          <w:rStyle w:val="libAieChar"/>
          <w:rtl/>
        </w:rPr>
        <w:t xml:space="preserve"> وَتَمَّتْ كَلِمَةُ رَبِّكَ صِدْقاً وَعَدْلاً لا مُبَدِّلَ لِكَلِماتِهِ وَهُوَ السَّمِيعُ الْعَلِيمُ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فَإِذَا صَارَ الْأَمْرُ إِلَيْهِ ، جَعَلَ اللهُ لَهُ عَمُوداً مِنْ نُورٍ يُبْصِرُ بِهِ مَا يَعْمَلُ </w:t>
      </w:r>
      <w:r>
        <w:rPr>
          <w:rStyle w:val="libFootnotenumChar"/>
          <w:rtl/>
        </w:rPr>
        <w:t>(10)</w:t>
      </w:r>
      <w:r w:rsidRPr="00132E65">
        <w:rPr>
          <w:rtl/>
          <w:lang w:bidi="fa-IR"/>
        </w:rPr>
        <w:t xml:space="preserve"> أَهْلُ كُلِّ بَلْدَةٍ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C6262" w:rsidTr="00FC6262">
        <w:tc>
          <w:tcPr>
            <w:tcW w:w="4006" w:type="dxa"/>
          </w:tcPr>
          <w:p w:rsidR="00FC6262" w:rsidRDefault="00FC6262" w:rsidP="000C39D1">
            <w:pPr>
              <w:pStyle w:val="libFootnote0"/>
              <w:rPr>
                <w:rtl/>
              </w:rPr>
            </w:pPr>
            <w:r>
              <w:rPr>
                <w:rtl/>
              </w:rPr>
              <w:t>(1). في« بس،بف» والبصائر</w:t>
            </w:r>
            <w:r w:rsidRPr="00132E65">
              <w:rPr>
                <w:rtl/>
              </w:rPr>
              <w:t xml:space="preserve">، ص 439 </w:t>
            </w:r>
            <w:r>
              <w:rPr>
                <w:rtl/>
              </w:rPr>
              <w:t xml:space="preserve">:- </w:t>
            </w:r>
            <w:r w:rsidRPr="00132E65">
              <w:rPr>
                <w:rtl/>
              </w:rPr>
              <w:t>« الله »</w:t>
            </w:r>
            <w:r>
              <w:rPr>
                <w:rtl/>
              </w:rPr>
              <w:t>.</w:t>
            </w:r>
          </w:p>
        </w:tc>
        <w:tc>
          <w:tcPr>
            <w:tcW w:w="4006" w:type="dxa"/>
          </w:tcPr>
          <w:p w:rsidR="00FC6262" w:rsidRDefault="00FC6262" w:rsidP="000C39D1">
            <w:pPr>
              <w:pStyle w:val="libFootnote0"/>
              <w:rPr>
                <w:rtl/>
              </w:rPr>
            </w:pPr>
            <w:r>
              <w:rPr>
                <w:rtl/>
              </w:rPr>
              <w:t>(2).</w:t>
            </w:r>
            <w:r w:rsidRPr="00132E65">
              <w:rPr>
                <w:rtl/>
              </w:rPr>
              <w:t xml:space="preserve"> في البصائر ، ص 439 </w:t>
            </w:r>
            <w:r>
              <w:rPr>
                <w:rtl/>
              </w:rPr>
              <w:t xml:space="preserve">: - </w:t>
            </w:r>
            <w:r w:rsidRPr="00132E65">
              <w:rPr>
                <w:rtl/>
              </w:rPr>
              <w:t>« إليه »</w:t>
            </w:r>
            <w:r>
              <w:rPr>
                <w:rtl/>
              </w:rPr>
              <w:t>.</w:t>
            </w:r>
          </w:p>
        </w:tc>
      </w:tr>
    </w:tbl>
    <w:p w:rsidR="000C39D1" w:rsidRPr="00132E65" w:rsidRDefault="000C39D1" w:rsidP="000C39D1">
      <w:pPr>
        <w:pStyle w:val="libFootnote0"/>
        <w:rPr>
          <w:rtl/>
          <w:lang w:bidi="fa-IR"/>
        </w:rPr>
      </w:pPr>
      <w:r>
        <w:rPr>
          <w:rtl/>
        </w:rPr>
        <w:t>(3).</w:t>
      </w:r>
      <w:r w:rsidRPr="00132E65">
        <w:rPr>
          <w:rtl/>
        </w:rPr>
        <w:t xml:space="preserve"> في « ف » : « فيكتب »</w:t>
      </w:r>
      <w:r>
        <w:rPr>
          <w:rtl/>
        </w:rPr>
        <w:t>.</w:t>
      </w:r>
      <w:r w:rsidRPr="00132E65">
        <w:rPr>
          <w:rtl/>
        </w:rPr>
        <w:t xml:space="preserve"> وفي البصائر ، ص 439 : « الذي كان أخذ الشربة ويكتب »</w:t>
      </w:r>
      <w:r>
        <w:rPr>
          <w:rtl/>
        </w:rPr>
        <w:t>.</w:t>
      </w:r>
    </w:p>
    <w:p w:rsidR="000C39D1" w:rsidRPr="00132E65" w:rsidRDefault="000C39D1" w:rsidP="007E1D91">
      <w:pPr>
        <w:pStyle w:val="libFootnote0"/>
        <w:rPr>
          <w:rtl/>
          <w:lang w:bidi="fa-IR"/>
        </w:rPr>
      </w:pPr>
      <w:r>
        <w:rPr>
          <w:rtl/>
        </w:rPr>
        <w:t>(4).</w:t>
      </w:r>
      <w:r w:rsidRPr="00132E65">
        <w:rPr>
          <w:rtl/>
        </w:rPr>
        <w:t xml:space="preserve"> في « ف ، بر » وحاشية « ج » والبصائر ، ص 439 :</w:t>
      </w:r>
      <w:r>
        <w:rPr>
          <w:rtl/>
        </w:rPr>
        <w:t xml:space="preserve"> + </w:t>
      </w:r>
      <w:r w:rsidR="007E1D91" w:rsidRPr="007E1D91">
        <w:rPr>
          <w:rStyle w:val="libFootnoteAlaemChar"/>
          <w:rFonts w:hint="cs"/>
          <w:rtl/>
        </w:rPr>
        <w:t>(</w:t>
      </w:r>
      <w:r w:rsidRPr="007E1D91">
        <w:rPr>
          <w:rStyle w:val="libFootnoteAieChar"/>
          <w:rtl/>
        </w:rPr>
        <w:t xml:space="preserve"> وَهُوَ السَّمِيعُ العَلِيمُ </w:t>
      </w:r>
      <w:r w:rsidR="007E1D91" w:rsidRPr="007E1D91">
        <w:rPr>
          <w:rStyle w:val="libFootnoteAlaemChar"/>
          <w:rFonts w:hint="cs"/>
          <w:rtl/>
        </w:rPr>
        <w:t>)</w:t>
      </w:r>
      <w:r>
        <w:rPr>
          <w:rtl/>
        </w:rPr>
        <w:t>.</w:t>
      </w:r>
    </w:p>
    <w:p w:rsidR="000C39D1" w:rsidRPr="00132E65" w:rsidRDefault="000C39D1" w:rsidP="000C39D1">
      <w:pPr>
        <w:pStyle w:val="libFootnote0"/>
        <w:rPr>
          <w:rtl/>
          <w:lang w:bidi="fa-IR"/>
        </w:rPr>
      </w:pPr>
      <w:r>
        <w:rPr>
          <w:rtl/>
        </w:rPr>
        <w:t>(5).</w:t>
      </w:r>
      <w:r w:rsidRPr="00132E65">
        <w:rPr>
          <w:rtl/>
        </w:rPr>
        <w:t xml:space="preserve"> في البصائر ، ص 439 </w:t>
      </w:r>
      <w:r>
        <w:rPr>
          <w:rtl/>
        </w:rPr>
        <w:t xml:space="preserve">: - </w:t>
      </w:r>
      <w:r w:rsidRPr="00132E65">
        <w:rPr>
          <w:rtl/>
        </w:rPr>
        <w:t>« فإذا قام بهذا الأمر</w:t>
      </w:r>
      <w:r>
        <w:rPr>
          <w:rtl/>
        </w:rPr>
        <w:t xml:space="preserve"> - </w:t>
      </w:r>
      <w:r w:rsidRPr="00132E65">
        <w:rPr>
          <w:rtl/>
        </w:rPr>
        <w:t>إلى</w:t>
      </w:r>
      <w:r>
        <w:rPr>
          <w:rtl/>
        </w:rPr>
        <w:t xml:space="preserve"> - </w:t>
      </w:r>
      <w:r w:rsidRPr="00132E65">
        <w:rPr>
          <w:rtl/>
        </w:rPr>
        <w:t>أعمال العباد »</w:t>
      </w:r>
      <w:r>
        <w:rPr>
          <w:rtl/>
        </w:rPr>
        <w:t>.</w:t>
      </w:r>
    </w:p>
    <w:p w:rsidR="000C39D1" w:rsidRPr="00132E65" w:rsidRDefault="000C39D1" w:rsidP="007E1D91">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439 ، ح 5 ، عن أحمد بن محمّد ، عن عليّ بن حديد ، عن جميل بن درّاج ، عن يونس بن ظبيان. </w:t>
      </w:r>
      <w:r w:rsidRPr="00673BBA">
        <w:rPr>
          <w:rtl/>
        </w:rPr>
        <w:t>وفيه</w:t>
      </w:r>
      <w:r w:rsidRPr="00132E65">
        <w:rPr>
          <w:rtl/>
        </w:rPr>
        <w:t xml:space="preserve"> ، ص 431</w:t>
      </w:r>
      <w:r>
        <w:rPr>
          <w:rtl/>
        </w:rPr>
        <w:t xml:space="preserve"> - </w:t>
      </w:r>
      <w:r w:rsidRPr="00132E65">
        <w:rPr>
          <w:rtl/>
        </w:rPr>
        <w:t xml:space="preserve">434 ، ح 4 </w:t>
      </w:r>
      <w:r>
        <w:rPr>
          <w:rtl/>
        </w:rPr>
        <w:t>و 7</w:t>
      </w:r>
      <w:r w:rsidRPr="00132E65">
        <w:rPr>
          <w:rtl/>
        </w:rPr>
        <w:t xml:space="preserve"> </w:t>
      </w:r>
      <w:r>
        <w:rPr>
          <w:rtl/>
        </w:rPr>
        <w:t>و 8</w:t>
      </w:r>
      <w:r w:rsidRPr="00132E65">
        <w:rPr>
          <w:rtl/>
        </w:rPr>
        <w:t xml:space="preserve"> </w:t>
      </w:r>
      <w:r>
        <w:rPr>
          <w:rtl/>
        </w:rPr>
        <w:t>و 1</w:t>
      </w:r>
      <w:r w:rsidRPr="00132E65">
        <w:rPr>
          <w:rtl/>
        </w:rPr>
        <w:t xml:space="preserve">0 ؛ وص 437 ، ح 7 ؛ وص 438 ، ح 2 </w:t>
      </w:r>
      <w:r>
        <w:rPr>
          <w:rtl/>
        </w:rPr>
        <w:t>و 3</w:t>
      </w:r>
      <w:r w:rsidRPr="00132E65">
        <w:rPr>
          <w:rtl/>
        </w:rPr>
        <w:t xml:space="preserve"> ، في كلّها بسند آخر عن يونس بن ظبيان ، مع اختلاف. </w:t>
      </w:r>
      <w:r w:rsidRPr="00673BBA">
        <w:rPr>
          <w:rtl/>
        </w:rPr>
        <w:t>وفيه</w:t>
      </w:r>
      <w:r w:rsidRPr="00132E65">
        <w:rPr>
          <w:rtl/>
        </w:rPr>
        <w:t xml:space="preserve"> أيضاً ، ص 431</w:t>
      </w:r>
      <w:r>
        <w:rPr>
          <w:rtl/>
        </w:rPr>
        <w:t xml:space="preserve"> - </w:t>
      </w:r>
      <w:r w:rsidRPr="00132E65">
        <w:rPr>
          <w:rtl/>
        </w:rPr>
        <w:t xml:space="preserve">433 ، ح 1 </w:t>
      </w:r>
      <w:r>
        <w:rPr>
          <w:rtl/>
        </w:rPr>
        <w:t>و 3</w:t>
      </w:r>
      <w:r w:rsidRPr="00132E65">
        <w:rPr>
          <w:rtl/>
        </w:rPr>
        <w:t xml:space="preserve"> </w:t>
      </w:r>
      <w:r>
        <w:rPr>
          <w:rtl/>
        </w:rPr>
        <w:t>و 9</w:t>
      </w:r>
      <w:r w:rsidRPr="00132E65">
        <w:rPr>
          <w:rtl/>
        </w:rPr>
        <w:t xml:space="preserve"> ؛ وص 440 ، ح 3 ، في كلّها بسند آخر ، مع اختلاف ؛ </w:t>
      </w:r>
      <w:r w:rsidRPr="00673BBA">
        <w:rPr>
          <w:rtl/>
        </w:rPr>
        <w:t>تفسير القمّي</w:t>
      </w:r>
      <w:r w:rsidRPr="00132E65">
        <w:rPr>
          <w:rtl/>
        </w:rPr>
        <w:t xml:space="preserve"> ، ج 1 ، ص 214 ، بسند آخر من قوله : « فإذا وضعته أمّه بعث الله إليه » ، مع اختلاف. </w:t>
      </w:r>
      <w:r w:rsidRPr="00673BBA">
        <w:rPr>
          <w:rtl/>
        </w:rPr>
        <w:t>تفسير العيّاشي</w:t>
      </w:r>
      <w:r w:rsidRPr="00132E65">
        <w:rPr>
          <w:rtl/>
        </w:rPr>
        <w:t xml:space="preserve"> ، ج 1 ، ص 37 ، ح 82 ؛ وح 83 ، عن يونس بن ظبيان ، مع اختلاف. </w:t>
      </w:r>
      <w:r w:rsidRPr="007A1104">
        <w:rPr>
          <w:rStyle w:val="libFootnoteBoldChar"/>
          <w:rtl/>
        </w:rPr>
        <w:t>بصائر الدرجات</w:t>
      </w:r>
      <w:r w:rsidRPr="00132E65">
        <w:rPr>
          <w:rtl/>
        </w:rPr>
        <w:t xml:space="preserve"> ، ص 436 ، ح 4 ، عن أحمد بن محمّد ، عن عليّ بن حديد ، عن منصور بن يونس ، من دون الإسناد إلى المعصوم </w:t>
      </w:r>
      <w:r w:rsidRPr="00FC6262">
        <w:rPr>
          <w:rStyle w:val="libFootnoteAlaemChar"/>
          <w:rtl/>
        </w:rPr>
        <w:t>عليه‌السلام</w:t>
      </w:r>
      <w:r w:rsidRPr="00132E65">
        <w:rPr>
          <w:rtl/>
        </w:rPr>
        <w:t xml:space="preserve"> ، وفيه قطعة مع اختلاف يسير</w:t>
      </w:r>
      <w:r w:rsidR="007E1D91">
        <w:rPr>
          <w:rFonts w:hint="cs"/>
          <w:rtl/>
        </w:rPr>
        <w:t>.</w:t>
      </w:r>
      <w:r w:rsidRPr="009D1ACE">
        <w:rPr>
          <w:rStyle w:val="libFootnoteBoldChar"/>
          <w:rtl/>
        </w:rPr>
        <w:t>الوافي</w:t>
      </w:r>
      <w:r w:rsidRPr="00132E65">
        <w:rPr>
          <w:rtl/>
        </w:rPr>
        <w:t xml:space="preserve"> ، ج 3 ، ص 688 ، ح 1292.</w:t>
      </w:r>
    </w:p>
    <w:p w:rsidR="000C39D1" w:rsidRPr="00132E65" w:rsidRDefault="000C39D1" w:rsidP="000C39D1">
      <w:pPr>
        <w:pStyle w:val="libFootnote0"/>
        <w:rPr>
          <w:rtl/>
          <w:lang w:bidi="fa-IR"/>
        </w:rPr>
      </w:pPr>
      <w:r>
        <w:rPr>
          <w:rtl/>
        </w:rPr>
        <w:t>(7).</w:t>
      </w:r>
      <w:r w:rsidRPr="00132E65">
        <w:rPr>
          <w:rtl/>
        </w:rPr>
        <w:t xml:space="preserve"> في البصائر ، ص 437 ، ح 2 وص 438 ، ح 1 : « المسلمي »</w:t>
      </w:r>
      <w:r>
        <w:rPr>
          <w:rtl/>
        </w:rPr>
        <w:t>.</w:t>
      </w:r>
      <w:r w:rsidRPr="00132E65">
        <w:rPr>
          <w:rtl/>
        </w:rPr>
        <w:t xml:space="preserve"> والمذكور في بعض مخطوطاته في كلا الموضعين هو « المسلي » ، وهو الصواب. راجع : </w:t>
      </w:r>
      <w:r w:rsidRPr="00673BBA">
        <w:rPr>
          <w:rtl/>
        </w:rPr>
        <w:t>رجال النجاشي</w:t>
      </w:r>
      <w:r w:rsidRPr="00132E65">
        <w:rPr>
          <w:rtl/>
        </w:rPr>
        <w:t xml:space="preserve"> ، ص 164 ، الرقم 433.</w:t>
      </w:r>
    </w:p>
    <w:p w:rsidR="000C39D1" w:rsidRPr="00132E65" w:rsidRDefault="000C39D1" w:rsidP="000C39D1">
      <w:pPr>
        <w:pStyle w:val="libFootnote0"/>
        <w:rPr>
          <w:rtl/>
          <w:lang w:bidi="fa-IR"/>
        </w:rPr>
      </w:pPr>
      <w:r>
        <w:rPr>
          <w:rtl/>
        </w:rPr>
        <w:t>(8).</w:t>
      </w:r>
      <w:r w:rsidRPr="00132E65">
        <w:rPr>
          <w:rtl/>
        </w:rPr>
        <w:t xml:space="preserve"> في البصائر ، ص 437 ، ح 2 : « يسمع »</w:t>
      </w:r>
      <w:r>
        <w:rPr>
          <w:rtl/>
        </w:rPr>
        <w:t>.</w:t>
      </w:r>
    </w:p>
    <w:p w:rsidR="000C39D1" w:rsidRPr="00132E65" w:rsidRDefault="000C39D1" w:rsidP="007E1D91">
      <w:pPr>
        <w:pStyle w:val="libFootnote0"/>
        <w:rPr>
          <w:rtl/>
          <w:lang w:bidi="fa-IR"/>
        </w:rPr>
      </w:pPr>
      <w:r>
        <w:rPr>
          <w:rtl/>
        </w:rPr>
        <w:t>(9).</w:t>
      </w:r>
      <w:r w:rsidRPr="00132E65">
        <w:rPr>
          <w:rtl/>
        </w:rPr>
        <w:t xml:space="preserve"> في « ب » والبصائر ، ص 437 ، ح 2 </w:t>
      </w:r>
      <w:r>
        <w:rPr>
          <w:rtl/>
        </w:rPr>
        <w:t xml:space="preserve">: - </w:t>
      </w:r>
      <w:r w:rsidR="007E1D91" w:rsidRPr="007E1D91">
        <w:rPr>
          <w:rStyle w:val="libFootnoteAlaemChar"/>
          <w:rFonts w:hint="cs"/>
          <w:rtl/>
        </w:rPr>
        <w:t>(</w:t>
      </w:r>
      <w:r w:rsidRPr="007E1D91">
        <w:rPr>
          <w:rStyle w:val="libFootnoteAieChar"/>
          <w:rtl/>
        </w:rPr>
        <w:t xml:space="preserve"> وَهُوَ السَّمِيعُ العَلِيمُ </w:t>
      </w:r>
      <w:r w:rsidR="007E1D91" w:rsidRPr="007E1D91">
        <w:rPr>
          <w:rStyle w:val="libFootnoteAlaemChar"/>
          <w:rFonts w:hint="cs"/>
          <w:rtl/>
        </w:rPr>
        <w:t>)</w:t>
      </w:r>
      <w:r>
        <w:rPr>
          <w:rtl/>
        </w:rPr>
        <w:t>.</w:t>
      </w:r>
    </w:p>
    <w:tbl>
      <w:tblPr>
        <w:tblStyle w:val="TableGrid"/>
        <w:bidiVisual/>
        <w:tblW w:w="0" w:type="auto"/>
        <w:tblLook w:val="04A0" w:firstRow="1" w:lastRow="0" w:firstColumn="1" w:lastColumn="0" w:noHBand="0" w:noVBand="1"/>
      </w:tblPr>
      <w:tblGrid>
        <w:gridCol w:w="4006"/>
        <w:gridCol w:w="4006"/>
      </w:tblGrid>
      <w:tr w:rsidR="007E1D91" w:rsidTr="007E1D91">
        <w:tc>
          <w:tcPr>
            <w:tcW w:w="4006" w:type="dxa"/>
          </w:tcPr>
          <w:p w:rsidR="007E1D91" w:rsidRDefault="007E1D91" w:rsidP="000C39D1">
            <w:pPr>
              <w:pStyle w:val="libFootnote0"/>
              <w:rPr>
                <w:rtl/>
              </w:rPr>
            </w:pPr>
            <w:r>
              <w:rPr>
                <w:rtl/>
              </w:rPr>
              <w:t>(10).</w:t>
            </w:r>
            <w:r w:rsidRPr="00132E65">
              <w:rPr>
                <w:rtl/>
              </w:rPr>
              <w:t xml:space="preserve"> في البصائر ، ص 437 ، ح 2 :</w:t>
            </w:r>
            <w:r>
              <w:rPr>
                <w:rtl/>
              </w:rPr>
              <w:t xml:space="preserve"> + </w:t>
            </w:r>
            <w:r w:rsidRPr="00132E65">
              <w:rPr>
                <w:rtl/>
              </w:rPr>
              <w:t>« به »</w:t>
            </w:r>
            <w:r>
              <w:rPr>
                <w:rtl/>
              </w:rPr>
              <w:t>.</w:t>
            </w:r>
          </w:p>
        </w:tc>
        <w:tc>
          <w:tcPr>
            <w:tcW w:w="4006" w:type="dxa"/>
          </w:tcPr>
          <w:p w:rsidR="007E1D91" w:rsidRDefault="007E1D91" w:rsidP="000C39D1">
            <w:pPr>
              <w:pStyle w:val="libFootnote0"/>
              <w:rPr>
                <w:rtl/>
              </w:rPr>
            </w:pPr>
            <w:r>
              <w:rPr>
                <w:rtl/>
              </w:rPr>
              <w:t>(11).</w:t>
            </w:r>
            <w:r w:rsidRPr="00132E65">
              <w:rPr>
                <w:rtl/>
              </w:rPr>
              <w:t xml:space="preserve"> في « بس » : « كلّ أهل بلدة »</w:t>
            </w:r>
            <w:r>
              <w:rPr>
                <w:rtl/>
              </w:rPr>
              <w:t>.</w:t>
            </w:r>
          </w:p>
        </w:tc>
      </w:tr>
    </w:tbl>
    <w:p w:rsidR="000C39D1" w:rsidRPr="00132E65" w:rsidRDefault="000C39D1" w:rsidP="000C39D1">
      <w:pPr>
        <w:pStyle w:val="libFootnote0"/>
        <w:rPr>
          <w:rtl/>
          <w:lang w:bidi="fa-IR"/>
        </w:rPr>
      </w:pPr>
      <w:r>
        <w:rPr>
          <w:rtl/>
        </w:rPr>
        <w:t>(12).</w:t>
      </w:r>
      <w:r w:rsidRPr="00132E65">
        <w:rPr>
          <w:rtl/>
        </w:rPr>
        <w:t xml:space="preserve"> </w:t>
      </w:r>
      <w:r w:rsidRPr="007A1104">
        <w:rPr>
          <w:rStyle w:val="libFootnoteBoldChar"/>
          <w:rtl/>
        </w:rPr>
        <w:t>بصائر الدرجات</w:t>
      </w:r>
      <w:r w:rsidRPr="00132E65">
        <w:rPr>
          <w:rtl/>
        </w:rPr>
        <w:t xml:space="preserve"> ، ص 437 ، ح 2 ؛ عن أحمد بن محمّد. </w:t>
      </w:r>
      <w:r w:rsidRPr="00673BBA">
        <w:rPr>
          <w:rtl/>
        </w:rPr>
        <w:t>وفيه</w:t>
      </w:r>
      <w:r w:rsidRPr="00132E65">
        <w:rPr>
          <w:rtl/>
        </w:rPr>
        <w:t xml:space="preserve"> ، ص 438 ، ح 1 ، بسنده عن العبّاس بن عامر </w:t>
      </w:r>
      <w:r w:rsidR="006867D9">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73BBA">
        <w:rPr>
          <w:rtl/>
        </w:rPr>
        <w:t>1010</w:t>
      </w:r>
      <w:r w:rsidRPr="004325D8">
        <w:rPr>
          <w:rStyle w:val="libBold2Char"/>
          <w:rtl/>
        </w:rPr>
        <w:t xml:space="preserve"> / 5.</w:t>
      </w:r>
      <w:r w:rsidRPr="00132E65">
        <w:rPr>
          <w:rtl/>
          <w:lang w:bidi="fa-IR"/>
        </w:rPr>
        <w:t xml:space="preserve"> الْحُسَيْنُ بْنُ مُحَمَّدٍ ، عَنْ مُعَلَّى بْنِ مُحَمَّدٍ ، عَنْ أَحْمَدَ بْنِ مُحَمَّدِ بْنِ عَبْدِ اللهِ ، عَنِ ابْنِ مَسْعُودٍ </w:t>
      </w:r>
      <w:r>
        <w:rPr>
          <w:rStyle w:val="libFootnotenumChar"/>
          <w:rtl/>
        </w:rPr>
        <w:t>(1)</w:t>
      </w:r>
      <w:r w:rsidRPr="00132E65">
        <w:rPr>
          <w:rtl/>
          <w:lang w:bidi="fa-IR"/>
        </w:rPr>
        <w:t xml:space="preserve"> ، عَنْ عَبْدِ اللهِ بْنِ إِبْرَاهِيمَ الْجَعْفَرِيِّ ، قَالَ : سَمِعْتُ إِسْحَاقَ بْنَ جَعْفَرٍ يَقُولُ :</w:t>
      </w:r>
    </w:p>
    <w:p w:rsidR="000C39D1" w:rsidRPr="00132E65" w:rsidRDefault="000C39D1" w:rsidP="000C39D1">
      <w:pPr>
        <w:pStyle w:val="libNormal"/>
        <w:rPr>
          <w:rtl/>
          <w:lang w:bidi="fa-IR"/>
        </w:rPr>
      </w:pPr>
      <w:r w:rsidRPr="00132E65">
        <w:rPr>
          <w:rtl/>
          <w:lang w:bidi="fa-IR"/>
        </w:rPr>
        <w:t xml:space="preserve">سَمِعْتُ أَبِي يَقُولُ : « الْأَوْصِيَاءُ إِذَا حَمَلَتْ بِهِمْ أُمَّهَاتُهُمْ ، أَصَابَهَا فَتْرَةٌ شِبْهُ الْغَشْيَةِ ، فَأَقَامَتْ فِي ذلِكَ يَوْمَهَا ذلِكَ إِنْ كَانَ نَهَاراً ، أَوْ لَيْلَتَهَا </w:t>
      </w:r>
      <w:r>
        <w:rPr>
          <w:rStyle w:val="libFootnotenumChar"/>
          <w:rtl/>
        </w:rPr>
        <w:t>(2)</w:t>
      </w:r>
      <w:r w:rsidRPr="00132E65">
        <w:rPr>
          <w:rtl/>
          <w:lang w:bidi="fa-IR"/>
        </w:rPr>
        <w:t xml:space="preserve"> إِنْ كَانَ لَيْلاً ، ثُمَّ تَرى فِي مَنَامِهَا رَجُلاً يُبَشِّرُهَا بِغُلَامٍ عَلِيمٍ حَلِيمٍ </w:t>
      </w:r>
      <w:r>
        <w:rPr>
          <w:rStyle w:val="libFootnotenumChar"/>
          <w:rtl/>
        </w:rPr>
        <w:t>(3)</w:t>
      </w:r>
      <w:r w:rsidRPr="00132E65">
        <w:rPr>
          <w:rtl/>
          <w:lang w:bidi="fa-IR"/>
        </w:rPr>
        <w:t xml:space="preserve"> ، فَتَفْرَحُ لِذلِكَ ، ثُمَّ تَنْتَبِهُ مِنْ نَوْمِهَا ، فَتَسْمَعُ مِنْ </w:t>
      </w:r>
      <w:r>
        <w:rPr>
          <w:rStyle w:val="libFootnotenumChar"/>
          <w:rtl/>
        </w:rPr>
        <w:t>(4)</w:t>
      </w:r>
      <w:r w:rsidRPr="00132E65">
        <w:rPr>
          <w:rtl/>
          <w:lang w:bidi="fa-IR"/>
        </w:rPr>
        <w:t xml:space="preserve"> جَانِبِهَا الْأَيْمَنِ فِي جَانِبِ الْبَيْتِ صَوْتاً يَقُولُ : حَمَلْتِ بِخَيْرٍ ، وتَصِيرِينَ إِلى خَيْرٍ ، وَجِئْتِ بِخَيْرٍ ، أَبْشِرِي بِغُلَامٍ حَلِيمٍ عَلِيمٍ </w:t>
      </w:r>
      <w:r>
        <w:rPr>
          <w:rStyle w:val="libFootnotenumChar"/>
          <w:rtl/>
        </w:rPr>
        <w:t>(5)</w:t>
      </w:r>
      <w:r w:rsidRPr="00132E65">
        <w:rPr>
          <w:rtl/>
          <w:lang w:bidi="fa-IR"/>
        </w:rPr>
        <w:t xml:space="preserve"> ، وتَجِدُ خِفَّةً فِي بَدَنِهَا </w:t>
      </w:r>
      <w:r>
        <w:rPr>
          <w:rStyle w:val="libFootnotenumChar"/>
          <w:rtl/>
        </w:rPr>
        <w:t>(6)</w:t>
      </w:r>
      <w:r w:rsidRPr="00132E65">
        <w:rPr>
          <w:rtl/>
          <w:lang w:bidi="fa-IR"/>
        </w:rPr>
        <w:t xml:space="preserve"> ، ثُمَّ </w:t>
      </w:r>
      <w:r>
        <w:rPr>
          <w:rStyle w:val="libFootnotenumChar"/>
          <w:rtl/>
        </w:rPr>
        <w:t>(7)</w:t>
      </w:r>
      <w:r w:rsidRPr="00132E65">
        <w:rPr>
          <w:rtl/>
          <w:lang w:bidi="fa-IR"/>
        </w:rPr>
        <w:t xml:space="preserve"> لَمْ </w:t>
      </w:r>
      <w:r>
        <w:rPr>
          <w:rStyle w:val="libFootnotenumChar"/>
          <w:rtl/>
        </w:rPr>
        <w:t>(8)</w:t>
      </w:r>
      <w:r w:rsidRPr="00132E65">
        <w:rPr>
          <w:rtl/>
          <w:lang w:bidi="fa-IR"/>
        </w:rPr>
        <w:t xml:space="preserve"> تَجِدْ بَعْدَ </w:t>
      </w:r>
      <w:r>
        <w:rPr>
          <w:rStyle w:val="libFootnotenumChar"/>
          <w:rtl/>
        </w:rPr>
        <w:t>(9)</w:t>
      </w:r>
      <w:r w:rsidRPr="00132E65">
        <w:rPr>
          <w:rtl/>
          <w:lang w:bidi="fa-IR"/>
        </w:rPr>
        <w:t xml:space="preserve"> ذلِكَ اتِّسَاعاً </w:t>
      </w:r>
      <w:r>
        <w:rPr>
          <w:rStyle w:val="libFootnotenumChar"/>
          <w:rtl/>
        </w:rPr>
        <w:t>(10)</w:t>
      </w:r>
      <w:r w:rsidRPr="00132E65">
        <w:rPr>
          <w:rtl/>
          <w:lang w:bidi="fa-IR"/>
        </w:rPr>
        <w:t xml:space="preserve"> مِنْ جَنْبَيْهَا وبَطْنِهَا </w:t>
      </w:r>
      <w:r>
        <w:rPr>
          <w:rStyle w:val="libFootnotenumChar"/>
          <w:rtl/>
        </w:rPr>
        <w:t>(11)</w:t>
      </w:r>
      <w:r w:rsidRPr="00132E65">
        <w:rPr>
          <w:rtl/>
          <w:lang w:bidi="fa-IR"/>
        </w:rPr>
        <w:t xml:space="preserve"> ، فَإِذَا كَانَ لِتِسْعٍ مِنْ شَهْرِهَا </w:t>
      </w:r>
      <w:r>
        <w:rPr>
          <w:rStyle w:val="libFootnotenumChar"/>
          <w:rtl/>
        </w:rPr>
        <w:t>(12)</w:t>
      </w:r>
      <w:r w:rsidRPr="00132E65">
        <w:rPr>
          <w:rtl/>
          <w:lang w:bidi="fa-IR"/>
        </w:rPr>
        <w:t xml:space="preserve"> ، سَمِعَتْ فِي الْبَيْتِ‌</w:t>
      </w:r>
    </w:p>
    <w:p w:rsidR="000C39D1" w:rsidRPr="00132E65" w:rsidRDefault="000C39D1" w:rsidP="000C39D1">
      <w:pPr>
        <w:pStyle w:val="libLine"/>
        <w:rPr>
          <w:rtl/>
          <w:lang w:bidi="fa-IR"/>
        </w:rPr>
      </w:pPr>
      <w:r w:rsidRPr="00132E65">
        <w:rPr>
          <w:rtl/>
          <w:lang w:bidi="fa-IR"/>
        </w:rPr>
        <w:t>__________________</w:t>
      </w:r>
    </w:p>
    <w:p w:rsidR="000C39D1" w:rsidRPr="00A67C29" w:rsidRDefault="00093C51" w:rsidP="009A4E1D">
      <w:pPr>
        <w:pStyle w:val="libFootnote0"/>
        <w:rPr>
          <w:rtl/>
        </w:rPr>
      </w:pPr>
      <w:r>
        <w:rPr>
          <w:rFonts w:hint="cs"/>
          <w:rtl/>
        </w:rPr>
        <w:t xml:space="preserve">= </w:t>
      </w:r>
      <w:r w:rsidR="000C39D1" w:rsidRPr="00132E65">
        <w:rPr>
          <w:rtl/>
        </w:rPr>
        <w:t xml:space="preserve">الربيع بن محمّد المسلمي ، عن محمّد بن مروان ، مع اختلاف يسير ؛ </w:t>
      </w:r>
      <w:r w:rsidR="000C39D1" w:rsidRPr="00673BBA">
        <w:rPr>
          <w:rtl/>
        </w:rPr>
        <w:t>وفيه</w:t>
      </w:r>
      <w:r w:rsidR="000C39D1" w:rsidRPr="00132E65">
        <w:rPr>
          <w:rtl/>
        </w:rPr>
        <w:t xml:space="preserve"> أيضاً ، ص 431</w:t>
      </w:r>
      <w:r w:rsidR="000C39D1">
        <w:rPr>
          <w:rtl/>
        </w:rPr>
        <w:t xml:space="preserve"> - </w:t>
      </w:r>
      <w:r w:rsidR="000C39D1" w:rsidRPr="00132E65">
        <w:rPr>
          <w:rtl/>
        </w:rPr>
        <w:t xml:space="preserve">432 ، ح 2 </w:t>
      </w:r>
      <w:r w:rsidR="000C39D1">
        <w:rPr>
          <w:rtl/>
        </w:rPr>
        <w:t>و 6</w:t>
      </w:r>
      <w:r w:rsidR="000C39D1" w:rsidRPr="00132E65">
        <w:rPr>
          <w:rtl/>
        </w:rPr>
        <w:t xml:space="preserve"> ، بسنده عن محمّد بن مروان ، عن أبي جعفر </w:t>
      </w:r>
      <w:r w:rsidR="000C39D1" w:rsidRPr="009A4E1D">
        <w:rPr>
          <w:rStyle w:val="libFootnoteAlaemChar"/>
          <w:rtl/>
        </w:rPr>
        <w:t>عليه‌السلام</w:t>
      </w:r>
      <w:r w:rsidR="000C39D1" w:rsidRPr="00132E65">
        <w:rPr>
          <w:rtl/>
        </w:rPr>
        <w:t xml:space="preserve"> ، مع اختلاف يسير ؛ </w:t>
      </w:r>
      <w:r w:rsidR="000C39D1" w:rsidRPr="00673BBA">
        <w:rPr>
          <w:rtl/>
        </w:rPr>
        <w:t>وفيه</w:t>
      </w:r>
      <w:r w:rsidR="000C39D1" w:rsidRPr="00132E65">
        <w:rPr>
          <w:rtl/>
        </w:rPr>
        <w:t xml:space="preserve"> أيضاً ، ص 434 ، ح 1 ، بسنده عن محمّد بن مروان ، عن أبي عبد الله </w:t>
      </w:r>
      <w:r w:rsidR="000C39D1" w:rsidRPr="009A4E1D">
        <w:rPr>
          <w:rStyle w:val="libFootnoteAlaemChar"/>
          <w:rtl/>
        </w:rPr>
        <w:t>عليه‌السلام</w:t>
      </w:r>
      <w:r w:rsidR="000C39D1" w:rsidRPr="00132E65">
        <w:rPr>
          <w:rtl/>
        </w:rPr>
        <w:t xml:space="preserve"> ، مع اختلاف. وفي </w:t>
      </w:r>
      <w:r w:rsidR="000C39D1" w:rsidRPr="007A1104">
        <w:rPr>
          <w:rStyle w:val="libFootnoteBoldChar"/>
          <w:rtl/>
        </w:rPr>
        <w:t>بصائر الدرجات</w:t>
      </w:r>
      <w:r w:rsidR="000C39D1" w:rsidRPr="00132E65">
        <w:rPr>
          <w:rtl/>
        </w:rPr>
        <w:t xml:space="preserve"> ، ص 436 ، ح 2 </w:t>
      </w:r>
      <w:r w:rsidR="000C39D1">
        <w:rPr>
          <w:rtl/>
        </w:rPr>
        <w:t>و 3</w:t>
      </w:r>
      <w:r w:rsidR="000C39D1" w:rsidRPr="00132E65">
        <w:rPr>
          <w:rtl/>
        </w:rPr>
        <w:t xml:space="preserve"> ، بسند آخر ، مع اختلاف يسير ؛ </w:t>
      </w:r>
      <w:r w:rsidR="000C39D1" w:rsidRPr="00673BBA">
        <w:rPr>
          <w:rtl/>
        </w:rPr>
        <w:t>وفيه</w:t>
      </w:r>
      <w:r w:rsidR="000C39D1" w:rsidRPr="00132E65">
        <w:rPr>
          <w:rtl/>
        </w:rPr>
        <w:t xml:space="preserve"> ، ص 437 ، ح 1 ، بسند آخر ؛ </w:t>
      </w:r>
      <w:r w:rsidR="000C39D1" w:rsidRPr="00673BBA">
        <w:rPr>
          <w:rtl/>
        </w:rPr>
        <w:t>وفيه</w:t>
      </w:r>
      <w:r w:rsidR="000C39D1" w:rsidRPr="00132E65">
        <w:rPr>
          <w:rtl/>
        </w:rPr>
        <w:t xml:space="preserve"> ، ص 435 ، ح 3 ؛ وص 436 ، ح 5 </w:t>
      </w:r>
      <w:r w:rsidR="000C39D1">
        <w:rPr>
          <w:rtl/>
        </w:rPr>
        <w:t>و 6</w:t>
      </w:r>
      <w:r w:rsidR="000C39D1" w:rsidRPr="00132E65">
        <w:rPr>
          <w:rtl/>
        </w:rPr>
        <w:t xml:space="preserve"> ؛ وص 437 ، ح 3 ، بسند آخر عن أبي جعفر </w:t>
      </w:r>
      <w:r w:rsidR="000C39D1" w:rsidRPr="009A4E1D">
        <w:rPr>
          <w:rStyle w:val="libFootnoteAlaemChar"/>
          <w:rtl/>
        </w:rPr>
        <w:t>عليه‌السلام</w:t>
      </w:r>
      <w:r w:rsidR="000C39D1" w:rsidRPr="00132E65">
        <w:rPr>
          <w:rtl/>
        </w:rPr>
        <w:t xml:space="preserve"> ، مع اختلاف ؛ </w:t>
      </w:r>
      <w:r w:rsidR="000C39D1" w:rsidRPr="00673BBA">
        <w:rPr>
          <w:rtl/>
        </w:rPr>
        <w:t>وفيه</w:t>
      </w:r>
      <w:r w:rsidR="000C39D1" w:rsidRPr="00132E65">
        <w:rPr>
          <w:rtl/>
        </w:rPr>
        <w:t xml:space="preserve"> أيضاً ، ص 434 ، ح 11 ، بسند آخر عن </w:t>
      </w:r>
      <w:r w:rsidR="000C39D1" w:rsidRPr="00A67C29">
        <w:rPr>
          <w:rtl/>
        </w:rPr>
        <w:t xml:space="preserve">أحدهما </w:t>
      </w:r>
      <w:r w:rsidR="000C39D1" w:rsidRPr="009A4E1D">
        <w:rPr>
          <w:rStyle w:val="libFootnoteAlaemChar"/>
          <w:rtl/>
        </w:rPr>
        <w:t>عليهما‌السلام</w:t>
      </w:r>
      <w:r w:rsidR="000C39D1" w:rsidRPr="00A67C29">
        <w:rPr>
          <w:rtl/>
        </w:rPr>
        <w:t xml:space="preserve"> ، مع اختلاف. وفيه ، ص 435 ، ح 2 ، بسنده عن محمّد بن مروان ، عن الفضيل بن يسار ، من دون الإسناد إلى المعصوم </w:t>
      </w:r>
      <w:r w:rsidR="000C39D1" w:rsidRPr="009A4E1D">
        <w:rPr>
          <w:rStyle w:val="libFootnoteAlaemChar"/>
          <w:rtl/>
        </w:rPr>
        <w:t>عليه‌السلام</w:t>
      </w:r>
      <w:r w:rsidR="000C39D1" w:rsidRPr="00A67C29">
        <w:rPr>
          <w:rtl/>
        </w:rPr>
        <w:t xml:space="preserve"> ، مع اختلاف</w:t>
      </w:r>
      <w:r w:rsidR="009A4E1D">
        <w:rPr>
          <w:rFonts w:hint="cs"/>
          <w:rtl/>
        </w:rPr>
        <w:t>.</w:t>
      </w:r>
      <w:r w:rsidR="000C39D1" w:rsidRPr="009D1ACE">
        <w:rPr>
          <w:rStyle w:val="libFootnoteBoldChar"/>
          <w:rtl/>
        </w:rPr>
        <w:t>الوافي</w:t>
      </w:r>
      <w:r w:rsidR="000C39D1" w:rsidRPr="00A67C29">
        <w:rPr>
          <w:rtl/>
        </w:rPr>
        <w:t xml:space="preserve"> ، ج ، ص 688 ، ح 1293.</w:t>
      </w:r>
    </w:p>
    <w:p w:rsidR="000C39D1" w:rsidRPr="00132E65" w:rsidRDefault="000C39D1" w:rsidP="000C39D1">
      <w:pPr>
        <w:pStyle w:val="libFootnote0"/>
        <w:rPr>
          <w:rtl/>
          <w:lang w:bidi="fa-IR"/>
        </w:rPr>
      </w:pPr>
      <w:r>
        <w:rPr>
          <w:rtl/>
        </w:rPr>
        <w:t>(1).</w:t>
      </w:r>
      <w:r w:rsidRPr="00132E65">
        <w:rPr>
          <w:rtl/>
        </w:rPr>
        <w:t xml:space="preserve"> في « ض ، ف » : « ابن أبي مسعود »</w:t>
      </w:r>
      <w:r>
        <w:rPr>
          <w:rtl/>
        </w:rPr>
        <w:t>.</w:t>
      </w:r>
      <w:r w:rsidRPr="00132E65">
        <w:rPr>
          <w:rtl/>
        </w:rPr>
        <w:t xml:space="preserve"> وفي « </w:t>
      </w:r>
      <w:r>
        <w:rPr>
          <w:rtl/>
        </w:rPr>
        <w:t>و »</w:t>
      </w:r>
      <w:r w:rsidRPr="00132E65">
        <w:rPr>
          <w:rtl/>
        </w:rPr>
        <w:t xml:space="preserve"> وحاشية « ج ، بح ، بر ، بس ، بف » : « أبي مسعود »</w:t>
      </w:r>
      <w:r>
        <w:rPr>
          <w:rtl/>
        </w:rPr>
        <w:t>.</w:t>
      </w:r>
      <w:r w:rsidRPr="00132E65">
        <w:rPr>
          <w:rtl/>
        </w:rPr>
        <w:t xml:space="preserve"> وتقدّمت في ح 515 ، رواية معلّى بن محمّد ، عن أحمد بن محمّد ، عن أبي مسعود ، عن الجعفري.</w:t>
      </w:r>
    </w:p>
    <w:p w:rsidR="000C39D1" w:rsidRPr="00132E65" w:rsidRDefault="000C39D1" w:rsidP="000C39D1">
      <w:pPr>
        <w:pStyle w:val="libFootnote0"/>
        <w:rPr>
          <w:rtl/>
          <w:lang w:bidi="fa-IR"/>
        </w:rPr>
      </w:pPr>
      <w:r>
        <w:rPr>
          <w:rtl/>
        </w:rPr>
        <w:t>(2).</w:t>
      </w:r>
      <w:r w:rsidRPr="00132E65">
        <w:rPr>
          <w:rtl/>
        </w:rPr>
        <w:t xml:space="preserve"> في « ب » : « وليلتها »</w:t>
      </w:r>
      <w:r>
        <w:rPr>
          <w:rtl/>
        </w:rPr>
        <w:t>.</w:t>
      </w:r>
    </w:p>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حليم »</w:t>
      </w:r>
      <w:r>
        <w:rPr>
          <w:rtl/>
        </w:rPr>
        <w:t>.</w:t>
      </w:r>
      <w:r w:rsidRPr="00132E65">
        <w:rPr>
          <w:rtl/>
        </w:rPr>
        <w:t xml:space="preserve"> وفي « ف ، بس » و</w:t>
      </w:r>
      <w:r w:rsidRPr="009D1ACE">
        <w:rPr>
          <w:rStyle w:val="libFootnoteBoldChar"/>
          <w:rtl/>
        </w:rPr>
        <w:t>الوافي</w:t>
      </w:r>
      <w:r w:rsidRPr="00132E65">
        <w:rPr>
          <w:rtl/>
        </w:rPr>
        <w:t xml:space="preserve"> ، والبحار ، ج 25 : « حليم عليم »</w:t>
      </w:r>
      <w:r>
        <w:rPr>
          <w:rtl/>
        </w:rPr>
        <w:t>.</w:t>
      </w:r>
    </w:p>
    <w:tbl>
      <w:tblPr>
        <w:tblStyle w:val="TableGrid"/>
        <w:bidiVisual/>
        <w:tblW w:w="0" w:type="auto"/>
        <w:tblLook w:val="04A0" w:firstRow="1" w:lastRow="0" w:firstColumn="1" w:lastColumn="0" w:noHBand="0" w:noVBand="1"/>
      </w:tblPr>
      <w:tblGrid>
        <w:gridCol w:w="4006"/>
        <w:gridCol w:w="4006"/>
      </w:tblGrid>
      <w:tr w:rsidR="009A4E1D" w:rsidTr="009A4E1D">
        <w:tc>
          <w:tcPr>
            <w:tcW w:w="4006" w:type="dxa"/>
          </w:tcPr>
          <w:p w:rsidR="009A4E1D" w:rsidRDefault="009A4E1D" w:rsidP="000C39D1">
            <w:pPr>
              <w:pStyle w:val="libFootnote0"/>
              <w:rPr>
                <w:rtl/>
              </w:rPr>
            </w:pPr>
            <w:r>
              <w:rPr>
                <w:rtl/>
              </w:rPr>
              <w:t>(4).</w:t>
            </w:r>
            <w:r w:rsidRPr="00132E65">
              <w:rPr>
                <w:rtl/>
              </w:rPr>
              <w:t xml:space="preserve"> في « ف » :</w:t>
            </w:r>
            <w:r>
              <w:rPr>
                <w:rtl/>
              </w:rPr>
              <w:t xml:space="preserve"> + </w:t>
            </w:r>
            <w:r w:rsidRPr="00132E65">
              <w:rPr>
                <w:rtl/>
              </w:rPr>
              <w:t>« بين »</w:t>
            </w:r>
            <w:r>
              <w:rPr>
                <w:rtl/>
              </w:rPr>
              <w:t>.</w:t>
            </w:r>
          </w:p>
        </w:tc>
        <w:tc>
          <w:tcPr>
            <w:tcW w:w="4006" w:type="dxa"/>
          </w:tcPr>
          <w:p w:rsidR="009A4E1D" w:rsidRDefault="009A4E1D" w:rsidP="000C39D1">
            <w:pPr>
              <w:pStyle w:val="libFootnote0"/>
              <w:rPr>
                <w:rtl/>
              </w:rPr>
            </w:pPr>
            <w:r>
              <w:rPr>
                <w:rtl/>
              </w:rPr>
              <w:t>(5).</w:t>
            </w:r>
            <w:r w:rsidRPr="00132E65">
              <w:rPr>
                <w:rtl/>
              </w:rPr>
              <w:t xml:space="preserve"> في « بح » : « عليم حليم »</w:t>
            </w:r>
            <w:r>
              <w:rPr>
                <w:rtl/>
              </w:rPr>
              <w:t>.</w:t>
            </w:r>
          </w:p>
        </w:tc>
      </w:tr>
      <w:tr w:rsidR="009A4E1D" w:rsidTr="009A4E1D">
        <w:tc>
          <w:tcPr>
            <w:tcW w:w="4006" w:type="dxa"/>
          </w:tcPr>
          <w:p w:rsidR="009A4E1D" w:rsidRDefault="009A4E1D" w:rsidP="000C39D1">
            <w:pPr>
              <w:pStyle w:val="libFootnote0"/>
              <w:rPr>
                <w:rtl/>
              </w:rPr>
            </w:pPr>
            <w:r>
              <w:rPr>
                <w:rtl/>
              </w:rPr>
              <w:t>(6).</w:t>
            </w:r>
            <w:r w:rsidRPr="00132E65">
              <w:rPr>
                <w:rtl/>
              </w:rPr>
              <w:t xml:space="preserve"> في « ف » : « في بدنها خفّة »</w:t>
            </w:r>
            <w:r>
              <w:rPr>
                <w:rtl/>
              </w:rPr>
              <w:t>.</w:t>
            </w:r>
          </w:p>
        </w:tc>
        <w:tc>
          <w:tcPr>
            <w:tcW w:w="4006" w:type="dxa"/>
          </w:tcPr>
          <w:p w:rsidR="009A4E1D" w:rsidRDefault="009A4E1D" w:rsidP="000C39D1">
            <w:pPr>
              <w:pStyle w:val="libFootnote0"/>
              <w:rPr>
                <w:rtl/>
              </w:rPr>
            </w:pPr>
            <w:r>
              <w:rPr>
                <w:rtl/>
              </w:rPr>
              <w:t>(7).في«ج،ض،ف،</w:t>
            </w:r>
            <w:r w:rsidRPr="00132E65">
              <w:rPr>
                <w:rtl/>
              </w:rPr>
              <w:t>ب</w:t>
            </w:r>
            <w:r>
              <w:rPr>
                <w:rtl/>
              </w:rPr>
              <w:t>ح»</w:t>
            </w:r>
            <w:r w:rsidRPr="00132E65">
              <w:rPr>
                <w:rtl/>
              </w:rPr>
              <w:t>و</w:t>
            </w:r>
            <w:r w:rsidRPr="009D1ACE">
              <w:rPr>
                <w:rStyle w:val="libFootnoteBoldChar"/>
                <w:rtl/>
              </w:rPr>
              <w:t>الوافي</w:t>
            </w:r>
            <w:r>
              <w:rPr>
                <w:rtl/>
              </w:rPr>
              <w:t>والبحار،ج 25:-«ثمّ</w:t>
            </w:r>
            <w:r w:rsidRPr="00132E65">
              <w:rPr>
                <w:rtl/>
              </w:rPr>
              <w:t>»</w:t>
            </w:r>
            <w:r>
              <w:rPr>
                <w:rtl/>
              </w:rPr>
              <w:t>.</w:t>
            </w:r>
          </w:p>
        </w:tc>
      </w:tr>
      <w:tr w:rsidR="009A4E1D" w:rsidTr="009A4E1D">
        <w:tc>
          <w:tcPr>
            <w:tcW w:w="4006" w:type="dxa"/>
          </w:tcPr>
          <w:p w:rsidR="009A4E1D" w:rsidRDefault="009A4E1D" w:rsidP="000C39D1">
            <w:pPr>
              <w:pStyle w:val="libFootnote0"/>
              <w:rPr>
                <w:rtl/>
              </w:rPr>
            </w:pPr>
            <w:r>
              <w:rPr>
                <w:rtl/>
              </w:rPr>
              <w:t>(8).</w:t>
            </w:r>
            <w:r w:rsidRPr="00132E65">
              <w:rPr>
                <w:rtl/>
              </w:rPr>
              <w:t xml:space="preserve"> في « بر » والبحار ، ج 15 </w:t>
            </w:r>
            <w:r>
              <w:rPr>
                <w:rtl/>
              </w:rPr>
              <w:t xml:space="preserve">: - </w:t>
            </w:r>
            <w:r w:rsidRPr="00132E65">
              <w:rPr>
                <w:rtl/>
              </w:rPr>
              <w:t>« لم »</w:t>
            </w:r>
            <w:r>
              <w:rPr>
                <w:rtl/>
              </w:rPr>
              <w:t>.</w:t>
            </w:r>
          </w:p>
        </w:tc>
        <w:tc>
          <w:tcPr>
            <w:tcW w:w="4006" w:type="dxa"/>
          </w:tcPr>
          <w:p w:rsidR="009A4E1D" w:rsidRDefault="009A4E1D" w:rsidP="000C39D1">
            <w:pPr>
              <w:pStyle w:val="libFootnote0"/>
              <w:rPr>
                <w:rtl/>
              </w:rPr>
            </w:pPr>
            <w:r>
              <w:rPr>
                <w:rtl/>
              </w:rPr>
              <w:t>(9).</w:t>
            </w:r>
            <w:r w:rsidRPr="00132E65">
              <w:rPr>
                <w:rtl/>
              </w:rPr>
              <w:t xml:space="preserve"> في « ف » : « قبل »</w:t>
            </w:r>
            <w:r>
              <w:rPr>
                <w:rtl/>
              </w:rPr>
              <w:t>.</w:t>
            </w:r>
          </w:p>
        </w:tc>
      </w:tr>
    </w:tbl>
    <w:p w:rsidR="000C39D1" w:rsidRPr="00132E65" w:rsidRDefault="000C39D1" w:rsidP="000C39D1">
      <w:pPr>
        <w:pStyle w:val="libFootnote0"/>
        <w:rPr>
          <w:rtl/>
          <w:lang w:bidi="fa-IR"/>
        </w:rPr>
      </w:pPr>
      <w:r>
        <w:rPr>
          <w:rtl/>
        </w:rPr>
        <w:t>(10).</w:t>
      </w:r>
      <w:r w:rsidRPr="00132E65">
        <w:rPr>
          <w:rtl/>
        </w:rPr>
        <w:t xml:space="preserve"> هكذا في « ب ، ج ، ف ، بح » وحاشية « ض ، بر » والبحار. وفي سائر النسخ والمطبوع : « امتناعاً »</w:t>
      </w:r>
      <w:r>
        <w:rPr>
          <w:rtl/>
        </w:rPr>
        <w:t>.</w:t>
      </w:r>
      <w:r w:rsidRPr="00132E65">
        <w:rPr>
          <w:rtl/>
        </w:rPr>
        <w:t xml:space="preserve"> وفي </w:t>
      </w:r>
      <w:r w:rsidRPr="009D1ACE">
        <w:rPr>
          <w:rStyle w:val="libFootnoteBoldChar"/>
          <w:rtl/>
        </w:rPr>
        <w:t>الوافي</w:t>
      </w:r>
      <w:r w:rsidRPr="00132E65">
        <w:rPr>
          <w:rtl/>
        </w:rPr>
        <w:t>‌و</w:t>
      </w:r>
      <w:r w:rsidRPr="009D1ACE">
        <w:rPr>
          <w:rStyle w:val="libFootnoteBoldChar"/>
          <w:rtl/>
        </w:rPr>
        <w:t>مرآة العقول</w:t>
      </w:r>
      <w:r w:rsidRPr="00132E65">
        <w:rPr>
          <w:rtl/>
        </w:rPr>
        <w:t xml:space="preserve"> عن بعض النسخ : « ثمّ تجد بعد ذلك امتناعاً »</w:t>
      </w:r>
      <w:r>
        <w:rPr>
          <w:rtl/>
        </w:rPr>
        <w:t>.</w:t>
      </w:r>
    </w:p>
    <w:p w:rsidR="000C39D1" w:rsidRPr="00132E65" w:rsidRDefault="000C39D1" w:rsidP="000C39D1">
      <w:pPr>
        <w:pStyle w:val="libFootnote0"/>
        <w:rPr>
          <w:rtl/>
          <w:lang w:bidi="fa-IR"/>
        </w:rPr>
      </w:pPr>
      <w:r>
        <w:rPr>
          <w:rtl/>
        </w:rPr>
        <w:t>(11).</w:t>
      </w:r>
      <w:r w:rsidRPr="00132E65">
        <w:rPr>
          <w:rtl/>
        </w:rPr>
        <w:t xml:space="preserve"> في شرح المازندراني عن كثير من النسخ المعتبرة : « ثمّ تجد بعد ذلك اتّساعاً من جنبها وبطنها »</w:t>
      </w:r>
      <w:r>
        <w:rPr>
          <w:rtl/>
        </w:rPr>
        <w:t>.</w:t>
      </w:r>
    </w:p>
    <w:p w:rsidR="000C39D1" w:rsidRPr="00132E65" w:rsidRDefault="000C39D1" w:rsidP="000C39D1">
      <w:pPr>
        <w:pStyle w:val="libFootnote0"/>
        <w:rPr>
          <w:rtl/>
          <w:lang w:bidi="fa-IR"/>
        </w:rPr>
      </w:pPr>
      <w:r>
        <w:rPr>
          <w:rtl/>
        </w:rPr>
        <w:t>(12).</w:t>
      </w:r>
      <w:r w:rsidRPr="00132E65">
        <w:rPr>
          <w:rtl/>
        </w:rPr>
        <w:t xml:space="preserve"> في حاشية « بر » والبحار ، ج 15 : « شهورها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حِسّاً </w:t>
      </w:r>
      <w:r>
        <w:rPr>
          <w:rStyle w:val="libFootnotenumChar"/>
          <w:rtl/>
        </w:rPr>
        <w:t>(1)</w:t>
      </w:r>
      <w:r w:rsidRPr="00132E65">
        <w:rPr>
          <w:rtl/>
          <w:lang w:bidi="fa-IR"/>
        </w:rPr>
        <w:t xml:space="preserve"> شَدِيداً ، فَإِذَا كَانَتِ </w:t>
      </w:r>
      <w:r>
        <w:rPr>
          <w:rStyle w:val="libFootnotenumChar"/>
          <w:rtl/>
        </w:rPr>
        <w:t>(2)</w:t>
      </w:r>
      <w:r w:rsidRPr="00132E65">
        <w:rPr>
          <w:rtl/>
          <w:lang w:bidi="fa-IR"/>
        </w:rPr>
        <w:t xml:space="preserve"> اللَّيْلَةُ الَّتِي تَلِدُ فِيهَا ، ظَهَرَ لَهَا فِي الْبَيْتِ نُورٌ تَرَا</w:t>
      </w:r>
      <w:r w:rsidR="009A4E1D">
        <w:rPr>
          <w:rtl/>
          <w:lang w:bidi="fa-IR"/>
        </w:rPr>
        <w:t>هُ ، لَايَرَاهُ غَيْرُهَا إِل</w:t>
      </w:r>
      <w:r w:rsidR="009A4E1D">
        <w:rPr>
          <w:rFonts w:hint="cs"/>
          <w:rtl/>
          <w:lang w:bidi="fa-IR"/>
        </w:rPr>
        <w:t>َّ</w:t>
      </w:r>
      <w:r w:rsidR="009A4E1D">
        <w:rPr>
          <w:rtl/>
          <w:lang w:bidi="fa-IR"/>
        </w:rPr>
        <w:t>ا</w:t>
      </w:r>
      <w:r w:rsidRPr="00132E65">
        <w:rPr>
          <w:rtl/>
          <w:lang w:bidi="fa-IR"/>
        </w:rPr>
        <w:t xml:space="preserve"> أَبُوهُ ، فَإِذَا ولَدَتْهُ ، ولَدَتْهُ قَاعِداً ، وتَفَتَّحَتْ </w:t>
      </w:r>
      <w:r>
        <w:rPr>
          <w:rStyle w:val="libFootnotenumChar"/>
          <w:rtl/>
        </w:rPr>
        <w:t>(3)</w:t>
      </w:r>
      <w:r w:rsidRPr="00132E65">
        <w:rPr>
          <w:rtl/>
          <w:lang w:bidi="fa-IR"/>
        </w:rPr>
        <w:t xml:space="preserve"> لَهُ </w:t>
      </w:r>
      <w:r>
        <w:rPr>
          <w:rStyle w:val="libFootnotenumChar"/>
          <w:rtl/>
        </w:rPr>
        <w:t>(4)</w:t>
      </w:r>
      <w:r w:rsidRPr="00132E65">
        <w:rPr>
          <w:rtl/>
          <w:lang w:bidi="fa-IR"/>
        </w:rPr>
        <w:t xml:space="preserve"> حَتّى يَخْرُجَ مُتَرَبِّعاً ، ثُمَّ </w:t>
      </w:r>
      <w:r>
        <w:rPr>
          <w:rStyle w:val="libFootnotenumChar"/>
          <w:rtl/>
        </w:rPr>
        <w:t>(5)</w:t>
      </w:r>
      <w:r w:rsidRPr="00132E65">
        <w:rPr>
          <w:rtl/>
          <w:lang w:bidi="fa-IR"/>
        </w:rPr>
        <w:t xml:space="preserve"> يَسْتَدِيرُ بَعْدَ وقُوعِهِ إِلَى الْأَرْضِ ، فَلَا يُخْطِئُ الْقِبْلَةَ</w:t>
      </w:r>
      <w:r>
        <w:rPr>
          <w:rtl/>
          <w:lang w:bidi="fa-IR"/>
        </w:rPr>
        <w:t xml:space="preserve"> - </w:t>
      </w:r>
      <w:r w:rsidRPr="00132E65">
        <w:rPr>
          <w:rtl/>
          <w:lang w:bidi="fa-IR"/>
        </w:rPr>
        <w:t xml:space="preserve">حَيْثُ </w:t>
      </w:r>
      <w:r>
        <w:rPr>
          <w:rStyle w:val="libFootnotenumChar"/>
          <w:rtl/>
        </w:rPr>
        <w:t>(6)</w:t>
      </w:r>
      <w:r w:rsidRPr="00132E65">
        <w:rPr>
          <w:rtl/>
          <w:lang w:bidi="fa-IR"/>
        </w:rPr>
        <w:t xml:space="preserve"> كَانَتْ</w:t>
      </w:r>
      <w:r>
        <w:rPr>
          <w:rtl/>
          <w:lang w:bidi="fa-IR"/>
        </w:rPr>
        <w:t xml:space="preserve"> - </w:t>
      </w:r>
      <w:r w:rsidRPr="00132E65">
        <w:rPr>
          <w:rtl/>
          <w:lang w:bidi="fa-IR"/>
        </w:rPr>
        <w:t xml:space="preserve">بِوَجْهِهِ ، ثُمَّ يَعْطِسُ ثَلَاثاً ، يُشِيرُ بِإِصْبَعِهِ بِالتَّحْمِيدِ ، ويَقَعُ مَسْرُوراً </w:t>
      </w:r>
      <w:r>
        <w:rPr>
          <w:rStyle w:val="libFootnotenumChar"/>
          <w:rtl/>
        </w:rPr>
        <w:t>(7)</w:t>
      </w:r>
      <w:r w:rsidRPr="00132E65">
        <w:rPr>
          <w:rtl/>
          <w:lang w:bidi="fa-IR"/>
        </w:rPr>
        <w:t xml:space="preserve"> ، مَخْتُوناً ، ورَبَاعِيَتَاهُ </w:t>
      </w:r>
      <w:r>
        <w:rPr>
          <w:rStyle w:val="libFootnotenumChar"/>
          <w:rtl/>
        </w:rPr>
        <w:t>(8)</w:t>
      </w:r>
      <w:r w:rsidRPr="00132E65">
        <w:rPr>
          <w:rtl/>
          <w:lang w:bidi="fa-IR"/>
        </w:rPr>
        <w:t xml:space="preserve"> مِنْ فَوْقٍ وأَسْفَلَ وَنَابَاهُ وضَاحِكَاهُ ، ومِنْ بَيْنِ يَدَيْهِ مِثْلُ سَبِيكَةِ </w:t>
      </w:r>
      <w:r>
        <w:rPr>
          <w:rStyle w:val="libFootnotenumChar"/>
          <w:rtl/>
        </w:rPr>
        <w:t>(9)</w:t>
      </w:r>
      <w:r w:rsidRPr="00132E65">
        <w:rPr>
          <w:rtl/>
          <w:lang w:bidi="fa-IR"/>
        </w:rPr>
        <w:t xml:space="preserve"> الذَّهَبِ نُورٌ ، ويُقِيمُ </w:t>
      </w:r>
      <w:r>
        <w:rPr>
          <w:rStyle w:val="libFootnotenumChar"/>
          <w:rtl/>
        </w:rPr>
        <w:t>(10)</w:t>
      </w:r>
      <w:r w:rsidRPr="00132E65">
        <w:rPr>
          <w:rtl/>
          <w:lang w:bidi="fa-IR"/>
        </w:rPr>
        <w:t xml:space="preserve"> يَوْمَهُ ولَيْلَتَهُ تَسِيلُ يَدَاهُ ذَهَباً </w:t>
      </w:r>
      <w:r>
        <w:rPr>
          <w:rStyle w:val="libFootnotenumChar"/>
          <w:rtl/>
        </w:rPr>
        <w:t>(11)</w:t>
      </w:r>
      <w:r w:rsidRPr="00132E65">
        <w:rPr>
          <w:rtl/>
          <w:lang w:bidi="fa-IR"/>
        </w:rPr>
        <w:t xml:space="preserve"> ، وكَذلِكَ الْأَنْبِيَاءُ إِذَا ولِدُوا ، وإِنَّمَا الْأَوْصِيَاءُ أَعْلَاقٌ </w:t>
      </w:r>
      <w:r>
        <w:rPr>
          <w:rStyle w:val="libFootnotenumChar"/>
          <w:rtl/>
        </w:rPr>
        <w:t>(12)</w:t>
      </w:r>
      <w:r w:rsidRPr="00132E65">
        <w:rPr>
          <w:rtl/>
          <w:lang w:bidi="fa-IR"/>
        </w:rPr>
        <w:t xml:space="preserve"> مِنَ الْأَنْبِيَاءِ »</w:t>
      </w:r>
      <w:r>
        <w:rPr>
          <w:rtl/>
          <w:lang w:bidi="fa-IR"/>
        </w:rPr>
        <w:t>.</w:t>
      </w:r>
      <w:r w:rsidRPr="00132E65">
        <w:rPr>
          <w:rtl/>
          <w:lang w:bidi="fa-IR"/>
        </w:rPr>
        <w:t xml:space="preserve"> </w:t>
      </w:r>
      <w:r w:rsidRPr="00F543F1">
        <w:rPr>
          <w:rStyle w:val="libFootnotenumChar"/>
          <w:rtl/>
        </w:rPr>
        <w:t>(13)</w:t>
      </w:r>
    </w:p>
    <w:p w:rsidR="000C39D1" w:rsidRPr="00132E65" w:rsidRDefault="000C39D1" w:rsidP="000C39D1">
      <w:pPr>
        <w:pStyle w:val="libNormal"/>
        <w:rPr>
          <w:rtl/>
          <w:lang w:bidi="fa-IR"/>
        </w:rPr>
      </w:pPr>
      <w:r w:rsidRPr="00673BBA">
        <w:rPr>
          <w:rtl/>
        </w:rPr>
        <w:t>1011</w:t>
      </w:r>
      <w:r w:rsidRPr="004325D8">
        <w:rPr>
          <w:rStyle w:val="libBold2Char"/>
          <w:rtl/>
        </w:rPr>
        <w:t xml:space="preserve"> / 6.</w:t>
      </w:r>
      <w:r w:rsidRPr="00132E65">
        <w:rPr>
          <w:rtl/>
          <w:lang w:bidi="fa-IR"/>
        </w:rPr>
        <w:t xml:space="preserve"> عِدَّةٌ مِنْ أَصْحَابِنَا ، عَنْ أَحْمَدَ بْنِ مُحَمَّدٍ ، عَنْ عَلِيِّ بْنِ حَدِيدٍ ، عَنْ جَمِيلِ بْنِ دَرَّاجٍ ، قَالَ : رَوى غَيْرُ واحِدٍ مِنْ أَصْحَابِنَا أَنَّهُ قَالَ </w:t>
      </w:r>
      <w:r w:rsidRPr="00071CF9">
        <w:rPr>
          <w:rStyle w:val="libAlaemChar"/>
          <w:rtl/>
        </w:rPr>
        <w:t>عليه‌السلام</w:t>
      </w:r>
      <w:r w:rsidRPr="00132E65">
        <w:rPr>
          <w:rtl/>
          <w:lang w:bidi="fa-IR"/>
        </w:rPr>
        <w:t xml:space="preserve"> :</w:t>
      </w:r>
    </w:p>
    <w:p w:rsidR="000C39D1" w:rsidRPr="004325D8" w:rsidRDefault="000C39D1" w:rsidP="00936037">
      <w:pPr>
        <w:pStyle w:val="libNormal"/>
        <w:rPr>
          <w:rStyle w:val="libBold2Char"/>
          <w:rtl/>
        </w:rPr>
      </w:pPr>
      <w:r w:rsidRPr="004325D8">
        <w:rPr>
          <w:rStyle w:val="libBold2Char"/>
          <w:rtl/>
        </w:rPr>
        <w:t xml:space="preserve">« لَا تَتَكَلَّمُوا </w:t>
      </w:r>
      <w:r w:rsidRPr="00F543F1">
        <w:rPr>
          <w:rStyle w:val="libFootnotenumChar"/>
          <w:rtl/>
        </w:rPr>
        <w:t>(14)</w:t>
      </w:r>
      <w:r w:rsidRPr="004325D8">
        <w:rPr>
          <w:rStyle w:val="libBold2Char"/>
          <w:rtl/>
        </w:rPr>
        <w:t xml:space="preserve"> فِي الْإِمَامِ ؛ فَإِنَّ الْإِمَامَ يَسْمَعُ الْكَلَامَ</w:t>
      </w:r>
      <w:r w:rsidR="00936037">
        <w:rPr>
          <w:rStyle w:val="libBold2Char"/>
          <w:rFonts w:hint="cs"/>
          <w:rtl/>
        </w:rPr>
        <w:t>.....................................</w:t>
      </w:r>
      <w:r w:rsidR="009A4E1D">
        <w:rPr>
          <w:rStyle w:val="libBold2Char"/>
          <w:rFonts w:hint="cs"/>
          <w:rtl/>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الحِسّ بالكسر : الحركة والصوت ، وأن يمرّ بك الشي‌ء قريباً فتسمعه ولاتراه »</w:t>
      </w:r>
      <w:r>
        <w:rPr>
          <w:rtl/>
        </w:rPr>
        <w:t>.</w:t>
      </w:r>
    </w:p>
    <w:p w:rsidR="000C39D1" w:rsidRPr="00132E65" w:rsidRDefault="000C39D1" w:rsidP="000C39D1">
      <w:pPr>
        <w:pStyle w:val="libFootnote0"/>
        <w:rPr>
          <w:rtl/>
          <w:lang w:bidi="fa-IR"/>
        </w:rPr>
      </w:pPr>
      <w:r>
        <w:rPr>
          <w:rtl/>
        </w:rPr>
        <w:t>(2).</w:t>
      </w:r>
      <w:r w:rsidRPr="00132E65">
        <w:rPr>
          <w:rtl/>
        </w:rPr>
        <w:t xml:space="preserve"> في « بح » : « كان »</w:t>
      </w:r>
      <w:r>
        <w:rPr>
          <w:rtl/>
        </w:rPr>
        <w:t>.</w:t>
      </w:r>
    </w:p>
    <w:p w:rsidR="000C39D1" w:rsidRPr="00132E65" w:rsidRDefault="000C39D1" w:rsidP="003356E6">
      <w:pPr>
        <w:pStyle w:val="libFootnote0"/>
        <w:rPr>
          <w:rtl/>
          <w:lang w:bidi="fa-IR"/>
        </w:rPr>
      </w:pPr>
      <w:r>
        <w:rPr>
          <w:rtl/>
        </w:rPr>
        <w:t>(3).</w:t>
      </w:r>
      <w:r w:rsidRPr="00132E65">
        <w:rPr>
          <w:rtl/>
        </w:rPr>
        <w:t xml:space="preserve"> في « ب ، ج ، ض ، ف ، بح » وحاشية بدرالدين : « نفجت »</w:t>
      </w:r>
      <w:r>
        <w:rPr>
          <w:rtl/>
        </w:rPr>
        <w:t>.</w:t>
      </w:r>
      <w:r w:rsidRPr="00132E65">
        <w:rPr>
          <w:rtl/>
        </w:rPr>
        <w:t xml:space="preserve"> وفي « بف » و</w:t>
      </w:r>
      <w:r w:rsidRPr="009D1ACE">
        <w:rPr>
          <w:rStyle w:val="libFootnoteBoldChar"/>
          <w:rtl/>
        </w:rPr>
        <w:t>الوافي</w:t>
      </w:r>
      <w:r w:rsidRPr="00132E65">
        <w:rPr>
          <w:rtl/>
        </w:rPr>
        <w:t xml:space="preserve"> : « تفسخت »</w:t>
      </w:r>
      <w:r>
        <w:rPr>
          <w:rtl/>
        </w:rPr>
        <w:t>.</w:t>
      </w:r>
      <w:r w:rsidRPr="00132E65">
        <w:rPr>
          <w:rtl/>
        </w:rPr>
        <w:t xml:space="preserve"> وفي حاشية « بر » : « نفخت »</w:t>
      </w:r>
      <w:r>
        <w:rPr>
          <w:rtl/>
        </w:rPr>
        <w:t>.</w:t>
      </w:r>
      <w:r w:rsidR="003356E6">
        <w:rPr>
          <w:rFonts w:hint="cs"/>
          <w:rtl/>
        </w:rPr>
        <w:t xml:space="preserve">                                </w:t>
      </w:r>
      <w:r>
        <w:rPr>
          <w:rtl/>
        </w:rPr>
        <w:t>(4).</w:t>
      </w:r>
      <w:r w:rsidRPr="00132E65">
        <w:rPr>
          <w:rtl/>
        </w:rPr>
        <w:t xml:space="preserve"> في « ض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هكذا في « ب ، ج ، ض ، ف ، بح ، بر ، بس ، بف » و</w:t>
      </w:r>
      <w:r w:rsidRPr="009D1ACE">
        <w:rPr>
          <w:rStyle w:val="libFootnoteBoldChar"/>
          <w:rtl/>
        </w:rPr>
        <w:t>الوافي</w:t>
      </w:r>
      <w:r w:rsidRPr="00132E65">
        <w:rPr>
          <w:rtl/>
        </w:rPr>
        <w:t xml:space="preserve"> والبحار ، ج 15 </w:t>
      </w:r>
      <w:r>
        <w:rPr>
          <w:rtl/>
        </w:rPr>
        <w:t>و 2</w:t>
      </w:r>
      <w:r w:rsidRPr="00132E65">
        <w:rPr>
          <w:rtl/>
        </w:rPr>
        <w:t xml:space="preserve">5. وفي المطبوع </w:t>
      </w:r>
      <w:r>
        <w:rPr>
          <w:rtl/>
        </w:rPr>
        <w:t xml:space="preserve">: - </w:t>
      </w:r>
      <w:r w:rsidRPr="00132E65">
        <w:rPr>
          <w:rtl/>
        </w:rPr>
        <w:t>« ثمّ »</w:t>
      </w:r>
      <w:r>
        <w:rPr>
          <w:rtl/>
        </w:rPr>
        <w:t>.</w:t>
      </w:r>
    </w:p>
    <w:p w:rsidR="000C39D1" w:rsidRPr="00132E65" w:rsidRDefault="000C39D1" w:rsidP="000C39D1">
      <w:pPr>
        <w:pStyle w:val="libFootnote0"/>
        <w:rPr>
          <w:rtl/>
          <w:lang w:bidi="fa-IR"/>
        </w:rPr>
      </w:pPr>
      <w:r>
        <w:rPr>
          <w:rtl/>
        </w:rPr>
        <w:t>(6).</w:t>
      </w:r>
      <w:r w:rsidRPr="00132E65">
        <w:rPr>
          <w:rtl/>
        </w:rPr>
        <w:t xml:space="preserve"> في « ب ، ض ، بس ، بف » وشرح المازندراني و</w:t>
      </w:r>
      <w:r w:rsidRPr="009D1ACE">
        <w:rPr>
          <w:rStyle w:val="libFootnoteBoldChar"/>
          <w:rtl/>
        </w:rPr>
        <w:t>الوافي</w:t>
      </w:r>
      <w:r w:rsidRPr="00132E65">
        <w:rPr>
          <w:rtl/>
        </w:rPr>
        <w:t xml:space="preserve"> والبحار ، ج 25 : « حتّى »</w:t>
      </w:r>
      <w:r>
        <w:rPr>
          <w:rtl/>
        </w:rPr>
        <w:t>.</w:t>
      </w:r>
    </w:p>
    <w:p w:rsidR="000C39D1" w:rsidRPr="00132E65" w:rsidRDefault="000C39D1" w:rsidP="000C39D1">
      <w:pPr>
        <w:pStyle w:val="libFootnote0"/>
        <w:rPr>
          <w:rtl/>
          <w:lang w:bidi="fa-IR"/>
        </w:rPr>
      </w:pPr>
      <w:r>
        <w:rPr>
          <w:rtl/>
        </w:rPr>
        <w:t>(7).</w:t>
      </w:r>
      <w:r w:rsidRPr="00132E65">
        <w:rPr>
          <w:rtl/>
        </w:rPr>
        <w:t xml:space="preserve"> « مسروراً » ، أي مقطوعاً سُرَّتُه. يقال : سررتُ الصبيَّ أسُرُّه سَرّاً ، إذا قطعت سُرَّه ، وهو ما تقطعه القابلة من‌سُرّته. راجع : </w:t>
      </w:r>
      <w:r w:rsidRPr="00673BBA">
        <w:rPr>
          <w:rtl/>
        </w:rPr>
        <w:t>الصحاح</w:t>
      </w:r>
      <w:r w:rsidRPr="00132E65">
        <w:rPr>
          <w:rtl/>
        </w:rPr>
        <w:t xml:space="preserve"> ، ج 2 ، ص 681</w:t>
      </w:r>
      <w:r>
        <w:rPr>
          <w:rtl/>
        </w:rPr>
        <w:t xml:space="preserve"> - </w:t>
      </w:r>
      <w:r w:rsidRPr="00132E65">
        <w:rPr>
          <w:rtl/>
        </w:rPr>
        <w:t>682 ( سرر )</w:t>
      </w:r>
      <w:r>
        <w:rPr>
          <w:rtl/>
        </w:rPr>
        <w:t>.</w:t>
      </w:r>
    </w:p>
    <w:p w:rsidR="000C39D1" w:rsidRPr="00132E65" w:rsidRDefault="000C39D1" w:rsidP="000C39D1">
      <w:pPr>
        <w:pStyle w:val="libFootnote0"/>
        <w:rPr>
          <w:rtl/>
          <w:lang w:bidi="fa-IR"/>
        </w:rPr>
      </w:pPr>
      <w:r>
        <w:rPr>
          <w:rtl/>
        </w:rPr>
        <w:t>(8).</w:t>
      </w:r>
      <w:r w:rsidRPr="00132E65">
        <w:rPr>
          <w:rtl/>
        </w:rPr>
        <w:t xml:space="preserve"> « الرباعية » ، مثل الثُمانية : السِنّ الذي بين الثنيّة والناب. والجمع : رَباعيات. كذا في اللغة والشروح. راجع : </w:t>
      </w:r>
      <w:r w:rsidRPr="00673BBA">
        <w:rPr>
          <w:rtl/>
        </w:rPr>
        <w:t>الصحاح</w:t>
      </w:r>
      <w:r w:rsidRPr="00132E65">
        <w:rPr>
          <w:rtl/>
        </w:rPr>
        <w:t xml:space="preserve"> ، ج 3 ، ص 1214 ( ربع ) ؛ </w:t>
      </w:r>
      <w:r w:rsidRPr="00673BBA">
        <w:rPr>
          <w:rtl/>
        </w:rPr>
        <w:t>شرح المازندراني</w:t>
      </w:r>
      <w:r w:rsidRPr="00132E65">
        <w:rPr>
          <w:rtl/>
        </w:rPr>
        <w:t xml:space="preserve"> ، ج 6 ، ص 362 ؛ </w:t>
      </w:r>
      <w:r w:rsidRPr="009D1ACE">
        <w:rPr>
          <w:rStyle w:val="libFootnoteBoldChar"/>
          <w:rtl/>
        </w:rPr>
        <w:t>مرآة العقول</w:t>
      </w:r>
      <w:r w:rsidRPr="00132E65">
        <w:rPr>
          <w:rtl/>
        </w:rPr>
        <w:t xml:space="preserve"> ، ج 4 ، ص 267.</w:t>
      </w:r>
    </w:p>
    <w:p w:rsidR="000C39D1" w:rsidRPr="00132E65" w:rsidRDefault="000C39D1" w:rsidP="000C39D1">
      <w:pPr>
        <w:pStyle w:val="libFootnote0"/>
        <w:rPr>
          <w:rtl/>
          <w:lang w:bidi="fa-IR"/>
        </w:rPr>
      </w:pPr>
      <w:r>
        <w:rPr>
          <w:rtl/>
        </w:rPr>
        <w:t>(9).</w:t>
      </w:r>
      <w:r w:rsidRPr="00132E65">
        <w:rPr>
          <w:rtl/>
        </w:rPr>
        <w:t xml:space="preserve"> « السبيكة » : القطعة المذوبة من الذهب والفضّة ونحوه من الذائب. يقال : سبك الذهب ونحوه ، أي ذوّبه‌وأفرغه في قالبٍ. راجع : </w:t>
      </w:r>
      <w:r w:rsidRPr="009D1ACE">
        <w:rPr>
          <w:rStyle w:val="libFootnoteBoldChar"/>
          <w:rtl/>
        </w:rPr>
        <w:t>لسان العرب</w:t>
      </w:r>
      <w:r w:rsidRPr="00132E65">
        <w:rPr>
          <w:rtl/>
        </w:rPr>
        <w:t xml:space="preserve"> ، ج 10 ، ص 438 ( سبك )</w:t>
      </w:r>
      <w:r>
        <w:rPr>
          <w:rtl/>
        </w:rPr>
        <w:t>.</w:t>
      </w:r>
    </w:p>
    <w:p w:rsidR="000C39D1" w:rsidRPr="00132E65" w:rsidRDefault="000C39D1" w:rsidP="000C39D1">
      <w:pPr>
        <w:pStyle w:val="libFootnote0"/>
        <w:rPr>
          <w:rtl/>
          <w:lang w:bidi="fa-IR"/>
        </w:rPr>
      </w:pPr>
      <w:r>
        <w:rPr>
          <w:rtl/>
        </w:rPr>
        <w:t>(10).</w:t>
      </w:r>
      <w:r w:rsidRPr="00132E65">
        <w:rPr>
          <w:rtl/>
        </w:rPr>
        <w:t xml:space="preserve"> في « بر » : « يقيم » بدون الواو.</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سيلان الذهب عن يديه ، لعلّه كناية عن إضاءتهما ولمعانها وبريقها »</w:t>
      </w:r>
      <w:r>
        <w:rPr>
          <w:rtl/>
        </w:rPr>
        <w:t>.</w:t>
      </w:r>
    </w:p>
    <w:p w:rsidR="000C39D1" w:rsidRPr="00132E65" w:rsidRDefault="000C39D1" w:rsidP="000C39D1">
      <w:pPr>
        <w:pStyle w:val="libFootnote0"/>
        <w:rPr>
          <w:rtl/>
          <w:lang w:bidi="fa-IR"/>
        </w:rPr>
      </w:pPr>
      <w:r>
        <w:rPr>
          <w:rtl/>
        </w:rPr>
        <w:t>(12).</w:t>
      </w:r>
      <w:r w:rsidRPr="00132E65">
        <w:rPr>
          <w:rtl/>
        </w:rPr>
        <w:t xml:space="preserve"> « الأعْلاقُ » : جمع العِلْق ، وهو النفيس من كلّ شي‌ء. </w:t>
      </w:r>
      <w:r w:rsidRPr="00673BBA">
        <w:rPr>
          <w:rtl/>
        </w:rPr>
        <w:t>الصحاح</w:t>
      </w:r>
      <w:r w:rsidRPr="00132E65">
        <w:rPr>
          <w:rtl/>
        </w:rPr>
        <w:t xml:space="preserve"> ، ج 4 ، ص 1530 ( علق )</w:t>
      </w:r>
      <w:r>
        <w:rPr>
          <w:rtl/>
        </w:rPr>
        <w:t>.</w:t>
      </w:r>
    </w:p>
    <w:p w:rsidR="000C39D1" w:rsidRPr="00132E65" w:rsidRDefault="000C39D1" w:rsidP="000C39D1">
      <w:pPr>
        <w:pStyle w:val="libFootnote0"/>
        <w:rPr>
          <w:rtl/>
          <w:lang w:bidi="fa-IR"/>
        </w:rPr>
      </w:pPr>
      <w:r>
        <w:rPr>
          <w:rtl/>
        </w:rPr>
        <w:t>(13)</w:t>
      </w:r>
      <w:r w:rsidRPr="00132E65">
        <w:rPr>
          <w:rtl/>
        </w:rPr>
        <w:t xml:space="preserve"> </w:t>
      </w:r>
      <w:r w:rsidRPr="009D1ACE">
        <w:rPr>
          <w:rStyle w:val="libFootnoteBoldChar"/>
          <w:rtl/>
        </w:rPr>
        <w:t>الوافي</w:t>
      </w:r>
      <w:r w:rsidRPr="00132E65">
        <w:rPr>
          <w:rtl/>
        </w:rPr>
        <w:t xml:space="preserve"> ، ج 3 ، ص 690 ، ح 1296 ؛ </w:t>
      </w:r>
      <w:r w:rsidRPr="00673BBA">
        <w:rPr>
          <w:rtl/>
        </w:rPr>
        <w:t>البحار</w:t>
      </w:r>
      <w:r w:rsidRPr="00132E65">
        <w:rPr>
          <w:rtl/>
        </w:rPr>
        <w:t xml:space="preserve"> ، ج 15 ، ص 295 ، ح 31 ؛ وج 25 ، ص 45 ، ح 22.</w:t>
      </w:r>
    </w:p>
    <w:p w:rsidR="000C39D1" w:rsidRPr="00132E65" w:rsidRDefault="000C39D1" w:rsidP="000C39D1">
      <w:pPr>
        <w:pStyle w:val="libFootnote0"/>
        <w:rPr>
          <w:rtl/>
          <w:lang w:bidi="fa-IR"/>
        </w:rPr>
      </w:pPr>
      <w:r>
        <w:rPr>
          <w:rtl/>
        </w:rPr>
        <w:t>(14)</w:t>
      </w:r>
      <w:r w:rsidRPr="00132E65">
        <w:rPr>
          <w:rtl/>
        </w:rPr>
        <w:t xml:space="preserve"> في « ف » و</w:t>
      </w:r>
      <w:r w:rsidRPr="009D1ACE">
        <w:rPr>
          <w:rStyle w:val="libFootnoteBoldChar"/>
          <w:rtl/>
        </w:rPr>
        <w:t>مرآة العقول</w:t>
      </w:r>
      <w:r w:rsidRPr="00132E65">
        <w:rPr>
          <w:rtl/>
        </w:rPr>
        <w:t xml:space="preserve"> والبصائر ، ص 436 ، ح 6 : « لا تكلّموا » بحذف إحدى التاءين.</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وَهُوَ </w:t>
      </w:r>
      <w:r>
        <w:rPr>
          <w:rStyle w:val="libFootnotenumChar"/>
          <w:rtl/>
        </w:rPr>
        <w:t>(1)</w:t>
      </w:r>
      <w:r w:rsidRPr="00132E65">
        <w:rPr>
          <w:rtl/>
          <w:lang w:bidi="fa-IR"/>
        </w:rPr>
        <w:t xml:space="preserve"> فِي بَطْنِ أُمِّهِ ، فَإِذَا وضَعَتْهُ ، كَتَبَ الْمَلَكُ بَيْنَ عَيْنَيْهِ : </w:t>
      </w:r>
      <w:r w:rsidRPr="00071CF9">
        <w:rPr>
          <w:rStyle w:val="libAlaemChar"/>
          <w:rtl/>
        </w:rPr>
        <w:t>(</w:t>
      </w:r>
      <w:r w:rsidRPr="00071CF9">
        <w:rPr>
          <w:rStyle w:val="libAieChar"/>
          <w:rtl/>
        </w:rPr>
        <w:t xml:space="preserve"> وَتَمَّتْ كَلِمَةُ رَبِّكَ صِدْقاً وَعَدْلاً لا مُبَدِّلَ لِكَلِماتِهِ وَهُوَ السَّمِيعُ الْعَلِيمُ </w:t>
      </w:r>
      <w:r w:rsidRPr="00071CF9">
        <w:rPr>
          <w:rStyle w:val="libAlaemChar"/>
          <w:rtl/>
        </w:rPr>
        <w:t>)</w:t>
      </w:r>
      <w:r w:rsidRPr="00132E65">
        <w:rPr>
          <w:rtl/>
          <w:lang w:bidi="fa-IR"/>
        </w:rPr>
        <w:t xml:space="preserve"> فَإِذَا قَامَ بِالْأَمْرِ ، رُفِعَ لَهُ فِي كُلِّ بَلْدَةٍ مَنَارٌ </w:t>
      </w:r>
      <w:r>
        <w:rPr>
          <w:rStyle w:val="libFootnotenumChar"/>
          <w:rtl/>
        </w:rPr>
        <w:t>(2)</w:t>
      </w:r>
      <w:r w:rsidRPr="00132E65">
        <w:rPr>
          <w:rtl/>
          <w:lang w:bidi="fa-IR"/>
        </w:rPr>
        <w:t xml:space="preserve"> يَنْظُرُ مِنْهُ إِلى أَعْمَالِ الْعِبَادِ »</w:t>
      </w:r>
      <w:r>
        <w:rPr>
          <w:rtl/>
          <w:lang w:bidi="fa-IR"/>
        </w:rPr>
        <w:t>.</w:t>
      </w:r>
      <w:r w:rsidRPr="00132E65">
        <w:rPr>
          <w:rtl/>
          <w:lang w:bidi="fa-IR"/>
        </w:rPr>
        <w:t xml:space="preserve"> </w:t>
      </w:r>
      <w:r>
        <w:rPr>
          <w:rStyle w:val="libFootnotenumChar"/>
          <w:rtl/>
        </w:rPr>
        <w:t>(3)</w:t>
      </w:r>
      <w:r w:rsidRPr="00132E65">
        <w:rPr>
          <w:rtl/>
          <w:lang w:bidi="fa-IR"/>
        </w:rPr>
        <w:t>‌</w:t>
      </w:r>
    </w:p>
    <w:p w:rsidR="000C39D1" w:rsidRPr="00132E65" w:rsidRDefault="000C39D1" w:rsidP="000C39D1">
      <w:pPr>
        <w:pStyle w:val="libNormal"/>
        <w:rPr>
          <w:rtl/>
          <w:lang w:bidi="fa-IR"/>
        </w:rPr>
      </w:pPr>
      <w:r w:rsidRPr="00673BBA">
        <w:rPr>
          <w:rtl/>
        </w:rPr>
        <w:t>1012</w:t>
      </w:r>
      <w:r w:rsidRPr="004325D8">
        <w:rPr>
          <w:rStyle w:val="libBold2Char"/>
          <w:rtl/>
        </w:rPr>
        <w:t xml:space="preserve"> / 7.</w:t>
      </w:r>
      <w:r w:rsidRPr="00132E65">
        <w:rPr>
          <w:rtl/>
          <w:lang w:bidi="fa-IR"/>
        </w:rPr>
        <w:t xml:space="preserve"> عَلِيُّ بْنُ إِبْرَاهِيمَ ، عَنْ مُحَمَّدِ بْنِ عِيسَى بْنِ عُبَيْدٍ ، قَالَ :</w:t>
      </w:r>
    </w:p>
    <w:p w:rsidR="000C39D1" w:rsidRPr="00132E65" w:rsidRDefault="000C39D1" w:rsidP="000C39D1">
      <w:pPr>
        <w:pStyle w:val="libNormal"/>
        <w:rPr>
          <w:rtl/>
          <w:lang w:bidi="fa-IR"/>
        </w:rPr>
      </w:pPr>
      <w:r w:rsidRPr="00132E65">
        <w:rPr>
          <w:rtl/>
          <w:lang w:bidi="fa-IR"/>
        </w:rPr>
        <w:t xml:space="preserve">كُنْتُ أَنَا وابْنُ فَضَّالٍ جُلُوساً </w:t>
      </w:r>
      <w:r>
        <w:rPr>
          <w:rStyle w:val="libFootnotenumChar"/>
          <w:rtl/>
        </w:rPr>
        <w:t>(4)</w:t>
      </w:r>
      <w:r w:rsidRPr="00132E65">
        <w:rPr>
          <w:rtl/>
          <w:lang w:bidi="fa-IR"/>
        </w:rPr>
        <w:t xml:space="preserve"> إِذْ أَقْبَلَ يُونُسُ ، فَقَالَ : دَخَلْتُ عَلى أَبِي الْحَسَنِ الرِّضَا </w:t>
      </w:r>
      <w:r w:rsidRPr="00071CF9">
        <w:rPr>
          <w:rStyle w:val="libAlaemChar"/>
          <w:rtl/>
        </w:rPr>
        <w:t>عليه‌السلام</w:t>
      </w:r>
      <w:r w:rsidRPr="00132E65">
        <w:rPr>
          <w:rtl/>
          <w:lang w:bidi="fa-IR"/>
        </w:rPr>
        <w:t xml:space="preserve"> ، فَقُلْتُ لَهُ : جُعِلْتُ فِدَاكَ ، قَدْ أَكْثَرَ النَّاسُ فِي الْعَمُودِ.</w:t>
      </w:r>
    </w:p>
    <w:p w:rsidR="000C39D1" w:rsidRPr="00132E65" w:rsidRDefault="000C39D1" w:rsidP="000C39D1">
      <w:pPr>
        <w:pStyle w:val="libNormal"/>
        <w:rPr>
          <w:rtl/>
          <w:lang w:bidi="fa-IR"/>
        </w:rPr>
      </w:pPr>
      <w:r w:rsidRPr="00132E65">
        <w:rPr>
          <w:rtl/>
          <w:lang w:bidi="fa-IR"/>
        </w:rPr>
        <w:t>قَالَ : فَقَالَ لِي : « يَا يُونُسُ ، مَا تَرَاهُ</w:t>
      </w:r>
      <w:r>
        <w:rPr>
          <w:rtl/>
          <w:lang w:bidi="fa-IR"/>
        </w:rPr>
        <w:t>؟ أَ</w:t>
      </w:r>
      <w:r w:rsidRPr="00132E65">
        <w:rPr>
          <w:rtl/>
          <w:lang w:bidi="fa-IR"/>
        </w:rPr>
        <w:t>تَرَاهُ عَمُوداً مِنْ حَدِيدٍ يُرْفَعُ لِصَاحِبِكَ</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قُلْتُ : مَا أَدْرِي.</w:t>
      </w:r>
    </w:p>
    <w:p w:rsidR="000C39D1" w:rsidRPr="00132E65" w:rsidRDefault="000C39D1" w:rsidP="000C39D1">
      <w:pPr>
        <w:pStyle w:val="libNormal"/>
        <w:rPr>
          <w:rtl/>
          <w:lang w:bidi="fa-IR"/>
        </w:rPr>
      </w:pPr>
      <w:r w:rsidRPr="00132E65">
        <w:rPr>
          <w:rtl/>
          <w:lang w:bidi="fa-IR"/>
        </w:rPr>
        <w:t xml:space="preserve">قَالَ : « لكِنَّهُ </w:t>
      </w:r>
      <w:r>
        <w:rPr>
          <w:rStyle w:val="libFootnotenumChar"/>
          <w:rtl/>
        </w:rPr>
        <w:t>(5)</w:t>
      </w:r>
      <w:r w:rsidRPr="00132E65">
        <w:rPr>
          <w:rtl/>
          <w:lang w:bidi="fa-IR"/>
        </w:rPr>
        <w:t xml:space="preserve"> مَلَكٌ مُوَكَّلٌ بِكُلِّ بَلْدَةٍ ، يَرْفَعُ اللهُ بِهِ أَعْمَالَ تِلْكَ </w:t>
      </w:r>
      <w:r>
        <w:rPr>
          <w:rStyle w:val="libFootnotenumChar"/>
          <w:rtl/>
        </w:rPr>
        <w:t>(6)</w:t>
      </w:r>
      <w:r w:rsidRPr="00132E65">
        <w:rPr>
          <w:rtl/>
          <w:lang w:bidi="fa-IR"/>
        </w:rPr>
        <w:t xml:space="preserve"> الْبَلْدَةِ »</w:t>
      </w:r>
      <w:r>
        <w:rPr>
          <w:rtl/>
          <w:lang w:bidi="fa-IR"/>
        </w:rPr>
        <w:t>.</w:t>
      </w:r>
    </w:p>
    <w:p w:rsidR="000C39D1" w:rsidRPr="00132E65" w:rsidRDefault="000C39D1" w:rsidP="000C39D1">
      <w:pPr>
        <w:pStyle w:val="libNormal"/>
        <w:rPr>
          <w:rtl/>
          <w:lang w:bidi="fa-IR"/>
        </w:rPr>
      </w:pPr>
      <w:r w:rsidRPr="00132E65">
        <w:rPr>
          <w:rtl/>
          <w:lang w:bidi="fa-IR"/>
        </w:rPr>
        <w:t xml:space="preserve">قَالَ : فَقَامَ ابْنُ فَضَّالٍ ، فَقَبَّلَ رَأْسَهُ ، وقَالَ : رَحِمَكَ اللهُ يَا </w:t>
      </w:r>
      <w:r>
        <w:rPr>
          <w:rStyle w:val="libFootnotenumChar"/>
          <w:rtl/>
        </w:rPr>
        <w:t>(7)</w:t>
      </w:r>
      <w:r w:rsidRPr="00132E65">
        <w:rPr>
          <w:rtl/>
          <w:lang w:bidi="fa-IR"/>
        </w:rPr>
        <w:t xml:space="preserve"> أَبَا مُحَمَّدٍ ، لَاتَزَالُ تَجِي‌ءُ بِالْحَدِيثِ الْحَقِّ </w:t>
      </w:r>
      <w:r>
        <w:rPr>
          <w:rStyle w:val="libFootnotenumChar"/>
          <w:rtl/>
        </w:rPr>
        <w:t>(8)</w:t>
      </w:r>
      <w:r w:rsidRPr="00132E65">
        <w:rPr>
          <w:rtl/>
          <w:lang w:bidi="fa-IR"/>
        </w:rPr>
        <w:t xml:space="preserve"> الَّذِي يُفَرِّجُ </w:t>
      </w:r>
      <w:r>
        <w:rPr>
          <w:rStyle w:val="libFootnotenumChar"/>
          <w:rtl/>
        </w:rPr>
        <w:t>(9)</w:t>
      </w:r>
      <w:r w:rsidRPr="00132E65">
        <w:rPr>
          <w:rtl/>
          <w:lang w:bidi="fa-IR"/>
        </w:rPr>
        <w:t xml:space="preserve"> اللهُ بِهِ </w:t>
      </w:r>
      <w:r>
        <w:rPr>
          <w:rStyle w:val="libFootnotenumChar"/>
          <w:rtl/>
        </w:rPr>
        <w:t>(10)</w:t>
      </w:r>
      <w:r w:rsidRPr="00132E65">
        <w:rPr>
          <w:rtl/>
          <w:lang w:bidi="fa-IR"/>
        </w:rPr>
        <w:t xml:space="preserve"> عَنَّا. </w:t>
      </w:r>
      <w:r>
        <w:rPr>
          <w:rStyle w:val="libFootnotenumChar"/>
          <w:rtl/>
        </w:rPr>
        <w:t>(11)</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 ص 435 ، ح 1 :</w:t>
      </w:r>
      <w:r>
        <w:rPr>
          <w:rtl/>
        </w:rPr>
        <w:t xml:space="preserve"> + </w:t>
      </w:r>
      <w:r w:rsidRPr="00132E65">
        <w:rPr>
          <w:rtl/>
        </w:rPr>
        <w:t>« جنين »</w:t>
      </w:r>
      <w:r>
        <w:rPr>
          <w:rtl/>
        </w:rPr>
        <w:t>.</w:t>
      </w:r>
      <w:r w:rsidRPr="00132E65">
        <w:rPr>
          <w:rtl/>
        </w:rPr>
        <w:t xml:space="preserve"> وفي البصائر ، ص 436 ، ح 4 </w:t>
      </w:r>
      <w:r>
        <w:rPr>
          <w:rtl/>
        </w:rPr>
        <w:t xml:space="preserve">: - </w:t>
      </w:r>
      <w:r w:rsidRPr="00132E65">
        <w:rPr>
          <w:rtl/>
        </w:rPr>
        <w:t>« وهو »</w:t>
      </w:r>
      <w:r>
        <w:rPr>
          <w:rtl/>
        </w:rPr>
        <w:t>.</w:t>
      </w:r>
    </w:p>
    <w:p w:rsidR="000C39D1" w:rsidRPr="00132E65" w:rsidRDefault="000C39D1" w:rsidP="000C39D1">
      <w:pPr>
        <w:pStyle w:val="libFootnote0"/>
        <w:rPr>
          <w:rtl/>
          <w:lang w:bidi="fa-IR"/>
        </w:rPr>
      </w:pPr>
      <w:r>
        <w:rPr>
          <w:rtl/>
        </w:rPr>
        <w:t>(2).</w:t>
      </w:r>
      <w:r w:rsidRPr="00132E65">
        <w:rPr>
          <w:rtl/>
        </w:rPr>
        <w:t xml:space="preserve"> في « ب » وحاشية « ض ، بر » والبصائر ، ص 436 ، ح 4 :</w:t>
      </w:r>
      <w:r>
        <w:rPr>
          <w:rtl/>
        </w:rPr>
        <w:t xml:space="preserve"> + </w:t>
      </w:r>
      <w:r w:rsidRPr="00132E65">
        <w:rPr>
          <w:rtl/>
        </w:rPr>
        <w:t>« من نور »</w:t>
      </w:r>
      <w:r>
        <w:rPr>
          <w:rtl/>
        </w:rPr>
        <w:t>.</w:t>
      </w:r>
    </w:p>
    <w:p w:rsidR="000C39D1" w:rsidRPr="00132E65" w:rsidRDefault="000C39D1" w:rsidP="003356E6">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435 ، ح 1 ، عن أحمد بن محمّد ؛ </w:t>
      </w:r>
      <w:r w:rsidRPr="00673BBA">
        <w:rPr>
          <w:rtl/>
        </w:rPr>
        <w:t>وفيه</w:t>
      </w:r>
      <w:r w:rsidRPr="00132E65">
        <w:rPr>
          <w:rtl/>
        </w:rPr>
        <w:t xml:space="preserve"> ، ص 436 ، ح 4 ، عن أحمد بن محمّد ، عن عليّ بن حديد ، عن منصور بن يونس ، عن غير واحد من أصحابنا ؛ </w:t>
      </w:r>
      <w:r w:rsidRPr="00673BBA">
        <w:rPr>
          <w:rtl/>
        </w:rPr>
        <w:t>وفيه</w:t>
      </w:r>
      <w:r w:rsidRPr="00132E65">
        <w:rPr>
          <w:rtl/>
        </w:rPr>
        <w:t xml:space="preserve"> أيضاً ، ص 436 ، ح 6 ، بسنده عن عليّ بن حديد ، عن منصور بن يونس ، عن غير واحد من أصحابنا ، عن أبي جعفر </w:t>
      </w:r>
      <w:r w:rsidRPr="003356E6">
        <w:rPr>
          <w:rStyle w:val="libFootnoteAlaemChar"/>
          <w:rtl/>
        </w:rPr>
        <w:t>عليه‌السلام</w:t>
      </w:r>
      <w:r w:rsidR="003356E6">
        <w:rPr>
          <w:rFonts w:hint="cs"/>
          <w:rtl/>
        </w:rPr>
        <w:t>.</w:t>
      </w:r>
      <w:r w:rsidRPr="009D1ACE">
        <w:rPr>
          <w:rStyle w:val="libFootnoteBoldChar"/>
          <w:rtl/>
        </w:rPr>
        <w:t>الوافي</w:t>
      </w:r>
      <w:r w:rsidRPr="00132E65">
        <w:rPr>
          <w:rtl/>
        </w:rPr>
        <w:t xml:space="preserve"> ، ج 3 ، ص 689 ، ح 1294.</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جلوس : جمع جالس ، استعمل في اثنين »</w:t>
      </w:r>
      <w:r>
        <w:rPr>
          <w:rtl/>
        </w:rPr>
        <w:t>.</w:t>
      </w:r>
    </w:p>
    <w:tbl>
      <w:tblPr>
        <w:tblStyle w:val="TableGrid"/>
        <w:bidiVisual/>
        <w:tblW w:w="0" w:type="auto"/>
        <w:tblLook w:val="04A0" w:firstRow="1" w:lastRow="0" w:firstColumn="1" w:lastColumn="0" w:noHBand="0" w:noVBand="1"/>
      </w:tblPr>
      <w:tblGrid>
        <w:gridCol w:w="4006"/>
        <w:gridCol w:w="4006"/>
      </w:tblGrid>
      <w:tr w:rsidR="003356E6" w:rsidTr="003356E6">
        <w:tc>
          <w:tcPr>
            <w:tcW w:w="4006" w:type="dxa"/>
          </w:tcPr>
          <w:p w:rsidR="003356E6" w:rsidRDefault="003356E6" w:rsidP="000C39D1">
            <w:pPr>
              <w:pStyle w:val="libFootnote0"/>
              <w:rPr>
                <w:rtl/>
              </w:rPr>
            </w:pPr>
            <w:r>
              <w:rPr>
                <w:rtl/>
              </w:rPr>
              <w:t>(5).</w:t>
            </w:r>
            <w:r w:rsidRPr="00132E65">
              <w:rPr>
                <w:rtl/>
              </w:rPr>
              <w:t xml:space="preserve"> في « ف » : « ولكنّه »</w:t>
            </w:r>
            <w:r>
              <w:rPr>
                <w:rtl/>
              </w:rPr>
              <w:t>.</w:t>
            </w:r>
          </w:p>
        </w:tc>
        <w:tc>
          <w:tcPr>
            <w:tcW w:w="4006" w:type="dxa"/>
          </w:tcPr>
          <w:p w:rsidR="003356E6" w:rsidRDefault="003356E6" w:rsidP="000C39D1">
            <w:pPr>
              <w:pStyle w:val="libFootnote0"/>
              <w:rPr>
                <w:rtl/>
              </w:rPr>
            </w:pPr>
            <w:r>
              <w:rPr>
                <w:rtl/>
              </w:rPr>
              <w:t>(6).</w:t>
            </w:r>
            <w:r w:rsidRPr="00132E65">
              <w:rPr>
                <w:rtl/>
              </w:rPr>
              <w:t xml:space="preserve"> في « ف » </w:t>
            </w:r>
            <w:r>
              <w:rPr>
                <w:rtl/>
              </w:rPr>
              <w:t xml:space="preserve">: - </w:t>
            </w:r>
            <w:r w:rsidRPr="00132E65">
              <w:rPr>
                <w:rtl/>
              </w:rPr>
              <w:t>« تلك »</w:t>
            </w:r>
            <w:r>
              <w:rPr>
                <w:rtl/>
              </w:rPr>
              <w:t>.</w:t>
            </w:r>
          </w:p>
        </w:tc>
      </w:tr>
      <w:tr w:rsidR="003356E6" w:rsidTr="003356E6">
        <w:tc>
          <w:tcPr>
            <w:tcW w:w="4006" w:type="dxa"/>
          </w:tcPr>
          <w:p w:rsidR="003356E6" w:rsidRDefault="003356E6" w:rsidP="000C39D1">
            <w:pPr>
              <w:pStyle w:val="libFootnote0"/>
              <w:rPr>
                <w:rtl/>
              </w:rPr>
            </w:pPr>
            <w:r>
              <w:rPr>
                <w:rtl/>
              </w:rPr>
              <w:t>(7).</w:t>
            </w:r>
            <w:r w:rsidRPr="00132E65">
              <w:rPr>
                <w:rtl/>
              </w:rPr>
              <w:t xml:space="preserve"> في « بح ، بر ، بس ، بف » </w:t>
            </w:r>
            <w:r>
              <w:rPr>
                <w:rtl/>
              </w:rPr>
              <w:t xml:space="preserve">: - </w:t>
            </w:r>
            <w:r w:rsidRPr="00132E65">
              <w:rPr>
                <w:rtl/>
              </w:rPr>
              <w:t>« يا »</w:t>
            </w:r>
            <w:r>
              <w:rPr>
                <w:rtl/>
              </w:rPr>
              <w:t>.</w:t>
            </w:r>
          </w:p>
        </w:tc>
        <w:tc>
          <w:tcPr>
            <w:tcW w:w="4006" w:type="dxa"/>
          </w:tcPr>
          <w:p w:rsidR="003356E6" w:rsidRDefault="003356E6" w:rsidP="000C39D1">
            <w:pPr>
              <w:pStyle w:val="libFootnote0"/>
              <w:rPr>
                <w:rtl/>
              </w:rPr>
            </w:pPr>
            <w:r>
              <w:rPr>
                <w:rtl/>
              </w:rPr>
              <w:t>(8).</w:t>
            </w:r>
            <w:r w:rsidRPr="00132E65">
              <w:rPr>
                <w:rtl/>
              </w:rPr>
              <w:t xml:space="preserve"> في « بف » </w:t>
            </w:r>
            <w:r>
              <w:rPr>
                <w:rtl/>
              </w:rPr>
              <w:t xml:space="preserve">: - </w:t>
            </w:r>
            <w:r w:rsidRPr="00132E65">
              <w:rPr>
                <w:rtl/>
              </w:rPr>
              <w:t>« الحقّ »</w:t>
            </w:r>
            <w:r>
              <w:rPr>
                <w:rtl/>
              </w:rPr>
              <w:t>.</w:t>
            </w:r>
          </w:p>
        </w:tc>
      </w:tr>
    </w:tbl>
    <w:p w:rsidR="000C39D1" w:rsidRPr="00132E65" w:rsidRDefault="000C39D1" w:rsidP="000C39D1">
      <w:pPr>
        <w:pStyle w:val="libFootnote0"/>
        <w:rPr>
          <w:rtl/>
          <w:lang w:bidi="fa-IR"/>
        </w:rPr>
      </w:pPr>
      <w:r>
        <w:rPr>
          <w:rtl/>
        </w:rPr>
        <w:t>(9).</w:t>
      </w:r>
      <w:r w:rsidRPr="00132E65">
        <w:rPr>
          <w:rtl/>
        </w:rPr>
        <w:t xml:space="preserve"> قرأه المازندراني من باب التفعيل والمجرّد ، قال : « الفرج من الغمّ ونحوه. يقال : فرّج الله غمّك تفريجاً ، وفرج الله عنك غمّك يَفْرِج بالكسر ، أي كشفه وأزاله. وعلى هذا كان المفعول محذوفاً »</w:t>
      </w:r>
      <w:r>
        <w:rPr>
          <w:rtl/>
        </w:rPr>
        <w:t>.</w:t>
      </w:r>
      <w:r w:rsidRPr="00132E65">
        <w:rPr>
          <w:rtl/>
        </w:rPr>
        <w:t xml:space="preserve"> </w:t>
      </w:r>
      <w:r w:rsidRPr="00673BBA">
        <w:rPr>
          <w:rtl/>
        </w:rPr>
        <w:t>شرح المازندراني</w:t>
      </w:r>
      <w:r w:rsidRPr="00132E65">
        <w:rPr>
          <w:rtl/>
        </w:rPr>
        <w:t xml:space="preserve"> ، ج 6 ، ص 365.</w:t>
      </w:r>
    </w:p>
    <w:p w:rsidR="000C39D1" w:rsidRPr="00132E65" w:rsidRDefault="000C39D1" w:rsidP="000C39D1">
      <w:pPr>
        <w:pStyle w:val="libFootnote0"/>
        <w:rPr>
          <w:rtl/>
          <w:lang w:bidi="fa-IR"/>
        </w:rPr>
      </w:pPr>
      <w:r>
        <w:rPr>
          <w:rtl/>
        </w:rPr>
        <w:t>(10).</w:t>
      </w:r>
      <w:r w:rsidRPr="00132E65">
        <w:rPr>
          <w:rtl/>
        </w:rPr>
        <w:t xml:space="preserve"> في « ج » :</w:t>
      </w:r>
      <w:r>
        <w:rPr>
          <w:rtl/>
        </w:rPr>
        <w:t xml:space="preserve"> + </w:t>
      </w:r>
      <w:r w:rsidRPr="00132E65">
        <w:rPr>
          <w:rtl/>
        </w:rPr>
        <w:t>« الهمّ »</w:t>
      </w:r>
      <w:r>
        <w:rPr>
          <w:rtl/>
        </w:rPr>
        <w:t>.</w:t>
      </w:r>
      <w:r w:rsidRPr="00132E65">
        <w:rPr>
          <w:rtl/>
        </w:rPr>
        <w:t xml:space="preserve"> وفي « ف ، بس ، بف » :</w:t>
      </w:r>
      <w:r>
        <w:rPr>
          <w:rtl/>
        </w:rPr>
        <w:t xml:space="preserve"> + </w:t>
      </w:r>
      <w:r w:rsidRPr="00132E65">
        <w:rPr>
          <w:rtl/>
        </w:rPr>
        <w:t>« الخوف »</w:t>
      </w:r>
      <w:r>
        <w:rPr>
          <w:rtl/>
        </w:rPr>
        <w:t>.</w:t>
      </w:r>
      <w:r w:rsidRPr="00132E65">
        <w:rPr>
          <w:rtl/>
        </w:rPr>
        <w:t xml:space="preserve"> وفي شرح المازندراني عن بعض النسخ :</w:t>
      </w:r>
      <w:r>
        <w:rPr>
          <w:rtl/>
        </w:rPr>
        <w:t xml:space="preserve"> + </w:t>
      </w:r>
      <w:r w:rsidRPr="00132E65">
        <w:rPr>
          <w:rtl/>
        </w:rPr>
        <w:t>« الحقّ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689 ، ح 1295.</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73BBA">
        <w:rPr>
          <w:rtl/>
        </w:rPr>
        <w:t>1013</w:t>
      </w:r>
      <w:r w:rsidRPr="004325D8">
        <w:rPr>
          <w:rStyle w:val="libBold2Char"/>
          <w:rtl/>
        </w:rPr>
        <w:t xml:space="preserve"> / 8.</w:t>
      </w:r>
      <w:r w:rsidRPr="00132E65">
        <w:rPr>
          <w:rtl/>
          <w:lang w:bidi="fa-IR"/>
        </w:rPr>
        <w:t xml:space="preserve"> عَلِيُّ بْنُ مُحَمَّدٍ ، عَنْ بَعْضِ أَصْحَابِنَا ، عَنِ ابْنِ أَبِي عُمَيْرٍ </w:t>
      </w:r>
      <w:r w:rsidR="003356E6">
        <w:rPr>
          <w:rtl/>
          <w:lang w:bidi="fa-IR"/>
        </w:rPr>
        <w:t>، عَنْ حَرِيزٍ ، عَنْ زُرَارَةَ</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لِلْإِمَامِ عَشْرُ عَلَامَاتٍ : يُولَدُ مُطَهَّراً مَخْتُوناً ؛ وإِذَا وقَعَ عَلَى </w:t>
      </w:r>
      <w:r>
        <w:rPr>
          <w:rStyle w:val="libFootnotenumChar"/>
          <w:rtl/>
        </w:rPr>
        <w:t>(1)</w:t>
      </w:r>
      <w:r w:rsidRPr="00132E65">
        <w:rPr>
          <w:rtl/>
          <w:lang w:bidi="fa-IR"/>
        </w:rPr>
        <w:t xml:space="preserve"> الْأَرْضِ ، وقَعَ عَلى رَاحَتَيْهِ </w:t>
      </w:r>
      <w:r>
        <w:rPr>
          <w:rStyle w:val="libFootnotenumChar"/>
          <w:rtl/>
        </w:rPr>
        <w:t>(2)</w:t>
      </w:r>
      <w:r w:rsidRPr="00132E65">
        <w:rPr>
          <w:rtl/>
          <w:lang w:bidi="fa-IR"/>
        </w:rPr>
        <w:t xml:space="preserve"> ، رَافِعاً صَوْتَهُ بِالشَّهَادَتَيْنِ ؛ ولَايُجْنِبُ ؛ وتَنَامُ </w:t>
      </w:r>
      <w:r>
        <w:rPr>
          <w:rStyle w:val="libFootnotenumChar"/>
          <w:rtl/>
        </w:rPr>
        <w:t>(3)</w:t>
      </w:r>
      <w:r w:rsidRPr="00132E65">
        <w:rPr>
          <w:rtl/>
          <w:lang w:bidi="fa-IR"/>
        </w:rPr>
        <w:t xml:space="preserve"> عَيْنُهُ </w:t>
      </w:r>
      <w:r>
        <w:rPr>
          <w:rStyle w:val="libFootnotenumChar"/>
          <w:rtl/>
        </w:rPr>
        <w:t>(4)</w:t>
      </w:r>
      <w:r w:rsidRPr="00132E65">
        <w:rPr>
          <w:rtl/>
          <w:lang w:bidi="fa-IR"/>
        </w:rPr>
        <w:t xml:space="preserve"> وَلَايَنَامُ قَلْبُهُ ؛ ولَايَتَثَاءَبُ </w:t>
      </w:r>
      <w:r>
        <w:rPr>
          <w:rStyle w:val="libFootnotenumChar"/>
          <w:rtl/>
        </w:rPr>
        <w:t>(5)</w:t>
      </w:r>
      <w:r w:rsidRPr="00132E65">
        <w:rPr>
          <w:rtl/>
          <w:lang w:bidi="fa-IR"/>
        </w:rPr>
        <w:t xml:space="preserve"> ولَايَتَمَطّى </w:t>
      </w:r>
      <w:r>
        <w:rPr>
          <w:rStyle w:val="libFootnotenumChar"/>
          <w:rtl/>
        </w:rPr>
        <w:t>(6)</w:t>
      </w:r>
      <w:r w:rsidRPr="00132E65">
        <w:rPr>
          <w:rtl/>
          <w:lang w:bidi="fa-IR"/>
        </w:rPr>
        <w:t xml:space="preserve"> ؛ ويَرى مِنْ </w:t>
      </w:r>
      <w:r>
        <w:rPr>
          <w:rStyle w:val="libFootnotenumChar"/>
          <w:rtl/>
        </w:rPr>
        <w:t>(7)</w:t>
      </w:r>
      <w:r w:rsidRPr="00132E65">
        <w:rPr>
          <w:rtl/>
          <w:lang w:bidi="fa-IR"/>
        </w:rPr>
        <w:t xml:space="preserve"> خَلْفِهِ كَمَا يَرى مِنْ أَمَامِهِ ؛ ونَجْوُهُ </w:t>
      </w:r>
      <w:r>
        <w:rPr>
          <w:rStyle w:val="libFootnotenumChar"/>
          <w:rtl/>
        </w:rPr>
        <w:t>(8)</w:t>
      </w:r>
      <w:r w:rsidRPr="00132E65">
        <w:rPr>
          <w:rtl/>
          <w:lang w:bidi="fa-IR"/>
        </w:rPr>
        <w:t xml:space="preserve"> كَرَائِحَةِ الْمِسْكِ ؛ والْأَرْضُ مُوَكَّلَةٌ بِسَتْرِهِ وابْتِلَاعِهِ ؛ وإِذَا لَبِسَ دِرْعَ رَسُولِ اللهِ </w:t>
      </w:r>
      <w:r w:rsidRPr="0093484F">
        <w:rPr>
          <w:rStyle w:val="libAlaemChar"/>
          <w:rFonts w:eastAsiaTheme="minorHAnsi"/>
          <w:rtl/>
        </w:rPr>
        <w:t>صلى‌الله‌عليه‌وآله</w:t>
      </w:r>
      <w:r w:rsidRPr="00132E65">
        <w:rPr>
          <w:rtl/>
          <w:lang w:bidi="fa-IR"/>
        </w:rPr>
        <w:t xml:space="preserve"> كَانَتْ عَلَيْهِ وفْقاً ، وإِذَا لَبِسَهَا </w:t>
      </w:r>
      <w:r>
        <w:rPr>
          <w:rStyle w:val="libFootnotenumChar"/>
          <w:rtl/>
        </w:rPr>
        <w:t>(9)</w:t>
      </w:r>
      <w:r w:rsidRPr="00132E65">
        <w:rPr>
          <w:rtl/>
          <w:lang w:bidi="fa-IR"/>
        </w:rPr>
        <w:t xml:space="preserve"> غَيْرُهُ مِنَ النَّاسِ</w:t>
      </w:r>
      <w:r>
        <w:rPr>
          <w:rtl/>
          <w:lang w:bidi="fa-IR"/>
        </w:rPr>
        <w:t xml:space="preserve"> - </w:t>
      </w:r>
      <w:r w:rsidRPr="00132E65">
        <w:rPr>
          <w:rtl/>
          <w:lang w:bidi="fa-IR"/>
        </w:rPr>
        <w:t>طَوِيلِهِمْ وقَصِيرِهِمْ</w:t>
      </w:r>
      <w:r>
        <w:rPr>
          <w:rtl/>
          <w:lang w:bidi="fa-IR"/>
        </w:rPr>
        <w:t xml:space="preserve"> - </w:t>
      </w:r>
      <w:r w:rsidRPr="00132E65">
        <w:rPr>
          <w:rtl/>
          <w:lang w:bidi="fa-IR"/>
        </w:rPr>
        <w:t xml:space="preserve">زَادَتْ عَلَيْهِ </w:t>
      </w:r>
      <w:r>
        <w:rPr>
          <w:rStyle w:val="libFootnotenumChar"/>
          <w:rtl/>
        </w:rPr>
        <w:t>(10)</w:t>
      </w:r>
      <w:r w:rsidRPr="00132E65">
        <w:rPr>
          <w:rtl/>
          <w:lang w:bidi="fa-IR"/>
        </w:rPr>
        <w:t xml:space="preserve"> شِبْراً ؛ وهُوَ مُحَدَّثٌ إِلى أَنْ تَنْقَضِيَ </w:t>
      </w:r>
      <w:r>
        <w:rPr>
          <w:rStyle w:val="libFootnotenumChar"/>
          <w:rtl/>
        </w:rPr>
        <w:t>(11)</w:t>
      </w:r>
      <w:r w:rsidRPr="00132E65">
        <w:rPr>
          <w:rtl/>
          <w:lang w:bidi="fa-IR"/>
        </w:rPr>
        <w:t xml:space="preserve"> أَيَّامُهُ »</w:t>
      </w:r>
      <w:r>
        <w:rPr>
          <w:rtl/>
          <w:lang w:bidi="fa-IR"/>
        </w:rPr>
        <w:t>.</w:t>
      </w:r>
      <w:r w:rsidRPr="00132E65">
        <w:rPr>
          <w:rtl/>
          <w:lang w:bidi="fa-IR"/>
        </w:rPr>
        <w:t xml:space="preserve"> </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بس » : « إلى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بر » وحاشية « بح ، بس ، بف » و</w:t>
      </w:r>
      <w:r w:rsidRPr="009D1ACE">
        <w:rPr>
          <w:rStyle w:val="libFootnoteBoldChar"/>
          <w:rtl/>
        </w:rPr>
        <w:t>الوافي</w:t>
      </w:r>
      <w:r w:rsidRPr="00132E65">
        <w:rPr>
          <w:rtl/>
        </w:rPr>
        <w:t xml:space="preserve"> والبحار وجميع المصادر. وفي سائر النسخ والمطبوع : « راحته »</w:t>
      </w:r>
      <w:r>
        <w:rPr>
          <w:rtl/>
        </w:rPr>
        <w:t>.</w:t>
      </w:r>
    </w:p>
    <w:p w:rsidR="000C39D1" w:rsidRPr="00132E65" w:rsidRDefault="000C39D1" w:rsidP="000C39D1">
      <w:pPr>
        <w:pStyle w:val="libFootnote0"/>
        <w:rPr>
          <w:rtl/>
          <w:lang w:bidi="fa-IR"/>
        </w:rPr>
      </w:pPr>
      <w:r>
        <w:rPr>
          <w:rtl/>
        </w:rPr>
        <w:t>(3).</w:t>
      </w:r>
      <w:r w:rsidRPr="00132E65">
        <w:rPr>
          <w:rtl/>
        </w:rPr>
        <w:t xml:space="preserve"> في « ف » : « وينام »</w:t>
      </w:r>
      <w:r>
        <w:rPr>
          <w:rtl/>
        </w:rPr>
        <w:t>.</w:t>
      </w:r>
    </w:p>
    <w:p w:rsidR="000C39D1" w:rsidRPr="00132E65" w:rsidRDefault="000C39D1" w:rsidP="000C39D1">
      <w:pPr>
        <w:pStyle w:val="libFootnote0"/>
        <w:rPr>
          <w:rtl/>
          <w:lang w:bidi="fa-IR"/>
        </w:rPr>
      </w:pPr>
      <w:r>
        <w:rPr>
          <w:rtl/>
        </w:rPr>
        <w:t>(4).</w:t>
      </w:r>
      <w:r w:rsidRPr="00132E65">
        <w:rPr>
          <w:rtl/>
        </w:rPr>
        <w:t xml:space="preserve"> هكذا في « ب ، ج ، ض ، بح ، بر ، بس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وا</w:t>
      </w:r>
      <w:r w:rsidR="003356E6">
        <w:rPr>
          <w:rFonts w:hint="cs"/>
          <w:rtl/>
        </w:rPr>
        <w:t>ُ</w:t>
      </w:r>
      <w:r w:rsidRPr="00132E65">
        <w:rPr>
          <w:rtl/>
        </w:rPr>
        <w:t>ريد به الجنس. وفي المطبوع : « عيناه »</w:t>
      </w:r>
      <w:r>
        <w:rPr>
          <w:rtl/>
        </w:rPr>
        <w:t>.</w:t>
      </w:r>
    </w:p>
    <w:p w:rsidR="000C39D1" w:rsidRPr="00132E65" w:rsidRDefault="000C39D1" w:rsidP="000C39D1">
      <w:pPr>
        <w:pStyle w:val="libFootnote0"/>
        <w:rPr>
          <w:rtl/>
          <w:lang w:bidi="fa-IR"/>
        </w:rPr>
      </w:pPr>
      <w:r>
        <w:rPr>
          <w:rtl/>
        </w:rPr>
        <w:t>(5).</w:t>
      </w:r>
      <w:r w:rsidRPr="00132E65">
        <w:rPr>
          <w:rtl/>
        </w:rPr>
        <w:t xml:space="preserve"> « التثاؤُبُ » </w:t>
      </w:r>
      <w:r>
        <w:rPr>
          <w:rtl/>
        </w:rPr>
        <w:t>و «</w:t>
      </w:r>
      <w:r w:rsidRPr="00132E65">
        <w:rPr>
          <w:rtl/>
        </w:rPr>
        <w:t xml:space="preserve"> التَثَأُّبُ » : إصابة الكسل والفترة كفترة النعاس. وقيل : هي فترة تعتري الشخص فيفتح عنده فَمَهُ. قرأه الفيض والمجلسي من باب التفعّل. ا</w:t>
      </w:r>
      <w:r w:rsidR="005D015B">
        <w:rPr>
          <w:rFonts w:hint="cs"/>
          <w:rtl/>
        </w:rPr>
        <w:t>ُ</w:t>
      </w:r>
      <w:r w:rsidRPr="00132E65">
        <w:rPr>
          <w:rtl/>
        </w:rPr>
        <w:t xml:space="preserve">نظر </w:t>
      </w:r>
      <w:r w:rsidRPr="00673BBA">
        <w:rPr>
          <w:rtl/>
        </w:rPr>
        <w:t>المصباح المنير</w:t>
      </w:r>
      <w:r w:rsidRPr="00132E65">
        <w:rPr>
          <w:rtl/>
        </w:rPr>
        <w:t xml:space="preserve"> ، ص 87 ؛ </w:t>
      </w:r>
      <w:r w:rsidRPr="00673BBA">
        <w:rPr>
          <w:rtl/>
        </w:rPr>
        <w:t>القاموس المحيط</w:t>
      </w:r>
      <w:r w:rsidRPr="00132E65">
        <w:rPr>
          <w:rtl/>
        </w:rPr>
        <w:t xml:space="preserve"> ، ج 1 ، ص 133 ( ثأب )</w:t>
      </w:r>
      <w:r>
        <w:rPr>
          <w:rtl/>
        </w:rPr>
        <w:t>.</w:t>
      </w:r>
    </w:p>
    <w:p w:rsidR="000C39D1" w:rsidRPr="00132E65" w:rsidRDefault="000C39D1" w:rsidP="000C39D1">
      <w:pPr>
        <w:pStyle w:val="libFootnote0"/>
        <w:rPr>
          <w:rtl/>
          <w:lang w:bidi="fa-IR"/>
        </w:rPr>
      </w:pPr>
      <w:r>
        <w:rPr>
          <w:rtl/>
        </w:rPr>
        <w:t>(6).</w:t>
      </w:r>
      <w:r w:rsidRPr="00132E65">
        <w:rPr>
          <w:rtl/>
        </w:rPr>
        <w:t xml:space="preserve"> « التَمَطّي » : التبختر ومدّ اليدين في المشي. </w:t>
      </w:r>
      <w:r w:rsidRPr="00673BBA">
        <w:rPr>
          <w:rtl/>
        </w:rPr>
        <w:t>الصحاح</w:t>
      </w:r>
      <w:r w:rsidRPr="00132E65">
        <w:rPr>
          <w:rtl/>
        </w:rPr>
        <w:t xml:space="preserve"> ، ج 6 ، ص 2494 ( مطا )</w:t>
      </w:r>
      <w:r>
        <w:rPr>
          <w:rtl/>
        </w:rPr>
        <w:t>.</w:t>
      </w:r>
    </w:p>
    <w:p w:rsidR="000C39D1" w:rsidRPr="00132E65" w:rsidRDefault="000C39D1" w:rsidP="000C39D1">
      <w:pPr>
        <w:pStyle w:val="libFootnote0"/>
        <w:rPr>
          <w:rtl/>
          <w:lang w:bidi="fa-IR"/>
        </w:rPr>
      </w:pPr>
      <w:r>
        <w:rPr>
          <w:rtl/>
        </w:rPr>
        <w:t>(7).</w:t>
      </w:r>
      <w:r w:rsidRPr="00132E65">
        <w:rPr>
          <w:rtl/>
        </w:rPr>
        <w:t xml:space="preserve"> يمكن أن يقرأ « من » في الموضعين بالكسر حرف جرّ ، وبالفتح اسم موصول أو موصوف.</w:t>
      </w:r>
    </w:p>
    <w:p w:rsidR="000C39D1" w:rsidRPr="00132E65" w:rsidRDefault="000C39D1" w:rsidP="000C39D1">
      <w:pPr>
        <w:pStyle w:val="libFootnote0"/>
        <w:rPr>
          <w:rtl/>
          <w:lang w:bidi="fa-IR"/>
        </w:rPr>
      </w:pPr>
      <w:r>
        <w:rPr>
          <w:rtl/>
        </w:rPr>
        <w:t>(8).</w:t>
      </w:r>
      <w:r w:rsidRPr="00132E65">
        <w:rPr>
          <w:rtl/>
        </w:rPr>
        <w:t xml:space="preserve"> « النَجْوُ » : ما يخرج من البطن من ريح وغائط. </w:t>
      </w:r>
      <w:r w:rsidRPr="009D1ACE">
        <w:rPr>
          <w:rStyle w:val="libFootnoteBoldChar"/>
          <w:rtl/>
        </w:rPr>
        <w:t>لسان العرب</w:t>
      </w:r>
      <w:r w:rsidRPr="00132E65">
        <w:rPr>
          <w:rtl/>
        </w:rPr>
        <w:t xml:space="preserve"> ، ج 15 ، ص 306 ( نجو )</w:t>
      </w:r>
      <w:r>
        <w:rPr>
          <w:rtl/>
        </w:rPr>
        <w:t>.</w:t>
      </w:r>
    </w:p>
    <w:tbl>
      <w:tblPr>
        <w:tblStyle w:val="TableGrid"/>
        <w:bidiVisual/>
        <w:tblW w:w="0" w:type="auto"/>
        <w:tblLook w:val="04A0" w:firstRow="1" w:lastRow="0" w:firstColumn="1" w:lastColumn="0" w:noHBand="0" w:noVBand="1"/>
      </w:tblPr>
      <w:tblGrid>
        <w:gridCol w:w="4006"/>
        <w:gridCol w:w="4006"/>
      </w:tblGrid>
      <w:tr w:rsidR="005D015B" w:rsidTr="005D015B">
        <w:tc>
          <w:tcPr>
            <w:tcW w:w="4006" w:type="dxa"/>
          </w:tcPr>
          <w:p w:rsidR="005D015B" w:rsidRDefault="005D015B" w:rsidP="000C39D1">
            <w:pPr>
              <w:pStyle w:val="libFootnote0"/>
              <w:rPr>
                <w:rtl/>
              </w:rPr>
            </w:pPr>
            <w:r>
              <w:rPr>
                <w:rtl/>
              </w:rPr>
              <w:t>(9).</w:t>
            </w:r>
            <w:r w:rsidRPr="00132E65">
              <w:rPr>
                <w:rtl/>
              </w:rPr>
              <w:t xml:space="preserve"> في البحار : « لبسه »</w:t>
            </w:r>
            <w:r>
              <w:rPr>
                <w:rtl/>
              </w:rPr>
              <w:t>.</w:t>
            </w:r>
          </w:p>
        </w:tc>
        <w:tc>
          <w:tcPr>
            <w:tcW w:w="4006" w:type="dxa"/>
          </w:tcPr>
          <w:p w:rsidR="005D015B" w:rsidRDefault="005D015B" w:rsidP="000C39D1">
            <w:pPr>
              <w:pStyle w:val="libFootnote0"/>
              <w:rPr>
                <w:rtl/>
              </w:rPr>
            </w:pPr>
            <w:r>
              <w:rPr>
                <w:rtl/>
              </w:rPr>
              <w:t>(10).</w:t>
            </w:r>
            <w:r w:rsidRPr="00132E65">
              <w:rPr>
                <w:rtl/>
              </w:rPr>
              <w:t xml:space="preserve"> في « ف » : « عليهم »</w:t>
            </w:r>
            <w:r>
              <w:rPr>
                <w:rtl/>
              </w:rPr>
              <w:t>.</w:t>
            </w:r>
          </w:p>
        </w:tc>
      </w:tr>
    </w:tbl>
    <w:p w:rsidR="000C39D1" w:rsidRPr="00132E65" w:rsidRDefault="000C39D1" w:rsidP="000C39D1">
      <w:pPr>
        <w:pStyle w:val="libFootnote0"/>
        <w:rPr>
          <w:rtl/>
          <w:lang w:bidi="fa-IR"/>
        </w:rPr>
      </w:pPr>
      <w:r>
        <w:rPr>
          <w:rtl/>
        </w:rPr>
        <w:t>(11).</w:t>
      </w:r>
      <w:r w:rsidRPr="00132E65">
        <w:rPr>
          <w:rtl/>
        </w:rPr>
        <w:t xml:space="preserve"> في « بف » : « أن ينقضي »</w:t>
      </w:r>
      <w:r>
        <w:rPr>
          <w:rtl/>
        </w:rPr>
        <w:t>.</w:t>
      </w:r>
    </w:p>
    <w:p w:rsidR="000C39D1" w:rsidRPr="00132E65" w:rsidRDefault="000C39D1" w:rsidP="000C39D1">
      <w:pPr>
        <w:pStyle w:val="libFootnote0"/>
        <w:rPr>
          <w:rtl/>
          <w:lang w:bidi="fa-IR"/>
        </w:rPr>
      </w:pPr>
      <w:r>
        <w:rPr>
          <w:rtl/>
        </w:rPr>
        <w:t>(12).</w:t>
      </w:r>
      <w:r w:rsidRPr="00132E65">
        <w:rPr>
          <w:rtl/>
        </w:rPr>
        <w:t xml:space="preserve"> </w:t>
      </w:r>
      <w:r w:rsidRPr="00673BBA">
        <w:rPr>
          <w:rtl/>
        </w:rPr>
        <w:t>الفقيه</w:t>
      </w:r>
      <w:r w:rsidRPr="00132E65">
        <w:rPr>
          <w:rtl/>
        </w:rPr>
        <w:t xml:space="preserve"> ، ج 4 ، ص 418 ، ح 5914 ؛ و</w:t>
      </w:r>
      <w:r w:rsidRPr="00673BBA">
        <w:rPr>
          <w:rtl/>
        </w:rPr>
        <w:t xml:space="preserve">الخصال </w:t>
      </w:r>
      <w:r w:rsidRPr="00132E65">
        <w:rPr>
          <w:rtl/>
        </w:rPr>
        <w:t xml:space="preserve">، ص 527 ، أبواب الثلاثين وما فوقها ، ح 1 ؛ </w:t>
      </w:r>
      <w:r w:rsidRPr="00673BBA">
        <w:rPr>
          <w:rtl/>
        </w:rPr>
        <w:t>وعيون الأخبار</w:t>
      </w:r>
      <w:r w:rsidRPr="00132E65">
        <w:rPr>
          <w:rtl/>
        </w:rPr>
        <w:t xml:space="preserve"> ، ج 1 ، ص 212 ، ح 1 ؛ و</w:t>
      </w:r>
      <w:r w:rsidRPr="00673BBA">
        <w:rPr>
          <w:rtl/>
        </w:rPr>
        <w:t>معاني الأخبار</w:t>
      </w:r>
      <w:r w:rsidRPr="00132E65">
        <w:rPr>
          <w:rtl/>
        </w:rPr>
        <w:t xml:space="preserve"> ، ص 102 ، ح 4 ، بسند آخر عن أبي الحسن الرضا </w:t>
      </w:r>
      <w:r w:rsidRPr="00933F70">
        <w:rPr>
          <w:rStyle w:val="libFootnoteAlaemChar"/>
          <w:rtl/>
        </w:rPr>
        <w:t>عليه‌السلام</w:t>
      </w:r>
      <w:r w:rsidRPr="00132E65">
        <w:rPr>
          <w:rtl/>
        </w:rPr>
        <w:t xml:space="preserve"> مع زيادة واختلاف. وفي </w:t>
      </w:r>
      <w:r w:rsidRPr="00673BBA">
        <w:rPr>
          <w:rtl/>
        </w:rPr>
        <w:t>الخصال</w:t>
      </w:r>
      <w:r w:rsidRPr="00132E65">
        <w:rPr>
          <w:rtl/>
        </w:rPr>
        <w:t xml:space="preserve"> ، ص 428 ، باب العشرة ، ح 5 ، بسند آخر عن أبي عبد الله </w:t>
      </w:r>
      <w:r w:rsidRPr="00933F70">
        <w:rPr>
          <w:rStyle w:val="libFootnoteAlaemChar"/>
          <w:rtl/>
        </w:rPr>
        <w:t>عليه‌السلام</w:t>
      </w:r>
      <w:r w:rsidRPr="00132E65">
        <w:rPr>
          <w:rtl/>
        </w:rPr>
        <w:t xml:space="preserve"> ، مع اختلاف </w:t>
      </w:r>
      <w:r w:rsidRPr="009D1ACE">
        <w:rPr>
          <w:rStyle w:val="libFootnoteBoldChar"/>
          <w:rtl/>
        </w:rPr>
        <w:t>الوافي</w:t>
      </w:r>
      <w:r w:rsidRPr="00132E65">
        <w:rPr>
          <w:rtl/>
        </w:rPr>
        <w:t xml:space="preserve"> ، ج 3 ، ص 693 ، ح 1298 ؛ </w:t>
      </w:r>
      <w:r w:rsidRPr="00673BBA">
        <w:rPr>
          <w:rtl/>
        </w:rPr>
        <w:t>البحار</w:t>
      </w:r>
      <w:r w:rsidRPr="00132E65">
        <w:rPr>
          <w:rtl/>
        </w:rPr>
        <w:t xml:space="preserve"> ، ج 25 ، ص 168 ، ح 37.</w:t>
      </w:r>
    </w:p>
    <w:p w:rsidR="00933F70" w:rsidRDefault="00933F70" w:rsidP="00933F70">
      <w:pPr>
        <w:pStyle w:val="libNormal"/>
        <w:rPr>
          <w:rtl/>
          <w:lang w:bidi="fa-IR"/>
        </w:rPr>
      </w:pPr>
      <w:bookmarkStart w:id="78" w:name="_Toc459459125"/>
      <w:r>
        <w:rPr>
          <w:rtl/>
          <w:lang w:bidi="fa-IR"/>
        </w:rPr>
        <w:br w:type="page"/>
      </w:r>
    </w:p>
    <w:p w:rsidR="000C39D1" w:rsidRPr="00132E65" w:rsidRDefault="000C39D1" w:rsidP="000C39D1">
      <w:pPr>
        <w:pStyle w:val="Heading2Center"/>
        <w:rPr>
          <w:rtl/>
          <w:lang w:bidi="fa-IR"/>
        </w:rPr>
      </w:pPr>
      <w:bookmarkStart w:id="79" w:name="_Toc34663094"/>
      <w:r w:rsidRPr="00132E65">
        <w:rPr>
          <w:rtl/>
          <w:lang w:bidi="fa-IR"/>
        </w:rPr>
        <w:t>94</w:t>
      </w:r>
      <w:r>
        <w:rPr>
          <w:rtl/>
          <w:lang w:bidi="fa-IR"/>
        </w:rPr>
        <w:t xml:space="preserve"> - </w:t>
      </w:r>
      <w:r w:rsidRPr="00132E65">
        <w:rPr>
          <w:rtl/>
          <w:lang w:bidi="fa-IR"/>
        </w:rPr>
        <w:t xml:space="preserve">بَابُ خَلْقِ أَبْدَانِ الْأَئِمَّةِ وأَرْوَاحِهِمْ وقُلُوبِهِمْ </w:t>
      </w:r>
      <w:r w:rsidRPr="00071CF9">
        <w:rPr>
          <w:rStyle w:val="libAlaemChar"/>
          <w:rtl/>
        </w:rPr>
        <w:t>عليهم‌السلام</w:t>
      </w:r>
      <w:r w:rsidRPr="00132E65">
        <w:rPr>
          <w:rtl/>
          <w:lang w:bidi="fa-IR"/>
        </w:rPr>
        <w:t>‌</w:t>
      </w:r>
      <w:bookmarkEnd w:id="78"/>
      <w:bookmarkEnd w:id="79"/>
    </w:p>
    <w:p w:rsidR="000C39D1" w:rsidRPr="00132E65" w:rsidRDefault="000C39D1" w:rsidP="000C39D1">
      <w:pPr>
        <w:pStyle w:val="libNormal"/>
        <w:rPr>
          <w:rtl/>
          <w:lang w:bidi="fa-IR"/>
        </w:rPr>
      </w:pPr>
      <w:r w:rsidRPr="00A92724">
        <w:rPr>
          <w:rtl/>
        </w:rPr>
        <w:t>1014</w:t>
      </w:r>
      <w:r w:rsidRPr="004325D8">
        <w:rPr>
          <w:rStyle w:val="libBold2Char"/>
          <w:rtl/>
        </w:rPr>
        <w:t xml:space="preserve"> / 1.</w:t>
      </w:r>
      <w:r w:rsidRPr="00132E65">
        <w:rPr>
          <w:rtl/>
          <w:lang w:bidi="fa-IR"/>
        </w:rPr>
        <w:t xml:space="preserve"> عِدَّةٌ مِنْ أَصْحَابِنَا ، عَنْ أَحْمَدَ بْنِ مُحَمَّدٍ ، عَنْ أَبِي يَحْيَى الْوَاسِط</w:t>
      </w:r>
      <w:r w:rsidR="00936037">
        <w:rPr>
          <w:rtl/>
          <w:lang w:bidi="fa-IR"/>
        </w:rPr>
        <w:t>ِيِّ ، عَنْ بَعْضِ أَصْحَابِنَا</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 قَالَ : « إِنَّ اللهَ خَلَقَنَا مِنْ عِلِّيِّينَ ، وخَلَقَ أَرْوَاحَنَا مِنْ فَوْقِ ذلِكَ ، وخَلَقَ أَرْوَاحَ شِيعَتِنَا مِنْ عِلِّيِّينَ ، وخَلَقَ أَجْسَادَهُمْ مِنْ دُونِ ذلِكَ ، فَمِنْ أَجْلِ ذلِكَ </w:t>
      </w:r>
      <w:r>
        <w:rPr>
          <w:rStyle w:val="libFootnotenumChar"/>
          <w:rtl/>
        </w:rPr>
        <w:t>(2)</w:t>
      </w:r>
      <w:r w:rsidRPr="00132E65">
        <w:rPr>
          <w:rtl/>
          <w:lang w:bidi="fa-IR"/>
        </w:rPr>
        <w:t xml:space="preserve"> الْقَرَابَةُ بَيْنَنَا وبَيْنَهُمْ ، وقُلُوبُهُمْ </w:t>
      </w:r>
      <w:r>
        <w:rPr>
          <w:rStyle w:val="libFootnotenumChar"/>
          <w:rtl/>
        </w:rPr>
        <w:t>(3)</w:t>
      </w:r>
      <w:r w:rsidRPr="00132E65">
        <w:rPr>
          <w:rtl/>
          <w:lang w:bidi="fa-IR"/>
        </w:rPr>
        <w:t xml:space="preserve"> تَحِنُّ </w:t>
      </w:r>
      <w:r>
        <w:rPr>
          <w:rStyle w:val="libFootnotenumChar"/>
          <w:rtl/>
        </w:rPr>
        <w:t>(4)</w:t>
      </w:r>
      <w:r w:rsidRPr="00132E65">
        <w:rPr>
          <w:rtl/>
          <w:lang w:bidi="fa-IR"/>
        </w:rPr>
        <w:t xml:space="preserve"> إِلَيْنَا »</w:t>
      </w:r>
      <w:r>
        <w:rPr>
          <w:rtl/>
          <w:lang w:bidi="fa-IR"/>
        </w:rPr>
        <w:t>.</w:t>
      </w:r>
      <w:r w:rsidRPr="00132E65">
        <w:rPr>
          <w:rtl/>
          <w:lang w:bidi="fa-IR"/>
        </w:rPr>
        <w:t xml:space="preserve"> </w:t>
      </w:r>
      <w:r>
        <w:rPr>
          <w:rStyle w:val="libFootnotenumChar"/>
          <w:rtl/>
        </w:rPr>
        <w:t>(5)</w:t>
      </w:r>
    </w:p>
    <w:p w:rsidR="000C39D1" w:rsidRPr="00132E65" w:rsidRDefault="000C39D1" w:rsidP="000C39D1">
      <w:pPr>
        <w:pStyle w:val="libNormal"/>
        <w:rPr>
          <w:rtl/>
          <w:lang w:bidi="fa-IR"/>
        </w:rPr>
      </w:pPr>
      <w:r w:rsidRPr="00A92724">
        <w:rPr>
          <w:rtl/>
        </w:rPr>
        <w:t>1015</w:t>
      </w:r>
      <w:r w:rsidRPr="004325D8">
        <w:rPr>
          <w:rStyle w:val="libBold2Char"/>
          <w:rtl/>
        </w:rPr>
        <w:t xml:space="preserve"> / 2.</w:t>
      </w:r>
      <w:r w:rsidRPr="00132E65">
        <w:rPr>
          <w:rtl/>
          <w:lang w:bidi="fa-IR"/>
        </w:rPr>
        <w:t xml:space="preserve"> أَحْمَدُ بْنُ مُحَمَّدٍ ، عَنْ مُحَمَّدِ بْنِ الْحَسَنِ ، عَنْ مُحَمَّدِ بْنِ عِيسَى بْنِ عُبَيْدٍ ، عَنْ مُحَمَّدِ بْنِ شُعَيْبٍ ، عَنْ عِمْرَانَ بْنِ إِسْحَاقَ الزَّعْفَرَانِيِّ ، عَنْ مُحَمَّدِ بْنِ مَرْوَانَ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إِنَّ اللهَ خَلَقَنَا مِنْ نُورِ عَظَمَتِهِ ، ثُمَّ صَوَّرَ خَلْقَنَا </w:t>
      </w:r>
      <w:r>
        <w:rPr>
          <w:rStyle w:val="libFootnotenumChar"/>
          <w:rtl/>
        </w:rPr>
        <w:t>(6)</w:t>
      </w:r>
      <w:r w:rsidRPr="00132E65">
        <w:rPr>
          <w:rtl/>
          <w:lang w:bidi="fa-IR"/>
        </w:rPr>
        <w:t xml:space="preserve"> مِنْ طِينَةٍ </w:t>
      </w:r>
      <w:r>
        <w:rPr>
          <w:rStyle w:val="libFootnotenumChar"/>
          <w:rtl/>
        </w:rPr>
        <w:t>(7)</w:t>
      </w:r>
      <w:r w:rsidRPr="00132E65">
        <w:rPr>
          <w:rtl/>
          <w:lang w:bidi="fa-IR"/>
        </w:rPr>
        <w:t xml:space="preserve"> مَخْزُونَةٍ مَكْنُونَةٍ مِنْ تَحْتِ الْعَرْشِ </w:t>
      </w:r>
      <w:r>
        <w:rPr>
          <w:rStyle w:val="libFootnotenumChar"/>
          <w:rtl/>
        </w:rPr>
        <w:t>(8)</w:t>
      </w:r>
      <w:r w:rsidRPr="00132E65">
        <w:rPr>
          <w:rtl/>
          <w:lang w:bidi="fa-IR"/>
        </w:rPr>
        <w:t xml:space="preserve"> ، فَأَسْكَنَ ذلِكَ النُّورَ فِيهِ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أنّه »</w:t>
      </w:r>
      <w:r>
        <w:rPr>
          <w:rtl/>
        </w:rPr>
        <w:t>.</w:t>
      </w:r>
    </w:p>
    <w:p w:rsidR="000C39D1" w:rsidRPr="00132E65" w:rsidRDefault="000C39D1" w:rsidP="000C39D1">
      <w:pPr>
        <w:pStyle w:val="libFootnote0"/>
        <w:rPr>
          <w:rtl/>
          <w:lang w:bidi="fa-IR"/>
        </w:rPr>
      </w:pPr>
      <w:r>
        <w:rPr>
          <w:rtl/>
        </w:rPr>
        <w:t>(2).</w:t>
      </w:r>
      <w:r w:rsidRPr="00132E65">
        <w:rPr>
          <w:rtl/>
        </w:rPr>
        <w:t xml:space="preserve"> في العلل :</w:t>
      </w:r>
      <w:r>
        <w:rPr>
          <w:rtl/>
        </w:rPr>
        <w:t xml:space="preserve"> + </w:t>
      </w:r>
      <w:r w:rsidRPr="00132E65">
        <w:rPr>
          <w:rtl/>
        </w:rPr>
        <w:t>« كانت »</w:t>
      </w:r>
      <w:r>
        <w:rPr>
          <w:rtl/>
        </w:rPr>
        <w:t>.</w:t>
      </w:r>
    </w:p>
    <w:p w:rsidR="000C39D1" w:rsidRPr="00132E65" w:rsidRDefault="000C39D1" w:rsidP="000C39D1">
      <w:pPr>
        <w:pStyle w:val="libFootnote0"/>
        <w:rPr>
          <w:rtl/>
          <w:lang w:bidi="fa-IR"/>
        </w:rPr>
      </w:pPr>
      <w:r>
        <w:rPr>
          <w:rtl/>
        </w:rPr>
        <w:t>(3).</w:t>
      </w:r>
      <w:r w:rsidRPr="00132E65">
        <w:rPr>
          <w:rtl/>
        </w:rPr>
        <w:t xml:space="preserve"> في البصائر ، ص 19 ، ح 1 : « فمن أجل تلك القرابة بيننا وبينهم قلوبهم »</w:t>
      </w:r>
      <w:r>
        <w:rPr>
          <w:rtl/>
        </w:rPr>
        <w:t>.</w:t>
      </w:r>
    </w:p>
    <w:p w:rsidR="000C39D1" w:rsidRPr="00132E65" w:rsidRDefault="000C39D1" w:rsidP="000C39D1">
      <w:pPr>
        <w:pStyle w:val="libFootnote0"/>
        <w:rPr>
          <w:rtl/>
          <w:lang w:bidi="fa-IR"/>
        </w:rPr>
      </w:pPr>
      <w:r>
        <w:rPr>
          <w:rtl/>
        </w:rPr>
        <w:t>(4).</w:t>
      </w:r>
      <w:r w:rsidRPr="00132E65">
        <w:rPr>
          <w:rtl/>
        </w:rPr>
        <w:t xml:space="preserve"> « تحنّ » : من الحنين ، وهو الشوق وتَوَفان النفس. تقول منه : حنّ إليه يحنّ حنيناً ، فهو حانّ. راجع : </w:t>
      </w:r>
      <w:r w:rsidRPr="00A92724">
        <w:rPr>
          <w:rtl/>
        </w:rPr>
        <w:t>الصحاح</w:t>
      </w:r>
      <w:r w:rsidRPr="00132E65">
        <w:rPr>
          <w:rtl/>
        </w:rPr>
        <w:t xml:space="preserve"> ، ج 5 ، ص 2104 ( حنن )</w:t>
      </w:r>
      <w:r>
        <w:rPr>
          <w:rtl/>
        </w:rPr>
        <w:t>.</w:t>
      </w:r>
    </w:p>
    <w:p w:rsidR="000C39D1" w:rsidRPr="00132E65" w:rsidRDefault="000C39D1" w:rsidP="0098681B">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19 ، ح 1 ، عن أحمد بن محمّد بن عيسى ، عن أبي يحيى الواسطي. </w:t>
      </w:r>
      <w:r w:rsidRPr="00A92724">
        <w:rPr>
          <w:rtl/>
        </w:rPr>
        <w:t>علل الشرائع</w:t>
      </w:r>
      <w:r w:rsidRPr="00132E65">
        <w:rPr>
          <w:rtl/>
        </w:rPr>
        <w:t xml:space="preserve"> ، ص 117 ، ح 10 ، بسنده عن أحمد بن محمّد بن عيسى ، عن أبي يحيى الواسطي رفعه عن أبي عبد الله </w:t>
      </w:r>
      <w:r w:rsidRPr="0098681B">
        <w:rPr>
          <w:rStyle w:val="libFootnoteAlaemChar"/>
          <w:rtl/>
        </w:rPr>
        <w:t>عليه‌السلام</w:t>
      </w:r>
      <w:r w:rsidRPr="00132E65">
        <w:rPr>
          <w:rtl/>
        </w:rPr>
        <w:t xml:space="preserve">. وفي </w:t>
      </w:r>
      <w:r w:rsidRPr="007A1104">
        <w:rPr>
          <w:rStyle w:val="libFootnoteBoldChar"/>
          <w:rtl/>
        </w:rPr>
        <w:t>بصائر الدرجات</w:t>
      </w:r>
      <w:r w:rsidRPr="00132E65">
        <w:rPr>
          <w:rtl/>
        </w:rPr>
        <w:t xml:space="preserve"> ، ص 24 ، ح 18 ؛ وص 14 ، ح 2 ، بسند آخر ، مع اختلاف يسير ، وفي الأخير عن أبي جعفر </w:t>
      </w:r>
      <w:r w:rsidRPr="0098681B">
        <w:rPr>
          <w:rStyle w:val="libFootnoteAlaemChar"/>
          <w:rtl/>
        </w:rPr>
        <w:t>عليه‌السلام</w:t>
      </w:r>
      <w:r w:rsidRPr="00132E65">
        <w:rPr>
          <w:rtl/>
        </w:rPr>
        <w:t xml:space="preserve">. راجع : </w:t>
      </w:r>
      <w:r w:rsidRPr="007A1104">
        <w:rPr>
          <w:rStyle w:val="libFootnoteBoldChar"/>
          <w:rtl/>
        </w:rPr>
        <w:t>بصائر الدرجات</w:t>
      </w:r>
      <w:r w:rsidRPr="00132E65">
        <w:rPr>
          <w:rtl/>
        </w:rPr>
        <w:t xml:space="preserve"> ، ص 15 ، ح 8 </w:t>
      </w:r>
      <w:r>
        <w:rPr>
          <w:rtl/>
        </w:rPr>
        <w:t>و 9</w:t>
      </w:r>
      <w:r w:rsidRPr="00132E65">
        <w:rPr>
          <w:rtl/>
        </w:rPr>
        <w:t xml:space="preserve"> ؛ وص 18 ، ح 16 </w:t>
      </w:r>
      <w:r>
        <w:rPr>
          <w:rtl/>
        </w:rPr>
        <w:t>و 1</w:t>
      </w:r>
      <w:r w:rsidRPr="00132E65">
        <w:rPr>
          <w:rtl/>
        </w:rPr>
        <w:t>7 ؛ وص 20 ، ح 2</w:t>
      </w:r>
      <w:r w:rsidR="0098681B">
        <w:rPr>
          <w:rFonts w:hint="cs"/>
          <w:rtl/>
        </w:rPr>
        <w:t>.</w:t>
      </w:r>
      <w:r w:rsidRPr="009D1ACE">
        <w:rPr>
          <w:rStyle w:val="libFootnoteBoldChar"/>
          <w:rtl/>
        </w:rPr>
        <w:t>الوافي</w:t>
      </w:r>
      <w:r w:rsidRPr="00132E65">
        <w:rPr>
          <w:rtl/>
        </w:rPr>
        <w:t xml:space="preserve"> ، ج 3 ، ص 684 ، ح 1287 ؛ </w:t>
      </w:r>
      <w:r w:rsidRPr="00A92724">
        <w:rPr>
          <w:rtl/>
        </w:rPr>
        <w:t>البحار</w:t>
      </w:r>
      <w:r w:rsidRPr="00132E65">
        <w:rPr>
          <w:rtl/>
        </w:rPr>
        <w:t xml:space="preserve"> ، ج 61 ، ص 44 ، ح 21.</w:t>
      </w:r>
    </w:p>
    <w:p w:rsidR="000C39D1" w:rsidRPr="00132E65" w:rsidRDefault="000C39D1" w:rsidP="000C39D1">
      <w:pPr>
        <w:pStyle w:val="libFootnote0"/>
        <w:rPr>
          <w:rtl/>
          <w:lang w:bidi="fa-IR"/>
        </w:rPr>
      </w:pPr>
      <w:r>
        <w:rPr>
          <w:rtl/>
        </w:rPr>
        <w:t>(6).</w:t>
      </w:r>
      <w:r w:rsidRPr="00132E65">
        <w:rPr>
          <w:rtl/>
        </w:rPr>
        <w:t xml:space="preserve"> في « بس » : « خلقتنا »</w:t>
      </w:r>
      <w:r>
        <w:rPr>
          <w:rtl/>
        </w:rPr>
        <w:t>.</w:t>
      </w:r>
    </w:p>
    <w:p w:rsidR="000C39D1" w:rsidRPr="00132E65" w:rsidRDefault="000C39D1" w:rsidP="0098681B">
      <w:pPr>
        <w:pStyle w:val="libFootnote0"/>
        <w:rPr>
          <w:rtl/>
          <w:lang w:bidi="fa-IR"/>
        </w:rPr>
      </w:pPr>
      <w:r>
        <w:rPr>
          <w:rtl/>
        </w:rPr>
        <w:t>(7).</w:t>
      </w:r>
      <w:r w:rsidRPr="00132E65">
        <w:rPr>
          <w:rtl/>
        </w:rPr>
        <w:t xml:space="preserve"> « الطِينَةُ » : قطعة من الطين يختم بها الصَكُّ ونحوُه. والطينة أيضاً : الخِلْقَة والجِبِلَّةُ والأصل. راجع : </w:t>
      </w:r>
      <w:r w:rsidRPr="009D1ACE">
        <w:rPr>
          <w:rStyle w:val="libFootnoteBoldChar"/>
          <w:rtl/>
        </w:rPr>
        <w:t>لسان العرب</w:t>
      </w:r>
      <w:r w:rsidRPr="00132E65">
        <w:rPr>
          <w:rtl/>
        </w:rPr>
        <w:t xml:space="preserve"> ، ج 13 ، ص 270 ( طين )</w:t>
      </w:r>
      <w:r>
        <w:rPr>
          <w:rtl/>
        </w:rPr>
        <w:t>.</w:t>
      </w:r>
      <w:r w:rsidR="0098681B">
        <w:rPr>
          <w:rFonts w:hint="cs"/>
          <w:rtl/>
        </w:rPr>
        <w:t xml:space="preserve">                                    </w:t>
      </w:r>
      <w:r>
        <w:rPr>
          <w:rtl/>
        </w:rPr>
        <w:t>(8).</w:t>
      </w:r>
      <w:r w:rsidRPr="00132E65">
        <w:rPr>
          <w:rtl/>
        </w:rPr>
        <w:t xml:space="preserve"> في البحار </w:t>
      </w:r>
      <w:r>
        <w:rPr>
          <w:rtl/>
        </w:rPr>
        <w:t xml:space="preserve">: - </w:t>
      </w:r>
      <w:r w:rsidRPr="00132E65">
        <w:rPr>
          <w:rtl/>
        </w:rPr>
        <w:t>« من تحت العرش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فَكُنَّا </w:t>
      </w:r>
      <w:r>
        <w:rPr>
          <w:rStyle w:val="libFootnotenumChar"/>
          <w:rtl/>
        </w:rPr>
        <w:t>(1)</w:t>
      </w:r>
      <w:r w:rsidRPr="00132E65">
        <w:rPr>
          <w:rtl/>
          <w:lang w:bidi="fa-IR"/>
        </w:rPr>
        <w:t xml:space="preserve"> نَحْنُ </w:t>
      </w:r>
      <w:r>
        <w:rPr>
          <w:rStyle w:val="libFootnotenumChar"/>
          <w:rtl/>
        </w:rPr>
        <w:t>(2)</w:t>
      </w:r>
      <w:r w:rsidRPr="00132E65">
        <w:rPr>
          <w:rtl/>
          <w:lang w:bidi="fa-IR"/>
        </w:rPr>
        <w:t xml:space="preserve"> خَلْقاً وبَشَراً نُورَانِيِّينَ ، لَمْ </w:t>
      </w:r>
      <w:r>
        <w:rPr>
          <w:rStyle w:val="libFootnotenumChar"/>
          <w:rtl/>
        </w:rPr>
        <w:t>(3)</w:t>
      </w:r>
      <w:r w:rsidRPr="00132E65">
        <w:rPr>
          <w:rtl/>
          <w:lang w:bidi="fa-IR"/>
        </w:rPr>
        <w:t xml:space="preserve"> يَجْعَلْ </w:t>
      </w:r>
      <w:r>
        <w:rPr>
          <w:rStyle w:val="libFootnotenumChar"/>
          <w:rtl/>
        </w:rPr>
        <w:t>(4)</w:t>
      </w:r>
      <w:r w:rsidRPr="00132E65">
        <w:rPr>
          <w:rtl/>
          <w:lang w:bidi="fa-IR"/>
        </w:rPr>
        <w:t xml:space="preserve"> لِأَحَدٍ فِي مِثْلِ الَّذِي خَلَقَنَا مِنْهُ </w:t>
      </w:r>
      <w:r>
        <w:rPr>
          <w:rStyle w:val="libFootnotenumChar"/>
          <w:rtl/>
        </w:rPr>
        <w:t>(5)</w:t>
      </w:r>
      <w:r w:rsidRPr="00132E65">
        <w:rPr>
          <w:rtl/>
          <w:lang w:bidi="fa-IR"/>
        </w:rPr>
        <w:t xml:space="preserve"> نَصِيباً </w:t>
      </w:r>
      <w:r>
        <w:rPr>
          <w:rStyle w:val="libFootnotenumChar"/>
          <w:rtl/>
        </w:rPr>
        <w:t>(6)</w:t>
      </w:r>
      <w:r w:rsidRPr="00132E65">
        <w:rPr>
          <w:rtl/>
          <w:lang w:bidi="fa-IR"/>
        </w:rPr>
        <w:t xml:space="preserve"> ، وخَلَقَ أَرْوَاحَ شِيعَتِنَا مِنْ طِينَتِنَا </w:t>
      </w:r>
      <w:r>
        <w:rPr>
          <w:rStyle w:val="libFootnotenumChar"/>
          <w:rtl/>
        </w:rPr>
        <w:t>(7)</w:t>
      </w:r>
      <w:r w:rsidRPr="00132E65">
        <w:rPr>
          <w:rtl/>
          <w:lang w:bidi="fa-IR"/>
        </w:rPr>
        <w:t xml:space="preserve"> ، وأَبْدَانَهُمْ مِنْ طِينَةٍ مَخْزُونَةٍ مَكْنُونَةٍ أَسْفَلَ مِنْ تِلْكَ </w:t>
      </w:r>
      <w:r>
        <w:rPr>
          <w:rStyle w:val="libFootnotenumChar"/>
          <w:rtl/>
        </w:rPr>
        <w:t>(8)</w:t>
      </w:r>
      <w:r w:rsidRPr="00132E65">
        <w:rPr>
          <w:rtl/>
          <w:lang w:bidi="fa-IR"/>
        </w:rPr>
        <w:t xml:space="preserve"> الطِّينَةِ ، ولَمْ يَجْعَلِ اللهُ لِأَحَدٍ فِي مِثْلِ الَّذِي خَلَقَهُمْ مِنْهُ نَصِيباً </w:t>
      </w:r>
      <w:r>
        <w:rPr>
          <w:rStyle w:val="libFootnotenumChar"/>
          <w:rtl/>
        </w:rPr>
        <w:t>(9)</w:t>
      </w:r>
      <w:r w:rsidR="0098681B">
        <w:rPr>
          <w:rtl/>
          <w:lang w:bidi="fa-IR"/>
        </w:rPr>
        <w:t xml:space="preserve"> إِل</w:t>
      </w:r>
      <w:r w:rsidR="0098681B">
        <w:rPr>
          <w:rFonts w:hint="cs"/>
          <w:rtl/>
          <w:lang w:bidi="fa-IR"/>
        </w:rPr>
        <w:t>َّ</w:t>
      </w:r>
      <w:r w:rsidR="0098681B">
        <w:rPr>
          <w:rtl/>
          <w:lang w:bidi="fa-IR"/>
        </w:rPr>
        <w:t>ا</w:t>
      </w:r>
      <w:r w:rsidRPr="00132E65">
        <w:rPr>
          <w:rtl/>
          <w:lang w:bidi="fa-IR"/>
        </w:rPr>
        <w:t xml:space="preserve"> لِلْأَنْبِيَاءِ ، وَلِذلِكَ </w:t>
      </w:r>
      <w:r>
        <w:rPr>
          <w:rStyle w:val="libFootnotenumChar"/>
          <w:rtl/>
        </w:rPr>
        <w:t>(10)</w:t>
      </w:r>
      <w:r w:rsidRPr="00132E65">
        <w:rPr>
          <w:rtl/>
          <w:lang w:bidi="fa-IR"/>
        </w:rPr>
        <w:t xml:space="preserve"> صِرْنَا نَحْنُ وهُمُ النَّاسَ ، وصَارَ </w:t>
      </w:r>
      <w:r>
        <w:rPr>
          <w:rStyle w:val="libFootnotenumChar"/>
          <w:rtl/>
        </w:rPr>
        <w:t>(11)</w:t>
      </w:r>
      <w:r w:rsidRPr="00132E65">
        <w:rPr>
          <w:rtl/>
          <w:lang w:bidi="fa-IR"/>
        </w:rPr>
        <w:t xml:space="preserve"> سَائِرُ </w:t>
      </w:r>
      <w:r>
        <w:rPr>
          <w:rStyle w:val="libFootnotenumChar"/>
          <w:rtl/>
        </w:rPr>
        <w:t>(12)</w:t>
      </w:r>
      <w:r w:rsidRPr="00132E65">
        <w:rPr>
          <w:rtl/>
          <w:lang w:bidi="fa-IR"/>
        </w:rPr>
        <w:t xml:space="preserve"> النَّاسِ هَمَجاً </w:t>
      </w:r>
      <w:r w:rsidRPr="00F543F1">
        <w:rPr>
          <w:rStyle w:val="libFootnotenumChar"/>
          <w:rtl/>
        </w:rPr>
        <w:t>(13)</w:t>
      </w:r>
      <w:r w:rsidRPr="00132E65">
        <w:rPr>
          <w:rtl/>
          <w:lang w:bidi="fa-IR"/>
        </w:rPr>
        <w:t xml:space="preserve"> لِلنَّارِ وإِلَى النَّارِ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Default="000C39D1" w:rsidP="000C39D1">
      <w:pPr>
        <w:pStyle w:val="libNormal"/>
        <w:rPr>
          <w:rtl/>
          <w:lang w:bidi="fa-IR"/>
        </w:rPr>
      </w:pPr>
      <w:r w:rsidRPr="00A92724">
        <w:rPr>
          <w:rtl/>
        </w:rPr>
        <w:t>1016</w:t>
      </w:r>
      <w:r w:rsidRPr="004325D8">
        <w:rPr>
          <w:rStyle w:val="libBold2Char"/>
          <w:rtl/>
        </w:rPr>
        <w:t xml:space="preserve"> / 3.</w:t>
      </w:r>
      <w:r w:rsidRPr="00132E65">
        <w:rPr>
          <w:rtl/>
          <w:lang w:bidi="fa-IR"/>
        </w:rPr>
        <w:t xml:space="preserve"> عَلِيُّ بْنُ إِبْرَاهِيمَ ، عَنْ عَلِيِّ بْنِ حَسَّانَ ؛</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sidRPr="00F543F1">
        <w:rPr>
          <w:rStyle w:val="libFootnotenumChar"/>
          <w:rtl/>
        </w:rPr>
        <w:t>(15)</w:t>
      </w:r>
      <w:r w:rsidRPr="00132E65">
        <w:rPr>
          <w:rtl/>
          <w:lang w:bidi="fa-IR"/>
        </w:rPr>
        <w:t xml:space="preserve"> مُحَمَّدُ بْنُ يَحْيى ، عَنْ سَلَمَةَ بْنِ الْخَطَّابِ وغَيْرِهِ ، عَنْ عَلِيِّ بْنِ حَسَّانَ ، عَنْ عَلِيِّ بْنِ عَطِيَّةَ ، عَنْ عَلِيِّ بْنِ رِئَابٍ رَفَعَهُ إِلى أَمِيرِ الْمُؤْمِنِينَ </w:t>
      </w:r>
      <w:r w:rsidRPr="00071CF9">
        <w:rPr>
          <w:rStyle w:val="libAlaemChar"/>
          <w:rtl/>
        </w:rPr>
        <w:t>عليه‌السلام</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قَالَ أَمِيرُ الْمُؤْمِنِينَ </w:t>
      </w:r>
      <w:r w:rsidRPr="00071CF9">
        <w:rPr>
          <w:rStyle w:val="libAlaemChar"/>
          <w:rtl/>
        </w:rPr>
        <w:t>عليه‌السلام</w:t>
      </w:r>
      <w:r w:rsidRPr="00132E65">
        <w:rPr>
          <w:rtl/>
          <w:lang w:bidi="fa-IR"/>
        </w:rPr>
        <w:t xml:space="preserve"> : « إِنَّ لِلّهِ نَهَراً </w:t>
      </w:r>
      <w:r w:rsidRPr="00F543F1">
        <w:rPr>
          <w:rStyle w:val="libFootnotenumChar"/>
          <w:rtl/>
        </w:rPr>
        <w:t>(16)</w:t>
      </w:r>
      <w:r w:rsidRPr="00132E65">
        <w:rPr>
          <w:rtl/>
          <w:lang w:bidi="fa-IR"/>
        </w:rPr>
        <w:t xml:space="preserve"> دُونَ عَرْشِهِ ، ودُونَ النَّهَرِ الَّذِي دُونَ عَرْشِهِ‌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ض ، بح ، بس ، بف » وشرح المازندراني : « فكذا »</w:t>
      </w:r>
      <w:r>
        <w:rPr>
          <w:rtl/>
        </w:rPr>
        <w:t>.</w:t>
      </w:r>
    </w:p>
    <w:tbl>
      <w:tblPr>
        <w:tblStyle w:val="TableGrid"/>
        <w:bidiVisual/>
        <w:tblW w:w="0" w:type="auto"/>
        <w:tblLook w:val="04A0" w:firstRow="1" w:lastRow="0" w:firstColumn="1" w:lastColumn="0" w:noHBand="0" w:noVBand="1"/>
      </w:tblPr>
      <w:tblGrid>
        <w:gridCol w:w="4006"/>
        <w:gridCol w:w="4006"/>
      </w:tblGrid>
      <w:tr w:rsidR="0098681B" w:rsidTr="0098681B">
        <w:tc>
          <w:tcPr>
            <w:tcW w:w="4006" w:type="dxa"/>
          </w:tcPr>
          <w:p w:rsidR="0098681B" w:rsidRDefault="0098681B" w:rsidP="000C39D1">
            <w:pPr>
              <w:pStyle w:val="libFootnote0"/>
              <w:rPr>
                <w:rtl/>
              </w:rPr>
            </w:pPr>
            <w:r>
              <w:rPr>
                <w:rtl/>
              </w:rPr>
              <w:t>(2).</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نحن »</w:t>
            </w:r>
            <w:r>
              <w:rPr>
                <w:rtl/>
              </w:rPr>
              <w:t>.</w:t>
            </w:r>
          </w:p>
        </w:tc>
        <w:tc>
          <w:tcPr>
            <w:tcW w:w="4006" w:type="dxa"/>
          </w:tcPr>
          <w:p w:rsidR="0098681B" w:rsidRDefault="0098681B" w:rsidP="000C39D1">
            <w:pPr>
              <w:pStyle w:val="libFootnote0"/>
              <w:rPr>
                <w:rtl/>
              </w:rPr>
            </w:pPr>
            <w:r>
              <w:rPr>
                <w:rtl/>
              </w:rPr>
              <w:t>(3).</w:t>
            </w:r>
            <w:r w:rsidRPr="00132E65">
              <w:rPr>
                <w:rtl/>
              </w:rPr>
              <w:t xml:space="preserve"> في « ج » : « ولم »</w:t>
            </w:r>
            <w:r>
              <w:rPr>
                <w:rtl/>
              </w:rPr>
              <w:t>.</w:t>
            </w:r>
          </w:p>
        </w:tc>
      </w:tr>
      <w:tr w:rsidR="0098681B" w:rsidTr="0098681B">
        <w:tc>
          <w:tcPr>
            <w:tcW w:w="4006" w:type="dxa"/>
          </w:tcPr>
          <w:p w:rsidR="0098681B" w:rsidRDefault="0098681B" w:rsidP="000C39D1">
            <w:pPr>
              <w:pStyle w:val="libFootnote0"/>
              <w:rPr>
                <w:rtl/>
              </w:rPr>
            </w:pPr>
            <w:r>
              <w:rPr>
                <w:rtl/>
              </w:rPr>
              <w:t>(4).</w:t>
            </w:r>
            <w:r w:rsidRPr="00132E65">
              <w:rPr>
                <w:rtl/>
              </w:rPr>
              <w:t xml:space="preserve"> في « ف » وحاشية « ج » :</w:t>
            </w:r>
            <w:r>
              <w:rPr>
                <w:rtl/>
              </w:rPr>
              <w:t xml:space="preserve"> + </w:t>
            </w:r>
            <w:r w:rsidRPr="00132E65">
              <w:rPr>
                <w:rtl/>
              </w:rPr>
              <w:t>« الله »</w:t>
            </w:r>
            <w:r>
              <w:rPr>
                <w:rtl/>
              </w:rPr>
              <w:t>.</w:t>
            </w:r>
          </w:p>
        </w:tc>
        <w:tc>
          <w:tcPr>
            <w:tcW w:w="4006" w:type="dxa"/>
          </w:tcPr>
          <w:p w:rsidR="0098681B" w:rsidRDefault="0098681B" w:rsidP="000C39D1">
            <w:pPr>
              <w:pStyle w:val="libFootnote0"/>
              <w:rPr>
                <w:rtl/>
              </w:rPr>
            </w:pPr>
            <w:r>
              <w:rPr>
                <w:rtl/>
              </w:rPr>
              <w:t>(5).</w:t>
            </w:r>
            <w:r w:rsidRPr="00132E65">
              <w:rPr>
                <w:rtl/>
              </w:rPr>
              <w:t xml:space="preserve"> في البحار </w:t>
            </w:r>
            <w:r>
              <w:rPr>
                <w:rtl/>
              </w:rPr>
              <w:t xml:space="preserve">: - </w:t>
            </w:r>
            <w:r w:rsidRPr="00132E65">
              <w:rPr>
                <w:rtl/>
              </w:rPr>
              <w:t>« منه »</w:t>
            </w:r>
            <w:r>
              <w:rPr>
                <w:rtl/>
              </w:rPr>
              <w:t>.</w:t>
            </w:r>
          </w:p>
        </w:tc>
      </w:tr>
    </w:tbl>
    <w:p w:rsidR="000C39D1" w:rsidRPr="00132E65" w:rsidRDefault="000C39D1" w:rsidP="00BA477D">
      <w:pPr>
        <w:pStyle w:val="libFootnote0"/>
        <w:rPr>
          <w:rtl/>
          <w:lang w:bidi="fa-IR"/>
        </w:rPr>
      </w:pPr>
      <w:r>
        <w:rPr>
          <w:rtl/>
        </w:rPr>
        <w:t>(6).</w:t>
      </w:r>
      <w:r w:rsidRPr="00132E65">
        <w:rPr>
          <w:rtl/>
        </w:rPr>
        <w:t xml:space="preserve"> في « ب ، ج ، ض ، ف ، بح ، بر ، بس ، بف » : « نصيب »</w:t>
      </w:r>
      <w:r>
        <w:rPr>
          <w:rtl/>
        </w:rPr>
        <w:t>.</w:t>
      </w:r>
      <w:r w:rsidRPr="00132E65">
        <w:rPr>
          <w:rtl/>
        </w:rPr>
        <w:t xml:space="preserve"> وهو يقتضي كون قوله : « لم يجعل » مجهولاً كما في « بح ، بر »</w:t>
      </w:r>
      <w:r>
        <w:rPr>
          <w:rtl/>
        </w:rPr>
        <w:t>.</w:t>
      </w:r>
      <w:r w:rsidR="00BA477D">
        <w:rPr>
          <w:rFonts w:hint="cs"/>
          <w:rtl/>
        </w:rPr>
        <w:t xml:space="preserve">                              </w:t>
      </w:r>
      <w:r>
        <w:rPr>
          <w:rtl/>
        </w:rPr>
        <w:t>(7).</w:t>
      </w:r>
      <w:r w:rsidRPr="00132E65">
        <w:rPr>
          <w:rtl/>
        </w:rPr>
        <w:t xml:space="preserve"> في « ب » : « طيننا »</w:t>
      </w:r>
      <w:r>
        <w:rPr>
          <w:rtl/>
        </w:rPr>
        <w:t>.</w:t>
      </w:r>
    </w:p>
    <w:p w:rsidR="000C39D1" w:rsidRPr="00132E65" w:rsidRDefault="000C39D1" w:rsidP="000C39D1">
      <w:pPr>
        <w:pStyle w:val="libFootnote0"/>
        <w:rPr>
          <w:rtl/>
          <w:lang w:bidi="fa-IR"/>
        </w:rPr>
      </w:pPr>
      <w:r>
        <w:rPr>
          <w:rtl/>
        </w:rPr>
        <w:t>(8).</w:t>
      </w:r>
      <w:r w:rsidRPr="00132E65">
        <w:rPr>
          <w:rtl/>
        </w:rPr>
        <w:t xml:space="preserve"> هكذا في « ف » وهو الأنسب. وفي المطبوع وسائر النسخ : « ذلك »</w:t>
      </w:r>
      <w:r>
        <w:rPr>
          <w:rtl/>
        </w:rPr>
        <w:t>.</w:t>
      </w:r>
    </w:p>
    <w:tbl>
      <w:tblPr>
        <w:tblStyle w:val="TableGrid"/>
        <w:bidiVisual/>
        <w:tblW w:w="0" w:type="auto"/>
        <w:tblLook w:val="04A0" w:firstRow="1" w:lastRow="0" w:firstColumn="1" w:lastColumn="0" w:noHBand="0" w:noVBand="1"/>
      </w:tblPr>
      <w:tblGrid>
        <w:gridCol w:w="4006"/>
        <w:gridCol w:w="4006"/>
      </w:tblGrid>
      <w:tr w:rsidR="00BA477D" w:rsidTr="00BA477D">
        <w:tc>
          <w:tcPr>
            <w:tcW w:w="4006" w:type="dxa"/>
          </w:tcPr>
          <w:p w:rsidR="00BA477D" w:rsidRDefault="00BA477D" w:rsidP="000C39D1">
            <w:pPr>
              <w:pStyle w:val="libFootnote0"/>
              <w:rPr>
                <w:rtl/>
              </w:rPr>
            </w:pPr>
            <w:r>
              <w:rPr>
                <w:rtl/>
              </w:rPr>
              <w:t>(9). في«ب،</w:t>
            </w:r>
            <w:r>
              <w:rPr>
                <w:rFonts w:hint="cs"/>
                <w:rtl/>
              </w:rPr>
              <w:t xml:space="preserve"> </w:t>
            </w:r>
            <w:r>
              <w:rPr>
                <w:rtl/>
              </w:rPr>
              <w:t>ج،</w:t>
            </w:r>
            <w:r>
              <w:rPr>
                <w:rFonts w:hint="cs"/>
                <w:rtl/>
              </w:rPr>
              <w:t xml:space="preserve"> </w:t>
            </w:r>
            <w:r>
              <w:rPr>
                <w:rtl/>
              </w:rPr>
              <w:t>ض،</w:t>
            </w:r>
            <w:r>
              <w:rPr>
                <w:rFonts w:hint="cs"/>
                <w:rtl/>
              </w:rPr>
              <w:t xml:space="preserve"> </w:t>
            </w:r>
            <w:r>
              <w:rPr>
                <w:rtl/>
              </w:rPr>
              <w:t>بح،</w:t>
            </w:r>
            <w:r>
              <w:rPr>
                <w:rFonts w:hint="cs"/>
                <w:rtl/>
              </w:rPr>
              <w:t xml:space="preserve"> </w:t>
            </w:r>
            <w:r>
              <w:rPr>
                <w:rtl/>
              </w:rPr>
              <w:t>بس، بف</w:t>
            </w:r>
            <w:r w:rsidRPr="00132E65">
              <w:rPr>
                <w:rtl/>
              </w:rPr>
              <w:t>» : « نصيب »</w:t>
            </w:r>
            <w:r>
              <w:rPr>
                <w:rtl/>
              </w:rPr>
              <w:t>.</w:t>
            </w:r>
          </w:p>
        </w:tc>
        <w:tc>
          <w:tcPr>
            <w:tcW w:w="4006" w:type="dxa"/>
          </w:tcPr>
          <w:p w:rsidR="00BA477D" w:rsidRDefault="00BA477D" w:rsidP="000C39D1">
            <w:pPr>
              <w:pStyle w:val="libFootnote0"/>
              <w:rPr>
                <w:rtl/>
              </w:rPr>
            </w:pPr>
            <w:r>
              <w:rPr>
                <w:rtl/>
              </w:rPr>
              <w:t>(10).</w:t>
            </w:r>
            <w:r w:rsidRPr="00132E65">
              <w:rPr>
                <w:rtl/>
              </w:rPr>
              <w:t xml:space="preserve"> في « ف » والبحار : « فلذلك »</w:t>
            </w:r>
            <w:r>
              <w:rPr>
                <w:rtl/>
              </w:rPr>
              <w:t>.</w:t>
            </w:r>
          </w:p>
        </w:tc>
      </w:tr>
      <w:tr w:rsidR="00BA477D" w:rsidTr="00BA477D">
        <w:tc>
          <w:tcPr>
            <w:tcW w:w="4006" w:type="dxa"/>
          </w:tcPr>
          <w:p w:rsidR="00BA477D" w:rsidRDefault="00BA477D" w:rsidP="000C39D1">
            <w:pPr>
              <w:pStyle w:val="libFootnote0"/>
              <w:rPr>
                <w:rtl/>
              </w:rPr>
            </w:pPr>
            <w:r>
              <w:rPr>
                <w:rtl/>
              </w:rPr>
              <w:t>(11).</w:t>
            </w:r>
            <w:r w:rsidRPr="00132E65">
              <w:rPr>
                <w:rtl/>
              </w:rPr>
              <w:t xml:space="preserve"> في البحار </w:t>
            </w:r>
            <w:r>
              <w:rPr>
                <w:rtl/>
              </w:rPr>
              <w:t xml:space="preserve">: - </w:t>
            </w:r>
            <w:r w:rsidRPr="00132E65">
              <w:rPr>
                <w:rtl/>
              </w:rPr>
              <w:t>« صار »</w:t>
            </w:r>
            <w:r>
              <w:rPr>
                <w:rtl/>
              </w:rPr>
              <w:t>.</w:t>
            </w:r>
          </w:p>
        </w:tc>
        <w:tc>
          <w:tcPr>
            <w:tcW w:w="4006" w:type="dxa"/>
          </w:tcPr>
          <w:p w:rsidR="00BA477D" w:rsidRDefault="00BA477D" w:rsidP="000C39D1">
            <w:pPr>
              <w:pStyle w:val="libFootnote0"/>
              <w:rPr>
                <w:rtl/>
              </w:rPr>
            </w:pPr>
            <w:r>
              <w:rPr>
                <w:rtl/>
              </w:rPr>
              <w:t>(12). في حاشية «</w:t>
            </w:r>
            <w:r w:rsidR="00DA29A6">
              <w:rPr>
                <w:rtl/>
              </w:rPr>
              <w:t>بس» وحاشية بدرالدين</w:t>
            </w:r>
            <w:r w:rsidRPr="00132E65">
              <w:rPr>
                <w:rtl/>
              </w:rPr>
              <w:t>: « جميع »</w:t>
            </w:r>
            <w:r>
              <w:rPr>
                <w:rtl/>
              </w:rPr>
              <w:t>.</w:t>
            </w:r>
          </w:p>
        </w:tc>
      </w:tr>
    </w:tbl>
    <w:p w:rsidR="000C39D1" w:rsidRPr="00132E65" w:rsidRDefault="000C39D1" w:rsidP="000C39D1">
      <w:pPr>
        <w:pStyle w:val="libFootnote0"/>
        <w:rPr>
          <w:rtl/>
          <w:lang w:bidi="fa-IR"/>
        </w:rPr>
      </w:pPr>
      <w:r>
        <w:rPr>
          <w:rtl/>
        </w:rPr>
        <w:t>(13)</w:t>
      </w:r>
      <w:r w:rsidRPr="00132E65">
        <w:rPr>
          <w:rtl/>
        </w:rPr>
        <w:t xml:space="preserve"> هكذا في « ض ، ف ، بس » وحاشية « ض ، بح ، بر » و</w:t>
      </w:r>
      <w:r w:rsidRPr="009D1ACE">
        <w:rPr>
          <w:rStyle w:val="libFootnoteBoldChar"/>
          <w:rtl/>
        </w:rPr>
        <w:t>الوافي</w:t>
      </w:r>
      <w:r w:rsidRPr="00132E65">
        <w:rPr>
          <w:rtl/>
        </w:rPr>
        <w:t xml:space="preserve"> والبصائر. وفي سائر النسخ والمطبوع : « همجٌ »</w:t>
      </w:r>
      <w:r>
        <w:rPr>
          <w:rtl/>
        </w:rPr>
        <w:t>.</w:t>
      </w:r>
      <w:r w:rsidRPr="00132E65">
        <w:rPr>
          <w:rtl/>
        </w:rPr>
        <w:t xml:space="preserve"> ولكلّ منهما وجه ؛ فإذا كانت الكلمة بدلاً عن « سائر » فهي مرفوعة ، وقوله : « للنار » خبر</w:t>
      </w:r>
      <w:r w:rsidR="008675A4">
        <w:rPr>
          <w:rtl/>
        </w:rPr>
        <w:t xml:space="preserve"> ل</w:t>
      </w:r>
      <w:r w:rsidR="008675A4">
        <w:rPr>
          <w:rFonts w:hint="cs"/>
          <w:rtl/>
        </w:rPr>
        <w:t>ـ</w:t>
      </w:r>
      <w:r>
        <w:rPr>
          <w:rtl/>
        </w:rPr>
        <w:t xml:space="preserve"> «</w:t>
      </w:r>
      <w:r w:rsidRPr="00132E65">
        <w:rPr>
          <w:rtl/>
        </w:rPr>
        <w:t xml:space="preserve"> صار »</w:t>
      </w:r>
      <w:r>
        <w:rPr>
          <w:rtl/>
        </w:rPr>
        <w:t>.</w:t>
      </w:r>
      <w:r w:rsidRPr="00132E65">
        <w:rPr>
          <w:rtl/>
        </w:rPr>
        <w:t xml:space="preserve"> وإذا كانت خبراً</w:t>
      </w:r>
      <w:r w:rsidR="008675A4">
        <w:rPr>
          <w:rtl/>
        </w:rPr>
        <w:t xml:space="preserve"> ل</w:t>
      </w:r>
      <w:r w:rsidR="008675A4">
        <w:rPr>
          <w:rFonts w:hint="cs"/>
          <w:rtl/>
        </w:rPr>
        <w:t>ـ</w:t>
      </w:r>
      <w:r>
        <w:rPr>
          <w:rtl/>
        </w:rPr>
        <w:t xml:space="preserve"> «</w:t>
      </w:r>
      <w:r w:rsidRPr="00132E65">
        <w:rPr>
          <w:rtl/>
        </w:rPr>
        <w:t xml:space="preserve"> صار » فهي منصوبة ، وقوله : « للنار » خبر ثان. وفي </w:t>
      </w:r>
      <w:r w:rsidRPr="00A92724">
        <w:rPr>
          <w:rtl/>
        </w:rPr>
        <w:t>شرح المازندراني</w:t>
      </w:r>
      <w:r w:rsidRPr="00132E65">
        <w:rPr>
          <w:rtl/>
        </w:rPr>
        <w:t xml:space="preserve"> ، ج 6 ، ص 371 : « قوله : « للنار وإلى النار » إمّا صفة</w:t>
      </w:r>
      <w:r w:rsidR="008675A4">
        <w:rPr>
          <w:rtl/>
        </w:rPr>
        <w:t xml:space="preserve"> ل</w:t>
      </w:r>
      <w:r w:rsidR="008675A4">
        <w:rPr>
          <w:rFonts w:hint="cs"/>
          <w:rtl/>
        </w:rPr>
        <w:t>ـ</w:t>
      </w:r>
      <w:r>
        <w:rPr>
          <w:rtl/>
        </w:rPr>
        <w:t xml:space="preserve"> «</w:t>
      </w:r>
      <w:r w:rsidRPr="00132E65">
        <w:rPr>
          <w:rtl/>
        </w:rPr>
        <w:t xml:space="preserve"> همج » أو خبر ثان وثالث »</w:t>
      </w:r>
      <w:r>
        <w:rPr>
          <w:rtl/>
        </w:rPr>
        <w:t>.</w:t>
      </w:r>
      <w:r w:rsidRPr="00132E65">
        <w:rPr>
          <w:rtl/>
        </w:rPr>
        <w:t xml:space="preserve"> وفي </w:t>
      </w:r>
      <w:r w:rsidRPr="009D1ACE">
        <w:rPr>
          <w:rStyle w:val="libFootnoteBoldChar"/>
          <w:rtl/>
        </w:rPr>
        <w:t>مرآة العقول</w:t>
      </w:r>
      <w:r w:rsidRPr="00132E65">
        <w:rPr>
          <w:rtl/>
        </w:rPr>
        <w:t xml:space="preserve"> ، ج 4 ، ص 273 : « وفي أكثر نسخ الكتاب : همج ، بتقدير ضمير الشأن. وفي البصائر وفي بعض نسخ الكتاب : همجاً ، وهو أصوب »</w:t>
      </w:r>
      <w:r>
        <w:rPr>
          <w:rtl/>
        </w:rPr>
        <w:t>.</w:t>
      </w:r>
    </w:p>
    <w:p w:rsidR="000C39D1" w:rsidRPr="00132E65" w:rsidRDefault="000C39D1" w:rsidP="000C39D1">
      <w:pPr>
        <w:pStyle w:val="libFootnote0"/>
        <w:rPr>
          <w:rtl/>
          <w:lang w:bidi="fa-IR"/>
        </w:rPr>
      </w:pPr>
      <w:r>
        <w:rPr>
          <w:rtl/>
        </w:rPr>
        <w:t>و «</w:t>
      </w:r>
      <w:r w:rsidRPr="0046781C">
        <w:rPr>
          <w:rtl/>
        </w:rPr>
        <w:t xml:space="preserve"> الهَمَج » : رُذالة الناس. </w:t>
      </w:r>
      <w:r w:rsidRPr="00A92724">
        <w:rPr>
          <w:rtl/>
        </w:rPr>
        <w:t>النهاية</w:t>
      </w:r>
      <w:r w:rsidRPr="0046781C">
        <w:rPr>
          <w:rtl/>
        </w:rPr>
        <w:t xml:space="preserve"> ، ج 5 ، ص 273 ( همج )</w:t>
      </w:r>
      <w:r>
        <w:rPr>
          <w:rtl/>
        </w:rPr>
        <w:t>.</w:t>
      </w:r>
    </w:p>
    <w:p w:rsidR="000C39D1" w:rsidRPr="00132E65" w:rsidRDefault="000C39D1" w:rsidP="008675A4">
      <w:pPr>
        <w:pStyle w:val="libFootnote0"/>
        <w:rPr>
          <w:rtl/>
          <w:lang w:bidi="fa-IR"/>
        </w:rPr>
      </w:pPr>
      <w:r>
        <w:rPr>
          <w:rtl/>
        </w:rPr>
        <w:t>(14)</w:t>
      </w:r>
      <w:r w:rsidRPr="00132E65">
        <w:rPr>
          <w:rtl/>
        </w:rPr>
        <w:t xml:space="preserve"> </w:t>
      </w:r>
      <w:r w:rsidRPr="007A1104">
        <w:rPr>
          <w:rStyle w:val="libFootnoteBoldChar"/>
          <w:rtl/>
        </w:rPr>
        <w:t>بصائر الدرجات</w:t>
      </w:r>
      <w:r w:rsidRPr="00132E65">
        <w:rPr>
          <w:rtl/>
        </w:rPr>
        <w:t xml:space="preserve"> ، ص 20 ، ح 3 ، عن محمّد بن عيسى</w:t>
      </w:r>
      <w:r w:rsidR="008675A4">
        <w:rPr>
          <w:rFonts w:hint="cs"/>
          <w:rtl/>
        </w:rPr>
        <w:t>.</w:t>
      </w:r>
      <w:r w:rsidRPr="009D1ACE">
        <w:rPr>
          <w:rStyle w:val="libFootnoteBoldChar"/>
          <w:rtl/>
        </w:rPr>
        <w:t>الوافي</w:t>
      </w:r>
      <w:r w:rsidRPr="00132E65">
        <w:rPr>
          <w:rtl/>
        </w:rPr>
        <w:t xml:space="preserve"> ، ج 3 ، ص 684 ، ح 1288 ؛ </w:t>
      </w:r>
      <w:r w:rsidRPr="00A92724">
        <w:rPr>
          <w:rtl/>
        </w:rPr>
        <w:t>البحار</w:t>
      </w:r>
      <w:r w:rsidRPr="00132E65">
        <w:rPr>
          <w:rtl/>
        </w:rPr>
        <w:t xml:space="preserve"> ، ج 61 ، ص 45 ، ح 22.</w:t>
      </w:r>
    </w:p>
    <w:p w:rsidR="000C39D1" w:rsidRPr="00132E65" w:rsidRDefault="000C39D1" w:rsidP="008675A4">
      <w:pPr>
        <w:pStyle w:val="libFootnote0"/>
        <w:rPr>
          <w:rtl/>
          <w:lang w:bidi="fa-IR"/>
        </w:rPr>
      </w:pPr>
      <w:r>
        <w:rPr>
          <w:rtl/>
        </w:rPr>
        <w:t>(15)</w:t>
      </w:r>
      <w:r w:rsidRPr="00132E65">
        <w:rPr>
          <w:rtl/>
        </w:rPr>
        <w:t xml:space="preserve"> في السند تحويل بعطف « محمّد بن يحيى عن سلمة بن الخطّاب وغيره عن عليّ بن حسّان » على « عليّ بن‌إبراهيم عن عليّ بن حسّان »</w:t>
      </w:r>
      <w:r>
        <w:rPr>
          <w:rtl/>
        </w:rPr>
        <w:t>.</w:t>
      </w:r>
      <w:r w:rsidR="008675A4">
        <w:rPr>
          <w:rFonts w:hint="cs"/>
          <w:rtl/>
        </w:rPr>
        <w:t xml:space="preserve">                         </w:t>
      </w:r>
      <w:r>
        <w:rPr>
          <w:rtl/>
        </w:rPr>
        <w:t>(16)</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من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نُورٌ </w:t>
      </w:r>
      <w:r>
        <w:rPr>
          <w:rStyle w:val="libFootnotenumChar"/>
          <w:rtl/>
        </w:rPr>
        <w:t>(1)</w:t>
      </w:r>
      <w:r w:rsidRPr="00132E65">
        <w:rPr>
          <w:rtl/>
          <w:lang w:bidi="fa-IR"/>
        </w:rPr>
        <w:t xml:space="preserve"> نَوَّرَهُ ؛ وإِنَّ </w:t>
      </w:r>
      <w:r>
        <w:rPr>
          <w:rStyle w:val="libFootnotenumChar"/>
          <w:rtl/>
        </w:rPr>
        <w:t>(2)</w:t>
      </w:r>
      <w:r w:rsidRPr="00132E65">
        <w:rPr>
          <w:rtl/>
          <w:lang w:bidi="fa-IR"/>
        </w:rPr>
        <w:t xml:space="preserve"> فِي </w:t>
      </w:r>
      <w:r>
        <w:rPr>
          <w:rStyle w:val="libFootnotenumChar"/>
          <w:rtl/>
        </w:rPr>
        <w:t>(3)</w:t>
      </w:r>
      <w:r w:rsidRPr="00132E65">
        <w:rPr>
          <w:rtl/>
          <w:lang w:bidi="fa-IR"/>
        </w:rPr>
        <w:t xml:space="preserve"> حَافَتَيِ </w:t>
      </w:r>
      <w:r>
        <w:rPr>
          <w:rStyle w:val="libFootnotenumChar"/>
          <w:rtl/>
        </w:rPr>
        <w:t>(4)</w:t>
      </w:r>
      <w:r w:rsidRPr="00132E65">
        <w:rPr>
          <w:rtl/>
          <w:lang w:bidi="fa-IR"/>
        </w:rPr>
        <w:t xml:space="preserve"> النَّهَرِ رُوحَيْنِ مَخْلُوقَيْنِ : رُوحُ الْقُدُسِ ، ورُوحٌ مِنْ أَمْرِهِ ؛ وَإِنَّ لِلّهِ عَشْرَ طِينَاتٍ : خَمْسَةٌ مِنَ </w:t>
      </w:r>
      <w:r>
        <w:rPr>
          <w:rStyle w:val="libFootnotenumChar"/>
          <w:rtl/>
        </w:rPr>
        <w:t>(5)</w:t>
      </w:r>
      <w:r w:rsidRPr="00132E65">
        <w:rPr>
          <w:rtl/>
          <w:lang w:bidi="fa-IR"/>
        </w:rPr>
        <w:t xml:space="preserve"> الْجَنَّةِ </w:t>
      </w:r>
      <w:r>
        <w:rPr>
          <w:rStyle w:val="libFootnotenumChar"/>
          <w:rtl/>
        </w:rPr>
        <w:t>(6)</w:t>
      </w:r>
      <w:r w:rsidRPr="00132E65">
        <w:rPr>
          <w:rtl/>
          <w:lang w:bidi="fa-IR"/>
        </w:rPr>
        <w:t xml:space="preserve"> ، وخَمْسَةٌ مِنَ الْأَرْضِ » ، فَفَسَّرَ </w:t>
      </w:r>
      <w:r>
        <w:rPr>
          <w:rStyle w:val="libFootnotenumChar"/>
          <w:rtl/>
        </w:rPr>
        <w:t>(7)</w:t>
      </w:r>
      <w:r w:rsidRPr="00132E65">
        <w:rPr>
          <w:rtl/>
          <w:lang w:bidi="fa-IR"/>
        </w:rPr>
        <w:t xml:space="preserve"> الْجِنَانَ ، وَفَسَّرَ الْأَرْضَ.</w:t>
      </w:r>
    </w:p>
    <w:p w:rsidR="000C39D1" w:rsidRPr="00132E65" w:rsidRDefault="000C39D1" w:rsidP="000C39D1">
      <w:pPr>
        <w:pStyle w:val="libNormal"/>
        <w:rPr>
          <w:rtl/>
          <w:lang w:bidi="fa-IR"/>
        </w:rPr>
      </w:pPr>
      <w:r w:rsidRPr="00132E65">
        <w:rPr>
          <w:rtl/>
          <w:lang w:bidi="fa-IR"/>
        </w:rPr>
        <w:t xml:space="preserve">ثُمَّ قَالَ : « مَا مِنْ نَبِيٍّ ولَامَلَكٍ </w:t>
      </w:r>
      <w:r>
        <w:rPr>
          <w:rStyle w:val="libFootnotenumChar"/>
          <w:rtl/>
        </w:rPr>
        <w:t>(8)</w:t>
      </w:r>
      <w:r w:rsidR="008675A4">
        <w:rPr>
          <w:rtl/>
          <w:lang w:bidi="fa-IR"/>
        </w:rPr>
        <w:t xml:space="preserve"> مِنْ بَعْدِهِ جَبَلَهُ إِل</w:t>
      </w:r>
      <w:r w:rsidR="008675A4">
        <w:rPr>
          <w:rFonts w:hint="cs"/>
          <w:rtl/>
          <w:lang w:bidi="fa-IR"/>
        </w:rPr>
        <w:t>َّ</w:t>
      </w:r>
      <w:r w:rsidR="008675A4">
        <w:rPr>
          <w:rtl/>
          <w:lang w:bidi="fa-IR"/>
        </w:rPr>
        <w:t>ا</w:t>
      </w:r>
      <w:r w:rsidRPr="00132E65">
        <w:rPr>
          <w:rtl/>
          <w:lang w:bidi="fa-IR"/>
        </w:rPr>
        <w:t xml:space="preserve"> نَفَخَ فِيهِ مِنْ إِحْدَى الرُّوحَيْنِ ، وَجَعَلَ </w:t>
      </w:r>
      <w:r>
        <w:rPr>
          <w:rStyle w:val="libFootnotenumChar"/>
          <w:rtl/>
        </w:rPr>
        <w:t>(9)</w:t>
      </w:r>
      <w:r w:rsidRPr="00132E65">
        <w:rPr>
          <w:rtl/>
          <w:lang w:bidi="fa-IR"/>
        </w:rPr>
        <w:t xml:space="preserve"> النَّبِيَّ </w:t>
      </w:r>
      <w:r w:rsidRPr="0093484F">
        <w:rPr>
          <w:rStyle w:val="libAlaemChar"/>
          <w:rFonts w:eastAsiaTheme="minorHAnsi"/>
          <w:rtl/>
        </w:rPr>
        <w:t>صلى‌الله‌عليه‌وآله</w:t>
      </w:r>
      <w:r w:rsidRPr="00132E65">
        <w:rPr>
          <w:rtl/>
          <w:lang w:bidi="fa-IR"/>
        </w:rPr>
        <w:t xml:space="preserve"> مِنْ إِحْدَى الطِّينَتَيْنِ </w:t>
      </w:r>
      <w:r>
        <w:rPr>
          <w:rStyle w:val="libFootnotenumChar"/>
          <w:rtl/>
        </w:rPr>
        <w:t>(10)</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لِأَبِي الْحَسَنِ الْأَوَّلِ </w:t>
      </w:r>
      <w:r w:rsidRPr="00071CF9">
        <w:rPr>
          <w:rStyle w:val="libAlaemChar"/>
          <w:rtl/>
        </w:rPr>
        <w:t>عليه‌السلام</w:t>
      </w:r>
      <w:r w:rsidRPr="00132E65">
        <w:rPr>
          <w:rtl/>
          <w:lang w:bidi="fa-IR"/>
        </w:rPr>
        <w:t xml:space="preserve"> : مَا الْجَبْلُ</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(11)</w:t>
      </w:r>
      <w:r w:rsidRPr="00132E65">
        <w:rPr>
          <w:rtl/>
          <w:lang w:bidi="fa-IR"/>
        </w:rPr>
        <w:t xml:space="preserve"> : « الْخَلْقُ غَيْرَنَا </w:t>
      </w:r>
      <w:r>
        <w:rPr>
          <w:rStyle w:val="libFootnotenumChar"/>
          <w:rtl/>
        </w:rPr>
        <w:t>(12)</w:t>
      </w:r>
      <w:r w:rsidRPr="00132E65">
        <w:rPr>
          <w:rtl/>
          <w:lang w:bidi="fa-IR"/>
        </w:rPr>
        <w:t xml:space="preserve"> أَهْلَ الْبَيْتِ ؛ فَإِنَّ اللهَ</w:t>
      </w:r>
      <w:r>
        <w:rPr>
          <w:rtl/>
          <w:lang w:bidi="fa-IR"/>
        </w:rPr>
        <w:t xml:space="preserve"> - </w:t>
      </w:r>
      <w:r w:rsidRPr="00132E65">
        <w:rPr>
          <w:rtl/>
          <w:lang w:bidi="fa-IR"/>
        </w:rPr>
        <w:t>عَزَّ وجَلَّ</w:t>
      </w:r>
      <w:r>
        <w:rPr>
          <w:rtl/>
          <w:lang w:bidi="fa-IR"/>
        </w:rPr>
        <w:t xml:space="preserve"> - </w:t>
      </w:r>
      <w:r w:rsidRPr="00132E65">
        <w:rPr>
          <w:rtl/>
          <w:lang w:bidi="fa-IR"/>
        </w:rPr>
        <w:t>خَلَقَنَا مِنَ الْعَشْرِ‌</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675A4" w:rsidTr="008675A4">
        <w:tc>
          <w:tcPr>
            <w:tcW w:w="4006" w:type="dxa"/>
          </w:tcPr>
          <w:p w:rsidR="008675A4" w:rsidRDefault="008675A4" w:rsidP="000C39D1">
            <w:pPr>
              <w:pStyle w:val="libFootnote0"/>
              <w:rPr>
                <w:rtl/>
              </w:rPr>
            </w:pPr>
            <w:r>
              <w:rPr>
                <w:rtl/>
              </w:rPr>
              <w:t>(1).</w:t>
            </w:r>
            <w:r w:rsidRPr="00132E65">
              <w:rPr>
                <w:rtl/>
              </w:rPr>
              <w:t xml:space="preserve"> في البصائر ، ص 19 </w:t>
            </w:r>
            <w:r>
              <w:rPr>
                <w:rtl/>
              </w:rPr>
              <w:t>و 4</w:t>
            </w:r>
            <w:r w:rsidRPr="00132E65">
              <w:rPr>
                <w:rtl/>
              </w:rPr>
              <w:t>46 :</w:t>
            </w:r>
            <w:r>
              <w:rPr>
                <w:rtl/>
              </w:rPr>
              <w:t xml:space="preserve"> + </w:t>
            </w:r>
            <w:r w:rsidRPr="00132E65">
              <w:rPr>
                <w:rtl/>
              </w:rPr>
              <w:t>« من »</w:t>
            </w:r>
            <w:r>
              <w:rPr>
                <w:rtl/>
              </w:rPr>
              <w:t>.</w:t>
            </w:r>
          </w:p>
        </w:tc>
        <w:tc>
          <w:tcPr>
            <w:tcW w:w="4006" w:type="dxa"/>
          </w:tcPr>
          <w:p w:rsidR="008675A4" w:rsidRDefault="008675A4" w:rsidP="000C39D1">
            <w:pPr>
              <w:pStyle w:val="libFootnote0"/>
              <w:rPr>
                <w:rtl/>
              </w:rPr>
            </w:pPr>
            <w:r>
              <w:rPr>
                <w:rtl/>
              </w:rPr>
              <w:t>(2).</w:t>
            </w:r>
            <w:r w:rsidRPr="00132E65">
              <w:rPr>
                <w:rtl/>
              </w:rPr>
              <w:t xml:space="preserve"> في « بح » : « فإنّ »</w:t>
            </w:r>
            <w:r>
              <w:rPr>
                <w:rtl/>
              </w:rPr>
              <w:t>.</w:t>
            </w:r>
          </w:p>
        </w:tc>
      </w:tr>
    </w:tbl>
    <w:p w:rsidR="000C39D1" w:rsidRPr="00132E65" w:rsidRDefault="000C39D1" w:rsidP="000C39D1">
      <w:pPr>
        <w:pStyle w:val="libFootnote0"/>
        <w:rPr>
          <w:rtl/>
          <w:lang w:bidi="fa-IR"/>
        </w:rPr>
      </w:pPr>
      <w:r>
        <w:rPr>
          <w:rtl/>
        </w:rPr>
        <w:t>(3).</w:t>
      </w:r>
      <w:r w:rsidRPr="00132E65">
        <w:rPr>
          <w:rtl/>
        </w:rPr>
        <w:t xml:space="preserve"> في البصائر ، ص 446 : « على »</w:t>
      </w:r>
      <w:r>
        <w:rPr>
          <w:rtl/>
        </w:rPr>
        <w:t>.</w:t>
      </w:r>
    </w:p>
    <w:p w:rsidR="000C39D1" w:rsidRPr="00132E65" w:rsidRDefault="000C39D1" w:rsidP="000C39D1">
      <w:pPr>
        <w:pStyle w:val="libFootnote0"/>
        <w:rPr>
          <w:rtl/>
          <w:lang w:bidi="fa-IR"/>
        </w:rPr>
      </w:pPr>
      <w:r>
        <w:rPr>
          <w:rtl/>
        </w:rPr>
        <w:t>(4).</w:t>
      </w:r>
      <w:r w:rsidRPr="00132E65">
        <w:rPr>
          <w:rtl/>
        </w:rPr>
        <w:t xml:space="preserve"> هو تثنية الحافة من حوف بمعنى الجانب. وفي </w:t>
      </w:r>
      <w:r w:rsidRPr="009D1ACE">
        <w:rPr>
          <w:rStyle w:val="libFootnoteBoldChar"/>
          <w:rtl/>
        </w:rPr>
        <w:t>مرآة العقول</w:t>
      </w:r>
      <w:r w:rsidRPr="00132E65">
        <w:rPr>
          <w:rtl/>
        </w:rPr>
        <w:t xml:space="preserve"> : « حافتا النهر</w:t>
      </w:r>
      <w:r>
        <w:rPr>
          <w:rtl/>
        </w:rPr>
        <w:t xml:space="preserve"> - </w:t>
      </w:r>
      <w:r w:rsidRPr="00132E65">
        <w:rPr>
          <w:rtl/>
        </w:rPr>
        <w:t>بتخفيف الفاء</w:t>
      </w:r>
      <w:r>
        <w:rPr>
          <w:rtl/>
        </w:rPr>
        <w:t xml:space="preserve"> - </w:t>
      </w:r>
      <w:r w:rsidRPr="00132E65">
        <w:rPr>
          <w:rtl/>
        </w:rPr>
        <w:t>: جانباه »</w:t>
      </w:r>
      <w:r>
        <w:rPr>
          <w:rtl/>
        </w:rPr>
        <w:t>.</w:t>
      </w:r>
    </w:p>
    <w:tbl>
      <w:tblPr>
        <w:tblStyle w:val="TableGrid"/>
        <w:bidiVisual/>
        <w:tblW w:w="0" w:type="auto"/>
        <w:tblLook w:val="04A0" w:firstRow="1" w:lastRow="0" w:firstColumn="1" w:lastColumn="0" w:noHBand="0" w:noVBand="1"/>
      </w:tblPr>
      <w:tblGrid>
        <w:gridCol w:w="4006"/>
        <w:gridCol w:w="4006"/>
      </w:tblGrid>
      <w:tr w:rsidR="00EA1C0E" w:rsidTr="00EA1C0E">
        <w:tc>
          <w:tcPr>
            <w:tcW w:w="4006" w:type="dxa"/>
          </w:tcPr>
          <w:p w:rsidR="00EA1C0E" w:rsidRDefault="00EA1C0E" w:rsidP="000C39D1">
            <w:pPr>
              <w:pStyle w:val="libFootnote0"/>
              <w:rPr>
                <w:rtl/>
              </w:rPr>
            </w:pPr>
            <w:r>
              <w:rPr>
                <w:rtl/>
              </w:rPr>
              <w:t>(5).</w:t>
            </w:r>
            <w:r w:rsidRPr="00132E65">
              <w:rPr>
                <w:rtl/>
              </w:rPr>
              <w:t xml:space="preserve"> في البصائر ، ص 19 :</w:t>
            </w:r>
            <w:r>
              <w:rPr>
                <w:rtl/>
              </w:rPr>
              <w:t xml:space="preserve"> + </w:t>
            </w:r>
            <w:r w:rsidRPr="00132E65">
              <w:rPr>
                <w:rtl/>
              </w:rPr>
              <w:t>« نفح »</w:t>
            </w:r>
            <w:r>
              <w:rPr>
                <w:rtl/>
              </w:rPr>
              <w:t>.</w:t>
            </w:r>
          </w:p>
        </w:tc>
        <w:tc>
          <w:tcPr>
            <w:tcW w:w="4006" w:type="dxa"/>
          </w:tcPr>
          <w:p w:rsidR="00EA1C0E" w:rsidRDefault="00EA1C0E" w:rsidP="000C39D1">
            <w:pPr>
              <w:pStyle w:val="libFootnote0"/>
              <w:rPr>
                <w:rtl/>
              </w:rPr>
            </w:pPr>
            <w:r>
              <w:rPr>
                <w:rtl/>
              </w:rPr>
              <w:t>(6).</w:t>
            </w:r>
            <w:r w:rsidRPr="00132E65">
              <w:rPr>
                <w:rtl/>
              </w:rPr>
              <w:t xml:space="preserve"> في البصائر ، ص 446 :</w:t>
            </w:r>
            <w:r>
              <w:rPr>
                <w:rtl/>
              </w:rPr>
              <w:t xml:space="preserve">+ </w:t>
            </w:r>
            <w:r w:rsidRPr="00132E65">
              <w:rPr>
                <w:rtl/>
              </w:rPr>
              <w:t>« وخمسة من النار »</w:t>
            </w:r>
            <w:r>
              <w:rPr>
                <w:rtl/>
              </w:rPr>
              <w:t>.</w:t>
            </w:r>
          </w:p>
        </w:tc>
      </w:tr>
    </w:tbl>
    <w:p w:rsidR="000C39D1" w:rsidRPr="00132E65" w:rsidRDefault="000C39D1" w:rsidP="000C39D1">
      <w:pPr>
        <w:pStyle w:val="libFootnote0"/>
        <w:rPr>
          <w:rtl/>
          <w:lang w:bidi="fa-IR"/>
        </w:rPr>
      </w:pPr>
      <w:r>
        <w:rPr>
          <w:rtl/>
        </w:rPr>
        <w:t>(7).</w:t>
      </w:r>
      <w:r w:rsidRPr="00132E65">
        <w:rPr>
          <w:rtl/>
        </w:rPr>
        <w:t xml:space="preserve"> في البصائر ، ص 19 </w:t>
      </w:r>
      <w:r>
        <w:rPr>
          <w:rtl/>
        </w:rPr>
        <w:t>و 4</w:t>
      </w:r>
      <w:r w:rsidRPr="00132E65">
        <w:rPr>
          <w:rtl/>
        </w:rPr>
        <w:t>46 : « وفسّر »</w:t>
      </w:r>
      <w:r>
        <w:rPr>
          <w:rtl/>
        </w:rPr>
        <w:t>.</w:t>
      </w:r>
      <w:r w:rsidRPr="00132E65">
        <w:rPr>
          <w:rtl/>
        </w:rPr>
        <w:t xml:space="preserve"> وفي </w:t>
      </w:r>
      <w:r w:rsidRPr="009D1ACE">
        <w:rPr>
          <w:rStyle w:val="libFootnoteBoldChar"/>
          <w:rtl/>
        </w:rPr>
        <w:t>مرآة العقول</w:t>
      </w:r>
      <w:r w:rsidRPr="00132E65">
        <w:rPr>
          <w:rtl/>
        </w:rPr>
        <w:t xml:space="preserve"> : « ففسّر الجنان ، الظاهر أنّه كلام ابن رئاب ، والضمير المستتر لأمير المؤمنين </w:t>
      </w:r>
      <w:r w:rsidRPr="00EA1C0E">
        <w:rPr>
          <w:rStyle w:val="libFootnoteAlaemChar"/>
          <w:rtl/>
        </w:rPr>
        <w:t>عليه‌السلام</w:t>
      </w:r>
      <w:r w:rsidRPr="00132E65">
        <w:rPr>
          <w:rtl/>
        </w:rPr>
        <w:t xml:space="preserve"> ، وقيل : لأبي الحسن </w:t>
      </w:r>
      <w:r w:rsidRPr="00EA1C0E">
        <w:rPr>
          <w:rStyle w:val="libFootnoteAlaemChar"/>
          <w:rtl/>
        </w:rPr>
        <w:t>عليه‌السلام</w:t>
      </w:r>
      <w:r w:rsidRPr="00132E65">
        <w:rPr>
          <w:rtl/>
        </w:rPr>
        <w:t>. والتفسير إشارة إلى ما سيأتي في خبر أبي الصامت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ولا ملك ، بالتحريك. وقد يقرأ بكسر اللام ، أي إمام</w:t>
      </w:r>
      <w:r>
        <w:rPr>
          <w:rtl/>
        </w:rPr>
        <w:t xml:space="preserve"> ..</w:t>
      </w:r>
      <w:r w:rsidRPr="00132E65">
        <w:rPr>
          <w:rtl/>
        </w:rPr>
        <w:t>. وهو بعيد »</w:t>
      </w:r>
      <w:r>
        <w:rPr>
          <w:rtl/>
        </w:rPr>
        <w:t>.</w:t>
      </w:r>
    </w:p>
    <w:tbl>
      <w:tblPr>
        <w:tblStyle w:val="TableGrid"/>
        <w:bidiVisual/>
        <w:tblW w:w="0" w:type="auto"/>
        <w:tblLook w:val="04A0" w:firstRow="1" w:lastRow="0" w:firstColumn="1" w:lastColumn="0" w:noHBand="0" w:noVBand="1"/>
      </w:tblPr>
      <w:tblGrid>
        <w:gridCol w:w="4006"/>
        <w:gridCol w:w="4006"/>
      </w:tblGrid>
      <w:tr w:rsidR="00EA1C0E" w:rsidTr="00EA1C0E">
        <w:tc>
          <w:tcPr>
            <w:tcW w:w="4006" w:type="dxa"/>
          </w:tcPr>
          <w:p w:rsidR="00EA1C0E" w:rsidRDefault="00EA1C0E" w:rsidP="000C39D1">
            <w:pPr>
              <w:pStyle w:val="libFootnote0"/>
              <w:rPr>
                <w:rtl/>
              </w:rPr>
            </w:pPr>
            <w:r>
              <w:rPr>
                <w:rtl/>
              </w:rPr>
              <w:t>(9).</w:t>
            </w:r>
            <w:r w:rsidRPr="00132E65">
              <w:rPr>
                <w:rtl/>
              </w:rPr>
              <w:t xml:space="preserve"> في البصائر ، ص 446 : « وجبل »</w:t>
            </w:r>
            <w:r>
              <w:rPr>
                <w:rtl/>
              </w:rPr>
              <w:t>.</w:t>
            </w:r>
          </w:p>
        </w:tc>
        <w:tc>
          <w:tcPr>
            <w:tcW w:w="4006" w:type="dxa"/>
          </w:tcPr>
          <w:p w:rsidR="00EA1C0E" w:rsidRDefault="00EA1C0E" w:rsidP="000C39D1">
            <w:pPr>
              <w:pStyle w:val="libFootnote0"/>
              <w:rPr>
                <w:rtl/>
              </w:rPr>
            </w:pPr>
            <w:r>
              <w:rPr>
                <w:rtl/>
              </w:rPr>
              <w:t>(10).</w:t>
            </w:r>
            <w:r w:rsidRPr="00132E65">
              <w:rPr>
                <w:rtl/>
              </w:rPr>
              <w:t xml:space="preserve"> في « ف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والبصائر ، ص 19 </w:t>
      </w:r>
      <w:r>
        <w:rPr>
          <w:rtl/>
        </w:rPr>
        <w:t>و 4</w:t>
      </w:r>
      <w:r w:rsidRPr="00132E65">
        <w:rPr>
          <w:rtl/>
        </w:rPr>
        <w:t>46 : « قال »</w:t>
      </w:r>
      <w:r>
        <w:rPr>
          <w:rtl/>
        </w:rPr>
        <w:t>.</w:t>
      </w:r>
    </w:p>
    <w:p w:rsidR="000C39D1" w:rsidRPr="00132E65" w:rsidRDefault="000C39D1" w:rsidP="000C39D1">
      <w:pPr>
        <w:pStyle w:val="libFootnote0"/>
        <w:rPr>
          <w:rtl/>
          <w:lang w:bidi="fa-IR"/>
        </w:rPr>
      </w:pPr>
      <w:r>
        <w:rPr>
          <w:rtl/>
        </w:rPr>
        <w:t>(12).</w:t>
      </w:r>
      <w:r w:rsidRPr="00132E65">
        <w:rPr>
          <w:rtl/>
        </w:rPr>
        <w:t xml:space="preserve"> هاهنا وجوه ثلاثة :</w:t>
      </w:r>
    </w:p>
    <w:p w:rsidR="000C39D1" w:rsidRPr="00132E65" w:rsidRDefault="000C39D1" w:rsidP="000C39D1">
      <w:pPr>
        <w:pStyle w:val="libFootnote0"/>
        <w:rPr>
          <w:rtl/>
          <w:lang w:bidi="fa-IR"/>
        </w:rPr>
      </w:pPr>
      <w:r w:rsidRPr="0046781C">
        <w:rPr>
          <w:rtl/>
        </w:rPr>
        <w:t>الأوّل : قال المولى محمّد أمين الأسترآبادي : « قوله : ما الجَبْل</w:t>
      </w:r>
      <w:r>
        <w:rPr>
          <w:rtl/>
        </w:rPr>
        <w:t xml:space="preserve">؟ - </w:t>
      </w:r>
      <w:r w:rsidRPr="0046781C">
        <w:rPr>
          <w:rtl/>
        </w:rPr>
        <w:t>بسكون الباء</w:t>
      </w:r>
      <w:r>
        <w:rPr>
          <w:rtl/>
        </w:rPr>
        <w:t xml:space="preserve"> - </w:t>
      </w:r>
      <w:r w:rsidRPr="0046781C">
        <w:rPr>
          <w:rtl/>
        </w:rPr>
        <w:t>سؤال عن مصدر الفعل المتقدّم ، وقوله : الخلق إلخ جواب له ، وحاصله أنّ مصداق الجبل في الكلام المتقدّم خلق غيرنا أهل البيت ؛ فإنّ الله خلق جسدنا من عشر طينات ولأجل ذلك شيعتنا منتشرة في الأراضي والسماوات ، وجعل فينا الروحين جميعاً »</w:t>
      </w:r>
      <w:r>
        <w:rPr>
          <w:rtl/>
        </w:rPr>
        <w:t>.</w:t>
      </w:r>
    </w:p>
    <w:p w:rsidR="000C39D1" w:rsidRPr="009D66C9" w:rsidRDefault="000C39D1" w:rsidP="00EA1C0E">
      <w:pPr>
        <w:pStyle w:val="libFootnote0"/>
        <w:rPr>
          <w:rtl/>
        </w:rPr>
      </w:pPr>
      <w:r w:rsidRPr="009D66C9">
        <w:rPr>
          <w:rtl/>
        </w:rPr>
        <w:t>الثاني : قال المحقّق المازندراني : « أقول : يمكن أن يراد بالخلق الجماعة من المخلوقات ، ويجعل مبتدأ وما بعده خبره ، ويراد حينئذٍ بالجبل الجماعة المذكورون من الناس وغيرهم الذين جبلهم الله تعالى من إحدى الروحين وإحدى الطينتين ».</w:t>
      </w:r>
    </w:p>
    <w:p w:rsidR="000C39D1" w:rsidRPr="009D66C9" w:rsidRDefault="000C39D1" w:rsidP="00EA1C0E">
      <w:pPr>
        <w:pStyle w:val="libFootnote0"/>
        <w:rPr>
          <w:rtl/>
        </w:rPr>
      </w:pPr>
      <w:r w:rsidRPr="009D66C9">
        <w:rPr>
          <w:rtl/>
        </w:rPr>
        <w:t>الثالث : قال العل</w:t>
      </w:r>
      <w:r w:rsidR="00EA1C0E">
        <w:rPr>
          <w:rFonts w:hint="cs"/>
          <w:rtl/>
        </w:rPr>
        <w:t>ّ</w:t>
      </w:r>
      <w:r w:rsidRPr="009D66C9">
        <w:rPr>
          <w:rtl/>
        </w:rPr>
        <w:t>امة المجلسي : « والأظهر عندي أنّ « غيرنا » تتمّة للكلام السابق على الاستثناء المنقطع وإنّما اعترض السؤال والجواب بين الكلام قبل تمامه ، لاتتمّة لتفسير الجبل كما توهّمه الأكثر ، قال الشيخ البهائي ; : يعني مادّة بدننا لاتسمّى جبلة ، بل طينة ؛ لأنّها خلقت من العشر طينات ».</w:t>
      </w:r>
      <w:r w:rsidR="00DE5A5B">
        <w:rPr>
          <w:rFonts w:hint="cs"/>
          <w:rtl/>
        </w:rPr>
        <w:t xml:space="preserve"> </w:t>
      </w:r>
      <w:r w:rsidR="00EA1C0E">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طِينَاتٍ ، ونَفَخَ فِينَا مِنَ الرُّوحَيْنِ جَمِيعاً ، فَأَطْيِبْ </w:t>
      </w:r>
      <w:r>
        <w:rPr>
          <w:rStyle w:val="libFootnotenumChar"/>
          <w:rtl/>
        </w:rPr>
        <w:t>(1)</w:t>
      </w:r>
      <w:r w:rsidRPr="00132E65">
        <w:rPr>
          <w:rtl/>
          <w:lang w:bidi="fa-IR"/>
        </w:rPr>
        <w:t xml:space="preserve"> بِهَا طِيباً </w:t>
      </w:r>
      <w:r>
        <w:rPr>
          <w:rStyle w:val="libFootnotenumChar"/>
          <w:rtl/>
        </w:rPr>
        <w:t>(2)</w:t>
      </w:r>
      <w:r w:rsidRPr="00132E65">
        <w:rPr>
          <w:rtl/>
          <w:lang w:bidi="fa-IR"/>
        </w:rPr>
        <w:t xml:space="preserve"> »</w:t>
      </w:r>
      <w:r>
        <w:rPr>
          <w:rtl/>
          <w:lang w:bidi="fa-IR"/>
        </w:rPr>
        <w:t>.</w:t>
      </w:r>
    </w:p>
    <w:p w:rsidR="000C39D1" w:rsidRPr="00132E65" w:rsidRDefault="00DE5A5B" w:rsidP="00DE5A5B">
      <w:pPr>
        <w:pStyle w:val="libNormal"/>
        <w:rPr>
          <w:rtl/>
          <w:lang w:bidi="fa-IR"/>
        </w:rPr>
      </w:pPr>
      <w:r>
        <w:rPr>
          <w:rFonts w:hint="cs"/>
          <w:rtl/>
          <w:lang w:bidi="fa-IR"/>
        </w:rPr>
        <w:t xml:space="preserve">* </w:t>
      </w:r>
      <w:r w:rsidR="000C39D1" w:rsidRPr="00132E65">
        <w:rPr>
          <w:rtl/>
          <w:lang w:bidi="fa-IR"/>
        </w:rPr>
        <w:t>وَرَوى غَيْرُهُ عَنْ أَبِي الصَّامِتِ ، قَالَ : طِينُ الْجِنَانِ : جَنَّةُ عَدْنٍ ، وجَنَّةُ الْمَأْوى ، و</w:t>
      </w:r>
      <w:r w:rsidR="000C39D1">
        <w:rPr>
          <w:rFonts w:hint="cs"/>
          <w:rtl/>
          <w:lang w:bidi="fa-IR"/>
        </w:rPr>
        <w:t xml:space="preserve"> </w:t>
      </w:r>
      <w:r w:rsidR="000C39D1">
        <w:rPr>
          <w:rStyle w:val="libFootnotenumChar"/>
          <w:rtl/>
        </w:rPr>
        <w:t>(3)</w:t>
      </w:r>
      <w:r w:rsidR="000C39D1" w:rsidRPr="00132E65">
        <w:rPr>
          <w:rtl/>
          <w:lang w:bidi="fa-IR"/>
        </w:rPr>
        <w:t xml:space="preserve"> النَّعِيمِ ، والْفِرْدَوْسُ ، والْخُلْدُ ؛ وطِينُ الْأَرْضِ : مَكَّةُ ، والْمَدِينَةُ ، والْكُوفَةُ </w:t>
      </w:r>
      <w:r w:rsidR="000C39D1">
        <w:rPr>
          <w:rStyle w:val="libFootnotenumChar"/>
          <w:rtl/>
        </w:rPr>
        <w:t>(4)</w:t>
      </w:r>
      <w:r w:rsidR="000C39D1" w:rsidRPr="00132E65">
        <w:rPr>
          <w:rtl/>
          <w:lang w:bidi="fa-IR"/>
        </w:rPr>
        <w:t xml:space="preserve"> ، وبَيْتُ الْمَقْدِسِ </w:t>
      </w:r>
      <w:r w:rsidR="000C39D1">
        <w:rPr>
          <w:rStyle w:val="libFootnotenumChar"/>
          <w:rtl/>
        </w:rPr>
        <w:t>(5)</w:t>
      </w:r>
      <w:r w:rsidR="000C39D1" w:rsidRPr="00132E65">
        <w:rPr>
          <w:rtl/>
          <w:lang w:bidi="fa-IR"/>
        </w:rPr>
        <w:t xml:space="preserve"> ، والْحَائِرُ </w:t>
      </w:r>
      <w:r w:rsidR="000C39D1">
        <w:rPr>
          <w:rStyle w:val="libFootnotenumChar"/>
          <w:rtl/>
        </w:rPr>
        <w:t>(6)</w:t>
      </w:r>
      <w:r>
        <w:rPr>
          <w:rFonts w:hint="cs"/>
          <w:rtl/>
          <w:lang w:bidi="fa-IR"/>
        </w:rPr>
        <w:t>.</w:t>
      </w:r>
      <w:r w:rsidR="000C39D1">
        <w:rPr>
          <w:rStyle w:val="libFootnotenumChar"/>
          <w:rtl/>
        </w:rPr>
        <w:t>(7)</w:t>
      </w:r>
      <w:r w:rsidR="000C39D1" w:rsidRPr="00132E65">
        <w:rPr>
          <w:rtl/>
          <w:lang w:bidi="fa-IR"/>
        </w:rPr>
        <w:t xml:space="preserve"> ‌</w:t>
      </w:r>
    </w:p>
    <w:p w:rsidR="000C39D1" w:rsidRPr="00132E65" w:rsidRDefault="000C39D1" w:rsidP="000C39D1">
      <w:pPr>
        <w:pStyle w:val="libNormal"/>
        <w:rPr>
          <w:rtl/>
          <w:lang w:bidi="fa-IR"/>
        </w:rPr>
      </w:pPr>
      <w:r w:rsidRPr="00A92724">
        <w:rPr>
          <w:rtl/>
        </w:rPr>
        <w:t>1017</w:t>
      </w:r>
      <w:r w:rsidRPr="004325D8">
        <w:rPr>
          <w:rStyle w:val="libBold2Char"/>
          <w:rtl/>
        </w:rPr>
        <w:t xml:space="preserve"> / 4.</w:t>
      </w:r>
      <w:r w:rsidRPr="00132E65">
        <w:rPr>
          <w:rtl/>
          <w:lang w:bidi="fa-IR"/>
        </w:rPr>
        <w:t xml:space="preserve"> عِدَّةٌ مِنْ أَصْحَابِنَا ، عَنْ أَحْمَدَ بْنِ مُحَمَّدٍ ، عَنْ مُحَمَّدِ بْنِ خَالِدٍ ، عَنْ‌</w:t>
      </w:r>
    </w:p>
    <w:p w:rsidR="000C39D1" w:rsidRPr="00132E65" w:rsidRDefault="000C39D1" w:rsidP="000C39D1">
      <w:pPr>
        <w:pStyle w:val="libLine"/>
        <w:rPr>
          <w:rtl/>
          <w:lang w:bidi="fa-IR"/>
        </w:rPr>
      </w:pPr>
      <w:r w:rsidRPr="00132E65">
        <w:rPr>
          <w:rtl/>
          <w:lang w:bidi="fa-IR"/>
        </w:rPr>
        <w:t>__________________</w:t>
      </w:r>
    </w:p>
    <w:p w:rsidR="000C39D1" w:rsidRPr="00132E65" w:rsidRDefault="00DE5A5B" w:rsidP="00DE5A5B">
      <w:pPr>
        <w:pStyle w:val="libFootnote0"/>
        <w:rPr>
          <w:rtl/>
          <w:lang w:bidi="fa-IR"/>
        </w:rPr>
      </w:pPr>
      <w:r>
        <w:rPr>
          <w:rFonts w:hint="cs"/>
          <w:rtl/>
        </w:rPr>
        <w:t xml:space="preserve">= </w:t>
      </w:r>
      <w:r w:rsidR="000C39D1" w:rsidRPr="0046781C">
        <w:rPr>
          <w:rtl/>
        </w:rPr>
        <w:t xml:space="preserve">وقال السيّد بدرالدين : « قوله </w:t>
      </w:r>
      <w:r w:rsidR="000C39D1" w:rsidRPr="00DE5A5B">
        <w:rPr>
          <w:rStyle w:val="libFootnoteAlaemChar"/>
          <w:rtl/>
        </w:rPr>
        <w:t>عليه‌السلام</w:t>
      </w:r>
      <w:r w:rsidR="000C39D1" w:rsidRPr="0046781C">
        <w:rPr>
          <w:rtl/>
        </w:rPr>
        <w:t xml:space="preserve"> غيرنا أهل البيت ، هذا متّصل بقوله : ما من نبيّ ولا ملك »</w:t>
      </w:r>
      <w:r w:rsidR="000C39D1">
        <w:rPr>
          <w:rtl/>
        </w:rPr>
        <w:t>.</w:t>
      </w:r>
    </w:p>
    <w:p w:rsidR="000C39D1" w:rsidRPr="001032EA" w:rsidRDefault="000C39D1" w:rsidP="00DE5A5B">
      <w:pPr>
        <w:pStyle w:val="libFootnote0"/>
        <w:rPr>
          <w:rtl/>
        </w:rPr>
      </w:pPr>
      <w:r w:rsidRPr="001032EA">
        <w:rPr>
          <w:rtl/>
        </w:rPr>
        <w:t xml:space="preserve">والمحقّق الشعراني ردّ الأوّل والثاني واختار الثالث ، حيث قال : « قوله : الخلق غيرنا ، جواب له ، حمله الأسترآبادي على غير محمله ؛ لأنّ قوله </w:t>
      </w:r>
      <w:r w:rsidRPr="00DE5A5B">
        <w:rPr>
          <w:rStyle w:val="libFootnoteAlaemChar"/>
          <w:rtl/>
        </w:rPr>
        <w:t>عليه‌السلام</w:t>
      </w:r>
      <w:r w:rsidRPr="001032EA">
        <w:rPr>
          <w:rtl/>
        </w:rPr>
        <w:t xml:space="preserve"> : الخلق ، جواب فقط ، </w:t>
      </w:r>
      <w:r>
        <w:rPr>
          <w:rtl/>
        </w:rPr>
        <w:t>و «</w:t>
      </w:r>
      <w:r w:rsidRPr="001032EA">
        <w:rPr>
          <w:rtl/>
        </w:rPr>
        <w:t xml:space="preserve"> غيرنا أهل البيت » مستثنى من قوله في الجملة السابقة : « ما من نبيّ ولا ملك » انتهى ؛ يعني كلّ نبيّ وملك من إحدى الطينتين وإحدى الروحين غيرنا أهل البيت ؛ فإنّا من كليهما ، والجملة معترضة تمّت عند قوله : الخلق ؛ يعني سألته </w:t>
      </w:r>
      <w:r w:rsidRPr="00DE5A5B">
        <w:rPr>
          <w:rStyle w:val="libFootnoteAlaemChar"/>
          <w:rtl/>
        </w:rPr>
        <w:t>عليه‌السلام</w:t>
      </w:r>
      <w:r w:rsidRPr="001032EA">
        <w:rPr>
          <w:rtl/>
        </w:rPr>
        <w:t xml:space="preserve"> عن معنى الجبل ، فقال </w:t>
      </w:r>
      <w:r w:rsidRPr="00DE5A5B">
        <w:rPr>
          <w:rStyle w:val="libFootnoteAlaemChar"/>
          <w:rtl/>
        </w:rPr>
        <w:t>عليه‌السلام</w:t>
      </w:r>
      <w:r w:rsidRPr="001032EA">
        <w:rPr>
          <w:rtl/>
        </w:rPr>
        <w:t xml:space="preserve"> : الجبل بمعنى الخلق ،</w:t>
      </w:r>
      <w:r w:rsidRPr="001032EA">
        <w:rPr>
          <w:rFonts w:hint="cs"/>
          <w:rtl/>
        </w:rPr>
        <w:t xml:space="preserve"> </w:t>
      </w:r>
      <w:r w:rsidRPr="001032EA">
        <w:rPr>
          <w:rtl/>
        </w:rPr>
        <w:t>ثمّ رجع الراوي إلى كلامه السابق وأتمّه بالاستثناء ، وعلى هذا فقول الشارح : ويجعل مبتدأ وما بعده خبره ، أيضاً غير صحيح ، بل هو أفحش ». راجع : الحاشية على ا</w:t>
      </w:r>
      <w:r w:rsidR="005E3578">
        <w:rPr>
          <w:rFonts w:hint="cs"/>
          <w:rtl/>
        </w:rPr>
        <w:t>ُ</w:t>
      </w:r>
      <w:r w:rsidRPr="001032EA">
        <w:rPr>
          <w:rtl/>
        </w:rPr>
        <w:t>صول الكافي للأسترآبادي ( ضمن ميراث حديث شيعة ) ج 8 ، ص 361 ؛ شرح المازندراني ، ج 6 ، ص 373 ؛ مرآة العقول ، ج 4 ، ص 275 ؛ الحاشية على ا</w:t>
      </w:r>
      <w:r w:rsidR="005E3578">
        <w:rPr>
          <w:rFonts w:hint="cs"/>
          <w:rtl/>
        </w:rPr>
        <w:t>ُ</w:t>
      </w:r>
      <w:r w:rsidRPr="001032EA">
        <w:rPr>
          <w:rtl/>
        </w:rPr>
        <w:t>صول الكافي للسيّد بدرالدين ، ص 237.</w:t>
      </w:r>
    </w:p>
    <w:p w:rsidR="000C39D1" w:rsidRPr="00132E65" w:rsidRDefault="000C39D1" w:rsidP="00DE5A5B">
      <w:pPr>
        <w:pStyle w:val="libFootnote0"/>
        <w:rPr>
          <w:rtl/>
          <w:lang w:bidi="fa-IR"/>
        </w:rPr>
      </w:pPr>
      <w:r>
        <w:rPr>
          <w:rtl/>
        </w:rPr>
        <w:t>(1).</w:t>
      </w:r>
      <w:r w:rsidRPr="00132E65">
        <w:rPr>
          <w:rtl/>
        </w:rPr>
        <w:t xml:space="preserve"> في « بس » : « فأطب »</w:t>
      </w:r>
      <w:r>
        <w:rPr>
          <w:rtl/>
        </w:rPr>
        <w:t>.</w:t>
      </w:r>
      <w:r w:rsidRPr="00132E65">
        <w:rPr>
          <w:rtl/>
        </w:rPr>
        <w:t xml:space="preserve"> وقرأه المازندراني على صيغة التكلّم من أطابه وطيّبه ، أو من طابه ، وجعل « طيباً » منصوباً على التمييز ، أو على المصدر ، ثمّ ردّ كونه صيغة التعجّب. راجع : </w:t>
      </w:r>
      <w:r w:rsidRPr="00A92724">
        <w:rPr>
          <w:rtl/>
        </w:rPr>
        <w:t>شرح المازندراني</w:t>
      </w:r>
      <w:r w:rsidRPr="00132E65">
        <w:rPr>
          <w:rtl/>
        </w:rPr>
        <w:t xml:space="preserve"> ، ج 6 ، ص 374.</w:t>
      </w:r>
    </w:p>
    <w:p w:rsidR="000C39D1" w:rsidRPr="00132E65" w:rsidRDefault="000C39D1" w:rsidP="00DE5A5B">
      <w:pPr>
        <w:pStyle w:val="libFootnote0"/>
        <w:rPr>
          <w:rtl/>
          <w:lang w:bidi="fa-IR"/>
        </w:rPr>
      </w:pPr>
      <w:r>
        <w:rPr>
          <w:rtl/>
        </w:rPr>
        <w:t>(2).</w:t>
      </w:r>
      <w:r w:rsidRPr="00132E65">
        <w:rPr>
          <w:rtl/>
        </w:rPr>
        <w:t xml:space="preserve"> في البصائر ، ص 446 : « طينتنا »</w:t>
      </w:r>
      <w:r>
        <w:rPr>
          <w:rtl/>
        </w:rPr>
        <w:t>.</w:t>
      </w:r>
    </w:p>
    <w:p w:rsidR="000C39D1" w:rsidRPr="00132E65" w:rsidRDefault="000C39D1" w:rsidP="00DE5A5B">
      <w:pPr>
        <w:pStyle w:val="libFootnote0"/>
        <w:rPr>
          <w:rtl/>
          <w:lang w:bidi="fa-IR"/>
        </w:rPr>
      </w:pPr>
      <w:r>
        <w:rPr>
          <w:rtl/>
        </w:rPr>
        <w:t>(3).</w:t>
      </w:r>
      <w:r w:rsidRPr="00132E65">
        <w:rPr>
          <w:rtl/>
        </w:rPr>
        <w:t xml:space="preserve"> هكذا في « ب ، ج ، ض ، ف ، بح ، بر ، بس ، بف » وشرح المازندراني و</w:t>
      </w:r>
      <w:r w:rsidRPr="009D1ACE">
        <w:rPr>
          <w:rStyle w:val="libFootnoteBoldChar"/>
          <w:rtl/>
        </w:rPr>
        <w:t>الوافي</w:t>
      </w:r>
      <w:r w:rsidRPr="00132E65">
        <w:rPr>
          <w:rtl/>
        </w:rPr>
        <w:t xml:space="preserve"> والبصائر ، ص 19 </w:t>
      </w:r>
      <w:r>
        <w:rPr>
          <w:rtl/>
        </w:rPr>
        <w:t>و 4</w:t>
      </w:r>
      <w:r w:rsidRPr="00132E65">
        <w:rPr>
          <w:rtl/>
        </w:rPr>
        <w:t>46 ، والبحار ، ج 61. وفي المطبوع :</w:t>
      </w:r>
      <w:r>
        <w:rPr>
          <w:rtl/>
        </w:rPr>
        <w:t xml:space="preserve"> + </w:t>
      </w:r>
      <w:r w:rsidRPr="00132E65">
        <w:rPr>
          <w:rtl/>
        </w:rPr>
        <w:t>« جنّة »</w:t>
      </w:r>
      <w:r>
        <w:rPr>
          <w:rtl/>
        </w:rPr>
        <w:t>.</w:t>
      </w:r>
      <w:r w:rsidRPr="00132E65">
        <w:rPr>
          <w:rtl/>
        </w:rPr>
        <w:t xml:space="preserve"> وقوله : « النعيم » مجرور عطفاً على « المأوى »</w:t>
      </w:r>
      <w:r>
        <w:rPr>
          <w:rtl/>
        </w:rPr>
        <w:t>.</w:t>
      </w:r>
      <w:r w:rsidRPr="00132E65">
        <w:rPr>
          <w:rtl/>
        </w:rPr>
        <w:t xml:space="preserve"> ويجوز الجرّ في « الفردوس » </w:t>
      </w:r>
      <w:r>
        <w:rPr>
          <w:rtl/>
        </w:rPr>
        <w:t>و «</w:t>
      </w:r>
      <w:r w:rsidRPr="00132E65">
        <w:rPr>
          <w:rtl/>
        </w:rPr>
        <w:t xml:space="preserve"> الخلد » أيضاً.</w:t>
      </w:r>
    </w:p>
    <w:p w:rsidR="000C39D1" w:rsidRPr="00132E65" w:rsidRDefault="000C39D1" w:rsidP="00DE5A5B">
      <w:pPr>
        <w:pStyle w:val="libFootnote0"/>
        <w:rPr>
          <w:rtl/>
          <w:lang w:bidi="fa-IR"/>
        </w:rPr>
      </w:pPr>
      <w:r>
        <w:rPr>
          <w:rtl/>
        </w:rPr>
        <w:t>(4).</w:t>
      </w:r>
      <w:r w:rsidRPr="00132E65">
        <w:rPr>
          <w:rtl/>
        </w:rPr>
        <w:t xml:space="preserve"> في « بر » :</w:t>
      </w:r>
      <w:r>
        <w:rPr>
          <w:rtl/>
        </w:rPr>
        <w:t xml:space="preserve"> + </w:t>
      </w:r>
      <w:r w:rsidRPr="00132E65">
        <w:rPr>
          <w:rtl/>
        </w:rPr>
        <w:t>« الحائر »</w:t>
      </w:r>
      <w:r>
        <w:rPr>
          <w:rtl/>
        </w:rPr>
        <w:t>.</w:t>
      </w:r>
      <w:r w:rsidRPr="00132E65">
        <w:rPr>
          <w:rtl/>
        </w:rPr>
        <w:t xml:space="preserve"> وفي البصائر ، ص 19 </w:t>
      </w:r>
      <w:r>
        <w:rPr>
          <w:rtl/>
        </w:rPr>
        <w:t>و 4</w:t>
      </w:r>
      <w:r w:rsidRPr="00132E65">
        <w:rPr>
          <w:rtl/>
        </w:rPr>
        <w:t xml:space="preserve">46 </w:t>
      </w:r>
      <w:r>
        <w:rPr>
          <w:rtl/>
        </w:rPr>
        <w:t xml:space="preserve">: - </w:t>
      </w:r>
      <w:r w:rsidRPr="00132E65">
        <w:rPr>
          <w:rtl/>
        </w:rPr>
        <w:t>« والكوفة »</w:t>
      </w:r>
      <w:r>
        <w:rPr>
          <w:rtl/>
        </w:rPr>
        <w:t>.</w:t>
      </w:r>
    </w:p>
    <w:p w:rsidR="000C39D1" w:rsidRPr="00132E65" w:rsidRDefault="000C39D1" w:rsidP="00DE5A5B">
      <w:pPr>
        <w:pStyle w:val="libFootnote0"/>
        <w:rPr>
          <w:rtl/>
          <w:lang w:bidi="fa-IR"/>
        </w:rPr>
      </w:pPr>
      <w:r>
        <w:rPr>
          <w:rtl/>
        </w:rPr>
        <w:t>(5).</w:t>
      </w:r>
      <w:r w:rsidRPr="00132E65">
        <w:rPr>
          <w:rtl/>
        </w:rPr>
        <w:t xml:space="preserve"> احتمل المازندراني في « المقدس » ضمّ الميم وتشديد الدال وفتحها.</w:t>
      </w:r>
    </w:p>
    <w:p w:rsidR="000C39D1" w:rsidRPr="00132E65" w:rsidRDefault="000C39D1" w:rsidP="00DE5A5B">
      <w:pPr>
        <w:pStyle w:val="libFootnote0"/>
        <w:rPr>
          <w:rtl/>
          <w:lang w:bidi="fa-IR"/>
        </w:rPr>
      </w:pPr>
      <w:r>
        <w:rPr>
          <w:rtl/>
        </w:rPr>
        <w:t>(6).</w:t>
      </w:r>
      <w:r w:rsidRPr="00132E65">
        <w:rPr>
          <w:rtl/>
        </w:rPr>
        <w:t xml:space="preserve"> في « بر » </w:t>
      </w:r>
      <w:r>
        <w:rPr>
          <w:rtl/>
        </w:rPr>
        <w:t xml:space="preserve">: - </w:t>
      </w:r>
      <w:r w:rsidRPr="00132E65">
        <w:rPr>
          <w:rtl/>
        </w:rPr>
        <w:t>« والحائر »</w:t>
      </w:r>
      <w:r>
        <w:rPr>
          <w:rtl/>
        </w:rPr>
        <w:t>.</w:t>
      </w:r>
      <w:r w:rsidRPr="00132E65">
        <w:rPr>
          <w:rtl/>
        </w:rPr>
        <w:t xml:space="preserve"> وفي « ج ، ف ، بح ، بس » والبحار : « والحير »</w:t>
      </w:r>
      <w:r>
        <w:rPr>
          <w:rtl/>
        </w:rPr>
        <w:t>.</w:t>
      </w:r>
      <w:r w:rsidRPr="00132E65">
        <w:rPr>
          <w:rtl/>
        </w:rPr>
        <w:t xml:space="preserve"> وفي </w:t>
      </w:r>
      <w:r w:rsidRPr="009D1ACE">
        <w:rPr>
          <w:rStyle w:val="libFootnoteBoldChar"/>
          <w:rtl/>
        </w:rPr>
        <w:t>مرآة العقول</w:t>
      </w:r>
      <w:r w:rsidRPr="00132E65">
        <w:rPr>
          <w:rtl/>
        </w:rPr>
        <w:t xml:space="preserve"> والبصائر ، ص 19 </w:t>
      </w:r>
      <w:r>
        <w:rPr>
          <w:rtl/>
        </w:rPr>
        <w:t>و 4</w:t>
      </w:r>
      <w:r w:rsidRPr="00132E65">
        <w:rPr>
          <w:rtl/>
        </w:rPr>
        <w:t>46 : « والحيرة »</w:t>
      </w:r>
      <w:r>
        <w:rPr>
          <w:rtl/>
        </w:rPr>
        <w:t>.</w:t>
      </w:r>
    </w:p>
    <w:p w:rsidR="000C39D1" w:rsidRPr="00132E65" w:rsidRDefault="000C39D1" w:rsidP="005E3578">
      <w:pPr>
        <w:pStyle w:val="libFootnote0"/>
        <w:rPr>
          <w:rtl/>
          <w:lang w:bidi="fa-IR"/>
        </w:rPr>
      </w:pPr>
      <w:r>
        <w:rPr>
          <w:rtl/>
        </w:rPr>
        <w:t>(7).</w:t>
      </w:r>
      <w:r w:rsidRPr="00132E65">
        <w:rPr>
          <w:rtl/>
        </w:rPr>
        <w:t xml:space="preserve"> </w:t>
      </w:r>
      <w:r w:rsidRPr="007A1104">
        <w:rPr>
          <w:rStyle w:val="libFootnoteBoldChar"/>
          <w:rtl/>
        </w:rPr>
        <w:t>بصائر الدرجات</w:t>
      </w:r>
      <w:r w:rsidRPr="00132E65">
        <w:rPr>
          <w:rtl/>
        </w:rPr>
        <w:t xml:space="preserve"> ، ص 19 ، ح 1 ؛ وص 446 ، ح 2 ، عن عليّ بن حسّان ، عن عليّ بن عطيّة يرفعه إلى أمير المؤمنين </w:t>
      </w:r>
      <w:r w:rsidRPr="00DE5A5B">
        <w:rPr>
          <w:rStyle w:val="libFootnoteAlaemChar"/>
          <w:rtl/>
        </w:rPr>
        <w:t>عليه‌السلام</w:t>
      </w:r>
      <w:r w:rsidR="005E3578">
        <w:rPr>
          <w:rFonts w:hint="cs"/>
          <w:rtl/>
        </w:rPr>
        <w:t>.</w:t>
      </w:r>
      <w:r w:rsidRPr="009D1ACE">
        <w:rPr>
          <w:rStyle w:val="libFootnoteBoldChar"/>
          <w:rtl/>
        </w:rPr>
        <w:t>الوافي</w:t>
      </w:r>
      <w:r w:rsidRPr="00132E65">
        <w:rPr>
          <w:rtl/>
        </w:rPr>
        <w:t xml:space="preserve"> ، ج 3 ، ص 685 ، ح 1289 </w:t>
      </w:r>
      <w:r>
        <w:rPr>
          <w:rtl/>
        </w:rPr>
        <w:t>و 1</w:t>
      </w:r>
      <w:r w:rsidRPr="00132E65">
        <w:rPr>
          <w:rtl/>
        </w:rPr>
        <w:t xml:space="preserve">290 ؛ </w:t>
      </w:r>
      <w:r w:rsidRPr="00A92724">
        <w:rPr>
          <w:rtl/>
        </w:rPr>
        <w:t>البحار</w:t>
      </w:r>
      <w:r w:rsidRPr="00132E65">
        <w:rPr>
          <w:rtl/>
        </w:rPr>
        <w:t xml:space="preserve"> ، ج 25 ، ص 49 ، ذيل ح 10 ؛ وج 61 ، ص 46 ، ح 23.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نَهْشَلٍ ، قَالَ : حَدَّثَنِي مُحَمَّدُ بْنُ إِسْمَاعِيلَ ، عَنْ أَبِي حَمْزَةَ الثُّمَالِيِّ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إِنَّ اللهَ خَلَقَنَا مِنْ أَعْلى عِلِّيِّينَ ، وخَلَقَ قُلُوبَ شِيعَتِنَا مِمَّا خَلَقَنَا </w:t>
      </w:r>
      <w:r>
        <w:rPr>
          <w:rStyle w:val="libFootnotenumChar"/>
          <w:rtl/>
        </w:rPr>
        <w:t>(1)</w:t>
      </w:r>
      <w:r w:rsidRPr="00132E65">
        <w:rPr>
          <w:rtl/>
          <w:lang w:bidi="fa-IR"/>
        </w:rPr>
        <w:t xml:space="preserve"> ، وخَلَقَ أَبْدَانَهُمْ مِنْ دُونِ ذلِكَ ؛ فَقُلُوبُهُمْ </w:t>
      </w:r>
      <w:r>
        <w:rPr>
          <w:rStyle w:val="libFootnotenumChar"/>
          <w:rtl/>
        </w:rPr>
        <w:t>(2)</w:t>
      </w:r>
      <w:r w:rsidRPr="00132E65">
        <w:rPr>
          <w:rtl/>
          <w:lang w:bidi="fa-IR"/>
        </w:rPr>
        <w:t xml:space="preserve"> تَهْوِي إِلَيْنَا ؛ لِأَنَّهَا خُلِقَتْ مِمَّا خُلِقْنَا </w:t>
      </w:r>
      <w:r>
        <w:rPr>
          <w:rStyle w:val="libFootnotenumChar"/>
          <w:rtl/>
        </w:rPr>
        <w:t>(3)</w:t>
      </w:r>
      <w:r w:rsidRPr="00132E65">
        <w:rPr>
          <w:rtl/>
          <w:lang w:bidi="fa-IR"/>
        </w:rPr>
        <w:t xml:space="preserve"> »</w:t>
      </w:r>
      <w:r>
        <w:rPr>
          <w:rtl/>
          <w:lang w:bidi="fa-IR"/>
        </w:rPr>
        <w:t>.</w:t>
      </w:r>
      <w:r w:rsidRPr="00132E65">
        <w:rPr>
          <w:rtl/>
          <w:lang w:bidi="fa-IR"/>
        </w:rPr>
        <w:t xml:space="preserve"> ثُمَّ تَلَا هذِهِ الْآيَةَ : </w:t>
      </w:r>
      <w:r w:rsidRPr="00071CF9">
        <w:rPr>
          <w:rStyle w:val="libAlaemChar"/>
          <w:rtl/>
        </w:rPr>
        <w:t>(</w:t>
      </w:r>
      <w:r w:rsidRPr="00071CF9">
        <w:rPr>
          <w:rStyle w:val="libAieChar"/>
          <w:rtl/>
        </w:rPr>
        <w:t xml:space="preserve"> كَلاّ إِنَّ كِتابَ الْأَبْرارِ لَفِي عِلِّيِّينَ </w:t>
      </w:r>
      <w:r w:rsidR="005E3578">
        <w:rPr>
          <w:rStyle w:val="libAieChar"/>
          <w:rFonts w:hint="cs"/>
          <w:rtl/>
        </w:rPr>
        <w:t xml:space="preserve">* </w:t>
      </w:r>
      <w:r w:rsidRPr="00071CF9">
        <w:rPr>
          <w:rStyle w:val="libAieChar"/>
          <w:rtl/>
        </w:rPr>
        <w:t xml:space="preserve">وَما أَدْراكَ ما عِلِّيُّونَ </w:t>
      </w:r>
      <w:r w:rsidR="005E3578">
        <w:rPr>
          <w:rStyle w:val="libAieChar"/>
          <w:rFonts w:hint="cs"/>
          <w:rtl/>
        </w:rPr>
        <w:t xml:space="preserve">* </w:t>
      </w:r>
      <w:r w:rsidRPr="00071CF9">
        <w:rPr>
          <w:rStyle w:val="libAieChar"/>
          <w:rtl/>
        </w:rPr>
        <w:t xml:space="preserve">كِتابٌ مَرْقُومٌ </w:t>
      </w:r>
      <w:r w:rsidR="005E3578">
        <w:rPr>
          <w:rStyle w:val="libAieChar"/>
          <w:rFonts w:hint="cs"/>
          <w:rtl/>
        </w:rPr>
        <w:t xml:space="preserve">* </w:t>
      </w:r>
      <w:r w:rsidRPr="00071CF9">
        <w:rPr>
          <w:rStyle w:val="libAieChar"/>
          <w:rtl/>
        </w:rPr>
        <w:t xml:space="preserve">يَشْهَدُهُ الْمُقَرَّبُونَ </w:t>
      </w:r>
      <w:r w:rsidRPr="00071CF9">
        <w:rPr>
          <w:rStyle w:val="libAlaemChar"/>
          <w:rtl/>
        </w:rPr>
        <w:t>)</w:t>
      </w:r>
      <w:r w:rsidRPr="00132E65">
        <w:rPr>
          <w:rtl/>
          <w:lang w:bidi="fa-IR"/>
        </w:rPr>
        <w:t xml:space="preserve"> </w:t>
      </w:r>
      <w:r>
        <w:rPr>
          <w:rStyle w:val="libFootnotenumChar"/>
          <w:rtl/>
        </w:rPr>
        <w:t>(4)</w:t>
      </w:r>
    </w:p>
    <w:p w:rsidR="000C39D1" w:rsidRPr="00132E65" w:rsidRDefault="000C39D1" w:rsidP="002638A6">
      <w:pPr>
        <w:pStyle w:val="libNormal"/>
        <w:rPr>
          <w:rtl/>
          <w:lang w:bidi="fa-IR"/>
        </w:rPr>
      </w:pPr>
      <w:r w:rsidRPr="00132E65">
        <w:rPr>
          <w:rtl/>
          <w:lang w:bidi="fa-IR"/>
        </w:rPr>
        <w:t xml:space="preserve">« وَخَلَقَ عَدُوَّنَا مِنْ سِجِّينٍ </w:t>
      </w:r>
      <w:r>
        <w:rPr>
          <w:rStyle w:val="libFootnotenumChar"/>
          <w:rtl/>
        </w:rPr>
        <w:t>(5)</w:t>
      </w:r>
      <w:r w:rsidRPr="00132E65">
        <w:rPr>
          <w:rtl/>
          <w:lang w:bidi="fa-IR"/>
        </w:rPr>
        <w:t xml:space="preserve"> ، وخَلَقَ قُلُوبَ شِيعَتِهِمْ مِمَّا خَلَقَهُمْ مِنْهُ ، وأَبْدَانَهُمْ مِنْ دُونِ ذلِكَ ؛ فَقُلُوبُهُمْ تَهْوِي إِلَيْهِمْ ؛ لِأَنَّهَا خُلِقَتْ مِمَّا خُلِقُوا مِنْهُ »</w:t>
      </w:r>
      <w:r>
        <w:rPr>
          <w:rtl/>
          <w:lang w:bidi="fa-IR"/>
        </w:rPr>
        <w:t>.</w:t>
      </w:r>
      <w:r w:rsidRPr="00132E65">
        <w:rPr>
          <w:rtl/>
          <w:lang w:bidi="fa-IR"/>
        </w:rPr>
        <w:t xml:space="preserve"> ثُمَّ تَلَا هذِهِ الْآيَةَ : </w:t>
      </w:r>
      <w:r w:rsidRPr="00071CF9">
        <w:rPr>
          <w:rStyle w:val="libAlaemChar"/>
          <w:rtl/>
        </w:rPr>
        <w:t>(</w:t>
      </w:r>
      <w:r w:rsidRPr="00071CF9">
        <w:rPr>
          <w:rStyle w:val="libAieChar"/>
          <w:rtl/>
        </w:rPr>
        <w:t xml:space="preserve"> كَلاّ إِنَّ كِتابَ الفُجّارِ لَفِي سِجِّينٍ </w:t>
      </w:r>
      <w:r w:rsidR="005E3578">
        <w:rPr>
          <w:rStyle w:val="libAieChar"/>
          <w:rFonts w:hint="cs"/>
          <w:rtl/>
        </w:rPr>
        <w:t xml:space="preserve">* </w:t>
      </w:r>
      <w:r w:rsidRPr="00071CF9">
        <w:rPr>
          <w:rStyle w:val="libAieChar"/>
          <w:rtl/>
        </w:rPr>
        <w:t xml:space="preserve">وَما أَدْراكَ ما سِجِّينٌ </w:t>
      </w:r>
      <w:r w:rsidR="005E3578">
        <w:rPr>
          <w:rStyle w:val="libAieChar"/>
          <w:rFonts w:hint="cs"/>
          <w:rtl/>
        </w:rPr>
        <w:t xml:space="preserve">* </w:t>
      </w:r>
      <w:r w:rsidRPr="00071CF9">
        <w:rPr>
          <w:rStyle w:val="libAieChar"/>
          <w:rtl/>
        </w:rPr>
        <w:t>كِتابٌ مَرْقُومٌ</w:t>
      </w:r>
      <w:r w:rsidRPr="002638A6">
        <w:rPr>
          <w:rtl/>
        </w:rPr>
        <w:t xml:space="preserve"> </w:t>
      </w:r>
      <w:r w:rsidR="002638A6">
        <w:rPr>
          <w:rStyle w:val="libFootnotenumChar"/>
          <w:rtl/>
        </w:rPr>
        <w:t>(6)</w:t>
      </w:r>
      <w:r w:rsidR="002638A6" w:rsidRPr="002638A6">
        <w:rPr>
          <w:rFonts w:hint="cs"/>
          <w:rtl/>
        </w:rPr>
        <w:t xml:space="preserve"> </w:t>
      </w:r>
      <w:r w:rsidRPr="00071CF9">
        <w:rPr>
          <w:rStyle w:val="libAlaemChar"/>
          <w:rtl/>
        </w:rPr>
        <w:t>)</w:t>
      </w:r>
      <w:r w:rsidR="005E3578">
        <w:rPr>
          <w:rFonts w:hint="cs"/>
          <w:rtl/>
          <w:lang w:bidi="fa-IR"/>
        </w:rPr>
        <w:t>.</w:t>
      </w:r>
      <w:r>
        <w:rPr>
          <w:rStyle w:val="libFootnotenumChar"/>
          <w:rtl/>
        </w:rPr>
        <w:t>(7)</w:t>
      </w:r>
    </w:p>
    <w:p w:rsidR="000C39D1" w:rsidRPr="00132E65" w:rsidRDefault="000C39D1" w:rsidP="000C39D1">
      <w:pPr>
        <w:pStyle w:val="Heading2Center"/>
        <w:rPr>
          <w:rtl/>
          <w:lang w:bidi="fa-IR"/>
        </w:rPr>
      </w:pPr>
      <w:bookmarkStart w:id="80" w:name="_Toc459459126"/>
      <w:bookmarkStart w:id="81" w:name="_Toc34663095"/>
      <w:r w:rsidRPr="00132E65">
        <w:rPr>
          <w:rtl/>
          <w:lang w:bidi="fa-IR"/>
        </w:rPr>
        <w:t>95</w:t>
      </w:r>
      <w:r>
        <w:rPr>
          <w:rtl/>
          <w:lang w:bidi="fa-IR"/>
        </w:rPr>
        <w:t xml:space="preserve"> - </w:t>
      </w:r>
      <w:r w:rsidRPr="00132E65">
        <w:rPr>
          <w:rtl/>
          <w:lang w:bidi="fa-IR"/>
        </w:rPr>
        <w:t>بَابُ التَّسْلِيمِ وفَضْلِ الْمُسَلِّمِينَ‌</w:t>
      </w:r>
      <w:bookmarkEnd w:id="80"/>
      <w:bookmarkEnd w:id="81"/>
    </w:p>
    <w:p w:rsidR="000C39D1" w:rsidRPr="00132E65" w:rsidRDefault="000C39D1" w:rsidP="000C39D1">
      <w:pPr>
        <w:pStyle w:val="libNormal"/>
        <w:rPr>
          <w:rtl/>
          <w:lang w:bidi="fa-IR"/>
        </w:rPr>
      </w:pPr>
      <w:r w:rsidRPr="00A92724">
        <w:rPr>
          <w:rtl/>
        </w:rPr>
        <w:t>1018</w:t>
      </w:r>
      <w:r w:rsidRPr="004325D8">
        <w:rPr>
          <w:rStyle w:val="libBold2Char"/>
          <w:rtl/>
        </w:rPr>
        <w:t xml:space="preserve"> / 1.</w:t>
      </w:r>
      <w:r w:rsidRPr="00132E65">
        <w:rPr>
          <w:rtl/>
          <w:lang w:bidi="fa-IR"/>
        </w:rPr>
        <w:t xml:space="preserve"> عِدَّةٌ مِنْ أَصْحَابِنَا ، عَنْ أَحْمَدَ بْنِ مُحَمَّدِ بْنِ عِيسى ، عَنِ ابْنِ سِنَانٍ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F92758">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1452 ، و</w:t>
      </w:r>
      <w:r w:rsidRPr="009D1ACE">
        <w:rPr>
          <w:rStyle w:val="libFootnoteBoldChar"/>
          <w:rtl/>
        </w:rPr>
        <w:t>الوافي</w:t>
      </w:r>
      <w:r w:rsidRPr="00132E65">
        <w:rPr>
          <w:rtl/>
        </w:rPr>
        <w:t xml:space="preserve"> والبصائر ، ص 15 ، والمحاسن ، وتفسير القمّي ، والعلل والبحار ، ج 61 :</w:t>
      </w:r>
      <w:r>
        <w:rPr>
          <w:rtl/>
        </w:rPr>
        <w:t xml:space="preserve"> + </w:t>
      </w:r>
      <w:r w:rsidRPr="00132E65">
        <w:rPr>
          <w:rtl/>
        </w:rPr>
        <w:t>« منه »</w:t>
      </w:r>
      <w:r>
        <w:rPr>
          <w:rtl/>
        </w:rPr>
        <w:t>.</w:t>
      </w:r>
      <w:r w:rsidR="00F92758">
        <w:rPr>
          <w:rFonts w:hint="cs"/>
          <w:rtl/>
        </w:rPr>
        <w:t xml:space="preserve">                                             </w:t>
      </w:r>
      <w:r>
        <w:rPr>
          <w:rtl/>
        </w:rPr>
        <w:t>(2).</w:t>
      </w:r>
      <w:r w:rsidRPr="00132E65">
        <w:rPr>
          <w:rtl/>
        </w:rPr>
        <w:t xml:space="preserve"> في </w:t>
      </w:r>
      <w:r w:rsidRPr="000577A7">
        <w:rPr>
          <w:rStyle w:val="libFootnoteBoldChar"/>
          <w:rtl/>
        </w:rPr>
        <w:t>الكافي</w:t>
      </w:r>
      <w:r w:rsidRPr="00132E65">
        <w:rPr>
          <w:rtl/>
        </w:rPr>
        <w:t xml:space="preserve"> ، ح 1425 : « وقلوبهم »</w:t>
      </w:r>
      <w:r>
        <w:rPr>
          <w:rtl/>
        </w:rPr>
        <w:t>.</w:t>
      </w:r>
    </w:p>
    <w:p w:rsidR="000C39D1" w:rsidRPr="00132E65" w:rsidRDefault="000C39D1" w:rsidP="00C94E5E">
      <w:pPr>
        <w:pStyle w:val="libFootnote0"/>
        <w:rPr>
          <w:rtl/>
          <w:lang w:bidi="fa-IR"/>
        </w:rPr>
      </w:pPr>
      <w:r>
        <w:rPr>
          <w:rtl/>
        </w:rPr>
        <w:t>(3).</w:t>
      </w:r>
      <w:r w:rsidRPr="00132E65">
        <w:rPr>
          <w:rtl/>
        </w:rPr>
        <w:t xml:space="preserve"> في حاشية « بح ، بر » و</w:t>
      </w:r>
      <w:r w:rsidRPr="000577A7">
        <w:rPr>
          <w:rStyle w:val="libFootnoteBoldChar"/>
          <w:rtl/>
        </w:rPr>
        <w:t>الكافي</w:t>
      </w:r>
      <w:r w:rsidRPr="00132E65">
        <w:rPr>
          <w:rtl/>
        </w:rPr>
        <w:t xml:space="preserve"> ، ح 1425 ، والمحاسن وتفسير القمّي والعلل ، ص 116 </w:t>
      </w:r>
      <w:r>
        <w:rPr>
          <w:rtl/>
        </w:rPr>
        <w:t>و 1</w:t>
      </w:r>
      <w:r w:rsidRPr="00132E65">
        <w:rPr>
          <w:rtl/>
        </w:rPr>
        <w:t>17 ، والبحار ، ج 61 :</w:t>
      </w:r>
      <w:r>
        <w:rPr>
          <w:rtl/>
        </w:rPr>
        <w:t xml:space="preserve"> + </w:t>
      </w:r>
      <w:r w:rsidRPr="00132E65">
        <w:rPr>
          <w:rtl/>
        </w:rPr>
        <w:t>« منه »</w:t>
      </w:r>
      <w:r>
        <w:rPr>
          <w:rtl/>
        </w:rPr>
        <w:t>.</w:t>
      </w:r>
      <w:r w:rsidR="00C94E5E">
        <w:rPr>
          <w:rFonts w:hint="cs"/>
          <w:rtl/>
        </w:rPr>
        <w:t xml:space="preserve">                                 </w:t>
      </w:r>
      <w:r>
        <w:rPr>
          <w:rtl/>
        </w:rPr>
        <w:t>(4).</w:t>
      </w:r>
      <w:r w:rsidRPr="00132E65">
        <w:rPr>
          <w:rtl/>
        </w:rPr>
        <w:t xml:space="preserve"> المطفّفين (83) : 18</w:t>
      </w:r>
      <w:r>
        <w:rPr>
          <w:rtl/>
        </w:rPr>
        <w:t xml:space="preserve"> - </w:t>
      </w:r>
      <w:r w:rsidRPr="00132E65">
        <w:rPr>
          <w:rtl/>
        </w:rPr>
        <w:t>21.</w:t>
      </w:r>
    </w:p>
    <w:p w:rsidR="000C39D1" w:rsidRPr="00132E65" w:rsidRDefault="000C39D1" w:rsidP="000C39D1">
      <w:pPr>
        <w:pStyle w:val="libFootnote0"/>
        <w:rPr>
          <w:rtl/>
          <w:lang w:bidi="fa-IR"/>
        </w:rPr>
      </w:pPr>
      <w:r>
        <w:rPr>
          <w:rtl/>
        </w:rPr>
        <w:t>(5).</w:t>
      </w:r>
      <w:r w:rsidRPr="00132E65">
        <w:rPr>
          <w:rtl/>
        </w:rPr>
        <w:t xml:space="preserve"> في « ف ، بح ، بر ، بس ، بف » وحاشية « ض » وشرح المازندراني و</w:t>
      </w:r>
      <w:r w:rsidRPr="009D1ACE">
        <w:rPr>
          <w:rStyle w:val="libFootnoteBoldChar"/>
          <w:rtl/>
        </w:rPr>
        <w:t>مرآة العقول</w:t>
      </w:r>
      <w:r w:rsidRPr="00132E65">
        <w:rPr>
          <w:rtl/>
        </w:rPr>
        <w:t xml:space="preserve"> : « سجّيل »</w:t>
      </w:r>
      <w:r>
        <w:rPr>
          <w:rtl/>
        </w:rPr>
        <w:t>.</w:t>
      </w:r>
    </w:p>
    <w:p w:rsidR="000C39D1" w:rsidRPr="00132E65" w:rsidRDefault="000C39D1" w:rsidP="00C94E5E">
      <w:pPr>
        <w:pStyle w:val="libFootnote0"/>
        <w:rPr>
          <w:rtl/>
          <w:lang w:bidi="fa-IR"/>
        </w:rPr>
      </w:pPr>
      <w:r>
        <w:rPr>
          <w:rtl/>
        </w:rPr>
        <w:t>(6).</w:t>
      </w:r>
      <w:r w:rsidRPr="00132E65">
        <w:rPr>
          <w:rtl/>
        </w:rPr>
        <w:t xml:space="preserve"> المطفّفين (83) : 7</w:t>
      </w:r>
      <w:r>
        <w:rPr>
          <w:rtl/>
        </w:rPr>
        <w:t xml:space="preserve"> - </w:t>
      </w:r>
      <w:r w:rsidRPr="00132E65">
        <w:rPr>
          <w:rtl/>
        </w:rPr>
        <w:t xml:space="preserve">9. وفي </w:t>
      </w:r>
      <w:r w:rsidRPr="000577A7">
        <w:rPr>
          <w:rStyle w:val="libFootnoteBoldChar"/>
          <w:rtl/>
        </w:rPr>
        <w:t>الكافي</w:t>
      </w:r>
      <w:r w:rsidRPr="00132E65">
        <w:rPr>
          <w:rtl/>
        </w:rPr>
        <w:t xml:space="preserve"> ، ح 1452 ، و</w:t>
      </w:r>
      <w:r w:rsidRPr="009D1ACE">
        <w:rPr>
          <w:rStyle w:val="libFootnoteBoldChar"/>
          <w:rtl/>
        </w:rPr>
        <w:t>الوافي</w:t>
      </w:r>
      <w:r w:rsidRPr="00132E65">
        <w:rPr>
          <w:rtl/>
        </w:rPr>
        <w:t xml:space="preserve"> والعلل ، ص 117 :</w:t>
      </w:r>
      <w:r>
        <w:rPr>
          <w:rtl/>
        </w:rPr>
        <w:t xml:space="preserve"> + </w:t>
      </w:r>
      <w:r w:rsidR="00C94E5E" w:rsidRPr="00C94E5E">
        <w:rPr>
          <w:rStyle w:val="libFootnoteAlaemChar"/>
          <w:rFonts w:hint="cs"/>
          <w:rtl/>
        </w:rPr>
        <w:t>(</w:t>
      </w:r>
      <w:r w:rsidRPr="00C94E5E">
        <w:rPr>
          <w:rStyle w:val="libFootnoteAieChar"/>
          <w:rtl/>
        </w:rPr>
        <w:t xml:space="preserve"> فَوَيْلٌ يَوْمَئِذٍ</w:t>
      </w:r>
      <w:r w:rsidRPr="00132E65">
        <w:rPr>
          <w:rtl/>
        </w:rPr>
        <w:t xml:space="preserve"> </w:t>
      </w:r>
      <w:r w:rsidRPr="00C94E5E">
        <w:rPr>
          <w:rStyle w:val="libFootnoteAieChar"/>
          <w:rtl/>
        </w:rPr>
        <w:t xml:space="preserve">لِلْمُكَذِّبِينَ </w:t>
      </w:r>
      <w:r w:rsidR="00C94E5E" w:rsidRPr="00C94E5E">
        <w:rPr>
          <w:rStyle w:val="libFootnoteAlaemChar"/>
          <w:rFonts w:hint="cs"/>
          <w:rtl/>
        </w:rPr>
        <w:t>)</w:t>
      </w:r>
      <w:r>
        <w:rPr>
          <w:rtl/>
        </w:rPr>
        <w:t>.</w:t>
      </w:r>
    </w:p>
    <w:p w:rsidR="000C39D1" w:rsidRPr="00132E65" w:rsidRDefault="000C39D1" w:rsidP="00C94E5E">
      <w:pPr>
        <w:pStyle w:val="libFootnote0"/>
        <w:rPr>
          <w:rtl/>
          <w:lang w:bidi="fa-IR"/>
        </w:rPr>
      </w:pPr>
      <w:r>
        <w:rPr>
          <w:rtl/>
        </w:rPr>
        <w:t>(7).</w:t>
      </w:r>
      <w:r w:rsidRPr="00132E65">
        <w:rPr>
          <w:rtl/>
        </w:rPr>
        <w:t xml:space="preserve"> </w:t>
      </w:r>
      <w:r w:rsidRPr="000577A7">
        <w:rPr>
          <w:rStyle w:val="libFootnoteBoldChar"/>
          <w:rtl/>
        </w:rPr>
        <w:t>الكافي</w:t>
      </w:r>
      <w:r w:rsidRPr="00132E65">
        <w:rPr>
          <w:rtl/>
        </w:rPr>
        <w:t xml:space="preserve"> ، كتاب الإيمان والكفر ، باب طينة المؤمن والكافر ، ح 1452 ، عن محمّد بن يحيى وغيره ، عن أحمد بن محمّد وغيره ، عن محمّد بن خالد ، عن أبي نهشل. </w:t>
      </w:r>
      <w:r w:rsidRPr="007A1104">
        <w:rPr>
          <w:rStyle w:val="libFootnoteBoldChar"/>
          <w:rtl/>
        </w:rPr>
        <w:t>بصائر الدرجات</w:t>
      </w:r>
      <w:r w:rsidRPr="00132E65">
        <w:rPr>
          <w:rtl/>
        </w:rPr>
        <w:t xml:space="preserve"> ، ص 15 ، ح 3 ، عن أحمد بن محمّد</w:t>
      </w:r>
      <w:r>
        <w:rPr>
          <w:rtl/>
        </w:rPr>
        <w:t xml:space="preserve"> ..</w:t>
      </w:r>
      <w:r w:rsidRPr="00132E65">
        <w:rPr>
          <w:rtl/>
        </w:rPr>
        <w:t xml:space="preserve">. عن أبي عبد الله </w:t>
      </w:r>
      <w:r w:rsidRPr="00F92758">
        <w:rPr>
          <w:rStyle w:val="libFootnoteAlaemChar"/>
          <w:rtl/>
        </w:rPr>
        <w:t>عليه‌السلام</w:t>
      </w:r>
      <w:r w:rsidRPr="00132E65">
        <w:rPr>
          <w:rtl/>
        </w:rPr>
        <w:t xml:space="preserve"> ؛ </w:t>
      </w:r>
      <w:r w:rsidRPr="00A92724">
        <w:rPr>
          <w:rtl/>
        </w:rPr>
        <w:t>المحاسن</w:t>
      </w:r>
      <w:r w:rsidRPr="00132E65">
        <w:rPr>
          <w:rtl/>
        </w:rPr>
        <w:t xml:space="preserve"> ، ص 132 ، ح 5 ، بسنده عن أبي نهشل</w:t>
      </w:r>
      <w:r>
        <w:rPr>
          <w:rtl/>
        </w:rPr>
        <w:t xml:space="preserve"> ..</w:t>
      </w:r>
      <w:r w:rsidRPr="00132E65">
        <w:rPr>
          <w:rtl/>
        </w:rPr>
        <w:t xml:space="preserve">. عن أبي عبد الله ؛ </w:t>
      </w:r>
      <w:r w:rsidRPr="00A92724">
        <w:rPr>
          <w:rtl/>
        </w:rPr>
        <w:t>علل الشرائع</w:t>
      </w:r>
      <w:r w:rsidRPr="00132E65">
        <w:rPr>
          <w:rtl/>
        </w:rPr>
        <w:t xml:space="preserve"> ، ص 116 ، ح 12 ، بسنده عن البرقي ، عن أبيه ، عن أبي نهشل ، عن محمّد بن إسماعيل ، عن أبيه ، عن أبي حمزة ؛ </w:t>
      </w:r>
      <w:r w:rsidRPr="00A92724">
        <w:rPr>
          <w:rtl/>
        </w:rPr>
        <w:t>تفسير القمّي</w:t>
      </w:r>
      <w:r w:rsidRPr="00132E65">
        <w:rPr>
          <w:rtl/>
        </w:rPr>
        <w:t xml:space="preserve"> ، ج 2 ، ص 411 ، عن أبيه ، عن محمّد بن إسماعيل ، وفي الثلاثة الأخيرة إلى قوله : </w:t>
      </w:r>
      <w:r w:rsidR="00C94E5E" w:rsidRPr="00C94E5E">
        <w:rPr>
          <w:rStyle w:val="libFootnoteAlaemChar"/>
          <w:rFonts w:hint="cs"/>
          <w:rtl/>
        </w:rPr>
        <w:t>(</w:t>
      </w:r>
      <w:r w:rsidRPr="00C94E5E">
        <w:rPr>
          <w:rStyle w:val="libFootnoteAieChar"/>
          <w:rtl/>
        </w:rPr>
        <w:t xml:space="preserve"> يَشْهَدُهُ ال</w:t>
      </w:r>
      <w:r w:rsidR="00F92758" w:rsidRPr="00C94E5E">
        <w:rPr>
          <w:rStyle w:val="libFootnoteAieChar"/>
          <w:rFonts w:hint="cs"/>
          <w:rtl/>
        </w:rPr>
        <w:t>ـ</w:t>
      </w:r>
      <w:r w:rsidRPr="00C94E5E">
        <w:rPr>
          <w:rStyle w:val="libFootnoteAieChar"/>
          <w:rtl/>
        </w:rPr>
        <w:t xml:space="preserve">مُقَرَّبُونَ </w:t>
      </w:r>
      <w:r w:rsidR="00C94E5E" w:rsidRPr="00C94E5E">
        <w:rPr>
          <w:rStyle w:val="libFootnoteAlaemChar"/>
          <w:rFonts w:hint="cs"/>
          <w:rtl/>
        </w:rPr>
        <w:t>)</w:t>
      </w:r>
      <w:r w:rsidRPr="00132E65">
        <w:rPr>
          <w:rtl/>
        </w:rPr>
        <w:t xml:space="preserve"> ؛ وفي </w:t>
      </w:r>
      <w:r w:rsidRPr="00A92724">
        <w:rPr>
          <w:rtl/>
        </w:rPr>
        <w:t>علل الشرائع</w:t>
      </w:r>
      <w:r w:rsidRPr="00132E65">
        <w:rPr>
          <w:rtl/>
        </w:rPr>
        <w:t xml:space="preserve"> ، ص 117 ، ح 14 ، بسنده عن محمّد بن إسماعيل ، رفعه إلى محمّد بن سنان ، عن زيد الشحّام ، عن أبي عبد الله </w:t>
      </w:r>
      <w:r w:rsidRPr="00F92758">
        <w:rPr>
          <w:rStyle w:val="libFootnoteAlaemChar"/>
          <w:rtl/>
        </w:rPr>
        <w:t>عليه‌السلام</w:t>
      </w:r>
      <w:r w:rsidRPr="00132E65">
        <w:rPr>
          <w:rtl/>
        </w:rPr>
        <w:t xml:space="preserve"> مع اختلاف يسير. وفي </w:t>
      </w:r>
      <w:r w:rsidRPr="007A1104">
        <w:rPr>
          <w:rStyle w:val="libFootnoteBoldChar"/>
          <w:rtl/>
        </w:rPr>
        <w:t>بصائر الدرجات</w:t>
      </w:r>
      <w:r w:rsidRPr="00132E65">
        <w:rPr>
          <w:rtl/>
        </w:rPr>
        <w:t xml:space="preserve"> ، ص 20 ، ح 2 ، بسند آخر ، عن أبي عبد الله </w:t>
      </w:r>
      <w:r w:rsidRPr="00F92758">
        <w:rPr>
          <w:rStyle w:val="libFootnoteAlaemChar"/>
          <w:rtl/>
        </w:rPr>
        <w:t>عليه‌السلام</w:t>
      </w:r>
      <w:r w:rsidRPr="00132E65">
        <w:rPr>
          <w:rtl/>
        </w:rPr>
        <w:t xml:space="preserve"> ، مع اختلاف</w:t>
      </w:r>
      <w:r w:rsidR="00C94E5E">
        <w:rPr>
          <w:rFonts w:hint="cs"/>
          <w:rtl/>
        </w:rPr>
        <w:t>.</w:t>
      </w:r>
      <w:r w:rsidRPr="009D1ACE">
        <w:rPr>
          <w:rStyle w:val="libFootnoteBoldChar"/>
          <w:rtl/>
        </w:rPr>
        <w:t>الوافي</w:t>
      </w:r>
      <w:r w:rsidRPr="00132E65">
        <w:rPr>
          <w:rtl/>
        </w:rPr>
        <w:t xml:space="preserve"> ، ج 4 ، ص 29 ، ح 1647 ؛ </w:t>
      </w:r>
      <w:r w:rsidRPr="00A92724">
        <w:rPr>
          <w:rtl/>
        </w:rPr>
        <w:t>البحار</w:t>
      </w:r>
      <w:r w:rsidRPr="00132E65">
        <w:rPr>
          <w:rtl/>
        </w:rPr>
        <w:t xml:space="preserve"> ، ج 61 ، ص 43 ، ح 20 ؛ وج 67 ، ص 127 ، ح 32.</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ابْنِ مُسْكَانَ ، عَنْ سَدِيرٍ ، قَالَ :</w:t>
      </w:r>
    </w:p>
    <w:p w:rsidR="000C39D1" w:rsidRPr="00132E65" w:rsidRDefault="000C39D1" w:rsidP="000C39D1">
      <w:pPr>
        <w:pStyle w:val="libNormal"/>
        <w:rPr>
          <w:rtl/>
          <w:lang w:bidi="fa-IR"/>
        </w:rPr>
      </w:pPr>
      <w:r w:rsidRPr="00132E65">
        <w:rPr>
          <w:rtl/>
          <w:lang w:bidi="fa-IR"/>
        </w:rPr>
        <w:t xml:space="preserve">قُلْتُ لِأَبِي جَعْفَرٍ </w:t>
      </w:r>
      <w:r w:rsidRPr="00071CF9">
        <w:rPr>
          <w:rStyle w:val="libAlaemChar"/>
          <w:rtl/>
        </w:rPr>
        <w:t>عليه‌السلام</w:t>
      </w:r>
      <w:r w:rsidRPr="00132E65">
        <w:rPr>
          <w:rtl/>
          <w:lang w:bidi="fa-IR"/>
        </w:rPr>
        <w:t xml:space="preserve"> : إِنِّي </w:t>
      </w:r>
      <w:r>
        <w:rPr>
          <w:rStyle w:val="libFootnotenumChar"/>
          <w:rtl/>
        </w:rPr>
        <w:t>(1)</w:t>
      </w:r>
      <w:r w:rsidRPr="00132E65">
        <w:rPr>
          <w:rtl/>
          <w:lang w:bidi="fa-IR"/>
        </w:rPr>
        <w:t xml:space="preserve"> تَرَكْتُ مَوَالِيَكَ مُخْتَلِفِينَ ، يَتَبَرَّأُ </w:t>
      </w:r>
      <w:r>
        <w:rPr>
          <w:rStyle w:val="libFootnotenumChar"/>
          <w:rtl/>
        </w:rPr>
        <w:t>(2)</w:t>
      </w:r>
      <w:r w:rsidRPr="00132E65">
        <w:rPr>
          <w:rtl/>
          <w:lang w:bidi="fa-IR"/>
        </w:rPr>
        <w:t xml:space="preserve"> بَعْضُهُمْ مِنْ </w:t>
      </w:r>
      <w:r>
        <w:rPr>
          <w:rStyle w:val="libFootnotenumChar"/>
          <w:rtl/>
        </w:rPr>
        <w:t>(3)</w:t>
      </w:r>
      <w:r w:rsidRPr="00132E65">
        <w:rPr>
          <w:rtl/>
          <w:lang w:bidi="fa-IR"/>
        </w:rPr>
        <w:t xml:space="preserve"> بَعْضٍ</w:t>
      </w:r>
      <w:r>
        <w:rPr>
          <w:rtl/>
          <w:lang w:bidi="fa-IR"/>
        </w:rPr>
        <w:t>؟</w:t>
      </w:r>
    </w:p>
    <w:p w:rsidR="000C39D1" w:rsidRPr="00132E65" w:rsidRDefault="000C39D1" w:rsidP="000C39D1">
      <w:pPr>
        <w:pStyle w:val="libNormal"/>
        <w:rPr>
          <w:rtl/>
          <w:lang w:bidi="fa-IR"/>
        </w:rPr>
      </w:pPr>
      <w:r w:rsidRPr="00132E65">
        <w:rPr>
          <w:rtl/>
          <w:lang w:bidi="fa-IR"/>
        </w:rPr>
        <w:t xml:space="preserve">قَالَ : فَقَالَ </w:t>
      </w:r>
      <w:r>
        <w:rPr>
          <w:rStyle w:val="libFootnotenumChar"/>
          <w:rtl/>
        </w:rPr>
        <w:t>(4)</w:t>
      </w:r>
      <w:r w:rsidRPr="00132E65">
        <w:rPr>
          <w:rtl/>
          <w:lang w:bidi="fa-IR"/>
        </w:rPr>
        <w:t xml:space="preserve"> : « وَمَا أَنْتَ وذَاكَ </w:t>
      </w:r>
      <w:r>
        <w:rPr>
          <w:rStyle w:val="libFootnotenumChar"/>
          <w:rtl/>
        </w:rPr>
        <w:t>(5)</w:t>
      </w:r>
      <w:r w:rsidRPr="00132E65">
        <w:rPr>
          <w:rtl/>
          <w:lang w:bidi="fa-IR"/>
        </w:rPr>
        <w:t xml:space="preserve"> ، إِنَّمَا كُلِّفَ </w:t>
      </w:r>
      <w:r>
        <w:rPr>
          <w:rStyle w:val="libFootnotenumChar"/>
          <w:rtl/>
        </w:rPr>
        <w:t>(6)</w:t>
      </w:r>
      <w:r w:rsidRPr="00132E65">
        <w:rPr>
          <w:rtl/>
          <w:lang w:bidi="fa-IR"/>
        </w:rPr>
        <w:t xml:space="preserve"> النَّاسُ ثَلَاثَةً : مَعْرِفَةَ الْأَئِمَّةِ </w:t>
      </w:r>
      <w:r>
        <w:rPr>
          <w:rStyle w:val="libFootnotenumChar"/>
          <w:rtl/>
        </w:rPr>
        <w:t>(7)</w:t>
      </w:r>
      <w:r w:rsidRPr="00132E65">
        <w:rPr>
          <w:rtl/>
          <w:lang w:bidi="fa-IR"/>
        </w:rPr>
        <w:t xml:space="preserve"> ، وَالتَّسْلِيمَ لَهُمْ فِيمَا ورَدَ </w:t>
      </w:r>
      <w:r>
        <w:rPr>
          <w:rStyle w:val="libFootnotenumChar"/>
          <w:rtl/>
        </w:rPr>
        <w:t>(8)</w:t>
      </w:r>
      <w:r w:rsidRPr="00132E65">
        <w:rPr>
          <w:rtl/>
          <w:lang w:bidi="fa-IR"/>
        </w:rPr>
        <w:t xml:space="preserve"> عَلَيْهِمْ ، والرَّدَّ إِلَيْهِمْ فِيمَا اخْتَلَفُوا فِيهِ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A92724">
        <w:rPr>
          <w:rtl/>
        </w:rPr>
        <w:t>1019</w:t>
      </w:r>
      <w:r w:rsidRPr="004325D8">
        <w:rPr>
          <w:rStyle w:val="libBold2Char"/>
          <w:rtl/>
        </w:rPr>
        <w:t xml:space="preserve"> / 2.</w:t>
      </w:r>
      <w:r w:rsidRPr="00132E65">
        <w:rPr>
          <w:rtl/>
          <w:lang w:bidi="fa-IR"/>
        </w:rPr>
        <w:t xml:space="preserve"> عِدَّةٌ مِنْ أَصْحَابِنَا ، عَنْ أَحْمَدَ بْنِ مُحَمَّدٍ الْبَرْقِيِّ ، عَنْ أَحْمَدَ بْنِ مُحَمَّدِ بْنِ أَبِي نَصْرٍ ، عَنْ حَمَّادِ بْنِ عُثْمَانَ ، عَنْ عَبْدِ اللهِ الْكَاهِلِيِّ </w:t>
      </w:r>
      <w:r>
        <w:rPr>
          <w:rStyle w:val="libFootnotenumChar"/>
          <w:rtl/>
        </w:rPr>
        <w:t>(10)</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لَوْ أَنَّ قَوْماً عَبَدُوا اللهَ وحْدَهُ لَاشَرِيكَ لَهُ ، وأَقَامُوا الصَّلَاةَ ، وَآتَوُا الزَّكَاةَ ، وحَجُّوا الْبَيْتَ ، وصَامُوا شَهْرَ رَمَضَانَ ، ثُمَّ قَالُوا لِشَيْ‌ءٍ صَنَعَهُ اللهُ ، أَوْ‌</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w:t>
      </w:r>
      <w:r>
        <w:rPr>
          <w:rtl/>
        </w:rPr>
        <w:t xml:space="preserve">: - </w:t>
      </w:r>
      <w:r w:rsidRPr="00132E65">
        <w:rPr>
          <w:rtl/>
        </w:rPr>
        <w:t>« إنّي »</w:t>
      </w:r>
      <w:r>
        <w:rPr>
          <w:rtl/>
        </w:rPr>
        <w:t>.</w:t>
      </w:r>
    </w:p>
    <w:p w:rsidR="000C39D1" w:rsidRPr="00132E65" w:rsidRDefault="000C39D1" w:rsidP="000C39D1">
      <w:pPr>
        <w:pStyle w:val="libFootnote0"/>
        <w:rPr>
          <w:rtl/>
          <w:lang w:bidi="fa-IR"/>
        </w:rPr>
      </w:pPr>
      <w:r>
        <w:rPr>
          <w:rtl/>
        </w:rPr>
        <w:t>(2).</w:t>
      </w:r>
      <w:r w:rsidRPr="00132E65">
        <w:rPr>
          <w:rtl/>
        </w:rPr>
        <w:t xml:space="preserve"> في « ج ، بس ، بف » وحاشية « بر » وحاشية بدرالدين : « تبرّأ »</w:t>
      </w:r>
      <w:r>
        <w:rPr>
          <w:rtl/>
        </w:rPr>
        <w:t>.</w:t>
      </w:r>
    </w:p>
    <w:tbl>
      <w:tblPr>
        <w:tblStyle w:val="TableGrid"/>
        <w:bidiVisual/>
        <w:tblW w:w="0" w:type="auto"/>
        <w:tblLook w:val="04A0" w:firstRow="1" w:lastRow="0" w:firstColumn="1" w:lastColumn="0" w:noHBand="0" w:noVBand="1"/>
      </w:tblPr>
      <w:tblGrid>
        <w:gridCol w:w="4006"/>
        <w:gridCol w:w="4006"/>
      </w:tblGrid>
      <w:tr w:rsidR="00C94E5E" w:rsidTr="00C94E5E">
        <w:tc>
          <w:tcPr>
            <w:tcW w:w="4006" w:type="dxa"/>
          </w:tcPr>
          <w:p w:rsidR="00C94E5E" w:rsidRDefault="00C94E5E" w:rsidP="000C39D1">
            <w:pPr>
              <w:pStyle w:val="libFootnote0"/>
              <w:rPr>
                <w:rtl/>
              </w:rPr>
            </w:pPr>
            <w:r>
              <w:rPr>
                <w:rtl/>
              </w:rPr>
              <w:t>(3).</w:t>
            </w:r>
            <w:r w:rsidRPr="00132E65">
              <w:rPr>
                <w:rtl/>
              </w:rPr>
              <w:t xml:space="preserve"> في « ف » : « عن »</w:t>
            </w:r>
            <w:r>
              <w:rPr>
                <w:rtl/>
              </w:rPr>
              <w:t>.</w:t>
            </w:r>
          </w:p>
        </w:tc>
        <w:tc>
          <w:tcPr>
            <w:tcW w:w="4006" w:type="dxa"/>
          </w:tcPr>
          <w:p w:rsidR="00C94E5E" w:rsidRDefault="00C94E5E" w:rsidP="000C39D1">
            <w:pPr>
              <w:pStyle w:val="libFootnote0"/>
              <w:rPr>
                <w:rtl/>
              </w:rPr>
            </w:pPr>
            <w:r>
              <w:rPr>
                <w:rtl/>
              </w:rPr>
              <w:t>(4).</w:t>
            </w:r>
            <w:r w:rsidRPr="00132E65">
              <w:rPr>
                <w:rtl/>
              </w:rPr>
              <w:t xml:space="preserve"> في البصائر </w:t>
            </w:r>
            <w:r>
              <w:rPr>
                <w:rtl/>
              </w:rPr>
              <w:t xml:space="preserve">: - </w:t>
            </w:r>
            <w:r w:rsidRPr="00132E65">
              <w:rPr>
                <w:rtl/>
              </w:rPr>
              <w:t>« فقال »</w:t>
            </w:r>
            <w:r>
              <w:rPr>
                <w:rtl/>
              </w:rPr>
              <w:t>.</w:t>
            </w:r>
          </w:p>
        </w:tc>
      </w:tr>
    </w:tbl>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ج 4 ، ص 278 : « ما أنت وذاك ، الاستفهام للتوبيخ والإنكار. والواو بمعنى مع »</w:t>
      </w:r>
      <w:r>
        <w:rPr>
          <w:rtl/>
        </w:rPr>
        <w:t>.</w:t>
      </w:r>
    </w:p>
    <w:tbl>
      <w:tblPr>
        <w:tblStyle w:val="TableGrid"/>
        <w:bidiVisual/>
        <w:tblW w:w="0" w:type="auto"/>
        <w:tblLook w:val="04A0" w:firstRow="1" w:lastRow="0" w:firstColumn="1" w:lastColumn="0" w:noHBand="0" w:noVBand="1"/>
      </w:tblPr>
      <w:tblGrid>
        <w:gridCol w:w="4006"/>
        <w:gridCol w:w="4006"/>
      </w:tblGrid>
      <w:tr w:rsidR="00115AAB" w:rsidTr="00115AAB">
        <w:tc>
          <w:tcPr>
            <w:tcW w:w="4006" w:type="dxa"/>
          </w:tcPr>
          <w:p w:rsidR="00115AAB" w:rsidRDefault="00115AAB" w:rsidP="000C39D1">
            <w:pPr>
              <w:pStyle w:val="libFootnote0"/>
              <w:rPr>
                <w:rtl/>
                <w:lang w:bidi="fa-IR"/>
              </w:rPr>
            </w:pPr>
            <w:r>
              <w:rPr>
                <w:rtl/>
              </w:rPr>
              <w:t>(6).</w:t>
            </w:r>
            <w:r w:rsidRPr="00132E65">
              <w:rPr>
                <w:rtl/>
              </w:rPr>
              <w:t xml:space="preserve"> في البصائر :</w:t>
            </w:r>
            <w:r>
              <w:rPr>
                <w:rtl/>
              </w:rPr>
              <w:t xml:space="preserve"> + </w:t>
            </w:r>
            <w:r w:rsidRPr="00132E65">
              <w:rPr>
                <w:rtl/>
              </w:rPr>
              <w:t>« الله »</w:t>
            </w:r>
            <w:r>
              <w:rPr>
                <w:rtl/>
              </w:rPr>
              <w:t>.</w:t>
            </w:r>
          </w:p>
        </w:tc>
        <w:tc>
          <w:tcPr>
            <w:tcW w:w="4006" w:type="dxa"/>
          </w:tcPr>
          <w:p w:rsidR="00115AAB" w:rsidRDefault="00115AAB" w:rsidP="000C39D1">
            <w:pPr>
              <w:pStyle w:val="libFootnote0"/>
              <w:rPr>
                <w:rtl/>
                <w:lang w:bidi="fa-IR"/>
              </w:rPr>
            </w:pPr>
            <w:r>
              <w:rPr>
                <w:rtl/>
              </w:rPr>
              <w:t>(7).</w:t>
            </w:r>
            <w:r w:rsidRPr="00132E65">
              <w:rPr>
                <w:rtl/>
              </w:rPr>
              <w:t xml:space="preserve"> في شرح المازندراني : « الإمام »</w:t>
            </w:r>
            <w:r>
              <w:rPr>
                <w:rtl/>
              </w:rPr>
              <w:t>.</w:t>
            </w:r>
          </w:p>
        </w:tc>
      </w:tr>
    </w:tbl>
    <w:p w:rsidR="000C39D1" w:rsidRPr="00132E65" w:rsidRDefault="000C39D1" w:rsidP="000C39D1">
      <w:pPr>
        <w:pStyle w:val="libFootnote0"/>
        <w:rPr>
          <w:rtl/>
          <w:lang w:bidi="fa-IR"/>
        </w:rPr>
      </w:pPr>
      <w:r>
        <w:rPr>
          <w:rtl/>
        </w:rPr>
        <w:t>(8).</w:t>
      </w:r>
      <w:r w:rsidRPr="00132E65">
        <w:rPr>
          <w:rtl/>
        </w:rPr>
        <w:t xml:space="preserve"> في البصائر : « يرد »</w:t>
      </w:r>
      <w:r>
        <w:rPr>
          <w:rtl/>
        </w:rPr>
        <w:t>.</w:t>
      </w:r>
    </w:p>
    <w:p w:rsidR="000C39D1" w:rsidRPr="00132E65" w:rsidRDefault="000C39D1" w:rsidP="00115AAB">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523 ، ح 20 ، عن أحمد بن محمّد ، عن محمّد بن سنان</w:t>
      </w:r>
      <w:r w:rsidR="00115AAB">
        <w:rPr>
          <w:rFonts w:hint="cs"/>
          <w:rtl/>
        </w:rPr>
        <w:t>.</w:t>
      </w:r>
      <w:r w:rsidRPr="009D1ACE">
        <w:rPr>
          <w:rStyle w:val="libFootnoteBoldChar"/>
          <w:rtl/>
        </w:rPr>
        <w:t>الوافي</w:t>
      </w:r>
      <w:r w:rsidRPr="00132E65">
        <w:rPr>
          <w:rtl/>
        </w:rPr>
        <w:t xml:space="preserve"> ، ج 2 ، ص 110 ، ح 567 ؛ </w:t>
      </w:r>
      <w:r w:rsidRPr="00A92724">
        <w:rPr>
          <w:rtl/>
        </w:rPr>
        <w:t>الوسائل</w:t>
      </w:r>
      <w:r w:rsidRPr="00132E65">
        <w:rPr>
          <w:rtl/>
        </w:rPr>
        <w:t xml:space="preserve"> ، ج 27 ، ص 67 ، ح 33216 ، وفيه من قوله : « إنّما كلّف الناس ثلاثة »</w:t>
      </w:r>
      <w:r>
        <w:rPr>
          <w:rtl/>
        </w:rPr>
        <w:t>.</w:t>
      </w:r>
    </w:p>
    <w:p w:rsidR="000C39D1" w:rsidRPr="00132E65" w:rsidRDefault="000C39D1" w:rsidP="000C39D1">
      <w:pPr>
        <w:pStyle w:val="libFootnote0"/>
        <w:rPr>
          <w:rtl/>
          <w:lang w:bidi="fa-IR"/>
        </w:rPr>
      </w:pPr>
      <w:r>
        <w:rPr>
          <w:rtl/>
        </w:rPr>
        <w:t>(10).</w:t>
      </w:r>
      <w:r w:rsidRPr="00132E65">
        <w:rPr>
          <w:rtl/>
        </w:rPr>
        <w:t xml:space="preserve"> عبدالله الكاهلي ، هو عبدالله بن يحيى الكاهلي ، له كتاب يرويه عنه جماعة منهم أحمد بن محمّد بن أبي نصر. ويأتي الخبر في </w:t>
      </w:r>
      <w:r w:rsidRPr="000577A7">
        <w:rPr>
          <w:rStyle w:val="libFootnoteBoldChar"/>
          <w:rtl/>
        </w:rPr>
        <w:t>الكافي</w:t>
      </w:r>
      <w:r w:rsidRPr="00132E65">
        <w:rPr>
          <w:rtl/>
        </w:rPr>
        <w:t xml:space="preserve"> ، ح 2878 ، بسند آخر عن أحمد بن محمّد بن أبي نصر ، عن عبدالله بن يحيى الكاهلي. ولم نجد توسّط حمّاد بن عثمان بين ا</w:t>
      </w:r>
      <w:r w:rsidR="00115AAB">
        <w:rPr>
          <w:rtl/>
        </w:rPr>
        <w:t>بن أبي نصر وعبدالله الكاهلي إل</w:t>
      </w:r>
      <w:r w:rsidR="00115AAB">
        <w:rPr>
          <w:rFonts w:hint="cs"/>
          <w:rtl/>
        </w:rPr>
        <w:t>ّ</w:t>
      </w:r>
      <w:r w:rsidR="00115AAB">
        <w:rPr>
          <w:rtl/>
        </w:rPr>
        <w:t>ا</w:t>
      </w:r>
      <w:r w:rsidRPr="00132E65">
        <w:rPr>
          <w:rtl/>
        </w:rPr>
        <w:t xml:space="preserve"> في سندنا هذا وما ورد في </w:t>
      </w:r>
      <w:r w:rsidRPr="00A92724">
        <w:rPr>
          <w:rtl/>
        </w:rPr>
        <w:t>المحاسن</w:t>
      </w:r>
      <w:r w:rsidRPr="00132E65">
        <w:rPr>
          <w:rtl/>
        </w:rPr>
        <w:t xml:space="preserve"> ، ص 271 ، ح 365 ، والخبر المرويّ في </w:t>
      </w:r>
      <w:r w:rsidRPr="00A92724">
        <w:rPr>
          <w:rtl/>
        </w:rPr>
        <w:t>المحاسن</w:t>
      </w:r>
      <w:r w:rsidRPr="00132E65">
        <w:rPr>
          <w:rtl/>
        </w:rPr>
        <w:t xml:space="preserve"> هو نفس خبرنا هذا ، فينحصر توسّط حمّاد بن عثمان بموردٍ واحد</w:t>
      </w:r>
      <w:r>
        <w:rPr>
          <w:rtl/>
        </w:rPr>
        <w:t xml:space="preserve"> ..</w:t>
      </w:r>
      <w:r w:rsidRPr="00132E65">
        <w:rPr>
          <w:rtl/>
        </w:rPr>
        <w:t xml:space="preserve"> راجع : </w:t>
      </w:r>
      <w:r w:rsidRPr="00A92724">
        <w:rPr>
          <w:rtl/>
        </w:rPr>
        <w:t>رجال النجاشي</w:t>
      </w:r>
      <w:r w:rsidRPr="00132E65">
        <w:rPr>
          <w:rtl/>
        </w:rPr>
        <w:t xml:space="preserve"> ، ص 221 ، الرقم 580 ؛ </w:t>
      </w:r>
      <w:r w:rsidRPr="00A92724">
        <w:rPr>
          <w:rtl/>
        </w:rPr>
        <w:t>الفهرست</w:t>
      </w:r>
      <w:r w:rsidRPr="00132E65">
        <w:rPr>
          <w:rtl/>
        </w:rPr>
        <w:t xml:space="preserve"> للطوسي ، ص 295 ، الرقم 442. هذا ، وقد روى أحمد بن محمّد بن أبي نصر عن [ عبدالله بن يحيى ] الكاهلي مباشرةً في </w:t>
      </w:r>
      <w:r w:rsidRPr="000577A7">
        <w:rPr>
          <w:rStyle w:val="libFootnoteBoldChar"/>
          <w:rtl/>
        </w:rPr>
        <w:t>الكافي</w:t>
      </w:r>
      <w:r w:rsidRPr="00132E65">
        <w:rPr>
          <w:rtl/>
        </w:rPr>
        <w:t xml:space="preserve"> ، ح 4400. فالظاهر زيادة « عن حمّاد بن عثمان » في ما نحن فيه وفي سند المحاسن. وأما احتمال عطف عبدالله الكاهلي على حمّاد بن عثمان ، فضعيف ؛ فإنّا لم نجد سنداً يُثبِت هذا الاحتمال.</w:t>
      </w:r>
    </w:p>
    <w:p w:rsidR="000C39D1" w:rsidRPr="00132E65" w:rsidRDefault="000C39D1" w:rsidP="000C39D1">
      <w:pPr>
        <w:pStyle w:val="libFootnote0"/>
        <w:rPr>
          <w:rtl/>
          <w:lang w:bidi="fa-IR"/>
        </w:rPr>
      </w:pPr>
      <w:r w:rsidRPr="0046781C">
        <w:rPr>
          <w:rtl/>
        </w:rPr>
        <w:t>يؤيّده ما استظهرناه أنّ عمدة رواة عبدالله الكاهلي ، هم عليّ بن الحكم ، صفوان بن يحيى ومحمّد بن أبي عمير ، وهولاء في طبقة أحمد بن محمّد بن أبي نصر.</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صَنَعَهُ رَسُولُ اللهِ </w:t>
      </w:r>
      <w:r>
        <w:rPr>
          <w:rStyle w:val="libFootnotenumChar"/>
          <w:rtl/>
        </w:rPr>
        <w:t>(1)</w:t>
      </w:r>
      <w:r w:rsidRPr="00132E65">
        <w:rPr>
          <w:rtl/>
          <w:lang w:bidi="fa-IR"/>
        </w:rPr>
        <w:t xml:space="preserve"> </w:t>
      </w:r>
      <w:r w:rsidRPr="0093484F">
        <w:rPr>
          <w:rStyle w:val="libAlaemChar"/>
          <w:rFonts w:eastAsiaTheme="minorHAnsi"/>
          <w:rtl/>
        </w:rPr>
        <w:t>صلى‌الله‌عليه‌وآله</w:t>
      </w:r>
      <w:r w:rsidR="00115AAB">
        <w:rPr>
          <w:rtl/>
          <w:lang w:bidi="fa-IR"/>
        </w:rPr>
        <w:t>: أَل</w:t>
      </w:r>
      <w:r w:rsidR="00115AAB">
        <w:rPr>
          <w:rFonts w:hint="cs"/>
          <w:rtl/>
          <w:lang w:bidi="fa-IR"/>
        </w:rPr>
        <w:t>َّ</w:t>
      </w:r>
      <w:r w:rsidR="00115AAB">
        <w:rPr>
          <w:rtl/>
          <w:lang w:bidi="fa-IR"/>
        </w:rPr>
        <w:t>ا</w:t>
      </w:r>
      <w:r w:rsidRPr="00132E65">
        <w:rPr>
          <w:rtl/>
          <w:lang w:bidi="fa-IR"/>
        </w:rPr>
        <w:t xml:space="preserve"> </w:t>
      </w:r>
      <w:r>
        <w:rPr>
          <w:rStyle w:val="libFootnotenumChar"/>
          <w:rtl/>
        </w:rPr>
        <w:t>(2)</w:t>
      </w:r>
      <w:r w:rsidRPr="00132E65">
        <w:rPr>
          <w:rtl/>
          <w:lang w:bidi="fa-IR"/>
        </w:rPr>
        <w:t xml:space="preserve"> صَنَعَ خِلَافَ الَّذِي صَنَعَ ، أَوْ وجَدُوا ذلِكَ فِي قُلُوبِهِمْ ، لَكَانُوا بِذلِكَ مُشْرِكِينَ »</w:t>
      </w:r>
      <w:r>
        <w:rPr>
          <w:rtl/>
          <w:lang w:bidi="fa-IR"/>
        </w:rPr>
        <w:t>.</w:t>
      </w:r>
    </w:p>
    <w:p w:rsidR="000C39D1" w:rsidRPr="00132E65" w:rsidRDefault="000C39D1" w:rsidP="000C39D1">
      <w:pPr>
        <w:pStyle w:val="libNormal"/>
        <w:rPr>
          <w:rtl/>
          <w:lang w:bidi="fa-IR"/>
        </w:rPr>
      </w:pPr>
      <w:r w:rsidRPr="00132E65">
        <w:rPr>
          <w:rtl/>
          <w:lang w:bidi="fa-IR"/>
        </w:rPr>
        <w:t xml:space="preserve">ثُمَّ تَلَا هذِهِ الْآيَةَ : </w:t>
      </w:r>
      <w:r w:rsidRPr="00071CF9">
        <w:rPr>
          <w:rStyle w:val="libAlaemChar"/>
          <w:rtl/>
        </w:rPr>
        <w:t>(</w:t>
      </w:r>
      <w:r w:rsidRPr="00071CF9">
        <w:rPr>
          <w:rStyle w:val="libAieChar"/>
          <w:rtl/>
        </w:rPr>
        <w:t xml:space="preserve"> فَلا وَرَبِّكَ لا يُؤْمِنُونَ حَتّى يُحَكِّمُوكَ فِيما شَجَرَ بَيْنَهُمْ ثُمَّ لا يَجِدُوا فِي أَنْفُسِهِمْ حَرَجاً مِمّا قَضَيْتَ وَيُسَلِّمُوا تَسْلِيماً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ثُمَّ قَالَ أَبُو عَبْدِ اللهِ </w:t>
      </w:r>
      <w:r w:rsidRPr="00071CF9">
        <w:rPr>
          <w:rStyle w:val="libAlaemChar"/>
          <w:rtl/>
        </w:rPr>
        <w:t>عليه‌السلام</w:t>
      </w:r>
      <w:r w:rsidRPr="00132E65">
        <w:rPr>
          <w:rtl/>
          <w:lang w:bidi="fa-IR"/>
        </w:rPr>
        <w:t xml:space="preserve"> : « عَلَيْكُمْ </w:t>
      </w:r>
      <w:r>
        <w:rPr>
          <w:rStyle w:val="libFootnotenumChar"/>
          <w:rtl/>
        </w:rPr>
        <w:t>(4)</w:t>
      </w:r>
      <w:r w:rsidRPr="00132E65">
        <w:rPr>
          <w:rtl/>
          <w:lang w:bidi="fa-IR"/>
        </w:rPr>
        <w:t xml:space="preserve"> بِالتَّسْلِيمِ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A92724">
        <w:rPr>
          <w:rtl/>
        </w:rPr>
        <w:t>1020</w:t>
      </w:r>
      <w:r w:rsidRPr="004325D8">
        <w:rPr>
          <w:rStyle w:val="libBold2Char"/>
          <w:rtl/>
        </w:rPr>
        <w:t xml:space="preserve"> / 3.</w:t>
      </w:r>
      <w:r w:rsidRPr="00132E65">
        <w:rPr>
          <w:rtl/>
          <w:lang w:bidi="fa-IR"/>
        </w:rPr>
        <w:t xml:space="preserve"> مُحَمَّدُ بْنُ يَحْيى ، عَنْ أَحْمَدَ بْنِ مُحَمَّدٍ ، عَنِ الْحُسَيْنِ بْنِ سَعِيدٍ ، عَنْ حَمَّادِ بْنِ عِيسى ، عَنِ الْحُسَيْنِ بْنِ الْمُخْتَارِ ، عَنْ زَيْدٍ الشَّحَّامِ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قُلْتُ لَهُ : إِنَّ عِنْدَنَا رَجُلاً يُقَالُ لَهُ : كُلَيْبٌ ، فَلَا يَجِي‌ءُ </w:t>
      </w:r>
      <w:r>
        <w:rPr>
          <w:rStyle w:val="libFootnotenumChar"/>
          <w:rtl/>
        </w:rPr>
        <w:t>(6)</w:t>
      </w:r>
      <w:r w:rsidR="00115AAB">
        <w:rPr>
          <w:rtl/>
          <w:lang w:bidi="fa-IR"/>
        </w:rPr>
        <w:t xml:space="preserve"> عَنْكُمْ شَيْ‌ءٌ إِل</w:t>
      </w:r>
      <w:r w:rsidR="00115AAB">
        <w:rPr>
          <w:rFonts w:hint="cs"/>
          <w:rtl/>
          <w:lang w:bidi="fa-IR"/>
        </w:rPr>
        <w:t>َّ</w:t>
      </w:r>
      <w:r w:rsidR="00115AAB">
        <w:rPr>
          <w:rtl/>
          <w:lang w:bidi="fa-IR"/>
        </w:rPr>
        <w:t>ا</w:t>
      </w:r>
      <w:r w:rsidRPr="00132E65">
        <w:rPr>
          <w:rtl/>
          <w:lang w:bidi="fa-IR"/>
        </w:rPr>
        <w:t xml:space="preserve"> قَالَ </w:t>
      </w:r>
      <w:r>
        <w:rPr>
          <w:rStyle w:val="libFootnotenumChar"/>
          <w:rtl/>
        </w:rPr>
        <w:t>(7)</w:t>
      </w:r>
      <w:r w:rsidRPr="00132E65">
        <w:rPr>
          <w:rtl/>
          <w:lang w:bidi="fa-IR"/>
        </w:rPr>
        <w:t xml:space="preserve"> : أَنَا أُسَلِّمُ ؛ فَسَمَّيْنَاهُ « كُلَيْبَ تَسْلِيمٍ </w:t>
      </w:r>
      <w:r>
        <w:rPr>
          <w:rStyle w:val="libFootnotenumChar"/>
          <w:rtl/>
        </w:rPr>
        <w:t>(8)</w:t>
      </w:r>
      <w:r w:rsidRPr="00132E65">
        <w:rPr>
          <w:rtl/>
          <w:lang w:bidi="fa-IR"/>
        </w:rPr>
        <w:t xml:space="preserve"> » ، قَالَ : فَتَرَحَّمَ عَلَيْهِ ، ثُمَّ قَالَ :</w:t>
      </w:r>
      <w:r>
        <w:rPr>
          <w:rFonts w:hint="cs"/>
          <w:rtl/>
          <w:lang w:bidi="fa-IR"/>
        </w:rPr>
        <w:t xml:space="preserve"> </w:t>
      </w:r>
      <w:r>
        <w:rPr>
          <w:rtl/>
          <w:lang w:bidi="fa-IR"/>
        </w:rPr>
        <w:t>« أَ</w:t>
      </w:r>
      <w:r w:rsidRPr="00132E65">
        <w:rPr>
          <w:rtl/>
          <w:lang w:bidi="fa-IR"/>
        </w:rPr>
        <w:t>تَدْرُونَ مَا التَّسْلِيمُ</w:t>
      </w:r>
      <w:r>
        <w:rPr>
          <w:rtl/>
          <w:lang w:bidi="fa-IR"/>
        </w:rPr>
        <w:t>؟</w:t>
      </w:r>
      <w:r w:rsidRPr="00132E65">
        <w:rPr>
          <w:rtl/>
          <w:lang w:bidi="fa-IR"/>
        </w:rPr>
        <w:t xml:space="preserve"> » فَسَكَتْنَا ، فَقَالَ : « هُوَ واللهِ الْإِخْبَاتُ </w:t>
      </w:r>
      <w:r>
        <w:rPr>
          <w:rStyle w:val="libFootnotenumChar"/>
          <w:rtl/>
        </w:rPr>
        <w:t>(9)</w:t>
      </w:r>
      <w:r w:rsidRPr="00132E65">
        <w:rPr>
          <w:rtl/>
          <w:lang w:bidi="fa-IR"/>
        </w:rPr>
        <w:t xml:space="preserve"> ، قَوْلُ اللهِ عَزَّ وجَلَّ :</w:t>
      </w:r>
      <w:r>
        <w:rPr>
          <w:rFonts w:hint="cs"/>
          <w:rtl/>
          <w:lang w:bidi="fa-IR"/>
        </w:rPr>
        <w:t xml:space="preserve"> </w:t>
      </w:r>
      <w:r w:rsidRPr="00071CF9">
        <w:rPr>
          <w:rStyle w:val="libAlaemChar"/>
          <w:rtl/>
        </w:rPr>
        <w:t>(</w:t>
      </w:r>
      <w:r w:rsidRPr="00071CF9">
        <w:rPr>
          <w:rStyle w:val="libAieChar"/>
          <w:rtl/>
        </w:rPr>
        <w:t xml:space="preserve"> الَّذِينَ آمَنُوا وَعَمِلُوا الصّالِحاتِ وَأَخْبَتُوا إِلى رَبِّهِمْ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w:t>
      </w:r>
      <w:r>
        <w:rPr>
          <w:rtl/>
          <w:lang w:bidi="fa-IR"/>
        </w:rPr>
        <w:t>.</w:t>
      </w:r>
      <w:r w:rsidRPr="00132E65">
        <w:rPr>
          <w:rtl/>
          <w:lang w:bidi="fa-IR"/>
        </w:rPr>
        <w:t xml:space="preserve">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15AAB" w:rsidTr="00115AAB">
        <w:tc>
          <w:tcPr>
            <w:tcW w:w="4006" w:type="dxa"/>
          </w:tcPr>
          <w:p w:rsidR="00115AAB" w:rsidRDefault="00115AAB" w:rsidP="000C39D1">
            <w:pPr>
              <w:pStyle w:val="libFootnote0"/>
              <w:rPr>
                <w:rtl/>
              </w:rPr>
            </w:pPr>
            <w:r>
              <w:rPr>
                <w:rtl/>
              </w:rPr>
              <w:t>(1).</w:t>
            </w:r>
            <w:r w:rsidRPr="00132E65">
              <w:rPr>
                <w:rtl/>
              </w:rPr>
              <w:t xml:space="preserve"> في </w:t>
            </w:r>
            <w:r w:rsidRPr="000577A7">
              <w:rPr>
                <w:rStyle w:val="libFootnoteBoldChar"/>
                <w:rtl/>
              </w:rPr>
              <w:t>الكافي</w:t>
            </w:r>
            <w:r w:rsidRPr="00132E65">
              <w:rPr>
                <w:rtl/>
              </w:rPr>
              <w:t xml:space="preserve"> ، ح 2878 والمحاسن : « النبيّ »</w:t>
            </w:r>
            <w:r>
              <w:rPr>
                <w:rtl/>
              </w:rPr>
              <w:t>.</w:t>
            </w:r>
          </w:p>
        </w:tc>
        <w:tc>
          <w:tcPr>
            <w:tcW w:w="4006" w:type="dxa"/>
          </w:tcPr>
          <w:p w:rsidR="00115AAB" w:rsidRDefault="00115AAB" w:rsidP="000C39D1">
            <w:pPr>
              <w:pStyle w:val="libFootnote0"/>
              <w:rPr>
                <w:rtl/>
              </w:rPr>
            </w:pPr>
            <w:r>
              <w:rPr>
                <w:rtl/>
              </w:rPr>
              <w:t>(2).</w:t>
            </w:r>
            <w:r w:rsidRPr="00132E65">
              <w:rPr>
                <w:rtl/>
              </w:rPr>
              <w:t xml:space="preserve"> في « ب » : « ألا » بالتخفيف.</w:t>
            </w:r>
          </w:p>
        </w:tc>
      </w:tr>
      <w:tr w:rsidR="00115AAB" w:rsidTr="00115AAB">
        <w:tc>
          <w:tcPr>
            <w:tcW w:w="4006" w:type="dxa"/>
          </w:tcPr>
          <w:p w:rsidR="00115AAB" w:rsidRDefault="00115AAB" w:rsidP="000C39D1">
            <w:pPr>
              <w:pStyle w:val="libFootnote0"/>
              <w:rPr>
                <w:rtl/>
              </w:rPr>
            </w:pPr>
            <w:r>
              <w:rPr>
                <w:rtl/>
              </w:rPr>
              <w:t>(3).</w:t>
            </w:r>
            <w:r w:rsidRPr="00132E65">
              <w:rPr>
                <w:rtl/>
              </w:rPr>
              <w:t xml:space="preserve"> النساء </w:t>
            </w:r>
            <w:r>
              <w:rPr>
                <w:rtl/>
              </w:rPr>
              <w:t>(4)</w:t>
            </w:r>
            <w:r w:rsidRPr="00132E65">
              <w:rPr>
                <w:rtl/>
              </w:rPr>
              <w:t xml:space="preserve"> : 65.</w:t>
            </w:r>
          </w:p>
        </w:tc>
        <w:tc>
          <w:tcPr>
            <w:tcW w:w="4006" w:type="dxa"/>
          </w:tcPr>
          <w:p w:rsidR="00115AAB" w:rsidRDefault="00115AAB" w:rsidP="000C39D1">
            <w:pPr>
              <w:pStyle w:val="libFootnote0"/>
              <w:rPr>
                <w:rtl/>
              </w:rPr>
            </w:pPr>
            <w:r>
              <w:rPr>
                <w:rtl/>
              </w:rPr>
              <w:t>(4).</w:t>
            </w:r>
            <w:r w:rsidRPr="00132E65">
              <w:rPr>
                <w:rtl/>
              </w:rPr>
              <w:t xml:space="preserve"> في المحاسن : « وعليكم »</w:t>
            </w:r>
            <w:r>
              <w:rPr>
                <w:rtl/>
              </w:rPr>
              <w:t>.</w:t>
            </w:r>
          </w:p>
        </w:tc>
      </w:tr>
    </w:tbl>
    <w:p w:rsidR="000C39D1" w:rsidRPr="00132E65" w:rsidRDefault="000C39D1" w:rsidP="002A1D27">
      <w:pPr>
        <w:pStyle w:val="libFootnote0"/>
        <w:rPr>
          <w:rtl/>
          <w:lang w:bidi="fa-IR"/>
        </w:rPr>
      </w:pPr>
      <w:r>
        <w:rPr>
          <w:rtl/>
        </w:rPr>
        <w:t>(5).</w:t>
      </w:r>
      <w:r w:rsidRPr="00132E65">
        <w:rPr>
          <w:rtl/>
        </w:rPr>
        <w:t xml:space="preserve"> </w:t>
      </w:r>
      <w:r w:rsidRPr="00A92724">
        <w:rPr>
          <w:rtl/>
        </w:rPr>
        <w:t>المحاسن</w:t>
      </w:r>
      <w:r w:rsidRPr="00132E65">
        <w:rPr>
          <w:rtl/>
        </w:rPr>
        <w:t xml:space="preserve"> ، ص 271 ، كتاب مصابيح الظلم ، ح 365 ، عن أبيه ، عن صفوان بن يحيى وأحمد بن محمّد بن أبي نصر ؛ </w:t>
      </w:r>
      <w:r w:rsidRPr="000577A7">
        <w:rPr>
          <w:rStyle w:val="libFootnoteBoldChar"/>
          <w:rtl/>
        </w:rPr>
        <w:t>الكافي</w:t>
      </w:r>
      <w:r w:rsidRPr="00132E65">
        <w:rPr>
          <w:rtl/>
        </w:rPr>
        <w:t xml:space="preserve"> ، كتاب الإيمان والكفر ، باب الشرك ، ح 2878 عن عليّ بن إبراهيم ، عن أبيه ، عن أحمد بن محمّد بن أبي نصر ، عن عبد الله بن يحيى الكاهلي ، عن أبي عبد الله </w:t>
      </w:r>
      <w:r w:rsidRPr="00115AAB">
        <w:rPr>
          <w:rStyle w:val="libFootnoteAlaemChar"/>
          <w:rtl/>
        </w:rPr>
        <w:t>عليه‌السلام</w:t>
      </w:r>
      <w:r w:rsidRPr="00132E65">
        <w:rPr>
          <w:rtl/>
        </w:rPr>
        <w:t xml:space="preserve">. </w:t>
      </w:r>
      <w:r w:rsidRPr="007A1104">
        <w:rPr>
          <w:rStyle w:val="libFootnoteBoldChar"/>
          <w:rtl/>
        </w:rPr>
        <w:t>بصائر الدرجات</w:t>
      </w:r>
      <w:r w:rsidRPr="00132E65">
        <w:rPr>
          <w:rtl/>
        </w:rPr>
        <w:t xml:space="preserve"> ، ص 520 ، ح 3 ، بسنده عن الكاهلي. </w:t>
      </w:r>
      <w:r w:rsidRPr="00A92724">
        <w:rPr>
          <w:rtl/>
        </w:rPr>
        <w:t>وفيه</w:t>
      </w:r>
      <w:r w:rsidRPr="00132E65">
        <w:rPr>
          <w:rtl/>
        </w:rPr>
        <w:t xml:space="preserve"> ، ص 521 ، ح 8 ، بسند آخر ، وفيهما مع اختلاف يسير. وفي </w:t>
      </w:r>
      <w:r w:rsidRPr="00A92724">
        <w:rPr>
          <w:rtl/>
        </w:rPr>
        <w:t>تفسير العيّاشي</w:t>
      </w:r>
      <w:r w:rsidRPr="00132E65">
        <w:rPr>
          <w:rtl/>
        </w:rPr>
        <w:t xml:space="preserve"> ، ح 1 ، ص 255 ، ح 184 ، عن عبد الله بن يحيى الكاهلي ، عن أبي عبد الله </w:t>
      </w:r>
      <w:r w:rsidRPr="00115AAB">
        <w:rPr>
          <w:rStyle w:val="libFootnoteAlaemChar"/>
          <w:rtl/>
        </w:rPr>
        <w:t>عليه‌السلام</w:t>
      </w:r>
      <w:r w:rsidRPr="00132E65">
        <w:rPr>
          <w:rtl/>
        </w:rPr>
        <w:t xml:space="preserve"> مع اختلاف يسير</w:t>
      </w:r>
      <w:r w:rsidR="002A1D27">
        <w:rPr>
          <w:rFonts w:hint="cs"/>
          <w:rtl/>
        </w:rPr>
        <w:t>.</w:t>
      </w:r>
      <w:r w:rsidRPr="009D1ACE">
        <w:rPr>
          <w:rStyle w:val="libFootnoteBoldChar"/>
          <w:rtl/>
        </w:rPr>
        <w:t>الوافي</w:t>
      </w:r>
      <w:r w:rsidRPr="00132E65">
        <w:rPr>
          <w:rtl/>
        </w:rPr>
        <w:t xml:space="preserve"> ، ج 2 ، ص 110 ، ح 568.</w:t>
      </w:r>
    </w:p>
    <w:p w:rsidR="000C39D1" w:rsidRPr="00132E65" w:rsidRDefault="000C39D1" w:rsidP="000C39D1">
      <w:pPr>
        <w:pStyle w:val="libFootnote0"/>
        <w:rPr>
          <w:rtl/>
          <w:lang w:bidi="fa-IR"/>
        </w:rPr>
      </w:pPr>
      <w:r>
        <w:rPr>
          <w:rtl/>
        </w:rPr>
        <w:t>(6).</w:t>
      </w:r>
      <w:r w:rsidRPr="00132E65">
        <w:rPr>
          <w:rtl/>
        </w:rPr>
        <w:t xml:space="preserve"> في البصائر : « يسمّى كليباً فلا نتحدّث » بدل « يقال له كليب فلا يجي‌ء »</w:t>
      </w:r>
      <w:r>
        <w:rPr>
          <w:rtl/>
        </w:rPr>
        <w:t>.</w:t>
      </w:r>
    </w:p>
    <w:tbl>
      <w:tblPr>
        <w:tblStyle w:val="TableGrid"/>
        <w:bidiVisual/>
        <w:tblW w:w="0" w:type="auto"/>
        <w:tblLook w:val="04A0" w:firstRow="1" w:lastRow="0" w:firstColumn="1" w:lastColumn="0" w:noHBand="0" w:noVBand="1"/>
      </w:tblPr>
      <w:tblGrid>
        <w:gridCol w:w="4006"/>
        <w:gridCol w:w="4006"/>
      </w:tblGrid>
      <w:tr w:rsidR="002A1D27" w:rsidTr="002A1D27">
        <w:tc>
          <w:tcPr>
            <w:tcW w:w="4006" w:type="dxa"/>
          </w:tcPr>
          <w:p w:rsidR="002A1D27" w:rsidRDefault="002A1D27" w:rsidP="000C39D1">
            <w:pPr>
              <w:pStyle w:val="libFootnote0"/>
              <w:rPr>
                <w:rtl/>
              </w:rPr>
            </w:pPr>
            <w:r>
              <w:rPr>
                <w:rtl/>
              </w:rPr>
              <w:t>(7).</w:t>
            </w:r>
            <w:r w:rsidRPr="00132E65">
              <w:rPr>
                <w:rtl/>
              </w:rPr>
              <w:t xml:space="preserve"> في « ب » : « يقول »</w:t>
            </w:r>
            <w:r>
              <w:rPr>
                <w:rtl/>
              </w:rPr>
              <w:t>.</w:t>
            </w:r>
          </w:p>
        </w:tc>
        <w:tc>
          <w:tcPr>
            <w:tcW w:w="4006" w:type="dxa"/>
          </w:tcPr>
          <w:p w:rsidR="002A1D27" w:rsidRDefault="002A1D27" w:rsidP="000C39D1">
            <w:pPr>
              <w:pStyle w:val="libFootnote0"/>
              <w:rPr>
                <w:rtl/>
              </w:rPr>
            </w:pPr>
            <w:r>
              <w:rPr>
                <w:rtl/>
              </w:rPr>
              <w:t>(8).</w:t>
            </w:r>
            <w:r w:rsidRPr="00132E65">
              <w:rPr>
                <w:rtl/>
              </w:rPr>
              <w:t xml:space="preserve"> في البصائر : « التسليم »</w:t>
            </w:r>
            <w:r>
              <w:rPr>
                <w:rtl/>
              </w:rPr>
              <w:t>.</w:t>
            </w:r>
          </w:p>
        </w:tc>
      </w:tr>
    </w:tbl>
    <w:p w:rsidR="000C39D1" w:rsidRPr="00132E65" w:rsidRDefault="000C39D1" w:rsidP="00BC535D">
      <w:pPr>
        <w:pStyle w:val="libFootnote0"/>
        <w:rPr>
          <w:rtl/>
          <w:lang w:bidi="fa-IR"/>
        </w:rPr>
      </w:pPr>
      <w:r>
        <w:rPr>
          <w:rtl/>
        </w:rPr>
        <w:t>(9).</w:t>
      </w:r>
      <w:r w:rsidRPr="00132E65">
        <w:rPr>
          <w:rtl/>
        </w:rPr>
        <w:t xml:space="preserve"> « الإخبات » : الخُشوع والتواضع. وأصل ذلك من الخَبْت ، وهو المطمئنّ من الأرض. </w:t>
      </w:r>
      <w:r w:rsidRPr="009D1ACE">
        <w:rPr>
          <w:rStyle w:val="libFootnoteBoldChar"/>
          <w:rtl/>
        </w:rPr>
        <w:t>لسان العرب</w:t>
      </w:r>
      <w:r w:rsidRPr="00132E65">
        <w:rPr>
          <w:rtl/>
        </w:rPr>
        <w:t xml:space="preserve"> ، ج 2 ، ص 28 ( خبت )</w:t>
      </w:r>
      <w:r>
        <w:rPr>
          <w:rtl/>
        </w:rPr>
        <w:t>.</w:t>
      </w:r>
      <w:r w:rsidR="00BC535D">
        <w:rPr>
          <w:rFonts w:hint="cs"/>
          <w:rtl/>
        </w:rPr>
        <w:t xml:space="preserve">                                      </w:t>
      </w:r>
      <w:r>
        <w:rPr>
          <w:rtl/>
        </w:rPr>
        <w:t>(10).</w:t>
      </w:r>
      <w:r w:rsidRPr="00132E65">
        <w:rPr>
          <w:rtl/>
        </w:rPr>
        <w:t xml:space="preserve"> هود </w:t>
      </w:r>
      <w:r w:rsidR="00BC535D">
        <w:rPr>
          <w:rtl/>
        </w:rPr>
        <w:t>(11)</w:t>
      </w:r>
      <w:r w:rsidRPr="00132E65">
        <w:rPr>
          <w:rtl/>
        </w:rPr>
        <w:t xml:space="preserve"> : 23.</w:t>
      </w:r>
    </w:p>
    <w:p w:rsidR="000C39D1" w:rsidRPr="00132E65" w:rsidRDefault="000C39D1" w:rsidP="00BC535D">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525 ، ح 28 ، عن أحمد بن محمّد ؛ </w:t>
      </w:r>
      <w:r w:rsidRPr="00A92724">
        <w:rPr>
          <w:rtl/>
        </w:rPr>
        <w:t>رجال الكشّي</w:t>
      </w:r>
      <w:r w:rsidRPr="00132E65">
        <w:rPr>
          <w:rtl/>
        </w:rPr>
        <w:t xml:space="preserve"> ، ص 339 ، ح 627 ، بسنده عن الحسين بن المختار ، عن أبي اسامة. </w:t>
      </w:r>
      <w:r w:rsidRPr="00A92724">
        <w:rPr>
          <w:rtl/>
        </w:rPr>
        <w:t>تفسير العيّاشي</w:t>
      </w:r>
      <w:r w:rsidRPr="00132E65">
        <w:rPr>
          <w:rtl/>
        </w:rPr>
        <w:t xml:space="preserve"> ، ج 2 ، ص 143 ، ح 15 ، عن أبي ا</w:t>
      </w:r>
      <w:r w:rsidR="00BC535D">
        <w:rPr>
          <w:rFonts w:hint="cs"/>
          <w:rtl/>
        </w:rPr>
        <w:t>ُ</w:t>
      </w:r>
      <w:r w:rsidRPr="00132E65">
        <w:rPr>
          <w:rtl/>
        </w:rPr>
        <w:t xml:space="preserve">سامة ، عن أبي عبد الله </w:t>
      </w:r>
      <w:r w:rsidRPr="00115AAB">
        <w:rPr>
          <w:rStyle w:val="libFootnoteAlaemChar"/>
          <w:rtl/>
        </w:rPr>
        <w:t>عليه‌السلام</w:t>
      </w:r>
      <w:r w:rsidR="00BC535D">
        <w:rPr>
          <w:rFonts w:hint="cs"/>
          <w:rtl/>
        </w:rPr>
        <w:t>.</w:t>
      </w:r>
      <w:r w:rsidRPr="009D1ACE">
        <w:rPr>
          <w:rStyle w:val="libFootnoteBoldChar"/>
          <w:rtl/>
        </w:rPr>
        <w:t>الوافي</w:t>
      </w:r>
      <w:r w:rsidRPr="00132E65">
        <w:rPr>
          <w:rtl/>
        </w:rPr>
        <w:t xml:space="preserve"> ، ج 2 ، ص 111 ، ح 569.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A92724">
        <w:rPr>
          <w:rtl/>
        </w:rPr>
        <w:t>1021</w:t>
      </w:r>
      <w:r w:rsidRPr="004325D8">
        <w:rPr>
          <w:rStyle w:val="libBold2Char"/>
          <w:rtl/>
        </w:rPr>
        <w:t xml:space="preserve"> / 4.</w:t>
      </w:r>
      <w:r w:rsidRPr="00132E65">
        <w:rPr>
          <w:rtl/>
          <w:lang w:bidi="fa-IR"/>
        </w:rPr>
        <w:t xml:space="preserve"> الْحُسَيْنُ بْنُ مُحَمَّدٍ ، عَنْ مُعَلَّى بْنِ مُحَمَّدٍ ، عَنِ الْوَشَّاءِ ، عَنْ أَبَانٍ</w:t>
      </w:r>
      <w:r w:rsidR="00936037">
        <w:rPr>
          <w:rtl/>
          <w:lang w:bidi="fa-IR"/>
        </w:rPr>
        <w:t xml:space="preserve"> ، عَنْ مُحَمَّدِ بْنِ مُسْلِمٍ</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فِي قَوْلِ اللهِ تَبَارَكَ وتَعَالى : </w:t>
      </w:r>
      <w:r w:rsidRPr="00071CF9">
        <w:rPr>
          <w:rStyle w:val="libAlaemChar"/>
          <w:rtl/>
        </w:rPr>
        <w:t>(</w:t>
      </w:r>
      <w:r w:rsidRPr="00071CF9">
        <w:rPr>
          <w:rStyle w:val="libAieChar"/>
          <w:rtl/>
        </w:rPr>
        <w:t xml:space="preserve"> وَمَنْ يَقْتَرِفْ حَسَنَةً نَزِدْ لَهُ فِيها حُسْناً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 الِاقْتِرَافُ </w:t>
      </w:r>
      <w:r>
        <w:rPr>
          <w:rStyle w:val="libFootnotenumChar"/>
          <w:rtl/>
        </w:rPr>
        <w:t>(3)</w:t>
      </w:r>
      <w:r w:rsidRPr="00132E65">
        <w:rPr>
          <w:rtl/>
          <w:lang w:bidi="fa-IR"/>
        </w:rPr>
        <w:t xml:space="preserve"> : التَّسْلِيمُ لَنَا ، والصِّدْقُ </w:t>
      </w:r>
      <w:r>
        <w:rPr>
          <w:rStyle w:val="libFootnotenumChar"/>
          <w:rtl/>
        </w:rPr>
        <w:t>(4)</w:t>
      </w:r>
      <w:r w:rsidRPr="00132E65">
        <w:rPr>
          <w:rtl/>
          <w:lang w:bidi="fa-IR"/>
        </w:rPr>
        <w:t xml:space="preserve"> عَلَيْنَا </w:t>
      </w:r>
      <w:r>
        <w:rPr>
          <w:rStyle w:val="libFootnotenumChar"/>
          <w:rtl/>
        </w:rPr>
        <w:t>(5)</w:t>
      </w:r>
      <w:r w:rsidRPr="00132E65">
        <w:rPr>
          <w:rtl/>
          <w:lang w:bidi="fa-IR"/>
        </w:rPr>
        <w:t xml:space="preserve"> ، وأَلاَّ يَكْذِبَ عَلَيْنَا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A92724">
        <w:rPr>
          <w:rtl/>
        </w:rPr>
        <w:t>1022</w:t>
      </w:r>
      <w:r w:rsidRPr="004325D8">
        <w:rPr>
          <w:rStyle w:val="libBold2Char"/>
          <w:rtl/>
        </w:rPr>
        <w:t xml:space="preserve"> / 5.</w:t>
      </w:r>
      <w:r w:rsidRPr="00132E65">
        <w:rPr>
          <w:rtl/>
          <w:lang w:bidi="fa-IR"/>
        </w:rPr>
        <w:t xml:space="preserve"> عَلِيُّ بْنُ مُحَمَّدِ بْنِ عَبْدِ اللهِ ، عَنْ أَحْمَدَ بْنِ مُحَمَّدٍ الْبَرْقِيِّ ، عَنْ أَبِيهِ ، عَنْ مُحَمَّدِ بْنِ عَبْدِ الْحَمِيدِ ، عَنْ مَنْصُورِ بْنِ يُونُسَ ، عَنْ بَشِيرٍ الدَّهَّانِ ، عَنْ كَامِلٍ التَّمَّارِ ، قَالَ :</w:t>
      </w:r>
    </w:p>
    <w:p w:rsidR="000C39D1" w:rsidRPr="00132E65" w:rsidRDefault="000C39D1" w:rsidP="000C39D1">
      <w:pPr>
        <w:pStyle w:val="libNormal"/>
        <w:rPr>
          <w:rtl/>
          <w:lang w:bidi="fa-IR"/>
        </w:rPr>
      </w:pPr>
      <w:r w:rsidRPr="00132E65">
        <w:rPr>
          <w:rtl/>
          <w:lang w:bidi="fa-IR"/>
        </w:rPr>
        <w:t xml:space="preserve">قَالَ أَبُو جَعْفَرٍ </w:t>
      </w:r>
      <w:r w:rsidRPr="00071CF9">
        <w:rPr>
          <w:rStyle w:val="libAlaemChar"/>
          <w:rtl/>
        </w:rPr>
        <w:t>عليه‌السلام</w:t>
      </w:r>
      <w:r w:rsidRPr="00132E65">
        <w:rPr>
          <w:rtl/>
          <w:lang w:bidi="fa-IR"/>
        </w:rPr>
        <w:t xml:space="preserve"> : « </w:t>
      </w:r>
      <w:r w:rsidRPr="00071CF9">
        <w:rPr>
          <w:rStyle w:val="libAlaemChar"/>
          <w:rtl/>
        </w:rPr>
        <w:t>(</w:t>
      </w:r>
      <w:r w:rsidRPr="00071CF9">
        <w:rPr>
          <w:rStyle w:val="libAieChar"/>
          <w:rtl/>
        </w:rPr>
        <w:t xml:space="preserve"> قَدْ أَفْلَحَ الْمُؤْمِنُونَ </w:t>
      </w:r>
      <w:r w:rsidRPr="00071CF9">
        <w:rPr>
          <w:rStyle w:val="libAlaemChar"/>
          <w:rtl/>
        </w:rPr>
        <w:t>)</w:t>
      </w:r>
      <w:r w:rsidRPr="00132E65">
        <w:rPr>
          <w:rtl/>
          <w:lang w:bidi="fa-IR"/>
        </w:rPr>
        <w:t xml:space="preserve"> </w:t>
      </w:r>
      <w:r>
        <w:rPr>
          <w:rStyle w:val="libFootnotenumChar"/>
          <w:rtl/>
        </w:rPr>
        <w:t>(7)</w:t>
      </w:r>
      <w:r>
        <w:rPr>
          <w:rtl/>
          <w:lang w:bidi="fa-IR"/>
        </w:rPr>
        <w:t xml:space="preserve"> أَ</w:t>
      </w:r>
      <w:r w:rsidRPr="00132E65">
        <w:rPr>
          <w:rtl/>
          <w:lang w:bidi="fa-IR"/>
        </w:rPr>
        <w:t>تَدْرِي مَنْ هُمْ</w:t>
      </w:r>
      <w:r>
        <w:rPr>
          <w:rtl/>
          <w:lang w:bidi="fa-IR"/>
        </w:rPr>
        <w:t>؟</w:t>
      </w:r>
      <w:r w:rsidRPr="00132E65">
        <w:rPr>
          <w:rtl/>
          <w:lang w:bidi="fa-IR"/>
        </w:rPr>
        <w:t xml:space="preserve"> »</w:t>
      </w:r>
      <w:r>
        <w:rPr>
          <w:rtl/>
          <w:lang w:bidi="fa-IR"/>
        </w:rPr>
        <w:t>.</w:t>
      </w:r>
      <w:r w:rsidRPr="00132E65">
        <w:rPr>
          <w:rtl/>
          <w:lang w:bidi="fa-IR"/>
        </w:rPr>
        <w:t xml:space="preserve"> قُلْتُ </w:t>
      </w:r>
      <w:r>
        <w:rPr>
          <w:rStyle w:val="libFootnotenumChar"/>
          <w:rtl/>
        </w:rPr>
        <w:t>(8)</w:t>
      </w:r>
      <w:r w:rsidRPr="00132E65">
        <w:rPr>
          <w:rtl/>
          <w:lang w:bidi="fa-IR"/>
        </w:rPr>
        <w:t xml:space="preserve"> : أَنْتَ أَعْلَمُ ، قَالَ :</w:t>
      </w:r>
      <w:r>
        <w:rPr>
          <w:rFonts w:hint="cs"/>
          <w:rtl/>
          <w:lang w:bidi="fa-IR"/>
        </w:rPr>
        <w:t xml:space="preserve"> </w:t>
      </w:r>
      <w:r w:rsidRPr="00132E65">
        <w:rPr>
          <w:rtl/>
          <w:lang w:bidi="fa-IR"/>
        </w:rPr>
        <w:t xml:space="preserve">« </w:t>
      </w:r>
      <w:r w:rsidRPr="00071CF9">
        <w:rPr>
          <w:rStyle w:val="libAlaemChar"/>
          <w:rtl/>
        </w:rPr>
        <w:t>(</w:t>
      </w:r>
      <w:r w:rsidRPr="00071CF9">
        <w:rPr>
          <w:rStyle w:val="libAieChar"/>
          <w:rtl/>
        </w:rPr>
        <w:t xml:space="preserve"> قَدْ أَفْلَحَ الْمُؤْمِنُونَ </w:t>
      </w:r>
      <w:r w:rsidRPr="00071CF9">
        <w:rPr>
          <w:rStyle w:val="libAlaemChar"/>
          <w:rtl/>
        </w:rPr>
        <w:t>)</w:t>
      </w:r>
      <w:r w:rsidRPr="00132E65">
        <w:rPr>
          <w:rtl/>
          <w:lang w:bidi="fa-IR"/>
        </w:rPr>
        <w:t xml:space="preserve"> : الْمُسَلِّمُونَ ؛ إِنَّ الْمُسَلِّمِينَ هُمُ النُّجَبَاءُ </w:t>
      </w:r>
      <w:r>
        <w:rPr>
          <w:rStyle w:val="libFootnotenumChar"/>
          <w:rtl/>
        </w:rPr>
        <w:t>(9)</w:t>
      </w:r>
      <w:r w:rsidRPr="00132E65">
        <w:rPr>
          <w:rtl/>
          <w:lang w:bidi="fa-IR"/>
        </w:rPr>
        <w:t xml:space="preserve"> ، فَالْمُؤْمِنُ غَرِيبٌ ، فَطُوبى </w:t>
      </w:r>
      <w:r>
        <w:rPr>
          <w:rStyle w:val="libFootnotenumChar"/>
          <w:rtl/>
        </w:rPr>
        <w:t>(10)</w:t>
      </w:r>
      <w:r w:rsidRPr="00132E65">
        <w:rPr>
          <w:rtl/>
          <w:lang w:bidi="fa-IR"/>
        </w:rPr>
        <w:t xml:space="preserve"> لِلْغُرَبَاءِ »</w:t>
      </w:r>
      <w:r>
        <w:rPr>
          <w:rtl/>
          <w:lang w:bidi="fa-IR"/>
        </w:rPr>
        <w:t>.</w:t>
      </w:r>
      <w:r w:rsidRPr="00132E65">
        <w:rPr>
          <w:rtl/>
          <w:lang w:bidi="fa-IR"/>
        </w:rPr>
        <w:t xml:space="preserve">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E18B6" w:rsidTr="009E18B6">
        <w:tc>
          <w:tcPr>
            <w:tcW w:w="4006" w:type="dxa"/>
          </w:tcPr>
          <w:p w:rsidR="009E18B6" w:rsidRDefault="009E18B6" w:rsidP="000C39D1">
            <w:pPr>
              <w:pStyle w:val="libFootnote0"/>
              <w:rPr>
                <w:rtl/>
              </w:rPr>
            </w:pPr>
            <w:r>
              <w:rPr>
                <w:rtl/>
              </w:rPr>
              <w:t>(1).</w:t>
            </w:r>
            <w:r w:rsidRPr="00132E65">
              <w:rPr>
                <w:rtl/>
              </w:rPr>
              <w:t xml:space="preserve"> في « ف » :</w:t>
            </w:r>
            <w:r>
              <w:rPr>
                <w:rtl/>
              </w:rPr>
              <w:t xml:space="preserve"> + </w:t>
            </w:r>
            <w:r w:rsidRPr="00132E65">
              <w:rPr>
                <w:rtl/>
              </w:rPr>
              <w:t>« قال »</w:t>
            </w:r>
            <w:r>
              <w:rPr>
                <w:rtl/>
              </w:rPr>
              <w:t>.</w:t>
            </w:r>
          </w:p>
        </w:tc>
        <w:tc>
          <w:tcPr>
            <w:tcW w:w="4006" w:type="dxa"/>
          </w:tcPr>
          <w:p w:rsidR="009E18B6" w:rsidRDefault="009E18B6" w:rsidP="000C39D1">
            <w:pPr>
              <w:pStyle w:val="libFootnote0"/>
              <w:rPr>
                <w:rtl/>
              </w:rPr>
            </w:pPr>
            <w:r>
              <w:rPr>
                <w:rtl/>
              </w:rPr>
              <w:t>(2).</w:t>
            </w:r>
            <w:r w:rsidRPr="00132E65">
              <w:rPr>
                <w:rtl/>
              </w:rPr>
              <w:t xml:space="preserve"> الشورى (42) : 23.</w:t>
            </w:r>
          </w:p>
        </w:tc>
      </w:tr>
    </w:tbl>
    <w:p w:rsidR="000C39D1" w:rsidRPr="00132E65" w:rsidRDefault="000C39D1" w:rsidP="000C39D1">
      <w:pPr>
        <w:pStyle w:val="libFootnote0"/>
        <w:rPr>
          <w:rtl/>
          <w:lang w:bidi="fa-IR"/>
        </w:rPr>
      </w:pPr>
      <w:r>
        <w:rPr>
          <w:rtl/>
        </w:rPr>
        <w:t>(3).</w:t>
      </w:r>
      <w:r w:rsidRPr="00132E65">
        <w:rPr>
          <w:rtl/>
        </w:rPr>
        <w:t xml:space="preserve"> قال الراغب : « أصل القَرْف والاقتراف : قشر اللَحاء عن الشجر ، والجلدة عن الجَرْح. وما يؤخذ منه قِرْفٌ. واستعير الاقتراف للاكتساب ، حسناً كان أو سوءً »</w:t>
      </w:r>
      <w:r>
        <w:rPr>
          <w:rtl/>
        </w:rPr>
        <w:t>.</w:t>
      </w:r>
      <w:r w:rsidRPr="00132E65">
        <w:rPr>
          <w:rtl/>
        </w:rPr>
        <w:t xml:space="preserve"> </w:t>
      </w:r>
      <w:r w:rsidRPr="00A92724">
        <w:rPr>
          <w:rtl/>
        </w:rPr>
        <w:t>المفردات</w:t>
      </w:r>
      <w:r w:rsidRPr="00132E65">
        <w:rPr>
          <w:rtl/>
        </w:rPr>
        <w:t xml:space="preserve"> للراغب ، ص 667 ( قرف )</w:t>
      </w:r>
      <w:r>
        <w:rPr>
          <w:rtl/>
        </w:rPr>
        <w:t>.</w:t>
      </w:r>
    </w:p>
    <w:p w:rsidR="000C39D1" w:rsidRPr="00132E65" w:rsidRDefault="000C39D1" w:rsidP="000C39D1">
      <w:pPr>
        <w:pStyle w:val="libFootnote0"/>
        <w:rPr>
          <w:rtl/>
          <w:lang w:bidi="fa-IR"/>
        </w:rPr>
      </w:pPr>
      <w:r>
        <w:rPr>
          <w:rtl/>
        </w:rPr>
        <w:t>(4).</w:t>
      </w:r>
      <w:r w:rsidRPr="00132E65">
        <w:rPr>
          <w:rtl/>
        </w:rPr>
        <w:t xml:space="preserve"> في « ف » : « والتصديق »</w:t>
      </w:r>
      <w:r>
        <w:rPr>
          <w:rtl/>
        </w:rPr>
        <w:t>.</w:t>
      </w:r>
    </w:p>
    <w:p w:rsidR="000C39D1" w:rsidRPr="00132E65" w:rsidRDefault="000C39D1" w:rsidP="000C39D1">
      <w:pPr>
        <w:pStyle w:val="libFootnote0"/>
        <w:rPr>
          <w:rtl/>
          <w:lang w:bidi="fa-IR"/>
        </w:rPr>
      </w:pPr>
      <w:r>
        <w:rPr>
          <w:rtl/>
        </w:rPr>
        <w:t>(5).</w:t>
      </w:r>
      <w:r w:rsidRPr="00132E65">
        <w:rPr>
          <w:rtl/>
        </w:rPr>
        <w:t xml:space="preserve"> في تفسير فرات ، ح 529 : « والصدق [ والتصديق خ. ل ] فينا »</w:t>
      </w:r>
      <w:r>
        <w:rPr>
          <w:rtl/>
        </w:rPr>
        <w:t>.</w:t>
      </w:r>
    </w:p>
    <w:p w:rsidR="000C39D1" w:rsidRPr="00132E65" w:rsidRDefault="000C39D1" w:rsidP="009E18B6">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521 ، ح 6 ، بسنده عن أبان. </w:t>
      </w:r>
      <w:r w:rsidRPr="00A92724">
        <w:rPr>
          <w:rtl/>
        </w:rPr>
        <w:t>وفيه</w:t>
      </w:r>
      <w:r w:rsidRPr="00132E65">
        <w:rPr>
          <w:rtl/>
        </w:rPr>
        <w:t xml:space="preserve"> ، ح 7 ، بسند آخر. </w:t>
      </w:r>
      <w:r w:rsidRPr="00A92724">
        <w:rPr>
          <w:rtl/>
        </w:rPr>
        <w:t>تفسير فرات</w:t>
      </w:r>
      <w:r w:rsidRPr="00132E65">
        <w:rPr>
          <w:rtl/>
        </w:rPr>
        <w:t xml:space="preserve"> ، ص 397 ، ح 529 ، بسنده عن محمّد بن مسلم ، مع زيادة في أوّله. راجع : </w:t>
      </w:r>
      <w:r w:rsidRPr="000577A7">
        <w:rPr>
          <w:rStyle w:val="libFootnoteBoldChar"/>
          <w:rtl/>
        </w:rPr>
        <w:t>الكافي</w:t>
      </w:r>
      <w:r w:rsidRPr="00132E65">
        <w:rPr>
          <w:rtl/>
        </w:rPr>
        <w:t xml:space="preserve"> ، كتاب الروضة ، ح 15390 ؛ و</w:t>
      </w:r>
      <w:r w:rsidRPr="00A92724">
        <w:rPr>
          <w:rtl/>
        </w:rPr>
        <w:t xml:space="preserve">الأمالي </w:t>
      </w:r>
      <w:r w:rsidRPr="00132E65">
        <w:rPr>
          <w:rtl/>
        </w:rPr>
        <w:t>للطوسي ، ص 269 ، المجلس 10 ، ذيل ح 39 ؛ و</w:t>
      </w:r>
      <w:r w:rsidRPr="00A92724">
        <w:rPr>
          <w:rtl/>
        </w:rPr>
        <w:t>تفسير القمّي</w:t>
      </w:r>
      <w:r w:rsidRPr="00132E65">
        <w:rPr>
          <w:rtl/>
        </w:rPr>
        <w:t xml:space="preserve"> ، ج 2 ، ص 276 ؛ و</w:t>
      </w:r>
      <w:r w:rsidRPr="00A92724">
        <w:rPr>
          <w:rtl/>
        </w:rPr>
        <w:t>تفسير فرات</w:t>
      </w:r>
      <w:r w:rsidRPr="00132E65">
        <w:rPr>
          <w:rtl/>
        </w:rPr>
        <w:t xml:space="preserve"> ، ص 197</w:t>
      </w:r>
      <w:r>
        <w:rPr>
          <w:rtl/>
        </w:rPr>
        <w:t xml:space="preserve"> - </w:t>
      </w:r>
      <w:r w:rsidRPr="00132E65">
        <w:rPr>
          <w:rtl/>
        </w:rPr>
        <w:t xml:space="preserve">198 ، ح 256 </w:t>
      </w:r>
      <w:r>
        <w:rPr>
          <w:rtl/>
        </w:rPr>
        <w:t>و 2</w:t>
      </w:r>
      <w:r w:rsidRPr="00132E65">
        <w:rPr>
          <w:rtl/>
        </w:rPr>
        <w:t>57 ؛ وص 397 ، ذيل ح 527</w:t>
      </w:r>
      <w:r w:rsidR="009E18B6">
        <w:rPr>
          <w:rFonts w:hint="cs"/>
          <w:rtl/>
        </w:rPr>
        <w:t>.</w:t>
      </w:r>
      <w:r w:rsidRPr="009D1ACE">
        <w:rPr>
          <w:rStyle w:val="libFootnoteBoldChar"/>
          <w:rtl/>
        </w:rPr>
        <w:t>الوافي</w:t>
      </w:r>
      <w:r w:rsidRPr="00132E65">
        <w:rPr>
          <w:rtl/>
        </w:rPr>
        <w:t xml:space="preserve"> ، ج 2 ، ص 111 ، ح 570.</w:t>
      </w:r>
    </w:p>
    <w:p w:rsidR="000C39D1" w:rsidRPr="00132E65" w:rsidRDefault="000C39D1" w:rsidP="000C39D1">
      <w:pPr>
        <w:pStyle w:val="libFootnote0"/>
        <w:rPr>
          <w:rtl/>
          <w:lang w:bidi="fa-IR"/>
        </w:rPr>
      </w:pPr>
      <w:r>
        <w:rPr>
          <w:rtl/>
        </w:rPr>
        <w:t>(7).</w:t>
      </w:r>
      <w:r w:rsidRPr="00132E65">
        <w:rPr>
          <w:rtl/>
        </w:rPr>
        <w:t xml:space="preserve"> المؤمنون (23) : 1. وفي « ف » :</w:t>
      </w:r>
      <w:r>
        <w:rPr>
          <w:rtl/>
        </w:rPr>
        <w:t xml:space="preserve"> + </w:t>
      </w:r>
      <w:r w:rsidRPr="009E18B6">
        <w:rPr>
          <w:rStyle w:val="libFootnoteAlaemChar"/>
          <w:rtl/>
        </w:rPr>
        <w:t>(</w:t>
      </w:r>
      <w:r>
        <w:rPr>
          <w:rFonts w:hint="cs"/>
          <w:rtl/>
        </w:rPr>
        <w:t xml:space="preserve"> </w:t>
      </w:r>
      <w:r w:rsidRPr="00C2691A">
        <w:rPr>
          <w:rStyle w:val="libFootnoteAieChar"/>
          <w:rtl/>
        </w:rPr>
        <w:t>الَّذِينَ هُمْ فِي صَلاتِهِمْ خاشِعُونَ</w:t>
      </w:r>
      <w:r>
        <w:rPr>
          <w:rFonts w:hint="cs"/>
          <w:rtl/>
        </w:rPr>
        <w:t xml:space="preserve"> </w:t>
      </w:r>
      <w:r w:rsidRPr="009E18B6">
        <w:rPr>
          <w:rStyle w:val="libFootnoteAlaemChar"/>
          <w:rtl/>
        </w:rPr>
        <w:t>)</w:t>
      </w:r>
      <w:r w:rsidRPr="00132E65">
        <w:rPr>
          <w:rtl/>
        </w:rPr>
        <w:t>.</w:t>
      </w:r>
    </w:p>
    <w:p w:rsidR="000C39D1" w:rsidRPr="00132E65" w:rsidRDefault="000C39D1" w:rsidP="000C39D1">
      <w:pPr>
        <w:pStyle w:val="libFootnote0"/>
        <w:rPr>
          <w:rtl/>
          <w:lang w:bidi="fa-IR"/>
        </w:rPr>
      </w:pPr>
      <w:r>
        <w:rPr>
          <w:rtl/>
        </w:rPr>
        <w:t>(8).</w:t>
      </w:r>
      <w:r w:rsidRPr="00132E65">
        <w:rPr>
          <w:rtl/>
        </w:rPr>
        <w:t xml:space="preserve"> في البحار : « قيل »</w:t>
      </w:r>
      <w:r>
        <w:rPr>
          <w:rtl/>
        </w:rPr>
        <w:t>.</w:t>
      </w:r>
    </w:p>
    <w:p w:rsidR="000C39D1" w:rsidRPr="00132E65" w:rsidRDefault="000C39D1" w:rsidP="000C39D1">
      <w:pPr>
        <w:pStyle w:val="libFootnote0"/>
        <w:rPr>
          <w:rtl/>
          <w:lang w:bidi="fa-IR"/>
        </w:rPr>
      </w:pPr>
      <w:r>
        <w:rPr>
          <w:rtl/>
        </w:rPr>
        <w:t>(9).</w:t>
      </w:r>
      <w:r w:rsidRPr="00132E65">
        <w:rPr>
          <w:rtl/>
        </w:rPr>
        <w:t xml:space="preserve"> « النُجَباءُ » : جمع النجيب ، وهو الفاضل الكريم ذو الحسب ، والنفيس في نوعه. راجع : </w:t>
      </w:r>
      <w:r w:rsidRPr="009D1ACE">
        <w:rPr>
          <w:rStyle w:val="libFootnoteBoldChar"/>
          <w:rtl/>
        </w:rPr>
        <w:t>لسان العرب</w:t>
      </w:r>
      <w:r w:rsidRPr="00132E65">
        <w:rPr>
          <w:rtl/>
        </w:rPr>
        <w:t xml:space="preserve"> ، ج 1 ، ص 784 ( نجب )</w:t>
      </w:r>
      <w:r>
        <w:rPr>
          <w:rtl/>
        </w:rPr>
        <w:t>.</w:t>
      </w:r>
    </w:p>
    <w:p w:rsidR="000C39D1" w:rsidRPr="00132E65" w:rsidRDefault="000C39D1" w:rsidP="000C39D1">
      <w:pPr>
        <w:pStyle w:val="libFootnote0"/>
        <w:rPr>
          <w:rtl/>
          <w:lang w:bidi="fa-IR"/>
        </w:rPr>
      </w:pPr>
      <w:r>
        <w:rPr>
          <w:rtl/>
        </w:rPr>
        <w:t>(10).</w:t>
      </w:r>
      <w:r w:rsidRPr="00132E65">
        <w:rPr>
          <w:rtl/>
        </w:rPr>
        <w:t xml:space="preserve"> في المحاسن : « والمؤمن غريب ، والمؤمن غريب ، ثمّ قال : طوبى للغرباء » بدل « فالمؤمن قريب فطوبى للغرباء »</w:t>
      </w:r>
      <w:r>
        <w:rPr>
          <w:rtl/>
        </w:rPr>
        <w:t>.</w:t>
      </w:r>
    </w:p>
    <w:p w:rsidR="000C39D1" w:rsidRPr="00132E65" w:rsidRDefault="000C39D1" w:rsidP="000C39D1">
      <w:pPr>
        <w:pStyle w:val="libFootnote0"/>
        <w:rPr>
          <w:rtl/>
          <w:lang w:bidi="fa-IR"/>
        </w:rPr>
      </w:pPr>
      <w:r>
        <w:rPr>
          <w:rtl/>
        </w:rPr>
        <w:t>(11).</w:t>
      </w:r>
      <w:r w:rsidRPr="00132E65">
        <w:rPr>
          <w:rtl/>
        </w:rPr>
        <w:t xml:space="preserve"> </w:t>
      </w:r>
      <w:r w:rsidRPr="00A92724">
        <w:rPr>
          <w:rtl/>
        </w:rPr>
        <w:t>المحاسن</w:t>
      </w:r>
      <w:r w:rsidRPr="00132E65">
        <w:rPr>
          <w:rtl/>
        </w:rPr>
        <w:t xml:space="preserve"> ، ص 271 ، كتاب مصابيح الظلم ، ح 366 عن محمّد </w:t>
      </w:r>
      <w:r w:rsidR="009E18B6">
        <w:rPr>
          <w:rtl/>
        </w:rPr>
        <w:t>بن عبد الحميد الكوفي، عن حمّاد</w:t>
      </w:r>
      <w:r w:rsidRPr="00132E65">
        <w:rPr>
          <w:rtl/>
        </w:rPr>
        <w:t xml:space="preserve">بن عيسى </w:t>
      </w:r>
      <w:r w:rsidR="009E18B6">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0619D1">
        <w:rPr>
          <w:rtl/>
        </w:rPr>
        <w:t>1023</w:t>
      </w:r>
      <w:r w:rsidRPr="004325D8">
        <w:rPr>
          <w:rStyle w:val="libBold2Char"/>
          <w:rtl/>
        </w:rPr>
        <w:t xml:space="preserve"> / 6.</w:t>
      </w:r>
      <w:r w:rsidRPr="00132E65">
        <w:rPr>
          <w:rtl/>
          <w:lang w:bidi="fa-IR"/>
        </w:rPr>
        <w:t xml:space="preserve"> عَلِيُّ بْنُ مُحَمَّدٍ ، عَنْ بَعْضِ أَصْحَابِنَا ، عَنِ الْخَشَّابِ ، عَنِ الْعَبَّاسِ بْنِ عَامِرٍ ، عَنْ رَبِيعٍ الْمُسْلِيِّ ، عَنْ يَحْيَى بْنِ زَكَرِيَّا الْأَنْصَارِيِّ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مَنْ سَرَّهُ أَنْ يَسْتَكْمِلَ الْإِيمَانَ كُلَّهُ ، فَلْيَقُلِ </w:t>
      </w:r>
      <w:r>
        <w:rPr>
          <w:rStyle w:val="libFootnotenumChar"/>
          <w:rtl/>
        </w:rPr>
        <w:t>(1)</w:t>
      </w:r>
      <w:r w:rsidRPr="00132E65">
        <w:rPr>
          <w:rtl/>
          <w:lang w:bidi="fa-IR"/>
        </w:rPr>
        <w:t xml:space="preserve"> : الْقَوْلُ مِنِّي فِي جَمِيعِ الْأَشْيَاءِ قَوْلُ آلِ مُحَمَّدٍ فِيمَا أَسَرُّوا ومَا أَعْلَنُوا ، وفِيمَا بَلَغَنِي عَ</w:t>
      </w:r>
      <w:r w:rsidR="00936037">
        <w:rPr>
          <w:rtl/>
          <w:lang w:bidi="fa-IR"/>
        </w:rPr>
        <w:t>نْهُمْ وفِيمَا لَمْ يَبْلُغْنِي</w:t>
      </w:r>
      <w:r w:rsidRPr="00132E65">
        <w:rPr>
          <w:rtl/>
          <w:lang w:bidi="fa-IR"/>
        </w:rPr>
        <w:t>»</w:t>
      </w:r>
      <w:r>
        <w:rPr>
          <w:rtl/>
          <w:lang w:bidi="fa-IR"/>
        </w:rPr>
        <w:t>.</w:t>
      </w:r>
      <w:r>
        <w:rPr>
          <w:rStyle w:val="libFootnotenumChar"/>
          <w:rtl/>
        </w:rPr>
        <w:t>(2)</w:t>
      </w:r>
      <w:r w:rsidRPr="00132E65">
        <w:rPr>
          <w:rtl/>
          <w:lang w:bidi="fa-IR"/>
        </w:rPr>
        <w:t>‌</w:t>
      </w:r>
    </w:p>
    <w:p w:rsidR="000C39D1" w:rsidRPr="00132E65" w:rsidRDefault="000C39D1" w:rsidP="000C39D1">
      <w:pPr>
        <w:pStyle w:val="libNormal"/>
        <w:rPr>
          <w:rtl/>
          <w:lang w:bidi="fa-IR"/>
        </w:rPr>
      </w:pPr>
      <w:r w:rsidRPr="000619D1">
        <w:rPr>
          <w:rtl/>
        </w:rPr>
        <w:t>1024</w:t>
      </w:r>
      <w:r w:rsidRPr="004325D8">
        <w:rPr>
          <w:rStyle w:val="libBold2Char"/>
          <w:rtl/>
        </w:rPr>
        <w:t xml:space="preserve"> / 7.</w:t>
      </w:r>
      <w:r w:rsidRPr="00132E65">
        <w:rPr>
          <w:rtl/>
          <w:lang w:bidi="fa-IR"/>
        </w:rPr>
        <w:t xml:space="preserve"> عَلِيُّ بْنُ إِبْرَاهِيمَ ، عَنْ أَبِيهِ ، عَنِ ابْنِ أَبِي عُمَيْرٍ ، عَنِ ابْنِ أُذَيْنَةَ ، عَنْ زُرَارَةَ أَوْ بُرَيْدٍ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قَالَ </w:t>
      </w:r>
      <w:r>
        <w:rPr>
          <w:rStyle w:val="libFootnotenumChar"/>
          <w:rtl/>
        </w:rPr>
        <w:t>(3)</w:t>
      </w:r>
      <w:r w:rsidRPr="00132E65">
        <w:rPr>
          <w:rtl/>
          <w:lang w:bidi="fa-IR"/>
        </w:rPr>
        <w:t xml:space="preserve"> : « لَقَدْ خَاطَبَ اللهُ أَمِيرَ الْمُؤْمِنِينَ </w:t>
      </w:r>
      <w:r w:rsidRPr="00071CF9">
        <w:rPr>
          <w:rStyle w:val="libAlaemChar"/>
          <w:rtl/>
        </w:rPr>
        <w:t>عليه‌السلام</w:t>
      </w:r>
      <w:r w:rsidRPr="00132E65">
        <w:rPr>
          <w:rtl/>
          <w:lang w:bidi="fa-IR"/>
        </w:rPr>
        <w:t xml:space="preserve"> فِي كِتَابِهِ »</w:t>
      </w:r>
      <w:r>
        <w:rPr>
          <w:rtl/>
          <w:lang w:bidi="fa-IR"/>
        </w:rPr>
        <w:t>.</w:t>
      </w:r>
    </w:p>
    <w:p w:rsidR="000C39D1" w:rsidRPr="00132E65" w:rsidRDefault="000C39D1" w:rsidP="000C39D1">
      <w:pPr>
        <w:pStyle w:val="libNormal"/>
        <w:rPr>
          <w:rtl/>
          <w:lang w:bidi="fa-IR"/>
        </w:rPr>
      </w:pPr>
      <w:r w:rsidRPr="00132E65">
        <w:rPr>
          <w:rtl/>
          <w:lang w:bidi="fa-IR"/>
        </w:rPr>
        <w:t>قَالَ : قُلْتُ : فِي أَيِّ مَوْضِعٍ</w:t>
      </w:r>
      <w:r>
        <w:rPr>
          <w:rtl/>
          <w:lang w:bidi="fa-IR"/>
        </w:rPr>
        <w:t>؟</w:t>
      </w:r>
    </w:p>
    <w:p w:rsidR="000C39D1" w:rsidRPr="00132E65" w:rsidRDefault="000C39D1" w:rsidP="00F26254">
      <w:pPr>
        <w:pStyle w:val="libNormal"/>
        <w:rPr>
          <w:rtl/>
          <w:lang w:bidi="fa-IR"/>
        </w:rPr>
      </w:pPr>
      <w:r w:rsidRPr="00132E65">
        <w:rPr>
          <w:rtl/>
          <w:lang w:bidi="fa-IR"/>
        </w:rPr>
        <w:t xml:space="preserve">قَالَ </w:t>
      </w:r>
      <w:r>
        <w:rPr>
          <w:rStyle w:val="libFootnotenumChar"/>
          <w:rtl/>
        </w:rPr>
        <w:t>(4)</w:t>
      </w:r>
      <w:r w:rsidRPr="00132E65">
        <w:rPr>
          <w:rtl/>
          <w:lang w:bidi="fa-IR"/>
        </w:rPr>
        <w:t xml:space="preserve"> : « فِي قَوْلِهِ : </w:t>
      </w:r>
      <w:r w:rsidRPr="00071CF9">
        <w:rPr>
          <w:rStyle w:val="libAlaemChar"/>
          <w:rtl/>
        </w:rPr>
        <w:t>(</w:t>
      </w:r>
      <w:r w:rsidRPr="00071CF9">
        <w:rPr>
          <w:rStyle w:val="libAieChar"/>
          <w:rtl/>
        </w:rPr>
        <w:t xml:space="preserve"> وَلَوْ أَنَّهُمْ إِذْ ظَلَمُوا أَنْفُسَهُمْ جاؤُكَ</w:t>
      </w:r>
      <w:r w:rsidRPr="00132E65">
        <w:rPr>
          <w:rtl/>
          <w:lang w:bidi="fa-IR"/>
        </w:rPr>
        <w:t xml:space="preserve"> </w:t>
      </w:r>
      <w:r>
        <w:rPr>
          <w:rStyle w:val="libFootnotenumChar"/>
          <w:rtl/>
        </w:rPr>
        <w:t>(5)</w:t>
      </w:r>
      <w:r w:rsidRPr="00132E65">
        <w:rPr>
          <w:rtl/>
          <w:lang w:bidi="fa-IR"/>
        </w:rPr>
        <w:t xml:space="preserve"> </w:t>
      </w:r>
      <w:r w:rsidRPr="00071CF9">
        <w:rPr>
          <w:rStyle w:val="libAieChar"/>
          <w:rtl/>
        </w:rPr>
        <w:t xml:space="preserve">فَاسْتَغْفَرُوا اللهَ وَاسْتَغْفَرَ لَهُمُ الرَّسُولُ لَوَجَدُوا اللهَ تَوّاباً رَحِيماً </w:t>
      </w:r>
      <w:r w:rsidR="00F26254">
        <w:rPr>
          <w:rStyle w:val="libAieChar"/>
          <w:rFonts w:hint="cs"/>
          <w:rtl/>
        </w:rPr>
        <w:t xml:space="preserve">* </w:t>
      </w:r>
      <w:r w:rsidRPr="00071CF9">
        <w:rPr>
          <w:rStyle w:val="libAieChar"/>
          <w:rtl/>
        </w:rPr>
        <w:t xml:space="preserve">فَلا وَرَبِّكَ لا يُؤْمِنُونَ حَتّى يُحَكِّمُوكَ فِيما شَجَرَ بَيْنَهُمْ </w:t>
      </w:r>
      <w:r w:rsidR="00F26254">
        <w:rPr>
          <w:rStyle w:val="libFootnotenumChar"/>
          <w:rtl/>
        </w:rPr>
        <w:t>(6)</w:t>
      </w:r>
      <w:r w:rsidRPr="00071CF9">
        <w:rPr>
          <w:rStyle w:val="libAlaemChar"/>
          <w:rtl/>
        </w:rPr>
        <w:t>)</w:t>
      </w:r>
      <w:r w:rsidR="00F26254">
        <w:rPr>
          <w:rFonts w:hint="cs"/>
          <w:rtl/>
          <w:lang w:bidi="fa-IR"/>
        </w:rPr>
        <w:t xml:space="preserve"> </w:t>
      </w:r>
      <w:r w:rsidRPr="00132E65">
        <w:rPr>
          <w:rtl/>
          <w:lang w:bidi="fa-IR"/>
        </w:rPr>
        <w:t xml:space="preserve">فِيمَا تَعَاقَدُوا </w:t>
      </w:r>
      <w:r>
        <w:rPr>
          <w:rStyle w:val="libFootnotenumChar"/>
          <w:rtl/>
        </w:rPr>
        <w:t>(7)</w:t>
      </w:r>
      <w:r w:rsidRPr="00132E65">
        <w:rPr>
          <w:rtl/>
          <w:lang w:bidi="fa-IR"/>
        </w:rPr>
        <w:t xml:space="preserve"> عَلَيْهِ : لَئِنْ</w:t>
      </w:r>
      <w:r w:rsidR="00F26254">
        <w:rPr>
          <w:rtl/>
          <w:lang w:bidi="fa-IR"/>
        </w:rPr>
        <w:t xml:space="preserve"> أَمَاتَ اللهُ مُحَمَّداً أَل</w:t>
      </w:r>
      <w:r w:rsidR="00F26254">
        <w:rPr>
          <w:rFonts w:hint="cs"/>
          <w:rtl/>
          <w:lang w:bidi="fa-IR"/>
        </w:rPr>
        <w:t>َّ</w:t>
      </w:r>
      <w:r w:rsidR="00F26254">
        <w:rPr>
          <w:rtl/>
          <w:lang w:bidi="fa-IR"/>
        </w:rPr>
        <w:t>ا</w:t>
      </w:r>
      <w:r w:rsidRPr="00132E65">
        <w:rPr>
          <w:rtl/>
          <w:lang w:bidi="fa-IR"/>
        </w:rPr>
        <w:t xml:space="preserve"> </w:t>
      </w:r>
      <w:r>
        <w:rPr>
          <w:rStyle w:val="libFootnotenumChar"/>
          <w:rtl/>
        </w:rPr>
        <w:t>(8)</w:t>
      </w:r>
      <w:r w:rsidRPr="00132E65">
        <w:rPr>
          <w:rtl/>
          <w:lang w:bidi="fa-IR"/>
        </w:rPr>
        <w:t xml:space="preserve"> يَرُدُّوا هذَا الْأَمْرَ فِي بَنِي هَاشِمٍ</w:t>
      </w:r>
      <w:r>
        <w:rPr>
          <w:rFonts w:hint="cs"/>
          <w:rtl/>
          <w:lang w:bidi="fa-IR"/>
        </w:rPr>
        <w:t xml:space="preserve"> </w:t>
      </w:r>
      <w:r w:rsidRPr="00071CF9">
        <w:rPr>
          <w:rStyle w:val="libAlaemChar"/>
          <w:rtl/>
        </w:rPr>
        <w:t>(</w:t>
      </w:r>
      <w:r w:rsidRPr="00071CF9">
        <w:rPr>
          <w:rStyle w:val="libAieChar"/>
          <w:rtl/>
        </w:rPr>
        <w:t xml:space="preserve"> ثُمَّ لا</w:t>
      </w:r>
    </w:p>
    <w:p w:rsidR="000C39D1" w:rsidRPr="00132E65" w:rsidRDefault="000C39D1" w:rsidP="000C39D1">
      <w:pPr>
        <w:pStyle w:val="libLine"/>
        <w:rPr>
          <w:rtl/>
          <w:lang w:bidi="fa-IR"/>
        </w:rPr>
      </w:pPr>
      <w:r w:rsidRPr="00132E65">
        <w:rPr>
          <w:rtl/>
          <w:lang w:bidi="fa-IR"/>
        </w:rPr>
        <w:t>__________________</w:t>
      </w:r>
    </w:p>
    <w:p w:rsidR="000C39D1" w:rsidRPr="00132E65" w:rsidRDefault="00F26254" w:rsidP="00F26254">
      <w:pPr>
        <w:pStyle w:val="libFootnote0"/>
        <w:rPr>
          <w:rtl/>
          <w:lang w:bidi="fa-IR"/>
        </w:rPr>
      </w:pPr>
      <w:r>
        <w:rPr>
          <w:rFonts w:hint="cs"/>
          <w:rtl/>
        </w:rPr>
        <w:t xml:space="preserve">= </w:t>
      </w:r>
      <w:r w:rsidR="000C39D1" w:rsidRPr="00132E65">
        <w:rPr>
          <w:rtl/>
        </w:rPr>
        <w:t xml:space="preserve">ومنصور بن يونس بزرج ، عن بشير الدهّان ، عن كامل التمّار. </w:t>
      </w:r>
      <w:r w:rsidR="000C39D1" w:rsidRPr="007A1104">
        <w:rPr>
          <w:rStyle w:val="libFootnoteBoldChar"/>
          <w:rtl/>
        </w:rPr>
        <w:t>بصائر الدرجات</w:t>
      </w:r>
      <w:r w:rsidR="000C39D1" w:rsidRPr="00132E65">
        <w:rPr>
          <w:rtl/>
        </w:rPr>
        <w:t xml:space="preserve"> ، ص 525 ، ح 29 ، بسنده عن منصور بن يونس ، عن بشير الدهّان ، عن كليب ، إلى قوله : « هم النجباء »</w:t>
      </w:r>
      <w:r w:rsidR="000C39D1">
        <w:rPr>
          <w:rtl/>
        </w:rPr>
        <w:t>.</w:t>
      </w:r>
      <w:r w:rsidR="000C39D1" w:rsidRPr="00132E65">
        <w:rPr>
          <w:rtl/>
        </w:rPr>
        <w:t xml:space="preserve"> وفي </w:t>
      </w:r>
      <w:r w:rsidR="000C39D1" w:rsidRPr="00A92724">
        <w:rPr>
          <w:rtl/>
        </w:rPr>
        <w:t>المحاسن</w:t>
      </w:r>
      <w:r w:rsidR="000C39D1" w:rsidRPr="00132E65">
        <w:rPr>
          <w:rtl/>
        </w:rPr>
        <w:t xml:space="preserve"> ، ص 272 ، ح 367 ؛ و</w:t>
      </w:r>
      <w:r w:rsidR="000C39D1" w:rsidRPr="007A1104">
        <w:rPr>
          <w:rStyle w:val="libFootnoteBoldChar"/>
          <w:rtl/>
        </w:rPr>
        <w:t>بصائر الدرجات</w:t>
      </w:r>
      <w:r w:rsidR="000C39D1" w:rsidRPr="00132E65">
        <w:rPr>
          <w:rtl/>
        </w:rPr>
        <w:t xml:space="preserve"> ، وص 520 ، ح 1 ؛ وص 522 ، ح 12 </w:t>
      </w:r>
      <w:r w:rsidR="000C39D1">
        <w:rPr>
          <w:rtl/>
        </w:rPr>
        <w:t>و 1</w:t>
      </w:r>
      <w:r w:rsidR="000C39D1" w:rsidRPr="00132E65">
        <w:rPr>
          <w:rtl/>
        </w:rPr>
        <w:t xml:space="preserve">3 ، بسندهم عن كامل التمّار ، مع اختلاف يسير. وفي </w:t>
      </w:r>
      <w:r w:rsidR="000C39D1" w:rsidRPr="007A1104">
        <w:rPr>
          <w:rStyle w:val="libFootnoteBoldChar"/>
          <w:rtl/>
        </w:rPr>
        <w:t>بصائر الدرجات</w:t>
      </w:r>
      <w:r w:rsidR="000C39D1" w:rsidRPr="00132E65">
        <w:rPr>
          <w:rtl/>
        </w:rPr>
        <w:t xml:space="preserve"> ، ص 523 ، ح 17 </w:t>
      </w:r>
      <w:r w:rsidR="000C39D1">
        <w:rPr>
          <w:rtl/>
        </w:rPr>
        <w:t>و 1</w:t>
      </w:r>
      <w:r w:rsidR="000C39D1" w:rsidRPr="00132E65">
        <w:rPr>
          <w:rtl/>
        </w:rPr>
        <w:t xml:space="preserve">9 ، بسند آخر مع اختلاف. راجع : </w:t>
      </w:r>
      <w:r w:rsidR="000C39D1" w:rsidRPr="007A1104">
        <w:rPr>
          <w:rStyle w:val="libFootnoteBoldChar"/>
          <w:rtl/>
        </w:rPr>
        <w:t>بصائر الدرجات</w:t>
      </w:r>
      <w:r w:rsidR="000C39D1" w:rsidRPr="00132E65">
        <w:rPr>
          <w:rtl/>
        </w:rPr>
        <w:t xml:space="preserve"> ، ص 521 ، ح 4 </w:t>
      </w:r>
      <w:r w:rsidR="000C39D1">
        <w:rPr>
          <w:rtl/>
        </w:rPr>
        <w:t>و 5</w:t>
      </w:r>
      <w:r w:rsidR="000C39D1" w:rsidRPr="00132E65">
        <w:rPr>
          <w:rtl/>
        </w:rPr>
        <w:t xml:space="preserve"> ؛ وص 524 ، ح 24 ؛ و</w:t>
      </w:r>
      <w:r w:rsidR="000C39D1" w:rsidRPr="000619D1">
        <w:rPr>
          <w:rtl/>
        </w:rPr>
        <w:t>التوحيد</w:t>
      </w:r>
      <w:r w:rsidR="000C39D1" w:rsidRPr="00132E65">
        <w:rPr>
          <w:rtl/>
        </w:rPr>
        <w:t xml:space="preserve"> ، ص 458 ، ح 22</w:t>
      </w:r>
      <w:r>
        <w:rPr>
          <w:rFonts w:hint="cs"/>
          <w:rtl/>
        </w:rPr>
        <w:t>.</w:t>
      </w:r>
      <w:r w:rsidR="000C39D1" w:rsidRPr="009D1ACE">
        <w:rPr>
          <w:rStyle w:val="libFootnoteBoldChar"/>
          <w:rtl/>
        </w:rPr>
        <w:t>الوافي</w:t>
      </w:r>
      <w:r w:rsidR="000C39D1" w:rsidRPr="00132E65">
        <w:rPr>
          <w:rtl/>
        </w:rPr>
        <w:t xml:space="preserve"> ، ج 2 ، ص 112 ، ح 571 ؛ </w:t>
      </w:r>
      <w:r w:rsidR="000C39D1" w:rsidRPr="000619D1">
        <w:rPr>
          <w:rtl/>
        </w:rPr>
        <w:t>البحار</w:t>
      </w:r>
      <w:r w:rsidR="000C39D1" w:rsidRPr="00132E65">
        <w:rPr>
          <w:rtl/>
        </w:rPr>
        <w:t xml:space="preserve"> ، ج 67 ، ص 41 ؛ وص 264 ، وفيهما إلى قوله : « هم النجباء »</w:t>
      </w:r>
      <w:r w:rsidR="000C39D1">
        <w:rPr>
          <w:rtl/>
        </w:rPr>
        <w:t>.</w:t>
      </w:r>
    </w:p>
    <w:p w:rsidR="000C39D1" w:rsidRPr="00132E65" w:rsidRDefault="000C39D1" w:rsidP="00F26254">
      <w:pPr>
        <w:pStyle w:val="libFootnote0"/>
        <w:rPr>
          <w:rtl/>
          <w:lang w:bidi="fa-IR"/>
        </w:rPr>
      </w:pPr>
      <w:r>
        <w:rPr>
          <w:rtl/>
        </w:rPr>
        <w:t>(1).</w:t>
      </w:r>
      <w:r w:rsidRPr="00132E65">
        <w:rPr>
          <w:rtl/>
        </w:rPr>
        <w:t xml:space="preserve"> في « ب ، ج ، ض ، ف ، بر ، بس ، بف » وحاشية « ض ، بح » : « فليقبل »</w:t>
      </w:r>
      <w:r>
        <w:rPr>
          <w:rtl/>
        </w:rPr>
        <w:t>.</w:t>
      </w:r>
      <w:r w:rsidRPr="00132E65">
        <w:rPr>
          <w:rtl/>
        </w:rPr>
        <w:t xml:space="preserve"> وقال في </w:t>
      </w:r>
      <w:r w:rsidRPr="000619D1">
        <w:rPr>
          <w:rtl/>
        </w:rPr>
        <w:t>المرآة</w:t>
      </w:r>
      <w:r w:rsidRPr="00132E65">
        <w:rPr>
          <w:rtl/>
        </w:rPr>
        <w:t xml:space="preserve"> : « لعلّه تصحيف »</w:t>
      </w:r>
      <w:r>
        <w:rPr>
          <w:rtl/>
        </w:rPr>
        <w:t>.</w:t>
      </w:r>
      <w:r w:rsidRPr="00132E65">
        <w:rPr>
          <w:rtl/>
        </w:rPr>
        <w:t xml:space="preserve"> وجعل‌المتن ظاهراً.</w:t>
      </w:r>
      <w:r w:rsidR="00F26254">
        <w:rPr>
          <w:rFonts w:hint="cs"/>
          <w:rtl/>
        </w:rPr>
        <w:t xml:space="preserve">                          </w:t>
      </w:r>
      <w:r w:rsidR="00936037">
        <w:rPr>
          <w:rFonts w:hint="cs"/>
          <w:rtl/>
        </w:rPr>
        <w:t xml:space="preserve">         </w:t>
      </w:r>
      <w:r w:rsidR="00914D9E">
        <w:rPr>
          <w:rFonts w:hint="cs"/>
          <w:rtl/>
        </w:rPr>
        <w:t xml:space="preserve">   </w:t>
      </w:r>
      <w:r>
        <w:rPr>
          <w:rtl/>
        </w:rPr>
        <w:t>(2).</w:t>
      </w:r>
      <w:r w:rsidRPr="00132E65">
        <w:rPr>
          <w:rtl/>
        </w:rPr>
        <w:t xml:space="preserve"> </w:t>
      </w:r>
      <w:r w:rsidRPr="009D1ACE">
        <w:rPr>
          <w:rStyle w:val="libFootnoteBoldChar"/>
          <w:rtl/>
        </w:rPr>
        <w:t>الوافي</w:t>
      </w:r>
      <w:r w:rsidRPr="00132E65">
        <w:rPr>
          <w:rtl/>
        </w:rPr>
        <w:t xml:space="preserve"> ، ج 2 ، ص 112 ، ح 572.</w:t>
      </w:r>
    </w:p>
    <w:tbl>
      <w:tblPr>
        <w:tblStyle w:val="TableGrid"/>
        <w:bidiVisual/>
        <w:tblW w:w="0" w:type="auto"/>
        <w:tblLook w:val="04A0" w:firstRow="1" w:lastRow="0" w:firstColumn="1" w:lastColumn="0" w:noHBand="0" w:noVBand="1"/>
      </w:tblPr>
      <w:tblGrid>
        <w:gridCol w:w="4006"/>
        <w:gridCol w:w="4006"/>
      </w:tblGrid>
      <w:tr w:rsidR="00914D9E" w:rsidTr="00914D9E">
        <w:tc>
          <w:tcPr>
            <w:tcW w:w="4006" w:type="dxa"/>
          </w:tcPr>
          <w:p w:rsidR="00914D9E" w:rsidRDefault="00914D9E" w:rsidP="000C39D1">
            <w:pPr>
              <w:pStyle w:val="libFootnote0"/>
              <w:rPr>
                <w:rtl/>
              </w:rPr>
            </w:pPr>
            <w:r>
              <w:rPr>
                <w:rtl/>
              </w:rPr>
              <w:t>(3).</w:t>
            </w:r>
            <w:r w:rsidRPr="00132E65">
              <w:rPr>
                <w:rtl/>
              </w:rPr>
              <w:t xml:space="preserve"> في البحار </w:t>
            </w:r>
            <w:r>
              <w:rPr>
                <w:rtl/>
              </w:rPr>
              <w:t xml:space="preserve">: - </w:t>
            </w:r>
            <w:r w:rsidRPr="00132E65">
              <w:rPr>
                <w:rtl/>
              </w:rPr>
              <w:t>« قال قال »</w:t>
            </w:r>
            <w:r>
              <w:rPr>
                <w:rtl/>
              </w:rPr>
              <w:t>.</w:t>
            </w:r>
          </w:p>
        </w:tc>
        <w:tc>
          <w:tcPr>
            <w:tcW w:w="4006" w:type="dxa"/>
          </w:tcPr>
          <w:p w:rsidR="00914D9E" w:rsidRDefault="00914D9E" w:rsidP="000C39D1">
            <w:pPr>
              <w:pStyle w:val="libFootnote0"/>
              <w:rPr>
                <w:rtl/>
              </w:rPr>
            </w:pPr>
            <w:r>
              <w:rPr>
                <w:rtl/>
              </w:rPr>
              <w:t>(4). في البحار:-</w:t>
            </w:r>
            <w:r>
              <w:rPr>
                <w:rFonts w:hint="cs"/>
                <w:rtl/>
              </w:rPr>
              <w:t xml:space="preserve"> </w:t>
            </w:r>
            <w:r>
              <w:rPr>
                <w:rtl/>
              </w:rPr>
              <w:t>« قال: قلت : في أيّ موضع قال</w:t>
            </w:r>
            <w:r w:rsidRPr="00132E65">
              <w:rPr>
                <w:rtl/>
              </w:rPr>
              <w:t>»</w:t>
            </w:r>
            <w:r>
              <w:rPr>
                <w:rtl/>
              </w:rPr>
              <w:t>.</w:t>
            </w:r>
          </w:p>
        </w:tc>
      </w:tr>
    </w:tbl>
    <w:p w:rsidR="000C39D1" w:rsidRPr="00132E65" w:rsidRDefault="000C39D1" w:rsidP="000C39D1">
      <w:pPr>
        <w:pStyle w:val="libFootnote0"/>
        <w:rPr>
          <w:rtl/>
          <w:lang w:bidi="fa-IR"/>
        </w:rPr>
      </w:pPr>
      <w:r>
        <w:rPr>
          <w:rtl/>
        </w:rPr>
        <w:t>(5).</w:t>
      </w:r>
      <w:r w:rsidRPr="00132E65">
        <w:rPr>
          <w:rtl/>
        </w:rPr>
        <w:t xml:space="preserve"> في تفسير القمّي :</w:t>
      </w:r>
      <w:r>
        <w:rPr>
          <w:rtl/>
        </w:rPr>
        <w:t xml:space="preserve"> + </w:t>
      </w:r>
      <w:r w:rsidRPr="00132E65">
        <w:rPr>
          <w:rtl/>
        </w:rPr>
        <w:t>« يا عليّ »</w:t>
      </w:r>
      <w:r>
        <w:rPr>
          <w:rtl/>
        </w:rPr>
        <w:t>.</w:t>
      </w:r>
    </w:p>
    <w:p w:rsidR="000C39D1" w:rsidRPr="00132E65" w:rsidRDefault="000C39D1" w:rsidP="00DB2007">
      <w:pPr>
        <w:pStyle w:val="libFootnote0"/>
        <w:rPr>
          <w:rtl/>
          <w:lang w:bidi="fa-IR"/>
        </w:rPr>
      </w:pPr>
      <w:r>
        <w:rPr>
          <w:rtl/>
        </w:rPr>
        <w:t>(6).</w:t>
      </w:r>
      <w:r w:rsidRPr="00132E65">
        <w:rPr>
          <w:rtl/>
        </w:rPr>
        <w:t xml:space="preserve"> في « ف » :</w:t>
      </w:r>
      <w:r>
        <w:rPr>
          <w:rtl/>
        </w:rPr>
        <w:t xml:space="preserve"> + </w:t>
      </w:r>
      <w:r w:rsidR="00DB2007" w:rsidRPr="00DB2007">
        <w:rPr>
          <w:rStyle w:val="libFootnoteAlaemChar"/>
          <w:rFonts w:hint="cs"/>
          <w:rtl/>
        </w:rPr>
        <w:t>(</w:t>
      </w:r>
      <w:r w:rsidRPr="00DB2007">
        <w:rPr>
          <w:rStyle w:val="libFootnoteAieChar"/>
          <w:rtl/>
        </w:rPr>
        <w:t xml:space="preserve"> ثُمَّ لا يَجِدُوا فِي أَنْفُسِهِمْ حَرَجاً مِمّا قَضَيْتَ </w:t>
      </w:r>
      <w:r w:rsidR="00DB2007" w:rsidRPr="00DB2007">
        <w:rPr>
          <w:rStyle w:val="libFootnoteAlaemChar"/>
          <w:rFonts w:hint="cs"/>
          <w:rtl/>
        </w:rPr>
        <w:t>)</w:t>
      </w:r>
      <w:r>
        <w:rPr>
          <w:rtl/>
        </w:rPr>
        <w:t>.</w:t>
      </w:r>
      <w:r w:rsidRPr="00132E65">
        <w:rPr>
          <w:rtl/>
        </w:rPr>
        <w:t xml:space="preserve"> وفي البحار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006"/>
        <w:gridCol w:w="4006"/>
      </w:tblGrid>
      <w:tr w:rsidR="00DB2007" w:rsidTr="00DB2007">
        <w:tc>
          <w:tcPr>
            <w:tcW w:w="4006" w:type="dxa"/>
          </w:tcPr>
          <w:p w:rsidR="00DB2007" w:rsidRDefault="00DB2007" w:rsidP="000C39D1">
            <w:pPr>
              <w:pStyle w:val="libFootnote0"/>
              <w:rPr>
                <w:rtl/>
              </w:rPr>
            </w:pPr>
            <w:r>
              <w:rPr>
                <w:rtl/>
              </w:rPr>
              <w:t>(7).</w:t>
            </w:r>
            <w:r w:rsidRPr="00132E65">
              <w:rPr>
                <w:rtl/>
              </w:rPr>
              <w:t xml:space="preserve"> في « ف » : « تعاهدوا »</w:t>
            </w:r>
            <w:r>
              <w:rPr>
                <w:rtl/>
              </w:rPr>
              <w:t>.</w:t>
            </w:r>
          </w:p>
        </w:tc>
        <w:tc>
          <w:tcPr>
            <w:tcW w:w="4006" w:type="dxa"/>
          </w:tcPr>
          <w:p w:rsidR="00DB2007" w:rsidRDefault="00DB2007" w:rsidP="000C39D1">
            <w:pPr>
              <w:pStyle w:val="libFootnote0"/>
              <w:rPr>
                <w:rtl/>
              </w:rPr>
            </w:pPr>
            <w:r>
              <w:rPr>
                <w:rtl/>
              </w:rPr>
              <w:t>(8).</w:t>
            </w:r>
            <w:r w:rsidRPr="00132E65">
              <w:rPr>
                <w:rtl/>
              </w:rPr>
              <w:t xml:space="preserve"> في البحار : « لا » بدون الهمزة.</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يَجِدُوا فِي أَنْفُسِهِمْ حَرَجاً مِمّا قَضَيْتَ </w:t>
      </w:r>
      <w:r w:rsidRPr="00071CF9">
        <w:rPr>
          <w:rStyle w:val="libAlaemChar"/>
          <w:rtl/>
        </w:rPr>
        <w:t>)</w:t>
      </w:r>
      <w:r w:rsidRPr="00132E65">
        <w:rPr>
          <w:rtl/>
          <w:lang w:bidi="fa-IR"/>
        </w:rPr>
        <w:t xml:space="preserve"> عَلَيْهِمْ مِنَ الْقَتْلِ أَوِ الْعَفْوِ </w:t>
      </w:r>
      <w:r>
        <w:rPr>
          <w:rStyle w:val="libFootnotenumChar"/>
          <w:rtl/>
        </w:rPr>
        <w:t>(1)</w:t>
      </w:r>
      <w:r w:rsidRPr="00132E65">
        <w:rPr>
          <w:rtl/>
          <w:lang w:bidi="fa-IR"/>
        </w:rPr>
        <w:t xml:space="preserve"> </w:t>
      </w:r>
      <w:r w:rsidRPr="00071CF9">
        <w:rPr>
          <w:rStyle w:val="libAlaemChar"/>
          <w:rtl/>
        </w:rPr>
        <w:t>(</w:t>
      </w:r>
      <w:r w:rsidRPr="00071CF9">
        <w:rPr>
          <w:rStyle w:val="libAieChar"/>
          <w:rtl/>
        </w:rPr>
        <w:t xml:space="preserve"> وَيُسَلِّمُوا تَسْلِيماً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0619D1">
        <w:rPr>
          <w:rtl/>
        </w:rPr>
        <w:t>1025</w:t>
      </w:r>
      <w:r w:rsidRPr="004325D8">
        <w:rPr>
          <w:rStyle w:val="libBold2Char"/>
          <w:rtl/>
        </w:rPr>
        <w:t xml:space="preserve"> / 8.</w:t>
      </w:r>
      <w:r w:rsidRPr="00132E65">
        <w:rPr>
          <w:rtl/>
          <w:lang w:bidi="fa-IR"/>
        </w:rPr>
        <w:t xml:space="preserve"> أَحْمَدُ بْنُ مِهْرَانَ</w:t>
      </w:r>
      <w:r>
        <w:rPr>
          <w:rtl/>
          <w:lang w:bidi="fa-IR"/>
        </w:rPr>
        <w:t xml:space="preserve"> - </w:t>
      </w:r>
      <w:r w:rsidRPr="00132E65">
        <w:rPr>
          <w:rtl/>
          <w:lang w:bidi="fa-IR"/>
        </w:rPr>
        <w:t xml:space="preserve">رَحِمَهُ اللهُ </w:t>
      </w:r>
      <w:r>
        <w:rPr>
          <w:rStyle w:val="libFootnotenumChar"/>
          <w:rtl/>
        </w:rPr>
        <w:t>(4)</w:t>
      </w:r>
      <w:r>
        <w:rPr>
          <w:rtl/>
          <w:lang w:bidi="fa-IR"/>
        </w:rPr>
        <w:t xml:space="preserve"> - </w:t>
      </w:r>
      <w:r w:rsidRPr="00132E65">
        <w:rPr>
          <w:rtl/>
          <w:lang w:bidi="fa-IR"/>
        </w:rPr>
        <w:t xml:space="preserve">عَنْ عَبْدِ الْعَظِيمِ الْحَسَنِيِّ ، عَنْ عَلِيِّ بْنِ أَسْبَاطٍ ، عَنْ عَلِيِّ بْنِ عُقْبَةَ </w:t>
      </w:r>
      <w:r>
        <w:rPr>
          <w:rStyle w:val="libFootnotenumChar"/>
          <w:rtl/>
        </w:rPr>
        <w:t>(5)</w:t>
      </w:r>
      <w:r w:rsidRPr="00132E65">
        <w:rPr>
          <w:rtl/>
          <w:lang w:bidi="fa-IR"/>
        </w:rPr>
        <w:t xml:space="preserve"> ، عَنِ الْحَكَمِ بْنِ أَيْمَنَ ، عَنْ أَبِي بَصِيرٍ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الَّذِينَ يَسْتَمِعُونَ الْقَوْلَ فَيَتَّبِعُونَ أَحْسَنَهُ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إِلى آخِرِ الْآيَةِ ، قَالَ </w:t>
      </w:r>
      <w:r>
        <w:rPr>
          <w:rStyle w:val="libFootnotenumChar"/>
          <w:rtl/>
        </w:rPr>
        <w:t>(7)</w:t>
      </w:r>
      <w:r w:rsidRPr="00132E65">
        <w:rPr>
          <w:rtl/>
          <w:lang w:bidi="fa-IR"/>
        </w:rPr>
        <w:t xml:space="preserve"> : « هُمُ الْمُسَلِّمُونَ لآِلِ مُحَمَّدٍ ، الَّذِينَ إِذَا سَمِعُوا الْحَدِيثَ ، لَمْ يَزِيدُوا فِيهِ ، ولَمْ يَنْقُصُوا مِنْهُ </w:t>
      </w:r>
      <w:r>
        <w:rPr>
          <w:rStyle w:val="libFootnotenumChar"/>
          <w:rtl/>
        </w:rPr>
        <w:t>(8)</w:t>
      </w:r>
      <w:r w:rsidRPr="00132E65">
        <w:rPr>
          <w:rtl/>
          <w:lang w:bidi="fa-IR"/>
        </w:rPr>
        <w:t xml:space="preserve"> ، جَاؤُوا بِهِ كَمَا سَمِعُوهُ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Default="000C39D1" w:rsidP="000C39D1">
      <w:pPr>
        <w:pStyle w:val="Heading2Center"/>
        <w:rPr>
          <w:rtl/>
          <w:lang w:bidi="fa-IR"/>
        </w:rPr>
      </w:pPr>
      <w:bookmarkStart w:id="82" w:name="_Toc459459127"/>
      <w:bookmarkStart w:id="83" w:name="_Toc34663096"/>
      <w:r w:rsidRPr="00132E65">
        <w:rPr>
          <w:rtl/>
          <w:lang w:bidi="fa-IR"/>
        </w:rPr>
        <w:t>96</w:t>
      </w:r>
      <w:r>
        <w:rPr>
          <w:rtl/>
          <w:lang w:bidi="fa-IR"/>
        </w:rPr>
        <w:t xml:space="preserve"> - </w:t>
      </w:r>
      <w:r w:rsidRPr="00132E65">
        <w:rPr>
          <w:rtl/>
          <w:lang w:bidi="fa-IR"/>
        </w:rPr>
        <w:t>بَابُ أَنَّ الْوَاجِبَ عَلَى النَّاسِ بَعْدَ مَا يَقْضُونَ مَنَاسِكَهُمْ أَنْ</w:t>
      </w:r>
      <w:bookmarkEnd w:id="82"/>
      <w:bookmarkEnd w:id="83"/>
      <w:r w:rsidRPr="00132E65">
        <w:rPr>
          <w:rtl/>
          <w:lang w:bidi="fa-IR"/>
        </w:rPr>
        <w:t xml:space="preserve"> </w:t>
      </w:r>
    </w:p>
    <w:p w:rsidR="000C39D1" w:rsidRDefault="000C39D1" w:rsidP="000C39D1">
      <w:pPr>
        <w:pStyle w:val="Heading2Center"/>
        <w:rPr>
          <w:rtl/>
        </w:rPr>
      </w:pPr>
      <w:bookmarkStart w:id="84" w:name="_Toc459293640"/>
      <w:bookmarkStart w:id="85" w:name="_Toc459455109"/>
      <w:bookmarkStart w:id="86" w:name="_Toc459459128"/>
      <w:bookmarkStart w:id="87" w:name="_Toc34663097"/>
      <w:r w:rsidRPr="00132E65">
        <w:rPr>
          <w:rtl/>
          <w:lang w:bidi="fa-IR"/>
        </w:rPr>
        <w:t xml:space="preserve">يَأْتُوا الْإِمَامَ فَيَسْأَلُونَهُ عَنْ </w:t>
      </w:r>
      <w:r>
        <w:rPr>
          <w:rStyle w:val="libFootnotenumChar"/>
          <w:rtl/>
        </w:rPr>
        <w:t>(10)</w:t>
      </w:r>
      <w:r>
        <w:rPr>
          <w:rtl/>
          <w:lang w:bidi="fa-IR"/>
        </w:rPr>
        <w:t xml:space="preserve"> </w:t>
      </w:r>
      <w:r w:rsidRPr="00132E65">
        <w:rPr>
          <w:rtl/>
          <w:lang w:bidi="fa-IR"/>
        </w:rPr>
        <w:t xml:space="preserve">مَعَالِمِ دِينِهِمْ ويُعْلِمُونَهُ </w:t>
      </w:r>
      <w:r>
        <w:rPr>
          <w:rStyle w:val="libFootnotenumChar"/>
          <w:rtl/>
        </w:rPr>
        <w:t>(11)</w:t>
      </w:r>
      <w:bookmarkEnd w:id="84"/>
      <w:bookmarkEnd w:id="85"/>
      <w:bookmarkEnd w:id="86"/>
      <w:bookmarkEnd w:id="87"/>
      <w:r>
        <w:rPr>
          <w:rtl/>
          <w:lang w:bidi="fa-IR"/>
        </w:rPr>
        <w:t xml:space="preserve"> </w:t>
      </w:r>
    </w:p>
    <w:p w:rsidR="000C39D1" w:rsidRPr="00132E65" w:rsidRDefault="000C39D1" w:rsidP="000C39D1">
      <w:pPr>
        <w:pStyle w:val="Heading2Center"/>
        <w:rPr>
          <w:rtl/>
          <w:lang w:bidi="fa-IR"/>
        </w:rPr>
      </w:pPr>
      <w:bookmarkStart w:id="88" w:name="_Toc459293641"/>
      <w:bookmarkStart w:id="89" w:name="_Toc459455110"/>
      <w:bookmarkStart w:id="90" w:name="_Toc459459129"/>
      <w:bookmarkStart w:id="91" w:name="_Toc34663098"/>
      <w:r w:rsidRPr="00132E65">
        <w:rPr>
          <w:rtl/>
          <w:lang w:bidi="fa-IR"/>
        </w:rPr>
        <w:t xml:space="preserve">وَلَايَتَهُمْ ومَوَدَّتَهُمْ لَهُ </w:t>
      </w:r>
      <w:r>
        <w:rPr>
          <w:rStyle w:val="libFootnotenumChar"/>
          <w:rtl/>
        </w:rPr>
        <w:t>(12)</w:t>
      </w:r>
      <w:r w:rsidRPr="00132E65">
        <w:rPr>
          <w:rtl/>
          <w:lang w:bidi="fa-IR"/>
        </w:rPr>
        <w:t xml:space="preserve"> ‌</w:t>
      </w:r>
      <w:bookmarkEnd w:id="88"/>
      <w:bookmarkEnd w:id="89"/>
      <w:bookmarkEnd w:id="90"/>
      <w:bookmarkEnd w:id="91"/>
    </w:p>
    <w:p w:rsidR="000C39D1" w:rsidRPr="00132E65" w:rsidRDefault="000C39D1" w:rsidP="000C39D1">
      <w:pPr>
        <w:pStyle w:val="libNormal"/>
        <w:rPr>
          <w:rtl/>
          <w:lang w:bidi="fa-IR"/>
        </w:rPr>
      </w:pPr>
      <w:r w:rsidRPr="000619D1">
        <w:rPr>
          <w:rtl/>
        </w:rPr>
        <w:t>1026</w:t>
      </w:r>
      <w:r w:rsidRPr="004325D8">
        <w:rPr>
          <w:rStyle w:val="libBold2Char"/>
          <w:rtl/>
        </w:rPr>
        <w:t xml:space="preserve"> / 1.</w:t>
      </w:r>
      <w:r w:rsidRPr="00132E65">
        <w:rPr>
          <w:rtl/>
          <w:lang w:bidi="fa-IR"/>
        </w:rPr>
        <w:t xml:space="preserve"> عَلِيُّ بْنُ إِبْرَاهِيمَ ، عَنْ أَبِيهِ ، عَنِ ابْنِ أَبِي عُمَيْرٍ ، عَنِ ابْنِ أُذَيْنَةَ ، عَنِ الْفُضَيْلِ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نَظَرَ إِلَى النَّاسِ يَطُوفُونَ حَوْلَ الْكَعْبَةِ ، فَقَالَ : « هكَذَا كَانُوا‌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B55FE" w:rsidTr="000B55FE">
        <w:tc>
          <w:tcPr>
            <w:tcW w:w="4006" w:type="dxa"/>
          </w:tcPr>
          <w:p w:rsidR="000B55FE" w:rsidRDefault="000B55FE" w:rsidP="000C39D1">
            <w:pPr>
              <w:pStyle w:val="libFootnote0"/>
              <w:rPr>
                <w:rtl/>
              </w:rPr>
            </w:pPr>
            <w:r>
              <w:rPr>
                <w:rtl/>
              </w:rPr>
              <w:t>(1).</w:t>
            </w:r>
            <w:r w:rsidRPr="00132E65">
              <w:rPr>
                <w:rtl/>
              </w:rPr>
              <w:t xml:space="preserve"> في « ب ، ف ، بف » : « والعفو »</w:t>
            </w:r>
            <w:r>
              <w:rPr>
                <w:rtl/>
              </w:rPr>
              <w:t>.</w:t>
            </w:r>
          </w:p>
        </w:tc>
        <w:tc>
          <w:tcPr>
            <w:tcW w:w="4006" w:type="dxa"/>
          </w:tcPr>
          <w:p w:rsidR="000B55FE" w:rsidRDefault="000B55FE" w:rsidP="000C39D1">
            <w:pPr>
              <w:pStyle w:val="libFootnote0"/>
              <w:rPr>
                <w:rtl/>
              </w:rPr>
            </w:pPr>
            <w:r>
              <w:rPr>
                <w:rtl/>
              </w:rPr>
              <w:t>(2).</w:t>
            </w:r>
            <w:r w:rsidRPr="00132E65">
              <w:rPr>
                <w:rtl/>
              </w:rPr>
              <w:t xml:space="preserve"> النساء </w:t>
            </w:r>
            <w:r>
              <w:rPr>
                <w:rtl/>
              </w:rPr>
              <w:t>(4)</w:t>
            </w:r>
            <w:r w:rsidRPr="00132E65">
              <w:rPr>
                <w:rtl/>
              </w:rPr>
              <w:t xml:space="preserve"> : 64</w:t>
            </w:r>
            <w:r>
              <w:rPr>
                <w:rtl/>
              </w:rPr>
              <w:t xml:space="preserve"> - </w:t>
            </w:r>
            <w:r w:rsidRPr="00132E65">
              <w:rPr>
                <w:rtl/>
              </w:rPr>
              <w:t>65.</w:t>
            </w:r>
          </w:p>
        </w:tc>
      </w:tr>
    </w:tbl>
    <w:p w:rsidR="000C39D1" w:rsidRPr="00132E65" w:rsidRDefault="000C39D1" w:rsidP="000B55FE">
      <w:pPr>
        <w:pStyle w:val="libFootnote0"/>
        <w:rPr>
          <w:rtl/>
          <w:lang w:bidi="fa-IR"/>
        </w:rPr>
      </w:pPr>
      <w:r>
        <w:rPr>
          <w:rtl/>
        </w:rPr>
        <w:t>(3).</w:t>
      </w:r>
      <w:r w:rsidRPr="00132E65">
        <w:rPr>
          <w:rtl/>
        </w:rPr>
        <w:t xml:space="preserve"> </w:t>
      </w:r>
      <w:r w:rsidRPr="000619D1">
        <w:rPr>
          <w:rtl/>
        </w:rPr>
        <w:t>تفسير القمّي</w:t>
      </w:r>
      <w:r w:rsidRPr="00132E65">
        <w:rPr>
          <w:rtl/>
        </w:rPr>
        <w:t xml:space="preserve"> ، ج 1 ، ص 142 ، وفيه إلى قوله : </w:t>
      </w:r>
      <w:r w:rsidR="000B55FE" w:rsidRPr="000B55FE">
        <w:rPr>
          <w:rStyle w:val="libFootnoteAlaemChar"/>
          <w:rFonts w:hint="cs"/>
          <w:rtl/>
        </w:rPr>
        <w:t>(</w:t>
      </w:r>
      <w:r w:rsidRPr="000B55FE">
        <w:rPr>
          <w:rStyle w:val="libFootnoteAieChar"/>
          <w:rtl/>
        </w:rPr>
        <w:t xml:space="preserve"> لَوَجَدُوا اللهَ تَوّاباً رَحِيماً </w:t>
      </w:r>
      <w:r w:rsidR="000B55FE" w:rsidRPr="000B55FE">
        <w:rPr>
          <w:rStyle w:val="libFootnoteAlaemChar"/>
          <w:rFonts w:hint="cs"/>
          <w:rtl/>
        </w:rPr>
        <w:t>)</w:t>
      </w:r>
      <w:r w:rsidRPr="00132E65">
        <w:rPr>
          <w:rtl/>
        </w:rPr>
        <w:t xml:space="preserve"> مع اختلاف يسير. وراجع : </w:t>
      </w:r>
      <w:r w:rsidRPr="000577A7">
        <w:rPr>
          <w:rStyle w:val="libFootnoteBoldChar"/>
          <w:rtl/>
        </w:rPr>
        <w:t>الكافي</w:t>
      </w:r>
      <w:r w:rsidRPr="00132E65">
        <w:rPr>
          <w:rtl/>
        </w:rPr>
        <w:t xml:space="preserve"> ، كتاب الروضة ، ح 15341</w:t>
      </w:r>
      <w:r w:rsidR="000B55FE">
        <w:rPr>
          <w:rFonts w:hint="cs"/>
          <w:rtl/>
        </w:rPr>
        <w:t>.</w:t>
      </w:r>
      <w:r w:rsidRPr="009D1ACE">
        <w:rPr>
          <w:rStyle w:val="libFootnoteBoldChar"/>
          <w:rtl/>
        </w:rPr>
        <w:t>الوافي</w:t>
      </w:r>
      <w:r w:rsidRPr="00132E65">
        <w:rPr>
          <w:rtl/>
        </w:rPr>
        <w:t xml:space="preserve"> ، ج 2 ، ص 113 ، ح 573 ؛ </w:t>
      </w:r>
      <w:r w:rsidRPr="000619D1">
        <w:rPr>
          <w:rtl/>
        </w:rPr>
        <w:t>البحار</w:t>
      </w:r>
      <w:r w:rsidRPr="00132E65">
        <w:rPr>
          <w:rtl/>
        </w:rPr>
        <w:t xml:space="preserve"> ، ج 68 ، ص 233.</w:t>
      </w:r>
    </w:p>
    <w:tbl>
      <w:tblPr>
        <w:tblStyle w:val="TableGrid"/>
        <w:bidiVisual/>
        <w:tblW w:w="0" w:type="auto"/>
        <w:tblLook w:val="04A0" w:firstRow="1" w:lastRow="0" w:firstColumn="1" w:lastColumn="0" w:noHBand="0" w:noVBand="1"/>
      </w:tblPr>
      <w:tblGrid>
        <w:gridCol w:w="4006"/>
        <w:gridCol w:w="4006"/>
      </w:tblGrid>
      <w:tr w:rsidR="000B55FE" w:rsidTr="000B55FE">
        <w:tc>
          <w:tcPr>
            <w:tcW w:w="4006" w:type="dxa"/>
          </w:tcPr>
          <w:p w:rsidR="000B55FE" w:rsidRDefault="000B55FE" w:rsidP="000C39D1">
            <w:pPr>
              <w:pStyle w:val="libFootnote0"/>
              <w:rPr>
                <w:rtl/>
              </w:rPr>
            </w:pPr>
            <w:r>
              <w:rPr>
                <w:rtl/>
              </w:rPr>
              <w:t>(4).</w:t>
            </w:r>
            <w:r w:rsidRPr="00132E65">
              <w:rPr>
                <w:rtl/>
              </w:rPr>
              <w:t xml:space="preserve"> في « ألف ، ف » </w:t>
            </w:r>
            <w:r>
              <w:rPr>
                <w:rtl/>
              </w:rPr>
              <w:t xml:space="preserve">: - </w:t>
            </w:r>
            <w:r w:rsidRPr="00132E65">
              <w:rPr>
                <w:rtl/>
              </w:rPr>
              <w:t xml:space="preserve">« </w:t>
            </w:r>
            <w:r w:rsidRPr="000B55FE">
              <w:rPr>
                <w:rStyle w:val="libFootnoteAlaemChar"/>
                <w:rtl/>
              </w:rPr>
              <w:t>رحمه‌الله</w:t>
            </w:r>
            <w:r w:rsidRPr="00132E65">
              <w:rPr>
                <w:rtl/>
              </w:rPr>
              <w:t xml:space="preserve"> »</w:t>
            </w:r>
            <w:r>
              <w:rPr>
                <w:rtl/>
              </w:rPr>
              <w:t>.</w:t>
            </w:r>
          </w:p>
        </w:tc>
        <w:tc>
          <w:tcPr>
            <w:tcW w:w="4006" w:type="dxa"/>
          </w:tcPr>
          <w:p w:rsidR="000B55FE" w:rsidRDefault="000B55FE" w:rsidP="000C39D1">
            <w:pPr>
              <w:pStyle w:val="libFootnote0"/>
              <w:rPr>
                <w:rtl/>
              </w:rPr>
            </w:pPr>
            <w:r>
              <w:rPr>
                <w:rtl/>
              </w:rPr>
              <w:t>(5).</w:t>
            </w:r>
            <w:r w:rsidRPr="00132E65">
              <w:rPr>
                <w:rtl/>
              </w:rPr>
              <w:t xml:space="preserve"> في الوسائل </w:t>
            </w:r>
            <w:r>
              <w:rPr>
                <w:rtl/>
              </w:rPr>
              <w:t xml:space="preserve">: - </w:t>
            </w:r>
            <w:r w:rsidRPr="00132E65">
              <w:rPr>
                <w:rtl/>
              </w:rPr>
              <w:t>« عن عليّ بن عقبة »</w:t>
            </w:r>
            <w:r>
              <w:rPr>
                <w:rtl/>
              </w:rPr>
              <w:t>.</w:t>
            </w:r>
          </w:p>
        </w:tc>
      </w:tr>
      <w:tr w:rsidR="000B55FE" w:rsidTr="000B55FE">
        <w:tc>
          <w:tcPr>
            <w:tcW w:w="4006" w:type="dxa"/>
          </w:tcPr>
          <w:p w:rsidR="000B55FE" w:rsidRDefault="000B55FE" w:rsidP="000C39D1">
            <w:pPr>
              <w:pStyle w:val="libFootnote0"/>
              <w:rPr>
                <w:rtl/>
              </w:rPr>
            </w:pPr>
            <w:r>
              <w:rPr>
                <w:rtl/>
              </w:rPr>
              <w:t>(6).</w:t>
            </w:r>
            <w:r w:rsidRPr="00132E65">
              <w:rPr>
                <w:rtl/>
              </w:rPr>
              <w:t xml:space="preserve"> الزمر (39) : 18.</w:t>
            </w:r>
          </w:p>
        </w:tc>
        <w:tc>
          <w:tcPr>
            <w:tcW w:w="4006" w:type="dxa"/>
          </w:tcPr>
          <w:p w:rsidR="000B55FE" w:rsidRDefault="000B55FE" w:rsidP="000C39D1">
            <w:pPr>
              <w:pStyle w:val="libFootnote0"/>
              <w:rPr>
                <w:rtl/>
              </w:rPr>
            </w:pPr>
            <w:r>
              <w:rPr>
                <w:rtl/>
              </w:rPr>
              <w:t>(7).</w:t>
            </w:r>
            <w:r w:rsidRPr="00132E65">
              <w:rPr>
                <w:rtl/>
              </w:rPr>
              <w:t xml:space="preserve"> في الوسائل ، ج 27 ، ح 82 : « فقال »</w:t>
            </w:r>
            <w:r>
              <w:rPr>
                <w:rtl/>
              </w:rPr>
              <w:t>.</w:t>
            </w:r>
          </w:p>
        </w:tc>
      </w:tr>
    </w:tbl>
    <w:p w:rsidR="000C39D1" w:rsidRPr="00132E65" w:rsidRDefault="000C39D1" w:rsidP="000C39D1">
      <w:pPr>
        <w:pStyle w:val="libFootnote0"/>
        <w:rPr>
          <w:rtl/>
          <w:lang w:bidi="fa-IR"/>
        </w:rPr>
      </w:pPr>
      <w:r>
        <w:rPr>
          <w:rtl/>
        </w:rPr>
        <w:t>(8).</w:t>
      </w:r>
      <w:r w:rsidRPr="00132E65">
        <w:rPr>
          <w:rtl/>
        </w:rPr>
        <w:t xml:space="preserve"> في « ف » : « عنه »</w:t>
      </w:r>
      <w:r>
        <w:rPr>
          <w:rtl/>
        </w:rPr>
        <w:t>.</w:t>
      </w:r>
    </w:p>
    <w:p w:rsidR="000C39D1" w:rsidRPr="00132E65" w:rsidRDefault="000C39D1" w:rsidP="001D3244">
      <w:pPr>
        <w:pStyle w:val="libFootnote0"/>
        <w:rPr>
          <w:rtl/>
          <w:lang w:bidi="fa-IR"/>
        </w:rPr>
      </w:pPr>
      <w:r>
        <w:rPr>
          <w:rtl/>
        </w:rPr>
        <w:t>(9).</w:t>
      </w:r>
      <w:r w:rsidRPr="00132E65">
        <w:rPr>
          <w:rtl/>
        </w:rPr>
        <w:t xml:space="preserve"> </w:t>
      </w:r>
      <w:r w:rsidRPr="000577A7">
        <w:rPr>
          <w:rStyle w:val="libFootnoteBoldChar"/>
          <w:rtl/>
        </w:rPr>
        <w:t>الكافي</w:t>
      </w:r>
      <w:r w:rsidRPr="00132E65">
        <w:rPr>
          <w:rtl/>
        </w:rPr>
        <w:t xml:space="preserve"> ، كتاب فضل العلم ، باب رواية الكتب والحديث</w:t>
      </w:r>
      <w:r>
        <w:rPr>
          <w:rtl/>
        </w:rPr>
        <w:t xml:space="preserve"> ..</w:t>
      </w:r>
      <w:r w:rsidRPr="00132E65">
        <w:rPr>
          <w:rtl/>
        </w:rPr>
        <w:t xml:space="preserve">. ، ح 143 ، بسند آخر عن أبي بصير ؛ </w:t>
      </w:r>
      <w:r w:rsidRPr="000619D1">
        <w:rPr>
          <w:rtl/>
        </w:rPr>
        <w:t>الاختصاص</w:t>
      </w:r>
      <w:r w:rsidRPr="00132E65">
        <w:rPr>
          <w:rtl/>
        </w:rPr>
        <w:t xml:space="preserve"> ، ص 5 ، بسنده عن أبي بصير ، عن أحدهما </w:t>
      </w:r>
      <w:r w:rsidRPr="000B55FE">
        <w:rPr>
          <w:rStyle w:val="libFootnoteAlaemChar"/>
          <w:rtl/>
        </w:rPr>
        <w:t>عليهما‌السلام</w:t>
      </w:r>
      <w:r w:rsidRPr="00132E65">
        <w:rPr>
          <w:rtl/>
        </w:rPr>
        <w:t xml:space="preserve"> ، وفيهما مع اختلاف يسير</w:t>
      </w:r>
      <w:r w:rsidR="001D3244">
        <w:rPr>
          <w:rFonts w:hint="cs"/>
          <w:rtl/>
        </w:rPr>
        <w:t>.</w:t>
      </w:r>
      <w:r w:rsidRPr="009D1ACE">
        <w:rPr>
          <w:rStyle w:val="libFootnoteBoldChar"/>
          <w:rtl/>
        </w:rPr>
        <w:t>الوافي</w:t>
      </w:r>
      <w:r w:rsidRPr="00132E65">
        <w:rPr>
          <w:rtl/>
        </w:rPr>
        <w:t xml:space="preserve"> ، ج 2 ، ص 114 ، ح 574 ؛ </w:t>
      </w:r>
      <w:r w:rsidRPr="000619D1">
        <w:rPr>
          <w:rtl/>
        </w:rPr>
        <w:t>الوسائل</w:t>
      </w:r>
      <w:r w:rsidRPr="00132E65">
        <w:rPr>
          <w:rtl/>
        </w:rPr>
        <w:t xml:space="preserve"> ، ج 27 ، ص 82 ، ح 33268.</w:t>
      </w:r>
      <w:r w:rsidR="001D3244">
        <w:rPr>
          <w:rFonts w:hint="cs"/>
          <w:rtl/>
        </w:rPr>
        <w:t xml:space="preserve">      </w:t>
      </w:r>
      <w:r>
        <w:rPr>
          <w:rtl/>
        </w:rPr>
        <w:t>(10).</w:t>
      </w:r>
      <w:r w:rsidRPr="00132E65">
        <w:rPr>
          <w:rtl/>
        </w:rPr>
        <w:t xml:space="preserve"> في شرح المازندراني </w:t>
      </w:r>
      <w:r>
        <w:rPr>
          <w:rtl/>
        </w:rPr>
        <w:t xml:space="preserve">: - </w:t>
      </w:r>
      <w:r w:rsidRPr="00132E65">
        <w:rPr>
          <w:rtl/>
        </w:rPr>
        <w:t>« عن »</w:t>
      </w:r>
      <w:r>
        <w:rPr>
          <w:rtl/>
        </w:rPr>
        <w:t>.</w:t>
      </w:r>
    </w:p>
    <w:p w:rsidR="000C39D1" w:rsidRPr="00132E65" w:rsidRDefault="000C39D1" w:rsidP="000C39D1">
      <w:pPr>
        <w:pStyle w:val="libFootnote0"/>
        <w:rPr>
          <w:rtl/>
          <w:lang w:bidi="fa-IR"/>
        </w:rPr>
      </w:pPr>
      <w:r>
        <w:rPr>
          <w:rtl/>
        </w:rPr>
        <w:t>(11).</w:t>
      </w:r>
      <w:r w:rsidRPr="00132E65">
        <w:rPr>
          <w:rtl/>
        </w:rPr>
        <w:t xml:space="preserve"> هكذا في « ب ، ض ، بر » وحاشية « بح »</w:t>
      </w:r>
      <w:r>
        <w:rPr>
          <w:rtl/>
        </w:rPr>
        <w:t>.</w:t>
      </w:r>
      <w:r w:rsidRPr="00132E65">
        <w:rPr>
          <w:rtl/>
        </w:rPr>
        <w:t xml:space="preserve"> وفي المطبوع وسائر النسخ : « يعلمونهم »</w:t>
      </w:r>
      <w:r>
        <w:rPr>
          <w:rtl/>
        </w:rPr>
        <w:t>.</w:t>
      </w:r>
    </w:p>
    <w:p w:rsidR="000C39D1" w:rsidRPr="00132E65" w:rsidRDefault="000C39D1" w:rsidP="000C39D1">
      <w:pPr>
        <w:pStyle w:val="libFootnote0"/>
        <w:rPr>
          <w:rtl/>
          <w:lang w:bidi="fa-IR"/>
        </w:rPr>
      </w:pPr>
      <w:r>
        <w:rPr>
          <w:rtl/>
        </w:rPr>
        <w:t>(12).</w:t>
      </w:r>
      <w:r w:rsidRPr="00132E65">
        <w:rPr>
          <w:rtl/>
        </w:rPr>
        <w:t xml:space="preserve"> في « ج » وحاشية « ض ، ف ، بح » و</w:t>
      </w:r>
      <w:r w:rsidRPr="009D1ACE">
        <w:rPr>
          <w:rStyle w:val="libFootnoteBoldChar"/>
          <w:rtl/>
        </w:rPr>
        <w:t>مرآة العقول</w:t>
      </w:r>
      <w:r w:rsidRPr="00132E65">
        <w:rPr>
          <w:rtl/>
        </w:rPr>
        <w:t xml:space="preserve"> : « لهم »</w:t>
      </w:r>
      <w:r>
        <w:rPr>
          <w:rtl/>
        </w:rPr>
        <w:t>.</w:t>
      </w:r>
    </w:p>
    <w:p w:rsidR="000C39D1" w:rsidRPr="00132E65" w:rsidRDefault="000C39D1" w:rsidP="000C39D1">
      <w:pPr>
        <w:pStyle w:val="libFootnote0"/>
        <w:rPr>
          <w:rtl/>
          <w:lang w:bidi="fa-IR"/>
        </w:rPr>
      </w:pPr>
      <w:r>
        <w:rPr>
          <w:rtl/>
        </w:rPr>
        <w:t>(13)</w:t>
      </w:r>
      <w:r w:rsidRPr="00132E65">
        <w:rPr>
          <w:rtl/>
        </w:rPr>
        <w:t xml:space="preserve"> في « ب ، ض ، </w:t>
      </w:r>
      <w:r>
        <w:rPr>
          <w:rtl/>
        </w:rPr>
        <w:t>و »</w:t>
      </w:r>
      <w:r w:rsidRPr="00132E65">
        <w:rPr>
          <w:rtl/>
        </w:rPr>
        <w:t xml:space="preserve"> :</w:t>
      </w:r>
      <w:r>
        <w:rPr>
          <w:rtl/>
        </w:rPr>
        <w:t xml:space="preserve"> + </w:t>
      </w:r>
      <w:r w:rsidRPr="00132E65">
        <w:rPr>
          <w:rtl/>
        </w:rPr>
        <w:t>« بن يسار »</w:t>
      </w:r>
      <w:r>
        <w:rPr>
          <w:rtl/>
        </w:rPr>
        <w:t>.</w:t>
      </w:r>
    </w:p>
    <w:p w:rsidR="000C39D1" w:rsidRDefault="000C39D1" w:rsidP="000C39D1">
      <w:pPr>
        <w:pStyle w:val="libNormal"/>
        <w:rPr>
          <w:rtl/>
          <w:lang w:bidi="fa-IR"/>
        </w:rPr>
      </w:pPr>
      <w:r>
        <w:rPr>
          <w:rtl/>
          <w:lang w:bidi="fa-IR"/>
        </w:rPr>
        <w:br w:type="page"/>
      </w:r>
    </w:p>
    <w:p w:rsidR="000C39D1" w:rsidRPr="00132E65" w:rsidRDefault="000C39D1" w:rsidP="001D3244">
      <w:pPr>
        <w:pStyle w:val="libNormal0"/>
        <w:tabs>
          <w:tab w:val="left" w:pos="3968"/>
        </w:tabs>
        <w:rPr>
          <w:rtl/>
          <w:lang w:bidi="fa-IR"/>
        </w:rPr>
      </w:pPr>
      <w:r w:rsidRPr="00132E65">
        <w:rPr>
          <w:rtl/>
          <w:lang w:bidi="fa-IR"/>
        </w:rPr>
        <w:t xml:space="preserve">يَطُوفُونَ فِي الْجَاهِلِيَّةِ </w:t>
      </w:r>
      <w:r>
        <w:rPr>
          <w:rStyle w:val="libFootnotenumChar"/>
          <w:rtl/>
        </w:rPr>
        <w:t>(1)</w:t>
      </w:r>
      <w:r w:rsidRPr="00132E65">
        <w:rPr>
          <w:rtl/>
          <w:lang w:bidi="fa-IR"/>
        </w:rPr>
        <w:t xml:space="preserve"> ، إِنَّمَا أُمِرُوا أَنْ يَطُوفُوا بِهَا ، ثُمَّ يَنْفِرُوا إِلَيْنَا </w:t>
      </w:r>
      <w:r>
        <w:rPr>
          <w:rStyle w:val="libFootnotenumChar"/>
          <w:rtl/>
        </w:rPr>
        <w:t>(2)</w:t>
      </w:r>
      <w:r w:rsidRPr="00132E65">
        <w:rPr>
          <w:rtl/>
          <w:lang w:bidi="fa-IR"/>
        </w:rPr>
        <w:t xml:space="preserve"> ، فَيُعْلِمُونَا ولَايَتَهُمْ وَمَوَدَّتَهُمْ ، ويَعْرِضُوا </w:t>
      </w:r>
      <w:r>
        <w:rPr>
          <w:rStyle w:val="libFootnotenumChar"/>
          <w:rtl/>
        </w:rPr>
        <w:t>(3)</w:t>
      </w:r>
      <w:r w:rsidRPr="00132E65">
        <w:rPr>
          <w:rtl/>
          <w:lang w:bidi="fa-IR"/>
        </w:rPr>
        <w:t xml:space="preserve"> عَلَيْنَا نُصْرَتَهُمْ » ثُمَّ قَرَأَ هذِهِ الْآيَةَ : </w:t>
      </w:r>
      <w:r w:rsidRPr="00071CF9">
        <w:rPr>
          <w:rStyle w:val="libAlaemChar"/>
          <w:rtl/>
        </w:rPr>
        <w:t>(</w:t>
      </w:r>
      <w:r w:rsidRPr="00071CF9">
        <w:rPr>
          <w:rStyle w:val="libAieChar"/>
          <w:rtl/>
        </w:rPr>
        <w:t xml:space="preserve"> فَاجْعَلْ</w:t>
      </w:r>
      <w:r w:rsidRPr="00132E65">
        <w:rPr>
          <w:rtl/>
          <w:lang w:bidi="fa-IR"/>
        </w:rPr>
        <w:t xml:space="preserve"> </w:t>
      </w:r>
      <w:r>
        <w:rPr>
          <w:rStyle w:val="libFootnotenumChar"/>
          <w:rtl/>
        </w:rPr>
        <w:t>(4)</w:t>
      </w:r>
      <w:r w:rsidRPr="00132E65">
        <w:rPr>
          <w:rtl/>
          <w:lang w:bidi="fa-IR"/>
        </w:rPr>
        <w:t xml:space="preserve"> </w:t>
      </w:r>
      <w:r w:rsidRPr="00071CF9">
        <w:rPr>
          <w:rStyle w:val="libAieChar"/>
          <w:rtl/>
        </w:rPr>
        <w:t xml:space="preserve">أَفْئِدَةً مِنَ النّاسِ تَهْوِي إِلَيْهِمْ </w:t>
      </w:r>
      <w:r w:rsidRPr="00071CF9">
        <w:rPr>
          <w:rStyle w:val="libAlaemChar"/>
          <w:rtl/>
        </w:rPr>
        <w:t>)</w:t>
      </w:r>
      <w:r w:rsidRPr="00132E65">
        <w:rPr>
          <w:rtl/>
          <w:lang w:bidi="fa-IR"/>
        </w:rPr>
        <w:t xml:space="preserve"> </w:t>
      </w:r>
      <w:r>
        <w:rPr>
          <w:rStyle w:val="libFootnotenumChar"/>
          <w:rtl/>
        </w:rPr>
        <w:t>(5)</w:t>
      </w:r>
      <w:r w:rsidR="001D3244">
        <w:rPr>
          <w:rFonts w:hint="cs"/>
          <w:rtl/>
          <w:lang w:bidi="fa-IR"/>
        </w:rPr>
        <w:t>.</w:t>
      </w:r>
      <w:r>
        <w:rPr>
          <w:rStyle w:val="libFootnotenumChar"/>
          <w:rtl/>
        </w:rPr>
        <w:t>(6)</w:t>
      </w:r>
    </w:p>
    <w:p w:rsidR="000C39D1" w:rsidRPr="00132E65" w:rsidRDefault="000C39D1" w:rsidP="000C39D1">
      <w:pPr>
        <w:pStyle w:val="libNormal"/>
        <w:rPr>
          <w:rtl/>
          <w:lang w:bidi="fa-IR"/>
        </w:rPr>
      </w:pPr>
      <w:r w:rsidRPr="000619D1">
        <w:rPr>
          <w:rtl/>
        </w:rPr>
        <w:t>1027</w:t>
      </w:r>
      <w:r w:rsidRPr="004325D8">
        <w:rPr>
          <w:rStyle w:val="libBold2Char"/>
          <w:rtl/>
        </w:rPr>
        <w:t xml:space="preserve"> / 2.</w:t>
      </w:r>
      <w:r w:rsidRPr="00132E65">
        <w:rPr>
          <w:rtl/>
          <w:lang w:bidi="fa-IR"/>
        </w:rPr>
        <w:t xml:space="preserve"> الْحُسَيْنُ بْنُ مُحَمَّدٍ ، عَنْ مُعَلَّى بْنِ مُحَمَّدٍ ، عَنْ عَلِيِّ بْنِ أَسْبَاطٍ ، عَنْ دَاوُدَ بْنِ النُّعْمَانِ ، عَنْ أَبِي عُبَيْدَةَ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Pr>
          <w:rtl/>
          <w:lang w:bidi="fa-IR"/>
        </w:rPr>
        <w:t xml:space="preserve"> - </w:t>
      </w:r>
      <w:r w:rsidRPr="00132E65">
        <w:rPr>
          <w:rtl/>
          <w:lang w:bidi="fa-IR"/>
        </w:rPr>
        <w:t>ورَأَى النَّاسَ بِمَكَّةَ ومَا يَعْمَلُونَ</w:t>
      </w:r>
      <w:r>
        <w:rPr>
          <w:rtl/>
          <w:lang w:bidi="fa-IR"/>
        </w:rPr>
        <w:t xml:space="preserve"> - </w:t>
      </w:r>
      <w:r w:rsidRPr="00132E65">
        <w:rPr>
          <w:rtl/>
          <w:lang w:bidi="fa-IR"/>
        </w:rPr>
        <w:t xml:space="preserve">قَالَ : فَقَالَ </w:t>
      </w:r>
      <w:r>
        <w:rPr>
          <w:rStyle w:val="libFootnotenumChar"/>
          <w:rtl/>
        </w:rPr>
        <w:t>(7)</w:t>
      </w:r>
      <w:r w:rsidRPr="00132E65">
        <w:rPr>
          <w:rtl/>
          <w:lang w:bidi="fa-IR"/>
        </w:rPr>
        <w:t xml:space="preserve"> : « فِعَالٌ </w:t>
      </w:r>
      <w:r>
        <w:rPr>
          <w:rStyle w:val="libFootnotenumChar"/>
          <w:rtl/>
        </w:rPr>
        <w:t>(8)</w:t>
      </w:r>
      <w:r w:rsidRPr="00132E65">
        <w:rPr>
          <w:rtl/>
          <w:lang w:bidi="fa-IR"/>
        </w:rPr>
        <w:t xml:space="preserve"> كَفِعَالِ الْجَاهِلِيَّةِ ، أَمَا واللهِ ، مَا أُمِرُوا بِهذَا ، و</w:t>
      </w:r>
      <w:r>
        <w:rPr>
          <w:rFonts w:hint="cs"/>
          <w:rtl/>
          <w:lang w:bidi="fa-IR"/>
        </w:rPr>
        <w:t xml:space="preserve"> </w:t>
      </w:r>
      <w:r>
        <w:rPr>
          <w:rStyle w:val="libFootnotenumChar"/>
          <w:rtl/>
        </w:rPr>
        <w:t>(9)</w:t>
      </w:r>
      <w:r w:rsidRPr="00132E65">
        <w:rPr>
          <w:rtl/>
          <w:lang w:bidi="fa-IR"/>
        </w:rPr>
        <w:t xml:space="preserve"> مَا</w:t>
      </w:r>
      <w:r w:rsidR="001D3244">
        <w:rPr>
          <w:rtl/>
          <w:lang w:bidi="fa-IR"/>
        </w:rPr>
        <w:t xml:space="preserve"> أُمِرُوا إِل</w:t>
      </w:r>
      <w:r w:rsidR="001D3244">
        <w:rPr>
          <w:rFonts w:hint="cs"/>
          <w:rtl/>
          <w:lang w:bidi="fa-IR"/>
        </w:rPr>
        <w:t>َّ</w:t>
      </w:r>
      <w:r w:rsidR="001D3244">
        <w:rPr>
          <w:rtl/>
          <w:lang w:bidi="fa-IR"/>
        </w:rPr>
        <w:t>ا</w:t>
      </w:r>
      <w:r w:rsidRPr="00132E65">
        <w:rPr>
          <w:rtl/>
          <w:lang w:bidi="fa-IR"/>
        </w:rPr>
        <w:t xml:space="preserve"> أَنْ يَقْضُوا تَفَثَهُمْ </w:t>
      </w:r>
      <w:r>
        <w:rPr>
          <w:rStyle w:val="libFootnotenumChar"/>
          <w:rtl/>
        </w:rPr>
        <w:t>(10)</w:t>
      </w:r>
      <w:r w:rsidRPr="00132E65">
        <w:rPr>
          <w:rtl/>
          <w:lang w:bidi="fa-IR"/>
        </w:rPr>
        <w:t xml:space="preserve"> ، </w:t>
      </w:r>
      <w:r w:rsidRPr="00071CF9">
        <w:rPr>
          <w:rStyle w:val="libAlaemChar"/>
          <w:rtl/>
        </w:rPr>
        <w:t>(</w:t>
      </w:r>
      <w:r w:rsidRPr="00071CF9">
        <w:rPr>
          <w:rStyle w:val="libAieChar"/>
          <w:rtl/>
        </w:rPr>
        <w:t xml:space="preserve"> وَلْيُوفُوا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هكذا يطوفون : يعني من دون معرفة لهم بالمقصود الأصلي من الأمر بالإتيان إلى الكعبةوالطواف ، فإنّ إبراهيم</w:t>
      </w:r>
      <w:r>
        <w:rPr>
          <w:rtl/>
        </w:rPr>
        <w:t xml:space="preserve"> - </w:t>
      </w:r>
      <w:r w:rsidRPr="00132E65">
        <w:rPr>
          <w:rtl/>
        </w:rPr>
        <w:t xml:space="preserve">على نبيّنا وآله </w:t>
      </w:r>
      <w:r>
        <w:rPr>
          <w:rFonts w:hint="cs"/>
          <w:rtl/>
        </w:rPr>
        <w:t>وعليه السلام</w:t>
      </w:r>
      <w:r>
        <w:rPr>
          <w:rtl/>
        </w:rPr>
        <w:t xml:space="preserve"> - </w:t>
      </w:r>
      <w:r w:rsidRPr="00132E65">
        <w:rPr>
          <w:rtl/>
        </w:rPr>
        <w:t xml:space="preserve">حين بنى الكعبة وجعل لذرّيّته عندها مسكناً قال : </w:t>
      </w:r>
      <w:r w:rsidRPr="001D3244">
        <w:rPr>
          <w:rStyle w:val="libFootnoteAlaemChar"/>
          <w:rtl/>
        </w:rPr>
        <w:t>(</w:t>
      </w:r>
      <w:r>
        <w:rPr>
          <w:rFonts w:hint="cs"/>
          <w:rtl/>
        </w:rPr>
        <w:t xml:space="preserve"> </w:t>
      </w:r>
      <w:r w:rsidRPr="00C2691A">
        <w:rPr>
          <w:rStyle w:val="libFootnoteAieChar"/>
          <w:rtl/>
        </w:rPr>
        <w:t>رَبَّنا إِنِّي أَسْكَنْتُ مِنْ ذُرِّيَّتِي بِوادٍ غَيْرِ ذِي زَرْعٍ عِنْدَ بَيْتِكَ الْمُحَرَّمِ رَبَّنا لِيُقِيمُوا الصَّلاةَ فَاجْعَلْ أَفْئِدَةً مِنَ النّاسِ تَهْوِي إِلَيْهِمْ</w:t>
      </w:r>
      <w:r>
        <w:rPr>
          <w:rFonts w:hint="cs"/>
          <w:rtl/>
        </w:rPr>
        <w:t xml:space="preserve"> </w:t>
      </w:r>
      <w:r w:rsidRPr="001D3244">
        <w:rPr>
          <w:rStyle w:val="libFootnoteAlaemChar"/>
          <w:rtl/>
        </w:rPr>
        <w:t>)</w:t>
      </w:r>
      <w:r w:rsidRPr="00132E65">
        <w:rPr>
          <w:rtl/>
        </w:rPr>
        <w:t xml:space="preserve"> [ إبراهيم (14) : 37 ] فاستجاب الله دعاءه ، وأمر الناس بالإتيان إلى الحجّ من كلّ فجّ ليتحبّبوا إلى ذرّيّته ويعرضوا عليهم نصرتهم وولايتهم ؛ ليصير ذلك سبباً لنجاتهم ، ووسيلة إلى رفع درجاتهم ، وذريعة إلى تعرّف أحكام دينهم ، وتقوية إيمانهم ويقينهم. وعرض النصرة أن يقولوا لهم : هل لكم من حاجة في نصرتنا لكم في أمر من الا</w:t>
      </w:r>
      <w:r w:rsidR="001D3244">
        <w:rPr>
          <w:rFonts w:hint="cs"/>
          <w:rtl/>
        </w:rPr>
        <w:t>ُ</w:t>
      </w:r>
      <w:r w:rsidRPr="00132E65">
        <w:rPr>
          <w:rtl/>
        </w:rPr>
        <w:t>مور »</w:t>
      </w:r>
      <w:r>
        <w:rPr>
          <w:rtl/>
        </w:rPr>
        <w:t>.</w:t>
      </w:r>
    </w:p>
    <w:p w:rsidR="000C39D1" w:rsidRPr="00132E65" w:rsidRDefault="000C39D1" w:rsidP="000C39D1">
      <w:pPr>
        <w:pStyle w:val="libFootnote0"/>
        <w:rPr>
          <w:rtl/>
          <w:lang w:bidi="fa-IR"/>
        </w:rPr>
      </w:pPr>
      <w:r>
        <w:rPr>
          <w:rtl/>
        </w:rPr>
        <w:t>(2).</w:t>
      </w:r>
      <w:r w:rsidRPr="00132E65">
        <w:rPr>
          <w:rtl/>
        </w:rPr>
        <w:t xml:space="preserve"> في « بر » : « ثمّ ينصرفوا »</w:t>
      </w:r>
      <w:r>
        <w:rPr>
          <w:rtl/>
        </w:rPr>
        <w:t>.</w:t>
      </w:r>
    </w:p>
    <w:p w:rsidR="000C39D1" w:rsidRPr="00132E65" w:rsidRDefault="000C39D1" w:rsidP="000C39D1">
      <w:pPr>
        <w:pStyle w:val="libFootnote0"/>
        <w:rPr>
          <w:rtl/>
          <w:lang w:bidi="fa-IR"/>
        </w:rPr>
      </w:pPr>
      <w:r>
        <w:rPr>
          <w:rtl/>
        </w:rPr>
        <w:t>(3).</w:t>
      </w:r>
      <w:r w:rsidRPr="00132E65">
        <w:rPr>
          <w:rtl/>
        </w:rPr>
        <w:t xml:space="preserve"> في « بس » : « يفرضوا »</w:t>
      </w:r>
      <w:r>
        <w:rPr>
          <w:rtl/>
        </w:rPr>
        <w:t>.</w:t>
      </w:r>
    </w:p>
    <w:p w:rsidR="000C39D1" w:rsidRPr="00132E65" w:rsidRDefault="000C39D1" w:rsidP="000C39D1">
      <w:pPr>
        <w:pStyle w:val="libFootnote0"/>
        <w:rPr>
          <w:rtl/>
          <w:lang w:bidi="fa-IR"/>
        </w:rPr>
      </w:pPr>
      <w:r>
        <w:rPr>
          <w:rtl/>
        </w:rPr>
        <w:t>(4).</w:t>
      </w:r>
      <w:r w:rsidRPr="00132E65">
        <w:rPr>
          <w:rtl/>
        </w:rPr>
        <w:t xml:space="preserve"> هكذا في « ج » والقرآن. وفي أكثر النسخ والمطبوع وشرح المازندراني : « واجعل »</w:t>
      </w:r>
      <w:r>
        <w:rPr>
          <w:rtl/>
        </w:rPr>
        <w:t>.</w:t>
      </w:r>
      <w:r w:rsidRPr="00132E65">
        <w:rPr>
          <w:rtl/>
        </w:rPr>
        <w:t xml:space="preserve"> قال في </w:t>
      </w:r>
      <w:r w:rsidRPr="009D1ACE">
        <w:rPr>
          <w:rStyle w:val="libFootnoteBoldChar"/>
          <w:rtl/>
        </w:rPr>
        <w:t>مرآة العقول</w:t>
      </w:r>
      <w:r w:rsidRPr="00132E65">
        <w:rPr>
          <w:rtl/>
        </w:rPr>
        <w:t xml:space="preserve"> ، ج 4 ، ص 285 : « لعلّه</w:t>
      </w:r>
      <w:r>
        <w:rPr>
          <w:rtl/>
        </w:rPr>
        <w:t xml:space="preserve"> - </w:t>
      </w:r>
      <w:r w:rsidRPr="00132E65">
        <w:rPr>
          <w:rtl/>
        </w:rPr>
        <w:t>أي الواو</w:t>
      </w:r>
      <w:r>
        <w:rPr>
          <w:rtl/>
        </w:rPr>
        <w:t xml:space="preserve"> - </w:t>
      </w:r>
      <w:r w:rsidRPr="00132E65">
        <w:rPr>
          <w:rtl/>
        </w:rPr>
        <w:t>من النسّاخ ، أو نقل بالمعنى »</w:t>
      </w:r>
      <w:r>
        <w:rPr>
          <w:rtl/>
        </w:rPr>
        <w:t>.</w:t>
      </w:r>
    </w:p>
    <w:p w:rsidR="000C39D1" w:rsidRPr="00132E65" w:rsidRDefault="000C39D1" w:rsidP="000C39D1">
      <w:pPr>
        <w:pStyle w:val="libFootnote0"/>
        <w:rPr>
          <w:rtl/>
          <w:lang w:bidi="fa-IR"/>
        </w:rPr>
      </w:pPr>
      <w:r>
        <w:rPr>
          <w:rtl/>
        </w:rPr>
        <w:t>(5).</w:t>
      </w:r>
      <w:r w:rsidRPr="00132E65">
        <w:rPr>
          <w:rtl/>
        </w:rPr>
        <w:t xml:space="preserve"> إبراهيم (14) : 37.</w:t>
      </w:r>
    </w:p>
    <w:p w:rsidR="000C39D1" w:rsidRPr="00132E65" w:rsidRDefault="000C39D1" w:rsidP="001D3244">
      <w:pPr>
        <w:pStyle w:val="libFootnote0"/>
        <w:rPr>
          <w:rtl/>
          <w:lang w:bidi="fa-IR"/>
        </w:rPr>
      </w:pPr>
      <w:r>
        <w:rPr>
          <w:rtl/>
        </w:rPr>
        <w:t>(6).</w:t>
      </w:r>
      <w:r w:rsidRPr="00132E65">
        <w:rPr>
          <w:rtl/>
        </w:rPr>
        <w:t xml:space="preserve"> </w:t>
      </w:r>
      <w:r w:rsidRPr="000619D1">
        <w:rPr>
          <w:rtl/>
        </w:rPr>
        <w:t>عيون الأخبار</w:t>
      </w:r>
      <w:r w:rsidRPr="00132E65">
        <w:rPr>
          <w:rtl/>
        </w:rPr>
        <w:t xml:space="preserve"> ، ج 2 ، ص 262 ، ح 30 ، بسنده عن عليّ بن إبراهيم</w:t>
      </w:r>
      <w:r>
        <w:rPr>
          <w:rtl/>
        </w:rPr>
        <w:t xml:space="preserve"> ..</w:t>
      </w:r>
      <w:r w:rsidRPr="00132E65">
        <w:rPr>
          <w:rtl/>
        </w:rPr>
        <w:t>. ، عن ابن ا</w:t>
      </w:r>
      <w:r w:rsidR="001D3244">
        <w:rPr>
          <w:rFonts w:hint="cs"/>
          <w:rtl/>
        </w:rPr>
        <w:t>ُ</w:t>
      </w:r>
      <w:r w:rsidRPr="00132E65">
        <w:rPr>
          <w:rtl/>
        </w:rPr>
        <w:t xml:space="preserve">ذينة ، عن زرارة ، عن أبي جعفر </w:t>
      </w:r>
      <w:r w:rsidRPr="001D3244">
        <w:rPr>
          <w:rStyle w:val="libFootnoteAlaemChar"/>
          <w:rtl/>
        </w:rPr>
        <w:t>عليه‌السلام</w:t>
      </w:r>
      <w:r w:rsidRPr="00132E65">
        <w:rPr>
          <w:rtl/>
        </w:rPr>
        <w:t xml:space="preserve"> ، إلى قوله : « يعرضوا علينا نصرتهم » مع اختلاف يسير. </w:t>
      </w:r>
      <w:r w:rsidRPr="000619D1">
        <w:rPr>
          <w:rtl/>
        </w:rPr>
        <w:t>علل الشرائع</w:t>
      </w:r>
      <w:r w:rsidRPr="00132E65">
        <w:rPr>
          <w:rtl/>
        </w:rPr>
        <w:t xml:space="preserve"> ، ص 406 ، ح 8 ، بسند آخر ، إلى قوله : « فيعلمونا ولايتهم » مع اختلاف يسير. </w:t>
      </w:r>
      <w:r w:rsidRPr="000619D1">
        <w:rPr>
          <w:rtl/>
        </w:rPr>
        <w:t>تفسير العيّاشي</w:t>
      </w:r>
      <w:r w:rsidRPr="00132E65">
        <w:rPr>
          <w:rtl/>
        </w:rPr>
        <w:t xml:space="preserve"> ، ج 2 ، ص 234 ، ح 43 ، عن فضيل بن يسار ، عن أبي جعفر </w:t>
      </w:r>
      <w:r w:rsidRPr="001D3244">
        <w:rPr>
          <w:rStyle w:val="libFootnoteAlaemChar"/>
          <w:rtl/>
        </w:rPr>
        <w:t>عليه‌السلام</w:t>
      </w:r>
      <w:r w:rsidR="001D3244">
        <w:rPr>
          <w:rFonts w:hint="cs"/>
          <w:rtl/>
        </w:rPr>
        <w:t>.</w:t>
      </w:r>
      <w:r w:rsidRPr="009D1ACE">
        <w:rPr>
          <w:rStyle w:val="libFootnoteBoldChar"/>
          <w:rtl/>
        </w:rPr>
        <w:t>الوافي</w:t>
      </w:r>
      <w:r w:rsidRPr="00132E65">
        <w:rPr>
          <w:rtl/>
        </w:rPr>
        <w:t xml:space="preserve"> ، ج 2 ، ص 115 ، ح 575.</w:t>
      </w:r>
    </w:p>
    <w:tbl>
      <w:tblPr>
        <w:tblStyle w:val="TableGrid"/>
        <w:bidiVisual/>
        <w:tblW w:w="0" w:type="auto"/>
        <w:tblLook w:val="04A0" w:firstRow="1" w:lastRow="0" w:firstColumn="1" w:lastColumn="0" w:noHBand="0" w:noVBand="1"/>
      </w:tblPr>
      <w:tblGrid>
        <w:gridCol w:w="4006"/>
        <w:gridCol w:w="4006"/>
      </w:tblGrid>
      <w:tr w:rsidR="001D3244" w:rsidTr="001D3244">
        <w:tc>
          <w:tcPr>
            <w:tcW w:w="4006" w:type="dxa"/>
          </w:tcPr>
          <w:p w:rsidR="001D3244" w:rsidRDefault="001D3244" w:rsidP="000C39D1">
            <w:pPr>
              <w:pStyle w:val="libFootnote0"/>
              <w:rPr>
                <w:rtl/>
              </w:rPr>
            </w:pPr>
            <w:r>
              <w:rPr>
                <w:rtl/>
              </w:rPr>
              <w:t>(7).</w:t>
            </w:r>
            <w:r w:rsidRPr="00132E65">
              <w:rPr>
                <w:rtl/>
              </w:rPr>
              <w:t xml:space="preserve"> في « ف » </w:t>
            </w:r>
            <w:r>
              <w:rPr>
                <w:rtl/>
              </w:rPr>
              <w:t xml:space="preserve">: - </w:t>
            </w:r>
            <w:r w:rsidRPr="00132E65">
              <w:rPr>
                <w:rtl/>
              </w:rPr>
              <w:t>« فقال »</w:t>
            </w:r>
            <w:r>
              <w:rPr>
                <w:rtl/>
              </w:rPr>
              <w:t>.</w:t>
            </w:r>
          </w:p>
        </w:tc>
        <w:tc>
          <w:tcPr>
            <w:tcW w:w="4006" w:type="dxa"/>
          </w:tcPr>
          <w:p w:rsidR="001D3244" w:rsidRDefault="001D3244" w:rsidP="000C39D1">
            <w:pPr>
              <w:pStyle w:val="libFootnote0"/>
              <w:rPr>
                <w:rtl/>
              </w:rPr>
            </w:pPr>
            <w:r>
              <w:rPr>
                <w:rtl/>
              </w:rPr>
              <w:t>(8).</w:t>
            </w:r>
            <w:r w:rsidRPr="00132E65">
              <w:rPr>
                <w:rtl/>
              </w:rPr>
              <w:t xml:space="preserve"> في « بر » </w:t>
            </w:r>
            <w:r>
              <w:rPr>
                <w:rtl/>
              </w:rPr>
              <w:t xml:space="preserve">: - </w:t>
            </w:r>
            <w:r w:rsidRPr="00132E65">
              <w:rPr>
                <w:rtl/>
              </w:rPr>
              <w:t>« فعال »</w:t>
            </w:r>
            <w:r>
              <w:rPr>
                <w:rtl/>
              </w:rPr>
              <w:t>.</w:t>
            </w:r>
          </w:p>
        </w:tc>
      </w:tr>
    </w:tbl>
    <w:p w:rsidR="000C39D1" w:rsidRPr="00132E65" w:rsidRDefault="000C39D1" w:rsidP="000C39D1">
      <w:pPr>
        <w:pStyle w:val="libFootnote0"/>
        <w:rPr>
          <w:rtl/>
          <w:lang w:bidi="fa-IR"/>
        </w:rPr>
      </w:pPr>
      <w:r>
        <w:rPr>
          <w:rtl/>
        </w:rPr>
        <w:t>(9).</w:t>
      </w:r>
      <w:r w:rsidRPr="00132E65">
        <w:rPr>
          <w:rtl/>
        </w:rPr>
        <w:t xml:space="preserve"> في « ض » :</w:t>
      </w:r>
      <w:r>
        <w:rPr>
          <w:rtl/>
        </w:rPr>
        <w:t xml:space="preserve"> + </w:t>
      </w:r>
      <w:r w:rsidRPr="00132E65">
        <w:rPr>
          <w:rtl/>
        </w:rPr>
        <w:t xml:space="preserve">« قال </w:t>
      </w:r>
      <w:r>
        <w:rPr>
          <w:rtl/>
        </w:rPr>
        <w:t>و ».</w:t>
      </w:r>
      <w:r w:rsidRPr="00132E65">
        <w:rPr>
          <w:rtl/>
        </w:rPr>
        <w:t xml:space="preserve"> وفي « بر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(10).</w:t>
      </w:r>
      <w:r w:rsidRPr="00132E65">
        <w:rPr>
          <w:rtl/>
        </w:rPr>
        <w:t xml:space="preserve"> قال ابن الأثير : التَفَثُ : هو ما يفعله المُحْرِم بالحجّ إذا حلّ ، كقصّ الشارب والأظفار ، ونتف الإبط ، وحلق العانة. وقيل : هو إذهاب الشَعَث والدَرَن والوسَخ مطلقاً. </w:t>
      </w:r>
      <w:r w:rsidRPr="000619D1">
        <w:rPr>
          <w:rtl/>
        </w:rPr>
        <w:t>النهاية</w:t>
      </w:r>
      <w:r w:rsidRPr="00132E65">
        <w:rPr>
          <w:rtl/>
        </w:rPr>
        <w:t xml:space="preserve"> ، ج 1 ، ص 191 ( تفث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نُذُورَهُمْ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 فَيَمُرُّوا بِنَا ، فَيُخْبِرُونَا بِوَلَايَتِهِمْ ، ويَعْرِضُوا عَلَيْنَا نُصْرَتَهُمْ »</w:t>
      </w:r>
      <w:r>
        <w:rPr>
          <w:rtl/>
          <w:lang w:bidi="fa-IR"/>
        </w:rPr>
        <w:t>.</w:t>
      </w:r>
      <w:r w:rsidRPr="00132E65">
        <w:rPr>
          <w:rtl/>
          <w:lang w:bidi="fa-IR"/>
        </w:rPr>
        <w:t xml:space="preserve"> </w:t>
      </w:r>
      <w:r>
        <w:rPr>
          <w:rStyle w:val="libFootnotenumChar"/>
          <w:rtl/>
        </w:rPr>
        <w:t>(2)</w:t>
      </w:r>
    </w:p>
    <w:p w:rsidR="000C39D1" w:rsidRDefault="000C39D1" w:rsidP="000C39D1">
      <w:pPr>
        <w:pStyle w:val="libNormal"/>
        <w:rPr>
          <w:rtl/>
          <w:lang w:bidi="fa-IR"/>
        </w:rPr>
      </w:pPr>
      <w:r w:rsidRPr="000619D1">
        <w:rPr>
          <w:rtl/>
        </w:rPr>
        <w:t>1028</w:t>
      </w:r>
      <w:r w:rsidRPr="004325D8">
        <w:rPr>
          <w:rStyle w:val="libBold2Char"/>
          <w:rtl/>
        </w:rPr>
        <w:t xml:space="preserve"> / 3.</w:t>
      </w:r>
      <w:r w:rsidRPr="00132E65">
        <w:rPr>
          <w:rtl/>
          <w:lang w:bidi="fa-IR"/>
        </w:rPr>
        <w:t xml:space="preserve"> عَلِيُّ بْنُ إِبْرَاهِيمَ ، عَنْ صَالِحِ بْنِ السِّنْدِيِّ ، عَنْ جَعْفَرِ بْنِ‌بَشِيرٍ ؛ </w:t>
      </w:r>
    </w:p>
    <w:p w:rsidR="000C39D1" w:rsidRPr="00132E65" w:rsidRDefault="000C39D1" w:rsidP="000C39D1">
      <w:pPr>
        <w:pStyle w:val="libNormal"/>
        <w:rPr>
          <w:rtl/>
          <w:lang w:bidi="fa-IR"/>
        </w:rPr>
      </w:pPr>
      <w:r w:rsidRPr="00132E65">
        <w:rPr>
          <w:rtl/>
          <w:lang w:bidi="fa-IR"/>
        </w:rPr>
        <w:t>وَمُحَمَّدُ بْنُ يَحْيى ، عَنْ أَحْمَدَ بْنِ مُحَمَّدِ بْنِ عِيسى ، عَنِ ابْنِ فَضَّالٍ جَمِيعاً ، عَنْ أَبِي جَمِيلَةَ ، عَنْ خَالِدِ بْنِ عَمَّارٍ ، عَنْ سَدِيرٍ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 وهُوَ دَاخِلٌ وأَنَا خَارِجٌ ، وأَخَذَ بِيَدِي ، ثُمَّ اسْتَقْبَلَ الْبَيْتَ ، فَقَالَ : « يَا سَدِيرُ ، إِنَّمَا أُمِرَ النَّاسُ أَنْ يَأْتُوا هذِهِ الْأَحْجَارَ ، فَيَطُوفُوا بِهَا ، ثُمَّ يَأْتُونَا فَيُعْلِمُونَا وَلَايَتَهُمْ لَنَا ، وهُوَ قَوْلُ اللهِ : </w:t>
      </w:r>
      <w:r w:rsidRPr="00071CF9">
        <w:rPr>
          <w:rStyle w:val="libAlaemChar"/>
          <w:rtl/>
        </w:rPr>
        <w:t>(</w:t>
      </w:r>
      <w:r w:rsidRPr="00071CF9">
        <w:rPr>
          <w:rStyle w:val="libAieChar"/>
          <w:rtl/>
        </w:rPr>
        <w:t xml:space="preserve"> وَإِنِّي لَغَفّارٌ لِمَنْ تابَ وَآمَنَ وَعَمِلَ صالِحاً ثُمَّ اهْتَدى </w:t>
      </w:r>
      <w:r w:rsidRPr="00071CF9">
        <w:rPr>
          <w:rStyle w:val="libAlaemChar"/>
          <w:rtl/>
        </w:rPr>
        <w:t>)</w:t>
      </w:r>
      <w:r w:rsidRPr="00132E65">
        <w:rPr>
          <w:rtl/>
          <w:lang w:bidi="fa-IR"/>
        </w:rPr>
        <w:t xml:space="preserve"> </w:t>
      </w:r>
      <w:r>
        <w:rPr>
          <w:rStyle w:val="libFootnotenumChar"/>
          <w:rtl/>
        </w:rPr>
        <w:t>(3)</w:t>
      </w:r>
      <w:r>
        <w:rPr>
          <w:rtl/>
          <w:lang w:bidi="fa-IR"/>
        </w:rPr>
        <w:t xml:space="preserve"> - </w:t>
      </w:r>
      <w:r w:rsidRPr="00132E65">
        <w:rPr>
          <w:rtl/>
          <w:lang w:bidi="fa-IR"/>
        </w:rPr>
        <w:t>ثُمَّ أَوْمَأَ بِيَدِهِ إِلى صَدْرِهِ</w:t>
      </w:r>
      <w:r>
        <w:rPr>
          <w:rtl/>
          <w:lang w:bidi="fa-IR"/>
        </w:rPr>
        <w:t xml:space="preserve"> - </w:t>
      </w:r>
      <w:r w:rsidRPr="00132E65">
        <w:rPr>
          <w:rtl/>
          <w:lang w:bidi="fa-IR"/>
        </w:rPr>
        <w:t xml:space="preserve">إِلى </w:t>
      </w:r>
      <w:r>
        <w:rPr>
          <w:rStyle w:val="libFootnotenumChar"/>
          <w:rtl/>
        </w:rPr>
        <w:t>(4)</w:t>
      </w:r>
      <w:r w:rsidRPr="00132E65">
        <w:rPr>
          <w:rtl/>
          <w:lang w:bidi="fa-IR"/>
        </w:rPr>
        <w:t xml:space="preserve"> ولَايَتِنَا »</w:t>
      </w:r>
      <w:r>
        <w:rPr>
          <w:rtl/>
          <w:lang w:bidi="fa-IR"/>
        </w:rPr>
        <w:t>.</w:t>
      </w:r>
    </w:p>
    <w:p w:rsidR="000C39D1" w:rsidRPr="00132E65" w:rsidRDefault="000C39D1" w:rsidP="000C39D1">
      <w:pPr>
        <w:pStyle w:val="libNormal"/>
        <w:rPr>
          <w:rtl/>
          <w:lang w:bidi="fa-IR"/>
        </w:rPr>
      </w:pPr>
      <w:r w:rsidRPr="00132E65">
        <w:rPr>
          <w:rtl/>
          <w:lang w:bidi="fa-IR"/>
        </w:rPr>
        <w:t xml:space="preserve">ثُمَّ قَالَ : « يَا سَدِيرُ ، أفَأُرِيكَ </w:t>
      </w:r>
      <w:r>
        <w:rPr>
          <w:rStyle w:val="libFootnotenumChar"/>
          <w:rtl/>
        </w:rPr>
        <w:t>(5)</w:t>
      </w:r>
      <w:r w:rsidRPr="00132E65">
        <w:rPr>
          <w:rtl/>
          <w:lang w:bidi="fa-IR"/>
        </w:rPr>
        <w:t xml:space="preserve"> الصَّادِّينَ عَنْ دِينِ اللهِ</w:t>
      </w:r>
      <w:r>
        <w:rPr>
          <w:rtl/>
          <w:lang w:bidi="fa-IR"/>
        </w:rPr>
        <w:t>؟</w:t>
      </w:r>
      <w:r w:rsidRPr="00132E65">
        <w:rPr>
          <w:rtl/>
          <w:lang w:bidi="fa-IR"/>
        </w:rPr>
        <w:t xml:space="preserve"> »</w:t>
      </w:r>
      <w:r>
        <w:rPr>
          <w:rtl/>
          <w:lang w:bidi="fa-IR"/>
        </w:rPr>
        <w:t>.</w:t>
      </w:r>
      <w:r w:rsidRPr="00132E65">
        <w:rPr>
          <w:rtl/>
          <w:lang w:bidi="fa-IR"/>
        </w:rPr>
        <w:t xml:space="preserve"> ثُمَّ نَظَرَ إِلى أَبِي حَنِيفَةَ وَسُفْيَانَ الثَّوْرِيِّ فِي ذلِكَ الزَّمَانِ وهُمْ حَلَقٌ فِي الْمَسْجِدِ ، فَقَالَ : « هؤُلَاءِ الصَّادُّونَ عَنْ دِينِ اللهِ بِلَا هُدًى مِنَ اللهِ ولَاكِتَابٍ مُبِينٍ ، إِنَّ هؤُلَاءِ الْأَخَابِثَ لَوْ جَلَسُوا فِي بُيُوتِهِمْ ، فَجَالَ النَّاسُ ، فَلَمْ يَجِدُوا أَحَداً يُخْبِرُهُمْ عَنِ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وعَنْ رَسُولِهِ </w:t>
      </w:r>
      <w:r>
        <w:rPr>
          <w:rStyle w:val="libFootnotenumChar"/>
          <w:rtl/>
        </w:rPr>
        <w:t>(6)</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حَتّى يَأْتُونَا ، فَنُخْبِرَهُمْ عَنِ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وعَنْ رَسُولِهِ </w:t>
      </w:r>
      <w:r>
        <w:rPr>
          <w:rStyle w:val="libFootnotenumChar"/>
          <w:rtl/>
        </w:rPr>
        <w:t>(7)</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(8)</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إشارة إلى الآية 29 من سورة الحجّ (22</w:t>
      </w:r>
      <w:r>
        <w:rPr>
          <w:rtl/>
        </w:rPr>
        <w:t>) :</w:t>
      </w:r>
      <w:r w:rsidRPr="00132E65">
        <w:rPr>
          <w:rtl/>
        </w:rPr>
        <w:t xml:space="preserve"> </w:t>
      </w:r>
      <w:r w:rsidRPr="001D3244">
        <w:rPr>
          <w:rStyle w:val="libFootnoteAlaemChar"/>
          <w:rtl/>
        </w:rPr>
        <w:t>(</w:t>
      </w:r>
      <w:r>
        <w:rPr>
          <w:rFonts w:hint="cs"/>
          <w:rtl/>
        </w:rPr>
        <w:t xml:space="preserve"> </w:t>
      </w:r>
      <w:r w:rsidRPr="00C2691A">
        <w:rPr>
          <w:rStyle w:val="libFootnoteAieChar"/>
          <w:rtl/>
        </w:rPr>
        <w:t>ثُمَّ لْيَقْضُوا تَفَثَهُمْ وَلْيُوفُوا نُذُورَهُمْ وَلْيَطَّوَّفُوا بِالْبَيْتِ الْعَتِيقِ</w:t>
      </w:r>
      <w:r>
        <w:rPr>
          <w:rFonts w:hint="cs"/>
          <w:rtl/>
        </w:rPr>
        <w:t xml:space="preserve"> </w:t>
      </w:r>
      <w:r w:rsidRPr="001D3244">
        <w:rPr>
          <w:rStyle w:val="libFootnoteAlaemChar"/>
          <w:rtl/>
        </w:rPr>
        <w:t>)</w:t>
      </w:r>
      <w:r w:rsidRPr="00132E65">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2 ، ص 116 ، ح 576.</w:t>
      </w:r>
    </w:p>
    <w:p w:rsidR="000C39D1" w:rsidRPr="00132E65" w:rsidRDefault="000C39D1" w:rsidP="000C39D1">
      <w:pPr>
        <w:pStyle w:val="libFootnote0"/>
        <w:rPr>
          <w:rtl/>
          <w:lang w:bidi="fa-IR"/>
        </w:rPr>
      </w:pPr>
      <w:r>
        <w:rPr>
          <w:rtl/>
        </w:rPr>
        <w:t>(3).</w:t>
      </w:r>
      <w:r w:rsidRPr="00132E65">
        <w:rPr>
          <w:rtl/>
        </w:rPr>
        <w:t xml:space="preserve"> طه (20) : 82.</w:t>
      </w:r>
    </w:p>
    <w:p w:rsidR="000C39D1" w:rsidRPr="00132E65" w:rsidRDefault="000C39D1" w:rsidP="000C39D1">
      <w:pPr>
        <w:pStyle w:val="libFootnote0"/>
        <w:rPr>
          <w:rtl/>
          <w:lang w:bidi="fa-IR"/>
        </w:rPr>
      </w:pPr>
      <w:r>
        <w:rPr>
          <w:rtl/>
        </w:rPr>
        <w:t>(4).</w:t>
      </w:r>
      <w:r w:rsidRPr="00132E65">
        <w:rPr>
          <w:rtl/>
        </w:rPr>
        <w:t xml:space="preserve"> في « ب » : « أي »</w:t>
      </w:r>
      <w:r>
        <w:rPr>
          <w:rtl/>
        </w:rPr>
        <w:t>.</w:t>
      </w:r>
      <w:r w:rsidRPr="00132E65">
        <w:rPr>
          <w:rtl/>
        </w:rPr>
        <w:t xml:space="preserve"> وفي « ف » </w:t>
      </w:r>
      <w:r>
        <w:rPr>
          <w:rtl/>
        </w:rPr>
        <w:t xml:space="preserve">: - </w:t>
      </w:r>
      <w:r w:rsidRPr="00132E65">
        <w:rPr>
          <w:rtl/>
        </w:rPr>
        <w:t>« إلى »</w:t>
      </w:r>
      <w:r>
        <w:rPr>
          <w:rtl/>
        </w:rPr>
        <w:t>.</w:t>
      </w:r>
    </w:p>
    <w:p w:rsidR="000C39D1" w:rsidRPr="00132E65" w:rsidRDefault="000C39D1" w:rsidP="000C39D1">
      <w:pPr>
        <w:pStyle w:val="libFootnote0"/>
        <w:rPr>
          <w:rtl/>
          <w:lang w:bidi="fa-IR"/>
        </w:rPr>
      </w:pPr>
      <w:r>
        <w:rPr>
          <w:rtl/>
        </w:rPr>
        <w:t>(5).</w:t>
      </w:r>
      <w:r w:rsidRPr="00132E65">
        <w:rPr>
          <w:rtl/>
        </w:rPr>
        <w:t xml:space="preserve"> هكذا في « ب ، ج ، ض ، ف ، بح ، بر ، بس ، بف » و</w:t>
      </w:r>
      <w:r w:rsidRPr="009D1ACE">
        <w:rPr>
          <w:rStyle w:val="libFootnoteBoldChar"/>
          <w:rtl/>
        </w:rPr>
        <w:t>الوافي</w:t>
      </w:r>
      <w:r w:rsidRPr="00132E65">
        <w:rPr>
          <w:rtl/>
        </w:rPr>
        <w:t xml:space="preserve"> والبحار. وفي المطبوع : « فا</w:t>
      </w:r>
      <w:r w:rsidR="001D3244">
        <w:rPr>
          <w:rFonts w:hint="cs"/>
          <w:rtl/>
        </w:rPr>
        <w:t>ُ</w:t>
      </w:r>
      <w:r w:rsidRPr="00132E65">
        <w:rPr>
          <w:rtl/>
        </w:rPr>
        <w:t>ريك » بدون الهمزة.</w:t>
      </w:r>
    </w:p>
    <w:p w:rsidR="000C39D1" w:rsidRPr="00132E65" w:rsidRDefault="000C39D1" w:rsidP="000C39D1">
      <w:pPr>
        <w:pStyle w:val="libFootnote0"/>
        <w:rPr>
          <w:rtl/>
          <w:lang w:bidi="fa-IR"/>
        </w:rPr>
      </w:pPr>
      <w:r>
        <w:rPr>
          <w:rtl/>
        </w:rPr>
        <w:t>(6).</w:t>
      </w:r>
      <w:r w:rsidRPr="00132E65">
        <w:rPr>
          <w:rtl/>
        </w:rPr>
        <w:t xml:space="preserve"> في « ض ، بر » : « رسول الله »</w:t>
      </w:r>
      <w:r>
        <w:rPr>
          <w:rtl/>
        </w:rPr>
        <w:t>.</w:t>
      </w:r>
    </w:p>
    <w:p w:rsidR="000C39D1" w:rsidRPr="00132E65" w:rsidRDefault="000C39D1" w:rsidP="000C39D1">
      <w:pPr>
        <w:pStyle w:val="libFootnote0"/>
        <w:rPr>
          <w:rtl/>
          <w:lang w:bidi="fa-IR"/>
        </w:rPr>
      </w:pPr>
      <w:r>
        <w:rPr>
          <w:rtl/>
        </w:rPr>
        <w:t>(7).</w:t>
      </w:r>
      <w:r w:rsidRPr="00132E65">
        <w:rPr>
          <w:rtl/>
        </w:rPr>
        <w:t xml:space="preserve"> في « ب » : « رسول الله »</w:t>
      </w:r>
      <w:r>
        <w:rPr>
          <w:rtl/>
        </w:rPr>
        <w:t>.</w:t>
      </w:r>
    </w:p>
    <w:p w:rsidR="000C39D1" w:rsidRPr="00132E65" w:rsidRDefault="000C39D1" w:rsidP="001D3244">
      <w:pPr>
        <w:pStyle w:val="libFootnote0"/>
        <w:rPr>
          <w:rtl/>
          <w:lang w:bidi="fa-IR"/>
        </w:rPr>
      </w:pPr>
      <w:r>
        <w:rPr>
          <w:rtl/>
        </w:rPr>
        <w:t>(8).</w:t>
      </w:r>
      <w:r w:rsidRPr="00132E65">
        <w:rPr>
          <w:rtl/>
        </w:rPr>
        <w:t xml:space="preserve"> راجع : </w:t>
      </w:r>
      <w:r w:rsidRPr="000619D1">
        <w:rPr>
          <w:rtl/>
        </w:rPr>
        <w:t>المحاسن</w:t>
      </w:r>
      <w:r w:rsidRPr="00132E65">
        <w:rPr>
          <w:rtl/>
        </w:rPr>
        <w:t xml:space="preserve"> ، ص 142 ، كتاب الصفوة ، ح 35 ؛ و</w:t>
      </w:r>
      <w:r w:rsidRPr="007A1104">
        <w:rPr>
          <w:rStyle w:val="libFootnoteBoldChar"/>
          <w:rtl/>
        </w:rPr>
        <w:t>بصائر الدرجات</w:t>
      </w:r>
      <w:r w:rsidRPr="00132E65">
        <w:rPr>
          <w:rtl/>
        </w:rPr>
        <w:t xml:space="preserve"> ، ص 78 ، ح 6 ؛ و</w:t>
      </w:r>
      <w:r w:rsidRPr="000619D1">
        <w:rPr>
          <w:rtl/>
        </w:rPr>
        <w:t xml:space="preserve">تفسير فرات </w:t>
      </w:r>
      <w:r w:rsidRPr="00132E65">
        <w:rPr>
          <w:rtl/>
        </w:rPr>
        <w:t xml:space="preserve">، ص 180 ، ذيل ح 233 ، وص 257 ، ح 350 ؛ وص 258 ، ح 352 ، عن أبي جعفر </w:t>
      </w:r>
      <w:r w:rsidRPr="001D3244">
        <w:rPr>
          <w:rStyle w:val="libFootnoteAlaemChar"/>
          <w:rtl/>
        </w:rPr>
        <w:t>عليه‌السلام</w:t>
      </w:r>
      <w:r w:rsidRPr="00132E65">
        <w:rPr>
          <w:rtl/>
        </w:rPr>
        <w:t xml:space="preserve"> ؛ و</w:t>
      </w:r>
      <w:r w:rsidRPr="000619D1">
        <w:rPr>
          <w:rtl/>
        </w:rPr>
        <w:t>تفسير القمّي</w:t>
      </w:r>
      <w:r w:rsidRPr="00132E65">
        <w:rPr>
          <w:rtl/>
        </w:rPr>
        <w:t xml:space="preserve"> ، ج 2 ، ص 61 ، في كلّها من قوله : </w:t>
      </w:r>
      <w:r w:rsidR="001D3244" w:rsidRPr="001D3244">
        <w:rPr>
          <w:rStyle w:val="libFootnoteAlaemChar"/>
          <w:rFonts w:hint="cs"/>
          <w:rtl/>
        </w:rPr>
        <w:t>(</w:t>
      </w:r>
      <w:r w:rsidRPr="001D3244">
        <w:rPr>
          <w:rStyle w:val="libFootnoteAieChar"/>
          <w:rtl/>
        </w:rPr>
        <w:t xml:space="preserve"> وَإِنِّى لَغَفّارٌ </w:t>
      </w:r>
      <w:r w:rsidR="001D3244" w:rsidRPr="001D3244">
        <w:rPr>
          <w:rStyle w:val="libFootnoteAlaemChar"/>
          <w:rFonts w:hint="cs"/>
          <w:rtl/>
        </w:rPr>
        <w:t>)</w:t>
      </w:r>
      <w:r w:rsidRPr="00132E65">
        <w:rPr>
          <w:rtl/>
        </w:rPr>
        <w:t xml:space="preserve"> إلى قوله : « إلى ولايتنا » مع اختلاف يسير</w:t>
      </w:r>
      <w:r w:rsidR="001D3244">
        <w:rPr>
          <w:rFonts w:hint="cs"/>
          <w:rtl/>
        </w:rPr>
        <w:t>.</w:t>
      </w:r>
      <w:r w:rsidRPr="009D1ACE">
        <w:rPr>
          <w:rStyle w:val="libFootnoteBoldChar"/>
          <w:rtl/>
        </w:rPr>
        <w:t>الوافي</w:t>
      </w:r>
      <w:r w:rsidRPr="00132E65">
        <w:rPr>
          <w:rtl/>
        </w:rPr>
        <w:t xml:space="preserve"> ، ج 2 ، ص 116 ، ح 578 ؛ </w:t>
      </w:r>
      <w:r w:rsidRPr="000619D1">
        <w:rPr>
          <w:rtl/>
        </w:rPr>
        <w:t>البحار</w:t>
      </w:r>
      <w:r w:rsidRPr="00132E65">
        <w:rPr>
          <w:rtl/>
        </w:rPr>
        <w:t xml:space="preserve"> ، ج 47 ، ص 364 ، ح 81.</w:t>
      </w:r>
    </w:p>
    <w:p w:rsidR="000C39D1" w:rsidRDefault="000C39D1" w:rsidP="000C39D1">
      <w:pPr>
        <w:pStyle w:val="libNormal"/>
        <w:rPr>
          <w:rtl/>
          <w:lang w:bidi="fa-IR"/>
        </w:rPr>
      </w:pPr>
      <w:bookmarkStart w:id="92" w:name="_Toc459459130"/>
      <w:r>
        <w:rPr>
          <w:rtl/>
          <w:lang w:bidi="fa-IR"/>
        </w:rPr>
        <w:br w:type="page"/>
      </w:r>
    </w:p>
    <w:p w:rsidR="000C39D1" w:rsidRDefault="000C39D1" w:rsidP="000C39D1">
      <w:pPr>
        <w:pStyle w:val="Heading2Center"/>
        <w:rPr>
          <w:rtl/>
          <w:lang w:bidi="fa-IR"/>
        </w:rPr>
      </w:pPr>
      <w:bookmarkStart w:id="93" w:name="_Toc34663099"/>
      <w:r w:rsidRPr="00132E65">
        <w:rPr>
          <w:rtl/>
          <w:lang w:bidi="fa-IR"/>
        </w:rPr>
        <w:t>97</w:t>
      </w:r>
      <w:r>
        <w:rPr>
          <w:rtl/>
          <w:lang w:bidi="fa-IR"/>
        </w:rPr>
        <w:t xml:space="preserve"> - </w:t>
      </w:r>
      <w:r w:rsidRPr="00132E65">
        <w:rPr>
          <w:rtl/>
          <w:lang w:bidi="fa-IR"/>
        </w:rPr>
        <w:t>بَابُ أَنَّ الْأَئِمَّةَ تَدْخُلُ الْمَلَائِكَةُ بُيُوتَهُمْ</w:t>
      </w:r>
      <w:bookmarkEnd w:id="92"/>
      <w:bookmarkEnd w:id="93"/>
      <w:r w:rsidRPr="00132E65">
        <w:rPr>
          <w:rtl/>
          <w:lang w:bidi="fa-IR"/>
        </w:rPr>
        <w:t xml:space="preserve"> </w:t>
      </w:r>
    </w:p>
    <w:p w:rsidR="000C39D1" w:rsidRPr="00132E65" w:rsidRDefault="000C39D1" w:rsidP="000C39D1">
      <w:pPr>
        <w:pStyle w:val="Heading2Center"/>
        <w:rPr>
          <w:rtl/>
          <w:lang w:bidi="fa-IR"/>
        </w:rPr>
      </w:pPr>
      <w:bookmarkStart w:id="94" w:name="_Toc459293643"/>
      <w:bookmarkStart w:id="95" w:name="_Toc459455112"/>
      <w:bookmarkStart w:id="96" w:name="_Toc459459131"/>
      <w:bookmarkStart w:id="97" w:name="_Toc34663100"/>
      <w:r w:rsidRPr="00132E65">
        <w:rPr>
          <w:rtl/>
          <w:lang w:bidi="fa-IR"/>
        </w:rPr>
        <w:t xml:space="preserve">وتَطَأُ بُسُطَهُمْ وتَأْتِيهِمْ بِالْأَخْبَارِ </w:t>
      </w:r>
      <w:r w:rsidRPr="00071CF9">
        <w:rPr>
          <w:rStyle w:val="libAlaemChar"/>
          <w:rtl/>
        </w:rPr>
        <w:t>عليهم‌السلام</w:t>
      </w:r>
      <w:r w:rsidRPr="00132E65">
        <w:rPr>
          <w:rtl/>
          <w:lang w:bidi="fa-IR"/>
        </w:rPr>
        <w:t>‌</w:t>
      </w:r>
      <w:bookmarkEnd w:id="94"/>
      <w:bookmarkEnd w:id="95"/>
      <w:bookmarkEnd w:id="96"/>
      <w:bookmarkEnd w:id="97"/>
    </w:p>
    <w:p w:rsidR="000C39D1" w:rsidRPr="00132E65" w:rsidRDefault="000C39D1" w:rsidP="000C39D1">
      <w:pPr>
        <w:pStyle w:val="libNormal"/>
        <w:rPr>
          <w:rtl/>
          <w:lang w:bidi="fa-IR"/>
        </w:rPr>
      </w:pPr>
      <w:r w:rsidRPr="00FA6C7C">
        <w:rPr>
          <w:rtl/>
        </w:rPr>
        <w:t>1029</w:t>
      </w:r>
      <w:r w:rsidRPr="004325D8">
        <w:rPr>
          <w:rStyle w:val="libBold2Char"/>
          <w:rtl/>
        </w:rPr>
        <w:t xml:space="preserve"> / 1.</w:t>
      </w:r>
      <w:r w:rsidRPr="00132E65">
        <w:rPr>
          <w:rtl/>
          <w:lang w:bidi="fa-IR"/>
        </w:rPr>
        <w:t xml:space="preserve"> عِدَّةٌ مِنْ أَصْحَابِنَا ، عَنْ أَحْمَدَ بْنِ مُحَمَّدٍ ، عَنِ ابْنِ سِنَانٍ ، عَنْ مِسْمَعٍ كِرْدِينٍ الْبَصْرِيِّ ، قَالَ :</w:t>
      </w:r>
    </w:p>
    <w:p w:rsidR="000C39D1" w:rsidRPr="00132E65" w:rsidRDefault="000C39D1" w:rsidP="000C39D1">
      <w:pPr>
        <w:pStyle w:val="libNormal"/>
        <w:rPr>
          <w:rtl/>
          <w:lang w:bidi="fa-IR"/>
        </w:rPr>
      </w:pPr>
      <w:r w:rsidRPr="00132E65">
        <w:rPr>
          <w:rtl/>
          <w:lang w:bidi="fa-IR"/>
        </w:rPr>
        <w:t>كُنْتُ لَا</w:t>
      </w:r>
      <w:r>
        <w:rPr>
          <w:rFonts w:hint="cs"/>
          <w:rtl/>
          <w:lang w:bidi="fa-IR"/>
        </w:rPr>
        <w:t xml:space="preserve"> </w:t>
      </w:r>
      <w:r w:rsidRPr="00132E65">
        <w:rPr>
          <w:rtl/>
          <w:lang w:bidi="fa-IR"/>
        </w:rPr>
        <w:t xml:space="preserve">أَزِيدُ عَلى أَكْلَةٍ بِاللَّيْلِ </w:t>
      </w:r>
      <w:r>
        <w:rPr>
          <w:rStyle w:val="libFootnotenumChar"/>
          <w:rtl/>
        </w:rPr>
        <w:t>(1)</w:t>
      </w:r>
      <w:r w:rsidRPr="00132E65">
        <w:rPr>
          <w:rtl/>
          <w:lang w:bidi="fa-IR"/>
        </w:rPr>
        <w:t xml:space="preserve"> والنَّهَارِ ، فَرُبَّمَا اسْتَأْذَنْتُ عَلى أَبِي عَبْدِ اللهِ </w:t>
      </w:r>
      <w:r w:rsidRPr="00071CF9">
        <w:rPr>
          <w:rStyle w:val="libAlaemChar"/>
          <w:rtl/>
        </w:rPr>
        <w:t>عليه‌السلام</w:t>
      </w:r>
      <w:r>
        <w:rPr>
          <w:rtl/>
          <w:lang w:bidi="fa-IR"/>
        </w:rPr>
        <w:t xml:space="preserve"> - </w:t>
      </w:r>
      <w:r w:rsidRPr="00132E65">
        <w:rPr>
          <w:rtl/>
          <w:lang w:bidi="fa-IR"/>
        </w:rPr>
        <w:t xml:space="preserve">وأَجِدُ الْمَائِدَةَ قَدْ رُفِعَتْ </w:t>
      </w:r>
      <w:r>
        <w:rPr>
          <w:rStyle w:val="libFootnotenumChar"/>
          <w:rtl/>
        </w:rPr>
        <w:t>(2)</w:t>
      </w:r>
      <w:r w:rsidRPr="00132E65">
        <w:rPr>
          <w:rtl/>
          <w:lang w:bidi="fa-IR"/>
        </w:rPr>
        <w:t xml:space="preserve"> ، لَعَلِّي لَا</w:t>
      </w:r>
      <w:r>
        <w:rPr>
          <w:rFonts w:hint="cs"/>
          <w:rtl/>
          <w:lang w:bidi="fa-IR"/>
        </w:rPr>
        <w:t xml:space="preserve"> </w:t>
      </w:r>
      <w:r w:rsidRPr="00132E65">
        <w:rPr>
          <w:rtl/>
          <w:lang w:bidi="fa-IR"/>
        </w:rPr>
        <w:t>أَرَاهَا بَيْنَ يَدَيْهِ</w:t>
      </w:r>
      <w:r>
        <w:rPr>
          <w:rtl/>
          <w:lang w:bidi="fa-IR"/>
        </w:rPr>
        <w:t xml:space="preserve"> - </w:t>
      </w:r>
      <w:r w:rsidRPr="00132E65">
        <w:rPr>
          <w:rtl/>
          <w:lang w:bidi="fa-IR"/>
        </w:rPr>
        <w:t xml:space="preserve">فَإِذَا دَخَلْتُ دَعَا بِهَا ، فَأَصَبْتُ </w:t>
      </w:r>
      <w:r>
        <w:rPr>
          <w:rStyle w:val="libFootnotenumChar"/>
          <w:rtl/>
        </w:rPr>
        <w:t>(3)</w:t>
      </w:r>
      <w:r w:rsidRPr="00132E65">
        <w:rPr>
          <w:rtl/>
          <w:lang w:bidi="fa-IR"/>
        </w:rPr>
        <w:t xml:space="preserve"> مَعَهُ مِنَ الطَّعَامِ ، ولَا</w:t>
      </w:r>
      <w:r>
        <w:rPr>
          <w:rFonts w:hint="cs"/>
          <w:rtl/>
          <w:lang w:bidi="fa-IR"/>
        </w:rPr>
        <w:t xml:space="preserve"> </w:t>
      </w:r>
      <w:r w:rsidRPr="00132E65">
        <w:rPr>
          <w:rtl/>
          <w:lang w:bidi="fa-IR"/>
        </w:rPr>
        <w:t xml:space="preserve">أَتَأَذّى بِذلِكَ ، وإِذَا عَقَّبْتُ بِالطَّعَامِ عِنْدَ غَيْرِهِ ، لَمْ أَقْدِرْ عَلى أَنْ أَقِرَّ ، ولَمْ أَنَمْ مِنَ النَّفْخَةِ ، فَشَكَوْتُ ذلِكَ إِلَيْهِ ، وأَخْبَرْتُهُ بِأَنِّي إِذَا أَكَلْتُ عِنْدَهُ لَمْ أَتَأَذَّ بِهِ ، فَقَالَ : « يَا أَبَا سَيَّارٍ ، إِنَّكَ تَأْكُلُ </w:t>
      </w:r>
      <w:r>
        <w:rPr>
          <w:rStyle w:val="libFootnotenumChar"/>
          <w:rtl/>
        </w:rPr>
        <w:t>(4)</w:t>
      </w:r>
      <w:r w:rsidRPr="00132E65">
        <w:rPr>
          <w:rtl/>
          <w:lang w:bidi="fa-IR"/>
        </w:rPr>
        <w:t xml:space="preserve"> طَعَامَ قَوْمٍ صَالِحِينَ ، تُصَافِحُهُمُ </w:t>
      </w:r>
      <w:r>
        <w:rPr>
          <w:rStyle w:val="libFootnotenumChar"/>
          <w:rtl/>
        </w:rPr>
        <w:t>(5)</w:t>
      </w:r>
      <w:r w:rsidRPr="00132E65">
        <w:rPr>
          <w:rtl/>
          <w:lang w:bidi="fa-IR"/>
        </w:rPr>
        <w:t xml:space="preserve"> الْمَلَائِكَةُ عَلى فُرُشِهِمْ »</w:t>
      </w:r>
      <w:r>
        <w:rPr>
          <w:rtl/>
          <w:lang w:bidi="fa-IR"/>
        </w:rPr>
        <w:t>.</w:t>
      </w:r>
    </w:p>
    <w:p w:rsidR="000C39D1" w:rsidRPr="00132E65" w:rsidRDefault="000C39D1" w:rsidP="000C39D1">
      <w:pPr>
        <w:pStyle w:val="libNormal"/>
        <w:rPr>
          <w:rtl/>
          <w:lang w:bidi="fa-IR"/>
        </w:rPr>
      </w:pPr>
      <w:r w:rsidRPr="00132E65">
        <w:rPr>
          <w:rtl/>
          <w:lang w:bidi="fa-IR"/>
        </w:rPr>
        <w:t>قَالَ : قُلْتُ : و</w:t>
      </w:r>
      <w:r>
        <w:rPr>
          <w:rFonts w:hint="cs"/>
          <w:rtl/>
          <w:lang w:bidi="fa-IR"/>
        </w:rPr>
        <w:t xml:space="preserve"> </w:t>
      </w:r>
      <w:r>
        <w:rPr>
          <w:rStyle w:val="libFootnotenumChar"/>
          <w:rtl/>
        </w:rPr>
        <w:t>(6)</w:t>
      </w:r>
      <w:r w:rsidRPr="00132E65">
        <w:rPr>
          <w:rtl/>
          <w:lang w:bidi="fa-IR"/>
        </w:rPr>
        <w:t xml:space="preserve"> يَظْهَرُونَ لَكُمْ</w:t>
      </w:r>
      <w:r>
        <w:rPr>
          <w:rtl/>
          <w:lang w:bidi="fa-IR"/>
        </w:rPr>
        <w:t>؟</w:t>
      </w:r>
    </w:p>
    <w:p w:rsidR="000C39D1" w:rsidRPr="00132E65" w:rsidRDefault="000C39D1" w:rsidP="000C39D1">
      <w:pPr>
        <w:pStyle w:val="libNormal"/>
        <w:rPr>
          <w:rtl/>
          <w:lang w:bidi="fa-IR"/>
        </w:rPr>
      </w:pPr>
      <w:r w:rsidRPr="00132E65">
        <w:rPr>
          <w:rtl/>
          <w:lang w:bidi="fa-IR"/>
        </w:rPr>
        <w:t>قَالَ : فَمَسَحَ يَدَهُ عَلى بَعْضِ صِبْيَانِهِ ، فَقَالَ : « هُمْ أَلْطَفُ بِصِبْيَانِنَا مِنَّا بِهِمْ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FA6C7C">
        <w:rPr>
          <w:rtl/>
        </w:rPr>
        <w:t>1030</w:t>
      </w:r>
      <w:r w:rsidRPr="004325D8">
        <w:rPr>
          <w:rStyle w:val="libBold2Char"/>
          <w:rtl/>
        </w:rPr>
        <w:t xml:space="preserve"> / 2.</w:t>
      </w:r>
      <w:r w:rsidRPr="00132E65">
        <w:rPr>
          <w:rtl/>
          <w:lang w:bidi="fa-IR"/>
        </w:rPr>
        <w:t xml:space="preserve"> مُحَمَّدُ بْنُ يَحْيى ، عَنْ أَحْمَدَ بْنِ مُحَمَّدٍ ، عَنْ مُحَمَّدِ بْنِ خَالِدٍ ، عَنْ مُحَمَّدِ بْنِ الْقَاسِمِ </w:t>
      </w:r>
      <w:r>
        <w:rPr>
          <w:rStyle w:val="libFootnotenumChar"/>
          <w:rtl/>
        </w:rPr>
        <w:t>(8)</w:t>
      </w:r>
      <w:r w:rsidRPr="00132E65">
        <w:rPr>
          <w:rtl/>
          <w:lang w:bidi="fa-IR"/>
        </w:rPr>
        <w:t xml:space="preserve"> ، عَنِ الْحُسَيْنِ بْنِ أَبِي الْعَلَاءِ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 ص 92 : « في الليل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وأجد المائدة قد رفعت ، جملة حالية ، يعني استأذنت عليه والحال أنّي أجد في نفسي أنّ المائدةقد رفعت ، وإنّما فعلت ذلك لكيلا أرى المائدة بين يديه </w:t>
      </w:r>
      <w:r w:rsidRPr="00443847">
        <w:rPr>
          <w:rStyle w:val="libFootnoteAlaemChar"/>
          <w:rtl/>
        </w:rPr>
        <w:t>عليه‌السلام</w:t>
      </w:r>
      <w:r w:rsidRPr="00132E65">
        <w:rPr>
          <w:rtl/>
        </w:rPr>
        <w:t>. والمعنى : كنت أتعهّد الاستيذان عليه بعد رفع المائدة لئلاّ يلزمني الأكل ، لزعمي أنّي أتضرّر به »</w:t>
      </w:r>
      <w:r>
        <w:rPr>
          <w:rtl/>
        </w:rPr>
        <w:t>.</w:t>
      </w:r>
    </w:p>
    <w:p w:rsidR="000C39D1" w:rsidRPr="00132E65" w:rsidRDefault="000C39D1" w:rsidP="000C39D1">
      <w:pPr>
        <w:pStyle w:val="libFootnote0"/>
        <w:rPr>
          <w:rtl/>
          <w:lang w:bidi="fa-IR"/>
        </w:rPr>
      </w:pPr>
      <w:r>
        <w:rPr>
          <w:rtl/>
        </w:rPr>
        <w:t>(3).</w:t>
      </w:r>
      <w:r w:rsidRPr="00132E65">
        <w:rPr>
          <w:rtl/>
        </w:rPr>
        <w:t xml:space="preserve"> هكذا في « ف ، بر ، بس » و</w:t>
      </w:r>
      <w:r w:rsidRPr="009D1ACE">
        <w:rPr>
          <w:rStyle w:val="libFootnoteBoldChar"/>
          <w:rtl/>
        </w:rPr>
        <w:t>مرآة العقول</w:t>
      </w:r>
      <w:r w:rsidRPr="00132E65">
        <w:rPr>
          <w:rtl/>
        </w:rPr>
        <w:t xml:space="preserve"> والبصائر ، ص 92. وفي المطبوع وبعض النسخ : « فا</w:t>
      </w:r>
      <w:r w:rsidR="00443847">
        <w:rPr>
          <w:rFonts w:hint="cs"/>
          <w:rtl/>
        </w:rPr>
        <w:t>ُ</w:t>
      </w:r>
      <w:r w:rsidRPr="00132E65">
        <w:rPr>
          <w:rtl/>
        </w:rPr>
        <w:t>صيب »</w:t>
      </w:r>
      <w:r>
        <w:rPr>
          <w:rtl/>
        </w:rPr>
        <w:t>.</w:t>
      </w:r>
    </w:p>
    <w:tbl>
      <w:tblPr>
        <w:tblStyle w:val="TableGrid"/>
        <w:bidiVisual/>
        <w:tblW w:w="0" w:type="auto"/>
        <w:tblLook w:val="04A0" w:firstRow="1" w:lastRow="0" w:firstColumn="1" w:lastColumn="0" w:noHBand="0" w:noVBand="1"/>
      </w:tblPr>
      <w:tblGrid>
        <w:gridCol w:w="4006"/>
        <w:gridCol w:w="4006"/>
      </w:tblGrid>
      <w:tr w:rsidR="00443847" w:rsidTr="00443847">
        <w:tc>
          <w:tcPr>
            <w:tcW w:w="4006" w:type="dxa"/>
          </w:tcPr>
          <w:p w:rsidR="00443847" w:rsidRDefault="00443847" w:rsidP="000C39D1">
            <w:pPr>
              <w:pStyle w:val="libFootnote0"/>
              <w:rPr>
                <w:rtl/>
                <w:lang w:bidi="fa-IR"/>
              </w:rPr>
            </w:pPr>
            <w:r>
              <w:rPr>
                <w:rtl/>
              </w:rPr>
              <w:t>(4).</w:t>
            </w:r>
            <w:r w:rsidRPr="00132E65">
              <w:rPr>
                <w:rtl/>
              </w:rPr>
              <w:t xml:space="preserve"> في البصائر ، ص 92 : « لتأكل »</w:t>
            </w:r>
            <w:r>
              <w:rPr>
                <w:rtl/>
              </w:rPr>
              <w:t>.</w:t>
            </w:r>
          </w:p>
        </w:tc>
        <w:tc>
          <w:tcPr>
            <w:tcW w:w="4006" w:type="dxa"/>
          </w:tcPr>
          <w:p w:rsidR="00443847" w:rsidRDefault="00443847" w:rsidP="000C39D1">
            <w:pPr>
              <w:pStyle w:val="libFootnote0"/>
              <w:rPr>
                <w:rtl/>
                <w:lang w:bidi="fa-IR"/>
              </w:rPr>
            </w:pPr>
            <w:r>
              <w:rPr>
                <w:rtl/>
              </w:rPr>
              <w:t>(5).</w:t>
            </w:r>
            <w:r w:rsidRPr="00132E65">
              <w:rPr>
                <w:rtl/>
              </w:rPr>
              <w:t xml:space="preserve"> في « ف » : « فصافحهم »</w:t>
            </w:r>
            <w:r>
              <w:rPr>
                <w:rtl/>
              </w:rPr>
              <w:t>.</w:t>
            </w:r>
          </w:p>
        </w:tc>
      </w:tr>
    </w:tbl>
    <w:p w:rsidR="000C39D1" w:rsidRPr="00132E65" w:rsidRDefault="000C39D1" w:rsidP="000C39D1">
      <w:pPr>
        <w:pStyle w:val="libFootnote0"/>
        <w:rPr>
          <w:rtl/>
          <w:lang w:bidi="fa-IR"/>
        </w:rPr>
      </w:pPr>
      <w:r>
        <w:rPr>
          <w:rtl/>
        </w:rPr>
        <w:t>(6).</w:t>
      </w:r>
      <w:r w:rsidRPr="00132E65">
        <w:rPr>
          <w:rtl/>
        </w:rPr>
        <w:t xml:space="preserve"> في البصائر ، ص 92 </w:t>
      </w:r>
      <w:r>
        <w:rPr>
          <w:rtl/>
        </w:rPr>
        <w:t xml:space="preserve">: - </w:t>
      </w:r>
      <w:r w:rsidRPr="00132E65">
        <w:rPr>
          <w:rtl/>
        </w:rPr>
        <w:t xml:space="preserve">« </w:t>
      </w:r>
      <w:r>
        <w:rPr>
          <w:rtl/>
        </w:rPr>
        <w:t>و ».</w:t>
      </w:r>
    </w:p>
    <w:p w:rsidR="000C39D1" w:rsidRPr="00132E65" w:rsidRDefault="000C39D1" w:rsidP="00443847">
      <w:pPr>
        <w:pStyle w:val="libFootnote0"/>
        <w:rPr>
          <w:rtl/>
          <w:lang w:bidi="fa-IR"/>
        </w:rPr>
      </w:pPr>
      <w:r>
        <w:rPr>
          <w:rtl/>
        </w:rPr>
        <w:t>(7).</w:t>
      </w:r>
      <w:r w:rsidRPr="00132E65">
        <w:rPr>
          <w:rtl/>
        </w:rPr>
        <w:t xml:space="preserve"> </w:t>
      </w:r>
      <w:r w:rsidRPr="007A1104">
        <w:rPr>
          <w:rStyle w:val="libFootnoteBoldChar"/>
          <w:rtl/>
        </w:rPr>
        <w:t>بصائر الدرجات</w:t>
      </w:r>
      <w:r w:rsidRPr="00132E65">
        <w:rPr>
          <w:rtl/>
        </w:rPr>
        <w:t xml:space="preserve"> ، ص 92 ، ح 9 ، عن أحمد بن محمّد. </w:t>
      </w:r>
      <w:r w:rsidRPr="00FA6C7C">
        <w:rPr>
          <w:rtl/>
        </w:rPr>
        <w:t>وفيه</w:t>
      </w:r>
      <w:r w:rsidRPr="00132E65">
        <w:rPr>
          <w:rtl/>
        </w:rPr>
        <w:t xml:space="preserve"> ، ص 90 ، ح 1 ، عن يعقوب بن يزيد ، عن ابن سنان ، مع اختلاف</w:t>
      </w:r>
      <w:r w:rsidR="00443847">
        <w:rPr>
          <w:rFonts w:hint="cs"/>
          <w:rtl/>
        </w:rPr>
        <w:t>.</w:t>
      </w:r>
      <w:r w:rsidRPr="009D1ACE">
        <w:rPr>
          <w:rStyle w:val="libFootnoteBoldChar"/>
          <w:rtl/>
        </w:rPr>
        <w:t>الوافي</w:t>
      </w:r>
      <w:r w:rsidRPr="00132E65">
        <w:rPr>
          <w:rtl/>
        </w:rPr>
        <w:t xml:space="preserve"> ، ج 3 ، ص 634 ، ح 1223 ؛ </w:t>
      </w:r>
      <w:r w:rsidRPr="00FA6C7C">
        <w:rPr>
          <w:rtl/>
        </w:rPr>
        <w:t>البحار</w:t>
      </w:r>
      <w:r w:rsidRPr="00132E65">
        <w:rPr>
          <w:rtl/>
        </w:rPr>
        <w:t xml:space="preserve"> ، ج 47 ، ص 158 ، ح 223.</w:t>
      </w:r>
    </w:p>
    <w:p w:rsidR="000C39D1" w:rsidRPr="00132E65" w:rsidRDefault="000C39D1" w:rsidP="000C39D1">
      <w:pPr>
        <w:pStyle w:val="libFootnote0"/>
        <w:rPr>
          <w:rtl/>
          <w:lang w:bidi="fa-IR"/>
        </w:rPr>
      </w:pPr>
      <w:r>
        <w:rPr>
          <w:rtl/>
        </w:rPr>
        <w:t>(8).</w:t>
      </w:r>
      <w:r w:rsidRPr="00132E65">
        <w:rPr>
          <w:rtl/>
        </w:rPr>
        <w:t xml:space="preserve"> لم نجد توسّط من يسمّى بمحمّد بن القاسم بين محمّد بن خالد والحسين بن أبي العلاء ، والمتوسّط </w:t>
      </w:r>
      <w:r w:rsidR="00443847">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قَالَ : « يَا حُسَيْنُ</w:t>
      </w:r>
      <w:r>
        <w:rPr>
          <w:rtl/>
          <w:lang w:bidi="fa-IR"/>
        </w:rPr>
        <w:t xml:space="preserve"> - </w:t>
      </w:r>
      <w:r w:rsidRPr="00132E65">
        <w:rPr>
          <w:rtl/>
          <w:lang w:bidi="fa-IR"/>
        </w:rPr>
        <w:t xml:space="preserve">وضَرَبَ بِيَدِهِ إِلى </w:t>
      </w:r>
      <w:r>
        <w:rPr>
          <w:rStyle w:val="libFootnotenumChar"/>
          <w:rtl/>
        </w:rPr>
        <w:t>(1)</w:t>
      </w:r>
      <w:r w:rsidRPr="00132E65">
        <w:rPr>
          <w:rtl/>
          <w:lang w:bidi="fa-IR"/>
        </w:rPr>
        <w:t xml:space="preserve"> مَسَاوِرَ </w:t>
      </w:r>
      <w:r>
        <w:rPr>
          <w:rStyle w:val="libFootnotenumChar"/>
          <w:rtl/>
        </w:rPr>
        <w:t>(2)</w:t>
      </w:r>
      <w:r w:rsidRPr="00132E65">
        <w:rPr>
          <w:rtl/>
          <w:lang w:bidi="fa-IR"/>
        </w:rPr>
        <w:t xml:space="preserve"> فِي الْبَيْتِ</w:t>
      </w:r>
      <w:r>
        <w:rPr>
          <w:rtl/>
          <w:lang w:bidi="fa-IR"/>
        </w:rPr>
        <w:t xml:space="preserve"> - </w:t>
      </w:r>
      <w:r w:rsidRPr="00132E65">
        <w:rPr>
          <w:rtl/>
          <w:lang w:bidi="fa-IR"/>
        </w:rPr>
        <w:t xml:space="preserve">مَسَاوِرُ طَالَ مَا </w:t>
      </w:r>
      <w:r>
        <w:rPr>
          <w:rStyle w:val="libFootnotenumChar"/>
          <w:rtl/>
        </w:rPr>
        <w:t>(3)</w:t>
      </w:r>
      <w:r w:rsidRPr="00132E65">
        <w:rPr>
          <w:rtl/>
          <w:lang w:bidi="fa-IR"/>
        </w:rPr>
        <w:t xml:space="preserve"> اتَّكَتْ </w:t>
      </w:r>
      <w:r>
        <w:rPr>
          <w:rStyle w:val="libFootnotenumChar"/>
          <w:rtl/>
        </w:rPr>
        <w:t>(4)</w:t>
      </w:r>
      <w:r w:rsidRPr="00132E65">
        <w:rPr>
          <w:rtl/>
          <w:lang w:bidi="fa-IR"/>
        </w:rPr>
        <w:t xml:space="preserve"> عَلَيْهَا الْمَلَائِكَةُ ، ورُبَّمَا الْتَقَطْنَا مِنْ زَغَبِهَا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FA6C7C">
        <w:rPr>
          <w:rtl/>
        </w:rPr>
        <w:t>1031</w:t>
      </w:r>
      <w:r w:rsidRPr="004325D8">
        <w:rPr>
          <w:rStyle w:val="libBold2Char"/>
          <w:rtl/>
        </w:rPr>
        <w:t xml:space="preserve"> / 3.</w:t>
      </w:r>
      <w:r w:rsidRPr="00132E65">
        <w:rPr>
          <w:rtl/>
          <w:lang w:bidi="fa-IR"/>
        </w:rPr>
        <w:t xml:space="preserve"> مُحَمَّدٌ ، عَنْ أَحْمَدَ بْنِ مُحَمَّدٍ ، عَنْ عَلِيِّ بْنِ الْحَكَمِ ، قَالَ : حَدَّثَنِي مَالِكُ بْنُ عَطِيَّةَ الْأَحْمَسِيُّ ، عَنْ أَبِي حَمْزَةَ الثُّمَالِيِّ ، قَالَ :</w:t>
      </w:r>
    </w:p>
    <w:p w:rsidR="000C39D1" w:rsidRPr="00132E65" w:rsidRDefault="000C39D1" w:rsidP="000C39D1">
      <w:pPr>
        <w:pStyle w:val="libNormal"/>
        <w:rPr>
          <w:rtl/>
          <w:lang w:bidi="fa-IR"/>
        </w:rPr>
      </w:pPr>
      <w:r w:rsidRPr="00132E65">
        <w:rPr>
          <w:rtl/>
          <w:lang w:bidi="fa-IR"/>
        </w:rPr>
        <w:t xml:space="preserve">دَخَلْتُ عَلى عَلِيِّ بْنِ الْحُسَيْنِ </w:t>
      </w:r>
      <w:r w:rsidRPr="00071CF9">
        <w:rPr>
          <w:rStyle w:val="libAlaemChar"/>
          <w:rtl/>
        </w:rPr>
        <w:t>عليهما‌السلام</w:t>
      </w:r>
      <w:r w:rsidRPr="00132E65">
        <w:rPr>
          <w:rtl/>
          <w:lang w:bidi="fa-IR"/>
        </w:rPr>
        <w:t xml:space="preserve"> ، فَاحْتُبِسْتُ </w:t>
      </w:r>
      <w:r>
        <w:rPr>
          <w:rStyle w:val="libFootnotenumChar"/>
          <w:rtl/>
        </w:rPr>
        <w:t>(7)</w:t>
      </w:r>
      <w:r w:rsidRPr="00132E65">
        <w:rPr>
          <w:rtl/>
          <w:lang w:bidi="fa-IR"/>
        </w:rPr>
        <w:t xml:space="preserve"> فِي الدَّارِ سَاعَةً ، ثُمَّ دَخَلْتُ </w:t>
      </w:r>
      <w:r>
        <w:rPr>
          <w:rStyle w:val="libFootnotenumChar"/>
          <w:rtl/>
        </w:rPr>
        <w:t>(8)</w:t>
      </w:r>
      <w:r w:rsidRPr="00132E65">
        <w:rPr>
          <w:rtl/>
          <w:lang w:bidi="fa-IR"/>
        </w:rPr>
        <w:t xml:space="preserve"> الْبَيْتَ </w:t>
      </w:r>
      <w:r>
        <w:rPr>
          <w:rStyle w:val="libFootnotenumChar"/>
          <w:rtl/>
        </w:rPr>
        <w:t>(9)</w:t>
      </w:r>
      <w:r>
        <w:rPr>
          <w:rtl/>
          <w:lang w:bidi="fa-IR"/>
        </w:rPr>
        <w:t xml:space="preserve"> - </w:t>
      </w:r>
      <w:r w:rsidRPr="00132E65">
        <w:rPr>
          <w:rtl/>
          <w:lang w:bidi="fa-IR"/>
        </w:rPr>
        <w:t xml:space="preserve">وهُوَ يَلْتَقِطُ شَيْئاً ، وأَدْخَلَ يَدَهُ مِنْ </w:t>
      </w:r>
      <w:r>
        <w:rPr>
          <w:rStyle w:val="libFootnotenumChar"/>
          <w:rtl/>
        </w:rPr>
        <w:t>(10)</w:t>
      </w:r>
      <w:r w:rsidRPr="00132E65">
        <w:rPr>
          <w:rtl/>
          <w:lang w:bidi="fa-IR"/>
        </w:rPr>
        <w:t xml:space="preserve"> ورَاءِ السِّتْرِ ، فَنَاوَلَهُ مَنْ كَانَ فِي الْبَيْتِ</w:t>
      </w:r>
      <w:r>
        <w:rPr>
          <w:rtl/>
          <w:lang w:bidi="fa-IR"/>
        </w:rPr>
        <w:t xml:space="preserve"> - </w:t>
      </w:r>
      <w:r w:rsidRPr="00132E65">
        <w:rPr>
          <w:rtl/>
          <w:lang w:bidi="fa-IR"/>
        </w:rPr>
        <w:t>فَقُلْتُ :</w:t>
      </w:r>
      <w:r>
        <w:rPr>
          <w:rFonts w:hint="cs"/>
          <w:rtl/>
          <w:lang w:bidi="fa-IR"/>
        </w:rPr>
        <w:t xml:space="preserve"> </w:t>
      </w:r>
      <w:r w:rsidRPr="00132E65">
        <w:rPr>
          <w:rtl/>
          <w:lang w:bidi="fa-IR"/>
        </w:rPr>
        <w:t xml:space="preserve">جُعِلْتُ فِدَاكَ ، هذَا الَّذِي أَرَاكَ تَلْتَقِطُهُ </w:t>
      </w:r>
      <w:r>
        <w:rPr>
          <w:rStyle w:val="libFootnotenumChar"/>
          <w:rtl/>
        </w:rPr>
        <w:t>(11)</w:t>
      </w:r>
      <w:r w:rsidRPr="00132E65">
        <w:rPr>
          <w:rtl/>
          <w:lang w:bidi="fa-IR"/>
        </w:rPr>
        <w:t xml:space="preserve"> أَيُّ شَيْ‌ءٍ هُوَ </w:t>
      </w:r>
      <w:r>
        <w:rPr>
          <w:rStyle w:val="libFootnotenumChar"/>
          <w:rtl/>
        </w:rPr>
        <w:t>(12)</w:t>
      </w:r>
      <w:r>
        <w:rPr>
          <w:rtl/>
          <w:lang w:bidi="fa-IR"/>
        </w:rPr>
        <w:t>؟</w:t>
      </w:r>
    </w:p>
    <w:p w:rsidR="000C39D1" w:rsidRPr="00132E65" w:rsidRDefault="000C39D1" w:rsidP="000C39D1">
      <w:pPr>
        <w:pStyle w:val="libNormal"/>
        <w:rPr>
          <w:rtl/>
          <w:lang w:bidi="fa-IR"/>
        </w:rPr>
      </w:pPr>
      <w:r w:rsidRPr="00132E65">
        <w:rPr>
          <w:rtl/>
          <w:lang w:bidi="fa-IR"/>
        </w:rPr>
        <w:t xml:space="preserve">فَقَالَ </w:t>
      </w:r>
      <w:r w:rsidRPr="00F543F1">
        <w:rPr>
          <w:rStyle w:val="libFootnotenumChar"/>
          <w:rtl/>
        </w:rPr>
        <w:t>(13)</w:t>
      </w:r>
      <w:r w:rsidRPr="00132E65">
        <w:rPr>
          <w:rtl/>
          <w:lang w:bidi="fa-IR"/>
        </w:rPr>
        <w:t xml:space="preserve"> : « فَضْلَةٌ مِنْ زَغَبِ الْمَلَائِكَةِ ، نَجْمَعُهُ إِذَا خَلَّوْنَا </w:t>
      </w:r>
      <w:r w:rsidRPr="00F543F1">
        <w:rPr>
          <w:rStyle w:val="libFootnotenumChar"/>
          <w:rtl/>
        </w:rPr>
        <w:t>(14)</w:t>
      </w:r>
      <w:r w:rsidRPr="00132E65">
        <w:rPr>
          <w:rtl/>
          <w:lang w:bidi="fa-IR"/>
        </w:rPr>
        <w:t xml:space="preserve"> ، نَجْعَلُهُ </w:t>
      </w:r>
      <w:r w:rsidRPr="00F543F1">
        <w:rPr>
          <w:rStyle w:val="libFootnotenumChar"/>
          <w:rtl/>
        </w:rPr>
        <w:t>(15)</w:t>
      </w:r>
      <w:r w:rsidRPr="00132E65">
        <w:rPr>
          <w:rtl/>
          <w:lang w:bidi="fa-IR"/>
        </w:rPr>
        <w:t xml:space="preserve"> ‌</w:t>
      </w:r>
      <w:r w:rsidR="00820889">
        <w:rPr>
          <w:rFonts w:hint="cs"/>
          <w:rtl/>
          <w:lang w:bidi="fa-IR"/>
        </w:rPr>
        <w:t xml:space="preserve">       </w:t>
      </w:r>
      <w:r w:rsidR="00820889">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820889" w:rsidP="000C39D1">
      <w:pPr>
        <w:pStyle w:val="libFootnote0"/>
        <w:rPr>
          <w:rtl/>
          <w:lang w:bidi="fa-IR"/>
        </w:rPr>
      </w:pPr>
      <w:r>
        <w:rPr>
          <w:rFonts w:hint="cs"/>
          <w:rtl/>
        </w:rPr>
        <w:t xml:space="preserve">= </w:t>
      </w:r>
      <w:r w:rsidR="000C39D1" w:rsidRPr="00132E65">
        <w:rPr>
          <w:rtl/>
        </w:rPr>
        <w:t>بينهما في بعض الأسناد القاسم بن محمّد [ الجوهري ]</w:t>
      </w:r>
      <w:r w:rsidR="000C39D1">
        <w:rPr>
          <w:rtl/>
        </w:rPr>
        <w:t>.</w:t>
      </w:r>
      <w:r w:rsidR="000C39D1" w:rsidRPr="00132E65">
        <w:rPr>
          <w:rtl/>
        </w:rPr>
        <w:t xml:space="preserve"> كما في </w:t>
      </w:r>
      <w:r w:rsidR="000C39D1" w:rsidRPr="000577A7">
        <w:rPr>
          <w:rStyle w:val="libFootnoteBoldChar"/>
          <w:rtl/>
        </w:rPr>
        <w:t>الكافي</w:t>
      </w:r>
      <w:r w:rsidR="000C39D1" w:rsidRPr="00132E65">
        <w:rPr>
          <w:rtl/>
        </w:rPr>
        <w:t xml:space="preserve"> ، ح 498 ؛ و</w:t>
      </w:r>
      <w:r w:rsidR="000C39D1" w:rsidRPr="00FA6C7C">
        <w:rPr>
          <w:rtl/>
        </w:rPr>
        <w:t>المحاسن</w:t>
      </w:r>
      <w:r w:rsidR="000C39D1" w:rsidRPr="00132E65">
        <w:rPr>
          <w:rtl/>
        </w:rPr>
        <w:t xml:space="preserve"> ، ص 93 ، ح 49 ، وص 427 ، ح 235 ؛ و</w:t>
      </w:r>
      <w:r w:rsidR="000C39D1" w:rsidRPr="00FA6C7C">
        <w:rPr>
          <w:rtl/>
        </w:rPr>
        <w:t xml:space="preserve">ثواب الأعمال </w:t>
      </w:r>
      <w:r w:rsidR="000C39D1" w:rsidRPr="00132E65">
        <w:rPr>
          <w:rtl/>
        </w:rPr>
        <w:t>، ص 246 ، ح 1.</w:t>
      </w:r>
    </w:p>
    <w:p w:rsidR="000C39D1" w:rsidRDefault="000C39D1" w:rsidP="000C39D1">
      <w:pPr>
        <w:pStyle w:val="libNormal"/>
        <w:rPr>
          <w:rtl/>
        </w:rPr>
      </w:pPr>
      <w:r w:rsidRPr="006626A8">
        <w:rPr>
          <w:rtl/>
        </w:rPr>
        <w:t>فلا يبعد وقوع تقديم وتأخير في العنوان وكون الصواب هو « القاسم بن محمّد ».</w:t>
      </w:r>
    </w:p>
    <w:p w:rsidR="000C39D1" w:rsidRPr="006626A8" w:rsidRDefault="000C39D1" w:rsidP="000C39D1">
      <w:pPr>
        <w:pStyle w:val="libFootnote0"/>
        <w:rPr>
          <w:rtl/>
        </w:rPr>
      </w:pPr>
      <w:r>
        <w:rPr>
          <w:rtl/>
        </w:rPr>
        <w:t>(1).</w:t>
      </w:r>
      <w:r w:rsidRPr="006626A8">
        <w:rPr>
          <w:rtl/>
        </w:rPr>
        <w:t xml:space="preserve"> في « ف » : « على ».</w:t>
      </w:r>
    </w:p>
    <w:p w:rsidR="000C39D1" w:rsidRPr="00132E65" w:rsidRDefault="000C39D1" w:rsidP="00820889">
      <w:pPr>
        <w:pStyle w:val="libFootnote0"/>
        <w:rPr>
          <w:rtl/>
          <w:lang w:bidi="fa-IR"/>
        </w:rPr>
      </w:pPr>
      <w:r>
        <w:rPr>
          <w:rtl/>
        </w:rPr>
        <w:t>(2).</w:t>
      </w:r>
      <w:r w:rsidRPr="00132E65">
        <w:rPr>
          <w:rtl/>
        </w:rPr>
        <w:t xml:space="preserve"> « المساور » : جمع ال</w:t>
      </w:r>
      <w:r w:rsidR="00820889">
        <w:rPr>
          <w:rFonts w:hint="cs"/>
          <w:rtl/>
        </w:rPr>
        <w:t>ـ</w:t>
      </w:r>
      <w:r w:rsidRPr="00132E65">
        <w:rPr>
          <w:rtl/>
        </w:rPr>
        <w:t>مِسْوَرَة وال</w:t>
      </w:r>
      <w:r w:rsidR="00820889">
        <w:rPr>
          <w:rFonts w:hint="cs"/>
          <w:rtl/>
        </w:rPr>
        <w:t>ـ</w:t>
      </w:r>
      <w:r w:rsidRPr="00132E65">
        <w:rPr>
          <w:rtl/>
        </w:rPr>
        <w:t xml:space="preserve">مِسْوَر. وهو متّكأٌ من أدَم ، أي جلدٍ مدبوغ. راجع : </w:t>
      </w:r>
      <w:r w:rsidRPr="009D1ACE">
        <w:rPr>
          <w:rStyle w:val="libFootnoteBoldChar"/>
          <w:rtl/>
        </w:rPr>
        <w:t>لسان العرب</w:t>
      </w:r>
      <w:r w:rsidRPr="00132E65">
        <w:rPr>
          <w:rtl/>
        </w:rPr>
        <w:t xml:space="preserve"> ، ج 4 ، ص 38 ( سور )</w:t>
      </w:r>
      <w:r>
        <w:rPr>
          <w:rtl/>
        </w:rPr>
        <w:t>.</w:t>
      </w:r>
      <w:r w:rsidR="00820889">
        <w:rPr>
          <w:rFonts w:hint="cs"/>
          <w:rtl/>
        </w:rPr>
        <w:t xml:space="preserve">                                        </w:t>
      </w:r>
      <w:r w:rsidR="00936037">
        <w:rPr>
          <w:rFonts w:hint="cs"/>
          <w:rtl/>
        </w:rPr>
        <w:t xml:space="preserve">    </w:t>
      </w:r>
      <w:r w:rsidR="00820889">
        <w:rPr>
          <w:rFonts w:hint="cs"/>
          <w:rtl/>
        </w:rPr>
        <w:t xml:space="preserve">      </w:t>
      </w:r>
      <w:r>
        <w:rPr>
          <w:rtl/>
        </w:rPr>
        <w:t>(3).</w:t>
      </w:r>
      <w:r w:rsidRPr="00132E65">
        <w:rPr>
          <w:rtl/>
        </w:rPr>
        <w:t xml:space="preserve"> « ما » فاعل « طال »</w:t>
      </w:r>
      <w:r>
        <w:rPr>
          <w:rtl/>
        </w:rPr>
        <w:t>.</w:t>
      </w:r>
      <w:r w:rsidRPr="00132E65">
        <w:rPr>
          <w:rtl/>
        </w:rPr>
        <w:t xml:space="preserve"> والمراد بها الزمان.</w:t>
      </w:r>
    </w:p>
    <w:p w:rsidR="000C39D1" w:rsidRPr="00132E65" w:rsidRDefault="000C39D1" w:rsidP="000C39D1">
      <w:pPr>
        <w:pStyle w:val="libFootnote0"/>
        <w:rPr>
          <w:rtl/>
          <w:lang w:bidi="fa-IR"/>
        </w:rPr>
      </w:pPr>
      <w:r>
        <w:rPr>
          <w:rtl/>
        </w:rPr>
        <w:t>(4).</w:t>
      </w:r>
      <w:r w:rsidRPr="00132E65">
        <w:rPr>
          <w:rtl/>
        </w:rPr>
        <w:t xml:space="preserve"> في البصائر : « يا حسين بيوتنا مهبط الملائكة والوحي ، وضرب بيده إلى مساور في البيت فقال : يا حسين ، مساور والله طال ما اتّكأت » بدل « يا حسين وضرب</w:t>
      </w:r>
      <w:r>
        <w:rPr>
          <w:rtl/>
        </w:rPr>
        <w:t xml:space="preserve"> - </w:t>
      </w:r>
      <w:r w:rsidRPr="00132E65">
        <w:rPr>
          <w:rtl/>
        </w:rPr>
        <w:t>إلى</w:t>
      </w:r>
      <w:r>
        <w:rPr>
          <w:rtl/>
        </w:rPr>
        <w:t xml:space="preserve"> - </w:t>
      </w:r>
      <w:r w:rsidRPr="00132E65">
        <w:rPr>
          <w:rtl/>
        </w:rPr>
        <w:t>ما اتّكت »</w:t>
      </w:r>
      <w:r>
        <w:rPr>
          <w:rtl/>
        </w:rPr>
        <w:t>.</w:t>
      </w:r>
    </w:p>
    <w:p w:rsidR="000C39D1" w:rsidRPr="00132E65" w:rsidRDefault="000C39D1" w:rsidP="000C39D1">
      <w:pPr>
        <w:pStyle w:val="libFootnote0"/>
        <w:rPr>
          <w:rtl/>
          <w:lang w:bidi="fa-IR"/>
        </w:rPr>
      </w:pPr>
      <w:r>
        <w:rPr>
          <w:rtl/>
        </w:rPr>
        <w:t>(5).</w:t>
      </w:r>
      <w:r w:rsidRPr="00132E65">
        <w:rPr>
          <w:rtl/>
        </w:rPr>
        <w:t xml:space="preserve"> في « ض » : « زغبتها »</w:t>
      </w:r>
      <w:r>
        <w:rPr>
          <w:rtl/>
        </w:rPr>
        <w:t>.</w:t>
      </w:r>
      <w:r w:rsidRPr="00132E65">
        <w:rPr>
          <w:rtl/>
        </w:rPr>
        <w:t xml:space="preserve"> </w:t>
      </w:r>
      <w:r>
        <w:rPr>
          <w:rtl/>
        </w:rPr>
        <w:t>و «</w:t>
      </w:r>
      <w:r w:rsidRPr="00132E65">
        <w:rPr>
          <w:rtl/>
        </w:rPr>
        <w:t xml:space="preserve"> الزَغَب » : صغار الشعر والريش وليّنه ، أو أوّل ما يبدو منهما. </w:t>
      </w:r>
      <w:r w:rsidRPr="00FA6C7C">
        <w:rPr>
          <w:rtl/>
        </w:rPr>
        <w:t>القاموس المحيط</w:t>
      </w:r>
      <w:r w:rsidRPr="00132E65">
        <w:rPr>
          <w:rtl/>
        </w:rPr>
        <w:t xml:space="preserve"> ، ج 1 ، ص 174 ( زغب )</w:t>
      </w:r>
      <w:r>
        <w:rPr>
          <w:rtl/>
        </w:rPr>
        <w:t>.</w:t>
      </w:r>
    </w:p>
    <w:p w:rsidR="000C39D1" w:rsidRPr="00132E65" w:rsidRDefault="000C39D1" w:rsidP="00820889">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90 ، ح 2 ، عن أحمد بن محمّد</w:t>
      </w:r>
      <w:r w:rsidR="00820889">
        <w:rPr>
          <w:rFonts w:hint="cs"/>
          <w:rtl/>
        </w:rPr>
        <w:t>.</w:t>
      </w:r>
      <w:r w:rsidRPr="009D1ACE">
        <w:rPr>
          <w:rStyle w:val="libFootnoteBoldChar"/>
          <w:rtl/>
        </w:rPr>
        <w:t>الوافي</w:t>
      </w:r>
      <w:r w:rsidRPr="00132E65">
        <w:rPr>
          <w:rtl/>
        </w:rPr>
        <w:t xml:space="preserve"> ، ج 3 ، ص 634 ، ح 1224.</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فاحتبست ، على بناء المعلوم أو المجهول ؛ لأنّه لازم ومتعدّ »</w:t>
      </w:r>
      <w:r>
        <w:rPr>
          <w:rtl/>
        </w:rPr>
        <w:t>.</w:t>
      </w:r>
    </w:p>
    <w:tbl>
      <w:tblPr>
        <w:tblStyle w:val="TableGrid"/>
        <w:bidiVisual/>
        <w:tblW w:w="0" w:type="auto"/>
        <w:tblLook w:val="04A0" w:firstRow="1" w:lastRow="0" w:firstColumn="1" w:lastColumn="0" w:noHBand="0" w:noVBand="1"/>
      </w:tblPr>
      <w:tblGrid>
        <w:gridCol w:w="4006"/>
        <w:gridCol w:w="4006"/>
      </w:tblGrid>
      <w:tr w:rsidR="00820889" w:rsidTr="00820889">
        <w:tc>
          <w:tcPr>
            <w:tcW w:w="4006" w:type="dxa"/>
          </w:tcPr>
          <w:p w:rsidR="00820889" w:rsidRDefault="00820889" w:rsidP="000C39D1">
            <w:pPr>
              <w:pStyle w:val="libFootnote0"/>
              <w:rPr>
                <w:rtl/>
              </w:rPr>
            </w:pPr>
            <w:r>
              <w:rPr>
                <w:rtl/>
              </w:rPr>
              <w:t>(8).</w:t>
            </w:r>
            <w:r w:rsidRPr="00132E65">
              <w:rPr>
                <w:rtl/>
              </w:rPr>
              <w:t xml:space="preserve"> في البصائر :</w:t>
            </w:r>
            <w:r>
              <w:rPr>
                <w:rtl/>
              </w:rPr>
              <w:t xml:space="preserve"> + </w:t>
            </w:r>
            <w:r w:rsidRPr="00132E65">
              <w:rPr>
                <w:rtl/>
              </w:rPr>
              <w:t>« عليه »</w:t>
            </w:r>
            <w:r>
              <w:rPr>
                <w:rtl/>
              </w:rPr>
              <w:t>.</w:t>
            </w:r>
          </w:p>
        </w:tc>
        <w:tc>
          <w:tcPr>
            <w:tcW w:w="4006" w:type="dxa"/>
          </w:tcPr>
          <w:p w:rsidR="00820889" w:rsidRDefault="00820889" w:rsidP="000C39D1">
            <w:pPr>
              <w:pStyle w:val="libFootnote0"/>
              <w:rPr>
                <w:rtl/>
              </w:rPr>
            </w:pPr>
            <w:r>
              <w:rPr>
                <w:rtl/>
              </w:rPr>
              <w:t>(9).</w:t>
            </w:r>
            <w:r w:rsidRPr="00132E65">
              <w:rPr>
                <w:rtl/>
              </w:rPr>
              <w:t xml:space="preserve"> في البحار ، ج 46 ، ص 47 </w:t>
            </w:r>
            <w:r>
              <w:rPr>
                <w:rtl/>
              </w:rPr>
              <w:t xml:space="preserve">: - </w:t>
            </w:r>
            <w:r w:rsidRPr="00132E65">
              <w:rPr>
                <w:rtl/>
              </w:rPr>
              <w:t>« البيت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البحار ، ج 46 ، ص 47 : « في »</w:t>
      </w:r>
      <w:r>
        <w:rPr>
          <w:rtl/>
        </w:rPr>
        <w:t>.</w:t>
      </w:r>
    </w:p>
    <w:p w:rsidR="000C39D1" w:rsidRPr="00132E65" w:rsidRDefault="000C39D1" w:rsidP="000C39D1">
      <w:pPr>
        <w:pStyle w:val="libFootnote0"/>
        <w:rPr>
          <w:rtl/>
          <w:lang w:bidi="fa-IR"/>
        </w:rPr>
      </w:pPr>
      <w:r>
        <w:rPr>
          <w:rtl/>
        </w:rPr>
        <w:t>(11).</w:t>
      </w:r>
      <w:r w:rsidRPr="00132E65">
        <w:rPr>
          <w:rtl/>
        </w:rPr>
        <w:t xml:space="preserve"> في « ب » : « تلقطه »</w:t>
      </w:r>
      <w:r>
        <w:rPr>
          <w:rtl/>
        </w:rPr>
        <w:t>.</w:t>
      </w:r>
      <w:r w:rsidRPr="00132E65">
        <w:rPr>
          <w:rtl/>
        </w:rPr>
        <w:t xml:space="preserve"> وفي البصائر والبحار ، ج 46 ، ص 33 </w:t>
      </w:r>
      <w:r>
        <w:rPr>
          <w:rtl/>
        </w:rPr>
        <w:t>و 4</w:t>
      </w:r>
      <w:r w:rsidRPr="00132E65">
        <w:rPr>
          <w:rtl/>
        </w:rPr>
        <w:t>7 : « تلتقط »</w:t>
      </w:r>
      <w:r>
        <w:rPr>
          <w:rtl/>
        </w:rPr>
        <w:t>.</w:t>
      </w:r>
    </w:p>
    <w:tbl>
      <w:tblPr>
        <w:tblStyle w:val="TableGrid"/>
        <w:bidiVisual/>
        <w:tblW w:w="0" w:type="auto"/>
        <w:tblLook w:val="04A0" w:firstRow="1" w:lastRow="0" w:firstColumn="1" w:lastColumn="0" w:noHBand="0" w:noVBand="1"/>
      </w:tblPr>
      <w:tblGrid>
        <w:gridCol w:w="4006"/>
        <w:gridCol w:w="4006"/>
      </w:tblGrid>
      <w:tr w:rsidR="00820889" w:rsidTr="00820889">
        <w:tc>
          <w:tcPr>
            <w:tcW w:w="4006" w:type="dxa"/>
          </w:tcPr>
          <w:p w:rsidR="00820889" w:rsidRDefault="00820889" w:rsidP="000C39D1">
            <w:pPr>
              <w:pStyle w:val="libFootnote0"/>
              <w:rPr>
                <w:rtl/>
              </w:rPr>
            </w:pPr>
            <w:r>
              <w:rPr>
                <w:rtl/>
              </w:rPr>
              <w:t>(12).</w:t>
            </w:r>
            <w:r w:rsidRPr="00132E65">
              <w:rPr>
                <w:rtl/>
              </w:rPr>
              <w:t xml:space="preserve"> في البصائر </w:t>
            </w:r>
            <w:r>
              <w:rPr>
                <w:rtl/>
              </w:rPr>
              <w:t xml:space="preserve">: - </w:t>
            </w:r>
            <w:r w:rsidRPr="00132E65">
              <w:rPr>
                <w:rtl/>
              </w:rPr>
              <w:t>« هو »</w:t>
            </w:r>
            <w:r>
              <w:rPr>
                <w:rtl/>
              </w:rPr>
              <w:t>.</w:t>
            </w:r>
          </w:p>
        </w:tc>
        <w:tc>
          <w:tcPr>
            <w:tcW w:w="4006" w:type="dxa"/>
          </w:tcPr>
          <w:p w:rsidR="00820889" w:rsidRDefault="00820889" w:rsidP="000C39D1">
            <w:pPr>
              <w:pStyle w:val="libFootnote0"/>
              <w:rPr>
                <w:rtl/>
              </w:rPr>
            </w:pPr>
            <w:r>
              <w:rPr>
                <w:rtl/>
              </w:rPr>
              <w:t>(13)</w:t>
            </w:r>
            <w:r w:rsidRPr="00132E65">
              <w:rPr>
                <w:rtl/>
              </w:rPr>
              <w:t xml:space="preserve"> في البحار ، ج 46 ، ص 47 : « قال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البصائر : « جاؤنا »</w:t>
      </w:r>
      <w:r>
        <w:rPr>
          <w:rtl/>
        </w:rPr>
        <w:t>.</w:t>
      </w:r>
      <w:r w:rsidRPr="00132E65">
        <w:rPr>
          <w:rtl/>
        </w:rPr>
        <w:t xml:space="preserve"> وقوله : « خلّونا » ، أي تركونا. وجوّز المجلسي فيه التجريد أيضاً.</w:t>
      </w:r>
    </w:p>
    <w:p w:rsidR="000C39D1" w:rsidRPr="00132E65" w:rsidRDefault="000C39D1" w:rsidP="000C39D1">
      <w:pPr>
        <w:pStyle w:val="libFootnote0"/>
        <w:rPr>
          <w:rtl/>
          <w:lang w:bidi="fa-IR"/>
        </w:rPr>
      </w:pPr>
      <w:r>
        <w:rPr>
          <w:rtl/>
        </w:rPr>
        <w:t>(15)</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نجعله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سَبْحاً </w:t>
      </w:r>
      <w:r>
        <w:rPr>
          <w:rStyle w:val="libFootnotenumChar"/>
          <w:rtl/>
        </w:rPr>
        <w:t>(1)</w:t>
      </w:r>
      <w:r w:rsidRPr="00132E65">
        <w:rPr>
          <w:rtl/>
          <w:lang w:bidi="fa-IR"/>
        </w:rPr>
        <w:t xml:space="preserve"> لِأَوْلَادِنَا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فَقُلْتُ : جُعِلْتُ فِدَاكَ ، وإِنَّهُمْ لَيَأْتُونَكُمْ</w:t>
      </w:r>
      <w:r>
        <w:rPr>
          <w:rtl/>
          <w:lang w:bidi="fa-IR"/>
        </w:rPr>
        <w:t>؟</w:t>
      </w:r>
    </w:p>
    <w:p w:rsidR="000C39D1" w:rsidRPr="00132E65" w:rsidRDefault="000C39D1" w:rsidP="000C39D1">
      <w:pPr>
        <w:pStyle w:val="libNormal"/>
        <w:rPr>
          <w:rtl/>
          <w:lang w:bidi="fa-IR"/>
        </w:rPr>
      </w:pPr>
      <w:r w:rsidRPr="00132E65">
        <w:rPr>
          <w:rtl/>
          <w:lang w:bidi="fa-IR"/>
        </w:rPr>
        <w:t xml:space="preserve">فَقَالَ : « يَا أَبَا حَمْزَةَ ، إِنَّهُمْ لَيُزَاحِمُونَّا عَلى تُكَأَتِنَا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FA6C7C">
        <w:rPr>
          <w:rtl/>
        </w:rPr>
        <w:t>1032</w:t>
      </w:r>
      <w:r w:rsidRPr="004325D8">
        <w:rPr>
          <w:rStyle w:val="libBold2Char"/>
          <w:rtl/>
        </w:rPr>
        <w:t xml:space="preserve"> / 4.</w:t>
      </w:r>
      <w:r w:rsidRPr="00132E65">
        <w:rPr>
          <w:rtl/>
          <w:lang w:bidi="fa-IR"/>
        </w:rPr>
        <w:t xml:space="preserve"> مُحَمَّدٌ ، عَنْ مُحَمَّدِ بْنِ الْحُسَيْنِ </w:t>
      </w:r>
      <w:r>
        <w:rPr>
          <w:rStyle w:val="libFootnotenumChar"/>
          <w:rtl/>
        </w:rPr>
        <w:t>(5)</w:t>
      </w:r>
      <w:r w:rsidRPr="00132E65">
        <w:rPr>
          <w:rtl/>
          <w:lang w:bidi="fa-IR"/>
        </w:rPr>
        <w:t xml:space="preserve"> ، عَنْ مُحَمَّدِ بْنِ أَسْلَمَ ، عَنْ عَلِيِّ بْنِ أَبِي حَمْزَةَ :</w:t>
      </w:r>
    </w:p>
    <w:p w:rsidR="000C39D1" w:rsidRPr="00132E65" w:rsidRDefault="000C39D1" w:rsidP="000C39D1">
      <w:pPr>
        <w:pStyle w:val="libNormal"/>
        <w:rPr>
          <w:rtl/>
          <w:lang w:bidi="fa-IR"/>
        </w:rPr>
      </w:pPr>
      <w:r w:rsidRPr="00132E65">
        <w:rPr>
          <w:rtl/>
          <w:lang w:bidi="fa-IR"/>
        </w:rPr>
        <w:t xml:space="preserve">عَنْ أَبِي الْحَسَنِ </w:t>
      </w:r>
      <w:r w:rsidRPr="00071CF9">
        <w:rPr>
          <w:rStyle w:val="libAlaemChar"/>
          <w:rtl/>
        </w:rPr>
        <w:t>عليه‌السلام</w:t>
      </w:r>
      <w:r w:rsidRPr="00132E65">
        <w:rPr>
          <w:rtl/>
          <w:lang w:bidi="fa-IR"/>
        </w:rPr>
        <w:t xml:space="preserve"> ، قَالَ : سَمِعْتُهُ يَقُولُ : « مَا مِنْ مَلَكٍ يُهْبِطُهُ اللهُ فِي أَمْرٍ‌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ض ، ف ، بح ، بر ، بس ، بف » و</w:t>
      </w:r>
      <w:r w:rsidRPr="009D1ACE">
        <w:rPr>
          <w:rStyle w:val="libFootnoteBoldChar"/>
          <w:rtl/>
        </w:rPr>
        <w:t>الوافي</w:t>
      </w:r>
      <w:r w:rsidRPr="00132E65">
        <w:rPr>
          <w:rtl/>
        </w:rPr>
        <w:t xml:space="preserve">. وقال في </w:t>
      </w:r>
      <w:r w:rsidRPr="009D1ACE">
        <w:rPr>
          <w:rStyle w:val="libFootnoteBoldChar"/>
          <w:rtl/>
        </w:rPr>
        <w:t>الوافي</w:t>
      </w:r>
      <w:r w:rsidRPr="00132E65">
        <w:rPr>
          <w:rtl/>
        </w:rPr>
        <w:t xml:space="preserve"> : « والسبحة</w:t>
      </w:r>
      <w:r>
        <w:rPr>
          <w:rtl/>
        </w:rPr>
        <w:t xml:space="preserve"> - </w:t>
      </w:r>
      <w:r w:rsidRPr="00132E65">
        <w:rPr>
          <w:rtl/>
        </w:rPr>
        <w:t>بالضمّ</w:t>
      </w:r>
      <w:r>
        <w:rPr>
          <w:rtl/>
        </w:rPr>
        <w:t xml:space="preserve"> - </w:t>
      </w:r>
      <w:r w:rsidRPr="00132E65">
        <w:rPr>
          <w:rtl/>
        </w:rPr>
        <w:t xml:space="preserve">خزرات يسبّح بها. ولعلّه </w:t>
      </w:r>
      <w:r w:rsidRPr="00820889">
        <w:rPr>
          <w:rStyle w:val="libFootnoteAlaemChar"/>
          <w:rtl/>
        </w:rPr>
        <w:t>عليه‌السلام</w:t>
      </w:r>
      <w:r w:rsidRPr="00132E65">
        <w:rPr>
          <w:rtl/>
        </w:rPr>
        <w:t xml:space="preserve"> أراد بذلك جعلها منظومة في خيط كالخزرات التي يسبّح بها ، وتعليقها على الأولاد للعوذة ؛ وذلك لأنّ اتّخاذ التمائم والعوذات من الخزرات هيئة السبحة كان متعارفاً في سوالف الأزمنة كما هو اليوم. وربّما تسمّى سبحة وإن لم يسبّح بها. وفي بعض النسخ بالنون ، وهو اليمن والبركة »</w:t>
      </w:r>
      <w:r>
        <w:rPr>
          <w:rtl/>
        </w:rPr>
        <w:t>.</w:t>
      </w:r>
      <w:r w:rsidRPr="00132E65">
        <w:rPr>
          <w:rtl/>
        </w:rPr>
        <w:t xml:space="preserve"> واختاره المحقّق الشعراني في التعليقة على شرح المازندراني ، وأيّده برواية نقلها في </w:t>
      </w:r>
      <w:r w:rsidRPr="007A1104">
        <w:rPr>
          <w:rStyle w:val="libFootnoteBoldChar"/>
          <w:rtl/>
        </w:rPr>
        <w:t>بصائر الدرجات</w:t>
      </w:r>
      <w:r w:rsidRPr="00132E65">
        <w:rPr>
          <w:rtl/>
        </w:rPr>
        <w:t xml:space="preserve"> ، ص 92 ، ح 10 ، بسنده عن الحارث النضري ، قال : رأيت على بعض صبيانهم تعويذاً ، فقلت : جعلني الله فداك ، أما يكره تعويذ القرآن يعلق على الصبيّ</w:t>
      </w:r>
      <w:r>
        <w:rPr>
          <w:rtl/>
        </w:rPr>
        <w:t>؟</w:t>
      </w:r>
      <w:r w:rsidRPr="00132E65">
        <w:rPr>
          <w:rtl/>
        </w:rPr>
        <w:t xml:space="preserve"> فقال : « إنّ ذا ليس بذا ، إنّما ذا من ريش الملائكة ، تطأ فرشنا ، وتمسح رؤوس صبياننا »</w:t>
      </w:r>
      <w:r>
        <w:rPr>
          <w:rtl/>
        </w:rPr>
        <w:t>.</w:t>
      </w:r>
      <w:r w:rsidRPr="00132E65">
        <w:rPr>
          <w:rtl/>
        </w:rPr>
        <w:t xml:space="preserve"> وفي البصائر ، ص 92 ، ح 6 : « سخاباً »</w:t>
      </w:r>
      <w:r>
        <w:rPr>
          <w:rtl/>
        </w:rPr>
        <w:t>.</w:t>
      </w:r>
      <w:r w:rsidRPr="00132E65">
        <w:rPr>
          <w:rtl/>
        </w:rPr>
        <w:t xml:space="preserve"> </w:t>
      </w:r>
      <w:r>
        <w:rPr>
          <w:rtl/>
        </w:rPr>
        <w:t>و «</w:t>
      </w:r>
      <w:r w:rsidRPr="00132E65">
        <w:rPr>
          <w:rtl/>
        </w:rPr>
        <w:t xml:space="preserve"> السخاب » قلادة تتّخذ من قَرَنْفُل. وفي بعض النسخ والمطبوع : « سيحاً »</w:t>
      </w:r>
      <w:r>
        <w:rPr>
          <w:rtl/>
        </w:rPr>
        <w:t>.</w:t>
      </w:r>
      <w:r w:rsidRPr="00132E65">
        <w:rPr>
          <w:rtl/>
        </w:rPr>
        <w:t xml:space="preserve"> </w:t>
      </w:r>
      <w:r>
        <w:rPr>
          <w:rtl/>
        </w:rPr>
        <w:t>و «</w:t>
      </w:r>
      <w:r w:rsidRPr="00132E65">
        <w:rPr>
          <w:rtl/>
        </w:rPr>
        <w:t xml:space="preserve"> السيح » ضرب من البرود ، أو عباءة مخطّطة. راجع : </w:t>
      </w:r>
      <w:r w:rsidRPr="00FA6C7C">
        <w:rPr>
          <w:rtl/>
        </w:rPr>
        <w:t>الصحاح</w:t>
      </w:r>
      <w:r w:rsidRPr="00132E65">
        <w:rPr>
          <w:rtl/>
        </w:rPr>
        <w:t xml:space="preserve"> ، ج 1 ، ص 377 ( سيح )</w:t>
      </w:r>
      <w:r>
        <w:rPr>
          <w:rtl/>
        </w:rPr>
        <w:t>.</w:t>
      </w:r>
    </w:p>
    <w:p w:rsidR="000C39D1" w:rsidRPr="00132E65" w:rsidRDefault="000C39D1" w:rsidP="000C39D1">
      <w:pPr>
        <w:pStyle w:val="libFootnote0"/>
        <w:rPr>
          <w:rtl/>
          <w:lang w:bidi="fa-IR"/>
        </w:rPr>
      </w:pPr>
      <w:r>
        <w:rPr>
          <w:rtl/>
        </w:rPr>
        <w:t>(2).</w:t>
      </w:r>
      <w:r w:rsidRPr="00132E65">
        <w:rPr>
          <w:rtl/>
        </w:rPr>
        <w:t xml:space="preserve"> في البحار ، ج 46 ، ص 33 </w:t>
      </w:r>
      <w:r>
        <w:rPr>
          <w:rtl/>
        </w:rPr>
        <w:t xml:space="preserve">: - </w:t>
      </w:r>
      <w:r w:rsidRPr="00132E65">
        <w:rPr>
          <w:rtl/>
        </w:rPr>
        <w:t>« نجمعه إذا خلّونا نجعله سبحاً لأولادنا »</w:t>
      </w:r>
      <w:r>
        <w:rPr>
          <w:rtl/>
        </w:rPr>
        <w:t>.</w:t>
      </w:r>
    </w:p>
    <w:p w:rsidR="000C39D1" w:rsidRPr="00132E65" w:rsidRDefault="000C39D1" w:rsidP="000C39D1">
      <w:pPr>
        <w:pStyle w:val="libFootnote0"/>
        <w:rPr>
          <w:rtl/>
          <w:lang w:bidi="fa-IR"/>
        </w:rPr>
      </w:pPr>
      <w:r>
        <w:rPr>
          <w:rtl/>
        </w:rPr>
        <w:t>(3).</w:t>
      </w:r>
      <w:r w:rsidRPr="00132E65">
        <w:rPr>
          <w:rtl/>
        </w:rPr>
        <w:t xml:space="preserve"> في البحار ، ج 46 ، ص 33 : « متكائنا »</w:t>
      </w:r>
      <w:r>
        <w:rPr>
          <w:rtl/>
        </w:rPr>
        <w:t>.</w:t>
      </w:r>
      <w:r w:rsidRPr="00132E65">
        <w:rPr>
          <w:rtl/>
        </w:rPr>
        <w:t xml:space="preserve"> </w:t>
      </w:r>
      <w:r>
        <w:rPr>
          <w:rtl/>
        </w:rPr>
        <w:t>و «</w:t>
      </w:r>
      <w:r w:rsidRPr="00132E65">
        <w:rPr>
          <w:rtl/>
        </w:rPr>
        <w:t xml:space="preserve"> التُكَأَةُ » مثال الهُمَزَةِ : ما يُتَّكَأُ ويُعْتَمَدُ عليه. راجع : </w:t>
      </w:r>
      <w:r w:rsidRPr="00FA6C7C">
        <w:rPr>
          <w:rtl/>
        </w:rPr>
        <w:t>الصحاح</w:t>
      </w:r>
      <w:r w:rsidRPr="00132E65">
        <w:rPr>
          <w:rtl/>
        </w:rPr>
        <w:t xml:space="preserve"> ، ج 1 ، ص 82 ( وكأ )</w:t>
      </w:r>
      <w:r>
        <w:rPr>
          <w:rtl/>
        </w:rPr>
        <w:t>.</w:t>
      </w:r>
    </w:p>
    <w:p w:rsidR="000C39D1" w:rsidRPr="00132E65" w:rsidRDefault="000C39D1" w:rsidP="00820889">
      <w:pPr>
        <w:pStyle w:val="libFootnote0"/>
        <w:rPr>
          <w:rtl/>
          <w:lang w:bidi="fa-IR"/>
        </w:rPr>
      </w:pPr>
      <w:r>
        <w:rPr>
          <w:rtl/>
        </w:rPr>
        <w:t>(4).</w:t>
      </w:r>
      <w:r w:rsidRPr="00132E65">
        <w:rPr>
          <w:rtl/>
        </w:rPr>
        <w:t xml:space="preserve"> </w:t>
      </w:r>
      <w:r w:rsidRPr="007A1104">
        <w:rPr>
          <w:rStyle w:val="libFootnoteBoldChar"/>
          <w:rtl/>
        </w:rPr>
        <w:t>بصائر الدرجات</w:t>
      </w:r>
      <w:r w:rsidRPr="00132E65">
        <w:rPr>
          <w:rtl/>
        </w:rPr>
        <w:t xml:space="preserve"> ، ص 91 ، ح 6 ، عن أحمد بن محمّد</w:t>
      </w:r>
      <w:r w:rsidR="00820889">
        <w:rPr>
          <w:rFonts w:hint="cs"/>
          <w:rtl/>
        </w:rPr>
        <w:t>.</w:t>
      </w:r>
      <w:r w:rsidRPr="009D1ACE">
        <w:rPr>
          <w:rStyle w:val="libFootnoteBoldChar"/>
          <w:rtl/>
        </w:rPr>
        <w:t>الوافي</w:t>
      </w:r>
      <w:r w:rsidRPr="00132E65">
        <w:rPr>
          <w:rtl/>
        </w:rPr>
        <w:t xml:space="preserve"> ، ج 3 ، ص 635 ، ح 1225 ؛ </w:t>
      </w:r>
      <w:r w:rsidRPr="00FA6C7C">
        <w:rPr>
          <w:rtl/>
        </w:rPr>
        <w:t>البحار</w:t>
      </w:r>
      <w:r w:rsidRPr="00132E65">
        <w:rPr>
          <w:rtl/>
        </w:rPr>
        <w:t xml:space="preserve"> ، ج 46 ، ص 33 ، ذيل ح 28 ؛ وص 47 ، ح 49.</w:t>
      </w:r>
    </w:p>
    <w:p w:rsidR="000C39D1" w:rsidRPr="00132E65" w:rsidRDefault="000C39D1" w:rsidP="000C39D1">
      <w:pPr>
        <w:pStyle w:val="libFootnote0"/>
        <w:rPr>
          <w:rtl/>
          <w:lang w:bidi="fa-IR"/>
        </w:rPr>
      </w:pPr>
      <w:r>
        <w:rPr>
          <w:rtl/>
        </w:rPr>
        <w:t>(5).</w:t>
      </w:r>
      <w:r w:rsidRPr="00132E65">
        <w:rPr>
          <w:rtl/>
        </w:rPr>
        <w:t xml:space="preserve"> هكذا في « ألف ، ض ، ف »</w:t>
      </w:r>
      <w:r>
        <w:rPr>
          <w:rtl/>
        </w:rPr>
        <w:t>.</w:t>
      </w:r>
      <w:r w:rsidRPr="00132E65">
        <w:rPr>
          <w:rtl/>
        </w:rPr>
        <w:t xml:space="preserve"> وفي « ب ، ج ، و، بح ، بر ، بس ، بف ، جر » والمطبوع : « محمّد بن الحسن »</w:t>
      </w:r>
      <w:r>
        <w:rPr>
          <w:rtl/>
        </w:rPr>
        <w:t>.</w:t>
      </w:r>
      <w:r>
        <w:rPr>
          <w:rFonts w:hint="cs"/>
          <w:rtl/>
          <w:lang w:bidi="fa-IR"/>
        </w:rPr>
        <w:t xml:space="preserve"> </w:t>
      </w:r>
      <w:r w:rsidRPr="0046781C">
        <w:rPr>
          <w:rtl/>
        </w:rPr>
        <w:t>والصواب ما أثبتناه ؛ فإنّ محمّد بن أسلم هو محمّد بن أسلم الطبري الجَبَلي ، روى محمّد بن يحيى</w:t>
      </w:r>
      <w:r>
        <w:rPr>
          <w:rtl/>
        </w:rPr>
        <w:t xml:space="preserve"> - </w:t>
      </w:r>
      <w:r w:rsidRPr="0046781C">
        <w:rPr>
          <w:rtl/>
        </w:rPr>
        <w:t>/ وهو المراد من محمّد</w:t>
      </w:r>
      <w:r>
        <w:rPr>
          <w:rtl/>
        </w:rPr>
        <w:t xml:space="preserve"> - </w:t>
      </w:r>
      <w:r w:rsidRPr="0046781C">
        <w:rPr>
          <w:rtl/>
        </w:rPr>
        <w:t xml:space="preserve">/ في ضمن آخرين عن محمّد بن الحسين بن أبي الخطّاب كتابه ، وتوسّط بينه وبين محمّد بن يحيى بعنوان محمّد بن الحسين في بعض الأسناد. راجع : </w:t>
      </w:r>
      <w:r w:rsidRPr="00FA6C7C">
        <w:rPr>
          <w:rtl/>
        </w:rPr>
        <w:t>رجال النجاشي</w:t>
      </w:r>
      <w:r w:rsidRPr="0046781C">
        <w:rPr>
          <w:rtl/>
        </w:rPr>
        <w:t xml:space="preserve"> ، ص 368 ، الرقم 999 ؛ </w:t>
      </w:r>
      <w:r w:rsidRPr="00FA6C7C">
        <w:rPr>
          <w:rtl/>
        </w:rPr>
        <w:t>الفهرست</w:t>
      </w:r>
      <w:r w:rsidRPr="0046781C">
        <w:rPr>
          <w:rtl/>
        </w:rPr>
        <w:t xml:space="preserve"> للطوسي ، ص 385 ، الرقم 589 ؛ </w:t>
      </w:r>
      <w:r w:rsidRPr="00FA6C7C">
        <w:rPr>
          <w:rtl/>
        </w:rPr>
        <w:t>معجم رجال الحديث</w:t>
      </w:r>
      <w:r w:rsidRPr="0046781C">
        <w:rPr>
          <w:rtl/>
        </w:rPr>
        <w:t xml:space="preserve"> ، ج 15 ، ص 417</w:t>
      </w:r>
      <w:r>
        <w:rPr>
          <w:rtl/>
        </w:rPr>
        <w:t xml:space="preserve"> - </w:t>
      </w:r>
      <w:r w:rsidRPr="0046781C">
        <w:rPr>
          <w:rtl/>
        </w:rPr>
        <w:t xml:space="preserve">418 يؤكّد ذلك أنّ الخبر رواه الصفار في </w:t>
      </w:r>
      <w:r w:rsidRPr="007A1104">
        <w:rPr>
          <w:rStyle w:val="libFootnoteBoldChar"/>
          <w:rtl/>
        </w:rPr>
        <w:t>بصائر الدرجات</w:t>
      </w:r>
      <w:r w:rsidRPr="0046781C">
        <w:rPr>
          <w:rtl/>
        </w:rPr>
        <w:t xml:space="preserve"> ، ص 95 ، ح 22. عن محمّد بن الحسين ، عن محمّد بن أسلم.</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مَا يُهْبِطُهُ </w:t>
      </w:r>
      <w:r>
        <w:rPr>
          <w:rStyle w:val="libFootnotenumChar"/>
          <w:rtl/>
        </w:rPr>
        <w:t>(1)</w:t>
      </w:r>
      <w:r w:rsidR="00820889">
        <w:rPr>
          <w:rtl/>
          <w:lang w:bidi="fa-IR"/>
        </w:rPr>
        <w:t xml:space="preserve"> إِل</w:t>
      </w:r>
      <w:r w:rsidR="00820889">
        <w:rPr>
          <w:rFonts w:hint="cs"/>
          <w:rtl/>
          <w:lang w:bidi="fa-IR"/>
        </w:rPr>
        <w:t>َّ</w:t>
      </w:r>
      <w:r w:rsidR="00820889">
        <w:rPr>
          <w:rtl/>
          <w:lang w:bidi="fa-IR"/>
        </w:rPr>
        <w:t>ا</w:t>
      </w:r>
      <w:r w:rsidRPr="00132E65">
        <w:rPr>
          <w:rtl/>
          <w:lang w:bidi="fa-IR"/>
        </w:rPr>
        <w:t xml:space="preserve"> بَدَأَ بِالْإِمَامِ ، فَعَرَضَ </w:t>
      </w:r>
      <w:r>
        <w:rPr>
          <w:rStyle w:val="libFootnotenumChar"/>
          <w:rtl/>
        </w:rPr>
        <w:t>(2)</w:t>
      </w:r>
      <w:r w:rsidRPr="00132E65">
        <w:rPr>
          <w:rtl/>
          <w:lang w:bidi="fa-IR"/>
        </w:rPr>
        <w:t xml:space="preserve"> ذلِكَ عَلَيْهِ ، وإِنَّ مُخْتَلَفَ الْمَلَائِكَةِ مِنْ عِنْدِ اللهِ</w:t>
      </w:r>
      <w:r>
        <w:rPr>
          <w:rtl/>
          <w:lang w:bidi="fa-IR"/>
        </w:rPr>
        <w:t xml:space="preserve"> - </w:t>
      </w:r>
      <w:r w:rsidRPr="00132E65">
        <w:rPr>
          <w:rtl/>
          <w:lang w:bidi="fa-IR"/>
        </w:rPr>
        <w:t>تَبَارَكَ وتَعَالى</w:t>
      </w:r>
      <w:r>
        <w:rPr>
          <w:rtl/>
          <w:lang w:bidi="fa-IR"/>
        </w:rPr>
        <w:t xml:space="preserve"> - </w:t>
      </w:r>
      <w:r w:rsidRPr="00132E65">
        <w:rPr>
          <w:rtl/>
          <w:lang w:bidi="fa-IR"/>
        </w:rPr>
        <w:t>إِلى صَاحِبِ هذَا الْأَمْرِ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Default="000C39D1" w:rsidP="000C39D1">
      <w:pPr>
        <w:pStyle w:val="Heading2Center"/>
        <w:rPr>
          <w:rtl/>
          <w:lang w:bidi="fa-IR"/>
        </w:rPr>
      </w:pPr>
      <w:bookmarkStart w:id="98" w:name="_Toc459459132"/>
      <w:bookmarkStart w:id="99" w:name="_Toc34663101"/>
      <w:r w:rsidRPr="00132E65">
        <w:rPr>
          <w:rtl/>
          <w:lang w:bidi="fa-IR"/>
        </w:rPr>
        <w:t>98</w:t>
      </w:r>
      <w:r>
        <w:rPr>
          <w:rtl/>
          <w:lang w:bidi="fa-IR"/>
        </w:rPr>
        <w:t xml:space="preserve"> - </w:t>
      </w:r>
      <w:r w:rsidRPr="00132E65">
        <w:rPr>
          <w:rtl/>
          <w:lang w:bidi="fa-IR"/>
        </w:rPr>
        <w:t xml:space="preserve">بَابُ أَنَّ الْجِنَّ يَأْتِيهِمْ </w:t>
      </w:r>
      <w:r>
        <w:rPr>
          <w:rStyle w:val="libFootnotenumChar"/>
          <w:rtl/>
        </w:rPr>
        <w:t>(4)</w:t>
      </w:r>
      <w:r>
        <w:rPr>
          <w:rtl/>
          <w:lang w:bidi="fa-IR"/>
        </w:rPr>
        <w:t xml:space="preserve"> </w:t>
      </w:r>
      <w:r w:rsidRPr="00132E65">
        <w:rPr>
          <w:rtl/>
          <w:lang w:bidi="fa-IR"/>
        </w:rPr>
        <w:t>فَيَسْأَلُونَهُمْ عَنْ</w:t>
      </w:r>
      <w:bookmarkEnd w:id="98"/>
      <w:bookmarkEnd w:id="99"/>
    </w:p>
    <w:p w:rsidR="000C39D1" w:rsidRPr="00132E65" w:rsidRDefault="000C39D1" w:rsidP="000C39D1">
      <w:pPr>
        <w:pStyle w:val="Heading2Center"/>
        <w:rPr>
          <w:rtl/>
          <w:lang w:bidi="fa-IR"/>
        </w:rPr>
      </w:pPr>
      <w:bookmarkStart w:id="100" w:name="_Toc459293645"/>
      <w:bookmarkStart w:id="101" w:name="_Toc459455114"/>
      <w:bookmarkStart w:id="102" w:name="_Toc459459133"/>
      <w:bookmarkStart w:id="103" w:name="_Toc34663102"/>
      <w:r w:rsidRPr="00132E65">
        <w:rPr>
          <w:rtl/>
          <w:lang w:bidi="fa-IR"/>
        </w:rPr>
        <w:t xml:space="preserve">مَعَالِمِ دِينِهِمْ ويَتَوَجَّهُونَ فِي أُمُورِهِمْ </w:t>
      </w:r>
      <w:r w:rsidRPr="00071CF9">
        <w:rPr>
          <w:rStyle w:val="libAlaemChar"/>
          <w:rtl/>
        </w:rPr>
        <w:t>عليهم‌السلام</w:t>
      </w:r>
      <w:r w:rsidRPr="00132E65">
        <w:rPr>
          <w:rtl/>
          <w:lang w:bidi="fa-IR"/>
        </w:rPr>
        <w:t>‌</w:t>
      </w:r>
      <w:bookmarkEnd w:id="100"/>
      <w:bookmarkEnd w:id="101"/>
      <w:bookmarkEnd w:id="102"/>
      <w:bookmarkEnd w:id="103"/>
    </w:p>
    <w:p w:rsidR="000C39D1" w:rsidRPr="00132E65" w:rsidRDefault="000C39D1" w:rsidP="000C39D1">
      <w:pPr>
        <w:pStyle w:val="libNormal"/>
        <w:rPr>
          <w:rtl/>
          <w:lang w:bidi="fa-IR"/>
        </w:rPr>
      </w:pPr>
      <w:r w:rsidRPr="00FA6C7C">
        <w:rPr>
          <w:rtl/>
        </w:rPr>
        <w:t>1033</w:t>
      </w:r>
      <w:r w:rsidRPr="004325D8">
        <w:rPr>
          <w:rStyle w:val="libBold2Char"/>
          <w:rtl/>
        </w:rPr>
        <w:t xml:space="preserve"> / 1.</w:t>
      </w:r>
      <w:r w:rsidRPr="00132E65">
        <w:rPr>
          <w:rtl/>
          <w:lang w:bidi="fa-IR"/>
        </w:rPr>
        <w:t xml:space="preserve"> بَعْضُ أَصْحَابِنَا ، عَنْ مُحَمَّدِ بْنِ عَلِيٍّ ، عَنْ يَحْيَى بْنِ مُسَاوِرٍ ، عَنْ سَعْدٍ الْإِسْكَافِ ، قَالَ :</w:t>
      </w:r>
    </w:p>
    <w:p w:rsidR="000C39D1" w:rsidRPr="00132E65" w:rsidRDefault="000C39D1" w:rsidP="000C39D1">
      <w:pPr>
        <w:pStyle w:val="libNormal"/>
        <w:rPr>
          <w:rtl/>
          <w:lang w:bidi="fa-IR"/>
        </w:rPr>
      </w:pPr>
      <w:r w:rsidRPr="00132E65">
        <w:rPr>
          <w:rtl/>
          <w:lang w:bidi="fa-IR"/>
        </w:rPr>
        <w:t xml:space="preserve">أَتَيْتُ أَبَا جَعْفَرٍ </w:t>
      </w:r>
      <w:r w:rsidRPr="00071CF9">
        <w:rPr>
          <w:rStyle w:val="libAlaemChar"/>
          <w:rtl/>
        </w:rPr>
        <w:t>عليه‌السلام</w:t>
      </w:r>
      <w:r w:rsidRPr="00132E65">
        <w:rPr>
          <w:rtl/>
          <w:lang w:bidi="fa-IR"/>
        </w:rPr>
        <w:t xml:space="preserve"> فِي بَعْضِ مَا أَتَيْتُهُ ، فَجَعَلَ يَقُولُ : « لَا تَعْجَلْ </w:t>
      </w:r>
      <w:r>
        <w:rPr>
          <w:rStyle w:val="libFootnotenumChar"/>
          <w:rtl/>
        </w:rPr>
        <w:t>(5)</w:t>
      </w:r>
      <w:r w:rsidRPr="00132E65">
        <w:rPr>
          <w:rtl/>
          <w:lang w:bidi="fa-IR"/>
        </w:rPr>
        <w:t xml:space="preserve"> » حَتّى حَمِيَتِ الشَّمْسُ عَلَيَّ ، وجَعَلْتُ أَتَتَبَّعُ </w:t>
      </w:r>
      <w:r>
        <w:rPr>
          <w:rStyle w:val="libFootnotenumChar"/>
          <w:rtl/>
        </w:rPr>
        <w:t>(6)</w:t>
      </w:r>
      <w:r w:rsidRPr="00132E65">
        <w:rPr>
          <w:rtl/>
          <w:lang w:bidi="fa-IR"/>
        </w:rPr>
        <w:t xml:space="preserve"> الْأَفْيَاءَ ، فَمَا لَبِثَ </w:t>
      </w:r>
      <w:r>
        <w:rPr>
          <w:rStyle w:val="libFootnotenumChar"/>
          <w:rtl/>
        </w:rPr>
        <w:t>(7)</w:t>
      </w:r>
      <w:r w:rsidRPr="00132E65">
        <w:rPr>
          <w:rtl/>
          <w:lang w:bidi="fa-IR"/>
        </w:rPr>
        <w:t xml:space="preserve"> أَنْ خَرَجَ عَلَيَّ قَوْمٌ كَأَنَّهُمُ الْجَرَادُ الصُّفْرُ </w:t>
      </w:r>
      <w:r>
        <w:rPr>
          <w:rStyle w:val="libFootnotenumChar"/>
          <w:rtl/>
        </w:rPr>
        <w:t>(8)</w:t>
      </w:r>
      <w:r w:rsidRPr="00132E65">
        <w:rPr>
          <w:rtl/>
          <w:lang w:bidi="fa-IR"/>
        </w:rPr>
        <w:t xml:space="preserve"> ، عَلَيْهِمُ الْبُتُوتُ </w:t>
      </w:r>
      <w:r>
        <w:rPr>
          <w:rStyle w:val="libFootnotenumChar"/>
          <w:rtl/>
        </w:rPr>
        <w:t>(9)</w:t>
      </w:r>
      <w:r w:rsidRPr="00132E65">
        <w:rPr>
          <w:rtl/>
          <w:lang w:bidi="fa-IR"/>
        </w:rPr>
        <w:t xml:space="preserve"> قَدِ انْتَهَكَتْهُمُ </w:t>
      </w:r>
      <w:r>
        <w:rPr>
          <w:rStyle w:val="libFootnotenumChar"/>
          <w:rtl/>
        </w:rPr>
        <w:t>(10)</w:t>
      </w:r>
      <w:r w:rsidRPr="00132E65">
        <w:rPr>
          <w:rtl/>
          <w:lang w:bidi="fa-IR"/>
        </w:rPr>
        <w:t xml:space="preserve"> الْعِبَادَةُ ، قَالَ : فَوَ اللهِ ، لَأَنْسَانِي مَا كُنْتُ فِيهِ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ما يهبط »</w:t>
      </w:r>
      <w:r>
        <w:rPr>
          <w:rtl/>
        </w:rPr>
        <w:t>.</w:t>
      </w:r>
      <w:r w:rsidRPr="00132E65">
        <w:rPr>
          <w:rtl/>
        </w:rPr>
        <w:t xml:space="preserve"> وفي البصائر </w:t>
      </w:r>
      <w:r>
        <w:rPr>
          <w:rtl/>
        </w:rPr>
        <w:t xml:space="preserve">: - </w:t>
      </w:r>
      <w:r w:rsidRPr="00132E65">
        <w:rPr>
          <w:rtl/>
        </w:rPr>
        <w:t>« ما يهبطه »</w:t>
      </w:r>
      <w:r>
        <w:rPr>
          <w:rtl/>
        </w:rPr>
        <w:t>.</w:t>
      </w:r>
    </w:p>
    <w:p w:rsidR="000C39D1" w:rsidRPr="00132E65" w:rsidRDefault="000C39D1" w:rsidP="000C39D1">
      <w:pPr>
        <w:pStyle w:val="libFootnote0"/>
        <w:rPr>
          <w:rtl/>
          <w:lang w:bidi="fa-IR"/>
        </w:rPr>
      </w:pPr>
      <w:r>
        <w:rPr>
          <w:rtl/>
        </w:rPr>
        <w:t>(2).</w:t>
      </w:r>
      <w:r w:rsidRPr="00132E65">
        <w:rPr>
          <w:rtl/>
        </w:rPr>
        <w:t xml:space="preserve"> في « ف » : « فيعرض »</w:t>
      </w:r>
      <w:r>
        <w:rPr>
          <w:rtl/>
        </w:rPr>
        <w:t>.</w:t>
      </w:r>
    </w:p>
    <w:p w:rsidR="000C39D1" w:rsidRPr="00132E65" w:rsidRDefault="000C39D1" w:rsidP="00820889">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95 ، ح 22 ، عن محمّد بن الحسين ، عن محمّد بن مسلم ، عن ابن أبي حمزة ، عن أبي الحسن موسى بن جعفر </w:t>
      </w:r>
      <w:r w:rsidRPr="00820889">
        <w:rPr>
          <w:rStyle w:val="libFootnoteAlaemChar"/>
          <w:rtl/>
        </w:rPr>
        <w:t>عليه‌السلام</w:t>
      </w:r>
      <w:r w:rsidR="00820889">
        <w:rPr>
          <w:rFonts w:hint="cs"/>
          <w:rtl/>
        </w:rPr>
        <w:t>.</w:t>
      </w:r>
      <w:r w:rsidRPr="009D1ACE">
        <w:rPr>
          <w:rStyle w:val="libFootnoteBoldChar"/>
          <w:rtl/>
        </w:rPr>
        <w:t>الوافي</w:t>
      </w:r>
      <w:r w:rsidRPr="00132E65">
        <w:rPr>
          <w:rtl/>
        </w:rPr>
        <w:t xml:space="preserve"> ، ج 3 ، ص 63 ، ح 1226.</w:t>
      </w:r>
    </w:p>
    <w:p w:rsidR="000C39D1" w:rsidRPr="00132E65" w:rsidRDefault="000C39D1" w:rsidP="000C39D1">
      <w:pPr>
        <w:pStyle w:val="libFootnote0"/>
        <w:rPr>
          <w:rtl/>
          <w:lang w:bidi="fa-IR"/>
        </w:rPr>
      </w:pPr>
      <w:r>
        <w:rPr>
          <w:rtl/>
        </w:rPr>
        <w:t>(4).</w:t>
      </w:r>
      <w:r w:rsidRPr="00132E65">
        <w:rPr>
          <w:rtl/>
        </w:rPr>
        <w:t xml:space="preserve"> في « ب ، ج ، ض ، ف ، بس » : « تأتيهم »</w:t>
      </w:r>
      <w:r>
        <w:rPr>
          <w:rtl/>
        </w:rPr>
        <w:t>.</w:t>
      </w:r>
      <w:r w:rsidRPr="00132E65">
        <w:rPr>
          <w:rtl/>
        </w:rPr>
        <w:t xml:space="preserve"> وفي حاشية « ج » و</w:t>
      </w:r>
      <w:r w:rsidRPr="009D1ACE">
        <w:rPr>
          <w:rStyle w:val="libFootnoteBoldChar"/>
          <w:rtl/>
        </w:rPr>
        <w:t>مرآة العقول</w:t>
      </w:r>
      <w:r w:rsidRPr="00132E65">
        <w:rPr>
          <w:rtl/>
        </w:rPr>
        <w:t xml:space="preserve"> : « يأتونهم »</w:t>
      </w:r>
      <w:r>
        <w:rPr>
          <w:rtl/>
        </w:rPr>
        <w:t>.</w:t>
      </w:r>
      <w:r w:rsidRPr="00132E65">
        <w:rPr>
          <w:rtl/>
        </w:rPr>
        <w:t xml:space="preserve"> وهو الأنسب ب : « فيسألونهم » </w:t>
      </w:r>
      <w:r>
        <w:rPr>
          <w:rtl/>
        </w:rPr>
        <w:t>و «</w:t>
      </w:r>
      <w:r w:rsidRPr="00132E65">
        <w:rPr>
          <w:rtl/>
        </w:rPr>
        <w:t xml:space="preserve"> يتوجّهون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أي كلّما استأذنت للدخول عليه يقول لي : لا تعجل. فلبث على الباب حتى حمئت الشمس ، أي‌اشتدّ حرّها »</w:t>
      </w:r>
      <w:r>
        <w:rPr>
          <w:rtl/>
        </w:rPr>
        <w:t>.</w:t>
      </w:r>
    </w:p>
    <w:p w:rsidR="000C39D1" w:rsidRPr="00132E65" w:rsidRDefault="000C39D1" w:rsidP="000C39D1">
      <w:pPr>
        <w:pStyle w:val="libFootnote0"/>
        <w:rPr>
          <w:rtl/>
          <w:lang w:bidi="fa-IR"/>
        </w:rPr>
      </w:pPr>
      <w:r>
        <w:rPr>
          <w:rtl/>
        </w:rPr>
        <w:t>(6).</w:t>
      </w:r>
      <w:r w:rsidRPr="00132E65">
        <w:rPr>
          <w:rtl/>
        </w:rPr>
        <w:t xml:space="preserve"> في « ب » : « أتبع »</w:t>
      </w:r>
      <w:r>
        <w:rPr>
          <w:rtl/>
        </w:rPr>
        <w:t>.</w:t>
      </w:r>
    </w:p>
    <w:p w:rsidR="000C39D1" w:rsidRPr="00132E65" w:rsidRDefault="000C39D1" w:rsidP="000C39D1">
      <w:pPr>
        <w:pStyle w:val="libFootnote0"/>
        <w:rPr>
          <w:rtl/>
          <w:lang w:bidi="fa-IR"/>
        </w:rPr>
      </w:pPr>
      <w:r>
        <w:rPr>
          <w:rtl/>
        </w:rPr>
        <w:t>(7).</w:t>
      </w:r>
      <w:r w:rsidRPr="00132E65">
        <w:rPr>
          <w:rtl/>
        </w:rPr>
        <w:t xml:space="preserve"> في « ض ، بر » وحاشية « بس » و</w:t>
      </w:r>
      <w:r w:rsidRPr="009D1ACE">
        <w:rPr>
          <w:rStyle w:val="libFootnoteBoldChar"/>
          <w:rtl/>
        </w:rPr>
        <w:t>الوافي</w:t>
      </w:r>
      <w:r w:rsidRPr="00132E65">
        <w:rPr>
          <w:rtl/>
        </w:rPr>
        <w:t xml:space="preserve"> : « لبثت »</w:t>
      </w:r>
      <w:r>
        <w:rPr>
          <w:rtl/>
        </w:rPr>
        <w:t>.</w:t>
      </w:r>
    </w:p>
    <w:p w:rsidR="000C39D1" w:rsidRPr="00132E65" w:rsidRDefault="000C39D1" w:rsidP="000C39D1">
      <w:pPr>
        <w:pStyle w:val="libFootnote0"/>
        <w:rPr>
          <w:rtl/>
          <w:lang w:bidi="fa-IR"/>
        </w:rPr>
      </w:pPr>
      <w:r>
        <w:rPr>
          <w:rtl/>
        </w:rPr>
        <w:t>(8).</w:t>
      </w:r>
      <w:r w:rsidRPr="00132E65">
        <w:rPr>
          <w:rtl/>
        </w:rPr>
        <w:t xml:space="preserve"> في « بر » : « الصغير »</w:t>
      </w:r>
      <w:r>
        <w:rPr>
          <w:rtl/>
        </w:rPr>
        <w:t>.</w:t>
      </w:r>
    </w:p>
    <w:p w:rsidR="000C39D1" w:rsidRPr="00132E65" w:rsidRDefault="000C39D1" w:rsidP="000C39D1">
      <w:pPr>
        <w:pStyle w:val="libFootnote0"/>
        <w:rPr>
          <w:rtl/>
          <w:lang w:bidi="fa-IR"/>
        </w:rPr>
      </w:pPr>
      <w:r>
        <w:rPr>
          <w:rtl/>
        </w:rPr>
        <w:t>(9).</w:t>
      </w:r>
      <w:r w:rsidRPr="00132E65">
        <w:rPr>
          <w:rtl/>
        </w:rPr>
        <w:t xml:space="preserve"> « البُتُوتُ » : جمع البَتّ ، وهو كِساء مربّع. وقيل : طَيْلَسان من خزّ. وهو كِساءٌ أخضر يلبسه الخواصّ من المشايخ والعلماء ، وهو من لباس العجم. راجع : </w:t>
      </w:r>
      <w:r w:rsidRPr="00FA6C7C">
        <w:rPr>
          <w:rtl/>
        </w:rPr>
        <w:t>النهاية</w:t>
      </w:r>
      <w:r w:rsidRPr="00132E65">
        <w:rPr>
          <w:rtl/>
        </w:rPr>
        <w:t xml:space="preserve"> ، ج 1 ، ص 92 ( بتت )</w:t>
      </w:r>
      <w:r>
        <w:rPr>
          <w:rtl/>
        </w:rPr>
        <w:t>.</w:t>
      </w:r>
    </w:p>
    <w:p w:rsidR="000C39D1" w:rsidRPr="00132E65" w:rsidRDefault="000C39D1" w:rsidP="000C39D1">
      <w:pPr>
        <w:pStyle w:val="libFootnote0"/>
        <w:rPr>
          <w:rtl/>
          <w:lang w:bidi="fa-IR"/>
        </w:rPr>
      </w:pPr>
      <w:r>
        <w:rPr>
          <w:rtl/>
        </w:rPr>
        <w:t>(10).</w:t>
      </w:r>
      <w:r w:rsidRPr="00132E65">
        <w:rPr>
          <w:rtl/>
        </w:rPr>
        <w:t xml:space="preserve"> في حاشية « ج » : « أنهكتهم »</w:t>
      </w:r>
      <w:r>
        <w:rPr>
          <w:rtl/>
        </w:rPr>
        <w:t>.</w:t>
      </w:r>
      <w:r w:rsidRPr="00132E65">
        <w:rPr>
          <w:rtl/>
        </w:rPr>
        <w:t xml:space="preserve"> وفي « بف » : « استهلكتهم »</w:t>
      </w:r>
      <w:r>
        <w:rPr>
          <w:rtl/>
        </w:rPr>
        <w:t>.</w:t>
      </w:r>
      <w:r w:rsidRPr="00132E65">
        <w:rPr>
          <w:rtl/>
        </w:rPr>
        <w:t xml:space="preserve"> وقوله : « انتهكتهم العبادةُ » : أضْنَتْهم ، أي أثقلتهم ، وهَزَلَتْهم ، أي أضعفتهم وجعلتهم نُحَفاءَ ، وجَهَدَتهم. راجع : </w:t>
      </w:r>
      <w:r w:rsidRPr="00FA6C7C">
        <w:rPr>
          <w:rtl/>
        </w:rPr>
        <w:t>القاموس المحيط</w:t>
      </w:r>
      <w:r w:rsidRPr="00132E65">
        <w:rPr>
          <w:rtl/>
        </w:rPr>
        <w:t xml:space="preserve"> ، ج 2 ، ص 1265 ( نهك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حُسْنِ هَيْئَةِ الْقَوْمِ.</w:t>
      </w:r>
    </w:p>
    <w:p w:rsidR="000C39D1" w:rsidRPr="00132E65" w:rsidRDefault="000C39D1" w:rsidP="000C39D1">
      <w:pPr>
        <w:pStyle w:val="libNormal"/>
        <w:rPr>
          <w:rtl/>
          <w:lang w:bidi="fa-IR"/>
        </w:rPr>
      </w:pPr>
      <w:r w:rsidRPr="00132E65">
        <w:rPr>
          <w:rtl/>
          <w:lang w:bidi="fa-IR"/>
        </w:rPr>
        <w:t xml:space="preserve">فَلَمَّا دَخَلْتُ عَلَيْهِ ، قَالَ لِي : « أَرَانِي قَدْ شَقَقْتُ عَلَيْكَ </w:t>
      </w:r>
      <w:r>
        <w:rPr>
          <w:rStyle w:val="libFootnotenumChar"/>
          <w:rtl/>
        </w:rPr>
        <w:t>(1)</w:t>
      </w:r>
      <w:r w:rsidRPr="00132E65">
        <w:rPr>
          <w:rtl/>
          <w:lang w:bidi="fa-IR"/>
        </w:rPr>
        <w:t xml:space="preserve"> »</w:t>
      </w:r>
      <w:r>
        <w:rPr>
          <w:rtl/>
          <w:lang w:bidi="fa-IR"/>
        </w:rPr>
        <w:t>.</w:t>
      </w:r>
      <w:r w:rsidRPr="00132E65">
        <w:rPr>
          <w:rtl/>
          <w:lang w:bidi="fa-IR"/>
        </w:rPr>
        <w:t xml:space="preserve"> قُلْتُ : أَجَلْ واللهِ ، لَقَدْ أَنْسَانِي مَا كُنْتُ فِيهِ قَوْمٌ مَرُّوا بِي لَمْ أَرَ قَوْماً أَحْسَنَ هَيْئَةً مِنْهُمْ فِي زِيِّ رَجُلٍ واحِدٍ </w:t>
      </w:r>
      <w:r>
        <w:rPr>
          <w:rStyle w:val="libFootnotenumChar"/>
          <w:rtl/>
        </w:rPr>
        <w:t>(2)</w:t>
      </w:r>
      <w:r w:rsidRPr="00132E65">
        <w:rPr>
          <w:rtl/>
          <w:lang w:bidi="fa-IR"/>
        </w:rPr>
        <w:t xml:space="preserve"> ، كَأَنَّ </w:t>
      </w:r>
      <w:r>
        <w:rPr>
          <w:rStyle w:val="libFootnotenumChar"/>
          <w:rtl/>
        </w:rPr>
        <w:t>(3)</w:t>
      </w:r>
      <w:r w:rsidRPr="00132E65">
        <w:rPr>
          <w:rtl/>
          <w:lang w:bidi="fa-IR"/>
        </w:rPr>
        <w:t xml:space="preserve"> أَلْوَانَهُمُ الْجَرَادُ الصُّفْرُ </w:t>
      </w:r>
      <w:r>
        <w:rPr>
          <w:rStyle w:val="libFootnotenumChar"/>
          <w:rtl/>
        </w:rPr>
        <w:t>(4)</w:t>
      </w:r>
      <w:r w:rsidRPr="00132E65">
        <w:rPr>
          <w:rtl/>
          <w:lang w:bidi="fa-IR"/>
        </w:rPr>
        <w:t xml:space="preserve"> قَدِ انْتَهَكَتْهُمُ </w:t>
      </w:r>
      <w:r>
        <w:rPr>
          <w:rStyle w:val="libFootnotenumChar"/>
          <w:rtl/>
        </w:rPr>
        <w:t>(5)</w:t>
      </w:r>
      <w:r w:rsidRPr="00132E65">
        <w:rPr>
          <w:rtl/>
          <w:lang w:bidi="fa-IR"/>
        </w:rPr>
        <w:t xml:space="preserve"> الْعِبَادَةُ فَقَالَ : « يَا سَعْدُ ، رَأَيْتَهُمْ</w:t>
      </w:r>
      <w:r>
        <w:rPr>
          <w:rtl/>
          <w:lang w:bidi="fa-IR"/>
        </w:rPr>
        <w:t>؟</w:t>
      </w:r>
      <w:r w:rsidRPr="00132E65">
        <w:rPr>
          <w:rtl/>
          <w:lang w:bidi="fa-IR"/>
        </w:rPr>
        <w:t xml:space="preserve"> » قُلْتُ : نَعَمْ ، قَالَ : « أُولئِكَ إِخْوَانُكَ مِنَ الْجِنِّ »</w:t>
      </w:r>
      <w:r>
        <w:rPr>
          <w:rtl/>
          <w:lang w:bidi="fa-IR"/>
        </w:rPr>
        <w:t>.</w:t>
      </w:r>
      <w:r w:rsidRPr="00132E65">
        <w:rPr>
          <w:rtl/>
          <w:lang w:bidi="fa-IR"/>
        </w:rPr>
        <w:t xml:space="preserve"> قَالَ : فَقُلْتُ : يَأْتُونَكَ</w:t>
      </w:r>
      <w:r>
        <w:rPr>
          <w:rtl/>
          <w:lang w:bidi="fa-IR"/>
        </w:rPr>
        <w:t>؟</w:t>
      </w:r>
      <w:r w:rsidRPr="00132E65">
        <w:rPr>
          <w:rtl/>
          <w:lang w:bidi="fa-IR"/>
        </w:rPr>
        <w:t xml:space="preserve"> قَالَ : « نَعَمْ ، يَأْتُونَّا يَسْأَلُونَّا </w:t>
      </w:r>
      <w:r>
        <w:rPr>
          <w:rStyle w:val="libFootnotenumChar"/>
          <w:rtl/>
        </w:rPr>
        <w:t>(6)</w:t>
      </w:r>
      <w:r w:rsidRPr="00132E65">
        <w:rPr>
          <w:rtl/>
          <w:lang w:bidi="fa-IR"/>
        </w:rPr>
        <w:t xml:space="preserve"> عَنْ مَعَالِمِ دِينِهِمْ وحَلَالِهِمْ وحَرَامِهِمْ</w:t>
      </w:r>
      <w:r>
        <w:rPr>
          <w:rStyle w:val="libFootnotenumChar"/>
          <w:rtl/>
        </w:rPr>
        <w:t>(7)</w:t>
      </w:r>
      <w:r w:rsidRPr="00132E65">
        <w:rPr>
          <w:rtl/>
          <w:lang w:bidi="fa-IR"/>
        </w:rPr>
        <w:t>»</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FA6C7C">
        <w:rPr>
          <w:rtl/>
        </w:rPr>
        <w:t>1034</w:t>
      </w:r>
      <w:r w:rsidRPr="004325D8">
        <w:rPr>
          <w:rStyle w:val="libBold2Char"/>
          <w:rtl/>
        </w:rPr>
        <w:t xml:space="preserve"> / 2.</w:t>
      </w:r>
      <w:r w:rsidRPr="00132E65">
        <w:rPr>
          <w:rtl/>
          <w:lang w:bidi="fa-IR"/>
        </w:rPr>
        <w:t xml:space="preserve"> عَلِيُّ بْنُ مُحَمَّدٍ ، عَنْ سَهْلِ بْنِ زِيَادٍ ، عَنْ عَلِيِّ بْنِ حَسَّانَ ، عَنْ إِبْرَاهِيمَ بْنِ إِسْمَاعِيلَ ، عَنِ ابْنِ جَبَلٍ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كُنَّا بِبَابِهِ ، فَخَرَجَ عَلَيْنَا قَوْمٌ أَشْبَاهُ الزُّطِّ </w:t>
      </w:r>
      <w:r>
        <w:rPr>
          <w:rStyle w:val="libFootnotenumChar"/>
          <w:rtl/>
        </w:rPr>
        <w:t>(10)</w:t>
      </w:r>
      <w:r w:rsidRPr="00132E65">
        <w:rPr>
          <w:rtl/>
          <w:lang w:bidi="fa-IR"/>
        </w:rPr>
        <w:t xml:space="preserve"> ، عَلَيْهِمْ أُزُرٌ </w:t>
      </w:r>
      <w:r>
        <w:rPr>
          <w:rStyle w:val="libFootnotenumChar"/>
          <w:rtl/>
        </w:rPr>
        <w:t>(11)</w:t>
      </w:r>
      <w:r w:rsidRPr="00132E65">
        <w:rPr>
          <w:rtl/>
          <w:lang w:bidi="fa-IR"/>
        </w:rPr>
        <w:t xml:space="preserve"> وَأَكْسِيَةٌ ، فَسَأَلْنَا أَبَا عَبْدِ اللهِ </w:t>
      </w:r>
      <w:r w:rsidRPr="00071CF9">
        <w:rPr>
          <w:rStyle w:val="libAlaemChar"/>
          <w:rtl/>
        </w:rPr>
        <w:t>عليه‌السلام</w:t>
      </w:r>
      <w:r w:rsidRPr="00132E65">
        <w:rPr>
          <w:rtl/>
          <w:lang w:bidi="fa-IR"/>
        </w:rPr>
        <w:t xml:space="preserve"> عَنْهُمْ ، فَقَالَ : « هؤُلَاءِ إِخْوَانُكُمْ مِنَ الْجِنِّ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FA6C7C">
        <w:rPr>
          <w:rtl/>
        </w:rPr>
        <w:t>1035</w:t>
      </w:r>
      <w:r w:rsidRPr="004325D8">
        <w:rPr>
          <w:rStyle w:val="libBold2Char"/>
          <w:rtl/>
        </w:rPr>
        <w:t xml:space="preserve"> / 3.</w:t>
      </w:r>
      <w:r w:rsidRPr="00132E65">
        <w:rPr>
          <w:rtl/>
          <w:lang w:bidi="fa-IR"/>
        </w:rPr>
        <w:t xml:space="preserve"> أَحْمَدُ بْنُ إِدْرِيسَ ومُحَمَّدُ بْنُ يَحْيى ، عَنِ الْحَسَنِ بْنِ عَلِيٍّ الْكُوفِيِّ ، عَنِ ابْنِ‌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شَقَقْتُ عليك » ، أي أوقعتك في المشقّة. </w:t>
      </w:r>
      <w:r w:rsidRPr="00FA6C7C">
        <w:rPr>
          <w:rtl/>
        </w:rPr>
        <w:t>القاموس المحيط</w:t>
      </w:r>
      <w:r w:rsidRPr="00132E65">
        <w:rPr>
          <w:rtl/>
        </w:rPr>
        <w:t xml:space="preserve"> ، ج 2 ، ص 1192 ( شقق )</w:t>
      </w:r>
      <w:r>
        <w:rPr>
          <w:rtl/>
        </w:rPr>
        <w:t>.</w:t>
      </w:r>
    </w:p>
    <w:tbl>
      <w:tblPr>
        <w:tblStyle w:val="TableGrid"/>
        <w:bidiVisual/>
        <w:tblW w:w="0" w:type="auto"/>
        <w:tblLook w:val="04A0" w:firstRow="1" w:lastRow="0" w:firstColumn="1" w:lastColumn="0" w:noHBand="0" w:noVBand="1"/>
      </w:tblPr>
      <w:tblGrid>
        <w:gridCol w:w="4006"/>
        <w:gridCol w:w="4006"/>
      </w:tblGrid>
      <w:tr w:rsidR="00A44EE9" w:rsidTr="00A44EE9">
        <w:tc>
          <w:tcPr>
            <w:tcW w:w="4006" w:type="dxa"/>
          </w:tcPr>
          <w:p w:rsidR="00A44EE9" w:rsidRDefault="00A44EE9" w:rsidP="000C39D1">
            <w:pPr>
              <w:pStyle w:val="libFootnote0"/>
              <w:rPr>
                <w:rtl/>
              </w:rPr>
            </w:pPr>
            <w:r>
              <w:rPr>
                <w:rtl/>
              </w:rPr>
              <w:t>(2).</w:t>
            </w:r>
            <w:r w:rsidRPr="00132E65">
              <w:rPr>
                <w:rtl/>
              </w:rPr>
              <w:t xml:space="preserve"> في « بس » :</w:t>
            </w:r>
            <w:r>
              <w:rPr>
                <w:rtl/>
              </w:rPr>
              <w:t xml:space="preserve"> + </w:t>
            </w:r>
            <w:r w:rsidRPr="00132E65">
              <w:rPr>
                <w:rtl/>
              </w:rPr>
              <w:t>« منهم »</w:t>
            </w:r>
            <w:r>
              <w:rPr>
                <w:rtl/>
              </w:rPr>
              <w:t>.</w:t>
            </w:r>
          </w:p>
        </w:tc>
        <w:tc>
          <w:tcPr>
            <w:tcW w:w="4006" w:type="dxa"/>
          </w:tcPr>
          <w:p w:rsidR="00A44EE9" w:rsidRDefault="00A44EE9" w:rsidP="000C39D1">
            <w:pPr>
              <w:pStyle w:val="libFootnote0"/>
              <w:rPr>
                <w:rtl/>
              </w:rPr>
            </w:pPr>
            <w:r>
              <w:rPr>
                <w:rtl/>
              </w:rPr>
              <w:t>(3). في«ب»:«كأنّهم</w:t>
            </w:r>
            <w:r w:rsidRPr="00132E65">
              <w:rPr>
                <w:rtl/>
              </w:rPr>
              <w:t>»</w:t>
            </w:r>
            <w:r>
              <w:rPr>
                <w:rtl/>
              </w:rPr>
              <w:t>.وفي«ض،بر،بس،بف»:«كان</w:t>
            </w:r>
            <w:r w:rsidRPr="00132E65">
              <w:rPr>
                <w:rtl/>
              </w:rPr>
              <w:t>»</w:t>
            </w:r>
            <w:r>
              <w:rPr>
                <w:rtl/>
              </w:rPr>
              <w:t>.</w:t>
            </w:r>
          </w:p>
        </w:tc>
      </w:tr>
      <w:tr w:rsidR="00A44EE9" w:rsidTr="00A44EE9">
        <w:tc>
          <w:tcPr>
            <w:tcW w:w="4006" w:type="dxa"/>
          </w:tcPr>
          <w:p w:rsidR="00A44EE9" w:rsidRDefault="00A44EE9" w:rsidP="000C39D1">
            <w:pPr>
              <w:pStyle w:val="libFootnote0"/>
              <w:rPr>
                <w:rtl/>
              </w:rPr>
            </w:pPr>
            <w:r>
              <w:rPr>
                <w:rtl/>
              </w:rPr>
              <w:t>(4).</w:t>
            </w:r>
            <w:r w:rsidRPr="00132E65">
              <w:rPr>
                <w:rtl/>
              </w:rPr>
              <w:t xml:space="preserve"> في « بر » : « الصغير »</w:t>
            </w:r>
            <w:r>
              <w:rPr>
                <w:rtl/>
              </w:rPr>
              <w:t>.</w:t>
            </w:r>
          </w:p>
        </w:tc>
        <w:tc>
          <w:tcPr>
            <w:tcW w:w="4006" w:type="dxa"/>
          </w:tcPr>
          <w:p w:rsidR="00A44EE9" w:rsidRDefault="00A44EE9" w:rsidP="000C39D1">
            <w:pPr>
              <w:pStyle w:val="libFootnote0"/>
              <w:rPr>
                <w:rtl/>
              </w:rPr>
            </w:pPr>
            <w:r>
              <w:rPr>
                <w:rtl/>
              </w:rPr>
              <w:t>(5).</w:t>
            </w:r>
            <w:r w:rsidRPr="00132E65">
              <w:rPr>
                <w:rtl/>
              </w:rPr>
              <w:t xml:space="preserve"> في « بس » : « أنهكتهم »</w:t>
            </w:r>
            <w:r>
              <w:rPr>
                <w:rtl/>
              </w:rPr>
              <w:t>.</w:t>
            </w:r>
          </w:p>
        </w:tc>
      </w:tr>
    </w:tbl>
    <w:p w:rsidR="000C39D1" w:rsidRPr="00132E65" w:rsidRDefault="000C39D1" w:rsidP="00A44EE9">
      <w:pPr>
        <w:pStyle w:val="libFootnote0"/>
        <w:rPr>
          <w:rtl/>
          <w:lang w:bidi="fa-IR"/>
        </w:rPr>
      </w:pPr>
      <w:r>
        <w:rPr>
          <w:rtl/>
        </w:rPr>
        <w:t>(6).</w:t>
      </w:r>
      <w:r w:rsidRPr="00132E65">
        <w:rPr>
          <w:rtl/>
        </w:rPr>
        <w:t xml:space="preserve"> في « ف » : « فيسألوننا »</w:t>
      </w:r>
      <w:r>
        <w:rPr>
          <w:rtl/>
        </w:rPr>
        <w:t>.</w:t>
      </w:r>
      <w:r w:rsidRPr="00132E65">
        <w:rPr>
          <w:rtl/>
        </w:rPr>
        <w:t xml:space="preserve"> قال في النحو </w:t>
      </w:r>
      <w:r w:rsidRPr="009D1ACE">
        <w:rPr>
          <w:rStyle w:val="libFootnoteBoldChar"/>
          <w:rtl/>
        </w:rPr>
        <w:t>الوافي</w:t>
      </w:r>
      <w:r w:rsidRPr="00132E65">
        <w:rPr>
          <w:rtl/>
        </w:rPr>
        <w:t xml:space="preserve"> ، ج 1 ، ص 163 : « هناك لغة تحذف نون الرفع ( أي نون الأفعال‌</w:t>
      </w:r>
      <w:r w:rsidR="00936037">
        <w:rPr>
          <w:rFonts w:hint="cs"/>
          <w:rtl/>
        </w:rPr>
        <w:t xml:space="preserve"> </w:t>
      </w:r>
      <w:r w:rsidRPr="00132E65">
        <w:rPr>
          <w:rtl/>
        </w:rPr>
        <w:t>الخمسة ) في غير ما سبق » ومراده من غير ما سبق ، أي من غير جازم وناصب ، فلا نحتاج إلى إثبات النون ولا تشديد النون الموجودة.</w:t>
      </w:r>
      <w:r w:rsidR="00A44EE9">
        <w:rPr>
          <w:rFonts w:hint="cs"/>
          <w:rtl/>
        </w:rPr>
        <w:t xml:space="preserve">                         </w:t>
      </w:r>
      <w:r w:rsidR="00936037">
        <w:rPr>
          <w:rFonts w:hint="cs"/>
          <w:rtl/>
        </w:rPr>
        <w:t xml:space="preserve">                </w:t>
      </w:r>
      <w:r w:rsidR="00A44EE9">
        <w:rPr>
          <w:rFonts w:hint="cs"/>
          <w:rtl/>
        </w:rPr>
        <w:t xml:space="preserve">   </w:t>
      </w:r>
      <w:r>
        <w:rPr>
          <w:rtl/>
        </w:rPr>
        <w:t>(7).</w:t>
      </w:r>
      <w:r w:rsidRPr="00132E65">
        <w:rPr>
          <w:rtl/>
        </w:rPr>
        <w:t xml:space="preserve"> في « بح » : « وحرامهم وحلالهم »</w:t>
      </w:r>
      <w:r>
        <w:rPr>
          <w:rtl/>
        </w:rPr>
        <w:t>.</w:t>
      </w:r>
    </w:p>
    <w:p w:rsidR="000C39D1" w:rsidRPr="00132E65" w:rsidRDefault="000C39D1" w:rsidP="00A44EE9">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97 ، ح 5 </w:t>
      </w:r>
      <w:r>
        <w:rPr>
          <w:rtl/>
        </w:rPr>
        <w:t>و 6</w:t>
      </w:r>
      <w:r w:rsidRPr="00132E65">
        <w:rPr>
          <w:rtl/>
        </w:rPr>
        <w:t xml:space="preserve"> ، بسندَين آخرَين ، عن سعد الإسكاف ، مع اختلاف</w:t>
      </w:r>
      <w:r w:rsidR="00A44EE9">
        <w:rPr>
          <w:rFonts w:hint="cs"/>
          <w:rtl/>
        </w:rPr>
        <w:t>.</w:t>
      </w:r>
      <w:r w:rsidRPr="009D1ACE">
        <w:rPr>
          <w:rStyle w:val="libFootnoteBoldChar"/>
          <w:rtl/>
        </w:rPr>
        <w:t>الوافي</w:t>
      </w:r>
      <w:r w:rsidRPr="00132E65">
        <w:rPr>
          <w:rtl/>
        </w:rPr>
        <w:t xml:space="preserve"> ، ج 3 ، ص 637 ، ح 1227.</w:t>
      </w:r>
    </w:p>
    <w:p w:rsidR="000C39D1" w:rsidRPr="00132E65" w:rsidRDefault="000C39D1" w:rsidP="000C39D1">
      <w:pPr>
        <w:pStyle w:val="libFootnote0"/>
        <w:rPr>
          <w:rtl/>
          <w:lang w:bidi="fa-IR"/>
        </w:rPr>
      </w:pPr>
      <w:r>
        <w:rPr>
          <w:rtl/>
        </w:rPr>
        <w:t>(9).</w:t>
      </w:r>
      <w:r w:rsidRPr="00132E65">
        <w:rPr>
          <w:rtl/>
        </w:rPr>
        <w:t xml:space="preserve"> في « ألف » : « بن جبلي »</w:t>
      </w:r>
      <w:r>
        <w:rPr>
          <w:rtl/>
        </w:rPr>
        <w:t>.</w:t>
      </w:r>
      <w:r w:rsidRPr="00132E65">
        <w:rPr>
          <w:rtl/>
        </w:rPr>
        <w:t xml:space="preserve"> وفي « ف » : « ابن جبلة »</w:t>
      </w:r>
      <w:r>
        <w:rPr>
          <w:rtl/>
        </w:rPr>
        <w:t>.</w:t>
      </w:r>
      <w:r w:rsidRPr="00132E65">
        <w:rPr>
          <w:rtl/>
        </w:rPr>
        <w:t xml:space="preserve"> وفي « بف » : « ابن حبل »</w:t>
      </w:r>
      <w:r>
        <w:rPr>
          <w:rtl/>
        </w:rPr>
        <w:t>.</w:t>
      </w:r>
      <w:r w:rsidRPr="00132E65">
        <w:rPr>
          <w:rtl/>
        </w:rPr>
        <w:t xml:space="preserve"> وفي حاشية « ج ، بح ، بس ، بف » والبحار ، ج 47 : « رجل »</w:t>
      </w:r>
      <w:r>
        <w:rPr>
          <w:rtl/>
        </w:rPr>
        <w:t>.</w:t>
      </w:r>
    </w:p>
    <w:p w:rsidR="000C39D1" w:rsidRPr="00132E65" w:rsidRDefault="000C39D1" w:rsidP="000C39D1">
      <w:pPr>
        <w:pStyle w:val="libFootnote0"/>
        <w:rPr>
          <w:rtl/>
          <w:lang w:bidi="fa-IR"/>
        </w:rPr>
      </w:pPr>
      <w:r>
        <w:rPr>
          <w:rtl/>
        </w:rPr>
        <w:t>(10).</w:t>
      </w:r>
      <w:r w:rsidRPr="00132E65">
        <w:rPr>
          <w:rtl/>
        </w:rPr>
        <w:t xml:space="preserve"> « الزُطّ » : هم جنس من السودان والهنود. راجع : </w:t>
      </w:r>
      <w:r w:rsidRPr="009D1ACE">
        <w:rPr>
          <w:rStyle w:val="libFootnoteBoldChar"/>
          <w:rtl/>
        </w:rPr>
        <w:t>لسان العرب</w:t>
      </w:r>
      <w:r w:rsidRPr="00132E65">
        <w:rPr>
          <w:rtl/>
        </w:rPr>
        <w:t xml:space="preserve"> ، ج 7 ، ص 308 ( زطط )</w:t>
      </w:r>
      <w:r>
        <w:rPr>
          <w:rtl/>
        </w:rPr>
        <w:t>.</w:t>
      </w:r>
    </w:p>
    <w:p w:rsidR="000C39D1" w:rsidRPr="00132E65" w:rsidRDefault="000C39D1" w:rsidP="000C39D1">
      <w:pPr>
        <w:pStyle w:val="libFootnote0"/>
        <w:rPr>
          <w:rtl/>
          <w:lang w:bidi="fa-IR"/>
        </w:rPr>
      </w:pPr>
      <w:r>
        <w:rPr>
          <w:rtl/>
        </w:rPr>
        <w:t>(11).</w:t>
      </w:r>
      <w:r w:rsidRPr="00132E65">
        <w:rPr>
          <w:rtl/>
        </w:rPr>
        <w:t xml:space="preserve"> « ا</w:t>
      </w:r>
      <w:r w:rsidR="00A44EE9">
        <w:rPr>
          <w:rFonts w:hint="cs"/>
          <w:rtl/>
        </w:rPr>
        <w:t>ُ</w:t>
      </w:r>
      <w:r w:rsidRPr="00132E65">
        <w:rPr>
          <w:rtl/>
        </w:rPr>
        <w:t xml:space="preserve">زُر » : جمع الإزار ، وهو معروف. وقد يفسّر بالملحفة. يقال : أزر به الشي‌ء ، أي أحاط. راجع : </w:t>
      </w:r>
      <w:r w:rsidRPr="009D1ACE">
        <w:rPr>
          <w:rStyle w:val="libFootnoteBoldChar"/>
          <w:rtl/>
        </w:rPr>
        <w:t>لسان العرب</w:t>
      </w:r>
      <w:r w:rsidRPr="00132E65">
        <w:rPr>
          <w:rtl/>
        </w:rPr>
        <w:t xml:space="preserve"> ، ج 4 ، ص 16 ( أزر )</w:t>
      </w:r>
      <w:r>
        <w:rPr>
          <w:rtl/>
        </w:rPr>
        <w:t>.</w:t>
      </w:r>
    </w:p>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3 ، ص 638 ، ح 1229 ؛ </w:t>
      </w:r>
      <w:r w:rsidRPr="00FA6C7C">
        <w:rPr>
          <w:rtl/>
        </w:rPr>
        <w:t>البحار</w:t>
      </w:r>
      <w:r w:rsidRPr="00132E65">
        <w:rPr>
          <w:rtl/>
        </w:rPr>
        <w:t xml:space="preserve"> ، ج 47 ، ص 158 ، ح 224 ؛ وج 63 ، ص 66 ، ح 5.</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فَضَّالٍ ، عَنْ بَعْضِ أَصْحَابِنَا ، عَنْ سَعْدٍ الْإِسْكَافِ ، قَالَ :</w:t>
      </w:r>
    </w:p>
    <w:p w:rsidR="000C39D1" w:rsidRPr="00132E65" w:rsidRDefault="000C39D1" w:rsidP="000C39D1">
      <w:pPr>
        <w:pStyle w:val="libNormal"/>
        <w:rPr>
          <w:rtl/>
          <w:lang w:bidi="fa-IR"/>
        </w:rPr>
      </w:pPr>
      <w:r w:rsidRPr="00132E65">
        <w:rPr>
          <w:rtl/>
          <w:lang w:bidi="fa-IR"/>
        </w:rPr>
        <w:t xml:space="preserve">أَتَيْتُ أَبَا جَعْفَرٍ </w:t>
      </w:r>
      <w:r w:rsidRPr="00071CF9">
        <w:rPr>
          <w:rStyle w:val="libAlaemChar"/>
          <w:rtl/>
        </w:rPr>
        <w:t>عليه‌السلام</w:t>
      </w:r>
      <w:r w:rsidRPr="00132E65">
        <w:rPr>
          <w:rtl/>
          <w:lang w:bidi="fa-IR"/>
        </w:rPr>
        <w:t xml:space="preserve"> أُرِيدُ الْإِذْنَ عَلَيْهِ ، فَإِذَا رِحَالُ إِبِلٍ </w:t>
      </w:r>
      <w:r>
        <w:rPr>
          <w:rStyle w:val="libFootnotenumChar"/>
          <w:rtl/>
        </w:rPr>
        <w:t>(1)</w:t>
      </w:r>
      <w:r w:rsidRPr="00132E65">
        <w:rPr>
          <w:rtl/>
          <w:lang w:bidi="fa-IR"/>
        </w:rPr>
        <w:t xml:space="preserve"> عَلَى الْبَابِ مَصْفُوفَةٌ </w:t>
      </w:r>
      <w:r>
        <w:rPr>
          <w:rStyle w:val="libFootnotenumChar"/>
          <w:rtl/>
        </w:rPr>
        <w:t>(2)</w:t>
      </w:r>
      <w:r w:rsidRPr="00132E65">
        <w:rPr>
          <w:rtl/>
          <w:lang w:bidi="fa-IR"/>
        </w:rPr>
        <w:t xml:space="preserve"> ، وإِذَا </w:t>
      </w:r>
      <w:r>
        <w:rPr>
          <w:rStyle w:val="libFootnotenumChar"/>
          <w:rtl/>
        </w:rPr>
        <w:t>(3)</w:t>
      </w:r>
      <w:r w:rsidRPr="00132E65">
        <w:rPr>
          <w:rtl/>
          <w:lang w:bidi="fa-IR"/>
        </w:rPr>
        <w:t xml:space="preserve"> الْأَصْوَاتُ قَدِ ارْتَفَعَتْ ، ثُمَّ خَرَجَ قَوْمٌ مُعْتَمِّينَ </w:t>
      </w:r>
      <w:r>
        <w:rPr>
          <w:rStyle w:val="libFootnotenumChar"/>
          <w:rtl/>
        </w:rPr>
        <w:t>(4)</w:t>
      </w:r>
      <w:r w:rsidRPr="00132E65">
        <w:rPr>
          <w:rtl/>
          <w:lang w:bidi="fa-IR"/>
        </w:rPr>
        <w:t xml:space="preserve"> بِالْعَمَائِمِ يُشْبِهُونَ الزُّطَّ ، قَالَ : فَدَخَلْتُ عَلى أَبِي جَعْفَرٍ </w:t>
      </w:r>
      <w:r w:rsidRPr="00071CF9">
        <w:rPr>
          <w:rStyle w:val="libAlaemChar"/>
          <w:rtl/>
        </w:rPr>
        <w:t>عليه‌السلام</w:t>
      </w:r>
      <w:r w:rsidRPr="00132E65">
        <w:rPr>
          <w:rtl/>
          <w:lang w:bidi="fa-IR"/>
        </w:rPr>
        <w:t xml:space="preserve"> ، فَقُلْتُ : جُعِلْتُ فِدَاكَ ، أَبْطَأَ إِذْنُكَ عَلَيَّ الْيَوْمَ ، ورَأَيْتُ قَوْماً </w:t>
      </w:r>
      <w:r>
        <w:rPr>
          <w:rStyle w:val="libFootnotenumChar"/>
          <w:rtl/>
        </w:rPr>
        <w:t>(5)</w:t>
      </w:r>
      <w:r w:rsidRPr="00132E65">
        <w:rPr>
          <w:rtl/>
          <w:lang w:bidi="fa-IR"/>
        </w:rPr>
        <w:t xml:space="preserve"> خَرَجُوا عَلَيَّ مُعْتَمِّينَ </w:t>
      </w:r>
      <w:r>
        <w:rPr>
          <w:rStyle w:val="libFootnotenumChar"/>
          <w:rtl/>
        </w:rPr>
        <w:t>(6)</w:t>
      </w:r>
      <w:r w:rsidRPr="00132E65">
        <w:rPr>
          <w:rtl/>
          <w:lang w:bidi="fa-IR"/>
        </w:rPr>
        <w:t xml:space="preserve"> بِالْعَمَائِمِ فَأَنْكَرْتُهُمْ</w:t>
      </w:r>
      <w:r>
        <w:rPr>
          <w:rtl/>
          <w:lang w:bidi="fa-IR"/>
        </w:rPr>
        <w:t>؟ فَقَالَ : « أَ</w:t>
      </w:r>
      <w:r w:rsidR="00A44EE9">
        <w:rPr>
          <w:rFonts w:hint="cs"/>
          <w:rtl/>
          <w:lang w:bidi="fa-IR"/>
        </w:rPr>
        <w:t xml:space="preserve"> </w:t>
      </w:r>
      <w:r w:rsidRPr="00132E65">
        <w:rPr>
          <w:rtl/>
          <w:lang w:bidi="fa-IR"/>
        </w:rPr>
        <w:t>و</w:t>
      </w:r>
      <w:r w:rsidR="00A44EE9">
        <w:rPr>
          <w:rFonts w:hint="cs"/>
          <w:rtl/>
          <w:lang w:bidi="fa-IR"/>
        </w:rPr>
        <w:t xml:space="preserve">َ </w:t>
      </w:r>
      <w:r w:rsidRPr="00132E65">
        <w:rPr>
          <w:rtl/>
          <w:lang w:bidi="fa-IR"/>
        </w:rPr>
        <w:t xml:space="preserve">تَدْرِي </w:t>
      </w:r>
      <w:r>
        <w:rPr>
          <w:rStyle w:val="libFootnotenumChar"/>
          <w:rtl/>
        </w:rPr>
        <w:t>(7)</w:t>
      </w:r>
      <w:r w:rsidRPr="00132E65">
        <w:rPr>
          <w:rtl/>
          <w:lang w:bidi="fa-IR"/>
        </w:rPr>
        <w:t xml:space="preserve"> مَنْ أُولئِكَ يَا سَعْدُ</w:t>
      </w:r>
      <w:r>
        <w:rPr>
          <w:rtl/>
          <w:lang w:bidi="fa-IR"/>
        </w:rPr>
        <w:t>؟</w:t>
      </w:r>
      <w:r w:rsidRPr="00132E65">
        <w:rPr>
          <w:rtl/>
          <w:lang w:bidi="fa-IR"/>
        </w:rPr>
        <w:t xml:space="preserve"> » قَالَ : قُلْتُ </w:t>
      </w:r>
      <w:r>
        <w:rPr>
          <w:rStyle w:val="libFootnotenumChar"/>
          <w:rtl/>
        </w:rPr>
        <w:t>(8)</w:t>
      </w:r>
      <w:r w:rsidRPr="00132E65">
        <w:rPr>
          <w:rtl/>
          <w:lang w:bidi="fa-IR"/>
        </w:rPr>
        <w:t xml:space="preserve"> :</w:t>
      </w:r>
      <w:r>
        <w:rPr>
          <w:rFonts w:hint="cs"/>
          <w:rtl/>
          <w:lang w:bidi="fa-IR"/>
        </w:rPr>
        <w:t xml:space="preserve"> </w:t>
      </w:r>
      <w:r w:rsidRPr="00132E65">
        <w:rPr>
          <w:rtl/>
          <w:lang w:bidi="fa-IR"/>
        </w:rPr>
        <w:t xml:space="preserve">لَا ، قَالَ </w:t>
      </w:r>
      <w:r>
        <w:rPr>
          <w:rStyle w:val="libFootnotenumChar"/>
          <w:rtl/>
        </w:rPr>
        <w:t>(9)</w:t>
      </w:r>
      <w:r w:rsidRPr="00132E65">
        <w:rPr>
          <w:rtl/>
          <w:lang w:bidi="fa-IR"/>
        </w:rPr>
        <w:t xml:space="preserve"> : فَقَالَ : « أُولئِكَ إِخْوَانُكُمْ مِنَ الْجِنِّ يَأْتُونَّا ، فَيَسْأَلُونَّا عَنْ حَلَالِهِمْ وحَرَامِهِمْ وَمَعَالِمِ دِينِهِمْ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FA6C7C">
        <w:rPr>
          <w:rtl/>
        </w:rPr>
        <w:t>1036</w:t>
      </w:r>
      <w:r w:rsidRPr="004325D8">
        <w:rPr>
          <w:rStyle w:val="libBold2Char"/>
          <w:rtl/>
        </w:rPr>
        <w:t xml:space="preserve"> / 4.</w:t>
      </w:r>
      <w:r w:rsidRPr="00132E65">
        <w:rPr>
          <w:rtl/>
          <w:lang w:bidi="fa-IR"/>
        </w:rPr>
        <w:t xml:space="preserve"> مُحَمَّدُ بْنُ يَحْيى ، عَنْ مُحَمَّدِ بْنِ الْحُسَيْنِ ، عَنْ إِبْرَاهِيمَ بْنِ أَبِي الْبِلَادِ ، عَنْ سَدِيرٍ الصَّيْرَفِيِّ ، قَالَ :</w:t>
      </w:r>
    </w:p>
    <w:p w:rsidR="000C39D1" w:rsidRPr="00132E65" w:rsidRDefault="000C39D1" w:rsidP="000C39D1">
      <w:pPr>
        <w:pStyle w:val="libNormal"/>
        <w:rPr>
          <w:rtl/>
          <w:lang w:bidi="fa-IR"/>
        </w:rPr>
      </w:pPr>
      <w:r w:rsidRPr="00132E65">
        <w:rPr>
          <w:rtl/>
          <w:lang w:bidi="fa-IR"/>
        </w:rPr>
        <w:t xml:space="preserve">أَوْصَانِي أَبُو جَعْفَرٍ </w:t>
      </w:r>
      <w:r w:rsidRPr="00071CF9">
        <w:rPr>
          <w:rStyle w:val="libAlaemChar"/>
          <w:rtl/>
        </w:rPr>
        <w:t>عليه‌السلام</w:t>
      </w:r>
      <w:r w:rsidRPr="00132E65">
        <w:rPr>
          <w:rtl/>
          <w:lang w:bidi="fa-IR"/>
        </w:rPr>
        <w:t xml:space="preserve"> بِحَوَائِجَ لَهُ بِالْمَدِينَةِ ، فَخَرَجْتُ ، فَبَيْنَا أَنَا بَيْنَ فَجِّ </w:t>
      </w:r>
      <w:r>
        <w:rPr>
          <w:rStyle w:val="libFootnotenumChar"/>
          <w:rtl/>
        </w:rPr>
        <w:t>(11)</w:t>
      </w:r>
      <w:r w:rsidRPr="00132E65">
        <w:rPr>
          <w:rtl/>
          <w:lang w:bidi="fa-IR"/>
        </w:rPr>
        <w:t xml:space="preserve"> الرَّوْحَاءِ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وحاشية « ف ، بح ، بس ، بف » وحاشية بدرالدين : « رحائل إبلٍ »</w:t>
      </w:r>
      <w:r>
        <w:rPr>
          <w:rtl/>
        </w:rPr>
        <w:t>.</w:t>
      </w:r>
      <w:r w:rsidRPr="00132E65">
        <w:rPr>
          <w:rtl/>
        </w:rPr>
        <w:t xml:space="preserve"> وفي </w:t>
      </w:r>
      <w:r w:rsidRPr="009D1ACE">
        <w:rPr>
          <w:rStyle w:val="libFootnoteBoldChar"/>
          <w:rtl/>
        </w:rPr>
        <w:t>مرآة العقول</w:t>
      </w:r>
      <w:r w:rsidRPr="00132E65">
        <w:rPr>
          <w:rtl/>
        </w:rPr>
        <w:t xml:space="preserve"> عن بعض‌النسخ : « رحائل إبل عليها رحالها ورحائلها »</w:t>
      </w:r>
      <w:r>
        <w:rPr>
          <w:rtl/>
        </w:rPr>
        <w:t>.</w:t>
      </w:r>
      <w:r w:rsidRPr="00132E65">
        <w:rPr>
          <w:rtl/>
        </w:rPr>
        <w:t xml:space="preserve"> وفي البصائر : « وإذا رواحل » بدل « فإذا رحال إبل »</w:t>
      </w:r>
      <w:r>
        <w:rPr>
          <w:rtl/>
        </w:rPr>
        <w:t>.</w:t>
      </w:r>
      <w:r w:rsidRPr="00132E65">
        <w:rPr>
          <w:rtl/>
        </w:rPr>
        <w:t xml:space="preserve"> وفي شرح المازندراني عن بعض النسخ : « رحائل إبل مصفوفة »</w:t>
      </w:r>
      <w:r>
        <w:rPr>
          <w:rtl/>
        </w:rPr>
        <w:t>.</w:t>
      </w:r>
      <w:r w:rsidRPr="00132E65">
        <w:rPr>
          <w:rtl/>
        </w:rPr>
        <w:t xml:space="preserve"> وقوله : « الرحال » : جمع الرَحْل ، والرحل للبعير كالسرج للدابّة. وكأنّه أراد برحال الإبل الإبل التي عليها رحالها. راجع : </w:t>
      </w:r>
      <w:r w:rsidRPr="00FA6C7C">
        <w:rPr>
          <w:rtl/>
        </w:rPr>
        <w:t>المغرب</w:t>
      </w:r>
      <w:r w:rsidRPr="00132E65">
        <w:rPr>
          <w:rtl/>
        </w:rPr>
        <w:t xml:space="preserve"> ، ص 186 ( رحل )</w:t>
      </w:r>
      <w:r>
        <w:rPr>
          <w:rtl/>
        </w:rPr>
        <w:t>.</w:t>
      </w:r>
    </w:p>
    <w:p w:rsidR="000C39D1" w:rsidRPr="00132E65" w:rsidRDefault="000C39D1" w:rsidP="000C39D1">
      <w:pPr>
        <w:pStyle w:val="libFootnote0"/>
        <w:rPr>
          <w:rtl/>
          <w:lang w:bidi="fa-IR"/>
        </w:rPr>
      </w:pPr>
      <w:r>
        <w:rPr>
          <w:rtl/>
        </w:rPr>
        <w:t>(2).</w:t>
      </w:r>
      <w:r w:rsidRPr="00132E65">
        <w:rPr>
          <w:rtl/>
        </w:rPr>
        <w:t xml:space="preserve"> ذهب المازندراني في شرحه : إلى أنّ « مصفوفة » صفة لإبل ، فهو مجرور. وذهب المجلسي في </w:t>
      </w:r>
      <w:r w:rsidRPr="009D1ACE">
        <w:rPr>
          <w:rStyle w:val="libFootnoteBoldChar"/>
          <w:rtl/>
        </w:rPr>
        <w:t>مرآة العقول</w:t>
      </w:r>
      <w:r w:rsidRPr="00132E65">
        <w:rPr>
          <w:rtl/>
        </w:rPr>
        <w:t xml:space="preserve"> إلى أنّه خبر ثان لرحال ، فهو مرفوع.</w:t>
      </w:r>
    </w:p>
    <w:p w:rsidR="000C39D1" w:rsidRPr="00132E65" w:rsidRDefault="000C39D1" w:rsidP="000C39D1">
      <w:pPr>
        <w:pStyle w:val="libFootnote0"/>
        <w:rPr>
          <w:rtl/>
          <w:lang w:bidi="fa-IR"/>
        </w:rPr>
      </w:pPr>
      <w:r>
        <w:rPr>
          <w:rtl/>
        </w:rPr>
        <w:t>(3).</w:t>
      </w:r>
      <w:r w:rsidRPr="00132E65">
        <w:rPr>
          <w:rtl/>
        </w:rPr>
        <w:t xml:space="preserve"> في « ب » : « وإذ »</w:t>
      </w:r>
      <w:r>
        <w:rPr>
          <w:rtl/>
        </w:rPr>
        <w:t>.</w:t>
      </w:r>
    </w:p>
    <w:p w:rsidR="000C39D1" w:rsidRPr="00132E65" w:rsidRDefault="000C39D1" w:rsidP="000C39D1">
      <w:pPr>
        <w:pStyle w:val="libFootnote0"/>
        <w:rPr>
          <w:rtl/>
          <w:lang w:bidi="fa-IR"/>
        </w:rPr>
      </w:pPr>
      <w:r>
        <w:rPr>
          <w:rtl/>
        </w:rPr>
        <w:t>(4).</w:t>
      </w:r>
      <w:r w:rsidRPr="00132E65">
        <w:rPr>
          <w:rtl/>
        </w:rPr>
        <w:t xml:space="preserve"> في حاشية « ف » : « متعمّمين »</w:t>
      </w:r>
      <w:r>
        <w:rPr>
          <w:rtl/>
        </w:rPr>
        <w:t>.</w:t>
      </w:r>
    </w:p>
    <w:p w:rsidR="000C39D1" w:rsidRPr="00132E65" w:rsidRDefault="000C39D1" w:rsidP="000C39D1">
      <w:pPr>
        <w:pStyle w:val="libFootnote0"/>
        <w:rPr>
          <w:rtl/>
          <w:lang w:bidi="fa-IR"/>
        </w:rPr>
      </w:pPr>
      <w:r>
        <w:rPr>
          <w:rtl/>
        </w:rPr>
        <w:t>(5).</w:t>
      </w:r>
      <w:r w:rsidRPr="00132E65">
        <w:rPr>
          <w:rtl/>
        </w:rPr>
        <w:t xml:space="preserve"> في « بح » </w:t>
      </w:r>
      <w:r>
        <w:rPr>
          <w:rtl/>
        </w:rPr>
        <w:t xml:space="preserve">: - </w:t>
      </w:r>
      <w:r w:rsidRPr="00132E65">
        <w:rPr>
          <w:rtl/>
        </w:rPr>
        <w:t>« معتمّين</w:t>
      </w:r>
      <w:r>
        <w:rPr>
          <w:rtl/>
        </w:rPr>
        <w:t xml:space="preserve"> - </w:t>
      </w:r>
      <w:r w:rsidRPr="00132E65">
        <w:rPr>
          <w:rtl/>
        </w:rPr>
        <w:t>إلى</w:t>
      </w:r>
      <w:r>
        <w:rPr>
          <w:rtl/>
        </w:rPr>
        <w:t xml:space="preserve"> - </w:t>
      </w:r>
      <w:r w:rsidRPr="00132E65">
        <w:rPr>
          <w:rtl/>
        </w:rPr>
        <w:t>قوماً »</w:t>
      </w:r>
      <w:r>
        <w:rPr>
          <w:rtl/>
        </w:rPr>
        <w:t>.</w:t>
      </w:r>
    </w:p>
    <w:p w:rsidR="000C39D1" w:rsidRPr="00132E65" w:rsidRDefault="000C39D1" w:rsidP="000C39D1">
      <w:pPr>
        <w:pStyle w:val="libFootnote0"/>
        <w:rPr>
          <w:rtl/>
          <w:lang w:bidi="fa-IR"/>
        </w:rPr>
      </w:pPr>
      <w:r>
        <w:rPr>
          <w:rtl/>
        </w:rPr>
        <w:t>(6).</w:t>
      </w:r>
      <w:r w:rsidRPr="00132E65">
        <w:rPr>
          <w:rtl/>
        </w:rPr>
        <w:t xml:space="preserve"> في « ج ، ف ، ب ، بس ، بف » : « معتمّمين »</w:t>
      </w:r>
      <w:r>
        <w:rPr>
          <w:rtl/>
        </w:rPr>
        <w:t>.</w:t>
      </w:r>
    </w:p>
    <w:p w:rsidR="000C39D1" w:rsidRPr="00132E65" w:rsidRDefault="000C39D1" w:rsidP="000C39D1">
      <w:pPr>
        <w:pStyle w:val="libFootnote0"/>
        <w:rPr>
          <w:rtl/>
          <w:lang w:bidi="fa-IR"/>
        </w:rPr>
      </w:pPr>
      <w:r>
        <w:rPr>
          <w:rtl/>
        </w:rPr>
        <w:t>(7).</w:t>
      </w:r>
      <w:r w:rsidRPr="00132E65">
        <w:rPr>
          <w:rtl/>
        </w:rPr>
        <w:t xml:space="preserve"> في « ج ، ض ، ف ، بح ، بر ، بف » و</w:t>
      </w:r>
      <w:r w:rsidRPr="009D1ACE">
        <w:rPr>
          <w:rStyle w:val="libFootnoteBoldChar"/>
          <w:rtl/>
        </w:rPr>
        <w:t>الوافي</w:t>
      </w:r>
      <w:r w:rsidRPr="00132E65">
        <w:rPr>
          <w:rtl/>
        </w:rPr>
        <w:t xml:space="preserve"> : « وتدري » بدون الهمزة.</w:t>
      </w:r>
    </w:p>
    <w:tbl>
      <w:tblPr>
        <w:tblStyle w:val="TableGrid"/>
        <w:bidiVisual/>
        <w:tblW w:w="0" w:type="auto"/>
        <w:tblLook w:val="04A0" w:firstRow="1" w:lastRow="0" w:firstColumn="1" w:lastColumn="0" w:noHBand="0" w:noVBand="1"/>
      </w:tblPr>
      <w:tblGrid>
        <w:gridCol w:w="4006"/>
        <w:gridCol w:w="4006"/>
      </w:tblGrid>
      <w:tr w:rsidR="00A44EE9" w:rsidTr="00A44EE9">
        <w:tc>
          <w:tcPr>
            <w:tcW w:w="4006" w:type="dxa"/>
          </w:tcPr>
          <w:p w:rsidR="00A44EE9" w:rsidRDefault="00A44EE9" w:rsidP="000C39D1">
            <w:pPr>
              <w:pStyle w:val="libFootnote0"/>
              <w:rPr>
                <w:rtl/>
              </w:rPr>
            </w:pPr>
            <w:r>
              <w:rPr>
                <w:rtl/>
              </w:rPr>
              <w:t>(8).</w:t>
            </w:r>
            <w:r w:rsidRPr="00132E65">
              <w:rPr>
                <w:rtl/>
              </w:rPr>
              <w:t xml:space="preserve"> في « بس » : « فقلت »</w:t>
            </w:r>
            <w:r>
              <w:rPr>
                <w:rtl/>
              </w:rPr>
              <w:t>.</w:t>
            </w:r>
          </w:p>
        </w:tc>
        <w:tc>
          <w:tcPr>
            <w:tcW w:w="4006" w:type="dxa"/>
          </w:tcPr>
          <w:p w:rsidR="00A44EE9" w:rsidRDefault="00A44EE9" w:rsidP="000C39D1">
            <w:pPr>
              <w:pStyle w:val="libFootnote0"/>
              <w:rPr>
                <w:rtl/>
              </w:rPr>
            </w:pPr>
            <w:r>
              <w:rPr>
                <w:rtl/>
              </w:rPr>
              <w:t>(9).</w:t>
            </w:r>
            <w:r w:rsidRPr="00132E65">
              <w:rPr>
                <w:rtl/>
              </w:rPr>
              <w:t xml:space="preserve"> في « ب » و</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tc>
      </w:tr>
    </w:tbl>
    <w:p w:rsidR="000C39D1" w:rsidRPr="00132E65" w:rsidRDefault="000C39D1" w:rsidP="004D3F39">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100 ، ح 10 ، عن الحسن بن عليّ</w:t>
      </w:r>
      <w:r w:rsidR="004D3F39">
        <w:rPr>
          <w:rFonts w:hint="cs"/>
          <w:rtl/>
        </w:rPr>
        <w:t>.</w:t>
      </w:r>
      <w:r w:rsidRPr="009D1ACE">
        <w:rPr>
          <w:rStyle w:val="libFootnoteBoldChar"/>
          <w:rtl/>
        </w:rPr>
        <w:t>الوافي</w:t>
      </w:r>
      <w:r w:rsidRPr="00132E65">
        <w:rPr>
          <w:rtl/>
        </w:rPr>
        <w:t xml:space="preserve"> ، ج 3 ، ص 638 ، ح 1228.</w:t>
      </w:r>
    </w:p>
    <w:p w:rsidR="000C39D1" w:rsidRPr="00132E65" w:rsidRDefault="000C39D1" w:rsidP="000C39D1">
      <w:pPr>
        <w:pStyle w:val="libFootnote0"/>
        <w:rPr>
          <w:rtl/>
          <w:lang w:bidi="fa-IR"/>
        </w:rPr>
      </w:pPr>
      <w:r>
        <w:rPr>
          <w:rtl/>
        </w:rPr>
        <w:t>(11).</w:t>
      </w:r>
      <w:r w:rsidRPr="00132E65">
        <w:rPr>
          <w:rtl/>
        </w:rPr>
        <w:t xml:space="preserve"> « الفَجُّ » : الطريق الواسع بين الجبلين ، والجمع : فِجاج. </w:t>
      </w:r>
      <w:r w:rsidRPr="00FA6C7C">
        <w:rPr>
          <w:rtl/>
        </w:rPr>
        <w:t>الصحاح</w:t>
      </w:r>
      <w:r w:rsidRPr="00132E65">
        <w:rPr>
          <w:rtl/>
        </w:rPr>
        <w:t xml:space="preserve"> ، ج 1 ، ص 332 ( فجج )</w:t>
      </w:r>
      <w:r>
        <w:rPr>
          <w:rtl/>
        </w:rPr>
        <w:t>.</w:t>
      </w:r>
    </w:p>
    <w:p w:rsidR="000C39D1" w:rsidRPr="00132E65" w:rsidRDefault="000C39D1" w:rsidP="000C39D1">
      <w:pPr>
        <w:pStyle w:val="libFootnote0"/>
        <w:rPr>
          <w:rtl/>
          <w:lang w:bidi="fa-IR"/>
        </w:rPr>
      </w:pPr>
      <w:r>
        <w:rPr>
          <w:rtl/>
        </w:rPr>
        <w:t>(12).</w:t>
      </w:r>
      <w:r w:rsidRPr="00132E65">
        <w:rPr>
          <w:rtl/>
        </w:rPr>
        <w:t xml:space="preserve"> « الرَوْحاءُ » : موضع بين الحرمين على ثلاثين أو أربعين ميلاً من المدينة. </w:t>
      </w:r>
      <w:r w:rsidRPr="00FA6C7C">
        <w:rPr>
          <w:rtl/>
        </w:rPr>
        <w:t>القاموس المحيط</w:t>
      </w:r>
      <w:r w:rsidRPr="00132E65">
        <w:rPr>
          <w:rtl/>
        </w:rPr>
        <w:t xml:space="preserve"> ، ج 1 ، </w:t>
      </w:r>
      <w:r w:rsidR="004D3F39">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عَلى رَاحِلَتِي </w:t>
      </w:r>
      <w:r>
        <w:rPr>
          <w:rStyle w:val="libFootnotenumChar"/>
          <w:rtl/>
        </w:rPr>
        <w:t>(1)</w:t>
      </w:r>
      <w:r w:rsidRPr="00132E65">
        <w:rPr>
          <w:rtl/>
          <w:lang w:bidi="fa-IR"/>
        </w:rPr>
        <w:t xml:space="preserve"> إِذَا إِنْسَانٌ يُلْوِي بِثَوْبِهِ </w:t>
      </w:r>
      <w:r>
        <w:rPr>
          <w:rStyle w:val="libFootnotenumChar"/>
          <w:rtl/>
        </w:rPr>
        <w:t>(2)</w:t>
      </w:r>
      <w:r w:rsidRPr="00132E65">
        <w:rPr>
          <w:rtl/>
          <w:lang w:bidi="fa-IR"/>
        </w:rPr>
        <w:t xml:space="preserve"> ، قَالَ </w:t>
      </w:r>
      <w:r>
        <w:rPr>
          <w:rStyle w:val="libFootnotenumChar"/>
          <w:rtl/>
        </w:rPr>
        <w:t>(3)</w:t>
      </w:r>
      <w:r w:rsidRPr="00132E65">
        <w:rPr>
          <w:rtl/>
          <w:lang w:bidi="fa-IR"/>
        </w:rPr>
        <w:t xml:space="preserve"> : فَمِلْتُ إِلَيْهِ ، وظَنَنْتُ أَنَّهُ عَطْشَانُ ، فَنَاوَلْتُهُ الْإِدَاوَةَ </w:t>
      </w:r>
      <w:r>
        <w:rPr>
          <w:rStyle w:val="libFootnotenumChar"/>
          <w:rtl/>
        </w:rPr>
        <w:t>(4)</w:t>
      </w:r>
      <w:r w:rsidRPr="00132E65">
        <w:rPr>
          <w:rtl/>
          <w:lang w:bidi="fa-IR"/>
        </w:rPr>
        <w:t xml:space="preserve"> ، فَقَالَ لِي </w:t>
      </w:r>
      <w:r>
        <w:rPr>
          <w:rStyle w:val="libFootnotenumChar"/>
          <w:rtl/>
        </w:rPr>
        <w:t>(5)</w:t>
      </w:r>
      <w:r w:rsidRPr="00132E65">
        <w:rPr>
          <w:rtl/>
          <w:lang w:bidi="fa-IR"/>
        </w:rPr>
        <w:t xml:space="preserve"> : لَاحَاجَةَ لِي بِهَا </w:t>
      </w:r>
      <w:r>
        <w:rPr>
          <w:rStyle w:val="libFootnotenumChar"/>
          <w:rtl/>
        </w:rPr>
        <w:t>(6)</w:t>
      </w:r>
      <w:r w:rsidRPr="00132E65">
        <w:rPr>
          <w:rtl/>
          <w:lang w:bidi="fa-IR"/>
        </w:rPr>
        <w:t xml:space="preserve"> ، ونَاوَلَنِي </w:t>
      </w:r>
      <w:r>
        <w:rPr>
          <w:rStyle w:val="libFootnotenumChar"/>
          <w:rtl/>
        </w:rPr>
        <w:t>(7)</w:t>
      </w:r>
      <w:r w:rsidRPr="00132E65">
        <w:rPr>
          <w:rtl/>
          <w:lang w:bidi="fa-IR"/>
        </w:rPr>
        <w:t xml:space="preserve"> كِتَاباً طِينُهُ رَطْبٌ ، قَالَ :</w:t>
      </w:r>
      <w:r>
        <w:rPr>
          <w:rFonts w:hint="cs"/>
          <w:rtl/>
          <w:lang w:bidi="fa-IR"/>
        </w:rPr>
        <w:t xml:space="preserve"> </w:t>
      </w:r>
      <w:r w:rsidRPr="00132E65">
        <w:rPr>
          <w:rtl/>
          <w:lang w:bidi="fa-IR"/>
        </w:rPr>
        <w:t xml:space="preserve">فَلَمَّا نَظَرْتُ إِلَى الْخَاتَمِ إِذَا خَاتَمُ أَبِي جَعْفَرٍ </w:t>
      </w:r>
      <w:r w:rsidRPr="00071CF9">
        <w:rPr>
          <w:rStyle w:val="libAlaemChar"/>
          <w:rtl/>
        </w:rPr>
        <w:t>عليه‌السلام</w:t>
      </w:r>
      <w:r w:rsidRPr="00132E65">
        <w:rPr>
          <w:rtl/>
          <w:lang w:bidi="fa-IR"/>
        </w:rPr>
        <w:t xml:space="preserve"> ، فَقُلْتُ : مَتى عَهْدُكَ بِصَاحِبِ </w:t>
      </w:r>
      <w:r>
        <w:rPr>
          <w:rStyle w:val="libFootnotenumChar"/>
          <w:rtl/>
        </w:rPr>
        <w:t>(8)</w:t>
      </w:r>
      <w:r w:rsidRPr="00132E65">
        <w:rPr>
          <w:rtl/>
          <w:lang w:bidi="fa-IR"/>
        </w:rPr>
        <w:t xml:space="preserve"> الْكِتَابِ</w:t>
      </w:r>
      <w:r>
        <w:rPr>
          <w:rtl/>
          <w:lang w:bidi="fa-IR"/>
        </w:rPr>
        <w:t>؟</w:t>
      </w:r>
      <w:r>
        <w:rPr>
          <w:rFonts w:hint="cs"/>
          <w:rtl/>
          <w:lang w:bidi="fa-IR"/>
        </w:rPr>
        <w:t xml:space="preserve"> </w:t>
      </w:r>
      <w:r w:rsidRPr="00132E65">
        <w:rPr>
          <w:rtl/>
          <w:lang w:bidi="fa-IR"/>
        </w:rPr>
        <w:t>قَالَ : السَّاعَةَ ، وإِذَا فِي الْكِتَابِ أَشْيَاءُ يَأْمُرُنِي بِهَا ، ثُمَّ الْتَفَتُّ ، فَإِذَا لَيْسَ عِنْدِي أَحَدٌ.</w:t>
      </w:r>
    </w:p>
    <w:p w:rsidR="000C39D1" w:rsidRPr="00132E65" w:rsidRDefault="000C39D1" w:rsidP="000C39D1">
      <w:pPr>
        <w:pStyle w:val="libNormal"/>
        <w:rPr>
          <w:rtl/>
          <w:lang w:bidi="fa-IR"/>
        </w:rPr>
      </w:pPr>
      <w:r w:rsidRPr="00132E65">
        <w:rPr>
          <w:rtl/>
          <w:lang w:bidi="fa-IR"/>
        </w:rPr>
        <w:t xml:space="preserve">قَالَ : ثُمَّ قَدِمَ أَبُو جَعْفَرٍ </w:t>
      </w:r>
      <w:r w:rsidRPr="00071CF9">
        <w:rPr>
          <w:rStyle w:val="libAlaemChar"/>
          <w:rtl/>
        </w:rPr>
        <w:t>عليه‌السلام</w:t>
      </w:r>
      <w:r w:rsidRPr="00132E65">
        <w:rPr>
          <w:rtl/>
          <w:lang w:bidi="fa-IR"/>
        </w:rPr>
        <w:t xml:space="preserve"> ، فَلَقِيتُهُ ، فَقُلْتُ : جُعِلْتُ فِدَاكَ ، رَجُلٌ أَتَانِي بِكِتَابِكَ </w:t>
      </w:r>
      <w:r>
        <w:rPr>
          <w:rStyle w:val="libFootnotenumChar"/>
          <w:rtl/>
        </w:rPr>
        <w:t>(9)</w:t>
      </w:r>
      <w:r w:rsidRPr="00132E65">
        <w:rPr>
          <w:rtl/>
          <w:lang w:bidi="fa-IR"/>
        </w:rPr>
        <w:t xml:space="preserve"> وَطِينُهُ رَطْبٌ</w:t>
      </w:r>
      <w:r>
        <w:rPr>
          <w:rtl/>
          <w:lang w:bidi="fa-IR"/>
        </w:rPr>
        <w:t>؟</w:t>
      </w:r>
    </w:p>
    <w:p w:rsidR="000C39D1" w:rsidRPr="00132E65" w:rsidRDefault="000C39D1" w:rsidP="000C39D1">
      <w:pPr>
        <w:pStyle w:val="libNormal"/>
        <w:rPr>
          <w:rtl/>
          <w:lang w:bidi="fa-IR"/>
        </w:rPr>
      </w:pPr>
      <w:r w:rsidRPr="00132E65">
        <w:rPr>
          <w:rtl/>
          <w:lang w:bidi="fa-IR"/>
        </w:rPr>
        <w:t>فَقَالَ : « يَا سَدِيرُ ، إِنَّ لَنَا خَدَماً مِنَ الْجِنِّ ، فَإِذَا أَرَدْنَا السُّرْعَةَ ، بَعَثْنَاهُمْ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733D70" w:rsidP="000C39D1">
      <w:pPr>
        <w:pStyle w:val="libNormal"/>
        <w:rPr>
          <w:rtl/>
          <w:lang w:bidi="fa-IR"/>
        </w:rPr>
      </w:pPr>
      <w:r>
        <w:rPr>
          <w:rFonts w:hint="cs"/>
          <w:rtl/>
          <w:lang w:bidi="fa-IR"/>
        </w:rPr>
        <w:t xml:space="preserve">* </w:t>
      </w:r>
      <w:r w:rsidR="000C39D1" w:rsidRPr="00132E65">
        <w:rPr>
          <w:rtl/>
          <w:lang w:bidi="fa-IR"/>
        </w:rPr>
        <w:t>و</w:t>
      </w:r>
      <w:r w:rsidR="00D622C9">
        <w:rPr>
          <w:rFonts w:hint="cs"/>
          <w:rtl/>
          <w:lang w:bidi="fa-IR"/>
        </w:rPr>
        <w:t>َ</w:t>
      </w:r>
      <w:r w:rsidR="000C39D1">
        <w:rPr>
          <w:rFonts w:hint="cs"/>
          <w:rtl/>
          <w:lang w:bidi="fa-IR"/>
        </w:rPr>
        <w:t xml:space="preserve"> </w:t>
      </w:r>
      <w:r w:rsidR="000C39D1">
        <w:rPr>
          <w:rStyle w:val="libFootnotenumChar"/>
          <w:rtl/>
        </w:rPr>
        <w:t>(11)</w:t>
      </w:r>
      <w:r w:rsidR="000C39D1" w:rsidRPr="00132E65">
        <w:rPr>
          <w:rtl/>
          <w:lang w:bidi="fa-IR"/>
        </w:rPr>
        <w:t xml:space="preserve"> فِي رِوَايَةٍ أُخْرى : قَالَ : « إِنَّ لَنَا أَتْبَاعاً مِنَ الْجِنِّ ، كَمَا أَنَّ لَنَا أَتْبَاعاً مِنَ الْإِنْسِ ، فَإِذَا أَرَدْنَا أَمْراً بَعَثْنَاهُمْ </w:t>
      </w:r>
      <w:r w:rsidR="000C39D1">
        <w:rPr>
          <w:rStyle w:val="libFootnotenumChar"/>
          <w:rtl/>
        </w:rPr>
        <w:t>(12)</w:t>
      </w:r>
      <w:r w:rsidR="000C39D1" w:rsidRPr="00132E65">
        <w:rPr>
          <w:rtl/>
          <w:lang w:bidi="fa-IR"/>
        </w:rPr>
        <w:t xml:space="preserve"> »</w:t>
      </w:r>
      <w:r w:rsidR="000C39D1">
        <w:rPr>
          <w:rtl/>
          <w:lang w:bidi="fa-IR"/>
        </w:rPr>
        <w:t>.</w:t>
      </w:r>
      <w:r w:rsidR="000C39D1" w:rsidRPr="00132E65">
        <w:rPr>
          <w:rtl/>
          <w:lang w:bidi="fa-IR"/>
        </w:rPr>
        <w:t xml:space="preserve"> </w:t>
      </w:r>
      <w:r w:rsidR="000C39D1" w:rsidRPr="00F543F1">
        <w:rPr>
          <w:rStyle w:val="libFootnotenumChar"/>
          <w:rtl/>
        </w:rPr>
        <w:t>(13)</w:t>
      </w:r>
      <w:r w:rsidR="000C39D1" w:rsidRPr="00132E65">
        <w:rPr>
          <w:rtl/>
          <w:lang w:bidi="fa-IR"/>
        </w:rPr>
        <w:t xml:space="preserve"> ‌</w:t>
      </w:r>
    </w:p>
    <w:p w:rsidR="000C39D1" w:rsidRPr="00132E65" w:rsidRDefault="000C39D1" w:rsidP="000C39D1">
      <w:pPr>
        <w:pStyle w:val="libNormal"/>
        <w:rPr>
          <w:rtl/>
          <w:lang w:bidi="fa-IR"/>
        </w:rPr>
      </w:pPr>
      <w:r w:rsidRPr="00FA6C7C">
        <w:rPr>
          <w:rtl/>
        </w:rPr>
        <w:t>1037</w:t>
      </w:r>
      <w:r w:rsidRPr="004325D8">
        <w:rPr>
          <w:rStyle w:val="libBold2Char"/>
          <w:rtl/>
        </w:rPr>
        <w:t xml:space="preserve"> / 5.</w:t>
      </w:r>
      <w:r w:rsidRPr="00132E65">
        <w:rPr>
          <w:rtl/>
          <w:lang w:bidi="fa-IR"/>
        </w:rPr>
        <w:t xml:space="preserve"> عَلِيُّ بْنُ مُحَمَّدٍ ومُحَمَّدُ بْنُ الْحَسَنِ ، عَنْ سَهْلِ بْنِ زِيَادٍ ، عَمَّنْ ذَكَرَهُ ، عَنْ‌</w:t>
      </w:r>
    </w:p>
    <w:p w:rsidR="000C39D1" w:rsidRPr="00132E65" w:rsidRDefault="000C39D1" w:rsidP="000C39D1">
      <w:pPr>
        <w:pStyle w:val="libLine"/>
        <w:rPr>
          <w:rtl/>
          <w:lang w:bidi="fa-IR"/>
        </w:rPr>
      </w:pPr>
      <w:r w:rsidRPr="00132E65">
        <w:rPr>
          <w:rtl/>
          <w:lang w:bidi="fa-IR"/>
        </w:rPr>
        <w:t>__________________</w:t>
      </w:r>
    </w:p>
    <w:p w:rsidR="000C39D1" w:rsidRPr="00132E65" w:rsidRDefault="00D622C9" w:rsidP="000C39D1">
      <w:pPr>
        <w:pStyle w:val="libFootnote0"/>
        <w:rPr>
          <w:rtl/>
          <w:lang w:bidi="fa-IR"/>
        </w:rPr>
      </w:pPr>
      <w:r>
        <w:rPr>
          <w:rFonts w:hint="cs"/>
          <w:rtl/>
        </w:rPr>
        <w:t xml:space="preserve">= </w:t>
      </w:r>
      <w:r w:rsidR="000C39D1" w:rsidRPr="00132E65">
        <w:rPr>
          <w:rtl/>
        </w:rPr>
        <w:t>ص 336 ( روح )</w:t>
      </w:r>
      <w:r w:rsidR="000C39D1">
        <w:rPr>
          <w:rtl/>
        </w:rPr>
        <w:t>.</w:t>
      </w:r>
    </w:p>
    <w:p w:rsidR="000C39D1" w:rsidRPr="00132E65" w:rsidRDefault="000C39D1" w:rsidP="000C39D1">
      <w:pPr>
        <w:pStyle w:val="libFootnote0"/>
        <w:rPr>
          <w:rtl/>
          <w:lang w:bidi="fa-IR"/>
        </w:rPr>
      </w:pPr>
      <w:r>
        <w:rPr>
          <w:rtl/>
        </w:rPr>
        <w:t>(1).</w:t>
      </w:r>
      <w:r w:rsidRPr="00132E65">
        <w:rPr>
          <w:rtl/>
        </w:rPr>
        <w:t xml:space="preserve"> في حاشية « ض » : « راحلتين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بح ، بر ، بس ، بف » وشرح المازندراني و</w:t>
      </w:r>
      <w:r w:rsidRPr="009D1ACE">
        <w:rPr>
          <w:rStyle w:val="libFootnoteBoldChar"/>
          <w:rtl/>
        </w:rPr>
        <w:t>الوافي</w:t>
      </w:r>
      <w:r w:rsidRPr="00132E65">
        <w:rPr>
          <w:rtl/>
        </w:rPr>
        <w:t xml:space="preserve"> والبصائر. وفي المطبوع : « ثوبه »</w:t>
      </w:r>
      <w:r>
        <w:rPr>
          <w:rtl/>
        </w:rPr>
        <w:t>.</w:t>
      </w:r>
      <w:r w:rsidRPr="00132E65">
        <w:rPr>
          <w:rtl/>
        </w:rPr>
        <w:t xml:space="preserve"> وقوله : « يلوي بثوبه » ، جاء في الشروح من لَوَى الْحَبْلَ ، أي فتله وثَناه ، ولَوَى برأسه ، أي أمال من جانب إلى جانب وحرّكه ، وألوى بثوبه ، إذا لمع وأشار. راجع : </w:t>
      </w:r>
      <w:r w:rsidRPr="009D1ACE">
        <w:rPr>
          <w:rStyle w:val="libFootnoteBoldChar"/>
          <w:rtl/>
        </w:rPr>
        <w:t>لسان العرب</w:t>
      </w:r>
      <w:r w:rsidRPr="00132E65">
        <w:rPr>
          <w:rtl/>
        </w:rPr>
        <w:t xml:space="preserve"> ، ج 15 ، ص 263</w:t>
      </w:r>
      <w:r>
        <w:rPr>
          <w:rtl/>
        </w:rPr>
        <w:t xml:space="preserve"> - </w:t>
      </w:r>
      <w:r w:rsidRPr="00132E65">
        <w:rPr>
          <w:rtl/>
        </w:rPr>
        <w:t>264 ( لوى )</w:t>
      </w:r>
      <w:r>
        <w:rPr>
          <w:rtl/>
        </w:rPr>
        <w:t>.</w:t>
      </w:r>
    </w:p>
    <w:p w:rsidR="000C39D1" w:rsidRPr="00132E65" w:rsidRDefault="000C39D1" w:rsidP="000C39D1">
      <w:pPr>
        <w:pStyle w:val="libFootnote0"/>
        <w:rPr>
          <w:rtl/>
          <w:lang w:bidi="fa-IR"/>
        </w:rPr>
      </w:pPr>
      <w:r>
        <w:rPr>
          <w:rtl/>
        </w:rPr>
        <w:t>(3).</w:t>
      </w:r>
      <w:r w:rsidRPr="00132E65">
        <w:rPr>
          <w:rtl/>
        </w:rPr>
        <w:t xml:space="preserve"> في « ب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 الإداوَةُ » : ال</w:t>
      </w:r>
      <w:r w:rsidR="005E0A2C">
        <w:rPr>
          <w:rFonts w:hint="cs"/>
          <w:rtl/>
        </w:rPr>
        <w:t>ـ</w:t>
      </w:r>
      <w:r w:rsidRPr="00132E65">
        <w:rPr>
          <w:rtl/>
        </w:rPr>
        <w:t xml:space="preserve">مِطْهَرَةُ ، وهي إناء صغير من جلد يتّخذ للماء كالسَطيحة ونحوها. راجع : </w:t>
      </w:r>
      <w:r w:rsidRPr="00FA6C7C">
        <w:rPr>
          <w:rtl/>
        </w:rPr>
        <w:t>النهاية</w:t>
      </w:r>
      <w:r w:rsidRPr="00132E65">
        <w:rPr>
          <w:rtl/>
        </w:rPr>
        <w:t xml:space="preserve"> ، ج 1 ، ص 33 ( أدا )</w:t>
      </w:r>
      <w:r>
        <w:rPr>
          <w:rtl/>
        </w:rPr>
        <w:t>.</w:t>
      </w:r>
    </w:p>
    <w:tbl>
      <w:tblPr>
        <w:tblStyle w:val="TableGrid"/>
        <w:bidiVisual/>
        <w:tblW w:w="0" w:type="auto"/>
        <w:tblLook w:val="04A0" w:firstRow="1" w:lastRow="0" w:firstColumn="1" w:lastColumn="0" w:noHBand="0" w:noVBand="1"/>
      </w:tblPr>
      <w:tblGrid>
        <w:gridCol w:w="4006"/>
        <w:gridCol w:w="4006"/>
      </w:tblGrid>
      <w:tr w:rsidR="005E0A2C" w:rsidTr="005E0A2C">
        <w:tc>
          <w:tcPr>
            <w:tcW w:w="4006" w:type="dxa"/>
          </w:tcPr>
          <w:p w:rsidR="005E0A2C" w:rsidRDefault="005E0A2C" w:rsidP="000C39D1">
            <w:pPr>
              <w:pStyle w:val="libFootnote0"/>
              <w:rPr>
                <w:rtl/>
              </w:rPr>
            </w:pPr>
            <w:r>
              <w:rPr>
                <w:rtl/>
              </w:rPr>
              <w:t>(5).</w:t>
            </w:r>
            <w:r w:rsidRPr="00132E65">
              <w:rPr>
                <w:rtl/>
              </w:rPr>
              <w:t xml:space="preserve"> في « ب » والبصائر </w:t>
            </w:r>
            <w:r>
              <w:rPr>
                <w:rtl/>
              </w:rPr>
              <w:t xml:space="preserve">: - </w:t>
            </w:r>
            <w:r w:rsidRPr="00132E65">
              <w:rPr>
                <w:rtl/>
              </w:rPr>
              <w:t>« لي »</w:t>
            </w:r>
            <w:r>
              <w:rPr>
                <w:rtl/>
              </w:rPr>
              <w:t>.</w:t>
            </w:r>
          </w:p>
        </w:tc>
        <w:tc>
          <w:tcPr>
            <w:tcW w:w="4006" w:type="dxa"/>
          </w:tcPr>
          <w:p w:rsidR="005E0A2C" w:rsidRDefault="005E0A2C" w:rsidP="000C39D1">
            <w:pPr>
              <w:pStyle w:val="libFootnote0"/>
              <w:rPr>
                <w:rtl/>
              </w:rPr>
            </w:pPr>
            <w:r>
              <w:rPr>
                <w:rtl/>
              </w:rPr>
              <w:t>(6).</w:t>
            </w:r>
            <w:r w:rsidRPr="00132E65">
              <w:rPr>
                <w:rtl/>
              </w:rPr>
              <w:t xml:space="preserve"> في « ب » وحاشية « ض » : « فيها »</w:t>
            </w:r>
            <w:r>
              <w:rPr>
                <w:rtl/>
              </w:rPr>
              <w:t>.</w:t>
            </w:r>
          </w:p>
        </w:tc>
      </w:tr>
    </w:tbl>
    <w:p w:rsidR="000C39D1" w:rsidRPr="00132E65" w:rsidRDefault="000C39D1" w:rsidP="000C39D1">
      <w:pPr>
        <w:pStyle w:val="libFootnote0"/>
        <w:rPr>
          <w:rtl/>
          <w:lang w:bidi="fa-IR"/>
        </w:rPr>
      </w:pPr>
      <w:r>
        <w:rPr>
          <w:rtl/>
        </w:rPr>
        <w:t>(7).</w:t>
      </w:r>
      <w:r w:rsidRPr="00132E65">
        <w:rPr>
          <w:rtl/>
        </w:rPr>
        <w:t xml:space="preserve"> في « بف » : « فناولني »</w:t>
      </w:r>
      <w:r>
        <w:rPr>
          <w:rtl/>
        </w:rPr>
        <w:t>.</w:t>
      </w:r>
      <w:r w:rsidRPr="00132E65">
        <w:rPr>
          <w:rtl/>
        </w:rPr>
        <w:t xml:space="preserve"> وفي البصائر : « ثمّ ناولني »</w:t>
      </w:r>
      <w:r>
        <w:rPr>
          <w:rtl/>
        </w:rPr>
        <w:t>.</w:t>
      </w:r>
    </w:p>
    <w:tbl>
      <w:tblPr>
        <w:tblStyle w:val="TableGrid"/>
        <w:bidiVisual/>
        <w:tblW w:w="0" w:type="auto"/>
        <w:tblLook w:val="04A0" w:firstRow="1" w:lastRow="0" w:firstColumn="1" w:lastColumn="0" w:noHBand="0" w:noVBand="1"/>
      </w:tblPr>
      <w:tblGrid>
        <w:gridCol w:w="4006"/>
        <w:gridCol w:w="4006"/>
      </w:tblGrid>
      <w:tr w:rsidR="005E0A2C" w:rsidTr="005E0A2C">
        <w:tc>
          <w:tcPr>
            <w:tcW w:w="4006" w:type="dxa"/>
          </w:tcPr>
          <w:p w:rsidR="005E0A2C" w:rsidRDefault="005E0A2C" w:rsidP="000C39D1">
            <w:pPr>
              <w:pStyle w:val="libFootnote0"/>
              <w:rPr>
                <w:rtl/>
                <w:lang w:bidi="fa-IR"/>
              </w:rPr>
            </w:pPr>
            <w:r>
              <w:rPr>
                <w:rtl/>
              </w:rPr>
              <w:t>(8).</w:t>
            </w:r>
            <w:r w:rsidRPr="00132E65">
              <w:rPr>
                <w:rtl/>
              </w:rPr>
              <w:t xml:space="preserve"> في « ج ، بف » :</w:t>
            </w:r>
            <w:r>
              <w:rPr>
                <w:rtl/>
              </w:rPr>
              <w:t xml:space="preserve"> + </w:t>
            </w:r>
            <w:r w:rsidRPr="00132E65">
              <w:rPr>
                <w:rtl/>
              </w:rPr>
              <w:t>« هذا »</w:t>
            </w:r>
            <w:r>
              <w:rPr>
                <w:rtl/>
              </w:rPr>
              <w:t>.</w:t>
            </w:r>
          </w:p>
        </w:tc>
        <w:tc>
          <w:tcPr>
            <w:tcW w:w="4006" w:type="dxa"/>
          </w:tcPr>
          <w:p w:rsidR="005E0A2C" w:rsidRDefault="005E0A2C" w:rsidP="000C39D1">
            <w:pPr>
              <w:pStyle w:val="libFootnote0"/>
              <w:rPr>
                <w:rtl/>
                <w:lang w:bidi="fa-IR"/>
              </w:rPr>
            </w:pPr>
            <w:r>
              <w:rPr>
                <w:rtl/>
              </w:rPr>
              <w:t>(9).في«بح،بر،بف»وحاشية</w:t>
            </w:r>
            <w:r w:rsidRPr="00132E65">
              <w:rPr>
                <w:rtl/>
              </w:rPr>
              <w:t>«</w:t>
            </w:r>
            <w:r>
              <w:rPr>
                <w:rtl/>
              </w:rPr>
              <w:t>ج»والبصائر:</w:t>
            </w:r>
            <w:r w:rsidRPr="00132E65">
              <w:rPr>
                <w:rtl/>
              </w:rPr>
              <w:t>« بكتاب »</w:t>
            </w:r>
            <w:r>
              <w:rPr>
                <w:rtl/>
              </w:rPr>
              <w:t>.</w:t>
            </w:r>
          </w:p>
        </w:tc>
      </w:tr>
    </w:tbl>
    <w:p w:rsidR="000C39D1" w:rsidRPr="00132E65" w:rsidRDefault="000C39D1" w:rsidP="005E0A2C">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96 ، ح 2 ، عن محمّد بن الحسين</w:t>
      </w:r>
      <w:r w:rsidR="005E0A2C">
        <w:rPr>
          <w:rFonts w:hint="cs"/>
          <w:rtl/>
        </w:rPr>
        <w:t>.</w:t>
      </w:r>
      <w:r w:rsidRPr="009D1ACE">
        <w:rPr>
          <w:rStyle w:val="libFootnoteBoldChar"/>
          <w:rtl/>
        </w:rPr>
        <w:t>الوافي</w:t>
      </w:r>
      <w:r w:rsidRPr="00132E65">
        <w:rPr>
          <w:rtl/>
        </w:rPr>
        <w:t xml:space="preserve"> ، ج 3 ، ص 639 ، ح 1230.</w:t>
      </w:r>
    </w:p>
    <w:tbl>
      <w:tblPr>
        <w:tblStyle w:val="TableGrid"/>
        <w:bidiVisual/>
        <w:tblW w:w="0" w:type="auto"/>
        <w:tblLook w:val="04A0" w:firstRow="1" w:lastRow="0" w:firstColumn="1" w:lastColumn="0" w:noHBand="0" w:noVBand="1"/>
      </w:tblPr>
      <w:tblGrid>
        <w:gridCol w:w="4006"/>
        <w:gridCol w:w="4006"/>
      </w:tblGrid>
      <w:tr w:rsidR="005E0A2C" w:rsidTr="005E0A2C">
        <w:tc>
          <w:tcPr>
            <w:tcW w:w="4006" w:type="dxa"/>
          </w:tcPr>
          <w:p w:rsidR="005E0A2C" w:rsidRDefault="005E0A2C" w:rsidP="000C39D1">
            <w:pPr>
              <w:pStyle w:val="libFootnote0"/>
              <w:rPr>
                <w:rtl/>
              </w:rPr>
            </w:pPr>
            <w:r>
              <w:rPr>
                <w:rtl/>
              </w:rPr>
              <w:t>(11).</w:t>
            </w:r>
            <w:r w:rsidRPr="00132E65">
              <w:rPr>
                <w:rtl/>
              </w:rPr>
              <w:t xml:space="preserve"> في « ب » </w:t>
            </w:r>
            <w:r>
              <w:rPr>
                <w:rtl/>
              </w:rPr>
              <w:t xml:space="preserve">: - </w:t>
            </w:r>
            <w:r w:rsidRPr="00132E65">
              <w:rPr>
                <w:rtl/>
              </w:rPr>
              <w:t xml:space="preserve">« </w:t>
            </w:r>
            <w:r>
              <w:rPr>
                <w:rtl/>
              </w:rPr>
              <w:t>و ».</w:t>
            </w:r>
          </w:p>
        </w:tc>
        <w:tc>
          <w:tcPr>
            <w:tcW w:w="4006" w:type="dxa"/>
          </w:tcPr>
          <w:p w:rsidR="005E0A2C" w:rsidRDefault="005E0A2C" w:rsidP="000C39D1">
            <w:pPr>
              <w:pStyle w:val="libFootnote0"/>
              <w:rPr>
                <w:rtl/>
              </w:rPr>
            </w:pPr>
            <w:r>
              <w:rPr>
                <w:rtl/>
              </w:rPr>
              <w:t>(12).</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به »</w:t>
            </w:r>
            <w:r>
              <w:rPr>
                <w:rtl/>
              </w:rPr>
              <w:t>.</w:t>
            </w:r>
          </w:p>
        </w:tc>
      </w:tr>
    </w:tbl>
    <w:p w:rsidR="000C39D1" w:rsidRPr="00132E65" w:rsidRDefault="000C39D1" w:rsidP="00736F0E">
      <w:pPr>
        <w:pStyle w:val="libFootnote0"/>
        <w:rPr>
          <w:rtl/>
          <w:lang w:bidi="fa-IR"/>
        </w:rPr>
      </w:pPr>
      <w:r>
        <w:rPr>
          <w:rtl/>
        </w:rPr>
        <w:t>(13)</w:t>
      </w:r>
      <w:r w:rsidRPr="00132E65">
        <w:rPr>
          <w:rtl/>
        </w:rPr>
        <w:t xml:space="preserve"> </w:t>
      </w:r>
      <w:r w:rsidRPr="007A1104">
        <w:rPr>
          <w:rStyle w:val="libFootnoteBoldChar"/>
          <w:rtl/>
        </w:rPr>
        <w:t>بصائر الدرجات</w:t>
      </w:r>
      <w:r w:rsidRPr="00132E65">
        <w:rPr>
          <w:rtl/>
        </w:rPr>
        <w:t xml:space="preserve"> ، ص 102 ، ح 14 ، عن محمّد بن عيسى ، عن أبي عبد الله المؤمن ، عن أبي حنيفة سائق الحاجّ ، عن بعض أصحابنا ، عن أبي عبد الله </w:t>
      </w:r>
      <w:r w:rsidRPr="00736F0E">
        <w:rPr>
          <w:rStyle w:val="libFootnoteAlaemChar"/>
          <w:rtl/>
        </w:rPr>
        <w:t>عليه‌السلام</w:t>
      </w:r>
      <w:r w:rsidR="00736F0E">
        <w:rPr>
          <w:rFonts w:hint="cs"/>
          <w:rtl/>
        </w:rPr>
        <w:t>.</w:t>
      </w:r>
      <w:r w:rsidRPr="009D1ACE">
        <w:rPr>
          <w:rStyle w:val="libFootnoteBoldChar"/>
          <w:rtl/>
        </w:rPr>
        <w:t>الوافي</w:t>
      </w:r>
      <w:r w:rsidRPr="00132E65">
        <w:rPr>
          <w:rtl/>
        </w:rPr>
        <w:t xml:space="preserve"> ، ج 3 ، ص 639 ، ح 1231.</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مُحَمَّدِ بْنِ جَحْرَشٍ </w:t>
      </w:r>
      <w:r>
        <w:rPr>
          <w:rStyle w:val="libFootnotenumChar"/>
          <w:rtl/>
        </w:rPr>
        <w:t>(1)</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حَدَّثَتْنِي </w:t>
      </w:r>
      <w:r>
        <w:rPr>
          <w:rStyle w:val="libFootnotenumChar"/>
          <w:rtl/>
        </w:rPr>
        <w:t>(2)</w:t>
      </w:r>
      <w:r w:rsidRPr="00132E65">
        <w:rPr>
          <w:rtl/>
          <w:lang w:bidi="fa-IR"/>
        </w:rPr>
        <w:t xml:space="preserve"> حَكِيمَةُ بِنْتُ مُوسى ، قَالَتْ : رَأَيْتُ الرِّضَا </w:t>
      </w:r>
      <w:r w:rsidRPr="00071CF9">
        <w:rPr>
          <w:rStyle w:val="libAlaemChar"/>
          <w:rtl/>
        </w:rPr>
        <w:t>عليه‌السلام</w:t>
      </w:r>
      <w:r w:rsidRPr="00132E65">
        <w:rPr>
          <w:rtl/>
          <w:lang w:bidi="fa-IR"/>
        </w:rPr>
        <w:t xml:space="preserve"> واقِفاً عَلى بَابِ بَيْتِ الْحَطَبِ وَهُوَ يُنَاجِي ولَسْتُ أَرى أَحَداً ، فَقُلْتُ : يَا </w:t>
      </w:r>
      <w:r>
        <w:rPr>
          <w:rStyle w:val="libFootnotenumChar"/>
          <w:rtl/>
        </w:rPr>
        <w:t>(3)</w:t>
      </w:r>
      <w:r w:rsidRPr="00132E65">
        <w:rPr>
          <w:rtl/>
          <w:lang w:bidi="fa-IR"/>
        </w:rPr>
        <w:t xml:space="preserve"> سَيِّدِي ، لِمَنْ </w:t>
      </w:r>
      <w:r>
        <w:rPr>
          <w:rStyle w:val="libFootnotenumChar"/>
          <w:rtl/>
        </w:rPr>
        <w:t>(4)</w:t>
      </w:r>
      <w:r w:rsidRPr="00132E65">
        <w:rPr>
          <w:rtl/>
          <w:lang w:bidi="fa-IR"/>
        </w:rPr>
        <w:t xml:space="preserve"> تُنَاجِي</w:t>
      </w:r>
      <w:r>
        <w:rPr>
          <w:rtl/>
          <w:lang w:bidi="fa-IR"/>
        </w:rPr>
        <w:t>؟</w:t>
      </w:r>
      <w:r w:rsidRPr="00132E65">
        <w:rPr>
          <w:rtl/>
          <w:lang w:bidi="fa-IR"/>
        </w:rPr>
        <w:t xml:space="preserve"> فَقَالَ : « هذَا عَامِرٌ الزَّهْرَائِيُّ أَتَانِي يَسْأَلُنِي ، ويَشْكُو إِلَيَّ »</w:t>
      </w:r>
      <w:r>
        <w:rPr>
          <w:rtl/>
          <w:lang w:bidi="fa-IR"/>
        </w:rPr>
        <w:t>.</w:t>
      </w:r>
    </w:p>
    <w:p w:rsidR="000C39D1" w:rsidRPr="00132E65" w:rsidRDefault="000C39D1" w:rsidP="000C39D1">
      <w:pPr>
        <w:pStyle w:val="libNormal"/>
        <w:rPr>
          <w:rtl/>
          <w:lang w:bidi="fa-IR"/>
        </w:rPr>
      </w:pPr>
      <w:r w:rsidRPr="00132E65">
        <w:rPr>
          <w:rtl/>
          <w:lang w:bidi="fa-IR"/>
        </w:rPr>
        <w:t xml:space="preserve">فَقُلْتُ : يَا </w:t>
      </w:r>
      <w:r>
        <w:rPr>
          <w:rStyle w:val="libFootnotenumChar"/>
          <w:rtl/>
        </w:rPr>
        <w:t>(5)</w:t>
      </w:r>
      <w:r w:rsidRPr="00132E65">
        <w:rPr>
          <w:rtl/>
          <w:lang w:bidi="fa-IR"/>
        </w:rPr>
        <w:t xml:space="preserve"> سَيِّدِي ، أُحِبُّ </w:t>
      </w:r>
      <w:r>
        <w:rPr>
          <w:rStyle w:val="libFootnotenumChar"/>
          <w:rtl/>
        </w:rPr>
        <w:t>(6)</w:t>
      </w:r>
      <w:r w:rsidRPr="00132E65">
        <w:rPr>
          <w:rtl/>
          <w:lang w:bidi="fa-IR"/>
        </w:rPr>
        <w:t xml:space="preserve"> أَنْ أَسْمَعَ كَلَامَهُ </w:t>
      </w:r>
      <w:r>
        <w:rPr>
          <w:rStyle w:val="libFootnotenumChar"/>
          <w:rtl/>
        </w:rPr>
        <w:t>(7)</w:t>
      </w:r>
      <w:r w:rsidRPr="00132E65">
        <w:rPr>
          <w:rtl/>
          <w:lang w:bidi="fa-IR"/>
        </w:rPr>
        <w:t xml:space="preserve"> ، فَقَالَ لِي : « إِنَّكِ إِنْ </w:t>
      </w:r>
      <w:r>
        <w:rPr>
          <w:rStyle w:val="libFootnotenumChar"/>
          <w:rtl/>
        </w:rPr>
        <w:t>(8)</w:t>
      </w:r>
      <w:r w:rsidRPr="00132E65">
        <w:rPr>
          <w:rtl/>
          <w:lang w:bidi="fa-IR"/>
        </w:rPr>
        <w:t xml:space="preserve"> سَمِعْتِ بِهِ </w:t>
      </w:r>
      <w:r>
        <w:rPr>
          <w:rStyle w:val="libFootnotenumChar"/>
          <w:rtl/>
        </w:rPr>
        <w:t>(9)</w:t>
      </w:r>
      <w:r w:rsidRPr="00132E65">
        <w:rPr>
          <w:rtl/>
          <w:lang w:bidi="fa-IR"/>
        </w:rPr>
        <w:t xml:space="preserve"> حُمِمْتِ سَنَةً »</w:t>
      </w:r>
      <w:r>
        <w:rPr>
          <w:rtl/>
          <w:lang w:bidi="fa-IR"/>
        </w:rPr>
        <w:t>.</w:t>
      </w:r>
      <w:r w:rsidRPr="00132E65">
        <w:rPr>
          <w:rtl/>
          <w:lang w:bidi="fa-IR"/>
        </w:rPr>
        <w:t xml:space="preserve"> فَقُلْتُ </w:t>
      </w:r>
      <w:r>
        <w:rPr>
          <w:rStyle w:val="libFootnotenumChar"/>
          <w:rtl/>
        </w:rPr>
        <w:t>(10)</w:t>
      </w:r>
      <w:r w:rsidRPr="00132E65">
        <w:rPr>
          <w:rtl/>
          <w:lang w:bidi="fa-IR"/>
        </w:rPr>
        <w:t xml:space="preserve"> : يَا </w:t>
      </w:r>
      <w:r>
        <w:rPr>
          <w:rStyle w:val="libFootnotenumChar"/>
          <w:rtl/>
        </w:rPr>
        <w:t>(11)</w:t>
      </w:r>
      <w:r w:rsidRPr="00132E65">
        <w:rPr>
          <w:rtl/>
          <w:lang w:bidi="fa-IR"/>
        </w:rPr>
        <w:t xml:space="preserve"> سَيِّدِي ، أُحِبُّ أَنْ أَسْمَعَهُ ، فَقَالَ لِيَ : « اسْمَعِي » فَاسْتَمَعْتُ </w:t>
      </w:r>
      <w:r>
        <w:rPr>
          <w:rStyle w:val="libFootnotenumChar"/>
          <w:rtl/>
        </w:rPr>
        <w:t>(12)</w:t>
      </w:r>
      <w:r w:rsidRPr="00132E65">
        <w:rPr>
          <w:rtl/>
          <w:lang w:bidi="fa-IR"/>
        </w:rPr>
        <w:t xml:space="preserve"> ، فَسَمِعْتُ شِبْهَ الصَّفِيرِ ، ورَكِبَتْنِي الْحُمّى ، فَحُمِمْتُ سَنَةً.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FA6C7C">
        <w:rPr>
          <w:rtl/>
        </w:rPr>
        <w:t>1038</w:t>
      </w:r>
      <w:r w:rsidRPr="004325D8">
        <w:rPr>
          <w:rStyle w:val="libBold2Char"/>
          <w:rtl/>
        </w:rPr>
        <w:t xml:space="preserve"> / 6.</w:t>
      </w:r>
      <w:r w:rsidRPr="00132E65">
        <w:rPr>
          <w:rtl/>
          <w:lang w:bidi="fa-IR"/>
        </w:rPr>
        <w:t xml:space="preserve"> مُحَمَّدُ بْنُ يَحْيى وأَحْمَدُ بْنُ مُحَمَّدٍ ، عَنْ مُحَمَّدِ بْنِ الْحَسَنِ ، عَنْ إِبْرَاهِيمَ بْنِ هَاشِمٍ ، عَنْ عَمْرِو بْنِ عُثْمَانَ ، عَنْ إِبْرَاهِيمَ بْنِ أَيُّوبَ ، عَنْ عَمْرِو بْنِ شِمْرٍ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بَيْنَا </w:t>
      </w:r>
      <w:r w:rsidRPr="00F543F1">
        <w:rPr>
          <w:rStyle w:val="libFootnotenumChar"/>
          <w:rtl/>
        </w:rPr>
        <w:t>(14)</w:t>
      </w:r>
      <w:r w:rsidRPr="00132E65">
        <w:rPr>
          <w:rtl/>
          <w:lang w:bidi="fa-IR"/>
        </w:rPr>
        <w:t xml:space="preserve"> أَمِيرُ الْمُؤْمِنِينَ </w:t>
      </w:r>
      <w:r w:rsidRPr="00071CF9">
        <w:rPr>
          <w:rStyle w:val="libAlaemChar"/>
          <w:rtl/>
        </w:rPr>
        <w:t>عليه‌السلام</w:t>
      </w:r>
      <w:r w:rsidRPr="00132E65">
        <w:rPr>
          <w:rtl/>
          <w:lang w:bidi="fa-IR"/>
        </w:rPr>
        <w:t xml:space="preserve"> عَلَى الْمِنْبَرِ إِذْ </w:t>
      </w:r>
      <w:r w:rsidRPr="00F543F1">
        <w:rPr>
          <w:rStyle w:val="libFootnotenumChar"/>
          <w:rtl/>
        </w:rPr>
        <w:t>(15)</w:t>
      </w:r>
      <w:r w:rsidRPr="00132E65">
        <w:rPr>
          <w:rtl/>
          <w:lang w:bidi="fa-IR"/>
        </w:rPr>
        <w:t xml:space="preserve"> أَقْبَلَ ثُعْبَانٌ </w:t>
      </w:r>
      <w:r w:rsidRPr="00F543F1">
        <w:rPr>
          <w:rStyle w:val="libFootnotenumChar"/>
          <w:rtl/>
        </w:rPr>
        <w:t>(16)</w:t>
      </w:r>
      <w:r w:rsidRPr="00132E65">
        <w:rPr>
          <w:rtl/>
          <w:lang w:bidi="fa-IR"/>
        </w:rPr>
        <w:t xml:space="preserve"> مِنْ نَاحِيَةِ بَابٍ مِنْ أَبْوَابِ الْمَسْجِدِ ، فَهَمَّ النَّاسُ أَنْ يَقْتُلُوهُ ، فَأَرْسَلَ‌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أكثر النسخ : « الحجرش » ، ولا يُعْلَمُ الصواب منهما ، فإنّا لم نعثر في ما تتبّعنا في الأسناد وغيرها ، على اللفظين أو أحدهما.</w:t>
      </w:r>
    </w:p>
    <w:p w:rsidR="000C39D1" w:rsidRPr="00132E65" w:rsidRDefault="000C39D1" w:rsidP="000C39D1">
      <w:pPr>
        <w:pStyle w:val="libFootnote0"/>
        <w:rPr>
          <w:rtl/>
          <w:lang w:bidi="fa-IR"/>
        </w:rPr>
      </w:pPr>
      <w:r w:rsidRPr="0046781C">
        <w:rPr>
          <w:rtl/>
        </w:rPr>
        <w:t>وال</w:t>
      </w:r>
      <w:r w:rsidR="00D157C9">
        <w:rPr>
          <w:rtl/>
        </w:rPr>
        <w:t>عل</w:t>
      </w:r>
      <w:r w:rsidR="00D157C9">
        <w:rPr>
          <w:rFonts w:hint="cs"/>
          <w:rtl/>
        </w:rPr>
        <w:t>ّ</w:t>
      </w:r>
      <w:r w:rsidR="00D157C9">
        <w:rPr>
          <w:rtl/>
        </w:rPr>
        <w:t>ا</w:t>
      </w:r>
      <w:r w:rsidRPr="0046781C">
        <w:rPr>
          <w:rtl/>
        </w:rPr>
        <w:t xml:space="preserve">مة المجلسي أيضاً نقله في </w:t>
      </w:r>
      <w:r w:rsidRPr="00FA6C7C">
        <w:rPr>
          <w:rtl/>
        </w:rPr>
        <w:t>البحار</w:t>
      </w:r>
      <w:r w:rsidRPr="0046781C">
        <w:rPr>
          <w:rtl/>
        </w:rPr>
        <w:t xml:space="preserve"> مختلفاً ، ففي ج 27 ، ص 24 ، ح 17 ؛ وج 49 ، ص 69 ، ح 91 : « جحرش »</w:t>
      </w:r>
      <w:r>
        <w:rPr>
          <w:rtl/>
        </w:rPr>
        <w:t>.</w:t>
      </w:r>
      <w:r w:rsidRPr="0046781C">
        <w:rPr>
          <w:rtl/>
        </w:rPr>
        <w:t xml:space="preserve"> وفي ج 60 ، ص 67 ، ح 6 : « حجرش »</w:t>
      </w:r>
      <w:r>
        <w:rPr>
          <w:rtl/>
        </w:rPr>
        <w:t>.</w:t>
      </w:r>
    </w:p>
    <w:tbl>
      <w:tblPr>
        <w:tblStyle w:val="TableGrid"/>
        <w:bidiVisual/>
        <w:tblW w:w="0" w:type="auto"/>
        <w:tblLook w:val="04A0" w:firstRow="1" w:lastRow="0" w:firstColumn="1" w:lastColumn="0" w:noHBand="0" w:noVBand="1"/>
      </w:tblPr>
      <w:tblGrid>
        <w:gridCol w:w="4006"/>
        <w:gridCol w:w="4006"/>
      </w:tblGrid>
      <w:tr w:rsidR="00D157C9" w:rsidTr="00D157C9">
        <w:tc>
          <w:tcPr>
            <w:tcW w:w="4006" w:type="dxa"/>
          </w:tcPr>
          <w:p w:rsidR="00D157C9" w:rsidRDefault="00D157C9" w:rsidP="000C39D1">
            <w:pPr>
              <w:pStyle w:val="libFootnote0"/>
              <w:rPr>
                <w:rtl/>
              </w:rPr>
            </w:pPr>
            <w:r>
              <w:rPr>
                <w:rtl/>
              </w:rPr>
              <w:t>(2).</w:t>
            </w:r>
            <w:r w:rsidRPr="00132E65">
              <w:rPr>
                <w:rtl/>
              </w:rPr>
              <w:t xml:space="preserve"> هكذا في النسخ ، وفي المطبوع : « حدّثني »</w:t>
            </w:r>
            <w:r>
              <w:rPr>
                <w:rtl/>
              </w:rPr>
              <w:t>.</w:t>
            </w:r>
          </w:p>
        </w:tc>
        <w:tc>
          <w:tcPr>
            <w:tcW w:w="4006" w:type="dxa"/>
          </w:tcPr>
          <w:p w:rsidR="00D157C9" w:rsidRDefault="00D157C9" w:rsidP="000C39D1">
            <w:pPr>
              <w:pStyle w:val="libFootnote0"/>
              <w:rPr>
                <w:rtl/>
              </w:rPr>
            </w:pPr>
            <w:r>
              <w:rPr>
                <w:rtl/>
              </w:rPr>
              <w:t>(3).</w:t>
            </w:r>
            <w:r w:rsidRPr="00132E65">
              <w:rPr>
                <w:rtl/>
              </w:rPr>
              <w:t xml:space="preserve"> في « ب ، بس ، بف » </w:t>
            </w:r>
            <w:r>
              <w:rPr>
                <w:rtl/>
              </w:rPr>
              <w:t xml:space="preserve">: - </w:t>
            </w:r>
            <w:r w:rsidRPr="00132E65">
              <w:rPr>
                <w:rtl/>
              </w:rPr>
              <w:t>« يا »</w:t>
            </w:r>
            <w:r>
              <w:rPr>
                <w:rtl/>
              </w:rPr>
              <w:t>.</w:t>
            </w:r>
          </w:p>
        </w:tc>
      </w:tr>
      <w:tr w:rsidR="00D157C9" w:rsidTr="00D157C9">
        <w:tc>
          <w:tcPr>
            <w:tcW w:w="4006" w:type="dxa"/>
          </w:tcPr>
          <w:p w:rsidR="00D157C9" w:rsidRDefault="00D157C9" w:rsidP="000C39D1">
            <w:pPr>
              <w:pStyle w:val="libFootnote0"/>
              <w:rPr>
                <w:rtl/>
              </w:rPr>
            </w:pPr>
            <w:r>
              <w:rPr>
                <w:rtl/>
              </w:rPr>
              <w:t>(4).</w:t>
            </w:r>
            <w:r w:rsidRPr="00132E65">
              <w:rPr>
                <w:rtl/>
              </w:rPr>
              <w:t xml:space="preserve"> في </w:t>
            </w:r>
            <w:r w:rsidRPr="009D1ACE">
              <w:rPr>
                <w:rStyle w:val="libFootnoteBoldChar"/>
                <w:rtl/>
              </w:rPr>
              <w:t>الوافي</w:t>
            </w:r>
            <w:r w:rsidRPr="00132E65">
              <w:rPr>
                <w:rtl/>
              </w:rPr>
              <w:t xml:space="preserve"> : « بمن »</w:t>
            </w:r>
            <w:r>
              <w:rPr>
                <w:rtl/>
              </w:rPr>
              <w:t>.</w:t>
            </w:r>
          </w:p>
        </w:tc>
        <w:tc>
          <w:tcPr>
            <w:tcW w:w="4006" w:type="dxa"/>
          </w:tcPr>
          <w:p w:rsidR="00D157C9" w:rsidRDefault="00D157C9" w:rsidP="000C39D1">
            <w:pPr>
              <w:pStyle w:val="libFootnote0"/>
              <w:rPr>
                <w:rtl/>
              </w:rPr>
            </w:pPr>
            <w:r>
              <w:rPr>
                <w:rtl/>
              </w:rPr>
              <w:t>(5).</w:t>
            </w:r>
            <w:r w:rsidRPr="00132E65">
              <w:rPr>
                <w:rtl/>
              </w:rPr>
              <w:t xml:space="preserve"> في « ب » و</w:t>
            </w:r>
            <w:r w:rsidRPr="009D1ACE">
              <w:rPr>
                <w:rStyle w:val="libFootnoteBoldChar"/>
                <w:rtl/>
              </w:rPr>
              <w:t>الوافي</w:t>
            </w:r>
            <w:r>
              <w:rPr>
                <w:rtl/>
              </w:rPr>
              <w:t xml:space="preserve"> والبحار ، ج 27: - </w:t>
            </w:r>
            <w:r w:rsidRPr="00132E65">
              <w:rPr>
                <w:rtl/>
              </w:rPr>
              <w:t>« يا »</w:t>
            </w:r>
            <w:r>
              <w:rPr>
                <w:rtl/>
              </w:rPr>
              <w:t>.</w:t>
            </w:r>
          </w:p>
        </w:tc>
      </w:tr>
      <w:tr w:rsidR="00D157C9" w:rsidTr="00D157C9">
        <w:tc>
          <w:tcPr>
            <w:tcW w:w="4006" w:type="dxa"/>
          </w:tcPr>
          <w:p w:rsidR="00D157C9" w:rsidRDefault="00D157C9" w:rsidP="000C39D1">
            <w:pPr>
              <w:pStyle w:val="libFootnote0"/>
              <w:rPr>
                <w:rtl/>
              </w:rPr>
            </w:pPr>
            <w:r>
              <w:rPr>
                <w:rtl/>
              </w:rPr>
              <w:t>(6).</w:t>
            </w:r>
            <w:r w:rsidRPr="00132E65">
              <w:rPr>
                <w:rtl/>
              </w:rPr>
              <w:t xml:space="preserve"> في « ب » : « وا</w:t>
            </w:r>
            <w:r>
              <w:rPr>
                <w:rFonts w:hint="cs"/>
                <w:rtl/>
              </w:rPr>
              <w:t>ُ</w:t>
            </w:r>
            <w:r w:rsidRPr="00132E65">
              <w:rPr>
                <w:rtl/>
              </w:rPr>
              <w:t>حبّ »</w:t>
            </w:r>
            <w:r>
              <w:rPr>
                <w:rtl/>
              </w:rPr>
              <w:t>.</w:t>
            </w:r>
          </w:p>
        </w:tc>
        <w:tc>
          <w:tcPr>
            <w:tcW w:w="4006" w:type="dxa"/>
          </w:tcPr>
          <w:p w:rsidR="00D157C9" w:rsidRDefault="00D157C9" w:rsidP="000C39D1">
            <w:pPr>
              <w:pStyle w:val="libFootnote0"/>
              <w:rPr>
                <w:rtl/>
              </w:rPr>
            </w:pPr>
            <w:r>
              <w:rPr>
                <w:rtl/>
              </w:rPr>
              <w:t>(7).</w:t>
            </w:r>
            <w:r w:rsidRPr="00132E65">
              <w:rPr>
                <w:rtl/>
              </w:rPr>
              <w:t xml:space="preserve"> في « ب » :</w:t>
            </w:r>
            <w:r>
              <w:rPr>
                <w:rtl/>
              </w:rPr>
              <w:t xml:space="preserve"> + </w:t>
            </w:r>
            <w:r w:rsidRPr="00132E65">
              <w:rPr>
                <w:rtl/>
              </w:rPr>
              <w:t>« قال »</w:t>
            </w:r>
            <w:r>
              <w:rPr>
                <w:rtl/>
              </w:rPr>
              <w:t>.</w:t>
            </w:r>
          </w:p>
        </w:tc>
      </w:tr>
      <w:tr w:rsidR="00D157C9" w:rsidTr="00D157C9">
        <w:tc>
          <w:tcPr>
            <w:tcW w:w="4006" w:type="dxa"/>
          </w:tcPr>
          <w:p w:rsidR="00D157C9" w:rsidRDefault="00D157C9" w:rsidP="000C39D1">
            <w:pPr>
              <w:pStyle w:val="libFootnote0"/>
              <w:rPr>
                <w:rtl/>
              </w:rPr>
            </w:pPr>
            <w:r>
              <w:rPr>
                <w:rtl/>
              </w:rPr>
              <w:t>(8).</w:t>
            </w:r>
            <w:r w:rsidRPr="00132E65">
              <w:rPr>
                <w:rtl/>
              </w:rPr>
              <w:t xml:space="preserve"> في البحار ، ج 27 : « إذا »</w:t>
            </w:r>
            <w:r>
              <w:rPr>
                <w:rtl/>
              </w:rPr>
              <w:t>.</w:t>
            </w:r>
          </w:p>
        </w:tc>
        <w:tc>
          <w:tcPr>
            <w:tcW w:w="4006" w:type="dxa"/>
          </w:tcPr>
          <w:p w:rsidR="00D157C9" w:rsidRDefault="00D157C9" w:rsidP="000C39D1">
            <w:pPr>
              <w:pStyle w:val="libFootnote0"/>
              <w:rPr>
                <w:rtl/>
              </w:rPr>
            </w:pPr>
            <w:r>
              <w:rPr>
                <w:rtl/>
              </w:rPr>
              <w:t>(9).</w:t>
            </w:r>
            <w:r w:rsidRPr="00132E65">
              <w:rPr>
                <w:rtl/>
              </w:rPr>
              <w:t xml:space="preserve"> في « ب » والبحار ، ج 63 : « كلامه »</w:t>
            </w:r>
            <w:r>
              <w:rPr>
                <w:rtl/>
              </w:rPr>
              <w:t>.</w:t>
            </w:r>
          </w:p>
        </w:tc>
      </w:tr>
      <w:tr w:rsidR="00D157C9" w:rsidTr="00D157C9">
        <w:tc>
          <w:tcPr>
            <w:tcW w:w="4006" w:type="dxa"/>
          </w:tcPr>
          <w:p w:rsidR="00D157C9" w:rsidRDefault="00D157C9" w:rsidP="000C39D1">
            <w:pPr>
              <w:pStyle w:val="libFootnote0"/>
              <w:rPr>
                <w:rtl/>
              </w:rPr>
            </w:pPr>
            <w:r>
              <w:rPr>
                <w:rtl/>
              </w:rPr>
              <w:t>(10).</w:t>
            </w:r>
            <w:r w:rsidRPr="00132E65">
              <w:rPr>
                <w:rtl/>
              </w:rPr>
              <w:t xml:space="preserve"> في « بف » : « قلت »</w:t>
            </w:r>
            <w:r>
              <w:rPr>
                <w:rtl/>
              </w:rPr>
              <w:t>.</w:t>
            </w:r>
          </w:p>
        </w:tc>
        <w:tc>
          <w:tcPr>
            <w:tcW w:w="4006" w:type="dxa"/>
          </w:tcPr>
          <w:p w:rsidR="00D157C9" w:rsidRDefault="00D157C9" w:rsidP="000C39D1">
            <w:pPr>
              <w:pStyle w:val="libFootnote0"/>
              <w:rPr>
                <w:rtl/>
              </w:rPr>
            </w:pPr>
            <w:r>
              <w:rPr>
                <w:rtl/>
              </w:rPr>
              <w:t>(11). في «بح،بف»</w:t>
            </w:r>
            <w:r w:rsidRPr="00132E65">
              <w:rPr>
                <w:rtl/>
              </w:rPr>
              <w:t>و</w:t>
            </w:r>
            <w:r w:rsidRPr="009D1ACE">
              <w:rPr>
                <w:rStyle w:val="libFootnoteBoldChar"/>
                <w:rtl/>
              </w:rPr>
              <w:t>الوافي</w:t>
            </w:r>
            <w:r>
              <w:rPr>
                <w:rtl/>
              </w:rPr>
              <w:t xml:space="preserve"> والبحار،ج 27: - «يا</w:t>
            </w:r>
            <w:r w:rsidRPr="00132E65">
              <w:rPr>
                <w:rtl/>
              </w:rPr>
              <w:t>»</w:t>
            </w:r>
            <w:r>
              <w:rPr>
                <w:rtl/>
              </w:rPr>
              <w:t>.</w:t>
            </w:r>
          </w:p>
        </w:tc>
      </w:tr>
    </w:tbl>
    <w:p w:rsidR="000C39D1" w:rsidRPr="00132E65" w:rsidRDefault="000C39D1" w:rsidP="000C39D1">
      <w:pPr>
        <w:pStyle w:val="libFootnote0"/>
        <w:rPr>
          <w:rtl/>
          <w:lang w:bidi="fa-IR"/>
        </w:rPr>
      </w:pPr>
      <w:r>
        <w:rPr>
          <w:rtl/>
        </w:rPr>
        <w:t>(12).</w:t>
      </w:r>
      <w:r w:rsidRPr="00132E65">
        <w:rPr>
          <w:rtl/>
        </w:rPr>
        <w:t xml:space="preserve"> في « بس » : « فتسمّعت »</w:t>
      </w:r>
      <w:r>
        <w:rPr>
          <w:rtl/>
        </w:rPr>
        <w:t>.</w:t>
      </w:r>
    </w:p>
    <w:p w:rsidR="000C39D1" w:rsidRPr="00132E65" w:rsidRDefault="000C39D1" w:rsidP="00623468">
      <w:pPr>
        <w:pStyle w:val="libFootnote0"/>
        <w:rPr>
          <w:rtl/>
          <w:lang w:bidi="fa-IR"/>
        </w:rPr>
      </w:pPr>
      <w:r>
        <w:rPr>
          <w:rtl/>
        </w:rPr>
        <w:t>(13)</w:t>
      </w:r>
      <w:r w:rsidRPr="00132E65">
        <w:rPr>
          <w:rtl/>
        </w:rPr>
        <w:t xml:space="preserve"> </w:t>
      </w:r>
      <w:r w:rsidRPr="009D1ACE">
        <w:rPr>
          <w:rStyle w:val="libFootnoteBoldChar"/>
          <w:rtl/>
        </w:rPr>
        <w:t>الوافي</w:t>
      </w:r>
      <w:r w:rsidRPr="00132E65">
        <w:rPr>
          <w:rtl/>
        </w:rPr>
        <w:t xml:space="preserve"> ، ج 3 ، ص 640 ، ح 1232 ؛ </w:t>
      </w:r>
      <w:r w:rsidRPr="00FA6C7C">
        <w:rPr>
          <w:rtl/>
        </w:rPr>
        <w:t>البحار</w:t>
      </w:r>
      <w:r w:rsidRPr="00132E65">
        <w:rPr>
          <w:rtl/>
        </w:rPr>
        <w:t xml:space="preserve"> ، ج 27 ، ص 24 ، ح 16 ؛ وج 49 ، ص 69 ، ح 91 ؛ وج 63 ، ص 67 ، ح 6.</w:t>
      </w:r>
      <w:r w:rsidR="00623468">
        <w:rPr>
          <w:rFonts w:hint="cs"/>
          <w:rtl/>
        </w:rPr>
        <w:t xml:space="preserve">                       </w:t>
      </w:r>
      <w:r w:rsidR="00936037">
        <w:rPr>
          <w:rFonts w:hint="cs"/>
          <w:rtl/>
        </w:rPr>
        <w:t xml:space="preserve">      </w:t>
      </w:r>
      <w:r w:rsidR="00623468">
        <w:rPr>
          <w:rFonts w:hint="cs"/>
          <w:rtl/>
        </w:rPr>
        <w:t xml:space="preserve">     </w:t>
      </w:r>
      <w:r>
        <w:rPr>
          <w:rtl/>
        </w:rPr>
        <w:t>(14)</w:t>
      </w:r>
      <w:r w:rsidRPr="00132E65">
        <w:rPr>
          <w:rtl/>
        </w:rPr>
        <w:t xml:space="preserve"> في البحار ، ج 63 : « بينما »</w:t>
      </w:r>
      <w:r>
        <w:rPr>
          <w:rtl/>
        </w:rPr>
        <w:t>.</w:t>
      </w:r>
    </w:p>
    <w:p w:rsidR="000C39D1" w:rsidRPr="00132E65" w:rsidRDefault="000C39D1" w:rsidP="000C39D1">
      <w:pPr>
        <w:pStyle w:val="libFootnote0"/>
        <w:rPr>
          <w:rtl/>
          <w:lang w:bidi="fa-IR"/>
        </w:rPr>
      </w:pPr>
      <w:r>
        <w:rPr>
          <w:rtl/>
        </w:rPr>
        <w:t>(15)</w:t>
      </w:r>
      <w:r w:rsidRPr="00132E65">
        <w:rPr>
          <w:rtl/>
        </w:rPr>
        <w:t xml:space="preserve"> في البصائر : « إذا »</w:t>
      </w:r>
      <w:r>
        <w:rPr>
          <w:rtl/>
        </w:rPr>
        <w:t>.</w:t>
      </w:r>
    </w:p>
    <w:p w:rsidR="000C39D1" w:rsidRPr="00132E65" w:rsidRDefault="000C39D1" w:rsidP="000C39D1">
      <w:pPr>
        <w:pStyle w:val="libFootnote0"/>
        <w:rPr>
          <w:rtl/>
          <w:lang w:bidi="fa-IR"/>
        </w:rPr>
      </w:pPr>
      <w:r>
        <w:rPr>
          <w:rtl/>
        </w:rPr>
        <w:t>(16)</w:t>
      </w:r>
      <w:r w:rsidRPr="00132E65">
        <w:rPr>
          <w:rtl/>
        </w:rPr>
        <w:t xml:space="preserve"> « الثُعْبان » : ضرب من الحيّات طوال. </w:t>
      </w:r>
      <w:r w:rsidRPr="00FA6C7C">
        <w:rPr>
          <w:rtl/>
        </w:rPr>
        <w:t>الصحاح</w:t>
      </w:r>
      <w:r w:rsidRPr="00132E65">
        <w:rPr>
          <w:rtl/>
        </w:rPr>
        <w:t xml:space="preserve"> ، ج 1 ، ص 92 ( ثعب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أَمِيرُ الْمُؤْمِنِينَ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 أَنْ كُفُّوا ، فَكَفُّوا ، وأَقْبَلَ الثُّعْبَانُ يَنْسَابُ </w:t>
      </w:r>
      <w:r>
        <w:rPr>
          <w:rStyle w:val="libFootnotenumChar"/>
          <w:rtl/>
        </w:rPr>
        <w:t>(2)</w:t>
      </w:r>
      <w:r w:rsidRPr="00132E65">
        <w:rPr>
          <w:rtl/>
          <w:lang w:bidi="fa-IR"/>
        </w:rPr>
        <w:t xml:space="preserve"> حَتَّى انْتَهى إِلَى الْمِنْبَرِ ، فَتَطَاوَلَ ، فَسَلَّمَ عَلى أَمِيرِ الْمُؤْمِنِينَ </w:t>
      </w:r>
      <w:r w:rsidRPr="00071CF9">
        <w:rPr>
          <w:rStyle w:val="libAlaemChar"/>
          <w:rtl/>
        </w:rPr>
        <w:t>عليه‌السلام</w:t>
      </w:r>
      <w:r w:rsidRPr="00132E65">
        <w:rPr>
          <w:rtl/>
          <w:lang w:bidi="fa-IR"/>
        </w:rPr>
        <w:t xml:space="preserve"> ، فَأَشَارَ أَمِيرُ الْمُؤْمِنِينَ </w:t>
      </w:r>
      <w:r w:rsidRPr="00071CF9">
        <w:rPr>
          <w:rStyle w:val="libAlaemChar"/>
          <w:rtl/>
        </w:rPr>
        <w:t>عليه‌السلام</w:t>
      </w:r>
      <w:r w:rsidRPr="00132E65">
        <w:rPr>
          <w:rtl/>
          <w:lang w:bidi="fa-IR"/>
        </w:rPr>
        <w:t xml:space="preserve"> إِلَيْهِ أَنْ يَقِفَ حَتّى يَفْرُغَ مِنْ خُطْبَتِهِ.</w:t>
      </w:r>
    </w:p>
    <w:p w:rsidR="000C39D1" w:rsidRPr="00132E65" w:rsidRDefault="000C39D1" w:rsidP="000C39D1">
      <w:pPr>
        <w:pStyle w:val="libNormal"/>
        <w:rPr>
          <w:rtl/>
          <w:lang w:bidi="fa-IR"/>
        </w:rPr>
      </w:pPr>
      <w:r w:rsidRPr="00132E65">
        <w:rPr>
          <w:rtl/>
          <w:lang w:bidi="fa-IR"/>
        </w:rPr>
        <w:t xml:space="preserve">وَلَمَّا </w:t>
      </w:r>
      <w:r>
        <w:rPr>
          <w:rStyle w:val="libFootnotenumChar"/>
          <w:rtl/>
        </w:rPr>
        <w:t>(3)</w:t>
      </w:r>
      <w:r w:rsidRPr="00132E65">
        <w:rPr>
          <w:rtl/>
          <w:lang w:bidi="fa-IR"/>
        </w:rPr>
        <w:t xml:space="preserve"> فَرَغَ مِنْ خُطْبَتِهِ ، أَقْبَلَ عَلَيْهِ </w:t>
      </w:r>
      <w:r>
        <w:rPr>
          <w:rStyle w:val="libFootnotenumChar"/>
          <w:rtl/>
        </w:rPr>
        <w:t>(4)</w:t>
      </w:r>
      <w:r w:rsidRPr="00132E65">
        <w:rPr>
          <w:rtl/>
          <w:lang w:bidi="fa-IR"/>
        </w:rPr>
        <w:t xml:space="preserve"> ، فَقَالَ </w:t>
      </w:r>
      <w:r>
        <w:rPr>
          <w:rStyle w:val="libFootnotenumChar"/>
          <w:rtl/>
        </w:rPr>
        <w:t>(5)</w:t>
      </w:r>
      <w:r w:rsidRPr="00132E65">
        <w:rPr>
          <w:rtl/>
          <w:lang w:bidi="fa-IR"/>
        </w:rPr>
        <w:t xml:space="preserve"> : مَنْ أَنْتَ</w:t>
      </w:r>
      <w:r>
        <w:rPr>
          <w:rtl/>
          <w:lang w:bidi="fa-IR"/>
        </w:rPr>
        <w:t>؟</w:t>
      </w:r>
      <w:r w:rsidRPr="00132E65">
        <w:rPr>
          <w:rtl/>
          <w:lang w:bidi="fa-IR"/>
        </w:rPr>
        <w:t xml:space="preserve"> فَقَالَ : أَنَا </w:t>
      </w:r>
      <w:r>
        <w:rPr>
          <w:rStyle w:val="libFootnotenumChar"/>
          <w:rtl/>
        </w:rPr>
        <w:t>(6)</w:t>
      </w:r>
      <w:r w:rsidRPr="00132E65">
        <w:rPr>
          <w:rtl/>
          <w:lang w:bidi="fa-IR"/>
        </w:rPr>
        <w:t xml:space="preserve"> عَمْرُو بْنُ عُثْمَانَ خَلِيفَتِكَ عَلَى الْجِنِّ ، وإِنَّ أَبِي مَاتَ ، وأَوْصَانِي أَنْ آتِيَكَ ، فَأَسْتَطْلِعَ </w:t>
      </w:r>
      <w:r>
        <w:rPr>
          <w:rStyle w:val="libFootnotenumChar"/>
          <w:rtl/>
        </w:rPr>
        <w:t>(7)</w:t>
      </w:r>
      <w:r w:rsidRPr="00132E65">
        <w:rPr>
          <w:rtl/>
          <w:lang w:bidi="fa-IR"/>
        </w:rPr>
        <w:t xml:space="preserve"> رَأْيَكَ ، وقَدْ أَتَيْتُكَ يَا أَمِيرَ الْمُؤْمِنِينَ فَمَا تَأْمُرُنِي بِهِ </w:t>
      </w:r>
      <w:r>
        <w:rPr>
          <w:rStyle w:val="libFootnotenumChar"/>
          <w:rtl/>
        </w:rPr>
        <w:t>(8)</w:t>
      </w:r>
      <w:r>
        <w:rPr>
          <w:rtl/>
          <w:lang w:bidi="fa-IR"/>
        </w:rPr>
        <w:t>؟</w:t>
      </w:r>
      <w:r w:rsidRPr="00132E65">
        <w:rPr>
          <w:rtl/>
          <w:lang w:bidi="fa-IR"/>
        </w:rPr>
        <w:t xml:space="preserve"> ومَا تَرى</w:t>
      </w:r>
      <w:r>
        <w:rPr>
          <w:rtl/>
          <w:lang w:bidi="fa-IR"/>
        </w:rPr>
        <w:t>؟</w:t>
      </w:r>
    </w:p>
    <w:p w:rsidR="000C39D1" w:rsidRPr="00132E65" w:rsidRDefault="000C39D1" w:rsidP="000C39D1">
      <w:pPr>
        <w:pStyle w:val="libNormal"/>
        <w:rPr>
          <w:rtl/>
          <w:lang w:bidi="fa-IR"/>
        </w:rPr>
      </w:pPr>
      <w:r w:rsidRPr="00132E65">
        <w:rPr>
          <w:rtl/>
          <w:lang w:bidi="fa-IR"/>
        </w:rPr>
        <w:t xml:space="preserve">فَقَالَ لَهُ أَمِيرُ الْمُؤْمِنِينَ </w:t>
      </w:r>
      <w:r w:rsidRPr="00071CF9">
        <w:rPr>
          <w:rStyle w:val="libAlaemChar"/>
          <w:rtl/>
        </w:rPr>
        <w:t>عليه‌السلام</w:t>
      </w:r>
      <w:r w:rsidRPr="00132E65">
        <w:rPr>
          <w:rtl/>
          <w:lang w:bidi="fa-IR"/>
        </w:rPr>
        <w:t xml:space="preserve"> : أُوصِيكَ بِتَقْوَى اللهِ ، وأَنْ تَنْصَرِفَ ، فَتَقُومَ </w:t>
      </w:r>
      <w:r>
        <w:rPr>
          <w:rStyle w:val="libFootnotenumChar"/>
          <w:rtl/>
        </w:rPr>
        <w:t>(9)</w:t>
      </w:r>
      <w:r w:rsidRPr="00132E65">
        <w:rPr>
          <w:rtl/>
          <w:lang w:bidi="fa-IR"/>
        </w:rPr>
        <w:t xml:space="preserve"> مَقَامَ أَبِيكَ فِي الْجِنِّ ؛ فَإِنَّكَ خَلِيفَتِي عَلَيْهِمْ »</w:t>
      </w:r>
      <w:r>
        <w:rPr>
          <w:rtl/>
          <w:lang w:bidi="fa-IR"/>
        </w:rPr>
        <w:t>.</w:t>
      </w:r>
    </w:p>
    <w:p w:rsidR="000C39D1" w:rsidRPr="00132E65" w:rsidRDefault="000C39D1" w:rsidP="000C39D1">
      <w:pPr>
        <w:pStyle w:val="libNormal"/>
        <w:rPr>
          <w:rtl/>
          <w:lang w:bidi="fa-IR"/>
        </w:rPr>
      </w:pPr>
      <w:r w:rsidRPr="00132E65">
        <w:rPr>
          <w:rtl/>
          <w:lang w:bidi="fa-IR"/>
        </w:rPr>
        <w:t xml:space="preserve">قَالَ : « فَوَدَّعَ عَمْرٌو </w:t>
      </w:r>
      <w:r>
        <w:rPr>
          <w:rStyle w:val="libFootnotenumChar"/>
          <w:rtl/>
        </w:rPr>
        <w:t>(10)</w:t>
      </w:r>
      <w:r w:rsidRPr="00132E65">
        <w:rPr>
          <w:rtl/>
          <w:lang w:bidi="fa-IR"/>
        </w:rPr>
        <w:t xml:space="preserve"> أَمِيرَ الْمُؤْمِنِينَ </w:t>
      </w:r>
      <w:r w:rsidRPr="00071CF9">
        <w:rPr>
          <w:rStyle w:val="libAlaemChar"/>
          <w:rtl/>
        </w:rPr>
        <w:t>عليه‌السلام</w:t>
      </w:r>
      <w:r w:rsidRPr="00132E65">
        <w:rPr>
          <w:rtl/>
          <w:lang w:bidi="fa-IR"/>
        </w:rPr>
        <w:t xml:space="preserve"> وانْصَرَفَ ، فَهُوَ </w:t>
      </w:r>
      <w:r>
        <w:rPr>
          <w:rStyle w:val="libFootnotenumChar"/>
          <w:rtl/>
        </w:rPr>
        <w:t>(11)</w:t>
      </w:r>
      <w:r w:rsidRPr="00132E65">
        <w:rPr>
          <w:rtl/>
          <w:lang w:bidi="fa-IR"/>
        </w:rPr>
        <w:t xml:space="preserve"> خَلِيفَتُهُ عَلَى الْجِنِّ »</w:t>
      </w:r>
      <w:r>
        <w:rPr>
          <w:rtl/>
          <w:lang w:bidi="fa-IR"/>
        </w:rPr>
        <w:t>.</w:t>
      </w:r>
      <w:r w:rsidRPr="00132E65">
        <w:rPr>
          <w:rtl/>
          <w:lang w:bidi="fa-IR"/>
        </w:rPr>
        <w:t xml:space="preserve"> فَقُلْتُ لَهُ : جُعِلْتُ</w:t>
      </w:r>
      <w:r>
        <w:rPr>
          <w:rFonts w:hint="cs"/>
          <w:rtl/>
          <w:lang w:bidi="fa-IR"/>
        </w:rPr>
        <w:t xml:space="preserve"> </w:t>
      </w:r>
      <w:r w:rsidRPr="00132E65">
        <w:rPr>
          <w:rtl/>
          <w:lang w:bidi="fa-IR"/>
        </w:rPr>
        <w:t>فِدَاكَ ، فَيَأْتِيكَ عَمْرٌو</w:t>
      </w:r>
      <w:r>
        <w:rPr>
          <w:rtl/>
          <w:lang w:bidi="fa-IR"/>
        </w:rPr>
        <w:t>؟</w:t>
      </w:r>
      <w:r w:rsidRPr="00132E65">
        <w:rPr>
          <w:rtl/>
          <w:lang w:bidi="fa-IR"/>
        </w:rPr>
        <w:t xml:space="preserve"> وذَاكَ </w:t>
      </w:r>
      <w:r>
        <w:rPr>
          <w:rStyle w:val="libFootnotenumChar"/>
          <w:rtl/>
        </w:rPr>
        <w:t>(12)</w:t>
      </w:r>
      <w:r w:rsidRPr="00132E65">
        <w:rPr>
          <w:rtl/>
          <w:lang w:bidi="fa-IR"/>
        </w:rPr>
        <w:t xml:space="preserve"> الْوَاجِبُ عَلَيْهِ</w:t>
      </w:r>
      <w:r>
        <w:rPr>
          <w:rtl/>
          <w:lang w:bidi="fa-IR"/>
        </w:rPr>
        <w:t>؟</w:t>
      </w:r>
      <w:r w:rsidRPr="00132E65">
        <w:rPr>
          <w:rtl/>
          <w:lang w:bidi="fa-IR"/>
        </w:rPr>
        <w:t xml:space="preserve"> قَالَ </w:t>
      </w:r>
      <w:r w:rsidRPr="00F543F1">
        <w:rPr>
          <w:rStyle w:val="libFootnotenumChar"/>
          <w:rtl/>
        </w:rPr>
        <w:t>(13)</w:t>
      </w:r>
      <w:r w:rsidRPr="00132E65">
        <w:rPr>
          <w:rtl/>
          <w:lang w:bidi="fa-IR"/>
        </w:rPr>
        <w:t xml:space="preserve"> : « نَعَمْ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355805">
        <w:rPr>
          <w:rtl/>
        </w:rPr>
        <w:t>1039</w:t>
      </w:r>
      <w:r w:rsidRPr="004325D8">
        <w:rPr>
          <w:rStyle w:val="libBold2Char"/>
          <w:rtl/>
        </w:rPr>
        <w:t xml:space="preserve"> / 7.</w:t>
      </w:r>
      <w:r w:rsidRPr="00132E65">
        <w:rPr>
          <w:rtl/>
          <w:lang w:bidi="fa-IR"/>
        </w:rPr>
        <w:t xml:space="preserve"> عَلِيُّ بْنُ مُحَمَّدٍ ، عَنْ صَالِحِ بْنِ أَبِي حَمَّادٍ ، عَنْ مُحَمَّدِ بْنِ أُورَمَةَ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w:t>
      </w:r>
      <w:r>
        <w:rPr>
          <w:rtl/>
        </w:rPr>
        <w:t xml:space="preserve"> + </w:t>
      </w:r>
      <w:r w:rsidRPr="00132E65">
        <w:rPr>
          <w:rtl/>
        </w:rPr>
        <w:t>« إليهم »</w:t>
      </w:r>
      <w:r>
        <w:rPr>
          <w:rtl/>
        </w:rPr>
        <w:t>.</w:t>
      </w:r>
    </w:p>
    <w:p w:rsidR="000C39D1" w:rsidRPr="00132E65" w:rsidRDefault="000C39D1" w:rsidP="000C39D1">
      <w:pPr>
        <w:pStyle w:val="libFootnote0"/>
        <w:rPr>
          <w:rtl/>
          <w:lang w:bidi="fa-IR"/>
        </w:rPr>
      </w:pPr>
      <w:r>
        <w:rPr>
          <w:rtl/>
        </w:rPr>
        <w:t>(2).</w:t>
      </w:r>
      <w:r w:rsidRPr="00132E65">
        <w:rPr>
          <w:rtl/>
        </w:rPr>
        <w:t xml:space="preserve"> « ينساب » ، أي يجري ويمشي مسرعاً. راجع : </w:t>
      </w:r>
      <w:r w:rsidRPr="00355805">
        <w:rPr>
          <w:rtl/>
        </w:rPr>
        <w:t>القاموس المحيط</w:t>
      </w:r>
      <w:r w:rsidRPr="00132E65">
        <w:rPr>
          <w:rtl/>
        </w:rPr>
        <w:t xml:space="preserve"> ، ج 1 ، ص 180 ( سيب )</w:t>
      </w:r>
      <w:r>
        <w:rPr>
          <w:rtl/>
        </w:rPr>
        <w:t>.</w:t>
      </w:r>
    </w:p>
    <w:p w:rsidR="000C39D1" w:rsidRPr="00132E65" w:rsidRDefault="000C39D1" w:rsidP="000C39D1">
      <w:pPr>
        <w:pStyle w:val="libFootnote0"/>
        <w:rPr>
          <w:rtl/>
          <w:lang w:bidi="fa-IR"/>
        </w:rPr>
      </w:pPr>
      <w:r>
        <w:rPr>
          <w:rtl/>
        </w:rPr>
        <w:t>(3).</w:t>
      </w:r>
      <w:r w:rsidRPr="00132E65">
        <w:rPr>
          <w:rtl/>
        </w:rPr>
        <w:t xml:space="preserve"> في « ف » : « فلمّا »</w:t>
      </w:r>
      <w:r>
        <w:rPr>
          <w:rtl/>
        </w:rPr>
        <w:t>.</w:t>
      </w:r>
    </w:p>
    <w:p w:rsidR="000C39D1" w:rsidRPr="00132E65" w:rsidRDefault="000C39D1" w:rsidP="000C39D1">
      <w:pPr>
        <w:pStyle w:val="libFootnote0"/>
        <w:rPr>
          <w:rtl/>
          <w:lang w:bidi="fa-IR"/>
        </w:rPr>
      </w:pPr>
      <w:r>
        <w:rPr>
          <w:rtl/>
        </w:rPr>
        <w:t>(4).</w:t>
      </w:r>
      <w:r w:rsidRPr="00132E65">
        <w:rPr>
          <w:rtl/>
        </w:rPr>
        <w:t xml:space="preserve"> في حاشية « ج » : « إليه »</w:t>
      </w:r>
      <w:r>
        <w:rPr>
          <w:rtl/>
        </w:rPr>
        <w:t>.</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هكذا في النسخ. وفي المطبوع </w:t>
      </w:r>
      <w:r>
        <w:rPr>
          <w:rtl/>
        </w:rPr>
        <w:t xml:space="preserve">: - </w:t>
      </w:r>
      <w:r w:rsidRPr="00132E65">
        <w:rPr>
          <w:rtl/>
        </w:rPr>
        <w:t>« أنا »</w:t>
      </w:r>
      <w:r>
        <w:rPr>
          <w:rtl/>
        </w:rPr>
        <w:t>.</w:t>
      </w:r>
      <w:r w:rsidRPr="00132E65">
        <w:rPr>
          <w:rtl/>
        </w:rPr>
        <w:t xml:space="preserve"> وفي البصائر : « فأشار أمير المؤمنين بيده ، فنظر الناس والثعبان في أصل المنبر حتّى فرغ عليّ أمير المؤمنين </w:t>
      </w:r>
      <w:r w:rsidRPr="00234EBD">
        <w:rPr>
          <w:rStyle w:val="libFootnoteAlaemChar"/>
          <w:rtl/>
        </w:rPr>
        <w:t>عليه‌السلام</w:t>
      </w:r>
      <w:r w:rsidRPr="00132E65">
        <w:rPr>
          <w:rtl/>
        </w:rPr>
        <w:t xml:space="preserve"> من خطبته ، ثمّ أقبل عليه فقال له : من أنت</w:t>
      </w:r>
      <w:r>
        <w:rPr>
          <w:rtl/>
        </w:rPr>
        <w:t>؟</w:t>
      </w:r>
      <w:r w:rsidRPr="00132E65">
        <w:rPr>
          <w:rtl/>
        </w:rPr>
        <w:t xml:space="preserve"> قال » بدل « فأشار أمير المؤمنين </w:t>
      </w:r>
      <w:r w:rsidRPr="00234EBD">
        <w:rPr>
          <w:rStyle w:val="libFootnoteAlaemChar"/>
          <w:rtl/>
        </w:rPr>
        <w:t>عليه‌السلام</w:t>
      </w:r>
      <w:r w:rsidRPr="00132E65">
        <w:rPr>
          <w:rtl/>
        </w:rPr>
        <w:t xml:space="preserve"> إليه أن يقف</w:t>
      </w:r>
      <w:r>
        <w:rPr>
          <w:rtl/>
        </w:rPr>
        <w:t xml:space="preserve"> - </w:t>
      </w:r>
      <w:r w:rsidRPr="00132E65">
        <w:rPr>
          <w:rtl/>
        </w:rPr>
        <w:t>إلى</w:t>
      </w:r>
      <w:r>
        <w:rPr>
          <w:rtl/>
        </w:rPr>
        <w:t xml:space="preserve"> - </w:t>
      </w:r>
      <w:r w:rsidRPr="00132E65">
        <w:rPr>
          <w:rtl/>
        </w:rPr>
        <w:t>أقبل عليه فقال »</w:t>
      </w:r>
      <w:r>
        <w:rPr>
          <w:rtl/>
        </w:rPr>
        <w:t>.</w:t>
      </w:r>
    </w:p>
    <w:p w:rsidR="000C39D1" w:rsidRPr="00132E65" w:rsidRDefault="000C39D1" w:rsidP="000C39D1">
      <w:pPr>
        <w:pStyle w:val="libFootnote0"/>
        <w:rPr>
          <w:rtl/>
          <w:lang w:bidi="fa-IR"/>
        </w:rPr>
      </w:pPr>
      <w:r>
        <w:rPr>
          <w:rtl/>
        </w:rPr>
        <w:t>(7).</w:t>
      </w:r>
      <w:r w:rsidRPr="00132E65">
        <w:rPr>
          <w:rtl/>
        </w:rPr>
        <w:t xml:space="preserve"> في البحار ، ج 39 : « وأستطلع »</w:t>
      </w:r>
      <w:r>
        <w:rPr>
          <w:rtl/>
        </w:rPr>
        <w:t>.</w:t>
      </w:r>
      <w:r w:rsidRPr="00132E65">
        <w:rPr>
          <w:rtl/>
        </w:rPr>
        <w:t xml:space="preserve"> وقوله : « فأستَطْلِع رأيَك » ، أي أنظر ما عندك وما الذي يبرز إليّ من أمرك. راجع : </w:t>
      </w:r>
      <w:r w:rsidRPr="00355805">
        <w:rPr>
          <w:rtl/>
        </w:rPr>
        <w:t>القاموس المحيط</w:t>
      </w:r>
      <w:r w:rsidRPr="00132E65">
        <w:rPr>
          <w:rtl/>
        </w:rPr>
        <w:t xml:space="preserve"> ، ج 2 ، ص 998 ( طلع )</w:t>
      </w:r>
      <w:r>
        <w:rPr>
          <w:rtl/>
        </w:rPr>
        <w:t>.</w:t>
      </w:r>
    </w:p>
    <w:tbl>
      <w:tblPr>
        <w:tblStyle w:val="TableGrid"/>
        <w:bidiVisual/>
        <w:tblW w:w="0" w:type="auto"/>
        <w:tblLook w:val="04A0" w:firstRow="1" w:lastRow="0" w:firstColumn="1" w:lastColumn="0" w:noHBand="0" w:noVBand="1"/>
      </w:tblPr>
      <w:tblGrid>
        <w:gridCol w:w="4006"/>
        <w:gridCol w:w="4006"/>
      </w:tblGrid>
      <w:tr w:rsidR="005A18E7" w:rsidTr="005A18E7">
        <w:tc>
          <w:tcPr>
            <w:tcW w:w="4006" w:type="dxa"/>
          </w:tcPr>
          <w:p w:rsidR="005A18E7" w:rsidRDefault="005A18E7" w:rsidP="000C39D1">
            <w:pPr>
              <w:pStyle w:val="libFootnote0"/>
              <w:rPr>
                <w:rtl/>
              </w:rPr>
            </w:pPr>
            <w:r>
              <w:rPr>
                <w:rtl/>
              </w:rPr>
              <w:t>(8).</w:t>
            </w:r>
            <w:r w:rsidRPr="00132E65">
              <w:rPr>
                <w:rtl/>
              </w:rPr>
              <w:t xml:space="preserve"> في « بح ، بر » </w:t>
            </w:r>
            <w:r>
              <w:rPr>
                <w:rtl/>
              </w:rPr>
              <w:t xml:space="preserve">: - </w:t>
            </w:r>
            <w:r w:rsidRPr="00132E65">
              <w:rPr>
                <w:rtl/>
              </w:rPr>
              <w:t>« به »</w:t>
            </w:r>
            <w:r>
              <w:rPr>
                <w:rtl/>
              </w:rPr>
              <w:t>.</w:t>
            </w:r>
          </w:p>
        </w:tc>
        <w:tc>
          <w:tcPr>
            <w:tcW w:w="4006" w:type="dxa"/>
          </w:tcPr>
          <w:p w:rsidR="005A18E7" w:rsidRDefault="005A18E7" w:rsidP="000C39D1">
            <w:pPr>
              <w:pStyle w:val="libFootnote0"/>
              <w:rPr>
                <w:rtl/>
              </w:rPr>
            </w:pPr>
            <w:r>
              <w:rPr>
                <w:rtl/>
              </w:rPr>
              <w:t>(9).</w:t>
            </w:r>
            <w:r w:rsidRPr="00132E65">
              <w:rPr>
                <w:rtl/>
              </w:rPr>
              <w:t xml:space="preserve"> في البحار ، ج 39 : « وتقوم »</w:t>
            </w:r>
            <w:r>
              <w:rPr>
                <w:rtl/>
              </w:rPr>
              <w:t>.</w:t>
            </w:r>
          </w:p>
        </w:tc>
      </w:tr>
      <w:tr w:rsidR="005A18E7" w:rsidTr="005A18E7">
        <w:tc>
          <w:tcPr>
            <w:tcW w:w="4006" w:type="dxa"/>
          </w:tcPr>
          <w:p w:rsidR="005A18E7" w:rsidRDefault="005A18E7" w:rsidP="000C39D1">
            <w:pPr>
              <w:pStyle w:val="libFootnote0"/>
              <w:rPr>
                <w:rtl/>
              </w:rPr>
            </w:pPr>
            <w:r>
              <w:rPr>
                <w:rtl/>
              </w:rPr>
              <w:t>(10).</w:t>
            </w:r>
            <w:r w:rsidRPr="00132E65">
              <w:rPr>
                <w:rtl/>
              </w:rPr>
              <w:t xml:space="preserve"> في البصائر </w:t>
            </w:r>
            <w:r>
              <w:rPr>
                <w:rtl/>
              </w:rPr>
              <w:t xml:space="preserve">: - </w:t>
            </w:r>
            <w:r w:rsidRPr="00132E65">
              <w:rPr>
                <w:rtl/>
              </w:rPr>
              <w:t>« عمرو »</w:t>
            </w:r>
            <w:r>
              <w:rPr>
                <w:rtl/>
              </w:rPr>
              <w:t>.</w:t>
            </w:r>
          </w:p>
        </w:tc>
        <w:tc>
          <w:tcPr>
            <w:tcW w:w="4006" w:type="dxa"/>
          </w:tcPr>
          <w:p w:rsidR="005A18E7" w:rsidRDefault="005A18E7" w:rsidP="000C39D1">
            <w:pPr>
              <w:pStyle w:val="libFootnote0"/>
              <w:rPr>
                <w:rtl/>
              </w:rPr>
            </w:pPr>
            <w:r>
              <w:rPr>
                <w:rtl/>
              </w:rPr>
              <w:t>(11).</w:t>
            </w:r>
            <w:r w:rsidRPr="00132E65">
              <w:rPr>
                <w:rtl/>
              </w:rPr>
              <w:t xml:space="preserve"> في البحار ، ج 39 : « وهو »</w:t>
            </w:r>
            <w:r>
              <w:rPr>
                <w:rtl/>
              </w:rPr>
              <w:t>.</w:t>
            </w:r>
          </w:p>
        </w:tc>
      </w:tr>
      <w:tr w:rsidR="005A18E7" w:rsidTr="005A18E7">
        <w:tc>
          <w:tcPr>
            <w:tcW w:w="4006" w:type="dxa"/>
          </w:tcPr>
          <w:p w:rsidR="005A18E7" w:rsidRDefault="005A18E7" w:rsidP="000C39D1">
            <w:pPr>
              <w:pStyle w:val="libFootnote0"/>
              <w:rPr>
                <w:rtl/>
              </w:rPr>
            </w:pPr>
            <w:r>
              <w:rPr>
                <w:rtl/>
              </w:rPr>
              <w:t>(12).</w:t>
            </w:r>
            <w:r w:rsidRPr="00132E65">
              <w:rPr>
                <w:rtl/>
              </w:rPr>
              <w:t xml:space="preserve"> في حاشية « بح » والبصائر : « وذلك »</w:t>
            </w:r>
            <w:r>
              <w:rPr>
                <w:rtl/>
              </w:rPr>
              <w:t>.</w:t>
            </w:r>
          </w:p>
        </w:tc>
        <w:tc>
          <w:tcPr>
            <w:tcW w:w="4006" w:type="dxa"/>
          </w:tcPr>
          <w:p w:rsidR="005A18E7" w:rsidRDefault="005A18E7" w:rsidP="000C39D1">
            <w:pPr>
              <w:pStyle w:val="libFootnote0"/>
              <w:rPr>
                <w:rtl/>
              </w:rPr>
            </w:pPr>
            <w:r>
              <w:rPr>
                <w:rtl/>
              </w:rPr>
              <w:t>(13)</w:t>
            </w:r>
            <w:r w:rsidRPr="00132E65">
              <w:rPr>
                <w:rtl/>
              </w:rPr>
              <w:t xml:space="preserve"> في « بح » : « فقال »</w:t>
            </w:r>
            <w:r>
              <w:rPr>
                <w:rtl/>
              </w:rPr>
              <w:t>.</w:t>
            </w:r>
          </w:p>
        </w:tc>
      </w:tr>
    </w:tbl>
    <w:p w:rsidR="000C39D1" w:rsidRPr="00132E65" w:rsidRDefault="000C39D1" w:rsidP="005A18E7">
      <w:pPr>
        <w:pStyle w:val="libFootnote0"/>
        <w:rPr>
          <w:rtl/>
          <w:lang w:bidi="fa-IR"/>
        </w:rPr>
      </w:pPr>
      <w:r>
        <w:rPr>
          <w:rtl/>
        </w:rPr>
        <w:t>(14)</w:t>
      </w:r>
      <w:r w:rsidRPr="00132E65">
        <w:rPr>
          <w:rtl/>
        </w:rPr>
        <w:t xml:space="preserve"> </w:t>
      </w:r>
      <w:r w:rsidRPr="007A1104">
        <w:rPr>
          <w:rStyle w:val="libFootnoteBoldChar"/>
          <w:rtl/>
        </w:rPr>
        <w:t>بصائر الدرجات</w:t>
      </w:r>
      <w:r w:rsidRPr="00132E65">
        <w:rPr>
          <w:rtl/>
        </w:rPr>
        <w:t xml:space="preserve"> ، ص 97 ، ح 7 ، عن إبراهيم بن هاشم</w:t>
      </w:r>
      <w:r w:rsidR="005A18E7">
        <w:rPr>
          <w:rFonts w:hint="cs"/>
          <w:rtl/>
        </w:rPr>
        <w:t>.</w:t>
      </w:r>
      <w:r w:rsidRPr="009D1ACE">
        <w:rPr>
          <w:rStyle w:val="libFootnoteBoldChar"/>
          <w:rtl/>
        </w:rPr>
        <w:t>الوافي</w:t>
      </w:r>
      <w:r w:rsidRPr="00132E65">
        <w:rPr>
          <w:rtl/>
        </w:rPr>
        <w:t xml:space="preserve"> ، ج 3 ، ص 640 ، ح 1233 ؛ </w:t>
      </w:r>
      <w:r w:rsidRPr="00355805">
        <w:rPr>
          <w:rtl/>
        </w:rPr>
        <w:t>البحار</w:t>
      </w:r>
      <w:r w:rsidRPr="00132E65">
        <w:rPr>
          <w:rtl/>
        </w:rPr>
        <w:t xml:space="preserve"> ، ج 39 ، ص 163 ، ح 3 ؛ وج 63 ، ص 66 ، ح 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أَحْمَدَ بْنِ النَّضْرِ ، عَنِ النُّعْمَانِ بْنِ بَشِيرٍ ، قَالَ :</w:t>
      </w:r>
    </w:p>
    <w:p w:rsidR="000C39D1" w:rsidRPr="00132E65" w:rsidRDefault="000C39D1" w:rsidP="00936037">
      <w:pPr>
        <w:pStyle w:val="libNormal"/>
        <w:rPr>
          <w:rtl/>
          <w:lang w:bidi="fa-IR"/>
        </w:rPr>
      </w:pPr>
      <w:r w:rsidRPr="00132E65">
        <w:rPr>
          <w:rtl/>
          <w:lang w:bidi="fa-IR"/>
        </w:rPr>
        <w:t xml:space="preserve">كُنْتُ مُزَامِلاً </w:t>
      </w:r>
      <w:r>
        <w:rPr>
          <w:rStyle w:val="libFootnotenumChar"/>
          <w:rtl/>
        </w:rPr>
        <w:t>(1)</w:t>
      </w:r>
      <w:r w:rsidRPr="00132E65">
        <w:rPr>
          <w:rtl/>
          <w:lang w:bidi="fa-IR"/>
        </w:rPr>
        <w:t xml:space="preserve"> لِجَابِرِ بْنِ يَزِيدَ الْجُعْفِيِّ ، فَلَمَّا أَنْ كُنَّا بِالْمَدِينَةِ دَخَلَ عَلى أَبِي جَعْفَرٍ </w:t>
      </w:r>
      <w:r w:rsidRPr="00071CF9">
        <w:rPr>
          <w:rStyle w:val="libAlaemChar"/>
          <w:rtl/>
        </w:rPr>
        <w:t>عليه‌السلام</w:t>
      </w:r>
      <w:r w:rsidRPr="00132E65">
        <w:rPr>
          <w:rtl/>
          <w:lang w:bidi="fa-IR"/>
        </w:rPr>
        <w:t xml:space="preserve"> ، فَوَدَّعَهُ وخَرَجَ مِنْ عِنْدِهِ وهُوَ مَسْرُورٌ ، حَتّى ورَدْنَا الْأُخَيْرِجَةَ </w:t>
      </w:r>
      <w:r>
        <w:rPr>
          <w:rStyle w:val="libFootnotenumChar"/>
          <w:rtl/>
        </w:rPr>
        <w:t>(2)</w:t>
      </w:r>
      <w:r>
        <w:rPr>
          <w:rtl/>
          <w:lang w:bidi="fa-IR"/>
        </w:rPr>
        <w:t xml:space="preserve"> - </w:t>
      </w:r>
      <w:r w:rsidRPr="00132E65">
        <w:rPr>
          <w:rtl/>
          <w:lang w:bidi="fa-IR"/>
        </w:rPr>
        <w:t xml:space="preserve">أَوَّلَ </w:t>
      </w:r>
      <w:r>
        <w:rPr>
          <w:rStyle w:val="libFootnotenumChar"/>
          <w:rtl/>
        </w:rPr>
        <w:t>(3)</w:t>
      </w:r>
      <w:r w:rsidRPr="00132E65">
        <w:rPr>
          <w:rtl/>
          <w:lang w:bidi="fa-IR"/>
        </w:rPr>
        <w:t xml:space="preserve"> مَنْزِلٍ نَعْدِلُ </w:t>
      </w:r>
      <w:r>
        <w:rPr>
          <w:rStyle w:val="libFootnotenumChar"/>
          <w:rtl/>
        </w:rPr>
        <w:t>(4)</w:t>
      </w:r>
      <w:r w:rsidRPr="00132E65">
        <w:rPr>
          <w:rtl/>
          <w:lang w:bidi="fa-IR"/>
        </w:rPr>
        <w:t xml:space="preserve"> مِنْ فَيْدَ </w:t>
      </w:r>
      <w:r>
        <w:rPr>
          <w:rStyle w:val="libFootnotenumChar"/>
          <w:rtl/>
        </w:rPr>
        <w:t>(5)</w:t>
      </w:r>
      <w:r w:rsidRPr="00132E65">
        <w:rPr>
          <w:rtl/>
          <w:lang w:bidi="fa-IR"/>
        </w:rPr>
        <w:t xml:space="preserve"> إِلَى الْمَدِينَةِ</w:t>
      </w:r>
      <w:r>
        <w:rPr>
          <w:rtl/>
          <w:lang w:bidi="fa-IR"/>
        </w:rPr>
        <w:t xml:space="preserve"> - </w:t>
      </w:r>
      <w:r w:rsidRPr="00132E65">
        <w:rPr>
          <w:rtl/>
          <w:lang w:bidi="fa-IR"/>
        </w:rPr>
        <w:t xml:space="preserve">يَوْمَ جُمُعَةٍ </w:t>
      </w:r>
      <w:r>
        <w:rPr>
          <w:rStyle w:val="libFootnotenumChar"/>
          <w:rtl/>
        </w:rPr>
        <w:t>(6)</w:t>
      </w:r>
      <w:r w:rsidRPr="00132E65">
        <w:rPr>
          <w:rtl/>
          <w:lang w:bidi="fa-IR"/>
        </w:rPr>
        <w:t xml:space="preserve"> ، فَصَلَّيْنَا الزَّوَالَ ، فَلَمَّا نَهَضَ بِنَا الْبَعِيرُ إِذَا </w:t>
      </w:r>
      <w:r>
        <w:rPr>
          <w:rStyle w:val="libFootnotenumChar"/>
          <w:rtl/>
        </w:rPr>
        <w:t>(7)</w:t>
      </w:r>
      <w:r w:rsidRPr="00132E65">
        <w:rPr>
          <w:rtl/>
          <w:lang w:bidi="fa-IR"/>
        </w:rPr>
        <w:t xml:space="preserve"> أَنَا بِرَجُلٍ طُوَالٍ </w:t>
      </w:r>
      <w:r>
        <w:rPr>
          <w:rStyle w:val="libFootnotenumChar"/>
          <w:rtl/>
        </w:rPr>
        <w:t>(8)</w:t>
      </w:r>
      <w:r w:rsidRPr="00132E65">
        <w:rPr>
          <w:rtl/>
          <w:lang w:bidi="fa-IR"/>
        </w:rPr>
        <w:t xml:space="preserve"> ، آدَمَ </w:t>
      </w:r>
      <w:r>
        <w:rPr>
          <w:rStyle w:val="libFootnotenumChar"/>
          <w:rtl/>
        </w:rPr>
        <w:t>(9)</w:t>
      </w:r>
      <w:r w:rsidRPr="00132E65">
        <w:rPr>
          <w:rtl/>
          <w:lang w:bidi="fa-IR"/>
        </w:rPr>
        <w:t xml:space="preserve"> ، مَعَهُ كِتَابٌ ، فَنَاوَلَهُ جَابِراً ، فَتَنَاوَلَهُ </w:t>
      </w:r>
      <w:r>
        <w:rPr>
          <w:rStyle w:val="libFootnotenumChar"/>
          <w:rtl/>
        </w:rPr>
        <w:t>(10)</w:t>
      </w:r>
      <w:r w:rsidR="005A18E7">
        <w:rPr>
          <w:rtl/>
          <w:lang w:bidi="fa-IR"/>
        </w:rPr>
        <w:t xml:space="preserve"> ، فَقَبَّلَهُ و</w:t>
      </w:r>
      <w:r w:rsidR="005A18E7">
        <w:rPr>
          <w:rFonts w:hint="cs"/>
          <w:rtl/>
          <w:lang w:bidi="fa-IR"/>
        </w:rPr>
        <w:t xml:space="preserve">َ </w:t>
      </w:r>
      <w:r w:rsidR="005A18E7">
        <w:rPr>
          <w:rtl/>
          <w:lang w:bidi="fa-IR"/>
        </w:rPr>
        <w:t>و</w:t>
      </w:r>
      <w:r w:rsidR="005A18E7">
        <w:rPr>
          <w:rFonts w:hint="cs"/>
          <w:rtl/>
          <w:lang w:bidi="fa-IR"/>
        </w:rPr>
        <w:t>َ</w:t>
      </w:r>
      <w:r w:rsidRPr="00132E65">
        <w:rPr>
          <w:rtl/>
          <w:lang w:bidi="fa-IR"/>
        </w:rPr>
        <w:t>ضَعَهُ عَلى عَيْنَيْهِ ، وإِذَا هُوَ « مِنْ مُحَمَّدِ بْنِ عَلِيٍّ إِلى جَابِرِ بْنِ يَزِيدَ » وعَلَيْهِ طِينٌ أَسْوَدُ ، رَطْبٌ ، فَقَالَ لَهُ : مَتى عَهْدُكَ بِسَيِّدِي</w:t>
      </w:r>
      <w:r>
        <w:rPr>
          <w:rtl/>
          <w:lang w:bidi="fa-IR"/>
        </w:rPr>
        <w:t>؟</w:t>
      </w:r>
      <w:r w:rsidRPr="00132E65">
        <w:rPr>
          <w:rtl/>
          <w:lang w:bidi="fa-IR"/>
        </w:rPr>
        <w:t xml:space="preserve"> فَقَالَ : السَّاعَةَ ، فَقَالَ لَهُ : قَبْلَ الصَّلَاةِ ، أَوْ بَعْدَ الصَّلَاةِ</w:t>
      </w:r>
      <w:r>
        <w:rPr>
          <w:rtl/>
          <w:lang w:bidi="fa-IR"/>
        </w:rPr>
        <w:t>؟</w:t>
      </w:r>
      <w:r>
        <w:rPr>
          <w:rFonts w:hint="cs"/>
          <w:rtl/>
          <w:lang w:bidi="fa-IR"/>
        </w:rPr>
        <w:t xml:space="preserve"> </w:t>
      </w:r>
      <w:r w:rsidRPr="00132E65">
        <w:rPr>
          <w:rtl/>
          <w:lang w:bidi="fa-IR"/>
        </w:rPr>
        <w:t xml:space="preserve">فَقَالَ : بَعْدَ الصَّلَاةِ ، قَالَ </w:t>
      </w:r>
      <w:r>
        <w:rPr>
          <w:rStyle w:val="libFootnotenumChar"/>
          <w:rtl/>
        </w:rPr>
        <w:t>(11)</w:t>
      </w:r>
      <w:r w:rsidRPr="00132E65">
        <w:rPr>
          <w:rtl/>
          <w:lang w:bidi="fa-IR"/>
        </w:rPr>
        <w:t xml:space="preserve"> : فَفَكَّ الْخَاتَمَ ، وأَقْبَلَ يَقْرَؤُهُ</w:t>
      </w:r>
      <w:r w:rsidR="00936037">
        <w:rPr>
          <w:rFonts w:hint="cs"/>
          <w:rtl/>
          <w:lang w:bidi="fa-IR"/>
        </w:rPr>
        <w:t>...............</w:t>
      </w:r>
      <w:r w:rsidR="005A18E7">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w:t>
      </w:r>
      <w:r w:rsidR="005A18E7">
        <w:rPr>
          <w:rFonts w:hint="cs"/>
          <w:rtl/>
        </w:rPr>
        <w:t>ـ</w:t>
      </w:r>
      <w:r w:rsidRPr="00132E65">
        <w:rPr>
          <w:rtl/>
        </w:rPr>
        <w:t xml:space="preserve">مُزامَلَة » : المعادلة على البعير. </w:t>
      </w:r>
      <w:r w:rsidRPr="00355805">
        <w:rPr>
          <w:rtl/>
        </w:rPr>
        <w:t>الصحاح</w:t>
      </w:r>
      <w:r w:rsidRPr="00132E65">
        <w:rPr>
          <w:rtl/>
        </w:rPr>
        <w:t xml:space="preserve"> ، ج 4 ، ص 1718 ( زمل )</w:t>
      </w:r>
      <w:r>
        <w:rPr>
          <w:rtl/>
        </w:rPr>
        <w:t>.</w:t>
      </w:r>
    </w:p>
    <w:p w:rsidR="000C39D1" w:rsidRPr="00132E65" w:rsidRDefault="000C39D1" w:rsidP="000C39D1">
      <w:pPr>
        <w:pStyle w:val="libFootnote0"/>
        <w:rPr>
          <w:rtl/>
          <w:lang w:bidi="fa-IR"/>
        </w:rPr>
      </w:pPr>
      <w:r>
        <w:rPr>
          <w:rtl/>
        </w:rPr>
        <w:t>(2).</w:t>
      </w:r>
      <w:r w:rsidRPr="00132E65">
        <w:rPr>
          <w:rtl/>
        </w:rPr>
        <w:t xml:space="preserve"> في حاشية « ض » و</w:t>
      </w:r>
      <w:r w:rsidRPr="009D1ACE">
        <w:rPr>
          <w:rStyle w:val="libFootnoteBoldChar"/>
          <w:rtl/>
        </w:rPr>
        <w:t>الوافي</w:t>
      </w:r>
      <w:r w:rsidRPr="00132E65">
        <w:rPr>
          <w:rtl/>
        </w:rPr>
        <w:t xml:space="preserve"> : « الأخرجة »</w:t>
      </w:r>
      <w:r>
        <w:rPr>
          <w:rtl/>
        </w:rPr>
        <w:t>.</w:t>
      </w:r>
      <w:r w:rsidRPr="00132E65">
        <w:rPr>
          <w:rtl/>
        </w:rPr>
        <w:t xml:space="preserve"> </w:t>
      </w:r>
      <w:r>
        <w:rPr>
          <w:rtl/>
        </w:rPr>
        <w:t>و «</w:t>
      </w:r>
      <w:r w:rsidRPr="00132E65">
        <w:rPr>
          <w:rtl/>
        </w:rPr>
        <w:t xml:space="preserve"> الا</w:t>
      </w:r>
      <w:r w:rsidR="005A18E7">
        <w:rPr>
          <w:rFonts w:hint="cs"/>
          <w:rtl/>
        </w:rPr>
        <w:t>ُ</w:t>
      </w:r>
      <w:r w:rsidRPr="00132E65">
        <w:rPr>
          <w:rtl/>
        </w:rPr>
        <w:t>خَيْرِجَةُ » : تصغير أَخْرَجَة ، وهي بئر في أصل جبل واحد من‌الأخرجين ، وهما جبلان معروفان. وقيل : للعرب بئر احتفرت في أصل جبل أخْرَجَ</w:t>
      </w:r>
      <w:r>
        <w:rPr>
          <w:rtl/>
        </w:rPr>
        <w:t xml:space="preserve"> - </w:t>
      </w:r>
      <w:r w:rsidRPr="00132E65">
        <w:rPr>
          <w:rtl/>
        </w:rPr>
        <w:t>أي الأسود في بياض</w:t>
      </w:r>
      <w:r>
        <w:rPr>
          <w:rtl/>
        </w:rPr>
        <w:t xml:space="preserve"> - </w:t>
      </w:r>
      <w:r w:rsidRPr="00132E65">
        <w:rPr>
          <w:rtl/>
        </w:rPr>
        <w:t xml:space="preserve">يسمّونها : أخرجة ، وبئر اخرى احتفرت في أصل جبل أسوَدَ ، يسمّونها : أسودَة. راجع : </w:t>
      </w:r>
      <w:r w:rsidRPr="009D1ACE">
        <w:rPr>
          <w:rStyle w:val="libFootnoteBoldChar"/>
          <w:rtl/>
        </w:rPr>
        <w:t>لسان العرب</w:t>
      </w:r>
      <w:r w:rsidRPr="00132E65">
        <w:rPr>
          <w:rtl/>
        </w:rPr>
        <w:t xml:space="preserve"> ، ج 2 ، ص 253 ( خرج )</w:t>
      </w:r>
      <w:r>
        <w:rPr>
          <w:rtl/>
        </w:rPr>
        <w:t>.</w:t>
      </w:r>
    </w:p>
    <w:p w:rsidR="000C39D1" w:rsidRPr="00132E65" w:rsidRDefault="000C39D1" w:rsidP="000C39D1">
      <w:pPr>
        <w:pStyle w:val="libFootnote0"/>
        <w:rPr>
          <w:rtl/>
          <w:lang w:bidi="fa-IR"/>
        </w:rPr>
      </w:pPr>
      <w:r>
        <w:rPr>
          <w:rtl/>
        </w:rPr>
        <w:t>(3).</w:t>
      </w:r>
      <w:r w:rsidRPr="00132E65">
        <w:rPr>
          <w:rtl/>
        </w:rPr>
        <w:t xml:space="preserve"> قال المجلسي : « وأوّل ، منصوب بدل الاخيرجة ، هي أوّل مرفوع بالخبريّة ، أي أوّل منزل يعدل من فيد »</w:t>
      </w:r>
      <w:r>
        <w:rPr>
          <w:rtl/>
        </w:rPr>
        <w:t>.</w:t>
      </w:r>
      <w:r w:rsidRPr="00132E65">
        <w:rPr>
          <w:rtl/>
        </w:rPr>
        <w:t xml:space="preserve"> </w:t>
      </w:r>
      <w:r w:rsidRPr="009D1ACE">
        <w:rPr>
          <w:rStyle w:val="libFootnoteBoldChar"/>
          <w:rtl/>
        </w:rPr>
        <w:t>مرآة العقول</w:t>
      </w:r>
      <w:r w:rsidRPr="00132E65">
        <w:rPr>
          <w:rtl/>
        </w:rPr>
        <w:t xml:space="preserve"> ، ج 4 ، ص 296.</w:t>
      </w:r>
    </w:p>
    <w:p w:rsidR="000C39D1" w:rsidRPr="00132E65" w:rsidRDefault="000C39D1" w:rsidP="000C39D1">
      <w:pPr>
        <w:pStyle w:val="libFootnote0"/>
        <w:rPr>
          <w:rtl/>
          <w:lang w:bidi="fa-IR"/>
        </w:rPr>
      </w:pPr>
      <w:r>
        <w:rPr>
          <w:rtl/>
        </w:rPr>
        <w:t>(4).</w:t>
      </w:r>
      <w:r w:rsidRPr="00132E65">
        <w:rPr>
          <w:rtl/>
        </w:rPr>
        <w:t xml:space="preserve"> في « ب ، ض ، ف ، بر » : « يعدل »</w:t>
      </w:r>
      <w:r>
        <w:rPr>
          <w:rtl/>
        </w:rPr>
        <w:t>.</w:t>
      </w:r>
      <w:r w:rsidRPr="00132E65">
        <w:rPr>
          <w:rtl/>
        </w:rPr>
        <w:t xml:space="preserve"> وفي </w:t>
      </w:r>
      <w:r w:rsidRPr="009D1ACE">
        <w:rPr>
          <w:rStyle w:val="libFootnoteBoldChar"/>
          <w:rtl/>
        </w:rPr>
        <w:t>الوافي</w:t>
      </w:r>
      <w:r w:rsidRPr="00132E65">
        <w:rPr>
          <w:rtl/>
        </w:rPr>
        <w:t xml:space="preserve"> والبحار : « تعدل »</w:t>
      </w:r>
      <w:r>
        <w:rPr>
          <w:rtl/>
        </w:rPr>
        <w:t>.</w:t>
      </w:r>
    </w:p>
    <w:p w:rsidR="00936037" w:rsidRDefault="000C39D1" w:rsidP="00936037">
      <w:pPr>
        <w:pStyle w:val="libFootnote0"/>
        <w:rPr>
          <w:rtl/>
        </w:rPr>
      </w:pPr>
      <w:r>
        <w:rPr>
          <w:rtl/>
        </w:rPr>
        <w:t>(5).</w:t>
      </w:r>
      <w:r w:rsidRPr="00132E65">
        <w:rPr>
          <w:rtl/>
        </w:rPr>
        <w:t xml:space="preserve"> في </w:t>
      </w:r>
      <w:r w:rsidRPr="00355805">
        <w:rPr>
          <w:rtl/>
        </w:rPr>
        <w:t>المرآة</w:t>
      </w:r>
      <w:r w:rsidRPr="00132E65">
        <w:rPr>
          <w:rtl/>
        </w:rPr>
        <w:t xml:space="preserve"> : « ولعلّ المعنى أنّ فيداً منزل مشترك بين من يذهب من الكوفة إلى مكّة أو إلى المدينة ، وكذا ما قبله من المنازل ، فإذا خرج المسافر من فيد يفترق الطريقان ، فإذا ذهب إلى المدينة فأوّل منزل ينزله الاخيرجة. وقيل : أراد به أنّ المسافة بين الاخيرجة وبين المدينة كالمسافة بين فيد والمدينة. وقيل : كانت بينها وبين الكوفة مثل ما بين فيد والمدينة. وما ذكرنا أظهر كما لايخفى. وفي </w:t>
      </w:r>
      <w:r w:rsidRPr="00355805">
        <w:rPr>
          <w:rtl/>
        </w:rPr>
        <w:t>اللسان</w:t>
      </w:r>
      <w:r w:rsidRPr="00132E65">
        <w:rPr>
          <w:rtl/>
        </w:rPr>
        <w:t xml:space="preserve"> : « فيد : منزل بطريق مكّة »</w:t>
      </w:r>
      <w:r>
        <w:rPr>
          <w:rtl/>
        </w:rPr>
        <w:t>.</w:t>
      </w:r>
      <w:r w:rsidRPr="00132E65">
        <w:rPr>
          <w:rtl/>
        </w:rPr>
        <w:t xml:space="preserve"> راجع : </w:t>
      </w:r>
      <w:r w:rsidRPr="009D1ACE">
        <w:rPr>
          <w:rStyle w:val="libFootnoteBoldChar"/>
          <w:rtl/>
        </w:rPr>
        <w:t>لسان العرب</w:t>
      </w:r>
      <w:r w:rsidRPr="00132E65">
        <w:rPr>
          <w:rtl/>
        </w:rPr>
        <w:t xml:space="preserve"> ، ج 3 ، ص 340 » ( فيد )</w:t>
      </w:r>
      <w:r>
        <w:rPr>
          <w:rtl/>
        </w:rPr>
        <w:t>.</w:t>
      </w:r>
    </w:p>
    <w:p w:rsidR="000C39D1" w:rsidRPr="00132E65" w:rsidRDefault="000C39D1" w:rsidP="00936037">
      <w:pPr>
        <w:pStyle w:val="libFootnote0"/>
        <w:rPr>
          <w:rtl/>
          <w:lang w:bidi="fa-IR"/>
        </w:rPr>
      </w:pPr>
      <w:r>
        <w:rPr>
          <w:rtl/>
        </w:rPr>
        <w:t>(6).</w:t>
      </w:r>
      <w:r w:rsidRPr="00132E65">
        <w:rPr>
          <w:rtl/>
        </w:rPr>
        <w:t xml:space="preserve"> في « بح » والبحار : « الجمعة »</w:t>
      </w:r>
      <w:r>
        <w:rPr>
          <w:rtl/>
        </w:rPr>
        <w:t>.</w:t>
      </w:r>
    </w:p>
    <w:tbl>
      <w:tblPr>
        <w:tblStyle w:val="TableGrid"/>
        <w:bidiVisual/>
        <w:tblW w:w="0" w:type="auto"/>
        <w:tblLook w:val="04A0" w:firstRow="1" w:lastRow="0" w:firstColumn="1" w:lastColumn="0" w:noHBand="0" w:noVBand="1"/>
      </w:tblPr>
      <w:tblGrid>
        <w:gridCol w:w="4006"/>
        <w:gridCol w:w="4006"/>
      </w:tblGrid>
      <w:tr w:rsidR="005A18E7" w:rsidTr="005A18E7">
        <w:tc>
          <w:tcPr>
            <w:tcW w:w="4006" w:type="dxa"/>
          </w:tcPr>
          <w:p w:rsidR="005A18E7" w:rsidRDefault="005A18E7" w:rsidP="000C39D1">
            <w:pPr>
              <w:pStyle w:val="libFootnote0"/>
              <w:rPr>
                <w:rtl/>
              </w:rPr>
            </w:pPr>
            <w:r>
              <w:rPr>
                <w:rtl/>
              </w:rPr>
              <w:t>(7).</w:t>
            </w:r>
            <w:r w:rsidRPr="00132E65">
              <w:rPr>
                <w:rtl/>
              </w:rPr>
              <w:t xml:space="preserve"> في « ج » : « إذ »</w:t>
            </w:r>
            <w:r>
              <w:rPr>
                <w:rtl/>
              </w:rPr>
              <w:t>.</w:t>
            </w:r>
          </w:p>
        </w:tc>
        <w:tc>
          <w:tcPr>
            <w:tcW w:w="4006" w:type="dxa"/>
          </w:tcPr>
          <w:p w:rsidR="005A18E7" w:rsidRDefault="005A18E7" w:rsidP="000C39D1">
            <w:pPr>
              <w:pStyle w:val="libFootnote0"/>
              <w:rPr>
                <w:rtl/>
              </w:rPr>
            </w:pPr>
            <w:r>
              <w:rPr>
                <w:rtl/>
              </w:rPr>
              <w:t>(8).</w:t>
            </w:r>
            <w:r w:rsidRPr="00132E65">
              <w:rPr>
                <w:rtl/>
              </w:rPr>
              <w:t xml:space="preserve"> في « بر » : « طوّال » بتضعيف الواو.</w:t>
            </w:r>
          </w:p>
        </w:tc>
      </w:tr>
    </w:tbl>
    <w:p w:rsidR="000C39D1" w:rsidRPr="00132E65" w:rsidRDefault="000C39D1" w:rsidP="000C39D1">
      <w:pPr>
        <w:pStyle w:val="libFootnote0"/>
        <w:rPr>
          <w:rtl/>
          <w:lang w:bidi="fa-IR"/>
        </w:rPr>
      </w:pPr>
      <w:r>
        <w:rPr>
          <w:rtl/>
        </w:rPr>
        <w:t>(9).</w:t>
      </w:r>
      <w:r w:rsidRPr="00132E65">
        <w:rPr>
          <w:rtl/>
        </w:rPr>
        <w:t xml:space="preserve"> « آدَمُ » : الأسمر ، من الا</w:t>
      </w:r>
      <w:r w:rsidR="00964771">
        <w:rPr>
          <w:rFonts w:hint="cs"/>
          <w:rtl/>
        </w:rPr>
        <w:t>ُ</w:t>
      </w:r>
      <w:r w:rsidRPr="00132E65">
        <w:rPr>
          <w:rtl/>
        </w:rPr>
        <w:t>دْمة ، وهي السُمْرَةُ ، وهي منزلة بين السواد والبياض. قيل : الا</w:t>
      </w:r>
      <w:r w:rsidR="00964771">
        <w:rPr>
          <w:rFonts w:hint="cs"/>
          <w:rtl/>
        </w:rPr>
        <w:t>ُ</w:t>
      </w:r>
      <w:r w:rsidRPr="00132E65">
        <w:rPr>
          <w:rtl/>
        </w:rPr>
        <w:t xml:space="preserve">دمة في الناس السُمْرة الشديدة ، وقيل : هي شُرْبَةٌ في سواد. راجع : </w:t>
      </w:r>
      <w:r w:rsidRPr="009D1ACE">
        <w:rPr>
          <w:rStyle w:val="libFootnoteBoldChar"/>
          <w:rtl/>
        </w:rPr>
        <w:t>لسان العرب</w:t>
      </w:r>
      <w:r w:rsidRPr="00132E65">
        <w:rPr>
          <w:rtl/>
        </w:rPr>
        <w:t xml:space="preserve"> ، ج 12 ، ص 11 ( أدم )</w:t>
      </w:r>
      <w:r>
        <w:rPr>
          <w:rtl/>
        </w:rPr>
        <w:t>.</w:t>
      </w:r>
    </w:p>
    <w:p w:rsidR="000C39D1" w:rsidRPr="00132E65" w:rsidRDefault="000C39D1" w:rsidP="000C39D1">
      <w:pPr>
        <w:pStyle w:val="libFootnote0"/>
        <w:rPr>
          <w:rtl/>
          <w:lang w:bidi="fa-IR"/>
        </w:rPr>
      </w:pPr>
      <w:r>
        <w:rPr>
          <w:rtl/>
        </w:rPr>
        <w:t>(10).</w:t>
      </w:r>
      <w:r w:rsidRPr="00132E65">
        <w:rPr>
          <w:rtl/>
        </w:rPr>
        <w:t xml:space="preserve"> في البحار </w:t>
      </w:r>
      <w:r>
        <w:rPr>
          <w:rtl/>
        </w:rPr>
        <w:t xml:space="preserve">: - </w:t>
      </w:r>
      <w:r w:rsidRPr="00132E65">
        <w:rPr>
          <w:rtl/>
        </w:rPr>
        <w:t>« جابراً فتناوله »</w:t>
      </w:r>
      <w:r>
        <w:rPr>
          <w:rtl/>
        </w:rPr>
        <w:t>.</w:t>
      </w:r>
    </w:p>
    <w:p w:rsidR="000C39D1" w:rsidRPr="00132E65" w:rsidRDefault="000C39D1" w:rsidP="000C39D1">
      <w:pPr>
        <w:pStyle w:val="libFootnote0"/>
        <w:rPr>
          <w:rtl/>
          <w:lang w:bidi="fa-IR"/>
        </w:rPr>
      </w:pPr>
      <w:r>
        <w:rPr>
          <w:rtl/>
        </w:rPr>
        <w:t>(11).</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w:t>
      </w:r>
      <w:r>
        <w:rPr>
          <w:rtl/>
        </w:rPr>
        <w:t xml:space="preserve">: - </w:t>
      </w:r>
      <w:r w:rsidRPr="00132E65">
        <w:rPr>
          <w:rtl/>
        </w:rPr>
        <w:t>« 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وَيَقْبِضُ </w:t>
      </w:r>
      <w:r>
        <w:rPr>
          <w:rStyle w:val="libFootnotenumChar"/>
          <w:rtl/>
        </w:rPr>
        <w:t>(1)</w:t>
      </w:r>
      <w:r w:rsidRPr="00132E65">
        <w:rPr>
          <w:rtl/>
          <w:lang w:bidi="fa-IR"/>
        </w:rPr>
        <w:t xml:space="preserve"> وجْهَهُ حَتّى أَتى عَلى </w:t>
      </w:r>
      <w:r>
        <w:rPr>
          <w:rStyle w:val="libFootnotenumChar"/>
          <w:rtl/>
        </w:rPr>
        <w:t>(2)</w:t>
      </w:r>
      <w:r w:rsidRPr="00132E65">
        <w:rPr>
          <w:rtl/>
          <w:lang w:bidi="fa-IR"/>
        </w:rPr>
        <w:t xml:space="preserve"> آخِرِهِ ، ثُمَّ أَمْسَكَ الْكِتَابَ ، فَمَا رَأَيْتُهُ ضَاحِكاً ولَا مَسْرُوراً حَتّى وافَى الْكُوفَةَ.</w:t>
      </w:r>
    </w:p>
    <w:p w:rsidR="000C39D1" w:rsidRPr="00132E65" w:rsidRDefault="000C39D1" w:rsidP="000C39D1">
      <w:pPr>
        <w:pStyle w:val="libNormal"/>
        <w:rPr>
          <w:rtl/>
          <w:lang w:bidi="fa-IR"/>
        </w:rPr>
      </w:pPr>
      <w:r w:rsidRPr="00132E65">
        <w:rPr>
          <w:rtl/>
          <w:lang w:bidi="fa-IR"/>
        </w:rPr>
        <w:t xml:space="preserve">فَلَمَّا وافَيْنَا الْكُوفَةَ لَيْلاً بِتُّ لَيْلَتِي ، فَلَمَّا أَصْبَحْتُ أَتَيْتُهُ إِعْظَاماً لَهُ ، فَوَجَدْتُهُ قَدْ خَرَجَ عَلَيَّ </w:t>
      </w:r>
      <w:r>
        <w:rPr>
          <w:rStyle w:val="libFootnotenumChar"/>
          <w:rtl/>
        </w:rPr>
        <w:t>(3)</w:t>
      </w:r>
      <w:r w:rsidRPr="00132E65">
        <w:rPr>
          <w:rtl/>
          <w:lang w:bidi="fa-IR"/>
        </w:rPr>
        <w:t xml:space="preserve"> وفِي عُنُقِهِ كِعَابٌ </w:t>
      </w:r>
      <w:r>
        <w:rPr>
          <w:rStyle w:val="libFootnotenumChar"/>
          <w:rtl/>
        </w:rPr>
        <w:t>(4)</w:t>
      </w:r>
      <w:r w:rsidRPr="00132E65">
        <w:rPr>
          <w:rtl/>
          <w:lang w:bidi="fa-IR"/>
        </w:rPr>
        <w:t xml:space="preserve"> قَدْ عَلَّقَهَا ، وقَدْ رَكِبَ قَصَبَةً </w:t>
      </w:r>
      <w:r>
        <w:rPr>
          <w:rStyle w:val="libFootnotenumChar"/>
          <w:rtl/>
        </w:rPr>
        <w:t>(5)</w:t>
      </w:r>
      <w:r w:rsidRPr="00132E65">
        <w:rPr>
          <w:rtl/>
          <w:lang w:bidi="fa-IR"/>
        </w:rPr>
        <w:t xml:space="preserve"> وهُوَ يَقُولُ : أَجِدُ </w:t>
      </w:r>
      <w:r>
        <w:rPr>
          <w:rStyle w:val="libFootnotenumChar"/>
          <w:rtl/>
        </w:rPr>
        <w:t>(6)</w:t>
      </w:r>
      <w:r w:rsidRPr="00132E65">
        <w:rPr>
          <w:rtl/>
          <w:lang w:bidi="fa-IR"/>
        </w:rPr>
        <w:t xml:space="preserve"> مَنْصُورَ بْنَ جُمْهُورٍ أَمِيراً غَيْرَ مَأْمُورٍ ، وأَبْيَاتاً مِنْ نَحْوِ </w:t>
      </w:r>
      <w:r>
        <w:rPr>
          <w:rStyle w:val="libFootnotenumChar"/>
          <w:rtl/>
        </w:rPr>
        <w:t>(7)</w:t>
      </w:r>
      <w:r w:rsidRPr="00132E65">
        <w:rPr>
          <w:rtl/>
          <w:lang w:bidi="fa-IR"/>
        </w:rPr>
        <w:t xml:space="preserve"> هذَا ، فَنَظَرَ فِي وجْهِي ، ونَظَرْتُ فِي وَجْهِهِ ، فَلَمْ يَقُلْ لِي شَيْئاً ، ولَمْ أَقُلْ لَهُ </w:t>
      </w:r>
      <w:r>
        <w:rPr>
          <w:rStyle w:val="libFootnotenumChar"/>
          <w:rtl/>
        </w:rPr>
        <w:t>(8)</w:t>
      </w:r>
      <w:r w:rsidRPr="00132E65">
        <w:rPr>
          <w:rtl/>
          <w:lang w:bidi="fa-IR"/>
        </w:rPr>
        <w:t xml:space="preserve"> ، وأَقْبَلْتُ أَبْكِي لِمَا رَأَيْتُهُ </w:t>
      </w:r>
      <w:r>
        <w:rPr>
          <w:rStyle w:val="libFootnotenumChar"/>
          <w:rtl/>
        </w:rPr>
        <w:t>(9)</w:t>
      </w:r>
      <w:r w:rsidRPr="00132E65">
        <w:rPr>
          <w:rtl/>
          <w:lang w:bidi="fa-IR"/>
        </w:rPr>
        <w:t xml:space="preserve"> ، واجْتَمَعَ عَلَيَّ وَعَلَيْهِ الصِّبْيَانُ والنَّاسُ ، وجَاءَ </w:t>
      </w:r>
      <w:r>
        <w:rPr>
          <w:rStyle w:val="libFootnotenumChar"/>
          <w:rtl/>
        </w:rPr>
        <w:t>(10)</w:t>
      </w:r>
      <w:r w:rsidRPr="00132E65">
        <w:rPr>
          <w:rtl/>
          <w:lang w:bidi="fa-IR"/>
        </w:rPr>
        <w:t xml:space="preserve"> حَتّى دَخَلَ الرَّحَبَةَ </w:t>
      </w:r>
      <w:r>
        <w:rPr>
          <w:rStyle w:val="libFootnotenumChar"/>
          <w:rtl/>
        </w:rPr>
        <w:t>(11)</w:t>
      </w:r>
      <w:r w:rsidRPr="00132E65">
        <w:rPr>
          <w:rtl/>
          <w:lang w:bidi="fa-IR"/>
        </w:rPr>
        <w:t xml:space="preserve"> ، وأَقْبَلَ يَدُورُ مَعَ الصِّبْيَانِ وَالنَّاسُ يَقُولُونَ : جُنَّ جَابِرُ بْنُ يَزِيدَ جُنَّ </w:t>
      </w:r>
      <w:r>
        <w:rPr>
          <w:rStyle w:val="libFootnotenumChar"/>
          <w:rtl/>
        </w:rPr>
        <w:t>(12)</w:t>
      </w:r>
    </w:p>
    <w:p w:rsidR="000C39D1" w:rsidRPr="00132E65" w:rsidRDefault="000C39D1" w:rsidP="000C39D1">
      <w:pPr>
        <w:pStyle w:val="libNormal"/>
        <w:rPr>
          <w:rtl/>
          <w:lang w:bidi="fa-IR"/>
        </w:rPr>
      </w:pPr>
      <w:r w:rsidRPr="00132E65">
        <w:rPr>
          <w:rtl/>
          <w:lang w:bidi="fa-IR"/>
        </w:rPr>
        <w:t xml:space="preserve">فَوَ اللهِ مَا مَضَتِ الْأَيَّامُ </w:t>
      </w:r>
      <w:r w:rsidRPr="00F543F1">
        <w:rPr>
          <w:rStyle w:val="libFootnotenumChar"/>
          <w:rtl/>
        </w:rPr>
        <w:t>(13)</w:t>
      </w:r>
      <w:r w:rsidRPr="00132E65">
        <w:rPr>
          <w:rtl/>
          <w:lang w:bidi="fa-IR"/>
        </w:rPr>
        <w:t xml:space="preserve"> حَتّى ورَدَ كِتَابُ هِشَامِ بْنِ عَبْدِ الْمَلِكِ إِلى والِيهِ : أَنِ انْظُرْ رَجُلاً يُقَالُ لَهُ : جَابِرُ بْنُ يَزِيدَ الْجُعْفِيُّ ، فَاضْرِبْ عُنُقَهُ ، وابْعَثْ إِلَيَّ بِرَأْسِهِ. فَالْتَفَتَ إِلى جُلَسَائِهِ ، فَقَالَ لَهُمْ : مَنْ جَابِرُ بْنُ يَزِيدَ الْجُعْفِيُّ</w:t>
      </w:r>
      <w:r>
        <w:rPr>
          <w:rtl/>
          <w:lang w:bidi="fa-IR"/>
        </w:rPr>
        <w:t>؟</w:t>
      </w:r>
      <w:r w:rsidRPr="00132E65">
        <w:rPr>
          <w:rtl/>
          <w:lang w:bidi="fa-IR"/>
        </w:rPr>
        <w:t xml:space="preserve"> قَالُوا : أَصْلَحَكَ اللهُ ، كَانَ رَجُلاً ، لَهُ عِلْمٌ‌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يقبّض » بالتضعيف.</w:t>
      </w:r>
    </w:p>
    <w:p w:rsidR="000C39D1" w:rsidRPr="00132E65" w:rsidRDefault="000C39D1" w:rsidP="000C39D1">
      <w:pPr>
        <w:pStyle w:val="libFootnote0"/>
        <w:rPr>
          <w:rtl/>
          <w:lang w:bidi="fa-IR"/>
        </w:rPr>
      </w:pPr>
      <w:r>
        <w:rPr>
          <w:rtl/>
        </w:rPr>
        <w:t>(2).</w:t>
      </w:r>
      <w:r w:rsidRPr="00132E65">
        <w:rPr>
          <w:rtl/>
        </w:rPr>
        <w:t xml:space="preserve"> في « ب » : « إلى »</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عليّ »</w:t>
      </w:r>
      <w:r>
        <w:rPr>
          <w:rtl/>
        </w:rPr>
        <w:t>.</w:t>
      </w:r>
    </w:p>
    <w:p w:rsidR="000C39D1" w:rsidRPr="00132E65" w:rsidRDefault="000C39D1" w:rsidP="000C39D1">
      <w:pPr>
        <w:pStyle w:val="libFootnote0"/>
        <w:rPr>
          <w:rtl/>
          <w:lang w:bidi="fa-IR"/>
        </w:rPr>
      </w:pPr>
      <w:r>
        <w:rPr>
          <w:rtl/>
        </w:rPr>
        <w:t>(4).</w:t>
      </w:r>
      <w:r w:rsidRPr="00132E65">
        <w:rPr>
          <w:rtl/>
        </w:rPr>
        <w:t xml:space="preserve"> في حاشية « ف » : « كتاب »</w:t>
      </w:r>
      <w:r>
        <w:rPr>
          <w:rtl/>
        </w:rPr>
        <w:t>.</w:t>
      </w:r>
      <w:r w:rsidRPr="00132E65">
        <w:rPr>
          <w:rtl/>
        </w:rPr>
        <w:t xml:space="preserve"> </w:t>
      </w:r>
      <w:r>
        <w:rPr>
          <w:rtl/>
        </w:rPr>
        <w:t>و «</w:t>
      </w:r>
      <w:r w:rsidRPr="00132E65">
        <w:rPr>
          <w:rtl/>
        </w:rPr>
        <w:t xml:space="preserve"> الكِعابُ » : فُصوص النَرْد. واحدها كَعْبٌ وكَعْبَةٌ. </w:t>
      </w:r>
      <w:r w:rsidRPr="00355805">
        <w:rPr>
          <w:rtl/>
        </w:rPr>
        <w:t>النهاية</w:t>
      </w:r>
      <w:r w:rsidRPr="00132E65">
        <w:rPr>
          <w:rtl/>
        </w:rPr>
        <w:t xml:space="preserve"> ، ج 4 ، ص 17 : ( كعب )</w:t>
      </w:r>
      <w:r>
        <w:rPr>
          <w:rtl/>
        </w:rPr>
        <w:t>.</w:t>
      </w:r>
    </w:p>
    <w:p w:rsidR="000C39D1" w:rsidRPr="00132E65" w:rsidRDefault="000C39D1" w:rsidP="000C39D1">
      <w:pPr>
        <w:pStyle w:val="libFootnote0"/>
        <w:rPr>
          <w:rtl/>
          <w:lang w:bidi="fa-IR"/>
        </w:rPr>
      </w:pPr>
      <w:r>
        <w:rPr>
          <w:rtl/>
        </w:rPr>
        <w:t>(5).</w:t>
      </w:r>
      <w:r w:rsidRPr="00132E65">
        <w:rPr>
          <w:rtl/>
        </w:rPr>
        <w:t xml:space="preserve"> « القَصَبَةُ » : واحدة القَصَب ، وهو كلّ عظم مستدير أجوف ، وكلّ ما اتّخذ من فضّة أو غيرها. </w:t>
      </w:r>
      <w:r w:rsidRPr="009D1ACE">
        <w:rPr>
          <w:rStyle w:val="libFootnoteBoldChar"/>
          <w:rtl/>
        </w:rPr>
        <w:t>لسان العرب</w:t>
      </w:r>
      <w:r w:rsidRPr="00132E65">
        <w:rPr>
          <w:rtl/>
        </w:rPr>
        <w:t xml:space="preserve"> ، ج 1 ، ص 675 ( قصب )</w:t>
      </w:r>
      <w:r>
        <w:rPr>
          <w:rtl/>
        </w:rPr>
        <w:t>.</w:t>
      </w:r>
    </w:p>
    <w:p w:rsidR="000C39D1" w:rsidRPr="00132E65" w:rsidRDefault="000C39D1" w:rsidP="000C39D1">
      <w:pPr>
        <w:pStyle w:val="libFootnote0"/>
        <w:rPr>
          <w:rtl/>
          <w:lang w:bidi="fa-IR"/>
        </w:rPr>
      </w:pPr>
      <w:r>
        <w:rPr>
          <w:rtl/>
        </w:rPr>
        <w:t>(6).</w:t>
      </w:r>
      <w:r w:rsidRPr="00132E65">
        <w:rPr>
          <w:rtl/>
        </w:rPr>
        <w:t xml:space="preserve"> في « بف » : « أخذ »</w:t>
      </w:r>
      <w:r>
        <w:rPr>
          <w:rtl/>
        </w:rPr>
        <w:t>.</w:t>
      </w:r>
      <w:r w:rsidRPr="00132E65">
        <w:rPr>
          <w:rtl/>
        </w:rPr>
        <w:t xml:space="preserve"> وفي </w:t>
      </w:r>
      <w:r w:rsidRPr="009D1ACE">
        <w:rPr>
          <w:rStyle w:val="libFootnoteBoldChar"/>
          <w:rtl/>
        </w:rPr>
        <w:t>مرآة العقول</w:t>
      </w:r>
      <w:r w:rsidRPr="00132E65">
        <w:rPr>
          <w:rtl/>
        </w:rPr>
        <w:t xml:space="preserve"> : « وقيل : أمر من الإجادة ، أي أحسن الضراب والقتل. وهو بعيد »</w:t>
      </w:r>
      <w:r>
        <w:rPr>
          <w:rtl/>
        </w:rPr>
        <w:t>.</w:t>
      </w:r>
    </w:p>
    <w:tbl>
      <w:tblPr>
        <w:tblStyle w:val="TableGrid"/>
        <w:bidiVisual/>
        <w:tblW w:w="0" w:type="auto"/>
        <w:tblLook w:val="04A0" w:firstRow="1" w:lastRow="0" w:firstColumn="1" w:lastColumn="0" w:noHBand="0" w:noVBand="1"/>
      </w:tblPr>
      <w:tblGrid>
        <w:gridCol w:w="4006"/>
        <w:gridCol w:w="4006"/>
      </w:tblGrid>
      <w:tr w:rsidR="004850A9" w:rsidTr="004850A9">
        <w:tc>
          <w:tcPr>
            <w:tcW w:w="4006" w:type="dxa"/>
          </w:tcPr>
          <w:p w:rsidR="004850A9" w:rsidRDefault="004850A9" w:rsidP="000C39D1">
            <w:pPr>
              <w:pStyle w:val="libFootnote0"/>
              <w:rPr>
                <w:rtl/>
              </w:rPr>
            </w:pPr>
            <w:r>
              <w:rPr>
                <w:rtl/>
              </w:rPr>
              <w:t>(7).</w:t>
            </w:r>
            <w:r w:rsidRPr="00132E65">
              <w:rPr>
                <w:rtl/>
              </w:rPr>
              <w:t xml:space="preserve"> في « ب » : « نحوها » بدل « من نحو هذا »</w:t>
            </w:r>
            <w:r>
              <w:rPr>
                <w:rtl/>
              </w:rPr>
              <w:t>.</w:t>
            </w:r>
          </w:p>
        </w:tc>
        <w:tc>
          <w:tcPr>
            <w:tcW w:w="4006" w:type="dxa"/>
          </w:tcPr>
          <w:p w:rsidR="004850A9" w:rsidRDefault="004850A9" w:rsidP="000C39D1">
            <w:pPr>
              <w:pStyle w:val="libFootnote0"/>
              <w:rPr>
                <w:rtl/>
              </w:rPr>
            </w:pPr>
            <w:r>
              <w:rPr>
                <w:rtl/>
              </w:rPr>
              <w:t>(8).</w:t>
            </w:r>
            <w:r w:rsidRPr="00132E65">
              <w:rPr>
                <w:rtl/>
              </w:rPr>
              <w:t xml:space="preserve"> في « ف » :</w:t>
            </w:r>
            <w:r>
              <w:rPr>
                <w:rtl/>
              </w:rPr>
              <w:t xml:space="preserve"> + </w:t>
            </w:r>
            <w:r w:rsidRPr="00132E65">
              <w:rPr>
                <w:rtl/>
              </w:rPr>
              <w:t>« سيّئاً »</w:t>
            </w:r>
            <w:r>
              <w:rPr>
                <w:rtl/>
              </w:rPr>
              <w:t>.</w:t>
            </w:r>
          </w:p>
        </w:tc>
      </w:tr>
    </w:tbl>
    <w:p w:rsidR="00936037" w:rsidRDefault="000C39D1" w:rsidP="00936037">
      <w:pPr>
        <w:pStyle w:val="libFootnote0"/>
        <w:rPr>
          <w:rtl/>
        </w:rPr>
      </w:pPr>
      <w:r>
        <w:rPr>
          <w:rtl/>
        </w:rPr>
        <w:t>(9).</w:t>
      </w:r>
      <w:r w:rsidRPr="00132E65">
        <w:rPr>
          <w:rtl/>
        </w:rPr>
        <w:t xml:space="preserve"> في </w:t>
      </w:r>
      <w:r w:rsidRPr="009D1ACE">
        <w:rPr>
          <w:rStyle w:val="libFootnoteBoldChar"/>
          <w:rtl/>
        </w:rPr>
        <w:t>مرآة العقول</w:t>
      </w:r>
      <w:r w:rsidRPr="00132E65">
        <w:rPr>
          <w:rtl/>
        </w:rPr>
        <w:t xml:space="preserve"> : « لما رأيته ، بكسر اللام وتخفيف الميم ، والضمير لما ؛ أو بفتح اللام وشدّ الميم ، والضمير لجابر »</w:t>
      </w:r>
      <w:r>
        <w:rPr>
          <w:rtl/>
        </w:rPr>
        <w:t>.</w:t>
      </w:r>
    </w:p>
    <w:p w:rsidR="000C39D1" w:rsidRPr="00132E65" w:rsidRDefault="000C39D1" w:rsidP="00936037">
      <w:pPr>
        <w:pStyle w:val="libFootnote0"/>
        <w:rPr>
          <w:rtl/>
          <w:lang w:bidi="fa-IR"/>
        </w:rPr>
      </w:pPr>
      <w:r>
        <w:rPr>
          <w:rtl/>
        </w:rPr>
        <w:t>(10).</w:t>
      </w:r>
      <w:r w:rsidRPr="00132E65">
        <w:rPr>
          <w:rtl/>
        </w:rPr>
        <w:t xml:space="preserve"> في « ف » : « جاؤوا » بدل « وجاء »</w:t>
      </w:r>
      <w:r>
        <w:rPr>
          <w:rtl/>
        </w:rPr>
        <w:t>.</w:t>
      </w:r>
    </w:p>
    <w:p w:rsidR="000C39D1" w:rsidRPr="00132E65" w:rsidRDefault="000C39D1" w:rsidP="000C39D1">
      <w:pPr>
        <w:pStyle w:val="libFootnote0"/>
        <w:rPr>
          <w:rtl/>
          <w:lang w:bidi="fa-IR"/>
        </w:rPr>
      </w:pPr>
      <w:r>
        <w:rPr>
          <w:rtl/>
        </w:rPr>
        <w:t>(11).</w:t>
      </w:r>
      <w:r w:rsidRPr="00132E65">
        <w:rPr>
          <w:rtl/>
        </w:rPr>
        <w:t xml:space="preserve"> رَحَبَةُ المكان ورَحْبَتُهُ : ساحته ومتّسعه. والرحبة : محلّة بالكوفة. راجع : </w:t>
      </w:r>
      <w:r w:rsidRPr="00355805">
        <w:rPr>
          <w:rtl/>
        </w:rPr>
        <w:t>القاموس المحيط</w:t>
      </w:r>
      <w:r w:rsidRPr="00132E65">
        <w:rPr>
          <w:rtl/>
        </w:rPr>
        <w:t xml:space="preserve"> ، ج 1 ، ص 167 ( رحب )</w:t>
      </w:r>
      <w:r>
        <w:rPr>
          <w:rtl/>
        </w:rPr>
        <w:t>.</w:t>
      </w:r>
    </w:p>
    <w:p w:rsidR="000C39D1" w:rsidRPr="00132E65" w:rsidRDefault="000C39D1" w:rsidP="000C39D1">
      <w:pPr>
        <w:pStyle w:val="libFootnote0"/>
        <w:rPr>
          <w:rtl/>
          <w:lang w:bidi="fa-IR"/>
        </w:rPr>
      </w:pPr>
      <w:r>
        <w:rPr>
          <w:rtl/>
        </w:rPr>
        <w:t>(12).</w:t>
      </w:r>
      <w:r w:rsidRPr="00132E65">
        <w:rPr>
          <w:rtl/>
        </w:rPr>
        <w:t xml:space="preserve"> في « ب » :</w:t>
      </w:r>
      <w:r>
        <w:rPr>
          <w:rtl/>
        </w:rPr>
        <w:t xml:space="preserve"> + </w:t>
      </w:r>
      <w:r w:rsidRPr="00132E65">
        <w:rPr>
          <w:rtl/>
        </w:rPr>
        <w:t>« جابر بن يزيد »</w:t>
      </w:r>
      <w:r>
        <w:rPr>
          <w:rtl/>
        </w:rPr>
        <w:t>.</w:t>
      </w:r>
      <w:r w:rsidRPr="00132E65">
        <w:rPr>
          <w:rtl/>
        </w:rPr>
        <w:t xml:space="preserve"> وفي « ج ، ض ، بح ، بر ، بس ، بف » و</w:t>
      </w:r>
      <w:r w:rsidRPr="009D1ACE">
        <w:rPr>
          <w:rStyle w:val="libFootnoteBoldChar"/>
          <w:rtl/>
        </w:rPr>
        <w:t>الوافي</w:t>
      </w:r>
      <w:r w:rsidRPr="00132E65">
        <w:rPr>
          <w:rtl/>
        </w:rPr>
        <w:t xml:space="preserve"> :</w:t>
      </w:r>
      <w:r>
        <w:rPr>
          <w:rtl/>
        </w:rPr>
        <w:t xml:space="preserve"> + </w:t>
      </w:r>
      <w:r w:rsidRPr="00132E65">
        <w:rPr>
          <w:rtl/>
        </w:rPr>
        <w:t>« جابر »</w:t>
      </w:r>
      <w:r>
        <w:rPr>
          <w:rtl/>
        </w:rPr>
        <w:t>.</w:t>
      </w:r>
      <w:r w:rsidRPr="00132E65">
        <w:rPr>
          <w:rtl/>
        </w:rPr>
        <w:t xml:space="preserve"> وفي البحار </w:t>
      </w:r>
      <w:r>
        <w:rPr>
          <w:rtl/>
        </w:rPr>
        <w:t xml:space="preserve">: - </w:t>
      </w:r>
      <w:r w:rsidRPr="00132E65">
        <w:rPr>
          <w:rtl/>
        </w:rPr>
        <w:t>« جنّ »</w:t>
      </w:r>
      <w:r>
        <w:rPr>
          <w:rtl/>
        </w:rPr>
        <w:t>.</w:t>
      </w:r>
    </w:p>
    <w:p w:rsidR="000C39D1" w:rsidRPr="00132E65" w:rsidRDefault="000C39D1" w:rsidP="000C39D1">
      <w:pPr>
        <w:pStyle w:val="libFootnote0"/>
        <w:rPr>
          <w:rtl/>
          <w:lang w:bidi="fa-IR"/>
        </w:rPr>
      </w:pPr>
      <w:r>
        <w:rPr>
          <w:rtl/>
        </w:rPr>
        <w:t>(13)</w:t>
      </w:r>
      <w:r w:rsidR="004850A9">
        <w:rPr>
          <w:rtl/>
        </w:rPr>
        <w:t xml:space="preserve"> في « ف » : « إل</w:t>
      </w:r>
      <w:r w:rsidR="004850A9">
        <w:rPr>
          <w:rFonts w:hint="cs"/>
          <w:rtl/>
        </w:rPr>
        <w:t>ّ</w:t>
      </w:r>
      <w:r w:rsidR="004850A9">
        <w:rPr>
          <w:rtl/>
        </w:rPr>
        <w:t>ا</w:t>
      </w:r>
      <w:r w:rsidRPr="00132E65">
        <w:rPr>
          <w:rtl/>
        </w:rPr>
        <w:t xml:space="preserve"> أيّام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وَفَضْلٌ </w:t>
      </w:r>
      <w:r>
        <w:rPr>
          <w:rStyle w:val="libFootnotenumChar"/>
          <w:rtl/>
        </w:rPr>
        <w:t>(1)</w:t>
      </w:r>
      <w:r w:rsidRPr="00132E65">
        <w:rPr>
          <w:rtl/>
          <w:lang w:bidi="fa-IR"/>
        </w:rPr>
        <w:t xml:space="preserve"> وحَدِيثٌ ، وحَجَّ ، فَجُنَّ وهُوَ ذَا فِي الرَّحَبَةِ مَعَ الصِّبْيَانِ عَلىَ الْقَصَبِ يَلْعَبُ مَعَهُمْ.</w:t>
      </w:r>
    </w:p>
    <w:p w:rsidR="000C39D1" w:rsidRPr="00132E65" w:rsidRDefault="000C39D1" w:rsidP="000C39D1">
      <w:pPr>
        <w:pStyle w:val="libNormal"/>
        <w:rPr>
          <w:rtl/>
          <w:lang w:bidi="fa-IR"/>
        </w:rPr>
      </w:pPr>
      <w:r w:rsidRPr="00132E65">
        <w:rPr>
          <w:rtl/>
          <w:lang w:bidi="fa-IR"/>
        </w:rPr>
        <w:t xml:space="preserve">قَالَ : فَأَشْرَفَ </w:t>
      </w:r>
      <w:r>
        <w:rPr>
          <w:rStyle w:val="libFootnotenumChar"/>
          <w:rtl/>
        </w:rPr>
        <w:t>(2)</w:t>
      </w:r>
      <w:r w:rsidRPr="00132E65">
        <w:rPr>
          <w:rtl/>
          <w:lang w:bidi="fa-IR"/>
        </w:rPr>
        <w:t xml:space="preserve"> عَلَيْهِ ، فَإِذَا هُوَ مَعَ الصِّبْيَانِ يَلْعَبُ عَلَى الْقَصَبِ </w:t>
      </w:r>
      <w:r>
        <w:rPr>
          <w:rStyle w:val="libFootnotenumChar"/>
          <w:rtl/>
        </w:rPr>
        <w:t>(3)</w:t>
      </w:r>
      <w:r w:rsidRPr="00132E65">
        <w:rPr>
          <w:rtl/>
          <w:lang w:bidi="fa-IR"/>
        </w:rPr>
        <w:t xml:space="preserve"> ، فَقَالَ : الْحَمْدُ لِلّهِ الَّذِي عَافَانِي مِنْ قَتْلِهِ. قَالَ : ولَمْ تَمْضِ الْأَيَّامُ حَتّى دَخَلَ مَنْصُورُ بْنُ جُمْهُورٍ الْكُوفَةَ ، وَصَنَعَ </w:t>
      </w:r>
      <w:r>
        <w:rPr>
          <w:rStyle w:val="libFootnotenumChar"/>
          <w:rtl/>
        </w:rPr>
        <w:t>(4)</w:t>
      </w:r>
      <w:r w:rsidRPr="00132E65">
        <w:rPr>
          <w:rtl/>
          <w:lang w:bidi="fa-IR"/>
        </w:rPr>
        <w:t xml:space="preserve"> مَا كَانَ يَقُولُ جَابِرٌ. </w:t>
      </w:r>
      <w:r>
        <w:rPr>
          <w:rStyle w:val="libFootnotenumChar"/>
          <w:rtl/>
        </w:rPr>
        <w:t>(5)</w:t>
      </w:r>
    </w:p>
    <w:p w:rsidR="000C39D1" w:rsidRDefault="000C39D1" w:rsidP="000C39D1">
      <w:pPr>
        <w:pStyle w:val="Heading2Center"/>
        <w:rPr>
          <w:rtl/>
          <w:lang w:bidi="fa-IR"/>
        </w:rPr>
      </w:pPr>
      <w:bookmarkStart w:id="104" w:name="_Toc459459134"/>
      <w:bookmarkStart w:id="105" w:name="_Toc34663103"/>
      <w:r w:rsidRPr="00132E65">
        <w:rPr>
          <w:rtl/>
          <w:lang w:bidi="fa-IR"/>
        </w:rPr>
        <w:t>99</w:t>
      </w:r>
      <w:r>
        <w:rPr>
          <w:rtl/>
          <w:lang w:bidi="fa-IR"/>
        </w:rPr>
        <w:t xml:space="preserve"> - </w:t>
      </w:r>
      <w:r w:rsidRPr="00132E65">
        <w:rPr>
          <w:rtl/>
          <w:lang w:bidi="fa-IR"/>
        </w:rPr>
        <w:t xml:space="preserve">بَابٌ فِي الْأَئِمَّةِ </w:t>
      </w:r>
      <w:r w:rsidRPr="00071CF9">
        <w:rPr>
          <w:rStyle w:val="libAlaemChar"/>
          <w:rtl/>
        </w:rPr>
        <w:t>عليهم‌السلام</w:t>
      </w:r>
      <w:r w:rsidRPr="00132E65">
        <w:rPr>
          <w:rtl/>
          <w:lang w:bidi="fa-IR"/>
        </w:rPr>
        <w:t xml:space="preserve"> أَنَّهُمْ إِذَا ظَهَرَ أَمْرُهُمْ حَكَمُوا</w:t>
      </w:r>
      <w:bookmarkEnd w:id="104"/>
      <w:bookmarkEnd w:id="105"/>
      <w:r w:rsidRPr="00132E65">
        <w:rPr>
          <w:rtl/>
          <w:lang w:bidi="fa-IR"/>
        </w:rPr>
        <w:t xml:space="preserve"> </w:t>
      </w:r>
    </w:p>
    <w:p w:rsidR="000C39D1" w:rsidRDefault="000C39D1" w:rsidP="000C39D1">
      <w:pPr>
        <w:pStyle w:val="Heading2Center"/>
        <w:rPr>
          <w:rtl/>
          <w:lang w:bidi="fa-IR"/>
        </w:rPr>
      </w:pPr>
      <w:bookmarkStart w:id="106" w:name="_Toc459293647"/>
      <w:bookmarkStart w:id="107" w:name="_Toc459455116"/>
      <w:bookmarkStart w:id="108" w:name="_Toc459459135"/>
      <w:bookmarkStart w:id="109" w:name="_Toc34663104"/>
      <w:r w:rsidRPr="00132E65">
        <w:rPr>
          <w:rtl/>
          <w:lang w:bidi="fa-IR"/>
        </w:rPr>
        <w:t>بِحُكْمِ دَاوُدَ وآلِ دَاوُدَ ولَايَسْأَلُونَ الْبَيِّنَةَ ، عَلَيْهِمُ</w:t>
      </w:r>
      <w:bookmarkEnd w:id="106"/>
      <w:bookmarkEnd w:id="107"/>
      <w:bookmarkEnd w:id="108"/>
      <w:bookmarkEnd w:id="109"/>
    </w:p>
    <w:p w:rsidR="000C39D1" w:rsidRPr="00132E65" w:rsidRDefault="000C39D1" w:rsidP="000C39D1">
      <w:pPr>
        <w:pStyle w:val="Heading2Center"/>
        <w:rPr>
          <w:rtl/>
          <w:lang w:bidi="fa-IR"/>
        </w:rPr>
      </w:pPr>
      <w:bookmarkStart w:id="110" w:name="_Toc459293648"/>
      <w:bookmarkStart w:id="111" w:name="_Toc459455117"/>
      <w:bookmarkStart w:id="112" w:name="_Toc459459136"/>
      <w:bookmarkStart w:id="113" w:name="_Toc34663105"/>
      <w:r w:rsidRPr="00132E65">
        <w:rPr>
          <w:rtl/>
          <w:lang w:bidi="fa-IR"/>
        </w:rPr>
        <w:t xml:space="preserve">السَّلَامُ والرَّحْمَةُ والرِّضْوَانُ </w:t>
      </w:r>
      <w:r>
        <w:rPr>
          <w:rStyle w:val="libFootnotenumChar"/>
          <w:rtl/>
        </w:rPr>
        <w:t>(6)</w:t>
      </w:r>
      <w:r w:rsidRPr="00132E65">
        <w:rPr>
          <w:rtl/>
          <w:lang w:bidi="fa-IR"/>
        </w:rPr>
        <w:t xml:space="preserve"> ‌</w:t>
      </w:r>
      <w:bookmarkEnd w:id="110"/>
      <w:bookmarkEnd w:id="111"/>
      <w:bookmarkEnd w:id="112"/>
      <w:bookmarkEnd w:id="113"/>
    </w:p>
    <w:p w:rsidR="000C39D1" w:rsidRPr="00132E65" w:rsidRDefault="000C39D1" w:rsidP="000C39D1">
      <w:pPr>
        <w:pStyle w:val="libNormal"/>
        <w:rPr>
          <w:rtl/>
          <w:lang w:bidi="fa-IR"/>
        </w:rPr>
      </w:pPr>
      <w:r w:rsidRPr="00355805">
        <w:rPr>
          <w:rtl/>
        </w:rPr>
        <w:t>1040</w:t>
      </w:r>
      <w:r w:rsidRPr="004325D8">
        <w:rPr>
          <w:rStyle w:val="libBold2Char"/>
          <w:rtl/>
        </w:rPr>
        <w:t xml:space="preserve"> / 1.</w:t>
      </w:r>
      <w:r w:rsidRPr="00132E65">
        <w:rPr>
          <w:rtl/>
          <w:lang w:bidi="fa-IR"/>
        </w:rPr>
        <w:t xml:space="preserve"> عَلِيُّ بْنُ إِبْرَاهِيمَ ، عَنْ أَبِيهِ ، عَنِ ابْنِ أَبِي عُمَيْرٍ ، عَنْ مَنْصُورٍ ، عَنْ فَضْلٍ الْأَعْوَرِ ، عَنْ أَبِي عُبَيْدَةَ الْحَذَّاءِ ، قَالَ :</w:t>
      </w:r>
    </w:p>
    <w:p w:rsidR="000C39D1" w:rsidRPr="00132E65" w:rsidRDefault="000C39D1" w:rsidP="000C39D1">
      <w:pPr>
        <w:pStyle w:val="libNormal"/>
        <w:rPr>
          <w:rtl/>
          <w:lang w:bidi="fa-IR"/>
        </w:rPr>
      </w:pPr>
      <w:r w:rsidRPr="00132E65">
        <w:rPr>
          <w:rtl/>
          <w:lang w:bidi="fa-IR"/>
        </w:rPr>
        <w:t xml:space="preserve">كُنَّا زَمَانَ أَبِي جَعْفَرٍ </w:t>
      </w:r>
      <w:r w:rsidRPr="00071CF9">
        <w:rPr>
          <w:rStyle w:val="libAlaemChar"/>
          <w:rtl/>
        </w:rPr>
        <w:t>عليه‌السلام</w:t>
      </w:r>
      <w:r w:rsidRPr="00132E65">
        <w:rPr>
          <w:rtl/>
          <w:lang w:bidi="fa-IR"/>
        </w:rPr>
        <w:t xml:space="preserve"> حِينَ قُبِضَ نَتَرَدَّدُ كَالْغَنَمِ لَارَاعِيَ لَهَا ، فَلَقِينَا </w:t>
      </w:r>
      <w:r>
        <w:rPr>
          <w:rStyle w:val="libFootnotenumChar"/>
          <w:rtl/>
        </w:rPr>
        <w:t>(7)</w:t>
      </w:r>
      <w:r w:rsidRPr="00132E65">
        <w:rPr>
          <w:rtl/>
          <w:lang w:bidi="fa-IR"/>
        </w:rPr>
        <w:t xml:space="preserve"> سَالِمَ بْنَ أَبِي حَفْصَةَ ، فَقَالَ لِي </w:t>
      </w:r>
      <w:r>
        <w:rPr>
          <w:rStyle w:val="libFootnotenumChar"/>
          <w:rtl/>
        </w:rPr>
        <w:t>(8)</w:t>
      </w:r>
      <w:r w:rsidRPr="00132E65">
        <w:rPr>
          <w:rtl/>
          <w:lang w:bidi="fa-IR"/>
        </w:rPr>
        <w:t xml:space="preserve"> : يَا أَبَا عُبَيْدَةَ ، مَنْ إِمَامُكَ</w:t>
      </w:r>
      <w:r>
        <w:rPr>
          <w:rtl/>
          <w:lang w:bidi="fa-IR"/>
        </w:rPr>
        <w:t>؟</w:t>
      </w:r>
      <w:r w:rsidRPr="00132E65">
        <w:rPr>
          <w:rtl/>
          <w:lang w:bidi="fa-IR"/>
        </w:rPr>
        <w:t xml:space="preserve"> فَقُلْتُ : أَئِمَّتِي آلُ مُحَمَّدٍ </w:t>
      </w:r>
      <w:r w:rsidRPr="00071CF9">
        <w:rPr>
          <w:rStyle w:val="libAlaemChar"/>
          <w:rtl/>
        </w:rPr>
        <w:t>عليهم‌السلام</w:t>
      </w:r>
      <w:r w:rsidRPr="00132E65">
        <w:rPr>
          <w:rtl/>
          <w:lang w:bidi="fa-IR"/>
        </w:rPr>
        <w:t xml:space="preserve"> ، فَقَالَ :</w:t>
      </w:r>
      <w:r>
        <w:rPr>
          <w:rFonts w:hint="cs"/>
          <w:rtl/>
          <w:lang w:bidi="fa-IR"/>
        </w:rPr>
        <w:t xml:space="preserve"> </w:t>
      </w:r>
      <w:r>
        <w:rPr>
          <w:rtl/>
          <w:lang w:bidi="fa-IR"/>
        </w:rPr>
        <w:t>هَلَكْتَ وأَهْلَكْتَ ، أَ</w:t>
      </w:r>
      <w:r w:rsidRPr="00132E65">
        <w:rPr>
          <w:rtl/>
          <w:lang w:bidi="fa-IR"/>
        </w:rPr>
        <w:t xml:space="preserve">مَا سَمِعْتُ أَنَا وأَنْتَ أَبَا جَعْفَرٍ </w:t>
      </w:r>
      <w:r w:rsidRPr="00071CF9">
        <w:rPr>
          <w:rStyle w:val="libAlaemChar"/>
          <w:rtl/>
        </w:rPr>
        <w:t>عليه‌السلام</w:t>
      </w:r>
      <w:r w:rsidRPr="00132E65">
        <w:rPr>
          <w:rtl/>
          <w:lang w:bidi="fa-IR"/>
        </w:rPr>
        <w:t xml:space="preserve"> يَقُولُ : « مَنْ مَاتَ ولَيْسَ‌</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ض ، ف ، بح ، بر ، بس ، بف » و</w:t>
      </w:r>
      <w:r w:rsidRPr="009D1ACE">
        <w:rPr>
          <w:rStyle w:val="libFootnoteBoldChar"/>
          <w:rtl/>
        </w:rPr>
        <w:t>الوافي</w:t>
      </w:r>
      <w:r w:rsidRPr="00132E65">
        <w:rPr>
          <w:rtl/>
        </w:rPr>
        <w:t xml:space="preserve"> : « فضل وعلم »</w:t>
      </w:r>
      <w:r>
        <w:rPr>
          <w:rtl/>
        </w:rPr>
        <w:t>.</w:t>
      </w:r>
    </w:p>
    <w:p w:rsidR="000C39D1" w:rsidRPr="00132E65" w:rsidRDefault="000C39D1" w:rsidP="000C39D1">
      <w:pPr>
        <w:pStyle w:val="libFootnote0"/>
        <w:rPr>
          <w:rtl/>
          <w:lang w:bidi="fa-IR"/>
        </w:rPr>
      </w:pPr>
      <w:r>
        <w:rPr>
          <w:rtl/>
        </w:rPr>
        <w:t>(2).</w:t>
      </w:r>
      <w:r w:rsidRPr="00132E65">
        <w:rPr>
          <w:rtl/>
        </w:rPr>
        <w:t xml:space="preserve"> في « بس » : « فأشرفت »</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في « ف ، بح ، بس » : « فصنع »</w:t>
      </w:r>
      <w:r>
        <w:rPr>
          <w:rtl/>
        </w:rPr>
        <w:t>.</w:t>
      </w:r>
    </w:p>
    <w:p w:rsidR="000C39D1" w:rsidRPr="00132E65" w:rsidRDefault="000C39D1" w:rsidP="005C3337">
      <w:pPr>
        <w:pStyle w:val="libFootnote0"/>
        <w:rPr>
          <w:rtl/>
          <w:lang w:bidi="fa-IR"/>
        </w:rPr>
      </w:pPr>
      <w:r>
        <w:rPr>
          <w:rtl/>
        </w:rPr>
        <w:t>(5).</w:t>
      </w:r>
      <w:r w:rsidRPr="00132E65">
        <w:rPr>
          <w:rtl/>
        </w:rPr>
        <w:t xml:space="preserve"> </w:t>
      </w:r>
      <w:r w:rsidRPr="00355805">
        <w:rPr>
          <w:rtl/>
        </w:rPr>
        <w:t>الاختصاص</w:t>
      </w:r>
      <w:r w:rsidRPr="00132E65">
        <w:rPr>
          <w:rtl/>
        </w:rPr>
        <w:t xml:space="preserve"> ، ص 67 ، بسنده عن أحمد بن النضر الخزّاز ، مع اختلاف يسير. وراجع : </w:t>
      </w:r>
      <w:r w:rsidRPr="00355805">
        <w:rPr>
          <w:rtl/>
        </w:rPr>
        <w:t>رجال الكشّي</w:t>
      </w:r>
      <w:r w:rsidRPr="00132E65">
        <w:rPr>
          <w:rtl/>
        </w:rPr>
        <w:t xml:space="preserve"> ، ص 192 ، ح 337 ؛ وص 194 ، ح 344</w:t>
      </w:r>
      <w:r w:rsidR="005C3337">
        <w:rPr>
          <w:rFonts w:hint="cs"/>
          <w:rtl/>
        </w:rPr>
        <w:t>.</w:t>
      </w:r>
      <w:r w:rsidRPr="009D1ACE">
        <w:rPr>
          <w:rStyle w:val="libFootnoteBoldChar"/>
          <w:rtl/>
        </w:rPr>
        <w:t>الوافي</w:t>
      </w:r>
      <w:r w:rsidRPr="00132E65">
        <w:rPr>
          <w:rtl/>
        </w:rPr>
        <w:t xml:space="preserve"> ، ج 3 ، ص 641 ، ح 1234 ؛ </w:t>
      </w:r>
      <w:r w:rsidRPr="00355805">
        <w:rPr>
          <w:rtl/>
        </w:rPr>
        <w:t>البحار</w:t>
      </w:r>
      <w:r w:rsidRPr="00132E65">
        <w:rPr>
          <w:rtl/>
        </w:rPr>
        <w:t xml:space="preserve"> ، ج 46 ، ص 282 ، ح 85.</w:t>
      </w:r>
    </w:p>
    <w:p w:rsidR="000C39D1" w:rsidRPr="00132E65" w:rsidRDefault="000C39D1" w:rsidP="000C39D1">
      <w:pPr>
        <w:pStyle w:val="libFootnote0"/>
        <w:rPr>
          <w:rtl/>
          <w:lang w:bidi="fa-IR"/>
        </w:rPr>
      </w:pPr>
      <w:r>
        <w:rPr>
          <w:rtl/>
        </w:rPr>
        <w:t>(6).</w:t>
      </w:r>
      <w:r w:rsidRPr="00132E65">
        <w:rPr>
          <w:rtl/>
        </w:rPr>
        <w:t xml:space="preserve"> في « ف ، بر » </w:t>
      </w:r>
      <w:r>
        <w:rPr>
          <w:rtl/>
        </w:rPr>
        <w:t xml:space="preserve">: - </w:t>
      </w:r>
      <w:r w:rsidRPr="00132E65">
        <w:rPr>
          <w:rtl/>
        </w:rPr>
        <w:t>«</w:t>
      </w:r>
      <w:r w:rsidRPr="005C3337">
        <w:rPr>
          <w:rtl/>
        </w:rPr>
        <w:t xml:space="preserve"> عليهم‌</w:t>
      </w:r>
      <w:r w:rsidR="005C3337">
        <w:rPr>
          <w:rFonts w:hint="cs"/>
          <w:rtl/>
        </w:rPr>
        <w:t xml:space="preserve"> </w:t>
      </w:r>
      <w:r w:rsidRPr="005C3337">
        <w:rPr>
          <w:rtl/>
        </w:rPr>
        <w:t>السلام</w:t>
      </w:r>
      <w:r w:rsidRPr="00132E65">
        <w:rPr>
          <w:rtl/>
        </w:rPr>
        <w:t xml:space="preserve"> والرحمة والرضوان »</w:t>
      </w:r>
      <w:r>
        <w:rPr>
          <w:rtl/>
        </w:rPr>
        <w:t>.</w:t>
      </w:r>
      <w:r w:rsidRPr="00132E65">
        <w:rPr>
          <w:rtl/>
        </w:rPr>
        <w:t xml:space="preserve"> وفي « بح » </w:t>
      </w:r>
      <w:r>
        <w:rPr>
          <w:rtl/>
        </w:rPr>
        <w:t xml:space="preserve">: - </w:t>
      </w:r>
      <w:r w:rsidRPr="00132E65">
        <w:rPr>
          <w:rtl/>
        </w:rPr>
        <w:t>« والرحمة والرضوان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فلقينا ، على صيغة الغائب أو التكلّم »</w:t>
      </w:r>
      <w:r>
        <w:rPr>
          <w:rtl/>
        </w:rPr>
        <w:t>.</w:t>
      </w:r>
    </w:p>
    <w:p w:rsidR="000C39D1" w:rsidRPr="00132E65" w:rsidRDefault="000C39D1" w:rsidP="000C39D1">
      <w:pPr>
        <w:pStyle w:val="libFootnote0"/>
        <w:rPr>
          <w:rtl/>
          <w:lang w:bidi="fa-IR"/>
        </w:rPr>
      </w:pPr>
      <w:r>
        <w:rPr>
          <w:rtl/>
        </w:rPr>
        <w:t>(8).</w:t>
      </w:r>
      <w:r w:rsidRPr="00132E65">
        <w:rPr>
          <w:rtl/>
        </w:rPr>
        <w:t xml:space="preserve"> في « بح » </w:t>
      </w:r>
      <w:r>
        <w:rPr>
          <w:rtl/>
        </w:rPr>
        <w:t xml:space="preserve">: - </w:t>
      </w:r>
      <w:r w:rsidRPr="00132E65">
        <w:rPr>
          <w:rtl/>
        </w:rPr>
        <w:t>« لي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عَلَيْهِ </w:t>
      </w:r>
      <w:r>
        <w:rPr>
          <w:rStyle w:val="libFootnotenumChar"/>
          <w:rtl/>
        </w:rPr>
        <w:t>(1)</w:t>
      </w:r>
      <w:r w:rsidRPr="00132E65">
        <w:rPr>
          <w:rtl/>
          <w:lang w:bidi="fa-IR"/>
        </w:rPr>
        <w:t xml:space="preserve"> إِمَامٌ ، مَاتَ مِيتَةً جَاهِلِيَّةً »</w:t>
      </w:r>
      <w:r>
        <w:rPr>
          <w:rtl/>
          <w:lang w:bidi="fa-IR"/>
        </w:rPr>
        <w:t>؟</w:t>
      </w:r>
      <w:r w:rsidRPr="00132E65">
        <w:rPr>
          <w:rtl/>
          <w:lang w:bidi="fa-IR"/>
        </w:rPr>
        <w:t xml:space="preserve"> فَقُلْتُ : بَلى لَعَمْرِي ، وقَدْ </w:t>
      </w:r>
      <w:r>
        <w:rPr>
          <w:rStyle w:val="libFootnotenumChar"/>
          <w:rtl/>
        </w:rPr>
        <w:t>(2)</w:t>
      </w:r>
      <w:r w:rsidRPr="00132E65">
        <w:rPr>
          <w:rtl/>
          <w:lang w:bidi="fa-IR"/>
        </w:rPr>
        <w:t xml:space="preserve"> كَانَ قَبْلَ ذلِكَ بِثَلَاثٍ أَوْ نَحْوِهَا ، دَخَلْنَا </w:t>
      </w:r>
      <w:r>
        <w:rPr>
          <w:rStyle w:val="libFootnotenumChar"/>
          <w:rtl/>
        </w:rPr>
        <w:t>(3)</w:t>
      </w:r>
      <w:r w:rsidRPr="00132E65">
        <w:rPr>
          <w:rtl/>
          <w:lang w:bidi="fa-IR"/>
        </w:rPr>
        <w:t xml:space="preserve"> عَلى أَبِي عَبْدِ اللهِ </w:t>
      </w:r>
      <w:r w:rsidRPr="00071CF9">
        <w:rPr>
          <w:rStyle w:val="libAlaemChar"/>
          <w:rtl/>
        </w:rPr>
        <w:t>عليه‌السلام</w:t>
      </w:r>
      <w:r w:rsidRPr="00132E65">
        <w:rPr>
          <w:rtl/>
          <w:lang w:bidi="fa-IR"/>
        </w:rPr>
        <w:t xml:space="preserve"> ، فَرَزَقَ </w:t>
      </w:r>
      <w:r>
        <w:rPr>
          <w:rStyle w:val="libFootnotenumChar"/>
          <w:rtl/>
        </w:rPr>
        <w:t>(4)</w:t>
      </w:r>
      <w:r w:rsidRPr="00132E65">
        <w:rPr>
          <w:rtl/>
          <w:lang w:bidi="fa-IR"/>
        </w:rPr>
        <w:t xml:space="preserve"> اللهُ الْمَعْرِفَةَ </w:t>
      </w:r>
      <w:r>
        <w:rPr>
          <w:rStyle w:val="libFootnotenumChar"/>
          <w:rtl/>
        </w:rPr>
        <w:t>(5)</w:t>
      </w:r>
      <w:r w:rsidRPr="00132E65">
        <w:rPr>
          <w:rtl/>
          <w:lang w:bidi="fa-IR"/>
        </w:rPr>
        <w:t xml:space="preserve"> فَقُلْتُ لِأَبِي عَبْدِ اللهِ </w:t>
      </w:r>
      <w:r w:rsidRPr="00071CF9">
        <w:rPr>
          <w:rStyle w:val="libAlaemChar"/>
          <w:rtl/>
        </w:rPr>
        <w:t>عليه‌السلام</w:t>
      </w:r>
      <w:r w:rsidRPr="00132E65">
        <w:rPr>
          <w:rtl/>
          <w:lang w:bidi="fa-IR"/>
        </w:rPr>
        <w:t xml:space="preserve"> : إِنَّ سَالِماً قَالَ لِي كَذَا وكَذَا.</w:t>
      </w:r>
    </w:p>
    <w:p w:rsidR="000C39D1" w:rsidRPr="00132E65" w:rsidRDefault="000C39D1" w:rsidP="000C39D1">
      <w:pPr>
        <w:pStyle w:val="libNormal"/>
        <w:rPr>
          <w:rtl/>
          <w:lang w:bidi="fa-IR"/>
        </w:rPr>
      </w:pPr>
      <w:r w:rsidRPr="00132E65">
        <w:rPr>
          <w:rtl/>
          <w:lang w:bidi="fa-IR"/>
        </w:rPr>
        <w:t xml:space="preserve">قَالَ : فَقَالَ </w:t>
      </w:r>
      <w:r>
        <w:rPr>
          <w:rStyle w:val="libFootnotenumChar"/>
          <w:rtl/>
        </w:rPr>
        <w:t>(6)</w:t>
      </w:r>
      <w:r w:rsidRPr="00132E65">
        <w:rPr>
          <w:rtl/>
          <w:lang w:bidi="fa-IR"/>
        </w:rPr>
        <w:t xml:space="preserve"> : « يَا أَبَا عُبَيْدَةَ ، إِنَّهُ لَايَمُوتُ مِنَّا مَيِّتٌ حَتّى يُخَلِّفَ مِنْ بَعْدِهِ مَنْ يَعْمَلُ بِمِثْلِ عَمَلِهِ ، ويَسِيرُ بِسِيرَتِهِ ، ويَدْعُو إِلى مَا دَعَا إِلَيْهِ. يَا أَبَا عُبَيْدَةَ ، إِنَّهُ لَمْ يُمْنَعْ مَا أُعْطِيَ دَاوُدَ أَنْ أُعْطِيَ سُلَيْمَانَ »</w:t>
      </w:r>
      <w:r>
        <w:rPr>
          <w:rtl/>
          <w:lang w:bidi="fa-IR"/>
        </w:rPr>
        <w:t>.</w:t>
      </w:r>
      <w:r w:rsidRPr="00132E65">
        <w:rPr>
          <w:rtl/>
          <w:lang w:bidi="fa-IR"/>
        </w:rPr>
        <w:t xml:space="preserve"> ثُمَّ قَالَ : « يَا أَبَا عُبَيْدَةَ ، إِذَا قَامَ قَائِمُ آلِ مُحَمَّدٍ </w:t>
      </w:r>
      <w:r w:rsidRPr="00071CF9">
        <w:rPr>
          <w:rStyle w:val="libAlaemChar"/>
          <w:rtl/>
        </w:rPr>
        <w:t>عليهم‌السلام</w:t>
      </w:r>
      <w:r w:rsidRPr="00132E65">
        <w:rPr>
          <w:rtl/>
          <w:lang w:bidi="fa-IR"/>
        </w:rPr>
        <w:t xml:space="preserve"> حَكَمَ بِحُكْمِ دَاوُدَ وسُلَيْمَانَ ، لَايَسْأَلُ </w:t>
      </w:r>
      <w:r>
        <w:rPr>
          <w:rStyle w:val="libFootnotenumChar"/>
          <w:rtl/>
        </w:rPr>
        <w:t>(7)</w:t>
      </w:r>
      <w:r w:rsidRPr="00132E65">
        <w:rPr>
          <w:rtl/>
          <w:lang w:bidi="fa-IR"/>
        </w:rPr>
        <w:t xml:space="preserve"> بَيِّنَةً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وحاشية « ف » : « له »</w:t>
      </w:r>
      <w:r>
        <w:rPr>
          <w:rtl/>
        </w:rPr>
        <w:t>.</w:t>
      </w:r>
    </w:p>
    <w:p w:rsidR="000C39D1" w:rsidRPr="00132E65" w:rsidRDefault="000C39D1" w:rsidP="000C39D1">
      <w:pPr>
        <w:pStyle w:val="libFootnote0"/>
        <w:rPr>
          <w:rtl/>
          <w:lang w:bidi="fa-IR"/>
        </w:rPr>
      </w:pPr>
      <w:r>
        <w:rPr>
          <w:rtl/>
        </w:rPr>
        <w:t>(2).</w:t>
      </w:r>
      <w:r w:rsidRPr="00132E65">
        <w:rPr>
          <w:rtl/>
        </w:rPr>
        <w:t xml:space="preserve"> هكذا في النسخ التي قوبلت و</w:t>
      </w:r>
      <w:r w:rsidRPr="009D1ACE">
        <w:rPr>
          <w:rStyle w:val="libFootnoteBoldChar"/>
          <w:rtl/>
        </w:rPr>
        <w:t>مرآة العقول</w:t>
      </w:r>
      <w:r w:rsidRPr="00132E65">
        <w:rPr>
          <w:rtl/>
        </w:rPr>
        <w:t xml:space="preserve"> و</w:t>
      </w:r>
      <w:r w:rsidRPr="009D1ACE">
        <w:rPr>
          <w:rStyle w:val="libFootnoteBoldChar"/>
          <w:rtl/>
        </w:rPr>
        <w:t>الوافي</w:t>
      </w:r>
      <w:r w:rsidRPr="00132E65">
        <w:rPr>
          <w:rtl/>
        </w:rPr>
        <w:t>. وفي المطبوع : « ولقد »</w:t>
      </w:r>
      <w:r>
        <w:rPr>
          <w:rtl/>
        </w:rPr>
        <w:t>.</w:t>
      </w:r>
    </w:p>
    <w:p w:rsidR="000C39D1" w:rsidRPr="00132E65" w:rsidRDefault="000C39D1" w:rsidP="000C39D1">
      <w:pPr>
        <w:pStyle w:val="libFootnote0"/>
        <w:rPr>
          <w:rtl/>
          <w:lang w:bidi="fa-IR"/>
        </w:rPr>
      </w:pPr>
      <w:r>
        <w:rPr>
          <w:rtl/>
        </w:rPr>
        <w:t>(3).</w:t>
      </w:r>
      <w:r w:rsidRPr="00132E65">
        <w:rPr>
          <w:rtl/>
        </w:rPr>
        <w:t xml:space="preserve"> هكذا في « ب ، ج ، ض ، ف ، بح ، بر ، بس ، بف » و</w:t>
      </w:r>
      <w:r w:rsidRPr="009D1ACE">
        <w:rPr>
          <w:rStyle w:val="libFootnoteBoldChar"/>
          <w:rtl/>
        </w:rPr>
        <w:t>مرآة العقول</w:t>
      </w:r>
      <w:r w:rsidRPr="00132E65">
        <w:rPr>
          <w:rtl/>
        </w:rPr>
        <w:t xml:space="preserve"> والبصائر ، ص 510. وفي المطبوع : « دخلتُ »</w:t>
      </w:r>
      <w:r>
        <w:rPr>
          <w:rtl/>
        </w:rPr>
        <w:t>.</w:t>
      </w:r>
      <w:r w:rsidRPr="00132E65">
        <w:rPr>
          <w:rtl/>
        </w:rPr>
        <w:t xml:space="preserve"> وعلى أيّ حال فقوله : « دخلت</w:t>
      </w:r>
      <w:r>
        <w:rPr>
          <w:rtl/>
        </w:rPr>
        <w:t xml:space="preserve"> - </w:t>
      </w:r>
      <w:r w:rsidRPr="00132E65">
        <w:rPr>
          <w:rtl/>
        </w:rPr>
        <w:t>أو دخلنا</w:t>
      </w:r>
      <w:r>
        <w:rPr>
          <w:rtl/>
        </w:rPr>
        <w:t xml:space="preserve"> - </w:t>
      </w:r>
      <w:r w:rsidRPr="00132E65">
        <w:rPr>
          <w:rtl/>
        </w:rPr>
        <w:t xml:space="preserve">على أبي عبد الله </w:t>
      </w:r>
      <w:r w:rsidRPr="005C3337">
        <w:rPr>
          <w:rStyle w:val="libFootnoteAlaemChar"/>
          <w:rtl/>
        </w:rPr>
        <w:t>عليه‌السلام</w:t>
      </w:r>
      <w:r w:rsidRPr="00132E65">
        <w:rPr>
          <w:rtl/>
        </w:rPr>
        <w:t xml:space="preserve"> » استيناف بيانيّ ، كأنّه قيل : ما فعلت أو فعلتم</w:t>
      </w:r>
      <w:r>
        <w:rPr>
          <w:rtl/>
        </w:rPr>
        <w:t>؟</w:t>
      </w:r>
      <w:r w:rsidRPr="00132E65">
        <w:rPr>
          <w:rtl/>
        </w:rPr>
        <w:t xml:space="preserve"> فقيل : دخلت أو دخلنا. قال الفيض : « ويحتمل أن يكون قد سقط من صدره كلمة ثمّ ، وأن يكون متعلّقاً</w:t>
      </w:r>
      <w:r w:rsidR="005C3337">
        <w:rPr>
          <w:rtl/>
        </w:rPr>
        <w:t xml:space="preserve"> ب</w:t>
      </w:r>
      <w:r w:rsidR="005C3337">
        <w:rPr>
          <w:rFonts w:hint="cs"/>
          <w:rtl/>
        </w:rPr>
        <w:t>ـ</w:t>
      </w:r>
      <w:r>
        <w:rPr>
          <w:rtl/>
        </w:rPr>
        <w:t>«</w:t>
      </w:r>
      <w:r w:rsidRPr="00132E65">
        <w:rPr>
          <w:rtl/>
        </w:rPr>
        <w:t xml:space="preserve"> كنّا زمان أبي جعفر حين قبض » ويكون ما بينهما معترضاً ، وأن يكون « ذلك » في قول : « وقد كان قبل ذلك » إشارة إلى تحديث أبي عبيدة فضلاً الأعور ، فيكون بمعنى هذا. وإن قيل : إنّ تبديل لفظة « بعد »</w:t>
      </w:r>
      <w:r w:rsidR="005C3337">
        <w:rPr>
          <w:rtl/>
        </w:rPr>
        <w:t xml:space="preserve"> ب</w:t>
      </w:r>
      <w:r w:rsidR="005C3337">
        <w:rPr>
          <w:rFonts w:hint="cs"/>
          <w:rtl/>
        </w:rPr>
        <w:t>ـ</w:t>
      </w:r>
      <w:r>
        <w:rPr>
          <w:rtl/>
        </w:rPr>
        <w:t xml:space="preserve"> «</w:t>
      </w:r>
      <w:r w:rsidRPr="00132E65">
        <w:rPr>
          <w:rtl/>
        </w:rPr>
        <w:t xml:space="preserve"> قبل » من سهو النسّاخ ، استرحنا من هذه التكلّفات »</w:t>
      </w:r>
      <w:r>
        <w:rPr>
          <w:rtl/>
        </w:rPr>
        <w:t>.</w:t>
      </w:r>
      <w:r w:rsidRPr="00132E65">
        <w:rPr>
          <w:rtl/>
        </w:rPr>
        <w:t xml:space="preserve"> وقال المجلسي : « لا يخفى بُعد تلك الوجوه</w:t>
      </w:r>
      <w:r>
        <w:rPr>
          <w:rtl/>
        </w:rPr>
        <w:t xml:space="preserve"> ..</w:t>
      </w:r>
      <w:r w:rsidRPr="00132E65">
        <w:rPr>
          <w:rtl/>
        </w:rPr>
        <w:t xml:space="preserve">. وفي </w:t>
      </w:r>
      <w:r w:rsidRPr="00355805">
        <w:rPr>
          <w:rtl/>
        </w:rPr>
        <w:t>البصائر</w:t>
      </w:r>
      <w:r w:rsidRPr="00132E65">
        <w:rPr>
          <w:rtl/>
        </w:rPr>
        <w:t xml:space="preserve"> : « قلت : بل لعمري لقد كان ذاك ، ثمّ بعد ذلك بثلاث أو نحوها دخلنا »</w:t>
      </w:r>
      <w:r>
        <w:rPr>
          <w:rtl/>
        </w:rPr>
        <w:t>.</w:t>
      </w:r>
      <w:r w:rsidRPr="00132E65">
        <w:rPr>
          <w:rtl/>
        </w:rPr>
        <w:t xml:space="preserve"> فلا يحتاج إلى تكلّف أصلاً »</w:t>
      </w:r>
      <w:r>
        <w:rPr>
          <w:rtl/>
        </w:rPr>
        <w:t>.</w:t>
      </w:r>
      <w:r w:rsidRPr="00132E65">
        <w:rPr>
          <w:rtl/>
        </w:rPr>
        <w:t xml:space="preserve"> راجع : </w:t>
      </w:r>
      <w:r w:rsidRPr="00355805">
        <w:rPr>
          <w:rtl/>
        </w:rPr>
        <w:t>شرح المازندراني</w:t>
      </w:r>
      <w:r w:rsidRPr="00132E65">
        <w:rPr>
          <w:rtl/>
        </w:rPr>
        <w:t xml:space="preserve"> ، ج 6 ، ص 393 ؛ </w:t>
      </w:r>
      <w:r w:rsidRPr="009D1ACE">
        <w:rPr>
          <w:rStyle w:val="libFootnoteBoldChar"/>
          <w:rtl/>
        </w:rPr>
        <w:t>الوافي</w:t>
      </w:r>
      <w:r w:rsidRPr="00132E65">
        <w:rPr>
          <w:rtl/>
        </w:rPr>
        <w:t xml:space="preserve"> ، ج 3 ، ص 648 ؛ </w:t>
      </w:r>
      <w:r w:rsidRPr="009D1ACE">
        <w:rPr>
          <w:rStyle w:val="libFootnoteBoldChar"/>
          <w:rtl/>
        </w:rPr>
        <w:t>مرآة العقول</w:t>
      </w:r>
      <w:r w:rsidRPr="00132E65">
        <w:rPr>
          <w:rtl/>
        </w:rPr>
        <w:t xml:space="preserve"> ، ج 9 ، ص 299.</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ورزق »</w:t>
      </w:r>
      <w:r>
        <w:rPr>
          <w:rtl/>
        </w:rPr>
        <w:t>.</w:t>
      </w:r>
    </w:p>
    <w:p w:rsidR="000C39D1" w:rsidRPr="00132E65" w:rsidRDefault="000C39D1" w:rsidP="000C39D1">
      <w:pPr>
        <w:pStyle w:val="libFootnote0"/>
        <w:rPr>
          <w:rtl/>
          <w:lang w:bidi="fa-IR"/>
        </w:rPr>
      </w:pPr>
      <w:r>
        <w:rPr>
          <w:rtl/>
        </w:rPr>
        <w:t>(5).</w:t>
      </w:r>
      <w:r w:rsidRPr="00132E65">
        <w:rPr>
          <w:rtl/>
        </w:rPr>
        <w:t xml:space="preserve"> في البصائر ، ص 259 : « أما تعرف أنّه قد خلّف ولده جعفراً إماماً على الامّة</w:t>
      </w:r>
      <w:r>
        <w:rPr>
          <w:rtl/>
        </w:rPr>
        <w:t>؟</w:t>
      </w:r>
      <w:r w:rsidRPr="00132E65">
        <w:rPr>
          <w:rtl/>
        </w:rPr>
        <w:t xml:space="preserve"> قلت : </w:t>
      </w:r>
      <w:r w:rsidR="00936037">
        <w:rPr>
          <w:rtl/>
        </w:rPr>
        <w:t>بلى لعمري قد رزقني الله المعرفة</w:t>
      </w:r>
      <w:r w:rsidRPr="00132E65">
        <w:rPr>
          <w:rtl/>
        </w:rPr>
        <w:t>»</w:t>
      </w:r>
      <w:r>
        <w:rPr>
          <w:rtl/>
        </w:rPr>
        <w:t>.</w:t>
      </w:r>
      <w:r w:rsidRPr="00132E65">
        <w:rPr>
          <w:rtl/>
        </w:rPr>
        <w:t xml:space="preserve"> وفي البصائر ، ص 510 : « قلت : بلى لعمري لقد كان ذلك ، ثمّ بعد ذلك بثلاث أو نحوها دخلنا على أبي عبد الله </w:t>
      </w:r>
      <w:r w:rsidRPr="005C3337">
        <w:rPr>
          <w:rStyle w:val="libFootnoteAlaemChar"/>
          <w:rtl/>
        </w:rPr>
        <w:t>عليه‌السلام</w:t>
      </w:r>
      <w:r w:rsidRPr="00132E65">
        <w:rPr>
          <w:rtl/>
        </w:rPr>
        <w:t xml:space="preserve"> ، فرزق الله لنا المعرفة » كلاهما بدل : « فقلت : بلى لعمري</w:t>
      </w:r>
      <w:r>
        <w:rPr>
          <w:rtl/>
        </w:rPr>
        <w:t xml:space="preserve"> - </w:t>
      </w:r>
      <w:r w:rsidRPr="00132E65">
        <w:rPr>
          <w:rtl/>
        </w:rPr>
        <w:t>إلى</w:t>
      </w:r>
      <w:r>
        <w:rPr>
          <w:rtl/>
        </w:rPr>
        <w:t xml:space="preserve"> - </w:t>
      </w:r>
      <w:r w:rsidRPr="00132E65">
        <w:rPr>
          <w:rtl/>
        </w:rPr>
        <w:t>فرزق الله المعرفة »</w:t>
      </w:r>
      <w:r>
        <w:rPr>
          <w:rtl/>
        </w:rPr>
        <w:t>.</w:t>
      </w:r>
    </w:p>
    <w:p w:rsidR="000C39D1" w:rsidRPr="00132E65" w:rsidRDefault="000C39D1" w:rsidP="000C39D1">
      <w:pPr>
        <w:pStyle w:val="libFootnote0"/>
        <w:rPr>
          <w:rtl/>
          <w:lang w:bidi="fa-IR"/>
        </w:rPr>
      </w:pPr>
      <w:r>
        <w:rPr>
          <w:rtl/>
        </w:rPr>
        <w:t>(6).</w:t>
      </w:r>
      <w:r w:rsidRPr="00132E65">
        <w:rPr>
          <w:rtl/>
        </w:rPr>
        <w:t xml:space="preserve"> في « ف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(7).</w:t>
      </w:r>
      <w:r w:rsidRPr="00132E65">
        <w:rPr>
          <w:rtl/>
        </w:rPr>
        <w:t xml:space="preserve"> في « ف »</w:t>
      </w:r>
      <w:r>
        <w:rPr>
          <w:rtl/>
        </w:rPr>
        <w:t xml:space="preserve"> + </w:t>
      </w:r>
      <w:r w:rsidRPr="00132E65">
        <w:rPr>
          <w:rtl/>
        </w:rPr>
        <w:t>« أن لا يسأل »</w:t>
      </w:r>
      <w:r>
        <w:rPr>
          <w:rtl/>
        </w:rPr>
        <w:t>.</w:t>
      </w:r>
    </w:p>
    <w:p w:rsidR="000C39D1" w:rsidRPr="00132E65" w:rsidRDefault="000C39D1" w:rsidP="005C3337">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259 ، ح 5 ؛ وص 510 ، ح 15 ، عن يعقوب بن يزيد ، عن ابن أبي عمير ، عن منصور ، عن فضيل الأعور ، عن أبي عبيدة الحذّاء. وفي </w:t>
      </w:r>
      <w:r w:rsidRPr="007A1104">
        <w:rPr>
          <w:rStyle w:val="libFootnoteBoldChar"/>
          <w:rtl/>
        </w:rPr>
        <w:t>بصائر الدرجات</w:t>
      </w:r>
      <w:r w:rsidRPr="00132E65">
        <w:rPr>
          <w:rtl/>
        </w:rPr>
        <w:t xml:space="preserve"> ، ص 509 ، ح 11 ، بسند آخر عن عبيدة ، مع اختلاف يسير</w:t>
      </w:r>
      <w:r w:rsidR="005C3337">
        <w:rPr>
          <w:rFonts w:hint="cs"/>
          <w:rtl/>
        </w:rPr>
        <w:t>.</w:t>
      </w:r>
      <w:r w:rsidRPr="009D1ACE">
        <w:rPr>
          <w:rStyle w:val="libFootnoteBoldChar"/>
          <w:rtl/>
        </w:rPr>
        <w:t>الوافي</w:t>
      </w:r>
      <w:r w:rsidRPr="00132E65">
        <w:rPr>
          <w:rtl/>
        </w:rPr>
        <w:t xml:space="preserve"> ، ج 3 ، ص 648 ، ح 1240.</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55805">
        <w:rPr>
          <w:rtl/>
        </w:rPr>
        <w:t>1041</w:t>
      </w:r>
      <w:r w:rsidRPr="004325D8">
        <w:rPr>
          <w:rStyle w:val="libBold2Char"/>
          <w:rtl/>
        </w:rPr>
        <w:t xml:space="preserve"> / 2.</w:t>
      </w:r>
      <w:r w:rsidRPr="00132E65">
        <w:rPr>
          <w:rtl/>
          <w:lang w:bidi="fa-IR"/>
        </w:rPr>
        <w:t xml:space="preserve"> مُحَمَّدُ بْنُ يَحْيى ، عَنْ أَحْمَدَ بْنِ مُحَمَّدٍ ، عَنْ مُحَمَّدِ بْنِ سِنَانٍ ، عَنْ أَبَانٍ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لَا تَذْهَبُ </w:t>
      </w:r>
      <w:r>
        <w:rPr>
          <w:rStyle w:val="libFootnotenumChar"/>
          <w:rtl/>
        </w:rPr>
        <w:t>(1)</w:t>
      </w:r>
      <w:r w:rsidRPr="00132E65">
        <w:rPr>
          <w:rtl/>
          <w:lang w:bidi="fa-IR"/>
        </w:rPr>
        <w:t xml:space="preserve"> الدُّنْيَا حَتّى يَخْرُجَ رَجُلٌ مِنِّي </w:t>
      </w:r>
      <w:r>
        <w:rPr>
          <w:rStyle w:val="libFootnotenumChar"/>
          <w:rtl/>
        </w:rPr>
        <w:t>(2)</w:t>
      </w:r>
      <w:r w:rsidRPr="00132E65">
        <w:rPr>
          <w:rtl/>
          <w:lang w:bidi="fa-IR"/>
        </w:rPr>
        <w:t xml:space="preserve"> ، يَحْكُمُ بِحُكُومَةِ آلِ دَاوُدَ ، و</w:t>
      </w:r>
      <w:r>
        <w:rPr>
          <w:rFonts w:hint="cs"/>
          <w:rtl/>
          <w:lang w:bidi="fa-IR"/>
        </w:rPr>
        <w:t xml:space="preserve"> </w:t>
      </w:r>
      <w:r>
        <w:rPr>
          <w:rStyle w:val="libFootnotenumChar"/>
          <w:rtl/>
        </w:rPr>
        <w:t>(3)</w:t>
      </w:r>
      <w:r w:rsidRPr="00132E65">
        <w:rPr>
          <w:rtl/>
          <w:lang w:bidi="fa-IR"/>
        </w:rPr>
        <w:t xml:space="preserve"> لَايَسْأَلُ بَيِّنَةً </w:t>
      </w:r>
      <w:r>
        <w:rPr>
          <w:rStyle w:val="libFootnotenumChar"/>
          <w:rtl/>
        </w:rPr>
        <w:t>(4)</w:t>
      </w:r>
      <w:r w:rsidRPr="00132E65">
        <w:rPr>
          <w:rtl/>
          <w:lang w:bidi="fa-IR"/>
        </w:rPr>
        <w:t xml:space="preserve"> ، يُعْطِي </w:t>
      </w:r>
      <w:r>
        <w:rPr>
          <w:rStyle w:val="libFootnotenumChar"/>
          <w:rtl/>
        </w:rPr>
        <w:t>(5)</w:t>
      </w:r>
      <w:r w:rsidRPr="00132E65">
        <w:rPr>
          <w:rtl/>
          <w:lang w:bidi="fa-IR"/>
        </w:rPr>
        <w:t xml:space="preserve"> كُلَّ نَفْسٍ حَقَّهَا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355805">
        <w:rPr>
          <w:rtl/>
        </w:rPr>
        <w:t>1042</w:t>
      </w:r>
      <w:r w:rsidRPr="004325D8">
        <w:rPr>
          <w:rStyle w:val="libBold2Char"/>
          <w:rtl/>
        </w:rPr>
        <w:t xml:space="preserve"> / 3.</w:t>
      </w:r>
      <w:r w:rsidRPr="00132E65">
        <w:rPr>
          <w:rtl/>
          <w:lang w:bidi="fa-IR"/>
        </w:rPr>
        <w:t xml:space="preserve"> مُحَمَّدٌ ، عَنْ أَحْمَدَ </w:t>
      </w:r>
      <w:r>
        <w:rPr>
          <w:rStyle w:val="libFootnotenumChar"/>
          <w:rtl/>
        </w:rPr>
        <w:t>(8)</w:t>
      </w:r>
      <w:r w:rsidRPr="00132E65">
        <w:rPr>
          <w:rtl/>
          <w:lang w:bidi="fa-IR"/>
        </w:rPr>
        <w:t xml:space="preserve"> ، عَنِ ابْنِ مَحْبُوبٍ ، عَنْ هِشَامِ بْنِ سَالِمٍ ، عَنْ عَمَّارٍ السَّابَاطِيِّ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بِمَا تَحْكُمُونَ إِذَا حَكَمْتُمْ </w:t>
      </w:r>
      <w:r>
        <w:rPr>
          <w:rStyle w:val="libFootnotenumChar"/>
          <w:rtl/>
        </w:rPr>
        <w:t>(9)</w:t>
      </w:r>
      <w:r>
        <w:rPr>
          <w:rtl/>
          <w:lang w:bidi="fa-IR"/>
        </w:rPr>
        <w:t>؟</w:t>
      </w:r>
      <w:r w:rsidRPr="00132E65">
        <w:rPr>
          <w:rtl/>
          <w:lang w:bidi="fa-IR"/>
        </w:rPr>
        <w:t xml:space="preserve"> قَالَ : « بِحُكْمِ اللهِ وحُكْمِ دَاوُدَ </w:t>
      </w:r>
      <w:r>
        <w:rPr>
          <w:rStyle w:val="libFootnotenumChar"/>
          <w:rtl/>
        </w:rPr>
        <w:t>(10)</w:t>
      </w:r>
      <w:r w:rsidRPr="00132E65">
        <w:rPr>
          <w:rtl/>
          <w:lang w:bidi="fa-IR"/>
        </w:rPr>
        <w:t xml:space="preserve"> ، فَإِذَا ورَدَ عَلَيْنَا الشَّيْ‌ءُ الَّذِي لَيْسَ عِنْدَنَا </w:t>
      </w:r>
      <w:r>
        <w:rPr>
          <w:rStyle w:val="libFootnotenumChar"/>
          <w:rtl/>
        </w:rPr>
        <w:t>(11)</w:t>
      </w:r>
      <w:r w:rsidRPr="00132E65">
        <w:rPr>
          <w:rtl/>
          <w:lang w:bidi="fa-IR"/>
        </w:rPr>
        <w:t xml:space="preserve"> ، تَلَقَّانَا بِهِ رُوحُ الْقُدُسِ </w:t>
      </w:r>
      <w:r>
        <w:rPr>
          <w:rStyle w:val="libFootnotenumChar"/>
          <w:rtl/>
        </w:rPr>
        <w:t>(12)</w:t>
      </w:r>
      <w:r w:rsidRPr="00132E65">
        <w:rPr>
          <w:rtl/>
          <w:lang w:bidi="fa-IR"/>
        </w:rPr>
        <w:t xml:space="preserve">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355805">
        <w:rPr>
          <w:rtl/>
        </w:rPr>
        <w:t>1043</w:t>
      </w:r>
      <w:r w:rsidRPr="004325D8">
        <w:rPr>
          <w:rStyle w:val="libBold2Char"/>
          <w:rtl/>
        </w:rPr>
        <w:t xml:space="preserve"> / 4.</w:t>
      </w:r>
      <w:r w:rsidRPr="00132E65">
        <w:rPr>
          <w:rtl/>
          <w:lang w:bidi="fa-IR"/>
        </w:rPr>
        <w:t xml:space="preserve"> مُحَمَّدٌ ، عَنْ أَحْمَدَ </w:t>
      </w:r>
      <w:r w:rsidRPr="00F543F1">
        <w:rPr>
          <w:rStyle w:val="libFootnotenumChar"/>
          <w:rtl/>
        </w:rPr>
        <w:t>(14)</w:t>
      </w:r>
      <w:r w:rsidRPr="00132E65">
        <w:rPr>
          <w:rtl/>
          <w:lang w:bidi="fa-IR"/>
        </w:rPr>
        <w:t xml:space="preserve"> ، عَنْ مُحَمَّدِ بْنِ خَالِدٍ ، عَنِ النَّضْرِ بْنِ سُوَيْدٍ ، عَنْ يَحْيَى‌</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C3337" w:rsidTr="005C3337">
        <w:tc>
          <w:tcPr>
            <w:tcW w:w="4006" w:type="dxa"/>
          </w:tcPr>
          <w:p w:rsidR="005C3337" w:rsidRDefault="005C3337" w:rsidP="000C39D1">
            <w:pPr>
              <w:pStyle w:val="libFootnote0"/>
              <w:rPr>
                <w:rtl/>
              </w:rPr>
            </w:pPr>
            <w:r>
              <w:rPr>
                <w:rtl/>
              </w:rPr>
              <w:t>(1).</w:t>
            </w:r>
            <w:r w:rsidRPr="00132E65">
              <w:rPr>
                <w:rtl/>
              </w:rPr>
              <w:t xml:space="preserve"> في « بس » : « لا يذهب »</w:t>
            </w:r>
            <w:r>
              <w:rPr>
                <w:rtl/>
              </w:rPr>
              <w:t>.</w:t>
            </w:r>
          </w:p>
        </w:tc>
        <w:tc>
          <w:tcPr>
            <w:tcW w:w="4006" w:type="dxa"/>
          </w:tcPr>
          <w:p w:rsidR="005C3337" w:rsidRDefault="005C3337" w:rsidP="000C39D1">
            <w:pPr>
              <w:pStyle w:val="libFootnote0"/>
              <w:rPr>
                <w:rtl/>
              </w:rPr>
            </w:pPr>
            <w:r>
              <w:rPr>
                <w:rtl/>
              </w:rPr>
              <w:t>(2).</w:t>
            </w:r>
            <w:r w:rsidRPr="00132E65">
              <w:rPr>
                <w:rtl/>
              </w:rPr>
              <w:t xml:space="preserve"> في البصائر :</w:t>
            </w:r>
            <w:r>
              <w:rPr>
                <w:rtl/>
              </w:rPr>
              <w:t xml:space="preserve"> + </w:t>
            </w:r>
            <w:r w:rsidRPr="00132E65">
              <w:rPr>
                <w:rtl/>
              </w:rPr>
              <w:t>« رجل »</w:t>
            </w:r>
            <w:r>
              <w:rPr>
                <w:rtl/>
              </w:rPr>
              <w:t>.</w:t>
            </w:r>
          </w:p>
        </w:tc>
      </w:tr>
      <w:tr w:rsidR="005C3337" w:rsidTr="005C3337">
        <w:tc>
          <w:tcPr>
            <w:tcW w:w="4006" w:type="dxa"/>
          </w:tcPr>
          <w:p w:rsidR="005C3337" w:rsidRDefault="005C3337" w:rsidP="000C39D1">
            <w:pPr>
              <w:pStyle w:val="libFootnote0"/>
              <w:rPr>
                <w:rtl/>
              </w:rPr>
            </w:pPr>
            <w:r>
              <w:rPr>
                <w:rtl/>
              </w:rPr>
              <w:t>(3).</w:t>
            </w:r>
            <w:r w:rsidRPr="00132E65">
              <w:rPr>
                <w:rtl/>
              </w:rPr>
              <w:t xml:space="preserve"> في « ض » </w:t>
            </w:r>
            <w:r>
              <w:rPr>
                <w:rtl/>
              </w:rPr>
              <w:t xml:space="preserve">: - </w:t>
            </w:r>
            <w:r w:rsidRPr="00132E65">
              <w:rPr>
                <w:rtl/>
              </w:rPr>
              <w:t xml:space="preserve">« </w:t>
            </w:r>
            <w:r>
              <w:rPr>
                <w:rtl/>
              </w:rPr>
              <w:t>و ».</w:t>
            </w:r>
          </w:p>
        </w:tc>
        <w:tc>
          <w:tcPr>
            <w:tcW w:w="4006" w:type="dxa"/>
          </w:tcPr>
          <w:p w:rsidR="005C3337" w:rsidRDefault="005C3337" w:rsidP="000C39D1">
            <w:pPr>
              <w:pStyle w:val="libFootnote0"/>
              <w:rPr>
                <w:rtl/>
              </w:rPr>
            </w:pPr>
            <w:r>
              <w:rPr>
                <w:rtl/>
              </w:rPr>
              <w:t>(4). في«ج، بر » :«</w:t>
            </w:r>
            <w:r w:rsidRPr="00132E65">
              <w:rPr>
                <w:rtl/>
              </w:rPr>
              <w:t>ببيّن</w:t>
            </w:r>
            <w:r>
              <w:rPr>
                <w:rtl/>
              </w:rPr>
              <w:t>ة</w:t>
            </w:r>
            <w:r w:rsidRPr="00132E65">
              <w:rPr>
                <w:rtl/>
              </w:rPr>
              <w:t>»</w:t>
            </w:r>
            <w:r>
              <w:rPr>
                <w:rtl/>
              </w:rPr>
              <w:t>.وفي البصائر :</w:t>
            </w:r>
            <w:r w:rsidRPr="00132E65">
              <w:rPr>
                <w:rtl/>
              </w:rPr>
              <w:t>« عن بيّنة »</w:t>
            </w:r>
            <w:r>
              <w:rPr>
                <w:rtl/>
              </w:rPr>
              <w:t>.</w:t>
            </w:r>
          </w:p>
        </w:tc>
      </w:tr>
      <w:tr w:rsidR="005C3337" w:rsidTr="005C3337">
        <w:tc>
          <w:tcPr>
            <w:tcW w:w="4006" w:type="dxa"/>
          </w:tcPr>
          <w:p w:rsidR="005C3337" w:rsidRDefault="005C3337" w:rsidP="000C39D1">
            <w:pPr>
              <w:pStyle w:val="libFootnote0"/>
              <w:rPr>
                <w:rtl/>
              </w:rPr>
            </w:pPr>
            <w:r>
              <w:rPr>
                <w:rtl/>
              </w:rPr>
              <w:t>(5).</w:t>
            </w:r>
            <w:r w:rsidRPr="00132E65">
              <w:rPr>
                <w:rtl/>
              </w:rPr>
              <w:t xml:space="preserve"> في « ب » : « ويعطي »</w:t>
            </w:r>
            <w:r>
              <w:rPr>
                <w:rtl/>
              </w:rPr>
              <w:t>.</w:t>
            </w:r>
          </w:p>
        </w:tc>
        <w:tc>
          <w:tcPr>
            <w:tcW w:w="4006" w:type="dxa"/>
          </w:tcPr>
          <w:p w:rsidR="005C3337" w:rsidRDefault="005C3337" w:rsidP="000C39D1">
            <w:pPr>
              <w:pStyle w:val="libFootnote0"/>
              <w:rPr>
                <w:rtl/>
              </w:rPr>
            </w:pPr>
            <w:r>
              <w:rPr>
                <w:rtl/>
              </w:rPr>
              <w:t>(6).</w:t>
            </w:r>
            <w:r w:rsidRPr="00132E65">
              <w:rPr>
                <w:rtl/>
              </w:rPr>
              <w:t xml:space="preserve"> في البصائر : « حكمها »</w:t>
            </w:r>
            <w:r>
              <w:rPr>
                <w:rtl/>
              </w:rPr>
              <w:t>.</w:t>
            </w:r>
          </w:p>
        </w:tc>
      </w:tr>
    </w:tbl>
    <w:p w:rsidR="000C39D1" w:rsidRPr="00132E65" w:rsidRDefault="000C39D1" w:rsidP="008B4F22">
      <w:pPr>
        <w:pStyle w:val="libFootnote0"/>
        <w:rPr>
          <w:rtl/>
          <w:lang w:bidi="fa-IR"/>
        </w:rPr>
      </w:pPr>
      <w:r>
        <w:rPr>
          <w:rtl/>
        </w:rPr>
        <w:t>(7).</w:t>
      </w:r>
      <w:r w:rsidRPr="00132E65">
        <w:rPr>
          <w:rtl/>
        </w:rPr>
        <w:t xml:space="preserve"> </w:t>
      </w:r>
      <w:r w:rsidRPr="007A1104">
        <w:rPr>
          <w:rStyle w:val="libFootnoteBoldChar"/>
          <w:rtl/>
        </w:rPr>
        <w:t>بصائر الدرجات</w:t>
      </w:r>
      <w:r w:rsidRPr="00132E65">
        <w:rPr>
          <w:rtl/>
        </w:rPr>
        <w:t xml:space="preserve"> ، ص 258 ، ح 1 ، عن أحمد بن محمّد. </w:t>
      </w:r>
      <w:r w:rsidRPr="00355805">
        <w:rPr>
          <w:rtl/>
        </w:rPr>
        <w:t>وفيه</w:t>
      </w:r>
      <w:r w:rsidRPr="00132E65">
        <w:rPr>
          <w:rtl/>
        </w:rPr>
        <w:t xml:space="preserve"> ، ص 259 ، ح 4 ، بسند آخر ، مع اختلاف يسير ؛ </w:t>
      </w:r>
      <w:r w:rsidRPr="00355805">
        <w:rPr>
          <w:rtl/>
        </w:rPr>
        <w:t>وفيه</w:t>
      </w:r>
      <w:r w:rsidRPr="00132E65">
        <w:rPr>
          <w:rtl/>
        </w:rPr>
        <w:t xml:space="preserve"> ، ح 3 ، بسند آخر ، مع اختلاف</w:t>
      </w:r>
      <w:r w:rsidR="008B4F22">
        <w:rPr>
          <w:rFonts w:hint="cs"/>
          <w:rtl/>
        </w:rPr>
        <w:t>.</w:t>
      </w:r>
      <w:r w:rsidRPr="009D1ACE">
        <w:rPr>
          <w:rStyle w:val="libFootnoteBoldChar"/>
          <w:rtl/>
        </w:rPr>
        <w:t>الوافي</w:t>
      </w:r>
      <w:r w:rsidRPr="00132E65">
        <w:rPr>
          <w:rtl/>
        </w:rPr>
        <w:t xml:space="preserve"> ، ج 3 ، ص 649 ، ح 1241 ؛ </w:t>
      </w:r>
      <w:r w:rsidRPr="00355805">
        <w:rPr>
          <w:rtl/>
        </w:rPr>
        <w:t>الوسائل</w:t>
      </w:r>
      <w:r w:rsidRPr="00132E65">
        <w:rPr>
          <w:rtl/>
        </w:rPr>
        <w:t xml:space="preserve"> ، ج 27 ، ص 230 ، ح 33661.</w:t>
      </w:r>
    </w:p>
    <w:p w:rsidR="000C39D1" w:rsidRPr="00132E65" w:rsidRDefault="000C39D1" w:rsidP="000C39D1">
      <w:pPr>
        <w:pStyle w:val="libFootnote0"/>
        <w:rPr>
          <w:rtl/>
          <w:lang w:bidi="fa-IR"/>
        </w:rPr>
      </w:pPr>
      <w:r>
        <w:rPr>
          <w:rtl/>
        </w:rPr>
        <w:t>(8).</w:t>
      </w:r>
      <w:r w:rsidRPr="00132E65">
        <w:rPr>
          <w:rtl/>
        </w:rPr>
        <w:t xml:space="preserve"> هكذا في « ألف ، ج ، ض ، ف ، و، بر ، بس ، بف »</w:t>
      </w:r>
      <w:r>
        <w:rPr>
          <w:rtl/>
        </w:rPr>
        <w:t>.</w:t>
      </w:r>
      <w:r w:rsidRPr="00132E65">
        <w:rPr>
          <w:rtl/>
        </w:rPr>
        <w:t xml:space="preserve"> وفي « ب ، بح » والمطبوع :</w:t>
      </w:r>
      <w:r>
        <w:rPr>
          <w:rtl/>
        </w:rPr>
        <w:t xml:space="preserve"> + </w:t>
      </w:r>
      <w:r w:rsidRPr="00132E65">
        <w:rPr>
          <w:rtl/>
        </w:rPr>
        <w:t>« بن محمّد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إذا حكمتم ، على بناء المجرّد المعلوم ، أو على بناء التفعيل المجهول »</w:t>
      </w:r>
      <w:r>
        <w:rPr>
          <w:rtl/>
        </w:rPr>
        <w:t>.</w:t>
      </w:r>
    </w:p>
    <w:p w:rsidR="000C39D1" w:rsidRPr="00132E65" w:rsidRDefault="000C39D1" w:rsidP="000C39D1">
      <w:pPr>
        <w:pStyle w:val="libFootnote0"/>
        <w:rPr>
          <w:rtl/>
          <w:lang w:bidi="fa-IR"/>
        </w:rPr>
      </w:pPr>
      <w:r>
        <w:rPr>
          <w:rtl/>
        </w:rPr>
        <w:t>(10).</w:t>
      </w:r>
      <w:r w:rsidRPr="00132E65">
        <w:rPr>
          <w:rtl/>
        </w:rPr>
        <w:t xml:space="preserve"> في « ب ، ف » : « وبحكم داود »</w:t>
      </w:r>
      <w:r>
        <w:rPr>
          <w:rtl/>
        </w:rPr>
        <w:t>.</w:t>
      </w:r>
      <w:r w:rsidRPr="00132E65">
        <w:rPr>
          <w:rtl/>
        </w:rPr>
        <w:t xml:space="preserve"> وفي البصائر ، ص 452 :</w:t>
      </w:r>
      <w:r>
        <w:rPr>
          <w:rtl/>
        </w:rPr>
        <w:t xml:space="preserve"> + </w:t>
      </w:r>
      <w:r w:rsidRPr="00132E65">
        <w:rPr>
          <w:rtl/>
        </w:rPr>
        <w:t xml:space="preserve">« وحكم محمّد </w:t>
      </w:r>
      <w:r w:rsidRPr="008B4F22">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Pr="00132E65" w:rsidRDefault="000C39D1" w:rsidP="000C39D1">
      <w:pPr>
        <w:pStyle w:val="libFootnote0"/>
        <w:rPr>
          <w:rtl/>
          <w:lang w:bidi="fa-IR"/>
        </w:rPr>
      </w:pPr>
      <w:r>
        <w:rPr>
          <w:rtl/>
        </w:rPr>
        <w:t>(11).</w:t>
      </w:r>
      <w:r w:rsidRPr="00132E65">
        <w:rPr>
          <w:rtl/>
        </w:rPr>
        <w:t xml:space="preserve"> في البصائر ، ص 452 : « فى كتاب عليّ </w:t>
      </w:r>
      <w:r w:rsidRPr="008B4F22">
        <w:rPr>
          <w:rStyle w:val="libFootnoteAlaemChar"/>
          <w:rtl/>
        </w:rPr>
        <w:t>عليه‌السلام</w:t>
      </w:r>
      <w:r w:rsidRPr="00132E65">
        <w:rPr>
          <w:rtl/>
        </w:rPr>
        <w:t xml:space="preserve"> » بدل « عندنا »</w:t>
      </w:r>
      <w:r>
        <w:rPr>
          <w:rtl/>
        </w:rPr>
        <w:t>.</w:t>
      </w:r>
    </w:p>
    <w:p w:rsidR="000C39D1" w:rsidRPr="00132E65" w:rsidRDefault="000C39D1" w:rsidP="000C39D1">
      <w:pPr>
        <w:pStyle w:val="libFootnote0"/>
        <w:rPr>
          <w:rtl/>
          <w:lang w:bidi="fa-IR"/>
        </w:rPr>
      </w:pPr>
      <w:r>
        <w:rPr>
          <w:rtl/>
        </w:rPr>
        <w:t>(12).</w:t>
      </w:r>
      <w:r w:rsidRPr="00132E65">
        <w:rPr>
          <w:rtl/>
        </w:rPr>
        <w:t xml:space="preserve"> في البصائر ، ص 452 :</w:t>
      </w:r>
      <w:r>
        <w:rPr>
          <w:rtl/>
        </w:rPr>
        <w:t xml:space="preserve"> + </w:t>
      </w:r>
      <w:r w:rsidRPr="00132E65">
        <w:rPr>
          <w:rtl/>
        </w:rPr>
        <w:t>« وألهمنا الله إلهاماً »</w:t>
      </w:r>
      <w:r>
        <w:rPr>
          <w:rtl/>
        </w:rPr>
        <w:t>.</w:t>
      </w:r>
    </w:p>
    <w:p w:rsidR="000C39D1" w:rsidRPr="00132E65" w:rsidRDefault="000C39D1" w:rsidP="008B4F22">
      <w:pPr>
        <w:pStyle w:val="libFootnote0"/>
        <w:rPr>
          <w:rtl/>
          <w:lang w:bidi="fa-IR"/>
        </w:rPr>
      </w:pPr>
      <w:r>
        <w:rPr>
          <w:rtl/>
        </w:rPr>
        <w:t>(13)</w:t>
      </w:r>
      <w:r w:rsidRPr="00132E65">
        <w:rPr>
          <w:rtl/>
        </w:rPr>
        <w:t xml:space="preserve"> </w:t>
      </w:r>
      <w:r w:rsidRPr="007A1104">
        <w:rPr>
          <w:rStyle w:val="libFootnoteBoldChar"/>
          <w:rtl/>
        </w:rPr>
        <w:t>بصائر الدرجات</w:t>
      </w:r>
      <w:r w:rsidRPr="00132E65">
        <w:rPr>
          <w:rtl/>
        </w:rPr>
        <w:t xml:space="preserve"> ، ص 451 ، ح 3 ، عن أحمد بن محمّد. </w:t>
      </w:r>
      <w:r w:rsidRPr="00355805">
        <w:rPr>
          <w:rtl/>
        </w:rPr>
        <w:t>وفيه</w:t>
      </w:r>
      <w:r w:rsidRPr="00132E65">
        <w:rPr>
          <w:rtl/>
        </w:rPr>
        <w:t xml:space="preserve"> ، ص 452 ، ح 6 ، عن أحمد بن محمّد</w:t>
      </w:r>
      <w:r>
        <w:rPr>
          <w:rtl/>
        </w:rPr>
        <w:t xml:space="preserve"> ..</w:t>
      </w:r>
      <w:r w:rsidRPr="00132E65">
        <w:rPr>
          <w:rtl/>
        </w:rPr>
        <w:t xml:space="preserve">. عن عمّار أو غيره. </w:t>
      </w:r>
      <w:r w:rsidRPr="00355805">
        <w:rPr>
          <w:rtl/>
        </w:rPr>
        <w:t>وفيه</w:t>
      </w:r>
      <w:r w:rsidRPr="00132E65">
        <w:rPr>
          <w:rtl/>
        </w:rPr>
        <w:t xml:space="preserve"> أيضاً ، ح 5 ، بسند آخر ، مع زيادة واختلاف يسير ؛ </w:t>
      </w:r>
      <w:r w:rsidRPr="00355805">
        <w:rPr>
          <w:rtl/>
        </w:rPr>
        <w:t>وفيه</w:t>
      </w:r>
      <w:r w:rsidRPr="00132E65">
        <w:rPr>
          <w:rtl/>
        </w:rPr>
        <w:t xml:space="preserve"> أيضاً ، ص 451 ، ح 1 </w:t>
      </w:r>
      <w:r>
        <w:rPr>
          <w:rtl/>
        </w:rPr>
        <w:t>و 4</w:t>
      </w:r>
      <w:r w:rsidRPr="00132E65">
        <w:rPr>
          <w:rtl/>
        </w:rPr>
        <w:t xml:space="preserve"> ، بسند آخر ، مع اختلاف</w:t>
      </w:r>
      <w:r w:rsidR="008B4F22">
        <w:rPr>
          <w:rFonts w:hint="cs"/>
          <w:rtl/>
        </w:rPr>
        <w:t>.</w:t>
      </w:r>
      <w:r w:rsidRPr="009D1ACE">
        <w:rPr>
          <w:rStyle w:val="libFootnoteBoldChar"/>
          <w:rtl/>
        </w:rPr>
        <w:t>الوافي</w:t>
      </w:r>
      <w:r w:rsidRPr="00132E65">
        <w:rPr>
          <w:rtl/>
        </w:rPr>
        <w:t xml:space="preserve"> ، ج 3 ، ص 649 ، ح 1242.</w:t>
      </w:r>
    </w:p>
    <w:p w:rsidR="000C39D1" w:rsidRPr="00132E65" w:rsidRDefault="000C39D1" w:rsidP="000C39D1">
      <w:pPr>
        <w:pStyle w:val="libFootnote0"/>
        <w:rPr>
          <w:rtl/>
          <w:lang w:bidi="fa-IR"/>
        </w:rPr>
      </w:pPr>
      <w:r>
        <w:rPr>
          <w:rtl/>
        </w:rPr>
        <w:t>(14)</w:t>
      </w:r>
      <w:r w:rsidRPr="00132E65">
        <w:rPr>
          <w:rtl/>
        </w:rPr>
        <w:t xml:space="preserve"> هكذا في « ض »</w:t>
      </w:r>
      <w:r>
        <w:rPr>
          <w:rtl/>
        </w:rPr>
        <w:t>.</w:t>
      </w:r>
      <w:r w:rsidRPr="00132E65">
        <w:rPr>
          <w:rtl/>
        </w:rPr>
        <w:t xml:space="preserve"> وفي « ألف ، ب ، ج ، ف ، و، بح ، بر ، بس ، بف ، جر » والمطبوع : « محمّد بن أحمد » ، بدل « محمّد عن أحمد »</w:t>
      </w:r>
      <w:r>
        <w:rPr>
          <w:rtl/>
        </w:rPr>
        <w:t>.</w:t>
      </w:r>
    </w:p>
    <w:p w:rsidR="000C39D1" w:rsidRPr="00132E65" w:rsidRDefault="000C39D1" w:rsidP="000C39D1">
      <w:pPr>
        <w:pStyle w:val="libFootnote0"/>
        <w:rPr>
          <w:rtl/>
          <w:lang w:bidi="fa-IR"/>
        </w:rPr>
      </w:pPr>
      <w:r w:rsidRPr="0046781C">
        <w:rPr>
          <w:rtl/>
        </w:rPr>
        <w:t xml:space="preserve">والصواب ما أثبتناه ؛ فقد روى محمّد بن يحيى عن أحمد بن محمّد [ بن عيسى ] عن محمّد بن خالد في كثيرٍ من الأسناد. راجع : </w:t>
      </w:r>
      <w:r w:rsidRPr="00355805">
        <w:rPr>
          <w:rtl/>
        </w:rPr>
        <w:t>معجم رجال الحديث</w:t>
      </w:r>
      <w:r w:rsidRPr="0046781C">
        <w:rPr>
          <w:rtl/>
        </w:rPr>
        <w:t xml:space="preserve"> ، ج 2 ، ص 562</w:t>
      </w:r>
      <w:r>
        <w:rPr>
          <w:rtl/>
        </w:rPr>
        <w:t xml:space="preserve"> - </w:t>
      </w:r>
      <w:r w:rsidRPr="0046781C">
        <w:rPr>
          <w:rtl/>
        </w:rPr>
        <w:t>564 ، وص 693</w:t>
      </w:r>
      <w:r>
        <w:rPr>
          <w:rtl/>
        </w:rPr>
        <w:t xml:space="preserve"> - </w:t>
      </w:r>
      <w:r w:rsidRPr="0046781C">
        <w:rPr>
          <w:rtl/>
        </w:rPr>
        <w:t xml:space="preserve">694. </w:t>
      </w:r>
      <w:r>
        <w:rPr>
          <w:rtl/>
        </w:rPr>
        <w:t>و «</w:t>
      </w:r>
      <w:r w:rsidRPr="0046781C">
        <w:rPr>
          <w:rtl/>
        </w:rPr>
        <w:t xml:space="preserve"> محمّد عن أحمد » في السند ، مخفّف « محمّد بن يحيى عن أحمد بن محمّد » ، كما لا يخفى.</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الْحَلَبِيِّ ، عَنْ حُمْرَانَ </w:t>
      </w:r>
      <w:r>
        <w:rPr>
          <w:rStyle w:val="libFootnotenumChar"/>
          <w:rtl/>
        </w:rPr>
        <w:t>(1)</w:t>
      </w:r>
      <w:r w:rsidRPr="00132E65">
        <w:rPr>
          <w:rtl/>
          <w:lang w:bidi="fa-IR"/>
        </w:rPr>
        <w:t xml:space="preserve"> بْنِ أَعْيَنَ ، عَنْ جُعَيْدٍ الْهَمْدَانِيِّ :</w:t>
      </w:r>
    </w:p>
    <w:p w:rsidR="000C39D1" w:rsidRPr="00132E65" w:rsidRDefault="000C39D1" w:rsidP="000C39D1">
      <w:pPr>
        <w:pStyle w:val="libNormal"/>
        <w:rPr>
          <w:rtl/>
          <w:lang w:bidi="fa-IR"/>
        </w:rPr>
      </w:pPr>
      <w:r w:rsidRPr="00132E65">
        <w:rPr>
          <w:rtl/>
          <w:lang w:bidi="fa-IR"/>
        </w:rPr>
        <w:t xml:space="preserve">عَنْ عَلِيِّ بْنِ الْحُسَيْنِ </w:t>
      </w:r>
      <w:r w:rsidRPr="00071CF9">
        <w:rPr>
          <w:rStyle w:val="libAlaemChar"/>
          <w:rtl/>
        </w:rPr>
        <w:t>عليهما‌السلام</w:t>
      </w:r>
      <w:r w:rsidRPr="00132E65">
        <w:rPr>
          <w:rtl/>
          <w:lang w:bidi="fa-IR"/>
        </w:rPr>
        <w:t xml:space="preserve"> ، قَالَ : سَأَلْتُهُ : بِأَيِّ حُكْمٍ تَحْكُمُونَ</w:t>
      </w:r>
      <w:r>
        <w:rPr>
          <w:rtl/>
          <w:lang w:bidi="fa-IR"/>
        </w:rPr>
        <w:t>؟</w:t>
      </w:r>
    </w:p>
    <w:p w:rsidR="000C39D1" w:rsidRPr="00132E65" w:rsidRDefault="000C39D1" w:rsidP="000C39D1">
      <w:pPr>
        <w:pStyle w:val="libNormal"/>
        <w:rPr>
          <w:rtl/>
          <w:lang w:bidi="fa-IR"/>
        </w:rPr>
      </w:pPr>
      <w:r w:rsidRPr="00132E65">
        <w:rPr>
          <w:rtl/>
          <w:lang w:bidi="fa-IR"/>
        </w:rPr>
        <w:t xml:space="preserve">قَالَ : « حُكْمِ </w:t>
      </w:r>
      <w:r>
        <w:rPr>
          <w:rStyle w:val="libFootnotenumChar"/>
          <w:rtl/>
        </w:rPr>
        <w:t>(2)</w:t>
      </w:r>
      <w:r w:rsidRPr="00132E65">
        <w:rPr>
          <w:rtl/>
          <w:lang w:bidi="fa-IR"/>
        </w:rPr>
        <w:t xml:space="preserve"> آلِ دَاوُدَ ، فَإِنْ أَعْيَانَا </w:t>
      </w:r>
      <w:r>
        <w:rPr>
          <w:rStyle w:val="libFootnotenumChar"/>
          <w:rtl/>
        </w:rPr>
        <w:t>(3)</w:t>
      </w:r>
      <w:r w:rsidRPr="00132E65">
        <w:rPr>
          <w:rtl/>
          <w:lang w:bidi="fa-IR"/>
        </w:rPr>
        <w:t xml:space="preserve"> شَيْ‌ءٌ ، تَلَقَّانَا بِهِ رُوحُ الْقُدُسِ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55805">
        <w:rPr>
          <w:rtl/>
        </w:rPr>
        <w:t>1044</w:t>
      </w:r>
      <w:r w:rsidRPr="004325D8">
        <w:rPr>
          <w:rStyle w:val="libBold2Char"/>
          <w:rtl/>
        </w:rPr>
        <w:t xml:space="preserve"> / 5.</w:t>
      </w:r>
      <w:r w:rsidRPr="00132E65">
        <w:rPr>
          <w:rtl/>
          <w:lang w:bidi="fa-IR"/>
        </w:rPr>
        <w:t xml:space="preserve"> أَحْمَدُ بْنُ مِهْرَانَ رَحِمَهُ اللهُ </w:t>
      </w:r>
      <w:r>
        <w:rPr>
          <w:rStyle w:val="libFootnotenumChar"/>
          <w:rtl/>
        </w:rPr>
        <w:t>(6)</w:t>
      </w:r>
      <w:r w:rsidRPr="00132E65">
        <w:rPr>
          <w:rtl/>
          <w:lang w:bidi="fa-IR"/>
        </w:rPr>
        <w:t xml:space="preserve"> ، عَنْ مُحَمَّدِ بْنِ عَلِيٍّ ، عَنِ ابْنِ مَحْبُوبٍ ، عَنْ هِشَامِ بْنِ سَالِمٍ ، عَنْ عَمَّارٍ السَّابَاطِيِّ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مَا مَنْزِلَةُ الْأَئِمَّةِ </w:t>
      </w:r>
      <w:r>
        <w:rPr>
          <w:rStyle w:val="libFootnotenumChar"/>
          <w:rtl/>
        </w:rPr>
        <w:t>(7)</w:t>
      </w:r>
      <w:r>
        <w:rPr>
          <w:rtl/>
          <w:lang w:bidi="fa-IR"/>
        </w:rPr>
        <w:t>؟</w:t>
      </w:r>
    </w:p>
    <w:p w:rsidR="000C39D1" w:rsidRPr="00132E65" w:rsidRDefault="000C39D1" w:rsidP="000C39D1">
      <w:pPr>
        <w:pStyle w:val="libNormal"/>
        <w:rPr>
          <w:rtl/>
          <w:lang w:bidi="fa-IR"/>
        </w:rPr>
      </w:pPr>
      <w:r w:rsidRPr="00132E65">
        <w:rPr>
          <w:rtl/>
          <w:lang w:bidi="fa-IR"/>
        </w:rPr>
        <w:t>قَالَ : « كَمَنْزِلَةِ ذِي الْقَرْنَيْنِ ، وكَمَنْزِلَةِ يُوشَعَ ، وكَمَنْزِلَةِ آصَفَ صَاحِبِ سُلَيْمَانَ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(8)</w:t>
      </w:r>
      <w:r w:rsidRPr="00132E65">
        <w:rPr>
          <w:rtl/>
          <w:lang w:bidi="fa-IR"/>
        </w:rPr>
        <w:t xml:space="preserve"> : فَبِمَا تَحْكُمُونَ </w:t>
      </w:r>
      <w:r>
        <w:rPr>
          <w:rStyle w:val="libFootnotenumChar"/>
          <w:rtl/>
        </w:rPr>
        <w:t>(9)</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ف » و</w:t>
      </w:r>
      <w:r w:rsidRPr="009D1ACE">
        <w:rPr>
          <w:rStyle w:val="libFootnoteBoldChar"/>
          <w:rtl/>
        </w:rPr>
        <w:t>الوافي</w:t>
      </w:r>
      <w:r w:rsidRPr="00132E65">
        <w:rPr>
          <w:rtl/>
        </w:rPr>
        <w:t>. وفي « ألف ، ب ، ج ، ض ، و، بح ، بر ، بس ، بف ، جر » والمطبوع : « عمران »</w:t>
      </w:r>
      <w:r>
        <w:rPr>
          <w:rtl/>
        </w:rPr>
        <w:t>.</w:t>
      </w:r>
      <w:r>
        <w:rPr>
          <w:rFonts w:hint="cs"/>
          <w:rtl/>
          <w:lang w:bidi="fa-IR"/>
        </w:rPr>
        <w:t xml:space="preserve"> </w:t>
      </w:r>
      <w:r w:rsidRPr="0046781C">
        <w:rPr>
          <w:rtl/>
        </w:rPr>
        <w:t xml:space="preserve">والصواب ما أثبتناه ؛ فإنّه مضافاً إلى عدم وجود راوٍ باسم « عمران بن أعين » ، الخبر رواه الصفّار في </w:t>
      </w:r>
      <w:r w:rsidRPr="007A1104">
        <w:rPr>
          <w:rStyle w:val="libFootnoteBoldChar"/>
          <w:rtl/>
        </w:rPr>
        <w:t>بصائر الدرجات</w:t>
      </w:r>
      <w:r w:rsidRPr="0046781C">
        <w:rPr>
          <w:rtl/>
        </w:rPr>
        <w:t xml:space="preserve"> ، ص 451 ، ح 2</w:t>
      </w:r>
      <w:r>
        <w:rPr>
          <w:rtl/>
        </w:rPr>
        <w:t xml:space="preserve"> - </w:t>
      </w:r>
      <w:r w:rsidRPr="0046781C">
        <w:rPr>
          <w:rtl/>
        </w:rPr>
        <w:t>باختلاف يسير</w:t>
      </w:r>
      <w:r>
        <w:rPr>
          <w:rtl/>
        </w:rPr>
        <w:t xml:space="preserve"> - </w:t>
      </w:r>
      <w:r w:rsidRPr="0046781C">
        <w:rPr>
          <w:rtl/>
        </w:rPr>
        <w:t>بسنده عن النضر بن سويد ، عن يحيى الحلبي ، عن بشير الدهان ، عن حمران بن أعين ، عن جعيد الهمداني ، ورواه في ص 452 ، ح 7 أيضاً بسنده عن ابن سنان أو غيره ، عن بشير ، عن حمران ، عن جعيد الهمداني. وحمران بن أعين هو الشيباني أخو زرارة.</w:t>
      </w:r>
    </w:p>
    <w:p w:rsidR="000C39D1" w:rsidRPr="00132E65" w:rsidRDefault="000C39D1" w:rsidP="000C39D1">
      <w:pPr>
        <w:pStyle w:val="libFootnote0"/>
        <w:rPr>
          <w:rtl/>
          <w:lang w:bidi="fa-IR"/>
        </w:rPr>
      </w:pPr>
      <w:r w:rsidRPr="0046781C">
        <w:rPr>
          <w:rtl/>
        </w:rPr>
        <w:t>ثمّ إنّ الظاهر سقوط « عن بشير الدّهان » ، من سندنا هذا ، فإنّا لم نجد رواية يحيى الحلبي عن حمران بن اعين مباشرةً في موضع.</w:t>
      </w:r>
    </w:p>
    <w:p w:rsidR="000C39D1" w:rsidRPr="00132E65" w:rsidRDefault="000C39D1" w:rsidP="000C39D1">
      <w:pPr>
        <w:pStyle w:val="libFootnote0"/>
        <w:rPr>
          <w:rtl/>
          <w:lang w:bidi="fa-IR"/>
        </w:rPr>
      </w:pPr>
      <w:r>
        <w:rPr>
          <w:rtl/>
        </w:rPr>
        <w:t>(2).</w:t>
      </w:r>
      <w:r w:rsidRPr="00132E65">
        <w:rPr>
          <w:rtl/>
        </w:rPr>
        <w:t xml:space="preserve"> في « ف ، بس » : « بحكم »</w:t>
      </w:r>
      <w:r>
        <w:rPr>
          <w:rtl/>
        </w:rPr>
        <w:t>.</w:t>
      </w:r>
      <w:r w:rsidRPr="00132E65">
        <w:rPr>
          <w:rtl/>
        </w:rPr>
        <w:t xml:space="preserve"> وفي البصائر ، ص 451 </w:t>
      </w:r>
      <w:r>
        <w:rPr>
          <w:rtl/>
        </w:rPr>
        <w:t>و 4</w:t>
      </w:r>
      <w:r w:rsidRPr="00132E65">
        <w:rPr>
          <w:rtl/>
        </w:rPr>
        <w:t>52 : « نحكم بحكم »</w:t>
      </w:r>
      <w:r>
        <w:rPr>
          <w:rtl/>
        </w:rPr>
        <w:t>.</w:t>
      </w:r>
    </w:p>
    <w:p w:rsidR="000C39D1" w:rsidRPr="00132E65" w:rsidRDefault="000C39D1" w:rsidP="000C39D1">
      <w:pPr>
        <w:pStyle w:val="libFootnote0"/>
        <w:rPr>
          <w:rtl/>
          <w:lang w:bidi="fa-IR"/>
        </w:rPr>
      </w:pPr>
      <w:r>
        <w:rPr>
          <w:rtl/>
        </w:rPr>
        <w:t>(3).</w:t>
      </w:r>
      <w:r w:rsidRPr="00132E65">
        <w:rPr>
          <w:rtl/>
        </w:rPr>
        <w:t xml:space="preserve"> في « ف » : « فإن فات أحياناً »</w:t>
      </w:r>
      <w:r>
        <w:rPr>
          <w:rtl/>
        </w:rPr>
        <w:t>.</w:t>
      </w:r>
      <w:r w:rsidRPr="00132E65">
        <w:rPr>
          <w:rtl/>
        </w:rPr>
        <w:t xml:space="preserve"> وقوله : « أعيانا » ، أي أعجزنا ؛ من العيّ بمعنى العجز. راجع : </w:t>
      </w:r>
      <w:r w:rsidRPr="00355805">
        <w:rPr>
          <w:rtl/>
        </w:rPr>
        <w:t>القاموس المحيط</w:t>
      </w:r>
      <w:r w:rsidRPr="00132E65">
        <w:rPr>
          <w:rtl/>
        </w:rPr>
        <w:t xml:space="preserve"> ، ج 2 ، ص 1725 ( عيي )</w:t>
      </w:r>
      <w:r>
        <w:rPr>
          <w:rtl/>
        </w:rPr>
        <w:t>.</w:t>
      </w:r>
    </w:p>
    <w:p w:rsidR="000C39D1" w:rsidRPr="00132E65" w:rsidRDefault="000C39D1" w:rsidP="000C39D1">
      <w:pPr>
        <w:pStyle w:val="libFootnote0"/>
        <w:rPr>
          <w:rtl/>
          <w:lang w:bidi="fa-IR"/>
        </w:rPr>
      </w:pPr>
      <w:r>
        <w:rPr>
          <w:rtl/>
        </w:rPr>
        <w:t>(4).</w:t>
      </w:r>
      <w:r w:rsidRPr="00132E65">
        <w:rPr>
          <w:rtl/>
        </w:rPr>
        <w:t xml:space="preserve"> تأخّر هذا الحديث في « ف » وجاء بعد الحديث الخامس.</w:t>
      </w:r>
    </w:p>
    <w:p w:rsidR="000C39D1" w:rsidRPr="00132E65" w:rsidRDefault="000C39D1" w:rsidP="008B4F22">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451 ، ح 2 ، عن أحمد بن محمّد ، عن أبي عبد الله البرقي والحسين بن سعيد ، عن النضر بن سويد ، عن يحيى الحلبي ، عن بشير الدّهان ، عن حمران بن أعين ، عن جعيد الهمداني. </w:t>
      </w:r>
      <w:r w:rsidRPr="00355805">
        <w:rPr>
          <w:rtl/>
        </w:rPr>
        <w:t>وفيه</w:t>
      </w:r>
      <w:r w:rsidRPr="00132E65">
        <w:rPr>
          <w:rtl/>
        </w:rPr>
        <w:t xml:space="preserve"> ، ص 452 ، ح 7 ، عن إبراهيم بن هاشم عن محمّد بن خالد البرقي ، عن ابن سنان أو غيره ، عن بشير ، عن حمران ، عن جعيد الهمداني ، عن حسين بن عليّ </w:t>
      </w:r>
      <w:r w:rsidRPr="008B4F22">
        <w:rPr>
          <w:rStyle w:val="libFootnoteAlaemChar"/>
          <w:rtl/>
        </w:rPr>
        <w:t>عليه‌السلام</w:t>
      </w:r>
      <w:r w:rsidR="008B4F22">
        <w:rPr>
          <w:rFonts w:hint="cs"/>
          <w:rtl/>
        </w:rPr>
        <w:t>.</w:t>
      </w:r>
      <w:r w:rsidRPr="009D1ACE">
        <w:rPr>
          <w:rStyle w:val="libFootnoteBoldChar"/>
          <w:rtl/>
        </w:rPr>
        <w:t>الوافي</w:t>
      </w:r>
      <w:r w:rsidRPr="00132E65">
        <w:rPr>
          <w:rtl/>
        </w:rPr>
        <w:t xml:space="preserve"> ، ج 3 ، ص 649 ، ح 1243.</w:t>
      </w:r>
    </w:p>
    <w:p w:rsidR="000C39D1" w:rsidRPr="00132E65" w:rsidRDefault="000C39D1" w:rsidP="000C39D1">
      <w:pPr>
        <w:pStyle w:val="libFootnote0"/>
        <w:rPr>
          <w:rtl/>
          <w:lang w:bidi="fa-IR"/>
        </w:rPr>
      </w:pPr>
      <w:r>
        <w:rPr>
          <w:rtl/>
        </w:rPr>
        <w:t>(6).</w:t>
      </w:r>
      <w:r w:rsidRPr="00132E65">
        <w:rPr>
          <w:rtl/>
        </w:rPr>
        <w:t xml:space="preserve"> في « ب » : « رحمة الله عليه »</w:t>
      </w:r>
      <w:r>
        <w:rPr>
          <w:rtl/>
        </w:rPr>
        <w:t>.</w:t>
      </w:r>
    </w:p>
    <w:tbl>
      <w:tblPr>
        <w:tblStyle w:val="TableGrid"/>
        <w:bidiVisual/>
        <w:tblW w:w="0" w:type="auto"/>
        <w:tblLook w:val="04A0" w:firstRow="1" w:lastRow="0" w:firstColumn="1" w:lastColumn="0" w:noHBand="0" w:noVBand="1"/>
      </w:tblPr>
      <w:tblGrid>
        <w:gridCol w:w="4006"/>
        <w:gridCol w:w="4006"/>
      </w:tblGrid>
      <w:tr w:rsidR="008B4F22" w:rsidTr="008B4F22">
        <w:tc>
          <w:tcPr>
            <w:tcW w:w="4006" w:type="dxa"/>
          </w:tcPr>
          <w:p w:rsidR="008B4F22" w:rsidRDefault="008B4F22" w:rsidP="000C39D1">
            <w:pPr>
              <w:pStyle w:val="libFootnote0"/>
              <w:rPr>
                <w:rtl/>
              </w:rPr>
            </w:pPr>
            <w:r>
              <w:rPr>
                <w:rtl/>
              </w:rPr>
              <w:t>(7).</w:t>
            </w:r>
            <w:r w:rsidRPr="00132E65">
              <w:rPr>
                <w:rtl/>
              </w:rPr>
              <w:t xml:space="preserve"> في « ف » : « الإمام »</w:t>
            </w:r>
            <w:r>
              <w:rPr>
                <w:rtl/>
              </w:rPr>
              <w:t>.</w:t>
            </w:r>
          </w:p>
        </w:tc>
        <w:tc>
          <w:tcPr>
            <w:tcW w:w="4006" w:type="dxa"/>
          </w:tcPr>
          <w:p w:rsidR="008B4F22" w:rsidRDefault="008B4F22" w:rsidP="000C39D1">
            <w:pPr>
              <w:pStyle w:val="libFootnote0"/>
              <w:rPr>
                <w:rtl/>
              </w:rPr>
            </w:pPr>
            <w:r>
              <w:rPr>
                <w:rtl/>
              </w:rPr>
              <w:t>(8).</w:t>
            </w:r>
            <w:r w:rsidRPr="00132E65">
              <w:rPr>
                <w:rtl/>
              </w:rPr>
              <w:t xml:space="preserve"> في « ف » : « قلت »</w:t>
            </w:r>
            <w:r>
              <w:rPr>
                <w:rtl/>
              </w:rPr>
              <w:t>.</w:t>
            </w:r>
          </w:p>
        </w:tc>
      </w:tr>
    </w:tbl>
    <w:p w:rsidR="000C39D1" w:rsidRPr="00132E65" w:rsidRDefault="000C39D1" w:rsidP="000C39D1">
      <w:pPr>
        <w:pStyle w:val="libFootnote0"/>
        <w:rPr>
          <w:rtl/>
          <w:lang w:bidi="fa-IR"/>
        </w:rPr>
      </w:pPr>
      <w:r>
        <w:rPr>
          <w:rtl/>
        </w:rPr>
        <w:t>(9).</w:t>
      </w:r>
      <w:r w:rsidRPr="00132E65">
        <w:rPr>
          <w:rtl/>
        </w:rPr>
        <w:t xml:space="preserve"> في « ض ، بح » : « يحكمون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 بِحُكْمِ اللهِ ، وحُكْمِ آلِ </w:t>
      </w:r>
      <w:r>
        <w:rPr>
          <w:rStyle w:val="libFootnotenumChar"/>
          <w:rtl/>
        </w:rPr>
        <w:t>(1)</w:t>
      </w:r>
      <w:r w:rsidRPr="00132E65">
        <w:rPr>
          <w:rtl/>
          <w:lang w:bidi="fa-IR"/>
        </w:rPr>
        <w:t xml:space="preserve"> دَاوُدَ ، وحُكْمِ مُحَمَّدٍ </w:t>
      </w:r>
      <w:r w:rsidRPr="00071CF9">
        <w:rPr>
          <w:rStyle w:val="libAlaemChar"/>
          <w:rtl/>
        </w:rPr>
        <w:t>صلى‌الله‌عليه‌وآله‌وسلم</w:t>
      </w:r>
      <w:r w:rsidRPr="00132E65">
        <w:rPr>
          <w:rtl/>
          <w:lang w:bidi="fa-IR"/>
        </w:rPr>
        <w:t xml:space="preserve"> ، و</w:t>
      </w:r>
      <w:r>
        <w:rPr>
          <w:rFonts w:hint="cs"/>
          <w:rtl/>
          <w:lang w:bidi="fa-IR"/>
        </w:rPr>
        <w:t xml:space="preserve"> </w:t>
      </w:r>
      <w:r>
        <w:rPr>
          <w:rStyle w:val="libFootnotenumChar"/>
          <w:rtl/>
        </w:rPr>
        <w:t>(2)</w:t>
      </w:r>
      <w:r w:rsidRPr="00132E65">
        <w:rPr>
          <w:rtl/>
          <w:lang w:bidi="fa-IR"/>
        </w:rPr>
        <w:t xml:space="preserve"> يَتَلَقَّانَا بِهِ رُوحُ الْقُدُسِ</w:t>
      </w:r>
      <w:r>
        <w:rPr>
          <w:rStyle w:val="libFootnotenumChar"/>
          <w:rtl/>
        </w:rPr>
        <w:t>(3)</w:t>
      </w:r>
      <w:r w:rsidRPr="00132E65">
        <w:rPr>
          <w:rtl/>
          <w:lang w:bidi="fa-IR"/>
        </w:rPr>
        <w:t>»</w:t>
      </w:r>
      <w:r>
        <w:rPr>
          <w:rtl/>
          <w:lang w:bidi="fa-IR"/>
        </w:rPr>
        <w:t>.</w:t>
      </w:r>
      <w:r>
        <w:rPr>
          <w:rStyle w:val="libFootnotenumChar"/>
          <w:rtl/>
        </w:rPr>
        <w:t>(4)</w:t>
      </w:r>
      <w:r w:rsidRPr="00132E65">
        <w:rPr>
          <w:rtl/>
          <w:lang w:bidi="fa-IR"/>
        </w:rPr>
        <w:t>‌</w:t>
      </w:r>
    </w:p>
    <w:p w:rsidR="000C39D1" w:rsidRPr="00132E65" w:rsidRDefault="000C39D1" w:rsidP="000C39D1">
      <w:pPr>
        <w:pStyle w:val="Heading2Center"/>
        <w:rPr>
          <w:rtl/>
          <w:lang w:bidi="fa-IR"/>
        </w:rPr>
      </w:pPr>
      <w:bookmarkStart w:id="114" w:name="_Toc459459137"/>
      <w:bookmarkStart w:id="115" w:name="_Toc34663106"/>
      <w:r w:rsidRPr="00132E65">
        <w:rPr>
          <w:rtl/>
          <w:lang w:bidi="fa-IR"/>
        </w:rPr>
        <w:t>100</w:t>
      </w:r>
      <w:r>
        <w:rPr>
          <w:rtl/>
          <w:lang w:bidi="fa-IR"/>
        </w:rPr>
        <w:t xml:space="preserve"> - </w:t>
      </w:r>
      <w:r w:rsidRPr="00132E65">
        <w:rPr>
          <w:rtl/>
          <w:lang w:bidi="fa-IR"/>
        </w:rPr>
        <w:t xml:space="preserve">بَابُ أَنَّ مُسْتَقَى الْعِلْمِ مِنْ بَيْتِ آلِ مُحَمَّدٍ </w:t>
      </w:r>
      <w:r w:rsidRPr="00071CF9">
        <w:rPr>
          <w:rStyle w:val="libAlaemChar"/>
          <w:rtl/>
        </w:rPr>
        <w:t>عليهم‌السلام</w:t>
      </w:r>
      <w:r w:rsidRPr="00132E65">
        <w:rPr>
          <w:rtl/>
          <w:lang w:bidi="fa-IR"/>
        </w:rPr>
        <w:t>‌</w:t>
      </w:r>
      <w:bookmarkEnd w:id="114"/>
      <w:bookmarkEnd w:id="115"/>
    </w:p>
    <w:p w:rsidR="000C39D1" w:rsidRPr="00132E65" w:rsidRDefault="000C39D1" w:rsidP="000C39D1">
      <w:pPr>
        <w:pStyle w:val="libNormal"/>
        <w:rPr>
          <w:rtl/>
          <w:lang w:bidi="fa-IR"/>
        </w:rPr>
      </w:pPr>
      <w:r w:rsidRPr="00D3001A">
        <w:rPr>
          <w:rtl/>
        </w:rPr>
        <w:t>1045</w:t>
      </w:r>
      <w:r w:rsidRPr="004325D8">
        <w:rPr>
          <w:rStyle w:val="libBold2Char"/>
          <w:rtl/>
        </w:rPr>
        <w:t xml:space="preserve"> / 1.</w:t>
      </w:r>
      <w:r w:rsidRPr="00132E65">
        <w:rPr>
          <w:rtl/>
          <w:lang w:bidi="fa-IR"/>
        </w:rPr>
        <w:t xml:space="preserve"> عِدَّةٌ مِنْ أَصْحَابِنَا ، عَنْ أَحْمَدَ بْنِ مُحَمَّدٍ ، عَنِ ابْنِ مَحْبُوبٍ ، قَالَ : حَدَّثَنَا يَحْيَى بْنُ عَبْدِ اللهِ أَبُو الْحَسَنِ </w:t>
      </w:r>
      <w:r>
        <w:rPr>
          <w:rStyle w:val="libFootnotenumChar"/>
          <w:rtl/>
        </w:rPr>
        <w:t>(5)</w:t>
      </w:r>
      <w:r w:rsidRPr="00132E65">
        <w:rPr>
          <w:rtl/>
          <w:lang w:bidi="fa-IR"/>
        </w:rPr>
        <w:t xml:space="preserve"> صَاحِبُ الدَّيْلَمِ ، قَالَ :</w:t>
      </w:r>
    </w:p>
    <w:p w:rsidR="000C39D1" w:rsidRPr="00132E65" w:rsidRDefault="000C39D1" w:rsidP="000C39D1">
      <w:pPr>
        <w:pStyle w:val="libNormal"/>
        <w:rPr>
          <w:rtl/>
          <w:lang w:bidi="fa-IR"/>
        </w:rPr>
      </w:pPr>
      <w:r w:rsidRPr="00132E65">
        <w:rPr>
          <w:rtl/>
          <w:lang w:bidi="fa-IR"/>
        </w:rPr>
        <w:t xml:space="preserve">سَمِعْتُ جَعْفَرَ بْنَ مُحَمَّدٍ </w:t>
      </w:r>
      <w:r w:rsidRPr="00071CF9">
        <w:rPr>
          <w:rStyle w:val="libAlaemChar"/>
          <w:rtl/>
        </w:rPr>
        <w:t>عليهما‌السلام</w:t>
      </w:r>
      <w:r w:rsidRPr="00132E65">
        <w:rPr>
          <w:rtl/>
          <w:lang w:bidi="fa-IR"/>
        </w:rPr>
        <w:t xml:space="preserve"> يَقُولُ</w:t>
      </w:r>
      <w:r>
        <w:rPr>
          <w:rtl/>
          <w:lang w:bidi="fa-IR"/>
        </w:rPr>
        <w:t xml:space="preserve"> - </w:t>
      </w:r>
      <w:r w:rsidRPr="00132E65">
        <w:rPr>
          <w:rtl/>
          <w:lang w:bidi="fa-IR"/>
        </w:rPr>
        <w:t xml:space="preserve">وعِنْدَهُ أُنَاسٌ </w:t>
      </w:r>
      <w:r>
        <w:rPr>
          <w:rStyle w:val="libFootnotenumChar"/>
          <w:rtl/>
        </w:rPr>
        <w:t>(6)</w:t>
      </w:r>
      <w:r w:rsidRPr="00132E65">
        <w:rPr>
          <w:rtl/>
          <w:lang w:bidi="fa-IR"/>
        </w:rPr>
        <w:t xml:space="preserve"> مِنْ أَهْلِ الْكُوفَةِ</w:t>
      </w:r>
      <w:r>
        <w:rPr>
          <w:rtl/>
          <w:lang w:bidi="fa-IR"/>
        </w:rPr>
        <w:t xml:space="preserve"> - </w:t>
      </w:r>
      <w:r w:rsidRPr="00132E65">
        <w:rPr>
          <w:rtl/>
          <w:lang w:bidi="fa-IR"/>
        </w:rPr>
        <w:t xml:space="preserve">: « عَجَباً لِلنَّاسِ أَنَّهُمْ أَخَذُوا عِلْمَهُمْ كُلَّهُ عَنْ رَسُولِ اللهِ </w:t>
      </w:r>
      <w:r w:rsidRPr="0093484F">
        <w:rPr>
          <w:rStyle w:val="libAlaemChar"/>
          <w:rFonts w:eastAsiaTheme="minorHAnsi"/>
          <w:rtl/>
        </w:rPr>
        <w:t>صلى‌الله‌عليه‌وآله</w:t>
      </w:r>
      <w:r w:rsidRPr="00132E65">
        <w:rPr>
          <w:rtl/>
          <w:lang w:bidi="fa-IR"/>
        </w:rPr>
        <w:t xml:space="preserve"> ، فَعَمِلُوا </w:t>
      </w:r>
      <w:r>
        <w:rPr>
          <w:rStyle w:val="libFootnotenumChar"/>
          <w:rtl/>
        </w:rPr>
        <w:t>(7)</w:t>
      </w:r>
      <w:r w:rsidRPr="00132E65">
        <w:rPr>
          <w:rtl/>
          <w:lang w:bidi="fa-IR"/>
        </w:rPr>
        <w:t xml:space="preserve"> بِهِ واهْتَدَوْا </w:t>
      </w:r>
      <w:r>
        <w:rPr>
          <w:rStyle w:val="libFootnotenumChar"/>
          <w:rtl/>
        </w:rPr>
        <w:t>(8)</w:t>
      </w:r>
      <w:r w:rsidRPr="00132E65">
        <w:rPr>
          <w:rtl/>
          <w:lang w:bidi="fa-IR"/>
        </w:rPr>
        <w:t xml:space="preserve"> ، ويَرَوْنَ أَنَّ أَهْلَ بَيْتِهِ لَمْ يَأْخُذُوا عِلْمَهُ ، ونَحْنُ أَهْلُ بَيْتِهِ وذُرِّيَّتُهُ ، فِي مَنَازِلِنَا نَزَلَ الْوَحْيُ ، ومِنْ عِنْدِنَا خَرَجَ الْعِلْمُ إِلَيْهِم</w:t>
      </w:r>
      <w:r>
        <w:rPr>
          <w:rtl/>
          <w:lang w:bidi="fa-IR"/>
        </w:rPr>
        <w:t>ْ ، أَ</w:t>
      </w:r>
      <w:r w:rsidRPr="00132E65">
        <w:rPr>
          <w:rtl/>
          <w:lang w:bidi="fa-IR"/>
        </w:rPr>
        <w:t xml:space="preserve">فَيَرَوْنَ أَنَّهُمْ عَلِمُوا </w:t>
      </w:r>
      <w:r>
        <w:rPr>
          <w:rStyle w:val="libFootnotenumChar"/>
          <w:rtl/>
        </w:rPr>
        <w:t>(9)</w:t>
      </w:r>
      <w:r w:rsidRPr="00132E65">
        <w:rPr>
          <w:rtl/>
          <w:lang w:bidi="fa-IR"/>
        </w:rPr>
        <w:t xml:space="preserve"> واهْتَدَوْا ، وجَهِلْنَا نَحْنُ وضَلَلْنَا</w:t>
      </w:r>
      <w:r>
        <w:rPr>
          <w:rtl/>
          <w:lang w:bidi="fa-IR"/>
        </w:rPr>
        <w:t>؟!</w:t>
      </w:r>
      <w:r w:rsidRPr="00132E65">
        <w:rPr>
          <w:rtl/>
          <w:lang w:bidi="fa-IR"/>
        </w:rPr>
        <w:t xml:space="preserve"> إِنَّ‌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ف ، بس ، بف » و</w:t>
      </w:r>
      <w:r w:rsidRPr="009D1ACE">
        <w:rPr>
          <w:rStyle w:val="libFootnoteBoldChar"/>
          <w:rtl/>
        </w:rPr>
        <w:t>الوافي</w:t>
      </w:r>
      <w:r w:rsidRPr="00132E65">
        <w:rPr>
          <w:rtl/>
        </w:rPr>
        <w:t xml:space="preserve"> </w:t>
      </w:r>
      <w:r>
        <w:rPr>
          <w:rtl/>
        </w:rPr>
        <w:t xml:space="preserve">: - </w:t>
      </w:r>
      <w:r w:rsidRPr="00132E65">
        <w:rPr>
          <w:rtl/>
        </w:rPr>
        <w:t>« آل »</w:t>
      </w:r>
      <w:r>
        <w:rPr>
          <w:rtl/>
        </w:rPr>
        <w:t>.</w:t>
      </w:r>
    </w:p>
    <w:p w:rsidR="000C39D1" w:rsidRPr="00132E65" w:rsidRDefault="000C39D1" w:rsidP="000C39D1">
      <w:pPr>
        <w:pStyle w:val="libFootnote0"/>
        <w:rPr>
          <w:rtl/>
          <w:lang w:bidi="fa-IR"/>
        </w:rPr>
      </w:pPr>
      <w:r>
        <w:rPr>
          <w:rtl/>
        </w:rPr>
        <w:t>(2).</w:t>
      </w:r>
      <w:r w:rsidRPr="00132E65">
        <w:rPr>
          <w:rtl/>
        </w:rPr>
        <w:t xml:space="preserve"> في « بح » </w:t>
      </w:r>
      <w:r>
        <w:rPr>
          <w:rtl/>
        </w:rPr>
        <w:t xml:space="preserve">: - </w:t>
      </w:r>
      <w:r w:rsidRPr="00132E65">
        <w:rPr>
          <w:rtl/>
        </w:rPr>
        <w:t xml:space="preserve">« </w:t>
      </w:r>
      <w:r>
        <w:rPr>
          <w:rtl/>
        </w:rPr>
        <w:t>و ».</w:t>
      </w:r>
    </w:p>
    <w:p w:rsidR="000C39D1" w:rsidRPr="00132E65" w:rsidRDefault="000C39D1" w:rsidP="000C39D1">
      <w:pPr>
        <w:pStyle w:val="libFootnote0"/>
        <w:rPr>
          <w:rtl/>
          <w:lang w:bidi="fa-IR"/>
        </w:rPr>
      </w:pPr>
      <w:r>
        <w:rPr>
          <w:rtl/>
        </w:rPr>
        <w:t>(3).</w:t>
      </w:r>
      <w:r w:rsidRPr="00132E65">
        <w:rPr>
          <w:rtl/>
        </w:rPr>
        <w:t xml:space="preserve"> هذا الحديث في « ف » قبل سابقه.</w:t>
      </w:r>
    </w:p>
    <w:p w:rsidR="000C39D1" w:rsidRPr="00132E65" w:rsidRDefault="000C39D1" w:rsidP="000946D4">
      <w:pPr>
        <w:pStyle w:val="libFootnote0"/>
        <w:rPr>
          <w:rtl/>
          <w:lang w:bidi="fa-IR"/>
        </w:rPr>
      </w:pPr>
      <w:r>
        <w:rPr>
          <w:rtl/>
        </w:rPr>
        <w:t>(4).</w:t>
      </w:r>
      <w:r w:rsidRPr="00132E65">
        <w:rPr>
          <w:rtl/>
        </w:rPr>
        <w:t xml:space="preserve"> </w:t>
      </w:r>
      <w:r w:rsidRPr="007A1104">
        <w:rPr>
          <w:rStyle w:val="libFootnoteBoldChar"/>
          <w:rtl/>
        </w:rPr>
        <w:t>بصائر الدرجات</w:t>
      </w:r>
      <w:r w:rsidRPr="00132E65">
        <w:rPr>
          <w:rtl/>
        </w:rPr>
        <w:t xml:space="preserve"> ، ص 366 ، ح 5 ، عن أحمد بن محمّد ، عن الحسن بن محبوب ، إلى قوله : « آصف صاحب سليمان » مع اختلاف يسير. وراجع سائر أحاديث هذا الباب</w:t>
      </w:r>
      <w:r w:rsidR="000946D4">
        <w:rPr>
          <w:rFonts w:hint="cs"/>
          <w:rtl/>
        </w:rPr>
        <w:t>.</w:t>
      </w:r>
      <w:r w:rsidRPr="009D1ACE">
        <w:rPr>
          <w:rStyle w:val="libFootnoteBoldChar"/>
          <w:rtl/>
        </w:rPr>
        <w:t>الوافي</w:t>
      </w:r>
      <w:r w:rsidRPr="00132E65">
        <w:rPr>
          <w:rtl/>
        </w:rPr>
        <w:t xml:space="preserve"> ، ج 3 ، ص 650 ، ح 1344 ؛ </w:t>
      </w:r>
      <w:r w:rsidRPr="00D3001A">
        <w:rPr>
          <w:rtl/>
        </w:rPr>
        <w:t>البحار</w:t>
      </w:r>
      <w:r w:rsidRPr="00132E65">
        <w:rPr>
          <w:rtl/>
        </w:rPr>
        <w:t xml:space="preserve"> ، ج 13 ، ص 368 ، ح 11 ، وفيه إلى قوله : « آصف صاحب سليمان »</w:t>
      </w:r>
      <w:r>
        <w:rPr>
          <w:rtl/>
        </w:rPr>
        <w:t>.</w:t>
      </w:r>
    </w:p>
    <w:p w:rsidR="000C39D1" w:rsidRPr="00132E65" w:rsidRDefault="000C39D1" w:rsidP="000C39D1">
      <w:pPr>
        <w:pStyle w:val="libFootnote0"/>
        <w:rPr>
          <w:rtl/>
          <w:lang w:bidi="fa-IR"/>
        </w:rPr>
      </w:pPr>
      <w:r>
        <w:rPr>
          <w:rtl/>
        </w:rPr>
        <w:t>(5).</w:t>
      </w:r>
      <w:r w:rsidRPr="00132E65">
        <w:rPr>
          <w:rtl/>
        </w:rPr>
        <w:t xml:space="preserve"> في « ألف ، بج ، ج ، ض ، و، بح ، بر ، بس ، بف ، جر » والمطبوع : « أبي الحسن »</w:t>
      </w:r>
      <w:r>
        <w:rPr>
          <w:rtl/>
        </w:rPr>
        <w:t>.</w:t>
      </w:r>
      <w:r w:rsidRPr="00132E65">
        <w:rPr>
          <w:rtl/>
        </w:rPr>
        <w:t xml:space="preserve"> وكذا في </w:t>
      </w:r>
      <w:r w:rsidRPr="007A1104">
        <w:rPr>
          <w:rStyle w:val="libFootnoteBoldChar"/>
          <w:rtl/>
        </w:rPr>
        <w:t>بصائر الدرجات</w:t>
      </w:r>
      <w:r w:rsidRPr="00132E65">
        <w:rPr>
          <w:rtl/>
        </w:rPr>
        <w:t xml:space="preserve"> ، ص 1 ، ح 3. وفي « ف » : « أبو الحسين »</w:t>
      </w:r>
      <w:r>
        <w:rPr>
          <w:rtl/>
        </w:rPr>
        <w:t>.</w:t>
      </w:r>
      <w:r w:rsidRPr="00132E65">
        <w:rPr>
          <w:rtl/>
        </w:rPr>
        <w:t xml:space="preserve"> وفي حاشيتها : « أبو الحسن »</w:t>
      </w:r>
      <w:r>
        <w:rPr>
          <w:rtl/>
        </w:rPr>
        <w:t>.</w:t>
      </w:r>
    </w:p>
    <w:p w:rsidR="000C39D1" w:rsidRPr="00132E65" w:rsidRDefault="000C39D1" w:rsidP="000C39D1">
      <w:pPr>
        <w:pStyle w:val="libFootnote0"/>
        <w:rPr>
          <w:rtl/>
          <w:lang w:bidi="fa-IR"/>
        </w:rPr>
      </w:pPr>
      <w:r w:rsidRPr="0046781C">
        <w:rPr>
          <w:rtl/>
        </w:rPr>
        <w:t xml:space="preserve">والصواب ما أثبتناه ، فإنّ يحيى بن عبد الله هذا ، هو يحيى بن عبد الله بن الحسن بن الحسن بن عليّ بن أبي طالب ، يكنّى أبا الحسن. راجع : </w:t>
      </w:r>
      <w:r w:rsidRPr="00D3001A">
        <w:rPr>
          <w:rtl/>
        </w:rPr>
        <w:t>رجال البرقي</w:t>
      </w:r>
      <w:r w:rsidRPr="0046781C">
        <w:rPr>
          <w:rtl/>
        </w:rPr>
        <w:t xml:space="preserve"> ، ص 19 ؛ </w:t>
      </w:r>
      <w:r w:rsidRPr="00D3001A">
        <w:rPr>
          <w:rtl/>
        </w:rPr>
        <w:t>مقاتل الطالبيّين</w:t>
      </w:r>
      <w:r w:rsidRPr="0046781C">
        <w:rPr>
          <w:rtl/>
        </w:rPr>
        <w:t xml:space="preserve"> ، ص 463 ؛ </w:t>
      </w:r>
      <w:r w:rsidRPr="00D3001A">
        <w:rPr>
          <w:rtl/>
        </w:rPr>
        <w:t>تهذيب الأنساب</w:t>
      </w:r>
      <w:r w:rsidRPr="0046781C">
        <w:rPr>
          <w:rtl/>
        </w:rPr>
        <w:t xml:space="preserve"> ، ص 35 </w:t>
      </w:r>
      <w:r>
        <w:rPr>
          <w:rtl/>
        </w:rPr>
        <w:t>و 5</w:t>
      </w:r>
      <w:r w:rsidRPr="0046781C">
        <w:rPr>
          <w:rtl/>
        </w:rPr>
        <w:t xml:space="preserve">8 ؛ </w:t>
      </w:r>
      <w:r w:rsidRPr="00D3001A">
        <w:rPr>
          <w:rtl/>
        </w:rPr>
        <w:t>أنساب الطالبيّين</w:t>
      </w:r>
      <w:r w:rsidRPr="0046781C">
        <w:rPr>
          <w:rtl/>
        </w:rPr>
        <w:t xml:space="preserve"> ، ص 85 </w:t>
      </w:r>
      <w:r>
        <w:rPr>
          <w:rtl/>
        </w:rPr>
        <w:t>و 9</w:t>
      </w:r>
      <w:r w:rsidRPr="0046781C">
        <w:rPr>
          <w:rtl/>
        </w:rPr>
        <w:t>7.</w:t>
      </w:r>
    </w:p>
    <w:p w:rsidR="000C39D1" w:rsidRPr="00132E65" w:rsidRDefault="000C39D1" w:rsidP="000946D4">
      <w:pPr>
        <w:pStyle w:val="libFootnote0"/>
        <w:rPr>
          <w:rtl/>
          <w:lang w:bidi="fa-IR"/>
        </w:rPr>
      </w:pPr>
      <w:r w:rsidRPr="0046781C">
        <w:rPr>
          <w:rtl/>
        </w:rPr>
        <w:t xml:space="preserve">هذا ، والخبر ورد في </w:t>
      </w:r>
      <w:r w:rsidRPr="00D3001A">
        <w:rPr>
          <w:rtl/>
        </w:rPr>
        <w:t>مستدرك الوسائل</w:t>
      </w:r>
      <w:r w:rsidRPr="0046781C">
        <w:rPr>
          <w:rtl/>
        </w:rPr>
        <w:t xml:space="preserve"> ، ج 17 ، ص 276 ، ح 21329</w:t>
      </w:r>
      <w:r>
        <w:rPr>
          <w:rtl/>
        </w:rPr>
        <w:t xml:space="preserve"> - </w:t>
      </w:r>
      <w:r w:rsidRPr="0046781C">
        <w:rPr>
          <w:rtl/>
        </w:rPr>
        <w:t xml:space="preserve">نقلاً من </w:t>
      </w:r>
      <w:r w:rsidRPr="007A1104">
        <w:rPr>
          <w:rStyle w:val="libFootnoteBoldChar"/>
          <w:rtl/>
        </w:rPr>
        <w:t>بصائر الدرجات</w:t>
      </w:r>
      <w:r>
        <w:rPr>
          <w:rtl/>
        </w:rPr>
        <w:t xml:space="preserve"> - </w:t>
      </w:r>
      <w:r w:rsidRPr="0046781C">
        <w:rPr>
          <w:rtl/>
        </w:rPr>
        <w:t>وفيه : « أبو الحسن »</w:t>
      </w:r>
      <w:r>
        <w:rPr>
          <w:rtl/>
        </w:rPr>
        <w:t>.</w:t>
      </w:r>
      <w:r w:rsidR="000946D4">
        <w:rPr>
          <w:rFonts w:hint="cs"/>
          <w:rtl/>
        </w:rPr>
        <w:t xml:space="preserve">                              </w:t>
      </w:r>
      <w:r w:rsidR="00936037">
        <w:rPr>
          <w:rFonts w:hint="cs"/>
          <w:rtl/>
        </w:rPr>
        <w:t xml:space="preserve">            </w:t>
      </w:r>
      <w:r w:rsidR="000946D4">
        <w:rPr>
          <w:rFonts w:hint="cs"/>
          <w:rtl/>
        </w:rPr>
        <w:t xml:space="preserve">       </w:t>
      </w:r>
      <w:r>
        <w:rPr>
          <w:rtl/>
        </w:rPr>
        <w:t>(6).</w:t>
      </w:r>
      <w:r w:rsidRPr="00132E65">
        <w:rPr>
          <w:rtl/>
        </w:rPr>
        <w:t xml:space="preserve"> في البصائر والأمالي للمفيد : « ناس »</w:t>
      </w:r>
      <w:r>
        <w:rPr>
          <w:rtl/>
        </w:rPr>
        <w:t>.</w:t>
      </w:r>
    </w:p>
    <w:p w:rsidR="000C39D1" w:rsidRPr="00132E65" w:rsidRDefault="000C39D1" w:rsidP="000C39D1">
      <w:pPr>
        <w:pStyle w:val="libFootnote0"/>
        <w:rPr>
          <w:rtl/>
          <w:lang w:bidi="fa-IR"/>
        </w:rPr>
      </w:pPr>
      <w:r>
        <w:rPr>
          <w:rtl/>
        </w:rPr>
        <w:t>(7).</w:t>
      </w:r>
      <w:r w:rsidRPr="00132E65">
        <w:rPr>
          <w:rtl/>
        </w:rPr>
        <w:t xml:space="preserve"> في « ض ، بح ، بس ، بف » وحاشية « ج » و</w:t>
      </w:r>
      <w:r w:rsidRPr="009D1ACE">
        <w:rPr>
          <w:rStyle w:val="libFootnoteBoldChar"/>
          <w:rtl/>
        </w:rPr>
        <w:t>الوافي</w:t>
      </w:r>
      <w:r w:rsidRPr="00132E65">
        <w:rPr>
          <w:rtl/>
        </w:rPr>
        <w:t xml:space="preserve"> : « فعلموا »</w:t>
      </w:r>
      <w:r>
        <w:rPr>
          <w:rtl/>
        </w:rPr>
        <w:t>.</w:t>
      </w:r>
    </w:p>
    <w:tbl>
      <w:tblPr>
        <w:tblStyle w:val="TableGrid"/>
        <w:bidiVisual/>
        <w:tblW w:w="0" w:type="auto"/>
        <w:tblLook w:val="04A0" w:firstRow="1" w:lastRow="0" w:firstColumn="1" w:lastColumn="0" w:noHBand="0" w:noVBand="1"/>
      </w:tblPr>
      <w:tblGrid>
        <w:gridCol w:w="4006"/>
        <w:gridCol w:w="4006"/>
      </w:tblGrid>
      <w:tr w:rsidR="000946D4" w:rsidTr="000946D4">
        <w:tc>
          <w:tcPr>
            <w:tcW w:w="4006" w:type="dxa"/>
          </w:tcPr>
          <w:p w:rsidR="000946D4" w:rsidRDefault="000946D4" w:rsidP="000C39D1">
            <w:pPr>
              <w:pStyle w:val="libFootnote0"/>
              <w:rPr>
                <w:rtl/>
              </w:rPr>
            </w:pPr>
            <w:r>
              <w:rPr>
                <w:rtl/>
              </w:rPr>
              <w:t>(8).</w:t>
            </w:r>
            <w:r w:rsidRPr="00132E65">
              <w:rPr>
                <w:rtl/>
              </w:rPr>
              <w:t xml:space="preserve"> في « ف » :</w:t>
            </w:r>
            <w:r>
              <w:rPr>
                <w:rtl/>
              </w:rPr>
              <w:t xml:space="preserve"> + </w:t>
            </w:r>
            <w:r w:rsidRPr="00132E65">
              <w:rPr>
                <w:rtl/>
              </w:rPr>
              <w:t>« به »</w:t>
            </w:r>
            <w:r>
              <w:rPr>
                <w:rtl/>
              </w:rPr>
              <w:t>.</w:t>
            </w:r>
          </w:p>
        </w:tc>
        <w:tc>
          <w:tcPr>
            <w:tcW w:w="4006" w:type="dxa"/>
          </w:tcPr>
          <w:p w:rsidR="000946D4" w:rsidRDefault="000946D4" w:rsidP="000C39D1">
            <w:pPr>
              <w:pStyle w:val="libFootnote0"/>
              <w:rPr>
                <w:rtl/>
              </w:rPr>
            </w:pPr>
            <w:r>
              <w:rPr>
                <w:rtl/>
              </w:rPr>
              <w:t>(9).</w:t>
            </w:r>
            <w:r w:rsidRPr="00132E65">
              <w:rPr>
                <w:rtl/>
              </w:rPr>
              <w:t xml:space="preserve"> في حاشية « ج » : « عملوا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هذَا لَمُحَالٌ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D3001A">
        <w:rPr>
          <w:rtl/>
        </w:rPr>
        <w:t>1046</w:t>
      </w:r>
      <w:r w:rsidRPr="004325D8">
        <w:rPr>
          <w:rStyle w:val="libBold2Char"/>
          <w:rtl/>
        </w:rPr>
        <w:t xml:space="preserve"> / 2.</w:t>
      </w:r>
      <w:r w:rsidRPr="00132E65">
        <w:rPr>
          <w:rtl/>
          <w:lang w:bidi="fa-IR"/>
        </w:rPr>
        <w:t xml:space="preserve"> عَلِيُّ بْنُ مُحَمَّدِ بْنِ عَبْدِ اللهِ ، عَنْ إِبْرَاهِيمَ بْنِ إِسْحَاقَ الْأَحْمَرِ ، عَنْ عَبْدِ اللهِ بْنِ حَمَّادٍ ، عَنْ صَبَّاحٍ الْمُزَنِيِّ ، عَنِ الْحَارِثِ بْنِ حَصِيرَةَ ، عَنِ الْحَكَمِ بْنِ عُتَيْبَةَ ، قَالَ :</w:t>
      </w:r>
    </w:p>
    <w:p w:rsidR="000C39D1" w:rsidRPr="00132E65" w:rsidRDefault="000C39D1" w:rsidP="000C39D1">
      <w:pPr>
        <w:pStyle w:val="libNormal"/>
        <w:rPr>
          <w:rtl/>
          <w:lang w:bidi="fa-IR"/>
        </w:rPr>
      </w:pPr>
      <w:r w:rsidRPr="00132E65">
        <w:rPr>
          <w:rtl/>
          <w:lang w:bidi="fa-IR"/>
        </w:rPr>
        <w:t xml:space="preserve">لَقِيَ رَجُلٌ الْحُسَيْنَ بْنَ عَلِيٍّ </w:t>
      </w:r>
      <w:r w:rsidRPr="00071CF9">
        <w:rPr>
          <w:rStyle w:val="libAlaemChar"/>
          <w:rtl/>
        </w:rPr>
        <w:t>عليهما‌السلام</w:t>
      </w:r>
      <w:r w:rsidRPr="00132E65">
        <w:rPr>
          <w:rtl/>
          <w:lang w:bidi="fa-IR"/>
        </w:rPr>
        <w:t xml:space="preserve"> بِالثَّعْلَبِيَّةِ </w:t>
      </w:r>
      <w:r>
        <w:rPr>
          <w:rStyle w:val="libFootnotenumChar"/>
          <w:rtl/>
        </w:rPr>
        <w:t>(3)</w:t>
      </w:r>
      <w:r>
        <w:rPr>
          <w:rtl/>
          <w:lang w:bidi="fa-IR"/>
        </w:rPr>
        <w:t xml:space="preserve"> - </w:t>
      </w:r>
      <w:r w:rsidRPr="00132E65">
        <w:rPr>
          <w:rtl/>
          <w:lang w:bidi="fa-IR"/>
        </w:rPr>
        <w:t>وهُوَ يُرِيدُ كَرْبَلَاءَ</w:t>
      </w:r>
      <w:r>
        <w:rPr>
          <w:rtl/>
          <w:lang w:bidi="fa-IR"/>
        </w:rPr>
        <w:t xml:space="preserve"> - </w:t>
      </w:r>
      <w:r w:rsidRPr="00132E65">
        <w:rPr>
          <w:rtl/>
          <w:lang w:bidi="fa-IR"/>
        </w:rPr>
        <w:t xml:space="preserve">فَدَخَلَ عَلَيْهِ ، فَسَلَّمَ عَلَيْهِ ، فَقَالَ لَهُ الْحُسَيْنُ </w:t>
      </w:r>
      <w:r w:rsidRPr="00071CF9">
        <w:rPr>
          <w:rStyle w:val="libAlaemChar"/>
          <w:rtl/>
        </w:rPr>
        <w:t>عليه‌السلام</w:t>
      </w:r>
      <w:r w:rsidRPr="00132E65">
        <w:rPr>
          <w:rtl/>
          <w:lang w:bidi="fa-IR"/>
        </w:rPr>
        <w:t xml:space="preserve"> : « مِنْ أَيِّ الْبِلَادِ أَنْتَ</w:t>
      </w:r>
      <w:r>
        <w:rPr>
          <w:rtl/>
          <w:lang w:bidi="fa-IR"/>
        </w:rPr>
        <w:t>؟</w:t>
      </w:r>
      <w:r w:rsidRPr="00132E65">
        <w:rPr>
          <w:rtl/>
          <w:lang w:bidi="fa-IR"/>
        </w:rPr>
        <w:t xml:space="preserve"> » قَالَ : مِنْ أَهْلِ الْكُوفَةِ.</w:t>
      </w:r>
    </w:p>
    <w:p w:rsidR="000C39D1" w:rsidRPr="00132E65" w:rsidRDefault="000C39D1" w:rsidP="000C39D1">
      <w:pPr>
        <w:pStyle w:val="libNormal"/>
        <w:rPr>
          <w:rtl/>
          <w:lang w:bidi="fa-IR"/>
        </w:rPr>
      </w:pPr>
      <w:r w:rsidRPr="00132E65">
        <w:rPr>
          <w:rtl/>
          <w:lang w:bidi="fa-IR"/>
        </w:rPr>
        <w:t xml:space="preserve">قَالَ : « أَمَا واللهِ ، يَا أَخَا أَهْلِ الْكُوفَةِ ، لَوْ </w:t>
      </w:r>
      <w:r>
        <w:rPr>
          <w:rStyle w:val="libFootnotenumChar"/>
          <w:rtl/>
        </w:rPr>
        <w:t>(4)</w:t>
      </w:r>
      <w:r w:rsidRPr="00132E65">
        <w:rPr>
          <w:rtl/>
          <w:lang w:bidi="fa-IR"/>
        </w:rPr>
        <w:t xml:space="preserve"> لَقِيتُكَ بِالْمَدِينَةِ لَأَرَيْتُكَ أَثَرَ جَبْرَئِيلَ </w:t>
      </w:r>
      <w:r w:rsidRPr="00071CF9">
        <w:rPr>
          <w:rStyle w:val="libAlaemChar"/>
          <w:rtl/>
        </w:rPr>
        <w:t>عليه‌السلام</w:t>
      </w:r>
      <w:r w:rsidRPr="00132E65">
        <w:rPr>
          <w:rtl/>
          <w:lang w:bidi="fa-IR"/>
        </w:rPr>
        <w:t xml:space="preserve"> مِنْ دَارِنَا ، ونُزُولِهِ بِالْوَحْيِ عَلى جَدِّي ، يَا أَخَا أَهْلِ الْكُوفَةِ ، </w:t>
      </w:r>
      <w:r>
        <w:rPr>
          <w:rtl/>
          <w:lang w:bidi="fa-IR"/>
        </w:rPr>
        <w:t>أَ</w:t>
      </w:r>
      <w:r w:rsidRPr="00132E65">
        <w:rPr>
          <w:rtl/>
          <w:lang w:bidi="fa-IR"/>
        </w:rPr>
        <w:t xml:space="preserve">فَمُسْتَقَى النَّاسِ الْعِلْمَ </w:t>
      </w:r>
      <w:r>
        <w:rPr>
          <w:rStyle w:val="libFootnotenumChar"/>
          <w:rtl/>
        </w:rPr>
        <w:t>(5)</w:t>
      </w:r>
      <w:r w:rsidRPr="00132E65">
        <w:rPr>
          <w:rtl/>
          <w:lang w:bidi="fa-IR"/>
        </w:rPr>
        <w:t xml:space="preserve"> مِنْ عِنْدِنَا ، فَعَلِمُوا ، وجَهِلْنَا</w:t>
      </w:r>
      <w:r>
        <w:rPr>
          <w:rtl/>
          <w:lang w:bidi="fa-IR"/>
        </w:rPr>
        <w:t>؟!</w:t>
      </w:r>
      <w:r w:rsidRPr="00132E65">
        <w:rPr>
          <w:rtl/>
          <w:lang w:bidi="fa-IR"/>
        </w:rPr>
        <w:t xml:space="preserve"> هذَا مَا لَايَكُونُ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Default="000C39D1" w:rsidP="000C39D1">
      <w:pPr>
        <w:pStyle w:val="Heading2Center"/>
        <w:rPr>
          <w:rtl/>
          <w:lang w:bidi="fa-IR"/>
        </w:rPr>
      </w:pPr>
      <w:bookmarkStart w:id="116" w:name="_Toc459459138"/>
      <w:bookmarkStart w:id="117" w:name="_Toc34663107"/>
      <w:r w:rsidRPr="00132E65">
        <w:rPr>
          <w:rtl/>
          <w:lang w:bidi="fa-IR"/>
        </w:rPr>
        <w:t>101</w:t>
      </w:r>
      <w:r>
        <w:rPr>
          <w:rtl/>
          <w:lang w:bidi="fa-IR"/>
        </w:rPr>
        <w:t xml:space="preserve"> - </w:t>
      </w:r>
      <w:r w:rsidRPr="00132E65">
        <w:rPr>
          <w:rtl/>
          <w:lang w:bidi="fa-IR"/>
        </w:rPr>
        <w:t xml:space="preserve">بَابُ أَنَّهُ لَيْسَ شَيْ‌ءٌ مِنَ الْحَقِّ فِي يَدِ </w:t>
      </w:r>
      <w:r>
        <w:rPr>
          <w:rStyle w:val="libFootnotenumChar"/>
          <w:rtl/>
        </w:rPr>
        <w:t>(7)</w:t>
      </w:r>
      <w:r>
        <w:rPr>
          <w:rtl/>
          <w:lang w:bidi="fa-IR"/>
        </w:rPr>
        <w:t xml:space="preserve"> </w:t>
      </w:r>
      <w:r w:rsidR="000011E4">
        <w:rPr>
          <w:rtl/>
          <w:lang w:bidi="fa-IR"/>
        </w:rPr>
        <w:t>النَّاسِ إِل</w:t>
      </w:r>
      <w:r w:rsidR="000011E4">
        <w:rPr>
          <w:rFonts w:hint="cs"/>
          <w:rtl/>
          <w:lang w:bidi="fa-IR"/>
        </w:rPr>
        <w:t>َّ</w:t>
      </w:r>
      <w:r w:rsidR="000011E4">
        <w:rPr>
          <w:rtl/>
          <w:lang w:bidi="fa-IR"/>
        </w:rPr>
        <w:t>ا</w:t>
      </w:r>
      <w:r w:rsidRPr="00132E65">
        <w:rPr>
          <w:rtl/>
          <w:lang w:bidi="fa-IR"/>
        </w:rPr>
        <w:t xml:space="preserve"> مَا خَرَجَ</w:t>
      </w:r>
      <w:bookmarkEnd w:id="116"/>
      <w:bookmarkEnd w:id="117"/>
      <w:r w:rsidRPr="00132E65">
        <w:rPr>
          <w:rtl/>
          <w:lang w:bidi="fa-IR"/>
        </w:rPr>
        <w:t xml:space="preserve"> </w:t>
      </w:r>
    </w:p>
    <w:p w:rsidR="000C39D1" w:rsidRPr="00132E65" w:rsidRDefault="000C39D1" w:rsidP="000C39D1">
      <w:pPr>
        <w:pStyle w:val="Heading2Center"/>
        <w:rPr>
          <w:rtl/>
          <w:lang w:bidi="fa-IR"/>
        </w:rPr>
      </w:pPr>
      <w:bookmarkStart w:id="118" w:name="_Toc459293651"/>
      <w:bookmarkStart w:id="119" w:name="_Toc459455120"/>
      <w:bookmarkStart w:id="120" w:name="_Toc459459139"/>
      <w:bookmarkStart w:id="121" w:name="_Toc34663108"/>
      <w:r w:rsidRPr="00132E65">
        <w:rPr>
          <w:rtl/>
          <w:lang w:bidi="fa-IR"/>
        </w:rPr>
        <w:t xml:space="preserve">مِنْ عِنْدِ الْأَئِمَّةِ </w:t>
      </w:r>
      <w:r w:rsidRPr="00071CF9">
        <w:rPr>
          <w:rStyle w:val="libAlaemChar"/>
          <w:rtl/>
        </w:rPr>
        <w:t>عليهم‌السلام</w:t>
      </w:r>
      <w:r w:rsidRPr="00132E65">
        <w:rPr>
          <w:rtl/>
          <w:lang w:bidi="fa-IR"/>
        </w:rPr>
        <w:t xml:space="preserve"> وأَنَّ كُلَّ شَيْ‌ءٍ لَمْ يَخْرُجْ مِنْ عِنْدِهِمْ </w:t>
      </w:r>
      <w:r>
        <w:rPr>
          <w:rStyle w:val="libFootnotenumChar"/>
          <w:rtl/>
        </w:rPr>
        <w:t>(8)</w:t>
      </w:r>
      <w:r>
        <w:rPr>
          <w:rtl/>
          <w:lang w:bidi="fa-IR"/>
        </w:rPr>
        <w:t xml:space="preserve"> </w:t>
      </w:r>
      <w:r w:rsidRPr="00132E65">
        <w:rPr>
          <w:rtl/>
          <w:lang w:bidi="fa-IR"/>
        </w:rPr>
        <w:t>فَهُوَ بَاطِلٌ‌</w:t>
      </w:r>
      <w:bookmarkEnd w:id="118"/>
      <w:bookmarkEnd w:id="119"/>
      <w:bookmarkEnd w:id="120"/>
      <w:bookmarkEnd w:id="121"/>
    </w:p>
    <w:p w:rsidR="000C39D1" w:rsidRPr="00132E65" w:rsidRDefault="000C39D1" w:rsidP="000C39D1">
      <w:pPr>
        <w:pStyle w:val="libNormal"/>
        <w:rPr>
          <w:rtl/>
          <w:lang w:bidi="fa-IR"/>
        </w:rPr>
      </w:pPr>
      <w:r w:rsidRPr="00D3001A">
        <w:rPr>
          <w:rtl/>
        </w:rPr>
        <w:t>1047</w:t>
      </w:r>
      <w:r w:rsidRPr="004325D8">
        <w:rPr>
          <w:rStyle w:val="libBold2Char"/>
          <w:rtl/>
        </w:rPr>
        <w:t xml:space="preserve"> / 1.</w:t>
      </w:r>
      <w:r w:rsidRPr="00132E65">
        <w:rPr>
          <w:rtl/>
          <w:lang w:bidi="fa-IR"/>
        </w:rPr>
        <w:t xml:space="preserve"> عَلِيُّ بْنُ إِبْرَاهِيمَ بْنِ هَاشِمٍ ، عَنْ مُحَمَّدِ بْنِ عِيسى ، عَنْ يُونُسَ ، عَنِ ابْنِ مُسْكَانَ ، عَنْ مُحَمَّدِ بْنِ مُسْلِمٍ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لَيْسَ عِنْدَ أَحَدٍ مِنَ النَّاسِ حَقٌّ ولَاصَوَابٌ ، ولَا </w:t>
      </w:r>
      <w:r>
        <w:rPr>
          <w:rStyle w:val="libFootnotenumChar"/>
          <w:rtl/>
        </w:rPr>
        <w:t>(9)</w:t>
      </w:r>
      <w:r w:rsidRPr="00132E65">
        <w:rPr>
          <w:rtl/>
          <w:lang w:bidi="fa-IR"/>
        </w:rPr>
        <w:t xml:space="preserve"> أَحَدٌ‌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بح » : « المحال »</w:t>
      </w:r>
      <w:r>
        <w:rPr>
          <w:rtl/>
        </w:rPr>
        <w:t>.</w:t>
      </w:r>
    </w:p>
    <w:p w:rsidR="000C39D1" w:rsidRPr="00132E65" w:rsidRDefault="000C39D1" w:rsidP="006D7B71">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12 ، ح 3 ، عن أحمد بن محمّد. </w:t>
      </w:r>
      <w:r w:rsidRPr="00D3001A">
        <w:rPr>
          <w:rtl/>
        </w:rPr>
        <w:t>الأمالي</w:t>
      </w:r>
      <w:r w:rsidRPr="00132E65">
        <w:rPr>
          <w:rtl/>
        </w:rPr>
        <w:t xml:space="preserve"> للمفيد ، ص 122 ، المجلس 14 ، ح 6 ، بسنده عن أحمد بن محمّد بن عيسى</w:t>
      </w:r>
      <w:r w:rsidR="006D7B71">
        <w:rPr>
          <w:rFonts w:hint="cs"/>
          <w:rtl/>
        </w:rPr>
        <w:t>.</w:t>
      </w:r>
      <w:r w:rsidRPr="009D1ACE">
        <w:rPr>
          <w:rStyle w:val="libFootnoteBoldChar"/>
          <w:rtl/>
        </w:rPr>
        <w:t>الوافي</w:t>
      </w:r>
      <w:r w:rsidRPr="00132E65">
        <w:rPr>
          <w:rtl/>
        </w:rPr>
        <w:t xml:space="preserve"> ، ج 3 ، ص 608 ، ح 1182.</w:t>
      </w:r>
    </w:p>
    <w:p w:rsidR="000C39D1" w:rsidRPr="00132E65" w:rsidRDefault="000C39D1" w:rsidP="000C39D1">
      <w:pPr>
        <w:pStyle w:val="libFootnote0"/>
        <w:rPr>
          <w:rtl/>
          <w:lang w:bidi="fa-IR"/>
        </w:rPr>
      </w:pPr>
      <w:r>
        <w:rPr>
          <w:rtl/>
        </w:rPr>
        <w:t>(3).</w:t>
      </w:r>
      <w:r w:rsidRPr="00132E65">
        <w:rPr>
          <w:rtl/>
        </w:rPr>
        <w:t xml:space="preserve"> « الثَعْلَبِيَّةُ » : موضع بطريق مكّة. </w:t>
      </w:r>
      <w:r w:rsidRPr="00D3001A">
        <w:rPr>
          <w:rtl/>
        </w:rPr>
        <w:t>الصحاح</w:t>
      </w:r>
      <w:r w:rsidRPr="00132E65">
        <w:rPr>
          <w:rtl/>
        </w:rPr>
        <w:t xml:space="preserve"> ، ج 1 ، ص 93 ( ثعلب )</w:t>
      </w:r>
      <w:r>
        <w:rPr>
          <w:rtl/>
        </w:rPr>
        <w:t>.</w:t>
      </w:r>
    </w:p>
    <w:tbl>
      <w:tblPr>
        <w:tblStyle w:val="TableGrid"/>
        <w:bidiVisual/>
        <w:tblW w:w="0" w:type="auto"/>
        <w:tblLook w:val="04A0" w:firstRow="1" w:lastRow="0" w:firstColumn="1" w:lastColumn="0" w:noHBand="0" w:noVBand="1"/>
      </w:tblPr>
      <w:tblGrid>
        <w:gridCol w:w="4006"/>
        <w:gridCol w:w="4006"/>
      </w:tblGrid>
      <w:tr w:rsidR="006D7B71" w:rsidTr="006D7B71">
        <w:tc>
          <w:tcPr>
            <w:tcW w:w="4006" w:type="dxa"/>
          </w:tcPr>
          <w:p w:rsidR="006D7B71" w:rsidRDefault="006D7B71" w:rsidP="000C39D1">
            <w:pPr>
              <w:pStyle w:val="libFootnote0"/>
              <w:rPr>
                <w:rtl/>
              </w:rPr>
            </w:pPr>
            <w:r>
              <w:rPr>
                <w:rtl/>
              </w:rPr>
              <w:t>(4).</w:t>
            </w:r>
            <w:r w:rsidRPr="00132E65">
              <w:rPr>
                <w:rtl/>
              </w:rPr>
              <w:t xml:space="preserve"> في « ف » : « لئن »</w:t>
            </w:r>
            <w:r>
              <w:rPr>
                <w:rtl/>
              </w:rPr>
              <w:t>.</w:t>
            </w:r>
          </w:p>
        </w:tc>
        <w:tc>
          <w:tcPr>
            <w:tcW w:w="4006" w:type="dxa"/>
          </w:tcPr>
          <w:p w:rsidR="006D7B71" w:rsidRDefault="006D7B71" w:rsidP="000C39D1">
            <w:pPr>
              <w:pStyle w:val="libFootnote0"/>
              <w:rPr>
                <w:rtl/>
              </w:rPr>
            </w:pPr>
            <w:r>
              <w:rPr>
                <w:rtl/>
              </w:rPr>
              <w:t>(5).</w:t>
            </w:r>
            <w:r w:rsidRPr="00132E65">
              <w:rPr>
                <w:rtl/>
              </w:rPr>
              <w:t xml:space="preserve"> في « بف » و</w:t>
            </w:r>
            <w:r w:rsidRPr="009D1ACE">
              <w:rPr>
                <w:rStyle w:val="libFootnoteBoldChar"/>
                <w:rtl/>
              </w:rPr>
              <w:t>الوافي</w:t>
            </w:r>
            <w:r w:rsidRPr="00132E65">
              <w:rPr>
                <w:rtl/>
              </w:rPr>
              <w:t xml:space="preserve"> : « للعلم »</w:t>
            </w:r>
            <w:r>
              <w:rPr>
                <w:rtl/>
              </w:rPr>
              <w:t>.</w:t>
            </w:r>
          </w:p>
        </w:tc>
      </w:tr>
    </w:tbl>
    <w:p w:rsidR="000C39D1" w:rsidRPr="00132E65" w:rsidRDefault="000C39D1" w:rsidP="006D7B71">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11 ، ح 1 ، عن إبراهيم بن إسحاق. </w:t>
      </w:r>
      <w:r w:rsidRPr="00D3001A">
        <w:rPr>
          <w:rtl/>
        </w:rPr>
        <w:t>تفسير العيّاشي</w:t>
      </w:r>
      <w:r w:rsidRPr="00132E65">
        <w:rPr>
          <w:rtl/>
        </w:rPr>
        <w:t xml:space="preserve"> ، ج 1 ، ص 16 ، ح 9 ، عن الحكم بن عيينة ، عن أبي عبد الله </w:t>
      </w:r>
      <w:r w:rsidRPr="006D7B71">
        <w:rPr>
          <w:rStyle w:val="libFootnoteAlaemChar"/>
          <w:rtl/>
        </w:rPr>
        <w:t>عليه‌السلام</w:t>
      </w:r>
      <w:r w:rsidRPr="00132E65">
        <w:rPr>
          <w:rtl/>
        </w:rPr>
        <w:t xml:space="preserve"> ، مع اختلاف</w:t>
      </w:r>
      <w:r w:rsidR="006D7B71">
        <w:rPr>
          <w:rFonts w:hint="cs"/>
          <w:rtl/>
        </w:rPr>
        <w:t>.</w:t>
      </w:r>
      <w:r w:rsidRPr="009D1ACE">
        <w:rPr>
          <w:rStyle w:val="libFootnoteBoldChar"/>
          <w:rtl/>
        </w:rPr>
        <w:t>الوافي</w:t>
      </w:r>
      <w:r w:rsidRPr="00132E65">
        <w:rPr>
          <w:rtl/>
        </w:rPr>
        <w:t xml:space="preserve"> ، ج 3 ، ص 608 ، ح 1181 ؛ </w:t>
      </w:r>
      <w:r w:rsidRPr="00D3001A">
        <w:rPr>
          <w:rtl/>
        </w:rPr>
        <w:t>البحار</w:t>
      </w:r>
      <w:r w:rsidRPr="00132E65">
        <w:rPr>
          <w:rtl/>
        </w:rPr>
        <w:t xml:space="preserve"> ، ج 45 ، ص 93 ، ح 34.</w:t>
      </w:r>
    </w:p>
    <w:p w:rsidR="000C39D1" w:rsidRPr="00132E65" w:rsidRDefault="000C39D1" w:rsidP="000C39D1">
      <w:pPr>
        <w:pStyle w:val="libFootnote0"/>
        <w:rPr>
          <w:rtl/>
          <w:lang w:bidi="fa-IR"/>
        </w:rPr>
      </w:pPr>
      <w:r>
        <w:rPr>
          <w:rtl/>
        </w:rPr>
        <w:t>(7).</w:t>
      </w:r>
      <w:r w:rsidRPr="00132E65">
        <w:rPr>
          <w:rtl/>
        </w:rPr>
        <w:t xml:space="preserve"> في « ج ، ض ، ف ، بس » وحاشية « ج » و</w:t>
      </w:r>
      <w:r w:rsidRPr="009D1ACE">
        <w:rPr>
          <w:rStyle w:val="libFootnoteBoldChar"/>
          <w:rtl/>
        </w:rPr>
        <w:t>مرآة العقول</w:t>
      </w:r>
      <w:r w:rsidRPr="00132E65">
        <w:rPr>
          <w:rtl/>
        </w:rPr>
        <w:t xml:space="preserve"> : « أيدي »</w:t>
      </w:r>
      <w:r>
        <w:rPr>
          <w:rtl/>
        </w:rPr>
        <w:t>.</w:t>
      </w:r>
    </w:p>
    <w:tbl>
      <w:tblPr>
        <w:tblStyle w:val="TableGrid"/>
        <w:bidiVisual/>
        <w:tblW w:w="0" w:type="auto"/>
        <w:tblLook w:val="04A0" w:firstRow="1" w:lastRow="0" w:firstColumn="1" w:lastColumn="0" w:noHBand="0" w:noVBand="1"/>
      </w:tblPr>
      <w:tblGrid>
        <w:gridCol w:w="4006"/>
        <w:gridCol w:w="4006"/>
      </w:tblGrid>
      <w:tr w:rsidR="006D7B71" w:rsidTr="006D7B71">
        <w:tc>
          <w:tcPr>
            <w:tcW w:w="4006" w:type="dxa"/>
          </w:tcPr>
          <w:p w:rsidR="006D7B71" w:rsidRDefault="006D7B71" w:rsidP="000C39D1">
            <w:pPr>
              <w:pStyle w:val="libFootnote0"/>
              <w:rPr>
                <w:rtl/>
              </w:rPr>
            </w:pPr>
            <w:r>
              <w:rPr>
                <w:rtl/>
              </w:rPr>
              <w:t>(8).</w:t>
            </w:r>
            <w:r w:rsidRPr="00132E65">
              <w:rPr>
                <w:rtl/>
              </w:rPr>
              <w:t xml:space="preserve"> في « بس » : « عندنا »</w:t>
            </w:r>
            <w:r>
              <w:rPr>
                <w:rtl/>
              </w:rPr>
              <w:t>.</w:t>
            </w:r>
          </w:p>
        </w:tc>
        <w:tc>
          <w:tcPr>
            <w:tcW w:w="4006" w:type="dxa"/>
          </w:tcPr>
          <w:p w:rsidR="006D7B71" w:rsidRDefault="006D7B71" w:rsidP="000C39D1">
            <w:pPr>
              <w:pStyle w:val="libFootnote0"/>
              <w:rPr>
                <w:rtl/>
              </w:rPr>
            </w:pPr>
            <w:r>
              <w:rPr>
                <w:rtl/>
              </w:rPr>
              <w:t>(9).</w:t>
            </w:r>
            <w:r w:rsidRPr="00132E65">
              <w:rPr>
                <w:rtl/>
              </w:rPr>
              <w:t xml:space="preserve"> في « بح » : « أو لا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 النَّاسِ يَقْضِي بِقَضَاءٍ حَقٍّ </w:t>
      </w:r>
      <w:r>
        <w:rPr>
          <w:rStyle w:val="libFootnotenumChar"/>
          <w:rtl/>
        </w:rPr>
        <w:t>(1)</w:t>
      </w:r>
      <w:r w:rsidR="006D7B71">
        <w:rPr>
          <w:rtl/>
          <w:lang w:bidi="fa-IR"/>
        </w:rPr>
        <w:t xml:space="preserve"> إِل</w:t>
      </w:r>
      <w:r w:rsidR="006D7B71">
        <w:rPr>
          <w:rFonts w:hint="cs"/>
          <w:rtl/>
          <w:lang w:bidi="fa-IR"/>
        </w:rPr>
        <w:t>َّ</w:t>
      </w:r>
      <w:r w:rsidR="006D7B71">
        <w:rPr>
          <w:rtl/>
          <w:lang w:bidi="fa-IR"/>
        </w:rPr>
        <w:t>ا</w:t>
      </w:r>
      <w:r w:rsidRPr="00132E65">
        <w:rPr>
          <w:rtl/>
          <w:lang w:bidi="fa-IR"/>
        </w:rPr>
        <w:t xml:space="preserve"> مَا خَرَجَ مِنَّا </w:t>
      </w:r>
      <w:r>
        <w:rPr>
          <w:rStyle w:val="libFootnotenumChar"/>
          <w:rtl/>
        </w:rPr>
        <w:t>(2)</w:t>
      </w:r>
      <w:r w:rsidRPr="00132E65">
        <w:rPr>
          <w:rtl/>
          <w:lang w:bidi="fa-IR"/>
        </w:rPr>
        <w:t xml:space="preserve"> أَهْلَ الْبَيْتِ ، وإِذَا تَشَعَّبَتْ </w:t>
      </w:r>
      <w:r>
        <w:rPr>
          <w:rStyle w:val="libFootnotenumChar"/>
          <w:rtl/>
        </w:rPr>
        <w:t>(3)</w:t>
      </w:r>
      <w:r w:rsidRPr="00132E65">
        <w:rPr>
          <w:rtl/>
          <w:lang w:bidi="fa-IR"/>
        </w:rPr>
        <w:t xml:space="preserve"> بِهِمُ الْأُمُورُ كَانَ الْخَطَأُ </w:t>
      </w:r>
      <w:r>
        <w:rPr>
          <w:rStyle w:val="libFootnotenumChar"/>
          <w:rtl/>
        </w:rPr>
        <w:t>(4)</w:t>
      </w:r>
      <w:r w:rsidRPr="00132E65">
        <w:rPr>
          <w:rtl/>
          <w:lang w:bidi="fa-IR"/>
        </w:rPr>
        <w:t xml:space="preserve"> مِنْهُمْ ، والصَّوَابُ مِنْ </w:t>
      </w:r>
      <w:r>
        <w:rPr>
          <w:rStyle w:val="libFootnotenumChar"/>
          <w:rtl/>
        </w:rPr>
        <w:t>(5)</w:t>
      </w:r>
      <w:r w:rsidRPr="00132E65">
        <w:rPr>
          <w:rtl/>
          <w:lang w:bidi="fa-IR"/>
        </w:rPr>
        <w:t xml:space="preserve"> عَلِيٍّ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D3001A">
        <w:rPr>
          <w:rtl/>
        </w:rPr>
        <w:t>1048</w:t>
      </w:r>
      <w:r w:rsidRPr="004325D8">
        <w:rPr>
          <w:rStyle w:val="libBold2Char"/>
          <w:rtl/>
        </w:rPr>
        <w:t xml:space="preserve"> / 2.</w:t>
      </w:r>
      <w:r w:rsidRPr="00132E65">
        <w:rPr>
          <w:rtl/>
          <w:lang w:bidi="fa-IR"/>
        </w:rPr>
        <w:t xml:space="preserve"> عِدَّةٌ مِنْ أَصْحَابِنَا ، عَنْ أَحْمَدَ بْنِ مُحَمَّدٍ ، عَنِ ابْنِ أَبِي نَصْرٍ ، عَنْ مُثَنًّى ، عَنْ زُرَارَةَ ، قَالَ :</w:t>
      </w:r>
    </w:p>
    <w:p w:rsidR="000C39D1" w:rsidRPr="00132E65" w:rsidRDefault="000C39D1" w:rsidP="000C39D1">
      <w:pPr>
        <w:pStyle w:val="libNormal"/>
        <w:rPr>
          <w:rtl/>
          <w:lang w:bidi="fa-IR"/>
        </w:rPr>
      </w:pPr>
      <w:r w:rsidRPr="00132E65">
        <w:rPr>
          <w:rtl/>
          <w:lang w:bidi="fa-IR"/>
        </w:rPr>
        <w:t xml:space="preserve">كُنْتُ عِنْدَ أَبِي جَعْفَرٍ </w:t>
      </w:r>
      <w:r w:rsidRPr="00071CF9">
        <w:rPr>
          <w:rStyle w:val="libAlaemChar"/>
          <w:rtl/>
        </w:rPr>
        <w:t>عليه‌السلام</w:t>
      </w:r>
      <w:r w:rsidRPr="00132E65">
        <w:rPr>
          <w:rtl/>
          <w:lang w:bidi="fa-IR"/>
        </w:rPr>
        <w:t xml:space="preserve"> ، فَقَالَ لَهُ رَجُلٌ مِنْ أَهْلِ الْكُوفَةِ يَسْأَلُهُ عَنْ قَوْلِ أَمِيرِ الْمُؤْمِنِينَ </w:t>
      </w:r>
      <w:r w:rsidRPr="00071CF9">
        <w:rPr>
          <w:rStyle w:val="libAlaemChar"/>
          <w:rtl/>
        </w:rPr>
        <w:t>عليه‌السلام</w:t>
      </w:r>
      <w:r w:rsidRPr="00132E65">
        <w:rPr>
          <w:rtl/>
          <w:lang w:bidi="fa-IR"/>
        </w:rPr>
        <w:t xml:space="preserve"> : « سَلُونِي عَمَّا شِئْتُمْ ، فَلَا </w:t>
      </w:r>
      <w:r>
        <w:rPr>
          <w:rStyle w:val="libFootnotenumChar"/>
          <w:rtl/>
        </w:rPr>
        <w:t>(7)</w:t>
      </w:r>
      <w:r w:rsidRPr="00132E65">
        <w:rPr>
          <w:rtl/>
          <w:lang w:bidi="fa-IR"/>
        </w:rPr>
        <w:t xml:space="preserve"> تَسْأَلُونِّي </w:t>
      </w:r>
      <w:r>
        <w:rPr>
          <w:rStyle w:val="libFootnotenumChar"/>
          <w:rtl/>
        </w:rPr>
        <w:t>(8)</w:t>
      </w:r>
      <w:r w:rsidR="006D7B71">
        <w:rPr>
          <w:rtl/>
          <w:lang w:bidi="fa-IR"/>
        </w:rPr>
        <w:t xml:space="preserve"> عَنْ شَيْ‌ءٍ إِل</w:t>
      </w:r>
      <w:r w:rsidR="006D7B71">
        <w:rPr>
          <w:rFonts w:hint="cs"/>
          <w:rtl/>
          <w:lang w:bidi="fa-IR"/>
        </w:rPr>
        <w:t>َّ</w:t>
      </w:r>
      <w:r w:rsidR="006D7B71">
        <w:rPr>
          <w:rtl/>
          <w:lang w:bidi="fa-IR"/>
        </w:rPr>
        <w:t>ا</w:t>
      </w:r>
      <w:r w:rsidRPr="00132E65">
        <w:rPr>
          <w:rtl/>
          <w:lang w:bidi="fa-IR"/>
        </w:rPr>
        <w:t xml:space="preserve"> نَبَّأْتُكُمْ </w:t>
      </w:r>
      <w:r>
        <w:rPr>
          <w:rStyle w:val="libFootnotenumChar"/>
          <w:rtl/>
        </w:rPr>
        <w:t>(9)</w:t>
      </w:r>
      <w:r w:rsidRPr="00132E65">
        <w:rPr>
          <w:rtl/>
          <w:lang w:bidi="fa-IR"/>
        </w:rPr>
        <w:t xml:space="preserve"> بِهِ »</w:t>
      </w:r>
      <w:r>
        <w:rPr>
          <w:rtl/>
          <w:lang w:bidi="fa-IR"/>
        </w:rPr>
        <w:t>.</w:t>
      </w:r>
    </w:p>
    <w:p w:rsidR="000C39D1" w:rsidRPr="00132E65" w:rsidRDefault="000C39D1" w:rsidP="006D7B71">
      <w:pPr>
        <w:pStyle w:val="libNormal"/>
        <w:rPr>
          <w:rtl/>
          <w:lang w:bidi="fa-IR"/>
        </w:rPr>
      </w:pPr>
      <w:r w:rsidRPr="00132E65">
        <w:rPr>
          <w:rtl/>
          <w:lang w:bidi="fa-IR"/>
        </w:rPr>
        <w:t xml:space="preserve">قَالَ </w:t>
      </w:r>
      <w:r>
        <w:rPr>
          <w:rStyle w:val="libFootnotenumChar"/>
          <w:rtl/>
        </w:rPr>
        <w:t>(10)</w:t>
      </w:r>
      <w:r w:rsidRPr="00132E65">
        <w:rPr>
          <w:rtl/>
          <w:lang w:bidi="fa-IR"/>
        </w:rPr>
        <w:t xml:space="preserve"> : « إِنَّهُ لَيْسَ أَحَدٌ عِنْدَهُ عِلْمُ شَيْ‌ءٍ </w:t>
      </w:r>
      <w:r w:rsidR="006D7B71">
        <w:rPr>
          <w:rtl/>
          <w:lang w:bidi="fa-IR"/>
        </w:rPr>
        <w:t>إِل</w:t>
      </w:r>
      <w:r w:rsidR="006D7B71">
        <w:rPr>
          <w:rFonts w:hint="cs"/>
          <w:rtl/>
          <w:lang w:bidi="fa-IR"/>
        </w:rPr>
        <w:t>َّ</w:t>
      </w:r>
      <w:r w:rsidR="006D7B71">
        <w:rPr>
          <w:rtl/>
          <w:lang w:bidi="fa-IR"/>
        </w:rPr>
        <w:t>ا</w:t>
      </w:r>
      <w:r w:rsidRPr="00132E65">
        <w:rPr>
          <w:rtl/>
          <w:lang w:bidi="fa-IR"/>
        </w:rPr>
        <w:t xml:space="preserve"> </w:t>
      </w:r>
      <w:r>
        <w:rPr>
          <w:rStyle w:val="libFootnotenumChar"/>
          <w:rtl/>
        </w:rPr>
        <w:t>(11)</w:t>
      </w:r>
      <w:r w:rsidRPr="00132E65">
        <w:rPr>
          <w:rtl/>
          <w:lang w:bidi="fa-IR"/>
        </w:rPr>
        <w:t xml:space="preserve"> خَرَجَ مِنْ عِنْدِ أَمِيرِ الْمُؤْمِنِينَ </w:t>
      </w:r>
      <w:r w:rsidRPr="00071CF9">
        <w:rPr>
          <w:rStyle w:val="libAlaemChar"/>
          <w:rtl/>
        </w:rPr>
        <w:t>عليه‌السلام</w:t>
      </w:r>
      <w:r w:rsidRPr="00132E65">
        <w:rPr>
          <w:rtl/>
          <w:lang w:bidi="fa-IR"/>
        </w:rPr>
        <w:t xml:space="preserve"> ، فَلْيَذْهَبِ النَّاسُ حَيْثُ شَاؤُوا ؛ فَوَ اللهِ ، لَيْسَ الْأَمْرُ </w:t>
      </w:r>
      <w:r w:rsidR="006D7B71">
        <w:rPr>
          <w:rtl/>
          <w:lang w:bidi="fa-IR"/>
        </w:rPr>
        <w:t>إِل</w:t>
      </w:r>
      <w:r w:rsidR="006D7B71">
        <w:rPr>
          <w:rFonts w:hint="cs"/>
          <w:rtl/>
          <w:lang w:bidi="fa-IR"/>
        </w:rPr>
        <w:t>َّ</w:t>
      </w:r>
      <w:r w:rsidR="006D7B71">
        <w:rPr>
          <w:rtl/>
          <w:lang w:bidi="fa-IR"/>
        </w:rPr>
        <w:t>ا</w:t>
      </w:r>
      <w:r w:rsidRPr="00132E65">
        <w:rPr>
          <w:rtl/>
          <w:lang w:bidi="fa-IR"/>
        </w:rPr>
        <w:t xml:space="preserve"> مِنْ هَاهُنَا » وأَشَارَ بِيَدِهِ إِلى بَيْتِهِ </w:t>
      </w:r>
      <w:r>
        <w:rPr>
          <w:rStyle w:val="libFootnotenumChar"/>
          <w:rtl/>
        </w:rPr>
        <w:t>(12)</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D7B71" w:rsidTr="006D7B71">
        <w:tc>
          <w:tcPr>
            <w:tcW w:w="4006" w:type="dxa"/>
          </w:tcPr>
          <w:p w:rsidR="006D7B71" w:rsidRDefault="006D7B71" w:rsidP="000C39D1">
            <w:pPr>
              <w:pStyle w:val="libFootnote0"/>
              <w:rPr>
                <w:rtl/>
              </w:rPr>
            </w:pPr>
            <w:r>
              <w:rPr>
                <w:rtl/>
              </w:rPr>
              <w:t>(1).</w:t>
            </w:r>
            <w:r w:rsidRPr="00132E65">
              <w:rPr>
                <w:rtl/>
              </w:rPr>
              <w:t xml:space="preserve"> في « ف » : « الحقّ »</w:t>
            </w:r>
            <w:r>
              <w:rPr>
                <w:rtl/>
              </w:rPr>
              <w:t>.</w:t>
            </w:r>
          </w:p>
        </w:tc>
        <w:tc>
          <w:tcPr>
            <w:tcW w:w="4006" w:type="dxa"/>
          </w:tcPr>
          <w:p w:rsidR="006D7B71" w:rsidRDefault="006D7B71" w:rsidP="000C39D1">
            <w:pPr>
              <w:pStyle w:val="libFootnote0"/>
              <w:rPr>
                <w:rtl/>
              </w:rPr>
            </w:pPr>
            <w:r>
              <w:rPr>
                <w:rtl/>
              </w:rPr>
              <w:t>(2).</w:t>
            </w:r>
            <w:r w:rsidRPr="00132E65">
              <w:rPr>
                <w:rtl/>
              </w:rPr>
              <w:t xml:space="preserve"> في الوسائل : « من عندنا » بدل « منّا »</w:t>
            </w:r>
            <w:r>
              <w:rPr>
                <w:rtl/>
              </w:rPr>
              <w:t>.</w:t>
            </w:r>
          </w:p>
        </w:tc>
      </w:tr>
    </w:tbl>
    <w:p w:rsidR="000C39D1" w:rsidRPr="00132E65" w:rsidRDefault="000C39D1" w:rsidP="000C39D1">
      <w:pPr>
        <w:pStyle w:val="libFootnote0"/>
        <w:rPr>
          <w:rtl/>
          <w:lang w:bidi="fa-IR"/>
        </w:rPr>
      </w:pPr>
      <w:r>
        <w:rPr>
          <w:rtl/>
        </w:rPr>
        <w:t>(3).</w:t>
      </w:r>
      <w:r w:rsidRPr="00132E65">
        <w:rPr>
          <w:rtl/>
        </w:rPr>
        <w:t xml:space="preserve"> في المحاسن والأمالي : « فإذا اشتبهت عليهم » بدل « وإذا تشعّبت بهم »</w:t>
      </w:r>
      <w:r>
        <w:rPr>
          <w:rtl/>
        </w:rPr>
        <w:t>.</w:t>
      </w:r>
    </w:p>
    <w:p w:rsidR="000C39D1" w:rsidRPr="00132E65" w:rsidRDefault="000C39D1" w:rsidP="00CA6D3E">
      <w:pPr>
        <w:pStyle w:val="libFootnote0"/>
        <w:rPr>
          <w:rtl/>
          <w:lang w:bidi="fa-IR"/>
        </w:rPr>
      </w:pPr>
      <w:r>
        <w:rPr>
          <w:rtl/>
        </w:rPr>
        <w:t>(4).</w:t>
      </w:r>
      <w:r w:rsidRPr="00132E65">
        <w:rPr>
          <w:rtl/>
        </w:rPr>
        <w:t xml:space="preserve"> اختلفت النسخ في ضبط « الخطأ » من حيث القصر والمدّ ، وأكثرها على القصر ، وهو أكثر استعمالاً كما في القرآن الكريم.</w:t>
      </w:r>
      <w:r w:rsidR="00CA6D3E">
        <w:rPr>
          <w:rFonts w:hint="cs"/>
          <w:rtl/>
        </w:rPr>
        <w:t xml:space="preserve">                               </w:t>
      </w:r>
      <w:r w:rsidR="00936037">
        <w:rPr>
          <w:rFonts w:hint="cs"/>
          <w:rtl/>
        </w:rPr>
        <w:t xml:space="preserve">        </w:t>
      </w:r>
      <w:r w:rsidR="00CA6D3E">
        <w:rPr>
          <w:rFonts w:hint="cs"/>
          <w:rtl/>
        </w:rPr>
        <w:t xml:space="preserve">             </w:t>
      </w:r>
      <w:r>
        <w:rPr>
          <w:rtl/>
        </w:rPr>
        <w:t>(5).</w:t>
      </w:r>
      <w:r w:rsidRPr="00132E65">
        <w:rPr>
          <w:rtl/>
        </w:rPr>
        <w:t xml:space="preserve"> في البصائر والمحاسن والأمالي :</w:t>
      </w:r>
      <w:r>
        <w:rPr>
          <w:rtl/>
        </w:rPr>
        <w:t xml:space="preserve"> + </w:t>
      </w:r>
      <w:r w:rsidRPr="00132E65">
        <w:rPr>
          <w:rtl/>
        </w:rPr>
        <w:t>« قِبَل »</w:t>
      </w:r>
      <w:r>
        <w:rPr>
          <w:rtl/>
        </w:rPr>
        <w:t>.</w:t>
      </w:r>
    </w:p>
    <w:p w:rsidR="000C39D1" w:rsidRPr="00132E65" w:rsidRDefault="000C39D1" w:rsidP="00CA6D3E">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519 ، ح 4 ، بسنده عن محمّد بن عيسى. وفي </w:t>
      </w:r>
      <w:r w:rsidRPr="00D3001A">
        <w:rPr>
          <w:rtl/>
        </w:rPr>
        <w:t>المحاسن</w:t>
      </w:r>
      <w:r w:rsidRPr="00132E65">
        <w:rPr>
          <w:rtl/>
        </w:rPr>
        <w:t xml:space="preserve"> ، ص 146 ، كتاب الصفوة ، ح 53 ؛ و</w:t>
      </w:r>
      <w:r w:rsidRPr="007A1104">
        <w:rPr>
          <w:rStyle w:val="libFootnoteBoldChar"/>
          <w:rtl/>
        </w:rPr>
        <w:t>بصائر الدرجات</w:t>
      </w:r>
      <w:r w:rsidRPr="00132E65">
        <w:rPr>
          <w:rtl/>
        </w:rPr>
        <w:t xml:space="preserve"> ، ص 519 ، ح 2 ؛ و</w:t>
      </w:r>
      <w:r w:rsidRPr="00D3001A">
        <w:rPr>
          <w:rtl/>
        </w:rPr>
        <w:t>الأمالي</w:t>
      </w:r>
      <w:r w:rsidRPr="00132E65">
        <w:rPr>
          <w:rtl/>
        </w:rPr>
        <w:t xml:space="preserve"> للمفيد ، ص 95 ، المجلس 11 ، ح 6 ، بسندهم عن محمّد بن مسلم ، مع اختلاف يسير</w:t>
      </w:r>
      <w:r w:rsidR="00CA6D3E">
        <w:rPr>
          <w:rFonts w:hint="cs"/>
          <w:rtl/>
        </w:rPr>
        <w:t>.</w:t>
      </w:r>
      <w:r w:rsidRPr="009D1ACE">
        <w:rPr>
          <w:rStyle w:val="libFootnoteBoldChar"/>
          <w:rtl/>
        </w:rPr>
        <w:t>الوافي</w:t>
      </w:r>
      <w:r w:rsidRPr="00132E65">
        <w:rPr>
          <w:rtl/>
        </w:rPr>
        <w:t xml:space="preserve"> ، ج 3 ، ص 609 ، ح 1183 ؛ </w:t>
      </w:r>
      <w:r w:rsidRPr="00D3001A">
        <w:rPr>
          <w:rtl/>
        </w:rPr>
        <w:t>الوسائل</w:t>
      </w:r>
      <w:r w:rsidRPr="00132E65">
        <w:rPr>
          <w:rtl/>
        </w:rPr>
        <w:t xml:space="preserve"> ، ج 27 ، ص 68 ، ح 33222.</w:t>
      </w:r>
    </w:p>
    <w:p w:rsidR="000C39D1" w:rsidRPr="00132E65" w:rsidRDefault="000C39D1" w:rsidP="000C39D1">
      <w:pPr>
        <w:pStyle w:val="libFootnote0"/>
        <w:rPr>
          <w:rtl/>
          <w:lang w:bidi="fa-IR"/>
        </w:rPr>
      </w:pPr>
      <w:r>
        <w:rPr>
          <w:rtl/>
        </w:rPr>
        <w:t>(7).</w:t>
      </w:r>
      <w:r w:rsidRPr="00132E65">
        <w:rPr>
          <w:rtl/>
        </w:rPr>
        <w:t xml:space="preserve"> في البصائر ، ص 12 </w:t>
      </w:r>
      <w:r>
        <w:rPr>
          <w:rtl/>
        </w:rPr>
        <w:t>و 5</w:t>
      </w:r>
      <w:r w:rsidRPr="00132E65">
        <w:rPr>
          <w:rtl/>
        </w:rPr>
        <w:t>18 : « ولا »</w:t>
      </w:r>
      <w:r>
        <w:rPr>
          <w:rtl/>
        </w:rPr>
        <w:t>.</w:t>
      </w:r>
    </w:p>
    <w:p w:rsidR="000C39D1" w:rsidRPr="00132E65" w:rsidRDefault="000C39D1" w:rsidP="000C39D1">
      <w:pPr>
        <w:pStyle w:val="libFootnote0"/>
        <w:rPr>
          <w:rtl/>
          <w:lang w:bidi="fa-IR"/>
        </w:rPr>
      </w:pPr>
      <w:r>
        <w:rPr>
          <w:rtl/>
        </w:rPr>
        <w:t>(8).</w:t>
      </w:r>
      <w:r w:rsidRPr="00132E65">
        <w:rPr>
          <w:rtl/>
        </w:rPr>
        <w:t xml:space="preserve"> في الوسائل : « تسألون »</w:t>
      </w:r>
      <w:r>
        <w:rPr>
          <w:rtl/>
        </w:rPr>
        <w:t>.</w:t>
      </w:r>
      <w:r w:rsidRPr="00132E65">
        <w:rPr>
          <w:rtl/>
        </w:rPr>
        <w:t xml:space="preserve"> وفي </w:t>
      </w:r>
      <w:r w:rsidRPr="00D3001A">
        <w:rPr>
          <w:rtl/>
        </w:rPr>
        <w:t>النحو</w:t>
      </w:r>
      <w:r w:rsidRPr="00132E65">
        <w:rPr>
          <w:rtl/>
        </w:rPr>
        <w:t xml:space="preserve"> </w:t>
      </w:r>
      <w:r w:rsidRPr="009D1ACE">
        <w:rPr>
          <w:rStyle w:val="libFootnoteBoldChar"/>
          <w:rtl/>
        </w:rPr>
        <w:t>الوافي</w:t>
      </w:r>
      <w:r w:rsidRPr="00132E65">
        <w:rPr>
          <w:rtl/>
        </w:rPr>
        <w:t xml:space="preserve"> ، ج 1 ، ص 163 : « وهناك لغة تحذف نون الرفع أي : نون الأفعال الخمسة في غير ما سبق » فلا احتياج إلى شدّة النون.</w:t>
      </w:r>
    </w:p>
    <w:p w:rsidR="000C39D1" w:rsidRPr="00132E65" w:rsidRDefault="000C39D1" w:rsidP="000C39D1">
      <w:pPr>
        <w:pStyle w:val="libFootnote0"/>
        <w:rPr>
          <w:rtl/>
          <w:lang w:bidi="fa-IR"/>
        </w:rPr>
      </w:pPr>
      <w:r>
        <w:rPr>
          <w:rtl/>
        </w:rPr>
        <w:t>(9).</w:t>
      </w:r>
      <w:r w:rsidRPr="00132E65">
        <w:rPr>
          <w:rtl/>
        </w:rPr>
        <w:t xml:space="preserve"> هكذا في « ب ، ج ، ض ، ف ، بح ، بر ، بس ، بف » و</w:t>
      </w:r>
      <w:r w:rsidRPr="009D1ACE">
        <w:rPr>
          <w:rStyle w:val="libFootnoteBoldChar"/>
          <w:rtl/>
        </w:rPr>
        <w:t>الوافي</w:t>
      </w:r>
      <w:r w:rsidRPr="00132E65">
        <w:rPr>
          <w:rtl/>
        </w:rPr>
        <w:t xml:space="preserve">. وفي المطبوع والبصائر ، ص 12 </w:t>
      </w:r>
      <w:r>
        <w:rPr>
          <w:rtl/>
        </w:rPr>
        <w:t>و 5</w:t>
      </w:r>
      <w:r w:rsidRPr="00132E65">
        <w:rPr>
          <w:rtl/>
        </w:rPr>
        <w:t>18 : « أنبأتكم »</w:t>
      </w:r>
      <w:r>
        <w:rPr>
          <w:rtl/>
        </w:rPr>
        <w:t>.</w:t>
      </w:r>
    </w:p>
    <w:p w:rsidR="000C39D1" w:rsidRPr="00132E65" w:rsidRDefault="000C39D1" w:rsidP="000C39D1">
      <w:pPr>
        <w:pStyle w:val="libFootnote0"/>
        <w:rPr>
          <w:rtl/>
          <w:lang w:bidi="fa-IR"/>
        </w:rPr>
      </w:pPr>
      <w:r>
        <w:rPr>
          <w:rtl/>
        </w:rPr>
        <w:t>(10).</w:t>
      </w:r>
      <w:r w:rsidRPr="00132E65">
        <w:rPr>
          <w:rtl/>
        </w:rPr>
        <w:t xml:space="preserve"> في البصائر ، ص 12 ، والوسائل : « فقال »</w:t>
      </w:r>
      <w:r>
        <w:rPr>
          <w:rtl/>
        </w:rPr>
        <w:t>.</w:t>
      </w:r>
    </w:p>
    <w:p w:rsidR="000C39D1" w:rsidRPr="00132E65" w:rsidRDefault="000C39D1" w:rsidP="000C39D1">
      <w:pPr>
        <w:pStyle w:val="libFootnote0"/>
        <w:rPr>
          <w:rtl/>
          <w:lang w:bidi="fa-IR"/>
        </w:rPr>
      </w:pPr>
      <w:r>
        <w:rPr>
          <w:rtl/>
        </w:rPr>
        <w:t>(11).</w:t>
      </w:r>
      <w:r w:rsidRPr="00132E65">
        <w:rPr>
          <w:rtl/>
        </w:rPr>
        <w:t xml:space="preserve"> في « ج ، ف ، بح ، بس ، بف » و</w:t>
      </w:r>
      <w:r w:rsidRPr="009D1ACE">
        <w:rPr>
          <w:rStyle w:val="libFootnoteBoldChar"/>
          <w:rtl/>
        </w:rPr>
        <w:t>الوافي</w:t>
      </w:r>
      <w:r w:rsidR="00CA6D3E">
        <w:rPr>
          <w:rtl/>
        </w:rPr>
        <w:t xml:space="preserve"> والوسائل : « إل</w:t>
      </w:r>
      <w:r w:rsidR="00CA6D3E">
        <w:rPr>
          <w:rFonts w:hint="cs"/>
          <w:rtl/>
        </w:rPr>
        <w:t>ّ</w:t>
      </w:r>
      <w:r w:rsidR="00CA6D3E">
        <w:rPr>
          <w:rtl/>
        </w:rPr>
        <w:t>ا</w:t>
      </w:r>
      <w:r w:rsidRPr="00132E65">
        <w:rPr>
          <w:rtl/>
        </w:rPr>
        <w:t xml:space="preserve"> شي‌ء »</w:t>
      </w:r>
      <w:r>
        <w:rPr>
          <w:rtl/>
        </w:rPr>
        <w:t>.</w:t>
      </w:r>
    </w:p>
    <w:p w:rsidR="000C39D1" w:rsidRPr="00132E65" w:rsidRDefault="000C39D1" w:rsidP="000C39D1">
      <w:pPr>
        <w:pStyle w:val="libFootnote0"/>
        <w:rPr>
          <w:rtl/>
          <w:lang w:bidi="fa-IR"/>
        </w:rPr>
      </w:pPr>
      <w:r>
        <w:rPr>
          <w:rtl/>
        </w:rPr>
        <w:t>(12).</w:t>
      </w:r>
      <w:r w:rsidRPr="00132E65">
        <w:rPr>
          <w:rtl/>
        </w:rPr>
        <w:t xml:space="preserve"> في البصائر ، ص 518 : « إلى صدره »</w:t>
      </w:r>
      <w:r>
        <w:rPr>
          <w:rtl/>
        </w:rPr>
        <w:t>.</w:t>
      </w:r>
      <w:r w:rsidRPr="00132E65">
        <w:rPr>
          <w:rtl/>
        </w:rPr>
        <w:t xml:space="preserve"> وفي البصائر ، ص 12 : « إلى المدينة »</w:t>
      </w:r>
      <w:r>
        <w:rPr>
          <w:rtl/>
        </w:rPr>
        <w:t>.</w:t>
      </w:r>
    </w:p>
    <w:p w:rsidR="000C39D1" w:rsidRPr="00132E65" w:rsidRDefault="000C39D1" w:rsidP="00CA6D3E">
      <w:pPr>
        <w:pStyle w:val="libFootnote0"/>
        <w:rPr>
          <w:rtl/>
          <w:lang w:bidi="fa-IR"/>
        </w:rPr>
      </w:pPr>
      <w:r>
        <w:rPr>
          <w:rtl/>
        </w:rPr>
        <w:t>(13)</w:t>
      </w:r>
      <w:r w:rsidRPr="00132E65">
        <w:rPr>
          <w:rtl/>
        </w:rPr>
        <w:t xml:space="preserve"> </w:t>
      </w:r>
      <w:r w:rsidRPr="007A1104">
        <w:rPr>
          <w:rStyle w:val="libFootnoteBoldChar"/>
          <w:rtl/>
        </w:rPr>
        <w:t>بصائر الدرجات</w:t>
      </w:r>
      <w:r w:rsidRPr="00132E65">
        <w:rPr>
          <w:rtl/>
        </w:rPr>
        <w:t xml:space="preserve"> ، ص 12 ، ح 1 ، بسنده عن مثنّى ؛ </w:t>
      </w:r>
      <w:r w:rsidRPr="00D3001A">
        <w:rPr>
          <w:rtl/>
        </w:rPr>
        <w:t>وفيه</w:t>
      </w:r>
      <w:r w:rsidRPr="00132E65">
        <w:rPr>
          <w:rtl/>
        </w:rPr>
        <w:t xml:space="preserve"> ، ص 518 ، ح 1 ، بسنده عن أحمد بن محمّد ، عن الحسن بن عليّ بن النعمان ، عن أحمد بن محمّد بن أبي نصر ، عن زرارة</w:t>
      </w:r>
      <w:r w:rsidR="00CA6D3E">
        <w:rPr>
          <w:rFonts w:hint="cs"/>
          <w:rtl/>
        </w:rPr>
        <w:t>.</w:t>
      </w:r>
      <w:r w:rsidRPr="009D1ACE">
        <w:rPr>
          <w:rStyle w:val="libFootnoteBoldChar"/>
          <w:rtl/>
        </w:rPr>
        <w:t>الوافي</w:t>
      </w:r>
      <w:r w:rsidRPr="00132E65">
        <w:rPr>
          <w:rtl/>
        </w:rPr>
        <w:t xml:space="preserve"> ، ج 3 ، ص 610 ، ح 1186 ؛ </w:t>
      </w:r>
      <w:r w:rsidRPr="00D3001A">
        <w:rPr>
          <w:rtl/>
        </w:rPr>
        <w:t>الوسائل</w:t>
      </w:r>
      <w:r w:rsidRPr="00132E65">
        <w:rPr>
          <w:rtl/>
        </w:rPr>
        <w:t xml:space="preserve"> ، ج 27 ، ص 69 ، ح 33223.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D1181">
        <w:rPr>
          <w:rtl/>
        </w:rPr>
        <w:t>1049</w:t>
      </w:r>
      <w:r w:rsidRPr="004325D8">
        <w:rPr>
          <w:rStyle w:val="libBold2Char"/>
          <w:rtl/>
        </w:rPr>
        <w:t xml:space="preserve"> / 3.</w:t>
      </w:r>
      <w:r w:rsidRPr="00132E65">
        <w:rPr>
          <w:rtl/>
          <w:lang w:bidi="fa-IR"/>
        </w:rPr>
        <w:t xml:space="preserve"> عِدَّةٌ مِنْ أَصْحَابِنَا ، عَنْ أَحْمَدَ بْنِ مُحَمَّدٍ ، عَنِ الْوَشَّاءِ ، عَنْ ثَعْلَبَةَ بْنِ مَيْمُونٍ ، عَنْ أَبِي مَرْيَمَ ، قَالَ :</w:t>
      </w:r>
    </w:p>
    <w:p w:rsidR="000C39D1" w:rsidRPr="00132E65" w:rsidRDefault="000C39D1" w:rsidP="00CA6D3E">
      <w:pPr>
        <w:pStyle w:val="libNormal"/>
        <w:rPr>
          <w:rtl/>
          <w:lang w:bidi="fa-IR"/>
        </w:rPr>
      </w:pPr>
      <w:r w:rsidRPr="00132E65">
        <w:rPr>
          <w:rtl/>
          <w:lang w:bidi="fa-IR"/>
        </w:rPr>
        <w:t xml:space="preserve">قَالَ أَبُو جَعْفَرٍ </w:t>
      </w:r>
      <w:r w:rsidRPr="00071CF9">
        <w:rPr>
          <w:rStyle w:val="libAlaemChar"/>
          <w:rtl/>
        </w:rPr>
        <w:t>عليه‌السلام</w:t>
      </w:r>
      <w:r w:rsidRPr="00132E65">
        <w:rPr>
          <w:rtl/>
          <w:lang w:bidi="fa-IR"/>
        </w:rPr>
        <w:t xml:space="preserve"> لِسَلَمَةَ بْنِ كُهَيْلٍ والْحَكَمِ بْنِ عُتَيْبَةَ </w:t>
      </w:r>
      <w:r>
        <w:rPr>
          <w:rStyle w:val="libFootnotenumChar"/>
          <w:rtl/>
        </w:rPr>
        <w:t>(1)</w:t>
      </w:r>
      <w:r w:rsidRPr="00132E65">
        <w:rPr>
          <w:rtl/>
          <w:lang w:bidi="fa-IR"/>
        </w:rPr>
        <w:t xml:space="preserve"> : « شَرِّقَا وغَرِّبَا </w:t>
      </w:r>
      <w:r>
        <w:rPr>
          <w:rStyle w:val="libFootnotenumChar"/>
          <w:rtl/>
        </w:rPr>
        <w:t>(2)</w:t>
      </w:r>
      <w:r w:rsidRPr="00132E65">
        <w:rPr>
          <w:rtl/>
          <w:lang w:bidi="fa-IR"/>
        </w:rPr>
        <w:t xml:space="preserve"> ، فَلَا تَجِدَانِ </w:t>
      </w:r>
      <w:r>
        <w:rPr>
          <w:rStyle w:val="libFootnotenumChar"/>
          <w:rtl/>
        </w:rPr>
        <w:t>(3)</w:t>
      </w:r>
      <w:r w:rsidR="00CA6D3E">
        <w:rPr>
          <w:rtl/>
          <w:lang w:bidi="fa-IR"/>
        </w:rPr>
        <w:t xml:space="preserve"> عِلْماً صَحِيحاً إِل</w:t>
      </w:r>
      <w:r w:rsidR="00CA6D3E">
        <w:rPr>
          <w:rFonts w:hint="cs"/>
          <w:rtl/>
          <w:lang w:bidi="fa-IR"/>
        </w:rPr>
        <w:t>َّ</w:t>
      </w:r>
      <w:r w:rsidR="00CA6D3E">
        <w:rPr>
          <w:rtl/>
          <w:lang w:bidi="fa-IR"/>
        </w:rPr>
        <w:t>ا</w:t>
      </w:r>
      <w:r w:rsidRPr="00132E65">
        <w:rPr>
          <w:rtl/>
          <w:lang w:bidi="fa-IR"/>
        </w:rPr>
        <w:t xml:space="preserve"> شَيْئاً خَرَجَ </w:t>
      </w:r>
      <w:r>
        <w:rPr>
          <w:rStyle w:val="libFootnotenumChar"/>
          <w:rtl/>
        </w:rPr>
        <w:t>(4)</w:t>
      </w:r>
      <w:r w:rsidRPr="00132E65">
        <w:rPr>
          <w:rtl/>
          <w:lang w:bidi="fa-IR"/>
        </w:rPr>
        <w:t xml:space="preserve"> مِنْ عِنْدِنَا أَهْلَ الْبَيْتِ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6D1181">
        <w:rPr>
          <w:rtl/>
        </w:rPr>
        <w:t>1050</w:t>
      </w:r>
      <w:r w:rsidRPr="004325D8">
        <w:rPr>
          <w:rStyle w:val="libBold2Char"/>
          <w:rtl/>
        </w:rPr>
        <w:t xml:space="preserve"> / 4.</w:t>
      </w:r>
      <w:r w:rsidRPr="00132E65">
        <w:rPr>
          <w:rtl/>
          <w:lang w:bidi="fa-IR"/>
        </w:rPr>
        <w:t xml:space="preserve"> مُحَمَّدُ بْنُ يَحْيى ، عَنْ أَحْمَدَ بْنِ مُحَمَّدٍ ، عَنِ الْحُسَيْنِ بْنِ سَعِيدٍ ، عَنِ النَّضْرِ بْنِ سُوَيْدٍ ، عَنْ يَحْيَى الْحَلَبِيِّ ، عَنْ مُعَلَّى بْنِ عُثْمَانَ </w:t>
      </w:r>
      <w:r>
        <w:rPr>
          <w:rStyle w:val="libFootnotenumChar"/>
          <w:rtl/>
        </w:rPr>
        <w:t>(7)</w:t>
      </w:r>
      <w:r w:rsidRPr="00132E65">
        <w:rPr>
          <w:rtl/>
          <w:lang w:bidi="fa-IR"/>
        </w:rPr>
        <w:t xml:space="preserve"> ، عَنْ أَبِي بَصِيرٍ ، قَالَ :</w:t>
      </w:r>
    </w:p>
    <w:p w:rsidR="000C39D1" w:rsidRPr="00132E65" w:rsidRDefault="000C39D1" w:rsidP="000C39D1">
      <w:pPr>
        <w:pStyle w:val="libNormal"/>
        <w:rPr>
          <w:rtl/>
          <w:lang w:bidi="fa-IR"/>
        </w:rPr>
      </w:pPr>
      <w:r w:rsidRPr="00132E65">
        <w:rPr>
          <w:rtl/>
          <w:lang w:bidi="fa-IR"/>
        </w:rPr>
        <w:t xml:space="preserve">قَالَ لِي </w:t>
      </w:r>
      <w:r w:rsidRPr="00071CF9">
        <w:rPr>
          <w:rStyle w:val="libAlaemChar"/>
          <w:rtl/>
        </w:rPr>
        <w:t>عليه‌السلام</w:t>
      </w:r>
      <w:r w:rsidRPr="00132E65">
        <w:rPr>
          <w:rtl/>
          <w:lang w:bidi="fa-IR"/>
        </w:rPr>
        <w:t xml:space="preserve"> </w:t>
      </w:r>
      <w:r>
        <w:rPr>
          <w:rStyle w:val="libFootnotenumChar"/>
          <w:rtl/>
        </w:rPr>
        <w:t>(8)</w:t>
      </w:r>
      <w:r w:rsidRPr="00132E65">
        <w:rPr>
          <w:rtl/>
          <w:lang w:bidi="fa-IR"/>
        </w:rPr>
        <w:t xml:space="preserve"> : « إِنَّ الْحَكَمَ بْنَ عُتَيْبَةَ مِمَّنْ قَالَ اللهُ : </w:t>
      </w:r>
      <w:r w:rsidRPr="00071CF9">
        <w:rPr>
          <w:rStyle w:val="libAlaemChar"/>
          <w:rtl/>
        </w:rPr>
        <w:t>(</w:t>
      </w:r>
      <w:r w:rsidRPr="00071CF9">
        <w:rPr>
          <w:rStyle w:val="libAieChar"/>
          <w:rtl/>
        </w:rPr>
        <w:t xml:space="preserve"> وَمِنَ النّاسِ مَنْ يَقُولُ آمَنّا بِاللهِ وَبِالْيَوْمِ الْآخِرِ وَما هُمْ بِمُؤْمِنِينَ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فَلْيُشَرِّقِ الْحَكَمُ ولْيُغَرِّبْ ، أَمَا واللهِ ، لَايُصِيبُ الْعِلْمَ </w:t>
      </w:r>
      <w:r w:rsidR="00CA6D3E">
        <w:rPr>
          <w:rtl/>
          <w:lang w:bidi="fa-IR"/>
        </w:rPr>
        <w:t>إِل</w:t>
      </w:r>
      <w:r w:rsidR="00CA6D3E">
        <w:rPr>
          <w:rFonts w:hint="cs"/>
          <w:rtl/>
          <w:lang w:bidi="fa-IR"/>
        </w:rPr>
        <w:t>َّ</w:t>
      </w:r>
      <w:r w:rsidR="00CA6D3E">
        <w:rPr>
          <w:rtl/>
          <w:lang w:bidi="fa-IR"/>
        </w:rPr>
        <w:t>ا</w:t>
      </w:r>
      <w:r w:rsidRPr="00132E65">
        <w:rPr>
          <w:rtl/>
          <w:lang w:bidi="fa-IR"/>
        </w:rPr>
        <w:t xml:space="preserve"> مِنْ أَهْلِ بَيْتٍ نَزَلَ عَلَيْهِمْ جَبْرَئِيلُ </w:t>
      </w:r>
      <w:r>
        <w:rPr>
          <w:rStyle w:val="libFootnotenumChar"/>
          <w:rtl/>
        </w:rPr>
        <w:t>(10)</w:t>
      </w:r>
      <w:r w:rsidRPr="00132E65">
        <w:rPr>
          <w:rtl/>
          <w:lang w:bidi="fa-IR"/>
        </w:rPr>
        <w:t xml:space="preserve">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سلمة هذا من رؤساء البتريّة كحَكَم ، وقد ورد ذمّهما ولعنهما عن المعصومين صلوات الله‌عليهم »</w:t>
      </w:r>
      <w:r>
        <w:rPr>
          <w:rtl/>
        </w:rPr>
        <w:t>.</w:t>
      </w:r>
    </w:p>
    <w:p w:rsidR="000C39D1" w:rsidRPr="00132E65" w:rsidRDefault="000C39D1" w:rsidP="000C39D1">
      <w:pPr>
        <w:pStyle w:val="libFootnote0"/>
        <w:rPr>
          <w:rtl/>
          <w:lang w:bidi="fa-IR"/>
        </w:rPr>
      </w:pPr>
      <w:r>
        <w:rPr>
          <w:rtl/>
        </w:rPr>
        <w:t>(2).</w:t>
      </w:r>
      <w:r w:rsidRPr="00132E65">
        <w:rPr>
          <w:rtl/>
        </w:rPr>
        <w:t xml:space="preserve"> في البصائر ورجال الكشّي : « شرّقا أو غرّبا »</w:t>
      </w:r>
      <w:r>
        <w:rPr>
          <w:rtl/>
        </w:rPr>
        <w:t>.</w:t>
      </w:r>
    </w:p>
    <w:p w:rsidR="000C39D1" w:rsidRPr="00132E65" w:rsidRDefault="000C39D1" w:rsidP="000C39D1">
      <w:pPr>
        <w:pStyle w:val="libFootnote0"/>
        <w:rPr>
          <w:rtl/>
          <w:lang w:bidi="fa-IR"/>
        </w:rPr>
      </w:pPr>
      <w:r>
        <w:rPr>
          <w:rtl/>
        </w:rPr>
        <w:t>(3).</w:t>
      </w:r>
      <w:r w:rsidRPr="00132E65">
        <w:rPr>
          <w:rtl/>
        </w:rPr>
        <w:t xml:space="preserve"> في الوسائل : « فوالله لاتجدان »</w:t>
      </w:r>
      <w:r>
        <w:rPr>
          <w:rtl/>
        </w:rPr>
        <w:t>.</w:t>
      </w:r>
      <w:r w:rsidRPr="00132E65">
        <w:rPr>
          <w:rtl/>
        </w:rPr>
        <w:t xml:space="preserve"> وفي البصائر ورجال الكشّي : « لن تجدا »</w:t>
      </w:r>
      <w:r>
        <w:rPr>
          <w:rtl/>
        </w:rPr>
        <w:t>.</w:t>
      </w:r>
    </w:p>
    <w:tbl>
      <w:tblPr>
        <w:tblStyle w:val="TableGrid"/>
        <w:bidiVisual/>
        <w:tblW w:w="0" w:type="auto"/>
        <w:tblLook w:val="04A0" w:firstRow="1" w:lastRow="0" w:firstColumn="1" w:lastColumn="0" w:noHBand="0" w:noVBand="1"/>
      </w:tblPr>
      <w:tblGrid>
        <w:gridCol w:w="4006"/>
        <w:gridCol w:w="4006"/>
      </w:tblGrid>
      <w:tr w:rsidR="000E143C" w:rsidTr="000E143C">
        <w:tc>
          <w:tcPr>
            <w:tcW w:w="4006" w:type="dxa"/>
          </w:tcPr>
          <w:p w:rsidR="000E143C" w:rsidRDefault="000E143C" w:rsidP="000C39D1">
            <w:pPr>
              <w:pStyle w:val="libFootnote0"/>
              <w:rPr>
                <w:rtl/>
              </w:rPr>
            </w:pPr>
            <w:r>
              <w:rPr>
                <w:rtl/>
              </w:rPr>
              <w:t>(4).</w:t>
            </w:r>
            <w:r w:rsidRPr="00132E65">
              <w:rPr>
                <w:rtl/>
              </w:rPr>
              <w:t xml:space="preserve"> في البصائر : « يخرج »</w:t>
            </w:r>
            <w:r>
              <w:rPr>
                <w:rtl/>
              </w:rPr>
              <w:t>.</w:t>
            </w:r>
          </w:p>
        </w:tc>
        <w:tc>
          <w:tcPr>
            <w:tcW w:w="4006" w:type="dxa"/>
          </w:tcPr>
          <w:p w:rsidR="000E143C" w:rsidRDefault="000E143C" w:rsidP="000C39D1">
            <w:pPr>
              <w:pStyle w:val="libFootnote0"/>
              <w:rPr>
                <w:rtl/>
              </w:rPr>
            </w:pPr>
            <w:r>
              <w:rPr>
                <w:rtl/>
              </w:rPr>
              <w:t>(5).</w:t>
            </w:r>
            <w:r w:rsidRPr="00132E65">
              <w:rPr>
                <w:rtl/>
              </w:rPr>
              <w:t xml:space="preserve"> في البحار </w:t>
            </w:r>
            <w:r>
              <w:rPr>
                <w:rtl/>
              </w:rPr>
              <w:t xml:space="preserve">: - </w:t>
            </w:r>
            <w:r w:rsidRPr="00132E65">
              <w:rPr>
                <w:rtl/>
              </w:rPr>
              <w:t>« أهل البيت »</w:t>
            </w:r>
            <w:r>
              <w:rPr>
                <w:rtl/>
              </w:rPr>
              <w:t>.</w:t>
            </w:r>
          </w:p>
        </w:tc>
      </w:tr>
    </w:tbl>
    <w:p w:rsidR="000C39D1" w:rsidRPr="00132E65" w:rsidRDefault="000C39D1" w:rsidP="00775CC5">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10 ، ح 4 ، عن أحمد بن محمّد ، عن الحسين بن عليّ ، عن أبي إسحاق ثعلبة ، عن أبي مريم ؛ </w:t>
      </w:r>
      <w:r w:rsidRPr="006D1181">
        <w:rPr>
          <w:rtl/>
        </w:rPr>
        <w:t>رجال الكشّي</w:t>
      </w:r>
      <w:r w:rsidRPr="00132E65">
        <w:rPr>
          <w:rtl/>
        </w:rPr>
        <w:t xml:space="preserve"> ، ص 209 ، ح 369 ، بسنده عن أبي مريم الأنصاري</w:t>
      </w:r>
      <w:r w:rsidR="00775CC5">
        <w:rPr>
          <w:rFonts w:hint="cs"/>
          <w:rtl/>
        </w:rPr>
        <w:t>.</w:t>
      </w:r>
      <w:r w:rsidRPr="009D1ACE">
        <w:rPr>
          <w:rStyle w:val="libFootnoteBoldChar"/>
          <w:rtl/>
        </w:rPr>
        <w:t>الوافي</w:t>
      </w:r>
      <w:r w:rsidRPr="00132E65">
        <w:rPr>
          <w:rtl/>
        </w:rPr>
        <w:t xml:space="preserve"> ، ج 3 ، ص 609 ، ح 1184 ؛ </w:t>
      </w:r>
      <w:r w:rsidRPr="006D1181">
        <w:rPr>
          <w:rtl/>
        </w:rPr>
        <w:t>الوسائل</w:t>
      </w:r>
      <w:r w:rsidRPr="00132E65">
        <w:rPr>
          <w:rtl/>
        </w:rPr>
        <w:t xml:space="preserve"> ، ج 21 ، ص 477 ، ح 27632 ، وج 27 ، ص 43 ، ح 33166 ؛ وص 69 ، ح 33224.</w:t>
      </w:r>
    </w:p>
    <w:p w:rsidR="000C39D1" w:rsidRPr="00132E65" w:rsidRDefault="000C39D1" w:rsidP="000C39D1">
      <w:pPr>
        <w:pStyle w:val="libFootnote0"/>
        <w:rPr>
          <w:rtl/>
          <w:lang w:bidi="fa-IR"/>
        </w:rPr>
      </w:pPr>
      <w:r>
        <w:rPr>
          <w:rtl/>
        </w:rPr>
        <w:t>(7).</w:t>
      </w:r>
      <w:r w:rsidRPr="00132E65">
        <w:rPr>
          <w:rtl/>
        </w:rPr>
        <w:t xml:space="preserve"> في « ب » وحاشية « ض ، بح » : « معلّى أبي عثمان »</w:t>
      </w:r>
      <w:r>
        <w:rPr>
          <w:rtl/>
        </w:rPr>
        <w:t>.</w:t>
      </w:r>
    </w:p>
    <w:p w:rsidR="000C39D1" w:rsidRPr="001D7680" w:rsidRDefault="000C39D1" w:rsidP="00775CC5">
      <w:pPr>
        <w:pStyle w:val="libFootnote0"/>
        <w:rPr>
          <w:rtl/>
        </w:rPr>
      </w:pPr>
      <w:r w:rsidRPr="001D7680">
        <w:rPr>
          <w:rtl/>
        </w:rPr>
        <w:t xml:space="preserve">هذا ، وكلا العنوانين لرجلٍ واحدٍ ؛ فإنّ معلّى بن عثمان </w:t>
      </w:r>
      <w:r>
        <w:rPr>
          <w:rtl/>
        </w:rPr>
        <w:t>-</w:t>
      </w:r>
      <w:r w:rsidRPr="001D7680">
        <w:rPr>
          <w:rtl/>
        </w:rPr>
        <w:t xml:space="preserve"> وقيل ابن زيد </w:t>
      </w:r>
      <w:r>
        <w:rPr>
          <w:rtl/>
        </w:rPr>
        <w:t>-</w:t>
      </w:r>
      <w:r w:rsidRPr="001D7680">
        <w:rPr>
          <w:rtl/>
        </w:rPr>
        <w:t xml:space="preserve"> هو أبو عثمان الأحول. راجع : رجال النجاشي ، ص 417 ، الرقم 1115 ؛ رجال الطوسي ، ص 304 ، الرقم 4476. وفي بصائر الدرجات ، ص 9 ، ح 2 ، عن « معلّى بن أبي عثمان ». والمذكور في بعض نسخه « معلّى بن عثمان » وفي بعضها الآخر « معلّى أبي عثمان ».</w:t>
      </w:r>
    </w:p>
    <w:p w:rsidR="000C39D1" w:rsidRPr="00132E65" w:rsidRDefault="000C39D1" w:rsidP="00775CC5">
      <w:pPr>
        <w:pStyle w:val="libFootnote0"/>
        <w:rPr>
          <w:rtl/>
          <w:lang w:bidi="fa-IR"/>
        </w:rPr>
      </w:pPr>
      <w:r>
        <w:rPr>
          <w:rtl/>
        </w:rPr>
        <w:t>(8).</w:t>
      </w:r>
      <w:r w:rsidRPr="00132E65">
        <w:rPr>
          <w:rtl/>
        </w:rPr>
        <w:t xml:space="preserve"> هكذا في « ف »</w:t>
      </w:r>
      <w:r>
        <w:rPr>
          <w:rtl/>
        </w:rPr>
        <w:t>.</w:t>
      </w:r>
      <w:r w:rsidRPr="00132E65">
        <w:rPr>
          <w:rtl/>
        </w:rPr>
        <w:t xml:space="preserve"> وفي سائر النسخ والمطبوع </w:t>
      </w:r>
      <w:r>
        <w:rPr>
          <w:rtl/>
        </w:rPr>
        <w:t xml:space="preserve">: - </w:t>
      </w:r>
      <w:r w:rsidRPr="00132E65">
        <w:rPr>
          <w:rtl/>
        </w:rPr>
        <w:t xml:space="preserve">« </w:t>
      </w:r>
      <w:r w:rsidRPr="00775CC5">
        <w:rPr>
          <w:rStyle w:val="libFootnoteAlaemChar"/>
          <w:rtl/>
        </w:rPr>
        <w:t>عليه‌السلام</w:t>
      </w:r>
      <w:r w:rsidRPr="00132E65">
        <w:rPr>
          <w:rtl/>
        </w:rPr>
        <w:t xml:space="preserve"> »</w:t>
      </w:r>
      <w:r>
        <w:rPr>
          <w:rtl/>
        </w:rPr>
        <w:t>.</w:t>
      </w:r>
      <w:r w:rsidRPr="00132E65">
        <w:rPr>
          <w:rtl/>
        </w:rPr>
        <w:t xml:space="preserve"> وهو إمّا الباقر </w:t>
      </w:r>
      <w:r w:rsidRPr="00775CC5">
        <w:rPr>
          <w:rStyle w:val="libFootnoteAlaemChar"/>
          <w:rtl/>
        </w:rPr>
        <w:t>عليه‌السلام</w:t>
      </w:r>
      <w:r w:rsidRPr="00132E65">
        <w:rPr>
          <w:rtl/>
        </w:rPr>
        <w:t xml:space="preserve"> كما في </w:t>
      </w:r>
      <w:r w:rsidRPr="006D1181">
        <w:rPr>
          <w:rtl/>
        </w:rPr>
        <w:t>رجال الكشي</w:t>
      </w:r>
      <w:r w:rsidRPr="00132E65">
        <w:rPr>
          <w:rtl/>
        </w:rPr>
        <w:t xml:space="preserve"> ، ص 240 ، ح 439 ، أو الصادق </w:t>
      </w:r>
      <w:r w:rsidRPr="00775CC5">
        <w:rPr>
          <w:rStyle w:val="libFootnoteAlaemChar"/>
          <w:rtl/>
        </w:rPr>
        <w:t>عليه‌السلام</w:t>
      </w:r>
      <w:r w:rsidRPr="00132E65">
        <w:rPr>
          <w:rtl/>
        </w:rPr>
        <w:t xml:space="preserve"> كما في </w:t>
      </w:r>
      <w:r w:rsidRPr="007A1104">
        <w:rPr>
          <w:rStyle w:val="libFootnoteBoldChar"/>
          <w:rtl/>
        </w:rPr>
        <w:t>بصائر الدرجات</w:t>
      </w:r>
      <w:r w:rsidRPr="00132E65">
        <w:rPr>
          <w:rtl/>
        </w:rPr>
        <w:t xml:space="preserve"> ، ص 9 ، ح 2.</w:t>
      </w:r>
    </w:p>
    <w:tbl>
      <w:tblPr>
        <w:tblStyle w:val="TableGrid"/>
        <w:bidiVisual/>
        <w:tblW w:w="0" w:type="auto"/>
        <w:tblLook w:val="04A0" w:firstRow="1" w:lastRow="0" w:firstColumn="1" w:lastColumn="0" w:noHBand="0" w:noVBand="1"/>
      </w:tblPr>
      <w:tblGrid>
        <w:gridCol w:w="4006"/>
        <w:gridCol w:w="4006"/>
      </w:tblGrid>
      <w:tr w:rsidR="00775CC5" w:rsidTr="00775CC5">
        <w:tc>
          <w:tcPr>
            <w:tcW w:w="4006" w:type="dxa"/>
          </w:tcPr>
          <w:p w:rsidR="00775CC5" w:rsidRDefault="00775CC5" w:rsidP="00775CC5">
            <w:pPr>
              <w:pStyle w:val="libFootnote0"/>
              <w:rPr>
                <w:rtl/>
              </w:rPr>
            </w:pPr>
            <w:r>
              <w:rPr>
                <w:rtl/>
              </w:rPr>
              <w:t>(9).</w:t>
            </w:r>
            <w:r w:rsidRPr="00132E65">
              <w:rPr>
                <w:rtl/>
              </w:rPr>
              <w:t xml:space="preserve"> البقرة </w:t>
            </w:r>
            <w:r>
              <w:rPr>
                <w:rtl/>
              </w:rPr>
              <w:t>(2)</w:t>
            </w:r>
            <w:r w:rsidRPr="00132E65">
              <w:rPr>
                <w:rtl/>
              </w:rPr>
              <w:t xml:space="preserve"> : 8.</w:t>
            </w:r>
          </w:p>
        </w:tc>
        <w:tc>
          <w:tcPr>
            <w:tcW w:w="4006" w:type="dxa"/>
          </w:tcPr>
          <w:p w:rsidR="00775CC5" w:rsidRDefault="00775CC5" w:rsidP="00775CC5">
            <w:pPr>
              <w:pStyle w:val="libFootnote0"/>
              <w:rPr>
                <w:rtl/>
              </w:rPr>
            </w:pPr>
            <w:r>
              <w:rPr>
                <w:rtl/>
              </w:rPr>
              <w:t>(10).</w:t>
            </w:r>
            <w:r w:rsidRPr="00132E65">
              <w:rPr>
                <w:rtl/>
              </w:rPr>
              <w:t xml:space="preserve"> في « بح » : « جبرائيل »</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9 ، ح 2 ، عن أحمد بن محمّد ، عن الحسن بن سعيد ، عن النضر بن سويد ، عن يحيى بن الحلبي ، عن معلّى بن أبي عثمان ، عن أبي بصير ، عن أبي عبد الله. </w:t>
      </w:r>
      <w:r w:rsidRPr="006D1181">
        <w:rPr>
          <w:rtl/>
        </w:rPr>
        <w:t>رجال الكشّي</w:t>
      </w:r>
      <w:r w:rsidRPr="00132E65">
        <w:rPr>
          <w:rtl/>
        </w:rPr>
        <w:t xml:space="preserve"> ، ص 240 ، ح 439 ، بسند آخر </w:t>
      </w:r>
      <w:r w:rsidR="00681A6D">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A22E7">
        <w:rPr>
          <w:rtl/>
        </w:rPr>
        <w:t>1051</w:t>
      </w:r>
      <w:r w:rsidRPr="004325D8">
        <w:rPr>
          <w:rStyle w:val="libBold2Char"/>
          <w:rtl/>
        </w:rPr>
        <w:t xml:space="preserve"> / 5.</w:t>
      </w:r>
      <w:r w:rsidRPr="00132E65">
        <w:rPr>
          <w:rtl/>
          <w:lang w:bidi="fa-IR"/>
        </w:rPr>
        <w:t xml:space="preserve"> عَلِيُّ بْنُ إِبْرَاهِيمَ ، عَنْ صَالِحِ بْنِ السِّنْدِيِّ ، عَنْ جَعْفَرِ بْنِ بَشِيرٍ ، عَنْ أَبَانِ بْنِ عُثْمَانَ ، عَنْ أَبِي بَصِيرٍ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عَنْ شَهَادَةِ ولَدِ الزِّنى : تَجُوزُ</w:t>
      </w:r>
      <w:r>
        <w:rPr>
          <w:rtl/>
          <w:lang w:bidi="fa-IR"/>
        </w:rPr>
        <w:t>؟</w:t>
      </w:r>
      <w:r w:rsidRPr="00132E65">
        <w:rPr>
          <w:rtl/>
          <w:lang w:bidi="fa-IR"/>
        </w:rPr>
        <w:t xml:space="preserve"> فَقَالَ : « لَا »</w:t>
      </w:r>
      <w:r>
        <w:rPr>
          <w:rtl/>
          <w:lang w:bidi="fa-IR"/>
        </w:rPr>
        <w:t>.</w:t>
      </w:r>
      <w:r w:rsidRPr="00132E65">
        <w:rPr>
          <w:rtl/>
          <w:lang w:bidi="fa-IR"/>
        </w:rPr>
        <w:t xml:space="preserve"> فَقُلْتُ : إِنَّ الْحَكَمَ بْنَ عُتَيْبَةَ يَزْعُمُ أَنَّهَا تَجُوزُ ، فَقَالَ : « اللهُمَّ لَاتَغْفِرْ </w:t>
      </w:r>
      <w:r>
        <w:rPr>
          <w:rStyle w:val="libFootnotenumChar"/>
          <w:rtl/>
        </w:rPr>
        <w:t>(1)</w:t>
      </w:r>
      <w:r w:rsidRPr="00132E65">
        <w:rPr>
          <w:rtl/>
          <w:lang w:bidi="fa-IR"/>
        </w:rPr>
        <w:t xml:space="preserve"> ذَنْبَهُ ، مَا قَالَ اللهُ لِلْحَكَمِ : </w:t>
      </w:r>
      <w:r w:rsidRPr="00071CF9">
        <w:rPr>
          <w:rStyle w:val="libAlaemChar"/>
          <w:rtl/>
        </w:rPr>
        <w:t>(</w:t>
      </w:r>
      <w:r w:rsidRPr="00071CF9">
        <w:rPr>
          <w:rStyle w:val="libAieChar"/>
          <w:rtl/>
        </w:rPr>
        <w:t xml:space="preserve"> إِنَّهُ لَذِكْرٌ لَكَ وَلِقَوْمِكَ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فَلْيَذْهَبِ الْحَكَمُ يَمِيناً وشِمَالاً ، فَوَ اللهِ لَايُؤْخَذُ الْعِلْمُ إِلاَّ مِنْ أَهْلِ بَيْتٍ نَزَلَ عَلَيْهِمْ جَبْرَئِيلُ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w:t>
      </w:r>
    </w:p>
    <w:p w:rsidR="000C39D1" w:rsidRPr="00132E65" w:rsidRDefault="000C39D1" w:rsidP="000C39D1">
      <w:pPr>
        <w:pStyle w:val="libNormal"/>
        <w:rPr>
          <w:rtl/>
          <w:lang w:bidi="fa-IR"/>
        </w:rPr>
      </w:pPr>
      <w:r w:rsidRPr="003A22E7">
        <w:rPr>
          <w:rtl/>
        </w:rPr>
        <w:t>1052</w:t>
      </w:r>
      <w:r w:rsidRPr="004325D8">
        <w:rPr>
          <w:rStyle w:val="libBold2Char"/>
          <w:rtl/>
        </w:rPr>
        <w:t xml:space="preserve"> / 6.</w:t>
      </w:r>
      <w:r w:rsidRPr="00132E65">
        <w:rPr>
          <w:rtl/>
          <w:lang w:bidi="fa-IR"/>
        </w:rPr>
        <w:t xml:space="preserve"> عِدَّةٌ مِنْ أَصْحَابِنَا ، عَنِ الْحُسَيْنِ بْنِ الْحَسَنِ بْنِ يَزِيدَ </w:t>
      </w:r>
      <w:r>
        <w:rPr>
          <w:rStyle w:val="libFootnotenumChar"/>
          <w:rtl/>
        </w:rPr>
        <w:t>(4)</w:t>
      </w:r>
      <w:r w:rsidRPr="00132E65">
        <w:rPr>
          <w:rtl/>
          <w:lang w:bidi="fa-IR"/>
        </w:rPr>
        <w:t xml:space="preserve"> ، عَنْ بَدْرٍ ، عَنْ أَبِيهِ ، قَالَ : حَدَّثَنِي سَلاَّمٌ أَبُو عَلِيٍّ الْخُرَاسَانِيُّ ، عَنْ سَلاَّمِ بْنِ سَعِيدٍ الْمَخْزُومِيِّ ، قَالَ :</w:t>
      </w:r>
    </w:p>
    <w:p w:rsidR="000C39D1" w:rsidRPr="00132E65" w:rsidRDefault="000C39D1" w:rsidP="000C39D1">
      <w:pPr>
        <w:pStyle w:val="libNormal"/>
        <w:rPr>
          <w:rtl/>
          <w:lang w:bidi="fa-IR"/>
        </w:rPr>
      </w:pPr>
      <w:r w:rsidRPr="00132E65">
        <w:rPr>
          <w:rtl/>
          <w:lang w:bidi="fa-IR"/>
        </w:rPr>
        <w:t xml:space="preserve">بَيْنَا أَنَا جَالِسٌ عِنْدَ أَبِي عَبْدِ اللهِ </w:t>
      </w:r>
      <w:r w:rsidRPr="00071CF9">
        <w:rPr>
          <w:rStyle w:val="libAlaemChar"/>
          <w:rtl/>
        </w:rPr>
        <w:t>عليه‌السلام</w:t>
      </w:r>
      <w:r w:rsidRPr="00132E65">
        <w:rPr>
          <w:rtl/>
          <w:lang w:bidi="fa-IR"/>
        </w:rPr>
        <w:t xml:space="preserve"> إِذْ دَخَلَ عَلَيْهِ عَبَّادُ بْنُ كَثِيرٍ عَابِدُ أَهْلِ الْبَصْرَةِ ، وَابْنُ شُرَيْحٍ فَقِيهُ أَهْلِ مَكَّةَ</w:t>
      </w:r>
      <w:r>
        <w:rPr>
          <w:rtl/>
          <w:lang w:bidi="fa-IR"/>
        </w:rPr>
        <w:t xml:space="preserve"> - </w:t>
      </w:r>
      <w:r w:rsidRPr="00132E65">
        <w:rPr>
          <w:rtl/>
          <w:lang w:bidi="fa-IR"/>
        </w:rPr>
        <w:t xml:space="preserve">وعِنْدَ أَبِي عَبْدِ اللهِ </w:t>
      </w:r>
      <w:r w:rsidRPr="00071CF9">
        <w:rPr>
          <w:rStyle w:val="libAlaemChar"/>
          <w:rtl/>
        </w:rPr>
        <w:t>عليه‌السلام</w:t>
      </w:r>
      <w:r w:rsidRPr="00132E65">
        <w:rPr>
          <w:rtl/>
          <w:lang w:bidi="fa-IR"/>
        </w:rPr>
        <w:t xml:space="preserve"> مَيْمُونٌ الْقَدَّاحُ مَوْلى أَبِي جَعْفَرٍ </w:t>
      </w:r>
      <w:r w:rsidRPr="00071CF9">
        <w:rPr>
          <w:rStyle w:val="libAlaemChar"/>
          <w:rtl/>
        </w:rPr>
        <w:t>عليه‌السلام</w:t>
      </w:r>
      <w:r>
        <w:rPr>
          <w:rtl/>
          <w:lang w:bidi="fa-IR"/>
        </w:rPr>
        <w:t xml:space="preserve"> - </w:t>
      </w:r>
      <w:r w:rsidRPr="00132E65">
        <w:rPr>
          <w:rtl/>
          <w:lang w:bidi="fa-IR"/>
        </w:rPr>
        <w:t xml:space="preserve">فَسَأَلَهُ عَبَّادُ بْنُ كَثِيرٍ ، فَقَالَ : يَا أَبَا عَبْدِ اللهِ ، فِي كَمْ ثَوْبٍ كُفِّنَ رَسُولُ اللهِ </w:t>
      </w:r>
      <w:r w:rsidRPr="00071CF9">
        <w:rPr>
          <w:rStyle w:val="libAlaemChar"/>
          <w:rtl/>
        </w:rPr>
        <w:t>صلى‌الله‌عليه‌وآله‌وسلم</w:t>
      </w:r>
      <w:r>
        <w:rPr>
          <w:rtl/>
          <w:lang w:bidi="fa-IR"/>
        </w:rPr>
        <w:t>؟</w:t>
      </w:r>
      <w:r w:rsidRPr="00132E65">
        <w:rPr>
          <w:rtl/>
          <w:lang w:bidi="fa-IR"/>
        </w:rPr>
        <w:t xml:space="preserve"> قَالَ </w:t>
      </w:r>
      <w:r>
        <w:rPr>
          <w:rStyle w:val="libFootnotenumChar"/>
          <w:rtl/>
        </w:rPr>
        <w:t>(5)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681A6D" w:rsidP="00681A6D">
      <w:pPr>
        <w:pStyle w:val="libFootnote0"/>
        <w:rPr>
          <w:rtl/>
          <w:lang w:bidi="fa-IR"/>
        </w:rPr>
      </w:pPr>
      <w:r>
        <w:rPr>
          <w:rFonts w:hint="cs"/>
          <w:rtl/>
        </w:rPr>
        <w:t xml:space="preserve">= </w:t>
      </w:r>
      <w:r w:rsidR="000C39D1" w:rsidRPr="00132E65">
        <w:rPr>
          <w:rtl/>
        </w:rPr>
        <w:t xml:space="preserve">عن أبان بن عثمان ، عن أبي بصير ، عن أبي جعفر </w:t>
      </w:r>
      <w:r w:rsidR="000C39D1" w:rsidRPr="00681A6D">
        <w:rPr>
          <w:rStyle w:val="libFootnoteAlaemChar"/>
          <w:rtl/>
        </w:rPr>
        <w:t>عليه‌السلام</w:t>
      </w:r>
      <w:r w:rsidR="000C39D1" w:rsidRPr="00132E65">
        <w:rPr>
          <w:rtl/>
        </w:rPr>
        <w:t xml:space="preserve"> ؛ </w:t>
      </w:r>
      <w:r w:rsidR="000C39D1" w:rsidRPr="006D1181">
        <w:rPr>
          <w:rtl/>
        </w:rPr>
        <w:t>تفسير العيّاشي</w:t>
      </w:r>
      <w:r w:rsidR="000C39D1" w:rsidRPr="00132E65">
        <w:rPr>
          <w:rtl/>
        </w:rPr>
        <w:t xml:space="preserve"> ، ج 1 ، ص 326 ، ح 134 ، عن أبي بصير ، عن أبي جعفر </w:t>
      </w:r>
      <w:r w:rsidR="000C39D1" w:rsidRPr="00681A6D">
        <w:rPr>
          <w:rStyle w:val="libFootnoteAlaemChar"/>
          <w:rtl/>
        </w:rPr>
        <w:t>عليه‌السلام</w:t>
      </w:r>
      <w:r w:rsidR="000C39D1" w:rsidRPr="00132E65">
        <w:rPr>
          <w:rtl/>
        </w:rPr>
        <w:t xml:space="preserve"> ، وفيها مع اختلاف</w:t>
      </w:r>
      <w:r>
        <w:rPr>
          <w:rFonts w:hint="cs"/>
          <w:rtl/>
        </w:rPr>
        <w:t>.</w:t>
      </w:r>
      <w:r w:rsidR="000C39D1" w:rsidRPr="009D1ACE">
        <w:rPr>
          <w:rStyle w:val="libFootnoteBoldChar"/>
          <w:rtl/>
        </w:rPr>
        <w:t>الوافي</w:t>
      </w:r>
      <w:r w:rsidR="000C39D1" w:rsidRPr="00132E65">
        <w:rPr>
          <w:rtl/>
        </w:rPr>
        <w:t xml:space="preserve"> ، ج 3 ، ص 610 ، ح 1187 ؛ </w:t>
      </w:r>
      <w:r w:rsidR="000C39D1" w:rsidRPr="006D1181">
        <w:rPr>
          <w:rtl/>
        </w:rPr>
        <w:t>الوسائل</w:t>
      </w:r>
      <w:r w:rsidR="000C39D1" w:rsidRPr="00132E65">
        <w:rPr>
          <w:rtl/>
        </w:rPr>
        <w:t xml:space="preserve"> ، ج 27 ، ص 69 ، ح 33225 ؛ وفيه من قوله : « فليشرّق الحكم » ؛ </w:t>
      </w:r>
      <w:r w:rsidR="000C39D1" w:rsidRPr="006D1181">
        <w:rPr>
          <w:rtl/>
        </w:rPr>
        <w:t>البحار</w:t>
      </w:r>
      <w:r w:rsidR="000C39D1" w:rsidRPr="00132E65">
        <w:rPr>
          <w:rtl/>
        </w:rPr>
        <w:t xml:space="preserve"> ، ج 46 ، ص 335 ، ح 22.</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(2).</w:t>
      </w:r>
      <w:r w:rsidRPr="00132E65">
        <w:rPr>
          <w:rtl/>
        </w:rPr>
        <w:t xml:space="preserve"> الزخرف (43) : 44.</w:t>
      </w:r>
    </w:p>
    <w:p w:rsidR="000C39D1" w:rsidRPr="00132E65" w:rsidRDefault="000C39D1" w:rsidP="00681A6D">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9 ، ح 3 ، عن السندي بن محمّد ومحمّد بن الحسين ، عن جعفر بن بشير. </w:t>
      </w:r>
      <w:r w:rsidRPr="000577A7">
        <w:rPr>
          <w:rStyle w:val="libFootnoteBoldChar"/>
          <w:rtl/>
        </w:rPr>
        <w:t>الكافي</w:t>
      </w:r>
      <w:r w:rsidRPr="00132E65">
        <w:rPr>
          <w:rtl/>
        </w:rPr>
        <w:t xml:space="preserve"> ، كتاب الشهادات ، باب ما يرد من الشهود ، ح 14552 ، بسند آخر عن أبان ، إلى قوله : </w:t>
      </w:r>
      <w:r w:rsidR="00681A6D" w:rsidRPr="00681A6D">
        <w:rPr>
          <w:rStyle w:val="libFootnoteAlaemChar"/>
          <w:rFonts w:hint="cs"/>
          <w:rtl/>
        </w:rPr>
        <w:t>(</w:t>
      </w:r>
      <w:r w:rsidRPr="00681A6D">
        <w:rPr>
          <w:rStyle w:val="libFootnoteAieChar"/>
          <w:rtl/>
        </w:rPr>
        <w:t xml:space="preserve"> إِنَّهُ لَذِكْرٌ لَكَ ولِقَوْمِكَ </w:t>
      </w:r>
      <w:r w:rsidR="00681A6D" w:rsidRPr="00681A6D">
        <w:rPr>
          <w:rStyle w:val="libFootnoteAlaemChar"/>
          <w:rFonts w:hint="cs"/>
          <w:rtl/>
        </w:rPr>
        <w:t>)</w:t>
      </w:r>
      <w:r w:rsidRPr="00132E65">
        <w:rPr>
          <w:rtl/>
        </w:rPr>
        <w:t xml:space="preserve"> ؛ </w:t>
      </w:r>
      <w:r w:rsidRPr="003A22E7">
        <w:rPr>
          <w:rtl/>
        </w:rPr>
        <w:t>التهذيب</w:t>
      </w:r>
      <w:r w:rsidRPr="00132E65">
        <w:rPr>
          <w:rtl/>
        </w:rPr>
        <w:t xml:space="preserve"> ، ج 6 ، ص 244 ، ح 610 بسنده عن أبان ، إلى قوله : « اللهمّ لا تغفر ذنبه » ؛ </w:t>
      </w:r>
      <w:r w:rsidRPr="003A22E7">
        <w:rPr>
          <w:rtl/>
        </w:rPr>
        <w:t>رجال الكشّي</w:t>
      </w:r>
      <w:r w:rsidRPr="00132E65">
        <w:rPr>
          <w:rtl/>
        </w:rPr>
        <w:t xml:space="preserve"> ، ص 209 ، ح 370 ، بسنده عن جعفر بن محمّد بن حكيم ، عن أبان بن عثمان. وراجع : </w:t>
      </w:r>
      <w:r w:rsidRPr="003A22E7">
        <w:rPr>
          <w:rtl/>
        </w:rPr>
        <w:t>التهذيب</w:t>
      </w:r>
      <w:r w:rsidRPr="00132E65">
        <w:rPr>
          <w:rtl/>
        </w:rPr>
        <w:t xml:space="preserve"> ، ج 6 ، ص 244 ، ح 611 </w:t>
      </w:r>
      <w:r>
        <w:rPr>
          <w:rtl/>
        </w:rPr>
        <w:t>و 6</w:t>
      </w:r>
      <w:r w:rsidRPr="00132E65">
        <w:rPr>
          <w:rtl/>
        </w:rPr>
        <w:t>12</w:t>
      </w:r>
      <w:r w:rsidR="00681A6D">
        <w:rPr>
          <w:rFonts w:hint="cs"/>
          <w:rtl/>
        </w:rPr>
        <w:t>.</w:t>
      </w:r>
      <w:r w:rsidRPr="009D1ACE">
        <w:rPr>
          <w:rStyle w:val="libFootnoteBoldChar"/>
          <w:rtl/>
        </w:rPr>
        <w:t>الوافي</w:t>
      </w:r>
      <w:r w:rsidRPr="00132E65">
        <w:rPr>
          <w:rtl/>
        </w:rPr>
        <w:t xml:space="preserve"> ، ج 3 ، ص 609 ، ح 1185 ؛ </w:t>
      </w:r>
      <w:r w:rsidRPr="003A22E7">
        <w:rPr>
          <w:rtl/>
        </w:rPr>
        <w:t>الوسائل</w:t>
      </w:r>
      <w:r w:rsidRPr="00132E65">
        <w:rPr>
          <w:rtl/>
        </w:rPr>
        <w:t xml:space="preserve"> ، ج 27 ، ص 374</w:t>
      </w:r>
      <w:r>
        <w:rPr>
          <w:rtl/>
        </w:rPr>
        <w:t xml:space="preserve"> - </w:t>
      </w:r>
      <w:r w:rsidRPr="00132E65">
        <w:rPr>
          <w:rtl/>
        </w:rPr>
        <w:t xml:space="preserve">375 ، ح 33983 </w:t>
      </w:r>
      <w:r>
        <w:rPr>
          <w:rtl/>
        </w:rPr>
        <w:t>و 3</w:t>
      </w:r>
      <w:r w:rsidRPr="00132E65">
        <w:rPr>
          <w:rtl/>
        </w:rPr>
        <w:t>3984.</w:t>
      </w:r>
    </w:p>
    <w:p w:rsidR="000C39D1" w:rsidRPr="00132E65" w:rsidRDefault="000C39D1" w:rsidP="000C39D1">
      <w:pPr>
        <w:pStyle w:val="libFootnote0"/>
        <w:rPr>
          <w:rtl/>
          <w:lang w:bidi="fa-IR"/>
        </w:rPr>
      </w:pPr>
      <w:r>
        <w:rPr>
          <w:rtl/>
        </w:rPr>
        <w:t>(4).</w:t>
      </w:r>
      <w:r w:rsidRPr="00132E65">
        <w:rPr>
          <w:rtl/>
        </w:rPr>
        <w:t xml:space="preserve"> في « ض ، بس » : « الحسين بن الحسن بن بريد »</w:t>
      </w:r>
      <w:r>
        <w:rPr>
          <w:rtl/>
        </w:rPr>
        <w:t>.</w:t>
      </w:r>
      <w:r w:rsidRPr="00132E65">
        <w:rPr>
          <w:rtl/>
        </w:rPr>
        <w:t xml:space="preserve"> وفي « </w:t>
      </w:r>
      <w:r>
        <w:rPr>
          <w:rtl/>
        </w:rPr>
        <w:t>و »</w:t>
      </w:r>
      <w:r w:rsidRPr="00132E65">
        <w:rPr>
          <w:rtl/>
        </w:rPr>
        <w:t xml:space="preserve"> : « الحسين بن الحسن عن يزيد »</w:t>
      </w:r>
      <w:r>
        <w:rPr>
          <w:rtl/>
        </w:rPr>
        <w:t>.</w:t>
      </w:r>
      <w:r w:rsidRPr="00132E65">
        <w:rPr>
          <w:rtl/>
        </w:rPr>
        <w:t xml:space="preserve"> وفي « بر » : « الحسين بن الحسن عن بريد »</w:t>
      </w:r>
      <w:r>
        <w:rPr>
          <w:rtl/>
        </w:rPr>
        <w:t>.</w:t>
      </w:r>
    </w:p>
    <w:p w:rsidR="000C39D1" w:rsidRPr="00132E65" w:rsidRDefault="000C39D1" w:rsidP="000C39D1">
      <w:pPr>
        <w:pStyle w:val="libFootnote0"/>
        <w:rPr>
          <w:rtl/>
          <w:lang w:bidi="fa-IR"/>
        </w:rPr>
      </w:pPr>
      <w:r>
        <w:rPr>
          <w:rtl/>
        </w:rPr>
        <w:t>(5).</w:t>
      </w:r>
      <w:r w:rsidRPr="00132E65">
        <w:rPr>
          <w:rtl/>
        </w:rPr>
        <w:t xml:space="preserve"> في « ف » والبحار : « فقال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 فِي ثَلَاثَةِ أَثْوَابٍ : ثَوْبَيْنِ صُحَارِيَّيْنِ </w:t>
      </w:r>
      <w:r>
        <w:rPr>
          <w:rStyle w:val="libFootnotenumChar"/>
          <w:rtl/>
        </w:rPr>
        <w:t>(1)</w:t>
      </w:r>
      <w:r w:rsidRPr="00132E65">
        <w:rPr>
          <w:rtl/>
          <w:lang w:bidi="fa-IR"/>
        </w:rPr>
        <w:t xml:space="preserve"> ، وثَوْبٍ حِبَرَةٍ </w:t>
      </w:r>
      <w:r>
        <w:rPr>
          <w:rStyle w:val="libFootnotenumChar"/>
          <w:rtl/>
        </w:rPr>
        <w:t>(2)</w:t>
      </w:r>
      <w:r w:rsidRPr="00132E65">
        <w:rPr>
          <w:rtl/>
          <w:lang w:bidi="fa-IR"/>
        </w:rPr>
        <w:t xml:space="preserve"> ، وكَانَ فِي الْبُرْدِ قِلَّةٌ »</w:t>
      </w:r>
      <w:r>
        <w:rPr>
          <w:rtl/>
          <w:lang w:bidi="fa-IR"/>
        </w:rPr>
        <w:t>.</w:t>
      </w:r>
    </w:p>
    <w:p w:rsidR="000C39D1" w:rsidRPr="00132E65" w:rsidRDefault="000C39D1" w:rsidP="000C39D1">
      <w:pPr>
        <w:pStyle w:val="libNormal"/>
        <w:rPr>
          <w:rtl/>
          <w:lang w:bidi="fa-IR"/>
        </w:rPr>
      </w:pPr>
      <w:r w:rsidRPr="00132E65">
        <w:rPr>
          <w:rtl/>
          <w:lang w:bidi="fa-IR"/>
        </w:rPr>
        <w:t xml:space="preserve">فَكَأَنَّمَا ازْوَرَّ </w:t>
      </w:r>
      <w:r>
        <w:rPr>
          <w:rStyle w:val="libFootnotenumChar"/>
          <w:rtl/>
        </w:rPr>
        <w:t>(3)</w:t>
      </w:r>
      <w:r w:rsidRPr="00132E65">
        <w:rPr>
          <w:rtl/>
          <w:lang w:bidi="fa-IR"/>
        </w:rPr>
        <w:t xml:space="preserve"> عَبَّادُ بْنُ كَثِيرٍ مِنْ ذلِكَ ، فَقَالَ أَبُو عَبْدِ اللهِ </w:t>
      </w:r>
      <w:r w:rsidRPr="00071CF9">
        <w:rPr>
          <w:rStyle w:val="libAlaemChar"/>
          <w:rtl/>
        </w:rPr>
        <w:t>عليه‌السلام</w:t>
      </w:r>
      <w:r w:rsidRPr="00132E65">
        <w:rPr>
          <w:rtl/>
          <w:lang w:bidi="fa-IR"/>
        </w:rPr>
        <w:t xml:space="preserve"> : « إِنَّ نَخْلَةَ مَرْيَمَ إِنَّمَا كَانَتْ عَجْوَةً </w:t>
      </w:r>
      <w:r>
        <w:rPr>
          <w:rStyle w:val="libFootnotenumChar"/>
          <w:rtl/>
        </w:rPr>
        <w:t>(4)</w:t>
      </w:r>
      <w:r w:rsidRPr="00132E65">
        <w:rPr>
          <w:rtl/>
          <w:lang w:bidi="fa-IR"/>
        </w:rPr>
        <w:t xml:space="preserve"> ، ونَزَلَتْ مِنَ السَّمَاءِ ، فَمَا نَبَتَ مِنْ أَصْلِهَا كَانَ عَجْوَةً ، ومَا كَانَ مِنْ لُقَاطٍ </w:t>
      </w:r>
      <w:r>
        <w:rPr>
          <w:rStyle w:val="libFootnotenumChar"/>
          <w:rtl/>
        </w:rPr>
        <w:t>(5)</w:t>
      </w:r>
      <w:r w:rsidRPr="00132E65">
        <w:rPr>
          <w:rtl/>
          <w:lang w:bidi="fa-IR"/>
        </w:rPr>
        <w:t xml:space="preserve"> فَهُوَ لَوْنٌ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فَلَمَّا خَرَجُوا مِنْ عِنْدِهِ ، قَالَ عَبَّادُ بْنُ كَثِيرٍ لِابْنِ شُرَيْحٍ : واللهِ مَا أَدْرِي مَا هذَا الْمَثَلُ الَّذِي ضَرَبَهُ </w:t>
      </w:r>
      <w:r>
        <w:rPr>
          <w:rStyle w:val="libFootnotenumChar"/>
          <w:rtl/>
        </w:rPr>
        <w:t>(7)</w:t>
      </w:r>
      <w:r w:rsidRPr="00132E65">
        <w:rPr>
          <w:rtl/>
          <w:lang w:bidi="fa-IR"/>
        </w:rPr>
        <w:t xml:space="preserve"> لِي أَبُو عَبْدِ اللهِ </w:t>
      </w:r>
      <w:r w:rsidRPr="00071CF9">
        <w:rPr>
          <w:rStyle w:val="libAlaemChar"/>
          <w:rtl/>
        </w:rPr>
        <w:t>عليه‌السلام</w:t>
      </w:r>
      <w:r>
        <w:rPr>
          <w:rtl/>
          <w:lang w:bidi="fa-IR"/>
        </w:rPr>
        <w:t>؟</w:t>
      </w:r>
      <w:r w:rsidRPr="00132E65">
        <w:rPr>
          <w:rtl/>
          <w:lang w:bidi="fa-IR"/>
        </w:rPr>
        <w:t xml:space="preserve"> فَقَالَ </w:t>
      </w:r>
      <w:r>
        <w:rPr>
          <w:rStyle w:val="libFootnotenumChar"/>
          <w:rtl/>
        </w:rPr>
        <w:t>(8)</w:t>
      </w:r>
      <w:r w:rsidRPr="00132E65">
        <w:rPr>
          <w:rtl/>
          <w:lang w:bidi="fa-IR"/>
        </w:rPr>
        <w:t xml:space="preserve"> ابْنُ شُرَيْحٍ : هذَا الْغُلَامُ يُخْبِرُكَ ؛ فَإِنَّهُ مِنْهُمْ</w:t>
      </w:r>
      <w:r>
        <w:rPr>
          <w:rtl/>
          <w:lang w:bidi="fa-IR"/>
        </w:rPr>
        <w:t xml:space="preserve"> - </w:t>
      </w:r>
      <w:r w:rsidRPr="00132E65">
        <w:rPr>
          <w:rtl/>
          <w:lang w:bidi="fa-IR"/>
        </w:rPr>
        <w:t>يَعْنِي مَيْمُونٌ</w:t>
      </w:r>
      <w:r>
        <w:rPr>
          <w:rtl/>
          <w:lang w:bidi="fa-IR"/>
        </w:rPr>
        <w:t xml:space="preserve"> - </w:t>
      </w:r>
      <w:r w:rsidRPr="00132E65">
        <w:rPr>
          <w:rtl/>
          <w:lang w:bidi="fa-IR"/>
        </w:rPr>
        <w:t>فَسَ</w:t>
      </w:r>
      <w:r>
        <w:rPr>
          <w:rtl/>
          <w:lang w:bidi="fa-IR"/>
        </w:rPr>
        <w:t>أَلَهُ ، فَقَالَ مَيْمُونٌ : أَ</w:t>
      </w:r>
      <w:r w:rsidRPr="00132E65">
        <w:rPr>
          <w:rtl/>
          <w:lang w:bidi="fa-IR"/>
        </w:rPr>
        <w:t>مَا تَعْلَمُ مَا قَالَ لَكَ</w:t>
      </w:r>
      <w:r>
        <w:rPr>
          <w:rtl/>
          <w:lang w:bidi="fa-IR"/>
        </w:rPr>
        <w:t>؟</w:t>
      </w:r>
      <w:r w:rsidRPr="00132E65">
        <w:rPr>
          <w:rtl/>
          <w:lang w:bidi="fa-IR"/>
        </w:rPr>
        <w:t xml:space="preserve"> قَالَ : لَاوَ اللهِ ، قَالَ :</w:t>
      </w:r>
      <w:r>
        <w:rPr>
          <w:rFonts w:hint="cs"/>
          <w:rtl/>
          <w:lang w:bidi="fa-IR"/>
        </w:rPr>
        <w:t xml:space="preserve"> </w:t>
      </w:r>
      <w:r w:rsidRPr="00132E65">
        <w:rPr>
          <w:rtl/>
          <w:lang w:bidi="fa-IR"/>
        </w:rPr>
        <w:t xml:space="preserve">إِنَّهُ ضَرَبَ لَكَ مَثَلَ نَفْسِهِ ، فَأَخْبَرَكَ أَنَّهُ ولَدٌ مِنْ </w:t>
      </w:r>
      <w:r>
        <w:rPr>
          <w:rStyle w:val="libFootnotenumChar"/>
          <w:rtl/>
        </w:rPr>
        <w:t>(9)</w:t>
      </w:r>
      <w:r w:rsidRPr="00132E65">
        <w:rPr>
          <w:rtl/>
          <w:lang w:bidi="fa-IR"/>
        </w:rPr>
        <w:t xml:space="preserve"> ولْدِ </w:t>
      </w:r>
      <w:r>
        <w:rPr>
          <w:rStyle w:val="libFootnotenumChar"/>
          <w:rtl/>
        </w:rPr>
        <w:t>(10)</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 وعِلْمُ رَسُولِ اللهِ عِنْدَهُمْ ، فَمَا جَاءَ مِنْ عِنْدِهِمْ ، فَهُوَ صَوَابٌ ، ومَا جَاءَ مِنْ عِنْدِ غَيْرِهِمْ ، فَهُوَ لُقَاطٌ.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صُحار » : قرية باليمن ينتسب الثوب إليها. وقيل : هو من الصُحْرَة ، وهي حُمْرة كالغُبْرة. يقال : ثوب أصحرُ وصُحارِيّ. </w:t>
      </w:r>
      <w:r w:rsidRPr="003A22E7">
        <w:rPr>
          <w:rtl/>
        </w:rPr>
        <w:t>النهاية</w:t>
      </w:r>
      <w:r w:rsidRPr="00132E65">
        <w:rPr>
          <w:rtl/>
        </w:rPr>
        <w:t xml:space="preserve"> ، ج 3 ، ص 12 ( صحر )</w:t>
      </w:r>
      <w:r>
        <w:rPr>
          <w:rtl/>
        </w:rPr>
        <w:t>.</w:t>
      </w:r>
    </w:p>
    <w:p w:rsidR="000C39D1" w:rsidRPr="00132E65" w:rsidRDefault="000C39D1" w:rsidP="000C39D1">
      <w:pPr>
        <w:pStyle w:val="libFootnote0"/>
        <w:rPr>
          <w:rtl/>
          <w:lang w:bidi="fa-IR"/>
        </w:rPr>
      </w:pPr>
      <w:r>
        <w:rPr>
          <w:rtl/>
        </w:rPr>
        <w:t>(2).</w:t>
      </w:r>
      <w:r w:rsidRPr="00132E65">
        <w:rPr>
          <w:rtl/>
        </w:rPr>
        <w:t xml:space="preserve"> الحَبِيرُ من البُرُود : ما كان مَوْشِيّاً مخطَّطاً. يقال : بُرْدٌ حبير ، وبُرْدٌ حِبَرَةٌ بوزن عِنَبَة على الوصف والإضافة ، وهو بُرْدُ يَمانٍ. والجمع حِبَرٌ وحِبَرات. </w:t>
      </w:r>
      <w:r w:rsidRPr="003A22E7">
        <w:rPr>
          <w:rtl/>
        </w:rPr>
        <w:t>النهاية</w:t>
      </w:r>
      <w:r w:rsidRPr="00132E65">
        <w:rPr>
          <w:rtl/>
        </w:rPr>
        <w:t xml:space="preserve"> ، ج 1 ، ص 328 ( حبر )</w:t>
      </w:r>
      <w:r>
        <w:rPr>
          <w:rtl/>
        </w:rPr>
        <w:t>.</w:t>
      </w:r>
    </w:p>
    <w:p w:rsidR="000C39D1" w:rsidRPr="00132E65" w:rsidRDefault="000C39D1" w:rsidP="000C39D1">
      <w:pPr>
        <w:pStyle w:val="libFootnote0"/>
        <w:rPr>
          <w:rtl/>
          <w:lang w:bidi="fa-IR"/>
        </w:rPr>
      </w:pPr>
      <w:r>
        <w:rPr>
          <w:rtl/>
        </w:rPr>
        <w:t>(3).</w:t>
      </w:r>
      <w:r w:rsidRPr="00132E65">
        <w:rPr>
          <w:rtl/>
        </w:rPr>
        <w:t xml:space="preserve"> « ازورّ » ، أي عدل وانحرف ؛ من الإزورار عن الشي‌ء بمعنى العدول عنه. راجع : </w:t>
      </w:r>
      <w:r w:rsidRPr="003A22E7">
        <w:rPr>
          <w:rtl/>
        </w:rPr>
        <w:t>الصحاح</w:t>
      </w:r>
      <w:r w:rsidRPr="00132E65">
        <w:rPr>
          <w:rtl/>
        </w:rPr>
        <w:t xml:space="preserve"> ، ج 2 ، ص 673 ( زور )</w:t>
      </w:r>
      <w:r>
        <w:rPr>
          <w:rtl/>
        </w:rPr>
        <w:t>.</w:t>
      </w:r>
    </w:p>
    <w:p w:rsidR="000C39D1" w:rsidRPr="00132E65" w:rsidRDefault="000C39D1" w:rsidP="000C39D1">
      <w:pPr>
        <w:pStyle w:val="libFootnote0"/>
        <w:rPr>
          <w:rtl/>
          <w:lang w:bidi="fa-IR"/>
        </w:rPr>
      </w:pPr>
      <w:r>
        <w:rPr>
          <w:rtl/>
        </w:rPr>
        <w:t>(4).</w:t>
      </w:r>
      <w:r w:rsidRPr="00132E65">
        <w:rPr>
          <w:rtl/>
        </w:rPr>
        <w:t xml:space="preserve"> « العَجْوَةُ » : ضرب من أجود التمر بالمدينة ، ونخلتها تسمّى لِينَة. </w:t>
      </w:r>
      <w:r w:rsidRPr="003A22E7">
        <w:rPr>
          <w:rtl/>
        </w:rPr>
        <w:t>الصحاح</w:t>
      </w:r>
      <w:r w:rsidRPr="00132E65">
        <w:rPr>
          <w:rtl/>
        </w:rPr>
        <w:t xml:space="preserve"> ، ج 6 ، ص 2419 ( عجو )</w:t>
      </w:r>
      <w:r>
        <w:rPr>
          <w:rtl/>
        </w:rPr>
        <w:t>.</w:t>
      </w:r>
    </w:p>
    <w:p w:rsidR="000C39D1" w:rsidRPr="00132E65" w:rsidRDefault="000C39D1" w:rsidP="000C39D1">
      <w:pPr>
        <w:pStyle w:val="libFootnote0"/>
        <w:rPr>
          <w:rtl/>
          <w:lang w:bidi="fa-IR"/>
        </w:rPr>
      </w:pPr>
      <w:r>
        <w:rPr>
          <w:rtl/>
        </w:rPr>
        <w:t>(5).</w:t>
      </w:r>
      <w:r w:rsidRPr="00132E65">
        <w:rPr>
          <w:rtl/>
        </w:rPr>
        <w:t xml:space="preserve"> « اللُقاطُ » : ما كان ساقطاً من الشي‌ء التافِه الذي لا قيمة له ومن شاء أخذه. </w:t>
      </w:r>
      <w:r w:rsidRPr="009D1ACE">
        <w:rPr>
          <w:rStyle w:val="libFootnoteBoldChar"/>
          <w:rtl/>
        </w:rPr>
        <w:t>لسان العرب</w:t>
      </w:r>
      <w:r w:rsidRPr="00132E65">
        <w:rPr>
          <w:rtl/>
        </w:rPr>
        <w:t xml:space="preserve"> ، ج 7 ، ص 393 ( لقط )</w:t>
      </w:r>
      <w:r>
        <w:rPr>
          <w:rtl/>
        </w:rPr>
        <w:t>.</w:t>
      </w:r>
    </w:p>
    <w:p w:rsidR="000C39D1" w:rsidRPr="00132E65" w:rsidRDefault="000C39D1" w:rsidP="000C39D1">
      <w:pPr>
        <w:pStyle w:val="libFootnote0"/>
        <w:rPr>
          <w:rtl/>
          <w:lang w:bidi="fa-IR"/>
        </w:rPr>
      </w:pPr>
      <w:r>
        <w:rPr>
          <w:rtl/>
        </w:rPr>
        <w:t>(6).</w:t>
      </w:r>
      <w:r w:rsidRPr="00132E65">
        <w:rPr>
          <w:rtl/>
        </w:rPr>
        <w:t xml:space="preserve"> « اللَوْنُ » : نوع من النخل. وقيل : هو الدَقَل ، وهو أردءُ التمر. وقيل : النخل كلّه ما خلا البَرْنِيّ والعَجْوَة. ويسمّيه أهل المدينة الألوان ، واحدته : لينةٌ. راجع : </w:t>
      </w:r>
      <w:r w:rsidRPr="003A22E7">
        <w:rPr>
          <w:rtl/>
        </w:rPr>
        <w:t>النهاية</w:t>
      </w:r>
      <w:r w:rsidRPr="00132E65">
        <w:rPr>
          <w:rtl/>
        </w:rPr>
        <w:t xml:space="preserve"> ، ج 4 ، ص 278 ( لون )</w:t>
      </w:r>
      <w:r>
        <w:rPr>
          <w:rtl/>
        </w:rPr>
        <w:t>.</w:t>
      </w:r>
    </w:p>
    <w:tbl>
      <w:tblPr>
        <w:tblStyle w:val="TableGrid"/>
        <w:bidiVisual/>
        <w:tblW w:w="0" w:type="auto"/>
        <w:tblLook w:val="04A0" w:firstRow="1" w:lastRow="0" w:firstColumn="1" w:lastColumn="0" w:noHBand="0" w:noVBand="1"/>
      </w:tblPr>
      <w:tblGrid>
        <w:gridCol w:w="4006"/>
        <w:gridCol w:w="4006"/>
      </w:tblGrid>
      <w:tr w:rsidR="006A5A92" w:rsidTr="006A5A92">
        <w:tc>
          <w:tcPr>
            <w:tcW w:w="4006" w:type="dxa"/>
          </w:tcPr>
          <w:p w:rsidR="006A5A92" w:rsidRDefault="006A5A92" w:rsidP="000C39D1">
            <w:pPr>
              <w:pStyle w:val="libFootnote0"/>
              <w:rPr>
                <w:rtl/>
              </w:rPr>
            </w:pPr>
            <w:r>
              <w:rPr>
                <w:rtl/>
              </w:rPr>
              <w:t>(7).</w:t>
            </w:r>
            <w:r w:rsidRPr="00132E65">
              <w:rPr>
                <w:rtl/>
              </w:rPr>
              <w:t xml:space="preserve"> في « ب » : « ضرب »</w:t>
            </w:r>
            <w:r>
              <w:rPr>
                <w:rtl/>
              </w:rPr>
              <w:t>.</w:t>
            </w:r>
          </w:p>
        </w:tc>
        <w:tc>
          <w:tcPr>
            <w:tcW w:w="4006" w:type="dxa"/>
          </w:tcPr>
          <w:p w:rsidR="006A5A92" w:rsidRDefault="006A5A92" w:rsidP="000C39D1">
            <w:pPr>
              <w:pStyle w:val="libFootnote0"/>
              <w:rPr>
                <w:rtl/>
              </w:rPr>
            </w:pPr>
            <w:r>
              <w:rPr>
                <w:rtl/>
              </w:rPr>
              <w:t>(8).</w:t>
            </w:r>
            <w:r w:rsidRPr="00132E65">
              <w:rPr>
                <w:rtl/>
              </w:rPr>
              <w:t xml:space="preserve"> في « ف » :</w:t>
            </w:r>
            <w:r>
              <w:rPr>
                <w:rtl/>
              </w:rPr>
              <w:t xml:space="preserve"> + </w:t>
            </w:r>
            <w:r w:rsidRPr="00132E65">
              <w:rPr>
                <w:rtl/>
              </w:rPr>
              <w:t>« لي »</w:t>
            </w:r>
            <w:r>
              <w:rPr>
                <w:rtl/>
              </w:rPr>
              <w:t>.</w:t>
            </w:r>
          </w:p>
        </w:tc>
      </w:tr>
      <w:tr w:rsidR="006A5A92" w:rsidTr="006A5A92">
        <w:tc>
          <w:tcPr>
            <w:tcW w:w="4006" w:type="dxa"/>
          </w:tcPr>
          <w:p w:rsidR="006A5A92" w:rsidRDefault="006A5A92" w:rsidP="000C39D1">
            <w:pPr>
              <w:pStyle w:val="libFootnote0"/>
              <w:rPr>
                <w:rtl/>
              </w:rPr>
            </w:pPr>
            <w:r>
              <w:rPr>
                <w:rtl/>
              </w:rPr>
              <w:t>(9).</w:t>
            </w:r>
            <w:r w:rsidRPr="00132E65">
              <w:rPr>
                <w:rtl/>
              </w:rPr>
              <w:t xml:space="preserve"> في « ض » </w:t>
            </w:r>
            <w:r>
              <w:rPr>
                <w:rtl/>
              </w:rPr>
              <w:t xml:space="preserve">: - </w:t>
            </w:r>
            <w:r w:rsidRPr="00132E65">
              <w:rPr>
                <w:rtl/>
              </w:rPr>
              <w:t>« ولد من »</w:t>
            </w:r>
            <w:r>
              <w:rPr>
                <w:rtl/>
              </w:rPr>
              <w:t>.</w:t>
            </w:r>
          </w:p>
        </w:tc>
        <w:tc>
          <w:tcPr>
            <w:tcW w:w="4006" w:type="dxa"/>
          </w:tcPr>
          <w:p w:rsidR="006A5A92" w:rsidRDefault="006A5A92" w:rsidP="000C39D1">
            <w:pPr>
              <w:pStyle w:val="libFootnote0"/>
              <w:rPr>
                <w:rtl/>
              </w:rPr>
            </w:pPr>
            <w:r>
              <w:rPr>
                <w:rtl/>
              </w:rPr>
              <w:t>(10).</w:t>
            </w:r>
            <w:r w:rsidRPr="00132E65">
              <w:rPr>
                <w:rtl/>
              </w:rPr>
              <w:t xml:space="preserve"> في « ب ، ف » </w:t>
            </w:r>
            <w:r>
              <w:rPr>
                <w:rtl/>
              </w:rPr>
              <w:t xml:space="preserve">: - </w:t>
            </w:r>
            <w:r w:rsidRPr="00132E65">
              <w:rPr>
                <w:rtl/>
              </w:rPr>
              <w:t>« ولد »</w:t>
            </w:r>
            <w:r>
              <w:rPr>
                <w:rtl/>
              </w:rPr>
              <w:t>.</w:t>
            </w:r>
          </w:p>
        </w:tc>
      </w:tr>
    </w:tbl>
    <w:p w:rsidR="000C39D1" w:rsidRPr="00132E65" w:rsidRDefault="000C39D1" w:rsidP="00415502">
      <w:pPr>
        <w:pStyle w:val="libFootnote0"/>
        <w:rPr>
          <w:rtl/>
          <w:lang w:bidi="fa-IR"/>
        </w:rPr>
      </w:pPr>
      <w:r>
        <w:rPr>
          <w:rtl/>
        </w:rPr>
        <w:t>(11).</w:t>
      </w:r>
      <w:r w:rsidRPr="00132E65">
        <w:rPr>
          <w:rtl/>
        </w:rPr>
        <w:t xml:space="preserve"> راجع : </w:t>
      </w:r>
      <w:r w:rsidRPr="000577A7">
        <w:rPr>
          <w:rStyle w:val="libFootnoteBoldChar"/>
          <w:rtl/>
        </w:rPr>
        <w:t>الكافي</w:t>
      </w:r>
      <w:r w:rsidRPr="00132E65">
        <w:rPr>
          <w:rtl/>
        </w:rPr>
        <w:t xml:space="preserve"> ، كتاب الجنائز ، باب تحنيط الميّت وتكفينه ، ح 4339 ؛ و</w:t>
      </w:r>
      <w:r w:rsidRPr="003A22E7">
        <w:rPr>
          <w:rtl/>
        </w:rPr>
        <w:t>الفقيه</w:t>
      </w:r>
      <w:r w:rsidRPr="00132E65">
        <w:rPr>
          <w:rtl/>
        </w:rPr>
        <w:t xml:space="preserve"> ، ج 1 ، ص 152 ، ح 419 ؛ و</w:t>
      </w:r>
      <w:r w:rsidRPr="003A22E7">
        <w:rPr>
          <w:rtl/>
        </w:rPr>
        <w:t>التهذيب</w:t>
      </w:r>
      <w:r w:rsidRPr="00132E65">
        <w:rPr>
          <w:rtl/>
        </w:rPr>
        <w:t xml:space="preserve"> ، ج 1 ، ص 292 ، ح 853 ؛ وص 296 ، ح 869 ؛ و</w:t>
      </w:r>
      <w:r w:rsidRPr="003A22E7">
        <w:rPr>
          <w:rtl/>
        </w:rPr>
        <w:t xml:space="preserve">فقه الرضا </w:t>
      </w:r>
      <w:r w:rsidRPr="00132E65">
        <w:rPr>
          <w:rtl/>
        </w:rPr>
        <w:t xml:space="preserve">، ص 182 ، وفي كلّها بأسانيد مختلفة من قوله : « كفّن رسول الله </w:t>
      </w:r>
      <w:r w:rsidRPr="00415502">
        <w:rPr>
          <w:rStyle w:val="libFootnoteAlaemChar"/>
          <w:rFonts w:eastAsiaTheme="minorHAnsi"/>
          <w:rtl/>
        </w:rPr>
        <w:t>صلى‌الله‌عليه‌وآله</w:t>
      </w:r>
      <w:r w:rsidRPr="00132E65">
        <w:rPr>
          <w:rtl/>
          <w:lang w:bidi="fa-IR"/>
        </w:rPr>
        <w:t xml:space="preserve"> </w:t>
      </w:r>
      <w:r w:rsidRPr="00132E65">
        <w:rPr>
          <w:rtl/>
        </w:rPr>
        <w:t>» إلى قوله : « وثوب حبرة »</w:t>
      </w:r>
      <w:r w:rsidR="00415502">
        <w:rPr>
          <w:rFonts w:hint="cs"/>
          <w:rtl/>
        </w:rPr>
        <w:t>.</w:t>
      </w:r>
      <w:r w:rsidRPr="009D1ACE">
        <w:rPr>
          <w:rStyle w:val="libFootnoteBoldChar"/>
          <w:rtl/>
        </w:rPr>
        <w:t>الوافي</w:t>
      </w:r>
      <w:r w:rsidRPr="00132E65">
        <w:rPr>
          <w:rtl/>
        </w:rPr>
        <w:t xml:space="preserve"> ، ج 3 ، ص 610 ، ح 1188 ؛ </w:t>
      </w:r>
      <w:r w:rsidRPr="003A22E7">
        <w:rPr>
          <w:rtl/>
        </w:rPr>
        <w:t>الوسائل</w:t>
      </w:r>
      <w:r w:rsidRPr="00132E65">
        <w:rPr>
          <w:rtl/>
        </w:rPr>
        <w:t xml:space="preserve"> ، ج 3 ، ص 11 ، ح 2883 ، وفيه إلى قوله : « وكان في البرد قلّة » ؛ </w:t>
      </w:r>
      <w:r w:rsidRPr="003A22E7">
        <w:rPr>
          <w:rtl/>
        </w:rPr>
        <w:t>البحار</w:t>
      </w:r>
      <w:r w:rsidRPr="00132E65">
        <w:rPr>
          <w:rtl/>
        </w:rPr>
        <w:t xml:space="preserve"> ، ج 47 ، ص 368 ، ح 86.</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22" w:name="_Toc459459140"/>
      <w:bookmarkStart w:id="123" w:name="_Toc34663109"/>
      <w:r w:rsidRPr="00132E65">
        <w:rPr>
          <w:rtl/>
          <w:lang w:bidi="fa-IR"/>
        </w:rPr>
        <w:t>102</w:t>
      </w:r>
      <w:r>
        <w:rPr>
          <w:rtl/>
          <w:lang w:bidi="fa-IR"/>
        </w:rPr>
        <w:t xml:space="preserve"> - </w:t>
      </w:r>
      <w:r w:rsidRPr="00132E65">
        <w:rPr>
          <w:rtl/>
          <w:lang w:bidi="fa-IR"/>
        </w:rPr>
        <w:t>بَابٌ فِيمَا جَاءَ أَنَّ حَدِيثَهُمْ صَعْبٌ مُسْتَصْعَبٌ‌</w:t>
      </w:r>
      <w:bookmarkEnd w:id="122"/>
      <w:bookmarkEnd w:id="123"/>
    </w:p>
    <w:p w:rsidR="000C39D1" w:rsidRPr="00132E65" w:rsidRDefault="000C39D1" w:rsidP="000C39D1">
      <w:pPr>
        <w:pStyle w:val="libNormal"/>
        <w:rPr>
          <w:rtl/>
          <w:lang w:bidi="fa-IR"/>
        </w:rPr>
      </w:pPr>
      <w:r w:rsidRPr="003A22E7">
        <w:rPr>
          <w:rtl/>
        </w:rPr>
        <w:t>1053</w:t>
      </w:r>
      <w:r w:rsidRPr="004325D8">
        <w:rPr>
          <w:rStyle w:val="libBold2Char"/>
          <w:rtl/>
        </w:rPr>
        <w:t xml:space="preserve"> / 1.</w:t>
      </w:r>
      <w:r w:rsidRPr="00132E65">
        <w:rPr>
          <w:rtl/>
          <w:lang w:bidi="fa-IR"/>
        </w:rPr>
        <w:t xml:space="preserve"> مُحَمَّدُ بْنُ يَحْيى ، عَنْ مُحَمَّدِ بْنِ الْحُسَيْنِ ، عَنْ مُحَمَّدِ بْنِ سِنَانٍ ، عَنْ عَمَّارِ بْنِ مَرْوَانَ </w:t>
      </w:r>
      <w:r>
        <w:rPr>
          <w:rStyle w:val="libFootnotenumChar"/>
          <w:rtl/>
        </w:rPr>
        <w:t>(1)</w:t>
      </w:r>
      <w:r w:rsidRPr="00132E65">
        <w:rPr>
          <w:rtl/>
          <w:lang w:bidi="fa-IR"/>
        </w:rPr>
        <w:t xml:space="preserve"> ، عَنْ جَابِرٍ ، قَالَ :</w:t>
      </w:r>
    </w:p>
    <w:p w:rsidR="000C39D1" w:rsidRPr="00132E65" w:rsidRDefault="000C39D1" w:rsidP="000C39D1">
      <w:pPr>
        <w:pStyle w:val="libNormal"/>
        <w:rPr>
          <w:rtl/>
          <w:lang w:bidi="fa-IR"/>
        </w:rPr>
      </w:pPr>
      <w:r w:rsidRPr="00132E65">
        <w:rPr>
          <w:rtl/>
          <w:lang w:bidi="fa-IR"/>
        </w:rPr>
        <w:t xml:space="preserve">قَالَ أَبُو جَعْفَرٍ </w:t>
      </w:r>
      <w:r w:rsidRPr="00071CF9">
        <w:rPr>
          <w:rStyle w:val="libAlaemChar"/>
          <w:rtl/>
        </w:rPr>
        <w:t>عليه‌السلام</w:t>
      </w:r>
      <w:r w:rsidRPr="00132E65">
        <w:rPr>
          <w:rtl/>
          <w:lang w:bidi="fa-IR"/>
        </w:rPr>
        <w:t xml:space="preserve"> : « قَالَ رَسُولُ اللهِ </w:t>
      </w:r>
      <w:r w:rsidRPr="0093484F">
        <w:rPr>
          <w:rStyle w:val="libAlaemChar"/>
          <w:rFonts w:eastAsiaTheme="minorHAnsi"/>
          <w:rtl/>
        </w:rPr>
        <w:t>صلى‌الله‌عليه‌وآله</w:t>
      </w:r>
      <w:r w:rsidRPr="00132E65">
        <w:rPr>
          <w:rtl/>
          <w:lang w:bidi="fa-IR"/>
        </w:rPr>
        <w:t xml:space="preserve">: إِنَّ حَدِيثَ آلِ مُحَمَّدٍ صَعْبٌ مُسْتَصْعَبٌ </w:t>
      </w:r>
      <w:r>
        <w:rPr>
          <w:rStyle w:val="libFootnotenumChar"/>
          <w:rtl/>
        </w:rPr>
        <w:t>(2)</w:t>
      </w:r>
      <w:r w:rsidR="00D2658D">
        <w:rPr>
          <w:rtl/>
          <w:lang w:bidi="fa-IR"/>
        </w:rPr>
        <w:t xml:space="preserve"> ، لَا يُؤْمِنُ بِهِ إِل</w:t>
      </w:r>
      <w:r w:rsidR="00D2658D">
        <w:rPr>
          <w:rFonts w:hint="cs"/>
          <w:rtl/>
          <w:lang w:bidi="fa-IR"/>
        </w:rPr>
        <w:t>َّ</w:t>
      </w:r>
      <w:r w:rsidR="00D2658D">
        <w:rPr>
          <w:rtl/>
          <w:lang w:bidi="fa-IR"/>
        </w:rPr>
        <w:t>ا</w:t>
      </w:r>
      <w:r w:rsidRPr="00132E65">
        <w:rPr>
          <w:rtl/>
          <w:lang w:bidi="fa-IR"/>
        </w:rPr>
        <w:t xml:space="preserve"> مَلَكٌ مُقَرَّبٌ ، أَوْ نَبِيٌّ مُرْسَلٌ ، أَوْ عَبْدٌ امْتَحَنَ اللهُ قَلْبَهُ لِلْإِيمَانِ ، فَمَا ورَدَ عَلَيْكُمْ مِنْ حَدِيثِ آلِ مُحَمَّدٍ فَلَانَتْ لَهُ قُلُوبُكُمْ وعَرَفْتُمُوهُ ، فَاقْبَلُوهُ ؛ ومَا اشْمَأَزَّتْ </w:t>
      </w:r>
      <w:r>
        <w:rPr>
          <w:rStyle w:val="libFootnotenumChar"/>
          <w:rtl/>
        </w:rPr>
        <w:t>(3)</w:t>
      </w:r>
      <w:r w:rsidRPr="00132E65">
        <w:rPr>
          <w:rtl/>
          <w:lang w:bidi="fa-IR"/>
        </w:rPr>
        <w:t xml:space="preserve"> مِنْهُ قُلُوبُكُمْ وأَنْكَرْتُمُوهُ ، فَرُدُّوهُ إِلَى اللهِ وإِلَى الرَّسُولِ وإِلَى الْعَالِمِ مِنْ آلِ مُحَمَّدٍ ، وَإِنَّمَا الْهَالِكُ </w:t>
      </w:r>
      <w:r>
        <w:rPr>
          <w:rStyle w:val="libFootnotenumChar"/>
          <w:rtl/>
        </w:rPr>
        <w:t>(4)</w:t>
      </w:r>
      <w:r w:rsidRPr="00132E65">
        <w:rPr>
          <w:rtl/>
          <w:lang w:bidi="fa-IR"/>
        </w:rPr>
        <w:t xml:space="preserve"> أَنْ يُحَدَّثَ </w:t>
      </w:r>
      <w:r>
        <w:rPr>
          <w:rStyle w:val="libFootnotenumChar"/>
          <w:rtl/>
        </w:rPr>
        <w:t>(5)</w:t>
      </w:r>
      <w:r w:rsidRPr="00132E65">
        <w:rPr>
          <w:rtl/>
          <w:lang w:bidi="fa-IR"/>
        </w:rPr>
        <w:t xml:space="preserve"> أَحَدُكُمْ بِشَيْ‌ءٍ مِنْهُ لَايَحْتَمِلُهُ ، فَيَقُولَ : واللهِ مَا كَانَ هذَا ، وَاللهِ مَا كَانَ هذَا ؛ والْإِنْكَارُ هُوَ الْكُفْرُ »</w:t>
      </w:r>
      <w:r>
        <w:rPr>
          <w:rtl/>
          <w:lang w:bidi="fa-IR"/>
        </w:rPr>
        <w:t>.</w:t>
      </w:r>
      <w:r w:rsidRPr="00132E65">
        <w:rPr>
          <w:rtl/>
          <w:lang w:bidi="fa-IR"/>
        </w:rPr>
        <w:t xml:space="preserve"> </w:t>
      </w:r>
      <w:r>
        <w:rPr>
          <w:rStyle w:val="libFootnotenumChar"/>
          <w:rtl/>
        </w:rPr>
        <w:t>(6)</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الخبر رواه الصفّار في </w:t>
      </w:r>
      <w:r w:rsidRPr="007A1104">
        <w:rPr>
          <w:rStyle w:val="libFootnoteBoldChar"/>
          <w:rtl/>
        </w:rPr>
        <w:t>بصائر الدرجات</w:t>
      </w:r>
      <w:r w:rsidRPr="00132E65">
        <w:rPr>
          <w:rtl/>
        </w:rPr>
        <w:t xml:space="preserve"> ، ص 20 ، ح 1 ، عن محمّد بن الحسين بن أبي الخطّاب ، عن محمّد بن سنان ، عن عمّار بن مروان ، عن ال</w:t>
      </w:r>
      <w:r w:rsidR="00D2658D">
        <w:rPr>
          <w:rFonts w:hint="cs"/>
          <w:rtl/>
        </w:rPr>
        <w:t>ـ</w:t>
      </w:r>
      <w:r w:rsidRPr="00132E65">
        <w:rPr>
          <w:rtl/>
        </w:rPr>
        <w:t>مُنَخَّل ، عن جابر. والظاهر أنّ الصواب في ما نحن فيه أيضاً توسّط ال</w:t>
      </w:r>
      <w:r w:rsidR="00D2658D">
        <w:rPr>
          <w:rFonts w:hint="cs"/>
          <w:rtl/>
        </w:rPr>
        <w:t>ـ</w:t>
      </w:r>
      <w:r w:rsidRPr="00132E65">
        <w:rPr>
          <w:rtl/>
        </w:rPr>
        <w:t>مُنَخَّل بين عمّار بن مروان وجابر ؛ فقد روى محمّد بن سنان عن عمّار بن مروان عن ال</w:t>
      </w:r>
      <w:r w:rsidR="00D2658D">
        <w:rPr>
          <w:rFonts w:hint="cs"/>
          <w:rtl/>
        </w:rPr>
        <w:t>ـ</w:t>
      </w:r>
      <w:r w:rsidRPr="00132E65">
        <w:rPr>
          <w:rtl/>
        </w:rPr>
        <w:t xml:space="preserve">مُنَخَّل بن جميل </w:t>
      </w:r>
      <w:r w:rsidRPr="003A22E7">
        <w:rPr>
          <w:rtl/>
        </w:rPr>
        <w:t>كتاب النوادر</w:t>
      </w:r>
      <w:r w:rsidRPr="00132E65">
        <w:rPr>
          <w:rtl/>
        </w:rPr>
        <w:t xml:space="preserve"> لجابر بن يزيد. راجع : </w:t>
      </w:r>
      <w:r w:rsidRPr="003A22E7">
        <w:rPr>
          <w:rtl/>
        </w:rPr>
        <w:t>رجال النجاشي</w:t>
      </w:r>
      <w:r w:rsidRPr="00132E65">
        <w:rPr>
          <w:rtl/>
        </w:rPr>
        <w:t xml:space="preserve"> ، ص 128 ، الرقم 332.</w:t>
      </w:r>
    </w:p>
    <w:p w:rsidR="000C39D1" w:rsidRPr="001D7680" w:rsidRDefault="000C39D1" w:rsidP="00D2658D">
      <w:pPr>
        <w:pStyle w:val="libFootnote0"/>
        <w:rPr>
          <w:rtl/>
        </w:rPr>
      </w:pPr>
      <w:r w:rsidRPr="001D7680">
        <w:rPr>
          <w:rtl/>
        </w:rPr>
        <w:t>هذا ، وقد توسّط ال</w:t>
      </w:r>
      <w:r w:rsidR="00D2658D">
        <w:rPr>
          <w:rFonts w:hint="cs"/>
          <w:rtl/>
        </w:rPr>
        <w:t>ـ</w:t>
      </w:r>
      <w:r w:rsidRPr="001D7680">
        <w:rPr>
          <w:rtl/>
        </w:rPr>
        <w:t xml:space="preserve">مُنَخَّل بين عمّار بن مروان وبين جابر في الكافي ، ح 611 </w:t>
      </w:r>
      <w:r>
        <w:rPr>
          <w:rtl/>
        </w:rPr>
        <w:t>و 7</w:t>
      </w:r>
      <w:r w:rsidRPr="001D7680">
        <w:rPr>
          <w:rtl/>
        </w:rPr>
        <w:t xml:space="preserve">17 </w:t>
      </w:r>
      <w:r>
        <w:rPr>
          <w:rtl/>
        </w:rPr>
        <w:t>و 1</w:t>
      </w:r>
      <w:r w:rsidRPr="001D7680">
        <w:rPr>
          <w:rtl/>
        </w:rPr>
        <w:t xml:space="preserve">113 </w:t>
      </w:r>
      <w:r>
        <w:rPr>
          <w:rtl/>
        </w:rPr>
        <w:t>و 1</w:t>
      </w:r>
      <w:r w:rsidRPr="001D7680">
        <w:rPr>
          <w:rtl/>
        </w:rPr>
        <w:t>118.</w:t>
      </w:r>
    </w:p>
    <w:p w:rsidR="000C39D1" w:rsidRPr="00132E65" w:rsidRDefault="000C39D1" w:rsidP="000C39D1">
      <w:pPr>
        <w:pStyle w:val="libFootnote0"/>
        <w:rPr>
          <w:rtl/>
          <w:lang w:bidi="fa-IR"/>
        </w:rPr>
      </w:pPr>
      <w:r>
        <w:rPr>
          <w:rtl/>
        </w:rPr>
        <w:t>(2).</w:t>
      </w:r>
      <w:r w:rsidRPr="00132E65">
        <w:rPr>
          <w:rtl/>
        </w:rPr>
        <w:t xml:space="preserve"> « الصَعْبُ » : ما يكون صعباً في نفسه ، </w:t>
      </w:r>
      <w:r>
        <w:rPr>
          <w:rtl/>
        </w:rPr>
        <w:t>و «</w:t>
      </w:r>
      <w:r w:rsidRPr="00132E65">
        <w:rPr>
          <w:rtl/>
        </w:rPr>
        <w:t xml:space="preserve"> المستصعب » بكسر العين ، أو بفتحها : ما يصعب فهمه على الناس ، أويعدّونه صعباً. أو « الصعب » : العَسِرُ الأبِيُّ ، </w:t>
      </w:r>
      <w:r>
        <w:rPr>
          <w:rtl/>
        </w:rPr>
        <w:t>و «</w:t>
      </w:r>
      <w:r w:rsidRPr="00132E65">
        <w:rPr>
          <w:rtl/>
        </w:rPr>
        <w:t xml:space="preserve"> المستصعب » مبالغة فيه. راجع : </w:t>
      </w:r>
      <w:r w:rsidRPr="003A22E7">
        <w:rPr>
          <w:rtl/>
        </w:rPr>
        <w:t>شرح المازندراني</w:t>
      </w:r>
      <w:r w:rsidRPr="00132E65">
        <w:rPr>
          <w:rtl/>
        </w:rPr>
        <w:t xml:space="preserve"> ، ج 7 ، ص 2 ؛ </w:t>
      </w:r>
      <w:r w:rsidRPr="009D1ACE">
        <w:rPr>
          <w:rStyle w:val="libFootnoteBoldChar"/>
          <w:rtl/>
        </w:rPr>
        <w:t>مرآة العقول</w:t>
      </w:r>
      <w:r w:rsidRPr="00132E65">
        <w:rPr>
          <w:rtl/>
        </w:rPr>
        <w:t xml:space="preserve"> ، ج 4 ، ص 312 ؛ </w:t>
      </w:r>
      <w:r w:rsidRPr="003A22E7">
        <w:rPr>
          <w:rtl/>
        </w:rPr>
        <w:t>القاموس المحيط</w:t>
      </w:r>
      <w:r w:rsidRPr="00132E65">
        <w:rPr>
          <w:rtl/>
        </w:rPr>
        <w:t xml:space="preserve"> ، ج 1 ، ص 188 ( صعب )</w:t>
      </w:r>
      <w:r>
        <w:rPr>
          <w:rtl/>
        </w:rPr>
        <w:t>.</w:t>
      </w:r>
    </w:p>
    <w:p w:rsidR="000C39D1" w:rsidRPr="00132E65" w:rsidRDefault="000C39D1" w:rsidP="000C39D1">
      <w:pPr>
        <w:pStyle w:val="libFootnote0"/>
        <w:rPr>
          <w:rtl/>
          <w:lang w:bidi="fa-IR"/>
        </w:rPr>
      </w:pPr>
      <w:r>
        <w:rPr>
          <w:rtl/>
        </w:rPr>
        <w:t>(3).</w:t>
      </w:r>
      <w:r w:rsidRPr="00132E65">
        <w:rPr>
          <w:rtl/>
        </w:rPr>
        <w:t xml:space="preserve"> « اشمأزّت » ، أي انقبضت واجتمعت بعضها إلى بعض ، من الشَمْز بمعنى التقبّض. أو نَفَرَتْ ، من الشَمْزبمعنى نفور النفس من الشي‌ء تكرهه. راجع : </w:t>
      </w:r>
      <w:r w:rsidRPr="009D1ACE">
        <w:rPr>
          <w:rStyle w:val="libFootnoteBoldChar"/>
          <w:rtl/>
        </w:rPr>
        <w:t>لسان العرب</w:t>
      </w:r>
      <w:r w:rsidRPr="00132E65">
        <w:rPr>
          <w:rtl/>
        </w:rPr>
        <w:t xml:space="preserve"> ، ج 5 ، ص 362 ( شمز )</w:t>
      </w:r>
      <w:r>
        <w:rPr>
          <w:rtl/>
        </w:rPr>
        <w:t>.</w:t>
      </w:r>
    </w:p>
    <w:p w:rsidR="000C39D1" w:rsidRPr="00132E65" w:rsidRDefault="000C39D1" w:rsidP="000C39D1">
      <w:pPr>
        <w:pStyle w:val="libFootnote0"/>
        <w:rPr>
          <w:rtl/>
          <w:lang w:bidi="fa-IR"/>
        </w:rPr>
      </w:pPr>
      <w:r>
        <w:rPr>
          <w:rtl/>
        </w:rPr>
        <w:t>(4).</w:t>
      </w:r>
      <w:r w:rsidRPr="00132E65">
        <w:rPr>
          <w:rtl/>
        </w:rPr>
        <w:t xml:space="preserve"> في « ف » : « الهلاك »</w:t>
      </w:r>
      <w:r>
        <w:rPr>
          <w:rtl/>
        </w:rPr>
        <w:t>.</w:t>
      </w:r>
    </w:p>
    <w:p w:rsidR="000C39D1" w:rsidRPr="00132E65" w:rsidRDefault="000C39D1" w:rsidP="000C39D1">
      <w:pPr>
        <w:pStyle w:val="libFootnote0"/>
        <w:rPr>
          <w:rtl/>
          <w:lang w:bidi="fa-IR"/>
        </w:rPr>
      </w:pPr>
      <w:r>
        <w:rPr>
          <w:rtl/>
        </w:rPr>
        <w:t>(5).</w:t>
      </w:r>
      <w:r w:rsidRPr="00132E65">
        <w:rPr>
          <w:rtl/>
        </w:rPr>
        <w:t xml:space="preserve"> « أن يحدّث » على بناء المفعول من التفعيل. راجع : </w:t>
      </w:r>
      <w:r w:rsidRPr="009D1ACE">
        <w:rPr>
          <w:rStyle w:val="libFootnoteBoldChar"/>
          <w:rtl/>
        </w:rPr>
        <w:t>الوافي</w:t>
      </w:r>
      <w:r w:rsidRPr="00132E65">
        <w:rPr>
          <w:rtl/>
        </w:rPr>
        <w:t xml:space="preserve"> ، ج 3 ، ص 643 ؛ </w:t>
      </w:r>
      <w:r w:rsidRPr="009D1ACE">
        <w:rPr>
          <w:rStyle w:val="libFootnoteBoldChar"/>
          <w:rtl/>
        </w:rPr>
        <w:t>مرآة العقول</w:t>
      </w:r>
      <w:r w:rsidRPr="00132E65">
        <w:rPr>
          <w:rtl/>
        </w:rPr>
        <w:t xml:space="preserve"> ، ج 4 ، ص 314.</w:t>
      </w:r>
    </w:p>
    <w:p w:rsidR="000C39D1" w:rsidRPr="00132E65" w:rsidRDefault="000C39D1" w:rsidP="000C39D1">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20 ، ح 1 ، عن محمّد بن الحسين بن أبي الخطّاب ، عن محمّد بن سنان ، عن عمّار بن مروان ، عن المنّخل ، عن جابر ، ولم يرد فيه جملة « والإنكار هو الكفر » ؛ </w:t>
      </w:r>
      <w:r w:rsidRPr="003A22E7">
        <w:rPr>
          <w:rtl/>
        </w:rPr>
        <w:t>رجال الكشّي</w:t>
      </w:r>
      <w:r w:rsidRPr="00132E65">
        <w:rPr>
          <w:rtl/>
        </w:rPr>
        <w:t xml:space="preserve"> ، ص 193 ، ح 341 ، بسنده عن جابر بن يزيد ، عن أبي جعفر </w:t>
      </w:r>
      <w:r w:rsidRPr="00D2658D">
        <w:rPr>
          <w:rStyle w:val="libFootnoteAlaemChar"/>
          <w:rtl/>
        </w:rPr>
        <w:t>عليه‌السلام</w:t>
      </w:r>
      <w:r w:rsidRPr="00132E65">
        <w:rPr>
          <w:rtl/>
        </w:rPr>
        <w:t xml:space="preserve"> مع اختلاف يسير. </w:t>
      </w:r>
      <w:r w:rsidRPr="007A1104">
        <w:rPr>
          <w:rStyle w:val="libFootnoteBoldChar"/>
          <w:rtl/>
        </w:rPr>
        <w:t>بصائر الدرجات</w:t>
      </w:r>
      <w:r w:rsidRPr="00132E65">
        <w:rPr>
          <w:rtl/>
        </w:rPr>
        <w:t xml:space="preserve"> ، ص 22 ، ح 9 ، بسند آخر ، مع </w:t>
      </w:r>
      <w:r w:rsidR="00D2658D">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A22E7">
        <w:rPr>
          <w:rtl/>
        </w:rPr>
        <w:t>1054</w:t>
      </w:r>
      <w:r w:rsidRPr="004325D8">
        <w:rPr>
          <w:rStyle w:val="libBold2Char"/>
          <w:rtl/>
        </w:rPr>
        <w:t xml:space="preserve"> / 2.</w:t>
      </w:r>
      <w:r w:rsidRPr="00132E65">
        <w:rPr>
          <w:rtl/>
          <w:lang w:bidi="fa-IR"/>
        </w:rPr>
        <w:t xml:space="preserve"> أَحْمَدُ بْنُ إِدْرِيسَ ، عَنْ عِمْرَانَ بْنِ مُوسى </w:t>
      </w:r>
      <w:r>
        <w:rPr>
          <w:rStyle w:val="libFootnotenumChar"/>
          <w:rtl/>
        </w:rPr>
        <w:t>(1)</w:t>
      </w:r>
      <w:r w:rsidRPr="00132E65">
        <w:rPr>
          <w:rtl/>
          <w:lang w:bidi="fa-IR"/>
        </w:rPr>
        <w:t xml:space="preserve"> ، عَنْ هَارُونَ بْنِ مُسْلِمٍ ، عَنْ مَسْعَدَةَ بْنِ صَدَقَةَ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ذُكِرَتِ التَّقِيَّةُ يَوْماً عِنْدَ عَلِيِّ بْنِ الْحُسَيْنِ </w:t>
      </w:r>
      <w:r w:rsidRPr="00071CF9">
        <w:rPr>
          <w:rStyle w:val="libAlaemChar"/>
          <w:rtl/>
        </w:rPr>
        <w:t>عليهما‌السلام</w:t>
      </w:r>
      <w:r w:rsidRPr="00132E65">
        <w:rPr>
          <w:rtl/>
          <w:lang w:bidi="fa-IR"/>
        </w:rPr>
        <w:t xml:space="preserve"> ، فَقَالَ :</w:t>
      </w:r>
      <w:r>
        <w:rPr>
          <w:rFonts w:hint="cs"/>
          <w:rtl/>
          <w:lang w:bidi="fa-IR"/>
        </w:rPr>
        <w:t xml:space="preserve"> </w:t>
      </w:r>
      <w:r w:rsidRPr="00132E65">
        <w:rPr>
          <w:rtl/>
          <w:lang w:bidi="fa-IR"/>
        </w:rPr>
        <w:t xml:space="preserve">وَاللهِ ، لَوْ عَلِمَ أَبُوذَرٍّ مَا فِي قَلْبِ سَلْمَانَ لَقَتَلَهُ </w:t>
      </w:r>
      <w:r>
        <w:rPr>
          <w:rStyle w:val="libFootnotenumChar"/>
          <w:rtl/>
        </w:rPr>
        <w:t>(2)</w:t>
      </w:r>
      <w:r>
        <w:rPr>
          <w:rtl/>
          <w:lang w:bidi="fa-IR"/>
        </w:rPr>
        <w:t xml:space="preserve"> - </w:t>
      </w:r>
      <w:r w:rsidRPr="00132E65">
        <w:rPr>
          <w:rtl/>
          <w:lang w:bidi="fa-IR"/>
        </w:rPr>
        <w:t xml:space="preserve">ولَقَدْ آخى رَسُولُ اللهِ </w:t>
      </w:r>
      <w:r w:rsidRPr="0093484F">
        <w:rPr>
          <w:rStyle w:val="libAlaemChar"/>
          <w:rFonts w:eastAsiaTheme="minorHAnsi"/>
          <w:rtl/>
        </w:rPr>
        <w:t>صلى‌الله‌عليه‌وآله</w:t>
      </w:r>
      <w:r w:rsidRPr="00132E65">
        <w:rPr>
          <w:rtl/>
          <w:lang w:bidi="fa-IR"/>
        </w:rPr>
        <w:t xml:space="preserve"> بَيْنَهُمَا</w:t>
      </w:r>
      <w:r>
        <w:rPr>
          <w:rtl/>
          <w:lang w:bidi="fa-IR"/>
        </w:rPr>
        <w:t xml:space="preserve"> - </w:t>
      </w:r>
      <w:r w:rsidRPr="00132E65">
        <w:rPr>
          <w:rtl/>
          <w:lang w:bidi="fa-IR"/>
        </w:rPr>
        <w:t>فَمَا ظَنُّكُمْ بِسَائِرِ الْخَلْقِ</w:t>
      </w:r>
      <w:r>
        <w:rPr>
          <w:rtl/>
          <w:lang w:bidi="fa-IR"/>
        </w:rPr>
        <w:t>؟</w:t>
      </w:r>
      <w:r w:rsidRPr="00132E65">
        <w:rPr>
          <w:rtl/>
          <w:lang w:bidi="fa-IR"/>
        </w:rPr>
        <w:t xml:space="preserve"> إِنَّ عِلْمَ الْعُلَمَاءِ صَعْبٌ مُسْت</w:t>
      </w:r>
      <w:r w:rsidR="00C12A6F">
        <w:rPr>
          <w:rtl/>
          <w:lang w:bidi="fa-IR"/>
        </w:rPr>
        <w:t>َصْعَبٌ ، لَايَحْتَمِلُهُ إِل</w:t>
      </w:r>
      <w:r w:rsidR="00C12A6F">
        <w:rPr>
          <w:rFonts w:hint="cs"/>
          <w:rtl/>
          <w:lang w:bidi="fa-IR"/>
        </w:rPr>
        <w:t>َّ</w:t>
      </w:r>
      <w:r w:rsidR="00C12A6F">
        <w:rPr>
          <w:rtl/>
          <w:lang w:bidi="fa-IR"/>
        </w:rPr>
        <w:t>ا</w:t>
      </w:r>
      <w:r w:rsidRPr="00132E65">
        <w:rPr>
          <w:rtl/>
          <w:lang w:bidi="fa-IR"/>
        </w:rPr>
        <w:t xml:space="preserve"> نَبِيٌّ مُرْسَلٌ ، أَوْ مَلَكٌ مُقَرَّبٌ ، أَوْ عَبْدٌ مُؤْمِنٌ </w:t>
      </w:r>
      <w:r>
        <w:rPr>
          <w:rStyle w:val="libFootnotenumChar"/>
          <w:rtl/>
        </w:rPr>
        <w:t>(3)</w:t>
      </w:r>
      <w:r w:rsidRPr="00132E65">
        <w:rPr>
          <w:rtl/>
          <w:lang w:bidi="fa-IR"/>
        </w:rPr>
        <w:t xml:space="preserve"> امْتَحَنَ اللهُ قَلْبَهُ لِلْإِيمَانِ »</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(4)</w:t>
      </w:r>
      <w:r w:rsidRPr="00132E65">
        <w:rPr>
          <w:rtl/>
          <w:lang w:bidi="fa-IR"/>
        </w:rPr>
        <w:t xml:space="preserve"> : « وَإِنَّمَا صَارَ سَلْمَانُ مِنَ الْعُلَمَاءِ لِأَنَّهُ امْرُؤٌ مِنَّا </w:t>
      </w:r>
      <w:r>
        <w:rPr>
          <w:rStyle w:val="libFootnotenumChar"/>
          <w:rtl/>
        </w:rPr>
        <w:t>(5)</w:t>
      </w:r>
      <w:r w:rsidRPr="00132E65">
        <w:rPr>
          <w:rtl/>
          <w:lang w:bidi="fa-IR"/>
        </w:rPr>
        <w:t xml:space="preserve"> أَهْلَ الْبَيْتِ ، فَلِذلِكَ نَسَبْتُهُ إِلَى الْعُلَمَاءِ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p>
    <w:p w:rsidR="000C39D1" w:rsidRPr="00132E65" w:rsidRDefault="000C39D1" w:rsidP="000C39D1">
      <w:pPr>
        <w:pStyle w:val="libLine"/>
        <w:rPr>
          <w:rtl/>
          <w:lang w:bidi="fa-IR"/>
        </w:rPr>
      </w:pPr>
      <w:r w:rsidRPr="00132E65">
        <w:rPr>
          <w:rtl/>
          <w:lang w:bidi="fa-IR"/>
        </w:rPr>
        <w:t>__________________</w:t>
      </w:r>
    </w:p>
    <w:p w:rsidR="000C39D1" w:rsidRPr="00132E65" w:rsidRDefault="00C12A6F" w:rsidP="00C12A6F">
      <w:pPr>
        <w:pStyle w:val="libFootnote0"/>
        <w:rPr>
          <w:rtl/>
          <w:lang w:bidi="fa-IR"/>
        </w:rPr>
      </w:pPr>
      <w:r>
        <w:rPr>
          <w:rFonts w:hint="cs"/>
          <w:rtl/>
        </w:rPr>
        <w:t xml:space="preserve">= </w:t>
      </w:r>
      <w:r w:rsidR="000C39D1" w:rsidRPr="00132E65">
        <w:rPr>
          <w:rtl/>
        </w:rPr>
        <w:t xml:space="preserve">اختلاف يسير ؛ </w:t>
      </w:r>
      <w:r w:rsidR="000C39D1" w:rsidRPr="003A22E7">
        <w:rPr>
          <w:rtl/>
        </w:rPr>
        <w:t>تفسير فرات</w:t>
      </w:r>
      <w:r w:rsidR="000C39D1" w:rsidRPr="00132E65">
        <w:rPr>
          <w:rtl/>
        </w:rPr>
        <w:t xml:space="preserve"> ، ص 114 ، ح 116 : « عن جعفر بن محمّد الفزاري معنعناً عن أبي جعفر </w:t>
      </w:r>
      <w:r w:rsidR="000C39D1" w:rsidRPr="00C12A6F">
        <w:rPr>
          <w:rStyle w:val="libFootnoteAlaemChar"/>
          <w:rtl/>
        </w:rPr>
        <w:t>عليه‌السلام</w:t>
      </w:r>
      <w:r w:rsidR="000C39D1" w:rsidRPr="00132E65">
        <w:rPr>
          <w:rtl/>
        </w:rPr>
        <w:t xml:space="preserve"> » مع اختلاف يسير</w:t>
      </w:r>
      <w:r>
        <w:rPr>
          <w:rFonts w:hint="cs"/>
          <w:rtl/>
        </w:rPr>
        <w:t>.</w:t>
      </w:r>
      <w:r w:rsidR="000C39D1" w:rsidRPr="009D1ACE">
        <w:rPr>
          <w:rStyle w:val="libFootnoteBoldChar"/>
          <w:rtl/>
        </w:rPr>
        <w:t>الوافي</w:t>
      </w:r>
      <w:r w:rsidR="000C39D1" w:rsidRPr="00132E65">
        <w:rPr>
          <w:rtl/>
        </w:rPr>
        <w:t xml:space="preserve"> ، ج 3 ، ص 643 ، ح 1235.</w:t>
      </w:r>
    </w:p>
    <w:p w:rsidR="000C39D1" w:rsidRPr="00132E65" w:rsidRDefault="000C39D1" w:rsidP="000C39D1">
      <w:pPr>
        <w:pStyle w:val="libFootnote0"/>
        <w:rPr>
          <w:rtl/>
          <w:lang w:bidi="fa-IR"/>
        </w:rPr>
      </w:pPr>
      <w:r>
        <w:rPr>
          <w:rtl/>
        </w:rPr>
        <w:t>(1).</w:t>
      </w:r>
      <w:r w:rsidRPr="00132E65">
        <w:rPr>
          <w:rtl/>
        </w:rPr>
        <w:t xml:space="preserve"> الخبر رواه الصفّار في </w:t>
      </w:r>
      <w:r w:rsidRPr="007A1104">
        <w:rPr>
          <w:rStyle w:val="libFootnoteBoldChar"/>
          <w:rtl/>
        </w:rPr>
        <w:t>بصائر الدرجات</w:t>
      </w:r>
      <w:r w:rsidRPr="00132E65">
        <w:rPr>
          <w:rtl/>
        </w:rPr>
        <w:t xml:space="preserve"> ، ص 25 ، ح 22 ، عن عمران بن موسى عن محمّد بن عليّ وغيره عن‌هارون بن مسلم ، فيُتَوهَّم وجود الواسطة بين عمران بن موسى</w:t>
      </w:r>
      <w:r w:rsidR="00C12A6F">
        <w:rPr>
          <w:rtl/>
        </w:rPr>
        <w:t xml:space="preserve"> وهارون بن مسلم ، لكن نقل العل</w:t>
      </w:r>
      <w:r w:rsidR="00C12A6F">
        <w:rPr>
          <w:rFonts w:hint="cs"/>
          <w:rtl/>
        </w:rPr>
        <w:t>ّ</w:t>
      </w:r>
      <w:r w:rsidR="00C12A6F">
        <w:rPr>
          <w:rtl/>
        </w:rPr>
        <w:t>ا</w:t>
      </w:r>
      <w:r w:rsidRPr="00132E65">
        <w:rPr>
          <w:rtl/>
        </w:rPr>
        <w:t>مة الخبير السيّد موسى الشبيريّ</w:t>
      </w:r>
      <w:r>
        <w:rPr>
          <w:rtl/>
        </w:rPr>
        <w:t xml:space="preserve"> - </w:t>
      </w:r>
      <w:r w:rsidRPr="00132E65">
        <w:rPr>
          <w:rtl/>
        </w:rPr>
        <w:t>دام ظلّه</w:t>
      </w:r>
      <w:r>
        <w:rPr>
          <w:rtl/>
        </w:rPr>
        <w:t xml:space="preserve"> - </w:t>
      </w:r>
      <w:r w:rsidRPr="00132E65">
        <w:rPr>
          <w:rtl/>
        </w:rPr>
        <w:t>من بعض نسخ البصائر العتيقة : « عمران بن موسى ومحمّد بن عليّ » ، واستظهر في تعليقته على سندنا هذا صحّة هذه النسخة.</w:t>
      </w:r>
    </w:p>
    <w:p w:rsidR="000C39D1" w:rsidRPr="001579C7" w:rsidRDefault="000C39D1" w:rsidP="00C12A6F">
      <w:pPr>
        <w:pStyle w:val="libFootnote0"/>
        <w:rPr>
          <w:rtl/>
        </w:rPr>
      </w:pPr>
      <w:r w:rsidRPr="001579C7">
        <w:rPr>
          <w:rtl/>
        </w:rPr>
        <w:t>يؤيّد ذلك ما ورد في بصائر الدرجات ، ص 8 ، ح 8 ، من رواية عمر ( عمران خ ل ) بن موسى عن هارون بن مسلم مباشرة.</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وذلك لأنّ مكنون العلم عزيز المنال ، دقيق المدرك ، صعب الوصول ، يقصر عن بلوغه الفحول‌من العلماء ، فضلاً عن الضعفاء ؛ ولهذا إنّما يخاطب الجمهور بظواهر الشرع ومجملاته ، دون أسراره وأغواره ؛ لقصور أفهامهم عن إدراكها وضيق حواصلهم عن احتمالها ؛ لايسعهم الجمع بين الظاهر والباطن ، فيظنّون تخالفهما وتنافيهما ، فينكرون فينكرون ، ويكفّرون ويقتلون »</w:t>
      </w:r>
      <w:r>
        <w:rPr>
          <w:rtl/>
        </w:rPr>
        <w:t>.</w:t>
      </w:r>
    </w:p>
    <w:tbl>
      <w:tblPr>
        <w:tblStyle w:val="TableGrid"/>
        <w:bidiVisual/>
        <w:tblW w:w="0" w:type="auto"/>
        <w:tblLook w:val="04A0" w:firstRow="1" w:lastRow="0" w:firstColumn="1" w:lastColumn="0" w:noHBand="0" w:noVBand="1"/>
      </w:tblPr>
      <w:tblGrid>
        <w:gridCol w:w="4006"/>
        <w:gridCol w:w="4006"/>
      </w:tblGrid>
      <w:tr w:rsidR="00C12A6F" w:rsidTr="00C12A6F">
        <w:tc>
          <w:tcPr>
            <w:tcW w:w="4006" w:type="dxa"/>
          </w:tcPr>
          <w:p w:rsidR="00C12A6F" w:rsidRDefault="00C12A6F" w:rsidP="000C39D1">
            <w:pPr>
              <w:pStyle w:val="libFootnote0"/>
              <w:rPr>
                <w:rtl/>
              </w:rPr>
            </w:pPr>
            <w:r>
              <w:rPr>
                <w:rtl/>
              </w:rPr>
              <w:t>(3).</w:t>
            </w:r>
            <w:r w:rsidRPr="00132E65">
              <w:rPr>
                <w:rtl/>
              </w:rPr>
              <w:t xml:space="preserve"> في « ب ، بح » </w:t>
            </w:r>
            <w:r>
              <w:rPr>
                <w:rtl/>
              </w:rPr>
              <w:t xml:space="preserve">: - </w:t>
            </w:r>
            <w:r w:rsidRPr="00132E65">
              <w:rPr>
                <w:rtl/>
              </w:rPr>
              <w:t>« مؤمن »</w:t>
            </w:r>
            <w:r>
              <w:rPr>
                <w:rtl/>
              </w:rPr>
              <w:t>.</w:t>
            </w:r>
          </w:p>
        </w:tc>
        <w:tc>
          <w:tcPr>
            <w:tcW w:w="4006" w:type="dxa"/>
          </w:tcPr>
          <w:p w:rsidR="00C12A6F" w:rsidRDefault="00C12A6F" w:rsidP="000C39D1">
            <w:pPr>
              <w:pStyle w:val="libFootnote0"/>
              <w:rPr>
                <w:rtl/>
              </w:rPr>
            </w:pPr>
            <w:r>
              <w:rPr>
                <w:rtl/>
              </w:rPr>
              <w:t>(4).</w:t>
            </w:r>
            <w:r w:rsidRPr="00132E65">
              <w:rPr>
                <w:rtl/>
              </w:rPr>
              <w:t xml:space="preserve"> في « ب ، ج » والبصائر : « قال »</w:t>
            </w:r>
            <w:r>
              <w:rPr>
                <w:rtl/>
              </w:rPr>
              <w:t>.</w:t>
            </w:r>
          </w:p>
        </w:tc>
      </w:tr>
    </w:tbl>
    <w:p w:rsidR="000C39D1" w:rsidRPr="00132E65" w:rsidRDefault="000C39D1" w:rsidP="000C39D1">
      <w:pPr>
        <w:pStyle w:val="libFootnote0"/>
        <w:rPr>
          <w:rtl/>
          <w:lang w:bidi="fa-IR"/>
        </w:rPr>
      </w:pPr>
      <w:r>
        <w:rPr>
          <w:rtl/>
        </w:rPr>
        <w:t>(5).</w:t>
      </w:r>
      <w:r w:rsidRPr="00132E65">
        <w:rPr>
          <w:rtl/>
        </w:rPr>
        <w:t xml:space="preserve"> في « ب » :</w:t>
      </w:r>
      <w:r>
        <w:rPr>
          <w:rtl/>
        </w:rPr>
        <w:t xml:space="preserve"> + </w:t>
      </w:r>
      <w:r w:rsidRPr="00132E65">
        <w:rPr>
          <w:rtl/>
        </w:rPr>
        <w:t>« وهو مؤمن منّا »</w:t>
      </w:r>
      <w:r>
        <w:rPr>
          <w:rtl/>
        </w:rPr>
        <w:t>.</w:t>
      </w:r>
    </w:p>
    <w:p w:rsidR="000C39D1" w:rsidRPr="00132E65" w:rsidRDefault="000C39D1" w:rsidP="000C39D1">
      <w:pPr>
        <w:pStyle w:val="libFootnote0"/>
        <w:rPr>
          <w:rtl/>
          <w:lang w:bidi="fa-IR"/>
        </w:rPr>
      </w:pPr>
      <w:r>
        <w:rPr>
          <w:rtl/>
        </w:rPr>
        <w:t>(6).</w:t>
      </w:r>
      <w:r w:rsidRPr="00132E65">
        <w:rPr>
          <w:rtl/>
        </w:rPr>
        <w:t xml:space="preserve"> في البصائر : « نسبه إلينا » بدل « نسبته إلى العلماء »</w:t>
      </w:r>
      <w:r>
        <w:rPr>
          <w:rtl/>
        </w:rPr>
        <w:t>.</w:t>
      </w:r>
      <w:r w:rsidRPr="00132E65">
        <w:rPr>
          <w:rtl/>
        </w:rPr>
        <w:t xml:space="preserve"> واحتمل المجلسي في </w:t>
      </w:r>
      <w:r w:rsidRPr="009D1ACE">
        <w:rPr>
          <w:rStyle w:val="libFootnoteBoldChar"/>
          <w:rtl/>
        </w:rPr>
        <w:t>مرآة العقول</w:t>
      </w:r>
      <w:r w:rsidRPr="00132E65">
        <w:rPr>
          <w:rtl/>
        </w:rPr>
        <w:t xml:space="preserve"> كون « نسبته » بصيغة المصدر.</w:t>
      </w:r>
    </w:p>
    <w:p w:rsidR="000C39D1" w:rsidRPr="00132E65" w:rsidRDefault="000C39D1" w:rsidP="000C39D1">
      <w:pPr>
        <w:pStyle w:val="libFootnote0"/>
        <w:rPr>
          <w:rtl/>
          <w:lang w:bidi="fa-IR"/>
        </w:rPr>
      </w:pPr>
      <w:r>
        <w:rPr>
          <w:rtl/>
        </w:rPr>
        <w:t>(7).</w:t>
      </w:r>
      <w:r w:rsidRPr="00132E65">
        <w:rPr>
          <w:rtl/>
        </w:rPr>
        <w:t xml:space="preserve"> </w:t>
      </w:r>
      <w:r w:rsidRPr="007A1104">
        <w:rPr>
          <w:rStyle w:val="libFootnoteBoldChar"/>
          <w:rtl/>
        </w:rPr>
        <w:t>بصائر الدرجات</w:t>
      </w:r>
      <w:r w:rsidRPr="00132E65">
        <w:rPr>
          <w:rtl/>
        </w:rPr>
        <w:t xml:space="preserve"> ، ص 25 ، ح 21 ، عن عمران بن موسى ، عن محمّد بن عليّ وغيره ، عن هارون بن مسلم ، عن مسعدة بن صدقة ، عن جعفر ، عن أبيه </w:t>
      </w:r>
      <w:r w:rsidRPr="00C12A6F">
        <w:rPr>
          <w:rStyle w:val="libFootnoteAlaemChar"/>
          <w:rtl/>
        </w:rPr>
        <w:t>عليهما‌السلام</w:t>
      </w:r>
      <w:r w:rsidRPr="00132E65">
        <w:rPr>
          <w:rtl/>
        </w:rPr>
        <w:t xml:space="preserve"> ؛ </w:t>
      </w:r>
      <w:r w:rsidRPr="003A22E7">
        <w:rPr>
          <w:rtl/>
        </w:rPr>
        <w:t>رجال الكشّي</w:t>
      </w:r>
      <w:r w:rsidRPr="00132E65">
        <w:rPr>
          <w:rtl/>
        </w:rPr>
        <w:t xml:space="preserve"> ، ص 17 ، ح 41 ، بسنده عن مسعدة بن صدقة ، عن </w:t>
      </w:r>
      <w:r w:rsidR="005D7744">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A22E7">
        <w:rPr>
          <w:rtl/>
        </w:rPr>
        <w:t>1055</w:t>
      </w:r>
      <w:r w:rsidRPr="004325D8">
        <w:rPr>
          <w:rStyle w:val="libBold2Char"/>
          <w:rtl/>
        </w:rPr>
        <w:t xml:space="preserve"> / 3.</w:t>
      </w:r>
      <w:r w:rsidRPr="00132E65">
        <w:rPr>
          <w:rtl/>
          <w:lang w:bidi="fa-IR"/>
        </w:rPr>
        <w:t xml:space="preserve"> عَلِيُّ بْنُ إِبْرَاهِيمَ ، عَنْ أَبِيهِ ، عَنِ الْبَرْقِيِّ ، عَنِ ابْنِ سِنَانٍ أَوْ غَيْرِهِ :</w:t>
      </w:r>
    </w:p>
    <w:p w:rsidR="000C39D1" w:rsidRPr="00132E65" w:rsidRDefault="000C39D1" w:rsidP="000C39D1">
      <w:pPr>
        <w:pStyle w:val="libNormal"/>
        <w:rPr>
          <w:rtl/>
          <w:lang w:bidi="fa-IR"/>
        </w:rPr>
      </w:pPr>
      <w:r w:rsidRPr="00132E65">
        <w:rPr>
          <w:rtl/>
          <w:lang w:bidi="fa-IR"/>
        </w:rPr>
        <w:t xml:space="preserve">رَفَعَهُ </w:t>
      </w:r>
      <w:r>
        <w:rPr>
          <w:rStyle w:val="libFootnotenumChar"/>
          <w:rtl/>
        </w:rPr>
        <w:t>(1)</w:t>
      </w:r>
      <w:r w:rsidRPr="00132E65">
        <w:rPr>
          <w:rtl/>
          <w:lang w:bidi="fa-IR"/>
        </w:rPr>
        <w:t xml:space="preserve"> إِلى أَبِي عَبْدِ اللهِ </w:t>
      </w:r>
      <w:r w:rsidRPr="00071CF9">
        <w:rPr>
          <w:rStyle w:val="libAlaemChar"/>
          <w:rtl/>
        </w:rPr>
        <w:t>عليه‌السلام</w:t>
      </w:r>
      <w:r w:rsidRPr="00132E65">
        <w:rPr>
          <w:rtl/>
          <w:lang w:bidi="fa-IR"/>
        </w:rPr>
        <w:t xml:space="preserve"> ، قَالَ : « إِنَّ حَدِيثَنَا صَعْبٌ مُسْتَصْعَبٌ ، لَايَحْتَمِلُهُ </w:t>
      </w:r>
      <w:r>
        <w:rPr>
          <w:rStyle w:val="libFootnotenumChar"/>
          <w:rtl/>
        </w:rPr>
        <w:t>(2)</w:t>
      </w:r>
      <w:r w:rsidR="006A3C7C">
        <w:rPr>
          <w:rtl/>
          <w:lang w:bidi="fa-IR"/>
        </w:rPr>
        <w:t xml:space="preserve"> إِل</w:t>
      </w:r>
      <w:r w:rsidR="006A3C7C">
        <w:rPr>
          <w:rFonts w:hint="cs"/>
          <w:rtl/>
          <w:lang w:bidi="fa-IR"/>
        </w:rPr>
        <w:t>َّ</w:t>
      </w:r>
      <w:r w:rsidR="006A3C7C">
        <w:rPr>
          <w:rtl/>
          <w:lang w:bidi="fa-IR"/>
        </w:rPr>
        <w:t>ا</w:t>
      </w:r>
      <w:r w:rsidRPr="00132E65">
        <w:rPr>
          <w:rtl/>
          <w:lang w:bidi="fa-IR"/>
        </w:rPr>
        <w:t xml:space="preserve"> صُدُورٌ مُنِيرَةٌ ، أَوْ </w:t>
      </w:r>
      <w:r>
        <w:rPr>
          <w:rStyle w:val="libFootnotenumChar"/>
          <w:rtl/>
        </w:rPr>
        <w:t>(3)</w:t>
      </w:r>
      <w:r w:rsidRPr="00132E65">
        <w:rPr>
          <w:rtl/>
          <w:lang w:bidi="fa-IR"/>
        </w:rPr>
        <w:t xml:space="preserve"> قُلُوبٌ سَلِيمَةٌ ، أَوْ أَخْلَاقٌ حَسَنَةٌ ؛ إِنَّ اللهَ أَخَذَ مِنْ شِيعَتِنَا الْمِيثَاقَ </w:t>
      </w:r>
      <w:r>
        <w:rPr>
          <w:rStyle w:val="libFootnotenumChar"/>
          <w:rtl/>
        </w:rPr>
        <w:t>(4)</w:t>
      </w:r>
      <w:r w:rsidRPr="00132E65">
        <w:rPr>
          <w:rtl/>
          <w:lang w:bidi="fa-IR"/>
        </w:rPr>
        <w:t xml:space="preserve"> كَمَا أَخَذَ عَلى بَنِي </w:t>
      </w:r>
      <w:r>
        <w:rPr>
          <w:rStyle w:val="libFootnotenumChar"/>
          <w:rtl/>
        </w:rPr>
        <w:t>(5)</w:t>
      </w:r>
      <w:r w:rsidRPr="00132E65">
        <w:rPr>
          <w:rtl/>
          <w:lang w:bidi="fa-IR"/>
        </w:rPr>
        <w:t xml:space="preserve"> آدَمَ </w:t>
      </w:r>
      <w:r>
        <w:rPr>
          <w:rStyle w:val="libFootnotenumChar"/>
          <w:rtl/>
        </w:rPr>
        <w:t>(6)</w:t>
      </w:r>
      <w:r w:rsidRPr="00132E65">
        <w:rPr>
          <w:rtl/>
          <w:lang w:bidi="fa-IR"/>
        </w:rPr>
        <w:t xml:space="preserve"> </w:t>
      </w:r>
      <w:r w:rsidRPr="00071CF9">
        <w:rPr>
          <w:rStyle w:val="libAlaemChar"/>
          <w:rtl/>
        </w:rPr>
        <w:t>(</w:t>
      </w:r>
      <w:r w:rsidRPr="00071CF9">
        <w:rPr>
          <w:rStyle w:val="libAieChar"/>
          <w:rtl/>
        </w:rPr>
        <w:t xml:space="preserve"> أَلَسْتُ بِرَبِّكُمْ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فَمَنْ وفى </w:t>
      </w:r>
      <w:r>
        <w:rPr>
          <w:rStyle w:val="libFootnotenumChar"/>
          <w:rtl/>
        </w:rPr>
        <w:t>(8)</w:t>
      </w:r>
      <w:r w:rsidRPr="00132E65">
        <w:rPr>
          <w:rtl/>
          <w:lang w:bidi="fa-IR"/>
        </w:rPr>
        <w:t xml:space="preserve"> لَنَا ، وفَى اللهُ لَهُ بِالْجَنَّةِ ؛ ومَنْ أَبْغَضَنَا ولَمْ يُؤَدِّ </w:t>
      </w:r>
      <w:r>
        <w:rPr>
          <w:rStyle w:val="libFootnotenumChar"/>
          <w:rtl/>
        </w:rPr>
        <w:t>(9)</w:t>
      </w:r>
      <w:r w:rsidRPr="00132E65">
        <w:rPr>
          <w:rtl/>
          <w:lang w:bidi="fa-IR"/>
        </w:rPr>
        <w:t xml:space="preserve"> إِلَيْنَا حَقَّنَا ، فَفِي النَّارِ خَالِداً مُخَلَّداً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3A22E7">
        <w:rPr>
          <w:rtl/>
        </w:rPr>
        <w:t>1056</w:t>
      </w:r>
      <w:r w:rsidRPr="004325D8">
        <w:rPr>
          <w:rStyle w:val="libBold2Char"/>
          <w:rtl/>
        </w:rPr>
        <w:t xml:space="preserve"> / 4.</w:t>
      </w:r>
      <w:r w:rsidRPr="00132E65">
        <w:rPr>
          <w:rtl/>
          <w:lang w:bidi="fa-IR"/>
        </w:rPr>
        <w:t xml:space="preserve"> مُحَمَّدُ بْنُ يَحْيى وغَيْرُهُ ، عَنْ مُحَمَّدِ بْنِ أَحْمَدَ ، عَنْ بَعْضِ أَصْحَابِنَا ، قَالَ :</w:t>
      </w:r>
    </w:p>
    <w:p w:rsidR="000C39D1" w:rsidRPr="00132E65" w:rsidRDefault="000C39D1" w:rsidP="000C39D1">
      <w:pPr>
        <w:pStyle w:val="libNormal"/>
        <w:rPr>
          <w:rtl/>
          <w:lang w:bidi="fa-IR"/>
        </w:rPr>
      </w:pPr>
      <w:r w:rsidRPr="00132E65">
        <w:rPr>
          <w:rtl/>
          <w:lang w:bidi="fa-IR"/>
        </w:rPr>
        <w:t xml:space="preserve">كَتَبْتُ إِلى أَبِي الْحَسَنِ صَاحِبِ الْعَسْكَرِ </w:t>
      </w:r>
      <w:r w:rsidRPr="00071CF9">
        <w:rPr>
          <w:rStyle w:val="libAlaemChar"/>
          <w:rtl/>
        </w:rPr>
        <w:t>عليه‌السلام</w:t>
      </w:r>
      <w:r w:rsidRPr="00132E65">
        <w:rPr>
          <w:rtl/>
          <w:lang w:bidi="fa-IR"/>
        </w:rPr>
        <w:t xml:space="preserve"> : جُعِلْتُ فِدَاكَ ، مَا مَعْنى قَوْلِ الصَّادِقِ </w:t>
      </w:r>
      <w:r w:rsidRPr="00071CF9">
        <w:rPr>
          <w:rStyle w:val="libAlaemChar"/>
          <w:rtl/>
        </w:rPr>
        <w:t>عليه‌السلام</w:t>
      </w:r>
      <w:r w:rsidRPr="00132E65">
        <w:rPr>
          <w:rtl/>
          <w:lang w:bidi="fa-IR"/>
        </w:rPr>
        <w:t xml:space="preserve"> : « حَدِيثُنَا </w:t>
      </w:r>
      <w:r>
        <w:rPr>
          <w:rStyle w:val="libFootnotenumChar"/>
          <w:rtl/>
        </w:rPr>
        <w:t>(11)</w:t>
      </w:r>
      <w:r w:rsidRPr="00132E65">
        <w:rPr>
          <w:rtl/>
          <w:lang w:bidi="fa-IR"/>
        </w:rPr>
        <w:t xml:space="preserve"> لَايَحْتَمِلُهُ مَلَكٌ مُقَرَّبٌ ، ولَانَبِيٌّ مُرْسَلٌ ، ولَامُؤْمِنٌ امْتَحَنَ اللهُ قَلْبَهُ لِلْإِيمَانِ »</w:t>
      </w:r>
      <w:r>
        <w:rPr>
          <w:rtl/>
          <w:lang w:bidi="fa-IR"/>
        </w:rPr>
        <w:t>؟</w:t>
      </w:r>
    </w:p>
    <w:p w:rsidR="000C39D1" w:rsidRPr="00132E65" w:rsidRDefault="000C39D1" w:rsidP="000C39D1">
      <w:pPr>
        <w:pStyle w:val="libNormal"/>
        <w:rPr>
          <w:rtl/>
          <w:lang w:bidi="fa-IR"/>
        </w:rPr>
      </w:pPr>
      <w:r w:rsidRPr="00132E65">
        <w:rPr>
          <w:rtl/>
          <w:lang w:bidi="fa-IR"/>
        </w:rPr>
        <w:t xml:space="preserve">فَجَاءَ الْجَوَابُ : « إِنَّمَا مَعْنى قَوْلِ الصَّادِقِ </w:t>
      </w:r>
      <w:r w:rsidRPr="00071CF9">
        <w:rPr>
          <w:rStyle w:val="libAlaemChar"/>
          <w:rtl/>
        </w:rPr>
        <w:t>عليه‌السلام</w:t>
      </w:r>
      <w:r w:rsidRPr="00132E65">
        <w:rPr>
          <w:rtl/>
          <w:lang w:bidi="fa-IR"/>
        </w:rPr>
        <w:t xml:space="preserve"> :</w:t>
      </w:r>
      <w:r>
        <w:rPr>
          <w:rtl/>
          <w:lang w:bidi="fa-IR"/>
        </w:rPr>
        <w:t xml:space="preserve"> - </w:t>
      </w:r>
      <w:r w:rsidRPr="00132E65">
        <w:rPr>
          <w:rtl/>
          <w:lang w:bidi="fa-IR"/>
        </w:rPr>
        <w:t xml:space="preserve">أَيْ لَايَحْتَمِلُهُ مَلَكٌ </w:t>
      </w:r>
      <w:r>
        <w:rPr>
          <w:rStyle w:val="libFootnotenumChar"/>
          <w:rtl/>
        </w:rPr>
        <w:t>(12)</w:t>
      </w:r>
      <w:r w:rsidRPr="00132E65">
        <w:rPr>
          <w:rtl/>
          <w:lang w:bidi="fa-IR"/>
        </w:rPr>
        <w:t xml:space="preserve"> ولَانَبِيٌّ ولَا مُؤْمِنٌ</w:t>
      </w:r>
      <w:r>
        <w:rPr>
          <w:rtl/>
          <w:lang w:bidi="fa-IR"/>
        </w:rPr>
        <w:t xml:space="preserve"> - </w:t>
      </w:r>
      <w:r w:rsidRPr="00132E65">
        <w:rPr>
          <w:rtl/>
          <w:lang w:bidi="fa-IR"/>
        </w:rPr>
        <w:t>أَنَّ الْمَلَكَ لَايَحْتَمِلُهُ حَتّى يُخْرِجَهُ إِلى مَلَكٍ غَيْرِهِ ، والنَّبِيُّ لَايَحْتَمِلُهُ حَتّى‌</w:t>
      </w:r>
    </w:p>
    <w:p w:rsidR="000C39D1" w:rsidRPr="00132E65" w:rsidRDefault="000C39D1" w:rsidP="000C39D1">
      <w:pPr>
        <w:pStyle w:val="libLine"/>
        <w:rPr>
          <w:rtl/>
          <w:lang w:bidi="fa-IR"/>
        </w:rPr>
      </w:pPr>
      <w:r w:rsidRPr="00132E65">
        <w:rPr>
          <w:rtl/>
          <w:lang w:bidi="fa-IR"/>
        </w:rPr>
        <w:t>__________________</w:t>
      </w:r>
    </w:p>
    <w:p w:rsidR="000C39D1" w:rsidRPr="00132E65" w:rsidRDefault="006A3C7C" w:rsidP="006A3C7C">
      <w:pPr>
        <w:pStyle w:val="libFootnote0"/>
        <w:rPr>
          <w:rtl/>
          <w:lang w:bidi="fa-IR"/>
        </w:rPr>
      </w:pPr>
      <w:r>
        <w:rPr>
          <w:rFonts w:hint="cs"/>
          <w:rtl/>
        </w:rPr>
        <w:t xml:space="preserve">= </w:t>
      </w:r>
      <w:r w:rsidR="000C39D1" w:rsidRPr="00132E65">
        <w:rPr>
          <w:rtl/>
        </w:rPr>
        <w:t xml:space="preserve">جعفر ، عن أبيه </w:t>
      </w:r>
      <w:r w:rsidR="000C39D1" w:rsidRPr="006A3C7C">
        <w:rPr>
          <w:rStyle w:val="libFootnoteAlaemChar"/>
          <w:rtl/>
        </w:rPr>
        <w:t>عليه‌السلام</w:t>
      </w:r>
      <w:r w:rsidR="000C39D1" w:rsidRPr="00132E65">
        <w:rPr>
          <w:rtl/>
        </w:rPr>
        <w:t xml:space="preserve"> قال : ذكرت التقيّة يوماً عند عليّ </w:t>
      </w:r>
      <w:r w:rsidR="000C39D1" w:rsidRPr="006A3C7C">
        <w:rPr>
          <w:rStyle w:val="libFootnoteAlaemChar"/>
          <w:rtl/>
        </w:rPr>
        <w:t>عليه‌السلام</w:t>
      </w:r>
      <w:r w:rsidR="000C39D1" w:rsidRPr="00132E65">
        <w:rPr>
          <w:rtl/>
        </w:rPr>
        <w:t xml:space="preserve"> ، إلى قوله : « بسائر الخلق »</w:t>
      </w:r>
      <w:r>
        <w:rPr>
          <w:rFonts w:hint="cs"/>
          <w:rtl/>
        </w:rPr>
        <w:t>.</w:t>
      </w:r>
      <w:r w:rsidR="000C39D1" w:rsidRPr="009D1ACE">
        <w:rPr>
          <w:rStyle w:val="libFootnoteBoldChar"/>
          <w:rtl/>
        </w:rPr>
        <w:t>الوافي</w:t>
      </w:r>
      <w:r w:rsidR="000C39D1" w:rsidRPr="00132E65">
        <w:rPr>
          <w:rtl/>
        </w:rPr>
        <w:t xml:space="preserve"> ، ج 3 ، ص 644 ، ح 1236 ؛ </w:t>
      </w:r>
      <w:r w:rsidR="000C39D1" w:rsidRPr="003A22E7">
        <w:rPr>
          <w:rtl/>
        </w:rPr>
        <w:t>البحار</w:t>
      </w:r>
      <w:r w:rsidR="000C39D1" w:rsidRPr="00132E65">
        <w:rPr>
          <w:rtl/>
        </w:rPr>
        <w:t xml:space="preserve"> ، ج 22 ، ص 343 ، ح 53.</w:t>
      </w:r>
    </w:p>
    <w:tbl>
      <w:tblPr>
        <w:tblStyle w:val="TableGrid"/>
        <w:bidiVisual/>
        <w:tblW w:w="0" w:type="auto"/>
        <w:tblLook w:val="04A0" w:firstRow="1" w:lastRow="0" w:firstColumn="1" w:lastColumn="0" w:noHBand="0" w:noVBand="1"/>
      </w:tblPr>
      <w:tblGrid>
        <w:gridCol w:w="4006"/>
        <w:gridCol w:w="4006"/>
      </w:tblGrid>
      <w:tr w:rsidR="006A3C7C" w:rsidTr="006A3C7C">
        <w:tc>
          <w:tcPr>
            <w:tcW w:w="4006" w:type="dxa"/>
          </w:tcPr>
          <w:p w:rsidR="006A3C7C" w:rsidRDefault="006A3C7C" w:rsidP="000C39D1">
            <w:pPr>
              <w:pStyle w:val="libFootnote0"/>
              <w:rPr>
                <w:rtl/>
              </w:rPr>
            </w:pPr>
            <w:r>
              <w:rPr>
                <w:rtl/>
              </w:rPr>
              <w:t>(1).</w:t>
            </w:r>
            <w:r w:rsidRPr="00132E65">
              <w:rPr>
                <w:rtl/>
              </w:rPr>
              <w:t xml:space="preserve"> في « ب ، ض ، بح » : « يرفعه »</w:t>
            </w:r>
            <w:r>
              <w:rPr>
                <w:rtl/>
              </w:rPr>
              <w:t>.</w:t>
            </w:r>
          </w:p>
        </w:tc>
        <w:tc>
          <w:tcPr>
            <w:tcW w:w="4006" w:type="dxa"/>
          </w:tcPr>
          <w:p w:rsidR="006A3C7C" w:rsidRDefault="006A3C7C" w:rsidP="000C39D1">
            <w:pPr>
              <w:pStyle w:val="libFootnote0"/>
              <w:rPr>
                <w:rtl/>
              </w:rPr>
            </w:pPr>
            <w:r>
              <w:rPr>
                <w:rtl/>
              </w:rPr>
              <w:t>(2).</w:t>
            </w:r>
            <w:r w:rsidRPr="00132E65">
              <w:rPr>
                <w:rtl/>
              </w:rPr>
              <w:t xml:space="preserve"> في « ج » : « لا يتحمّله »</w:t>
            </w:r>
            <w:r>
              <w:rPr>
                <w:rtl/>
              </w:rPr>
              <w:t>.</w:t>
            </w:r>
          </w:p>
        </w:tc>
      </w:tr>
    </w:tbl>
    <w:p w:rsidR="000C39D1" w:rsidRPr="00132E65" w:rsidRDefault="000C39D1" w:rsidP="000C39D1">
      <w:pPr>
        <w:pStyle w:val="libFootnote0"/>
        <w:rPr>
          <w:rtl/>
          <w:lang w:bidi="fa-IR"/>
        </w:rPr>
      </w:pPr>
      <w:r>
        <w:rPr>
          <w:rtl/>
        </w:rPr>
        <w:t>(3).</w:t>
      </w:r>
      <w:r w:rsidRPr="00132E65">
        <w:rPr>
          <w:rtl/>
        </w:rPr>
        <w:t xml:space="preserve"> في شرح المازندراني والبصائر : « </w:t>
      </w:r>
      <w:r>
        <w:rPr>
          <w:rtl/>
        </w:rPr>
        <w:t>و ».</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يعني أخذ من شيعتنا الميثاق بولايتنا واحتمال حديثنا بالقبول والكتمان ، كما أخذ على سائر بني آدم الميثاق بربوبيّته »</w:t>
      </w:r>
      <w:r>
        <w:rPr>
          <w:rtl/>
        </w:rPr>
        <w:t>.</w:t>
      </w:r>
    </w:p>
    <w:p w:rsidR="000C39D1" w:rsidRPr="00132E65" w:rsidRDefault="000C39D1" w:rsidP="000C39D1">
      <w:pPr>
        <w:pStyle w:val="libFootnote0"/>
        <w:rPr>
          <w:rtl/>
          <w:lang w:bidi="fa-IR"/>
        </w:rPr>
      </w:pPr>
      <w:r>
        <w:rPr>
          <w:rtl/>
        </w:rPr>
        <w:t>(5).</w:t>
      </w:r>
      <w:r w:rsidRPr="00132E65">
        <w:rPr>
          <w:rtl/>
        </w:rPr>
        <w:t xml:space="preserve"> في « ب » وحاشية « ج » وحاشية بدرالدين : « ابن »</w:t>
      </w:r>
      <w:r>
        <w:rPr>
          <w:rtl/>
        </w:rPr>
        <w:t>.</w:t>
      </w:r>
      <w:r w:rsidRPr="00132E65">
        <w:rPr>
          <w:rtl/>
        </w:rPr>
        <w:t xml:space="preserve"> وفي « بح » </w:t>
      </w:r>
      <w:r>
        <w:rPr>
          <w:rtl/>
        </w:rPr>
        <w:t xml:space="preserve">: - </w:t>
      </w:r>
      <w:r w:rsidRPr="00132E65">
        <w:rPr>
          <w:rtl/>
        </w:rPr>
        <w:t>« بني »</w:t>
      </w:r>
      <w:r>
        <w:rPr>
          <w:rtl/>
        </w:rPr>
        <w:t>.</w:t>
      </w:r>
    </w:p>
    <w:p w:rsidR="000C39D1" w:rsidRPr="00132E65" w:rsidRDefault="000C39D1" w:rsidP="006876FD">
      <w:pPr>
        <w:pStyle w:val="libFootnote0"/>
        <w:rPr>
          <w:rtl/>
          <w:lang w:bidi="fa-IR"/>
        </w:rPr>
      </w:pPr>
      <w:r>
        <w:rPr>
          <w:rtl/>
        </w:rPr>
        <w:t>(6).</w:t>
      </w:r>
      <w:r w:rsidRPr="00132E65">
        <w:rPr>
          <w:rtl/>
        </w:rPr>
        <w:t xml:space="preserve"> في « ف » :</w:t>
      </w:r>
      <w:r>
        <w:rPr>
          <w:rtl/>
        </w:rPr>
        <w:t xml:space="preserve"> + </w:t>
      </w:r>
      <w:r w:rsidRPr="00132E65">
        <w:rPr>
          <w:rtl/>
        </w:rPr>
        <w:t>« يوم »</w:t>
      </w:r>
      <w:r>
        <w:rPr>
          <w:rtl/>
        </w:rPr>
        <w:t>.</w:t>
      </w:r>
      <w:r w:rsidRPr="00132E65">
        <w:rPr>
          <w:rtl/>
        </w:rPr>
        <w:t xml:space="preserve"> وفي البصائر :</w:t>
      </w:r>
      <w:r>
        <w:rPr>
          <w:rtl/>
        </w:rPr>
        <w:t xml:space="preserve"> + </w:t>
      </w:r>
      <w:r w:rsidRPr="00132E65">
        <w:rPr>
          <w:rtl/>
        </w:rPr>
        <w:t xml:space="preserve">« حيث يقول عزّ وجلّ : </w:t>
      </w:r>
      <w:r w:rsidRPr="00071CF9">
        <w:rPr>
          <w:rStyle w:val="libAlaemChar"/>
          <w:rtl/>
        </w:rPr>
        <w:t>(</w:t>
      </w:r>
      <w:r>
        <w:rPr>
          <w:rFonts w:hint="cs"/>
          <w:rtl/>
        </w:rPr>
        <w:t xml:space="preserve"> </w:t>
      </w:r>
      <w:r w:rsidRPr="00C2691A">
        <w:rPr>
          <w:rStyle w:val="libFootnoteAieChar"/>
          <w:rtl/>
        </w:rPr>
        <w:t>وَإِذْ أَخَذَ رَبُّكَ مِنْ بَنِي آدَمَ مِنْ ظُهُورِهِمْ ذُرِّيَّتَهُمْ وَأَشْهَدَهُمْ عَلى أَنْفُسِهِمْ</w:t>
      </w:r>
      <w:r>
        <w:rPr>
          <w:rFonts w:hint="cs"/>
          <w:rtl/>
        </w:rPr>
        <w:t xml:space="preserve"> </w:t>
      </w:r>
      <w:r w:rsidRPr="00071CF9">
        <w:rPr>
          <w:rStyle w:val="libAlaemChar"/>
          <w:rtl/>
        </w:rPr>
        <w:t>)</w:t>
      </w:r>
      <w:r w:rsidRPr="00132E65">
        <w:rPr>
          <w:rtl/>
        </w:rPr>
        <w:t>.</w:t>
      </w:r>
      <w:r w:rsidR="006876FD">
        <w:rPr>
          <w:rFonts w:hint="cs"/>
          <w:rtl/>
        </w:rPr>
        <w:t xml:space="preserve">                          </w:t>
      </w:r>
      <w:r>
        <w:rPr>
          <w:rtl/>
        </w:rPr>
        <w:t>(7).</w:t>
      </w:r>
      <w:r w:rsidRPr="00132E65">
        <w:rPr>
          <w:rtl/>
        </w:rPr>
        <w:t xml:space="preserve"> الأعراف </w:t>
      </w:r>
      <w:r w:rsidR="006876FD">
        <w:rPr>
          <w:rtl/>
        </w:rPr>
        <w:t>(7)</w:t>
      </w:r>
      <w:r w:rsidRPr="00132E65">
        <w:rPr>
          <w:rtl/>
        </w:rPr>
        <w:t xml:space="preserve"> : 172.</w:t>
      </w:r>
    </w:p>
    <w:tbl>
      <w:tblPr>
        <w:tblStyle w:val="TableGrid"/>
        <w:bidiVisual/>
        <w:tblW w:w="0" w:type="auto"/>
        <w:tblLook w:val="04A0" w:firstRow="1" w:lastRow="0" w:firstColumn="1" w:lastColumn="0" w:noHBand="0" w:noVBand="1"/>
      </w:tblPr>
      <w:tblGrid>
        <w:gridCol w:w="4006"/>
        <w:gridCol w:w="4006"/>
      </w:tblGrid>
      <w:tr w:rsidR="006876FD" w:rsidTr="006876FD">
        <w:tc>
          <w:tcPr>
            <w:tcW w:w="4006" w:type="dxa"/>
          </w:tcPr>
          <w:p w:rsidR="006876FD" w:rsidRDefault="006876FD" w:rsidP="000C39D1">
            <w:pPr>
              <w:pStyle w:val="libFootnote0"/>
              <w:rPr>
                <w:rtl/>
              </w:rPr>
            </w:pPr>
            <w:r>
              <w:rPr>
                <w:rtl/>
              </w:rPr>
              <w:t>(8).</w:t>
            </w:r>
            <w:r w:rsidRPr="00132E65">
              <w:rPr>
                <w:rtl/>
              </w:rPr>
              <w:t xml:space="preserve"> في « ج » :</w:t>
            </w:r>
            <w:r>
              <w:rPr>
                <w:rtl/>
              </w:rPr>
              <w:t xml:space="preserve"> + </w:t>
            </w:r>
            <w:r w:rsidRPr="00132E65">
              <w:rPr>
                <w:rtl/>
              </w:rPr>
              <w:t>« الله »</w:t>
            </w:r>
            <w:r>
              <w:rPr>
                <w:rtl/>
              </w:rPr>
              <w:t>.</w:t>
            </w:r>
          </w:p>
        </w:tc>
        <w:tc>
          <w:tcPr>
            <w:tcW w:w="4006" w:type="dxa"/>
          </w:tcPr>
          <w:p w:rsidR="006876FD" w:rsidRDefault="006876FD" w:rsidP="000C39D1">
            <w:pPr>
              <w:pStyle w:val="libFootnote0"/>
              <w:rPr>
                <w:rtl/>
              </w:rPr>
            </w:pPr>
            <w:r>
              <w:rPr>
                <w:rtl/>
              </w:rPr>
              <w:t>(9).</w:t>
            </w:r>
            <w:r w:rsidRPr="00132E65">
              <w:rPr>
                <w:rtl/>
              </w:rPr>
              <w:t xml:space="preserve"> في « بح » : « لم يردّ »</w:t>
            </w:r>
            <w:r>
              <w:rPr>
                <w:rtl/>
              </w:rPr>
              <w:t>.</w:t>
            </w:r>
          </w:p>
        </w:tc>
      </w:tr>
    </w:tbl>
    <w:p w:rsidR="000C39D1" w:rsidRPr="00132E65" w:rsidRDefault="000C39D1" w:rsidP="00F73059">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25 ، ح 20 ، عن إبراهيم بن هاشم ، عن أبي عبد الله البرقي. وفي </w:t>
      </w:r>
      <w:r w:rsidRPr="003A22E7">
        <w:rPr>
          <w:rtl/>
        </w:rPr>
        <w:t>نهج البلاغة</w:t>
      </w:r>
      <w:r w:rsidRPr="00132E65">
        <w:rPr>
          <w:rtl/>
        </w:rPr>
        <w:t xml:space="preserve"> ، ص 280 ، ضمن الخطبة 189 ، هكذا : « إنّ أمرنا صعبٌ مستصعبٌ ، </w:t>
      </w:r>
      <w:r w:rsidR="006876FD">
        <w:rPr>
          <w:rtl/>
        </w:rPr>
        <w:t>لا يحمله إل</w:t>
      </w:r>
      <w:r w:rsidR="006876FD">
        <w:rPr>
          <w:rFonts w:hint="cs"/>
          <w:rtl/>
        </w:rPr>
        <w:t>ّ</w:t>
      </w:r>
      <w:r w:rsidR="006876FD">
        <w:rPr>
          <w:rtl/>
        </w:rPr>
        <w:t>ا</w:t>
      </w:r>
      <w:r w:rsidRPr="00132E65">
        <w:rPr>
          <w:rtl/>
        </w:rPr>
        <w:t>عبدٌ مؤمنٌ امتحنَ اللهُ قلب</w:t>
      </w:r>
      <w:r w:rsidR="00F73059">
        <w:rPr>
          <w:rtl/>
        </w:rPr>
        <w:t>ه للإيمان ، ولا يَعي حديثنا إل</w:t>
      </w:r>
      <w:r w:rsidR="00F73059">
        <w:rPr>
          <w:rFonts w:hint="cs"/>
          <w:rtl/>
        </w:rPr>
        <w:t>ّ</w:t>
      </w:r>
      <w:r w:rsidR="00F73059">
        <w:rPr>
          <w:rtl/>
        </w:rPr>
        <w:t>ا</w:t>
      </w:r>
      <w:r w:rsidRPr="00132E65">
        <w:rPr>
          <w:rtl/>
        </w:rPr>
        <w:t>صدورٌ أمينةٌ وأحلام رَزينةٌ »</w:t>
      </w:r>
      <w:r w:rsidR="00F73059">
        <w:rPr>
          <w:rFonts w:hint="cs"/>
          <w:rtl/>
        </w:rPr>
        <w:t>.</w:t>
      </w:r>
      <w:r w:rsidRPr="009D1ACE">
        <w:rPr>
          <w:rStyle w:val="libFootnoteBoldChar"/>
          <w:rtl/>
        </w:rPr>
        <w:t>الوافي</w:t>
      </w:r>
      <w:r w:rsidRPr="00132E65">
        <w:rPr>
          <w:rtl/>
        </w:rPr>
        <w:t xml:space="preserve"> ، ج 3 ، ص 644 ، ح 1237.</w:t>
      </w:r>
    </w:p>
    <w:tbl>
      <w:tblPr>
        <w:tblStyle w:val="TableGrid"/>
        <w:bidiVisual/>
        <w:tblW w:w="0" w:type="auto"/>
        <w:tblLook w:val="04A0" w:firstRow="1" w:lastRow="0" w:firstColumn="1" w:lastColumn="0" w:noHBand="0" w:noVBand="1"/>
      </w:tblPr>
      <w:tblGrid>
        <w:gridCol w:w="4006"/>
        <w:gridCol w:w="4006"/>
      </w:tblGrid>
      <w:tr w:rsidR="00F73059" w:rsidTr="00F73059">
        <w:tc>
          <w:tcPr>
            <w:tcW w:w="4006" w:type="dxa"/>
          </w:tcPr>
          <w:p w:rsidR="00F73059" w:rsidRDefault="00F73059" w:rsidP="000C39D1">
            <w:pPr>
              <w:pStyle w:val="libFootnote0"/>
              <w:rPr>
                <w:rtl/>
              </w:rPr>
            </w:pPr>
            <w:r>
              <w:rPr>
                <w:rtl/>
              </w:rPr>
              <w:t>(11).</w:t>
            </w:r>
            <w:r w:rsidRPr="00132E65">
              <w:rPr>
                <w:rtl/>
              </w:rPr>
              <w:t xml:space="preserve"> في « ف » : « إنّ حديثنا »</w:t>
            </w:r>
            <w:r>
              <w:rPr>
                <w:rtl/>
              </w:rPr>
              <w:t>.</w:t>
            </w:r>
          </w:p>
        </w:tc>
        <w:tc>
          <w:tcPr>
            <w:tcW w:w="4006" w:type="dxa"/>
          </w:tcPr>
          <w:p w:rsidR="00F73059" w:rsidRDefault="00F73059" w:rsidP="000C39D1">
            <w:pPr>
              <w:pStyle w:val="libFootnote0"/>
              <w:rPr>
                <w:rtl/>
              </w:rPr>
            </w:pPr>
            <w:r>
              <w:rPr>
                <w:rtl/>
              </w:rPr>
              <w:t>(12).</w:t>
            </w:r>
            <w:r w:rsidRPr="00132E65">
              <w:rPr>
                <w:rtl/>
              </w:rPr>
              <w:t xml:space="preserve"> في « بح ، بس » :</w:t>
            </w:r>
            <w:r>
              <w:rPr>
                <w:rtl/>
              </w:rPr>
              <w:t xml:space="preserve"> + </w:t>
            </w:r>
            <w:r w:rsidRPr="00132E65">
              <w:rPr>
                <w:rtl/>
              </w:rPr>
              <w:t>« مقرّب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3F498C">
      <w:pPr>
        <w:pStyle w:val="libNormal0"/>
        <w:tabs>
          <w:tab w:val="left" w:pos="3968"/>
        </w:tabs>
        <w:rPr>
          <w:rtl/>
          <w:lang w:bidi="fa-IR"/>
        </w:rPr>
      </w:pPr>
      <w:r w:rsidRPr="00132E65">
        <w:rPr>
          <w:rtl/>
          <w:lang w:bidi="fa-IR"/>
        </w:rPr>
        <w:t xml:space="preserve">يُخْرِجَهُ إِلى نَبِيٍّ غَيْرِهِ ، والْمُؤْمِنُ لَايَحْتَمِلُهُ حَتّى يُخْرِجَهُ إِلى مُؤْمِنٍ غَيْرِهِ ، فَهذَا مَعْنى قَوْلِ جَدِّي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w:t>
      </w:r>
    </w:p>
    <w:p w:rsidR="000C39D1" w:rsidRPr="00132E65" w:rsidRDefault="000C39D1" w:rsidP="000C39D1">
      <w:pPr>
        <w:pStyle w:val="libNormal"/>
        <w:rPr>
          <w:rtl/>
          <w:lang w:bidi="fa-IR"/>
        </w:rPr>
      </w:pPr>
      <w:r w:rsidRPr="003A22E7">
        <w:rPr>
          <w:rtl/>
        </w:rPr>
        <w:t>1057</w:t>
      </w:r>
      <w:r w:rsidRPr="004325D8">
        <w:rPr>
          <w:rStyle w:val="libBold2Char"/>
          <w:rtl/>
        </w:rPr>
        <w:t xml:space="preserve"> / 5.</w:t>
      </w:r>
      <w:r w:rsidRPr="00132E65">
        <w:rPr>
          <w:rtl/>
          <w:lang w:bidi="fa-IR"/>
        </w:rPr>
        <w:t xml:space="preserve"> أَحْمَدُ بْنُ مُحَمَّدٍ ، عَنْ مُحَمَّدِ بْنِ الْحُسَيْنِ </w:t>
      </w:r>
      <w:r>
        <w:rPr>
          <w:rStyle w:val="libFootnotenumChar"/>
          <w:rtl/>
        </w:rPr>
        <w:t>(2)</w:t>
      </w:r>
      <w:r w:rsidRPr="00132E65">
        <w:rPr>
          <w:rtl/>
          <w:lang w:bidi="fa-IR"/>
        </w:rPr>
        <w:t xml:space="preserve"> ، عَنْ مَنْصُورِ بْنِ الْعَبَّاسِ ، عَنْ صَفْوَانَ بْنِ يَحْيى ، عَنْ عَبْدِ اللهِ بْنِ مُسْكَانَ ، عَنْ مُحَمَّدِ بْنِ عَبْدِ الْخَالِقِ وأَبِي بَصِيرٍ ، قَالَ :</w:t>
      </w:r>
    </w:p>
    <w:p w:rsidR="000C39D1" w:rsidRPr="00132E65" w:rsidRDefault="000C39D1" w:rsidP="006D5F78">
      <w:pPr>
        <w:pStyle w:val="libNormal"/>
        <w:rPr>
          <w:rtl/>
          <w:lang w:bidi="fa-IR"/>
        </w:rPr>
      </w:pPr>
      <w:r w:rsidRPr="00132E65">
        <w:rPr>
          <w:rtl/>
          <w:lang w:bidi="fa-IR"/>
        </w:rPr>
        <w:t xml:space="preserve">قَالَ أَبُو عَبْدِ اللهِ </w:t>
      </w:r>
      <w:r w:rsidR="006D5F78" w:rsidRPr="00071CF9">
        <w:rPr>
          <w:rStyle w:val="libAlaemChar"/>
          <w:rtl/>
        </w:rPr>
        <w:t>عليه‌السلام</w:t>
      </w:r>
      <w:r w:rsidRPr="00132E65">
        <w:rPr>
          <w:rtl/>
          <w:lang w:bidi="fa-IR"/>
        </w:rPr>
        <w:t>: « يَا أَبَا مُحَمَّدٍ ، إِنَّ عِنْدَنَا</w:t>
      </w:r>
      <w:r>
        <w:rPr>
          <w:rtl/>
          <w:lang w:bidi="fa-IR"/>
        </w:rPr>
        <w:t xml:space="preserve"> - </w:t>
      </w:r>
      <w:r w:rsidRPr="00132E65">
        <w:rPr>
          <w:rtl/>
          <w:lang w:bidi="fa-IR"/>
        </w:rPr>
        <w:t>واللهِ</w:t>
      </w:r>
      <w:r>
        <w:rPr>
          <w:rtl/>
          <w:lang w:bidi="fa-IR"/>
        </w:rPr>
        <w:t xml:space="preserve"> - </w:t>
      </w:r>
      <w:r w:rsidRPr="00132E65">
        <w:rPr>
          <w:rtl/>
          <w:lang w:bidi="fa-IR"/>
        </w:rPr>
        <w:t xml:space="preserve">سِرّاً مِنْ سِرِّ اللهِ ، وعِلْماً مِنْ عِلْمِ اللهِ ، واللهِ مَا يَحْتَمِلُهُ مَلَكٌ مُقَرَّبٌ ، ولَانَبِيٌّ مُرْسَلٌ ، ولَامُؤْمِنٌ امْتَحَنَ اللهُ قَلْبَهُ لِلْإِيمَانِ ، واللهِ مَا كَلَّفَ اللهُ ذلِكَ </w:t>
      </w:r>
      <w:r>
        <w:rPr>
          <w:rStyle w:val="libFootnotenumChar"/>
          <w:rtl/>
        </w:rPr>
        <w:t>(3)</w:t>
      </w:r>
      <w:r w:rsidRPr="00132E65">
        <w:rPr>
          <w:rtl/>
          <w:lang w:bidi="fa-IR"/>
        </w:rPr>
        <w:t xml:space="preserve"> أَحَداً غَيْرَنَا ، ولَا</w:t>
      </w:r>
      <w:r>
        <w:rPr>
          <w:rFonts w:hint="cs"/>
          <w:rtl/>
          <w:lang w:bidi="fa-IR"/>
        </w:rPr>
        <w:t xml:space="preserve"> </w:t>
      </w:r>
      <w:r w:rsidRPr="00132E65">
        <w:rPr>
          <w:rtl/>
          <w:lang w:bidi="fa-IR"/>
        </w:rPr>
        <w:t xml:space="preserve">اسْتَعْبَدَ بِذلِكَ أَحَداً غَيْرَنَا </w:t>
      </w:r>
      <w:r>
        <w:rPr>
          <w:rStyle w:val="libFootnotenumChar"/>
          <w:rtl/>
        </w:rPr>
        <w:t>(4)</w:t>
      </w:r>
      <w:r w:rsidRPr="00132E65">
        <w:rPr>
          <w:rtl/>
          <w:lang w:bidi="fa-IR"/>
        </w:rPr>
        <w:t xml:space="preserve"> ، وإِنَّ </w:t>
      </w:r>
      <w:r>
        <w:rPr>
          <w:rStyle w:val="libFootnotenumChar"/>
          <w:rtl/>
        </w:rPr>
        <w:t>(5)</w:t>
      </w:r>
      <w:r w:rsidRPr="00132E65">
        <w:rPr>
          <w:rtl/>
          <w:lang w:bidi="fa-IR"/>
        </w:rPr>
        <w:t xml:space="preserve"> عِنْدَنَا سِرّاً مِنْ سِرِّ اللهِ ، وعِلْماً مِنْ عِلْمِ اللهِ ، أَمَرَنَا اللهُ بِتَبْلِيغِهِ ، فَبَلَّغْنَا </w:t>
      </w:r>
      <w:r>
        <w:rPr>
          <w:rStyle w:val="libFootnotenumChar"/>
          <w:rtl/>
        </w:rPr>
        <w:t>(6)</w:t>
      </w:r>
      <w:r w:rsidRPr="00132E65">
        <w:rPr>
          <w:rtl/>
          <w:lang w:bidi="fa-IR"/>
        </w:rPr>
        <w:t xml:space="preserve"> عَنِ اللهِ</w:t>
      </w:r>
      <w:r>
        <w:rPr>
          <w:rtl/>
          <w:lang w:bidi="fa-IR"/>
        </w:rPr>
        <w:t xml:space="preserve"> - </w:t>
      </w:r>
      <w:r w:rsidRPr="00132E65">
        <w:rPr>
          <w:rtl/>
          <w:lang w:bidi="fa-IR"/>
        </w:rPr>
        <w:t>عَزَّ وجَلَّ</w:t>
      </w:r>
      <w:r>
        <w:rPr>
          <w:rtl/>
          <w:lang w:bidi="fa-IR"/>
        </w:rPr>
        <w:t xml:space="preserve"> - </w:t>
      </w:r>
      <w:r w:rsidRPr="00132E65">
        <w:rPr>
          <w:rtl/>
          <w:lang w:bidi="fa-IR"/>
        </w:rPr>
        <w:t>مَا أَمَرَنَا بِتَبْلِيغِهِ ، فَلَمْ نَجِدْ لَهُ مَوْضِعاً ولَا</w:t>
      </w:r>
      <w:r>
        <w:rPr>
          <w:rFonts w:hint="cs"/>
          <w:rtl/>
          <w:lang w:bidi="fa-IR"/>
        </w:rPr>
        <w:t xml:space="preserve"> </w:t>
      </w:r>
      <w:r w:rsidRPr="00132E65">
        <w:rPr>
          <w:rtl/>
          <w:lang w:bidi="fa-IR"/>
        </w:rPr>
        <w:t xml:space="preserve">أَهْلاً ولَاحَمَّالَةً يَحْتَمِلُونَهُ ، حَتّى خَلَقَ اللهُ لِذلِكَ أَقْوَاماً خُلِقُوا </w:t>
      </w:r>
      <w:r>
        <w:rPr>
          <w:rStyle w:val="libFootnotenumChar"/>
          <w:rtl/>
        </w:rPr>
        <w:t>(7)</w:t>
      </w:r>
      <w:r w:rsidRPr="00132E65">
        <w:rPr>
          <w:rtl/>
          <w:lang w:bidi="fa-IR"/>
        </w:rPr>
        <w:t xml:space="preserve"> مِنْ طِينَةٍ خُلِقَ مِنْهَا مُحَمَّدٌ وآلُهُ </w:t>
      </w:r>
      <w:r>
        <w:rPr>
          <w:rStyle w:val="libFootnotenumChar"/>
          <w:rtl/>
        </w:rPr>
        <w:t>(8)</w:t>
      </w:r>
      <w:r w:rsidRPr="00132E65">
        <w:rPr>
          <w:rtl/>
          <w:lang w:bidi="fa-IR"/>
        </w:rPr>
        <w:t xml:space="preserve"> وذُرِّيَّتُهُ </w:t>
      </w:r>
      <w:r w:rsidRPr="00071CF9">
        <w:rPr>
          <w:rStyle w:val="libAlaemChar"/>
          <w:rtl/>
        </w:rPr>
        <w:t>عليهم‌السلام</w:t>
      </w:r>
      <w:r w:rsidRPr="00132E65">
        <w:rPr>
          <w:rtl/>
          <w:lang w:bidi="fa-IR"/>
        </w:rPr>
        <w:t xml:space="preserve"> ، ومِنْ نُورٍ خَلَقَ اللهُ مِنْهُ مُحَمَّداً وذُرِّيَّتَهُ ، وصَنَعَهُمْ بِفَضْلِ صُنْعِ رَحْمَتِهِ الَّتِي صَنَعَ مِنْهَا‌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9D1ACE">
        <w:rPr>
          <w:rStyle w:val="libFootnoteBoldChar"/>
          <w:rtl/>
        </w:rPr>
        <w:t>الوافي</w:t>
      </w:r>
      <w:r w:rsidRPr="00132E65">
        <w:rPr>
          <w:rtl/>
        </w:rPr>
        <w:t xml:space="preserve"> ، ج 3 ، ص 645 ، ح 1238.</w:t>
      </w:r>
    </w:p>
    <w:p w:rsidR="000C39D1" w:rsidRPr="00132E65" w:rsidRDefault="000C39D1" w:rsidP="000C39D1">
      <w:pPr>
        <w:pStyle w:val="libFootnote0"/>
        <w:rPr>
          <w:rtl/>
          <w:lang w:bidi="fa-IR"/>
        </w:rPr>
      </w:pPr>
      <w:r>
        <w:rPr>
          <w:rtl/>
        </w:rPr>
        <w:t>(2).</w:t>
      </w:r>
      <w:r w:rsidRPr="00132E65">
        <w:rPr>
          <w:rtl/>
        </w:rPr>
        <w:t xml:space="preserve"> رواية محمّد بن الحسين</w:t>
      </w:r>
      <w:r>
        <w:rPr>
          <w:rtl/>
        </w:rPr>
        <w:t xml:space="preserve"> - </w:t>
      </w:r>
      <w:r w:rsidRPr="00132E65">
        <w:rPr>
          <w:rtl/>
        </w:rPr>
        <w:t>وهو ابن أبي الخطّاب كما هو مقتضى الطبقة</w:t>
      </w:r>
      <w:r>
        <w:rPr>
          <w:rtl/>
        </w:rPr>
        <w:t xml:space="preserve"> - </w:t>
      </w:r>
      <w:r w:rsidRPr="00132E65">
        <w:rPr>
          <w:rtl/>
        </w:rPr>
        <w:t xml:space="preserve">عن صفوان بن يحيى ، مع الواسطة ، بعيدة جدّاً ؛ فقد روى محمّد بن الحسين جميع كتب صفوان ، وأكثر من الرواية عنه في الأسناد. راجع : </w:t>
      </w:r>
      <w:r w:rsidRPr="003A22E7">
        <w:rPr>
          <w:rtl/>
        </w:rPr>
        <w:t>رجال النجاشي</w:t>
      </w:r>
      <w:r w:rsidRPr="00132E65">
        <w:rPr>
          <w:rtl/>
        </w:rPr>
        <w:t xml:space="preserve"> ، ص 197 ، الرقم 524 ؛ </w:t>
      </w:r>
      <w:r w:rsidRPr="003A22E7">
        <w:rPr>
          <w:rtl/>
        </w:rPr>
        <w:t>الفهرست</w:t>
      </w:r>
      <w:r w:rsidRPr="00132E65">
        <w:rPr>
          <w:rtl/>
        </w:rPr>
        <w:t xml:space="preserve"> للطوسي ، 341 ، الرقم 352 ؛ </w:t>
      </w:r>
      <w:r w:rsidRPr="003A22E7">
        <w:rPr>
          <w:rtl/>
        </w:rPr>
        <w:t>معجم رجال الحديث</w:t>
      </w:r>
      <w:r w:rsidRPr="00132E65">
        <w:rPr>
          <w:rtl/>
        </w:rPr>
        <w:t xml:space="preserve"> ، ج 15 ، ص 408</w:t>
      </w:r>
      <w:r>
        <w:rPr>
          <w:rtl/>
        </w:rPr>
        <w:t xml:space="preserve"> - </w:t>
      </w:r>
      <w:r w:rsidRPr="00132E65">
        <w:rPr>
          <w:rtl/>
        </w:rPr>
        <w:t>412 ؛ وص 434.</w:t>
      </w:r>
    </w:p>
    <w:p w:rsidR="000C39D1" w:rsidRPr="00132E65" w:rsidRDefault="000C39D1" w:rsidP="000C39D1">
      <w:pPr>
        <w:pStyle w:val="libFootnote0"/>
        <w:rPr>
          <w:rtl/>
          <w:lang w:bidi="fa-IR"/>
        </w:rPr>
      </w:pPr>
      <w:r w:rsidRPr="0046781C">
        <w:rPr>
          <w:rtl/>
        </w:rPr>
        <w:t>وقد استظهرنا سابقاً وقوع التصحيف في روايات أحمد بن محمّد</w:t>
      </w:r>
      <w:r>
        <w:rPr>
          <w:rtl/>
        </w:rPr>
        <w:t xml:space="preserve"> - </w:t>
      </w:r>
      <w:r w:rsidRPr="0046781C">
        <w:rPr>
          <w:rtl/>
        </w:rPr>
        <w:t>شيخ المصنّف</w:t>
      </w:r>
      <w:r>
        <w:rPr>
          <w:rtl/>
        </w:rPr>
        <w:t xml:space="preserve"> - </w:t>
      </w:r>
      <w:r w:rsidRPr="0046781C">
        <w:rPr>
          <w:rtl/>
        </w:rPr>
        <w:t>عن محمّد بن الحسين ، وأنّ الصواب في هذه الموارد هو « محمّد بن الحسن » والظاهر أنّ ذاك الحكم جارٍ في ما نحن فيه أيضاً. انظر ما قدّمناه ذيل ح 743.</w:t>
      </w:r>
    </w:p>
    <w:tbl>
      <w:tblPr>
        <w:tblStyle w:val="TableGrid"/>
        <w:bidiVisual/>
        <w:tblW w:w="0" w:type="auto"/>
        <w:tblLook w:val="04A0" w:firstRow="1" w:lastRow="0" w:firstColumn="1" w:lastColumn="0" w:noHBand="0" w:noVBand="1"/>
      </w:tblPr>
      <w:tblGrid>
        <w:gridCol w:w="4006"/>
        <w:gridCol w:w="4006"/>
      </w:tblGrid>
      <w:tr w:rsidR="003F498C" w:rsidTr="003F498C">
        <w:tc>
          <w:tcPr>
            <w:tcW w:w="4006" w:type="dxa"/>
          </w:tcPr>
          <w:p w:rsidR="003F498C" w:rsidRDefault="003F498C" w:rsidP="000C39D1">
            <w:pPr>
              <w:pStyle w:val="libFootnote0"/>
              <w:rPr>
                <w:rtl/>
              </w:rPr>
            </w:pPr>
            <w:r>
              <w:rPr>
                <w:rtl/>
              </w:rPr>
              <w:t>(3).</w:t>
            </w:r>
            <w:r w:rsidRPr="00132E65">
              <w:rPr>
                <w:rtl/>
              </w:rPr>
              <w:t xml:space="preserve"> في حاشية « ف » : « بذلك »</w:t>
            </w:r>
            <w:r>
              <w:rPr>
                <w:rtl/>
              </w:rPr>
              <w:t>.</w:t>
            </w:r>
          </w:p>
        </w:tc>
        <w:tc>
          <w:tcPr>
            <w:tcW w:w="4006" w:type="dxa"/>
          </w:tcPr>
          <w:p w:rsidR="003F498C" w:rsidRDefault="003F498C" w:rsidP="000C39D1">
            <w:pPr>
              <w:pStyle w:val="libFootnote0"/>
              <w:rPr>
                <w:rtl/>
              </w:rPr>
            </w:pPr>
            <w:r>
              <w:rPr>
                <w:rtl/>
              </w:rPr>
              <w:t>(4). في « بس »: - « ولااستعبد بذلك أحداً غيرنا</w:t>
            </w:r>
            <w:r w:rsidRPr="00132E65">
              <w:rPr>
                <w:rtl/>
              </w:rPr>
              <w:t>»</w:t>
            </w:r>
            <w:r>
              <w:rPr>
                <w:rtl/>
              </w:rPr>
              <w:t>.</w:t>
            </w:r>
          </w:p>
        </w:tc>
      </w:tr>
    </w:tbl>
    <w:p w:rsidR="000C39D1" w:rsidRPr="00132E65" w:rsidRDefault="000C39D1" w:rsidP="000C39D1">
      <w:pPr>
        <w:pStyle w:val="libFootnote0"/>
        <w:rPr>
          <w:rtl/>
          <w:lang w:bidi="fa-IR"/>
        </w:rPr>
      </w:pPr>
      <w:r>
        <w:rPr>
          <w:rtl/>
        </w:rPr>
        <w:t>(5).</w:t>
      </w:r>
      <w:r w:rsidRPr="00132E65">
        <w:rPr>
          <w:rtl/>
        </w:rPr>
        <w:t xml:space="preserve"> في « ض » : « فإنّ »</w:t>
      </w:r>
      <w:r>
        <w:rPr>
          <w:rtl/>
        </w:rPr>
        <w:t>.</w:t>
      </w:r>
    </w:p>
    <w:p w:rsidR="000C39D1" w:rsidRPr="00132E65" w:rsidRDefault="000C39D1" w:rsidP="008C3E98">
      <w:pPr>
        <w:pStyle w:val="libFootnote0"/>
        <w:rPr>
          <w:rtl/>
          <w:lang w:bidi="fa-IR"/>
        </w:rPr>
      </w:pPr>
      <w:r>
        <w:rPr>
          <w:rtl/>
        </w:rPr>
        <w:t>(6).</w:t>
      </w:r>
      <w:r w:rsidRPr="00132E65">
        <w:rPr>
          <w:rtl/>
        </w:rPr>
        <w:t xml:space="preserve"> في « ب ، ج ، بر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فبلّغناه »</w:t>
      </w:r>
      <w:r>
        <w:rPr>
          <w:rtl/>
        </w:rPr>
        <w:t>.</w:t>
      </w:r>
      <w:r w:rsidRPr="00132E65">
        <w:rPr>
          <w:rtl/>
        </w:rPr>
        <w:t xml:space="preserve"> قال في </w:t>
      </w:r>
      <w:r w:rsidRPr="003A22E7">
        <w:rPr>
          <w:rtl/>
        </w:rPr>
        <w:t>المرآة</w:t>
      </w:r>
      <w:r w:rsidRPr="00132E65">
        <w:rPr>
          <w:rtl/>
        </w:rPr>
        <w:t xml:space="preserve"> : « كذا في أكثر النسخ ، فقوله : « ما أمرنا » بدل من الضمير. وفي بعض النسخ</w:t>
      </w:r>
      <w:r>
        <w:rPr>
          <w:rtl/>
        </w:rPr>
        <w:t xml:space="preserve"> - </w:t>
      </w:r>
      <w:r w:rsidRPr="00132E65">
        <w:rPr>
          <w:rtl/>
        </w:rPr>
        <w:t>كما في غيره من الكتب</w:t>
      </w:r>
      <w:r>
        <w:rPr>
          <w:rtl/>
        </w:rPr>
        <w:t xml:space="preserve"> - </w:t>
      </w:r>
      <w:r w:rsidRPr="00132E65">
        <w:rPr>
          <w:rtl/>
        </w:rPr>
        <w:t>بدون الضمير ، وفي بعض الكتب ليس : ما امرنا بتبليغه »</w:t>
      </w:r>
      <w:r>
        <w:rPr>
          <w:rtl/>
        </w:rPr>
        <w:t>.</w:t>
      </w:r>
      <w:r w:rsidR="008C3E98">
        <w:rPr>
          <w:rFonts w:hint="cs"/>
          <w:rtl/>
        </w:rPr>
        <w:t xml:space="preserve">                               </w:t>
      </w:r>
      <w:r w:rsidR="00936037">
        <w:rPr>
          <w:rFonts w:hint="cs"/>
          <w:rtl/>
        </w:rPr>
        <w:t xml:space="preserve">              </w:t>
      </w:r>
      <w:r w:rsidR="008C3E98">
        <w:rPr>
          <w:rFonts w:hint="cs"/>
          <w:rtl/>
        </w:rPr>
        <w:t xml:space="preserve">   </w:t>
      </w:r>
      <w:r>
        <w:rPr>
          <w:rtl/>
        </w:rPr>
        <w:t>(7).</w:t>
      </w:r>
      <w:r w:rsidRPr="00132E65">
        <w:rPr>
          <w:rtl/>
        </w:rPr>
        <w:t xml:space="preserve"> في شرح المازندراني </w:t>
      </w:r>
      <w:r>
        <w:rPr>
          <w:rtl/>
        </w:rPr>
        <w:t xml:space="preserve">: - </w:t>
      </w:r>
      <w:r w:rsidRPr="00132E65">
        <w:rPr>
          <w:rtl/>
        </w:rPr>
        <w:t>« خلقوا »</w:t>
      </w:r>
      <w:r>
        <w:rPr>
          <w:rtl/>
        </w:rPr>
        <w:t>.</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وآله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مُحَمَّداً وذُرِّيَّتَهُ ، فَبَلَّغْنَا عَنِ اللهِ مَا أَمَرَنَا بِتَبْلِيغِهِ ، فَقَبِلُوهُ واحْتَمَلُوا ذلِكَ ، فَبَلَغَهُمْ ذلِكَ </w:t>
      </w:r>
      <w:r>
        <w:rPr>
          <w:rStyle w:val="libFootnotenumChar"/>
          <w:rtl/>
        </w:rPr>
        <w:t>(1)</w:t>
      </w:r>
      <w:r w:rsidRPr="00132E65">
        <w:rPr>
          <w:rtl/>
          <w:lang w:bidi="fa-IR"/>
        </w:rPr>
        <w:t xml:space="preserve"> عَنَّا ، فَقَبِلُوهُ واحْتَمَلُوهُ ، وبَلَغَهُمْ ذِكْرُنَا ، فَمَالَتْ قُلُوبُهُمْ إِلى مَعْرِفَتِنَا وحَدِيثِنَا ، فَلَوْ لَا أَنَّهُمْ خُلِقُوا مِنْ هذَا لَمَا كَانُوا كَذلِكَ ؛ لَاوَ اللهِ ، مَا احْتَمَلُوهُ »</w:t>
      </w:r>
      <w:r>
        <w:rPr>
          <w:rtl/>
          <w:lang w:bidi="fa-IR"/>
        </w:rPr>
        <w:t>.</w:t>
      </w:r>
    </w:p>
    <w:p w:rsidR="000C39D1" w:rsidRPr="00132E65" w:rsidRDefault="000C39D1" w:rsidP="000C39D1">
      <w:pPr>
        <w:pStyle w:val="libNormal"/>
        <w:rPr>
          <w:rtl/>
          <w:lang w:bidi="fa-IR"/>
        </w:rPr>
      </w:pPr>
      <w:r w:rsidRPr="00132E65">
        <w:rPr>
          <w:rtl/>
          <w:lang w:bidi="fa-IR"/>
        </w:rPr>
        <w:t xml:space="preserve">ثُمَّ قَالَ : « إِنَّ اللهَ خَلَقَ أَقْوَاماً لِجَهَنَّمَ والنَّارِ ، فَأَمَرَنَا أَنْ نُبَلِّغَهُمْ كَمَا بَلَّغْنَاهُمْ ، وَاشْمَأَزُّوا </w:t>
      </w:r>
      <w:r>
        <w:rPr>
          <w:rStyle w:val="libFootnotenumChar"/>
          <w:rtl/>
        </w:rPr>
        <w:t>(2)</w:t>
      </w:r>
      <w:r w:rsidRPr="00132E65">
        <w:rPr>
          <w:rtl/>
          <w:lang w:bidi="fa-IR"/>
        </w:rPr>
        <w:t xml:space="preserve"> مِنْ ذلِكَ ، ونَفَرَتْ قُلُوبُهُمْ ، ورَدُّوهُ عَلَيْنَا </w:t>
      </w:r>
      <w:r>
        <w:rPr>
          <w:rStyle w:val="libFootnotenumChar"/>
          <w:rtl/>
        </w:rPr>
        <w:t>(3)</w:t>
      </w:r>
      <w:r w:rsidRPr="00132E65">
        <w:rPr>
          <w:rtl/>
          <w:lang w:bidi="fa-IR"/>
        </w:rPr>
        <w:t xml:space="preserve"> ولَمْ يَحْتَمِلُوهُ ، وكَذَّبُوا بِهِ ، وَقَالُوا : سَاحِرٌ كَذَّابٌ ؛ فَطَبَعَ اللهُ عَلى قُلُوبِهِمْ ، وأَنْسَاهُمْ ذلِكَ ، ثُمَّ أَطْلَقَ اللهُ لِسَانَهُمْ بِبَعْضِ الْحَقِّ ، فَهُمْ يَنْطِقُونَ بِهِ وقُلُوبُهُمْ مُنْكِرَةٌ ؛ لِيَكُونَ </w:t>
      </w:r>
      <w:r>
        <w:rPr>
          <w:rStyle w:val="libFootnotenumChar"/>
          <w:rtl/>
        </w:rPr>
        <w:t>(4)</w:t>
      </w:r>
      <w:r w:rsidRPr="00132E65">
        <w:rPr>
          <w:rtl/>
          <w:lang w:bidi="fa-IR"/>
        </w:rPr>
        <w:t xml:space="preserve"> ذلِكَ دَفْعاً عَنْ أَوْلِيَائِهِ وأَهْلِ طَاعَتِهِ ؛ ولَوْ لَاذلِكَ مَا عُبِدَ اللهُ فِي أَرْضِهِ ، فَأَمَرَنَا بِالْكَفِّ عَنْهُمْ والسَّتْرِ </w:t>
      </w:r>
      <w:r>
        <w:rPr>
          <w:rStyle w:val="libFootnotenumChar"/>
          <w:rtl/>
        </w:rPr>
        <w:t>(5)</w:t>
      </w:r>
      <w:r w:rsidRPr="00132E65">
        <w:rPr>
          <w:rtl/>
          <w:lang w:bidi="fa-IR"/>
        </w:rPr>
        <w:t xml:space="preserve"> والْكِتْمَانِ ، فَاكْتُمُوا عَمَّنْ أَمَرَ اللهُ بِالْكَفِّ عَنْهُ ، واسْتُرُوا عَمَّنْ </w:t>
      </w:r>
      <w:r>
        <w:rPr>
          <w:rStyle w:val="libFootnotenumChar"/>
          <w:rtl/>
        </w:rPr>
        <w:t>(6)</w:t>
      </w:r>
      <w:r w:rsidRPr="00132E65">
        <w:rPr>
          <w:rtl/>
          <w:lang w:bidi="fa-IR"/>
        </w:rPr>
        <w:t xml:space="preserve"> أَمَرَ اللهُ بِالسَّتْرِ والْكِتْمَانِ عَنْهُ »</w:t>
      </w:r>
      <w:r>
        <w:rPr>
          <w:rtl/>
          <w:lang w:bidi="fa-IR"/>
        </w:rPr>
        <w:t>.</w:t>
      </w:r>
    </w:p>
    <w:p w:rsidR="000C39D1" w:rsidRPr="00132E65" w:rsidRDefault="000C39D1" w:rsidP="000C39D1">
      <w:pPr>
        <w:pStyle w:val="libNormal"/>
        <w:rPr>
          <w:rtl/>
          <w:lang w:bidi="fa-IR"/>
        </w:rPr>
      </w:pPr>
      <w:r w:rsidRPr="00132E65">
        <w:rPr>
          <w:rtl/>
          <w:lang w:bidi="fa-IR"/>
        </w:rPr>
        <w:t xml:space="preserve">قَالَ : ثُمَّ رَفَعَ يَدَهُ وبَكى ، وقَالَ : « اللهُمَّ ، إِنَّ </w:t>
      </w:r>
      <w:r>
        <w:rPr>
          <w:rStyle w:val="libFootnotenumChar"/>
          <w:rtl/>
        </w:rPr>
        <w:t>(7)</w:t>
      </w:r>
      <w:r w:rsidRPr="00132E65">
        <w:rPr>
          <w:rtl/>
          <w:lang w:bidi="fa-IR"/>
        </w:rPr>
        <w:t xml:space="preserve"> هؤُلَاءِ لَشِرْذِمَةٌ </w:t>
      </w:r>
      <w:r>
        <w:rPr>
          <w:rStyle w:val="libFootnotenumChar"/>
          <w:rtl/>
        </w:rPr>
        <w:t>(8)</w:t>
      </w:r>
      <w:r w:rsidRPr="00132E65">
        <w:rPr>
          <w:rtl/>
          <w:lang w:bidi="fa-IR"/>
        </w:rPr>
        <w:t xml:space="preserve"> قَلِيلُونَ ، فَاجْعَلْ مَحْيَانَا مَحْيَاهُمْ ، ومَمَاتَنَا مَمَاتَهُمْ ، ولَاتُسَلِّطْ عَلَيْهِمْ عَدُوّاً لَكَ ؛ فَتُفْجِعَنَا </w:t>
      </w:r>
      <w:r>
        <w:rPr>
          <w:rStyle w:val="libFootnotenumChar"/>
          <w:rtl/>
        </w:rPr>
        <w:t>(9)</w:t>
      </w:r>
      <w:r w:rsidRPr="00132E65">
        <w:rPr>
          <w:rtl/>
          <w:lang w:bidi="fa-IR"/>
        </w:rPr>
        <w:t xml:space="preserve"> بِهِمْ ؛ فَإِنَّكَ إِنْ أَفْجَعْتَنَا بِهِمْ لَمْ تُعْبَدْ أَبَداً فِي أَرْضِكَ ، وصَلَّى اللهُ عَلى مُحَمَّدٍ وآلِهِ </w:t>
      </w:r>
      <w:r>
        <w:rPr>
          <w:rStyle w:val="libFootnotenumChar"/>
          <w:rtl/>
        </w:rPr>
        <w:t>(10)</w:t>
      </w:r>
      <w:r w:rsidRPr="00132E65">
        <w:rPr>
          <w:rtl/>
          <w:lang w:bidi="fa-IR"/>
        </w:rPr>
        <w:t xml:space="preserve"> وسَلَّمَ تَسْلِيماً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فبلغهم ذلك ، إمّا مطاوع « بلّغنا » ذكر للتأكيد. وإمّا إشارة إلى من بلّغه عنهم بوساطة غيرهم من غيرمشافهة لهم معه »</w:t>
      </w:r>
      <w:r>
        <w:rPr>
          <w:rtl/>
        </w:rPr>
        <w:t>.</w:t>
      </w:r>
    </w:p>
    <w:p w:rsidR="000C39D1" w:rsidRPr="00132E65" w:rsidRDefault="000C39D1" w:rsidP="000C39D1">
      <w:pPr>
        <w:pStyle w:val="libFootnote0"/>
        <w:rPr>
          <w:rtl/>
          <w:lang w:bidi="fa-IR"/>
        </w:rPr>
      </w:pPr>
      <w:r>
        <w:rPr>
          <w:rtl/>
        </w:rPr>
        <w:t>(2).</w:t>
      </w:r>
      <w:r w:rsidRPr="00132E65">
        <w:rPr>
          <w:rtl/>
        </w:rPr>
        <w:t xml:space="preserve"> في « ف » : « فاشمأزّوا »</w:t>
      </w:r>
      <w:r>
        <w:rPr>
          <w:rtl/>
        </w:rPr>
        <w:t>.</w:t>
      </w:r>
      <w:r w:rsidRPr="00132E65">
        <w:rPr>
          <w:rtl/>
        </w:rPr>
        <w:t xml:space="preserve"> في </w:t>
      </w:r>
      <w:r w:rsidRPr="009D1ACE">
        <w:rPr>
          <w:rStyle w:val="libFootnoteBoldChar"/>
          <w:rtl/>
        </w:rPr>
        <w:t>الوافي</w:t>
      </w:r>
      <w:r w:rsidRPr="00132E65">
        <w:rPr>
          <w:rtl/>
        </w:rPr>
        <w:t xml:space="preserve"> : « وفي الكلام حذف ، يعني : فبلّغناهم ، فما قبلوه واشمأزّوا »</w:t>
      </w:r>
      <w:r>
        <w:rPr>
          <w:rtl/>
        </w:rPr>
        <w:t>.</w:t>
      </w:r>
    </w:p>
    <w:tbl>
      <w:tblPr>
        <w:tblStyle w:val="TableGrid"/>
        <w:bidiVisual/>
        <w:tblW w:w="0" w:type="auto"/>
        <w:tblLook w:val="04A0" w:firstRow="1" w:lastRow="0" w:firstColumn="1" w:lastColumn="0" w:noHBand="0" w:noVBand="1"/>
      </w:tblPr>
      <w:tblGrid>
        <w:gridCol w:w="4006"/>
        <w:gridCol w:w="4006"/>
      </w:tblGrid>
      <w:tr w:rsidR="002D1D7C" w:rsidTr="002D1D7C">
        <w:tc>
          <w:tcPr>
            <w:tcW w:w="4006" w:type="dxa"/>
          </w:tcPr>
          <w:p w:rsidR="002D1D7C" w:rsidRDefault="002D1D7C" w:rsidP="000C39D1">
            <w:pPr>
              <w:pStyle w:val="libFootnote0"/>
              <w:rPr>
                <w:rtl/>
              </w:rPr>
            </w:pPr>
            <w:r>
              <w:rPr>
                <w:rtl/>
              </w:rPr>
              <w:t>(3).</w:t>
            </w:r>
            <w:r w:rsidRPr="00132E65">
              <w:rPr>
                <w:rtl/>
              </w:rPr>
              <w:t xml:space="preserve"> في « بح » </w:t>
            </w:r>
            <w:r>
              <w:rPr>
                <w:rtl/>
              </w:rPr>
              <w:t xml:space="preserve">: - </w:t>
            </w:r>
            <w:r w:rsidRPr="00132E65">
              <w:rPr>
                <w:rtl/>
              </w:rPr>
              <w:t>« علينا »</w:t>
            </w:r>
            <w:r>
              <w:rPr>
                <w:rtl/>
              </w:rPr>
              <w:t>.</w:t>
            </w:r>
          </w:p>
        </w:tc>
        <w:tc>
          <w:tcPr>
            <w:tcW w:w="4006" w:type="dxa"/>
          </w:tcPr>
          <w:p w:rsidR="002D1D7C" w:rsidRDefault="002D1D7C" w:rsidP="000C39D1">
            <w:pPr>
              <w:pStyle w:val="libFootnote0"/>
              <w:rPr>
                <w:rtl/>
              </w:rPr>
            </w:pPr>
            <w:r>
              <w:rPr>
                <w:rtl/>
              </w:rPr>
              <w:t>(4).</w:t>
            </w:r>
            <w:r w:rsidRPr="00132E65">
              <w:rPr>
                <w:rtl/>
              </w:rPr>
              <w:t xml:space="preserve"> في « بر » : « ولتكون »</w:t>
            </w:r>
            <w:r>
              <w:rPr>
                <w:rtl/>
              </w:rPr>
              <w:t>.</w:t>
            </w:r>
          </w:p>
        </w:tc>
      </w:tr>
    </w:tbl>
    <w:p w:rsidR="000C39D1" w:rsidRPr="00132E65" w:rsidRDefault="000C39D1" w:rsidP="000C39D1">
      <w:pPr>
        <w:pStyle w:val="libFootnote0"/>
        <w:rPr>
          <w:rtl/>
          <w:lang w:bidi="fa-IR"/>
        </w:rPr>
      </w:pPr>
      <w:r>
        <w:rPr>
          <w:rtl/>
        </w:rPr>
        <w:t>(5).</w:t>
      </w:r>
      <w:r w:rsidRPr="00132E65">
        <w:rPr>
          <w:rtl/>
        </w:rPr>
        <w:t xml:space="preserve"> في « بح ، بر ، بس » وحاشية « ف » و</w:t>
      </w:r>
      <w:r w:rsidRPr="009D1ACE">
        <w:rPr>
          <w:rStyle w:val="libFootnoteBoldChar"/>
          <w:rtl/>
        </w:rPr>
        <w:t>الوافي</w:t>
      </w:r>
      <w:r w:rsidRPr="00132E65">
        <w:rPr>
          <w:rtl/>
        </w:rPr>
        <w:t xml:space="preserve"> : « السرّ »</w:t>
      </w:r>
      <w:r>
        <w:rPr>
          <w:rtl/>
        </w:rPr>
        <w:t>.</w:t>
      </w:r>
    </w:p>
    <w:tbl>
      <w:tblPr>
        <w:tblStyle w:val="TableGrid"/>
        <w:bidiVisual/>
        <w:tblW w:w="0" w:type="auto"/>
        <w:tblLook w:val="04A0" w:firstRow="1" w:lastRow="0" w:firstColumn="1" w:lastColumn="0" w:noHBand="0" w:noVBand="1"/>
      </w:tblPr>
      <w:tblGrid>
        <w:gridCol w:w="4006"/>
        <w:gridCol w:w="4006"/>
      </w:tblGrid>
      <w:tr w:rsidR="002D1D7C" w:rsidTr="002D1D7C">
        <w:tc>
          <w:tcPr>
            <w:tcW w:w="4006" w:type="dxa"/>
          </w:tcPr>
          <w:p w:rsidR="002D1D7C" w:rsidRDefault="002D1D7C" w:rsidP="000C39D1">
            <w:pPr>
              <w:pStyle w:val="libFootnote0"/>
              <w:rPr>
                <w:rtl/>
                <w:lang w:bidi="fa-IR"/>
              </w:rPr>
            </w:pPr>
            <w:r>
              <w:rPr>
                <w:rtl/>
              </w:rPr>
              <w:t>(6).</w:t>
            </w:r>
            <w:r w:rsidRPr="00132E65">
              <w:rPr>
                <w:rtl/>
              </w:rPr>
              <w:t xml:space="preserve"> في « ف » : « عمّا »</w:t>
            </w:r>
            <w:r>
              <w:rPr>
                <w:rtl/>
              </w:rPr>
              <w:t>.</w:t>
            </w:r>
          </w:p>
        </w:tc>
        <w:tc>
          <w:tcPr>
            <w:tcW w:w="4006" w:type="dxa"/>
          </w:tcPr>
          <w:p w:rsidR="002D1D7C" w:rsidRDefault="002D1D7C" w:rsidP="000C39D1">
            <w:pPr>
              <w:pStyle w:val="libFootnote0"/>
              <w:rPr>
                <w:rtl/>
                <w:lang w:bidi="fa-IR"/>
              </w:rPr>
            </w:pPr>
            <w:r>
              <w:rPr>
                <w:rtl/>
              </w:rPr>
              <w:t>(7).</w:t>
            </w:r>
            <w:r w:rsidRPr="00132E65">
              <w:rPr>
                <w:rtl/>
              </w:rPr>
              <w:t xml:space="preserve"> في « ب » </w:t>
            </w:r>
            <w:r>
              <w:rPr>
                <w:rtl/>
              </w:rPr>
              <w:t xml:space="preserve">: - </w:t>
            </w:r>
            <w:r w:rsidRPr="00132E65">
              <w:rPr>
                <w:rtl/>
              </w:rPr>
              <w:t>« إنّ »</w:t>
            </w:r>
            <w:r>
              <w:rPr>
                <w:rtl/>
              </w:rPr>
              <w:t>.</w:t>
            </w:r>
          </w:p>
        </w:tc>
      </w:tr>
    </w:tbl>
    <w:p w:rsidR="000C39D1" w:rsidRPr="00132E65" w:rsidRDefault="000C39D1" w:rsidP="000C39D1">
      <w:pPr>
        <w:pStyle w:val="libFootnote0"/>
        <w:rPr>
          <w:rtl/>
          <w:lang w:bidi="fa-IR"/>
        </w:rPr>
      </w:pPr>
      <w:r>
        <w:rPr>
          <w:rtl/>
        </w:rPr>
        <w:t>(8).</w:t>
      </w:r>
      <w:r w:rsidRPr="00132E65">
        <w:rPr>
          <w:rtl/>
        </w:rPr>
        <w:t xml:space="preserve"> قال الجوهري : « الشِرْذِمَة : الطائفة من الناس »</w:t>
      </w:r>
      <w:r>
        <w:rPr>
          <w:rtl/>
        </w:rPr>
        <w:t>.</w:t>
      </w:r>
      <w:r w:rsidRPr="00132E65">
        <w:rPr>
          <w:rtl/>
        </w:rPr>
        <w:t xml:space="preserve"> وقال الراغب : « الشرذمة : الجماعة المنقطعة »</w:t>
      </w:r>
      <w:r>
        <w:rPr>
          <w:rtl/>
        </w:rPr>
        <w:t>.</w:t>
      </w:r>
      <w:r w:rsidRPr="00132E65">
        <w:rPr>
          <w:rtl/>
        </w:rPr>
        <w:t xml:space="preserve"> راجع : </w:t>
      </w:r>
      <w:r w:rsidRPr="003A22E7">
        <w:rPr>
          <w:rtl/>
        </w:rPr>
        <w:t>الصحاح</w:t>
      </w:r>
      <w:r w:rsidRPr="00132E65">
        <w:rPr>
          <w:rtl/>
        </w:rPr>
        <w:t xml:space="preserve"> ، ج 5 ، ص 1960 ؛ </w:t>
      </w:r>
      <w:r w:rsidRPr="003A22E7">
        <w:rPr>
          <w:rtl/>
        </w:rPr>
        <w:t>المفردات</w:t>
      </w:r>
      <w:r w:rsidRPr="00132E65">
        <w:rPr>
          <w:rtl/>
        </w:rPr>
        <w:t xml:space="preserve"> للراغب ، ص 450 ( شرذم )</w:t>
      </w:r>
      <w:r>
        <w:rPr>
          <w:rtl/>
        </w:rPr>
        <w:t>.</w:t>
      </w:r>
    </w:p>
    <w:p w:rsidR="000C39D1" w:rsidRPr="00132E65" w:rsidRDefault="000C39D1" w:rsidP="000C39D1">
      <w:pPr>
        <w:pStyle w:val="libFootnote0"/>
        <w:rPr>
          <w:rtl/>
          <w:lang w:bidi="fa-IR"/>
        </w:rPr>
      </w:pPr>
      <w:r>
        <w:rPr>
          <w:rtl/>
        </w:rPr>
        <w:t>(9).</w:t>
      </w:r>
      <w:r w:rsidRPr="00132E65">
        <w:rPr>
          <w:rtl/>
        </w:rPr>
        <w:t xml:space="preserve"> في « ض » : « فتفجّعنا »</w:t>
      </w:r>
      <w:r>
        <w:rPr>
          <w:rtl/>
        </w:rPr>
        <w:t>.</w:t>
      </w:r>
      <w:r w:rsidRPr="00132E65">
        <w:rPr>
          <w:rtl/>
        </w:rPr>
        <w:t xml:space="preserve"> وفي « ج ، بس ، بف » : « فيفجِعنا »</w:t>
      </w:r>
      <w:r>
        <w:rPr>
          <w:rtl/>
        </w:rPr>
        <w:t>.</w:t>
      </w:r>
      <w:r w:rsidRPr="00132E65">
        <w:rPr>
          <w:rtl/>
        </w:rPr>
        <w:t xml:space="preserve"> </w:t>
      </w:r>
      <w:r>
        <w:rPr>
          <w:rtl/>
        </w:rPr>
        <w:t>و «</w:t>
      </w:r>
      <w:r w:rsidRPr="00132E65">
        <w:rPr>
          <w:rtl/>
        </w:rPr>
        <w:t xml:space="preserve"> الإفجاع » : الإيجاع ؛ من الفَجْع ، وهو أن يُوجَع</w:t>
      </w:r>
      <w:r>
        <w:rPr>
          <w:rtl/>
        </w:rPr>
        <w:t xml:space="preserve"> - </w:t>
      </w:r>
      <w:r w:rsidRPr="00132E65">
        <w:rPr>
          <w:rtl/>
        </w:rPr>
        <w:t>أي‌يُؤلَم</w:t>
      </w:r>
      <w:r>
        <w:rPr>
          <w:rtl/>
        </w:rPr>
        <w:t xml:space="preserve"> - </w:t>
      </w:r>
      <w:r w:rsidRPr="00132E65">
        <w:rPr>
          <w:rtl/>
        </w:rPr>
        <w:t xml:space="preserve">الإنسان بشي‌ء يكرم عليه فيعدمه. راجع : </w:t>
      </w:r>
      <w:r w:rsidRPr="003A22E7">
        <w:rPr>
          <w:rtl/>
        </w:rPr>
        <w:t>القاموس المحيط</w:t>
      </w:r>
      <w:r w:rsidRPr="00132E65">
        <w:rPr>
          <w:rtl/>
        </w:rPr>
        <w:t xml:space="preserve"> ، ج 2 ، ص 999 ( فجع )</w:t>
      </w:r>
      <w:r>
        <w:rPr>
          <w:rtl/>
        </w:rPr>
        <w:t>.</w:t>
      </w:r>
    </w:p>
    <w:tbl>
      <w:tblPr>
        <w:tblStyle w:val="TableGrid"/>
        <w:bidiVisual/>
        <w:tblW w:w="0" w:type="auto"/>
        <w:tblLook w:val="04A0" w:firstRow="1" w:lastRow="0" w:firstColumn="1" w:lastColumn="0" w:noHBand="0" w:noVBand="1"/>
      </w:tblPr>
      <w:tblGrid>
        <w:gridCol w:w="4006"/>
        <w:gridCol w:w="4006"/>
      </w:tblGrid>
      <w:tr w:rsidR="002D1D7C" w:rsidTr="002D1D7C">
        <w:tc>
          <w:tcPr>
            <w:tcW w:w="4006" w:type="dxa"/>
          </w:tcPr>
          <w:p w:rsidR="002D1D7C" w:rsidRDefault="002D1D7C" w:rsidP="000C39D1">
            <w:pPr>
              <w:pStyle w:val="libFootnote0"/>
              <w:rPr>
                <w:rtl/>
              </w:rPr>
            </w:pPr>
            <w:r>
              <w:rPr>
                <w:rtl/>
              </w:rPr>
              <w:t>(10).</w:t>
            </w:r>
            <w:r w:rsidRPr="00132E65">
              <w:rPr>
                <w:rtl/>
              </w:rPr>
              <w:t xml:space="preserve"> في </w:t>
            </w:r>
            <w:r w:rsidRPr="009D1ACE">
              <w:rPr>
                <w:rStyle w:val="libFootnoteBoldChar"/>
                <w:rtl/>
              </w:rPr>
              <w:t>الوافي</w:t>
            </w:r>
            <w:r w:rsidRPr="00132E65">
              <w:rPr>
                <w:rtl/>
              </w:rPr>
              <w:t xml:space="preserve"> : « وآل محمّد »</w:t>
            </w:r>
            <w:r>
              <w:rPr>
                <w:rtl/>
              </w:rPr>
              <w:t>.</w:t>
            </w:r>
          </w:p>
        </w:tc>
        <w:tc>
          <w:tcPr>
            <w:tcW w:w="4006" w:type="dxa"/>
          </w:tcPr>
          <w:p w:rsidR="002D1D7C" w:rsidRDefault="002D1D7C" w:rsidP="000C39D1">
            <w:pPr>
              <w:pStyle w:val="libFootnote0"/>
              <w:rPr>
                <w:rtl/>
              </w:rPr>
            </w:pPr>
            <w:r>
              <w:rPr>
                <w:rtl/>
              </w:rPr>
              <w:t>(11).</w:t>
            </w:r>
            <w:r w:rsidRPr="00132E65">
              <w:rPr>
                <w:rtl/>
              </w:rPr>
              <w:t xml:space="preserve"> </w:t>
            </w:r>
            <w:r w:rsidRPr="009D1ACE">
              <w:rPr>
                <w:rStyle w:val="libFootnoteBoldChar"/>
                <w:rtl/>
              </w:rPr>
              <w:t>الوافي</w:t>
            </w:r>
            <w:r w:rsidRPr="00132E65">
              <w:rPr>
                <w:rtl/>
              </w:rPr>
              <w:t xml:space="preserve"> ، ج 3 ، ص 645 ، ح 1239.</w:t>
            </w:r>
          </w:p>
        </w:tc>
      </w:tr>
    </w:tbl>
    <w:p w:rsidR="00714BFC" w:rsidRDefault="00714BFC" w:rsidP="00714BFC">
      <w:pPr>
        <w:pStyle w:val="libNormal0"/>
        <w:tabs>
          <w:tab w:val="left" w:pos="3968"/>
        </w:tabs>
        <w:rPr>
          <w:rtl/>
          <w:lang w:bidi="fa-IR"/>
        </w:rPr>
      </w:pPr>
      <w:bookmarkStart w:id="124" w:name="_Toc459459141"/>
      <w:r>
        <w:rPr>
          <w:rtl/>
          <w:lang w:bidi="fa-IR"/>
        </w:rPr>
        <w:br w:type="page"/>
      </w:r>
    </w:p>
    <w:p w:rsidR="000C39D1" w:rsidRDefault="000C39D1" w:rsidP="000C39D1">
      <w:pPr>
        <w:pStyle w:val="Heading2Center"/>
        <w:rPr>
          <w:rtl/>
          <w:lang w:bidi="fa-IR"/>
        </w:rPr>
      </w:pPr>
      <w:bookmarkStart w:id="125" w:name="_Toc34663110"/>
      <w:r w:rsidRPr="00132E65">
        <w:rPr>
          <w:rtl/>
          <w:lang w:bidi="fa-IR"/>
        </w:rPr>
        <w:t>103</w:t>
      </w:r>
      <w:r>
        <w:rPr>
          <w:rtl/>
          <w:lang w:bidi="fa-IR"/>
        </w:rPr>
        <w:t xml:space="preserve"> - </w:t>
      </w:r>
      <w:r w:rsidRPr="00132E65">
        <w:rPr>
          <w:rtl/>
          <w:lang w:bidi="fa-IR"/>
        </w:rPr>
        <w:t xml:space="preserve">بَابُ مَا أَمَرَ النَّبِيُّ </w:t>
      </w:r>
      <w:r w:rsidRPr="00071CF9">
        <w:rPr>
          <w:rStyle w:val="libAlaemChar"/>
          <w:rtl/>
        </w:rPr>
        <w:t>صلى‌الله‌عليه‌وآله‌وسلم</w:t>
      </w:r>
      <w:r w:rsidRPr="00132E65">
        <w:rPr>
          <w:rtl/>
          <w:lang w:bidi="fa-IR"/>
        </w:rPr>
        <w:t xml:space="preserve"> بِالنَّصِيحَةِ </w:t>
      </w:r>
      <w:r>
        <w:rPr>
          <w:rStyle w:val="libFootnotenumChar"/>
          <w:rtl/>
        </w:rPr>
        <w:t>(1)</w:t>
      </w:r>
      <w:r>
        <w:rPr>
          <w:rtl/>
          <w:lang w:bidi="fa-IR"/>
        </w:rPr>
        <w:t xml:space="preserve"> </w:t>
      </w:r>
      <w:r w:rsidRPr="00132E65">
        <w:rPr>
          <w:rtl/>
          <w:lang w:bidi="fa-IR"/>
        </w:rPr>
        <w:t>لِأَئِمَّةِ</w:t>
      </w:r>
      <w:bookmarkEnd w:id="124"/>
      <w:bookmarkEnd w:id="125"/>
      <w:r w:rsidRPr="00132E65">
        <w:rPr>
          <w:rtl/>
          <w:lang w:bidi="fa-IR"/>
        </w:rPr>
        <w:t xml:space="preserve"> </w:t>
      </w:r>
    </w:p>
    <w:p w:rsidR="000C39D1" w:rsidRPr="00132E65" w:rsidRDefault="000C39D1" w:rsidP="000C39D1">
      <w:pPr>
        <w:pStyle w:val="Heading2Center"/>
        <w:rPr>
          <w:rtl/>
          <w:lang w:bidi="fa-IR"/>
        </w:rPr>
      </w:pPr>
      <w:bookmarkStart w:id="126" w:name="_Toc459293654"/>
      <w:bookmarkStart w:id="127" w:name="_Toc459455123"/>
      <w:bookmarkStart w:id="128" w:name="_Toc459459142"/>
      <w:bookmarkStart w:id="129" w:name="_Toc34663111"/>
      <w:r w:rsidRPr="00132E65">
        <w:rPr>
          <w:rtl/>
          <w:lang w:bidi="fa-IR"/>
        </w:rPr>
        <w:t xml:space="preserve">الْمُسْلِمِينَ واللُّزُومِ لِجَمَاعَتِهِمْ ، ومَنْ هُمْ </w:t>
      </w:r>
      <w:r>
        <w:rPr>
          <w:rStyle w:val="libFootnotenumChar"/>
          <w:rtl/>
        </w:rPr>
        <w:t>(2)</w:t>
      </w:r>
      <w:r w:rsidRPr="00132E65">
        <w:rPr>
          <w:rtl/>
          <w:lang w:bidi="fa-IR"/>
        </w:rPr>
        <w:t xml:space="preserve"> ‌</w:t>
      </w:r>
      <w:bookmarkEnd w:id="126"/>
      <w:bookmarkEnd w:id="127"/>
      <w:bookmarkEnd w:id="128"/>
      <w:bookmarkEnd w:id="129"/>
    </w:p>
    <w:p w:rsidR="000C39D1" w:rsidRPr="00132E65" w:rsidRDefault="000C39D1" w:rsidP="000C39D1">
      <w:pPr>
        <w:pStyle w:val="libNormal"/>
        <w:rPr>
          <w:rtl/>
          <w:lang w:bidi="fa-IR"/>
        </w:rPr>
      </w:pPr>
      <w:r w:rsidRPr="004148D6">
        <w:rPr>
          <w:rtl/>
        </w:rPr>
        <w:t>1058</w:t>
      </w:r>
      <w:r w:rsidRPr="004325D8">
        <w:rPr>
          <w:rStyle w:val="libBold2Char"/>
          <w:rtl/>
        </w:rPr>
        <w:t xml:space="preserve"> / 1.</w:t>
      </w:r>
      <w:r w:rsidRPr="00132E65">
        <w:rPr>
          <w:rtl/>
          <w:lang w:bidi="fa-IR"/>
        </w:rPr>
        <w:t xml:space="preserve"> عِدَّةٌ مِنْ أَصْحَابِنَا ، عَنْ أَحْمَدَ بْنِ مُحَمَّدِ بْنِ عِيسى ، عَنْ أَحْمَدَ بْنِ مُحَمَّدِ بْنِ أَبِي نَصْرٍ ، عَنْ أَبَانِ بْنِ عُثْمَانَ ، عَنِ ابْنِ أَبِي يَعْفُورٍ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 أَنَّ رَسُولَ اللهِ </w:t>
      </w:r>
      <w:r w:rsidRPr="0093484F">
        <w:rPr>
          <w:rStyle w:val="libAlaemChar"/>
          <w:rFonts w:eastAsiaTheme="minorHAnsi"/>
          <w:rtl/>
        </w:rPr>
        <w:t>صلى‌الله‌عليه‌وآله</w:t>
      </w:r>
      <w:r w:rsidRPr="00132E65">
        <w:rPr>
          <w:rtl/>
          <w:lang w:bidi="fa-IR"/>
        </w:rPr>
        <w:t xml:space="preserve"> خَطَبَ النَّاسَ فِي مَسْجِدِ الْخَيْفِ ، فَقَالَ :</w:t>
      </w:r>
      <w:r>
        <w:rPr>
          <w:rFonts w:hint="cs"/>
          <w:rtl/>
          <w:lang w:bidi="fa-IR"/>
        </w:rPr>
        <w:t xml:space="preserve"> </w:t>
      </w:r>
      <w:r w:rsidRPr="00132E65">
        <w:rPr>
          <w:rtl/>
          <w:lang w:bidi="fa-IR"/>
        </w:rPr>
        <w:t xml:space="preserve">نَضَّرَ اللهُ </w:t>
      </w:r>
      <w:r>
        <w:rPr>
          <w:rStyle w:val="libFootnotenumChar"/>
          <w:rtl/>
        </w:rPr>
        <w:t>(3)</w:t>
      </w:r>
      <w:r w:rsidRPr="00132E65">
        <w:rPr>
          <w:rtl/>
          <w:lang w:bidi="fa-IR"/>
        </w:rPr>
        <w:t xml:space="preserve"> عَبْداً سَمِعَ مَقَالَتِي ، فَوَعَاهَا </w:t>
      </w:r>
      <w:r>
        <w:rPr>
          <w:rStyle w:val="libFootnotenumChar"/>
          <w:rtl/>
        </w:rPr>
        <w:t>(4)</w:t>
      </w:r>
      <w:r w:rsidRPr="00132E65">
        <w:rPr>
          <w:rtl/>
          <w:lang w:bidi="fa-IR"/>
        </w:rPr>
        <w:t xml:space="preserve"> وحَفِظَهَا </w:t>
      </w:r>
      <w:r>
        <w:rPr>
          <w:rStyle w:val="libFootnotenumChar"/>
          <w:rtl/>
        </w:rPr>
        <w:t>(5)</w:t>
      </w:r>
      <w:r w:rsidRPr="00132E65">
        <w:rPr>
          <w:rtl/>
          <w:lang w:bidi="fa-IR"/>
        </w:rPr>
        <w:t xml:space="preserve"> ، وبَلَّغَهَا مَنْ لَمْ يَسْمَعْهَا </w:t>
      </w:r>
      <w:r>
        <w:rPr>
          <w:rStyle w:val="libFootnotenumChar"/>
          <w:rtl/>
        </w:rPr>
        <w:t>(6)</w:t>
      </w:r>
      <w:r w:rsidRPr="00132E65">
        <w:rPr>
          <w:rtl/>
          <w:lang w:bidi="fa-IR"/>
        </w:rPr>
        <w:t xml:space="preserve"> ؛ فَرُبَّ حَامِلِ فِقْهٍ غَيْرُ فَقِيهٍ ، ورُبَّ </w:t>
      </w:r>
      <w:r>
        <w:rPr>
          <w:rStyle w:val="libFootnotenumChar"/>
          <w:rtl/>
        </w:rPr>
        <w:t>(7)</w:t>
      </w:r>
      <w:r w:rsidRPr="00132E65">
        <w:rPr>
          <w:rtl/>
          <w:lang w:bidi="fa-IR"/>
        </w:rPr>
        <w:t xml:space="preserve"> حَامِلِ فِقْهٍ إِلى </w:t>
      </w:r>
      <w:r>
        <w:rPr>
          <w:rStyle w:val="libFootnotenumChar"/>
          <w:rtl/>
        </w:rPr>
        <w:t>(8)</w:t>
      </w:r>
      <w:r w:rsidRPr="00132E65">
        <w:rPr>
          <w:rtl/>
          <w:lang w:bidi="fa-IR"/>
        </w:rPr>
        <w:t xml:space="preserve"> مَنْ هُوَ أَفْقَهُ مِنْهُ ، ثَلَاثٌ لَايُغِلُّ عَلَيْهِنَّ </w:t>
      </w:r>
      <w:r>
        <w:rPr>
          <w:rStyle w:val="libFootnotenumChar"/>
          <w:rtl/>
        </w:rPr>
        <w:t>(9)</w:t>
      </w:r>
      <w:r w:rsidRPr="00132E65">
        <w:rPr>
          <w:rtl/>
          <w:lang w:bidi="fa-IR"/>
        </w:rPr>
        <w:t xml:space="preserve"> قَلْبُ امْرِئٍ مُسْلِمٍ : إِخْلَاصُ الْعَمَلِ لِلّهِ ، والنَّصِيحَةُ لِأَئِمَّةِ الْمُسْلِمِينَ ، واللُّزُومُ لِجَمَاعَتِهِمْ ؛ فَإِنَّ دَعْوَتَهُمْ مُحِيطَةٌ مِنْ ورَائِهِمْ </w:t>
      </w:r>
      <w:r>
        <w:rPr>
          <w:rStyle w:val="libFootnotenumChar"/>
          <w:rtl/>
        </w:rPr>
        <w:t>(10)</w:t>
      </w:r>
      <w:r w:rsidRPr="00132E65">
        <w:rPr>
          <w:rtl/>
          <w:lang w:bidi="fa-IR"/>
        </w:rPr>
        <w:t xml:space="preserve"> ، الْمُسْلِمُونَ</w:t>
      </w:r>
      <w:r>
        <w:rPr>
          <w:rStyle w:val="libFootnotenumChar"/>
          <w:rtl/>
        </w:rPr>
        <w:t>(11)</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من النصيحة »</w:t>
      </w:r>
      <w:r>
        <w:rPr>
          <w:rtl/>
        </w:rPr>
        <w:t>.</w:t>
      </w:r>
    </w:p>
    <w:p w:rsidR="000C39D1" w:rsidRPr="00132E65" w:rsidRDefault="000C39D1" w:rsidP="000C39D1">
      <w:pPr>
        <w:pStyle w:val="libFootnote0"/>
        <w:rPr>
          <w:rtl/>
          <w:lang w:bidi="fa-IR"/>
        </w:rPr>
      </w:pPr>
      <w:r>
        <w:rPr>
          <w:rtl/>
        </w:rPr>
        <w:t>(2).</w:t>
      </w:r>
      <w:r w:rsidRPr="00132E65">
        <w:rPr>
          <w:rtl/>
        </w:rPr>
        <w:t xml:space="preserve"> في « ف » : « ومن معهم »</w:t>
      </w:r>
      <w:r>
        <w:rPr>
          <w:rtl/>
        </w:rPr>
        <w:t>.</w:t>
      </w:r>
      <w:r w:rsidRPr="00132E65">
        <w:rPr>
          <w:rtl/>
        </w:rPr>
        <w:t xml:space="preserve"> وفي « بر » : « ومن هم منهم »</w:t>
      </w:r>
      <w:r>
        <w:rPr>
          <w:rtl/>
        </w:rPr>
        <w:t>.</w:t>
      </w:r>
      <w:r w:rsidRPr="00132E65">
        <w:rPr>
          <w:rtl/>
        </w:rPr>
        <w:t xml:space="preserve"> وقوله : « مَن » استفهام خبر مقدّم ، </w:t>
      </w:r>
      <w:r>
        <w:rPr>
          <w:rtl/>
        </w:rPr>
        <w:t>و «</w:t>
      </w:r>
      <w:r w:rsidRPr="00132E65">
        <w:rPr>
          <w:rtl/>
        </w:rPr>
        <w:t xml:space="preserve"> هم » مبتدأ مؤخّر ، والجملة مجرورة محلاًّ عطفاً على « ما »</w:t>
      </w:r>
      <w:r>
        <w:rPr>
          <w:rtl/>
        </w:rPr>
        <w:t>.</w:t>
      </w:r>
    </w:p>
    <w:p w:rsidR="000C39D1" w:rsidRPr="00132E65" w:rsidRDefault="000C39D1" w:rsidP="000C39D1">
      <w:pPr>
        <w:pStyle w:val="libFootnote0"/>
        <w:rPr>
          <w:rtl/>
          <w:lang w:bidi="fa-IR"/>
        </w:rPr>
      </w:pPr>
      <w:r>
        <w:rPr>
          <w:rtl/>
        </w:rPr>
        <w:t>(3).</w:t>
      </w:r>
      <w:r w:rsidRPr="00132E65">
        <w:rPr>
          <w:rtl/>
        </w:rPr>
        <w:t xml:space="preserve"> نَضَر وجهُه ، أي حَسُن. ونَضَر اللهُ وجهَه ، أي جَعَلَه حَسَناً. وكذا نَضّر الله وجهَه ، وأنضَر الله وجهه. وإذا قلت : نضّر الله امرأً ، تعني نعَّمه. راجع : </w:t>
      </w:r>
      <w:r w:rsidRPr="004148D6">
        <w:rPr>
          <w:rtl/>
        </w:rPr>
        <w:t>الصحاح</w:t>
      </w:r>
      <w:r w:rsidRPr="00132E65">
        <w:rPr>
          <w:rtl/>
        </w:rPr>
        <w:t xml:space="preserve"> ، ج 2 ، ص 830 ( نضر )</w:t>
      </w:r>
      <w:r>
        <w:rPr>
          <w:rtl/>
        </w:rPr>
        <w:t>.</w:t>
      </w:r>
    </w:p>
    <w:p w:rsidR="000C39D1" w:rsidRPr="00132E65" w:rsidRDefault="000C39D1" w:rsidP="000C39D1">
      <w:pPr>
        <w:pStyle w:val="libFootnote0"/>
        <w:rPr>
          <w:rtl/>
          <w:lang w:bidi="fa-IR"/>
        </w:rPr>
      </w:pPr>
      <w:r>
        <w:rPr>
          <w:rtl/>
        </w:rPr>
        <w:t>(4).</w:t>
      </w:r>
      <w:r w:rsidRPr="00132E65">
        <w:rPr>
          <w:rtl/>
        </w:rPr>
        <w:t xml:space="preserve"> « فوعاها » ، أي حفظها وفَهِمها. راجع : </w:t>
      </w:r>
      <w:r w:rsidRPr="004148D6">
        <w:rPr>
          <w:rtl/>
        </w:rPr>
        <w:t>النهاية</w:t>
      </w:r>
      <w:r w:rsidRPr="00132E65">
        <w:rPr>
          <w:rtl/>
        </w:rPr>
        <w:t xml:space="preserve"> ، ج 5 ، ص 207 ( وعا )</w:t>
      </w:r>
      <w:r>
        <w:rPr>
          <w:rtl/>
        </w:rPr>
        <w:t>.</w:t>
      </w:r>
    </w:p>
    <w:p w:rsidR="000C39D1" w:rsidRPr="00132E65" w:rsidRDefault="000C39D1" w:rsidP="000C39D1">
      <w:pPr>
        <w:pStyle w:val="libFootnote0"/>
        <w:rPr>
          <w:rtl/>
          <w:lang w:bidi="fa-IR"/>
        </w:rPr>
      </w:pPr>
      <w:r>
        <w:rPr>
          <w:rtl/>
        </w:rPr>
        <w:t>(5).</w:t>
      </w:r>
      <w:r w:rsidRPr="00132E65">
        <w:rPr>
          <w:rtl/>
        </w:rPr>
        <w:t xml:space="preserve"> في الأمالي للصدوق والخصال والأمالي للمفيد والوسائل ، ج 29 </w:t>
      </w:r>
      <w:r>
        <w:rPr>
          <w:rtl/>
        </w:rPr>
        <w:t xml:space="preserve">: - </w:t>
      </w:r>
      <w:r w:rsidRPr="00132E65">
        <w:rPr>
          <w:rtl/>
        </w:rPr>
        <w:t>« وحفظها »</w:t>
      </w:r>
      <w:r>
        <w:rPr>
          <w:rtl/>
        </w:rPr>
        <w:t>.</w:t>
      </w:r>
    </w:p>
    <w:tbl>
      <w:tblPr>
        <w:tblStyle w:val="TableGrid"/>
        <w:bidiVisual/>
        <w:tblW w:w="0" w:type="auto"/>
        <w:tblLook w:val="04A0" w:firstRow="1" w:lastRow="0" w:firstColumn="1" w:lastColumn="0" w:noHBand="0" w:noVBand="1"/>
      </w:tblPr>
      <w:tblGrid>
        <w:gridCol w:w="4006"/>
        <w:gridCol w:w="4006"/>
      </w:tblGrid>
      <w:tr w:rsidR="00714BFC" w:rsidTr="00714BFC">
        <w:tc>
          <w:tcPr>
            <w:tcW w:w="4006" w:type="dxa"/>
          </w:tcPr>
          <w:p w:rsidR="00714BFC" w:rsidRDefault="00714BFC" w:rsidP="000C39D1">
            <w:pPr>
              <w:pStyle w:val="libFootnote0"/>
              <w:rPr>
                <w:rtl/>
              </w:rPr>
            </w:pPr>
            <w:r>
              <w:rPr>
                <w:rtl/>
              </w:rPr>
              <w:t>(6).</w:t>
            </w:r>
            <w:r w:rsidRPr="00132E65">
              <w:rPr>
                <w:rtl/>
              </w:rPr>
              <w:t xml:space="preserve"> في </w:t>
            </w:r>
            <w:r w:rsidRPr="009D1ACE">
              <w:rPr>
                <w:rStyle w:val="libFootnoteBoldChar"/>
                <w:rtl/>
              </w:rPr>
              <w:t>مرآة العقول</w:t>
            </w:r>
            <w:r w:rsidRPr="00132E65">
              <w:rPr>
                <w:rtl/>
              </w:rPr>
              <w:t xml:space="preserve"> : « يسمعها » بدون لم.</w:t>
            </w:r>
          </w:p>
        </w:tc>
        <w:tc>
          <w:tcPr>
            <w:tcW w:w="4006" w:type="dxa"/>
          </w:tcPr>
          <w:p w:rsidR="00714BFC" w:rsidRDefault="00714BFC" w:rsidP="000C39D1">
            <w:pPr>
              <w:pStyle w:val="libFootnote0"/>
              <w:rPr>
                <w:rtl/>
              </w:rPr>
            </w:pPr>
            <w:r>
              <w:rPr>
                <w:rtl/>
              </w:rPr>
              <w:t>(7).</w:t>
            </w:r>
            <w:r w:rsidRPr="00132E65">
              <w:rPr>
                <w:rtl/>
              </w:rPr>
              <w:t xml:space="preserve"> في « بح » </w:t>
            </w:r>
            <w:r>
              <w:rPr>
                <w:rtl/>
              </w:rPr>
              <w:t xml:space="preserve">: - </w:t>
            </w:r>
            <w:r w:rsidRPr="00132E65">
              <w:rPr>
                <w:rtl/>
              </w:rPr>
              <w:t>« ربّ »</w:t>
            </w:r>
            <w:r>
              <w:rPr>
                <w:rtl/>
              </w:rPr>
              <w:t>.</w:t>
            </w:r>
          </w:p>
        </w:tc>
      </w:tr>
    </w:tbl>
    <w:p w:rsidR="000C39D1" w:rsidRPr="00132E65" w:rsidRDefault="000C39D1" w:rsidP="000C39D1">
      <w:pPr>
        <w:pStyle w:val="libFootnote0"/>
        <w:rPr>
          <w:rtl/>
          <w:lang w:bidi="fa-IR"/>
        </w:rPr>
      </w:pPr>
      <w:r>
        <w:rPr>
          <w:rtl/>
        </w:rPr>
        <w:t>(8).</w:t>
      </w:r>
      <w:r w:rsidRPr="00132E65">
        <w:rPr>
          <w:rtl/>
        </w:rPr>
        <w:t xml:space="preserve"> قوله : « إلى » متعلّق بمقدّر خبر « ربّ حامل »</w:t>
      </w:r>
      <w:r>
        <w:rPr>
          <w:rtl/>
        </w:rPr>
        <w:t>.</w:t>
      </w:r>
    </w:p>
    <w:p w:rsidR="000C39D1" w:rsidRPr="00132E65" w:rsidRDefault="000C39D1" w:rsidP="000C39D1">
      <w:pPr>
        <w:pStyle w:val="libFootnote0"/>
        <w:rPr>
          <w:rtl/>
          <w:lang w:bidi="fa-IR"/>
        </w:rPr>
      </w:pPr>
      <w:r>
        <w:rPr>
          <w:rtl/>
        </w:rPr>
        <w:t>(9).</w:t>
      </w:r>
      <w:r w:rsidRPr="00132E65">
        <w:rPr>
          <w:rtl/>
        </w:rPr>
        <w:t xml:space="preserve"> في « بف » وشرح المازندراني </w:t>
      </w:r>
      <w:r>
        <w:rPr>
          <w:rtl/>
        </w:rPr>
        <w:t xml:space="preserve">: - </w:t>
      </w:r>
      <w:r w:rsidRPr="00132E65">
        <w:rPr>
          <w:rtl/>
        </w:rPr>
        <w:t>« عليهنّ »</w:t>
      </w:r>
      <w:r>
        <w:rPr>
          <w:rtl/>
        </w:rPr>
        <w:t>.</w:t>
      </w:r>
      <w:r w:rsidRPr="00132E65">
        <w:rPr>
          <w:rtl/>
        </w:rPr>
        <w:t xml:space="preserve"> وقوله : « لا يُغِلُّ » إمّا من الإغلال ، وهو الخيانة في كلّ شي‌ء. أو هو يَغِلُ من الوُغول بمعنى الدخول في الشرّ ، أو من الغِلّ ، وهو الحِقْد والشحناء ، أي لا يدخله حقد يزيله عن الحقّ. </w:t>
      </w:r>
      <w:r>
        <w:rPr>
          <w:rtl/>
        </w:rPr>
        <w:t>و «</w:t>
      </w:r>
      <w:r w:rsidRPr="00132E65">
        <w:rPr>
          <w:rtl/>
        </w:rPr>
        <w:t xml:space="preserve"> عليهنّ » في موضع الحال ، تقديره : لا يغلّ كائناً عليهنّ قلبُ مؤمن. والمعنى : أنّ هذه الغلال الثلاث تُستَصْلَح بها القلوب فمن تمسّك بها طَهُرَ قلبه من الخيانة والدَغَل والشَرّ. راجع : </w:t>
      </w:r>
      <w:r w:rsidRPr="004148D6">
        <w:rPr>
          <w:rtl/>
        </w:rPr>
        <w:t>النهاية</w:t>
      </w:r>
      <w:r w:rsidRPr="00132E65">
        <w:rPr>
          <w:rtl/>
        </w:rPr>
        <w:t xml:space="preserve"> ، ج 3 ، ص 381 ( غلل )</w:t>
      </w:r>
      <w:r>
        <w:rPr>
          <w:rtl/>
        </w:rPr>
        <w:t>.</w:t>
      </w:r>
    </w:p>
    <w:p w:rsidR="000C39D1" w:rsidRPr="00132E65" w:rsidRDefault="000C39D1" w:rsidP="00714BFC">
      <w:pPr>
        <w:pStyle w:val="libFootnote0"/>
        <w:rPr>
          <w:rtl/>
          <w:lang w:bidi="fa-IR"/>
        </w:rPr>
      </w:pPr>
      <w:r>
        <w:rPr>
          <w:rtl/>
        </w:rPr>
        <w:t>(10).</w:t>
      </w:r>
      <w:r w:rsidRPr="00132E65">
        <w:rPr>
          <w:rtl/>
        </w:rPr>
        <w:t xml:space="preserve"> أي محيطة بهم من جوانبهم وشاملة كلّهم ، لايشذّ عنها أحد منهم. وفي « ب ، ض » : « مَن » بفتح الميم. ويبعّده‌عدم كون « أحاط » متعدّياً بنفسه.</w:t>
      </w:r>
      <w:r w:rsidR="00714BFC">
        <w:rPr>
          <w:rFonts w:hint="cs"/>
          <w:rtl/>
        </w:rPr>
        <w:t xml:space="preserve">                </w:t>
      </w:r>
      <w:r>
        <w:rPr>
          <w:rtl/>
        </w:rPr>
        <w:t>(11).</w:t>
      </w:r>
      <w:r w:rsidRPr="00132E65">
        <w:rPr>
          <w:rtl/>
        </w:rPr>
        <w:t xml:space="preserve"> في الأمالي للمفيد : « المؤمنون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إِخْوَةٌ تَتَكَافَأُ </w:t>
      </w:r>
      <w:r>
        <w:rPr>
          <w:rStyle w:val="libFootnotenumChar"/>
          <w:rtl/>
        </w:rPr>
        <w:t>(1)</w:t>
      </w:r>
      <w:r w:rsidRPr="00132E65">
        <w:rPr>
          <w:rtl/>
          <w:lang w:bidi="fa-IR"/>
        </w:rPr>
        <w:t xml:space="preserve"> دِمَاؤُهُمْ ، ويَسْعى بِذِمَّتِهِمْ </w:t>
      </w:r>
      <w:r>
        <w:rPr>
          <w:rStyle w:val="libFootnotenumChar"/>
          <w:rtl/>
        </w:rPr>
        <w:t>(2)</w:t>
      </w:r>
      <w:r w:rsidRPr="00132E65">
        <w:rPr>
          <w:rtl/>
          <w:lang w:bidi="fa-IR"/>
        </w:rPr>
        <w:t xml:space="preserve"> أَدْنَاهُمْ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714BFC" w:rsidP="000C39D1">
      <w:pPr>
        <w:pStyle w:val="libNormal"/>
        <w:rPr>
          <w:rtl/>
          <w:lang w:bidi="fa-IR"/>
        </w:rPr>
      </w:pPr>
      <w:r>
        <w:rPr>
          <w:rFonts w:hint="cs"/>
          <w:rtl/>
          <w:lang w:bidi="fa-IR"/>
        </w:rPr>
        <w:t xml:space="preserve">* </w:t>
      </w:r>
      <w:r w:rsidR="000C39D1" w:rsidRPr="00132E65">
        <w:rPr>
          <w:rtl/>
          <w:lang w:bidi="fa-IR"/>
        </w:rPr>
        <w:t xml:space="preserve">ورَوَاهُ </w:t>
      </w:r>
      <w:r w:rsidR="000C39D1">
        <w:rPr>
          <w:rStyle w:val="libFootnotenumChar"/>
          <w:rtl/>
        </w:rPr>
        <w:t>(4)</w:t>
      </w:r>
      <w:r w:rsidR="000C39D1" w:rsidRPr="00132E65">
        <w:rPr>
          <w:rtl/>
          <w:lang w:bidi="fa-IR"/>
        </w:rPr>
        <w:t xml:space="preserve"> أَيْضاً عَنْ حَمَّادِ بْنِ عُثْمَانَ </w:t>
      </w:r>
      <w:r w:rsidR="000C39D1">
        <w:rPr>
          <w:rStyle w:val="libFootnotenumChar"/>
          <w:rtl/>
        </w:rPr>
        <w:t>(5)</w:t>
      </w:r>
      <w:r w:rsidR="000C39D1" w:rsidRPr="00132E65">
        <w:rPr>
          <w:rtl/>
          <w:lang w:bidi="fa-IR"/>
        </w:rPr>
        <w:t xml:space="preserve"> ، عَنِ ابْنِ أَبِي يَعْفُورٍ مِثْلَهُ ، وزَادَ فِيهِ : « وَهُمْ يَدٌ عَلى مَنْ سِوَاهُمْ » وذَكَرَ فِي حَدِيثِهِ أَنَّهُ خَطَبَ فِي حَجَّةِ الْوَدَاعِ بِمِنًى </w:t>
      </w:r>
      <w:r w:rsidR="000C39D1">
        <w:rPr>
          <w:rStyle w:val="libFootnotenumChar"/>
          <w:rtl/>
        </w:rPr>
        <w:t>(6)</w:t>
      </w:r>
      <w:r w:rsidR="000C39D1" w:rsidRPr="00132E65">
        <w:rPr>
          <w:rtl/>
          <w:lang w:bidi="fa-IR"/>
        </w:rPr>
        <w:t xml:space="preserve"> فِي مَسْجِدِ الْخَيْفِ. </w:t>
      </w:r>
      <w:r w:rsidR="000C39D1">
        <w:rPr>
          <w:rStyle w:val="libFootnotenumChar"/>
          <w:rtl/>
        </w:rPr>
        <w:t>(7)</w:t>
      </w:r>
    </w:p>
    <w:p w:rsidR="000C39D1" w:rsidRPr="00132E65" w:rsidRDefault="000C39D1" w:rsidP="000C39D1">
      <w:pPr>
        <w:pStyle w:val="libNormal"/>
        <w:rPr>
          <w:rtl/>
          <w:lang w:bidi="fa-IR"/>
        </w:rPr>
      </w:pPr>
      <w:r w:rsidRPr="004148D6">
        <w:rPr>
          <w:rtl/>
        </w:rPr>
        <w:t>1059</w:t>
      </w:r>
      <w:r w:rsidRPr="004325D8">
        <w:rPr>
          <w:rStyle w:val="libBold2Char"/>
          <w:rtl/>
        </w:rPr>
        <w:t xml:space="preserve"> / 2.</w:t>
      </w:r>
      <w:r w:rsidRPr="00132E65">
        <w:rPr>
          <w:rtl/>
          <w:lang w:bidi="fa-IR"/>
        </w:rPr>
        <w:t xml:space="preserve"> مُحَمَّدُ بْنُ الْحَسَنِ ، عَنْ بَعْضِ أَصْحَابِنَا ، عَنْ عَلِيِّ بْنِ الْحَكَمِ ، عَنِ الْحَكَمِ بْنِ مِسْكِينٍ ، عَنْ رَجُلٍ مِنْ قُرَيْشٍ مِنْ أَهْلِ مَكَّةَ </w:t>
      </w:r>
      <w:r>
        <w:rPr>
          <w:rStyle w:val="libFootnotenumChar"/>
          <w:rtl/>
        </w:rPr>
        <w:t>(8)</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بس » : « يتكافأ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الذمّة والذمام بمعنى العهد والأمان والضمان والحرمة والحقّ. وسمّى أهل الذمّة لدخولهم في عهد المسلمين وأمانهم ، ومنه الحديث « يسعى بذمّتهم أدناهم » : إذا أعطى أحد من الجيش العدوّ أماناً جاز ذلك على جميع المسلمين وليس لهم أن يخفروه ولا أن ينقضوا عليه عهده »</w:t>
      </w:r>
      <w:r>
        <w:rPr>
          <w:rtl/>
        </w:rPr>
        <w:t>.</w:t>
      </w:r>
      <w:r w:rsidRPr="00132E65">
        <w:rPr>
          <w:rtl/>
        </w:rPr>
        <w:t xml:space="preserve"> ونقل المجلسي عن بعض مشايخه أنّه قرأ : « يُسعى » على بناء المجهول.</w:t>
      </w:r>
      <w:r>
        <w:rPr>
          <w:rtl/>
        </w:rPr>
        <w:t xml:space="preserve"> ف- «</w:t>
      </w:r>
      <w:r w:rsidRPr="00132E65">
        <w:rPr>
          <w:rtl/>
        </w:rPr>
        <w:t xml:space="preserve"> أدناهم » بدل من الضمير ، أو مفعول مكان الفاعل. ثمّ جعله ما فيه التكلّف.</w:t>
      </w:r>
    </w:p>
    <w:p w:rsidR="000C39D1" w:rsidRPr="00132E65" w:rsidRDefault="000C39D1" w:rsidP="000C39D1">
      <w:pPr>
        <w:pStyle w:val="libFootnote0"/>
        <w:rPr>
          <w:rtl/>
          <w:lang w:bidi="fa-IR"/>
        </w:rPr>
      </w:pPr>
      <w:r>
        <w:rPr>
          <w:rtl/>
        </w:rPr>
        <w:t>(3).</w:t>
      </w:r>
      <w:r w:rsidRPr="00132E65">
        <w:rPr>
          <w:rtl/>
        </w:rPr>
        <w:t xml:space="preserve"> </w:t>
      </w:r>
      <w:r w:rsidRPr="004148D6">
        <w:rPr>
          <w:rtl/>
        </w:rPr>
        <w:t>الأمالي</w:t>
      </w:r>
      <w:r w:rsidRPr="00132E65">
        <w:rPr>
          <w:rtl/>
        </w:rPr>
        <w:t xml:space="preserve"> للمفيد ، ص 186 ، المجلس 23 ، ح 13 ، بسند آخر. وفي </w:t>
      </w:r>
      <w:r w:rsidRPr="004148D6">
        <w:rPr>
          <w:rtl/>
        </w:rPr>
        <w:t>فقه الرضا</w:t>
      </w:r>
      <w:r w:rsidRPr="00132E65">
        <w:rPr>
          <w:rtl/>
        </w:rPr>
        <w:t xml:space="preserve"> ، ص 369 ، من قوله : « ثلاث لا يغلّ عليهنّ » إلى قوله : « اللزوم لجماعتهم » ؛ وفي </w:t>
      </w:r>
      <w:r w:rsidRPr="004148D6">
        <w:rPr>
          <w:rtl/>
        </w:rPr>
        <w:t>تحف العقول</w:t>
      </w:r>
      <w:r w:rsidRPr="00132E65">
        <w:rPr>
          <w:rtl/>
        </w:rPr>
        <w:t xml:space="preserve"> ، ص 42 و</w:t>
      </w:r>
      <w:r w:rsidRPr="004148D6">
        <w:rPr>
          <w:rtl/>
        </w:rPr>
        <w:t>تفسير القمّي</w:t>
      </w:r>
      <w:r w:rsidRPr="00132E65">
        <w:rPr>
          <w:rtl/>
        </w:rPr>
        <w:t xml:space="preserve"> ، ج 1 ، ص 173 ، وج 2 ، ص 446 عن النبيّ </w:t>
      </w:r>
      <w:r w:rsidRPr="00714BFC">
        <w:rPr>
          <w:rStyle w:val="libFootnoteAlaemChar"/>
          <w:rFonts w:eastAsiaTheme="minorHAnsi"/>
          <w:rtl/>
        </w:rPr>
        <w:t>صلى‌الله‌عليه‌وآله</w:t>
      </w:r>
      <w:r w:rsidRPr="00132E65">
        <w:rPr>
          <w:rtl/>
          <w:lang w:bidi="fa-IR"/>
        </w:rPr>
        <w:t xml:space="preserve"> </w:t>
      </w:r>
      <w:r w:rsidRPr="00132E65">
        <w:rPr>
          <w:rtl/>
        </w:rPr>
        <w:t xml:space="preserve">، مع اختلاف يسير </w:t>
      </w:r>
      <w:r w:rsidRPr="009D1ACE">
        <w:rPr>
          <w:rStyle w:val="libFootnoteBoldChar"/>
          <w:rtl/>
        </w:rPr>
        <w:t>الوافي</w:t>
      </w:r>
      <w:r w:rsidRPr="00132E65">
        <w:rPr>
          <w:rtl/>
        </w:rPr>
        <w:t xml:space="preserve"> ، ج 2 ، ص 98 ، ح 551 ؛ </w:t>
      </w:r>
      <w:r w:rsidRPr="004148D6">
        <w:rPr>
          <w:rtl/>
        </w:rPr>
        <w:t>الوسائل</w:t>
      </w:r>
      <w:r w:rsidRPr="00132E65">
        <w:rPr>
          <w:rtl/>
        </w:rPr>
        <w:t xml:space="preserve"> ، ج 27 ، ص 89 ، ح 33288 ، إلى قوله : « إلى من هو أفقه منه » ؛ وج 29 ، ص 75 ، ح 35186.</w:t>
      </w:r>
    </w:p>
    <w:p w:rsidR="000C39D1" w:rsidRPr="00132E65" w:rsidRDefault="000C39D1" w:rsidP="000C39D1">
      <w:pPr>
        <w:pStyle w:val="libFootnote0"/>
        <w:rPr>
          <w:rtl/>
          <w:lang w:bidi="fa-IR"/>
        </w:rPr>
      </w:pPr>
      <w:r>
        <w:rPr>
          <w:rtl/>
        </w:rPr>
        <w:t>(4).</w:t>
      </w:r>
      <w:r w:rsidRPr="00132E65">
        <w:rPr>
          <w:rtl/>
        </w:rPr>
        <w:t xml:space="preserve"> الضمير المستتر في « رواه » راجع إلى أحمد بن محمّد بن أبي نصر ؛ فقد روى هو عن حمّاد بن عثمان في عددٍمن الأسناد. راجع : </w:t>
      </w:r>
      <w:r w:rsidRPr="004148D6">
        <w:rPr>
          <w:rtl/>
        </w:rPr>
        <w:t>معجم رجال الحديث</w:t>
      </w:r>
      <w:r w:rsidRPr="00132E65">
        <w:rPr>
          <w:rtl/>
        </w:rPr>
        <w:t xml:space="preserve"> ، ج 2 ، ص 606</w:t>
      </w:r>
      <w:r>
        <w:rPr>
          <w:rtl/>
        </w:rPr>
        <w:t xml:space="preserve"> - </w:t>
      </w:r>
      <w:r w:rsidRPr="00132E65">
        <w:rPr>
          <w:rtl/>
        </w:rPr>
        <w:t>607.</w:t>
      </w:r>
    </w:p>
    <w:p w:rsidR="000C39D1" w:rsidRPr="00132E65" w:rsidRDefault="000C39D1" w:rsidP="000C39D1">
      <w:pPr>
        <w:pStyle w:val="libFootnote0"/>
        <w:rPr>
          <w:rtl/>
          <w:lang w:bidi="fa-IR"/>
        </w:rPr>
      </w:pPr>
      <w:r>
        <w:rPr>
          <w:rtl/>
        </w:rPr>
        <w:t>(5).</w:t>
      </w:r>
      <w:r w:rsidRPr="00132E65">
        <w:rPr>
          <w:rtl/>
        </w:rPr>
        <w:t xml:space="preserve"> هكذا في « ألف » وحاشية « بر »</w:t>
      </w:r>
      <w:r>
        <w:rPr>
          <w:rtl/>
        </w:rPr>
        <w:t>.</w:t>
      </w:r>
      <w:r w:rsidRPr="00132E65">
        <w:rPr>
          <w:rtl/>
        </w:rPr>
        <w:t xml:space="preserve"> وفي « ب ، ج ، ض ، ف ، و، بح ، بر ، بس ، بف » والمطبوع :</w:t>
      </w:r>
      <w:r>
        <w:rPr>
          <w:rtl/>
        </w:rPr>
        <w:t xml:space="preserve"> + </w:t>
      </w:r>
      <w:r w:rsidR="00936037">
        <w:rPr>
          <w:rtl/>
        </w:rPr>
        <w:t>« عن أبان</w:t>
      </w:r>
      <w:r w:rsidRPr="00132E65">
        <w:rPr>
          <w:rtl/>
        </w:rPr>
        <w:t>»</w:t>
      </w:r>
      <w:r>
        <w:rPr>
          <w:rtl/>
        </w:rPr>
        <w:t>.</w:t>
      </w:r>
    </w:p>
    <w:p w:rsidR="00936037" w:rsidRDefault="000C39D1" w:rsidP="00936037">
      <w:pPr>
        <w:pStyle w:val="libFootnote0"/>
        <w:rPr>
          <w:rtl/>
        </w:rPr>
      </w:pPr>
      <w:r w:rsidRPr="0046781C">
        <w:rPr>
          <w:rtl/>
        </w:rPr>
        <w:t>والصواب ما أثبتناه ، فإنّا لم نجد رواية حمّاد بن عثمان عن أبان</w:t>
      </w:r>
      <w:r>
        <w:rPr>
          <w:rtl/>
        </w:rPr>
        <w:t xml:space="preserve"> - </w:t>
      </w:r>
      <w:r w:rsidRPr="0046781C">
        <w:rPr>
          <w:rtl/>
        </w:rPr>
        <w:t>وهو ابن عثمان</w:t>
      </w:r>
      <w:r>
        <w:rPr>
          <w:rtl/>
        </w:rPr>
        <w:t xml:space="preserve"> - </w:t>
      </w:r>
      <w:r w:rsidRPr="0046781C">
        <w:rPr>
          <w:rtl/>
        </w:rPr>
        <w:t>في غير هذا المورد. يؤيّد ذلك أنّ الخبر رواه الصدوق</w:t>
      </w:r>
      <w:r>
        <w:rPr>
          <w:rtl/>
        </w:rPr>
        <w:t xml:space="preserve"> - </w:t>
      </w:r>
      <w:r w:rsidRPr="0046781C">
        <w:rPr>
          <w:rtl/>
        </w:rPr>
        <w:t>مع زيادة</w:t>
      </w:r>
      <w:r>
        <w:rPr>
          <w:rtl/>
        </w:rPr>
        <w:t xml:space="preserve"> - </w:t>
      </w:r>
      <w:r w:rsidRPr="0046781C">
        <w:rPr>
          <w:rtl/>
        </w:rPr>
        <w:t xml:space="preserve">في </w:t>
      </w:r>
      <w:r w:rsidRPr="004148D6">
        <w:rPr>
          <w:rtl/>
        </w:rPr>
        <w:t>الأمالي</w:t>
      </w:r>
      <w:r w:rsidRPr="0046781C">
        <w:rPr>
          <w:rtl/>
        </w:rPr>
        <w:t xml:space="preserve"> ، ص 287 ، المجلس 56 ، ح 3 ؛ و</w:t>
      </w:r>
      <w:r w:rsidRPr="004148D6">
        <w:rPr>
          <w:rtl/>
        </w:rPr>
        <w:t>الخصال</w:t>
      </w:r>
      <w:r w:rsidRPr="0046781C">
        <w:rPr>
          <w:rtl/>
        </w:rPr>
        <w:t xml:space="preserve"> ، ص 149 ، ح 182 ، بسنديه عن أحمد بن محمّد بن أبي نصر البزنطي ، عن حمّاد بن عثمان ، عن عبد الله بن أبي يعفور. أضف إلى ذلك ما ورد في الأسناد من رواية حمّاد بن عثمان [ عن عبدالله ] بن أبي يعفور مباشرةً ، وأنّ طريق الشيخ الصدوق إلى عبدالله بن أبي يعفور ينتهي إلى حمّاد بن عثمان. راجع : </w:t>
      </w:r>
      <w:r w:rsidRPr="004148D6">
        <w:rPr>
          <w:rtl/>
        </w:rPr>
        <w:t>معجم رجال الحديث</w:t>
      </w:r>
      <w:r w:rsidRPr="0046781C">
        <w:rPr>
          <w:rtl/>
        </w:rPr>
        <w:t xml:space="preserve"> ، ج 6 ، ص 406 ؛ وص 412 ؛ </w:t>
      </w:r>
      <w:r w:rsidRPr="004148D6">
        <w:rPr>
          <w:rtl/>
        </w:rPr>
        <w:t>الفقيه</w:t>
      </w:r>
      <w:r w:rsidRPr="0046781C">
        <w:rPr>
          <w:rtl/>
        </w:rPr>
        <w:t xml:space="preserve"> ، ج 4 ، ص 427.</w:t>
      </w:r>
    </w:p>
    <w:p w:rsidR="000C39D1" w:rsidRPr="00132E65" w:rsidRDefault="000C39D1" w:rsidP="00936037">
      <w:pPr>
        <w:pStyle w:val="libFootnote0"/>
        <w:rPr>
          <w:rtl/>
          <w:lang w:bidi="fa-IR"/>
        </w:rPr>
      </w:pPr>
      <w:r>
        <w:rPr>
          <w:rtl/>
        </w:rPr>
        <w:t>(6).</w:t>
      </w:r>
      <w:r w:rsidRPr="00132E65">
        <w:rPr>
          <w:rtl/>
        </w:rPr>
        <w:t xml:space="preserve"> في « ف » </w:t>
      </w:r>
      <w:r>
        <w:rPr>
          <w:rtl/>
        </w:rPr>
        <w:t xml:space="preserve">: - </w:t>
      </w:r>
      <w:r w:rsidRPr="00132E65">
        <w:rPr>
          <w:rtl/>
        </w:rPr>
        <w:t>« بمنى »</w:t>
      </w:r>
      <w:r>
        <w:rPr>
          <w:rtl/>
        </w:rPr>
        <w:t>.</w:t>
      </w:r>
    </w:p>
    <w:p w:rsidR="000C39D1" w:rsidRPr="00132E65" w:rsidRDefault="000C39D1" w:rsidP="00714BFC">
      <w:pPr>
        <w:pStyle w:val="libFootnote0"/>
        <w:rPr>
          <w:rtl/>
          <w:lang w:bidi="fa-IR"/>
        </w:rPr>
      </w:pPr>
      <w:r>
        <w:rPr>
          <w:rtl/>
        </w:rPr>
        <w:t>(7).</w:t>
      </w:r>
      <w:r w:rsidRPr="00132E65">
        <w:rPr>
          <w:rtl/>
        </w:rPr>
        <w:t xml:space="preserve"> </w:t>
      </w:r>
      <w:r w:rsidRPr="004148D6">
        <w:rPr>
          <w:rtl/>
        </w:rPr>
        <w:t>الأمالي</w:t>
      </w:r>
      <w:r w:rsidRPr="00132E65">
        <w:rPr>
          <w:rtl/>
        </w:rPr>
        <w:t xml:space="preserve"> للصدوق ، ص 350 ، المجلس 56 ، ح 3 ؛ و</w:t>
      </w:r>
      <w:r w:rsidRPr="004148D6">
        <w:rPr>
          <w:rtl/>
        </w:rPr>
        <w:t>الخصال</w:t>
      </w:r>
      <w:r w:rsidRPr="00132E65">
        <w:rPr>
          <w:rtl/>
        </w:rPr>
        <w:t xml:space="preserve"> ، ص 149 ، باب الثلاثة ، ح 182 ، بسندهما عن أحمد بن محمّد بن أبي نصر ، عن حمّاد بن عثمان ، عن عبد الله بن أبي يعفور</w:t>
      </w:r>
      <w:r w:rsidR="00714BFC">
        <w:rPr>
          <w:rFonts w:hint="cs"/>
          <w:rtl/>
        </w:rPr>
        <w:t>.</w:t>
      </w:r>
      <w:r w:rsidRPr="009D1ACE">
        <w:rPr>
          <w:rStyle w:val="libFootnoteBoldChar"/>
          <w:rtl/>
        </w:rPr>
        <w:t>الوافي</w:t>
      </w:r>
      <w:r w:rsidRPr="00132E65">
        <w:rPr>
          <w:rtl/>
        </w:rPr>
        <w:t xml:space="preserve"> ، ج 2 ، ص 98 ، ذيل ح 551 ؛ </w:t>
      </w:r>
      <w:r w:rsidRPr="004148D6">
        <w:rPr>
          <w:rtl/>
        </w:rPr>
        <w:t>الوسائل</w:t>
      </w:r>
      <w:r w:rsidRPr="00132E65">
        <w:rPr>
          <w:rtl/>
        </w:rPr>
        <w:t xml:space="preserve"> ، ج 29 ، ص 76 ، ذيل ح 35186 ، إلى قوله : « مثله »</w:t>
      </w:r>
      <w:r>
        <w:rPr>
          <w:rtl/>
        </w:rPr>
        <w:t>.</w:t>
      </w:r>
    </w:p>
    <w:p w:rsidR="000C39D1" w:rsidRPr="00132E65" w:rsidRDefault="000C39D1" w:rsidP="000C39D1">
      <w:pPr>
        <w:pStyle w:val="libFootnote0"/>
        <w:rPr>
          <w:rtl/>
          <w:lang w:bidi="fa-IR"/>
        </w:rPr>
      </w:pPr>
      <w:r>
        <w:rPr>
          <w:rtl/>
        </w:rPr>
        <w:t>(8).</w:t>
      </w:r>
      <w:r w:rsidRPr="00132E65">
        <w:rPr>
          <w:rtl/>
        </w:rPr>
        <w:t xml:space="preserve"> في الوسائل ، ج 27 </w:t>
      </w:r>
      <w:r>
        <w:rPr>
          <w:rtl/>
        </w:rPr>
        <w:t xml:space="preserve">: - </w:t>
      </w:r>
      <w:r w:rsidRPr="00132E65">
        <w:rPr>
          <w:rtl/>
        </w:rPr>
        <w:t>« من أهل مكّة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سُفْيَانُ الثَّوْرِيُّ : اذْهَبْ بِنَا إِلى جَعْفَرِ بْنِ مُحَمَّدٍ ، قَالَ : فَذَهَبْتُ مَعَهُ إِلَيْهِ ، فَوَجَدْنَاهُ قَدْ رَكِبَ دَابَّتَهُ </w:t>
      </w:r>
      <w:r>
        <w:rPr>
          <w:rStyle w:val="libFootnotenumChar"/>
          <w:rtl/>
        </w:rPr>
        <w:t>(1)</w:t>
      </w:r>
      <w:r w:rsidRPr="00132E65">
        <w:rPr>
          <w:rtl/>
          <w:lang w:bidi="fa-IR"/>
        </w:rPr>
        <w:t xml:space="preserve"> ، فَقَالَ لَهُ سُفْيَانُ : يَا أَبَا عَبْدِ اللهِ ، حَدِّثْنَا بِحَدِيثِ خُطْبَةِ رَسُولِ اللهِ </w:t>
      </w:r>
      <w:r w:rsidRPr="00071CF9">
        <w:rPr>
          <w:rStyle w:val="libAlaemChar"/>
          <w:rtl/>
        </w:rPr>
        <w:t>صلى‌الله‌عليه‌وآله‌وسلم</w:t>
      </w:r>
      <w:r w:rsidRPr="00132E65">
        <w:rPr>
          <w:rtl/>
          <w:lang w:bidi="fa-IR"/>
        </w:rPr>
        <w:t xml:space="preserve"> فِي مَسْجِدِ الْخَيْفِ ، قَالَ </w:t>
      </w:r>
      <w:r>
        <w:rPr>
          <w:rStyle w:val="libFootnotenumChar"/>
          <w:rtl/>
        </w:rPr>
        <w:t>(2)</w:t>
      </w:r>
      <w:r w:rsidRPr="00132E65">
        <w:rPr>
          <w:rtl/>
          <w:lang w:bidi="fa-IR"/>
        </w:rPr>
        <w:t xml:space="preserve"> : « دَعْنِي حَتّى أَذْهَبَ فِي حَاجَتِي ؛ فَإِنِّي قَدْ رَكِبْتُ ، فَإِذَا جِئْتُ حَدَّثْتُكَ »</w:t>
      </w:r>
      <w:r>
        <w:rPr>
          <w:rtl/>
          <w:lang w:bidi="fa-IR"/>
        </w:rPr>
        <w:t>.</w:t>
      </w:r>
    </w:p>
    <w:p w:rsidR="000C39D1" w:rsidRPr="00132E65" w:rsidRDefault="000C39D1" w:rsidP="000C39D1">
      <w:pPr>
        <w:pStyle w:val="libNormal"/>
        <w:rPr>
          <w:rtl/>
          <w:lang w:bidi="fa-IR"/>
        </w:rPr>
      </w:pPr>
      <w:r w:rsidRPr="00132E65">
        <w:rPr>
          <w:rtl/>
          <w:lang w:bidi="fa-IR"/>
        </w:rPr>
        <w:t xml:space="preserve">فَقَالَ : أَسْأَلُكَ بِقَرَابَتِكَ مِنْ رَسُولِ اللهِ </w:t>
      </w:r>
      <w:r w:rsidRPr="0093484F">
        <w:rPr>
          <w:rStyle w:val="libAlaemChar"/>
          <w:rFonts w:eastAsiaTheme="minorHAnsi"/>
          <w:rtl/>
        </w:rPr>
        <w:t>صلى‌الله‌عليه‌وآله</w:t>
      </w:r>
      <w:r w:rsidRPr="00132E65">
        <w:rPr>
          <w:rtl/>
          <w:lang w:bidi="fa-IR"/>
        </w:rPr>
        <w:t xml:space="preserve"> لَمَّا حَدَّثْتَنِي ، قَالَ : فَنَزَلَ ، فَقَالَ لَهُ </w:t>
      </w:r>
      <w:r>
        <w:rPr>
          <w:rStyle w:val="libFootnotenumChar"/>
          <w:rtl/>
        </w:rPr>
        <w:t>(3)</w:t>
      </w:r>
      <w:r w:rsidRPr="00132E65">
        <w:rPr>
          <w:rtl/>
          <w:lang w:bidi="fa-IR"/>
        </w:rPr>
        <w:t xml:space="preserve"> سُفْيَانُ </w:t>
      </w:r>
      <w:r>
        <w:rPr>
          <w:rStyle w:val="libFootnotenumChar"/>
          <w:rtl/>
        </w:rPr>
        <w:t>(4)</w:t>
      </w:r>
      <w:r w:rsidRPr="00132E65">
        <w:rPr>
          <w:rtl/>
          <w:lang w:bidi="fa-IR"/>
        </w:rPr>
        <w:t xml:space="preserve"> : مُرْ </w:t>
      </w:r>
      <w:r>
        <w:rPr>
          <w:rStyle w:val="libFootnotenumChar"/>
          <w:rtl/>
        </w:rPr>
        <w:t>(5)</w:t>
      </w:r>
      <w:r w:rsidRPr="00132E65">
        <w:rPr>
          <w:rtl/>
          <w:lang w:bidi="fa-IR"/>
        </w:rPr>
        <w:t xml:space="preserve"> لِي بِدَوَاةٍ وقِرْطَاسٍ حَتّى أُثْبِتَهُ ، فَدَعَا بِهِ </w:t>
      </w:r>
      <w:r>
        <w:rPr>
          <w:rStyle w:val="libFootnotenumChar"/>
          <w:rtl/>
        </w:rPr>
        <w:t>(6)</w:t>
      </w:r>
      <w:r w:rsidRPr="00132E65">
        <w:rPr>
          <w:rtl/>
          <w:lang w:bidi="fa-IR"/>
        </w:rPr>
        <w:t xml:space="preserve"> ، ثُمَّ قَالَ : « اكْتُبْ : بِسْمِ اللهِ الرَّحْمنِ الرَّحِيمِ ، خُطْبَةُ </w:t>
      </w:r>
      <w:r>
        <w:rPr>
          <w:rStyle w:val="libFootnotenumChar"/>
          <w:rtl/>
        </w:rPr>
        <w:t>(7)</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فِي مَسْجِدِ الْخَيْفِ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نَضَّرَ </w:t>
      </w:r>
      <w:r>
        <w:rPr>
          <w:rStyle w:val="libFootnotenumChar"/>
          <w:rtl/>
        </w:rPr>
        <w:t>(9)</w:t>
      </w:r>
      <w:r w:rsidRPr="00132E65">
        <w:rPr>
          <w:rtl/>
          <w:lang w:bidi="fa-IR"/>
        </w:rPr>
        <w:t xml:space="preserve"> اللهُ عَبْداً سَمِعَ مَقَالَتِي فَوَعَاهَا ، وبَلَّغَهَا مَنْ لَمْ تَبْلُغْهُ </w:t>
      </w:r>
      <w:r>
        <w:rPr>
          <w:rStyle w:val="libFootnotenumChar"/>
          <w:rtl/>
        </w:rPr>
        <w:t>(10)</w:t>
      </w:r>
      <w:r w:rsidRPr="00132E65">
        <w:rPr>
          <w:rtl/>
          <w:lang w:bidi="fa-IR"/>
        </w:rPr>
        <w:t xml:space="preserve"> ، يَا أَيُّهَا النَّاسُ ، لِيُبَلِّغِ الشَّاهِدُ </w:t>
      </w:r>
      <w:r>
        <w:rPr>
          <w:rStyle w:val="libFootnotenumChar"/>
          <w:rtl/>
        </w:rPr>
        <w:t>(11)</w:t>
      </w:r>
      <w:r w:rsidRPr="00132E65">
        <w:rPr>
          <w:rtl/>
          <w:lang w:bidi="fa-IR"/>
        </w:rPr>
        <w:t xml:space="preserve"> الْغَائِبَ ؛ فَرُبَّ حَامِلِ فِقْهٍ لَيْسَ بِفَقِيهٍ ، ورُبَّ حَامِلِ فِقْهٍ إِلى مَنْ هُوَ أَفْقَهُ مِنْهُ ، ثَلَاثٌ لَايُغِلُّ عَلَيْهِنَّ قَلْبُ امْرِئٍ مُسْلِمٍ : إِخْلَاصُ الْعَمَلِ لِلّهِ ، والنَّصِيحَةُ لِأَئِمَّةِ الْمُسْلِمِينَ ، واللُّزُومُ لِجَمَاعَتِهِمْ ؛ فَإِنَّ دَعْوَتَهُمْ مُحِيطَةٌ مِنْ ورَائِهِمْ ، الْمُؤْمِنُونَ إِخْوَةٌ ، تَتَكَافَأُ </w:t>
      </w:r>
      <w:r>
        <w:rPr>
          <w:rStyle w:val="libFootnotenumChar"/>
          <w:rtl/>
        </w:rPr>
        <w:t>(12)</w:t>
      </w:r>
      <w:r w:rsidRPr="00132E65">
        <w:rPr>
          <w:rtl/>
          <w:lang w:bidi="fa-IR"/>
        </w:rPr>
        <w:t xml:space="preserve"> دِمَاؤُهُمْ ، وهُمْ يَدٌ عَلى مَنْ سِوَاهُمْ ، يَسْعى بِذِمَّتِهِمْ أَدْنَاهُمْ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الوسائل ، ج 27 </w:t>
      </w:r>
      <w:r>
        <w:rPr>
          <w:rtl/>
        </w:rPr>
        <w:t xml:space="preserve">: - </w:t>
      </w:r>
      <w:r w:rsidRPr="00132E65">
        <w:rPr>
          <w:rtl/>
        </w:rPr>
        <w:t>« فوجدناه قد ركب دابّته »</w:t>
      </w:r>
      <w:r>
        <w:rPr>
          <w:rtl/>
        </w:rPr>
        <w:t>.</w:t>
      </w:r>
    </w:p>
    <w:p w:rsidR="000C39D1" w:rsidRPr="00132E65" w:rsidRDefault="000C39D1" w:rsidP="000C39D1">
      <w:pPr>
        <w:pStyle w:val="libFootnote0"/>
        <w:rPr>
          <w:rtl/>
          <w:lang w:bidi="fa-IR"/>
        </w:rPr>
      </w:pPr>
      <w:r>
        <w:rPr>
          <w:rtl/>
        </w:rPr>
        <w:t>(2).</w:t>
      </w:r>
      <w:r w:rsidRPr="00132E65">
        <w:rPr>
          <w:rtl/>
        </w:rPr>
        <w:t xml:space="preserve"> في « ف » : « فقال »</w:t>
      </w:r>
      <w:r>
        <w:rPr>
          <w:rtl/>
        </w:rPr>
        <w:t>.</w:t>
      </w:r>
    </w:p>
    <w:p w:rsidR="000C39D1" w:rsidRPr="00132E65" w:rsidRDefault="000C39D1" w:rsidP="000C39D1">
      <w:pPr>
        <w:pStyle w:val="libFootnote0"/>
        <w:rPr>
          <w:rtl/>
          <w:lang w:bidi="fa-IR"/>
        </w:rPr>
      </w:pPr>
      <w:r>
        <w:rPr>
          <w:rtl/>
        </w:rPr>
        <w:t>(3).</w:t>
      </w:r>
      <w:r w:rsidRPr="00132E65">
        <w:rPr>
          <w:rtl/>
        </w:rPr>
        <w:t xml:space="preserve"> في الوسائل ، ج 27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في البحار ، ج 27 </w:t>
      </w:r>
      <w:r>
        <w:rPr>
          <w:rtl/>
        </w:rPr>
        <w:t xml:space="preserve">: - </w:t>
      </w:r>
      <w:r w:rsidRPr="00132E65">
        <w:rPr>
          <w:rtl/>
        </w:rPr>
        <w:t>« له سفيان »</w:t>
      </w:r>
      <w:r>
        <w:rPr>
          <w:rtl/>
        </w:rPr>
        <w:t>.</w:t>
      </w:r>
    </w:p>
    <w:p w:rsidR="000C39D1" w:rsidRPr="00132E65" w:rsidRDefault="000C39D1" w:rsidP="000C39D1">
      <w:pPr>
        <w:pStyle w:val="libFootnote0"/>
        <w:rPr>
          <w:rtl/>
          <w:lang w:bidi="fa-IR"/>
        </w:rPr>
      </w:pPr>
      <w:r>
        <w:rPr>
          <w:rtl/>
        </w:rPr>
        <w:t>(5).</w:t>
      </w:r>
      <w:r w:rsidRPr="00132E65">
        <w:rPr>
          <w:rtl/>
        </w:rPr>
        <w:t xml:space="preserve"> في « ض ، بف » وحاشية « بس » : « مُنّ »</w:t>
      </w:r>
      <w:r>
        <w:rPr>
          <w:rtl/>
        </w:rPr>
        <w:t>.</w:t>
      </w:r>
      <w:r w:rsidRPr="00132E65">
        <w:rPr>
          <w:rtl/>
        </w:rPr>
        <w:t xml:space="preserve"> وفي « بح ، بس » وحاشية « ج » و</w:t>
      </w:r>
      <w:r w:rsidRPr="009D1ACE">
        <w:rPr>
          <w:rStyle w:val="libFootnoteBoldChar"/>
          <w:rtl/>
        </w:rPr>
        <w:t>مرآة العقول</w:t>
      </w:r>
      <w:r w:rsidRPr="00132E65">
        <w:rPr>
          <w:rtl/>
        </w:rPr>
        <w:t xml:space="preserve"> : « من »</w:t>
      </w:r>
      <w:r>
        <w:rPr>
          <w:rtl/>
        </w:rPr>
        <w:t>.</w:t>
      </w:r>
      <w:r w:rsidRPr="00132E65">
        <w:rPr>
          <w:rtl/>
        </w:rPr>
        <w:t xml:space="preserve"> قال في </w:t>
      </w:r>
      <w:r w:rsidRPr="009D1ACE">
        <w:rPr>
          <w:rStyle w:val="libFootnoteBoldChar"/>
          <w:rtl/>
        </w:rPr>
        <w:t>مرآة العقول</w:t>
      </w:r>
      <w:r w:rsidRPr="00132E65">
        <w:rPr>
          <w:rtl/>
        </w:rPr>
        <w:t xml:space="preserve"> : « بالفتح والتخفيف سؤال في صورة الاستفهام ، أو بالضمّ والتشديد صيغة أمر ، أي تفضّل »</w:t>
      </w:r>
      <w:r>
        <w:rPr>
          <w:rtl/>
        </w:rPr>
        <w:t>.</w:t>
      </w:r>
      <w:r w:rsidR="00C974E6">
        <w:rPr>
          <w:rtl/>
        </w:rPr>
        <w:t xml:space="preserve"> وقال العل</w:t>
      </w:r>
      <w:r w:rsidR="00C974E6">
        <w:rPr>
          <w:rFonts w:hint="cs"/>
          <w:rtl/>
        </w:rPr>
        <w:t>ّ</w:t>
      </w:r>
      <w:r w:rsidR="00C974E6">
        <w:rPr>
          <w:rtl/>
        </w:rPr>
        <w:t>ا</w:t>
      </w:r>
      <w:r w:rsidRPr="00132E65">
        <w:rPr>
          <w:rtl/>
        </w:rPr>
        <w:t>مة المازندراني في شرحه : « والاستفهام بعيد »</w:t>
      </w:r>
      <w:r>
        <w:rPr>
          <w:rtl/>
        </w:rPr>
        <w:t>.</w:t>
      </w:r>
    </w:p>
    <w:tbl>
      <w:tblPr>
        <w:tblStyle w:val="TableGrid"/>
        <w:bidiVisual/>
        <w:tblW w:w="0" w:type="auto"/>
        <w:tblLook w:val="04A0" w:firstRow="1" w:lastRow="0" w:firstColumn="1" w:lastColumn="0" w:noHBand="0" w:noVBand="1"/>
      </w:tblPr>
      <w:tblGrid>
        <w:gridCol w:w="4006"/>
        <w:gridCol w:w="4006"/>
      </w:tblGrid>
      <w:tr w:rsidR="00C974E6" w:rsidTr="00C974E6">
        <w:tc>
          <w:tcPr>
            <w:tcW w:w="4006" w:type="dxa"/>
          </w:tcPr>
          <w:p w:rsidR="00C974E6" w:rsidRDefault="00C974E6" w:rsidP="000C39D1">
            <w:pPr>
              <w:pStyle w:val="libFootnote0"/>
              <w:rPr>
                <w:rtl/>
                <w:lang w:bidi="fa-IR"/>
              </w:rPr>
            </w:pPr>
            <w:r>
              <w:rPr>
                <w:rtl/>
              </w:rPr>
              <w:t>(6).</w:t>
            </w:r>
            <w:r w:rsidRPr="00132E65">
              <w:rPr>
                <w:rtl/>
              </w:rPr>
              <w:t xml:space="preserve"> في « ف » : « فدعا له »</w:t>
            </w:r>
            <w:r>
              <w:rPr>
                <w:rtl/>
              </w:rPr>
              <w:t>.</w:t>
            </w:r>
          </w:p>
        </w:tc>
        <w:tc>
          <w:tcPr>
            <w:tcW w:w="4006" w:type="dxa"/>
          </w:tcPr>
          <w:p w:rsidR="00C974E6" w:rsidRDefault="00C974E6" w:rsidP="000C39D1">
            <w:pPr>
              <w:pStyle w:val="libFootnote0"/>
              <w:rPr>
                <w:rtl/>
                <w:lang w:bidi="fa-IR"/>
              </w:rPr>
            </w:pPr>
            <w:r>
              <w:rPr>
                <w:rtl/>
              </w:rPr>
              <w:t>(7).</w:t>
            </w:r>
            <w:r w:rsidRPr="00132E65">
              <w:rPr>
                <w:rtl/>
              </w:rPr>
              <w:t xml:space="preserve"> في « ف » : « خطب »</w:t>
            </w:r>
            <w:r>
              <w:rPr>
                <w:rtl/>
              </w:rPr>
              <w:t>.</w:t>
            </w:r>
          </w:p>
        </w:tc>
      </w:tr>
    </w:tbl>
    <w:p w:rsidR="000C39D1" w:rsidRPr="00132E65" w:rsidRDefault="000C39D1" w:rsidP="000C39D1">
      <w:pPr>
        <w:pStyle w:val="libFootnote0"/>
        <w:rPr>
          <w:rtl/>
          <w:lang w:bidi="fa-IR"/>
        </w:rPr>
      </w:pPr>
      <w:r>
        <w:rPr>
          <w:rtl/>
        </w:rPr>
        <w:t>(8).</w:t>
      </w:r>
      <w:r w:rsidRPr="00132E65">
        <w:rPr>
          <w:rtl/>
        </w:rPr>
        <w:t xml:space="preserve"> في البحار ، ج 21 </w:t>
      </w:r>
      <w:r>
        <w:rPr>
          <w:rtl/>
        </w:rPr>
        <w:t xml:space="preserve">: - </w:t>
      </w:r>
      <w:r w:rsidRPr="00132E65">
        <w:rPr>
          <w:rtl/>
        </w:rPr>
        <w:t>« قال دعني حتّى</w:t>
      </w:r>
      <w:r>
        <w:rPr>
          <w:rtl/>
        </w:rPr>
        <w:t xml:space="preserve"> - </w:t>
      </w:r>
      <w:r w:rsidRPr="00132E65">
        <w:rPr>
          <w:rtl/>
        </w:rPr>
        <w:t>إلى</w:t>
      </w:r>
      <w:r>
        <w:rPr>
          <w:rtl/>
        </w:rPr>
        <w:t xml:space="preserve"> - </w:t>
      </w:r>
      <w:r w:rsidRPr="00132E65">
        <w:rPr>
          <w:rtl/>
        </w:rPr>
        <w:t>مسجد الخيف »</w:t>
      </w:r>
      <w:r>
        <w:rPr>
          <w:rtl/>
        </w:rPr>
        <w:t>.</w:t>
      </w:r>
    </w:p>
    <w:p w:rsidR="000C39D1" w:rsidRPr="00132E65" w:rsidRDefault="000C39D1" w:rsidP="000C39D1">
      <w:pPr>
        <w:pStyle w:val="libFootnote0"/>
        <w:rPr>
          <w:rtl/>
          <w:lang w:bidi="fa-IR"/>
        </w:rPr>
      </w:pPr>
      <w:r>
        <w:rPr>
          <w:rtl/>
        </w:rPr>
        <w:t>(9).</w:t>
      </w:r>
      <w:r w:rsidRPr="00132E65">
        <w:rPr>
          <w:rtl/>
        </w:rPr>
        <w:t xml:space="preserve"> في البحار ، ج 47 : « نصر »</w:t>
      </w:r>
      <w:r>
        <w:rPr>
          <w:rtl/>
        </w:rPr>
        <w:t>.</w:t>
      </w:r>
    </w:p>
    <w:p w:rsidR="000C39D1" w:rsidRPr="00132E65" w:rsidRDefault="000C39D1" w:rsidP="000C39D1">
      <w:pPr>
        <w:pStyle w:val="libFootnote0"/>
        <w:rPr>
          <w:rtl/>
          <w:lang w:bidi="fa-IR"/>
        </w:rPr>
      </w:pPr>
      <w:r>
        <w:rPr>
          <w:rtl/>
        </w:rPr>
        <w:t>(10).</w:t>
      </w:r>
      <w:r w:rsidRPr="00132E65">
        <w:rPr>
          <w:rtl/>
        </w:rPr>
        <w:t xml:space="preserve"> في « ف » : « لم يسمعها »</w:t>
      </w:r>
      <w:r>
        <w:rPr>
          <w:rtl/>
        </w:rPr>
        <w:t>.</w:t>
      </w:r>
      <w:r w:rsidRPr="00132E65">
        <w:rPr>
          <w:rtl/>
        </w:rPr>
        <w:t xml:space="preserve"> وفي البحار ، ج 21 : « لم يبلغه »</w:t>
      </w:r>
      <w:r>
        <w:rPr>
          <w:rtl/>
        </w:rPr>
        <w:t>.</w:t>
      </w:r>
    </w:p>
    <w:tbl>
      <w:tblPr>
        <w:tblStyle w:val="TableGrid"/>
        <w:bidiVisual/>
        <w:tblW w:w="0" w:type="auto"/>
        <w:tblLook w:val="04A0" w:firstRow="1" w:lastRow="0" w:firstColumn="1" w:lastColumn="0" w:noHBand="0" w:noVBand="1"/>
      </w:tblPr>
      <w:tblGrid>
        <w:gridCol w:w="4006"/>
        <w:gridCol w:w="4006"/>
      </w:tblGrid>
      <w:tr w:rsidR="00C974E6" w:rsidTr="00C974E6">
        <w:tc>
          <w:tcPr>
            <w:tcW w:w="4006" w:type="dxa"/>
          </w:tcPr>
          <w:p w:rsidR="00C974E6" w:rsidRDefault="00C974E6" w:rsidP="000C39D1">
            <w:pPr>
              <w:pStyle w:val="libFootnote0"/>
              <w:rPr>
                <w:rtl/>
              </w:rPr>
            </w:pPr>
            <w:r>
              <w:rPr>
                <w:rtl/>
              </w:rPr>
              <w:t>(11).</w:t>
            </w:r>
            <w:r w:rsidRPr="00132E65">
              <w:rPr>
                <w:rtl/>
              </w:rPr>
              <w:t xml:space="preserve"> في « ض » :</w:t>
            </w:r>
            <w:r>
              <w:rPr>
                <w:rtl/>
              </w:rPr>
              <w:t xml:space="preserve"> + </w:t>
            </w:r>
            <w:r w:rsidRPr="00132E65">
              <w:rPr>
                <w:rtl/>
              </w:rPr>
              <w:t>« منكم »</w:t>
            </w:r>
            <w:r>
              <w:rPr>
                <w:rtl/>
              </w:rPr>
              <w:t>.</w:t>
            </w:r>
          </w:p>
        </w:tc>
        <w:tc>
          <w:tcPr>
            <w:tcW w:w="4006" w:type="dxa"/>
          </w:tcPr>
          <w:p w:rsidR="00C974E6" w:rsidRDefault="00C974E6" w:rsidP="000C39D1">
            <w:pPr>
              <w:pStyle w:val="libFootnote0"/>
              <w:rPr>
                <w:rtl/>
              </w:rPr>
            </w:pPr>
            <w:r>
              <w:rPr>
                <w:rtl/>
              </w:rPr>
              <w:t>(12).</w:t>
            </w:r>
            <w:r w:rsidRPr="00132E65">
              <w:rPr>
                <w:rtl/>
              </w:rPr>
              <w:t xml:space="preserve"> في « ف » : « يتكافأ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فَكَتَبَهُ </w:t>
      </w:r>
      <w:r>
        <w:rPr>
          <w:rStyle w:val="libFootnotenumChar"/>
          <w:rtl/>
        </w:rPr>
        <w:t>(1)</w:t>
      </w:r>
      <w:r w:rsidRPr="00132E65">
        <w:rPr>
          <w:rtl/>
          <w:lang w:bidi="fa-IR"/>
        </w:rPr>
        <w:t xml:space="preserve"> سُفْيَانُ </w:t>
      </w:r>
      <w:r>
        <w:rPr>
          <w:rStyle w:val="libFootnotenumChar"/>
          <w:rtl/>
        </w:rPr>
        <w:t>(2)</w:t>
      </w:r>
      <w:r w:rsidRPr="00132E65">
        <w:rPr>
          <w:rtl/>
          <w:lang w:bidi="fa-IR"/>
        </w:rPr>
        <w:t xml:space="preserve"> ، ثُمَّ عَرَضَهُ عَلَيْهِ ، ورَكِبَ أَبُو عَبْدِ اللهِ </w:t>
      </w:r>
      <w:r w:rsidRPr="00071CF9">
        <w:rPr>
          <w:rStyle w:val="libAlaemChar"/>
          <w:rtl/>
        </w:rPr>
        <w:t>عليه‌السلام</w:t>
      </w:r>
      <w:r w:rsidRPr="00132E65">
        <w:rPr>
          <w:rtl/>
          <w:lang w:bidi="fa-IR"/>
        </w:rPr>
        <w:t xml:space="preserve"> ، وجِئْتُ أَنَا وسُفْيَانُ.</w:t>
      </w:r>
    </w:p>
    <w:p w:rsidR="000C39D1" w:rsidRPr="00132E65" w:rsidRDefault="000C39D1" w:rsidP="000C39D1">
      <w:pPr>
        <w:pStyle w:val="libNormal"/>
        <w:rPr>
          <w:rtl/>
          <w:lang w:bidi="fa-IR"/>
        </w:rPr>
      </w:pPr>
      <w:r w:rsidRPr="00132E65">
        <w:rPr>
          <w:rtl/>
          <w:lang w:bidi="fa-IR"/>
        </w:rPr>
        <w:t xml:space="preserve">فَلَمَّا كُنَّا فِي بَعْضِ الطَّرِيقِ ، قَالَ </w:t>
      </w:r>
      <w:r>
        <w:rPr>
          <w:rStyle w:val="libFootnotenumChar"/>
          <w:rtl/>
        </w:rPr>
        <w:t>(3)</w:t>
      </w:r>
      <w:r w:rsidRPr="00132E65">
        <w:rPr>
          <w:rtl/>
          <w:lang w:bidi="fa-IR"/>
        </w:rPr>
        <w:t xml:space="preserve"> لِي : كَمَا أَنْتَ </w:t>
      </w:r>
      <w:r>
        <w:rPr>
          <w:rStyle w:val="libFootnotenumChar"/>
          <w:rtl/>
        </w:rPr>
        <w:t>(4)</w:t>
      </w:r>
      <w:r w:rsidRPr="00132E65">
        <w:rPr>
          <w:rtl/>
          <w:lang w:bidi="fa-IR"/>
        </w:rPr>
        <w:t xml:space="preserve"> حَتّى أَنْظُرَ فِي هذَا الْحَدِيثِ ، فَقُلْتُ لَهُ : قَدْ واللهِ أَلْزَمَ أَبُو عَبْدِ اللهِ </w:t>
      </w:r>
      <w:r w:rsidRPr="00071CF9">
        <w:rPr>
          <w:rStyle w:val="libAlaemChar"/>
          <w:rtl/>
        </w:rPr>
        <w:t>عليه‌السلام</w:t>
      </w:r>
      <w:r w:rsidRPr="00132E65">
        <w:rPr>
          <w:rtl/>
          <w:lang w:bidi="fa-IR"/>
        </w:rPr>
        <w:t xml:space="preserve"> رَقَبَتَكَ شَيْئاً لَايَذْهَبُ مِنْ رَقَبَتِكَ أَبَداً ، فَقَالَ : وأَيُّ شَيْ‌ءٍ ذلِكَ</w:t>
      </w:r>
      <w:r>
        <w:rPr>
          <w:rtl/>
          <w:lang w:bidi="fa-IR"/>
        </w:rPr>
        <w:t>؟</w:t>
      </w:r>
      <w:r w:rsidRPr="00132E65">
        <w:rPr>
          <w:rtl/>
          <w:lang w:bidi="fa-IR"/>
        </w:rPr>
        <w:t xml:space="preserve"> فَقُلْتُ </w:t>
      </w:r>
      <w:r>
        <w:rPr>
          <w:rStyle w:val="libFootnotenumChar"/>
          <w:rtl/>
        </w:rPr>
        <w:t>(5)</w:t>
      </w:r>
      <w:r w:rsidRPr="00132E65">
        <w:rPr>
          <w:rtl/>
          <w:lang w:bidi="fa-IR"/>
        </w:rPr>
        <w:t xml:space="preserve"> لَهُ </w:t>
      </w:r>
      <w:r>
        <w:rPr>
          <w:rStyle w:val="libFootnotenumChar"/>
          <w:rtl/>
        </w:rPr>
        <w:t>(6)</w:t>
      </w:r>
      <w:r w:rsidRPr="00132E65">
        <w:rPr>
          <w:rtl/>
          <w:lang w:bidi="fa-IR"/>
        </w:rPr>
        <w:t xml:space="preserve"> : ثَلَاثٌ لَايُغِلُّ عَلَيْهِنَّ قَلْبُ امْرِئٍ مُسْلِمٍ : « إِخْلَاصُ الْعَمَلِ لِلّهِ » قَدْ عَرَفْنَاهُ ، </w:t>
      </w:r>
      <w:r>
        <w:rPr>
          <w:rtl/>
          <w:lang w:bidi="fa-IR"/>
        </w:rPr>
        <w:t>و «</w:t>
      </w:r>
      <w:r w:rsidRPr="00132E65">
        <w:rPr>
          <w:rtl/>
          <w:lang w:bidi="fa-IR"/>
        </w:rPr>
        <w:t xml:space="preserve"> النَّصِيحَةُ لِأَئِمَّةِ الْمُسْلِمِينَ » مَنْ هؤُلَاءِ الْأَئِمَّةُ الَّذِينَ يَجِبُ </w:t>
      </w:r>
      <w:r>
        <w:rPr>
          <w:rStyle w:val="libFootnotenumChar"/>
          <w:rtl/>
        </w:rPr>
        <w:t>(7)</w:t>
      </w:r>
      <w:r w:rsidRPr="00132E65">
        <w:rPr>
          <w:rtl/>
          <w:lang w:bidi="fa-IR"/>
        </w:rPr>
        <w:t xml:space="preserve"> عَلَيْنَا نَصِيحَتُهُمْ</w:t>
      </w:r>
      <w:r>
        <w:rPr>
          <w:rtl/>
          <w:lang w:bidi="fa-IR"/>
        </w:rPr>
        <w:t>؟</w:t>
      </w:r>
      <w:r w:rsidRPr="00132E65">
        <w:rPr>
          <w:rtl/>
          <w:lang w:bidi="fa-IR"/>
        </w:rPr>
        <w:t xml:space="preserve"> مُعَاوِيَةُ بْنُ أَبِي سُفْيَانَ ، ويَزِيدُ بْنُ مُعَاوِيَةَ ، ومَرْوَانُ بْنُ الْحَكَمِ ، وَكُلُّ مَنْ </w:t>
      </w:r>
      <w:r>
        <w:rPr>
          <w:rStyle w:val="libFootnotenumChar"/>
          <w:rtl/>
        </w:rPr>
        <w:t>(8)</w:t>
      </w:r>
      <w:r w:rsidRPr="00132E65">
        <w:rPr>
          <w:rtl/>
          <w:lang w:bidi="fa-IR"/>
        </w:rPr>
        <w:t xml:space="preserve"> لَاتَجُوزُ </w:t>
      </w:r>
      <w:r>
        <w:rPr>
          <w:rStyle w:val="libFootnotenumChar"/>
          <w:rtl/>
        </w:rPr>
        <w:t>(9)</w:t>
      </w:r>
      <w:r w:rsidRPr="00132E65">
        <w:rPr>
          <w:rtl/>
          <w:lang w:bidi="fa-IR"/>
        </w:rPr>
        <w:t xml:space="preserve"> شَهَادَتُهُ عِنْدَنَا ، ولَاتَجُوزُ </w:t>
      </w:r>
      <w:r>
        <w:rPr>
          <w:rStyle w:val="libFootnotenumChar"/>
          <w:rtl/>
        </w:rPr>
        <w:t>(10)</w:t>
      </w:r>
      <w:r w:rsidRPr="00132E65">
        <w:rPr>
          <w:rtl/>
          <w:lang w:bidi="fa-IR"/>
        </w:rPr>
        <w:t xml:space="preserve"> الصَّلَاةُ خَلْفَهُمْ</w:t>
      </w:r>
      <w:r>
        <w:rPr>
          <w:rtl/>
          <w:lang w:bidi="fa-IR"/>
        </w:rPr>
        <w:t>؟!</w:t>
      </w:r>
      <w:r w:rsidRPr="00132E65">
        <w:rPr>
          <w:rtl/>
          <w:lang w:bidi="fa-IR"/>
        </w:rPr>
        <w:t xml:space="preserve"> وقَوْلُهُ : « وَاللُّزُومُ لِجَمَاعَتِهِمْ » فَأَيُّ الْجَمَاعَةِ</w:t>
      </w:r>
      <w:r>
        <w:rPr>
          <w:rtl/>
          <w:lang w:bidi="fa-IR"/>
        </w:rPr>
        <w:t>؟</w:t>
      </w:r>
      <w:r w:rsidRPr="00132E65">
        <w:rPr>
          <w:rtl/>
          <w:lang w:bidi="fa-IR"/>
        </w:rPr>
        <w:t xml:space="preserve"> مُرْجِئٌ </w:t>
      </w:r>
      <w:r>
        <w:rPr>
          <w:rStyle w:val="libFootnotenumChar"/>
          <w:rtl/>
        </w:rPr>
        <w:t>(11)</w:t>
      </w:r>
      <w:r w:rsidRPr="00132E65">
        <w:rPr>
          <w:rtl/>
          <w:lang w:bidi="fa-IR"/>
        </w:rPr>
        <w:t xml:space="preserve"> يَقُولُ : مَنْ لَمْ يُصَلِّ ، ولَمْ يَصُمْ ، ولَمْ يَغْتَسِلْ مِنْ جَنَابَةٍ ، وهَدَمَ الْكَعْبَةَ ، ونَكَحَ أُمَّهُ ، فَهُوَ عَلى إِيمَانِ جَبْرَئِيلَ ومِيكَائِيلَ ، أَوْ قَدَرِيٌّ </w:t>
      </w:r>
      <w:r>
        <w:rPr>
          <w:rStyle w:val="libFootnotenumChar"/>
          <w:rtl/>
        </w:rPr>
        <w:t>(12)</w:t>
      </w:r>
      <w:r w:rsidRPr="00132E65">
        <w:rPr>
          <w:rtl/>
          <w:lang w:bidi="fa-IR"/>
        </w:rPr>
        <w:t xml:space="preserve"> يَقُولُ : لَايَكُونُ مَا شَاءَ اللهُ عَزَّ وجَلَّ ويَكُونُ مَا شَاءَ </w:t>
      </w:r>
      <w:r w:rsidRPr="00F543F1">
        <w:rPr>
          <w:rStyle w:val="libFootnotenumChar"/>
          <w:rtl/>
        </w:rPr>
        <w:t>(13)</w:t>
      </w:r>
      <w:r w:rsidRPr="00132E65">
        <w:rPr>
          <w:rtl/>
          <w:lang w:bidi="fa-IR"/>
        </w:rPr>
        <w:t xml:space="preserve"> إِبْلِيسُ ، أَوْ حَرُورِيٌّ </w:t>
      </w:r>
      <w:r w:rsidRPr="00F543F1">
        <w:rPr>
          <w:rStyle w:val="libFootnotenumChar"/>
          <w:rtl/>
        </w:rPr>
        <w:t>(14)</w:t>
      </w:r>
      <w:r w:rsidRPr="00132E65">
        <w:rPr>
          <w:rtl/>
          <w:lang w:bidi="fa-IR"/>
        </w:rPr>
        <w:t xml:space="preserve"> يَتَبَرَّأُ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64BF0" w:rsidTr="00C64BF0">
        <w:tc>
          <w:tcPr>
            <w:tcW w:w="4006" w:type="dxa"/>
          </w:tcPr>
          <w:p w:rsidR="00C64BF0" w:rsidRDefault="00C64BF0" w:rsidP="000C39D1">
            <w:pPr>
              <w:pStyle w:val="libFootnote0"/>
              <w:rPr>
                <w:rtl/>
              </w:rPr>
            </w:pPr>
            <w:r>
              <w:rPr>
                <w:rtl/>
              </w:rPr>
              <w:t>(1).</w:t>
            </w:r>
            <w:r w:rsidRPr="00132E65">
              <w:rPr>
                <w:rtl/>
              </w:rPr>
              <w:t xml:space="preserve"> في « ج » : « فكتب »</w:t>
            </w:r>
            <w:r>
              <w:rPr>
                <w:rtl/>
              </w:rPr>
              <w:t>.</w:t>
            </w:r>
          </w:p>
        </w:tc>
        <w:tc>
          <w:tcPr>
            <w:tcW w:w="4006" w:type="dxa"/>
          </w:tcPr>
          <w:p w:rsidR="00C64BF0" w:rsidRDefault="00C64BF0" w:rsidP="000C39D1">
            <w:pPr>
              <w:pStyle w:val="libFootnote0"/>
              <w:rPr>
                <w:rtl/>
              </w:rPr>
            </w:pPr>
            <w:r>
              <w:rPr>
                <w:rtl/>
              </w:rPr>
              <w:t>(2).</w:t>
            </w:r>
            <w:r w:rsidRPr="00132E65">
              <w:rPr>
                <w:rtl/>
              </w:rPr>
              <w:t xml:space="preserve"> في البحار ، ج 27 </w:t>
            </w:r>
            <w:r>
              <w:rPr>
                <w:rtl/>
              </w:rPr>
              <w:t>و 4</w:t>
            </w:r>
            <w:r w:rsidRPr="00132E65">
              <w:rPr>
                <w:rtl/>
              </w:rPr>
              <w:t xml:space="preserve">8 </w:t>
            </w:r>
            <w:r>
              <w:rPr>
                <w:rtl/>
              </w:rPr>
              <w:t xml:space="preserve">: - </w:t>
            </w:r>
            <w:r w:rsidRPr="00132E65">
              <w:rPr>
                <w:rtl/>
              </w:rPr>
              <w:t>« سفيان »</w:t>
            </w:r>
            <w:r>
              <w:rPr>
                <w:rtl/>
              </w:rPr>
              <w:t>.</w:t>
            </w:r>
          </w:p>
        </w:tc>
      </w:tr>
    </w:tbl>
    <w:p w:rsidR="000C39D1" w:rsidRPr="00132E65" w:rsidRDefault="000C39D1" w:rsidP="000C39D1">
      <w:pPr>
        <w:pStyle w:val="libFootnote0"/>
        <w:rPr>
          <w:rtl/>
          <w:lang w:bidi="fa-IR"/>
        </w:rPr>
      </w:pPr>
      <w:r>
        <w:rPr>
          <w:rtl/>
        </w:rPr>
        <w:t>(3).</w:t>
      </w:r>
      <w:r w:rsidRPr="00132E65">
        <w:rPr>
          <w:rtl/>
        </w:rPr>
        <w:t xml:space="preserve"> في « ف ، بر » والبحار ، ج 27 </w:t>
      </w:r>
      <w:r>
        <w:rPr>
          <w:rtl/>
        </w:rPr>
        <w:t>و 4</w:t>
      </w:r>
      <w:r w:rsidRPr="00132E65">
        <w:rPr>
          <w:rtl/>
        </w:rPr>
        <w:t>8 : « فقال »</w:t>
      </w:r>
      <w:r>
        <w:rPr>
          <w:rtl/>
        </w:rPr>
        <w:t>.</w:t>
      </w:r>
    </w:p>
    <w:p w:rsidR="000C39D1" w:rsidRPr="00132E65" w:rsidRDefault="000C39D1" w:rsidP="000C39D1">
      <w:pPr>
        <w:pStyle w:val="libFootnote0"/>
        <w:rPr>
          <w:rtl/>
          <w:lang w:bidi="fa-IR"/>
        </w:rPr>
      </w:pPr>
      <w:r>
        <w:rPr>
          <w:rtl/>
        </w:rPr>
        <w:t>(4).</w:t>
      </w:r>
      <w:r w:rsidRPr="00132E65">
        <w:rPr>
          <w:rtl/>
        </w:rPr>
        <w:t xml:space="preserve"> « كما أنت » ، قال المازندراني في شرحه : « أي قف في مكانك والزمه كما أنت فيه »</w:t>
      </w:r>
      <w:r>
        <w:rPr>
          <w:rtl/>
        </w:rPr>
        <w:t>.</w:t>
      </w:r>
      <w:r w:rsidRPr="00132E65">
        <w:rPr>
          <w:rtl/>
        </w:rPr>
        <w:t xml:space="preserve"> وقال المجلسي في </w:t>
      </w:r>
      <w:r w:rsidRPr="009D1ACE">
        <w:rPr>
          <w:rStyle w:val="libFootnoteBoldChar"/>
          <w:rtl/>
        </w:rPr>
        <w:t>مرآة العقول</w:t>
      </w:r>
      <w:r w:rsidRPr="00132E65">
        <w:rPr>
          <w:rtl/>
        </w:rPr>
        <w:t xml:space="preserve"> : « أي توقّف. وأصله الزم ما أنت فيه ، فالكاف زائدة ، </w:t>
      </w:r>
      <w:r>
        <w:rPr>
          <w:rtl/>
        </w:rPr>
        <w:t>و «</w:t>
      </w:r>
      <w:r w:rsidRPr="00132E65">
        <w:rPr>
          <w:rtl/>
        </w:rPr>
        <w:t xml:space="preserve"> ما » موصولة منصوبة المحلّ للإغراء »</w:t>
      </w:r>
      <w:r>
        <w:rPr>
          <w:rtl/>
        </w:rPr>
        <w:t>.</w:t>
      </w:r>
    </w:p>
    <w:tbl>
      <w:tblPr>
        <w:tblStyle w:val="TableGrid"/>
        <w:bidiVisual/>
        <w:tblW w:w="0" w:type="auto"/>
        <w:tblLook w:val="04A0" w:firstRow="1" w:lastRow="0" w:firstColumn="1" w:lastColumn="0" w:noHBand="0" w:noVBand="1"/>
      </w:tblPr>
      <w:tblGrid>
        <w:gridCol w:w="4006"/>
        <w:gridCol w:w="4006"/>
      </w:tblGrid>
      <w:tr w:rsidR="00661BB6" w:rsidTr="00661BB6">
        <w:tc>
          <w:tcPr>
            <w:tcW w:w="4006" w:type="dxa"/>
          </w:tcPr>
          <w:p w:rsidR="00661BB6" w:rsidRDefault="00661BB6" w:rsidP="000C39D1">
            <w:pPr>
              <w:pStyle w:val="libFootnote0"/>
              <w:rPr>
                <w:rtl/>
              </w:rPr>
            </w:pPr>
            <w:r>
              <w:rPr>
                <w:rtl/>
              </w:rPr>
              <w:t>(5).</w:t>
            </w:r>
            <w:r w:rsidRPr="00132E65">
              <w:rPr>
                <w:rtl/>
              </w:rPr>
              <w:t xml:space="preserve"> في « بح » : « قال »</w:t>
            </w:r>
            <w:r>
              <w:rPr>
                <w:rtl/>
              </w:rPr>
              <w:t>.</w:t>
            </w:r>
          </w:p>
        </w:tc>
        <w:tc>
          <w:tcPr>
            <w:tcW w:w="4006" w:type="dxa"/>
          </w:tcPr>
          <w:p w:rsidR="00661BB6" w:rsidRDefault="00661BB6" w:rsidP="000C39D1">
            <w:pPr>
              <w:pStyle w:val="libFootnote0"/>
              <w:rPr>
                <w:rtl/>
              </w:rPr>
            </w:pPr>
            <w:r>
              <w:rPr>
                <w:rtl/>
              </w:rPr>
              <w:t>(6). في«ج،</w:t>
            </w:r>
            <w:r>
              <w:rPr>
                <w:rFonts w:hint="cs"/>
                <w:rtl/>
              </w:rPr>
              <w:t xml:space="preserve"> </w:t>
            </w:r>
            <w:r>
              <w:rPr>
                <w:rtl/>
              </w:rPr>
              <w:t>ف، بح، بر، بس، بف»</w:t>
            </w:r>
            <w:r w:rsidRPr="00132E65">
              <w:rPr>
                <w:rtl/>
              </w:rPr>
              <w:t>و</w:t>
            </w:r>
            <w:r w:rsidRPr="009D1ACE">
              <w:rPr>
                <w:rStyle w:val="libFootnoteBoldChar"/>
                <w:rtl/>
              </w:rPr>
              <w:t>الوافي</w:t>
            </w:r>
            <w:r>
              <w:rPr>
                <w:rtl/>
              </w:rPr>
              <w:t>:- «له</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في « ج ، ف ، بح ، بر ، بس ، بف » والبحار ، ج 47 : « تجب »</w:t>
      </w:r>
      <w:r>
        <w:rPr>
          <w:rtl/>
        </w:rPr>
        <w:t>.</w:t>
      </w:r>
    </w:p>
    <w:tbl>
      <w:tblPr>
        <w:tblStyle w:val="TableGrid"/>
        <w:bidiVisual/>
        <w:tblW w:w="0" w:type="auto"/>
        <w:tblLook w:val="04A0" w:firstRow="1" w:lastRow="0" w:firstColumn="1" w:lastColumn="0" w:noHBand="0" w:noVBand="1"/>
      </w:tblPr>
      <w:tblGrid>
        <w:gridCol w:w="4006"/>
        <w:gridCol w:w="4006"/>
      </w:tblGrid>
      <w:tr w:rsidR="00D52BF0" w:rsidTr="00D52BF0">
        <w:tc>
          <w:tcPr>
            <w:tcW w:w="4006" w:type="dxa"/>
          </w:tcPr>
          <w:p w:rsidR="00D52BF0" w:rsidRDefault="00D52BF0" w:rsidP="000C39D1">
            <w:pPr>
              <w:pStyle w:val="libFootnote0"/>
              <w:rPr>
                <w:rtl/>
              </w:rPr>
            </w:pPr>
            <w:r>
              <w:rPr>
                <w:rtl/>
              </w:rPr>
              <w:t>(8).</w:t>
            </w:r>
            <w:r w:rsidRPr="00132E65">
              <w:rPr>
                <w:rtl/>
              </w:rPr>
              <w:t xml:space="preserve"> في « ف » : « من هو »</w:t>
            </w:r>
            <w:r>
              <w:rPr>
                <w:rtl/>
              </w:rPr>
              <w:t>.</w:t>
            </w:r>
          </w:p>
        </w:tc>
        <w:tc>
          <w:tcPr>
            <w:tcW w:w="4006" w:type="dxa"/>
          </w:tcPr>
          <w:p w:rsidR="00D52BF0" w:rsidRDefault="00D52BF0" w:rsidP="000C39D1">
            <w:pPr>
              <w:pStyle w:val="libFootnote0"/>
              <w:rPr>
                <w:rtl/>
              </w:rPr>
            </w:pPr>
            <w:r>
              <w:rPr>
                <w:rtl/>
              </w:rPr>
              <w:t>(9).</w:t>
            </w:r>
            <w:r w:rsidRPr="00132E65">
              <w:rPr>
                <w:rtl/>
              </w:rPr>
              <w:t xml:space="preserve"> في « بح ، بر ، بس » : « لا يجوز »</w:t>
            </w:r>
            <w:r>
              <w:rPr>
                <w:rtl/>
              </w:rPr>
              <w:t>.</w:t>
            </w:r>
          </w:p>
        </w:tc>
      </w:tr>
    </w:tbl>
    <w:p w:rsidR="000C39D1" w:rsidRPr="00132E65" w:rsidRDefault="000C39D1" w:rsidP="000C39D1">
      <w:pPr>
        <w:pStyle w:val="libFootnote0"/>
        <w:rPr>
          <w:rtl/>
          <w:lang w:bidi="fa-IR"/>
        </w:rPr>
      </w:pPr>
      <w:r>
        <w:rPr>
          <w:rtl/>
        </w:rPr>
        <w:t>(10).</w:t>
      </w:r>
      <w:r w:rsidRPr="00132E65">
        <w:rPr>
          <w:rtl/>
        </w:rPr>
        <w:t xml:space="preserve"> في « بر » : « ولا يجوز »</w:t>
      </w:r>
      <w:r>
        <w:rPr>
          <w:rtl/>
        </w:rPr>
        <w:t>.</w:t>
      </w:r>
    </w:p>
    <w:p w:rsidR="000C39D1" w:rsidRPr="00132E65" w:rsidRDefault="000C39D1" w:rsidP="000C39D1">
      <w:pPr>
        <w:pStyle w:val="libFootnote0"/>
        <w:rPr>
          <w:rtl/>
          <w:lang w:bidi="fa-IR"/>
        </w:rPr>
      </w:pPr>
      <w:r>
        <w:rPr>
          <w:rtl/>
        </w:rPr>
        <w:t>(11).</w:t>
      </w:r>
      <w:r w:rsidRPr="00132E65">
        <w:rPr>
          <w:rtl/>
        </w:rPr>
        <w:t xml:space="preserve"> في « بح » : « مرجّي »</w:t>
      </w:r>
      <w:r>
        <w:rPr>
          <w:rtl/>
        </w:rPr>
        <w:t>.</w:t>
      </w:r>
      <w:r w:rsidRPr="00132E65">
        <w:rPr>
          <w:rtl/>
        </w:rPr>
        <w:t xml:space="preserve"> </w:t>
      </w:r>
      <w:r>
        <w:rPr>
          <w:rtl/>
        </w:rPr>
        <w:t>و «</w:t>
      </w:r>
      <w:r w:rsidRPr="00132E65">
        <w:rPr>
          <w:rtl/>
        </w:rPr>
        <w:t xml:space="preserve"> المرجئ » : من يعتقد بأنّ الإيمان لا يضرّ معه معصية ، كما أنّ الكفر لا تنفع معها طاعة. راجع : </w:t>
      </w:r>
      <w:r w:rsidRPr="004148D6">
        <w:rPr>
          <w:rtl/>
        </w:rPr>
        <w:t>شرح المازندراني</w:t>
      </w:r>
      <w:r w:rsidRPr="00132E65">
        <w:rPr>
          <w:rtl/>
        </w:rPr>
        <w:t xml:space="preserve"> ، ج 7 ، ص 18 ؛ </w:t>
      </w:r>
      <w:r w:rsidRPr="009D1ACE">
        <w:rPr>
          <w:rStyle w:val="libFootnoteBoldChar"/>
          <w:rtl/>
        </w:rPr>
        <w:t>الوافي</w:t>
      </w:r>
      <w:r w:rsidRPr="00132E65">
        <w:rPr>
          <w:rtl/>
        </w:rPr>
        <w:t xml:space="preserve"> ، ج 2 ، ص 101 ؛ </w:t>
      </w:r>
      <w:r w:rsidRPr="009D1ACE">
        <w:rPr>
          <w:rStyle w:val="libFootnoteBoldChar"/>
          <w:rtl/>
        </w:rPr>
        <w:t>مرآة العقول</w:t>
      </w:r>
      <w:r w:rsidRPr="00132E65">
        <w:rPr>
          <w:rtl/>
        </w:rPr>
        <w:t xml:space="preserve"> ، ج 4 ، ص 328.</w:t>
      </w:r>
    </w:p>
    <w:p w:rsidR="000C39D1" w:rsidRPr="00132E65" w:rsidRDefault="000C39D1" w:rsidP="000C39D1">
      <w:pPr>
        <w:pStyle w:val="libFootnote0"/>
        <w:rPr>
          <w:rtl/>
          <w:lang w:bidi="fa-IR"/>
        </w:rPr>
      </w:pPr>
      <w:r>
        <w:rPr>
          <w:rtl/>
        </w:rPr>
        <w:t>(12).</w:t>
      </w:r>
      <w:r w:rsidRPr="00132E65">
        <w:rPr>
          <w:rtl/>
        </w:rPr>
        <w:t xml:space="preserve"> « القَدَريُّ » : من يقول بالتفويض ، ومن يقول بالجبر. والثاني أشهر.</w:t>
      </w:r>
    </w:p>
    <w:p w:rsidR="000C39D1" w:rsidRPr="00132E65" w:rsidRDefault="000C39D1" w:rsidP="000C39D1">
      <w:pPr>
        <w:pStyle w:val="libFootnote0"/>
        <w:rPr>
          <w:rtl/>
          <w:lang w:bidi="fa-IR"/>
        </w:rPr>
      </w:pPr>
      <w:r>
        <w:rPr>
          <w:rtl/>
        </w:rPr>
        <w:t>(13)</w:t>
      </w:r>
      <w:r w:rsidRPr="00132E65">
        <w:rPr>
          <w:rtl/>
        </w:rPr>
        <w:t xml:space="preserve"> في البحار ، ج 47 : « ما شاءه »</w:t>
      </w:r>
      <w:r>
        <w:rPr>
          <w:rtl/>
        </w:rPr>
        <w:t>.</w:t>
      </w:r>
    </w:p>
    <w:p w:rsidR="000C39D1" w:rsidRPr="00132E65" w:rsidRDefault="000C39D1" w:rsidP="000C39D1">
      <w:pPr>
        <w:pStyle w:val="libFootnote0"/>
        <w:rPr>
          <w:rtl/>
          <w:lang w:bidi="fa-IR"/>
        </w:rPr>
      </w:pPr>
      <w:r>
        <w:rPr>
          <w:rtl/>
        </w:rPr>
        <w:t>(14)</w:t>
      </w:r>
      <w:r w:rsidRPr="00132E65">
        <w:rPr>
          <w:rtl/>
        </w:rPr>
        <w:t xml:space="preserve"> « الحَروريّ » : من هو من الحروريّة ، وهي فرقة من الخوارج ، منسوبة إلى قرية قريبة من الكوفة تسمّى بالحَرورا ، بالمدّ والقصر.</w:t>
      </w:r>
    </w:p>
    <w:p w:rsidR="000C39D1" w:rsidRPr="00132E65" w:rsidRDefault="000C39D1" w:rsidP="000C39D1">
      <w:pPr>
        <w:pStyle w:val="libFootnote0"/>
        <w:rPr>
          <w:rtl/>
          <w:lang w:bidi="fa-IR"/>
        </w:rPr>
      </w:pPr>
      <w:r>
        <w:rPr>
          <w:rtl/>
        </w:rPr>
        <w:t>(15)</w:t>
      </w:r>
      <w:r w:rsidRPr="00132E65">
        <w:rPr>
          <w:rtl/>
        </w:rPr>
        <w:t xml:space="preserve"> في « ب ، ض ، بر ، بس ، بف » و</w:t>
      </w:r>
      <w:r w:rsidRPr="009D1ACE">
        <w:rPr>
          <w:rStyle w:val="libFootnoteBoldChar"/>
          <w:rtl/>
        </w:rPr>
        <w:t>الوافي</w:t>
      </w:r>
      <w:r w:rsidRPr="00132E65">
        <w:rPr>
          <w:rtl/>
        </w:rPr>
        <w:t xml:space="preserve"> والبحار ، ج 27 </w:t>
      </w:r>
      <w:r>
        <w:rPr>
          <w:rtl/>
        </w:rPr>
        <w:t>و 4</w:t>
      </w:r>
      <w:r w:rsidRPr="00132E65">
        <w:rPr>
          <w:rtl/>
        </w:rPr>
        <w:t>8 : « يبرأ »</w:t>
      </w:r>
      <w:r>
        <w:rPr>
          <w:rtl/>
        </w:rPr>
        <w:t>.</w:t>
      </w:r>
      <w:r w:rsidRPr="00132E65">
        <w:rPr>
          <w:rtl/>
        </w:rPr>
        <w:t xml:space="preserve"> وفي « ج » : « تبرأ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 عَلِيِّ بْنِ أَبِي طَالِبٍ </w:t>
      </w:r>
      <w:r w:rsidRPr="00071CF9">
        <w:rPr>
          <w:rStyle w:val="libAlaemChar"/>
          <w:rtl/>
        </w:rPr>
        <w:t>عليه‌السلام</w:t>
      </w:r>
      <w:r w:rsidRPr="00132E65">
        <w:rPr>
          <w:rtl/>
          <w:lang w:bidi="fa-IR"/>
        </w:rPr>
        <w:t xml:space="preserve"> ، وشَهِدَ </w:t>
      </w:r>
      <w:r>
        <w:rPr>
          <w:rStyle w:val="libFootnotenumChar"/>
          <w:rtl/>
        </w:rPr>
        <w:t>(1)</w:t>
      </w:r>
      <w:r w:rsidRPr="00132E65">
        <w:rPr>
          <w:rtl/>
          <w:lang w:bidi="fa-IR"/>
        </w:rPr>
        <w:t xml:space="preserve"> عَلَيْهِ بِالْكُفْرِ ، أَوْ جَهْمِيٌّ </w:t>
      </w:r>
      <w:r>
        <w:rPr>
          <w:rStyle w:val="libFootnotenumChar"/>
          <w:rtl/>
        </w:rPr>
        <w:t>(2)</w:t>
      </w:r>
      <w:r w:rsidRPr="00132E65">
        <w:rPr>
          <w:rtl/>
          <w:lang w:bidi="fa-IR"/>
        </w:rPr>
        <w:t xml:space="preserve"> يَقُولُ : إِنَّمَا هِيَ </w:t>
      </w:r>
      <w:r>
        <w:rPr>
          <w:rStyle w:val="libFootnotenumChar"/>
          <w:rtl/>
        </w:rPr>
        <w:t>(3)</w:t>
      </w:r>
      <w:r w:rsidRPr="00132E65">
        <w:rPr>
          <w:rtl/>
          <w:lang w:bidi="fa-IR"/>
        </w:rPr>
        <w:t xml:space="preserve"> مَعْرِفَةُ اللهِ وَحْدَهُ </w:t>
      </w:r>
      <w:r>
        <w:rPr>
          <w:rStyle w:val="libFootnotenumChar"/>
          <w:rtl/>
        </w:rPr>
        <w:t>(4)</w:t>
      </w:r>
      <w:r w:rsidRPr="00132E65">
        <w:rPr>
          <w:rtl/>
          <w:lang w:bidi="fa-IR"/>
        </w:rPr>
        <w:t xml:space="preserve"> ، لَيْسَ الْإِيمَانُ شَيْ‌ءٌ </w:t>
      </w:r>
      <w:r>
        <w:rPr>
          <w:rStyle w:val="libFootnotenumChar"/>
          <w:rtl/>
        </w:rPr>
        <w:t>(5)</w:t>
      </w:r>
      <w:r w:rsidRPr="00132E65">
        <w:rPr>
          <w:rtl/>
          <w:lang w:bidi="fa-IR"/>
        </w:rPr>
        <w:t xml:space="preserve"> غَيْرُهَا</w:t>
      </w:r>
      <w:r>
        <w:rPr>
          <w:rtl/>
          <w:lang w:bidi="fa-IR"/>
        </w:rPr>
        <w:t>؟!</w:t>
      </w:r>
    </w:p>
    <w:p w:rsidR="000C39D1" w:rsidRPr="00132E65" w:rsidRDefault="000C39D1" w:rsidP="000C39D1">
      <w:pPr>
        <w:pStyle w:val="libNormal"/>
        <w:rPr>
          <w:rtl/>
          <w:lang w:bidi="fa-IR"/>
        </w:rPr>
      </w:pPr>
      <w:r w:rsidRPr="00132E65">
        <w:rPr>
          <w:rtl/>
          <w:lang w:bidi="fa-IR"/>
        </w:rPr>
        <w:t>قَالَ : ويْحَكَ ، وأَيَّ شَيْ‌ءٍ يَقُولُونَ</w:t>
      </w:r>
      <w:r>
        <w:rPr>
          <w:rtl/>
          <w:lang w:bidi="fa-IR"/>
        </w:rPr>
        <w:t>؟</w:t>
      </w:r>
      <w:r w:rsidRPr="00132E65">
        <w:rPr>
          <w:rtl/>
          <w:lang w:bidi="fa-IR"/>
        </w:rPr>
        <w:t xml:space="preserve"> فَقُلْتُ : يَقُولُونَ : إِنَّ عَلِيَّ بْنَ أَبِي طَالِبٍ واللهِ الْإِمَامُ </w:t>
      </w:r>
      <w:r>
        <w:rPr>
          <w:rStyle w:val="libFootnotenumChar"/>
          <w:rtl/>
        </w:rPr>
        <w:t>(6)</w:t>
      </w:r>
      <w:r w:rsidRPr="00132E65">
        <w:rPr>
          <w:rtl/>
          <w:lang w:bidi="fa-IR"/>
        </w:rPr>
        <w:t xml:space="preserve"> الَّذِي يَجِبُ </w:t>
      </w:r>
      <w:r>
        <w:rPr>
          <w:rStyle w:val="libFootnotenumChar"/>
          <w:rtl/>
        </w:rPr>
        <w:t>(7)</w:t>
      </w:r>
      <w:r w:rsidRPr="00132E65">
        <w:rPr>
          <w:rtl/>
          <w:lang w:bidi="fa-IR"/>
        </w:rPr>
        <w:t xml:space="preserve"> عَلَيْنَا نَصِيحَتُهُ ؛ ولُزُومُ جَمَاعَتِهِمْ </w:t>
      </w:r>
      <w:r>
        <w:rPr>
          <w:rStyle w:val="libFootnotenumChar"/>
          <w:rtl/>
        </w:rPr>
        <w:t>(8)</w:t>
      </w:r>
      <w:r w:rsidRPr="00132E65">
        <w:rPr>
          <w:rtl/>
          <w:lang w:bidi="fa-IR"/>
        </w:rPr>
        <w:t xml:space="preserve"> أَهْلُ بَيْتِهِ. قَالَ : فَأَخَذَ الْكِتَابَ فَخَرَقَهُ </w:t>
      </w:r>
      <w:r>
        <w:rPr>
          <w:rStyle w:val="libFootnotenumChar"/>
          <w:rtl/>
        </w:rPr>
        <w:t>(9)</w:t>
      </w:r>
      <w:r w:rsidRPr="00132E65">
        <w:rPr>
          <w:rtl/>
          <w:lang w:bidi="fa-IR"/>
        </w:rPr>
        <w:t xml:space="preserve"> ، ثُمَّ </w:t>
      </w:r>
      <w:r>
        <w:rPr>
          <w:rStyle w:val="libFootnotenumChar"/>
          <w:rtl/>
        </w:rPr>
        <w:t>(10)</w:t>
      </w:r>
      <w:r w:rsidRPr="00132E65">
        <w:rPr>
          <w:rtl/>
          <w:lang w:bidi="fa-IR"/>
        </w:rPr>
        <w:t xml:space="preserve"> قَالَ : لَاتُخْبِرْ بِهَا أَحَداً. </w:t>
      </w:r>
      <w:r>
        <w:rPr>
          <w:rStyle w:val="libFootnotenumChar"/>
          <w:rtl/>
        </w:rPr>
        <w:t>(11)</w:t>
      </w:r>
    </w:p>
    <w:p w:rsidR="000C39D1" w:rsidRDefault="000C39D1" w:rsidP="000C39D1">
      <w:pPr>
        <w:pStyle w:val="libNormal"/>
        <w:rPr>
          <w:rtl/>
          <w:lang w:bidi="fa-IR"/>
        </w:rPr>
      </w:pPr>
      <w:r w:rsidRPr="004148D6">
        <w:rPr>
          <w:rtl/>
        </w:rPr>
        <w:t>1060</w:t>
      </w:r>
      <w:r w:rsidRPr="004325D8">
        <w:rPr>
          <w:rStyle w:val="libBold2Char"/>
          <w:rtl/>
        </w:rPr>
        <w:t xml:space="preserve"> / 3.</w:t>
      </w:r>
      <w:r w:rsidRPr="00132E65">
        <w:rPr>
          <w:rtl/>
          <w:lang w:bidi="fa-IR"/>
        </w:rPr>
        <w:t xml:space="preserve"> عَلِيُّ بْنُ إِبْرَاهِيمَ ، عَنْ أَبِيهِ ؛ </w:t>
      </w:r>
    </w:p>
    <w:p w:rsidR="000C39D1" w:rsidRPr="00132E65" w:rsidRDefault="000C39D1" w:rsidP="000C39D1">
      <w:pPr>
        <w:pStyle w:val="libNormal"/>
        <w:rPr>
          <w:rtl/>
          <w:lang w:bidi="fa-IR"/>
        </w:rPr>
      </w:pPr>
      <w:r w:rsidRPr="00132E65">
        <w:rPr>
          <w:rtl/>
          <w:lang w:bidi="fa-IR"/>
        </w:rPr>
        <w:t xml:space="preserve">وَمُحَمَّدُ بْنُ يَحْيى ، عَنْ أَحْمَدَ بْنِ مُحَمَّدٍ جَمِيعاً </w:t>
      </w:r>
      <w:r>
        <w:rPr>
          <w:rStyle w:val="libFootnotenumChar"/>
          <w:rtl/>
        </w:rPr>
        <w:t>(12)</w:t>
      </w:r>
      <w:r w:rsidRPr="00132E65">
        <w:rPr>
          <w:rtl/>
          <w:lang w:bidi="fa-IR"/>
        </w:rPr>
        <w:t xml:space="preserve"> ، عَنْ حَمَّادِ بْنِ عِيسى ، عَنْ حَرِيزٍ ، عَنْ بُرَيْدِ بْنِ مُعَاوِيَةَ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رَسُولُ اللهِ </w:t>
      </w:r>
      <w:r w:rsidRPr="0093484F">
        <w:rPr>
          <w:rStyle w:val="libAlaemChar"/>
          <w:rFonts w:eastAsiaTheme="minorHAnsi"/>
          <w:rtl/>
        </w:rPr>
        <w:t>صلى‌الله‌عليه‌وآله</w:t>
      </w:r>
      <w:r w:rsidRPr="00132E65">
        <w:rPr>
          <w:rtl/>
          <w:lang w:bidi="fa-IR"/>
        </w:rPr>
        <w:t xml:space="preserve">: مَا نَظَرَ </w:t>
      </w:r>
      <w:r w:rsidRPr="00F543F1">
        <w:rPr>
          <w:rStyle w:val="libFootnotenumChar"/>
          <w:rtl/>
        </w:rPr>
        <w:t>(13)</w:t>
      </w:r>
      <w:r w:rsidRPr="00132E65">
        <w:rPr>
          <w:rtl/>
          <w:lang w:bidi="fa-IR"/>
        </w:rPr>
        <w:t xml:space="preserve"> اللهُ</w:t>
      </w:r>
      <w:r>
        <w:rPr>
          <w:rtl/>
          <w:lang w:bidi="fa-IR"/>
        </w:rPr>
        <w:t xml:space="preserve"> - </w:t>
      </w:r>
      <w:r w:rsidRPr="00132E65">
        <w:rPr>
          <w:rtl/>
          <w:lang w:bidi="fa-IR"/>
        </w:rPr>
        <w:t>عَزَّ وجَلَّ</w:t>
      </w:r>
      <w:r>
        <w:rPr>
          <w:rtl/>
          <w:lang w:bidi="fa-IR"/>
        </w:rPr>
        <w:t xml:space="preserve"> - </w:t>
      </w:r>
      <w:r w:rsidRPr="00132E65">
        <w:rPr>
          <w:rtl/>
          <w:lang w:bidi="fa-IR"/>
        </w:rPr>
        <w:t>إِلى ولِيٍّ‌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ف » و</w:t>
      </w:r>
      <w:r w:rsidRPr="009D1ACE">
        <w:rPr>
          <w:rStyle w:val="libFootnoteBoldChar"/>
          <w:rtl/>
        </w:rPr>
        <w:t>الوافي</w:t>
      </w:r>
      <w:r w:rsidRPr="00132E65">
        <w:rPr>
          <w:rtl/>
        </w:rPr>
        <w:t xml:space="preserve"> : « ويشهد »</w:t>
      </w:r>
      <w:r>
        <w:rPr>
          <w:rtl/>
        </w:rPr>
        <w:t>.</w:t>
      </w:r>
    </w:p>
    <w:p w:rsidR="000C39D1" w:rsidRPr="00132E65" w:rsidRDefault="000C39D1" w:rsidP="000C39D1">
      <w:pPr>
        <w:pStyle w:val="libFootnote0"/>
        <w:rPr>
          <w:rtl/>
          <w:lang w:bidi="fa-IR"/>
        </w:rPr>
      </w:pPr>
      <w:r>
        <w:rPr>
          <w:rtl/>
        </w:rPr>
        <w:t>(2).</w:t>
      </w:r>
      <w:r w:rsidRPr="00132E65">
        <w:rPr>
          <w:rtl/>
        </w:rPr>
        <w:t xml:space="preserve"> « الجَهْميُّ » : من هو من الجهميّة ، وهم أصحاب جهم بن صفوان ، وهي فرقة تقول بالجبر الخالص وبأنّ الجنّة والنار تفنيان ، وأنّ الإيمان هو المعرفة فقط دون الإقرار ودون سائر الطاعات.</w:t>
      </w:r>
    </w:p>
    <w:p w:rsidR="000C39D1" w:rsidRPr="00132E65" w:rsidRDefault="000C39D1" w:rsidP="000C39D1">
      <w:pPr>
        <w:pStyle w:val="libFootnote0"/>
        <w:rPr>
          <w:rtl/>
          <w:lang w:bidi="fa-IR"/>
        </w:rPr>
      </w:pPr>
      <w:r>
        <w:rPr>
          <w:rtl/>
        </w:rPr>
        <w:t>(3).</w:t>
      </w:r>
      <w:r w:rsidRPr="00132E65">
        <w:rPr>
          <w:rtl/>
        </w:rPr>
        <w:t xml:space="preserve"> الضمير راجع إلى « الإيمان » والتأنيث باعتبار الخبر.</w:t>
      </w:r>
    </w:p>
    <w:p w:rsidR="000C39D1" w:rsidRPr="00132E65" w:rsidRDefault="000C39D1" w:rsidP="000C39D1">
      <w:pPr>
        <w:pStyle w:val="libFootnote0"/>
        <w:rPr>
          <w:rtl/>
          <w:lang w:bidi="fa-IR"/>
        </w:rPr>
      </w:pPr>
      <w:r>
        <w:rPr>
          <w:rtl/>
        </w:rPr>
        <w:t>(4).</w:t>
      </w:r>
      <w:r w:rsidRPr="00132E65">
        <w:rPr>
          <w:rtl/>
        </w:rPr>
        <w:t xml:space="preserve"> الضمير راجع إلى « المعرفة » والتذكير باعتبار العرفان. وفي « ف » :</w:t>
      </w:r>
      <w:r>
        <w:rPr>
          <w:rtl/>
        </w:rPr>
        <w:t xml:space="preserve"> + </w:t>
      </w:r>
      <w:r w:rsidRPr="00132E65">
        <w:rPr>
          <w:rtl/>
        </w:rPr>
        <w:t xml:space="preserve">« </w:t>
      </w:r>
      <w:r>
        <w:rPr>
          <w:rtl/>
        </w:rPr>
        <w:t>و ».</w:t>
      </w:r>
    </w:p>
    <w:p w:rsidR="000C39D1" w:rsidRPr="00132E65" w:rsidRDefault="000C39D1" w:rsidP="000C39D1">
      <w:pPr>
        <w:pStyle w:val="libFootnote0"/>
        <w:rPr>
          <w:rtl/>
          <w:lang w:bidi="fa-IR"/>
        </w:rPr>
      </w:pPr>
      <w:r>
        <w:rPr>
          <w:rtl/>
        </w:rPr>
        <w:t>(5).</w:t>
      </w:r>
      <w:r w:rsidRPr="00132E65">
        <w:rPr>
          <w:rtl/>
        </w:rPr>
        <w:t xml:space="preserve"> كذا في النسخ. قال المازندراني في شرحه : « شي‌ء ، مرفوع في جميع النسخ التي رأيناها ، ولعلّ وجهه أنّ اسم « ليس » ضمير الشأن والجملة بعدها خبرها ، أو أنّ خبرها وهو « الإيمان » مقدّم على اسمها وهو « شي‌ء »</w:t>
      </w:r>
      <w:r>
        <w:rPr>
          <w:rtl/>
        </w:rPr>
        <w:t>.</w:t>
      </w:r>
      <w:r w:rsidRPr="00132E65">
        <w:rPr>
          <w:rtl/>
        </w:rPr>
        <w:t xml:space="preserve"> واعلم أنّ الإيمان مرفوع على التوجيه الأوّل ومنصوب على الثاني.</w:t>
      </w:r>
    </w:p>
    <w:tbl>
      <w:tblPr>
        <w:tblStyle w:val="TableGrid"/>
        <w:bidiVisual/>
        <w:tblW w:w="0" w:type="auto"/>
        <w:tblLook w:val="04A0" w:firstRow="1" w:lastRow="0" w:firstColumn="1" w:lastColumn="0" w:noHBand="0" w:noVBand="1"/>
      </w:tblPr>
      <w:tblGrid>
        <w:gridCol w:w="4006"/>
        <w:gridCol w:w="4006"/>
      </w:tblGrid>
      <w:tr w:rsidR="00391275" w:rsidTr="00391275">
        <w:tc>
          <w:tcPr>
            <w:tcW w:w="4006" w:type="dxa"/>
          </w:tcPr>
          <w:p w:rsidR="00391275" w:rsidRDefault="00391275" w:rsidP="000C39D1">
            <w:pPr>
              <w:pStyle w:val="libFootnote0"/>
              <w:rPr>
                <w:rtl/>
              </w:rPr>
            </w:pPr>
            <w:r>
              <w:rPr>
                <w:rtl/>
              </w:rPr>
              <w:t>(6). في «بف»</w:t>
            </w:r>
            <w:r w:rsidRPr="00132E65">
              <w:rPr>
                <w:rtl/>
              </w:rPr>
              <w:t>: « هو الإمام » بدل « والله الإمام »</w:t>
            </w:r>
            <w:r>
              <w:rPr>
                <w:rtl/>
              </w:rPr>
              <w:t>.</w:t>
            </w:r>
          </w:p>
        </w:tc>
        <w:tc>
          <w:tcPr>
            <w:tcW w:w="4006" w:type="dxa"/>
          </w:tcPr>
          <w:p w:rsidR="00391275" w:rsidRDefault="00391275" w:rsidP="000C39D1">
            <w:pPr>
              <w:pStyle w:val="libFootnote0"/>
              <w:rPr>
                <w:rtl/>
              </w:rPr>
            </w:pPr>
            <w:r>
              <w:rPr>
                <w:rtl/>
              </w:rPr>
              <w:t>(7).</w:t>
            </w:r>
            <w:r w:rsidRPr="00132E65">
              <w:rPr>
                <w:rtl/>
              </w:rPr>
              <w:t xml:space="preserve"> في « ج ، بر » : « تجب »</w:t>
            </w:r>
            <w:r>
              <w:rPr>
                <w:rtl/>
              </w:rPr>
              <w:t>.</w:t>
            </w:r>
          </w:p>
        </w:tc>
      </w:tr>
      <w:tr w:rsidR="00391275" w:rsidTr="00391275">
        <w:tc>
          <w:tcPr>
            <w:tcW w:w="4006" w:type="dxa"/>
          </w:tcPr>
          <w:p w:rsidR="00391275" w:rsidRDefault="00391275" w:rsidP="000C39D1">
            <w:pPr>
              <w:pStyle w:val="libFootnote0"/>
              <w:rPr>
                <w:rtl/>
              </w:rPr>
            </w:pPr>
            <w:r>
              <w:rPr>
                <w:rtl/>
              </w:rPr>
              <w:t>(8).</w:t>
            </w:r>
            <w:r w:rsidRPr="00132E65">
              <w:rPr>
                <w:rtl/>
              </w:rPr>
              <w:t xml:space="preserve"> في البحار ، ج 47 : « جماعة »</w:t>
            </w:r>
            <w:r>
              <w:rPr>
                <w:rtl/>
              </w:rPr>
              <w:t>.</w:t>
            </w:r>
          </w:p>
        </w:tc>
        <w:tc>
          <w:tcPr>
            <w:tcW w:w="4006" w:type="dxa"/>
          </w:tcPr>
          <w:p w:rsidR="00391275" w:rsidRDefault="00391275" w:rsidP="000C39D1">
            <w:pPr>
              <w:pStyle w:val="libFootnote0"/>
              <w:rPr>
                <w:rtl/>
              </w:rPr>
            </w:pPr>
            <w:r>
              <w:rPr>
                <w:rtl/>
              </w:rPr>
              <w:t>(9). في « ف » : «فمزقه</w:t>
            </w:r>
            <w:r w:rsidRPr="00132E65">
              <w:rPr>
                <w:rtl/>
              </w:rPr>
              <w:t>»</w:t>
            </w:r>
            <w:r>
              <w:rPr>
                <w:rtl/>
              </w:rPr>
              <w:t>. وفي «بر</w:t>
            </w:r>
            <w:r w:rsidRPr="00132E65">
              <w:rPr>
                <w:rtl/>
              </w:rPr>
              <w:t>» : « فحرقه »</w:t>
            </w:r>
            <w:r>
              <w:rPr>
                <w:rtl/>
              </w:rPr>
              <w:t>.</w:t>
            </w:r>
          </w:p>
        </w:tc>
      </w:tr>
    </w:tbl>
    <w:p w:rsidR="000C39D1" w:rsidRPr="00132E65" w:rsidRDefault="000C39D1" w:rsidP="000C39D1">
      <w:pPr>
        <w:pStyle w:val="libFootnote0"/>
        <w:rPr>
          <w:rtl/>
          <w:lang w:bidi="fa-IR"/>
        </w:rPr>
      </w:pPr>
      <w:r>
        <w:rPr>
          <w:rtl/>
        </w:rPr>
        <w:t>(10).</w:t>
      </w:r>
      <w:r w:rsidRPr="00132E65">
        <w:rPr>
          <w:rtl/>
        </w:rPr>
        <w:t xml:space="preserve"> في « ب » </w:t>
      </w:r>
      <w:r>
        <w:rPr>
          <w:rtl/>
        </w:rPr>
        <w:t xml:space="preserve">: - </w:t>
      </w:r>
      <w:r w:rsidRPr="00132E65">
        <w:rPr>
          <w:rtl/>
        </w:rPr>
        <w:t>« ثمّ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2 ، ص 99 ، ح 552 ؛ </w:t>
      </w:r>
      <w:r w:rsidRPr="004148D6">
        <w:rPr>
          <w:rtl/>
        </w:rPr>
        <w:t>الوسائل</w:t>
      </w:r>
      <w:r w:rsidRPr="00132E65">
        <w:rPr>
          <w:rtl/>
        </w:rPr>
        <w:t xml:space="preserve"> ، ج 27 ، ص 89 ، ح 33289 ، إلى قوله : « من هو أفقه منه » ؛ وج 29 ، ص 76 ، ح 35187 ، ح 3 من قوله : « اكتب بسم الله الرحمن الرحيم » إلى قوله : « يسعى بذمّتهم أدناهم » ؛ </w:t>
      </w:r>
      <w:r w:rsidRPr="004148D6">
        <w:rPr>
          <w:rtl/>
        </w:rPr>
        <w:t>البحار</w:t>
      </w:r>
      <w:r w:rsidRPr="00132E65">
        <w:rPr>
          <w:rtl/>
        </w:rPr>
        <w:t xml:space="preserve"> ، ج 27 ، ص 69 ، ح 6 ؛ وج 47 ، ص 365 ، ح 82. وفي </w:t>
      </w:r>
      <w:r w:rsidRPr="004148D6">
        <w:rPr>
          <w:rtl/>
        </w:rPr>
        <w:t>البحار</w:t>
      </w:r>
      <w:r w:rsidRPr="00132E65">
        <w:rPr>
          <w:rtl/>
        </w:rPr>
        <w:t xml:space="preserve"> ، ج 21 ، ص 138 ، ح 33 ، من قوله : « نضّر الله عبداً » إلى قوله : « يسعى بذمّتهم أدناهم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0577A7">
        <w:rPr>
          <w:rStyle w:val="libFootnoteBoldChar"/>
          <w:rtl/>
        </w:rPr>
        <w:t>الكافي</w:t>
      </w:r>
      <w:r w:rsidRPr="00132E65">
        <w:rPr>
          <w:rtl/>
        </w:rPr>
        <w:t xml:space="preserve"> ، ح 5866 ، والتهذيب </w:t>
      </w:r>
      <w:r>
        <w:rPr>
          <w:rtl/>
        </w:rPr>
        <w:t xml:space="preserve">: - </w:t>
      </w:r>
      <w:r w:rsidRPr="00132E65">
        <w:rPr>
          <w:rtl/>
        </w:rPr>
        <w:t>« ومحمّد بن يحيى ، عن أحمد بن محمّد جميعاً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0577A7">
        <w:rPr>
          <w:rStyle w:val="libFootnoteBoldChar"/>
          <w:rtl/>
        </w:rPr>
        <w:t>الكافي</w:t>
      </w:r>
      <w:r w:rsidRPr="00132E65">
        <w:rPr>
          <w:rtl/>
        </w:rPr>
        <w:t xml:space="preserve"> ، ح 5866 ، والتهذيب : « ما ينظر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لَهُ يُجْهِدُ نَفْسَهُ بِالطَّاعَةِ لِإِمَامِهِ والنَّصِيحَةِ </w:t>
      </w:r>
      <w:r>
        <w:rPr>
          <w:rStyle w:val="libFootnotenumChar"/>
          <w:rtl/>
        </w:rPr>
        <w:t>(1)</w:t>
      </w:r>
      <w:r w:rsidR="00334FF2">
        <w:rPr>
          <w:rtl/>
          <w:lang w:bidi="fa-IR"/>
        </w:rPr>
        <w:t xml:space="preserve"> إِل</w:t>
      </w:r>
      <w:r w:rsidR="00334FF2">
        <w:rPr>
          <w:rFonts w:hint="cs"/>
          <w:rtl/>
          <w:lang w:bidi="fa-IR"/>
        </w:rPr>
        <w:t>َّ</w:t>
      </w:r>
      <w:r w:rsidR="00334FF2">
        <w:rPr>
          <w:rtl/>
          <w:lang w:bidi="fa-IR"/>
        </w:rPr>
        <w:t>ا</w:t>
      </w:r>
      <w:r w:rsidRPr="00132E65">
        <w:rPr>
          <w:rtl/>
          <w:lang w:bidi="fa-IR"/>
        </w:rPr>
        <w:t xml:space="preserve"> كَانَ مَعَنَا فِي الرَّفِيقِ </w:t>
      </w:r>
      <w:r>
        <w:rPr>
          <w:rStyle w:val="libFootnotenumChar"/>
          <w:rtl/>
        </w:rPr>
        <w:t>(2)</w:t>
      </w:r>
      <w:r w:rsidRPr="00132E65">
        <w:rPr>
          <w:rtl/>
          <w:lang w:bidi="fa-IR"/>
        </w:rPr>
        <w:t xml:space="preserve"> الْأَعْلى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148D6">
        <w:rPr>
          <w:rtl/>
        </w:rPr>
        <w:t>1061</w:t>
      </w:r>
      <w:r w:rsidRPr="004325D8">
        <w:rPr>
          <w:rStyle w:val="libBold2Char"/>
          <w:rtl/>
        </w:rPr>
        <w:t xml:space="preserve"> / 4.</w:t>
      </w:r>
      <w:r w:rsidRPr="00132E65">
        <w:rPr>
          <w:rtl/>
          <w:lang w:bidi="fa-IR"/>
        </w:rPr>
        <w:t xml:space="preserve"> عِدَّةٌ مِنْ أَصْحَابِنَا ، عَنْ أَحْمَدَ بْنِ مُحَمَّدٍ ، عَنِ ابْنِ فَضَّالٍ ، عَنْ أَبِي جَمِيلَةَ ، عَنْ مُحَمَّدٍ الْحَلَبِيِّ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مَنْ فَارَقَ </w:t>
      </w:r>
      <w:r>
        <w:rPr>
          <w:rStyle w:val="libFootnotenumChar"/>
          <w:rtl/>
        </w:rPr>
        <w:t>(4)</w:t>
      </w:r>
      <w:r w:rsidRPr="00132E65">
        <w:rPr>
          <w:rtl/>
          <w:lang w:bidi="fa-IR"/>
        </w:rPr>
        <w:t xml:space="preserve"> جَمَاعَةَ الْمُسْلِمِينَ قِيدَ </w:t>
      </w:r>
      <w:r>
        <w:rPr>
          <w:rStyle w:val="libFootnotenumChar"/>
          <w:rtl/>
        </w:rPr>
        <w:t>(5)</w:t>
      </w:r>
      <w:r w:rsidRPr="00132E65">
        <w:rPr>
          <w:rtl/>
          <w:lang w:bidi="fa-IR"/>
        </w:rPr>
        <w:t xml:space="preserve"> شِبْرٍ ، فَقَدْ خَلَعَ </w:t>
      </w:r>
      <w:r>
        <w:rPr>
          <w:rStyle w:val="libFootnotenumChar"/>
          <w:rtl/>
        </w:rPr>
        <w:t>(6)</w:t>
      </w:r>
      <w:r w:rsidRPr="00132E65">
        <w:rPr>
          <w:rtl/>
          <w:lang w:bidi="fa-IR"/>
        </w:rPr>
        <w:t xml:space="preserve"> رِبْقَةَ الْإِسْلَامِ </w:t>
      </w:r>
      <w:r>
        <w:rPr>
          <w:rStyle w:val="libFootnotenumChar"/>
          <w:rtl/>
        </w:rPr>
        <w:t>(7)</w:t>
      </w:r>
      <w:r w:rsidRPr="00132E65">
        <w:rPr>
          <w:rtl/>
          <w:lang w:bidi="fa-IR"/>
        </w:rPr>
        <w:t xml:space="preserve"> مِنْ عُنُقِهِ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4148D6">
        <w:rPr>
          <w:rtl/>
        </w:rPr>
        <w:t>1062</w:t>
      </w:r>
      <w:r w:rsidRPr="004325D8">
        <w:rPr>
          <w:rStyle w:val="libBold2Char"/>
          <w:rtl/>
        </w:rPr>
        <w:t xml:space="preserve"> / 5.</w:t>
      </w:r>
      <w:r w:rsidRPr="00132E65">
        <w:rPr>
          <w:rtl/>
          <w:lang w:bidi="fa-IR"/>
        </w:rPr>
        <w:t xml:space="preserve"> وبِهذَا الْإِسْنَادِ ، عَنْ أَبِي عَبْدِ اللهِ </w:t>
      </w:r>
      <w:r w:rsidRPr="00071CF9">
        <w:rPr>
          <w:rStyle w:val="libAlaemChar"/>
          <w:rtl/>
        </w:rPr>
        <w:t>عليه‌السلام</w:t>
      </w:r>
      <w:r w:rsidRPr="00132E65">
        <w:rPr>
          <w:rtl/>
          <w:lang w:bidi="fa-IR"/>
        </w:rPr>
        <w:t xml:space="preserve"> ، قَالَ : « مَنْ فَارَقَ جَمَاعَةَ‌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5866 : « والنصيحة له ولإمامه »</w:t>
      </w:r>
      <w:r>
        <w:rPr>
          <w:rtl/>
        </w:rPr>
        <w:t>.</w:t>
      </w:r>
      <w:r w:rsidRPr="00132E65">
        <w:rPr>
          <w:rtl/>
        </w:rPr>
        <w:t xml:space="preserve"> وفي المقنعة والتهذيب : « والنصيحة لإمامه »</w:t>
      </w:r>
      <w:r>
        <w:rPr>
          <w:rtl/>
        </w:rPr>
        <w:t>.</w:t>
      </w:r>
      <w:r w:rsidRPr="00132E65">
        <w:rPr>
          <w:rtl/>
        </w:rPr>
        <w:t xml:space="preserve"> كلاهما بدل « لإمامه والنصيحة »</w:t>
      </w:r>
      <w:r>
        <w:rPr>
          <w:rtl/>
        </w:rPr>
        <w:t>.</w:t>
      </w:r>
    </w:p>
    <w:p w:rsidR="000C39D1" w:rsidRPr="00132E65" w:rsidRDefault="000C39D1" w:rsidP="000C39D1">
      <w:pPr>
        <w:pStyle w:val="libFootnote0"/>
        <w:rPr>
          <w:rtl/>
          <w:lang w:bidi="fa-IR"/>
        </w:rPr>
      </w:pPr>
      <w:r>
        <w:rPr>
          <w:rtl/>
        </w:rPr>
        <w:t>(2).</w:t>
      </w:r>
      <w:r w:rsidRPr="00132E65">
        <w:rPr>
          <w:rtl/>
        </w:rPr>
        <w:t xml:space="preserve"> « الرفيق » : جماعة الأنبياء الذين يسكنون أعلى علّيّين ، أو هو الله تعالى ؛ فإنّه تعالى رفيق بعباده ؛ من الرفق والرأفة. فالرفيق فعيل بمعنى الجماعة على الأوّل ، وبمعنى الفاعل على الثاني. راجع : </w:t>
      </w:r>
      <w:r w:rsidRPr="004148D6">
        <w:rPr>
          <w:rtl/>
        </w:rPr>
        <w:t>النهاية</w:t>
      </w:r>
      <w:r w:rsidRPr="00132E65">
        <w:rPr>
          <w:rtl/>
        </w:rPr>
        <w:t xml:space="preserve"> ، ج 2 ، ص 246 ( رفق )</w:t>
      </w:r>
      <w:r>
        <w:rPr>
          <w:rtl/>
        </w:rPr>
        <w:t>.</w:t>
      </w:r>
    </w:p>
    <w:p w:rsidR="000C39D1" w:rsidRPr="00132E65" w:rsidRDefault="000C39D1" w:rsidP="00D95BF7">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الزكاة ، باب أدب المصدّق ، ضمن الحديث الطويل 5866 ، بهذا الإسناد عن أبي عبد الله </w:t>
      </w:r>
      <w:r w:rsidRPr="00D95BF7">
        <w:rPr>
          <w:rStyle w:val="libFootnoteAlaemChar"/>
          <w:rtl/>
        </w:rPr>
        <w:t>عليه‌السلام</w:t>
      </w:r>
      <w:r w:rsidRPr="00132E65">
        <w:rPr>
          <w:rtl/>
        </w:rPr>
        <w:t xml:space="preserve"> ؛ وعنه في </w:t>
      </w:r>
      <w:r w:rsidRPr="004148D6">
        <w:rPr>
          <w:rtl/>
        </w:rPr>
        <w:t>التهذيب</w:t>
      </w:r>
      <w:r w:rsidRPr="00132E65">
        <w:rPr>
          <w:rtl/>
        </w:rPr>
        <w:t xml:space="preserve"> ، ج 4 ، ص 96 ، ضمن ح 274. وفي </w:t>
      </w:r>
      <w:r w:rsidRPr="004148D6">
        <w:rPr>
          <w:rtl/>
        </w:rPr>
        <w:t>المقنعة</w:t>
      </w:r>
      <w:r w:rsidRPr="00132E65">
        <w:rPr>
          <w:rtl/>
        </w:rPr>
        <w:t xml:space="preserve"> ، ص 255 ، عن حمّاد ، عن حريز ، عن بريد العجلي ، عن الصادق </w:t>
      </w:r>
      <w:r w:rsidRPr="00D95BF7">
        <w:rPr>
          <w:rStyle w:val="libFootnoteAlaemChar"/>
          <w:rtl/>
        </w:rPr>
        <w:t>عليه‌السلام</w:t>
      </w:r>
      <w:r w:rsidRPr="00132E65">
        <w:rPr>
          <w:rtl/>
        </w:rPr>
        <w:t xml:space="preserve">. </w:t>
      </w:r>
      <w:r w:rsidRPr="004148D6">
        <w:rPr>
          <w:rtl/>
        </w:rPr>
        <w:t>الغارات</w:t>
      </w:r>
      <w:r w:rsidRPr="00132E65">
        <w:rPr>
          <w:rtl/>
        </w:rPr>
        <w:t xml:space="preserve"> ، ج 1 ، ص 75 ، بسند آخر عن الصادق </w:t>
      </w:r>
      <w:r w:rsidRPr="00D95BF7">
        <w:rPr>
          <w:rStyle w:val="libFootnoteAlaemChar"/>
          <w:rtl/>
        </w:rPr>
        <w:t>عليه‌السلام</w:t>
      </w:r>
      <w:r w:rsidRPr="00132E65">
        <w:rPr>
          <w:rtl/>
        </w:rPr>
        <w:t xml:space="preserve"> ، وفي كلّها مع زيادة في أوّله وآخره</w:t>
      </w:r>
      <w:r w:rsidR="00D95BF7">
        <w:rPr>
          <w:rFonts w:hint="cs"/>
          <w:rtl/>
        </w:rPr>
        <w:t>.</w:t>
      </w:r>
      <w:r w:rsidRPr="009D1ACE">
        <w:rPr>
          <w:rStyle w:val="libFootnoteBoldChar"/>
          <w:rtl/>
        </w:rPr>
        <w:t>الوافي</w:t>
      </w:r>
      <w:r w:rsidRPr="00132E65">
        <w:rPr>
          <w:rtl/>
        </w:rPr>
        <w:t xml:space="preserve"> ، ج 2 ، ص 101 ، ح 553 ؛ </w:t>
      </w:r>
      <w:r w:rsidRPr="004148D6">
        <w:rPr>
          <w:rtl/>
        </w:rPr>
        <w:t>الوسائل</w:t>
      </w:r>
      <w:r w:rsidRPr="00132E65">
        <w:rPr>
          <w:rtl/>
        </w:rPr>
        <w:t xml:space="preserve"> ، ج 9 ، ص 129 ، ح 11678 ؛ </w:t>
      </w:r>
      <w:r w:rsidRPr="004148D6">
        <w:rPr>
          <w:rtl/>
        </w:rPr>
        <w:t>البحار</w:t>
      </w:r>
      <w:r w:rsidRPr="00132E65">
        <w:rPr>
          <w:rtl/>
        </w:rPr>
        <w:t xml:space="preserve"> ، ج 41 ، ص 126 ، ح 36 ؛ وج 27 ، ص 72 ، ح 7.</w:t>
      </w:r>
    </w:p>
    <w:p w:rsidR="000C39D1" w:rsidRPr="00132E65" w:rsidRDefault="000C39D1" w:rsidP="000C39D1">
      <w:pPr>
        <w:pStyle w:val="libFootnote0"/>
        <w:rPr>
          <w:rtl/>
          <w:lang w:bidi="fa-IR"/>
        </w:rPr>
      </w:pPr>
      <w:r>
        <w:rPr>
          <w:rtl/>
        </w:rPr>
        <w:t>(4).</w:t>
      </w:r>
      <w:r w:rsidRPr="00132E65">
        <w:rPr>
          <w:rtl/>
        </w:rPr>
        <w:t xml:space="preserve"> في المحاسن : « خلع »</w:t>
      </w:r>
      <w:r>
        <w:rPr>
          <w:rtl/>
        </w:rPr>
        <w:t>.</w:t>
      </w:r>
    </w:p>
    <w:p w:rsidR="000C39D1" w:rsidRPr="00132E65" w:rsidRDefault="000C39D1" w:rsidP="000C39D1">
      <w:pPr>
        <w:pStyle w:val="libFootnote0"/>
        <w:rPr>
          <w:rtl/>
          <w:lang w:bidi="fa-IR"/>
        </w:rPr>
      </w:pPr>
      <w:r>
        <w:rPr>
          <w:rtl/>
        </w:rPr>
        <w:t>(5).</w:t>
      </w:r>
      <w:r w:rsidRPr="00132E65">
        <w:rPr>
          <w:rtl/>
        </w:rPr>
        <w:t xml:space="preserve"> في المحاسن : « قدر »</w:t>
      </w:r>
      <w:r>
        <w:rPr>
          <w:rtl/>
        </w:rPr>
        <w:t>.</w:t>
      </w:r>
      <w:r w:rsidRPr="00132E65">
        <w:rPr>
          <w:rtl/>
        </w:rPr>
        <w:t xml:space="preserve"> </w:t>
      </w:r>
      <w:r>
        <w:rPr>
          <w:rtl/>
        </w:rPr>
        <w:t>و «</w:t>
      </w:r>
      <w:r w:rsidRPr="00132E65">
        <w:rPr>
          <w:rtl/>
        </w:rPr>
        <w:t xml:space="preserve"> القيد » : القدر. تقول : بينهما قِيدُ رُمحٍ وقاد رمح ، أي قدر رمح. راجع : </w:t>
      </w:r>
      <w:r w:rsidRPr="004148D6">
        <w:rPr>
          <w:rtl/>
        </w:rPr>
        <w:t>الصحاح</w:t>
      </w:r>
      <w:r w:rsidRPr="00132E65">
        <w:rPr>
          <w:rtl/>
        </w:rPr>
        <w:t xml:space="preserve"> ، ج 2 ، ص 529 ( قيد )</w:t>
      </w:r>
      <w:r>
        <w:rPr>
          <w:rtl/>
        </w:rPr>
        <w:t>.</w:t>
      </w:r>
    </w:p>
    <w:p w:rsidR="000C39D1" w:rsidRPr="00132E65" w:rsidRDefault="000C39D1" w:rsidP="000C39D1">
      <w:pPr>
        <w:pStyle w:val="libFootnote0"/>
        <w:rPr>
          <w:rtl/>
          <w:lang w:bidi="fa-IR"/>
        </w:rPr>
      </w:pPr>
      <w:r>
        <w:rPr>
          <w:rtl/>
        </w:rPr>
        <w:t>(6).</w:t>
      </w:r>
      <w:r w:rsidRPr="00132E65">
        <w:rPr>
          <w:rtl/>
        </w:rPr>
        <w:t xml:space="preserve"> في « ف » : « قطع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4148D6">
        <w:rPr>
          <w:rtl/>
        </w:rPr>
        <w:t>المحاسن</w:t>
      </w:r>
      <w:r w:rsidRPr="00132E65">
        <w:rPr>
          <w:rtl/>
        </w:rPr>
        <w:t xml:space="preserve"> ، ص 84 </w:t>
      </w:r>
      <w:r>
        <w:rPr>
          <w:rtl/>
        </w:rPr>
        <w:t>و 2</w:t>
      </w:r>
      <w:r w:rsidRPr="00132E65">
        <w:rPr>
          <w:rtl/>
        </w:rPr>
        <w:t>19 : « ربق الإيمان »</w:t>
      </w:r>
      <w:r>
        <w:rPr>
          <w:rtl/>
        </w:rPr>
        <w:t>.</w:t>
      </w:r>
      <w:r w:rsidRPr="00132E65">
        <w:rPr>
          <w:rtl/>
        </w:rPr>
        <w:t xml:space="preserve"> وقال ابن الأثير : « الرِبقَة ، في الأصل : عُرْوة في حبل تجعل في عنق البهيمة أو يدها تمسكها ، فاستعارها للإسلام ؛ يعني ما يشدّ به المسلم نفسه من عُرى الإسلام ، أي حدوده وأحكامه وأوامره ونواهيه »</w:t>
      </w:r>
      <w:r>
        <w:rPr>
          <w:rtl/>
        </w:rPr>
        <w:t>.</w:t>
      </w:r>
      <w:r w:rsidRPr="00132E65">
        <w:rPr>
          <w:rtl/>
        </w:rPr>
        <w:t xml:space="preserve"> النهاية ، ج 2 ، ص 190 ( ربق )</w:t>
      </w:r>
      <w:r>
        <w:rPr>
          <w:rtl/>
        </w:rPr>
        <w:t>.</w:t>
      </w:r>
    </w:p>
    <w:p w:rsidR="000C39D1" w:rsidRPr="00132E65" w:rsidRDefault="000C39D1" w:rsidP="00D95BF7">
      <w:pPr>
        <w:pStyle w:val="libFootnote0"/>
        <w:rPr>
          <w:rtl/>
          <w:lang w:bidi="fa-IR"/>
        </w:rPr>
      </w:pPr>
      <w:r>
        <w:rPr>
          <w:rtl/>
        </w:rPr>
        <w:t>(8).</w:t>
      </w:r>
      <w:r w:rsidRPr="00132E65">
        <w:rPr>
          <w:rtl/>
        </w:rPr>
        <w:t xml:space="preserve"> المحاسن ، ص 84 ، كتاب عقاب الأعمال ، ح 21 ، عن محمّد بن عليّ الحلبي ، عن أبي عبد الله. </w:t>
      </w:r>
      <w:r w:rsidRPr="004148D6">
        <w:rPr>
          <w:rtl/>
        </w:rPr>
        <w:t>الأمالي</w:t>
      </w:r>
      <w:r w:rsidRPr="00132E65">
        <w:rPr>
          <w:rtl/>
        </w:rPr>
        <w:t xml:space="preserve"> للصدوق ، ص 333 ، المجلس 54 ، ح 3 ، بسند آخر عن أبي جعفر </w:t>
      </w:r>
      <w:r w:rsidRPr="00D95BF7">
        <w:rPr>
          <w:rStyle w:val="libFootnoteAlaemChar"/>
          <w:rtl/>
        </w:rPr>
        <w:t>عليه‌السلام</w:t>
      </w:r>
      <w:r w:rsidRPr="00132E65">
        <w:rPr>
          <w:rtl/>
        </w:rPr>
        <w:t xml:space="preserve"> ، عن رسول الله </w:t>
      </w:r>
      <w:r w:rsidRPr="00D95BF7">
        <w:rPr>
          <w:rStyle w:val="libFootnoteAlaemChar"/>
          <w:rFonts w:eastAsiaTheme="minorHAnsi"/>
          <w:rtl/>
        </w:rPr>
        <w:t>صلى‌الله‌عليه‌وآله</w:t>
      </w:r>
      <w:r w:rsidRPr="00132E65">
        <w:rPr>
          <w:rtl/>
          <w:lang w:bidi="fa-IR"/>
        </w:rPr>
        <w:t xml:space="preserve"> </w:t>
      </w:r>
      <w:r w:rsidRPr="00132E65">
        <w:rPr>
          <w:rtl/>
        </w:rPr>
        <w:t>، مع اختلاف يسير وزيادة في آخره</w:t>
      </w:r>
      <w:r w:rsidR="00D95BF7">
        <w:rPr>
          <w:rFonts w:hint="cs"/>
          <w:rtl/>
        </w:rPr>
        <w:t>.</w:t>
      </w:r>
      <w:r w:rsidRPr="009D1ACE">
        <w:rPr>
          <w:rStyle w:val="libFootnoteBoldChar"/>
          <w:rtl/>
        </w:rPr>
        <w:t>الوافي</w:t>
      </w:r>
      <w:r w:rsidRPr="00132E65">
        <w:rPr>
          <w:rtl/>
        </w:rPr>
        <w:t xml:space="preserve"> ، ج 2 ، ص 101 ، ح 554 ؛ </w:t>
      </w:r>
      <w:r w:rsidRPr="004148D6">
        <w:rPr>
          <w:rtl/>
        </w:rPr>
        <w:t>البحار</w:t>
      </w:r>
      <w:r w:rsidRPr="00132E65">
        <w:rPr>
          <w:rtl/>
        </w:rPr>
        <w:t xml:space="preserve"> ، ج 27 ، ص 72 ، ح 8.</w:t>
      </w:r>
    </w:p>
    <w:p w:rsidR="000C39D1" w:rsidRDefault="000C39D1" w:rsidP="000C39D1">
      <w:pPr>
        <w:pStyle w:val="libNormal0"/>
        <w:tabs>
          <w:tab w:val="left" w:pos="3968"/>
        </w:tabs>
        <w:rPr>
          <w:rtl/>
          <w:lang w:bidi="fa-IR"/>
        </w:rPr>
      </w:pPr>
      <w:r>
        <w:rPr>
          <w:rtl/>
          <w:lang w:bidi="fa-IR"/>
        </w:rPr>
        <w:br w:type="page"/>
      </w:r>
    </w:p>
    <w:p w:rsidR="000C39D1" w:rsidRPr="00CE4585" w:rsidRDefault="000C39D1" w:rsidP="000C39D1">
      <w:pPr>
        <w:pStyle w:val="libNormal0"/>
        <w:tabs>
          <w:tab w:val="left" w:pos="3968"/>
        </w:tabs>
        <w:rPr>
          <w:rtl/>
        </w:rPr>
      </w:pPr>
      <w:r w:rsidRPr="00132E65">
        <w:rPr>
          <w:rtl/>
          <w:lang w:bidi="fa-IR"/>
        </w:rPr>
        <w:t xml:space="preserve">الْمُسْلِمِينَ ونَكَثَ صَفْقَةَ </w:t>
      </w:r>
      <w:r>
        <w:rPr>
          <w:rStyle w:val="libFootnotenumChar"/>
          <w:rtl/>
        </w:rPr>
        <w:t>(1)</w:t>
      </w:r>
      <w:r w:rsidRPr="00132E65">
        <w:rPr>
          <w:rtl/>
          <w:lang w:bidi="fa-IR"/>
        </w:rPr>
        <w:t xml:space="preserve"> الْإِمَامِ </w:t>
      </w:r>
      <w:r>
        <w:rPr>
          <w:rStyle w:val="libFootnotenumChar"/>
          <w:rtl/>
        </w:rPr>
        <w:t>(2)</w:t>
      </w:r>
      <w:r w:rsidRPr="00132E65">
        <w:rPr>
          <w:rtl/>
          <w:lang w:bidi="fa-IR"/>
        </w:rPr>
        <w:t xml:space="preserve"> ، جَاءَ إِلَى اللهِ</w:t>
      </w:r>
      <w:r>
        <w:rPr>
          <w:rtl/>
          <w:lang w:bidi="fa-IR"/>
        </w:rPr>
        <w:t xml:space="preserve"> - </w:t>
      </w:r>
      <w:r w:rsidRPr="00132E65">
        <w:rPr>
          <w:rtl/>
          <w:lang w:bidi="fa-IR"/>
        </w:rPr>
        <w:t xml:space="preserve">عَزَّ وجَلَّ </w:t>
      </w:r>
      <w:r>
        <w:rPr>
          <w:rStyle w:val="libFootnotenumChar"/>
          <w:rtl/>
        </w:rPr>
        <w:t>(3)</w:t>
      </w:r>
      <w:r>
        <w:rPr>
          <w:rtl/>
          <w:lang w:bidi="fa-IR"/>
        </w:rPr>
        <w:t xml:space="preserve"> - </w:t>
      </w:r>
      <w:r w:rsidRPr="00132E65">
        <w:rPr>
          <w:rtl/>
          <w:lang w:bidi="fa-IR"/>
        </w:rPr>
        <w:t xml:space="preserve">أَجْذَمَ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Default="000C39D1" w:rsidP="000C39D1">
      <w:pPr>
        <w:pStyle w:val="Heading2Center"/>
        <w:rPr>
          <w:rtl/>
          <w:lang w:bidi="fa-IR"/>
        </w:rPr>
      </w:pPr>
      <w:bookmarkStart w:id="130" w:name="_Toc459459143"/>
      <w:bookmarkStart w:id="131" w:name="_Toc34663112"/>
      <w:r w:rsidRPr="00132E65">
        <w:rPr>
          <w:rtl/>
          <w:lang w:bidi="fa-IR"/>
        </w:rPr>
        <w:t>104</w:t>
      </w:r>
      <w:r>
        <w:rPr>
          <w:rtl/>
          <w:lang w:bidi="fa-IR"/>
        </w:rPr>
        <w:t xml:space="preserve"> - </w:t>
      </w:r>
      <w:r w:rsidRPr="00132E65">
        <w:rPr>
          <w:rtl/>
          <w:lang w:bidi="fa-IR"/>
        </w:rPr>
        <w:t>بَابُ مَا يَجِبُ مِنْ حَقِّ الْإِمَامِ عَلَى الرَّعِيَّةِ</w:t>
      </w:r>
      <w:bookmarkEnd w:id="130"/>
      <w:bookmarkEnd w:id="131"/>
      <w:r w:rsidRPr="00132E65">
        <w:rPr>
          <w:rtl/>
          <w:lang w:bidi="fa-IR"/>
        </w:rPr>
        <w:t xml:space="preserve"> </w:t>
      </w:r>
    </w:p>
    <w:p w:rsidR="000C39D1" w:rsidRPr="00132E65" w:rsidRDefault="000C39D1" w:rsidP="000C39D1">
      <w:pPr>
        <w:pStyle w:val="Heading2Center"/>
        <w:rPr>
          <w:rtl/>
          <w:lang w:bidi="fa-IR"/>
        </w:rPr>
      </w:pPr>
      <w:bookmarkStart w:id="132" w:name="_Toc459293656"/>
      <w:bookmarkStart w:id="133" w:name="_Toc459455125"/>
      <w:bookmarkStart w:id="134" w:name="_Toc459459144"/>
      <w:bookmarkStart w:id="135" w:name="_Toc34663113"/>
      <w:r w:rsidRPr="00132E65">
        <w:rPr>
          <w:rtl/>
          <w:lang w:bidi="fa-IR"/>
        </w:rPr>
        <w:t xml:space="preserve">وحَقِّ الرَّعِيَّةِ عَلَى الْإِمَامِ </w:t>
      </w:r>
      <w:r w:rsidRPr="00071CF9">
        <w:rPr>
          <w:rStyle w:val="libAlaemChar"/>
          <w:rtl/>
        </w:rPr>
        <w:t>عليه‌السلام</w:t>
      </w:r>
      <w:r w:rsidRPr="00132E65">
        <w:rPr>
          <w:rtl/>
          <w:lang w:bidi="fa-IR"/>
        </w:rPr>
        <w:t>‌</w:t>
      </w:r>
      <w:bookmarkEnd w:id="132"/>
      <w:bookmarkEnd w:id="133"/>
      <w:bookmarkEnd w:id="134"/>
      <w:bookmarkEnd w:id="135"/>
    </w:p>
    <w:p w:rsidR="000C39D1" w:rsidRPr="00132E65" w:rsidRDefault="000C39D1" w:rsidP="000C39D1">
      <w:pPr>
        <w:pStyle w:val="libNormal"/>
        <w:rPr>
          <w:rtl/>
          <w:lang w:bidi="fa-IR"/>
        </w:rPr>
      </w:pPr>
      <w:r w:rsidRPr="004325D8">
        <w:rPr>
          <w:rStyle w:val="libBold2Char"/>
          <w:rtl/>
        </w:rPr>
        <w:t>1063 / 1.</w:t>
      </w:r>
      <w:r w:rsidRPr="00132E65">
        <w:rPr>
          <w:rtl/>
          <w:lang w:bidi="fa-IR"/>
        </w:rPr>
        <w:t xml:space="preserve"> الْحُسَيْنُ بْنُ مُحَمَّدٍ ، عَنْ مُعَلَّى بْنِ مُحَمَّدٍ ، عَنْ مُحَمَّدِ بْنِ جُمْهُورٍ ، عَنْ حَمَّادِ بْنِ عُثْمَانَ ، عَنْ أَبِي حَمْزَةَ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 مَا حَقُّ الْإِمَامِ عَلَى النَّاسِ</w:t>
      </w:r>
      <w:r>
        <w:rPr>
          <w:rtl/>
          <w:lang w:bidi="fa-IR"/>
        </w:rPr>
        <w:t>؟</w:t>
      </w:r>
      <w:r w:rsidRPr="00132E65">
        <w:rPr>
          <w:rtl/>
          <w:lang w:bidi="fa-IR"/>
        </w:rPr>
        <w:t xml:space="preserve"> قَالَ : « حَقُّهُ </w:t>
      </w:r>
      <w:r>
        <w:rPr>
          <w:rStyle w:val="libFootnotenumChar"/>
          <w:rtl/>
        </w:rPr>
        <w:t>(6)</w:t>
      </w:r>
      <w:r w:rsidRPr="00132E65">
        <w:rPr>
          <w:rtl/>
          <w:lang w:bidi="fa-IR"/>
        </w:rPr>
        <w:t xml:space="preserve"> عَلَيْهِمْ أَنْ يَسْمَعُوا لَهُ وَيُطِيعُوا </w:t>
      </w:r>
      <w:r>
        <w:rPr>
          <w:rStyle w:val="libFootnotenumChar"/>
          <w:rtl/>
        </w:rPr>
        <w:t>(7)</w:t>
      </w:r>
      <w:r w:rsidRPr="00132E65">
        <w:rPr>
          <w:rtl/>
          <w:lang w:bidi="fa-IR"/>
        </w:rPr>
        <w:t xml:space="preserve"> »</w:t>
      </w:r>
      <w:r>
        <w:rPr>
          <w:rtl/>
          <w:lang w:bidi="fa-IR"/>
        </w:rPr>
        <w:t>.</w:t>
      </w:r>
      <w:r w:rsidRPr="00132E65">
        <w:rPr>
          <w:rtl/>
          <w:lang w:bidi="fa-IR"/>
        </w:rPr>
        <w:t xml:space="preserve"> قُلْتُ : فَمَا حَقُّهُمْ عَلَيْهِ </w:t>
      </w:r>
      <w:r>
        <w:rPr>
          <w:rStyle w:val="libFootnotenumChar"/>
          <w:rtl/>
        </w:rPr>
        <w:t>(8)</w:t>
      </w:r>
      <w:r>
        <w:rPr>
          <w:rtl/>
          <w:lang w:bidi="fa-IR"/>
        </w:rPr>
        <w:t>؟</w:t>
      </w:r>
      <w:r w:rsidRPr="00132E65">
        <w:rPr>
          <w:rtl/>
          <w:lang w:bidi="fa-IR"/>
        </w:rPr>
        <w:t xml:space="preserve"> قَالَ : « أَنْ يَقْسِمَ </w:t>
      </w:r>
      <w:r>
        <w:rPr>
          <w:rStyle w:val="libFootnotenumChar"/>
          <w:rtl/>
        </w:rPr>
        <w:t>(9)</w:t>
      </w:r>
      <w:r w:rsidRPr="00132E65">
        <w:rPr>
          <w:rtl/>
          <w:lang w:bidi="fa-IR"/>
        </w:rPr>
        <w:t xml:space="preserve"> بَيْنَهُمْ بِالسَّوِيَّةِ ، ويَعْدِلَ فِي الرَّعِيَّةِ ، فَإِذَا </w:t>
      </w:r>
      <w:r>
        <w:rPr>
          <w:rStyle w:val="libFootnotenumChar"/>
          <w:rtl/>
        </w:rPr>
        <w:t>(10)</w:t>
      </w:r>
      <w:r w:rsidRPr="00132E65">
        <w:rPr>
          <w:rtl/>
          <w:lang w:bidi="fa-IR"/>
        </w:rPr>
        <w:t xml:space="preserve"> كَانَ ذلِكَ فِي النَّاسِ ، فَلَا يُبَالِي مَنْ أَخَذَ هَاهُنَا وهَاهُنَا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w:t>
      </w:r>
      <w:r>
        <w:rPr>
          <w:rtl/>
        </w:rPr>
        <w:t xml:space="preserve"> + </w:t>
      </w:r>
      <w:r w:rsidRPr="00132E65">
        <w:rPr>
          <w:rtl/>
        </w:rPr>
        <w:t>« إسلام »</w:t>
      </w:r>
      <w:r>
        <w:rPr>
          <w:rtl/>
        </w:rPr>
        <w:t>.</w:t>
      </w:r>
      <w:r w:rsidRPr="00132E65">
        <w:rPr>
          <w:rtl/>
        </w:rPr>
        <w:t xml:space="preserve"> والصفقة : البيعة.</w:t>
      </w:r>
    </w:p>
    <w:p w:rsidR="000C39D1" w:rsidRPr="00132E65" w:rsidRDefault="000C39D1" w:rsidP="000C39D1">
      <w:pPr>
        <w:pStyle w:val="libFootnote0"/>
        <w:rPr>
          <w:rtl/>
          <w:lang w:bidi="fa-IR"/>
        </w:rPr>
      </w:pPr>
      <w:r>
        <w:rPr>
          <w:rtl/>
        </w:rPr>
        <w:t>(2).</w:t>
      </w:r>
      <w:r w:rsidRPr="00132E65">
        <w:rPr>
          <w:rtl/>
        </w:rPr>
        <w:t xml:space="preserve"> في « ب ، ض ، بح ، بف » وشرح المازندراني والبحار : « الإبهام »</w:t>
      </w:r>
      <w:r>
        <w:rPr>
          <w:rtl/>
        </w:rPr>
        <w:t>.</w:t>
      </w:r>
      <w:r w:rsidRPr="00132E65">
        <w:rPr>
          <w:rtl/>
        </w:rPr>
        <w:t xml:space="preserve"> وهذا لمدخليّتها في البيعة.</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وهو »</w:t>
      </w:r>
      <w:r>
        <w:rPr>
          <w:rtl/>
        </w:rPr>
        <w:t>.</w:t>
      </w:r>
    </w:p>
    <w:p w:rsidR="000C39D1" w:rsidRPr="00132E65" w:rsidRDefault="000C39D1" w:rsidP="000C39D1">
      <w:pPr>
        <w:pStyle w:val="libFootnote0"/>
        <w:rPr>
          <w:rtl/>
          <w:lang w:bidi="fa-IR"/>
        </w:rPr>
      </w:pPr>
      <w:r>
        <w:rPr>
          <w:rtl/>
        </w:rPr>
        <w:t>(4).</w:t>
      </w:r>
      <w:r w:rsidRPr="00132E65">
        <w:rPr>
          <w:rtl/>
        </w:rPr>
        <w:t xml:space="preserve"> « الأَجْذَمُ » : مقطوع اليد ، من الجَذْم بمعنى القطع ؛ أو مقطوع الأعضاء كلّها ؛ أو مقطوع الحجّة لا لسان له يتكلّم ولا حجّة في يده ؛ أو منقطع السبب ؛ أو خالي اليد من الخير صِفْرَها من الثواب. راجع : </w:t>
      </w:r>
      <w:r w:rsidRPr="004148D6">
        <w:rPr>
          <w:rtl/>
        </w:rPr>
        <w:t>النهاية</w:t>
      </w:r>
      <w:r w:rsidRPr="00132E65">
        <w:rPr>
          <w:rtl/>
        </w:rPr>
        <w:t xml:space="preserve"> ، ج 1 ، ص 251 ؛ </w:t>
      </w:r>
      <w:r w:rsidRPr="004148D6">
        <w:rPr>
          <w:rtl/>
        </w:rPr>
        <w:t>شرح المازندراني</w:t>
      </w:r>
      <w:r w:rsidRPr="00132E65">
        <w:rPr>
          <w:rtl/>
        </w:rPr>
        <w:t xml:space="preserve"> ، ج 7 ، ص 20.</w:t>
      </w:r>
    </w:p>
    <w:p w:rsidR="000C39D1" w:rsidRPr="00132E65" w:rsidRDefault="000C39D1" w:rsidP="00D95BF7">
      <w:pPr>
        <w:pStyle w:val="libFootnote0"/>
        <w:rPr>
          <w:rtl/>
          <w:lang w:bidi="fa-IR"/>
        </w:rPr>
      </w:pPr>
      <w:r>
        <w:rPr>
          <w:rtl/>
        </w:rPr>
        <w:t>(5).</w:t>
      </w:r>
      <w:r w:rsidRPr="00132E65">
        <w:rPr>
          <w:rtl/>
        </w:rPr>
        <w:t xml:space="preserve"> </w:t>
      </w:r>
      <w:r w:rsidRPr="004148D6">
        <w:rPr>
          <w:rtl/>
        </w:rPr>
        <w:t>المحاسن</w:t>
      </w:r>
      <w:r w:rsidRPr="00132E65">
        <w:rPr>
          <w:rtl/>
        </w:rPr>
        <w:t xml:space="preserve"> ، ص 219 ، كتاب عقاب الأعمال ، ح 121 ، عن الحسن بن عليّ بن فضّال. </w:t>
      </w:r>
      <w:r w:rsidRPr="004148D6">
        <w:rPr>
          <w:rtl/>
        </w:rPr>
        <w:t>وفيه</w:t>
      </w:r>
      <w:r w:rsidRPr="00132E65">
        <w:rPr>
          <w:rtl/>
        </w:rPr>
        <w:t xml:space="preserve"> ، ص 94 ، كتاب عقاب الأعمال ، ح 52 ، بسند آخر عن موسى بن جعفر </w:t>
      </w:r>
      <w:r w:rsidRPr="00D95BF7">
        <w:rPr>
          <w:rStyle w:val="libFootnoteAlaemChar"/>
          <w:rtl/>
        </w:rPr>
        <w:t>عليه‌السلام</w:t>
      </w:r>
      <w:r w:rsidRPr="00132E65">
        <w:rPr>
          <w:rtl/>
        </w:rPr>
        <w:t xml:space="preserve"> ، عن عليّ </w:t>
      </w:r>
      <w:r w:rsidRPr="00D95BF7">
        <w:rPr>
          <w:rStyle w:val="libFootnoteAlaemChar"/>
          <w:rtl/>
        </w:rPr>
        <w:t>عليه‌السلام</w:t>
      </w:r>
      <w:r w:rsidRPr="00132E65">
        <w:rPr>
          <w:rtl/>
        </w:rPr>
        <w:t xml:space="preserve"> ، مع زيادة في أوّله. وفي </w:t>
      </w:r>
      <w:r w:rsidRPr="000577A7">
        <w:rPr>
          <w:rStyle w:val="libFootnoteBoldChar"/>
          <w:rtl/>
        </w:rPr>
        <w:t>الكافي</w:t>
      </w:r>
      <w:r w:rsidRPr="00132E65">
        <w:rPr>
          <w:rtl/>
        </w:rPr>
        <w:t xml:space="preserve"> ، كتاب الإيمان والكفر ، باب المكر والغدر والخديعة ، ح 2678 ، بسند آخر عن الصادق </w:t>
      </w:r>
      <w:r w:rsidRPr="00D95BF7">
        <w:rPr>
          <w:rStyle w:val="libFootnoteAlaemChar"/>
          <w:rtl/>
        </w:rPr>
        <w:t>عليه‌السلام</w:t>
      </w:r>
      <w:r w:rsidRPr="00132E65">
        <w:rPr>
          <w:rtl/>
        </w:rPr>
        <w:t xml:space="preserve"> عن رسول الله </w:t>
      </w:r>
      <w:r w:rsidRPr="00D95BF7">
        <w:rPr>
          <w:rStyle w:val="libFootnoteAlaemChar"/>
          <w:rFonts w:eastAsiaTheme="minorHAnsi"/>
          <w:rtl/>
        </w:rPr>
        <w:t>صلى‌الله‌عليه‌وآله</w:t>
      </w:r>
      <w:r w:rsidRPr="00132E65">
        <w:rPr>
          <w:rtl/>
          <w:lang w:bidi="fa-IR"/>
        </w:rPr>
        <w:t xml:space="preserve"> </w:t>
      </w:r>
      <w:r w:rsidRPr="00132E65">
        <w:rPr>
          <w:rtl/>
        </w:rPr>
        <w:t xml:space="preserve">، مع اختلاف. راجع : </w:t>
      </w:r>
      <w:r w:rsidRPr="004148D6">
        <w:rPr>
          <w:rtl/>
        </w:rPr>
        <w:t>المحاسن</w:t>
      </w:r>
      <w:r w:rsidRPr="00132E65">
        <w:rPr>
          <w:rtl/>
        </w:rPr>
        <w:t xml:space="preserve"> ، ص 91 ، كتاب عقاب الأعمال ، ح 42 ؛ و</w:t>
      </w:r>
      <w:r w:rsidRPr="004148D6">
        <w:rPr>
          <w:rtl/>
        </w:rPr>
        <w:t>ثواب الأعمال</w:t>
      </w:r>
      <w:r w:rsidRPr="00132E65">
        <w:rPr>
          <w:rtl/>
        </w:rPr>
        <w:t xml:space="preserve"> ، ص 243 ، ح 2</w:t>
      </w:r>
      <w:r w:rsidR="00D95BF7">
        <w:rPr>
          <w:rFonts w:hint="cs"/>
          <w:rtl/>
        </w:rPr>
        <w:t>.</w:t>
      </w:r>
      <w:r w:rsidRPr="009D1ACE">
        <w:rPr>
          <w:rStyle w:val="libFootnoteBoldChar"/>
          <w:rtl/>
        </w:rPr>
        <w:t>الوافي</w:t>
      </w:r>
      <w:r w:rsidRPr="00132E65">
        <w:rPr>
          <w:rtl/>
        </w:rPr>
        <w:t xml:space="preserve"> ، ج 2 ، ص 102 ، ح 555 ؛ </w:t>
      </w:r>
      <w:r w:rsidRPr="004148D6">
        <w:rPr>
          <w:rtl/>
        </w:rPr>
        <w:t>البحار</w:t>
      </w:r>
      <w:r w:rsidRPr="00132E65">
        <w:rPr>
          <w:rtl/>
        </w:rPr>
        <w:t xml:space="preserve"> ، ج 27 ، ص 72 ، ح 9.</w:t>
      </w:r>
    </w:p>
    <w:tbl>
      <w:tblPr>
        <w:tblStyle w:val="TableGrid"/>
        <w:bidiVisual/>
        <w:tblW w:w="0" w:type="auto"/>
        <w:tblLook w:val="04A0" w:firstRow="1" w:lastRow="0" w:firstColumn="1" w:lastColumn="0" w:noHBand="0" w:noVBand="1"/>
      </w:tblPr>
      <w:tblGrid>
        <w:gridCol w:w="4006"/>
        <w:gridCol w:w="4006"/>
      </w:tblGrid>
      <w:tr w:rsidR="00D95BF7" w:rsidTr="00D95BF7">
        <w:tc>
          <w:tcPr>
            <w:tcW w:w="4006" w:type="dxa"/>
          </w:tcPr>
          <w:p w:rsidR="00D95BF7" w:rsidRDefault="00D95BF7" w:rsidP="000C39D1">
            <w:pPr>
              <w:pStyle w:val="libFootnote0"/>
              <w:rPr>
                <w:rtl/>
              </w:rPr>
            </w:pPr>
            <w:r>
              <w:rPr>
                <w:rtl/>
              </w:rPr>
              <w:t>(6).</w:t>
            </w:r>
            <w:r w:rsidRPr="00132E65">
              <w:rPr>
                <w:rtl/>
              </w:rPr>
              <w:t xml:space="preserve"> في « بح » : « حقّهم »</w:t>
            </w:r>
            <w:r>
              <w:rPr>
                <w:rtl/>
              </w:rPr>
              <w:t>.</w:t>
            </w:r>
          </w:p>
        </w:tc>
        <w:tc>
          <w:tcPr>
            <w:tcW w:w="4006" w:type="dxa"/>
          </w:tcPr>
          <w:p w:rsidR="00D95BF7" w:rsidRDefault="00D95BF7" w:rsidP="000C39D1">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 « يطيعوه »</w:t>
            </w:r>
            <w:r>
              <w:rPr>
                <w:rtl/>
              </w:rPr>
              <w:t>.</w:t>
            </w:r>
          </w:p>
        </w:tc>
      </w:tr>
    </w:tbl>
    <w:p w:rsidR="000C39D1" w:rsidRPr="00132E65" w:rsidRDefault="000C39D1" w:rsidP="000C39D1">
      <w:pPr>
        <w:pStyle w:val="libFootnote0"/>
        <w:rPr>
          <w:rtl/>
          <w:lang w:bidi="fa-IR"/>
        </w:rPr>
      </w:pPr>
      <w:r>
        <w:rPr>
          <w:rtl/>
        </w:rPr>
        <w:t>(8).</w:t>
      </w:r>
      <w:r w:rsidRPr="00132E65">
        <w:rPr>
          <w:rtl/>
        </w:rPr>
        <w:t xml:space="preserve"> هكذا في النسخ التي قوبلت والبحار. وفي المطبوع : « عليهم »</w:t>
      </w:r>
      <w:r>
        <w:rPr>
          <w:rtl/>
        </w:rPr>
        <w:t>.</w:t>
      </w:r>
    </w:p>
    <w:p w:rsidR="000C39D1" w:rsidRPr="00132E65" w:rsidRDefault="000C39D1" w:rsidP="000C39D1">
      <w:pPr>
        <w:pStyle w:val="libFootnote0"/>
        <w:rPr>
          <w:rtl/>
          <w:lang w:bidi="fa-IR"/>
        </w:rPr>
      </w:pPr>
      <w:r>
        <w:rPr>
          <w:rtl/>
        </w:rPr>
        <w:t>(9).</w:t>
      </w:r>
      <w:r w:rsidRPr="00132E65">
        <w:rPr>
          <w:rtl/>
        </w:rPr>
        <w:t xml:space="preserve"> هكذا في « ف » وحاشية « بح »</w:t>
      </w:r>
      <w:r>
        <w:rPr>
          <w:rtl/>
        </w:rPr>
        <w:t>.</w:t>
      </w:r>
      <w:r w:rsidRPr="00132E65">
        <w:rPr>
          <w:rtl/>
        </w:rPr>
        <w:t xml:space="preserve"> وفي سائر النسخ والمطبوع و</w:t>
      </w:r>
      <w:r w:rsidRPr="009D1ACE">
        <w:rPr>
          <w:rStyle w:val="libFootnoteBoldChar"/>
          <w:rtl/>
        </w:rPr>
        <w:t>مرآة العقول</w:t>
      </w:r>
      <w:r w:rsidRPr="00132E65">
        <w:rPr>
          <w:rtl/>
        </w:rPr>
        <w:t xml:space="preserve"> </w:t>
      </w:r>
      <w:r>
        <w:rPr>
          <w:rtl/>
        </w:rPr>
        <w:t xml:space="preserve">: - </w:t>
      </w:r>
      <w:r w:rsidRPr="00132E65">
        <w:rPr>
          <w:rtl/>
        </w:rPr>
        <w:t>« أن »</w:t>
      </w:r>
      <w:r>
        <w:rPr>
          <w:rtl/>
        </w:rPr>
        <w:t>.</w:t>
      </w:r>
      <w:r w:rsidRPr="00132E65">
        <w:rPr>
          <w:rtl/>
        </w:rPr>
        <w:t xml:space="preserve"> وفي </w:t>
      </w:r>
      <w:r w:rsidRPr="004148D6">
        <w:rPr>
          <w:rtl/>
        </w:rPr>
        <w:t>المرآة</w:t>
      </w:r>
      <w:r w:rsidRPr="00132E65">
        <w:rPr>
          <w:rtl/>
        </w:rPr>
        <w:t xml:space="preserve"> : « قوله : « يقسم » على بناء التفعيل ، أو من باب ضرب ، وهو منصوب بتقدير : أن »</w:t>
      </w:r>
      <w:r>
        <w:rPr>
          <w:rtl/>
        </w:rPr>
        <w:t>.</w:t>
      </w:r>
    </w:p>
    <w:p w:rsidR="000C39D1" w:rsidRPr="00132E65" w:rsidRDefault="000C39D1" w:rsidP="000C39D1">
      <w:pPr>
        <w:pStyle w:val="libFootnote0"/>
        <w:rPr>
          <w:rtl/>
          <w:lang w:bidi="fa-IR"/>
        </w:rPr>
      </w:pPr>
      <w:r>
        <w:rPr>
          <w:rtl/>
        </w:rPr>
        <w:t>(10).</w:t>
      </w:r>
      <w:r w:rsidRPr="00132E65">
        <w:rPr>
          <w:rtl/>
        </w:rPr>
        <w:t xml:space="preserve"> في « بر » : « فإن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651 ، ح 1245 ؛ </w:t>
      </w:r>
      <w:r w:rsidRPr="004148D6">
        <w:rPr>
          <w:rtl/>
        </w:rPr>
        <w:t>البحار</w:t>
      </w:r>
      <w:r w:rsidRPr="00132E65">
        <w:rPr>
          <w:rtl/>
        </w:rPr>
        <w:t xml:space="preserve"> ، ج 27 ، ص 244 ، ح 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4148D6">
        <w:rPr>
          <w:rtl/>
        </w:rPr>
        <w:t>1064</w:t>
      </w:r>
      <w:r w:rsidRPr="004325D8">
        <w:rPr>
          <w:rStyle w:val="libBold2Char"/>
          <w:rtl/>
        </w:rPr>
        <w:t xml:space="preserve"> / 2.</w:t>
      </w:r>
      <w:r w:rsidRPr="00132E65">
        <w:rPr>
          <w:rtl/>
          <w:lang w:bidi="fa-IR"/>
        </w:rPr>
        <w:t xml:space="preserve"> مُحَمَّدُ بْنُ يَحْيى ، عَنْ مُحَمَّدِ بْنِ الْحُسَيْنِ ، عَنْ مُحَمَّدِ بْنِ إِسْمَاعِيلَ بْنِ بَزِيعٍ ، عَنْ مَنْصُورِ بْنِ يُونُسَ ، عَنْ أَبِي حَمْزَةَ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00563862">
        <w:rPr>
          <w:rtl/>
          <w:lang w:bidi="fa-IR"/>
        </w:rPr>
        <w:t xml:space="preserve"> مِثْلَهُ ، إِل</w:t>
      </w:r>
      <w:r w:rsidR="00563862">
        <w:rPr>
          <w:rFonts w:hint="cs"/>
          <w:rtl/>
          <w:lang w:bidi="fa-IR"/>
        </w:rPr>
        <w:t>َّ</w:t>
      </w:r>
      <w:r w:rsidR="00563862">
        <w:rPr>
          <w:rtl/>
          <w:lang w:bidi="fa-IR"/>
        </w:rPr>
        <w:t>ا</w:t>
      </w:r>
      <w:r w:rsidRPr="00132E65">
        <w:rPr>
          <w:rtl/>
          <w:lang w:bidi="fa-IR"/>
        </w:rPr>
        <w:t xml:space="preserve"> أَنَّهُ قَالَ : « هكَذَا </w:t>
      </w:r>
      <w:r>
        <w:rPr>
          <w:rStyle w:val="libFootnotenumChar"/>
          <w:rtl/>
        </w:rPr>
        <w:t>(1)</w:t>
      </w:r>
      <w:r w:rsidRPr="00132E65">
        <w:rPr>
          <w:rtl/>
          <w:lang w:bidi="fa-IR"/>
        </w:rPr>
        <w:t xml:space="preserve"> وهكَذَا وهكَذَا وهكَذَا </w:t>
      </w:r>
      <w:r>
        <w:rPr>
          <w:rStyle w:val="libFootnotenumChar"/>
          <w:rtl/>
        </w:rPr>
        <w:t>(2)</w:t>
      </w:r>
      <w:r w:rsidRPr="00132E65">
        <w:rPr>
          <w:rtl/>
          <w:lang w:bidi="fa-IR"/>
        </w:rPr>
        <w:t xml:space="preserve"> » يَعْنِي مِنْ </w:t>
      </w:r>
      <w:r>
        <w:rPr>
          <w:rStyle w:val="libFootnotenumChar"/>
          <w:rtl/>
        </w:rPr>
        <w:t>(3)</w:t>
      </w:r>
      <w:r w:rsidRPr="00132E65">
        <w:rPr>
          <w:rtl/>
          <w:lang w:bidi="fa-IR"/>
        </w:rPr>
        <w:t xml:space="preserve"> بَيْنِ يَدَيْهِ وخَلْفِهِ </w:t>
      </w:r>
      <w:r>
        <w:rPr>
          <w:rStyle w:val="libFootnotenumChar"/>
          <w:rtl/>
        </w:rPr>
        <w:t>(4)</w:t>
      </w:r>
      <w:r w:rsidRPr="00132E65">
        <w:rPr>
          <w:rtl/>
          <w:lang w:bidi="fa-IR"/>
        </w:rPr>
        <w:t xml:space="preserve"> ، وعَنْ يَمِينِهِ وعَنْ شِمَالِهِ.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4148D6">
        <w:rPr>
          <w:rtl/>
        </w:rPr>
        <w:t>1065</w:t>
      </w:r>
      <w:r w:rsidRPr="004325D8">
        <w:rPr>
          <w:rStyle w:val="libBold2Char"/>
          <w:rtl/>
        </w:rPr>
        <w:t xml:space="preserve"> / 3.</w:t>
      </w:r>
      <w:r w:rsidRPr="00132E65">
        <w:rPr>
          <w:rtl/>
          <w:lang w:bidi="fa-IR"/>
        </w:rPr>
        <w:t xml:space="preserve"> مُحَمَّدُ بْنُ يَحْيَى الْعَطَّارُ ، عَنْ بَعْضِ أَصْحَابِنَا ، عَنْ هَارُونَ بْنِ مُسْلِمٍ ، عَنْ مَسْعَدَةَ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قَالَ أَمِيرُ الْمُؤْمِنِينَ </w:t>
      </w:r>
      <w:r w:rsidRPr="00071CF9">
        <w:rPr>
          <w:rStyle w:val="libAlaemChar"/>
          <w:rtl/>
        </w:rPr>
        <w:t>عليه‌السلام</w:t>
      </w:r>
      <w:r w:rsidRPr="00132E65">
        <w:rPr>
          <w:rtl/>
          <w:lang w:bidi="fa-IR"/>
        </w:rPr>
        <w:t xml:space="preserve"> : لَاتَخْتَانُوا ولَاتَكُمْ ، ولَاتَغُشُّوا هُدَاتَكُمْ </w:t>
      </w:r>
      <w:r>
        <w:rPr>
          <w:rStyle w:val="libFootnotenumChar"/>
          <w:rtl/>
        </w:rPr>
        <w:t>(7)</w:t>
      </w:r>
      <w:r w:rsidRPr="00132E65">
        <w:rPr>
          <w:rtl/>
          <w:lang w:bidi="fa-IR"/>
        </w:rPr>
        <w:t xml:space="preserve"> ، ولَاتَجْهَلُوا </w:t>
      </w:r>
      <w:r>
        <w:rPr>
          <w:rStyle w:val="libFootnotenumChar"/>
          <w:rtl/>
        </w:rPr>
        <w:t>(8)</w:t>
      </w:r>
      <w:r w:rsidRPr="00132E65">
        <w:rPr>
          <w:rtl/>
          <w:lang w:bidi="fa-IR"/>
        </w:rPr>
        <w:t xml:space="preserve"> أَئِمَّتَكُمْ ، ولَاتَصَدَّعُوا </w:t>
      </w:r>
      <w:r>
        <w:rPr>
          <w:rStyle w:val="libFootnotenumChar"/>
          <w:rtl/>
        </w:rPr>
        <w:t>(9)</w:t>
      </w:r>
      <w:r w:rsidRPr="00132E65">
        <w:rPr>
          <w:rtl/>
          <w:lang w:bidi="fa-IR"/>
        </w:rPr>
        <w:t xml:space="preserve"> عَنْ حَبْلِكُمْ ؛ فَتَفْشَلُوا </w:t>
      </w:r>
      <w:r>
        <w:rPr>
          <w:rStyle w:val="libFootnotenumChar"/>
          <w:rtl/>
        </w:rPr>
        <w:t>(10)</w:t>
      </w:r>
      <w:r w:rsidRPr="00132E65">
        <w:rPr>
          <w:rtl/>
          <w:lang w:bidi="fa-IR"/>
        </w:rPr>
        <w:t xml:space="preserve"> وتَذْهَبَ رِيحُكُمْ </w:t>
      </w:r>
      <w:r>
        <w:rPr>
          <w:rStyle w:val="libFootnotenumChar"/>
          <w:rtl/>
        </w:rPr>
        <w:t>(11)</w:t>
      </w:r>
      <w:r w:rsidRPr="00132E65">
        <w:rPr>
          <w:rtl/>
          <w:lang w:bidi="fa-IR"/>
        </w:rPr>
        <w:t xml:space="preserve"> ، وعَلى هذَا فَلْيَكُنْ تَأْسِيسُ أُمُورِكُمْ ، والْزَمُوا </w:t>
      </w:r>
      <w:r>
        <w:rPr>
          <w:rStyle w:val="libFootnotenumChar"/>
          <w:rtl/>
        </w:rPr>
        <w:t>(12)</w:t>
      </w:r>
      <w:r w:rsidRPr="00132E65">
        <w:rPr>
          <w:rtl/>
          <w:lang w:bidi="fa-IR"/>
        </w:rPr>
        <w:t xml:space="preserve"> هذِهِ الطَّرِيقَةَ ؛ فَإِنَّكُمْ لَوْ عَايَنْتُمْ مَا عَايَنَ مَنْ قَدْ مَاتَ مِنْكُمْ مِمَّنْ خَالَفَ </w:t>
      </w:r>
      <w:r w:rsidRPr="00F543F1">
        <w:rPr>
          <w:rStyle w:val="libFootnotenumChar"/>
          <w:rtl/>
        </w:rPr>
        <w:t>(13)</w:t>
      </w:r>
      <w:r w:rsidRPr="00132E65">
        <w:rPr>
          <w:rtl/>
          <w:lang w:bidi="fa-IR"/>
        </w:rPr>
        <w:t xml:space="preserve"> مَا قَدْ تُدْعَوْنَ إِلَيْهِ ، لَبَدَرْتُمْ </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63862" w:rsidTr="00563862">
        <w:tc>
          <w:tcPr>
            <w:tcW w:w="4006" w:type="dxa"/>
          </w:tcPr>
          <w:p w:rsidR="00563862" w:rsidRDefault="00563862" w:rsidP="000C39D1">
            <w:pPr>
              <w:pStyle w:val="libFootnote0"/>
              <w:rPr>
                <w:rtl/>
              </w:rPr>
            </w:pPr>
            <w:r>
              <w:rPr>
                <w:rtl/>
              </w:rPr>
              <w:t>(1).</w:t>
            </w:r>
            <w:r w:rsidRPr="00132E65">
              <w:rPr>
                <w:rtl/>
              </w:rPr>
              <w:t xml:space="preserve"> في حاشية « ف » : « وهكذا »</w:t>
            </w:r>
            <w:r>
              <w:rPr>
                <w:rtl/>
              </w:rPr>
              <w:t>.</w:t>
            </w:r>
          </w:p>
        </w:tc>
        <w:tc>
          <w:tcPr>
            <w:tcW w:w="4006" w:type="dxa"/>
          </w:tcPr>
          <w:p w:rsidR="00563862" w:rsidRDefault="00563862" w:rsidP="000C39D1">
            <w:pPr>
              <w:pStyle w:val="libFootnote0"/>
              <w:rPr>
                <w:rtl/>
              </w:rPr>
            </w:pPr>
            <w:r>
              <w:rPr>
                <w:rtl/>
              </w:rPr>
              <w:t>(2).</w:t>
            </w:r>
            <w:r w:rsidRPr="00132E65">
              <w:rPr>
                <w:rtl/>
              </w:rPr>
              <w:t xml:space="preserve"> في « بر » والبحار </w:t>
            </w:r>
            <w:r>
              <w:rPr>
                <w:rtl/>
              </w:rPr>
              <w:t xml:space="preserve">: - </w:t>
            </w:r>
            <w:r w:rsidRPr="00132E65">
              <w:rPr>
                <w:rtl/>
              </w:rPr>
              <w:t>« وهكذا »</w:t>
            </w:r>
            <w:r>
              <w:rPr>
                <w:rtl/>
              </w:rPr>
              <w:t>.</w:t>
            </w:r>
          </w:p>
        </w:tc>
      </w:tr>
    </w:tbl>
    <w:p w:rsidR="000C39D1" w:rsidRPr="00132E65" w:rsidRDefault="000C39D1" w:rsidP="000C39D1">
      <w:pPr>
        <w:pStyle w:val="libFootnote0"/>
        <w:rPr>
          <w:rtl/>
          <w:lang w:bidi="fa-IR"/>
        </w:rPr>
      </w:pPr>
      <w:r>
        <w:rPr>
          <w:rtl/>
        </w:rPr>
        <w:t>(3).</w:t>
      </w:r>
      <w:r w:rsidRPr="00132E65">
        <w:rPr>
          <w:rtl/>
        </w:rPr>
        <w:t xml:space="preserve"> في « ب ، ج ، ض ، ف ، بح ، بر ، بف » و</w:t>
      </w:r>
      <w:r w:rsidRPr="009D1ACE">
        <w:rPr>
          <w:rStyle w:val="libFootnoteBoldChar"/>
          <w:rtl/>
        </w:rPr>
        <w:t>الوافي</w:t>
      </w:r>
      <w:r w:rsidRPr="00132E65">
        <w:rPr>
          <w:rtl/>
        </w:rPr>
        <w:t xml:space="preserve">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(4).</w:t>
      </w:r>
      <w:r w:rsidRPr="00132E65">
        <w:rPr>
          <w:rtl/>
        </w:rPr>
        <w:t xml:space="preserve"> في البحار : « ومن خلفه »</w:t>
      </w:r>
      <w:r>
        <w:rPr>
          <w:rtl/>
        </w:rPr>
        <w:t>.</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651 ، ح 1246 ؛ </w:t>
      </w:r>
      <w:r w:rsidRPr="004148D6">
        <w:rPr>
          <w:rtl/>
        </w:rPr>
        <w:t>البحار</w:t>
      </w:r>
      <w:r w:rsidRPr="00132E65">
        <w:rPr>
          <w:rtl/>
        </w:rPr>
        <w:t xml:space="preserve"> ، ج 27 ، ص 244 ، ذيل ح 4.</w:t>
      </w:r>
    </w:p>
    <w:p w:rsidR="000C39D1" w:rsidRPr="00132E65" w:rsidRDefault="000C39D1" w:rsidP="000C39D1">
      <w:pPr>
        <w:pStyle w:val="libFootnote0"/>
        <w:rPr>
          <w:rtl/>
          <w:lang w:bidi="fa-IR"/>
        </w:rPr>
      </w:pPr>
      <w:r>
        <w:rPr>
          <w:rtl/>
        </w:rPr>
        <w:t>(6).</w:t>
      </w:r>
      <w:r w:rsidRPr="00132E65">
        <w:rPr>
          <w:rtl/>
        </w:rPr>
        <w:t xml:space="preserve"> هكذا في « ألف ، ب ، ج ، ض ، ف ، و، بح ، بر ، بس ، جر »</w:t>
      </w:r>
      <w:r>
        <w:rPr>
          <w:rtl/>
        </w:rPr>
        <w:t>.</w:t>
      </w:r>
      <w:r w:rsidRPr="00132E65">
        <w:rPr>
          <w:rtl/>
        </w:rPr>
        <w:t xml:space="preserve"> وفي « بف » والمطبوع وحاشية « ف » :</w:t>
      </w:r>
      <w:r>
        <w:rPr>
          <w:rtl/>
        </w:rPr>
        <w:t xml:space="preserve"> + </w:t>
      </w:r>
      <w:r w:rsidRPr="00132E65">
        <w:rPr>
          <w:rtl/>
        </w:rPr>
        <w:t>« بن صدقة »</w:t>
      </w:r>
      <w:r>
        <w:rPr>
          <w:rtl/>
        </w:rPr>
        <w:t>.</w:t>
      </w:r>
    </w:p>
    <w:p w:rsidR="000C39D1" w:rsidRPr="00132E65" w:rsidRDefault="000C39D1" w:rsidP="000C39D1">
      <w:pPr>
        <w:pStyle w:val="libFootnote0"/>
        <w:rPr>
          <w:rtl/>
          <w:lang w:bidi="fa-IR"/>
        </w:rPr>
      </w:pPr>
      <w:r>
        <w:rPr>
          <w:rtl/>
        </w:rPr>
        <w:t>(7).</w:t>
      </w:r>
      <w:r w:rsidRPr="00132E65">
        <w:rPr>
          <w:rtl/>
        </w:rPr>
        <w:t xml:space="preserve"> « لا تَغُشُّوا هداتكم » ، أي امحضوهم النُصْحَ ، أو لا تُظهروا لهم خلاف ما تضمرونه. راجع : </w:t>
      </w:r>
      <w:r w:rsidRPr="004148D6">
        <w:rPr>
          <w:rtl/>
        </w:rPr>
        <w:t>القاموس المحيط</w:t>
      </w:r>
      <w:r w:rsidRPr="00132E65">
        <w:rPr>
          <w:rtl/>
        </w:rPr>
        <w:t xml:space="preserve"> ، ج 1 ، ص 817 ( غشش )</w:t>
      </w:r>
      <w:r>
        <w:rPr>
          <w:rtl/>
        </w:rPr>
        <w:t>.</w:t>
      </w:r>
    </w:p>
    <w:p w:rsidR="000C39D1" w:rsidRPr="00132E65" w:rsidRDefault="000C39D1" w:rsidP="000C39D1">
      <w:pPr>
        <w:pStyle w:val="libFootnote0"/>
        <w:rPr>
          <w:rtl/>
          <w:lang w:bidi="fa-IR"/>
        </w:rPr>
      </w:pPr>
      <w:r>
        <w:rPr>
          <w:rtl/>
        </w:rPr>
        <w:t>(8).</w:t>
      </w:r>
      <w:r w:rsidRPr="00132E65">
        <w:rPr>
          <w:rtl/>
        </w:rPr>
        <w:t xml:space="preserve"> هكذا في « ب ، ض ، بح ، بر ، بس ، بف » و</w:t>
      </w:r>
      <w:r w:rsidRPr="009D1ACE">
        <w:rPr>
          <w:rStyle w:val="libFootnoteBoldChar"/>
          <w:rtl/>
        </w:rPr>
        <w:t>مرآة العقول</w:t>
      </w:r>
      <w:r w:rsidRPr="00132E65">
        <w:rPr>
          <w:rtl/>
        </w:rPr>
        <w:t xml:space="preserve">. وفي « ف » والمطبوع وشرح المازندراني : « لا تجهّلوا » بالتضعيف. واحتمله في </w:t>
      </w:r>
      <w:r w:rsidRPr="004148D6">
        <w:rPr>
          <w:rtl/>
        </w:rPr>
        <w:t>المرآة</w:t>
      </w:r>
      <w:r w:rsidRPr="00132E65">
        <w:rPr>
          <w:rtl/>
        </w:rPr>
        <w:t xml:space="preserve"> بعد أن اختار المجرّد.</w:t>
      </w:r>
    </w:p>
    <w:p w:rsidR="000C39D1" w:rsidRPr="00132E65" w:rsidRDefault="000C39D1" w:rsidP="000C39D1">
      <w:pPr>
        <w:pStyle w:val="libFootnote0"/>
        <w:rPr>
          <w:rtl/>
          <w:lang w:bidi="fa-IR"/>
        </w:rPr>
      </w:pPr>
      <w:r>
        <w:rPr>
          <w:rtl/>
        </w:rPr>
        <w:t>(9).</w:t>
      </w:r>
      <w:r w:rsidRPr="00132E65">
        <w:rPr>
          <w:rtl/>
        </w:rPr>
        <w:t xml:space="preserve"> « لا تصدّعوا » ، أي لا تتفرّقوا. راجع : </w:t>
      </w:r>
      <w:r w:rsidRPr="004148D6">
        <w:rPr>
          <w:rtl/>
        </w:rPr>
        <w:t>الصحاح</w:t>
      </w:r>
      <w:r w:rsidRPr="00132E65">
        <w:rPr>
          <w:rtl/>
        </w:rPr>
        <w:t xml:space="preserve"> ، ج 3 ، ص 1242 ( صدع )</w:t>
      </w:r>
      <w:r>
        <w:rPr>
          <w:rtl/>
        </w:rPr>
        <w:t>.</w:t>
      </w:r>
    </w:p>
    <w:p w:rsidR="000C39D1" w:rsidRPr="00132E65" w:rsidRDefault="000C39D1" w:rsidP="000C39D1">
      <w:pPr>
        <w:pStyle w:val="libFootnote0"/>
        <w:rPr>
          <w:rtl/>
          <w:lang w:bidi="fa-IR"/>
        </w:rPr>
      </w:pPr>
      <w:r>
        <w:rPr>
          <w:rtl/>
        </w:rPr>
        <w:t>(10).</w:t>
      </w:r>
      <w:r w:rsidRPr="00132E65">
        <w:rPr>
          <w:rtl/>
        </w:rPr>
        <w:t xml:space="preserve"> « فتفشلوا » ، من الفَشَل ، وهو الجَزَع والجُبن والضعف والكسالة. راجع : </w:t>
      </w:r>
      <w:r w:rsidRPr="004148D6">
        <w:rPr>
          <w:rtl/>
        </w:rPr>
        <w:t>النهاية</w:t>
      </w:r>
      <w:r w:rsidRPr="00132E65">
        <w:rPr>
          <w:rtl/>
        </w:rPr>
        <w:t xml:space="preserve"> ، ج 3 ، ص 449 ( فشل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عن حبلكم : عن عهدكم وأمانكم وبيعتكم</w:t>
      </w:r>
      <w:r>
        <w:rPr>
          <w:rtl/>
        </w:rPr>
        <w:t xml:space="preserve"> ..</w:t>
      </w:r>
      <w:r w:rsidRPr="00132E65">
        <w:rPr>
          <w:rtl/>
        </w:rPr>
        <w:t>. ؛ وريحكم : قوّتكم وغلبتكم ونصرتكم ودولتكم »</w:t>
      </w:r>
      <w:r>
        <w:rPr>
          <w:rtl/>
        </w:rPr>
        <w:t>.</w:t>
      </w:r>
    </w:p>
    <w:tbl>
      <w:tblPr>
        <w:tblStyle w:val="TableGrid"/>
        <w:bidiVisual/>
        <w:tblW w:w="0" w:type="auto"/>
        <w:tblLook w:val="04A0" w:firstRow="1" w:lastRow="0" w:firstColumn="1" w:lastColumn="0" w:noHBand="0" w:noVBand="1"/>
      </w:tblPr>
      <w:tblGrid>
        <w:gridCol w:w="4006"/>
        <w:gridCol w:w="4006"/>
      </w:tblGrid>
      <w:tr w:rsidR="00C16F71" w:rsidTr="00C16F71">
        <w:tc>
          <w:tcPr>
            <w:tcW w:w="4006" w:type="dxa"/>
          </w:tcPr>
          <w:p w:rsidR="00C16F71" w:rsidRDefault="00C16F71" w:rsidP="000C39D1">
            <w:pPr>
              <w:pStyle w:val="libFootnote0"/>
              <w:rPr>
                <w:rtl/>
              </w:rPr>
            </w:pPr>
            <w:r>
              <w:rPr>
                <w:rtl/>
              </w:rPr>
              <w:t>(12).</w:t>
            </w:r>
            <w:r w:rsidRPr="00132E65">
              <w:rPr>
                <w:rtl/>
              </w:rPr>
              <w:t xml:space="preserve"> في « ف » : « فالزموا »</w:t>
            </w:r>
            <w:r>
              <w:rPr>
                <w:rtl/>
              </w:rPr>
              <w:t>.</w:t>
            </w:r>
          </w:p>
        </w:tc>
        <w:tc>
          <w:tcPr>
            <w:tcW w:w="4006" w:type="dxa"/>
          </w:tcPr>
          <w:p w:rsidR="00C16F71" w:rsidRDefault="00C16F71" w:rsidP="000C39D1">
            <w:pPr>
              <w:pStyle w:val="libFootnote0"/>
              <w:rPr>
                <w:rtl/>
              </w:rPr>
            </w:pPr>
            <w:r>
              <w:rPr>
                <w:rtl/>
              </w:rPr>
              <w:t>(13)</w:t>
            </w:r>
            <w:r w:rsidRPr="00132E65">
              <w:rPr>
                <w:rtl/>
              </w:rPr>
              <w:t xml:space="preserve"> في « بس » : « قد خالف »</w:t>
            </w:r>
            <w:r>
              <w:rPr>
                <w:rtl/>
              </w:rPr>
              <w:t>.</w:t>
            </w:r>
          </w:p>
        </w:tc>
      </w:tr>
    </w:tbl>
    <w:p w:rsidR="000C39D1" w:rsidRPr="00132E65" w:rsidRDefault="000C39D1" w:rsidP="000C39D1">
      <w:pPr>
        <w:pStyle w:val="libFootnote0"/>
        <w:rPr>
          <w:rtl/>
          <w:lang w:bidi="fa-IR"/>
        </w:rPr>
      </w:pPr>
      <w:r>
        <w:rPr>
          <w:rtl/>
        </w:rPr>
        <w:t>(14)</w:t>
      </w:r>
      <w:r w:rsidRPr="00132E65">
        <w:rPr>
          <w:rtl/>
        </w:rPr>
        <w:t xml:space="preserve"> « لبَدَرْتُمْ » أي أسرعتم. تقول : بَدَرْتُ إلى الشي‌ء أَبْدُرُ بُدُوراً ، أي أسرعت إليه. وكذلك بادرتُ إليه. راجع : </w:t>
      </w:r>
      <w:r w:rsidRPr="004148D6">
        <w:rPr>
          <w:rtl/>
        </w:rPr>
        <w:t>الصحاح</w:t>
      </w:r>
      <w:r w:rsidRPr="00132E65">
        <w:rPr>
          <w:rtl/>
        </w:rPr>
        <w:t xml:space="preserve"> ، ج 2 ، ص 586 ( بدر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وَخَرَجْتُمْ ، ولَسَمِعْتُمْ </w:t>
      </w:r>
      <w:r>
        <w:rPr>
          <w:rStyle w:val="libFootnotenumChar"/>
          <w:rtl/>
        </w:rPr>
        <w:t>(1)</w:t>
      </w:r>
      <w:r w:rsidRPr="00132E65">
        <w:rPr>
          <w:rtl/>
          <w:lang w:bidi="fa-IR"/>
        </w:rPr>
        <w:t xml:space="preserve"> ، ولكِنْ مَحْجُوبٌ عَنْكُمْ مَا قَدْ عَايَنُوا ، وقَرِيباً مَا يُطْرَحُ الْحِجَابُ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4148D6">
        <w:rPr>
          <w:rtl/>
        </w:rPr>
        <w:t>1066</w:t>
      </w:r>
      <w:r w:rsidRPr="004325D8">
        <w:rPr>
          <w:rStyle w:val="libBold2Char"/>
          <w:rtl/>
        </w:rPr>
        <w:t xml:space="preserve"> / 4.</w:t>
      </w:r>
      <w:r w:rsidRPr="00132E65">
        <w:rPr>
          <w:rtl/>
          <w:lang w:bidi="fa-IR"/>
        </w:rPr>
        <w:t xml:space="preserve"> عِدَّةٌ مِنْ أَصْحَابِنَا ، عَنْ أَحْمَدَ بْنِ مُحَمَّدٍ ، عَنْ عَبْدِ الرَّحْمنِ بْنِ حَمَّادٍ وغَيْرِهِ ، عَنْ حَنَانِ بْنِ سَدِيرٍ الصَّيْرَفِيِّ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نُعِيَتْ </w:t>
      </w:r>
      <w:r>
        <w:rPr>
          <w:rStyle w:val="libFootnotenumChar"/>
          <w:rtl/>
        </w:rPr>
        <w:t>(3)</w:t>
      </w:r>
      <w:r w:rsidRPr="00132E65">
        <w:rPr>
          <w:rtl/>
          <w:lang w:bidi="fa-IR"/>
        </w:rPr>
        <w:t xml:space="preserve"> إِلَى النَّبِيِّ </w:t>
      </w:r>
      <w:r w:rsidRPr="0093484F">
        <w:rPr>
          <w:rStyle w:val="libAlaemChar"/>
          <w:rFonts w:eastAsiaTheme="minorHAnsi"/>
          <w:rtl/>
        </w:rPr>
        <w:t>صلى‌الله‌عليه‌وآله</w:t>
      </w:r>
      <w:r w:rsidRPr="00132E65">
        <w:rPr>
          <w:rtl/>
          <w:lang w:bidi="fa-IR"/>
        </w:rPr>
        <w:t xml:space="preserve"> نَفْسُهُ وهُوَ صَحِيحٌ لَيْسَ بِهِ وجَعٌ » قَالَ : « نَزَلَ بِهِ الرُّوحُ الْأَمِينُ » قَالَ : « فَنَادى </w:t>
      </w:r>
      <w:r w:rsidRPr="0093484F">
        <w:rPr>
          <w:rStyle w:val="libAlaemChar"/>
          <w:rFonts w:eastAsiaTheme="minorHAnsi"/>
          <w:rtl/>
        </w:rPr>
        <w:t>صلى‌الله‌عليه‌وآله</w:t>
      </w:r>
      <w:r w:rsidRPr="00132E65">
        <w:rPr>
          <w:rtl/>
          <w:lang w:bidi="fa-IR"/>
        </w:rPr>
        <w:t xml:space="preserve"> : الصَّلَاةَ جَامِعَةً </w:t>
      </w:r>
      <w:r>
        <w:rPr>
          <w:rStyle w:val="libFootnotenumChar"/>
          <w:rtl/>
        </w:rPr>
        <w:t>(4)</w:t>
      </w:r>
      <w:r w:rsidRPr="00132E65">
        <w:rPr>
          <w:rtl/>
          <w:lang w:bidi="fa-IR"/>
        </w:rPr>
        <w:t xml:space="preserve"> ، وأَمَرَ </w:t>
      </w:r>
      <w:r>
        <w:rPr>
          <w:rStyle w:val="libFootnotenumChar"/>
          <w:rtl/>
        </w:rPr>
        <w:t>(5)</w:t>
      </w:r>
      <w:r w:rsidRPr="00132E65">
        <w:rPr>
          <w:rtl/>
          <w:lang w:bidi="fa-IR"/>
        </w:rPr>
        <w:t xml:space="preserve"> الْمُهَاجِرِينَ والْأَنْصَارَ بِالسِّلَاحِ ، واجْتَمَعَ </w:t>
      </w:r>
      <w:r>
        <w:rPr>
          <w:rStyle w:val="libFootnotenumChar"/>
          <w:rtl/>
        </w:rPr>
        <w:t>(6)</w:t>
      </w:r>
      <w:r w:rsidRPr="00132E65">
        <w:rPr>
          <w:rtl/>
          <w:lang w:bidi="fa-IR"/>
        </w:rPr>
        <w:t xml:space="preserve"> النَّاسُ ، فَصَعِدَ النَّبِيُّ </w:t>
      </w:r>
      <w:r w:rsidRPr="0093484F">
        <w:rPr>
          <w:rStyle w:val="libAlaemChar"/>
          <w:rFonts w:eastAsiaTheme="minorHAnsi"/>
          <w:rtl/>
        </w:rPr>
        <w:t>صلى‌الله‌عليه‌وآله</w:t>
      </w:r>
      <w:r w:rsidRPr="00132E65">
        <w:rPr>
          <w:rtl/>
          <w:lang w:bidi="fa-IR"/>
        </w:rPr>
        <w:t xml:space="preserve"> الْمِنْبَرَ </w:t>
      </w:r>
      <w:r>
        <w:rPr>
          <w:rStyle w:val="libFootnotenumChar"/>
          <w:rtl/>
        </w:rPr>
        <w:t>(7)</w:t>
      </w:r>
      <w:r w:rsidRPr="00132E65">
        <w:rPr>
          <w:rtl/>
          <w:lang w:bidi="fa-IR"/>
        </w:rPr>
        <w:t xml:space="preserve"> ، فَنَعى إِلَيْهِمْ نَفْسَهُ ، ثُمَّ قَالَ : أُذَكِّرُ اللهَ </w:t>
      </w:r>
      <w:r>
        <w:rPr>
          <w:rStyle w:val="libFootnotenumChar"/>
          <w:rtl/>
        </w:rPr>
        <w:t>(8)</w:t>
      </w:r>
      <w:r w:rsidRPr="00132E65">
        <w:rPr>
          <w:rtl/>
          <w:lang w:bidi="fa-IR"/>
        </w:rPr>
        <w:t xml:space="preserve"> الْوَالِيَ مِنْ بَعْدِي عَلى أُمَّتِي </w:t>
      </w:r>
      <w:r>
        <w:rPr>
          <w:rStyle w:val="libFootnotenumChar"/>
          <w:rtl/>
        </w:rPr>
        <w:t>(9)</w:t>
      </w:r>
      <w:r w:rsidR="005B658B">
        <w:rPr>
          <w:rtl/>
          <w:lang w:bidi="fa-IR"/>
        </w:rPr>
        <w:t xml:space="preserve"> إِل</w:t>
      </w:r>
      <w:r w:rsidR="005B658B">
        <w:rPr>
          <w:rFonts w:hint="cs"/>
          <w:rtl/>
          <w:lang w:bidi="fa-IR"/>
        </w:rPr>
        <w:t>َّ</w:t>
      </w:r>
      <w:r w:rsidR="005B658B">
        <w:rPr>
          <w:rtl/>
          <w:lang w:bidi="fa-IR"/>
        </w:rPr>
        <w:t>ا</w:t>
      </w:r>
      <w:r w:rsidRPr="00132E65">
        <w:rPr>
          <w:rtl/>
          <w:lang w:bidi="fa-IR"/>
        </w:rPr>
        <w:t xml:space="preserve"> يَرْحَمَ </w:t>
      </w:r>
      <w:r>
        <w:rPr>
          <w:rStyle w:val="libFootnotenumChar"/>
          <w:rtl/>
        </w:rPr>
        <w:t>(10)</w:t>
      </w:r>
      <w:r w:rsidRPr="00132E65">
        <w:rPr>
          <w:rtl/>
          <w:lang w:bidi="fa-IR"/>
        </w:rPr>
        <w:t xml:space="preserve"> عَلى جَمَاعَةِ الْمُسْلِمِينَ ، فَأَجَلَّ كَبِيرَهُمْ ، ورَحِمَ ضَعِيفَهُمْ </w:t>
      </w:r>
      <w:r>
        <w:rPr>
          <w:rStyle w:val="libFootnotenumChar"/>
          <w:rtl/>
        </w:rPr>
        <w:t>(11)</w:t>
      </w:r>
      <w:r w:rsidRPr="00132E65">
        <w:rPr>
          <w:rtl/>
          <w:lang w:bidi="fa-IR"/>
        </w:rPr>
        <w:t xml:space="preserve"> ، وو قَّرَ عَالِمَهُمْ </w:t>
      </w:r>
      <w:r>
        <w:rPr>
          <w:rStyle w:val="libFootnotenumChar"/>
          <w:rtl/>
        </w:rPr>
        <w:t>(12)</w:t>
      </w:r>
      <w:r w:rsidRPr="00132E65">
        <w:rPr>
          <w:rtl/>
          <w:lang w:bidi="fa-IR"/>
        </w:rPr>
        <w:t xml:space="preserve"> ، ولَمْ يُضِرَّ‌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ولسمعتم ، أي سماع إجابة. وفي « ب » : « لسمعتم » بدون الواو.</w:t>
      </w:r>
    </w:p>
    <w:p w:rsidR="000C39D1" w:rsidRPr="00132E65" w:rsidRDefault="000C39D1" w:rsidP="00B1547E">
      <w:pPr>
        <w:pStyle w:val="libFootnote0"/>
        <w:rPr>
          <w:rtl/>
          <w:lang w:bidi="fa-IR"/>
        </w:rPr>
      </w:pPr>
      <w:r>
        <w:rPr>
          <w:rtl/>
        </w:rPr>
        <w:t>(2).</w:t>
      </w:r>
      <w:r w:rsidRPr="00132E65">
        <w:rPr>
          <w:rtl/>
        </w:rPr>
        <w:t xml:space="preserve"> </w:t>
      </w:r>
      <w:r w:rsidRPr="004148D6">
        <w:rPr>
          <w:rtl/>
        </w:rPr>
        <w:t>نهج البلاغة</w:t>
      </w:r>
      <w:r w:rsidRPr="00132E65">
        <w:rPr>
          <w:rtl/>
        </w:rPr>
        <w:t xml:space="preserve"> ، ص 62 ، الخطبة 20 ، وفيه من قوله : « فإنّكم لو عاينتم » مع اختلاف يسير</w:t>
      </w:r>
      <w:r w:rsidR="00B1547E">
        <w:rPr>
          <w:rFonts w:hint="cs"/>
          <w:rtl/>
        </w:rPr>
        <w:t>.</w:t>
      </w:r>
      <w:r w:rsidRPr="009D1ACE">
        <w:rPr>
          <w:rStyle w:val="libFootnoteBoldChar"/>
          <w:rtl/>
        </w:rPr>
        <w:t>الوافي</w:t>
      </w:r>
      <w:r w:rsidRPr="00132E65">
        <w:rPr>
          <w:rtl/>
        </w:rPr>
        <w:t xml:space="preserve"> ، ج 2 ، ص 102 ، ح 557 ؛ الب</w:t>
      </w:r>
      <w:r w:rsidRPr="004148D6">
        <w:rPr>
          <w:rtl/>
        </w:rPr>
        <w:t>ح</w:t>
      </w:r>
      <w:r w:rsidRPr="00132E65">
        <w:rPr>
          <w:rtl/>
        </w:rPr>
        <w:t>ار ، ج 27 ، ص 245 ، ح 5.</w:t>
      </w:r>
    </w:p>
    <w:p w:rsidR="000C39D1" w:rsidRPr="00132E65" w:rsidRDefault="000C39D1" w:rsidP="000C39D1">
      <w:pPr>
        <w:pStyle w:val="libFootnote0"/>
        <w:rPr>
          <w:rtl/>
          <w:lang w:bidi="fa-IR"/>
        </w:rPr>
      </w:pPr>
      <w:r>
        <w:rPr>
          <w:rtl/>
        </w:rPr>
        <w:t>(3).</w:t>
      </w:r>
      <w:r w:rsidRPr="00132E65">
        <w:rPr>
          <w:rtl/>
        </w:rPr>
        <w:t xml:space="preserve"> « النعي » : خبر الموت. يقال : نعى الميّت ينعاه ، إذا أذاع موتَه وأخبر به. ونُعِيَت نفسُه ، أي اخبر بموته. راجع : </w:t>
      </w:r>
      <w:r w:rsidRPr="004148D6">
        <w:rPr>
          <w:rtl/>
        </w:rPr>
        <w:t>النهاية</w:t>
      </w:r>
      <w:r w:rsidRPr="00132E65">
        <w:rPr>
          <w:rtl/>
        </w:rPr>
        <w:t xml:space="preserve"> ، ج 5 ، ص 85 ( نعا )</w:t>
      </w:r>
      <w:r>
        <w:rPr>
          <w:rtl/>
        </w:rPr>
        <w:t>.</w:t>
      </w:r>
    </w:p>
    <w:p w:rsidR="000C39D1" w:rsidRPr="00132E65" w:rsidRDefault="000C39D1" w:rsidP="00B1547E">
      <w:pPr>
        <w:pStyle w:val="libFootnote0"/>
        <w:rPr>
          <w:rtl/>
          <w:lang w:bidi="fa-IR"/>
        </w:rPr>
      </w:pPr>
      <w:r>
        <w:rPr>
          <w:rtl/>
        </w:rPr>
        <w:t>(4).</w:t>
      </w:r>
      <w:r w:rsidRPr="00132E65">
        <w:rPr>
          <w:rtl/>
        </w:rPr>
        <w:t xml:space="preserve"> في « ف » وحاشية « ج » : « جماعة »</w:t>
      </w:r>
      <w:r>
        <w:rPr>
          <w:rtl/>
        </w:rPr>
        <w:t>.</w:t>
      </w:r>
      <w:r w:rsidRPr="00132E65">
        <w:rPr>
          <w:rtl/>
        </w:rPr>
        <w:t xml:space="preserve"> واحتمل المجلسي في </w:t>
      </w:r>
      <w:r w:rsidRPr="009D1ACE">
        <w:rPr>
          <w:rStyle w:val="libFootnoteBoldChar"/>
          <w:rtl/>
        </w:rPr>
        <w:t>مرآة العقول</w:t>
      </w:r>
      <w:r w:rsidRPr="00132E65">
        <w:rPr>
          <w:rtl/>
        </w:rPr>
        <w:t xml:space="preserve"> كون « الصلاة » مبتدأ </w:t>
      </w:r>
      <w:r>
        <w:rPr>
          <w:rtl/>
        </w:rPr>
        <w:t>و «</w:t>
      </w:r>
      <w:r w:rsidRPr="00132E65">
        <w:rPr>
          <w:rtl/>
        </w:rPr>
        <w:t xml:space="preserve"> جامعة » خبره ، بعد ما اختار ما في المتن.</w:t>
      </w:r>
      <w:r w:rsidR="00B1547E">
        <w:rPr>
          <w:rFonts w:hint="cs"/>
          <w:rtl/>
        </w:rPr>
        <w:t xml:space="preserve">                    </w:t>
      </w:r>
      <w:r w:rsidR="00936037">
        <w:rPr>
          <w:rFonts w:hint="cs"/>
          <w:rtl/>
        </w:rPr>
        <w:t xml:space="preserve">     </w:t>
      </w:r>
      <w:r w:rsidR="00B1547E">
        <w:rPr>
          <w:rFonts w:hint="cs"/>
          <w:rtl/>
        </w:rPr>
        <w:t xml:space="preserve">      </w:t>
      </w:r>
      <w:r>
        <w:rPr>
          <w:rtl/>
        </w:rPr>
        <w:t>(5).</w:t>
      </w:r>
      <w:r w:rsidRPr="00132E65">
        <w:rPr>
          <w:rtl/>
        </w:rPr>
        <w:t xml:space="preserve"> في قرب الإسناد : « ونادى »</w:t>
      </w:r>
      <w:r>
        <w:rPr>
          <w:rtl/>
        </w:rPr>
        <w:t>.</w:t>
      </w:r>
    </w:p>
    <w:p w:rsidR="000C39D1" w:rsidRPr="00132E65" w:rsidRDefault="000C39D1" w:rsidP="000C39D1">
      <w:pPr>
        <w:pStyle w:val="libFootnote0"/>
        <w:rPr>
          <w:rtl/>
          <w:lang w:bidi="fa-IR"/>
        </w:rPr>
      </w:pPr>
      <w:r>
        <w:rPr>
          <w:rtl/>
        </w:rPr>
        <w:t>(6).</w:t>
      </w:r>
      <w:r w:rsidRPr="00132E65">
        <w:rPr>
          <w:rtl/>
        </w:rPr>
        <w:t xml:space="preserve"> في « ب » وقرب الإسناد والبحار ، ج 22 </w:t>
      </w:r>
      <w:r>
        <w:rPr>
          <w:rtl/>
        </w:rPr>
        <w:t>و 2</w:t>
      </w:r>
      <w:r w:rsidRPr="00132E65">
        <w:rPr>
          <w:rtl/>
        </w:rPr>
        <w:t>7 : « فاجتمع »</w:t>
      </w:r>
      <w:r>
        <w:rPr>
          <w:rtl/>
        </w:rPr>
        <w:t>.</w:t>
      </w:r>
    </w:p>
    <w:tbl>
      <w:tblPr>
        <w:tblStyle w:val="TableGrid"/>
        <w:bidiVisual/>
        <w:tblW w:w="0" w:type="auto"/>
        <w:tblLook w:val="04A0" w:firstRow="1" w:lastRow="0" w:firstColumn="1" w:lastColumn="0" w:noHBand="0" w:noVBand="1"/>
      </w:tblPr>
      <w:tblGrid>
        <w:gridCol w:w="4006"/>
        <w:gridCol w:w="4006"/>
      </w:tblGrid>
      <w:tr w:rsidR="00B1547E" w:rsidTr="00B1547E">
        <w:tc>
          <w:tcPr>
            <w:tcW w:w="4006" w:type="dxa"/>
          </w:tcPr>
          <w:p w:rsidR="00B1547E" w:rsidRDefault="00B1547E" w:rsidP="000C39D1">
            <w:pPr>
              <w:pStyle w:val="libFootnote0"/>
              <w:rPr>
                <w:rtl/>
              </w:rPr>
            </w:pPr>
            <w:r>
              <w:rPr>
                <w:rtl/>
              </w:rPr>
              <w:t>(7).</w:t>
            </w:r>
            <w:r w:rsidRPr="00132E65">
              <w:rPr>
                <w:rtl/>
              </w:rPr>
              <w:t xml:space="preserve"> في قرب الإسناد :</w:t>
            </w:r>
            <w:r>
              <w:rPr>
                <w:rtl/>
              </w:rPr>
              <w:t xml:space="preserve"> + </w:t>
            </w:r>
            <w:r w:rsidRPr="00132E65">
              <w:rPr>
                <w:rtl/>
              </w:rPr>
              <w:t>« فحمد الله وأثنى عليه »</w:t>
            </w:r>
            <w:r>
              <w:rPr>
                <w:rtl/>
              </w:rPr>
              <w:t>.</w:t>
            </w:r>
          </w:p>
        </w:tc>
        <w:tc>
          <w:tcPr>
            <w:tcW w:w="4006" w:type="dxa"/>
          </w:tcPr>
          <w:p w:rsidR="00B1547E" w:rsidRDefault="00B1547E" w:rsidP="000C39D1">
            <w:pPr>
              <w:pStyle w:val="libFootnote0"/>
              <w:rPr>
                <w:rtl/>
              </w:rPr>
            </w:pPr>
            <w:r>
              <w:rPr>
                <w:rtl/>
              </w:rPr>
              <w:t>(8).</w:t>
            </w:r>
            <w:r w:rsidRPr="00132E65">
              <w:rPr>
                <w:rtl/>
              </w:rPr>
              <w:t xml:space="preserve"> في قرب الإسناد : « اذكروا الله في »</w:t>
            </w:r>
            <w:r>
              <w:rPr>
                <w:rtl/>
              </w:rPr>
              <w:t>.</w:t>
            </w:r>
          </w:p>
        </w:tc>
      </w:tr>
    </w:tbl>
    <w:p w:rsidR="000C39D1" w:rsidRPr="00132E65" w:rsidRDefault="000C39D1" w:rsidP="000C39D1">
      <w:pPr>
        <w:pStyle w:val="libFootnote0"/>
        <w:rPr>
          <w:rtl/>
          <w:lang w:bidi="fa-IR"/>
        </w:rPr>
      </w:pPr>
      <w:r>
        <w:rPr>
          <w:rtl/>
        </w:rPr>
        <w:t>(9).</w:t>
      </w:r>
      <w:r w:rsidRPr="00132E65">
        <w:rPr>
          <w:rtl/>
        </w:rPr>
        <w:t xml:space="preserve"> في « ف » : « على ا</w:t>
      </w:r>
      <w:r w:rsidR="00B1547E">
        <w:rPr>
          <w:rFonts w:hint="cs"/>
          <w:rtl/>
        </w:rPr>
        <w:t>ُ</w:t>
      </w:r>
      <w:r w:rsidRPr="00132E65">
        <w:rPr>
          <w:rtl/>
        </w:rPr>
        <w:t>مّتي من بعدي »</w:t>
      </w:r>
      <w:r>
        <w:rPr>
          <w:rtl/>
        </w:rPr>
        <w:t>.</w:t>
      </w:r>
    </w:p>
    <w:p w:rsidR="000C39D1" w:rsidRPr="00132E65" w:rsidRDefault="000C39D1" w:rsidP="000C39D1">
      <w:pPr>
        <w:pStyle w:val="libFootnote0"/>
        <w:rPr>
          <w:rtl/>
          <w:lang w:bidi="fa-IR"/>
        </w:rPr>
      </w:pPr>
      <w:r>
        <w:rPr>
          <w:rtl/>
        </w:rPr>
        <w:t>(10).</w:t>
      </w:r>
      <w:r w:rsidR="00B1547E">
        <w:rPr>
          <w:rtl/>
        </w:rPr>
        <w:t xml:space="preserve"> في « ض ، ف ، بس ، بف » : « أل</w:t>
      </w:r>
      <w:r w:rsidR="00B1547E">
        <w:rPr>
          <w:rFonts w:hint="cs"/>
          <w:rtl/>
        </w:rPr>
        <w:t>ّ</w:t>
      </w:r>
      <w:r w:rsidR="00B1547E">
        <w:rPr>
          <w:rtl/>
        </w:rPr>
        <w:t>ا</w:t>
      </w:r>
      <w:r w:rsidRPr="00132E65">
        <w:rPr>
          <w:rtl/>
        </w:rPr>
        <w:t xml:space="preserve"> ترحّم »</w:t>
      </w:r>
      <w:r>
        <w:rPr>
          <w:rtl/>
        </w:rPr>
        <w:t>.</w:t>
      </w:r>
      <w:r w:rsidRPr="00132E65">
        <w:rPr>
          <w:rtl/>
        </w:rPr>
        <w:t xml:space="preserve"> وقرأ المازندراني : « ألا » ، حرف تحضيض. وقرأ الفيض : « إ</w:t>
      </w:r>
      <w:r w:rsidR="00B1547E">
        <w:rPr>
          <w:rtl/>
        </w:rPr>
        <w:t>ل</w:t>
      </w:r>
      <w:r w:rsidR="00B1547E">
        <w:rPr>
          <w:rFonts w:hint="cs"/>
          <w:rtl/>
        </w:rPr>
        <w:t>ّ</w:t>
      </w:r>
      <w:r w:rsidR="00B1547E">
        <w:rPr>
          <w:rtl/>
        </w:rPr>
        <w:t>ا</w:t>
      </w:r>
      <w:r w:rsidRPr="00132E65">
        <w:rPr>
          <w:rtl/>
        </w:rPr>
        <w:t xml:space="preserve"> » كلمة استثناء</w:t>
      </w:r>
      <w:r w:rsidR="00B1547E">
        <w:rPr>
          <w:rtl/>
        </w:rPr>
        <w:t xml:space="preserve"> أي اذكّرهم في جميع الأحوال إل</w:t>
      </w:r>
      <w:r w:rsidR="00B1547E">
        <w:rPr>
          <w:rFonts w:hint="cs"/>
          <w:rtl/>
        </w:rPr>
        <w:t>ّ</w:t>
      </w:r>
      <w:r w:rsidR="00B1547E">
        <w:rPr>
          <w:rtl/>
        </w:rPr>
        <w:t>ا</w:t>
      </w:r>
      <w:r w:rsidRPr="00132E65">
        <w:rPr>
          <w:rtl/>
        </w:rPr>
        <w:t>حال الرحم عل</w:t>
      </w:r>
      <w:r w:rsidR="00B1547E">
        <w:rPr>
          <w:rtl/>
        </w:rPr>
        <w:t>ى المسلمين كما يقال : أسألك إل</w:t>
      </w:r>
      <w:r w:rsidR="00B1547E">
        <w:rPr>
          <w:rFonts w:hint="cs"/>
          <w:rtl/>
        </w:rPr>
        <w:t>ّ</w:t>
      </w:r>
      <w:r w:rsidR="00B1547E">
        <w:rPr>
          <w:rtl/>
        </w:rPr>
        <w:t>ا</w:t>
      </w:r>
      <w:r w:rsidRPr="00132E65">
        <w:rPr>
          <w:rtl/>
        </w:rPr>
        <w:t>فعلت كذا. وقوله : « يرحم » منصوب</w:t>
      </w:r>
      <w:r>
        <w:rPr>
          <w:rtl/>
        </w:rPr>
        <w:t xml:space="preserve"> ب- «</w:t>
      </w:r>
      <w:r w:rsidRPr="00132E65">
        <w:rPr>
          <w:rtl/>
        </w:rPr>
        <w:t xml:space="preserve"> أن » المقدّرة. وذكر المجلسي احتمالين آخرين : الأوّل : أن يكون « أن لا » مركّباً من أن الناصبة ولا النافية. والثاني : أن تكون « إن » شرطيّة والفعل مجزوماً. راجع : </w:t>
      </w:r>
      <w:r w:rsidRPr="004148D6">
        <w:rPr>
          <w:rtl/>
        </w:rPr>
        <w:t>شرح المازندراني</w:t>
      </w:r>
      <w:r w:rsidRPr="00132E65">
        <w:rPr>
          <w:rtl/>
        </w:rPr>
        <w:t xml:space="preserve"> ، ج 7 ، ص 25 ؛ </w:t>
      </w:r>
      <w:r w:rsidRPr="009D1ACE">
        <w:rPr>
          <w:rStyle w:val="libFootnoteBoldChar"/>
          <w:rtl/>
        </w:rPr>
        <w:t>الوافي</w:t>
      </w:r>
      <w:r w:rsidRPr="00132E65">
        <w:rPr>
          <w:rtl/>
        </w:rPr>
        <w:t xml:space="preserve"> ، ج 3 ، ص 652 ؛ </w:t>
      </w:r>
      <w:r w:rsidRPr="009D1ACE">
        <w:rPr>
          <w:rStyle w:val="libFootnoteBoldChar"/>
          <w:rtl/>
        </w:rPr>
        <w:t>مرآة العقول</w:t>
      </w:r>
      <w:r w:rsidRPr="00132E65">
        <w:rPr>
          <w:rtl/>
        </w:rPr>
        <w:t xml:space="preserve"> ، ج 4 ، ص 338.</w:t>
      </w:r>
    </w:p>
    <w:p w:rsidR="000C39D1" w:rsidRPr="00132E65" w:rsidRDefault="000C39D1" w:rsidP="000C39D1">
      <w:pPr>
        <w:pStyle w:val="libFootnote0"/>
        <w:rPr>
          <w:rtl/>
          <w:lang w:bidi="fa-IR"/>
        </w:rPr>
      </w:pPr>
      <w:r>
        <w:rPr>
          <w:rtl/>
        </w:rPr>
        <w:t>(11).</w:t>
      </w:r>
      <w:r w:rsidRPr="00132E65">
        <w:rPr>
          <w:rtl/>
        </w:rPr>
        <w:t xml:space="preserve"> في « ج ، ف » وحاشية « ب » وقرب الإسناد : « صغيرهم »</w:t>
      </w:r>
      <w:r>
        <w:rPr>
          <w:rtl/>
        </w:rPr>
        <w:t>.</w:t>
      </w:r>
    </w:p>
    <w:p w:rsidR="000C39D1" w:rsidRPr="00132E65" w:rsidRDefault="000C39D1" w:rsidP="000C39D1">
      <w:pPr>
        <w:pStyle w:val="libFootnote0"/>
        <w:rPr>
          <w:rtl/>
          <w:lang w:bidi="fa-IR"/>
        </w:rPr>
      </w:pPr>
      <w:r>
        <w:rPr>
          <w:rtl/>
        </w:rPr>
        <w:t>(12).</w:t>
      </w:r>
      <w:r w:rsidRPr="00132E65">
        <w:rPr>
          <w:rtl/>
        </w:rPr>
        <w:t xml:space="preserve"> في حاشية « بر » : « عاملهم »</w:t>
      </w:r>
      <w:r>
        <w:rPr>
          <w:rtl/>
        </w:rPr>
        <w:t>.</w:t>
      </w:r>
      <w:r w:rsidRPr="00132E65">
        <w:rPr>
          <w:rtl/>
        </w:rPr>
        <w:t xml:space="preserve"> وفي حاشية « بس » : « عاقلهم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بِهِمْ </w:t>
      </w:r>
      <w:r>
        <w:rPr>
          <w:rStyle w:val="libFootnotenumChar"/>
          <w:rtl/>
        </w:rPr>
        <w:t>(1)</w:t>
      </w:r>
      <w:r w:rsidRPr="00132E65">
        <w:rPr>
          <w:rtl/>
          <w:lang w:bidi="fa-IR"/>
        </w:rPr>
        <w:t xml:space="preserve"> ؛ فَيُذِلَّهُمْ ، ولَمْ يُفْقِرْهُمْ ؛ فَيُكْفِرَهُمْ </w:t>
      </w:r>
      <w:r>
        <w:rPr>
          <w:rStyle w:val="libFootnotenumChar"/>
          <w:rtl/>
        </w:rPr>
        <w:t>(2)</w:t>
      </w:r>
      <w:r w:rsidRPr="00132E65">
        <w:rPr>
          <w:rtl/>
          <w:lang w:bidi="fa-IR"/>
        </w:rPr>
        <w:t xml:space="preserve"> ، ولَمْ يُغْلِقْ بَابَهُ </w:t>
      </w:r>
      <w:r>
        <w:rPr>
          <w:rStyle w:val="libFootnotenumChar"/>
          <w:rtl/>
        </w:rPr>
        <w:t>(3)</w:t>
      </w:r>
      <w:r w:rsidRPr="00132E65">
        <w:rPr>
          <w:rtl/>
          <w:lang w:bidi="fa-IR"/>
        </w:rPr>
        <w:t xml:space="preserve"> دُونَهُمْ ؛ فَيَأْكُلَ قَوِيُّهُمْ ضَعِيفَهُمْ ، ولَمْ يَخْبِزْهُمْ </w:t>
      </w:r>
      <w:r>
        <w:rPr>
          <w:rStyle w:val="libFootnotenumChar"/>
          <w:rtl/>
        </w:rPr>
        <w:t>(4)</w:t>
      </w:r>
      <w:r w:rsidRPr="00132E65">
        <w:rPr>
          <w:rtl/>
          <w:lang w:bidi="fa-IR"/>
        </w:rPr>
        <w:t xml:space="preserve"> فِي بُعُوثِهِمْ </w:t>
      </w:r>
      <w:r>
        <w:rPr>
          <w:rStyle w:val="libFootnotenumChar"/>
          <w:rtl/>
        </w:rPr>
        <w:t>(5)</w:t>
      </w:r>
      <w:r w:rsidRPr="00132E65">
        <w:rPr>
          <w:rtl/>
          <w:lang w:bidi="fa-IR"/>
        </w:rPr>
        <w:t xml:space="preserve"> ؛ فَيَقْطَعَ </w:t>
      </w:r>
      <w:r>
        <w:rPr>
          <w:rStyle w:val="libFootnotenumChar"/>
          <w:rtl/>
        </w:rPr>
        <w:t>(6)</w:t>
      </w:r>
      <w:r w:rsidRPr="00132E65">
        <w:rPr>
          <w:rtl/>
          <w:lang w:bidi="fa-IR"/>
        </w:rPr>
        <w:t xml:space="preserve"> نَسْلَ أُمَّتِي ، ثُمَّ قَالَ : قَدْ </w:t>
      </w:r>
      <w:r>
        <w:rPr>
          <w:rStyle w:val="libFootnotenumChar"/>
          <w:rtl/>
        </w:rPr>
        <w:t>(7)</w:t>
      </w:r>
      <w:r w:rsidRPr="00132E65">
        <w:rPr>
          <w:rtl/>
          <w:lang w:bidi="fa-IR"/>
        </w:rPr>
        <w:t xml:space="preserve"> بَلَّغْتُ وَنَصَحْتُ ، فَاشْهَدُوا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(9)</w:t>
      </w:r>
      <w:r w:rsidRPr="00132E65">
        <w:rPr>
          <w:rtl/>
          <w:lang w:bidi="fa-IR"/>
        </w:rPr>
        <w:t xml:space="preserve"> قَالَ أَبُو عَبْدِ اللهِ </w:t>
      </w:r>
      <w:r w:rsidRPr="00071CF9">
        <w:rPr>
          <w:rStyle w:val="libAlaemChar"/>
          <w:rtl/>
        </w:rPr>
        <w:t>عليه‌السلام</w:t>
      </w:r>
      <w:r w:rsidRPr="00132E65">
        <w:rPr>
          <w:rtl/>
          <w:lang w:bidi="fa-IR"/>
        </w:rPr>
        <w:t xml:space="preserve"> : « هذَا آخِرُ كَلَامٍ تَكَلَّمَ بِهِ رَسُولُ اللهِ </w:t>
      </w:r>
      <w:r w:rsidRPr="0093484F">
        <w:rPr>
          <w:rStyle w:val="libAlaemChar"/>
          <w:rFonts w:eastAsiaTheme="minorHAnsi"/>
          <w:rtl/>
        </w:rPr>
        <w:t>صلى‌الله‌عليه‌وآله</w:t>
      </w:r>
      <w:r w:rsidRPr="00132E65">
        <w:rPr>
          <w:rtl/>
          <w:lang w:bidi="fa-IR"/>
        </w:rPr>
        <w:t xml:space="preserve"> عَلى مِنْبَرِهِ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4148D6">
        <w:rPr>
          <w:rtl/>
        </w:rPr>
        <w:t>1067</w:t>
      </w:r>
      <w:r w:rsidRPr="004325D8">
        <w:rPr>
          <w:rStyle w:val="libBold2Char"/>
          <w:rtl/>
        </w:rPr>
        <w:t xml:space="preserve"> / 5.</w:t>
      </w:r>
      <w:r w:rsidRPr="00132E65">
        <w:rPr>
          <w:rtl/>
          <w:lang w:bidi="fa-IR"/>
        </w:rPr>
        <w:t xml:space="preserve"> مُحَمَّدُ بْنُ يَحْيى </w:t>
      </w:r>
      <w:r>
        <w:rPr>
          <w:rStyle w:val="libFootnotenumChar"/>
          <w:rtl/>
        </w:rPr>
        <w:t>(11)</w:t>
      </w:r>
      <w:r w:rsidRPr="00132E65">
        <w:rPr>
          <w:rtl/>
          <w:lang w:bidi="fa-IR"/>
        </w:rPr>
        <w:t xml:space="preserve"> وغَيْرُهُ ، عَنْ أَحْمَدَ بْنِ مُحَمَّدِ بْنِ عِيسى ، عَنْ عَلِيِّ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ض » :</w:t>
      </w:r>
      <w:r>
        <w:rPr>
          <w:rtl/>
        </w:rPr>
        <w:t xml:space="preserve"> + </w:t>
      </w:r>
      <w:r w:rsidRPr="00132E65">
        <w:rPr>
          <w:rtl/>
        </w:rPr>
        <w:t>« عاملهم »</w:t>
      </w:r>
      <w:r>
        <w:rPr>
          <w:rtl/>
        </w:rPr>
        <w:t>.</w:t>
      </w:r>
      <w:r w:rsidRPr="00132E65">
        <w:rPr>
          <w:rtl/>
        </w:rPr>
        <w:t xml:space="preserve"> وفي قرب الإسناد : « ولم يضرّهم »</w:t>
      </w:r>
      <w:r>
        <w:rPr>
          <w:rtl/>
        </w:rPr>
        <w:t>.</w:t>
      </w:r>
      <w:r w:rsidRPr="00132E65">
        <w:rPr>
          <w:rtl/>
        </w:rPr>
        <w:t xml:space="preserve"> واحتمل المجلسي في </w:t>
      </w:r>
      <w:r w:rsidRPr="009D1ACE">
        <w:rPr>
          <w:rStyle w:val="libFootnoteBoldChar"/>
          <w:rtl/>
        </w:rPr>
        <w:t>مرآة العقول</w:t>
      </w:r>
      <w:r w:rsidRPr="00132E65">
        <w:rPr>
          <w:rtl/>
        </w:rPr>
        <w:t xml:space="preserve"> ، المجرّد بعد ما اختار المزيد ، ثمّ قال : « وربما يقرأ من الضرب »</w:t>
      </w:r>
      <w:r>
        <w:rPr>
          <w:rtl/>
        </w:rPr>
        <w:t>.</w:t>
      </w:r>
    </w:p>
    <w:p w:rsidR="000C39D1" w:rsidRPr="00132E65" w:rsidRDefault="000C39D1" w:rsidP="000C39D1">
      <w:pPr>
        <w:pStyle w:val="libFootnote0"/>
        <w:rPr>
          <w:rtl/>
          <w:lang w:bidi="fa-IR"/>
        </w:rPr>
      </w:pPr>
      <w:r>
        <w:rPr>
          <w:rtl/>
        </w:rPr>
        <w:t>(2).</w:t>
      </w:r>
      <w:r w:rsidRPr="00132E65">
        <w:rPr>
          <w:rtl/>
        </w:rPr>
        <w:t xml:space="preserve"> في « بر » : « فيكفّرهم »</w:t>
      </w:r>
      <w:r>
        <w:rPr>
          <w:rtl/>
        </w:rPr>
        <w:t>.</w:t>
      </w:r>
      <w:r w:rsidRPr="00132E65">
        <w:rPr>
          <w:rtl/>
        </w:rPr>
        <w:t xml:space="preserve"> وفي </w:t>
      </w:r>
      <w:r w:rsidRPr="009D1ACE">
        <w:rPr>
          <w:rStyle w:val="libFootnoteBoldChar"/>
          <w:rtl/>
        </w:rPr>
        <w:t>الوافي</w:t>
      </w:r>
      <w:r w:rsidRPr="00132E65">
        <w:rPr>
          <w:rtl/>
        </w:rPr>
        <w:t xml:space="preserve"> : « لم يفقرهم : لم يجعلهم فقراء بترك إعطائه إيّاهم ما يكفيهم ، فإنّهم ربما لم يصبروا على الفقر فيكفروا ، فصار هو سبب كفرهم »</w:t>
      </w:r>
      <w:r>
        <w:rPr>
          <w:rtl/>
        </w:rPr>
        <w:t>.</w:t>
      </w:r>
    </w:p>
    <w:p w:rsidR="000C39D1" w:rsidRPr="00132E65" w:rsidRDefault="000C39D1" w:rsidP="000C39D1">
      <w:pPr>
        <w:pStyle w:val="libFootnote0"/>
        <w:rPr>
          <w:rtl/>
          <w:lang w:bidi="fa-IR"/>
        </w:rPr>
      </w:pPr>
      <w:r>
        <w:rPr>
          <w:rtl/>
        </w:rPr>
        <w:t>(3).</w:t>
      </w:r>
      <w:r w:rsidRPr="00132E65">
        <w:rPr>
          <w:rtl/>
        </w:rPr>
        <w:t xml:space="preserve"> في شرح المازندراني : « الباب »</w:t>
      </w:r>
      <w:r>
        <w:rPr>
          <w:rtl/>
        </w:rPr>
        <w:t>.</w:t>
      </w:r>
    </w:p>
    <w:p w:rsidR="000C39D1" w:rsidRPr="00132E65" w:rsidRDefault="000C39D1" w:rsidP="000C39D1">
      <w:pPr>
        <w:pStyle w:val="libFootnote0"/>
        <w:rPr>
          <w:rtl/>
          <w:lang w:bidi="fa-IR"/>
        </w:rPr>
      </w:pPr>
      <w:r>
        <w:rPr>
          <w:rtl/>
        </w:rPr>
        <w:t>(4).</w:t>
      </w:r>
      <w:r w:rsidRPr="00132E65">
        <w:rPr>
          <w:rtl/>
        </w:rPr>
        <w:t xml:space="preserve"> في « ب » وحاشية « بف » : « لم يجبرهم »</w:t>
      </w:r>
      <w:r>
        <w:rPr>
          <w:rtl/>
        </w:rPr>
        <w:t>.</w:t>
      </w:r>
      <w:r w:rsidRPr="00132E65">
        <w:rPr>
          <w:rtl/>
        </w:rPr>
        <w:t xml:space="preserve"> وفي « ج ، بف » وحاشية « ف » : « لم يخبرهم »</w:t>
      </w:r>
      <w:r>
        <w:rPr>
          <w:rtl/>
        </w:rPr>
        <w:t>.</w:t>
      </w:r>
      <w:r w:rsidRPr="00132E65">
        <w:rPr>
          <w:rtl/>
        </w:rPr>
        <w:t xml:space="preserve"> وفي حاشية « ج » : « لم‌يجمّرهم » </w:t>
      </w:r>
      <w:r>
        <w:rPr>
          <w:rtl/>
        </w:rPr>
        <w:t>و «</w:t>
      </w:r>
      <w:r w:rsidRPr="00132E65">
        <w:rPr>
          <w:rtl/>
        </w:rPr>
        <w:t xml:space="preserve"> لم يجنّزهم »</w:t>
      </w:r>
      <w:r>
        <w:rPr>
          <w:rtl/>
        </w:rPr>
        <w:t>.</w:t>
      </w:r>
      <w:r w:rsidRPr="00132E65">
        <w:rPr>
          <w:rtl/>
        </w:rPr>
        <w:t xml:space="preserve"> وفي قرب الإسناد : « لم يجهزهم »</w:t>
      </w:r>
      <w:r>
        <w:rPr>
          <w:rtl/>
        </w:rPr>
        <w:t>.</w:t>
      </w:r>
      <w:r w:rsidRPr="00132E65">
        <w:rPr>
          <w:rtl/>
        </w:rPr>
        <w:t xml:space="preserve"> وفي </w:t>
      </w:r>
      <w:r w:rsidRPr="009D1ACE">
        <w:rPr>
          <w:rStyle w:val="libFootnoteBoldChar"/>
          <w:rtl/>
        </w:rPr>
        <w:t>مرآة العقول</w:t>
      </w:r>
      <w:r w:rsidRPr="00132E65">
        <w:rPr>
          <w:rtl/>
        </w:rPr>
        <w:t xml:space="preserve"> : « وربّما يقرأ بالجيم والتاء والزاي المشدّدة من قولهم : اجتزّ الحشيش ، إذا قطعه بحيث لم يبق منه شي‌ء »</w:t>
      </w:r>
      <w:r>
        <w:rPr>
          <w:rtl/>
        </w:rPr>
        <w:t>.</w:t>
      </w:r>
      <w:r w:rsidRPr="00132E65">
        <w:rPr>
          <w:rtl/>
        </w:rPr>
        <w:t xml:space="preserve"> وقوله : « لم يَخْبِزهم » ، أي لم يَسُقْهم سوقاً شديداً. من الخَبْز ، وهو السوق الشديد. راجع : </w:t>
      </w:r>
      <w:r w:rsidRPr="004148D6">
        <w:rPr>
          <w:rtl/>
        </w:rPr>
        <w:t>الصحاح</w:t>
      </w:r>
      <w:r w:rsidRPr="00132E65">
        <w:rPr>
          <w:rtl/>
        </w:rPr>
        <w:t xml:space="preserve"> ، ج 3 ، ص 876 ( خبز )</w:t>
      </w:r>
      <w:r>
        <w:rPr>
          <w:rtl/>
        </w:rPr>
        <w:t>.</w:t>
      </w:r>
    </w:p>
    <w:p w:rsidR="000C39D1" w:rsidRPr="00132E65" w:rsidRDefault="000C39D1" w:rsidP="00B1547E">
      <w:pPr>
        <w:pStyle w:val="libFootnote0"/>
        <w:rPr>
          <w:rtl/>
          <w:lang w:bidi="fa-IR"/>
        </w:rPr>
      </w:pPr>
      <w:r>
        <w:rPr>
          <w:rtl/>
        </w:rPr>
        <w:t>(5).</w:t>
      </w:r>
      <w:r w:rsidRPr="00132E65">
        <w:rPr>
          <w:rtl/>
        </w:rPr>
        <w:t xml:space="preserve"> في حاشية « ج » وقرب الإسناد : « ثغورهم »</w:t>
      </w:r>
      <w:r>
        <w:rPr>
          <w:rtl/>
        </w:rPr>
        <w:t>.</w:t>
      </w:r>
      <w:r w:rsidRPr="00132E65">
        <w:rPr>
          <w:rtl/>
        </w:rPr>
        <w:t xml:space="preserve"> وقوله : « بعوثهم » : جمع بعث ، وهو الجيش. راجع : </w:t>
      </w:r>
      <w:r w:rsidRPr="004148D6">
        <w:rPr>
          <w:rtl/>
        </w:rPr>
        <w:t>الصحاح</w:t>
      </w:r>
      <w:r w:rsidRPr="00132E65">
        <w:rPr>
          <w:rtl/>
        </w:rPr>
        <w:t xml:space="preserve"> ، ج 1 ، ص 273 ( بعث )</w:t>
      </w:r>
      <w:r>
        <w:rPr>
          <w:rtl/>
        </w:rPr>
        <w:t>.</w:t>
      </w:r>
      <w:r w:rsidR="00B1547E">
        <w:rPr>
          <w:rFonts w:hint="cs"/>
          <w:rtl/>
        </w:rPr>
        <w:t xml:space="preserve">                 </w:t>
      </w:r>
      <w:r w:rsidR="00936037">
        <w:rPr>
          <w:rFonts w:hint="cs"/>
          <w:rtl/>
        </w:rPr>
        <w:t xml:space="preserve">       </w:t>
      </w:r>
      <w:r w:rsidR="00B1547E">
        <w:rPr>
          <w:rFonts w:hint="cs"/>
          <w:rtl/>
        </w:rPr>
        <w:t xml:space="preserve">   </w:t>
      </w:r>
      <w:r>
        <w:rPr>
          <w:rtl/>
        </w:rPr>
        <w:t>(6).</w:t>
      </w:r>
      <w:r w:rsidRPr="00132E65">
        <w:rPr>
          <w:rtl/>
        </w:rPr>
        <w:t xml:space="preserve"> في « ج » : « فينقطع »</w:t>
      </w:r>
      <w:r>
        <w:rPr>
          <w:rtl/>
        </w:rPr>
        <w:t>.</w:t>
      </w:r>
    </w:p>
    <w:p w:rsidR="000C39D1" w:rsidRPr="00132E65" w:rsidRDefault="000C39D1" w:rsidP="000C39D1">
      <w:pPr>
        <w:pStyle w:val="libFootnote0"/>
        <w:rPr>
          <w:rtl/>
          <w:lang w:bidi="fa-IR"/>
        </w:rPr>
      </w:pPr>
      <w:r>
        <w:rPr>
          <w:rtl/>
        </w:rPr>
        <w:t>(7).</w:t>
      </w:r>
      <w:r w:rsidRPr="00132E65">
        <w:rPr>
          <w:rtl/>
        </w:rPr>
        <w:t xml:space="preserve"> في « ض ، بح ، بس » </w:t>
      </w:r>
      <w:r>
        <w:rPr>
          <w:rtl/>
        </w:rPr>
        <w:t xml:space="preserve">: - </w:t>
      </w:r>
      <w:r w:rsidRPr="00132E65">
        <w:rPr>
          <w:rtl/>
        </w:rPr>
        <w:t>« قد »</w:t>
      </w:r>
      <w:r>
        <w:rPr>
          <w:rtl/>
        </w:rPr>
        <w:t>.</w:t>
      </w:r>
      <w:r w:rsidRPr="00132E65">
        <w:rPr>
          <w:rtl/>
        </w:rPr>
        <w:t xml:space="preserve"> وفي حاشية « بر » وقرب الإسناد :</w:t>
      </w:r>
      <w:r>
        <w:rPr>
          <w:rtl/>
        </w:rPr>
        <w:t xml:space="preserve"> + </w:t>
      </w:r>
      <w:r w:rsidRPr="00132E65">
        <w:rPr>
          <w:rtl/>
        </w:rPr>
        <w:t>« اللهمّ »</w:t>
      </w:r>
      <w:r>
        <w:rPr>
          <w:rtl/>
        </w:rPr>
        <w:t>.</w:t>
      </w:r>
    </w:p>
    <w:p w:rsidR="000C39D1" w:rsidRPr="00132E65" w:rsidRDefault="000C39D1" w:rsidP="000C39D1">
      <w:pPr>
        <w:pStyle w:val="libFootnote0"/>
        <w:rPr>
          <w:rtl/>
          <w:lang w:bidi="fa-IR"/>
        </w:rPr>
      </w:pPr>
      <w:r>
        <w:rPr>
          <w:rtl/>
        </w:rPr>
        <w:t>(8).</w:t>
      </w:r>
      <w:r w:rsidRPr="00132E65">
        <w:rPr>
          <w:rtl/>
        </w:rPr>
        <w:t xml:space="preserve"> في قرب الإسناد : « فاشهد »</w:t>
      </w:r>
      <w:r>
        <w:rPr>
          <w:rtl/>
        </w:rPr>
        <w:t>.</w:t>
      </w:r>
    </w:p>
    <w:p w:rsidR="000C39D1" w:rsidRPr="00132E65" w:rsidRDefault="000C39D1" w:rsidP="000C39D1">
      <w:pPr>
        <w:pStyle w:val="libFootnote0"/>
        <w:rPr>
          <w:rtl/>
          <w:lang w:bidi="fa-IR"/>
        </w:rPr>
      </w:pPr>
      <w:r>
        <w:rPr>
          <w:rtl/>
        </w:rPr>
        <w:t>(9).</w:t>
      </w:r>
      <w:r w:rsidRPr="00132E65">
        <w:rPr>
          <w:rtl/>
        </w:rPr>
        <w:t xml:space="preserve"> في « ج ، ف ، بح ، بس » و</w:t>
      </w:r>
      <w:r w:rsidRPr="009D1ACE">
        <w:rPr>
          <w:rStyle w:val="libFootnoteBoldChar"/>
          <w:rtl/>
        </w:rPr>
        <w:t>الوافي</w:t>
      </w:r>
      <w:r w:rsidRPr="00132E65">
        <w:rPr>
          <w:rtl/>
        </w:rPr>
        <w:t xml:space="preserve"> والبحار ، ج 22 </w:t>
      </w:r>
      <w:r>
        <w:rPr>
          <w:rtl/>
        </w:rPr>
        <w:t>و 2</w:t>
      </w:r>
      <w:r w:rsidRPr="00132E65">
        <w:rPr>
          <w:rtl/>
        </w:rPr>
        <w:t xml:space="preserve">7 </w:t>
      </w:r>
      <w:r>
        <w:rPr>
          <w:rtl/>
        </w:rPr>
        <w:t xml:space="preserve">: - </w:t>
      </w:r>
      <w:r w:rsidRPr="00132E65">
        <w:rPr>
          <w:rtl/>
        </w:rPr>
        <w:t xml:space="preserve">« </w:t>
      </w:r>
      <w:r>
        <w:rPr>
          <w:rtl/>
        </w:rPr>
        <w:t>و ».</w:t>
      </w:r>
    </w:p>
    <w:p w:rsidR="000C39D1" w:rsidRPr="00132E65" w:rsidRDefault="000C39D1" w:rsidP="00B1547E">
      <w:pPr>
        <w:pStyle w:val="libFootnote0"/>
        <w:rPr>
          <w:rtl/>
          <w:lang w:bidi="fa-IR"/>
        </w:rPr>
      </w:pPr>
      <w:r>
        <w:rPr>
          <w:rtl/>
        </w:rPr>
        <w:t>(10).</w:t>
      </w:r>
      <w:r w:rsidRPr="00132E65">
        <w:rPr>
          <w:rtl/>
        </w:rPr>
        <w:t xml:space="preserve"> </w:t>
      </w:r>
      <w:r w:rsidRPr="004148D6">
        <w:rPr>
          <w:rtl/>
        </w:rPr>
        <w:t>قرب الإسناد</w:t>
      </w:r>
      <w:r w:rsidRPr="00132E65">
        <w:rPr>
          <w:rtl/>
        </w:rPr>
        <w:t xml:space="preserve"> ، ص 100 ، ح 337 ، بسنده عن حنان بن سدير</w:t>
      </w:r>
      <w:r w:rsidR="00B1547E">
        <w:rPr>
          <w:rFonts w:hint="cs"/>
          <w:rtl/>
        </w:rPr>
        <w:t>.</w:t>
      </w:r>
      <w:r w:rsidRPr="009D1ACE">
        <w:rPr>
          <w:rStyle w:val="libFootnoteBoldChar"/>
          <w:rtl/>
        </w:rPr>
        <w:t>الوافي</w:t>
      </w:r>
      <w:r w:rsidRPr="00132E65">
        <w:rPr>
          <w:rtl/>
        </w:rPr>
        <w:t xml:space="preserve"> ، ج 3 ، ص 652 ، ح 1247 ؛ </w:t>
      </w:r>
      <w:r w:rsidRPr="004148D6">
        <w:rPr>
          <w:rtl/>
        </w:rPr>
        <w:t>البحار</w:t>
      </w:r>
      <w:r w:rsidRPr="00132E65">
        <w:rPr>
          <w:rtl/>
        </w:rPr>
        <w:t xml:space="preserve"> ، ج 22 ، ص 495 ، ح 41 ؛ وج 27 ، ص 246 ، ح 6.</w:t>
      </w:r>
    </w:p>
    <w:p w:rsidR="000C39D1" w:rsidRPr="00132E65" w:rsidRDefault="000C39D1" w:rsidP="000C39D1">
      <w:pPr>
        <w:pStyle w:val="libFootnote0"/>
        <w:rPr>
          <w:rtl/>
          <w:lang w:bidi="fa-IR"/>
        </w:rPr>
      </w:pPr>
      <w:r>
        <w:rPr>
          <w:rtl/>
        </w:rPr>
        <w:t>(11).</w:t>
      </w:r>
      <w:r w:rsidRPr="00132E65">
        <w:rPr>
          <w:rtl/>
        </w:rPr>
        <w:t xml:space="preserve"> هكذا في حاشية « ف »</w:t>
      </w:r>
      <w:r>
        <w:rPr>
          <w:rtl/>
        </w:rPr>
        <w:t>.</w:t>
      </w:r>
      <w:r w:rsidRPr="00132E65">
        <w:rPr>
          <w:rtl/>
        </w:rPr>
        <w:t xml:space="preserve"> وفي النسخ والمطبوع : « محمّد بن عليّ »</w:t>
      </w:r>
      <w:r>
        <w:rPr>
          <w:rtl/>
        </w:rPr>
        <w:t>.</w:t>
      </w:r>
      <w:r w:rsidRPr="00132E65">
        <w:rPr>
          <w:rtl/>
        </w:rPr>
        <w:t xml:space="preserve"> والصواب ما أثبتناه ؛ فقد أكثر محمّد بن‌يحيى ، شيخ المصنّف ، الرواية عن أحمد بن محمّد بن عيسى. راجع : </w:t>
      </w:r>
      <w:r w:rsidRPr="00B06FDB">
        <w:rPr>
          <w:rtl/>
        </w:rPr>
        <w:t>معجم رجال الحديث</w:t>
      </w:r>
      <w:r w:rsidRPr="00132E65">
        <w:rPr>
          <w:rtl/>
        </w:rPr>
        <w:t xml:space="preserve"> ، ج 18 ، ص 7.</w:t>
      </w:r>
      <w:r>
        <w:rPr>
          <w:rFonts w:hint="cs"/>
          <w:rtl/>
          <w:lang w:bidi="fa-IR"/>
        </w:rPr>
        <w:t xml:space="preserve"> </w:t>
      </w:r>
      <w:r w:rsidRPr="0046781C">
        <w:rPr>
          <w:rtl/>
        </w:rPr>
        <w:t xml:space="preserve">وأمّا احتمال صحّة « محمّد بن عليّ » وأنّ المراد به هو محمّد بن عليّ بن معمر كما روى عنه المصنّف ، في ح 6192 </w:t>
      </w:r>
      <w:r>
        <w:rPr>
          <w:rtl/>
        </w:rPr>
        <w:t>و 1</w:t>
      </w:r>
      <w:r w:rsidRPr="0046781C">
        <w:rPr>
          <w:rtl/>
        </w:rPr>
        <w:t xml:space="preserve">4819 </w:t>
      </w:r>
      <w:r>
        <w:rPr>
          <w:rtl/>
        </w:rPr>
        <w:t>و 1</w:t>
      </w:r>
      <w:r w:rsidRPr="0046781C">
        <w:rPr>
          <w:rtl/>
        </w:rPr>
        <w:t>4820 ، فالظاهر عدم صحّة هذا الاحتمال ؛ فإنّا لم نجد</w:t>
      </w:r>
      <w:r>
        <w:rPr>
          <w:rtl/>
        </w:rPr>
        <w:t xml:space="preserve"> - </w:t>
      </w:r>
      <w:r w:rsidRPr="0046781C">
        <w:rPr>
          <w:rtl/>
        </w:rPr>
        <w:t>مع الفحص الأكيد</w:t>
      </w:r>
      <w:r>
        <w:rPr>
          <w:rtl/>
        </w:rPr>
        <w:t xml:space="preserve"> - </w:t>
      </w:r>
      <w:r w:rsidRPr="0046781C">
        <w:rPr>
          <w:rtl/>
        </w:rPr>
        <w:t xml:space="preserve">رواية محمّد بن عليّ بن معمر عن أحمد بن محمّد بن عيسى في موضع. أضف إلى ذلك أنّ الظاهر من عطف « غيره » على « محمّد بن يحيى » هو الإشارة إلى العِدّة الراوين عن أحمد بن محمّد بن عيسى الذين من جملتهم محمّد بن </w:t>
      </w:r>
      <w:r w:rsidR="00B1547E">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الْحَكَمِ ، عَنْ رَجُلٍ ، عَنْ حَبِيبِ بْنِ أَبِي ثَابِتٍ ، قَالَ :</w:t>
      </w:r>
    </w:p>
    <w:p w:rsidR="000C39D1" w:rsidRPr="00132E65" w:rsidRDefault="000C39D1" w:rsidP="000C39D1">
      <w:pPr>
        <w:pStyle w:val="libNormal"/>
        <w:rPr>
          <w:rtl/>
          <w:lang w:bidi="fa-IR"/>
        </w:rPr>
      </w:pPr>
      <w:r w:rsidRPr="00132E65">
        <w:rPr>
          <w:rtl/>
          <w:lang w:bidi="fa-IR"/>
        </w:rPr>
        <w:t xml:space="preserve">جَاءَ إِلى أَمِيرِ الْمُؤْمِنِينَ </w:t>
      </w:r>
      <w:r w:rsidRPr="00071CF9">
        <w:rPr>
          <w:rStyle w:val="libAlaemChar"/>
          <w:rtl/>
        </w:rPr>
        <w:t>عليه‌السلام</w:t>
      </w:r>
      <w:r w:rsidRPr="00132E65">
        <w:rPr>
          <w:rtl/>
          <w:lang w:bidi="fa-IR"/>
        </w:rPr>
        <w:t xml:space="preserve"> عَسَلٌ وتِينٌ </w:t>
      </w:r>
      <w:r>
        <w:rPr>
          <w:rStyle w:val="libFootnotenumChar"/>
          <w:rtl/>
        </w:rPr>
        <w:t>(1)</w:t>
      </w:r>
      <w:r w:rsidRPr="00132E65">
        <w:rPr>
          <w:rtl/>
          <w:lang w:bidi="fa-IR"/>
        </w:rPr>
        <w:t xml:space="preserve"> مِنْ هَمْدَانَ </w:t>
      </w:r>
      <w:r>
        <w:rPr>
          <w:rStyle w:val="libFootnotenumChar"/>
          <w:rtl/>
        </w:rPr>
        <w:t>(2)</w:t>
      </w:r>
      <w:r w:rsidRPr="00132E65">
        <w:rPr>
          <w:rtl/>
          <w:lang w:bidi="fa-IR"/>
        </w:rPr>
        <w:t xml:space="preserve"> وحُلْوَانَ ، فَأَمَرَ الْعُرَفَاءَ </w:t>
      </w:r>
      <w:r>
        <w:rPr>
          <w:rStyle w:val="libFootnotenumChar"/>
          <w:rtl/>
        </w:rPr>
        <w:t>(3)</w:t>
      </w:r>
      <w:r w:rsidRPr="00132E65">
        <w:rPr>
          <w:rtl/>
          <w:lang w:bidi="fa-IR"/>
        </w:rPr>
        <w:t xml:space="preserve"> أَنْ يَأْتُوا بِالْيَتَامى ، فَأَمْكَنَهُمْ مِنْ رُؤُوسِ الْأَزْقَاقِ </w:t>
      </w:r>
      <w:r>
        <w:rPr>
          <w:rStyle w:val="libFootnotenumChar"/>
          <w:rtl/>
        </w:rPr>
        <w:t>(4)</w:t>
      </w:r>
      <w:r w:rsidRPr="00132E65">
        <w:rPr>
          <w:rtl/>
          <w:lang w:bidi="fa-IR"/>
        </w:rPr>
        <w:t xml:space="preserve"> يَلْعَقُونَهَا </w:t>
      </w:r>
      <w:r>
        <w:rPr>
          <w:rStyle w:val="libFootnotenumChar"/>
          <w:rtl/>
        </w:rPr>
        <w:t>(5)</w:t>
      </w:r>
      <w:r w:rsidRPr="00132E65">
        <w:rPr>
          <w:rtl/>
          <w:lang w:bidi="fa-IR"/>
        </w:rPr>
        <w:t xml:space="preserve"> وهُوَ يَقْسِمُهَا لِلنَّاسِ قَدَحاً قَدَحاً ، فَقِيلَ لَهُ </w:t>
      </w:r>
      <w:r>
        <w:rPr>
          <w:rStyle w:val="libFootnotenumChar"/>
          <w:rtl/>
        </w:rPr>
        <w:t>(6)</w:t>
      </w:r>
      <w:r w:rsidRPr="00132E65">
        <w:rPr>
          <w:rtl/>
          <w:lang w:bidi="fa-IR"/>
        </w:rPr>
        <w:t xml:space="preserve"> : يَا أَمِيرَ الْمُؤْمِنِينَ ، مَا لَهُمْ يَلْعَقُونَهَا</w:t>
      </w:r>
      <w:r>
        <w:rPr>
          <w:rtl/>
          <w:lang w:bidi="fa-IR"/>
        </w:rPr>
        <w:t>؟</w:t>
      </w:r>
      <w:r w:rsidRPr="00132E65">
        <w:rPr>
          <w:rtl/>
          <w:lang w:bidi="fa-IR"/>
        </w:rPr>
        <w:t xml:space="preserve"> فَقَالَ : « إِنَّ الْإِمَامَ أَبُو الْيَتَامى ، وَإِنَّمَا </w:t>
      </w:r>
      <w:r>
        <w:rPr>
          <w:rStyle w:val="libFootnotenumChar"/>
          <w:rtl/>
        </w:rPr>
        <w:t>(7)</w:t>
      </w:r>
      <w:r w:rsidRPr="00132E65">
        <w:rPr>
          <w:rtl/>
          <w:lang w:bidi="fa-IR"/>
        </w:rPr>
        <w:t xml:space="preserve"> أَلْعَقْتُهُمْ هذَا بِرِعَايَةِ الْآبَاءِ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B06FDB">
        <w:rPr>
          <w:rtl/>
        </w:rPr>
        <w:t>1068</w:t>
      </w:r>
      <w:r w:rsidRPr="004325D8">
        <w:rPr>
          <w:rStyle w:val="libBold2Char"/>
          <w:rtl/>
        </w:rPr>
        <w:t xml:space="preserve"> / 6.</w:t>
      </w:r>
      <w:r w:rsidRPr="00132E65">
        <w:rPr>
          <w:rtl/>
          <w:lang w:bidi="fa-IR"/>
        </w:rPr>
        <w:t xml:space="preserve"> عِدَّةٌ مِنْ أَصْحَابِنَا ، عَنْ أَحْمَدَ بْنِ مُحَمَّدٍ الْبَرْقِيِّ ؛ وَعَلِيُّ بْنُ إِبْرَاهِيمَ ، عَنْ أَبِيهِ جَمِيعاً ، عَنِ الْقَاسِمِ بْنِ مُحَمَّدٍ الْأَصْبَهَانِيِّ </w:t>
      </w:r>
      <w:r>
        <w:rPr>
          <w:rStyle w:val="libFootnotenumChar"/>
          <w:rtl/>
        </w:rPr>
        <w:t>(9)</w:t>
      </w:r>
      <w:r w:rsidRPr="00132E65">
        <w:rPr>
          <w:rtl/>
          <w:lang w:bidi="fa-IR"/>
        </w:rPr>
        <w:t xml:space="preserve"> ، عَنْ سُلَيْمَانَ بْنِ دَاوُدَ الْمِنْقَرِيِّ ، عَنْ سُفْيَانَ بْنِ عُيَيْنَةَ :</w:t>
      </w:r>
    </w:p>
    <w:p w:rsidR="000C39D1" w:rsidRPr="00132E65" w:rsidRDefault="000C39D1" w:rsidP="000C39D1">
      <w:pPr>
        <w:pStyle w:val="libLine"/>
        <w:rPr>
          <w:rtl/>
          <w:lang w:bidi="fa-IR"/>
        </w:rPr>
      </w:pPr>
      <w:r w:rsidRPr="00132E65">
        <w:rPr>
          <w:rtl/>
          <w:lang w:bidi="fa-IR"/>
        </w:rPr>
        <w:t>__________________</w:t>
      </w:r>
    </w:p>
    <w:p w:rsidR="000C39D1" w:rsidRPr="004E6806" w:rsidRDefault="00B1547E" w:rsidP="000C39D1">
      <w:pPr>
        <w:pStyle w:val="libFootnote0"/>
        <w:rPr>
          <w:rtl/>
        </w:rPr>
      </w:pPr>
      <w:r>
        <w:rPr>
          <w:rFonts w:hint="cs"/>
          <w:rtl/>
          <w:lang w:bidi="fa-IR"/>
        </w:rPr>
        <w:t xml:space="preserve">= </w:t>
      </w:r>
      <w:r w:rsidR="000C39D1" w:rsidRPr="004E6806">
        <w:rPr>
          <w:rtl/>
        </w:rPr>
        <w:t xml:space="preserve">يحيى ، كما في : رجال النجاشي ، ص 377 ، الرقم 1026. وقد تكرّر هذا العطف في مواضع من أسناد </w:t>
      </w:r>
      <w:r w:rsidR="000C39D1" w:rsidRPr="000577A7">
        <w:rPr>
          <w:rStyle w:val="libFootnoteBoldChar"/>
          <w:rtl/>
        </w:rPr>
        <w:t>الكافي</w:t>
      </w:r>
      <w:r w:rsidR="000C39D1" w:rsidRPr="004E6806">
        <w:rPr>
          <w:rtl/>
        </w:rPr>
        <w:t xml:space="preserve"> ، ا</w:t>
      </w:r>
      <w:r>
        <w:rPr>
          <w:rFonts w:hint="cs"/>
          <w:rtl/>
        </w:rPr>
        <w:t>ُ</w:t>
      </w:r>
      <w:r w:rsidR="000C39D1" w:rsidRPr="004E6806">
        <w:rPr>
          <w:rtl/>
        </w:rPr>
        <w:t xml:space="preserve">نظر على سبيل المثال : </w:t>
      </w:r>
      <w:r w:rsidR="000C39D1" w:rsidRPr="000577A7">
        <w:rPr>
          <w:rStyle w:val="libFootnoteBoldChar"/>
          <w:rtl/>
        </w:rPr>
        <w:t>الكافي</w:t>
      </w:r>
      <w:r w:rsidR="000C39D1" w:rsidRPr="004E6806">
        <w:rPr>
          <w:rtl/>
        </w:rPr>
        <w:t xml:space="preserve"> ، ح 268 و 419 و 539 و 616 و 1452.</w:t>
      </w:r>
      <w:r w:rsidR="000C39D1" w:rsidRPr="004E6806">
        <w:rPr>
          <w:rFonts w:hint="cs"/>
          <w:rtl/>
        </w:rPr>
        <w:t xml:space="preserve"> </w:t>
      </w:r>
    </w:p>
    <w:p w:rsidR="000C39D1" w:rsidRPr="00453F7B" w:rsidRDefault="000C39D1" w:rsidP="00B1547E">
      <w:pPr>
        <w:pStyle w:val="libFootnote0"/>
        <w:rPr>
          <w:rtl/>
        </w:rPr>
      </w:pPr>
      <w:r w:rsidRPr="00453F7B">
        <w:rPr>
          <w:rtl/>
        </w:rPr>
        <w:t xml:space="preserve">ثمّ إنّه لا يخفى عليك مشابهة « يحيى » </w:t>
      </w:r>
      <w:r>
        <w:rPr>
          <w:rtl/>
        </w:rPr>
        <w:t>و «</w:t>
      </w:r>
      <w:r w:rsidRPr="00453F7B">
        <w:rPr>
          <w:rtl/>
        </w:rPr>
        <w:t xml:space="preserve"> عليّ » في بعض الخطوط القديمة الموجب لتصحيف أحدهما بالآخر.</w:t>
      </w:r>
    </w:p>
    <w:p w:rsidR="000C39D1" w:rsidRPr="00132E65" w:rsidRDefault="000C39D1" w:rsidP="000C39D1">
      <w:pPr>
        <w:pStyle w:val="libFootnote0"/>
        <w:rPr>
          <w:rtl/>
          <w:lang w:bidi="fa-IR"/>
        </w:rPr>
      </w:pPr>
      <w:r>
        <w:rPr>
          <w:rtl/>
        </w:rPr>
        <w:t>(1).</w:t>
      </w:r>
      <w:r w:rsidRPr="00132E65">
        <w:rPr>
          <w:rtl/>
        </w:rPr>
        <w:t xml:space="preserve"> جعل بعضٌ الواوَ في « وتين » أصليّة وقال : الوتين : الواتن ، وهو الماء المعين الدائم ، والمراد هنا المائع‌الكثير. ويجوز كونه بالثاء المثلّثة. وردّه المجلسي بإمكان كون التين أيضاً في الأزقاق فاعتصر منها دبس يلعقونها. راجع : </w:t>
      </w:r>
      <w:r w:rsidRPr="009D1ACE">
        <w:rPr>
          <w:rStyle w:val="libFootnoteBoldChar"/>
          <w:rtl/>
        </w:rPr>
        <w:t>مرآة العقول</w:t>
      </w:r>
      <w:r w:rsidRPr="00132E65">
        <w:rPr>
          <w:rtl/>
        </w:rPr>
        <w:t xml:space="preserve"> ، ج 4 ، ص 339.</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همذان »</w:t>
      </w:r>
      <w:r>
        <w:rPr>
          <w:rtl/>
        </w:rPr>
        <w:t>.</w:t>
      </w:r>
      <w:r w:rsidRPr="00132E65">
        <w:rPr>
          <w:rtl/>
        </w:rPr>
        <w:t xml:space="preserve"> وفي </w:t>
      </w:r>
      <w:r w:rsidRPr="009D1ACE">
        <w:rPr>
          <w:rStyle w:val="libFootnoteBoldChar"/>
          <w:rtl/>
        </w:rPr>
        <w:t>مرآة العقول</w:t>
      </w:r>
      <w:r w:rsidRPr="00132E65">
        <w:rPr>
          <w:rtl/>
        </w:rPr>
        <w:t xml:space="preserve"> : « ولا يخفى أنّ المناسب هنا البلد لا القبيلة ، لكنّه شاع تسمية البلد أيضاً بالمهملة »</w:t>
      </w:r>
      <w:r>
        <w:rPr>
          <w:rtl/>
        </w:rPr>
        <w:t>.</w:t>
      </w:r>
      <w:r w:rsidRPr="00132E65">
        <w:rPr>
          <w:rtl/>
        </w:rPr>
        <w:t xml:space="preserve"> ووجه المناسبة هو تقارنه بالبلد. وقال الشعراني </w:t>
      </w:r>
      <w:r w:rsidRPr="00B1547E">
        <w:rPr>
          <w:rStyle w:val="libFootnoteAlaemChar"/>
          <w:rtl/>
        </w:rPr>
        <w:t>رحمه‌الله</w:t>
      </w:r>
      <w:r w:rsidRPr="00132E65">
        <w:rPr>
          <w:rtl/>
        </w:rPr>
        <w:t xml:space="preserve"> في ذيل </w:t>
      </w:r>
      <w:r w:rsidRPr="00B06FDB">
        <w:rPr>
          <w:rtl/>
        </w:rPr>
        <w:t>شرح المازندراني</w:t>
      </w:r>
      <w:r w:rsidRPr="00132E65">
        <w:rPr>
          <w:rtl/>
        </w:rPr>
        <w:t xml:space="preserve"> ، ج 7 ، ص 29 بعد تفسير « حلوان »</w:t>
      </w:r>
      <w:r w:rsidR="00B1547E">
        <w:rPr>
          <w:rtl/>
        </w:rPr>
        <w:t xml:space="preserve"> ب</w:t>
      </w:r>
      <w:r w:rsidR="00B1547E">
        <w:rPr>
          <w:rFonts w:hint="cs"/>
          <w:rtl/>
        </w:rPr>
        <w:t>ـ</w:t>
      </w:r>
      <w:r>
        <w:rPr>
          <w:rtl/>
        </w:rPr>
        <w:t xml:space="preserve"> «</w:t>
      </w:r>
      <w:r w:rsidRPr="00132E65">
        <w:rPr>
          <w:rtl/>
        </w:rPr>
        <w:t xml:space="preserve"> پل ذهاب » : « وهمدان ، الظاهر أنّها البلد المشهور دون القبيلة ؛ إذ لا يؤتى بالعسل من القبيلة ، بل من البلد »</w:t>
      </w:r>
      <w:r>
        <w:rPr>
          <w:rtl/>
        </w:rPr>
        <w:t>.</w:t>
      </w:r>
    </w:p>
    <w:p w:rsidR="000C39D1" w:rsidRPr="00132E65" w:rsidRDefault="000C39D1" w:rsidP="000C39D1">
      <w:pPr>
        <w:pStyle w:val="libFootnote0"/>
        <w:rPr>
          <w:rtl/>
          <w:lang w:bidi="fa-IR"/>
        </w:rPr>
      </w:pPr>
      <w:r>
        <w:rPr>
          <w:rtl/>
        </w:rPr>
        <w:t>(3).</w:t>
      </w:r>
      <w:r w:rsidRPr="00132E65">
        <w:rPr>
          <w:rtl/>
        </w:rPr>
        <w:t xml:space="preserve"> « العُرَفاءُ » : جمع عَرِيف ، وهو القيّم با</w:t>
      </w:r>
      <w:r w:rsidR="00B1547E">
        <w:rPr>
          <w:rFonts w:hint="cs"/>
          <w:rtl/>
        </w:rPr>
        <w:t>ُ</w:t>
      </w:r>
      <w:r w:rsidRPr="00132E65">
        <w:rPr>
          <w:rtl/>
        </w:rPr>
        <w:t>مور القبيلة أو الجماعة من الناس يلي ا</w:t>
      </w:r>
      <w:r w:rsidR="00B1547E">
        <w:rPr>
          <w:rFonts w:hint="cs"/>
          <w:rtl/>
        </w:rPr>
        <w:t>ُ</w:t>
      </w:r>
      <w:r w:rsidRPr="00132E65">
        <w:rPr>
          <w:rtl/>
        </w:rPr>
        <w:t xml:space="preserve">مورهم ويتعرّف الأميرُ منه أحوالَهم. فعيل بمعنى فاعل. والعِرافةُ : عمله. </w:t>
      </w:r>
      <w:r w:rsidRPr="00B06FDB">
        <w:rPr>
          <w:rtl/>
        </w:rPr>
        <w:t>النهاية</w:t>
      </w:r>
      <w:r w:rsidRPr="00132E65">
        <w:rPr>
          <w:rtl/>
        </w:rPr>
        <w:t xml:space="preserve"> ، ج 3 ، 218 ( عرف )</w:t>
      </w:r>
      <w:r>
        <w:rPr>
          <w:rtl/>
        </w:rPr>
        <w:t>.</w:t>
      </w:r>
    </w:p>
    <w:p w:rsidR="000C39D1" w:rsidRPr="00132E65" w:rsidRDefault="000C39D1" w:rsidP="000C39D1">
      <w:pPr>
        <w:pStyle w:val="libFootnote0"/>
        <w:rPr>
          <w:rtl/>
          <w:lang w:bidi="fa-IR"/>
        </w:rPr>
      </w:pPr>
      <w:r>
        <w:rPr>
          <w:rtl/>
        </w:rPr>
        <w:t>(4).</w:t>
      </w:r>
      <w:r w:rsidRPr="00132E65">
        <w:rPr>
          <w:rtl/>
        </w:rPr>
        <w:t xml:space="preserve"> « الأزقاق » : جمع الزِقّ ، وهو السقاء ، أي وعاء من جلد للماء ونحوه. أو جلدٌ يُجَزُّ ويُقْطَع شعرُه ، ولا يُنْتَقُ ولايُنْزَع ، للشراب ونحوه. راجع : </w:t>
      </w:r>
      <w:r w:rsidRPr="00B06FDB">
        <w:rPr>
          <w:rtl/>
        </w:rPr>
        <w:t>القاموس المحيط</w:t>
      </w:r>
      <w:r w:rsidRPr="00132E65">
        <w:rPr>
          <w:rtl/>
        </w:rPr>
        <w:t xml:space="preserve"> ، ج 2 ، ص 1183 ( زقق )</w:t>
      </w:r>
      <w:r>
        <w:rPr>
          <w:rtl/>
        </w:rPr>
        <w:t>.</w:t>
      </w:r>
    </w:p>
    <w:p w:rsidR="000C39D1" w:rsidRPr="00132E65" w:rsidRDefault="000C39D1" w:rsidP="000C39D1">
      <w:pPr>
        <w:pStyle w:val="libFootnote0"/>
        <w:rPr>
          <w:rtl/>
          <w:lang w:bidi="fa-IR"/>
        </w:rPr>
      </w:pPr>
      <w:r>
        <w:rPr>
          <w:rtl/>
        </w:rPr>
        <w:t>(5).</w:t>
      </w:r>
      <w:r w:rsidRPr="00132E65">
        <w:rPr>
          <w:rtl/>
        </w:rPr>
        <w:t xml:space="preserve"> « يلعقونها » : يلحسونها ، أي يتناولونها بألسنتهم أو بأصابعهم. راجع : </w:t>
      </w:r>
      <w:r w:rsidRPr="00B06FDB">
        <w:rPr>
          <w:rtl/>
        </w:rPr>
        <w:t>الصحاح</w:t>
      </w:r>
      <w:r w:rsidRPr="00132E65">
        <w:rPr>
          <w:rtl/>
        </w:rPr>
        <w:t xml:space="preserve"> ، ج 4 ، ص 1550 ( لعق )</w:t>
      </w:r>
      <w:r>
        <w:rPr>
          <w:rtl/>
        </w:rPr>
        <w:t>.</w:t>
      </w:r>
    </w:p>
    <w:tbl>
      <w:tblPr>
        <w:tblStyle w:val="TableGrid"/>
        <w:bidiVisual/>
        <w:tblW w:w="0" w:type="auto"/>
        <w:tblLook w:val="04A0" w:firstRow="1" w:lastRow="0" w:firstColumn="1" w:lastColumn="0" w:noHBand="0" w:noVBand="1"/>
      </w:tblPr>
      <w:tblGrid>
        <w:gridCol w:w="4006"/>
        <w:gridCol w:w="4006"/>
      </w:tblGrid>
      <w:tr w:rsidR="00B1547E" w:rsidTr="00B1547E">
        <w:tc>
          <w:tcPr>
            <w:tcW w:w="4006" w:type="dxa"/>
          </w:tcPr>
          <w:p w:rsidR="00B1547E" w:rsidRDefault="00B1547E" w:rsidP="000C39D1">
            <w:pPr>
              <w:pStyle w:val="libFootnote0"/>
              <w:rPr>
                <w:rtl/>
              </w:rPr>
            </w:pPr>
            <w:r>
              <w:rPr>
                <w:rtl/>
              </w:rPr>
              <w:t>(6).</w:t>
            </w:r>
            <w:r w:rsidRPr="00132E65">
              <w:rPr>
                <w:rtl/>
              </w:rPr>
              <w:t xml:space="preserve"> في « ب » </w:t>
            </w:r>
            <w:r>
              <w:rPr>
                <w:rtl/>
              </w:rPr>
              <w:t xml:space="preserve">: - </w:t>
            </w:r>
            <w:r w:rsidRPr="00132E65">
              <w:rPr>
                <w:rtl/>
              </w:rPr>
              <w:t>« له »</w:t>
            </w:r>
            <w:r>
              <w:rPr>
                <w:rtl/>
              </w:rPr>
              <w:t>.</w:t>
            </w:r>
          </w:p>
        </w:tc>
        <w:tc>
          <w:tcPr>
            <w:tcW w:w="4006" w:type="dxa"/>
          </w:tcPr>
          <w:p w:rsidR="00B1547E" w:rsidRDefault="00B1547E" w:rsidP="000C39D1">
            <w:pPr>
              <w:pStyle w:val="libFootnote0"/>
              <w:rPr>
                <w:rtl/>
              </w:rPr>
            </w:pPr>
            <w:r>
              <w:rPr>
                <w:rtl/>
              </w:rPr>
              <w:t>(7).</w:t>
            </w:r>
            <w:r w:rsidRPr="00132E65">
              <w:rPr>
                <w:rtl/>
              </w:rPr>
              <w:t xml:space="preserve"> في « بح » : « فإنّما »</w:t>
            </w:r>
            <w:r>
              <w:rPr>
                <w:rtl/>
              </w:rPr>
              <w:t>.</w:t>
            </w:r>
          </w:p>
        </w:tc>
      </w:tr>
    </w:tbl>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653 ، ح 1250 ؛ </w:t>
      </w:r>
      <w:r w:rsidRPr="00B06FDB">
        <w:rPr>
          <w:rtl/>
        </w:rPr>
        <w:t>البحار</w:t>
      </w:r>
      <w:r w:rsidRPr="00132E65">
        <w:rPr>
          <w:rtl/>
        </w:rPr>
        <w:t xml:space="preserve"> ، ج 27 ، ص 247 ، ح 7 ؛ وج 41 ، ص 123 ، ح 30.</w:t>
      </w:r>
    </w:p>
    <w:p w:rsidR="000C39D1" w:rsidRPr="00132E65" w:rsidRDefault="000C39D1" w:rsidP="000C39D1">
      <w:pPr>
        <w:pStyle w:val="libFootnote0"/>
        <w:rPr>
          <w:rtl/>
          <w:lang w:bidi="fa-IR"/>
        </w:rPr>
      </w:pPr>
      <w:r>
        <w:rPr>
          <w:rtl/>
        </w:rPr>
        <w:t>(9).</w:t>
      </w:r>
      <w:r w:rsidRPr="00132E65">
        <w:rPr>
          <w:rtl/>
        </w:rPr>
        <w:t xml:space="preserve"> في « ب ، ج » : « الإصفهاني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 « أَنَّ النَّبِيَّ </w:t>
      </w:r>
      <w:r w:rsidRPr="0093484F">
        <w:rPr>
          <w:rStyle w:val="libAlaemChar"/>
          <w:rFonts w:eastAsiaTheme="minorHAnsi"/>
          <w:rtl/>
        </w:rPr>
        <w:t>صلى‌الله‌عليه‌وآله</w:t>
      </w:r>
      <w:r w:rsidRPr="00132E65">
        <w:rPr>
          <w:rtl/>
          <w:lang w:bidi="fa-IR"/>
        </w:rPr>
        <w:t xml:space="preserve"> قَالَ : أَنَا أَوْلى بِكُلِّ مُؤْمِنٍ مِنْ نَفْسِهِ ، وعَلِيٌّ أَوْلى بِهِ </w:t>
      </w:r>
      <w:r>
        <w:rPr>
          <w:rStyle w:val="libFootnotenumChar"/>
          <w:rtl/>
        </w:rPr>
        <w:t>(2)</w:t>
      </w:r>
      <w:r w:rsidRPr="00132E65">
        <w:rPr>
          <w:rtl/>
          <w:lang w:bidi="fa-IR"/>
        </w:rPr>
        <w:t xml:space="preserve"> مِنْ بَعْدِي »</w:t>
      </w:r>
      <w:r>
        <w:rPr>
          <w:rtl/>
          <w:lang w:bidi="fa-IR"/>
        </w:rPr>
        <w:t>.</w:t>
      </w:r>
    </w:p>
    <w:p w:rsidR="000C39D1" w:rsidRPr="00132E65" w:rsidRDefault="000C39D1" w:rsidP="000C39D1">
      <w:pPr>
        <w:pStyle w:val="libNormal"/>
        <w:rPr>
          <w:rtl/>
          <w:lang w:bidi="fa-IR"/>
        </w:rPr>
      </w:pPr>
      <w:r w:rsidRPr="00132E65">
        <w:rPr>
          <w:rtl/>
          <w:lang w:bidi="fa-IR"/>
        </w:rPr>
        <w:t>فَقِيلَ لَهُ : مَا مَعْنى ذلِكَ</w:t>
      </w:r>
      <w:r>
        <w:rPr>
          <w:rtl/>
          <w:lang w:bidi="fa-IR"/>
        </w:rPr>
        <w:t>؟</w:t>
      </w:r>
    </w:p>
    <w:p w:rsidR="000C39D1" w:rsidRPr="00132E65" w:rsidRDefault="000C39D1" w:rsidP="000C39D1">
      <w:pPr>
        <w:pStyle w:val="libNormal"/>
        <w:rPr>
          <w:rtl/>
          <w:lang w:bidi="fa-IR"/>
        </w:rPr>
      </w:pPr>
      <w:r w:rsidRPr="00132E65">
        <w:rPr>
          <w:rtl/>
          <w:lang w:bidi="fa-IR"/>
        </w:rPr>
        <w:t xml:space="preserve">فَقَالَ : « قَوْلُ النَّبِيِّ </w:t>
      </w:r>
      <w:r w:rsidRPr="0093484F">
        <w:rPr>
          <w:rStyle w:val="libAlaemChar"/>
          <w:rFonts w:eastAsiaTheme="minorHAnsi"/>
          <w:rtl/>
        </w:rPr>
        <w:t>صلى‌الله‌عليه‌وآله</w:t>
      </w:r>
      <w:r w:rsidRPr="00132E65">
        <w:rPr>
          <w:rtl/>
          <w:lang w:bidi="fa-IR"/>
        </w:rPr>
        <w:t xml:space="preserve"> : مَنْ تَرَكَ دَيْناً أَوْ ضَيَاعاً </w:t>
      </w:r>
      <w:r>
        <w:rPr>
          <w:rStyle w:val="libFootnotenumChar"/>
          <w:rtl/>
        </w:rPr>
        <w:t>(3)</w:t>
      </w:r>
      <w:r w:rsidRPr="00132E65">
        <w:rPr>
          <w:rtl/>
          <w:lang w:bidi="fa-IR"/>
        </w:rPr>
        <w:t xml:space="preserve"> فَعَلَيَّ ؛ ومَنْ تَرَكَ مَالاً فَلِوَرَثَتِهِ ، فَالرَّجُلُ لَيْسَتْ </w:t>
      </w:r>
      <w:r>
        <w:rPr>
          <w:rStyle w:val="libFootnotenumChar"/>
          <w:rtl/>
        </w:rPr>
        <w:t>(4)</w:t>
      </w:r>
      <w:r w:rsidRPr="00132E65">
        <w:rPr>
          <w:rtl/>
          <w:lang w:bidi="fa-IR"/>
        </w:rPr>
        <w:t xml:space="preserve"> لَهُ عَلى نَفْسِهِ ولَايَةٌ </w:t>
      </w:r>
      <w:r>
        <w:rPr>
          <w:rStyle w:val="libFootnotenumChar"/>
          <w:rtl/>
        </w:rPr>
        <w:t>(5)</w:t>
      </w:r>
      <w:r w:rsidRPr="00132E65">
        <w:rPr>
          <w:rtl/>
          <w:lang w:bidi="fa-IR"/>
        </w:rPr>
        <w:t xml:space="preserve"> إِذَا لَمْ يَكُنْ لَهُ مَالٌ ، ولَيْسَ لَهُ عَلى عِيَالِهِ أَمْرٌ ولَا نَهْيٌ إِذَا لَمْ يُجْرِ عَلَيْهِمُ </w:t>
      </w:r>
      <w:r>
        <w:rPr>
          <w:rStyle w:val="libFootnotenumChar"/>
          <w:rtl/>
        </w:rPr>
        <w:t>(6)</w:t>
      </w:r>
      <w:r w:rsidRPr="00132E65">
        <w:rPr>
          <w:rtl/>
          <w:lang w:bidi="fa-IR"/>
        </w:rPr>
        <w:t xml:space="preserve"> النَّفَقَةَ ، والنَّبِيُّ وأَمِيرُ الْمُؤْمِنِينَ </w:t>
      </w:r>
      <w:r w:rsidRPr="00071CF9">
        <w:rPr>
          <w:rStyle w:val="libAlaemChar"/>
          <w:rtl/>
        </w:rPr>
        <w:t>عليهما‌السلام</w:t>
      </w:r>
      <w:r w:rsidRPr="00132E65">
        <w:rPr>
          <w:rtl/>
          <w:lang w:bidi="fa-IR"/>
        </w:rPr>
        <w:t xml:space="preserve"> ومَنْ بَعْدَهُمَا أَلْزَمَهُمْ هذَا ، فَمِنْ هُنَاكَ صَارُوا أَوْلى بِهِمْ مِنْ أَنْفُسِهِمْ ، و</w:t>
      </w:r>
      <w:r>
        <w:rPr>
          <w:rFonts w:hint="cs"/>
          <w:rtl/>
          <w:lang w:bidi="fa-IR"/>
        </w:rPr>
        <w:t xml:space="preserve"> </w:t>
      </w:r>
      <w:r>
        <w:rPr>
          <w:rStyle w:val="libFootnotenumChar"/>
          <w:rtl/>
        </w:rPr>
        <w:t>(7)</w:t>
      </w:r>
      <w:r w:rsidRPr="00132E65">
        <w:rPr>
          <w:rtl/>
          <w:lang w:bidi="fa-IR"/>
        </w:rPr>
        <w:t xml:space="preserve"> مَا كَانَ سَبَبُ إِسْ</w:t>
      </w:r>
      <w:r w:rsidR="002A32E1">
        <w:rPr>
          <w:rtl/>
          <w:lang w:bidi="fa-IR"/>
        </w:rPr>
        <w:t>لَامِ عَامَّةِ الْيَهُودِ إِل</w:t>
      </w:r>
      <w:r w:rsidR="002A32E1">
        <w:rPr>
          <w:rFonts w:hint="cs"/>
          <w:rtl/>
          <w:lang w:bidi="fa-IR"/>
        </w:rPr>
        <w:t>َّ</w:t>
      </w:r>
      <w:r w:rsidR="002A32E1">
        <w:rPr>
          <w:rtl/>
          <w:lang w:bidi="fa-IR"/>
        </w:rPr>
        <w:t>ا</w:t>
      </w:r>
      <w:r w:rsidRPr="00132E65">
        <w:rPr>
          <w:rtl/>
          <w:lang w:bidi="fa-IR"/>
        </w:rPr>
        <w:t xml:space="preserve"> مِنْ بَعْدِ هذَا الْقَوْلِ مِنْ رَسُولِ اللهِ </w:t>
      </w:r>
      <w:r w:rsidRPr="0093484F">
        <w:rPr>
          <w:rStyle w:val="libAlaemChar"/>
          <w:rFonts w:eastAsiaTheme="minorHAnsi"/>
          <w:rtl/>
        </w:rPr>
        <w:t>صلى‌الله‌عليه‌وآله</w:t>
      </w:r>
      <w:r w:rsidRPr="00132E65">
        <w:rPr>
          <w:rtl/>
          <w:lang w:bidi="fa-IR"/>
        </w:rPr>
        <w:t xml:space="preserve"> ، وأَنَّهُمْ </w:t>
      </w:r>
      <w:r>
        <w:rPr>
          <w:rStyle w:val="libFootnotenumChar"/>
          <w:rtl/>
        </w:rPr>
        <w:t>(8)</w:t>
      </w:r>
      <w:r w:rsidRPr="00132E65">
        <w:rPr>
          <w:rtl/>
          <w:lang w:bidi="fa-IR"/>
        </w:rPr>
        <w:t xml:space="preserve"> أَمِنُوا </w:t>
      </w:r>
      <w:r>
        <w:rPr>
          <w:rStyle w:val="libFootnotenumChar"/>
          <w:rtl/>
        </w:rPr>
        <w:t>(9)</w:t>
      </w:r>
      <w:r w:rsidRPr="00132E65">
        <w:rPr>
          <w:rtl/>
          <w:lang w:bidi="fa-IR"/>
        </w:rPr>
        <w:t xml:space="preserve"> عَلى أَنْفُسِهِمْ وعَلى </w:t>
      </w:r>
      <w:r>
        <w:rPr>
          <w:rStyle w:val="libFootnotenumChar"/>
          <w:rtl/>
        </w:rPr>
        <w:t>(10)</w:t>
      </w:r>
      <w:r w:rsidRPr="00132E65">
        <w:rPr>
          <w:rtl/>
          <w:lang w:bidi="fa-IR"/>
        </w:rPr>
        <w:t xml:space="preserve"> عِيَالَاتِهِمْ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B06FDB">
        <w:rPr>
          <w:rtl/>
        </w:rPr>
        <w:t>1069</w:t>
      </w:r>
      <w:r w:rsidRPr="004325D8">
        <w:rPr>
          <w:rStyle w:val="libBold2Char"/>
          <w:rtl/>
        </w:rPr>
        <w:t xml:space="preserve"> / 7.</w:t>
      </w:r>
      <w:r w:rsidRPr="00132E65">
        <w:rPr>
          <w:rtl/>
          <w:lang w:bidi="fa-IR"/>
        </w:rPr>
        <w:t xml:space="preserve"> عِدَّةٌ مِنْ أَصْحَابِنَا ، عَنْ أَحْمَدَ بْنِ مُحَمَّدٍ ، عَنْ عَلِيِّ بْنِ الْحَكَمِ ، عَنْ أَبَانِ بْنِ عُثْمَانَ ، عَنْ صَبَّاحِ بْنِ سَيَابَةَ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قَالَ رَسُولُ اللهِ </w:t>
      </w:r>
      <w:r w:rsidRPr="0093484F">
        <w:rPr>
          <w:rStyle w:val="libAlaemChar"/>
          <w:rFonts w:eastAsiaTheme="minorHAnsi"/>
          <w:rtl/>
        </w:rPr>
        <w:t>صلى‌الله‌عليه‌وآله</w:t>
      </w:r>
      <w:r w:rsidRPr="00132E65">
        <w:rPr>
          <w:rtl/>
          <w:lang w:bidi="fa-IR"/>
        </w:rPr>
        <w:t xml:space="preserve"> : أَيُّمَا مُؤْمِنٍ أَوْ مُسْلِمٍ مَاتَ وتَرَكَ دَيْناً لَمْ يَكُنْ فِي فَسَادٍ ولَا</w:t>
      </w:r>
      <w:r>
        <w:rPr>
          <w:rFonts w:hint="cs"/>
          <w:rtl/>
          <w:lang w:bidi="fa-IR"/>
        </w:rPr>
        <w:t xml:space="preserve"> </w:t>
      </w:r>
      <w:r w:rsidRPr="00132E65">
        <w:rPr>
          <w:rtl/>
          <w:lang w:bidi="fa-IR"/>
        </w:rPr>
        <w:t>إِسْرَافٍ ، فَعَلَى الْإِمَامِ أَنْ يَقْضِيَهُ ، فَإِنْ لَمْ يَقْضِهِ ، فَعَلَيْهِ إِثْمُ‌</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A32E1" w:rsidTr="002A32E1">
        <w:tc>
          <w:tcPr>
            <w:tcW w:w="4006" w:type="dxa"/>
          </w:tcPr>
          <w:p w:rsidR="002A32E1" w:rsidRDefault="002A32E1" w:rsidP="000C39D1">
            <w:pPr>
              <w:pStyle w:val="libFootnote0"/>
              <w:rPr>
                <w:rtl/>
              </w:rPr>
            </w:pPr>
            <w:r>
              <w:rPr>
                <w:rtl/>
              </w:rPr>
              <w:t>(1).</w:t>
            </w:r>
            <w:r w:rsidRPr="00132E65">
              <w:rPr>
                <w:rtl/>
              </w:rPr>
              <w:t xml:space="preserve"> في « ف » :</w:t>
            </w:r>
            <w:r>
              <w:rPr>
                <w:rtl/>
              </w:rPr>
              <w:t xml:space="preserve"> + </w:t>
            </w:r>
            <w:r w:rsidRPr="00132E65">
              <w:rPr>
                <w:rtl/>
              </w:rPr>
              <w:t>« قال »</w:t>
            </w:r>
            <w:r>
              <w:rPr>
                <w:rtl/>
              </w:rPr>
              <w:t>.</w:t>
            </w:r>
          </w:p>
        </w:tc>
        <w:tc>
          <w:tcPr>
            <w:tcW w:w="4006" w:type="dxa"/>
          </w:tcPr>
          <w:p w:rsidR="002A32E1" w:rsidRDefault="002A32E1" w:rsidP="000C39D1">
            <w:pPr>
              <w:pStyle w:val="libFootnote0"/>
              <w:rPr>
                <w:rtl/>
              </w:rPr>
            </w:pPr>
            <w:r>
              <w:rPr>
                <w:rtl/>
              </w:rPr>
              <w:t>(2).</w:t>
            </w:r>
            <w:r w:rsidRPr="00132E65">
              <w:rPr>
                <w:rtl/>
              </w:rPr>
              <w:t xml:space="preserve"> في « ف » :</w:t>
            </w:r>
            <w:r>
              <w:rPr>
                <w:rtl/>
              </w:rPr>
              <w:t xml:space="preserve"> + </w:t>
            </w:r>
            <w:r w:rsidRPr="00132E65">
              <w:rPr>
                <w:rtl/>
              </w:rPr>
              <w:t>« منها »</w:t>
            </w:r>
            <w:r>
              <w:rPr>
                <w:rtl/>
              </w:rPr>
              <w:t>.</w:t>
            </w:r>
          </w:p>
        </w:tc>
      </w:tr>
    </w:tbl>
    <w:p w:rsidR="000C39D1" w:rsidRPr="00132E65" w:rsidRDefault="000C39D1" w:rsidP="000C39D1">
      <w:pPr>
        <w:pStyle w:val="libFootnote0"/>
        <w:rPr>
          <w:rtl/>
          <w:lang w:bidi="fa-IR"/>
        </w:rPr>
      </w:pPr>
      <w:r>
        <w:rPr>
          <w:rtl/>
        </w:rPr>
        <w:t>(3).</w:t>
      </w:r>
      <w:r w:rsidRPr="00132E65">
        <w:rPr>
          <w:rtl/>
        </w:rPr>
        <w:t xml:space="preserve"> « الضياع » : العيال. وأصله مصدر ضاع يضيع ضَياعاً ، فسمّي العيال بالمصدر. </w:t>
      </w:r>
      <w:r w:rsidRPr="00B06FDB">
        <w:rPr>
          <w:rtl/>
        </w:rPr>
        <w:t>النهاية</w:t>
      </w:r>
      <w:r w:rsidRPr="00132E65">
        <w:rPr>
          <w:rtl/>
        </w:rPr>
        <w:t xml:space="preserve"> ، ج 3 ، ص 10 ( ضيع )</w:t>
      </w:r>
      <w:r>
        <w:rPr>
          <w:rtl/>
        </w:rPr>
        <w:t>.</w:t>
      </w:r>
    </w:p>
    <w:tbl>
      <w:tblPr>
        <w:tblStyle w:val="TableGrid"/>
        <w:bidiVisual/>
        <w:tblW w:w="0" w:type="auto"/>
        <w:tblLook w:val="04A0" w:firstRow="1" w:lastRow="0" w:firstColumn="1" w:lastColumn="0" w:noHBand="0" w:noVBand="1"/>
      </w:tblPr>
      <w:tblGrid>
        <w:gridCol w:w="4006"/>
        <w:gridCol w:w="4006"/>
      </w:tblGrid>
      <w:tr w:rsidR="00FA5036" w:rsidTr="00FA5036">
        <w:tc>
          <w:tcPr>
            <w:tcW w:w="4006" w:type="dxa"/>
          </w:tcPr>
          <w:p w:rsidR="00FA5036" w:rsidRDefault="00FA5036" w:rsidP="000C39D1">
            <w:pPr>
              <w:pStyle w:val="libFootnote0"/>
              <w:rPr>
                <w:rtl/>
              </w:rPr>
            </w:pPr>
            <w:r>
              <w:rPr>
                <w:rtl/>
              </w:rPr>
              <w:t>(4).</w:t>
            </w:r>
            <w:r w:rsidRPr="00132E65">
              <w:rPr>
                <w:rtl/>
              </w:rPr>
              <w:t xml:space="preserve"> في « بر » : « ليس »</w:t>
            </w:r>
            <w:r>
              <w:rPr>
                <w:rtl/>
              </w:rPr>
              <w:t>.</w:t>
            </w:r>
          </w:p>
        </w:tc>
        <w:tc>
          <w:tcPr>
            <w:tcW w:w="4006" w:type="dxa"/>
          </w:tcPr>
          <w:p w:rsidR="00FA5036" w:rsidRDefault="00FA5036" w:rsidP="000C39D1">
            <w:pPr>
              <w:pStyle w:val="libFootnote0"/>
              <w:rPr>
                <w:rtl/>
              </w:rPr>
            </w:pPr>
            <w:r>
              <w:rPr>
                <w:rtl/>
              </w:rPr>
              <w:t>(5).</w:t>
            </w:r>
            <w:r w:rsidRPr="00132E65">
              <w:rPr>
                <w:rtl/>
              </w:rPr>
              <w:t xml:space="preserve"> في البحار ، ج 27 : « ولاية على نفسه »</w:t>
            </w:r>
            <w:r>
              <w:rPr>
                <w:rtl/>
              </w:rPr>
              <w:t>.</w:t>
            </w:r>
          </w:p>
        </w:tc>
      </w:tr>
      <w:tr w:rsidR="00FA5036" w:rsidTr="00FA5036">
        <w:tc>
          <w:tcPr>
            <w:tcW w:w="4006" w:type="dxa"/>
          </w:tcPr>
          <w:p w:rsidR="00FA5036" w:rsidRDefault="00FA5036" w:rsidP="000C39D1">
            <w:pPr>
              <w:pStyle w:val="libFootnote0"/>
              <w:rPr>
                <w:rtl/>
              </w:rPr>
            </w:pPr>
            <w:r>
              <w:rPr>
                <w:rtl/>
              </w:rPr>
              <w:t>(6).</w:t>
            </w:r>
            <w:r w:rsidRPr="00132E65">
              <w:rPr>
                <w:rtl/>
              </w:rPr>
              <w:t xml:space="preserve"> في « ف » : « عليه »</w:t>
            </w:r>
            <w:r>
              <w:rPr>
                <w:rtl/>
              </w:rPr>
              <w:t>.</w:t>
            </w:r>
          </w:p>
        </w:tc>
        <w:tc>
          <w:tcPr>
            <w:tcW w:w="4006" w:type="dxa"/>
          </w:tcPr>
          <w:p w:rsidR="00FA5036" w:rsidRDefault="00FA5036" w:rsidP="000C39D1">
            <w:pPr>
              <w:pStyle w:val="libFootnote0"/>
              <w:rPr>
                <w:rtl/>
              </w:rPr>
            </w:pPr>
            <w:r>
              <w:rPr>
                <w:rtl/>
              </w:rPr>
              <w:t>(7).</w:t>
            </w:r>
            <w:r w:rsidRPr="00132E65">
              <w:rPr>
                <w:rtl/>
              </w:rPr>
              <w:t xml:space="preserve"> في « ض » </w:t>
            </w:r>
            <w:r>
              <w:rPr>
                <w:rtl/>
              </w:rPr>
              <w:t xml:space="preserve">: - </w:t>
            </w:r>
            <w:r w:rsidRPr="00132E65">
              <w:rPr>
                <w:rtl/>
              </w:rPr>
              <w:t xml:space="preserve">« </w:t>
            </w:r>
            <w:r>
              <w:rPr>
                <w:rtl/>
              </w:rPr>
              <w:t>و ».</w:t>
            </w:r>
          </w:p>
        </w:tc>
      </w:tr>
    </w:tbl>
    <w:p w:rsidR="000C39D1" w:rsidRPr="00132E65" w:rsidRDefault="000C39D1" w:rsidP="000C39D1">
      <w:pPr>
        <w:pStyle w:val="libFootnote0"/>
        <w:rPr>
          <w:rtl/>
          <w:lang w:bidi="fa-IR"/>
        </w:rPr>
      </w:pPr>
      <w:r>
        <w:rPr>
          <w:rtl/>
        </w:rPr>
        <w:t>(8).</w:t>
      </w:r>
      <w:r w:rsidRPr="00132E65">
        <w:rPr>
          <w:rtl/>
        </w:rPr>
        <w:t xml:space="preserve"> عطف على « هذا القول » المجرور. وقال في </w:t>
      </w:r>
      <w:r w:rsidRPr="009D1ACE">
        <w:rPr>
          <w:rStyle w:val="libFootnoteBoldChar"/>
          <w:rtl/>
        </w:rPr>
        <w:t>مرآة العقول</w:t>
      </w:r>
      <w:r w:rsidRPr="00132E65">
        <w:rPr>
          <w:rtl/>
        </w:rPr>
        <w:t xml:space="preserve"> : « أي علموا أنّهم لا يضيعون مع الإسلام »</w:t>
      </w:r>
      <w:r>
        <w:rPr>
          <w:rtl/>
        </w:rPr>
        <w:t>.</w:t>
      </w:r>
    </w:p>
    <w:p w:rsidR="000C39D1" w:rsidRPr="00132E65" w:rsidRDefault="000C39D1" w:rsidP="000C39D1">
      <w:pPr>
        <w:pStyle w:val="libFootnote0"/>
        <w:rPr>
          <w:rtl/>
          <w:lang w:bidi="fa-IR"/>
        </w:rPr>
      </w:pPr>
      <w:r>
        <w:rPr>
          <w:rtl/>
        </w:rPr>
        <w:t>(9).</w:t>
      </w:r>
      <w:r w:rsidRPr="00132E65">
        <w:rPr>
          <w:rtl/>
        </w:rPr>
        <w:t xml:space="preserve"> اختلفت النسخ فيه من حيث كونه من الإفعال ، أو من باب علموا. وقال في </w:t>
      </w:r>
      <w:r w:rsidRPr="009D1ACE">
        <w:rPr>
          <w:rStyle w:val="libFootnoteBoldChar"/>
          <w:rtl/>
        </w:rPr>
        <w:t>مرآة العقول</w:t>
      </w:r>
      <w:r w:rsidRPr="00132E65">
        <w:rPr>
          <w:rtl/>
        </w:rPr>
        <w:t xml:space="preserve"> : « من باب علم »</w:t>
      </w:r>
      <w:r>
        <w:rPr>
          <w:rtl/>
        </w:rPr>
        <w:t>.</w:t>
      </w:r>
    </w:p>
    <w:p w:rsidR="000C39D1" w:rsidRPr="00132E65" w:rsidRDefault="000C39D1" w:rsidP="000C39D1">
      <w:pPr>
        <w:pStyle w:val="libFootnote0"/>
        <w:rPr>
          <w:rtl/>
          <w:lang w:bidi="fa-IR"/>
        </w:rPr>
      </w:pPr>
      <w:r>
        <w:rPr>
          <w:rtl/>
        </w:rPr>
        <w:t>(10).</w:t>
      </w:r>
      <w:r w:rsidRPr="00132E65">
        <w:rPr>
          <w:rtl/>
        </w:rPr>
        <w:t xml:space="preserve"> في البحار ، ج 27 </w:t>
      </w:r>
      <w:r>
        <w:rPr>
          <w:rtl/>
        </w:rPr>
        <w:t xml:space="preserve">: - </w:t>
      </w:r>
      <w:r w:rsidRPr="00132E65">
        <w:rPr>
          <w:rtl/>
        </w:rPr>
        <w:t>« على »</w:t>
      </w:r>
      <w:r>
        <w:rPr>
          <w:rtl/>
        </w:rPr>
        <w:t>.</w:t>
      </w:r>
    </w:p>
    <w:p w:rsidR="000C39D1" w:rsidRPr="00132E65" w:rsidRDefault="000C39D1" w:rsidP="00404705">
      <w:pPr>
        <w:pStyle w:val="libFootnote0"/>
        <w:rPr>
          <w:rtl/>
          <w:lang w:bidi="fa-IR"/>
        </w:rPr>
      </w:pPr>
      <w:r>
        <w:rPr>
          <w:rtl/>
        </w:rPr>
        <w:t>(11).</w:t>
      </w:r>
      <w:r w:rsidRPr="00132E65">
        <w:rPr>
          <w:rtl/>
        </w:rPr>
        <w:t xml:space="preserve"> </w:t>
      </w:r>
      <w:r w:rsidRPr="00F660D3">
        <w:rPr>
          <w:rtl/>
        </w:rPr>
        <w:t>علل الشرائع</w:t>
      </w:r>
      <w:r w:rsidRPr="00132E65">
        <w:rPr>
          <w:rtl/>
        </w:rPr>
        <w:t xml:space="preserve"> ، ص 127 ، ح 2 ؛ </w:t>
      </w:r>
      <w:r w:rsidRPr="00F660D3">
        <w:rPr>
          <w:rtl/>
        </w:rPr>
        <w:t>عيون الأخبار</w:t>
      </w:r>
      <w:r w:rsidRPr="00132E65">
        <w:rPr>
          <w:rtl/>
        </w:rPr>
        <w:t xml:space="preserve"> ، ج 2 ، ص 85 ، ح 29 ؛ </w:t>
      </w:r>
      <w:r w:rsidRPr="00F660D3">
        <w:rPr>
          <w:rtl/>
        </w:rPr>
        <w:t>معاني الأخبار</w:t>
      </w:r>
      <w:r w:rsidRPr="00132E65">
        <w:rPr>
          <w:rtl/>
        </w:rPr>
        <w:t xml:space="preserve"> ، ص 52 ، ح 3 ، وفي كلّها بسند آخر عن أبي الحسن </w:t>
      </w:r>
      <w:r w:rsidRPr="00404705">
        <w:rPr>
          <w:rStyle w:val="libFootnoteAlaemChar"/>
          <w:rtl/>
        </w:rPr>
        <w:t>عليه‌السلام</w:t>
      </w:r>
      <w:r w:rsidRPr="00132E65">
        <w:rPr>
          <w:rtl/>
        </w:rPr>
        <w:t xml:space="preserve"> ، مع اختلاف. راجع : </w:t>
      </w:r>
      <w:r w:rsidRPr="00F660D3">
        <w:rPr>
          <w:rtl/>
        </w:rPr>
        <w:t>الفقيه</w:t>
      </w:r>
      <w:r w:rsidRPr="00132E65">
        <w:rPr>
          <w:rtl/>
        </w:rPr>
        <w:t xml:space="preserve"> ، ج 4 ، ص 351 ، ح 5759 ؛ و</w:t>
      </w:r>
      <w:r w:rsidRPr="00F660D3">
        <w:rPr>
          <w:rtl/>
        </w:rPr>
        <w:t xml:space="preserve">التهذيب </w:t>
      </w:r>
      <w:r w:rsidRPr="00132E65">
        <w:rPr>
          <w:rtl/>
        </w:rPr>
        <w:t>، ج 6 ، ص 211 ، ح 494 ؛ و</w:t>
      </w:r>
      <w:r w:rsidRPr="00F660D3">
        <w:rPr>
          <w:rtl/>
        </w:rPr>
        <w:t>تفسير القمّي</w:t>
      </w:r>
      <w:r w:rsidRPr="00132E65">
        <w:rPr>
          <w:rtl/>
        </w:rPr>
        <w:t xml:space="preserve"> ، ج 1 ، ص 94 ؛ وج 2 ، ص 17</w:t>
      </w:r>
      <w:r w:rsidR="00404705">
        <w:rPr>
          <w:rFonts w:hint="cs"/>
          <w:rtl/>
        </w:rPr>
        <w:t>.</w:t>
      </w:r>
      <w:r w:rsidRPr="009D1ACE">
        <w:rPr>
          <w:rStyle w:val="libFootnoteBoldChar"/>
          <w:rtl/>
        </w:rPr>
        <w:t>الوافي</w:t>
      </w:r>
      <w:r w:rsidRPr="00132E65">
        <w:rPr>
          <w:rtl/>
        </w:rPr>
        <w:t xml:space="preserve"> ، ج 3 ، ص 654 ، ح 1251 ؛ </w:t>
      </w:r>
      <w:r w:rsidRPr="00F660D3">
        <w:rPr>
          <w:rtl/>
        </w:rPr>
        <w:t>البحار</w:t>
      </w:r>
      <w:r w:rsidRPr="00132E65">
        <w:rPr>
          <w:rtl/>
        </w:rPr>
        <w:t xml:space="preserve"> ، ج 16 ، ص 260 ، ح 49 ؛ وج 27 ، ص 248 ، ح 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ذلِكَ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يَقُولُ : </w:t>
      </w:r>
      <w:r w:rsidRPr="00071CF9">
        <w:rPr>
          <w:rStyle w:val="libAlaemChar"/>
          <w:rtl/>
        </w:rPr>
        <w:t>(</w:t>
      </w:r>
      <w:r w:rsidRPr="00071CF9">
        <w:rPr>
          <w:rStyle w:val="libAieChar"/>
          <w:rtl/>
        </w:rPr>
        <w:t xml:space="preserve"> إِنَّمَا الصَّدَقاتُ لِلْفُقَراءِ وَالْمَساكِينِ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الْآيَةَ ، فَهُوَ مِنَ الْغَارِمِينَ ، ولَهُ سَهْمٌ عِنْدَ الْإِمَامِ ، فَإِنْ حَبَسَهُ فَإِثْمُهُ </w:t>
      </w:r>
      <w:r>
        <w:rPr>
          <w:rStyle w:val="libFootnotenumChar"/>
          <w:rtl/>
        </w:rPr>
        <w:t>(2)</w:t>
      </w:r>
      <w:r w:rsidRPr="00132E65">
        <w:rPr>
          <w:rtl/>
          <w:lang w:bidi="fa-IR"/>
        </w:rPr>
        <w:t xml:space="preserve"> عَلَيْهِ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F660D3">
        <w:rPr>
          <w:rtl/>
        </w:rPr>
        <w:t>1070</w:t>
      </w:r>
      <w:r w:rsidRPr="004325D8">
        <w:rPr>
          <w:rStyle w:val="libBold2Char"/>
          <w:rtl/>
        </w:rPr>
        <w:t xml:space="preserve"> / 8.</w:t>
      </w:r>
      <w:r w:rsidRPr="00132E65">
        <w:rPr>
          <w:rtl/>
          <w:lang w:bidi="fa-IR"/>
        </w:rPr>
        <w:t xml:space="preserve"> عَلِيُّ بْنُ إِبْرَاهِيمَ ، عَنْ صَالِحِ بْنِ السِّنْدِيِّ ، عَنْ جَعْفَرِ بْنِ بَشِير</w:t>
      </w:r>
      <w:r w:rsidR="00936037">
        <w:rPr>
          <w:rtl/>
          <w:lang w:bidi="fa-IR"/>
        </w:rPr>
        <w:t>ٍ ، عَنْ حَنَانٍ ، عَنْ أَبِيهِ</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رَسُولُ اللهِ </w:t>
      </w:r>
      <w:r w:rsidRPr="0093484F">
        <w:rPr>
          <w:rStyle w:val="libAlaemChar"/>
          <w:rFonts w:eastAsiaTheme="minorHAnsi"/>
          <w:rtl/>
        </w:rPr>
        <w:t>صلى‌الله‌عليه‌وآله</w:t>
      </w:r>
      <w:r w:rsidRPr="00132E65">
        <w:rPr>
          <w:rtl/>
          <w:lang w:bidi="fa-IR"/>
        </w:rPr>
        <w:t xml:space="preserve">: لَاتَصْلُحُ </w:t>
      </w:r>
      <w:r>
        <w:rPr>
          <w:rStyle w:val="libFootnotenumChar"/>
          <w:rtl/>
        </w:rPr>
        <w:t>(4)</w:t>
      </w:r>
      <w:r w:rsidR="00404705">
        <w:rPr>
          <w:rtl/>
          <w:lang w:bidi="fa-IR"/>
        </w:rPr>
        <w:t xml:space="preserve"> الْإِمَامَةُ إِل</w:t>
      </w:r>
      <w:r w:rsidR="00404705">
        <w:rPr>
          <w:rFonts w:hint="cs"/>
          <w:rtl/>
          <w:lang w:bidi="fa-IR"/>
        </w:rPr>
        <w:t>َّ</w:t>
      </w:r>
      <w:r w:rsidR="00404705">
        <w:rPr>
          <w:rtl/>
          <w:lang w:bidi="fa-IR"/>
        </w:rPr>
        <w:t>ا</w:t>
      </w:r>
      <w:r w:rsidRPr="00132E65">
        <w:rPr>
          <w:rtl/>
          <w:lang w:bidi="fa-IR"/>
        </w:rPr>
        <w:t xml:space="preserve"> لِرَجُلٍ فِيهِ ثَلَاثُ خِصَالٍ : ورَعٌ يَحْجُزُهُ عَنْ مَعَاصِي </w:t>
      </w:r>
      <w:r>
        <w:rPr>
          <w:rStyle w:val="libFootnotenumChar"/>
          <w:rtl/>
        </w:rPr>
        <w:t>(5)</w:t>
      </w:r>
      <w:r w:rsidRPr="00132E65">
        <w:rPr>
          <w:rtl/>
          <w:lang w:bidi="fa-IR"/>
        </w:rPr>
        <w:t xml:space="preserve"> اللهِ ، وحِلْمٌ يَمْلِكُ </w:t>
      </w:r>
      <w:r>
        <w:rPr>
          <w:rStyle w:val="libFootnotenumChar"/>
          <w:rtl/>
        </w:rPr>
        <w:t>(6)</w:t>
      </w:r>
      <w:r w:rsidRPr="00132E65">
        <w:rPr>
          <w:rtl/>
          <w:lang w:bidi="fa-IR"/>
        </w:rPr>
        <w:t xml:space="preserve"> بِهِ غَضَبَهُ </w:t>
      </w:r>
      <w:r>
        <w:rPr>
          <w:rStyle w:val="libFootnotenumChar"/>
          <w:rtl/>
        </w:rPr>
        <w:t>(7)</w:t>
      </w:r>
      <w:r w:rsidRPr="00132E65">
        <w:rPr>
          <w:rtl/>
          <w:lang w:bidi="fa-IR"/>
        </w:rPr>
        <w:t xml:space="preserve"> ، وحُسْنُ الْوِلَايَةِ عَلى مَنْ يَلِي ، حَتّى يَكُونَ لَهُمْ كَالْوَالِدِ الرَّحِيمِ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404705" w:rsidP="000C39D1">
      <w:pPr>
        <w:pStyle w:val="libNormal"/>
        <w:rPr>
          <w:rtl/>
          <w:lang w:bidi="fa-IR"/>
        </w:rPr>
      </w:pPr>
      <w:r>
        <w:rPr>
          <w:rFonts w:hint="cs"/>
          <w:rtl/>
          <w:lang w:bidi="fa-IR"/>
        </w:rPr>
        <w:t xml:space="preserve">* </w:t>
      </w:r>
      <w:r w:rsidR="000C39D1" w:rsidRPr="00132E65">
        <w:rPr>
          <w:rtl/>
          <w:lang w:bidi="fa-IR"/>
        </w:rPr>
        <w:t>وفِي رِوَايَةٍ أُخْرى : « حَتّى يَكُونَ لِلرَّعِيَّةِ كَالْأَبِ الرَّحِيمِ »</w:t>
      </w:r>
      <w:r w:rsidR="000C39D1">
        <w:rPr>
          <w:rtl/>
          <w:lang w:bidi="fa-IR"/>
        </w:rPr>
        <w:t>.</w:t>
      </w:r>
      <w:r w:rsidR="000C39D1" w:rsidRPr="00132E65">
        <w:rPr>
          <w:rtl/>
          <w:lang w:bidi="fa-IR"/>
        </w:rPr>
        <w:t xml:space="preserve"> </w:t>
      </w:r>
      <w:r w:rsidR="000C39D1">
        <w:rPr>
          <w:rStyle w:val="libFootnotenumChar"/>
          <w:rtl/>
        </w:rPr>
        <w:t>(9)</w:t>
      </w:r>
      <w:r w:rsidR="000C39D1" w:rsidRPr="00132E65">
        <w:rPr>
          <w:rtl/>
          <w:lang w:bidi="fa-IR"/>
        </w:rPr>
        <w:t xml:space="preserve"> ‌</w:t>
      </w:r>
    </w:p>
    <w:p w:rsidR="000C39D1" w:rsidRPr="00132E65" w:rsidRDefault="000C39D1" w:rsidP="000C39D1">
      <w:pPr>
        <w:pStyle w:val="libNormal"/>
        <w:rPr>
          <w:rtl/>
          <w:lang w:bidi="fa-IR"/>
        </w:rPr>
      </w:pPr>
      <w:r w:rsidRPr="00F660D3">
        <w:rPr>
          <w:rtl/>
        </w:rPr>
        <w:t>1071</w:t>
      </w:r>
      <w:r w:rsidRPr="004325D8">
        <w:rPr>
          <w:rStyle w:val="libBold2Char"/>
          <w:rtl/>
        </w:rPr>
        <w:t xml:space="preserve"> / 9.</w:t>
      </w:r>
      <w:r w:rsidRPr="00132E65">
        <w:rPr>
          <w:rtl/>
          <w:lang w:bidi="fa-IR"/>
        </w:rPr>
        <w:t xml:space="preserve"> عَلِيُّ بْنُ مُحَمَّدٍ ، عَنْ سَهْلِ بْنِ زِيَادٍ ، عَنْ مُعَاوِيَةَ بْنِ حُكَيْمٍ ، عَنْ مُحَمَّدِ بْنِ أَسْلَمَ ، عَنْ رَجُلٍ مِنْ طَبَرِسْتَانَ</w:t>
      </w:r>
      <w:r>
        <w:rPr>
          <w:rtl/>
          <w:lang w:bidi="fa-IR"/>
        </w:rPr>
        <w:t xml:space="preserve"> - </w:t>
      </w:r>
      <w:r w:rsidRPr="00132E65">
        <w:rPr>
          <w:rtl/>
          <w:lang w:bidi="fa-IR"/>
        </w:rPr>
        <w:t>يُقَالُ لَهُ : مُحَمَّدٌ</w:t>
      </w:r>
      <w:r>
        <w:rPr>
          <w:rtl/>
          <w:lang w:bidi="fa-IR"/>
        </w:rPr>
        <w:t xml:space="preserve"> - </w:t>
      </w:r>
      <w:r w:rsidRPr="00132E65">
        <w:rPr>
          <w:rtl/>
          <w:lang w:bidi="fa-IR"/>
        </w:rPr>
        <w:t xml:space="preserve">قَالَ </w:t>
      </w:r>
      <w:r>
        <w:rPr>
          <w:rStyle w:val="libFootnotenumChar"/>
          <w:rtl/>
        </w:rPr>
        <w:t>(10)</w:t>
      </w:r>
      <w:r w:rsidRPr="00132E65">
        <w:rPr>
          <w:rtl/>
          <w:lang w:bidi="fa-IR"/>
        </w:rPr>
        <w:t xml:space="preserve"> : قَالَ مُعَاوِيَةُ : ولَقِيتُ الطَّبَرِيَّ مُحَمَّداً بَعْدَ ذلِكَ ، فَأَخْبَرَنِي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01843">
      <w:pPr>
        <w:pStyle w:val="libFootnote0"/>
        <w:rPr>
          <w:rtl/>
          <w:lang w:bidi="fa-IR"/>
        </w:rPr>
      </w:pPr>
      <w:r>
        <w:rPr>
          <w:rtl/>
        </w:rPr>
        <w:t>(1).</w:t>
      </w:r>
      <w:r w:rsidRPr="00132E65">
        <w:rPr>
          <w:rtl/>
        </w:rPr>
        <w:t xml:space="preserve"> التوبة </w:t>
      </w:r>
      <w:r w:rsidR="00001843">
        <w:rPr>
          <w:rtl/>
        </w:rPr>
        <w:t>(9)</w:t>
      </w:r>
      <w:r w:rsidRPr="00132E65">
        <w:rPr>
          <w:rtl/>
        </w:rPr>
        <w:t xml:space="preserve"> : 60. وفي « ف » :</w:t>
      </w:r>
      <w:r>
        <w:rPr>
          <w:rtl/>
        </w:rPr>
        <w:t xml:space="preserve"> + </w:t>
      </w:r>
      <w:r w:rsidR="00001843" w:rsidRPr="00001843">
        <w:rPr>
          <w:rStyle w:val="libFootnoteAlaemChar"/>
          <w:rFonts w:hint="cs"/>
          <w:rtl/>
        </w:rPr>
        <w:t>(</w:t>
      </w:r>
      <w:r w:rsidRPr="00001843">
        <w:rPr>
          <w:rStyle w:val="libFootnoteAieChar"/>
          <w:rtl/>
        </w:rPr>
        <w:t xml:space="preserve"> وَالعامِلِينَ عَلَيْها </w:t>
      </w:r>
      <w:r w:rsidR="00001843" w:rsidRPr="00001843">
        <w:rPr>
          <w:rStyle w:val="libFootnoteAlaemChar"/>
          <w:rFonts w:hint="cs"/>
          <w:rtl/>
        </w:rPr>
        <w:t>)</w:t>
      </w:r>
      <w:r>
        <w:rPr>
          <w:rtl/>
        </w:rPr>
        <w:t>.</w:t>
      </w:r>
    </w:p>
    <w:p w:rsidR="000C39D1" w:rsidRPr="00132E65" w:rsidRDefault="000C39D1" w:rsidP="000C39D1">
      <w:pPr>
        <w:pStyle w:val="libFootnote0"/>
        <w:rPr>
          <w:rtl/>
          <w:lang w:bidi="fa-IR"/>
        </w:rPr>
      </w:pPr>
      <w:r>
        <w:rPr>
          <w:rtl/>
        </w:rPr>
        <w:t>(2).</w:t>
      </w:r>
      <w:r w:rsidRPr="00132E65">
        <w:rPr>
          <w:rtl/>
        </w:rPr>
        <w:t xml:space="preserve"> في حاشية « بر » : « فهو آثم »</w:t>
      </w:r>
      <w:r>
        <w:rPr>
          <w:rtl/>
        </w:rPr>
        <w:t>.</w:t>
      </w:r>
    </w:p>
    <w:p w:rsidR="000C39D1" w:rsidRPr="00132E65" w:rsidRDefault="000C39D1" w:rsidP="00001843">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الميشة ، باب الدين ، ح 8459 ؛ و</w:t>
      </w:r>
      <w:r w:rsidRPr="00F660D3">
        <w:rPr>
          <w:rtl/>
        </w:rPr>
        <w:t>التهذيب</w:t>
      </w:r>
      <w:r w:rsidRPr="00132E65">
        <w:rPr>
          <w:rtl/>
        </w:rPr>
        <w:t xml:space="preserve"> ، ج 6 ، ص 184 ، ح 381 ؛ و</w:t>
      </w:r>
      <w:r w:rsidRPr="00F660D3">
        <w:rPr>
          <w:rtl/>
        </w:rPr>
        <w:t>قرب الإسناد</w:t>
      </w:r>
      <w:r w:rsidRPr="00132E65">
        <w:rPr>
          <w:rtl/>
        </w:rPr>
        <w:t xml:space="preserve"> ، ص 340 ، ح 1245 ، بسند آخر عن أبي الحسن </w:t>
      </w:r>
      <w:r w:rsidRPr="00001843">
        <w:rPr>
          <w:rStyle w:val="libFootnoteAlaemChar"/>
          <w:rtl/>
        </w:rPr>
        <w:t>عليه‌السلام</w:t>
      </w:r>
      <w:r w:rsidRPr="00132E65">
        <w:rPr>
          <w:rtl/>
        </w:rPr>
        <w:t xml:space="preserve"> مع اختلاف. وفي </w:t>
      </w:r>
      <w:r w:rsidRPr="00F660D3">
        <w:rPr>
          <w:rtl/>
        </w:rPr>
        <w:t>تفسير العيّاشي</w:t>
      </w:r>
      <w:r w:rsidRPr="00132E65">
        <w:rPr>
          <w:rtl/>
        </w:rPr>
        <w:t xml:space="preserve"> ، ج 2 ، ص 94 ، ح 78 ، عن الصبّاح بن سيابة ، مع اختلاف</w:t>
      </w:r>
      <w:r w:rsidR="00001843">
        <w:rPr>
          <w:rFonts w:hint="cs"/>
          <w:rtl/>
        </w:rPr>
        <w:t>.</w:t>
      </w:r>
      <w:r w:rsidRPr="009D1ACE">
        <w:rPr>
          <w:rStyle w:val="libFootnoteBoldChar"/>
          <w:rtl/>
        </w:rPr>
        <w:t>الوافي</w:t>
      </w:r>
      <w:r w:rsidRPr="00132E65">
        <w:rPr>
          <w:rtl/>
        </w:rPr>
        <w:t xml:space="preserve"> ، ج 3 ، ص 654 ، ح 1253 ؛ </w:t>
      </w:r>
      <w:r w:rsidRPr="00F660D3">
        <w:rPr>
          <w:rtl/>
        </w:rPr>
        <w:t>البحار</w:t>
      </w:r>
      <w:r w:rsidRPr="00132E65">
        <w:rPr>
          <w:rtl/>
        </w:rPr>
        <w:t xml:space="preserve"> ، ج 27 ، ص 249 ، ح 9.</w:t>
      </w:r>
    </w:p>
    <w:p w:rsidR="000C39D1" w:rsidRPr="00132E65" w:rsidRDefault="000C39D1" w:rsidP="000C39D1">
      <w:pPr>
        <w:pStyle w:val="libFootnote0"/>
        <w:rPr>
          <w:rtl/>
          <w:lang w:bidi="fa-IR"/>
        </w:rPr>
      </w:pPr>
      <w:r>
        <w:rPr>
          <w:rtl/>
        </w:rPr>
        <w:t>(4).</w:t>
      </w:r>
      <w:r w:rsidRPr="00132E65">
        <w:rPr>
          <w:rtl/>
        </w:rPr>
        <w:t xml:space="preserve"> في « بف » : « لا تصحّ »</w:t>
      </w:r>
      <w:r>
        <w:rPr>
          <w:rtl/>
        </w:rPr>
        <w:t>.</w:t>
      </w:r>
    </w:p>
    <w:p w:rsidR="000C39D1" w:rsidRPr="00132E65" w:rsidRDefault="000C39D1" w:rsidP="000C39D1">
      <w:pPr>
        <w:pStyle w:val="libFootnote0"/>
        <w:rPr>
          <w:rtl/>
          <w:lang w:bidi="fa-IR"/>
        </w:rPr>
      </w:pPr>
      <w:r>
        <w:rPr>
          <w:rtl/>
        </w:rPr>
        <w:t>(5).</w:t>
      </w:r>
      <w:r w:rsidRPr="00132E65">
        <w:rPr>
          <w:rtl/>
        </w:rPr>
        <w:t xml:space="preserve"> في حاشية « بح » : « محارم »</w:t>
      </w:r>
      <w:r>
        <w:rPr>
          <w:rtl/>
        </w:rPr>
        <w:t>.</w:t>
      </w:r>
    </w:p>
    <w:p w:rsidR="000C39D1" w:rsidRPr="00132E65" w:rsidRDefault="000C39D1" w:rsidP="000C39D1">
      <w:pPr>
        <w:pStyle w:val="libFootnote0"/>
        <w:rPr>
          <w:rtl/>
          <w:lang w:bidi="fa-IR"/>
        </w:rPr>
      </w:pPr>
      <w:r>
        <w:rPr>
          <w:rtl/>
        </w:rPr>
        <w:t>(6).</w:t>
      </w:r>
      <w:r w:rsidRPr="00132E65">
        <w:rPr>
          <w:rtl/>
        </w:rPr>
        <w:t xml:space="preserve"> في « بر ، بف » : « يهلك »</w:t>
      </w:r>
      <w:r>
        <w:rPr>
          <w:rtl/>
        </w:rPr>
        <w:t>.</w:t>
      </w:r>
    </w:p>
    <w:p w:rsidR="000C39D1" w:rsidRPr="00132E65" w:rsidRDefault="000C39D1" w:rsidP="000C39D1">
      <w:pPr>
        <w:pStyle w:val="libFootnote0"/>
        <w:rPr>
          <w:rtl/>
          <w:lang w:bidi="fa-IR"/>
        </w:rPr>
      </w:pPr>
      <w:r>
        <w:rPr>
          <w:rtl/>
        </w:rPr>
        <w:t>(7).</w:t>
      </w:r>
      <w:r w:rsidRPr="00132E65">
        <w:rPr>
          <w:rtl/>
        </w:rPr>
        <w:t xml:space="preserve"> في « بر » : « غيظه »</w:t>
      </w:r>
      <w:r>
        <w:rPr>
          <w:rtl/>
        </w:rPr>
        <w:t>.</w:t>
      </w:r>
    </w:p>
    <w:p w:rsidR="000C39D1" w:rsidRPr="00132E65" w:rsidRDefault="000C39D1" w:rsidP="00001843">
      <w:pPr>
        <w:pStyle w:val="libFootnote0"/>
        <w:rPr>
          <w:rtl/>
          <w:lang w:bidi="fa-IR"/>
        </w:rPr>
      </w:pPr>
      <w:r>
        <w:rPr>
          <w:rtl/>
        </w:rPr>
        <w:t>(8).</w:t>
      </w:r>
      <w:r w:rsidRPr="00132E65">
        <w:rPr>
          <w:rtl/>
        </w:rPr>
        <w:t xml:space="preserve"> </w:t>
      </w:r>
      <w:r w:rsidRPr="00F660D3">
        <w:rPr>
          <w:rtl/>
        </w:rPr>
        <w:t>الخصال</w:t>
      </w:r>
      <w:r w:rsidRPr="00132E65">
        <w:rPr>
          <w:rtl/>
        </w:rPr>
        <w:t xml:space="preserve"> ، ص 116 ، باب الثلاثة ، ح 97 ، بسنده عن حنان بن سدير ، عن أبي عبد الله ، عن أبيه </w:t>
      </w:r>
      <w:r w:rsidRPr="00001843">
        <w:rPr>
          <w:rStyle w:val="libFootnoteAlaemChar"/>
          <w:rtl/>
        </w:rPr>
        <w:t>عليه‌السلام</w:t>
      </w:r>
      <w:r w:rsidRPr="00132E65">
        <w:rPr>
          <w:rtl/>
        </w:rPr>
        <w:t xml:space="preserve">. وراجع : </w:t>
      </w:r>
      <w:r w:rsidRPr="000577A7">
        <w:rPr>
          <w:rStyle w:val="libFootnoteBoldChar"/>
          <w:rtl/>
        </w:rPr>
        <w:t>الكافي</w:t>
      </w:r>
      <w:r w:rsidRPr="00132E65">
        <w:rPr>
          <w:rtl/>
        </w:rPr>
        <w:t xml:space="preserve"> ، كتاب الحجّ ، باب الوصيّة ، ح 6996</w:t>
      </w:r>
      <w:r w:rsidR="00001843">
        <w:rPr>
          <w:rFonts w:hint="cs"/>
          <w:rtl/>
        </w:rPr>
        <w:t>.</w:t>
      </w:r>
      <w:r w:rsidRPr="009D1ACE">
        <w:rPr>
          <w:rStyle w:val="libFootnoteBoldChar"/>
          <w:rtl/>
        </w:rPr>
        <w:t>الوافي</w:t>
      </w:r>
      <w:r w:rsidRPr="00132E65">
        <w:rPr>
          <w:rtl/>
        </w:rPr>
        <w:t xml:space="preserve"> ، ج 3 ، ص 653 ، ح 1248 ؛ </w:t>
      </w:r>
      <w:r w:rsidRPr="00F660D3">
        <w:rPr>
          <w:rtl/>
        </w:rPr>
        <w:t>البحار</w:t>
      </w:r>
      <w:r w:rsidRPr="00132E65">
        <w:rPr>
          <w:rtl/>
        </w:rPr>
        <w:t xml:space="preserve"> ، ج 27 ، ص 250 ، ح 10.</w:t>
      </w:r>
    </w:p>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3 ، ص 653 ، ح 1249 ؛ </w:t>
      </w:r>
      <w:r w:rsidRPr="00F660D3">
        <w:rPr>
          <w:rtl/>
        </w:rPr>
        <w:t>البحار</w:t>
      </w:r>
      <w:r w:rsidRPr="00132E65">
        <w:rPr>
          <w:rtl/>
        </w:rPr>
        <w:t xml:space="preserve"> ، ج 27 ، ص 250 ، ذيل ح 10.</w:t>
      </w:r>
    </w:p>
    <w:p w:rsidR="000C39D1" w:rsidRPr="00132E65" w:rsidRDefault="000C39D1" w:rsidP="000C39D1">
      <w:pPr>
        <w:pStyle w:val="libFootnote0"/>
        <w:rPr>
          <w:rtl/>
          <w:lang w:bidi="fa-IR"/>
        </w:rPr>
      </w:pPr>
      <w:r>
        <w:rPr>
          <w:rtl/>
        </w:rPr>
        <w:t>(10).</w:t>
      </w:r>
      <w:r w:rsidRPr="00132E65">
        <w:rPr>
          <w:rtl/>
        </w:rPr>
        <w:t xml:space="preserve"> الضمير المستتر في « قال » راجع إلى سهل بن زياد. ومعاوية هو معاوية بن حُكَيم. والمراد أنّ معاوية بن‌حكيم بعد أن سمع الخبر من محمّد بن أسلم عن محمّدٍ الطبري ، لقي نفسُه محمّداً وسمع الخبر منه بلا واسطةٍ.</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سَمِعْتُ عَلِيَّ بْنَ مُوسى </w:t>
      </w:r>
      <w:r>
        <w:rPr>
          <w:rStyle w:val="libFootnotenumChar"/>
          <w:rtl/>
        </w:rPr>
        <w:t>(1)</w:t>
      </w:r>
      <w:r w:rsidRPr="00132E65">
        <w:rPr>
          <w:rtl/>
          <w:lang w:bidi="fa-IR"/>
        </w:rPr>
        <w:t xml:space="preserve"> </w:t>
      </w:r>
      <w:r w:rsidRPr="00071CF9">
        <w:rPr>
          <w:rStyle w:val="libAlaemChar"/>
          <w:rtl/>
        </w:rPr>
        <w:t>عليه‌السلام</w:t>
      </w:r>
      <w:r w:rsidRPr="00132E65">
        <w:rPr>
          <w:rtl/>
          <w:lang w:bidi="fa-IR"/>
        </w:rPr>
        <w:t xml:space="preserve"> يَقُولُ : « الْمُغْرَمُ إِذَا تَدَيَّنَ أَوِ اسْتَدَانَ فِي حَقٍّ</w:t>
      </w:r>
      <w:r>
        <w:rPr>
          <w:rtl/>
          <w:lang w:bidi="fa-IR"/>
        </w:rPr>
        <w:t xml:space="preserve"> - </w:t>
      </w:r>
      <w:r w:rsidRPr="00132E65">
        <w:rPr>
          <w:rtl/>
          <w:lang w:bidi="fa-IR"/>
        </w:rPr>
        <w:t>الْوَهْمُ مِنْ مُعَاوِيَةَ</w:t>
      </w:r>
      <w:r>
        <w:rPr>
          <w:rtl/>
          <w:lang w:bidi="fa-IR"/>
        </w:rPr>
        <w:t xml:space="preserve"> - </w:t>
      </w:r>
      <w:r w:rsidRPr="00132E65">
        <w:rPr>
          <w:rtl/>
          <w:lang w:bidi="fa-IR"/>
        </w:rPr>
        <w:t>أُجِّلَ سَ</w:t>
      </w:r>
      <w:r w:rsidR="00C80E1D">
        <w:rPr>
          <w:rtl/>
          <w:lang w:bidi="fa-IR"/>
        </w:rPr>
        <w:t>نَةً ، فَإِنِ اتَّسَعَ ، وإِل</w:t>
      </w:r>
      <w:r w:rsidR="00C80E1D">
        <w:rPr>
          <w:rFonts w:hint="cs"/>
          <w:rtl/>
          <w:lang w:bidi="fa-IR"/>
        </w:rPr>
        <w:t>َّ</w:t>
      </w:r>
      <w:r w:rsidR="00C80E1D">
        <w:rPr>
          <w:rtl/>
          <w:lang w:bidi="fa-IR"/>
        </w:rPr>
        <w:t>ا</w:t>
      </w:r>
      <w:r w:rsidRPr="00132E65">
        <w:rPr>
          <w:rtl/>
          <w:lang w:bidi="fa-IR"/>
        </w:rPr>
        <w:t xml:space="preserve"> قَضى عَنْهُ الْإِمَامُ مِنْ بَيْتِ الْمَالِ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Heading2Center"/>
        <w:rPr>
          <w:rtl/>
          <w:lang w:bidi="fa-IR"/>
        </w:rPr>
      </w:pPr>
      <w:bookmarkStart w:id="136" w:name="_Toc459459145"/>
      <w:bookmarkStart w:id="137" w:name="_Toc34663114"/>
      <w:r w:rsidRPr="00132E65">
        <w:rPr>
          <w:rtl/>
          <w:lang w:bidi="fa-IR"/>
        </w:rPr>
        <w:t>105</w:t>
      </w:r>
      <w:r>
        <w:rPr>
          <w:rtl/>
          <w:lang w:bidi="fa-IR"/>
        </w:rPr>
        <w:t xml:space="preserve"> - </w:t>
      </w:r>
      <w:r w:rsidRPr="00132E65">
        <w:rPr>
          <w:rtl/>
          <w:lang w:bidi="fa-IR"/>
        </w:rPr>
        <w:t xml:space="preserve">بَابُ أَنَّ الْأَرْضَ كُلَّهَا لِلْإِمَامِ </w:t>
      </w:r>
      <w:r w:rsidRPr="00071CF9">
        <w:rPr>
          <w:rStyle w:val="libAlaemChar"/>
          <w:rtl/>
        </w:rPr>
        <w:t>عليه‌السلام</w:t>
      </w:r>
      <w:r w:rsidRPr="00132E65">
        <w:rPr>
          <w:rtl/>
          <w:lang w:bidi="fa-IR"/>
        </w:rPr>
        <w:t>‌</w:t>
      </w:r>
      <w:bookmarkEnd w:id="136"/>
      <w:bookmarkEnd w:id="137"/>
    </w:p>
    <w:p w:rsidR="000C39D1" w:rsidRPr="00132E65" w:rsidRDefault="000C39D1" w:rsidP="000C39D1">
      <w:pPr>
        <w:pStyle w:val="libNormal"/>
        <w:rPr>
          <w:rtl/>
          <w:lang w:bidi="fa-IR"/>
        </w:rPr>
      </w:pPr>
      <w:r w:rsidRPr="00F660D3">
        <w:rPr>
          <w:rtl/>
        </w:rPr>
        <w:t>1072</w:t>
      </w:r>
      <w:r w:rsidRPr="004325D8">
        <w:rPr>
          <w:rStyle w:val="libBold2Char"/>
          <w:rtl/>
        </w:rPr>
        <w:t xml:space="preserve"> / 1.</w:t>
      </w:r>
      <w:r w:rsidRPr="00132E65">
        <w:rPr>
          <w:rtl/>
          <w:lang w:bidi="fa-IR"/>
        </w:rPr>
        <w:t xml:space="preserve"> مُحَمَّدُ بْنُ يَحْيى ، عَنْ أَحْمَدَ بْنِ مُحَمَّدِ بْنِ عِيسى ، عَنِ ابْنِ مَحْبُوبٍ ، عَنْ هِشَامِ بْنِ سَالِمٍ ، عَنْ أَبِي خَالِدٍ الْكَابُلِيِّ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وَجَدْنَا فِي كِتَابِ عَلِيٍّ </w:t>
      </w:r>
      <w:r w:rsidRPr="00071CF9">
        <w:rPr>
          <w:rStyle w:val="libAlaemChar"/>
          <w:rtl/>
        </w:rPr>
        <w:t>عليه‌السلام</w:t>
      </w:r>
      <w:r w:rsidRPr="00132E65">
        <w:rPr>
          <w:rtl/>
          <w:lang w:bidi="fa-IR"/>
        </w:rPr>
        <w:t xml:space="preserve"> : </w:t>
      </w:r>
      <w:r w:rsidRPr="00071CF9">
        <w:rPr>
          <w:rStyle w:val="libAlaemChar"/>
          <w:rtl/>
        </w:rPr>
        <w:t>(</w:t>
      </w:r>
      <w:r w:rsidRPr="00071CF9">
        <w:rPr>
          <w:rStyle w:val="libAieChar"/>
          <w:rtl/>
        </w:rPr>
        <w:t xml:space="preserve"> إِنَّ الْأَرْضَ لِلّهِ يُورِثُها مَنْ يَشاءُ مِنْ عِبادِهِ وَالْعاقِبَةُ لِلْمُتَّقِينَ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أَنَا وأَهْلُ بَيْتِيَ الَّذِينَ أَوْرَثَنَا اللهُ </w:t>
      </w:r>
      <w:r>
        <w:rPr>
          <w:rStyle w:val="libFootnotenumChar"/>
          <w:rtl/>
        </w:rPr>
        <w:t>(4)</w:t>
      </w:r>
      <w:r w:rsidRPr="00132E65">
        <w:rPr>
          <w:rtl/>
          <w:lang w:bidi="fa-IR"/>
        </w:rPr>
        <w:t xml:space="preserve"> الْأَرْضَ ، ونَحْنُ الْمُتَّقُونَ ، وَالْأَرْضُ كُلُّهَا لَنَا ، فَمَنْ أَحْيَا </w:t>
      </w:r>
      <w:r>
        <w:rPr>
          <w:rStyle w:val="libFootnotenumChar"/>
          <w:rtl/>
        </w:rPr>
        <w:t>(5)</w:t>
      </w:r>
      <w:r w:rsidRPr="00132E65">
        <w:rPr>
          <w:rtl/>
          <w:lang w:bidi="fa-IR"/>
        </w:rPr>
        <w:t xml:space="preserve"> أَرْضاً مِنَ الْمُسْلِمِينَ ، فَلْيَعْمُرْهَا ولْيُؤَدِّ خَرَاجَهَا إِلَى الْإِمَامِ مِنْ أَهْلِ بَيْتِي ، ولَهُ مَا أَكَلَ مِنْهَا ؛ فَإِنْ تَرَكَهَا أَوْ أَخْرَبَهَا </w:t>
      </w:r>
      <w:r>
        <w:rPr>
          <w:rStyle w:val="libFootnotenumChar"/>
          <w:rtl/>
        </w:rPr>
        <w:t>(6)</w:t>
      </w:r>
      <w:r w:rsidRPr="00132E65">
        <w:rPr>
          <w:rtl/>
          <w:lang w:bidi="fa-IR"/>
        </w:rPr>
        <w:t xml:space="preserve"> وأَخَذَهَا </w:t>
      </w:r>
      <w:r>
        <w:rPr>
          <w:rStyle w:val="libFootnotenumChar"/>
          <w:rtl/>
        </w:rPr>
        <w:t>(7)</w:t>
      </w:r>
      <w:r w:rsidRPr="00132E65">
        <w:rPr>
          <w:rtl/>
          <w:lang w:bidi="fa-IR"/>
        </w:rPr>
        <w:t xml:space="preserve"> رَجُلٌ مِنَ الْمُسْلِمِينَ مِنْ بَعْدِهِ فَعَمَرَهَا </w:t>
      </w:r>
      <w:r>
        <w:rPr>
          <w:rStyle w:val="libFootnotenumChar"/>
          <w:rtl/>
        </w:rPr>
        <w:t>(8)</w:t>
      </w:r>
      <w:r w:rsidRPr="00132E65">
        <w:rPr>
          <w:rtl/>
          <w:lang w:bidi="fa-IR"/>
        </w:rPr>
        <w:t xml:space="preserve"> وأَحْيَاهَا ، فَهُوَ أَحَقُّ بِهَا مِنَ الَّذِي تَرَكَهَا ، يُؤَدِّي </w:t>
      </w:r>
      <w:r>
        <w:rPr>
          <w:rStyle w:val="libFootnotenumChar"/>
          <w:rtl/>
        </w:rPr>
        <w:t>(9)</w:t>
      </w:r>
      <w:r w:rsidRPr="00132E65">
        <w:rPr>
          <w:rtl/>
          <w:lang w:bidi="fa-IR"/>
        </w:rPr>
        <w:t xml:space="preserve"> خَرَاجَهَا إِلَى الْإِمَامِ مِنْ أَهْلِ بَيْتِي ، ولَهُ مَا أَكَلَ مِنْهَا </w:t>
      </w:r>
      <w:r>
        <w:rPr>
          <w:rStyle w:val="libFootnotenumChar"/>
          <w:rtl/>
        </w:rPr>
        <w:t>(10)</w:t>
      </w:r>
      <w:r w:rsidRPr="00132E65">
        <w:rPr>
          <w:rtl/>
          <w:lang w:bidi="fa-IR"/>
        </w:rPr>
        <w:t xml:space="preserve"> حَتّى يَظْهَرَ </w:t>
      </w:r>
      <w:r>
        <w:rPr>
          <w:rStyle w:val="libFootnotenumChar"/>
          <w:rtl/>
        </w:rPr>
        <w:t>(11)</w:t>
      </w:r>
      <w:r w:rsidRPr="00132E65">
        <w:rPr>
          <w:rtl/>
          <w:lang w:bidi="fa-IR"/>
        </w:rPr>
        <w:t xml:space="preserve"> الْقَائِمُ </w:t>
      </w:r>
      <w:r w:rsidRPr="00071CF9">
        <w:rPr>
          <w:rStyle w:val="libAlaemChar"/>
          <w:rtl/>
        </w:rPr>
        <w:t>عليه‌السلام</w:t>
      </w:r>
      <w:r w:rsidRPr="00132E65">
        <w:rPr>
          <w:rtl/>
          <w:lang w:bidi="fa-IR"/>
        </w:rPr>
        <w:t xml:space="preserve"> مِنْ أَهْلِ بَيْتِي‌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w:t>
      </w:r>
      <w:r>
        <w:rPr>
          <w:rtl/>
        </w:rPr>
        <w:t xml:space="preserve"> + </w:t>
      </w:r>
      <w:r w:rsidRPr="00132E65">
        <w:rPr>
          <w:rtl/>
        </w:rPr>
        <w:t>« الرضا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655 ، ح 1254 ؛ </w:t>
      </w:r>
      <w:r w:rsidRPr="00F660D3">
        <w:rPr>
          <w:rtl/>
        </w:rPr>
        <w:t>البحار</w:t>
      </w:r>
      <w:r w:rsidRPr="00132E65">
        <w:rPr>
          <w:rtl/>
        </w:rPr>
        <w:t xml:space="preserve"> ، ج 27 ، ص 250 ، ح 11.</w:t>
      </w:r>
    </w:p>
    <w:p w:rsidR="000C39D1" w:rsidRPr="00132E65" w:rsidRDefault="000C39D1" w:rsidP="000C39D1">
      <w:pPr>
        <w:pStyle w:val="libFootnote0"/>
        <w:rPr>
          <w:rtl/>
          <w:lang w:bidi="fa-IR"/>
        </w:rPr>
      </w:pPr>
      <w:r>
        <w:rPr>
          <w:rtl/>
        </w:rPr>
        <w:t>(3).</w:t>
      </w:r>
      <w:r w:rsidRPr="00132E65">
        <w:rPr>
          <w:rtl/>
        </w:rPr>
        <w:t xml:space="preserve"> الأعراف </w:t>
      </w:r>
      <w:r w:rsidR="00367E5A">
        <w:rPr>
          <w:rtl/>
        </w:rPr>
        <w:t>(7)</w:t>
      </w:r>
      <w:r w:rsidRPr="00132E65">
        <w:rPr>
          <w:rtl/>
        </w:rPr>
        <w:t xml:space="preserve"> : 128.</w:t>
      </w:r>
    </w:p>
    <w:p w:rsidR="000C39D1" w:rsidRPr="00132E65" w:rsidRDefault="000C39D1" w:rsidP="000C39D1">
      <w:pPr>
        <w:pStyle w:val="libFootnote0"/>
        <w:rPr>
          <w:rtl/>
          <w:lang w:bidi="fa-IR"/>
        </w:rPr>
      </w:pPr>
      <w:r>
        <w:rPr>
          <w:rtl/>
        </w:rPr>
        <w:t>(4).</w:t>
      </w:r>
      <w:r w:rsidRPr="00132E65">
        <w:rPr>
          <w:rtl/>
        </w:rPr>
        <w:t xml:space="preserve"> في </w:t>
      </w:r>
      <w:r w:rsidRPr="000577A7">
        <w:rPr>
          <w:rStyle w:val="libFootnoteBoldChar"/>
          <w:rtl/>
        </w:rPr>
        <w:t>الكافي</w:t>
      </w:r>
      <w:r w:rsidRPr="00132E65">
        <w:rPr>
          <w:rtl/>
        </w:rPr>
        <w:t xml:space="preserve"> ، ح 9266 ، والتهذيب و</w:t>
      </w:r>
      <w:r w:rsidRPr="007A1104">
        <w:rPr>
          <w:rStyle w:val="libFootnoteBoldChar"/>
          <w:rtl/>
        </w:rPr>
        <w:t>الاستبصار</w:t>
      </w:r>
      <w:r w:rsidRPr="00132E65">
        <w:rPr>
          <w:rtl/>
        </w:rPr>
        <w:t xml:space="preserve"> والوسائل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ج 4 ، ص 346 : « وقوله : فمن أحيا ، كأنّه كلام أبي جعفر </w:t>
      </w:r>
      <w:r w:rsidRPr="00C80E1D">
        <w:rPr>
          <w:rStyle w:val="libFootnoteAlaemChar"/>
          <w:rtl/>
        </w:rPr>
        <w:t>عليه‌السلام</w:t>
      </w:r>
      <w:r w:rsidRPr="00132E65">
        <w:rPr>
          <w:rtl/>
        </w:rPr>
        <w:t xml:space="preserve"> ؛ لقوله : كما حواها رسول الله ، أوفيه التفات ، والمجموع كلام الرسول </w:t>
      </w:r>
      <w:r w:rsidRPr="00C80E1D">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Pr="00132E65" w:rsidRDefault="000C39D1" w:rsidP="000C39D1">
      <w:pPr>
        <w:pStyle w:val="libFootnote0"/>
        <w:rPr>
          <w:rtl/>
          <w:lang w:bidi="fa-IR"/>
        </w:rPr>
      </w:pPr>
      <w:r>
        <w:rPr>
          <w:rtl/>
        </w:rPr>
        <w:t>(6).</w:t>
      </w:r>
      <w:r w:rsidRPr="00132E65">
        <w:rPr>
          <w:rtl/>
        </w:rPr>
        <w:t xml:space="preserve"> في التهذيب و</w:t>
      </w:r>
      <w:r w:rsidRPr="007A1104">
        <w:rPr>
          <w:rStyle w:val="libFootnoteBoldChar"/>
          <w:rtl/>
        </w:rPr>
        <w:t>الاستبصار</w:t>
      </w:r>
      <w:r w:rsidRPr="00132E65">
        <w:rPr>
          <w:rtl/>
        </w:rPr>
        <w:t xml:space="preserve"> : « وإن تركها وأخرجها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ح 9266 ، وتفسير العيّاشي والتهذيب و</w:t>
      </w:r>
      <w:r w:rsidRPr="007A1104">
        <w:rPr>
          <w:rStyle w:val="libFootnoteBoldChar"/>
          <w:rtl/>
        </w:rPr>
        <w:t>الاستبصار</w:t>
      </w:r>
      <w:r w:rsidRPr="00132E65">
        <w:rPr>
          <w:rtl/>
        </w:rPr>
        <w:t xml:space="preserve"> والوسائل : « فأخذها »</w:t>
      </w:r>
      <w:r>
        <w:rPr>
          <w:rtl/>
        </w:rPr>
        <w:t>.</w:t>
      </w:r>
    </w:p>
    <w:p w:rsidR="000C39D1" w:rsidRPr="00132E65" w:rsidRDefault="000C39D1" w:rsidP="000C39D1">
      <w:pPr>
        <w:pStyle w:val="libFootnote0"/>
        <w:rPr>
          <w:rtl/>
          <w:lang w:bidi="fa-IR"/>
        </w:rPr>
      </w:pPr>
      <w:r>
        <w:rPr>
          <w:rtl/>
        </w:rPr>
        <w:t>(8).</w:t>
      </w:r>
      <w:r w:rsidRPr="00132E65">
        <w:rPr>
          <w:rtl/>
        </w:rPr>
        <w:t xml:space="preserve"> في « ض ، ف ، بف » : « فعمّرها » بالتثقيل.</w:t>
      </w:r>
    </w:p>
    <w:p w:rsidR="000C39D1" w:rsidRPr="00132E65" w:rsidRDefault="000C39D1" w:rsidP="000C39D1">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9266 ، وتفسير العيّاشي والتهذيب و</w:t>
      </w:r>
      <w:r w:rsidRPr="007A1104">
        <w:rPr>
          <w:rStyle w:val="libFootnoteBoldChar"/>
          <w:rtl/>
        </w:rPr>
        <w:t>الاستبصار</w:t>
      </w:r>
      <w:r w:rsidRPr="00132E65">
        <w:rPr>
          <w:rtl/>
        </w:rPr>
        <w:t xml:space="preserve"> والوسائل : « فليؤدّ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0577A7">
        <w:rPr>
          <w:rStyle w:val="libFootnoteBoldChar"/>
          <w:rtl/>
        </w:rPr>
        <w:t>الكافي</w:t>
      </w:r>
      <w:r w:rsidRPr="00132E65">
        <w:rPr>
          <w:rtl/>
        </w:rPr>
        <w:t xml:space="preserve"> ، ح 9266 ، والتهذيب </w:t>
      </w:r>
      <w:r>
        <w:rPr>
          <w:rtl/>
        </w:rPr>
        <w:t xml:space="preserve">: - </w:t>
      </w:r>
      <w:r w:rsidRPr="00132E65">
        <w:rPr>
          <w:rtl/>
        </w:rPr>
        <w:t>« منها »</w:t>
      </w:r>
      <w:r>
        <w:rPr>
          <w:rtl/>
        </w:rPr>
        <w:t>.</w:t>
      </w:r>
    </w:p>
    <w:p w:rsidR="000C39D1" w:rsidRPr="00132E65" w:rsidRDefault="000C39D1" w:rsidP="000C39D1">
      <w:pPr>
        <w:pStyle w:val="libFootnote0"/>
        <w:rPr>
          <w:rtl/>
          <w:lang w:bidi="fa-IR"/>
        </w:rPr>
      </w:pPr>
      <w:r>
        <w:rPr>
          <w:rtl/>
        </w:rPr>
        <w:t>(11).</w:t>
      </w:r>
      <w:r w:rsidRPr="00132E65">
        <w:rPr>
          <w:rtl/>
        </w:rPr>
        <w:t xml:space="preserve"> في حاشية « ض » :</w:t>
      </w:r>
      <w:r>
        <w:rPr>
          <w:rtl/>
        </w:rPr>
        <w:t xml:space="preserve"> + </w:t>
      </w:r>
      <w:r w:rsidRPr="00132E65">
        <w:rPr>
          <w:rtl/>
        </w:rPr>
        <w:t>« الإمام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بِالسَّيْفِ ، فَيَحْوِيَهَا </w:t>
      </w:r>
      <w:r>
        <w:rPr>
          <w:rStyle w:val="libFootnotenumChar"/>
          <w:rtl/>
        </w:rPr>
        <w:t>(1)</w:t>
      </w:r>
      <w:r w:rsidRPr="00132E65">
        <w:rPr>
          <w:rtl/>
          <w:lang w:bidi="fa-IR"/>
        </w:rPr>
        <w:t xml:space="preserve"> ويَمْنَعَهَا </w:t>
      </w:r>
      <w:r>
        <w:rPr>
          <w:rStyle w:val="libFootnotenumChar"/>
          <w:rtl/>
        </w:rPr>
        <w:t>(2)</w:t>
      </w:r>
      <w:r w:rsidRPr="00132E65">
        <w:rPr>
          <w:rtl/>
          <w:lang w:bidi="fa-IR"/>
        </w:rPr>
        <w:t xml:space="preserve"> ويُخْرِجَهُمْ مِنْهَا ، كَمَا حَوَاهَا رَسُولُ اللهِ </w:t>
      </w:r>
      <w:r w:rsidRPr="0093484F">
        <w:rPr>
          <w:rStyle w:val="libAlaemChar"/>
          <w:rFonts w:eastAsiaTheme="minorHAnsi"/>
          <w:rtl/>
        </w:rPr>
        <w:t>صلى‌الله‌عليه‌وآله</w:t>
      </w:r>
      <w:r w:rsidR="00367E5A">
        <w:rPr>
          <w:rtl/>
          <w:lang w:bidi="fa-IR"/>
        </w:rPr>
        <w:t xml:space="preserve"> ومَنَعَهَا ، إِل</w:t>
      </w:r>
      <w:r w:rsidR="00367E5A">
        <w:rPr>
          <w:rFonts w:hint="cs"/>
          <w:rtl/>
          <w:lang w:bidi="fa-IR"/>
        </w:rPr>
        <w:t>َّ</w:t>
      </w:r>
      <w:r w:rsidR="00367E5A">
        <w:rPr>
          <w:rtl/>
          <w:lang w:bidi="fa-IR"/>
        </w:rPr>
        <w:t>ا</w:t>
      </w:r>
      <w:r w:rsidRPr="00132E65">
        <w:rPr>
          <w:rtl/>
          <w:lang w:bidi="fa-IR"/>
        </w:rPr>
        <w:t xml:space="preserve"> مَا كَانَ فِي أَيْدِي شِيعَتِنَا ؛ فَإِنَّهُ يُقَاطِعُهُمْ </w:t>
      </w:r>
      <w:r>
        <w:rPr>
          <w:rStyle w:val="libFootnotenumChar"/>
          <w:rtl/>
        </w:rPr>
        <w:t>(3)</w:t>
      </w:r>
      <w:r w:rsidRPr="00132E65">
        <w:rPr>
          <w:rtl/>
          <w:lang w:bidi="fa-IR"/>
        </w:rPr>
        <w:t xml:space="preserve"> عَلى مَا </w:t>
      </w:r>
      <w:r>
        <w:rPr>
          <w:rStyle w:val="libFootnotenumChar"/>
          <w:rtl/>
        </w:rPr>
        <w:t>(4)</w:t>
      </w:r>
      <w:r w:rsidRPr="00132E65">
        <w:rPr>
          <w:rtl/>
          <w:lang w:bidi="fa-IR"/>
        </w:rPr>
        <w:t xml:space="preserve"> فِي أَيْدِيهِمْ ، ويَتْرُكُ الْأَرْضَ فِي أَيْدِيهِمْ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F660D3">
        <w:rPr>
          <w:rtl/>
        </w:rPr>
        <w:t>1073</w:t>
      </w:r>
      <w:r w:rsidRPr="004325D8">
        <w:rPr>
          <w:rStyle w:val="libBold2Char"/>
          <w:rtl/>
        </w:rPr>
        <w:t xml:space="preserve"> / 2.</w:t>
      </w:r>
      <w:r w:rsidRPr="00132E65">
        <w:rPr>
          <w:rtl/>
          <w:lang w:bidi="fa-IR"/>
        </w:rPr>
        <w:t xml:space="preserve"> الْحُسَيْنُ بْنُ مُحَمَّدٍ ، عَنْ مُعَلَّى بْنِ مُحَمَّدٍ ، قَالَ : أَخْبَرَنِي أَحْمَدُ بْنُ مُحَمَّدِ بْنِ عَبْدِ اللهِ ، عَمَّنْ رَوَاهُ ، قَالَ :</w:t>
      </w:r>
    </w:p>
    <w:p w:rsidR="000C39D1" w:rsidRPr="00132E65" w:rsidRDefault="000C39D1" w:rsidP="000C39D1">
      <w:pPr>
        <w:pStyle w:val="libNormal"/>
        <w:rPr>
          <w:rtl/>
          <w:lang w:bidi="fa-IR"/>
        </w:rPr>
      </w:pPr>
      <w:r w:rsidRPr="00132E65">
        <w:rPr>
          <w:rtl/>
          <w:lang w:bidi="fa-IR"/>
        </w:rPr>
        <w:t>« الدُّنْيَا ومَا فِيهَا لِلّهِ</w:t>
      </w:r>
      <w:r>
        <w:rPr>
          <w:rtl/>
          <w:lang w:bidi="fa-IR"/>
        </w:rPr>
        <w:t xml:space="preserve"> - </w:t>
      </w:r>
      <w:r w:rsidRPr="00132E65">
        <w:rPr>
          <w:rtl/>
          <w:lang w:bidi="fa-IR"/>
        </w:rPr>
        <w:t>تَبَارَكَ وتَعَالى</w:t>
      </w:r>
      <w:r>
        <w:rPr>
          <w:rtl/>
          <w:lang w:bidi="fa-IR"/>
        </w:rPr>
        <w:t xml:space="preserve"> - </w:t>
      </w:r>
      <w:r w:rsidRPr="00132E65">
        <w:rPr>
          <w:rtl/>
          <w:lang w:bidi="fa-IR"/>
        </w:rPr>
        <w:t>ولِرَسُولِهِ ولَنَا ، فَمَنْ غَلَبَ عَلى شَيْ‌ءٍ مِنْهَا ، فَلْيَتَّقِ اللهَ ، ولْيُؤَدِّ حَقَّ اللهِ تَبَارَكَ وتَعَالى ، ولْيَبَرَّ إِخْوَانَهُ ، فَإِنْ لَمْ يَفْعَلْ ذلِكَ ، فَاللهُ وَرَسُولُهُ ونَحْنُ بُرَآءُ مِنْهُ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F660D3">
        <w:rPr>
          <w:rtl/>
        </w:rPr>
        <w:t>1074</w:t>
      </w:r>
      <w:r w:rsidRPr="004325D8">
        <w:rPr>
          <w:rStyle w:val="libBold2Char"/>
          <w:rtl/>
        </w:rPr>
        <w:t xml:space="preserve"> / 3.</w:t>
      </w:r>
      <w:r w:rsidRPr="00132E65">
        <w:rPr>
          <w:rtl/>
          <w:lang w:bidi="fa-IR"/>
        </w:rPr>
        <w:t xml:space="preserve"> مُحَمَّدُ بْنُ يَحْيى ، عَنْ أَحْمَدَ بْنِ مُحَمَّدٍ ، عَنِ ابْنِ مَحْبُوبٍ ، عَنْ عُمَرَ بْنِ يَزِيدَ ، قَالَ :</w:t>
      </w:r>
    </w:p>
    <w:p w:rsidR="000C39D1" w:rsidRPr="00132E65" w:rsidRDefault="000C39D1" w:rsidP="000C39D1">
      <w:pPr>
        <w:pStyle w:val="libNormal"/>
        <w:rPr>
          <w:rtl/>
          <w:lang w:bidi="fa-IR"/>
        </w:rPr>
      </w:pPr>
      <w:r w:rsidRPr="00132E65">
        <w:rPr>
          <w:rtl/>
          <w:lang w:bidi="fa-IR"/>
        </w:rPr>
        <w:t>رَأَيْتُ مِسْمَعاً بِالْمَدِينَةِ</w:t>
      </w:r>
      <w:r>
        <w:rPr>
          <w:rtl/>
          <w:lang w:bidi="fa-IR"/>
        </w:rPr>
        <w:t xml:space="preserve"> - </w:t>
      </w:r>
      <w:r w:rsidRPr="00132E65">
        <w:rPr>
          <w:rtl/>
          <w:lang w:bidi="fa-IR"/>
        </w:rPr>
        <w:t xml:space="preserve">وقَدْ كَانَ حَمَلَ إِلى أَبِي عَبْدِ اللهِ </w:t>
      </w:r>
      <w:r w:rsidRPr="00071CF9">
        <w:rPr>
          <w:rStyle w:val="libAlaemChar"/>
          <w:rtl/>
        </w:rPr>
        <w:t>عليه‌السلام</w:t>
      </w:r>
      <w:r w:rsidRPr="00132E65">
        <w:rPr>
          <w:rtl/>
          <w:lang w:bidi="fa-IR"/>
        </w:rPr>
        <w:t xml:space="preserve"> تِلْكَ السَّنَةَ مَالاً ، فَرَدَّهُ أَبُو عَبْدِ اللهِ </w:t>
      </w:r>
      <w:r w:rsidRPr="00071CF9">
        <w:rPr>
          <w:rStyle w:val="libAlaemChar"/>
          <w:rtl/>
        </w:rPr>
        <w:t>عليه‌السلام</w:t>
      </w:r>
      <w:r w:rsidRPr="00132E65">
        <w:rPr>
          <w:rtl/>
          <w:lang w:bidi="fa-IR"/>
        </w:rPr>
        <w:t xml:space="preserve"> </w:t>
      </w:r>
      <w:r>
        <w:rPr>
          <w:rStyle w:val="libFootnotenumChar"/>
          <w:rtl/>
        </w:rPr>
        <w:t>(7)</w:t>
      </w:r>
      <w:r>
        <w:rPr>
          <w:rtl/>
          <w:lang w:bidi="fa-IR"/>
        </w:rPr>
        <w:t xml:space="preserve"> - </w:t>
      </w:r>
      <w:r w:rsidRPr="00132E65">
        <w:rPr>
          <w:rtl/>
          <w:lang w:bidi="fa-IR"/>
        </w:rPr>
        <w:t xml:space="preserve">فَقُلْتُ لَهُ : لِمَ رَدَّ عَلَيْكَ أَبُو عَبْدِ اللهِ </w:t>
      </w:r>
      <w:r w:rsidRPr="00071CF9">
        <w:rPr>
          <w:rStyle w:val="libAlaemChar"/>
          <w:rtl/>
        </w:rPr>
        <w:t>عليه‌السلام</w:t>
      </w:r>
      <w:r w:rsidRPr="00132E65">
        <w:rPr>
          <w:rtl/>
          <w:lang w:bidi="fa-IR"/>
        </w:rPr>
        <w:t xml:space="preserve"> الْمَالَ الَّذِي حَمَلْتَهُ إِلَيْهِ</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حَواه يَحْويه حَيّاً ، أي جمعه. واحتواه مثله. </w:t>
      </w:r>
      <w:r w:rsidRPr="00F660D3">
        <w:rPr>
          <w:rtl/>
        </w:rPr>
        <w:t>الصحاح</w:t>
      </w:r>
      <w:r w:rsidRPr="00132E65">
        <w:rPr>
          <w:rtl/>
        </w:rPr>
        <w:t xml:space="preserve"> ، ج 6 ، ص 3322 ( حوا )</w:t>
      </w:r>
      <w:r>
        <w:rPr>
          <w:rtl/>
        </w:rPr>
        <w:t>.</w:t>
      </w:r>
    </w:p>
    <w:p w:rsidR="000C39D1" w:rsidRPr="00132E65" w:rsidRDefault="000C39D1" w:rsidP="000C39D1">
      <w:pPr>
        <w:pStyle w:val="libFootnote0"/>
        <w:rPr>
          <w:rtl/>
          <w:lang w:bidi="fa-IR"/>
        </w:rPr>
      </w:pPr>
      <w:r>
        <w:rPr>
          <w:rtl/>
        </w:rPr>
        <w:t>(2).</w:t>
      </w:r>
      <w:r w:rsidRPr="00132E65">
        <w:rPr>
          <w:rtl/>
        </w:rPr>
        <w:t xml:space="preserve"> في التهذيب : « فيمنعها »</w:t>
      </w:r>
      <w:r>
        <w:rPr>
          <w:rtl/>
        </w:rPr>
        <w:t>.</w:t>
      </w:r>
    </w:p>
    <w:p w:rsidR="000C39D1" w:rsidRPr="00132E65" w:rsidRDefault="000C39D1" w:rsidP="000C39D1">
      <w:pPr>
        <w:pStyle w:val="libFootnote0"/>
        <w:rPr>
          <w:rtl/>
          <w:lang w:bidi="fa-IR"/>
        </w:rPr>
      </w:pPr>
      <w:r>
        <w:rPr>
          <w:rtl/>
        </w:rPr>
        <w:t>(3).</w:t>
      </w:r>
      <w:r w:rsidRPr="00132E65">
        <w:rPr>
          <w:rtl/>
        </w:rPr>
        <w:t xml:space="preserve"> في التهذيب و</w:t>
      </w:r>
      <w:r w:rsidRPr="007A1104">
        <w:rPr>
          <w:rStyle w:val="libFootnoteBoldChar"/>
          <w:rtl/>
        </w:rPr>
        <w:t>الاستبصار</w:t>
      </w:r>
      <w:r w:rsidRPr="00132E65">
        <w:rPr>
          <w:rtl/>
        </w:rPr>
        <w:t xml:space="preserve"> : « فيقاطعهم » بدل « فإنّه يقاطعهم »</w:t>
      </w:r>
      <w:r>
        <w:rPr>
          <w:rtl/>
        </w:rPr>
        <w:t>.</w:t>
      </w:r>
      <w:r w:rsidRPr="00132E65">
        <w:rPr>
          <w:rtl/>
        </w:rPr>
        <w:t xml:space="preserve"> وقوله : « يقاطعهم على ما في أيديهم » ، أي‌يولّيهم إيّاه. يقال : قاطعه على كذا وكذا من الأجر والعمل ونحوه ، أي ولاّه إيّاه با</w:t>
      </w:r>
      <w:r w:rsidR="00367E5A">
        <w:rPr>
          <w:rFonts w:hint="cs"/>
          <w:rtl/>
        </w:rPr>
        <w:t>ُ</w:t>
      </w:r>
      <w:r w:rsidRPr="00132E65">
        <w:rPr>
          <w:rtl/>
        </w:rPr>
        <w:t>جرة معيّنة. قال المازندراني : « القطيعة طائفة من أرض الخراج يقطعها السلطان من يريد ، وهو يتصرّف فيها ويعطي خراجها. والمقاطعة من الطرفين ؛ لأنّ الإقطاع لا يتحقّق بدون رضائهما »</w:t>
      </w:r>
      <w:r>
        <w:rPr>
          <w:rtl/>
        </w:rPr>
        <w:t>.</w:t>
      </w:r>
      <w:r w:rsidRPr="00132E65">
        <w:rPr>
          <w:rtl/>
        </w:rPr>
        <w:t xml:space="preserve"> راجع : </w:t>
      </w:r>
      <w:r w:rsidRPr="009D1ACE">
        <w:rPr>
          <w:rStyle w:val="libFootnoteBoldChar"/>
          <w:rtl/>
        </w:rPr>
        <w:t>لسان العرب</w:t>
      </w:r>
      <w:r w:rsidRPr="00132E65">
        <w:rPr>
          <w:rtl/>
        </w:rPr>
        <w:t xml:space="preserve"> ، ج 8 ، ص 28 ؛ </w:t>
      </w:r>
      <w:r w:rsidRPr="00F660D3">
        <w:rPr>
          <w:rtl/>
        </w:rPr>
        <w:t>المعجم الوسيط</w:t>
      </w:r>
      <w:r w:rsidRPr="00132E65">
        <w:rPr>
          <w:rtl/>
        </w:rPr>
        <w:t xml:space="preserve"> ، ص 745 ( قطع ) ؛ </w:t>
      </w:r>
      <w:r w:rsidRPr="00F660D3">
        <w:rPr>
          <w:rtl/>
        </w:rPr>
        <w:t>شرح المازندراني</w:t>
      </w:r>
      <w:r w:rsidRPr="00132E65">
        <w:rPr>
          <w:rtl/>
        </w:rPr>
        <w:t xml:space="preserve"> ، ج 7 ، ص 34.</w:t>
      </w:r>
    </w:p>
    <w:p w:rsidR="000C39D1" w:rsidRPr="00132E65" w:rsidRDefault="000C39D1" w:rsidP="000C39D1">
      <w:pPr>
        <w:pStyle w:val="libFootnote0"/>
        <w:rPr>
          <w:rtl/>
          <w:lang w:bidi="fa-IR"/>
        </w:rPr>
      </w:pPr>
      <w:r>
        <w:rPr>
          <w:rtl/>
        </w:rPr>
        <w:t>(4).</w:t>
      </w:r>
      <w:r w:rsidRPr="00132E65">
        <w:rPr>
          <w:rtl/>
        </w:rPr>
        <w:t xml:space="preserve"> في التهذيب : « ما كان »</w:t>
      </w:r>
      <w:r>
        <w:rPr>
          <w:rtl/>
        </w:rPr>
        <w:t>.</w:t>
      </w:r>
    </w:p>
    <w:p w:rsidR="000C39D1" w:rsidRPr="00132E65" w:rsidRDefault="000C39D1" w:rsidP="00367E5A">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المعيشة ، باب في إحياء أرض الموات ، ح 9266. وفي </w:t>
      </w:r>
      <w:r w:rsidRPr="00F660D3">
        <w:rPr>
          <w:rtl/>
        </w:rPr>
        <w:t>التهذيب</w:t>
      </w:r>
      <w:r w:rsidRPr="00132E65">
        <w:rPr>
          <w:rtl/>
        </w:rPr>
        <w:t xml:space="preserve"> ، ج 7 ، ص 152 ، ح 674 ؛ و</w:t>
      </w:r>
      <w:r w:rsidRPr="007A1104">
        <w:rPr>
          <w:rStyle w:val="libFootnoteBoldChar"/>
          <w:rtl/>
        </w:rPr>
        <w:t>الاستبصار</w:t>
      </w:r>
      <w:r w:rsidRPr="00132E65">
        <w:rPr>
          <w:rtl/>
        </w:rPr>
        <w:t xml:space="preserve"> ، ج 3 ، ص 108 ، ح 383 ، بإسناده عن الحسن بن محبوب. </w:t>
      </w:r>
      <w:r w:rsidRPr="00F660D3">
        <w:rPr>
          <w:rtl/>
        </w:rPr>
        <w:t>تفسير العيّاشي</w:t>
      </w:r>
      <w:r w:rsidRPr="00132E65">
        <w:rPr>
          <w:rtl/>
        </w:rPr>
        <w:t xml:space="preserve"> ، ج 2 ، ص 25 ، ح 66 ، عن أبي خالد الكابلي</w:t>
      </w:r>
      <w:r w:rsidR="00367E5A">
        <w:rPr>
          <w:rFonts w:hint="cs"/>
          <w:rtl/>
        </w:rPr>
        <w:t>.</w:t>
      </w:r>
      <w:r w:rsidRPr="009D1ACE">
        <w:rPr>
          <w:rStyle w:val="libFootnoteBoldChar"/>
          <w:rtl/>
        </w:rPr>
        <w:t>الوافي</w:t>
      </w:r>
      <w:r w:rsidRPr="00132E65">
        <w:rPr>
          <w:rtl/>
        </w:rPr>
        <w:t xml:space="preserve"> ، ج 10 ، ص 285 ، ح 9589 ؛ </w:t>
      </w:r>
      <w:r w:rsidRPr="00F660D3">
        <w:rPr>
          <w:rtl/>
        </w:rPr>
        <w:t>الوسائل</w:t>
      </w:r>
      <w:r w:rsidRPr="00132E65">
        <w:rPr>
          <w:rtl/>
        </w:rPr>
        <w:t xml:space="preserve"> ، ج 25 ، ص 414 ، ح 32246.</w:t>
      </w:r>
    </w:p>
    <w:tbl>
      <w:tblPr>
        <w:tblStyle w:val="TableGrid"/>
        <w:bidiVisual/>
        <w:tblW w:w="0" w:type="auto"/>
        <w:tblLook w:val="04A0" w:firstRow="1" w:lastRow="0" w:firstColumn="1" w:lastColumn="0" w:noHBand="0" w:noVBand="1"/>
      </w:tblPr>
      <w:tblGrid>
        <w:gridCol w:w="4006"/>
        <w:gridCol w:w="4006"/>
      </w:tblGrid>
      <w:tr w:rsidR="00367E5A" w:rsidTr="00367E5A">
        <w:tc>
          <w:tcPr>
            <w:tcW w:w="4006" w:type="dxa"/>
          </w:tcPr>
          <w:p w:rsidR="00367E5A" w:rsidRDefault="00367E5A" w:rsidP="000C39D1">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10 ، ص 289 ، ح 9595.</w:t>
            </w:r>
          </w:p>
        </w:tc>
        <w:tc>
          <w:tcPr>
            <w:tcW w:w="4006" w:type="dxa"/>
          </w:tcPr>
          <w:p w:rsidR="00367E5A" w:rsidRDefault="00367E5A" w:rsidP="000C39D1">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عليه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فَقَالَ لِي </w:t>
      </w:r>
      <w:r>
        <w:rPr>
          <w:rStyle w:val="libFootnotenumChar"/>
          <w:rtl/>
        </w:rPr>
        <w:t>(1)</w:t>
      </w:r>
      <w:r w:rsidRPr="00132E65">
        <w:rPr>
          <w:rtl/>
          <w:lang w:bidi="fa-IR"/>
        </w:rPr>
        <w:t xml:space="preserve"> : إِنِّي قُلْتُ لَهُ</w:t>
      </w:r>
      <w:r>
        <w:rPr>
          <w:rtl/>
          <w:lang w:bidi="fa-IR"/>
        </w:rPr>
        <w:t xml:space="preserve"> - </w:t>
      </w:r>
      <w:r w:rsidRPr="00132E65">
        <w:rPr>
          <w:rtl/>
          <w:lang w:bidi="fa-IR"/>
        </w:rPr>
        <w:t>حِينَ حَمَلْتُ إِلَيْهِ الْمَالَ</w:t>
      </w:r>
      <w:r>
        <w:rPr>
          <w:rtl/>
          <w:lang w:bidi="fa-IR"/>
        </w:rPr>
        <w:t xml:space="preserve"> - </w:t>
      </w:r>
      <w:r w:rsidRPr="00132E65">
        <w:rPr>
          <w:rtl/>
          <w:lang w:bidi="fa-IR"/>
        </w:rPr>
        <w:t xml:space="preserve">: إِنِّي كُنْتُ ولِّيتُ </w:t>
      </w:r>
      <w:r>
        <w:rPr>
          <w:rStyle w:val="libFootnotenumChar"/>
          <w:rtl/>
        </w:rPr>
        <w:t>(2)</w:t>
      </w:r>
      <w:r w:rsidRPr="00132E65">
        <w:rPr>
          <w:rtl/>
          <w:lang w:bidi="fa-IR"/>
        </w:rPr>
        <w:t xml:space="preserve"> الْبَحْرَيْنَ الْغَوْصَ ، فَأَصَبْتُ أَرْبَعَمِائَةِ أَلْفِ دِرْهَمٍ ، وقَدْ جِئْتُكَ بِخُمُسِهَا بِثَمَانِينَ </w:t>
      </w:r>
      <w:r>
        <w:rPr>
          <w:rStyle w:val="libFootnotenumChar"/>
          <w:rtl/>
        </w:rPr>
        <w:t>(3)</w:t>
      </w:r>
      <w:r w:rsidRPr="00132E65">
        <w:rPr>
          <w:rtl/>
          <w:lang w:bidi="fa-IR"/>
        </w:rPr>
        <w:t xml:space="preserve"> أَلْفَ دِرْهَمٍ ، وَكَرِهْتُ أَنْ أَحْبِسَهَا عَنْكَ ، وأَنْ أَعْرِضَ </w:t>
      </w:r>
      <w:r>
        <w:rPr>
          <w:rStyle w:val="libFootnotenumChar"/>
          <w:rtl/>
        </w:rPr>
        <w:t>(4)</w:t>
      </w:r>
      <w:r w:rsidRPr="00132E65">
        <w:rPr>
          <w:rtl/>
          <w:lang w:bidi="fa-IR"/>
        </w:rPr>
        <w:t xml:space="preserve"> لَهَا وهِيَ حَقُّكَ الَّذِي جَعَلَهُ اللهُ</w:t>
      </w:r>
      <w:r>
        <w:rPr>
          <w:rtl/>
          <w:lang w:bidi="fa-IR"/>
        </w:rPr>
        <w:t xml:space="preserve"> - </w:t>
      </w:r>
      <w:r w:rsidRPr="00132E65">
        <w:rPr>
          <w:rtl/>
          <w:lang w:bidi="fa-IR"/>
        </w:rPr>
        <w:t xml:space="preserve">تَبَارَكَ وَتَعَالى </w:t>
      </w:r>
      <w:r>
        <w:rPr>
          <w:rStyle w:val="libFootnotenumChar"/>
          <w:rtl/>
        </w:rPr>
        <w:t>(5)</w:t>
      </w:r>
      <w:r>
        <w:rPr>
          <w:rtl/>
          <w:lang w:bidi="fa-IR"/>
        </w:rPr>
        <w:t xml:space="preserve"> - </w:t>
      </w:r>
      <w:r w:rsidRPr="00132E65">
        <w:rPr>
          <w:rtl/>
          <w:lang w:bidi="fa-IR"/>
        </w:rPr>
        <w:t>فِي أَمْوَالِنَا.</w:t>
      </w:r>
    </w:p>
    <w:p w:rsidR="000C39D1" w:rsidRPr="00132E65" w:rsidRDefault="000C39D1" w:rsidP="000C39D1">
      <w:pPr>
        <w:pStyle w:val="libNormal"/>
        <w:rPr>
          <w:rtl/>
          <w:lang w:bidi="fa-IR"/>
        </w:rPr>
      </w:pPr>
      <w:r>
        <w:rPr>
          <w:rtl/>
          <w:lang w:bidi="fa-IR"/>
        </w:rPr>
        <w:t>فَقَالَ : « أَ</w:t>
      </w:r>
      <w:r w:rsidRPr="00132E65">
        <w:rPr>
          <w:rtl/>
          <w:lang w:bidi="fa-IR"/>
        </w:rPr>
        <w:t>و</w:t>
      </w:r>
      <w:r>
        <w:rPr>
          <w:rFonts w:hint="cs"/>
          <w:rtl/>
          <w:lang w:bidi="fa-IR"/>
        </w:rPr>
        <w:t xml:space="preserve"> </w:t>
      </w:r>
      <w:r>
        <w:rPr>
          <w:rStyle w:val="libFootnotenumChar"/>
          <w:rtl/>
        </w:rPr>
        <w:t>(6)</w:t>
      </w:r>
      <w:r w:rsidRPr="00132E65">
        <w:rPr>
          <w:rtl/>
          <w:lang w:bidi="fa-IR"/>
        </w:rPr>
        <w:t xml:space="preserve"> مَا لَنَا مِنَ الْأَرْضِ ومَا أَخْرَجَ اللهُ </w:t>
      </w:r>
      <w:r>
        <w:rPr>
          <w:rStyle w:val="libFootnotenumChar"/>
          <w:rtl/>
        </w:rPr>
        <w:t>(7)</w:t>
      </w:r>
      <w:r w:rsidR="00244ADB">
        <w:rPr>
          <w:rtl/>
          <w:lang w:bidi="fa-IR"/>
        </w:rPr>
        <w:t xml:space="preserve"> مِنْهَا إِل</w:t>
      </w:r>
      <w:r w:rsidR="00244ADB">
        <w:rPr>
          <w:rFonts w:hint="cs"/>
          <w:rtl/>
          <w:lang w:bidi="fa-IR"/>
        </w:rPr>
        <w:t>َّ</w:t>
      </w:r>
      <w:r w:rsidR="00244ADB">
        <w:rPr>
          <w:rtl/>
          <w:lang w:bidi="fa-IR"/>
        </w:rPr>
        <w:t>ا</w:t>
      </w:r>
      <w:r w:rsidRPr="00132E65">
        <w:rPr>
          <w:rtl/>
          <w:lang w:bidi="fa-IR"/>
        </w:rPr>
        <w:t xml:space="preserve"> </w:t>
      </w:r>
      <w:r>
        <w:rPr>
          <w:rStyle w:val="libFootnotenumChar"/>
          <w:rtl/>
        </w:rPr>
        <w:t>(8)</w:t>
      </w:r>
      <w:r w:rsidRPr="00132E65">
        <w:rPr>
          <w:rtl/>
          <w:lang w:bidi="fa-IR"/>
        </w:rPr>
        <w:t xml:space="preserve"> الْخُمُسُ</w:t>
      </w:r>
      <w:r>
        <w:rPr>
          <w:rtl/>
          <w:lang w:bidi="fa-IR"/>
        </w:rPr>
        <w:t>؟</w:t>
      </w:r>
      <w:r w:rsidRPr="00132E65">
        <w:rPr>
          <w:rtl/>
          <w:lang w:bidi="fa-IR"/>
        </w:rPr>
        <w:t xml:space="preserve"> يَا أَبَا سَيَّارٍ ، إِنَّ الْأَرْضَ كُلَّهَا لَنَا ؛ فَمَا أَخْرَجَ اللهُ مِنْهَا مِنْ شَيْ‌ءٍ فَهُوَ لَنَا »</w:t>
      </w:r>
      <w:r>
        <w:rPr>
          <w:rtl/>
          <w:lang w:bidi="fa-IR"/>
        </w:rPr>
        <w:t>.</w:t>
      </w:r>
    </w:p>
    <w:p w:rsidR="000C39D1" w:rsidRPr="00132E65" w:rsidRDefault="000C39D1" w:rsidP="000C39D1">
      <w:pPr>
        <w:pStyle w:val="libNormal"/>
        <w:rPr>
          <w:rtl/>
          <w:lang w:bidi="fa-IR"/>
        </w:rPr>
      </w:pPr>
      <w:r w:rsidRPr="00132E65">
        <w:rPr>
          <w:rtl/>
          <w:lang w:bidi="fa-IR"/>
        </w:rPr>
        <w:t>فَقُلْتُ لَهُ : وأَنَا أَحْمِلُ إِلَيْكَ الْمَالَ كُلَّهُ.</w:t>
      </w:r>
    </w:p>
    <w:p w:rsidR="000C39D1" w:rsidRPr="00132E65" w:rsidRDefault="000C39D1" w:rsidP="000C39D1">
      <w:pPr>
        <w:pStyle w:val="libNormal"/>
        <w:rPr>
          <w:rtl/>
          <w:lang w:bidi="fa-IR"/>
        </w:rPr>
      </w:pPr>
      <w:r w:rsidRPr="00132E65">
        <w:rPr>
          <w:rtl/>
          <w:lang w:bidi="fa-IR"/>
        </w:rPr>
        <w:t xml:space="preserve">فَقَالَ : « يَا أَبَا سَيَّارٍ ، قَدْ </w:t>
      </w:r>
      <w:r>
        <w:rPr>
          <w:rStyle w:val="libFootnotenumChar"/>
          <w:rtl/>
        </w:rPr>
        <w:t>(9)</w:t>
      </w:r>
      <w:r w:rsidRPr="00132E65">
        <w:rPr>
          <w:rtl/>
          <w:lang w:bidi="fa-IR"/>
        </w:rPr>
        <w:t xml:space="preserve"> طَيَّبْنَاهُ لَكَ ، وأَحْلَلْنَاكَ </w:t>
      </w:r>
      <w:r>
        <w:rPr>
          <w:rStyle w:val="libFootnotenumChar"/>
          <w:rtl/>
        </w:rPr>
        <w:t>(10)</w:t>
      </w:r>
      <w:r w:rsidRPr="00132E65">
        <w:rPr>
          <w:rtl/>
          <w:lang w:bidi="fa-IR"/>
        </w:rPr>
        <w:t xml:space="preserve"> مِنْهُ ، فَضُمَّ إِلَيْكَ مَالَكَ ، وكُلُّ مَا فِي أَيْدِي شِيعَتِنَا مِنَ الْأَرْضِ </w:t>
      </w:r>
      <w:r>
        <w:rPr>
          <w:rStyle w:val="libFootnotenumChar"/>
          <w:rtl/>
        </w:rPr>
        <w:t>(11)</w:t>
      </w:r>
      <w:r w:rsidRPr="00132E65">
        <w:rPr>
          <w:rtl/>
          <w:lang w:bidi="fa-IR"/>
        </w:rPr>
        <w:t xml:space="preserve"> فَهُمْ فِيهِ مُحَلَّلُونَ </w:t>
      </w:r>
      <w:r>
        <w:rPr>
          <w:rStyle w:val="libFootnotenumChar"/>
          <w:rtl/>
        </w:rPr>
        <w:t>(12)</w:t>
      </w:r>
      <w:r w:rsidRPr="00132E65">
        <w:rPr>
          <w:rtl/>
          <w:lang w:bidi="fa-IR"/>
        </w:rPr>
        <w:t xml:space="preserve"> حَتّى يَقُومَ قَائِمُنَا </w:t>
      </w:r>
      <w:r w:rsidRPr="00071CF9">
        <w:rPr>
          <w:rStyle w:val="libAlaemChar"/>
          <w:rtl/>
        </w:rPr>
        <w:t>عليه‌السلام</w:t>
      </w:r>
      <w:r w:rsidRPr="00132E65">
        <w:rPr>
          <w:rtl/>
          <w:lang w:bidi="fa-IR"/>
        </w:rPr>
        <w:t xml:space="preserve"> ، فَيَجْبِيَهُمْ </w:t>
      </w:r>
      <w:r w:rsidRPr="00F543F1">
        <w:rPr>
          <w:rStyle w:val="libFootnotenumChar"/>
          <w:rtl/>
        </w:rPr>
        <w:t>(13)</w:t>
      </w:r>
      <w:r w:rsidRPr="00132E65">
        <w:rPr>
          <w:rtl/>
          <w:lang w:bidi="fa-IR"/>
        </w:rPr>
        <w:t xml:space="preserve"> طَسْقَ </w:t>
      </w:r>
      <w:r w:rsidRPr="00F543F1">
        <w:rPr>
          <w:rStyle w:val="libFootnotenumChar"/>
          <w:rtl/>
        </w:rPr>
        <w:t>(14)</w:t>
      </w:r>
      <w:r w:rsidRPr="00132E65">
        <w:rPr>
          <w:rtl/>
          <w:lang w:bidi="fa-IR"/>
        </w:rPr>
        <w:t xml:space="preserve"> مَا كَانَ فِي أَيْدِيهِمْ ، ويَتْرُكَ الْأَرْضَ فِي أَيْدِيهِمْ ، وأَمَّا مَا كَانَ فِي أَيْدِي </w:t>
      </w:r>
      <w:r w:rsidRPr="00F543F1">
        <w:rPr>
          <w:rStyle w:val="libFootnotenumChar"/>
          <w:rtl/>
        </w:rPr>
        <w:t>(15)</w:t>
      </w:r>
      <w:r w:rsidRPr="00132E65">
        <w:rPr>
          <w:rtl/>
          <w:lang w:bidi="fa-IR"/>
        </w:rPr>
        <w:t xml:space="preserve"> غَيْرِهِمْ ، فَإِنَّ كَسْبَهُمْ مِنَ الْأَرْضِ حَرَامٌ عَلَيْهِمْ حَتّى يَقُومَ قَائِمُنَا ، فَيَأْخُذَ الْأَرْضَ مِنْ أَيْدِيهِمْ ، ويُخْرِجَهُمْ </w:t>
      </w:r>
      <w:r w:rsidRPr="00F543F1">
        <w:rPr>
          <w:rStyle w:val="libFootnotenumChar"/>
          <w:rtl/>
        </w:rPr>
        <w:t>(16)</w:t>
      </w:r>
      <w:r w:rsidRPr="00132E65">
        <w:rPr>
          <w:rtl/>
          <w:lang w:bidi="fa-IR"/>
        </w:rPr>
        <w:t xml:space="preserve"> صَغَرَةً </w:t>
      </w:r>
      <w:r w:rsidRPr="00F543F1">
        <w:rPr>
          <w:rStyle w:val="libFootnotenumChar"/>
          <w:rtl/>
        </w:rPr>
        <w:t>(17)</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ف ، بس » و</w:t>
      </w:r>
      <w:r w:rsidRPr="009D1ACE">
        <w:rPr>
          <w:rStyle w:val="libFootnoteBoldChar"/>
          <w:rtl/>
        </w:rPr>
        <w:t>الوافي</w:t>
      </w:r>
      <w:r w:rsidRPr="00132E65">
        <w:rPr>
          <w:rtl/>
        </w:rPr>
        <w:t xml:space="preserve"> والتهذيب </w:t>
      </w:r>
      <w:r>
        <w:rPr>
          <w:rtl/>
        </w:rPr>
        <w:t xml:space="preserve">: - </w:t>
      </w:r>
      <w:r w:rsidRPr="00132E65">
        <w:rPr>
          <w:rtl/>
        </w:rPr>
        <w:t>« لي »</w:t>
      </w:r>
      <w:r>
        <w:rPr>
          <w:rtl/>
        </w:rPr>
        <w:t>.</w:t>
      </w:r>
    </w:p>
    <w:p w:rsidR="000C39D1" w:rsidRPr="00132E65" w:rsidRDefault="000C39D1" w:rsidP="00244ADB">
      <w:pPr>
        <w:pStyle w:val="libFootnote0"/>
        <w:rPr>
          <w:rtl/>
          <w:lang w:bidi="fa-IR"/>
        </w:rPr>
      </w:pPr>
      <w:r>
        <w:rPr>
          <w:rtl/>
        </w:rPr>
        <w:t>(2).</w:t>
      </w:r>
      <w:r w:rsidRPr="00132E65">
        <w:rPr>
          <w:rtl/>
        </w:rPr>
        <w:t xml:space="preserve"> « ولِّيتُ » احتمل فيه وجه آخر ، وهو فتح الواو وكسر اللام المخفّفة ، أي ولِيتُ. راجع : </w:t>
      </w:r>
      <w:r w:rsidRPr="00F660D3">
        <w:rPr>
          <w:rtl/>
        </w:rPr>
        <w:t>شرح المازندراني</w:t>
      </w:r>
      <w:r w:rsidRPr="00132E65">
        <w:rPr>
          <w:rtl/>
        </w:rPr>
        <w:t xml:space="preserve"> ، ج 7 ، ص 35 ؛ </w:t>
      </w:r>
      <w:r w:rsidRPr="009D1ACE">
        <w:rPr>
          <w:rStyle w:val="libFootnoteBoldChar"/>
          <w:rtl/>
        </w:rPr>
        <w:t>مرآة العقول</w:t>
      </w:r>
      <w:r w:rsidRPr="00132E65">
        <w:rPr>
          <w:rtl/>
        </w:rPr>
        <w:t xml:space="preserve"> ، ج 4 ، ص 348.</w:t>
      </w:r>
      <w:r w:rsidR="00244ADB">
        <w:rPr>
          <w:rFonts w:hint="cs"/>
          <w:rtl/>
        </w:rPr>
        <w:t xml:space="preserve">         </w:t>
      </w:r>
      <w:r>
        <w:rPr>
          <w:rtl/>
        </w:rPr>
        <w:t>(3).</w:t>
      </w:r>
      <w:r w:rsidRPr="00132E65">
        <w:rPr>
          <w:rtl/>
        </w:rPr>
        <w:t xml:space="preserve"> في « ب ، ج » و</w:t>
      </w:r>
      <w:r w:rsidRPr="009D1ACE">
        <w:rPr>
          <w:rStyle w:val="libFootnoteBoldChar"/>
          <w:rtl/>
        </w:rPr>
        <w:t>الوافي</w:t>
      </w:r>
      <w:r w:rsidRPr="00132E65">
        <w:rPr>
          <w:rtl/>
        </w:rPr>
        <w:t xml:space="preserve"> والتهذيب : « ثمانين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والتهذيب : « أو أعرض » بدل « وأن أعرض »</w:t>
      </w:r>
      <w:r>
        <w:rPr>
          <w:rtl/>
        </w:rPr>
        <w:t>.</w:t>
      </w:r>
    </w:p>
    <w:tbl>
      <w:tblPr>
        <w:tblStyle w:val="TableGrid"/>
        <w:bidiVisual/>
        <w:tblW w:w="0" w:type="auto"/>
        <w:tblLook w:val="04A0" w:firstRow="1" w:lastRow="0" w:firstColumn="1" w:lastColumn="0" w:noHBand="0" w:noVBand="1"/>
      </w:tblPr>
      <w:tblGrid>
        <w:gridCol w:w="4006"/>
        <w:gridCol w:w="4006"/>
      </w:tblGrid>
      <w:tr w:rsidR="00244ADB" w:rsidTr="00244ADB">
        <w:tc>
          <w:tcPr>
            <w:tcW w:w="4006" w:type="dxa"/>
          </w:tcPr>
          <w:p w:rsidR="00244ADB" w:rsidRDefault="00244ADB" w:rsidP="000C39D1">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والتهذيب :</w:t>
            </w:r>
            <w:r>
              <w:rPr>
                <w:rtl/>
              </w:rPr>
              <w:t xml:space="preserve"> + </w:t>
            </w:r>
            <w:r w:rsidRPr="00132E65">
              <w:rPr>
                <w:rtl/>
              </w:rPr>
              <w:t>« لك »</w:t>
            </w:r>
            <w:r>
              <w:rPr>
                <w:rtl/>
              </w:rPr>
              <w:t>.</w:t>
            </w:r>
          </w:p>
        </w:tc>
        <w:tc>
          <w:tcPr>
            <w:tcW w:w="4006" w:type="dxa"/>
          </w:tcPr>
          <w:p w:rsidR="00244ADB" w:rsidRDefault="00244ADB" w:rsidP="000C39D1">
            <w:pPr>
              <w:pStyle w:val="libFootnote0"/>
              <w:rPr>
                <w:rtl/>
              </w:rPr>
            </w:pPr>
            <w:r>
              <w:rPr>
                <w:rtl/>
              </w:rPr>
              <w:t>(6).</w:t>
            </w:r>
            <w:r w:rsidRPr="00132E65">
              <w:rPr>
                <w:rtl/>
              </w:rPr>
              <w:t xml:space="preserve"> في « بف » : « </w:t>
            </w:r>
            <w:r>
              <w:rPr>
                <w:rtl/>
              </w:rPr>
              <w:t>و »</w:t>
            </w:r>
            <w:r w:rsidRPr="00132E65">
              <w:rPr>
                <w:rtl/>
              </w:rPr>
              <w:t xml:space="preserve"> بدون الهمزة.</w:t>
            </w:r>
          </w:p>
        </w:tc>
      </w:tr>
      <w:tr w:rsidR="00244ADB" w:rsidTr="00244ADB">
        <w:tc>
          <w:tcPr>
            <w:tcW w:w="4006" w:type="dxa"/>
          </w:tcPr>
          <w:p w:rsidR="00244ADB" w:rsidRDefault="00244ADB" w:rsidP="000C39D1">
            <w:pPr>
              <w:pStyle w:val="libFootnote0"/>
              <w:rPr>
                <w:rtl/>
              </w:rPr>
            </w:pPr>
            <w:r>
              <w:rPr>
                <w:rtl/>
              </w:rPr>
              <w:t>(7).</w:t>
            </w:r>
            <w:r w:rsidRPr="00132E65">
              <w:rPr>
                <w:rtl/>
              </w:rPr>
              <w:t xml:space="preserve"> في « ب » </w:t>
            </w:r>
            <w:r>
              <w:rPr>
                <w:rtl/>
              </w:rPr>
              <w:t xml:space="preserve">: - </w:t>
            </w:r>
            <w:r w:rsidRPr="00132E65">
              <w:rPr>
                <w:rtl/>
              </w:rPr>
              <w:t>« الله »</w:t>
            </w:r>
            <w:r>
              <w:rPr>
                <w:rtl/>
              </w:rPr>
              <w:t>.</w:t>
            </w:r>
          </w:p>
        </w:tc>
        <w:tc>
          <w:tcPr>
            <w:tcW w:w="4006" w:type="dxa"/>
          </w:tcPr>
          <w:p w:rsidR="00244ADB" w:rsidRDefault="00244ADB" w:rsidP="000C39D1">
            <w:pPr>
              <w:pStyle w:val="libFootnote0"/>
              <w:rPr>
                <w:rtl/>
              </w:rPr>
            </w:pPr>
            <w:r>
              <w:rPr>
                <w:rtl/>
              </w:rPr>
              <w:t>(8).</w:t>
            </w:r>
            <w:r w:rsidRPr="00132E65">
              <w:rPr>
                <w:rtl/>
              </w:rPr>
              <w:t xml:space="preserve"> في « ب » </w:t>
            </w:r>
            <w:r>
              <w:rPr>
                <w:rtl/>
              </w:rPr>
              <w:t>: - « إل</w:t>
            </w:r>
            <w:r>
              <w:rPr>
                <w:rFonts w:hint="cs"/>
                <w:rtl/>
              </w:rPr>
              <w:t>ّ</w:t>
            </w:r>
            <w:r>
              <w:rPr>
                <w:rtl/>
              </w:rPr>
              <w:t>ا</w:t>
            </w:r>
            <w:r w:rsidRPr="00132E65">
              <w:rPr>
                <w:rtl/>
              </w:rPr>
              <w:t xml:space="preserve"> »</w:t>
            </w:r>
            <w:r>
              <w:rPr>
                <w:rtl/>
              </w:rPr>
              <w:t>.</w:t>
            </w:r>
          </w:p>
        </w:tc>
      </w:tr>
      <w:tr w:rsidR="00244ADB" w:rsidTr="00244ADB">
        <w:tc>
          <w:tcPr>
            <w:tcW w:w="4006" w:type="dxa"/>
          </w:tcPr>
          <w:p w:rsidR="00244ADB" w:rsidRDefault="00244ADB" w:rsidP="000C39D1">
            <w:pPr>
              <w:pStyle w:val="libFootnote0"/>
              <w:rPr>
                <w:rtl/>
              </w:rPr>
            </w:pPr>
            <w:r>
              <w:rPr>
                <w:rtl/>
              </w:rPr>
              <w:t>(9).</w:t>
            </w:r>
            <w:r w:rsidRPr="00132E65">
              <w:rPr>
                <w:rtl/>
              </w:rPr>
              <w:t xml:space="preserve"> في « ف » : « وقد »</w:t>
            </w:r>
            <w:r>
              <w:rPr>
                <w:rtl/>
              </w:rPr>
              <w:t>.</w:t>
            </w:r>
          </w:p>
        </w:tc>
        <w:tc>
          <w:tcPr>
            <w:tcW w:w="4006" w:type="dxa"/>
          </w:tcPr>
          <w:p w:rsidR="00244ADB" w:rsidRDefault="00244ADB" w:rsidP="000C39D1">
            <w:pPr>
              <w:pStyle w:val="libFootnote0"/>
              <w:rPr>
                <w:rtl/>
              </w:rPr>
            </w:pPr>
            <w:r>
              <w:rPr>
                <w:rtl/>
              </w:rPr>
              <w:t>(10).</w:t>
            </w:r>
            <w:r w:rsidRPr="00132E65">
              <w:rPr>
                <w:rtl/>
              </w:rPr>
              <w:t xml:space="preserve"> في « بف » : « حللناك »</w:t>
            </w:r>
            <w:r>
              <w:rPr>
                <w:rtl/>
              </w:rPr>
              <w:t>.</w:t>
            </w:r>
          </w:p>
        </w:tc>
      </w:tr>
      <w:tr w:rsidR="00244ADB" w:rsidTr="00244ADB">
        <w:tc>
          <w:tcPr>
            <w:tcW w:w="4006" w:type="dxa"/>
          </w:tcPr>
          <w:p w:rsidR="00244ADB" w:rsidRDefault="00244ADB" w:rsidP="000C39D1">
            <w:pPr>
              <w:pStyle w:val="libFootnote0"/>
              <w:rPr>
                <w:rtl/>
              </w:rPr>
            </w:pPr>
            <w:r>
              <w:rPr>
                <w:rtl/>
              </w:rPr>
              <w:t>(11).</w:t>
            </w:r>
            <w:r w:rsidRPr="00132E65">
              <w:rPr>
                <w:rtl/>
              </w:rPr>
              <w:t xml:space="preserve"> في « ب ، ف » </w:t>
            </w:r>
            <w:r>
              <w:rPr>
                <w:rtl/>
              </w:rPr>
              <w:t xml:space="preserve">: - </w:t>
            </w:r>
            <w:r w:rsidRPr="00132E65">
              <w:rPr>
                <w:rtl/>
              </w:rPr>
              <w:t>« من الأرض »</w:t>
            </w:r>
            <w:r>
              <w:rPr>
                <w:rtl/>
              </w:rPr>
              <w:t>.</w:t>
            </w:r>
          </w:p>
        </w:tc>
        <w:tc>
          <w:tcPr>
            <w:tcW w:w="4006" w:type="dxa"/>
          </w:tcPr>
          <w:p w:rsidR="00244ADB" w:rsidRDefault="00244ADB" w:rsidP="000C39D1">
            <w:pPr>
              <w:pStyle w:val="libFootnote0"/>
              <w:rPr>
                <w:rtl/>
              </w:rPr>
            </w:pPr>
            <w:r>
              <w:rPr>
                <w:rtl/>
              </w:rPr>
              <w:t>(12).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يحلّ ذلك لهم »</w:t>
            </w:r>
            <w:r>
              <w:rPr>
                <w:rtl/>
              </w:rPr>
              <w:t>.</w:t>
            </w:r>
          </w:p>
        </w:tc>
      </w:tr>
    </w:tbl>
    <w:p w:rsidR="000C39D1" w:rsidRPr="00132E65" w:rsidRDefault="000C39D1" w:rsidP="000C39D1">
      <w:pPr>
        <w:pStyle w:val="libFootnote0"/>
        <w:rPr>
          <w:rtl/>
          <w:lang w:bidi="fa-IR"/>
        </w:rPr>
      </w:pPr>
      <w:r>
        <w:rPr>
          <w:rtl/>
        </w:rPr>
        <w:t>(13)</w:t>
      </w:r>
      <w:r w:rsidRPr="00132E65">
        <w:rPr>
          <w:rtl/>
        </w:rPr>
        <w:t xml:space="preserve"> « فيَجْبِيهِمْ » ، أي يجمع منهم. يقال : جَبَيْتُ المالَ والخراجَ أَجْبِيه جَبَايةً ، أي جمعته. راجع : </w:t>
      </w:r>
      <w:r w:rsidRPr="00F660D3">
        <w:rPr>
          <w:rtl/>
        </w:rPr>
        <w:t>المصباح المنير</w:t>
      </w:r>
      <w:r w:rsidRPr="00132E65">
        <w:rPr>
          <w:rtl/>
        </w:rPr>
        <w:t xml:space="preserve"> ، ص 91 ( جبى )</w:t>
      </w:r>
      <w:r>
        <w:rPr>
          <w:rtl/>
        </w:rPr>
        <w:t>.</w:t>
      </w:r>
    </w:p>
    <w:p w:rsidR="000C39D1" w:rsidRPr="00132E65" w:rsidRDefault="000C39D1" w:rsidP="000C39D1">
      <w:pPr>
        <w:pStyle w:val="libFootnote0"/>
        <w:rPr>
          <w:rtl/>
          <w:lang w:bidi="fa-IR"/>
        </w:rPr>
      </w:pPr>
      <w:r>
        <w:rPr>
          <w:rtl/>
        </w:rPr>
        <w:t>(14)</w:t>
      </w:r>
      <w:r w:rsidRPr="00132E65">
        <w:rPr>
          <w:rtl/>
        </w:rPr>
        <w:t xml:space="preserve"> « الطَسْقُ » : الوظيفة من خراج الأرض ، فارسيٌّ معرّب. </w:t>
      </w:r>
      <w:r w:rsidRPr="00F660D3">
        <w:rPr>
          <w:rtl/>
        </w:rPr>
        <w:t>الصحاح</w:t>
      </w:r>
      <w:r w:rsidRPr="00132E65">
        <w:rPr>
          <w:rtl/>
        </w:rPr>
        <w:t xml:space="preserve"> ، ج 4 ، ص 1517 ( طسق )</w:t>
      </w:r>
      <w:r>
        <w:rPr>
          <w:rtl/>
        </w:rPr>
        <w:t>.</w:t>
      </w:r>
    </w:p>
    <w:tbl>
      <w:tblPr>
        <w:tblStyle w:val="TableGrid"/>
        <w:bidiVisual/>
        <w:tblW w:w="0" w:type="auto"/>
        <w:tblLook w:val="04A0" w:firstRow="1" w:lastRow="0" w:firstColumn="1" w:lastColumn="0" w:noHBand="0" w:noVBand="1"/>
      </w:tblPr>
      <w:tblGrid>
        <w:gridCol w:w="4006"/>
        <w:gridCol w:w="4006"/>
      </w:tblGrid>
      <w:tr w:rsidR="006502C3" w:rsidTr="006502C3">
        <w:tc>
          <w:tcPr>
            <w:tcW w:w="4006" w:type="dxa"/>
          </w:tcPr>
          <w:p w:rsidR="006502C3" w:rsidRDefault="006502C3" w:rsidP="000C39D1">
            <w:pPr>
              <w:pStyle w:val="libFootnote0"/>
              <w:rPr>
                <w:rtl/>
              </w:rPr>
            </w:pPr>
            <w:r>
              <w:rPr>
                <w:rtl/>
              </w:rPr>
              <w:t>(15)</w:t>
            </w:r>
            <w:r w:rsidRPr="00132E65">
              <w:rPr>
                <w:rtl/>
              </w:rPr>
              <w:t xml:space="preserve"> في « بح ، بس ، بف » : « يدي »</w:t>
            </w:r>
            <w:r>
              <w:rPr>
                <w:rtl/>
              </w:rPr>
              <w:t>.</w:t>
            </w:r>
          </w:p>
        </w:tc>
        <w:tc>
          <w:tcPr>
            <w:tcW w:w="4006" w:type="dxa"/>
          </w:tcPr>
          <w:p w:rsidR="006502C3" w:rsidRDefault="006502C3" w:rsidP="000C39D1">
            <w:pPr>
              <w:pStyle w:val="libFootnote0"/>
              <w:rPr>
                <w:rtl/>
              </w:rPr>
            </w:pPr>
            <w:r>
              <w:rPr>
                <w:rtl/>
              </w:rPr>
              <w:t>(16)</w:t>
            </w:r>
            <w:r w:rsidRPr="00132E65">
              <w:rPr>
                <w:rtl/>
              </w:rPr>
              <w:t xml:space="preserve"> في </w:t>
            </w:r>
            <w:r w:rsidRPr="009D1ACE">
              <w:rPr>
                <w:rStyle w:val="libFootnoteBoldChar"/>
                <w:rtl/>
              </w:rPr>
              <w:t>الوافي</w:t>
            </w:r>
            <w:r w:rsidRPr="00132E65">
              <w:rPr>
                <w:rtl/>
              </w:rPr>
              <w:t xml:space="preserve"> والتهذيب :</w:t>
            </w:r>
            <w:r>
              <w:rPr>
                <w:rtl/>
              </w:rPr>
              <w:t xml:space="preserve"> + </w:t>
            </w:r>
            <w:r w:rsidRPr="00132E65">
              <w:rPr>
                <w:rtl/>
              </w:rPr>
              <w:t>« عنها »</w:t>
            </w:r>
            <w:r>
              <w:rPr>
                <w:rtl/>
              </w:rPr>
              <w:t>.</w:t>
            </w:r>
          </w:p>
        </w:tc>
      </w:tr>
    </w:tbl>
    <w:p w:rsidR="000C39D1" w:rsidRPr="00132E65" w:rsidRDefault="000C39D1" w:rsidP="000C39D1">
      <w:pPr>
        <w:pStyle w:val="libFootnote0"/>
        <w:rPr>
          <w:rtl/>
          <w:lang w:bidi="ar-IQ"/>
        </w:rPr>
      </w:pPr>
      <w:r>
        <w:rPr>
          <w:rtl/>
        </w:rPr>
        <w:t>(17)</w:t>
      </w:r>
      <w:r w:rsidRPr="00132E65">
        <w:rPr>
          <w:rtl/>
        </w:rPr>
        <w:t xml:space="preserve"> « الصَغَرَةُ » : جمع الصاغِر ، وهو الراضي بالذلّ والضَيْم ، أي الظلم. راجع : </w:t>
      </w:r>
      <w:r w:rsidRPr="009D1ACE">
        <w:rPr>
          <w:rStyle w:val="libFootnoteBoldChar"/>
          <w:rtl/>
        </w:rPr>
        <w:t>لسان العرب</w:t>
      </w:r>
      <w:r w:rsidRPr="00132E65">
        <w:rPr>
          <w:rtl/>
        </w:rPr>
        <w:t xml:space="preserve"> ، ج 4 ، </w:t>
      </w:r>
      <w:r w:rsidR="00BA38D2">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عُمَرُ بْنُ يَزِيدَ : فَقَالَ </w:t>
      </w:r>
      <w:r>
        <w:rPr>
          <w:rStyle w:val="libFootnotenumChar"/>
          <w:rtl/>
        </w:rPr>
        <w:t>(1)</w:t>
      </w:r>
      <w:r w:rsidRPr="00132E65">
        <w:rPr>
          <w:rtl/>
          <w:lang w:bidi="fa-IR"/>
        </w:rPr>
        <w:t xml:space="preserve"> لِي أَبُو سَيَّارٍ : مَا أَرى أَحَداً مِنْ أَصْحَابِ الضِّيَاعِ </w:t>
      </w:r>
      <w:r>
        <w:rPr>
          <w:rStyle w:val="libFootnotenumChar"/>
          <w:rtl/>
        </w:rPr>
        <w:t>(2)</w:t>
      </w:r>
      <w:r w:rsidRPr="00132E65">
        <w:rPr>
          <w:rtl/>
          <w:lang w:bidi="fa-IR"/>
        </w:rPr>
        <w:t xml:space="preserve"> وَلَامِمَّنْ </w:t>
      </w:r>
      <w:r>
        <w:rPr>
          <w:rStyle w:val="libFootnotenumChar"/>
          <w:rtl/>
        </w:rPr>
        <w:t>(3)</w:t>
      </w:r>
      <w:r w:rsidRPr="00132E65">
        <w:rPr>
          <w:rtl/>
          <w:lang w:bidi="fa-IR"/>
        </w:rPr>
        <w:t xml:space="preserve"> يَلِي الْأَعْمَالَ </w:t>
      </w:r>
      <w:r w:rsidR="00BA38D2">
        <w:rPr>
          <w:rtl/>
          <w:lang w:bidi="fa-IR"/>
        </w:rPr>
        <w:t>يَأْكُلُ حَلَالاً غَيْرِي إِل</w:t>
      </w:r>
      <w:r w:rsidR="00BA38D2">
        <w:rPr>
          <w:rFonts w:hint="cs"/>
          <w:rtl/>
          <w:lang w:bidi="fa-IR"/>
        </w:rPr>
        <w:t>َّ</w:t>
      </w:r>
      <w:r w:rsidR="00BA38D2">
        <w:rPr>
          <w:rtl/>
          <w:lang w:bidi="fa-IR"/>
        </w:rPr>
        <w:t>ا</w:t>
      </w:r>
      <w:r w:rsidRPr="00132E65">
        <w:rPr>
          <w:rtl/>
          <w:lang w:bidi="fa-IR"/>
        </w:rPr>
        <w:t xml:space="preserve"> مَنْ طَيَّبُوا لَهُ ذلِكَ.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F660D3">
        <w:rPr>
          <w:rtl/>
        </w:rPr>
        <w:t>1075</w:t>
      </w:r>
      <w:r w:rsidRPr="004325D8">
        <w:rPr>
          <w:rStyle w:val="libBold2Char"/>
          <w:rtl/>
        </w:rPr>
        <w:t xml:space="preserve"> / 4.</w:t>
      </w:r>
      <w:r w:rsidRPr="00132E65">
        <w:rPr>
          <w:rtl/>
          <w:lang w:bidi="fa-IR"/>
        </w:rPr>
        <w:t xml:space="preserve"> مُحَمَّدُ بْنُ يَحْيى ، عَنْ مُحَمَّدِ بْنِ أَحْمَدَ ، عَنْ أَبِي عَبْدِ اللهِ الرَّازِيِّ ، عَنِ الْحَسَنِ بْنِ عَلِيِّ بْنِ أَبِي حَمْزَةَ ، عَنْ أَبِيهِ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Pr>
          <w:rtl/>
          <w:lang w:bidi="fa-IR"/>
        </w:rPr>
        <w:t xml:space="preserve"> ، قَالَ : قُلْتُ لَهُ : أَ</w:t>
      </w:r>
      <w:r w:rsidRPr="00132E65">
        <w:rPr>
          <w:rtl/>
          <w:lang w:bidi="fa-IR"/>
        </w:rPr>
        <w:t>مَا عَلَى الْإِمَامِ زَكَاةٌ</w:t>
      </w:r>
      <w:r>
        <w:rPr>
          <w:rtl/>
          <w:lang w:bidi="fa-IR"/>
        </w:rPr>
        <w:t>؟</w:t>
      </w:r>
    </w:p>
    <w:p w:rsidR="000C39D1" w:rsidRPr="00132E65" w:rsidRDefault="000C39D1" w:rsidP="000C39D1">
      <w:pPr>
        <w:pStyle w:val="libNormal"/>
        <w:rPr>
          <w:rtl/>
          <w:lang w:bidi="fa-IR"/>
        </w:rPr>
      </w:pPr>
      <w:r w:rsidRPr="00132E65">
        <w:rPr>
          <w:rtl/>
          <w:lang w:bidi="fa-IR"/>
        </w:rPr>
        <w:t xml:space="preserve">فَقَالَ : « أَحَلْتَ </w:t>
      </w:r>
      <w:r>
        <w:rPr>
          <w:rStyle w:val="libFootnotenumChar"/>
          <w:rtl/>
        </w:rPr>
        <w:t>(5)</w:t>
      </w:r>
      <w:r>
        <w:rPr>
          <w:rtl/>
          <w:lang w:bidi="fa-IR"/>
        </w:rPr>
        <w:t xml:space="preserve"> يَا أَبَا مُحَمَّدٍ ، أَ</w:t>
      </w:r>
      <w:r w:rsidRPr="00132E65">
        <w:rPr>
          <w:rtl/>
          <w:lang w:bidi="fa-IR"/>
        </w:rPr>
        <w:t xml:space="preserve">مَا عَلِمْتَ أَنَّ الدُّنْيَا والْآخِرَةَ لِلْإِمَامِ يَضَعُهَا حَيْثُ يَشَاءُ </w:t>
      </w:r>
      <w:r>
        <w:rPr>
          <w:rStyle w:val="libFootnotenumChar"/>
          <w:rtl/>
        </w:rPr>
        <w:t>(6)</w:t>
      </w:r>
      <w:r w:rsidRPr="00132E65">
        <w:rPr>
          <w:rtl/>
          <w:lang w:bidi="fa-IR"/>
        </w:rPr>
        <w:t xml:space="preserve"> ، ويَدْفَعُهَا إِلى مَنْ يَشَاءُ ، جَائِزٌ لَهُ ذلِكَ مِنَ اللهِ. إِنَّ الْإِمَامَ يَا أَبَا مُحَمَّدٍ ، لَايَبِيتُ لَيْلَةً أَبَداً ولِلّهِ فِي عُنُقِهِ حَقٌّ يَسْأَلُهُ عَنْهُ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F660D3">
        <w:rPr>
          <w:rtl/>
        </w:rPr>
        <w:t>1076</w:t>
      </w:r>
      <w:r w:rsidRPr="004325D8">
        <w:rPr>
          <w:rStyle w:val="libBold2Char"/>
          <w:rtl/>
        </w:rPr>
        <w:t xml:space="preserve"> / 5.</w:t>
      </w:r>
      <w:r w:rsidRPr="00132E65">
        <w:rPr>
          <w:rtl/>
          <w:lang w:bidi="fa-IR"/>
        </w:rPr>
        <w:t xml:space="preserve"> مُحَمَّدُ بْنُ يَحْيى ، عَنْ مُحَمَّدِ بْنِ أَحْمَدَ ، عَنْ مُحَمَّدِ بْنِ عَبْدِ اللهِ بْنِ أَحْمَدَ ، عَنْ عَلِيِّ بْنِ النُّعْمَانِ ، عَنْ صَالِحِ بْنِ حَمْزَةَ ، عَنْ أَبَانِ بْنِ مُصْعَبٍ ، عَنْ يُونُسَ بْنِ ظَبْيَانَ ، أَوِ الْمُعَلَّى بْنِ خُنَيْسٍ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مَا لَكُمْ مِنْ هذِهِ الْأَرْضِ </w:t>
      </w:r>
      <w:r>
        <w:rPr>
          <w:rStyle w:val="libFootnotenumChar"/>
          <w:rtl/>
        </w:rPr>
        <w:t>(8)</w:t>
      </w:r>
      <w:r>
        <w:rPr>
          <w:rtl/>
          <w:lang w:bidi="fa-IR"/>
        </w:rPr>
        <w:t>؟</w:t>
      </w:r>
    </w:p>
    <w:p w:rsidR="000C39D1" w:rsidRPr="00132E65" w:rsidRDefault="000C39D1" w:rsidP="000C39D1">
      <w:pPr>
        <w:pStyle w:val="libNormal"/>
        <w:rPr>
          <w:rtl/>
          <w:lang w:bidi="fa-IR"/>
        </w:rPr>
      </w:pPr>
      <w:r w:rsidRPr="00132E65">
        <w:rPr>
          <w:rtl/>
          <w:lang w:bidi="fa-IR"/>
        </w:rPr>
        <w:t xml:space="preserve">فَتَبَسَّمَ ، ثُمَّ </w:t>
      </w:r>
      <w:r>
        <w:rPr>
          <w:rStyle w:val="libFootnotenumChar"/>
          <w:rtl/>
        </w:rPr>
        <w:t>(9)</w:t>
      </w:r>
      <w:r w:rsidRPr="00132E65">
        <w:rPr>
          <w:rtl/>
          <w:lang w:bidi="fa-IR"/>
        </w:rPr>
        <w:t xml:space="preserve"> قَالَ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بَعَثَ جَبْرَئِيلَ </w:t>
      </w:r>
      <w:r w:rsidRPr="00071CF9">
        <w:rPr>
          <w:rStyle w:val="libAlaemChar"/>
          <w:rtl/>
        </w:rPr>
        <w:t>عليه‌السلام</w:t>
      </w:r>
      <w:r w:rsidRPr="00132E65">
        <w:rPr>
          <w:rtl/>
          <w:lang w:bidi="fa-IR"/>
        </w:rPr>
        <w:t xml:space="preserve"> ، وأَمَرَهُ أَنْ يَخْرِقَ‌</w:t>
      </w:r>
    </w:p>
    <w:p w:rsidR="000C39D1" w:rsidRPr="00132E65" w:rsidRDefault="000C39D1" w:rsidP="000C39D1">
      <w:pPr>
        <w:pStyle w:val="libLine"/>
        <w:rPr>
          <w:rtl/>
          <w:lang w:bidi="fa-IR"/>
        </w:rPr>
      </w:pPr>
      <w:r w:rsidRPr="00132E65">
        <w:rPr>
          <w:rtl/>
          <w:lang w:bidi="fa-IR"/>
        </w:rPr>
        <w:t>__________________</w:t>
      </w:r>
    </w:p>
    <w:p w:rsidR="000C39D1" w:rsidRPr="00132E65" w:rsidRDefault="00BA38D2" w:rsidP="000C39D1">
      <w:pPr>
        <w:pStyle w:val="libFootnote0"/>
        <w:rPr>
          <w:rtl/>
          <w:lang w:bidi="fa-IR"/>
        </w:rPr>
      </w:pPr>
      <w:r>
        <w:rPr>
          <w:rFonts w:hint="cs"/>
          <w:rtl/>
        </w:rPr>
        <w:t xml:space="preserve">= </w:t>
      </w:r>
      <w:r w:rsidR="000C39D1" w:rsidRPr="00132E65">
        <w:rPr>
          <w:rtl/>
        </w:rPr>
        <w:t>ص 459 ( صغر )</w:t>
      </w:r>
      <w:r w:rsidR="000C39D1">
        <w:rPr>
          <w:rtl/>
        </w:rPr>
        <w:t>.</w:t>
      </w:r>
    </w:p>
    <w:p w:rsidR="000C39D1" w:rsidRPr="00132E65" w:rsidRDefault="000C39D1" w:rsidP="000C39D1">
      <w:pPr>
        <w:pStyle w:val="libFootnote0"/>
        <w:rPr>
          <w:rtl/>
          <w:lang w:bidi="fa-IR"/>
        </w:rPr>
      </w:pPr>
      <w:r>
        <w:rPr>
          <w:rtl/>
        </w:rPr>
        <w:t>(1).</w:t>
      </w:r>
      <w:r w:rsidRPr="00132E65">
        <w:rPr>
          <w:rtl/>
        </w:rPr>
        <w:t xml:space="preserve"> في « بف » : « قال »</w:t>
      </w:r>
      <w:r>
        <w:rPr>
          <w:rtl/>
        </w:rPr>
        <w:t>.</w:t>
      </w:r>
    </w:p>
    <w:p w:rsidR="000C39D1" w:rsidRPr="00132E65" w:rsidRDefault="000C39D1" w:rsidP="000C39D1">
      <w:pPr>
        <w:pStyle w:val="libFootnote0"/>
        <w:rPr>
          <w:rtl/>
          <w:lang w:bidi="fa-IR"/>
        </w:rPr>
      </w:pPr>
      <w:r>
        <w:rPr>
          <w:rtl/>
        </w:rPr>
        <w:t>(2).</w:t>
      </w:r>
      <w:r w:rsidRPr="00132E65">
        <w:rPr>
          <w:rtl/>
        </w:rPr>
        <w:t xml:space="preserve"> الضِياعُ : جمع الضَيْعَة ، وهي العقار ، أي النخل والكَرْم والأرض. وقيل : الضَيْعَةُ : ما منه معاش الرجل ، كالصنعة والتجارة والزراعة وغير ذلك. راجع : </w:t>
      </w:r>
      <w:r w:rsidRPr="00F660D3">
        <w:rPr>
          <w:rtl/>
        </w:rPr>
        <w:t>الصحاح</w:t>
      </w:r>
      <w:r w:rsidRPr="00132E65">
        <w:rPr>
          <w:rtl/>
        </w:rPr>
        <w:t xml:space="preserve"> ، ج 3 ، ص 1252 ؛ </w:t>
      </w:r>
      <w:r w:rsidRPr="00F660D3">
        <w:rPr>
          <w:rtl/>
        </w:rPr>
        <w:t>النهاية</w:t>
      </w:r>
      <w:r w:rsidRPr="00132E65">
        <w:rPr>
          <w:rtl/>
        </w:rPr>
        <w:t xml:space="preserve"> ، ج 3 ، ص 108 ( ضيع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من »</w:t>
      </w:r>
      <w:r>
        <w:rPr>
          <w:rtl/>
        </w:rPr>
        <w:t>.</w:t>
      </w:r>
    </w:p>
    <w:p w:rsidR="000C39D1" w:rsidRPr="00132E65" w:rsidRDefault="000C39D1" w:rsidP="004C0631">
      <w:pPr>
        <w:pStyle w:val="libFootnote0"/>
        <w:rPr>
          <w:rtl/>
          <w:lang w:bidi="fa-IR"/>
        </w:rPr>
      </w:pPr>
      <w:r>
        <w:rPr>
          <w:rtl/>
        </w:rPr>
        <w:t>(4).</w:t>
      </w:r>
      <w:r w:rsidRPr="00132E65">
        <w:rPr>
          <w:rtl/>
        </w:rPr>
        <w:t xml:space="preserve"> </w:t>
      </w:r>
      <w:r w:rsidRPr="00F660D3">
        <w:rPr>
          <w:rtl/>
        </w:rPr>
        <w:t>التهذيب</w:t>
      </w:r>
      <w:r w:rsidRPr="00132E65">
        <w:rPr>
          <w:rtl/>
        </w:rPr>
        <w:t xml:space="preserve"> ، ج 4 ، ص 144 ، ح 403 ، بسنده عن الحسن بن محبوب ، إلى قوله : « ويخرجهم صغرة »</w:t>
      </w:r>
      <w:r w:rsidR="004C0631">
        <w:rPr>
          <w:rFonts w:hint="cs"/>
          <w:rtl/>
        </w:rPr>
        <w:t>.</w:t>
      </w:r>
      <w:r w:rsidRPr="009D1ACE">
        <w:rPr>
          <w:rStyle w:val="libFootnoteBoldChar"/>
          <w:rtl/>
        </w:rPr>
        <w:t>الوافي</w:t>
      </w:r>
      <w:r w:rsidRPr="00132E65">
        <w:rPr>
          <w:rtl/>
        </w:rPr>
        <w:t xml:space="preserve"> ، ج 10 ، ص 286 ، ح 9590 ؛ </w:t>
      </w:r>
      <w:r w:rsidRPr="00F660D3">
        <w:rPr>
          <w:rtl/>
        </w:rPr>
        <w:t>الوسائل</w:t>
      </w:r>
      <w:r w:rsidRPr="00132E65">
        <w:rPr>
          <w:rtl/>
        </w:rPr>
        <w:t xml:space="preserve"> ، ج 9 ، ص 548 ، ح 12686.</w:t>
      </w:r>
    </w:p>
    <w:p w:rsidR="000C39D1" w:rsidRPr="00132E65" w:rsidRDefault="000C39D1" w:rsidP="000C39D1">
      <w:pPr>
        <w:pStyle w:val="libFootnote0"/>
        <w:rPr>
          <w:rtl/>
          <w:lang w:bidi="fa-IR"/>
        </w:rPr>
      </w:pPr>
      <w:r>
        <w:rPr>
          <w:rtl/>
        </w:rPr>
        <w:t>(5).</w:t>
      </w:r>
      <w:r w:rsidRPr="00132E65">
        <w:rPr>
          <w:rtl/>
        </w:rPr>
        <w:t xml:space="preserve"> أحال الرجال : أتى ال</w:t>
      </w:r>
      <w:r w:rsidR="004C0631">
        <w:rPr>
          <w:rFonts w:hint="cs"/>
          <w:rtl/>
        </w:rPr>
        <w:t>ـ</w:t>
      </w:r>
      <w:r w:rsidRPr="00132E65">
        <w:rPr>
          <w:rtl/>
        </w:rPr>
        <w:t xml:space="preserve">مُحال وتكلّم به. </w:t>
      </w:r>
      <w:r w:rsidRPr="00F660D3">
        <w:rPr>
          <w:rtl/>
        </w:rPr>
        <w:t>الصحاح</w:t>
      </w:r>
      <w:r w:rsidRPr="00132E65">
        <w:rPr>
          <w:rtl/>
        </w:rPr>
        <w:t xml:space="preserve"> ، ج 4 ، ص 1680 ( حول )</w:t>
      </w:r>
      <w:r>
        <w:rPr>
          <w:rtl/>
        </w:rPr>
        <w:t>.</w:t>
      </w:r>
    </w:p>
    <w:p w:rsidR="000C39D1" w:rsidRPr="00132E65" w:rsidRDefault="000C39D1" w:rsidP="000C39D1">
      <w:pPr>
        <w:pStyle w:val="libFootnote0"/>
        <w:rPr>
          <w:rtl/>
          <w:lang w:bidi="fa-IR"/>
        </w:rPr>
      </w:pPr>
      <w:r>
        <w:rPr>
          <w:rtl/>
        </w:rPr>
        <w:t>(6).</w:t>
      </w:r>
      <w:r w:rsidRPr="00132E65">
        <w:rPr>
          <w:rtl/>
        </w:rPr>
        <w:t xml:space="preserve"> في « بر ، بف » وحاشية « بح » : « شاء »</w:t>
      </w:r>
      <w:r>
        <w:rPr>
          <w:rtl/>
        </w:rPr>
        <w:t>.</w:t>
      </w:r>
    </w:p>
    <w:p w:rsidR="000C39D1" w:rsidRPr="00132E65" w:rsidRDefault="000C39D1" w:rsidP="004C0631">
      <w:pPr>
        <w:pStyle w:val="libFootnote0"/>
        <w:rPr>
          <w:rtl/>
          <w:lang w:bidi="fa-IR"/>
        </w:rPr>
      </w:pPr>
      <w:r>
        <w:rPr>
          <w:rtl/>
        </w:rPr>
        <w:t>(7).</w:t>
      </w:r>
      <w:r w:rsidRPr="00132E65">
        <w:rPr>
          <w:rtl/>
        </w:rPr>
        <w:t xml:space="preserve"> </w:t>
      </w:r>
      <w:r w:rsidRPr="00F660D3">
        <w:rPr>
          <w:rtl/>
        </w:rPr>
        <w:t>الفقيه</w:t>
      </w:r>
      <w:r w:rsidRPr="00132E65">
        <w:rPr>
          <w:rtl/>
        </w:rPr>
        <w:t xml:space="preserve"> ، ج 2 ، ص 39 ، ح 1645 ، بإسناده عن أبي بصير</w:t>
      </w:r>
      <w:r w:rsidR="004C0631">
        <w:rPr>
          <w:rFonts w:hint="cs"/>
          <w:rtl/>
        </w:rPr>
        <w:t>.</w:t>
      </w:r>
      <w:r w:rsidRPr="009D1ACE">
        <w:rPr>
          <w:rStyle w:val="libFootnoteBoldChar"/>
          <w:rtl/>
        </w:rPr>
        <w:t>الوافي</w:t>
      </w:r>
      <w:r w:rsidRPr="00132E65">
        <w:rPr>
          <w:rtl/>
        </w:rPr>
        <w:t xml:space="preserve"> ، ج 10 ، ص 289 ، ح 9596.</w:t>
      </w:r>
    </w:p>
    <w:tbl>
      <w:tblPr>
        <w:tblStyle w:val="TableGrid"/>
        <w:bidiVisual/>
        <w:tblW w:w="0" w:type="auto"/>
        <w:tblLook w:val="04A0" w:firstRow="1" w:lastRow="0" w:firstColumn="1" w:lastColumn="0" w:noHBand="0" w:noVBand="1"/>
      </w:tblPr>
      <w:tblGrid>
        <w:gridCol w:w="4006"/>
        <w:gridCol w:w="4006"/>
      </w:tblGrid>
      <w:tr w:rsidR="004C0631" w:rsidTr="004C0631">
        <w:tc>
          <w:tcPr>
            <w:tcW w:w="4006" w:type="dxa"/>
          </w:tcPr>
          <w:p w:rsidR="004C0631" w:rsidRDefault="004C0631" w:rsidP="000C39D1">
            <w:pPr>
              <w:pStyle w:val="libFootnote0"/>
              <w:rPr>
                <w:rtl/>
              </w:rPr>
            </w:pPr>
            <w:r>
              <w:rPr>
                <w:rtl/>
              </w:rPr>
              <w:t>(8). في البحار، ج 60 :« الأنهار » بدل</w:t>
            </w:r>
            <w:r w:rsidRPr="00132E65">
              <w:rPr>
                <w:rtl/>
              </w:rPr>
              <w:t>« الأرض »</w:t>
            </w:r>
            <w:r>
              <w:rPr>
                <w:rtl/>
              </w:rPr>
              <w:t>.</w:t>
            </w:r>
          </w:p>
        </w:tc>
        <w:tc>
          <w:tcPr>
            <w:tcW w:w="4006" w:type="dxa"/>
          </w:tcPr>
          <w:p w:rsidR="004C0631" w:rsidRDefault="004C0631" w:rsidP="000C39D1">
            <w:pPr>
              <w:pStyle w:val="libFootnote0"/>
              <w:rPr>
                <w:rtl/>
              </w:rPr>
            </w:pPr>
            <w:r>
              <w:rPr>
                <w:rtl/>
              </w:rPr>
              <w:t>(9).</w:t>
            </w:r>
            <w:r w:rsidRPr="00132E65">
              <w:rPr>
                <w:rtl/>
              </w:rPr>
              <w:t xml:space="preserve"> في البحار ، ج 60 : « </w:t>
            </w:r>
            <w:r>
              <w:rPr>
                <w:rtl/>
              </w:rPr>
              <w:t>و »</w:t>
            </w:r>
            <w:r w:rsidRPr="00132E65">
              <w:rPr>
                <w:rtl/>
              </w:rPr>
              <w:t xml:space="preserve"> بدل « ثمّ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بِإِبْهَامِهِ ثَمَانِيَةَ أَنْهَارٍ فِي الْأَرْضِ : مِنْهَا سَيْحَانُ ، وجَيْحَانُ</w:t>
      </w:r>
      <w:r>
        <w:rPr>
          <w:rtl/>
          <w:lang w:bidi="fa-IR"/>
        </w:rPr>
        <w:t xml:space="preserve"> - </w:t>
      </w:r>
      <w:r w:rsidRPr="00132E65">
        <w:rPr>
          <w:rtl/>
          <w:lang w:bidi="fa-IR"/>
        </w:rPr>
        <w:t>وهُوَ نَهَرُ بَلْخَ</w:t>
      </w:r>
      <w:r>
        <w:rPr>
          <w:rtl/>
          <w:lang w:bidi="fa-IR"/>
        </w:rPr>
        <w:t xml:space="preserve"> - </w:t>
      </w:r>
      <w:r w:rsidRPr="00132E65">
        <w:rPr>
          <w:rtl/>
          <w:lang w:bidi="fa-IR"/>
        </w:rPr>
        <w:t xml:space="preserve">والْخشوع </w:t>
      </w:r>
      <w:r>
        <w:rPr>
          <w:rStyle w:val="libFootnotenumChar"/>
          <w:rtl/>
        </w:rPr>
        <w:t>(1)</w:t>
      </w:r>
      <w:r>
        <w:rPr>
          <w:rtl/>
          <w:lang w:bidi="fa-IR"/>
        </w:rPr>
        <w:t xml:space="preserve"> - </w:t>
      </w:r>
      <w:r w:rsidRPr="00132E65">
        <w:rPr>
          <w:rtl/>
          <w:lang w:bidi="fa-IR"/>
        </w:rPr>
        <w:t xml:space="preserve">وهُوَ نَهَرُ الشَّاشِ </w:t>
      </w:r>
      <w:r>
        <w:rPr>
          <w:rStyle w:val="libFootnotenumChar"/>
          <w:rtl/>
        </w:rPr>
        <w:t>(2)</w:t>
      </w:r>
      <w:r>
        <w:rPr>
          <w:rtl/>
          <w:lang w:bidi="fa-IR"/>
        </w:rPr>
        <w:t xml:space="preserve"> - </w:t>
      </w:r>
      <w:r w:rsidRPr="00132E65">
        <w:rPr>
          <w:rtl/>
          <w:lang w:bidi="fa-IR"/>
        </w:rPr>
        <w:t>ومِهْرَانُ</w:t>
      </w:r>
      <w:r>
        <w:rPr>
          <w:rtl/>
          <w:lang w:bidi="fa-IR"/>
        </w:rPr>
        <w:t xml:space="preserve"> - </w:t>
      </w:r>
      <w:r w:rsidRPr="00132E65">
        <w:rPr>
          <w:rtl/>
          <w:lang w:bidi="fa-IR"/>
        </w:rPr>
        <w:t>وهُوَ نَهَرُ الْهِنْدِ</w:t>
      </w:r>
      <w:r>
        <w:rPr>
          <w:rtl/>
          <w:lang w:bidi="fa-IR"/>
        </w:rPr>
        <w:t xml:space="preserve"> - </w:t>
      </w:r>
      <w:r w:rsidRPr="00132E65">
        <w:rPr>
          <w:rtl/>
          <w:lang w:bidi="fa-IR"/>
        </w:rPr>
        <w:t xml:space="preserve">ونِيلُ مِصْرَ ، ودِجْلَةُ ، والْفُرَاتُ </w:t>
      </w:r>
      <w:r>
        <w:rPr>
          <w:rStyle w:val="libFootnotenumChar"/>
          <w:rtl/>
        </w:rPr>
        <w:t>(3)</w:t>
      </w:r>
      <w:r w:rsidRPr="00132E65">
        <w:rPr>
          <w:rtl/>
          <w:lang w:bidi="fa-IR"/>
        </w:rPr>
        <w:t xml:space="preserve"> ، فَمَا سَقَتْ أَوِ اسْتَقَتْ </w:t>
      </w:r>
      <w:r>
        <w:rPr>
          <w:rStyle w:val="libFootnotenumChar"/>
          <w:rtl/>
        </w:rPr>
        <w:t>(4)</w:t>
      </w:r>
      <w:r w:rsidRPr="00132E65">
        <w:rPr>
          <w:rtl/>
          <w:lang w:bidi="fa-IR"/>
        </w:rPr>
        <w:t xml:space="preserve"> فَهُوَ لَنَا ، ومَا كَانَ لَنَا فَهُوَ لِشِيعَتِنَا ، ولَيْسَ لِعَدُوِّنَا مِنْهُ </w:t>
      </w:r>
      <w:r>
        <w:rPr>
          <w:rStyle w:val="libFootnotenumChar"/>
          <w:rtl/>
        </w:rPr>
        <w:t>(5)</w:t>
      </w:r>
      <w:r w:rsidR="00077735">
        <w:rPr>
          <w:rtl/>
          <w:lang w:bidi="fa-IR"/>
        </w:rPr>
        <w:t xml:space="preserve"> شَيْ‌ءٌ إِل</w:t>
      </w:r>
      <w:r w:rsidR="00077735">
        <w:rPr>
          <w:rFonts w:hint="cs"/>
          <w:rtl/>
          <w:lang w:bidi="fa-IR"/>
        </w:rPr>
        <w:t>َّ</w:t>
      </w:r>
      <w:r w:rsidR="00077735">
        <w:rPr>
          <w:rtl/>
          <w:lang w:bidi="fa-IR"/>
        </w:rPr>
        <w:t>ا</w:t>
      </w:r>
      <w:r w:rsidRPr="00132E65">
        <w:rPr>
          <w:rtl/>
          <w:lang w:bidi="fa-IR"/>
        </w:rPr>
        <w:t xml:space="preserve"> مَا </w:t>
      </w:r>
      <w:r>
        <w:rPr>
          <w:rStyle w:val="libFootnotenumChar"/>
          <w:rtl/>
        </w:rPr>
        <w:t>(6)</w:t>
      </w:r>
      <w:r w:rsidRPr="00132E65">
        <w:rPr>
          <w:rtl/>
          <w:lang w:bidi="fa-IR"/>
        </w:rPr>
        <w:t xml:space="preserve"> غَصَبَ </w:t>
      </w:r>
      <w:r>
        <w:rPr>
          <w:rStyle w:val="libFootnotenumChar"/>
          <w:rtl/>
        </w:rPr>
        <w:t>(7)</w:t>
      </w:r>
      <w:r w:rsidRPr="00132E65">
        <w:rPr>
          <w:rtl/>
          <w:lang w:bidi="fa-IR"/>
        </w:rPr>
        <w:t xml:space="preserve"> عَلَيْهِ ، وإِنَّ ولِيَّنَا لَفِي أَوْسَعَ مِمَّا </w:t>
      </w:r>
      <w:r>
        <w:rPr>
          <w:rStyle w:val="libFootnotenumChar"/>
          <w:rtl/>
        </w:rPr>
        <w:t>(8)</w:t>
      </w:r>
      <w:r w:rsidRPr="00132E65">
        <w:rPr>
          <w:rtl/>
          <w:lang w:bidi="fa-IR"/>
        </w:rPr>
        <w:t xml:space="preserve"> بَيْنَ ذِهْ إِلى ذِهْ » يَعْنِي بَيْنَ السَّمَاءِ والْأَرْضِ ، ثُمَّ تَلَا هذِهِ الْآيَةَ : « </w:t>
      </w:r>
      <w:r w:rsidRPr="00071CF9">
        <w:rPr>
          <w:rStyle w:val="libAlaemChar"/>
          <w:rtl/>
        </w:rPr>
        <w:t>(</w:t>
      </w:r>
      <w:r w:rsidRPr="00071CF9">
        <w:rPr>
          <w:rStyle w:val="libAieChar"/>
          <w:rtl/>
        </w:rPr>
        <w:t xml:space="preserve"> قُلْ هِيَ لِلَّذِينَ آمَنُوا فِي الْحَياةِ الدُّنْيا </w:t>
      </w:r>
      <w:r w:rsidRPr="00071CF9">
        <w:rPr>
          <w:rStyle w:val="libAlaemChar"/>
          <w:rtl/>
        </w:rPr>
        <w:t>)</w:t>
      </w:r>
      <w:r w:rsidRPr="00132E65">
        <w:rPr>
          <w:rtl/>
          <w:lang w:bidi="fa-IR"/>
        </w:rPr>
        <w:t xml:space="preserve"> الْمَغْصُوبِينَ عَلَيْهَا</w:t>
      </w:r>
      <w:r>
        <w:rPr>
          <w:rFonts w:hint="cs"/>
          <w:rtl/>
          <w:lang w:bidi="fa-IR"/>
        </w:rPr>
        <w:t xml:space="preserve"> </w:t>
      </w:r>
      <w:r w:rsidRPr="00071CF9">
        <w:rPr>
          <w:rStyle w:val="libAlaemChar"/>
          <w:rtl/>
        </w:rPr>
        <w:t>(</w:t>
      </w:r>
      <w:r w:rsidRPr="00071CF9">
        <w:rPr>
          <w:rStyle w:val="libAieChar"/>
          <w:rtl/>
        </w:rPr>
        <w:t xml:space="preserve"> خالِصَةً </w:t>
      </w:r>
      <w:r w:rsidRPr="00071CF9">
        <w:rPr>
          <w:rStyle w:val="libAlaemChar"/>
          <w:rtl/>
        </w:rPr>
        <w:t>)</w:t>
      </w:r>
      <w:r w:rsidRPr="00132E65">
        <w:rPr>
          <w:rtl/>
          <w:lang w:bidi="fa-IR"/>
        </w:rPr>
        <w:t xml:space="preserve"> لَهُمْ</w:t>
      </w:r>
      <w:r>
        <w:rPr>
          <w:rFonts w:hint="cs"/>
          <w:rtl/>
          <w:lang w:bidi="fa-IR"/>
        </w:rPr>
        <w:t xml:space="preserve"> </w:t>
      </w:r>
      <w:r w:rsidRPr="00071CF9">
        <w:rPr>
          <w:rStyle w:val="libAlaemChar"/>
          <w:rtl/>
        </w:rPr>
        <w:t>(</w:t>
      </w:r>
      <w:r w:rsidRPr="00071CF9">
        <w:rPr>
          <w:rStyle w:val="libAieChar"/>
          <w:rtl/>
        </w:rPr>
        <w:t xml:space="preserve"> يَوْمَ الْقِيامَةِ </w:t>
      </w:r>
      <w:r w:rsidRPr="00071CF9">
        <w:rPr>
          <w:rStyle w:val="libAlaemChar"/>
          <w:rtl/>
        </w:rPr>
        <w:t>)</w:t>
      </w:r>
      <w:r w:rsidRPr="00071CF9">
        <w:rPr>
          <w:rStyle w:val="libAieChar"/>
          <w:rtl/>
        </w:rPr>
        <w:t xml:space="preserve"> : </w:t>
      </w:r>
      <w:r>
        <w:rPr>
          <w:rStyle w:val="libFootnotenumChar"/>
          <w:rtl/>
        </w:rPr>
        <w:t>(9)</w:t>
      </w:r>
      <w:r w:rsidRPr="00132E65">
        <w:rPr>
          <w:rtl/>
          <w:lang w:bidi="fa-IR"/>
        </w:rPr>
        <w:t xml:space="preserve"> بِلَا غَصْبٍ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F660D3">
        <w:rPr>
          <w:rtl/>
        </w:rPr>
        <w:t>1077</w:t>
      </w:r>
      <w:r w:rsidRPr="004325D8">
        <w:rPr>
          <w:rStyle w:val="libBold2Char"/>
          <w:rtl/>
        </w:rPr>
        <w:t xml:space="preserve"> / 6.</w:t>
      </w:r>
      <w:r w:rsidRPr="00132E65">
        <w:rPr>
          <w:rtl/>
          <w:lang w:bidi="fa-IR"/>
        </w:rPr>
        <w:t xml:space="preserve"> عَلِيُّ بْنُ مُحَمَّدٍ ، عَنْ سَهْلِ بْنِ زِيَادٍ ، عَنْ مُحَمَّدِ بْنِ عِيسى ، عَنْ مُحَمَّدِ </w:t>
      </w:r>
      <w:r w:rsidR="00936037">
        <w:rPr>
          <w:rtl/>
          <w:lang w:bidi="fa-IR"/>
        </w:rPr>
        <w:t>بْنِ الرَّيَّانِ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كَتَبْتُ إِلَى الْعَسْكَرِيِّ </w:t>
      </w:r>
      <w:r w:rsidRPr="00071CF9">
        <w:rPr>
          <w:rStyle w:val="libAlaemChar"/>
          <w:rtl/>
        </w:rPr>
        <w:t>عليه‌السلام</w:t>
      </w:r>
      <w:r w:rsidRPr="00132E65">
        <w:rPr>
          <w:rtl/>
          <w:lang w:bidi="fa-IR"/>
        </w:rPr>
        <w:t xml:space="preserve"> : جُعِلْتُ فِدَاكَ ، رُوِيَ لَنَا أَنْ لَيْسَ لِرَسُولِ اللهِ </w:t>
      </w:r>
      <w:r w:rsidRPr="0093484F">
        <w:rPr>
          <w:rStyle w:val="libAlaemChar"/>
          <w:rFonts w:eastAsiaTheme="minorHAnsi"/>
          <w:rtl/>
        </w:rPr>
        <w:t>صلى‌الله‌عليه‌وآله</w:t>
      </w:r>
      <w:r w:rsidR="007E2857">
        <w:rPr>
          <w:rtl/>
          <w:lang w:bidi="fa-IR"/>
        </w:rPr>
        <w:t xml:space="preserve"> مِنَ الدُّنْيَا إِل</w:t>
      </w:r>
      <w:r w:rsidR="007E2857">
        <w:rPr>
          <w:rFonts w:hint="cs"/>
          <w:rtl/>
          <w:lang w:bidi="fa-IR"/>
        </w:rPr>
        <w:t>َّ</w:t>
      </w:r>
      <w:r w:rsidR="007E2857">
        <w:rPr>
          <w:rtl/>
          <w:lang w:bidi="fa-IR"/>
        </w:rPr>
        <w:t>ا</w:t>
      </w:r>
      <w:r w:rsidRPr="00132E65">
        <w:rPr>
          <w:rtl/>
          <w:lang w:bidi="fa-IR"/>
        </w:rPr>
        <w:t xml:space="preserve"> الْخُمُسُ</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لم أهتد إلى ضبط الكلمة. وقال في </w:t>
      </w:r>
      <w:r w:rsidRPr="009D1ACE">
        <w:rPr>
          <w:rStyle w:val="libFootnoteBoldChar"/>
          <w:rtl/>
        </w:rPr>
        <w:t>مرآة العقول</w:t>
      </w:r>
      <w:r w:rsidRPr="00132E65">
        <w:rPr>
          <w:rtl/>
        </w:rPr>
        <w:t xml:space="preserve"> ، ج 4 ، ص 351 : « وتسميته بالخشوع لم نجدها فيما عندنا من‌كتب اللغة وغيرها »</w:t>
      </w:r>
      <w:r>
        <w:rPr>
          <w:rtl/>
        </w:rPr>
        <w:t>.</w:t>
      </w:r>
      <w:r w:rsidRPr="00132E65">
        <w:rPr>
          <w:rtl/>
        </w:rPr>
        <w:t xml:space="preserve"> وقال الشعراني </w:t>
      </w:r>
      <w:r w:rsidRPr="007E2857">
        <w:rPr>
          <w:rStyle w:val="libFootnoteAlaemChar"/>
          <w:rtl/>
        </w:rPr>
        <w:t>رحمه‌الله</w:t>
      </w:r>
      <w:r w:rsidRPr="00132E65">
        <w:rPr>
          <w:rtl/>
        </w:rPr>
        <w:t xml:space="preserve"> في ذيل </w:t>
      </w:r>
      <w:r w:rsidRPr="00901459">
        <w:rPr>
          <w:rtl/>
        </w:rPr>
        <w:t>شرح المازندراني</w:t>
      </w:r>
      <w:r w:rsidRPr="00132E65">
        <w:rPr>
          <w:rtl/>
        </w:rPr>
        <w:t xml:space="preserve"> ، ج 7 ، ص 38 : « وأمّا نهر الخشوع فلا أعرفه</w:t>
      </w:r>
      <w:r>
        <w:rPr>
          <w:rtl/>
        </w:rPr>
        <w:t xml:space="preserve"> ..</w:t>
      </w:r>
      <w:r w:rsidRPr="00132E65">
        <w:rPr>
          <w:rtl/>
        </w:rPr>
        <w:t>. ومع ذلك يكثر في أسامي المواضع بماوراء النهر الكلمات المبدوّة بلفظة « خش » مثل : خشوفض ، وخشميثن. ولا يبعد أن يكون « خشوع » مصحّفة من مثل هذه الكلمات »</w:t>
      </w:r>
      <w:r>
        <w:rPr>
          <w:rtl/>
        </w:rPr>
        <w:t>.</w:t>
      </w:r>
    </w:p>
    <w:p w:rsidR="000C39D1" w:rsidRPr="00132E65" w:rsidRDefault="000C39D1" w:rsidP="000C39D1">
      <w:pPr>
        <w:pStyle w:val="libFootnote0"/>
        <w:rPr>
          <w:rtl/>
          <w:lang w:bidi="fa-IR"/>
        </w:rPr>
      </w:pPr>
      <w:r>
        <w:rPr>
          <w:rtl/>
        </w:rPr>
        <w:t>(2).</w:t>
      </w:r>
      <w:r w:rsidRPr="00132E65">
        <w:rPr>
          <w:rtl/>
        </w:rPr>
        <w:t xml:space="preserve"> « شاش » : بلد بماوراء النهر ، وقد يُمنَع. </w:t>
      </w:r>
      <w:r w:rsidRPr="00901459">
        <w:rPr>
          <w:rtl/>
        </w:rPr>
        <w:t>القاموس المحيط</w:t>
      </w:r>
      <w:r w:rsidRPr="00132E65">
        <w:rPr>
          <w:rtl/>
        </w:rPr>
        <w:t xml:space="preserve"> ، ج 1 ، ص 812 ( شوش )</w:t>
      </w:r>
      <w:r>
        <w:rPr>
          <w:rtl/>
        </w:rPr>
        <w:t>.</w:t>
      </w:r>
    </w:p>
    <w:tbl>
      <w:tblPr>
        <w:tblStyle w:val="TableGrid"/>
        <w:bidiVisual/>
        <w:tblW w:w="0" w:type="auto"/>
        <w:tblLook w:val="04A0" w:firstRow="1" w:lastRow="0" w:firstColumn="1" w:lastColumn="0" w:noHBand="0" w:noVBand="1"/>
      </w:tblPr>
      <w:tblGrid>
        <w:gridCol w:w="4006"/>
        <w:gridCol w:w="4006"/>
      </w:tblGrid>
      <w:tr w:rsidR="007E2857" w:rsidTr="007E2857">
        <w:tc>
          <w:tcPr>
            <w:tcW w:w="4006" w:type="dxa"/>
          </w:tcPr>
          <w:p w:rsidR="007E2857" w:rsidRDefault="007E2857" w:rsidP="000C39D1">
            <w:pPr>
              <w:pStyle w:val="libFootnote0"/>
              <w:rPr>
                <w:rtl/>
              </w:rPr>
            </w:pPr>
            <w:r>
              <w:rPr>
                <w:rtl/>
              </w:rPr>
              <w:t>(3).</w:t>
            </w:r>
            <w:r w:rsidRPr="00132E65">
              <w:rPr>
                <w:rtl/>
              </w:rPr>
              <w:t xml:space="preserve"> في </w:t>
            </w:r>
            <w:r w:rsidRPr="009D1ACE">
              <w:rPr>
                <w:rStyle w:val="libFootnoteBoldChar"/>
                <w:rtl/>
              </w:rPr>
              <w:t>الوافي</w:t>
            </w:r>
            <w:r w:rsidRPr="00132E65">
              <w:rPr>
                <w:rtl/>
              </w:rPr>
              <w:t xml:space="preserve"> : « وفرات »</w:t>
            </w:r>
            <w:r>
              <w:rPr>
                <w:rtl/>
              </w:rPr>
              <w:t>.</w:t>
            </w:r>
          </w:p>
        </w:tc>
        <w:tc>
          <w:tcPr>
            <w:tcW w:w="4006" w:type="dxa"/>
          </w:tcPr>
          <w:p w:rsidR="007E2857" w:rsidRDefault="007E2857" w:rsidP="000C39D1">
            <w:pPr>
              <w:pStyle w:val="libFootnote0"/>
              <w:rPr>
                <w:rtl/>
              </w:rPr>
            </w:pPr>
            <w:r>
              <w:rPr>
                <w:rtl/>
              </w:rPr>
              <w:t>(4). في«بف» :«واستقت</w:t>
            </w:r>
            <w:r w:rsidRPr="00132E65">
              <w:rPr>
                <w:rtl/>
              </w:rPr>
              <w:t>»</w:t>
            </w:r>
            <w:r>
              <w:rPr>
                <w:rtl/>
              </w:rPr>
              <w:t>.وفي الوسائل:«أو أسقت</w:t>
            </w:r>
            <w:r w:rsidRPr="00132E65">
              <w:rPr>
                <w:rtl/>
              </w:rPr>
              <w:t>»</w:t>
            </w:r>
            <w:r>
              <w:rPr>
                <w:rtl/>
              </w:rPr>
              <w:t>.</w:t>
            </w:r>
          </w:p>
        </w:tc>
      </w:tr>
      <w:tr w:rsidR="007E2857" w:rsidTr="007E2857">
        <w:tc>
          <w:tcPr>
            <w:tcW w:w="4006" w:type="dxa"/>
          </w:tcPr>
          <w:p w:rsidR="007E2857" w:rsidRDefault="007E2857" w:rsidP="000C39D1">
            <w:pPr>
              <w:pStyle w:val="libFootnote0"/>
              <w:rPr>
                <w:rtl/>
              </w:rPr>
            </w:pPr>
            <w:r>
              <w:rPr>
                <w:rtl/>
              </w:rPr>
              <w:t>(5).</w:t>
            </w:r>
            <w:r w:rsidRPr="00132E65">
              <w:rPr>
                <w:rtl/>
              </w:rPr>
              <w:t xml:space="preserve"> في البحار ، ج 60 : « منها »</w:t>
            </w:r>
            <w:r>
              <w:rPr>
                <w:rtl/>
              </w:rPr>
              <w:t>.</w:t>
            </w:r>
          </w:p>
        </w:tc>
        <w:tc>
          <w:tcPr>
            <w:tcW w:w="4006" w:type="dxa"/>
          </w:tcPr>
          <w:p w:rsidR="007E2857" w:rsidRDefault="007E2857" w:rsidP="000C39D1">
            <w:pPr>
              <w:pStyle w:val="libFootnote0"/>
              <w:rPr>
                <w:rtl/>
              </w:rPr>
            </w:pPr>
            <w:r>
              <w:rPr>
                <w:rtl/>
              </w:rPr>
              <w:t>(6).</w:t>
            </w:r>
            <w:r w:rsidRPr="00132E65">
              <w:rPr>
                <w:rtl/>
              </w:rPr>
              <w:t xml:space="preserve"> في حاشية « ض » : « ممّا »</w:t>
            </w:r>
            <w:r>
              <w:rPr>
                <w:rtl/>
              </w:rPr>
              <w:t>.</w:t>
            </w:r>
          </w:p>
        </w:tc>
      </w:tr>
    </w:tbl>
    <w:p w:rsidR="000C39D1" w:rsidRPr="00132E65" w:rsidRDefault="000C39D1" w:rsidP="000C39D1">
      <w:pPr>
        <w:pStyle w:val="libFootnote0"/>
        <w:rPr>
          <w:rtl/>
          <w:lang w:bidi="fa-IR"/>
        </w:rPr>
      </w:pPr>
      <w:r>
        <w:rPr>
          <w:rtl/>
        </w:rPr>
        <w:t>(7).</w:t>
      </w:r>
      <w:r w:rsidRPr="00132E65">
        <w:rPr>
          <w:rtl/>
        </w:rPr>
        <w:t xml:space="preserve"> أي غصبنا عليه. وفي « ض ، بح ، بر » : « غُصب » على صيغة المبنيّ للمفعول. وفي </w:t>
      </w:r>
      <w:r w:rsidRPr="009D1ACE">
        <w:rPr>
          <w:rStyle w:val="libFootnoteBoldChar"/>
          <w:rtl/>
        </w:rPr>
        <w:t>مرآة العقول</w:t>
      </w:r>
      <w:r w:rsidR="00082721">
        <w:rPr>
          <w:rtl/>
        </w:rPr>
        <w:t xml:space="preserve"> : « إل</w:t>
      </w:r>
      <w:r w:rsidR="00082721">
        <w:rPr>
          <w:rFonts w:hint="cs"/>
          <w:rtl/>
        </w:rPr>
        <w:t>ّ</w:t>
      </w:r>
      <w:r w:rsidR="00082721">
        <w:rPr>
          <w:rtl/>
        </w:rPr>
        <w:t>ا</w:t>
      </w:r>
      <w:r w:rsidRPr="00132E65">
        <w:rPr>
          <w:rtl/>
        </w:rPr>
        <w:t xml:space="preserve"> ما غصب‌عليه ، على بناء المعلوم ، والضمير للعدوّ ، أي غصبنا عليه</w:t>
      </w:r>
      <w:r w:rsidR="00082721">
        <w:rPr>
          <w:rtl/>
        </w:rPr>
        <w:t xml:space="preserve"> ؛ أو على بناء المجهول ، أي إل</w:t>
      </w:r>
      <w:r w:rsidR="00082721">
        <w:rPr>
          <w:rFonts w:hint="cs"/>
          <w:rtl/>
        </w:rPr>
        <w:t>ّ</w:t>
      </w:r>
      <w:r w:rsidR="00082721">
        <w:rPr>
          <w:rtl/>
        </w:rPr>
        <w:t>ا</w:t>
      </w:r>
      <w:r w:rsidRPr="00132E65">
        <w:rPr>
          <w:rtl/>
        </w:rPr>
        <w:t>شي‌ء صار مغصوباً عليه »</w:t>
      </w:r>
      <w:r>
        <w:rPr>
          <w:rtl/>
        </w:rPr>
        <w:t>.</w:t>
      </w:r>
      <w:r w:rsidR="007E2857">
        <w:rPr>
          <w:rtl/>
        </w:rPr>
        <w:t xml:space="preserve"> وفي حاشية بدرالدين : « إل</w:t>
      </w:r>
      <w:r w:rsidR="007E2857">
        <w:rPr>
          <w:rFonts w:hint="cs"/>
          <w:rtl/>
        </w:rPr>
        <w:t>ّ</w:t>
      </w:r>
      <w:r w:rsidR="007E2857">
        <w:rPr>
          <w:rtl/>
        </w:rPr>
        <w:t>ا</w:t>
      </w:r>
      <w:r w:rsidRPr="00132E65">
        <w:rPr>
          <w:rtl/>
        </w:rPr>
        <w:t xml:space="preserve"> ما غضب » ثمّ قال : « ما ، مصدريّة ، والاستثناء من</w:t>
      </w:r>
      <w:r w:rsidR="00082721">
        <w:rPr>
          <w:rtl/>
        </w:rPr>
        <w:t>قطع ، أي ليس له من ذلك شي‌ء إل</w:t>
      </w:r>
      <w:r w:rsidR="00082721">
        <w:rPr>
          <w:rFonts w:hint="cs"/>
          <w:rtl/>
        </w:rPr>
        <w:t>ّ</w:t>
      </w:r>
      <w:r w:rsidR="00082721">
        <w:rPr>
          <w:rtl/>
        </w:rPr>
        <w:t>ا</w:t>
      </w:r>
      <w:r w:rsidRPr="00132E65">
        <w:rPr>
          <w:rtl/>
        </w:rPr>
        <w:t>غضب الله عليه »</w:t>
      </w:r>
      <w:r>
        <w:rPr>
          <w:rtl/>
        </w:rPr>
        <w:t>.</w:t>
      </w:r>
      <w:r w:rsidRPr="00132E65">
        <w:rPr>
          <w:rtl/>
        </w:rPr>
        <w:t xml:space="preserve"> راجع </w:t>
      </w:r>
      <w:r w:rsidRPr="00901459">
        <w:rPr>
          <w:rtl/>
        </w:rPr>
        <w:t>حاشية بدرالدين</w:t>
      </w:r>
      <w:r w:rsidRPr="00132E65">
        <w:rPr>
          <w:rtl/>
        </w:rPr>
        <w:t xml:space="preserve"> ، ص 248.</w:t>
      </w:r>
    </w:p>
    <w:p w:rsidR="000C39D1" w:rsidRPr="00132E65" w:rsidRDefault="000C39D1" w:rsidP="000C39D1">
      <w:pPr>
        <w:pStyle w:val="libFootnote0"/>
        <w:rPr>
          <w:rtl/>
          <w:lang w:bidi="fa-IR"/>
        </w:rPr>
      </w:pPr>
      <w:r>
        <w:rPr>
          <w:rtl/>
        </w:rPr>
        <w:t>(8).</w:t>
      </w:r>
      <w:r w:rsidRPr="00132E65">
        <w:rPr>
          <w:rtl/>
        </w:rPr>
        <w:t xml:space="preserve"> هكذا في « ب ، ض » والبحار ، ج 60. وفي أكثر النسخ والمطبوع : « فيما »</w:t>
      </w:r>
      <w:r>
        <w:rPr>
          <w:rtl/>
        </w:rPr>
        <w:t>.</w:t>
      </w:r>
    </w:p>
    <w:p w:rsidR="000C39D1" w:rsidRPr="00132E65" w:rsidRDefault="000C39D1" w:rsidP="000C39D1">
      <w:pPr>
        <w:pStyle w:val="libFootnote0"/>
        <w:rPr>
          <w:rtl/>
          <w:lang w:bidi="fa-IR"/>
        </w:rPr>
      </w:pPr>
      <w:r>
        <w:rPr>
          <w:rtl/>
        </w:rPr>
        <w:t>(9).</w:t>
      </w:r>
      <w:r w:rsidRPr="00132E65">
        <w:rPr>
          <w:rtl/>
        </w:rPr>
        <w:t xml:space="preserve"> الأعراف </w:t>
      </w:r>
      <w:r w:rsidR="00082721">
        <w:rPr>
          <w:rtl/>
        </w:rPr>
        <w:t>(7)</w:t>
      </w:r>
      <w:r w:rsidRPr="00132E65">
        <w:rPr>
          <w:rtl/>
        </w:rPr>
        <w:t xml:space="preserve"> : 32.</w:t>
      </w:r>
    </w:p>
    <w:p w:rsidR="000C39D1" w:rsidRPr="00132E65" w:rsidRDefault="000C39D1" w:rsidP="000C39D1">
      <w:pPr>
        <w:pStyle w:val="libFootnote0"/>
        <w:rPr>
          <w:rtl/>
          <w:lang w:bidi="fa-IR"/>
        </w:rPr>
      </w:pPr>
      <w:r>
        <w:rPr>
          <w:rtl/>
        </w:rPr>
        <w:t>(10).</w:t>
      </w:r>
      <w:r w:rsidRPr="00132E65">
        <w:rPr>
          <w:rtl/>
        </w:rPr>
        <w:t xml:space="preserve"> </w:t>
      </w:r>
      <w:r w:rsidRPr="009D1ACE">
        <w:rPr>
          <w:rStyle w:val="libFootnoteBoldChar"/>
          <w:rtl/>
        </w:rPr>
        <w:t>الوافي</w:t>
      </w:r>
      <w:r w:rsidRPr="00132E65">
        <w:rPr>
          <w:rtl/>
        </w:rPr>
        <w:t xml:space="preserve"> ، ج 10 ، ص 287 ، ح 9592 ؛ </w:t>
      </w:r>
      <w:r w:rsidRPr="00901459">
        <w:rPr>
          <w:rtl/>
        </w:rPr>
        <w:t>الوسائل</w:t>
      </w:r>
      <w:r w:rsidRPr="00132E65">
        <w:rPr>
          <w:rtl/>
        </w:rPr>
        <w:t xml:space="preserve"> ، ج 9 ، ص 550 ، ح 12691 ؛ </w:t>
      </w:r>
      <w:r w:rsidRPr="00901459">
        <w:rPr>
          <w:rtl/>
        </w:rPr>
        <w:t>البحار</w:t>
      </w:r>
      <w:r w:rsidRPr="00132E65">
        <w:rPr>
          <w:rtl/>
        </w:rPr>
        <w:t xml:space="preserve"> ، ج 60 ، ص 46 ، ح 25 ؛ وج 65 ، ص 124.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فَجَاءَ الْجَوَابُ : « إِنَّ الدُّنْيَا ومَا عَلَيْهَا لِرَسُولِ اللهِ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901459">
        <w:rPr>
          <w:rtl/>
        </w:rPr>
        <w:t>1078</w:t>
      </w:r>
      <w:r w:rsidRPr="004325D8">
        <w:rPr>
          <w:rStyle w:val="libBold2Char"/>
          <w:rtl/>
        </w:rPr>
        <w:t xml:space="preserve"> / 7.</w:t>
      </w:r>
      <w:r w:rsidRPr="00132E65">
        <w:rPr>
          <w:rtl/>
          <w:lang w:bidi="fa-IR"/>
        </w:rPr>
        <w:t xml:space="preserve"> مُحَمَّدُ بْنُ يَحْيى ، عَنْ أَحْمَدَ بْنِ مُحَمَّدٍ رَفَعَهُ ، عَنْ عَمْرِو بْنِ شِمْرٍ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رَسُولُ اللهِ </w:t>
      </w:r>
      <w:r w:rsidRPr="0093484F">
        <w:rPr>
          <w:rStyle w:val="libAlaemChar"/>
          <w:rFonts w:eastAsiaTheme="minorHAnsi"/>
          <w:rtl/>
        </w:rPr>
        <w:t>صلى‌الله‌عليه‌وآله</w:t>
      </w:r>
      <w:r w:rsidRPr="00132E65">
        <w:rPr>
          <w:rtl/>
          <w:lang w:bidi="fa-IR"/>
        </w:rPr>
        <w:t xml:space="preserve"> : خَلَقَ اللهُ آدَمَ ، وأَقْطَعَهُ الدُّنْيَا قَطِيعَةً </w:t>
      </w:r>
      <w:r>
        <w:rPr>
          <w:rStyle w:val="libFootnotenumChar"/>
          <w:rtl/>
        </w:rPr>
        <w:t>(2)</w:t>
      </w:r>
      <w:r w:rsidRPr="00132E65">
        <w:rPr>
          <w:rtl/>
          <w:lang w:bidi="fa-IR"/>
        </w:rPr>
        <w:t xml:space="preserve"> ، فَمَا كَانَ لآِدَمَ </w:t>
      </w:r>
      <w:r w:rsidRPr="00071CF9">
        <w:rPr>
          <w:rStyle w:val="libAlaemChar"/>
          <w:rtl/>
        </w:rPr>
        <w:t>عليه‌السلام</w:t>
      </w:r>
      <w:r w:rsidRPr="00132E65">
        <w:rPr>
          <w:rtl/>
          <w:lang w:bidi="fa-IR"/>
        </w:rPr>
        <w:t xml:space="preserve"> ، فَلِرَسُولِ اللهِ </w:t>
      </w:r>
      <w:r w:rsidRPr="0093484F">
        <w:rPr>
          <w:rStyle w:val="libAlaemChar"/>
          <w:rFonts w:eastAsiaTheme="minorHAnsi"/>
          <w:rtl/>
        </w:rPr>
        <w:t>صلى‌الله‌عليه‌وآله</w:t>
      </w:r>
      <w:r w:rsidRPr="00132E65">
        <w:rPr>
          <w:rtl/>
          <w:lang w:bidi="fa-IR"/>
        </w:rPr>
        <w:t xml:space="preserve"> ، ومَا كَانَ لِرَسُولِ اللهِ </w:t>
      </w:r>
      <w:r w:rsidRPr="0093484F">
        <w:rPr>
          <w:rStyle w:val="libAlaemChar"/>
          <w:rFonts w:eastAsiaTheme="minorHAnsi"/>
          <w:rtl/>
        </w:rPr>
        <w:t>صلى‌الله‌عليه‌وآله</w:t>
      </w:r>
      <w:r w:rsidRPr="00132E65">
        <w:rPr>
          <w:rtl/>
          <w:lang w:bidi="fa-IR"/>
        </w:rPr>
        <w:t xml:space="preserve"> ، فَهُوَ لِلْأَئِمَّةِ مِنْ آلِ مُحَمَّدٍ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Default="000C39D1" w:rsidP="000C39D1">
      <w:pPr>
        <w:pStyle w:val="libNormal"/>
        <w:rPr>
          <w:rtl/>
          <w:lang w:bidi="fa-IR"/>
        </w:rPr>
      </w:pPr>
      <w:r w:rsidRPr="00901459">
        <w:rPr>
          <w:rtl/>
        </w:rPr>
        <w:t>1079</w:t>
      </w:r>
      <w:r w:rsidRPr="004325D8">
        <w:rPr>
          <w:rStyle w:val="libBold2Char"/>
          <w:rtl/>
        </w:rPr>
        <w:t xml:space="preserve"> / 8.</w:t>
      </w:r>
      <w:r w:rsidRPr="00132E65">
        <w:rPr>
          <w:rtl/>
          <w:lang w:bidi="fa-IR"/>
        </w:rPr>
        <w:t xml:space="preserve"> مُحَمَّدُ بْنُ إِسْمَاعِيلَ ، عَنِ الْفَضْلِ بْنِ شَاذَانَ ؛ </w:t>
      </w:r>
    </w:p>
    <w:p w:rsidR="000C39D1" w:rsidRPr="00132E65" w:rsidRDefault="000C39D1" w:rsidP="000C39D1">
      <w:pPr>
        <w:pStyle w:val="libNormal"/>
        <w:rPr>
          <w:rtl/>
          <w:lang w:bidi="fa-IR"/>
        </w:rPr>
      </w:pPr>
      <w:r w:rsidRPr="00132E65">
        <w:rPr>
          <w:rtl/>
          <w:lang w:bidi="fa-IR"/>
        </w:rPr>
        <w:t>وَعَلِيُّ بْنُ إِبْرَاهِيمَ ، عَنْ أَبِيهِ جَمِيعاً ، عَنِ ابْنِ أَبِي عُمَيْرٍ ، عَنْ حَفْصِ بْنِ الْبَخْتَرِيِّ :</w:t>
      </w:r>
    </w:p>
    <w:p w:rsidR="000C39D1" w:rsidRPr="00132E65" w:rsidRDefault="000C39D1" w:rsidP="00936037">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جَبْرَئِيلَ </w:t>
      </w:r>
      <w:r w:rsidRPr="00071CF9">
        <w:rPr>
          <w:rStyle w:val="libAlaemChar"/>
          <w:rtl/>
        </w:rPr>
        <w:t>عليه‌السلام</w:t>
      </w:r>
      <w:r w:rsidRPr="00132E65">
        <w:rPr>
          <w:rtl/>
          <w:lang w:bidi="fa-IR"/>
        </w:rPr>
        <w:t xml:space="preserve"> كَرى </w:t>
      </w:r>
      <w:r>
        <w:rPr>
          <w:rStyle w:val="libFootnotenumChar"/>
          <w:rtl/>
        </w:rPr>
        <w:t>(4)</w:t>
      </w:r>
      <w:r w:rsidRPr="00132E65">
        <w:rPr>
          <w:rtl/>
          <w:lang w:bidi="fa-IR"/>
        </w:rPr>
        <w:t xml:space="preserve"> بِرِجْلِهِ خَمْسَةَ أَنْهَارٍ</w:t>
      </w:r>
      <w:r>
        <w:rPr>
          <w:rtl/>
          <w:lang w:bidi="fa-IR"/>
        </w:rPr>
        <w:t xml:space="preserve"> - </w:t>
      </w:r>
      <w:r w:rsidRPr="00132E65">
        <w:rPr>
          <w:rtl/>
          <w:lang w:bidi="fa-IR"/>
        </w:rPr>
        <w:t xml:space="preserve">ولِسَانُ </w:t>
      </w:r>
      <w:r>
        <w:rPr>
          <w:rStyle w:val="libFootnotenumChar"/>
          <w:rtl/>
        </w:rPr>
        <w:t>(5)</w:t>
      </w:r>
      <w:r w:rsidRPr="00132E65">
        <w:rPr>
          <w:rtl/>
          <w:lang w:bidi="fa-IR"/>
        </w:rPr>
        <w:t xml:space="preserve"> الْمَاءِ يَتْبَعُهُ</w:t>
      </w:r>
      <w:r>
        <w:rPr>
          <w:rtl/>
          <w:lang w:bidi="fa-IR"/>
        </w:rPr>
        <w:t xml:space="preserve"> - </w:t>
      </w:r>
      <w:r w:rsidRPr="00132E65">
        <w:rPr>
          <w:rtl/>
          <w:lang w:bidi="fa-IR"/>
        </w:rPr>
        <w:t xml:space="preserve">: الْفُرَاتَ ، ودِجْلَةَ ، ونِيلَ مِصْرَ ، ومِهْرَانَ </w:t>
      </w:r>
      <w:r>
        <w:rPr>
          <w:rStyle w:val="libFootnotenumChar"/>
          <w:rtl/>
        </w:rPr>
        <w:t>(6)</w:t>
      </w:r>
      <w:r w:rsidRPr="00132E65">
        <w:rPr>
          <w:rtl/>
          <w:lang w:bidi="fa-IR"/>
        </w:rPr>
        <w:t xml:space="preserve"> ، ونَهَرَ بَلْخَ </w:t>
      </w:r>
      <w:r>
        <w:rPr>
          <w:rStyle w:val="libFootnotenumChar"/>
          <w:rtl/>
        </w:rPr>
        <w:t>(7)</w:t>
      </w:r>
      <w:r w:rsidRPr="00132E65">
        <w:rPr>
          <w:rtl/>
          <w:lang w:bidi="fa-IR"/>
        </w:rPr>
        <w:t xml:space="preserve"> ، فَمَا سَقَتْ أَوْ سُقِيَ مِنْهَا فَلِلْإِمَامِ ، والْبَحْرُ الْمُطِيفُ </w:t>
      </w:r>
      <w:r>
        <w:rPr>
          <w:rStyle w:val="libFootnotenumChar"/>
          <w:rtl/>
        </w:rPr>
        <w:t>(8)</w:t>
      </w:r>
      <w:r w:rsidR="00936037">
        <w:rPr>
          <w:rFonts w:hint="cs"/>
          <w:rtl/>
          <w:lang w:bidi="fa-IR"/>
        </w:rPr>
        <w:t>........................................................</w:t>
      </w:r>
      <w:r w:rsidR="00082721">
        <w:rPr>
          <w:rFonts w:hint="cs"/>
          <w:rtl/>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9D1ACE">
        <w:rPr>
          <w:rStyle w:val="libFootnoteBoldChar"/>
          <w:rtl/>
        </w:rPr>
        <w:t>الوافي</w:t>
      </w:r>
      <w:r w:rsidRPr="00132E65">
        <w:rPr>
          <w:rtl/>
        </w:rPr>
        <w:t xml:space="preserve"> ، ج 10 ، ص 289 ، ح 9594.</w:t>
      </w:r>
    </w:p>
    <w:p w:rsidR="000C39D1" w:rsidRPr="00132E65" w:rsidRDefault="000C39D1" w:rsidP="000C39D1">
      <w:pPr>
        <w:pStyle w:val="libFootnote0"/>
        <w:rPr>
          <w:rtl/>
          <w:lang w:bidi="fa-IR"/>
        </w:rPr>
      </w:pPr>
      <w:r>
        <w:rPr>
          <w:rtl/>
        </w:rPr>
        <w:t>(2).</w:t>
      </w:r>
      <w:r w:rsidRPr="00132E65">
        <w:rPr>
          <w:rtl/>
        </w:rPr>
        <w:t xml:space="preserve"> « أقطعه الدنيا قطيعةً » ، أي جعلها له قطيعة يتملّكها ويستبدّ به وينفرد. والإقطاع يكون تمليكاً وغير تمليك. ومضى معنى القطيعة في الحديث الأوّل من هذا الباب. راجع : </w:t>
      </w:r>
      <w:r w:rsidRPr="00901459">
        <w:rPr>
          <w:rtl/>
        </w:rPr>
        <w:t>النهاية</w:t>
      </w:r>
      <w:r w:rsidRPr="00132E65">
        <w:rPr>
          <w:rtl/>
        </w:rPr>
        <w:t xml:space="preserve"> ، ج 4 ، ص 82 ( قطع )</w:t>
      </w:r>
      <w:r>
        <w:rPr>
          <w:rtl/>
        </w:rPr>
        <w:t>.</w:t>
      </w:r>
    </w:p>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10 ، ص 287 ، ح 9591.</w:t>
      </w:r>
    </w:p>
    <w:p w:rsidR="000C39D1" w:rsidRPr="00132E65" w:rsidRDefault="000C39D1" w:rsidP="000C39D1">
      <w:pPr>
        <w:pStyle w:val="libFootnote0"/>
        <w:rPr>
          <w:rtl/>
          <w:lang w:bidi="fa-IR"/>
        </w:rPr>
      </w:pPr>
      <w:r>
        <w:rPr>
          <w:rtl/>
        </w:rPr>
        <w:t>(4).</w:t>
      </w:r>
      <w:r w:rsidRPr="00132E65">
        <w:rPr>
          <w:rtl/>
        </w:rPr>
        <w:t xml:space="preserve"> قال الجوهري : « كريت النهرَ كَرْياً ، أي حفرته »</w:t>
      </w:r>
      <w:r>
        <w:rPr>
          <w:rtl/>
        </w:rPr>
        <w:t>.</w:t>
      </w:r>
      <w:r w:rsidRPr="00132E65">
        <w:rPr>
          <w:rtl/>
        </w:rPr>
        <w:t xml:space="preserve"> وقال الفيروزآبادي : « كري</w:t>
      </w:r>
      <w:r>
        <w:rPr>
          <w:rtl/>
        </w:rPr>
        <w:t xml:space="preserve"> - </w:t>
      </w:r>
      <w:r w:rsidRPr="00132E65">
        <w:rPr>
          <w:rtl/>
        </w:rPr>
        <w:t>كرضي</w:t>
      </w:r>
      <w:r>
        <w:rPr>
          <w:rtl/>
        </w:rPr>
        <w:t xml:space="preserve"> - </w:t>
      </w:r>
      <w:r w:rsidRPr="00132E65">
        <w:rPr>
          <w:rtl/>
        </w:rPr>
        <w:t>النهر : استحدث‌حَفره »</w:t>
      </w:r>
      <w:r>
        <w:rPr>
          <w:rtl/>
        </w:rPr>
        <w:t>.</w:t>
      </w:r>
      <w:r w:rsidRPr="00132E65">
        <w:rPr>
          <w:rtl/>
        </w:rPr>
        <w:t xml:space="preserve"> واختاره المجلسي. راجع : </w:t>
      </w:r>
      <w:r w:rsidRPr="00901459">
        <w:rPr>
          <w:rtl/>
        </w:rPr>
        <w:t>الصحاح</w:t>
      </w:r>
      <w:r w:rsidRPr="00132E65">
        <w:rPr>
          <w:rtl/>
        </w:rPr>
        <w:t xml:space="preserve"> ، ج 6 ، ص 2473 ؛ </w:t>
      </w:r>
      <w:r w:rsidRPr="00901459">
        <w:rPr>
          <w:rtl/>
        </w:rPr>
        <w:t>القاموس المحيط</w:t>
      </w:r>
      <w:r w:rsidRPr="00132E65">
        <w:rPr>
          <w:rtl/>
        </w:rPr>
        <w:t xml:space="preserve"> ، ج 2 ، ص 1740 ( كرى )</w:t>
      </w:r>
      <w:r>
        <w:rPr>
          <w:rtl/>
        </w:rPr>
        <w:t>.</w:t>
      </w:r>
    </w:p>
    <w:p w:rsidR="000C39D1" w:rsidRPr="00132E65" w:rsidRDefault="000C39D1" w:rsidP="000C39D1">
      <w:pPr>
        <w:pStyle w:val="libFootnote0"/>
        <w:rPr>
          <w:rtl/>
          <w:lang w:bidi="fa-IR"/>
        </w:rPr>
      </w:pPr>
      <w:r>
        <w:rPr>
          <w:rtl/>
        </w:rPr>
        <w:t>(5).</w:t>
      </w:r>
      <w:r w:rsidRPr="00132E65">
        <w:rPr>
          <w:rtl/>
        </w:rPr>
        <w:t xml:space="preserve"> في حاشية « ف » : « لسال »</w:t>
      </w:r>
      <w:r>
        <w:rPr>
          <w:rtl/>
        </w:rPr>
        <w:t>.</w:t>
      </w:r>
    </w:p>
    <w:p w:rsidR="000C39D1" w:rsidRPr="00132E65" w:rsidRDefault="000C39D1" w:rsidP="000C39D1">
      <w:pPr>
        <w:pStyle w:val="libFootnote0"/>
        <w:rPr>
          <w:rtl/>
          <w:lang w:bidi="fa-IR"/>
        </w:rPr>
      </w:pPr>
      <w:r>
        <w:rPr>
          <w:rtl/>
        </w:rPr>
        <w:t>(6).</w:t>
      </w:r>
      <w:r w:rsidRPr="00132E65">
        <w:rPr>
          <w:rtl/>
        </w:rPr>
        <w:t xml:space="preserve"> في « ب » </w:t>
      </w:r>
      <w:r>
        <w:rPr>
          <w:rtl/>
        </w:rPr>
        <w:t xml:space="preserve">: - </w:t>
      </w:r>
      <w:r w:rsidRPr="00132E65">
        <w:rPr>
          <w:rtl/>
        </w:rPr>
        <w:t>« ومهران »</w:t>
      </w:r>
      <w:r>
        <w:rPr>
          <w:rtl/>
        </w:rPr>
        <w:t>.</w:t>
      </w:r>
    </w:p>
    <w:p w:rsidR="000C39D1" w:rsidRPr="00132E65" w:rsidRDefault="000C39D1" w:rsidP="000C39D1">
      <w:pPr>
        <w:pStyle w:val="libFootnote0"/>
        <w:rPr>
          <w:rtl/>
          <w:lang w:bidi="fa-IR"/>
        </w:rPr>
      </w:pPr>
      <w:r>
        <w:rPr>
          <w:rtl/>
        </w:rPr>
        <w:t>(7).</w:t>
      </w:r>
      <w:r w:rsidRPr="00132E65">
        <w:rPr>
          <w:rtl/>
        </w:rPr>
        <w:t xml:space="preserve"> في « بر » :</w:t>
      </w:r>
      <w:r>
        <w:rPr>
          <w:rtl/>
        </w:rPr>
        <w:t xml:space="preserve"> + </w:t>
      </w:r>
      <w:r w:rsidRPr="00132E65">
        <w:rPr>
          <w:rtl/>
        </w:rPr>
        <w:t>« والبحر المطيف بالدنيا »</w:t>
      </w:r>
      <w:r>
        <w:rPr>
          <w:rtl/>
        </w:rPr>
        <w:t>.</w:t>
      </w:r>
    </w:p>
    <w:p w:rsidR="000C39D1" w:rsidRPr="00132E65" w:rsidRDefault="000C39D1" w:rsidP="000C39D1">
      <w:pPr>
        <w:pStyle w:val="libFootnote0"/>
        <w:rPr>
          <w:rtl/>
          <w:lang w:bidi="fa-IR"/>
        </w:rPr>
      </w:pPr>
      <w:r>
        <w:rPr>
          <w:rtl/>
        </w:rPr>
        <w:t>(8).</w:t>
      </w:r>
      <w:r w:rsidRPr="00132E65">
        <w:rPr>
          <w:rtl/>
        </w:rPr>
        <w:t xml:space="preserve"> قرئ : ال</w:t>
      </w:r>
      <w:r w:rsidR="00082721">
        <w:rPr>
          <w:rFonts w:hint="cs"/>
          <w:rtl/>
        </w:rPr>
        <w:t>ـ</w:t>
      </w:r>
      <w:r w:rsidRPr="00132E65">
        <w:rPr>
          <w:rtl/>
        </w:rPr>
        <w:t>مُطْيَف ، اسم مفعول أو اسم مكان من الطواف ، وهو ضعيف ؛ لمجي‌ء الأوّل على مُطاف أو مطوف ، والثاني على مُطاف أو مَطاف. وقرئ أيضاً : ال</w:t>
      </w:r>
      <w:r w:rsidR="00082721">
        <w:rPr>
          <w:rFonts w:hint="cs"/>
          <w:rtl/>
        </w:rPr>
        <w:t>ـ</w:t>
      </w:r>
      <w:r w:rsidRPr="00132E65">
        <w:rPr>
          <w:rtl/>
        </w:rPr>
        <w:t xml:space="preserve">مُطيَّف ، وهو أيضاً غير صحيح ؛ لأنّ المفعول منه : مُطوَّف ، على المشهور. راجع : </w:t>
      </w:r>
      <w:r w:rsidRPr="009D1ACE">
        <w:rPr>
          <w:rStyle w:val="libFootnoteBoldChar"/>
          <w:rtl/>
        </w:rPr>
        <w:t>مرآة العقول</w:t>
      </w:r>
      <w:r w:rsidRPr="00132E65">
        <w:rPr>
          <w:rtl/>
        </w:rPr>
        <w:t xml:space="preserve"> ، ج 4 ، ص 354.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بِالدُّنْيَا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82721" w:rsidP="000C39D1">
      <w:pPr>
        <w:pStyle w:val="libNormal"/>
        <w:rPr>
          <w:rtl/>
          <w:lang w:bidi="fa-IR"/>
        </w:rPr>
      </w:pPr>
      <w:r>
        <w:rPr>
          <w:rFonts w:hint="cs"/>
          <w:rtl/>
          <w:lang w:bidi="fa-IR"/>
        </w:rPr>
        <w:t xml:space="preserve">* </w:t>
      </w:r>
      <w:r w:rsidR="000C39D1" w:rsidRPr="00132E65">
        <w:rPr>
          <w:rtl/>
          <w:lang w:bidi="fa-IR"/>
        </w:rPr>
        <w:t xml:space="preserve">عَلِيُّ بْنُ إِبْرَاهِيمَ ، عَنِ السِّنْدِيِّ </w:t>
      </w:r>
      <w:r w:rsidR="000C39D1">
        <w:rPr>
          <w:rStyle w:val="libFootnotenumChar"/>
          <w:rtl/>
        </w:rPr>
        <w:t>(3)</w:t>
      </w:r>
      <w:r w:rsidR="000C39D1" w:rsidRPr="00132E65">
        <w:rPr>
          <w:rtl/>
          <w:lang w:bidi="fa-IR"/>
        </w:rPr>
        <w:t xml:space="preserve"> بْنِ الرَّبِيعِ ، قَالَ :</w:t>
      </w:r>
    </w:p>
    <w:p w:rsidR="000C39D1" w:rsidRPr="00132E65" w:rsidRDefault="000C39D1" w:rsidP="000C39D1">
      <w:pPr>
        <w:pStyle w:val="libNormal"/>
        <w:rPr>
          <w:rtl/>
          <w:lang w:bidi="fa-IR"/>
        </w:rPr>
      </w:pPr>
      <w:r w:rsidRPr="00132E65">
        <w:rPr>
          <w:rtl/>
          <w:lang w:bidi="fa-IR"/>
        </w:rPr>
        <w:t xml:space="preserve">لَمْ يَكُنِ ابْنُ أَبِي عُمَيْرٍ يَعْدِلُ بِهِشَامِ بْنِ الْحَكَمِ شَيْئاً ، وكَانَ لَايُغِبُّ </w:t>
      </w:r>
      <w:r>
        <w:rPr>
          <w:rStyle w:val="libFootnotenumChar"/>
          <w:rtl/>
        </w:rPr>
        <w:t>(4)</w:t>
      </w:r>
      <w:r w:rsidRPr="00132E65">
        <w:rPr>
          <w:rtl/>
          <w:lang w:bidi="fa-IR"/>
        </w:rPr>
        <w:t xml:space="preserve"> إِتْيَانَهُ ، ثُمَّ انْقَطَعَ عَنْهُ وخَالَفَهُ </w:t>
      </w:r>
      <w:r>
        <w:rPr>
          <w:rStyle w:val="libFootnotenumChar"/>
          <w:rtl/>
        </w:rPr>
        <w:t>(5)</w:t>
      </w:r>
      <w:r w:rsidRPr="00132E65">
        <w:rPr>
          <w:rtl/>
          <w:lang w:bidi="fa-IR"/>
        </w:rPr>
        <w:t xml:space="preserve"> ، وكَانَ سَبَبُ ذلِكَ أَنَّ أَبَا مَالِكَ الْحَضْرَمِيَّ كَانَ أَحَدَ رِجَالِ هِشَامٍ ، وَ</w:t>
      </w:r>
      <w:r>
        <w:rPr>
          <w:rFonts w:hint="cs"/>
          <w:rtl/>
          <w:lang w:bidi="fa-IR"/>
        </w:rPr>
        <w:t xml:space="preserve"> </w:t>
      </w:r>
      <w:r>
        <w:rPr>
          <w:rStyle w:val="libFootnotenumChar"/>
          <w:rtl/>
        </w:rPr>
        <w:t>(6)</w:t>
      </w:r>
      <w:r w:rsidRPr="00132E65">
        <w:rPr>
          <w:rtl/>
          <w:lang w:bidi="fa-IR"/>
        </w:rPr>
        <w:t xml:space="preserve"> و</w:t>
      </w:r>
      <w:r w:rsidR="00082721">
        <w:rPr>
          <w:rFonts w:hint="cs"/>
          <w:rtl/>
          <w:lang w:bidi="fa-IR"/>
        </w:rPr>
        <w:t>َ</w:t>
      </w:r>
      <w:r w:rsidRPr="00132E65">
        <w:rPr>
          <w:rtl/>
          <w:lang w:bidi="fa-IR"/>
        </w:rPr>
        <w:t xml:space="preserve">قَعَ بَيْنَهُ وبَيْنَ ابْنِ أَبِي عُمَيْرٍ مُلَاحَاةٌ </w:t>
      </w:r>
      <w:r>
        <w:rPr>
          <w:rStyle w:val="libFootnotenumChar"/>
          <w:rtl/>
        </w:rPr>
        <w:t>(7)</w:t>
      </w:r>
      <w:r w:rsidRPr="00132E65">
        <w:rPr>
          <w:rtl/>
          <w:lang w:bidi="fa-IR"/>
        </w:rPr>
        <w:t xml:space="preserve"> فِي شَيْ‌ءٍ مِنَ الْإِمَامَةِ ، قَالَ ابْنُ أَبِي عُمَيْرٍ :</w:t>
      </w:r>
      <w:r>
        <w:rPr>
          <w:rFonts w:hint="cs"/>
          <w:rtl/>
          <w:lang w:bidi="fa-IR"/>
        </w:rPr>
        <w:t xml:space="preserve"> </w:t>
      </w:r>
      <w:r w:rsidRPr="00132E65">
        <w:rPr>
          <w:rtl/>
          <w:lang w:bidi="fa-IR"/>
        </w:rPr>
        <w:t xml:space="preserve">الدُّنْيَا </w:t>
      </w:r>
      <w:r>
        <w:rPr>
          <w:rStyle w:val="libFootnotenumChar"/>
          <w:rtl/>
        </w:rPr>
        <w:t>(8)</w:t>
      </w:r>
      <w:r w:rsidRPr="00132E65">
        <w:rPr>
          <w:rtl/>
          <w:lang w:bidi="fa-IR"/>
        </w:rPr>
        <w:t xml:space="preserve"> كُلُّهَا لِلْإِمَامِ </w:t>
      </w:r>
      <w:r w:rsidRPr="00071CF9">
        <w:rPr>
          <w:rStyle w:val="libAlaemChar"/>
          <w:rtl/>
        </w:rPr>
        <w:t>عليه‌السلام</w:t>
      </w:r>
      <w:r w:rsidRPr="00132E65">
        <w:rPr>
          <w:rtl/>
          <w:lang w:bidi="fa-IR"/>
        </w:rPr>
        <w:t xml:space="preserve"> عَلى جِهَةِ الْمِلْكِ ، وإِنَّهُ أَوْلى بِهَا مِنَ الَّذِينَ هِيَ </w:t>
      </w:r>
      <w:r>
        <w:rPr>
          <w:rStyle w:val="libFootnotenumChar"/>
          <w:rtl/>
        </w:rPr>
        <w:t>(9)</w:t>
      </w:r>
      <w:r w:rsidRPr="00132E65">
        <w:rPr>
          <w:rtl/>
          <w:lang w:bidi="fa-IR"/>
        </w:rPr>
        <w:t xml:space="preserve"> فِي أَيْدِيهِمْ.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ف ، بح ، بس » وشرح المازندراني و</w:t>
      </w:r>
      <w:r w:rsidRPr="009D1ACE">
        <w:rPr>
          <w:rStyle w:val="libFootnoteBoldChar"/>
          <w:rtl/>
        </w:rPr>
        <w:t>الوافي</w:t>
      </w:r>
      <w:r w:rsidRPr="00132E65">
        <w:rPr>
          <w:rtl/>
        </w:rPr>
        <w:t xml:space="preserve"> والبحار وا</w:t>
      </w:r>
      <w:r w:rsidR="00936037">
        <w:rPr>
          <w:rtl/>
        </w:rPr>
        <w:t>لخصال وفقه الرضا. وفي « بر ، بف</w:t>
      </w:r>
      <w:r w:rsidRPr="00132E65">
        <w:rPr>
          <w:rtl/>
        </w:rPr>
        <w:t xml:space="preserve">» </w:t>
      </w:r>
      <w:r>
        <w:rPr>
          <w:rtl/>
        </w:rPr>
        <w:t xml:space="preserve">: - </w:t>
      </w:r>
      <w:r w:rsidRPr="00132E65">
        <w:rPr>
          <w:rtl/>
        </w:rPr>
        <w:t>« والبحر المطيف بالدنيا »</w:t>
      </w:r>
      <w:r>
        <w:rPr>
          <w:rtl/>
        </w:rPr>
        <w:t>.</w:t>
      </w:r>
      <w:r w:rsidRPr="00132E65">
        <w:rPr>
          <w:rtl/>
        </w:rPr>
        <w:t xml:space="preserve"> وفي المطبوع :</w:t>
      </w:r>
      <w:r>
        <w:rPr>
          <w:rtl/>
        </w:rPr>
        <w:t xml:space="preserve"> + </w:t>
      </w:r>
      <w:r w:rsidRPr="00132E65">
        <w:rPr>
          <w:rtl/>
        </w:rPr>
        <w:t>« [ للإمام ] »</w:t>
      </w:r>
      <w:r>
        <w:rPr>
          <w:rtl/>
        </w:rPr>
        <w:t>.</w:t>
      </w:r>
      <w:r w:rsidRPr="00132E65">
        <w:rPr>
          <w:rtl/>
        </w:rPr>
        <w:t xml:space="preserve"> وفي الفقيه :</w:t>
      </w:r>
      <w:r>
        <w:rPr>
          <w:rtl/>
        </w:rPr>
        <w:t xml:space="preserve"> + </w:t>
      </w:r>
      <w:r w:rsidRPr="00132E65">
        <w:rPr>
          <w:rtl/>
        </w:rPr>
        <w:t xml:space="preserve">« وهو افْسِيكونُ » والظاهر أنّ هذه الزيادة من الصدوق </w:t>
      </w:r>
      <w:r w:rsidRPr="00082721">
        <w:rPr>
          <w:rStyle w:val="libFootnoteAlaemChar"/>
          <w:rtl/>
        </w:rPr>
        <w:t>رحمه‌الله</w:t>
      </w:r>
      <w:r w:rsidRPr="00132E65">
        <w:rPr>
          <w:rtl/>
        </w:rPr>
        <w:t xml:space="preserve"> ، فسّر به البحر المطيف بالدنيا. والحقّ أنّه اشتبه عليه الأمر ؛ لأنّه معرّب « آبسكون » وهو بحر الخزر ، وليس مطيفاً بالدنيا. وقال المازندراني في شرحه : « قوله : والبحر</w:t>
      </w:r>
      <w:r>
        <w:rPr>
          <w:rtl/>
        </w:rPr>
        <w:t xml:space="preserve"> ..</w:t>
      </w:r>
      <w:r w:rsidRPr="00132E65">
        <w:rPr>
          <w:rtl/>
        </w:rPr>
        <w:t>. ، بالنصب ، عطف على خمسة أنهار ، أو بالرفع ، على أنّه مبتدأ خبره محذوف ، والجملة معطوفة على قوله : « إنّ جبرئيل »</w:t>
      </w:r>
      <w:r>
        <w:rPr>
          <w:rtl/>
        </w:rPr>
        <w:t>.</w:t>
      </w:r>
      <w:r w:rsidRPr="00132E65">
        <w:rPr>
          <w:rtl/>
        </w:rPr>
        <w:t xml:space="preserve"> أي قال : « البحر المطيف بالدنيا للإمام. وفيه مبالغة على أنّ الدنيا وما فيها له »</w:t>
      </w:r>
      <w:r>
        <w:rPr>
          <w:rtl/>
        </w:rPr>
        <w:t>.</w:t>
      </w:r>
    </w:p>
    <w:p w:rsidR="000C39D1" w:rsidRPr="00132E65" w:rsidRDefault="000C39D1" w:rsidP="00082721">
      <w:pPr>
        <w:pStyle w:val="libFootnote0"/>
        <w:rPr>
          <w:rtl/>
          <w:lang w:bidi="fa-IR"/>
        </w:rPr>
      </w:pPr>
      <w:r>
        <w:rPr>
          <w:rtl/>
        </w:rPr>
        <w:t>(2).</w:t>
      </w:r>
      <w:r w:rsidRPr="00132E65">
        <w:rPr>
          <w:rtl/>
        </w:rPr>
        <w:t xml:space="preserve"> </w:t>
      </w:r>
      <w:r w:rsidRPr="00901459">
        <w:rPr>
          <w:rtl/>
        </w:rPr>
        <w:t>الفقيه</w:t>
      </w:r>
      <w:r w:rsidRPr="00132E65">
        <w:rPr>
          <w:rtl/>
        </w:rPr>
        <w:t xml:space="preserve"> ، ج 2 ، ص 45 ، ح 1662 ؛ و</w:t>
      </w:r>
      <w:r w:rsidRPr="00901459">
        <w:rPr>
          <w:rtl/>
        </w:rPr>
        <w:t>الخصال</w:t>
      </w:r>
      <w:r w:rsidRPr="00132E65">
        <w:rPr>
          <w:rtl/>
        </w:rPr>
        <w:t xml:space="preserve"> ، ص 292 ، أبواب الخمسة ، ح 54 ، بإسنادهما عن ابن أبي عمير ، عن حفص بن البختري. </w:t>
      </w:r>
      <w:r w:rsidRPr="00901459">
        <w:rPr>
          <w:rtl/>
        </w:rPr>
        <w:t>فقه الرضا</w:t>
      </w:r>
      <w:r w:rsidRPr="00132E65">
        <w:rPr>
          <w:rtl/>
        </w:rPr>
        <w:t xml:space="preserve"> ، ص 293</w:t>
      </w:r>
      <w:r w:rsidR="00082721">
        <w:rPr>
          <w:rFonts w:hint="cs"/>
          <w:rtl/>
        </w:rPr>
        <w:t>.</w:t>
      </w:r>
      <w:r w:rsidRPr="009D1ACE">
        <w:rPr>
          <w:rStyle w:val="libFootnoteBoldChar"/>
          <w:rtl/>
        </w:rPr>
        <w:t>الوافي</w:t>
      </w:r>
      <w:r w:rsidRPr="00132E65">
        <w:rPr>
          <w:rtl/>
        </w:rPr>
        <w:t xml:space="preserve"> ، ج 10 ، ص 288 ، ح 9593 ؛ </w:t>
      </w:r>
      <w:r w:rsidRPr="00901459">
        <w:rPr>
          <w:rtl/>
        </w:rPr>
        <w:t>الوسائل</w:t>
      </w:r>
      <w:r w:rsidRPr="00132E65">
        <w:rPr>
          <w:rtl/>
        </w:rPr>
        <w:t xml:space="preserve"> ، ج 9 ، ص 530 ، ح 12642 ؛ </w:t>
      </w:r>
      <w:r w:rsidRPr="00901459">
        <w:rPr>
          <w:rtl/>
        </w:rPr>
        <w:t>البحار</w:t>
      </w:r>
      <w:r w:rsidRPr="00132E65">
        <w:rPr>
          <w:rtl/>
        </w:rPr>
        <w:t xml:space="preserve"> ، ج 60 ، ص 43 ، ح 13.</w:t>
      </w:r>
    </w:p>
    <w:p w:rsidR="000C39D1" w:rsidRPr="00132E65" w:rsidRDefault="000C39D1" w:rsidP="000C39D1">
      <w:pPr>
        <w:pStyle w:val="libFootnote0"/>
        <w:rPr>
          <w:rtl/>
          <w:lang w:bidi="fa-IR"/>
        </w:rPr>
      </w:pPr>
      <w:r>
        <w:rPr>
          <w:rtl/>
        </w:rPr>
        <w:t>(3).</w:t>
      </w:r>
      <w:r w:rsidRPr="00132E65">
        <w:rPr>
          <w:rtl/>
        </w:rPr>
        <w:t xml:space="preserve"> هكذا في « ف ، بر »</w:t>
      </w:r>
      <w:r>
        <w:rPr>
          <w:rtl/>
        </w:rPr>
        <w:t>.</w:t>
      </w:r>
      <w:r w:rsidRPr="00132E65">
        <w:rPr>
          <w:rtl/>
        </w:rPr>
        <w:t xml:space="preserve"> وفي « ألف ، ب ، ج ، ض ، و، بح ، بس ، بف ، جر » والمطبوع : « السري »</w:t>
      </w:r>
      <w:r>
        <w:rPr>
          <w:rtl/>
        </w:rPr>
        <w:t>.</w:t>
      </w:r>
    </w:p>
    <w:p w:rsidR="000C39D1" w:rsidRPr="00132E65" w:rsidRDefault="000C39D1" w:rsidP="000C39D1">
      <w:pPr>
        <w:pStyle w:val="libFootnote0"/>
        <w:rPr>
          <w:rtl/>
          <w:lang w:bidi="fa-IR"/>
        </w:rPr>
      </w:pPr>
      <w:r w:rsidRPr="0046781C">
        <w:rPr>
          <w:rtl/>
        </w:rPr>
        <w:t xml:space="preserve">والصواب ما أثبتناه ؛ فقد ترجم النجاشي والشيخ الطوسي لِلسندي بن الربيع البغدادي ، وروى بعنوان السندي بن الربيع. وسندي بن الربيع في عددٍ من الأسناد. راجع : </w:t>
      </w:r>
      <w:r w:rsidRPr="00901459">
        <w:rPr>
          <w:rtl/>
        </w:rPr>
        <w:t>رجال النجاشي</w:t>
      </w:r>
      <w:r w:rsidRPr="0046781C">
        <w:rPr>
          <w:rtl/>
        </w:rPr>
        <w:t xml:space="preserve"> ، ص 187 ، الرقم 496 ؛ </w:t>
      </w:r>
      <w:r w:rsidRPr="00901459">
        <w:rPr>
          <w:rtl/>
        </w:rPr>
        <w:t>الفهرست</w:t>
      </w:r>
      <w:r w:rsidRPr="0046781C">
        <w:rPr>
          <w:rtl/>
        </w:rPr>
        <w:t xml:space="preserve"> للطوسي ، ص 229 ، الرقم 343 ؛ </w:t>
      </w:r>
      <w:r w:rsidRPr="00901459">
        <w:rPr>
          <w:rtl/>
        </w:rPr>
        <w:t>معجم رجال الحديث</w:t>
      </w:r>
      <w:r w:rsidRPr="0046781C">
        <w:rPr>
          <w:rtl/>
        </w:rPr>
        <w:t xml:space="preserve"> ، ج 8 ، ص 314</w:t>
      </w:r>
      <w:r>
        <w:rPr>
          <w:rtl/>
        </w:rPr>
        <w:t xml:space="preserve"> - </w:t>
      </w:r>
      <w:r w:rsidRPr="0046781C">
        <w:rPr>
          <w:rtl/>
        </w:rPr>
        <w:t>316.</w:t>
      </w:r>
    </w:p>
    <w:p w:rsidR="000C39D1" w:rsidRPr="00132E65" w:rsidRDefault="000C39D1" w:rsidP="000C39D1">
      <w:pPr>
        <w:pStyle w:val="libFootnote0"/>
        <w:rPr>
          <w:rtl/>
          <w:lang w:bidi="fa-IR"/>
        </w:rPr>
      </w:pPr>
      <w:r w:rsidRPr="0046781C">
        <w:rPr>
          <w:rtl/>
        </w:rPr>
        <w:t>وأمّا السري بن الربيع فلم نجد له ذكراً في موضع من الأسناد وكتب الرجال.</w:t>
      </w:r>
    </w:p>
    <w:p w:rsidR="000C39D1" w:rsidRPr="00132E65" w:rsidRDefault="000C39D1" w:rsidP="000C39D1">
      <w:pPr>
        <w:pStyle w:val="libFootnote0"/>
        <w:rPr>
          <w:rtl/>
          <w:lang w:bidi="fa-IR"/>
        </w:rPr>
      </w:pPr>
      <w:r>
        <w:rPr>
          <w:rtl/>
        </w:rPr>
        <w:t>(4).</w:t>
      </w:r>
      <w:r w:rsidRPr="00132E65">
        <w:rPr>
          <w:rtl/>
        </w:rPr>
        <w:t xml:space="preserve"> أي لا يجعل إتيانه وزيارته غِبّاً ، بأن أتاه يوماً وتركه يوماً ، بل كان يأتيه كلّ يوم. يقال : أغْبَبْتُ القوم وغَبَبْتُ‌عنهم أيضاً ، إذا جئت يوماً وتركت يوماً. راجع : </w:t>
      </w:r>
      <w:r w:rsidRPr="00901459">
        <w:rPr>
          <w:rtl/>
        </w:rPr>
        <w:t>الصحاح</w:t>
      </w:r>
      <w:r w:rsidRPr="00132E65">
        <w:rPr>
          <w:rtl/>
        </w:rPr>
        <w:t xml:space="preserve"> ، ج 1 ، ص 190 ( غبب )</w:t>
      </w:r>
      <w:r>
        <w:rPr>
          <w:rtl/>
        </w:rPr>
        <w:t>.</w:t>
      </w:r>
      <w:r w:rsidRPr="00132E65">
        <w:rPr>
          <w:rtl/>
        </w:rPr>
        <w:t xml:space="preserve"> وفي « ج » : « لا يعيّب »</w:t>
      </w:r>
      <w:r>
        <w:rPr>
          <w:rtl/>
        </w:rPr>
        <w:t>.</w:t>
      </w:r>
      <w:r w:rsidRPr="00132E65">
        <w:rPr>
          <w:rtl/>
        </w:rPr>
        <w:t xml:space="preserve"> ويجوز فيه المجرّد ورفع « الإتيان » أي لا يكون إتيانه غبّاً.</w:t>
      </w:r>
    </w:p>
    <w:tbl>
      <w:tblPr>
        <w:tblStyle w:val="TableGrid"/>
        <w:bidiVisual/>
        <w:tblW w:w="0" w:type="auto"/>
        <w:tblLook w:val="04A0" w:firstRow="1" w:lastRow="0" w:firstColumn="1" w:lastColumn="0" w:noHBand="0" w:noVBand="1"/>
      </w:tblPr>
      <w:tblGrid>
        <w:gridCol w:w="4006"/>
        <w:gridCol w:w="4006"/>
      </w:tblGrid>
      <w:tr w:rsidR="00082721" w:rsidTr="00082721">
        <w:tc>
          <w:tcPr>
            <w:tcW w:w="4006" w:type="dxa"/>
          </w:tcPr>
          <w:p w:rsidR="00082721" w:rsidRDefault="00082721" w:rsidP="000C39D1">
            <w:pPr>
              <w:pStyle w:val="libFootnote0"/>
              <w:rPr>
                <w:rtl/>
              </w:rPr>
            </w:pPr>
            <w:r>
              <w:rPr>
                <w:rtl/>
              </w:rPr>
              <w:t>(5).</w:t>
            </w:r>
            <w:r w:rsidRPr="00132E65">
              <w:rPr>
                <w:rtl/>
              </w:rPr>
              <w:t xml:space="preserve"> في حاشية « بس » : « جانبه »</w:t>
            </w:r>
            <w:r>
              <w:rPr>
                <w:rtl/>
              </w:rPr>
              <w:t>.</w:t>
            </w:r>
          </w:p>
        </w:tc>
        <w:tc>
          <w:tcPr>
            <w:tcW w:w="4006" w:type="dxa"/>
          </w:tcPr>
          <w:p w:rsidR="00082721" w:rsidRDefault="00082721" w:rsidP="000C39D1">
            <w:pPr>
              <w:pStyle w:val="libFootnote0"/>
              <w:rPr>
                <w:rtl/>
              </w:rPr>
            </w:pPr>
            <w:r>
              <w:rPr>
                <w:rtl/>
              </w:rPr>
              <w:t>(6). في</w:t>
            </w:r>
            <w:r w:rsidRPr="00132E65">
              <w:rPr>
                <w:rtl/>
              </w:rPr>
              <w:t xml:space="preserve">« ب ، ج ، ض ، ف ، بح ، بر » </w:t>
            </w:r>
            <w:r>
              <w:rPr>
                <w:rtl/>
              </w:rPr>
              <w:t>: - «و».</w:t>
            </w:r>
          </w:p>
        </w:tc>
      </w:tr>
    </w:tbl>
    <w:p w:rsidR="000C39D1" w:rsidRPr="00132E65" w:rsidRDefault="000C39D1" w:rsidP="000C39D1">
      <w:pPr>
        <w:pStyle w:val="libFootnote0"/>
        <w:rPr>
          <w:rtl/>
          <w:lang w:bidi="fa-IR"/>
        </w:rPr>
      </w:pPr>
      <w:r>
        <w:rPr>
          <w:rtl/>
        </w:rPr>
        <w:t>(7).</w:t>
      </w:r>
      <w:r w:rsidRPr="00132E65">
        <w:rPr>
          <w:rtl/>
        </w:rPr>
        <w:t xml:space="preserve"> « مُلاحاةٌ » ، أي منازعة. يقال : لاحَيْتُهُ مُلاحاةً ولِحاءً ، أي نازعتُه. راجع : </w:t>
      </w:r>
      <w:r w:rsidRPr="00901459">
        <w:rPr>
          <w:rtl/>
        </w:rPr>
        <w:t>الصحاح</w:t>
      </w:r>
      <w:r w:rsidRPr="00132E65">
        <w:rPr>
          <w:rtl/>
        </w:rPr>
        <w:t xml:space="preserve"> ، ج 6 ، ص 2481 ( لحى )</w:t>
      </w:r>
      <w:r>
        <w:rPr>
          <w:rtl/>
        </w:rPr>
        <w:t>.</w:t>
      </w:r>
    </w:p>
    <w:p w:rsidR="000C39D1" w:rsidRPr="00132E65" w:rsidRDefault="000C39D1" w:rsidP="000C39D1">
      <w:pPr>
        <w:pStyle w:val="libFootnote0"/>
        <w:rPr>
          <w:rtl/>
          <w:lang w:bidi="fa-IR"/>
        </w:rPr>
      </w:pPr>
      <w:r>
        <w:rPr>
          <w:rtl/>
        </w:rPr>
        <w:t>(8).</w:t>
      </w:r>
      <w:r w:rsidRPr="00132E65">
        <w:rPr>
          <w:rtl/>
        </w:rPr>
        <w:t xml:space="preserve"> في « ف » : « إنّ الدنيا »</w:t>
      </w:r>
      <w:r>
        <w:rPr>
          <w:rtl/>
        </w:rPr>
        <w:t>.</w:t>
      </w:r>
    </w:p>
    <w:p w:rsidR="000C39D1" w:rsidRPr="00132E65" w:rsidRDefault="000C39D1" w:rsidP="000C39D1">
      <w:pPr>
        <w:pStyle w:val="libFootnote0"/>
        <w:rPr>
          <w:rtl/>
          <w:lang w:bidi="fa-IR"/>
        </w:rPr>
      </w:pPr>
      <w:r>
        <w:rPr>
          <w:rtl/>
        </w:rPr>
        <w:t>(9).</w:t>
      </w:r>
      <w:r w:rsidRPr="00132E65">
        <w:rPr>
          <w:rtl/>
        </w:rPr>
        <w:t xml:space="preserve"> في « ج ، ض ، بح ، بف » وشرح المازندراني : « هم »</w:t>
      </w:r>
      <w:r>
        <w:rPr>
          <w:rtl/>
        </w:rPr>
        <w:t>.</w:t>
      </w:r>
      <w:r w:rsidRPr="00132E65">
        <w:rPr>
          <w:rtl/>
        </w:rPr>
        <w:t xml:space="preserve"> وفي « ف » : « هم هي »</w:t>
      </w:r>
      <w:r>
        <w:rPr>
          <w:rtl/>
        </w:rPr>
        <w:t>.</w:t>
      </w:r>
      <w:r w:rsidRPr="00132E65">
        <w:rPr>
          <w:rtl/>
        </w:rPr>
        <w:t xml:space="preserve"> قال المازندراني : « وفي بعض </w:t>
      </w:r>
      <w:r w:rsidR="004B1AB3">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وَقَالَ أَبُو مَالِكٍ </w:t>
      </w:r>
      <w:r>
        <w:rPr>
          <w:rStyle w:val="libFootnotenumChar"/>
          <w:rtl/>
        </w:rPr>
        <w:t>(1)</w:t>
      </w:r>
      <w:r w:rsidRPr="00132E65">
        <w:rPr>
          <w:rtl/>
          <w:lang w:bidi="fa-IR"/>
        </w:rPr>
        <w:t xml:space="preserve"> : كَذلِكَ </w:t>
      </w:r>
      <w:r>
        <w:rPr>
          <w:rStyle w:val="libFootnotenumChar"/>
          <w:rtl/>
        </w:rPr>
        <w:t>(2)</w:t>
      </w:r>
      <w:r w:rsidRPr="00132E65">
        <w:rPr>
          <w:rtl/>
          <w:lang w:bidi="fa-IR"/>
        </w:rPr>
        <w:t xml:space="preserve"> أَمْلَاكُ</w:t>
      </w:r>
      <w:r w:rsidR="00413B10">
        <w:rPr>
          <w:rtl/>
          <w:lang w:bidi="fa-IR"/>
        </w:rPr>
        <w:t xml:space="preserve"> النَّاسِ لَهُمْ إِل</w:t>
      </w:r>
      <w:r w:rsidR="00413B10">
        <w:rPr>
          <w:rFonts w:hint="cs"/>
          <w:rtl/>
          <w:lang w:bidi="fa-IR"/>
        </w:rPr>
        <w:t>َّ</w:t>
      </w:r>
      <w:r w:rsidR="00413B10">
        <w:rPr>
          <w:rtl/>
          <w:lang w:bidi="fa-IR"/>
        </w:rPr>
        <w:t>ا</w:t>
      </w:r>
      <w:r w:rsidRPr="00132E65">
        <w:rPr>
          <w:rtl/>
          <w:lang w:bidi="fa-IR"/>
        </w:rPr>
        <w:t xml:space="preserve"> مَا حَكَمَ اللهُ بِهِ لِلْإِمَامِ مِنَ الْفَيْ‌ءِ وَالْخُمُسِ والْمَغْنَمِ ، فَذلِكَ لَهُ ، وذلِكَ أَيْضاً قَدْ بَيَّنَ اللهُ لِلْإِمَامِ أَيْنَ يَضَعُهُ ، وكَيْفَ يَصْنَعُ بِهِ ، فَتَرَاضَيَا بِهِشَامِ بْنِ الْحَكَمِ ، وصَارَا إِلَيْهِ ، فَحَكَمَ هِشَامٌ لِأَبِي مَالِكٍ عَلَى ابْنِ أَبِي عُمَيْرٍ ، فَغَضِبَ ابْنُ أَبِي عُمَيْرٍ ، وهَجَرَ هِشَاماً بَعْدَ ذلِكَ.</w:t>
      </w:r>
    </w:p>
    <w:p w:rsidR="000C39D1" w:rsidRDefault="000C39D1" w:rsidP="000C39D1">
      <w:pPr>
        <w:pStyle w:val="Heading2Center"/>
        <w:rPr>
          <w:rtl/>
          <w:lang w:bidi="fa-IR"/>
        </w:rPr>
      </w:pPr>
      <w:bookmarkStart w:id="138" w:name="_Toc459459146"/>
      <w:bookmarkStart w:id="139" w:name="_Toc34663115"/>
      <w:r w:rsidRPr="00132E65">
        <w:rPr>
          <w:rtl/>
          <w:lang w:bidi="fa-IR"/>
        </w:rPr>
        <w:t>106</w:t>
      </w:r>
      <w:r>
        <w:rPr>
          <w:rtl/>
          <w:lang w:bidi="fa-IR"/>
        </w:rPr>
        <w:t xml:space="preserve"> - </w:t>
      </w:r>
      <w:r w:rsidRPr="00132E65">
        <w:rPr>
          <w:rtl/>
          <w:lang w:bidi="fa-IR"/>
        </w:rPr>
        <w:t>بَابُ سِيرَةِ الْإِمَامِ فِي نَفْسِهِ و</w:t>
      </w:r>
      <w:r w:rsidR="00413B10">
        <w:rPr>
          <w:rFonts w:hint="cs"/>
          <w:rtl/>
          <w:lang w:bidi="fa-IR"/>
        </w:rPr>
        <w:t>َ</w:t>
      </w:r>
      <w:r w:rsidRPr="00132E65">
        <w:rPr>
          <w:rtl/>
          <w:lang w:bidi="fa-IR"/>
        </w:rPr>
        <w:t xml:space="preserve"> </w:t>
      </w:r>
      <w:r>
        <w:rPr>
          <w:rStyle w:val="libFootnotenumChar"/>
          <w:rtl/>
        </w:rPr>
        <w:t>(3)</w:t>
      </w:r>
      <w:r>
        <w:rPr>
          <w:rtl/>
          <w:lang w:bidi="fa-IR"/>
        </w:rPr>
        <w:t xml:space="preserve"> </w:t>
      </w:r>
      <w:r w:rsidRPr="00132E65">
        <w:rPr>
          <w:rtl/>
          <w:lang w:bidi="fa-IR"/>
        </w:rPr>
        <w:t>فِي الْمَطْعَمِ</w:t>
      </w:r>
      <w:bookmarkEnd w:id="138"/>
      <w:bookmarkEnd w:id="139"/>
    </w:p>
    <w:p w:rsidR="000C39D1" w:rsidRPr="00132E65" w:rsidRDefault="000C39D1" w:rsidP="000C39D1">
      <w:pPr>
        <w:pStyle w:val="Heading2Center"/>
        <w:rPr>
          <w:rtl/>
          <w:lang w:bidi="fa-IR"/>
        </w:rPr>
      </w:pPr>
      <w:bookmarkStart w:id="140" w:name="_Toc459293659"/>
      <w:bookmarkStart w:id="141" w:name="_Toc459455128"/>
      <w:bookmarkStart w:id="142" w:name="_Toc459459147"/>
      <w:bookmarkStart w:id="143" w:name="_Toc34663116"/>
      <w:r w:rsidRPr="00132E65">
        <w:rPr>
          <w:rtl/>
          <w:lang w:bidi="fa-IR"/>
        </w:rPr>
        <w:t xml:space="preserve">والْمَلْبَسِ إِذَا ولِيَ </w:t>
      </w:r>
      <w:r>
        <w:rPr>
          <w:rStyle w:val="libFootnotenumChar"/>
          <w:rtl/>
        </w:rPr>
        <w:t>(4)</w:t>
      </w:r>
      <w:r>
        <w:rPr>
          <w:rtl/>
          <w:lang w:bidi="fa-IR"/>
        </w:rPr>
        <w:t xml:space="preserve"> </w:t>
      </w:r>
      <w:r w:rsidRPr="00132E65">
        <w:rPr>
          <w:rtl/>
          <w:lang w:bidi="fa-IR"/>
        </w:rPr>
        <w:t>الْأَمْرَ‌</w:t>
      </w:r>
      <w:bookmarkEnd w:id="140"/>
      <w:bookmarkEnd w:id="141"/>
      <w:bookmarkEnd w:id="142"/>
      <w:bookmarkEnd w:id="143"/>
    </w:p>
    <w:p w:rsidR="000C39D1" w:rsidRPr="00132E65" w:rsidRDefault="000C39D1" w:rsidP="000C39D1">
      <w:pPr>
        <w:pStyle w:val="libNormal"/>
        <w:rPr>
          <w:rtl/>
          <w:lang w:bidi="fa-IR"/>
        </w:rPr>
      </w:pPr>
      <w:r w:rsidRPr="00901459">
        <w:rPr>
          <w:rtl/>
        </w:rPr>
        <w:t>1080</w:t>
      </w:r>
      <w:r w:rsidRPr="004325D8">
        <w:rPr>
          <w:rStyle w:val="libBold2Char"/>
          <w:rtl/>
        </w:rPr>
        <w:t xml:space="preserve"> / 1.</w:t>
      </w:r>
      <w:r w:rsidRPr="00132E65">
        <w:rPr>
          <w:rtl/>
          <w:lang w:bidi="fa-IR"/>
        </w:rPr>
        <w:t xml:space="preserve"> مُحَمَّدُ بْنُ يَحْيى ، عَنْ أَحْمَدَ بْنِ مُحَمَّدِ بْنِ عِيسى ، عَنِ ابْنِ مَحْبُوبٍ ، عَنْ حَمَّادٍ </w:t>
      </w:r>
      <w:r>
        <w:rPr>
          <w:rStyle w:val="libFootnotenumChar"/>
          <w:rtl/>
        </w:rPr>
        <w:t>(5)</w:t>
      </w:r>
      <w:r w:rsidRPr="00132E65">
        <w:rPr>
          <w:rtl/>
          <w:lang w:bidi="fa-IR"/>
        </w:rPr>
        <w:t xml:space="preserve"> ، عَنْ حُمَيْدٍ وجَابِرٍ الْعَبْدِيِّ ، قَالَ :</w:t>
      </w:r>
    </w:p>
    <w:p w:rsidR="000C39D1" w:rsidRPr="00132E65" w:rsidRDefault="000C39D1" w:rsidP="000C39D1">
      <w:pPr>
        <w:pStyle w:val="libNormal"/>
        <w:rPr>
          <w:rtl/>
          <w:lang w:bidi="fa-IR"/>
        </w:rPr>
      </w:pPr>
      <w:r w:rsidRPr="00132E65">
        <w:rPr>
          <w:rtl/>
          <w:lang w:bidi="fa-IR"/>
        </w:rPr>
        <w:t xml:space="preserve">قَالَ أَمِيرُ الْمُؤْمِنِينَ </w:t>
      </w:r>
      <w:r w:rsidRPr="00071CF9">
        <w:rPr>
          <w:rStyle w:val="libAlaemChar"/>
          <w:rtl/>
        </w:rPr>
        <w:t>عليه‌السلام</w:t>
      </w:r>
      <w:r w:rsidRPr="00132E65">
        <w:rPr>
          <w:rtl/>
          <w:lang w:bidi="fa-IR"/>
        </w:rPr>
        <w:t xml:space="preserve"> : « إِنَّ اللهَ جَعَلَنِي إِمَاماً لِخَلْقِهِ ، فَفَرَضَ عَلَيَّ التَّقْدِيرَ </w:t>
      </w:r>
      <w:r>
        <w:rPr>
          <w:rStyle w:val="libFootnotenumChar"/>
          <w:rtl/>
        </w:rPr>
        <w:t>(6)</w:t>
      </w:r>
      <w:r w:rsidRPr="00132E65">
        <w:rPr>
          <w:rtl/>
          <w:lang w:bidi="fa-IR"/>
        </w:rPr>
        <w:t xml:space="preserve"> فِي نَفْسِي ومَطْعَمِي ومَشْرَبِي ومَلْبَسِي كَضُعَفَاءِ النَّاسِ ؛ كَيْ يَقْتَدِيَ الْفَقِيرُ بِفَقْرِي </w:t>
      </w:r>
      <w:r>
        <w:rPr>
          <w:rStyle w:val="libFootnotenumChar"/>
          <w:rtl/>
        </w:rPr>
        <w:t>(7)</w:t>
      </w:r>
      <w:r w:rsidRPr="00132E65">
        <w:rPr>
          <w:rtl/>
          <w:lang w:bidi="fa-IR"/>
        </w:rPr>
        <w:t xml:space="preserve"> ، و</w:t>
      </w:r>
      <w:r w:rsidR="00413B10">
        <w:rPr>
          <w:rFonts w:hint="cs"/>
          <w:rtl/>
          <w:lang w:bidi="fa-IR"/>
        </w:rPr>
        <w:t>َ</w:t>
      </w:r>
      <w:r w:rsidRPr="00132E65">
        <w:rPr>
          <w:rtl/>
          <w:lang w:bidi="fa-IR"/>
        </w:rPr>
        <w:t>لَا يُطْغِيَ الْغَنِيَّ غِنَاهُ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901459">
        <w:rPr>
          <w:rtl/>
        </w:rPr>
        <w:t>1081</w:t>
      </w:r>
      <w:r w:rsidRPr="004325D8">
        <w:rPr>
          <w:rStyle w:val="libBold2Char"/>
          <w:rtl/>
        </w:rPr>
        <w:t xml:space="preserve"> / 2.</w:t>
      </w:r>
      <w:r w:rsidRPr="00132E65">
        <w:rPr>
          <w:rtl/>
          <w:lang w:bidi="fa-IR"/>
        </w:rPr>
        <w:t xml:space="preserve"> عَلِيُّ بْنُ إِبْرَاهِيمَ ، عَنْ أَبِيهِ ، عَنِ ابْنِ أَبِي عُمَيْرٍ ، عَنْ حَمَّادِ بْنِ عُثْمَانَ ، عَنِ الْمُعَلَّى بْنِ خُنَيْسٍ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413B10" w:rsidP="000C39D1">
      <w:pPr>
        <w:pStyle w:val="libFootnote0"/>
        <w:rPr>
          <w:rtl/>
          <w:lang w:bidi="fa-IR"/>
        </w:rPr>
      </w:pPr>
      <w:r>
        <w:rPr>
          <w:rFonts w:hint="cs"/>
          <w:rtl/>
        </w:rPr>
        <w:t xml:space="preserve">= </w:t>
      </w:r>
      <w:r w:rsidR="000C39D1" w:rsidRPr="00132E65">
        <w:rPr>
          <w:rtl/>
        </w:rPr>
        <w:t>النسخ : « هي » بدل « هم » وهو الأظهر »</w:t>
      </w:r>
      <w:r w:rsidR="000C39D1">
        <w:rPr>
          <w:rtl/>
        </w:rPr>
        <w:t>.</w:t>
      </w:r>
    </w:p>
    <w:p w:rsidR="000C39D1" w:rsidRPr="00132E65" w:rsidRDefault="000C39D1" w:rsidP="000C39D1">
      <w:pPr>
        <w:pStyle w:val="libFootnote0"/>
        <w:rPr>
          <w:rtl/>
          <w:lang w:bidi="fa-IR"/>
        </w:rPr>
      </w:pPr>
      <w:r>
        <w:rPr>
          <w:rtl/>
        </w:rPr>
        <w:t>(1).</w:t>
      </w:r>
      <w:r w:rsidRPr="00132E65">
        <w:rPr>
          <w:rtl/>
        </w:rPr>
        <w:t xml:space="preserve"> هكذا في النسخ التي قوبلت وشرح المازندراني و</w:t>
      </w:r>
      <w:r w:rsidRPr="009D1ACE">
        <w:rPr>
          <w:rStyle w:val="libFootnoteBoldChar"/>
          <w:rtl/>
        </w:rPr>
        <w:t>مرآة العقول</w:t>
      </w:r>
      <w:r w:rsidRPr="00132E65">
        <w:rPr>
          <w:rtl/>
        </w:rPr>
        <w:t>. وفي المطبوع :</w:t>
      </w:r>
      <w:r>
        <w:rPr>
          <w:rtl/>
        </w:rPr>
        <w:t xml:space="preserve"> + </w:t>
      </w:r>
      <w:r w:rsidRPr="00132E65">
        <w:rPr>
          <w:rtl/>
        </w:rPr>
        <w:t>« [ ليس ] »</w:t>
      </w:r>
      <w:r>
        <w:rPr>
          <w:rtl/>
        </w:rPr>
        <w:t>.</w:t>
      </w:r>
    </w:p>
    <w:p w:rsidR="000C39D1" w:rsidRPr="00132E65" w:rsidRDefault="000C39D1" w:rsidP="000C39D1">
      <w:pPr>
        <w:pStyle w:val="libFootnote0"/>
        <w:rPr>
          <w:rtl/>
          <w:lang w:bidi="fa-IR"/>
        </w:rPr>
      </w:pPr>
      <w:r>
        <w:rPr>
          <w:rtl/>
        </w:rPr>
        <w:t>(2).</w:t>
      </w:r>
      <w:r w:rsidRPr="00132E65">
        <w:rPr>
          <w:rtl/>
        </w:rPr>
        <w:t xml:space="preserve"> في « ض ، بر ، بس » وحاشية « ف » : « كذاك »</w:t>
      </w:r>
      <w:r>
        <w:rPr>
          <w:rtl/>
        </w:rPr>
        <w:t>.</w:t>
      </w:r>
      <w:r w:rsidRPr="00132E65">
        <w:rPr>
          <w:rtl/>
        </w:rPr>
        <w:t xml:space="preserve"> وفي « بف » وحاشية « ف » :</w:t>
      </w:r>
      <w:r>
        <w:rPr>
          <w:rtl/>
        </w:rPr>
        <w:t xml:space="preserve"> + </w:t>
      </w:r>
      <w:r w:rsidRPr="00132E65">
        <w:rPr>
          <w:rtl/>
        </w:rPr>
        <w:t>« ليس له »</w:t>
      </w:r>
      <w:r>
        <w:rPr>
          <w:rtl/>
        </w:rPr>
        <w:t>.</w:t>
      </w:r>
    </w:p>
    <w:tbl>
      <w:tblPr>
        <w:tblStyle w:val="TableGrid"/>
        <w:bidiVisual/>
        <w:tblW w:w="0" w:type="auto"/>
        <w:tblLook w:val="04A0" w:firstRow="1" w:lastRow="0" w:firstColumn="1" w:lastColumn="0" w:noHBand="0" w:noVBand="1"/>
      </w:tblPr>
      <w:tblGrid>
        <w:gridCol w:w="4006"/>
        <w:gridCol w:w="4006"/>
      </w:tblGrid>
      <w:tr w:rsidR="00A57204" w:rsidTr="00A57204">
        <w:tc>
          <w:tcPr>
            <w:tcW w:w="4006" w:type="dxa"/>
          </w:tcPr>
          <w:p w:rsidR="00A57204" w:rsidRDefault="00A57204" w:rsidP="000C39D1">
            <w:pPr>
              <w:pStyle w:val="libFootnote0"/>
              <w:rPr>
                <w:rtl/>
              </w:rPr>
            </w:pPr>
            <w:r>
              <w:rPr>
                <w:rtl/>
              </w:rPr>
              <w:t>(3).</w:t>
            </w:r>
            <w:r w:rsidRPr="00132E65">
              <w:rPr>
                <w:rtl/>
              </w:rPr>
              <w:t xml:space="preserve"> في « ب ، بح ، بف » </w:t>
            </w:r>
            <w:r>
              <w:rPr>
                <w:rtl/>
              </w:rPr>
              <w:t xml:space="preserve">: - </w:t>
            </w:r>
            <w:r w:rsidRPr="00132E65">
              <w:rPr>
                <w:rtl/>
              </w:rPr>
              <w:t xml:space="preserve">« </w:t>
            </w:r>
            <w:r>
              <w:rPr>
                <w:rtl/>
              </w:rPr>
              <w:t>و ».</w:t>
            </w:r>
          </w:p>
        </w:tc>
        <w:tc>
          <w:tcPr>
            <w:tcW w:w="4006" w:type="dxa"/>
          </w:tcPr>
          <w:p w:rsidR="00A57204" w:rsidRDefault="00A57204" w:rsidP="000C39D1">
            <w:pPr>
              <w:pStyle w:val="libFootnote0"/>
              <w:rPr>
                <w:rtl/>
              </w:rPr>
            </w:pPr>
            <w:r>
              <w:rPr>
                <w:rtl/>
              </w:rPr>
              <w:t>(4).</w:t>
            </w:r>
            <w:r w:rsidRPr="00132E65">
              <w:rPr>
                <w:rtl/>
              </w:rPr>
              <w:t xml:space="preserve"> في « ب » : « ولّي »</w:t>
            </w:r>
            <w:r>
              <w:rPr>
                <w:rtl/>
              </w:rPr>
              <w:t>.</w:t>
            </w:r>
          </w:p>
        </w:tc>
      </w:tr>
    </w:tbl>
    <w:p w:rsidR="000C39D1" w:rsidRPr="00132E65" w:rsidRDefault="000C39D1" w:rsidP="000C39D1">
      <w:pPr>
        <w:pStyle w:val="libFootnote0"/>
        <w:rPr>
          <w:rtl/>
          <w:lang w:bidi="fa-IR"/>
        </w:rPr>
      </w:pPr>
      <w:r>
        <w:rPr>
          <w:rtl/>
        </w:rPr>
        <w:t>(5).</w:t>
      </w:r>
      <w:r w:rsidRPr="00132E65">
        <w:rPr>
          <w:rtl/>
        </w:rPr>
        <w:t xml:space="preserve"> رواية حمّاد شيخ ابن محبوب عن أمير المؤمنين </w:t>
      </w:r>
      <w:r w:rsidRPr="00A825D0">
        <w:rPr>
          <w:rStyle w:val="libFootnoteAlaemChar"/>
          <w:rtl/>
        </w:rPr>
        <w:t>عليه‌السلام</w:t>
      </w:r>
      <w:r w:rsidRPr="00132E65">
        <w:rPr>
          <w:rtl/>
        </w:rPr>
        <w:t xml:space="preserve"> بواسطة واحدة لا تخلو من بُعدٍ. فيحتمل إمّا وقوع الإرسال في السند ، أو أنّ الصواب هو « حميد عن جابر العبدي » كما هو مقتضى إفراد « قال » ، والله هو العالم.</w:t>
      </w:r>
    </w:p>
    <w:p w:rsidR="000C39D1" w:rsidRPr="00132E65" w:rsidRDefault="000C39D1" w:rsidP="000C39D1">
      <w:pPr>
        <w:pStyle w:val="libFootnote0"/>
        <w:rPr>
          <w:rtl/>
          <w:lang w:bidi="fa-IR"/>
        </w:rPr>
      </w:pPr>
      <w:r>
        <w:rPr>
          <w:rtl/>
        </w:rPr>
        <w:t>(6).</w:t>
      </w:r>
      <w:r w:rsidRPr="00132E65">
        <w:rPr>
          <w:rtl/>
        </w:rPr>
        <w:t xml:space="preserve"> في حاشية « ف » : « التقدّر » أي التضيّق. </w:t>
      </w:r>
      <w:r>
        <w:rPr>
          <w:rtl/>
        </w:rPr>
        <w:t>و «</w:t>
      </w:r>
      <w:r w:rsidRPr="00132E65">
        <w:rPr>
          <w:rtl/>
        </w:rPr>
        <w:t xml:space="preserve"> التقدير » : التضييق ، كما في </w:t>
      </w:r>
      <w:r w:rsidRPr="00901459">
        <w:rPr>
          <w:rtl/>
        </w:rPr>
        <w:t>القاموس المحيط</w:t>
      </w:r>
      <w:r w:rsidRPr="00132E65">
        <w:rPr>
          <w:rtl/>
        </w:rPr>
        <w:t xml:space="preserve"> ، ج 1 ، ص 641 « قدر »</w:t>
      </w:r>
      <w:r>
        <w:rPr>
          <w:rtl/>
        </w:rPr>
        <w:t>.</w:t>
      </w:r>
    </w:p>
    <w:p w:rsidR="000C39D1" w:rsidRPr="00132E65" w:rsidRDefault="000C39D1" w:rsidP="000C39D1">
      <w:pPr>
        <w:pStyle w:val="libFootnote0"/>
        <w:rPr>
          <w:rtl/>
          <w:lang w:bidi="fa-IR"/>
        </w:rPr>
      </w:pPr>
      <w:r>
        <w:rPr>
          <w:rtl/>
        </w:rPr>
        <w:t>(7).</w:t>
      </w:r>
      <w:r w:rsidRPr="00132E65">
        <w:rPr>
          <w:rtl/>
        </w:rPr>
        <w:t xml:space="preserve"> في « ج ، ف » : « بفقره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656 ، ح 1255 ؛ </w:t>
      </w:r>
      <w:r w:rsidRPr="00901459">
        <w:rPr>
          <w:rtl/>
        </w:rPr>
        <w:t>البحار</w:t>
      </w:r>
      <w:r w:rsidRPr="00132E65">
        <w:rPr>
          <w:rtl/>
        </w:rPr>
        <w:t xml:space="preserve"> ، ج 40 ، ص 336 ، ح 17.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يَوْماً : جُعِلْتُ فِدَاكَ ، ذَكَرْتُ آلَ فُلَانٍ ومَا هُمْ فِيهِ مِنَ النَّعِيمِ ، فَقُلْتُ : لَوْ كَانَ هذَا إِلَيْكُمْ لَعِشْنَا مَعَكُمْ.</w:t>
      </w:r>
    </w:p>
    <w:p w:rsidR="000C39D1" w:rsidRPr="00132E65" w:rsidRDefault="000C39D1" w:rsidP="000C39D1">
      <w:pPr>
        <w:pStyle w:val="libNormal"/>
        <w:rPr>
          <w:rtl/>
          <w:lang w:bidi="fa-IR"/>
        </w:rPr>
      </w:pPr>
      <w:r w:rsidRPr="00132E65">
        <w:rPr>
          <w:rtl/>
          <w:lang w:bidi="fa-IR"/>
        </w:rPr>
        <w:t xml:space="preserve">فَقَالَ : « هَيْهَاتَ هَيْهَاتَ </w:t>
      </w:r>
      <w:r>
        <w:rPr>
          <w:rStyle w:val="libFootnotenumChar"/>
          <w:rtl/>
        </w:rPr>
        <w:t>(1)</w:t>
      </w:r>
      <w:r w:rsidRPr="00132E65">
        <w:rPr>
          <w:rtl/>
          <w:lang w:bidi="fa-IR"/>
        </w:rPr>
        <w:t xml:space="preserve"> يَا مُعَلّى ، أَمَا واللهِ أَنْ لَوْ كَانَ ذَاكَ </w:t>
      </w:r>
      <w:r>
        <w:rPr>
          <w:rStyle w:val="libFootnotenumChar"/>
          <w:rtl/>
        </w:rPr>
        <w:t>(2)</w:t>
      </w:r>
      <w:r w:rsidRPr="00132E65">
        <w:rPr>
          <w:rtl/>
          <w:lang w:bidi="fa-IR"/>
        </w:rPr>
        <w:t xml:space="preserve"> ، مَا كَانَ </w:t>
      </w:r>
      <w:r>
        <w:rPr>
          <w:rStyle w:val="libFootnotenumChar"/>
          <w:rtl/>
        </w:rPr>
        <w:t>(3)</w:t>
      </w:r>
      <w:r w:rsidR="00A825D0">
        <w:rPr>
          <w:rtl/>
          <w:lang w:bidi="fa-IR"/>
        </w:rPr>
        <w:t xml:space="preserve"> إِل</w:t>
      </w:r>
      <w:r w:rsidR="00A825D0">
        <w:rPr>
          <w:rFonts w:hint="cs"/>
          <w:rtl/>
          <w:lang w:bidi="fa-IR"/>
        </w:rPr>
        <w:t>َّ</w:t>
      </w:r>
      <w:r w:rsidR="00A825D0">
        <w:rPr>
          <w:rtl/>
          <w:lang w:bidi="fa-IR"/>
        </w:rPr>
        <w:t>ا</w:t>
      </w:r>
      <w:r w:rsidRPr="00132E65">
        <w:rPr>
          <w:rtl/>
          <w:lang w:bidi="fa-IR"/>
        </w:rPr>
        <w:t xml:space="preserve"> سِيَاسَةَ اللَّيْلِ </w:t>
      </w:r>
      <w:r>
        <w:rPr>
          <w:rStyle w:val="libFootnotenumChar"/>
          <w:rtl/>
        </w:rPr>
        <w:t>(4)</w:t>
      </w:r>
      <w:r w:rsidRPr="00132E65">
        <w:rPr>
          <w:rtl/>
          <w:lang w:bidi="fa-IR"/>
        </w:rPr>
        <w:t xml:space="preserve"> ، وسِيَاحَةَ النَّهَارِ </w:t>
      </w:r>
      <w:r>
        <w:rPr>
          <w:rStyle w:val="libFootnotenumChar"/>
          <w:rtl/>
        </w:rPr>
        <w:t>(5)</w:t>
      </w:r>
      <w:r w:rsidRPr="00132E65">
        <w:rPr>
          <w:rtl/>
          <w:lang w:bidi="fa-IR"/>
        </w:rPr>
        <w:t xml:space="preserve"> ، ولُبْسَ الْخَشِنِ ، وأَكْلَ الْجَشِبِ </w:t>
      </w:r>
      <w:r>
        <w:rPr>
          <w:rStyle w:val="libFootnotenumChar"/>
          <w:rtl/>
        </w:rPr>
        <w:t>(6)</w:t>
      </w:r>
      <w:r w:rsidRPr="00132E65">
        <w:rPr>
          <w:rtl/>
          <w:lang w:bidi="fa-IR"/>
        </w:rPr>
        <w:t xml:space="preserve"> ، فَزُوِيَ </w:t>
      </w:r>
      <w:r>
        <w:rPr>
          <w:rStyle w:val="libFootnotenumChar"/>
          <w:rtl/>
        </w:rPr>
        <w:t>(7)</w:t>
      </w:r>
      <w:r w:rsidRPr="00132E65">
        <w:rPr>
          <w:rtl/>
          <w:lang w:bidi="fa-IR"/>
        </w:rPr>
        <w:t xml:space="preserve"> ذلِكَ عَنَّا </w:t>
      </w:r>
      <w:r>
        <w:rPr>
          <w:rStyle w:val="libFootnotenumChar"/>
          <w:rtl/>
        </w:rPr>
        <w:t>(8)</w:t>
      </w:r>
      <w:r w:rsidRPr="00132E65">
        <w:rPr>
          <w:rtl/>
          <w:lang w:bidi="fa-IR"/>
        </w:rPr>
        <w:t xml:space="preserve"> ، فَهَلْ رَأَيْتَ ظُلَامَةً </w:t>
      </w:r>
      <w:r>
        <w:rPr>
          <w:rStyle w:val="libFootnotenumChar"/>
          <w:rtl/>
        </w:rPr>
        <w:t>(9)</w:t>
      </w:r>
      <w:r w:rsidRPr="00132E65">
        <w:rPr>
          <w:rtl/>
          <w:lang w:bidi="fa-IR"/>
        </w:rPr>
        <w:t xml:space="preserve"> قَطُّ صَيَّرَهَا اللهُ نِعْمَةً</w:t>
      </w:r>
      <w:r w:rsidR="00F15967">
        <w:rPr>
          <w:rtl/>
          <w:lang w:bidi="fa-IR"/>
        </w:rPr>
        <w:t xml:space="preserve"> إِل</w:t>
      </w:r>
      <w:r w:rsidR="00F15967">
        <w:rPr>
          <w:rFonts w:hint="cs"/>
          <w:rtl/>
          <w:lang w:bidi="fa-IR"/>
        </w:rPr>
        <w:t>َّ</w:t>
      </w:r>
      <w:r w:rsidR="00F15967">
        <w:rPr>
          <w:rtl/>
          <w:lang w:bidi="fa-IR"/>
        </w:rPr>
        <w:t>ا</w:t>
      </w:r>
      <w:r w:rsidRPr="00132E65">
        <w:rPr>
          <w:rtl/>
          <w:lang w:bidi="fa-IR"/>
        </w:rPr>
        <w:t xml:space="preserve"> هذِهِ</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Default="000C39D1" w:rsidP="000C39D1">
      <w:pPr>
        <w:pStyle w:val="libNormal"/>
        <w:rPr>
          <w:rtl/>
          <w:lang w:bidi="fa-IR"/>
        </w:rPr>
      </w:pPr>
      <w:r w:rsidRPr="00901459">
        <w:rPr>
          <w:rtl/>
        </w:rPr>
        <w:t>1082</w:t>
      </w:r>
      <w:r w:rsidRPr="004325D8">
        <w:rPr>
          <w:rStyle w:val="libBold2Char"/>
          <w:rtl/>
        </w:rPr>
        <w:t xml:space="preserve"> / 3.</w:t>
      </w:r>
      <w:r w:rsidRPr="00132E65">
        <w:rPr>
          <w:rtl/>
          <w:lang w:bidi="fa-IR"/>
        </w:rPr>
        <w:t xml:space="preserve"> عَلِيُّ بْنُ مُحَمَّدٍ ، عَنْ صَالِحِ بْنِ أَبِي حَمَّادٍ ؛ </w:t>
      </w:r>
    </w:p>
    <w:p w:rsidR="000C39D1" w:rsidRPr="00132E65" w:rsidRDefault="000C39D1" w:rsidP="000C39D1">
      <w:pPr>
        <w:pStyle w:val="libNormal"/>
        <w:rPr>
          <w:rtl/>
          <w:lang w:bidi="fa-IR"/>
        </w:rPr>
      </w:pPr>
      <w:r w:rsidRPr="00132E65">
        <w:rPr>
          <w:rtl/>
          <w:lang w:bidi="fa-IR"/>
        </w:rPr>
        <w:t>وَعِدَّةٌ مِنْ أَصْحَابِنَا ، عَنْ أَحْمَدَ بْنِ مُحَمَّدٍ ، وغَيْرِهِمَا بِأَسَانِيدَ مُخْتَلِفَةٍ :</w:t>
      </w:r>
    </w:p>
    <w:p w:rsidR="000C39D1" w:rsidRPr="00132E65" w:rsidRDefault="000C39D1" w:rsidP="000C39D1">
      <w:pPr>
        <w:pStyle w:val="libNormal"/>
        <w:rPr>
          <w:rtl/>
          <w:lang w:bidi="fa-IR"/>
        </w:rPr>
      </w:pPr>
      <w:r w:rsidRPr="00132E65">
        <w:rPr>
          <w:rtl/>
          <w:lang w:bidi="fa-IR"/>
        </w:rPr>
        <w:t xml:space="preserve">فِي احْتِجَاجِ أَمِيرِ الْمُؤْمِنِينَ </w:t>
      </w:r>
      <w:r w:rsidRPr="00071CF9">
        <w:rPr>
          <w:rStyle w:val="libAlaemChar"/>
          <w:rtl/>
        </w:rPr>
        <w:t>عليه‌السلام</w:t>
      </w:r>
      <w:r w:rsidRPr="00132E65">
        <w:rPr>
          <w:rtl/>
          <w:lang w:bidi="fa-IR"/>
        </w:rPr>
        <w:t xml:space="preserve"> عَلى عَاصِمِ بْنِ زِيَادٍ حِينَ لَبِسَ الْعَبَاءَ ، وتَرَكَ الْمُلَاءَ </w:t>
      </w:r>
      <w:r>
        <w:rPr>
          <w:rStyle w:val="libFootnotenumChar"/>
          <w:rtl/>
        </w:rPr>
        <w:t>(11)</w:t>
      </w:r>
      <w:r w:rsidRPr="00132E65">
        <w:rPr>
          <w:rtl/>
          <w:lang w:bidi="fa-IR"/>
        </w:rPr>
        <w:t xml:space="preserve"> ، وشَكَاهُ أَخُوهُ الرَّبِيعُ بْنُ زِيَادٍ إِلى أَمِيرِ الْمُؤْمِنِينَ </w:t>
      </w:r>
      <w:r w:rsidRPr="00071CF9">
        <w:rPr>
          <w:rStyle w:val="libAlaemChar"/>
          <w:rtl/>
        </w:rPr>
        <w:t>عليه‌السلام</w:t>
      </w:r>
      <w:r w:rsidRPr="00132E65">
        <w:rPr>
          <w:rtl/>
          <w:lang w:bidi="fa-IR"/>
        </w:rPr>
        <w:t xml:space="preserve"> أَنَّهُ قَدْ غَمَّ أَهْلَهُ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ف ، بح ، بر ، بف » وشرح المازندراني و</w:t>
      </w:r>
      <w:r w:rsidRPr="009D1ACE">
        <w:rPr>
          <w:rStyle w:val="libFootnoteBoldChar"/>
          <w:rtl/>
        </w:rPr>
        <w:t>الوافي</w:t>
      </w:r>
      <w:r w:rsidRPr="00132E65">
        <w:rPr>
          <w:rtl/>
        </w:rPr>
        <w:t xml:space="preserve">. وفي « بس » والمطبوع </w:t>
      </w:r>
      <w:r>
        <w:rPr>
          <w:rtl/>
        </w:rPr>
        <w:t xml:space="preserve">: - </w:t>
      </w:r>
      <w:r w:rsidRPr="00132E65">
        <w:rPr>
          <w:rtl/>
        </w:rPr>
        <w:t>« هيهات » الثاني.</w:t>
      </w:r>
    </w:p>
    <w:p w:rsidR="000C39D1" w:rsidRPr="00132E65" w:rsidRDefault="000C39D1" w:rsidP="000C39D1">
      <w:pPr>
        <w:pStyle w:val="libFootnote0"/>
        <w:rPr>
          <w:rtl/>
          <w:lang w:bidi="fa-IR"/>
        </w:rPr>
      </w:pPr>
      <w:r>
        <w:rPr>
          <w:rtl/>
        </w:rPr>
        <w:t>(2).</w:t>
      </w:r>
      <w:r w:rsidRPr="00132E65">
        <w:rPr>
          <w:rtl/>
        </w:rPr>
        <w:t xml:space="preserve"> في « ف ، بر » : « أما أن لو كان والله ذلك »</w:t>
      </w:r>
      <w:r>
        <w:rPr>
          <w:rtl/>
        </w:rPr>
        <w:t>.</w:t>
      </w:r>
      <w:r w:rsidRPr="00132E65">
        <w:rPr>
          <w:rtl/>
        </w:rPr>
        <w:t xml:space="preserve"> وفي </w:t>
      </w:r>
      <w:r w:rsidRPr="009D1ACE">
        <w:rPr>
          <w:rStyle w:val="libFootnoteBoldChar"/>
          <w:rtl/>
        </w:rPr>
        <w:t>الوافي</w:t>
      </w:r>
      <w:r w:rsidRPr="00132E65">
        <w:rPr>
          <w:rtl/>
        </w:rPr>
        <w:t xml:space="preserve"> : « ذلك »</w:t>
      </w:r>
      <w:r>
        <w:rPr>
          <w:rtl/>
        </w:rPr>
        <w:t>.</w:t>
      </w:r>
    </w:p>
    <w:p w:rsidR="000C39D1" w:rsidRPr="00132E65" w:rsidRDefault="000C39D1" w:rsidP="000C39D1">
      <w:pPr>
        <w:pStyle w:val="libFootnote0"/>
        <w:rPr>
          <w:rtl/>
          <w:lang w:bidi="fa-IR"/>
        </w:rPr>
      </w:pPr>
      <w:r>
        <w:rPr>
          <w:rtl/>
        </w:rPr>
        <w:t>(3).</w:t>
      </w:r>
      <w:r w:rsidRPr="00132E65">
        <w:rPr>
          <w:rtl/>
        </w:rPr>
        <w:t xml:space="preserve"> في شرح المازندراني :</w:t>
      </w:r>
      <w:r>
        <w:rPr>
          <w:rtl/>
        </w:rPr>
        <w:t xml:space="preserve"> + </w:t>
      </w:r>
      <w:r w:rsidRPr="00132E65">
        <w:rPr>
          <w:rtl/>
        </w:rPr>
        <w:t>« حالنا »</w:t>
      </w:r>
      <w:r>
        <w:rPr>
          <w:rtl/>
        </w:rPr>
        <w:t>.</w:t>
      </w:r>
    </w:p>
    <w:p w:rsidR="000C39D1" w:rsidRPr="00132E65" w:rsidRDefault="000C39D1" w:rsidP="000C39D1">
      <w:pPr>
        <w:pStyle w:val="libFootnote0"/>
        <w:rPr>
          <w:rtl/>
          <w:lang w:bidi="fa-IR"/>
        </w:rPr>
      </w:pPr>
      <w:r>
        <w:rPr>
          <w:rtl/>
        </w:rPr>
        <w:t>(4).</w:t>
      </w:r>
      <w:r w:rsidRPr="00132E65">
        <w:rPr>
          <w:rtl/>
        </w:rPr>
        <w:t xml:space="preserve"> « السِياسَةُ » : القيام على الشي‌ء بما يُصلحه. والمراد رياضة النفس فيه بالاهتمام لا</w:t>
      </w:r>
      <w:r w:rsidR="00F15967">
        <w:rPr>
          <w:rFonts w:hint="cs"/>
          <w:rtl/>
        </w:rPr>
        <w:t>ُ</w:t>
      </w:r>
      <w:r w:rsidRPr="00132E65">
        <w:rPr>
          <w:rtl/>
        </w:rPr>
        <w:t xml:space="preserve">مور الأنام وتدبير معاشهم‌ومعادهم ، مضافاً إلى العبادات البدنيّة. راجع : </w:t>
      </w:r>
      <w:r w:rsidRPr="009D1ACE">
        <w:rPr>
          <w:rStyle w:val="libFootnoteBoldChar"/>
          <w:rtl/>
        </w:rPr>
        <w:t>الوافي</w:t>
      </w:r>
      <w:r w:rsidRPr="00132E65">
        <w:rPr>
          <w:rtl/>
        </w:rPr>
        <w:t xml:space="preserve"> ، ج 3 ، ص 675 ؛ </w:t>
      </w:r>
      <w:r w:rsidRPr="00901459">
        <w:rPr>
          <w:rtl/>
        </w:rPr>
        <w:t>النهاية</w:t>
      </w:r>
      <w:r w:rsidRPr="00132E65">
        <w:rPr>
          <w:rtl/>
        </w:rPr>
        <w:t xml:space="preserve"> ، ج 2 ، ص 421 ( سوس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سياحة النهار : رياضتها فيه بالدعوة والجهاد والسعي في قضاء حوائج الناس ابتغاء مرضاة الله »</w:t>
      </w:r>
      <w:r>
        <w:rPr>
          <w:rtl/>
        </w:rPr>
        <w:t>.</w:t>
      </w:r>
    </w:p>
    <w:p w:rsidR="000C39D1" w:rsidRPr="00132E65" w:rsidRDefault="000C39D1" w:rsidP="000C39D1">
      <w:pPr>
        <w:pStyle w:val="libFootnote0"/>
        <w:rPr>
          <w:rtl/>
          <w:lang w:bidi="fa-IR"/>
        </w:rPr>
      </w:pPr>
      <w:r>
        <w:rPr>
          <w:rtl/>
        </w:rPr>
        <w:t>(6).</w:t>
      </w:r>
      <w:r w:rsidRPr="00132E65">
        <w:rPr>
          <w:rtl/>
        </w:rPr>
        <w:t xml:space="preserve"> « الجَشْبُ » : الغليظ الخشن من الطعام. وقيل : غير المأدوم. وكلّ بَشَع الطعم</w:t>
      </w:r>
      <w:r>
        <w:rPr>
          <w:rtl/>
        </w:rPr>
        <w:t xml:space="preserve"> - </w:t>
      </w:r>
      <w:r w:rsidRPr="00132E65">
        <w:rPr>
          <w:rtl/>
        </w:rPr>
        <w:t>أي غير ملائم الطعم</w:t>
      </w:r>
      <w:r>
        <w:rPr>
          <w:rtl/>
        </w:rPr>
        <w:t xml:space="preserve"> - </w:t>
      </w:r>
      <w:r w:rsidRPr="00132E65">
        <w:rPr>
          <w:rtl/>
        </w:rPr>
        <w:t xml:space="preserve">جشَبٌ. راجع : </w:t>
      </w:r>
      <w:r w:rsidRPr="00901459">
        <w:rPr>
          <w:rtl/>
        </w:rPr>
        <w:t>النهاية</w:t>
      </w:r>
      <w:r w:rsidRPr="00132E65">
        <w:rPr>
          <w:rtl/>
        </w:rPr>
        <w:t xml:space="preserve"> ، ج 1 ، ص 272 ( جشب )</w:t>
      </w:r>
      <w:r>
        <w:rPr>
          <w:rtl/>
        </w:rPr>
        <w:t>.</w:t>
      </w:r>
    </w:p>
    <w:p w:rsidR="000C39D1" w:rsidRPr="00132E65" w:rsidRDefault="000C39D1" w:rsidP="000C39D1">
      <w:pPr>
        <w:pStyle w:val="libFootnote0"/>
        <w:rPr>
          <w:rtl/>
          <w:lang w:bidi="fa-IR"/>
        </w:rPr>
      </w:pPr>
      <w:r>
        <w:rPr>
          <w:rtl/>
        </w:rPr>
        <w:t>(7).</w:t>
      </w:r>
      <w:r w:rsidRPr="00132E65">
        <w:rPr>
          <w:rtl/>
        </w:rPr>
        <w:t xml:space="preserve"> « فَزُوِيَ » ، أي نُحِّيَ وصُرِفَ. راجع : </w:t>
      </w:r>
      <w:r w:rsidRPr="00901459">
        <w:rPr>
          <w:rtl/>
        </w:rPr>
        <w:t>القاموس المحيط</w:t>
      </w:r>
      <w:r w:rsidRPr="00132E65">
        <w:rPr>
          <w:rtl/>
        </w:rPr>
        <w:t xml:space="preserve"> ، ج 2 ، ص 1695 ( زوى )</w:t>
      </w:r>
      <w:r>
        <w:rPr>
          <w:rtl/>
        </w:rPr>
        <w:t>.</w:t>
      </w:r>
    </w:p>
    <w:p w:rsidR="000C39D1" w:rsidRPr="00132E65" w:rsidRDefault="000C39D1" w:rsidP="000C39D1">
      <w:pPr>
        <w:pStyle w:val="libFootnote0"/>
        <w:rPr>
          <w:rtl/>
          <w:lang w:bidi="fa-IR"/>
        </w:rPr>
      </w:pPr>
      <w:r>
        <w:rPr>
          <w:rtl/>
        </w:rPr>
        <w:t>(8).</w:t>
      </w:r>
      <w:r w:rsidRPr="00132E65">
        <w:rPr>
          <w:rtl/>
        </w:rPr>
        <w:t xml:space="preserve"> في « بر » :</w:t>
      </w:r>
      <w:r>
        <w:rPr>
          <w:rtl/>
        </w:rPr>
        <w:t xml:space="preserve"> + </w:t>
      </w:r>
      <w:r w:rsidRPr="00132E65">
        <w:rPr>
          <w:rtl/>
        </w:rPr>
        <w:t>« أهل البيت »</w:t>
      </w:r>
      <w:r>
        <w:rPr>
          <w:rtl/>
        </w:rPr>
        <w:t>.</w:t>
      </w:r>
    </w:p>
    <w:p w:rsidR="000C39D1" w:rsidRPr="00132E65" w:rsidRDefault="000C39D1" w:rsidP="000C39D1">
      <w:pPr>
        <w:pStyle w:val="libFootnote0"/>
        <w:rPr>
          <w:rtl/>
          <w:lang w:bidi="fa-IR"/>
        </w:rPr>
      </w:pPr>
      <w:r>
        <w:rPr>
          <w:rtl/>
        </w:rPr>
        <w:t>(9).</w:t>
      </w:r>
      <w:r w:rsidRPr="00132E65">
        <w:rPr>
          <w:rtl/>
        </w:rPr>
        <w:t xml:space="preserve"> « الظُلامَةُ » : ما تطلبه عند الظالم ، وهو اسمُ ما ا</w:t>
      </w:r>
      <w:r w:rsidR="00F15967">
        <w:rPr>
          <w:rFonts w:hint="cs"/>
          <w:rtl/>
        </w:rPr>
        <w:t>ُ</w:t>
      </w:r>
      <w:r w:rsidRPr="00132E65">
        <w:rPr>
          <w:rtl/>
        </w:rPr>
        <w:t xml:space="preserve">خذ منك. </w:t>
      </w:r>
      <w:r w:rsidRPr="00901459">
        <w:rPr>
          <w:rtl/>
        </w:rPr>
        <w:t>الصحاح</w:t>
      </w:r>
      <w:r w:rsidRPr="00132E65">
        <w:rPr>
          <w:rtl/>
        </w:rPr>
        <w:t xml:space="preserve"> ، ج 5 ، ص 1977 ( ظلم )</w:t>
      </w:r>
      <w:r>
        <w:rPr>
          <w:rtl/>
        </w:rPr>
        <w:t>.</w:t>
      </w:r>
    </w:p>
    <w:p w:rsidR="000C39D1" w:rsidRPr="00132E65" w:rsidRDefault="000C39D1" w:rsidP="00F15967">
      <w:pPr>
        <w:pStyle w:val="libFootnote0"/>
        <w:rPr>
          <w:rtl/>
          <w:lang w:bidi="fa-IR"/>
        </w:rPr>
      </w:pPr>
      <w:r>
        <w:rPr>
          <w:rtl/>
        </w:rPr>
        <w:t>(10).</w:t>
      </w:r>
      <w:r w:rsidRPr="00132E65">
        <w:rPr>
          <w:rtl/>
        </w:rPr>
        <w:t xml:space="preserve"> </w:t>
      </w:r>
      <w:r w:rsidRPr="00901459">
        <w:rPr>
          <w:rtl/>
        </w:rPr>
        <w:t>الغيبة</w:t>
      </w:r>
      <w:r w:rsidRPr="00132E65">
        <w:rPr>
          <w:rtl/>
        </w:rPr>
        <w:t xml:space="preserve"> للنعماني ، ص 286 ، ح 7 ، بسند آخر عن المفضّل بن عمر ، مع اختلاف يسير وزيادة</w:t>
      </w:r>
      <w:r w:rsidR="00F15967">
        <w:rPr>
          <w:rFonts w:hint="cs"/>
          <w:rtl/>
        </w:rPr>
        <w:t>.</w:t>
      </w:r>
      <w:r w:rsidRPr="009D1ACE">
        <w:rPr>
          <w:rStyle w:val="libFootnoteBoldChar"/>
          <w:rtl/>
        </w:rPr>
        <w:t>الوافي</w:t>
      </w:r>
      <w:r w:rsidRPr="00132E65">
        <w:rPr>
          <w:rtl/>
        </w:rPr>
        <w:t xml:space="preserve"> ، ج 3 ، ص 656 ، ح 1256.</w:t>
      </w:r>
    </w:p>
    <w:p w:rsidR="000C39D1" w:rsidRPr="00132E65" w:rsidRDefault="000C39D1" w:rsidP="000C39D1">
      <w:pPr>
        <w:pStyle w:val="libFootnote0"/>
        <w:rPr>
          <w:rtl/>
          <w:lang w:bidi="fa-IR"/>
        </w:rPr>
      </w:pPr>
      <w:r>
        <w:rPr>
          <w:rtl/>
        </w:rPr>
        <w:t>(11).</w:t>
      </w:r>
      <w:r w:rsidRPr="00132E65">
        <w:rPr>
          <w:rtl/>
        </w:rPr>
        <w:t xml:space="preserve"> « الملاء » : جمع ال</w:t>
      </w:r>
      <w:r w:rsidR="00F15967">
        <w:rPr>
          <w:rFonts w:hint="cs"/>
          <w:rtl/>
        </w:rPr>
        <w:t>ـ</w:t>
      </w:r>
      <w:r w:rsidRPr="00132E65">
        <w:rPr>
          <w:rtl/>
        </w:rPr>
        <w:t>مُلاءَة ، وهي الإزار والرَبْطَة ، وهي ال</w:t>
      </w:r>
      <w:r w:rsidR="00F15967">
        <w:rPr>
          <w:rFonts w:hint="cs"/>
          <w:rtl/>
        </w:rPr>
        <w:t>ـ</w:t>
      </w:r>
      <w:r w:rsidRPr="00132E65">
        <w:rPr>
          <w:rtl/>
        </w:rPr>
        <w:t xml:space="preserve">مِلْحَفَة. وقيل : هو كلّ ثوب ليّن رقيق. راجع : </w:t>
      </w:r>
      <w:r w:rsidRPr="00901459">
        <w:rPr>
          <w:rtl/>
        </w:rPr>
        <w:t>لسان‌العرب</w:t>
      </w:r>
      <w:r w:rsidRPr="00132E65">
        <w:rPr>
          <w:rtl/>
        </w:rPr>
        <w:t xml:space="preserve"> ، ج 1 ، ص 160 ؛ </w:t>
      </w:r>
      <w:r w:rsidRPr="00901459">
        <w:rPr>
          <w:rtl/>
        </w:rPr>
        <w:t>مجمع البحرين</w:t>
      </w:r>
      <w:r w:rsidRPr="00132E65">
        <w:rPr>
          <w:rtl/>
        </w:rPr>
        <w:t xml:space="preserve"> ، ج 1 ، ص 398 ( ملأ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وَأَحْزَنَ ولْدَهُ بِذلِكَ ، فَقَالَ أَمِيرُ الْمُؤْمِنِينَ </w:t>
      </w:r>
      <w:r w:rsidRPr="00071CF9">
        <w:rPr>
          <w:rStyle w:val="libAlaemChar"/>
          <w:rtl/>
        </w:rPr>
        <w:t>عليه‌السلام</w:t>
      </w:r>
      <w:r w:rsidRPr="00132E65">
        <w:rPr>
          <w:rtl/>
          <w:lang w:bidi="fa-IR"/>
        </w:rPr>
        <w:t xml:space="preserve"> : « عَلَيَّ بِعَاصِمِ بْنِ زِيَادٍ »</w:t>
      </w:r>
      <w:r>
        <w:rPr>
          <w:rtl/>
          <w:lang w:bidi="fa-IR"/>
        </w:rPr>
        <w:t>.</w:t>
      </w:r>
      <w:r w:rsidRPr="00132E65">
        <w:rPr>
          <w:rtl/>
          <w:lang w:bidi="fa-IR"/>
        </w:rPr>
        <w:t xml:space="preserve"> فَجِي‌ءَ بِهِ ، فَلَمَّا رَآهُ عَبَسَ </w:t>
      </w:r>
      <w:r>
        <w:rPr>
          <w:rStyle w:val="libFootnotenumChar"/>
          <w:rtl/>
        </w:rPr>
        <w:t>(1)</w:t>
      </w:r>
      <w:r w:rsidRPr="00132E65">
        <w:rPr>
          <w:rtl/>
          <w:lang w:bidi="fa-IR"/>
        </w:rPr>
        <w:t xml:space="preserve"> فِي وجْهِ</w:t>
      </w:r>
      <w:r>
        <w:rPr>
          <w:rtl/>
          <w:lang w:bidi="fa-IR"/>
        </w:rPr>
        <w:t>هِ ، فَقَالَ لَهُ : « أَ</w:t>
      </w:r>
      <w:r w:rsidR="00F15967">
        <w:rPr>
          <w:rFonts w:hint="cs"/>
          <w:rtl/>
          <w:lang w:bidi="fa-IR"/>
        </w:rPr>
        <w:t xml:space="preserve"> </w:t>
      </w:r>
      <w:r w:rsidRPr="00132E65">
        <w:rPr>
          <w:rtl/>
          <w:lang w:bidi="fa-IR"/>
        </w:rPr>
        <w:t xml:space="preserve">مَا اسْتَحْيَيْتَ </w:t>
      </w:r>
      <w:r>
        <w:rPr>
          <w:rStyle w:val="libFootnotenumChar"/>
          <w:rtl/>
        </w:rPr>
        <w:t>(2)</w:t>
      </w:r>
      <w:r w:rsidRPr="00132E65">
        <w:rPr>
          <w:rtl/>
          <w:lang w:bidi="fa-IR"/>
        </w:rPr>
        <w:t xml:space="preserve"> مِنْ أَهْلِكَ</w:t>
      </w:r>
      <w:r>
        <w:rPr>
          <w:rtl/>
          <w:lang w:bidi="fa-IR"/>
        </w:rPr>
        <w:t>؟ أَ</w:t>
      </w:r>
      <w:r w:rsidRPr="00132E65">
        <w:rPr>
          <w:rtl/>
          <w:lang w:bidi="fa-IR"/>
        </w:rPr>
        <w:t>مَا رَحِمْتَ ولْدَكَ</w:t>
      </w:r>
      <w:r>
        <w:rPr>
          <w:rtl/>
          <w:lang w:bidi="fa-IR"/>
        </w:rPr>
        <w:t>؟ أَ</w:t>
      </w:r>
      <w:r w:rsidRPr="00132E65">
        <w:rPr>
          <w:rtl/>
          <w:lang w:bidi="fa-IR"/>
        </w:rPr>
        <w:t>تَرَى اللهَ أَحَلَّ لَكَ الطَّيِّبَاتِ وهُوَ يَكْرَهُ أَخْذَكَ مِنْهَا</w:t>
      </w:r>
      <w:r>
        <w:rPr>
          <w:rtl/>
          <w:lang w:bidi="fa-IR"/>
        </w:rPr>
        <w:t>؟</w:t>
      </w:r>
      <w:r w:rsidRPr="00132E65">
        <w:rPr>
          <w:rtl/>
          <w:lang w:bidi="fa-IR"/>
        </w:rPr>
        <w:t xml:space="preserve"> أَنْتَ أَهْو</w:t>
      </w:r>
      <w:r>
        <w:rPr>
          <w:rtl/>
          <w:lang w:bidi="fa-IR"/>
        </w:rPr>
        <w:t>َنُ عَلَى اللهِ مِنْ ذلِكَ ، أَ</w:t>
      </w:r>
      <w:r w:rsidR="00F15967">
        <w:rPr>
          <w:rFonts w:hint="cs"/>
          <w:rtl/>
          <w:lang w:bidi="fa-IR"/>
        </w:rPr>
        <w:t xml:space="preserve"> </w:t>
      </w:r>
      <w:r w:rsidRPr="00132E65">
        <w:rPr>
          <w:rtl/>
          <w:lang w:bidi="fa-IR"/>
        </w:rPr>
        <w:t>و</w:t>
      </w:r>
      <w:r w:rsidR="00F15967">
        <w:rPr>
          <w:rFonts w:hint="cs"/>
          <w:rtl/>
          <w:lang w:bidi="fa-IR"/>
        </w:rPr>
        <w:t>َ</w:t>
      </w:r>
      <w:r w:rsidRPr="00132E65">
        <w:rPr>
          <w:rtl/>
          <w:lang w:bidi="fa-IR"/>
        </w:rPr>
        <w:t xml:space="preserve">لَيْسَ اللهُ يَقُولُ : </w:t>
      </w:r>
      <w:r w:rsidRPr="00071CF9">
        <w:rPr>
          <w:rStyle w:val="libAlaemChar"/>
          <w:rtl/>
        </w:rPr>
        <w:t>(</w:t>
      </w:r>
      <w:r w:rsidRPr="00071CF9">
        <w:rPr>
          <w:rStyle w:val="libAieChar"/>
          <w:rtl/>
        </w:rPr>
        <w:t xml:space="preserve"> وَالْأَرْضَ وَضَعَها لِلْأَنامِ </w:t>
      </w:r>
      <w:r w:rsidR="00F15967">
        <w:rPr>
          <w:rStyle w:val="libAieChar"/>
          <w:rFonts w:hint="cs"/>
          <w:rtl/>
        </w:rPr>
        <w:t xml:space="preserve">* </w:t>
      </w:r>
      <w:r w:rsidRPr="00071CF9">
        <w:rPr>
          <w:rStyle w:val="libAieChar"/>
          <w:rtl/>
        </w:rPr>
        <w:t xml:space="preserve">فِيها فاكِهَةٌ وَالنَّخْلُ ذاتُ الْأَكْمامِ </w:t>
      </w:r>
      <w:r w:rsidRPr="00071CF9">
        <w:rPr>
          <w:rStyle w:val="libAlaemChar"/>
          <w:rtl/>
        </w:rPr>
        <w:t>)</w:t>
      </w:r>
      <w:r>
        <w:rPr>
          <w:rtl/>
          <w:lang w:bidi="fa-IR"/>
        </w:rPr>
        <w:t>؟ أَ</w:t>
      </w:r>
      <w:r w:rsidR="00F15967">
        <w:rPr>
          <w:rFonts w:hint="cs"/>
          <w:rtl/>
          <w:lang w:bidi="fa-IR"/>
        </w:rPr>
        <w:t xml:space="preserve"> </w:t>
      </w:r>
      <w:r w:rsidRPr="00132E65">
        <w:rPr>
          <w:rtl/>
          <w:lang w:bidi="fa-IR"/>
        </w:rPr>
        <w:t>و</w:t>
      </w:r>
      <w:r w:rsidR="00F15967">
        <w:rPr>
          <w:rFonts w:hint="cs"/>
          <w:rtl/>
          <w:lang w:bidi="fa-IR"/>
        </w:rPr>
        <w:t>َ</w:t>
      </w:r>
      <w:r w:rsidRPr="00132E65">
        <w:rPr>
          <w:rtl/>
          <w:lang w:bidi="fa-IR"/>
        </w:rPr>
        <w:t xml:space="preserve">لَيْسَ اللهُ </w:t>
      </w:r>
      <w:r>
        <w:rPr>
          <w:rStyle w:val="libFootnotenumChar"/>
          <w:rtl/>
        </w:rPr>
        <w:t>(3)</w:t>
      </w:r>
      <w:r w:rsidRPr="00132E65">
        <w:rPr>
          <w:rtl/>
          <w:lang w:bidi="fa-IR"/>
        </w:rPr>
        <w:t xml:space="preserve"> يَقُولُ : </w:t>
      </w:r>
      <w:r w:rsidRPr="00071CF9">
        <w:rPr>
          <w:rStyle w:val="libAlaemChar"/>
          <w:rtl/>
        </w:rPr>
        <w:t>(</w:t>
      </w:r>
      <w:r w:rsidRPr="00071CF9">
        <w:rPr>
          <w:rStyle w:val="libAieChar"/>
          <w:rtl/>
        </w:rPr>
        <w:t xml:space="preserve"> مَرَجَ الْبَحْرَيْنِ يَلْتَقِيانِ </w:t>
      </w:r>
      <w:r w:rsidR="00F15967">
        <w:rPr>
          <w:rStyle w:val="libAieChar"/>
          <w:rFonts w:hint="cs"/>
          <w:rtl/>
        </w:rPr>
        <w:t xml:space="preserve">* </w:t>
      </w:r>
      <w:r w:rsidRPr="00071CF9">
        <w:rPr>
          <w:rStyle w:val="libAieChar"/>
          <w:rtl/>
        </w:rPr>
        <w:t xml:space="preserve">بَيْنَهُما بَرْزَخٌ لا يَبْغِيانِ </w:t>
      </w:r>
      <w:r w:rsidRPr="00071CF9">
        <w:rPr>
          <w:rStyle w:val="libAlaemChar"/>
          <w:rtl/>
        </w:rPr>
        <w:t>)</w:t>
      </w:r>
      <w:r w:rsidRPr="00132E65">
        <w:rPr>
          <w:rtl/>
          <w:lang w:bidi="fa-IR"/>
        </w:rPr>
        <w:t xml:space="preserve"> إِلى قَوْلِهِ</w:t>
      </w:r>
      <w:r>
        <w:rPr>
          <w:rFonts w:hint="cs"/>
          <w:rtl/>
          <w:lang w:bidi="fa-IR"/>
        </w:rPr>
        <w:t xml:space="preserve"> </w:t>
      </w:r>
      <w:r w:rsidRPr="00071CF9">
        <w:rPr>
          <w:rStyle w:val="libAlaemChar"/>
          <w:rtl/>
        </w:rPr>
        <w:t>(</w:t>
      </w:r>
      <w:r w:rsidRPr="00071CF9">
        <w:rPr>
          <w:rStyle w:val="libAieChar"/>
          <w:rtl/>
        </w:rPr>
        <w:t xml:space="preserve"> يَخْرُجُ مِنْهُمَا اللُّؤْلُؤُ وَالْمَرْجانُ </w:t>
      </w:r>
      <w:r w:rsidRPr="00071CF9">
        <w:rPr>
          <w:rStyle w:val="libAlaemChar"/>
          <w:rtl/>
        </w:rPr>
        <w:t>)</w:t>
      </w:r>
      <w:r w:rsidRPr="00132E65">
        <w:rPr>
          <w:rtl/>
          <w:lang w:bidi="fa-IR"/>
        </w:rPr>
        <w:t xml:space="preserve"> </w:t>
      </w:r>
      <w:r>
        <w:rPr>
          <w:rStyle w:val="libFootnotenumChar"/>
          <w:rtl/>
        </w:rPr>
        <w:t>(4)</w:t>
      </w:r>
      <w:r>
        <w:rPr>
          <w:rtl/>
          <w:lang w:bidi="fa-IR"/>
        </w:rPr>
        <w:t>؟</w:t>
      </w:r>
      <w:r w:rsidRPr="00132E65">
        <w:rPr>
          <w:rtl/>
          <w:lang w:bidi="fa-IR"/>
        </w:rPr>
        <w:t xml:space="preserve"> فَبِاللهِ </w:t>
      </w:r>
      <w:r>
        <w:rPr>
          <w:rStyle w:val="libFootnotenumChar"/>
          <w:rtl/>
        </w:rPr>
        <w:t>(5)</w:t>
      </w:r>
      <w:r w:rsidRPr="00132E65">
        <w:rPr>
          <w:rtl/>
          <w:lang w:bidi="fa-IR"/>
        </w:rPr>
        <w:t xml:space="preserve"> ، لَابْتِذَالُ نِعَمِ اللهِ بِالْفَعَالِ أَحَبُّ إِلَيْهِ مِنِ ابْتِذَالِهَا </w:t>
      </w:r>
      <w:r>
        <w:rPr>
          <w:rStyle w:val="libFootnotenumChar"/>
          <w:rtl/>
        </w:rPr>
        <w:t>(6)</w:t>
      </w:r>
      <w:r w:rsidRPr="00132E65">
        <w:rPr>
          <w:rtl/>
          <w:lang w:bidi="fa-IR"/>
        </w:rPr>
        <w:t xml:space="preserve"> بِالْمَقَالِ ، وقَدْ قَالَ اللهُ </w:t>
      </w:r>
      <w:r>
        <w:rPr>
          <w:rStyle w:val="libFootnotenumChar"/>
          <w:rtl/>
        </w:rPr>
        <w:t>(7)</w:t>
      </w:r>
      <w:r w:rsidRPr="00132E65">
        <w:rPr>
          <w:rtl/>
          <w:lang w:bidi="fa-IR"/>
        </w:rPr>
        <w:t xml:space="preserve"> عَزَّ وجَلَّ : </w:t>
      </w:r>
      <w:r w:rsidRPr="00071CF9">
        <w:rPr>
          <w:rStyle w:val="libAlaemChar"/>
          <w:rtl/>
        </w:rPr>
        <w:t>(</w:t>
      </w:r>
      <w:r w:rsidRPr="00071CF9">
        <w:rPr>
          <w:rStyle w:val="libAieChar"/>
          <w:rtl/>
        </w:rPr>
        <w:t xml:space="preserve"> وَأَمّا بِنِعْمَةِ رَبِّكَ فَحَدِّثْ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عَاصِمٌ : يَا أَمِيرَ الْمُؤْمِنِينَ ، فَعَلى مَا </w:t>
      </w:r>
      <w:r>
        <w:rPr>
          <w:rStyle w:val="libFootnotenumChar"/>
          <w:rtl/>
        </w:rPr>
        <w:t>(9)</w:t>
      </w:r>
      <w:r w:rsidRPr="00132E65">
        <w:rPr>
          <w:rtl/>
          <w:lang w:bidi="fa-IR"/>
        </w:rPr>
        <w:t xml:space="preserve"> اقْتَصَرْتَ فِي مَطْعَمِكَ عَلَى الْجُشُوبَةِ ، وَفِي مَلْبَسِكَ عَلَى الْخُشُونَةِ</w:t>
      </w:r>
      <w:r>
        <w:rPr>
          <w:rtl/>
          <w:lang w:bidi="fa-IR"/>
        </w:rPr>
        <w:t>؟</w:t>
      </w:r>
      <w:r w:rsidRPr="00132E65">
        <w:rPr>
          <w:rtl/>
          <w:lang w:bidi="fa-IR"/>
        </w:rPr>
        <w:t xml:space="preserve"> فَقَالَ : « وَيْحَكَ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فَرَضَ عَلى أَئِمَّةِ الْعَدْلِ أَنْ يُقَدِّرُوا أَنْفُسَهُمْ بِضَعَفَةِ النَّاسِ كَيْلَا يَتَبَيَّغَ </w:t>
      </w:r>
      <w:r>
        <w:rPr>
          <w:rStyle w:val="libFootnotenumChar"/>
          <w:rtl/>
        </w:rPr>
        <w:t>(10)</w:t>
      </w:r>
      <w:r w:rsidRPr="00132E65">
        <w:rPr>
          <w:rtl/>
          <w:lang w:bidi="fa-IR"/>
        </w:rPr>
        <w:t xml:space="preserve"> بِالْفَقِيرِ فَقْرُهُ »</w:t>
      </w:r>
      <w:r>
        <w:rPr>
          <w:rtl/>
          <w:lang w:bidi="fa-IR"/>
        </w:rPr>
        <w:t>.</w:t>
      </w:r>
      <w:r w:rsidRPr="00132E65">
        <w:rPr>
          <w:rtl/>
          <w:lang w:bidi="fa-IR"/>
        </w:rPr>
        <w:t xml:space="preserve"> فَأَلْقى عَاصِمُ بْنُ زِيَادٍ </w:t>
      </w:r>
      <w:r>
        <w:rPr>
          <w:rStyle w:val="libFootnotenumChar"/>
          <w:rtl/>
        </w:rPr>
        <w:t>(11)</w:t>
      </w:r>
      <w:r w:rsidRPr="00132E65">
        <w:rPr>
          <w:rtl/>
          <w:lang w:bidi="fa-IR"/>
        </w:rPr>
        <w:t xml:space="preserve"> الْعَبَاءَ ، ولَبِسَ الْمُلَاءَ. </w:t>
      </w:r>
      <w:r>
        <w:rPr>
          <w:rStyle w:val="libFootnotenumChar"/>
          <w:rtl/>
        </w:rPr>
        <w:t>(12)</w:t>
      </w:r>
    </w:p>
    <w:p w:rsidR="000C39D1" w:rsidRPr="00132E65" w:rsidRDefault="000C39D1" w:rsidP="000C39D1">
      <w:pPr>
        <w:pStyle w:val="libNormal"/>
        <w:rPr>
          <w:rtl/>
          <w:lang w:bidi="fa-IR"/>
        </w:rPr>
      </w:pPr>
      <w:r w:rsidRPr="00901459">
        <w:rPr>
          <w:rtl/>
        </w:rPr>
        <w:t>1083</w:t>
      </w:r>
      <w:r w:rsidRPr="004325D8">
        <w:rPr>
          <w:rStyle w:val="libBold2Char"/>
          <w:rtl/>
        </w:rPr>
        <w:t xml:space="preserve"> / 4.</w:t>
      </w:r>
      <w:r w:rsidRPr="00132E65">
        <w:rPr>
          <w:rtl/>
          <w:lang w:bidi="fa-IR"/>
        </w:rPr>
        <w:t xml:space="preserve"> عِدَّةٌ مِنْ أَصْحَابِنَا ، عَنْ أَحْمَدَ بْنِ مُحَمَّدٍ الْبَرْقِيِّ ، عَنْ أَبِيهِ ، عَنْ مُحَمَّدِ بْنِ‌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11544" w:rsidTr="00611544">
        <w:tc>
          <w:tcPr>
            <w:tcW w:w="4006" w:type="dxa"/>
          </w:tcPr>
          <w:p w:rsidR="00611544" w:rsidRDefault="00611544" w:rsidP="000C39D1">
            <w:pPr>
              <w:pStyle w:val="libFootnote0"/>
              <w:rPr>
                <w:rtl/>
              </w:rPr>
            </w:pPr>
            <w:r>
              <w:rPr>
                <w:rtl/>
              </w:rPr>
              <w:t>(1).</w:t>
            </w:r>
            <w:r w:rsidRPr="00132E65">
              <w:rPr>
                <w:rtl/>
              </w:rPr>
              <w:t xml:space="preserve"> في « ف » : « عبّس »</w:t>
            </w:r>
            <w:r>
              <w:rPr>
                <w:rtl/>
              </w:rPr>
              <w:t>.</w:t>
            </w:r>
          </w:p>
        </w:tc>
        <w:tc>
          <w:tcPr>
            <w:tcW w:w="4006" w:type="dxa"/>
          </w:tcPr>
          <w:p w:rsidR="00611544" w:rsidRDefault="00611544" w:rsidP="000C39D1">
            <w:pPr>
              <w:pStyle w:val="libFootnote0"/>
              <w:rPr>
                <w:rtl/>
              </w:rPr>
            </w:pPr>
            <w:r>
              <w:rPr>
                <w:rtl/>
              </w:rPr>
              <w:t>(2).</w:t>
            </w:r>
            <w:r w:rsidRPr="00132E65">
              <w:rPr>
                <w:rtl/>
              </w:rPr>
              <w:t xml:space="preserve"> في « بر » : « استحيت »</w:t>
            </w:r>
            <w:r>
              <w:rPr>
                <w:rtl/>
              </w:rPr>
              <w:t>.</w:t>
            </w:r>
          </w:p>
        </w:tc>
      </w:tr>
      <w:tr w:rsidR="00611544" w:rsidTr="00611544">
        <w:tc>
          <w:tcPr>
            <w:tcW w:w="4006" w:type="dxa"/>
          </w:tcPr>
          <w:p w:rsidR="00611544" w:rsidRDefault="00611544" w:rsidP="000C39D1">
            <w:pPr>
              <w:pStyle w:val="libFootnote0"/>
              <w:rPr>
                <w:rtl/>
              </w:rPr>
            </w:pPr>
            <w:r>
              <w:rPr>
                <w:rtl/>
              </w:rPr>
              <w:t>(3).</w:t>
            </w:r>
            <w:r w:rsidRPr="00132E65">
              <w:rPr>
                <w:rtl/>
              </w:rPr>
              <w:t xml:space="preserve"> في الوسائل والبحار </w:t>
            </w:r>
            <w:r>
              <w:rPr>
                <w:rtl/>
              </w:rPr>
              <w:t xml:space="preserve">: - </w:t>
            </w:r>
            <w:r w:rsidRPr="00132E65">
              <w:rPr>
                <w:rtl/>
              </w:rPr>
              <w:t>« الله »</w:t>
            </w:r>
            <w:r>
              <w:rPr>
                <w:rtl/>
              </w:rPr>
              <w:t>.</w:t>
            </w:r>
          </w:p>
        </w:tc>
        <w:tc>
          <w:tcPr>
            <w:tcW w:w="4006" w:type="dxa"/>
          </w:tcPr>
          <w:p w:rsidR="00611544" w:rsidRDefault="00611544" w:rsidP="000C39D1">
            <w:pPr>
              <w:pStyle w:val="libFootnote0"/>
              <w:rPr>
                <w:rtl/>
              </w:rPr>
            </w:pPr>
            <w:r>
              <w:rPr>
                <w:rtl/>
              </w:rPr>
              <w:t>(4).</w:t>
            </w:r>
            <w:r w:rsidRPr="00132E65">
              <w:rPr>
                <w:rtl/>
              </w:rPr>
              <w:t xml:space="preserve"> الرحمن (55) : 10</w:t>
            </w:r>
            <w:r>
              <w:rPr>
                <w:rtl/>
              </w:rPr>
              <w:t xml:space="preserve"> - </w:t>
            </w:r>
            <w:r w:rsidRPr="00132E65">
              <w:rPr>
                <w:rtl/>
              </w:rPr>
              <w:t xml:space="preserve">/ 11 </w:t>
            </w:r>
            <w:r>
              <w:rPr>
                <w:rtl/>
              </w:rPr>
              <w:t>و 1</w:t>
            </w:r>
            <w:r w:rsidRPr="00132E65">
              <w:rPr>
                <w:rtl/>
              </w:rPr>
              <w:t>9</w:t>
            </w:r>
            <w:r>
              <w:rPr>
                <w:rtl/>
              </w:rPr>
              <w:t xml:space="preserve"> - </w:t>
            </w:r>
            <w:r w:rsidRPr="00132E65">
              <w:rPr>
                <w:rtl/>
              </w:rPr>
              <w:t>22.</w:t>
            </w:r>
          </w:p>
        </w:tc>
      </w:tr>
    </w:tbl>
    <w:p w:rsidR="000C39D1" w:rsidRPr="00132E65" w:rsidRDefault="000C39D1" w:rsidP="000C39D1">
      <w:pPr>
        <w:pStyle w:val="libFootnote0"/>
        <w:rPr>
          <w:rtl/>
          <w:lang w:bidi="fa-IR"/>
        </w:rPr>
      </w:pPr>
      <w:r>
        <w:rPr>
          <w:rtl/>
        </w:rPr>
        <w:t>(5).</w:t>
      </w:r>
      <w:r w:rsidRPr="00132E65">
        <w:rPr>
          <w:rtl/>
        </w:rPr>
        <w:t xml:space="preserve"> في « ض ، بر ، بس » وحاشية « ج ، بف » : « فيا لَلّه »</w:t>
      </w:r>
      <w:r>
        <w:rPr>
          <w:rtl/>
        </w:rPr>
        <w:t>.</w:t>
      </w:r>
      <w:r w:rsidRPr="00132E65">
        <w:rPr>
          <w:rtl/>
        </w:rPr>
        <w:t xml:space="preserve"> وفي « ف » : « فالله »</w:t>
      </w:r>
      <w:r>
        <w:rPr>
          <w:rtl/>
        </w:rPr>
        <w:t>.</w:t>
      </w:r>
    </w:p>
    <w:p w:rsidR="000C39D1" w:rsidRPr="00132E65" w:rsidRDefault="000C39D1" w:rsidP="000C39D1">
      <w:pPr>
        <w:pStyle w:val="libFootnote0"/>
        <w:rPr>
          <w:rtl/>
          <w:lang w:bidi="fa-IR"/>
        </w:rPr>
      </w:pPr>
      <w:r>
        <w:rPr>
          <w:rtl/>
        </w:rPr>
        <w:t>(6).</w:t>
      </w:r>
      <w:r w:rsidRPr="00132E65">
        <w:rPr>
          <w:rtl/>
        </w:rPr>
        <w:t xml:space="preserve"> في « ب ، ج ، ض ، ف ، بح ، بف » و</w:t>
      </w:r>
      <w:r w:rsidRPr="009D1ACE">
        <w:rPr>
          <w:rStyle w:val="libFootnoteBoldChar"/>
          <w:rtl/>
        </w:rPr>
        <w:t>الوافي</w:t>
      </w:r>
      <w:r w:rsidRPr="00132E65">
        <w:rPr>
          <w:rtl/>
        </w:rPr>
        <w:t xml:space="preserve"> : « ابتذاله لها »</w:t>
      </w:r>
      <w:r>
        <w:rPr>
          <w:rtl/>
        </w:rPr>
        <w:t>.</w:t>
      </w:r>
      <w:r w:rsidRPr="00132E65">
        <w:rPr>
          <w:rtl/>
        </w:rPr>
        <w:t xml:space="preserve"> وقال في </w:t>
      </w:r>
      <w:r w:rsidRPr="009D1ACE">
        <w:rPr>
          <w:rStyle w:val="libFootnoteBoldChar"/>
          <w:rtl/>
        </w:rPr>
        <w:t>الوافي</w:t>
      </w:r>
      <w:r w:rsidRPr="00132E65">
        <w:rPr>
          <w:rtl/>
        </w:rPr>
        <w:t xml:space="preserve"> : « ابتذال النعمة بالفعال : أن يصرفها فيما ينبغي متوسّعاً من غير ضيق. وبالمقال : أن يدّعي الغناء ويظهر بلسانه الاستغناء بها »</w:t>
      </w:r>
      <w:r>
        <w:rPr>
          <w:rtl/>
        </w:rPr>
        <w:t>.</w:t>
      </w:r>
    </w:p>
    <w:tbl>
      <w:tblPr>
        <w:tblStyle w:val="TableGrid"/>
        <w:bidiVisual/>
        <w:tblW w:w="0" w:type="auto"/>
        <w:tblLook w:val="04A0" w:firstRow="1" w:lastRow="0" w:firstColumn="1" w:lastColumn="0" w:noHBand="0" w:noVBand="1"/>
      </w:tblPr>
      <w:tblGrid>
        <w:gridCol w:w="4006"/>
        <w:gridCol w:w="4006"/>
      </w:tblGrid>
      <w:tr w:rsidR="00BC08FF" w:rsidTr="00BC08FF">
        <w:tc>
          <w:tcPr>
            <w:tcW w:w="4006" w:type="dxa"/>
          </w:tcPr>
          <w:p w:rsidR="00BC08FF" w:rsidRDefault="00BC08FF" w:rsidP="000C39D1">
            <w:pPr>
              <w:pStyle w:val="libFootnote0"/>
              <w:rPr>
                <w:rtl/>
              </w:rPr>
            </w:pPr>
            <w:r>
              <w:rPr>
                <w:rtl/>
              </w:rPr>
              <w:t>(7).</w:t>
            </w:r>
            <w:r w:rsidRPr="00132E65">
              <w:rPr>
                <w:rtl/>
              </w:rPr>
              <w:t xml:space="preserve"> في « بح ، بس » </w:t>
            </w:r>
            <w:r>
              <w:rPr>
                <w:rtl/>
              </w:rPr>
              <w:t xml:space="preserve">: - </w:t>
            </w:r>
            <w:r w:rsidRPr="00132E65">
              <w:rPr>
                <w:rtl/>
              </w:rPr>
              <w:t>« الله »</w:t>
            </w:r>
            <w:r>
              <w:rPr>
                <w:rtl/>
              </w:rPr>
              <w:t>.</w:t>
            </w:r>
          </w:p>
        </w:tc>
        <w:tc>
          <w:tcPr>
            <w:tcW w:w="4006" w:type="dxa"/>
          </w:tcPr>
          <w:p w:rsidR="00BC08FF" w:rsidRDefault="00BC08FF" w:rsidP="000C39D1">
            <w:pPr>
              <w:pStyle w:val="libFootnote0"/>
              <w:rPr>
                <w:rtl/>
              </w:rPr>
            </w:pPr>
            <w:r>
              <w:rPr>
                <w:rtl/>
              </w:rPr>
              <w:t>(8).</w:t>
            </w:r>
            <w:r w:rsidRPr="00132E65">
              <w:rPr>
                <w:rtl/>
              </w:rPr>
              <w:t xml:space="preserve"> الضحى (93) : 11.</w:t>
            </w:r>
          </w:p>
        </w:tc>
      </w:tr>
    </w:tbl>
    <w:p w:rsidR="000C39D1" w:rsidRPr="00132E65" w:rsidRDefault="000C39D1" w:rsidP="000C39D1">
      <w:pPr>
        <w:pStyle w:val="libFootnote0"/>
        <w:rPr>
          <w:rtl/>
          <w:lang w:bidi="fa-IR"/>
        </w:rPr>
      </w:pPr>
      <w:r>
        <w:rPr>
          <w:rtl/>
        </w:rPr>
        <w:t>(9).</w:t>
      </w:r>
      <w:r w:rsidRPr="00132E65">
        <w:rPr>
          <w:rtl/>
        </w:rPr>
        <w:t xml:space="preserve"> في الوسائل : « فعلامَ »</w:t>
      </w:r>
      <w:r>
        <w:rPr>
          <w:rtl/>
        </w:rPr>
        <w:t>.</w:t>
      </w:r>
    </w:p>
    <w:p w:rsidR="000C39D1" w:rsidRPr="00132E65" w:rsidRDefault="000C39D1" w:rsidP="000C39D1">
      <w:pPr>
        <w:pStyle w:val="libFootnote0"/>
        <w:rPr>
          <w:rtl/>
          <w:lang w:bidi="fa-IR"/>
        </w:rPr>
      </w:pPr>
      <w:r>
        <w:rPr>
          <w:rtl/>
        </w:rPr>
        <w:t>(10).</w:t>
      </w:r>
      <w:r w:rsidRPr="00132E65">
        <w:rPr>
          <w:rtl/>
        </w:rPr>
        <w:t xml:space="preserve"> في « بر » : « لكيلا يتبيّغ »</w:t>
      </w:r>
      <w:r>
        <w:rPr>
          <w:rtl/>
        </w:rPr>
        <w:t>.</w:t>
      </w:r>
      <w:r w:rsidRPr="00132E65">
        <w:rPr>
          <w:rtl/>
        </w:rPr>
        <w:t xml:space="preserve"> وفي حاشية « ج » : « كيلا تبيّغ »</w:t>
      </w:r>
      <w:r>
        <w:rPr>
          <w:rtl/>
        </w:rPr>
        <w:t>.</w:t>
      </w:r>
      <w:r w:rsidRPr="00132E65">
        <w:rPr>
          <w:rtl/>
        </w:rPr>
        <w:t xml:space="preserve"> وفي حاشية « ف » : « كيلا يبيغ »</w:t>
      </w:r>
      <w:r>
        <w:rPr>
          <w:rtl/>
        </w:rPr>
        <w:t>.</w:t>
      </w:r>
      <w:r w:rsidRPr="00132E65">
        <w:rPr>
          <w:rtl/>
        </w:rPr>
        <w:t xml:space="preserve"> وقوله : « يتبيّغ » ، أي‌يتهيّج. ويقال : أصله يتبغّى من البَغي ، فَقُلِب ، مثل جذب وجبذ. </w:t>
      </w:r>
      <w:r w:rsidRPr="00901459">
        <w:rPr>
          <w:rtl/>
        </w:rPr>
        <w:t>الصحاح</w:t>
      </w:r>
      <w:r w:rsidRPr="00132E65">
        <w:rPr>
          <w:rtl/>
        </w:rPr>
        <w:t xml:space="preserve"> ، ج 4 ، ص 1317 ( بوغ )</w:t>
      </w:r>
      <w:r>
        <w:rPr>
          <w:rtl/>
        </w:rPr>
        <w:t>.</w:t>
      </w:r>
    </w:p>
    <w:p w:rsidR="000C39D1" w:rsidRPr="00132E65" w:rsidRDefault="000C39D1" w:rsidP="000C39D1">
      <w:pPr>
        <w:pStyle w:val="libFootnote0"/>
        <w:rPr>
          <w:rtl/>
          <w:lang w:bidi="fa-IR"/>
        </w:rPr>
      </w:pPr>
      <w:r>
        <w:rPr>
          <w:rtl/>
        </w:rPr>
        <w:t>(11).</w:t>
      </w:r>
      <w:r w:rsidRPr="00132E65">
        <w:rPr>
          <w:rtl/>
        </w:rPr>
        <w:t xml:space="preserve"> في الوسائل </w:t>
      </w:r>
      <w:r>
        <w:rPr>
          <w:rtl/>
        </w:rPr>
        <w:t xml:space="preserve">: - </w:t>
      </w:r>
      <w:r w:rsidRPr="00132E65">
        <w:rPr>
          <w:rtl/>
        </w:rPr>
        <w:t>« بن زياد »</w:t>
      </w:r>
      <w:r>
        <w:rPr>
          <w:rtl/>
        </w:rPr>
        <w:t>.</w:t>
      </w:r>
    </w:p>
    <w:p w:rsidR="000C39D1" w:rsidRPr="00132E65" w:rsidRDefault="000C39D1" w:rsidP="008D5FE5">
      <w:pPr>
        <w:pStyle w:val="libFootnote0"/>
        <w:rPr>
          <w:rtl/>
          <w:lang w:bidi="fa-IR"/>
        </w:rPr>
      </w:pPr>
      <w:r>
        <w:rPr>
          <w:rtl/>
        </w:rPr>
        <w:t>(12).</w:t>
      </w:r>
      <w:r w:rsidRPr="00132E65">
        <w:rPr>
          <w:rtl/>
        </w:rPr>
        <w:t xml:space="preserve"> </w:t>
      </w:r>
      <w:r w:rsidRPr="00901459">
        <w:rPr>
          <w:rtl/>
        </w:rPr>
        <w:t>نهج البلاغة</w:t>
      </w:r>
      <w:r w:rsidRPr="00132E65">
        <w:rPr>
          <w:rtl/>
        </w:rPr>
        <w:t xml:space="preserve"> ، ص 324 ، الخطبة 209 ، مع اختلاف يسير. وراجع : </w:t>
      </w:r>
      <w:r w:rsidRPr="00901459">
        <w:rPr>
          <w:rtl/>
        </w:rPr>
        <w:t>الاختصاص</w:t>
      </w:r>
      <w:r w:rsidRPr="00132E65">
        <w:rPr>
          <w:rtl/>
        </w:rPr>
        <w:t xml:space="preserve"> ، ص 152</w:t>
      </w:r>
      <w:r w:rsidR="008D5FE5">
        <w:rPr>
          <w:rFonts w:hint="cs"/>
          <w:rtl/>
        </w:rPr>
        <w:t>.</w:t>
      </w:r>
      <w:r w:rsidRPr="009D1ACE">
        <w:rPr>
          <w:rStyle w:val="libFootnoteBoldChar"/>
          <w:rtl/>
        </w:rPr>
        <w:t>الوافي</w:t>
      </w:r>
      <w:r w:rsidRPr="00132E65">
        <w:rPr>
          <w:rtl/>
        </w:rPr>
        <w:t xml:space="preserve"> ، ج 3 ، ص 65 ، ح 1257 ؛ </w:t>
      </w:r>
      <w:r w:rsidRPr="00901459">
        <w:rPr>
          <w:rtl/>
        </w:rPr>
        <w:t>الوسائل</w:t>
      </w:r>
      <w:r w:rsidRPr="00132E65">
        <w:rPr>
          <w:rtl/>
        </w:rPr>
        <w:t xml:space="preserve"> ، ج 5 ، ص 112 ، ح 6073 ؛ </w:t>
      </w:r>
      <w:r w:rsidRPr="00901459">
        <w:rPr>
          <w:rtl/>
        </w:rPr>
        <w:t>البحار</w:t>
      </w:r>
      <w:r w:rsidRPr="00132E65">
        <w:rPr>
          <w:rtl/>
        </w:rPr>
        <w:t xml:space="preserve"> ، ج 41 ، ص 123 ، ح 32.</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يَحْيَى الْخَزَّازِ </w:t>
      </w:r>
      <w:r>
        <w:rPr>
          <w:rStyle w:val="libFootnotenumChar"/>
          <w:rtl/>
        </w:rPr>
        <w:t>(1)</w:t>
      </w:r>
      <w:r w:rsidRPr="00132E65">
        <w:rPr>
          <w:rtl/>
          <w:lang w:bidi="fa-IR"/>
        </w:rPr>
        <w:t xml:space="preserve"> ، عَنْ حَمَّادِ بْنِ عُثْمَانَ ، قَالَ :</w:t>
      </w:r>
    </w:p>
    <w:p w:rsidR="000C39D1" w:rsidRPr="00132E65" w:rsidRDefault="000C39D1" w:rsidP="000C39D1">
      <w:pPr>
        <w:pStyle w:val="libNormal"/>
        <w:rPr>
          <w:rtl/>
          <w:lang w:bidi="fa-IR"/>
        </w:rPr>
      </w:pPr>
      <w:r w:rsidRPr="00132E65">
        <w:rPr>
          <w:rtl/>
          <w:lang w:bidi="fa-IR"/>
        </w:rPr>
        <w:t xml:space="preserve">حَضَرْتُ أَبَا عَبْدِ اللهِ </w:t>
      </w:r>
      <w:r w:rsidRPr="00071CF9">
        <w:rPr>
          <w:rStyle w:val="libAlaemChar"/>
          <w:rtl/>
        </w:rPr>
        <w:t>عليه‌السلام</w:t>
      </w:r>
      <w:r w:rsidRPr="00132E65">
        <w:rPr>
          <w:rtl/>
          <w:lang w:bidi="fa-IR"/>
        </w:rPr>
        <w:t xml:space="preserve"> وقَالَ لَهُ رَجُلٌ : أَصْلَحَكَ اللهُ ، ذَكَرْتَ أَنَّ عَلِيَّ بْنَ أَبِي طَالِبٍ </w:t>
      </w:r>
      <w:r w:rsidRPr="00071CF9">
        <w:rPr>
          <w:rStyle w:val="libAlaemChar"/>
          <w:rtl/>
        </w:rPr>
        <w:t>عليه‌السلام</w:t>
      </w:r>
      <w:r w:rsidRPr="00132E65">
        <w:rPr>
          <w:rtl/>
          <w:lang w:bidi="fa-IR"/>
        </w:rPr>
        <w:t xml:space="preserve"> كَانَ يَلْبَسُ الْخَشِنَ ، يَلْبَسُ الْقَمِيصَ بِأَرْبَعَةِ دَرَاهِمَ ومَا أَشْبَهَ ذلِكَ ، ونَرى </w:t>
      </w:r>
      <w:r>
        <w:rPr>
          <w:rStyle w:val="libFootnotenumChar"/>
          <w:rtl/>
        </w:rPr>
        <w:t>(2)</w:t>
      </w:r>
      <w:r w:rsidRPr="00132E65">
        <w:rPr>
          <w:rtl/>
          <w:lang w:bidi="fa-IR"/>
        </w:rPr>
        <w:t xml:space="preserve"> عَلَيْكَ اللِّبَاسَ الْجَدِيدَ </w:t>
      </w:r>
      <w:r>
        <w:rPr>
          <w:rStyle w:val="libFootnotenumChar"/>
          <w:rtl/>
        </w:rPr>
        <w:t>(3)</w:t>
      </w:r>
    </w:p>
    <w:p w:rsidR="000C39D1" w:rsidRPr="00132E65" w:rsidRDefault="000C39D1" w:rsidP="008D5FE5">
      <w:pPr>
        <w:pStyle w:val="libNormal"/>
        <w:rPr>
          <w:rtl/>
          <w:lang w:bidi="fa-IR"/>
        </w:rPr>
      </w:pPr>
      <w:r w:rsidRPr="00132E65">
        <w:rPr>
          <w:rtl/>
          <w:lang w:bidi="fa-IR"/>
        </w:rPr>
        <w:t xml:space="preserve">فَقَالَ </w:t>
      </w:r>
      <w:r>
        <w:rPr>
          <w:rStyle w:val="libFootnotenumChar"/>
          <w:rtl/>
        </w:rPr>
        <w:t>(4)</w:t>
      </w:r>
      <w:r w:rsidRPr="00132E65">
        <w:rPr>
          <w:rtl/>
          <w:lang w:bidi="fa-IR"/>
        </w:rPr>
        <w:t xml:space="preserve"> لَهُ </w:t>
      </w:r>
      <w:r>
        <w:rPr>
          <w:rStyle w:val="libFootnotenumChar"/>
          <w:rtl/>
        </w:rPr>
        <w:t>(5)</w:t>
      </w:r>
      <w:r w:rsidRPr="00132E65">
        <w:rPr>
          <w:rtl/>
          <w:lang w:bidi="fa-IR"/>
        </w:rPr>
        <w:t xml:space="preserve"> : « إِنَّ عَلِيَّ بْنَ أَبِي طَالِبٍ </w:t>
      </w:r>
      <w:r w:rsidRPr="00071CF9">
        <w:rPr>
          <w:rStyle w:val="libAlaemChar"/>
          <w:rtl/>
        </w:rPr>
        <w:t>عليه‌السلام</w:t>
      </w:r>
      <w:r w:rsidRPr="00132E65">
        <w:rPr>
          <w:rtl/>
          <w:lang w:bidi="fa-IR"/>
        </w:rPr>
        <w:t xml:space="preserve"> كَانَ يَلْبَسُ ذلِكَ فِي زَمَانٍ لَايُنْكَرُ عَلَيْهِ </w:t>
      </w:r>
      <w:r>
        <w:rPr>
          <w:rStyle w:val="libFootnotenumChar"/>
          <w:rtl/>
        </w:rPr>
        <w:t>(6)</w:t>
      </w:r>
      <w:r w:rsidRPr="00132E65">
        <w:rPr>
          <w:rtl/>
          <w:lang w:bidi="fa-IR"/>
        </w:rPr>
        <w:t xml:space="preserve"> ، ولَوْ لَبِسَ مِثْلَ ذلِكَ الْيَوْمَ شُهِرَ </w:t>
      </w:r>
      <w:r>
        <w:rPr>
          <w:rStyle w:val="libFootnotenumChar"/>
          <w:rtl/>
        </w:rPr>
        <w:t>(7)</w:t>
      </w:r>
      <w:r w:rsidRPr="00132E65">
        <w:rPr>
          <w:rtl/>
          <w:lang w:bidi="fa-IR"/>
        </w:rPr>
        <w:t xml:space="preserve"> بِهِ ، فَخَيْرُ </w:t>
      </w:r>
      <w:r>
        <w:rPr>
          <w:rStyle w:val="libFootnotenumChar"/>
          <w:rtl/>
        </w:rPr>
        <w:t>(8)</w:t>
      </w:r>
      <w:r w:rsidRPr="00132E65">
        <w:rPr>
          <w:rtl/>
          <w:lang w:bidi="fa-IR"/>
        </w:rPr>
        <w:t xml:space="preserve"> لِبَاسِ كُلِّ زَمَانٍ لِبَاسُ أَهْلِهِ ، غَيْرَ أَنَّ قَائِمَنَا أَهْلَ الْبَيْتِ </w:t>
      </w:r>
      <w:r w:rsidRPr="00071CF9">
        <w:rPr>
          <w:rStyle w:val="libAlaemChar"/>
          <w:rtl/>
        </w:rPr>
        <w:t>عليه‌السلام</w:t>
      </w:r>
      <w:r w:rsidRPr="00132E65">
        <w:rPr>
          <w:rtl/>
          <w:lang w:bidi="fa-IR"/>
        </w:rPr>
        <w:t xml:space="preserve"> </w:t>
      </w:r>
      <w:r>
        <w:rPr>
          <w:rStyle w:val="libFootnotenumChar"/>
          <w:rtl/>
        </w:rPr>
        <w:t>(9)</w:t>
      </w:r>
      <w:r w:rsidRPr="00132E65">
        <w:rPr>
          <w:rtl/>
          <w:lang w:bidi="fa-IR"/>
        </w:rPr>
        <w:t xml:space="preserve"> إِذَا قَامَ ، لَبِسَ ثِيَابَ عَلِيٍّ </w:t>
      </w:r>
      <w:r w:rsidRPr="00071CF9">
        <w:rPr>
          <w:rStyle w:val="libAlaemChar"/>
          <w:rtl/>
        </w:rPr>
        <w:t>عليه‌السلام</w:t>
      </w:r>
      <w:r w:rsidRPr="00132E65">
        <w:rPr>
          <w:rtl/>
          <w:lang w:bidi="fa-IR"/>
        </w:rPr>
        <w:t xml:space="preserve"> ، وسَارَ بِسِيرَةِ عَلِيٍّ </w:t>
      </w:r>
      <w:r>
        <w:rPr>
          <w:rStyle w:val="libFootnotenumChar"/>
          <w:rtl/>
        </w:rPr>
        <w:t>(10)</w:t>
      </w:r>
      <w:r w:rsidRPr="00132E65">
        <w:rPr>
          <w:rtl/>
          <w:lang w:bidi="fa-IR"/>
        </w:rPr>
        <w:t xml:space="preserve">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(11)</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بر ، بس » : « الخرّاز »</w:t>
      </w:r>
      <w:r>
        <w:rPr>
          <w:rtl/>
        </w:rPr>
        <w:t>.</w:t>
      </w:r>
      <w:r w:rsidRPr="00132E65">
        <w:rPr>
          <w:rtl/>
        </w:rPr>
        <w:t xml:space="preserve"> وهو سهو ، والمذكور في ترجمته ومواضع وروده هو « الخزّاز »</w:t>
      </w:r>
      <w:r>
        <w:rPr>
          <w:rtl/>
        </w:rPr>
        <w:t>.</w:t>
      </w:r>
      <w:r w:rsidRPr="00132E65">
        <w:rPr>
          <w:rtl/>
        </w:rPr>
        <w:t xml:space="preserve"> راجع : </w:t>
      </w:r>
      <w:r w:rsidRPr="00901459">
        <w:rPr>
          <w:rtl/>
        </w:rPr>
        <w:t>رجال النجاشي</w:t>
      </w:r>
      <w:r w:rsidRPr="00132E65">
        <w:rPr>
          <w:rtl/>
        </w:rPr>
        <w:t xml:space="preserve"> ، ص 144 ، الرقم 373 ؛ وص 249 ، الرقم 655 ؛ وص 359 ، الرقم 964 ؛ </w:t>
      </w:r>
      <w:r w:rsidRPr="00901459">
        <w:rPr>
          <w:rtl/>
        </w:rPr>
        <w:t>الفهرست</w:t>
      </w:r>
      <w:r w:rsidRPr="00132E65">
        <w:rPr>
          <w:rtl/>
        </w:rPr>
        <w:t xml:space="preserve"> للطوسي ، ص 355 ، الرقم 561 ؛ </w:t>
      </w:r>
      <w:r w:rsidRPr="00901459">
        <w:rPr>
          <w:rtl/>
        </w:rPr>
        <w:t>رجال الطوسي</w:t>
      </w:r>
      <w:r w:rsidRPr="00132E65">
        <w:rPr>
          <w:rtl/>
        </w:rPr>
        <w:t xml:space="preserve"> ، ص 435 ، الرقم 6232 ؛ </w:t>
      </w:r>
      <w:r w:rsidRPr="00901459">
        <w:rPr>
          <w:rtl/>
        </w:rPr>
        <w:t>رجال ابن داود</w:t>
      </w:r>
      <w:r w:rsidRPr="00132E65">
        <w:rPr>
          <w:rtl/>
        </w:rPr>
        <w:t xml:space="preserve"> ، ص 340 ، الرقم 1499 ؛ </w:t>
      </w:r>
      <w:r w:rsidRPr="00901459">
        <w:rPr>
          <w:rtl/>
        </w:rPr>
        <w:t>خلاصة الأقوال</w:t>
      </w:r>
      <w:r w:rsidRPr="00132E65">
        <w:rPr>
          <w:rtl/>
        </w:rPr>
        <w:t xml:space="preserve"> ، ص 158 ، الرقم 120 ؛ </w:t>
      </w:r>
      <w:r w:rsidRPr="00901459">
        <w:rPr>
          <w:rtl/>
        </w:rPr>
        <w:t>معجم رجال الحديث</w:t>
      </w:r>
      <w:r w:rsidRPr="00132E65">
        <w:rPr>
          <w:rtl/>
        </w:rPr>
        <w:t xml:space="preserve"> ، ج 18 ، ص 37.</w:t>
      </w:r>
    </w:p>
    <w:p w:rsidR="000C39D1" w:rsidRPr="00132E65" w:rsidRDefault="000C39D1" w:rsidP="000C39D1">
      <w:pPr>
        <w:pStyle w:val="libFootnote0"/>
        <w:rPr>
          <w:rtl/>
          <w:lang w:bidi="fa-IR"/>
        </w:rPr>
      </w:pPr>
      <w:r>
        <w:rPr>
          <w:rtl/>
        </w:rPr>
        <w:t>(2).</w:t>
      </w:r>
      <w:r w:rsidRPr="00132E65">
        <w:rPr>
          <w:rtl/>
        </w:rPr>
        <w:t xml:space="preserve"> في « ب ، بف » : « ويرى »</w:t>
      </w:r>
      <w:r>
        <w:rPr>
          <w:rtl/>
        </w:rPr>
        <w:t>.</w:t>
      </w:r>
      <w:r w:rsidRPr="00132E65">
        <w:rPr>
          <w:rtl/>
        </w:rPr>
        <w:t xml:space="preserve"> وفي « بح » : « وترى »</w:t>
      </w:r>
      <w:r>
        <w:rPr>
          <w:rtl/>
        </w:rPr>
        <w:t>.</w:t>
      </w:r>
    </w:p>
    <w:p w:rsidR="000C39D1" w:rsidRPr="00132E65" w:rsidRDefault="000C39D1" w:rsidP="000C39D1">
      <w:pPr>
        <w:pStyle w:val="libFootnote0"/>
        <w:rPr>
          <w:rtl/>
          <w:lang w:bidi="fa-IR"/>
        </w:rPr>
      </w:pPr>
      <w:r>
        <w:rPr>
          <w:rtl/>
        </w:rPr>
        <w:t>(3).</w:t>
      </w:r>
      <w:r w:rsidRPr="00132E65">
        <w:rPr>
          <w:rtl/>
        </w:rPr>
        <w:t xml:space="preserve"> في حاشية « ج ، بح ، بف » و</w:t>
      </w:r>
      <w:r w:rsidRPr="000577A7">
        <w:rPr>
          <w:rStyle w:val="libFootnoteBoldChar"/>
          <w:rtl/>
        </w:rPr>
        <w:t>الكافي</w:t>
      </w:r>
      <w:r w:rsidRPr="00132E65">
        <w:rPr>
          <w:rtl/>
        </w:rPr>
        <w:t xml:space="preserve"> ، ح 12456 : « الجيّد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0577A7">
        <w:rPr>
          <w:rStyle w:val="libFootnoteBoldChar"/>
          <w:rtl/>
        </w:rPr>
        <w:t>الكافي</w:t>
      </w:r>
      <w:r w:rsidRPr="00132E65">
        <w:rPr>
          <w:rtl/>
        </w:rPr>
        <w:t xml:space="preserve"> ، ح 12456 : « قال : فقال »</w:t>
      </w:r>
      <w:r>
        <w:rPr>
          <w:rtl/>
        </w:rPr>
        <w:t>.</w:t>
      </w:r>
    </w:p>
    <w:p w:rsidR="000C39D1" w:rsidRPr="00132E65" w:rsidRDefault="000C39D1" w:rsidP="000C39D1">
      <w:pPr>
        <w:pStyle w:val="libFootnote0"/>
        <w:rPr>
          <w:rtl/>
          <w:lang w:bidi="fa-IR"/>
        </w:rPr>
      </w:pPr>
      <w:r>
        <w:rPr>
          <w:rtl/>
        </w:rPr>
        <w:t>(5).</w:t>
      </w:r>
      <w:r w:rsidRPr="00132E65">
        <w:rPr>
          <w:rtl/>
        </w:rPr>
        <w:t xml:space="preserve"> في « بف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في « ج ، ف ، بح ، بس ، بف » و</w:t>
      </w:r>
      <w:r w:rsidRPr="000577A7">
        <w:rPr>
          <w:rStyle w:val="libFootnoteBoldChar"/>
          <w:rtl/>
        </w:rPr>
        <w:t>الكافي</w:t>
      </w:r>
      <w:r w:rsidRPr="00132E65">
        <w:rPr>
          <w:rtl/>
        </w:rPr>
        <w:t xml:space="preserve"> ، ح 12456 ، و</w:t>
      </w:r>
      <w:r w:rsidRPr="009D1ACE">
        <w:rPr>
          <w:rStyle w:val="libFootnoteBoldChar"/>
          <w:rtl/>
        </w:rPr>
        <w:t>مرآة العقول</w:t>
      </w:r>
      <w:r w:rsidRPr="00132E65">
        <w:rPr>
          <w:rtl/>
        </w:rPr>
        <w:t xml:space="preserve"> والبحار ، ج 40 </w:t>
      </w:r>
      <w:r>
        <w:rPr>
          <w:rtl/>
        </w:rPr>
        <w:t>و 4</w:t>
      </w:r>
      <w:r w:rsidRPr="00132E65">
        <w:rPr>
          <w:rtl/>
        </w:rPr>
        <w:t xml:space="preserve">7 </w:t>
      </w:r>
      <w:r>
        <w:rPr>
          <w:rtl/>
        </w:rPr>
        <w:t xml:space="preserve">: - </w:t>
      </w:r>
      <w:r w:rsidRPr="00132E65">
        <w:rPr>
          <w:rtl/>
        </w:rPr>
        <w:t>« عليه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ح 12456 : « لشهر »</w:t>
      </w:r>
      <w:r>
        <w:rPr>
          <w:rtl/>
        </w:rPr>
        <w:t>.</w:t>
      </w:r>
      <w:r w:rsidRPr="00132E65">
        <w:rPr>
          <w:rtl/>
        </w:rPr>
        <w:t xml:space="preserve"> قال ابن الأثير في معنى ثوب الشهرة : « الشهرة : ظهور الشي‌ء في شنعة حتّى‌يَشْهَره الناس »</w:t>
      </w:r>
      <w:r>
        <w:rPr>
          <w:rtl/>
        </w:rPr>
        <w:t>.</w:t>
      </w:r>
      <w:r w:rsidRPr="00132E65">
        <w:rPr>
          <w:rtl/>
        </w:rPr>
        <w:t xml:space="preserve"> راجع : </w:t>
      </w:r>
      <w:r w:rsidRPr="00901459">
        <w:rPr>
          <w:rtl/>
        </w:rPr>
        <w:t>النهاية</w:t>
      </w:r>
      <w:r w:rsidRPr="00132E65">
        <w:rPr>
          <w:rtl/>
        </w:rPr>
        <w:t xml:space="preserve"> ، ج 2 ، ص 515 ( شهر )</w:t>
      </w:r>
      <w:r>
        <w:rPr>
          <w:rtl/>
        </w:rPr>
        <w:t>.</w:t>
      </w:r>
    </w:p>
    <w:p w:rsidR="000C39D1" w:rsidRPr="00132E65" w:rsidRDefault="000C39D1" w:rsidP="000C39D1">
      <w:pPr>
        <w:pStyle w:val="libFootnote0"/>
        <w:rPr>
          <w:rtl/>
          <w:lang w:bidi="fa-IR"/>
        </w:rPr>
      </w:pPr>
      <w:r>
        <w:rPr>
          <w:rtl/>
        </w:rPr>
        <w:t>(8).</w:t>
      </w:r>
      <w:r w:rsidRPr="00132E65">
        <w:rPr>
          <w:rtl/>
        </w:rPr>
        <w:t xml:space="preserve"> في « ج ، بس » : « فأخير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12456 </w:t>
      </w:r>
      <w:r>
        <w:rPr>
          <w:rtl/>
        </w:rPr>
        <w:t xml:space="preserve">: - </w:t>
      </w:r>
      <w:r w:rsidRPr="00132E65">
        <w:rPr>
          <w:rtl/>
        </w:rPr>
        <w:t>« أهل البيت »</w:t>
      </w:r>
      <w:r>
        <w:rPr>
          <w:rtl/>
        </w:rPr>
        <w:t>.</w:t>
      </w:r>
    </w:p>
    <w:p w:rsidR="000C39D1" w:rsidRPr="00132E65" w:rsidRDefault="000C39D1" w:rsidP="000C39D1">
      <w:pPr>
        <w:pStyle w:val="libFootnote0"/>
        <w:rPr>
          <w:rtl/>
          <w:lang w:bidi="fa-IR"/>
        </w:rPr>
      </w:pPr>
      <w:r>
        <w:rPr>
          <w:rtl/>
        </w:rPr>
        <w:t>(10).</w:t>
      </w:r>
      <w:r w:rsidRPr="00132E65">
        <w:rPr>
          <w:rtl/>
        </w:rPr>
        <w:t xml:space="preserve"> في « بس » : « أمير المؤمنين »</w:t>
      </w:r>
      <w:r>
        <w:rPr>
          <w:rtl/>
        </w:rPr>
        <w:t>.</w:t>
      </w:r>
      <w:r w:rsidRPr="00132E65">
        <w:rPr>
          <w:rtl/>
        </w:rPr>
        <w:t xml:space="preserve"> وفي </w:t>
      </w:r>
      <w:r w:rsidRPr="000577A7">
        <w:rPr>
          <w:rStyle w:val="libFootnoteBoldChar"/>
          <w:rtl/>
        </w:rPr>
        <w:t>الكافي</w:t>
      </w:r>
      <w:r w:rsidRPr="00132E65">
        <w:rPr>
          <w:rtl/>
        </w:rPr>
        <w:t xml:space="preserve"> ، ح 12456 : « بسيرته » بدل « بسيرة عليّ </w:t>
      </w:r>
      <w:r w:rsidRPr="00894107">
        <w:rPr>
          <w:rStyle w:val="libFootnoteAlaemChar"/>
          <w:rtl/>
        </w:rPr>
        <w:t>عليه‌السلام</w:t>
      </w:r>
      <w:r w:rsidRPr="00132E65">
        <w:rPr>
          <w:rtl/>
        </w:rPr>
        <w:t xml:space="preserve"> »</w:t>
      </w:r>
      <w:r>
        <w:rPr>
          <w:rtl/>
        </w:rPr>
        <w:t>.</w:t>
      </w:r>
      <w:r w:rsidRPr="00132E65">
        <w:rPr>
          <w:rtl/>
        </w:rPr>
        <w:t xml:space="preserve"> وفي البحار ، ج 47 : « أمير المؤمنين عليّ »</w:t>
      </w:r>
      <w:r>
        <w:rPr>
          <w:rtl/>
        </w:rPr>
        <w:t>.</w:t>
      </w:r>
    </w:p>
    <w:p w:rsidR="000C39D1" w:rsidRPr="00132E65" w:rsidRDefault="000C39D1" w:rsidP="000C39D1">
      <w:pPr>
        <w:pStyle w:val="libFootnote0"/>
        <w:rPr>
          <w:rtl/>
          <w:lang w:bidi="fa-IR"/>
        </w:rPr>
      </w:pPr>
      <w:r>
        <w:rPr>
          <w:rtl/>
        </w:rPr>
        <w:t>(11).</w:t>
      </w:r>
      <w:r w:rsidRPr="00132E65">
        <w:rPr>
          <w:rtl/>
        </w:rPr>
        <w:t xml:space="preserve"> </w:t>
      </w:r>
      <w:r w:rsidRPr="000577A7">
        <w:rPr>
          <w:rStyle w:val="libFootnoteBoldChar"/>
          <w:rtl/>
        </w:rPr>
        <w:t>الكافي</w:t>
      </w:r>
      <w:r w:rsidRPr="00132E65">
        <w:rPr>
          <w:rtl/>
        </w:rPr>
        <w:t xml:space="preserve"> ، كتاب الزيّ والتجمّل ، باب اللباس ، ح 12456 ، [ عن محمّد بن يحيى ] عن أحمد بن محمّد ، عن محمّد بن يحيى ، عن حمّاد بن عثمان. </w:t>
      </w:r>
      <w:r w:rsidRPr="00901459">
        <w:rPr>
          <w:rtl/>
        </w:rPr>
        <w:t>رجال الكشّي</w:t>
      </w:r>
      <w:r w:rsidRPr="00132E65">
        <w:rPr>
          <w:rtl/>
        </w:rPr>
        <w:t xml:space="preserve"> ، ص 392 ، ح 739 ، بسند آخر عن عليّ بن أسباط ، قال : قال سفيان بن عيينة لأبي عبدالله </w:t>
      </w:r>
      <w:r w:rsidRPr="00894107">
        <w:rPr>
          <w:rStyle w:val="libFootnoteAlaemChar"/>
          <w:rtl/>
        </w:rPr>
        <w:t>عليه‌السلام</w:t>
      </w:r>
      <w:r>
        <w:rPr>
          <w:rtl/>
        </w:rPr>
        <w:t xml:space="preserve"> ..</w:t>
      </w:r>
      <w:r w:rsidRPr="00132E65">
        <w:rPr>
          <w:rtl/>
        </w:rPr>
        <w:t xml:space="preserve">. مع اختلاف. </w:t>
      </w:r>
      <w:r w:rsidRPr="00901459">
        <w:rPr>
          <w:rtl/>
        </w:rPr>
        <w:t>الوسائل</w:t>
      </w:r>
      <w:r w:rsidRPr="00132E65">
        <w:rPr>
          <w:rtl/>
        </w:rPr>
        <w:t xml:space="preserve"> ، ج 5 ، ص 17 ، ح 5772 ؛ </w:t>
      </w:r>
      <w:r w:rsidRPr="00901459">
        <w:rPr>
          <w:rtl/>
        </w:rPr>
        <w:t>البحار</w:t>
      </w:r>
      <w:r w:rsidRPr="00132E65">
        <w:rPr>
          <w:rtl/>
        </w:rPr>
        <w:t xml:space="preserve"> ، ج 40 ، ص 336 ، ح 18 ؛ وج 47 ، ص 54 ، ح 92.</w:t>
      </w:r>
    </w:p>
    <w:p w:rsidR="000C39D1" w:rsidRDefault="000C39D1" w:rsidP="00894107">
      <w:pPr>
        <w:pStyle w:val="libNormal"/>
        <w:rPr>
          <w:rtl/>
          <w:lang w:bidi="fa-IR"/>
        </w:rPr>
      </w:pPr>
      <w:r>
        <w:rPr>
          <w:rtl/>
          <w:lang w:bidi="fa-IR"/>
        </w:rPr>
        <w:br w:type="page"/>
      </w:r>
    </w:p>
    <w:p w:rsidR="000C39D1" w:rsidRPr="00132E65" w:rsidRDefault="000C39D1" w:rsidP="000C39D1">
      <w:pPr>
        <w:pStyle w:val="Heading2Center"/>
        <w:rPr>
          <w:rtl/>
          <w:lang w:bidi="fa-IR"/>
        </w:rPr>
      </w:pPr>
      <w:bookmarkStart w:id="144" w:name="_Toc459459148"/>
      <w:bookmarkStart w:id="145" w:name="_Toc34663117"/>
      <w:r w:rsidRPr="00132E65">
        <w:rPr>
          <w:rtl/>
          <w:lang w:bidi="fa-IR"/>
        </w:rPr>
        <w:t>107</w:t>
      </w:r>
      <w:r>
        <w:rPr>
          <w:rtl/>
          <w:lang w:bidi="fa-IR"/>
        </w:rPr>
        <w:t xml:space="preserve"> - </w:t>
      </w:r>
      <w:r w:rsidRPr="00132E65">
        <w:rPr>
          <w:rtl/>
          <w:lang w:bidi="fa-IR"/>
        </w:rPr>
        <w:t>بَابٌ نَادِرٌ‌</w:t>
      </w:r>
      <w:bookmarkEnd w:id="144"/>
      <w:bookmarkEnd w:id="145"/>
    </w:p>
    <w:p w:rsidR="000C39D1" w:rsidRPr="00132E65" w:rsidRDefault="000C39D1" w:rsidP="000C39D1">
      <w:pPr>
        <w:pStyle w:val="libNormal"/>
        <w:rPr>
          <w:rtl/>
          <w:lang w:bidi="fa-IR"/>
        </w:rPr>
      </w:pPr>
      <w:r w:rsidRPr="00901459">
        <w:rPr>
          <w:rtl/>
        </w:rPr>
        <w:t>1084</w:t>
      </w:r>
      <w:r w:rsidRPr="004325D8">
        <w:rPr>
          <w:rStyle w:val="libBold2Char"/>
          <w:rtl/>
        </w:rPr>
        <w:t xml:space="preserve"> / 1.</w:t>
      </w:r>
      <w:r w:rsidRPr="00132E65">
        <w:rPr>
          <w:rtl/>
          <w:lang w:bidi="fa-IR"/>
        </w:rPr>
        <w:t xml:space="preserve"> الْحُسَيْنُ بْنُ مُحَمَّدٍ ، عَنْ مُعَلَّى بْنِ مُحَمَّدٍ ، عَنْ أَحْمَدَ بْنِ مُحَمَّدِ بْنِ عَبْدِ اللهِ ، عَنْ أَيُّوبَ بْنِ نُوحٍ ، قَالَ :</w:t>
      </w:r>
    </w:p>
    <w:p w:rsidR="000C39D1" w:rsidRPr="00132E65" w:rsidRDefault="000C39D1" w:rsidP="000C39D1">
      <w:pPr>
        <w:pStyle w:val="libNormal"/>
        <w:rPr>
          <w:rtl/>
          <w:lang w:bidi="fa-IR"/>
        </w:rPr>
      </w:pPr>
      <w:r w:rsidRPr="00132E65">
        <w:rPr>
          <w:rtl/>
          <w:lang w:bidi="fa-IR"/>
        </w:rPr>
        <w:t xml:space="preserve">عَطَسَ </w:t>
      </w:r>
      <w:r w:rsidRPr="00071CF9">
        <w:rPr>
          <w:rStyle w:val="libAlaemChar"/>
          <w:rtl/>
        </w:rPr>
        <w:t>عليه‌السلام</w:t>
      </w:r>
      <w:r w:rsidRPr="00132E65">
        <w:rPr>
          <w:rtl/>
          <w:lang w:bidi="fa-IR"/>
        </w:rPr>
        <w:t xml:space="preserve"> يَوْماً وأَنَا عِنْدَهُ ، فَقُلْتُ : جُعِلْتُ فِدَاكَ ، مَا يُقَالُ لِلْإِمَامِ إِذَا عَطَسَ</w:t>
      </w:r>
      <w:r>
        <w:rPr>
          <w:rtl/>
          <w:lang w:bidi="fa-IR"/>
        </w:rPr>
        <w:t>؟</w:t>
      </w:r>
    </w:p>
    <w:p w:rsidR="000C39D1" w:rsidRPr="00132E65" w:rsidRDefault="000C39D1" w:rsidP="000C39D1">
      <w:pPr>
        <w:pStyle w:val="libNormal"/>
        <w:rPr>
          <w:rtl/>
          <w:lang w:bidi="fa-IR"/>
        </w:rPr>
      </w:pPr>
      <w:r w:rsidRPr="00132E65">
        <w:rPr>
          <w:rtl/>
          <w:lang w:bidi="fa-IR"/>
        </w:rPr>
        <w:t xml:space="preserve">قَالَ : « يَقُولُونَ </w:t>
      </w:r>
      <w:r>
        <w:rPr>
          <w:rStyle w:val="libFootnotenumChar"/>
          <w:rtl/>
        </w:rPr>
        <w:t>(1)</w:t>
      </w:r>
      <w:r w:rsidRPr="00132E65">
        <w:rPr>
          <w:rtl/>
          <w:lang w:bidi="fa-IR"/>
        </w:rPr>
        <w:t xml:space="preserve"> : صَلَّى اللهُ عَلَيْكَ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901459">
        <w:rPr>
          <w:rtl/>
        </w:rPr>
        <w:t>1085</w:t>
      </w:r>
      <w:r w:rsidRPr="004325D8">
        <w:rPr>
          <w:rStyle w:val="libBold2Char"/>
          <w:rtl/>
        </w:rPr>
        <w:t xml:space="preserve"> / 2.</w:t>
      </w:r>
      <w:r w:rsidRPr="00132E65">
        <w:rPr>
          <w:rtl/>
          <w:lang w:bidi="fa-IR"/>
        </w:rPr>
        <w:t xml:space="preserve"> مُحَمَّدُ بْنُ يَحْيى ، عَنْ جَعْفَرِ بْنِ مُحَمَّدٍ ، قَالَ : حَدَّثَنِي إِسْحَاقُ بْنُ إِبْرَاهِيمَ </w:t>
      </w:r>
      <w:r>
        <w:rPr>
          <w:rStyle w:val="libFootnotenumChar"/>
          <w:rtl/>
        </w:rPr>
        <w:t>(3)</w:t>
      </w:r>
      <w:r w:rsidRPr="00132E65">
        <w:rPr>
          <w:rtl/>
          <w:lang w:bidi="fa-IR"/>
        </w:rPr>
        <w:t xml:space="preserve"> الدِّينَوَرِيُّ ، عَنْ عُمَرَ بْنِ زَاهِرٍ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سَأَلَهُ رَجُلٌ عَنِ الْقَائِمِ </w:t>
      </w:r>
      <w:r w:rsidRPr="00071CF9">
        <w:rPr>
          <w:rStyle w:val="libAlaemChar"/>
          <w:rtl/>
        </w:rPr>
        <w:t>عليه‌السلام</w:t>
      </w:r>
      <w:r w:rsidRPr="00132E65">
        <w:rPr>
          <w:rtl/>
          <w:lang w:bidi="fa-IR"/>
        </w:rPr>
        <w:t xml:space="preserve"> : يُسَلَّمُ عَلَيْهِ بِإِمْرَةِ الْمُؤْمِنِينَ</w:t>
      </w:r>
      <w:r>
        <w:rPr>
          <w:rtl/>
          <w:lang w:bidi="fa-IR"/>
        </w:rPr>
        <w:t>؟</w:t>
      </w:r>
    </w:p>
    <w:p w:rsidR="000C39D1" w:rsidRPr="00132E65" w:rsidRDefault="000C39D1" w:rsidP="000C39D1">
      <w:pPr>
        <w:pStyle w:val="libNormal"/>
        <w:rPr>
          <w:rtl/>
          <w:lang w:bidi="fa-IR"/>
        </w:rPr>
      </w:pPr>
      <w:r w:rsidRPr="00132E65">
        <w:rPr>
          <w:rtl/>
          <w:lang w:bidi="fa-IR"/>
        </w:rPr>
        <w:t xml:space="preserve">قَالَ : « لَا ، ذَاكَ اسْمٌ سَمَّى اللهُ بِهِ أَمِيرَ الْمُؤْمِنِينَ </w:t>
      </w:r>
      <w:r w:rsidRPr="00071CF9">
        <w:rPr>
          <w:rStyle w:val="libAlaemChar"/>
          <w:rtl/>
        </w:rPr>
        <w:t>عليه‌السلام</w:t>
      </w:r>
      <w:r w:rsidRPr="00132E65">
        <w:rPr>
          <w:rtl/>
          <w:lang w:bidi="fa-IR"/>
        </w:rPr>
        <w:t xml:space="preserve"> ، لَمْ يُسَمَّ </w:t>
      </w:r>
      <w:r>
        <w:rPr>
          <w:rStyle w:val="libFootnotenumChar"/>
          <w:rtl/>
        </w:rPr>
        <w:t>(5)</w:t>
      </w:r>
      <w:r w:rsidRPr="00132E65">
        <w:rPr>
          <w:rtl/>
          <w:lang w:bidi="fa-IR"/>
        </w:rPr>
        <w:t xml:space="preserve"> بِهِ أَحَدٌ قَبْلَهُ ، ولَا يَتَسَمّى </w:t>
      </w:r>
      <w:r>
        <w:rPr>
          <w:rStyle w:val="libFootnotenumChar"/>
          <w:rtl/>
        </w:rPr>
        <w:t>(6)</w:t>
      </w:r>
      <w:r w:rsidRPr="00132E65">
        <w:rPr>
          <w:rtl/>
          <w:lang w:bidi="fa-IR"/>
        </w:rPr>
        <w:t xml:space="preserve"> بِهِ بَعْدَهُ </w:t>
      </w:r>
      <w:r>
        <w:rPr>
          <w:rStyle w:val="libFootnotenumChar"/>
          <w:rtl/>
        </w:rPr>
        <w:t>(7)</w:t>
      </w:r>
      <w:r w:rsidR="008636FA">
        <w:rPr>
          <w:rtl/>
          <w:lang w:bidi="fa-IR"/>
        </w:rPr>
        <w:t xml:space="preserve"> إِل</w:t>
      </w:r>
      <w:r w:rsidR="008636FA">
        <w:rPr>
          <w:rFonts w:hint="cs"/>
          <w:rtl/>
          <w:lang w:bidi="fa-IR"/>
        </w:rPr>
        <w:t>َّ</w:t>
      </w:r>
      <w:r w:rsidR="008636FA">
        <w:rPr>
          <w:rtl/>
          <w:lang w:bidi="fa-IR"/>
        </w:rPr>
        <w:t>ا</w:t>
      </w:r>
      <w:r w:rsidRPr="00132E65">
        <w:rPr>
          <w:rtl/>
          <w:lang w:bidi="fa-IR"/>
        </w:rPr>
        <w:t xml:space="preserve"> كَافِرٌ »</w:t>
      </w:r>
      <w:r>
        <w:rPr>
          <w:rtl/>
          <w:lang w:bidi="fa-IR"/>
        </w:rPr>
        <w:t>.</w:t>
      </w:r>
    </w:p>
    <w:p w:rsidR="000C39D1" w:rsidRPr="00132E65" w:rsidRDefault="000C39D1" w:rsidP="000C39D1">
      <w:pPr>
        <w:pStyle w:val="libNormal"/>
        <w:rPr>
          <w:rtl/>
          <w:lang w:bidi="fa-IR"/>
        </w:rPr>
      </w:pPr>
      <w:r w:rsidRPr="00132E65">
        <w:rPr>
          <w:rtl/>
          <w:lang w:bidi="fa-IR"/>
        </w:rPr>
        <w:t xml:space="preserve">قُلْتُ : جُعِلْتُ فِدَاكَ </w:t>
      </w:r>
      <w:r>
        <w:rPr>
          <w:rStyle w:val="libFootnotenumChar"/>
          <w:rtl/>
        </w:rPr>
        <w:t>(8)</w:t>
      </w:r>
      <w:r w:rsidRPr="00132E65">
        <w:rPr>
          <w:rtl/>
          <w:lang w:bidi="fa-IR"/>
        </w:rPr>
        <w:t xml:space="preserve"> ، كَيْفَ يُسَلَّمُ </w:t>
      </w:r>
      <w:r>
        <w:rPr>
          <w:rStyle w:val="libFootnotenumChar"/>
          <w:rtl/>
        </w:rPr>
        <w:t>(9)</w:t>
      </w:r>
      <w:r w:rsidRPr="00132E65">
        <w:rPr>
          <w:rtl/>
          <w:lang w:bidi="fa-IR"/>
        </w:rPr>
        <w:t xml:space="preserve"> عَلَيْهِ</w:t>
      </w:r>
      <w:r>
        <w:rPr>
          <w:rtl/>
          <w:lang w:bidi="fa-IR"/>
        </w:rPr>
        <w:t>؟</w:t>
      </w:r>
    </w:p>
    <w:p w:rsidR="000C39D1" w:rsidRPr="00132E65" w:rsidRDefault="000C39D1" w:rsidP="000C39D1">
      <w:pPr>
        <w:pStyle w:val="libNormal"/>
        <w:rPr>
          <w:rtl/>
          <w:lang w:bidi="fa-IR"/>
        </w:rPr>
      </w:pPr>
      <w:r w:rsidRPr="00132E65">
        <w:rPr>
          <w:rtl/>
          <w:lang w:bidi="fa-IR"/>
        </w:rPr>
        <w:t xml:space="preserve">قَالَ : « يَقُولُونَ </w:t>
      </w:r>
      <w:r>
        <w:rPr>
          <w:rStyle w:val="libFootnotenumChar"/>
          <w:rtl/>
        </w:rPr>
        <w:t>(10)</w:t>
      </w:r>
      <w:r w:rsidRPr="00132E65">
        <w:rPr>
          <w:rtl/>
          <w:lang w:bidi="fa-IR"/>
        </w:rPr>
        <w:t xml:space="preserve"> : السَّلَامُ عَلَيْكَ يَا بَقِيَّةَ اللهِ »</w:t>
      </w:r>
      <w:r>
        <w:rPr>
          <w:rtl/>
          <w:lang w:bidi="fa-IR"/>
        </w:rPr>
        <w:t>.</w:t>
      </w:r>
      <w:r w:rsidRPr="00132E65">
        <w:rPr>
          <w:rtl/>
          <w:lang w:bidi="fa-IR"/>
        </w:rPr>
        <w:t xml:space="preserve"> ثُمَّ قَرَأَ : </w:t>
      </w:r>
      <w:r w:rsidRPr="00071CF9">
        <w:rPr>
          <w:rStyle w:val="libAlaemChar"/>
          <w:rtl/>
        </w:rPr>
        <w:t>(</w:t>
      </w:r>
      <w:r w:rsidRPr="00071CF9">
        <w:rPr>
          <w:rStyle w:val="libAieChar"/>
          <w:rtl/>
        </w:rPr>
        <w:t xml:space="preserve"> بَقِيَّتُ اللهِ خَيْرٌ لَكُمْ إِنْ كُنْتُمْ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بر » : « تقولون »</w:t>
      </w:r>
      <w:r>
        <w:rPr>
          <w:rtl/>
        </w:rPr>
        <w:t>.</w:t>
      </w:r>
    </w:p>
    <w:p w:rsidR="000C39D1" w:rsidRPr="00132E65" w:rsidRDefault="000C39D1" w:rsidP="00817A03">
      <w:pPr>
        <w:pStyle w:val="libFootnote0"/>
        <w:rPr>
          <w:rtl/>
          <w:lang w:bidi="fa-IR"/>
        </w:rPr>
      </w:pPr>
      <w:r>
        <w:rPr>
          <w:rtl/>
        </w:rPr>
        <w:t>(2).</w:t>
      </w:r>
      <w:r w:rsidRPr="00132E65">
        <w:rPr>
          <w:rtl/>
        </w:rPr>
        <w:t xml:space="preserve"> </w:t>
      </w:r>
      <w:r w:rsidRPr="000577A7">
        <w:rPr>
          <w:rStyle w:val="libFootnoteBoldChar"/>
          <w:rtl/>
        </w:rPr>
        <w:t>الكافي</w:t>
      </w:r>
      <w:r w:rsidRPr="00132E65">
        <w:rPr>
          <w:rtl/>
        </w:rPr>
        <w:t xml:space="preserve"> ، كتاب العشرة ، باب العطاس والتسميت ، ح 3682 ، بسند آخر عن الرضا </w:t>
      </w:r>
      <w:r w:rsidRPr="008636FA">
        <w:rPr>
          <w:rStyle w:val="libFootnoteAlaemChar"/>
          <w:rtl/>
        </w:rPr>
        <w:t>عليه‌السلام</w:t>
      </w:r>
      <w:r w:rsidRPr="00132E65">
        <w:rPr>
          <w:rtl/>
        </w:rPr>
        <w:t xml:space="preserve"> ، مع زيادة واختلاف</w:t>
      </w:r>
      <w:r w:rsidR="00817A03">
        <w:rPr>
          <w:rFonts w:hint="cs"/>
          <w:rtl/>
        </w:rPr>
        <w:t>.</w:t>
      </w:r>
      <w:r w:rsidRPr="009D1ACE">
        <w:rPr>
          <w:rStyle w:val="libFootnoteBoldChar"/>
          <w:rtl/>
        </w:rPr>
        <w:t>الوافي</w:t>
      </w:r>
      <w:r w:rsidRPr="00132E65">
        <w:rPr>
          <w:rtl/>
        </w:rPr>
        <w:t xml:space="preserve"> ، ج 5 ، ص 636 ، ح 2755 ؛ </w:t>
      </w:r>
      <w:r w:rsidRPr="00901459">
        <w:rPr>
          <w:rtl/>
        </w:rPr>
        <w:t>البحار</w:t>
      </w:r>
      <w:r w:rsidRPr="00132E65">
        <w:rPr>
          <w:rtl/>
        </w:rPr>
        <w:t xml:space="preserve"> ، ج 27 ، ص 256 ، ح 6. وفيه ، ح 5.</w:t>
      </w:r>
    </w:p>
    <w:p w:rsidR="000C39D1" w:rsidRPr="00132E65" w:rsidRDefault="000C39D1" w:rsidP="000C39D1">
      <w:pPr>
        <w:pStyle w:val="libFootnote0"/>
        <w:rPr>
          <w:rtl/>
          <w:lang w:bidi="fa-IR"/>
        </w:rPr>
      </w:pPr>
      <w:r>
        <w:rPr>
          <w:rtl/>
        </w:rPr>
        <w:t>(3).</w:t>
      </w:r>
      <w:r w:rsidRPr="00132E65">
        <w:rPr>
          <w:rtl/>
        </w:rPr>
        <w:t xml:space="preserve"> في الوسائل : « عن إبراهيم بن إسحاق » بدل « قال : حدّثني إسحاق بن إبراهيم »</w:t>
      </w:r>
      <w:r>
        <w:rPr>
          <w:rtl/>
        </w:rPr>
        <w:t>.</w:t>
      </w:r>
    </w:p>
    <w:p w:rsidR="000C39D1" w:rsidRPr="00132E65" w:rsidRDefault="000C39D1" w:rsidP="000C39D1">
      <w:pPr>
        <w:pStyle w:val="libFootnote0"/>
        <w:rPr>
          <w:rtl/>
          <w:lang w:bidi="fa-IR"/>
        </w:rPr>
      </w:pPr>
      <w:r>
        <w:rPr>
          <w:rtl/>
        </w:rPr>
        <w:t>(4).</w:t>
      </w:r>
      <w:r w:rsidRPr="00132E65">
        <w:rPr>
          <w:rtl/>
        </w:rPr>
        <w:t xml:space="preserve"> في « ب » : « عمر بن راهل »</w:t>
      </w:r>
      <w:r>
        <w:rPr>
          <w:rtl/>
        </w:rPr>
        <w:t>.</w:t>
      </w:r>
      <w:r w:rsidRPr="00132E65">
        <w:rPr>
          <w:rtl/>
        </w:rPr>
        <w:t xml:space="preserve"> والظاهر أنّه سهو ، وأنّ عمر هذا ، هو عمر بن زاهر الهمداني المذكور في أصحاب الصادق </w:t>
      </w:r>
      <w:r w:rsidRPr="008636FA">
        <w:rPr>
          <w:rStyle w:val="libFootnoteAlaemChar"/>
          <w:rtl/>
        </w:rPr>
        <w:t>عليه‌السلام</w:t>
      </w:r>
      <w:r w:rsidRPr="00132E65">
        <w:rPr>
          <w:rtl/>
        </w:rPr>
        <w:t xml:space="preserve">. راجع : </w:t>
      </w:r>
      <w:r w:rsidRPr="00901459">
        <w:rPr>
          <w:rtl/>
        </w:rPr>
        <w:t>رجال الطوسي</w:t>
      </w:r>
      <w:r w:rsidRPr="00132E65">
        <w:rPr>
          <w:rtl/>
        </w:rPr>
        <w:t xml:space="preserve"> ، ص 255 ، الرقم 3601. وفي الوسائل : « عمر بن أبي زاهر »</w:t>
      </w:r>
      <w:r>
        <w:rPr>
          <w:rtl/>
        </w:rPr>
        <w:t>.</w:t>
      </w:r>
    </w:p>
    <w:p w:rsidR="000C39D1" w:rsidRPr="00132E65" w:rsidRDefault="000C39D1" w:rsidP="000C39D1">
      <w:pPr>
        <w:pStyle w:val="libFootnote0"/>
        <w:rPr>
          <w:rtl/>
          <w:lang w:bidi="fa-IR"/>
        </w:rPr>
      </w:pPr>
      <w:r>
        <w:rPr>
          <w:rtl/>
        </w:rPr>
        <w:t>(5).</w:t>
      </w:r>
      <w:r w:rsidRPr="00132E65">
        <w:rPr>
          <w:rtl/>
        </w:rPr>
        <w:t xml:space="preserve"> في « ف » : « ولم يسمّ »</w:t>
      </w:r>
      <w:r>
        <w:rPr>
          <w:rtl/>
        </w:rPr>
        <w:t>.</w:t>
      </w:r>
    </w:p>
    <w:p w:rsidR="000C39D1" w:rsidRPr="00132E65" w:rsidRDefault="000C39D1" w:rsidP="000C39D1">
      <w:pPr>
        <w:pStyle w:val="libFootnote0"/>
        <w:rPr>
          <w:rtl/>
          <w:lang w:bidi="fa-IR"/>
        </w:rPr>
      </w:pPr>
      <w:r>
        <w:rPr>
          <w:rtl/>
        </w:rPr>
        <w:t>(6).</w:t>
      </w:r>
      <w:r w:rsidRPr="00132E65">
        <w:rPr>
          <w:rtl/>
        </w:rPr>
        <w:t xml:space="preserve"> في حاشية « ض » : « ولم يتسمّ »</w:t>
      </w:r>
      <w:r>
        <w:rPr>
          <w:rtl/>
        </w:rPr>
        <w:t>.</w:t>
      </w:r>
      <w:r w:rsidRPr="00132E65">
        <w:rPr>
          <w:rtl/>
        </w:rPr>
        <w:t xml:space="preserve"> وفي الوسائل : « ولا يسمّى »</w:t>
      </w:r>
      <w:r>
        <w:rPr>
          <w:rtl/>
        </w:rPr>
        <w:t>.</w:t>
      </w:r>
    </w:p>
    <w:tbl>
      <w:tblPr>
        <w:tblStyle w:val="TableGrid"/>
        <w:bidiVisual/>
        <w:tblW w:w="0" w:type="auto"/>
        <w:tblLook w:val="04A0" w:firstRow="1" w:lastRow="0" w:firstColumn="1" w:lastColumn="0" w:noHBand="0" w:noVBand="1"/>
      </w:tblPr>
      <w:tblGrid>
        <w:gridCol w:w="4006"/>
        <w:gridCol w:w="4006"/>
      </w:tblGrid>
      <w:tr w:rsidR="00817A03" w:rsidTr="00817A03">
        <w:tc>
          <w:tcPr>
            <w:tcW w:w="4006" w:type="dxa"/>
          </w:tcPr>
          <w:p w:rsidR="00817A03" w:rsidRDefault="00817A03" w:rsidP="000C39D1">
            <w:pPr>
              <w:pStyle w:val="libFootnote0"/>
              <w:rPr>
                <w:rtl/>
              </w:rPr>
            </w:pPr>
            <w:r>
              <w:rPr>
                <w:rtl/>
              </w:rPr>
              <w:t>(7).</w:t>
            </w:r>
            <w:r w:rsidRPr="00132E65">
              <w:rPr>
                <w:rtl/>
              </w:rPr>
              <w:t xml:space="preserve"> في « ف » : « أحد بعده »</w:t>
            </w:r>
            <w:r>
              <w:rPr>
                <w:rtl/>
              </w:rPr>
              <w:t>.</w:t>
            </w:r>
          </w:p>
        </w:tc>
        <w:tc>
          <w:tcPr>
            <w:tcW w:w="4006" w:type="dxa"/>
          </w:tcPr>
          <w:p w:rsidR="00817A03" w:rsidRDefault="00817A03" w:rsidP="000C39D1">
            <w:pPr>
              <w:pStyle w:val="libFootnote0"/>
              <w:rPr>
                <w:rtl/>
              </w:rPr>
            </w:pPr>
            <w:r>
              <w:rPr>
                <w:rtl/>
              </w:rPr>
              <w:t>(8). في«ج، بس، بف»</w:t>
            </w:r>
            <w:r w:rsidRPr="00132E65">
              <w:rPr>
                <w:rtl/>
              </w:rPr>
              <w:t>و</w:t>
            </w:r>
            <w:r w:rsidRPr="009D1ACE">
              <w:rPr>
                <w:rStyle w:val="libFootnoteBoldChar"/>
                <w:rtl/>
              </w:rPr>
              <w:t>الوافي</w:t>
            </w:r>
            <w:r w:rsidRPr="00132E65">
              <w:rPr>
                <w:rtl/>
              </w:rPr>
              <w:t xml:space="preserve"> </w:t>
            </w:r>
            <w:r>
              <w:rPr>
                <w:rtl/>
              </w:rPr>
              <w:t>: - «جعلت فداك</w:t>
            </w:r>
            <w:r w:rsidRPr="00132E65">
              <w:rPr>
                <w:rtl/>
              </w:rPr>
              <w:t>»</w:t>
            </w:r>
            <w:r>
              <w:rPr>
                <w:rtl/>
              </w:rPr>
              <w:t>.</w:t>
            </w:r>
          </w:p>
        </w:tc>
      </w:tr>
    </w:tbl>
    <w:p w:rsidR="000C39D1" w:rsidRPr="00132E65" w:rsidRDefault="000C39D1" w:rsidP="000C39D1">
      <w:pPr>
        <w:pStyle w:val="libFootnote0"/>
        <w:rPr>
          <w:rtl/>
          <w:lang w:bidi="fa-IR"/>
        </w:rPr>
      </w:pPr>
      <w:r>
        <w:rPr>
          <w:rtl/>
        </w:rPr>
        <w:t>(9).</w:t>
      </w:r>
      <w:r w:rsidRPr="00132E65">
        <w:rPr>
          <w:rtl/>
        </w:rPr>
        <w:t xml:space="preserve"> في « ب » : « نسلّم »</w:t>
      </w:r>
      <w:r>
        <w:rPr>
          <w:rtl/>
        </w:rPr>
        <w:t>.</w:t>
      </w:r>
    </w:p>
    <w:p w:rsidR="000C39D1" w:rsidRPr="00132E65" w:rsidRDefault="000C39D1" w:rsidP="000C39D1">
      <w:pPr>
        <w:pStyle w:val="libFootnote0"/>
        <w:rPr>
          <w:rtl/>
          <w:lang w:bidi="ar-IQ"/>
        </w:rPr>
      </w:pPr>
      <w:r>
        <w:rPr>
          <w:rtl/>
        </w:rPr>
        <w:t>(10).</w:t>
      </w:r>
      <w:r w:rsidRPr="00132E65">
        <w:rPr>
          <w:rtl/>
        </w:rPr>
        <w:t xml:space="preserve"> في « ب ، ج ، ض » : « يقول »</w:t>
      </w:r>
      <w:r>
        <w:rPr>
          <w:rtl/>
        </w:rPr>
        <w:t>.</w:t>
      </w:r>
      <w:r w:rsidRPr="00132E65">
        <w:rPr>
          <w:rtl/>
        </w:rPr>
        <w:t xml:space="preserve"> وفي « ف » : « تقولون »</w:t>
      </w:r>
      <w:r>
        <w:rPr>
          <w:rtl/>
        </w:rPr>
        <w:t>.</w:t>
      </w:r>
      <w:r w:rsidRPr="00132E65">
        <w:rPr>
          <w:rtl/>
        </w:rPr>
        <w:t xml:space="preserve"> وفي « بر » وتفسير فرات والوسائل : « تقول »</w:t>
      </w:r>
      <w:r>
        <w:rPr>
          <w:rtl/>
        </w:rPr>
        <w:t>.</w:t>
      </w:r>
      <w:r w:rsidRPr="00132E65">
        <w:rPr>
          <w:rtl/>
        </w:rPr>
        <w:t xml:space="preserve"> وفي </w:t>
      </w:r>
      <w:r w:rsidR="005D76B0">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مُؤْمِنِينَ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901459">
        <w:rPr>
          <w:rtl/>
        </w:rPr>
        <w:t>1086</w:t>
      </w:r>
      <w:r w:rsidRPr="004325D8">
        <w:rPr>
          <w:rStyle w:val="libBold2Char"/>
          <w:rtl/>
        </w:rPr>
        <w:t xml:space="preserve"> / 3.</w:t>
      </w:r>
      <w:r w:rsidRPr="00132E65">
        <w:rPr>
          <w:rtl/>
          <w:lang w:bidi="fa-IR"/>
        </w:rPr>
        <w:t xml:space="preserve"> الْحُسَيْنُ بْنُ مُحَمَّدٍ ، عَنْ مُعَلَّى بْنِ مُحَمَّدٍ ، عَنِ الْوَشَّاءِ ، عَ</w:t>
      </w:r>
      <w:r w:rsidR="002E50B2">
        <w:rPr>
          <w:rtl/>
          <w:lang w:bidi="fa-IR"/>
        </w:rPr>
        <w:t>نْ أَحْمَدَ بْنِ عُمَرَ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سَأَلْتُ أَبَا الْحَسَنِ </w:t>
      </w:r>
      <w:r>
        <w:rPr>
          <w:rStyle w:val="libFootnotenumChar"/>
          <w:rtl/>
        </w:rPr>
        <w:t>(3)</w:t>
      </w:r>
      <w:r w:rsidRPr="00132E65">
        <w:rPr>
          <w:rtl/>
          <w:lang w:bidi="fa-IR"/>
        </w:rPr>
        <w:t xml:space="preserve"> </w:t>
      </w:r>
      <w:r w:rsidRPr="00071CF9">
        <w:rPr>
          <w:rStyle w:val="libAlaemChar"/>
          <w:rtl/>
        </w:rPr>
        <w:t>عليه‌السلام</w:t>
      </w:r>
      <w:r w:rsidRPr="00132E65">
        <w:rPr>
          <w:rtl/>
          <w:lang w:bidi="fa-IR"/>
        </w:rPr>
        <w:t xml:space="preserve"> : لِمَ سُمِّيَ أَمِيرَ الْمُؤْمِنِينَ</w:t>
      </w:r>
      <w:r>
        <w:rPr>
          <w:rtl/>
          <w:lang w:bidi="fa-IR"/>
        </w:rPr>
        <w:t>؟</w:t>
      </w:r>
    </w:p>
    <w:p w:rsidR="000C39D1" w:rsidRPr="00132E65" w:rsidRDefault="000C39D1" w:rsidP="000C39D1">
      <w:pPr>
        <w:pStyle w:val="libNormal"/>
        <w:rPr>
          <w:rtl/>
          <w:lang w:bidi="fa-IR"/>
        </w:rPr>
      </w:pPr>
      <w:r w:rsidRPr="00132E65">
        <w:rPr>
          <w:rtl/>
          <w:lang w:bidi="fa-IR"/>
        </w:rPr>
        <w:t xml:space="preserve">قَالَ : « لِأَنَّهُ يَمِيرُهُمْ </w:t>
      </w:r>
      <w:r>
        <w:rPr>
          <w:rStyle w:val="libFootnotenumChar"/>
          <w:rtl/>
        </w:rPr>
        <w:t>(4)</w:t>
      </w:r>
      <w:r>
        <w:rPr>
          <w:rtl/>
          <w:lang w:bidi="fa-IR"/>
        </w:rPr>
        <w:t xml:space="preserve"> الْعِلْمَ ؛ أَ</w:t>
      </w:r>
      <w:r w:rsidRPr="00132E65">
        <w:rPr>
          <w:rtl/>
          <w:lang w:bidi="fa-IR"/>
        </w:rPr>
        <w:t>مَا سَمِعْتَ فِي كِتَابِ اللهِ</w:t>
      </w:r>
      <w:r>
        <w:rPr>
          <w:rFonts w:hint="cs"/>
          <w:rtl/>
          <w:lang w:bidi="fa-IR"/>
        </w:rPr>
        <w:t xml:space="preserve"> </w:t>
      </w:r>
      <w:r w:rsidRPr="00071CF9">
        <w:rPr>
          <w:rStyle w:val="libAlaemChar"/>
          <w:rtl/>
        </w:rPr>
        <w:t>(</w:t>
      </w:r>
      <w:r w:rsidRPr="00071CF9">
        <w:rPr>
          <w:rStyle w:val="libAieChar"/>
          <w:rtl/>
        </w:rPr>
        <w:t xml:space="preserve"> وَنَمِيرُ أَهْلَنا </w:t>
      </w:r>
      <w:r w:rsidRPr="00071CF9">
        <w:rPr>
          <w:rStyle w:val="libAlaemChar"/>
          <w:rtl/>
        </w:rPr>
        <w:t>)</w:t>
      </w:r>
      <w:r w:rsidRPr="00132E65">
        <w:rPr>
          <w:rtl/>
          <w:lang w:bidi="fa-IR"/>
        </w:rPr>
        <w:t xml:space="preserve"> </w:t>
      </w:r>
      <w:r>
        <w:rPr>
          <w:rStyle w:val="libFootnotenumChar"/>
          <w:rtl/>
        </w:rPr>
        <w:t>(5)</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w:t>
      </w:r>
    </w:p>
    <w:p w:rsidR="000C39D1" w:rsidRPr="00132E65" w:rsidRDefault="002E50B2" w:rsidP="000C39D1">
      <w:pPr>
        <w:pStyle w:val="libNormal"/>
        <w:rPr>
          <w:rtl/>
          <w:lang w:bidi="fa-IR"/>
        </w:rPr>
      </w:pPr>
      <w:r>
        <w:rPr>
          <w:rFonts w:hint="cs"/>
          <w:rtl/>
          <w:lang w:bidi="fa-IR"/>
        </w:rPr>
        <w:t xml:space="preserve">* </w:t>
      </w:r>
      <w:r w:rsidR="000C39D1" w:rsidRPr="00132E65">
        <w:rPr>
          <w:rtl/>
          <w:lang w:bidi="fa-IR"/>
        </w:rPr>
        <w:t xml:space="preserve">وفِي رِوَايَةٍ أُخْرى ، قَالَ : « لِأَنَّ مِيرَةَ </w:t>
      </w:r>
      <w:r w:rsidR="000C39D1">
        <w:rPr>
          <w:rStyle w:val="libFootnotenumChar"/>
          <w:rtl/>
        </w:rPr>
        <w:t>(7)</w:t>
      </w:r>
      <w:r w:rsidR="000C39D1" w:rsidRPr="00132E65">
        <w:rPr>
          <w:rtl/>
          <w:lang w:bidi="fa-IR"/>
        </w:rPr>
        <w:t xml:space="preserve"> الْمُؤْمِنِينَ مِنْ عِنْدِهِ يَمِيرُهُمُ الْعِلْمَ »</w:t>
      </w:r>
      <w:r w:rsidR="000C39D1">
        <w:rPr>
          <w:rtl/>
          <w:lang w:bidi="fa-IR"/>
        </w:rPr>
        <w:t>.</w:t>
      </w:r>
      <w:r w:rsidR="000C39D1" w:rsidRPr="00132E65">
        <w:rPr>
          <w:rtl/>
          <w:lang w:bidi="fa-IR"/>
        </w:rPr>
        <w:t xml:space="preserve"> </w:t>
      </w:r>
      <w:r w:rsidR="000C39D1">
        <w:rPr>
          <w:rStyle w:val="libFootnotenumChar"/>
          <w:rtl/>
        </w:rPr>
        <w:t>(8)</w:t>
      </w:r>
    </w:p>
    <w:p w:rsidR="000C39D1" w:rsidRPr="00132E65" w:rsidRDefault="000C39D1" w:rsidP="000C39D1">
      <w:pPr>
        <w:pStyle w:val="libLine"/>
        <w:rPr>
          <w:rtl/>
          <w:lang w:bidi="fa-IR"/>
        </w:rPr>
      </w:pPr>
      <w:r w:rsidRPr="00132E65">
        <w:rPr>
          <w:rtl/>
          <w:lang w:bidi="fa-IR"/>
        </w:rPr>
        <w:t>__________________</w:t>
      </w:r>
    </w:p>
    <w:p w:rsidR="000C39D1" w:rsidRPr="00132E65" w:rsidRDefault="002E50B2" w:rsidP="000C39D1">
      <w:pPr>
        <w:pStyle w:val="libFootnote0"/>
        <w:rPr>
          <w:rtl/>
          <w:lang w:bidi="fa-IR"/>
        </w:rPr>
      </w:pPr>
      <w:r>
        <w:rPr>
          <w:rFonts w:hint="cs"/>
          <w:rtl/>
        </w:rPr>
        <w:t xml:space="preserve">= </w:t>
      </w:r>
      <w:r w:rsidR="000C39D1" w:rsidRPr="00132E65">
        <w:rPr>
          <w:rtl/>
        </w:rPr>
        <w:t>حاشية « ج » : « قال »</w:t>
      </w:r>
      <w:r w:rsidR="000C39D1">
        <w:rPr>
          <w:rtl/>
        </w:rPr>
        <w:t>.</w:t>
      </w:r>
    </w:p>
    <w:p w:rsidR="000C39D1" w:rsidRPr="00132E65" w:rsidRDefault="000C39D1" w:rsidP="000C39D1">
      <w:pPr>
        <w:pStyle w:val="libFootnote0"/>
        <w:rPr>
          <w:rtl/>
          <w:lang w:bidi="fa-IR"/>
        </w:rPr>
      </w:pPr>
      <w:r>
        <w:rPr>
          <w:rtl/>
        </w:rPr>
        <w:t>(1).</w:t>
      </w:r>
      <w:r w:rsidRPr="00132E65">
        <w:rPr>
          <w:rtl/>
        </w:rPr>
        <w:t xml:space="preserve"> هود </w:t>
      </w:r>
      <w:r w:rsidR="002E50B2">
        <w:rPr>
          <w:rtl/>
        </w:rPr>
        <w:t>(11)</w:t>
      </w:r>
      <w:r w:rsidRPr="00132E65">
        <w:rPr>
          <w:rtl/>
        </w:rPr>
        <w:t xml:space="preserve"> : 86.</w:t>
      </w:r>
    </w:p>
    <w:p w:rsidR="000C39D1" w:rsidRPr="00132E65" w:rsidRDefault="000C39D1" w:rsidP="00A7160C">
      <w:pPr>
        <w:pStyle w:val="libFootnote0"/>
        <w:rPr>
          <w:rtl/>
          <w:lang w:bidi="fa-IR"/>
        </w:rPr>
      </w:pPr>
      <w:r>
        <w:rPr>
          <w:rtl/>
        </w:rPr>
        <w:t>(2).</w:t>
      </w:r>
      <w:r w:rsidRPr="00132E65">
        <w:rPr>
          <w:rtl/>
        </w:rPr>
        <w:t xml:space="preserve"> </w:t>
      </w:r>
      <w:r w:rsidRPr="00901459">
        <w:rPr>
          <w:rtl/>
        </w:rPr>
        <w:t>تفسير فرات</w:t>
      </w:r>
      <w:r w:rsidRPr="00132E65">
        <w:rPr>
          <w:rtl/>
        </w:rPr>
        <w:t xml:space="preserve"> ، ص 193 ، ح 249 ، وفيه : « عن جعفر بن محمّد الفزاري معنعناً عن عمر بن زاهر »</w:t>
      </w:r>
      <w:r>
        <w:rPr>
          <w:rtl/>
        </w:rPr>
        <w:t>.</w:t>
      </w:r>
      <w:r w:rsidRPr="00132E65">
        <w:rPr>
          <w:rtl/>
        </w:rPr>
        <w:t xml:space="preserve"> </w:t>
      </w:r>
      <w:r w:rsidRPr="00901459">
        <w:rPr>
          <w:rtl/>
        </w:rPr>
        <w:t>تفسير العيّاشي</w:t>
      </w:r>
      <w:r w:rsidRPr="00132E65">
        <w:rPr>
          <w:rtl/>
        </w:rPr>
        <w:t xml:space="preserve"> ، ج 1 ، ص 276 ، ح 274 ، عن محمّد بن إسماعيل الرازي عن رجل سمّاه عن أبي عبدالله </w:t>
      </w:r>
      <w:r w:rsidRPr="00A7160C">
        <w:rPr>
          <w:rStyle w:val="libFootnoteAlaemChar"/>
          <w:rtl/>
        </w:rPr>
        <w:t>عليه‌السلام</w:t>
      </w:r>
      <w:r w:rsidRPr="00132E65">
        <w:rPr>
          <w:rtl/>
        </w:rPr>
        <w:t xml:space="preserve"> ، مع اختلاف. وراجع : </w:t>
      </w:r>
      <w:r w:rsidRPr="00901459">
        <w:rPr>
          <w:rtl/>
        </w:rPr>
        <w:t>كمال الدين</w:t>
      </w:r>
      <w:r w:rsidRPr="00132E65">
        <w:rPr>
          <w:rtl/>
        </w:rPr>
        <w:t xml:space="preserve"> ، ص 330 ، ح 16 ؛ وص 653 ، ذيل ح 18</w:t>
      </w:r>
      <w:r w:rsidR="00A7160C">
        <w:rPr>
          <w:rFonts w:hint="cs"/>
          <w:rtl/>
        </w:rPr>
        <w:t>.</w:t>
      </w:r>
      <w:r w:rsidRPr="009D1ACE">
        <w:rPr>
          <w:rStyle w:val="libFootnoteBoldChar"/>
          <w:rtl/>
        </w:rPr>
        <w:t>الوافي</w:t>
      </w:r>
      <w:r w:rsidRPr="00132E65">
        <w:rPr>
          <w:rtl/>
        </w:rPr>
        <w:t xml:space="preserve"> ، ج 3 ، ص 668 ، ح 1272 ؛ </w:t>
      </w:r>
      <w:r w:rsidRPr="00901459">
        <w:rPr>
          <w:rtl/>
        </w:rPr>
        <w:t>الوسائل</w:t>
      </w:r>
      <w:r w:rsidRPr="00132E65">
        <w:rPr>
          <w:rtl/>
        </w:rPr>
        <w:t xml:space="preserve"> ، ج 14 ، ص 600 ، ح 19900 ؛ </w:t>
      </w:r>
      <w:r w:rsidRPr="00901459">
        <w:rPr>
          <w:rtl/>
        </w:rPr>
        <w:t>البحار</w:t>
      </w:r>
      <w:r w:rsidRPr="00132E65">
        <w:rPr>
          <w:rtl/>
        </w:rPr>
        <w:t xml:space="preserve"> ، ج 24 ، ص 211 ، ذيل ح 1.</w:t>
      </w:r>
    </w:p>
    <w:p w:rsidR="000C39D1" w:rsidRPr="00132E65" w:rsidRDefault="000C39D1" w:rsidP="000C39D1">
      <w:pPr>
        <w:pStyle w:val="libFootnote0"/>
        <w:rPr>
          <w:rtl/>
          <w:lang w:bidi="fa-IR"/>
        </w:rPr>
      </w:pPr>
      <w:r>
        <w:rPr>
          <w:rtl/>
        </w:rPr>
        <w:t>(3).</w:t>
      </w:r>
      <w:r w:rsidRPr="00132E65">
        <w:rPr>
          <w:rtl/>
        </w:rPr>
        <w:t xml:space="preserve"> في « ب ، ج ، بر » : « أبا عبد الله »</w:t>
      </w:r>
      <w:r>
        <w:rPr>
          <w:rtl/>
        </w:rPr>
        <w:t>.</w:t>
      </w:r>
    </w:p>
    <w:p w:rsidR="000C39D1" w:rsidRPr="00132E65" w:rsidRDefault="000C39D1" w:rsidP="000C39D1">
      <w:pPr>
        <w:pStyle w:val="libFootnote0"/>
        <w:rPr>
          <w:rtl/>
          <w:lang w:bidi="fa-IR"/>
        </w:rPr>
      </w:pPr>
      <w:r w:rsidRPr="0046781C">
        <w:rPr>
          <w:rtl/>
        </w:rPr>
        <w:t>والظاهر أنّ أحم</w:t>
      </w:r>
      <w:r w:rsidR="00A7160C">
        <w:rPr>
          <w:rtl/>
        </w:rPr>
        <w:t>د بن عمر ، هو أحمد بن عمر الحل</w:t>
      </w:r>
      <w:r w:rsidR="00A7160C">
        <w:rPr>
          <w:rFonts w:hint="cs"/>
          <w:rtl/>
        </w:rPr>
        <w:t>ّ</w:t>
      </w:r>
      <w:r w:rsidR="00A7160C">
        <w:rPr>
          <w:rtl/>
        </w:rPr>
        <w:t>ا</w:t>
      </w:r>
      <w:r w:rsidRPr="0046781C">
        <w:rPr>
          <w:rtl/>
        </w:rPr>
        <w:t xml:space="preserve">ل كما هو مقتضى ما مرّ في ح 502 </w:t>
      </w:r>
      <w:r>
        <w:rPr>
          <w:rtl/>
        </w:rPr>
        <w:t>و 9</w:t>
      </w:r>
      <w:r w:rsidRPr="0046781C">
        <w:rPr>
          <w:rtl/>
        </w:rPr>
        <w:t xml:space="preserve">38 </w:t>
      </w:r>
      <w:r>
        <w:rPr>
          <w:rtl/>
        </w:rPr>
        <w:t>و 1</w:t>
      </w:r>
      <w:r w:rsidRPr="0046781C">
        <w:rPr>
          <w:rtl/>
        </w:rPr>
        <w:t xml:space="preserve">003 ، ويأتي في ح 1157. وأحمد هذا روى عن أبي الحسن الرضا </w:t>
      </w:r>
      <w:r w:rsidRPr="00A7160C">
        <w:rPr>
          <w:rStyle w:val="libFootnoteAlaemChar"/>
          <w:rtl/>
        </w:rPr>
        <w:t>عليه‌السلام</w:t>
      </w:r>
      <w:r w:rsidRPr="0046781C">
        <w:rPr>
          <w:rtl/>
        </w:rPr>
        <w:t xml:space="preserve"> وله عنه </w:t>
      </w:r>
      <w:r w:rsidRPr="00A7160C">
        <w:rPr>
          <w:rStyle w:val="libFootnoteAlaemChar"/>
          <w:rtl/>
        </w:rPr>
        <w:t>عليه‌السلام</w:t>
      </w:r>
      <w:r w:rsidRPr="0046781C">
        <w:rPr>
          <w:rtl/>
        </w:rPr>
        <w:t xml:space="preserve"> مسائل. راجع : </w:t>
      </w:r>
      <w:r w:rsidRPr="00901459">
        <w:rPr>
          <w:rtl/>
        </w:rPr>
        <w:t>رجال النجاشي</w:t>
      </w:r>
      <w:r w:rsidRPr="0046781C">
        <w:rPr>
          <w:rtl/>
        </w:rPr>
        <w:t xml:space="preserve"> ، ص 99 ، الرقم 248 ؛ </w:t>
      </w:r>
      <w:r w:rsidRPr="00901459">
        <w:rPr>
          <w:rtl/>
        </w:rPr>
        <w:t>رجال الطوسي</w:t>
      </w:r>
      <w:r w:rsidRPr="0046781C">
        <w:rPr>
          <w:rtl/>
        </w:rPr>
        <w:t xml:space="preserve"> ، ص 352 ، الرقم 5213.</w:t>
      </w:r>
    </w:p>
    <w:p w:rsidR="00936037" w:rsidRDefault="000C39D1" w:rsidP="00936037">
      <w:pPr>
        <w:pStyle w:val="libFootnote0"/>
        <w:rPr>
          <w:rtl/>
        </w:rPr>
      </w:pPr>
      <w:r>
        <w:rPr>
          <w:rtl/>
        </w:rPr>
        <w:t>(4).</w:t>
      </w:r>
      <w:r w:rsidRPr="00132E65">
        <w:rPr>
          <w:rtl/>
        </w:rPr>
        <w:t xml:space="preserve"> في « ف » : « يمير » بدون « هم »</w:t>
      </w:r>
      <w:r>
        <w:rPr>
          <w:rtl/>
        </w:rPr>
        <w:t>.</w:t>
      </w:r>
      <w:r w:rsidRPr="00132E65">
        <w:rPr>
          <w:rtl/>
        </w:rPr>
        <w:t xml:space="preserve"> وقوله : « يميرهم » ، أي أعطاهم المِيرَة ، وهي الطعام ونحوه ممّا يجلب للبيع. راجع : </w:t>
      </w:r>
      <w:r w:rsidRPr="00901459">
        <w:rPr>
          <w:rtl/>
        </w:rPr>
        <w:t>النهاية</w:t>
      </w:r>
      <w:r w:rsidRPr="00132E65">
        <w:rPr>
          <w:rtl/>
        </w:rPr>
        <w:t xml:space="preserve"> ، ج 4 ، ص 379 ( مير )</w:t>
      </w:r>
      <w:r>
        <w:rPr>
          <w:rtl/>
        </w:rPr>
        <w:t>.</w:t>
      </w:r>
      <w:r w:rsidRPr="00132E65">
        <w:rPr>
          <w:rtl/>
        </w:rPr>
        <w:t xml:space="preserve"> ويرد هاهنا إشكال بأنّ الأمير فعيل من الأمر لا من الأجوف. وا</w:t>
      </w:r>
      <w:r w:rsidR="00A7160C">
        <w:rPr>
          <w:rFonts w:hint="cs"/>
          <w:rtl/>
        </w:rPr>
        <w:t>ُ</w:t>
      </w:r>
      <w:r w:rsidRPr="00132E65">
        <w:rPr>
          <w:rtl/>
        </w:rPr>
        <w:t>جيب بوجوه ، أظهرها أن يكون المراد أنّ ا</w:t>
      </w:r>
      <w:r w:rsidR="00A7160C">
        <w:rPr>
          <w:rFonts w:hint="cs"/>
          <w:rtl/>
        </w:rPr>
        <w:t>ُ</w:t>
      </w:r>
      <w:r w:rsidRPr="00132E65">
        <w:rPr>
          <w:rtl/>
        </w:rPr>
        <w:t xml:space="preserve">مراء الدنيا يسمّون أميراً ؛ لكونهم متكلّفين لميرة الخلق الجسمانيّة ، وأمّا أمير المؤمنين </w:t>
      </w:r>
      <w:r w:rsidRPr="00A7160C">
        <w:rPr>
          <w:rStyle w:val="libFootnoteAlaemChar"/>
          <w:rtl/>
        </w:rPr>
        <w:t>عليه‌السلام</w:t>
      </w:r>
      <w:r w:rsidRPr="00132E65">
        <w:rPr>
          <w:rtl/>
        </w:rPr>
        <w:t xml:space="preserve"> فإمارة لأمر أعظم من ذلك ؛ لأنّه يميرهم ؛ الميرة الروحانيّة وإن شاركهم في الجسمانيّة ، فعبّر </w:t>
      </w:r>
      <w:r w:rsidRPr="00A7160C">
        <w:rPr>
          <w:rStyle w:val="libFootnoteAlaemChar"/>
          <w:rtl/>
        </w:rPr>
        <w:t>عليه‌السلام</w:t>
      </w:r>
      <w:r w:rsidRPr="00132E65">
        <w:rPr>
          <w:rtl/>
        </w:rPr>
        <w:t xml:space="preserve"> عن هذا المعنى بلفظ مناسب في الحرف بلفظ الأمير. راجع : </w:t>
      </w:r>
      <w:r w:rsidRPr="00901459">
        <w:rPr>
          <w:rtl/>
        </w:rPr>
        <w:t>شرح المازندراني</w:t>
      </w:r>
      <w:r w:rsidRPr="00132E65">
        <w:rPr>
          <w:rtl/>
        </w:rPr>
        <w:t xml:space="preserve"> ، ج 7 ، ص 7 ؛ </w:t>
      </w:r>
      <w:r w:rsidRPr="009D1ACE">
        <w:rPr>
          <w:rStyle w:val="libFootnoteBoldChar"/>
          <w:rtl/>
        </w:rPr>
        <w:t>مرآة العقول</w:t>
      </w:r>
      <w:r w:rsidRPr="00132E65">
        <w:rPr>
          <w:rtl/>
        </w:rPr>
        <w:t xml:space="preserve"> ، ج 4 ، ص 370.</w:t>
      </w:r>
    </w:p>
    <w:p w:rsidR="000C39D1" w:rsidRPr="00132E65" w:rsidRDefault="000C39D1" w:rsidP="00936037">
      <w:pPr>
        <w:pStyle w:val="libFootnote0"/>
        <w:rPr>
          <w:rtl/>
          <w:lang w:bidi="fa-IR"/>
        </w:rPr>
      </w:pPr>
      <w:r>
        <w:rPr>
          <w:rtl/>
        </w:rPr>
        <w:t>(5).</w:t>
      </w:r>
      <w:r w:rsidRPr="00132E65">
        <w:rPr>
          <w:rtl/>
        </w:rPr>
        <w:t xml:space="preserve"> يوسف </w:t>
      </w:r>
      <w:r w:rsidR="00A7160C">
        <w:rPr>
          <w:rtl/>
        </w:rPr>
        <w:t>(12)</w:t>
      </w:r>
      <w:r w:rsidRPr="00132E65">
        <w:rPr>
          <w:rtl/>
        </w:rPr>
        <w:t xml:space="preserve"> : 65.</w:t>
      </w:r>
    </w:p>
    <w:p w:rsidR="000C39D1" w:rsidRPr="00132E65" w:rsidRDefault="000C39D1" w:rsidP="00A7160C">
      <w:pPr>
        <w:pStyle w:val="libFootnote0"/>
        <w:rPr>
          <w:rtl/>
          <w:lang w:bidi="fa-IR"/>
        </w:rPr>
      </w:pPr>
      <w:r>
        <w:rPr>
          <w:rtl/>
        </w:rPr>
        <w:t>(6).</w:t>
      </w:r>
      <w:r w:rsidRPr="00132E65">
        <w:rPr>
          <w:rtl/>
        </w:rPr>
        <w:t xml:space="preserve"> </w:t>
      </w:r>
      <w:r w:rsidRPr="00901459">
        <w:rPr>
          <w:rtl/>
        </w:rPr>
        <w:t>علل الشرائع</w:t>
      </w:r>
      <w:r w:rsidRPr="00132E65">
        <w:rPr>
          <w:rtl/>
        </w:rPr>
        <w:t xml:space="preserve"> ، ص 161 ، ح 4 ، بسند آخر عن أبي عبد الله </w:t>
      </w:r>
      <w:r w:rsidRPr="00A7160C">
        <w:rPr>
          <w:rStyle w:val="libFootnoteAlaemChar"/>
          <w:rtl/>
        </w:rPr>
        <w:t>عليه‌السلام</w:t>
      </w:r>
      <w:r w:rsidRPr="00132E65">
        <w:rPr>
          <w:rtl/>
        </w:rPr>
        <w:t xml:space="preserve"> ؛ </w:t>
      </w:r>
      <w:r w:rsidRPr="00901459">
        <w:rPr>
          <w:rtl/>
        </w:rPr>
        <w:t>معاني الأخبار</w:t>
      </w:r>
      <w:r w:rsidRPr="00132E65">
        <w:rPr>
          <w:rtl/>
        </w:rPr>
        <w:t xml:space="preserve"> ، ص 63 ، ح 13 ، بسند آخر عن أبي جعفر </w:t>
      </w:r>
      <w:r w:rsidRPr="00A7160C">
        <w:rPr>
          <w:rStyle w:val="libFootnoteAlaemChar"/>
          <w:rtl/>
        </w:rPr>
        <w:t>عليه‌السلام</w:t>
      </w:r>
      <w:r w:rsidRPr="00132E65">
        <w:rPr>
          <w:rtl/>
        </w:rPr>
        <w:t xml:space="preserve">. وفي </w:t>
      </w:r>
      <w:r w:rsidRPr="00901459">
        <w:rPr>
          <w:rtl/>
        </w:rPr>
        <w:t>تفسير العيّاشي</w:t>
      </w:r>
      <w:r w:rsidRPr="00132E65">
        <w:rPr>
          <w:rtl/>
        </w:rPr>
        <w:t xml:space="preserve"> ، ج 2 ، ص 184 ، ح 46 ، عن جابر بن يزيد ، عن أبي جعفر </w:t>
      </w:r>
      <w:r w:rsidRPr="00A7160C">
        <w:rPr>
          <w:rStyle w:val="libFootnoteAlaemChar"/>
          <w:rtl/>
        </w:rPr>
        <w:t>عليه‌السلام</w:t>
      </w:r>
      <w:r w:rsidR="00A7160C">
        <w:rPr>
          <w:rFonts w:hint="cs"/>
          <w:rtl/>
        </w:rPr>
        <w:t>.</w:t>
      </w:r>
      <w:r w:rsidRPr="009D1ACE">
        <w:rPr>
          <w:rStyle w:val="libFootnoteBoldChar"/>
          <w:rtl/>
        </w:rPr>
        <w:t>الوافي</w:t>
      </w:r>
      <w:r w:rsidRPr="00132E65">
        <w:rPr>
          <w:rtl/>
        </w:rPr>
        <w:t xml:space="preserve"> ، ج 3 ، ص 669 ، ح 1273.</w:t>
      </w:r>
      <w:r w:rsidR="00A7160C">
        <w:rPr>
          <w:rFonts w:hint="cs"/>
          <w:rtl/>
        </w:rPr>
        <w:t xml:space="preserve">            </w:t>
      </w:r>
      <w:r w:rsidR="00936037">
        <w:rPr>
          <w:rFonts w:hint="cs"/>
          <w:rtl/>
        </w:rPr>
        <w:t xml:space="preserve">                    </w:t>
      </w:r>
      <w:r>
        <w:rPr>
          <w:rtl/>
        </w:rPr>
        <w:t>(7).</w:t>
      </w:r>
      <w:r w:rsidRPr="00132E65">
        <w:rPr>
          <w:rtl/>
        </w:rPr>
        <w:t xml:space="preserve"> في « ض » : « أمير »</w:t>
      </w:r>
      <w:r>
        <w:rPr>
          <w:rtl/>
        </w:rPr>
        <w:t>.</w:t>
      </w:r>
      <w:r w:rsidRPr="00132E65">
        <w:rPr>
          <w:rtl/>
        </w:rPr>
        <w:t xml:space="preserve"> وفي « بف » : « أمر »</w:t>
      </w:r>
      <w:r>
        <w:rPr>
          <w:rtl/>
        </w:rPr>
        <w:t>.</w:t>
      </w:r>
    </w:p>
    <w:p w:rsidR="000C39D1" w:rsidRPr="00132E65" w:rsidRDefault="000C39D1" w:rsidP="00AF7516">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512 ، ح 24 ، بسند آخر عن أبي جعفر </w:t>
      </w:r>
      <w:r w:rsidRPr="00A7160C">
        <w:rPr>
          <w:rStyle w:val="libFootnoteAlaemChar"/>
          <w:rtl/>
        </w:rPr>
        <w:t>عليه‌السلام</w:t>
      </w:r>
      <w:r w:rsidRPr="00132E65">
        <w:rPr>
          <w:rtl/>
        </w:rPr>
        <w:t xml:space="preserve"> وفيه : « لأنّ ميرة المؤمنين هو منه ، كان يميرهم العلم »</w:t>
      </w:r>
      <w:r w:rsidR="00AF7516">
        <w:rPr>
          <w:rFonts w:hint="cs"/>
          <w:rtl/>
        </w:rPr>
        <w:t>.</w:t>
      </w:r>
      <w:r w:rsidRPr="009D1ACE">
        <w:rPr>
          <w:rStyle w:val="libFootnoteBoldChar"/>
          <w:rtl/>
        </w:rPr>
        <w:t>الوافي</w:t>
      </w:r>
      <w:r w:rsidRPr="00132E65">
        <w:rPr>
          <w:rtl/>
        </w:rPr>
        <w:t xml:space="preserve"> ، ج 3 ، ص 669 ، ح 1274.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01459">
        <w:rPr>
          <w:rtl/>
        </w:rPr>
        <w:t>1087</w:t>
      </w:r>
      <w:r w:rsidRPr="004325D8">
        <w:rPr>
          <w:rStyle w:val="libBold2Char"/>
          <w:rtl/>
        </w:rPr>
        <w:t xml:space="preserve"> / 4.</w:t>
      </w:r>
      <w:r w:rsidRPr="00132E65">
        <w:rPr>
          <w:rtl/>
          <w:lang w:bidi="fa-IR"/>
        </w:rPr>
        <w:t xml:space="preserve"> عَلِيُّ بْنُ إِبْرَاهِيمَ ، عَنْ يَعْقُوبَ بْنِ يَزِيدَ ، عَنِ ابْنِ أَبِي عُمَيْرٍ ، عَنْ أَبِي الرَّبِيعِ الْقَزَّازِ </w:t>
      </w:r>
      <w:r>
        <w:rPr>
          <w:rStyle w:val="libFootnotenumChar"/>
          <w:rtl/>
        </w:rPr>
        <w:t>(1)</w:t>
      </w:r>
      <w:r w:rsidRPr="00132E65">
        <w:rPr>
          <w:rtl/>
          <w:lang w:bidi="fa-IR"/>
        </w:rPr>
        <w:t xml:space="preserve">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قُلْتُ لَهُ : لِمَ سُمِّيَ أَمِيرَ الْمُؤْمِنِينَ</w:t>
      </w:r>
      <w:r>
        <w:rPr>
          <w:rtl/>
          <w:lang w:bidi="fa-IR"/>
        </w:rPr>
        <w:t>؟</w:t>
      </w:r>
    </w:p>
    <w:p w:rsidR="000C39D1" w:rsidRPr="00132E65" w:rsidRDefault="000C39D1" w:rsidP="000C39D1">
      <w:pPr>
        <w:pStyle w:val="libNormal"/>
        <w:rPr>
          <w:rtl/>
          <w:lang w:bidi="fa-IR"/>
        </w:rPr>
      </w:pPr>
      <w:r w:rsidRPr="00132E65">
        <w:rPr>
          <w:rtl/>
          <w:lang w:bidi="fa-IR"/>
        </w:rPr>
        <w:t xml:space="preserve">قَالَ : « اللهُ سَمَّاهُ ، وهكَذَا أَنْزَلَ فِي كِتَابِهِ : </w:t>
      </w:r>
      <w:r w:rsidRPr="00071CF9">
        <w:rPr>
          <w:rStyle w:val="libAlaemChar"/>
          <w:rtl/>
        </w:rPr>
        <w:t>(</w:t>
      </w:r>
      <w:r w:rsidRPr="00071CF9">
        <w:rPr>
          <w:rStyle w:val="libAieChar"/>
          <w:rtl/>
        </w:rPr>
        <w:t xml:space="preserve"> وَإِذْ أَخَذَ رَبُّكَ مِنْ بَنِي آدَمَ مِنْ ظُهُورِهِمْ ذُرِّيَّتَهُمْ وَأَشْهَدَهُمْ عَلى أَنْفُسِهِمْ أَلَسْتُ بِرَبِّكُمْ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وأَنَّ مُحَمَّداً </w:t>
      </w:r>
      <w:r>
        <w:rPr>
          <w:rStyle w:val="libFootnotenumChar"/>
          <w:rtl/>
        </w:rPr>
        <w:t>(3)</w:t>
      </w:r>
      <w:r w:rsidRPr="00132E65">
        <w:rPr>
          <w:rtl/>
          <w:lang w:bidi="fa-IR"/>
        </w:rPr>
        <w:t xml:space="preserve"> رَسُولِي ، وأَنَّ عَلِيّاً أَمِيرُ الْمُؤْمِنِينَ »</w:t>
      </w:r>
      <w:r>
        <w:rPr>
          <w:rtl/>
          <w:lang w:bidi="fa-IR"/>
        </w:rPr>
        <w:t>.</w:t>
      </w:r>
      <w:r w:rsidRPr="00132E65">
        <w:rPr>
          <w:rtl/>
          <w:lang w:bidi="fa-IR"/>
        </w:rPr>
        <w:t xml:space="preserve"> </w:t>
      </w:r>
      <w:r>
        <w:rPr>
          <w:rStyle w:val="libFootnotenumChar"/>
          <w:rtl/>
        </w:rPr>
        <w:t>(4)</w:t>
      </w:r>
      <w:r w:rsidRPr="00132E65">
        <w:rPr>
          <w:rtl/>
          <w:lang w:bidi="fa-IR"/>
        </w:rPr>
        <w:t>‌</w:t>
      </w:r>
    </w:p>
    <w:p w:rsidR="000C39D1" w:rsidRPr="00132E65" w:rsidRDefault="000C39D1" w:rsidP="000C39D1">
      <w:pPr>
        <w:pStyle w:val="Heading2Center"/>
        <w:rPr>
          <w:rtl/>
          <w:lang w:bidi="fa-IR"/>
        </w:rPr>
      </w:pPr>
      <w:bookmarkStart w:id="146" w:name="_Toc459459149"/>
      <w:bookmarkStart w:id="147" w:name="_Toc34663118"/>
      <w:r w:rsidRPr="00132E65">
        <w:rPr>
          <w:rtl/>
          <w:lang w:bidi="fa-IR"/>
        </w:rPr>
        <w:t>108</w:t>
      </w:r>
      <w:r>
        <w:rPr>
          <w:rtl/>
          <w:lang w:bidi="fa-IR"/>
        </w:rPr>
        <w:t xml:space="preserve"> - </w:t>
      </w:r>
      <w:r w:rsidRPr="00132E65">
        <w:rPr>
          <w:rtl/>
          <w:lang w:bidi="fa-IR"/>
        </w:rPr>
        <w:t xml:space="preserve">بَابٌ فِيهِ نُكَتٌ </w:t>
      </w:r>
      <w:r>
        <w:rPr>
          <w:rStyle w:val="libFootnotenumChar"/>
          <w:rtl/>
        </w:rPr>
        <w:t>(5)</w:t>
      </w:r>
      <w:r>
        <w:rPr>
          <w:rtl/>
          <w:lang w:bidi="fa-IR"/>
        </w:rPr>
        <w:t xml:space="preserve"> </w:t>
      </w:r>
      <w:r w:rsidRPr="00132E65">
        <w:rPr>
          <w:rtl/>
          <w:lang w:bidi="fa-IR"/>
        </w:rPr>
        <w:t xml:space="preserve">ونُتَفٌ </w:t>
      </w:r>
      <w:r>
        <w:rPr>
          <w:rStyle w:val="libFootnotenumChar"/>
          <w:rtl/>
        </w:rPr>
        <w:t>(6)</w:t>
      </w:r>
      <w:r>
        <w:rPr>
          <w:rtl/>
          <w:lang w:bidi="fa-IR"/>
        </w:rPr>
        <w:t xml:space="preserve"> </w:t>
      </w:r>
      <w:r w:rsidRPr="00132E65">
        <w:rPr>
          <w:rtl/>
          <w:lang w:bidi="fa-IR"/>
        </w:rPr>
        <w:t>مِنَ التَّنْزِيلِ فِي الْوَلَايَةِ‌</w:t>
      </w:r>
      <w:bookmarkEnd w:id="146"/>
      <w:bookmarkEnd w:id="147"/>
    </w:p>
    <w:p w:rsidR="000C39D1" w:rsidRPr="00132E65" w:rsidRDefault="000C39D1" w:rsidP="000C39D1">
      <w:pPr>
        <w:pStyle w:val="libNormal"/>
        <w:rPr>
          <w:rtl/>
          <w:lang w:bidi="fa-IR"/>
        </w:rPr>
      </w:pPr>
      <w:r w:rsidRPr="00901459">
        <w:rPr>
          <w:rtl/>
        </w:rPr>
        <w:t>1088</w:t>
      </w:r>
      <w:r w:rsidRPr="004325D8">
        <w:rPr>
          <w:rStyle w:val="libBold2Char"/>
          <w:rtl/>
        </w:rPr>
        <w:t xml:space="preserve"> / 1.</w:t>
      </w:r>
      <w:r w:rsidRPr="00132E65">
        <w:rPr>
          <w:rtl/>
          <w:lang w:bidi="fa-IR"/>
        </w:rPr>
        <w:t xml:space="preserve"> عِدَّةٌ مِنْ أَصْحَابِنَا ، عَنْ أَحْمَدَ بْنِ مُحَمَّدٍ ، عَنِ الْحُسَيْنِ بْنِ سَعِيدٍ ، عَنْ بَعْضِ أَصْحَابِنَا ، عَنْ حَنَانِ بْنِ سَدِيرٍ ، عَنْ سَالِمٍ الْحَنَّاطِ </w:t>
      </w:r>
      <w:r>
        <w:rPr>
          <w:rStyle w:val="libFootnotenumChar"/>
          <w:rtl/>
        </w:rPr>
        <w:t>(7)</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 « أبي ربيع القزّاز »</w:t>
      </w:r>
      <w:r>
        <w:rPr>
          <w:rtl/>
        </w:rPr>
        <w:t>.</w:t>
      </w:r>
      <w:r w:rsidRPr="00132E65">
        <w:rPr>
          <w:rtl/>
        </w:rPr>
        <w:t xml:space="preserve"> وفي « بح » : « الربيع القزّاز » ، والرجل مجهول لم نعرفه.</w:t>
      </w:r>
    </w:p>
    <w:p w:rsidR="000C39D1" w:rsidRPr="00132E65" w:rsidRDefault="000C39D1" w:rsidP="000C39D1">
      <w:pPr>
        <w:pStyle w:val="libFootnote0"/>
        <w:rPr>
          <w:rtl/>
          <w:lang w:bidi="fa-IR"/>
        </w:rPr>
      </w:pPr>
      <w:r>
        <w:rPr>
          <w:rtl/>
        </w:rPr>
        <w:t>(2).</w:t>
      </w:r>
      <w:r w:rsidRPr="00132E65">
        <w:rPr>
          <w:rtl/>
        </w:rPr>
        <w:t xml:space="preserve"> الأعراف </w:t>
      </w:r>
      <w:r w:rsidR="00AF7516">
        <w:rPr>
          <w:rtl/>
        </w:rPr>
        <w:t>(7)</w:t>
      </w:r>
      <w:r w:rsidRPr="00132E65">
        <w:rPr>
          <w:rtl/>
        </w:rPr>
        <w:t xml:space="preserve"> : 172.</w:t>
      </w:r>
    </w:p>
    <w:p w:rsidR="000C39D1" w:rsidRPr="00132E65" w:rsidRDefault="000C39D1" w:rsidP="000C39D1">
      <w:pPr>
        <w:pStyle w:val="libFootnote0"/>
        <w:rPr>
          <w:rtl/>
          <w:lang w:bidi="fa-IR"/>
        </w:rPr>
      </w:pPr>
      <w:r>
        <w:rPr>
          <w:rtl/>
        </w:rPr>
        <w:t>(3).</w:t>
      </w:r>
      <w:r w:rsidRPr="00132E65">
        <w:rPr>
          <w:rtl/>
        </w:rPr>
        <w:t xml:space="preserve"> ظاهر الخبر يدلّ على كون « وأنّ محمّداً » وما بعده من القرآن فحُرِّفَ. قال المحقّق الشعراني في هامش </w:t>
      </w:r>
      <w:r w:rsidRPr="00901459">
        <w:rPr>
          <w:rtl/>
        </w:rPr>
        <w:t xml:space="preserve">شرح المازندراني </w:t>
      </w:r>
      <w:r w:rsidRPr="00132E65">
        <w:rPr>
          <w:rtl/>
        </w:rPr>
        <w:t xml:space="preserve">، ج 7 ، ص 47 : « الخبر ضعيف في الغاية ، ولو فرض صحّته إسناداً ، لكان اشتمال متنه على أمر مُحال كافياً في ردّه ؛ لعدم إمكان صدوره من المعصوم </w:t>
      </w:r>
      <w:r w:rsidRPr="00AF7516">
        <w:rPr>
          <w:rStyle w:val="libFootnoteAlaemChar"/>
          <w:rtl/>
        </w:rPr>
        <w:t>عليه‌السلام</w:t>
      </w:r>
      <w:r w:rsidRPr="00132E65">
        <w:rPr>
          <w:rtl/>
        </w:rPr>
        <w:t xml:space="preserve"> »</w:t>
      </w:r>
      <w:r>
        <w:rPr>
          <w:rtl/>
        </w:rPr>
        <w:t>.</w:t>
      </w:r>
    </w:p>
    <w:p w:rsidR="000C39D1" w:rsidRPr="00132E65" w:rsidRDefault="000C39D1" w:rsidP="00AF7516">
      <w:pPr>
        <w:pStyle w:val="libFootnote0"/>
        <w:rPr>
          <w:rtl/>
          <w:lang w:bidi="fa-IR"/>
        </w:rPr>
      </w:pPr>
      <w:r>
        <w:rPr>
          <w:rtl/>
        </w:rPr>
        <w:t>(4).</w:t>
      </w:r>
      <w:r w:rsidRPr="00132E65">
        <w:rPr>
          <w:rtl/>
        </w:rPr>
        <w:t xml:space="preserve"> </w:t>
      </w:r>
      <w:r w:rsidRPr="00901459">
        <w:rPr>
          <w:rtl/>
        </w:rPr>
        <w:t>تفسير العيّاشي</w:t>
      </w:r>
      <w:r w:rsidRPr="00132E65">
        <w:rPr>
          <w:rtl/>
        </w:rPr>
        <w:t xml:space="preserve"> ، ج 2 ، ص 41 ، ح 113 </w:t>
      </w:r>
      <w:r>
        <w:rPr>
          <w:rtl/>
        </w:rPr>
        <w:t>و 1</w:t>
      </w:r>
      <w:r w:rsidRPr="00132E65">
        <w:rPr>
          <w:rtl/>
        </w:rPr>
        <w:t xml:space="preserve">14 ، عن جابر ، عن أبي جعفر </w:t>
      </w:r>
      <w:r w:rsidRPr="00AF7516">
        <w:rPr>
          <w:rStyle w:val="libFootnoteAlaemChar"/>
          <w:rtl/>
        </w:rPr>
        <w:t>عليه‌السلام</w:t>
      </w:r>
      <w:r w:rsidRPr="00132E65">
        <w:rPr>
          <w:rtl/>
        </w:rPr>
        <w:t xml:space="preserve"> ، مع اختلاف. </w:t>
      </w:r>
      <w:r w:rsidRPr="00901459">
        <w:rPr>
          <w:rtl/>
        </w:rPr>
        <w:t>تفسير فرات</w:t>
      </w:r>
      <w:r w:rsidRPr="00132E65">
        <w:rPr>
          <w:rtl/>
        </w:rPr>
        <w:t xml:space="preserve"> ، ص 145 ، ح 180 ، فيه : « فرات ، عن جعفر بن محمّد الأودي ، معنعناً عن جابر الجعفي ، عن أبي جعفر </w:t>
      </w:r>
      <w:r w:rsidRPr="00AF7516">
        <w:rPr>
          <w:rStyle w:val="libFootnoteAlaemChar"/>
          <w:rtl/>
        </w:rPr>
        <w:t>عليه‌السلام</w:t>
      </w:r>
      <w:r w:rsidRPr="00132E65">
        <w:rPr>
          <w:rtl/>
        </w:rPr>
        <w:t xml:space="preserve"> ؛ وص 146 ، ح 181 ، فيه : « فرات ، عن عليّ بن عتاب ، معنعناً عن أبي جعفر </w:t>
      </w:r>
      <w:r w:rsidRPr="00AF7516">
        <w:rPr>
          <w:rStyle w:val="libFootnoteAlaemChar"/>
          <w:rtl/>
        </w:rPr>
        <w:t>عليه‌السلام</w:t>
      </w:r>
      <w:r w:rsidRPr="00132E65">
        <w:rPr>
          <w:rtl/>
        </w:rPr>
        <w:t xml:space="preserve"> » ؛ وح 182 ، فيه : « فرات عن أحمد بن محمّد بن أحمد بن طلحة الخراساني ، معنعناً عن أبي جعفر </w:t>
      </w:r>
      <w:r w:rsidRPr="00AF7516">
        <w:rPr>
          <w:rStyle w:val="libFootnoteAlaemChar"/>
          <w:rtl/>
        </w:rPr>
        <w:t>عليه‌السلام</w:t>
      </w:r>
      <w:r w:rsidRPr="00132E65">
        <w:rPr>
          <w:rtl/>
        </w:rPr>
        <w:t xml:space="preserve"> » ؛ وح 183 ، فيه : « فرات ، عن جعفر بن محمّد الفزاري ، معنعناً عن أبي جعفر </w:t>
      </w:r>
      <w:r w:rsidRPr="00AF7516">
        <w:rPr>
          <w:rStyle w:val="libFootnoteAlaemChar"/>
          <w:rtl/>
        </w:rPr>
        <w:t>عليه‌السلام</w:t>
      </w:r>
      <w:r w:rsidRPr="00132E65">
        <w:rPr>
          <w:rtl/>
        </w:rPr>
        <w:t xml:space="preserve"> » وفي كلّها مع اختلاف يسير</w:t>
      </w:r>
      <w:r w:rsidR="00AF7516">
        <w:rPr>
          <w:rFonts w:hint="cs"/>
          <w:rtl/>
        </w:rPr>
        <w:t>.</w:t>
      </w:r>
      <w:r w:rsidRPr="009D1ACE">
        <w:rPr>
          <w:rStyle w:val="libFootnoteBoldChar"/>
          <w:rtl/>
        </w:rPr>
        <w:t>الوافي</w:t>
      </w:r>
      <w:r w:rsidRPr="00132E65">
        <w:rPr>
          <w:rtl/>
        </w:rPr>
        <w:t xml:space="preserve"> ، ج 3 ، ص 668 ، ح 1271.</w:t>
      </w:r>
    </w:p>
    <w:p w:rsidR="000C39D1" w:rsidRPr="00132E65" w:rsidRDefault="000C39D1" w:rsidP="000C39D1">
      <w:pPr>
        <w:pStyle w:val="libFootnote0"/>
        <w:rPr>
          <w:rtl/>
          <w:lang w:bidi="fa-IR"/>
        </w:rPr>
      </w:pPr>
      <w:r>
        <w:rPr>
          <w:rtl/>
        </w:rPr>
        <w:t>(5).</w:t>
      </w:r>
      <w:r w:rsidRPr="00132E65">
        <w:rPr>
          <w:rtl/>
        </w:rPr>
        <w:t xml:space="preserve"> « النُكَتُ » : جمع النُكْتَة ، وهي كالنقطة. يقال : فيه نكتة سوداء ، أي أثر قليل كالنقطة. والمراد هنا الوجوه الخفيّة. راجع : </w:t>
      </w:r>
      <w:r w:rsidRPr="009D1ACE">
        <w:rPr>
          <w:rStyle w:val="libFootnoteBoldChar"/>
          <w:rtl/>
        </w:rPr>
        <w:t>لسان العرب</w:t>
      </w:r>
      <w:r w:rsidRPr="00132E65">
        <w:rPr>
          <w:rtl/>
        </w:rPr>
        <w:t xml:space="preserve"> ، ج 2 ، ص 100 ( نكت ) ؛ </w:t>
      </w:r>
      <w:r w:rsidRPr="00641102">
        <w:rPr>
          <w:rtl/>
        </w:rPr>
        <w:t>شرح المازندراني</w:t>
      </w:r>
      <w:r w:rsidRPr="00132E65">
        <w:rPr>
          <w:rtl/>
        </w:rPr>
        <w:t xml:space="preserve"> ، ج 7 ، ص 47.</w:t>
      </w:r>
    </w:p>
    <w:p w:rsidR="000C39D1" w:rsidRPr="00132E65" w:rsidRDefault="000C39D1" w:rsidP="000C39D1">
      <w:pPr>
        <w:pStyle w:val="libFootnote0"/>
        <w:rPr>
          <w:rtl/>
          <w:lang w:bidi="fa-IR"/>
        </w:rPr>
      </w:pPr>
      <w:r>
        <w:rPr>
          <w:rtl/>
        </w:rPr>
        <w:t>(6).</w:t>
      </w:r>
      <w:r w:rsidRPr="00132E65">
        <w:rPr>
          <w:rtl/>
        </w:rPr>
        <w:t xml:space="preserve"> « النُتَفُ » : جمع النُتْفَة ، وهي ما نَتَفْتَهُ أي نزعته بأصابعك من النبت أو غيره. وهي هنا عبارة عن وجوه منتزعة من التنزيل دالّة على الولاية. راجع : </w:t>
      </w:r>
      <w:r w:rsidRPr="00641102">
        <w:rPr>
          <w:rtl/>
        </w:rPr>
        <w:t>الصحاح</w:t>
      </w:r>
      <w:r w:rsidRPr="00132E65">
        <w:rPr>
          <w:rtl/>
        </w:rPr>
        <w:t xml:space="preserve"> ، ج 4 ، ص 1429 ( نتف ) ؛ </w:t>
      </w:r>
      <w:r w:rsidRPr="00641102">
        <w:rPr>
          <w:rtl/>
        </w:rPr>
        <w:t>شرح المازندراني</w:t>
      </w:r>
      <w:r w:rsidRPr="00132E65">
        <w:rPr>
          <w:rtl/>
        </w:rPr>
        <w:t xml:space="preserve"> ، ج 7 ، ص 48.</w:t>
      </w:r>
    </w:p>
    <w:p w:rsidR="000C39D1" w:rsidRPr="00132E65" w:rsidRDefault="000C39D1" w:rsidP="000C39D1">
      <w:pPr>
        <w:pStyle w:val="libFootnote0"/>
        <w:rPr>
          <w:rtl/>
          <w:lang w:bidi="fa-IR"/>
        </w:rPr>
      </w:pPr>
      <w:r>
        <w:rPr>
          <w:rtl/>
        </w:rPr>
        <w:t>(7).</w:t>
      </w:r>
      <w:r w:rsidRPr="00132E65">
        <w:rPr>
          <w:rtl/>
        </w:rPr>
        <w:t xml:space="preserve"> الخبر رواه الصفّار في </w:t>
      </w:r>
      <w:r w:rsidRPr="007A1104">
        <w:rPr>
          <w:rStyle w:val="libFootnoteBoldChar"/>
          <w:rtl/>
        </w:rPr>
        <w:t>بصائر الدرجات</w:t>
      </w:r>
      <w:r w:rsidRPr="00132E65">
        <w:rPr>
          <w:rtl/>
        </w:rPr>
        <w:t xml:space="preserve"> ، ص 73 ، ح 5</w:t>
      </w:r>
      <w:r>
        <w:rPr>
          <w:rtl/>
        </w:rPr>
        <w:t xml:space="preserve"> - </w:t>
      </w:r>
      <w:r w:rsidRPr="00132E65">
        <w:rPr>
          <w:rtl/>
        </w:rPr>
        <w:t>باختلاف يسير</w:t>
      </w:r>
      <w:r w:rsidR="00793A87">
        <w:rPr>
          <w:rtl/>
        </w:rPr>
        <w:t xml:space="preserve"> -عن أحمدبن محمّد عن الحسين بن</w:t>
      </w:r>
      <w:r w:rsidR="00AF7516">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لِأَبِي جَعْفَرٍ </w:t>
      </w:r>
      <w:r w:rsidRPr="00071CF9">
        <w:rPr>
          <w:rStyle w:val="libAlaemChar"/>
          <w:rtl/>
        </w:rPr>
        <w:t>عليه‌السلام</w:t>
      </w:r>
      <w:r w:rsidRPr="00132E65">
        <w:rPr>
          <w:rtl/>
          <w:lang w:bidi="fa-IR"/>
        </w:rPr>
        <w:t xml:space="preserve"> : أَخْبِرْنِي عَنْ قَوْلِ اللهِ تَبَارَكَ وتَعَالى : </w:t>
      </w:r>
      <w:r w:rsidRPr="00071CF9">
        <w:rPr>
          <w:rStyle w:val="libAlaemChar"/>
          <w:rtl/>
        </w:rPr>
        <w:t>(</w:t>
      </w:r>
      <w:r w:rsidRPr="00071CF9">
        <w:rPr>
          <w:rStyle w:val="libAieChar"/>
          <w:rtl/>
        </w:rPr>
        <w:t xml:space="preserve"> نَزَلَ بِهِ الرُّوحُ الْأَمِينُ </w:t>
      </w:r>
      <w:r w:rsidR="00793A87">
        <w:rPr>
          <w:rStyle w:val="libAieChar"/>
          <w:rFonts w:hint="cs"/>
          <w:rtl/>
        </w:rPr>
        <w:t xml:space="preserve">* </w:t>
      </w:r>
      <w:r w:rsidRPr="00071CF9">
        <w:rPr>
          <w:rStyle w:val="libAieChar"/>
          <w:rtl/>
        </w:rPr>
        <w:t xml:space="preserve">عَلى قَلْبِكَ لِتَكُونَ مِنَ الْمُنْذِرِينَ </w:t>
      </w:r>
      <w:r w:rsidR="00793A87">
        <w:rPr>
          <w:rStyle w:val="libAieChar"/>
          <w:rFonts w:hint="cs"/>
          <w:rtl/>
        </w:rPr>
        <w:t xml:space="preserve">* </w:t>
      </w:r>
      <w:r w:rsidRPr="00071CF9">
        <w:rPr>
          <w:rStyle w:val="libAieChar"/>
          <w:rtl/>
        </w:rPr>
        <w:t xml:space="preserve">بِلِسانٍ عَرَبِيٍّ مُبِينٍ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هِيَ الْوَلَايَةُ لِأَمِيرِ الْمُؤْمِنِينَ </w:t>
      </w:r>
      <w:r w:rsidRPr="00071CF9">
        <w:rPr>
          <w:rStyle w:val="libAlaemChar"/>
          <w:rtl/>
        </w:rPr>
        <w:t>عليه‌السلام</w:t>
      </w:r>
      <w:r w:rsidRPr="00132E65">
        <w:rPr>
          <w:rtl/>
          <w:lang w:bidi="fa-IR"/>
        </w:rPr>
        <w:t xml:space="preserve">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641102">
        <w:rPr>
          <w:rtl/>
        </w:rPr>
        <w:t>1089</w:t>
      </w:r>
      <w:r w:rsidRPr="004325D8">
        <w:rPr>
          <w:rStyle w:val="libBold2Char"/>
          <w:rtl/>
        </w:rPr>
        <w:t xml:space="preserve"> / 2.</w:t>
      </w:r>
      <w:r w:rsidRPr="00132E65">
        <w:rPr>
          <w:rtl/>
          <w:lang w:bidi="fa-IR"/>
        </w:rPr>
        <w:t xml:space="preserve"> مُحَمَّدُ بْنُ يَحْيى ، عَنْ مُحَمَّدِ بْنِ الْحُسَيْنِ ، عَنِ الْحَكَمِ بْنِ مِسْكِينٍ ، عَنْ إِسْحَاقَ بْنِ عَمَّارٍ ، عَنْ رَجُلٍ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إِنّا عَرَضْنَا الْأَمانَةَ عَلَى السَّماواتِ</w:t>
      </w:r>
    </w:p>
    <w:p w:rsidR="000C39D1" w:rsidRPr="00132E65" w:rsidRDefault="000C39D1" w:rsidP="000C39D1">
      <w:pPr>
        <w:pStyle w:val="libLine"/>
        <w:rPr>
          <w:rtl/>
          <w:lang w:bidi="fa-IR"/>
        </w:rPr>
      </w:pPr>
      <w:r w:rsidRPr="00132E65">
        <w:rPr>
          <w:rtl/>
          <w:lang w:bidi="fa-IR"/>
        </w:rPr>
        <w:t>__________________</w:t>
      </w:r>
    </w:p>
    <w:p w:rsidR="000C39D1" w:rsidRPr="00132E65" w:rsidRDefault="00793A87" w:rsidP="000C39D1">
      <w:pPr>
        <w:pStyle w:val="libFootnote0"/>
        <w:rPr>
          <w:rtl/>
          <w:lang w:bidi="fa-IR"/>
        </w:rPr>
      </w:pPr>
      <w:r>
        <w:rPr>
          <w:rFonts w:hint="cs"/>
          <w:rtl/>
        </w:rPr>
        <w:t xml:space="preserve">= </w:t>
      </w:r>
      <w:r w:rsidR="000C39D1" w:rsidRPr="00132E65">
        <w:rPr>
          <w:rtl/>
        </w:rPr>
        <w:t>سعيد عن بعض أصحابه عن حنان بن سدير عن سلمة بن الحنّاط ، لكن في بعض نسخه : « سلمة الحنّاط »</w:t>
      </w:r>
      <w:r w:rsidR="000C39D1">
        <w:rPr>
          <w:rtl/>
        </w:rPr>
        <w:t xml:space="preserve"> - </w:t>
      </w:r>
      <w:r w:rsidR="000C39D1" w:rsidRPr="00132E65">
        <w:rPr>
          <w:rtl/>
        </w:rPr>
        <w:t xml:space="preserve">كما في </w:t>
      </w:r>
      <w:r w:rsidR="000C39D1" w:rsidRPr="00641102">
        <w:rPr>
          <w:rtl/>
        </w:rPr>
        <w:t>البحار</w:t>
      </w:r>
      <w:r w:rsidR="000C39D1" w:rsidRPr="00132E65">
        <w:rPr>
          <w:rtl/>
        </w:rPr>
        <w:t xml:space="preserve"> ، ج 36 ، ص 95 ، ح 28</w:t>
      </w:r>
      <w:r w:rsidR="000C39D1">
        <w:rPr>
          <w:rtl/>
        </w:rPr>
        <w:t xml:space="preserve"> - </w:t>
      </w:r>
      <w:r w:rsidR="000C39D1" w:rsidRPr="00132E65">
        <w:rPr>
          <w:rtl/>
        </w:rPr>
        <w:t>وفي بعضها الآخر : « سالم الحنّاط » والظاهر صحّة هذه النسخة.</w:t>
      </w:r>
    </w:p>
    <w:p w:rsidR="000C39D1" w:rsidRPr="004B7CDC" w:rsidRDefault="000C39D1" w:rsidP="003D4DCE">
      <w:pPr>
        <w:pStyle w:val="libFootnote0"/>
        <w:rPr>
          <w:rtl/>
          <w:lang w:bidi="ar-IQ"/>
        </w:rPr>
      </w:pPr>
      <w:r w:rsidRPr="004B7CDC">
        <w:rPr>
          <w:rtl/>
        </w:rPr>
        <w:t xml:space="preserve">يؤيّد ذلك ورود الخبر مع زيادة في بصائر الدرجات ، ص 73 ، ح 6 ، بسند آخر عن حنان بن سدير عن سالم عن أبي محمّد ، وفي بعض نسخ الكتاب : « سالم أبي محمّد » </w:t>
      </w:r>
      <w:r>
        <w:rPr>
          <w:rtl/>
        </w:rPr>
        <w:t>-</w:t>
      </w:r>
      <w:r w:rsidRPr="004B7CDC">
        <w:rPr>
          <w:rtl/>
        </w:rPr>
        <w:t xml:space="preserve"> كما في </w:t>
      </w:r>
      <w:r w:rsidRPr="00C93FD2">
        <w:rPr>
          <w:rtl/>
        </w:rPr>
        <w:t>البحار</w:t>
      </w:r>
      <w:r w:rsidRPr="004B7CDC">
        <w:rPr>
          <w:rtl/>
        </w:rPr>
        <w:t xml:space="preserve"> ، ج 36 ، ص 95 ، ح 29. وسالم أبو محمّد هو سالم بن عبد الله أبو محمّد الحنّاط الكوفي. راجع : </w:t>
      </w:r>
      <w:r w:rsidRPr="00C93FD2">
        <w:rPr>
          <w:rtl/>
        </w:rPr>
        <w:t>رجال الطوسي</w:t>
      </w:r>
      <w:r w:rsidRPr="004B7CDC">
        <w:rPr>
          <w:rtl/>
        </w:rPr>
        <w:t xml:space="preserve"> ، ص 218 ، الرقم 2881.</w:t>
      </w:r>
    </w:p>
    <w:p w:rsidR="000C39D1" w:rsidRPr="00132E65" w:rsidRDefault="000C39D1" w:rsidP="003D4DCE">
      <w:pPr>
        <w:pStyle w:val="libFootnote0"/>
        <w:rPr>
          <w:rtl/>
          <w:lang w:bidi="fa-IR"/>
        </w:rPr>
      </w:pPr>
      <w:r>
        <w:rPr>
          <w:rtl/>
        </w:rPr>
        <w:t>(1).</w:t>
      </w:r>
      <w:r w:rsidRPr="00132E65">
        <w:rPr>
          <w:rtl/>
        </w:rPr>
        <w:t xml:space="preserve"> الشعراء (26) : 193</w:t>
      </w:r>
      <w:r>
        <w:rPr>
          <w:rtl/>
        </w:rPr>
        <w:t xml:space="preserve"> - </w:t>
      </w:r>
      <w:r w:rsidRPr="00132E65">
        <w:rPr>
          <w:rtl/>
        </w:rPr>
        <w:t>195.</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ل</w:t>
      </w:r>
      <w:r w:rsidR="003D4DCE">
        <w:rPr>
          <w:rFonts w:hint="cs"/>
          <w:rtl/>
        </w:rPr>
        <w:t>ـ</w:t>
      </w:r>
      <w:r w:rsidRPr="00132E65">
        <w:rPr>
          <w:rtl/>
        </w:rPr>
        <w:t>مّا أراد الله سبحانه أن يعرّف نفسه لعباده ليعبدوه ، وكان لم يتيسّر معرفت</w:t>
      </w:r>
      <w:r w:rsidR="003D4DCE">
        <w:rPr>
          <w:rtl/>
        </w:rPr>
        <w:t>ه كما أراد على سنّة الأسباب إل</w:t>
      </w:r>
      <w:r w:rsidR="003D4DCE">
        <w:rPr>
          <w:rFonts w:hint="cs"/>
          <w:rtl/>
        </w:rPr>
        <w:t>ّ</w:t>
      </w:r>
      <w:r w:rsidR="003D4DCE">
        <w:rPr>
          <w:rtl/>
        </w:rPr>
        <w:t>ا</w:t>
      </w:r>
      <w:r w:rsidRPr="00132E65">
        <w:rPr>
          <w:rtl/>
        </w:rPr>
        <w:t>بوجود الأنبياء والأوصياء ؛ إذ بهم تحصل المعرفة التامّة والعبادة الكاملة ، دون غيرهم ؛ وكان لم يتي</w:t>
      </w:r>
      <w:r w:rsidR="003D4DCE">
        <w:rPr>
          <w:rtl/>
        </w:rPr>
        <w:t>سّر وجود الأنبياء والأوصياء إل</w:t>
      </w:r>
      <w:r w:rsidR="003D4DCE">
        <w:rPr>
          <w:rFonts w:hint="cs"/>
          <w:rtl/>
        </w:rPr>
        <w:t>ّ</w:t>
      </w:r>
      <w:r w:rsidR="003D4DCE">
        <w:rPr>
          <w:rtl/>
        </w:rPr>
        <w:t>ا</w:t>
      </w:r>
      <w:r w:rsidRPr="00132E65">
        <w:rPr>
          <w:rtl/>
        </w:rPr>
        <w:t xml:space="preserve"> بخلق سائر الخلق</w:t>
      </w:r>
      <w:r>
        <w:rPr>
          <w:rtl/>
        </w:rPr>
        <w:t xml:space="preserve"> ..</w:t>
      </w:r>
      <w:r w:rsidRPr="00132E65">
        <w:rPr>
          <w:rtl/>
        </w:rPr>
        <w:t>. فلذلك خلق سائر الخلق ، ثمّ أمرهم بمعرفة أنبيائه وأوليائه وولايتهم والتبرّي من أعدائهم وممّا يصدّهم عن ذلك ليكونوا ذوي حظوظ من نعيمهم ، فوهب الكلّ معرفة نفسه على قدر معرفتهم الأنبياء والأوصياء ؛ إذ بمعرفتهم لهم يعرفون الله ، وبولايتهم إيّاهم يتولّون الله ، فكلّ ما ورد من البشارة والإنذار والأوامر والنواهي والنصائح والمواعظ من الله سبحانه فإنّما هو لذلك. ول</w:t>
      </w:r>
      <w:r w:rsidR="003D4DCE">
        <w:rPr>
          <w:rFonts w:hint="cs"/>
          <w:rtl/>
        </w:rPr>
        <w:t>ـ</w:t>
      </w:r>
      <w:r w:rsidRPr="00132E65">
        <w:rPr>
          <w:rtl/>
        </w:rPr>
        <w:t xml:space="preserve">مّا كان نبيّنا </w:t>
      </w:r>
      <w:r w:rsidRPr="003D4DCE">
        <w:rPr>
          <w:rStyle w:val="libFootnoteAlaemChar"/>
          <w:rFonts w:eastAsiaTheme="minorHAnsi"/>
          <w:rtl/>
        </w:rPr>
        <w:t>صلى‌الله‌عليه‌وآله</w:t>
      </w:r>
      <w:r w:rsidRPr="00132E65">
        <w:rPr>
          <w:rtl/>
          <w:lang w:bidi="fa-IR"/>
        </w:rPr>
        <w:t xml:space="preserve"> </w:t>
      </w:r>
      <w:r w:rsidRPr="00132E65">
        <w:rPr>
          <w:rtl/>
        </w:rPr>
        <w:t xml:space="preserve">سيّد الأنبياء ووصيّه صلوات الله عليه سيّد الأوصياء ؛ لجمعهما كمالات سائر الأنبياء والأوصياء ومقاماتهم ، مع مالهما من الفضل عليهم ، وكان كلّ منهما نفس الآخر ، صحّ أن ينسب إلى أحدهما من الفضل ما ينسب إليهم ؛ لاشتماله على الكلّ وجمعه لفضائل الكلّ. ولذلك خصّ تأويل الآيات بهما وبأهل البيت </w:t>
      </w:r>
      <w:r w:rsidRPr="003D4DCE">
        <w:rPr>
          <w:rStyle w:val="libFootnoteAlaemChar"/>
          <w:rtl/>
        </w:rPr>
        <w:t>عليهم‌السلام</w:t>
      </w:r>
      <w:r w:rsidRPr="00132E65">
        <w:rPr>
          <w:rtl/>
        </w:rPr>
        <w:t xml:space="preserve"> الذين هم منهما ، ذرّيّة بعضها من بعض. وجي‌ء بالكلمة الجامعة التي هي الولاية ، فإنّها مشتملة على المعرفة والمحبّة والمتابعة وسائر ما لابدّ منه في ذلك »</w:t>
      </w:r>
      <w:r>
        <w:rPr>
          <w:rtl/>
        </w:rPr>
        <w:t>.</w:t>
      </w:r>
    </w:p>
    <w:p w:rsidR="000C39D1" w:rsidRPr="00132E65" w:rsidRDefault="000C39D1" w:rsidP="003D4DCE">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73 ، ح 5 ، عن أحمد بن محمّد</w:t>
      </w:r>
      <w:r>
        <w:rPr>
          <w:rtl/>
        </w:rPr>
        <w:t xml:space="preserve"> ..</w:t>
      </w:r>
      <w:r w:rsidRPr="00132E65">
        <w:rPr>
          <w:rtl/>
        </w:rPr>
        <w:t xml:space="preserve">. عن حنان بن سدير ، عن سلمة بن الحنّاط. </w:t>
      </w:r>
      <w:r w:rsidRPr="00641102">
        <w:rPr>
          <w:rtl/>
        </w:rPr>
        <w:t>وفيه</w:t>
      </w:r>
      <w:r w:rsidRPr="00132E65">
        <w:rPr>
          <w:rtl/>
        </w:rPr>
        <w:t xml:space="preserve"> ، ح 6 ، بسند آخر عن حنان بن سدير ، عن سالم ، عن أبي محمّد ، مع اختلاف يسير. </w:t>
      </w:r>
      <w:r w:rsidRPr="00641102">
        <w:rPr>
          <w:rtl/>
        </w:rPr>
        <w:t>تفسير القمّي</w:t>
      </w:r>
      <w:r w:rsidRPr="00132E65">
        <w:rPr>
          <w:rtl/>
        </w:rPr>
        <w:t xml:space="preserve"> ، ج 2 ، ص 124 ، عن أبيه ، عن حسّان ( حنان ) عن أبي عبد الله </w:t>
      </w:r>
      <w:r w:rsidRPr="003D4DCE">
        <w:rPr>
          <w:rStyle w:val="libFootnoteAlaemChar"/>
          <w:rtl/>
        </w:rPr>
        <w:t>عليه‌السلام</w:t>
      </w:r>
      <w:r w:rsidRPr="00132E65">
        <w:rPr>
          <w:rtl/>
        </w:rPr>
        <w:t xml:space="preserve"> ، مع اختلاف يسير</w:t>
      </w:r>
      <w:r w:rsidR="003D4DCE">
        <w:rPr>
          <w:rFonts w:hint="cs"/>
          <w:rtl/>
        </w:rPr>
        <w:t>.</w:t>
      </w:r>
      <w:r w:rsidRPr="009D1ACE">
        <w:rPr>
          <w:rStyle w:val="libFootnoteBoldChar"/>
          <w:rtl/>
        </w:rPr>
        <w:t>الوافي</w:t>
      </w:r>
      <w:r w:rsidRPr="00132E65">
        <w:rPr>
          <w:rtl/>
        </w:rPr>
        <w:t xml:space="preserve"> ، ج 3 ، ص 882 ، ح 1512 ؛ </w:t>
      </w:r>
      <w:r w:rsidRPr="00641102">
        <w:rPr>
          <w:rtl/>
        </w:rPr>
        <w:t>البحار</w:t>
      </w:r>
      <w:r w:rsidRPr="00132E65">
        <w:rPr>
          <w:rtl/>
        </w:rPr>
        <w:t xml:space="preserve"> ، ج 24 ، ص 331 ، ح 56.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وَالْأَرْضِ وَالْجِبالِ فَأَبَيْنَ أَنْ يَحْمِلْنَها وَأَشْفَقْنَ مِنْها وَحَمَلَهَا الْإِنْسانُ إِنَّهُ كانَ ظَلُوماً جَهُولاً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هِيَ ولَايَةُ أَمِيرِ الْمُؤْمِنِينَ </w:t>
      </w:r>
      <w:r>
        <w:rPr>
          <w:rStyle w:val="libFootnotenumChar"/>
          <w:rtl/>
        </w:rPr>
        <w:t>(2)</w:t>
      </w:r>
      <w:r w:rsidRPr="00132E65">
        <w:rPr>
          <w:rtl/>
          <w:lang w:bidi="fa-IR"/>
        </w:rPr>
        <w:t xml:space="preserve">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641102">
        <w:rPr>
          <w:rtl/>
        </w:rPr>
        <w:t>1090</w:t>
      </w:r>
      <w:r w:rsidRPr="004325D8">
        <w:rPr>
          <w:rStyle w:val="libBold2Char"/>
          <w:rtl/>
        </w:rPr>
        <w:t xml:space="preserve"> / 3.</w:t>
      </w:r>
      <w:r w:rsidRPr="00132E65">
        <w:rPr>
          <w:rtl/>
          <w:lang w:bidi="fa-IR"/>
        </w:rPr>
        <w:t xml:space="preserve"> مُحَمَّدُ بْنُ يَحْيى ، عَنْ أَحْمَدَ بْنِ أَبِي زَاهِرٍ ، عَنِ الْحَسَنِ بْنِ مُوسَى الْخَشَّابِ ، عَنْ عَلِيِّ بْنِ حَسَّانَ ، عَنْ عَبْدِ الرَّحْمنِ بْنِ كَثِيرٍ :</w:t>
      </w:r>
    </w:p>
    <w:p w:rsidR="000C39D1" w:rsidRPr="00132E65" w:rsidRDefault="000C39D1" w:rsidP="003D4DCE">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الَّذِينَ</w:t>
      </w:r>
      <w:r w:rsidRPr="00132E65">
        <w:rPr>
          <w:rtl/>
          <w:lang w:bidi="fa-IR"/>
        </w:rPr>
        <w:t xml:space="preserve"> </w:t>
      </w:r>
      <w:r>
        <w:rPr>
          <w:rStyle w:val="libFootnotenumChar"/>
          <w:rtl/>
        </w:rPr>
        <w:t>(4)</w:t>
      </w:r>
      <w:r w:rsidRPr="00132E65">
        <w:rPr>
          <w:rtl/>
          <w:lang w:bidi="fa-IR"/>
        </w:rPr>
        <w:t xml:space="preserve"> </w:t>
      </w:r>
      <w:r w:rsidRPr="00071CF9">
        <w:rPr>
          <w:rStyle w:val="libAieChar"/>
          <w:rtl/>
        </w:rPr>
        <w:t xml:space="preserve">آمَنُوا وَلَمْ يَلْبِسُوا إِيمانَهُمْ بِظُلْمٍ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قَالَ : « بِمَا جَاءَ بِهِ مُحَمَّدٌ </w:t>
      </w:r>
      <w:r w:rsidRPr="0093484F">
        <w:rPr>
          <w:rStyle w:val="libAlaemChar"/>
          <w:rFonts w:eastAsiaTheme="minorHAnsi"/>
          <w:rtl/>
        </w:rPr>
        <w:t>صلى‌الله‌عليه‌وآله</w:t>
      </w:r>
      <w:r w:rsidRPr="00132E65">
        <w:rPr>
          <w:rtl/>
          <w:lang w:bidi="fa-IR"/>
        </w:rPr>
        <w:t xml:space="preserve"> مِنَ الْوَلَايَةِ ، ولَمْ يَخْلِطُوهَا </w:t>
      </w:r>
      <w:r>
        <w:rPr>
          <w:rStyle w:val="libFootnotenumChar"/>
          <w:rtl/>
        </w:rPr>
        <w:t>(6)</w:t>
      </w:r>
      <w:r w:rsidRPr="00132E65">
        <w:rPr>
          <w:rtl/>
          <w:lang w:bidi="fa-IR"/>
        </w:rPr>
        <w:t xml:space="preserve"> بِوَلَايَةِ فُلَانٍ وفُلَانٍ ، فَهُوَ </w:t>
      </w:r>
      <w:r>
        <w:rPr>
          <w:rStyle w:val="libFootnotenumChar"/>
          <w:rtl/>
        </w:rPr>
        <w:t>(7)</w:t>
      </w:r>
      <w:r w:rsidRPr="00132E65">
        <w:rPr>
          <w:rtl/>
          <w:lang w:bidi="fa-IR"/>
        </w:rPr>
        <w:t xml:space="preserve"> الْمُلَبِّسُ </w:t>
      </w:r>
      <w:r>
        <w:rPr>
          <w:rStyle w:val="libFootnotenumChar"/>
          <w:rtl/>
        </w:rPr>
        <w:t>(8)</w:t>
      </w:r>
      <w:r w:rsidR="00936037">
        <w:rPr>
          <w:rtl/>
          <w:lang w:bidi="fa-IR"/>
        </w:rPr>
        <w:t xml:space="preserve"> بِالظُّلْمِ</w:t>
      </w:r>
      <w:r w:rsidRPr="00132E65">
        <w:rPr>
          <w:rtl/>
          <w:lang w:bidi="fa-IR"/>
        </w:rPr>
        <w:t>»</w:t>
      </w:r>
      <w:r>
        <w:rPr>
          <w:rtl/>
          <w:lang w:bidi="fa-IR"/>
        </w:rPr>
        <w:t>.</w:t>
      </w:r>
      <w:r w:rsidRPr="00132E65">
        <w:rPr>
          <w:rtl/>
          <w:lang w:bidi="fa-IR"/>
        </w:rPr>
        <w:t xml:space="preserve"> </w:t>
      </w:r>
      <w:r>
        <w:rPr>
          <w:rStyle w:val="libFootnotenumChar"/>
          <w:rtl/>
        </w:rPr>
        <w:t>(9)</w:t>
      </w:r>
    </w:p>
    <w:p w:rsidR="000C39D1" w:rsidRPr="00132E65" w:rsidRDefault="000C39D1" w:rsidP="000C39D1">
      <w:pPr>
        <w:pStyle w:val="libNormal"/>
        <w:rPr>
          <w:rtl/>
          <w:lang w:bidi="fa-IR"/>
        </w:rPr>
      </w:pPr>
      <w:r w:rsidRPr="00641102">
        <w:rPr>
          <w:rtl/>
        </w:rPr>
        <w:t>1091</w:t>
      </w:r>
      <w:r w:rsidRPr="004325D8">
        <w:rPr>
          <w:rStyle w:val="libBold2Char"/>
          <w:rtl/>
        </w:rPr>
        <w:t xml:space="preserve"> / 4.</w:t>
      </w:r>
      <w:r w:rsidRPr="00132E65">
        <w:rPr>
          <w:rtl/>
          <w:lang w:bidi="fa-IR"/>
        </w:rPr>
        <w:t xml:space="preserve"> مُحَمَّدُ بْنُ يَحْيى ، عَنْ أَحْمَدَ بْنِ مُحَمَّدٍ ، عَنِ ابْنِ مَحْبُوبٍ ، عَنِ الْحُسَيْنِ </w:t>
      </w:r>
      <w:r>
        <w:rPr>
          <w:rStyle w:val="libFootnotenumChar"/>
          <w:rtl/>
        </w:rPr>
        <w:t>(10)</w:t>
      </w:r>
      <w:r w:rsidRPr="00132E65">
        <w:rPr>
          <w:rtl/>
          <w:lang w:bidi="fa-IR"/>
        </w:rPr>
        <w:t xml:space="preserve">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الأحزاب (33) : 72.</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إنّما أبوا من حملها وأشفقوا منها لعدم قابليّتهم لها ؛ إذ لم يكن في جبلّتهم إمكان الخيانة والظلم اللَّذين بانتفائهما تظهر الأمانة ، ولا كان فيهم معنى الجهل الذي يظهر برفعه المعرفة ، ولذلك قال في حقّ الإنسان :</w:t>
      </w:r>
      <w:r>
        <w:rPr>
          <w:rFonts w:hint="cs"/>
          <w:rtl/>
        </w:rPr>
        <w:t xml:space="preserve"> </w:t>
      </w:r>
      <w:r w:rsidRPr="003D4DCE">
        <w:rPr>
          <w:rStyle w:val="libFootnoteAlaemChar"/>
          <w:rFonts w:hint="cs"/>
          <w:rtl/>
        </w:rPr>
        <w:t>(</w:t>
      </w:r>
      <w:r>
        <w:rPr>
          <w:rFonts w:hint="cs"/>
          <w:rtl/>
        </w:rPr>
        <w:t xml:space="preserve"> </w:t>
      </w:r>
      <w:r w:rsidRPr="00C2691A">
        <w:rPr>
          <w:rStyle w:val="libFootnoteAieChar"/>
          <w:rtl/>
        </w:rPr>
        <w:t>إِنَّهُ كانَ ظَلُوماً جَهُولاً</w:t>
      </w:r>
      <w:r>
        <w:rPr>
          <w:rFonts w:hint="cs"/>
          <w:rtl/>
        </w:rPr>
        <w:t xml:space="preserve"> </w:t>
      </w:r>
      <w:r w:rsidRPr="003D4DCE">
        <w:rPr>
          <w:rStyle w:val="libFootnoteAlaemChar"/>
          <w:rtl/>
        </w:rPr>
        <w:t>)</w:t>
      </w:r>
      <w:r w:rsidRPr="00132E65">
        <w:rPr>
          <w:rtl/>
        </w:rPr>
        <w:t xml:space="preserve"> »</w:t>
      </w:r>
      <w:r>
        <w:rPr>
          <w:rtl/>
        </w:rPr>
        <w:t>.</w:t>
      </w:r>
    </w:p>
    <w:p w:rsidR="000C39D1" w:rsidRPr="00132E65" w:rsidRDefault="000C39D1" w:rsidP="003D4DCE">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76 ، ح 2 ، عن محمّد بن الحسين. راجع : </w:t>
      </w:r>
      <w:r w:rsidRPr="007A1104">
        <w:rPr>
          <w:rStyle w:val="libFootnoteBoldChar"/>
          <w:rtl/>
        </w:rPr>
        <w:t>بصائر الدرجات</w:t>
      </w:r>
      <w:r w:rsidRPr="00132E65">
        <w:rPr>
          <w:rtl/>
        </w:rPr>
        <w:t xml:space="preserve"> ، ص 76 ، ح 3 ؛ و</w:t>
      </w:r>
      <w:r w:rsidRPr="00641102">
        <w:rPr>
          <w:rtl/>
        </w:rPr>
        <w:t>عيون الأخبار</w:t>
      </w:r>
      <w:r w:rsidRPr="00132E65">
        <w:rPr>
          <w:rtl/>
        </w:rPr>
        <w:t xml:space="preserve"> ، ج 1 ، ص 306 ، ح 66 ؛ و</w:t>
      </w:r>
      <w:r w:rsidRPr="00641102">
        <w:rPr>
          <w:rtl/>
        </w:rPr>
        <w:t>معاني الأخبار</w:t>
      </w:r>
      <w:r w:rsidRPr="00132E65">
        <w:rPr>
          <w:rtl/>
        </w:rPr>
        <w:t xml:space="preserve"> ، ص 110 ، ح 2 </w:t>
      </w:r>
      <w:r>
        <w:rPr>
          <w:rtl/>
        </w:rPr>
        <w:t>و 3</w:t>
      </w:r>
      <w:r w:rsidRPr="00132E65">
        <w:rPr>
          <w:rtl/>
        </w:rPr>
        <w:t xml:space="preserve"> ؛ و</w:t>
      </w:r>
      <w:r w:rsidRPr="00641102">
        <w:rPr>
          <w:rtl/>
        </w:rPr>
        <w:t>تفسير القمّي</w:t>
      </w:r>
      <w:r w:rsidRPr="00132E65">
        <w:rPr>
          <w:rtl/>
        </w:rPr>
        <w:t xml:space="preserve"> ، ج 2 ، ص 198</w:t>
      </w:r>
      <w:r w:rsidR="003D4DCE">
        <w:rPr>
          <w:rFonts w:hint="cs"/>
          <w:rtl/>
        </w:rPr>
        <w:t>.</w:t>
      </w:r>
      <w:r w:rsidRPr="009D1ACE">
        <w:rPr>
          <w:rStyle w:val="libFootnoteBoldChar"/>
          <w:rtl/>
        </w:rPr>
        <w:t>الوافي</w:t>
      </w:r>
      <w:r w:rsidRPr="00132E65">
        <w:rPr>
          <w:rtl/>
        </w:rPr>
        <w:t xml:space="preserve"> ، ج 3 ، ص 88 ، ح 1513.</w:t>
      </w:r>
    </w:p>
    <w:p w:rsidR="000C39D1" w:rsidRPr="00132E65" w:rsidRDefault="000C39D1" w:rsidP="000C39D1">
      <w:pPr>
        <w:pStyle w:val="libFootnote0"/>
        <w:rPr>
          <w:rtl/>
          <w:lang w:bidi="fa-IR"/>
        </w:rPr>
      </w:pPr>
      <w:r>
        <w:rPr>
          <w:rtl/>
        </w:rPr>
        <w:t>(4).</w:t>
      </w:r>
      <w:r w:rsidRPr="00132E65">
        <w:rPr>
          <w:rtl/>
        </w:rPr>
        <w:t xml:space="preserve"> هكذا في المصحف والنسخ. وفي المطبوع : « والذين »</w:t>
      </w:r>
      <w:r>
        <w:rPr>
          <w:rtl/>
        </w:rPr>
        <w:t>.</w:t>
      </w:r>
    </w:p>
    <w:p w:rsidR="000C39D1" w:rsidRPr="00132E65" w:rsidRDefault="000C39D1" w:rsidP="000C39D1">
      <w:pPr>
        <w:pStyle w:val="libFootnote0"/>
        <w:rPr>
          <w:rtl/>
          <w:lang w:bidi="fa-IR"/>
        </w:rPr>
      </w:pPr>
      <w:r>
        <w:rPr>
          <w:rtl/>
        </w:rPr>
        <w:t>(5).</w:t>
      </w:r>
      <w:r w:rsidRPr="00132E65">
        <w:rPr>
          <w:rtl/>
        </w:rPr>
        <w:t xml:space="preserve"> الأنعام </w:t>
      </w:r>
      <w:r w:rsidR="0087579E">
        <w:rPr>
          <w:rtl/>
        </w:rPr>
        <w:t>(6)</w:t>
      </w:r>
      <w:r w:rsidRPr="00132E65">
        <w:rPr>
          <w:rtl/>
        </w:rPr>
        <w:t xml:space="preserve"> : 82.</w:t>
      </w:r>
    </w:p>
    <w:p w:rsidR="000C39D1" w:rsidRPr="00132E65" w:rsidRDefault="000C39D1" w:rsidP="000C39D1">
      <w:pPr>
        <w:pStyle w:val="libFootnote0"/>
        <w:rPr>
          <w:rtl/>
          <w:lang w:bidi="fa-IR"/>
        </w:rPr>
      </w:pPr>
      <w:r>
        <w:rPr>
          <w:rtl/>
        </w:rPr>
        <w:t>(6).</w:t>
      </w:r>
      <w:r w:rsidRPr="00132E65">
        <w:rPr>
          <w:rtl/>
        </w:rPr>
        <w:t xml:space="preserve"> يجوز في الكلمة التثقيل والتخفيف كما في النسخ. وفي </w:t>
      </w:r>
      <w:r w:rsidRPr="009D1ACE">
        <w:rPr>
          <w:rStyle w:val="libFootnoteBoldChar"/>
          <w:rtl/>
        </w:rPr>
        <w:t>الوافي</w:t>
      </w:r>
      <w:r w:rsidRPr="00132E65">
        <w:rPr>
          <w:rtl/>
        </w:rPr>
        <w:t xml:space="preserve"> : « ولم يخلطوهما »</w:t>
      </w:r>
      <w:r>
        <w:rPr>
          <w:rtl/>
        </w:rPr>
        <w:t>.</w:t>
      </w:r>
    </w:p>
    <w:p w:rsidR="000C39D1" w:rsidRPr="00132E65" w:rsidRDefault="000C39D1" w:rsidP="000C39D1">
      <w:pPr>
        <w:pStyle w:val="libFootnote0"/>
        <w:rPr>
          <w:rtl/>
          <w:lang w:bidi="fa-IR"/>
        </w:rPr>
      </w:pPr>
      <w:r>
        <w:rPr>
          <w:rtl/>
        </w:rPr>
        <w:t>(7).</w:t>
      </w:r>
      <w:r w:rsidRPr="00132E65">
        <w:rPr>
          <w:rtl/>
        </w:rPr>
        <w:t xml:space="preserve"> في « ض » : « وهو »</w:t>
      </w:r>
      <w:r>
        <w:rPr>
          <w:rtl/>
        </w:rPr>
        <w:t>.</w:t>
      </w:r>
    </w:p>
    <w:p w:rsidR="000C39D1" w:rsidRPr="00132E65" w:rsidRDefault="000C39D1" w:rsidP="000C39D1">
      <w:pPr>
        <w:pStyle w:val="libFootnote0"/>
        <w:rPr>
          <w:rtl/>
          <w:lang w:bidi="fa-IR"/>
        </w:rPr>
      </w:pPr>
      <w:r>
        <w:rPr>
          <w:rtl/>
        </w:rPr>
        <w:t>(8).</w:t>
      </w:r>
      <w:r w:rsidRPr="00132E65">
        <w:rPr>
          <w:rtl/>
        </w:rPr>
        <w:t xml:space="preserve"> في حاشية « ف » : « الملتبس »</w:t>
      </w:r>
      <w:r>
        <w:rPr>
          <w:rtl/>
        </w:rPr>
        <w:t>.</w:t>
      </w:r>
      <w:r w:rsidRPr="00132E65">
        <w:rPr>
          <w:rtl/>
        </w:rPr>
        <w:t xml:space="preserve"> وقرأ المازندراني والمجلسي : ال</w:t>
      </w:r>
      <w:r w:rsidR="00664A06">
        <w:rPr>
          <w:rFonts w:hint="cs"/>
          <w:rtl/>
        </w:rPr>
        <w:t>ـ</w:t>
      </w:r>
      <w:r w:rsidRPr="00132E65">
        <w:rPr>
          <w:rtl/>
        </w:rPr>
        <w:t>مُلبِّس بكسر الباء المشدّد : وبفتح الباء المشدّدة بعيد جدّاً عند المازندراني ومحتمل عند المجلسي. ونقل المجلسي عن بعضٍ : ال</w:t>
      </w:r>
      <w:r w:rsidR="00664A06">
        <w:rPr>
          <w:rFonts w:hint="cs"/>
          <w:rtl/>
        </w:rPr>
        <w:t>ـ</w:t>
      </w:r>
      <w:r w:rsidRPr="00132E65">
        <w:rPr>
          <w:rtl/>
        </w:rPr>
        <w:t>مِلْبَس اسم آلة ، ثمّ ردّه.</w:t>
      </w:r>
    </w:p>
    <w:p w:rsidR="000C39D1" w:rsidRPr="00132E65" w:rsidRDefault="000C39D1" w:rsidP="00664A06">
      <w:pPr>
        <w:pStyle w:val="libFootnote0"/>
        <w:rPr>
          <w:rtl/>
          <w:lang w:bidi="fa-IR"/>
        </w:rPr>
      </w:pPr>
      <w:r>
        <w:rPr>
          <w:rtl/>
        </w:rPr>
        <w:t>(9).</w:t>
      </w:r>
      <w:r w:rsidRPr="00132E65">
        <w:rPr>
          <w:rtl/>
        </w:rPr>
        <w:t xml:space="preserve"> </w:t>
      </w:r>
      <w:r w:rsidRPr="00641102">
        <w:rPr>
          <w:rtl/>
        </w:rPr>
        <w:t>تفسير العيّاشي</w:t>
      </w:r>
      <w:r w:rsidRPr="00132E65">
        <w:rPr>
          <w:rtl/>
        </w:rPr>
        <w:t xml:space="preserve"> ، ج 1 ، ص 366 ، ح 49 ، عن عبد الرحمن بن كثير ، مع زيادة في آخره</w:t>
      </w:r>
      <w:r w:rsidR="00664A06">
        <w:rPr>
          <w:rFonts w:hint="cs"/>
          <w:rtl/>
        </w:rPr>
        <w:t>.</w:t>
      </w:r>
      <w:r w:rsidRPr="009D1ACE">
        <w:rPr>
          <w:rStyle w:val="libFootnoteBoldChar"/>
          <w:rtl/>
        </w:rPr>
        <w:t>الوافي</w:t>
      </w:r>
      <w:r w:rsidRPr="00132E65">
        <w:rPr>
          <w:rtl/>
        </w:rPr>
        <w:t xml:space="preserve"> ، ج 3 ، ص 883 ، ح 1514 ؛ </w:t>
      </w:r>
      <w:r w:rsidRPr="00641102">
        <w:rPr>
          <w:rtl/>
        </w:rPr>
        <w:t>البحار</w:t>
      </w:r>
      <w:r w:rsidRPr="00132E65">
        <w:rPr>
          <w:rtl/>
        </w:rPr>
        <w:t xml:space="preserve"> ، ج 23 ، ص 371 ، ح 49.</w:t>
      </w:r>
    </w:p>
    <w:p w:rsidR="000C39D1" w:rsidRPr="00132E65" w:rsidRDefault="000C39D1" w:rsidP="000C39D1">
      <w:pPr>
        <w:pStyle w:val="libFootnote0"/>
        <w:rPr>
          <w:rtl/>
          <w:lang w:bidi="fa-IR"/>
        </w:rPr>
      </w:pPr>
      <w:r>
        <w:rPr>
          <w:rtl/>
        </w:rPr>
        <w:t>(10).</w:t>
      </w:r>
      <w:r w:rsidRPr="00132E65">
        <w:rPr>
          <w:rtl/>
        </w:rPr>
        <w:t xml:space="preserve"> هكذا في حاشية « ف » والبحار ، ج 23 ، ص 371 ، ح 50. وفي النسخ والمطبوع : « الحسن »</w:t>
      </w:r>
      <w:r>
        <w:rPr>
          <w:rtl/>
        </w:rPr>
        <w:t>.</w:t>
      </w:r>
    </w:p>
    <w:p w:rsidR="000C39D1" w:rsidRPr="00C93FD2" w:rsidRDefault="000C39D1" w:rsidP="00664A06">
      <w:pPr>
        <w:pStyle w:val="libFootnote0"/>
        <w:rPr>
          <w:rtl/>
        </w:rPr>
      </w:pPr>
      <w:r w:rsidRPr="00C93FD2">
        <w:rPr>
          <w:rtl/>
        </w:rPr>
        <w:t xml:space="preserve">والصواب ما أثبتناه ؛ فإنّ الحسين بن نعيم الصحّاف ، هو المذكور في كتب الرجال والأسناد ، وروى عنه </w:t>
      </w:r>
      <w:r w:rsidR="00664A0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نُعَيْمٍ الصَّحَّافِ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فَمِنْكُمْ كافِرٌ وَمِنْكُمْ مُؤْمِنٌ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فَقَالَ :</w:t>
      </w:r>
      <w:r>
        <w:rPr>
          <w:rFonts w:hint="cs"/>
          <w:rtl/>
          <w:lang w:bidi="fa-IR"/>
        </w:rPr>
        <w:t xml:space="preserve"> </w:t>
      </w:r>
      <w:r w:rsidRPr="00132E65">
        <w:rPr>
          <w:rtl/>
          <w:lang w:bidi="fa-IR"/>
        </w:rPr>
        <w:t xml:space="preserve">« عَرَفَ </w:t>
      </w:r>
      <w:r>
        <w:rPr>
          <w:rStyle w:val="libFootnotenumChar"/>
          <w:rtl/>
        </w:rPr>
        <w:t>(2)</w:t>
      </w:r>
      <w:r w:rsidRPr="00132E65">
        <w:rPr>
          <w:rtl/>
          <w:lang w:bidi="fa-IR"/>
        </w:rPr>
        <w:t xml:space="preserve"> اللهُ </w:t>
      </w:r>
      <w:r>
        <w:rPr>
          <w:rStyle w:val="libFootnotenumChar"/>
          <w:rtl/>
        </w:rPr>
        <w:t>(3)</w:t>
      </w:r>
      <w:r w:rsidRPr="00132E65">
        <w:rPr>
          <w:rtl/>
          <w:lang w:bidi="fa-IR"/>
        </w:rPr>
        <w:t xml:space="preserve"> إِيمَانَهُمْ بِوَلَايَتِنَا </w:t>
      </w:r>
      <w:r>
        <w:rPr>
          <w:rStyle w:val="libFootnotenumChar"/>
          <w:rtl/>
        </w:rPr>
        <w:t>(4)</w:t>
      </w:r>
      <w:r w:rsidRPr="00132E65">
        <w:rPr>
          <w:rtl/>
          <w:lang w:bidi="fa-IR"/>
        </w:rPr>
        <w:t xml:space="preserve"> ، وكُفْرَهُمْ بِهَا </w:t>
      </w:r>
      <w:r>
        <w:rPr>
          <w:rStyle w:val="libFootnotenumChar"/>
          <w:rtl/>
        </w:rPr>
        <w:t>(5)</w:t>
      </w:r>
      <w:r w:rsidRPr="00132E65">
        <w:rPr>
          <w:rtl/>
          <w:lang w:bidi="fa-IR"/>
        </w:rPr>
        <w:t xml:space="preserve"> يَوْمَ أَخَذَ </w:t>
      </w:r>
      <w:r>
        <w:rPr>
          <w:rStyle w:val="libFootnotenumChar"/>
          <w:rtl/>
        </w:rPr>
        <w:t>(6)</w:t>
      </w:r>
      <w:r w:rsidRPr="00132E65">
        <w:rPr>
          <w:rtl/>
          <w:lang w:bidi="fa-IR"/>
        </w:rPr>
        <w:t xml:space="preserve"> عَلَيْهِمُ الْمِيثَاقَ فِي صُلْبِ آدَمَ </w:t>
      </w:r>
      <w:r w:rsidRPr="00071CF9">
        <w:rPr>
          <w:rStyle w:val="libAlaemChar"/>
          <w:rtl/>
        </w:rPr>
        <w:t>عليه‌السلام</w:t>
      </w:r>
      <w:r w:rsidRPr="00132E65">
        <w:rPr>
          <w:rtl/>
          <w:lang w:bidi="fa-IR"/>
        </w:rPr>
        <w:t xml:space="preserve"> وهُمْ ذَرٌّ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641102">
        <w:rPr>
          <w:rtl/>
        </w:rPr>
        <w:t>1092</w:t>
      </w:r>
      <w:r w:rsidRPr="004325D8">
        <w:rPr>
          <w:rStyle w:val="libBold2Char"/>
          <w:rtl/>
        </w:rPr>
        <w:t xml:space="preserve"> / 5.</w:t>
      </w:r>
      <w:r w:rsidRPr="00132E65">
        <w:rPr>
          <w:rtl/>
          <w:lang w:bidi="fa-IR"/>
        </w:rPr>
        <w:t xml:space="preserve"> أَحْمَدُ بْنُ إِدْرِيسَ ، عَنْ مُحَمَّدِ بْنِ أَحْمَدَ ، عَنْ يَعْقُوبَ بْنِ يَزِيدَ ، عَنِ ابْنِ مَحْبُوبٍ ، عَنْ مُحَمَّدِ بْنِ الْفُضَيْلِ :</w:t>
      </w:r>
    </w:p>
    <w:p w:rsidR="000C39D1" w:rsidRPr="00132E65" w:rsidRDefault="000C39D1" w:rsidP="000C39D1">
      <w:pPr>
        <w:pStyle w:val="libNormal"/>
        <w:rPr>
          <w:rtl/>
          <w:lang w:bidi="fa-IR"/>
        </w:rPr>
      </w:pPr>
      <w:r w:rsidRPr="00132E65">
        <w:rPr>
          <w:rtl/>
          <w:lang w:bidi="fa-IR"/>
        </w:rPr>
        <w:t xml:space="preserve">عَنْ أَبِي الْحَسَنِ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يُوفُونَ بِالنَّذْرِ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قال : « يُوفُونَ بِالنَّذْرِ </w:t>
      </w:r>
      <w:r>
        <w:rPr>
          <w:rStyle w:val="libFootnotenumChar"/>
          <w:rtl/>
        </w:rPr>
        <w:t>(10)</w:t>
      </w:r>
      <w:r w:rsidRPr="00132E65">
        <w:rPr>
          <w:rtl/>
          <w:lang w:bidi="fa-IR"/>
        </w:rPr>
        <w:t xml:space="preserve"> الَّذِي أَخَذَ عَلَيْهِمْ </w:t>
      </w:r>
      <w:r>
        <w:rPr>
          <w:rStyle w:val="libFootnotenumChar"/>
          <w:rtl/>
        </w:rPr>
        <w:t>(11)</w:t>
      </w:r>
      <w:r w:rsidRPr="00132E65">
        <w:rPr>
          <w:rtl/>
          <w:lang w:bidi="fa-IR"/>
        </w:rPr>
        <w:t xml:space="preserve"> مِنْ ولَايَتِنَا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FC7EB7" w:rsidP="000C39D1">
      <w:pPr>
        <w:pStyle w:val="libFootnote0"/>
        <w:rPr>
          <w:rtl/>
          <w:lang w:bidi="fa-IR"/>
        </w:rPr>
      </w:pPr>
      <w:r>
        <w:rPr>
          <w:rFonts w:hint="cs"/>
          <w:rtl/>
        </w:rPr>
        <w:t xml:space="preserve">= </w:t>
      </w:r>
      <w:r w:rsidR="000C39D1" w:rsidRPr="0046781C">
        <w:rPr>
          <w:rtl/>
        </w:rPr>
        <w:t xml:space="preserve">ابن محبوب في بعض الأسناد. راجع : </w:t>
      </w:r>
      <w:r w:rsidR="000C39D1" w:rsidRPr="00641102">
        <w:rPr>
          <w:rtl/>
        </w:rPr>
        <w:t>رجال النجاشي</w:t>
      </w:r>
      <w:r w:rsidR="000C39D1" w:rsidRPr="0046781C">
        <w:rPr>
          <w:rtl/>
        </w:rPr>
        <w:t xml:space="preserve"> ، ص 53 ، الرقم 120 ؛ </w:t>
      </w:r>
      <w:r w:rsidR="000C39D1" w:rsidRPr="00641102">
        <w:rPr>
          <w:rtl/>
        </w:rPr>
        <w:t>الفهرست</w:t>
      </w:r>
      <w:r w:rsidR="000C39D1" w:rsidRPr="0046781C">
        <w:rPr>
          <w:rtl/>
        </w:rPr>
        <w:t xml:space="preserve"> للطوسي ، ص 145 ، الرقم 216 ؛ </w:t>
      </w:r>
      <w:r w:rsidR="000C39D1" w:rsidRPr="00641102">
        <w:rPr>
          <w:rtl/>
        </w:rPr>
        <w:t>رجال الطوسي</w:t>
      </w:r>
      <w:r w:rsidR="000C39D1" w:rsidRPr="0046781C">
        <w:rPr>
          <w:rtl/>
        </w:rPr>
        <w:t xml:space="preserve"> ، ص 183 ، الرقم 2208 ؛ </w:t>
      </w:r>
      <w:r w:rsidR="000C39D1" w:rsidRPr="00641102">
        <w:rPr>
          <w:rtl/>
        </w:rPr>
        <w:t>معجم رجال الحديث</w:t>
      </w:r>
      <w:r w:rsidR="000C39D1" w:rsidRPr="0046781C">
        <w:rPr>
          <w:rtl/>
        </w:rPr>
        <w:t xml:space="preserve"> ، ج 6 ، ص 108</w:t>
      </w:r>
      <w:r w:rsidR="000C39D1">
        <w:rPr>
          <w:rtl/>
        </w:rPr>
        <w:t xml:space="preserve"> - </w:t>
      </w:r>
      <w:r w:rsidR="000C39D1" w:rsidRPr="0046781C">
        <w:rPr>
          <w:rtl/>
        </w:rPr>
        <w:t xml:space="preserve">110. يؤيّد ذلك ورود الخبر في </w:t>
      </w:r>
      <w:r w:rsidR="000C39D1" w:rsidRPr="007A1104">
        <w:rPr>
          <w:rStyle w:val="libFootnoteBoldChar"/>
          <w:rtl/>
        </w:rPr>
        <w:t>بصائر الدرجات</w:t>
      </w:r>
      <w:r w:rsidR="000C39D1" w:rsidRPr="0046781C">
        <w:rPr>
          <w:rtl/>
        </w:rPr>
        <w:t xml:space="preserve"> ، ص 81 ، ح 2 ، عن أحمد بن محمّد ، عن الحسن بن محبوب ، عن الحسين بن نعيم الصحّاف.</w:t>
      </w:r>
    </w:p>
    <w:p w:rsidR="000C39D1" w:rsidRPr="00132E65" w:rsidRDefault="000C39D1" w:rsidP="000C39D1">
      <w:pPr>
        <w:pStyle w:val="libFootnote0"/>
        <w:rPr>
          <w:rtl/>
          <w:lang w:bidi="fa-IR"/>
        </w:rPr>
      </w:pPr>
      <w:r>
        <w:rPr>
          <w:rtl/>
        </w:rPr>
        <w:t>(1).</w:t>
      </w:r>
      <w:r w:rsidRPr="00132E65">
        <w:rPr>
          <w:rtl/>
        </w:rPr>
        <w:t xml:space="preserve"> هكذا في القرآن في سورة التغابن (64) : 2 </w:t>
      </w:r>
      <w:r>
        <w:rPr>
          <w:rtl/>
        </w:rPr>
        <w:t>و «</w:t>
      </w:r>
      <w:r w:rsidRPr="00132E65">
        <w:rPr>
          <w:rtl/>
        </w:rPr>
        <w:t xml:space="preserve"> ض ، بر » و</w:t>
      </w:r>
      <w:r w:rsidRPr="000577A7">
        <w:rPr>
          <w:rStyle w:val="libFootnoteBoldChar"/>
          <w:rtl/>
        </w:rPr>
        <w:t>الكافي</w:t>
      </w:r>
      <w:r w:rsidRPr="00132E65">
        <w:rPr>
          <w:rtl/>
        </w:rPr>
        <w:t xml:space="preserve"> ، ح 1161 والبصائر. وفي سائر النسخ‌والمطبوع : « فمنكم مؤمن ومنكم كافر » ، والظاهر أنّه من النسّاخ.</w:t>
      </w:r>
    </w:p>
    <w:tbl>
      <w:tblPr>
        <w:tblStyle w:val="TableGrid"/>
        <w:bidiVisual/>
        <w:tblW w:w="0" w:type="auto"/>
        <w:tblLook w:val="04A0" w:firstRow="1" w:lastRow="0" w:firstColumn="1" w:lastColumn="0" w:noHBand="0" w:noVBand="1"/>
      </w:tblPr>
      <w:tblGrid>
        <w:gridCol w:w="4006"/>
        <w:gridCol w:w="4006"/>
      </w:tblGrid>
      <w:tr w:rsidR="00FC7EB7" w:rsidTr="00FC7EB7">
        <w:tc>
          <w:tcPr>
            <w:tcW w:w="4006" w:type="dxa"/>
          </w:tcPr>
          <w:p w:rsidR="00FC7EB7" w:rsidRDefault="00FC7EB7" w:rsidP="000C39D1">
            <w:pPr>
              <w:pStyle w:val="libFootnote0"/>
              <w:rPr>
                <w:rtl/>
              </w:rPr>
            </w:pPr>
            <w:r>
              <w:rPr>
                <w:rtl/>
              </w:rPr>
              <w:t>(2).</w:t>
            </w:r>
            <w:r w:rsidRPr="00132E65">
              <w:rPr>
                <w:rtl/>
              </w:rPr>
              <w:t xml:space="preserve"> في « ب ، ض ، ف » : « عرّف »</w:t>
            </w:r>
            <w:r>
              <w:rPr>
                <w:rtl/>
              </w:rPr>
              <w:t>.</w:t>
            </w:r>
          </w:p>
        </w:tc>
        <w:tc>
          <w:tcPr>
            <w:tcW w:w="4006" w:type="dxa"/>
          </w:tcPr>
          <w:p w:rsidR="00FC7EB7" w:rsidRDefault="00FC7EB7" w:rsidP="000C39D1">
            <w:pPr>
              <w:pStyle w:val="libFootnote0"/>
              <w:rPr>
                <w:rtl/>
              </w:rPr>
            </w:pPr>
            <w:r>
              <w:rPr>
                <w:rtl/>
              </w:rPr>
              <w:t>(3).</w:t>
            </w:r>
            <w:r w:rsidRPr="00132E65">
              <w:rPr>
                <w:rtl/>
              </w:rPr>
              <w:t xml:space="preserve"> في البصائر :</w:t>
            </w:r>
            <w:r>
              <w:rPr>
                <w:rtl/>
              </w:rPr>
              <w:t xml:space="preserve"> + </w:t>
            </w:r>
            <w:r w:rsidRPr="00132E65">
              <w:rPr>
                <w:rtl/>
              </w:rPr>
              <w:t>« والله »</w:t>
            </w:r>
            <w:r>
              <w:rPr>
                <w:rtl/>
              </w:rPr>
              <w:t>.</w:t>
            </w:r>
          </w:p>
        </w:tc>
      </w:tr>
      <w:tr w:rsidR="00FC7EB7" w:rsidTr="00FC7EB7">
        <w:tc>
          <w:tcPr>
            <w:tcW w:w="4006" w:type="dxa"/>
          </w:tcPr>
          <w:p w:rsidR="00FC7EB7" w:rsidRDefault="00FC7EB7" w:rsidP="000C39D1">
            <w:pPr>
              <w:pStyle w:val="libFootnote0"/>
              <w:rPr>
                <w:rtl/>
              </w:rPr>
            </w:pPr>
            <w:r>
              <w:rPr>
                <w:rtl/>
              </w:rPr>
              <w:t>(4).</w:t>
            </w:r>
            <w:r w:rsidRPr="00132E65">
              <w:rPr>
                <w:rtl/>
              </w:rPr>
              <w:t xml:space="preserve"> في </w:t>
            </w:r>
            <w:r w:rsidRPr="000577A7">
              <w:rPr>
                <w:rStyle w:val="libFootnoteBoldChar"/>
                <w:rtl/>
              </w:rPr>
              <w:t>الكافي</w:t>
            </w:r>
            <w:r w:rsidRPr="00132E65">
              <w:rPr>
                <w:rtl/>
              </w:rPr>
              <w:t xml:space="preserve"> ، ح 1161 : « بمو الاتنا »</w:t>
            </w:r>
            <w:r>
              <w:rPr>
                <w:rtl/>
              </w:rPr>
              <w:t>.</w:t>
            </w:r>
          </w:p>
        </w:tc>
        <w:tc>
          <w:tcPr>
            <w:tcW w:w="4006" w:type="dxa"/>
          </w:tcPr>
          <w:p w:rsidR="00FC7EB7" w:rsidRDefault="00FC7EB7" w:rsidP="000C39D1">
            <w:pPr>
              <w:pStyle w:val="libFootnote0"/>
              <w:rPr>
                <w:rtl/>
              </w:rPr>
            </w:pPr>
            <w:r>
              <w:rPr>
                <w:rtl/>
              </w:rPr>
              <w:t>(5).</w:t>
            </w:r>
            <w:r w:rsidRPr="00132E65">
              <w:rPr>
                <w:rtl/>
              </w:rPr>
              <w:t xml:space="preserve"> في تفسير القمّي والبحار ، ج 60 : « بتركها »</w:t>
            </w:r>
            <w:r>
              <w:rPr>
                <w:rtl/>
              </w:rPr>
              <w:t>.</w:t>
            </w:r>
          </w:p>
        </w:tc>
      </w:tr>
      <w:tr w:rsidR="00FC7EB7" w:rsidTr="00FC7EB7">
        <w:tc>
          <w:tcPr>
            <w:tcW w:w="4006" w:type="dxa"/>
          </w:tcPr>
          <w:p w:rsidR="00FC7EB7" w:rsidRDefault="00FC7EB7" w:rsidP="000C39D1">
            <w:pPr>
              <w:pStyle w:val="libFootnote0"/>
              <w:rPr>
                <w:rtl/>
              </w:rPr>
            </w:pPr>
            <w:r>
              <w:rPr>
                <w:rtl/>
              </w:rPr>
              <w:t>(6).</w:t>
            </w:r>
            <w:r w:rsidRPr="00132E65">
              <w:rPr>
                <w:rtl/>
              </w:rPr>
              <w:t xml:space="preserve"> في البصائر :</w:t>
            </w:r>
            <w:r>
              <w:rPr>
                <w:rtl/>
              </w:rPr>
              <w:t xml:space="preserve"> + </w:t>
            </w:r>
            <w:r w:rsidRPr="00132E65">
              <w:rPr>
                <w:rtl/>
              </w:rPr>
              <w:t>« الله »</w:t>
            </w:r>
            <w:r>
              <w:rPr>
                <w:rtl/>
              </w:rPr>
              <w:t>.</w:t>
            </w:r>
          </w:p>
        </w:tc>
        <w:tc>
          <w:tcPr>
            <w:tcW w:w="4006" w:type="dxa"/>
          </w:tcPr>
          <w:p w:rsidR="00FC7EB7" w:rsidRDefault="00FC7EB7" w:rsidP="000C39D1">
            <w:pPr>
              <w:pStyle w:val="libFootnote0"/>
              <w:rPr>
                <w:rtl/>
              </w:rPr>
            </w:pPr>
            <w:r>
              <w:rPr>
                <w:rtl/>
              </w:rPr>
              <w:t>(7).</w:t>
            </w:r>
            <w:r w:rsidRPr="00132E65">
              <w:rPr>
                <w:rtl/>
              </w:rPr>
              <w:t xml:space="preserve"> في </w:t>
            </w:r>
            <w:r w:rsidRPr="000577A7">
              <w:rPr>
                <w:rStyle w:val="libFootnoteBoldChar"/>
                <w:rtl/>
              </w:rPr>
              <w:t>الكافي</w:t>
            </w:r>
            <w:r>
              <w:rPr>
                <w:rtl/>
              </w:rPr>
              <w:t>،</w:t>
            </w:r>
            <w:r w:rsidRPr="00132E65">
              <w:rPr>
                <w:rtl/>
              </w:rPr>
              <w:t xml:space="preserve">ح </w:t>
            </w:r>
            <w:r>
              <w:rPr>
                <w:rtl/>
              </w:rPr>
              <w:t>1161 :«وهم ذرّ في صلب آدم</w:t>
            </w:r>
            <w:r w:rsidRPr="00132E65">
              <w:rPr>
                <w:rtl/>
              </w:rPr>
              <w:t>»</w:t>
            </w:r>
            <w:r>
              <w:rPr>
                <w:rtl/>
              </w:rPr>
              <w:t>.</w:t>
            </w:r>
          </w:p>
        </w:tc>
      </w:tr>
    </w:tbl>
    <w:p w:rsidR="000C39D1" w:rsidRPr="00132E65" w:rsidRDefault="000C39D1" w:rsidP="00B83B44">
      <w:pPr>
        <w:pStyle w:val="libFootnote0"/>
        <w:rPr>
          <w:rtl/>
          <w:lang w:bidi="fa-IR"/>
        </w:rPr>
      </w:pPr>
      <w:r>
        <w:rPr>
          <w:rtl/>
        </w:rPr>
        <w:t>(8).</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1161 ، مع زيادة في آخره. وفي </w:t>
      </w:r>
      <w:r w:rsidRPr="007A1104">
        <w:rPr>
          <w:rStyle w:val="libFootnoteBoldChar"/>
          <w:rtl/>
        </w:rPr>
        <w:t>بصائر الدرجات</w:t>
      </w:r>
      <w:r w:rsidRPr="00132E65">
        <w:rPr>
          <w:rtl/>
        </w:rPr>
        <w:t xml:space="preserve"> ، ص 81 ، ح 2 ، عن أحمد بن محمّد. </w:t>
      </w:r>
      <w:r w:rsidRPr="00641102">
        <w:rPr>
          <w:rtl/>
        </w:rPr>
        <w:t>تفسير القمّي</w:t>
      </w:r>
      <w:r w:rsidRPr="00132E65">
        <w:rPr>
          <w:rtl/>
        </w:rPr>
        <w:t xml:space="preserve"> ، ج 2 ، ص 371 ، عن عليّ بن الحسين ، عن أحمد بن أبي عبد الله ، عن ابن محبوب</w:t>
      </w:r>
      <w:r w:rsidR="00B83B44">
        <w:rPr>
          <w:rFonts w:hint="cs"/>
          <w:rtl/>
        </w:rPr>
        <w:t>.</w:t>
      </w:r>
      <w:r w:rsidRPr="009D1ACE">
        <w:rPr>
          <w:rStyle w:val="libFootnoteBoldChar"/>
          <w:rtl/>
        </w:rPr>
        <w:t>الوافي</w:t>
      </w:r>
      <w:r w:rsidRPr="00132E65">
        <w:rPr>
          <w:rtl/>
        </w:rPr>
        <w:t xml:space="preserve"> ، ج 3 ، ص 884 ، ح 1515 ؛ </w:t>
      </w:r>
      <w:r w:rsidRPr="00641102">
        <w:rPr>
          <w:rtl/>
        </w:rPr>
        <w:t>البحار</w:t>
      </w:r>
      <w:r w:rsidRPr="00132E65">
        <w:rPr>
          <w:rtl/>
        </w:rPr>
        <w:t xml:space="preserve"> ، ج 23 ، ص 371 ، ح 50 ؛ وج 60 ، ص 284.</w:t>
      </w:r>
      <w:r w:rsidR="00B83B44">
        <w:rPr>
          <w:rFonts w:hint="cs"/>
          <w:rtl/>
        </w:rPr>
        <w:t xml:space="preserve">                      </w:t>
      </w:r>
      <w:r w:rsidR="00936037">
        <w:rPr>
          <w:rFonts w:hint="cs"/>
          <w:rtl/>
        </w:rPr>
        <w:t xml:space="preserve">                          </w:t>
      </w:r>
      <w:r w:rsidR="00B83B44">
        <w:rPr>
          <w:rFonts w:hint="cs"/>
          <w:rtl/>
        </w:rPr>
        <w:t xml:space="preserve">     </w:t>
      </w:r>
      <w:r>
        <w:rPr>
          <w:rtl/>
        </w:rPr>
        <w:t>(9).</w:t>
      </w:r>
      <w:r w:rsidRPr="00132E65">
        <w:rPr>
          <w:rtl/>
        </w:rPr>
        <w:t xml:space="preserve"> الإنسان (76) : 7.</w:t>
      </w:r>
    </w:p>
    <w:p w:rsidR="000C39D1" w:rsidRPr="00132E65" w:rsidRDefault="000C39D1" w:rsidP="000C39D1">
      <w:pPr>
        <w:pStyle w:val="libFootnote0"/>
        <w:rPr>
          <w:rtl/>
          <w:lang w:bidi="fa-IR"/>
        </w:rPr>
      </w:pPr>
      <w:r>
        <w:rPr>
          <w:rtl/>
        </w:rPr>
        <w:t>(10).</w:t>
      </w:r>
      <w:r w:rsidRPr="00132E65">
        <w:rPr>
          <w:rtl/>
        </w:rPr>
        <w:t xml:space="preserve"> هكذا في « ب ، بح ، بر »</w:t>
      </w:r>
      <w:r>
        <w:rPr>
          <w:rtl/>
        </w:rPr>
        <w:t>.</w:t>
      </w:r>
      <w:r w:rsidRPr="00132E65">
        <w:rPr>
          <w:rtl/>
        </w:rPr>
        <w:t xml:space="preserve"> وفي « ض » </w:t>
      </w:r>
      <w:r>
        <w:rPr>
          <w:rtl/>
        </w:rPr>
        <w:t xml:space="preserve">: - </w:t>
      </w:r>
      <w:r w:rsidRPr="00132E65">
        <w:rPr>
          <w:rtl/>
        </w:rPr>
        <w:t>« يوفون بالنذر »</w:t>
      </w:r>
      <w:r>
        <w:rPr>
          <w:rtl/>
        </w:rPr>
        <w:t>.</w:t>
      </w:r>
      <w:r w:rsidRPr="00132E65">
        <w:rPr>
          <w:rtl/>
        </w:rPr>
        <w:t xml:space="preserve"> وفي المطبوع وأكثر النسخ </w:t>
      </w:r>
      <w:r>
        <w:rPr>
          <w:rtl/>
        </w:rPr>
        <w:t xml:space="preserve">: - </w:t>
      </w:r>
      <w:r w:rsidRPr="00132E65">
        <w:rPr>
          <w:rtl/>
        </w:rPr>
        <w:t>« قال : يوفون بالنذر »</w:t>
      </w:r>
      <w:r>
        <w:rPr>
          <w:rtl/>
        </w:rPr>
        <w:t>.</w:t>
      </w:r>
    </w:p>
    <w:p w:rsidR="000C39D1" w:rsidRPr="00132E65" w:rsidRDefault="000C39D1" w:rsidP="000C39D1">
      <w:pPr>
        <w:pStyle w:val="libFootnote0"/>
        <w:rPr>
          <w:rtl/>
          <w:lang w:bidi="fa-IR"/>
        </w:rPr>
      </w:pPr>
      <w:r>
        <w:rPr>
          <w:rtl/>
        </w:rPr>
        <w:t>(11).</w:t>
      </w:r>
      <w:r w:rsidRPr="00132E65">
        <w:rPr>
          <w:rtl/>
        </w:rPr>
        <w:t xml:space="preserve"> في البصائر :</w:t>
      </w:r>
      <w:r>
        <w:rPr>
          <w:rtl/>
        </w:rPr>
        <w:t xml:space="preserve"> + </w:t>
      </w:r>
      <w:r w:rsidRPr="00132E65">
        <w:rPr>
          <w:rtl/>
        </w:rPr>
        <w:t>« الميثاق »</w:t>
      </w:r>
      <w:r>
        <w:rPr>
          <w:rtl/>
        </w:rPr>
        <w:t>.</w:t>
      </w:r>
    </w:p>
    <w:p w:rsidR="000C39D1" w:rsidRPr="00132E65" w:rsidRDefault="000C39D1" w:rsidP="00B83B44">
      <w:pPr>
        <w:pStyle w:val="libFootnote0"/>
        <w:rPr>
          <w:rtl/>
          <w:lang w:bidi="fa-IR"/>
        </w:rPr>
      </w:pPr>
      <w:r>
        <w:rPr>
          <w:rtl/>
        </w:rPr>
        <w:t>(12).</w:t>
      </w:r>
      <w:r w:rsidRPr="00132E65">
        <w:rPr>
          <w:rtl/>
        </w:rPr>
        <w:t xml:space="preserve"> </w:t>
      </w:r>
      <w:r w:rsidRPr="007A1104">
        <w:rPr>
          <w:rStyle w:val="libFootnoteBoldChar"/>
          <w:rtl/>
        </w:rPr>
        <w:t>بصائر الدرجات</w:t>
      </w:r>
      <w:r w:rsidRPr="00132E65">
        <w:rPr>
          <w:rtl/>
        </w:rPr>
        <w:t xml:space="preserve"> ، ص 90 ، ح 2 ، عن محمّد بن أحمد. </w:t>
      </w:r>
      <w:r w:rsidRPr="000577A7">
        <w:rPr>
          <w:rStyle w:val="libFootnoteBoldChar"/>
          <w:rtl/>
        </w:rPr>
        <w:t>الكافي</w:t>
      </w:r>
      <w:r w:rsidRPr="00132E65">
        <w:rPr>
          <w:rtl/>
        </w:rPr>
        <w:t xml:space="preserve"> ، كتاب الحجّة ، باب فيه نكت ونتف من التنزيل في الولاية ، ضمن الحديث الطويل 1178 ، بسند آخر عن الحسن بن محبوب</w:t>
      </w:r>
      <w:r w:rsidR="00B83B44">
        <w:rPr>
          <w:rFonts w:hint="cs"/>
          <w:rtl/>
        </w:rPr>
        <w:t>.</w:t>
      </w:r>
      <w:r w:rsidRPr="009D1ACE">
        <w:rPr>
          <w:rStyle w:val="libFootnoteBoldChar"/>
          <w:rtl/>
        </w:rPr>
        <w:t>الوافي</w:t>
      </w:r>
      <w:r w:rsidRPr="00132E65">
        <w:rPr>
          <w:rtl/>
        </w:rPr>
        <w:t xml:space="preserve"> ، ج 3 ، ص 884 ، ح 1516 ؛ </w:t>
      </w:r>
      <w:r w:rsidRPr="00641102">
        <w:rPr>
          <w:rtl/>
        </w:rPr>
        <w:t>البحار</w:t>
      </w:r>
      <w:r w:rsidRPr="00132E65">
        <w:rPr>
          <w:rtl/>
        </w:rPr>
        <w:t xml:space="preserve"> ، ج 24 ، ص 331 ، ح 57.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41102">
        <w:rPr>
          <w:rtl/>
        </w:rPr>
        <w:t>1093</w:t>
      </w:r>
      <w:r w:rsidRPr="004325D8">
        <w:rPr>
          <w:rStyle w:val="libBold2Char"/>
          <w:rtl/>
        </w:rPr>
        <w:t xml:space="preserve"> / 6.</w:t>
      </w:r>
      <w:r w:rsidRPr="00132E65">
        <w:rPr>
          <w:rtl/>
          <w:lang w:bidi="fa-IR"/>
        </w:rPr>
        <w:t xml:space="preserve"> مُحَمَّدُ بْنُ إِسْمَاعِيلَ ، عَنِ الْفَضْلِ بْنِ شَاذَانَ ، عَنْ حَمَّادِ بْنِ عِيسى ، عَنْ رِبْعِيِّ بْنِ عَبْدِ اللهِ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وَلَوْ أَنَّهُمْ أَقامُوا التَّوْراةَ وَالْإِنْجِيلَ وَما أُنْزِلَ إِلَيْهِمْ مِنْ رَبِّهِمْ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 الْوَلَايَةُ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641102">
        <w:rPr>
          <w:rtl/>
        </w:rPr>
        <w:t>1094</w:t>
      </w:r>
      <w:r w:rsidRPr="004325D8">
        <w:rPr>
          <w:rStyle w:val="libBold2Char"/>
          <w:rtl/>
        </w:rPr>
        <w:t xml:space="preserve"> / 7.</w:t>
      </w:r>
      <w:r w:rsidRPr="00132E65">
        <w:rPr>
          <w:rtl/>
          <w:lang w:bidi="fa-IR"/>
        </w:rPr>
        <w:t xml:space="preserve"> الْحُسَيْنُ بْنُ مُحَمَّدٍ الْأَشْعَرِيُّ ، عَنْ مُعَلَّى بْنِ مُحَمَّدٍ ، عَنِ الْوَشَّاءِ ، عَنْ مُثَنًّى </w:t>
      </w:r>
      <w:r>
        <w:rPr>
          <w:rStyle w:val="libFootnotenumChar"/>
          <w:rtl/>
        </w:rPr>
        <w:t>(4)</w:t>
      </w:r>
      <w:r w:rsidRPr="00132E65">
        <w:rPr>
          <w:rtl/>
          <w:lang w:bidi="fa-IR"/>
        </w:rPr>
        <w:t xml:space="preserve"> ، عَنْ زُرَارَةَ </w:t>
      </w:r>
      <w:r>
        <w:rPr>
          <w:rStyle w:val="libFootnotenumChar"/>
          <w:rtl/>
        </w:rPr>
        <w:t>(5)</w:t>
      </w:r>
      <w:r w:rsidRPr="00132E65">
        <w:rPr>
          <w:rtl/>
          <w:lang w:bidi="fa-IR"/>
        </w:rPr>
        <w:t xml:space="preserve"> ، عَنْ عَبْدِ اللهِ بْنِ عَجْلَانَ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w:t>
      </w:r>
      <w:r>
        <w:rPr>
          <w:rStyle w:val="libFootnotenumChar"/>
          <w:rtl/>
        </w:rPr>
        <w:t>(6)</w:t>
      </w:r>
      <w:r w:rsidRPr="00132E65">
        <w:rPr>
          <w:rtl/>
          <w:lang w:bidi="fa-IR"/>
        </w:rPr>
        <w:t xml:space="preserve"> تَعَالى : </w:t>
      </w:r>
      <w:r w:rsidRPr="00071CF9">
        <w:rPr>
          <w:rStyle w:val="libAlaemChar"/>
          <w:rtl/>
        </w:rPr>
        <w:t>(</w:t>
      </w:r>
      <w:r w:rsidRPr="00071CF9">
        <w:rPr>
          <w:rStyle w:val="libAieChar"/>
          <w:rtl/>
        </w:rPr>
        <w:t xml:space="preserve"> قُلْ لا أَسْ</w:t>
      </w:r>
      <w:r w:rsidR="00B83B44">
        <w:rPr>
          <w:rStyle w:val="libAieChar"/>
          <w:rtl/>
        </w:rPr>
        <w:t>ئَلُكُمْ عَلَيْهِ أَجْراً إِل</w:t>
      </w:r>
      <w:r w:rsidR="00B83B44">
        <w:rPr>
          <w:rStyle w:val="libAieChar"/>
          <w:rFonts w:hint="cs"/>
          <w:rtl/>
        </w:rPr>
        <w:t>َّ</w:t>
      </w:r>
      <w:r w:rsidR="00B83B44">
        <w:rPr>
          <w:rStyle w:val="libAieChar"/>
          <w:rtl/>
        </w:rPr>
        <w:t>ا</w:t>
      </w:r>
      <w:r w:rsidRPr="00071CF9">
        <w:rPr>
          <w:rStyle w:val="libAieChar"/>
          <w:rtl/>
        </w:rPr>
        <w:t xml:space="preserve"> الْمَوَدَّةَ فِي الْقُرْبى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ربعيّ بن عبد الله ، هو ربعيّ بن عبد الله بن الجارود ، روى عن أبي عبد الله وأبي الحسن </w:t>
      </w:r>
      <w:r w:rsidRPr="00B83B44">
        <w:rPr>
          <w:rStyle w:val="libFootnoteAlaemChar"/>
          <w:rtl/>
        </w:rPr>
        <w:t>عليهما‌السلام</w:t>
      </w:r>
      <w:r w:rsidRPr="00132E65">
        <w:rPr>
          <w:rtl/>
        </w:rPr>
        <w:t xml:space="preserve">. ولم يثبت روايته عن أبي جعفر </w:t>
      </w:r>
      <w:r w:rsidRPr="00B83B44">
        <w:rPr>
          <w:rStyle w:val="libFootnoteAlaemChar"/>
          <w:rtl/>
        </w:rPr>
        <w:t>عليه‌السلام</w:t>
      </w:r>
      <w:r w:rsidRPr="00132E65">
        <w:rPr>
          <w:rtl/>
        </w:rPr>
        <w:t xml:space="preserve"> مباشرةً ، بل توسّط بينهما ، الفضيل بن يسار ، وزرارة ، ومحمّد بن مسلم في كثيرٍ من الأسناد. راجع : </w:t>
      </w:r>
      <w:r w:rsidRPr="00641102">
        <w:rPr>
          <w:rtl/>
        </w:rPr>
        <w:t>رجال النجاشي</w:t>
      </w:r>
      <w:r w:rsidRPr="00132E65">
        <w:rPr>
          <w:rtl/>
        </w:rPr>
        <w:t xml:space="preserve"> ، ص 167 ، الرقم 441 ؛ </w:t>
      </w:r>
      <w:r w:rsidRPr="00641102">
        <w:rPr>
          <w:rtl/>
        </w:rPr>
        <w:t>رجال البرقي</w:t>
      </w:r>
      <w:r w:rsidRPr="00132E65">
        <w:rPr>
          <w:rtl/>
        </w:rPr>
        <w:t xml:space="preserve"> ، ص 40 ؛ </w:t>
      </w:r>
      <w:r w:rsidRPr="00641102">
        <w:rPr>
          <w:rtl/>
        </w:rPr>
        <w:t>رجال الطوسي</w:t>
      </w:r>
      <w:r w:rsidRPr="00132E65">
        <w:rPr>
          <w:rtl/>
        </w:rPr>
        <w:t xml:space="preserve"> ، ص 205 ، الرقم 2634.</w:t>
      </w:r>
    </w:p>
    <w:p w:rsidR="000C39D1" w:rsidRPr="00132E65" w:rsidRDefault="000C39D1" w:rsidP="000C39D1">
      <w:pPr>
        <w:pStyle w:val="libFootnote0"/>
        <w:rPr>
          <w:rtl/>
          <w:lang w:bidi="fa-IR"/>
        </w:rPr>
      </w:pPr>
      <w:r w:rsidRPr="0046781C">
        <w:rPr>
          <w:rtl/>
        </w:rPr>
        <w:t xml:space="preserve">هذا ، والخبر رواه العيّاشي في تفسيره ، ج 1 ، ص 330 ، ح 149 ، عن محمّد بن مسلم ، عن أبي جعفر </w:t>
      </w:r>
      <w:r w:rsidRPr="00B83B44">
        <w:rPr>
          <w:rStyle w:val="libFootnoteAlaemChar"/>
          <w:rtl/>
        </w:rPr>
        <w:t>عليه‌السلام</w:t>
      </w:r>
      <w:r w:rsidRPr="0046781C">
        <w:rPr>
          <w:rtl/>
        </w:rPr>
        <w:t xml:space="preserve">. ورواه الصفّار أيضاً في </w:t>
      </w:r>
      <w:r w:rsidRPr="007A1104">
        <w:rPr>
          <w:rStyle w:val="libFootnoteBoldChar"/>
          <w:rtl/>
        </w:rPr>
        <w:t>بصائر الدرجات</w:t>
      </w:r>
      <w:r w:rsidRPr="0046781C">
        <w:rPr>
          <w:rtl/>
        </w:rPr>
        <w:t xml:space="preserve"> ، ص 76 ، ح 2 ، بسنده عن حمّاد بن عيسى ، عن ربعيّ ، عن محمّد بن مسلم ، عن أبي جعفر </w:t>
      </w:r>
      <w:r w:rsidRPr="00B83B44">
        <w:rPr>
          <w:rStyle w:val="libFootnoteAlaemChar"/>
          <w:rtl/>
        </w:rPr>
        <w:t>عليه‌السلام</w:t>
      </w:r>
      <w:r w:rsidRPr="0046781C">
        <w:rPr>
          <w:rtl/>
        </w:rPr>
        <w:t>.</w:t>
      </w:r>
    </w:p>
    <w:p w:rsidR="000C39D1" w:rsidRPr="00132E65" w:rsidRDefault="000C39D1" w:rsidP="00B83B44">
      <w:pPr>
        <w:pStyle w:val="libFootnote0"/>
        <w:rPr>
          <w:rtl/>
          <w:lang w:bidi="fa-IR"/>
        </w:rPr>
      </w:pPr>
      <w:r w:rsidRPr="0046781C">
        <w:rPr>
          <w:rtl/>
        </w:rPr>
        <w:t xml:space="preserve">فعليه ، الظاهر سقوط الواسطة بين ربعي وبين أبي جعفر </w:t>
      </w:r>
      <w:r w:rsidR="00B83B44" w:rsidRPr="00B83B44">
        <w:rPr>
          <w:rStyle w:val="libFootnoteAlaemChar"/>
          <w:rtl/>
        </w:rPr>
        <w:t>عليه‌السلام</w:t>
      </w:r>
      <w:r w:rsidR="00B83B44" w:rsidRPr="00132E65">
        <w:rPr>
          <w:rtl/>
        </w:rPr>
        <w:t xml:space="preserve"> </w:t>
      </w:r>
      <w:r w:rsidRPr="0046781C">
        <w:rPr>
          <w:rtl/>
        </w:rPr>
        <w:t>من سندنا هذا ، وهو محمّد بن مسلم.</w:t>
      </w:r>
    </w:p>
    <w:p w:rsidR="000C39D1" w:rsidRPr="00132E65" w:rsidRDefault="000C39D1" w:rsidP="000C39D1">
      <w:pPr>
        <w:pStyle w:val="libFootnote0"/>
        <w:rPr>
          <w:rtl/>
          <w:lang w:bidi="fa-IR"/>
        </w:rPr>
      </w:pPr>
      <w:r>
        <w:rPr>
          <w:rtl/>
        </w:rPr>
        <w:t>(2).</w:t>
      </w:r>
      <w:r w:rsidRPr="00132E65">
        <w:rPr>
          <w:rtl/>
        </w:rPr>
        <w:t xml:space="preserve"> المائدة </w:t>
      </w:r>
      <w:r w:rsidR="00B83B44">
        <w:rPr>
          <w:rtl/>
        </w:rPr>
        <w:t>(5)</w:t>
      </w:r>
      <w:r w:rsidRPr="00132E65">
        <w:rPr>
          <w:rtl/>
        </w:rPr>
        <w:t xml:space="preserve"> : 66.</w:t>
      </w:r>
    </w:p>
    <w:p w:rsidR="000C39D1" w:rsidRPr="00132E65" w:rsidRDefault="000C39D1" w:rsidP="00B83B44">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76 ، ح 2 ، عن عبّاس بن معروف ، عن حمّاد بن عيسى ، عن ربعيّ ، عن محمّد بن مسلم ، عن أبي جعفر </w:t>
      </w:r>
      <w:r w:rsidRPr="00B83B44">
        <w:rPr>
          <w:rStyle w:val="libFootnoteAlaemChar"/>
          <w:rtl/>
        </w:rPr>
        <w:t>عليه‌السلام</w:t>
      </w:r>
      <w:r w:rsidRPr="00132E65">
        <w:rPr>
          <w:rtl/>
        </w:rPr>
        <w:t xml:space="preserve">. </w:t>
      </w:r>
      <w:r w:rsidRPr="00641102">
        <w:rPr>
          <w:rtl/>
        </w:rPr>
        <w:t>تفسير العيّاشي</w:t>
      </w:r>
      <w:r w:rsidRPr="00132E65">
        <w:rPr>
          <w:rtl/>
        </w:rPr>
        <w:t xml:space="preserve"> ، ج 1 ، ص 330 ، ح 149 ، عن محمّد بن مسلم ، عن أبي جعفر </w:t>
      </w:r>
      <w:r w:rsidRPr="00B83B44">
        <w:rPr>
          <w:rStyle w:val="libFootnoteAlaemChar"/>
          <w:rtl/>
        </w:rPr>
        <w:t>عليه‌السلام</w:t>
      </w:r>
      <w:r w:rsidR="00B83B44">
        <w:rPr>
          <w:rFonts w:hint="cs"/>
          <w:rtl/>
        </w:rPr>
        <w:t>.</w:t>
      </w:r>
      <w:r w:rsidRPr="009D1ACE">
        <w:rPr>
          <w:rStyle w:val="libFootnoteBoldChar"/>
          <w:rtl/>
        </w:rPr>
        <w:t>الوافي</w:t>
      </w:r>
      <w:r w:rsidRPr="00132E65">
        <w:rPr>
          <w:rtl/>
        </w:rPr>
        <w:t xml:space="preserve"> ، ج 3 ، ص 884 ، ح 1517.</w:t>
      </w:r>
      <w:r w:rsidR="00B83B44">
        <w:rPr>
          <w:rFonts w:hint="cs"/>
          <w:rtl/>
        </w:rPr>
        <w:t xml:space="preserve">                   </w:t>
      </w:r>
      <w:r>
        <w:rPr>
          <w:rtl/>
        </w:rPr>
        <w:t>(4).</w:t>
      </w:r>
      <w:r w:rsidRPr="00132E65">
        <w:rPr>
          <w:rtl/>
        </w:rPr>
        <w:t xml:space="preserve"> في « ف ، بر » : « المثنّى »</w:t>
      </w:r>
      <w:r>
        <w:rPr>
          <w:rtl/>
        </w:rPr>
        <w:t>.</w:t>
      </w:r>
    </w:p>
    <w:p w:rsidR="000C39D1" w:rsidRPr="00132E65" w:rsidRDefault="000C39D1" w:rsidP="000C39D1">
      <w:pPr>
        <w:pStyle w:val="libFootnote0"/>
        <w:rPr>
          <w:rtl/>
          <w:lang w:bidi="fa-IR"/>
        </w:rPr>
      </w:pPr>
      <w:r>
        <w:rPr>
          <w:rtl/>
        </w:rPr>
        <w:t>(5).</w:t>
      </w:r>
      <w:r w:rsidRPr="00132E65">
        <w:rPr>
          <w:rtl/>
        </w:rPr>
        <w:t xml:space="preserve"> لم يثبت رواية زرارة عن عبد الله بن عجلان في غير هذا المورد ، وقد روى المصنّف بنفس الطريق عن مثنّى [ الحنّاط ] عن عبد الله بن عجلان ، عن أبي جعفر </w:t>
      </w:r>
      <w:r w:rsidRPr="00B83B44">
        <w:rPr>
          <w:rStyle w:val="libFootnoteAlaemChar"/>
          <w:rtl/>
        </w:rPr>
        <w:t>عليه‌السلام</w:t>
      </w:r>
      <w:r w:rsidRPr="00132E65">
        <w:rPr>
          <w:rtl/>
        </w:rPr>
        <w:t xml:space="preserve"> ، في </w:t>
      </w:r>
      <w:r w:rsidRPr="000577A7">
        <w:rPr>
          <w:rStyle w:val="libFootnoteBoldChar"/>
          <w:rtl/>
        </w:rPr>
        <w:t>الكافي</w:t>
      </w:r>
      <w:r w:rsidRPr="00132E65">
        <w:rPr>
          <w:rtl/>
        </w:rPr>
        <w:t xml:space="preserve"> ، ح 1102 </w:t>
      </w:r>
      <w:r>
        <w:rPr>
          <w:rtl/>
        </w:rPr>
        <w:t>و 1</w:t>
      </w:r>
      <w:r w:rsidRPr="00132E65">
        <w:rPr>
          <w:rtl/>
        </w:rPr>
        <w:t xml:space="preserve">116 </w:t>
      </w:r>
      <w:r>
        <w:rPr>
          <w:rtl/>
        </w:rPr>
        <w:t>و 1</w:t>
      </w:r>
      <w:r w:rsidRPr="00132E65">
        <w:rPr>
          <w:rtl/>
        </w:rPr>
        <w:t xml:space="preserve">107 ، وبطريق آخر في </w:t>
      </w:r>
      <w:r w:rsidRPr="000577A7">
        <w:rPr>
          <w:rStyle w:val="libFootnoteBoldChar"/>
          <w:rtl/>
        </w:rPr>
        <w:t>الكافي</w:t>
      </w:r>
      <w:r w:rsidRPr="00132E65">
        <w:rPr>
          <w:rtl/>
        </w:rPr>
        <w:t xml:space="preserve"> ، ح 1496.</w:t>
      </w:r>
    </w:p>
    <w:p w:rsidR="000C39D1" w:rsidRPr="00132E65" w:rsidRDefault="000C39D1" w:rsidP="000C39D1">
      <w:pPr>
        <w:pStyle w:val="libFootnote0"/>
        <w:rPr>
          <w:rtl/>
          <w:lang w:bidi="fa-IR"/>
        </w:rPr>
      </w:pPr>
      <w:r w:rsidRPr="0046781C">
        <w:rPr>
          <w:rtl/>
        </w:rPr>
        <w:t xml:space="preserve">والخبر رواه البرقي في </w:t>
      </w:r>
      <w:r w:rsidRPr="00641102">
        <w:rPr>
          <w:rtl/>
        </w:rPr>
        <w:t>المحاسن</w:t>
      </w:r>
      <w:r w:rsidRPr="0046781C">
        <w:rPr>
          <w:rtl/>
        </w:rPr>
        <w:t xml:space="preserve"> ، ص 145 ، ح 48 ، عن الحسن بن عليّ الخزّاز</w:t>
      </w:r>
      <w:r>
        <w:rPr>
          <w:rtl/>
        </w:rPr>
        <w:t xml:space="preserve"> - </w:t>
      </w:r>
      <w:r w:rsidRPr="0046781C">
        <w:rPr>
          <w:rtl/>
        </w:rPr>
        <w:t>وهو الوشّاء</w:t>
      </w:r>
      <w:r>
        <w:rPr>
          <w:rtl/>
        </w:rPr>
        <w:t xml:space="preserve"> - </w:t>
      </w:r>
      <w:r w:rsidRPr="0046781C">
        <w:rPr>
          <w:rtl/>
        </w:rPr>
        <w:t>عن مثنّى الحنّاط عن عبد الله بن عجلان.</w:t>
      </w:r>
    </w:p>
    <w:p w:rsidR="000C39D1" w:rsidRPr="00132E65" w:rsidRDefault="000C39D1" w:rsidP="00B83B44">
      <w:pPr>
        <w:pStyle w:val="libFootnote0"/>
        <w:rPr>
          <w:rtl/>
          <w:lang w:bidi="fa-IR"/>
        </w:rPr>
      </w:pPr>
      <w:r w:rsidRPr="0046781C">
        <w:rPr>
          <w:rtl/>
        </w:rPr>
        <w:t>فالظاهر زيادة « عن زرارة » في ما نحن فيه. هذا ، ومن المحتمل أن يكون موضع « عن زرارة » في الأصل بعد « ربعي بن عبدالله » في السند السابق ، لكنّه سقط من المتن فُكُتِب في حاشية بعض النسخ ثمّ ا</w:t>
      </w:r>
      <w:r w:rsidR="00B83B44">
        <w:rPr>
          <w:rFonts w:hint="cs"/>
          <w:rtl/>
        </w:rPr>
        <w:t>ُ</w:t>
      </w:r>
      <w:r w:rsidRPr="0046781C">
        <w:rPr>
          <w:rtl/>
        </w:rPr>
        <w:t>درج في غير موضعه سهواً في الاستنساخات التالية.</w:t>
      </w:r>
      <w:r w:rsidR="00B83B44">
        <w:rPr>
          <w:rFonts w:hint="cs"/>
          <w:rtl/>
        </w:rPr>
        <w:t xml:space="preserve">                                           </w:t>
      </w:r>
      <w:r>
        <w:rPr>
          <w:rtl/>
        </w:rPr>
        <w:t>(6).</w:t>
      </w:r>
      <w:r w:rsidRPr="00132E65">
        <w:rPr>
          <w:rtl/>
        </w:rPr>
        <w:t xml:space="preserve"> في « ج ، ف ، بح » : « قول الله »</w:t>
      </w:r>
      <w:r>
        <w:rPr>
          <w:rtl/>
        </w:rPr>
        <w:t>.</w:t>
      </w:r>
    </w:p>
    <w:p w:rsidR="000C39D1" w:rsidRPr="00132E65" w:rsidRDefault="000C39D1" w:rsidP="000C39D1">
      <w:pPr>
        <w:pStyle w:val="libFootnote0"/>
        <w:rPr>
          <w:rtl/>
          <w:lang w:bidi="fa-IR"/>
        </w:rPr>
      </w:pPr>
      <w:r>
        <w:rPr>
          <w:rtl/>
        </w:rPr>
        <w:t>(7).</w:t>
      </w:r>
      <w:r w:rsidRPr="00132E65">
        <w:rPr>
          <w:rtl/>
        </w:rPr>
        <w:t xml:space="preserve"> الشورى (42) : 23.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قَالَ : « هُمُ الْأَئِمَّةُ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(1)</w:t>
      </w:r>
      <w:r w:rsidRPr="00132E65">
        <w:rPr>
          <w:rtl/>
          <w:lang w:bidi="fa-IR"/>
        </w:rPr>
        <w:t>‌</w:t>
      </w:r>
    </w:p>
    <w:p w:rsidR="000C39D1" w:rsidRPr="00132E65" w:rsidRDefault="000C39D1" w:rsidP="000C39D1">
      <w:pPr>
        <w:pStyle w:val="libNormal"/>
        <w:rPr>
          <w:rtl/>
          <w:lang w:bidi="fa-IR"/>
        </w:rPr>
      </w:pPr>
      <w:r w:rsidRPr="00641102">
        <w:rPr>
          <w:rtl/>
        </w:rPr>
        <w:t>1095</w:t>
      </w:r>
      <w:r w:rsidRPr="004325D8">
        <w:rPr>
          <w:rStyle w:val="libBold2Char"/>
          <w:rtl/>
        </w:rPr>
        <w:t xml:space="preserve"> / 8.</w:t>
      </w:r>
      <w:r w:rsidRPr="00132E65">
        <w:rPr>
          <w:rtl/>
          <w:lang w:bidi="fa-IR"/>
        </w:rPr>
        <w:t xml:space="preserve"> الْحُسَيْنُ بْنُ مُحَمَّدٍ ، عَنْ مُعَلَّى بْنِ مُحَمَّدٍ ، عَنْ عَلِيِّ بْنِ أَسْبَاطٍ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وَمَنْ يُطِعِ اللهَ وَرَسُولَهُ </w:t>
      </w:r>
      <w:r w:rsidRPr="00071CF9">
        <w:rPr>
          <w:rStyle w:val="libAlaemChar"/>
          <w:rtl/>
        </w:rPr>
        <w:t>)</w:t>
      </w:r>
      <w:r w:rsidRPr="00132E65">
        <w:rPr>
          <w:rtl/>
          <w:lang w:bidi="fa-IR"/>
        </w:rPr>
        <w:t xml:space="preserve"> فِي ولَايَةِ عَلِيٍّ وَالْأَئِمَّةِ </w:t>
      </w:r>
      <w:r>
        <w:rPr>
          <w:rStyle w:val="libFootnotenumChar"/>
          <w:rtl/>
        </w:rPr>
        <w:t>(2)</w:t>
      </w:r>
      <w:r w:rsidRPr="00132E65">
        <w:rPr>
          <w:rtl/>
          <w:lang w:bidi="fa-IR"/>
        </w:rPr>
        <w:t xml:space="preserve"> مِنْ بَعْدِهِ</w:t>
      </w:r>
      <w:r>
        <w:rPr>
          <w:rFonts w:hint="cs"/>
          <w:rtl/>
          <w:lang w:bidi="fa-IR"/>
        </w:rPr>
        <w:t xml:space="preserve"> </w:t>
      </w:r>
      <w:r w:rsidRPr="00071CF9">
        <w:rPr>
          <w:rStyle w:val="libAlaemChar"/>
          <w:rtl/>
        </w:rPr>
        <w:t>(</w:t>
      </w:r>
      <w:r w:rsidRPr="00071CF9">
        <w:rPr>
          <w:rStyle w:val="libAieChar"/>
          <w:rtl/>
        </w:rPr>
        <w:t xml:space="preserve"> فَقَدْ فازَ فَوْزاً عَظِيماً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هكَذَا نَزَلَتْ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641102">
        <w:rPr>
          <w:rtl/>
        </w:rPr>
        <w:t>1096</w:t>
      </w:r>
      <w:r w:rsidRPr="004325D8">
        <w:rPr>
          <w:rStyle w:val="libBold2Char"/>
          <w:rtl/>
        </w:rPr>
        <w:t xml:space="preserve"> / 9.</w:t>
      </w:r>
      <w:r w:rsidRPr="00132E65">
        <w:rPr>
          <w:rtl/>
          <w:lang w:bidi="fa-IR"/>
        </w:rPr>
        <w:t xml:space="preserve"> الْحُسَيْنُ بْنُ مُحَمَّدٍ ، عَنْ مُعَلَّى بْنِ مُحَمَّدٍ ، عَنْ أَحْمَدَ بْنِ النَّضْرِ ، عَنْ مُحَمَّدِ بْنِ مَرْوَانَ :</w:t>
      </w:r>
    </w:p>
    <w:p w:rsidR="000C39D1" w:rsidRPr="00132E65" w:rsidRDefault="000C39D1" w:rsidP="00B83B44">
      <w:pPr>
        <w:pStyle w:val="libNormal"/>
        <w:rPr>
          <w:rtl/>
          <w:lang w:bidi="fa-IR"/>
        </w:rPr>
      </w:pPr>
      <w:r w:rsidRPr="00132E65">
        <w:rPr>
          <w:rtl/>
          <w:lang w:bidi="fa-IR"/>
        </w:rPr>
        <w:t xml:space="preserve">رَفَعَهُ إِلَيْهِمْ </w:t>
      </w:r>
      <w:r w:rsidRPr="00071CF9">
        <w:rPr>
          <w:rStyle w:val="libAlaemChar"/>
          <w:rtl/>
        </w:rPr>
        <w:t>عليهم‌السلام</w:t>
      </w:r>
      <w:r w:rsidRPr="00132E65">
        <w:rPr>
          <w:rtl/>
          <w:lang w:bidi="fa-IR"/>
        </w:rPr>
        <w:t xml:space="preserve"> فِي قَوْلِ اللهِ عَزَّ وجَلَّ : « </w:t>
      </w:r>
      <w:r w:rsidRPr="00071CF9">
        <w:rPr>
          <w:rStyle w:val="libAlaemChar"/>
          <w:rtl/>
        </w:rPr>
        <w:t>(</w:t>
      </w:r>
      <w:r w:rsidRPr="00071CF9">
        <w:rPr>
          <w:rStyle w:val="libAieChar"/>
          <w:rtl/>
        </w:rPr>
        <w:t xml:space="preserve"> وَما كانَ لَكُمْ أَنْ تُؤْذُوا رَسُولَ اللهِ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فِي عَلِيٍّ وَالْأَئِمَّةِ</w:t>
      </w:r>
      <w:r>
        <w:rPr>
          <w:rFonts w:hint="cs"/>
          <w:rtl/>
          <w:lang w:bidi="fa-IR"/>
        </w:rPr>
        <w:t xml:space="preserve"> </w:t>
      </w:r>
      <w:r w:rsidRPr="00071CF9">
        <w:rPr>
          <w:rStyle w:val="libAlaemChar"/>
          <w:rtl/>
        </w:rPr>
        <w:t>(</w:t>
      </w:r>
      <w:r w:rsidRPr="00071CF9">
        <w:rPr>
          <w:rStyle w:val="libAieChar"/>
          <w:rtl/>
        </w:rPr>
        <w:t xml:space="preserve"> كَالَّذِينَ آذَوْا مُوسى فَبَرَّأَهُ اللهُ مِمّا قالُوا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641102">
        <w:rPr>
          <w:rtl/>
        </w:rPr>
        <w:t>1097</w:t>
      </w:r>
      <w:r w:rsidRPr="004325D8">
        <w:rPr>
          <w:rStyle w:val="libBold2Char"/>
          <w:rtl/>
        </w:rPr>
        <w:t xml:space="preserve"> / 10.</w:t>
      </w:r>
      <w:r w:rsidRPr="00132E65">
        <w:rPr>
          <w:rtl/>
          <w:lang w:bidi="fa-IR"/>
        </w:rPr>
        <w:t xml:space="preserve"> الْحُسَيْنُ بْنُ مُحَمَّدٍ ، عَنْ مُعَلَّى بْنِ مُحَمَّدٍ </w:t>
      </w:r>
      <w:r>
        <w:rPr>
          <w:rStyle w:val="libFootnotenumChar"/>
          <w:rtl/>
        </w:rPr>
        <w:t>(9)</w:t>
      </w:r>
      <w:r w:rsidRPr="00132E65">
        <w:rPr>
          <w:rtl/>
          <w:lang w:bidi="fa-IR"/>
        </w:rPr>
        <w:t xml:space="preserve"> ، عَنِ السَّيَّارِيِّ ، عَنْ عَلِيِّ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B83B44">
      <w:pPr>
        <w:pStyle w:val="libFootnote0"/>
        <w:rPr>
          <w:rtl/>
          <w:lang w:bidi="fa-IR"/>
        </w:rPr>
      </w:pPr>
      <w:r>
        <w:rPr>
          <w:rtl/>
        </w:rPr>
        <w:t>(1).</w:t>
      </w:r>
      <w:r w:rsidRPr="00132E65">
        <w:rPr>
          <w:rtl/>
        </w:rPr>
        <w:t xml:space="preserve"> </w:t>
      </w:r>
      <w:r w:rsidRPr="00641102">
        <w:rPr>
          <w:rtl/>
        </w:rPr>
        <w:t>المحاسن</w:t>
      </w:r>
      <w:r w:rsidRPr="00132E65">
        <w:rPr>
          <w:rtl/>
        </w:rPr>
        <w:t xml:space="preserve"> ، ص 145 ، كتاب الصفوة ، ح 48 ، بسنده عن مثنّى الحناط ، عن عبد الله بن عجلان ، عن أبي جعفر </w:t>
      </w:r>
      <w:r w:rsidRPr="00B83B44">
        <w:rPr>
          <w:rStyle w:val="libFootnoteAlaemChar"/>
          <w:rtl/>
        </w:rPr>
        <w:t>عليه‌السلام</w:t>
      </w:r>
      <w:r w:rsidRPr="00132E65">
        <w:rPr>
          <w:rtl/>
        </w:rPr>
        <w:t xml:space="preserve"> ، مع زيادة في آخره. راجع : </w:t>
      </w:r>
      <w:r w:rsidRPr="00641102">
        <w:rPr>
          <w:rtl/>
        </w:rPr>
        <w:t>المحاسن</w:t>
      </w:r>
      <w:r w:rsidRPr="00132E65">
        <w:rPr>
          <w:rtl/>
        </w:rPr>
        <w:t xml:space="preserve"> ، ص 144 ، ح 46 ؛ و</w:t>
      </w:r>
      <w:r w:rsidRPr="000577A7">
        <w:rPr>
          <w:rStyle w:val="libFootnoteBoldChar"/>
          <w:rtl/>
        </w:rPr>
        <w:t>الكافي</w:t>
      </w:r>
      <w:r w:rsidRPr="00132E65">
        <w:rPr>
          <w:rtl/>
        </w:rPr>
        <w:t xml:space="preserve"> ، كتاب الروضة ، ح 14881 ؛ و</w:t>
      </w:r>
      <w:r w:rsidRPr="00641102">
        <w:rPr>
          <w:rtl/>
        </w:rPr>
        <w:t>قرب الإسناد</w:t>
      </w:r>
      <w:r w:rsidRPr="00132E65">
        <w:rPr>
          <w:rtl/>
        </w:rPr>
        <w:t xml:space="preserve"> ، ص 128 ، ح 450 ؛ و</w:t>
      </w:r>
      <w:r w:rsidRPr="00641102">
        <w:rPr>
          <w:rtl/>
        </w:rPr>
        <w:t>تفسير القمّي</w:t>
      </w:r>
      <w:r w:rsidRPr="00132E65">
        <w:rPr>
          <w:rtl/>
        </w:rPr>
        <w:t xml:space="preserve"> ، ج 2 ، ص 275 ؛ و</w:t>
      </w:r>
      <w:r w:rsidRPr="00641102">
        <w:rPr>
          <w:rtl/>
        </w:rPr>
        <w:t>تفسير فرات</w:t>
      </w:r>
      <w:r w:rsidRPr="00132E65">
        <w:rPr>
          <w:rtl/>
        </w:rPr>
        <w:t xml:space="preserve"> ، ص 388</w:t>
      </w:r>
      <w:r>
        <w:rPr>
          <w:rtl/>
        </w:rPr>
        <w:t xml:space="preserve"> - </w:t>
      </w:r>
      <w:r w:rsidRPr="00132E65">
        <w:rPr>
          <w:rtl/>
        </w:rPr>
        <w:t>399 ، ح 515</w:t>
      </w:r>
      <w:r>
        <w:rPr>
          <w:rtl/>
        </w:rPr>
        <w:t xml:space="preserve"> - </w:t>
      </w:r>
      <w:r w:rsidRPr="00132E65">
        <w:rPr>
          <w:rtl/>
        </w:rPr>
        <w:t xml:space="preserve">520 </w:t>
      </w:r>
      <w:r>
        <w:rPr>
          <w:rtl/>
        </w:rPr>
        <w:t>و 5</w:t>
      </w:r>
      <w:r w:rsidRPr="00132E65">
        <w:rPr>
          <w:rtl/>
        </w:rPr>
        <w:t xml:space="preserve">23 </w:t>
      </w:r>
      <w:r>
        <w:rPr>
          <w:rtl/>
        </w:rPr>
        <w:t>و 5</w:t>
      </w:r>
      <w:r w:rsidRPr="00132E65">
        <w:rPr>
          <w:rtl/>
        </w:rPr>
        <w:t>31</w:t>
      </w:r>
      <w:r w:rsidR="00B83B44">
        <w:rPr>
          <w:rFonts w:hint="cs"/>
          <w:rtl/>
        </w:rPr>
        <w:t>.</w:t>
      </w:r>
      <w:r w:rsidRPr="009D1ACE">
        <w:rPr>
          <w:rStyle w:val="libFootnoteBoldChar"/>
          <w:rtl/>
        </w:rPr>
        <w:t>الوافي</w:t>
      </w:r>
      <w:r w:rsidRPr="00132E65">
        <w:rPr>
          <w:rtl/>
        </w:rPr>
        <w:t xml:space="preserve"> ، ج 3 ، ص 884 ، ح 1518 ؛ </w:t>
      </w:r>
      <w:r w:rsidRPr="00641102">
        <w:rPr>
          <w:rtl/>
        </w:rPr>
        <w:t>البحار</w:t>
      </w:r>
      <w:r w:rsidRPr="00132E65">
        <w:rPr>
          <w:rtl/>
        </w:rPr>
        <w:t xml:space="preserve"> ، ج 23 ، ص 251 ، ح 28.</w:t>
      </w:r>
    </w:p>
    <w:p w:rsidR="000C39D1" w:rsidRPr="00132E65" w:rsidRDefault="000C39D1" w:rsidP="00B83B44">
      <w:pPr>
        <w:pStyle w:val="libFootnote0"/>
        <w:rPr>
          <w:rtl/>
          <w:lang w:bidi="fa-IR"/>
        </w:rPr>
      </w:pPr>
      <w:r>
        <w:rPr>
          <w:rtl/>
        </w:rPr>
        <w:t>(2).</w:t>
      </w:r>
      <w:r w:rsidRPr="00132E65">
        <w:rPr>
          <w:rtl/>
        </w:rPr>
        <w:t xml:space="preserve"> هكذا في « ب ، ج ، ض ، ف ، بح ، بر ، بس ، بف » و</w:t>
      </w:r>
      <w:r w:rsidRPr="009D1ACE">
        <w:rPr>
          <w:rStyle w:val="libFootnoteBoldChar"/>
          <w:rtl/>
        </w:rPr>
        <w:t>الوافي</w:t>
      </w:r>
      <w:r w:rsidRPr="00132E65">
        <w:rPr>
          <w:rtl/>
        </w:rPr>
        <w:t xml:space="preserve"> وتفسير القمّي والبحار. وفي المطبوع : « [ وولاية الأئمّة ] » بدل « والأئمّة »</w:t>
      </w:r>
      <w:r>
        <w:rPr>
          <w:rtl/>
        </w:rPr>
        <w:t>.</w:t>
      </w:r>
      <w:r w:rsidR="00B83B44">
        <w:rPr>
          <w:rFonts w:hint="cs"/>
          <w:rtl/>
        </w:rPr>
        <w:t xml:space="preserve">                              </w:t>
      </w:r>
      <w:r>
        <w:rPr>
          <w:rtl/>
        </w:rPr>
        <w:t>(3).</w:t>
      </w:r>
      <w:r w:rsidRPr="00132E65">
        <w:rPr>
          <w:rtl/>
        </w:rPr>
        <w:t xml:space="preserve"> الأحزاب (33) : 71.</w:t>
      </w:r>
    </w:p>
    <w:p w:rsidR="000C39D1" w:rsidRPr="00132E65" w:rsidRDefault="000C39D1" w:rsidP="000C39D1">
      <w:pPr>
        <w:pStyle w:val="libFootnote0"/>
        <w:rPr>
          <w:rtl/>
          <w:lang w:bidi="fa-IR"/>
        </w:rPr>
      </w:pPr>
      <w:r>
        <w:rPr>
          <w:rtl/>
        </w:rPr>
        <w:t>(4).</w:t>
      </w:r>
      <w:r w:rsidRPr="00132E65">
        <w:rPr>
          <w:rtl/>
        </w:rPr>
        <w:t xml:space="preserve"> في تفسير القمّي :</w:t>
      </w:r>
      <w:r>
        <w:rPr>
          <w:rtl/>
        </w:rPr>
        <w:t xml:space="preserve"> + </w:t>
      </w:r>
      <w:r w:rsidRPr="00132E65">
        <w:rPr>
          <w:rtl/>
        </w:rPr>
        <w:t>« والله »</w:t>
      </w:r>
      <w:r>
        <w:rPr>
          <w:rtl/>
        </w:rPr>
        <w:t>.</w:t>
      </w:r>
      <w:r w:rsidRPr="00132E65">
        <w:rPr>
          <w:rtl/>
        </w:rPr>
        <w:t xml:space="preserve"> وقوله : « هكذا نزلت » أي معنًى. وكذا في نظائره. راجع : </w:t>
      </w:r>
      <w:r w:rsidRPr="00641102">
        <w:rPr>
          <w:rtl/>
        </w:rPr>
        <w:t>شرح المازندراني</w:t>
      </w:r>
      <w:r w:rsidRPr="00132E65">
        <w:rPr>
          <w:rtl/>
        </w:rPr>
        <w:t xml:space="preserve"> ، ج 7 ، ص 52 ؛ </w:t>
      </w:r>
      <w:r w:rsidRPr="009D1ACE">
        <w:rPr>
          <w:rStyle w:val="libFootnoteBoldChar"/>
          <w:rtl/>
        </w:rPr>
        <w:t>الوافي</w:t>
      </w:r>
      <w:r w:rsidRPr="00132E65">
        <w:rPr>
          <w:rtl/>
        </w:rPr>
        <w:t xml:space="preserve"> ، ج 3 ، ص 885 ؛ </w:t>
      </w:r>
      <w:r w:rsidRPr="009D1ACE">
        <w:rPr>
          <w:rStyle w:val="libFootnoteBoldChar"/>
          <w:rtl/>
        </w:rPr>
        <w:t>مرآة العقول</w:t>
      </w:r>
      <w:r w:rsidRPr="00132E65">
        <w:rPr>
          <w:rtl/>
        </w:rPr>
        <w:t xml:space="preserve"> ، ج 5 ، ص 14.</w:t>
      </w:r>
    </w:p>
    <w:p w:rsidR="000C39D1" w:rsidRPr="00132E65" w:rsidRDefault="000C39D1" w:rsidP="00B83B44">
      <w:pPr>
        <w:pStyle w:val="libFootnote0"/>
        <w:rPr>
          <w:rtl/>
          <w:lang w:bidi="fa-IR"/>
        </w:rPr>
      </w:pPr>
      <w:r>
        <w:rPr>
          <w:rtl/>
        </w:rPr>
        <w:t>(5).</w:t>
      </w:r>
      <w:r w:rsidRPr="00132E65">
        <w:rPr>
          <w:rtl/>
        </w:rPr>
        <w:t xml:space="preserve"> </w:t>
      </w:r>
      <w:r w:rsidRPr="00641102">
        <w:rPr>
          <w:rtl/>
        </w:rPr>
        <w:t>تفسير القمّي</w:t>
      </w:r>
      <w:r w:rsidRPr="00132E65">
        <w:rPr>
          <w:rtl/>
        </w:rPr>
        <w:t xml:space="preserve"> ، ج 2 ، ص 197 ، عن الحسين بن محمّد. وراجع : </w:t>
      </w:r>
      <w:r w:rsidRPr="00641102">
        <w:rPr>
          <w:rtl/>
        </w:rPr>
        <w:t>تفسير فرات</w:t>
      </w:r>
      <w:r w:rsidRPr="00132E65">
        <w:rPr>
          <w:rtl/>
        </w:rPr>
        <w:t xml:space="preserve"> ، ص 287</w:t>
      </w:r>
      <w:r>
        <w:rPr>
          <w:rtl/>
        </w:rPr>
        <w:t xml:space="preserve"> - </w:t>
      </w:r>
      <w:r w:rsidRPr="00132E65">
        <w:rPr>
          <w:rtl/>
        </w:rPr>
        <w:t xml:space="preserve">288 ، ح 388 </w:t>
      </w:r>
      <w:r>
        <w:rPr>
          <w:rtl/>
        </w:rPr>
        <w:t>و 3</w:t>
      </w:r>
      <w:r w:rsidRPr="00132E65">
        <w:rPr>
          <w:rtl/>
        </w:rPr>
        <w:t>90</w:t>
      </w:r>
      <w:r w:rsidR="00B83B44">
        <w:rPr>
          <w:rFonts w:hint="cs"/>
          <w:rtl/>
        </w:rPr>
        <w:t>.</w:t>
      </w:r>
      <w:r w:rsidRPr="009D1ACE">
        <w:rPr>
          <w:rStyle w:val="libFootnoteBoldChar"/>
          <w:rtl/>
        </w:rPr>
        <w:t>الوافي</w:t>
      </w:r>
      <w:r w:rsidRPr="00132E65">
        <w:rPr>
          <w:rtl/>
        </w:rPr>
        <w:t xml:space="preserve"> ، ج 3 ، ص 885 ، ح 1519 ؛ </w:t>
      </w:r>
      <w:r w:rsidRPr="00641102">
        <w:rPr>
          <w:rtl/>
        </w:rPr>
        <w:t>البحار</w:t>
      </w:r>
      <w:r w:rsidRPr="00132E65">
        <w:rPr>
          <w:rtl/>
        </w:rPr>
        <w:t xml:space="preserve"> ، ج 23 ، ص 303 ، ح 62.</w:t>
      </w:r>
    </w:p>
    <w:tbl>
      <w:tblPr>
        <w:tblStyle w:val="TableGrid"/>
        <w:bidiVisual/>
        <w:tblW w:w="0" w:type="auto"/>
        <w:tblLook w:val="04A0" w:firstRow="1" w:lastRow="0" w:firstColumn="1" w:lastColumn="0" w:noHBand="0" w:noVBand="1"/>
      </w:tblPr>
      <w:tblGrid>
        <w:gridCol w:w="4006"/>
        <w:gridCol w:w="4006"/>
      </w:tblGrid>
      <w:tr w:rsidR="00B83B44" w:rsidTr="00B83B44">
        <w:tc>
          <w:tcPr>
            <w:tcW w:w="4006" w:type="dxa"/>
          </w:tcPr>
          <w:p w:rsidR="00B83B44" w:rsidRDefault="00B83B44" w:rsidP="000C39D1">
            <w:pPr>
              <w:pStyle w:val="libFootnote0"/>
              <w:rPr>
                <w:rtl/>
              </w:rPr>
            </w:pPr>
            <w:r>
              <w:rPr>
                <w:rtl/>
              </w:rPr>
              <w:t>(6).</w:t>
            </w:r>
            <w:r w:rsidRPr="00132E65">
              <w:rPr>
                <w:rtl/>
              </w:rPr>
              <w:t xml:space="preserve"> الأحزاب (33) : 53.</w:t>
            </w:r>
          </w:p>
        </w:tc>
        <w:tc>
          <w:tcPr>
            <w:tcW w:w="4006" w:type="dxa"/>
          </w:tcPr>
          <w:p w:rsidR="00B83B44" w:rsidRDefault="00B83B44" w:rsidP="000C39D1">
            <w:pPr>
              <w:pStyle w:val="libFootnote0"/>
              <w:rPr>
                <w:rtl/>
              </w:rPr>
            </w:pPr>
            <w:r>
              <w:rPr>
                <w:rtl/>
              </w:rPr>
              <w:t>(7).</w:t>
            </w:r>
            <w:r w:rsidRPr="00132E65">
              <w:rPr>
                <w:rtl/>
              </w:rPr>
              <w:t xml:space="preserve"> الأحزاب (33) : 69.</w:t>
            </w:r>
          </w:p>
        </w:tc>
      </w:tr>
    </w:tbl>
    <w:p w:rsidR="000C39D1" w:rsidRPr="00132E65" w:rsidRDefault="000C39D1" w:rsidP="00F81917">
      <w:pPr>
        <w:pStyle w:val="libFootnote0"/>
        <w:rPr>
          <w:rtl/>
          <w:lang w:bidi="fa-IR"/>
        </w:rPr>
      </w:pPr>
      <w:r>
        <w:rPr>
          <w:rtl/>
        </w:rPr>
        <w:t>(8).</w:t>
      </w:r>
      <w:r w:rsidRPr="00132E65">
        <w:rPr>
          <w:rtl/>
        </w:rPr>
        <w:t xml:space="preserve"> </w:t>
      </w:r>
      <w:r w:rsidRPr="00641102">
        <w:rPr>
          <w:rtl/>
        </w:rPr>
        <w:t>تفسير القمّي</w:t>
      </w:r>
      <w:r w:rsidRPr="00132E65">
        <w:rPr>
          <w:rtl/>
        </w:rPr>
        <w:t xml:space="preserve"> ، ج 2 ، ص 197 ، عن الحسين بن محمّد</w:t>
      </w:r>
      <w:r w:rsidR="00F81917">
        <w:rPr>
          <w:rFonts w:hint="cs"/>
          <w:rtl/>
        </w:rPr>
        <w:t>.</w:t>
      </w:r>
      <w:r w:rsidRPr="009D1ACE">
        <w:rPr>
          <w:rStyle w:val="libFootnoteBoldChar"/>
          <w:rtl/>
        </w:rPr>
        <w:t>الوافي</w:t>
      </w:r>
      <w:r w:rsidRPr="00132E65">
        <w:rPr>
          <w:rtl/>
        </w:rPr>
        <w:t xml:space="preserve"> ، ج 3 ، ص 885 ، ح 1520 ؛ </w:t>
      </w:r>
      <w:r w:rsidRPr="00641102">
        <w:rPr>
          <w:rtl/>
        </w:rPr>
        <w:t>البحار</w:t>
      </w:r>
      <w:r w:rsidRPr="00132E65">
        <w:rPr>
          <w:rtl/>
        </w:rPr>
        <w:t xml:space="preserve"> ، ج 23 ، ص 302 ، ح 61.</w:t>
      </w:r>
    </w:p>
    <w:p w:rsidR="000C39D1" w:rsidRPr="00132E65" w:rsidRDefault="000C39D1" w:rsidP="000C39D1">
      <w:pPr>
        <w:pStyle w:val="libFootnote0"/>
        <w:rPr>
          <w:rtl/>
          <w:lang w:bidi="fa-IR"/>
        </w:rPr>
      </w:pPr>
      <w:r>
        <w:rPr>
          <w:rtl/>
        </w:rPr>
        <w:t>(9).</w:t>
      </w:r>
      <w:r w:rsidRPr="00132E65">
        <w:rPr>
          <w:rtl/>
        </w:rPr>
        <w:t xml:space="preserve"> لم يُعهَد توسّط معلّى بن محمّد بين الحسين بن محمّد وبين السيّاري. والمعهود المتكرّر عدم وقوع </w:t>
      </w:r>
      <w:r w:rsidR="00F81917">
        <w:rPr>
          <w:rFonts w:hint="cs"/>
          <w:rtl/>
        </w:rPr>
        <w:t>الواسطة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عَبْدِ اللهِ ، قَالَ :</w:t>
      </w:r>
    </w:p>
    <w:p w:rsidR="000C39D1" w:rsidRPr="00132E65" w:rsidRDefault="000C39D1" w:rsidP="000C39D1">
      <w:pPr>
        <w:pStyle w:val="libNormal"/>
        <w:rPr>
          <w:rtl/>
          <w:lang w:bidi="fa-IR"/>
        </w:rPr>
      </w:pPr>
      <w:r w:rsidRPr="00132E65">
        <w:rPr>
          <w:rtl/>
          <w:lang w:bidi="fa-IR"/>
        </w:rPr>
        <w:t xml:space="preserve">سَأَلَهُ </w:t>
      </w:r>
      <w:r>
        <w:rPr>
          <w:rStyle w:val="libFootnotenumChar"/>
          <w:rtl/>
        </w:rPr>
        <w:t>(1)</w:t>
      </w:r>
      <w:r w:rsidRPr="00132E65">
        <w:rPr>
          <w:rtl/>
          <w:lang w:bidi="fa-IR"/>
        </w:rPr>
        <w:t xml:space="preserve"> رَجُلٌ عَنْ قَوْلِهِ تَعَالى : </w:t>
      </w:r>
      <w:r w:rsidRPr="00071CF9">
        <w:rPr>
          <w:rStyle w:val="libAlaemChar"/>
          <w:rtl/>
        </w:rPr>
        <w:t>(</w:t>
      </w:r>
      <w:r w:rsidRPr="00071CF9">
        <w:rPr>
          <w:rStyle w:val="libAieChar"/>
          <w:rtl/>
        </w:rPr>
        <w:t xml:space="preserve"> فَمَنِ اتَّبَعَ هُدايَ فَلا يَضِلُّ وَلا يَشْقى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 مَنْ قَالَ بِالْأَئِمَّةِ ، واتَّبَعَ أَمْرَهُمْ ، ولَمْ يَجُزْ </w:t>
      </w:r>
      <w:r>
        <w:rPr>
          <w:rStyle w:val="libFootnotenumChar"/>
          <w:rtl/>
        </w:rPr>
        <w:t>(3)</w:t>
      </w:r>
      <w:r w:rsidRPr="00132E65">
        <w:rPr>
          <w:rtl/>
          <w:lang w:bidi="fa-IR"/>
        </w:rPr>
        <w:t xml:space="preserve"> طَاعَتَهُمْ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2544C8">
        <w:rPr>
          <w:rtl/>
        </w:rPr>
        <w:t>1098</w:t>
      </w:r>
      <w:r w:rsidRPr="004325D8">
        <w:rPr>
          <w:rStyle w:val="libBold2Char"/>
          <w:rtl/>
        </w:rPr>
        <w:t xml:space="preserve"> / 11.</w:t>
      </w:r>
      <w:r w:rsidRPr="00132E65">
        <w:rPr>
          <w:rtl/>
          <w:lang w:bidi="fa-IR"/>
        </w:rPr>
        <w:t xml:space="preserve"> الْحُسَيْنُ بْنُ مُحَمَّدٍ ، عَنْ مُعَلَّى بْنِ مُحَمَّدٍ </w:t>
      </w:r>
      <w:r>
        <w:rPr>
          <w:rStyle w:val="libFootnotenumChar"/>
          <w:rtl/>
        </w:rPr>
        <w:t>(5)</w:t>
      </w:r>
      <w:r w:rsidRPr="00132E65">
        <w:rPr>
          <w:rtl/>
          <w:lang w:bidi="fa-IR"/>
        </w:rPr>
        <w:t xml:space="preserve"> ، عَنْ أَحْمَدَ بْنِ مُحَمَّدِ بْنِ عَبْدِ اللهِ :</w:t>
      </w:r>
    </w:p>
    <w:p w:rsidR="000C39D1" w:rsidRPr="00132E65" w:rsidRDefault="000C39D1" w:rsidP="000C39D1">
      <w:pPr>
        <w:pStyle w:val="libNormal"/>
        <w:rPr>
          <w:rtl/>
          <w:lang w:bidi="fa-IR"/>
        </w:rPr>
      </w:pPr>
      <w:r w:rsidRPr="00132E65">
        <w:rPr>
          <w:rtl/>
          <w:lang w:bidi="fa-IR"/>
        </w:rPr>
        <w:t xml:space="preserve">رَفَعَهُ فِي قَوْلِهِ تَعَالى : </w:t>
      </w:r>
      <w:r w:rsidRPr="00071CF9">
        <w:rPr>
          <w:rStyle w:val="libAlaemChar"/>
          <w:rtl/>
        </w:rPr>
        <w:t>(</w:t>
      </w:r>
      <w:r w:rsidRPr="00071CF9">
        <w:rPr>
          <w:rStyle w:val="libAieChar"/>
          <w:rtl/>
        </w:rPr>
        <w:t xml:space="preserve"> لا أُقْسِمُ بِهذَا الْبَلَدِ</w:t>
      </w:r>
      <w:r w:rsidR="00BE6E5D">
        <w:rPr>
          <w:rStyle w:val="libAieChar"/>
          <w:rFonts w:hint="cs"/>
          <w:rtl/>
        </w:rPr>
        <w:t xml:space="preserve"> *</w:t>
      </w:r>
      <w:r w:rsidRPr="00071CF9">
        <w:rPr>
          <w:rStyle w:val="libAieChar"/>
          <w:rtl/>
        </w:rPr>
        <w:t xml:space="preserve"> وَأَنْتَ حِلٌّ بِهذَا الْبَلَدِ </w:t>
      </w:r>
      <w:r w:rsidR="00BE6E5D">
        <w:rPr>
          <w:rStyle w:val="libAieChar"/>
          <w:rFonts w:hint="cs"/>
          <w:rtl/>
        </w:rPr>
        <w:t xml:space="preserve">* </w:t>
      </w:r>
      <w:r w:rsidRPr="00071CF9">
        <w:rPr>
          <w:rStyle w:val="libAieChar"/>
          <w:rtl/>
        </w:rPr>
        <w:t>وَ</w:t>
      </w:r>
      <w:r w:rsidR="00BE6E5D">
        <w:rPr>
          <w:rStyle w:val="libAieChar"/>
          <w:rFonts w:hint="cs"/>
          <w:rtl/>
        </w:rPr>
        <w:t xml:space="preserve"> </w:t>
      </w:r>
      <w:r w:rsidRPr="00071CF9">
        <w:rPr>
          <w:rStyle w:val="libAieChar"/>
          <w:rtl/>
        </w:rPr>
        <w:t xml:space="preserve">والِدٍ وَما وَلَدَ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قَالَ :</w:t>
      </w:r>
      <w:r>
        <w:rPr>
          <w:rFonts w:hint="cs"/>
          <w:rtl/>
          <w:lang w:bidi="fa-IR"/>
        </w:rPr>
        <w:t xml:space="preserve"> </w:t>
      </w:r>
      <w:r w:rsidRPr="00132E65">
        <w:rPr>
          <w:rtl/>
          <w:lang w:bidi="fa-IR"/>
        </w:rPr>
        <w:t xml:space="preserve">« أَمِيرُ الْمُؤْمِنِينَ ، ومَا ولَدَ مِنَ الْأَئِمَّةِ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(7)</w:t>
      </w:r>
    </w:p>
    <w:p w:rsidR="000C39D1" w:rsidRPr="00132E65" w:rsidRDefault="000C39D1" w:rsidP="000C39D1">
      <w:pPr>
        <w:pStyle w:val="libNormal"/>
        <w:rPr>
          <w:rtl/>
          <w:lang w:bidi="fa-IR"/>
        </w:rPr>
      </w:pPr>
      <w:r w:rsidRPr="002544C8">
        <w:rPr>
          <w:rtl/>
        </w:rPr>
        <w:t>1099</w:t>
      </w:r>
      <w:r w:rsidRPr="004325D8">
        <w:rPr>
          <w:rStyle w:val="libBold2Char"/>
          <w:rtl/>
        </w:rPr>
        <w:t xml:space="preserve"> / 12.</w:t>
      </w:r>
      <w:r w:rsidRPr="00132E65">
        <w:rPr>
          <w:rtl/>
          <w:lang w:bidi="fa-IR"/>
        </w:rPr>
        <w:t xml:space="preserve"> الْحُسَيْنُ بْنُ مُحَمَّدٍ ، عَنْ مُعَلَّى بْنِ مُحَمَّدٍ ، عَنْ مُحَمَّدِ بْنِ أُورَمَةَ ومُحَمَّدِ بْنِ عَبْدِ اللهِ ، عَنْ عَلِيِّ بْنِ حَسَّانَ ، عَنْ عَبْدِ الرَّحْمنِ بْنِ كَثِيرٍ :</w:t>
      </w:r>
    </w:p>
    <w:p w:rsidR="000C39D1" w:rsidRPr="00132E65" w:rsidRDefault="000C39D1" w:rsidP="000C39D1">
      <w:pPr>
        <w:pStyle w:val="libLine"/>
        <w:rPr>
          <w:rtl/>
          <w:lang w:bidi="fa-IR"/>
        </w:rPr>
      </w:pPr>
      <w:r w:rsidRPr="00132E65">
        <w:rPr>
          <w:rtl/>
          <w:lang w:bidi="fa-IR"/>
        </w:rPr>
        <w:t>__________________</w:t>
      </w:r>
    </w:p>
    <w:p w:rsidR="000C39D1" w:rsidRPr="00132E65" w:rsidRDefault="00BE6E5D" w:rsidP="000C39D1">
      <w:pPr>
        <w:pStyle w:val="libFootnote0"/>
        <w:rPr>
          <w:rtl/>
          <w:lang w:bidi="fa-IR"/>
        </w:rPr>
      </w:pPr>
      <w:r>
        <w:rPr>
          <w:rFonts w:hint="cs"/>
          <w:rtl/>
          <w:lang w:bidi="fa-IR"/>
        </w:rPr>
        <w:t xml:space="preserve">= </w:t>
      </w:r>
      <w:r w:rsidR="000C39D1" w:rsidRPr="00132E65">
        <w:rPr>
          <w:rtl/>
        </w:rPr>
        <w:t>بينهما ، ا</w:t>
      </w:r>
      <w:r>
        <w:rPr>
          <w:rFonts w:hint="cs"/>
          <w:rtl/>
        </w:rPr>
        <w:t>ُ</w:t>
      </w:r>
      <w:r w:rsidR="000C39D1" w:rsidRPr="00132E65">
        <w:rPr>
          <w:rtl/>
        </w:rPr>
        <w:t xml:space="preserve">نظر على سبيل المثال : </w:t>
      </w:r>
      <w:r w:rsidR="000C39D1" w:rsidRPr="000577A7">
        <w:rPr>
          <w:rStyle w:val="libFootnoteBoldChar"/>
          <w:rtl/>
        </w:rPr>
        <w:t>الكافي</w:t>
      </w:r>
      <w:r w:rsidR="000C39D1" w:rsidRPr="00132E65">
        <w:rPr>
          <w:rtl/>
        </w:rPr>
        <w:t xml:space="preserve"> ، ح 20 </w:t>
      </w:r>
      <w:r w:rsidR="000C39D1">
        <w:rPr>
          <w:rtl/>
        </w:rPr>
        <w:t>و 3</w:t>
      </w:r>
      <w:r w:rsidR="000C39D1" w:rsidRPr="00132E65">
        <w:rPr>
          <w:rtl/>
        </w:rPr>
        <w:t xml:space="preserve">898 </w:t>
      </w:r>
      <w:r w:rsidR="000C39D1">
        <w:rPr>
          <w:rtl/>
        </w:rPr>
        <w:t>و 8</w:t>
      </w:r>
      <w:r w:rsidR="000C39D1" w:rsidRPr="00132E65">
        <w:rPr>
          <w:rtl/>
        </w:rPr>
        <w:t xml:space="preserve">971 </w:t>
      </w:r>
      <w:r w:rsidR="000C39D1">
        <w:rPr>
          <w:rtl/>
        </w:rPr>
        <w:t>و 9</w:t>
      </w:r>
      <w:r w:rsidR="000C39D1" w:rsidRPr="00132E65">
        <w:rPr>
          <w:rtl/>
        </w:rPr>
        <w:t xml:space="preserve">492 </w:t>
      </w:r>
      <w:r w:rsidR="000C39D1">
        <w:rPr>
          <w:rtl/>
        </w:rPr>
        <w:t>و 1</w:t>
      </w:r>
      <w:r w:rsidR="000C39D1" w:rsidRPr="00132E65">
        <w:rPr>
          <w:rtl/>
        </w:rPr>
        <w:t xml:space="preserve">0442 </w:t>
      </w:r>
      <w:r w:rsidR="000C39D1">
        <w:rPr>
          <w:rtl/>
        </w:rPr>
        <w:t>و 1</w:t>
      </w:r>
      <w:r w:rsidR="000C39D1" w:rsidRPr="00132E65">
        <w:rPr>
          <w:rtl/>
        </w:rPr>
        <w:t xml:space="preserve">1485 </w:t>
      </w:r>
      <w:r w:rsidR="000C39D1">
        <w:rPr>
          <w:rtl/>
        </w:rPr>
        <w:t>و 1</w:t>
      </w:r>
      <w:r w:rsidR="000C39D1" w:rsidRPr="00132E65">
        <w:rPr>
          <w:rtl/>
        </w:rPr>
        <w:t xml:space="preserve">1620 </w:t>
      </w:r>
      <w:r w:rsidR="000C39D1">
        <w:rPr>
          <w:rtl/>
        </w:rPr>
        <w:t>و 1</w:t>
      </w:r>
      <w:r w:rsidR="000C39D1" w:rsidRPr="00132E65">
        <w:rPr>
          <w:rtl/>
        </w:rPr>
        <w:t xml:space="preserve">1624 </w:t>
      </w:r>
      <w:r w:rsidR="000C39D1">
        <w:rPr>
          <w:rtl/>
        </w:rPr>
        <w:t>و 1</w:t>
      </w:r>
      <w:r w:rsidR="000C39D1" w:rsidRPr="00132E65">
        <w:rPr>
          <w:rtl/>
        </w:rPr>
        <w:t xml:space="preserve">1730 </w:t>
      </w:r>
      <w:r w:rsidR="000C39D1">
        <w:rPr>
          <w:rtl/>
        </w:rPr>
        <w:t>و 1</w:t>
      </w:r>
      <w:r w:rsidR="000C39D1" w:rsidRPr="00132E65">
        <w:rPr>
          <w:rtl/>
        </w:rPr>
        <w:t xml:space="preserve">1928 </w:t>
      </w:r>
      <w:r w:rsidR="000C39D1">
        <w:rPr>
          <w:rtl/>
        </w:rPr>
        <w:t>و 1</w:t>
      </w:r>
      <w:r w:rsidR="000C39D1" w:rsidRPr="00132E65">
        <w:rPr>
          <w:rtl/>
        </w:rPr>
        <w:t xml:space="preserve">2111 </w:t>
      </w:r>
      <w:r w:rsidR="000C39D1">
        <w:rPr>
          <w:rtl/>
        </w:rPr>
        <w:t>و 1</w:t>
      </w:r>
      <w:r w:rsidR="000C39D1" w:rsidRPr="00132E65">
        <w:rPr>
          <w:rtl/>
        </w:rPr>
        <w:t>4590.</w:t>
      </w:r>
    </w:p>
    <w:p w:rsidR="000C39D1" w:rsidRPr="00AA0759" w:rsidRDefault="000C39D1" w:rsidP="0001483B">
      <w:pPr>
        <w:pStyle w:val="libFootnote0"/>
        <w:rPr>
          <w:rtl/>
        </w:rPr>
      </w:pPr>
      <w:r w:rsidRPr="00AA0759">
        <w:rPr>
          <w:rtl/>
        </w:rPr>
        <w:t>فالظاهر زيادة « عن معلّى بن محمّد » في السند ومنشؤها كثرة رواية الحسين بن محمّد عن معلّى بن محمّد الموجب لسبق القلم إلى « عن معلّى بن محمّد » بعد كتابة « الحسين بن محمّد ». راجع : معجم رجال الحديث ، ج 6 ، ص 72 ، الرقم 3601.</w:t>
      </w:r>
    </w:p>
    <w:p w:rsidR="000C39D1" w:rsidRPr="00132E65" w:rsidRDefault="000C39D1" w:rsidP="0001483B">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والضمير كأنّه للجواد أو الهادي </w:t>
      </w:r>
      <w:r w:rsidRPr="0001483B">
        <w:rPr>
          <w:rStyle w:val="libFootnoteAlaemChar"/>
          <w:rtl/>
        </w:rPr>
        <w:t>عليهما‌السلام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006"/>
        <w:gridCol w:w="4006"/>
      </w:tblGrid>
      <w:tr w:rsidR="0001483B" w:rsidTr="0001483B">
        <w:tc>
          <w:tcPr>
            <w:tcW w:w="4006" w:type="dxa"/>
          </w:tcPr>
          <w:p w:rsidR="0001483B" w:rsidRDefault="0001483B" w:rsidP="0001483B">
            <w:pPr>
              <w:pStyle w:val="libFootnote0"/>
              <w:rPr>
                <w:rtl/>
              </w:rPr>
            </w:pPr>
            <w:r>
              <w:rPr>
                <w:rtl/>
              </w:rPr>
              <w:t>(2).</w:t>
            </w:r>
            <w:r w:rsidRPr="00132E65">
              <w:rPr>
                <w:rtl/>
              </w:rPr>
              <w:t xml:space="preserve"> طه (20) : 123.</w:t>
            </w:r>
          </w:p>
        </w:tc>
        <w:tc>
          <w:tcPr>
            <w:tcW w:w="4006" w:type="dxa"/>
          </w:tcPr>
          <w:p w:rsidR="0001483B" w:rsidRDefault="0001483B" w:rsidP="0001483B">
            <w:pPr>
              <w:pStyle w:val="libFootnote0"/>
              <w:rPr>
                <w:rtl/>
              </w:rPr>
            </w:pPr>
            <w:r>
              <w:rPr>
                <w:rtl/>
              </w:rPr>
              <w:t>(3).</w:t>
            </w:r>
            <w:r w:rsidRPr="00132E65">
              <w:rPr>
                <w:rtl/>
              </w:rPr>
              <w:t xml:space="preserve"> في البحار : « لم يخن »</w:t>
            </w:r>
            <w:r>
              <w:rPr>
                <w:rtl/>
              </w:rPr>
              <w:t>.</w:t>
            </w:r>
          </w:p>
        </w:tc>
      </w:tr>
    </w:tbl>
    <w:p w:rsidR="000C39D1" w:rsidRPr="00132E65" w:rsidRDefault="000C39D1" w:rsidP="00002224">
      <w:pPr>
        <w:pStyle w:val="libFootnote0"/>
        <w:rPr>
          <w:rtl/>
          <w:lang w:bidi="fa-IR"/>
        </w:rPr>
      </w:pPr>
      <w:r>
        <w:rPr>
          <w:rtl/>
        </w:rPr>
        <w:t>(4).</w:t>
      </w:r>
      <w:r w:rsidRPr="00132E65">
        <w:rPr>
          <w:rtl/>
        </w:rPr>
        <w:t xml:space="preserve"> </w:t>
      </w:r>
      <w:r w:rsidRPr="007A1104">
        <w:rPr>
          <w:rStyle w:val="libFootnoteBoldChar"/>
          <w:rtl/>
        </w:rPr>
        <w:t>بصائر الدرجات</w:t>
      </w:r>
      <w:r w:rsidRPr="00132E65">
        <w:rPr>
          <w:rtl/>
        </w:rPr>
        <w:t xml:space="preserve"> ، ص 14 ، ح 2 ، عن الحسين بن محمّد</w:t>
      </w:r>
      <w:r w:rsidR="00002224">
        <w:rPr>
          <w:rFonts w:hint="cs"/>
          <w:rtl/>
        </w:rPr>
        <w:t>.</w:t>
      </w:r>
      <w:r w:rsidRPr="009D1ACE">
        <w:rPr>
          <w:rStyle w:val="libFootnoteBoldChar"/>
          <w:rtl/>
        </w:rPr>
        <w:t>الوافي</w:t>
      </w:r>
      <w:r w:rsidRPr="00132E65">
        <w:rPr>
          <w:rtl/>
        </w:rPr>
        <w:t xml:space="preserve"> ، ج 3 ، ص 885 ، ح 1521 ؛ </w:t>
      </w:r>
      <w:r w:rsidRPr="002544C8">
        <w:rPr>
          <w:rtl/>
        </w:rPr>
        <w:t>البحار</w:t>
      </w:r>
      <w:r w:rsidRPr="00132E65">
        <w:rPr>
          <w:rtl/>
        </w:rPr>
        <w:t xml:space="preserve"> ، ج 24 ، ص 150 ، ح 31.</w:t>
      </w:r>
    </w:p>
    <w:p w:rsidR="000C39D1" w:rsidRPr="00132E65" w:rsidRDefault="000C39D1" w:rsidP="000C39D1">
      <w:pPr>
        <w:pStyle w:val="libFootnote0"/>
        <w:rPr>
          <w:rtl/>
          <w:lang w:bidi="fa-IR"/>
        </w:rPr>
      </w:pPr>
      <w:r>
        <w:rPr>
          <w:rtl/>
        </w:rPr>
        <w:t>(5).</w:t>
      </w:r>
      <w:r w:rsidRPr="00132E65">
        <w:rPr>
          <w:rtl/>
        </w:rPr>
        <w:t xml:space="preserve"> هكذا في « ألف ، ب ، ض ، ف ، و، بر » والبحار ، ج 24. وفي البحار ج 23 : « المعلّى »</w:t>
      </w:r>
      <w:r>
        <w:rPr>
          <w:rtl/>
        </w:rPr>
        <w:t>.</w:t>
      </w:r>
      <w:r w:rsidRPr="00132E65">
        <w:rPr>
          <w:rtl/>
        </w:rPr>
        <w:t xml:space="preserve"> وفي « ج ، بح ، بس ، بف ، جر » والمطبوع : « عليّ بن محمّد »</w:t>
      </w:r>
      <w:r>
        <w:rPr>
          <w:rtl/>
        </w:rPr>
        <w:t>.</w:t>
      </w:r>
      <w:r w:rsidRPr="00132E65">
        <w:rPr>
          <w:rtl/>
        </w:rPr>
        <w:t xml:space="preserve"> وهو سهو واضح ناشٍ من تصحيف « معلّى بن محمّد »</w:t>
      </w:r>
      <w:r>
        <w:rPr>
          <w:rtl/>
        </w:rPr>
        <w:t xml:space="preserve"> ب- «</w:t>
      </w:r>
      <w:r w:rsidRPr="00132E65">
        <w:rPr>
          <w:rtl/>
        </w:rPr>
        <w:t xml:space="preserve"> عليّ </w:t>
      </w:r>
      <w:r w:rsidR="00936037">
        <w:rPr>
          <w:rtl/>
        </w:rPr>
        <w:t>بن محمّد</w:t>
      </w:r>
      <w:r w:rsidRPr="00132E65">
        <w:rPr>
          <w:rtl/>
        </w:rPr>
        <w:t>»</w:t>
      </w:r>
      <w:r>
        <w:rPr>
          <w:rtl/>
        </w:rPr>
        <w:t>.</w:t>
      </w:r>
    </w:p>
    <w:p w:rsidR="000C39D1" w:rsidRPr="00132E65" w:rsidRDefault="000C39D1" w:rsidP="000C39D1">
      <w:pPr>
        <w:pStyle w:val="libFootnote0"/>
        <w:rPr>
          <w:rtl/>
          <w:lang w:bidi="fa-IR"/>
        </w:rPr>
      </w:pPr>
      <w:r>
        <w:rPr>
          <w:rtl/>
        </w:rPr>
        <w:t>(6).</w:t>
      </w:r>
      <w:r w:rsidRPr="00132E65">
        <w:rPr>
          <w:rtl/>
        </w:rPr>
        <w:t xml:space="preserve"> البلد (90) : 1</w:t>
      </w:r>
      <w:r>
        <w:rPr>
          <w:rtl/>
        </w:rPr>
        <w:t xml:space="preserve"> - </w:t>
      </w:r>
      <w:r w:rsidRPr="00132E65">
        <w:rPr>
          <w:rtl/>
        </w:rPr>
        <w:t>3.</w:t>
      </w:r>
    </w:p>
    <w:p w:rsidR="000C39D1" w:rsidRPr="00132E65" w:rsidRDefault="000C39D1" w:rsidP="00240B10">
      <w:pPr>
        <w:pStyle w:val="libFootnote0"/>
        <w:rPr>
          <w:rtl/>
          <w:lang w:bidi="fa-IR"/>
        </w:rPr>
      </w:pPr>
      <w:r>
        <w:rPr>
          <w:rtl/>
        </w:rPr>
        <w:t>(7).</w:t>
      </w:r>
      <w:r w:rsidRPr="00132E65">
        <w:rPr>
          <w:rtl/>
        </w:rPr>
        <w:t xml:space="preserve"> </w:t>
      </w:r>
      <w:r w:rsidRPr="002544C8">
        <w:rPr>
          <w:rtl/>
        </w:rPr>
        <w:t>كتاب سليم بن قيس</w:t>
      </w:r>
      <w:r w:rsidRPr="00132E65">
        <w:rPr>
          <w:rtl/>
        </w:rPr>
        <w:t xml:space="preserve"> ، ص 825 ، ح 37 ، عن عليّ </w:t>
      </w:r>
      <w:r w:rsidRPr="00002224">
        <w:rPr>
          <w:rStyle w:val="libFootnoteAlaemChar"/>
          <w:rtl/>
        </w:rPr>
        <w:t>عليه‌السلام</w:t>
      </w:r>
      <w:r w:rsidRPr="00132E65">
        <w:rPr>
          <w:rtl/>
        </w:rPr>
        <w:t xml:space="preserve"> ، وفيه : « فالوالد رسول الله </w:t>
      </w:r>
      <w:r w:rsidRPr="00002224">
        <w:rPr>
          <w:rStyle w:val="libFootnoteAlaemChar"/>
          <w:rFonts w:eastAsiaTheme="minorHAnsi"/>
          <w:rtl/>
        </w:rPr>
        <w:t>صلى‌الله‌عليه‌وآله</w:t>
      </w:r>
      <w:r w:rsidRPr="00132E65">
        <w:rPr>
          <w:rtl/>
          <w:lang w:bidi="fa-IR"/>
        </w:rPr>
        <w:t xml:space="preserve"> </w:t>
      </w:r>
      <w:r w:rsidRPr="00132E65">
        <w:rPr>
          <w:rtl/>
        </w:rPr>
        <w:t xml:space="preserve">وأنا ، وما ولد يعني هؤلاء الأحد عشر وصيّاً صلوات الله عليهم » ؛ وفي </w:t>
      </w:r>
      <w:r w:rsidRPr="007A1104">
        <w:rPr>
          <w:rStyle w:val="libFootnoteBoldChar"/>
          <w:rtl/>
        </w:rPr>
        <w:t>بصائر الدرجات</w:t>
      </w:r>
      <w:r w:rsidRPr="00132E65">
        <w:rPr>
          <w:rtl/>
        </w:rPr>
        <w:t xml:space="preserve"> ، ص 372 ، ح 16 ؛ و</w:t>
      </w:r>
      <w:r w:rsidRPr="002544C8">
        <w:rPr>
          <w:rtl/>
        </w:rPr>
        <w:t>الاختصاص</w:t>
      </w:r>
      <w:r w:rsidRPr="00132E65">
        <w:rPr>
          <w:rtl/>
        </w:rPr>
        <w:t xml:space="preserve"> ، ص 329 ، بسندهما عن سليم بن قيس الشامي ، عن عليّ </w:t>
      </w:r>
      <w:r w:rsidRPr="00002224">
        <w:rPr>
          <w:rStyle w:val="libFootnoteAlaemChar"/>
          <w:rtl/>
        </w:rPr>
        <w:t>عليه‌السلام</w:t>
      </w:r>
      <w:r w:rsidRPr="00132E65">
        <w:rPr>
          <w:rtl/>
        </w:rPr>
        <w:t xml:space="preserve"> ، وفيهما : « أمّا الوالد فرسول الله </w:t>
      </w:r>
      <w:r w:rsidRPr="00002224">
        <w:rPr>
          <w:rStyle w:val="libFootnoteAlaemChar"/>
          <w:rFonts w:eastAsiaTheme="minorHAnsi"/>
          <w:rtl/>
        </w:rPr>
        <w:t>صلى‌الله‌عليه‌وآله</w:t>
      </w:r>
      <w:r w:rsidRPr="00132E65">
        <w:rPr>
          <w:rtl/>
          <w:lang w:bidi="fa-IR"/>
        </w:rPr>
        <w:t xml:space="preserve"> </w:t>
      </w:r>
      <w:r w:rsidRPr="00132E65">
        <w:rPr>
          <w:rtl/>
        </w:rPr>
        <w:t>، وما ولد يعني هؤلاء الأوصياء » ، وفي كلّها مع زيادة في أوّله وآخره</w:t>
      </w:r>
      <w:r w:rsidR="00240B10">
        <w:rPr>
          <w:rFonts w:hint="cs"/>
          <w:rtl/>
        </w:rPr>
        <w:t>.</w:t>
      </w:r>
      <w:r w:rsidRPr="009D1ACE">
        <w:rPr>
          <w:rStyle w:val="libFootnoteBoldChar"/>
          <w:rtl/>
        </w:rPr>
        <w:t>الوافي</w:t>
      </w:r>
      <w:r w:rsidRPr="00132E65">
        <w:rPr>
          <w:rtl/>
        </w:rPr>
        <w:t xml:space="preserve"> ، ج 3 ، ص 885 ، ح 1522 ؛ </w:t>
      </w:r>
      <w:r w:rsidRPr="002544C8">
        <w:rPr>
          <w:rtl/>
        </w:rPr>
        <w:t>البحار</w:t>
      </w:r>
      <w:r w:rsidRPr="00132E65">
        <w:rPr>
          <w:rtl/>
        </w:rPr>
        <w:t xml:space="preserve"> ، ج 23 ، ص 269 ، ح 21 ؛ وج 24 ، ص 285 ، ح 13.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تَعَالى : </w:t>
      </w:r>
      <w:r w:rsidRPr="00071CF9">
        <w:rPr>
          <w:rStyle w:val="libAlaemChar"/>
          <w:rtl/>
        </w:rPr>
        <w:t>(</w:t>
      </w:r>
      <w:r w:rsidRPr="00071CF9">
        <w:rPr>
          <w:rStyle w:val="libAieChar"/>
          <w:rtl/>
        </w:rPr>
        <w:t xml:space="preserve"> وَاعْلَمُوا أَنَّما غَنِمْتُمْ مِنْ شَيْ‌ءٍ فَأَنَّ لِلّهِ خُمُسَهُ وَلِلرَّسُولِ وَلِذِي الْقُرْبى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أَمِيرُ الْمُؤْمِنِينَ والْأَئِمَّةُ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2544C8">
        <w:rPr>
          <w:rtl/>
        </w:rPr>
        <w:t>1100</w:t>
      </w:r>
      <w:r w:rsidRPr="004325D8">
        <w:rPr>
          <w:rStyle w:val="libBold2Char"/>
          <w:rtl/>
        </w:rPr>
        <w:t xml:space="preserve"> / 13.</w:t>
      </w:r>
      <w:r w:rsidRPr="00132E65">
        <w:rPr>
          <w:rtl/>
          <w:lang w:bidi="fa-IR"/>
        </w:rPr>
        <w:t xml:space="preserve"> الْحُسَيْنُ بْنُ مُحَمَّدٍ ، عَنْ مُعَلَّى بْنِ مُحَمَّدٍ ، عَنِ الْوَشَّاءِ ، عَنْ عَ</w:t>
      </w:r>
      <w:r w:rsidR="00936037">
        <w:rPr>
          <w:rtl/>
          <w:lang w:bidi="fa-IR"/>
        </w:rPr>
        <w:t>بْدِ اللهِ بْنِ سِنَانٍ ، قَالَ</w:t>
      </w:r>
      <w:r w:rsidRPr="00132E65">
        <w:rPr>
          <w:rtl/>
          <w:lang w:bidi="fa-IR"/>
        </w:rPr>
        <w:t>:</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وَمِمَّنْ خَلَقْنا أُمَّةٌ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sidRPr="00071CF9">
        <w:rPr>
          <w:rStyle w:val="libAlaemChar"/>
          <w:rtl/>
        </w:rPr>
        <w:t>(</w:t>
      </w:r>
      <w:r w:rsidRPr="00071CF9">
        <w:rPr>
          <w:rStyle w:val="libAieChar"/>
          <w:rtl/>
        </w:rPr>
        <w:t xml:space="preserve"> يَهْدُونَ بِالْحَقِّ وَبِهِ يَعْدِلُونَ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قَالَ : « هُمُ الْأَئِمَّةُ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2544C8">
        <w:rPr>
          <w:rtl/>
        </w:rPr>
        <w:t>1101</w:t>
      </w:r>
      <w:r w:rsidRPr="004325D8">
        <w:rPr>
          <w:rStyle w:val="libBold2Char"/>
          <w:rtl/>
        </w:rPr>
        <w:t xml:space="preserve"> / 14.</w:t>
      </w:r>
      <w:r w:rsidRPr="00132E65">
        <w:rPr>
          <w:rtl/>
          <w:lang w:bidi="fa-IR"/>
        </w:rPr>
        <w:t xml:space="preserve"> الْحُسَيْنُ بْنُ مُحَمَّدٍ ، عَنْ مُعَلَّى بْنِ مُحَمَّدٍ ، عَنْ مُحَمَّدِ بْنِ أُورَمَةَ ، عَنْ عَلِيِّ بْنِ حَسَّانَ ، عَنْ عَبْدِ الرَّحْمنِ بْنِ كَثِيرٍ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w:t>
      </w:r>
      <w:r>
        <w:rPr>
          <w:rStyle w:val="libFootnotenumChar"/>
          <w:rtl/>
        </w:rPr>
        <w:t>(6)</w:t>
      </w:r>
      <w:r w:rsidRPr="00132E65">
        <w:rPr>
          <w:rtl/>
          <w:lang w:bidi="fa-IR"/>
        </w:rPr>
        <w:t xml:space="preserve"> تَعَالى : </w:t>
      </w:r>
      <w:r w:rsidRPr="00071CF9">
        <w:rPr>
          <w:rStyle w:val="libAlaemChar"/>
          <w:rtl/>
        </w:rPr>
        <w:t>(</w:t>
      </w:r>
      <w:r w:rsidRPr="00071CF9">
        <w:rPr>
          <w:rStyle w:val="libAieChar"/>
          <w:rtl/>
        </w:rPr>
        <w:t xml:space="preserve"> هُوَ الَّذِي أَنْزَلَ عَلَيْكَ الْكِتابَ مِنْهُ آياتٌ مُحْكَماتٌ هُنَّ أُمُّ الْكِتابِ </w:t>
      </w:r>
      <w:r w:rsidRPr="00071CF9">
        <w:rPr>
          <w:rStyle w:val="libAlaemChar"/>
          <w:rtl/>
        </w:rPr>
        <w:t>)</w:t>
      </w:r>
      <w:r w:rsidRPr="00132E65">
        <w:rPr>
          <w:rtl/>
          <w:lang w:bidi="fa-IR"/>
        </w:rPr>
        <w:t xml:space="preserve"> قَالَ : « أَمِيرُ الْمُؤْمِنِينَ </w:t>
      </w:r>
      <w:r w:rsidRPr="00071CF9">
        <w:rPr>
          <w:rStyle w:val="libAlaemChar"/>
          <w:rtl/>
        </w:rPr>
        <w:t>عليه‌السلام</w:t>
      </w:r>
      <w:r w:rsidRPr="00132E65">
        <w:rPr>
          <w:rtl/>
          <w:lang w:bidi="fa-IR"/>
        </w:rPr>
        <w:t xml:space="preserve"> والْأَئِمَّةُ </w:t>
      </w:r>
      <w:r w:rsidRPr="00071CF9">
        <w:rPr>
          <w:rStyle w:val="libAlaemChar"/>
          <w:rtl/>
        </w:rPr>
        <w:t>عليهم‌السلام</w:t>
      </w:r>
      <w:r w:rsidRPr="00132E65">
        <w:rPr>
          <w:rtl/>
          <w:lang w:bidi="fa-IR"/>
        </w:rPr>
        <w:t xml:space="preserve"> »</w:t>
      </w:r>
      <w:r>
        <w:rPr>
          <w:rtl/>
          <w:lang w:bidi="fa-IR"/>
        </w:rPr>
        <w:t>.</w:t>
      </w:r>
      <w:r w:rsidRPr="00071CF9">
        <w:rPr>
          <w:rStyle w:val="libAlaemChar"/>
          <w:rtl/>
        </w:rPr>
        <w:t>(</w:t>
      </w:r>
      <w:r w:rsidRPr="00071CF9">
        <w:rPr>
          <w:rStyle w:val="libAieChar"/>
          <w:rtl/>
        </w:rPr>
        <w:t xml:space="preserve"> وَأُخَرُ مُتَشابِهاتٌ </w:t>
      </w:r>
      <w:r w:rsidRPr="00071CF9">
        <w:rPr>
          <w:rStyle w:val="libAlaemChar"/>
          <w:rtl/>
        </w:rPr>
        <w:t>)</w:t>
      </w:r>
      <w:r w:rsidRPr="00132E65">
        <w:rPr>
          <w:rtl/>
          <w:lang w:bidi="fa-IR"/>
        </w:rPr>
        <w:t xml:space="preserve"> قَالَ : « فُلَانٌ وَفُلَانٌ </w:t>
      </w:r>
      <w:r>
        <w:rPr>
          <w:rStyle w:val="libFootnotenumChar"/>
          <w:rtl/>
        </w:rPr>
        <w:t>(7)</w:t>
      </w:r>
      <w:r w:rsidRPr="00132E65">
        <w:rPr>
          <w:rtl/>
          <w:lang w:bidi="fa-IR"/>
        </w:rPr>
        <w:t xml:space="preserve"> »</w:t>
      </w:r>
      <w:r>
        <w:rPr>
          <w:rtl/>
          <w:lang w:bidi="fa-IR"/>
        </w:rPr>
        <w:t>.</w:t>
      </w:r>
      <w:r w:rsidRPr="00071CF9">
        <w:rPr>
          <w:rStyle w:val="libAlaemChar"/>
          <w:rtl/>
        </w:rPr>
        <w:t>(</w:t>
      </w:r>
      <w:r w:rsidRPr="00071CF9">
        <w:rPr>
          <w:rStyle w:val="libAieChar"/>
          <w:rtl/>
        </w:rPr>
        <w:t xml:space="preserve"> فَأَمَّا الَّذِينَ فِي قُلُوبِهِمْ زَيْغٌ </w:t>
      </w:r>
      <w:r w:rsidRPr="00071CF9">
        <w:rPr>
          <w:rStyle w:val="libAlaemChar"/>
          <w:rtl/>
        </w:rPr>
        <w:t>)</w:t>
      </w:r>
      <w:r w:rsidRPr="00132E65">
        <w:rPr>
          <w:rtl/>
          <w:lang w:bidi="fa-IR"/>
        </w:rPr>
        <w:t xml:space="preserve"> : « أَصْحَابُهُمْ وأَهْلُ ولَايَتِهِمْ </w:t>
      </w:r>
      <w:r>
        <w:rPr>
          <w:rStyle w:val="libFootnotenumChar"/>
          <w:rtl/>
        </w:rPr>
        <w:t>(8)</w:t>
      </w:r>
      <w:r w:rsidRPr="00132E65">
        <w:rPr>
          <w:rtl/>
          <w:lang w:bidi="fa-IR"/>
        </w:rPr>
        <w:t xml:space="preserve"> »</w:t>
      </w:r>
      <w:r>
        <w:rPr>
          <w:rtl/>
          <w:lang w:bidi="fa-IR"/>
        </w:rPr>
        <w:t>.</w:t>
      </w:r>
      <w:r w:rsidRPr="00071CF9">
        <w:rPr>
          <w:rStyle w:val="libAlaemChar"/>
          <w:rtl/>
        </w:rPr>
        <w:t>(</w:t>
      </w:r>
      <w:r w:rsidRPr="00071CF9">
        <w:rPr>
          <w:rStyle w:val="libAieChar"/>
          <w:rtl/>
        </w:rPr>
        <w:t xml:space="preserve"> فَيَتَّبِعُونَ ما تَشابَهَ مِنْهُ ابْتِغاءَ الْفِتْنَةِ وَابْتِغاءَ تَأْوِيلِهِ </w:t>
      </w:r>
      <w:r w:rsidR="00240B10">
        <w:rPr>
          <w:rStyle w:val="libAieChar"/>
          <w:rtl/>
        </w:rPr>
        <w:t>وَما يَعْلَمُ تَأْوِيلَهُ إِل</w:t>
      </w:r>
      <w:r w:rsidR="00240B10">
        <w:rPr>
          <w:rStyle w:val="libAieChar"/>
          <w:rFonts w:hint="cs"/>
          <w:rtl/>
        </w:rPr>
        <w:t>َّ</w:t>
      </w:r>
      <w:r w:rsidR="00240B10">
        <w:rPr>
          <w:rStyle w:val="libAieChar"/>
          <w:rtl/>
        </w:rPr>
        <w:t>ا</w:t>
      </w:r>
      <w:r w:rsidRPr="00071CF9">
        <w:rPr>
          <w:rStyle w:val="libAieChar"/>
          <w:rtl/>
        </w:rPr>
        <w:t xml:space="preserve"> اللهُ وَالرّاسِخُونَ فِي الْعِلْمِ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الأنفال </w:t>
      </w:r>
      <w:r w:rsidR="00240B10">
        <w:rPr>
          <w:rtl/>
        </w:rPr>
        <w:t>(8)</w:t>
      </w:r>
      <w:r w:rsidRPr="00132E65">
        <w:rPr>
          <w:rtl/>
        </w:rPr>
        <w:t xml:space="preserve"> : 41.</w:t>
      </w:r>
    </w:p>
    <w:p w:rsidR="000C39D1" w:rsidRPr="00132E65" w:rsidRDefault="000C39D1" w:rsidP="00240B10">
      <w:pPr>
        <w:pStyle w:val="libFootnote0"/>
        <w:rPr>
          <w:rtl/>
          <w:lang w:bidi="fa-IR"/>
        </w:rPr>
      </w:pPr>
      <w:r>
        <w:rPr>
          <w:rtl/>
        </w:rPr>
        <w:t>(2).</w:t>
      </w:r>
      <w:r w:rsidRPr="00132E65">
        <w:rPr>
          <w:rtl/>
        </w:rPr>
        <w:t xml:space="preserve"> راجع : </w:t>
      </w:r>
      <w:r w:rsidRPr="000577A7">
        <w:rPr>
          <w:rStyle w:val="libFootnoteBoldChar"/>
          <w:rtl/>
        </w:rPr>
        <w:t>الكافي</w:t>
      </w:r>
      <w:r w:rsidRPr="00132E65">
        <w:rPr>
          <w:rtl/>
        </w:rPr>
        <w:t xml:space="preserve"> ، كتاب الحجّة ، باب الفي‌ء والأنفال وتفسير الخمس</w:t>
      </w:r>
      <w:r>
        <w:rPr>
          <w:rtl/>
        </w:rPr>
        <w:t xml:space="preserve"> ..</w:t>
      </w:r>
      <w:r w:rsidRPr="00132E65">
        <w:rPr>
          <w:rtl/>
        </w:rPr>
        <w:t>. ، ح 1422 ؛ وكتاب الروضة ، ح 15246 ؛ و</w:t>
      </w:r>
      <w:r w:rsidRPr="002544C8">
        <w:rPr>
          <w:rtl/>
        </w:rPr>
        <w:t xml:space="preserve">الفقيه </w:t>
      </w:r>
      <w:r w:rsidRPr="00132E65">
        <w:rPr>
          <w:rtl/>
        </w:rPr>
        <w:t>، ج 2 ، ص 42 ، ح 1651 ؛ و</w:t>
      </w:r>
      <w:r w:rsidRPr="002544C8">
        <w:rPr>
          <w:rtl/>
        </w:rPr>
        <w:t xml:space="preserve">الخصال </w:t>
      </w:r>
      <w:r w:rsidRPr="00132E65">
        <w:rPr>
          <w:rtl/>
        </w:rPr>
        <w:t>، ص 324 ، باب الستّة ، ح 12 و</w:t>
      </w:r>
      <w:r w:rsidRPr="002544C8">
        <w:rPr>
          <w:rtl/>
        </w:rPr>
        <w:t>التهذيب</w:t>
      </w:r>
      <w:r w:rsidRPr="00132E65">
        <w:rPr>
          <w:rtl/>
        </w:rPr>
        <w:t xml:space="preserve"> ، ج 4 ، ص 125 ، ح 360 </w:t>
      </w:r>
      <w:r>
        <w:rPr>
          <w:rtl/>
        </w:rPr>
        <w:t>و 3</w:t>
      </w:r>
      <w:r w:rsidRPr="00132E65">
        <w:rPr>
          <w:rtl/>
        </w:rPr>
        <w:t>61 ؛ و</w:t>
      </w:r>
      <w:r w:rsidRPr="002544C8">
        <w:rPr>
          <w:rtl/>
        </w:rPr>
        <w:t>تفسير العيّاشي</w:t>
      </w:r>
      <w:r w:rsidRPr="00132E65">
        <w:rPr>
          <w:rtl/>
        </w:rPr>
        <w:t xml:space="preserve"> ، ج 2 ، ص 61</w:t>
      </w:r>
      <w:r>
        <w:rPr>
          <w:rtl/>
        </w:rPr>
        <w:t xml:space="preserve"> - </w:t>
      </w:r>
      <w:r w:rsidRPr="00132E65">
        <w:rPr>
          <w:rtl/>
        </w:rPr>
        <w:t xml:space="preserve">63 ، ح 50 </w:t>
      </w:r>
      <w:r>
        <w:rPr>
          <w:rtl/>
        </w:rPr>
        <w:t>و 5</w:t>
      </w:r>
      <w:r w:rsidRPr="00132E65">
        <w:rPr>
          <w:rtl/>
        </w:rPr>
        <w:t xml:space="preserve">5 </w:t>
      </w:r>
      <w:r>
        <w:rPr>
          <w:rtl/>
        </w:rPr>
        <w:t>و 5</w:t>
      </w:r>
      <w:r w:rsidRPr="00132E65">
        <w:rPr>
          <w:rtl/>
        </w:rPr>
        <w:t xml:space="preserve">6 </w:t>
      </w:r>
      <w:r>
        <w:rPr>
          <w:rtl/>
        </w:rPr>
        <w:t>و 6</w:t>
      </w:r>
      <w:r w:rsidRPr="00132E65">
        <w:rPr>
          <w:rtl/>
        </w:rPr>
        <w:t>4 ؛ و</w:t>
      </w:r>
      <w:r w:rsidRPr="002544C8">
        <w:rPr>
          <w:rtl/>
        </w:rPr>
        <w:t>تفسير فرات</w:t>
      </w:r>
      <w:r w:rsidRPr="00132E65">
        <w:rPr>
          <w:rtl/>
        </w:rPr>
        <w:t xml:space="preserve"> ، ص 153 ، ح 191</w:t>
      </w:r>
      <w:r w:rsidR="00240B10">
        <w:rPr>
          <w:rFonts w:hint="cs"/>
          <w:rtl/>
        </w:rPr>
        <w:t>.</w:t>
      </w:r>
      <w:r w:rsidRPr="009D1ACE">
        <w:rPr>
          <w:rStyle w:val="libFootnoteBoldChar"/>
          <w:rtl/>
        </w:rPr>
        <w:t>الوافي</w:t>
      </w:r>
      <w:r w:rsidRPr="00132E65">
        <w:rPr>
          <w:rtl/>
        </w:rPr>
        <w:t xml:space="preserve"> ، ج 3 ، ص 886 ، ح 1523 ؛ </w:t>
      </w:r>
      <w:r w:rsidRPr="002544C8">
        <w:rPr>
          <w:rtl/>
        </w:rPr>
        <w:t>البحار</w:t>
      </w:r>
      <w:r w:rsidRPr="00132E65">
        <w:rPr>
          <w:rtl/>
        </w:rPr>
        <w:t xml:space="preserve"> ، ج 24 ، ص 278 ، ح 5.</w:t>
      </w:r>
    </w:p>
    <w:tbl>
      <w:tblPr>
        <w:tblStyle w:val="TableGrid"/>
        <w:bidiVisual/>
        <w:tblW w:w="0" w:type="auto"/>
        <w:tblLook w:val="04A0" w:firstRow="1" w:lastRow="0" w:firstColumn="1" w:lastColumn="0" w:noHBand="0" w:noVBand="1"/>
      </w:tblPr>
      <w:tblGrid>
        <w:gridCol w:w="4006"/>
        <w:gridCol w:w="4006"/>
      </w:tblGrid>
      <w:tr w:rsidR="00240B10" w:rsidTr="00240B10">
        <w:tc>
          <w:tcPr>
            <w:tcW w:w="4006" w:type="dxa"/>
          </w:tcPr>
          <w:p w:rsidR="00240B10" w:rsidRDefault="00240B10" w:rsidP="000C39D1">
            <w:pPr>
              <w:pStyle w:val="libFootnote0"/>
              <w:rPr>
                <w:rtl/>
              </w:rPr>
            </w:pPr>
            <w:r>
              <w:rPr>
                <w:rtl/>
              </w:rPr>
              <w:t>(3).</w:t>
            </w:r>
            <w:r w:rsidRPr="00132E65">
              <w:rPr>
                <w:rtl/>
              </w:rPr>
              <w:t xml:space="preserve"> في « بف » : « أئمّة »</w:t>
            </w:r>
            <w:r>
              <w:rPr>
                <w:rtl/>
              </w:rPr>
              <w:t>.</w:t>
            </w:r>
          </w:p>
        </w:tc>
        <w:tc>
          <w:tcPr>
            <w:tcW w:w="4006" w:type="dxa"/>
          </w:tcPr>
          <w:p w:rsidR="00240B10" w:rsidRDefault="00240B10" w:rsidP="000C39D1">
            <w:pPr>
              <w:pStyle w:val="libFootnote0"/>
              <w:rPr>
                <w:rtl/>
              </w:rPr>
            </w:pPr>
            <w:r>
              <w:rPr>
                <w:rtl/>
              </w:rPr>
              <w:t>(4).</w:t>
            </w:r>
            <w:r w:rsidRPr="00132E65">
              <w:rPr>
                <w:rtl/>
              </w:rPr>
              <w:t xml:space="preserve"> الأعراف </w:t>
            </w:r>
            <w:r>
              <w:rPr>
                <w:rtl/>
              </w:rPr>
              <w:t>(7)</w:t>
            </w:r>
            <w:r w:rsidRPr="00132E65">
              <w:rPr>
                <w:rtl/>
              </w:rPr>
              <w:t xml:space="preserve"> : 181.</w:t>
            </w:r>
          </w:p>
        </w:tc>
      </w:tr>
    </w:tbl>
    <w:p w:rsidR="000C39D1" w:rsidRPr="00132E65" w:rsidRDefault="000C39D1" w:rsidP="00240B10">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36 ، ح 8 ، بسند آخر عن أبي جعفر </w:t>
      </w:r>
      <w:r w:rsidRPr="00240B10">
        <w:rPr>
          <w:rStyle w:val="libFootnoteAlaemChar"/>
          <w:rtl/>
        </w:rPr>
        <w:t>عليه‌السلام</w:t>
      </w:r>
      <w:r w:rsidRPr="00132E65">
        <w:rPr>
          <w:rtl/>
        </w:rPr>
        <w:t xml:space="preserve">. وفي </w:t>
      </w:r>
      <w:r w:rsidRPr="002544C8">
        <w:rPr>
          <w:rtl/>
        </w:rPr>
        <w:t>تفسير العيّاشي</w:t>
      </w:r>
      <w:r w:rsidRPr="00132E65">
        <w:rPr>
          <w:rtl/>
        </w:rPr>
        <w:t xml:space="preserve"> ، ج 2 ، ص 42 ، ح 120 ، عن حمران ، عن أبي جعفر </w:t>
      </w:r>
      <w:r w:rsidRPr="00240B10">
        <w:rPr>
          <w:rStyle w:val="libFootnoteAlaemChar"/>
          <w:rtl/>
        </w:rPr>
        <w:t>عليه‌السلام</w:t>
      </w:r>
      <w:r w:rsidRPr="00132E65">
        <w:rPr>
          <w:rtl/>
        </w:rPr>
        <w:t xml:space="preserve">. وراجع : </w:t>
      </w:r>
      <w:r w:rsidRPr="002544C8">
        <w:rPr>
          <w:rtl/>
        </w:rPr>
        <w:t>تفسير العيّاشي</w:t>
      </w:r>
      <w:r w:rsidRPr="00132E65">
        <w:rPr>
          <w:rtl/>
        </w:rPr>
        <w:t xml:space="preserve"> ، ج 1 ، ص 331</w:t>
      </w:r>
      <w:r w:rsidR="00240B10">
        <w:rPr>
          <w:rFonts w:hint="cs"/>
          <w:rtl/>
        </w:rPr>
        <w:t>.</w:t>
      </w:r>
      <w:r w:rsidRPr="009D1ACE">
        <w:rPr>
          <w:rStyle w:val="libFootnoteBoldChar"/>
          <w:rtl/>
        </w:rPr>
        <w:t>الوافي</w:t>
      </w:r>
      <w:r w:rsidRPr="00132E65">
        <w:rPr>
          <w:rtl/>
        </w:rPr>
        <w:t xml:space="preserve"> ، ج 3 ، ص 886 ، ح 1524 ؛ </w:t>
      </w:r>
      <w:r w:rsidRPr="002544C8">
        <w:rPr>
          <w:rtl/>
        </w:rPr>
        <w:t>البحار</w:t>
      </w:r>
      <w:r w:rsidRPr="00132E65">
        <w:rPr>
          <w:rtl/>
        </w:rPr>
        <w:t xml:space="preserve"> ، ج 24 ، ص 146 ، ح 17.</w:t>
      </w:r>
      <w:r w:rsidR="00240B10">
        <w:rPr>
          <w:rFonts w:hint="cs"/>
          <w:rtl/>
        </w:rPr>
        <w:t xml:space="preserve">    </w:t>
      </w:r>
      <w:r>
        <w:rPr>
          <w:rtl/>
        </w:rPr>
        <w:t>(6).</w:t>
      </w:r>
      <w:r w:rsidRPr="00132E65">
        <w:rPr>
          <w:rtl/>
        </w:rPr>
        <w:t xml:space="preserve"> في « ض » وشرح المازندراني و</w:t>
      </w:r>
      <w:r w:rsidRPr="009D1ACE">
        <w:rPr>
          <w:rStyle w:val="libFootnoteBoldChar"/>
          <w:rtl/>
        </w:rPr>
        <w:t>الوافي</w:t>
      </w:r>
      <w:r w:rsidRPr="00132E65">
        <w:rPr>
          <w:rtl/>
        </w:rPr>
        <w:t xml:space="preserve"> : « قول الله »</w:t>
      </w:r>
      <w:r>
        <w:rPr>
          <w:rtl/>
        </w:rPr>
        <w:t>.</w:t>
      </w:r>
    </w:p>
    <w:p w:rsidR="000C39D1" w:rsidRPr="00132E65" w:rsidRDefault="000C39D1" w:rsidP="000C39D1">
      <w:pPr>
        <w:pStyle w:val="libFootnote0"/>
        <w:rPr>
          <w:rtl/>
          <w:lang w:bidi="fa-IR"/>
        </w:rPr>
      </w:pPr>
      <w:r>
        <w:rPr>
          <w:rtl/>
        </w:rPr>
        <w:t>(7).</w:t>
      </w:r>
      <w:r w:rsidRPr="00132E65">
        <w:rPr>
          <w:rtl/>
        </w:rPr>
        <w:t xml:space="preserve"> في تفسير العيّاشي ، ص 162 ، ح 2 ، والبحار ، ج 23 :</w:t>
      </w:r>
      <w:r>
        <w:rPr>
          <w:rtl/>
        </w:rPr>
        <w:t xml:space="preserve"> + </w:t>
      </w:r>
      <w:r w:rsidRPr="00132E65">
        <w:rPr>
          <w:rtl/>
        </w:rPr>
        <w:t>« فلان »</w:t>
      </w:r>
      <w:r>
        <w:rPr>
          <w:rtl/>
        </w:rPr>
        <w:t>.</w:t>
      </w:r>
    </w:p>
    <w:p w:rsidR="000C39D1" w:rsidRPr="00132E65" w:rsidRDefault="000C39D1" w:rsidP="000C39D1">
      <w:pPr>
        <w:pStyle w:val="libFootnote0"/>
        <w:rPr>
          <w:rtl/>
          <w:lang w:bidi="fa-IR"/>
        </w:rPr>
      </w:pPr>
      <w:r>
        <w:rPr>
          <w:rtl/>
        </w:rPr>
        <w:t>(8).</w:t>
      </w:r>
      <w:r w:rsidRPr="00132E65">
        <w:rPr>
          <w:rtl/>
        </w:rPr>
        <w:t xml:space="preserve"> في البحار ، ج 23 </w:t>
      </w:r>
      <w:r>
        <w:rPr>
          <w:rtl/>
        </w:rPr>
        <w:t xml:space="preserve">: - </w:t>
      </w:r>
      <w:r w:rsidRPr="00132E65">
        <w:rPr>
          <w:rtl/>
        </w:rPr>
        <w:t>« أصحابهم وأهل ولايتهم »</w:t>
      </w:r>
      <w:r>
        <w:rPr>
          <w:rtl/>
        </w:rPr>
        <w:t>.</w:t>
      </w:r>
    </w:p>
    <w:p w:rsidR="000C39D1" w:rsidRPr="00132E65" w:rsidRDefault="000C39D1" w:rsidP="000C39D1">
      <w:pPr>
        <w:pStyle w:val="libFootnote0"/>
        <w:rPr>
          <w:rtl/>
          <w:lang w:bidi="fa-IR"/>
        </w:rPr>
      </w:pPr>
      <w:r>
        <w:rPr>
          <w:rtl/>
        </w:rPr>
        <w:t>(9).</w:t>
      </w:r>
      <w:r w:rsidRPr="00132E65">
        <w:rPr>
          <w:rtl/>
        </w:rPr>
        <w:t xml:space="preserve"> آل عمران </w:t>
      </w:r>
      <w:r w:rsidR="00240B10">
        <w:rPr>
          <w:rtl/>
        </w:rPr>
        <w:t>(3)</w:t>
      </w:r>
      <w:r w:rsidRPr="00132E65">
        <w:rPr>
          <w:rtl/>
        </w:rPr>
        <w:t xml:space="preserve"> : 7. وفي البحار ، ج 23 :</w:t>
      </w:r>
      <w:r>
        <w:rPr>
          <w:rtl/>
        </w:rPr>
        <w:t xml:space="preserve"> + </w:t>
      </w:r>
      <w:r w:rsidRPr="00132E65">
        <w:rPr>
          <w:rtl/>
        </w:rPr>
        <w:t>« وهم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 أَمِيرُ الْمُؤْمِنِينَ </w:t>
      </w:r>
      <w:r w:rsidRPr="00071CF9">
        <w:rPr>
          <w:rStyle w:val="libAlaemChar"/>
          <w:rtl/>
        </w:rPr>
        <w:t>عليه‌السلام</w:t>
      </w:r>
      <w:r w:rsidRPr="00132E65">
        <w:rPr>
          <w:rtl/>
          <w:lang w:bidi="fa-IR"/>
        </w:rPr>
        <w:t xml:space="preserve"> والْأَئِمَّةُ </w:t>
      </w:r>
      <w:r>
        <w:rPr>
          <w:rStyle w:val="libFootnotenumChar"/>
          <w:rtl/>
        </w:rPr>
        <w:t>(1)</w:t>
      </w:r>
      <w:r w:rsidRPr="00132E65">
        <w:rPr>
          <w:rtl/>
          <w:lang w:bidi="fa-IR"/>
        </w:rPr>
        <w:t xml:space="preserve">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2544C8">
        <w:rPr>
          <w:rtl/>
        </w:rPr>
        <w:t>1102</w:t>
      </w:r>
      <w:r w:rsidRPr="004325D8">
        <w:rPr>
          <w:rStyle w:val="libBold2Char"/>
          <w:rtl/>
        </w:rPr>
        <w:t xml:space="preserve"> / 15.</w:t>
      </w:r>
      <w:r w:rsidRPr="00132E65">
        <w:rPr>
          <w:rtl/>
          <w:lang w:bidi="fa-IR"/>
        </w:rPr>
        <w:t xml:space="preserve"> الْحُسَيْنُ بْنُ مُحَمَّدٍ ، عَنْ مُعَلَّى بْنِ مُحَمَّدٍ ، عَنِ الْوَشَّاءِ ، عَنْ مُثَنًّى ، عَنْ عَبْدِ اللهِ بْنِ عَجْلَانَ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w:t>
      </w:r>
      <w:r>
        <w:rPr>
          <w:rStyle w:val="libFootnotenumChar"/>
          <w:rtl/>
        </w:rPr>
        <w:t>(3)</w:t>
      </w:r>
      <w:r w:rsidRPr="00132E65">
        <w:rPr>
          <w:rtl/>
          <w:lang w:bidi="fa-IR"/>
        </w:rPr>
        <w:t xml:space="preserve"> تَعَالى : </w:t>
      </w:r>
      <w:r w:rsidRPr="00071CF9">
        <w:rPr>
          <w:rStyle w:val="libAlaemChar"/>
          <w:rtl/>
        </w:rPr>
        <w:t>(</w:t>
      </w:r>
      <w:r w:rsidRPr="00071CF9">
        <w:rPr>
          <w:rStyle w:val="libAieChar"/>
          <w:rtl/>
        </w:rPr>
        <w:t xml:space="preserve"> أَمْ حَسِبْتُمْ أَنْ تُتْرَكُوا وَلَمّا يَعْلَمِ اللهُ الَّذِينَ جاهَدُوا مِنْكُمْ وَلَمْ يَتَّخِذُوا مِنْ دُونِ اللهِ وَلا رَسُولِهِ وَلَا الْمُؤْمِنِينَ وَلِيجَةً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 « يَعْنِي بِالْمُؤْمِنِينَ الْأَئِمَّةَ </w:t>
      </w:r>
      <w:r w:rsidRPr="00071CF9">
        <w:rPr>
          <w:rStyle w:val="libAlaemChar"/>
          <w:rtl/>
        </w:rPr>
        <w:t>عليهم‌السلام</w:t>
      </w:r>
      <w:r w:rsidRPr="00132E65">
        <w:rPr>
          <w:rtl/>
          <w:lang w:bidi="fa-IR"/>
        </w:rPr>
        <w:t xml:space="preserve"> لَمْ يَتَّخِذُوا الْوَلَائِجَ </w:t>
      </w:r>
      <w:r>
        <w:rPr>
          <w:rStyle w:val="libFootnotenumChar"/>
          <w:rtl/>
        </w:rPr>
        <w:t>(5)</w:t>
      </w:r>
      <w:r w:rsidRPr="00132E65">
        <w:rPr>
          <w:rtl/>
          <w:lang w:bidi="fa-IR"/>
        </w:rPr>
        <w:t xml:space="preserve"> مِنْ دُونِهِمْ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2544C8">
        <w:rPr>
          <w:rtl/>
        </w:rPr>
        <w:t>1103</w:t>
      </w:r>
      <w:r w:rsidRPr="004325D8">
        <w:rPr>
          <w:rStyle w:val="libBold2Char"/>
          <w:rtl/>
        </w:rPr>
        <w:t xml:space="preserve"> / 16.</w:t>
      </w:r>
      <w:r w:rsidRPr="00132E65">
        <w:rPr>
          <w:rtl/>
          <w:lang w:bidi="fa-IR"/>
        </w:rPr>
        <w:t xml:space="preserve"> الْحُسَيْنُ بْنُ مُحَمَّدٍ ، عَنْ مُعَلَّى بْنِ مُحَمَّدٍ ، عَنْ مُحَمَّدِ بْنِ جُمْهُورٍ ، عَنْ صَفْوَانَ ، عَنِ ابْنِ مُسْكَانَ ، عَنِ الْحَلَبِيِّ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وَإِنْ جَنَحُوا لِلسَّلْمِ فَاجْنَحْ لَها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قَالَ </w:t>
      </w:r>
      <w:r>
        <w:rPr>
          <w:rStyle w:val="libFootnotenumChar"/>
          <w:rtl/>
        </w:rPr>
        <w:t>(8)</w:t>
      </w:r>
      <w:r w:rsidR="00240B10">
        <w:rPr>
          <w:rtl/>
          <w:lang w:bidi="fa-IR"/>
        </w:rPr>
        <w:t xml:space="preserve"> : قُلْتُ</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560 :</w:t>
      </w:r>
      <w:r>
        <w:rPr>
          <w:rtl/>
        </w:rPr>
        <w:t xml:space="preserve"> + </w:t>
      </w:r>
      <w:r w:rsidRPr="00132E65">
        <w:rPr>
          <w:rtl/>
        </w:rPr>
        <w:t>« من بعده »</w:t>
      </w:r>
      <w:r>
        <w:rPr>
          <w:rtl/>
        </w:rPr>
        <w:t>.</w:t>
      </w:r>
      <w:r w:rsidRPr="00132E65">
        <w:rPr>
          <w:rtl/>
        </w:rPr>
        <w:t xml:space="preserve"> وفي الوسائل ، ج 27 ، ص 179 :</w:t>
      </w:r>
      <w:r>
        <w:rPr>
          <w:rtl/>
        </w:rPr>
        <w:t xml:space="preserve"> + </w:t>
      </w:r>
      <w:r w:rsidRPr="00132E65">
        <w:rPr>
          <w:rtl/>
        </w:rPr>
        <w:t>« من ولده »</w:t>
      </w:r>
      <w:r>
        <w:rPr>
          <w:rtl/>
        </w:rPr>
        <w:t>.</w:t>
      </w:r>
    </w:p>
    <w:p w:rsidR="000C39D1" w:rsidRPr="00132E65" w:rsidRDefault="000C39D1" w:rsidP="00863B19">
      <w:pPr>
        <w:pStyle w:val="libFootnote0"/>
        <w:rPr>
          <w:rtl/>
          <w:lang w:bidi="fa-IR"/>
        </w:rPr>
      </w:pPr>
      <w:r>
        <w:rPr>
          <w:rtl/>
        </w:rPr>
        <w:t>(2).</w:t>
      </w:r>
      <w:r w:rsidRPr="00132E65">
        <w:rPr>
          <w:rtl/>
        </w:rPr>
        <w:t xml:space="preserve"> </w:t>
      </w:r>
      <w:r w:rsidRPr="000577A7">
        <w:rPr>
          <w:rStyle w:val="libFootnoteBoldChar"/>
          <w:rtl/>
        </w:rPr>
        <w:t>الكافي</w:t>
      </w:r>
      <w:r w:rsidRPr="00132E65">
        <w:rPr>
          <w:rtl/>
        </w:rPr>
        <w:t xml:space="preserve"> ، كتاب الحجّة ، باب أنّ الراسخين في العلم هم الأئمّة </w:t>
      </w:r>
      <w:r w:rsidRPr="00240B10">
        <w:rPr>
          <w:rStyle w:val="libFootnoteAlaemChar"/>
          <w:rtl/>
        </w:rPr>
        <w:t>عليهم‌السلام</w:t>
      </w:r>
      <w:r w:rsidRPr="00132E65">
        <w:rPr>
          <w:rtl/>
        </w:rPr>
        <w:t xml:space="preserve"> ، ح 560 ، من قوله : </w:t>
      </w:r>
      <w:r w:rsidR="00240B10" w:rsidRPr="00240B10">
        <w:rPr>
          <w:rStyle w:val="libFootnoteAlaemChar"/>
          <w:rFonts w:hint="cs"/>
          <w:rtl/>
        </w:rPr>
        <w:t>(</w:t>
      </w:r>
      <w:r w:rsidRPr="00240B10">
        <w:rPr>
          <w:rStyle w:val="libFootnoteAieChar"/>
          <w:rtl/>
        </w:rPr>
        <w:t xml:space="preserve"> الرّاسِخُونَ فِي العِلْمِ </w:t>
      </w:r>
      <w:r w:rsidR="00240B10" w:rsidRPr="00240B10">
        <w:rPr>
          <w:rStyle w:val="libFootnoteAlaemChar"/>
          <w:rFonts w:hint="cs"/>
          <w:rtl/>
        </w:rPr>
        <w:t>)</w:t>
      </w:r>
      <w:r>
        <w:rPr>
          <w:rtl/>
        </w:rPr>
        <w:t>.</w:t>
      </w:r>
      <w:r w:rsidRPr="00132E65">
        <w:rPr>
          <w:rtl/>
        </w:rPr>
        <w:t xml:space="preserve"> وفي </w:t>
      </w:r>
      <w:r w:rsidRPr="002544C8">
        <w:rPr>
          <w:rtl/>
        </w:rPr>
        <w:t>تفسير العيّاشي</w:t>
      </w:r>
      <w:r w:rsidRPr="00132E65">
        <w:rPr>
          <w:rtl/>
        </w:rPr>
        <w:t xml:space="preserve"> ، ج 1 ، ص 162 ، ح 2 ، عن عبد الرحمن بن كثير الهاشمي ، إلى قوله : </w:t>
      </w:r>
      <w:r w:rsidR="00240B10" w:rsidRPr="00240B10">
        <w:rPr>
          <w:rStyle w:val="libFootnoteAlaemChar"/>
          <w:rFonts w:hint="cs"/>
          <w:rtl/>
        </w:rPr>
        <w:t>(</w:t>
      </w:r>
      <w:r w:rsidRPr="00240B10">
        <w:rPr>
          <w:rStyle w:val="libFootnoteAieChar"/>
          <w:rtl/>
        </w:rPr>
        <w:t xml:space="preserve"> وَابْتِغاءَ تَأْوِيلِهِ </w:t>
      </w:r>
      <w:r w:rsidR="00240B10" w:rsidRPr="00240B10">
        <w:rPr>
          <w:rStyle w:val="libFootnoteAlaemChar"/>
          <w:rFonts w:hint="cs"/>
          <w:rtl/>
        </w:rPr>
        <w:t>)</w:t>
      </w:r>
      <w:r>
        <w:rPr>
          <w:rtl/>
        </w:rPr>
        <w:t>.</w:t>
      </w:r>
      <w:r w:rsidRPr="00132E65">
        <w:rPr>
          <w:rtl/>
        </w:rPr>
        <w:t xml:space="preserve"> راجع : </w:t>
      </w:r>
      <w:r w:rsidRPr="002544C8">
        <w:rPr>
          <w:rtl/>
        </w:rPr>
        <w:t>كتاب سليم بن قيس</w:t>
      </w:r>
      <w:r w:rsidRPr="00132E65">
        <w:rPr>
          <w:rtl/>
        </w:rPr>
        <w:t xml:space="preserve"> ، ص 771 ، ح 25 ؛ و</w:t>
      </w:r>
      <w:r w:rsidRPr="007A1104">
        <w:rPr>
          <w:rStyle w:val="libFootnoteBoldChar"/>
          <w:rtl/>
        </w:rPr>
        <w:t>بصائر الدرجات</w:t>
      </w:r>
      <w:r w:rsidRPr="00132E65">
        <w:rPr>
          <w:rtl/>
        </w:rPr>
        <w:t xml:space="preserve"> ، ص 202 ، ح 1 ؛ و</w:t>
      </w:r>
      <w:r w:rsidRPr="000577A7">
        <w:rPr>
          <w:rStyle w:val="libFootnoteBoldChar"/>
          <w:rtl/>
        </w:rPr>
        <w:t>الكافي</w:t>
      </w:r>
      <w:r w:rsidRPr="00132E65">
        <w:rPr>
          <w:rtl/>
        </w:rPr>
        <w:t xml:space="preserve"> ، كتاب الحجّة ، باب أنّ الراسخين في العلم هم الأئمّة </w:t>
      </w:r>
      <w:r w:rsidRPr="00240B10">
        <w:rPr>
          <w:rStyle w:val="libFootnoteAlaemChar"/>
          <w:rtl/>
        </w:rPr>
        <w:t>عليهم‌السلام</w:t>
      </w:r>
      <w:r w:rsidRPr="00132E65">
        <w:rPr>
          <w:rtl/>
        </w:rPr>
        <w:t xml:space="preserve"> ، ح 558 ؛ و</w:t>
      </w:r>
      <w:r w:rsidRPr="002544C8">
        <w:rPr>
          <w:rtl/>
        </w:rPr>
        <w:t>التهذيب</w:t>
      </w:r>
      <w:r w:rsidRPr="00132E65">
        <w:rPr>
          <w:rtl/>
        </w:rPr>
        <w:t xml:space="preserve"> ، ج 4 ، ص 132 ، ح 367 ؛ و</w:t>
      </w:r>
      <w:r w:rsidRPr="002544C8">
        <w:rPr>
          <w:rtl/>
        </w:rPr>
        <w:t>تفسير العيّاشي</w:t>
      </w:r>
      <w:r w:rsidRPr="00132E65">
        <w:rPr>
          <w:rtl/>
        </w:rPr>
        <w:t xml:space="preserve"> ، ج 1 ، ص 162 ، ح 4 ؛ وص 247 ، ح 155 ؛ و</w:t>
      </w:r>
      <w:r w:rsidRPr="002544C8">
        <w:rPr>
          <w:rtl/>
        </w:rPr>
        <w:t>تفسير القمّي</w:t>
      </w:r>
      <w:r w:rsidRPr="00132E65">
        <w:rPr>
          <w:rtl/>
        </w:rPr>
        <w:t xml:space="preserve"> ، ج 2 ، ص 451</w:t>
      </w:r>
      <w:r w:rsidR="00863B19">
        <w:rPr>
          <w:rFonts w:hint="cs"/>
          <w:rtl/>
        </w:rPr>
        <w:t>.</w:t>
      </w:r>
      <w:r w:rsidRPr="009D1ACE">
        <w:rPr>
          <w:rStyle w:val="libFootnoteBoldChar"/>
          <w:rtl/>
        </w:rPr>
        <w:t>الوافي</w:t>
      </w:r>
      <w:r w:rsidRPr="00132E65">
        <w:rPr>
          <w:rtl/>
        </w:rPr>
        <w:t xml:space="preserve"> ، ج 3 ، ص 929 ، ح 1615 ؛ وفي </w:t>
      </w:r>
      <w:r w:rsidRPr="002544C8">
        <w:rPr>
          <w:rtl/>
        </w:rPr>
        <w:t>الوسائل</w:t>
      </w:r>
      <w:r w:rsidRPr="00132E65">
        <w:rPr>
          <w:rtl/>
        </w:rPr>
        <w:t xml:space="preserve"> ، ج 27 ، ص 179 ، ح 33539 ، من قوله : « وما يعلم تأويله » ؛ </w:t>
      </w:r>
      <w:r w:rsidRPr="002544C8">
        <w:rPr>
          <w:rtl/>
        </w:rPr>
        <w:t>البحار</w:t>
      </w:r>
      <w:r w:rsidRPr="00132E65">
        <w:rPr>
          <w:rtl/>
        </w:rPr>
        <w:t xml:space="preserve"> ، ج 23 ، ص 208 ، ح 12.</w:t>
      </w:r>
    </w:p>
    <w:p w:rsidR="000C39D1" w:rsidRPr="00132E65" w:rsidRDefault="000C39D1" w:rsidP="000C39D1">
      <w:pPr>
        <w:pStyle w:val="libFootnote0"/>
        <w:rPr>
          <w:rtl/>
          <w:lang w:bidi="fa-IR"/>
        </w:rPr>
      </w:pPr>
      <w:r>
        <w:rPr>
          <w:rtl/>
        </w:rPr>
        <w:t>(3).</w:t>
      </w:r>
      <w:r w:rsidRPr="00132E65">
        <w:rPr>
          <w:rtl/>
        </w:rPr>
        <w:t xml:space="preserve"> في « بح » : « قول الله »</w:t>
      </w:r>
      <w:r>
        <w:rPr>
          <w:rtl/>
        </w:rPr>
        <w:t>.</w:t>
      </w:r>
    </w:p>
    <w:p w:rsidR="000C39D1" w:rsidRPr="00132E65" w:rsidRDefault="000C39D1" w:rsidP="000C39D1">
      <w:pPr>
        <w:pStyle w:val="libFootnote0"/>
        <w:rPr>
          <w:rtl/>
          <w:lang w:bidi="fa-IR"/>
        </w:rPr>
      </w:pPr>
      <w:r>
        <w:rPr>
          <w:rtl/>
        </w:rPr>
        <w:t>(4).</w:t>
      </w:r>
      <w:r w:rsidRPr="00132E65">
        <w:rPr>
          <w:rtl/>
        </w:rPr>
        <w:t xml:space="preserve"> التوبة </w:t>
      </w:r>
      <w:r w:rsidR="00863B19">
        <w:rPr>
          <w:rtl/>
        </w:rPr>
        <w:t>(9)</w:t>
      </w:r>
      <w:r w:rsidRPr="00132E65">
        <w:rPr>
          <w:rtl/>
        </w:rPr>
        <w:t xml:space="preserve"> : 16.</w:t>
      </w:r>
    </w:p>
    <w:p w:rsidR="000C39D1" w:rsidRPr="00132E65" w:rsidRDefault="000C39D1" w:rsidP="000C39D1">
      <w:pPr>
        <w:pStyle w:val="libFootnote0"/>
        <w:rPr>
          <w:rtl/>
          <w:lang w:bidi="fa-IR"/>
        </w:rPr>
      </w:pPr>
      <w:r>
        <w:rPr>
          <w:rtl/>
        </w:rPr>
        <w:t>(5).</w:t>
      </w:r>
      <w:r w:rsidRPr="00132E65">
        <w:rPr>
          <w:rtl/>
        </w:rPr>
        <w:t xml:space="preserve"> « الولائج » : جمع الوليجة ، وهي الدخيلة وخاصّتك من الرجال ، أو من تتّخذه معتمداً عليه من غير أهلك ولا ينافي ذلك اتّخاذ الشيعة بعضهم بعضاً وليجة ؛ لأنّه يرجع إلى كونهم </w:t>
      </w:r>
      <w:r w:rsidRPr="00240B10">
        <w:rPr>
          <w:rStyle w:val="libFootnoteAlaemChar"/>
          <w:rtl/>
        </w:rPr>
        <w:t>عليهم‌السلام</w:t>
      </w:r>
      <w:r w:rsidRPr="00132E65">
        <w:rPr>
          <w:rtl/>
        </w:rPr>
        <w:t xml:space="preserve"> ولائج ؛ لأنّهم </w:t>
      </w:r>
      <w:r w:rsidRPr="00240B10">
        <w:rPr>
          <w:rStyle w:val="libFootnoteAlaemChar"/>
          <w:rtl/>
        </w:rPr>
        <w:t>عليهم‌السلام</w:t>
      </w:r>
      <w:r w:rsidRPr="00132E65">
        <w:rPr>
          <w:rtl/>
        </w:rPr>
        <w:t xml:space="preserve"> جهة الربط والجمعيّة بين شيعتهم. راجع : </w:t>
      </w:r>
      <w:r w:rsidRPr="009D1ACE">
        <w:rPr>
          <w:rStyle w:val="libFootnoteBoldChar"/>
          <w:rtl/>
        </w:rPr>
        <w:t>الوافي</w:t>
      </w:r>
      <w:r w:rsidRPr="00132E65">
        <w:rPr>
          <w:rtl/>
        </w:rPr>
        <w:t xml:space="preserve"> ، ج 3 ، ص 886 ؛ </w:t>
      </w:r>
      <w:r w:rsidRPr="00516892">
        <w:rPr>
          <w:rtl/>
        </w:rPr>
        <w:t>القاموس المحيط</w:t>
      </w:r>
      <w:r w:rsidRPr="00132E65">
        <w:rPr>
          <w:rtl/>
        </w:rPr>
        <w:t xml:space="preserve"> ، ج 1 ، ص 320 ( ولج )</w:t>
      </w:r>
      <w:r>
        <w:rPr>
          <w:rtl/>
        </w:rPr>
        <w:t>.</w:t>
      </w:r>
    </w:p>
    <w:p w:rsidR="000C39D1" w:rsidRPr="00132E65" w:rsidRDefault="000C39D1" w:rsidP="00863B19">
      <w:pPr>
        <w:pStyle w:val="libFootnote0"/>
        <w:rPr>
          <w:rtl/>
          <w:lang w:bidi="fa-IR"/>
        </w:rPr>
      </w:pPr>
      <w:r>
        <w:rPr>
          <w:rtl/>
        </w:rPr>
        <w:t>(6).</w:t>
      </w:r>
      <w:r w:rsidRPr="00132E65">
        <w:rPr>
          <w:rtl/>
        </w:rPr>
        <w:t xml:space="preserve"> </w:t>
      </w:r>
      <w:r w:rsidRPr="00516892">
        <w:rPr>
          <w:rtl/>
        </w:rPr>
        <w:t>تفسير القمّي</w:t>
      </w:r>
      <w:r w:rsidRPr="00132E65">
        <w:rPr>
          <w:rtl/>
        </w:rPr>
        <w:t xml:space="preserve"> ، ج 1 ، ص 283 ، مرسلاً عن أبي الجارود عن أبي جعفر </w:t>
      </w:r>
      <w:r w:rsidRPr="00240B10">
        <w:rPr>
          <w:rStyle w:val="libFootnoteAlaemChar"/>
          <w:rtl/>
        </w:rPr>
        <w:t>عليه‌السلام</w:t>
      </w:r>
      <w:r w:rsidRPr="00132E65">
        <w:rPr>
          <w:rtl/>
        </w:rPr>
        <w:t xml:space="preserve"> ، وتمام الحديث فيه بعد ذكر الآية : « يعني بالمؤمنين آل محمّد »</w:t>
      </w:r>
      <w:r>
        <w:rPr>
          <w:rtl/>
        </w:rPr>
        <w:t>.</w:t>
      </w:r>
      <w:r w:rsidRPr="00132E65">
        <w:rPr>
          <w:rtl/>
        </w:rPr>
        <w:t xml:space="preserve"> </w:t>
      </w:r>
      <w:r w:rsidRPr="000577A7">
        <w:rPr>
          <w:rStyle w:val="libFootnoteBoldChar"/>
          <w:rtl/>
        </w:rPr>
        <w:t>الكافي</w:t>
      </w:r>
      <w:r w:rsidRPr="00132E65">
        <w:rPr>
          <w:rtl/>
        </w:rPr>
        <w:t xml:space="preserve"> ، كتاب الحجّة ، باب مولد أبي محمّد الحسن بن عليّ </w:t>
      </w:r>
      <w:r w:rsidRPr="00240B10">
        <w:rPr>
          <w:rStyle w:val="libFootnoteAlaemChar"/>
          <w:rtl/>
        </w:rPr>
        <w:t>عليهما‌السلام</w:t>
      </w:r>
      <w:r w:rsidRPr="00132E65">
        <w:rPr>
          <w:rtl/>
        </w:rPr>
        <w:t xml:space="preserve"> ، ح 1338 ، بسنده عن أبي محمّد </w:t>
      </w:r>
      <w:r w:rsidRPr="00240B10">
        <w:rPr>
          <w:rStyle w:val="libFootnoteAlaemChar"/>
          <w:rtl/>
        </w:rPr>
        <w:t>عليه‌السلام</w:t>
      </w:r>
      <w:r w:rsidRPr="00132E65">
        <w:rPr>
          <w:rtl/>
        </w:rPr>
        <w:t xml:space="preserve"> ، مع اختلاف</w:t>
      </w:r>
      <w:r w:rsidR="00863B19">
        <w:rPr>
          <w:rFonts w:hint="cs"/>
          <w:rtl/>
        </w:rPr>
        <w:t>.</w:t>
      </w:r>
      <w:r w:rsidRPr="009D1ACE">
        <w:rPr>
          <w:rStyle w:val="libFootnoteBoldChar"/>
          <w:rtl/>
        </w:rPr>
        <w:t>الوافي</w:t>
      </w:r>
      <w:r w:rsidRPr="00132E65">
        <w:rPr>
          <w:rtl/>
        </w:rPr>
        <w:t xml:space="preserve"> ، ج 3 ، ص 886 ، ح 1525 ؛ </w:t>
      </w:r>
      <w:r w:rsidRPr="00516892">
        <w:rPr>
          <w:rtl/>
        </w:rPr>
        <w:t>البحار</w:t>
      </w:r>
      <w:r w:rsidRPr="00132E65">
        <w:rPr>
          <w:rtl/>
        </w:rPr>
        <w:t xml:space="preserve"> ، ج 24 ، ص 244 ، ح 1.</w:t>
      </w:r>
    </w:p>
    <w:p w:rsidR="000C39D1" w:rsidRPr="00132E65" w:rsidRDefault="000C39D1" w:rsidP="00863B19">
      <w:pPr>
        <w:pStyle w:val="libFootnote0"/>
        <w:rPr>
          <w:rtl/>
          <w:lang w:bidi="fa-IR"/>
        </w:rPr>
      </w:pPr>
      <w:r>
        <w:rPr>
          <w:rtl/>
        </w:rPr>
        <w:t>(7).</w:t>
      </w:r>
      <w:r w:rsidRPr="00132E65">
        <w:rPr>
          <w:rtl/>
        </w:rPr>
        <w:t xml:space="preserve"> الأنفال </w:t>
      </w:r>
      <w:r>
        <w:rPr>
          <w:rtl/>
        </w:rPr>
        <w:t>(8)</w:t>
      </w:r>
      <w:r w:rsidRPr="00132E65">
        <w:rPr>
          <w:rtl/>
        </w:rPr>
        <w:t xml:space="preserve"> : 61.</w:t>
      </w:r>
    </w:p>
    <w:p w:rsidR="000C39D1" w:rsidRPr="00132E65" w:rsidRDefault="000C39D1" w:rsidP="000C39D1">
      <w:pPr>
        <w:pStyle w:val="libFootnote0"/>
        <w:rPr>
          <w:rtl/>
          <w:lang w:bidi="fa-IR"/>
        </w:rPr>
      </w:pPr>
      <w:r>
        <w:rPr>
          <w:rtl/>
        </w:rPr>
        <w:t>(8).</w:t>
      </w:r>
      <w:r w:rsidRPr="00132E65">
        <w:rPr>
          <w:rtl/>
        </w:rPr>
        <w:t xml:space="preserve"> في « ب ، ج ، ض ، بح ، بر ، بس ، بف » و</w:t>
      </w:r>
      <w:r w:rsidRPr="009D1ACE">
        <w:rPr>
          <w:rStyle w:val="libFootnoteBoldChar"/>
          <w:rtl/>
        </w:rPr>
        <w:t>الوافي</w:t>
      </w:r>
      <w:r w:rsidRPr="00132E65">
        <w:rPr>
          <w:rtl/>
        </w:rPr>
        <w:t xml:space="preserve"> والبحار </w:t>
      </w:r>
      <w:r>
        <w:rPr>
          <w:rtl/>
        </w:rPr>
        <w:t xml:space="preserve">: - </w:t>
      </w:r>
      <w:r w:rsidRPr="00132E65">
        <w:rPr>
          <w:rtl/>
        </w:rPr>
        <w:t>« 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مَا السَّلْمُ</w:t>
      </w:r>
      <w:r>
        <w:rPr>
          <w:rtl/>
          <w:lang w:bidi="fa-IR"/>
        </w:rPr>
        <w:t>؟</w:t>
      </w:r>
      <w:r w:rsidRPr="00132E65">
        <w:rPr>
          <w:rtl/>
          <w:lang w:bidi="fa-IR"/>
        </w:rPr>
        <w:t xml:space="preserve"> قَالَ : « الدُّخُولُ فِي أَمْرِنَا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516892">
        <w:rPr>
          <w:rtl/>
        </w:rPr>
        <w:t>1104</w:t>
      </w:r>
      <w:r w:rsidRPr="004325D8">
        <w:rPr>
          <w:rStyle w:val="libBold2Char"/>
          <w:rtl/>
        </w:rPr>
        <w:t xml:space="preserve"> / 17.</w:t>
      </w:r>
      <w:r w:rsidRPr="00132E65">
        <w:rPr>
          <w:rtl/>
          <w:lang w:bidi="fa-IR"/>
        </w:rPr>
        <w:t xml:space="preserve"> مُحَمَّدُ بْنُ يَحْيى ، عَنْ أَحْمَدَ بْنِ مُحَمَّدٍ ، عَنِ ابْنِ مَحْبُوبٍ ، عَنْ جَمِيلِ بْنِ صَالِحٍ ، عَنْ زُرَارَةَ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w:t>
      </w:r>
      <w:r>
        <w:rPr>
          <w:rStyle w:val="libFootnotenumChar"/>
          <w:rtl/>
        </w:rPr>
        <w:t>(2)</w:t>
      </w:r>
      <w:r w:rsidRPr="00132E65">
        <w:rPr>
          <w:rtl/>
          <w:lang w:bidi="fa-IR"/>
        </w:rPr>
        <w:t xml:space="preserve"> تَعَالى : </w:t>
      </w:r>
      <w:r w:rsidRPr="00071CF9">
        <w:rPr>
          <w:rStyle w:val="libAlaemChar"/>
          <w:rtl/>
        </w:rPr>
        <w:t>(</w:t>
      </w:r>
      <w:r w:rsidRPr="00071CF9">
        <w:rPr>
          <w:rStyle w:val="libAieChar"/>
          <w:rtl/>
        </w:rPr>
        <w:t xml:space="preserve"> لَتَرْكَبُنَّ طَبَقاً عَنْ طَبَقٍ </w:t>
      </w:r>
      <w:r w:rsidRPr="00071CF9">
        <w:rPr>
          <w:rStyle w:val="libAlaemChar"/>
          <w:rtl/>
        </w:rPr>
        <w:t>)</w:t>
      </w:r>
      <w:r w:rsidRPr="00132E65">
        <w:rPr>
          <w:rtl/>
          <w:lang w:bidi="fa-IR"/>
        </w:rPr>
        <w:t xml:space="preserve"> </w:t>
      </w:r>
      <w:r>
        <w:rPr>
          <w:rStyle w:val="libFootnotenumChar"/>
          <w:rtl/>
        </w:rPr>
        <w:t>(3)</w:t>
      </w:r>
      <w:r>
        <w:rPr>
          <w:rtl/>
          <w:lang w:bidi="fa-IR"/>
        </w:rPr>
        <w:t xml:space="preserve"> قَالَ : « يَا زُرَارَةُ ، أَ</w:t>
      </w:r>
      <w:r w:rsidRPr="00132E65">
        <w:rPr>
          <w:rtl/>
          <w:lang w:bidi="fa-IR"/>
        </w:rPr>
        <w:t>و</w:t>
      </w:r>
      <w:r>
        <w:rPr>
          <w:rFonts w:hint="cs"/>
          <w:rtl/>
          <w:lang w:bidi="fa-IR"/>
        </w:rPr>
        <w:t xml:space="preserve"> </w:t>
      </w:r>
      <w:r>
        <w:rPr>
          <w:rStyle w:val="libFootnotenumChar"/>
          <w:rtl/>
        </w:rPr>
        <w:t>(4)</w:t>
      </w:r>
      <w:r w:rsidRPr="00132E65">
        <w:rPr>
          <w:rtl/>
          <w:lang w:bidi="fa-IR"/>
        </w:rPr>
        <w:t xml:space="preserve"> لَمْ تَرْكَبْ هذِهِ الْأُمَّةُ </w:t>
      </w:r>
      <w:r>
        <w:rPr>
          <w:rStyle w:val="libFootnotenumChar"/>
          <w:rtl/>
        </w:rPr>
        <w:t>(5)</w:t>
      </w:r>
      <w:r w:rsidRPr="00132E65">
        <w:rPr>
          <w:rtl/>
          <w:lang w:bidi="fa-IR"/>
        </w:rPr>
        <w:t xml:space="preserve"> بَعْدَ نَبِيِّهَا طَبَقاً عَنْ طَبَقٍ فِي أَمْرِ فُلَانٍ وفُلَانٍ وفُلَانٍ</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516892">
        <w:rPr>
          <w:rtl/>
        </w:rPr>
        <w:t>1105</w:t>
      </w:r>
      <w:r w:rsidRPr="004325D8">
        <w:rPr>
          <w:rStyle w:val="libBold2Char"/>
          <w:rtl/>
        </w:rPr>
        <w:t xml:space="preserve"> / 18.</w:t>
      </w:r>
      <w:r w:rsidRPr="00132E65">
        <w:rPr>
          <w:rtl/>
          <w:lang w:bidi="fa-IR"/>
        </w:rPr>
        <w:t xml:space="preserve"> الْحُسَيْنُ بْنُ مُحَمَّدٍ ، عَنْ مُعَلَّى بْنِ مُحَمَّدٍ ، عَنْ مُحَمَّدِ بْنِ جُمْهُورٍ ، عَنْ حَمَّادِ بْنِ عِيسى ، عَنْ عَبْدِ اللهِ بْنِ جُنْدَبٍ ، قَالَ :</w:t>
      </w:r>
    </w:p>
    <w:p w:rsidR="000C39D1" w:rsidRPr="00132E65" w:rsidRDefault="000C39D1" w:rsidP="000C39D1">
      <w:pPr>
        <w:pStyle w:val="libNormal"/>
        <w:rPr>
          <w:rtl/>
          <w:lang w:bidi="fa-IR"/>
        </w:rPr>
      </w:pPr>
      <w:r w:rsidRPr="00132E65">
        <w:rPr>
          <w:rtl/>
          <w:lang w:bidi="fa-IR"/>
        </w:rPr>
        <w:t xml:space="preserve">سَأَلْتُ أَبَا الْحَسَنِ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وَلَقَدْ وَصَّلْنا لَهُمُ الْقَوْلَ لَعَلَّهُمْ يَتَذَكَّرُونَ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قَالَ : « إِمَامٌ إِلى إِمَامٍ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516892">
        <w:rPr>
          <w:rtl/>
        </w:rPr>
        <w:t>1106</w:t>
      </w:r>
      <w:r w:rsidRPr="004325D8">
        <w:rPr>
          <w:rStyle w:val="libBold2Char"/>
          <w:rtl/>
        </w:rPr>
        <w:t xml:space="preserve"> / 19.</w:t>
      </w:r>
      <w:r w:rsidRPr="00132E65">
        <w:rPr>
          <w:rtl/>
          <w:lang w:bidi="fa-IR"/>
        </w:rPr>
        <w:t xml:space="preserve"> مُحَمَّدُ بْنُ يَحْيى ، عَنْ أَحْمَدَ بْنِ مُحَمَّدٍ ، عَنِ الْحَسَنِ بْنِ مَحْبُوبٍ ، عَنْ مُحَمَّدِ</w:t>
      </w:r>
      <w:r w:rsidR="001F5409">
        <w:rPr>
          <w:rtl/>
          <w:lang w:bidi="fa-IR"/>
        </w:rPr>
        <w:t xml:space="preserve"> بْنِ النُّعْمَانِ ، عَنْ سَل</w:t>
      </w:r>
      <w:r w:rsidR="001F5409">
        <w:rPr>
          <w:rFonts w:hint="cs"/>
          <w:rtl/>
        </w:rPr>
        <w:t>َّ</w:t>
      </w:r>
      <w:r w:rsidR="001F5409">
        <w:rPr>
          <w:rtl/>
          <w:lang w:bidi="fa-IR"/>
        </w:rPr>
        <w:t>ا</w:t>
      </w:r>
      <w:r w:rsidRPr="00132E65">
        <w:rPr>
          <w:rtl/>
          <w:lang w:bidi="fa-IR"/>
        </w:rPr>
        <w:t>مٍ :</w:t>
      </w:r>
    </w:p>
    <w:p w:rsidR="000C39D1" w:rsidRPr="00132E65" w:rsidRDefault="000C39D1" w:rsidP="00936037">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w:t>
      </w:r>
      <w:r>
        <w:rPr>
          <w:rStyle w:val="libFootnotenumChar"/>
          <w:rtl/>
        </w:rPr>
        <w:t>(9)</w:t>
      </w:r>
      <w:r w:rsidRPr="00132E65">
        <w:rPr>
          <w:rtl/>
          <w:lang w:bidi="fa-IR"/>
        </w:rPr>
        <w:t xml:space="preserve"> تَعَالى : </w:t>
      </w:r>
      <w:r w:rsidRPr="00071CF9">
        <w:rPr>
          <w:rStyle w:val="libAlaemChar"/>
          <w:rtl/>
        </w:rPr>
        <w:t>(</w:t>
      </w:r>
      <w:r w:rsidRPr="00071CF9">
        <w:rPr>
          <w:rStyle w:val="libAieChar"/>
          <w:rtl/>
        </w:rPr>
        <w:t xml:space="preserve"> قُولُوا </w:t>
      </w:r>
      <w:r>
        <w:rPr>
          <w:rStyle w:val="libFootnotenumChar"/>
          <w:rtl/>
        </w:rPr>
        <w:t>(10)</w:t>
      </w:r>
      <w:r w:rsidRPr="00071CF9">
        <w:rPr>
          <w:rStyle w:val="libAieChar"/>
          <w:rtl/>
        </w:rPr>
        <w:t xml:space="preserve"> آمَنّا بِاللهِ وَما أُنْزِلَ</w:t>
      </w:r>
      <w:r w:rsidR="00936037">
        <w:rPr>
          <w:rFonts w:hint="cs"/>
          <w:rtl/>
        </w:rPr>
        <w:t>...............</w:t>
      </w:r>
      <w:r w:rsidR="00552D55">
        <w:rPr>
          <w:rStyle w:val="libAieChar"/>
          <w:rFonts w:hint="cs"/>
          <w:rtl/>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B32FDB">
      <w:pPr>
        <w:pStyle w:val="libFootnote0"/>
        <w:rPr>
          <w:rtl/>
          <w:lang w:bidi="fa-IR"/>
        </w:rPr>
      </w:pPr>
      <w:r>
        <w:rPr>
          <w:rtl/>
        </w:rPr>
        <w:t>(1).</w:t>
      </w:r>
      <w:r w:rsidRPr="00132E65">
        <w:rPr>
          <w:rtl/>
        </w:rPr>
        <w:t xml:space="preserve"> </w:t>
      </w:r>
      <w:r w:rsidRPr="00516892">
        <w:rPr>
          <w:rtl/>
        </w:rPr>
        <w:t>تفسير العيّاشي</w:t>
      </w:r>
      <w:r w:rsidRPr="00132E65">
        <w:rPr>
          <w:rtl/>
        </w:rPr>
        <w:t xml:space="preserve"> ، ج 2 ، ص 66 ، ح 75 ، عن محمّد الحلبي</w:t>
      </w:r>
      <w:r w:rsidR="00B32FDB">
        <w:rPr>
          <w:rFonts w:hint="cs"/>
          <w:rtl/>
        </w:rPr>
        <w:t>.</w:t>
      </w:r>
      <w:r w:rsidRPr="009D1ACE">
        <w:rPr>
          <w:rStyle w:val="libFootnoteBoldChar"/>
          <w:rtl/>
        </w:rPr>
        <w:t>الوافي</w:t>
      </w:r>
      <w:r w:rsidRPr="00132E65">
        <w:rPr>
          <w:rtl/>
        </w:rPr>
        <w:t xml:space="preserve"> ، ج 3 ، ص 886 ، ح 1526 ؛ </w:t>
      </w:r>
      <w:r w:rsidRPr="00516892">
        <w:rPr>
          <w:rtl/>
        </w:rPr>
        <w:t>البحار</w:t>
      </w:r>
      <w:r w:rsidRPr="00132E65">
        <w:rPr>
          <w:rtl/>
        </w:rPr>
        <w:t xml:space="preserve"> ، ج 24 ، ص 162 ، ح 12.</w:t>
      </w:r>
      <w:r w:rsidR="00B32FDB">
        <w:rPr>
          <w:rFonts w:hint="cs"/>
          <w:rtl/>
        </w:rPr>
        <w:t xml:space="preserve">               </w:t>
      </w:r>
      <w:r w:rsidR="00667F57">
        <w:rPr>
          <w:rFonts w:hint="cs"/>
          <w:rtl/>
        </w:rPr>
        <w:t xml:space="preserve">     </w:t>
      </w:r>
      <w:r w:rsidR="00936037">
        <w:rPr>
          <w:rFonts w:hint="cs"/>
          <w:rtl/>
        </w:rPr>
        <w:t xml:space="preserve">     </w:t>
      </w:r>
      <w:r w:rsidR="00667F57">
        <w:rPr>
          <w:rFonts w:hint="cs"/>
          <w:rtl/>
        </w:rPr>
        <w:t xml:space="preserve">      </w:t>
      </w:r>
      <w:r w:rsidR="00B32FDB">
        <w:rPr>
          <w:rFonts w:hint="cs"/>
          <w:rtl/>
        </w:rPr>
        <w:t xml:space="preserve"> </w:t>
      </w:r>
      <w:r>
        <w:rPr>
          <w:rtl/>
        </w:rPr>
        <w:t>(2).</w:t>
      </w:r>
      <w:r w:rsidR="00667F57">
        <w:rPr>
          <w:rtl/>
        </w:rPr>
        <w:t xml:space="preserve"> في«ج، ض،</w:t>
      </w:r>
      <w:r w:rsidR="00667F57">
        <w:rPr>
          <w:rFonts w:hint="cs"/>
          <w:rtl/>
        </w:rPr>
        <w:t xml:space="preserve"> </w:t>
      </w:r>
      <w:r w:rsidR="00667F57">
        <w:rPr>
          <w:rtl/>
        </w:rPr>
        <w:t>ف،</w:t>
      </w:r>
      <w:r w:rsidR="00667F57">
        <w:rPr>
          <w:rFonts w:hint="cs"/>
          <w:rtl/>
        </w:rPr>
        <w:t xml:space="preserve"> </w:t>
      </w:r>
      <w:r w:rsidR="00667F57">
        <w:rPr>
          <w:rtl/>
        </w:rPr>
        <w:t>بح،</w:t>
      </w:r>
      <w:r w:rsidR="00667F57">
        <w:rPr>
          <w:rFonts w:hint="cs"/>
          <w:rtl/>
        </w:rPr>
        <w:t xml:space="preserve"> </w:t>
      </w:r>
      <w:r w:rsidRPr="00132E65">
        <w:rPr>
          <w:rtl/>
        </w:rPr>
        <w:t>ب</w:t>
      </w:r>
      <w:r w:rsidR="00667F57">
        <w:rPr>
          <w:rtl/>
        </w:rPr>
        <w:t>ح،</w:t>
      </w:r>
      <w:r w:rsidR="00667F57">
        <w:rPr>
          <w:rFonts w:hint="cs"/>
          <w:rtl/>
        </w:rPr>
        <w:t xml:space="preserve"> </w:t>
      </w:r>
      <w:r w:rsidR="00667F57">
        <w:rPr>
          <w:rtl/>
        </w:rPr>
        <w:t>بس ،بف»:</w:t>
      </w:r>
      <w:r w:rsidRPr="00132E65">
        <w:rPr>
          <w:rtl/>
        </w:rPr>
        <w:t>« قول الله »</w:t>
      </w:r>
      <w:r>
        <w:rPr>
          <w:rtl/>
        </w:rPr>
        <w:t>.</w:t>
      </w:r>
    </w:p>
    <w:tbl>
      <w:tblPr>
        <w:tblStyle w:val="TableGrid"/>
        <w:bidiVisual/>
        <w:tblW w:w="0" w:type="auto"/>
        <w:tblLook w:val="04A0" w:firstRow="1" w:lastRow="0" w:firstColumn="1" w:lastColumn="0" w:noHBand="0" w:noVBand="1"/>
      </w:tblPr>
      <w:tblGrid>
        <w:gridCol w:w="4006"/>
        <w:gridCol w:w="4006"/>
      </w:tblGrid>
      <w:tr w:rsidR="00D4388A" w:rsidTr="00D4388A">
        <w:tc>
          <w:tcPr>
            <w:tcW w:w="4006" w:type="dxa"/>
          </w:tcPr>
          <w:p w:rsidR="00D4388A" w:rsidRDefault="00D4388A" w:rsidP="000C39D1">
            <w:pPr>
              <w:pStyle w:val="libFootnote0"/>
              <w:rPr>
                <w:rtl/>
              </w:rPr>
            </w:pPr>
            <w:r>
              <w:rPr>
                <w:rtl/>
              </w:rPr>
              <w:t>(3).</w:t>
            </w:r>
            <w:r w:rsidRPr="00132E65">
              <w:rPr>
                <w:rtl/>
              </w:rPr>
              <w:t xml:space="preserve"> الانشقاق (84) : 19.</w:t>
            </w:r>
          </w:p>
        </w:tc>
        <w:tc>
          <w:tcPr>
            <w:tcW w:w="4006" w:type="dxa"/>
          </w:tcPr>
          <w:p w:rsidR="00D4388A" w:rsidRDefault="00D4388A" w:rsidP="000C39D1">
            <w:pPr>
              <w:pStyle w:val="libFootnote0"/>
              <w:rPr>
                <w:rtl/>
              </w:rPr>
            </w:pPr>
            <w:r>
              <w:rPr>
                <w:rtl/>
              </w:rPr>
              <w:t>(4).</w:t>
            </w:r>
            <w:r w:rsidRPr="00132E65">
              <w:rPr>
                <w:rtl/>
              </w:rPr>
              <w:t xml:space="preserve"> في « ف » : « </w:t>
            </w:r>
            <w:r>
              <w:rPr>
                <w:rtl/>
              </w:rPr>
              <w:t>و »</w:t>
            </w:r>
            <w:r w:rsidRPr="00132E65">
              <w:rPr>
                <w:rtl/>
              </w:rPr>
              <w:t xml:space="preserve"> بدون الهمزة.</w:t>
            </w:r>
          </w:p>
        </w:tc>
      </w:tr>
    </w:tbl>
    <w:p w:rsidR="000C39D1" w:rsidRPr="00132E65" w:rsidRDefault="000C39D1" w:rsidP="000C39D1">
      <w:pPr>
        <w:pStyle w:val="libFootnote0"/>
        <w:rPr>
          <w:rtl/>
          <w:lang w:bidi="fa-IR"/>
        </w:rPr>
      </w:pPr>
      <w:r>
        <w:rPr>
          <w:rtl/>
        </w:rPr>
        <w:t>(5).</w:t>
      </w:r>
      <w:r w:rsidRPr="00132E65">
        <w:rPr>
          <w:rtl/>
        </w:rPr>
        <w:t xml:space="preserve"> في شرح المازندراني : « الإمامة »</w:t>
      </w:r>
      <w:r>
        <w:rPr>
          <w:rtl/>
        </w:rPr>
        <w:t>.</w:t>
      </w:r>
    </w:p>
    <w:p w:rsidR="000C39D1" w:rsidRPr="00132E65" w:rsidRDefault="000C39D1" w:rsidP="00820DB6">
      <w:pPr>
        <w:pStyle w:val="libFootnote0"/>
        <w:rPr>
          <w:rtl/>
          <w:lang w:bidi="fa-IR"/>
        </w:rPr>
      </w:pPr>
      <w:r>
        <w:rPr>
          <w:rtl/>
        </w:rPr>
        <w:t>(6).</w:t>
      </w:r>
      <w:r w:rsidRPr="00132E65">
        <w:rPr>
          <w:rtl/>
        </w:rPr>
        <w:t xml:space="preserve"> </w:t>
      </w:r>
      <w:r w:rsidRPr="00516892">
        <w:rPr>
          <w:rtl/>
        </w:rPr>
        <w:t>تفسير القمّي</w:t>
      </w:r>
      <w:r w:rsidRPr="00132E65">
        <w:rPr>
          <w:rtl/>
        </w:rPr>
        <w:t xml:space="preserve"> ، ج 2 ، ص 413 ، بسنده عن ابن محبوب ، عن جميل بن صالح ، عن زياد بن أبي حفصة ، عن زرارة</w:t>
      </w:r>
      <w:r w:rsidR="00820DB6">
        <w:rPr>
          <w:rFonts w:hint="cs"/>
          <w:rtl/>
        </w:rPr>
        <w:t>.</w:t>
      </w:r>
      <w:r w:rsidRPr="009D1ACE">
        <w:rPr>
          <w:rStyle w:val="libFootnoteBoldChar"/>
          <w:rtl/>
        </w:rPr>
        <w:t>الوافي</w:t>
      </w:r>
      <w:r w:rsidRPr="00132E65">
        <w:rPr>
          <w:rtl/>
        </w:rPr>
        <w:t xml:space="preserve"> ، ج 3 ، ص 920 ، ح 1592 ؛ </w:t>
      </w:r>
      <w:r w:rsidRPr="00516892">
        <w:rPr>
          <w:rtl/>
        </w:rPr>
        <w:t>البحار</w:t>
      </w:r>
      <w:r w:rsidRPr="00132E65">
        <w:rPr>
          <w:rtl/>
        </w:rPr>
        <w:t xml:space="preserve"> ، ج 24 ، ص 350 ، ح 64.</w:t>
      </w:r>
    </w:p>
    <w:p w:rsidR="000C39D1" w:rsidRPr="00132E65" w:rsidRDefault="000C39D1" w:rsidP="000C39D1">
      <w:pPr>
        <w:pStyle w:val="libFootnote0"/>
        <w:rPr>
          <w:rtl/>
          <w:lang w:bidi="fa-IR"/>
        </w:rPr>
      </w:pPr>
      <w:r>
        <w:rPr>
          <w:rtl/>
        </w:rPr>
        <w:t>(7).</w:t>
      </w:r>
      <w:r w:rsidRPr="00132E65">
        <w:rPr>
          <w:rtl/>
        </w:rPr>
        <w:t xml:space="preserve"> القصص (28) : 51.</w:t>
      </w:r>
    </w:p>
    <w:p w:rsidR="000C39D1" w:rsidRPr="00132E65" w:rsidRDefault="000C39D1" w:rsidP="00820DB6">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515 ، ح 38 ؛ و</w:t>
      </w:r>
      <w:r w:rsidRPr="00516892">
        <w:rPr>
          <w:rtl/>
        </w:rPr>
        <w:t>تفسير القمّي</w:t>
      </w:r>
      <w:r w:rsidRPr="00132E65">
        <w:rPr>
          <w:rtl/>
        </w:rPr>
        <w:t xml:space="preserve"> ، ج 2 ، ص 141 ، بسند آخر عن أبي عبد الله </w:t>
      </w:r>
      <w:r w:rsidRPr="00B32FDB">
        <w:rPr>
          <w:rStyle w:val="libFootnoteAlaemChar"/>
          <w:rtl/>
        </w:rPr>
        <w:t>عليه‌السلام</w:t>
      </w:r>
      <w:r w:rsidRPr="00132E65">
        <w:rPr>
          <w:rtl/>
        </w:rPr>
        <w:t xml:space="preserve">. وفي </w:t>
      </w:r>
      <w:r w:rsidRPr="00516892">
        <w:rPr>
          <w:rtl/>
        </w:rPr>
        <w:t>الأمالي</w:t>
      </w:r>
      <w:r w:rsidRPr="00132E65">
        <w:rPr>
          <w:rtl/>
        </w:rPr>
        <w:t xml:space="preserve"> للطوسي ، ص 294 ، المجلس 11 ، ح 23 ، بسند آخر عن الصادق </w:t>
      </w:r>
      <w:r w:rsidRPr="00820DB6">
        <w:rPr>
          <w:rStyle w:val="libFootnoteAlaemChar"/>
          <w:rtl/>
        </w:rPr>
        <w:t>عليه‌السلام</w:t>
      </w:r>
      <w:r w:rsidRPr="00132E65">
        <w:rPr>
          <w:rtl/>
        </w:rPr>
        <w:t xml:space="preserve"> ، مع زيادة في آخره</w:t>
      </w:r>
      <w:r w:rsidR="00820DB6">
        <w:rPr>
          <w:rFonts w:hint="cs"/>
          <w:rtl/>
        </w:rPr>
        <w:t>.</w:t>
      </w:r>
      <w:r w:rsidRPr="009D1ACE">
        <w:rPr>
          <w:rStyle w:val="libFootnoteBoldChar"/>
          <w:rtl/>
        </w:rPr>
        <w:t>الوافي</w:t>
      </w:r>
      <w:r w:rsidRPr="00132E65">
        <w:rPr>
          <w:rtl/>
        </w:rPr>
        <w:t xml:space="preserve"> ، ج 3 ، ص 887 ، ح 1527 ؛ </w:t>
      </w:r>
      <w:r w:rsidRPr="00516892">
        <w:rPr>
          <w:rtl/>
        </w:rPr>
        <w:t>البحار</w:t>
      </w:r>
      <w:r w:rsidRPr="00132E65">
        <w:rPr>
          <w:rtl/>
        </w:rPr>
        <w:t xml:space="preserve"> ، ج 23 ، ص 31 ، ح 50.</w:t>
      </w:r>
    </w:p>
    <w:p w:rsidR="000C39D1" w:rsidRPr="00132E65" w:rsidRDefault="000C39D1" w:rsidP="000C39D1">
      <w:pPr>
        <w:pStyle w:val="libFootnote0"/>
        <w:rPr>
          <w:rtl/>
          <w:lang w:bidi="fa-IR"/>
        </w:rPr>
      </w:pPr>
      <w:r>
        <w:rPr>
          <w:rtl/>
        </w:rPr>
        <w:t>(9).</w:t>
      </w:r>
      <w:r w:rsidRPr="00132E65">
        <w:rPr>
          <w:rtl/>
        </w:rPr>
        <w:t xml:space="preserve"> في « ب ، ف ، بح » : « قول الله »</w:t>
      </w:r>
      <w:r>
        <w:rPr>
          <w:rtl/>
        </w:rPr>
        <w:t>.</w:t>
      </w:r>
    </w:p>
    <w:p w:rsidR="000C39D1" w:rsidRPr="00132E65" w:rsidRDefault="000C39D1" w:rsidP="00820DB6">
      <w:pPr>
        <w:pStyle w:val="libFootnote0"/>
        <w:rPr>
          <w:rtl/>
          <w:lang w:bidi="fa-IR"/>
        </w:rPr>
      </w:pPr>
      <w:r>
        <w:rPr>
          <w:rtl/>
        </w:rPr>
        <w:t>(10).</w:t>
      </w:r>
      <w:r w:rsidRPr="00132E65">
        <w:rPr>
          <w:rtl/>
        </w:rPr>
        <w:t xml:space="preserve"> في « ب ، ج ، ض ، ف ، بح ، بر ، بس ، بف » وتفسير العيّاشي ، ص 62 </w:t>
      </w:r>
      <w:r>
        <w:rPr>
          <w:rtl/>
        </w:rPr>
        <w:t xml:space="preserve">: - </w:t>
      </w:r>
      <w:r w:rsidR="00820DB6" w:rsidRPr="00820DB6">
        <w:rPr>
          <w:rStyle w:val="libFootnoteAlaemChar"/>
          <w:rFonts w:hint="cs"/>
          <w:rtl/>
        </w:rPr>
        <w:t>(</w:t>
      </w:r>
      <w:r w:rsidRPr="00132E65">
        <w:rPr>
          <w:rtl/>
        </w:rPr>
        <w:t xml:space="preserve"> </w:t>
      </w:r>
      <w:r w:rsidRPr="00820DB6">
        <w:rPr>
          <w:rStyle w:val="libFootnoteAieChar"/>
          <w:rtl/>
        </w:rPr>
        <w:t>قُولُوا</w:t>
      </w:r>
      <w:r w:rsidRPr="00132E65">
        <w:rPr>
          <w:rtl/>
        </w:rPr>
        <w:t xml:space="preserve"> </w:t>
      </w:r>
      <w:r w:rsidR="00820DB6" w:rsidRPr="00820DB6">
        <w:rPr>
          <w:rStyle w:val="libFootnoteAlaemChar"/>
          <w:rFonts w:hint="cs"/>
          <w:rtl/>
        </w:rPr>
        <w:t>)</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372623">
      <w:pPr>
        <w:pStyle w:val="libNormal0"/>
        <w:tabs>
          <w:tab w:val="left" w:pos="3968"/>
        </w:tabs>
        <w:rPr>
          <w:rtl/>
          <w:lang w:bidi="fa-IR"/>
        </w:rPr>
      </w:pPr>
      <w:r w:rsidRPr="00071CF9">
        <w:rPr>
          <w:rStyle w:val="libAieChar"/>
          <w:rtl/>
        </w:rPr>
        <w:t xml:space="preserve">إِلَيْنا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إِنَّمَا عَنى بِذلِكَ عَلِيّاً وفَاطِمَةَ والْحَسَنَ والْحُسَيْنَ </w:t>
      </w:r>
      <w:r w:rsidRPr="00071CF9">
        <w:rPr>
          <w:rStyle w:val="libAlaemChar"/>
          <w:rtl/>
        </w:rPr>
        <w:t>عليهم‌السلام</w:t>
      </w:r>
      <w:r w:rsidRPr="00132E65">
        <w:rPr>
          <w:rtl/>
          <w:lang w:bidi="fa-IR"/>
        </w:rPr>
        <w:t xml:space="preserve"> ، وجَرَتْ بَعْدَهُمْ فِي الْأَئِمَّةِ </w:t>
      </w:r>
      <w:r w:rsidRPr="00071CF9">
        <w:rPr>
          <w:rStyle w:val="libAlaemChar"/>
          <w:rtl/>
        </w:rPr>
        <w:t>عليهم‌السلام</w:t>
      </w:r>
      <w:r w:rsidRPr="00132E65">
        <w:rPr>
          <w:rtl/>
          <w:lang w:bidi="fa-IR"/>
        </w:rPr>
        <w:t xml:space="preserve"> </w:t>
      </w:r>
      <w:r>
        <w:rPr>
          <w:rStyle w:val="libFootnotenumChar"/>
          <w:rtl/>
        </w:rPr>
        <w:t>(2)</w:t>
      </w:r>
      <w:r w:rsidRPr="00132E65">
        <w:rPr>
          <w:rtl/>
          <w:lang w:bidi="fa-IR"/>
        </w:rPr>
        <w:t xml:space="preserve"> ، ثُمَّ يَرْجِعُ </w:t>
      </w:r>
      <w:r>
        <w:rPr>
          <w:rStyle w:val="libFootnotenumChar"/>
          <w:rtl/>
        </w:rPr>
        <w:t>(3)</w:t>
      </w:r>
      <w:r w:rsidRPr="00132E65">
        <w:rPr>
          <w:rtl/>
          <w:lang w:bidi="fa-IR"/>
        </w:rPr>
        <w:t xml:space="preserve"> الْقَوْلُ مِنَ اللهِ فِي النَّاسِ ، فَقَالَ : </w:t>
      </w:r>
      <w:r w:rsidRPr="00071CF9">
        <w:rPr>
          <w:rStyle w:val="libAlaemChar"/>
          <w:rtl/>
        </w:rPr>
        <w:t>(</w:t>
      </w:r>
      <w:r w:rsidRPr="00071CF9">
        <w:rPr>
          <w:rStyle w:val="libAieChar"/>
          <w:rtl/>
        </w:rPr>
        <w:t xml:space="preserve"> فَإِنْ آمَنُوا </w:t>
      </w:r>
      <w:r w:rsidRPr="00071CF9">
        <w:rPr>
          <w:rStyle w:val="libAlaemChar"/>
          <w:rtl/>
        </w:rPr>
        <w:t>)</w:t>
      </w:r>
      <w:r w:rsidRPr="00132E65">
        <w:rPr>
          <w:rtl/>
          <w:lang w:bidi="fa-IR"/>
        </w:rPr>
        <w:t xml:space="preserve"> يَعْنِي النَّاسَ ، </w:t>
      </w:r>
      <w:r w:rsidRPr="00071CF9">
        <w:rPr>
          <w:rStyle w:val="libAlaemChar"/>
          <w:rtl/>
        </w:rPr>
        <w:t>(</w:t>
      </w:r>
      <w:r w:rsidRPr="00071CF9">
        <w:rPr>
          <w:rStyle w:val="libAieChar"/>
          <w:rtl/>
        </w:rPr>
        <w:t xml:space="preserve"> بِمِثْلِ ما آمَنْتُمْ بِهِ </w:t>
      </w:r>
      <w:r w:rsidRPr="00071CF9">
        <w:rPr>
          <w:rStyle w:val="libAlaemChar"/>
          <w:rtl/>
        </w:rPr>
        <w:t>)</w:t>
      </w:r>
      <w:r w:rsidRPr="00132E65">
        <w:rPr>
          <w:rtl/>
          <w:lang w:bidi="fa-IR"/>
        </w:rPr>
        <w:t xml:space="preserve"> يَعْنِي عَلِيّاً وفَاطِمَةَ والْحَسَنَ والْحُسَيْنَ والْأَئِمَّةَ </w:t>
      </w:r>
      <w:r>
        <w:rPr>
          <w:rStyle w:val="libFootnotenumChar"/>
          <w:rtl/>
        </w:rPr>
        <w:t>(4)</w:t>
      </w:r>
      <w:r w:rsidRPr="00132E65">
        <w:rPr>
          <w:rtl/>
          <w:lang w:bidi="fa-IR"/>
        </w:rPr>
        <w:t xml:space="preserve"> </w:t>
      </w:r>
      <w:r w:rsidRPr="00071CF9">
        <w:rPr>
          <w:rStyle w:val="libAlaemChar"/>
          <w:rtl/>
        </w:rPr>
        <w:t>عليهم‌السلام</w:t>
      </w:r>
      <w:r w:rsidRPr="00CB53F9">
        <w:rPr>
          <w:rFonts w:hint="cs"/>
          <w:rtl/>
        </w:rPr>
        <w:t xml:space="preserve"> </w:t>
      </w:r>
      <w:r w:rsidRPr="00071CF9">
        <w:rPr>
          <w:rStyle w:val="libAlaemChar"/>
          <w:rtl/>
        </w:rPr>
        <w:t>(</w:t>
      </w:r>
      <w:r w:rsidRPr="00071CF9">
        <w:rPr>
          <w:rStyle w:val="libAieChar"/>
          <w:rtl/>
        </w:rPr>
        <w:t xml:space="preserve"> فَقَدِ اهْتَدَوْا وَإِنْ تَوَلَّوْا فَإِنَّما هُمْ فِي شِقاقٍ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516892">
        <w:rPr>
          <w:rtl/>
        </w:rPr>
        <w:t>1107</w:t>
      </w:r>
      <w:r w:rsidRPr="004325D8">
        <w:rPr>
          <w:rStyle w:val="libBold2Char"/>
          <w:rtl/>
        </w:rPr>
        <w:t xml:space="preserve"> / 20.</w:t>
      </w:r>
      <w:r w:rsidRPr="00132E65">
        <w:rPr>
          <w:rtl/>
          <w:lang w:bidi="fa-IR"/>
        </w:rPr>
        <w:t xml:space="preserve"> الْحُسَيْنُ بْنُ مُحَمَّدٍ ، عَنْ مُعَلَّى بْنِ مُحَمَّدٍ ، عَنِ الْوَشَّاءِ ، عَنْ مُثَنّى ، عَنْ عَبْدِ اللهِ بْنِ عَجْلَانَ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w:t>
      </w:r>
      <w:r>
        <w:rPr>
          <w:rStyle w:val="libFootnotenumChar"/>
          <w:rtl/>
        </w:rPr>
        <w:t>(7)</w:t>
      </w:r>
      <w:r w:rsidRPr="00132E65">
        <w:rPr>
          <w:rtl/>
          <w:lang w:bidi="fa-IR"/>
        </w:rPr>
        <w:t xml:space="preserve"> تَعَالى : </w:t>
      </w:r>
      <w:r w:rsidRPr="00071CF9">
        <w:rPr>
          <w:rStyle w:val="libAlaemChar"/>
          <w:rtl/>
        </w:rPr>
        <w:t>(</w:t>
      </w:r>
      <w:r w:rsidRPr="00071CF9">
        <w:rPr>
          <w:rStyle w:val="libAieChar"/>
          <w:rtl/>
        </w:rPr>
        <w:t xml:space="preserve"> إِنَّ أَوْلَى النّاسِ بِإِبْراهِيمَ لَلَّذِينَ اتَّبَعُوهُ وَهذَا النَّبِيُّ وَالَّذِينَ آمَنُوا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قَالَ </w:t>
      </w:r>
      <w:r>
        <w:rPr>
          <w:rStyle w:val="libFootnotenumChar"/>
          <w:rtl/>
        </w:rPr>
        <w:t>(9)</w:t>
      </w:r>
      <w:r w:rsidRPr="00132E65">
        <w:rPr>
          <w:rtl/>
          <w:lang w:bidi="fa-IR"/>
        </w:rPr>
        <w:t xml:space="preserve"> : « هُمُ الْأَئِمَّةُ </w:t>
      </w:r>
      <w:r w:rsidRPr="00071CF9">
        <w:rPr>
          <w:rStyle w:val="libAlaemChar"/>
          <w:rtl/>
        </w:rPr>
        <w:t>عليهم‌السلام</w:t>
      </w:r>
      <w:r w:rsidRPr="00132E65">
        <w:rPr>
          <w:rtl/>
          <w:lang w:bidi="fa-IR"/>
        </w:rPr>
        <w:t xml:space="preserve"> ومَنِ اتَّبَعَهُمْ »</w:t>
      </w:r>
      <w:r>
        <w:rPr>
          <w:rtl/>
          <w:lang w:bidi="fa-IR"/>
        </w:rPr>
        <w:t>.</w:t>
      </w:r>
      <w:r w:rsidRPr="00132E65">
        <w:rPr>
          <w:rtl/>
          <w:lang w:bidi="fa-IR"/>
        </w:rPr>
        <w:t xml:space="preserve"> </w:t>
      </w:r>
      <w:r>
        <w:rPr>
          <w:rStyle w:val="libFootnotenumChar"/>
          <w:rtl/>
        </w:rPr>
        <w:t>(10)</w:t>
      </w:r>
    </w:p>
    <w:p w:rsidR="000C39D1" w:rsidRPr="00132E65" w:rsidRDefault="000C39D1" w:rsidP="000C39D1">
      <w:pPr>
        <w:pStyle w:val="libNormal"/>
        <w:rPr>
          <w:rtl/>
          <w:lang w:bidi="fa-IR"/>
        </w:rPr>
      </w:pPr>
      <w:r w:rsidRPr="00516892">
        <w:rPr>
          <w:rtl/>
        </w:rPr>
        <w:t>1108</w:t>
      </w:r>
      <w:r w:rsidRPr="004325D8">
        <w:rPr>
          <w:rStyle w:val="libBold2Char"/>
          <w:rtl/>
        </w:rPr>
        <w:t xml:space="preserve"> / 21.</w:t>
      </w:r>
      <w:r w:rsidRPr="00132E65">
        <w:rPr>
          <w:rtl/>
          <w:lang w:bidi="fa-IR"/>
        </w:rPr>
        <w:t xml:space="preserve"> الْحُسَيْنُ بْنُ مُحَمَّدٍ ، عَنْ مُعَلَّى بْنِ مُحَمَّدٍ ، عَنِ الْوَشَّاءِ ، عَنْ أَحْمَدَ بْنِ عَائِذٍ ، عَنِ ابْنِ أُذَيْنَةَ ، عَنْ مَالِكٍ الْجُهَنِيِّ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قَوْلُهُ </w:t>
      </w:r>
      <w:r>
        <w:rPr>
          <w:rStyle w:val="libFootnotenumChar"/>
          <w:rtl/>
        </w:rPr>
        <w:t>(11)</w:t>
      </w:r>
      <w:r w:rsidRPr="00132E65">
        <w:rPr>
          <w:rtl/>
          <w:lang w:bidi="fa-IR"/>
        </w:rPr>
        <w:t xml:space="preserve"> عَزَّ وجَلَّ : </w:t>
      </w:r>
      <w:r w:rsidRPr="00071CF9">
        <w:rPr>
          <w:rStyle w:val="libAlaemChar"/>
          <w:rtl/>
        </w:rPr>
        <w:t>(</w:t>
      </w:r>
      <w:r w:rsidRPr="00071CF9">
        <w:rPr>
          <w:rStyle w:val="libAieChar"/>
          <w:rtl/>
        </w:rPr>
        <w:t xml:space="preserve"> وَأُوحِيَ إِلَيَّ هذَا الْقُرْآنُ لِأُنْذِرَكُمْ بِهِ وَمَنْ بَلَغَ </w:t>
      </w:r>
      <w:r w:rsidRPr="00071CF9">
        <w:rPr>
          <w:rStyle w:val="libAlaemChar"/>
          <w:rtl/>
        </w:rPr>
        <w:t>)</w:t>
      </w:r>
      <w:r w:rsidRPr="00132E65">
        <w:rPr>
          <w:rtl/>
          <w:lang w:bidi="fa-IR"/>
        </w:rPr>
        <w:t xml:space="preserve"> </w:t>
      </w:r>
      <w:r>
        <w:rPr>
          <w:rStyle w:val="libFootnotenumChar"/>
          <w:rtl/>
        </w:rPr>
        <w:t>(12)</w:t>
      </w:r>
      <w:r>
        <w:rPr>
          <w:rtl/>
          <w:lang w:bidi="fa-IR"/>
        </w:rPr>
        <w:t>؟</w:t>
      </w:r>
      <w:r w:rsidRPr="00132E65">
        <w:rPr>
          <w:rtl/>
          <w:lang w:bidi="fa-IR"/>
        </w:rPr>
        <w:t xml:space="preserve"> قَالَ : « مَنْ بَلَغَ أَنْ يَكُونَ إِمَاماً مِنْ آلِ مُحَمَّدٍ ، فَهُوَ يُنْذِرُ بِالْقُرْآنِ كَمَا أَنْذَرَ بِهِ‌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البقرة </w:t>
      </w:r>
      <w:r w:rsidR="00E443D7">
        <w:rPr>
          <w:rtl/>
        </w:rPr>
        <w:t>(2)</w:t>
      </w:r>
      <w:r w:rsidRPr="00132E65">
        <w:rPr>
          <w:rtl/>
        </w:rPr>
        <w:t xml:space="preserve"> : 136.</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معناه أنّ الخطاب في « قُولُوا آمَنّا » إنّما هو لعليّ وفاطمة والحسن والحسين ، ثمّ من بعدهم لسائرالأئمّة </w:t>
      </w:r>
      <w:r w:rsidRPr="00E443D7">
        <w:rPr>
          <w:rStyle w:val="libFootnoteAlaemChar"/>
          <w:rtl/>
        </w:rPr>
        <w:t>عليهم‌السلام</w:t>
      </w:r>
      <w:r w:rsidRPr="00132E65">
        <w:rPr>
          <w:rtl/>
        </w:rPr>
        <w:t xml:space="preserve"> ؛ وذلك لأنّهم هم المؤمنون بما ا</w:t>
      </w:r>
      <w:r w:rsidR="00E443D7">
        <w:rPr>
          <w:rFonts w:hint="cs"/>
          <w:rtl/>
        </w:rPr>
        <w:t>ُ</w:t>
      </w:r>
      <w:r w:rsidRPr="00132E65">
        <w:rPr>
          <w:rtl/>
        </w:rPr>
        <w:t>مروا به على بصيرة وحقيقة ، ومن سواهم اتّبعوهم »</w:t>
      </w:r>
      <w:r>
        <w:rPr>
          <w:rtl/>
        </w:rPr>
        <w:t>.</w:t>
      </w:r>
    </w:p>
    <w:tbl>
      <w:tblPr>
        <w:tblStyle w:val="TableGrid"/>
        <w:bidiVisual/>
        <w:tblW w:w="0" w:type="auto"/>
        <w:tblLook w:val="04A0" w:firstRow="1" w:lastRow="0" w:firstColumn="1" w:lastColumn="0" w:noHBand="0" w:noVBand="1"/>
      </w:tblPr>
      <w:tblGrid>
        <w:gridCol w:w="4006"/>
        <w:gridCol w:w="4006"/>
      </w:tblGrid>
      <w:tr w:rsidR="00E443D7" w:rsidTr="00E443D7">
        <w:tc>
          <w:tcPr>
            <w:tcW w:w="4006" w:type="dxa"/>
          </w:tcPr>
          <w:p w:rsidR="00E443D7" w:rsidRDefault="00E443D7" w:rsidP="000C39D1">
            <w:pPr>
              <w:pStyle w:val="libFootnote0"/>
              <w:rPr>
                <w:rtl/>
              </w:rPr>
            </w:pPr>
            <w:r>
              <w:rPr>
                <w:rtl/>
              </w:rPr>
              <w:t>(3).</w:t>
            </w:r>
            <w:r w:rsidRPr="00132E65">
              <w:rPr>
                <w:rtl/>
              </w:rPr>
              <w:t xml:space="preserve"> في « بس » وحاشية « ج » و</w:t>
            </w:r>
            <w:r w:rsidRPr="009D1ACE">
              <w:rPr>
                <w:rStyle w:val="libFootnoteBoldChar"/>
                <w:rtl/>
              </w:rPr>
              <w:t>الوافي</w:t>
            </w:r>
            <w:r>
              <w:rPr>
                <w:rtl/>
              </w:rPr>
              <w:t xml:space="preserve"> :</w:t>
            </w:r>
            <w:r w:rsidRPr="00132E65">
              <w:rPr>
                <w:rtl/>
              </w:rPr>
              <w:t>« رجع »</w:t>
            </w:r>
            <w:r>
              <w:rPr>
                <w:rtl/>
              </w:rPr>
              <w:t>.</w:t>
            </w:r>
          </w:p>
        </w:tc>
        <w:tc>
          <w:tcPr>
            <w:tcW w:w="4006" w:type="dxa"/>
          </w:tcPr>
          <w:p w:rsidR="00E443D7" w:rsidRDefault="00E443D7" w:rsidP="000C39D1">
            <w:pPr>
              <w:pStyle w:val="libFootnote0"/>
              <w:rPr>
                <w:rtl/>
              </w:rPr>
            </w:pPr>
            <w:r>
              <w:rPr>
                <w:rtl/>
              </w:rPr>
              <w:t>(4).</w:t>
            </w:r>
            <w:r w:rsidR="004F52D7">
              <w:rPr>
                <w:rtl/>
              </w:rPr>
              <w:t xml:space="preserve"> في تفسير العيّاشي ،ح 107</w:t>
            </w:r>
            <w:r w:rsidRPr="00132E65">
              <w:rPr>
                <w:rtl/>
              </w:rPr>
              <w:t>:</w:t>
            </w:r>
            <w:r>
              <w:rPr>
                <w:rtl/>
              </w:rPr>
              <w:t xml:space="preserve"> + </w:t>
            </w:r>
            <w:r w:rsidRPr="00132E65">
              <w:rPr>
                <w:rtl/>
              </w:rPr>
              <w:t>« من بعدهم »</w:t>
            </w:r>
            <w:r>
              <w:rPr>
                <w:rtl/>
              </w:rPr>
              <w:t>.</w:t>
            </w:r>
          </w:p>
        </w:tc>
      </w:tr>
    </w:tbl>
    <w:p w:rsidR="000C39D1" w:rsidRPr="00132E65" w:rsidRDefault="000C39D1" w:rsidP="000C39D1">
      <w:pPr>
        <w:pStyle w:val="libFootnote0"/>
        <w:rPr>
          <w:rtl/>
          <w:lang w:bidi="fa-IR"/>
        </w:rPr>
      </w:pPr>
      <w:r>
        <w:rPr>
          <w:rtl/>
        </w:rPr>
        <w:t>(5).</w:t>
      </w:r>
      <w:r w:rsidRPr="00132E65">
        <w:rPr>
          <w:rtl/>
        </w:rPr>
        <w:t xml:space="preserve"> البقرة </w:t>
      </w:r>
      <w:r w:rsidR="00E443D7">
        <w:rPr>
          <w:rtl/>
        </w:rPr>
        <w:t>(2)</w:t>
      </w:r>
      <w:r w:rsidRPr="00132E65">
        <w:rPr>
          <w:rtl/>
        </w:rPr>
        <w:t xml:space="preserve"> : 137.</w:t>
      </w:r>
    </w:p>
    <w:p w:rsidR="000C39D1" w:rsidRPr="00132E65" w:rsidRDefault="000C39D1" w:rsidP="004F52D7">
      <w:pPr>
        <w:pStyle w:val="libFootnote0"/>
        <w:rPr>
          <w:rtl/>
          <w:lang w:bidi="fa-IR"/>
        </w:rPr>
      </w:pPr>
      <w:r>
        <w:rPr>
          <w:rtl/>
        </w:rPr>
        <w:t>(6).</w:t>
      </w:r>
      <w:r w:rsidRPr="00132E65">
        <w:rPr>
          <w:rtl/>
        </w:rPr>
        <w:t xml:space="preserve"> </w:t>
      </w:r>
      <w:r w:rsidRPr="00516892">
        <w:rPr>
          <w:rtl/>
        </w:rPr>
        <w:t>تفسير العيّاشي</w:t>
      </w:r>
      <w:r w:rsidR="004F52D7">
        <w:rPr>
          <w:rtl/>
        </w:rPr>
        <w:t xml:space="preserve"> ، ج 1 ، ص 62 ، ح 107 ، عن سل</w:t>
      </w:r>
      <w:r w:rsidR="004F52D7">
        <w:rPr>
          <w:rFonts w:hint="cs"/>
          <w:rtl/>
        </w:rPr>
        <w:t>ّ</w:t>
      </w:r>
      <w:r w:rsidR="004F52D7">
        <w:rPr>
          <w:rtl/>
        </w:rPr>
        <w:t>ا</w:t>
      </w:r>
      <w:r w:rsidRPr="00132E65">
        <w:rPr>
          <w:rtl/>
        </w:rPr>
        <w:t xml:space="preserve">م. </w:t>
      </w:r>
      <w:r w:rsidRPr="00516892">
        <w:rPr>
          <w:rtl/>
        </w:rPr>
        <w:t>وفيه</w:t>
      </w:r>
      <w:r w:rsidRPr="00132E65">
        <w:rPr>
          <w:rtl/>
        </w:rPr>
        <w:t xml:space="preserve"> ، ص 61 ، ح 105 ، من دون الإسناد إلى المعصوم </w:t>
      </w:r>
      <w:r w:rsidRPr="00E443D7">
        <w:rPr>
          <w:rStyle w:val="libFootnoteAlaemChar"/>
          <w:rtl/>
        </w:rPr>
        <w:t>عليه‌السلام</w:t>
      </w:r>
      <w:r w:rsidRPr="00132E65">
        <w:rPr>
          <w:rtl/>
        </w:rPr>
        <w:t xml:space="preserve"> ، مع اختلاف</w:t>
      </w:r>
      <w:r w:rsidR="004F52D7">
        <w:rPr>
          <w:rFonts w:hint="cs"/>
          <w:rtl/>
        </w:rPr>
        <w:t>.</w:t>
      </w:r>
      <w:r w:rsidRPr="009D1ACE">
        <w:rPr>
          <w:rStyle w:val="libFootnoteBoldChar"/>
          <w:rtl/>
        </w:rPr>
        <w:t>الوافي</w:t>
      </w:r>
      <w:r w:rsidRPr="00132E65">
        <w:rPr>
          <w:rtl/>
        </w:rPr>
        <w:t xml:space="preserve"> ، ج 3 ، ص 887 ، ح 1528.</w:t>
      </w:r>
    </w:p>
    <w:tbl>
      <w:tblPr>
        <w:tblStyle w:val="TableGrid"/>
        <w:bidiVisual/>
        <w:tblW w:w="0" w:type="auto"/>
        <w:tblLook w:val="04A0" w:firstRow="1" w:lastRow="0" w:firstColumn="1" w:lastColumn="0" w:noHBand="0" w:noVBand="1"/>
      </w:tblPr>
      <w:tblGrid>
        <w:gridCol w:w="4006"/>
        <w:gridCol w:w="4006"/>
      </w:tblGrid>
      <w:tr w:rsidR="004F52D7" w:rsidTr="004F52D7">
        <w:tc>
          <w:tcPr>
            <w:tcW w:w="4006" w:type="dxa"/>
          </w:tcPr>
          <w:p w:rsidR="004F52D7" w:rsidRDefault="004F52D7" w:rsidP="000C39D1">
            <w:pPr>
              <w:pStyle w:val="libFootnote0"/>
              <w:rPr>
                <w:rtl/>
              </w:rPr>
            </w:pPr>
            <w:r>
              <w:rPr>
                <w:rtl/>
              </w:rPr>
              <w:t>(7).</w:t>
            </w:r>
            <w:r w:rsidRPr="00132E65">
              <w:rPr>
                <w:rtl/>
              </w:rPr>
              <w:t xml:space="preserve"> في البحار ، ج 23 : « قول الله »</w:t>
            </w:r>
            <w:r>
              <w:rPr>
                <w:rtl/>
              </w:rPr>
              <w:t>.</w:t>
            </w:r>
          </w:p>
        </w:tc>
        <w:tc>
          <w:tcPr>
            <w:tcW w:w="4006" w:type="dxa"/>
          </w:tcPr>
          <w:p w:rsidR="004F52D7" w:rsidRDefault="004F52D7" w:rsidP="000C39D1">
            <w:pPr>
              <w:pStyle w:val="libFootnote0"/>
              <w:rPr>
                <w:rtl/>
              </w:rPr>
            </w:pPr>
            <w:r>
              <w:rPr>
                <w:rtl/>
              </w:rPr>
              <w:t>(8). آل عمران(3):68.وفي« ج، ف، بف»</w:t>
            </w:r>
            <w:r w:rsidRPr="00132E65">
              <w:rPr>
                <w:rtl/>
              </w:rPr>
              <w:t>:</w:t>
            </w:r>
            <w:r>
              <w:rPr>
                <w:rtl/>
              </w:rPr>
              <w:t>+«معه</w:t>
            </w:r>
            <w:r w:rsidRPr="00132E65">
              <w:rPr>
                <w:rtl/>
              </w:rPr>
              <w:t>»</w:t>
            </w:r>
            <w:r>
              <w:rPr>
                <w:rtl/>
              </w:rPr>
              <w:t>.</w:t>
            </w:r>
          </w:p>
        </w:tc>
      </w:tr>
    </w:tbl>
    <w:p w:rsidR="000C39D1" w:rsidRPr="00132E65" w:rsidRDefault="000C39D1" w:rsidP="000C39D1">
      <w:pPr>
        <w:pStyle w:val="libFootnote0"/>
        <w:rPr>
          <w:rtl/>
          <w:lang w:bidi="fa-IR"/>
        </w:rPr>
      </w:pPr>
      <w:r>
        <w:rPr>
          <w:rtl/>
        </w:rPr>
        <w:t>(9).</w:t>
      </w:r>
      <w:r w:rsidRPr="00132E65">
        <w:rPr>
          <w:rtl/>
        </w:rPr>
        <w:t xml:space="preserve"> في البحار ، ج 23 </w:t>
      </w:r>
      <w:r>
        <w:rPr>
          <w:rtl/>
        </w:rPr>
        <w:t xml:space="preserve">: - </w:t>
      </w:r>
      <w:r w:rsidRPr="00132E65">
        <w:rPr>
          <w:rtl/>
        </w:rPr>
        <w:t>« قال »</w:t>
      </w:r>
      <w:r>
        <w:rPr>
          <w:rtl/>
        </w:rPr>
        <w:t>.</w:t>
      </w:r>
    </w:p>
    <w:p w:rsidR="000C39D1" w:rsidRPr="00132E65" w:rsidRDefault="000C39D1" w:rsidP="00A54060">
      <w:pPr>
        <w:pStyle w:val="libFootnote0"/>
        <w:rPr>
          <w:rtl/>
          <w:lang w:bidi="fa-IR"/>
        </w:rPr>
      </w:pPr>
      <w:r>
        <w:rPr>
          <w:rtl/>
        </w:rPr>
        <w:t>(10).</w:t>
      </w:r>
      <w:r w:rsidRPr="00132E65">
        <w:rPr>
          <w:rtl/>
        </w:rPr>
        <w:t xml:space="preserve"> </w:t>
      </w:r>
      <w:r w:rsidRPr="00516892">
        <w:rPr>
          <w:rtl/>
        </w:rPr>
        <w:t>تفسير العيّاشي</w:t>
      </w:r>
      <w:r w:rsidRPr="00132E65">
        <w:rPr>
          <w:rtl/>
        </w:rPr>
        <w:t xml:space="preserve"> ، ج 1 ، ص 177 ، ح 62 ، عن عليّ بن النعمان ، عن أبي عبد الله </w:t>
      </w:r>
      <w:r w:rsidRPr="00E443D7">
        <w:rPr>
          <w:rStyle w:val="libFootnoteAlaemChar"/>
          <w:rtl/>
        </w:rPr>
        <w:t>عليه‌السلام</w:t>
      </w:r>
      <w:r w:rsidR="00A54060">
        <w:rPr>
          <w:rFonts w:hint="cs"/>
          <w:rtl/>
        </w:rPr>
        <w:t>.</w:t>
      </w:r>
      <w:r w:rsidRPr="009D1ACE">
        <w:rPr>
          <w:rStyle w:val="libFootnoteBoldChar"/>
          <w:rtl/>
        </w:rPr>
        <w:t>الوافي</w:t>
      </w:r>
      <w:r w:rsidRPr="00132E65">
        <w:rPr>
          <w:rtl/>
        </w:rPr>
        <w:t xml:space="preserve"> ، ج 3 ، ص 88 ، ح 1529 ؛ </w:t>
      </w:r>
      <w:r w:rsidRPr="00516892">
        <w:rPr>
          <w:rtl/>
        </w:rPr>
        <w:t>البحار</w:t>
      </w:r>
      <w:r w:rsidRPr="00132E65">
        <w:rPr>
          <w:rtl/>
        </w:rPr>
        <w:t xml:space="preserve"> ، ج 23 ، ص 225 ، ح 42.</w:t>
      </w:r>
      <w:r w:rsidR="00A54060">
        <w:rPr>
          <w:rFonts w:hint="cs"/>
          <w:rtl/>
        </w:rPr>
        <w:t xml:space="preserve">      </w:t>
      </w:r>
      <w:r>
        <w:rPr>
          <w:rtl/>
        </w:rPr>
        <w:t>(11).</w:t>
      </w:r>
      <w:r w:rsidRPr="00132E65">
        <w:rPr>
          <w:rtl/>
        </w:rPr>
        <w:t xml:space="preserve"> في البحار : « في قوله »</w:t>
      </w:r>
      <w:r>
        <w:rPr>
          <w:rtl/>
        </w:rPr>
        <w:t>.</w:t>
      </w:r>
    </w:p>
    <w:p w:rsidR="000C39D1" w:rsidRPr="00132E65" w:rsidRDefault="000C39D1" w:rsidP="000C39D1">
      <w:pPr>
        <w:pStyle w:val="libFootnote0"/>
        <w:rPr>
          <w:rtl/>
          <w:lang w:bidi="fa-IR"/>
        </w:rPr>
      </w:pPr>
      <w:r>
        <w:rPr>
          <w:rtl/>
        </w:rPr>
        <w:t>(12).</w:t>
      </w:r>
      <w:r w:rsidRPr="00132E65">
        <w:rPr>
          <w:rtl/>
        </w:rPr>
        <w:t xml:space="preserve"> الأنعام </w:t>
      </w:r>
      <w:r w:rsidR="00E634BC">
        <w:rPr>
          <w:rtl/>
        </w:rPr>
        <w:t>(6)</w:t>
      </w:r>
      <w:r w:rsidRPr="00132E65">
        <w:rPr>
          <w:rtl/>
        </w:rPr>
        <w:t xml:space="preserve"> : 19.</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E634BC">
      <w:pPr>
        <w:pStyle w:val="libNormal0"/>
        <w:tabs>
          <w:tab w:val="left" w:pos="3968"/>
        </w:tabs>
        <w:rPr>
          <w:rtl/>
          <w:lang w:bidi="fa-IR"/>
        </w:rPr>
      </w:pPr>
      <w:r w:rsidRPr="00132E65">
        <w:rPr>
          <w:rtl/>
          <w:lang w:bidi="fa-IR"/>
        </w:rPr>
        <w:t xml:space="preserve">رَسُولُ اللهِ </w:t>
      </w:r>
      <w:r w:rsidR="00E634BC" w:rsidRPr="0093484F">
        <w:rPr>
          <w:rStyle w:val="libAlaemChar"/>
          <w:rFonts w:eastAsiaTheme="minorHAnsi"/>
          <w:rtl/>
        </w:rPr>
        <w:t>صلى‌الله‌عليه‌وآله</w:t>
      </w:r>
      <w:r w:rsidR="00E634BC" w:rsidRPr="00132E65">
        <w:rPr>
          <w:rtl/>
          <w:lang w:bidi="fa-IR"/>
        </w:rPr>
        <w:t xml:space="preserve"> </w:t>
      </w:r>
      <w:r w:rsidRPr="00132E65">
        <w:rPr>
          <w:rtl/>
          <w:lang w:bidi="fa-IR"/>
        </w:rPr>
        <w:t>»</w:t>
      </w:r>
      <w:r>
        <w:rPr>
          <w:rtl/>
          <w:lang w:bidi="fa-IR"/>
        </w:rPr>
        <w:t>.</w:t>
      </w:r>
      <w:r w:rsidRPr="00132E65">
        <w:rPr>
          <w:rtl/>
          <w:lang w:bidi="fa-IR"/>
        </w:rPr>
        <w:t xml:space="preserve"> </w:t>
      </w:r>
      <w:r>
        <w:rPr>
          <w:rStyle w:val="libFootnotenumChar"/>
          <w:rtl/>
        </w:rPr>
        <w:t>(1)</w:t>
      </w:r>
      <w:r w:rsidRPr="00132E65">
        <w:rPr>
          <w:rtl/>
          <w:lang w:bidi="fa-IR"/>
        </w:rPr>
        <w:t>‌</w:t>
      </w:r>
    </w:p>
    <w:p w:rsidR="000C39D1" w:rsidRPr="00132E65" w:rsidRDefault="000C39D1" w:rsidP="000C39D1">
      <w:pPr>
        <w:pStyle w:val="libNormal"/>
        <w:rPr>
          <w:rtl/>
          <w:lang w:bidi="fa-IR"/>
        </w:rPr>
      </w:pPr>
      <w:r w:rsidRPr="00516892">
        <w:rPr>
          <w:rtl/>
        </w:rPr>
        <w:t>1109</w:t>
      </w:r>
      <w:r w:rsidRPr="004325D8">
        <w:rPr>
          <w:rStyle w:val="libBold2Char"/>
          <w:rtl/>
        </w:rPr>
        <w:t xml:space="preserve"> / 22.</w:t>
      </w:r>
      <w:r w:rsidRPr="00132E65">
        <w:rPr>
          <w:rtl/>
          <w:lang w:bidi="fa-IR"/>
        </w:rPr>
        <w:t xml:space="preserve"> عِدَّةٌ مِنْ أَصْحَابِنَا ، عَنْ أَحْمَدَ بْنِ مُحَمَّدٍ ، عَنْ عَلِيِّ بْنِ الْحَكَمِ ، عَنْ مُفَضَّلِ بْنِ صَالِحٍ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وَلَقَدْ عَهِدْنا إِلى آدَمَ مِنْ قَبْلُ فَنَسِيَ وَلَمْ نَجِدْ لَهُ عَزْماً</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 عَهِدْنَا </w:t>
      </w:r>
      <w:r>
        <w:rPr>
          <w:rStyle w:val="libFootnotenumChar"/>
          <w:rtl/>
        </w:rPr>
        <w:t>(3)</w:t>
      </w:r>
      <w:r w:rsidRPr="00132E65">
        <w:rPr>
          <w:rtl/>
          <w:lang w:bidi="fa-IR"/>
        </w:rPr>
        <w:t xml:space="preserve"> إِلَيْهِ فِي مُحَمَّدٍ والْأَئِمَّةِ مِنْ بَعْدِهِ ، فَتَرَكَ ولَمْ يَكُنْ لَهُ عَزْمٌ </w:t>
      </w:r>
      <w:r>
        <w:rPr>
          <w:rStyle w:val="libFootnotenumChar"/>
          <w:rtl/>
        </w:rPr>
        <w:t>(4)</w:t>
      </w:r>
      <w:r w:rsidRPr="00132E65">
        <w:rPr>
          <w:rtl/>
          <w:lang w:bidi="fa-IR"/>
        </w:rPr>
        <w:t xml:space="preserve"> أَنَّهُمْ هكَذَا ، وإِنَّمَا سُمِّيَ أُولُو الْعَزْمِ أُوْلِي الْعَزْمِ لِأَنَّهُ </w:t>
      </w:r>
      <w:r>
        <w:rPr>
          <w:rStyle w:val="libFootnotenumChar"/>
          <w:rtl/>
        </w:rPr>
        <w:t>(5)</w:t>
      </w:r>
      <w:r w:rsidRPr="00132E65">
        <w:rPr>
          <w:rtl/>
          <w:lang w:bidi="fa-IR"/>
        </w:rPr>
        <w:t xml:space="preserve"> عَهِدَ إِلَيْهِمْ فِي مُحَمَّدٍ والْأَوْصِيَاءِ مِنْ بَعْدِهِ والْمَهْدِيِّ </w:t>
      </w:r>
      <w:r>
        <w:rPr>
          <w:rStyle w:val="libFootnotenumChar"/>
          <w:rtl/>
        </w:rPr>
        <w:t>(6)</w:t>
      </w:r>
      <w:r w:rsidRPr="00132E65">
        <w:rPr>
          <w:rtl/>
          <w:lang w:bidi="fa-IR"/>
        </w:rPr>
        <w:t xml:space="preserve"> وسِيرَتِهِ ، وأَجْمَعَ عَزْمُهُمْ عَلى أَنَّ </w:t>
      </w:r>
      <w:r>
        <w:rPr>
          <w:rStyle w:val="libFootnotenumChar"/>
          <w:rtl/>
        </w:rPr>
        <w:t>(7)</w:t>
      </w:r>
      <w:r w:rsidRPr="00132E65">
        <w:rPr>
          <w:rtl/>
          <w:lang w:bidi="fa-IR"/>
        </w:rPr>
        <w:t xml:space="preserve"> ذلِكَ كَذلِكَ ، والْإِقْرَارِ بِهِ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516892">
        <w:rPr>
          <w:rtl/>
        </w:rPr>
        <w:t>1110</w:t>
      </w:r>
      <w:r w:rsidRPr="004325D8">
        <w:rPr>
          <w:rStyle w:val="libBold2Char"/>
          <w:rtl/>
        </w:rPr>
        <w:t xml:space="preserve"> / 23.</w:t>
      </w:r>
      <w:r w:rsidRPr="00132E65">
        <w:rPr>
          <w:rtl/>
          <w:lang w:bidi="fa-IR"/>
        </w:rPr>
        <w:t xml:space="preserve"> الْحُسَيْنُ بْنُ مُحَمَّدٍ ، عَنْ مُعَلَّى بْنِ مُحَمَّدٍ ، عَنْ جَعْفَرِ بْنِ مُحَمَّدِ بْنِ عُبَيْدِ اللهِ </w:t>
      </w:r>
      <w:r>
        <w:rPr>
          <w:rStyle w:val="libFootnotenumChar"/>
          <w:rtl/>
        </w:rPr>
        <w:t>(9)</w:t>
      </w:r>
      <w:r w:rsidRPr="00132E65">
        <w:rPr>
          <w:rtl/>
          <w:lang w:bidi="fa-IR"/>
        </w:rPr>
        <w:t xml:space="preserve"> ، عَنْ مُحَمَّدِ بْنِ عِيسَى الْقُمِّيِّ ، عَنْ مُحَمَّدِ بْنِ سُلَيْمَانَ ، عَنْ عَبْدِ اللهِ بْنِ سِنَانٍ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3852A9">
      <w:pPr>
        <w:pStyle w:val="libFootnote0"/>
        <w:rPr>
          <w:rtl/>
          <w:lang w:bidi="fa-IR"/>
        </w:rPr>
      </w:pPr>
      <w:r>
        <w:rPr>
          <w:rtl/>
        </w:rPr>
        <w:t>(1).</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1148 ، بسند آخر عن ابن ا</w:t>
      </w:r>
      <w:r w:rsidR="003852A9">
        <w:rPr>
          <w:rFonts w:hint="cs"/>
          <w:rtl/>
        </w:rPr>
        <w:t>ُ</w:t>
      </w:r>
      <w:r w:rsidRPr="00132E65">
        <w:rPr>
          <w:rtl/>
        </w:rPr>
        <w:t xml:space="preserve">ذينة. </w:t>
      </w:r>
      <w:r w:rsidRPr="007A1104">
        <w:rPr>
          <w:rStyle w:val="libFootnoteBoldChar"/>
          <w:rtl/>
        </w:rPr>
        <w:t>بصائر الدرجات</w:t>
      </w:r>
      <w:r w:rsidRPr="00132E65">
        <w:rPr>
          <w:rtl/>
        </w:rPr>
        <w:t xml:space="preserve"> ، ص 511 ، ح 18 ، بسنده عن مالك الجهني ، عن أبي جعفر </w:t>
      </w:r>
      <w:r w:rsidRPr="003852A9">
        <w:rPr>
          <w:rStyle w:val="libFootnoteAlaemChar"/>
          <w:rtl/>
        </w:rPr>
        <w:t>عليه‌السلام</w:t>
      </w:r>
      <w:r w:rsidRPr="00132E65">
        <w:rPr>
          <w:rtl/>
        </w:rPr>
        <w:t xml:space="preserve"> ، مع اختلاف يسير. </w:t>
      </w:r>
      <w:r w:rsidRPr="00516892">
        <w:rPr>
          <w:rtl/>
        </w:rPr>
        <w:t>تفسير العيّاشي</w:t>
      </w:r>
      <w:r w:rsidRPr="00132E65">
        <w:rPr>
          <w:rtl/>
        </w:rPr>
        <w:t xml:space="preserve"> ، ج 1 ، ص 356 ، ح 13 ، عن أبي خالد الكابلي ، عن أبي جعفر </w:t>
      </w:r>
      <w:r w:rsidRPr="003852A9">
        <w:rPr>
          <w:rStyle w:val="libFootnoteAlaemChar"/>
          <w:rtl/>
        </w:rPr>
        <w:t>عليه‌السلام</w:t>
      </w:r>
      <w:r w:rsidRPr="00132E65">
        <w:rPr>
          <w:rtl/>
        </w:rPr>
        <w:t xml:space="preserve">. </w:t>
      </w:r>
      <w:r w:rsidRPr="00516892">
        <w:rPr>
          <w:rtl/>
        </w:rPr>
        <w:t>تفسير القمّي</w:t>
      </w:r>
      <w:r w:rsidRPr="00132E65">
        <w:rPr>
          <w:rtl/>
        </w:rPr>
        <w:t xml:space="preserve"> ، ج 1 ، ص 195 ، من دون الإسناد إلى المعصوم </w:t>
      </w:r>
      <w:r w:rsidRPr="003852A9">
        <w:rPr>
          <w:rStyle w:val="libFootnoteAlaemChar"/>
          <w:rtl/>
        </w:rPr>
        <w:t>عليه‌السلام</w:t>
      </w:r>
      <w:r w:rsidRPr="00132E65">
        <w:rPr>
          <w:rtl/>
        </w:rPr>
        <w:t xml:space="preserve"> ، وفيهما مع اختلاف يسير. </w:t>
      </w:r>
      <w:r w:rsidRPr="00516892">
        <w:rPr>
          <w:rtl/>
        </w:rPr>
        <w:t>تفسير العيّاشي</w:t>
      </w:r>
      <w:r w:rsidRPr="00132E65">
        <w:rPr>
          <w:rtl/>
        </w:rPr>
        <w:t xml:space="preserve"> ، ج 1 ، ص 356 ، ح 12 عن زرارة وحمران ، عن أبي جعفر وأبي عبد الله </w:t>
      </w:r>
      <w:r w:rsidRPr="003852A9">
        <w:rPr>
          <w:rStyle w:val="libFootnoteAlaemChar"/>
          <w:rtl/>
        </w:rPr>
        <w:t>عليهما‌السلام</w:t>
      </w:r>
      <w:r w:rsidRPr="00132E65">
        <w:rPr>
          <w:rtl/>
        </w:rPr>
        <w:t xml:space="preserve"> ، مع اختلاف</w:t>
      </w:r>
      <w:r w:rsidR="003852A9">
        <w:rPr>
          <w:rFonts w:hint="cs"/>
          <w:rtl/>
        </w:rPr>
        <w:t>.</w:t>
      </w:r>
      <w:r w:rsidRPr="009D1ACE">
        <w:rPr>
          <w:rStyle w:val="libFootnoteBoldChar"/>
          <w:rtl/>
        </w:rPr>
        <w:t>الوافي</w:t>
      </w:r>
      <w:r w:rsidRPr="00132E65">
        <w:rPr>
          <w:rtl/>
        </w:rPr>
        <w:t xml:space="preserve"> ، ج 3 ، ص 888 ، ح 1530 ؛ </w:t>
      </w:r>
      <w:r w:rsidRPr="00516892">
        <w:rPr>
          <w:rtl/>
        </w:rPr>
        <w:t>البحار</w:t>
      </w:r>
      <w:r w:rsidRPr="00132E65">
        <w:rPr>
          <w:rtl/>
        </w:rPr>
        <w:t xml:space="preserve"> ، ج 23 ، ص 190 ، ح 8.</w:t>
      </w:r>
    </w:p>
    <w:tbl>
      <w:tblPr>
        <w:tblStyle w:val="TableGrid"/>
        <w:bidiVisual/>
        <w:tblW w:w="0" w:type="auto"/>
        <w:tblLook w:val="04A0" w:firstRow="1" w:lastRow="0" w:firstColumn="1" w:lastColumn="0" w:noHBand="0" w:noVBand="1"/>
      </w:tblPr>
      <w:tblGrid>
        <w:gridCol w:w="4006"/>
        <w:gridCol w:w="4006"/>
      </w:tblGrid>
      <w:tr w:rsidR="003852A9" w:rsidTr="003852A9">
        <w:tc>
          <w:tcPr>
            <w:tcW w:w="4006" w:type="dxa"/>
          </w:tcPr>
          <w:p w:rsidR="003852A9" w:rsidRDefault="003852A9" w:rsidP="000C39D1">
            <w:pPr>
              <w:pStyle w:val="libFootnote0"/>
              <w:rPr>
                <w:rtl/>
              </w:rPr>
            </w:pPr>
            <w:r>
              <w:rPr>
                <w:rtl/>
              </w:rPr>
              <w:t>(2).</w:t>
            </w:r>
            <w:r w:rsidRPr="00132E65">
              <w:rPr>
                <w:rtl/>
              </w:rPr>
              <w:t xml:space="preserve"> طه (20) : 115.</w:t>
            </w:r>
          </w:p>
        </w:tc>
        <w:tc>
          <w:tcPr>
            <w:tcW w:w="4006" w:type="dxa"/>
          </w:tcPr>
          <w:p w:rsidR="003852A9" w:rsidRDefault="003852A9" w:rsidP="000C39D1">
            <w:pPr>
              <w:pStyle w:val="libFootnote0"/>
              <w:rPr>
                <w:rtl/>
              </w:rPr>
            </w:pPr>
            <w:r>
              <w:rPr>
                <w:rtl/>
              </w:rPr>
              <w:t>(3).</w:t>
            </w:r>
            <w:r w:rsidRPr="00132E65">
              <w:rPr>
                <w:rtl/>
              </w:rPr>
              <w:t xml:space="preserve"> في البصائر وتفسير القمّي والعلل : « عهد »</w:t>
            </w:r>
            <w:r>
              <w:rPr>
                <w:rtl/>
              </w:rPr>
              <w:t>.</w:t>
            </w:r>
          </w:p>
        </w:tc>
      </w:tr>
    </w:tbl>
    <w:p w:rsidR="000C39D1" w:rsidRPr="00132E65" w:rsidRDefault="000C39D1" w:rsidP="000C39D1">
      <w:pPr>
        <w:pStyle w:val="libFootnote0"/>
        <w:rPr>
          <w:rtl/>
          <w:lang w:bidi="fa-IR"/>
        </w:rPr>
      </w:pPr>
      <w:r>
        <w:rPr>
          <w:rtl/>
        </w:rPr>
        <w:t>(4).</w:t>
      </w:r>
      <w:r w:rsidRPr="00132E65">
        <w:rPr>
          <w:rtl/>
        </w:rPr>
        <w:t xml:space="preserve"> في البصائر وتفسير القمّي والعلل :</w:t>
      </w:r>
      <w:r>
        <w:rPr>
          <w:rtl/>
        </w:rPr>
        <w:t xml:space="preserve"> + </w:t>
      </w:r>
      <w:r w:rsidRPr="00132E65">
        <w:rPr>
          <w:rtl/>
        </w:rPr>
        <w:t>« فيهم »</w:t>
      </w:r>
      <w:r>
        <w:rPr>
          <w:rtl/>
        </w:rPr>
        <w:t>.</w:t>
      </w:r>
    </w:p>
    <w:p w:rsidR="000C39D1" w:rsidRPr="00132E65" w:rsidRDefault="000C39D1" w:rsidP="000C39D1">
      <w:pPr>
        <w:pStyle w:val="libFootnote0"/>
        <w:rPr>
          <w:rtl/>
          <w:lang w:bidi="fa-IR"/>
        </w:rPr>
      </w:pPr>
      <w:r>
        <w:rPr>
          <w:rtl/>
        </w:rPr>
        <w:t>(5).</w:t>
      </w:r>
      <w:r w:rsidRPr="00132E65">
        <w:rPr>
          <w:rtl/>
        </w:rPr>
        <w:t xml:space="preserve"> في « ب ، ج ، ض ، ف ، بح ، بر ، بس ، بف » وتفسير القمّي والبحار : « إنّه »</w:t>
      </w:r>
      <w:r>
        <w:rPr>
          <w:rtl/>
        </w:rPr>
        <w:t>.</w:t>
      </w:r>
    </w:p>
    <w:p w:rsidR="000C39D1" w:rsidRPr="00132E65" w:rsidRDefault="000C39D1" w:rsidP="000C39D1">
      <w:pPr>
        <w:pStyle w:val="libFootnote0"/>
        <w:rPr>
          <w:rtl/>
          <w:lang w:bidi="fa-IR"/>
        </w:rPr>
      </w:pPr>
      <w:r>
        <w:rPr>
          <w:rtl/>
        </w:rPr>
        <w:t>(6).</w:t>
      </w:r>
      <w:r w:rsidRPr="00132E65">
        <w:rPr>
          <w:rtl/>
        </w:rPr>
        <w:t xml:space="preserve"> في « بف » </w:t>
      </w:r>
      <w:r>
        <w:rPr>
          <w:rtl/>
        </w:rPr>
        <w:t xml:space="preserve">: - </w:t>
      </w:r>
      <w:r w:rsidRPr="00132E65">
        <w:rPr>
          <w:rtl/>
        </w:rPr>
        <w:t>« والمهديّ »</w:t>
      </w:r>
      <w:r>
        <w:rPr>
          <w:rtl/>
        </w:rPr>
        <w:t>.</w:t>
      </w:r>
      <w:r w:rsidRPr="00132E65">
        <w:rPr>
          <w:rtl/>
        </w:rPr>
        <w:t xml:space="preserve"> وفي تفسير القمّي : « والقائم </w:t>
      </w:r>
      <w:r w:rsidRPr="003852A9">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(7).</w:t>
      </w:r>
      <w:r w:rsidRPr="00132E65">
        <w:rPr>
          <w:rtl/>
        </w:rPr>
        <w:t xml:space="preserve"> في البصائر وتفسير القمّي والعلل : « فأجمع عزمهم أنّ »</w:t>
      </w:r>
      <w:r>
        <w:rPr>
          <w:rtl/>
        </w:rPr>
        <w:t>.</w:t>
      </w:r>
    </w:p>
    <w:p w:rsidR="000C39D1" w:rsidRPr="00132E65" w:rsidRDefault="000C39D1" w:rsidP="002A4560">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70 ، ح 1 ؛ و</w:t>
      </w:r>
      <w:r w:rsidRPr="00516892">
        <w:rPr>
          <w:rtl/>
        </w:rPr>
        <w:t>تفسير القمّي</w:t>
      </w:r>
      <w:r w:rsidRPr="00132E65">
        <w:rPr>
          <w:rtl/>
        </w:rPr>
        <w:t xml:space="preserve"> ، ج 2 ، ص 65 ، عن أحمد بن محمّد. </w:t>
      </w:r>
      <w:r w:rsidRPr="00516892">
        <w:rPr>
          <w:rtl/>
        </w:rPr>
        <w:t>علل الشرائع</w:t>
      </w:r>
      <w:r w:rsidRPr="00132E65">
        <w:rPr>
          <w:rtl/>
        </w:rPr>
        <w:t xml:space="preserve"> ، ص 122 ، ح 1 ، بسنده عن أحمد بن محمّد بن محمّد بن عيسى</w:t>
      </w:r>
      <w:r>
        <w:rPr>
          <w:rtl/>
        </w:rPr>
        <w:t xml:space="preserve"> ..</w:t>
      </w:r>
      <w:r w:rsidRPr="00132E65">
        <w:rPr>
          <w:rtl/>
        </w:rPr>
        <w:t>. عن جابر بن يزيد</w:t>
      </w:r>
      <w:r w:rsidR="002A4560">
        <w:rPr>
          <w:rFonts w:hint="cs"/>
          <w:rtl/>
        </w:rPr>
        <w:t>.</w:t>
      </w:r>
      <w:r w:rsidRPr="009D1ACE">
        <w:rPr>
          <w:rStyle w:val="libFootnoteBoldChar"/>
          <w:rtl/>
        </w:rPr>
        <w:t>الوافي</w:t>
      </w:r>
      <w:r w:rsidRPr="00132E65">
        <w:rPr>
          <w:rtl/>
        </w:rPr>
        <w:t xml:space="preserve"> ، ج 3 ، ص 888 ، ح 1532 ؛ </w:t>
      </w:r>
      <w:r w:rsidRPr="00516892">
        <w:rPr>
          <w:rtl/>
        </w:rPr>
        <w:t>البحار</w:t>
      </w:r>
      <w:r w:rsidRPr="00132E65">
        <w:rPr>
          <w:rtl/>
        </w:rPr>
        <w:t xml:space="preserve"> ، ج 24 ، ص 351 ، ح 65.</w:t>
      </w:r>
    </w:p>
    <w:p w:rsidR="000C39D1" w:rsidRPr="00132E65" w:rsidRDefault="000C39D1" w:rsidP="000C39D1">
      <w:pPr>
        <w:pStyle w:val="libFootnote0"/>
        <w:rPr>
          <w:rtl/>
          <w:lang w:bidi="fa-IR"/>
        </w:rPr>
      </w:pPr>
      <w:r>
        <w:rPr>
          <w:rtl/>
        </w:rPr>
        <w:t>(9).</w:t>
      </w:r>
      <w:r w:rsidRPr="00132E65">
        <w:rPr>
          <w:rtl/>
        </w:rPr>
        <w:t xml:space="preserve"> في « ض ، ف ، بح » و</w:t>
      </w:r>
      <w:r w:rsidRPr="009D1ACE">
        <w:rPr>
          <w:rStyle w:val="libFootnoteBoldChar"/>
          <w:rtl/>
        </w:rPr>
        <w:t>الوافي</w:t>
      </w:r>
      <w:r w:rsidRPr="00132E65">
        <w:rPr>
          <w:rtl/>
        </w:rPr>
        <w:t xml:space="preserve"> : « جعفر بن محمّد بن عبد الله »</w:t>
      </w:r>
      <w:r>
        <w:rPr>
          <w:rtl/>
        </w:rPr>
        <w:t>.</w:t>
      </w:r>
      <w:r w:rsidRPr="00132E65">
        <w:rPr>
          <w:rtl/>
        </w:rPr>
        <w:t xml:space="preserve"> وفي حاشية المطبوع عن بعض النسخ « محمّد بن عبدالله »</w:t>
      </w:r>
      <w:r>
        <w:rPr>
          <w:rtl/>
        </w:rPr>
        <w:t>.</w:t>
      </w:r>
    </w:p>
    <w:p w:rsidR="000C39D1" w:rsidRPr="00C900C1" w:rsidRDefault="000C39D1" w:rsidP="00E634BC">
      <w:pPr>
        <w:pStyle w:val="libFootnote0"/>
        <w:rPr>
          <w:rtl/>
        </w:rPr>
      </w:pPr>
      <w:r w:rsidRPr="00C900C1">
        <w:rPr>
          <w:rtl/>
        </w:rPr>
        <w:t xml:space="preserve">ويحتمل أن يكون جعفر بن محمّد هذا ، هو جعفر بن محمّد بن عبيد الله الأشعري الراوي لكتب عبد الله بن </w:t>
      </w:r>
      <w:r w:rsidR="002A4560">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D01164">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وَلَقَدْ عَهِدْنا إِلى آدَمَ مِنْ قَبْلُ </w:t>
      </w:r>
      <w:r w:rsidRPr="00071CF9">
        <w:rPr>
          <w:rStyle w:val="libAlaemChar"/>
          <w:rtl/>
        </w:rPr>
        <w:t>)</w:t>
      </w:r>
      <w:r w:rsidRPr="00132E65">
        <w:rPr>
          <w:rtl/>
          <w:lang w:bidi="fa-IR"/>
        </w:rPr>
        <w:t xml:space="preserve"> : « كَلِمَاتٍ </w:t>
      </w:r>
      <w:r>
        <w:rPr>
          <w:rStyle w:val="libFootnotenumChar"/>
          <w:rtl/>
        </w:rPr>
        <w:t>(1)</w:t>
      </w:r>
      <w:r w:rsidRPr="00132E65">
        <w:rPr>
          <w:rtl/>
          <w:lang w:bidi="fa-IR"/>
        </w:rPr>
        <w:t xml:space="preserve"> فِي مُحَمَّدٍ وعَلِيٍّ وفَاطِمَةَ </w:t>
      </w:r>
      <w:r>
        <w:rPr>
          <w:rStyle w:val="libFootnotenumChar"/>
          <w:rtl/>
        </w:rPr>
        <w:t>(2)</w:t>
      </w:r>
      <w:r w:rsidRPr="00132E65">
        <w:rPr>
          <w:rtl/>
          <w:lang w:bidi="fa-IR"/>
        </w:rPr>
        <w:t xml:space="preserve"> والْحَسَنِ والْحُسَيْنِ والْأَئِمَّةِ مِنْ ذُرِّيَّتِهِمْ</w:t>
      </w:r>
      <w:r>
        <w:rPr>
          <w:rFonts w:hint="cs"/>
          <w:rtl/>
          <w:lang w:bidi="fa-IR"/>
        </w:rPr>
        <w:t xml:space="preserve"> </w:t>
      </w:r>
      <w:r w:rsidRPr="00071CF9">
        <w:rPr>
          <w:rStyle w:val="libAlaemChar"/>
          <w:rtl/>
        </w:rPr>
        <w:t>(</w:t>
      </w:r>
      <w:r w:rsidRPr="00071CF9">
        <w:rPr>
          <w:rStyle w:val="libAieChar"/>
          <w:rtl/>
        </w:rPr>
        <w:t xml:space="preserve"> فَنَسِي </w:t>
      </w:r>
      <w:r w:rsidRPr="00071CF9">
        <w:rPr>
          <w:rStyle w:val="libAlaemChar"/>
          <w:rtl/>
        </w:rPr>
        <w:t>)</w:t>
      </w:r>
      <w:r w:rsidRPr="00132E65">
        <w:rPr>
          <w:rtl/>
          <w:lang w:bidi="fa-IR"/>
        </w:rPr>
        <w:t xml:space="preserve"> هكَذَا وَاللهِ أُنْزِلَتْ </w:t>
      </w:r>
      <w:r>
        <w:rPr>
          <w:rStyle w:val="libFootnotenumChar"/>
          <w:rtl/>
        </w:rPr>
        <w:t>(3)</w:t>
      </w:r>
      <w:r w:rsidRPr="00132E65">
        <w:rPr>
          <w:rtl/>
          <w:lang w:bidi="fa-IR"/>
        </w:rPr>
        <w:t xml:space="preserve"> عَلى مُحَمَّدٍ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(4)</w:t>
      </w:r>
    </w:p>
    <w:p w:rsidR="000C39D1" w:rsidRPr="00132E65" w:rsidRDefault="000C39D1" w:rsidP="000C39D1">
      <w:pPr>
        <w:pStyle w:val="libNormal"/>
        <w:rPr>
          <w:rtl/>
          <w:lang w:bidi="fa-IR"/>
        </w:rPr>
      </w:pPr>
      <w:r w:rsidRPr="001C3156">
        <w:rPr>
          <w:rtl/>
        </w:rPr>
        <w:t>1111</w:t>
      </w:r>
      <w:r w:rsidRPr="004325D8">
        <w:rPr>
          <w:rStyle w:val="libBold2Char"/>
          <w:rtl/>
        </w:rPr>
        <w:t xml:space="preserve"> / 24.</w:t>
      </w:r>
      <w:r w:rsidRPr="00132E65">
        <w:rPr>
          <w:rtl/>
          <w:lang w:bidi="fa-IR"/>
        </w:rPr>
        <w:t xml:space="preserve"> مُحَمَّدُ بْنُ يَحْيى ، عَنْ مُحَمَّدِ بْنِ الْحُسَيْنِ ، عَنِ النَّضْرِ بْنِ شُعَيْبٍ ، عَنْ خَالِدِ بْنِ مَادٍّ </w:t>
      </w:r>
      <w:r>
        <w:rPr>
          <w:rStyle w:val="libFootnotenumChar"/>
          <w:rtl/>
        </w:rPr>
        <w:t>(5)</w:t>
      </w:r>
      <w:r w:rsidRPr="00132E65">
        <w:rPr>
          <w:rtl/>
          <w:lang w:bidi="fa-IR"/>
        </w:rPr>
        <w:t xml:space="preserve"> ، عَنْ مُحَمَّدِ بْنِ الْفُضَيْلِ </w:t>
      </w:r>
      <w:r>
        <w:rPr>
          <w:rStyle w:val="libFootnotenumChar"/>
          <w:rtl/>
        </w:rPr>
        <w:t>(6)</w:t>
      </w:r>
      <w:r w:rsidRPr="00132E65">
        <w:rPr>
          <w:rtl/>
          <w:lang w:bidi="fa-IR"/>
        </w:rPr>
        <w:t xml:space="preserve"> ، عَنِ الثُّمَالِيِّ :</w:t>
      </w:r>
    </w:p>
    <w:p w:rsidR="000C39D1" w:rsidRPr="00132E65" w:rsidRDefault="000C39D1" w:rsidP="000C39D1">
      <w:pPr>
        <w:pStyle w:val="libLine"/>
        <w:rPr>
          <w:rtl/>
          <w:lang w:bidi="fa-IR"/>
        </w:rPr>
      </w:pPr>
      <w:r w:rsidRPr="00132E65">
        <w:rPr>
          <w:rtl/>
          <w:lang w:bidi="fa-IR"/>
        </w:rPr>
        <w:t>__________________</w:t>
      </w:r>
    </w:p>
    <w:p w:rsidR="000C39D1" w:rsidRPr="00132E65" w:rsidRDefault="00D01164" w:rsidP="000C39D1">
      <w:pPr>
        <w:pStyle w:val="libFootnote0"/>
        <w:rPr>
          <w:rtl/>
          <w:lang w:bidi="fa-IR"/>
        </w:rPr>
      </w:pPr>
      <w:r>
        <w:rPr>
          <w:rFonts w:hint="cs"/>
          <w:rtl/>
        </w:rPr>
        <w:t xml:space="preserve">= </w:t>
      </w:r>
      <w:r w:rsidR="000C39D1" w:rsidRPr="0046781C">
        <w:rPr>
          <w:rtl/>
        </w:rPr>
        <w:t xml:space="preserve">ميمون القدّاح ، والراوي عنه في كثيرٍ من الأسناد بعنوان جعفر بن محمّد الأشعري فقد روى معلّى بن محمّد عن جعفر بن محمّد الأشعري عن عبد الله بن ميمون القدّاح في </w:t>
      </w:r>
      <w:r w:rsidR="000C39D1" w:rsidRPr="000577A7">
        <w:rPr>
          <w:rStyle w:val="libFootnoteBoldChar"/>
          <w:rtl/>
        </w:rPr>
        <w:t>الكافي</w:t>
      </w:r>
      <w:r w:rsidR="000C39D1" w:rsidRPr="0046781C">
        <w:rPr>
          <w:rtl/>
        </w:rPr>
        <w:t xml:space="preserve"> ، ح 10239 ، وروى عن جعفر بن محمّد الأشعري عن ابن القدّاح في </w:t>
      </w:r>
      <w:r w:rsidR="000C39D1" w:rsidRPr="000577A7">
        <w:rPr>
          <w:rStyle w:val="libFootnoteBoldChar"/>
          <w:rtl/>
        </w:rPr>
        <w:t>الكافي</w:t>
      </w:r>
      <w:r w:rsidR="000C39D1" w:rsidRPr="0046781C">
        <w:rPr>
          <w:rtl/>
        </w:rPr>
        <w:t xml:space="preserve"> ، ح 12734. راجع : </w:t>
      </w:r>
      <w:r w:rsidR="000C39D1" w:rsidRPr="00516892">
        <w:rPr>
          <w:rtl/>
        </w:rPr>
        <w:t>رجال النجاشي</w:t>
      </w:r>
      <w:r w:rsidR="000C39D1" w:rsidRPr="0046781C">
        <w:rPr>
          <w:rtl/>
        </w:rPr>
        <w:t xml:space="preserve"> ، ص 213 ، الرقم 557 ؛ </w:t>
      </w:r>
      <w:r w:rsidR="000C39D1" w:rsidRPr="00516892">
        <w:rPr>
          <w:rtl/>
        </w:rPr>
        <w:t>الفهرست</w:t>
      </w:r>
      <w:r w:rsidR="000C39D1" w:rsidRPr="0046781C">
        <w:rPr>
          <w:rtl/>
        </w:rPr>
        <w:t xml:space="preserve"> للطوسي ، ص 295 ، الرقم 443 ؛ </w:t>
      </w:r>
      <w:r w:rsidR="000C39D1" w:rsidRPr="00516892">
        <w:rPr>
          <w:rtl/>
        </w:rPr>
        <w:t>معجم رجال الحديث</w:t>
      </w:r>
      <w:r w:rsidR="000C39D1" w:rsidRPr="0046781C">
        <w:rPr>
          <w:rtl/>
        </w:rPr>
        <w:t xml:space="preserve"> ، ج 4 ، ص 98 ، الرقم 2237.</w:t>
      </w:r>
    </w:p>
    <w:tbl>
      <w:tblPr>
        <w:tblStyle w:val="TableGrid"/>
        <w:bidiVisual/>
        <w:tblW w:w="0" w:type="auto"/>
        <w:tblLook w:val="04A0" w:firstRow="1" w:lastRow="0" w:firstColumn="1" w:lastColumn="0" w:noHBand="0" w:noVBand="1"/>
      </w:tblPr>
      <w:tblGrid>
        <w:gridCol w:w="4006"/>
        <w:gridCol w:w="4006"/>
      </w:tblGrid>
      <w:tr w:rsidR="0016597E" w:rsidTr="0016597E">
        <w:tc>
          <w:tcPr>
            <w:tcW w:w="4006" w:type="dxa"/>
          </w:tcPr>
          <w:p w:rsidR="0016597E" w:rsidRDefault="0016597E" w:rsidP="000C39D1">
            <w:pPr>
              <w:pStyle w:val="libFootnote0"/>
              <w:rPr>
                <w:rtl/>
              </w:rPr>
            </w:pPr>
            <w:r>
              <w:rPr>
                <w:rtl/>
              </w:rPr>
              <w:t>(1).</w:t>
            </w:r>
            <w:r w:rsidRPr="00132E65">
              <w:rPr>
                <w:rtl/>
              </w:rPr>
              <w:t xml:space="preserve"> في « ف » :</w:t>
            </w:r>
            <w:r>
              <w:rPr>
                <w:rtl/>
              </w:rPr>
              <w:t xml:space="preserve"> + </w:t>
            </w:r>
            <w:r w:rsidRPr="00132E65">
              <w:rPr>
                <w:rtl/>
              </w:rPr>
              <w:t>« قال »</w:t>
            </w:r>
            <w:r>
              <w:rPr>
                <w:rtl/>
              </w:rPr>
              <w:t>.</w:t>
            </w:r>
          </w:p>
        </w:tc>
        <w:tc>
          <w:tcPr>
            <w:tcW w:w="4006" w:type="dxa"/>
          </w:tcPr>
          <w:p w:rsidR="0016597E" w:rsidRDefault="0016597E" w:rsidP="000C39D1">
            <w:pPr>
              <w:pStyle w:val="libFootnote0"/>
              <w:rPr>
                <w:rtl/>
              </w:rPr>
            </w:pPr>
            <w:r>
              <w:rPr>
                <w:rtl/>
              </w:rPr>
              <w:t>(2).</w:t>
            </w:r>
            <w:r w:rsidRPr="00132E65">
              <w:rPr>
                <w:rtl/>
              </w:rPr>
              <w:t xml:space="preserve"> في البصائر </w:t>
            </w:r>
            <w:r>
              <w:rPr>
                <w:rtl/>
              </w:rPr>
              <w:t xml:space="preserve">: - </w:t>
            </w:r>
            <w:r w:rsidRPr="00132E65">
              <w:rPr>
                <w:rtl/>
              </w:rPr>
              <w:t>« فاطمة »</w:t>
            </w:r>
            <w:r>
              <w:rPr>
                <w:rtl/>
              </w:rPr>
              <w:t>.</w:t>
            </w:r>
          </w:p>
        </w:tc>
      </w:tr>
    </w:tbl>
    <w:p w:rsidR="000C39D1" w:rsidRPr="00132E65" w:rsidRDefault="000C39D1" w:rsidP="000C39D1">
      <w:pPr>
        <w:pStyle w:val="libFootnote0"/>
        <w:rPr>
          <w:rtl/>
          <w:lang w:bidi="fa-IR"/>
        </w:rPr>
      </w:pPr>
      <w:r>
        <w:rPr>
          <w:rtl/>
        </w:rPr>
        <w:t>(3).</w:t>
      </w:r>
      <w:r w:rsidRPr="00132E65">
        <w:rPr>
          <w:rtl/>
        </w:rPr>
        <w:t xml:space="preserve"> هكذا في النسخ التي قوبلت و</w:t>
      </w:r>
      <w:r w:rsidRPr="009D1ACE">
        <w:rPr>
          <w:rStyle w:val="libFootnoteBoldChar"/>
          <w:rtl/>
        </w:rPr>
        <w:t>الوافي</w:t>
      </w:r>
      <w:r w:rsidRPr="00132E65">
        <w:rPr>
          <w:rtl/>
        </w:rPr>
        <w:t xml:space="preserve"> والبصائر والبحار ، ج 11 </w:t>
      </w:r>
      <w:r>
        <w:rPr>
          <w:rtl/>
        </w:rPr>
        <w:t>و 2</w:t>
      </w:r>
      <w:r w:rsidRPr="00132E65">
        <w:rPr>
          <w:rtl/>
        </w:rPr>
        <w:t>4. وفي المطبوع : « نزلت »</w:t>
      </w:r>
      <w:r>
        <w:rPr>
          <w:rtl/>
        </w:rPr>
        <w:t>.</w:t>
      </w:r>
    </w:p>
    <w:p w:rsidR="000C39D1" w:rsidRPr="00132E65" w:rsidRDefault="000C39D1" w:rsidP="0086742A">
      <w:pPr>
        <w:pStyle w:val="libFootnote0"/>
        <w:rPr>
          <w:rtl/>
          <w:lang w:bidi="fa-IR"/>
        </w:rPr>
      </w:pPr>
      <w:r>
        <w:rPr>
          <w:rtl/>
        </w:rPr>
        <w:t>(4).</w:t>
      </w:r>
      <w:r w:rsidRPr="00132E65">
        <w:rPr>
          <w:rtl/>
        </w:rPr>
        <w:t xml:space="preserve"> </w:t>
      </w:r>
      <w:r w:rsidRPr="007A1104">
        <w:rPr>
          <w:rStyle w:val="libFootnoteBoldChar"/>
          <w:rtl/>
        </w:rPr>
        <w:t>بصائر الدرجات</w:t>
      </w:r>
      <w:r w:rsidRPr="00132E65">
        <w:rPr>
          <w:rtl/>
        </w:rPr>
        <w:t xml:space="preserve"> ، ص 71 ، ح 4 ، عن الحسن بن محمّد ، عن معلّى بن محمّد</w:t>
      </w:r>
      <w:r w:rsidR="0086742A">
        <w:rPr>
          <w:rFonts w:hint="cs"/>
          <w:rtl/>
        </w:rPr>
        <w:t>.</w:t>
      </w:r>
      <w:r w:rsidRPr="009D1ACE">
        <w:rPr>
          <w:rStyle w:val="libFootnoteBoldChar"/>
          <w:rtl/>
        </w:rPr>
        <w:t>الوافي</w:t>
      </w:r>
      <w:r w:rsidRPr="00132E65">
        <w:rPr>
          <w:rtl/>
        </w:rPr>
        <w:t xml:space="preserve"> ، ج 3 ، ص 889 ، ح 1533 ؛ </w:t>
      </w:r>
      <w:r w:rsidRPr="001C3156">
        <w:rPr>
          <w:rtl/>
        </w:rPr>
        <w:t>البحار</w:t>
      </w:r>
      <w:r w:rsidRPr="00132E65">
        <w:rPr>
          <w:rtl/>
        </w:rPr>
        <w:t xml:space="preserve"> ، ج 11 ، ص 195 ، ح 49 ؛ وج 24 ، ص 351 ، ح 66.</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القلانسي »</w:t>
      </w:r>
      <w:r>
        <w:rPr>
          <w:rtl/>
        </w:rPr>
        <w:t>.</w:t>
      </w:r>
    </w:p>
    <w:p w:rsidR="000C39D1" w:rsidRPr="00132E65" w:rsidRDefault="000C39D1" w:rsidP="000C39D1">
      <w:pPr>
        <w:pStyle w:val="libFootnote0"/>
        <w:rPr>
          <w:rtl/>
          <w:lang w:bidi="fa-IR"/>
        </w:rPr>
      </w:pPr>
      <w:r>
        <w:rPr>
          <w:rtl/>
        </w:rPr>
        <w:t>(6).</w:t>
      </w:r>
      <w:r w:rsidRPr="00132E65">
        <w:rPr>
          <w:rtl/>
        </w:rPr>
        <w:t xml:space="preserve"> هكذا في « ألف ، ب ، ج ، ض ، ف ، و، بر ، بس » و</w:t>
      </w:r>
      <w:r w:rsidRPr="009D1ACE">
        <w:rPr>
          <w:rStyle w:val="libFootnoteBoldChar"/>
          <w:rtl/>
        </w:rPr>
        <w:t>الوافي</w:t>
      </w:r>
      <w:r w:rsidRPr="00132E65">
        <w:rPr>
          <w:rtl/>
        </w:rPr>
        <w:t xml:space="preserve"> والبحار ، ج 24. وفي « بح ، بف ، جر » والمطبوع : « محمّد بن الفضل »</w:t>
      </w:r>
      <w:r>
        <w:rPr>
          <w:rtl/>
        </w:rPr>
        <w:t>.</w:t>
      </w:r>
    </w:p>
    <w:p w:rsidR="000C39D1" w:rsidRPr="00132E65" w:rsidRDefault="000C39D1" w:rsidP="000C39D1">
      <w:pPr>
        <w:pStyle w:val="libFootnote0"/>
        <w:rPr>
          <w:rtl/>
          <w:lang w:bidi="fa-IR"/>
        </w:rPr>
      </w:pPr>
      <w:r w:rsidRPr="0046781C">
        <w:rPr>
          <w:rtl/>
        </w:rPr>
        <w:t xml:space="preserve">وما أثبتناه هو الصواب ؛ فقد روى محمّد بن الفضيل عن أبي حمزة الثمالي رسالة الحقوق ، ووردت روايته عنه في بعض الأسناد. راجع : </w:t>
      </w:r>
      <w:r w:rsidRPr="001C3156">
        <w:rPr>
          <w:rtl/>
        </w:rPr>
        <w:t>رجال النجاشي</w:t>
      </w:r>
      <w:r w:rsidRPr="0046781C">
        <w:rPr>
          <w:rtl/>
        </w:rPr>
        <w:t xml:space="preserve"> ، ص 115 ، الرقم 296 ؛ </w:t>
      </w:r>
      <w:r w:rsidRPr="001C3156">
        <w:rPr>
          <w:rtl/>
        </w:rPr>
        <w:t>معجم رجال الحديث</w:t>
      </w:r>
      <w:r w:rsidRPr="0046781C">
        <w:rPr>
          <w:rtl/>
        </w:rPr>
        <w:t xml:space="preserve"> ، ج 17 ، ص 402 ، ص 405.</w:t>
      </w:r>
    </w:p>
    <w:p w:rsidR="000C39D1" w:rsidRPr="00132E65" w:rsidRDefault="000C39D1" w:rsidP="000C39D1">
      <w:pPr>
        <w:pStyle w:val="libFootnote0"/>
        <w:rPr>
          <w:rtl/>
          <w:lang w:bidi="fa-IR"/>
        </w:rPr>
      </w:pPr>
      <w:r w:rsidRPr="0046781C">
        <w:rPr>
          <w:rtl/>
        </w:rPr>
        <w:t xml:space="preserve">ثمّ إنّ الظاهر وقوع التحريف في السند ، وأنّ الصواب : « خالد بن مادّ ومحمّد بن الفضيل » ؛ فقد ورد الخبر في </w:t>
      </w:r>
      <w:r w:rsidRPr="007A1104">
        <w:rPr>
          <w:rStyle w:val="libFootnoteBoldChar"/>
          <w:rtl/>
        </w:rPr>
        <w:t>بصائر الدرجات</w:t>
      </w:r>
      <w:r w:rsidRPr="0046781C">
        <w:rPr>
          <w:rtl/>
        </w:rPr>
        <w:t xml:space="preserve"> ، ص 71 ، ح 7 عن محمّد بن الحسين عن النضر بن سويد ( شعيب خ ل ) عن خالد بن حمّاد ومحمّد بن الفضيل عن الثمالي. وخالد بن حمّاد في السند مصحّف والصواب « خالد بن مادّ » ؛ فقد روى محمّد بن الحسين بن أبي الخطّاب عن النضر بن شعيب عن خالد بن مادّ كتابه ، كما في : </w:t>
      </w:r>
      <w:r w:rsidRPr="001C3156">
        <w:rPr>
          <w:rtl/>
        </w:rPr>
        <w:t>الفهرست</w:t>
      </w:r>
      <w:r w:rsidRPr="0046781C">
        <w:rPr>
          <w:rtl/>
        </w:rPr>
        <w:t xml:space="preserve"> للطوسي ، ص 173 ، الرقم 266. ووردت رواية محمّد بن الحسين عن النضر بن شعيب عن خالد بن مادّ ومحمّد بن الفضيل ، معطوفين في </w:t>
      </w:r>
      <w:r w:rsidRPr="007A1104">
        <w:rPr>
          <w:rStyle w:val="libFootnoteBoldChar"/>
          <w:rtl/>
        </w:rPr>
        <w:t>بصائر الدرجات</w:t>
      </w:r>
      <w:r w:rsidRPr="0046781C">
        <w:rPr>
          <w:rtl/>
        </w:rPr>
        <w:t xml:space="preserve"> ، ص 436 ، ح 5.</w:t>
      </w:r>
    </w:p>
    <w:p w:rsidR="000C39D1" w:rsidRPr="00132E65" w:rsidRDefault="000C39D1" w:rsidP="000C39D1">
      <w:pPr>
        <w:pStyle w:val="libFootnote0"/>
        <w:rPr>
          <w:rtl/>
          <w:lang w:bidi="fa-IR"/>
        </w:rPr>
      </w:pPr>
      <w:r w:rsidRPr="0046781C">
        <w:rPr>
          <w:rtl/>
        </w:rPr>
        <w:t xml:space="preserve">يؤيّد ذلك ما ورد في </w:t>
      </w:r>
      <w:r w:rsidRPr="000577A7">
        <w:rPr>
          <w:rStyle w:val="libFootnoteBoldChar"/>
          <w:rtl/>
        </w:rPr>
        <w:t>الكافي</w:t>
      </w:r>
      <w:r w:rsidRPr="0046781C">
        <w:rPr>
          <w:rtl/>
        </w:rPr>
        <w:t xml:space="preserve"> ، ح 508 </w:t>
      </w:r>
      <w:r>
        <w:rPr>
          <w:rtl/>
        </w:rPr>
        <w:t>و 5</w:t>
      </w:r>
      <w:r w:rsidRPr="0046781C">
        <w:rPr>
          <w:rtl/>
        </w:rPr>
        <w:t xml:space="preserve">43 ، من رواية محمّد بن يحيى ، عن محمّد بن الحسين ، عن النضر بن شعيب ، عن محمّد بن الفضيل ، عن أبي حمزة [ الثمالي ] ، وكذا ما ورد في </w:t>
      </w:r>
      <w:r w:rsidRPr="000577A7">
        <w:rPr>
          <w:rStyle w:val="libFootnoteBoldChar"/>
          <w:rtl/>
        </w:rPr>
        <w:t>الكافي</w:t>
      </w:r>
      <w:r w:rsidRPr="0046781C">
        <w:rPr>
          <w:rtl/>
        </w:rPr>
        <w:t xml:space="preserve"> ، ح 3515 ، من رواية محمّد بن الحسين عن النضر بن سويد ( نضر بن سعيد خ ل ) عن خالد بن مادّ القلانسي عن أبي حمزة الثمالي.</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أَوْحَى اللهُ إِلى نَبِيِّهِ </w:t>
      </w:r>
      <w:r w:rsidRPr="0093484F">
        <w:rPr>
          <w:rStyle w:val="libAlaemChar"/>
          <w:rFonts w:eastAsiaTheme="minorHAnsi"/>
          <w:rtl/>
        </w:rPr>
        <w:t>صلى‌الله‌عليه‌وآله</w:t>
      </w:r>
      <w:r w:rsidRPr="00132E65">
        <w:rPr>
          <w:rtl/>
          <w:lang w:bidi="fa-IR"/>
        </w:rPr>
        <w:t xml:space="preserve"> : </w:t>
      </w:r>
      <w:r w:rsidRPr="00071CF9">
        <w:rPr>
          <w:rStyle w:val="libAlaemChar"/>
          <w:rtl/>
        </w:rPr>
        <w:t>(</w:t>
      </w:r>
      <w:r w:rsidRPr="00071CF9">
        <w:rPr>
          <w:rStyle w:val="libAieChar"/>
          <w:rtl/>
        </w:rPr>
        <w:t xml:space="preserve"> فَاسْتَمْسِكْ بِالَّذِي أُوحِيَ إِلَيْكَ إِنَّكَ عَلى صِراطٍ مُسْتَقِيمٍ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إِنَّكَ عَلى ولَايَةِ عَلِيٍّ ، وعَلِيٌّ هُوَ الصِّرَاطُ الْمُسْتَقِيمُ »</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1C3156">
        <w:rPr>
          <w:rtl/>
        </w:rPr>
        <w:t>1112</w:t>
      </w:r>
      <w:r w:rsidRPr="004325D8">
        <w:rPr>
          <w:rStyle w:val="libBold2Char"/>
          <w:rtl/>
        </w:rPr>
        <w:t xml:space="preserve"> / 25.</w:t>
      </w:r>
      <w:r w:rsidRPr="00132E65">
        <w:rPr>
          <w:rtl/>
          <w:lang w:bidi="fa-IR"/>
        </w:rPr>
        <w:t xml:space="preserve"> عَلِيُّ بْنُ إِبْرَاهِيمَ ، عَنْ أَحْمَدَ بْنِ مُحَمَّدٍ الْبَرْقِيِّ ، عَنْ أَبِيهِ ، عَنْ مُحَمَّدِ بْنِ سِنَانٍ ، عَنْ عَمَّارِ بْنِ مَرْوَانَ ، عَنْ مُنَخَّلٍ ، عَنْ جَابِرٍ :</w:t>
      </w:r>
    </w:p>
    <w:p w:rsidR="000C39D1" w:rsidRPr="00132E65" w:rsidRDefault="000C39D1" w:rsidP="000C39D1">
      <w:pPr>
        <w:pStyle w:val="libNormal"/>
        <w:rPr>
          <w:rtl/>
          <w:lang w:bidi="fa-IR"/>
        </w:rPr>
      </w:pPr>
      <w:r w:rsidRPr="00132E65">
        <w:rPr>
          <w:rtl/>
          <w:lang w:bidi="fa-IR"/>
        </w:rPr>
        <w:t xml:space="preserve">عَنْ أَبِي </w:t>
      </w:r>
      <w:r>
        <w:rPr>
          <w:rStyle w:val="libFootnotenumChar"/>
          <w:rtl/>
        </w:rPr>
        <w:t>(3)</w:t>
      </w:r>
      <w:r w:rsidRPr="00132E65">
        <w:rPr>
          <w:rtl/>
          <w:lang w:bidi="fa-IR"/>
        </w:rPr>
        <w:t xml:space="preserve"> جَعْفَرٍ </w:t>
      </w:r>
      <w:r w:rsidRPr="00071CF9">
        <w:rPr>
          <w:rStyle w:val="libAlaemChar"/>
          <w:rtl/>
        </w:rPr>
        <w:t>عليه‌السلام</w:t>
      </w:r>
      <w:r w:rsidRPr="00132E65">
        <w:rPr>
          <w:rtl/>
          <w:lang w:bidi="fa-IR"/>
        </w:rPr>
        <w:t xml:space="preserve"> ، قَالَ : « نَزَلَ جَبْرَئِيلُ </w:t>
      </w:r>
      <w:r w:rsidRPr="00071CF9">
        <w:rPr>
          <w:rStyle w:val="libAlaemChar"/>
          <w:rtl/>
        </w:rPr>
        <w:t>عليه‌السلام</w:t>
      </w:r>
      <w:r w:rsidRPr="00132E65">
        <w:rPr>
          <w:rtl/>
          <w:lang w:bidi="fa-IR"/>
        </w:rPr>
        <w:t xml:space="preserve"> بِهذِهِ الْآيَةِ عَلى مُحَمَّدٍ </w:t>
      </w:r>
      <w:r w:rsidRPr="0093484F">
        <w:rPr>
          <w:rStyle w:val="libAlaemChar"/>
          <w:rFonts w:eastAsiaTheme="minorHAnsi"/>
          <w:rtl/>
        </w:rPr>
        <w:t>صلى‌الله‌عليه‌وآله</w:t>
      </w:r>
      <w:r w:rsidRPr="00132E65">
        <w:rPr>
          <w:rtl/>
          <w:lang w:bidi="fa-IR"/>
        </w:rPr>
        <w:t xml:space="preserve"> هكَذَا </w:t>
      </w:r>
      <w:r>
        <w:rPr>
          <w:rStyle w:val="libFootnotenumChar"/>
          <w:rtl/>
        </w:rPr>
        <w:t>(4)</w:t>
      </w:r>
      <w:r w:rsidRPr="00132E65">
        <w:rPr>
          <w:rtl/>
          <w:lang w:bidi="fa-IR"/>
        </w:rPr>
        <w:t xml:space="preserve"> :</w:t>
      </w:r>
      <w:r>
        <w:rPr>
          <w:rFonts w:hint="cs"/>
          <w:rtl/>
          <w:lang w:bidi="fa-IR"/>
        </w:rPr>
        <w:t xml:space="preserve"> </w:t>
      </w:r>
      <w:r w:rsidRPr="00071CF9">
        <w:rPr>
          <w:rStyle w:val="libAlaemChar"/>
          <w:rtl/>
        </w:rPr>
        <w:t>(</w:t>
      </w:r>
      <w:r w:rsidRPr="00071CF9">
        <w:rPr>
          <w:rStyle w:val="libAieChar"/>
          <w:rtl/>
        </w:rPr>
        <w:t xml:space="preserve"> بِئْسَمَا اشْتَرَوْا بِهِ أَنْفُسَهُمْ أَنْ يَكْفُرُوا بِما أَنْزَلَ اللهُ </w:t>
      </w:r>
      <w:r w:rsidRPr="00071CF9">
        <w:rPr>
          <w:rStyle w:val="libAlaemChar"/>
          <w:rtl/>
        </w:rPr>
        <w:t>)</w:t>
      </w:r>
      <w:r w:rsidRPr="00132E65">
        <w:rPr>
          <w:rtl/>
          <w:lang w:bidi="fa-IR"/>
        </w:rPr>
        <w:t xml:space="preserve"> فِي عَلِيٍّ</w:t>
      </w:r>
      <w:r>
        <w:rPr>
          <w:rFonts w:hint="cs"/>
          <w:rtl/>
          <w:lang w:bidi="fa-IR"/>
        </w:rPr>
        <w:t xml:space="preserve"> </w:t>
      </w:r>
      <w:r w:rsidRPr="00071CF9">
        <w:rPr>
          <w:rStyle w:val="libAlaemChar"/>
          <w:rtl/>
        </w:rPr>
        <w:t>(</w:t>
      </w:r>
      <w:r w:rsidRPr="00071CF9">
        <w:rPr>
          <w:rStyle w:val="libAieChar"/>
          <w:rtl/>
        </w:rPr>
        <w:t xml:space="preserve"> بَغْياً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w:t>
      </w:r>
    </w:p>
    <w:p w:rsidR="000C39D1" w:rsidRPr="00132E65" w:rsidRDefault="000C39D1" w:rsidP="000C39D1">
      <w:pPr>
        <w:pStyle w:val="libNormal"/>
        <w:rPr>
          <w:rtl/>
          <w:lang w:bidi="fa-IR"/>
        </w:rPr>
      </w:pPr>
      <w:r w:rsidRPr="001C3156">
        <w:rPr>
          <w:rtl/>
        </w:rPr>
        <w:t>1113</w:t>
      </w:r>
      <w:r w:rsidRPr="004325D8">
        <w:rPr>
          <w:rStyle w:val="libBold2Char"/>
          <w:rtl/>
        </w:rPr>
        <w:t xml:space="preserve"> / 26.</w:t>
      </w:r>
      <w:r w:rsidRPr="00132E65">
        <w:rPr>
          <w:rtl/>
          <w:lang w:bidi="fa-IR"/>
        </w:rPr>
        <w:t xml:space="preserve"> وبِهذَا الْإِسْنَادِ ، عَنْ مُحَمَّدِ بْنِ سِنَانٍ ، عَنْ عَمَّارِ بْنِ مَرْوَانَ ، عَنْ مُنَخَّلٍ ، عَنْ جَابِرٍ ، قَالَ :</w:t>
      </w:r>
    </w:p>
    <w:p w:rsidR="000C39D1" w:rsidRPr="00132E65" w:rsidRDefault="000C39D1" w:rsidP="000C39D1">
      <w:pPr>
        <w:pStyle w:val="libNormal"/>
        <w:rPr>
          <w:rtl/>
          <w:lang w:bidi="fa-IR"/>
        </w:rPr>
      </w:pPr>
      <w:r w:rsidRPr="00132E65">
        <w:rPr>
          <w:rtl/>
          <w:lang w:bidi="fa-IR"/>
        </w:rPr>
        <w:t xml:space="preserve">« نَزَلَ جَبْرَئِيلُ </w:t>
      </w:r>
      <w:r w:rsidRPr="00071CF9">
        <w:rPr>
          <w:rStyle w:val="libAlaemChar"/>
          <w:rtl/>
        </w:rPr>
        <w:t>عليه‌السلام</w:t>
      </w:r>
      <w:r w:rsidRPr="00132E65">
        <w:rPr>
          <w:rtl/>
          <w:lang w:bidi="fa-IR"/>
        </w:rPr>
        <w:t xml:space="preserve"> بِهذِهِ الْآيَةِ </w:t>
      </w:r>
      <w:r>
        <w:rPr>
          <w:rStyle w:val="libFootnotenumChar"/>
          <w:rtl/>
        </w:rPr>
        <w:t>(7)</w:t>
      </w:r>
      <w:r w:rsidRPr="00132E65">
        <w:rPr>
          <w:rtl/>
          <w:lang w:bidi="fa-IR"/>
        </w:rPr>
        <w:t xml:space="preserve"> عَلى مُحَمَّدٍ </w:t>
      </w:r>
      <w:r w:rsidRPr="0093484F">
        <w:rPr>
          <w:rStyle w:val="libAlaemChar"/>
          <w:rFonts w:eastAsiaTheme="minorHAnsi"/>
          <w:rtl/>
        </w:rPr>
        <w:t>صلى‌الله‌عليه‌وآله</w:t>
      </w:r>
      <w:r w:rsidRPr="00132E65">
        <w:rPr>
          <w:rtl/>
          <w:lang w:bidi="fa-IR"/>
        </w:rPr>
        <w:t xml:space="preserve"> هكَذَا : </w:t>
      </w:r>
      <w:r w:rsidRPr="00071CF9">
        <w:rPr>
          <w:rStyle w:val="libAlaemChar"/>
          <w:rtl/>
        </w:rPr>
        <w:t>(</w:t>
      </w:r>
      <w:r w:rsidRPr="00071CF9">
        <w:rPr>
          <w:rStyle w:val="libAieChar"/>
          <w:rtl/>
        </w:rPr>
        <w:t xml:space="preserve"> وَإِنْ كُنْتُمْ فِي رَيْبٍ مِمّا نَزَّلْنا عَلى عَبْدِنا </w:t>
      </w:r>
      <w:r w:rsidRPr="00071CF9">
        <w:rPr>
          <w:rStyle w:val="libAlaemChar"/>
          <w:rtl/>
        </w:rPr>
        <w:t>)</w:t>
      </w:r>
      <w:r w:rsidRPr="00132E65">
        <w:rPr>
          <w:rtl/>
          <w:lang w:bidi="fa-IR"/>
        </w:rPr>
        <w:t xml:space="preserve"> فِي عَلِيٍّ</w:t>
      </w:r>
      <w:r>
        <w:rPr>
          <w:rFonts w:hint="cs"/>
          <w:rtl/>
          <w:lang w:bidi="fa-IR"/>
        </w:rPr>
        <w:t xml:space="preserve"> </w:t>
      </w:r>
      <w:r w:rsidRPr="00071CF9">
        <w:rPr>
          <w:rStyle w:val="libAlaemChar"/>
          <w:rtl/>
        </w:rPr>
        <w:t>(</w:t>
      </w:r>
      <w:r w:rsidRPr="00071CF9">
        <w:rPr>
          <w:rStyle w:val="libAieChar"/>
          <w:rtl/>
        </w:rPr>
        <w:t xml:space="preserve"> فَأْتُوا بِسُورَةٍ مِنْ مِثْلِهِ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Pr>
          <w:rtl/>
          <w:lang w:bidi="fa-IR"/>
        </w:rPr>
        <w:t>.</w:t>
      </w:r>
      <w:r w:rsidRPr="00132E65">
        <w:rPr>
          <w:rtl/>
          <w:lang w:bidi="fa-IR"/>
        </w:rPr>
        <w:t xml:space="preserve"> </w:t>
      </w:r>
      <w:r>
        <w:rPr>
          <w:rStyle w:val="libFootnotenumChar"/>
          <w:rtl/>
        </w:rPr>
        <w:t>(9)</w:t>
      </w:r>
    </w:p>
    <w:p w:rsidR="000C39D1" w:rsidRPr="00132E65" w:rsidRDefault="000C39D1" w:rsidP="000C39D1">
      <w:pPr>
        <w:pStyle w:val="libNormal"/>
        <w:rPr>
          <w:rtl/>
          <w:lang w:bidi="fa-IR"/>
        </w:rPr>
      </w:pPr>
      <w:r w:rsidRPr="001C3156">
        <w:rPr>
          <w:rtl/>
        </w:rPr>
        <w:t>1114</w:t>
      </w:r>
      <w:r w:rsidRPr="004325D8">
        <w:rPr>
          <w:rStyle w:val="libBold2Char"/>
          <w:rtl/>
        </w:rPr>
        <w:t xml:space="preserve"> / 27.</w:t>
      </w:r>
      <w:r w:rsidRPr="00132E65">
        <w:rPr>
          <w:rtl/>
          <w:lang w:bidi="fa-IR"/>
        </w:rPr>
        <w:t xml:space="preserve"> وبِهذَا الْإِسْنَادِ ، عَنْ مُحَمَّدِ بْنِ سِنَانٍ ، عَنْ عَمَّارِ بْنِ مَرْوَانَ ، عَنْ مُنَخَّلٍ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الزخرف (43) : 43.</w:t>
      </w:r>
    </w:p>
    <w:p w:rsidR="000C39D1" w:rsidRPr="00132E65" w:rsidRDefault="000C39D1" w:rsidP="0086742A">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71 ، ح 7 ، عن محمّد بن الحسين ، عن النضر بن سويد ، عن خالد بن حمّاد ومحمّد بن الفضيل ، عن الثمالي ، عن أبي جعفر </w:t>
      </w:r>
      <w:r w:rsidRPr="0086742A">
        <w:rPr>
          <w:rStyle w:val="libFootnoteAlaemChar"/>
          <w:rtl/>
        </w:rPr>
        <w:t>عليه‌السلام</w:t>
      </w:r>
      <w:r w:rsidRPr="00132E65">
        <w:rPr>
          <w:rtl/>
        </w:rPr>
        <w:t xml:space="preserve">. </w:t>
      </w:r>
      <w:r w:rsidRPr="001C3156">
        <w:rPr>
          <w:rtl/>
        </w:rPr>
        <w:t>وفيه</w:t>
      </w:r>
      <w:r w:rsidRPr="00132E65">
        <w:rPr>
          <w:rtl/>
        </w:rPr>
        <w:t xml:space="preserve"> ، ص 77 ، ح 5 ، بسند آخر عن محمّد بن الفضيل ، مع زيادة في أوّله وآخره. </w:t>
      </w:r>
      <w:r w:rsidRPr="001C3156">
        <w:rPr>
          <w:rtl/>
        </w:rPr>
        <w:t>تفسير القمّي</w:t>
      </w:r>
      <w:r w:rsidRPr="00132E65">
        <w:rPr>
          <w:rtl/>
        </w:rPr>
        <w:t xml:space="preserve"> ، ج 2 ، ص 286 ، بسنده عن محمّد بن الفضيل ، مع اختلاف يسير. وفي </w:t>
      </w:r>
      <w:r w:rsidRPr="000577A7">
        <w:rPr>
          <w:rStyle w:val="libFootnoteBoldChar"/>
          <w:rtl/>
        </w:rPr>
        <w:t>الكافي</w:t>
      </w:r>
      <w:r w:rsidRPr="00132E65">
        <w:rPr>
          <w:rtl/>
        </w:rPr>
        <w:t xml:space="preserve"> ، كتاب الحجّة ، باب فيه نكت وتنف من التنزيل في الولاية ، ح 1150 ، بسنده آخر عن أبي عبدالله </w:t>
      </w:r>
      <w:r w:rsidRPr="0086742A">
        <w:rPr>
          <w:rStyle w:val="libFootnoteAlaemChar"/>
          <w:rtl/>
        </w:rPr>
        <w:t>عليه‌السلام</w:t>
      </w:r>
      <w:r w:rsidRPr="00132E65">
        <w:rPr>
          <w:rtl/>
        </w:rPr>
        <w:t xml:space="preserve"> ، هكذا : « هذا صراط عليّ مستقيم »</w:t>
      </w:r>
      <w:r w:rsidR="0086742A">
        <w:rPr>
          <w:rFonts w:hint="cs"/>
          <w:rtl/>
        </w:rPr>
        <w:t>.</w:t>
      </w:r>
      <w:r w:rsidRPr="009D1ACE">
        <w:rPr>
          <w:rStyle w:val="libFootnoteBoldChar"/>
          <w:rtl/>
        </w:rPr>
        <w:t>الوافي</w:t>
      </w:r>
      <w:r w:rsidRPr="00132E65">
        <w:rPr>
          <w:rtl/>
        </w:rPr>
        <w:t xml:space="preserve"> ، ج 3 ، ص 889 ، ح 1534 ؛ </w:t>
      </w:r>
      <w:r w:rsidRPr="001C3156">
        <w:rPr>
          <w:rtl/>
        </w:rPr>
        <w:t>البحار</w:t>
      </w:r>
      <w:r w:rsidRPr="00132E65">
        <w:rPr>
          <w:rtl/>
        </w:rPr>
        <w:t xml:space="preserve"> ، ج 24 ، ص 23 ، ح 48.</w:t>
      </w:r>
    </w:p>
    <w:p w:rsidR="000C39D1" w:rsidRPr="00132E65" w:rsidRDefault="000C39D1" w:rsidP="000C39D1">
      <w:pPr>
        <w:pStyle w:val="libFootnote0"/>
        <w:rPr>
          <w:rtl/>
          <w:lang w:bidi="fa-IR"/>
        </w:rPr>
      </w:pPr>
      <w:r>
        <w:rPr>
          <w:rtl/>
        </w:rPr>
        <w:t>(3).</w:t>
      </w:r>
      <w:r w:rsidRPr="00132E65">
        <w:rPr>
          <w:rtl/>
        </w:rPr>
        <w:t xml:space="preserve"> في « بح » </w:t>
      </w:r>
      <w:r>
        <w:rPr>
          <w:rtl/>
        </w:rPr>
        <w:t xml:space="preserve">: - </w:t>
      </w:r>
      <w:r w:rsidRPr="00132E65">
        <w:rPr>
          <w:rtl/>
        </w:rPr>
        <w:t>« أبي »</w:t>
      </w:r>
      <w:r>
        <w:rPr>
          <w:rtl/>
        </w:rPr>
        <w:t>.</w:t>
      </w:r>
    </w:p>
    <w:p w:rsidR="000C39D1" w:rsidRPr="00132E65" w:rsidRDefault="000C39D1" w:rsidP="000C39D1">
      <w:pPr>
        <w:pStyle w:val="libFootnote0"/>
        <w:rPr>
          <w:rtl/>
          <w:lang w:bidi="fa-IR"/>
        </w:rPr>
      </w:pPr>
      <w:r>
        <w:rPr>
          <w:rtl/>
        </w:rPr>
        <w:t>(4).</w:t>
      </w:r>
      <w:r w:rsidRPr="00132E65">
        <w:rPr>
          <w:rtl/>
        </w:rPr>
        <w:t xml:space="preserve"> في « ب ، ج ، ض ، ف ، بح ، بس ، بف » والبحار </w:t>
      </w:r>
      <w:r>
        <w:rPr>
          <w:rtl/>
        </w:rPr>
        <w:t xml:space="preserve">: - </w:t>
      </w:r>
      <w:r w:rsidRPr="00132E65">
        <w:rPr>
          <w:rtl/>
        </w:rPr>
        <w:t>« هكذا »</w:t>
      </w:r>
      <w:r>
        <w:rPr>
          <w:rtl/>
        </w:rPr>
        <w:t>.</w:t>
      </w:r>
    </w:p>
    <w:p w:rsidR="000C39D1" w:rsidRPr="00132E65" w:rsidRDefault="000C39D1" w:rsidP="000C39D1">
      <w:pPr>
        <w:pStyle w:val="libFootnote0"/>
        <w:rPr>
          <w:rtl/>
          <w:lang w:bidi="fa-IR"/>
        </w:rPr>
      </w:pPr>
      <w:r>
        <w:rPr>
          <w:rtl/>
        </w:rPr>
        <w:t>(5).</w:t>
      </w:r>
      <w:r w:rsidRPr="00132E65">
        <w:rPr>
          <w:rtl/>
        </w:rPr>
        <w:t xml:space="preserve"> البقرة </w:t>
      </w:r>
      <w:r w:rsidR="0086742A">
        <w:rPr>
          <w:rtl/>
        </w:rPr>
        <w:t>(2)</w:t>
      </w:r>
      <w:r w:rsidRPr="00132E65">
        <w:rPr>
          <w:rtl/>
        </w:rPr>
        <w:t xml:space="preserve"> : 90.</w:t>
      </w:r>
    </w:p>
    <w:p w:rsidR="000C39D1" w:rsidRPr="00132E65" w:rsidRDefault="000C39D1" w:rsidP="0086742A">
      <w:pPr>
        <w:pStyle w:val="libFootnote0"/>
        <w:rPr>
          <w:rtl/>
          <w:lang w:bidi="fa-IR"/>
        </w:rPr>
      </w:pPr>
      <w:r>
        <w:rPr>
          <w:rtl/>
        </w:rPr>
        <w:t>(6).</w:t>
      </w:r>
      <w:r w:rsidRPr="00132E65">
        <w:rPr>
          <w:rtl/>
        </w:rPr>
        <w:t xml:space="preserve"> </w:t>
      </w:r>
      <w:r w:rsidRPr="001C3156">
        <w:rPr>
          <w:rtl/>
        </w:rPr>
        <w:t>تفسير فرات</w:t>
      </w:r>
      <w:r w:rsidRPr="00132E65">
        <w:rPr>
          <w:rtl/>
        </w:rPr>
        <w:t xml:space="preserve"> ، ص 60 ، ح 23 ، بسنده عن محمّد بن سنان ، مع اختلاف يسير. </w:t>
      </w:r>
      <w:r w:rsidRPr="001C3156">
        <w:rPr>
          <w:rtl/>
        </w:rPr>
        <w:t>تفسير العيّاشي</w:t>
      </w:r>
      <w:r w:rsidRPr="00132E65">
        <w:rPr>
          <w:rtl/>
        </w:rPr>
        <w:t xml:space="preserve"> ، ج 1 ، ص 50 ، ح 70 ، عن جابر ، مع زيادة في أوّله وآخره</w:t>
      </w:r>
      <w:r w:rsidR="0086742A">
        <w:rPr>
          <w:rFonts w:hint="cs"/>
          <w:rtl/>
        </w:rPr>
        <w:t>.</w:t>
      </w:r>
      <w:r w:rsidRPr="009D1ACE">
        <w:rPr>
          <w:rStyle w:val="libFootnoteBoldChar"/>
          <w:rtl/>
        </w:rPr>
        <w:t>الوافي</w:t>
      </w:r>
      <w:r w:rsidRPr="00132E65">
        <w:rPr>
          <w:rtl/>
        </w:rPr>
        <w:t xml:space="preserve"> ، ج 3 ، ص 908 ، ح 1583 ؛ </w:t>
      </w:r>
      <w:r w:rsidRPr="001C3156">
        <w:rPr>
          <w:rtl/>
        </w:rPr>
        <w:t>البحار</w:t>
      </w:r>
      <w:r w:rsidRPr="00132E65">
        <w:rPr>
          <w:rtl/>
        </w:rPr>
        <w:t xml:space="preserve"> ، ج 23 ، ص 372 ، ح 51.</w:t>
      </w:r>
    </w:p>
    <w:tbl>
      <w:tblPr>
        <w:tblStyle w:val="TableGrid"/>
        <w:bidiVisual/>
        <w:tblW w:w="0" w:type="auto"/>
        <w:tblLook w:val="04A0" w:firstRow="1" w:lastRow="0" w:firstColumn="1" w:lastColumn="0" w:noHBand="0" w:noVBand="1"/>
      </w:tblPr>
      <w:tblGrid>
        <w:gridCol w:w="4006"/>
        <w:gridCol w:w="4006"/>
      </w:tblGrid>
      <w:tr w:rsidR="0086742A" w:rsidTr="0086742A">
        <w:tc>
          <w:tcPr>
            <w:tcW w:w="4006" w:type="dxa"/>
          </w:tcPr>
          <w:p w:rsidR="0086742A" w:rsidRDefault="0086742A" w:rsidP="000C39D1">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بهذه الآية »</w:t>
            </w:r>
            <w:r>
              <w:rPr>
                <w:rtl/>
              </w:rPr>
              <w:t>.</w:t>
            </w:r>
          </w:p>
        </w:tc>
        <w:tc>
          <w:tcPr>
            <w:tcW w:w="4006" w:type="dxa"/>
          </w:tcPr>
          <w:p w:rsidR="0086742A" w:rsidRDefault="0086742A" w:rsidP="000C39D1">
            <w:pPr>
              <w:pStyle w:val="libFootnote0"/>
              <w:rPr>
                <w:rtl/>
              </w:rPr>
            </w:pPr>
            <w:r>
              <w:rPr>
                <w:rtl/>
              </w:rPr>
              <w:t>(8).</w:t>
            </w:r>
            <w:r w:rsidRPr="00132E65">
              <w:rPr>
                <w:rtl/>
              </w:rPr>
              <w:t xml:space="preserve"> البقرة </w:t>
            </w:r>
            <w:r>
              <w:rPr>
                <w:rtl/>
              </w:rPr>
              <w:t>(2)</w:t>
            </w:r>
            <w:r w:rsidRPr="00132E65">
              <w:rPr>
                <w:rtl/>
              </w:rPr>
              <w:t xml:space="preserve"> : 23.</w:t>
            </w:r>
          </w:p>
        </w:tc>
      </w:tr>
    </w:tbl>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3 ، ص 908 ، ح 1584 ؛ </w:t>
      </w:r>
      <w:r w:rsidRPr="001C3156">
        <w:rPr>
          <w:rtl/>
        </w:rPr>
        <w:t>البحار</w:t>
      </w:r>
      <w:r w:rsidRPr="00132E65">
        <w:rPr>
          <w:rtl/>
        </w:rPr>
        <w:t xml:space="preserve"> ، ج 23 ، ص 372 ، ح 51.</w:t>
      </w:r>
    </w:p>
    <w:p w:rsidR="000C39D1" w:rsidRPr="00132E65" w:rsidRDefault="000C39D1" w:rsidP="000C39D1">
      <w:pPr>
        <w:pStyle w:val="libFootnote0"/>
        <w:rPr>
          <w:rtl/>
          <w:lang w:bidi="fa-IR"/>
        </w:rPr>
      </w:pPr>
      <w:r>
        <w:rPr>
          <w:rtl/>
        </w:rPr>
        <w:t>(10).</w:t>
      </w:r>
      <w:r w:rsidRPr="00132E65">
        <w:rPr>
          <w:rtl/>
        </w:rPr>
        <w:t xml:space="preserve"> في « ب » وحاشية « ض ، بح » والبحار :</w:t>
      </w:r>
      <w:r>
        <w:rPr>
          <w:rtl/>
        </w:rPr>
        <w:t xml:space="preserve"> + </w:t>
      </w:r>
      <w:r w:rsidRPr="00132E65">
        <w:rPr>
          <w:rtl/>
        </w:rPr>
        <w:t>« عن جابر »</w:t>
      </w:r>
      <w:r>
        <w:rPr>
          <w:rtl/>
        </w:rPr>
        <w:t>.</w:t>
      </w:r>
      <w:r w:rsidRPr="00132E65">
        <w:rPr>
          <w:rtl/>
        </w:rPr>
        <w:t xml:space="preserve"> وفي البحار : « عن أبي جعفر » بدل « عن أبي عبد الله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نَزَلَ جَبْرَئِيلُ </w:t>
      </w:r>
      <w:r w:rsidRPr="00071CF9">
        <w:rPr>
          <w:rStyle w:val="libAlaemChar"/>
          <w:rtl/>
        </w:rPr>
        <w:t>عليه‌السلام</w:t>
      </w:r>
      <w:r w:rsidRPr="00132E65">
        <w:rPr>
          <w:rtl/>
          <w:lang w:bidi="fa-IR"/>
        </w:rPr>
        <w:t xml:space="preserve"> عَلى مُحَمَّدٍ </w:t>
      </w:r>
      <w:r w:rsidRPr="0093484F">
        <w:rPr>
          <w:rStyle w:val="libAlaemChar"/>
          <w:rFonts w:eastAsiaTheme="minorHAnsi"/>
          <w:rtl/>
        </w:rPr>
        <w:t>صلى‌الله‌عليه‌وآله</w:t>
      </w:r>
      <w:r w:rsidRPr="00132E65">
        <w:rPr>
          <w:rtl/>
          <w:lang w:bidi="fa-IR"/>
        </w:rPr>
        <w:t xml:space="preserve"> بِهذِهِ الْآيَةِ هكَذَا : </w:t>
      </w:r>
      <w:r w:rsidRPr="00071CF9">
        <w:rPr>
          <w:rStyle w:val="libAlaemChar"/>
          <w:rtl/>
        </w:rPr>
        <w:t>(</w:t>
      </w:r>
      <w:r w:rsidRPr="00071CF9">
        <w:rPr>
          <w:rStyle w:val="libAieChar"/>
          <w:rtl/>
        </w:rPr>
        <w:t xml:space="preserve"> يا أَيُّهَا الَّذِينَ أُوتُوا الْكِتابَ آمِنُوا بِما نَزَّلْنا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فِي عَلِيٍّ</w:t>
      </w:r>
      <w:r>
        <w:rPr>
          <w:rFonts w:hint="cs"/>
          <w:rtl/>
          <w:lang w:bidi="fa-IR"/>
        </w:rPr>
        <w:t xml:space="preserve"> </w:t>
      </w:r>
      <w:r w:rsidRPr="00071CF9">
        <w:rPr>
          <w:rStyle w:val="libAlaemChar"/>
          <w:rtl/>
        </w:rPr>
        <w:t>(</w:t>
      </w:r>
      <w:r w:rsidRPr="00071CF9">
        <w:rPr>
          <w:rStyle w:val="libAieChar"/>
          <w:rtl/>
        </w:rPr>
        <w:t xml:space="preserve"> نُوراً مُبِيناً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1C3156">
        <w:rPr>
          <w:rtl/>
        </w:rPr>
        <w:t>1115</w:t>
      </w:r>
      <w:r w:rsidRPr="004325D8">
        <w:rPr>
          <w:rStyle w:val="libBold2Char"/>
          <w:rtl/>
        </w:rPr>
        <w:t xml:space="preserve"> / 28.</w:t>
      </w:r>
      <w:r w:rsidRPr="00132E65">
        <w:rPr>
          <w:rtl/>
          <w:lang w:bidi="fa-IR"/>
        </w:rPr>
        <w:t xml:space="preserve"> عَلِيُّ بْنُ مُحَمَّدٍ ، عَنْ أَحْمَدَ بْنِ مُحَمَّدِ بْنِ خَالِدٍ ، عَنْ أَبِيهِ ، عَنْ أَبِي طَالِبٍ ، عَنْ يُونُسَ بْنِ بَكَّارٍ </w:t>
      </w:r>
      <w:r>
        <w:rPr>
          <w:rStyle w:val="libFootnotenumChar"/>
          <w:rtl/>
        </w:rPr>
        <w:t>(4)</w:t>
      </w:r>
      <w:r w:rsidRPr="00132E65">
        <w:rPr>
          <w:rtl/>
          <w:lang w:bidi="fa-IR"/>
        </w:rPr>
        <w:t xml:space="preserve"> ، عَنْ أَبِيهِ ، عَنْ جَابِرٍ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النساء </w:t>
      </w:r>
      <w:r w:rsidR="0045653C">
        <w:rPr>
          <w:rtl/>
        </w:rPr>
        <w:t>(4)</w:t>
      </w:r>
      <w:r w:rsidRPr="00132E65">
        <w:rPr>
          <w:rtl/>
        </w:rPr>
        <w:t xml:space="preserve"> : 47.</w:t>
      </w:r>
    </w:p>
    <w:p w:rsidR="000C39D1" w:rsidRPr="00132E65" w:rsidRDefault="000C39D1" w:rsidP="00110CDA">
      <w:pPr>
        <w:pStyle w:val="libFootnote0"/>
        <w:rPr>
          <w:rtl/>
          <w:lang w:bidi="fa-IR"/>
        </w:rPr>
      </w:pPr>
      <w:r>
        <w:rPr>
          <w:rtl/>
        </w:rPr>
        <w:t>(2).</w:t>
      </w:r>
      <w:r w:rsidRPr="0045653C">
        <w:rPr>
          <w:rStyle w:val="libFootnoteAlaemChar"/>
          <w:rtl/>
        </w:rPr>
        <w:t>(</w:t>
      </w:r>
      <w:r>
        <w:rPr>
          <w:rFonts w:hint="cs"/>
          <w:rtl/>
        </w:rPr>
        <w:t xml:space="preserve"> </w:t>
      </w:r>
      <w:r w:rsidRPr="00C2691A">
        <w:rPr>
          <w:rStyle w:val="libFootnoteAieChar"/>
          <w:rtl/>
        </w:rPr>
        <w:t>نُوراً مُبِيناً</w:t>
      </w:r>
      <w:r>
        <w:rPr>
          <w:rFonts w:hint="cs"/>
          <w:rtl/>
        </w:rPr>
        <w:t xml:space="preserve"> </w:t>
      </w:r>
      <w:r w:rsidRPr="0045653C">
        <w:rPr>
          <w:rStyle w:val="libFootnoteAlaemChar"/>
          <w:rtl/>
        </w:rPr>
        <w:t>)</w:t>
      </w:r>
      <w:r w:rsidRPr="00132E65">
        <w:rPr>
          <w:rtl/>
        </w:rPr>
        <w:t xml:space="preserve"> ليس جزءاً للآية المذكورة ، بل هي من الآية 174 من سورة النساء </w:t>
      </w:r>
      <w:r>
        <w:rPr>
          <w:rtl/>
        </w:rPr>
        <w:t>(4).</w:t>
      </w:r>
      <w:r w:rsidRPr="00132E65">
        <w:rPr>
          <w:rtl/>
        </w:rPr>
        <w:t xml:space="preserve"> ، فلذا قال المجلسي في </w:t>
      </w:r>
      <w:r w:rsidRPr="009D1ACE">
        <w:rPr>
          <w:rStyle w:val="libFootnoteBoldChar"/>
          <w:rtl/>
        </w:rPr>
        <w:t>مرآة العقول</w:t>
      </w:r>
      <w:r w:rsidRPr="00132E65">
        <w:rPr>
          <w:rtl/>
        </w:rPr>
        <w:t xml:space="preserve"> : « كأنّه سقط من الخبر شي‌ء ، وكان </w:t>
      </w:r>
      <w:r w:rsidRPr="0045653C">
        <w:rPr>
          <w:rStyle w:val="libFootnoteAlaemChar"/>
          <w:rtl/>
        </w:rPr>
        <w:t xml:space="preserve">عليه‌السلام </w:t>
      </w:r>
      <w:r w:rsidRPr="00132E65">
        <w:rPr>
          <w:rtl/>
        </w:rPr>
        <w:t xml:space="preserve">ذكر اسمه </w:t>
      </w:r>
      <w:r w:rsidRPr="0045653C">
        <w:rPr>
          <w:rStyle w:val="libFootnoteAlaemChar"/>
          <w:rtl/>
        </w:rPr>
        <w:t xml:space="preserve">عليه‌السلام </w:t>
      </w:r>
      <w:r w:rsidRPr="00132E65">
        <w:rPr>
          <w:rtl/>
        </w:rPr>
        <w:t>في الموضعين فسقط آخر الآية الا</w:t>
      </w:r>
      <w:r w:rsidR="00110CDA">
        <w:rPr>
          <w:rFonts w:hint="cs"/>
          <w:rtl/>
        </w:rPr>
        <w:t>ُ</w:t>
      </w:r>
      <w:r w:rsidRPr="00132E65">
        <w:rPr>
          <w:rtl/>
        </w:rPr>
        <w:t>ولى واتّصلت بآخر الآية الثانية لتشابه الآيتين ، وكثيراً ما يقع ذلك »</w:t>
      </w:r>
      <w:r>
        <w:rPr>
          <w:rtl/>
        </w:rPr>
        <w:t>.</w:t>
      </w:r>
      <w:r w:rsidRPr="00132E65">
        <w:rPr>
          <w:rtl/>
        </w:rPr>
        <w:t xml:space="preserve"> والآية الا</w:t>
      </w:r>
      <w:r w:rsidR="00110CDA">
        <w:rPr>
          <w:rFonts w:hint="cs"/>
          <w:rtl/>
        </w:rPr>
        <w:t>ُ</w:t>
      </w:r>
      <w:r w:rsidRPr="00132E65">
        <w:rPr>
          <w:rtl/>
        </w:rPr>
        <w:t xml:space="preserve">ولى في سورة النساء ، الآية 47 هكذا : </w:t>
      </w:r>
      <w:r w:rsidRPr="0045653C">
        <w:rPr>
          <w:rStyle w:val="libFootnoteAlaemChar"/>
          <w:rtl/>
        </w:rPr>
        <w:t>(</w:t>
      </w:r>
      <w:r>
        <w:rPr>
          <w:rFonts w:hint="cs"/>
          <w:rtl/>
        </w:rPr>
        <w:t xml:space="preserve"> </w:t>
      </w:r>
      <w:r w:rsidRPr="00C2691A">
        <w:rPr>
          <w:rStyle w:val="libFootnoteAieChar"/>
          <w:rtl/>
        </w:rPr>
        <w:t>ي</w:t>
      </w:r>
      <w:r w:rsidR="00110CDA">
        <w:rPr>
          <w:rStyle w:val="libFootnoteAieChar"/>
          <w:rFonts w:hint="cs"/>
          <w:rtl/>
        </w:rPr>
        <w:t>َ</w:t>
      </w:r>
      <w:r w:rsidRPr="00C2691A">
        <w:rPr>
          <w:rStyle w:val="libFootnoteAieChar"/>
          <w:rtl/>
        </w:rPr>
        <w:t xml:space="preserve">ا أَيُّهَا الَّذِينَ أُوتُوا الْكِتابَ </w:t>
      </w:r>
      <w:r w:rsidR="00110CDA">
        <w:rPr>
          <w:rStyle w:val="libFootnoteAieChar"/>
          <w:rFonts w:hint="cs"/>
          <w:rtl/>
        </w:rPr>
        <w:t>ءَا</w:t>
      </w:r>
      <w:r w:rsidRPr="00C2691A">
        <w:rPr>
          <w:rStyle w:val="libFootnoteAieChar"/>
          <w:rtl/>
        </w:rPr>
        <w:t>مِنُوا بِما نَزَّلْنا مُصَدِّقاً لِما مَعَكُمْ</w:t>
      </w:r>
      <w:r>
        <w:rPr>
          <w:rFonts w:hint="cs"/>
          <w:rtl/>
        </w:rPr>
        <w:t xml:space="preserve"> </w:t>
      </w:r>
      <w:r w:rsidRPr="0045653C">
        <w:rPr>
          <w:rStyle w:val="libFootnoteAlaemChar"/>
          <w:rtl/>
        </w:rPr>
        <w:t>)</w:t>
      </w:r>
      <w:r w:rsidRPr="00132E65">
        <w:rPr>
          <w:rtl/>
        </w:rPr>
        <w:t xml:space="preserve">. والآية الثانية في سورة النساء ، الآية 174 هكذا ؛ </w:t>
      </w:r>
      <w:r w:rsidRPr="0045653C">
        <w:rPr>
          <w:rStyle w:val="libFootnoteAlaemChar"/>
          <w:rtl/>
        </w:rPr>
        <w:t>(</w:t>
      </w:r>
      <w:r>
        <w:rPr>
          <w:rFonts w:hint="cs"/>
          <w:rtl/>
        </w:rPr>
        <w:t xml:space="preserve"> </w:t>
      </w:r>
      <w:r w:rsidRPr="00C2691A">
        <w:rPr>
          <w:rStyle w:val="libFootnoteAieChar"/>
          <w:rtl/>
        </w:rPr>
        <w:t>ي</w:t>
      </w:r>
      <w:r w:rsidR="00110CDA">
        <w:rPr>
          <w:rStyle w:val="libFootnoteAieChar"/>
          <w:rFonts w:hint="cs"/>
          <w:rtl/>
        </w:rPr>
        <w:t>َ</w:t>
      </w:r>
      <w:r w:rsidRPr="00C2691A">
        <w:rPr>
          <w:rStyle w:val="libFootnoteAieChar"/>
          <w:rtl/>
        </w:rPr>
        <w:t>ا أَيُّهَا النّاسُ قَدْ جاءَكُمْ بُرْهانٌ مِنْ رَبِّكُمْ وَأَنْزَلْنا إِلَيْكُمْ نُوراً مُبِيناً</w:t>
      </w:r>
      <w:r>
        <w:rPr>
          <w:rFonts w:hint="cs"/>
          <w:rtl/>
        </w:rPr>
        <w:t xml:space="preserve"> </w:t>
      </w:r>
      <w:r w:rsidRPr="0045653C">
        <w:rPr>
          <w:rStyle w:val="libFootnoteAlaemChar"/>
          <w:rtl/>
        </w:rPr>
        <w:t>)</w:t>
      </w:r>
      <w:r w:rsidRPr="00132E65">
        <w:rPr>
          <w:rtl/>
        </w:rPr>
        <w:t xml:space="preserve">. والصحيح ما ورد في تفسير فرات وتفسير العيّاشي ، حيث ورد بعد قوله : « في عليّ » هكذا : </w:t>
      </w:r>
      <w:r w:rsidRPr="0045653C">
        <w:rPr>
          <w:rStyle w:val="libFootnoteAlaemChar"/>
          <w:rtl/>
        </w:rPr>
        <w:t>(</w:t>
      </w:r>
      <w:r>
        <w:rPr>
          <w:rFonts w:hint="cs"/>
          <w:rtl/>
        </w:rPr>
        <w:t xml:space="preserve"> </w:t>
      </w:r>
      <w:r w:rsidRPr="00C2691A">
        <w:rPr>
          <w:rStyle w:val="libFootnoteAieChar"/>
          <w:rtl/>
        </w:rPr>
        <w:t>مُصَدِّقاً لِما مَعَكُمْ مِنْ قَبْلِ ...</w:t>
      </w:r>
      <w:r>
        <w:rPr>
          <w:rFonts w:hint="cs"/>
          <w:rtl/>
        </w:rPr>
        <w:t xml:space="preserve"> </w:t>
      </w:r>
      <w:r w:rsidRPr="0045653C">
        <w:rPr>
          <w:rStyle w:val="libFootnoteAlaemChar"/>
          <w:rtl/>
        </w:rPr>
        <w:t>)</w:t>
      </w:r>
      <w:r w:rsidRPr="00132E65">
        <w:rPr>
          <w:rtl/>
        </w:rPr>
        <w:t xml:space="preserve"> وهو مطابق للآية 47 من سورة النساء.</w:t>
      </w:r>
    </w:p>
    <w:p w:rsidR="000C39D1" w:rsidRPr="00132E65" w:rsidRDefault="000C39D1" w:rsidP="00110CDA">
      <w:pPr>
        <w:pStyle w:val="libFootnote0"/>
        <w:rPr>
          <w:rtl/>
          <w:lang w:bidi="fa-IR"/>
        </w:rPr>
      </w:pPr>
      <w:r>
        <w:rPr>
          <w:rtl/>
        </w:rPr>
        <w:t>(3).</w:t>
      </w:r>
      <w:r w:rsidRPr="00132E65">
        <w:rPr>
          <w:rtl/>
        </w:rPr>
        <w:t xml:space="preserve"> </w:t>
      </w:r>
      <w:r w:rsidRPr="001C3156">
        <w:rPr>
          <w:rtl/>
        </w:rPr>
        <w:t>تفسير فرات</w:t>
      </w:r>
      <w:r w:rsidRPr="00132E65">
        <w:rPr>
          <w:rtl/>
        </w:rPr>
        <w:t xml:space="preserve"> ، ص 105 ، ح 97 ، بسند آخر عن أبي جعفر </w:t>
      </w:r>
      <w:r w:rsidRPr="0045653C">
        <w:rPr>
          <w:rStyle w:val="libFootnoteAlaemChar"/>
          <w:rtl/>
        </w:rPr>
        <w:t>عليه‌السلام</w:t>
      </w:r>
      <w:r w:rsidRPr="00132E65">
        <w:rPr>
          <w:rtl/>
        </w:rPr>
        <w:t xml:space="preserve">. </w:t>
      </w:r>
      <w:r w:rsidRPr="001C3156">
        <w:rPr>
          <w:rtl/>
        </w:rPr>
        <w:t>تفسير العيّاشي</w:t>
      </w:r>
      <w:r w:rsidRPr="00132E65">
        <w:rPr>
          <w:rtl/>
        </w:rPr>
        <w:t xml:space="preserve"> ، ج 1 ، ص 245 ، ح 148 ، عن عمرو بن شمر ، عن جابر ، عن أبي جعفر </w:t>
      </w:r>
      <w:r w:rsidRPr="0045653C">
        <w:rPr>
          <w:rStyle w:val="libFootnoteAlaemChar"/>
          <w:rtl/>
        </w:rPr>
        <w:t xml:space="preserve">عليه‌السلام </w:t>
      </w:r>
      <w:r w:rsidRPr="00132E65">
        <w:rPr>
          <w:rtl/>
        </w:rPr>
        <w:t xml:space="preserve">، مع زيادة واختلاف يسير ، وفيهما : « </w:t>
      </w:r>
      <w:r w:rsidRPr="0045653C">
        <w:rPr>
          <w:rStyle w:val="libFootnoteAlaemChar"/>
          <w:rtl/>
        </w:rPr>
        <w:t>(</w:t>
      </w:r>
      <w:r>
        <w:rPr>
          <w:rFonts w:hint="cs"/>
          <w:rtl/>
        </w:rPr>
        <w:t xml:space="preserve"> </w:t>
      </w:r>
      <w:r w:rsidRPr="00C2691A">
        <w:rPr>
          <w:rStyle w:val="libFootnoteAieChar"/>
          <w:rtl/>
        </w:rPr>
        <w:t>يا أَيُّهَا الَّذِينَ أُوتُوا الْكِتابَ آمِنُوا بِما نَزَّلْنا</w:t>
      </w:r>
      <w:r>
        <w:rPr>
          <w:rFonts w:hint="cs"/>
          <w:rtl/>
        </w:rPr>
        <w:t xml:space="preserve"> </w:t>
      </w:r>
      <w:r w:rsidRPr="0045653C">
        <w:rPr>
          <w:rStyle w:val="libFootnoteAlaemChar"/>
          <w:rtl/>
        </w:rPr>
        <w:t>)</w:t>
      </w:r>
      <w:r w:rsidRPr="00132E65">
        <w:rPr>
          <w:rtl/>
        </w:rPr>
        <w:t xml:space="preserve"> في عليّ</w:t>
      </w:r>
      <w:r>
        <w:rPr>
          <w:rFonts w:hint="cs"/>
          <w:rtl/>
        </w:rPr>
        <w:t xml:space="preserve"> </w:t>
      </w:r>
      <w:r w:rsidRPr="0045653C">
        <w:rPr>
          <w:rStyle w:val="libFootnoteAlaemChar"/>
          <w:rtl/>
        </w:rPr>
        <w:t>(</w:t>
      </w:r>
      <w:r>
        <w:rPr>
          <w:rFonts w:hint="cs"/>
          <w:rtl/>
        </w:rPr>
        <w:t xml:space="preserve"> </w:t>
      </w:r>
      <w:r w:rsidRPr="00C2691A">
        <w:rPr>
          <w:rStyle w:val="libFootnoteAieChar"/>
          <w:rtl/>
        </w:rPr>
        <w:t>مُصَدِّقاً لِما مَعَكُمْ مِنْ قَبْلِ</w:t>
      </w:r>
      <w:r>
        <w:rPr>
          <w:rFonts w:hint="cs"/>
          <w:rtl/>
        </w:rPr>
        <w:t xml:space="preserve"> </w:t>
      </w:r>
      <w:r w:rsidRPr="0045653C">
        <w:rPr>
          <w:rStyle w:val="libFootnoteAlaemChar"/>
          <w:rtl/>
        </w:rPr>
        <w:t>)</w:t>
      </w:r>
      <w:r w:rsidRPr="00132E65">
        <w:rPr>
          <w:rtl/>
        </w:rPr>
        <w:t xml:space="preserve"> »</w:t>
      </w:r>
      <w:r w:rsidR="00110CDA">
        <w:rPr>
          <w:rFonts w:hint="cs"/>
          <w:rtl/>
        </w:rPr>
        <w:t>.</w:t>
      </w:r>
      <w:r w:rsidRPr="009D1ACE">
        <w:rPr>
          <w:rStyle w:val="libFootnoteBoldChar"/>
          <w:rtl/>
        </w:rPr>
        <w:t>الوافي</w:t>
      </w:r>
      <w:r w:rsidRPr="00132E65">
        <w:rPr>
          <w:rtl/>
        </w:rPr>
        <w:t xml:space="preserve"> ، ج 3 ، ص 889 ، ح 1535 ؛ </w:t>
      </w:r>
      <w:r w:rsidRPr="001C3156">
        <w:rPr>
          <w:rtl/>
        </w:rPr>
        <w:t>البحار</w:t>
      </w:r>
      <w:r w:rsidRPr="00132E65">
        <w:rPr>
          <w:rtl/>
        </w:rPr>
        <w:t xml:space="preserve"> ، ج 23 ، ص 372 ، ح 51.</w:t>
      </w:r>
    </w:p>
    <w:p w:rsidR="000C39D1" w:rsidRPr="00132E65" w:rsidRDefault="000C39D1" w:rsidP="000C39D1">
      <w:pPr>
        <w:pStyle w:val="libFootnote0"/>
        <w:rPr>
          <w:rtl/>
          <w:lang w:bidi="fa-IR"/>
        </w:rPr>
      </w:pPr>
      <w:r>
        <w:rPr>
          <w:rtl/>
        </w:rPr>
        <w:t>(4).</w:t>
      </w:r>
      <w:r w:rsidRPr="00132E65">
        <w:rPr>
          <w:rtl/>
        </w:rPr>
        <w:t xml:space="preserve"> في « جر » وحاشية « بر » و</w:t>
      </w:r>
      <w:r w:rsidRPr="009D1ACE">
        <w:rPr>
          <w:rStyle w:val="libFootnoteBoldChar"/>
          <w:rtl/>
        </w:rPr>
        <w:t>الوافي</w:t>
      </w:r>
      <w:r w:rsidRPr="00132E65">
        <w:rPr>
          <w:rtl/>
        </w:rPr>
        <w:t xml:space="preserve"> : « يونس عن بكّار »</w:t>
      </w:r>
      <w:r>
        <w:rPr>
          <w:rtl/>
        </w:rPr>
        <w:t>.</w:t>
      </w:r>
    </w:p>
    <w:p w:rsidR="000C39D1" w:rsidRPr="006C2F2B" w:rsidRDefault="000C39D1" w:rsidP="0045653C">
      <w:pPr>
        <w:pStyle w:val="libFootnote0"/>
        <w:rPr>
          <w:rtl/>
        </w:rPr>
      </w:pPr>
      <w:r w:rsidRPr="006C2F2B">
        <w:rPr>
          <w:rtl/>
        </w:rPr>
        <w:t>هذا ، وقد يُحتَمل صحّة هذه النسخة وأنّ المراد من يونس هو يونس بن عبد الرحمن الراوي عن بكّار بن أبي بكر الحضرمي ، كما في المحاسن ، ص 320 ، ح 55 ؛ وبصائر الدرجات ، ص 385 ، ح 8 ؛ وعلل الشرائع ، ص 149 ، ح 9. وعلى هذا الاحتمال ، فأبو طالب هو عبد الله بن الصلت القمّي الراوي عن يونس بن عبد الرحمن. راجع : معجم رجال الحديث ، ج 10 ، ص 221 ، الرقم 6927.</w:t>
      </w:r>
    </w:p>
    <w:p w:rsidR="000C39D1" w:rsidRPr="00C900C1" w:rsidRDefault="000C39D1" w:rsidP="0045653C">
      <w:pPr>
        <w:pStyle w:val="libFootnote0"/>
        <w:rPr>
          <w:rtl/>
          <w:lang w:bidi="ar-IQ"/>
        </w:rPr>
      </w:pPr>
      <w:r w:rsidRPr="00C900C1">
        <w:rPr>
          <w:rtl/>
        </w:rPr>
        <w:t>لكن ، هذا الاحتمال يواجه عدّة إشكالات :</w:t>
      </w:r>
    </w:p>
    <w:p w:rsidR="000C39D1" w:rsidRPr="00C900C1" w:rsidRDefault="000C39D1" w:rsidP="0045653C">
      <w:pPr>
        <w:pStyle w:val="libFootnote0"/>
        <w:rPr>
          <w:rtl/>
        </w:rPr>
      </w:pPr>
      <w:r w:rsidRPr="00C900C1">
        <w:rPr>
          <w:rtl/>
        </w:rPr>
        <w:t xml:space="preserve">الأوّل : عدم ثبوت رواية محمّد بن خالد البرقي عن عبد الله بن الصلت في موضع ، بل عمدة رواة عبد الله بن الصلت ، في طبقة رواة محمّد بن خالد وبعضهم متأخّر عنهم طبقةً ، كما يظهر ذلك من معجم رجال الحديث ، ج 10 ، ص 221 </w:t>
      </w:r>
      <w:r>
        <w:rPr>
          <w:rtl/>
        </w:rPr>
        <w:t>-</w:t>
      </w:r>
      <w:r w:rsidRPr="00C900C1">
        <w:rPr>
          <w:rtl/>
        </w:rPr>
        <w:t xml:space="preserve"> 224. ووردت في الكافي ، ح 3442 رواية أبي عبد الله البرقي وأبي طالب </w:t>
      </w:r>
      <w:r>
        <w:rPr>
          <w:rtl/>
        </w:rPr>
        <w:t>-</w:t>
      </w:r>
      <w:r w:rsidRPr="00C900C1">
        <w:rPr>
          <w:rtl/>
        </w:rPr>
        <w:t xml:space="preserve"> وهو عبد الله بن الصلت </w:t>
      </w:r>
      <w:r>
        <w:rPr>
          <w:rtl/>
        </w:rPr>
        <w:t>-</w:t>
      </w:r>
      <w:r w:rsidRPr="00C900C1">
        <w:rPr>
          <w:rtl/>
        </w:rPr>
        <w:t xml:space="preserve"> معطوفين عن بكر بن محمّد.</w:t>
      </w:r>
    </w:p>
    <w:p w:rsidR="000C39D1" w:rsidRPr="006C2F2B" w:rsidRDefault="000C39D1" w:rsidP="0045653C">
      <w:pPr>
        <w:pStyle w:val="libFootnote0"/>
        <w:rPr>
          <w:rtl/>
        </w:rPr>
      </w:pPr>
      <w:r w:rsidRPr="006C2F2B">
        <w:rPr>
          <w:rtl/>
        </w:rPr>
        <w:t xml:space="preserve">وأمّا ما ورد في التهذيب ، ج 3 ، ص 276 ، ح 806 من رواية البرقي عن عبد الله بن الصلت والعبّاس بن معروف </w:t>
      </w:r>
      <w:r w:rsidR="00110CDA">
        <w:rPr>
          <w:rFonts w:hint="cs"/>
          <w:rtl/>
        </w:rPr>
        <w:t>=</w:t>
      </w:r>
    </w:p>
    <w:p w:rsidR="000C39D1" w:rsidRDefault="000C39D1" w:rsidP="000C39D1">
      <w:pPr>
        <w:pStyle w:val="libNormal"/>
        <w:rPr>
          <w:rtl/>
          <w:lang w:bidi="fa-IR"/>
        </w:rPr>
      </w:pPr>
      <w:r>
        <w:rPr>
          <w:rtl/>
          <w:lang w:bidi="fa-IR"/>
        </w:rPr>
        <w:br w:type="page"/>
      </w:r>
    </w:p>
    <w:p w:rsidR="000C39D1" w:rsidRPr="00B124DD"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w:t>
      </w:r>
      <w:r>
        <w:rPr>
          <w:rStyle w:val="libFootnotenumChar"/>
          <w:rtl/>
        </w:rPr>
        <w:t>(1)</w:t>
      </w:r>
      <w:r w:rsidR="00BF2B00">
        <w:rPr>
          <w:rtl/>
          <w:lang w:bidi="fa-IR"/>
        </w:rPr>
        <w:t xml:space="preserve"> :</w:t>
      </w:r>
      <w:r w:rsidRPr="00132E65">
        <w:rPr>
          <w:rtl/>
          <w:lang w:bidi="fa-IR"/>
        </w:rPr>
        <w:t>«</w:t>
      </w:r>
      <w:r w:rsidRPr="00071CF9">
        <w:rPr>
          <w:rStyle w:val="libAlaemChar"/>
          <w:rtl/>
        </w:rPr>
        <w:t>(</w:t>
      </w:r>
      <w:r w:rsidRPr="00071CF9">
        <w:rPr>
          <w:rStyle w:val="libAieChar"/>
          <w:rtl/>
        </w:rPr>
        <w:t>وَلَوْ أَنَّهُمْ فَعَ</w:t>
      </w:r>
      <w:r w:rsidR="00BF2B00">
        <w:rPr>
          <w:rStyle w:val="libAieChar"/>
          <w:rtl/>
        </w:rPr>
        <w:t>لُوا مايُوعَظُونَ</w:t>
      </w:r>
      <w:r w:rsidR="00BF2B00">
        <w:rPr>
          <w:rStyle w:val="libAieChar"/>
          <w:rFonts w:hint="cs"/>
          <w:rtl/>
        </w:rPr>
        <w:t xml:space="preserve"> </w:t>
      </w:r>
      <w:r w:rsidRPr="00071CF9">
        <w:rPr>
          <w:rStyle w:val="libAieChar"/>
          <w:rtl/>
        </w:rPr>
        <w:t>بِهِ</w:t>
      </w:r>
      <w:r w:rsidRPr="00071CF9">
        <w:rPr>
          <w:rStyle w:val="libAlaemChar"/>
          <w:rtl/>
        </w:rPr>
        <w:t>)</w:t>
      </w:r>
      <w:r w:rsidRPr="00132E65">
        <w:rPr>
          <w:rtl/>
          <w:lang w:bidi="fa-IR"/>
        </w:rPr>
        <w:t>فِي عَلِيٍّ</w:t>
      </w:r>
      <w:r w:rsidRPr="00071CF9">
        <w:rPr>
          <w:rStyle w:val="libAlaemChar"/>
          <w:rtl/>
        </w:rPr>
        <w:t>(</w:t>
      </w:r>
      <w:r w:rsidRPr="00071CF9">
        <w:rPr>
          <w:rStyle w:val="libAieChar"/>
          <w:rtl/>
        </w:rPr>
        <w:t>لَكانَ خَيْراً لَهُمْ</w:t>
      </w:r>
      <w:r w:rsidRPr="00071CF9">
        <w:rPr>
          <w:rStyle w:val="libAlaemChar"/>
          <w:rtl/>
        </w:rPr>
        <w:t>)</w:t>
      </w:r>
      <w:r>
        <w:rPr>
          <w:rStyle w:val="libFootnotenumChar"/>
          <w:rtl/>
        </w:rPr>
        <w:t>(2)</w:t>
      </w:r>
      <w:r w:rsidRPr="00132E65">
        <w:rPr>
          <w:rtl/>
          <w:lang w:bidi="fa-IR"/>
        </w:rPr>
        <w:t>»</w:t>
      </w:r>
      <w:r>
        <w:rPr>
          <w:rtl/>
          <w:lang w:bidi="fa-IR"/>
        </w:rPr>
        <w:t>.</w:t>
      </w:r>
      <w:r>
        <w:rPr>
          <w:rStyle w:val="libFootnotenumChar"/>
          <w:rtl/>
        </w:rPr>
        <w:t>(3)</w:t>
      </w:r>
    </w:p>
    <w:p w:rsidR="000C39D1" w:rsidRPr="00132E65" w:rsidRDefault="000C39D1" w:rsidP="000C39D1">
      <w:pPr>
        <w:pStyle w:val="libLine"/>
        <w:rPr>
          <w:rtl/>
          <w:lang w:bidi="fa-IR"/>
        </w:rPr>
      </w:pPr>
      <w:r w:rsidRPr="00132E65">
        <w:rPr>
          <w:rtl/>
          <w:lang w:bidi="fa-IR"/>
        </w:rPr>
        <w:t>__________________</w:t>
      </w:r>
    </w:p>
    <w:p w:rsidR="000C39D1" w:rsidRPr="00BD7725" w:rsidRDefault="00BF2B00" w:rsidP="000C39D1">
      <w:pPr>
        <w:pStyle w:val="libFootnote0"/>
        <w:rPr>
          <w:rtl/>
        </w:rPr>
      </w:pPr>
      <w:r>
        <w:rPr>
          <w:rFonts w:hint="cs"/>
          <w:rtl/>
        </w:rPr>
        <w:t xml:space="preserve">= </w:t>
      </w:r>
      <w:r w:rsidR="000C39D1" w:rsidRPr="00BD7725">
        <w:rPr>
          <w:rtl/>
        </w:rPr>
        <w:t>كلّهم عن بكر بن محمّد الأزدي ، فالظاهر أنّ « عن » بعد البرقي مصحّف من « و » كما هو مقتضى لفظة « كلّهم ».</w:t>
      </w:r>
    </w:p>
    <w:p w:rsidR="000C39D1" w:rsidRPr="00A3671A" w:rsidRDefault="000C39D1" w:rsidP="00BF2B00">
      <w:pPr>
        <w:pStyle w:val="libFootnote0"/>
        <w:rPr>
          <w:rtl/>
        </w:rPr>
      </w:pPr>
      <w:r w:rsidRPr="00A3671A">
        <w:rPr>
          <w:rtl/>
        </w:rPr>
        <w:t>لا يقال : روى محمّد بن خالد البرقي عن أبي طالب القمّي عن حنان بن سدير عن أبيه في رجال الكشّي ، ص 306 ، الرقم 551 ، وأبو طالب القمّي هو عبد الله بن الصلت.</w:t>
      </w:r>
    </w:p>
    <w:p w:rsidR="000C39D1" w:rsidRPr="007F475F" w:rsidRDefault="000C39D1" w:rsidP="00BF2B00">
      <w:pPr>
        <w:pStyle w:val="libFootnote0"/>
        <w:rPr>
          <w:rtl/>
        </w:rPr>
      </w:pPr>
      <w:r w:rsidRPr="007F475F">
        <w:rPr>
          <w:rtl/>
        </w:rPr>
        <w:t>فإنّه يقال : يحتمل زيادة « القمّي » في السند ؛ فإنّ ذيل الخبر ورد في بصائر الدرجات ، ص 104 ، ح 6 ، والكافي ، ح 709 ، وفيهما : « أبي طالب عن سدير ».</w:t>
      </w:r>
    </w:p>
    <w:p w:rsidR="000C39D1" w:rsidRPr="00A3671A" w:rsidRDefault="000C39D1" w:rsidP="00BF2B00">
      <w:pPr>
        <w:pStyle w:val="libFootnote0"/>
        <w:rPr>
          <w:rtl/>
        </w:rPr>
      </w:pPr>
      <w:r w:rsidRPr="00A3671A">
        <w:rPr>
          <w:rtl/>
        </w:rPr>
        <w:t xml:space="preserve">يؤيّد ذلك أنّ الكشّي ذكر في رجاله ، ص 567 ، الرقم 1074 </w:t>
      </w:r>
      <w:r>
        <w:rPr>
          <w:rtl/>
        </w:rPr>
        <w:t>-</w:t>
      </w:r>
      <w:r w:rsidRPr="00A3671A">
        <w:rPr>
          <w:rtl/>
        </w:rPr>
        <w:t xml:space="preserve"> ذيل أبي طالب القمّي </w:t>
      </w:r>
      <w:r>
        <w:rPr>
          <w:rtl/>
        </w:rPr>
        <w:t>-</w:t>
      </w:r>
      <w:r w:rsidRPr="00A3671A">
        <w:rPr>
          <w:rtl/>
        </w:rPr>
        <w:t xml:space="preserve"> : « اسمه عبد الله بن الصلت ، قال محمّد بن مسعود : أبو طالب لم يدرك سديراً » ، فافهم.</w:t>
      </w:r>
    </w:p>
    <w:p w:rsidR="000C39D1" w:rsidRPr="00A3671A" w:rsidRDefault="000C39D1" w:rsidP="00BF2B00">
      <w:pPr>
        <w:pStyle w:val="libFootnote0"/>
        <w:rPr>
          <w:rtl/>
        </w:rPr>
      </w:pPr>
      <w:r w:rsidRPr="00A3671A">
        <w:rPr>
          <w:rtl/>
        </w:rPr>
        <w:t>ولو سلّمنا عدم زيادة « القمّي » ، فاحتمال العطف غير منفيّ ، فقد روى محمّد بن خالد البرقي عن حنان بن سدير في كامل الزيارات ، ص 171 ، ح 7.</w:t>
      </w:r>
    </w:p>
    <w:p w:rsidR="000C39D1" w:rsidRPr="00A3671A" w:rsidRDefault="000C39D1" w:rsidP="00E61CB9">
      <w:pPr>
        <w:pStyle w:val="libFootnote0"/>
        <w:rPr>
          <w:rtl/>
        </w:rPr>
      </w:pPr>
      <w:r w:rsidRPr="00A3671A">
        <w:rPr>
          <w:rtl/>
        </w:rPr>
        <w:t xml:space="preserve">والثاني : أنّ الخبر ورد في الكافي ، ح 1147 ، عن أحمد بن مهران عن عبد العظيم عن بكّار عن جابر عن أبي جعفر </w:t>
      </w:r>
      <w:r w:rsidRPr="00BF2B00">
        <w:rPr>
          <w:rStyle w:val="libFootnoteAlaemChar"/>
          <w:rtl/>
        </w:rPr>
        <w:t>عليه‌السلام</w:t>
      </w:r>
      <w:r w:rsidRPr="00A3671A">
        <w:rPr>
          <w:rtl/>
        </w:rPr>
        <w:t xml:space="preserve"> ، وهذا السند وإن كان لا يخلو من خلل ، لاحتمال وقوع السقط بين عبد العظيم وبكّار ، لكنّه مؤيّد لرواية بكّار عن جابر. أضف إلى ذلك ما ورد في </w:t>
      </w:r>
      <w:r w:rsidRPr="0058056C">
        <w:rPr>
          <w:rtl/>
        </w:rPr>
        <w:t>شواهد التنزيل</w:t>
      </w:r>
      <w:r w:rsidRPr="00A3671A">
        <w:rPr>
          <w:rtl/>
        </w:rPr>
        <w:t xml:space="preserve"> ، ج 1 ، ص 270 ، ح 268 من رواية يونس بن بكّار عن أبيه عن أبي جعفر محمّد بن عليّ </w:t>
      </w:r>
      <w:r w:rsidRPr="00BF2B00">
        <w:rPr>
          <w:rStyle w:val="libFootnoteAlaemChar"/>
          <w:rtl/>
        </w:rPr>
        <w:t>عليه‌السلام</w:t>
      </w:r>
      <w:r w:rsidRPr="00A3671A">
        <w:rPr>
          <w:rtl/>
        </w:rPr>
        <w:t xml:space="preserve"> ، في قوله تعالى ذكره : </w:t>
      </w:r>
      <w:r w:rsidRPr="00BF2B00">
        <w:rPr>
          <w:rStyle w:val="libFootnoteAlaemChar"/>
          <w:rtl/>
        </w:rPr>
        <w:t>(</w:t>
      </w:r>
      <w:r w:rsidRPr="00C2691A">
        <w:rPr>
          <w:rStyle w:val="libFootnoteAieChar"/>
          <w:rtl/>
        </w:rPr>
        <w:t>ي</w:t>
      </w:r>
      <w:r w:rsidR="00E61CB9">
        <w:rPr>
          <w:rStyle w:val="libFootnoteAieChar"/>
          <w:rFonts w:hint="cs"/>
          <w:rtl/>
        </w:rPr>
        <w:t>َ</w:t>
      </w:r>
      <w:r w:rsidRPr="00C2691A">
        <w:rPr>
          <w:rStyle w:val="libFootnoteAieChar"/>
          <w:rtl/>
        </w:rPr>
        <w:t xml:space="preserve">ا أَيُّهَا الَّذِينَ </w:t>
      </w:r>
      <w:r w:rsidR="00E61CB9">
        <w:rPr>
          <w:rStyle w:val="libFootnoteAieChar"/>
          <w:rFonts w:hint="cs"/>
          <w:rtl/>
        </w:rPr>
        <w:t>ءَا</w:t>
      </w:r>
      <w:r w:rsidRPr="00C2691A">
        <w:rPr>
          <w:rStyle w:val="libFootnoteAieChar"/>
          <w:rtl/>
        </w:rPr>
        <w:t>مَنُوا ل</w:t>
      </w:r>
      <w:r w:rsidR="00E61CB9">
        <w:rPr>
          <w:rStyle w:val="libFootnoteAieChar"/>
          <w:rFonts w:hint="cs"/>
          <w:rtl/>
        </w:rPr>
        <w:t>َ</w:t>
      </w:r>
      <w:r w:rsidRPr="00C2691A">
        <w:rPr>
          <w:rStyle w:val="libFootnoteAieChar"/>
          <w:rtl/>
        </w:rPr>
        <w:t>ا تَخُونُوا اللهَ وَالرَّسُولَ وَتَخُونُوا أَماناتِكُمْ</w:t>
      </w:r>
      <w:r>
        <w:rPr>
          <w:rtl/>
        </w:rPr>
        <w:t xml:space="preserve"> </w:t>
      </w:r>
      <w:r w:rsidRPr="00BF2B00">
        <w:rPr>
          <w:rStyle w:val="libFootnoteAlaemChar"/>
          <w:rtl/>
        </w:rPr>
        <w:t>)</w:t>
      </w:r>
      <w:r w:rsidRPr="00071CF9">
        <w:rPr>
          <w:rStyle w:val="libAlaemChar"/>
          <w:rtl/>
        </w:rPr>
        <w:t xml:space="preserve"> </w:t>
      </w:r>
      <w:r w:rsidRPr="00A3671A">
        <w:rPr>
          <w:rtl/>
        </w:rPr>
        <w:t>في آل محمّد</w:t>
      </w:r>
      <w:r>
        <w:rPr>
          <w:rFonts w:hint="cs"/>
          <w:rtl/>
        </w:rPr>
        <w:t xml:space="preserve"> </w:t>
      </w:r>
      <w:r w:rsidRPr="00BF2B00">
        <w:rPr>
          <w:rStyle w:val="libFootnoteAlaemChar"/>
          <w:rtl/>
        </w:rPr>
        <w:t>(</w:t>
      </w:r>
      <w:r>
        <w:rPr>
          <w:rtl/>
        </w:rPr>
        <w:t xml:space="preserve"> </w:t>
      </w:r>
      <w:r w:rsidRPr="00C2691A">
        <w:rPr>
          <w:rStyle w:val="libFootnoteAieChar"/>
          <w:rtl/>
        </w:rPr>
        <w:t>وَأَنْتُمْ تَعْلَمُونَ</w:t>
      </w:r>
      <w:r>
        <w:rPr>
          <w:rtl/>
        </w:rPr>
        <w:t xml:space="preserve"> </w:t>
      </w:r>
      <w:r w:rsidRPr="00BF2B00">
        <w:rPr>
          <w:rStyle w:val="libFootnoteAlaemChar"/>
          <w:rtl/>
        </w:rPr>
        <w:t>)</w:t>
      </w:r>
      <w:r w:rsidRPr="00A3671A">
        <w:rPr>
          <w:rtl/>
        </w:rPr>
        <w:t xml:space="preserve">. الأنفال </w:t>
      </w:r>
      <w:r w:rsidR="00E61CB9">
        <w:rPr>
          <w:rtl/>
        </w:rPr>
        <w:t>(8)</w:t>
      </w:r>
      <w:r w:rsidRPr="00A3671A">
        <w:rPr>
          <w:rtl/>
        </w:rPr>
        <w:t xml:space="preserve"> : 27.</w:t>
      </w:r>
    </w:p>
    <w:p w:rsidR="000C39D1" w:rsidRPr="008A588C" w:rsidRDefault="000C39D1" w:rsidP="00BF2B00">
      <w:pPr>
        <w:pStyle w:val="libFootnote0"/>
        <w:rPr>
          <w:rtl/>
        </w:rPr>
      </w:pPr>
      <w:r w:rsidRPr="008A588C">
        <w:rPr>
          <w:rtl/>
        </w:rPr>
        <w:t>والخبر كما ترى يناسب ما نحن فيه من حيث الموضوع.</w:t>
      </w:r>
    </w:p>
    <w:p w:rsidR="000C39D1" w:rsidRPr="008A588C" w:rsidRDefault="000C39D1" w:rsidP="00BF2B00">
      <w:pPr>
        <w:pStyle w:val="libFootnote0"/>
        <w:rPr>
          <w:rtl/>
          <w:lang w:bidi="ar-IQ"/>
        </w:rPr>
      </w:pPr>
      <w:r w:rsidRPr="008A588C">
        <w:rPr>
          <w:rtl/>
        </w:rPr>
        <w:t xml:space="preserve">الثالث : أنّا لم نجد رواية أبي بكر الحضرمي </w:t>
      </w:r>
      <w:r>
        <w:rPr>
          <w:rtl/>
        </w:rPr>
        <w:t>-</w:t>
      </w:r>
      <w:r w:rsidRPr="008A588C">
        <w:rPr>
          <w:rtl/>
        </w:rPr>
        <w:t xml:space="preserve"> والد بكّار بن أبي بكر </w:t>
      </w:r>
      <w:r>
        <w:rPr>
          <w:rtl/>
        </w:rPr>
        <w:t>-</w:t>
      </w:r>
      <w:r w:rsidRPr="008A588C">
        <w:rPr>
          <w:rtl/>
        </w:rPr>
        <w:t xml:space="preserve"> عن جابر </w:t>
      </w:r>
      <w:r>
        <w:rPr>
          <w:rtl/>
        </w:rPr>
        <w:t>-</w:t>
      </w:r>
      <w:r w:rsidRPr="008A588C">
        <w:rPr>
          <w:rtl/>
        </w:rPr>
        <w:t xml:space="preserve"> وهو جابر بن يزيد </w:t>
      </w:r>
      <w:r>
        <w:rPr>
          <w:rtl/>
        </w:rPr>
        <w:t>-</w:t>
      </w:r>
      <w:r w:rsidRPr="008A588C">
        <w:rPr>
          <w:rtl/>
        </w:rPr>
        <w:t xml:space="preserve"> في موضع ، مع الفحص الأكيد.</w:t>
      </w:r>
    </w:p>
    <w:p w:rsidR="000C39D1" w:rsidRPr="008A588C" w:rsidRDefault="000C39D1" w:rsidP="00BF2B00">
      <w:pPr>
        <w:pStyle w:val="libFootnote0"/>
        <w:rPr>
          <w:rtl/>
        </w:rPr>
      </w:pPr>
      <w:r w:rsidRPr="008A588C">
        <w:rPr>
          <w:rtl/>
        </w:rPr>
        <w:t>الرابع : عدم وقوع الواسطة بين محمّد بن خالد البرقي ويونس بن عبد الرحمن في ما تتبّعنا من الأسناد.</w:t>
      </w:r>
    </w:p>
    <w:p w:rsidR="000C39D1" w:rsidRPr="006E08C2" w:rsidRDefault="000C39D1" w:rsidP="00BF2B00">
      <w:pPr>
        <w:pStyle w:val="libFootnote0"/>
        <w:rPr>
          <w:rtl/>
        </w:rPr>
      </w:pPr>
      <w:r w:rsidRPr="006E08C2">
        <w:rPr>
          <w:rtl/>
        </w:rPr>
        <w:t>ثمّ إنّ الظّاهر أنّ المراد من أبي طالب في مشايخ محمّد بن خالد البرقي ، هو أبو طالب الأزدي البصري الشعراني الذي روى محمّد بن خالد كت</w:t>
      </w:r>
      <w:r w:rsidR="000C3E6E">
        <w:rPr>
          <w:rtl/>
        </w:rPr>
        <w:t>ابه ، ولا يُعْرَف هذا الرجل إل</w:t>
      </w:r>
      <w:r w:rsidR="000C3E6E">
        <w:rPr>
          <w:rFonts w:hint="cs"/>
          <w:rtl/>
        </w:rPr>
        <w:t>ّ</w:t>
      </w:r>
      <w:r w:rsidR="000C3E6E">
        <w:rPr>
          <w:rtl/>
        </w:rPr>
        <w:t>ا</w:t>
      </w:r>
      <w:r w:rsidRPr="006E08C2">
        <w:rPr>
          <w:rtl/>
        </w:rPr>
        <w:t>من قبله. راجع : رجال النجاشي ، ص 45 ، الرقم 1255 ؛ الفهرست للطوسي ، ص 503 ، الرقم 855.</w:t>
      </w:r>
    </w:p>
    <w:p w:rsidR="000C39D1" w:rsidRPr="006E08C2" w:rsidRDefault="000C39D1" w:rsidP="00BF2B00">
      <w:pPr>
        <w:pStyle w:val="libFootnote0"/>
        <w:rPr>
          <w:rtl/>
        </w:rPr>
      </w:pPr>
      <w:r w:rsidRPr="006E08C2">
        <w:rPr>
          <w:rtl/>
        </w:rPr>
        <w:t xml:space="preserve">يؤيّد ذلك ما ورد في الكافي ، ح 11690 من رواية أبي عبد الله البرقي </w:t>
      </w:r>
      <w:r>
        <w:rPr>
          <w:rtl/>
        </w:rPr>
        <w:t>-</w:t>
      </w:r>
      <w:r w:rsidRPr="006E08C2">
        <w:rPr>
          <w:rtl/>
        </w:rPr>
        <w:t xml:space="preserve"> وهو محمّد بن خالد </w:t>
      </w:r>
      <w:r>
        <w:rPr>
          <w:rtl/>
        </w:rPr>
        <w:t>-</w:t>
      </w:r>
      <w:r w:rsidRPr="006E08C2">
        <w:rPr>
          <w:rtl/>
        </w:rPr>
        <w:t xml:space="preserve"> عن أبي طالب عن مسمع ، فإنّ الخبر رواه أحمد بن محمّد بن خالد البرقي ، في المحاسن ، ص 438 ، ح 287 ، عن أبيه عن أبي طالب البصري عن مسمع. وأبو طالب البصري ، هو الأزدي الشعراني ، كما تقدّم آنفاً.</w:t>
      </w:r>
    </w:p>
    <w:tbl>
      <w:tblPr>
        <w:tblStyle w:val="TableGrid"/>
        <w:bidiVisual/>
        <w:tblW w:w="0" w:type="auto"/>
        <w:tblLook w:val="04A0" w:firstRow="1" w:lastRow="0" w:firstColumn="1" w:lastColumn="0" w:noHBand="0" w:noVBand="1"/>
      </w:tblPr>
      <w:tblGrid>
        <w:gridCol w:w="4006"/>
        <w:gridCol w:w="4006"/>
      </w:tblGrid>
      <w:tr w:rsidR="000C3E6E" w:rsidTr="000C3E6E">
        <w:tc>
          <w:tcPr>
            <w:tcW w:w="4006" w:type="dxa"/>
          </w:tcPr>
          <w:p w:rsidR="000C3E6E" w:rsidRDefault="000C3E6E" w:rsidP="00BF2B00">
            <w:pPr>
              <w:pStyle w:val="libFootnote0"/>
              <w:rPr>
                <w:rtl/>
              </w:rPr>
            </w:pPr>
            <w:r>
              <w:rPr>
                <w:rtl/>
              </w:rPr>
              <w:t>(1).</w:t>
            </w:r>
            <w:r w:rsidRPr="00132E65">
              <w:rPr>
                <w:rtl/>
              </w:rPr>
              <w:t xml:space="preserve"> في « ف » :</w:t>
            </w:r>
            <w:r>
              <w:rPr>
                <w:rtl/>
              </w:rPr>
              <w:t xml:space="preserve"> + </w:t>
            </w:r>
            <w:r w:rsidRPr="00132E65">
              <w:rPr>
                <w:rtl/>
              </w:rPr>
              <w:t>« في قوله تعالى »</w:t>
            </w:r>
            <w:r>
              <w:rPr>
                <w:rtl/>
              </w:rPr>
              <w:t>.</w:t>
            </w:r>
          </w:p>
        </w:tc>
        <w:tc>
          <w:tcPr>
            <w:tcW w:w="4006" w:type="dxa"/>
          </w:tcPr>
          <w:p w:rsidR="000C3E6E" w:rsidRDefault="000C3E6E" w:rsidP="00BF2B00">
            <w:pPr>
              <w:pStyle w:val="libFootnote0"/>
              <w:rPr>
                <w:rtl/>
              </w:rPr>
            </w:pPr>
            <w:r>
              <w:rPr>
                <w:rtl/>
              </w:rPr>
              <w:t>(2).</w:t>
            </w:r>
            <w:r w:rsidRPr="00132E65">
              <w:rPr>
                <w:rtl/>
              </w:rPr>
              <w:t xml:space="preserve"> النساء </w:t>
            </w:r>
            <w:r>
              <w:rPr>
                <w:rtl/>
              </w:rPr>
              <w:t>(4)</w:t>
            </w:r>
            <w:r w:rsidRPr="00132E65">
              <w:rPr>
                <w:rtl/>
              </w:rPr>
              <w:t xml:space="preserve"> : 66.</w:t>
            </w:r>
          </w:p>
        </w:tc>
      </w:tr>
    </w:tbl>
    <w:p w:rsidR="000C39D1" w:rsidRPr="00132E65" w:rsidRDefault="000C39D1" w:rsidP="00E57432">
      <w:pPr>
        <w:pStyle w:val="libFootnote0"/>
        <w:rPr>
          <w:rtl/>
          <w:lang w:bidi="fa-IR"/>
        </w:rPr>
      </w:pPr>
      <w:r>
        <w:rPr>
          <w:rtl/>
        </w:rPr>
        <w:t>(3).</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1147 ؛ بسند آخر عن بكّار ، عن جابر ، عن أبي جعفر </w:t>
      </w:r>
      <w:r w:rsidRPr="00BF2B00">
        <w:rPr>
          <w:rStyle w:val="libFootnoteAlaemChar"/>
          <w:rtl/>
        </w:rPr>
        <w:t>عليه‌السلام</w:t>
      </w:r>
      <w:r w:rsidRPr="00132E65">
        <w:rPr>
          <w:rtl/>
        </w:rPr>
        <w:t xml:space="preserve">. </w:t>
      </w:r>
      <w:r w:rsidRPr="001C3156">
        <w:rPr>
          <w:rtl/>
        </w:rPr>
        <w:t>تفسير العيّاشي</w:t>
      </w:r>
      <w:r w:rsidRPr="00132E65">
        <w:rPr>
          <w:rtl/>
        </w:rPr>
        <w:t xml:space="preserve"> ، ج 1 ، ص 256 ، ح 188 عن أبي بصير ، عن أبي عبد الله </w:t>
      </w:r>
      <w:r w:rsidRPr="00BF2B00">
        <w:rPr>
          <w:rStyle w:val="libFootnoteAlaemChar"/>
          <w:rtl/>
        </w:rPr>
        <w:t xml:space="preserve">عليه‌السلام </w:t>
      </w:r>
      <w:r w:rsidRPr="00132E65">
        <w:rPr>
          <w:rtl/>
        </w:rPr>
        <w:t>، مع زيادة في أوّله ، وفيه : «</w:t>
      </w:r>
      <w:r>
        <w:rPr>
          <w:rtl/>
        </w:rPr>
        <w:t xml:space="preserve"> ..</w:t>
      </w:r>
      <w:r w:rsidRPr="00132E65">
        <w:rPr>
          <w:rtl/>
        </w:rPr>
        <w:t>.</w:t>
      </w:r>
      <w:r w:rsidRPr="00BF2B00">
        <w:rPr>
          <w:rStyle w:val="libFootnoteAlaemChar"/>
          <w:rtl/>
        </w:rPr>
        <w:t>(</w:t>
      </w:r>
      <w:r w:rsidRPr="00C2691A">
        <w:rPr>
          <w:rStyle w:val="libFootnoteAieChar"/>
          <w:rtl/>
        </w:rPr>
        <w:t xml:space="preserve"> لَكانَ خَيْراً لَهُمْ </w:t>
      </w:r>
      <w:r w:rsidRPr="00BF2B00">
        <w:rPr>
          <w:rStyle w:val="libFootnoteAlaemChar"/>
          <w:rtl/>
        </w:rPr>
        <w:t>)</w:t>
      </w:r>
      <w:r w:rsidRPr="00132E65">
        <w:rPr>
          <w:rtl/>
        </w:rPr>
        <w:t xml:space="preserve"> ، يعني في عليّ »</w:t>
      </w:r>
      <w:r w:rsidR="00E57432">
        <w:rPr>
          <w:rFonts w:hint="cs"/>
          <w:rtl/>
        </w:rPr>
        <w:t>.</w:t>
      </w:r>
      <w:r w:rsidRPr="009D1ACE">
        <w:rPr>
          <w:rStyle w:val="libFootnoteBoldChar"/>
          <w:rtl/>
        </w:rPr>
        <w:t>الوافي</w:t>
      </w:r>
      <w:r w:rsidRPr="00132E65">
        <w:rPr>
          <w:rtl/>
        </w:rPr>
        <w:t xml:space="preserve"> ، ج 3 ، ص 920 ، ح 1593 ؛ </w:t>
      </w:r>
      <w:r w:rsidRPr="001C3156">
        <w:rPr>
          <w:rtl/>
        </w:rPr>
        <w:t>البحار</w:t>
      </w:r>
      <w:r w:rsidRPr="00132E65">
        <w:rPr>
          <w:rtl/>
        </w:rPr>
        <w:t xml:space="preserve"> ، ج 23 ، ص 373 ، ح 52.</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C3156">
        <w:rPr>
          <w:rtl/>
        </w:rPr>
        <w:t>1116</w:t>
      </w:r>
      <w:r w:rsidRPr="004325D8">
        <w:rPr>
          <w:rStyle w:val="libBold2Char"/>
          <w:rtl/>
        </w:rPr>
        <w:t xml:space="preserve"> / 29.</w:t>
      </w:r>
      <w:r w:rsidRPr="00132E65">
        <w:rPr>
          <w:rtl/>
          <w:lang w:bidi="fa-IR"/>
        </w:rPr>
        <w:t xml:space="preserve"> الْحُسَيْنُ بْنُ مُحَمَّدٍ ، عَنْ مُعَلَّى بْنِ مُحَمَّدٍ ، عَنِ الْحَسَنِ بْنِ عَلِيٍّ الْوَشَّاءِ ، عَنْ مُثَنًّى الْحَنَّاطِ ، عَنْ عَبْدِ اللهِ بْنِ عَجْلَانَ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يا أَيُّهَا الَّذِينَ آمَنُوا ادْخُلُوا فِي السِّلْمِ كَافَّةً وَلا تَتَّبِعُوا خُطُواتِ الشَّيْطانِ إِنَّهُ لَكُمْ عَدُوٌّ مُبِينٌ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فِي ولَايَتِنَا »</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E92B28">
        <w:rPr>
          <w:rtl/>
        </w:rPr>
        <w:t>1117</w:t>
      </w:r>
      <w:r w:rsidRPr="004325D8">
        <w:rPr>
          <w:rStyle w:val="libBold2Char"/>
          <w:rtl/>
        </w:rPr>
        <w:t xml:space="preserve"> / 30.</w:t>
      </w:r>
      <w:r w:rsidRPr="00132E65">
        <w:rPr>
          <w:rtl/>
          <w:lang w:bidi="fa-IR"/>
        </w:rPr>
        <w:t xml:space="preserve"> الْحُسَيْنُ بْنُ مُحَمَّدٍ ، عَنْ مُعَلَّى بْنِ مُحَمَّدٍ ، عَنْ عَبْدِ اللهِ بْنِ إِدْرِيسَ ، عَنْ مُحَمَّدِ بْنِ سِنَانٍ ، عَنِ الْمُفَضَّلِ بْنِ عُمَرَ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قَوْلُهُ عَزَّوَجَلَّ : </w:t>
      </w:r>
      <w:r w:rsidRPr="00071CF9">
        <w:rPr>
          <w:rStyle w:val="libAlaemChar"/>
          <w:rtl/>
        </w:rPr>
        <w:t>(</w:t>
      </w:r>
      <w:r w:rsidRPr="00071CF9">
        <w:rPr>
          <w:rStyle w:val="libAieChar"/>
          <w:rtl/>
        </w:rPr>
        <w:t xml:space="preserve"> بَلْ تُؤْثِرُونَ الْحَياةَ الدُّنْيا </w:t>
      </w:r>
      <w:r w:rsidRPr="00071CF9">
        <w:rPr>
          <w:rStyle w:val="libAlaemChar"/>
          <w:rtl/>
        </w:rPr>
        <w:t>)</w:t>
      </w:r>
      <w:r>
        <w:rPr>
          <w:rtl/>
          <w:lang w:bidi="fa-IR"/>
        </w:rPr>
        <w:t>؟</w:t>
      </w:r>
      <w:r w:rsidRPr="00132E65">
        <w:rPr>
          <w:rtl/>
          <w:lang w:bidi="fa-IR"/>
        </w:rPr>
        <w:t xml:space="preserve"> قَالَ : « وَلَايَتَهُمْ </w:t>
      </w:r>
      <w:r>
        <w:rPr>
          <w:rStyle w:val="libFootnotenumChar"/>
          <w:rtl/>
        </w:rPr>
        <w:t>(3)</w:t>
      </w:r>
      <w:r w:rsidRPr="00132E65">
        <w:rPr>
          <w:rtl/>
          <w:lang w:bidi="fa-IR"/>
        </w:rPr>
        <w:t xml:space="preserve"> »</w:t>
      </w:r>
      <w:r>
        <w:rPr>
          <w:rtl/>
          <w:lang w:bidi="fa-IR"/>
        </w:rPr>
        <w:t>.</w:t>
      </w:r>
      <w:r>
        <w:rPr>
          <w:rFonts w:hint="cs"/>
          <w:rtl/>
          <w:lang w:bidi="fa-IR"/>
        </w:rPr>
        <w:t xml:space="preserve"> </w:t>
      </w:r>
      <w:r w:rsidRPr="00071CF9">
        <w:rPr>
          <w:rStyle w:val="libAlaemChar"/>
          <w:rtl/>
        </w:rPr>
        <w:t>(</w:t>
      </w:r>
      <w:r w:rsidRPr="00071CF9">
        <w:rPr>
          <w:rStyle w:val="libAieChar"/>
          <w:rtl/>
        </w:rPr>
        <w:t xml:space="preserve"> وَالْآخِرَةُ خَيْرٌ وَأَبْقى </w:t>
      </w:r>
      <w:r w:rsidRPr="00071CF9">
        <w:rPr>
          <w:rStyle w:val="libAlaemChar"/>
          <w:rtl/>
        </w:rPr>
        <w:t>)</w:t>
      </w:r>
      <w:r>
        <w:rPr>
          <w:rtl/>
          <w:lang w:bidi="fa-IR"/>
        </w:rPr>
        <w:t>؟</w:t>
      </w:r>
      <w:r w:rsidRPr="00132E65">
        <w:rPr>
          <w:rtl/>
          <w:lang w:bidi="fa-IR"/>
        </w:rPr>
        <w:t xml:space="preserve"> قَالَ : « وَلَايَةُ </w:t>
      </w:r>
      <w:r>
        <w:rPr>
          <w:rStyle w:val="libFootnotenumChar"/>
          <w:rtl/>
        </w:rPr>
        <w:t>(4)</w:t>
      </w:r>
      <w:r w:rsidRPr="00132E65">
        <w:rPr>
          <w:rtl/>
          <w:lang w:bidi="fa-IR"/>
        </w:rPr>
        <w:t xml:space="preserve"> أَمِيرِ الْمُؤْمِنِينَ </w:t>
      </w:r>
      <w:r w:rsidRPr="00071CF9">
        <w:rPr>
          <w:rStyle w:val="libAlaemChar"/>
          <w:rtl/>
        </w:rPr>
        <w:t>عليه‌السلام</w:t>
      </w:r>
      <w:r w:rsidRPr="00132E65">
        <w:rPr>
          <w:rtl/>
          <w:lang w:bidi="fa-IR"/>
        </w:rPr>
        <w:t>.</w:t>
      </w:r>
      <w:r w:rsidRPr="00071CF9">
        <w:rPr>
          <w:rStyle w:val="libAlaemChar"/>
          <w:rtl/>
        </w:rPr>
        <w:t>(</w:t>
      </w:r>
      <w:r w:rsidRPr="00071CF9">
        <w:rPr>
          <w:rStyle w:val="libAieChar"/>
          <w:rtl/>
        </w:rPr>
        <w:t xml:space="preserve"> إِنَّ هذا لَفِي الصُّحُفِ الْأُولى </w:t>
      </w:r>
      <w:r w:rsidR="00634578">
        <w:rPr>
          <w:rStyle w:val="libAieChar"/>
          <w:rFonts w:hint="cs"/>
          <w:rtl/>
        </w:rPr>
        <w:t xml:space="preserve">* </w:t>
      </w:r>
      <w:r w:rsidRPr="00071CF9">
        <w:rPr>
          <w:rStyle w:val="libAieChar"/>
          <w:rtl/>
        </w:rPr>
        <w:t xml:space="preserve">صُحُفِ إِبْراهِيمَ وَمُوسى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E92B28">
        <w:rPr>
          <w:rtl/>
        </w:rPr>
        <w:t>1118</w:t>
      </w:r>
      <w:r w:rsidRPr="004325D8">
        <w:rPr>
          <w:rStyle w:val="libBold2Char"/>
          <w:rtl/>
        </w:rPr>
        <w:t xml:space="preserve"> / 31.</w:t>
      </w:r>
      <w:r w:rsidRPr="00132E65">
        <w:rPr>
          <w:rtl/>
          <w:lang w:bidi="fa-IR"/>
        </w:rPr>
        <w:t xml:space="preserve"> أَحْمَدُ بْنُ إِدْرِيسَ ، عَنْ مُحَمَّدِ بْنِ حَسَّانَ ، عَنْ مُحَمَّدِ بْنِ عَلِيٍّ ، عَنْ عَمَّارِ </w:t>
      </w:r>
      <w:r>
        <w:rPr>
          <w:rStyle w:val="libFootnotenumChar"/>
          <w:rtl/>
        </w:rPr>
        <w:t>(7)</w:t>
      </w:r>
      <w:r w:rsidRPr="00132E65">
        <w:rPr>
          <w:rtl/>
          <w:lang w:bidi="fa-IR"/>
        </w:rPr>
        <w:t xml:space="preserve">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87546F">
      <w:pPr>
        <w:pStyle w:val="libFootnote0"/>
        <w:rPr>
          <w:rtl/>
          <w:lang w:bidi="fa-IR"/>
        </w:rPr>
      </w:pPr>
      <w:r>
        <w:rPr>
          <w:rtl/>
        </w:rPr>
        <w:t>(1).</w:t>
      </w:r>
      <w:r w:rsidRPr="00132E65">
        <w:rPr>
          <w:rtl/>
        </w:rPr>
        <w:t xml:space="preserve"> البقرة </w:t>
      </w:r>
      <w:r w:rsidR="0087546F">
        <w:rPr>
          <w:rtl/>
        </w:rPr>
        <w:t>(2)</w:t>
      </w:r>
      <w:r w:rsidRPr="00132E65">
        <w:rPr>
          <w:rtl/>
        </w:rPr>
        <w:t xml:space="preserve"> : 208. وفي البحار </w:t>
      </w:r>
      <w:r>
        <w:rPr>
          <w:rtl/>
        </w:rPr>
        <w:t xml:space="preserve">: - </w:t>
      </w:r>
      <w:r w:rsidR="0087546F" w:rsidRPr="0087546F">
        <w:rPr>
          <w:rStyle w:val="libFootnoteAlaemChar"/>
          <w:rFonts w:hint="cs"/>
          <w:rtl/>
        </w:rPr>
        <w:t>(</w:t>
      </w:r>
      <w:r w:rsidRPr="0087546F">
        <w:rPr>
          <w:rStyle w:val="libFootnoteAieChar"/>
          <w:rtl/>
        </w:rPr>
        <w:t xml:space="preserve"> وَلا تَتَّبِعُوا خُطُواتِ الشَّيْطانِ إِنَّهُ لَكُمْ عَدُوٌّ مُبِينٌ </w:t>
      </w:r>
      <w:r w:rsidR="0087546F" w:rsidRPr="0087546F">
        <w:rPr>
          <w:rStyle w:val="libFootnoteAlaemChar"/>
          <w:rFonts w:hint="cs"/>
          <w:rtl/>
        </w:rPr>
        <w:t>)</w:t>
      </w:r>
      <w:r>
        <w:rPr>
          <w:rtl/>
        </w:rPr>
        <w:t>.</w:t>
      </w:r>
    </w:p>
    <w:p w:rsidR="000C39D1" w:rsidRPr="00132E65" w:rsidRDefault="000C39D1" w:rsidP="00FB66BE">
      <w:pPr>
        <w:pStyle w:val="libFootnote0"/>
        <w:rPr>
          <w:rtl/>
          <w:lang w:bidi="fa-IR"/>
        </w:rPr>
      </w:pPr>
      <w:r>
        <w:rPr>
          <w:rtl/>
        </w:rPr>
        <w:t>(2).</w:t>
      </w:r>
      <w:r w:rsidRPr="00132E65">
        <w:rPr>
          <w:rtl/>
        </w:rPr>
        <w:t xml:space="preserve"> </w:t>
      </w:r>
      <w:r w:rsidRPr="00E92B28">
        <w:rPr>
          <w:rtl/>
        </w:rPr>
        <w:t>تفسير فرات</w:t>
      </w:r>
      <w:r w:rsidRPr="00132E65">
        <w:rPr>
          <w:rtl/>
        </w:rPr>
        <w:t xml:space="preserve"> ، ص 66 ، ح 36 ، بسند آخر ، عن أبي عبد الله </w:t>
      </w:r>
      <w:r w:rsidRPr="0087546F">
        <w:rPr>
          <w:rStyle w:val="libFootnoteAlaemChar"/>
          <w:rtl/>
        </w:rPr>
        <w:t>عليه‌السلام</w:t>
      </w:r>
      <w:r w:rsidRPr="00132E65">
        <w:rPr>
          <w:rtl/>
        </w:rPr>
        <w:t xml:space="preserve"> ، وفيه : « </w:t>
      </w:r>
      <w:r w:rsidR="0087546F" w:rsidRPr="0087546F">
        <w:rPr>
          <w:rStyle w:val="libFootnoteAlaemChar"/>
          <w:rFonts w:hint="cs"/>
          <w:rtl/>
        </w:rPr>
        <w:t>(</w:t>
      </w:r>
      <w:r w:rsidRPr="0087546F">
        <w:rPr>
          <w:rStyle w:val="libFootnoteAieChar"/>
          <w:rtl/>
        </w:rPr>
        <w:t xml:space="preserve"> ادْخُلُوا فِى السّلْمِ كَآفَّةً </w:t>
      </w:r>
      <w:r w:rsidR="0087546F" w:rsidRPr="0087546F">
        <w:rPr>
          <w:rStyle w:val="libFootnoteAlaemChar"/>
          <w:rFonts w:hint="cs"/>
          <w:rtl/>
        </w:rPr>
        <w:t>)</w:t>
      </w:r>
      <w:r w:rsidRPr="00132E65">
        <w:rPr>
          <w:rtl/>
        </w:rPr>
        <w:t xml:space="preserve"> قال : في ولايتنا » ؛ </w:t>
      </w:r>
      <w:r w:rsidRPr="00E92B28">
        <w:rPr>
          <w:rtl/>
        </w:rPr>
        <w:t>الأمالي</w:t>
      </w:r>
      <w:r w:rsidRPr="00132E65">
        <w:rPr>
          <w:rtl/>
        </w:rPr>
        <w:t xml:space="preserve"> للطوسي ، ص 299 ، المجلس 11 ، ح 38 ، بسند آخر عن أبي عبد الله </w:t>
      </w:r>
      <w:r w:rsidRPr="0087546F">
        <w:rPr>
          <w:rStyle w:val="libFootnoteAlaemChar"/>
          <w:rtl/>
        </w:rPr>
        <w:t>عليه‌السلام</w:t>
      </w:r>
      <w:r w:rsidRPr="00132E65">
        <w:rPr>
          <w:rtl/>
        </w:rPr>
        <w:t xml:space="preserve"> ، وفيه : « </w:t>
      </w:r>
      <w:r w:rsidR="00FB66BE" w:rsidRPr="00FB66BE">
        <w:rPr>
          <w:rStyle w:val="libFootnoteAlaemChar"/>
          <w:rFonts w:hint="cs"/>
          <w:rtl/>
        </w:rPr>
        <w:t>(</w:t>
      </w:r>
      <w:r w:rsidRPr="00FB66BE">
        <w:rPr>
          <w:rStyle w:val="libFootnoteAieChar"/>
          <w:rtl/>
        </w:rPr>
        <w:t xml:space="preserve"> ادْخُلُوا فِى السّلْمِ كَآفَّةً </w:t>
      </w:r>
      <w:r w:rsidR="00FB66BE" w:rsidRPr="00FB66BE">
        <w:rPr>
          <w:rStyle w:val="libFootnoteAlaemChar"/>
          <w:rFonts w:hint="cs"/>
          <w:rtl/>
        </w:rPr>
        <w:t>)</w:t>
      </w:r>
      <w:r w:rsidRPr="00132E65">
        <w:rPr>
          <w:rtl/>
        </w:rPr>
        <w:t xml:space="preserve"> قال : في عليّ بن أبي طالب </w:t>
      </w:r>
      <w:r w:rsidRPr="0087546F">
        <w:rPr>
          <w:rStyle w:val="libFootnoteAlaemChar"/>
          <w:rtl/>
        </w:rPr>
        <w:t>عليه‌السلام</w:t>
      </w:r>
      <w:r w:rsidRPr="00132E65">
        <w:rPr>
          <w:rtl/>
        </w:rPr>
        <w:t xml:space="preserve"> </w:t>
      </w:r>
      <w:r w:rsidR="00FB66BE" w:rsidRPr="00FB66BE">
        <w:rPr>
          <w:rStyle w:val="libFootnoteAlaemChar"/>
          <w:rFonts w:hint="cs"/>
          <w:rtl/>
        </w:rPr>
        <w:t>(</w:t>
      </w:r>
      <w:r w:rsidRPr="00FB66BE">
        <w:rPr>
          <w:rStyle w:val="libFootnoteAieChar"/>
          <w:rtl/>
        </w:rPr>
        <w:t xml:space="preserve"> وَلَاتَتَّبِعُوا خُطُوَ</w:t>
      </w:r>
      <w:r w:rsidR="00FB66BE" w:rsidRPr="00FB66BE">
        <w:rPr>
          <w:rStyle w:val="libFootnoteAieChar"/>
          <w:rFonts w:hint="cs"/>
          <w:rtl/>
        </w:rPr>
        <w:t>ا</w:t>
      </w:r>
      <w:r w:rsidRPr="00FB66BE">
        <w:rPr>
          <w:rStyle w:val="libFootnoteAieChar"/>
          <w:rtl/>
        </w:rPr>
        <w:t xml:space="preserve">تِ الشَّيْطنِ </w:t>
      </w:r>
      <w:r w:rsidR="00FB66BE" w:rsidRPr="00FB66BE">
        <w:rPr>
          <w:rStyle w:val="libFootnoteAlaemChar"/>
          <w:rFonts w:hint="cs"/>
          <w:rtl/>
        </w:rPr>
        <w:t>)</w:t>
      </w:r>
      <w:r w:rsidRPr="00132E65">
        <w:rPr>
          <w:rtl/>
        </w:rPr>
        <w:t xml:space="preserve"> قال : لاتتّبعوا غيره »</w:t>
      </w:r>
      <w:r>
        <w:rPr>
          <w:rtl/>
        </w:rPr>
        <w:t>.</w:t>
      </w:r>
      <w:r w:rsidRPr="00132E65">
        <w:rPr>
          <w:rtl/>
        </w:rPr>
        <w:t xml:space="preserve"> وفي </w:t>
      </w:r>
      <w:r w:rsidRPr="00E92B28">
        <w:rPr>
          <w:rtl/>
        </w:rPr>
        <w:t>تفسير العيّاشي</w:t>
      </w:r>
      <w:r w:rsidRPr="00132E65">
        <w:rPr>
          <w:rtl/>
        </w:rPr>
        <w:t xml:space="preserve"> ، ج 1 ، ص 102 ، ح 297 ، عن أبي بكر الكلبي ، عن جعفر ، عن أبيه </w:t>
      </w:r>
      <w:r w:rsidRPr="0087546F">
        <w:rPr>
          <w:rStyle w:val="libFootnoteAlaemChar"/>
          <w:rtl/>
        </w:rPr>
        <w:t>عليهما‌السلام</w:t>
      </w:r>
      <w:r w:rsidRPr="00132E65">
        <w:rPr>
          <w:rtl/>
        </w:rPr>
        <w:t xml:space="preserve"> ، وفيه : « </w:t>
      </w:r>
      <w:r w:rsidR="00FB66BE" w:rsidRPr="00FB66BE">
        <w:rPr>
          <w:rStyle w:val="libFootnoteAlaemChar"/>
          <w:rFonts w:hint="cs"/>
          <w:rtl/>
        </w:rPr>
        <w:t>(</w:t>
      </w:r>
      <w:r w:rsidRPr="00FB66BE">
        <w:rPr>
          <w:rStyle w:val="libFootnoteAieChar"/>
          <w:rtl/>
        </w:rPr>
        <w:t xml:space="preserve"> ادْخُلُوا فِى السّلْمِ كَآفَّةً </w:t>
      </w:r>
      <w:r w:rsidR="00FB66BE" w:rsidRPr="00FB66BE">
        <w:rPr>
          <w:rStyle w:val="libFootnoteAlaemChar"/>
          <w:rFonts w:hint="cs"/>
          <w:rtl/>
        </w:rPr>
        <w:t>)</w:t>
      </w:r>
      <w:r w:rsidRPr="00132E65">
        <w:rPr>
          <w:rtl/>
        </w:rPr>
        <w:t xml:space="preserve"> هو ولايتنا » ؛ </w:t>
      </w:r>
      <w:r w:rsidRPr="00E92B28">
        <w:rPr>
          <w:rtl/>
        </w:rPr>
        <w:t>وفيه</w:t>
      </w:r>
      <w:r w:rsidRPr="00132E65">
        <w:rPr>
          <w:rtl/>
        </w:rPr>
        <w:t xml:space="preserve"> ؛ ح 294 عن أبي بصير ، عن أبي عبدالله </w:t>
      </w:r>
      <w:r w:rsidRPr="0087546F">
        <w:rPr>
          <w:rStyle w:val="libFootnoteAlaemChar"/>
          <w:rtl/>
        </w:rPr>
        <w:t>عليه‌السلام</w:t>
      </w:r>
      <w:r w:rsidRPr="00132E65">
        <w:rPr>
          <w:rtl/>
        </w:rPr>
        <w:t xml:space="preserve"> ؛ </w:t>
      </w:r>
      <w:r w:rsidRPr="00E92B28">
        <w:rPr>
          <w:rtl/>
        </w:rPr>
        <w:t>وفيه</w:t>
      </w:r>
      <w:r w:rsidRPr="00132E65">
        <w:rPr>
          <w:rtl/>
        </w:rPr>
        <w:t xml:space="preserve"> ، ح 295 ، عن زرارة وحمران ومحمّد بن مسلم ، عن أبي جعفر وأبي عبدالله </w:t>
      </w:r>
      <w:r w:rsidRPr="0087546F">
        <w:rPr>
          <w:rStyle w:val="libFootnoteAlaemChar"/>
          <w:rtl/>
        </w:rPr>
        <w:t>عليهما‌السلام</w:t>
      </w:r>
      <w:r w:rsidRPr="00132E65">
        <w:rPr>
          <w:rtl/>
        </w:rPr>
        <w:t xml:space="preserve"> ؛ </w:t>
      </w:r>
      <w:r w:rsidRPr="00E92B28">
        <w:rPr>
          <w:rtl/>
        </w:rPr>
        <w:t>وفيه</w:t>
      </w:r>
      <w:r w:rsidRPr="00132E65">
        <w:rPr>
          <w:rtl/>
        </w:rPr>
        <w:t xml:space="preserve"> ، ح 296 ، عن جابر ، عن أبي عبدالله </w:t>
      </w:r>
      <w:r w:rsidRPr="0087546F">
        <w:rPr>
          <w:rStyle w:val="libFootnoteAlaemChar"/>
          <w:rtl/>
        </w:rPr>
        <w:t>عليه‌السلام</w:t>
      </w:r>
      <w:r w:rsidRPr="00132E65">
        <w:rPr>
          <w:rtl/>
        </w:rPr>
        <w:t xml:space="preserve"> ، وفي الثلاثة الأخيرة مع زيادة واختلاف. وفي </w:t>
      </w:r>
      <w:r w:rsidRPr="00E92B28">
        <w:rPr>
          <w:rtl/>
        </w:rPr>
        <w:t>تفسير فرات</w:t>
      </w:r>
      <w:r w:rsidRPr="00132E65">
        <w:rPr>
          <w:rtl/>
        </w:rPr>
        <w:t xml:space="preserve"> ، ص 66 ، ح 34 </w:t>
      </w:r>
      <w:r>
        <w:rPr>
          <w:rtl/>
        </w:rPr>
        <w:t>و 3</w:t>
      </w:r>
      <w:r w:rsidRPr="00132E65">
        <w:rPr>
          <w:rtl/>
        </w:rPr>
        <w:t>5 ؛ و</w:t>
      </w:r>
      <w:r w:rsidRPr="00E92B28">
        <w:rPr>
          <w:rtl/>
        </w:rPr>
        <w:t xml:space="preserve">تفسير القمّي </w:t>
      </w:r>
      <w:r w:rsidRPr="00132E65">
        <w:rPr>
          <w:rtl/>
        </w:rPr>
        <w:t xml:space="preserve">، ج 1 ، ص 71 ، من دون الإسناد إلى المعصوم </w:t>
      </w:r>
      <w:r w:rsidRPr="0087546F">
        <w:rPr>
          <w:rStyle w:val="libFootnoteAlaemChar"/>
          <w:rtl/>
        </w:rPr>
        <w:t>عليه‌السلام</w:t>
      </w:r>
      <w:r w:rsidRPr="00132E65">
        <w:rPr>
          <w:rtl/>
        </w:rPr>
        <w:t xml:space="preserve"> هكذا : « </w:t>
      </w:r>
      <w:r w:rsidR="00FB66BE" w:rsidRPr="00FB66BE">
        <w:rPr>
          <w:rStyle w:val="libFootnoteAlaemChar"/>
          <w:rFonts w:hint="cs"/>
          <w:rtl/>
        </w:rPr>
        <w:t>(</w:t>
      </w:r>
      <w:r w:rsidRPr="00FB66BE">
        <w:rPr>
          <w:rStyle w:val="libFootnoteAieChar"/>
          <w:rtl/>
        </w:rPr>
        <w:t xml:space="preserve"> ادْخُلُوا فِى السّلْمِ كَآفَّةً </w:t>
      </w:r>
      <w:r w:rsidR="00FB66BE" w:rsidRPr="00FB66BE">
        <w:rPr>
          <w:rStyle w:val="libFootnoteAlaemChar"/>
          <w:rFonts w:hint="cs"/>
          <w:rtl/>
        </w:rPr>
        <w:t>)</w:t>
      </w:r>
      <w:r w:rsidRPr="00132E65">
        <w:rPr>
          <w:rtl/>
        </w:rPr>
        <w:t xml:space="preserve"> قال : في ولاية عليّ بن أبي طالب </w:t>
      </w:r>
      <w:r w:rsidRPr="0087546F">
        <w:rPr>
          <w:rStyle w:val="libFootnoteAlaemChar"/>
          <w:rtl/>
        </w:rPr>
        <w:t>عليه‌السلام</w:t>
      </w:r>
      <w:r w:rsidRPr="00132E65">
        <w:rPr>
          <w:rtl/>
        </w:rPr>
        <w:t xml:space="preserve"> »</w:t>
      </w:r>
      <w:r w:rsidR="00FB66BE">
        <w:rPr>
          <w:rFonts w:hint="cs"/>
          <w:rtl/>
        </w:rPr>
        <w:t>.</w:t>
      </w:r>
      <w:r w:rsidRPr="009D1ACE">
        <w:rPr>
          <w:rStyle w:val="libFootnoteBoldChar"/>
          <w:rtl/>
        </w:rPr>
        <w:t>الوافي</w:t>
      </w:r>
      <w:r w:rsidRPr="00132E65">
        <w:rPr>
          <w:rtl/>
        </w:rPr>
        <w:t xml:space="preserve"> ، ج 3 ، ص 921 ، ح 1594 ؛ </w:t>
      </w:r>
      <w:r w:rsidRPr="00E92B28">
        <w:rPr>
          <w:rtl/>
        </w:rPr>
        <w:t>البحار</w:t>
      </w:r>
      <w:r w:rsidRPr="00132E65">
        <w:rPr>
          <w:rtl/>
        </w:rPr>
        <w:t xml:space="preserve"> ، ج 24 ، ص 160 ، ح 6.</w:t>
      </w:r>
    </w:p>
    <w:p w:rsidR="000C39D1" w:rsidRPr="00132E65" w:rsidRDefault="000C39D1" w:rsidP="000C39D1">
      <w:pPr>
        <w:pStyle w:val="libFootnote0"/>
        <w:rPr>
          <w:rtl/>
          <w:lang w:bidi="fa-IR"/>
        </w:rPr>
      </w:pPr>
      <w:r>
        <w:rPr>
          <w:rtl/>
        </w:rPr>
        <w:t>(3).</w:t>
      </w:r>
      <w:r w:rsidRPr="00132E65">
        <w:rPr>
          <w:rtl/>
        </w:rPr>
        <w:t xml:space="preserve"> في « ج ، ض ، ف ، بح ، بس ، بف » وحاشية « ج » : « ولاية شَبَويّة »</w:t>
      </w:r>
      <w:r>
        <w:rPr>
          <w:rtl/>
        </w:rPr>
        <w:t>.</w:t>
      </w:r>
      <w:r w:rsidRPr="00132E65">
        <w:rPr>
          <w:rtl/>
        </w:rPr>
        <w:t xml:space="preserve"> منسوبة إلى « شَبْوَة »</w:t>
      </w:r>
      <w:r>
        <w:rPr>
          <w:rtl/>
        </w:rPr>
        <w:t>.</w:t>
      </w:r>
      <w:r w:rsidRPr="00132E65">
        <w:rPr>
          <w:rtl/>
        </w:rPr>
        <w:t xml:space="preserve"> وهي علمٌ للعقرب أوإبرتها ؛ كناية عن الجائر ، وكأنّه شبّه الجائر بالعقرب.</w:t>
      </w:r>
    </w:p>
    <w:tbl>
      <w:tblPr>
        <w:tblStyle w:val="TableGrid"/>
        <w:bidiVisual/>
        <w:tblW w:w="0" w:type="auto"/>
        <w:tblLook w:val="04A0" w:firstRow="1" w:lastRow="0" w:firstColumn="1" w:lastColumn="0" w:noHBand="0" w:noVBand="1"/>
      </w:tblPr>
      <w:tblGrid>
        <w:gridCol w:w="4006"/>
        <w:gridCol w:w="4006"/>
      </w:tblGrid>
      <w:tr w:rsidR="00FB66BE" w:rsidTr="00FB66BE">
        <w:tc>
          <w:tcPr>
            <w:tcW w:w="4006" w:type="dxa"/>
          </w:tcPr>
          <w:p w:rsidR="00FB66BE" w:rsidRDefault="00FB66BE" w:rsidP="000C39D1">
            <w:pPr>
              <w:pStyle w:val="libFootnote0"/>
              <w:rPr>
                <w:rtl/>
              </w:rPr>
            </w:pPr>
            <w:r>
              <w:rPr>
                <w:rtl/>
              </w:rPr>
              <w:t>(4).</w:t>
            </w:r>
            <w:r w:rsidRPr="00132E65">
              <w:rPr>
                <w:rtl/>
              </w:rPr>
              <w:t xml:space="preserve"> في « بف » :</w:t>
            </w:r>
            <w:r>
              <w:rPr>
                <w:rtl/>
              </w:rPr>
              <w:t xml:space="preserve"> + </w:t>
            </w:r>
            <w:r w:rsidRPr="00132E65">
              <w:rPr>
                <w:rtl/>
              </w:rPr>
              <w:t>« عليّ »</w:t>
            </w:r>
            <w:r>
              <w:rPr>
                <w:rtl/>
              </w:rPr>
              <w:t>.</w:t>
            </w:r>
          </w:p>
        </w:tc>
        <w:tc>
          <w:tcPr>
            <w:tcW w:w="4006" w:type="dxa"/>
          </w:tcPr>
          <w:p w:rsidR="00FB66BE" w:rsidRDefault="00FB66BE" w:rsidP="000C39D1">
            <w:pPr>
              <w:pStyle w:val="libFootnote0"/>
              <w:rPr>
                <w:rtl/>
              </w:rPr>
            </w:pPr>
            <w:r>
              <w:rPr>
                <w:rtl/>
              </w:rPr>
              <w:t>(5).</w:t>
            </w:r>
            <w:r w:rsidRPr="00132E65">
              <w:rPr>
                <w:rtl/>
              </w:rPr>
              <w:t xml:space="preserve"> الأعلى (87) : 16</w:t>
            </w:r>
            <w:r>
              <w:rPr>
                <w:rtl/>
              </w:rPr>
              <w:t xml:space="preserve"> - </w:t>
            </w:r>
            <w:r w:rsidRPr="00132E65">
              <w:rPr>
                <w:rtl/>
              </w:rPr>
              <w:t>19.</w:t>
            </w:r>
          </w:p>
        </w:tc>
      </w:tr>
    </w:tbl>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921 ، ح 1595 ؛ </w:t>
      </w:r>
      <w:r w:rsidRPr="00E92B28">
        <w:rPr>
          <w:rtl/>
        </w:rPr>
        <w:t>البحار</w:t>
      </w:r>
      <w:r w:rsidRPr="00132E65">
        <w:rPr>
          <w:rtl/>
        </w:rPr>
        <w:t xml:space="preserve"> ، ج 23 ، ص 374 ، ح 53.</w:t>
      </w:r>
    </w:p>
    <w:p w:rsidR="000C39D1" w:rsidRPr="00132E65" w:rsidRDefault="000C39D1" w:rsidP="000C39D1">
      <w:pPr>
        <w:pStyle w:val="libFootnote0"/>
        <w:rPr>
          <w:rtl/>
          <w:lang w:bidi="fa-IR"/>
        </w:rPr>
      </w:pPr>
      <w:r>
        <w:rPr>
          <w:rtl/>
        </w:rPr>
        <w:t>(7).</w:t>
      </w:r>
      <w:r w:rsidRPr="00132E65">
        <w:rPr>
          <w:rtl/>
        </w:rPr>
        <w:t xml:space="preserve"> في البحار ، ج 24 : « عمّارة »</w:t>
      </w:r>
      <w:r>
        <w:rPr>
          <w:rtl/>
        </w:rPr>
        <w:t>.</w:t>
      </w:r>
      <w:r w:rsidRPr="00132E65">
        <w:rPr>
          <w:rtl/>
        </w:rPr>
        <w:t xml:space="preserve"> وهو سهو.</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مَرْوَانَ ، عَنْ مُنَخَّلٍ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w:t>
      </w:r>
      <w:r>
        <w:rPr>
          <w:rStyle w:val="libFootnotenumChar"/>
          <w:rtl/>
        </w:rPr>
        <w:t>(1)</w:t>
      </w:r>
      <w:r w:rsidRPr="00132E65">
        <w:rPr>
          <w:rtl/>
          <w:lang w:bidi="fa-IR"/>
        </w:rPr>
        <w:t xml:space="preserve"> : « </w:t>
      </w:r>
      <w:r w:rsidRPr="00071CF9">
        <w:rPr>
          <w:rStyle w:val="libAlaemChar"/>
          <w:rtl/>
        </w:rPr>
        <w:t>(</w:t>
      </w:r>
      <w:r w:rsidRPr="00071CF9">
        <w:rPr>
          <w:rStyle w:val="libAieChar"/>
          <w:rtl/>
        </w:rPr>
        <w:t xml:space="preserve"> أَفَكُلَّما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w:t>
      </w:r>
      <w:r w:rsidRPr="00071CF9">
        <w:rPr>
          <w:rStyle w:val="libAlaemChar"/>
          <w:rtl/>
        </w:rPr>
        <w:t>(</w:t>
      </w:r>
      <w:r w:rsidRPr="00071CF9">
        <w:rPr>
          <w:rStyle w:val="libAieChar"/>
          <w:rtl/>
        </w:rPr>
        <w:t xml:space="preserve"> جاءَكُمْ </w:t>
      </w:r>
      <w:r w:rsidRPr="00071CF9">
        <w:rPr>
          <w:rStyle w:val="libAlaemChar"/>
          <w:rtl/>
        </w:rPr>
        <w:t>)</w:t>
      </w:r>
      <w:r w:rsidRPr="00132E65">
        <w:rPr>
          <w:rtl/>
          <w:lang w:bidi="fa-IR"/>
        </w:rPr>
        <w:t xml:space="preserve"> مُحَمَّدٌ</w:t>
      </w:r>
      <w:r>
        <w:rPr>
          <w:rFonts w:hint="cs"/>
          <w:rtl/>
          <w:lang w:bidi="fa-IR"/>
        </w:rPr>
        <w:t xml:space="preserve"> </w:t>
      </w:r>
      <w:r w:rsidRPr="00071CF9">
        <w:rPr>
          <w:rStyle w:val="libAlaemChar"/>
          <w:rtl/>
        </w:rPr>
        <w:t>(</w:t>
      </w:r>
      <w:r w:rsidRPr="00071CF9">
        <w:rPr>
          <w:rStyle w:val="libAieChar"/>
          <w:rtl/>
        </w:rPr>
        <w:t xml:space="preserve"> بِما لا تَهْوى أَنْفُسُكُمُ</w:t>
      </w:r>
      <w:r w:rsidRPr="00071CF9">
        <w:rPr>
          <w:rStyle w:val="libAlaemChar"/>
          <w:rtl/>
        </w:rPr>
        <w:t>)</w:t>
      </w:r>
      <w:r w:rsidRPr="00132E65">
        <w:rPr>
          <w:rtl/>
          <w:lang w:bidi="fa-IR"/>
        </w:rPr>
        <w:t xml:space="preserve"> بِمُوَالَاةِ عَلِيٍّ</w:t>
      </w:r>
      <w:r>
        <w:rPr>
          <w:rFonts w:hint="cs"/>
          <w:rtl/>
          <w:lang w:bidi="fa-IR"/>
        </w:rPr>
        <w:t xml:space="preserve"> </w:t>
      </w:r>
      <w:r w:rsidRPr="00071CF9">
        <w:rPr>
          <w:rStyle w:val="libAlaemChar"/>
          <w:rtl/>
        </w:rPr>
        <w:t>(</w:t>
      </w:r>
      <w:r w:rsidRPr="00071CF9">
        <w:rPr>
          <w:rStyle w:val="libAieChar"/>
          <w:rtl/>
        </w:rPr>
        <w:t xml:space="preserve"> اسْتَكْبَرْتُمْ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sidRPr="00071CF9">
        <w:rPr>
          <w:rStyle w:val="libAlaemChar"/>
          <w:rtl/>
        </w:rPr>
        <w:t>(</w:t>
      </w:r>
      <w:r w:rsidRPr="00071CF9">
        <w:rPr>
          <w:rStyle w:val="libAieChar"/>
          <w:rtl/>
        </w:rPr>
        <w:t xml:space="preserve"> فَفَرِيقاً </w:t>
      </w:r>
      <w:r w:rsidRPr="00071CF9">
        <w:rPr>
          <w:rStyle w:val="libAlaemChar"/>
          <w:rtl/>
        </w:rPr>
        <w:t>)</w:t>
      </w:r>
      <w:r w:rsidRPr="00132E65">
        <w:rPr>
          <w:rtl/>
          <w:lang w:bidi="fa-IR"/>
        </w:rPr>
        <w:t xml:space="preserve"> مِنْ آلِ مُحَمَّدٍ</w:t>
      </w:r>
      <w:r>
        <w:rPr>
          <w:rFonts w:hint="cs"/>
          <w:rtl/>
          <w:lang w:bidi="fa-IR"/>
        </w:rPr>
        <w:t xml:space="preserve"> </w:t>
      </w:r>
      <w:r w:rsidRPr="00071CF9">
        <w:rPr>
          <w:rStyle w:val="libAlaemChar"/>
          <w:rtl/>
        </w:rPr>
        <w:t>(</w:t>
      </w:r>
      <w:r w:rsidRPr="00071CF9">
        <w:rPr>
          <w:rStyle w:val="libAieChar"/>
          <w:rtl/>
        </w:rPr>
        <w:t xml:space="preserve"> كَذَّبْتُمْ وَفَرِيقاً تَقْتُلُونَ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E92B28">
        <w:rPr>
          <w:rtl/>
        </w:rPr>
        <w:t>1119</w:t>
      </w:r>
      <w:r w:rsidRPr="004325D8">
        <w:rPr>
          <w:rStyle w:val="libBold2Char"/>
          <w:rtl/>
        </w:rPr>
        <w:t xml:space="preserve"> / 32.</w:t>
      </w:r>
      <w:r w:rsidRPr="00132E65">
        <w:rPr>
          <w:rtl/>
          <w:lang w:bidi="fa-IR"/>
        </w:rPr>
        <w:t xml:space="preserve"> الْحُسَيْنُ بْنُ مُحَمَّدٍ ، عَنْ مُعَلَّى بْنِ مُحَمَّدٍ ، عَنْ عَبْدِ اللهِ بْنِ إِدْرِيسَ ، عَنْ مُحَمَّدِ بْنِ سِنَانٍ :</w:t>
      </w:r>
    </w:p>
    <w:p w:rsidR="000C39D1" w:rsidRPr="00132E65" w:rsidRDefault="000C39D1" w:rsidP="000C39D1">
      <w:pPr>
        <w:pStyle w:val="libNormal"/>
        <w:rPr>
          <w:rtl/>
          <w:lang w:bidi="fa-IR"/>
        </w:rPr>
      </w:pPr>
      <w:r w:rsidRPr="00132E65">
        <w:rPr>
          <w:rtl/>
          <w:lang w:bidi="fa-IR"/>
        </w:rPr>
        <w:t xml:space="preserve">عَنِ الرِّضَا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كَبُرَ عَلَى الْمُشْرِكِينَ </w:t>
      </w:r>
      <w:r w:rsidRPr="00071CF9">
        <w:rPr>
          <w:rStyle w:val="libAlaemChar"/>
          <w:rtl/>
        </w:rPr>
        <w:t>)</w:t>
      </w:r>
      <w:r w:rsidRPr="00132E65">
        <w:rPr>
          <w:rtl/>
          <w:lang w:bidi="fa-IR"/>
        </w:rPr>
        <w:t xml:space="preserve"> » بِوَلَايَةِ عَلِيٍّ</w:t>
      </w:r>
      <w:r>
        <w:rPr>
          <w:rFonts w:hint="cs"/>
          <w:rtl/>
          <w:lang w:bidi="fa-IR"/>
        </w:rPr>
        <w:t xml:space="preserve"> </w:t>
      </w:r>
      <w:r w:rsidRPr="00071CF9">
        <w:rPr>
          <w:rStyle w:val="libAlaemChar"/>
          <w:rtl/>
        </w:rPr>
        <w:t>(</w:t>
      </w:r>
      <w:r w:rsidRPr="00071CF9">
        <w:rPr>
          <w:rStyle w:val="libAieChar"/>
          <w:rtl/>
        </w:rPr>
        <w:t xml:space="preserve"> ما تَدْعُوهُمْ إِلَيْهِ</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يَا مُحَمَّدُ مِنْ ولَايَةِ عَلِيٍّ ؛ هكَذَا فِي الْكِتَابِ مَخْطُوطَةٌ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E92B28">
        <w:rPr>
          <w:rtl/>
        </w:rPr>
        <w:t>1120</w:t>
      </w:r>
      <w:r w:rsidRPr="004325D8">
        <w:rPr>
          <w:rStyle w:val="libBold2Char"/>
          <w:rtl/>
        </w:rPr>
        <w:t xml:space="preserve"> / 33.</w:t>
      </w:r>
      <w:r w:rsidRPr="00132E65">
        <w:rPr>
          <w:rtl/>
          <w:lang w:bidi="fa-IR"/>
        </w:rPr>
        <w:t xml:space="preserve"> الْحُسَيْنُ بْنُ مُحَمَّدٍ ، عَنْ مُعَلَّى بْنِ مُحَمَّدٍ ، عَنْ أَحْمَدَ بْنِ مُحَمَّدٍ ، عَنِ ابْنِ هِلَالٍ ، عَنْ أَبِيهِ </w:t>
      </w:r>
      <w:r>
        <w:rPr>
          <w:rStyle w:val="libFootnotenumChar"/>
          <w:rtl/>
        </w:rPr>
        <w:t>(9)</w:t>
      </w:r>
      <w:r w:rsidRPr="00132E65">
        <w:rPr>
          <w:rtl/>
          <w:lang w:bidi="fa-IR"/>
        </w:rPr>
        <w:t xml:space="preserve"> ، عَنْ أَبِي السَّفَاتِجِ ، عَنْ أَبِي بَصِيرٍ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677A9" w:rsidTr="002677A9">
        <w:tc>
          <w:tcPr>
            <w:tcW w:w="4006" w:type="dxa"/>
          </w:tcPr>
          <w:p w:rsidR="002677A9" w:rsidRDefault="002677A9" w:rsidP="000C39D1">
            <w:pPr>
              <w:pStyle w:val="libFootnote0"/>
              <w:rPr>
                <w:rtl/>
              </w:rPr>
            </w:pPr>
            <w:r>
              <w:rPr>
                <w:rtl/>
              </w:rPr>
              <w:t>(1).</w:t>
            </w:r>
            <w:r w:rsidRPr="00132E65">
              <w:rPr>
                <w:rtl/>
              </w:rPr>
              <w:t xml:space="preserve"> في البحار ، ج 24 :</w:t>
            </w:r>
            <w:r>
              <w:rPr>
                <w:rtl/>
              </w:rPr>
              <w:t xml:space="preserve"> + </w:t>
            </w:r>
            <w:r w:rsidRPr="00132E65">
              <w:rPr>
                <w:rtl/>
              </w:rPr>
              <w:t>« أمّا قوله »</w:t>
            </w:r>
            <w:r>
              <w:rPr>
                <w:rtl/>
              </w:rPr>
              <w:t>.</w:t>
            </w:r>
          </w:p>
        </w:tc>
        <w:tc>
          <w:tcPr>
            <w:tcW w:w="4006" w:type="dxa"/>
          </w:tcPr>
          <w:p w:rsidR="002677A9" w:rsidRDefault="002677A9"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والبحار ، ج 23 </w:t>
            </w:r>
            <w:r>
              <w:rPr>
                <w:rtl/>
              </w:rPr>
              <w:t>: - « أ</w:t>
            </w:r>
            <w:r w:rsidRPr="00132E65">
              <w:rPr>
                <w:rtl/>
              </w:rPr>
              <w:t>فكلّما »</w:t>
            </w:r>
            <w:r>
              <w:rPr>
                <w:rtl/>
              </w:rPr>
              <w:t>.</w:t>
            </w:r>
          </w:p>
        </w:tc>
      </w:tr>
    </w:tbl>
    <w:p w:rsidR="000C39D1" w:rsidRPr="00132E65" w:rsidRDefault="000C39D1" w:rsidP="000C39D1">
      <w:pPr>
        <w:pStyle w:val="libFootnote0"/>
        <w:rPr>
          <w:rtl/>
          <w:lang w:bidi="fa-IR"/>
        </w:rPr>
      </w:pPr>
      <w:r>
        <w:rPr>
          <w:rtl/>
        </w:rPr>
        <w:t>(3).</w:t>
      </w:r>
      <w:r w:rsidRPr="00132E65">
        <w:rPr>
          <w:rtl/>
        </w:rPr>
        <w:t xml:space="preserve"> هكذا في القرآن والبحار ، ج 24. وفي سائر النسخ والمطبوع : « فاستكبرتم »</w:t>
      </w:r>
      <w:r>
        <w:rPr>
          <w:rtl/>
        </w:rPr>
        <w:t>.</w:t>
      </w:r>
    </w:p>
    <w:p w:rsidR="000C39D1" w:rsidRPr="00132E65" w:rsidRDefault="000C39D1" w:rsidP="008476E5">
      <w:pPr>
        <w:pStyle w:val="libFootnote0"/>
        <w:rPr>
          <w:rtl/>
          <w:lang w:bidi="fa-IR"/>
        </w:rPr>
      </w:pPr>
      <w:r>
        <w:rPr>
          <w:rtl/>
        </w:rPr>
        <w:t>(4).</w:t>
      </w:r>
      <w:r w:rsidRPr="00132E65">
        <w:rPr>
          <w:rtl/>
        </w:rPr>
        <w:t xml:space="preserve"> البقرة </w:t>
      </w:r>
      <w:r w:rsidR="008476E5">
        <w:rPr>
          <w:rtl/>
        </w:rPr>
        <w:t>(2)</w:t>
      </w:r>
      <w:r w:rsidRPr="00132E65">
        <w:rPr>
          <w:rtl/>
        </w:rPr>
        <w:t xml:space="preserve"> : 87 ، وفيه هكذا : </w:t>
      </w:r>
      <w:r w:rsidR="008476E5" w:rsidRPr="008476E5">
        <w:rPr>
          <w:rStyle w:val="libFootnoteAlaemChar"/>
          <w:rFonts w:hint="cs"/>
          <w:rtl/>
        </w:rPr>
        <w:t>(</w:t>
      </w:r>
      <w:r w:rsidRPr="008476E5">
        <w:rPr>
          <w:rStyle w:val="libFootnoteAieChar"/>
          <w:rtl/>
        </w:rPr>
        <w:t xml:space="preserve"> أَفَكُلَّمَا جَآءَكُمْ رَسُولُ بِمَا لَاتَهْوَى أَنفُسُكُمُ ... </w:t>
      </w:r>
      <w:r w:rsidR="008476E5" w:rsidRPr="008476E5">
        <w:rPr>
          <w:rStyle w:val="libFootnoteAlaemChar"/>
          <w:rFonts w:hint="cs"/>
          <w:rtl/>
        </w:rPr>
        <w:t>)</w:t>
      </w:r>
      <w:r>
        <w:rPr>
          <w:rtl/>
        </w:rPr>
        <w:t>.</w:t>
      </w:r>
    </w:p>
    <w:p w:rsidR="000C39D1" w:rsidRPr="00132E65" w:rsidRDefault="000C39D1" w:rsidP="008476E5">
      <w:pPr>
        <w:pStyle w:val="libFootnote0"/>
        <w:rPr>
          <w:rtl/>
          <w:lang w:bidi="fa-IR"/>
        </w:rPr>
      </w:pPr>
      <w:r>
        <w:rPr>
          <w:rtl/>
        </w:rPr>
        <w:t>(5).</w:t>
      </w:r>
      <w:r w:rsidRPr="00132E65">
        <w:rPr>
          <w:rtl/>
        </w:rPr>
        <w:t xml:space="preserve"> </w:t>
      </w:r>
      <w:r w:rsidRPr="00E92B28">
        <w:rPr>
          <w:rtl/>
        </w:rPr>
        <w:t>تفسير العيّاشي</w:t>
      </w:r>
      <w:r w:rsidRPr="00132E65">
        <w:rPr>
          <w:rtl/>
        </w:rPr>
        <w:t xml:space="preserve"> ، ج 1 ، ص 49 ، ح 68 ، عن جابر ، مع زيادة في أوّله واختلاف يسير</w:t>
      </w:r>
      <w:r w:rsidR="008476E5">
        <w:rPr>
          <w:rFonts w:hint="cs"/>
          <w:rtl/>
        </w:rPr>
        <w:t>.</w:t>
      </w:r>
      <w:r w:rsidRPr="009D1ACE">
        <w:rPr>
          <w:rStyle w:val="libFootnoteBoldChar"/>
          <w:rtl/>
        </w:rPr>
        <w:t>الوافي</w:t>
      </w:r>
      <w:r w:rsidRPr="00132E65">
        <w:rPr>
          <w:rtl/>
        </w:rPr>
        <w:t xml:space="preserve"> ، ج 3 ، ص 922 ، ح 1596 ؛ </w:t>
      </w:r>
      <w:r w:rsidRPr="00E92B28">
        <w:rPr>
          <w:rtl/>
        </w:rPr>
        <w:t>البحار</w:t>
      </w:r>
      <w:r w:rsidRPr="00132E65">
        <w:rPr>
          <w:rtl/>
        </w:rPr>
        <w:t xml:space="preserve"> ، ج 23 ، ص 374 ، ح 54 ؛ وج 24 ، ص 307 ، ح 7.</w:t>
      </w:r>
    </w:p>
    <w:p w:rsidR="000C39D1" w:rsidRPr="00132E65" w:rsidRDefault="000C39D1" w:rsidP="000C39D1">
      <w:pPr>
        <w:pStyle w:val="libFootnote0"/>
        <w:rPr>
          <w:rtl/>
          <w:lang w:bidi="fa-IR"/>
        </w:rPr>
      </w:pPr>
      <w:r>
        <w:rPr>
          <w:rtl/>
        </w:rPr>
        <w:t>(6).</w:t>
      </w:r>
      <w:r w:rsidRPr="00132E65">
        <w:rPr>
          <w:rtl/>
        </w:rPr>
        <w:t xml:space="preserve"> الشورى (42) : 13.</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كأنّها مخطوطة في الحواشي من قبيل القيود والشروح »</w:t>
      </w:r>
      <w:r>
        <w:rPr>
          <w:rtl/>
        </w:rPr>
        <w:t>.</w:t>
      </w:r>
      <w:r w:rsidRPr="00132E65">
        <w:rPr>
          <w:rtl/>
        </w:rPr>
        <w:t xml:space="preserve"> وفي « حاشية « ب ، ض » : « محفوظة »</w:t>
      </w:r>
      <w:r>
        <w:rPr>
          <w:rtl/>
        </w:rPr>
        <w:t>.</w:t>
      </w:r>
      <w:r w:rsidRPr="00132E65">
        <w:rPr>
          <w:rtl/>
        </w:rPr>
        <w:t xml:space="preserve"> وفي حاشية « بح » : « في كتاب محفوظ »</w:t>
      </w:r>
      <w:r>
        <w:rPr>
          <w:rtl/>
        </w:rPr>
        <w:t>.</w:t>
      </w:r>
    </w:p>
    <w:p w:rsidR="000C39D1" w:rsidRPr="00132E65" w:rsidRDefault="000C39D1" w:rsidP="00387B19">
      <w:pPr>
        <w:pStyle w:val="libFootnote0"/>
        <w:rPr>
          <w:rtl/>
          <w:lang w:bidi="fa-IR"/>
        </w:rPr>
      </w:pPr>
      <w:r>
        <w:rPr>
          <w:rtl/>
        </w:rPr>
        <w:t>(8).</w:t>
      </w:r>
      <w:r w:rsidRPr="00132E65">
        <w:rPr>
          <w:rtl/>
        </w:rPr>
        <w:t xml:space="preserve"> </w:t>
      </w:r>
      <w:r w:rsidRPr="000577A7">
        <w:rPr>
          <w:rStyle w:val="libFootnoteBoldChar"/>
          <w:rtl/>
        </w:rPr>
        <w:t>الكافي</w:t>
      </w:r>
      <w:r w:rsidRPr="00132E65">
        <w:rPr>
          <w:rtl/>
        </w:rPr>
        <w:t xml:space="preserve"> ، كتاب الحجّة ، باب أنّ الأئمّة ورثوا علم النبيّ و</w:t>
      </w:r>
      <w:r>
        <w:rPr>
          <w:rtl/>
        </w:rPr>
        <w:t xml:space="preserve"> ..</w:t>
      </w:r>
      <w:r w:rsidRPr="00132E65">
        <w:rPr>
          <w:rtl/>
        </w:rPr>
        <w:t>. ، ح 601 ؛ و</w:t>
      </w:r>
      <w:r w:rsidRPr="007A1104">
        <w:rPr>
          <w:rStyle w:val="libFootnoteBoldChar"/>
          <w:rtl/>
        </w:rPr>
        <w:t>بصائر الدرجات</w:t>
      </w:r>
      <w:r w:rsidRPr="00E92B28">
        <w:rPr>
          <w:rtl/>
        </w:rPr>
        <w:t xml:space="preserve"> </w:t>
      </w:r>
      <w:r w:rsidRPr="00132E65">
        <w:rPr>
          <w:rtl/>
        </w:rPr>
        <w:t>، ص 119 ، ح 3 ؛ و</w:t>
      </w:r>
      <w:r w:rsidRPr="00E92B28">
        <w:rPr>
          <w:rtl/>
        </w:rPr>
        <w:t>تفسير القمّي</w:t>
      </w:r>
      <w:r w:rsidRPr="00132E65">
        <w:rPr>
          <w:rtl/>
        </w:rPr>
        <w:t xml:space="preserve"> ، ج 2 ، ص 105 ، بسند آخر مع زيادة في أوّله وآخره. وفي </w:t>
      </w:r>
      <w:r w:rsidRPr="007A1104">
        <w:rPr>
          <w:rStyle w:val="libFootnoteBoldChar"/>
          <w:rtl/>
        </w:rPr>
        <w:t>بصائر الدرجات</w:t>
      </w:r>
      <w:r w:rsidRPr="00132E65">
        <w:rPr>
          <w:rtl/>
        </w:rPr>
        <w:t xml:space="preserve"> ، ص 118 ، ح 1 ؛ و</w:t>
      </w:r>
      <w:r w:rsidRPr="00E92B28">
        <w:rPr>
          <w:rtl/>
        </w:rPr>
        <w:t>تفسير فرات</w:t>
      </w:r>
      <w:r w:rsidRPr="00132E65">
        <w:rPr>
          <w:rtl/>
        </w:rPr>
        <w:t xml:space="preserve"> ، ص 283 ، ذيل ح 384 ، بسند آخر عن الرضا ، عن عليّ بن الحسين </w:t>
      </w:r>
      <w:r w:rsidRPr="00E66BB3">
        <w:rPr>
          <w:rStyle w:val="libFootnoteAlaemChar"/>
          <w:rtl/>
        </w:rPr>
        <w:t>عليهم‌السلام</w:t>
      </w:r>
      <w:r w:rsidRPr="00132E65">
        <w:rPr>
          <w:rtl/>
        </w:rPr>
        <w:t xml:space="preserve"> مع زيادة في أوّله ؛ </w:t>
      </w:r>
      <w:r w:rsidRPr="007A1104">
        <w:rPr>
          <w:rStyle w:val="libFootnoteBoldChar"/>
          <w:rtl/>
        </w:rPr>
        <w:t>بصائر الدرجات</w:t>
      </w:r>
      <w:r w:rsidRPr="00132E65">
        <w:rPr>
          <w:rtl/>
        </w:rPr>
        <w:t xml:space="preserve"> ، ص 120 ، ح 4 ، بسند آخر عن عليّ بن الحسين </w:t>
      </w:r>
      <w:r w:rsidRPr="00E66BB3">
        <w:rPr>
          <w:rStyle w:val="libFootnoteAlaemChar"/>
          <w:rtl/>
        </w:rPr>
        <w:t>عليه‌السلام</w:t>
      </w:r>
      <w:r w:rsidRPr="00132E65">
        <w:rPr>
          <w:rtl/>
        </w:rPr>
        <w:t xml:space="preserve"> ، مع زيادة في أوّله وآخره</w:t>
      </w:r>
      <w:r w:rsidR="00387B19">
        <w:rPr>
          <w:rFonts w:hint="cs"/>
          <w:rtl/>
        </w:rPr>
        <w:t>.</w:t>
      </w:r>
      <w:r w:rsidRPr="009D1ACE">
        <w:rPr>
          <w:rStyle w:val="libFootnoteBoldChar"/>
          <w:rtl/>
        </w:rPr>
        <w:t>الوافي</w:t>
      </w:r>
      <w:r w:rsidRPr="00132E65">
        <w:rPr>
          <w:rtl/>
        </w:rPr>
        <w:t xml:space="preserve"> ، ج 3 ، ص 922 ، ح 1597 ؛ </w:t>
      </w:r>
      <w:r w:rsidRPr="00E92B28">
        <w:rPr>
          <w:rtl/>
        </w:rPr>
        <w:t>البحار</w:t>
      </w:r>
      <w:r w:rsidRPr="00132E65">
        <w:rPr>
          <w:rtl/>
        </w:rPr>
        <w:t xml:space="preserve"> ، ج 23 ، ص 374 ، ح 55.</w:t>
      </w:r>
    </w:p>
    <w:p w:rsidR="000C39D1" w:rsidRPr="00132E65" w:rsidRDefault="000C39D1" w:rsidP="000C39D1">
      <w:pPr>
        <w:pStyle w:val="libFootnote0"/>
        <w:rPr>
          <w:rtl/>
          <w:lang w:bidi="fa-IR"/>
        </w:rPr>
      </w:pPr>
      <w:r>
        <w:rPr>
          <w:rtl/>
        </w:rPr>
        <w:t>(9).</w:t>
      </w:r>
      <w:r w:rsidRPr="00132E65">
        <w:rPr>
          <w:rtl/>
        </w:rPr>
        <w:t xml:space="preserve"> تقدّمت في </w:t>
      </w:r>
      <w:r w:rsidRPr="000577A7">
        <w:rPr>
          <w:rStyle w:val="libFootnoteBoldChar"/>
          <w:rtl/>
        </w:rPr>
        <w:t>الكافي</w:t>
      </w:r>
      <w:r w:rsidRPr="00132E65">
        <w:rPr>
          <w:rtl/>
        </w:rPr>
        <w:t xml:space="preserve"> ، ح 537 ، رواية الحسين بن محمّد عن معلّى بن محمّد عن أحمد بن محمّد بن عبد الله عن أحمد بن هلال عن ا</w:t>
      </w:r>
      <w:r w:rsidR="00387B19">
        <w:rPr>
          <w:rFonts w:hint="cs"/>
          <w:rtl/>
        </w:rPr>
        <w:t>ُ</w:t>
      </w:r>
      <w:r w:rsidRPr="00132E65">
        <w:rPr>
          <w:rtl/>
        </w:rPr>
        <w:t>ميّة بن عليّ ، فلا يبعد اتّحاد السند مع ما نحن فيه وكون « أبيه » مصحّفاً من « ا</w:t>
      </w:r>
      <w:r w:rsidR="00387B19">
        <w:rPr>
          <w:rFonts w:hint="cs"/>
          <w:rtl/>
        </w:rPr>
        <w:t>ُ</w:t>
      </w:r>
      <w:r w:rsidRPr="00132E65">
        <w:rPr>
          <w:rtl/>
        </w:rPr>
        <w:t>ميّة »</w:t>
      </w:r>
      <w:r>
        <w:rPr>
          <w:rtl/>
        </w:rPr>
        <w:t>.</w:t>
      </w:r>
    </w:p>
    <w:p w:rsidR="000C39D1" w:rsidRPr="00267A8C" w:rsidRDefault="00387B19" w:rsidP="00387B19">
      <w:pPr>
        <w:pStyle w:val="libFootnote0"/>
        <w:rPr>
          <w:rtl/>
        </w:rPr>
      </w:pPr>
      <w:r>
        <w:rPr>
          <w:rtl/>
        </w:rPr>
        <w:t>نبّه على ذلك العل</w:t>
      </w:r>
      <w:r>
        <w:rPr>
          <w:rFonts w:hint="cs"/>
          <w:rtl/>
        </w:rPr>
        <w:t>ّ</w:t>
      </w:r>
      <w:r>
        <w:rPr>
          <w:rtl/>
        </w:rPr>
        <w:t>ا</w:t>
      </w:r>
      <w:r w:rsidR="000C39D1" w:rsidRPr="00267A8C">
        <w:rPr>
          <w:rtl/>
        </w:rPr>
        <w:t xml:space="preserve">مة الخبير السيّد موسى الشبيري </w:t>
      </w:r>
      <w:r w:rsidR="000C39D1">
        <w:rPr>
          <w:rtl/>
        </w:rPr>
        <w:t>-</w:t>
      </w:r>
      <w:r w:rsidR="000C39D1" w:rsidRPr="00267A8C">
        <w:rPr>
          <w:rtl/>
        </w:rPr>
        <w:t xml:space="preserve"> دام ظلّه </w:t>
      </w:r>
      <w:r w:rsidR="000C39D1">
        <w:rPr>
          <w:rtl/>
        </w:rPr>
        <w:t>-</w:t>
      </w:r>
      <w:r w:rsidR="000C39D1" w:rsidRPr="00267A8C">
        <w:rPr>
          <w:rtl/>
        </w:rPr>
        <w:t xml:space="preserve"> في تعليقته على السند.</w:t>
      </w:r>
      <w:r>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جَلَّ وعَزَّ : </w:t>
      </w:r>
      <w:r w:rsidRPr="00071CF9">
        <w:rPr>
          <w:rStyle w:val="libAlaemChar"/>
          <w:rtl/>
        </w:rPr>
        <w:t>(</w:t>
      </w:r>
      <w:r w:rsidRPr="00071CF9">
        <w:rPr>
          <w:rStyle w:val="libAieChar"/>
          <w:rtl/>
        </w:rPr>
        <w:t xml:space="preserve"> الْحَمْدُ لِلّهِ الَّذِي هَدانا لِهذا وَما كُنّا لِنَهْتَدِيَ لَوْ لا أَنْ هَدانَا اللهُ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فَقَالَ </w:t>
      </w:r>
      <w:r>
        <w:rPr>
          <w:rStyle w:val="libFootnotenumChar"/>
          <w:rtl/>
        </w:rPr>
        <w:t>(2)</w:t>
      </w:r>
      <w:r w:rsidRPr="00132E65">
        <w:rPr>
          <w:rtl/>
          <w:lang w:bidi="fa-IR"/>
        </w:rPr>
        <w:t xml:space="preserve"> : « إِذَا كَانَ يَوْمُ الْقِيَامَةِ ، دُعِيَ بِالنَّبِيِّ </w:t>
      </w:r>
      <w:r w:rsidRPr="0093484F">
        <w:rPr>
          <w:rStyle w:val="libAlaemChar"/>
          <w:rFonts w:eastAsiaTheme="minorHAnsi"/>
          <w:rtl/>
        </w:rPr>
        <w:t>صلى‌الله‌عليه‌وآله</w:t>
      </w:r>
      <w:r w:rsidRPr="00132E65">
        <w:rPr>
          <w:rtl/>
          <w:lang w:bidi="fa-IR"/>
        </w:rPr>
        <w:t xml:space="preserve"> وبِأَمِيرِ الْمُؤْمِنِينَ وَبِالْأَئِمَّةِ مِنْ ولْدِهِ </w:t>
      </w:r>
      <w:r w:rsidRPr="00071CF9">
        <w:rPr>
          <w:rStyle w:val="libAlaemChar"/>
          <w:rtl/>
        </w:rPr>
        <w:t>عليهم‌السلام</w:t>
      </w:r>
      <w:r w:rsidRPr="00132E65">
        <w:rPr>
          <w:rtl/>
          <w:lang w:bidi="fa-IR"/>
        </w:rPr>
        <w:t xml:space="preserve"> ، فَيُنْصَبُونَ </w:t>
      </w:r>
      <w:r>
        <w:rPr>
          <w:rStyle w:val="libFootnotenumChar"/>
          <w:rtl/>
        </w:rPr>
        <w:t>(3)</w:t>
      </w:r>
      <w:r w:rsidRPr="00132E65">
        <w:rPr>
          <w:rtl/>
          <w:lang w:bidi="fa-IR"/>
        </w:rPr>
        <w:t xml:space="preserve"> لِلنَّاسِ ، فَإِذَا رَأَتْهُمْ شِيعَتُهُمْ قَالُوا : </w:t>
      </w:r>
      <w:r w:rsidRPr="00071CF9">
        <w:rPr>
          <w:rStyle w:val="libAlaemChar"/>
          <w:rtl/>
        </w:rPr>
        <w:t>(</w:t>
      </w:r>
      <w:r w:rsidRPr="00071CF9">
        <w:rPr>
          <w:rStyle w:val="libAieChar"/>
          <w:rtl/>
        </w:rPr>
        <w:t xml:space="preserve"> الْحَمْدُ لِلّهِ الَّذِي هَد</w:t>
      </w:r>
      <w:r w:rsidR="00E66BB3">
        <w:rPr>
          <w:rStyle w:val="libAieChar"/>
          <w:rFonts w:hint="cs"/>
          <w:rtl/>
        </w:rPr>
        <w:t>َ</w:t>
      </w:r>
      <w:r w:rsidRPr="00071CF9">
        <w:rPr>
          <w:rStyle w:val="libAieChar"/>
          <w:rtl/>
        </w:rPr>
        <w:t>ان</w:t>
      </w:r>
      <w:r w:rsidR="00E66BB3">
        <w:rPr>
          <w:rStyle w:val="libAieChar"/>
          <w:rFonts w:hint="cs"/>
          <w:rtl/>
        </w:rPr>
        <w:t>َ</w:t>
      </w:r>
      <w:r w:rsidRPr="00071CF9">
        <w:rPr>
          <w:rStyle w:val="libAieChar"/>
          <w:rtl/>
        </w:rPr>
        <w:t>ا لِهذ</w:t>
      </w:r>
      <w:r w:rsidR="00E66BB3">
        <w:rPr>
          <w:rStyle w:val="libAieChar"/>
          <w:rFonts w:hint="cs"/>
          <w:rtl/>
        </w:rPr>
        <w:t>َ</w:t>
      </w:r>
      <w:r w:rsidRPr="00071CF9">
        <w:rPr>
          <w:rStyle w:val="libAieChar"/>
          <w:rtl/>
        </w:rPr>
        <w:t>ا وَم</w:t>
      </w:r>
      <w:r w:rsidR="00E66BB3">
        <w:rPr>
          <w:rStyle w:val="libAieChar"/>
          <w:rFonts w:hint="cs"/>
          <w:rtl/>
        </w:rPr>
        <w:t>َ</w:t>
      </w:r>
      <w:r w:rsidRPr="00071CF9">
        <w:rPr>
          <w:rStyle w:val="libAieChar"/>
          <w:rtl/>
        </w:rPr>
        <w:t>ا كُنّا لِنَهْتَدِيَ لَوْ ل</w:t>
      </w:r>
      <w:r w:rsidR="00E66BB3">
        <w:rPr>
          <w:rStyle w:val="libAieChar"/>
          <w:rFonts w:hint="cs"/>
          <w:rtl/>
        </w:rPr>
        <w:t>َ</w:t>
      </w:r>
      <w:r w:rsidRPr="00071CF9">
        <w:rPr>
          <w:rStyle w:val="libAieChar"/>
          <w:rtl/>
        </w:rPr>
        <w:t>ا أَنْ هَد</w:t>
      </w:r>
      <w:r w:rsidR="00E66BB3">
        <w:rPr>
          <w:rStyle w:val="libAieChar"/>
          <w:rFonts w:hint="cs"/>
          <w:rtl/>
        </w:rPr>
        <w:t>َ</w:t>
      </w:r>
      <w:r w:rsidRPr="00071CF9">
        <w:rPr>
          <w:rStyle w:val="libAieChar"/>
          <w:rtl/>
        </w:rPr>
        <w:t xml:space="preserve">انَا اللهُ </w:t>
      </w:r>
      <w:r w:rsidRPr="00071CF9">
        <w:rPr>
          <w:rStyle w:val="libAlaemChar"/>
          <w:rtl/>
        </w:rPr>
        <w:t>)</w:t>
      </w:r>
      <w:r w:rsidRPr="00132E65">
        <w:rPr>
          <w:rtl/>
          <w:lang w:bidi="fa-IR"/>
        </w:rPr>
        <w:t xml:space="preserve"> يَعْنِي هَدَانَا اللهُ فِي ولَايَةِ أَمِيرِ الْمُؤْمِنِينَ وَالْأَئِمَّةِ مِنْ ولْدِهِ </w:t>
      </w:r>
      <w:r w:rsidRPr="00071CF9">
        <w:rPr>
          <w:rStyle w:val="libAlaemChar"/>
          <w:rtl/>
        </w:rPr>
        <w:t>عليهم‌السلام</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E92B28">
        <w:rPr>
          <w:rtl/>
        </w:rPr>
        <w:t>1121</w:t>
      </w:r>
      <w:r w:rsidRPr="004325D8">
        <w:rPr>
          <w:rStyle w:val="libBold2Char"/>
          <w:rtl/>
        </w:rPr>
        <w:t xml:space="preserve"> / 34.</w:t>
      </w:r>
      <w:r w:rsidRPr="00132E65">
        <w:rPr>
          <w:rtl/>
          <w:lang w:bidi="fa-IR"/>
        </w:rPr>
        <w:t xml:space="preserve"> الْحُسَيْنُ بْنُ مُحَمَّدٍ ، عَنْ مُعَلَّى بْنِ مُحَمَّدٍ ، عَنْ مُحَمَّدِ بْنِ أُورَمَةَ ومُحَمَّدِ بْنِ عَبْدِ اللهِ ، عَنْ عَلِيِّ بْنِ حَسَّانَ ، عَنْ عَبْدِ الرَّحْمنِ </w:t>
      </w:r>
      <w:r>
        <w:rPr>
          <w:rStyle w:val="libFootnotenumChar"/>
          <w:rtl/>
        </w:rPr>
        <w:t>(6)</w:t>
      </w:r>
      <w:r w:rsidRPr="00132E65">
        <w:rPr>
          <w:rtl/>
          <w:lang w:bidi="fa-IR"/>
        </w:rPr>
        <w:t xml:space="preserve"> بْنِ كَثِيرٍ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عَمَّ يَتَساءَلُونَ </w:t>
      </w:r>
      <w:r w:rsidR="00E66BB3">
        <w:rPr>
          <w:rStyle w:val="libAieChar"/>
          <w:rFonts w:hint="cs"/>
          <w:rtl/>
        </w:rPr>
        <w:t xml:space="preserve">* </w:t>
      </w:r>
      <w:r w:rsidRPr="00071CF9">
        <w:rPr>
          <w:rStyle w:val="libAieChar"/>
          <w:rtl/>
        </w:rPr>
        <w:t xml:space="preserve">عَنِ النَّبَإِ الْعَظِيمِ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قَالَ : « النَّبَأُ الْعَظِيمُ : الْوَلَايَةُ »</w:t>
      </w:r>
      <w:r>
        <w:rPr>
          <w:rtl/>
          <w:lang w:bidi="fa-IR"/>
        </w:rPr>
        <w:t>.</w:t>
      </w:r>
      <w:r w:rsidRPr="00132E65">
        <w:rPr>
          <w:rtl/>
          <w:lang w:bidi="fa-IR"/>
        </w:rPr>
        <w:t xml:space="preserve"> </w:t>
      </w:r>
      <w:r>
        <w:rPr>
          <w:rStyle w:val="libFootnotenumChar"/>
          <w:rtl/>
        </w:rPr>
        <w:t>(8)</w:t>
      </w:r>
      <w:r w:rsidRPr="00132E65">
        <w:rPr>
          <w:rtl/>
          <w:lang w:bidi="fa-IR"/>
        </w:rPr>
        <w:t xml:space="preserve"> وسَأَلْتُهُ عَنْ قَوْلِهِ : </w:t>
      </w:r>
      <w:r w:rsidRPr="00071CF9">
        <w:rPr>
          <w:rStyle w:val="libAlaemChar"/>
          <w:rtl/>
        </w:rPr>
        <w:t>(</w:t>
      </w:r>
      <w:r w:rsidRPr="00071CF9">
        <w:rPr>
          <w:rStyle w:val="libAieChar"/>
          <w:rtl/>
        </w:rPr>
        <w:t xml:space="preserve"> هُنالِكَ الْوَلايَةُ لِلّهِ الْحَقِّ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قَالَ : « وَلَايَةُ‌</w:t>
      </w:r>
    </w:p>
    <w:p w:rsidR="000C39D1" w:rsidRPr="00132E65" w:rsidRDefault="000C39D1" w:rsidP="000C39D1">
      <w:pPr>
        <w:pStyle w:val="libLine"/>
        <w:rPr>
          <w:rtl/>
          <w:lang w:bidi="fa-IR"/>
        </w:rPr>
      </w:pPr>
      <w:r w:rsidRPr="00132E65">
        <w:rPr>
          <w:rtl/>
          <w:lang w:bidi="fa-IR"/>
        </w:rPr>
        <w:t>__________________</w:t>
      </w:r>
    </w:p>
    <w:p w:rsidR="000C39D1" w:rsidRPr="00267A8C" w:rsidRDefault="00E66BB3" w:rsidP="000C39D1">
      <w:pPr>
        <w:pStyle w:val="libFootnote0"/>
        <w:rPr>
          <w:rtl/>
        </w:rPr>
      </w:pPr>
      <w:r>
        <w:rPr>
          <w:rFonts w:hint="cs"/>
          <w:rtl/>
        </w:rPr>
        <w:t xml:space="preserve">= </w:t>
      </w:r>
      <w:r w:rsidR="003E391C">
        <w:rPr>
          <w:rtl/>
        </w:rPr>
        <w:t>ثمّ إنّ الخبر أورده العل</w:t>
      </w:r>
      <w:r w:rsidR="003E391C">
        <w:rPr>
          <w:rFonts w:hint="cs"/>
          <w:rtl/>
        </w:rPr>
        <w:t>ّ</w:t>
      </w:r>
      <w:r w:rsidR="003E391C">
        <w:rPr>
          <w:rtl/>
        </w:rPr>
        <w:t>ا</w:t>
      </w:r>
      <w:r w:rsidR="000C39D1" w:rsidRPr="00267A8C">
        <w:rPr>
          <w:rtl/>
        </w:rPr>
        <w:t>مة المجلسي تارةً في البحار ، ج 24 ، ص 146 ، ح 19 وفيه : « أحمد بن هلال عن ا</w:t>
      </w:r>
      <w:r w:rsidR="003E391C">
        <w:rPr>
          <w:rFonts w:hint="cs"/>
          <w:rtl/>
        </w:rPr>
        <w:t>ُ</w:t>
      </w:r>
      <w:r w:rsidR="000C39D1" w:rsidRPr="00267A8C">
        <w:rPr>
          <w:rtl/>
        </w:rPr>
        <w:t xml:space="preserve">ميّة بن عليّ القيسي » </w:t>
      </w:r>
      <w:r w:rsidR="000C39D1">
        <w:rPr>
          <w:rtl/>
        </w:rPr>
        <w:t>-</w:t>
      </w:r>
      <w:r w:rsidR="000C39D1" w:rsidRPr="00267A8C">
        <w:rPr>
          <w:rtl/>
        </w:rPr>
        <w:t xml:space="preserve"> وكذا في تأويل الآيات ، ص 181 </w:t>
      </w:r>
      <w:r w:rsidR="000C39D1">
        <w:rPr>
          <w:rtl/>
        </w:rPr>
        <w:t>-</w:t>
      </w:r>
      <w:r w:rsidR="000C39D1" w:rsidRPr="00267A8C">
        <w:rPr>
          <w:rtl/>
        </w:rPr>
        <w:t xml:space="preserve"> وا</w:t>
      </w:r>
      <w:r w:rsidR="003E391C">
        <w:rPr>
          <w:rFonts w:hint="cs"/>
          <w:rtl/>
        </w:rPr>
        <w:t>ُ</w:t>
      </w:r>
      <w:r w:rsidR="000C39D1" w:rsidRPr="00267A8C">
        <w:rPr>
          <w:rtl/>
        </w:rPr>
        <w:t>خرى في ج 24 ، ص 152 ، ح 42 ، كما هنا ، لكن ذيل الخبر يختلف في تأويل الآيات والموضع الأوّل من البحار ، مع ما في الكتاب ، ففيهما : « يعني إلى ولايتهم » بدل « يعني هدانا الله في ولاية أمير المؤمنين والأئمّة من ولده : » ، فتأمّل.</w:t>
      </w:r>
    </w:p>
    <w:p w:rsidR="000C39D1" w:rsidRPr="00132E65" w:rsidRDefault="000C39D1" w:rsidP="000C39D1">
      <w:pPr>
        <w:pStyle w:val="libFootnote0"/>
        <w:rPr>
          <w:rtl/>
          <w:lang w:bidi="fa-IR"/>
        </w:rPr>
      </w:pPr>
      <w:r>
        <w:rPr>
          <w:rtl/>
        </w:rPr>
        <w:t>(1).</w:t>
      </w:r>
      <w:r w:rsidRPr="00132E65">
        <w:rPr>
          <w:rtl/>
        </w:rPr>
        <w:t xml:space="preserve"> الأعراف </w:t>
      </w:r>
      <w:r w:rsidR="003E391C">
        <w:rPr>
          <w:rtl/>
        </w:rPr>
        <w:t>(7)</w:t>
      </w:r>
      <w:r w:rsidRPr="00132E65">
        <w:rPr>
          <w:rtl/>
        </w:rPr>
        <w:t xml:space="preserve"> : 43.</w:t>
      </w:r>
    </w:p>
    <w:p w:rsidR="000C39D1" w:rsidRPr="00132E65" w:rsidRDefault="000C39D1" w:rsidP="000C39D1">
      <w:pPr>
        <w:pStyle w:val="libFootnote0"/>
        <w:rPr>
          <w:rtl/>
          <w:lang w:bidi="fa-IR"/>
        </w:rPr>
      </w:pPr>
      <w:r>
        <w:rPr>
          <w:rtl/>
        </w:rPr>
        <w:t>(2).</w:t>
      </w:r>
      <w:r w:rsidRPr="00132E65">
        <w:rPr>
          <w:rtl/>
        </w:rPr>
        <w:t xml:space="preserve"> في البحار ، ص 146 : « قال »</w:t>
      </w:r>
      <w:r>
        <w:rPr>
          <w:rtl/>
        </w:rPr>
        <w:t>.</w:t>
      </w:r>
    </w:p>
    <w:p w:rsidR="000C39D1" w:rsidRPr="00132E65" w:rsidRDefault="000C39D1" w:rsidP="000C39D1">
      <w:pPr>
        <w:pStyle w:val="libFootnote0"/>
        <w:rPr>
          <w:rtl/>
          <w:lang w:bidi="fa-IR"/>
        </w:rPr>
      </w:pPr>
      <w:r>
        <w:rPr>
          <w:rtl/>
        </w:rPr>
        <w:t>(3).</w:t>
      </w:r>
      <w:r w:rsidRPr="00132E65">
        <w:rPr>
          <w:rtl/>
        </w:rPr>
        <w:t xml:space="preserve"> في « بف » : « فينصتون »</w:t>
      </w:r>
      <w:r>
        <w:rPr>
          <w:rtl/>
        </w:rPr>
        <w:t>.</w:t>
      </w:r>
    </w:p>
    <w:p w:rsidR="000C39D1" w:rsidRPr="00132E65" w:rsidRDefault="000C39D1" w:rsidP="000C39D1">
      <w:pPr>
        <w:pStyle w:val="libFootnote0"/>
        <w:rPr>
          <w:rtl/>
          <w:lang w:bidi="fa-IR"/>
        </w:rPr>
      </w:pPr>
      <w:r>
        <w:rPr>
          <w:rtl/>
        </w:rPr>
        <w:t>(4).</w:t>
      </w:r>
      <w:r w:rsidRPr="00132E65">
        <w:rPr>
          <w:rtl/>
        </w:rPr>
        <w:t xml:space="preserve"> في البحار ، ص 146 : « يعني إلى ولايتهم » بدل « يعني هدانا الله في</w:t>
      </w:r>
      <w:r>
        <w:rPr>
          <w:rtl/>
        </w:rPr>
        <w:t xml:space="preserve"> - </w:t>
      </w:r>
      <w:r w:rsidRPr="00132E65">
        <w:rPr>
          <w:rtl/>
        </w:rPr>
        <w:t>إلى</w:t>
      </w:r>
      <w:r>
        <w:rPr>
          <w:rtl/>
        </w:rPr>
        <w:t xml:space="preserve"> - </w:t>
      </w:r>
      <w:r w:rsidRPr="00132E65">
        <w:rPr>
          <w:rtl/>
        </w:rPr>
        <w:t xml:space="preserve">من ولده </w:t>
      </w:r>
      <w:r w:rsidRPr="003E391C">
        <w:rPr>
          <w:rStyle w:val="libFootnoteAlaemChar"/>
          <w:rtl/>
        </w:rPr>
        <w:t>عليهم‌السلام</w:t>
      </w:r>
      <w:r w:rsidRPr="00132E65">
        <w:rPr>
          <w:rtl/>
        </w:rPr>
        <w:t xml:space="preserve"> »</w:t>
      </w:r>
      <w:r>
        <w:rPr>
          <w:rtl/>
        </w:rPr>
        <w:t>.</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890 ، ح 1536 ؛ </w:t>
      </w:r>
      <w:r w:rsidRPr="00E92B28">
        <w:rPr>
          <w:rtl/>
        </w:rPr>
        <w:t>البحار</w:t>
      </w:r>
      <w:r w:rsidRPr="00132E65">
        <w:rPr>
          <w:rtl/>
        </w:rPr>
        <w:t xml:space="preserve"> ، ج 24 ، ص 152 ، ح 41 ؛ وفي </w:t>
      </w:r>
      <w:r w:rsidRPr="00E92B28">
        <w:rPr>
          <w:rtl/>
        </w:rPr>
        <w:t>البحار</w:t>
      </w:r>
      <w:r w:rsidRPr="00132E65">
        <w:rPr>
          <w:rtl/>
        </w:rPr>
        <w:t xml:space="preserve"> ، ج 24 ، ص 146 ، ح 19 أيضاً عن </w:t>
      </w:r>
      <w:r w:rsidRPr="000577A7">
        <w:rPr>
          <w:rStyle w:val="libFootnoteBoldChar"/>
          <w:rtl/>
        </w:rPr>
        <w:t>الكافي</w:t>
      </w:r>
      <w:r w:rsidRPr="00132E65">
        <w:rPr>
          <w:rtl/>
        </w:rPr>
        <w:t xml:space="preserve"> ، وفيه : « الحسين بن محمّد ، عن المعلّى ، عن أحمد بن هلال ، عن ا</w:t>
      </w:r>
      <w:r w:rsidR="003E391C">
        <w:rPr>
          <w:rFonts w:hint="cs"/>
          <w:rtl/>
        </w:rPr>
        <w:t>ُ</w:t>
      </w:r>
      <w:r w:rsidRPr="00132E65">
        <w:rPr>
          <w:rtl/>
        </w:rPr>
        <w:t>ميّة بن عليّ القيسي ، عن أبي السفاتج ، عن أبي بصير »</w:t>
      </w:r>
      <w:r>
        <w:rPr>
          <w:rtl/>
        </w:rPr>
        <w:t>.</w:t>
      </w:r>
    </w:p>
    <w:p w:rsidR="000C39D1" w:rsidRPr="00132E65" w:rsidRDefault="000C39D1" w:rsidP="000C39D1">
      <w:pPr>
        <w:pStyle w:val="libFootnote0"/>
        <w:rPr>
          <w:rtl/>
          <w:lang w:bidi="fa-IR"/>
        </w:rPr>
      </w:pPr>
      <w:r>
        <w:rPr>
          <w:rtl/>
        </w:rPr>
        <w:t>(6).</w:t>
      </w:r>
      <w:r w:rsidRPr="00132E65">
        <w:rPr>
          <w:rtl/>
        </w:rPr>
        <w:t xml:space="preserve"> هكذا في « ب ، بر »</w:t>
      </w:r>
      <w:r>
        <w:rPr>
          <w:rtl/>
        </w:rPr>
        <w:t>.</w:t>
      </w:r>
      <w:r w:rsidRPr="00132E65">
        <w:rPr>
          <w:rtl/>
        </w:rPr>
        <w:t xml:space="preserve"> وفي « ألف ، ج ، ض ، ف ، و، بح ، بس ، بف ، جر » والمطبوع : « عبد الله »</w:t>
      </w:r>
      <w:r>
        <w:rPr>
          <w:rtl/>
        </w:rPr>
        <w:t>.</w:t>
      </w:r>
    </w:p>
    <w:p w:rsidR="000C39D1" w:rsidRPr="00132E65" w:rsidRDefault="000C39D1" w:rsidP="000C39D1">
      <w:pPr>
        <w:pStyle w:val="libFootnote0"/>
        <w:rPr>
          <w:rtl/>
          <w:lang w:bidi="fa-IR"/>
        </w:rPr>
      </w:pPr>
      <w:r w:rsidRPr="0046781C">
        <w:rPr>
          <w:rtl/>
        </w:rPr>
        <w:t xml:space="preserve">والصواب ما أثبتناه ؛ فقد روى عليّ بن حسّان الهاشمي كتاب عمّه عبد الرحمن بن كثير ، وروى عنه في بعض الأسناد بعنوان عليّ بن حسّان. راجع : </w:t>
      </w:r>
      <w:r w:rsidRPr="00E92B28">
        <w:rPr>
          <w:rtl/>
        </w:rPr>
        <w:t>رجال النجاشي</w:t>
      </w:r>
      <w:r w:rsidRPr="0046781C">
        <w:rPr>
          <w:rtl/>
        </w:rPr>
        <w:t xml:space="preserve"> ، ص 234 ، الرقم 621 ؛ </w:t>
      </w:r>
      <w:r w:rsidRPr="00E92B28">
        <w:rPr>
          <w:rtl/>
        </w:rPr>
        <w:t>الفهرست</w:t>
      </w:r>
      <w:r w:rsidRPr="0046781C">
        <w:rPr>
          <w:rtl/>
        </w:rPr>
        <w:t xml:space="preserve"> للطوسي ، ص 286 ، الرقم 428 ، وص 311 ، الرقم 475 ؛ </w:t>
      </w:r>
      <w:r w:rsidRPr="00E92B28">
        <w:rPr>
          <w:rtl/>
        </w:rPr>
        <w:t>معجم رجال الحديث</w:t>
      </w:r>
      <w:r w:rsidRPr="0046781C">
        <w:rPr>
          <w:rtl/>
        </w:rPr>
        <w:t xml:space="preserve"> ، ج 11 ، ص 538</w:t>
      </w:r>
      <w:r>
        <w:rPr>
          <w:rtl/>
        </w:rPr>
        <w:t xml:space="preserve"> - </w:t>
      </w:r>
      <w:r w:rsidRPr="0046781C">
        <w:rPr>
          <w:rtl/>
        </w:rPr>
        <w:t>540.</w:t>
      </w:r>
    </w:p>
    <w:tbl>
      <w:tblPr>
        <w:tblStyle w:val="TableGrid"/>
        <w:bidiVisual/>
        <w:tblW w:w="0" w:type="auto"/>
        <w:tblLook w:val="04A0" w:firstRow="1" w:lastRow="0" w:firstColumn="1" w:lastColumn="0" w:noHBand="0" w:noVBand="1"/>
      </w:tblPr>
      <w:tblGrid>
        <w:gridCol w:w="4006"/>
        <w:gridCol w:w="4006"/>
      </w:tblGrid>
      <w:tr w:rsidR="003E391C" w:rsidTr="003E391C">
        <w:tc>
          <w:tcPr>
            <w:tcW w:w="4006" w:type="dxa"/>
          </w:tcPr>
          <w:p w:rsidR="003E391C" w:rsidRDefault="003E391C" w:rsidP="000C39D1">
            <w:pPr>
              <w:pStyle w:val="libFootnote0"/>
              <w:rPr>
                <w:rtl/>
              </w:rPr>
            </w:pPr>
            <w:r>
              <w:rPr>
                <w:rtl/>
              </w:rPr>
              <w:t>(7).</w:t>
            </w:r>
            <w:r w:rsidRPr="00132E65">
              <w:rPr>
                <w:rtl/>
              </w:rPr>
              <w:t xml:space="preserve"> النبأ (78) : 1</w:t>
            </w:r>
            <w:r>
              <w:rPr>
                <w:rtl/>
              </w:rPr>
              <w:t xml:space="preserve"> - </w:t>
            </w:r>
            <w:r w:rsidRPr="00132E65">
              <w:rPr>
                <w:rtl/>
              </w:rPr>
              <w:t>2.</w:t>
            </w:r>
          </w:p>
        </w:tc>
        <w:tc>
          <w:tcPr>
            <w:tcW w:w="4006" w:type="dxa"/>
          </w:tcPr>
          <w:p w:rsidR="003E391C" w:rsidRDefault="003E391C" w:rsidP="000C39D1">
            <w:pPr>
              <w:pStyle w:val="libFootnote0"/>
              <w:rPr>
                <w:rtl/>
              </w:rPr>
            </w:pPr>
            <w:r>
              <w:rPr>
                <w:rtl/>
              </w:rPr>
              <w:t>(8).</w:t>
            </w:r>
            <w:r w:rsidRPr="00132E65">
              <w:rPr>
                <w:rtl/>
              </w:rPr>
              <w:t xml:space="preserve"> في « ف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(9).</w:t>
      </w:r>
      <w:r w:rsidRPr="00132E65">
        <w:rPr>
          <w:rtl/>
        </w:rPr>
        <w:t xml:space="preserve"> الكهف (18) : 44.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أَمِيرِ الْمُؤْمِنِينَ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E92B28">
        <w:rPr>
          <w:rtl/>
        </w:rPr>
        <w:t>1122</w:t>
      </w:r>
      <w:r w:rsidRPr="004325D8">
        <w:rPr>
          <w:rStyle w:val="libBold2Char"/>
          <w:rtl/>
        </w:rPr>
        <w:t xml:space="preserve"> / 35.</w:t>
      </w:r>
      <w:r w:rsidRPr="00132E65">
        <w:rPr>
          <w:rtl/>
          <w:lang w:bidi="fa-IR"/>
        </w:rPr>
        <w:t xml:space="preserve"> عَلِيُّ بْنُ إِبْرَاهِيمَ ، عَنْ صَالِحِ بْنِ السِّنْدِيِّ ، عَنْ جَعْفَرِ بْنِ بَشِيرٍ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فَأَقِمْ وَجْهَكَ لِلدِّينِ حَنِيفاً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 هِيَ الْوَلَايَةُ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E92B28">
        <w:rPr>
          <w:rtl/>
        </w:rPr>
        <w:t>1123</w:t>
      </w:r>
      <w:r w:rsidRPr="004325D8">
        <w:rPr>
          <w:rStyle w:val="libBold2Char"/>
          <w:rtl/>
        </w:rPr>
        <w:t xml:space="preserve"> / 36.</w:t>
      </w:r>
      <w:r w:rsidRPr="00132E65">
        <w:rPr>
          <w:rtl/>
          <w:lang w:bidi="fa-IR"/>
        </w:rPr>
        <w:t xml:space="preserve"> عِدَّةٌ مِنْ أَصْحَابِنَا ، عَنْ أَحْمَدَ بْنِ مُحَمَّدٍ ، عَنْ إِبْرَاهِيمَ الْهَمَذَانِيِّ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يَرْفَعُهُ إِلى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وَنَضَعُ الْمَوازِينَ الْقِسْطَ لِيَوْمِ الْقِيامَةِ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قَالَ : « الْأَنْبِيَاءُ والْأَوْصِيَاءُ </w:t>
      </w:r>
      <w:r w:rsidRPr="00071CF9">
        <w:rPr>
          <w:rStyle w:val="libAlaemChar"/>
          <w:rtl/>
        </w:rPr>
        <w:t>عليهم‌السلام</w:t>
      </w:r>
      <w:r w:rsidRPr="00132E65">
        <w:rPr>
          <w:rtl/>
          <w:lang w:bidi="fa-IR"/>
        </w:rPr>
        <w:t xml:space="preserve">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E92B28">
        <w:rPr>
          <w:rtl/>
        </w:rPr>
        <w:t>1124</w:t>
      </w:r>
      <w:r w:rsidRPr="004325D8">
        <w:rPr>
          <w:rStyle w:val="libBold2Char"/>
          <w:rtl/>
        </w:rPr>
        <w:t xml:space="preserve"> / 37.</w:t>
      </w:r>
      <w:r w:rsidRPr="00132E65">
        <w:rPr>
          <w:rtl/>
          <w:lang w:bidi="fa-IR"/>
        </w:rPr>
        <w:t xml:space="preserve"> عَلِيُّ بْنُ مُحَمَّدٍ ، عَنْ سَهْلِ بْنِ زِيَادٍ ، عَنْ أَحْمَدَ بْنِ الْحُسَيْنِ </w:t>
      </w:r>
      <w:r>
        <w:rPr>
          <w:rStyle w:val="libFootnotenumChar"/>
          <w:rtl/>
        </w:rPr>
        <w:t>(8)</w:t>
      </w:r>
      <w:r w:rsidRPr="00132E65">
        <w:rPr>
          <w:rtl/>
          <w:lang w:bidi="fa-IR"/>
        </w:rPr>
        <w:t xml:space="preserve"> بْنِ </w:t>
      </w:r>
      <w:r>
        <w:rPr>
          <w:rStyle w:val="libFootnotenumChar"/>
          <w:rtl/>
        </w:rPr>
        <w:t>(9)</w:t>
      </w:r>
      <w:r w:rsidRPr="00132E65">
        <w:rPr>
          <w:rtl/>
          <w:lang w:bidi="fa-IR"/>
        </w:rPr>
        <w:t xml:space="preserve"> عُمَرَ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6E557D">
      <w:pPr>
        <w:pStyle w:val="libFootnote0"/>
        <w:rPr>
          <w:rtl/>
          <w:lang w:bidi="fa-IR"/>
        </w:rPr>
      </w:pPr>
      <w:r>
        <w:rPr>
          <w:rtl/>
        </w:rPr>
        <w:t>(1).</w:t>
      </w:r>
      <w:r w:rsidRPr="00132E65">
        <w:rPr>
          <w:rtl/>
        </w:rPr>
        <w:t xml:space="preserve"> راجع : </w:t>
      </w:r>
      <w:r w:rsidRPr="000577A7">
        <w:rPr>
          <w:rStyle w:val="libFootnoteBoldChar"/>
          <w:rtl/>
        </w:rPr>
        <w:t>الكافي</w:t>
      </w:r>
      <w:r w:rsidRPr="00132E65">
        <w:rPr>
          <w:rtl/>
        </w:rPr>
        <w:t xml:space="preserve"> ، كتاب الحجّة ، باب أنّ الآيات التي ذكرها الله</w:t>
      </w:r>
      <w:r>
        <w:rPr>
          <w:rtl/>
        </w:rPr>
        <w:t xml:space="preserve"> ..</w:t>
      </w:r>
      <w:r w:rsidRPr="00132E65">
        <w:rPr>
          <w:rtl/>
        </w:rPr>
        <w:t>. ، ح 539 ؛ و</w:t>
      </w:r>
      <w:r w:rsidRPr="00E92B28">
        <w:rPr>
          <w:rtl/>
        </w:rPr>
        <w:t>تفسير القمّي</w:t>
      </w:r>
      <w:r w:rsidRPr="00132E65">
        <w:rPr>
          <w:rtl/>
        </w:rPr>
        <w:t xml:space="preserve"> ، ج 2 ، ص 401 ؛ و</w:t>
      </w:r>
      <w:r w:rsidRPr="00E92B28">
        <w:rPr>
          <w:rtl/>
        </w:rPr>
        <w:t>تفسير فرات</w:t>
      </w:r>
      <w:r w:rsidRPr="00132E65">
        <w:rPr>
          <w:rtl/>
        </w:rPr>
        <w:t xml:space="preserve"> ، ص 533 ، ح 685 ؛ وح 686</w:t>
      </w:r>
      <w:r w:rsidR="006E557D">
        <w:rPr>
          <w:rFonts w:hint="cs"/>
          <w:rtl/>
        </w:rPr>
        <w:t>.</w:t>
      </w:r>
      <w:r w:rsidRPr="009D1ACE">
        <w:rPr>
          <w:rStyle w:val="libFootnoteBoldChar"/>
          <w:rtl/>
        </w:rPr>
        <w:t>الوافي</w:t>
      </w:r>
      <w:r w:rsidRPr="00132E65">
        <w:rPr>
          <w:rtl/>
        </w:rPr>
        <w:t xml:space="preserve"> ، ج 3 ، ص 890 ، ح 1537 ؛ </w:t>
      </w:r>
      <w:r w:rsidRPr="00E92B28">
        <w:rPr>
          <w:rtl/>
        </w:rPr>
        <w:t>البحار</w:t>
      </w:r>
      <w:r w:rsidRPr="00132E65">
        <w:rPr>
          <w:rtl/>
        </w:rPr>
        <w:t xml:space="preserve"> ، ج 24 ، ص 352 ، ح 71.</w:t>
      </w:r>
    </w:p>
    <w:p w:rsidR="000C39D1" w:rsidRPr="00132E65" w:rsidRDefault="000C39D1" w:rsidP="000C39D1">
      <w:pPr>
        <w:pStyle w:val="libFootnote0"/>
        <w:rPr>
          <w:rtl/>
          <w:lang w:bidi="fa-IR"/>
        </w:rPr>
      </w:pPr>
      <w:r>
        <w:rPr>
          <w:rtl/>
        </w:rPr>
        <w:t>(2).</w:t>
      </w:r>
      <w:r w:rsidRPr="00132E65">
        <w:rPr>
          <w:rtl/>
        </w:rPr>
        <w:t xml:space="preserve"> الروم (30) : 30.</w:t>
      </w:r>
    </w:p>
    <w:p w:rsidR="000C39D1" w:rsidRPr="00132E65" w:rsidRDefault="000C39D1" w:rsidP="006E557D">
      <w:pPr>
        <w:pStyle w:val="libFootnote0"/>
        <w:rPr>
          <w:rtl/>
          <w:lang w:bidi="fa-IR"/>
        </w:rPr>
      </w:pPr>
      <w:r>
        <w:rPr>
          <w:rtl/>
        </w:rPr>
        <w:t>(3).</w:t>
      </w:r>
      <w:r w:rsidRPr="00132E65">
        <w:rPr>
          <w:rtl/>
        </w:rPr>
        <w:t xml:space="preserve"> </w:t>
      </w:r>
      <w:r w:rsidRPr="00E92B28">
        <w:rPr>
          <w:rtl/>
        </w:rPr>
        <w:t>تفسير القمّي</w:t>
      </w:r>
      <w:r w:rsidRPr="00132E65">
        <w:rPr>
          <w:rtl/>
        </w:rPr>
        <w:t xml:space="preserve"> ، ج 2 ، ص 154 ، بسنده عن جعفر بن بشير</w:t>
      </w:r>
      <w:r w:rsidR="006E557D">
        <w:rPr>
          <w:rFonts w:hint="cs"/>
          <w:rtl/>
        </w:rPr>
        <w:t>.</w:t>
      </w:r>
      <w:r w:rsidRPr="009D1ACE">
        <w:rPr>
          <w:rStyle w:val="libFootnoteBoldChar"/>
          <w:rtl/>
        </w:rPr>
        <w:t>الوافي</w:t>
      </w:r>
      <w:r w:rsidRPr="00132E65">
        <w:rPr>
          <w:rtl/>
        </w:rPr>
        <w:t xml:space="preserve"> ، ج 3 ، ص 890 ، ح 1538 ؛ </w:t>
      </w:r>
      <w:r w:rsidRPr="00E92B28">
        <w:rPr>
          <w:rtl/>
        </w:rPr>
        <w:t>البحار</w:t>
      </w:r>
      <w:r w:rsidRPr="00132E65">
        <w:rPr>
          <w:rtl/>
        </w:rPr>
        <w:t xml:space="preserve"> ، ج 23 ، ص 375 ، ح 56.</w:t>
      </w:r>
    </w:p>
    <w:p w:rsidR="000C39D1" w:rsidRPr="00132E65" w:rsidRDefault="000C39D1" w:rsidP="000C39D1">
      <w:pPr>
        <w:pStyle w:val="libFootnote0"/>
        <w:rPr>
          <w:rtl/>
          <w:lang w:bidi="fa-IR"/>
        </w:rPr>
      </w:pPr>
      <w:r>
        <w:rPr>
          <w:rtl/>
        </w:rPr>
        <w:t>(4).</w:t>
      </w:r>
      <w:r w:rsidRPr="00132E65">
        <w:rPr>
          <w:rtl/>
        </w:rPr>
        <w:t xml:space="preserve"> هكذا في « بس »</w:t>
      </w:r>
      <w:r>
        <w:rPr>
          <w:rtl/>
        </w:rPr>
        <w:t>.</w:t>
      </w:r>
      <w:r w:rsidRPr="00132E65">
        <w:rPr>
          <w:rtl/>
        </w:rPr>
        <w:t xml:space="preserve"> وفي « ألف ، ب ، ج ، ض ، ف ، و، بح ، بر ، بف ، جر » والمطبوع والبحار : « الهمداني »</w:t>
      </w:r>
      <w:r>
        <w:rPr>
          <w:rtl/>
        </w:rPr>
        <w:t>.</w:t>
      </w:r>
      <w:r w:rsidRPr="00132E65">
        <w:rPr>
          <w:rtl/>
        </w:rPr>
        <w:t xml:space="preserve"> وإبراهيم هذا ، هو إبراهيم بن محمّد الهَمَذاني الوكيل ، ا</w:t>
      </w:r>
      <w:r w:rsidR="006E557D">
        <w:rPr>
          <w:rFonts w:hint="cs"/>
          <w:rtl/>
        </w:rPr>
        <w:t>ُ</w:t>
      </w:r>
      <w:r w:rsidRPr="00132E65">
        <w:rPr>
          <w:rtl/>
        </w:rPr>
        <w:t xml:space="preserve">نظر ما قدّمناه في </w:t>
      </w:r>
      <w:r w:rsidRPr="000577A7">
        <w:rPr>
          <w:rStyle w:val="libFootnoteBoldChar"/>
          <w:rtl/>
        </w:rPr>
        <w:t>الكافي</w:t>
      </w:r>
      <w:r w:rsidRPr="00132E65">
        <w:rPr>
          <w:rtl/>
        </w:rPr>
        <w:t xml:space="preserve"> ، ح 159.</w:t>
      </w:r>
    </w:p>
    <w:p w:rsidR="000C39D1" w:rsidRPr="00132E65" w:rsidRDefault="000C39D1" w:rsidP="000C39D1">
      <w:pPr>
        <w:pStyle w:val="libFootnote0"/>
        <w:rPr>
          <w:rtl/>
          <w:lang w:bidi="fa-IR"/>
        </w:rPr>
      </w:pPr>
      <w:r>
        <w:rPr>
          <w:rtl/>
        </w:rPr>
        <w:t>(5).</w:t>
      </w:r>
      <w:r w:rsidRPr="00132E65">
        <w:rPr>
          <w:rtl/>
        </w:rPr>
        <w:t xml:space="preserve"> الأنبياء (21) : 47.</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ميزان كلّ شي‌ء هو المعيار الذي به يعرف قدر ذلك الشي‌ء ، فميزان يوم القيامة للناس ما يوزن به قدر كلّ إنسان وقيمته على حسب عقائده وأخلاقه وأعماله</w:t>
      </w:r>
      <w:r>
        <w:rPr>
          <w:rFonts w:hint="cs"/>
          <w:rtl/>
        </w:rPr>
        <w:t xml:space="preserve"> </w:t>
      </w:r>
      <w:r w:rsidRPr="00071CF9">
        <w:rPr>
          <w:rStyle w:val="libAlaemChar"/>
          <w:rtl/>
        </w:rPr>
        <w:t>(</w:t>
      </w:r>
      <w:r>
        <w:rPr>
          <w:rFonts w:hint="cs"/>
          <w:rtl/>
        </w:rPr>
        <w:t xml:space="preserve"> </w:t>
      </w:r>
      <w:r w:rsidRPr="00C2691A">
        <w:rPr>
          <w:rStyle w:val="libFootnoteAieChar"/>
          <w:rtl/>
        </w:rPr>
        <w:t>لِتُجْزى كُلُّ نَفْسٍ بِما كَسَبَتْ</w:t>
      </w:r>
      <w:r>
        <w:rPr>
          <w:rFonts w:hint="cs"/>
          <w:rtl/>
        </w:rPr>
        <w:t xml:space="preserve"> </w:t>
      </w:r>
      <w:r w:rsidRPr="00071CF9">
        <w:rPr>
          <w:rStyle w:val="libAlaemChar"/>
          <w:rtl/>
        </w:rPr>
        <w:t>)</w:t>
      </w:r>
      <w:r w:rsidRPr="00132E65">
        <w:rPr>
          <w:rtl/>
        </w:rPr>
        <w:t xml:space="preserve"> [ الجاثية (45) : 22 ]</w:t>
      </w:r>
      <w:r>
        <w:rPr>
          <w:rtl/>
        </w:rPr>
        <w:t>.</w:t>
      </w:r>
      <w:r w:rsidR="006E557D">
        <w:rPr>
          <w:rtl/>
        </w:rPr>
        <w:t xml:space="preserve"> وليس ذلك إل</w:t>
      </w:r>
      <w:r w:rsidR="006E557D">
        <w:rPr>
          <w:rFonts w:hint="cs"/>
          <w:rtl/>
        </w:rPr>
        <w:t>ّ</w:t>
      </w:r>
      <w:r w:rsidR="006E557D">
        <w:rPr>
          <w:rtl/>
        </w:rPr>
        <w:t>ا</w:t>
      </w:r>
      <w:r w:rsidRPr="00132E65">
        <w:rPr>
          <w:rtl/>
        </w:rPr>
        <w:t xml:space="preserve"> الأنبياء والأوصياء ؛ إذ بهم وباقتفاء آثارهم وترك ذلك والقرب من طريقتهم والبعد عنها يعرف مقدار الناس وقدر حسناتهم وسيّئاتهم ؛ فميزان كلّ ا</w:t>
      </w:r>
      <w:r w:rsidR="006E557D">
        <w:rPr>
          <w:rFonts w:hint="cs"/>
          <w:rtl/>
        </w:rPr>
        <w:t>ُ</w:t>
      </w:r>
      <w:r w:rsidRPr="00132E65">
        <w:rPr>
          <w:rtl/>
        </w:rPr>
        <w:t>مَّة هو نبيّ تلك الا</w:t>
      </w:r>
      <w:r w:rsidR="006E557D">
        <w:rPr>
          <w:rFonts w:hint="cs"/>
          <w:rtl/>
        </w:rPr>
        <w:t>ُ</w:t>
      </w:r>
      <w:r w:rsidRPr="00132E65">
        <w:rPr>
          <w:rtl/>
        </w:rPr>
        <w:t>مّة ووصيّ نبيّها والشريعة التي أتى بها</w:t>
      </w:r>
      <w:r>
        <w:rPr>
          <w:rFonts w:hint="cs"/>
          <w:rtl/>
        </w:rPr>
        <w:t xml:space="preserve"> </w:t>
      </w:r>
      <w:r w:rsidRPr="00071CF9">
        <w:rPr>
          <w:rStyle w:val="libAlaemChar"/>
          <w:rtl/>
        </w:rPr>
        <w:t>(</w:t>
      </w:r>
      <w:r>
        <w:rPr>
          <w:rFonts w:hint="cs"/>
          <w:rtl/>
        </w:rPr>
        <w:t xml:space="preserve"> </w:t>
      </w:r>
      <w:r w:rsidRPr="00C2691A">
        <w:rPr>
          <w:rStyle w:val="libFootnoteAieChar"/>
          <w:rtl/>
        </w:rPr>
        <w:t>فَمَنْ ثَقُلَتْ مَوازِينُهُ فَأُولئِكَ هُمُ الْمُفْلِحُونَ وَمَنْ خَفَّتْ مَوازِينُهُ فَأُولئِكَ الَّذِينَ خَسِرُوا أَنْفُسَهُمْ</w:t>
      </w:r>
      <w:r>
        <w:rPr>
          <w:rFonts w:hint="cs"/>
          <w:rtl/>
        </w:rPr>
        <w:t xml:space="preserve"> </w:t>
      </w:r>
      <w:r w:rsidRPr="00071CF9">
        <w:rPr>
          <w:rStyle w:val="libAlaemChar"/>
          <w:rtl/>
        </w:rPr>
        <w:t>)</w:t>
      </w:r>
      <w:r w:rsidRPr="00132E65">
        <w:rPr>
          <w:rtl/>
        </w:rPr>
        <w:t xml:space="preserve"> [ الأعراف </w:t>
      </w:r>
      <w:r>
        <w:rPr>
          <w:rtl/>
        </w:rPr>
        <w:t>(7).</w:t>
      </w:r>
      <w:r w:rsidRPr="00132E65">
        <w:rPr>
          <w:rtl/>
        </w:rPr>
        <w:t xml:space="preserve"> : 8</w:t>
      </w:r>
      <w:r>
        <w:rPr>
          <w:rtl/>
        </w:rPr>
        <w:t xml:space="preserve"> - </w:t>
      </w:r>
      <w:r w:rsidRPr="00132E65">
        <w:rPr>
          <w:rtl/>
        </w:rPr>
        <w:t>9 ؛ المؤمنون (23) : 102</w:t>
      </w:r>
      <w:r>
        <w:rPr>
          <w:rtl/>
        </w:rPr>
        <w:t xml:space="preserve"> - </w:t>
      </w:r>
      <w:r w:rsidRPr="00132E65">
        <w:rPr>
          <w:rtl/>
        </w:rPr>
        <w:t>103 ]</w:t>
      </w:r>
      <w:r>
        <w:rPr>
          <w:rtl/>
        </w:rPr>
        <w:t>.</w:t>
      </w:r>
    </w:p>
    <w:p w:rsidR="000C39D1" w:rsidRPr="00132E65" w:rsidRDefault="000C39D1" w:rsidP="006E557D">
      <w:pPr>
        <w:pStyle w:val="libFootnote0"/>
        <w:rPr>
          <w:rtl/>
          <w:lang w:bidi="fa-IR"/>
        </w:rPr>
      </w:pPr>
      <w:r>
        <w:rPr>
          <w:rtl/>
        </w:rPr>
        <w:t>(7).</w:t>
      </w:r>
      <w:r w:rsidRPr="00132E65">
        <w:rPr>
          <w:rtl/>
        </w:rPr>
        <w:t xml:space="preserve"> </w:t>
      </w:r>
      <w:r w:rsidRPr="00E92B28">
        <w:rPr>
          <w:rtl/>
        </w:rPr>
        <w:t>معاني الأخبار</w:t>
      </w:r>
      <w:r w:rsidRPr="00132E65">
        <w:rPr>
          <w:rtl/>
        </w:rPr>
        <w:t xml:space="preserve"> ، ص 31 ، ح 1 ، بسند آخر</w:t>
      </w:r>
      <w:r w:rsidR="006E557D">
        <w:rPr>
          <w:rFonts w:hint="cs"/>
          <w:rtl/>
        </w:rPr>
        <w:t>.</w:t>
      </w:r>
      <w:r w:rsidRPr="009D1ACE">
        <w:rPr>
          <w:rStyle w:val="libFootnoteBoldChar"/>
          <w:rtl/>
        </w:rPr>
        <w:t>الوافي</w:t>
      </w:r>
      <w:r w:rsidRPr="00132E65">
        <w:rPr>
          <w:rtl/>
        </w:rPr>
        <w:t xml:space="preserve"> ، ج 3 ، ص 891 ، ح 1539 ؛ </w:t>
      </w:r>
      <w:r w:rsidRPr="00E92B28">
        <w:rPr>
          <w:rtl/>
        </w:rPr>
        <w:t>البحار</w:t>
      </w:r>
      <w:r w:rsidRPr="00132E65">
        <w:rPr>
          <w:rtl/>
        </w:rPr>
        <w:t xml:space="preserve"> ، ج 24 ، ص 188 ، ح 4 ؛ وص 352 ، ح 72.</w:t>
      </w:r>
    </w:p>
    <w:p w:rsidR="000C39D1" w:rsidRPr="00132E65" w:rsidRDefault="000C39D1" w:rsidP="000C39D1">
      <w:pPr>
        <w:pStyle w:val="libFootnote0"/>
        <w:rPr>
          <w:rtl/>
          <w:lang w:bidi="fa-IR"/>
        </w:rPr>
      </w:pPr>
      <w:r>
        <w:rPr>
          <w:rtl/>
        </w:rPr>
        <w:t>(8).</w:t>
      </w:r>
      <w:r w:rsidRPr="00132E65">
        <w:rPr>
          <w:rtl/>
        </w:rPr>
        <w:t xml:space="preserve"> في « ج ، بس ، بف ، جر » وحاشية « بح » و</w:t>
      </w:r>
      <w:r w:rsidRPr="009D1ACE">
        <w:rPr>
          <w:rStyle w:val="libFootnoteBoldChar"/>
          <w:rtl/>
        </w:rPr>
        <w:t>الوافي</w:t>
      </w:r>
      <w:r w:rsidRPr="00132E65">
        <w:rPr>
          <w:rtl/>
        </w:rPr>
        <w:t xml:space="preserve"> والبحار : « الحسن »</w:t>
      </w:r>
      <w:r>
        <w:rPr>
          <w:rtl/>
        </w:rPr>
        <w:t>.</w:t>
      </w:r>
    </w:p>
    <w:p w:rsidR="000C39D1" w:rsidRPr="00132E65" w:rsidRDefault="000C39D1" w:rsidP="000C39D1">
      <w:pPr>
        <w:pStyle w:val="libFootnote0"/>
        <w:rPr>
          <w:rtl/>
          <w:lang w:bidi="fa-IR"/>
        </w:rPr>
      </w:pPr>
      <w:r>
        <w:rPr>
          <w:rtl/>
        </w:rPr>
        <w:t>(9).</w:t>
      </w:r>
      <w:r w:rsidRPr="00132E65">
        <w:rPr>
          <w:rtl/>
        </w:rPr>
        <w:t xml:space="preserve"> في « ب ، ض ، بح ، بس ، بف ، جر » وحاشية « ج ، ف » و</w:t>
      </w:r>
      <w:r w:rsidRPr="009D1ACE">
        <w:rPr>
          <w:rStyle w:val="libFootnoteBoldChar"/>
          <w:rtl/>
        </w:rPr>
        <w:t>الوافي</w:t>
      </w:r>
      <w:r w:rsidRPr="00132E65">
        <w:rPr>
          <w:rtl/>
        </w:rPr>
        <w:t xml:space="preserve"> والبحار : « عن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يَزِيدَ ، عَنْ مُحَمَّدِ بْنِ جُمْهُورٍ ، عَنْ مُحَمَّدِ بْنِ سِنَانٍ ، عَنِ الْمُفَضَّلِ بْنِ عُمَرَ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تَعَالى : </w:t>
      </w:r>
      <w:r w:rsidRPr="00071CF9">
        <w:rPr>
          <w:rStyle w:val="libAlaemChar"/>
          <w:rtl/>
        </w:rPr>
        <w:t>(</w:t>
      </w:r>
      <w:r w:rsidRPr="00071CF9">
        <w:rPr>
          <w:rStyle w:val="libAieChar"/>
          <w:rtl/>
        </w:rPr>
        <w:t xml:space="preserve"> ائْتِ بِقُرْآنٍ غَيْرِ هذا أَوْ بَدِّلْهُ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قَالُوا :</w:t>
      </w:r>
      <w:r>
        <w:rPr>
          <w:rFonts w:hint="cs"/>
          <w:rtl/>
          <w:lang w:bidi="fa-IR"/>
        </w:rPr>
        <w:t xml:space="preserve"> </w:t>
      </w:r>
      <w:r w:rsidRPr="00132E65">
        <w:rPr>
          <w:rtl/>
          <w:lang w:bidi="fa-IR"/>
        </w:rPr>
        <w:t xml:space="preserve">أَوْ بَدِّلْ عَلِيّاً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E92B28">
        <w:rPr>
          <w:rtl/>
        </w:rPr>
        <w:t>1125</w:t>
      </w:r>
      <w:r w:rsidRPr="004325D8">
        <w:rPr>
          <w:rStyle w:val="libBold2Char"/>
          <w:rtl/>
        </w:rPr>
        <w:t xml:space="preserve"> / 38.</w:t>
      </w:r>
      <w:r w:rsidRPr="00132E65">
        <w:rPr>
          <w:rtl/>
          <w:lang w:bidi="fa-IR"/>
        </w:rPr>
        <w:t xml:space="preserve"> عَلِيُّ بْنُ مُحَمَّدٍ ، عَنْ سَهْلِ بْنِ زِيَادٍ ، عَنْ إِسْمَاعِيلَ بْنِ مِهْرَانَ ، عَنِ الْحَسَنِ الْقُمِّيِّ ، عَنْ إِدْرِيسَ بْنِ عَبْدِ اللهِ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سَأَلْتُهُ </w:t>
      </w:r>
      <w:r>
        <w:rPr>
          <w:rStyle w:val="libFootnotenumChar"/>
          <w:rtl/>
        </w:rPr>
        <w:t>(3)</w:t>
      </w:r>
      <w:r w:rsidRPr="00132E65">
        <w:rPr>
          <w:rtl/>
          <w:lang w:bidi="fa-IR"/>
        </w:rPr>
        <w:t xml:space="preserve"> عَنْ تَفْسِيرِ هذِهِ الْآيَةِ : </w:t>
      </w:r>
      <w:r w:rsidRPr="00071CF9">
        <w:rPr>
          <w:rStyle w:val="libAlaemChar"/>
          <w:rtl/>
        </w:rPr>
        <w:t>(</w:t>
      </w:r>
      <w:r w:rsidRPr="00071CF9">
        <w:rPr>
          <w:rStyle w:val="libAieChar"/>
          <w:rtl/>
        </w:rPr>
        <w:t xml:space="preserve"> ما سَلَكَكُمْ فِي سَقَرَ </w:t>
      </w:r>
      <w:r w:rsidR="006E557D">
        <w:rPr>
          <w:rStyle w:val="libAieChar"/>
          <w:rFonts w:hint="cs"/>
          <w:rtl/>
        </w:rPr>
        <w:t xml:space="preserve">* </w:t>
      </w:r>
      <w:r w:rsidRPr="00071CF9">
        <w:rPr>
          <w:rStyle w:val="libAieChar"/>
          <w:rtl/>
        </w:rPr>
        <w:t xml:space="preserve">قالُوا لَمْ نَكُ مِنَ الْمُصَلِّينَ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قَالَ : « عَنى بِهَا لَمْ نَكُ مِنْ أَتْبَاعِ الْأَئِمَّةِ الَّذِينَ قَالَ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فِيهِمْ : </w:t>
      </w:r>
      <w:r w:rsidRPr="00071CF9">
        <w:rPr>
          <w:rStyle w:val="libAlaemChar"/>
          <w:rtl/>
        </w:rPr>
        <w:t>(</w:t>
      </w:r>
      <w:r w:rsidRPr="00071CF9">
        <w:rPr>
          <w:rStyle w:val="libAieChar"/>
          <w:rtl/>
        </w:rPr>
        <w:t xml:space="preserve"> وَالسّابِقُونَ السّابِقُونَ </w:t>
      </w:r>
      <w:r w:rsidR="006E557D">
        <w:rPr>
          <w:rStyle w:val="libAieChar"/>
          <w:rFonts w:hint="cs"/>
          <w:rtl/>
        </w:rPr>
        <w:t xml:space="preserve">* </w:t>
      </w:r>
      <w:r w:rsidRPr="00071CF9">
        <w:rPr>
          <w:rStyle w:val="libAieChar"/>
          <w:rtl/>
        </w:rPr>
        <w:t xml:space="preserve">أُولئِكَ الْمُقَرَّبُونَ </w:t>
      </w:r>
      <w:r w:rsidRPr="00071CF9">
        <w:rPr>
          <w:rStyle w:val="libAlaemChar"/>
          <w:rtl/>
        </w:rPr>
        <w:t>)</w:t>
      </w:r>
      <w:r w:rsidRPr="00132E65">
        <w:rPr>
          <w:rtl/>
          <w:lang w:bidi="fa-IR"/>
        </w:rPr>
        <w:t xml:space="preserve"> </w:t>
      </w:r>
      <w:r>
        <w:rPr>
          <w:rStyle w:val="libFootnotenumChar"/>
          <w:rtl/>
        </w:rPr>
        <w:t>(5)</w:t>
      </w:r>
      <w:r>
        <w:rPr>
          <w:rtl/>
          <w:lang w:bidi="fa-IR"/>
        </w:rPr>
        <w:t xml:space="preserve"> أَ</w:t>
      </w:r>
      <w:r w:rsidRPr="00132E65">
        <w:rPr>
          <w:rtl/>
          <w:lang w:bidi="fa-IR"/>
        </w:rPr>
        <w:t xml:space="preserve">مَا تَرَى النَّاسَ يُسَمُّونَ الَّذِي يَلِي السَّابِقَ فِي الْحَلْبَةِ </w:t>
      </w:r>
      <w:r>
        <w:rPr>
          <w:rStyle w:val="libFootnotenumChar"/>
          <w:rtl/>
        </w:rPr>
        <w:t>(6)</w:t>
      </w:r>
      <w:r w:rsidRPr="00132E65">
        <w:rPr>
          <w:rtl/>
          <w:lang w:bidi="fa-IR"/>
        </w:rPr>
        <w:t xml:space="preserve"> مُصَلِّي </w:t>
      </w:r>
      <w:r>
        <w:rPr>
          <w:rStyle w:val="libFootnotenumChar"/>
          <w:rtl/>
        </w:rPr>
        <w:t>(7)</w:t>
      </w:r>
      <w:r w:rsidRPr="00132E65">
        <w:rPr>
          <w:rtl/>
          <w:lang w:bidi="fa-IR"/>
        </w:rPr>
        <w:t xml:space="preserve"> ، فَذلِكَ الَّذِي عَنى ؛ حَيْثُ قَالَ : </w:t>
      </w:r>
      <w:r>
        <w:rPr>
          <w:rStyle w:val="libFootnotenumChar"/>
          <w:rtl/>
        </w:rPr>
        <w:t>(8)</w:t>
      </w:r>
      <w:r w:rsidRPr="00132E65">
        <w:rPr>
          <w:rtl/>
          <w:lang w:bidi="fa-IR"/>
        </w:rPr>
        <w:t xml:space="preserve"> </w:t>
      </w:r>
      <w:r w:rsidRPr="00071CF9">
        <w:rPr>
          <w:rStyle w:val="libAlaemChar"/>
          <w:rtl/>
        </w:rPr>
        <w:t>(</w:t>
      </w:r>
      <w:r w:rsidRPr="00071CF9">
        <w:rPr>
          <w:rStyle w:val="libAieChar"/>
          <w:rtl/>
        </w:rPr>
        <w:t xml:space="preserve"> لَمْ نَكُ مِنَ الْمُصَلِّينَ </w:t>
      </w:r>
      <w:r w:rsidRPr="00071CF9">
        <w:rPr>
          <w:rStyle w:val="libAlaemChar"/>
          <w:rtl/>
        </w:rPr>
        <w:t>)</w:t>
      </w:r>
      <w:r w:rsidRPr="00132E65">
        <w:rPr>
          <w:rtl/>
          <w:lang w:bidi="fa-IR"/>
        </w:rPr>
        <w:t xml:space="preserve"> : لَمْ نَكُ مِنْ أَتْبَاعِ السَّابِقِينَ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E92B28">
        <w:rPr>
          <w:rtl/>
        </w:rPr>
        <w:t>1126</w:t>
      </w:r>
      <w:r w:rsidRPr="004325D8">
        <w:rPr>
          <w:rStyle w:val="libBold2Char"/>
          <w:rtl/>
        </w:rPr>
        <w:t xml:space="preserve"> / 39.</w:t>
      </w:r>
      <w:r w:rsidRPr="00132E65">
        <w:rPr>
          <w:rtl/>
          <w:lang w:bidi="fa-IR"/>
        </w:rPr>
        <w:t xml:space="preserve"> أَحْمَدُ بْنُ مِهْرَانَ ، عَنْ عَبْدِ الْعَظِيمِ بْنِ عَبْدِ اللهِ الْحَسَنِيِّ ، عَنْ مُوسَى بْنِ مُحَمَّدٍ ، عَنْ يُونُسَ بْنِ يَعْقُوبَ ، عَمَّنْ ذَكَرَهُ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 اللهِ </w:t>
      </w:r>
      <w:r>
        <w:rPr>
          <w:rStyle w:val="libFootnotenumChar"/>
          <w:rtl/>
        </w:rPr>
        <w:t>(10)</w:t>
      </w:r>
      <w:r w:rsidRPr="00132E65">
        <w:rPr>
          <w:rtl/>
          <w:lang w:bidi="fa-IR"/>
        </w:rPr>
        <w:t xml:space="preserve"> عَزَّ وجَلَّ : </w:t>
      </w:r>
      <w:r w:rsidRPr="00071CF9">
        <w:rPr>
          <w:rStyle w:val="libAlaemChar"/>
          <w:rtl/>
        </w:rPr>
        <w:t>(</w:t>
      </w:r>
      <w:r w:rsidRPr="00071CF9">
        <w:rPr>
          <w:rStyle w:val="libAieChar"/>
          <w:rtl/>
        </w:rPr>
        <w:t xml:space="preserve"> وَأَنْ لَوِ اسْتَقامُوا عَلَى الطَّرِيقَةِ لَأَسْقَيْناهُمْ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يونس </w:t>
      </w:r>
      <w:r w:rsidR="006E557D">
        <w:rPr>
          <w:rtl/>
        </w:rPr>
        <w:t>(10)</w:t>
      </w:r>
      <w:r w:rsidRPr="00132E65">
        <w:rPr>
          <w:rtl/>
        </w:rPr>
        <w:t xml:space="preserve"> : 15.</w:t>
      </w:r>
    </w:p>
    <w:p w:rsidR="000C39D1" w:rsidRPr="00132E65" w:rsidRDefault="000C39D1" w:rsidP="006E557D">
      <w:pPr>
        <w:pStyle w:val="libFootnote0"/>
        <w:rPr>
          <w:rtl/>
          <w:lang w:bidi="fa-IR"/>
        </w:rPr>
      </w:pPr>
      <w:r>
        <w:rPr>
          <w:rtl/>
        </w:rPr>
        <w:t>(2).</w:t>
      </w:r>
      <w:r w:rsidRPr="00132E65">
        <w:rPr>
          <w:rtl/>
        </w:rPr>
        <w:t xml:space="preserve"> </w:t>
      </w:r>
      <w:r w:rsidRPr="00E92B28">
        <w:rPr>
          <w:rtl/>
        </w:rPr>
        <w:t xml:space="preserve">تفسير القمّي </w:t>
      </w:r>
      <w:r w:rsidRPr="00132E65">
        <w:rPr>
          <w:rtl/>
        </w:rPr>
        <w:t xml:space="preserve">، ج 1 ، ص 310 ، بسند آخر. </w:t>
      </w:r>
      <w:r w:rsidRPr="00E92B28">
        <w:rPr>
          <w:rtl/>
        </w:rPr>
        <w:t>تفسير العيّاشي</w:t>
      </w:r>
      <w:r w:rsidRPr="00132E65">
        <w:rPr>
          <w:rtl/>
        </w:rPr>
        <w:t xml:space="preserve"> ، ج 2 ، ص 120 ، ح 11 ، عن أبي السفاتج ، عن أبي عبدالله </w:t>
      </w:r>
      <w:r w:rsidRPr="006E557D">
        <w:rPr>
          <w:rStyle w:val="libFootnoteAlaemChar"/>
          <w:rtl/>
        </w:rPr>
        <w:t>عليه‌السلام</w:t>
      </w:r>
      <w:r w:rsidRPr="00132E65">
        <w:rPr>
          <w:rtl/>
        </w:rPr>
        <w:t xml:space="preserve"> ، وفيهما مع اختلاف يسير. </w:t>
      </w:r>
      <w:r w:rsidRPr="00E92B28">
        <w:rPr>
          <w:rtl/>
        </w:rPr>
        <w:t>تفسير العيّاشي</w:t>
      </w:r>
      <w:r w:rsidRPr="00132E65">
        <w:rPr>
          <w:rtl/>
        </w:rPr>
        <w:t xml:space="preserve"> ، ج 2 ، ص 120 ، ح 10 ، عن الثمالي عن أبي جعفر </w:t>
      </w:r>
      <w:r w:rsidRPr="006E557D">
        <w:rPr>
          <w:rStyle w:val="libFootnoteAlaemChar"/>
          <w:rtl/>
        </w:rPr>
        <w:t>عليه‌السلام</w:t>
      </w:r>
      <w:r w:rsidRPr="00132E65">
        <w:rPr>
          <w:rtl/>
        </w:rPr>
        <w:t xml:space="preserve"> ؛ </w:t>
      </w:r>
      <w:r w:rsidRPr="00E92B28">
        <w:rPr>
          <w:rtl/>
        </w:rPr>
        <w:t>تفسير فرات</w:t>
      </w:r>
      <w:r w:rsidRPr="00132E65">
        <w:rPr>
          <w:rtl/>
        </w:rPr>
        <w:t xml:space="preserve"> ، ص 177 ، ح 227 ، بسند آخر عن أبي جعفر </w:t>
      </w:r>
      <w:r w:rsidRPr="006E557D">
        <w:rPr>
          <w:rStyle w:val="libFootnoteAlaemChar"/>
          <w:rtl/>
        </w:rPr>
        <w:t>عليه‌السلام</w:t>
      </w:r>
      <w:r w:rsidRPr="00132E65">
        <w:rPr>
          <w:rtl/>
        </w:rPr>
        <w:t xml:space="preserve"> ، وفيهما مع اختلاف</w:t>
      </w:r>
      <w:r w:rsidR="006E557D">
        <w:rPr>
          <w:rFonts w:hint="cs"/>
          <w:rtl/>
        </w:rPr>
        <w:t>.</w:t>
      </w:r>
      <w:r w:rsidRPr="009D1ACE">
        <w:rPr>
          <w:rStyle w:val="libFootnoteBoldChar"/>
          <w:rtl/>
        </w:rPr>
        <w:t>الوافي</w:t>
      </w:r>
      <w:r w:rsidRPr="00132E65">
        <w:rPr>
          <w:rtl/>
        </w:rPr>
        <w:t xml:space="preserve"> ، ج 3 ، ص 922 ، ح 1598 ؛ </w:t>
      </w:r>
      <w:r w:rsidRPr="00E92B28">
        <w:rPr>
          <w:rtl/>
        </w:rPr>
        <w:t>البحار</w:t>
      </w:r>
      <w:r w:rsidRPr="00132E65">
        <w:rPr>
          <w:rtl/>
        </w:rPr>
        <w:t xml:space="preserve"> ، ج 23 ، ص 210 ، ح 15.</w:t>
      </w:r>
      <w:r w:rsidR="006E557D">
        <w:rPr>
          <w:rFonts w:hint="cs"/>
          <w:rtl/>
        </w:rPr>
        <w:t xml:space="preserve">     </w:t>
      </w:r>
      <w:r>
        <w:rPr>
          <w:rtl/>
        </w:rPr>
        <w:t>(3).</w:t>
      </w:r>
      <w:r w:rsidRPr="00132E65">
        <w:rPr>
          <w:rtl/>
        </w:rPr>
        <w:t xml:space="preserve"> في البحار : « سألت »</w:t>
      </w:r>
      <w:r>
        <w:rPr>
          <w:rtl/>
        </w:rPr>
        <w:t>.</w:t>
      </w:r>
    </w:p>
    <w:tbl>
      <w:tblPr>
        <w:tblStyle w:val="TableGrid"/>
        <w:bidiVisual/>
        <w:tblW w:w="0" w:type="auto"/>
        <w:tblLook w:val="04A0" w:firstRow="1" w:lastRow="0" w:firstColumn="1" w:lastColumn="0" w:noHBand="0" w:noVBand="1"/>
      </w:tblPr>
      <w:tblGrid>
        <w:gridCol w:w="4006"/>
        <w:gridCol w:w="4006"/>
      </w:tblGrid>
      <w:tr w:rsidR="006E557D" w:rsidTr="006E557D">
        <w:tc>
          <w:tcPr>
            <w:tcW w:w="4006" w:type="dxa"/>
          </w:tcPr>
          <w:p w:rsidR="006E557D" w:rsidRDefault="006E557D" w:rsidP="000C39D1">
            <w:pPr>
              <w:pStyle w:val="libFootnote0"/>
              <w:rPr>
                <w:rtl/>
              </w:rPr>
            </w:pPr>
            <w:r>
              <w:rPr>
                <w:rtl/>
              </w:rPr>
              <w:t>(4).</w:t>
            </w:r>
            <w:r w:rsidRPr="00132E65">
              <w:rPr>
                <w:rtl/>
              </w:rPr>
              <w:t xml:space="preserve"> المدّثّر (74) : 42</w:t>
            </w:r>
            <w:r>
              <w:rPr>
                <w:rtl/>
              </w:rPr>
              <w:t xml:space="preserve"> - </w:t>
            </w:r>
            <w:r w:rsidRPr="00132E65">
              <w:rPr>
                <w:rtl/>
              </w:rPr>
              <w:t>43.</w:t>
            </w:r>
          </w:p>
        </w:tc>
        <w:tc>
          <w:tcPr>
            <w:tcW w:w="4006" w:type="dxa"/>
          </w:tcPr>
          <w:p w:rsidR="006E557D" w:rsidRDefault="006E557D" w:rsidP="000C39D1">
            <w:pPr>
              <w:pStyle w:val="libFootnote0"/>
              <w:rPr>
                <w:rtl/>
              </w:rPr>
            </w:pPr>
            <w:r>
              <w:rPr>
                <w:rtl/>
              </w:rPr>
              <w:t>(5).</w:t>
            </w:r>
            <w:r w:rsidRPr="00132E65">
              <w:rPr>
                <w:rtl/>
              </w:rPr>
              <w:t xml:space="preserve"> الواقعة (56) : 10</w:t>
            </w:r>
            <w:r>
              <w:rPr>
                <w:rtl/>
              </w:rPr>
              <w:t xml:space="preserve"> - </w:t>
            </w:r>
            <w:r w:rsidRPr="00132E65">
              <w:rPr>
                <w:rtl/>
              </w:rPr>
              <w:t>11.</w:t>
            </w:r>
          </w:p>
        </w:tc>
      </w:tr>
    </w:tbl>
    <w:p w:rsidR="000C39D1" w:rsidRPr="00132E65" w:rsidRDefault="000C39D1" w:rsidP="000C39D1">
      <w:pPr>
        <w:pStyle w:val="libFootnote0"/>
        <w:rPr>
          <w:rtl/>
          <w:lang w:bidi="fa-IR"/>
        </w:rPr>
      </w:pPr>
      <w:r>
        <w:rPr>
          <w:rtl/>
        </w:rPr>
        <w:t>(6).</w:t>
      </w:r>
      <w:r w:rsidRPr="00132E65">
        <w:rPr>
          <w:rtl/>
        </w:rPr>
        <w:t xml:space="preserve"> « الحلبة » : خيل تجمع للسباق من كلّ أوب ، لا تخرج من اصطبل واحد. </w:t>
      </w:r>
      <w:r w:rsidRPr="00E92B28">
        <w:rPr>
          <w:rtl/>
        </w:rPr>
        <w:t>الصحاح</w:t>
      </w:r>
      <w:r w:rsidRPr="00132E65">
        <w:rPr>
          <w:rtl/>
        </w:rPr>
        <w:t xml:space="preserve"> ، ج 1 ، ص 115 ( حلب )</w:t>
      </w:r>
      <w:r>
        <w:rPr>
          <w:rtl/>
        </w:rPr>
        <w:t>.</w:t>
      </w:r>
    </w:p>
    <w:p w:rsidR="000C39D1" w:rsidRPr="00132E65" w:rsidRDefault="000C39D1" w:rsidP="000C39D1">
      <w:pPr>
        <w:pStyle w:val="libFootnote0"/>
        <w:rPr>
          <w:rtl/>
          <w:lang w:bidi="fa-IR"/>
        </w:rPr>
      </w:pPr>
      <w:r>
        <w:rPr>
          <w:rtl/>
        </w:rPr>
        <w:t>(7).</w:t>
      </w:r>
      <w:r w:rsidRPr="00132E65">
        <w:rPr>
          <w:rtl/>
        </w:rPr>
        <w:t xml:space="preserve"> كذا في النسخ ، ومقتضى القواعد : « مصلّياً »</w:t>
      </w:r>
      <w:r>
        <w:rPr>
          <w:rtl/>
        </w:rPr>
        <w:t>.</w:t>
      </w:r>
      <w:r w:rsidRPr="00132E65">
        <w:rPr>
          <w:rtl/>
        </w:rPr>
        <w:t xml:space="preserve"> ولعلّه ا</w:t>
      </w:r>
      <w:r w:rsidR="008A2262">
        <w:rPr>
          <w:rFonts w:hint="cs"/>
          <w:rtl/>
        </w:rPr>
        <w:t>ُ</w:t>
      </w:r>
      <w:r w:rsidRPr="00132E65">
        <w:rPr>
          <w:rtl/>
        </w:rPr>
        <w:t>ريد به الحكاية.</w:t>
      </w:r>
    </w:p>
    <w:p w:rsidR="000C39D1" w:rsidRPr="00132E65" w:rsidRDefault="000C39D1" w:rsidP="000C39D1">
      <w:pPr>
        <w:pStyle w:val="libFootnote0"/>
        <w:rPr>
          <w:rtl/>
          <w:lang w:bidi="fa-IR"/>
        </w:rPr>
      </w:pPr>
      <w:r>
        <w:rPr>
          <w:rtl/>
        </w:rPr>
        <w:t>(8).</w:t>
      </w:r>
      <w:r w:rsidRPr="00132E65">
        <w:rPr>
          <w:rtl/>
        </w:rPr>
        <w:t xml:space="preserve"> في « ب » : « قالوا »</w:t>
      </w:r>
      <w:r>
        <w:rPr>
          <w:rtl/>
        </w:rPr>
        <w:t>.</w:t>
      </w:r>
      <w:r w:rsidRPr="00132E65">
        <w:rPr>
          <w:rtl/>
        </w:rPr>
        <w:t xml:space="preserve"> وفي </w:t>
      </w:r>
      <w:r w:rsidRPr="009D1ACE">
        <w:rPr>
          <w:rStyle w:val="libFootnoteBoldChar"/>
          <w:rtl/>
        </w:rPr>
        <w:t>الوافي</w:t>
      </w:r>
      <w:r w:rsidRPr="00132E65">
        <w:rPr>
          <w:rtl/>
        </w:rPr>
        <w:t xml:space="preserve"> :</w:t>
      </w:r>
      <w:r>
        <w:rPr>
          <w:rtl/>
        </w:rPr>
        <w:t xml:space="preserve"> + </w:t>
      </w:r>
      <w:r w:rsidRPr="00132E65">
        <w:rPr>
          <w:rtl/>
        </w:rPr>
        <w:t>« أي »</w:t>
      </w:r>
      <w:r>
        <w:rPr>
          <w:rtl/>
        </w:rPr>
        <w:t>.</w:t>
      </w:r>
    </w:p>
    <w:p w:rsidR="000C39D1" w:rsidRPr="00132E65" w:rsidRDefault="000C39D1" w:rsidP="008A2262">
      <w:pPr>
        <w:pStyle w:val="libFootnote0"/>
        <w:rPr>
          <w:rtl/>
          <w:lang w:bidi="fa-IR"/>
        </w:rPr>
      </w:pPr>
      <w:r>
        <w:rPr>
          <w:rtl/>
        </w:rPr>
        <w:t>(9).</w:t>
      </w:r>
      <w:r w:rsidRPr="00132E65">
        <w:rPr>
          <w:rtl/>
        </w:rPr>
        <w:t xml:space="preserve"> راجع : </w:t>
      </w:r>
      <w:r w:rsidRPr="00E92B28">
        <w:rPr>
          <w:rtl/>
        </w:rPr>
        <w:t>تفسير القمّي</w:t>
      </w:r>
      <w:r w:rsidRPr="00132E65">
        <w:rPr>
          <w:rtl/>
        </w:rPr>
        <w:t xml:space="preserve"> ، ج 2 ، ص 395 ؛ و</w:t>
      </w:r>
      <w:r w:rsidRPr="00E92B28">
        <w:rPr>
          <w:rtl/>
        </w:rPr>
        <w:t>تفسير فرات</w:t>
      </w:r>
      <w:r w:rsidRPr="00132E65">
        <w:rPr>
          <w:rtl/>
        </w:rPr>
        <w:t xml:space="preserve"> ، ص 514 ، ح 673</w:t>
      </w:r>
      <w:r w:rsidR="008A2262">
        <w:rPr>
          <w:rFonts w:hint="cs"/>
          <w:rtl/>
        </w:rPr>
        <w:t>.</w:t>
      </w:r>
      <w:r w:rsidRPr="009D1ACE">
        <w:rPr>
          <w:rStyle w:val="libFootnoteBoldChar"/>
          <w:rtl/>
        </w:rPr>
        <w:t>الوافي</w:t>
      </w:r>
      <w:r w:rsidRPr="00132E65">
        <w:rPr>
          <w:rtl/>
        </w:rPr>
        <w:t xml:space="preserve"> ، ج 3 ، ص 923 ، ح 1599 ؛ </w:t>
      </w:r>
      <w:r w:rsidRPr="00E92B28">
        <w:rPr>
          <w:rtl/>
        </w:rPr>
        <w:t>البحار</w:t>
      </w:r>
      <w:r w:rsidRPr="00132E65">
        <w:rPr>
          <w:rtl/>
        </w:rPr>
        <w:t xml:space="preserve"> ، ج 24 ، ص 7 ، ح 19.</w:t>
      </w:r>
      <w:r w:rsidR="008A2262">
        <w:rPr>
          <w:rFonts w:hint="cs"/>
          <w:rtl/>
        </w:rPr>
        <w:t xml:space="preserve">         </w:t>
      </w:r>
      <w:r w:rsidR="00936037">
        <w:rPr>
          <w:rFonts w:hint="cs"/>
          <w:rtl/>
        </w:rPr>
        <w:t xml:space="preserve">   </w:t>
      </w:r>
      <w:r w:rsidR="008A2262">
        <w:rPr>
          <w:rFonts w:hint="cs"/>
          <w:rtl/>
        </w:rPr>
        <w:t xml:space="preserve"> </w:t>
      </w:r>
      <w:r>
        <w:rPr>
          <w:rtl/>
        </w:rPr>
        <w:t>(10).</w:t>
      </w:r>
      <w:r w:rsidRPr="00132E65">
        <w:rPr>
          <w:rtl/>
        </w:rPr>
        <w:t xml:space="preserve"> في « بح ، بس » و</w:t>
      </w:r>
      <w:r w:rsidRPr="000577A7">
        <w:rPr>
          <w:rStyle w:val="libFootnoteBoldChar"/>
          <w:rtl/>
        </w:rPr>
        <w:t>الكافي</w:t>
      </w:r>
      <w:r w:rsidRPr="00132E65">
        <w:rPr>
          <w:rtl/>
        </w:rPr>
        <w:t xml:space="preserve"> ، ح 589 : « قوله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ماءً غَدَقاً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يَقُولُ : « لَأَشْرَبْنَا قُلُوبَهُمُ الْإِيمَانَ ، والطَّرِيقَةُ هِيَ ولَايَةُ عَلِيِّ بْنِ أَبِي طَالِبٍ </w:t>
      </w:r>
      <w:r>
        <w:rPr>
          <w:rStyle w:val="libFootnotenumChar"/>
          <w:rtl/>
        </w:rPr>
        <w:t>(2)</w:t>
      </w:r>
      <w:r w:rsidRPr="00132E65">
        <w:rPr>
          <w:rtl/>
          <w:lang w:bidi="fa-IR"/>
        </w:rPr>
        <w:t xml:space="preserve"> وَالْأَوْصِيَاءِ</w:t>
      </w:r>
      <w:r>
        <w:rPr>
          <w:rStyle w:val="libFootnotenumChar"/>
          <w:rtl/>
        </w:rPr>
        <w:t>(3)</w:t>
      </w:r>
      <w:r w:rsidRPr="00132E65">
        <w:rPr>
          <w:rtl/>
          <w:lang w:bidi="fa-IR"/>
        </w:rPr>
        <w:t xml:space="preserve">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E92B28">
        <w:rPr>
          <w:rtl/>
        </w:rPr>
        <w:t>1127</w:t>
      </w:r>
      <w:r w:rsidRPr="004325D8">
        <w:rPr>
          <w:rStyle w:val="libBold2Char"/>
          <w:rtl/>
        </w:rPr>
        <w:t xml:space="preserve"> / 40.</w:t>
      </w:r>
      <w:r w:rsidRPr="00132E65">
        <w:rPr>
          <w:rtl/>
          <w:lang w:bidi="fa-IR"/>
        </w:rPr>
        <w:t xml:space="preserve"> الْحُسَيْنُ بْنُ مُحَمَّدٍ ، عَنْ مُعَلَّى بْنِ مُحَمَّدٍ ، عَنْ مُحَمَّدِ بْنِ جُمْهُورٍ ، عَنْ فَضَالَةَ بْنِ أَيُّوبَ ، عَنِ الْحُسَيْنِ </w:t>
      </w:r>
      <w:r>
        <w:rPr>
          <w:rStyle w:val="libFootnotenumChar"/>
          <w:rtl/>
        </w:rPr>
        <w:t>(5)</w:t>
      </w:r>
      <w:r w:rsidRPr="00132E65">
        <w:rPr>
          <w:rtl/>
          <w:lang w:bidi="fa-IR"/>
        </w:rPr>
        <w:t xml:space="preserve"> بْنِ عُثْمَانَ ، عَنْ أَبِي أَيُّوبَ ، عَنْ مُحَمَّدِ بْنِ مُسْلِمٍ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الَّذِينَ قالُوا رَبُّنَا اللهُ ثُمَّ اسْتَقامُوا </w:t>
      </w:r>
      <w:r w:rsidRPr="00071CF9">
        <w:rPr>
          <w:rStyle w:val="libAlaemChar"/>
          <w:rtl/>
        </w:rPr>
        <w:t>)</w:t>
      </w:r>
      <w:r w:rsidRPr="00132E65">
        <w:rPr>
          <w:rtl/>
          <w:lang w:bidi="fa-IR"/>
        </w:rPr>
        <w:t xml:space="preserve"> فَقَالَ أَبُو عَبْدِ اللهِ </w:t>
      </w:r>
      <w:r w:rsidRPr="00071CF9">
        <w:rPr>
          <w:rStyle w:val="libAlaemChar"/>
          <w:rtl/>
        </w:rPr>
        <w:t>عليه‌السلام</w:t>
      </w:r>
      <w:r w:rsidRPr="00132E65">
        <w:rPr>
          <w:rtl/>
          <w:lang w:bidi="fa-IR"/>
        </w:rPr>
        <w:t xml:space="preserve"> : « اسْتَقَامُوا عَلَى الْأَئِمَّةِ واحِداً بَعْدَ واحِدٍ</w:t>
      </w:r>
      <w:r>
        <w:rPr>
          <w:rFonts w:hint="cs"/>
          <w:rtl/>
          <w:lang w:bidi="fa-IR"/>
        </w:rPr>
        <w:t xml:space="preserve"> </w:t>
      </w:r>
      <w:r w:rsidRPr="00071CF9">
        <w:rPr>
          <w:rStyle w:val="libAlaemChar"/>
          <w:rtl/>
        </w:rPr>
        <w:t>(</w:t>
      </w:r>
      <w:r w:rsidRPr="00071CF9">
        <w:rPr>
          <w:rStyle w:val="libAieChar"/>
          <w:rtl/>
        </w:rPr>
        <w:t xml:space="preserve"> تَتَنَزَّل</w:t>
      </w:r>
      <w:r w:rsidR="001B133E">
        <w:rPr>
          <w:rStyle w:val="libAieChar"/>
          <w:rtl/>
        </w:rPr>
        <w:t>ُ عَلَيْهِمُ الْمَلائِكَةُ أَل</w:t>
      </w:r>
      <w:r w:rsidR="001B133E">
        <w:rPr>
          <w:rStyle w:val="libAieChar"/>
          <w:rFonts w:hint="cs"/>
          <w:rtl/>
        </w:rPr>
        <w:t>ّ</w:t>
      </w:r>
      <w:r w:rsidR="001B133E">
        <w:rPr>
          <w:rStyle w:val="libAieChar"/>
          <w:rtl/>
        </w:rPr>
        <w:t>ا</w:t>
      </w:r>
      <w:r w:rsidRPr="00071CF9">
        <w:rPr>
          <w:rStyle w:val="libAieChar"/>
          <w:rtl/>
        </w:rPr>
        <w:t xml:space="preserve"> تَخافُوا وَلا تَحْزَنُوا وَأَبْشِرُوا بِالْجَنَّةِ الَّتِي كُنْتُمْ تُوعَدُونَ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E92B28">
        <w:rPr>
          <w:rtl/>
        </w:rPr>
        <w:t>1128</w:t>
      </w:r>
      <w:r w:rsidRPr="004325D8">
        <w:rPr>
          <w:rStyle w:val="libBold2Char"/>
          <w:rtl/>
        </w:rPr>
        <w:t xml:space="preserve"> / 41.</w:t>
      </w:r>
      <w:r w:rsidRPr="00132E65">
        <w:rPr>
          <w:rtl/>
          <w:lang w:bidi="fa-IR"/>
        </w:rPr>
        <w:t xml:space="preserve"> الْحُسَيْنُ بْنُ مُحَمَّدٍ ، عَنْ مُعَلَّى بْنِ مُحَمَّدٍ ، عَنِ الْوَشَّاءِ ، عَنْ مُحَمَّدِ بْنِ الْفُضَيْلِ ، عَنْ أَبِي حَمْزَةَ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عَنْ قَوْلِ اللهِ </w:t>
      </w:r>
      <w:r>
        <w:rPr>
          <w:rStyle w:val="libFootnotenumChar"/>
          <w:rtl/>
        </w:rPr>
        <w:t>(8)</w:t>
      </w:r>
      <w:r w:rsidRPr="00132E65">
        <w:rPr>
          <w:rtl/>
          <w:lang w:bidi="fa-IR"/>
        </w:rPr>
        <w:t xml:space="preserve"> تَعَالى : </w:t>
      </w:r>
      <w:r w:rsidRPr="00071CF9">
        <w:rPr>
          <w:rStyle w:val="libAlaemChar"/>
          <w:rtl/>
        </w:rPr>
        <w:t>(</w:t>
      </w:r>
      <w:r w:rsidRPr="00071CF9">
        <w:rPr>
          <w:rStyle w:val="libAieChar"/>
          <w:rtl/>
        </w:rPr>
        <w:t xml:space="preserve"> قُلْ إِنَّما أَعِظُكُمْ</w:t>
      </w:r>
      <w:r w:rsidR="001B133E">
        <w:rPr>
          <w:rStyle w:val="libAieChar"/>
          <w:rFonts w:hint="cs"/>
          <w:rtl/>
        </w:rPr>
        <w:t xml:space="preserve"> </w:t>
      </w:r>
      <w:r w:rsidR="001B133E">
        <w:rPr>
          <w:rFonts w:hint="cs"/>
          <w:rtl/>
        </w:rPr>
        <w:t xml:space="preserve">           </w:t>
      </w:r>
      <w:r w:rsidR="001B133E" w:rsidRPr="001B133E">
        <w:rPr>
          <w:rFonts w:hint="cs"/>
          <w:rtl/>
        </w:rPr>
        <w:t xml:space="preserve">    </w:t>
      </w:r>
      <w:r w:rsidR="001B133E">
        <w:rPr>
          <w:rStyle w:val="libAieChar"/>
          <w:rFonts w:hint="cs"/>
          <w:rtl/>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الجنّ (72) : 16. وفي </w:t>
      </w:r>
      <w:r w:rsidRPr="000577A7">
        <w:rPr>
          <w:rStyle w:val="libFootnoteBoldChar"/>
          <w:rtl/>
        </w:rPr>
        <w:t>الكافي</w:t>
      </w:r>
      <w:r w:rsidRPr="00132E65">
        <w:rPr>
          <w:rtl/>
        </w:rPr>
        <w:t xml:space="preserve"> ، ح 589 :</w:t>
      </w:r>
      <w:r>
        <w:rPr>
          <w:rtl/>
        </w:rPr>
        <w:t xml:space="preserve"> + </w:t>
      </w:r>
      <w:r w:rsidRPr="00132E65">
        <w:rPr>
          <w:rtl/>
        </w:rPr>
        <w:t xml:space="preserve">« قال : يعني لو استقاموا على ولاية عليّ بن أبي طالب أمير المؤمنين والأوصياء من ولده </w:t>
      </w:r>
      <w:r w:rsidRPr="00637C7C">
        <w:rPr>
          <w:rStyle w:val="libFootnoteAlaemChar"/>
          <w:rtl/>
        </w:rPr>
        <w:t>عليهم‌السلام</w:t>
      </w:r>
      <w:r w:rsidRPr="00132E65">
        <w:rPr>
          <w:rtl/>
        </w:rPr>
        <w:t xml:space="preserve"> وقبلوا طاعتهم في أمرهم ونهيهم لأسقيناهم ماءً غدقاً »</w:t>
      </w:r>
      <w:r>
        <w:rPr>
          <w:rtl/>
        </w:rPr>
        <w:t>.</w:t>
      </w:r>
    </w:p>
    <w:p w:rsidR="000C39D1" w:rsidRPr="00132E65" w:rsidRDefault="000C39D1" w:rsidP="00637C7C">
      <w:pPr>
        <w:pStyle w:val="libFootnote0"/>
        <w:rPr>
          <w:rtl/>
          <w:lang w:bidi="fa-IR"/>
        </w:rPr>
      </w:pPr>
      <w:r>
        <w:rPr>
          <w:rtl/>
        </w:rPr>
        <w:t>(2).</w:t>
      </w:r>
      <w:r w:rsidRPr="00132E65">
        <w:rPr>
          <w:rtl/>
        </w:rPr>
        <w:t xml:space="preserve"> في « ب ، بح » : « عليّ </w:t>
      </w:r>
      <w:r w:rsidRPr="00637C7C">
        <w:rPr>
          <w:rStyle w:val="libFootnoteAlaemChar"/>
          <w:rtl/>
        </w:rPr>
        <w:t>عليه‌السلام</w:t>
      </w:r>
      <w:r w:rsidRPr="00132E65">
        <w:rPr>
          <w:rtl/>
        </w:rPr>
        <w:t xml:space="preserve"> »</w:t>
      </w:r>
      <w:r>
        <w:rPr>
          <w:rtl/>
        </w:rPr>
        <w:t>.</w:t>
      </w:r>
      <w:r w:rsidRPr="00132E65">
        <w:rPr>
          <w:rtl/>
        </w:rPr>
        <w:t xml:space="preserve"> وفي </w:t>
      </w:r>
      <w:r w:rsidRPr="000577A7">
        <w:rPr>
          <w:rStyle w:val="libFootnoteBoldChar"/>
          <w:rtl/>
        </w:rPr>
        <w:t>الكافي</w:t>
      </w:r>
      <w:r w:rsidRPr="00132E65">
        <w:rPr>
          <w:rtl/>
        </w:rPr>
        <w:t xml:space="preserve"> ، ح 589 : « والطريقة هي الإيمان بولاية عليّ </w:t>
      </w:r>
      <w:r w:rsidRPr="00637C7C">
        <w:rPr>
          <w:rStyle w:val="libFootnoteAlaemChar"/>
          <w:rtl/>
        </w:rPr>
        <w:t>عليه‌السلام</w:t>
      </w:r>
      <w:r w:rsidRPr="00132E65">
        <w:rPr>
          <w:rtl/>
        </w:rPr>
        <w:t xml:space="preserve"> » بدل « والطريقة هي ولاية عليّ بن أبي طالب »</w:t>
      </w:r>
      <w:r>
        <w:rPr>
          <w:rtl/>
        </w:rPr>
        <w:t>.</w:t>
      </w:r>
      <w:r w:rsidR="00637C7C">
        <w:rPr>
          <w:rFonts w:hint="cs"/>
          <w:rtl/>
        </w:rPr>
        <w:t xml:space="preserve">                       </w:t>
      </w:r>
      <w:r>
        <w:rPr>
          <w:rtl/>
        </w:rPr>
        <w:t>(3).</w:t>
      </w:r>
      <w:r w:rsidRPr="00132E65">
        <w:rPr>
          <w:rtl/>
        </w:rPr>
        <w:t xml:space="preserve"> في « ب » :</w:t>
      </w:r>
      <w:r>
        <w:rPr>
          <w:rtl/>
        </w:rPr>
        <w:t xml:space="preserve"> + </w:t>
      </w:r>
      <w:r w:rsidRPr="00132E65">
        <w:rPr>
          <w:rtl/>
        </w:rPr>
        <w:t>« من ولده »</w:t>
      </w:r>
      <w:r>
        <w:rPr>
          <w:rtl/>
        </w:rPr>
        <w:t>.</w:t>
      </w:r>
    </w:p>
    <w:p w:rsidR="000C39D1" w:rsidRPr="00132E65" w:rsidRDefault="000C39D1" w:rsidP="00637C7C">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الحجّة ، باب أنّ الطريقة التي حُثّ على الاستقامة عليها ولاية عليّ </w:t>
      </w:r>
      <w:r w:rsidRPr="00637C7C">
        <w:rPr>
          <w:rStyle w:val="libFootnoteAlaemChar"/>
          <w:rtl/>
        </w:rPr>
        <w:t>عليه‌السلام</w:t>
      </w:r>
      <w:r w:rsidRPr="00132E65">
        <w:rPr>
          <w:rtl/>
        </w:rPr>
        <w:t xml:space="preserve"> ، ح 589. وفي </w:t>
      </w:r>
      <w:r w:rsidRPr="00E92B28">
        <w:rPr>
          <w:rtl/>
        </w:rPr>
        <w:t>تفسير القمّي</w:t>
      </w:r>
      <w:r w:rsidRPr="00132E65">
        <w:rPr>
          <w:rtl/>
        </w:rPr>
        <w:t xml:space="preserve"> ، ج 2 ، ص 389 بسند آخر عن أبي جعفر ، عن أبيه </w:t>
      </w:r>
      <w:r w:rsidRPr="00637C7C">
        <w:rPr>
          <w:rStyle w:val="libFootnoteAlaemChar"/>
          <w:rtl/>
        </w:rPr>
        <w:t>عليهما‌السلام</w:t>
      </w:r>
      <w:r w:rsidRPr="00132E65">
        <w:rPr>
          <w:rtl/>
        </w:rPr>
        <w:t xml:space="preserve"> ؛ وفيه بعد ذكر الآية : « الطريقة : الولاية لعليّ </w:t>
      </w:r>
      <w:r w:rsidRPr="00637C7C">
        <w:rPr>
          <w:rStyle w:val="libFootnoteAlaemChar"/>
          <w:rtl/>
        </w:rPr>
        <w:t>عليه‌السلام</w:t>
      </w:r>
      <w:r w:rsidRPr="00132E65">
        <w:rPr>
          <w:rtl/>
        </w:rPr>
        <w:t xml:space="preserve"> »</w:t>
      </w:r>
      <w:r w:rsidR="00637C7C">
        <w:rPr>
          <w:rFonts w:hint="cs"/>
          <w:rtl/>
        </w:rPr>
        <w:t>.</w:t>
      </w:r>
      <w:r w:rsidRPr="009D1ACE">
        <w:rPr>
          <w:rStyle w:val="libFootnoteBoldChar"/>
          <w:rtl/>
        </w:rPr>
        <w:t>الوافي</w:t>
      </w:r>
      <w:r w:rsidRPr="00132E65">
        <w:rPr>
          <w:rtl/>
        </w:rPr>
        <w:t xml:space="preserve"> ، ج 3 ، ص 891 ، ح 1540 ؛ </w:t>
      </w:r>
      <w:r w:rsidRPr="00E92B28">
        <w:rPr>
          <w:rtl/>
        </w:rPr>
        <w:t>البحار</w:t>
      </w:r>
      <w:r w:rsidRPr="00132E65">
        <w:rPr>
          <w:rtl/>
        </w:rPr>
        <w:t xml:space="preserve"> ، ج 24 ، ص 11 ، ح 21.</w:t>
      </w:r>
    </w:p>
    <w:p w:rsidR="000C39D1" w:rsidRPr="00132E65" w:rsidRDefault="000C39D1" w:rsidP="000C39D1">
      <w:pPr>
        <w:pStyle w:val="libFootnote0"/>
        <w:rPr>
          <w:rtl/>
          <w:lang w:bidi="fa-IR"/>
        </w:rPr>
      </w:pPr>
      <w:r>
        <w:rPr>
          <w:rtl/>
        </w:rPr>
        <w:t>(5).</w:t>
      </w:r>
      <w:r w:rsidRPr="00132E65">
        <w:rPr>
          <w:rtl/>
        </w:rPr>
        <w:t xml:space="preserve"> في « ج ، بح ، بر ، بس ، بف ، جر » : « الحسن »</w:t>
      </w:r>
      <w:r>
        <w:rPr>
          <w:rtl/>
        </w:rPr>
        <w:t>.</w:t>
      </w:r>
      <w:r w:rsidRPr="00132E65">
        <w:rPr>
          <w:rtl/>
        </w:rPr>
        <w:t xml:space="preserve"> وهو سهو ؛ فقد روى فضالة [ بن أيّوب ] عن الحسين بن عثمان في أسنادٍ كثيرةٍ. راجع : </w:t>
      </w:r>
      <w:r w:rsidRPr="00E92B28">
        <w:rPr>
          <w:rtl/>
        </w:rPr>
        <w:t>معجم رجال الحديث</w:t>
      </w:r>
      <w:r w:rsidRPr="00132E65">
        <w:rPr>
          <w:rtl/>
        </w:rPr>
        <w:t xml:space="preserve"> ، ج 13 ، ص 434 ، وص 445</w:t>
      </w:r>
      <w:r>
        <w:rPr>
          <w:rtl/>
        </w:rPr>
        <w:t xml:space="preserve"> - </w:t>
      </w:r>
      <w:r w:rsidRPr="00132E65">
        <w:rPr>
          <w:rtl/>
        </w:rPr>
        <w:t xml:space="preserve">446 ؛ </w:t>
      </w:r>
      <w:r w:rsidRPr="00E92B28">
        <w:rPr>
          <w:rtl/>
        </w:rPr>
        <w:t>رجال الكشّي</w:t>
      </w:r>
      <w:r w:rsidRPr="00132E65">
        <w:rPr>
          <w:rtl/>
        </w:rPr>
        <w:t xml:space="preserve"> ، ص 236 ، الرقم 429. والحسن بن عثمان غير مذكور في المصادر الرجاليّة.</w:t>
      </w:r>
    </w:p>
    <w:p w:rsidR="000C39D1" w:rsidRPr="00132E65" w:rsidRDefault="000C39D1" w:rsidP="000C39D1">
      <w:pPr>
        <w:pStyle w:val="libFootnote0"/>
        <w:rPr>
          <w:rtl/>
          <w:lang w:bidi="fa-IR"/>
        </w:rPr>
      </w:pPr>
      <w:r>
        <w:rPr>
          <w:rtl/>
        </w:rPr>
        <w:t>(6).</w:t>
      </w:r>
      <w:r w:rsidRPr="00132E65">
        <w:rPr>
          <w:rtl/>
        </w:rPr>
        <w:t xml:space="preserve"> فصّلت (41) : 30.</w:t>
      </w:r>
    </w:p>
    <w:p w:rsidR="000C39D1" w:rsidRPr="00132E65" w:rsidRDefault="000C39D1" w:rsidP="00637C7C">
      <w:pPr>
        <w:pStyle w:val="libFootnote0"/>
        <w:rPr>
          <w:rtl/>
          <w:lang w:bidi="fa-IR"/>
        </w:rPr>
      </w:pPr>
      <w:r>
        <w:rPr>
          <w:rtl/>
        </w:rPr>
        <w:t>(7).</w:t>
      </w:r>
      <w:r w:rsidRPr="00132E65">
        <w:rPr>
          <w:rtl/>
        </w:rPr>
        <w:t xml:space="preserve"> </w:t>
      </w:r>
      <w:r w:rsidRPr="000577A7">
        <w:rPr>
          <w:rStyle w:val="libFootnoteBoldChar"/>
          <w:rtl/>
        </w:rPr>
        <w:t>الكافي</w:t>
      </w:r>
      <w:r w:rsidRPr="00132E65">
        <w:rPr>
          <w:rtl/>
        </w:rPr>
        <w:t xml:space="preserve"> ، كتاب الحجّة ، باب أنّ الطريقة التي حُثّ على الاستقامة عليها ولاية عليّ </w:t>
      </w:r>
      <w:r w:rsidRPr="00637C7C">
        <w:rPr>
          <w:rStyle w:val="libFootnoteAlaemChar"/>
          <w:rtl/>
        </w:rPr>
        <w:t>عليه‌السلام</w:t>
      </w:r>
      <w:r w:rsidRPr="00132E65">
        <w:rPr>
          <w:rtl/>
        </w:rPr>
        <w:t xml:space="preserve"> ، ح 590. وفي </w:t>
      </w:r>
      <w:r w:rsidRPr="007A1104">
        <w:rPr>
          <w:rStyle w:val="libFootnoteBoldChar"/>
          <w:rtl/>
        </w:rPr>
        <w:t>بصائر الدرجات</w:t>
      </w:r>
      <w:r w:rsidRPr="00132E65">
        <w:rPr>
          <w:rtl/>
        </w:rPr>
        <w:t xml:space="preserve"> ، ص 93</w:t>
      </w:r>
      <w:r>
        <w:rPr>
          <w:rtl/>
        </w:rPr>
        <w:t xml:space="preserve"> - </w:t>
      </w:r>
      <w:r w:rsidRPr="00132E65">
        <w:rPr>
          <w:rtl/>
        </w:rPr>
        <w:t xml:space="preserve">94 ، ح 15 </w:t>
      </w:r>
      <w:r>
        <w:rPr>
          <w:rtl/>
        </w:rPr>
        <w:t>و 1</w:t>
      </w:r>
      <w:r w:rsidRPr="00132E65">
        <w:rPr>
          <w:rtl/>
        </w:rPr>
        <w:t>9 ؛ وص 524 ، ح 22 ؛ و</w:t>
      </w:r>
      <w:r w:rsidRPr="00E92B28">
        <w:rPr>
          <w:rtl/>
        </w:rPr>
        <w:t>تفسير فرات</w:t>
      </w:r>
      <w:r w:rsidRPr="00132E65">
        <w:rPr>
          <w:rtl/>
        </w:rPr>
        <w:t xml:space="preserve"> ، ص 382 ، ح 511 ، بسند آخر ، مع اختلاف. راجع : </w:t>
      </w:r>
      <w:r w:rsidRPr="00E92B28">
        <w:rPr>
          <w:rtl/>
        </w:rPr>
        <w:t>تفسير القمّي</w:t>
      </w:r>
      <w:r w:rsidRPr="00132E65">
        <w:rPr>
          <w:rtl/>
        </w:rPr>
        <w:t xml:space="preserve"> ، ج 2 ، ص 265 ؛ وص 296</w:t>
      </w:r>
      <w:r w:rsidR="00637C7C">
        <w:rPr>
          <w:rFonts w:hint="cs"/>
          <w:rtl/>
        </w:rPr>
        <w:t>.</w:t>
      </w:r>
      <w:r w:rsidRPr="009D1ACE">
        <w:rPr>
          <w:rStyle w:val="libFootnoteBoldChar"/>
          <w:rtl/>
        </w:rPr>
        <w:t>الوافي</w:t>
      </w:r>
      <w:r w:rsidRPr="00132E65">
        <w:rPr>
          <w:rtl/>
        </w:rPr>
        <w:t xml:space="preserve"> ، ج 3 ، ص 892 ، ح 1541.</w:t>
      </w:r>
    </w:p>
    <w:p w:rsidR="000C39D1" w:rsidRPr="00132E65" w:rsidRDefault="000C39D1" w:rsidP="000C39D1">
      <w:pPr>
        <w:pStyle w:val="libFootnote0"/>
        <w:rPr>
          <w:rtl/>
          <w:lang w:bidi="fa-IR"/>
        </w:rPr>
      </w:pPr>
      <w:r>
        <w:rPr>
          <w:rtl/>
        </w:rPr>
        <w:t>(8).</w:t>
      </w:r>
      <w:r w:rsidRPr="00132E65">
        <w:rPr>
          <w:rtl/>
        </w:rPr>
        <w:t xml:space="preserve"> في « ج ، بح ، بس ، بف » وتفسير القمّي : « قوله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بِواحِدَةٍ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فَقَالَ : « إِنَّمَا أَعِظُكُمْ بِوَلَايَةِ عَلِيٍّ </w:t>
      </w:r>
      <w:r>
        <w:rPr>
          <w:rStyle w:val="libFootnotenumChar"/>
          <w:rtl/>
        </w:rPr>
        <w:t>(2)</w:t>
      </w:r>
      <w:r w:rsidRPr="00132E65">
        <w:rPr>
          <w:rtl/>
          <w:lang w:bidi="fa-IR"/>
        </w:rPr>
        <w:t xml:space="preserve"> </w:t>
      </w:r>
      <w:r w:rsidRPr="00071CF9">
        <w:rPr>
          <w:rStyle w:val="libAlaemChar"/>
          <w:rtl/>
        </w:rPr>
        <w:t>عليه‌السلام</w:t>
      </w:r>
      <w:r w:rsidRPr="00132E65">
        <w:rPr>
          <w:rtl/>
          <w:lang w:bidi="fa-IR"/>
        </w:rPr>
        <w:t xml:space="preserve"> ، هِيَ الْوَاحِدَةُ الَّتِي قَالَ اللهُ تَبَارَكَ وَتَعَالى : </w:t>
      </w:r>
      <w:r w:rsidRPr="00071CF9">
        <w:rPr>
          <w:rStyle w:val="libAlaemChar"/>
          <w:rtl/>
        </w:rPr>
        <w:t>(</w:t>
      </w:r>
      <w:r w:rsidRPr="00071CF9">
        <w:rPr>
          <w:rStyle w:val="libAieChar"/>
          <w:rtl/>
        </w:rPr>
        <w:t xml:space="preserve">إِنَّما أَعِظُكُمْ بِواحِدَةٍ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E92B28">
        <w:rPr>
          <w:rtl/>
        </w:rPr>
        <w:t>1129</w:t>
      </w:r>
      <w:r w:rsidRPr="004325D8">
        <w:rPr>
          <w:rStyle w:val="libBold2Char"/>
          <w:rtl/>
        </w:rPr>
        <w:t xml:space="preserve"> / 42.</w:t>
      </w:r>
      <w:r w:rsidRPr="00132E65">
        <w:rPr>
          <w:rtl/>
          <w:lang w:bidi="fa-IR"/>
        </w:rPr>
        <w:t xml:space="preserve"> الْحُسَيْنُ بْنُ مُحَمَّدٍ ، عَنْ مُعَلَّى بْنِ مُحَمَّدٍ ، عَنْ مُحَمَّدِ بْنِ أُورَمَةَ وعَلِيِّ بْنِ عَبْدِ اللهِ ، عَنْ عَلِيِّ بْنِ حَسَّانَ ، عَنْ عَبْدِ الرَّحْمنِ بْنِ كَثِيرٍ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إِنَّ الَّذِينَ آمَنُوا ثُمَّ كَفَرُوا ثُمَّ آمَنُوا ثُمَّ كَفَرُوا ثُمَّ ازْدادُوا كُفْراً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sidRPr="00071CF9">
        <w:rPr>
          <w:rStyle w:val="libAlaemChar"/>
          <w:rtl/>
        </w:rPr>
        <w:t>(</w:t>
      </w:r>
      <w:r w:rsidRPr="00071CF9">
        <w:rPr>
          <w:rStyle w:val="libAieChar"/>
          <w:rtl/>
        </w:rPr>
        <w:t xml:space="preserve"> لَنْ تُقْبَلَ تَوْبَتُهُمْ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قَالَ : « نَزَلَتْ فِي فُلَانٍ وفُلَانٍ وفُلَانٍ ، آمَنُوا بِالنَّبِيِّ </w:t>
      </w:r>
      <w:r w:rsidRPr="0093484F">
        <w:rPr>
          <w:rStyle w:val="libAlaemChar"/>
          <w:rFonts w:eastAsiaTheme="minorHAnsi"/>
          <w:rtl/>
        </w:rPr>
        <w:t>صلى‌الله‌عليه‌وآله</w:t>
      </w:r>
      <w:r w:rsidRPr="00132E65">
        <w:rPr>
          <w:rtl/>
          <w:lang w:bidi="fa-IR"/>
        </w:rPr>
        <w:t xml:space="preserve"> فِي أَوَّلِ الْأَمْرِ ، وكَفَرُوا حَيْثُ عُرِضَتْ عَلَيْهِمُ الْوَلَايَةُ حِينَ قَالَ النَّبِيُّ </w:t>
      </w:r>
      <w:r w:rsidRPr="0093484F">
        <w:rPr>
          <w:rStyle w:val="libAlaemChar"/>
          <w:rFonts w:eastAsiaTheme="minorHAnsi"/>
          <w:rtl/>
        </w:rPr>
        <w:t>صلى‌الله‌عليه‌وآله</w:t>
      </w:r>
      <w:r w:rsidRPr="00132E65">
        <w:rPr>
          <w:rtl/>
          <w:lang w:bidi="fa-IR"/>
        </w:rPr>
        <w:t xml:space="preserve"> : مَنْ كُنْتُ مَوْلَاهُ ، فَهذَا عَلِيٌّ </w:t>
      </w:r>
      <w:r>
        <w:rPr>
          <w:rStyle w:val="libFootnotenumChar"/>
          <w:rtl/>
        </w:rPr>
        <w:t>(7)</w:t>
      </w:r>
      <w:r w:rsidRPr="00132E65">
        <w:rPr>
          <w:rtl/>
          <w:lang w:bidi="fa-IR"/>
        </w:rPr>
        <w:t xml:space="preserve"> مَوْلَاهُ ، ثُمَّ آمَنُوا بِالْبَيْعَةِ لِأَمِيرِ الْمُؤْمِنِينَ </w:t>
      </w:r>
      <w:r w:rsidRPr="00071CF9">
        <w:rPr>
          <w:rStyle w:val="libAlaemChar"/>
          <w:rtl/>
        </w:rPr>
        <w:t>عليه‌السلام</w:t>
      </w:r>
      <w:r w:rsidRPr="00132E65">
        <w:rPr>
          <w:rtl/>
          <w:lang w:bidi="fa-IR"/>
        </w:rPr>
        <w:t xml:space="preserve"> ، ثُمَّ كَفَرُوا حَيْثُ مَضى رَسُولُ اللهِ </w:t>
      </w:r>
      <w:r w:rsidRPr="0093484F">
        <w:rPr>
          <w:rStyle w:val="libAlaemChar"/>
          <w:rFonts w:eastAsiaTheme="minorHAnsi"/>
          <w:rtl/>
        </w:rPr>
        <w:t>صلى‌الله‌عليه‌وآله</w:t>
      </w:r>
      <w:r w:rsidRPr="00132E65">
        <w:rPr>
          <w:rtl/>
          <w:lang w:bidi="fa-IR"/>
        </w:rPr>
        <w:t xml:space="preserve"> ، فَلَمْ يَقِرُّوا بِالْبَيْعَةِ ، ثُمَّ ازْدَادُوا كُفْراً بِأَخْذِهِمْ مَنْ بَايَعَهُ بِالْبَيْعَةِ لَهُمْ ، فَهؤُلَاءِ لَمْ يَبْقَ فِيهِمْ مِنَ الْإِيمَانِ شَيْ‌ءٌ »</w:t>
      </w:r>
      <w:r>
        <w:rPr>
          <w:rtl/>
          <w:lang w:bidi="fa-IR"/>
        </w:rPr>
        <w:t>.</w:t>
      </w:r>
      <w:r w:rsidRPr="00132E65">
        <w:rPr>
          <w:rtl/>
          <w:lang w:bidi="fa-IR"/>
        </w:rPr>
        <w:t xml:space="preserve"> </w:t>
      </w:r>
      <w:r>
        <w:rPr>
          <w:rStyle w:val="libFootnotenumChar"/>
          <w:rtl/>
        </w:rPr>
        <w:t>(8)</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A7388" w:rsidTr="00EA7388">
        <w:tc>
          <w:tcPr>
            <w:tcW w:w="4006" w:type="dxa"/>
          </w:tcPr>
          <w:p w:rsidR="00EA7388" w:rsidRDefault="00EA7388" w:rsidP="000C39D1">
            <w:pPr>
              <w:pStyle w:val="libFootnote0"/>
              <w:rPr>
                <w:rtl/>
              </w:rPr>
            </w:pPr>
            <w:r>
              <w:rPr>
                <w:rtl/>
              </w:rPr>
              <w:t>(1).</w:t>
            </w:r>
            <w:r w:rsidRPr="00132E65">
              <w:rPr>
                <w:rtl/>
              </w:rPr>
              <w:t xml:space="preserve"> سبأ (34) : 46.</w:t>
            </w:r>
          </w:p>
        </w:tc>
        <w:tc>
          <w:tcPr>
            <w:tcW w:w="4006" w:type="dxa"/>
          </w:tcPr>
          <w:p w:rsidR="00EA7388" w:rsidRDefault="00EA7388" w:rsidP="000C39D1">
            <w:pPr>
              <w:pStyle w:val="libFootnote0"/>
              <w:rPr>
                <w:rtl/>
              </w:rPr>
            </w:pPr>
            <w:r>
              <w:rPr>
                <w:rtl/>
              </w:rPr>
              <w:t>(2).</w:t>
            </w:r>
            <w:r w:rsidRPr="00132E65">
              <w:rPr>
                <w:rtl/>
              </w:rPr>
              <w:t xml:space="preserve"> في « ج » :</w:t>
            </w:r>
            <w:r>
              <w:rPr>
                <w:rtl/>
              </w:rPr>
              <w:t xml:space="preserve"> + </w:t>
            </w:r>
            <w:r w:rsidRPr="00132E65">
              <w:rPr>
                <w:rtl/>
              </w:rPr>
              <w:t>« بن أبي طالب »</w:t>
            </w:r>
            <w:r>
              <w:rPr>
                <w:rtl/>
              </w:rPr>
              <w:t>.</w:t>
            </w:r>
          </w:p>
        </w:tc>
      </w:tr>
    </w:tbl>
    <w:p w:rsidR="000C39D1" w:rsidRPr="00132E65" w:rsidRDefault="000C39D1" w:rsidP="00EB0BAD">
      <w:pPr>
        <w:pStyle w:val="libFootnote0"/>
        <w:rPr>
          <w:rtl/>
          <w:lang w:bidi="fa-IR"/>
        </w:rPr>
      </w:pPr>
      <w:r>
        <w:rPr>
          <w:rtl/>
        </w:rPr>
        <w:t>(3).</w:t>
      </w:r>
      <w:r w:rsidRPr="00132E65">
        <w:rPr>
          <w:rtl/>
        </w:rPr>
        <w:t xml:space="preserve"> في « ج » </w:t>
      </w:r>
      <w:r>
        <w:rPr>
          <w:rtl/>
        </w:rPr>
        <w:t xml:space="preserve">: - </w:t>
      </w:r>
      <w:r w:rsidR="00EB0BAD" w:rsidRPr="00EB0BAD">
        <w:rPr>
          <w:rStyle w:val="libFootnoteAlaemChar"/>
          <w:rFonts w:hint="cs"/>
          <w:rtl/>
        </w:rPr>
        <w:t>(</w:t>
      </w:r>
      <w:r w:rsidRPr="00EB0BAD">
        <w:rPr>
          <w:rStyle w:val="libFootnoteAieChar"/>
          <w:rtl/>
        </w:rPr>
        <w:t xml:space="preserve"> إِنَّما أَعِظُكُمْ بِواحِدَةٍ </w:t>
      </w:r>
      <w:r w:rsidR="00EB0BAD" w:rsidRPr="00EB0BAD">
        <w:rPr>
          <w:rStyle w:val="libFootnoteAlaemChar"/>
          <w:rFonts w:hint="cs"/>
          <w:rtl/>
        </w:rPr>
        <w:t>)</w:t>
      </w:r>
      <w:r>
        <w:rPr>
          <w:rtl/>
        </w:rPr>
        <w:t>.</w:t>
      </w:r>
    </w:p>
    <w:p w:rsidR="000C39D1" w:rsidRPr="00132E65" w:rsidRDefault="000C39D1" w:rsidP="00EB0BAD">
      <w:pPr>
        <w:pStyle w:val="libFootnote0"/>
        <w:rPr>
          <w:rtl/>
          <w:lang w:bidi="fa-IR"/>
        </w:rPr>
      </w:pPr>
      <w:r>
        <w:rPr>
          <w:rtl/>
        </w:rPr>
        <w:t>(4).</w:t>
      </w:r>
      <w:r w:rsidRPr="00132E65">
        <w:rPr>
          <w:rtl/>
        </w:rPr>
        <w:t xml:space="preserve"> </w:t>
      </w:r>
      <w:r w:rsidRPr="00E92B28">
        <w:rPr>
          <w:rtl/>
        </w:rPr>
        <w:t>تفسير القمّي</w:t>
      </w:r>
      <w:r w:rsidRPr="00132E65">
        <w:rPr>
          <w:rtl/>
        </w:rPr>
        <w:t xml:space="preserve"> ، ج 2 ، ص 204 ، بسنده عن محمّد بن الفضيل. </w:t>
      </w:r>
      <w:r w:rsidRPr="00E92B28">
        <w:rPr>
          <w:rtl/>
        </w:rPr>
        <w:t>تفسير فرات</w:t>
      </w:r>
      <w:r w:rsidRPr="00132E65">
        <w:rPr>
          <w:rtl/>
        </w:rPr>
        <w:t xml:space="preserve"> ، ص 345 ، ح 469 وفيه : « معنعناً عن أبي حمزة الثمالي »</w:t>
      </w:r>
      <w:r>
        <w:rPr>
          <w:rtl/>
        </w:rPr>
        <w:t>.</w:t>
      </w:r>
      <w:r w:rsidRPr="00132E65">
        <w:rPr>
          <w:rtl/>
        </w:rPr>
        <w:t xml:space="preserve"> راجع : </w:t>
      </w:r>
      <w:r w:rsidRPr="00E92B28">
        <w:rPr>
          <w:rtl/>
        </w:rPr>
        <w:t>تفسير فرات</w:t>
      </w:r>
      <w:r w:rsidRPr="00132E65">
        <w:rPr>
          <w:rtl/>
        </w:rPr>
        <w:t xml:space="preserve"> ، ص 345</w:t>
      </w:r>
      <w:r>
        <w:rPr>
          <w:rtl/>
        </w:rPr>
        <w:t xml:space="preserve"> - </w:t>
      </w:r>
      <w:r w:rsidRPr="00132E65">
        <w:rPr>
          <w:rtl/>
        </w:rPr>
        <w:t>346 ، ح 470</w:t>
      </w:r>
      <w:r>
        <w:rPr>
          <w:rtl/>
        </w:rPr>
        <w:t xml:space="preserve"> </w:t>
      </w:r>
      <w:r w:rsidR="00EB0BAD">
        <w:rPr>
          <w:rtl/>
        </w:rPr>
        <w:t>–</w:t>
      </w:r>
      <w:r>
        <w:rPr>
          <w:rtl/>
        </w:rPr>
        <w:t xml:space="preserve"> </w:t>
      </w:r>
      <w:r w:rsidRPr="00132E65">
        <w:rPr>
          <w:rtl/>
        </w:rPr>
        <w:t>472</w:t>
      </w:r>
      <w:r w:rsidR="00EB0BAD">
        <w:rPr>
          <w:rFonts w:hint="cs"/>
          <w:rtl/>
        </w:rPr>
        <w:t>.</w:t>
      </w:r>
      <w:r w:rsidRPr="009D1ACE">
        <w:rPr>
          <w:rStyle w:val="libFootnoteBoldChar"/>
          <w:rtl/>
        </w:rPr>
        <w:t>الوافي</w:t>
      </w:r>
      <w:r w:rsidRPr="00132E65">
        <w:rPr>
          <w:rtl/>
        </w:rPr>
        <w:t xml:space="preserve"> ، ج 3 ، ص 892 ، ح 1542 ؛ </w:t>
      </w:r>
      <w:r w:rsidRPr="00E92B28">
        <w:rPr>
          <w:rtl/>
        </w:rPr>
        <w:t>البحار</w:t>
      </w:r>
      <w:r w:rsidRPr="00132E65">
        <w:rPr>
          <w:rtl/>
        </w:rPr>
        <w:t xml:space="preserve"> ، ج 23 ، ص 392 ، ح 4.</w:t>
      </w:r>
    </w:p>
    <w:p w:rsidR="000C39D1" w:rsidRPr="00132E65" w:rsidRDefault="000C39D1" w:rsidP="000C39D1">
      <w:pPr>
        <w:pStyle w:val="libFootnote0"/>
        <w:rPr>
          <w:rtl/>
          <w:lang w:bidi="fa-IR"/>
        </w:rPr>
      </w:pPr>
      <w:r>
        <w:rPr>
          <w:rtl/>
        </w:rPr>
        <w:t>(5).</w:t>
      </w:r>
      <w:r w:rsidRPr="00132E65">
        <w:rPr>
          <w:rtl/>
        </w:rPr>
        <w:t xml:space="preserve"> النساء </w:t>
      </w:r>
      <w:r w:rsidR="00EB0BAD">
        <w:rPr>
          <w:rtl/>
        </w:rPr>
        <w:t>(4)</w:t>
      </w:r>
      <w:r w:rsidRPr="00132E65">
        <w:rPr>
          <w:rtl/>
        </w:rPr>
        <w:t xml:space="preserve"> : 137. والآية هكذا : </w:t>
      </w:r>
      <w:r w:rsidRPr="002D45D7">
        <w:rPr>
          <w:rStyle w:val="libFootnoteAlaemChar"/>
          <w:rtl/>
        </w:rPr>
        <w:t>(</w:t>
      </w:r>
      <w:r>
        <w:rPr>
          <w:rFonts w:hint="cs"/>
          <w:rtl/>
        </w:rPr>
        <w:t xml:space="preserve"> </w:t>
      </w:r>
      <w:r w:rsidRPr="00C2691A">
        <w:rPr>
          <w:rStyle w:val="libFootnoteAieChar"/>
          <w:rtl/>
        </w:rPr>
        <w:t>إِنَّ الَّذِينَ آمَنُوا ثُمَّ كَفَرُوا ثُمَّ آمَنُوا ثُمَّ كَفَرُوا ثُمَّ ازْدادُوا كُفْراً لَمْ يَكُنِ اللهُ لِيَغْفِرَ لَهُمْ وَلا لِيَهْدِيَهُمْ سَبِيلاً</w:t>
      </w:r>
      <w:r>
        <w:rPr>
          <w:rFonts w:hint="cs"/>
          <w:rtl/>
        </w:rPr>
        <w:t xml:space="preserve"> </w:t>
      </w:r>
      <w:r w:rsidRPr="002D45D7">
        <w:rPr>
          <w:rStyle w:val="libFootnoteAlaemChar"/>
          <w:rtl/>
        </w:rPr>
        <w:t>)</w:t>
      </w:r>
      <w:r w:rsidRPr="00132E65">
        <w:rPr>
          <w:rtl/>
        </w:rPr>
        <w:t>.</w:t>
      </w:r>
    </w:p>
    <w:p w:rsidR="000C39D1" w:rsidRPr="00132E65" w:rsidRDefault="000C39D1" w:rsidP="000C39D1">
      <w:pPr>
        <w:pStyle w:val="libFootnote0"/>
        <w:rPr>
          <w:rtl/>
          <w:lang w:bidi="fa-IR"/>
        </w:rPr>
      </w:pPr>
      <w:r>
        <w:rPr>
          <w:rtl/>
        </w:rPr>
        <w:t>(6).</w:t>
      </w:r>
      <w:r w:rsidRPr="00132E65">
        <w:rPr>
          <w:rtl/>
        </w:rPr>
        <w:t xml:space="preserve"> قوله تعالى</w:t>
      </w:r>
      <w:r>
        <w:rPr>
          <w:rFonts w:hint="cs"/>
          <w:rtl/>
        </w:rPr>
        <w:t xml:space="preserve"> </w:t>
      </w:r>
      <w:r w:rsidRPr="002D45D7">
        <w:rPr>
          <w:rStyle w:val="libFootnoteAlaemChar"/>
          <w:rtl/>
        </w:rPr>
        <w:t>(</w:t>
      </w:r>
      <w:r>
        <w:rPr>
          <w:rFonts w:hint="cs"/>
          <w:rtl/>
        </w:rPr>
        <w:t xml:space="preserve"> </w:t>
      </w:r>
      <w:r w:rsidRPr="00C2691A">
        <w:rPr>
          <w:rStyle w:val="libFootnoteAieChar"/>
          <w:rtl/>
        </w:rPr>
        <w:t>لَنْ تُقْبَلَ تَوْبَتُهُمْ</w:t>
      </w:r>
      <w:r>
        <w:rPr>
          <w:rFonts w:hint="cs"/>
          <w:rtl/>
        </w:rPr>
        <w:t xml:space="preserve"> </w:t>
      </w:r>
      <w:r w:rsidRPr="002D45D7">
        <w:rPr>
          <w:rStyle w:val="libFootnoteAlaemChar"/>
          <w:rtl/>
        </w:rPr>
        <w:t>)</w:t>
      </w:r>
      <w:r w:rsidRPr="00132E65">
        <w:rPr>
          <w:rtl/>
        </w:rPr>
        <w:t xml:space="preserve"> جزء من الآية 90 من سورة آل عمران </w:t>
      </w:r>
      <w:r>
        <w:rPr>
          <w:rtl/>
        </w:rPr>
        <w:t>(3).</w:t>
      </w:r>
      <w:r w:rsidRPr="00132E65">
        <w:rPr>
          <w:rtl/>
        </w:rPr>
        <w:t xml:space="preserve"> والآية هكذا : </w:t>
      </w:r>
      <w:r w:rsidRPr="002D45D7">
        <w:rPr>
          <w:rStyle w:val="libFootnoteAlaemChar"/>
          <w:rtl/>
        </w:rPr>
        <w:t>(</w:t>
      </w:r>
      <w:r>
        <w:rPr>
          <w:rFonts w:hint="cs"/>
          <w:rtl/>
        </w:rPr>
        <w:t xml:space="preserve"> </w:t>
      </w:r>
      <w:r w:rsidRPr="00C2691A">
        <w:rPr>
          <w:rStyle w:val="libFootnoteAieChar"/>
          <w:rtl/>
        </w:rPr>
        <w:t>إِنَّ الَّذِينَ كَفَرُوا بَعْدَ إِيمانِهِمْ ثُمَّ ازْدادُوا كُفْراً لَنْ تُقْبَلَ تَوْبَتُهُمْ وَأُولئِكَ هُمُ الضّالُّونَ</w:t>
      </w:r>
      <w:r>
        <w:rPr>
          <w:rFonts w:hint="cs"/>
          <w:rtl/>
        </w:rPr>
        <w:t xml:space="preserve"> </w:t>
      </w:r>
      <w:r w:rsidRPr="002D45D7">
        <w:rPr>
          <w:rStyle w:val="libFootnoteAlaemChar"/>
          <w:rtl/>
        </w:rPr>
        <w:t>)</w:t>
      </w:r>
      <w:r w:rsidRPr="00132E65">
        <w:rPr>
          <w:rtl/>
        </w:rPr>
        <w:t xml:space="preserve">. وقال المازندراني في شرحه ، ج 7 ، ص 70 : « لعلّه ذكر آية النساء وضمّ إليها بعض آية آل عمران للتنبيه على أنّ مورد الذمّ في الآيتين واحد ، وإن كان واحدة منهما مفسّرة للُاخرى » ولكن استبعد المحقّق الشعراني هذا الاحتمال في تعليقته على </w:t>
      </w:r>
      <w:r w:rsidRPr="007A140D">
        <w:rPr>
          <w:rtl/>
        </w:rPr>
        <w:t>شرح المازندراني</w:t>
      </w:r>
      <w:r w:rsidRPr="00132E65">
        <w:rPr>
          <w:rtl/>
        </w:rPr>
        <w:t xml:space="preserve"> ، ونسبه إلى سهو الرواة.</w:t>
      </w:r>
    </w:p>
    <w:p w:rsidR="000C39D1" w:rsidRPr="00132E65" w:rsidRDefault="000C39D1" w:rsidP="000C39D1">
      <w:pPr>
        <w:pStyle w:val="libFootnote0"/>
        <w:rPr>
          <w:rtl/>
          <w:lang w:bidi="fa-IR"/>
        </w:rPr>
      </w:pPr>
      <w:r>
        <w:rPr>
          <w:rtl/>
        </w:rPr>
        <w:t>(7).</w:t>
      </w:r>
      <w:r w:rsidRPr="00132E65">
        <w:rPr>
          <w:rtl/>
        </w:rPr>
        <w:t xml:space="preserve"> في « ب ، ج ، ض ، بح ، بس ، بف » وحاشية « ف » وتفسير العيّاشي والبحار : « فعليّ » بدل « فهذا عليّ »</w:t>
      </w:r>
      <w:r>
        <w:rPr>
          <w:rtl/>
        </w:rPr>
        <w:t>.</w:t>
      </w:r>
    </w:p>
    <w:p w:rsidR="000C39D1" w:rsidRPr="00132E65" w:rsidRDefault="000C39D1" w:rsidP="00A7721C">
      <w:pPr>
        <w:pStyle w:val="libFootnote0"/>
        <w:rPr>
          <w:rtl/>
          <w:lang w:bidi="fa-IR"/>
        </w:rPr>
      </w:pPr>
      <w:r>
        <w:rPr>
          <w:rtl/>
        </w:rPr>
        <w:t>(8).</w:t>
      </w:r>
      <w:r w:rsidRPr="00132E65">
        <w:rPr>
          <w:rtl/>
        </w:rPr>
        <w:t xml:space="preserve"> </w:t>
      </w:r>
      <w:r w:rsidRPr="007A140D">
        <w:rPr>
          <w:rtl/>
        </w:rPr>
        <w:t>تفسير العيّاشي</w:t>
      </w:r>
      <w:r w:rsidRPr="00132E65">
        <w:rPr>
          <w:rtl/>
        </w:rPr>
        <w:t xml:space="preserve"> ، ج 1 ، ص 281 ، ح 289 ، عن عبد الرحمن بن كثير الهاشمي</w:t>
      </w:r>
      <w:r w:rsidR="00A7721C">
        <w:rPr>
          <w:rFonts w:hint="cs"/>
          <w:rtl/>
        </w:rPr>
        <w:t>.</w:t>
      </w:r>
      <w:r w:rsidRPr="009D1ACE">
        <w:rPr>
          <w:rStyle w:val="libFootnoteBoldChar"/>
          <w:rtl/>
        </w:rPr>
        <w:t>الوافي</w:t>
      </w:r>
      <w:r w:rsidRPr="00132E65">
        <w:rPr>
          <w:rtl/>
        </w:rPr>
        <w:t xml:space="preserve"> ، ج 3 ، ص 923 ، ح 1600 ؛ </w:t>
      </w:r>
      <w:r w:rsidRPr="007A140D">
        <w:rPr>
          <w:rtl/>
        </w:rPr>
        <w:t>البحار</w:t>
      </w:r>
      <w:r w:rsidRPr="00132E65">
        <w:rPr>
          <w:rtl/>
        </w:rPr>
        <w:t xml:space="preserve"> ، ج 23 ، ص 375 ، ح 57.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A3F59">
        <w:rPr>
          <w:rtl/>
        </w:rPr>
        <w:t>1130</w:t>
      </w:r>
      <w:r w:rsidRPr="004325D8">
        <w:rPr>
          <w:rStyle w:val="libBold2Char"/>
          <w:rtl/>
        </w:rPr>
        <w:t xml:space="preserve"> / 43.</w:t>
      </w:r>
      <w:r w:rsidRPr="00132E65">
        <w:rPr>
          <w:rtl/>
          <w:lang w:bidi="fa-IR"/>
        </w:rPr>
        <w:t xml:space="preserve"> وبِهذَا الْإِسْنَادِ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تَعَالى : </w:t>
      </w:r>
      <w:r w:rsidRPr="00071CF9">
        <w:rPr>
          <w:rStyle w:val="libAlaemChar"/>
          <w:rtl/>
        </w:rPr>
        <w:t>(</w:t>
      </w:r>
      <w:r w:rsidRPr="00071CF9">
        <w:rPr>
          <w:rStyle w:val="libAieChar"/>
          <w:rtl/>
        </w:rPr>
        <w:t xml:space="preserve"> إِنَّ الَّذِينَ ارْتَدُّوا عَلى أَدْبارِهِمْ مِنْ بَعْدِ ما تَبَيَّنَ لَهُمُ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sidRPr="00071CF9">
        <w:rPr>
          <w:rStyle w:val="libAlaemChar"/>
          <w:rtl/>
        </w:rPr>
        <w:t>(</w:t>
      </w:r>
      <w:r w:rsidRPr="00071CF9">
        <w:rPr>
          <w:rStyle w:val="libAieChar"/>
          <w:rtl/>
        </w:rPr>
        <w:t xml:space="preserve"> الْهُدَى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 « فُلَانٌ وفُلَانٌ وفُلَانٌ </w:t>
      </w:r>
      <w:r>
        <w:rPr>
          <w:rStyle w:val="libFootnotenumChar"/>
          <w:rtl/>
        </w:rPr>
        <w:t>(3)</w:t>
      </w:r>
      <w:r w:rsidRPr="00132E65">
        <w:rPr>
          <w:rtl/>
          <w:lang w:bidi="fa-IR"/>
        </w:rPr>
        <w:t xml:space="preserve"> ، ارْتَدُّوا عَنِ الْإِيمَانِ فِي تَرْكِ ولَايَةِ أَمِيرِ الْمُؤْمِنِينَ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A7721C">
      <w:pPr>
        <w:pStyle w:val="libNormal"/>
        <w:rPr>
          <w:rtl/>
          <w:lang w:bidi="fa-IR"/>
        </w:rPr>
      </w:pPr>
      <w:r w:rsidRPr="00132E65">
        <w:rPr>
          <w:rtl/>
          <w:lang w:bidi="fa-IR"/>
        </w:rPr>
        <w:t xml:space="preserve">قُلْتُ : قَوْلُهُ تَعَالى : </w:t>
      </w:r>
      <w:r w:rsidRPr="00071CF9">
        <w:rPr>
          <w:rStyle w:val="libAlaemChar"/>
          <w:rtl/>
        </w:rPr>
        <w:t>(</w:t>
      </w:r>
      <w:r w:rsidRPr="00071CF9">
        <w:rPr>
          <w:rStyle w:val="libAieChar"/>
          <w:rtl/>
        </w:rPr>
        <w:t xml:space="preserve"> ذلِكَ بِأَنَّهُمْ قالُوا لِلَّذِينَ كَرِهُوا ما نَزَّلَ اللهُ سَنُطِيعُكُمْ فِي بَعْضِ الْأَمْرِ</w:t>
      </w:r>
      <w:r>
        <w:rPr>
          <w:rStyle w:val="libFootnotenumChar"/>
          <w:rtl/>
        </w:rPr>
        <w:t>(4)</w:t>
      </w:r>
      <w:r w:rsidRPr="00132E65">
        <w:rPr>
          <w:rtl/>
          <w:lang w:bidi="fa-IR"/>
        </w:rPr>
        <w:t xml:space="preserve"> </w:t>
      </w:r>
      <w:r w:rsidRPr="00071CF9">
        <w:rPr>
          <w:rStyle w:val="libAieChar"/>
          <w:rtl/>
        </w:rPr>
        <w:t xml:space="preserve">؟ </w:t>
      </w:r>
      <w:r w:rsidRPr="00071CF9">
        <w:rPr>
          <w:rStyle w:val="libAlaemChar"/>
          <w:rtl/>
        </w:rPr>
        <w:t>)</w:t>
      </w:r>
    </w:p>
    <w:p w:rsidR="000C39D1" w:rsidRPr="00132E65" w:rsidRDefault="000C39D1" w:rsidP="003F0AD4">
      <w:pPr>
        <w:pStyle w:val="libNormal"/>
        <w:rPr>
          <w:rtl/>
          <w:lang w:bidi="fa-IR"/>
        </w:rPr>
      </w:pPr>
      <w:r w:rsidRPr="00132E65">
        <w:rPr>
          <w:rtl/>
          <w:lang w:bidi="fa-IR"/>
        </w:rPr>
        <w:t xml:space="preserve">قَالَ : « نَزَلَتْ واللهِ فِيهِمَا وفِي أَتْبَاعِهِمَا </w:t>
      </w:r>
      <w:r>
        <w:rPr>
          <w:rStyle w:val="libFootnotenumChar"/>
          <w:rtl/>
        </w:rPr>
        <w:t>(5)</w:t>
      </w:r>
      <w:r w:rsidRPr="00132E65">
        <w:rPr>
          <w:rtl/>
          <w:lang w:bidi="fa-IR"/>
        </w:rPr>
        <w:t xml:space="preserve"> ، وهُوَ قَوْلُ اللهِ</w:t>
      </w:r>
      <w:r>
        <w:rPr>
          <w:rtl/>
          <w:lang w:bidi="fa-IR"/>
        </w:rPr>
        <w:t xml:space="preserve"> - </w:t>
      </w:r>
      <w:r w:rsidRPr="00132E65">
        <w:rPr>
          <w:rtl/>
          <w:lang w:bidi="fa-IR"/>
        </w:rPr>
        <w:t>عَزَّ وجَلَّ</w:t>
      </w:r>
      <w:r>
        <w:rPr>
          <w:rtl/>
          <w:lang w:bidi="fa-IR"/>
        </w:rPr>
        <w:t xml:space="preserve"> - </w:t>
      </w:r>
      <w:r w:rsidRPr="00132E65">
        <w:rPr>
          <w:rtl/>
          <w:lang w:bidi="fa-IR"/>
        </w:rPr>
        <w:t xml:space="preserve">الَّذِي نَزَلَ بِهِ جَبْرَئِيلُ </w:t>
      </w:r>
      <w:r w:rsidRPr="00071CF9">
        <w:rPr>
          <w:rStyle w:val="libAlaemChar"/>
          <w:rtl/>
        </w:rPr>
        <w:t>عليه‌السلام</w:t>
      </w:r>
      <w:r w:rsidRPr="00132E65">
        <w:rPr>
          <w:rtl/>
          <w:lang w:bidi="fa-IR"/>
        </w:rPr>
        <w:t xml:space="preserve"> عَلى مُحَمَّدٍ </w:t>
      </w:r>
      <w:r w:rsidRPr="0093484F">
        <w:rPr>
          <w:rStyle w:val="libAlaemChar"/>
          <w:rFonts w:eastAsiaTheme="minorHAnsi"/>
          <w:rtl/>
        </w:rPr>
        <w:t>صلى‌الله‌عليه‌وآله</w:t>
      </w:r>
      <w:r w:rsidRPr="00132E65">
        <w:rPr>
          <w:rtl/>
          <w:lang w:bidi="fa-IR"/>
        </w:rPr>
        <w:t xml:space="preserve"> : </w:t>
      </w:r>
      <w:r w:rsidRPr="00071CF9">
        <w:rPr>
          <w:rStyle w:val="libAlaemChar"/>
          <w:rtl/>
        </w:rPr>
        <w:t>(</w:t>
      </w:r>
      <w:r w:rsidRPr="00071CF9">
        <w:rPr>
          <w:rStyle w:val="libAieChar"/>
          <w:rtl/>
        </w:rPr>
        <w:t xml:space="preserve"> ذلِكَ بِأَنَّهُمْ قالُوا لِلَّذِينَ كَرِهُوا ما نَزَّلَ اللهُ </w:t>
      </w:r>
      <w:r w:rsidRPr="00071CF9">
        <w:rPr>
          <w:rStyle w:val="libAlaemChar"/>
          <w:rtl/>
        </w:rPr>
        <w:t>)</w:t>
      </w:r>
      <w:r w:rsidRPr="00132E65">
        <w:rPr>
          <w:rtl/>
          <w:lang w:bidi="fa-IR"/>
        </w:rPr>
        <w:t xml:space="preserve"> فِي عَلِيٍّ</w:t>
      </w:r>
      <w:r>
        <w:rPr>
          <w:rFonts w:hint="cs"/>
          <w:rtl/>
          <w:lang w:bidi="fa-IR"/>
        </w:rPr>
        <w:t xml:space="preserve"> </w:t>
      </w:r>
      <w:r w:rsidRPr="00071CF9">
        <w:rPr>
          <w:rStyle w:val="libAlaemChar"/>
          <w:rtl/>
        </w:rPr>
        <w:t>(</w:t>
      </w:r>
      <w:r w:rsidRPr="00997099">
        <w:rPr>
          <w:rtl/>
        </w:rPr>
        <w:t xml:space="preserve"> </w:t>
      </w:r>
      <w:r w:rsidRPr="00071CF9">
        <w:rPr>
          <w:rStyle w:val="libAieChar"/>
          <w:rtl/>
        </w:rPr>
        <w:t>سَنُطِيعُكُمْ فِي بَعْضِ الْأَمْرِ</w:t>
      </w:r>
      <w:r w:rsidRPr="00997099">
        <w:rPr>
          <w:rtl/>
        </w:rPr>
        <w:t xml:space="preserve"> </w:t>
      </w:r>
      <w:r w:rsidRPr="00071CF9">
        <w:rPr>
          <w:rStyle w:val="libAlaemChar"/>
          <w:rtl/>
        </w:rPr>
        <w:t>)</w:t>
      </w:r>
      <w:r w:rsidRPr="00132E65">
        <w:rPr>
          <w:rtl/>
          <w:lang w:bidi="fa-IR"/>
        </w:rPr>
        <w:t xml:space="preserve"> »</w:t>
      </w:r>
      <w:r>
        <w:rPr>
          <w:rtl/>
          <w:lang w:bidi="fa-IR"/>
        </w:rPr>
        <w:t>.</w:t>
      </w:r>
      <w:r w:rsidRPr="00132E65">
        <w:rPr>
          <w:rtl/>
          <w:lang w:bidi="fa-IR"/>
        </w:rPr>
        <w:t xml:space="preserve"> قَالَ : « دَعَوْا بَنِي أُمَيَّةَ إ</w:t>
      </w:r>
      <w:r w:rsidR="00661CDA">
        <w:rPr>
          <w:rtl/>
          <w:lang w:bidi="fa-IR"/>
        </w:rPr>
        <w:t>ِلى مِيثَاقِهِمْ أَل</w:t>
      </w:r>
      <w:r w:rsidR="00661CDA">
        <w:rPr>
          <w:rFonts w:hint="cs"/>
          <w:rtl/>
          <w:lang w:bidi="fa-IR"/>
        </w:rPr>
        <w:t>َّ</w:t>
      </w:r>
      <w:r w:rsidR="00661CDA">
        <w:rPr>
          <w:rtl/>
          <w:lang w:bidi="fa-IR"/>
        </w:rPr>
        <w:t>ا</w:t>
      </w:r>
      <w:r w:rsidRPr="00132E65">
        <w:rPr>
          <w:rtl/>
          <w:lang w:bidi="fa-IR"/>
        </w:rPr>
        <w:t xml:space="preserve"> يُصَيِّرُوا </w:t>
      </w:r>
      <w:r>
        <w:rPr>
          <w:rStyle w:val="libFootnotenumChar"/>
          <w:rtl/>
        </w:rPr>
        <w:t>(6)</w:t>
      </w:r>
      <w:r w:rsidRPr="00132E65">
        <w:rPr>
          <w:rtl/>
          <w:lang w:bidi="fa-IR"/>
        </w:rPr>
        <w:t xml:space="preserve"> الْأَمْرَ فِينَا بَعْدَ النَّبِيِّ </w:t>
      </w:r>
      <w:r w:rsidRPr="0093484F">
        <w:rPr>
          <w:rStyle w:val="libAlaemChar"/>
          <w:rFonts w:eastAsiaTheme="minorHAnsi"/>
          <w:rtl/>
        </w:rPr>
        <w:t>صلى‌الله‌عليه‌وآله</w:t>
      </w:r>
      <w:r w:rsidRPr="00132E65">
        <w:rPr>
          <w:rtl/>
          <w:lang w:bidi="fa-IR"/>
        </w:rPr>
        <w:t xml:space="preserve"> ، ولَايُعْطُونَا مِنَ الْخُمُسِ شَيْئاً ، وقَالُوا </w:t>
      </w:r>
      <w:r>
        <w:rPr>
          <w:rStyle w:val="libFootnotenumChar"/>
          <w:rtl/>
        </w:rPr>
        <w:t>(7)</w:t>
      </w:r>
      <w:r w:rsidRPr="00132E65">
        <w:rPr>
          <w:rtl/>
          <w:lang w:bidi="fa-IR"/>
        </w:rPr>
        <w:t xml:space="preserve"> : إِنْ أَعْطَيْنَاهُمْ إِيَّاهُ لَمْ يَحْتَاجُوا إِلى شَيْ‌ءٍ ، ولَمْ يُبَالُوا </w:t>
      </w:r>
      <w:r>
        <w:rPr>
          <w:rStyle w:val="libFootnotenumChar"/>
          <w:rtl/>
        </w:rPr>
        <w:t>(8)</w:t>
      </w:r>
      <w:r w:rsidR="003F0AD4">
        <w:rPr>
          <w:rtl/>
          <w:lang w:bidi="fa-IR"/>
        </w:rPr>
        <w:t xml:space="preserve"> أل</w:t>
      </w:r>
      <w:r w:rsidR="003F0AD4">
        <w:rPr>
          <w:rFonts w:hint="cs"/>
          <w:rtl/>
          <w:lang w:bidi="fa-IR"/>
        </w:rPr>
        <w:t>َّ</w:t>
      </w:r>
      <w:r w:rsidR="003F0AD4">
        <w:rPr>
          <w:rtl/>
          <w:lang w:bidi="fa-IR"/>
        </w:rPr>
        <w:t>ا</w:t>
      </w:r>
      <w:r w:rsidRPr="00132E65">
        <w:rPr>
          <w:rtl/>
          <w:lang w:bidi="fa-IR"/>
        </w:rPr>
        <w:t xml:space="preserve">يَكُونَ </w:t>
      </w:r>
      <w:r>
        <w:rPr>
          <w:rStyle w:val="libFootnotenumChar"/>
          <w:rtl/>
        </w:rPr>
        <w:t>(9)</w:t>
      </w:r>
      <w:r w:rsidRPr="00132E65">
        <w:rPr>
          <w:rtl/>
          <w:lang w:bidi="fa-IR"/>
        </w:rPr>
        <w:t xml:space="preserve"> الْأَمْرُ فِيهِمْ ، فَقَالُوا : سَنُطِيعُكُمْ فِي بَعْضِ الْأَمْرِ الَّذِي دَعَوْتُمُونَا إِلَيْهِ وهُوَ الْخُمُسُ </w:t>
      </w:r>
      <w:r w:rsidR="003F0AD4">
        <w:rPr>
          <w:rtl/>
          <w:lang w:bidi="fa-IR"/>
        </w:rPr>
        <w:t>أل</w:t>
      </w:r>
      <w:r w:rsidR="003F0AD4">
        <w:rPr>
          <w:rFonts w:hint="cs"/>
          <w:rtl/>
          <w:lang w:bidi="fa-IR"/>
        </w:rPr>
        <w:t>َّا</w:t>
      </w:r>
      <w:r w:rsidRPr="00132E65">
        <w:rPr>
          <w:rtl/>
          <w:lang w:bidi="fa-IR"/>
        </w:rPr>
        <w:t xml:space="preserve"> نُعْطِيَهُمْ مِنْهُ شَيْئاً.</w:t>
      </w:r>
    </w:p>
    <w:p w:rsidR="000C39D1" w:rsidRPr="00132E65" w:rsidRDefault="000C39D1" w:rsidP="000C39D1">
      <w:pPr>
        <w:pStyle w:val="libNormal"/>
        <w:rPr>
          <w:rtl/>
          <w:lang w:bidi="fa-IR"/>
        </w:rPr>
      </w:pPr>
      <w:r w:rsidRPr="00132E65">
        <w:rPr>
          <w:rtl/>
          <w:lang w:bidi="fa-IR"/>
        </w:rPr>
        <w:t xml:space="preserve">وَقَوْلُهُ : </w:t>
      </w:r>
      <w:r w:rsidRPr="00071CF9">
        <w:rPr>
          <w:rStyle w:val="libAlaemChar"/>
          <w:rtl/>
        </w:rPr>
        <w:t>(</w:t>
      </w:r>
      <w:r w:rsidRPr="00071CF9">
        <w:rPr>
          <w:rStyle w:val="libAieChar"/>
          <w:rtl/>
        </w:rPr>
        <w:t xml:space="preserve"> كَرِهُوا ما نَزَّلَ اللهُ </w:t>
      </w:r>
      <w:r w:rsidRPr="00071CF9">
        <w:rPr>
          <w:rStyle w:val="libAlaemChar"/>
          <w:rtl/>
        </w:rPr>
        <w:t>)</w:t>
      </w:r>
      <w:r w:rsidRPr="00132E65">
        <w:rPr>
          <w:rtl/>
          <w:lang w:bidi="fa-IR"/>
        </w:rPr>
        <w:t xml:space="preserve"> والَّذِي نَزَّلَ اللهُ مَا افْتَرَضَ عَلى خَلْقِهِ مِنْ ولَايَةِ أَمِيرِ الْمُؤْمِنِينَ </w:t>
      </w:r>
      <w:r w:rsidRPr="00071CF9">
        <w:rPr>
          <w:rStyle w:val="libAlaemChar"/>
          <w:rtl/>
        </w:rPr>
        <w:t>عليه‌السلام</w:t>
      </w:r>
      <w:r w:rsidRPr="00132E65">
        <w:rPr>
          <w:rtl/>
          <w:lang w:bidi="fa-IR"/>
        </w:rPr>
        <w:t xml:space="preserve"> ، وكَانَ مَعَهُمْ أَبُو عُبَيْدَةَ </w:t>
      </w:r>
      <w:r>
        <w:rPr>
          <w:rStyle w:val="libFootnotenumChar"/>
          <w:rtl/>
        </w:rPr>
        <w:t>(10)</w:t>
      </w:r>
      <w:r w:rsidRPr="00132E65">
        <w:rPr>
          <w:rtl/>
          <w:lang w:bidi="fa-IR"/>
        </w:rPr>
        <w:t xml:space="preserve"> وكَانَ كَاتِبَهُمْ ، فَأَنْزَلَ اللهُ : </w:t>
      </w:r>
      <w:r w:rsidRPr="00071CF9">
        <w:rPr>
          <w:rStyle w:val="libAlaemChar"/>
          <w:rtl/>
        </w:rPr>
        <w:t>(</w:t>
      </w:r>
      <w:r w:rsidRPr="00071CF9">
        <w:rPr>
          <w:rStyle w:val="libAieChar"/>
          <w:rtl/>
        </w:rPr>
        <w:t xml:space="preserve"> أَمْ أَبْرَمُوا أَمْراً فَإِنّا مُبْرِمُونَ </w:t>
      </w:r>
      <w:r w:rsidR="003F0AD4">
        <w:rPr>
          <w:rStyle w:val="libAieChar"/>
          <w:rFonts w:hint="cs"/>
          <w:rtl/>
        </w:rPr>
        <w:t xml:space="preserve">* </w:t>
      </w:r>
      <w:r w:rsidRPr="00071CF9">
        <w:rPr>
          <w:rStyle w:val="libAieChar"/>
          <w:rtl/>
        </w:rPr>
        <w:t xml:space="preserve">أَمْ يَحْسَبُونَ أَنّا لا نَسْمَعُ سِرَّهُمْ وَنَجْواهُمْ </w:t>
      </w:r>
      <w:r w:rsidRPr="00071CF9">
        <w:rPr>
          <w:rStyle w:val="libAlaemChar"/>
          <w:rtl/>
        </w:rPr>
        <w:t>)</w:t>
      </w:r>
      <w:r w:rsidRPr="00E21473">
        <w:rPr>
          <w:rFonts w:hint="cs"/>
          <w:rtl/>
        </w:rPr>
        <w:t xml:space="preserve"> </w:t>
      </w:r>
      <w:r>
        <w:rPr>
          <w:rStyle w:val="libFootnotenumChar"/>
          <w:rtl/>
        </w:rPr>
        <w:t>(11)</w:t>
      </w:r>
      <w:r w:rsidRPr="00132E65">
        <w:rPr>
          <w:rtl/>
          <w:lang w:bidi="fa-IR"/>
        </w:rPr>
        <w:t xml:space="preserve"> الْآيَةَ. </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B04C9" w:rsidTr="002B04C9">
        <w:tc>
          <w:tcPr>
            <w:tcW w:w="4006" w:type="dxa"/>
          </w:tcPr>
          <w:p w:rsidR="002B04C9" w:rsidRDefault="002B04C9" w:rsidP="000C39D1">
            <w:pPr>
              <w:pStyle w:val="libFootnote0"/>
              <w:rPr>
                <w:rtl/>
              </w:rPr>
            </w:pPr>
            <w:r>
              <w:rPr>
                <w:rtl/>
              </w:rPr>
              <w:t>(1).</w:t>
            </w:r>
            <w:r w:rsidRPr="00132E65">
              <w:rPr>
                <w:rtl/>
              </w:rPr>
              <w:t xml:space="preserve"> في « بر » :</w:t>
            </w:r>
            <w:r>
              <w:rPr>
                <w:rtl/>
              </w:rPr>
              <w:t xml:space="preserve"> + </w:t>
            </w:r>
            <w:r w:rsidRPr="00132E65">
              <w:rPr>
                <w:rtl/>
              </w:rPr>
              <w:t>« في محمّد »</w:t>
            </w:r>
            <w:r>
              <w:rPr>
                <w:rtl/>
              </w:rPr>
              <w:t>.</w:t>
            </w:r>
          </w:p>
        </w:tc>
        <w:tc>
          <w:tcPr>
            <w:tcW w:w="4006" w:type="dxa"/>
          </w:tcPr>
          <w:p w:rsidR="002B04C9" w:rsidRDefault="002B04C9" w:rsidP="000C39D1">
            <w:pPr>
              <w:pStyle w:val="libFootnote0"/>
              <w:rPr>
                <w:rtl/>
              </w:rPr>
            </w:pPr>
            <w:r>
              <w:rPr>
                <w:rtl/>
              </w:rPr>
              <w:t>(2).</w:t>
            </w:r>
            <w:r w:rsidRPr="00132E65">
              <w:rPr>
                <w:rtl/>
              </w:rPr>
              <w:t xml:space="preserve"> محمّد (47) : 25.</w:t>
            </w:r>
          </w:p>
        </w:tc>
      </w:tr>
      <w:tr w:rsidR="002B04C9" w:rsidTr="002B04C9">
        <w:tc>
          <w:tcPr>
            <w:tcW w:w="4006" w:type="dxa"/>
          </w:tcPr>
          <w:p w:rsidR="002B04C9" w:rsidRDefault="002B04C9" w:rsidP="000C39D1">
            <w:pPr>
              <w:pStyle w:val="libFootnote0"/>
              <w:rPr>
                <w:rtl/>
              </w:rPr>
            </w:pPr>
            <w:r>
              <w:rPr>
                <w:rtl/>
              </w:rPr>
              <w:t>(3).</w:t>
            </w:r>
            <w:r w:rsidRPr="00132E65">
              <w:rPr>
                <w:rtl/>
              </w:rPr>
              <w:t xml:space="preserve"> في « ج ، بح » </w:t>
            </w:r>
            <w:r>
              <w:rPr>
                <w:rtl/>
              </w:rPr>
              <w:t xml:space="preserve">: - </w:t>
            </w:r>
            <w:r w:rsidRPr="00132E65">
              <w:rPr>
                <w:rtl/>
              </w:rPr>
              <w:t>« وفلان »</w:t>
            </w:r>
            <w:r>
              <w:rPr>
                <w:rtl/>
              </w:rPr>
              <w:t>.</w:t>
            </w:r>
          </w:p>
        </w:tc>
        <w:tc>
          <w:tcPr>
            <w:tcW w:w="4006" w:type="dxa"/>
          </w:tcPr>
          <w:p w:rsidR="002B04C9" w:rsidRDefault="002B04C9" w:rsidP="000C39D1">
            <w:pPr>
              <w:pStyle w:val="libFootnote0"/>
              <w:rPr>
                <w:rtl/>
              </w:rPr>
            </w:pPr>
            <w:r>
              <w:rPr>
                <w:rtl/>
              </w:rPr>
              <w:t>(4).</w:t>
            </w:r>
            <w:r w:rsidRPr="00132E65">
              <w:rPr>
                <w:rtl/>
              </w:rPr>
              <w:t xml:space="preserve"> محمّد (47) : 26.</w:t>
            </w:r>
          </w:p>
        </w:tc>
      </w:tr>
      <w:tr w:rsidR="002B04C9" w:rsidTr="002B04C9">
        <w:tc>
          <w:tcPr>
            <w:tcW w:w="4006" w:type="dxa"/>
          </w:tcPr>
          <w:p w:rsidR="002B04C9" w:rsidRDefault="002B04C9" w:rsidP="000C39D1">
            <w:pPr>
              <w:pStyle w:val="libFootnote0"/>
              <w:rPr>
                <w:rtl/>
              </w:rPr>
            </w:pPr>
            <w:r>
              <w:rPr>
                <w:rtl/>
              </w:rPr>
              <w:t>(5).</w:t>
            </w:r>
            <w:r w:rsidRPr="00132E65">
              <w:rPr>
                <w:rtl/>
              </w:rPr>
              <w:t xml:space="preserve"> في حاشية « ف » : « فيهم وفي أتباعهم »</w:t>
            </w:r>
            <w:r>
              <w:rPr>
                <w:rtl/>
              </w:rPr>
              <w:t>.</w:t>
            </w:r>
          </w:p>
        </w:tc>
        <w:tc>
          <w:tcPr>
            <w:tcW w:w="4006" w:type="dxa"/>
          </w:tcPr>
          <w:p w:rsidR="002B04C9" w:rsidRDefault="002B04C9" w:rsidP="000C39D1">
            <w:pPr>
              <w:pStyle w:val="libFootnote0"/>
              <w:rPr>
                <w:rtl/>
              </w:rPr>
            </w:pPr>
            <w:r>
              <w:rPr>
                <w:rtl/>
              </w:rPr>
              <w:t>(6). في « بس » : « أل</w:t>
            </w:r>
            <w:r>
              <w:rPr>
                <w:rFonts w:hint="cs"/>
                <w:rtl/>
              </w:rPr>
              <w:t>ّ</w:t>
            </w:r>
            <w:r>
              <w:rPr>
                <w:rtl/>
              </w:rPr>
              <w:t>ا</w:t>
            </w:r>
            <w:r w:rsidRPr="00132E65">
              <w:rPr>
                <w:rtl/>
              </w:rPr>
              <w:t xml:space="preserve"> يصير »</w:t>
            </w:r>
            <w:r>
              <w:rPr>
                <w:rtl/>
              </w:rPr>
              <w:t>.</w:t>
            </w:r>
          </w:p>
        </w:tc>
      </w:tr>
      <w:tr w:rsidR="002B04C9" w:rsidTr="002B04C9">
        <w:tc>
          <w:tcPr>
            <w:tcW w:w="4006" w:type="dxa"/>
          </w:tcPr>
          <w:p w:rsidR="002B04C9" w:rsidRDefault="002B04C9" w:rsidP="000C39D1">
            <w:pPr>
              <w:pStyle w:val="libFootnote0"/>
              <w:rPr>
                <w:rtl/>
              </w:rPr>
            </w:pPr>
            <w:r>
              <w:rPr>
                <w:rtl/>
              </w:rPr>
              <w:t>(7).</w:t>
            </w:r>
            <w:r w:rsidRPr="00132E65">
              <w:rPr>
                <w:rtl/>
              </w:rPr>
              <w:t xml:space="preserve"> في « ف » : « فقالوا »</w:t>
            </w:r>
            <w:r>
              <w:rPr>
                <w:rtl/>
              </w:rPr>
              <w:t>.</w:t>
            </w:r>
          </w:p>
        </w:tc>
        <w:tc>
          <w:tcPr>
            <w:tcW w:w="4006" w:type="dxa"/>
          </w:tcPr>
          <w:p w:rsidR="002B04C9" w:rsidRDefault="002B04C9" w:rsidP="000C39D1">
            <w:pPr>
              <w:pStyle w:val="libFootnote0"/>
              <w:rPr>
                <w:rtl/>
              </w:rPr>
            </w:pPr>
            <w:r>
              <w:rPr>
                <w:rtl/>
              </w:rPr>
              <w:t>(8).</w:t>
            </w:r>
            <w:r w:rsidRPr="00132E65">
              <w:rPr>
                <w:rtl/>
              </w:rPr>
              <w:t xml:space="preserve"> في البحار ، ج 23 : « ولا يبالوا »</w:t>
            </w:r>
            <w:r>
              <w:rPr>
                <w:rtl/>
              </w:rPr>
              <w:t>.</w:t>
            </w:r>
          </w:p>
        </w:tc>
      </w:tr>
    </w:tbl>
    <w:p w:rsidR="000C39D1" w:rsidRPr="00132E65" w:rsidRDefault="000C39D1" w:rsidP="002B04C9">
      <w:pPr>
        <w:pStyle w:val="libFootnote0"/>
        <w:rPr>
          <w:rtl/>
          <w:lang w:bidi="fa-IR"/>
        </w:rPr>
      </w:pPr>
      <w:r>
        <w:rPr>
          <w:rtl/>
        </w:rPr>
        <w:t>(9).</w:t>
      </w:r>
      <w:r w:rsidRPr="00132E65">
        <w:rPr>
          <w:rtl/>
        </w:rPr>
        <w:t xml:space="preserve"> هكذا في « ب ، ج ، ض ، ف ، بح ، بر ، بس » و</w:t>
      </w:r>
      <w:r w:rsidRPr="009D1ACE">
        <w:rPr>
          <w:rStyle w:val="libFootnoteBoldChar"/>
          <w:rtl/>
        </w:rPr>
        <w:t>الوافي</w:t>
      </w:r>
      <w:r w:rsidRPr="00132E65">
        <w:rPr>
          <w:rtl/>
        </w:rPr>
        <w:t xml:space="preserve"> والمر</w:t>
      </w:r>
      <w:r w:rsidR="002B04C9">
        <w:rPr>
          <w:rtl/>
        </w:rPr>
        <w:t>آة والبحار : وفي « بف » : « إل</w:t>
      </w:r>
      <w:r w:rsidR="002B04C9">
        <w:rPr>
          <w:rFonts w:hint="cs"/>
          <w:rtl/>
        </w:rPr>
        <w:t>ّ</w:t>
      </w:r>
      <w:r w:rsidR="002B04C9">
        <w:rPr>
          <w:rtl/>
        </w:rPr>
        <w:t>ا</w:t>
      </w:r>
      <w:r w:rsidRPr="00132E65">
        <w:rPr>
          <w:rtl/>
        </w:rPr>
        <w:t xml:space="preserve"> أن يكون »</w:t>
      </w:r>
      <w:r>
        <w:rPr>
          <w:rtl/>
        </w:rPr>
        <w:t>.</w:t>
      </w:r>
      <w:r w:rsidRPr="00132E65">
        <w:rPr>
          <w:rtl/>
        </w:rPr>
        <w:t xml:space="preserve"> وفي سائر النسخ والمطبوع : « أن يكون »</w:t>
      </w:r>
      <w:r>
        <w:rPr>
          <w:rtl/>
        </w:rPr>
        <w:t>.</w:t>
      </w:r>
      <w:r w:rsidR="002B04C9">
        <w:rPr>
          <w:rFonts w:hint="cs"/>
          <w:rtl/>
        </w:rPr>
        <w:t xml:space="preserve">          </w:t>
      </w:r>
      <w:r w:rsidR="00936037">
        <w:rPr>
          <w:rFonts w:hint="cs"/>
          <w:rtl/>
        </w:rPr>
        <w:t xml:space="preserve">       </w:t>
      </w:r>
      <w:r w:rsidR="002B04C9">
        <w:rPr>
          <w:rFonts w:hint="cs"/>
          <w:rtl/>
        </w:rPr>
        <w:t xml:space="preserve">   </w:t>
      </w:r>
      <w:r>
        <w:rPr>
          <w:rtl/>
        </w:rPr>
        <w:t>(10).</w:t>
      </w:r>
      <w:r w:rsidRPr="00132E65">
        <w:rPr>
          <w:rtl/>
        </w:rPr>
        <w:t xml:space="preserve"> في « ف » : « فكان أبو عبيدة معهم »</w:t>
      </w:r>
      <w:r>
        <w:rPr>
          <w:rtl/>
        </w:rPr>
        <w:t>.</w:t>
      </w:r>
    </w:p>
    <w:p w:rsidR="000C39D1" w:rsidRPr="00132E65" w:rsidRDefault="000C39D1" w:rsidP="000C39D1">
      <w:pPr>
        <w:pStyle w:val="libFootnote0"/>
        <w:rPr>
          <w:rtl/>
          <w:lang w:bidi="fa-IR"/>
        </w:rPr>
      </w:pPr>
      <w:r>
        <w:rPr>
          <w:rtl/>
        </w:rPr>
        <w:t>(11).</w:t>
      </w:r>
      <w:r w:rsidRPr="00132E65">
        <w:rPr>
          <w:rtl/>
        </w:rPr>
        <w:t xml:space="preserve"> الزخرف (43) : 79</w:t>
      </w:r>
      <w:r>
        <w:rPr>
          <w:rtl/>
        </w:rPr>
        <w:t xml:space="preserve"> - </w:t>
      </w:r>
      <w:r w:rsidRPr="00132E65">
        <w:rPr>
          <w:rtl/>
        </w:rPr>
        <w:t>80.</w:t>
      </w:r>
    </w:p>
    <w:p w:rsidR="000C39D1" w:rsidRPr="00132E65" w:rsidRDefault="000C39D1" w:rsidP="002B04C9">
      <w:pPr>
        <w:pStyle w:val="libFootnote0"/>
        <w:rPr>
          <w:rtl/>
          <w:lang w:bidi="fa-IR"/>
        </w:rPr>
      </w:pPr>
      <w:r>
        <w:rPr>
          <w:rtl/>
        </w:rPr>
        <w:t>(12).</w:t>
      </w:r>
      <w:r w:rsidRPr="00132E65">
        <w:rPr>
          <w:rtl/>
        </w:rPr>
        <w:t xml:space="preserve"> </w:t>
      </w:r>
      <w:r w:rsidRPr="005A3F59">
        <w:rPr>
          <w:rtl/>
        </w:rPr>
        <w:t>تفسير القمّي</w:t>
      </w:r>
      <w:r w:rsidRPr="00132E65">
        <w:rPr>
          <w:rtl/>
        </w:rPr>
        <w:t xml:space="preserve"> ، ج 2 ، ص 308 ، بسند آخر ، وفيه بعض الرواية من دون الإسناد إلى المعصوم </w:t>
      </w:r>
      <w:r w:rsidRPr="002B04C9">
        <w:rPr>
          <w:rStyle w:val="libFootnoteAlaemChar"/>
          <w:rtl/>
        </w:rPr>
        <w:t>عليه‌السلام</w:t>
      </w:r>
      <w:r w:rsidR="002B04C9">
        <w:rPr>
          <w:rFonts w:hint="cs"/>
          <w:rtl/>
        </w:rPr>
        <w:t>.</w:t>
      </w:r>
      <w:r w:rsidRPr="009D1ACE">
        <w:rPr>
          <w:rStyle w:val="libFootnoteBoldChar"/>
          <w:rtl/>
        </w:rPr>
        <w:t>الوافي</w:t>
      </w:r>
      <w:r w:rsidRPr="00132E65">
        <w:rPr>
          <w:rtl/>
        </w:rPr>
        <w:t xml:space="preserve"> ، ج 3 ، ص 924 ، ح 1601 ؛ </w:t>
      </w:r>
      <w:r w:rsidRPr="005A3F59">
        <w:rPr>
          <w:rtl/>
        </w:rPr>
        <w:t>البحار</w:t>
      </w:r>
      <w:r w:rsidRPr="00132E65">
        <w:rPr>
          <w:rtl/>
        </w:rPr>
        <w:t xml:space="preserve"> ، ج 23 ، ص 375 ، ح 58 ؛ وج 30 ، ص 263 ، ح 128.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A3F59">
        <w:rPr>
          <w:rtl/>
        </w:rPr>
        <w:t>1131</w:t>
      </w:r>
      <w:r w:rsidRPr="004325D8">
        <w:rPr>
          <w:rStyle w:val="libBold2Char"/>
          <w:rtl/>
        </w:rPr>
        <w:t xml:space="preserve"> / 44.</w:t>
      </w:r>
      <w:r w:rsidRPr="00132E65">
        <w:rPr>
          <w:rtl/>
          <w:lang w:bidi="fa-IR"/>
        </w:rPr>
        <w:t xml:space="preserve"> وبِهذَا الْإِسْنَادِ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w:t>
      </w:r>
      <w:r>
        <w:rPr>
          <w:rStyle w:val="libFootnotenumChar"/>
          <w:rtl/>
        </w:rPr>
        <w:t>(1)</w:t>
      </w:r>
      <w:r w:rsidRPr="00132E65">
        <w:rPr>
          <w:rtl/>
          <w:lang w:bidi="fa-IR"/>
        </w:rPr>
        <w:t xml:space="preserve"> : </w:t>
      </w:r>
      <w:r w:rsidRPr="00071CF9">
        <w:rPr>
          <w:rStyle w:val="libAlaemChar"/>
          <w:rtl/>
        </w:rPr>
        <w:t>(</w:t>
      </w:r>
      <w:r w:rsidRPr="00071CF9">
        <w:rPr>
          <w:rStyle w:val="libAieChar"/>
          <w:rtl/>
        </w:rPr>
        <w:t xml:space="preserve"> وَمَنْ يُرِدْ فِيهِ بِإِلْحادٍ بِظُلْمٍ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w:t>
      </w:r>
      <w:r>
        <w:rPr>
          <w:rFonts w:hint="cs"/>
          <w:rtl/>
          <w:lang w:bidi="fa-IR"/>
        </w:rPr>
        <w:t xml:space="preserve"> </w:t>
      </w:r>
      <w:r w:rsidRPr="00132E65">
        <w:rPr>
          <w:rtl/>
          <w:lang w:bidi="fa-IR"/>
        </w:rPr>
        <w:t xml:space="preserve">« نَزَلَتْ فِيهِمْ ؛ حَيْثُ دَخَلُوا الْكَعْبَةَ ، فَتَعَاهَدُوا وتَعَاقَدُوا عَلى كُفْرِهِمْ وجُحُودِهِمْ بِمَا نُزِّلَ </w:t>
      </w:r>
      <w:r>
        <w:rPr>
          <w:rStyle w:val="libFootnotenumChar"/>
          <w:rtl/>
        </w:rPr>
        <w:t>(3)</w:t>
      </w:r>
      <w:r w:rsidRPr="00132E65">
        <w:rPr>
          <w:rtl/>
          <w:lang w:bidi="fa-IR"/>
        </w:rPr>
        <w:t xml:space="preserve"> فِي أَمِيرِ الْمُؤْمِنِينَ </w:t>
      </w:r>
      <w:r w:rsidRPr="00071CF9">
        <w:rPr>
          <w:rStyle w:val="libAlaemChar"/>
          <w:rtl/>
        </w:rPr>
        <w:t>عليه‌السلام</w:t>
      </w:r>
      <w:r w:rsidRPr="00132E65">
        <w:rPr>
          <w:rtl/>
          <w:lang w:bidi="fa-IR"/>
        </w:rPr>
        <w:t xml:space="preserve"> ، فَأَلْحَدُوا </w:t>
      </w:r>
      <w:r>
        <w:rPr>
          <w:rStyle w:val="libFootnotenumChar"/>
          <w:rtl/>
        </w:rPr>
        <w:t>(4)</w:t>
      </w:r>
      <w:r w:rsidRPr="00132E65">
        <w:rPr>
          <w:rtl/>
          <w:lang w:bidi="fa-IR"/>
        </w:rPr>
        <w:t xml:space="preserve"> فِي الْبَيْتِ بِظُ</w:t>
      </w:r>
      <w:r w:rsidR="002B04C9">
        <w:rPr>
          <w:rtl/>
          <w:lang w:bidi="fa-IR"/>
        </w:rPr>
        <w:t>لْمِهِمُ الرَّسُولَ و</w:t>
      </w:r>
      <w:r w:rsidR="002B04C9">
        <w:rPr>
          <w:rFonts w:hint="cs"/>
          <w:rtl/>
          <w:lang w:bidi="fa-IR"/>
        </w:rPr>
        <w:t xml:space="preserve">َ </w:t>
      </w:r>
      <w:r w:rsidR="002B04C9">
        <w:rPr>
          <w:rtl/>
          <w:lang w:bidi="fa-IR"/>
        </w:rPr>
        <w:t>و</w:t>
      </w:r>
      <w:r w:rsidR="002B04C9">
        <w:rPr>
          <w:rFonts w:hint="cs"/>
          <w:rtl/>
          <w:lang w:bidi="fa-IR"/>
        </w:rPr>
        <w:t>َ</w:t>
      </w:r>
      <w:r w:rsidRPr="00132E65">
        <w:rPr>
          <w:rtl/>
          <w:lang w:bidi="fa-IR"/>
        </w:rPr>
        <w:t xml:space="preserve">لِيَّهُ ؛ فَبُعْداً لِلْقَوْمِ الظَّالِمِينَ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5A3F59">
        <w:rPr>
          <w:rtl/>
        </w:rPr>
        <w:t>1132</w:t>
      </w:r>
      <w:r w:rsidRPr="004325D8">
        <w:rPr>
          <w:rStyle w:val="libBold2Char"/>
          <w:rtl/>
        </w:rPr>
        <w:t xml:space="preserve"> / 45.</w:t>
      </w:r>
      <w:r w:rsidRPr="00132E65">
        <w:rPr>
          <w:rtl/>
          <w:lang w:bidi="fa-IR"/>
        </w:rPr>
        <w:t xml:space="preserve"> الْحُسَيْنُ بْنُ مُحَمَّدٍ ، عَنْ مُعَلَّى بْنِ مُحَمَّدٍ ، عَنْ عَلِيِّ بْنِ أَسْبَاطٍ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w:t>
      </w:r>
      <w:r>
        <w:rPr>
          <w:rStyle w:val="libFootnotenumChar"/>
          <w:rtl/>
        </w:rPr>
        <w:t>(7)</w:t>
      </w:r>
      <w:r w:rsidRPr="00132E65">
        <w:rPr>
          <w:rtl/>
          <w:lang w:bidi="fa-IR"/>
        </w:rPr>
        <w:t xml:space="preserve"> : </w:t>
      </w:r>
      <w:r w:rsidRPr="00071CF9">
        <w:rPr>
          <w:rStyle w:val="libAlaemChar"/>
          <w:rtl/>
        </w:rPr>
        <w:t>(</w:t>
      </w:r>
      <w:r w:rsidRPr="00071CF9">
        <w:rPr>
          <w:rStyle w:val="libAieChar"/>
          <w:rtl/>
        </w:rPr>
        <w:t xml:space="preserve"> فَسَتَعْلَمُونَ مَنْ هُوَ فِي ضَلالٍ مُبِينٍ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Pr>
          <w:rFonts w:hint="cs"/>
          <w:rtl/>
          <w:lang w:bidi="fa-IR"/>
        </w:rPr>
        <w:t xml:space="preserve"> </w:t>
      </w:r>
      <w:r w:rsidRPr="00132E65">
        <w:rPr>
          <w:rtl/>
          <w:lang w:bidi="fa-IR"/>
        </w:rPr>
        <w:t xml:space="preserve">« يَا مَعْشَرَ الْمُكَذِّبِينَ حَيْثُ أَنْبَأْتُكُمْ رِسَالَةَ رَبِّي فِي ولَايَةِ عَلِيٍّ </w:t>
      </w:r>
      <w:r>
        <w:rPr>
          <w:rStyle w:val="libFootnotenumChar"/>
          <w:rtl/>
        </w:rPr>
        <w:t>(9)</w:t>
      </w:r>
      <w:r w:rsidRPr="00132E65">
        <w:rPr>
          <w:rtl/>
          <w:lang w:bidi="fa-IR"/>
        </w:rPr>
        <w:t xml:space="preserve"> </w:t>
      </w:r>
      <w:r w:rsidRPr="00071CF9">
        <w:rPr>
          <w:rStyle w:val="libAlaemChar"/>
          <w:rtl/>
        </w:rPr>
        <w:t>عليه‌السلام</w:t>
      </w:r>
      <w:r w:rsidRPr="00132E65">
        <w:rPr>
          <w:rtl/>
          <w:lang w:bidi="fa-IR"/>
        </w:rPr>
        <w:t xml:space="preserve"> والْأَئِمَّةِ مِنْ بَعْدِهِ</w:t>
      </w:r>
      <w:r>
        <w:rPr>
          <w:rFonts w:hint="cs"/>
          <w:rtl/>
          <w:lang w:bidi="fa-IR"/>
        </w:rPr>
        <w:t xml:space="preserve"> </w:t>
      </w:r>
      <w:r w:rsidRPr="00071CF9">
        <w:rPr>
          <w:rStyle w:val="libAlaemChar"/>
          <w:rtl/>
        </w:rPr>
        <w:t>(</w:t>
      </w:r>
      <w:r w:rsidRPr="00071CF9">
        <w:rPr>
          <w:rStyle w:val="libAieChar"/>
          <w:rtl/>
        </w:rPr>
        <w:t xml:space="preserve"> مَنْ هُوَ فِي ضَلالٍ مُبِينٍ </w:t>
      </w:r>
      <w:r w:rsidRPr="00071CF9">
        <w:rPr>
          <w:rStyle w:val="libAlaemChar"/>
          <w:rtl/>
        </w:rPr>
        <w:t>)</w:t>
      </w:r>
      <w:r w:rsidRPr="00132E65">
        <w:rPr>
          <w:rtl/>
          <w:lang w:bidi="fa-IR"/>
        </w:rPr>
        <w:t xml:space="preserve"> كَذَا أُنْزِلَتْ »</w:t>
      </w:r>
      <w:r>
        <w:rPr>
          <w:rtl/>
          <w:lang w:bidi="fa-IR"/>
        </w:rPr>
        <w:t>.</w:t>
      </w:r>
    </w:p>
    <w:p w:rsidR="000C39D1" w:rsidRPr="00132E65" w:rsidRDefault="000C39D1" w:rsidP="000C39D1">
      <w:pPr>
        <w:pStyle w:val="libNormal"/>
        <w:rPr>
          <w:rtl/>
          <w:lang w:bidi="fa-IR"/>
        </w:rPr>
      </w:pPr>
      <w:r w:rsidRPr="00132E65">
        <w:rPr>
          <w:rtl/>
          <w:lang w:bidi="fa-IR"/>
        </w:rPr>
        <w:t xml:space="preserve">وَفِي قَوْلِهِ تَعَالى : </w:t>
      </w:r>
      <w:r w:rsidRPr="00071CF9">
        <w:rPr>
          <w:rStyle w:val="libAlaemChar"/>
          <w:rtl/>
        </w:rPr>
        <w:t>(</w:t>
      </w:r>
      <w:r w:rsidRPr="00071CF9">
        <w:rPr>
          <w:rStyle w:val="libAieChar"/>
          <w:rtl/>
        </w:rPr>
        <w:t xml:space="preserve"> إِنْ تَلْوُوا أَوْ تُعْرِضُوا </w:t>
      </w:r>
      <w:r w:rsidRPr="00071CF9">
        <w:rPr>
          <w:rStyle w:val="libAlaemChar"/>
          <w:rtl/>
        </w:rPr>
        <w:t>)</w:t>
      </w:r>
      <w:r w:rsidRPr="00132E65">
        <w:rPr>
          <w:rtl/>
          <w:lang w:bidi="fa-IR"/>
        </w:rPr>
        <w:t xml:space="preserve"> فَقَالَ </w:t>
      </w:r>
      <w:r>
        <w:rPr>
          <w:rStyle w:val="libFootnotenumChar"/>
          <w:rtl/>
        </w:rPr>
        <w:t>(10)</w:t>
      </w:r>
      <w:r w:rsidRPr="00132E65">
        <w:rPr>
          <w:rtl/>
          <w:lang w:bidi="fa-IR"/>
        </w:rPr>
        <w:t xml:space="preserve"> : « إِنْ تَلْوُوا الْأَمْرَ </w:t>
      </w:r>
      <w:r>
        <w:rPr>
          <w:rStyle w:val="libFootnotenumChar"/>
          <w:rtl/>
        </w:rPr>
        <w:t>(11)</w:t>
      </w:r>
      <w:r w:rsidRPr="00132E65">
        <w:rPr>
          <w:rtl/>
          <w:lang w:bidi="fa-IR"/>
        </w:rPr>
        <w:t xml:space="preserve"> وتُعْرِضُوا عَمَّا أُمِرْتُمْ بِهِ</w:t>
      </w:r>
      <w:r>
        <w:rPr>
          <w:rFonts w:hint="cs"/>
          <w:rtl/>
          <w:lang w:bidi="fa-IR"/>
        </w:rPr>
        <w:t xml:space="preserve"> </w:t>
      </w:r>
      <w:r w:rsidRPr="00071CF9">
        <w:rPr>
          <w:rStyle w:val="libAlaemChar"/>
          <w:rtl/>
        </w:rPr>
        <w:t>(</w:t>
      </w:r>
      <w:r w:rsidRPr="00071CF9">
        <w:rPr>
          <w:rStyle w:val="libAieChar"/>
          <w:rtl/>
        </w:rPr>
        <w:t xml:space="preserve"> فَإِنَّ اللهَ كانَ بِما تَعْمَلُونَ خَبِيراً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قوله » بدل « قول الله عزّ وجلّ »</w:t>
      </w:r>
      <w:r>
        <w:rPr>
          <w:rtl/>
        </w:rPr>
        <w:t>.</w:t>
      </w:r>
      <w:r w:rsidRPr="00132E65">
        <w:rPr>
          <w:rtl/>
        </w:rPr>
        <w:t xml:space="preserve"> وفي « ج ، ض » والبحار </w:t>
      </w:r>
      <w:r>
        <w:rPr>
          <w:rtl/>
        </w:rPr>
        <w:t xml:space="preserve">: - </w:t>
      </w:r>
      <w:r w:rsidRPr="00132E65">
        <w:rPr>
          <w:rtl/>
        </w:rPr>
        <w:t>« في قول الله عزّ وجلّ »</w:t>
      </w:r>
      <w:r>
        <w:rPr>
          <w:rtl/>
        </w:rPr>
        <w:t>.</w:t>
      </w:r>
    </w:p>
    <w:p w:rsidR="000C39D1" w:rsidRPr="00132E65" w:rsidRDefault="000C39D1" w:rsidP="000C39D1">
      <w:pPr>
        <w:pStyle w:val="libFootnote0"/>
        <w:rPr>
          <w:rtl/>
          <w:lang w:bidi="fa-IR"/>
        </w:rPr>
      </w:pPr>
      <w:r>
        <w:rPr>
          <w:rtl/>
        </w:rPr>
        <w:t>(2).</w:t>
      </w:r>
      <w:r w:rsidRPr="00132E65">
        <w:rPr>
          <w:rtl/>
        </w:rPr>
        <w:t xml:space="preserve"> الحجّ (22) : 25.</w:t>
      </w:r>
    </w:p>
    <w:p w:rsidR="000C39D1" w:rsidRPr="00132E65" w:rsidRDefault="000C39D1" w:rsidP="000C39D1">
      <w:pPr>
        <w:pStyle w:val="libFootnote0"/>
        <w:rPr>
          <w:rtl/>
          <w:lang w:bidi="fa-IR"/>
        </w:rPr>
      </w:pPr>
      <w:r>
        <w:rPr>
          <w:rtl/>
        </w:rPr>
        <w:t>(3).</w:t>
      </w:r>
      <w:r w:rsidRPr="00132E65">
        <w:rPr>
          <w:rtl/>
        </w:rPr>
        <w:t xml:space="preserve"> في « ب ، ض ، ف ، بر » : « نزّل الله »</w:t>
      </w:r>
      <w:r>
        <w:rPr>
          <w:rtl/>
        </w:rPr>
        <w:t>.</w:t>
      </w:r>
      <w:r w:rsidRPr="00132E65">
        <w:rPr>
          <w:rtl/>
        </w:rPr>
        <w:t xml:space="preserve"> ويجوز في الكلمة المبنيّ للمفعول من الإفعال. وفي </w:t>
      </w:r>
      <w:r w:rsidRPr="009D1ACE">
        <w:rPr>
          <w:rStyle w:val="libFootnoteBoldChar"/>
          <w:rtl/>
        </w:rPr>
        <w:t>الوافي</w:t>
      </w:r>
      <w:r w:rsidRPr="00132E65">
        <w:rPr>
          <w:rtl/>
        </w:rPr>
        <w:t xml:space="preserve"> : « أنزل »</w:t>
      </w:r>
      <w:r>
        <w:rPr>
          <w:rtl/>
        </w:rPr>
        <w:t>.</w:t>
      </w:r>
    </w:p>
    <w:p w:rsidR="000C39D1" w:rsidRPr="00132E65" w:rsidRDefault="000C39D1" w:rsidP="000C39D1">
      <w:pPr>
        <w:pStyle w:val="libFootnote0"/>
        <w:rPr>
          <w:rtl/>
          <w:lang w:bidi="fa-IR"/>
        </w:rPr>
      </w:pPr>
      <w:r>
        <w:rPr>
          <w:rtl/>
        </w:rPr>
        <w:t>(4).</w:t>
      </w:r>
      <w:r w:rsidRPr="00132E65">
        <w:rPr>
          <w:rtl/>
        </w:rPr>
        <w:t xml:space="preserve"> « فألحدوا » ، أي عدلوا وانحرفوا. </w:t>
      </w:r>
      <w:r w:rsidRPr="005A3F59">
        <w:rPr>
          <w:rtl/>
        </w:rPr>
        <w:t>الصحاح</w:t>
      </w:r>
      <w:r w:rsidRPr="00132E65">
        <w:rPr>
          <w:rtl/>
        </w:rPr>
        <w:t xml:space="preserve"> ، ج 2 ، ص 534 ( لحد )</w:t>
      </w:r>
      <w:r>
        <w:rPr>
          <w:rtl/>
        </w:rPr>
        <w:t>.</w:t>
      </w:r>
    </w:p>
    <w:p w:rsidR="000C39D1" w:rsidRPr="00132E65" w:rsidRDefault="000C39D1" w:rsidP="000C39D1">
      <w:pPr>
        <w:pStyle w:val="libFootnote0"/>
        <w:rPr>
          <w:rtl/>
          <w:lang w:bidi="fa-IR"/>
        </w:rPr>
      </w:pPr>
      <w:r>
        <w:rPr>
          <w:rtl/>
        </w:rPr>
        <w:t>(5).</w:t>
      </w:r>
      <w:r w:rsidRPr="00132E65">
        <w:rPr>
          <w:rtl/>
        </w:rPr>
        <w:t xml:space="preserve"> اقتباس من الآية 44 من سورة هود </w:t>
      </w:r>
      <w:r w:rsidR="002B04C9">
        <w:rPr>
          <w:rtl/>
        </w:rPr>
        <w:t>(11)</w:t>
      </w:r>
      <w:r>
        <w:rPr>
          <w:rtl/>
        </w:rPr>
        <w:t xml:space="preserve"> :</w:t>
      </w:r>
      <w:r w:rsidRPr="00132E65">
        <w:rPr>
          <w:rtl/>
        </w:rPr>
        <w:t xml:space="preserve"> </w:t>
      </w:r>
      <w:r w:rsidRPr="00071CF9">
        <w:rPr>
          <w:rStyle w:val="libAlaemChar"/>
          <w:rtl/>
        </w:rPr>
        <w:t>(</w:t>
      </w:r>
      <w:r>
        <w:rPr>
          <w:rFonts w:hint="cs"/>
          <w:rtl/>
        </w:rPr>
        <w:t xml:space="preserve"> </w:t>
      </w:r>
      <w:r w:rsidRPr="00C2691A">
        <w:rPr>
          <w:rStyle w:val="libFootnoteAieChar"/>
          <w:rtl/>
        </w:rPr>
        <w:t>وَقُضِيَ الْأَمْرُ وَاسْتَوَتْ عَلَى الْجُودِيِّ وَقِيلَ بُعْداً لِلْقَوْمِ الظّالِمِينَ</w:t>
      </w:r>
      <w:r>
        <w:rPr>
          <w:rFonts w:hint="cs"/>
          <w:rtl/>
        </w:rPr>
        <w:t xml:space="preserve"> </w:t>
      </w:r>
      <w:r w:rsidRPr="00071CF9">
        <w:rPr>
          <w:rStyle w:val="libAlaemChar"/>
          <w:rtl/>
        </w:rPr>
        <w:t>)</w:t>
      </w:r>
      <w:r w:rsidRPr="00132E65">
        <w:rPr>
          <w:rtl/>
        </w:rPr>
        <w:t>.</w:t>
      </w:r>
    </w:p>
    <w:p w:rsidR="000C39D1" w:rsidRPr="00132E65" w:rsidRDefault="000C39D1" w:rsidP="003E45C3">
      <w:pPr>
        <w:pStyle w:val="libFootnote0"/>
        <w:rPr>
          <w:rtl/>
          <w:lang w:bidi="fa-IR"/>
        </w:rPr>
      </w:pPr>
      <w:r>
        <w:rPr>
          <w:rtl/>
        </w:rPr>
        <w:t>(6).</w:t>
      </w:r>
      <w:r w:rsidRPr="00132E65">
        <w:rPr>
          <w:rtl/>
        </w:rPr>
        <w:t xml:space="preserve"> راجع : </w:t>
      </w:r>
      <w:r w:rsidRPr="005A3F59">
        <w:rPr>
          <w:rtl/>
        </w:rPr>
        <w:t>تفسير القمّي</w:t>
      </w:r>
      <w:r w:rsidRPr="00132E65">
        <w:rPr>
          <w:rtl/>
        </w:rPr>
        <w:t xml:space="preserve"> ، ج 2 ، ص 83</w:t>
      </w:r>
      <w:r w:rsidR="003E45C3">
        <w:rPr>
          <w:rFonts w:hint="cs"/>
          <w:rtl/>
        </w:rPr>
        <w:t>.</w:t>
      </w:r>
      <w:r w:rsidRPr="009D1ACE">
        <w:rPr>
          <w:rStyle w:val="libFootnoteBoldChar"/>
          <w:rtl/>
        </w:rPr>
        <w:t>الوافي</w:t>
      </w:r>
      <w:r w:rsidRPr="00132E65">
        <w:rPr>
          <w:rtl/>
        </w:rPr>
        <w:t xml:space="preserve"> ، ج 3 ، ص 924 ، ح 1602 ؛ </w:t>
      </w:r>
      <w:r w:rsidRPr="005A3F59">
        <w:rPr>
          <w:rtl/>
        </w:rPr>
        <w:t>البحار</w:t>
      </w:r>
      <w:r w:rsidRPr="00132E65">
        <w:rPr>
          <w:rtl/>
        </w:rPr>
        <w:t xml:space="preserve"> ، ج 23 ، ص 376 ، ح 59 ؛ وج 30 ، ص 264 ، ح 129.</w:t>
      </w:r>
    </w:p>
    <w:p w:rsidR="000C39D1" w:rsidRPr="00132E65" w:rsidRDefault="000C39D1" w:rsidP="003E45C3">
      <w:pPr>
        <w:pStyle w:val="libFootnote0"/>
        <w:rPr>
          <w:rtl/>
          <w:lang w:bidi="fa-IR"/>
        </w:rPr>
      </w:pPr>
      <w:r>
        <w:rPr>
          <w:rtl/>
        </w:rPr>
        <w:t>(7).</w:t>
      </w:r>
      <w:r w:rsidRPr="00132E65">
        <w:rPr>
          <w:rtl/>
        </w:rPr>
        <w:t xml:space="preserve"> في « ج ، ف ، بح » : « قوله تعالى »</w:t>
      </w:r>
      <w:r>
        <w:rPr>
          <w:rtl/>
        </w:rPr>
        <w:t>.</w:t>
      </w:r>
      <w:r w:rsidRPr="00132E65">
        <w:rPr>
          <w:rtl/>
        </w:rPr>
        <w:t xml:space="preserve"> وفي « ض » : « قوله عزّ وجلّ »</w:t>
      </w:r>
      <w:r>
        <w:rPr>
          <w:rtl/>
        </w:rPr>
        <w:t>.</w:t>
      </w:r>
      <w:r w:rsidRPr="00132E65">
        <w:rPr>
          <w:rtl/>
        </w:rPr>
        <w:t xml:space="preserve"> وفي « بس » والبحار : « قوله » بدون « الله‌عزّ وجلّ »</w:t>
      </w:r>
      <w:r>
        <w:rPr>
          <w:rtl/>
        </w:rPr>
        <w:t>.</w:t>
      </w:r>
      <w:r w:rsidR="003E45C3">
        <w:rPr>
          <w:rFonts w:hint="cs"/>
          <w:rtl/>
        </w:rPr>
        <w:t xml:space="preserve">                               </w:t>
      </w:r>
      <w:r w:rsidR="00936037">
        <w:rPr>
          <w:rFonts w:hint="cs"/>
          <w:rtl/>
        </w:rPr>
        <w:t xml:space="preserve">        </w:t>
      </w:r>
      <w:r w:rsidR="003E45C3">
        <w:rPr>
          <w:rFonts w:hint="cs"/>
          <w:rtl/>
        </w:rPr>
        <w:t xml:space="preserve">     </w:t>
      </w:r>
      <w:r>
        <w:rPr>
          <w:rtl/>
        </w:rPr>
        <w:t>(8).</w:t>
      </w:r>
      <w:r w:rsidRPr="00132E65">
        <w:rPr>
          <w:rtl/>
        </w:rPr>
        <w:t xml:space="preserve"> الملك (67) : 29.</w:t>
      </w:r>
    </w:p>
    <w:tbl>
      <w:tblPr>
        <w:tblStyle w:val="TableGrid"/>
        <w:bidiVisual/>
        <w:tblW w:w="0" w:type="auto"/>
        <w:tblLook w:val="04A0" w:firstRow="1" w:lastRow="0" w:firstColumn="1" w:lastColumn="0" w:noHBand="0" w:noVBand="1"/>
      </w:tblPr>
      <w:tblGrid>
        <w:gridCol w:w="4006"/>
        <w:gridCol w:w="4006"/>
      </w:tblGrid>
      <w:tr w:rsidR="003E45C3" w:rsidTr="003E45C3">
        <w:tc>
          <w:tcPr>
            <w:tcW w:w="4006" w:type="dxa"/>
          </w:tcPr>
          <w:p w:rsidR="003E45C3" w:rsidRDefault="003E45C3" w:rsidP="000C39D1">
            <w:pPr>
              <w:pStyle w:val="libFootnote0"/>
              <w:rPr>
                <w:rtl/>
              </w:rPr>
            </w:pPr>
            <w:r>
              <w:rPr>
                <w:rtl/>
              </w:rPr>
              <w:t>(9).</w:t>
            </w:r>
            <w:r w:rsidRPr="00132E65">
              <w:rPr>
                <w:rtl/>
              </w:rPr>
              <w:t xml:space="preserve"> في « بف » :</w:t>
            </w:r>
            <w:r>
              <w:rPr>
                <w:rtl/>
              </w:rPr>
              <w:t xml:space="preserve"> + </w:t>
            </w:r>
            <w:r w:rsidRPr="00132E65">
              <w:rPr>
                <w:rtl/>
              </w:rPr>
              <w:t>« بن أبي طالب »</w:t>
            </w:r>
            <w:r>
              <w:rPr>
                <w:rtl/>
              </w:rPr>
              <w:t>.</w:t>
            </w:r>
          </w:p>
        </w:tc>
        <w:tc>
          <w:tcPr>
            <w:tcW w:w="4006" w:type="dxa"/>
          </w:tcPr>
          <w:p w:rsidR="003E45C3" w:rsidRDefault="003E45C3" w:rsidP="000C39D1">
            <w:pPr>
              <w:pStyle w:val="libFootnote0"/>
              <w:rPr>
                <w:rtl/>
              </w:rPr>
            </w:pPr>
            <w:r>
              <w:rPr>
                <w:rtl/>
              </w:rPr>
              <w:t>(10).</w:t>
            </w:r>
            <w:r w:rsidRPr="00132E65">
              <w:rPr>
                <w:rtl/>
              </w:rPr>
              <w:t xml:space="preserve"> في « ب » : « قال »</w:t>
            </w:r>
            <w:r>
              <w:rPr>
                <w:rtl/>
              </w:rPr>
              <w:t>.</w:t>
            </w:r>
          </w:p>
        </w:tc>
      </w:tr>
    </w:tbl>
    <w:p w:rsidR="000C39D1" w:rsidRPr="00132E65" w:rsidRDefault="000C39D1" w:rsidP="000C39D1">
      <w:pPr>
        <w:pStyle w:val="libFootnote0"/>
        <w:rPr>
          <w:rtl/>
          <w:lang w:bidi="fa-IR"/>
        </w:rPr>
      </w:pPr>
      <w:r>
        <w:rPr>
          <w:rtl/>
        </w:rPr>
        <w:t>(11).</w:t>
      </w:r>
      <w:r w:rsidRPr="00132E65">
        <w:rPr>
          <w:rtl/>
        </w:rPr>
        <w:t xml:space="preserve"> « إن تلوُوا الأمر » ، أي تميلوا من جانب إلى جانب. راجع : </w:t>
      </w:r>
      <w:r w:rsidRPr="005A3F59">
        <w:rPr>
          <w:rtl/>
        </w:rPr>
        <w:t>النهاية</w:t>
      </w:r>
      <w:r w:rsidRPr="00132E65">
        <w:rPr>
          <w:rtl/>
        </w:rPr>
        <w:t xml:space="preserve"> ، ج 4 ، ص 278 ( لوا )</w:t>
      </w:r>
      <w:r>
        <w:rPr>
          <w:rtl/>
        </w:rPr>
        <w:t>.</w:t>
      </w:r>
    </w:p>
    <w:p w:rsidR="000C39D1" w:rsidRPr="00132E65" w:rsidRDefault="000C39D1" w:rsidP="003E45C3">
      <w:pPr>
        <w:pStyle w:val="libFootnote0"/>
        <w:rPr>
          <w:rtl/>
          <w:lang w:bidi="fa-IR"/>
        </w:rPr>
      </w:pPr>
      <w:r>
        <w:rPr>
          <w:rtl/>
        </w:rPr>
        <w:t>(12).</w:t>
      </w:r>
      <w:r w:rsidRPr="00132E65">
        <w:rPr>
          <w:rtl/>
        </w:rPr>
        <w:t xml:space="preserve"> النساء </w:t>
      </w:r>
      <w:r>
        <w:rPr>
          <w:rtl/>
        </w:rPr>
        <w:t>(4)</w:t>
      </w:r>
      <w:r w:rsidRPr="00132E65">
        <w:rPr>
          <w:rtl/>
        </w:rPr>
        <w:t xml:space="preserve"> : 135.</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وَفِي قَوْلِهِ : </w:t>
      </w:r>
      <w:r w:rsidRPr="00071CF9">
        <w:rPr>
          <w:rStyle w:val="libAlaemChar"/>
          <w:rtl/>
        </w:rPr>
        <w:t>(</w:t>
      </w:r>
      <w:r w:rsidRPr="00071CF9">
        <w:rPr>
          <w:rStyle w:val="libAieChar"/>
          <w:rtl/>
        </w:rPr>
        <w:t xml:space="preserve"> فَلَنُذِيقَنَّ الَّذِينَ كَفَرُوا </w:t>
      </w:r>
      <w:r w:rsidRPr="00071CF9">
        <w:rPr>
          <w:rStyle w:val="libAlaemChar"/>
          <w:rtl/>
        </w:rPr>
        <w:t>)</w:t>
      </w:r>
      <w:r w:rsidRPr="00132E65">
        <w:rPr>
          <w:rtl/>
          <w:lang w:bidi="fa-IR"/>
        </w:rPr>
        <w:t xml:space="preserve"> « بِتَرْكِهِمْ ولَايَةَ أَمِيرِ الْمُؤْمِنِينَ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w:t>
      </w:r>
      <w:r w:rsidRPr="00071CF9">
        <w:rPr>
          <w:rStyle w:val="libAlaemChar"/>
          <w:rtl/>
        </w:rPr>
        <w:t>(</w:t>
      </w:r>
      <w:r w:rsidRPr="00071CF9">
        <w:rPr>
          <w:rStyle w:val="libAieChar"/>
          <w:rtl/>
        </w:rPr>
        <w:t xml:space="preserve"> عَذاباً شَدِيداً </w:t>
      </w:r>
      <w:r w:rsidRPr="00071CF9">
        <w:rPr>
          <w:rStyle w:val="libAlaemChar"/>
          <w:rtl/>
        </w:rPr>
        <w:t>)</w:t>
      </w:r>
      <w:r w:rsidRPr="00132E65">
        <w:rPr>
          <w:rtl/>
          <w:lang w:bidi="fa-IR"/>
        </w:rPr>
        <w:t xml:space="preserve"> فِي الدُّنْيَا </w:t>
      </w:r>
      <w:r>
        <w:rPr>
          <w:rStyle w:val="libFootnotenumChar"/>
          <w:rtl/>
        </w:rPr>
        <w:t>(2)</w:t>
      </w:r>
      <w:r w:rsidRPr="00132E65">
        <w:rPr>
          <w:rtl/>
          <w:lang w:bidi="fa-IR"/>
        </w:rPr>
        <w:t xml:space="preserve"> </w:t>
      </w:r>
      <w:r w:rsidRPr="00071CF9">
        <w:rPr>
          <w:rStyle w:val="libAlaemChar"/>
          <w:rtl/>
        </w:rPr>
        <w:t>(</w:t>
      </w:r>
      <w:r w:rsidRPr="00071CF9">
        <w:rPr>
          <w:rStyle w:val="libAieChar"/>
          <w:rtl/>
        </w:rPr>
        <w:t xml:space="preserve"> وَلَنَجْزِيَنَّهُمْ أَسْوَأَ الَّذِي كانُوا يَعْمَلُونَ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5A3F59">
        <w:rPr>
          <w:rtl/>
        </w:rPr>
        <w:t>1133</w:t>
      </w:r>
      <w:r w:rsidRPr="004325D8">
        <w:rPr>
          <w:rStyle w:val="libBold2Char"/>
          <w:rtl/>
        </w:rPr>
        <w:t xml:space="preserve"> / 46.</w:t>
      </w:r>
      <w:r w:rsidRPr="00132E65">
        <w:rPr>
          <w:rtl/>
          <w:lang w:bidi="fa-IR"/>
        </w:rPr>
        <w:t xml:space="preserve"> الْحُسَيْنُ بْنُ مُحَمَّدٍ ، عَنْ مُعَلَّى بْنِ مُحَمَّدٍ ، عَنْ عَلِيِّ بْنِ أَسْبَاطٍ ، عَنْ عَلِيِّ بْنِ مَنْصُورٍ ، عَنْ إِبْرَاهِيمَ بْنِ عَبْدِ الْحَمِيدِ ، عَنِ الْوَلِيدِ بْنِ صَبِيحٍ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 </w:t>
      </w:r>
      <w:r w:rsidRPr="00071CF9">
        <w:rPr>
          <w:rStyle w:val="libAlaemChar"/>
          <w:rtl/>
        </w:rPr>
        <w:t>(</w:t>
      </w:r>
      <w:r w:rsidRPr="00071CF9">
        <w:rPr>
          <w:rStyle w:val="libAieChar"/>
          <w:rtl/>
        </w:rPr>
        <w:t xml:space="preserve"> ذلِكُمْ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sidRPr="00071CF9">
        <w:rPr>
          <w:rStyle w:val="libAlaemChar"/>
          <w:rtl/>
        </w:rPr>
        <w:t>(</w:t>
      </w:r>
      <w:r w:rsidRPr="00071CF9">
        <w:rPr>
          <w:rStyle w:val="libAieChar"/>
          <w:rtl/>
        </w:rPr>
        <w:t xml:space="preserve"> بِأَنَّهُ إِذا دُعِيَ اللهُ وَحْدَهُ </w:t>
      </w:r>
      <w:r w:rsidRPr="00071CF9">
        <w:rPr>
          <w:rStyle w:val="libAlaemChar"/>
          <w:rtl/>
        </w:rPr>
        <w:t>)</w:t>
      </w:r>
      <w:r w:rsidRPr="00132E65">
        <w:rPr>
          <w:rtl/>
          <w:lang w:bidi="fa-IR"/>
        </w:rPr>
        <w:t xml:space="preserve"> وأَهْلُ الْوَلَايَةِ </w:t>
      </w:r>
      <w:r>
        <w:rPr>
          <w:rStyle w:val="libFootnotenumChar"/>
          <w:rtl/>
        </w:rPr>
        <w:t>(7)</w:t>
      </w:r>
      <w:r w:rsidRPr="00132E65">
        <w:rPr>
          <w:rtl/>
          <w:lang w:bidi="fa-IR"/>
        </w:rPr>
        <w:t xml:space="preserve"> </w:t>
      </w:r>
      <w:r w:rsidRPr="00071CF9">
        <w:rPr>
          <w:rStyle w:val="libAlaemChar"/>
          <w:rtl/>
        </w:rPr>
        <w:t>(</w:t>
      </w:r>
      <w:r w:rsidRPr="00071CF9">
        <w:rPr>
          <w:rStyle w:val="libAieChar"/>
          <w:rtl/>
        </w:rPr>
        <w:t xml:space="preserve"> كَفَرْتُمْ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5A3F59">
        <w:rPr>
          <w:rtl/>
        </w:rPr>
        <w:t>1134</w:t>
      </w:r>
      <w:r w:rsidRPr="004325D8">
        <w:rPr>
          <w:rStyle w:val="libBold2Char"/>
          <w:rtl/>
        </w:rPr>
        <w:t xml:space="preserve"> / 47.</w:t>
      </w:r>
      <w:r w:rsidRPr="00132E65">
        <w:rPr>
          <w:rtl/>
          <w:lang w:bidi="fa-IR"/>
        </w:rPr>
        <w:t xml:space="preserve"> عَلِيُّ بْنُ إِبْرَاهِيمَ ، عَنْ أَحْمَدَ بْنِ مُحَمَّدٍ ، عَنْ مُحَمَّدِ بْنِ خَالِدٍ ، عَنْ مُحَمَّدِ بْنِ سُلَيْمَانَ ، عَنْ أَبِيهِ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w:t>
      </w:r>
      <w:r>
        <w:rPr>
          <w:rStyle w:val="libFootnotenumChar"/>
          <w:rtl/>
        </w:rPr>
        <w:t>(10)</w:t>
      </w:r>
      <w:r w:rsidRPr="00132E65">
        <w:rPr>
          <w:rtl/>
          <w:lang w:bidi="fa-IR"/>
        </w:rPr>
        <w:t xml:space="preserve"> تَعَالى : </w:t>
      </w:r>
      <w:r w:rsidRPr="00071CF9">
        <w:rPr>
          <w:rStyle w:val="libAlaemChar"/>
          <w:rtl/>
        </w:rPr>
        <w:t>(</w:t>
      </w:r>
      <w:r w:rsidRPr="00071CF9">
        <w:rPr>
          <w:rStyle w:val="libAieChar"/>
          <w:rtl/>
        </w:rPr>
        <w:t xml:space="preserve"> سَأَلَ سائِلٌ بِعَذابٍ واقِعٍ لِلْكافِرينَ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بِوَلَايَةِ عَلِيٍّ </w:t>
      </w:r>
      <w:r>
        <w:rPr>
          <w:rStyle w:val="libFootnotenumChar"/>
          <w:rtl/>
        </w:rPr>
        <w:t>(12)</w:t>
      </w:r>
      <w:r w:rsidRPr="00132E65">
        <w:rPr>
          <w:rtl/>
          <w:lang w:bidi="fa-IR"/>
        </w:rPr>
        <w:t xml:space="preserve"> </w:t>
      </w:r>
      <w:r w:rsidRPr="00071CF9">
        <w:rPr>
          <w:rStyle w:val="libAlaemChar"/>
          <w:rtl/>
        </w:rPr>
        <w:t>(</w:t>
      </w:r>
      <w:r w:rsidRPr="00071CF9">
        <w:rPr>
          <w:rStyle w:val="libAieChar"/>
          <w:rtl/>
        </w:rPr>
        <w:t xml:space="preserve"> لَيْسَ لَهُ دافِعٌ </w:t>
      </w:r>
      <w:r w:rsidRPr="00071CF9">
        <w:rPr>
          <w:rStyle w:val="libAlaemChar"/>
          <w:rtl/>
        </w:rPr>
        <w:t>)</w:t>
      </w:r>
      <w:r w:rsidRPr="00132E65">
        <w:rPr>
          <w:rtl/>
          <w:lang w:bidi="fa-IR"/>
        </w:rPr>
        <w:t xml:space="preserve"> </w:t>
      </w:r>
      <w:r w:rsidRPr="00F543F1">
        <w:rPr>
          <w:rStyle w:val="libFootnotenumChar"/>
          <w:rtl/>
        </w:rPr>
        <w:t>(13)</w:t>
      </w:r>
      <w:r w:rsidRPr="00132E65">
        <w:rPr>
          <w:rtl/>
          <w:lang w:bidi="fa-IR"/>
        </w:rPr>
        <w:t xml:space="preserve"> ثُمَّ قَالَ : « هكَذَا واللهِ نَزَلَ بِهَا </w:t>
      </w:r>
      <w:r w:rsidRPr="00F543F1">
        <w:rPr>
          <w:rStyle w:val="libFootnotenumChar"/>
          <w:rtl/>
        </w:rPr>
        <w:t>(14)</w:t>
      </w:r>
      <w:r w:rsidRPr="00132E65">
        <w:rPr>
          <w:rtl/>
          <w:lang w:bidi="fa-IR"/>
        </w:rPr>
        <w:t xml:space="preserve"> جَبْرَئِيلُ </w:t>
      </w:r>
      <w:r w:rsidRPr="00071CF9">
        <w:rPr>
          <w:rStyle w:val="libAlaemChar"/>
          <w:rtl/>
        </w:rPr>
        <w:t>عليه‌السلام</w:t>
      </w:r>
      <w:r w:rsidRPr="00132E65">
        <w:rPr>
          <w:rtl/>
          <w:lang w:bidi="fa-IR"/>
        </w:rPr>
        <w:t xml:space="preserve"> عَلى مُحَمَّدٍ </w:t>
      </w:r>
      <w:r w:rsidRPr="0093484F">
        <w:rPr>
          <w:rStyle w:val="libAlaemChar"/>
          <w:rFonts w:eastAsiaTheme="minorHAnsi"/>
          <w:rtl/>
        </w:rPr>
        <w:t>صلى‌الله‌عليه‌وآله</w:t>
      </w:r>
      <w:r w:rsidRPr="00132E65">
        <w:rPr>
          <w:rtl/>
          <w:lang w:bidi="fa-IR"/>
        </w:rPr>
        <w:t>»</w:t>
      </w:r>
      <w:r>
        <w:rPr>
          <w:rtl/>
          <w:lang w:bidi="fa-IR"/>
        </w:rPr>
        <w:t>.</w:t>
      </w:r>
      <w:r w:rsidRPr="00F543F1">
        <w:rPr>
          <w:rStyle w:val="libFootnotenumChar"/>
          <w:rtl/>
        </w:rPr>
        <w:t>(15)</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بح ، بر ، بس ، بف » و</w:t>
      </w:r>
      <w:r w:rsidRPr="009D1ACE">
        <w:rPr>
          <w:rStyle w:val="libFootnoteBoldChar"/>
          <w:rtl/>
        </w:rPr>
        <w:t>مرآة العقول</w:t>
      </w:r>
      <w:r w:rsidRPr="00132E65">
        <w:rPr>
          <w:rtl/>
        </w:rPr>
        <w:t xml:space="preserve"> </w:t>
      </w:r>
      <w:r>
        <w:rPr>
          <w:rtl/>
        </w:rPr>
        <w:t xml:space="preserve">: - </w:t>
      </w:r>
      <w:r w:rsidRPr="00132E65">
        <w:rPr>
          <w:rtl/>
        </w:rPr>
        <w:t xml:space="preserve">« </w:t>
      </w:r>
      <w:r w:rsidRPr="003E45C3">
        <w:rPr>
          <w:rStyle w:val="libFootnoteAlaemChar"/>
          <w:rtl/>
        </w:rPr>
        <w:t>عليه‌السلام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006"/>
        <w:gridCol w:w="4006"/>
      </w:tblGrid>
      <w:tr w:rsidR="003E45C3" w:rsidTr="003E45C3">
        <w:tc>
          <w:tcPr>
            <w:tcW w:w="4006" w:type="dxa"/>
          </w:tcPr>
          <w:p w:rsidR="003E45C3" w:rsidRDefault="003E45C3" w:rsidP="000C39D1">
            <w:pPr>
              <w:pStyle w:val="libFootnote0"/>
              <w:rPr>
                <w:rtl/>
              </w:rPr>
            </w:pPr>
            <w:r>
              <w:rPr>
                <w:rtl/>
              </w:rPr>
              <w:t>(2).</w:t>
            </w:r>
            <w:r w:rsidRPr="00132E65">
              <w:rPr>
                <w:rtl/>
              </w:rPr>
              <w:t xml:space="preserve"> في « ف » :</w:t>
            </w:r>
            <w:r>
              <w:rPr>
                <w:rtl/>
              </w:rPr>
              <w:t xml:space="preserve"> + </w:t>
            </w:r>
            <w:r w:rsidRPr="00132E65">
              <w:rPr>
                <w:rtl/>
              </w:rPr>
              <w:t>« وفي الآخرة »</w:t>
            </w:r>
            <w:r>
              <w:rPr>
                <w:rtl/>
              </w:rPr>
              <w:t>.</w:t>
            </w:r>
          </w:p>
        </w:tc>
        <w:tc>
          <w:tcPr>
            <w:tcW w:w="4006" w:type="dxa"/>
          </w:tcPr>
          <w:p w:rsidR="003E45C3" w:rsidRDefault="003E45C3" w:rsidP="000C39D1">
            <w:pPr>
              <w:pStyle w:val="libFootnote0"/>
              <w:rPr>
                <w:rtl/>
              </w:rPr>
            </w:pPr>
            <w:r>
              <w:rPr>
                <w:rtl/>
              </w:rPr>
              <w:t>(3).</w:t>
            </w:r>
            <w:r w:rsidRPr="00132E65">
              <w:rPr>
                <w:rtl/>
              </w:rPr>
              <w:t xml:space="preserve"> فصّلت (41) : 27.</w:t>
            </w:r>
          </w:p>
        </w:tc>
      </w:tr>
    </w:tbl>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925 ، ح 1603 ؛ </w:t>
      </w:r>
      <w:r w:rsidRPr="005A3F59">
        <w:rPr>
          <w:rtl/>
        </w:rPr>
        <w:t>البحار</w:t>
      </w:r>
      <w:r w:rsidRPr="00132E65">
        <w:rPr>
          <w:rtl/>
        </w:rPr>
        <w:t xml:space="preserve"> ، ج 23 ، ص 378 ، ح 60.</w:t>
      </w:r>
    </w:p>
    <w:tbl>
      <w:tblPr>
        <w:tblStyle w:val="TableGrid"/>
        <w:bidiVisual/>
        <w:tblW w:w="0" w:type="auto"/>
        <w:tblLook w:val="04A0" w:firstRow="1" w:lastRow="0" w:firstColumn="1" w:lastColumn="0" w:noHBand="0" w:noVBand="1"/>
      </w:tblPr>
      <w:tblGrid>
        <w:gridCol w:w="4006"/>
        <w:gridCol w:w="4006"/>
      </w:tblGrid>
      <w:tr w:rsidR="003E45C3" w:rsidTr="003E45C3">
        <w:tc>
          <w:tcPr>
            <w:tcW w:w="4006" w:type="dxa"/>
          </w:tcPr>
          <w:p w:rsidR="003E45C3" w:rsidRDefault="003E45C3" w:rsidP="000C39D1">
            <w:pPr>
              <w:pStyle w:val="libFootnote0"/>
              <w:rPr>
                <w:rtl/>
                <w:lang w:bidi="fa-IR"/>
              </w:rPr>
            </w:pPr>
            <w:r>
              <w:rPr>
                <w:rtl/>
              </w:rPr>
              <w:t>(5).</w:t>
            </w:r>
            <w:r w:rsidRPr="00132E65">
              <w:rPr>
                <w:rtl/>
              </w:rPr>
              <w:t xml:space="preserve"> في « ف » :</w:t>
            </w:r>
            <w:r>
              <w:rPr>
                <w:rtl/>
              </w:rPr>
              <w:t xml:space="preserve"> + </w:t>
            </w:r>
            <w:r w:rsidRPr="00132E65">
              <w:rPr>
                <w:rtl/>
              </w:rPr>
              <w:t>« في قوله تعالى »</w:t>
            </w:r>
            <w:r>
              <w:rPr>
                <w:rtl/>
              </w:rPr>
              <w:t>.</w:t>
            </w:r>
          </w:p>
        </w:tc>
        <w:tc>
          <w:tcPr>
            <w:tcW w:w="4006" w:type="dxa"/>
          </w:tcPr>
          <w:p w:rsidR="003E45C3" w:rsidRDefault="003E45C3" w:rsidP="000C39D1">
            <w:pPr>
              <w:pStyle w:val="libFootnote0"/>
              <w:rPr>
                <w:rtl/>
                <w:lang w:bidi="fa-IR"/>
              </w:rPr>
            </w:pPr>
            <w:r>
              <w:rPr>
                <w:rtl/>
              </w:rPr>
              <w:t>(6).</w:t>
            </w:r>
            <w:r w:rsidRPr="00132E65">
              <w:rPr>
                <w:rtl/>
              </w:rPr>
              <w:t xml:space="preserve"> هكذا في القرآن. وفي جميع النسخ : « ذلك »</w:t>
            </w:r>
            <w:r>
              <w:rPr>
                <w:rtl/>
              </w:rPr>
              <w:t>.</w:t>
            </w:r>
          </w:p>
        </w:tc>
      </w:tr>
    </w:tbl>
    <w:p w:rsidR="000C39D1" w:rsidRPr="00132E65" w:rsidRDefault="000C39D1" w:rsidP="000C39D1">
      <w:pPr>
        <w:pStyle w:val="libFootnote0"/>
        <w:rPr>
          <w:rtl/>
          <w:lang w:bidi="fa-IR"/>
        </w:rPr>
      </w:pPr>
      <w:r>
        <w:rPr>
          <w:rtl/>
        </w:rPr>
        <w:t>(7).</w:t>
      </w:r>
      <w:r w:rsidRPr="00132E65">
        <w:rPr>
          <w:rtl/>
        </w:rPr>
        <w:t xml:space="preserve"> في « ف » : « قال : في أهل الولاية » بدل « وأهل الولاية »</w:t>
      </w:r>
      <w:r>
        <w:rPr>
          <w:rtl/>
        </w:rPr>
        <w:t>.</w:t>
      </w:r>
    </w:p>
    <w:p w:rsidR="000C39D1" w:rsidRPr="00132E65" w:rsidRDefault="000C39D1" w:rsidP="000C39D1">
      <w:pPr>
        <w:pStyle w:val="libFootnote0"/>
        <w:rPr>
          <w:rtl/>
          <w:lang w:bidi="fa-IR"/>
        </w:rPr>
      </w:pPr>
      <w:r>
        <w:rPr>
          <w:rtl/>
        </w:rPr>
        <w:t>(8).</w:t>
      </w:r>
      <w:r w:rsidRPr="00132E65">
        <w:rPr>
          <w:rtl/>
        </w:rPr>
        <w:t xml:space="preserve"> غافر (40) : 12.</w:t>
      </w:r>
    </w:p>
    <w:p w:rsidR="000C39D1" w:rsidRPr="00132E65" w:rsidRDefault="000C39D1" w:rsidP="003E45C3">
      <w:pPr>
        <w:pStyle w:val="libFootnote0"/>
        <w:rPr>
          <w:rtl/>
          <w:lang w:bidi="fa-IR"/>
        </w:rPr>
      </w:pPr>
      <w:r>
        <w:rPr>
          <w:rtl/>
        </w:rPr>
        <w:t>(9).</w:t>
      </w:r>
      <w:r w:rsidRPr="00132E65">
        <w:rPr>
          <w:rtl/>
        </w:rPr>
        <w:t xml:space="preserve"> </w:t>
      </w:r>
      <w:r w:rsidRPr="005A3F59">
        <w:rPr>
          <w:rtl/>
        </w:rPr>
        <w:t>تفسير القمّي</w:t>
      </w:r>
      <w:r w:rsidRPr="00132E65">
        <w:rPr>
          <w:rtl/>
        </w:rPr>
        <w:t xml:space="preserve"> ، ج 2 ، ص 256 ، بسند آخر ، وفيه بعد ذكر الآية : « إذا ذكر الله وحده بولاية مَن أمَر الله بولايته كفرتم ، وإن يشرك به من ليست له ولاية تؤمنوا بأنّ له ولايةً »</w:t>
      </w:r>
      <w:r>
        <w:rPr>
          <w:rtl/>
        </w:rPr>
        <w:t>.</w:t>
      </w:r>
      <w:r w:rsidRPr="00132E65">
        <w:rPr>
          <w:rtl/>
        </w:rPr>
        <w:t xml:space="preserve"> وراجع : </w:t>
      </w:r>
      <w:r w:rsidRPr="007A1104">
        <w:rPr>
          <w:rStyle w:val="libFootnoteBoldChar"/>
          <w:rtl/>
        </w:rPr>
        <w:t>بصائر الدرجات</w:t>
      </w:r>
      <w:r w:rsidRPr="00132E65">
        <w:rPr>
          <w:rtl/>
        </w:rPr>
        <w:t xml:space="preserve"> ، ص 536 ، ح 4</w:t>
      </w:r>
      <w:r w:rsidR="003E45C3">
        <w:rPr>
          <w:rFonts w:hint="cs"/>
          <w:rtl/>
        </w:rPr>
        <w:t>.</w:t>
      </w:r>
      <w:r w:rsidRPr="009D1ACE">
        <w:rPr>
          <w:rStyle w:val="libFootnoteBoldChar"/>
          <w:rtl/>
        </w:rPr>
        <w:t>الوافي</w:t>
      </w:r>
      <w:r w:rsidRPr="00132E65">
        <w:rPr>
          <w:rtl/>
        </w:rPr>
        <w:t xml:space="preserve"> ، ج 3 ، ص 925 ، ح 1604 ؛ </w:t>
      </w:r>
      <w:r w:rsidRPr="005A3F59">
        <w:rPr>
          <w:rtl/>
        </w:rPr>
        <w:t>البحار</w:t>
      </w:r>
      <w:r w:rsidRPr="00132E65">
        <w:rPr>
          <w:rtl/>
        </w:rPr>
        <w:t xml:space="preserve"> ، ج 23 ، ص 378 ، ح 61.</w:t>
      </w:r>
    </w:p>
    <w:tbl>
      <w:tblPr>
        <w:tblStyle w:val="TableGrid"/>
        <w:bidiVisual/>
        <w:tblW w:w="0" w:type="auto"/>
        <w:tblLook w:val="04A0" w:firstRow="1" w:lastRow="0" w:firstColumn="1" w:lastColumn="0" w:noHBand="0" w:noVBand="1"/>
      </w:tblPr>
      <w:tblGrid>
        <w:gridCol w:w="4006"/>
        <w:gridCol w:w="4006"/>
      </w:tblGrid>
      <w:tr w:rsidR="003E45C3" w:rsidTr="003E45C3">
        <w:tc>
          <w:tcPr>
            <w:tcW w:w="4006" w:type="dxa"/>
          </w:tcPr>
          <w:p w:rsidR="003E45C3" w:rsidRDefault="003E45C3" w:rsidP="000C39D1">
            <w:pPr>
              <w:pStyle w:val="libFootnote0"/>
              <w:rPr>
                <w:rtl/>
              </w:rPr>
            </w:pPr>
            <w:r>
              <w:rPr>
                <w:rtl/>
              </w:rPr>
              <w:t>(10).</w:t>
            </w:r>
            <w:r w:rsidRPr="00132E65">
              <w:rPr>
                <w:rtl/>
              </w:rPr>
              <w:t xml:space="preserve"> في « ض ، بس ، بف » : « قوله »</w:t>
            </w:r>
            <w:r>
              <w:rPr>
                <w:rtl/>
              </w:rPr>
              <w:t>.</w:t>
            </w:r>
          </w:p>
        </w:tc>
        <w:tc>
          <w:tcPr>
            <w:tcW w:w="4006" w:type="dxa"/>
          </w:tcPr>
          <w:p w:rsidR="003E45C3" w:rsidRDefault="003E45C3" w:rsidP="000C39D1">
            <w:pPr>
              <w:pStyle w:val="libFootnote0"/>
              <w:rPr>
                <w:rtl/>
              </w:rPr>
            </w:pPr>
            <w:r>
              <w:rPr>
                <w:rtl/>
              </w:rPr>
              <w:t>(11).</w:t>
            </w:r>
            <w:r w:rsidRPr="00132E65">
              <w:rPr>
                <w:rtl/>
              </w:rPr>
              <w:t xml:space="preserve"> في « ف » :</w:t>
            </w:r>
            <w:r>
              <w:rPr>
                <w:rtl/>
              </w:rPr>
              <w:t xml:space="preserve"> + </w:t>
            </w:r>
            <w:r w:rsidRPr="00132E65">
              <w:rPr>
                <w:rtl/>
              </w:rPr>
              <w:t>« قال »</w:t>
            </w:r>
            <w:r>
              <w:rPr>
                <w:rtl/>
              </w:rPr>
              <w:t>.</w:t>
            </w:r>
          </w:p>
        </w:tc>
      </w:tr>
      <w:tr w:rsidR="003E45C3" w:rsidTr="003E45C3">
        <w:tc>
          <w:tcPr>
            <w:tcW w:w="4006" w:type="dxa"/>
          </w:tcPr>
          <w:p w:rsidR="003E45C3" w:rsidRDefault="003E45C3" w:rsidP="000C39D1">
            <w:pPr>
              <w:pStyle w:val="libFootnote0"/>
              <w:rPr>
                <w:rtl/>
              </w:rPr>
            </w:pPr>
            <w:r>
              <w:rPr>
                <w:rtl/>
              </w:rPr>
              <w:t>(12).</w:t>
            </w:r>
            <w:r w:rsidRPr="00132E65">
              <w:rPr>
                <w:rtl/>
              </w:rPr>
              <w:t xml:space="preserve"> في « بس » :</w:t>
            </w:r>
            <w:r>
              <w:rPr>
                <w:rtl/>
              </w:rPr>
              <w:t xml:space="preserve"> + </w:t>
            </w:r>
            <w:r w:rsidRPr="00132E65">
              <w:rPr>
                <w:rtl/>
              </w:rPr>
              <w:t>« بن أبي طالب »</w:t>
            </w:r>
            <w:r>
              <w:rPr>
                <w:rtl/>
              </w:rPr>
              <w:t>.</w:t>
            </w:r>
          </w:p>
        </w:tc>
        <w:tc>
          <w:tcPr>
            <w:tcW w:w="4006" w:type="dxa"/>
          </w:tcPr>
          <w:p w:rsidR="003E45C3" w:rsidRDefault="00280316" w:rsidP="000C39D1">
            <w:pPr>
              <w:pStyle w:val="libFootnote0"/>
              <w:rPr>
                <w:rtl/>
              </w:rPr>
            </w:pPr>
            <w:r>
              <w:rPr>
                <w:rtl/>
              </w:rPr>
              <w:t>(13) المعارج(70):</w:t>
            </w:r>
            <w:r w:rsidRPr="00132E65">
              <w:rPr>
                <w:rtl/>
              </w:rPr>
              <w:t>1</w:t>
            </w:r>
            <w:r>
              <w:rPr>
                <w:rtl/>
              </w:rPr>
              <w:t xml:space="preserve"> - 2.وفي« ف »</w:t>
            </w:r>
            <w:r w:rsidRPr="00132E65">
              <w:rPr>
                <w:rtl/>
              </w:rPr>
              <w:t>:</w:t>
            </w:r>
            <w:r>
              <w:rPr>
                <w:rtl/>
              </w:rPr>
              <w:t>+</w:t>
            </w:r>
            <w:r w:rsidRPr="003E45C3">
              <w:rPr>
                <w:rStyle w:val="libFootnoteAlaemChar"/>
                <w:rFonts w:hint="cs"/>
                <w:rtl/>
              </w:rPr>
              <w:t>(</w:t>
            </w:r>
            <w:r w:rsidRPr="003E45C3">
              <w:rPr>
                <w:rStyle w:val="libFootnoteAieChar"/>
                <w:rtl/>
              </w:rPr>
              <w:t>مِنَ اللهِ</w:t>
            </w:r>
            <w:r w:rsidRPr="003E45C3">
              <w:rPr>
                <w:rStyle w:val="libFootnoteAlaemChar"/>
                <w:rFonts w:hint="cs"/>
                <w:rtl/>
              </w:rPr>
              <w:t>)</w:t>
            </w:r>
            <w:r>
              <w:rPr>
                <w:rtl/>
              </w:rPr>
              <w:t>.</w:t>
            </w:r>
          </w:p>
        </w:tc>
      </w:tr>
    </w:tbl>
    <w:p w:rsidR="000C39D1" w:rsidRPr="00132E65" w:rsidRDefault="000C39D1" w:rsidP="000C39D1">
      <w:pPr>
        <w:pStyle w:val="libFootnote0"/>
        <w:rPr>
          <w:rtl/>
          <w:lang w:bidi="fa-IR"/>
        </w:rPr>
      </w:pPr>
      <w:r>
        <w:rPr>
          <w:rtl/>
        </w:rPr>
        <w:t>(14)</w:t>
      </w:r>
      <w:r w:rsidRPr="00132E65">
        <w:rPr>
          <w:rtl/>
        </w:rPr>
        <w:t xml:space="preserve"> في شرح المازندراني : « به »</w:t>
      </w:r>
      <w:r>
        <w:rPr>
          <w:rtl/>
        </w:rPr>
        <w:t>.</w:t>
      </w:r>
    </w:p>
    <w:p w:rsidR="000C39D1" w:rsidRPr="00132E65" w:rsidRDefault="000C39D1" w:rsidP="0011229B">
      <w:pPr>
        <w:pStyle w:val="libFootnote0"/>
        <w:rPr>
          <w:rtl/>
          <w:lang w:bidi="fa-IR"/>
        </w:rPr>
      </w:pPr>
      <w:r>
        <w:rPr>
          <w:rtl/>
        </w:rPr>
        <w:t>(15)</w:t>
      </w:r>
      <w:r w:rsidRPr="00132E65">
        <w:rPr>
          <w:rtl/>
        </w:rPr>
        <w:t xml:space="preserve"> </w:t>
      </w:r>
      <w:r w:rsidRPr="000577A7">
        <w:rPr>
          <w:rStyle w:val="libFootnoteBoldChar"/>
          <w:rtl/>
        </w:rPr>
        <w:t>الكافي</w:t>
      </w:r>
      <w:r w:rsidRPr="00132E65">
        <w:rPr>
          <w:rtl/>
        </w:rPr>
        <w:t xml:space="preserve"> ، كتاب الروضة ، ح 14833 ، وفيه : « عدّة من أصحابنا ، عن سهل بن زياد ، عن محمّد بن سليمان ، عن أبيه ، عن أبي بصير ، قال : بينا رسول الله </w:t>
      </w:r>
      <w:r w:rsidRPr="00936037">
        <w:rPr>
          <w:rStyle w:val="libFootnoteAlaemChar"/>
          <w:rFonts w:eastAsiaTheme="minorHAnsi"/>
          <w:rtl/>
        </w:rPr>
        <w:t>صلى‌الله‌عليه‌وآله</w:t>
      </w:r>
      <w:r w:rsidRPr="00132E65">
        <w:rPr>
          <w:rtl/>
          <w:lang w:bidi="fa-IR"/>
        </w:rPr>
        <w:t xml:space="preserve"> </w:t>
      </w:r>
      <w:r w:rsidRPr="00132E65">
        <w:rPr>
          <w:rtl/>
        </w:rPr>
        <w:t>ذات يوم</w:t>
      </w:r>
      <w:r>
        <w:rPr>
          <w:rtl/>
        </w:rPr>
        <w:t xml:space="preserve"> ..</w:t>
      </w:r>
      <w:r w:rsidRPr="00132E65">
        <w:rPr>
          <w:rtl/>
        </w:rPr>
        <w:t>. » مع زيادة في أوّله وآخره</w:t>
      </w:r>
      <w:r w:rsidR="0011229B">
        <w:rPr>
          <w:rFonts w:hint="cs"/>
          <w:rtl/>
        </w:rPr>
        <w:t>.</w:t>
      </w:r>
      <w:r w:rsidRPr="009D1ACE">
        <w:rPr>
          <w:rStyle w:val="libFootnoteBoldChar"/>
          <w:rtl/>
        </w:rPr>
        <w:t>الوافي</w:t>
      </w:r>
      <w:r w:rsidRPr="00132E65">
        <w:rPr>
          <w:rtl/>
        </w:rPr>
        <w:t xml:space="preserve"> ، ج 3 ، ص 925 ، ح 1605 ؛ </w:t>
      </w:r>
      <w:r w:rsidRPr="005A3F59">
        <w:rPr>
          <w:rtl/>
        </w:rPr>
        <w:t>البحار</w:t>
      </w:r>
      <w:r w:rsidRPr="00132E65">
        <w:rPr>
          <w:rtl/>
        </w:rPr>
        <w:t xml:space="preserve"> ، ج 23 ، ص 378 ، ح 62.</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A3F59">
        <w:rPr>
          <w:rtl/>
        </w:rPr>
        <w:t>1135</w:t>
      </w:r>
      <w:r w:rsidRPr="004325D8">
        <w:rPr>
          <w:rStyle w:val="libBold2Char"/>
          <w:rtl/>
        </w:rPr>
        <w:t xml:space="preserve"> / 48.</w:t>
      </w:r>
      <w:r w:rsidRPr="00132E65">
        <w:rPr>
          <w:rtl/>
          <w:lang w:bidi="fa-IR"/>
        </w:rPr>
        <w:t xml:space="preserve"> مُحَمَّدُ بْنُ يَحْيى ، عَنْ أَحْمَدَ بْنِ مُحَمَّدِ بْنِ عِيسى ، عَنِ الْحَسَنِ بْنِ سَيْفٍ </w:t>
      </w:r>
      <w:r>
        <w:rPr>
          <w:rStyle w:val="libFootnotenumChar"/>
          <w:rtl/>
        </w:rPr>
        <w:t>(1)</w:t>
      </w:r>
      <w:r w:rsidRPr="00132E65">
        <w:rPr>
          <w:rtl/>
          <w:lang w:bidi="fa-IR"/>
        </w:rPr>
        <w:t xml:space="preserve"> ، عَنْ أَخِيهِ ، عَنْ أَبِيهِ ، عَنْ أَبِي حَمْزَةَ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إِنَّكُمْ لَفِي قَوْلٍ مُخْتَلِفٍ </w:t>
      </w:r>
      <w:r w:rsidRPr="00071CF9">
        <w:rPr>
          <w:rStyle w:val="libAlaemChar"/>
          <w:rtl/>
        </w:rPr>
        <w:t>)</w:t>
      </w:r>
      <w:r w:rsidRPr="00132E65">
        <w:rPr>
          <w:rtl/>
          <w:lang w:bidi="fa-IR"/>
        </w:rPr>
        <w:t xml:space="preserve"> قَالَ </w:t>
      </w:r>
      <w:r>
        <w:rPr>
          <w:rStyle w:val="libFootnotenumChar"/>
          <w:rtl/>
        </w:rPr>
        <w:t>(2)</w:t>
      </w:r>
      <w:r w:rsidRPr="00132E65">
        <w:rPr>
          <w:rtl/>
          <w:lang w:bidi="fa-IR"/>
        </w:rPr>
        <w:t xml:space="preserve"> : « فِي أَمْرِ الْوَلَايَةِ » </w:t>
      </w:r>
      <w:r w:rsidRPr="00071CF9">
        <w:rPr>
          <w:rStyle w:val="libAlaemChar"/>
          <w:rtl/>
        </w:rPr>
        <w:t>(</w:t>
      </w:r>
      <w:r w:rsidRPr="00071CF9">
        <w:rPr>
          <w:rStyle w:val="libAieChar"/>
          <w:rtl/>
        </w:rPr>
        <w:t xml:space="preserve"> يُؤْفَكُ عَنْهُ مَنْ أُفِكَ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قَالَ : « مَنْ أُفِكَ </w:t>
      </w:r>
      <w:r>
        <w:rPr>
          <w:rStyle w:val="libFootnotenumChar"/>
          <w:rtl/>
        </w:rPr>
        <w:t>(4)</w:t>
      </w:r>
      <w:r w:rsidRPr="00132E65">
        <w:rPr>
          <w:rtl/>
          <w:lang w:bidi="fa-IR"/>
        </w:rPr>
        <w:t xml:space="preserve"> عَنِ الْوَلَايَةِ ، أُفِكَ عَنِ </w:t>
      </w:r>
      <w:r>
        <w:rPr>
          <w:rStyle w:val="libFootnotenumChar"/>
          <w:rtl/>
        </w:rPr>
        <w:t>(5)</w:t>
      </w:r>
      <w:r w:rsidRPr="00132E65">
        <w:rPr>
          <w:rtl/>
          <w:lang w:bidi="fa-IR"/>
        </w:rPr>
        <w:t xml:space="preserve"> الْجَنَّةِ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5A3F59">
        <w:rPr>
          <w:rtl/>
        </w:rPr>
        <w:t>1136</w:t>
      </w:r>
      <w:r w:rsidRPr="004325D8">
        <w:rPr>
          <w:rStyle w:val="libBold2Char"/>
          <w:rtl/>
        </w:rPr>
        <w:t xml:space="preserve"> / 49.</w:t>
      </w:r>
      <w:r w:rsidRPr="00132E65">
        <w:rPr>
          <w:rtl/>
          <w:lang w:bidi="fa-IR"/>
        </w:rPr>
        <w:t xml:space="preserve"> الْحُسَيْنُ بْنُ مُحَمَّدٍ ، عَنْ مُعَلَّى بْنِ مُحَمَّدٍ ، عَنْ مُحَمَّدِ بْنِ جُمْهُورٍ ، عَنْ يُونُسَ ، قَالَ :</w:t>
      </w:r>
    </w:p>
    <w:p w:rsidR="000C39D1" w:rsidRPr="00132E65" w:rsidRDefault="000C39D1" w:rsidP="00B54903">
      <w:pPr>
        <w:pStyle w:val="libNormal"/>
        <w:rPr>
          <w:rtl/>
          <w:lang w:bidi="fa-IR"/>
        </w:rPr>
      </w:pPr>
      <w:r w:rsidRPr="00132E65">
        <w:rPr>
          <w:rtl/>
          <w:lang w:bidi="fa-IR"/>
        </w:rPr>
        <w:t xml:space="preserve">أَخْبَرَنِي مَنْ رَفَعَهُ إِلى أَبِي عَبْدِ اللهِ </w:t>
      </w:r>
      <w:r w:rsidRPr="00071CF9">
        <w:rPr>
          <w:rStyle w:val="libAlaemChar"/>
          <w:rtl/>
        </w:rPr>
        <w:t>عليه‌السلام</w:t>
      </w:r>
      <w:r w:rsidRPr="00132E65">
        <w:rPr>
          <w:rtl/>
          <w:lang w:bidi="fa-IR"/>
        </w:rPr>
        <w:t xml:space="preserve"> فِي قَوْلِهِ عَزَّ وجَلَّ : </w:t>
      </w:r>
      <w:r w:rsidRPr="00071CF9">
        <w:rPr>
          <w:rStyle w:val="libAlaemChar"/>
          <w:rtl/>
        </w:rPr>
        <w:t>(</w:t>
      </w:r>
      <w:r w:rsidRPr="00071CF9">
        <w:rPr>
          <w:rStyle w:val="libAieChar"/>
          <w:rtl/>
        </w:rPr>
        <w:t xml:space="preserve"> فَلَا اقْتَحَمَ الْعَقَبَةَ </w:t>
      </w:r>
      <w:r w:rsidR="00B54903">
        <w:rPr>
          <w:rStyle w:val="libAieChar"/>
          <w:rFonts w:hint="cs"/>
          <w:rtl/>
        </w:rPr>
        <w:t xml:space="preserve">* </w:t>
      </w:r>
      <w:r w:rsidRPr="00071CF9">
        <w:rPr>
          <w:rStyle w:val="libAieChar"/>
          <w:rtl/>
        </w:rPr>
        <w:t xml:space="preserve">وَما أَدْراكَ مَا الْعَقَبَةُ </w:t>
      </w:r>
      <w:r w:rsidR="00B54903">
        <w:rPr>
          <w:rStyle w:val="libAieChar"/>
          <w:rFonts w:hint="cs"/>
          <w:rtl/>
        </w:rPr>
        <w:t xml:space="preserve">* </w:t>
      </w:r>
      <w:r w:rsidRPr="00071CF9">
        <w:rPr>
          <w:rStyle w:val="libAieChar"/>
          <w:rtl/>
        </w:rPr>
        <w:t xml:space="preserve">فَكُّ رَقَبَةٍ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 « يَعْنِي </w:t>
      </w:r>
      <w:r>
        <w:rPr>
          <w:rStyle w:val="libFootnotenumChar"/>
          <w:rtl/>
        </w:rPr>
        <w:t>(8)</w:t>
      </w:r>
      <w:r w:rsidRPr="00132E65">
        <w:rPr>
          <w:rtl/>
          <w:lang w:bidi="fa-IR"/>
        </w:rPr>
        <w:t xml:space="preserve"> بِقَوْلِهِ : </w:t>
      </w:r>
      <w:r w:rsidRPr="00071CF9">
        <w:rPr>
          <w:rStyle w:val="libAlaemChar"/>
          <w:rtl/>
        </w:rPr>
        <w:t>(</w:t>
      </w:r>
      <w:r w:rsidRPr="00071CF9">
        <w:rPr>
          <w:rStyle w:val="libAieChar"/>
          <w:rtl/>
        </w:rPr>
        <w:t xml:space="preserve"> فَكُّ رَقَبَةٍ </w:t>
      </w:r>
      <w:r w:rsidRPr="00071CF9">
        <w:rPr>
          <w:rStyle w:val="libAlaemChar"/>
          <w:rtl/>
        </w:rPr>
        <w:t>)</w:t>
      </w:r>
      <w:r w:rsidRPr="00132E65">
        <w:rPr>
          <w:rtl/>
          <w:lang w:bidi="fa-IR"/>
        </w:rPr>
        <w:t xml:space="preserve"> وَلَايَةَ أَمِيرِ الْمُؤْمِنِينَ </w:t>
      </w:r>
      <w:r w:rsidRPr="00071CF9">
        <w:rPr>
          <w:rStyle w:val="libAlaemChar"/>
          <w:rtl/>
        </w:rPr>
        <w:t>عليه‌السلام</w:t>
      </w:r>
      <w:r w:rsidRPr="00132E65">
        <w:rPr>
          <w:rtl/>
          <w:lang w:bidi="fa-IR"/>
        </w:rPr>
        <w:t xml:space="preserve"> ؛ فَإِنَّ ذلِكَ فَكُّ رَقَبَةٍ »</w:t>
      </w:r>
      <w:r>
        <w:rPr>
          <w:rtl/>
          <w:lang w:bidi="fa-IR"/>
        </w:rPr>
        <w:t>.</w:t>
      </w:r>
      <w:r w:rsidRPr="00132E65">
        <w:rPr>
          <w:rtl/>
          <w:lang w:bidi="fa-IR"/>
        </w:rPr>
        <w:t xml:space="preserve"> </w:t>
      </w:r>
      <w:r>
        <w:rPr>
          <w:rStyle w:val="libFootnotenumChar"/>
          <w:rtl/>
        </w:rPr>
        <w:t>(9)</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سيف الراوي عن أبي حمزة هو سيف بن عَمِيرة. راجع : </w:t>
      </w:r>
      <w:r w:rsidRPr="005A3F59">
        <w:rPr>
          <w:rtl/>
        </w:rPr>
        <w:t>معجم رجال الحديث</w:t>
      </w:r>
      <w:r w:rsidRPr="00132E65">
        <w:rPr>
          <w:rtl/>
        </w:rPr>
        <w:t xml:space="preserve"> ، ج 21 ، ص 132</w:t>
      </w:r>
      <w:r>
        <w:rPr>
          <w:rtl/>
        </w:rPr>
        <w:t xml:space="preserve"> - </w:t>
      </w:r>
      <w:r w:rsidRPr="00132E65">
        <w:rPr>
          <w:rtl/>
        </w:rPr>
        <w:t>133 ، ص 135 ، الرقم 14192. وله ابنان : الحسين وعليّ ، والحسين ترجم له النجاشي في رجاله ، ص 56 ، الرقم 130 وقال : له كتابان ، كتاب يرويه عن أخيه عليّ بن سيف »</w:t>
      </w:r>
      <w:r>
        <w:rPr>
          <w:rtl/>
        </w:rPr>
        <w:t>.</w:t>
      </w:r>
    </w:p>
    <w:p w:rsidR="000C39D1" w:rsidRPr="00132E65" w:rsidRDefault="000C39D1" w:rsidP="000C39D1">
      <w:pPr>
        <w:pStyle w:val="libFootnote0"/>
        <w:rPr>
          <w:rtl/>
          <w:lang w:bidi="fa-IR"/>
        </w:rPr>
      </w:pPr>
      <w:r w:rsidRPr="0046781C">
        <w:rPr>
          <w:rtl/>
        </w:rPr>
        <w:t xml:space="preserve">وقد وردت رواية الحسين بن سيف ، عن أخيه [ عليّ ] ، عن أبيه ، في </w:t>
      </w:r>
      <w:r w:rsidRPr="000577A7">
        <w:rPr>
          <w:rStyle w:val="libFootnoteBoldChar"/>
          <w:rtl/>
        </w:rPr>
        <w:t>الكافي</w:t>
      </w:r>
      <w:r w:rsidRPr="0046781C">
        <w:rPr>
          <w:rtl/>
        </w:rPr>
        <w:t xml:space="preserve"> ، ح 15254 </w:t>
      </w:r>
      <w:r>
        <w:rPr>
          <w:rtl/>
        </w:rPr>
        <w:t>و 1</w:t>
      </w:r>
      <w:r w:rsidRPr="0046781C">
        <w:rPr>
          <w:rtl/>
        </w:rPr>
        <w:t>5279.</w:t>
      </w:r>
    </w:p>
    <w:p w:rsidR="000C39D1" w:rsidRPr="00132E65" w:rsidRDefault="000C39D1" w:rsidP="000C39D1">
      <w:pPr>
        <w:pStyle w:val="libFootnote0"/>
        <w:rPr>
          <w:rtl/>
          <w:lang w:bidi="fa-IR"/>
        </w:rPr>
      </w:pPr>
      <w:r w:rsidRPr="0046781C">
        <w:rPr>
          <w:rtl/>
        </w:rPr>
        <w:t>فعليه ، الظاهر وقوع التحريف في العنوان ، والصواب ، « الحسين بن سيف »</w:t>
      </w:r>
      <w:r>
        <w:rPr>
          <w:rtl/>
        </w:rPr>
        <w:t>.</w:t>
      </w:r>
    </w:p>
    <w:p w:rsidR="000C39D1" w:rsidRPr="00132E65" w:rsidRDefault="000C39D1" w:rsidP="000C39D1">
      <w:pPr>
        <w:pStyle w:val="libFootnote0"/>
        <w:rPr>
          <w:rtl/>
          <w:lang w:bidi="fa-IR"/>
        </w:rPr>
      </w:pPr>
      <w:r w:rsidRPr="0046781C">
        <w:rPr>
          <w:rtl/>
        </w:rPr>
        <w:t xml:space="preserve">يؤكّد ذلك أنّ الخبر ورد في </w:t>
      </w:r>
      <w:r w:rsidRPr="005A3F59">
        <w:rPr>
          <w:rtl/>
        </w:rPr>
        <w:t>تأويل الآيات</w:t>
      </w:r>
      <w:r w:rsidRPr="0046781C">
        <w:rPr>
          <w:rtl/>
        </w:rPr>
        <w:t xml:space="preserve"> ، ص 595</w:t>
      </w:r>
      <w:r>
        <w:rPr>
          <w:rtl/>
        </w:rPr>
        <w:t xml:space="preserve"> - </w:t>
      </w:r>
      <w:r w:rsidRPr="0046781C">
        <w:rPr>
          <w:rtl/>
        </w:rPr>
        <w:t>باختلاف يسير</w:t>
      </w:r>
      <w:r>
        <w:rPr>
          <w:rtl/>
        </w:rPr>
        <w:t xml:space="preserve"> - </w:t>
      </w:r>
      <w:r w:rsidRPr="0046781C">
        <w:rPr>
          <w:rtl/>
        </w:rPr>
        <w:t>نقلاً عن محمّد بن يعقوب ، عن محمّد بن يحيى ، عن أحمد بن محمّد بن عيسى ، عن الحسين بن سيف ، عن أخيه ، عن أبيه ، عن أبي حمزة الثمالي ، فتأمّل.</w:t>
      </w:r>
    </w:p>
    <w:p w:rsidR="000C39D1" w:rsidRPr="00132E65" w:rsidRDefault="000C39D1" w:rsidP="000C39D1">
      <w:pPr>
        <w:pStyle w:val="libFootnote0"/>
        <w:rPr>
          <w:rtl/>
          <w:lang w:bidi="fa-IR"/>
        </w:rPr>
      </w:pPr>
      <w:r>
        <w:rPr>
          <w:rtl/>
        </w:rPr>
        <w:t>(2).</w:t>
      </w:r>
      <w:r w:rsidRPr="00132E65">
        <w:rPr>
          <w:rtl/>
        </w:rPr>
        <w:t xml:space="preserve"> هكذا في « ف »</w:t>
      </w:r>
      <w:r>
        <w:rPr>
          <w:rtl/>
        </w:rPr>
        <w:t>.</w:t>
      </w:r>
      <w:r w:rsidRPr="00132E65">
        <w:rPr>
          <w:rtl/>
        </w:rPr>
        <w:t xml:space="preserve"> وفي سائر النسخ والمطبوع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(3).</w:t>
      </w:r>
      <w:r w:rsidRPr="00132E65">
        <w:rPr>
          <w:rtl/>
        </w:rPr>
        <w:t xml:space="preserve"> الذاريات (51) : 8</w:t>
      </w:r>
      <w:r>
        <w:rPr>
          <w:rtl/>
        </w:rPr>
        <w:t xml:space="preserve"> - </w:t>
      </w:r>
      <w:r w:rsidRPr="00132E65">
        <w:rPr>
          <w:rtl/>
        </w:rPr>
        <w:t>9.</w:t>
      </w:r>
    </w:p>
    <w:p w:rsidR="000C39D1" w:rsidRPr="00132E65" w:rsidRDefault="000C39D1" w:rsidP="00B54903">
      <w:pPr>
        <w:pStyle w:val="libFootnote0"/>
        <w:rPr>
          <w:rtl/>
          <w:lang w:bidi="fa-IR"/>
        </w:rPr>
      </w:pPr>
      <w:r>
        <w:rPr>
          <w:rtl/>
        </w:rPr>
        <w:t>(4).</w:t>
      </w:r>
      <w:r w:rsidRPr="00132E65">
        <w:rPr>
          <w:rtl/>
        </w:rPr>
        <w:t xml:space="preserve"> « ا</w:t>
      </w:r>
      <w:r w:rsidR="00B54903">
        <w:rPr>
          <w:rFonts w:hint="cs"/>
          <w:rtl/>
        </w:rPr>
        <w:t>ُ</w:t>
      </w:r>
      <w:r w:rsidRPr="00132E65">
        <w:rPr>
          <w:rtl/>
        </w:rPr>
        <w:t xml:space="preserve">فِك » ، أي صُرِف. يقال : أفكَه يأفِكُه أفْكاً ، أي قَلَبه وصرفه عن الشي‌ء. راجع : </w:t>
      </w:r>
      <w:r w:rsidRPr="005A3F59">
        <w:rPr>
          <w:rtl/>
        </w:rPr>
        <w:t>الصحاح</w:t>
      </w:r>
      <w:r w:rsidRPr="00132E65">
        <w:rPr>
          <w:rtl/>
        </w:rPr>
        <w:t xml:space="preserve"> ، ج 4 ، ص 1572 ( افك )</w:t>
      </w:r>
      <w:r>
        <w:rPr>
          <w:rtl/>
        </w:rPr>
        <w:t>.</w:t>
      </w:r>
      <w:r w:rsidR="00B54903">
        <w:rPr>
          <w:rFonts w:hint="cs"/>
          <w:rtl/>
        </w:rPr>
        <w:t xml:space="preserve">                                   </w:t>
      </w:r>
      <w:r>
        <w:rPr>
          <w:rtl/>
        </w:rPr>
        <w:t>(5).</w:t>
      </w:r>
      <w:r w:rsidRPr="00132E65">
        <w:rPr>
          <w:rtl/>
        </w:rPr>
        <w:t xml:space="preserve"> في </w:t>
      </w:r>
      <w:r w:rsidRPr="009D1ACE">
        <w:rPr>
          <w:rStyle w:val="libFootnoteBoldChar"/>
          <w:rtl/>
        </w:rPr>
        <w:t>الوافي</w:t>
      </w:r>
      <w:r w:rsidRPr="00132E65">
        <w:rPr>
          <w:rtl/>
        </w:rPr>
        <w:t xml:space="preserve"> : « عنه</w:t>
      </w:r>
      <w:r>
        <w:rPr>
          <w:rtl/>
        </w:rPr>
        <w:t xml:space="preserve"> - </w:t>
      </w:r>
      <w:r w:rsidRPr="00132E65">
        <w:rPr>
          <w:rtl/>
        </w:rPr>
        <w:t>عن خ ل</w:t>
      </w:r>
      <w:r>
        <w:rPr>
          <w:rtl/>
        </w:rPr>
        <w:t xml:space="preserve"> - </w:t>
      </w:r>
      <w:r w:rsidRPr="00132E65">
        <w:rPr>
          <w:rtl/>
        </w:rPr>
        <w:t>»</w:t>
      </w:r>
      <w:r>
        <w:rPr>
          <w:rtl/>
        </w:rPr>
        <w:t>.</w:t>
      </w:r>
    </w:p>
    <w:p w:rsidR="000C39D1" w:rsidRPr="00132E65" w:rsidRDefault="000C39D1" w:rsidP="00B54903">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77 ، ح 5 ؛ و</w:t>
      </w:r>
      <w:r w:rsidRPr="005A3F59">
        <w:rPr>
          <w:rtl/>
        </w:rPr>
        <w:t>تفسير القمّي</w:t>
      </w:r>
      <w:r w:rsidRPr="00132E65">
        <w:rPr>
          <w:rtl/>
        </w:rPr>
        <w:t xml:space="preserve"> ، ج 2 ، ص 329 ، بسندهما عن أبي حمزة. </w:t>
      </w:r>
      <w:r w:rsidRPr="005A3F59">
        <w:rPr>
          <w:rtl/>
        </w:rPr>
        <w:t>تفسير فرات</w:t>
      </w:r>
      <w:r w:rsidRPr="00132E65">
        <w:rPr>
          <w:rtl/>
        </w:rPr>
        <w:t xml:space="preserve"> ، ص 441 ، ح 583 وفيه : « عن جعفر بن محمّد الفزاري معنعناً عن أبي جعفر </w:t>
      </w:r>
      <w:r w:rsidRPr="00936037">
        <w:rPr>
          <w:rStyle w:val="libFootnoteAlaemChar"/>
          <w:rtl/>
        </w:rPr>
        <w:t>عليه‌السلام</w:t>
      </w:r>
      <w:r w:rsidRPr="00132E65">
        <w:rPr>
          <w:rtl/>
        </w:rPr>
        <w:t xml:space="preserve"> » ، وفي كلّها مع اختلاف يسير وزيادة في أوّله وآخره</w:t>
      </w:r>
      <w:r w:rsidR="00B54903">
        <w:rPr>
          <w:rFonts w:hint="cs"/>
          <w:rtl/>
        </w:rPr>
        <w:t>.</w:t>
      </w:r>
      <w:r w:rsidRPr="009D1ACE">
        <w:rPr>
          <w:rStyle w:val="libFootnoteBoldChar"/>
          <w:rtl/>
        </w:rPr>
        <w:t>الوافي</w:t>
      </w:r>
      <w:r w:rsidRPr="00132E65">
        <w:rPr>
          <w:rtl/>
        </w:rPr>
        <w:t xml:space="preserve"> ، ج 3 ، ص 926 ، ح 1606 ؛ </w:t>
      </w:r>
      <w:r w:rsidRPr="005A3F59">
        <w:rPr>
          <w:rtl/>
        </w:rPr>
        <w:t>البحار</w:t>
      </w:r>
      <w:r w:rsidRPr="00132E65">
        <w:rPr>
          <w:rtl/>
        </w:rPr>
        <w:t xml:space="preserve"> ، ج 23 ، ص 378 ح 63.</w:t>
      </w:r>
    </w:p>
    <w:tbl>
      <w:tblPr>
        <w:tblStyle w:val="TableGrid"/>
        <w:bidiVisual/>
        <w:tblW w:w="0" w:type="auto"/>
        <w:tblLook w:val="04A0" w:firstRow="1" w:lastRow="0" w:firstColumn="1" w:lastColumn="0" w:noHBand="0" w:noVBand="1"/>
      </w:tblPr>
      <w:tblGrid>
        <w:gridCol w:w="4006"/>
        <w:gridCol w:w="4006"/>
      </w:tblGrid>
      <w:tr w:rsidR="00B54903" w:rsidTr="00B54903">
        <w:tc>
          <w:tcPr>
            <w:tcW w:w="4006" w:type="dxa"/>
          </w:tcPr>
          <w:p w:rsidR="00B54903" w:rsidRDefault="00B54903" w:rsidP="000C39D1">
            <w:pPr>
              <w:pStyle w:val="libFootnote0"/>
              <w:rPr>
                <w:rtl/>
              </w:rPr>
            </w:pPr>
            <w:r>
              <w:rPr>
                <w:rtl/>
              </w:rPr>
              <w:t>(7).</w:t>
            </w:r>
            <w:r w:rsidRPr="00132E65">
              <w:rPr>
                <w:rtl/>
              </w:rPr>
              <w:t xml:space="preserve"> البلد (90) : 11</w:t>
            </w:r>
            <w:r>
              <w:rPr>
                <w:rtl/>
              </w:rPr>
              <w:t xml:space="preserve"> - </w:t>
            </w:r>
            <w:r w:rsidRPr="00132E65">
              <w:rPr>
                <w:rtl/>
              </w:rPr>
              <w:t>13.</w:t>
            </w:r>
          </w:p>
        </w:tc>
        <w:tc>
          <w:tcPr>
            <w:tcW w:w="4006" w:type="dxa"/>
          </w:tcPr>
          <w:p w:rsidR="00B54903" w:rsidRDefault="00B54903" w:rsidP="000C39D1">
            <w:pPr>
              <w:pStyle w:val="libFootnote0"/>
              <w:rPr>
                <w:rtl/>
              </w:rPr>
            </w:pPr>
            <w:r>
              <w:rPr>
                <w:rtl/>
              </w:rPr>
              <w:t>(8).</w:t>
            </w:r>
            <w:r w:rsidRPr="00132E65">
              <w:rPr>
                <w:rtl/>
              </w:rPr>
              <w:t xml:space="preserve"> في « ف » : « قال : يعني »</w:t>
            </w:r>
            <w:r>
              <w:rPr>
                <w:rtl/>
              </w:rPr>
              <w:t>.</w:t>
            </w:r>
          </w:p>
        </w:tc>
      </w:tr>
    </w:tbl>
    <w:p w:rsidR="000C39D1" w:rsidRPr="00132E65" w:rsidRDefault="000C39D1" w:rsidP="000C39D1">
      <w:pPr>
        <w:pStyle w:val="libFootnote0"/>
        <w:rPr>
          <w:rtl/>
          <w:lang w:bidi="fa-IR"/>
        </w:rPr>
      </w:pPr>
      <w:r>
        <w:rPr>
          <w:rtl/>
        </w:rPr>
        <w:t>(9).</w:t>
      </w:r>
      <w:r w:rsidRPr="00132E65">
        <w:rPr>
          <w:rtl/>
        </w:rPr>
        <w:t xml:space="preserve"> راجع : </w:t>
      </w:r>
      <w:r w:rsidRPr="000577A7">
        <w:rPr>
          <w:rStyle w:val="libFootnoteBoldChar"/>
          <w:rtl/>
        </w:rPr>
        <w:t>الكافي</w:t>
      </w:r>
      <w:r w:rsidRPr="00132E65">
        <w:rPr>
          <w:rtl/>
        </w:rPr>
        <w:t xml:space="preserve"> ، كتاب الحجّة ، باب فيه نكت ونتف من التنزيل في الولاية ، ح 1175 ؛ و</w:t>
      </w:r>
      <w:r w:rsidRPr="005A3F59">
        <w:rPr>
          <w:rtl/>
        </w:rPr>
        <w:t>فضائل الشيعة</w:t>
      </w:r>
      <w:r w:rsidRPr="00132E65">
        <w:rPr>
          <w:rtl/>
        </w:rPr>
        <w:t xml:space="preserve"> ، ص 2 ، </w:t>
      </w:r>
      <w:r w:rsidR="000E415A">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A3F59">
        <w:rPr>
          <w:rtl/>
        </w:rPr>
        <w:t>1137</w:t>
      </w:r>
      <w:r w:rsidRPr="004325D8">
        <w:rPr>
          <w:rStyle w:val="libBold2Char"/>
          <w:rtl/>
        </w:rPr>
        <w:t xml:space="preserve"> / 50.</w:t>
      </w:r>
      <w:r w:rsidRPr="00132E65">
        <w:rPr>
          <w:rtl/>
          <w:lang w:bidi="fa-IR"/>
        </w:rPr>
        <w:t xml:space="preserve"> وبِهذَا الْإِسْنَادِ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وَبَشِّرِ الَّذِينَ آمَنُوا أَنَّ لَهُمْ قَدَمَ صِدْقٍ عِنْدَ رَبِّهِمْ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وَلَايَةُ </w:t>
      </w:r>
      <w:r>
        <w:rPr>
          <w:rStyle w:val="libFootnotenumChar"/>
          <w:rtl/>
        </w:rPr>
        <w:t>(2)</w:t>
      </w:r>
      <w:r w:rsidRPr="00132E65">
        <w:rPr>
          <w:rtl/>
          <w:lang w:bidi="fa-IR"/>
        </w:rPr>
        <w:t xml:space="preserve"> أَمِيرِ الْمُؤْمِنِينَ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5A3F59">
        <w:rPr>
          <w:rtl/>
        </w:rPr>
        <w:t>1138</w:t>
      </w:r>
      <w:r w:rsidRPr="004325D8">
        <w:rPr>
          <w:rStyle w:val="libBold2Char"/>
          <w:rtl/>
        </w:rPr>
        <w:t xml:space="preserve"> / 51.</w:t>
      </w:r>
      <w:r w:rsidRPr="00132E65">
        <w:rPr>
          <w:rtl/>
          <w:lang w:bidi="fa-IR"/>
        </w:rPr>
        <w:t xml:space="preserve"> عَلِيُّ بْنُ إِبْرَاهِيمَ ، عَنْ أَحْمَدَ بْنِ مُحَمَّدٍ الْبَرْقِيِّ ، عَنْ أَبِيهِ ، عَنْ مُحَمَّدِ بْنِ الْفُضَيْلِ ، عَنْ أَبِي حَمْزَةَ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w:t>
      </w:r>
      <w:r>
        <w:rPr>
          <w:rStyle w:val="libFootnotenumChar"/>
          <w:rtl/>
        </w:rPr>
        <w:t>(5)</w:t>
      </w:r>
      <w:r w:rsidRPr="00132E65">
        <w:rPr>
          <w:rtl/>
          <w:lang w:bidi="fa-IR"/>
        </w:rPr>
        <w:t xml:space="preserve"> تَعَالى : </w:t>
      </w:r>
      <w:r w:rsidRPr="00071CF9">
        <w:rPr>
          <w:rStyle w:val="libAlaemChar"/>
          <w:rtl/>
        </w:rPr>
        <w:t>(</w:t>
      </w:r>
      <w:r w:rsidRPr="00071CF9">
        <w:rPr>
          <w:rStyle w:val="libAieChar"/>
          <w:rtl/>
        </w:rPr>
        <w:t xml:space="preserve"> هذانِ خَصْمانِ اخْتَصَمُوا فِي رَبِّهِمْ فَالَّذِينَ كَفَرُوا </w:t>
      </w:r>
      <w:r w:rsidRPr="00071CF9">
        <w:rPr>
          <w:rStyle w:val="libAlaemChar"/>
          <w:rtl/>
        </w:rPr>
        <w:t>)</w:t>
      </w:r>
      <w:r w:rsidRPr="00132E65">
        <w:rPr>
          <w:rtl/>
          <w:lang w:bidi="fa-IR"/>
        </w:rPr>
        <w:t xml:space="preserve"> قَالَ </w:t>
      </w:r>
      <w:r>
        <w:rPr>
          <w:rStyle w:val="libFootnotenumChar"/>
          <w:rtl/>
        </w:rPr>
        <w:t>(6)</w:t>
      </w:r>
      <w:r w:rsidRPr="00132E65">
        <w:rPr>
          <w:rtl/>
          <w:lang w:bidi="fa-IR"/>
        </w:rPr>
        <w:t xml:space="preserve"> : « بِوَلَايَةِ عَلِيٍّ </w:t>
      </w:r>
      <w:r w:rsidRPr="00071CF9">
        <w:rPr>
          <w:rStyle w:val="libAlaemChar"/>
          <w:rtl/>
        </w:rPr>
        <w:t>عليه‌السلام(</w:t>
      </w:r>
      <w:r w:rsidRPr="00071CF9">
        <w:rPr>
          <w:rStyle w:val="libAieChar"/>
          <w:rtl/>
        </w:rPr>
        <w:t xml:space="preserve"> قُطِّعَتْ لَهُمْ ثِيابٌ مِنْ نارٍ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5A3F59">
        <w:rPr>
          <w:rtl/>
        </w:rPr>
        <w:t>1139</w:t>
      </w:r>
      <w:r w:rsidRPr="004325D8">
        <w:rPr>
          <w:rStyle w:val="libBold2Char"/>
          <w:rtl/>
        </w:rPr>
        <w:t xml:space="preserve"> / 52.</w:t>
      </w:r>
      <w:r w:rsidRPr="00132E65">
        <w:rPr>
          <w:rtl/>
          <w:lang w:bidi="fa-IR"/>
        </w:rPr>
        <w:t xml:space="preserve"> الْحُسَيْنُ بْنُ مُحَمَّدٍ ، عَنْ مُعَلَّى بْنِ مُحَمَّدٍ ، عَنْ مُحَمَّدِ بْنِ أُورَمَةَ ، عَنْ عَلِيِّ بْنِ حَسَّانَ ، عَنْ عَبْدِ الرَّحْمنِ بْنِ كَثِيرٍ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قَوْلِهِ </w:t>
      </w:r>
      <w:r>
        <w:rPr>
          <w:rStyle w:val="libFootnotenumChar"/>
          <w:rtl/>
        </w:rPr>
        <w:t>(9)</w:t>
      </w:r>
      <w:r w:rsidRPr="00132E65">
        <w:rPr>
          <w:rtl/>
          <w:lang w:bidi="fa-IR"/>
        </w:rPr>
        <w:t xml:space="preserve"> تَعَالى : </w:t>
      </w:r>
      <w:r w:rsidRPr="00071CF9">
        <w:rPr>
          <w:rStyle w:val="libAlaemChar"/>
          <w:rtl/>
        </w:rPr>
        <w:t>(</w:t>
      </w:r>
      <w:r w:rsidRPr="00071CF9">
        <w:rPr>
          <w:rStyle w:val="libAieChar"/>
          <w:rtl/>
        </w:rPr>
        <w:t xml:space="preserve"> هُنالِكَ الْوَلايَةُ لِلّهِ الْحَقِّ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قَالَ : « وَلَايَةُ أَمِيرِ الْمُؤْمِنِينَ </w:t>
      </w:r>
      <w:r w:rsidRPr="00071CF9">
        <w:rPr>
          <w:rStyle w:val="libAlaemChar"/>
          <w:rtl/>
        </w:rPr>
        <w:t>عليه‌السلام</w:t>
      </w:r>
      <w:r w:rsidRPr="00132E65">
        <w:rPr>
          <w:rtl/>
          <w:lang w:bidi="fa-IR"/>
        </w:rPr>
        <w:t xml:space="preserve">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p w:rsidR="000C39D1" w:rsidRPr="00132E65" w:rsidRDefault="000E415A" w:rsidP="000C39D1">
      <w:pPr>
        <w:pStyle w:val="libFootnote0"/>
        <w:rPr>
          <w:rtl/>
          <w:lang w:bidi="fa-IR"/>
        </w:rPr>
      </w:pPr>
      <w:r>
        <w:rPr>
          <w:rFonts w:hint="cs"/>
          <w:rtl/>
        </w:rPr>
        <w:t xml:space="preserve">= </w:t>
      </w:r>
      <w:r w:rsidR="000C39D1" w:rsidRPr="00132E65">
        <w:rPr>
          <w:rtl/>
        </w:rPr>
        <w:t>ح 19 ؛ و</w:t>
      </w:r>
      <w:r w:rsidR="000C39D1" w:rsidRPr="005A3F59">
        <w:rPr>
          <w:rtl/>
        </w:rPr>
        <w:t xml:space="preserve">تفسير فرات </w:t>
      </w:r>
      <w:r w:rsidR="000C39D1" w:rsidRPr="00132E65">
        <w:rPr>
          <w:rtl/>
        </w:rPr>
        <w:t xml:space="preserve">، ص 558 ، ح 715 </w:t>
      </w:r>
      <w:r w:rsidR="000C39D1">
        <w:rPr>
          <w:rtl/>
        </w:rPr>
        <w:t>و 7</w:t>
      </w:r>
      <w:r w:rsidR="000C39D1" w:rsidRPr="00132E65">
        <w:rPr>
          <w:rtl/>
        </w:rPr>
        <w:t xml:space="preserve">16 </w:t>
      </w:r>
      <w:r w:rsidR="000C39D1" w:rsidRPr="009D1ACE">
        <w:rPr>
          <w:rStyle w:val="libFootnoteBoldChar"/>
          <w:rtl/>
        </w:rPr>
        <w:t>الوافي</w:t>
      </w:r>
      <w:r w:rsidR="000C39D1" w:rsidRPr="00132E65">
        <w:rPr>
          <w:rtl/>
        </w:rPr>
        <w:t xml:space="preserve"> ، ج 3 ، ص 892 ، ح 1543 ؛ </w:t>
      </w:r>
      <w:r w:rsidR="000C39D1" w:rsidRPr="005A3F59">
        <w:rPr>
          <w:rtl/>
        </w:rPr>
        <w:t>البحار</w:t>
      </w:r>
      <w:r w:rsidR="000C39D1" w:rsidRPr="00132E65">
        <w:rPr>
          <w:rtl/>
        </w:rPr>
        <w:t xml:space="preserve"> ، ج 24 ، ص 284 ، ح 11.</w:t>
      </w:r>
    </w:p>
    <w:p w:rsidR="000C39D1" w:rsidRPr="00132E65" w:rsidRDefault="000C39D1" w:rsidP="000C39D1">
      <w:pPr>
        <w:pStyle w:val="libFootnote0"/>
        <w:rPr>
          <w:rtl/>
          <w:lang w:bidi="fa-IR"/>
        </w:rPr>
      </w:pPr>
      <w:r>
        <w:rPr>
          <w:rtl/>
        </w:rPr>
        <w:t>(1).</w:t>
      </w:r>
      <w:r w:rsidRPr="00132E65">
        <w:rPr>
          <w:rtl/>
        </w:rPr>
        <w:t xml:space="preserve"> يونس </w:t>
      </w:r>
      <w:r>
        <w:rPr>
          <w:rtl/>
        </w:rPr>
        <w:t>(10).</w:t>
      </w:r>
      <w:r w:rsidRPr="00132E65">
        <w:rPr>
          <w:rtl/>
        </w:rPr>
        <w:t xml:space="preserve"> : 2.</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بولاية »</w:t>
      </w:r>
      <w:r>
        <w:rPr>
          <w:rtl/>
        </w:rPr>
        <w:t>.</w:t>
      </w:r>
      <w:r w:rsidRPr="00132E65">
        <w:rPr>
          <w:rtl/>
        </w:rPr>
        <w:t xml:space="preserve"> وفي تفسير العيّاشي ح 3 </w:t>
      </w:r>
      <w:r>
        <w:rPr>
          <w:rtl/>
        </w:rPr>
        <w:t>و 4</w:t>
      </w:r>
      <w:r w:rsidRPr="00132E65">
        <w:rPr>
          <w:rtl/>
        </w:rPr>
        <w:t xml:space="preserve"> : « الولاية » بدل « ولاية أمير المؤمنين </w:t>
      </w:r>
      <w:r w:rsidRPr="00AA49A5">
        <w:rPr>
          <w:rStyle w:val="libFootnoteAlaemChar"/>
          <w:rtl/>
        </w:rPr>
        <w:t>عليه‌السلام</w:t>
      </w:r>
      <w:r w:rsidRPr="00132E65">
        <w:rPr>
          <w:rtl/>
        </w:rPr>
        <w:t xml:space="preserve"> »</w:t>
      </w:r>
      <w:r>
        <w:rPr>
          <w:rtl/>
        </w:rPr>
        <w:t>.</w:t>
      </w:r>
    </w:p>
    <w:p w:rsidR="000C39D1" w:rsidRPr="00132E65" w:rsidRDefault="000C39D1" w:rsidP="00AA49A5">
      <w:pPr>
        <w:pStyle w:val="libFootnote0"/>
        <w:rPr>
          <w:rtl/>
          <w:lang w:bidi="fa-IR"/>
        </w:rPr>
      </w:pPr>
      <w:r>
        <w:rPr>
          <w:rtl/>
        </w:rPr>
        <w:t>(3).</w:t>
      </w:r>
      <w:r w:rsidRPr="00132E65">
        <w:rPr>
          <w:rtl/>
        </w:rPr>
        <w:t xml:space="preserve"> </w:t>
      </w:r>
      <w:r w:rsidRPr="005A3F59">
        <w:rPr>
          <w:rtl/>
        </w:rPr>
        <w:t xml:space="preserve">تفسير العيّاشي </w:t>
      </w:r>
      <w:r w:rsidRPr="00132E65">
        <w:rPr>
          <w:rtl/>
        </w:rPr>
        <w:t xml:space="preserve">، ج 2 ، ص 119 ، ح 3 ، عن يونس عمّن ذكره ؛ </w:t>
      </w:r>
      <w:r w:rsidRPr="005A3F59">
        <w:rPr>
          <w:rtl/>
        </w:rPr>
        <w:t>وفيه</w:t>
      </w:r>
      <w:r w:rsidRPr="00132E65">
        <w:rPr>
          <w:rtl/>
        </w:rPr>
        <w:t xml:space="preserve"> ، ح 4 ، عن يونس بن عبد الرحمن ، عن أبي عبد الله </w:t>
      </w:r>
      <w:r w:rsidRPr="000E415A">
        <w:rPr>
          <w:rStyle w:val="libFootnoteAlaemChar"/>
          <w:rtl/>
        </w:rPr>
        <w:t>عليه‌السلام</w:t>
      </w:r>
      <w:r w:rsidR="00AA49A5">
        <w:rPr>
          <w:rFonts w:hint="cs"/>
          <w:rtl/>
        </w:rPr>
        <w:t>.</w:t>
      </w:r>
      <w:r w:rsidRPr="009D1ACE">
        <w:rPr>
          <w:rStyle w:val="libFootnoteBoldChar"/>
          <w:rtl/>
        </w:rPr>
        <w:t>الوافي</w:t>
      </w:r>
      <w:r w:rsidRPr="00132E65">
        <w:rPr>
          <w:rtl/>
        </w:rPr>
        <w:t xml:space="preserve"> ، ج 3 ، ص 893 ، ح 1545 ؛ </w:t>
      </w:r>
      <w:r w:rsidRPr="005A3F59">
        <w:rPr>
          <w:rtl/>
        </w:rPr>
        <w:t>البحار</w:t>
      </w:r>
      <w:r w:rsidRPr="00132E65">
        <w:rPr>
          <w:rtl/>
        </w:rPr>
        <w:t xml:space="preserve"> ، ج 24 ، ص 40 ، ح 2.</w:t>
      </w:r>
    </w:p>
    <w:p w:rsidR="000C39D1" w:rsidRPr="00132E65" w:rsidRDefault="000C39D1" w:rsidP="000C39D1">
      <w:pPr>
        <w:pStyle w:val="libFootnote0"/>
        <w:rPr>
          <w:rtl/>
          <w:lang w:bidi="fa-IR"/>
        </w:rPr>
      </w:pPr>
      <w:r>
        <w:rPr>
          <w:rtl/>
        </w:rPr>
        <w:t>(4).</w:t>
      </w:r>
      <w:r w:rsidRPr="00132E65">
        <w:rPr>
          <w:rtl/>
        </w:rPr>
        <w:t xml:space="preserve"> في « ب ، ج ، ض ، ف ، بح ، بس » : « ابن ابي حمزة »</w:t>
      </w:r>
      <w:r>
        <w:rPr>
          <w:rtl/>
        </w:rPr>
        <w:t>.</w:t>
      </w:r>
      <w:r w:rsidRPr="00132E65">
        <w:rPr>
          <w:rtl/>
        </w:rPr>
        <w:t xml:space="preserve"> وهو سهو. راجع : ما قدّمناه ، ذيل ح 1111.</w:t>
      </w:r>
    </w:p>
    <w:tbl>
      <w:tblPr>
        <w:tblStyle w:val="TableGrid"/>
        <w:bidiVisual/>
        <w:tblW w:w="0" w:type="auto"/>
        <w:tblLook w:val="04A0" w:firstRow="1" w:lastRow="0" w:firstColumn="1" w:lastColumn="0" w:noHBand="0" w:noVBand="1"/>
      </w:tblPr>
      <w:tblGrid>
        <w:gridCol w:w="4006"/>
        <w:gridCol w:w="4006"/>
      </w:tblGrid>
      <w:tr w:rsidR="00AA49A5" w:rsidTr="00AA49A5">
        <w:tc>
          <w:tcPr>
            <w:tcW w:w="4006" w:type="dxa"/>
          </w:tcPr>
          <w:p w:rsidR="00AA49A5" w:rsidRDefault="00AA49A5" w:rsidP="000C39D1">
            <w:pPr>
              <w:pStyle w:val="libFootnote0"/>
              <w:rPr>
                <w:rtl/>
              </w:rPr>
            </w:pPr>
            <w:r>
              <w:rPr>
                <w:rtl/>
              </w:rPr>
              <w:t>(5).</w:t>
            </w:r>
            <w:r w:rsidRPr="00132E65">
              <w:rPr>
                <w:rtl/>
              </w:rPr>
              <w:t xml:space="preserve"> في « ض » : « قول الله »</w:t>
            </w:r>
            <w:r>
              <w:rPr>
                <w:rtl/>
              </w:rPr>
              <w:t>.</w:t>
            </w:r>
          </w:p>
        </w:tc>
        <w:tc>
          <w:tcPr>
            <w:tcW w:w="4006" w:type="dxa"/>
          </w:tcPr>
          <w:p w:rsidR="00AA49A5" w:rsidRDefault="00AA49A5" w:rsidP="000C39D1">
            <w:pPr>
              <w:pStyle w:val="libFootnote0"/>
              <w:rPr>
                <w:rtl/>
              </w:rPr>
            </w:pPr>
            <w:r>
              <w:rPr>
                <w:rtl/>
              </w:rPr>
              <w:t>(6). هكذا</w:t>
            </w:r>
            <w:r>
              <w:rPr>
                <w:rFonts w:hint="cs"/>
                <w:rtl/>
              </w:rPr>
              <w:t xml:space="preserve"> </w:t>
            </w:r>
            <w:r>
              <w:rPr>
                <w:rtl/>
              </w:rPr>
              <w:t>في«ف</w:t>
            </w:r>
            <w:r w:rsidRPr="00132E65">
              <w:rPr>
                <w:rtl/>
              </w:rPr>
              <w:t>»</w:t>
            </w:r>
            <w:r>
              <w:rPr>
                <w:rtl/>
              </w:rPr>
              <w:t>.وفي سائرالنسخ والمطبوع</w:t>
            </w:r>
            <w:r w:rsidRPr="00132E65">
              <w:rPr>
                <w:rtl/>
              </w:rPr>
              <w:t>:</w:t>
            </w:r>
            <w:r>
              <w:rPr>
                <w:rtl/>
              </w:rPr>
              <w:t>-«قال</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الحجّ (22) : 19.</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926 ، ح 1607 ؛ </w:t>
      </w:r>
      <w:r w:rsidRPr="005A3F59">
        <w:rPr>
          <w:rtl/>
        </w:rPr>
        <w:t>البحار</w:t>
      </w:r>
      <w:r w:rsidRPr="00132E65">
        <w:rPr>
          <w:rtl/>
        </w:rPr>
        <w:t xml:space="preserve"> ، ج 23 ، ص 379 ، ح 64.</w:t>
      </w:r>
    </w:p>
    <w:p w:rsidR="000C39D1" w:rsidRPr="00132E65" w:rsidRDefault="000C39D1" w:rsidP="000C39D1">
      <w:pPr>
        <w:pStyle w:val="libFootnote0"/>
        <w:rPr>
          <w:rtl/>
          <w:lang w:bidi="fa-IR"/>
        </w:rPr>
      </w:pPr>
      <w:r>
        <w:rPr>
          <w:rtl/>
        </w:rPr>
        <w:t>(9).</w:t>
      </w:r>
      <w:r w:rsidRPr="00132E65">
        <w:rPr>
          <w:rtl/>
        </w:rPr>
        <w:t xml:space="preserve"> هكذا في « ب ، ج ، ض ، ف ، بح ، بر ، بس ، بف »</w:t>
      </w:r>
      <w:r>
        <w:rPr>
          <w:rtl/>
        </w:rPr>
        <w:t>.</w:t>
      </w:r>
      <w:r w:rsidRPr="00132E65">
        <w:rPr>
          <w:rtl/>
        </w:rPr>
        <w:t xml:space="preserve"> وفي المطبوع وشرح المازندراني : « قول الله »</w:t>
      </w:r>
      <w:r>
        <w:rPr>
          <w:rtl/>
        </w:rPr>
        <w:t>.</w:t>
      </w:r>
    </w:p>
    <w:p w:rsidR="000C39D1" w:rsidRPr="00132E65" w:rsidRDefault="000C39D1" w:rsidP="000C39D1">
      <w:pPr>
        <w:pStyle w:val="libFootnote0"/>
        <w:rPr>
          <w:rtl/>
          <w:lang w:bidi="fa-IR"/>
        </w:rPr>
      </w:pPr>
      <w:r>
        <w:rPr>
          <w:rtl/>
        </w:rPr>
        <w:t>(10).</w:t>
      </w:r>
      <w:r w:rsidRPr="00132E65">
        <w:rPr>
          <w:rtl/>
        </w:rPr>
        <w:t xml:space="preserve"> الكهف (18) : 44.</w:t>
      </w:r>
    </w:p>
    <w:p w:rsidR="000C39D1" w:rsidRPr="00132E65" w:rsidRDefault="000C39D1" w:rsidP="000C39D1">
      <w:pPr>
        <w:pStyle w:val="libFootnote0"/>
        <w:rPr>
          <w:rtl/>
          <w:lang w:bidi="fa-IR"/>
        </w:rPr>
      </w:pPr>
      <w:r>
        <w:rPr>
          <w:rtl/>
        </w:rPr>
        <w:t>(11).</w:t>
      </w:r>
      <w:r w:rsidRPr="00132E65">
        <w:rPr>
          <w:rtl/>
        </w:rPr>
        <w:t xml:space="preserve"> في البحار : « قال : يعني الولاية لأمير المؤمنين هي الولاية لله » بدل « قال : ولاية أمير المؤمنين »</w:t>
      </w:r>
      <w:r>
        <w:rPr>
          <w:rtl/>
        </w:rPr>
        <w:t>.</w:t>
      </w:r>
    </w:p>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3 ، ص 890 ، ح 1537 ؛ </w:t>
      </w:r>
      <w:r w:rsidRPr="005A3F59">
        <w:rPr>
          <w:rtl/>
        </w:rPr>
        <w:t>البحار</w:t>
      </w:r>
      <w:r w:rsidRPr="00132E65">
        <w:rPr>
          <w:rtl/>
        </w:rPr>
        <w:t xml:space="preserve"> ، ج 36 ، ص 126 ، ذيل ح 66.</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A3F59">
        <w:rPr>
          <w:rtl/>
        </w:rPr>
        <w:t>1140</w:t>
      </w:r>
      <w:r w:rsidRPr="004325D8">
        <w:rPr>
          <w:rStyle w:val="libBold2Char"/>
          <w:rtl/>
        </w:rPr>
        <w:t xml:space="preserve"> / 53.</w:t>
      </w:r>
      <w:r w:rsidRPr="00132E65">
        <w:rPr>
          <w:rtl/>
          <w:lang w:bidi="fa-IR"/>
        </w:rPr>
        <w:t xml:space="preserve"> مُحَمَّدُ بْنُ يَحْيى ، عَنْ سَلَمَةَ بْنِ الْخَطَّابِ ، عَنْ عَلِيِّ بْنِ حَسَّانَ ، عَنْ عَبْدِ الرَّحْمنِ بْنِ كَثِيرٍ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عَزَّ وجَلَّ : </w:t>
      </w:r>
      <w:r w:rsidRPr="00071CF9">
        <w:rPr>
          <w:rStyle w:val="libAlaemChar"/>
          <w:rtl/>
        </w:rPr>
        <w:t>(</w:t>
      </w:r>
      <w:r w:rsidRPr="00071CF9">
        <w:rPr>
          <w:rStyle w:val="libAieChar"/>
          <w:rtl/>
        </w:rPr>
        <w:t xml:space="preserve"> صِبْغَةَ اللهِ وَمَنْ أَحْسَنُ مِنَ اللهِ صِبْغَةً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صَبَغَ الْمُؤْمِنِينَ </w:t>
      </w:r>
      <w:r>
        <w:rPr>
          <w:rStyle w:val="libFootnotenumChar"/>
          <w:rtl/>
        </w:rPr>
        <w:t>(2)</w:t>
      </w:r>
      <w:r w:rsidRPr="00132E65">
        <w:rPr>
          <w:rtl/>
          <w:lang w:bidi="fa-IR"/>
        </w:rPr>
        <w:t xml:space="preserve"> بِالْوَلَايَةِ فِي الْمِيثَاقِ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5A3F59">
        <w:rPr>
          <w:rtl/>
        </w:rPr>
        <w:t>1141</w:t>
      </w:r>
      <w:r w:rsidRPr="004325D8">
        <w:rPr>
          <w:rStyle w:val="libBold2Char"/>
          <w:rtl/>
        </w:rPr>
        <w:t xml:space="preserve"> / 54.</w:t>
      </w:r>
      <w:r w:rsidRPr="00132E65">
        <w:rPr>
          <w:rtl/>
          <w:lang w:bidi="fa-IR"/>
        </w:rPr>
        <w:t xml:space="preserve"> عِدَّةٌ مِنْ أَصْحَابِنَا ، عَنْ أَحْمَدَ بْنِ مُحَمَّدِ بْنِ عِيسى ، عَنِ ابْنِ فَضَّالٍ ، عَنِ الْمُفَضَّلِ بْنِ صَالِحٍ ، عَنْ مُحَمَّدِ بْنِ عَلِيٍّ الْحَلَبِيِّ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عَزَّ وجَلَّ : </w:t>
      </w:r>
      <w:r w:rsidRPr="00071CF9">
        <w:rPr>
          <w:rStyle w:val="libAlaemChar"/>
          <w:rtl/>
        </w:rPr>
        <w:t>(</w:t>
      </w:r>
      <w:r w:rsidRPr="00071CF9">
        <w:rPr>
          <w:rStyle w:val="libAieChar"/>
          <w:rtl/>
        </w:rPr>
        <w:t xml:space="preserve"> رَبِّ اغْفِرْ لِي وَلِوالِدَيَّ وَلِمَنْ دَخَلَ بَيْتِيَ مُؤْمِناً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 « يَعْنِي الْوَلَايَةَ مَنْ دَخَلَ فِي الْوَلَايَةِ دَخَلَ فِي </w:t>
      </w:r>
      <w:r>
        <w:rPr>
          <w:rStyle w:val="libFootnotenumChar"/>
          <w:rtl/>
        </w:rPr>
        <w:t>(5)</w:t>
      </w:r>
      <w:r w:rsidRPr="00132E65">
        <w:rPr>
          <w:rtl/>
          <w:lang w:bidi="fa-IR"/>
        </w:rPr>
        <w:t xml:space="preserve"> بَيْتِ الْأَنْبِيَاءِ </w:t>
      </w:r>
      <w:r w:rsidRPr="00071CF9">
        <w:rPr>
          <w:rStyle w:val="libAlaemChar"/>
          <w:rtl/>
        </w:rPr>
        <w:t>عليهم‌السلام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وَقَوْلِهِ : </w:t>
      </w:r>
      <w:r w:rsidRPr="00071CF9">
        <w:rPr>
          <w:rStyle w:val="libAlaemChar"/>
          <w:rtl/>
        </w:rPr>
        <w:t>(</w:t>
      </w:r>
      <w:r w:rsidRPr="00071CF9">
        <w:rPr>
          <w:rStyle w:val="libAieChar"/>
          <w:rtl/>
        </w:rPr>
        <w:t xml:space="preserve"> إِنَّما يُرِيدُ اللهُ لِيُذْهِبَ عَنْكُمُ الرِّجْسَ أَهْلَ الْبَيْتِ وَيُطَهِّرَكُمْ تَطْهِيراً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 « يَعْنِي الْأَئِمَّةَ </w:t>
      </w:r>
      <w:r w:rsidRPr="00071CF9">
        <w:rPr>
          <w:rStyle w:val="libAlaemChar"/>
          <w:rtl/>
        </w:rPr>
        <w:t>عليهم‌السلام</w:t>
      </w:r>
      <w:r w:rsidRPr="00132E65">
        <w:rPr>
          <w:rtl/>
          <w:lang w:bidi="fa-IR"/>
        </w:rPr>
        <w:t xml:space="preserve"> وو لَايَتَهُمْ ، مَنْ دَخَلَ فِيهَا دَخَلَ فِي بَيْتِ النَّبِيِّ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5A3F59">
        <w:rPr>
          <w:rtl/>
        </w:rPr>
        <w:t>1142</w:t>
      </w:r>
      <w:r w:rsidRPr="004325D8">
        <w:rPr>
          <w:rStyle w:val="libBold2Char"/>
          <w:rtl/>
        </w:rPr>
        <w:t xml:space="preserve"> / 55.</w:t>
      </w:r>
      <w:r w:rsidRPr="00132E65">
        <w:rPr>
          <w:rtl/>
          <w:lang w:bidi="fa-IR"/>
        </w:rPr>
        <w:t xml:space="preserve"> وبِهذَا الْإِسْنَادِ ، عَنْ أَحْمَدَ بْنِ مُحَمَّدٍ </w:t>
      </w:r>
      <w:r>
        <w:rPr>
          <w:rStyle w:val="libFootnotenumChar"/>
          <w:rtl/>
        </w:rPr>
        <w:t>(8)</w:t>
      </w:r>
      <w:r w:rsidRPr="00132E65">
        <w:rPr>
          <w:rtl/>
          <w:lang w:bidi="fa-IR"/>
        </w:rPr>
        <w:t xml:space="preserve"> ، عَنْ عُمَرَ بْنِ عَبْدِ الْعَزِيزِ ، عَنْ مُحَمَّدِ بْنِ الْفُضَيْلِ :</w:t>
      </w:r>
    </w:p>
    <w:p w:rsidR="000C39D1" w:rsidRPr="00132E65" w:rsidRDefault="000C39D1" w:rsidP="000C39D1">
      <w:pPr>
        <w:pStyle w:val="libNormal"/>
        <w:rPr>
          <w:rtl/>
          <w:lang w:bidi="fa-IR"/>
        </w:rPr>
      </w:pPr>
      <w:r w:rsidRPr="00132E65">
        <w:rPr>
          <w:rtl/>
          <w:lang w:bidi="fa-IR"/>
        </w:rPr>
        <w:t xml:space="preserve">عَنِ الرِّضَا </w:t>
      </w:r>
      <w:r w:rsidRPr="00071CF9">
        <w:rPr>
          <w:rStyle w:val="libAlaemChar"/>
          <w:rtl/>
        </w:rPr>
        <w:t>عليه‌السلام</w:t>
      </w:r>
      <w:r w:rsidRPr="00132E65">
        <w:rPr>
          <w:rtl/>
          <w:lang w:bidi="fa-IR"/>
        </w:rPr>
        <w:t xml:space="preserve"> ، قَالَ : قُلْتُ </w:t>
      </w:r>
      <w:r>
        <w:rPr>
          <w:rStyle w:val="libFootnotenumChar"/>
          <w:rtl/>
        </w:rPr>
        <w:t>(9)</w:t>
      </w:r>
      <w:r w:rsidRPr="00132E65">
        <w:rPr>
          <w:rtl/>
          <w:lang w:bidi="fa-IR"/>
        </w:rPr>
        <w:t xml:space="preserve"> : </w:t>
      </w:r>
      <w:r w:rsidRPr="00071CF9">
        <w:rPr>
          <w:rStyle w:val="libAlaemChar"/>
          <w:rtl/>
        </w:rPr>
        <w:t>(</w:t>
      </w:r>
      <w:r w:rsidRPr="00071CF9">
        <w:rPr>
          <w:rStyle w:val="libAieChar"/>
          <w:rtl/>
        </w:rPr>
        <w:t xml:space="preserve"> قُلْ بِفَضْلِ اللهِ وَبِرَحْمَتِهِ فَبِذلِكَ فَلْيَفْرَحُوا هُوَ خَيْرٌ مِمّا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البقرة </w:t>
      </w:r>
      <w:r w:rsidR="00DB22C8">
        <w:rPr>
          <w:rtl/>
        </w:rPr>
        <w:t>(2)</w:t>
      </w:r>
      <w:r w:rsidRPr="00132E65">
        <w:rPr>
          <w:rtl/>
        </w:rPr>
        <w:t xml:space="preserve"> : 138.</w:t>
      </w:r>
    </w:p>
    <w:p w:rsidR="000C39D1" w:rsidRPr="00132E65" w:rsidRDefault="000C39D1" w:rsidP="000C39D1">
      <w:pPr>
        <w:pStyle w:val="libFootnote0"/>
        <w:rPr>
          <w:rtl/>
          <w:lang w:bidi="fa-IR"/>
        </w:rPr>
      </w:pPr>
      <w:r>
        <w:rPr>
          <w:rtl/>
        </w:rPr>
        <w:t>(2).</w:t>
      </w:r>
      <w:r w:rsidRPr="00132E65">
        <w:rPr>
          <w:rtl/>
        </w:rPr>
        <w:t xml:space="preserve"> في « ف » : « أمير المؤمنين </w:t>
      </w:r>
      <w:r w:rsidRPr="00DB22C8">
        <w:rPr>
          <w:rStyle w:val="libFootnoteAlaemChar"/>
          <w:rtl/>
        </w:rPr>
        <w:t>عليه‌السلام</w:t>
      </w:r>
      <w:r w:rsidRPr="00132E65">
        <w:rPr>
          <w:rtl/>
        </w:rPr>
        <w:t xml:space="preserve"> »</w:t>
      </w:r>
      <w:r>
        <w:rPr>
          <w:rtl/>
        </w:rPr>
        <w:t>.</w:t>
      </w:r>
      <w:r w:rsidRPr="00132E65">
        <w:rPr>
          <w:rtl/>
        </w:rPr>
        <w:t xml:space="preserve"> وفي تفسير العيّاشي : « الصبغة ، معرفة أمير المؤمنين » بدل « صبغ المؤمنين »</w:t>
      </w:r>
      <w:r>
        <w:rPr>
          <w:rtl/>
        </w:rPr>
        <w:t>.</w:t>
      </w:r>
    </w:p>
    <w:p w:rsidR="000C39D1" w:rsidRPr="00132E65" w:rsidRDefault="000C39D1" w:rsidP="00DB22C8">
      <w:pPr>
        <w:pStyle w:val="libFootnote0"/>
        <w:rPr>
          <w:rtl/>
          <w:lang w:bidi="fa-IR"/>
        </w:rPr>
      </w:pPr>
      <w:r>
        <w:rPr>
          <w:rtl/>
        </w:rPr>
        <w:t>(3).</w:t>
      </w:r>
      <w:r w:rsidRPr="00132E65">
        <w:rPr>
          <w:rtl/>
        </w:rPr>
        <w:t xml:space="preserve"> </w:t>
      </w:r>
      <w:r w:rsidRPr="005A3F59">
        <w:rPr>
          <w:rtl/>
        </w:rPr>
        <w:t>تفسير فرات</w:t>
      </w:r>
      <w:r w:rsidRPr="00132E65">
        <w:rPr>
          <w:rtl/>
        </w:rPr>
        <w:t xml:space="preserve"> ، ص 61 ، ح 25 ، بسند آخر ؛ </w:t>
      </w:r>
      <w:r w:rsidRPr="005A3F59">
        <w:rPr>
          <w:rtl/>
        </w:rPr>
        <w:t>تفسير العيّاشي</w:t>
      </w:r>
      <w:r w:rsidRPr="00132E65">
        <w:rPr>
          <w:rtl/>
        </w:rPr>
        <w:t xml:space="preserve"> ، ج 1 ، ص 62 ، ح 109 ، عن عمر بن عبد الرحمن بن كثير الهاشمي</w:t>
      </w:r>
      <w:r w:rsidR="00DB22C8">
        <w:rPr>
          <w:rFonts w:hint="cs"/>
          <w:rtl/>
        </w:rPr>
        <w:t>.</w:t>
      </w:r>
      <w:r w:rsidRPr="009D1ACE">
        <w:rPr>
          <w:rStyle w:val="libFootnoteBoldChar"/>
          <w:rtl/>
        </w:rPr>
        <w:t>الوافي</w:t>
      </w:r>
      <w:r w:rsidRPr="00132E65">
        <w:rPr>
          <w:rtl/>
        </w:rPr>
        <w:t xml:space="preserve"> ، ج 3 ، ص 893 ، ح 1546 ؛ </w:t>
      </w:r>
      <w:r w:rsidRPr="005A3F59">
        <w:rPr>
          <w:rtl/>
        </w:rPr>
        <w:t>البحار</w:t>
      </w:r>
      <w:r w:rsidRPr="00132E65">
        <w:rPr>
          <w:rtl/>
        </w:rPr>
        <w:t xml:space="preserve"> ، ج 23 ، ص 379 ، ح 65.</w:t>
      </w:r>
    </w:p>
    <w:p w:rsidR="000C39D1" w:rsidRPr="00132E65" w:rsidRDefault="000C39D1" w:rsidP="000C39D1">
      <w:pPr>
        <w:pStyle w:val="libFootnote0"/>
        <w:rPr>
          <w:rtl/>
          <w:lang w:bidi="fa-IR"/>
        </w:rPr>
      </w:pPr>
      <w:r>
        <w:rPr>
          <w:rtl/>
        </w:rPr>
        <w:t>(4).</w:t>
      </w:r>
      <w:r w:rsidRPr="00132E65">
        <w:rPr>
          <w:rtl/>
        </w:rPr>
        <w:t xml:space="preserve"> نوح (71) : 28.</w:t>
      </w:r>
    </w:p>
    <w:p w:rsidR="000C39D1" w:rsidRPr="00132E65" w:rsidRDefault="000C39D1" w:rsidP="000C39D1">
      <w:pPr>
        <w:pStyle w:val="libFootnote0"/>
        <w:rPr>
          <w:rtl/>
          <w:lang w:bidi="fa-IR"/>
        </w:rPr>
      </w:pPr>
      <w:r>
        <w:rPr>
          <w:rtl/>
        </w:rPr>
        <w:t>(5).</w:t>
      </w:r>
      <w:r w:rsidRPr="00132E65">
        <w:rPr>
          <w:rtl/>
        </w:rPr>
        <w:t xml:space="preserve"> في « بف »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(6).</w:t>
      </w:r>
      <w:r w:rsidRPr="00132E65">
        <w:rPr>
          <w:rtl/>
        </w:rPr>
        <w:t xml:space="preserve"> الأحزاب (33) : 33.</w:t>
      </w:r>
    </w:p>
    <w:p w:rsidR="000C39D1" w:rsidRPr="00132E65" w:rsidRDefault="000C39D1" w:rsidP="00DB22C8">
      <w:pPr>
        <w:pStyle w:val="libFootnote0"/>
        <w:rPr>
          <w:rtl/>
          <w:lang w:bidi="fa-IR"/>
        </w:rPr>
      </w:pPr>
      <w:r>
        <w:rPr>
          <w:rtl/>
        </w:rPr>
        <w:t>(7).</w:t>
      </w:r>
      <w:r w:rsidRPr="00132E65">
        <w:rPr>
          <w:rtl/>
        </w:rPr>
        <w:t xml:space="preserve"> </w:t>
      </w:r>
      <w:r w:rsidRPr="005A3F59">
        <w:rPr>
          <w:rtl/>
        </w:rPr>
        <w:t>تفسير القمّي</w:t>
      </w:r>
      <w:r w:rsidRPr="00132E65">
        <w:rPr>
          <w:rtl/>
        </w:rPr>
        <w:t xml:space="preserve"> ، ج 2 ، ص 388 ، بسنده عن أحمد بن محمّد ، عن الحسن بن عليّ بن فضّال</w:t>
      </w:r>
      <w:r>
        <w:rPr>
          <w:rtl/>
        </w:rPr>
        <w:t xml:space="preserve"> ..</w:t>
      </w:r>
      <w:r w:rsidRPr="00132E65">
        <w:rPr>
          <w:rtl/>
        </w:rPr>
        <w:t>. ، إلى قوله : « دخل في بيت الأنبياء »</w:t>
      </w:r>
      <w:r w:rsidR="00DB22C8">
        <w:rPr>
          <w:rFonts w:hint="cs"/>
          <w:rtl/>
        </w:rPr>
        <w:t>.</w:t>
      </w:r>
      <w:r w:rsidRPr="009D1ACE">
        <w:rPr>
          <w:rStyle w:val="libFootnoteBoldChar"/>
          <w:rtl/>
        </w:rPr>
        <w:t>الوافي</w:t>
      </w:r>
      <w:r w:rsidRPr="00132E65">
        <w:rPr>
          <w:rtl/>
        </w:rPr>
        <w:t xml:space="preserve"> ، ج 3 ، ص 894 ، ح 1547 ؛ </w:t>
      </w:r>
      <w:r w:rsidRPr="005A3F59">
        <w:rPr>
          <w:rtl/>
        </w:rPr>
        <w:t>البحار</w:t>
      </w:r>
      <w:r w:rsidRPr="00132E65">
        <w:rPr>
          <w:rtl/>
        </w:rPr>
        <w:t xml:space="preserve"> ، ج 23 ، ص 330 ، ح 12.</w:t>
      </w:r>
    </w:p>
    <w:p w:rsidR="000C39D1" w:rsidRPr="00132E65" w:rsidRDefault="000C39D1" w:rsidP="00DB22C8">
      <w:pPr>
        <w:pStyle w:val="libFootnote0"/>
        <w:rPr>
          <w:rtl/>
          <w:lang w:bidi="fa-IR"/>
        </w:rPr>
      </w:pPr>
      <w:r>
        <w:rPr>
          <w:rtl/>
        </w:rPr>
        <w:t>(8).</w:t>
      </w:r>
      <w:r w:rsidRPr="00132E65">
        <w:rPr>
          <w:rtl/>
        </w:rPr>
        <w:t xml:space="preserve"> روى أحمد بن محمّد بن عيسى كتاب عُمَرَ بن عبد العزيز كما في </w:t>
      </w:r>
      <w:r w:rsidRPr="005A3F59">
        <w:rPr>
          <w:rtl/>
        </w:rPr>
        <w:t>رجال النجاشي</w:t>
      </w:r>
      <w:r w:rsidRPr="00132E65">
        <w:rPr>
          <w:rtl/>
        </w:rPr>
        <w:t xml:space="preserve"> ، ص 284 ، الرقم 754. فيتّضح المراد من « بهذا الأسناد »</w:t>
      </w:r>
      <w:r>
        <w:rPr>
          <w:rtl/>
        </w:rPr>
        <w:t>.</w:t>
      </w:r>
      <w:r w:rsidR="00DB22C8">
        <w:rPr>
          <w:rFonts w:hint="cs"/>
          <w:rtl/>
        </w:rPr>
        <w:t xml:space="preserve">                 </w:t>
      </w:r>
      <w:r>
        <w:rPr>
          <w:rtl/>
        </w:rPr>
        <w:t>(9).</w:t>
      </w:r>
      <w:r w:rsidRPr="00132E65">
        <w:rPr>
          <w:rtl/>
        </w:rPr>
        <w:t xml:space="preserve"> في « ف » :</w:t>
      </w:r>
      <w:r>
        <w:rPr>
          <w:rtl/>
        </w:rPr>
        <w:t xml:space="preserve"> + </w:t>
      </w:r>
      <w:r w:rsidRPr="00132E65">
        <w:rPr>
          <w:rtl/>
        </w:rPr>
        <w:t>« قوله تعالى »</w:t>
      </w:r>
      <w:r>
        <w:rPr>
          <w:rtl/>
        </w:rPr>
        <w:t>.</w:t>
      </w:r>
      <w:r w:rsidRPr="00132E65">
        <w:rPr>
          <w:rtl/>
        </w:rPr>
        <w:t xml:space="preserve"> وفي « بس » :</w:t>
      </w:r>
      <w:r>
        <w:rPr>
          <w:rtl/>
        </w:rPr>
        <w:t xml:space="preserve"> + </w:t>
      </w:r>
      <w:r w:rsidRPr="00132E65">
        <w:rPr>
          <w:rtl/>
        </w:rPr>
        <w:t>« 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83332D">
      <w:pPr>
        <w:pStyle w:val="libNormal0"/>
        <w:tabs>
          <w:tab w:val="left" w:pos="3968"/>
        </w:tabs>
        <w:rPr>
          <w:rtl/>
          <w:lang w:bidi="fa-IR"/>
        </w:rPr>
      </w:pPr>
      <w:r w:rsidRPr="00071CF9">
        <w:rPr>
          <w:rStyle w:val="libAieChar"/>
          <w:rtl/>
        </w:rPr>
        <w:t xml:space="preserve">يَجْمَعُونَ </w:t>
      </w:r>
      <w:r w:rsidRPr="00071CF9">
        <w:rPr>
          <w:rStyle w:val="libAlaemChar"/>
          <w:rtl/>
        </w:rPr>
        <w:t>)</w:t>
      </w:r>
      <w:r w:rsidRPr="00132E65">
        <w:rPr>
          <w:rtl/>
          <w:lang w:bidi="fa-IR"/>
        </w:rPr>
        <w:t xml:space="preserve"> </w:t>
      </w:r>
      <w:r>
        <w:rPr>
          <w:rStyle w:val="libFootnotenumChar"/>
          <w:rtl/>
        </w:rPr>
        <w:t>(1)</w:t>
      </w:r>
      <w:r>
        <w:rPr>
          <w:rtl/>
          <w:lang w:bidi="fa-IR"/>
        </w:rPr>
        <w:t>؟</w:t>
      </w:r>
      <w:r w:rsidRPr="00132E65">
        <w:rPr>
          <w:rtl/>
          <w:lang w:bidi="fa-IR"/>
        </w:rPr>
        <w:t xml:space="preserve"> قَالَ : « بِوَلَايَةِ مُحَمَّدٍ وآلِ مُحَمَّدٍ </w:t>
      </w:r>
      <w:r w:rsidRPr="00071CF9">
        <w:rPr>
          <w:rStyle w:val="libAlaemChar"/>
          <w:rtl/>
        </w:rPr>
        <w:t>عليهم‌السلام</w:t>
      </w:r>
      <w:r w:rsidRPr="00132E65">
        <w:rPr>
          <w:rtl/>
          <w:lang w:bidi="fa-IR"/>
        </w:rPr>
        <w:t xml:space="preserve"> هُوَ </w:t>
      </w:r>
      <w:r>
        <w:rPr>
          <w:rStyle w:val="libFootnotenumChar"/>
          <w:rtl/>
        </w:rPr>
        <w:t>(2)</w:t>
      </w:r>
      <w:r w:rsidRPr="00132E65">
        <w:rPr>
          <w:rtl/>
          <w:lang w:bidi="fa-IR"/>
        </w:rPr>
        <w:t xml:space="preserve"> خَيْرٌ مِمَّا يَجْمَعُ </w:t>
      </w:r>
      <w:r>
        <w:rPr>
          <w:rStyle w:val="libFootnotenumChar"/>
          <w:rtl/>
        </w:rPr>
        <w:t>(3)</w:t>
      </w:r>
      <w:r w:rsidRPr="00132E65">
        <w:rPr>
          <w:rtl/>
          <w:lang w:bidi="fa-IR"/>
        </w:rPr>
        <w:t xml:space="preserve"> هؤُلَاءِ مِنْ دُنْيَاهُمْ »</w:t>
      </w:r>
      <w:r>
        <w:rPr>
          <w:rtl/>
          <w:lang w:bidi="fa-IR"/>
        </w:rPr>
        <w:t>.</w:t>
      </w:r>
      <w:r w:rsidRPr="00132E65">
        <w:rPr>
          <w:rtl/>
          <w:lang w:bidi="fa-IR"/>
        </w:rPr>
        <w:t xml:space="preserve"> </w:t>
      </w:r>
      <w:r>
        <w:rPr>
          <w:rStyle w:val="libFootnotenumChar"/>
          <w:rtl/>
        </w:rPr>
        <w:t>(4)</w:t>
      </w:r>
    </w:p>
    <w:p w:rsidR="000C39D1" w:rsidRPr="00132E65" w:rsidRDefault="000C39D1" w:rsidP="000C39D1">
      <w:pPr>
        <w:pStyle w:val="libNormal"/>
        <w:rPr>
          <w:rtl/>
          <w:lang w:bidi="fa-IR"/>
        </w:rPr>
      </w:pPr>
      <w:r w:rsidRPr="005A3F59">
        <w:rPr>
          <w:rtl/>
        </w:rPr>
        <w:t>1143</w:t>
      </w:r>
      <w:r w:rsidRPr="004325D8">
        <w:rPr>
          <w:rStyle w:val="libBold2Char"/>
          <w:rtl/>
        </w:rPr>
        <w:t xml:space="preserve"> / 56.</w:t>
      </w:r>
      <w:r w:rsidRPr="00132E65">
        <w:rPr>
          <w:rtl/>
          <w:lang w:bidi="fa-IR"/>
        </w:rPr>
        <w:t xml:space="preserve"> أَحْمَدُ بْنُ مِهْرَانَ رَحِمَهُ اللهُ </w:t>
      </w:r>
      <w:r>
        <w:rPr>
          <w:rStyle w:val="libFootnotenumChar"/>
          <w:rtl/>
        </w:rPr>
        <w:t>(5)</w:t>
      </w:r>
      <w:r w:rsidRPr="00132E65">
        <w:rPr>
          <w:rtl/>
          <w:lang w:bidi="fa-IR"/>
        </w:rPr>
        <w:t xml:space="preserve"> ، عَنْ عَبْدِ الْعَظِيمِ بْنِ عَبْدِ اللهِ الْحَسَنِيِّ ، عَنْ عَلِيِّ بْنِ أَسْبَاطٍ ، عَنْ إِبْرَاهِيمَ بْنِ عَبْدِ الْحَمِيدِ ، عَنْ زَيْدٍ الشَّحَّامِ ، قَالَ :</w:t>
      </w:r>
    </w:p>
    <w:p w:rsidR="000C39D1" w:rsidRPr="00132E65" w:rsidRDefault="000C39D1" w:rsidP="000C39D1">
      <w:pPr>
        <w:pStyle w:val="libNormal"/>
        <w:rPr>
          <w:rtl/>
          <w:lang w:bidi="fa-IR"/>
        </w:rPr>
      </w:pPr>
      <w:r w:rsidRPr="00132E65">
        <w:rPr>
          <w:rtl/>
          <w:lang w:bidi="fa-IR"/>
        </w:rPr>
        <w:t xml:space="preserve">قَالَ لِي أَبُو عَبْدِ اللهِ </w:t>
      </w:r>
      <w:r w:rsidRPr="00071CF9">
        <w:rPr>
          <w:rStyle w:val="libAlaemChar"/>
          <w:rtl/>
        </w:rPr>
        <w:t>عليه‌السلام</w:t>
      </w:r>
      <w:r>
        <w:rPr>
          <w:rtl/>
          <w:lang w:bidi="fa-IR"/>
        </w:rPr>
        <w:t xml:space="preserve"> - </w:t>
      </w:r>
      <w:r w:rsidRPr="00132E65">
        <w:rPr>
          <w:rtl/>
          <w:lang w:bidi="fa-IR"/>
        </w:rPr>
        <w:t xml:space="preserve">ونَحْنُ فِي الطَّرِيقِ فِي </w:t>
      </w:r>
      <w:r>
        <w:rPr>
          <w:rStyle w:val="libFootnotenumChar"/>
          <w:rtl/>
        </w:rPr>
        <w:t>(6)</w:t>
      </w:r>
      <w:r w:rsidRPr="00132E65">
        <w:rPr>
          <w:rtl/>
          <w:lang w:bidi="fa-IR"/>
        </w:rPr>
        <w:t xml:space="preserve"> لَيْلَةِ الْجُمُعَةِ</w:t>
      </w:r>
      <w:r>
        <w:rPr>
          <w:rtl/>
          <w:lang w:bidi="fa-IR"/>
        </w:rPr>
        <w:t xml:space="preserve"> - </w:t>
      </w:r>
      <w:r w:rsidRPr="00132E65">
        <w:rPr>
          <w:rtl/>
          <w:lang w:bidi="fa-IR"/>
        </w:rPr>
        <w:t xml:space="preserve">: « اقْرَأْ ؛ فَإِنَّهَا لَيْلَةُ الْجُمُعَةِ قُرْآناً » فَقَرَأْتُ : </w:t>
      </w:r>
      <w:r w:rsidRPr="00071CF9">
        <w:rPr>
          <w:rStyle w:val="libAlaemChar"/>
          <w:rtl/>
        </w:rPr>
        <w:t>(</w:t>
      </w:r>
      <w:r w:rsidRPr="00071CF9">
        <w:rPr>
          <w:rStyle w:val="libAieChar"/>
          <w:rtl/>
        </w:rPr>
        <w:t xml:space="preserve"> إِنَّ يَوْمَ الْفَصْلِ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w:t>
      </w:r>
      <w:r w:rsidRPr="00071CF9">
        <w:rPr>
          <w:rStyle w:val="libAlaemChar"/>
          <w:rtl/>
        </w:rPr>
        <w:t>(</w:t>
      </w:r>
      <w:r w:rsidRPr="00071CF9">
        <w:rPr>
          <w:rStyle w:val="libAieChar"/>
          <w:rtl/>
        </w:rPr>
        <w:t xml:space="preserve"> مِيقاتُهُمْ أَجْمَعِينَ</w:t>
      </w:r>
      <w:r w:rsidR="00093D2E">
        <w:rPr>
          <w:rStyle w:val="libAieChar"/>
          <w:rFonts w:hint="cs"/>
          <w:rtl/>
        </w:rPr>
        <w:t xml:space="preserve"> *</w:t>
      </w:r>
      <w:r w:rsidRPr="00071CF9">
        <w:rPr>
          <w:rStyle w:val="libAieChar"/>
          <w:rtl/>
        </w:rPr>
        <w:t xml:space="preserve"> يَوْمَ لا يُغْنِي مَوْلًى عَنْ مَوْلًى شَيْئاً وَلا هُمْ يُنْصَرُونَ</w:t>
      </w:r>
      <w:r w:rsidR="00093D2E">
        <w:rPr>
          <w:rStyle w:val="libAieChar"/>
          <w:rFonts w:hint="cs"/>
          <w:rtl/>
        </w:rPr>
        <w:t xml:space="preserve"> *</w:t>
      </w:r>
      <w:r w:rsidR="00093D2E">
        <w:rPr>
          <w:rStyle w:val="libAieChar"/>
          <w:rtl/>
        </w:rPr>
        <w:t xml:space="preserve"> إِل</w:t>
      </w:r>
      <w:r w:rsidR="00093D2E">
        <w:rPr>
          <w:rStyle w:val="libAieChar"/>
          <w:rFonts w:hint="cs"/>
          <w:rtl/>
        </w:rPr>
        <w:t>ّ</w:t>
      </w:r>
      <w:r w:rsidR="00093D2E">
        <w:rPr>
          <w:rStyle w:val="libAieChar"/>
          <w:rtl/>
        </w:rPr>
        <w:t>ا</w:t>
      </w:r>
      <w:r w:rsidRPr="00071CF9">
        <w:rPr>
          <w:rStyle w:val="libAieChar"/>
          <w:rtl/>
        </w:rPr>
        <w:t xml:space="preserve"> مَنْ رَحِمَ اللهُ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فَقَالَ أَبُو عَبْدِ اللهِ </w:t>
      </w:r>
      <w:r w:rsidRPr="00071CF9">
        <w:rPr>
          <w:rStyle w:val="libAlaemChar"/>
          <w:rtl/>
        </w:rPr>
        <w:t>عليه‌السلام</w:t>
      </w:r>
      <w:r w:rsidRPr="00132E65">
        <w:rPr>
          <w:rtl/>
          <w:lang w:bidi="fa-IR"/>
        </w:rPr>
        <w:t xml:space="preserve"> : « نَحْنُ واللهِ الَّذِي </w:t>
      </w:r>
      <w:r>
        <w:rPr>
          <w:rStyle w:val="libFootnotenumChar"/>
          <w:rtl/>
        </w:rPr>
        <w:t>(9)</w:t>
      </w:r>
      <w:r w:rsidRPr="00132E65">
        <w:rPr>
          <w:rtl/>
          <w:lang w:bidi="fa-IR"/>
        </w:rPr>
        <w:t xml:space="preserve"> يَرْحَمُ </w:t>
      </w:r>
      <w:r>
        <w:rPr>
          <w:rStyle w:val="libFootnotenumChar"/>
          <w:rtl/>
        </w:rPr>
        <w:t>(10)</w:t>
      </w:r>
      <w:r w:rsidRPr="00132E65">
        <w:rPr>
          <w:rtl/>
          <w:lang w:bidi="fa-IR"/>
        </w:rPr>
        <w:t xml:space="preserve"> اللهُ ، ونَحْنُ واللهِ الَّذِي </w:t>
      </w:r>
      <w:r>
        <w:rPr>
          <w:rStyle w:val="libFootnotenumChar"/>
          <w:rtl/>
        </w:rPr>
        <w:t>(11)</w:t>
      </w:r>
      <w:r w:rsidRPr="00132E65">
        <w:rPr>
          <w:rtl/>
          <w:lang w:bidi="fa-IR"/>
        </w:rPr>
        <w:t xml:space="preserve"> اسْتَثْنَى اللهُ ، لكِنَّا </w:t>
      </w:r>
      <w:r>
        <w:rPr>
          <w:rStyle w:val="libFootnotenumChar"/>
          <w:rtl/>
        </w:rPr>
        <w:t>(12)</w:t>
      </w:r>
      <w:r w:rsidRPr="00132E65">
        <w:rPr>
          <w:rtl/>
          <w:lang w:bidi="fa-IR"/>
        </w:rPr>
        <w:t xml:space="preserve"> نُغْنِي عَنْهُمْ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817EF" w:rsidTr="000817EF">
        <w:tc>
          <w:tcPr>
            <w:tcW w:w="4006" w:type="dxa"/>
          </w:tcPr>
          <w:p w:rsidR="000817EF" w:rsidRDefault="000817EF" w:rsidP="000C39D1">
            <w:pPr>
              <w:pStyle w:val="libFootnote0"/>
              <w:rPr>
                <w:rtl/>
              </w:rPr>
            </w:pPr>
            <w:r>
              <w:rPr>
                <w:rtl/>
              </w:rPr>
              <w:t>(1).</w:t>
            </w:r>
            <w:r w:rsidRPr="00132E65">
              <w:rPr>
                <w:rtl/>
              </w:rPr>
              <w:t xml:space="preserve"> يونس </w:t>
            </w:r>
            <w:r>
              <w:rPr>
                <w:rtl/>
              </w:rPr>
              <w:t>(10)</w:t>
            </w:r>
            <w:r w:rsidRPr="00132E65">
              <w:rPr>
                <w:rtl/>
              </w:rPr>
              <w:t xml:space="preserve"> : 58.</w:t>
            </w:r>
          </w:p>
        </w:tc>
        <w:tc>
          <w:tcPr>
            <w:tcW w:w="4006" w:type="dxa"/>
          </w:tcPr>
          <w:p w:rsidR="000817EF" w:rsidRDefault="005D34AB" w:rsidP="000C39D1">
            <w:pPr>
              <w:pStyle w:val="libFootnote0"/>
              <w:rPr>
                <w:rtl/>
              </w:rPr>
            </w:pPr>
            <w:r>
              <w:rPr>
                <w:rtl/>
              </w:rPr>
              <w:t>(2).</w:t>
            </w:r>
            <w:r w:rsidRPr="00132E65">
              <w:rPr>
                <w:rtl/>
              </w:rPr>
              <w:t xml:space="preserve"> في « ب ، ج ، ف » والبحار </w:t>
            </w:r>
            <w:r>
              <w:rPr>
                <w:rtl/>
              </w:rPr>
              <w:t xml:space="preserve">: - </w:t>
            </w:r>
            <w:r w:rsidRPr="00132E65">
              <w:rPr>
                <w:rtl/>
              </w:rPr>
              <w:t>« هو »</w:t>
            </w:r>
            <w:r>
              <w:rPr>
                <w:rtl/>
              </w:rPr>
              <w:t>.</w:t>
            </w:r>
          </w:p>
        </w:tc>
      </w:tr>
    </w:tbl>
    <w:p w:rsidR="000C39D1" w:rsidRPr="00132E65" w:rsidRDefault="000C39D1" w:rsidP="000C39D1">
      <w:pPr>
        <w:pStyle w:val="libFootnote0"/>
        <w:rPr>
          <w:rtl/>
          <w:lang w:bidi="fa-IR"/>
        </w:rPr>
      </w:pPr>
      <w:r>
        <w:rPr>
          <w:rtl/>
        </w:rPr>
        <w:t>(3).</w:t>
      </w:r>
      <w:r w:rsidRPr="00132E65">
        <w:rPr>
          <w:rtl/>
        </w:rPr>
        <w:t xml:space="preserve"> في « ف » : « تجمع »</w:t>
      </w:r>
      <w:r>
        <w:rPr>
          <w:rtl/>
        </w:rPr>
        <w:t>.</w:t>
      </w:r>
    </w:p>
    <w:p w:rsidR="000C39D1" w:rsidRPr="00132E65" w:rsidRDefault="000C39D1" w:rsidP="00E25B0E">
      <w:pPr>
        <w:pStyle w:val="libFootnote0"/>
        <w:rPr>
          <w:rtl/>
          <w:lang w:bidi="fa-IR"/>
        </w:rPr>
      </w:pPr>
      <w:r>
        <w:rPr>
          <w:rtl/>
        </w:rPr>
        <w:t>(4).</w:t>
      </w:r>
      <w:r w:rsidRPr="00132E65">
        <w:rPr>
          <w:rtl/>
        </w:rPr>
        <w:t xml:space="preserve"> </w:t>
      </w:r>
      <w:r w:rsidRPr="005A3F59">
        <w:rPr>
          <w:rtl/>
        </w:rPr>
        <w:t>الأمالي</w:t>
      </w:r>
      <w:r w:rsidRPr="00132E65">
        <w:rPr>
          <w:rtl/>
        </w:rPr>
        <w:t xml:space="preserve"> للصدوق ، ص 494 ، المجلس 74 ، ضمن ح 13 ، بسند آخر ، عن أبي جعفر </w:t>
      </w:r>
      <w:r w:rsidRPr="00E25B0E">
        <w:rPr>
          <w:rStyle w:val="libFootnoteAlaemChar"/>
          <w:rtl/>
        </w:rPr>
        <w:t>عليه‌السلام</w:t>
      </w:r>
      <w:r w:rsidRPr="00132E65">
        <w:rPr>
          <w:rtl/>
        </w:rPr>
        <w:t xml:space="preserve"> عن آبائه ، عن النبيّ </w:t>
      </w:r>
      <w:r w:rsidRPr="00E25B0E">
        <w:rPr>
          <w:rStyle w:val="libFootnoteAlaemChar"/>
          <w:rFonts w:eastAsiaTheme="minorHAnsi"/>
          <w:rtl/>
        </w:rPr>
        <w:t>صلى‌الله‌عليه‌وآله</w:t>
      </w:r>
      <w:r w:rsidRPr="00132E65">
        <w:rPr>
          <w:rtl/>
          <w:lang w:bidi="fa-IR"/>
        </w:rPr>
        <w:t xml:space="preserve"> </w:t>
      </w:r>
      <w:r w:rsidRPr="00132E65">
        <w:rPr>
          <w:rtl/>
        </w:rPr>
        <w:t xml:space="preserve">مع اختلاف وزيادة في أوّله وآخره ؛ </w:t>
      </w:r>
      <w:r w:rsidRPr="005A3F59">
        <w:rPr>
          <w:rtl/>
        </w:rPr>
        <w:t>تفسير العيّاشي</w:t>
      </w:r>
      <w:r w:rsidRPr="00132E65">
        <w:rPr>
          <w:rtl/>
        </w:rPr>
        <w:t xml:space="preserve"> ، ج 2 ، ص 124 ، ح 29 ، عن أبي حمزة ، عن أبي جعفر </w:t>
      </w:r>
      <w:r w:rsidRPr="00E25B0E">
        <w:rPr>
          <w:rStyle w:val="libFootnoteAlaemChar"/>
          <w:rtl/>
        </w:rPr>
        <w:t>عليه‌السلام</w:t>
      </w:r>
      <w:r w:rsidRPr="00132E65">
        <w:rPr>
          <w:rtl/>
        </w:rPr>
        <w:t xml:space="preserve"> ، مع اختلاف يسير ؛ </w:t>
      </w:r>
      <w:r w:rsidRPr="005A3F59">
        <w:rPr>
          <w:rtl/>
        </w:rPr>
        <w:t>تفسير القمّي</w:t>
      </w:r>
      <w:r w:rsidRPr="00132E65">
        <w:rPr>
          <w:rtl/>
        </w:rPr>
        <w:t xml:space="preserve"> ، ج 1 ، ص 313 ، مرسلاً عن النبيّ </w:t>
      </w:r>
      <w:r w:rsidRPr="00E25B0E">
        <w:rPr>
          <w:rStyle w:val="libFootnoteAlaemChar"/>
          <w:rFonts w:eastAsiaTheme="minorHAnsi"/>
          <w:rtl/>
        </w:rPr>
        <w:t>صلى‌الله‌عليه‌وآله</w:t>
      </w:r>
      <w:r w:rsidRPr="00132E65">
        <w:rPr>
          <w:rtl/>
          <w:lang w:bidi="fa-IR"/>
        </w:rPr>
        <w:t xml:space="preserve"> </w:t>
      </w:r>
      <w:r w:rsidRPr="00132E65">
        <w:rPr>
          <w:rtl/>
        </w:rPr>
        <w:t>مع اختلاف وزيادة في أوّله وآخره</w:t>
      </w:r>
      <w:r w:rsidR="00E25B0E">
        <w:rPr>
          <w:rFonts w:hint="cs"/>
          <w:rtl/>
        </w:rPr>
        <w:t>.</w:t>
      </w:r>
      <w:r w:rsidRPr="009D1ACE">
        <w:rPr>
          <w:rStyle w:val="libFootnoteBoldChar"/>
          <w:rtl/>
        </w:rPr>
        <w:t>الوافي</w:t>
      </w:r>
      <w:r w:rsidRPr="00132E65">
        <w:rPr>
          <w:rtl/>
        </w:rPr>
        <w:t xml:space="preserve"> ، ج 3 ، ص 894 ، ح 1548 ؛ </w:t>
      </w:r>
      <w:r w:rsidRPr="005A3F59">
        <w:rPr>
          <w:rtl/>
        </w:rPr>
        <w:t>البحار</w:t>
      </w:r>
      <w:r w:rsidRPr="00132E65">
        <w:rPr>
          <w:rtl/>
        </w:rPr>
        <w:t xml:space="preserve"> ، ج 24 ، ص 61 ، ح 40.</w:t>
      </w:r>
    </w:p>
    <w:p w:rsidR="000C39D1" w:rsidRPr="00132E65" w:rsidRDefault="000C39D1" w:rsidP="000C39D1">
      <w:pPr>
        <w:pStyle w:val="libFootnote0"/>
        <w:rPr>
          <w:rtl/>
          <w:lang w:bidi="fa-IR"/>
        </w:rPr>
      </w:pPr>
      <w:r>
        <w:rPr>
          <w:rtl/>
        </w:rPr>
        <w:t>(5).</w:t>
      </w:r>
      <w:r w:rsidRPr="00132E65">
        <w:rPr>
          <w:rtl/>
        </w:rPr>
        <w:t xml:space="preserve"> هكذا في « ب ، ج ، ض ، ف ، بح ، بر ، بس ، بف ، جر »</w:t>
      </w:r>
      <w:r>
        <w:rPr>
          <w:rtl/>
        </w:rPr>
        <w:t>.</w:t>
      </w:r>
      <w:r w:rsidRPr="00132E65">
        <w:rPr>
          <w:rtl/>
        </w:rPr>
        <w:t xml:space="preserve"> وفي المطبوع </w:t>
      </w:r>
      <w:r>
        <w:rPr>
          <w:rtl/>
        </w:rPr>
        <w:t xml:space="preserve">: - </w:t>
      </w:r>
      <w:r w:rsidRPr="00132E65">
        <w:rPr>
          <w:rtl/>
        </w:rPr>
        <w:t xml:space="preserve">« </w:t>
      </w:r>
      <w:r w:rsidRPr="00E25B0E">
        <w:rPr>
          <w:rStyle w:val="libFootnoteAlaemChar"/>
          <w:rtl/>
        </w:rPr>
        <w:t>رحمه‌الله</w:t>
      </w:r>
      <w:r w:rsidRPr="00132E65">
        <w:rPr>
          <w:rtl/>
        </w:rPr>
        <w:t xml:space="preserve"> »</w:t>
      </w:r>
      <w:r>
        <w:rPr>
          <w:rtl/>
        </w:rPr>
        <w:t>.</w:t>
      </w:r>
    </w:p>
    <w:p w:rsidR="000C39D1" w:rsidRPr="00132E65" w:rsidRDefault="000C39D1" w:rsidP="000C39D1">
      <w:pPr>
        <w:pStyle w:val="libFootnote0"/>
        <w:rPr>
          <w:rtl/>
          <w:lang w:bidi="fa-IR"/>
        </w:rPr>
      </w:pPr>
      <w:r>
        <w:rPr>
          <w:rtl/>
        </w:rPr>
        <w:t>(6).</w:t>
      </w:r>
      <w:r w:rsidRPr="00132E65">
        <w:rPr>
          <w:rtl/>
        </w:rPr>
        <w:t xml:space="preserve"> في « ب » والبحار ، ج 24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(7).</w:t>
      </w:r>
      <w:r w:rsidRPr="00132E65">
        <w:rPr>
          <w:rtl/>
        </w:rPr>
        <w:t xml:space="preserve"> هكذا في القرآن </w:t>
      </w:r>
      <w:r>
        <w:rPr>
          <w:rtl/>
        </w:rPr>
        <w:t>و «</w:t>
      </w:r>
      <w:r w:rsidRPr="00132E65">
        <w:rPr>
          <w:rtl/>
        </w:rPr>
        <w:t xml:space="preserve"> ب ، ض ، بر ، بس » و</w:t>
      </w:r>
      <w:r w:rsidRPr="009D1ACE">
        <w:rPr>
          <w:rStyle w:val="libFootnoteBoldChar"/>
          <w:rtl/>
        </w:rPr>
        <w:t>الوافي</w:t>
      </w:r>
      <w:r w:rsidRPr="00132E65">
        <w:rPr>
          <w:rtl/>
        </w:rPr>
        <w:t xml:space="preserve"> والبحار ، ج 47. وفي سائر النسخ والمطبوع :</w:t>
      </w:r>
      <w:r>
        <w:rPr>
          <w:rtl/>
        </w:rPr>
        <w:t xml:space="preserve"> + </w:t>
      </w:r>
      <w:r w:rsidRPr="00132E65">
        <w:rPr>
          <w:rtl/>
        </w:rPr>
        <w:t>« كان »</w:t>
      </w:r>
      <w:r>
        <w:rPr>
          <w:rtl/>
        </w:rPr>
        <w:t>.</w:t>
      </w:r>
      <w:r w:rsidRPr="00132E65">
        <w:rPr>
          <w:rtl/>
        </w:rPr>
        <w:t xml:space="preserve"> قال‌المجلسي في </w:t>
      </w:r>
      <w:r w:rsidRPr="009D1ACE">
        <w:rPr>
          <w:rStyle w:val="libFootnoteBoldChar"/>
          <w:rtl/>
        </w:rPr>
        <w:t>مرآة العقول</w:t>
      </w:r>
      <w:r w:rsidRPr="00132E65">
        <w:rPr>
          <w:rtl/>
        </w:rPr>
        <w:t xml:space="preserve"> : « كأنّه زيد من النسّاخ »</w:t>
      </w:r>
      <w:r>
        <w:rPr>
          <w:rtl/>
        </w:rPr>
        <w:t>.</w:t>
      </w:r>
    </w:p>
    <w:tbl>
      <w:tblPr>
        <w:tblStyle w:val="TableGrid"/>
        <w:bidiVisual/>
        <w:tblW w:w="0" w:type="auto"/>
        <w:tblLook w:val="04A0" w:firstRow="1" w:lastRow="0" w:firstColumn="1" w:lastColumn="0" w:noHBand="0" w:noVBand="1"/>
      </w:tblPr>
      <w:tblGrid>
        <w:gridCol w:w="4006"/>
        <w:gridCol w:w="4006"/>
      </w:tblGrid>
      <w:tr w:rsidR="00E25B0E" w:rsidTr="00E25B0E">
        <w:tc>
          <w:tcPr>
            <w:tcW w:w="4006" w:type="dxa"/>
          </w:tcPr>
          <w:p w:rsidR="00E25B0E" w:rsidRDefault="00E25B0E" w:rsidP="000C39D1">
            <w:pPr>
              <w:pStyle w:val="libFootnote0"/>
              <w:rPr>
                <w:rtl/>
              </w:rPr>
            </w:pPr>
            <w:r>
              <w:rPr>
                <w:rtl/>
              </w:rPr>
              <w:t>(8).</w:t>
            </w:r>
            <w:r w:rsidRPr="00132E65">
              <w:rPr>
                <w:rtl/>
              </w:rPr>
              <w:t xml:space="preserve"> الدخان (44) : 40</w:t>
            </w:r>
            <w:r>
              <w:rPr>
                <w:rtl/>
              </w:rPr>
              <w:t xml:space="preserve"> - </w:t>
            </w:r>
            <w:r w:rsidRPr="00132E65">
              <w:rPr>
                <w:rtl/>
              </w:rPr>
              <w:t>42.</w:t>
            </w:r>
          </w:p>
        </w:tc>
        <w:tc>
          <w:tcPr>
            <w:tcW w:w="4006" w:type="dxa"/>
          </w:tcPr>
          <w:p w:rsidR="00E25B0E" w:rsidRDefault="00E25B0E" w:rsidP="000C39D1">
            <w:pPr>
              <w:pStyle w:val="libFootnote0"/>
              <w:rPr>
                <w:rtl/>
              </w:rPr>
            </w:pPr>
            <w:r>
              <w:rPr>
                <w:rtl/>
              </w:rPr>
              <w:t>(9).</w:t>
            </w:r>
            <w:r w:rsidRPr="00132E65">
              <w:rPr>
                <w:rtl/>
              </w:rPr>
              <w:t xml:space="preserve"> في البحار ، ج 24 : « الذين »</w:t>
            </w:r>
            <w:r>
              <w:rPr>
                <w:rtl/>
              </w:rPr>
              <w:t>.</w:t>
            </w:r>
          </w:p>
        </w:tc>
      </w:tr>
    </w:tbl>
    <w:p w:rsidR="000C39D1" w:rsidRPr="00132E65" w:rsidRDefault="000C39D1" w:rsidP="000C39D1">
      <w:pPr>
        <w:pStyle w:val="libFootnote0"/>
        <w:rPr>
          <w:rtl/>
          <w:lang w:bidi="fa-IR"/>
        </w:rPr>
      </w:pPr>
      <w:r>
        <w:rPr>
          <w:rtl/>
        </w:rPr>
        <w:t>(10).</w:t>
      </w:r>
      <w:r w:rsidRPr="00132E65">
        <w:rPr>
          <w:rtl/>
        </w:rPr>
        <w:t xml:space="preserve"> هكذا في « ب ، ج ، ض ، ف ، بح ، بر ، بس ، بف » وسائرالنسخ و</w:t>
      </w:r>
      <w:r w:rsidRPr="009D1ACE">
        <w:rPr>
          <w:rStyle w:val="libFootnoteBoldChar"/>
          <w:rtl/>
        </w:rPr>
        <w:t>الوافي</w:t>
      </w:r>
      <w:r w:rsidRPr="00132E65">
        <w:rPr>
          <w:rtl/>
        </w:rPr>
        <w:t xml:space="preserve"> والبحار ، ج 47. وفي المطبوع : « رحم »</w:t>
      </w:r>
      <w:r>
        <w:rPr>
          <w:rtl/>
        </w:rPr>
        <w:t>.</w:t>
      </w:r>
      <w:r w:rsidRPr="00132E65">
        <w:rPr>
          <w:rtl/>
        </w:rPr>
        <w:t xml:space="preserve"> وهو الأنسب بالنظر إلى الآية وإلى قوله : « استثنى »</w:t>
      </w:r>
      <w:r>
        <w:rPr>
          <w:rtl/>
        </w:rPr>
        <w:t>.</w:t>
      </w:r>
    </w:p>
    <w:p w:rsidR="000C39D1" w:rsidRPr="00132E65" w:rsidRDefault="000C39D1" w:rsidP="000C39D1">
      <w:pPr>
        <w:pStyle w:val="libFootnote0"/>
        <w:rPr>
          <w:rtl/>
          <w:lang w:bidi="fa-IR"/>
        </w:rPr>
      </w:pPr>
      <w:r>
        <w:rPr>
          <w:rtl/>
        </w:rPr>
        <w:t>(11).</w:t>
      </w:r>
      <w:r w:rsidRPr="00132E65">
        <w:rPr>
          <w:rtl/>
        </w:rPr>
        <w:t xml:space="preserve"> في « ج » والبحار ، ج 24 : « الذين »</w:t>
      </w:r>
      <w:r>
        <w:rPr>
          <w:rtl/>
        </w:rPr>
        <w:t>.</w:t>
      </w:r>
      <w:r w:rsidRPr="00132E65">
        <w:rPr>
          <w:rtl/>
        </w:rPr>
        <w:t xml:space="preserve"> وفي </w:t>
      </w:r>
      <w:r w:rsidRPr="009D1ACE">
        <w:rPr>
          <w:rStyle w:val="libFootnoteBoldChar"/>
          <w:rtl/>
        </w:rPr>
        <w:t>مرآة العقول</w:t>
      </w:r>
      <w:r w:rsidRPr="00132E65">
        <w:rPr>
          <w:rtl/>
        </w:rPr>
        <w:t xml:space="preserve"> : « وفي بعض النسخ : « الذين » في الموضعين ، كما في تفسير محمّد بن العبّاس »</w:t>
      </w:r>
      <w:r>
        <w:rPr>
          <w:rtl/>
        </w:rPr>
        <w:t>.</w:t>
      </w:r>
    </w:p>
    <w:p w:rsidR="000C39D1" w:rsidRPr="00132E65" w:rsidRDefault="000C39D1" w:rsidP="000C39D1">
      <w:pPr>
        <w:pStyle w:val="libFootnote0"/>
        <w:rPr>
          <w:rtl/>
          <w:lang w:bidi="fa-IR"/>
        </w:rPr>
      </w:pPr>
      <w:r>
        <w:rPr>
          <w:rtl/>
        </w:rPr>
        <w:t>(12).</w:t>
      </w:r>
      <w:r w:rsidRPr="00132E65">
        <w:rPr>
          <w:rtl/>
        </w:rPr>
        <w:t xml:space="preserve"> في « ب » والبحار : « ولكنّا »</w:t>
      </w:r>
      <w:r>
        <w:rPr>
          <w:rtl/>
        </w:rPr>
        <w:t>.</w:t>
      </w:r>
      <w:r w:rsidRPr="00132E65">
        <w:rPr>
          <w:rtl/>
        </w:rPr>
        <w:t xml:space="preserve"> وفي حاشية « بر » : « فكُنّا » بضمّ الكاف. ويمكن قراءة « لكنّا » أيضاً بضمّ الكاف وفتح اللام.</w:t>
      </w:r>
    </w:p>
    <w:p w:rsidR="000C39D1" w:rsidRPr="00132E65" w:rsidRDefault="000C39D1" w:rsidP="000C39D1">
      <w:pPr>
        <w:pStyle w:val="libFootnote0"/>
        <w:rPr>
          <w:rtl/>
          <w:lang w:bidi="fa-IR"/>
        </w:rPr>
      </w:pPr>
      <w:r>
        <w:rPr>
          <w:rtl/>
        </w:rPr>
        <w:t>(13)</w:t>
      </w:r>
      <w:r w:rsidRPr="00132E65">
        <w:rPr>
          <w:rtl/>
        </w:rPr>
        <w:t xml:space="preserve"> </w:t>
      </w:r>
      <w:r w:rsidRPr="009D1ACE">
        <w:rPr>
          <w:rStyle w:val="libFootnoteBoldChar"/>
          <w:rtl/>
        </w:rPr>
        <w:t>الوافي</w:t>
      </w:r>
      <w:r w:rsidRPr="00132E65">
        <w:rPr>
          <w:rtl/>
        </w:rPr>
        <w:t xml:space="preserve"> ، ج 3 ، ص 894 ، ح 1549 ؛ </w:t>
      </w:r>
      <w:r w:rsidRPr="005A3F59">
        <w:rPr>
          <w:rtl/>
        </w:rPr>
        <w:t>البحار</w:t>
      </w:r>
      <w:r w:rsidRPr="00132E65">
        <w:rPr>
          <w:rtl/>
        </w:rPr>
        <w:t xml:space="preserve"> ، ج 24 ، ص 205 ، ح 3 ؛ وج 47 ، ص 55 ، ح 93.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2B05FE">
        <w:rPr>
          <w:rtl/>
        </w:rPr>
        <w:t>1144</w:t>
      </w:r>
      <w:r w:rsidRPr="004325D8">
        <w:rPr>
          <w:rStyle w:val="libBold2Char"/>
          <w:rtl/>
        </w:rPr>
        <w:t xml:space="preserve"> / 57.</w:t>
      </w:r>
      <w:r w:rsidRPr="00132E65">
        <w:rPr>
          <w:rtl/>
          <w:lang w:bidi="fa-IR"/>
        </w:rPr>
        <w:t xml:space="preserve"> أَحْمَدُ بْنُ مِهْرَانَ ، عَنْ عَبْدِ الْعَظِيمِ بْنِ عَبْدِ اللهِ ، عَنْ يَحْيَى بْنِ سَالِمٍ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نَزَلَتْ</w:t>
      </w:r>
      <w:r>
        <w:rPr>
          <w:rFonts w:hint="cs"/>
          <w:rtl/>
          <w:lang w:bidi="fa-IR"/>
        </w:rPr>
        <w:t xml:space="preserve"> </w:t>
      </w:r>
      <w:r w:rsidRPr="00071CF9">
        <w:rPr>
          <w:rStyle w:val="libAlaemChar"/>
          <w:rtl/>
        </w:rPr>
        <w:t>(</w:t>
      </w:r>
      <w:r w:rsidRPr="00071CF9">
        <w:rPr>
          <w:rStyle w:val="libAieChar"/>
          <w:rtl/>
        </w:rPr>
        <w:t xml:space="preserve"> وَتَعِيَها أُذُنٌ واعِيَةٌ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رَسُولُ اللهِ </w:t>
      </w:r>
      <w:r w:rsidRPr="0093484F">
        <w:rPr>
          <w:rStyle w:val="libAlaemChar"/>
          <w:rFonts w:eastAsiaTheme="minorHAnsi"/>
          <w:rtl/>
        </w:rPr>
        <w:t>صلى‌الله‌عليه‌وآله</w:t>
      </w:r>
      <w:r w:rsidRPr="00132E65">
        <w:rPr>
          <w:rtl/>
          <w:lang w:bidi="fa-IR"/>
        </w:rPr>
        <w:t xml:space="preserve"> : هِيَ </w:t>
      </w:r>
      <w:r>
        <w:rPr>
          <w:rStyle w:val="libFootnotenumChar"/>
          <w:rtl/>
        </w:rPr>
        <w:t>(2)</w:t>
      </w:r>
      <w:r w:rsidRPr="00132E65">
        <w:rPr>
          <w:rtl/>
          <w:lang w:bidi="fa-IR"/>
        </w:rPr>
        <w:t xml:space="preserve"> أُذُنُكَ يَا عَلِيُّ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2B05FE">
        <w:rPr>
          <w:rtl/>
        </w:rPr>
        <w:t>1145</w:t>
      </w:r>
      <w:r w:rsidRPr="004325D8">
        <w:rPr>
          <w:rStyle w:val="libBold2Char"/>
          <w:rtl/>
        </w:rPr>
        <w:t xml:space="preserve"> / 58.</w:t>
      </w:r>
      <w:r w:rsidRPr="00132E65">
        <w:rPr>
          <w:rtl/>
          <w:lang w:bidi="fa-IR"/>
        </w:rPr>
        <w:t xml:space="preserve"> أَحْمَدُ بْنُ مِهْرَانَ ، عَنْ عَبْدِ الْعَظِيمِ بْنِ عَبْدِ اللهِ ، عَنْ مُحَمَّدِ بْنِ الْفُضَيْلِ ، ع</w:t>
      </w:r>
      <w:r w:rsidR="00936037">
        <w:rPr>
          <w:rtl/>
          <w:lang w:bidi="fa-IR"/>
        </w:rPr>
        <w:t>َنْ أَبِي حَمْزَةَ</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نَزَلَ جَبْرَئِيلُ </w:t>
      </w:r>
      <w:r w:rsidRPr="00071CF9">
        <w:rPr>
          <w:rStyle w:val="libAlaemChar"/>
          <w:rtl/>
        </w:rPr>
        <w:t>عليه‌السلام</w:t>
      </w:r>
      <w:r w:rsidRPr="00132E65">
        <w:rPr>
          <w:rtl/>
          <w:lang w:bidi="fa-IR"/>
        </w:rPr>
        <w:t xml:space="preserve"> بِهذِهِ الْآيَةِ عَلى مُحَمَّدٍ </w:t>
      </w:r>
      <w:r w:rsidRPr="0093484F">
        <w:rPr>
          <w:rStyle w:val="libAlaemChar"/>
          <w:rFonts w:eastAsiaTheme="minorHAnsi"/>
          <w:rtl/>
        </w:rPr>
        <w:t>صلى‌الله‌عليه‌وآله</w:t>
      </w:r>
      <w:r w:rsidRPr="00132E65">
        <w:rPr>
          <w:rtl/>
          <w:lang w:bidi="fa-IR"/>
        </w:rPr>
        <w:t xml:space="preserve"> هكَذَا : </w:t>
      </w:r>
      <w:r w:rsidRPr="00071CF9">
        <w:rPr>
          <w:rStyle w:val="libAlaemChar"/>
          <w:rtl/>
        </w:rPr>
        <w:t>(</w:t>
      </w:r>
      <w:r w:rsidRPr="00071CF9">
        <w:rPr>
          <w:rStyle w:val="libAieChar"/>
          <w:rtl/>
        </w:rPr>
        <w:t xml:space="preserve"> فَبَدَّلَ الَّذِينَ ظَلَمُوا </w:t>
      </w:r>
      <w:r w:rsidRPr="00071CF9">
        <w:rPr>
          <w:rStyle w:val="libAlaemChar"/>
          <w:rtl/>
        </w:rPr>
        <w:t>)</w:t>
      </w:r>
      <w:r w:rsidRPr="00132E65">
        <w:rPr>
          <w:rtl/>
          <w:lang w:bidi="fa-IR"/>
        </w:rPr>
        <w:t xml:space="preserve"> آلَ مُحَمَّدٍ حَقَّهُمْ</w:t>
      </w:r>
      <w:r>
        <w:rPr>
          <w:rFonts w:hint="cs"/>
          <w:rtl/>
          <w:lang w:bidi="fa-IR"/>
        </w:rPr>
        <w:t xml:space="preserve"> </w:t>
      </w:r>
      <w:r w:rsidRPr="00071CF9">
        <w:rPr>
          <w:rStyle w:val="libAlaemChar"/>
          <w:rtl/>
        </w:rPr>
        <w:t>(</w:t>
      </w:r>
      <w:r w:rsidRPr="00071CF9">
        <w:rPr>
          <w:rStyle w:val="libAieChar"/>
          <w:rtl/>
        </w:rPr>
        <w:t xml:space="preserve"> قَوْلاً غَيْرَ الَّذِي قِيلَ لَهُمْ فَأَنْزَلْنا عَلَى الَّذِينَ ظَلَمُوا </w:t>
      </w:r>
      <w:r w:rsidRPr="00071CF9">
        <w:rPr>
          <w:rStyle w:val="libAlaemChar"/>
          <w:rtl/>
        </w:rPr>
        <w:t>)</w:t>
      </w:r>
      <w:r w:rsidRPr="00132E65">
        <w:rPr>
          <w:rtl/>
          <w:lang w:bidi="fa-IR"/>
        </w:rPr>
        <w:t xml:space="preserve"> آلَ مُحَمَّدٍ حَقَّهُمْ</w:t>
      </w:r>
      <w:r>
        <w:rPr>
          <w:rFonts w:hint="cs"/>
          <w:rtl/>
          <w:lang w:bidi="fa-IR"/>
        </w:rPr>
        <w:t xml:space="preserve"> </w:t>
      </w:r>
      <w:r w:rsidRPr="00071CF9">
        <w:rPr>
          <w:rStyle w:val="libAlaemChar"/>
          <w:rtl/>
        </w:rPr>
        <w:t>(</w:t>
      </w:r>
      <w:r w:rsidRPr="00071CF9">
        <w:rPr>
          <w:rStyle w:val="libAieChar"/>
          <w:rtl/>
        </w:rPr>
        <w:t xml:space="preserve"> رِجْزاً مِنَ السَّماءِ بِما كانُوا يَفْسُقُونَ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2B05FE">
        <w:rPr>
          <w:rtl/>
        </w:rPr>
        <w:t>1146</w:t>
      </w:r>
      <w:r w:rsidRPr="004325D8">
        <w:rPr>
          <w:rStyle w:val="libBold2Char"/>
          <w:rtl/>
        </w:rPr>
        <w:t xml:space="preserve"> / 59.</w:t>
      </w:r>
      <w:r w:rsidRPr="00132E65">
        <w:rPr>
          <w:rtl/>
          <w:lang w:bidi="fa-IR"/>
        </w:rPr>
        <w:t xml:space="preserve"> وبِهذَا الْإِسْنَادِ ، عَنْ عَبْدِ الْعَظِيمِ بْنِ عَبْدِ اللهِ الْحَسَنِيِّ ، عَنْ مُحَمَّدِ بْنِ الْفُضَيْلِ ، عَنْ أَبِي حَمْزَةَ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نَزَلَ جَبْرَئِيلُ </w:t>
      </w:r>
      <w:r w:rsidRPr="00071CF9">
        <w:rPr>
          <w:rStyle w:val="libAlaemChar"/>
          <w:rtl/>
        </w:rPr>
        <w:t>عليه‌السلام</w:t>
      </w:r>
      <w:r w:rsidRPr="00132E65">
        <w:rPr>
          <w:rtl/>
          <w:lang w:bidi="fa-IR"/>
        </w:rPr>
        <w:t xml:space="preserve"> بِهذِهِ الْآيَةِ هكَذَا : </w:t>
      </w:r>
      <w:r w:rsidRPr="00071CF9">
        <w:rPr>
          <w:rStyle w:val="libAlaemChar"/>
          <w:rtl/>
        </w:rPr>
        <w:t>(</w:t>
      </w:r>
      <w:r w:rsidRPr="00071CF9">
        <w:rPr>
          <w:rStyle w:val="libAieChar"/>
          <w:rtl/>
        </w:rPr>
        <w:t xml:space="preserve"> إِنَّ الَّذِينَ كَفَرُوا وَ</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sidRPr="00071CF9">
        <w:rPr>
          <w:rStyle w:val="libAlaemChar"/>
          <w:rtl/>
        </w:rPr>
        <w:t>(</w:t>
      </w:r>
      <w:r w:rsidRPr="00071CF9">
        <w:rPr>
          <w:rStyle w:val="libAieChar"/>
          <w:rtl/>
        </w:rPr>
        <w:t xml:space="preserve"> ظَلَمُوا </w:t>
      </w:r>
      <w:r w:rsidRPr="00071CF9">
        <w:rPr>
          <w:rStyle w:val="libAlaemChar"/>
          <w:rtl/>
        </w:rPr>
        <w:t>)</w:t>
      </w:r>
      <w:r w:rsidRPr="00132E65">
        <w:rPr>
          <w:rtl/>
          <w:lang w:bidi="fa-IR"/>
        </w:rPr>
        <w:t xml:space="preserve"> آلَ مُحَمَّدٍ حَقَّهُمْ</w:t>
      </w:r>
      <w:r>
        <w:rPr>
          <w:rFonts w:hint="cs"/>
          <w:rtl/>
          <w:lang w:bidi="fa-IR"/>
        </w:rPr>
        <w:t xml:space="preserve"> </w:t>
      </w:r>
      <w:r w:rsidRPr="00071CF9">
        <w:rPr>
          <w:rStyle w:val="libAlaemChar"/>
          <w:rtl/>
        </w:rPr>
        <w:t>(</w:t>
      </w:r>
      <w:r w:rsidRPr="00071CF9">
        <w:rPr>
          <w:rStyle w:val="libAieChar"/>
          <w:rtl/>
        </w:rPr>
        <w:t xml:space="preserve"> لَمْ يَكُنِ اللهُ لِيَغْفِرَ لَهُمْ وَلا لِيَهْدِيَهُمْ طَرِيقاً</w:t>
      </w:r>
      <w:r w:rsidR="000711E9">
        <w:rPr>
          <w:rStyle w:val="libAieChar"/>
          <w:rFonts w:hint="cs"/>
          <w:rtl/>
        </w:rPr>
        <w:t xml:space="preserve"> *</w:t>
      </w:r>
      <w:r w:rsidR="000711E9">
        <w:rPr>
          <w:rStyle w:val="libAieChar"/>
          <w:rtl/>
        </w:rPr>
        <w:t xml:space="preserve"> إِل</w:t>
      </w:r>
      <w:r w:rsidR="000711E9">
        <w:rPr>
          <w:rStyle w:val="libAieChar"/>
          <w:rFonts w:hint="cs"/>
          <w:rtl/>
        </w:rPr>
        <w:t>ّ</w:t>
      </w:r>
      <w:r w:rsidR="000711E9">
        <w:rPr>
          <w:rStyle w:val="libAieChar"/>
          <w:rtl/>
        </w:rPr>
        <w:t>ا</w:t>
      </w:r>
      <w:r w:rsidRPr="00071CF9">
        <w:rPr>
          <w:rStyle w:val="libAieChar"/>
          <w:rtl/>
        </w:rPr>
        <w:t xml:space="preserve"> طَرِيقَ جَهَنَّمَ خالِدِينَ فِيها أَبَداً وَكانَ ذلِكَ عَلَى اللهِ يَسِيراً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ثُمَّ قَالَ </w:t>
      </w:r>
      <w:r>
        <w:rPr>
          <w:rStyle w:val="libFootnotenumChar"/>
          <w:rtl/>
        </w:rPr>
        <w:t>(8)</w:t>
      </w:r>
      <w:r w:rsidRPr="00132E65">
        <w:rPr>
          <w:rtl/>
          <w:lang w:bidi="fa-IR"/>
        </w:rPr>
        <w:t xml:space="preserve"> : </w:t>
      </w:r>
      <w:r w:rsidRPr="00071CF9">
        <w:rPr>
          <w:rStyle w:val="libAlaemChar"/>
          <w:rtl/>
        </w:rPr>
        <w:t>(</w:t>
      </w:r>
      <w:r w:rsidRPr="00071CF9">
        <w:rPr>
          <w:rStyle w:val="libAieChar"/>
          <w:rtl/>
        </w:rPr>
        <w:t xml:space="preserve"> يا أَيُّهَا النّاسُ قَدْ جاءَكُمُ الرَّسُولُ بِالْحَقِّ مِنْ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A416A" w:rsidTr="00DA416A">
        <w:tc>
          <w:tcPr>
            <w:tcW w:w="4006" w:type="dxa"/>
          </w:tcPr>
          <w:p w:rsidR="00DA416A" w:rsidRDefault="00DA416A" w:rsidP="000C39D1">
            <w:pPr>
              <w:pStyle w:val="libFootnote0"/>
              <w:rPr>
                <w:rtl/>
              </w:rPr>
            </w:pPr>
            <w:r>
              <w:rPr>
                <w:rtl/>
              </w:rPr>
              <w:t>(1).</w:t>
            </w:r>
            <w:r w:rsidRPr="00132E65">
              <w:rPr>
                <w:rtl/>
              </w:rPr>
              <w:t xml:space="preserve"> الحاقّة (69) : 12.</w:t>
            </w:r>
          </w:p>
        </w:tc>
        <w:tc>
          <w:tcPr>
            <w:tcW w:w="4006" w:type="dxa"/>
          </w:tcPr>
          <w:p w:rsidR="00DA416A" w:rsidRDefault="00DA416A" w:rsidP="000C39D1">
            <w:pPr>
              <w:pStyle w:val="libFootnote0"/>
              <w:rPr>
                <w:rtl/>
              </w:rPr>
            </w:pPr>
            <w:r>
              <w:rPr>
                <w:rtl/>
              </w:rPr>
              <w:t>(2).</w:t>
            </w:r>
            <w:r w:rsidRPr="00132E65">
              <w:rPr>
                <w:rtl/>
              </w:rPr>
              <w:t xml:space="preserve"> في « بف » </w:t>
            </w:r>
            <w:r>
              <w:rPr>
                <w:rtl/>
              </w:rPr>
              <w:t xml:space="preserve">: - </w:t>
            </w:r>
            <w:r w:rsidRPr="00132E65">
              <w:rPr>
                <w:rtl/>
              </w:rPr>
              <w:t>« هي »</w:t>
            </w:r>
            <w:r>
              <w:rPr>
                <w:rtl/>
              </w:rPr>
              <w:t>.</w:t>
            </w:r>
          </w:p>
        </w:tc>
      </w:tr>
    </w:tbl>
    <w:p w:rsidR="000C39D1" w:rsidRPr="00132E65" w:rsidRDefault="000C39D1" w:rsidP="00621426">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517 ، ح 48 ؛ و</w:t>
      </w:r>
      <w:r w:rsidRPr="002B05FE">
        <w:rPr>
          <w:rtl/>
        </w:rPr>
        <w:t>عيون الأخبار</w:t>
      </w:r>
      <w:r w:rsidRPr="00132E65">
        <w:rPr>
          <w:rtl/>
        </w:rPr>
        <w:t xml:space="preserve"> ، ج 2 ، ص 62 ، ح 256 ؛ و</w:t>
      </w:r>
      <w:r w:rsidRPr="002B05FE">
        <w:rPr>
          <w:rtl/>
        </w:rPr>
        <w:t>تفسير فرات</w:t>
      </w:r>
      <w:r w:rsidRPr="00132E65">
        <w:rPr>
          <w:rtl/>
        </w:rPr>
        <w:t xml:space="preserve"> ، ص 499</w:t>
      </w:r>
      <w:r>
        <w:rPr>
          <w:rtl/>
        </w:rPr>
        <w:t xml:space="preserve"> - </w:t>
      </w:r>
      <w:r w:rsidRPr="00132E65">
        <w:rPr>
          <w:rtl/>
        </w:rPr>
        <w:t>501 ، ح 653</w:t>
      </w:r>
      <w:r>
        <w:rPr>
          <w:rtl/>
        </w:rPr>
        <w:t xml:space="preserve"> - </w:t>
      </w:r>
      <w:r w:rsidRPr="00132E65">
        <w:rPr>
          <w:rtl/>
        </w:rPr>
        <w:t>660 ، كلّها بسند آخر ، مع اختلاف</w:t>
      </w:r>
      <w:r w:rsidR="00621426">
        <w:rPr>
          <w:rFonts w:hint="cs"/>
          <w:rtl/>
        </w:rPr>
        <w:t>.</w:t>
      </w:r>
      <w:r w:rsidRPr="009D1ACE">
        <w:rPr>
          <w:rStyle w:val="libFootnoteBoldChar"/>
          <w:rtl/>
        </w:rPr>
        <w:t>الوافي</w:t>
      </w:r>
      <w:r w:rsidRPr="00132E65">
        <w:rPr>
          <w:rtl/>
        </w:rPr>
        <w:t xml:space="preserve"> ، ج 3 ، ص 894 ، ح 1550 ؛ </w:t>
      </w:r>
      <w:r w:rsidRPr="002B05FE">
        <w:rPr>
          <w:rtl/>
        </w:rPr>
        <w:t>البحار</w:t>
      </w:r>
      <w:r w:rsidRPr="00132E65">
        <w:rPr>
          <w:rtl/>
        </w:rPr>
        <w:t xml:space="preserve"> ، ج 35 ، ص 326 ، ح 1.</w:t>
      </w:r>
    </w:p>
    <w:p w:rsidR="000C39D1" w:rsidRPr="00132E65" w:rsidRDefault="000C39D1" w:rsidP="000C39D1">
      <w:pPr>
        <w:pStyle w:val="libFootnote0"/>
        <w:rPr>
          <w:rtl/>
          <w:lang w:bidi="fa-IR"/>
        </w:rPr>
      </w:pPr>
      <w:r>
        <w:rPr>
          <w:rtl/>
        </w:rPr>
        <w:t>(4).</w:t>
      </w:r>
      <w:r w:rsidRPr="00132E65">
        <w:rPr>
          <w:rtl/>
        </w:rPr>
        <w:t xml:space="preserve"> البقرة </w:t>
      </w:r>
      <w:r w:rsidR="00621426">
        <w:rPr>
          <w:rtl/>
        </w:rPr>
        <w:t>(2)</w:t>
      </w:r>
      <w:r w:rsidRPr="00132E65">
        <w:rPr>
          <w:rtl/>
        </w:rPr>
        <w:t xml:space="preserve"> : 59.</w:t>
      </w:r>
    </w:p>
    <w:p w:rsidR="000C39D1" w:rsidRPr="00132E65" w:rsidRDefault="000C39D1" w:rsidP="00621426">
      <w:pPr>
        <w:pStyle w:val="libFootnote0"/>
        <w:rPr>
          <w:rtl/>
          <w:lang w:bidi="fa-IR"/>
        </w:rPr>
      </w:pPr>
      <w:r>
        <w:rPr>
          <w:rtl/>
        </w:rPr>
        <w:t>(5).</w:t>
      </w:r>
      <w:r w:rsidRPr="00132E65">
        <w:rPr>
          <w:rtl/>
        </w:rPr>
        <w:t xml:space="preserve"> </w:t>
      </w:r>
      <w:r w:rsidRPr="002B05FE">
        <w:rPr>
          <w:rtl/>
        </w:rPr>
        <w:t>تفسير العيّاشي</w:t>
      </w:r>
      <w:r w:rsidRPr="00132E65">
        <w:rPr>
          <w:rtl/>
        </w:rPr>
        <w:t xml:space="preserve"> ، ج 1 ، ص 45 ، ح 49 ، عن زيد الشحّام ، عن أبي جعفر </w:t>
      </w:r>
      <w:r w:rsidRPr="00621426">
        <w:rPr>
          <w:rStyle w:val="libFootnoteAlaemChar"/>
          <w:rtl/>
        </w:rPr>
        <w:t>عليه‌السلام</w:t>
      </w:r>
      <w:r w:rsidR="00621426">
        <w:rPr>
          <w:rFonts w:hint="cs"/>
          <w:rtl/>
        </w:rPr>
        <w:t>.</w:t>
      </w:r>
      <w:r w:rsidRPr="00132E65">
        <w:rPr>
          <w:rtl/>
        </w:rPr>
        <w:t xml:space="preserve">وفي </w:t>
      </w:r>
      <w:r w:rsidRPr="002B05FE">
        <w:rPr>
          <w:rtl/>
        </w:rPr>
        <w:t>تفسير القمّي</w:t>
      </w:r>
      <w:r w:rsidRPr="00132E65">
        <w:rPr>
          <w:rtl/>
        </w:rPr>
        <w:t xml:space="preserve"> ، ج 1 ، ص 46 ، من دون الإسناد إلى المعصوم </w:t>
      </w:r>
      <w:r w:rsidRPr="00621426">
        <w:rPr>
          <w:rStyle w:val="libFootnoteAlaemChar"/>
          <w:rtl/>
        </w:rPr>
        <w:t>عليه‌السلام</w:t>
      </w:r>
      <w:r w:rsidRPr="00132E65">
        <w:rPr>
          <w:rtl/>
        </w:rPr>
        <w:t xml:space="preserve"> ، مع اختلاف يسير</w:t>
      </w:r>
      <w:r w:rsidR="00621426">
        <w:rPr>
          <w:rFonts w:hint="cs"/>
          <w:rtl/>
        </w:rPr>
        <w:t>.</w:t>
      </w:r>
      <w:r w:rsidRPr="009D1ACE">
        <w:rPr>
          <w:rStyle w:val="libFootnoteBoldChar"/>
          <w:rtl/>
        </w:rPr>
        <w:t>الوافي</w:t>
      </w:r>
      <w:r w:rsidRPr="00132E65">
        <w:rPr>
          <w:rtl/>
        </w:rPr>
        <w:t xml:space="preserve"> ، ج 3 ، ص 927 ، ح 1609 ؛ </w:t>
      </w:r>
      <w:r w:rsidRPr="002B05FE">
        <w:rPr>
          <w:rtl/>
        </w:rPr>
        <w:t>البحار</w:t>
      </w:r>
      <w:r w:rsidRPr="00132E65">
        <w:rPr>
          <w:rtl/>
        </w:rPr>
        <w:t xml:space="preserve"> ، ج 24 ، ص 224 ، ح 15.</w:t>
      </w:r>
    </w:p>
    <w:p w:rsidR="000C39D1" w:rsidRPr="00132E65" w:rsidRDefault="000C39D1" w:rsidP="00621426">
      <w:pPr>
        <w:pStyle w:val="libFootnote0"/>
        <w:rPr>
          <w:rtl/>
          <w:lang w:bidi="fa-IR"/>
        </w:rPr>
      </w:pPr>
      <w:r>
        <w:rPr>
          <w:rtl/>
        </w:rPr>
        <w:t>(6).</w:t>
      </w:r>
      <w:r w:rsidRPr="00132E65">
        <w:rPr>
          <w:rtl/>
        </w:rPr>
        <w:t xml:space="preserve"> هكذا في القرآن </w:t>
      </w:r>
      <w:r>
        <w:rPr>
          <w:rtl/>
        </w:rPr>
        <w:t>و «</w:t>
      </w:r>
      <w:r w:rsidRPr="00132E65">
        <w:rPr>
          <w:rtl/>
        </w:rPr>
        <w:t xml:space="preserve"> بس » وتفسير العيّاشي وتفسير القمّي. وفي أكثر النسخ والمطبوع </w:t>
      </w:r>
      <w:r>
        <w:rPr>
          <w:rtl/>
        </w:rPr>
        <w:t xml:space="preserve">: - </w:t>
      </w:r>
      <w:r w:rsidR="00621426" w:rsidRPr="00621426">
        <w:rPr>
          <w:rStyle w:val="libFootnoteAlaemChar"/>
          <w:rFonts w:hint="cs"/>
          <w:rtl/>
        </w:rPr>
        <w:t>(</w:t>
      </w:r>
      <w:r w:rsidRPr="00621426">
        <w:rPr>
          <w:rStyle w:val="libFootnoteAieChar"/>
          <w:rtl/>
        </w:rPr>
        <w:t xml:space="preserve"> كَفَرُوا و </w:t>
      </w:r>
      <w:r w:rsidR="00621426" w:rsidRPr="00621426">
        <w:rPr>
          <w:rStyle w:val="libFootnoteAlaemChar"/>
          <w:rFonts w:hint="cs"/>
          <w:rtl/>
        </w:rPr>
        <w:t>)</w:t>
      </w:r>
      <w:r>
        <w:rPr>
          <w:rtl/>
        </w:rPr>
        <w:t>.</w:t>
      </w:r>
      <w:r w:rsidRPr="00132E65">
        <w:rPr>
          <w:rtl/>
        </w:rPr>
        <w:t xml:space="preserve"> ولعلّ‌تركه للدلالة على أنّ العطف للتفسير ، مع احتمال عدم نزوله ، أو تركه من النسّاخ أو الرواة. راجع : </w:t>
      </w:r>
      <w:r w:rsidRPr="002B05FE">
        <w:rPr>
          <w:rtl/>
        </w:rPr>
        <w:t>شرح المازندراني</w:t>
      </w:r>
      <w:r w:rsidRPr="00132E65">
        <w:rPr>
          <w:rtl/>
        </w:rPr>
        <w:t xml:space="preserve"> ، ج 6 ، ص 83 ؛ </w:t>
      </w:r>
      <w:r w:rsidRPr="009D1ACE">
        <w:rPr>
          <w:rStyle w:val="libFootnoteBoldChar"/>
          <w:rtl/>
        </w:rPr>
        <w:t>مرآة العقول</w:t>
      </w:r>
      <w:r w:rsidRPr="00132E65">
        <w:rPr>
          <w:rtl/>
        </w:rPr>
        <w:t xml:space="preserve"> ، ج 5 ، ص 78.</w:t>
      </w:r>
    </w:p>
    <w:tbl>
      <w:tblPr>
        <w:tblStyle w:val="TableGrid"/>
        <w:bidiVisual/>
        <w:tblW w:w="0" w:type="auto"/>
        <w:tblLook w:val="04A0" w:firstRow="1" w:lastRow="0" w:firstColumn="1" w:lastColumn="0" w:noHBand="0" w:noVBand="1"/>
      </w:tblPr>
      <w:tblGrid>
        <w:gridCol w:w="4006"/>
        <w:gridCol w:w="4006"/>
      </w:tblGrid>
      <w:tr w:rsidR="006D08E8" w:rsidTr="006D08E8">
        <w:tc>
          <w:tcPr>
            <w:tcW w:w="4006" w:type="dxa"/>
          </w:tcPr>
          <w:p w:rsidR="006D08E8" w:rsidRDefault="006D08E8" w:rsidP="000C39D1">
            <w:pPr>
              <w:pStyle w:val="libFootnote0"/>
              <w:rPr>
                <w:rtl/>
              </w:rPr>
            </w:pPr>
            <w:r>
              <w:rPr>
                <w:rtl/>
              </w:rPr>
              <w:t>(7).</w:t>
            </w:r>
            <w:r w:rsidRPr="00132E65">
              <w:rPr>
                <w:rtl/>
              </w:rPr>
              <w:t xml:space="preserve"> النساء </w:t>
            </w:r>
            <w:r>
              <w:rPr>
                <w:rtl/>
              </w:rPr>
              <w:t>(4)</w:t>
            </w:r>
            <w:r w:rsidRPr="00132E65">
              <w:rPr>
                <w:rtl/>
              </w:rPr>
              <w:t xml:space="preserve"> : 168</w:t>
            </w:r>
            <w:r>
              <w:rPr>
                <w:rtl/>
              </w:rPr>
              <w:t xml:space="preserve"> - </w:t>
            </w:r>
            <w:r w:rsidRPr="00132E65">
              <w:rPr>
                <w:rtl/>
              </w:rPr>
              <w:t>169.</w:t>
            </w:r>
          </w:p>
        </w:tc>
        <w:tc>
          <w:tcPr>
            <w:tcW w:w="4006" w:type="dxa"/>
          </w:tcPr>
          <w:p w:rsidR="006D08E8" w:rsidRDefault="006D08E8" w:rsidP="000C39D1">
            <w:pPr>
              <w:pStyle w:val="libFootnote0"/>
              <w:rPr>
                <w:rtl/>
              </w:rPr>
            </w:pPr>
            <w:r>
              <w:rPr>
                <w:rtl/>
              </w:rPr>
              <w:t>(8).</w:t>
            </w:r>
            <w:r w:rsidRPr="00132E65">
              <w:rPr>
                <w:rtl/>
              </w:rPr>
              <w:t xml:space="preserve"> في « ب » </w:t>
            </w:r>
            <w:r>
              <w:rPr>
                <w:rtl/>
              </w:rPr>
              <w:t xml:space="preserve">: - </w:t>
            </w:r>
            <w:r w:rsidRPr="00132E65">
              <w:rPr>
                <w:rtl/>
              </w:rPr>
              <w:t>« ثمّ قال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رَبِّكُمْ </w:t>
      </w:r>
      <w:r w:rsidRPr="00071CF9">
        <w:rPr>
          <w:rStyle w:val="libAlaemChar"/>
          <w:rtl/>
        </w:rPr>
        <w:t>)</w:t>
      </w:r>
      <w:r w:rsidRPr="00132E65">
        <w:rPr>
          <w:rtl/>
          <w:lang w:bidi="fa-IR"/>
        </w:rPr>
        <w:t xml:space="preserve"> فِي ولَايَةِ عَلِيٍّ</w:t>
      </w:r>
      <w:r w:rsidRPr="00F522B2">
        <w:rPr>
          <w:rFonts w:hint="cs"/>
          <w:rtl/>
        </w:rPr>
        <w:t xml:space="preserve"> </w:t>
      </w:r>
      <w:r w:rsidRPr="00071CF9">
        <w:rPr>
          <w:rStyle w:val="libAlaemChar"/>
          <w:rtl/>
        </w:rPr>
        <w:t>(</w:t>
      </w:r>
      <w:r w:rsidRPr="00071CF9">
        <w:rPr>
          <w:rStyle w:val="libAieChar"/>
          <w:rtl/>
        </w:rPr>
        <w:t xml:space="preserve"> فَآمِنُوا خَيْراً لَكُمْ وَإِنْ تَكْفُرُوا </w:t>
      </w:r>
      <w:r w:rsidRPr="00071CF9">
        <w:rPr>
          <w:rStyle w:val="libAlaemChar"/>
          <w:rtl/>
        </w:rPr>
        <w:t>)</w:t>
      </w:r>
      <w:r w:rsidRPr="00132E65">
        <w:rPr>
          <w:rtl/>
          <w:lang w:bidi="fa-IR"/>
        </w:rPr>
        <w:t xml:space="preserve"> بِوَلَايَةِ عَلِيٍّ</w:t>
      </w:r>
      <w:r>
        <w:rPr>
          <w:rFonts w:hint="cs"/>
          <w:rtl/>
          <w:lang w:bidi="fa-IR"/>
        </w:rPr>
        <w:t xml:space="preserve"> </w:t>
      </w:r>
      <w:r w:rsidRPr="00071CF9">
        <w:rPr>
          <w:rStyle w:val="libAlaemChar"/>
          <w:rtl/>
        </w:rPr>
        <w:t>(</w:t>
      </w:r>
      <w:r w:rsidRPr="00071CF9">
        <w:rPr>
          <w:rStyle w:val="libAieChar"/>
          <w:rtl/>
        </w:rPr>
        <w:t xml:space="preserve"> فَإِنَّ لِلّهِ ما فِي السَّماواتِ وَالْأَرْضِ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2B05FE">
        <w:rPr>
          <w:rtl/>
        </w:rPr>
        <w:t>1147</w:t>
      </w:r>
      <w:r w:rsidRPr="004325D8">
        <w:rPr>
          <w:rStyle w:val="libBold2Char"/>
          <w:rtl/>
        </w:rPr>
        <w:t xml:space="preserve"> / 60.</w:t>
      </w:r>
      <w:r w:rsidRPr="00132E65">
        <w:rPr>
          <w:rtl/>
          <w:lang w:bidi="fa-IR"/>
        </w:rPr>
        <w:t xml:space="preserve"> أَحْمَدُ بْنُ مِهْرَانَ رَحِمَهُ اللهُ ، عَنْ عَبْدِ الْعَظِيمِ ، عَنْ بَكَّارٍ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هكَذَا نَزَلَتْ هذِهِ الْآيَةُ : </w:t>
      </w:r>
      <w:r w:rsidRPr="00071CF9">
        <w:rPr>
          <w:rStyle w:val="libAlaemChar"/>
          <w:rtl/>
        </w:rPr>
        <w:t>(</w:t>
      </w:r>
      <w:r w:rsidRPr="00071CF9">
        <w:rPr>
          <w:rStyle w:val="libAieChar"/>
          <w:rtl/>
        </w:rPr>
        <w:t xml:space="preserve"> وَلَوْ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sidRPr="00071CF9">
        <w:rPr>
          <w:rStyle w:val="libAlaemChar"/>
          <w:rtl/>
        </w:rPr>
        <w:t>(</w:t>
      </w:r>
      <w:r w:rsidRPr="00071CF9">
        <w:rPr>
          <w:rStyle w:val="libAieChar"/>
          <w:rtl/>
        </w:rPr>
        <w:t xml:space="preserve"> أَنَّهُمْ فَعَلُوا ما يُوعَظُونَ بِهِ</w:t>
      </w:r>
      <w:r w:rsidRPr="00071CF9">
        <w:rPr>
          <w:rStyle w:val="libAlaemChar"/>
          <w:rtl/>
        </w:rPr>
        <w:t>)</w:t>
      </w:r>
      <w:r w:rsidRPr="00132E65">
        <w:rPr>
          <w:rtl/>
          <w:lang w:bidi="fa-IR"/>
        </w:rPr>
        <w:t xml:space="preserve"> فِي عَلِيٍّ</w:t>
      </w:r>
      <w:r>
        <w:rPr>
          <w:rFonts w:hint="cs"/>
          <w:rtl/>
          <w:lang w:bidi="fa-IR"/>
        </w:rPr>
        <w:t xml:space="preserve"> </w:t>
      </w:r>
      <w:r w:rsidRPr="00071CF9">
        <w:rPr>
          <w:rStyle w:val="libAlaemChar"/>
          <w:rtl/>
        </w:rPr>
        <w:t>(</w:t>
      </w:r>
      <w:r w:rsidRPr="00071CF9">
        <w:rPr>
          <w:rStyle w:val="libAieChar"/>
          <w:rtl/>
        </w:rPr>
        <w:t xml:space="preserve"> لَكانَ خَيْراً لَهُمْ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2B05FE">
        <w:rPr>
          <w:rtl/>
        </w:rPr>
        <w:t>1148</w:t>
      </w:r>
      <w:r w:rsidRPr="004325D8">
        <w:rPr>
          <w:rStyle w:val="libBold2Char"/>
          <w:rtl/>
        </w:rPr>
        <w:t xml:space="preserve"> / 61.</w:t>
      </w:r>
      <w:r w:rsidRPr="00132E65">
        <w:rPr>
          <w:rtl/>
          <w:lang w:bidi="fa-IR"/>
        </w:rPr>
        <w:t xml:space="preserve"> أَحْمَدُ ، عَنْ عَبْدِ الْعَظِيمِ ، عَنِ ابْنِ أُذَيْنَةَ ، عَنْ مَالِكٍ الْجُهَنِيِّ ، قَالَ :</w:t>
      </w:r>
    </w:p>
    <w:p w:rsidR="000C39D1" w:rsidRPr="00132E65" w:rsidRDefault="000C39D1" w:rsidP="00787679">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w:t>
      </w:r>
      <w:r>
        <w:rPr>
          <w:rStyle w:val="libFootnotenumChar"/>
          <w:rtl/>
        </w:rPr>
        <w:t>(6)</w:t>
      </w:r>
      <w:r w:rsidRPr="00132E65">
        <w:rPr>
          <w:rtl/>
          <w:lang w:bidi="fa-IR"/>
        </w:rPr>
        <w:t xml:space="preserve"> : </w:t>
      </w:r>
      <w:r w:rsidRPr="00071CF9">
        <w:rPr>
          <w:rStyle w:val="libAlaemChar"/>
          <w:rtl/>
        </w:rPr>
        <w:t>(</w:t>
      </w:r>
      <w:r w:rsidRPr="00071CF9">
        <w:rPr>
          <w:rStyle w:val="libAieChar"/>
          <w:rtl/>
        </w:rPr>
        <w:t xml:space="preserve"> وَأُوحِيَ إِلَيَّ هذَا الْقُرْآنُ لِأُنْذِرَكُمْ بِهِ وَمَنْ بَلَغَ </w:t>
      </w:r>
      <w:r w:rsidRPr="00071CF9">
        <w:rPr>
          <w:rStyle w:val="libAlaemChar"/>
          <w:rtl/>
        </w:rPr>
        <w:t>)</w:t>
      </w:r>
      <w:r w:rsidRPr="00132E65">
        <w:rPr>
          <w:rtl/>
          <w:lang w:bidi="fa-IR"/>
        </w:rPr>
        <w:t xml:space="preserve"> </w:t>
      </w:r>
      <w:r>
        <w:rPr>
          <w:rStyle w:val="libFootnotenumChar"/>
          <w:rtl/>
        </w:rPr>
        <w:t>(7)</w:t>
      </w:r>
      <w:r>
        <w:rPr>
          <w:rtl/>
          <w:lang w:bidi="fa-IR"/>
        </w:rPr>
        <w:t>؟</w:t>
      </w:r>
      <w:r w:rsidRPr="00132E65">
        <w:rPr>
          <w:rtl/>
          <w:lang w:bidi="fa-IR"/>
        </w:rPr>
        <w:t xml:space="preserve"> قَالَ : « مَنْ </w:t>
      </w:r>
      <w:r>
        <w:rPr>
          <w:rStyle w:val="libFootnotenumChar"/>
          <w:rtl/>
        </w:rPr>
        <w:t>(8)</w:t>
      </w:r>
      <w:r w:rsidRPr="00132E65">
        <w:rPr>
          <w:rtl/>
          <w:lang w:bidi="fa-IR"/>
        </w:rPr>
        <w:t xml:space="preserve"> بَلَغَ أَنْ يَكُونَ إِمَاماً مِنْ آلِ مُحَمَّدٍ </w:t>
      </w:r>
      <w:r>
        <w:rPr>
          <w:rStyle w:val="libFootnotenumChar"/>
          <w:rtl/>
        </w:rPr>
        <w:t>(9)</w:t>
      </w:r>
      <w:r w:rsidRPr="00132E65">
        <w:rPr>
          <w:rtl/>
          <w:lang w:bidi="fa-IR"/>
        </w:rPr>
        <w:t xml:space="preserve"> يُنْذِرُ بِالْقُرْآنِ ، كَمَا يُنْذِرُ </w:t>
      </w:r>
      <w:r>
        <w:rPr>
          <w:rStyle w:val="libFootnotenumChar"/>
          <w:rtl/>
        </w:rPr>
        <w:t>(10)</w:t>
      </w:r>
      <w:r w:rsidRPr="00132E65">
        <w:rPr>
          <w:rtl/>
          <w:lang w:bidi="fa-IR"/>
        </w:rPr>
        <w:t xml:space="preserve"> بِهِ رَسُولُ اللهِ </w:t>
      </w:r>
      <w:r w:rsidR="00787679" w:rsidRPr="0093484F">
        <w:rPr>
          <w:rStyle w:val="libAlaemChar"/>
          <w:rFonts w:eastAsiaTheme="minorHAnsi"/>
          <w:rtl/>
        </w:rPr>
        <w:t>صلى‌الله‌عليه‌وآله</w:t>
      </w:r>
      <w:r w:rsidR="00787679" w:rsidRPr="00132E65">
        <w:rPr>
          <w:rtl/>
          <w:lang w:bidi="fa-IR"/>
        </w:rPr>
        <w:t xml:space="preserve"> </w:t>
      </w:r>
      <w:r w:rsidRPr="00132E65">
        <w:rPr>
          <w:rtl/>
          <w:lang w:bidi="fa-IR"/>
        </w:rPr>
        <w:t>»</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سورة النساء </w:t>
      </w:r>
      <w:r w:rsidR="00F53373">
        <w:rPr>
          <w:rtl/>
        </w:rPr>
        <w:t>(4)</w:t>
      </w:r>
      <w:r w:rsidRPr="00132E65">
        <w:rPr>
          <w:rtl/>
        </w:rPr>
        <w:t xml:space="preserve"> : 170 </w:t>
      </w:r>
      <w:r>
        <w:rPr>
          <w:rtl/>
        </w:rPr>
        <w:t>و «</w:t>
      </w:r>
      <w:r w:rsidRPr="00132E65">
        <w:rPr>
          <w:rtl/>
        </w:rPr>
        <w:t xml:space="preserve"> ظ ، جه » والبحار. وفي الآية 131 من سورة النساء وسائر النسخ والمطبوع : « وما في الأرض »</w:t>
      </w:r>
      <w:r>
        <w:rPr>
          <w:rtl/>
        </w:rPr>
        <w:t>.</w:t>
      </w:r>
    </w:p>
    <w:p w:rsidR="000C39D1" w:rsidRPr="00132E65" w:rsidRDefault="000C39D1" w:rsidP="00F53373">
      <w:pPr>
        <w:pStyle w:val="libFootnote0"/>
        <w:rPr>
          <w:rtl/>
          <w:lang w:bidi="fa-IR"/>
        </w:rPr>
      </w:pPr>
      <w:r>
        <w:rPr>
          <w:rtl/>
        </w:rPr>
        <w:t>(2).</w:t>
      </w:r>
      <w:r w:rsidRPr="00132E65">
        <w:rPr>
          <w:rtl/>
        </w:rPr>
        <w:t xml:space="preserve"> </w:t>
      </w:r>
      <w:r w:rsidRPr="002B05FE">
        <w:rPr>
          <w:rtl/>
        </w:rPr>
        <w:t>تفسير العيّاشي</w:t>
      </w:r>
      <w:r w:rsidRPr="00132E65">
        <w:rPr>
          <w:rtl/>
        </w:rPr>
        <w:t xml:space="preserve"> ، ج 1 ، ص 285 ، ح 307 ، عن أبي حمزة الثمالي. </w:t>
      </w:r>
      <w:r w:rsidRPr="002B05FE">
        <w:rPr>
          <w:rtl/>
        </w:rPr>
        <w:t>تفسير القمّي</w:t>
      </w:r>
      <w:r w:rsidRPr="00132E65">
        <w:rPr>
          <w:rtl/>
        </w:rPr>
        <w:t xml:space="preserve"> ، ج 1 ، ص 159 ، بسند آخر عن أبي عبد الله </w:t>
      </w:r>
      <w:r w:rsidRPr="00F53373">
        <w:rPr>
          <w:rStyle w:val="libFootnoteAlaemChar"/>
          <w:rtl/>
        </w:rPr>
        <w:t>عليه‌السلام</w:t>
      </w:r>
      <w:r w:rsidRPr="00132E65">
        <w:rPr>
          <w:rtl/>
        </w:rPr>
        <w:t xml:space="preserve"> ، إلى قوله : </w:t>
      </w:r>
      <w:r w:rsidRPr="00071CF9">
        <w:rPr>
          <w:rStyle w:val="libAlaemChar"/>
          <w:rtl/>
        </w:rPr>
        <w:t>(</w:t>
      </w:r>
      <w:r>
        <w:rPr>
          <w:rFonts w:hint="cs"/>
          <w:rtl/>
        </w:rPr>
        <w:t xml:space="preserve"> </w:t>
      </w:r>
      <w:r w:rsidRPr="00C2691A">
        <w:rPr>
          <w:rStyle w:val="libFootnoteAieChar"/>
          <w:rtl/>
        </w:rPr>
        <w:t>وَكانَ ذلِكَ عَلَى اللهِ يَسِيراً</w:t>
      </w:r>
      <w:r>
        <w:rPr>
          <w:rFonts w:hint="cs"/>
          <w:rtl/>
        </w:rPr>
        <w:t xml:space="preserve"> </w:t>
      </w:r>
      <w:r w:rsidRPr="00071CF9">
        <w:rPr>
          <w:rStyle w:val="libAlaemChar"/>
          <w:rtl/>
        </w:rPr>
        <w:t>)</w:t>
      </w:r>
      <w:r w:rsidRPr="00132E65">
        <w:rPr>
          <w:rtl/>
        </w:rPr>
        <w:t xml:space="preserve">. وراجع : </w:t>
      </w:r>
      <w:r w:rsidRPr="002B05FE">
        <w:rPr>
          <w:rtl/>
        </w:rPr>
        <w:t>تفسير القمّي</w:t>
      </w:r>
      <w:r w:rsidRPr="00132E65">
        <w:rPr>
          <w:rtl/>
        </w:rPr>
        <w:t xml:space="preserve"> ، ج 2 ، ص 92</w:t>
      </w:r>
      <w:r w:rsidR="00F53373">
        <w:rPr>
          <w:rFonts w:hint="cs"/>
          <w:rtl/>
        </w:rPr>
        <w:t>.</w:t>
      </w:r>
      <w:r w:rsidRPr="009D1ACE">
        <w:rPr>
          <w:rStyle w:val="libFootnoteBoldChar"/>
          <w:rtl/>
        </w:rPr>
        <w:t>الوافي</w:t>
      </w:r>
      <w:r w:rsidRPr="00132E65">
        <w:rPr>
          <w:rtl/>
        </w:rPr>
        <w:t xml:space="preserve"> ، ج 3 ، ص 926 ، ح 1608 ؛ </w:t>
      </w:r>
      <w:r w:rsidRPr="002B05FE">
        <w:rPr>
          <w:rtl/>
        </w:rPr>
        <w:t>البحار</w:t>
      </w:r>
      <w:r w:rsidRPr="00132E65">
        <w:rPr>
          <w:rtl/>
        </w:rPr>
        <w:t xml:space="preserve"> ، ج 24 ، ص 224 ، ح 15.</w:t>
      </w:r>
    </w:p>
    <w:tbl>
      <w:tblPr>
        <w:tblStyle w:val="TableGrid"/>
        <w:bidiVisual/>
        <w:tblW w:w="0" w:type="auto"/>
        <w:tblLook w:val="04A0" w:firstRow="1" w:lastRow="0" w:firstColumn="1" w:lastColumn="0" w:noHBand="0" w:noVBand="1"/>
      </w:tblPr>
      <w:tblGrid>
        <w:gridCol w:w="4006"/>
        <w:gridCol w:w="4006"/>
      </w:tblGrid>
      <w:tr w:rsidR="00BB3B76" w:rsidTr="00BB3B76">
        <w:tc>
          <w:tcPr>
            <w:tcW w:w="4006" w:type="dxa"/>
          </w:tcPr>
          <w:p w:rsidR="00BB3B76" w:rsidRDefault="00BB3B76" w:rsidP="000C39D1">
            <w:pPr>
              <w:pStyle w:val="libFootnote0"/>
              <w:rPr>
                <w:rtl/>
              </w:rPr>
            </w:pPr>
            <w:r>
              <w:rPr>
                <w:rtl/>
              </w:rPr>
              <w:t>(3).</w:t>
            </w:r>
            <w:r w:rsidRPr="00132E65">
              <w:rPr>
                <w:rtl/>
              </w:rPr>
              <w:t xml:space="preserve"> في « ف » : « فلو »</w:t>
            </w:r>
            <w:r>
              <w:rPr>
                <w:rtl/>
              </w:rPr>
              <w:t>.</w:t>
            </w:r>
          </w:p>
        </w:tc>
        <w:tc>
          <w:tcPr>
            <w:tcW w:w="4006" w:type="dxa"/>
          </w:tcPr>
          <w:p w:rsidR="00BB3B76" w:rsidRDefault="00BB3B76" w:rsidP="000C39D1">
            <w:pPr>
              <w:pStyle w:val="libFootnote0"/>
              <w:rPr>
                <w:rtl/>
              </w:rPr>
            </w:pPr>
            <w:r>
              <w:rPr>
                <w:rtl/>
              </w:rPr>
              <w:t>(4).</w:t>
            </w:r>
            <w:r w:rsidRPr="00132E65">
              <w:rPr>
                <w:rtl/>
              </w:rPr>
              <w:t xml:space="preserve"> النساء </w:t>
            </w:r>
            <w:r>
              <w:rPr>
                <w:rtl/>
              </w:rPr>
              <w:t>(4)</w:t>
            </w:r>
            <w:r w:rsidRPr="00132E65">
              <w:rPr>
                <w:rtl/>
              </w:rPr>
              <w:t xml:space="preserve"> : 66.</w:t>
            </w:r>
          </w:p>
        </w:tc>
      </w:tr>
    </w:tbl>
    <w:p w:rsidR="000C39D1" w:rsidRPr="00132E65" w:rsidRDefault="000C39D1" w:rsidP="00E81E82">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1115 ، بسند آخر ، عن بكّار ، عن أبيه ، عن جابر. وفي </w:t>
      </w:r>
      <w:r w:rsidRPr="002B05FE">
        <w:rPr>
          <w:rtl/>
        </w:rPr>
        <w:t>تفسير العيّاشي</w:t>
      </w:r>
      <w:r w:rsidRPr="00132E65">
        <w:rPr>
          <w:rtl/>
        </w:rPr>
        <w:t xml:space="preserve"> ، ج 1 ، ص 256 ، ح 188 ، عن أبي بصير ، عن أبي عبد الله </w:t>
      </w:r>
      <w:r w:rsidRPr="00F53373">
        <w:rPr>
          <w:rStyle w:val="libFootnoteAlaemChar"/>
          <w:rtl/>
        </w:rPr>
        <w:t>عليه‌السلام</w:t>
      </w:r>
      <w:r w:rsidRPr="00132E65">
        <w:rPr>
          <w:rtl/>
        </w:rPr>
        <w:t xml:space="preserve"> ، مع زيادة في أوّله واختلاف يسير</w:t>
      </w:r>
      <w:r w:rsidR="00E81E82">
        <w:rPr>
          <w:rFonts w:hint="cs"/>
          <w:rtl/>
        </w:rPr>
        <w:t>.</w:t>
      </w:r>
      <w:r w:rsidRPr="009D1ACE">
        <w:rPr>
          <w:rStyle w:val="libFootnoteBoldChar"/>
          <w:rtl/>
        </w:rPr>
        <w:t>الوافي</w:t>
      </w:r>
      <w:r w:rsidRPr="00132E65">
        <w:rPr>
          <w:rtl/>
        </w:rPr>
        <w:t xml:space="preserve"> ، ج 3 ، ص 921 ، ح 1593.</w:t>
      </w:r>
    </w:p>
    <w:p w:rsidR="000C39D1" w:rsidRPr="00132E65" w:rsidRDefault="000C39D1" w:rsidP="000C39D1">
      <w:pPr>
        <w:pStyle w:val="libFootnote0"/>
        <w:rPr>
          <w:rtl/>
          <w:lang w:bidi="fa-IR"/>
        </w:rPr>
      </w:pPr>
      <w:r>
        <w:rPr>
          <w:rtl/>
        </w:rPr>
        <w:t>(6).</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قوله تعالى »</w:t>
      </w:r>
      <w:r>
        <w:rPr>
          <w:rtl/>
        </w:rPr>
        <w:t>.</w:t>
      </w:r>
      <w:r w:rsidRPr="00132E65">
        <w:rPr>
          <w:rtl/>
        </w:rPr>
        <w:t xml:space="preserve"> وفي </w:t>
      </w:r>
      <w:r w:rsidRPr="000577A7">
        <w:rPr>
          <w:rStyle w:val="libFootnoteBoldChar"/>
          <w:rtl/>
        </w:rPr>
        <w:t>الكافي</w:t>
      </w:r>
      <w:r w:rsidRPr="00132E65">
        <w:rPr>
          <w:rtl/>
        </w:rPr>
        <w:t xml:space="preserve"> ، ح 1108 :</w:t>
      </w:r>
      <w:r>
        <w:rPr>
          <w:rtl/>
        </w:rPr>
        <w:t xml:space="preserve"> + </w:t>
      </w:r>
      <w:r w:rsidRPr="00132E65">
        <w:rPr>
          <w:rtl/>
        </w:rPr>
        <w:t>« قوله عزّ وجلّ »</w:t>
      </w:r>
      <w:r>
        <w:rPr>
          <w:rtl/>
        </w:rPr>
        <w:t>.</w:t>
      </w:r>
    </w:p>
    <w:tbl>
      <w:tblPr>
        <w:tblStyle w:val="TableGrid"/>
        <w:bidiVisual/>
        <w:tblW w:w="0" w:type="auto"/>
        <w:tblLook w:val="04A0" w:firstRow="1" w:lastRow="0" w:firstColumn="1" w:lastColumn="0" w:noHBand="0" w:noVBand="1"/>
      </w:tblPr>
      <w:tblGrid>
        <w:gridCol w:w="4006"/>
        <w:gridCol w:w="4006"/>
      </w:tblGrid>
      <w:tr w:rsidR="00E81E82" w:rsidTr="00E81E82">
        <w:tc>
          <w:tcPr>
            <w:tcW w:w="4006" w:type="dxa"/>
          </w:tcPr>
          <w:p w:rsidR="00E81E82" w:rsidRDefault="00E81E82" w:rsidP="000C39D1">
            <w:pPr>
              <w:pStyle w:val="libFootnote0"/>
              <w:rPr>
                <w:rtl/>
              </w:rPr>
            </w:pPr>
            <w:r>
              <w:rPr>
                <w:rtl/>
              </w:rPr>
              <w:t>(7).</w:t>
            </w:r>
            <w:r w:rsidRPr="00132E65">
              <w:rPr>
                <w:rtl/>
              </w:rPr>
              <w:t xml:space="preserve"> الأنعام </w:t>
            </w:r>
            <w:r>
              <w:rPr>
                <w:rtl/>
              </w:rPr>
              <w:t>(6)</w:t>
            </w:r>
            <w:r w:rsidRPr="00132E65">
              <w:rPr>
                <w:rtl/>
              </w:rPr>
              <w:t xml:space="preserve"> : 19.</w:t>
            </w:r>
          </w:p>
        </w:tc>
        <w:tc>
          <w:tcPr>
            <w:tcW w:w="4006" w:type="dxa"/>
          </w:tcPr>
          <w:p w:rsidR="00E81E82" w:rsidRDefault="00E81E82" w:rsidP="000C39D1">
            <w:pPr>
              <w:pStyle w:val="libFootnote0"/>
              <w:rPr>
                <w:rtl/>
              </w:rPr>
            </w:pPr>
            <w:r>
              <w:rPr>
                <w:rtl/>
              </w:rPr>
              <w:t>(8).</w:t>
            </w:r>
            <w:r w:rsidRPr="00132E65">
              <w:rPr>
                <w:rtl/>
              </w:rPr>
              <w:t xml:space="preserve"> في « بس » : « ومن »</w:t>
            </w:r>
            <w:r>
              <w:rPr>
                <w:rtl/>
              </w:rPr>
              <w:t>.</w:t>
            </w:r>
          </w:p>
        </w:tc>
      </w:tr>
    </w:tbl>
    <w:p w:rsidR="000C39D1" w:rsidRPr="00132E65" w:rsidRDefault="000C39D1" w:rsidP="000C39D1">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1108 و</w:t>
      </w:r>
      <w:r w:rsidRPr="009D1ACE">
        <w:rPr>
          <w:rStyle w:val="libFootnoteBoldChar"/>
          <w:rtl/>
        </w:rPr>
        <w:t>الوافي</w:t>
      </w:r>
      <w:r w:rsidRPr="00132E65">
        <w:rPr>
          <w:rtl/>
        </w:rPr>
        <w:t xml:space="preserve"> :</w:t>
      </w:r>
      <w:r>
        <w:rPr>
          <w:rtl/>
        </w:rPr>
        <w:t xml:space="preserve"> + </w:t>
      </w:r>
      <w:r w:rsidRPr="00132E65">
        <w:rPr>
          <w:rtl/>
        </w:rPr>
        <w:t>« فهو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0577A7">
        <w:rPr>
          <w:rStyle w:val="libFootnoteBoldChar"/>
          <w:rtl/>
        </w:rPr>
        <w:t>الكافي</w:t>
      </w:r>
      <w:r w:rsidRPr="00132E65">
        <w:rPr>
          <w:rtl/>
        </w:rPr>
        <w:t xml:space="preserve"> ، ح 1108 و</w:t>
      </w:r>
      <w:r w:rsidRPr="009D1ACE">
        <w:rPr>
          <w:rStyle w:val="libFootnoteBoldChar"/>
          <w:rtl/>
        </w:rPr>
        <w:t>الوافي</w:t>
      </w:r>
      <w:r w:rsidRPr="00132E65">
        <w:rPr>
          <w:rtl/>
        </w:rPr>
        <w:t xml:space="preserve"> والبصائر وتفسير العيّاشي ، ص 356 : « أنذر »</w:t>
      </w:r>
      <w:r>
        <w:rPr>
          <w:rtl/>
        </w:rPr>
        <w:t>.</w:t>
      </w:r>
    </w:p>
    <w:p w:rsidR="000C39D1" w:rsidRPr="00132E65" w:rsidRDefault="000C39D1" w:rsidP="003117F2">
      <w:pPr>
        <w:pStyle w:val="libFootnote0"/>
        <w:rPr>
          <w:rtl/>
          <w:lang w:bidi="fa-IR"/>
        </w:rPr>
      </w:pPr>
      <w:r>
        <w:rPr>
          <w:rtl/>
        </w:rPr>
        <w:t>(11).</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1108 ، بسند آخر عن ابن اذينة ؛ </w:t>
      </w:r>
      <w:r w:rsidRPr="007A1104">
        <w:rPr>
          <w:rStyle w:val="libFootnoteBoldChar"/>
          <w:rtl/>
        </w:rPr>
        <w:t>بصائر الدرجات</w:t>
      </w:r>
      <w:r w:rsidRPr="00132E65">
        <w:rPr>
          <w:rtl/>
        </w:rPr>
        <w:t xml:space="preserve"> ، ص 511 ، ح 18 ، بسنده عن مالك الجهني ، عن أبي جعفر </w:t>
      </w:r>
      <w:r w:rsidRPr="00E81E82">
        <w:rPr>
          <w:rStyle w:val="libFootnoteAlaemChar"/>
          <w:rtl/>
        </w:rPr>
        <w:t>عليه‌السلام</w:t>
      </w:r>
      <w:r w:rsidRPr="00132E65">
        <w:rPr>
          <w:rtl/>
        </w:rPr>
        <w:t xml:space="preserve"> ، مع اختلاف يسير. </w:t>
      </w:r>
      <w:r w:rsidRPr="002B05FE">
        <w:rPr>
          <w:rtl/>
        </w:rPr>
        <w:t xml:space="preserve">تفسير العيّاشي </w:t>
      </w:r>
      <w:r w:rsidRPr="00132E65">
        <w:rPr>
          <w:rtl/>
        </w:rPr>
        <w:t xml:space="preserve">، ج 1 ، ص 356 ، ح 13 ، عن أبي خالد الكابلي ، عن أبي جعفر </w:t>
      </w:r>
      <w:r w:rsidRPr="00E81E82">
        <w:rPr>
          <w:rStyle w:val="libFootnoteAlaemChar"/>
          <w:rtl/>
        </w:rPr>
        <w:t>عليه‌السلام</w:t>
      </w:r>
      <w:r w:rsidRPr="00132E65">
        <w:rPr>
          <w:rtl/>
        </w:rPr>
        <w:t xml:space="preserve"> ، مع اختلاف يسير ؛ </w:t>
      </w:r>
      <w:r w:rsidRPr="002B05FE">
        <w:rPr>
          <w:rtl/>
        </w:rPr>
        <w:t>وفيه</w:t>
      </w:r>
      <w:r w:rsidRPr="00132E65">
        <w:rPr>
          <w:rtl/>
        </w:rPr>
        <w:t xml:space="preserve"> ، ح 12 ، عن زرارة وحمران ، عن أبي جعفر وأبي عبد الله </w:t>
      </w:r>
      <w:r w:rsidRPr="00E81E82">
        <w:rPr>
          <w:rStyle w:val="libFootnoteAlaemChar"/>
          <w:rtl/>
        </w:rPr>
        <w:t>عليهما‌السلام</w:t>
      </w:r>
      <w:r w:rsidRPr="00132E65">
        <w:rPr>
          <w:rtl/>
        </w:rPr>
        <w:t xml:space="preserve"> ، مع اختلاف. </w:t>
      </w:r>
      <w:r w:rsidRPr="002B05FE">
        <w:rPr>
          <w:rtl/>
        </w:rPr>
        <w:t>تفسير القمّي</w:t>
      </w:r>
      <w:r w:rsidRPr="00132E65">
        <w:rPr>
          <w:rtl/>
        </w:rPr>
        <w:t xml:space="preserve"> ، ج 1 ، ص 165 ، من دون الإسناد إلى المعصوم </w:t>
      </w:r>
      <w:r w:rsidRPr="00E81E82">
        <w:rPr>
          <w:rStyle w:val="libFootnoteAlaemChar"/>
          <w:rtl/>
        </w:rPr>
        <w:t>عليه‌السلام</w:t>
      </w:r>
      <w:r w:rsidRPr="00132E65">
        <w:rPr>
          <w:rtl/>
        </w:rPr>
        <w:t xml:space="preserve"> ، مع اختلاف يسير</w:t>
      </w:r>
      <w:r w:rsidR="003117F2">
        <w:rPr>
          <w:rFonts w:hint="cs"/>
          <w:rtl/>
        </w:rPr>
        <w:t>.</w:t>
      </w:r>
      <w:r w:rsidRPr="009D1ACE">
        <w:rPr>
          <w:rStyle w:val="libFootnoteBoldChar"/>
          <w:rtl/>
        </w:rPr>
        <w:t>الوافي</w:t>
      </w:r>
      <w:r w:rsidRPr="00132E65">
        <w:rPr>
          <w:rtl/>
        </w:rPr>
        <w:t xml:space="preserve"> ، ج 3 ، ص 888 ، ح 1530 ؛ </w:t>
      </w:r>
      <w:r w:rsidRPr="002B05FE">
        <w:rPr>
          <w:rtl/>
        </w:rPr>
        <w:t>البحار</w:t>
      </w:r>
      <w:r w:rsidRPr="00132E65">
        <w:rPr>
          <w:rtl/>
        </w:rPr>
        <w:t xml:space="preserve"> ، ج 23 ، ص 190 ، ح 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837F6B">
        <w:rPr>
          <w:rtl/>
        </w:rPr>
        <w:t>1149</w:t>
      </w:r>
      <w:r w:rsidRPr="004325D8">
        <w:rPr>
          <w:rStyle w:val="libBold2Char"/>
          <w:rtl/>
        </w:rPr>
        <w:t xml:space="preserve"> / 62.</w:t>
      </w:r>
      <w:r w:rsidRPr="00132E65">
        <w:rPr>
          <w:rtl/>
          <w:lang w:bidi="fa-IR"/>
        </w:rPr>
        <w:t xml:space="preserve"> أَحْمَدُ ، عَنْ عَبْدِ الْعَظِيمِ ، عَنِ الْحُسَيْنِ بْنِ مَيَّاحٍ </w:t>
      </w:r>
      <w:r>
        <w:rPr>
          <w:rStyle w:val="libFootnotenumChar"/>
          <w:rtl/>
        </w:rPr>
        <w:t>(1)</w:t>
      </w:r>
      <w:r w:rsidRPr="00132E65">
        <w:rPr>
          <w:rtl/>
          <w:lang w:bidi="fa-IR"/>
        </w:rPr>
        <w:t xml:space="preserve"> ، عَمَّنْ أَخْبَرَهُ ، قَالَ :</w:t>
      </w:r>
    </w:p>
    <w:p w:rsidR="000C39D1" w:rsidRPr="00132E65" w:rsidRDefault="000C39D1" w:rsidP="000C39D1">
      <w:pPr>
        <w:pStyle w:val="libNormal"/>
        <w:rPr>
          <w:rtl/>
          <w:lang w:bidi="fa-IR"/>
        </w:rPr>
      </w:pPr>
      <w:r w:rsidRPr="00132E65">
        <w:rPr>
          <w:rtl/>
          <w:lang w:bidi="fa-IR"/>
        </w:rPr>
        <w:t xml:space="preserve">قَرَأَ رَجُلٌ عِنْدَ أَبِي عَبْدِ اللهِ </w:t>
      </w:r>
      <w:r w:rsidRPr="00071CF9">
        <w:rPr>
          <w:rStyle w:val="libAlaemChar"/>
          <w:rtl/>
        </w:rPr>
        <w:t>عليه‌السلام</w:t>
      </w:r>
      <w:r w:rsidRPr="00132E65">
        <w:rPr>
          <w:rtl/>
          <w:lang w:bidi="fa-IR"/>
        </w:rPr>
        <w:t xml:space="preserve"> : </w:t>
      </w:r>
      <w:r w:rsidRPr="00071CF9">
        <w:rPr>
          <w:rStyle w:val="libAlaemChar"/>
          <w:rtl/>
        </w:rPr>
        <w:t>(</w:t>
      </w:r>
      <w:r w:rsidRPr="00071CF9">
        <w:rPr>
          <w:rStyle w:val="libAieChar"/>
          <w:rtl/>
        </w:rPr>
        <w:t xml:space="preserve"> قُلِ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w:t>
      </w:r>
      <w:r w:rsidRPr="00071CF9">
        <w:rPr>
          <w:rStyle w:val="libAlaemChar"/>
          <w:rtl/>
        </w:rPr>
        <w:t>(</w:t>
      </w:r>
      <w:r w:rsidRPr="00071CF9">
        <w:rPr>
          <w:rStyle w:val="libAieChar"/>
          <w:rtl/>
        </w:rPr>
        <w:t xml:space="preserve"> اعْمَلُوا فَسَيَرَى اللهُ عَمَلَكُمْ وَرَسُولُهُ وَالْمُؤْمِنُونَ</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فَقَالَ : « لَيْسَ هكَذَا هِيَ ، إِنَّمَا هِيَ : « وَالْمَأْمُونُونَ </w:t>
      </w:r>
      <w:r>
        <w:rPr>
          <w:rStyle w:val="libFootnotenumChar"/>
          <w:rtl/>
        </w:rPr>
        <w:t>(4)</w:t>
      </w:r>
      <w:r w:rsidRPr="00132E65">
        <w:rPr>
          <w:rtl/>
          <w:lang w:bidi="fa-IR"/>
        </w:rPr>
        <w:t xml:space="preserve"> » فَنَحْنُ الْمَأْمُونُونَ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837F6B">
        <w:rPr>
          <w:rtl/>
        </w:rPr>
        <w:t>1150</w:t>
      </w:r>
      <w:r w:rsidRPr="004325D8">
        <w:rPr>
          <w:rStyle w:val="libBold2Char"/>
          <w:rtl/>
        </w:rPr>
        <w:t xml:space="preserve"> / 63.</w:t>
      </w:r>
      <w:r w:rsidRPr="00132E65">
        <w:rPr>
          <w:rtl/>
          <w:lang w:bidi="fa-IR"/>
        </w:rPr>
        <w:t xml:space="preserve"> أَحْمَدُ </w:t>
      </w:r>
      <w:r>
        <w:rPr>
          <w:rStyle w:val="libFootnotenumChar"/>
          <w:rtl/>
        </w:rPr>
        <w:t>(6)</w:t>
      </w:r>
      <w:r w:rsidRPr="00132E65">
        <w:rPr>
          <w:rtl/>
          <w:lang w:bidi="fa-IR"/>
        </w:rPr>
        <w:t xml:space="preserve"> ، عَنْ عَبْدِ الْعَظِيمِ </w:t>
      </w:r>
      <w:r>
        <w:rPr>
          <w:rStyle w:val="libFootnotenumChar"/>
          <w:rtl/>
        </w:rPr>
        <w:t>(7)</w:t>
      </w:r>
      <w:r w:rsidRPr="00132E65">
        <w:rPr>
          <w:rtl/>
          <w:lang w:bidi="fa-IR"/>
        </w:rPr>
        <w:t xml:space="preserve"> ، عَنْ هِشَامِ بْنِ الْحَكَمِ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هذَا صِرَاطُ عَلِيٍّ مُسْتَقِيمٌ </w:t>
      </w:r>
      <w:r>
        <w:rPr>
          <w:rStyle w:val="libFootnotenumChar"/>
          <w:rtl/>
        </w:rPr>
        <w:t>(8)</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837F6B">
        <w:rPr>
          <w:rtl/>
        </w:rPr>
        <w:t>1151</w:t>
      </w:r>
      <w:r w:rsidRPr="004325D8">
        <w:rPr>
          <w:rStyle w:val="libBold2Char"/>
          <w:rtl/>
        </w:rPr>
        <w:t xml:space="preserve"> / 64.</w:t>
      </w:r>
      <w:r w:rsidRPr="00132E65">
        <w:rPr>
          <w:rtl/>
          <w:lang w:bidi="fa-IR"/>
        </w:rPr>
        <w:t xml:space="preserve"> أَحْمَدُ ، عَنْ عَبْدِ الْعَظِيمِ ، عَنْ مُحَمَّدِ بْنِ الْفُضَيْلِ ، عَنْ أَبِي حَمْزَةَ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نَزَلَ جَبْرَئِيلُ </w:t>
      </w:r>
      <w:r w:rsidRPr="00071CF9">
        <w:rPr>
          <w:rStyle w:val="libAlaemChar"/>
          <w:rtl/>
        </w:rPr>
        <w:t>عليه‌السلام</w:t>
      </w:r>
      <w:r w:rsidRPr="00132E65">
        <w:rPr>
          <w:rtl/>
          <w:lang w:bidi="fa-IR"/>
        </w:rPr>
        <w:t xml:space="preserve"> بِهذِهِ الْآيَةِ هكَذَا : </w:t>
      </w:r>
      <w:r w:rsidRPr="00071CF9">
        <w:rPr>
          <w:rStyle w:val="libAlaemChar"/>
          <w:rtl/>
        </w:rPr>
        <w:t>(</w:t>
      </w:r>
      <w:r w:rsidRPr="00071CF9">
        <w:rPr>
          <w:rStyle w:val="libAieChar"/>
          <w:rtl/>
        </w:rPr>
        <w:t xml:space="preserve"> فَأَبى أَكْثَرُ النّاسِ </w:t>
      </w:r>
      <w:r w:rsidRPr="00071CF9">
        <w:rPr>
          <w:rStyle w:val="libAlaemChar"/>
          <w:rtl/>
        </w:rPr>
        <w:t>)</w:t>
      </w:r>
      <w:r w:rsidRPr="00132E65">
        <w:rPr>
          <w:rtl/>
          <w:lang w:bidi="fa-IR"/>
        </w:rPr>
        <w:t xml:space="preserve"> بِوَلَايَةِ عَلِيٍّ</w:t>
      </w:r>
      <w:r>
        <w:rPr>
          <w:rFonts w:hint="cs"/>
          <w:rtl/>
          <w:lang w:bidi="fa-IR"/>
        </w:rPr>
        <w:t xml:space="preserve"> </w:t>
      </w:r>
      <w:r w:rsidRPr="00071CF9">
        <w:rPr>
          <w:rStyle w:val="libAlaemChar"/>
          <w:rtl/>
        </w:rPr>
        <w:t>(</w:t>
      </w:r>
      <w:r w:rsidR="005D04B4">
        <w:rPr>
          <w:rStyle w:val="libAieChar"/>
          <w:rtl/>
        </w:rPr>
        <w:t xml:space="preserve"> إِل</w:t>
      </w:r>
      <w:r w:rsidR="005D04B4">
        <w:rPr>
          <w:rStyle w:val="libAieChar"/>
          <w:rFonts w:hint="cs"/>
          <w:rtl/>
        </w:rPr>
        <w:t>ّ</w:t>
      </w:r>
      <w:r w:rsidR="005D04B4">
        <w:rPr>
          <w:rStyle w:val="libAieChar"/>
          <w:rtl/>
        </w:rPr>
        <w:t>ا</w:t>
      </w:r>
      <w:r w:rsidRPr="00071CF9">
        <w:rPr>
          <w:rStyle w:val="libAieChar"/>
          <w:rtl/>
        </w:rPr>
        <w:t xml:space="preserve"> كُفُوراً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 قَالَ : « وَنَزَلَ جَبْرَئِيلُ </w:t>
      </w:r>
      <w:r w:rsidRPr="00071CF9">
        <w:rPr>
          <w:rStyle w:val="libAlaemChar"/>
          <w:rtl/>
        </w:rPr>
        <w:t>عليه‌السلام</w:t>
      </w:r>
      <w:r w:rsidRPr="00132E65">
        <w:rPr>
          <w:rtl/>
          <w:lang w:bidi="fa-IR"/>
        </w:rPr>
        <w:t xml:space="preserve"> بِهذِهِ الْآيَةِ هكَذَا : </w:t>
      </w:r>
      <w:r w:rsidRPr="00071CF9">
        <w:rPr>
          <w:rStyle w:val="libAlaemChar"/>
          <w:rtl/>
        </w:rPr>
        <w:t>(</w:t>
      </w:r>
      <w:r w:rsidRPr="00071CF9">
        <w:rPr>
          <w:rStyle w:val="libAieChar"/>
          <w:rtl/>
        </w:rPr>
        <w:t xml:space="preserve"> وَقُلِ الْحَقُّ مِنْ رَبِّكُمْ </w:t>
      </w:r>
      <w:r w:rsidRPr="00071CF9">
        <w:rPr>
          <w:rStyle w:val="libAlaemChar"/>
          <w:rtl/>
        </w:rPr>
        <w:t>)</w:t>
      </w:r>
      <w:r w:rsidRPr="00132E65">
        <w:rPr>
          <w:rtl/>
          <w:lang w:bidi="fa-IR"/>
        </w:rPr>
        <w:t xml:space="preserve"> فِي ولَايَةِ عَلِيٍّ</w:t>
      </w:r>
      <w:r>
        <w:rPr>
          <w:rFonts w:hint="cs"/>
          <w:rtl/>
          <w:lang w:bidi="fa-IR"/>
        </w:rPr>
        <w:t xml:space="preserve"> </w:t>
      </w:r>
      <w:r w:rsidRPr="00071CF9">
        <w:rPr>
          <w:rStyle w:val="libAlaemChar"/>
          <w:rtl/>
        </w:rPr>
        <w:t>(</w:t>
      </w:r>
      <w:r w:rsidRPr="00071CF9">
        <w:rPr>
          <w:rStyle w:val="libAieChar"/>
          <w:rtl/>
        </w:rPr>
        <w:t xml:space="preserve"> فَمَنْ شاءَ فَلْيُؤْمِنْ وَمَنْ شاءَ فَلْيَكْفُرْ إِنّا أَعْتَدْنا لِلظّالِمِينَ </w:t>
      </w:r>
      <w:r w:rsidRPr="00071CF9">
        <w:rPr>
          <w:rStyle w:val="libAlaemChar"/>
          <w:rtl/>
        </w:rPr>
        <w:t>)</w:t>
      </w:r>
      <w:r w:rsidRPr="00132E65">
        <w:rPr>
          <w:rtl/>
          <w:lang w:bidi="fa-IR"/>
        </w:rPr>
        <w:t xml:space="preserve"> آلَ مُحَمَّدٍ‌</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D04B4" w:rsidTr="005D04B4">
        <w:tc>
          <w:tcPr>
            <w:tcW w:w="4006" w:type="dxa"/>
          </w:tcPr>
          <w:p w:rsidR="005D04B4" w:rsidRDefault="005D04B4" w:rsidP="000C39D1">
            <w:pPr>
              <w:pStyle w:val="libFootnote0"/>
              <w:rPr>
                <w:rtl/>
              </w:rPr>
            </w:pPr>
            <w:r>
              <w:rPr>
                <w:rtl/>
              </w:rPr>
              <w:t>(1).</w:t>
            </w:r>
            <w:r w:rsidRPr="00132E65">
              <w:rPr>
                <w:rtl/>
              </w:rPr>
              <w:t xml:space="preserve"> في « ف ، بح » و</w:t>
            </w:r>
            <w:r w:rsidRPr="009D1ACE">
              <w:rPr>
                <w:rStyle w:val="libFootnoteBoldChar"/>
                <w:rtl/>
              </w:rPr>
              <w:t>الوافي</w:t>
            </w:r>
            <w:r w:rsidRPr="00132E65">
              <w:rPr>
                <w:rtl/>
              </w:rPr>
              <w:t xml:space="preserve"> :</w:t>
            </w:r>
            <w:r>
              <w:rPr>
                <w:rtl/>
              </w:rPr>
              <w:t xml:space="preserve"> + </w:t>
            </w:r>
            <w:r w:rsidRPr="00132E65">
              <w:rPr>
                <w:rtl/>
              </w:rPr>
              <w:t>« عن حمزة »</w:t>
            </w:r>
            <w:r>
              <w:rPr>
                <w:rtl/>
              </w:rPr>
              <w:t>.</w:t>
            </w:r>
          </w:p>
        </w:tc>
        <w:tc>
          <w:tcPr>
            <w:tcW w:w="4006" w:type="dxa"/>
          </w:tcPr>
          <w:p w:rsidR="005D04B4" w:rsidRDefault="005D04B4" w:rsidP="005D04B4">
            <w:pPr>
              <w:pStyle w:val="libFootnote0"/>
              <w:rPr>
                <w:rtl/>
              </w:rPr>
            </w:pPr>
            <w:r>
              <w:rPr>
                <w:rtl/>
              </w:rPr>
              <w:t>(2).</w:t>
            </w:r>
            <w:r w:rsidRPr="00132E65">
              <w:rPr>
                <w:rtl/>
              </w:rPr>
              <w:t xml:space="preserve"> في « ب » : </w:t>
            </w:r>
            <w:r w:rsidRPr="005D04B4">
              <w:rPr>
                <w:rStyle w:val="libFootnoteAlaemChar"/>
                <w:rFonts w:hint="cs"/>
                <w:rtl/>
              </w:rPr>
              <w:t>(</w:t>
            </w:r>
            <w:r w:rsidRPr="005D04B4">
              <w:rPr>
                <w:rStyle w:val="libFootnoteAieChar"/>
                <w:rtl/>
              </w:rPr>
              <w:t xml:space="preserve"> وَقُلِ</w:t>
            </w:r>
            <w:r w:rsidRPr="00132E65">
              <w:rPr>
                <w:rtl/>
              </w:rPr>
              <w:t xml:space="preserve"> </w:t>
            </w:r>
            <w:r w:rsidRPr="005D04B4">
              <w:rPr>
                <w:rStyle w:val="libFootnoteAlaemChar"/>
                <w:rFonts w:hint="cs"/>
                <w:rtl/>
              </w:rPr>
              <w:t>)</w:t>
            </w:r>
            <w:r>
              <w:rPr>
                <w:rtl/>
              </w:rPr>
              <w:t>.</w:t>
            </w:r>
          </w:p>
        </w:tc>
      </w:tr>
    </w:tbl>
    <w:p w:rsidR="000C39D1" w:rsidRPr="00132E65" w:rsidRDefault="000C39D1" w:rsidP="000C39D1">
      <w:pPr>
        <w:pStyle w:val="libFootnote0"/>
        <w:rPr>
          <w:rtl/>
          <w:lang w:bidi="fa-IR"/>
        </w:rPr>
      </w:pPr>
      <w:r>
        <w:rPr>
          <w:rtl/>
        </w:rPr>
        <w:t>(3).</w:t>
      </w:r>
      <w:r w:rsidRPr="00132E65">
        <w:rPr>
          <w:rtl/>
        </w:rPr>
        <w:t xml:space="preserve"> التوبة </w:t>
      </w:r>
      <w:r w:rsidR="005D04B4">
        <w:rPr>
          <w:rtl/>
        </w:rPr>
        <w:t>(9)</w:t>
      </w:r>
      <w:r w:rsidRPr="00132E65">
        <w:rPr>
          <w:rtl/>
        </w:rPr>
        <w:t xml:space="preserve"> : 105.</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أي ليس المراد بالمؤمنين هنا ما يقابل الكافرين ليشمل كلّ مؤمن ، بل المراد به كمّل المؤمنين وهم المأمونون عن الخطأ ، المعصومون عن الزلل ، وهم الأئمّة </w:t>
      </w:r>
      <w:r w:rsidRPr="005D04B4">
        <w:rPr>
          <w:rStyle w:val="libFootnoteAlaemChar"/>
          <w:rtl/>
        </w:rPr>
        <w:t>عليهم‌السلام</w:t>
      </w:r>
      <w:r w:rsidRPr="00132E65">
        <w:rPr>
          <w:rtl/>
        </w:rPr>
        <w:t xml:space="preserve"> »</w:t>
      </w:r>
      <w:r>
        <w:rPr>
          <w:rtl/>
        </w:rPr>
        <w:t>.</w:t>
      </w:r>
    </w:p>
    <w:p w:rsidR="000C39D1" w:rsidRPr="00132E65" w:rsidRDefault="000C39D1" w:rsidP="0079622A">
      <w:pPr>
        <w:pStyle w:val="libFootnote0"/>
        <w:rPr>
          <w:rtl/>
          <w:lang w:bidi="fa-IR"/>
        </w:rPr>
      </w:pPr>
      <w:r>
        <w:rPr>
          <w:rtl/>
        </w:rPr>
        <w:t>(5).</w:t>
      </w:r>
      <w:r w:rsidRPr="00132E65">
        <w:rPr>
          <w:rtl/>
        </w:rPr>
        <w:t xml:space="preserve"> راجع : </w:t>
      </w:r>
      <w:r w:rsidRPr="000577A7">
        <w:rPr>
          <w:rStyle w:val="libFootnoteBoldChar"/>
          <w:rtl/>
        </w:rPr>
        <w:t>الكافي</w:t>
      </w:r>
      <w:r w:rsidRPr="00132E65">
        <w:rPr>
          <w:rtl/>
        </w:rPr>
        <w:t xml:space="preserve"> ، كتاب الحجّة ، باب عرض الأعمال على النبيّ </w:t>
      </w:r>
      <w:r w:rsidRPr="005D04B4">
        <w:rPr>
          <w:rStyle w:val="libFootnoteAlaemChar"/>
          <w:rFonts w:eastAsiaTheme="minorHAnsi"/>
          <w:rtl/>
        </w:rPr>
        <w:t>صلى‌الله‌عليه‌وآله</w:t>
      </w:r>
      <w:r w:rsidRPr="00132E65">
        <w:rPr>
          <w:rtl/>
          <w:lang w:bidi="fa-IR"/>
        </w:rPr>
        <w:t xml:space="preserve"> </w:t>
      </w:r>
      <w:r w:rsidRPr="00132E65">
        <w:rPr>
          <w:rtl/>
        </w:rPr>
        <w:t xml:space="preserve">والأئمّة </w:t>
      </w:r>
      <w:r w:rsidRPr="005D04B4">
        <w:rPr>
          <w:rStyle w:val="libFootnoteAlaemChar"/>
          <w:rtl/>
        </w:rPr>
        <w:t>عليهم‌السلام</w:t>
      </w:r>
      <w:r w:rsidRPr="00132E65">
        <w:rPr>
          <w:rtl/>
        </w:rPr>
        <w:t xml:space="preserve"> ، ح 584 ؛ و</w:t>
      </w:r>
      <w:r w:rsidRPr="007A1104">
        <w:rPr>
          <w:rStyle w:val="libFootnoteBoldChar"/>
          <w:rtl/>
        </w:rPr>
        <w:t>بصائر الدرجات</w:t>
      </w:r>
      <w:r w:rsidRPr="00837F6B">
        <w:rPr>
          <w:rtl/>
        </w:rPr>
        <w:t xml:space="preserve"> </w:t>
      </w:r>
      <w:r w:rsidRPr="00132E65">
        <w:rPr>
          <w:rtl/>
        </w:rPr>
        <w:t>، ص 427</w:t>
      </w:r>
      <w:r>
        <w:rPr>
          <w:rtl/>
        </w:rPr>
        <w:t xml:space="preserve"> - </w:t>
      </w:r>
      <w:r w:rsidRPr="00132E65">
        <w:rPr>
          <w:rtl/>
        </w:rPr>
        <w:t>428 ، ح 1</w:t>
      </w:r>
      <w:r>
        <w:rPr>
          <w:rtl/>
        </w:rPr>
        <w:t xml:space="preserve"> - </w:t>
      </w:r>
      <w:r w:rsidRPr="00132E65">
        <w:rPr>
          <w:rtl/>
        </w:rPr>
        <w:t xml:space="preserve">6 </w:t>
      </w:r>
      <w:r>
        <w:rPr>
          <w:rtl/>
        </w:rPr>
        <w:t xml:space="preserve">و 8 - </w:t>
      </w:r>
      <w:r w:rsidRPr="00132E65">
        <w:rPr>
          <w:rtl/>
        </w:rPr>
        <w:t>11 ؛ و</w:t>
      </w:r>
      <w:r w:rsidRPr="00837F6B">
        <w:rPr>
          <w:rtl/>
        </w:rPr>
        <w:t xml:space="preserve">الأمالي </w:t>
      </w:r>
      <w:r w:rsidRPr="00132E65">
        <w:rPr>
          <w:rtl/>
        </w:rPr>
        <w:t xml:space="preserve">للطوسي ، ص 409 ، المجلس 14 ، ح 16 ؛ </w:t>
      </w:r>
      <w:r w:rsidRPr="00837F6B">
        <w:rPr>
          <w:rtl/>
        </w:rPr>
        <w:t>وتفسير القمّي</w:t>
      </w:r>
      <w:r w:rsidRPr="00132E65">
        <w:rPr>
          <w:rtl/>
        </w:rPr>
        <w:t xml:space="preserve"> ، ج 1 ، ص 304</w:t>
      </w:r>
      <w:r w:rsidR="0079622A">
        <w:rPr>
          <w:rFonts w:hint="cs"/>
          <w:rtl/>
        </w:rPr>
        <w:t>.</w:t>
      </w:r>
      <w:r w:rsidRPr="009D1ACE">
        <w:rPr>
          <w:rStyle w:val="libFootnoteBoldChar"/>
          <w:rtl/>
        </w:rPr>
        <w:t>الوافي</w:t>
      </w:r>
      <w:r w:rsidRPr="00132E65">
        <w:rPr>
          <w:rtl/>
        </w:rPr>
        <w:t xml:space="preserve"> ، ج 3 ، ص 895 ، ح 1551 ؛ </w:t>
      </w:r>
      <w:r w:rsidRPr="00837F6B">
        <w:rPr>
          <w:rtl/>
        </w:rPr>
        <w:t>البحار</w:t>
      </w:r>
      <w:r w:rsidRPr="00132E65">
        <w:rPr>
          <w:rtl/>
        </w:rPr>
        <w:t xml:space="preserve"> ، ج 23 ، ص 352 ، ح 70.</w:t>
      </w:r>
    </w:p>
    <w:tbl>
      <w:tblPr>
        <w:tblStyle w:val="TableGrid"/>
        <w:bidiVisual/>
        <w:tblW w:w="0" w:type="auto"/>
        <w:tblLook w:val="04A0" w:firstRow="1" w:lastRow="0" w:firstColumn="1" w:lastColumn="0" w:noHBand="0" w:noVBand="1"/>
      </w:tblPr>
      <w:tblGrid>
        <w:gridCol w:w="4006"/>
        <w:gridCol w:w="4006"/>
      </w:tblGrid>
      <w:tr w:rsidR="0079622A" w:rsidTr="0079622A">
        <w:tc>
          <w:tcPr>
            <w:tcW w:w="4006" w:type="dxa"/>
          </w:tcPr>
          <w:p w:rsidR="0079622A" w:rsidRDefault="0079622A" w:rsidP="000C39D1">
            <w:pPr>
              <w:pStyle w:val="libFootnote0"/>
              <w:rPr>
                <w:rtl/>
              </w:rPr>
            </w:pPr>
            <w:r>
              <w:rPr>
                <w:rtl/>
              </w:rPr>
              <w:t>(6).</w:t>
            </w:r>
            <w:r w:rsidRPr="00132E65">
              <w:rPr>
                <w:rtl/>
              </w:rPr>
              <w:t xml:space="preserve"> في « ف » :</w:t>
            </w:r>
            <w:r>
              <w:rPr>
                <w:rtl/>
              </w:rPr>
              <w:t xml:space="preserve"> + </w:t>
            </w:r>
            <w:r w:rsidRPr="00132E65">
              <w:rPr>
                <w:rtl/>
              </w:rPr>
              <w:t>« بن مهران »</w:t>
            </w:r>
            <w:r>
              <w:rPr>
                <w:rtl/>
              </w:rPr>
              <w:t>.</w:t>
            </w:r>
          </w:p>
        </w:tc>
        <w:tc>
          <w:tcPr>
            <w:tcW w:w="4006" w:type="dxa"/>
          </w:tcPr>
          <w:p w:rsidR="0079622A" w:rsidRDefault="0079622A" w:rsidP="000C39D1">
            <w:pPr>
              <w:pStyle w:val="libFootnote0"/>
              <w:rPr>
                <w:rtl/>
              </w:rPr>
            </w:pPr>
            <w:r>
              <w:rPr>
                <w:rtl/>
              </w:rPr>
              <w:t>(7).</w:t>
            </w:r>
            <w:r w:rsidRPr="00132E65">
              <w:rPr>
                <w:rtl/>
              </w:rPr>
              <w:t xml:space="preserve"> في « ف » :</w:t>
            </w:r>
            <w:r>
              <w:rPr>
                <w:rtl/>
              </w:rPr>
              <w:t xml:space="preserve"> + </w:t>
            </w:r>
            <w:r w:rsidRPr="00132E65">
              <w:rPr>
                <w:rtl/>
              </w:rPr>
              <w:t>« بن عبد الله الحسني »</w:t>
            </w:r>
            <w:r>
              <w:rPr>
                <w:rtl/>
              </w:rPr>
              <w:t>.</w:t>
            </w:r>
          </w:p>
        </w:tc>
      </w:tr>
    </w:tbl>
    <w:p w:rsidR="000C39D1" w:rsidRPr="00132E65" w:rsidRDefault="000C39D1" w:rsidP="0079622A">
      <w:pPr>
        <w:pStyle w:val="libFootnote0"/>
        <w:rPr>
          <w:rtl/>
          <w:lang w:bidi="fa-IR"/>
        </w:rPr>
      </w:pPr>
      <w:r>
        <w:rPr>
          <w:rtl/>
        </w:rPr>
        <w:t>(8).</w:t>
      </w:r>
      <w:r w:rsidRPr="00132E65">
        <w:rPr>
          <w:rtl/>
        </w:rPr>
        <w:t xml:space="preserve"> كذا. وفي الحجر (15) : 41 : </w:t>
      </w:r>
      <w:r w:rsidR="0079622A" w:rsidRPr="0079622A">
        <w:rPr>
          <w:rStyle w:val="libFootnoteAlaemChar"/>
          <w:rFonts w:hint="cs"/>
          <w:rtl/>
        </w:rPr>
        <w:t>(</w:t>
      </w:r>
      <w:r w:rsidRPr="0079622A">
        <w:rPr>
          <w:rStyle w:val="libFootnoteAieChar"/>
          <w:rtl/>
        </w:rPr>
        <w:t xml:space="preserve"> هذَا صِرَ</w:t>
      </w:r>
      <w:r w:rsidR="005D04B4" w:rsidRPr="0079622A">
        <w:rPr>
          <w:rStyle w:val="libFootnoteAieChar"/>
          <w:rFonts w:hint="cs"/>
          <w:rtl/>
        </w:rPr>
        <w:t>ا</w:t>
      </w:r>
      <w:r w:rsidRPr="0079622A">
        <w:rPr>
          <w:rStyle w:val="libFootnoteAieChar"/>
          <w:rtl/>
        </w:rPr>
        <w:t xml:space="preserve">طٌ عَلَىَّ مُسْتَقِيمٌ </w:t>
      </w:r>
      <w:r w:rsidR="0079622A" w:rsidRPr="0079622A">
        <w:rPr>
          <w:rStyle w:val="libFootnoteAlaemChar"/>
          <w:rFonts w:hint="cs"/>
          <w:rtl/>
        </w:rPr>
        <w:t>)</w:t>
      </w:r>
      <w:r>
        <w:rPr>
          <w:rtl/>
        </w:rPr>
        <w:t>.</w:t>
      </w:r>
      <w:r w:rsidRPr="00132E65">
        <w:rPr>
          <w:rtl/>
        </w:rPr>
        <w:t xml:space="preserve"> وفي آل عمران </w:t>
      </w:r>
      <w:r w:rsidR="0079622A">
        <w:rPr>
          <w:rtl/>
        </w:rPr>
        <w:t xml:space="preserve">(3) : 51 ومواضع اخرى : </w:t>
      </w:r>
      <w:r w:rsidR="0079622A" w:rsidRPr="0079622A">
        <w:rPr>
          <w:rStyle w:val="libFootnoteAlaemChar"/>
          <w:rFonts w:hint="cs"/>
          <w:rtl/>
        </w:rPr>
        <w:t>(</w:t>
      </w:r>
      <w:r w:rsidR="0079622A" w:rsidRPr="0079622A">
        <w:rPr>
          <w:rStyle w:val="libFootnoteAieChar"/>
          <w:rtl/>
        </w:rPr>
        <w:t xml:space="preserve"> هذَا صِرَ</w:t>
      </w:r>
      <w:r w:rsidR="0079622A" w:rsidRPr="0079622A">
        <w:rPr>
          <w:rStyle w:val="libFootnoteAieChar"/>
          <w:rFonts w:hint="cs"/>
          <w:rtl/>
        </w:rPr>
        <w:t>ا</w:t>
      </w:r>
      <w:r w:rsidR="0079622A" w:rsidRPr="0079622A">
        <w:rPr>
          <w:rStyle w:val="libFootnoteAieChar"/>
          <w:rtl/>
        </w:rPr>
        <w:t xml:space="preserve">طٌ عَلَىَّ مُسْتَقِيمٌ </w:t>
      </w:r>
      <w:r w:rsidR="0079622A" w:rsidRPr="0079622A">
        <w:rPr>
          <w:rStyle w:val="libFootnoteAlaemChar"/>
          <w:rFonts w:hint="cs"/>
          <w:rtl/>
        </w:rPr>
        <w:t>)</w:t>
      </w:r>
      <w:r w:rsidR="0079622A">
        <w:rPr>
          <w:rtl/>
        </w:rPr>
        <w:t>.</w:t>
      </w:r>
      <w:r w:rsidR="0079622A" w:rsidRPr="00132E65">
        <w:rPr>
          <w:rtl/>
        </w:rPr>
        <w:t xml:space="preserve"> </w:t>
      </w:r>
      <w:r w:rsidRPr="00132E65">
        <w:rPr>
          <w:rtl/>
        </w:rPr>
        <w:t>واعلم أنّ « مستقيم » على قراءة عليّ بكسر اللام لا يمكن أن يكون صفة للصراط ؛ لاختلافهما بالتعريف والتنكير ، فهو خبر ثانٍ لقوله : « هذا »</w:t>
      </w:r>
      <w:r>
        <w:rPr>
          <w:rtl/>
        </w:rPr>
        <w:t>.</w:t>
      </w:r>
    </w:p>
    <w:p w:rsidR="000C39D1" w:rsidRPr="00132E65" w:rsidRDefault="000C39D1" w:rsidP="0079622A">
      <w:pPr>
        <w:pStyle w:val="libFootnote0"/>
        <w:rPr>
          <w:rtl/>
          <w:lang w:bidi="fa-IR"/>
        </w:rPr>
      </w:pPr>
      <w:r>
        <w:rPr>
          <w:rtl/>
        </w:rPr>
        <w:t>(9).</w:t>
      </w:r>
      <w:r w:rsidRPr="00132E65">
        <w:rPr>
          <w:rtl/>
        </w:rPr>
        <w:t xml:space="preserve"> راجع : </w:t>
      </w:r>
      <w:r w:rsidRPr="000577A7">
        <w:rPr>
          <w:rStyle w:val="libFootnoteBoldChar"/>
          <w:rtl/>
        </w:rPr>
        <w:t>الكافي</w:t>
      </w:r>
      <w:r w:rsidRPr="00132E65">
        <w:rPr>
          <w:rtl/>
        </w:rPr>
        <w:t xml:space="preserve"> ، كتاب الحجّة ، باب فيه نكت ونتف من التنزيل في الولاية ، ح 1111 ؛ وضمن ح 1178 ؛ و</w:t>
      </w:r>
      <w:r w:rsidRPr="007A1104">
        <w:rPr>
          <w:rStyle w:val="libFootnoteBoldChar"/>
          <w:rtl/>
        </w:rPr>
        <w:t>بصائر الدرجات</w:t>
      </w:r>
      <w:r w:rsidRPr="00132E65">
        <w:rPr>
          <w:rtl/>
        </w:rPr>
        <w:t xml:space="preserve"> ، ص 71 ، ح 7 ؛ وص 77 ، ضمن ح 5 ؛ وص 512 ، ح 25 ؛ و</w:t>
      </w:r>
      <w:r w:rsidRPr="00837F6B">
        <w:rPr>
          <w:rtl/>
        </w:rPr>
        <w:t>معاني الأخبار</w:t>
      </w:r>
      <w:r w:rsidRPr="00132E65">
        <w:rPr>
          <w:rtl/>
        </w:rPr>
        <w:t xml:space="preserve"> ، ص 32 ؛ و</w:t>
      </w:r>
      <w:r w:rsidRPr="00837F6B">
        <w:rPr>
          <w:rtl/>
        </w:rPr>
        <w:t>تفسير العيّاشي</w:t>
      </w:r>
      <w:r w:rsidRPr="00132E65">
        <w:rPr>
          <w:rtl/>
        </w:rPr>
        <w:t xml:space="preserve"> ، ج 1 ، ص 24 ، ح 25 ؛ وج 2 ، ص 242 ، ح 15 ؛ و</w:t>
      </w:r>
      <w:r w:rsidRPr="00837F6B">
        <w:rPr>
          <w:rtl/>
        </w:rPr>
        <w:t>تفسير القمّي</w:t>
      </w:r>
      <w:r w:rsidRPr="00132E65">
        <w:rPr>
          <w:rtl/>
        </w:rPr>
        <w:t xml:space="preserve"> ، ج 1 ، ص 28 ؛ و</w:t>
      </w:r>
      <w:r w:rsidRPr="00837F6B">
        <w:rPr>
          <w:rtl/>
        </w:rPr>
        <w:t>تفسير فرات</w:t>
      </w:r>
      <w:r w:rsidRPr="00132E65">
        <w:rPr>
          <w:rtl/>
        </w:rPr>
        <w:t xml:space="preserve"> ، ص 225 ، ح 302</w:t>
      </w:r>
      <w:r w:rsidR="0079622A">
        <w:rPr>
          <w:rFonts w:hint="cs"/>
          <w:rtl/>
        </w:rPr>
        <w:t>.</w:t>
      </w:r>
      <w:r w:rsidRPr="009D1ACE">
        <w:rPr>
          <w:rStyle w:val="libFootnoteBoldChar"/>
          <w:rtl/>
        </w:rPr>
        <w:t>الوافي</w:t>
      </w:r>
      <w:r w:rsidRPr="00132E65">
        <w:rPr>
          <w:rtl/>
        </w:rPr>
        <w:t xml:space="preserve"> ، ج 3 ، ص 895 ، ح 1552 ؛ </w:t>
      </w:r>
      <w:r w:rsidRPr="00837F6B">
        <w:rPr>
          <w:rtl/>
        </w:rPr>
        <w:t>البحار</w:t>
      </w:r>
      <w:r w:rsidRPr="00132E65">
        <w:rPr>
          <w:rtl/>
        </w:rPr>
        <w:t xml:space="preserve"> ، ج 24 ، ص 23 ، ح 49.</w:t>
      </w:r>
    </w:p>
    <w:p w:rsidR="000C39D1" w:rsidRPr="00132E65" w:rsidRDefault="000C39D1" w:rsidP="000C39D1">
      <w:pPr>
        <w:pStyle w:val="libFootnote0"/>
        <w:rPr>
          <w:rtl/>
          <w:lang w:bidi="fa-IR"/>
        </w:rPr>
      </w:pPr>
      <w:r>
        <w:rPr>
          <w:rtl/>
        </w:rPr>
        <w:t>(10).</w:t>
      </w:r>
      <w:r w:rsidRPr="00132E65">
        <w:rPr>
          <w:rtl/>
        </w:rPr>
        <w:t xml:space="preserve"> الإسراء (17) : 89 ؛ الفرقان (25) : 50.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laemChar"/>
          <w:rtl/>
        </w:rPr>
        <w:t>(</w:t>
      </w:r>
      <w:r w:rsidRPr="00071CF9">
        <w:rPr>
          <w:rStyle w:val="libAieChar"/>
          <w:rtl/>
        </w:rPr>
        <w:t xml:space="preserve"> ناراً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837F6B">
        <w:rPr>
          <w:rtl/>
        </w:rPr>
        <w:t>1152</w:t>
      </w:r>
      <w:r w:rsidRPr="004325D8">
        <w:rPr>
          <w:rStyle w:val="libBold2Char"/>
          <w:rtl/>
        </w:rPr>
        <w:t xml:space="preserve"> / 65.</w:t>
      </w:r>
      <w:r w:rsidRPr="00132E65">
        <w:rPr>
          <w:rtl/>
          <w:lang w:bidi="fa-IR"/>
        </w:rPr>
        <w:t xml:space="preserve"> عِدَّةٌ مِنْ أَصْحَابِنَا ، عَنْ أَحْمَدَ بْنِ مُحَمَّدٍ ، عَنْ مُحَمَّدِ بْنِ إِسْمَاعِيلَ ، عَنْ مُحَمَّدِ بْنِ الْفُضَيْلِ :</w:t>
      </w:r>
    </w:p>
    <w:p w:rsidR="000C39D1" w:rsidRPr="00132E65" w:rsidRDefault="000C39D1" w:rsidP="000C39D1">
      <w:pPr>
        <w:pStyle w:val="libNormal"/>
        <w:rPr>
          <w:rtl/>
          <w:lang w:bidi="fa-IR"/>
        </w:rPr>
      </w:pPr>
      <w:r w:rsidRPr="00132E65">
        <w:rPr>
          <w:rtl/>
          <w:lang w:bidi="fa-IR"/>
        </w:rPr>
        <w:t xml:space="preserve">عَنْ أَبِي الْحَسَنِ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وَأَنَّ الْمَساجِدَ لِلّهِ فَلا تَدْعُوا مَعَ اللهِ أَحَداً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قَالَ :</w:t>
      </w:r>
      <w:r>
        <w:rPr>
          <w:rFonts w:hint="cs"/>
          <w:rtl/>
          <w:lang w:bidi="fa-IR"/>
        </w:rPr>
        <w:t xml:space="preserve"> </w:t>
      </w:r>
      <w:r w:rsidRPr="00132E65">
        <w:rPr>
          <w:rtl/>
          <w:lang w:bidi="fa-IR"/>
        </w:rPr>
        <w:t xml:space="preserve">« هُمُ الْأَوْصِيَاءُ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837F6B">
        <w:rPr>
          <w:rtl/>
        </w:rPr>
        <w:t>1153</w:t>
      </w:r>
      <w:r w:rsidRPr="004325D8">
        <w:rPr>
          <w:rStyle w:val="libBold2Char"/>
          <w:rtl/>
        </w:rPr>
        <w:t xml:space="preserve"> / 66.</w:t>
      </w:r>
      <w:r w:rsidRPr="00132E65">
        <w:rPr>
          <w:rtl/>
          <w:lang w:bidi="fa-IR"/>
        </w:rPr>
        <w:t xml:space="preserve"> مُحَمَّدُ بْنُ يَحْيى ، عَنْ أَحْمَدَ بْنِ مُحَمَّدِ بْنِ عِيسى ، عَنِ ابْنِ مَحْبُوبٍ ، عَنِ الْأَحْوَلِ ، عَنْ سَلاَّمِ بْنِ الْمُسْتَنِيرِ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قُلْ هذِهِ سَبِيلِي أَدْعُوا إِلَى اللهِ عَلى بَصِيرَةٍ أَنَا وَمَنِ اتَّبَعَنِي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قَالَ : « ذَاكَ رَسُولُ اللهِ </w:t>
      </w:r>
      <w:r w:rsidRPr="0093484F">
        <w:rPr>
          <w:rStyle w:val="libAlaemChar"/>
          <w:rFonts w:eastAsiaTheme="minorHAnsi"/>
          <w:rtl/>
        </w:rPr>
        <w:t>صلى‌الله‌عليه‌وآله</w:t>
      </w:r>
      <w:r w:rsidRPr="00132E65">
        <w:rPr>
          <w:rtl/>
          <w:lang w:bidi="fa-IR"/>
        </w:rPr>
        <w:t xml:space="preserve"> وأَمِيرُ الْمُؤْمِنِينَ </w:t>
      </w:r>
      <w:r w:rsidRPr="00071CF9">
        <w:rPr>
          <w:rStyle w:val="libAlaemChar"/>
          <w:rtl/>
        </w:rPr>
        <w:t>عليه‌السلام</w:t>
      </w:r>
      <w:r w:rsidRPr="00132E65">
        <w:rPr>
          <w:rtl/>
          <w:lang w:bidi="fa-IR"/>
        </w:rPr>
        <w:t xml:space="preserve"> والْأَوْصِيَاءُ مِنْ بَعْدِهِمْ </w:t>
      </w:r>
      <w:r>
        <w:rPr>
          <w:rStyle w:val="libFootnotenumChar"/>
          <w:rtl/>
        </w:rPr>
        <w:t>(7)</w:t>
      </w:r>
      <w:r w:rsidRPr="00132E65">
        <w:rPr>
          <w:rtl/>
          <w:lang w:bidi="fa-IR"/>
        </w:rPr>
        <w:t xml:space="preserve">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837F6B">
        <w:rPr>
          <w:rtl/>
        </w:rPr>
        <w:t>1154</w:t>
      </w:r>
      <w:r w:rsidRPr="004325D8">
        <w:rPr>
          <w:rStyle w:val="libBold2Char"/>
          <w:rtl/>
        </w:rPr>
        <w:t xml:space="preserve"> / 67.</w:t>
      </w:r>
      <w:r w:rsidRPr="00132E65">
        <w:rPr>
          <w:rtl/>
          <w:lang w:bidi="fa-IR"/>
        </w:rPr>
        <w:t xml:space="preserve"> مُحَمَّدُ بْنُ يَحْيى ، عَنْ أَحْمَدَ بْنِ مُحَمَّدٍ ، عَنْ مُحَمَّدِ بْنِ إِسْمَاعِيلَ ، عَنْ حَنَانٍ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الكهف (18) : 29.</w:t>
      </w:r>
    </w:p>
    <w:p w:rsidR="000C39D1" w:rsidRPr="00132E65" w:rsidRDefault="000C39D1" w:rsidP="0079622A">
      <w:pPr>
        <w:pStyle w:val="libFootnote0"/>
        <w:rPr>
          <w:rtl/>
          <w:lang w:bidi="fa-IR"/>
        </w:rPr>
      </w:pPr>
      <w:r>
        <w:rPr>
          <w:rtl/>
        </w:rPr>
        <w:t>(2).</w:t>
      </w:r>
      <w:r w:rsidRPr="00132E65">
        <w:rPr>
          <w:rtl/>
        </w:rPr>
        <w:t xml:space="preserve"> </w:t>
      </w:r>
      <w:r w:rsidRPr="00837F6B">
        <w:rPr>
          <w:rtl/>
        </w:rPr>
        <w:t>تفسير العيّاشي</w:t>
      </w:r>
      <w:r w:rsidRPr="00132E65">
        <w:rPr>
          <w:rtl/>
        </w:rPr>
        <w:t xml:space="preserve"> ، ج 2 ، ص </w:t>
      </w:r>
      <w:r w:rsidR="0079622A">
        <w:rPr>
          <w:rtl/>
        </w:rPr>
        <w:t xml:space="preserve">317 ، ح 166 ، إلى قوله : </w:t>
      </w:r>
      <w:r w:rsidR="0079622A" w:rsidRPr="0079622A">
        <w:rPr>
          <w:rStyle w:val="libFootnoteAlaemChar"/>
          <w:rFonts w:hint="cs"/>
          <w:rtl/>
        </w:rPr>
        <w:t>(</w:t>
      </w:r>
      <w:r w:rsidR="0079622A" w:rsidRPr="0079622A">
        <w:rPr>
          <w:rStyle w:val="libFootnoteAieChar"/>
          <w:rtl/>
        </w:rPr>
        <w:t xml:space="preserve"> إِل</w:t>
      </w:r>
      <w:r w:rsidR="0079622A" w:rsidRPr="0079622A">
        <w:rPr>
          <w:rStyle w:val="libFootnoteAieChar"/>
          <w:rFonts w:hint="cs"/>
          <w:rtl/>
        </w:rPr>
        <w:t>ّ</w:t>
      </w:r>
      <w:r w:rsidR="0079622A" w:rsidRPr="0079622A">
        <w:rPr>
          <w:rStyle w:val="libFootnoteAieChar"/>
          <w:rtl/>
        </w:rPr>
        <w:t>ا</w:t>
      </w:r>
      <w:r w:rsidRPr="0079622A">
        <w:rPr>
          <w:rStyle w:val="libFootnoteAieChar"/>
          <w:rtl/>
        </w:rPr>
        <w:t xml:space="preserve"> كُفُوراً </w:t>
      </w:r>
      <w:r w:rsidR="0079622A" w:rsidRPr="0079622A">
        <w:rPr>
          <w:rStyle w:val="libFootnoteAlaemChar"/>
          <w:rFonts w:hint="cs"/>
          <w:rtl/>
        </w:rPr>
        <w:t>)</w:t>
      </w:r>
      <w:r w:rsidRPr="00132E65">
        <w:rPr>
          <w:rtl/>
        </w:rPr>
        <w:t xml:space="preserve"> ؛ وص 326 ، ح 28 ، من قوله : </w:t>
      </w:r>
      <w:r w:rsidR="0079622A" w:rsidRPr="0079622A">
        <w:rPr>
          <w:rStyle w:val="libFootnoteAlaemChar"/>
          <w:rFonts w:hint="cs"/>
          <w:rtl/>
        </w:rPr>
        <w:t>(</w:t>
      </w:r>
      <w:r w:rsidRPr="0079622A">
        <w:rPr>
          <w:rStyle w:val="libFootnoteAieChar"/>
          <w:rtl/>
        </w:rPr>
        <w:t xml:space="preserve"> وَقُلِ الْحَقّ </w:t>
      </w:r>
      <w:r w:rsidR="0079622A" w:rsidRPr="0079622A">
        <w:rPr>
          <w:rStyle w:val="libFootnoteAlaemChar"/>
          <w:rFonts w:hint="cs"/>
          <w:rtl/>
        </w:rPr>
        <w:t>)</w:t>
      </w:r>
      <w:r w:rsidRPr="00132E65">
        <w:rPr>
          <w:rtl/>
        </w:rPr>
        <w:t xml:space="preserve"> ، وفيهما عن أبي حمزة ؛ </w:t>
      </w:r>
      <w:r w:rsidRPr="00837F6B">
        <w:rPr>
          <w:rtl/>
        </w:rPr>
        <w:t>تفسير القمّي</w:t>
      </w:r>
      <w:r w:rsidRPr="00132E65">
        <w:rPr>
          <w:rtl/>
        </w:rPr>
        <w:t xml:space="preserve"> ، ج 2 ، ص 35 ، مرسلاً عن أبي عبد الله ؛ وص 289 ، من دون الإسناد إلى المعصوم </w:t>
      </w:r>
      <w:r w:rsidRPr="0079622A">
        <w:rPr>
          <w:rStyle w:val="libFootnoteAlaemChar"/>
          <w:rtl/>
        </w:rPr>
        <w:t>عليه‌السلام</w:t>
      </w:r>
      <w:r w:rsidRPr="00132E65">
        <w:rPr>
          <w:rtl/>
        </w:rPr>
        <w:t xml:space="preserve"> ، وفيهما من قوله : </w:t>
      </w:r>
      <w:r w:rsidR="0079622A" w:rsidRPr="0079622A">
        <w:rPr>
          <w:rStyle w:val="libFootnoteAlaemChar"/>
          <w:rFonts w:hint="cs"/>
          <w:rtl/>
        </w:rPr>
        <w:t>(</w:t>
      </w:r>
      <w:r w:rsidR="0079622A" w:rsidRPr="0079622A">
        <w:rPr>
          <w:rStyle w:val="libFootnoteAieChar"/>
          <w:rtl/>
        </w:rPr>
        <w:t xml:space="preserve"> وَقُلِ الْحَقّ </w:t>
      </w:r>
      <w:r w:rsidR="0079622A" w:rsidRPr="0079622A">
        <w:rPr>
          <w:rStyle w:val="libFootnoteAlaemChar"/>
          <w:rFonts w:hint="cs"/>
          <w:rtl/>
        </w:rPr>
        <w:t>)</w:t>
      </w:r>
      <w:r w:rsidR="0079622A">
        <w:rPr>
          <w:rFonts w:hint="cs"/>
          <w:rtl/>
        </w:rPr>
        <w:t>.</w:t>
      </w:r>
      <w:r w:rsidRPr="009D1ACE">
        <w:rPr>
          <w:rStyle w:val="libFootnoteBoldChar"/>
          <w:rtl/>
        </w:rPr>
        <w:t>الوافي</w:t>
      </w:r>
      <w:r w:rsidRPr="00132E65">
        <w:rPr>
          <w:rtl/>
        </w:rPr>
        <w:t xml:space="preserve"> ، ج 3 ، ص 927 ، ح 1610 ؛ </w:t>
      </w:r>
      <w:r w:rsidRPr="00837F6B">
        <w:rPr>
          <w:rtl/>
        </w:rPr>
        <w:t>البحار</w:t>
      </w:r>
      <w:r w:rsidRPr="00132E65">
        <w:rPr>
          <w:rtl/>
        </w:rPr>
        <w:t xml:space="preserve"> ، ج 23 ، ص 379 ، ح 66.</w:t>
      </w:r>
      <w:r w:rsidR="0079622A">
        <w:rPr>
          <w:rFonts w:hint="cs"/>
          <w:rtl/>
        </w:rPr>
        <w:t xml:space="preserve">                              </w:t>
      </w:r>
      <w:r>
        <w:rPr>
          <w:rtl/>
        </w:rPr>
        <w:t>(3).</w:t>
      </w:r>
      <w:r w:rsidRPr="00132E65">
        <w:rPr>
          <w:rtl/>
        </w:rPr>
        <w:t xml:space="preserve"> الجنّ (72) : 18.</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السجود : الخضوع ، يعني أنّ الله سبحانه كنى بالمساجد عن الأوصياء وجعلهم لله ؛ لأنّ الله أمر عباده بأن يخضعوا لهم طاعةً لله‌عزّوجلّ ، وتقرّباً إليه</w:t>
      </w:r>
      <w:r>
        <w:rPr>
          <w:rFonts w:hint="cs"/>
          <w:rtl/>
        </w:rPr>
        <w:t xml:space="preserve"> </w:t>
      </w:r>
      <w:r w:rsidRPr="0079622A">
        <w:rPr>
          <w:rStyle w:val="libFootnoteAlaemChar"/>
          <w:rtl/>
        </w:rPr>
        <w:t>(</w:t>
      </w:r>
      <w:r>
        <w:rPr>
          <w:rFonts w:hint="cs"/>
          <w:rtl/>
        </w:rPr>
        <w:t xml:space="preserve"> </w:t>
      </w:r>
      <w:r w:rsidRPr="00C2691A">
        <w:rPr>
          <w:rStyle w:val="libFootnoteAieChar"/>
          <w:rtl/>
        </w:rPr>
        <w:t>فَلا تَدْعُوا مَعَ اللهِ أَحَداً</w:t>
      </w:r>
      <w:r>
        <w:rPr>
          <w:rFonts w:hint="cs"/>
          <w:rtl/>
        </w:rPr>
        <w:t xml:space="preserve"> </w:t>
      </w:r>
      <w:r w:rsidRPr="0079622A">
        <w:rPr>
          <w:rStyle w:val="libFootnoteAlaemChar"/>
          <w:rtl/>
        </w:rPr>
        <w:t>)</w:t>
      </w:r>
      <w:r w:rsidRPr="00132E65">
        <w:rPr>
          <w:rtl/>
        </w:rPr>
        <w:t xml:space="preserve"> أي فلا تشركوا به بأن تخضعوا لغيرهم بدون أمره ، أو تجعلوهم آلهة معه »</w:t>
      </w:r>
      <w:r>
        <w:rPr>
          <w:rtl/>
        </w:rPr>
        <w:t>.</w:t>
      </w:r>
    </w:p>
    <w:p w:rsidR="000C39D1" w:rsidRPr="00132E65" w:rsidRDefault="000C39D1" w:rsidP="0079622A">
      <w:pPr>
        <w:pStyle w:val="libFootnote0"/>
        <w:rPr>
          <w:rtl/>
          <w:lang w:bidi="fa-IR"/>
        </w:rPr>
      </w:pPr>
      <w:r>
        <w:rPr>
          <w:rtl/>
        </w:rPr>
        <w:t>(5).</w:t>
      </w:r>
      <w:r w:rsidRPr="00132E65">
        <w:rPr>
          <w:rtl/>
        </w:rPr>
        <w:t xml:space="preserve"> </w:t>
      </w:r>
      <w:r w:rsidRPr="00837F6B">
        <w:rPr>
          <w:rtl/>
        </w:rPr>
        <w:t>تفسير القمّي</w:t>
      </w:r>
      <w:r w:rsidRPr="00132E65">
        <w:rPr>
          <w:rtl/>
        </w:rPr>
        <w:t xml:space="preserve"> ، ج 2 ، ص 390 بسند آخر ، عن أبي الحسن الرضا </w:t>
      </w:r>
      <w:r w:rsidRPr="0079622A">
        <w:rPr>
          <w:rStyle w:val="libFootnoteAlaemChar"/>
          <w:rtl/>
        </w:rPr>
        <w:t>عليه‌السلام</w:t>
      </w:r>
      <w:r w:rsidRPr="00132E65">
        <w:rPr>
          <w:rtl/>
        </w:rPr>
        <w:t xml:space="preserve"> ، وتمام الرواية هكذا : « المساجد : الأئمّة </w:t>
      </w:r>
      <w:r w:rsidRPr="0079622A">
        <w:rPr>
          <w:rStyle w:val="libFootnoteAlaemChar"/>
          <w:rtl/>
        </w:rPr>
        <w:t>عليهم‌السلام</w:t>
      </w:r>
      <w:r w:rsidRPr="00132E65">
        <w:rPr>
          <w:rtl/>
        </w:rPr>
        <w:t xml:space="preserve"> »</w:t>
      </w:r>
      <w:r w:rsidR="0079622A">
        <w:rPr>
          <w:rFonts w:hint="cs"/>
          <w:rtl/>
        </w:rPr>
        <w:t>.</w:t>
      </w:r>
      <w:r w:rsidRPr="009D1ACE">
        <w:rPr>
          <w:rStyle w:val="libFootnoteBoldChar"/>
          <w:rtl/>
        </w:rPr>
        <w:t>الوافي</w:t>
      </w:r>
      <w:r w:rsidRPr="00132E65">
        <w:rPr>
          <w:rtl/>
        </w:rPr>
        <w:t xml:space="preserve"> ، ج 3 ، ص 895 ، ح 1553 ؛ </w:t>
      </w:r>
      <w:r w:rsidRPr="00837F6B">
        <w:rPr>
          <w:rtl/>
        </w:rPr>
        <w:t>البحار</w:t>
      </w:r>
      <w:r w:rsidRPr="00132E65">
        <w:rPr>
          <w:rtl/>
        </w:rPr>
        <w:t xml:space="preserve"> ، ج 23 ، ص 330 ، ذيل ح 13.</w:t>
      </w:r>
    </w:p>
    <w:p w:rsidR="000C39D1" w:rsidRPr="00132E65" w:rsidRDefault="000C39D1" w:rsidP="000C39D1">
      <w:pPr>
        <w:pStyle w:val="libFootnote0"/>
        <w:rPr>
          <w:rtl/>
          <w:lang w:bidi="fa-IR"/>
        </w:rPr>
      </w:pPr>
      <w:r>
        <w:rPr>
          <w:rtl/>
        </w:rPr>
        <w:t>(6).</w:t>
      </w:r>
      <w:r w:rsidRPr="00132E65">
        <w:rPr>
          <w:rtl/>
        </w:rPr>
        <w:t xml:space="preserve"> يوسف </w:t>
      </w:r>
      <w:r w:rsidR="0079622A">
        <w:rPr>
          <w:rtl/>
        </w:rPr>
        <w:t>(12)</w:t>
      </w:r>
      <w:r w:rsidRPr="00132E65">
        <w:rPr>
          <w:rtl/>
        </w:rPr>
        <w:t xml:space="preserve"> : 108.</w:t>
      </w:r>
    </w:p>
    <w:p w:rsidR="000C39D1" w:rsidRPr="00132E65" w:rsidRDefault="000C39D1" w:rsidP="000C39D1">
      <w:pPr>
        <w:pStyle w:val="libFootnote0"/>
        <w:rPr>
          <w:rtl/>
          <w:lang w:bidi="fa-IR"/>
        </w:rPr>
      </w:pPr>
      <w:r>
        <w:rPr>
          <w:rtl/>
        </w:rPr>
        <w:t>(7).</w:t>
      </w:r>
      <w:r w:rsidRPr="00132E65">
        <w:rPr>
          <w:rtl/>
        </w:rPr>
        <w:t xml:space="preserve"> في « ب ، ض ، بر » وتفسير العيّاشي والبحار : « بعدهما »</w:t>
      </w:r>
      <w:r>
        <w:rPr>
          <w:rtl/>
        </w:rPr>
        <w:t>.</w:t>
      </w:r>
      <w:r w:rsidRPr="00132E65">
        <w:rPr>
          <w:rtl/>
        </w:rPr>
        <w:t xml:space="preserve"> وفي حاشية « ج » : « بعده »</w:t>
      </w:r>
      <w:r>
        <w:rPr>
          <w:rtl/>
        </w:rPr>
        <w:t>.</w:t>
      </w:r>
    </w:p>
    <w:p w:rsidR="000C39D1" w:rsidRPr="00132E65" w:rsidRDefault="000C39D1" w:rsidP="0079622A">
      <w:pPr>
        <w:pStyle w:val="libFootnote0"/>
        <w:rPr>
          <w:rtl/>
          <w:lang w:bidi="fa-IR"/>
        </w:rPr>
      </w:pPr>
      <w:r>
        <w:rPr>
          <w:rtl/>
        </w:rPr>
        <w:t>(8).</w:t>
      </w:r>
      <w:r w:rsidRPr="00132E65">
        <w:rPr>
          <w:rtl/>
        </w:rPr>
        <w:t xml:space="preserve"> </w:t>
      </w:r>
      <w:r w:rsidRPr="00837F6B">
        <w:rPr>
          <w:rtl/>
        </w:rPr>
        <w:t>تفسير العيّاشي</w:t>
      </w:r>
      <w:r w:rsidRPr="00132E65">
        <w:rPr>
          <w:rtl/>
        </w:rPr>
        <w:t xml:space="preserve"> ، ج 2 ، ص 201 ، ح 101 ، عن سلاّم بن المستنير ؛ </w:t>
      </w:r>
      <w:r w:rsidRPr="00837F6B">
        <w:rPr>
          <w:rtl/>
        </w:rPr>
        <w:t>تفسير القمّي</w:t>
      </w:r>
      <w:r w:rsidRPr="00132E65">
        <w:rPr>
          <w:rtl/>
        </w:rPr>
        <w:t xml:space="preserve"> ، ج 1 ، ص 358 ، مرسلاً عن أبي الجارود. </w:t>
      </w:r>
      <w:r w:rsidRPr="00837F6B">
        <w:rPr>
          <w:rtl/>
        </w:rPr>
        <w:t>تفسير فرات</w:t>
      </w:r>
      <w:r w:rsidRPr="00132E65">
        <w:rPr>
          <w:rtl/>
        </w:rPr>
        <w:t xml:space="preserve"> ، ص 202 ، ح 268 ، بسند آخر عن زيد بن عليّ ، عن رسول الله </w:t>
      </w:r>
      <w:r w:rsidRPr="0079622A">
        <w:rPr>
          <w:rStyle w:val="libFootnoteAlaemChar"/>
          <w:rFonts w:eastAsiaTheme="minorHAnsi"/>
          <w:rtl/>
        </w:rPr>
        <w:t>صلى‌الله‌عليه‌وآله</w:t>
      </w:r>
      <w:r w:rsidRPr="00132E65">
        <w:rPr>
          <w:rtl/>
          <w:lang w:bidi="fa-IR"/>
        </w:rPr>
        <w:t xml:space="preserve"> </w:t>
      </w:r>
      <w:r w:rsidRPr="00132E65">
        <w:rPr>
          <w:rtl/>
        </w:rPr>
        <w:t xml:space="preserve">، مع اختلاف. وراجع : </w:t>
      </w:r>
      <w:r w:rsidRPr="00837F6B">
        <w:rPr>
          <w:rtl/>
        </w:rPr>
        <w:t>كمال الدين</w:t>
      </w:r>
      <w:r w:rsidRPr="00132E65">
        <w:rPr>
          <w:rtl/>
        </w:rPr>
        <w:t xml:space="preserve"> ، ص 64</w:t>
      </w:r>
      <w:r w:rsidR="0079622A">
        <w:rPr>
          <w:rFonts w:hint="cs"/>
          <w:rtl/>
        </w:rPr>
        <w:t>.</w:t>
      </w:r>
      <w:r w:rsidRPr="009D1ACE">
        <w:rPr>
          <w:rStyle w:val="libFootnoteBoldChar"/>
          <w:rtl/>
        </w:rPr>
        <w:t>الوافي</w:t>
      </w:r>
      <w:r w:rsidRPr="00132E65">
        <w:rPr>
          <w:rtl/>
        </w:rPr>
        <w:t xml:space="preserve"> ، ج 3 ، ص 896 ، ح 1554 ؛ </w:t>
      </w:r>
      <w:r w:rsidRPr="00837F6B">
        <w:rPr>
          <w:rtl/>
        </w:rPr>
        <w:t>البحار</w:t>
      </w:r>
      <w:r w:rsidRPr="00132E65">
        <w:rPr>
          <w:rtl/>
        </w:rPr>
        <w:t xml:space="preserve"> ، ج 24 ، ص 21 ، ح 42.</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عَنْ سَالِمٍ الْحَنَّاطِ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فَأَخْرَجْنا مَنْ كانَ فِيها مِنَ الْمُؤْمِنِينَ </w:t>
      </w:r>
      <w:r w:rsidR="0079622A">
        <w:rPr>
          <w:rStyle w:val="libAieChar"/>
          <w:rFonts w:hint="cs"/>
          <w:rtl/>
        </w:rPr>
        <w:t xml:space="preserve">* </w:t>
      </w:r>
      <w:r w:rsidRPr="00071CF9">
        <w:rPr>
          <w:rStyle w:val="libAieChar"/>
          <w:rtl/>
        </w:rPr>
        <w:t xml:space="preserve">فَما وَجَدْنا فِيها غَيْرَ بَيْتٍ مِنَ الْمُسْلِمِينَ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فَقَالَ أَبُو جَعْفَرٍ </w:t>
      </w:r>
      <w:r w:rsidRPr="00071CF9">
        <w:rPr>
          <w:rStyle w:val="libAlaemChar"/>
          <w:rtl/>
        </w:rPr>
        <w:t>عليه‌السلام</w:t>
      </w:r>
      <w:r w:rsidRPr="00132E65">
        <w:rPr>
          <w:rtl/>
          <w:lang w:bidi="fa-IR"/>
        </w:rPr>
        <w:t xml:space="preserve"> : « آلُ مُحَمَّدٍ لَمْ يَبْقَ فِيهَا غَيْرُهُمْ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837F6B">
        <w:rPr>
          <w:rtl/>
        </w:rPr>
        <w:t>1155</w:t>
      </w:r>
      <w:r w:rsidRPr="004325D8">
        <w:rPr>
          <w:rStyle w:val="libBold2Char"/>
          <w:rtl/>
        </w:rPr>
        <w:t xml:space="preserve"> / 68.</w:t>
      </w:r>
      <w:r w:rsidRPr="00132E65">
        <w:rPr>
          <w:rtl/>
          <w:lang w:bidi="fa-IR"/>
        </w:rPr>
        <w:t xml:space="preserve"> الْحُسَيْنُ بْنُ مُحَمَّدٍ ، عَنْ مُعَلَّى بْنِ مُحَمَّدٍ ، عَنْ مُحَمَّدِ بْنِ جُمْهُورٍ ، عَنْ إِسْمَاعِيلَ بْنِ سَهْلٍ ، عَنِ الْقَاسِمِ بْنِ عُرْوَةَ ، عَنْ أَبِي السَّفَاتِجِ ، عَنْ زُرَارَةَ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فَلَمّا رَأَوْهُ زُلْفَةً سِيئَتْ وُجُوهُ الَّذِينَ كَفَرُوا وَقِيلَ هذَا الَّذِي كُنْتُمْ بِهِ تَدَّعُونَ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قَالَ : « هذِهِ نَزَلَتْ فِي </w:t>
      </w:r>
      <w:r>
        <w:rPr>
          <w:rStyle w:val="libFootnotenumChar"/>
          <w:rtl/>
        </w:rPr>
        <w:t>(5)</w:t>
      </w:r>
      <w:r w:rsidRPr="00132E65">
        <w:rPr>
          <w:rtl/>
          <w:lang w:bidi="fa-IR"/>
        </w:rPr>
        <w:t xml:space="preserve"> أَمِيرِ الْمُؤْمِنِينَ </w:t>
      </w:r>
      <w:r w:rsidRPr="00071CF9">
        <w:rPr>
          <w:rStyle w:val="libAlaemChar"/>
          <w:rtl/>
        </w:rPr>
        <w:t>عليه‌السلام</w:t>
      </w:r>
      <w:r w:rsidRPr="00132E65">
        <w:rPr>
          <w:rtl/>
          <w:lang w:bidi="fa-IR"/>
        </w:rPr>
        <w:t xml:space="preserve"> وأَصْحَابِهِ الَّذِينَ </w:t>
      </w:r>
      <w:r>
        <w:rPr>
          <w:rStyle w:val="libFootnotenumChar"/>
          <w:rtl/>
        </w:rPr>
        <w:t>(6)</w:t>
      </w:r>
      <w:r w:rsidRPr="00132E65">
        <w:rPr>
          <w:rtl/>
          <w:lang w:bidi="fa-IR"/>
        </w:rPr>
        <w:t xml:space="preserve"> عَمِلُوا مَا عَمِلُوا ، يَرَوْنَ أَمِيرَ الْمُؤْمِنِينَ </w:t>
      </w:r>
      <w:r w:rsidRPr="00071CF9">
        <w:rPr>
          <w:rStyle w:val="libAlaemChar"/>
          <w:rtl/>
        </w:rPr>
        <w:t>عليه‌السلام</w:t>
      </w:r>
      <w:r w:rsidRPr="00132E65">
        <w:rPr>
          <w:rtl/>
          <w:lang w:bidi="fa-IR"/>
        </w:rPr>
        <w:t xml:space="preserve"> فِي أَغْبَطِ الْأَمَاكِنِ </w:t>
      </w:r>
      <w:r>
        <w:rPr>
          <w:rStyle w:val="libFootnotenumChar"/>
          <w:rtl/>
        </w:rPr>
        <w:t>(7)</w:t>
      </w:r>
      <w:r w:rsidRPr="00132E65">
        <w:rPr>
          <w:rtl/>
          <w:lang w:bidi="fa-IR"/>
        </w:rPr>
        <w:t xml:space="preserve"> لَهُمْ فَيُسِي‌ءُ وجُوهَهُمْ ، ويُقَالُ لَهُمْ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الذاريات (51) : 35</w:t>
      </w:r>
      <w:r>
        <w:rPr>
          <w:rtl/>
        </w:rPr>
        <w:t xml:space="preserve"> - </w:t>
      </w:r>
      <w:r w:rsidRPr="00132E65">
        <w:rPr>
          <w:rtl/>
        </w:rPr>
        <w:t>36.</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يعني أنّ الناجين من قوم لوط المخرجين معه من القرية لئلاّ يصيبهم العذاب النازل عليها ، هم آل محمّد وأهل بيته ؛ وذلك لأنّ آل كلّ كبير وأهل بيته من أقرّ بفضله واتّبع أمره وسار بسيرته ، فالمؤمنون المنقادون المتّقون من كلّ ا</w:t>
      </w:r>
      <w:r w:rsidR="0079622A">
        <w:rPr>
          <w:rFonts w:hint="cs"/>
          <w:rtl/>
        </w:rPr>
        <w:t>ُ</w:t>
      </w:r>
      <w:r w:rsidRPr="00132E65">
        <w:rPr>
          <w:rtl/>
        </w:rPr>
        <w:t xml:space="preserve">مّة آل لنبيّهم ووصيّ نبيّهم وأهل بيت لهما وإن كان بيوتهم بعيدة بحسب المسافة عن بيتهما. فإنّ البيت في مثل هذا لايراد به بيت البنيان ، ولا بيت النساء والصبيان ، بل بيت التقوى والإيمان ، وبيت النبوّة والحكمة والعرفان ؛ وكذلك كلّ نبيّ أو وصيّ نبيّ ، فهو آل للنبيّ الأفضل والوصيّ الأمثل ؛ فجميع الأنبياء والأوصياء السابقين وأممهم المتّقين آل نبيّنا وأهل بيته ؛ ولذا قال </w:t>
      </w:r>
      <w:r w:rsidRPr="0079622A">
        <w:rPr>
          <w:rStyle w:val="libFootnoteAlaemChar"/>
          <w:rFonts w:eastAsiaTheme="minorHAnsi"/>
          <w:rtl/>
        </w:rPr>
        <w:t>صلى‌الله‌عليه‌وآله</w:t>
      </w:r>
      <w:r w:rsidRPr="00132E65">
        <w:rPr>
          <w:rtl/>
        </w:rPr>
        <w:t>: « كلّ تقيّ ونقيّ آلي » وقال في سلمان : « سلمان منّا أهل البيت » وورد في ابن نوح</w:t>
      </w:r>
      <w:r>
        <w:rPr>
          <w:rFonts w:hint="cs"/>
          <w:rtl/>
        </w:rPr>
        <w:t xml:space="preserve"> </w:t>
      </w:r>
      <w:r w:rsidRPr="0079622A">
        <w:rPr>
          <w:rStyle w:val="libFootnoteAlaemChar"/>
          <w:rtl/>
        </w:rPr>
        <w:t>(</w:t>
      </w:r>
      <w:r w:rsidRPr="00976484">
        <w:rPr>
          <w:rFonts w:hint="cs"/>
          <w:rtl/>
        </w:rPr>
        <w:t xml:space="preserve"> </w:t>
      </w:r>
      <w:r w:rsidRPr="00C2691A">
        <w:rPr>
          <w:rStyle w:val="libFootnoteAieChar"/>
          <w:rtl/>
        </w:rPr>
        <w:t>إِنَّهُ لَيْسَ مِنْ أَهْلِكَ</w:t>
      </w:r>
      <w:r>
        <w:rPr>
          <w:rFonts w:hint="cs"/>
          <w:rtl/>
        </w:rPr>
        <w:t xml:space="preserve"> </w:t>
      </w:r>
      <w:r w:rsidRPr="0079622A">
        <w:rPr>
          <w:rStyle w:val="libFootnoteAlaemChar"/>
          <w:rtl/>
        </w:rPr>
        <w:t>)</w:t>
      </w:r>
      <w:r w:rsidRPr="00132E65">
        <w:rPr>
          <w:rtl/>
        </w:rPr>
        <w:t xml:space="preserve"> [ هود </w:t>
      </w:r>
      <w:r w:rsidR="0079622A">
        <w:rPr>
          <w:rtl/>
        </w:rPr>
        <w:t>(11)</w:t>
      </w:r>
      <w:r w:rsidRPr="00132E65">
        <w:rPr>
          <w:rtl/>
        </w:rPr>
        <w:t xml:space="preserve"> : 46 ] إلى غير ذلك. وتصديق ما قلناه في كلام الصادق </w:t>
      </w:r>
      <w:r w:rsidRPr="0079622A">
        <w:rPr>
          <w:rStyle w:val="libFootnoteAlaemChar"/>
          <w:rtl/>
        </w:rPr>
        <w:t>عليه‌السلام</w:t>
      </w:r>
      <w:r w:rsidRPr="00132E65">
        <w:rPr>
          <w:rtl/>
        </w:rPr>
        <w:t xml:space="preserve"> الذي رواه المفضّل بن عمر أنّ الأنبياء جميعاً محبّون لمحمّد وعليّ ، متّبعون أمرهما »</w:t>
      </w:r>
      <w:r>
        <w:rPr>
          <w:rtl/>
        </w:rPr>
        <w:t>.</w:t>
      </w:r>
    </w:p>
    <w:p w:rsidR="000C39D1" w:rsidRPr="00132E65" w:rsidRDefault="000C39D1" w:rsidP="0079622A">
      <w:pPr>
        <w:pStyle w:val="libFootnote0"/>
        <w:rPr>
          <w:rtl/>
          <w:lang w:bidi="fa-IR"/>
        </w:rPr>
      </w:pPr>
      <w:r>
        <w:rPr>
          <w:rtl/>
        </w:rPr>
        <w:t>(3).</w:t>
      </w:r>
      <w:r w:rsidRPr="00132E65">
        <w:rPr>
          <w:rtl/>
        </w:rPr>
        <w:t xml:space="preserve"> راجع : </w:t>
      </w:r>
      <w:r w:rsidRPr="00837F6B">
        <w:rPr>
          <w:rtl/>
        </w:rPr>
        <w:t>تفسير فرات</w:t>
      </w:r>
      <w:r w:rsidRPr="00132E65">
        <w:rPr>
          <w:rtl/>
        </w:rPr>
        <w:t xml:space="preserve"> ، ص 442 ، ح 584</w:t>
      </w:r>
      <w:r w:rsidR="0079622A">
        <w:rPr>
          <w:rFonts w:hint="cs"/>
          <w:rtl/>
        </w:rPr>
        <w:t>.</w:t>
      </w:r>
      <w:r w:rsidRPr="009D1ACE">
        <w:rPr>
          <w:rStyle w:val="libFootnoteBoldChar"/>
          <w:rtl/>
        </w:rPr>
        <w:t>الوافي</w:t>
      </w:r>
      <w:r w:rsidRPr="00132E65">
        <w:rPr>
          <w:rtl/>
        </w:rPr>
        <w:t xml:space="preserve"> ، ج 3 ، ص 896 ، ح 1555 ؛ </w:t>
      </w:r>
      <w:r w:rsidRPr="00837F6B">
        <w:rPr>
          <w:rtl/>
        </w:rPr>
        <w:t>البحار</w:t>
      </w:r>
      <w:r w:rsidRPr="00132E65">
        <w:rPr>
          <w:rtl/>
        </w:rPr>
        <w:t xml:space="preserve"> ، ج 23 ، ص 327 ، ح 7.</w:t>
      </w:r>
    </w:p>
    <w:p w:rsidR="000C39D1" w:rsidRPr="00132E65" w:rsidRDefault="000C39D1" w:rsidP="000C39D1">
      <w:pPr>
        <w:pStyle w:val="libFootnote0"/>
        <w:rPr>
          <w:rtl/>
          <w:lang w:bidi="fa-IR"/>
        </w:rPr>
      </w:pPr>
      <w:r>
        <w:rPr>
          <w:rtl/>
        </w:rPr>
        <w:t>(4).</w:t>
      </w:r>
      <w:r w:rsidRPr="00132E65">
        <w:rPr>
          <w:rtl/>
        </w:rPr>
        <w:t xml:space="preserve"> الملك (67) : 27.</w:t>
      </w:r>
    </w:p>
    <w:p w:rsidR="000C39D1" w:rsidRPr="00132E65" w:rsidRDefault="000C39D1" w:rsidP="000C39D1">
      <w:pPr>
        <w:pStyle w:val="libFootnote0"/>
        <w:rPr>
          <w:rtl/>
          <w:lang w:bidi="fa-IR"/>
        </w:rPr>
      </w:pPr>
      <w:r>
        <w:rPr>
          <w:rtl/>
        </w:rPr>
        <w:t>(5).</w:t>
      </w:r>
      <w:r w:rsidRPr="00132E65">
        <w:rPr>
          <w:rtl/>
        </w:rPr>
        <w:t xml:space="preserve"> في « بح ، بف » :</w:t>
      </w:r>
      <w:r>
        <w:rPr>
          <w:rtl/>
        </w:rPr>
        <w:t xml:space="preserve"> + </w:t>
      </w:r>
      <w:r w:rsidRPr="00132E65">
        <w:rPr>
          <w:rtl/>
        </w:rPr>
        <w:t>« عليّ »</w:t>
      </w:r>
      <w:r>
        <w:rPr>
          <w:rtl/>
        </w:rPr>
        <w:t>.</w:t>
      </w:r>
    </w:p>
    <w:p w:rsidR="000C39D1" w:rsidRPr="00132E65" w:rsidRDefault="000C39D1" w:rsidP="000C39D1">
      <w:pPr>
        <w:pStyle w:val="libFootnote0"/>
        <w:rPr>
          <w:rtl/>
          <w:lang w:bidi="fa-IR"/>
        </w:rPr>
      </w:pPr>
      <w:r>
        <w:rPr>
          <w:rtl/>
        </w:rPr>
        <w:t>(6).</w:t>
      </w:r>
      <w:r w:rsidRPr="00132E65">
        <w:rPr>
          <w:rtl/>
        </w:rPr>
        <w:t xml:space="preserve"> في البحار : « والذين »</w:t>
      </w:r>
      <w:r>
        <w:rPr>
          <w:rtl/>
        </w:rPr>
        <w:t>.</w:t>
      </w:r>
    </w:p>
    <w:p w:rsidR="000C39D1" w:rsidRPr="00132E65" w:rsidRDefault="000C39D1" w:rsidP="000C39D1">
      <w:pPr>
        <w:pStyle w:val="libFootnote0"/>
        <w:rPr>
          <w:rtl/>
          <w:lang w:bidi="fa-IR"/>
        </w:rPr>
      </w:pPr>
      <w:r>
        <w:rPr>
          <w:rtl/>
        </w:rPr>
        <w:t>(7).</w:t>
      </w:r>
      <w:r w:rsidRPr="00132E65">
        <w:rPr>
          <w:rtl/>
        </w:rPr>
        <w:t xml:space="preserve"> « في أغبط الأماكن » ، أي أحسن المكان وأفضله ، يغبط الناس عليه ويتمنّونه. راجع : </w:t>
      </w:r>
      <w:r w:rsidRPr="00837F6B">
        <w:rPr>
          <w:rtl/>
        </w:rPr>
        <w:t>القاموس المحيط</w:t>
      </w:r>
      <w:r w:rsidRPr="00132E65">
        <w:rPr>
          <w:rtl/>
        </w:rPr>
        <w:t xml:space="preserve"> ، ج 1 ، ص 916 ( غبط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laemChar"/>
          <w:rtl/>
        </w:rPr>
        <w:t>(</w:t>
      </w:r>
      <w:r w:rsidRPr="00071CF9">
        <w:rPr>
          <w:rStyle w:val="libAieChar"/>
          <w:rtl/>
        </w:rPr>
        <w:t xml:space="preserve"> هذَا الَّذِي كُنْتُمْ بِهِ تَدَّعُونَ </w:t>
      </w:r>
      <w:r w:rsidRPr="00071CF9">
        <w:rPr>
          <w:rStyle w:val="libAlaemChar"/>
          <w:rtl/>
        </w:rPr>
        <w:t>)</w:t>
      </w:r>
      <w:r w:rsidRPr="00132E65">
        <w:rPr>
          <w:rtl/>
          <w:lang w:bidi="fa-IR"/>
        </w:rPr>
        <w:t xml:space="preserve"> الَّذِي انْتَحَلْتُمِ </w:t>
      </w:r>
      <w:r>
        <w:rPr>
          <w:rStyle w:val="libFootnotenumChar"/>
          <w:rtl/>
        </w:rPr>
        <w:t>(1)</w:t>
      </w:r>
      <w:r w:rsidRPr="00132E65">
        <w:rPr>
          <w:rtl/>
          <w:lang w:bidi="fa-IR"/>
        </w:rPr>
        <w:t xml:space="preserve"> اسْمَهُ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837F6B">
        <w:rPr>
          <w:rtl/>
        </w:rPr>
        <w:t>1156</w:t>
      </w:r>
      <w:r w:rsidRPr="004325D8">
        <w:rPr>
          <w:rStyle w:val="libBold2Char"/>
          <w:rtl/>
        </w:rPr>
        <w:t xml:space="preserve"> / 69.</w:t>
      </w:r>
      <w:r w:rsidRPr="00132E65">
        <w:rPr>
          <w:rtl/>
          <w:lang w:bidi="fa-IR"/>
        </w:rPr>
        <w:t xml:space="preserve"> مُحَمَّدُ بْنُ يَحْيى ، عَنْ سَلَمَةَ بْنِ الْخَطَّابِ ، عَنْ عَلِيِّ بْنِ حَسَّانَ ، عَنْ عَبْدِ الرَّحْمنِ بْنِ كَثِيرٍ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وَشاهِدٍ وَمَشْهُودٍ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قَالَ : « النَّبِيُّ </w:t>
      </w:r>
      <w:r w:rsidRPr="0093484F">
        <w:rPr>
          <w:rStyle w:val="libAlaemChar"/>
          <w:rFonts w:eastAsiaTheme="minorHAnsi"/>
          <w:rtl/>
        </w:rPr>
        <w:t>صلى‌الله‌عليه‌وآله</w:t>
      </w:r>
      <w:r w:rsidRPr="00132E65">
        <w:rPr>
          <w:rtl/>
          <w:lang w:bidi="fa-IR"/>
        </w:rPr>
        <w:t xml:space="preserve"> وأَمِيرُ الْمُؤْمِنِينَ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837F6B">
        <w:rPr>
          <w:rtl/>
        </w:rPr>
        <w:t>1157</w:t>
      </w:r>
      <w:r w:rsidRPr="004325D8">
        <w:rPr>
          <w:rStyle w:val="libBold2Char"/>
          <w:rtl/>
        </w:rPr>
        <w:t xml:space="preserve"> / 70.</w:t>
      </w:r>
      <w:r w:rsidRPr="00132E65">
        <w:rPr>
          <w:rtl/>
          <w:lang w:bidi="fa-IR"/>
        </w:rPr>
        <w:t xml:space="preserve"> الْحُسَيْنُ بْنُ مُحَمَّدٍ ، عَنْ مُعَلَّى بْنِ مُحَمَّدٍ ، عَنِ الْوَشَّاءِ ، عَنْ أَحْمَدَ بْنِ عُمَرَ الْحَلاَّلِ ، قَالَ :</w:t>
      </w:r>
    </w:p>
    <w:p w:rsidR="000C39D1" w:rsidRPr="00132E65" w:rsidRDefault="000C39D1" w:rsidP="000C39D1">
      <w:pPr>
        <w:pStyle w:val="libNormal"/>
        <w:rPr>
          <w:rtl/>
          <w:lang w:bidi="fa-IR"/>
        </w:rPr>
      </w:pPr>
      <w:r w:rsidRPr="00132E65">
        <w:rPr>
          <w:rtl/>
          <w:lang w:bidi="fa-IR"/>
        </w:rPr>
        <w:t xml:space="preserve">سَأَلْتُ أَبَا الْحَسَنِ </w:t>
      </w:r>
      <w:r w:rsidRPr="00071CF9">
        <w:rPr>
          <w:rStyle w:val="libAlaemChar"/>
          <w:rtl/>
        </w:rPr>
        <w:t>عليه‌السلام</w:t>
      </w:r>
      <w:r w:rsidRPr="00132E65">
        <w:rPr>
          <w:rtl/>
          <w:lang w:bidi="fa-IR"/>
        </w:rPr>
        <w:t xml:space="preserve"> عَنْ قَوْلِهِ تَعَالى : </w:t>
      </w:r>
      <w:r w:rsidRPr="00071CF9">
        <w:rPr>
          <w:rStyle w:val="libAlaemChar"/>
          <w:rtl/>
        </w:rPr>
        <w:t>(</w:t>
      </w:r>
      <w:r w:rsidRPr="00071CF9">
        <w:rPr>
          <w:rStyle w:val="libAieChar"/>
          <w:rtl/>
        </w:rPr>
        <w:t xml:space="preserve"> فَأَذَّنَ مُؤَذِّنٌ بَيْنَهُمْ أَنْ لَعْنَةُ اللهِ عَلَى الظّالِمِينَ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قَالَ : « الْمُؤَذِّنُ أَمِيرُ الْمُؤْمِنِينَ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837F6B">
        <w:rPr>
          <w:rtl/>
        </w:rPr>
        <w:t>1158</w:t>
      </w:r>
      <w:r w:rsidRPr="004325D8">
        <w:rPr>
          <w:rStyle w:val="libBold2Char"/>
          <w:rtl/>
        </w:rPr>
        <w:t xml:space="preserve"> / 71.</w:t>
      </w:r>
      <w:r w:rsidRPr="00132E65">
        <w:rPr>
          <w:rtl/>
          <w:lang w:bidi="fa-IR"/>
        </w:rPr>
        <w:t xml:space="preserve"> الْحُسَيْنُ بْنُ مُحَمَّدٍ ، عَنْ مُعَلَّى بْنِ مُحَمَّدٍ ، عَنْ مُحَمَّدِ بْنِ أُورَمَةَ ، عَنْ عَلِيِّ بْنِ حَسَّانَ ، عَنْ عَبْدِ الرَّحْمنِ بْنِ كَثِيرٍ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الانتحال : ادّعاء الرجل لنفسه ما ليس له. راجع : </w:t>
      </w:r>
      <w:r w:rsidRPr="00837F6B">
        <w:rPr>
          <w:rtl/>
        </w:rPr>
        <w:t>الصحاح</w:t>
      </w:r>
      <w:r w:rsidRPr="00132E65">
        <w:rPr>
          <w:rtl/>
        </w:rPr>
        <w:t xml:space="preserve"> ، ج 5 ، ص 1827 ( نحل )</w:t>
      </w:r>
      <w:r>
        <w:rPr>
          <w:rtl/>
        </w:rPr>
        <w:t>.</w:t>
      </w:r>
    </w:p>
    <w:p w:rsidR="000C39D1" w:rsidRPr="00132E65" w:rsidRDefault="000C39D1" w:rsidP="0079622A">
      <w:pPr>
        <w:pStyle w:val="libFootnote0"/>
        <w:rPr>
          <w:rtl/>
          <w:lang w:bidi="fa-IR"/>
        </w:rPr>
      </w:pPr>
      <w:r>
        <w:rPr>
          <w:rtl/>
        </w:rPr>
        <w:t>(2).</w:t>
      </w:r>
      <w:r w:rsidRPr="00132E65">
        <w:rPr>
          <w:rtl/>
        </w:rPr>
        <w:t xml:space="preserve"> </w:t>
      </w:r>
      <w:r w:rsidRPr="00837F6B">
        <w:rPr>
          <w:rtl/>
        </w:rPr>
        <w:t>تفسير فرات</w:t>
      </w:r>
      <w:r w:rsidRPr="00132E65">
        <w:rPr>
          <w:rtl/>
        </w:rPr>
        <w:t xml:space="preserve"> ، ص 493</w:t>
      </w:r>
      <w:r>
        <w:rPr>
          <w:rtl/>
        </w:rPr>
        <w:t xml:space="preserve"> - </w:t>
      </w:r>
      <w:r w:rsidRPr="00132E65">
        <w:rPr>
          <w:rtl/>
        </w:rPr>
        <w:t>494 ، ح 643</w:t>
      </w:r>
      <w:r>
        <w:rPr>
          <w:rtl/>
        </w:rPr>
        <w:t xml:space="preserve"> - </w:t>
      </w:r>
      <w:r w:rsidRPr="00132E65">
        <w:rPr>
          <w:rtl/>
        </w:rPr>
        <w:t xml:space="preserve">647 بسند آخر ، عن أبي عبد الله وأبي جعفر </w:t>
      </w:r>
      <w:r w:rsidRPr="0079622A">
        <w:rPr>
          <w:rStyle w:val="libFootnoteAlaemChar"/>
          <w:rtl/>
        </w:rPr>
        <w:t>عليهما‌السلام</w:t>
      </w:r>
      <w:r w:rsidRPr="00132E65">
        <w:rPr>
          <w:rtl/>
        </w:rPr>
        <w:t xml:space="preserve"> ، مع اختلاف ؛ </w:t>
      </w:r>
      <w:r w:rsidRPr="00837F6B">
        <w:rPr>
          <w:rtl/>
        </w:rPr>
        <w:t>تفسير القمّي</w:t>
      </w:r>
      <w:r w:rsidRPr="00132E65">
        <w:rPr>
          <w:rtl/>
        </w:rPr>
        <w:t xml:space="preserve"> ، ج 2 ، ص 378 ، من دون الإسناد إلى المعصوم </w:t>
      </w:r>
      <w:r w:rsidRPr="0079622A">
        <w:rPr>
          <w:rStyle w:val="libFootnoteAlaemChar"/>
          <w:rtl/>
        </w:rPr>
        <w:t>عليه‌السلام</w:t>
      </w:r>
      <w:r w:rsidRPr="00132E65">
        <w:rPr>
          <w:rtl/>
        </w:rPr>
        <w:t xml:space="preserve"> ، مع اختلاف</w:t>
      </w:r>
      <w:r w:rsidR="0079622A">
        <w:rPr>
          <w:rFonts w:hint="cs"/>
          <w:rtl/>
        </w:rPr>
        <w:t>.</w:t>
      </w:r>
      <w:r w:rsidRPr="009D1ACE">
        <w:rPr>
          <w:rStyle w:val="libFootnoteBoldChar"/>
          <w:rtl/>
        </w:rPr>
        <w:t>الوافي</w:t>
      </w:r>
      <w:r w:rsidRPr="00132E65">
        <w:rPr>
          <w:rtl/>
        </w:rPr>
        <w:t xml:space="preserve"> ، ج 3 ، ص 907 ، ح 1580 ؛ </w:t>
      </w:r>
      <w:r w:rsidRPr="00837F6B">
        <w:rPr>
          <w:rtl/>
        </w:rPr>
        <w:t>البحار</w:t>
      </w:r>
      <w:r w:rsidRPr="00132E65">
        <w:rPr>
          <w:rtl/>
        </w:rPr>
        <w:t xml:space="preserve"> ، ج 24 ، ص 268 ، ح 36.</w:t>
      </w:r>
    </w:p>
    <w:p w:rsidR="000C39D1" w:rsidRPr="00132E65" w:rsidRDefault="000C39D1" w:rsidP="000C39D1">
      <w:pPr>
        <w:pStyle w:val="libFootnote0"/>
        <w:rPr>
          <w:rtl/>
          <w:lang w:bidi="fa-IR"/>
        </w:rPr>
      </w:pPr>
      <w:r>
        <w:rPr>
          <w:rtl/>
        </w:rPr>
        <w:t>(3).</w:t>
      </w:r>
      <w:r w:rsidRPr="00132E65">
        <w:rPr>
          <w:rtl/>
        </w:rPr>
        <w:t xml:space="preserve"> البروج (85) : 3.</w:t>
      </w:r>
    </w:p>
    <w:p w:rsidR="000C39D1" w:rsidRPr="00132E65" w:rsidRDefault="000C39D1" w:rsidP="0079622A">
      <w:pPr>
        <w:pStyle w:val="libFootnote0"/>
        <w:rPr>
          <w:rtl/>
          <w:lang w:bidi="fa-IR"/>
        </w:rPr>
      </w:pPr>
      <w:r>
        <w:rPr>
          <w:rtl/>
        </w:rPr>
        <w:t>(4).</w:t>
      </w:r>
      <w:r w:rsidRPr="00132E65">
        <w:rPr>
          <w:rtl/>
        </w:rPr>
        <w:t xml:space="preserve"> </w:t>
      </w:r>
      <w:r w:rsidRPr="00837F6B">
        <w:rPr>
          <w:rtl/>
        </w:rPr>
        <w:t>معاني الأخبار</w:t>
      </w:r>
      <w:r w:rsidRPr="00132E65">
        <w:rPr>
          <w:rtl/>
        </w:rPr>
        <w:t xml:space="preserve"> ، ص 299 ، ح 7 ، بسنده عن عليّ بن حسّان</w:t>
      </w:r>
      <w:r w:rsidR="0079622A">
        <w:rPr>
          <w:rFonts w:hint="cs"/>
          <w:rtl/>
        </w:rPr>
        <w:t>.</w:t>
      </w:r>
      <w:r w:rsidRPr="009D1ACE">
        <w:rPr>
          <w:rStyle w:val="libFootnoteBoldChar"/>
          <w:rtl/>
        </w:rPr>
        <w:t>الوافي</w:t>
      </w:r>
      <w:r w:rsidRPr="00132E65">
        <w:rPr>
          <w:rtl/>
        </w:rPr>
        <w:t xml:space="preserve"> ، ج 3 ، ص 897 ، ح 1556 ؛ </w:t>
      </w:r>
      <w:r w:rsidRPr="00837F6B">
        <w:rPr>
          <w:rtl/>
        </w:rPr>
        <w:t>البحار</w:t>
      </w:r>
      <w:r w:rsidRPr="00132E65">
        <w:rPr>
          <w:rtl/>
        </w:rPr>
        <w:t xml:space="preserve"> ، ج 23 ، ص 352 ، ح 71.</w:t>
      </w:r>
    </w:p>
    <w:p w:rsidR="000C39D1" w:rsidRPr="00132E65" w:rsidRDefault="000C39D1" w:rsidP="000C39D1">
      <w:pPr>
        <w:pStyle w:val="libFootnote0"/>
        <w:rPr>
          <w:rtl/>
          <w:lang w:bidi="fa-IR"/>
        </w:rPr>
      </w:pPr>
      <w:r>
        <w:rPr>
          <w:rtl/>
        </w:rPr>
        <w:t>(5).</w:t>
      </w:r>
      <w:r w:rsidRPr="00132E65">
        <w:rPr>
          <w:rtl/>
        </w:rPr>
        <w:t xml:space="preserve"> الأعراف </w:t>
      </w:r>
      <w:r w:rsidR="0079622A">
        <w:rPr>
          <w:rtl/>
        </w:rPr>
        <w:t>(7)</w:t>
      </w:r>
      <w:r w:rsidRPr="00132E65">
        <w:rPr>
          <w:rtl/>
        </w:rPr>
        <w:t xml:space="preserve"> : 44.</w:t>
      </w:r>
    </w:p>
    <w:p w:rsidR="000C39D1" w:rsidRPr="00132E65" w:rsidRDefault="000C39D1" w:rsidP="0079622A">
      <w:pPr>
        <w:pStyle w:val="libFootnote0"/>
        <w:rPr>
          <w:rtl/>
          <w:lang w:bidi="fa-IR"/>
        </w:rPr>
      </w:pPr>
      <w:r>
        <w:rPr>
          <w:rtl/>
        </w:rPr>
        <w:t>(6).</w:t>
      </w:r>
      <w:r w:rsidRPr="00132E65">
        <w:rPr>
          <w:rtl/>
        </w:rPr>
        <w:t xml:space="preserve"> </w:t>
      </w:r>
      <w:r w:rsidRPr="00837F6B">
        <w:rPr>
          <w:rtl/>
        </w:rPr>
        <w:t>معاني الأخبار</w:t>
      </w:r>
      <w:r w:rsidRPr="00132E65">
        <w:rPr>
          <w:rtl/>
        </w:rPr>
        <w:t xml:space="preserve"> ، ص 59 ، ضمن الحديث الطويل 9 ، بسند آخر ، عن أبي جعفر ، عن عليّ </w:t>
      </w:r>
      <w:r w:rsidRPr="0079622A">
        <w:rPr>
          <w:rStyle w:val="libFootnoteAlaemChar"/>
          <w:rtl/>
        </w:rPr>
        <w:t>عليه‌السلام</w:t>
      </w:r>
      <w:r w:rsidRPr="00132E65">
        <w:rPr>
          <w:rtl/>
        </w:rPr>
        <w:t xml:space="preserve"> ، وفيه بعد ذكر الآية : « أنا ذلك المؤذّن » ؛ </w:t>
      </w:r>
      <w:r w:rsidRPr="00837F6B">
        <w:rPr>
          <w:rtl/>
        </w:rPr>
        <w:t xml:space="preserve">تفسير العيّاشي ، </w:t>
      </w:r>
      <w:r w:rsidRPr="00132E65">
        <w:rPr>
          <w:rtl/>
        </w:rPr>
        <w:t xml:space="preserve">ج 2 ، ص 17 ، ح 41 ، عن محمّد بن الفضيل ، عن الرضا </w:t>
      </w:r>
      <w:r w:rsidRPr="0079622A">
        <w:rPr>
          <w:rStyle w:val="libFootnoteAlaemChar"/>
          <w:rtl/>
        </w:rPr>
        <w:t>عليه‌السلام</w:t>
      </w:r>
      <w:r w:rsidRPr="00132E65">
        <w:rPr>
          <w:rtl/>
        </w:rPr>
        <w:t xml:space="preserve"> ؛ </w:t>
      </w:r>
      <w:r w:rsidRPr="00837F6B">
        <w:rPr>
          <w:rtl/>
        </w:rPr>
        <w:t>تفسير فرات</w:t>
      </w:r>
      <w:r w:rsidRPr="00132E65">
        <w:rPr>
          <w:rtl/>
        </w:rPr>
        <w:t xml:space="preserve"> ، ص 142 ، ح 173 ، بسند آخر عن أبي جعفر </w:t>
      </w:r>
      <w:r w:rsidRPr="0079622A">
        <w:rPr>
          <w:rStyle w:val="libFootnoteAlaemChar"/>
          <w:rtl/>
        </w:rPr>
        <w:t>عليه‌السلام</w:t>
      </w:r>
      <w:r w:rsidRPr="00132E65">
        <w:rPr>
          <w:rtl/>
        </w:rPr>
        <w:t xml:space="preserve"> ؛ </w:t>
      </w:r>
      <w:r w:rsidRPr="00837F6B">
        <w:rPr>
          <w:rtl/>
        </w:rPr>
        <w:t>وفيه</w:t>
      </w:r>
      <w:r w:rsidRPr="00132E65">
        <w:rPr>
          <w:rtl/>
        </w:rPr>
        <w:t xml:space="preserve"> ، ص 141 ، ح 171 ، بسند آخر ، عن ابن عبّاس ، مع اختلاف يسير وزيادة في أوّله وآخره</w:t>
      </w:r>
      <w:r w:rsidR="0079622A">
        <w:rPr>
          <w:rFonts w:hint="cs"/>
          <w:rtl/>
        </w:rPr>
        <w:t>.</w:t>
      </w:r>
      <w:r w:rsidRPr="009D1ACE">
        <w:rPr>
          <w:rStyle w:val="libFootnoteBoldChar"/>
          <w:rtl/>
        </w:rPr>
        <w:t>الوافي</w:t>
      </w:r>
      <w:r w:rsidRPr="00132E65">
        <w:rPr>
          <w:rtl/>
        </w:rPr>
        <w:t xml:space="preserve"> ، ج 3 ، ص 897 ، ح 1557 ؛ </w:t>
      </w:r>
      <w:r w:rsidRPr="00837F6B">
        <w:rPr>
          <w:rtl/>
        </w:rPr>
        <w:t>البحار</w:t>
      </w:r>
      <w:r w:rsidRPr="00132E65">
        <w:rPr>
          <w:rtl/>
        </w:rPr>
        <w:t xml:space="preserve"> ، ج 8 ، ص 339 ، ح 19 ؛ وج 24 ، ص 269 ، ح 38.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وَهُدُوا إِلَى الطَّيِّبِ مِنَ الْقَوْلِ وَهُدُوا إِلى صِراطِ الْحَمِيدِ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ذَاكَ </w:t>
      </w:r>
      <w:r>
        <w:rPr>
          <w:rStyle w:val="libFootnotenumChar"/>
          <w:rtl/>
        </w:rPr>
        <w:t>(2)</w:t>
      </w:r>
      <w:r w:rsidRPr="00132E65">
        <w:rPr>
          <w:rtl/>
          <w:lang w:bidi="fa-IR"/>
        </w:rPr>
        <w:t xml:space="preserve"> حَمْزَةُ وجَعْفَرٌ وعُبَيْدَةُ وسَلْمَانُ وأَبُو ذَرٍّ والْمِقْدَادُ بْنُ الْأَسْوَدِ وَعَمَّارٌ </w:t>
      </w:r>
      <w:r>
        <w:rPr>
          <w:rStyle w:val="libFootnotenumChar"/>
          <w:rtl/>
        </w:rPr>
        <w:t>(3)</w:t>
      </w:r>
      <w:r w:rsidRPr="00132E65">
        <w:rPr>
          <w:rtl/>
          <w:lang w:bidi="fa-IR"/>
        </w:rPr>
        <w:t xml:space="preserve"> هُدُوا إِلى أَمِيرِ الْمُؤْمِنِينَ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وَقَوْلِهِ : </w:t>
      </w:r>
      <w:r w:rsidRPr="00071CF9">
        <w:rPr>
          <w:rStyle w:val="libAlaemChar"/>
          <w:rtl/>
        </w:rPr>
        <w:t>(</w:t>
      </w:r>
      <w:r w:rsidRPr="00071CF9">
        <w:rPr>
          <w:rStyle w:val="libAieChar"/>
          <w:rtl/>
        </w:rPr>
        <w:t xml:space="preserve"> حَبَّبَ إِلَيْكُمُ الْإِيمانَ وَزَيَّنَهُ فِي قُلُوبِكُمْ </w:t>
      </w:r>
      <w:r w:rsidRPr="00071CF9">
        <w:rPr>
          <w:rStyle w:val="libAlaemChar"/>
          <w:rtl/>
        </w:rPr>
        <w:t>)</w:t>
      </w:r>
      <w:r w:rsidRPr="00132E65">
        <w:rPr>
          <w:rtl/>
          <w:lang w:bidi="fa-IR"/>
        </w:rPr>
        <w:t xml:space="preserve"> « يَعْنِي أَمِيرَ الْمُؤْمِنِينَ </w:t>
      </w:r>
      <w:r w:rsidRPr="00071CF9">
        <w:rPr>
          <w:rStyle w:val="libAlaemChar"/>
          <w:rtl/>
        </w:rPr>
        <w:t>عليه‌السلام(</w:t>
      </w:r>
      <w:r w:rsidRPr="00071CF9">
        <w:rPr>
          <w:rStyle w:val="libAieChar"/>
          <w:rtl/>
        </w:rPr>
        <w:t xml:space="preserve"> وَكَرَّهَ إِلَيْكُمُ الْكُفْرَ وَالْفُسُوقَ وَالْعِصْيانَ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 الْأَوَّلَ والثَّانِيَ والثَّالِثَ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837F6B">
        <w:rPr>
          <w:rtl/>
        </w:rPr>
        <w:t>1159</w:t>
      </w:r>
      <w:r w:rsidRPr="004325D8">
        <w:rPr>
          <w:rStyle w:val="libBold2Char"/>
          <w:rtl/>
        </w:rPr>
        <w:t xml:space="preserve"> / 72.</w:t>
      </w:r>
      <w:r w:rsidRPr="00132E65">
        <w:rPr>
          <w:rtl/>
          <w:lang w:bidi="fa-IR"/>
        </w:rPr>
        <w:t xml:space="preserve"> مُحَمَّدُ بْنُ يَحْيى ، عَنْ أَحْمَدَ بْنِ مُحَمَّدٍ </w:t>
      </w:r>
      <w:r>
        <w:rPr>
          <w:rStyle w:val="libFootnotenumChar"/>
          <w:rtl/>
        </w:rPr>
        <w:t>(6)</w:t>
      </w:r>
      <w:r w:rsidRPr="00132E65">
        <w:rPr>
          <w:rtl/>
          <w:lang w:bidi="fa-IR"/>
        </w:rPr>
        <w:t xml:space="preserve"> ، عَنِ ابْنِ مَحْبُوبٍ ، عَنْ جَمِيلِ بْنِ صَالِحٍ ، عَنْ أَبِي عُبَيْدَةَ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عَنْ قَوْلِهِ تَعَالى : </w:t>
      </w:r>
      <w:r w:rsidRPr="00071CF9">
        <w:rPr>
          <w:rStyle w:val="libAlaemChar"/>
          <w:rtl/>
        </w:rPr>
        <w:t>(</w:t>
      </w:r>
      <w:r w:rsidRPr="00071CF9">
        <w:rPr>
          <w:rStyle w:val="libAieChar"/>
          <w:rtl/>
        </w:rPr>
        <w:t xml:space="preserve"> ائْتُونِي بِكِتابٍ مِنْ قَبْلِ هذا أَوْ أَثارَةٍ مِنْ عِلْمٍ إِنْ كُنْتُمْ صادِقِينَ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قَالَ : « عَنى بِالْكِتَابِ التَّوْرَاةَ والْإِنْجِيلَ ، و</w:t>
      </w:r>
      <w:r>
        <w:rPr>
          <w:rFonts w:hint="cs"/>
          <w:rtl/>
          <w:lang w:bidi="fa-IR"/>
        </w:rPr>
        <w:t xml:space="preserve"> </w:t>
      </w:r>
      <w:r>
        <w:rPr>
          <w:rStyle w:val="libFootnotenumChar"/>
          <w:rtl/>
        </w:rPr>
        <w:t>(8)</w:t>
      </w:r>
      <w:r w:rsidRPr="00132E65">
        <w:rPr>
          <w:rtl/>
          <w:lang w:bidi="fa-IR"/>
        </w:rPr>
        <w:t xml:space="preserve"> </w:t>
      </w:r>
      <w:r w:rsidRPr="00071CF9">
        <w:rPr>
          <w:rStyle w:val="libAlaemChar"/>
          <w:rtl/>
        </w:rPr>
        <w:t>(</w:t>
      </w:r>
      <w:r w:rsidRPr="00071CF9">
        <w:rPr>
          <w:rStyle w:val="libAieChar"/>
          <w:rtl/>
        </w:rPr>
        <w:t xml:space="preserve"> أَثارَةٍ مِنْ عِلْمٍ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فَإِنَّمَا عَنى بِذلِكَ عِلْمَ أَوْصِيَاءِ الْأَنْبِيَاءِ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837F6B">
        <w:rPr>
          <w:rtl/>
        </w:rPr>
        <w:t>1160</w:t>
      </w:r>
      <w:r w:rsidRPr="004325D8">
        <w:rPr>
          <w:rStyle w:val="libBold2Char"/>
          <w:rtl/>
        </w:rPr>
        <w:t xml:space="preserve"> / 73.</w:t>
      </w:r>
      <w:r w:rsidRPr="00132E65">
        <w:rPr>
          <w:rtl/>
          <w:lang w:bidi="fa-IR"/>
        </w:rPr>
        <w:t xml:space="preserve"> الْحُسَيْنُ بْنُ مُحَمَّدٍ ، عَنْ مُعَلَّى بْنِ مُحَمَّدٍ ، عَمَّنْ أَخْبَرَهُ ، عَنْ عَلِيِّ بْنِ جَعْفَرٍ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9622A" w:rsidTr="0079622A">
        <w:tc>
          <w:tcPr>
            <w:tcW w:w="4006" w:type="dxa"/>
          </w:tcPr>
          <w:p w:rsidR="0079622A" w:rsidRDefault="0079622A" w:rsidP="000C39D1">
            <w:pPr>
              <w:pStyle w:val="libFootnote0"/>
              <w:rPr>
                <w:rtl/>
              </w:rPr>
            </w:pPr>
            <w:r>
              <w:rPr>
                <w:rtl/>
              </w:rPr>
              <w:t>(1).</w:t>
            </w:r>
            <w:r w:rsidRPr="00132E65">
              <w:rPr>
                <w:rtl/>
              </w:rPr>
              <w:t xml:space="preserve"> الحجّ (22) : 24.</w:t>
            </w:r>
          </w:p>
        </w:tc>
        <w:tc>
          <w:tcPr>
            <w:tcW w:w="4006" w:type="dxa"/>
          </w:tcPr>
          <w:p w:rsidR="0079622A" w:rsidRDefault="0079622A" w:rsidP="000C39D1">
            <w:pPr>
              <w:pStyle w:val="libFootnote0"/>
              <w:rPr>
                <w:rtl/>
              </w:rPr>
            </w:pPr>
            <w:r>
              <w:rPr>
                <w:rtl/>
              </w:rPr>
              <w:t>(2).</w:t>
            </w:r>
            <w:r w:rsidRPr="00132E65">
              <w:rPr>
                <w:rtl/>
              </w:rPr>
              <w:t xml:space="preserve"> في « ب » و</w:t>
            </w:r>
            <w:r w:rsidRPr="009D1ACE">
              <w:rPr>
                <w:rStyle w:val="libFootnoteBoldChar"/>
                <w:rtl/>
              </w:rPr>
              <w:t>الوافي</w:t>
            </w:r>
            <w:r w:rsidRPr="00132E65">
              <w:rPr>
                <w:rtl/>
              </w:rPr>
              <w:t xml:space="preserve"> : « ذلك »</w:t>
            </w:r>
            <w:r>
              <w:rPr>
                <w:rtl/>
              </w:rPr>
              <w:t>.</w:t>
            </w:r>
          </w:p>
        </w:tc>
      </w:tr>
      <w:tr w:rsidR="0079622A" w:rsidTr="0079622A">
        <w:tc>
          <w:tcPr>
            <w:tcW w:w="4006" w:type="dxa"/>
          </w:tcPr>
          <w:p w:rsidR="0079622A" w:rsidRDefault="0079622A" w:rsidP="000C39D1">
            <w:pPr>
              <w:pStyle w:val="libFootnote0"/>
              <w:rPr>
                <w:rtl/>
              </w:rPr>
            </w:pPr>
            <w:r>
              <w:rPr>
                <w:rtl/>
              </w:rPr>
              <w:t>(3).</w:t>
            </w:r>
            <w:r w:rsidRPr="00132E65">
              <w:rPr>
                <w:rtl/>
              </w:rPr>
              <w:t xml:space="preserve"> في « ف » :</w:t>
            </w:r>
            <w:r>
              <w:rPr>
                <w:rtl/>
              </w:rPr>
              <w:t xml:space="preserve"> + </w:t>
            </w:r>
            <w:r w:rsidRPr="00132E65">
              <w:rPr>
                <w:rtl/>
              </w:rPr>
              <w:t xml:space="preserve">« بن ياسر </w:t>
            </w:r>
            <w:r>
              <w:rPr>
                <w:rtl/>
              </w:rPr>
              <w:t>و ».</w:t>
            </w:r>
          </w:p>
        </w:tc>
        <w:tc>
          <w:tcPr>
            <w:tcW w:w="4006" w:type="dxa"/>
          </w:tcPr>
          <w:p w:rsidR="0079622A" w:rsidRDefault="0079622A" w:rsidP="000C39D1">
            <w:pPr>
              <w:pStyle w:val="libFootnote0"/>
              <w:rPr>
                <w:rtl/>
              </w:rPr>
            </w:pPr>
            <w:r>
              <w:rPr>
                <w:rtl/>
              </w:rPr>
              <w:t>(4).</w:t>
            </w:r>
            <w:r w:rsidRPr="00132E65">
              <w:rPr>
                <w:rtl/>
              </w:rPr>
              <w:t xml:space="preserve"> الحجرات (49) : 7.</w:t>
            </w:r>
          </w:p>
        </w:tc>
      </w:tr>
    </w:tbl>
    <w:p w:rsidR="000C39D1" w:rsidRPr="00132E65" w:rsidRDefault="000C39D1" w:rsidP="00190D8C">
      <w:pPr>
        <w:pStyle w:val="libFootnote0"/>
        <w:rPr>
          <w:rtl/>
          <w:lang w:bidi="fa-IR"/>
        </w:rPr>
      </w:pPr>
      <w:r>
        <w:rPr>
          <w:rtl/>
        </w:rPr>
        <w:t>(5).</w:t>
      </w:r>
      <w:r w:rsidRPr="00132E65">
        <w:rPr>
          <w:rtl/>
        </w:rPr>
        <w:t xml:space="preserve"> </w:t>
      </w:r>
      <w:r w:rsidRPr="00837F6B">
        <w:rPr>
          <w:rtl/>
        </w:rPr>
        <w:t>تفسير القمّي</w:t>
      </w:r>
      <w:r w:rsidRPr="00132E65">
        <w:rPr>
          <w:rtl/>
        </w:rPr>
        <w:t xml:space="preserve"> ، ج 2 ، ص 319 ، بسنده عن عليّ بن حسّان من قوله : </w:t>
      </w:r>
      <w:r w:rsidR="00190D8C" w:rsidRPr="00190D8C">
        <w:rPr>
          <w:rStyle w:val="libFootnoteAlaemChar"/>
          <w:rFonts w:hint="cs"/>
          <w:rtl/>
        </w:rPr>
        <w:t>(</w:t>
      </w:r>
      <w:r w:rsidRPr="00190D8C">
        <w:rPr>
          <w:rStyle w:val="libFootnoteAieChar"/>
          <w:rtl/>
        </w:rPr>
        <w:t xml:space="preserve"> حَبَّبَ إِلَيْكُمُ الْإِيمنَ </w:t>
      </w:r>
      <w:r w:rsidR="00190D8C" w:rsidRPr="00190D8C">
        <w:rPr>
          <w:rStyle w:val="libFootnoteAlaemChar"/>
          <w:rFonts w:hint="cs"/>
          <w:rtl/>
        </w:rPr>
        <w:t>)</w:t>
      </w:r>
      <w:r w:rsidR="00190D8C">
        <w:rPr>
          <w:rFonts w:hint="cs"/>
          <w:rtl/>
        </w:rPr>
        <w:t>.</w:t>
      </w:r>
      <w:r w:rsidRPr="009D1ACE">
        <w:rPr>
          <w:rStyle w:val="libFootnoteBoldChar"/>
          <w:rtl/>
        </w:rPr>
        <w:t>الوافي</w:t>
      </w:r>
      <w:r w:rsidRPr="00132E65">
        <w:rPr>
          <w:rtl/>
        </w:rPr>
        <w:t xml:space="preserve"> ، ج 3 ، ص 897 ، ح 1558 ؛ </w:t>
      </w:r>
      <w:r w:rsidRPr="00837F6B">
        <w:rPr>
          <w:rtl/>
        </w:rPr>
        <w:t>البحار</w:t>
      </w:r>
      <w:r w:rsidRPr="00132E65">
        <w:rPr>
          <w:rtl/>
        </w:rPr>
        <w:t xml:space="preserve"> ، ج 22 ، ص 125 ، ح 96 ؛ وج 23 ، ص 379 ، ح 67 ؛ وج 67 ، ص 40 ، وفيه إلى قوله : « هدوا إلى أمير المؤمنين </w:t>
      </w:r>
      <w:r w:rsidRPr="00381091">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(6).</w:t>
      </w:r>
      <w:r w:rsidRPr="00132E65">
        <w:rPr>
          <w:rtl/>
        </w:rPr>
        <w:t xml:space="preserve"> هكذا في النسخ و</w:t>
      </w:r>
      <w:r w:rsidRPr="009D1ACE">
        <w:rPr>
          <w:rStyle w:val="libFootnoteBoldChar"/>
          <w:rtl/>
        </w:rPr>
        <w:t>الوافي</w:t>
      </w:r>
      <w:r w:rsidRPr="00132E65">
        <w:rPr>
          <w:rtl/>
        </w:rPr>
        <w:t xml:space="preserve">. وفي المطبوع </w:t>
      </w:r>
      <w:r>
        <w:rPr>
          <w:rtl/>
        </w:rPr>
        <w:t xml:space="preserve">: - </w:t>
      </w:r>
      <w:r w:rsidRPr="00132E65">
        <w:rPr>
          <w:rtl/>
        </w:rPr>
        <w:t>« عن أحمد بن محمّد »</w:t>
      </w:r>
      <w:r>
        <w:rPr>
          <w:rtl/>
        </w:rPr>
        <w:t>.</w:t>
      </w:r>
      <w:r w:rsidRPr="00132E65">
        <w:rPr>
          <w:rtl/>
        </w:rPr>
        <w:t xml:space="preserve"> ورواية محمّد بن يحيى ، عن أحمد بن‌محمّد [ بن عيسى ] ، عن [ الحسن ] بن محبوب متكرّرة في كثيرٍ من الأسناد جدّاً. راجع : </w:t>
      </w:r>
      <w:r w:rsidRPr="00837F6B">
        <w:rPr>
          <w:rtl/>
        </w:rPr>
        <w:t>معجم رجال الحديث</w:t>
      </w:r>
      <w:r w:rsidRPr="00132E65">
        <w:rPr>
          <w:rtl/>
        </w:rPr>
        <w:t xml:space="preserve"> ، ج 2 ، ص 476</w:t>
      </w:r>
      <w:r>
        <w:rPr>
          <w:rtl/>
        </w:rPr>
        <w:t xml:space="preserve"> - </w:t>
      </w:r>
      <w:r w:rsidRPr="00132E65">
        <w:rPr>
          <w:rtl/>
        </w:rPr>
        <w:t>485 ؛ وص 499</w:t>
      </w:r>
      <w:r>
        <w:rPr>
          <w:rtl/>
        </w:rPr>
        <w:t xml:space="preserve"> - </w:t>
      </w:r>
      <w:r w:rsidRPr="00132E65">
        <w:rPr>
          <w:rtl/>
        </w:rPr>
        <w:t>502 ؛ وص 658</w:t>
      </w:r>
      <w:r>
        <w:rPr>
          <w:rtl/>
        </w:rPr>
        <w:t xml:space="preserve"> - </w:t>
      </w:r>
      <w:r w:rsidRPr="00132E65">
        <w:rPr>
          <w:rtl/>
        </w:rPr>
        <w:t>659 ؛ وص 667</w:t>
      </w:r>
      <w:r>
        <w:rPr>
          <w:rtl/>
        </w:rPr>
        <w:t xml:space="preserve"> - </w:t>
      </w:r>
      <w:r w:rsidRPr="00132E65">
        <w:rPr>
          <w:rtl/>
        </w:rPr>
        <w:t>679.</w:t>
      </w:r>
    </w:p>
    <w:p w:rsidR="000C39D1" w:rsidRPr="00132E65" w:rsidRDefault="000C39D1" w:rsidP="000C39D1">
      <w:pPr>
        <w:pStyle w:val="libFootnote0"/>
        <w:rPr>
          <w:rtl/>
          <w:lang w:bidi="fa-IR"/>
        </w:rPr>
      </w:pPr>
      <w:r>
        <w:rPr>
          <w:rtl/>
        </w:rPr>
        <w:t>(7).</w:t>
      </w:r>
      <w:r w:rsidRPr="00132E65">
        <w:rPr>
          <w:rtl/>
        </w:rPr>
        <w:t xml:space="preserve"> الأحقاف (46) : 4.</w:t>
      </w:r>
    </w:p>
    <w:p w:rsidR="000C39D1" w:rsidRPr="00132E65" w:rsidRDefault="000C39D1" w:rsidP="000C39D1">
      <w:pPr>
        <w:pStyle w:val="libFootnote0"/>
        <w:rPr>
          <w:rtl/>
          <w:lang w:bidi="fa-IR"/>
        </w:rPr>
      </w:pPr>
      <w:r>
        <w:rPr>
          <w:rtl/>
        </w:rPr>
        <w:t>(8).</w:t>
      </w:r>
      <w:r w:rsidRPr="00132E65">
        <w:rPr>
          <w:rtl/>
        </w:rPr>
        <w:t xml:space="preserve"> في « ف » : « أو »</w:t>
      </w:r>
      <w:r>
        <w:rPr>
          <w:rtl/>
        </w:rPr>
        <w:t>.</w:t>
      </w:r>
      <w:r w:rsidRPr="00132E65">
        <w:rPr>
          <w:rtl/>
        </w:rPr>
        <w:t xml:space="preserve"> وفي « بر ، بس » و</w:t>
      </w:r>
      <w:r w:rsidRPr="009D1ACE">
        <w:rPr>
          <w:rStyle w:val="libFootnoteBoldChar"/>
          <w:rtl/>
        </w:rPr>
        <w:t>الوافي</w:t>
      </w:r>
      <w:r w:rsidRPr="00132E65">
        <w:rPr>
          <w:rtl/>
        </w:rPr>
        <w:t xml:space="preserve"> والبحار : « وأمّا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العلم »</w:t>
      </w:r>
      <w:r>
        <w:rPr>
          <w:rtl/>
        </w:rPr>
        <w:t>.</w:t>
      </w:r>
      <w:r w:rsidRPr="00132E65">
        <w:rPr>
          <w:rtl/>
        </w:rPr>
        <w:t xml:space="preserve"> وفي البحار : « وأمّا الأثارة من العلم »</w:t>
      </w:r>
      <w:r>
        <w:rPr>
          <w:rtl/>
        </w:rPr>
        <w:t>.</w:t>
      </w:r>
    </w:p>
    <w:p w:rsidR="000C39D1" w:rsidRPr="00132E65" w:rsidRDefault="000C39D1" w:rsidP="00DC44D3">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516 ، ح 42 ، بسنده عن الحسن ، عمّن رواه ، عن أبي عبيدة ، مع اختلاف يسير</w:t>
      </w:r>
      <w:r w:rsidR="00DC44D3">
        <w:rPr>
          <w:rFonts w:hint="cs"/>
          <w:rtl/>
        </w:rPr>
        <w:t>.</w:t>
      </w:r>
      <w:r w:rsidRPr="009D1ACE">
        <w:rPr>
          <w:rStyle w:val="libFootnoteBoldChar"/>
          <w:rtl/>
        </w:rPr>
        <w:t>الوافي</w:t>
      </w:r>
      <w:r w:rsidRPr="00132E65">
        <w:rPr>
          <w:rtl/>
        </w:rPr>
        <w:t xml:space="preserve"> ، ج 3 ، ص 898 ، ح 1559 ؛ </w:t>
      </w:r>
      <w:r w:rsidRPr="00837F6B">
        <w:rPr>
          <w:rtl/>
        </w:rPr>
        <w:t>البحار</w:t>
      </w:r>
      <w:r w:rsidRPr="00132E65">
        <w:rPr>
          <w:rtl/>
        </w:rPr>
        <w:t xml:space="preserve"> ، ج 24 ، ص 212 ، ح 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قَالَ :</w:t>
      </w:r>
    </w:p>
    <w:p w:rsidR="000C39D1" w:rsidRPr="00132E65" w:rsidRDefault="000C39D1" w:rsidP="000C39D1">
      <w:pPr>
        <w:pStyle w:val="libNormal"/>
        <w:rPr>
          <w:rtl/>
          <w:lang w:bidi="fa-IR"/>
        </w:rPr>
      </w:pPr>
      <w:r w:rsidRPr="00132E65">
        <w:rPr>
          <w:rtl/>
          <w:lang w:bidi="fa-IR"/>
        </w:rPr>
        <w:t xml:space="preserve">سَمِعْتُ أَبَا الْحَسَنِ </w:t>
      </w:r>
      <w:r w:rsidRPr="00071CF9">
        <w:rPr>
          <w:rStyle w:val="libAlaemChar"/>
          <w:rtl/>
        </w:rPr>
        <w:t>عليه‌السلام</w:t>
      </w:r>
      <w:r w:rsidRPr="00132E65">
        <w:rPr>
          <w:rtl/>
          <w:lang w:bidi="fa-IR"/>
        </w:rPr>
        <w:t xml:space="preserve"> يَقُولُ : « لَمَّا رَأى رَسُولُ اللهِ </w:t>
      </w:r>
      <w:r w:rsidRPr="0093484F">
        <w:rPr>
          <w:rStyle w:val="libAlaemChar"/>
          <w:rFonts w:eastAsiaTheme="minorHAnsi"/>
          <w:rtl/>
        </w:rPr>
        <w:t>صلى‌الله‌عليه‌وآله</w:t>
      </w:r>
      <w:r w:rsidRPr="00132E65">
        <w:rPr>
          <w:rtl/>
          <w:lang w:bidi="fa-IR"/>
        </w:rPr>
        <w:t xml:space="preserve"> تَيْماً وعَدِيّاً وبَنِي أُمَيَّةَ يَرْكَبُونَ مِنْبَرَهُ ، أَفْظَعَهُ </w:t>
      </w:r>
      <w:r>
        <w:rPr>
          <w:rStyle w:val="libFootnotenumChar"/>
          <w:rtl/>
        </w:rPr>
        <w:t>(1)</w:t>
      </w:r>
      <w:r w:rsidRPr="00132E65">
        <w:rPr>
          <w:rtl/>
          <w:lang w:bidi="fa-IR"/>
        </w:rPr>
        <w:t xml:space="preserve"> ، فَأَنْزَلَ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قُرْآناً يَتَأَسّى بِهِ </w:t>
      </w:r>
      <w:r>
        <w:rPr>
          <w:rStyle w:val="libFootnotenumChar"/>
          <w:rtl/>
        </w:rPr>
        <w:t>(2)</w:t>
      </w:r>
      <w:r w:rsidRPr="00132E65">
        <w:rPr>
          <w:rtl/>
          <w:lang w:bidi="fa-IR"/>
        </w:rPr>
        <w:t xml:space="preserve"> </w:t>
      </w:r>
      <w:r w:rsidRPr="00071CF9">
        <w:rPr>
          <w:rStyle w:val="libAlaemChar"/>
          <w:rtl/>
        </w:rPr>
        <w:t>(</w:t>
      </w:r>
      <w:r w:rsidRPr="00071CF9">
        <w:rPr>
          <w:rStyle w:val="libAieChar"/>
          <w:rtl/>
        </w:rPr>
        <w:t xml:space="preserve"> وَإِذْ قُلْنا لِلْمَلائِكَةِ اس</w:t>
      </w:r>
      <w:r w:rsidR="00DC44D3">
        <w:rPr>
          <w:rStyle w:val="libAieChar"/>
          <w:rtl/>
        </w:rPr>
        <w:t>ْجُدُوا لِآدَمَ فَسَجَدُوا إِل</w:t>
      </w:r>
      <w:r w:rsidR="00DC44D3">
        <w:rPr>
          <w:rStyle w:val="libAieChar"/>
          <w:rFonts w:hint="cs"/>
          <w:rtl/>
        </w:rPr>
        <w:t>ّ</w:t>
      </w:r>
      <w:r w:rsidR="00DC44D3">
        <w:rPr>
          <w:rStyle w:val="libAieChar"/>
          <w:rtl/>
        </w:rPr>
        <w:t>ا</w:t>
      </w:r>
      <w:r w:rsidRPr="00071CF9">
        <w:rPr>
          <w:rStyle w:val="libAieChar"/>
          <w:rtl/>
        </w:rPr>
        <w:t xml:space="preserve"> إِبْلِيسَ أَبى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ثُمَّ أَوْحى إِلَيْهِ : يَا مُحَمَّدُ ، إِنِّي أَمَرْتُ فَلَمْ أُطَعْ ، فَلَا تَجْزَعْ أَنْتَ إِذَا </w:t>
      </w:r>
      <w:r>
        <w:rPr>
          <w:rStyle w:val="libFootnotenumChar"/>
          <w:rtl/>
        </w:rPr>
        <w:t>(4)</w:t>
      </w:r>
      <w:r w:rsidRPr="00132E65">
        <w:rPr>
          <w:rtl/>
          <w:lang w:bidi="fa-IR"/>
        </w:rPr>
        <w:t xml:space="preserve"> أَمَرْتَ فَلَمْ تُطَعْ فِي وصِيِّكَ » </w:t>
      </w:r>
      <w:r>
        <w:rPr>
          <w:rStyle w:val="libFootnotenumChar"/>
          <w:rtl/>
        </w:rPr>
        <w:t>(5)</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837F6B">
        <w:rPr>
          <w:rtl/>
        </w:rPr>
        <w:t>1161</w:t>
      </w:r>
      <w:r w:rsidRPr="004325D8">
        <w:rPr>
          <w:rStyle w:val="libBold2Char"/>
          <w:rtl/>
        </w:rPr>
        <w:t xml:space="preserve"> / 74.</w:t>
      </w:r>
      <w:r w:rsidRPr="00132E65">
        <w:rPr>
          <w:rtl/>
          <w:lang w:bidi="fa-IR"/>
        </w:rPr>
        <w:t xml:space="preserve"> مُحَمَّدُ بْنُ يَحْيى ، عَنْ أَحْمَدَ بْنِ مُحَمَّدٍ ، عَنِ ابْنِ مَحْبُوبٍ ، عَنِ الْحُسَيْنِ بْنِ نُعَيْمٍ الصَّحَّافِ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قَوْلِهِ تَعَالى </w:t>
      </w:r>
      <w:r>
        <w:rPr>
          <w:rStyle w:val="libFootnotenumChar"/>
          <w:rtl/>
        </w:rPr>
        <w:t>(7)</w:t>
      </w:r>
      <w:r w:rsidRPr="00132E65">
        <w:rPr>
          <w:rtl/>
          <w:lang w:bidi="fa-IR"/>
        </w:rPr>
        <w:t xml:space="preserve"> : </w:t>
      </w:r>
      <w:r w:rsidRPr="00071CF9">
        <w:rPr>
          <w:rStyle w:val="libAlaemChar"/>
          <w:rtl/>
        </w:rPr>
        <w:t>(</w:t>
      </w:r>
      <w:r w:rsidRPr="00071CF9">
        <w:rPr>
          <w:rStyle w:val="libAieChar"/>
          <w:rtl/>
        </w:rPr>
        <w:t xml:space="preserve"> فَمِنْكُمْ كافِرٌ وَمِنْكُمْ مُؤْمِنٌ </w:t>
      </w:r>
      <w:r w:rsidRPr="00071CF9">
        <w:rPr>
          <w:rStyle w:val="libAlaemChar"/>
          <w:rtl/>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(9)</w:t>
      </w:r>
      <w:r w:rsidRPr="00132E65">
        <w:rPr>
          <w:rtl/>
          <w:lang w:bidi="fa-IR"/>
        </w:rPr>
        <w:t xml:space="preserve"> : « عَرَفَ </w:t>
      </w:r>
      <w:r>
        <w:rPr>
          <w:rStyle w:val="libFootnotenumChar"/>
          <w:rtl/>
        </w:rPr>
        <w:t>(10)</w:t>
      </w:r>
      <w:r w:rsidRPr="00132E65">
        <w:rPr>
          <w:rtl/>
          <w:lang w:bidi="fa-IR"/>
        </w:rPr>
        <w:t xml:space="preserve"> اللهُ</w:t>
      </w:r>
      <w:r>
        <w:rPr>
          <w:rtl/>
          <w:lang w:bidi="fa-IR"/>
        </w:rPr>
        <w:t xml:space="preserve"> - </w:t>
      </w:r>
      <w:r w:rsidRPr="00132E65">
        <w:rPr>
          <w:rtl/>
          <w:lang w:bidi="fa-IR"/>
        </w:rPr>
        <w:t>عَزَّ وجَلَّ</w:t>
      </w:r>
      <w:r>
        <w:rPr>
          <w:rtl/>
          <w:lang w:bidi="fa-IR"/>
        </w:rPr>
        <w:t xml:space="preserve"> - </w:t>
      </w:r>
      <w:r w:rsidRPr="00132E65">
        <w:rPr>
          <w:rtl/>
          <w:lang w:bidi="fa-IR"/>
        </w:rPr>
        <w:t xml:space="preserve">إِيمَانَهُمْ بِمُوَالَاتِنَا </w:t>
      </w:r>
      <w:r>
        <w:rPr>
          <w:rStyle w:val="libFootnotenumChar"/>
          <w:rtl/>
        </w:rPr>
        <w:t>(11)</w:t>
      </w:r>
      <w:r w:rsidRPr="00132E65">
        <w:rPr>
          <w:rtl/>
          <w:lang w:bidi="fa-IR"/>
        </w:rPr>
        <w:t xml:space="preserve"> وكُفْرَهُمْ بِهَا </w:t>
      </w:r>
      <w:r>
        <w:rPr>
          <w:rStyle w:val="libFootnotenumChar"/>
          <w:rtl/>
        </w:rPr>
        <w:t>(12)</w:t>
      </w:r>
      <w:r w:rsidRPr="00132E65">
        <w:rPr>
          <w:rtl/>
          <w:lang w:bidi="fa-IR"/>
        </w:rPr>
        <w:t xml:space="preserve"> يَوْمَ أَخَذَ عَلَيْهِمُ الْمِيثَاقَ وهُمْ ذَرٌّ فِي صُلْبِ آدَمَ </w:t>
      </w:r>
      <w:r w:rsidRPr="00071CF9">
        <w:rPr>
          <w:rStyle w:val="libAlaemChar"/>
          <w:rtl/>
        </w:rPr>
        <w:t>عليه‌السلام</w:t>
      </w:r>
      <w:r w:rsidRPr="00132E65">
        <w:rPr>
          <w:rtl/>
          <w:lang w:bidi="fa-IR"/>
        </w:rPr>
        <w:t xml:space="preserve"> </w:t>
      </w:r>
      <w:r w:rsidRPr="00F543F1">
        <w:rPr>
          <w:rStyle w:val="libFootnotenumChar"/>
          <w:rtl/>
        </w:rPr>
        <w:t>(13)</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أفظعه » ، أي وجده فظيعاً ، أي شديدَ الشَناعة. هذا في اللغة. وفي الشروح : أَفْظَعَهُ ، أي ساءه ذلك وغمّه غمّاًشديداً وأزعجه. وأفظعه الأمرُ ، أي اشتدّت عليه شناعته. راجع : </w:t>
      </w:r>
      <w:r w:rsidRPr="00837F6B">
        <w:rPr>
          <w:rtl/>
        </w:rPr>
        <w:t>الصحاح</w:t>
      </w:r>
      <w:r w:rsidRPr="00132E65">
        <w:rPr>
          <w:rtl/>
        </w:rPr>
        <w:t xml:space="preserve"> ، ج 3 ، ص 1259 ( فظع )</w:t>
      </w:r>
      <w:r>
        <w:rPr>
          <w:rtl/>
        </w:rPr>
        <w:t>.</w:t>
      </w:r>
    </w:p>
    <w:p w:rsidR="000C39D1" w:rsidRPr="00132E65" w:rsidRDefault="000C39D1" w:rsidP="000C39D1">
      <w:pPr>
        <w:pStyle w:val="libFootnote0"/>
        <w:rPr>
          <w:rtl/>
          <w:lang w:bidi="fa-IR"/>
        </w:rPr>
      </w:pPr>
      <w:r>
        <w:rPr>
          <w:rtl/>
        </w:rPr>
        <w:t>(2).</w:t>
      </w:r>
      <w:r w:rsidRPr="00132E65">
        <w:rPr>
          <w:rtl/>
        </w:rPr>
        <w:t xml:space="preserve"> « يتأسّى به » ، أي يتعزّى به ويتسلّى به ويتصبّر. راجع : </w:t>
      </w:r>
      <w:r w:rsidRPr="00837F6B">
        <w:rPr>
          <w:rtl/>
        </w:rPr>
        <w:t>الصحاح</w:t>
      </w:r>
      <w:r w:rsidRPr="00132E65">
        <w:rPr>
          <w:rtl/>
        </w:rPr>
        <w:t xml:space="preserve"> ، ج 6 ، ص 2268 ( أسا )</w:t>
      </w:r>
      <w:r>
        <w:rPr>
          <w:rtl/>
        </w:rPr>
        <w:t>.</w:t>
      </w:r>
    </w:p>
    <w:p w:rsidR="000C39D1" w:rsidRPr="00132E65" w:rsidRDefault="000C39D1" w:rsidP="000C39D1">
      <w:pPr>
        <w:pStyle w:val="libFootnote0"/>
        <w:rPr>
          <w:rtl/>
          <w:lang w:bidi="fa-IR"/>
        </w:rPr>
      </w:pPr>
      <w:r>
        <w:rPr>
          <w:rtl/>
        </w:rPr>
        <w:t>(3).</w:t>
      </w:r>
      <w:r w:rsidRPr="00132E65">
        <w:rPr>
          <w:rtl/>
        </w:rPr>
        <w:t xml:space="preserve"> البقرة </w:t>
      </w:r>
      <w:r w:rsidR="00DC44D3">
        <w:rPr>
          <w:rtl/>
        </w:rPr>
        <w:t>(2)</w:t>
      </w:r>
      <w:r w:rsidRPr="00132E65">
        <w:rPr>
          <w:rtl/>
        </w:rPr>
        <w:t xml:space="preserve"> : 34 ؛ طه (20) : 116.</w:t>
      </w:r>
    </w:p>
    <w:p w:rsidR="000C39D1" w:rsidRPr="00132E65" w:rsidRDefault="000C39D1" w:rsidP="000C39D1">
      <w:pPr>
        <w:pStyle w:val="libFootnote0"/>
        <w:rPr>
          <w:rtl/>
          <w:lang w:bidi="fa-IR"/>
        </w:rPr>
      </w:pPr>
      <w:r>
        <w:rPr>
          <w:rtl/>
        </w:rPr>
        <w:t>(4).</w:t>
      </w:r>
      <w:r w:rsidRPr="00132E65">
        <w:rPr>
          <w:rtl/>
        </w:rPr>
        <w:t xml:space="preserve"> في « ف » : « إذا أنت »</w:t>
      </w:r>
      <w:r>
        <w:rPr>
          <w:rtl/>
        </w:rPr>
        <w:t>.</w:t>
      </w:r>
    </w:p>
    <w:p w:rsidR="000C39D1" w:rsidRPr="00132E65" w:rsidRDefault="000C39D1" w:rsidP="000C39D1">
      <w:pPr>
        <w:pStyle w:val="libFootnote0"/>
        <w:rPr>
          <w:rtl/>
          <w:lang w:bidi="fa-IR"/>
        </w:rPr>
      </w:pPr>
      <w:r>
        <w:rPr>
          <w:rtl/>
        </w:rPr>
        <w:t>(5).</w:t>
      </w:r>
      <w:r w:rsidRPr="00132E65">
        <w:rPr>
          <w:rtl/>
        </w:rPr>
        <w:t xml:space="preserve"> في « بس » : « وصيّتك »</w:t>
      </w:r>
      <w:r>
        <w:rPr>
          <w:rtl/>
        </w:rPr>
        <w:t>.</w:t>
      </w:r>
    </w:p>
    <w:p w:rsidR="000C39D1" w:rsidRPr="00132E65" w:rsidRDefault="000C39D1" w:rsidP="00DC44D3">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907 ، ح 1581 ؛ </w:t>
      </w:r>
      <w:r w:rsidRPr="00837F6B">
        <w:rPr>
          <w:rtl/>
        </w:rPr>
        <w:t>البحار</w:t>
      </w:r>
      <w:r w:rsidRPr="00132E65">
        <w:rPr>
          <w:rtl/>
        </w:rPr>
        <w:t xml:space="preserve"> ، ج 24 ، ص 225 ، ح 15 ؛ وج 35 ، ص 191 ، ذيل ح 13 من </w:t>
      </w:r>
      <w:r w:rsidR="00DC44D3">
        <w:rPr>
          <w:rtl/>
        </w:rPr>
        <w:t xml:space="preserve">قوله : </w:t>
      </w:r>
      <w:r w:rsidR="00DC44D3" w:rsidRPr="00DC44D3">
        <w:rPr>
          <w:rStyle w:val="libFootnoteAlaemChar"/>
          <w:rFonts w:hint="cs"/>
          <w:rtl/>
        </w:rPr>
        <w:t>(</w:t>
      </w:r>
      <w:r w:rsidR="00DC44D3" w:rsidRPr="00DC44D3">
        <w:rPr>
          <w:rStyle w:val="libFootnoteAieChar"/>
          <w:rtl/>
        </w:rPr>
        <w:t xml:space="preserve"> وَإِذْ قُلْنَا لِلْمَل</w:t>
      </w:r>
      <w:r w:rsidR="00DC44D3" w:rsidRPr="00DC44D3">
        <w:rPr>
          <w:rStyle w:val="libFootnoteAieChar"/>
          <w:rFonts w:hint="cs"/>
          <w:rtl/>
        </w:rPr>
        <w:t>ائِ</w:t>
      </w:r>
      <w:r w:rsidRPr="00DC44D3">
        <w:rPr>
          <w:rStyle w:val="libFootnoteAieChar"/>
          <w:rtl/>
        </w:rPr>
        <w:t xml:space="preserve">كَةِ </w:t>
      </w:r>
      <w:r w:rsidR="00DC44D3" w:rsidRPr="00DC44D3">
        <w:rPr>
          <w:rStyle w:val="libFootnoteAlaemChar"/>
          <w:rFonts w:hint="cs"/>
          <w:rtl/>
        </w:rPr>
        <w:t>)</w:t>
      </w:r>
      <w:r>
        <w:rPr>
          <w:rtl/>
        </w:rPr>
        <w:t>.</w:t>
      </w:r>
    </w:p>
    <w:p w:rsidR="000C39D1" w:rsidRPr="00132E65" w:rsidRDefault="000C39D1" w:rsidP="000C39D1">
      <w:pPr>
        <w:pStyle w:val="libFootnote0"/>
        <w:rPr>
          <w:rtl/>
          <w:lang w:bidi="fa-IR"/>
        </w:rPr>
      </w:pPr>
      <w:r>
        <w:rPr>
          <w:rtl/>
        </w:rPr>
        <w:t>(7).</w:t>
      </w:r>
      <w:r w:rsidRPr="00132E65">
        <w:rPr>
          <w:rtl/>
        </w:rPr>
        <w:t xml:space="preserve"> هكذا في « ف ، بر »</w:t>
      </w:r>
      <w:r>
        <w:rPr>
          <w:rtl/>
        </w:rPr>
        <w:t>.</w:t>
      </w:r>
      <w:r w:rsidRPr="00132E65">
        <w:rPr>
          <w:rtl/>
        </w:rPr>
        <w:t xml:space="preserve"> وفي </w:t>
      </w:r>
      <w:r w:rsidRPr="000577A7">
        <w:rPr>
          <w:rStyle w:val="libFootnoteBoldChar"/>
          <w:rtl/>
        </w:rPr>
        <w:t>الكافي</w:t>
      </w:r>
      <w:r w:rsidRPr="00132E65">
        <w:rPr>
          <w:rtl/>
        </w:rPr>
        <w:t xml:space="preserve"> ، ح 1091 : « قول الله عزّ وجلّ »</w:t>
      </w:r>
      <w:r>
        <w:rPr>
          <w:rtl/>
        </w:rPr>
        <w:t>.</w:t>
      </w:r>
      <w:r w:rsidRPr="00132E65">
        <w:rPr>
          <w:rtl/>
        </w:rPr>
        <w:t xml:space="preserve"> وفي سائر النسخ والمطبوع </w:t>
      </w:r>
      <w:r>
        <w:rPr>
          <w:rtl/>
        </w:rPr>
        <w:t xml:space="preserve">: - </w:t>
      </w:r>
      <w:r w:rsidRPr="00132E65">
        <w:rPr>
          <w:rtl/>
        </w:rPr>
        <w:t>« تعالى »</w:t>
      </w:r>
      <w:r>
        <w:rPr>
          <w:rtl/>
        </w:rPr>
        <w:t>.</w:t>
      </w:r>
    </w:p>
    <w:tbl>
      <w:tblPr>
        <w:tblStyle w:val="TableGrid"/>
        <w:bidiVisual/>
        <w:tblW w:w="0" w:type="auto"/>
        <w:tblLook w:val="04A0" w:firstRow="1" w:lastRow="0" w:firstColumn="1" w:lastColumn="0" w:noHBand="0" w:noVBand="1"/>
      </w:tblPr>
      <w:tblGrid>
        <w:gridCol w:w="4006"/>
        <w:gridCol w:w="4006"/>
      </w:tblGrid>
      <w:tr w:rsidR="00ED11A3" w:rsidTr="00ED11A3">
        <w:tc>
          <w:tcPr>
            <w:tcW w:w="4006" w:type="dxa"/>
          </w:tcPr>
          <w:p w:rsidR="00ED11A3" w:rsidRDefault="00ED11A3" w:rsidP="000C39D1">
            <w:pPr>
              <w:pStyle w:val="libFootnote0"/>
              <w:rPr>
                <w:rtl/>
              </w:rPr>
            </w:pPr>
            <w:r>
              <w:rPr>
                <w:rtl/>
              </w:rPr>
              <w:t>(8).</w:t>
            </w:r>
            <w:r w:rsidRPr="00132E65">
              <w:rPr>
                <w:rtl/>
              </w:rPr>
              <w:t xml:space="preserve"> التغابن (64) : 2.</w:t>
            </w:r>
          </w:p>
        </w:tc>
        <w:tc>
          <w:tcPr>
            <w:tcW w:w="4006" w:type="dxa"/>
          </w:tcPr>
          <w:p w:rsidR="00ED11A3" w:rsidRDefault="00ED11A3" w:rsidP="000C39D1">
            <w:pPr>
              <w:pStyle w:val="libFootnote0"/>
              <w:rPr>
                <w:rtl/>
              </w:rPr>
            </w:pPr>
            <w:r>
              <w:rPr>
                <w:rtl/>
              </w:rPr>
              <w:t>(9).</w:t>
            </w:r>
            <w:r w:rsidRPr="00132E65">
              <w:rPr>
                <w:rtl/>
              </w:rPr>
              <w:t xml:space="preserve"> في « بف » : « قال »</w:t>
            </w:r>
            <w:r>
              <w:rPr>
                <w:rtl/>
              </w:rPr>
              <w:t>.</w:t>
            </w:r>
          </w:p>
        </w:tc>
      </w:tr>
    </w:tbl>
    <w:p w:rsidR="000C39D1" w:rsidRPr="00132E65" w:rsidRDefault="000C39D1" w:rsidP="000C39D1">
      <w:pPr>
        <w:pStyle w:val="libFootnote0"/>
        <w:rPr>
          <w:rtl/>
          <w:lang w:bidi="fa-IR"/>
        </w:rPr>
      </w:pPr>
      <w:r>
        <w:rPr>
          <w:rtl/>
        </w:rPr>
        <w:t>(10).</w:t>
      </w:r>
      <w:r w:rsidRPr="00132E65">
        <w:rPr>
          <w:rtl/>
        </w:rPr>
        <w:t xml:space="preserve"> في « ب ، ف » : « عرّف » بالتضعيف.</w:t>
      </w:r>
    </w:p>
    <w:p w:rsidR="000C39D1" w:rsidRPr="00132E65" w:rsidRDefault="000C39D1" w:rsidP="000C39D1">
      <w:pPr>
        <w:pStyle w:val="libFootnote0"/>
        <w:rPr>
          <w:rtl/>
          <w:lang w:bidi="fa-IR"/>
        </w:rPr>
      </w:pPr>
      <w:r>
        <w:rPr>
          <w:rtl/>
        </w:rPr>
        <w:t>(11).</w:t>
      </w:r>
      <w:r w:rsidRPr="00132E65">
        <w:rPr>
          <w:rtl/>
        </w:rPr>
        <w:t xml:space="preserve"> في « ب » و</w:t>
      </w:r>
      <w:r w:rsidRPr="000577A7">
        <w:rPr>
          <w:rStyle w:val="libFootnoteBoldChar"/>
          <w:rtl/>
        </w:rPr>
        <w:t>الكافي</w:t>
      </w:r>
      <w:r w:rsidRPr="00132E65">
        <w:rPr>
          <w:rtl/>
        </w:rPr>
        <w:t xml:space="preserve"> ، ح 1091 والبصائر وتفسير القمّي والبحار : « بولايتنا »</w:t>
      </w:r>
      <w:r>
        <w:rPr>
          <w:rtl/>
        </w:rPr>
        <w:t>.</w:t>
      </w:r>
    </w:p>
    <w:p w:rsidR="000C39D1" w:rsidRPr="00132E65" w:rsidRDefault="000C39D1" w:rsidP="000C39D1">
      <w:pPr>
        <w:pStyle w:val="libFootnote0"/>
        <w:rPr>
          <w:rtl/>
          <w:lang w:bidi="fa-IR"/>
        </w:rPr>
      </w:pPr>
      <w:r>
        <w:rPr>
          <w:rtl/>
        </w:rPr>
        <w:t>(12).</w:t>
      </w:r>
      <w:r w:rsidRPr="00132E65">
        <w:rPr>
          <w:rtl/>
        </w:rPr>
        <w:t xml:space="preserve"> في تفسير القمّي : « بتركها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0577A7">
        <w:rPr>
          <w:rStyle w:val="libFootnoteBoldChar"/>
          <w:rtl/>
        </w:rPr>
        <w:t>الكافي</w:t>
      </w:r>
      <w:r w:rsidRPr="00132E65">
        <w:rPr>
          <w:rtl/>
        </w:rPr>
        <w:t xml:space="preserve"> ، ح 1091 والبصائر والبحار : « في صلب آدم </w:t>
      </w:r>
      <w:r w:rsidRPr="00D6030C">
        <w:rPr>
          <w:rStyle w:val="libFootnoteAlaemChar"/>
          <w:rtl/>
        </w:rPr>
        <w:t>عليه‌السلام</w:t>
      </w:r>
      <w:r w:rsidRPr="00132E65">
        <w:rPr>
          <w:rtl/>
        </w:rPr>
        <w:t xml:space="preserve"> وهم ذرّ »</w:t>
      </w:r>
      <w:r>
        <w:rPr>
          <w:rtl/>
        </w:rPr>
        <w:t>.</w:t>
      </w:r>
      <w:r w:rsidRPr="00132E65">
        <w:rPr>
          <w:rtl/>
        </w:rPr>
        <w:t xml:space="preserve"> وفي تفسير القمّي : « وهم في عالم الذرّ وفي صلب آدم </w:t>
      </w:r>
      <w:r w:rsidRPr="00D6030C">
        <w:rPr>
          <w:rStyle w:val="libFootnoteAlaemChar"/>
          <w:rtl/>
        </w:rPr>
        <w:t>عليه‌السلام</w:t>
      </w:r>
      <w:r w:rsidRPr="00132E65">
        <w:rPr>
          <w:rtl/>
        </w:rPr>
        <w:t xml:space="preserve"> »</w:t>
      </w:r>
      <w:r>
        <w:rPr>
          <w:rtl/>
        </w:rPr>
        <w:t>.</w:t>
      </w:r>
      <w:r w:rsidRPr="00132E65">
        <w:rPr>
          <w:rtl/>
        </w:rPr>
        <w:t xml:space="preserve"> كلاهما بدل « وهم ذرّ في صلب آدم </w:t>
      </w:r>
      <w:r w:rsidRPr="00D6030C">
        <w:rPr>
          <w:rStyle w:val="libFootnoteAlaemChar"/>
          <w:rtl/>
        </w:rPr>
        <w:t>عليه‌السلام</w:t>
      </w:r>
      <w:r w:rsidRPr="00132E65">
        <w:rPr>
          <w:rtl/>
        </w:rPr>
        <w:t xml:space="preserve">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وَسَأَلْتُهُ </w:t>
      </w:r>
      <w:r>
        <w:rPr>
          <w:rStyle w:val="libFootnotenumChar"/>
          <w:rtl/>
        </w:rPr>
        <w:t>(1)</w:t>
      </w:r>
      <w:r w:rsidRPr="00132E65">
        <w:rPr>
          <w:rtl/>
          <w:lang w:bidi="fa-IR"/>
        </w:rPr>
        <w:t xml:space="preserve"> عَنْ قَوْلِهِ </w:t>
      </w:r>
      <w:r>
        <w:rPr>
          <w:rStyle w:val="libFootnotenumChar"/>
          <w:rtl/>
        </w:rPr>
        <w:t>(2)</w:t>
      </w:r>
      <w:r w:rsidRPr="00132E65">
        <w:rPr>
          <w:rtl/>
          <w:lang w:bidi="fa-IR"/>
        </w:rPr>
        <w:t xml:space="preserve"> عَزَّ وجَلَّ : </w:t>
      </w:r>
      <w:r w:rsidRPr="00071CF9">
        <w:rPr>
          <w:rStyle w:val="libAlaemChar"/>
          <w:rtl/>
        </w:rPr>
        <w:t>(</w:t>
      </w:r>
      <w:r w:rsidRPr="00071CF9">
        <w:rPr>
          <w:rStyle w:val="libAieChar"/>
          <w:rtl/>
        </w:rPr>
        <w:t xml:space="preserve"> أَطِيعُوا اللهَ وَأَطِيعُوا الرَّسُولَ فَإِنْ تَوَلَّيْتُمْ فَإِنَّما عَلى رَسُولِنَا الْبَلاغُ الْمُبِينُ </w:t>
      </w:r>
      <w:r w:rsidRPr="00071CF9">
        <w:rPr>
          <w:rStyle w:val="libAlaemChar"/>
          <w:rtl/>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132E65">
        <w:rPr>
          <w:rtl/>
          <w:lang w:bidi="fa-IR"/>
        </w:rPr>
        <w:t xml:space="preserve">فَقَالَ : « أَمَا واللهِ مَا هَلَكَ مَنْ كَانَ قَبْلَكُمْ ، ومَا هَلَكَ مَنْ هَلَكَ حَتّى يَقُومَ قَائِمُنَا </w:t>
      </w:r>
      <w:r w:rsidRPr="00071CF9">
        <w:rPr>
          <w:rStyle w:val="libAlaemChar"/>
          <w:rtl/>
        </w:rPr>
        <w:t>عليه‌السلام</w:t>
      </w:r>
      <w:r w:rsidR="00D6030C">
        <w:rPr>
          <w:rtl/>
          <w:lang w:bidi="fa-IR"/>
        </w:rPr>
        <w:t xml:space="preserve"> إِل</w:t>
      </w:r>
      <w:r w:rsidR="00D6030C">
        <w:rPr>
          <w:rFonts w:hint="cs"/>
          <w:rtl/>
          <w:lang w:bidi="fa-IR"/>
        </w:rPr>
        <w:t>َّ</w:t>
      </w:r>
      <w:r w:rsidR="00D6030C">
        <w:rPr>
          <w:rtl/>
          <w:lang w:bidi="fa-IR"/>
        </w:rPr>
        <w:t>ا</w:t>
      </w:r>
      <w:r w:rsidRPr="00132E65">
        <w:rPr>
          <w:rtl/>
          <w:lang w:bidi="fa-IR"/>
        </w:rPr>
        <w:t xml:space="preserve"> فِي تَرْكِ ولَايَتِنَا وجُحُودِ حَقِّنَا ، ومَا خَرَجَ رَسُولُ اللهِ </w:t>
      </w:r>
      <w:r w:rsidRPr="0093484F">
        <w:rPr>
          <w:rStyle w:val="libAlaemChar"/>
          <w:rFonts w:eastAsiaTheme="minorHAnsi"/>
          <w:rtl/>
        </w:rPr>
        <w:t>صلى‌الله‌عليه‌وآله</w:t>
      </w:r>
      <w:r w:rsidRPr="00132E65">
        <w:rPr>
          <w:rtl/>
          <w:lang w:bidi="fa-IR"/>
        </w:rPr>
        <w:t xml:space="preserve"> مِنَ الدُّنْيَا حَتّى أَلْزَمَ رِقَابَ هذِهِ الْأُمَّةِ حَقَّنَا : </w:t>
      </w:r>
      <w:r w:rsidRPr="00071CF9">
        <w:rPr>
          <w:rStyle w:val="libAlaemChar"/>
          <w:rtl/>
        </w:rPr>
        <w:t>(</w:t>
      </w:r>
      <w:r w:rsidRPr="00071CF9">
        <w:rPr>
          <w:rStyle w:val="libAieChar"/>
          <w:rtl/>
        </w:rPr>
        <w:t xml:space="preserve"> وَاللهُ يَهْدِي مَنْ يَشاءُ إِلى صِر</w:t>
      </w:r>
      <w:r w:rsidR="00D6030C">
        <w:rPr>
          <w:rStyle w:val="libAieChar"/>
          <w:rFonts w:hint="cs"/>
          <w:rtl/>
        </w:rPr>
        <w:t>َ</w:t>
      </w:r>
      <w:r w:rsidRPr="00071CF9">
        <w:rPr>
          <w:rStyle w:val="libAieChar"/>
          <w:rtl/>
        </w:rPr>
        <w:t xml:space="preserve">اطٍ مُسْتَقِيمٍ </w:t>
      </w:r>
      <w:r w:rsidRPr="00071CF9">
        <w:rPr>
          <w:rStyle w:val="libAlaemChar"/>
          <w:rtl/>
        </w:rPr>
        <w:t>)</w:t>
      </w:r>
      <w:r w:rsidRPr="00907B5E">
        <w:rPr>
          <w:rFonts w:hint="cs"/>
          <w:rtl/>
        </w:rPr>
        <w:t xml:space="preserve"> </w:t>
      </w:r>
      <w:r>
        <w:rPr>
          <w:rStyle w:val="libFootnotenumChar"/>
          <w:rtl/>
        </w:rPr>
        <w:t>(4)</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837F6B">
        <w:rPr>
          <w:rtl/>
        </w:rPr>
        <w:t>1162</w:t>
      </w:r>
      <w:r w:rsidRPr="004325D8">
        <w:rPr>
          <w:rStyle w:val="libBold2Char"/>
          <w:rtl/>
        </w:rPr>
        <w:t xml:space="preserve"> / 75.</w:t>
      </w:r>
      <w:r w:rsidRPr="00132E65">
        <w:rPr>
          <w:rtl/>
          <w:lang w:bidi="fa-IR"/>
        </w:rPr>
        <w:t xml:space="preserve"> مُحَمَّدُ بْنُ الْحَسَنِ وعَلِيُّ بْنُ مُحَمَّدٍ ، عَنْ سَهْلِ بْنِ زِيَادٍ ، عَنْ مُوسَى بْنِ الْقَاسِمِ الْبَجَلِيِّ ، عَنْ عَلِيِّ بْنِ جَعْفَرٍ :</w:t>
      </w:r>
    </w:p>
    <w:p w:rsidR="000C39D1" w:rsidRPr="00132E65" w:rsidRDefault="000C39D1" w:rsidP="00D6030C">
      <w:pPr>
        <w:pStyle w:val="libNormal"/>
        <w:rPr>
          <w:rtl/>
          <w:lang w:bidi="fa-IR"/>
        </w:rPr>
      </w:pPr>
      <w:r w:rsidRPr="00132E65">
        <w:rPr>
          <w:rtl/>
          <w:lang w:bidi="fa-IR"/>
        </w:rPr>
        <w:t xml:space="preserve">عَنْ أَخِيهِ مُوسى </w:t>
      </w:r>
      <w:r>
        <w:rPr>
          <w:rStyle w:val="libFootnotenumChar"/>
          <w:rtl/>
        </w:rPr>
        <w:t>(6)</w:t>
      </w:r>
      <w:r w:rsidRPr="00132E65">
        <w:rPr>
          <w:rtl/>
          <w:lang w:bidi="fa-IR"/>
        </w:rPr>
        <w:t xml:space="preserve">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وَبِئْرٍ مُعَطَّلَةٍ وَقَصْرٍ مَشِيدٍ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قَالَ : « الْبِئْرُ الْمُعَطَّلَةُ : الْإِمَامُ الصَّامِتُ ، والْقَصْرُ الْمَشِيدُ : الْإِمَامُ النَّاطِقُ »</w:t>
      </w:r>
      <w:r>
        <w:rPr>
          <w:rtl/>
          <w:lang w:bidi="fa-IR"/>
        </w:rPr>
        <w:t>.</w:t>
      </w:r>
      <w:r w:rsidRPr="00132E65">
        <w:rPr>
          <w:rtl/>
          <w:lang w:bidi="fa-IR"/>
        </w:rPr>
        <w:t xml:space="preserve"> </w:t>
      </w:r>
      <w:r>
        <w:rPr>
          <w:rStyle w:val="libFootnotenumChar"/>
          <w:rtl/>
        </w:rPr>
        <w:t>(8)</w:t>
      </w:r>
    </w:p>
    <w:p w:rsidR="000C39D1" w:rsidRPr="00132E65" w:rsidRDefault="00D6030C" w:rsidP="000C39D1">
      <w:pPr>
        <w:pStyle w:val="libNormal"/>
        <w:rPr>
          <w:rtl/>
          <w:lang w:bidi="fa-IR"/>
        </w:rPr>
      </w:pPr>
      <w:r>
        <w:rPr>
          <w:rFonts w:hint="cs"/>
          <w:rtl/>
          <w:lang w:bidi="fa-IR"/>
        </w:rPr>
        <w:t xml:space="preserve">* </w:t>
      </w:r>
      <w:r w:rsidR="000C39D1" w:rsidRPr="00132E65">
        <w:rPr>
          <w:rtl/>
          <w:lang w:bidi="fa-IR"/>
        </w:rPr>
        <w:t xml:space="preserve">ورَوَاهُ </w:t>
      </w:r>
      <w:r w:rsidR="000C39D1">
        <w:rPr>
          <w:rStyle w:val="libFootnotenumChar"/>
          <w:rtl/>
        </w:rPr>
        <w:t>(9)</w:t>
      </w:r>
      <w:r w:rsidR="000C39D1" w:rsidRPr="00132E65">
        <w:rPr>
          <w:rtl/>
          <w:lang w:bidi="fa-IR"/>
        </w:rPr>
        <w:t xml:space="preserve"> مُحَمَّدُ بْنُ يَحْيى ، عَنِ الْعَمْرَكِيِّ ، عَنْ عَلِيِّ بْنِ جَعْفَرٍ ، عَنْ أَبِي الْحَسَنِ </w:t>
      </w:r>
      <w:r w:rsidR="000C39D1" w:rsidRPr="00071CF9">
        <w:rPr>
          <w:rStyle w:val="libAlaemChar"/>
          <w:rtl/>
        </w:rPr>
        <w:t>عليه‌السلام</w:t>
      </w:r>
      <w:r w:rsidR="000C39D1" w:rsidRPr="00132E65">
        <w:rPr>
          <w:rtl/>
          <w:lang w:bidi="fa-IR"/>
        </w:rPr>
        <w:t xml:space="preserve"> ، مِثْلَهُ.</w:t>
      </w:r>
    </w:p>
    <w:p w:rsidR="000C39D1" w:rsidRPr="00132E65" w:rsidRDefault="000C39D1" w:rsidP="000C39D1">
      <w:pPr>
        <w:pStyle w:val="libNormal"/>
        <w:rPr>
          <w:rtl/>
          <w:lang w:bidi="fa-IR"/>
        </w:rPr>
      </w:pPr>
      <w:r w:rsidRPr="00837F6B">
        <w:rPr>
          <w:rtl/>
        </w:rPr>
        <w:t>1163</w:t>
      </w:r>
      <w:r w:rsidRPr="004325D8">
        <w:rPr>
          <w:rStyle w:val="libBold2Char"/>
          <w:rtl/>
        </w:rPr>
        <w:t xml:space="preserve"> / 76.</w:t>
      </w:r>
      <w:r w:rsidRPr="00132E65">
        <w:rPr>
          <w:rtl/>
          <w:lang w:bidi="fa-IR"/>
        </w:rPr>
        <w:t xml:space="preserve"> عَلِيُّ بْنُ إِبْرَاهِيمَ ، عَنْ أَبِيهِ ، عَنِ الْحَكَمِ بْنِ بُهْلُولٍ ، عَنْ رَجُلٍ :</w:t>
      </w:r>
    </w:p>
    <w:p w:rsidR="000C39D1" w:rsidRPr="00132E65" w:rsidRDefault="000C39D1" w:rsidP="000C39D1">
      <w:pPr>
        <w:pStyle w:val="libNormal"/>
        <w:rPr>
          <w:rtl/>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وَلَقَدْ أُوحِيَ إِلَيْكَ وَإِلَى الَّذِينَ مِنْ قَبْلِكَ لَئِنْ أَشْرَكْتَ</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6030C" w:rsidTr="00D6030C">
        <w:tc>
          <w:tcPr>
            <w:tcW w:w="4006" w:type="dxa"/>
          </w:tcPr>
          <w:p w:rsidR="00D6030C" w:rsidRDefault="00D6030C" w:rsidP="000C39D1">
            <w:pPr>
              <w:pStyle w:val="libFootnote0"/>
              <w:rPr>
                <w:rtl/>
              </w:rPr>
            </w:pPr>
            <w:r>
              <w:rPr>
                <w:rtl/>
              </w:rPr>
              <w:t>(1).</w:t>
            </w:r>
            <w:r w:rsidRPr="00132E65">
              <w:rPr>
                <w:rtl/>
              </w:rPr>
              <w:t xml:space="preserve"> في « ف » : « قال : فسألته »</w:t>
            </w:r>
            <w:r>
              <w:rPr>
                <w:rtl/>
              </w:rPr>
              <w:t>.</w:t>
            </w:r>
          </w:p>
        </w:tc>
        <w:tc>
          <w:tcPr>
            <w:tcW w:w="4006" w:type="dxa"/>
          </w:tcPr>
          <w:p w:rsidR="00D6030C" w:rsidRDefault="00D6030C" w:rsidP="000C39D1">
            <w:pPr>
              <w:pStyle w:val="libFootnote0"/>
              <w:rPr>
                <w:rtl/>
              </w:rPr>
            </w:pPr>
            <w:r>
              <w:rPr>
                <w:rtl/>
              </w:rPr>
              <w:t>(2). في «ب ، ج ، بر»</w:t>
            </w:r>
            <w:r w:rsidRPr="00132E65">
              <w:rPr>
                <w:rtl/>
              </w:rPr>
              <w:t>و</w:t>
            </w:r>
            <w:r w:rsidRPr="009D1ACE">
              <w:rPr>
                <w:rStyle w:val="libFootnoteBoldChar"/>
                <w:rtl/>
              </w:rPr>
              <w:t>الوافي</w:t>
            </w:r>
            <w:r>
              <w:rPr>
                <w:rtl/>
              </w:rPr>
              <w:t xml:space="preserve"> والبحار:</w:t>
            </w:r>
            <w:r w:rsidRPr="00132E65">
              <w:rPr>
                <w:rtl/>
              </w:rPr>
              <w:t>« قول الله »</w:t>
            </w:r>
            <w:r>
              <w:rPr>
                <w:rtl/>
              </w:rPr>
              <w:t>.</w:t>
            </w:r>
          </w:p>
        </w:tc>
      </w:tr>
      <w:tr w:rsidR="00D6030C" w:rsidTr="00D6030C">
        <w:tc>
          <w:tcPr>
            <w:tcW w:w="4006" w:type="dxa"/>
          </w:tcPr>
          <w:p w:rsidR="00D6030C" w:rsidRDefault="00D6030C" w:rsidP="000C39D1">
            <w:pPr>
              <w:pStyle w:val="libFootnote0"/>
              <w:rPr>
                <w:rtl/>
              </w:rPr>
            </w:pPr>
            <w:r>
              <w:rPr>
                <w:rtl/>
              </w:rPr>
              <w:t>(3).</w:t>
            </w:r>
            <w:r w:rsidRPr="00132E65">
              <w:rPr>
                <w:rtl/>
              </w:rPr>
              <w:t xml:space="preserve"> التغابن (64) : 12.</w:t>
            </w:r>
          </w:p>
        </w:tc>
        <w:tc>
          <w:tcPr>
            <w:tcW w:w="4006" w:type="dxa"/>
          </w:tcPr>
          <w:p w:rsidR="00D6030C" w:rsidRDefault="00D6030C" w:rsidP="000C39D1">
            <w:pPr>
              <w:pStyle w:val="libFootnote0"/>
              <w:rPr>
                <w:rtl/>
              </w:rPr>
            </w:pPr>
            <w:r>
              <w:rPr>
                <w:rtl/>
              </w:rPr>
              <w:t>(4).</w:t>
            </w:r>
            <w:r w:rsidRPr="00132E65">
              <w:rPr>
                <w:rtl/>
              </w:rPr>
              <w:t xml:space="preserve"> البقرة </w:t>
            </w:r>
            <w:r>
              <w:rPr>
                <w:rtl/>
              </w:rPr>
              <w:t>(2)</w:t>
            </w:r>
            <w:r w:rsidRPr="00132E65">
              <w:rPr>
                <w:rtl/>
              </w:rPr>
              <w:t xml:space="preserve"> : 213 ؛ النور (24) : 46.</w:t>
            </w:r>
          </w:p>
        </w:tc>
      </w:tr>
    </w:tbl>
    <w:p w:rsidR="000C39D1" w:rsidRPr="00132E65" w:rsidRDefault="000C39D1" w:rsidP="001C645B">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1091. وفي </w:t>
      </w:r>
      <w:r w:rsidRPr="007A1104">
        <w:rPr>
          <w:rStyle w:val="libFootnoteBoldChar"/>
          <w:rtl/>
        </w:rPr>
        <w:t>بصائر الدرجات</w:t>
      </w:r>
      <w:r w:rsidRPr="00132E65">
        <w:rPr>
          <w:rtl/>
        </w:rPr>
        <w:t xml:space="preserve"> ، ص 81 ، ح 2 ، عن أحمد بن محمّد ، عن الحسن بن محبوب ؛ </w:t>
      </w:r>
      <w:r w:rsidRPr="00837F6B">
        <w:rPr>
          <w:rtl/>
        </w:rPr>
        <w:t>تفسير القمّي</w:t>
      </w:r>
      <w:r w:rsidRPr="00132E65">
        <w:rPr>
          <w:rtl/>
        </w:rPr>
        <w:t xml:space="preserve"> ، ج 2 ، ص 371 ، عن عليّ بن الحسين ، عن أحمد بن أبي عبد الله ، عن ابن محبوب ، وفي كلّها إلى قوله : « وهم ذرّ في صلب آدم </w:t>
      </w:r>
      <w:r w:rsidRPr="00D6030C">
        <w:rPr>
          <w:rStyle w:val="libFootnoteAlaemChar"/>
          <w:rtl/>
        </w:rPr>
        <w:t>عليه‌السلام</w:t>
      </w:r>
      <w:r w:rsidRPr="00132E65">
        <w:rPr>
          <w:rtl/>
        </w:rPr>
        <w:t xml:space="preserve"> »</w:t>
      </w:r>
      <w:r w:rsidR="001C645B">
        <w:rPr>
          <w:rFonts w:hint="cs"/>
          <w:rtl/>
        </w:rPr>
        <w:t>.</w:t>
      </w:r>
      <w:r w:rsidRPr="009D1ACE">
        <w:rPr>
          <w:rStyle w:val="libFootnoteBoldChar"/>
          <w:rtl/>
        </w:rPr>
        <w:t>الوافي</w:t>
      </w:r>
      <w:r w:rsidRPr="00132E65">
        <w:rPr>
          <w:rtl/>
        </w:rPr>
        <w:t xml:space="preserve"> ، ج 3 ، ص 908 ، ح 1582 ؛ </w:t>
      </w:r>
      <w:r w:rsidRPr="00837F6B">
        <w:rPr>
          <w:rtl/>
        </w:rPr>
        <w:t>البحار</w:t>
      </w:r>
      <w:r w:rsidRPr="00132E65">
        <w:rPr>
          <w:rtl/>
        </w:rPr>
        <w:t xml:space="preserve"> ، ج 23 ، ص 380 ، ح 68.</w:t>
      </w:r>
    </w:p>
    <w:tbl>
      <w:tblPr>
        <w:tblStyle w:val="TableGrid"/>
        <w:bidiVisual/>
        <w:tblW w:w="0" w:type="auto"/>
        <w:tblLook w:val="04A0" w:firstRow="1" w:lastRow="0" w:firstColumn="1" w:lastColumn="0" w:noHBand="0" w:noVBand="1"/>
      </w:tblPr>
      <w:tblGrid>
        <w:gridCol w:w="4006"/>
        <w:gridCol w:w="4006"/>
      </w:tblGrid>
      <w:tr w:rsidR="001C645B" w:rsidTr="001C645B">
        <w:tc>
          <w:tcPr>
            <w:tcW w:w="4006" w:type="dxa"/>
          </w:tcPr>
          <w:p w:rsidR="001C645B" w:rsidRDefault="001C645B" w:rsidP="000C39D1">
            <w:pPr>
              <w:pStyle w:val="libFootnote0"/>
              <w:rPr>
                <w:rtl/>
              </w:rPr>
            </w:pPr>
            <w:r>
              <w:rPr>
                <w:rtl/>
              </w:rPr>
              <w:t>(6).</w:t>
            </w:r>
            <w:r w:rsidRPr="00132E65">
              <w:rPr>
                <w:rtl/>
              </w:rPr>
              <w:t xml:space="preserve"> في « ض » :</w:t>
            </w:r>
            <w:r>
              <w:rPr>
                <w:rtl/>
              </w:rPr>
              <w:t xml:space="preserve"> + </w:t>
            </w:r>
            <w:r w:rsidRPr="00132E65">
              <w:rPr>
                <w:rtl/>
              </w:rPr>
              <w:t>« بن جعفر »</w:t>
            </w:r>
            <w:r>
              <w:rPr>
                <w:rtl/>
              </w:rPr>
              <w:t>.</w:t>
            </w:r>
          </w:p>
        </w:tc>
        <w:tc>
          <w:tcPr>
            <w:tcW w:w="4006" w:type="dxa"/>
          </w:tcPr>
          <w:p w:rsidR="001C645B" w:rsidRDefault="001C645B" w:rsidP="000C39D1">
            <w:pPr>
              <w:pStyle w:val="libFootnote0"/>
              <w:rPr>
                <w:rtl/>
              </w:rPr>
            </w:pPr>
            <w:r>
              <w:rPr>
                <w:rtl/>
              </w:rPr>
              <w:t>(7).</w:t>
            </w:r>
            <w:r w:rsidRPr="00132E65">
              <w:rPr>
                <w:rtl/>
              </w:rPr>
              <w:t xml:space="preserve"> الحجّ (22) : 45.</w:t>
            </w:r>
          </w:p>
        </w:tc>
      </w:tr>
    </w:tbl>
    <w:p w:rsidR="000C39D1" w:rsidRPr="00132E65" w:rsidRDefault="000C39D1" w:rsidP="00BC336B">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505 ، ح 4 ؛ و</w:t>
      </w:r>
      <w:r w:rsidRPr="00837F6B">
        <w:rPr>
          <w:rtl/>
        </w:rPr>
        <w:t xml:space="preserve">كمال الدين </w:t>
      </w:r>
      <w:r w:rsidRPr="00132E65">
        <w:rPr>
          <w:rtl/>
        </w:rPr>
        <w:t>، ص 417 ، ح 10 ؛ و</w:t>
      </w:r>
      <w:r w:rsidRPr="00837F6B">
        <w:rPr>
          <w:rtl/>
        </w:rPr>
        <w:t>معاني الأخبار</w:t>
      </w:r>
      <w:r w:rsidRPr="00132E65">
        <w:rPr>
          <w:rtl/>
        </w:rPr>
        <w:t xml:space="preserve"> ، ص 111 ، ح 1 </w:t>
      </w:r>
      <w:r>
        <w:rPr>
          <w:rtl/>
        </w:rPr>
        <w:t>و 2</w:t>
      </w:r>
      <w:r w:rsidRPr="00132E65">
        <w:rPr>
          <w:rtl/>
        </w:rPr>
        <w:t xml:space="preserve"> ، بسند آخر عن أبي عبد الله </w:t>
      </w:r>
      <w:r w:rsidRPr="00D6030C">
        <w:rPr>
          <w:rStyle w:val="libFootnoteAlaemChar"/>
          <w:rtl/>
        </w:rPr>
        <w:t>عليه‌السلام</w:t>
      </w:r>
      <w:r w:rsidR="00BC336B">
        <w:rPr>
          <w:rFonts w:hint="cs"/>
          <w:rtl/>
        </w:rPr>
        <w:t>.</w:t>
      </w:r>
      <w:r w:rsidRPr="009D1ACE">
        <w:rPr>
          <w:rStyle w:val="libFootnoteBoldChar"/>
          <w:rtl/>
        </w:rPr>
        <w:t>الوافي</w:t>
      </w:r>
      <w:r w:rsidRPr="00132E65">
        <w:rPr>
          <w:rtl/>
        </w:rPr>
        <w:t xml:space="preserve"> ، ج 3 ، ص 898 ، ح 1560.</w:t>
      </w:r>
    </w:p>
    <w:p w:rsidR="000C39D1" w:rsidRPr="00132E65" w:rsidRDefault="000C39D1" w:rsidP="000C39D1">
      <w:pPr>
        <w:pStyle w:val="libFootnote0"/>
        <w:rPr>
          <w:rtl/>
          <w:lang w:bidi="fa-IR"/>
        </w:rPr>
      </w:pPr>
      <w:r>
        <w:rPr>
          <w:rtl/>
        </w:rPr>
        <w:t>(9).</w:t>
      </w:r>
      <w:r w:rsidRPr="00132E65">
        <w:rPr>
          <w:rtl/>
        </w:rPr>
        <w:t xml:space="preserve"> في « ب » وحاشية « ض » : « وروى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لَيَحْبَطَنَّ عَمَلُكَ </w:t>
      </w:r>
      <w:r w:rsidRPr="00071CF9">
        <w:rPr>
          <w:rStyle w:val="libAlaemChar"/>
          <w:rtl/>
        </w:rPr>
        <w:t>)</w:t>
      </w:r>
      <w:r w:rsidRPr="00132E65">
        <w:rPr>
          <w:rtl/>
          <w:lang w:bidi="fa-IR"/>
        </w:rPr>
        <w:t xml:space="preserve"> قَالَ : « يَعْنِي إِنْ أَشْرَكْتَ فِي الْوَلَايَةِ غَيْرَهُ.</w:t>
      </w:r>
      <w:r w:rsidRPr="00071CF9">
        <w:rPr>
          <w:rStyle w:val="libAlaemChar"/>
          <w:rtl/>
        </w:rPr>
        <w:t>(</w:t>
      </w:r>
      <w:r w:rsidRPr="00071CF9">
        <w:rPr>
          <w:rStyle w:val="libAieChar"/>
          <w:rtl/>
        </w:rPr>
        <w:t xml:space="preserve"> بَلِ اللهَ فَاعْبُدْ وَكُنْ مِنَ الشّاكِرِينَ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يَعْنِي بَلِ اللهَ فَاعْبُدْ بِالطَّاعَةِ ، وكُنْ مِنَ الشَّاكِرِينَ أَنْ عَضَدْتُكَ بِأَخِيكَ وابْنِ عَمِّكَ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837F6B">
        <w:rPr>
          <w:rtl/>
        </w:rPr>
        <w:t>1164</w:t>
      </w:r>
      <w:r w:rsidRPr="004325D8">
        <w:rPr>
          <w:rStyle w:val="libBold2Char"/>
          <w:rtl/>
        </w:rPr>
        <w:t xml:space="preserve"> / 77.</w:t>
      </w:r>
      <w:r w:rsidRPr="00132E65">
        <w:rPr>
          <w:rtl/>
          <w:lang w:bidi="fa-IR"/>
        </w:rPr>
        <w:t xml:space="preserve"> الْحُسَيْنُ بْنُ مُحَمَّدٍ ، عَنْ مُعَلَّى بْنِ مُحَمَّدٍ ، عَنْ أَحْمَدَ بْنِ مُحَمَّدٍ ، عَنِ الْحَسَنِ بْنِ مُحَمَّدٍ الْهَاشِمِيِّ ، قَالَ : حَدَّثَنِي أَبِي ، عَنْ أَحْمَدَ بْنِ عِيسى ، قَالَ :</w:t>
      </w:r>
    </w:p>
    <w:p w:rsidR="000C39D1" w:rsidRPr="00132E65" w:rsidRDefault="000C39D1" w:rsidP="000C39D1">
      <w:pPr>
        <w:pStyle w:val="libNormal"/>
        <w:rPr>
          <w:rtl/>
          <w:lang w:bidi="fa-IR"/>
        </w:rPr>
      </w:pPr>
      <w:r w:rsidRPr="00132E65">
        <w:rPr>
          <w:rtl/>
          <w:lang w:bidi="fa-IR"/>
        </w:rPr>
        <w:t xml:space="preserve">حَدَّثَنِي جَعْفَرُ بْنُ مُحَمَّدٍ ، عَنْ أَبِيهِ ، عَنْ جَدِّهِ </w:t>
      </w:r>
      <w:r w:rsidRPr="00071CF9">
        <w:rPr>
          <w:rStyle w:val="libAlaemChar"/>
          <w:rtl/>
        </w:rPr>
        <w:t>عليهم‌السلام</w:t>
      </w:r>
      <w:r w:rsidRPr="00132E65">
        <w:rPr>
          <w:rtl/>
          <w:lang w:bidi="fa-IR"/>
        </w:rPr>
        <w:t xml:space="preserve"> فِي قَوْلِهِ عَزَّ وجَلَّ : </w:t>
      </w:r>
      <w:r w:rsidRPr="00071CF9">
        <w:rPr>
          <w:rStyle w:val="libAlaemChar"/>
          <w:rtl/>
        </w:rPr>
        <w:t>(</w:t>
      </w:r>
      <w:r w:rsidRPr="00071CF9">
        <w:rPr>
          <w:rStyle w:val="libAieChar"/>
          <w:rtl/>
        </w:rPr>
        <w:t xml:space="preserve"> يَعْرِفُونَ نِعْمَتَ اللهِ ثُمَّ يُنْكِرُونَها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قَالَ : « لَمَّا نَزَلَتْ</w:t>
      </w:r>
      <w:r>
        <w:rPr>
          <w:rFonts w:hint="cs"/>
          <w:rtl/>
          <w:lang w:bidi="fa-IR"/>
        </w:rPr>
        <w:t xml:space="preserve"> </w:t>
      </w:r>
      <w:r w:rsidRPr="00071CF9">
        <w:rPr>
          <w:rStyle w:val="libAlaemChar"/>
          <w:rtl/>
        </w:rPr>
        <w:t>(</w:t>
      </w:r>
      <w:r w:rsidRPr="00071CF9">
        <w:rPr>
          <w:rStyle w:val="libAieChar"/>
          <w:rtl/>
        </w:rPr>
        <w:t xml:space="preserve"> إِنَّما وَلِيُّكُمُ اللهُ وَرَسُولُهُ وَالَّذِينَ آمَنُوا الَّذِينَ يُقِيمُونَ الصَّلاةَ وَيُؤْتُونَ الزَّكاةَ وَهُمْ راكِعُونَ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اجْتَمَعَ نَفَرٌ مِنْ أَصْحَابِ رَسُولِ اللهِ </w:t>
      </w:r>
      <w:r w:rsidRPr="0093484F">
        <w:rPr>
          <w:rStyle w:val="libAlaemChar"/>
          <w:rFonts w:eastAsiaTheme="minorHAnsi"/>
          <w:rtl/>
        </w:rPr>
        <w:t>صلى‌الله‌عليه‌وآله</w:t>
      </w:r>
      <w:r w:rsidRPr="00132E65">
        <w:rPr>
          <w:rtl/>
          <w:lang w:bidi="fa-IR"/>
        </w:rPr>
        <w:t xml:space="preserve"> فِي مَسْجِدِ الْمَدِينَةِ ، فَقَالَ بَعْضُهُمْ لِبَعْضٍ : مَا تَقُولُونَ فِي هذِهِ الْآيَةِ</w:t>
      </w:r>
      <w:r>
        <w:rPr>
          <w:rtl/>
          <w:lang w:bidi="fa-IR"/>
        </w:rPr>
        <w:t>؟</w:t>
      </w:r>
      <w:r w:rsidRPr="00132E65">
        <w:rPr>
          <w:rtl/>
          <w:lang w:bidi="fa-IR"/>
        </w:rPr>
        <w:t xml:space="preserve"> فَقَالَ بَعْضُهُمْ </w:t>
      </w:r>
      <w:r>
        <w:rPr>
          <w:rStyle w:val="libFootnotenumChar"/>
          <w:rtl/>
        </w:rPr>
        <w:t>(5)</w:t>
      </w:r>
      <w:r w:rsidRPr="00132E65">
        <w:rPr>
          <w:rtl/>
          <w:lang w:bidi="fa-IR"/>
        </w:rPr>
        <w:t xml:space="preserve"> : إِنْ كَفَرْنَا بِهذِهِ </w:t>
      </w:r>
      <w:r>
        <w:rPr>
          <w:rStyle w:val="libFootnotenumChar"/>
          <w:rtl/>
        </w:rPr>
        <w:t>(6)</w:t>
      </w:r>
      <w:r w:rsidRPr="00132E65">
        <w:rPr>
          <w:rtl/>
          <w:lang w:bidi="fa-IR"/>
        </w:rPr>
        <w:t xml:space="preserve"> الْآيَةِ ، نَكْفُرُ </w:t>
      </w:r>
      <w:r>
        <w:rPr>
          <w:rStyle w:val="libFootnotenumChar"/>
          <w:rtl/>
        </w:rPr>
        <w:t>(7)</w:t>
      </w:r>
      <w:r w:rsidRPr="00132E65">
        <w:rPr>
          <w:rtl/>
          <w:lang w:bidi="fa-IR"/>
        </w:rPr>
        <w:t xml:space="preserve"> بِسَائِرِهَا ؛ وإِنْ </w:t>
      </w:r>
      <w:r>
        <w:rPr>
          <w:rStyle w:val="libFootnotenumChar"/>
          <w:rtl/>
        </w:rPr>
        <w:t>(8)</w:t>
      </w:r>
      <w:r w:rsidRPr="00132E65">
        <w:rPr>
          <w:rtl/>
          <w:lang w:bidi="fa-IR"/>
        </w:rPr>
        <w:t xml:space="preserve"> آمَنَّا ، فَإِنَّ هذَا </w:t>
      </w:r>
      <w:r>
        <w:rPr>
          <w:rStyle w:val="libFootnotenumChar"/>
          <w:rtl/>
        </w:rPr>
        <w:t>(9)</w:t>
      </w:r>
      <w:r w:rsidRPr="00132E65">
        <w:rPr>
          <w:rtl/>
          <w:lang w:bidi="fa-IR"/>
        </w:rPr>
        <w:t xml:space="preserve"> ذُلٌّ حِينَ يُسَلِّطُ </w:t>
      </w:r>
      <w:r>
        <w:rPr>
          <w:rStyle w:val="libFootnotenumChar"/>
          <w:rtl/>
        </w:rPr>
        <w:t>(10)</w:t>
      </w:r>
      <w:r w:rsidRPr="00132E65">
        <w:rPr>
          <w:rtl/>
          <w:lang w:bidi="fa-IR"/>
        </w:rPr>
        <w:t xml:space="preserve"> عَلَيْنَا </w:t>
      </w:r>
      <w:r>
        <w:rPr>
          <w:rStyle w:val="libFootnotenumChar"/>
          <w:rtl/>
        </w:rPr>
        <w:t>(11)</w:t>
      </w:r>
      <w:r w:rsidRPr="00132E65">
        <w:rPr>
          <w:rtl/>
          <w:lang w:bidi="fa-IR"/>
        </w:rPr>
        <w:t xml:space="preserve"> ابْنَ أَبِي طَالِبٍ ، فَقَالُوا : قَدْ عَلِمْنَا أَنَّ مُحَمَّداً صَادِقٌ فِيمَا يَقُولُ ، و</w:t>
      </w:r>
      <w:r>
        <w:rPr>
          <w:rFonts w:hint="cs"/>
          <w:rtl/>
          <w:lang w:bidi="fa-IR"/>
        </w:rPr>
        <w:t xml:space="preserve"> </w:t>
      </w:r>
      <w:r>
        <w:rPr>
          <w:rStyle w:val="libFootnotenumChar"/>
          <w:rtl/>
        </w:rPr>
        <w:t>(12)</w:t>
      </w:r>
      <w:r w:rsidRPr="00132E65">
        <w:rPr>
          <w:rtl/>
          <w:lang w:bidi="fa-IR"/>
        </w:rPr>
        <w:t xml:space="preserve"> لكِنَّا </w:t>
      </w:r>
      <w:r w:rsidRPr="00F543F1">
        <w:rPr>
          <w:rStyle w:val="libFootnotenumChar"/>
          <w:rtl/>
        </w:rPr>
        <w:t>(13)</w:t>
      </w:r>
      <w:r w:rsidRPr="00132E65">
        <w:rPr>
          <w:rtl/>
          <w:lang w:bidi="fa-IR"/>
        </w:rPr>
        <w:t xml:space="preserve"> نَتَوَلاَّهُ </w:t>
      </w:r>
      <w:r w:rsidRPr="00F543F1">
        <w:rPr>
          <w:rStyle w:val="libFootnotenumChar"/>
          <w:rtl/>
        </w:rPr>
        <w:t>(14)</w:t>
      </w:r>
      <w:r w:rsidRPr="00132E65">
        <w:rPr>
          <w:rtl/>
          <w:lang w:bidi="fa-IR"/>
        </w:rPr>
        <w:t xml:space="preserve"> ، ولَانُطِيعُ عَلِيّاً فِيمَا أَمَرَنَا »</w:t>
      </w:r>
      <w:r>
        <w:rPr>
          <w:rtl/>
          <w:lang w:bidi="fa-IR"/>
        </w:rPr>
        <w:t>.</w:t>
      </w:r>
    </w:p>
    <w:p w:rsidR="000C39D1" w:rsidRPr="00132E65" w:rsidRDefault="000C39D1" w:rsidP="000C39D1">
      <w:pPr>
        <w:pStyle w:val="libNormal"/>
        <w:rPr>
          <w:rtl/>
          <w:lang w:bidi="fa-IR"/>
        </w:rPr>
      </w:pPr>
      <w:r w:rsidRPr="00132E65">
        <w:rPr>
          <w:rtl/>
          <w:lang w:bidi="fa-IR"/>
        </w:rPr>
        <w:t xml:space="preserve">قَالَ : « فَنَزَلَتْ هذِهِ الْآيَةُ : </w:t>
      </w:r>
      <w:r w:rsidRPr="00071CF9">
        <w:rPr>
          <w:rStyle w:val="libAlaemChar"/>
          <w:rtl/>
        </w:rPr>
        <w:t>(</w:t>
      </w:r>
      <w:r w:rsidRPr="00071CF9">
        <w:rPr>
          <w:rStyle w:val="libAieChar"/>
          <w:rtl/>
        </w:rPr>
        <w:t xml:space="preserve"> يَعْرِفُونَ نِعْمَتَ اللهِ ثُمَّ يُنْكِرُونَها </w:t>
      </w:r>
      <w:r w:rsidRPr="00071CF9">
        <w:rPr>
          <w:rStyle w:val="libAlaemChar"/>
          <w:rtl/>
        </w:rPr>
        <w:t>)</w:t>
      </w:r>
      <w:r w:rsidRPr="00132E65">
        <w:rPr>
          <w:rtl/>
          <w:lang w:bidi="fa-IR"/>
        </w:rPr>
        <w:t xml:space="preserve"> يَعْرِفُونَ : </w:t>
      </w:r>
      <w:r w:rsidRPr="00F543F1">
        <w:rPr>
          <w:rStyle w:val="libFootnotenumChar"/>
          <w:rtl/>
        </w:rPr>
        <w:t>(15)</w:t>
      </w:r>
      <w:r w:rsidRPr="00132E65">
        <w:rPr>
          <w:rtl/>
          <w:lang w:bidi="fa-IR"/>
        </w:rPr>
        <w:t xml:space="preserve"> يَعْنِي ولَايَةَ‌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الزمر (39) : 65 </w:t>
      </w:r>
      <w:r>
        <w:rPr>
          <w:rtl/>
        </w:rPr>
        <w:t>و 6</w:t>
      </w:r>
      <w:r w:rsidRPr="00132E65">
        <w:rPr>
          <w:rtl/>
        </w:rPr>
        <w:t>6.</w:t>
      </w:r>
    </w:p>
    <w:p w:rsidR="000C39D1" w:rsidRPr="00132E65" w:rsidRDefault="000C39D1" w:rsidP="00BC336B">
      <w:pPr>
        <w:pStyle w:val="libFootnote0"/>
        <w:rPr>
          <w:rtl/>
          <w:lang w:bidi="fa-IR"/>
        </w:rPr>
      </w:pPr>
      <w:r>
        <w:rPr>
          <w:rtl/>
        </w:rPr>
        <w:t>(2).</w:t>
      </w:r>
      <w:r w:rsidRPr="00132E65">
        <w:rPr>
          <w:rtl/>
        </w:rPr>
        <w:t xml:space="preserve"> راجع : </w:t>
      </w:r>
      <w:r w:rsidRPr="00837F6B">
        <w:rPr>
          <w:rtl/>
        </w:rPr>
        <w:t>تفسير القمّي</w:t>
      </w:r>
      <w:r w:rsidRPr="00132E65">
        <w:rPr>
          <w:rtl/>
        </w:rPr>
        <w:t xml:space="preserve"> ، ج 2 ، ص 251 ؛ و</w:t>
      </w:r>
      <w:r w:rsidRPr="00837F6B">
        <w:rPr>
          <w:rtl/>
        </w:rPr>
        <w:t>تفسير فرات</w:t>
      </w:r>
      <w:r w:rsidRPr="00132E65">
        <w:rPr>
          <w:rtl/>
        </w:rPr>
        <w:t xml:space="preserve"> ، ص 370 ، ح 502</w:t>
      </w:r>
      <w:r w:rsidR="00BC336B">
        <w:rPr>
          <w:rFonts w:hint="cs"/>
          <w:rtl/>
        </w:rPr>
        <w:t>.</w:t>
      </w:r>
      <w:r w:rsidRPr="009D1ACE">
        <w:rPr>
          <w:rStyle w:val="libFootnoteBoldChar"/>
          <w:rtl/>
        </w:rPr>
        <w:t>الوافي</w:t>
      </w:r>
      <w:r w:rsidRPr="00132E65">
        <w:rPr>
          <w:rtl/>
        </w:rPr>
        <w:t xml:space="preserve"> ، ج 3 ، ص 899 ، ح 1561 ؛ </w:t>
      </w:r>
      <w:r w:rsidRPr="00837F6B">
        <w:rPr>
          <w:rtl/>
        </w:rPr>
        <w:t>البحار</w:t>
      </w:r>
      <w:r w:rsidRPr="00132E65">
        <w:rPr>
          <w:rtl/>
        </w:rPr>
        <w:t xml:space="preserve"> ، ج 23 ، ص 380 ، ح 69.</w:t>
      </w:r>
    </w:p>
    <w:p w:rsidR="000C39D1" w:rsidRPr="00132E65" w:rsidRDefault="000C39D1" w:rsidP="000C39D1">
      <w:pPr>
        <w:pStyle w:val="libFootnote0"/>
        <w:rPr>
          <w:rtl/>
          <w:lang w:bidi="fa-IR"/>
        </w:rPr>
      </w:pPr>
      <w:r>
        <w:rPr>
          <w:rtl/>
        </w:rPr>
        <w:t>(3).</w:t>
      </w:r>
      <w:r w:rsidRPr="00132E65">
        <w:rPr>
          <w:rtl/>
        </w:rPr>
        <w:t xml:space="preserve"> النحل (16) : 83.</w:t>
      </w:r>
    </w:p>
    <w:p w:rsidR="000C39D1" w:rsidRPr="00132E65" w:rsidRDefault="000C39D1" w:rsidP="000C39D1">
      <w:pPr>
        <w:pStyle w:val="libFootnote0"/>
        <w:rPr>
          <w:rtl/>
          <w:lang w:bidi="fa-IR"/>
        </w:rPr>
      </w:pPr>
      <w:r>
        <w:rPr>
          <w:rtl/>
        </w:rPr>
        <w:t>(4).</w:t>
      </w:r>
      <w:r w:rsidRPr="00132E65">
        <w:rPr>
          <w:rtl/>
        </w:rPr>
        <w:t xml:space="preserve"> المائدة </w:t>
      </w:r>
      <w:r w:rsidR="00BC336B">
        <w:rPr>
          <w:rtl/>
        </w:rPr>
        <w:t>(5)</w:t>
      </w:r>
      <w:r w:rsidRPr="00132E65">
        <w:rPr>
          <w:rtl/>
        </w:rPr>
        <w:t xml:space="preserve"> : 55.</w:t>
      </w:r>
    </w:p>
    <w:tbl>
      <w:tblPr>
        <w:tblStyle w:val="TableGrid"/>
        <w:bidiVisual/>
        <w:tblW w:w="0" w:type="auto"/>
        <w:tblLook w:val="04A0" w:firstRow="1" w:lastRow="0" w:firstColumn="1" w:lastColumn="0" w:noHBand="0" w:noVBand="1"/>
      </w:tblPr>
      <w:tblGrid>
        <w:gridCol w:w="4006"/>
        <w:gridCol w:w="4006"/>
      </w:tblGrid>
      <w:tr w:rsidR="00BC336B" w:rsidTr="00BC336B">
        <w:tc>
          <w:tcPr>
            <w:tcW w:w="4006" w:type="dxa"/>
          </w:tcPr>
          <w:p w:rsidR="00BC336B" w:rsidRDefault="00BC336B" w:rsidP="000C39D1">
            <w:pPr>
              <w:pStyle w:val="libFootnote0"/>
              <w:rPr>
                <w:rtl/>
              </w:rPr>
            </w:pPr>
            <w:r>
              <w:rPr>
                <w:rtl/>
              </w:rPr>
              <w:t>(5).</w:t>
            </w:r>
            <w:r w:rsidRPr="00132E65">
              <w:rPr>
                <w:rtl/>
              </w:rPr>
              <w:t xml:space="preserve"> في البحار ، ج 35 :</w:t>
            </w:r>
            <w:r>
              <w:rPr>
                <w:rtl/>
              </w:rPr>
              <w:t xml:space="preserve"> + </w:t>
            </w:r>
            <w:r w:rsidRPr="00132E65">
              <w:rPr>
                <w:rtl/>
              </w:rPr>
              <w:t>« إنّا »</w:t>
            </w:r>
            <w:r>
              <w:rPr>
                <w:rtl/>
              </w:rPr>
              <w:t>.</w:t>
            </w:r>
          </w:p>
        </w:tc>
        <w:tc>
          <w:tcPr>
            <w:tcW w:w="4006" w:type="dxa"/>
          </w:tcPr>
          <w:p w:rsidR="00BC336B" w:rsidRDefault="00BC336B" w:rsidP="000C39D1">
            <w:pPr>
              <w:pStyle w:val="libFootnote0"/>
              <w:rPr>
                <w:rtl/>
              </w:rPr>
            </w:pPr>
            <w:r>
              <w:rPr>
                <w:rtl/>
              </w:rPr>
              <w:t>(6).</w:t>
            </w:r>
            <w:r w:rsidRPr="00132E65">
              <w:rPr>
                <w:rtl/>
              </w:rPr>
              <w:t xml:space="preserve"> في « ض » : « ببعض هذه »</w:t>
            </w:r>
            <w:r>
              <w:rPr>
                <w:rtl/>
              </w:rPr>
              <w:t>.</w:t>
            </w:r>
          </w:p>
        </w:tc>
      </w:tr>
      <w:tr w:rsidR="00BC336B" w:rsidTr="00BC336B">
        <w:tc>
          <w:tcPr>
            <w:tcW w:w="4006" w:type="dxa"/>
          </w:tcPr>
          <w:p w:rsidR="00BC336B" w:rsidRDefault="00BC336B" w:rsidP="000C39D1">
            <w:pPr>
              <w:pStyle w:val="libFootnote0"/>
              <w:rPr>
                <w:rtl/>
              </w:rPr>
            </w:pPr>
            <w:r>
              <w:rPr>
                <w:rtl/>
              </w:rPr>
              <w:t>(7).</w:t>
            </w:r>
            <w:r w:rsidRPr="00132E65">
              <w:rPr>
                <w:rtl/>
              </w:rPr>
              <w:t xml:space="preserve"> في البحار ، ج 35 : « لكفرنا »</w:t>
            </w:r>
            <w:r>
              <w:rPr>
                <w:rtl/>
              </w:rPr>
              <w:t>.</w:t>
            </w:r>
          </w:p>
        </w:tc>
        <w:tc>
          <w:tcPr>
            <w:tcW w:w="4006" w:type="dxa"/>
          </w:tcPr>
          <w:p w:rsidR="00BC336B" w:rsidRDefault="00BC336B" w:rsidP="000C39D1">
            <w:pPr>
              <w:pStyle w:val="libFootnote0"/>
              <w:rPr>
                <w:rtl/>
              </w:rPr>
            </w:pPr>
            <w:r>
              <w:rPr>
                <w:rtl/>
              </w:rPr>
              <w:t>(8).</w:t>
            </w:r>
            <w:r w:rsidRPr="00132E65">
              <w:rPr>
                <w:rtl/>
              </w:rPr>
              <w:t xml:space="preserve"> في </w:t>
            </w:r>
            <w:r w:rsidRPr="009D1ACE">
              <w:rPr>
                <w:rStyle w:val="libFootnoteBoldChar"/>
                <w:rtl/>
              </w:rPr>
              <w:t>الوافي</w:t>
            </w:r>
            <w:r w:rsidRPr="00132E65">
              <w:rPr>
                <w:rtl/>
              </w:rPr>
              <w:t xml:space="preserve"> : « فإن »</w:t>
            </w:r>
            <w:r>
              <w:rPr>
                <w:rtl/>
              </w:rPr>
              <w:t>.</w:t>
            </w:r>
          </w:p>
        </w:tc>
      </w:tr>
      <w:tr w:rsidR="00BC336B" w:rsidTr="00BC336B">
        <w:tc>
          <w:tcPr>
            <w:tcW w:w="4006" w:type="dxa"/>
          </w:tcPr>
          <w:p w:rsidR="00BC336B" w:rsidRDefault="00BC336B" w:rsidP="000C39D1">
            <w:pPr>
              <w:pStyle w:val="libFootnote0"/>
              <w:rPr>
                <w:rtl/>
              </w:rPr>
            </w:pPr>
            <w:r>
              <w:rPr>
                <w:rtl/>
              </w:rPr>
              <w:t>(9). في حاشية</w:t>
            </w:r>
            <w:r w:rsidRPr="00132E65">
              <w:rPr>
                <w:rtl/>
              </w:rPr>
              <w:t xml:space="preserve">« بف </w:t>
            </w:r>
            <w:r>
              <w:rPr>
                <w:rtl/>
              </w:rPr>
              <w:t>» :</w:t>
            </w:r>
            <w:r w:rsidRPr="00132E65">
              <w:rPr>
                <w:rtl/>
              </w:rPr>
              <w:t>« فهذا » بدل « فإنّ هذا »</w:t>
            </w:r>
            <w:r>
              <w:rPr>
                <w:rtl/>
              </w:rPr>
              <w:t>.</w:t>
            </w:r>
          </w:p>
        </w:tc>
        <w:tc>
          <w:tcPr>
            <w:tcW w:w="4006" w:type="dxa"/>
          </w:tcPr>
          <w:p w:rsidR="00BC336B" w:rsidRDefault="00BC336B" w:rsidP="000C39D1">
            <w:pPr>
              <w:pStyle w:val="libFootnote0"/>
              <w:rPr>
                <w:rtl/>
              </w:rPr>
            </w:pPr>
            <w:r>
              <w:rPr>
                <w:rtl/>
              </w:rPr>
              <w:t>(10).</w:t>
            </w:r>
            <w:r w:rsidRPr="00132E65">
              <w:rPr>
                <w:rtl/>
              </w:rPr>
              <w:t xml:space="preserve"> في « بح » و</w:t>
            </w:r>
            <w:r w:rsidRPr="009D1ACE">
              <w:rPr>
                <w:rStyle w:val="libFootnoteBoldChar"/>
                <w:rtl/>
              </w:rPr>
              <w:t>الوافي</w:t>
            </w:r>
            <w:r w:rsidRPr="00132E65">
              <w:rPr>
                <w:rtl/>
              </w:rPr>
              <w:t xml:space="preserve"> : « تسلّط »</w:t>
            </w:r>
            <w:r>
              <w:rPr>
                <w:rtl/>
              </w:rPr>
              <w:t>.</w:t>
            </w:r>
          </w:p>
        </w:tc>
      </w:tr>
      <w:tr w:rsidR="00BC336B" w:rsidTr="00BC336B">
        <w:tc>
          <w:tcPr>
            <w:tcW w:w="4006" w:type="dxa"/>
          </w:tcPr>
          <w:p w:rsidR="00BC336B" w:rsidRDefault="00BC336B" w:rsidP="000C39D1">
            <w:pPr>
              <w:pStyle w:val="libFootnote0"/>
              <w:rPr>
                <w:rtl/>
              </w:rPr>
            </w:pPr>
            <w:r>
              <w:rPr>
                <w:rtl/>
              </w:rPr>
              <w:t>(11).</w:t>
            </w:r>
            <w:r w:rsidRPr="00132E65">
              <w:rPr>
                <w:rtl/>
              </w:rPr>
              <w:t xml:space="preserve"> في « ج » </w:t>
            </w:r>
            <w:r>
              <w:rPr>
                <w:rtl/>
              </w:rPr>
              <w:t xml:space="preserve">: - </w:t>
            </w:r>
            <w:r w:rsidRPr="00132E65">
              <w:rPr>
                <w:rtl/>
              </w:rPr>
              <w:t>« علينا »</w:t>
            </w:r>
            <w:r>
              <w:rPr>
                <w:rtl/>
              </w:rPr>
              <w:t>.</w:t>
            </w:r>
          </w:p>
        </w:tc>
        <w:tc>
          <w:tcPr>
            <w:tcW w:w="4006" w:type="dxa"/>
          </w:tcPr>
          <w:p w:rsidR="00BC336B" w:rsidRDefault="00BC336B" w:rsidP="000C39D1">
            <w:pPr>
              <w:pStyle w:val="libFootnote0"/>
              <w:rPr>
                <w:rtl/>
              </w:rPr>
            </w:pPr>
            <w:r>
              <w:rPr>
                <w:rtl/>
              </w:rPr>
              <w:t>(12).</w:t>
            </w:r>
            <w:r w:rsidRPr="00132E65">
              <w:rPr>
                <w:rtl/>
              </w:rPr>
              <w:t xml:space="preserve"> في « ب » </w:t>
            </w:r>
            <w:r>
              <w:rPr>
                <w:rtl/>
              </w:rPr>
              <w:t xml:space="preserve">: - </w:t>
            </w:r>
            <w:r w:rsidRPr="00132E65">
              <w:rPr>
                <w:rtl/>
              </w:rPr>
              <w:t xml:space="preserve">« </w:t>
            </w:r>
            <w:r>
              <w:rPr>
                <w:rtl/>
              </w:rPr>
              <w:t>و ».</w:t>
            </w:r>
          </w:p>
        </w:tc>
      </w:tr>
    </w:tbl>
    <w:p w:rsidR="000C39D1" w:rsidRPr="00132E65" w:rsidRDefault="000C39D1" w:rsidP="000C39D1">
      <w:pPr>
        <w:pStyle w:val="libFootnote0"/>
        <w:rPr>
          <w:rtl/>
          <w:lang w:bidi="fa-IR"/>
        </w:rPr>
      </w:pPr>
      <w:r>
        <w:rPr>
          <w:rtl/>
        </w:rPr>
        <w:t>(13)</w:t>
      </w:r>
      <w:r w:rsidRPr="00132E65">
        <w:rPr>
          <w:rtl/>
        </w:rPr>
        <w:t xml:space="preserve"> في حاشية « ض » و</w:t>
      </w:r>
      <w:r w:rsidRPr="009D1ACE">
        <w:rPr>
          <w:rStyle w:val="libFootnoteBoldChar"/>
          <w:rtl/>
        </w:rPr>
        <w:t>الوافي</w:t>
      </w:r>
      <w:r w:rsidRPr="00132E65">
        <w:rPr>
          <w:rtl/>
        </w:rPr>
        <w:t xml:space="preserve"> والبحار ، ج 35 : « لكن »</w:t>
      </w:r>
      <w:r>
        <w:rPr>
          <w:rtl/>
        </w:rPr>
        <w:t>.</w:t>
      </w:r>
    </w:p>
    <w:tbl>
      <w:tblPr>
        <w:tblStyle w:val="TableGrid"/>
        <w:bidiVisual/>
        <w:tblW w:w="0" w:type="auto"/>
        <w:tblLook w:val="04A0" w:firstRow="1" w:lastRow="0" w:firstColumn="1" w:lastColumn="0" w:noHBand="0" w:noVBand="1"/>
      </w:tblPr>
      <w:tblGrid>
        <w:gridCol w:w="4006"/>
        <w:gridCol w:w="4006"/>
      </w:tblGrid>
      <w:tr w:rsidR="00BC336B" w:rsidTr="00BC336B">
        <w:tc>
          <w:tcPr>
            <w:tcW w:w="4006" w:type="dxa"/>
          </w:tcPr>
          <w:p w:rsidR="00BC336B" w:rsidRDefault="00BC336B" w:rsidP="000C39D1">
            <w:pPr>
              <w:pStyle w:val="libFootnote0"/>
              <w:rPr>
                <w:rtl/>
                <w:lang w:bidi="fa-IR"/>
              </w:rPr>
            </w:pPr>
            <w:r>
              <w:rPr>
                <w:rtl/>
              </w:rPr>
              <w:t>(14)</w:t>
            </w:r>
            <w:r w:rsidRPr="00132E65">
              <w:rPr>
                <w:rtl/>
              </w:rPr>
              <w:t xml:space="preserve"> في « ب » والبحار ، ج 35 : « نتوالاه »</w:t>
            </w:r>
            <w:r>
              <w:rPr>
                <w:rtl/>
              </w:rPr>
              <w:t>.</w:t>
            </w:r>
          </w:p>
        </w:tc>
        <w:tc>
          <w:tcPr>
            <w:tcW w:w="4006" w:type="dxa"/>
          </w:tcPr>
          <w:p w:rsidR="00BC336B" w:rsidRDefault="00BC336B" w:rsidP="000C39D1">
            <w:pPr>
              <w:pStyle w:val="libFootnote0"/>
              <w:rPr>
                <w:rtl/>
                <w:lang w:bidi="fa-IR"/>
              </w:rPr>
            </w:pPr>
            <w:r>
              <w:rPr>
                <w:rtl/>
              </w:rPr>
              <w:t>(15)</w:t>
            </w:r>
            <w:r w:rsidRPr="00132E65">
              <w:rPr>
                <w:rtl/>
              </w:rPr>
              <w:t xml:space="preserve"> في « ف » والبحار ، ج 35 </w:t>
            </w:r>
            <w:r>
              <w:rPr>
                <w:rtl/>
              </w:rPr>
              <w:t xml:space="preserve">: - </w:t>
            </w:r>
            <w:r w:rsidRPr="00132E65">
              <w:rPr>
                <w:rtl/>
              </w:rPr>
              <w:t>« يعرفون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عَلِيِّ بْنِ أَبِي طَالِبٍ </w:t>
      </w:r>
      <w:r>
        <w:rPr>
          <w:rStyle w:val="libFootnotenumChar"/>
          <w:rtl/>
        </w:rPr>
        <w:t>(1)</w:t>
      </w:r>
      <w:r w:rsidRPr="00132E65">
        <w:rPr>
          <w:rtl/>
          <w:lang w:bidi="fa-IR"/>
        </w:rPr>
        <w:t xml:space="preserve"> </w:t>
      </w:r>
      <w:r w:rsidRPr="00071CF9">
        <w:rPr>
          <w:rStyle w:val="libAlaemChar"/>
          <w:rtl/>
        </w:rPr>
        <w:t>عليه‌السلام(</w:t>
      </w:r>
      <w:r w:rsidRPr="00071CF9">
        <w:rPr>
          <w:rStyle w:val="libAieChar"/>
          <w:rtl/>
        </w:rPr>
        <w:t xml:space="preserve"> وَأَكْثَرُهُمُ الْكافِرُونَ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بِالْوَلَايَةِ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837F6B">
        <w:rPr>
          <w:rtl/>
        </w:rPr>
        <w:t>1165</w:t>
      </w:r>
      <w:r w:rsidRPr="004325D8">
        <w:rPr>
          <w:rStyle w:val="libBold2Char"/>
          <w:rtl/>
        </w:rPr>
        <w:t xml:space="preserve"> / 78.</w:t>
      </w:r>
      <w:r w:rsidRPr="00132E65">
        <w:rPr>
          <w:rtl/>
          <w:lang w:bidi="fa-IR"/>
        </w:rPr>
        <w:t xml:space="preserve"> مُحَمَّدُ بْنُ يَحْيى ، عَنْ أَحْمَدَ بْنِ مُحَمَّدِ بْنِ عِيسى ، عَنِ ابْنِ مَحْبُوبٍ ، عَنْ مُحَمَّدِ بْنِ النُّعْمَانِ ، عَنْ سَلاَّمٍ ، قَالَ :</w:t>
      </w:r>
    </w:p>
    <w:p w:rsidR="000C39D1" w:rsidRPr="00132E65" w:rsidRDefault="000C39D1" w:rsidP="000C39D1">
      <w:pPr>
        <w:pStyle w:val="libNormal"/>
        <w:rPr>
          <w:rtl/>
          <w:lang w:bidi="fa-IR"/>
        </w:rPr>
      </w:pPr>
      <w:r w:rsidRPr="00132E65">
        <w:rPr>
          <w:rtl/>
          <w:lang w:bidi="fa-IR"/>
        </w:rPr>
        <w:t xml:space="preserve">سَأَلْتُ أَبَا جَعْفَرٍ </w:t>
      </w:r>
      <w:r w:rsidRPr="00071CF9">
        <w:rPr>
          <w:rStyle w:val="libAlaemChar"/>
          <w:rtl/>
        </w:rPr>
        <w:t>عليه‌السلام</w:t>
      </w:r>
      <w:r w:rsidRPr="00132E65">
        <w:rPr>
          <w:rtl/>
          <w:lang w:bidi="fa-IR"/>
        </w:rPr>
        <w:t xml:space="preserve"> عَنْ قَوْلِهِ تَعَالى : </w:t>
      </w:r>
      <w:r w:rsidRPr="00071CF9">
        <w:rPr>
          <w:rStyle w:val="libAlaemChar"/>
          <w:rtl/>
        </w:rPr>
        <w:t>(</w:t>
      </w:r>
      <w:r w:rsidRPr="00071CF9">
        <w:rPr>
          <w:rStyle w:val="libAieChar"/>
          <w:rtl/>
        </w:rPr>
        <w:t xml:space="preserve"> الَّذِينَ يَمْشُونَ عَلَى الْأَرْضِ هَوْناً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قَالَ : « هُمُ الْأَوْصِيَاءُ مِنْ مَخَافَةِ عَدُوِّهِمْ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837F6B">
        <w:rPr>
          <w:rtl/>
        </w:rPr>
        <w:t>1166</w:t>
      </w:r>
      <w:r w:rsidRPr="004325D8">
        <w:rPr>
          <w:rStyle w:val="libBold2Char"/>
          <w:rtl/>
        </w:rPr>
        <w:t xml:space="preserve"> / 79.</w:t>
      </w:r>
      <w:r w:rsidRPr="00132E65">
        <w:rPr>
          <w:rtl/>
          <w:lang w:bidi="fa-IR"/>
        </w:rPr>
        <w:t xml:space="preserve"> الْحُسَيْنُ بْنُ مُحَمَّدٍ ، عَنْ مُعَلَّى بْنِ مُحَمَّدٍ ، عَنْ بِسْطَامَ بْنِ مُرَّةَ ، عَنْ إِسْحَاقَ بْنِ حَسَّانَ ، عَنِ الْهَيْثَمِ بْنِ واقِدٍ ، عَنْ عَلِيِّ بْنِ الْحُسَيْنِ الْعَبْدِيِّ ، عَنْ سَعْدٍ الْإِسْكَافِ ، عَنِ الْأَصْبَغِ بْنِ نُبَاتَةَ :</w:t>
      </w:r>
    </w:p>
    <w:p w:rsidR="000C39D1" w:rsidRPr="00132E65" w:rsidRDefault="000C39D1" w:rsidP="0018286E">
      <w:pPr>
        <w:pStyle w:val="libNormal"/>
        <w:rPr>
          <w:rtl/>
          <w:lang w:bidi="fa-IR"/>
        </w:rPr>
      </w:pPr>
      <w:r w:rsidRPr="00132E65">
        <w:rPr>
          <w:rtl/>
          <w:lang w:bidi="fa-IR"/>
        </w:rPr>
        <w:t xml:space="preserve">أَنَّهُ سَأَلَ أَمِيرَ الْمُؤْمِنِينَ </w:t>
      </w:r>
      <w:r w:rsidR="0018286E" w:rsidRPr="00071CF9">
        <w:rPr>
          <w:rStyle w:val="libAlaemChar"/>
          <w:rtl/>
        </w:rPr>
        <w:t>عليه‌السلام</w:t>
      </w:r>
      <w:r w:rsidR="0018286E" w:rsidRPr="00132E65">
        <w:rPr>
          <w:rtl/>
          <w:lang w:bidi="fa-IR"/>
        </w:rPr>
        <w:t xml:space="preserve"> </w:t>
      </w:r>
      <w:r w:rsidRPr="00132E65">
        <w:rPr>
          <w:rtl/>
          <w:lang w:bidi="fa-IR"/>
        </w:rPr>
        <w:t xml:space="preserve">عَنْ قَوْلِهِ تَعَالى : </w:t>
      </w:r>
      <w:r w:rsidRPr="00071CF9">
        <w:rPr>
          <w:rStyle w:val="libAlaemChar"/>
          <w:rtl/>
        </w:rPr>
        <w:t>(</w:t>
      </w:r>
      <w:r w:rsidRPr="00071CF9">
        <w:rPr>
          <w:rStyle w:val="libAieChar"/>
          <w:rtl/>
        </w:rPr>
        <w:t xml:space="preserve"> أَنِ اشْكُرْ لِي وَلِوالِدَيْكَ إِلَيَّ الْمَصِيرُ </w:t>
      </w:r>
      <w:r w:rsidRPr="00071CF9">
        <w:rPr>
          <w:rStyle w:val="libAlaemChar"/>
          <w:rtl/>
        </w:rPr>
        <w:t>)</w:t>
      </w:r>
      <w:r w:rsidRPr="00132E65">
        <w:rPr>
          <w:rtl/>
          <w:lang w:bidi="fa-IR"/>
        </w:rPr>
        <w:t xml:space="preserve"> فَقَالَ : « الْوَالِدَانِ</w:t>
      </w:r>
      <w:r>
        <w:rPr>
          <w:rtl/>
          <w:lang w:bidi="fa-IR"/>
        </w:rPr>
        <w:t xml:space="preserve"> - </w:t>
      </w:r>
      <w:r w:rsidRPr="00132E65">
        <w:rPr>
          <w:rtl/>
          <w:lang w:bidi="fa-IR"/>
        </w:rPr>
        <w:t>اللَّذَانِ أَوْجَبَ اللهُ لَهُمَا الشُّكْرَ</w:t>
      </w:r>
      <w:r>
        <w:rPr>
          <w:rtl/>
          <w:lang w:bidi="fa-IR"/>
        </w:rPr>
        <w:t xml:space="preserve"> - </w:t>
      </w:r>
      <w:r w:rsidRPr="00132E65">
        <w:rPr>
          <w:rtl/>
          <w:lang w:bidi="fa-IR"/>
        </w:rPr>
        <w:t xml:space="preserve">هُمَا اللَّذَانِ ولَدَا الْعِلْمَ ، وو رِثَا </w:t>
      </w:r>
      <w:r>
        <w:rPr>
          <w:rStyle w:val="libFootnotenumChar"/>
          <w:rtl/>
        </w:rPr>
        <w:t>(7)</w:t>
      </w:r>
      <w:r w:rsidRPr="00132E65">
        <w:rPr>
          <w:rtl/>
          <w:lang w:bidi="fa-IR"/>
        </w:rPr>
        <w:t xml:space="preserve"> الْحُكْمَ </w:t>
      </w:r>
      <w:r>
        <w:rPr>
          <w:rStyle w:val="libFootnotenumChar"/>
          <w:rtl/>
        </w:rPr>
        <w:t>(8)</w:t>
      </w:r>
      <w:r w:rsidRPr="00132E65">
        <w:rPr>
          <w:rtl/>
          <w:lang w:bidi="fa-IR"/>
        </w:rPr>
        <w:t xml:space="preserve"> ، وأُمِرَ النَّاسُ بِطَاعَتِهِمَا ، ثُمَّ قَالَ اللهُ </w:t>
      </w:r>
      <w:r>
        <w:rPr>
          <w:rStyle w:val="libFootnotenumChar"/>
          <w:rtl/>
        </w:rPr>
        <w:t>(9)</w:t>
      </w:r>
      <w:r w:rsidRPr="00132E65">
        <w:rPr>
          <w:rtl/>
          <w:lang w:bidi="fa-IR"/>
        </w:rPr>
        <w:t xml:space="preserve"> : </w:t>
      </w:r>
      <w:r w:rsidRPr="00071CF9">
        <w:rPr>
          <w:rStyle w:val="libAlaemChar"/>
          <w:rtl/>
        </w:rPr>
        <w:t>(</w:t>
      </w:r>
      <w:r w:rsidRPr="00071CF9">
        <w:rPr>
          <w:rStyle w:val="libAieChar"/>
          <w:rtl/>
        </w:rPr>
        <w:t xml:space="preserve"> إِلَيَّ الْمَصِيرُ </w:t>
      </w:r>
      <w:r w:rsidRPr="00071CF9">
        <w:rPr>
          <w:rStyle w:val="libAlaemChar"/>
          <w:rtl/>
        </w:rPr>
        <w:t>)</w:t>
      </w:r>
      <w:r w:rsidRPr="00132E65">
        <w:rPr>
          <w:rtl/>
          <w:lang w:bidi="fa-IR"/>
        </w:rPr>
        <w:t xml:space="preserve"> فَمَصِيرُ الْعِبَادِ إِلَى اللهِ ، وَالدَّلِيلُ عَلى ذلِكَ الْوَالِدَانِ.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ب ، ض ، بس ، بف » </w:t>
      </w:r>
      <w:r>
        <w:rPr>
          <w:rtl/>
        </w:rPr>
        <w:t xml:space="preserve">: - </w:t>
      </w:r>
      <w:r w:rsidRPr="00132E65">
        <w:rPr>
          <w:rtl/>
        </w:rPr>
        <w:t>« بن أبي طالب »</w:t>
      </w:r>
      <w:r>
        <w:rPr>
          <w:rtl/>
        </w:rPr>
        <w:t>.</w:t>
      </w:r>
    </w:p>
    <w:p w:rsidR="000C39D1" w:rsidRPr="00132E65" w:rsidRDefault="000C39D1" w:rsidP="000C39D1">
      <w:pPr>
        <w:pStyle w:val="libFootnote0"/>
        <w:rPr>
          <w:rtl/>
          <w:lang w:bidi="fa-IR"/>
        </w:rPr>
      </w:pPr>
      <w:r>
        <w:rPr>
          <w:rtl/>
        </w:rPr>
        <w:t>(2).</w:t>
      </w:r>
      <w:r w:rsidRPr="00132E65">
        <w:rPr>
          <w:rtl/>
        </w:rPr>
        <w:t xml:space="preserve"> النحل (16) : 83.</w:t>
      </w:r>
    </w:p>
    <w:p w:rsidR="000C39D1" w:rsidRPr="00132E65" w:rsidRDefault="000C39D1" w:rsidP="000C39D1">
      <w:pPr>
        <w:pStyle w:val="libFootnote0"/>
        <w:rPr>
          <w:rtl/>
          <w:lang w:bidi="fa-IR"/>
        </w:rPr>
      </w:pPr>
      <w:r>
        <w:rPr>
          <w:rtl/>
        </w:rPr>
        <w:t>(3).</w:t>
      </w:r>
      <w:r w:rsidRPr="00132E65">
        <w:rPr>
          <w:rtl/>
        </w:rPr>
        <w:t xml:space="preserve"> في البحار ، ج 35 : « بولاية عليّ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927 ، ح 1611 ؛ </w:t>
      </w:r>
      <w:r w:rsidRPr="00837F6B">
        <w:rPr>
          <w:rtl/>
        </w:rPr>
        <w:t>البحار</w:t>
      </w:r>
      <w:r w:rsidRPr="00132E65">
        <w:rPr>
          <w:rtl/>
        </w:rPr>
        <w:t xml:space="preserve"> ، ج 24 ، ص 63 ، ح 48 ؛ وج 35 ، ص 190 ، ذيل ح 13.</w:t>
      </w:r>
    </w:p>
    <w:p w:rsidR="000C39D1" w:rsidRPr="00132E65" w:rsidRDefault="000C39D1" w:rsidP="0018286E">
      <w:pPr>
        <w:pStyle w:val="libFootnote0"/>
        <w:rPr>
          <w:rtl/>
          <w:lang w:bidi="fa-IR"/>
        </w:rPr>
      </w:pPr>
      <w:r>
        <w:rPr>
          <w:rtl/>
        </w:rPr>
        <w:t>(5).</w:t>
      </w:r>
      <w:r w:rsidRPr="00132E65">
        <w:rPr>
          <w:rtl/>
        </w:rPr>
        <w:t xml:space="preserve"> الفرقان (25) : 63. وفي « ف » :</w:t>
      </w:r>
      <w:r>
        <w:rPr>
          <w:rtl/>
        </w:rPr>
        <w:t xml:space="preserve"> + </w:t>
      </w:r>
      <w:r w:rsidR="0018286E" w:rsidRPr="0018286E">
        <w:rPr>
          <w:rStyle w:val="libFootnoteAlaemChar"/>
          <w:rFonts w:hint="cs"/>
          <w:rtl/>
        </w:rPr>
        <w:t>(</w:t>
      </w:r>
      <w:r w:rsidRPr="0018286E">
        <w:rPr>
          <w:rStyle w:val="libFootnoteAieChar"/>
          <w:rtl/>
        </w:rPr>
        <w:t xml:space="preserve"> وَإِذَا خَاطَبَهُمُ الْجهِلُونَ قَالُواْ سَل</w:t>
      </w:r>
      <w:r w:rsidR="0018286E" w:rsidRPr="0018286E">
        <w:rPr>
          <w:rStyle w:val="libFootnoteAieChar"/>
          <w:rFonts w:hint="cs"/>
          <w:rtl/>
        </w:rPr>
        <w:t>َ</w:t>
      </w:r>
      <w:r w:rsidRPr="0018286E">
        <w:rPr>
          <w:rStyle w:val="libFootnoteAieChar"/>
          <w:rtl/>
        </w:rPr>
        <w:t xml:space="preserve">مًا </w:t>
      </w:r>
      <w:r w:rsidR="0018286E" w:rsidRPr="0018286E">
        <w:rPr>
          <w:rStyle w:val="libFootnoteAlaemChar"/>
          <w:rFonts w:hint="cs"/>
          <w:rtl/>
        </w:rPr>
        <w:t>)</w:t>
      </w:r>
      <w:r>
        <w:rPr>
          <w:rtl/>
        </w:rPr>
        <w:t>.</w:t>
      </w:r>
    </w:p>
    <w:p w:rsidR="000C39D1" w:rsidRPr="00132E65" w:rsidRDefault="000C39D1" w:rsidP="0018286E">
      <w:pPr>
        <w:pStyle w:val="libFootnote0"/>
        <w:rPr>
          <w:rtl/>
          <w:lang w:bidi="fa-IR"/>
        </w:rPr>
      </w:pPr>
      <w:r>
        <w:rPr>
          <w:rtl/>
        </w:rPr>
        <w:t>(6).</w:t>
      </w:r>
      <w:r w:rsidRPr="00132E65">
        <w:rPr>
          <w:rtl/>
        </w:rPr>
        <w:t xml:space="preserve"> </w:t>
      </w:r>
      <w:r w:rsidRPr="00837F6B">
        <w:rPr>
          <w:rtl/>
        </w:rPr>
        <w:t>تفسير القمّي</w:t>
      </w:r>
      <w:r w:rsidRPr="00132E65">
        <w:rPr>
          <w:rtl/>
        </w:rPr>
        <w:t xml:space="preserve"> ، ج 2 ، ص 116 ، عن أحمد بن إدريس ، عن أحمد بن محمّد بن عيسى ، عن ابن أبي نجران ، عن حمّاد ، عن حريز ، عن زرارة ، عن أبي جعفر </w:t>
      </w:r>
      <w:r w:rsidRPr="0018286E">
        <w:rPr>
          <w:rStyle w:val="libFootnoteAlaemChar"/>
          <w:rtl/>
        </w:rPr>
        <w:t>عليه‌السلام</w:t>
      </w:r>
      <w:r w:rsidRPr="00132E65">
        <w:rPr>
          <w:rtl/>
        </w:rPr>
        <w:t xml:space="preserve">. </w:t>
      </w:r>
      <w:r w:rsidRPr="00837F6B">
        <w:rPr>
          <w:rtl/>
        </w:rPr>
        <w:t>تفسير فرات</w:t>
      </w:r>
      <w:r w:rsidRPr="00132E65">
        <w:rPr>
          <w:rtl/>
        </w:rPr>
        <w:t xml:space="preserve"> ، ص 292 ، ح 395 : « عن محمّد بن القاسم بن عبيد معنعناً ، عن أبي عبد الله </w:t>
      </w:r>
      <w:r w:rsidRPr="0018286E">
        <w:rPr>
          <w:rStyle w:val="libFootnoteAlaemChar"/>
          <w:rtl/>
        </w:rPr>
        <w:t>عليه‌السلام</w:t>
      </w:r>
      <w:r w:rsidRPr="00132E65">
        <w:rPr>
          <w:rtl/>
        </w:rPr>
        <w:t xml:space="preserve"> » ، مع اختلاف يسير وزيادة في آخره</w:t>
      </w:r>
      <w:r w:rsidR="0018286E">
        <w:rPr>
          <w:rFonts w:hint="cs"/>
          <w:rtl/>
        </w:rPr>
        <w:t>.</w:t>
      </w:r>
      <w:r w:rsidRPr="009D1ACE">
        <w:rPr>
          <w:rStyle w:val="libFootnoteBoldChar"/>
          <w:rtl/>
        </w:rPr>
        <w:t>الوافي</w:t>
      </w:r>
      <w:r w:rsidRPr="00132E65">
        <w:rPr>
          <w:rtl/>
        </w:rPr>
        <w:t xml:space="preserve"> ، ج 3 ، ص 899 ، ح 1562 ؛ </w:t>
      </w:r>
      <w:r w:rsidRPr="00837F6B">
        <w:rPr>
          <w:rtl/>
        </w:rPr>
        <w:t>البحار</w:t>
      </w:r>
      <w:r w:rsidRPr="00132E65">
        <w:rPr>
          <w:rtl/>
        </w:rPr>
        <w:t xml:space="preserve"> ، ج 24 ، ص 136 ، ح 11 ؛ وص 357 ، ح 74.</w:t>
      </w:r>
    </w:p>
    <w:p w:rsidR="000C39D1" w:rsidRPr="00132E65" w:rsidRDefault="000C39D1" w:rsidP="000C39D1">
      <w:pPr>
        <w:pStyle w:val="libFootnote0"/>
        <w:rPr>
          <w:rtl/>
          <w:lang w:bidi="fa-IR"/>
        </w:rPr>
      </w:pPr>
      <w:r>
        <w:rPr>
          <w:rtl/>
        </w:rPr>
        <w:t>(7).</w:t>
      </w:r>
      <w:r w:rsidRPr="00132E65">
        <w:rPr>
          <w:rtl/>
        </w:rPr>
        <w:t xml:space="preserve"> هكذا في « ب ، ض ، ف ، بر ، بس ، بف »</w:t>
      </w:r>
      <w:r>
        <w:rPr>
          <w:rtl/>
        </w:rPr>
        <w:t>.</w:t>
      </w:r>
      <w:r w:rsidRPr="00132E65">
        <w:rPr>
          <w:rtl/>
        </w:rPr>
        <w:t xml:space="preserve"> وفي « ج ، بح » : « ورّثا » بالتضعيف.</w:t>
      </w:r>
    </w:p>
    <w:p w:rsidR="000C39D1" w:rsidRPr="00132E65" w:rsidRDefault="000C39D1" w:rsidP="000C39D1">
      <w:pPr>
        <w:pStyle w:val="libFootnote0"/>
        <w:rPr>
          <w:rtl/>
          <w:lang w:bidi="fa-IR"/>
        </w:rPr>
      </w:pPr>
      <w:r>
        <w:rPr>
          <w:rtl/>
        </w:rPr>
        <w:t>(8).</w:t>
      </w:r>
      <w:r w:rsidRPr="00132E65">
        <w:rPr>
          <w:rtl/>
        </w:rPr>
        <w:t xml:space="preserve"> في « ض » : « الحِكَم » جمع الحكمة. وفي « بس » : « للحكم »</w:t>
      </w:r>
      <w:r>
        <w:rPr>
          <w:rtl/>
        </w:rPr>
        <w:t>.</w:t>
      </w:r>
    </w:p>
    <w:p w:rsidR="000C39D1" w:rsidRPr="00132E65" w:rsidRDefault="000C39D1" w:rsidP="000C39D1">
      <w:pPr>
        <w:pStyle w:val="libFootnote0"/>
        <w:rPr>
          <w:rtl/>
          <w:lang w:bidi="fa-IR"/>
        </w:rPr>
      </w:pPr>
      <w:r>
        <w:rPr>
          <w:rtl/>
        </w:rPr>
        <w:t>(9).</w:t>
      </w:r>
      <w:r w:rsidRPr="00132E65">
        <w:rPr>
          <w:rtl/>
        </w:rPr>
        <w:t xml:space="preserve"> في « ف » </w:t>
      </w:r>
      <w:r>
        <w:rPr>
          <w:rtl/>
        </w:rPr>
        <w:t xml:space="preserve">: - </w:t>
      </w:r>
      <w:r w:rsidRPr="00132E65">
        <w:rPr>
          <w:rtl/>
        </w:rPr>
        <w:t>« الله »</w:t>
      </w:r>
      <w:r>
        <w:rPr>
          <w:rtl/>
        </w:rPr>
        <w:t>.</w:t>
      </w:r>
      <w:r w:rsidRPr="00132E65">
        <w:rPr>
          <w:rtl/>
        </w:rPr>
        <w:t xml:space="preserve"> وهذا يناسب قراءة « أمر » مبنيّاً للفاعل.</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ثمَّ عَطَفَ الْقَوْلَ عَلَى ابْنِ حَنْتَمَةَ </w:t>
      </w:r>
      <w:r>
        <w:rPr>
          <w:rStyle w:val="libFootnotenumChar"/>
          <w:rtl/>
        </w:rPr>
        <w:t>(1)</w:t>
      </w:r>
      <w:r w:rsidRPr="00132E65">
        <w:rPr>
          <w:rtl/>
          <w:lang w:bidi="fa-IR"/>
        </w:rPr>
        <w:t xml:space="preserve"> وصَاحِبِهِ ، فَقَالَ فِي الْخَاصِّ والْعَامِّ : </w:t>
      </w:r>
      <w:r w:rsidRPr="00071CF9">
        <w:rPr>
          <w:rStyle w:val="libAlaemChar"/>
          <w:rtl/>
        </w:rPr>
        <w:t>(</w:t>
      </w:r>
      <w:r w:rsidRPr="00071CF9">
        <w:rPr>
          <w:rStyle w:val="libAieChar"/>
          <w:rtl/>
        </w:rPr>
        <w:t xml:space="preserve"> وَإِنْ جاهَداكَ عَلى أَنْ تُشْرِكَ بِي </w:t>
      </w:r>
      <w:r w:rsidRPr="00071CF9">
        <w:rPr>
          <w:rStyle w:val="libAlaemChar"/>
          <w:rtl/>
        </w:rPr>
        <w:t>)</w:t>
      </w:r>
      <w:r w:rsidRPr="00132E65">
        <w:rPr>
          <w:rtl/>
          <w:lang w:bidi="fa-IR"/>
        </w:rPr>
        <w:t xml:space="preserve"> تَقُولَ </w:t>
      </w:r>
      <w:r>
        <w:rPr>
          <w:rStyle w:val="libFootnotenumChar"/>
          <w:rtl/>
        </w:rPr>
        <w:t>(2)</w:t>
      </w:r>
      <w:r w:rsidRPr="00132E65">
        <w:rPr>
          <w:rtl/>
          <w:lang w:bidi="fa-IR"/>
        </w:rPr>
        <w:t xml:space="preserve"> فِي الْوَصِيَّةِ ، وتَعْدِلَ عَمَّنْ أُمِرْتَ </w:t>
      </w:r>
      <w:r>
        <w:rPr>
          <w:rStyle w:val="libFootnotenumChar"/>
          <w:rtl/>
        </w:rPr>
        <w:t>(3)</w:t>
      </w:r>
      <w:r w:rsidRPr="00132E65">
        <w:rPr>
          <w:rtl/>
          <w:lang w:bidi="fa-IR"/>
        </w:rPr>
        <w:t xml:space="preserve"> بِطَاعَتِهِ</w:t>
      </w:r>
      <w:r>
        <w:rPr>
          <w:rFonts w:hint="cs"/>
          <w:rtl/>
          <w:lang w:bidi="fa-IR"/>
        </w:rPr>
        <w:t xml:space="preserve"> </w:t>
      </w:r>
      <w:r w:rsidRPr="00071CF9">
        <w:rPr>
          <w:rStyle w:val="libAlaemChar"/>
          <w:rtl/>
        </w:rPr>
        <w:t>(</w:t>
      </w:r>
      <w:r w:rsidRPr="00071CF9">
        <w:rPr>
          <w:rStyle w:val="libAieChar"/>
          <w:rtl/>
        </w:rPr>
        <w:t xml:space="preserve"> فَلا تُطِعْهُما </w:t>
      </w:r>
      <w:r w:rsidRPr="00071CF9">
        <w:rPr>
          <w:rStyle w:val="libAlaemChar"/>
          <w:rtl/>
        </w:rPr>
        <w:t>)</w:t>
      </w:r>
      <w:r w:rsidRPr="00132E65">
        <w:rPr>
          <w:rtl/>
          <w:lang w:bidi="fa-IR"/>
        </w:rPr>
        <w:t xml:space="preserve"> ولَاتَسْمَعْ قَوْلَهُمَا.</w:t>
      </w:r>
    </w:p>
    <w:p w:rsidR="000C39D1" w:rsidRPr="00132E65" w:rsidRDefault="000C39D1" w:rsidP="000C39D1">
      <w:pPr>
        <w:pStyle w:val="libNormal"/>
        <w:rPr>
          <w:rtl/>
          <w:lang w:bidi="fa-IR"/>
        </w:rPr>
      </w:pPr>
      <w:r w:rsidRPr="00132E65">
        <w:rPr>
          <w:rtl/>
          <w:lang w:bidi="fa-IR"/>
        </w:rPr>
        <w:t xml:space="preserve">ثُمَّ عَطَفَ الْقَوْلَ عَلَى الْوَالِدَيْنِ فَقَالَ : </w:t>
      </w:r>
      <w:r w:rsidRPr="00071CF9">
        <w:rPr>
          <w:rStyle w:val="libAlaemChar"/>
          <w:rtl/>
        </w:rPr>
        <w:t>(</w:t>
      </w:r>
      <w:r w:rsidRPr="00071CF9">
        <w:rPr>
          <w:rStyle w:val="libAieChar"/>
          <w:rtl/>
        </w:rPr>
        <w:t xml:space="preserve"> وَصاحِبْهُما فِي الدُّنْيا مَعْرُوفاً </w:t>
      </w:r>
      <w:r w:rsidRPr="00071CF9">
        <w:rPr>
          <w:rStyle w:val="libAlaemChar"/>
          <w:rtl/>
        </w:rPr>
        <w:t>)</w:t>
      </w:r>
      <w:r w:rsidRPr="00132E65">
        <w:rPr>
          <w:rtl/>
          <w:lang w:bidi="fa-IR"/>
        </w:rPr>
        <w:t xml:space="preserve"> يَقُولُ : عَرِّفِ النَّاسَ فَضْلَهُمَا ، وادْعُ </w:t>
      </w:r>
      <w:r>
        <w:rPr>
          <w:rStyle w:val="libFootnotenumChar"/>
          <w:rtl/>
        </w:rPr>
        <w:t>(4)</w:t>
      </w:r>
      <w:r w:rsidRPr="00132E65">
        <w:rPr>
          <w:rtl/>
          <w:lang w:bidi="fa-IR"/>
        </w:rPr>
        <w:t xml:space="preserve"> إِلى سَبِيلِهِمَا ، وذلِكَ </w:t>
      </w:r>
      <w:r>
        <w:rPr>
          <w:rStyle w:val="libFootnotenumChar"/>
          <w:rtl/>
        </w:rPr>
        <w:t>(5)</w:t>
      </w:r>
      <w:r w:rsidRPr="00132E65">
        <w:rPr>
          <w:rtl/>
          <w:lang w:bidi="fa-IR"/>
        </w:rPr>
        <w:t xml:space="preserve"> قَوْلُهُ : </w:t>
      </w:r>
      <w:r w:rsidRPr="00071CF9">
        <w:rPr>
          <w:rStyle w:val="libAlaemChar"/>
          <w:rtl/>
        </w:rPr>
        <w:t>(</w:t>
      </w:r>
      <w:r w:rsidRPr="00071CF9">
        <w:rPr>
          <w:rStyle w:val="libAieChar"/>
          <w:rtl/>
        </w:rPr>
        <w:t xml:space="preserve"> وَاتَّبِعْ سَبِيلَ مَنْ أَنابَ إِلَيَّ ثُمَّ إِلَيَّ مَرْجِعُكُمْ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فَقَالَ : إِلَى اللهِ ثُمَّ إِلَيْنَا ، فَاتَّقُوا اللهَ ولَاتَعْصُوا الْوَالِدَيْنِ ؛ فَإِنَّ رِضَاهُمَا رِضَى اللهِ ، وسَخَطَهُمَا سَخَطُ اللهِ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3F2709">
        <w:rPr>
          <w:rtl/>
        </w:rPr>
        <w:t>1167</w:t>
      </w:r>
      <w:r w:rsidRPr="004325D8">
        <w:rPr>
          <w:rStyle w:val="libBold2Char"/>
          <w:rtl/>
        </w:rPr>
        <w:t xml:space="preserve"> / 80.</w:t>
      </w:r>
      <w:r w:rsidRPr="00132E65">
        <w:rPr>
          <w:rtl/>
          <w:lang w:bidi="fa-IR"/>
        </w:rPr>
        <w:t xml:space="preserve"> عِدَّةٌ مِنْ أَصْحَابِنَا ، عَنْ أَحْمَدَ بْنِ مُحَمَّدٍ ، عَنْ عَلِيِّ بْنِ سَيْفٍ ، عَنْ أَبِيهِ ، عَنْ عَمْرِو بْنِ حُرَيْثٍ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تَعَالى : </w:t>
      </w:r>
      <w:r w:rsidRPr="00071CF9">
        <w:rPr>
          <w:rStyle w:val="libAlaemChar"/>
          <w:rtl/>
        </w:rPr>
        <w:t>(</w:t>
      </w:r>
      <w:r w:rsidRPr="00071CF9">
        <w:rPr>
          <w:rStyle w:val="libAieChar"/>
          <w:rtl/>
        </w:rPr>
        <w:t xml:space="preserve"> كَشَجَرَةٍ طَيِّبَةٍ أَصْلُها ثابِتٌ وَفَرْعُها فِي السَّماءِ </w:t>
      </w:r>
      <w:r w:rsidRPr="00071CF9">
        <w:rPr>
          <w:rStyle w:val="libAlaemChar"/>
          <w:rtl/>
        </w:rPr>
        <w:t>)</w:t>
      </w:r>
      <w:r>
        <w:rPr>
          <w:rStyle w:val="libFootnotenumChar"/>
          <w:rtl/>
        </w:rPr>
        <w:t>(8)</w:t>
      </w:r>
    </w:p>
    <w:p w:rsidR="000C39D1" w:rsidRPr="00132E65" w:rsidRDefault="000C39D1" w:rsidP="000C39D1">
      <w:pPr>
        <w:pStyle w:val="libNormal"/>
        <w:rPr>
          <w:rtl/>
          <w:lang w:bidi="fa-IR"/>
        </w:rPr>
      </w:pPr>
      <w:r w:rsidRPr="00132E65">
        <w:rPr>
          <w:rtl/>
          <w:lang w:bidi="fa-IR"/>
        </w:rPr>
        <w:t xml:space="preserve">قَالَ : فَقَالَ </w:t>
      </w:r>
      <w:r>
        <w:rPr>
          <w:rStyle w:val="libFootnotenumChar"/>
          <w:rtl/>
        </w:rPr>
        <w:t>(9)</w:t>
      </w:r>
      <w:r w:rsidRPr="00132E65">
        <w:rPr>
          <w:rtl/>
          <w:lang w:bidi="fa-IR"/>
        </w:rPr>
        <w:t xml:space="preserve"> : «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(10)</w:t>
      </w:r>
      <w:r w:rsidRPr="00132E65">
        <w:rPr>
          <w:rtl/>
          <w:lang w:bidi="fa-IR"/>
        </w:rPr>
        <w:t xml:space="preserve"> أَصْلُهَا </w:t>
      </w:r>
      <w:r>
        <w:rPr>
          <w:rStyle w:val="libFootnotenumChar"/>
          <w:rtl/>
        </w:rPr>
        <w:t>(11)</w:t>
      </w:r>
      <w:r w:rsidRPr="00132E65">
        <w:rPr>
          <w:rtl/>
          <w:lang w:bidi="fa-IR"/>
        </w:rPr>
        <w:t xml:space="preserve"> ، وأَمِيرُ الْمُؤْمِنِينَ </w:t>
      </w:r>
      <w:r w:rsidRPr="00071CF9">
        <w:rPr>
          <w:rStyle w:val="libAlaemChar"/>
          <w:rtl/>
        </w:rPr>
        <w:t>عليه‌السلام</w:t>
      </w:r>
      <w:r w:rsidRPr="00132E65">
        <w:rPr>
          <w:rtl/>
          <w:lang w:bidi="fa-IR"/>
        </w:rPr>
        <w:t xml:space="preserve"> فَرْعُهَا ، والْأَئِمَّةُ </w:t>
      </w:r>
      <w:r w:rsidRPr="00071CF9">
        <w:rPr>
          <w:rStyle w:val="libAlaemChar"/>
          <w:rtl/>
        </w:rPr>
        <w:t>عليهم‌السلام</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خثيمة »</w:t>
      </w:r>
      <w:r>
        <w:rPr>
          <w:rtl/>
        </w:rPr>
        <w:t>.</w:t>
      </w:r>
      <w:r w:rsidRPr="00132E65">
        <w:rPr>
          <w:rtl/>
        </w:rPr>
        <w:t xml:space="preserve"> وفي « بس » : « خنقمة »</w:t>
      </w:r>
      <w:r>
        <w:rPr>
          <w:rtl/>
        </w:rPr>
        <w:t>.</w:t>
      </w:r>
      <w:r w:rsidRPr="00132E65">
        <w:rPr>
          <w:rtl/>
        </w:rPr>
        <w:t xml:space="preserve"> والمراد</w:t>
      </w:r>
      <w:r w:rsidR="0018286E">
        <w:rPr>
          <w:rtl/>
        </w:rPr>
        <w:t xml:space="preserve"> ب</w:t>
      </w:r>
      <w:r w:rsidR="0018286E">
        <w:rPr>
          <w:rFonts w:hint="cs"/>
          <w:rtl/>
        </w:rPr>
        <w:t>ـ</w:t>
      </w:r>
      <w:r>
        <w:rPr>
          <w:rtl/>
        </w:rPr>
        <w:t xml:space="preserve"> «</w:t>
      </w:r>
      <w:r w:rsidRPr="00132E65">
        <w:rPr>
          <w:rtl/>
        </w:rPr>
        <w:t xml:space="preserve"> حنتمة » ا</w:t>
      </w:r>
      <w:r w:rsidR="0018286E">
        <w:rPr>
          <w:rFonts w:hint="cs"/>
          <w:rtl/>
        </w:rPr>
        <w:t>ُ</w:t>
      </w:r>
      <w:r w:rsidRPr="00132E65">
        <w:rPr>
          <w:rtl/>
        </w:rPr>
        <w:t xml:space="preserve">مّ عمر بن الخطّاب. راجع : </w:t>
      </w:r>
      <w:r w:rsidRPr="003F2709">
        <w:rPr>
          <w:rtl/>
        </w:rPr>
        <w:t>قاموس المحيط</w:t>
      </w:r>
      <w:r w:rsidRPr="00132E65">
        <w:rPr>
          <w:rtl/>
        </w:rPr>
        <w:t xml:space="preserve"> ، ج 2 ، ص 1448 ( حنتم )</w:t>
      </w:r>
      <w:r>
        <w:rPr>
          <w:rtl/>
        </w:rPr>
        <w:t>.</w:t>
      </w:r>
    </w:p>
    <w:p w:rsidR="000C39D1" w:rsidRPr="00132E65" w:rsidRDefault="000C39D1" w:rsidP="000C39D1">
      <w:pPr>
        <w:pStyle w:val="libFootnote0"/>
        <w:rPr>
          <w:rtl/>
          <w:lang w:bidi="fa-IR"/>
        </w:rPr>
      </w:pPr>
      <w:r>
        <w:rPr>
          <w:rtl/>
        </w:rPr>
        <w:t>(2).</w:t>
      </w:r>
      <w:r w:rsidRPr="00132E65">
        <w:rPr>
          <w:rtl/>
        </w:rPr>
        <w:t xml:space="preserve"> هكذا في « ض ، بس ، بف »</w:t>
      </w:r>
      <w:r>
        <w:rPr>
          <w:rtl/>
        </w:rPr>
        <w:t>.</w:t>
      </w:r>
      <w:r w:rsidRPr="00132E65">
        <w:rPr>
          <w:rtl/>
        </w:rPr>
        <w:t xml:space="preserve"> وفي سائر النسخ والمطبوع : « يقول »</w:t>
      </w:r>
      <w:r>
        <w:rPr>
          <w:rtl/>
        </w:rPr>
        <w:t>.</w:t>
      </w:r>
      <w:r w:rsidRPr="00132E65">
        <w:rPr>
          <w:rtl/>
        </w:rPr>
        <w:t xml:space="preserve"> وفي </w:t>
      </w:r>
      <w:r w:rsidRPr="009D1ACE">
        <w:rPr>
          <w:rStyle w:val="libFootnoteBoldChar"/>
          <w:rtl/>
        </w:rPr>
        <w:t>مرآة العقول</w:t>
      </w:r>
      <w:r w:rsidRPr="00132E65">
        <w:rPr>
          <w:rtl/>
        </w:rPr>
        <w:t xml:space="preserve"> نقلاً عن شرح بعض‌الأفاضل : « وقوله : « تقول » مضارع مخاطب من باب نصر ، أو باب التفعّل ، بحذف إحدى التاءين منصوب »</w:t>
      </w:r>
      <w:r>
        <w:rPr>
          <w:rtl/>
        </w:rPr>
        <w:t>.</w:t>
      </w:r>
      <w:r w:rsidRPr="00132E65">
        <w:rPr>
          <w:rtl/>
        </w:rPr>
        <w:t xml:space="preserve"> وقوله </w:t>
      </w:r>
      <w:r w:rsidRPr="0018286E">
        <w:rPr>
          <w:rStyle w:val="libFootnoteAlaemChar"/>
          <w:rtl/>
        </w:rPr>
        <w:t>عليه‌السلام</w:t>
      </w:r>
      <w:r w:rsidRPr="00132E65">
        <w:rPr>
          <w:rtl/>
        </w:rPr>
        <w:t xml:space="preserve"> : « تقول » </w:t>
      </w:r>
      <w:r>
        <w:rPr>
          <w:rtl/>
        </w:rPr>
        <w:t>و «</w:t>
      </w:r>
      <w:r w:rsidRPr="00132E65">
        <w:rPr>
          <w:rtl/>
        </w:rPr>
        <w:t xml:space="preserve"> تعدل » تفسير لقوله تعالى : </w:t>
      </w:r>
      <w:r w:rsidRPr="0018286E">
        <w:rPr>
          <w:rStyle w:val="libFootnoteAlaemChar"/>
          <w:rtl/>
        </w:rPr>
        <w:t>(</w:t>
      </w:r>
      <w:r>
        <w:rPr>
          <w:rFonts w:hint="cs"/>
          <w:rtl/>
        </w:rPr>
        <w:t xml:space="preserve"> </w:t>
      </w:r>
      <w:r w:rsidRPr="00C2691A">
        <w:rPr>
          <w:rStyle w:val="libFootnoteAieChar"/>
          <w:rtl/>
        </w:rPr>
        <w:t>تُشْرِكَ</w:t>
      </w:r>
      <w:r>
        <w:rPr>
          <w:rFonts w:hint="cs"/>
          <w:rtl/>
        </w:rPr>
        <w:t xml:space="preserve"> </w:t>
      </w:r>
      <w:r w:rsidRPr="0018286E">
        <w:rPr>
          <w:rStyle w:val="libFootnoteAlaemChar"/>
          <w:rtl/>
        </w:rPr>
        <w:t>)</w:t>
      </w:r>
      <w:r w:rsidRPr="00132E65">
        <w:rPr>
          <w:rtl/>
        </w:rPr>
        <w:t>.</w:t>
      </w:r>
    </w:p>
    <w:p w:rsidR="000C39D1" w:rsidRPr="00132E65" w:rsidRDefault="000C39D1" w:rsidP="000C39D1">
      <w:pPr>
        <w:pStyle w:val="libFootnote0"/>
        <w:rPr>
          <w:rtl/>
          <w:lang w:bidi="fa-IR"/>
        </w:rPr>
      </w:pPr>
      <w:r>
        <w:rPr>
          <w:rtl/>
        </w:rPr>
        <w:t>(3).</w:t>
      </w:r>
      <w:r w:rsidRPr="00132E65">
        <w:rPr>
          <w:rtl/>
        </w:rPr>
        <w:t xml:space="preserve"> في حاشية « ف » : « أمر »</w:t>
      </w:r>
      <w:r>
        <w:rPr>
          <w:rtl/>
        </w:rPr>
        <w:t>.</w:t>
      </w:r>
    </w:p>
    <w:p w:rsidR="000C39D1" w:rsidRPr="00132E65" w:rsidRDefault="000C39D1" w:rsidP="000C39D1">
      <w:pPr>
        <w:pStyle w:val="libFootnote0"/>
        <w:rPr>
          <w:rtl/>
          <w:lang w:bidi="fa-IR"/>
        </w:rPr>
      </w:pPr>
      <w:r>
        <w:rPr>
          <w:rtl/>
        </w:rPr>
        <w:t>(4).</w:t>
      </w:r>
      <w:r w:rsidRPr="00132E65">
        <w:rPr>
          <w:rtl/>
        </w:rPr>
        <w:t xml:space="preserve"> في « ف » : « فادع »</w:t>
      </w:r>
      <w:r>
        <w:rPr>
          <w:rtl/>
        </w:rPr>
        <w:t>.</w:t>
      </w:r>
    </w:p>
    <w:tbl>
      <w:tblPr>
        <w:tblStyle w:val="TableGrid"/>
        <w:bidiVisual/>
        <w:tblW w:w="0" w:type="auto"/>
        <w:tblLook w:val="04A0" w:firstRow="1" w:lastRow="0" w:firstColumn="1" w:lastColumn="0" w:noHBand="0" w:noVBand="1"/>
      </w:tblPr>
      <w:tblGrid>
        <w:gridCol w:w="4006"/>
        <w:gridCol w:w="4006"/>
      </w:tblGrid>
      <w:tr w:rsidR="0018286E" w:rsidTr="0018286E">
        <w:tc>
          <w:tcPr>
            <w:tcW w:w="4006" w:type="dxa"/>
          </w:tcPr>
          <w:p w:rsidR="0018286E" w:rsidRDefault="0018286E" w:rsidP="000C39D1">
            <w:pPr>
              <w:pStyle w:val="libFootnote0"/>
              <w:rPr>
                <w:rtl/>
              </w:rPr>
            </w:pPr>
            <w:r>
              <w:rPr>
                <w:rtl/>
              </w:rPr>
              <w:t>(5).</w:t>
            </w:r>
            <w:r w:rsidRPr="00132E65">
              <w:rPr>
                <w:rtl/>
              </w:rPr>
              <w:t xml:space="preserve"> في « ف » : « فذلك »</w:t>
            </w:r>
            <w:r>
              <w:rPr>
                <w:rtl/>
              </w:rPr>
              <w:t>.</w:t>
            </w:r>
          </w:p>
        </w:tc>
        <w:tc>
          <w:tcPr>
            <w:tcW w:w="4006" w:type="dxa"/>
          </w:tcPr>
          <w:p w:rsidR="0018286E" w:rsidRDefault="0018286E" w:rsidP="000C39D1">
            <w:pPr>
              <w:pStyle w:val="libFootnote0"/>
              <w:rPr>
                <w:rtl/>
              </w:rPr>
            </w:pPr>
            <w:r>
              <w:rPr>
                <w:rtl/>
              </w:rPr>
              <w:t>(6).</w:t>
            </w:r>
            <w:r w:rsidRPr="00132E65">
              <w:rPr>
                <w:rtl/>
              </w:rPr>
              <w:t xml:space="preserve"> لقمان (31) : 14 </w:t>
            </w:r>
            <w:r>
              <w:rPr>
                <w:rtl/>
              </w:rPr>
              <w:t>و 1</w:t>
            </w:r>
            <w:r w:rsidRPr="00132E65">
              <w:rPr>
                <w:rtl/>
              </w:rPr>
              <w:t>5.</w:t>
            </w:r>
          </w:p>
        </w:tc>
      </w:tr>
    </w:tbl>
    <w:p w:rsidR="000C39D1" w:rsidRPr="00132E65" w:rsidRDefault="000C39D1" w:rsidP="00F64FEC">
      <w:pPr>
        <w:pStyle w:val="libFootnote0"/>
        <w:rPr>
          <w:rtl/>
          <w:lang w:bidi="fa-IR"/>
        </w:rPr>
      </w:pPr>
      <w:r>
        <w:rPr>
          <w:rtl/>
        </w:rPr>
        <w:t>(7).</w:t>
      </w:r>
      <w:r w:rsidRPr="00132E65">
        <w:rPr>
          <w:rtl/>
        </w:rPr>
        <w:t xml:space="preserve"> </w:t>
      </w:r>
      <w:r w:rsidRPr="003F2709">
        <w:rPr>
          <w:rtl/>
        </w:rPr>
        <w:t>تفسير القمّي</w:t>
      </w:r>
      <w:r w:rsidRPr="00132E65">
        <w:rPr>
          <w:rtl/>
        </w:rPr>
        <w:t xml:space="preserve"> ، ج 2 ، ص 148 ، عن الحسين بن محمّد</w:t>
      </w:r>
      <w:r w:rsidR="00F64FEC">
        <w:rPr>
          <w:rFonts w:hint="cs"/>
          <w:rtl/>
        </w:rPr>
        <w:t>.</w:t>
      </w:r>
      <w:r w:rsidRPr="009D1ACE">
        <w:rPr>
          <w:rStyle w:val="libFootnoteBoldChar"/>
          <w:rtl/>
        </w:rPr>
        <w:t>الوافي</w:t>
      </w:r>
      <w:r w:rsidRPr="00132E65">
        <w:rPr>
          <w:rtl/>
        </w:rPr>
        <w:t xml:space="preserve"> ، ج 3 ، ص 909 ، ح 1585 ؛ </w:t>
      </w:r>
      <w:r w:rsidRPr="003F2709">
        <w:rPr>
          <w:rtl/>
        </w:rPr>
        <w:t>البحار</w:t>
      </w:r>
      <w:r w:rsidRPr="00132E65">
        <w:rPr>
          <w:rtl/>
        </w:rPr>
        <w:t xml:space="preserve"> ، ج 23 ، ص 270 ، ح 22.</w:t>
      </w:r>
      <w:r w:rsidR="00F64FEC">
        <w:rPr>
          <w:rFonts w:hint="cs"/>
          <w:rtl/>
        </w:rPr>
        <w:t xml:space="preserve">                        </w:t>
      </w:r>
      <w:r w:rsidR="00936037">
        <w:rPr>
          <w:rFonts w:hint="cs"/>
          <w:rtl/>
        </w:rPr>
        <w:t xml:space="preserve">        </w:t>
      </w:r>
      <w:r w:rsidR="00F64FEC">
        <w:rPr>
          <w:rFonts w:hint="cs"/>
          <w:rtl/>
        </w:rPr>
        <w:t xml:space="preserve">       </w:t>
      </w:r>
      <w:r>
        <w:rPr>
          <w:rtl/>
        </w:rPr>
        <w:t>(8).</w:t>
      </w:r>
      <w:r w:rsidRPr="00132E65">
        <w:rPr>
          <w:rtl/>
        </w:rPr>
        <w:t xml:space="preserve"> إبراهيم (14) : 24.</w:t>
      </w:r>
    </w:p>
    <w:tbl>
      <w:tblPr>
        <w:tblStyle w:val="TableGrid"/>
        <w:bidiVisual/>
        <w:tblW w:w="0" w:type="auto"/>
        <w:tblLook w:val="04A0" w:firstRow="1" w:lastRow="0" w:firstColumn="1" w:lastColumn="0" w:noHBand="0" w:noVBand="1"/>
      </w:tblPr>
      <w:tblGrid>
        <w:gridCol w:w="4006"/>
        <w:gridCol w:w="4006"/>
      </w:tblGrid>
      <w:tr w:rsidR="00F64FEC" w:rsidTr="00F64FEC">
        <w:tc>
          <w:tcPr>
            <w:tcW w:w="4006" w:type="dxa"/>
          </w:tcPr>
          <w:p w:rsidR="00F64FEC" w:rsidRDefault="00F64FEC" w:rsidP="000C39D1">
            <w:pPr>
              <w:pStyle w:val="libFootnote0"/>
              <w:rPr>
                <w:rtl/>
              </w:rPr>
            </w:pPr>
            <w:r>
              <w:rPr>
                <w:rtl/>
              </w:rPr>
              <w:t>(9).</w:t>
            </w:r>
            <w:r w:rsidRPr="00132E65">
              <w:rPr>
                <w:rtl/>
              </w:rPr>
              <w:t xml:space="preserve"> في حاشية « ف » والبحار : « فقال قال »</w:t>
            </w:r>
            <w:r>
              <w:rPr>
                <w:rtl/>
              </w:rPr>
              <w:t>.</w:t>
            </w:r>
          </w:p>
        </w:tc>
        <w:tc>
          <w:tcPr>
            <w:tcW w:w="4006" w:type="dxa"/>
          </w:tcPr>
          <w:p w:rsidR="00F64FEC" w:rsidRDefault="00F64FEC" w:rsidP="000C39D1">
            <w:pPr>
              <w:pStyle w:val="libFootnote0"/>
              <w:rPr>
                <w:rtl/>
              </w:rPr>
            </w:pPr>
            <w:r>
              <w:rPr>
                <w:rtl/>
              </w:rPr>
              <w:t>(10).</w:t>
            </w:r>
            <w:r w:rsidR="00AB11ED">
              <w:rPr>
                <w:rtl/>
              </w:rPr>
              <w:t xml:space="preserve"> في« ج ، بف »</w:t>
            </w:r>
            <w:r w:rsidRPr="00132E65">
              <w:rPr>
                <w:rtl/>
              </w:rPr>
              <w:t>و</w:t>
            </w:r>
            <w:r w:rsidRPr="009D1ACE">
              <w:rPr>
                <w:rStyle w:val="libFootnoteBoldChar"/>
                <w:rtl/>
              </w:rPr>
              <w:t>مرآة العقول</w:t>
            </w:r>
            <w:r w:rsidR="00AB11ED">
              <w:rPr>
                <w:rtl/>
              </w:rPr>
              <w:t xml:space="preserve"> والبحار</w:t>
            </w:r>
            <w:r w:rsidRPr="00132E65">
              <w:rPr>
                <w:rtl/>
              </w:rPr>
              <w:t>:</w:t>
            </w:r>
            <w:r w:rsidR="00AB11ED">
              <w:rPr>
                <w:rtl/>
              </w:rPr>
              <w:t xml:space="preserve"> +«أنا</w:t>
            </w:r>
            <w:r w:rsidRPr="00132E65">
              <w:rPr>
                <w:rtl/>
              </w:rPr>
              <w:t>»</w:t>
            </w:r>
            <w:r>
              <w:rPr>
                <w:rtl/>
              </w:rPr>
              <w:t>.</w:t>
            </w:r>
          </w:p>
        </w:tc>
      </w:tr>
    </w:tbl>
    <w:p w:rsidR="000C39D1" w:rsidRPr="00132E65" w:rsidRDefault="000C39D1" w:rsidP="000C39D1">
      <w:pPr>
        <w:pStyle w:val="libFootnote0"/>
        <w:rPr>
          <w:rtl/>
          <w:lang w:bidi="fa-IR"/>
        </w:rPr>
      </w:pPr>
      <w:r>
        <w:rPr>
          <w:rtl/>
        </w:rPr>
        <w:t>(11).</w:t>
      </w:r>
      <w:r w:rsidRPr="00132E65">
        <w:rPr>
          <w:rtl/>
        </w:rPr>
        <w:t xml:space="preserve"> في البصائر ، ص 59 ، ح 4 : « والله جذرها » بدل « أصلها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 ذُرِّيَّتِهِمَا </w:t>
      </w:r>
      <w:r>
        <w:rPr>
          <w:rStyle w:val="libFootnotenumChar"/>
          <w:rtl/>
        </w:rPr>
        <w:t>(1)</w:t>
      </w:r>
      <w:r w:rsidRPr="00132E65">
        <w:rPr>
          <w:rtl/>
          <w:lang w:bidi="fa-IR"/>
        </w:rPr>
        <w:t xml:space="preserve"> أَغْصَانُهَا ، وعِلْمُ الْأَئِمَّةِ ثَمَرَتُهَا </w:t>
      </w:r>
      <w:r>
        <w:rPr>
          <w:rStyle w:val="libFootnotenumChar"/>
          <w:rtl/>
        </w:rPr>
        <w:t>(2)</w:t>
      </w:r>
      <w:r w:rsidRPr="00132E65">
        <w:rPr>
          <w:rtl/>
          <w:lang w:bidi="fa-IR"/>
        </w:rPr>
        <w:t xml:space="preserve"> ، وشِيعَتُهُمُ الْمُؤْمِنُونَ </w:t>
      </w:r>
      <w:r>
        <w:rPr>
          <w:rStyle w:val="libFootnotenumChar"/>
          <w:rtl/>
        </w:rPr>
        <w:t>(3)</w:t>
      </w:r>
      <w:r w:rsidRPr="00132E65">
        <w:rPr>
          <w:rtl/>
          <w:lang w:bidi="fa-IR"/>
        </w:rPr>
        <w:t xml:space="preserve"> ورَقُهَا ، هَلْ فِيهَا فَضْلٌ </w:t>
      </w:r>
      <w:r>
        <w:rPr>
          <w:rStyle w:val="libFootnotenumChar"/>
          <w:rtl/>
        </w:rPr>
        <w:t>(4)</w:t>
      </w:r>
      <w:r>
        <w:rPr>
          <w:rtl/>
          <w:lang w:bidi="fa-IR"/>
        </w:rPr>
        <w:t>؟</w:t>
      </w:r>
      <w:r w:rsidRPr="00132E65">
        <w:rPr>
          <w:rtl/>
          <w:lang w:bidi="fa-IR"/>
        </w:rPr>
        <w:t xml:space="preserve"> » قَالَ : قُلْتُ : لَاوَ اللهِ ، قَالَ </w:t>
      </w:r>
      <w:r>
        <w:rPr>
          <w:rStyle w:val="libFootnotenumChar"/>
          <w:rtl/>
        </w:rPr>
        <w:t>(5)</w:t>
      </w:r>
      <w:r w:rsidRPr="00132E65">
        <w:rPr>
          <w:rtl/>
          <w:lang w:bidi="fa-IR"/>
        </w:rPr>
        <w:t xml:space="preserve"> : « وَاللهِ </w:t>
      </w:r>
      <w:r>
        <w:rPr>
          <w:rStyle w:val="libFootnotenumChar"/>
          <w:rtl/>
        </w:rPr>
        <w:t>(6)</w:t>
      </w:r>
      <w:r w:rsidRPr="00132E65">
        <w:rPr>
          <w:rtl/>
          <w:lang w:bidi="fa-IR"/>
        </w:rPr>
        <w:t xml:space="preserve"> إِنَّ الْمُؤْمِنَ لَيُولَدُ ، فَتُورَقُ </w:t>
      </w:r>
      <w:r>
        <w:rPr>
          <w:rStyle w:val="libFootnotenumChar"/>
          <w:rtl/>
        </w:rPr>
        <w:t>(7)</w:t>
      </w:r>
      <w:r w:rsidRPr="00132E65">
        <w:rPr>
          <w:rtl/>
          <w:lang w:bidi="fa-IR"/>
        </w:rPr>
        <w:t xml:space="preserve"> ورَقَةٌ فِيهَا </w:t>
      </w:r>
      <w:r>
        <w:rPr>
          <w:rStyle w:val="libFootnotenumChar"/>
          <w:rtl/>
        </w:rPr>
        <w:t>(8)</w:t>
      </w:r>
      <w:r w:rsidRPr="00132E65">
        <w:rPr>
          <w:rtl/>
          <w:lang w:bidi="fa-IR"/>
        </w:rPr>
        <w:t xml:space="preserve"> ، وَإِنَّ الْمُؤْمِنَ لَيَمُوتُ ، فَتَسْقُطُ </w:t>
      </w:r>
      <w:r>
        <w:rPr>
          <w:rStyle w:val="libFootnotenumChar"/>
          <w:rtl/>
        </w:rPr>
        <w:t>(9)</w:t>
      </w:r>
      <w:r w:rsidRPr="00132E65">
        <w:rPr>
          <w:rtl/>
          <w:lang w:bidi="fa-IR"/>
        </w:rPr>
        <w:t xml:space="preserve"> ورَقَةٌ مِنْهَا </w:t>
      </w:r>
      <w:r>
        <w:rPr>
          <w:rStyle w:val="libFootnotenumChar"/>
          <w:rtl/>
        </w:rPr>
        <w:t>(10)</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3F2709">
        <w:rPr>
          <w:rtl/>
        </w:rPr>
        <w:t>1168</w:t>
      </w:r>
      <w:r w:rsidRPr="004325D8">
        <w:rPr>
          <w:rStyle w:val="libBold2Char"/>
          <w:rtl/>
        </w:rPr>
        <w:t xml:space="preserve"> / 81.</w:t>
      </w:r>
      <w:r w:rsidRPr="00132E65">
        <w:rPr>
          <w:rtl/>
          <w:lang w:bidi="fa-IR"/>
        </w:rPr>
        <w:t xml:space="preserve"> مُحَمَّدُ بْنُ يَحْيى ، عَنْ حَمْدَانَ بْنِ سُلَيْمَانَ ، عَنْ عَبْدِ اللهِ بْنِ مُحَمَّدٍ الْيَمَانِيِّ ، عَنْ مَنِيعِ بْنِ الْحَجَّاجِ ، عَنْ يُونُسَ ، عَنْ هِشَامِ بْنِ الْحَكَمِ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w:t>
      </w:r>
      <w:r>
        <w:rPr>
          <w:rStyle w:val="libFootnotenumChar"/>
          <w:rtl/>
        </w:rPr>
        <w:t>(12)</w:t>
      </w:r>
      <w:r w:rsidRPr="00132E65">
        <w:rPr>
          <w:rtl/>
          <w:lang w:bidi="fa-IR"/>
        </w:rPr>
        <w:t xml:space="preserve"> عَزَّ وجَلَّ : </w:t>
      </w:r>
      <w:r w:rsidRPr="00071CF9">
        <w:rPr>
          <w:rStyle w:val="libAlaemChar"/>
          <w:rtl/>
        </w:rPr>
        <w:t>(</w:t>
      </w:r>
      <w:r w:rsidRPr="00071CF9">
        <w:rPr>
          <w:rStyle w:val="libAieChar"/>
          <w:rtl/>
        </w:rPr>
        <w:t xml:space="preserve"> لا يَنْفَعُ نَفْساً إِيمانُها لَمْ تَكُنْ آمَنَتْ مِنْ قَبْلُ</w:t>
      </w:r>
      <w:r w:rsidRPr="00071CF9">
        <w:rPr>
          <w:rStyle w:val="libAlaemChar"/>
          <w:rtl/>
        </w:rPr>
        <w:t>)</w:t>
      </w:r>
      <w:r w:rsidRPr="00132E65">
        <w:rPr>
          <w:rtl/>
          <w:lang w:bidi="fa-IR"/>
        </w:rPr>
        <w:t xml:space="preserve"> « يَعْنِي فِي الْمِيثَاقِ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r w:rsidRPr="00071CF9">
        <w:rPr>
          <w:rStyle w:val="libAlaemChar"/>
          <w:rtl/>
        </w:rPr>
        <w:t>(</w:t>
      </w:r>
      <w:r w:rsidRPr="00071CF9">
        <w:rPr>
          <w:rStyle w:val="libAieChar"/>
          <w:rtl/>
        </w:rPr>
        <w:t xml:space="preserve"> أَوْ كَسَبَتْ فِي إِيمانِها خَيْراً </w:t>
      </w:r>
      <w:r w:rsidRPr="00071CF9">
        <w:rPr>
          <w:rStyle w:val="libAlaemChar"/>
          <w:rtl/>
        </w:rPr>
        <w:t>)</w:t>
      </w:r>
      <w:r w:rsidRPr="00132E65">
        <w:rPr>
          <w:rtl/>
          <w:lang w:bidi="fa-IR"/>
        </w:rPr>
        <w:t xml:space="preserve"> </w:t>
      </w:r>
      <w:r w:rsidRPr="00F543F1">
        <w:rPr>
          <w:rStyle w:val="libFootnotenumChar"/>
          <w:rtl/>
        </w:rPr>
        <w:t>(14)</w:t>
      </w:r>
      <w:r w:rsidR="002E7B45">
        <w:rPr>
          <w:rtl/>
          <w:lang w:bidi="fa-IR"/>
        </w:rPr>
        <w:t xml:space="preserve"> قَالَ: «</w:t>
      </w:r>
      <w:r w:rsidRPr="00132E65">
        <w:rPr>
          <w:rtl/>
          <w:lang w:bidi="fa-IR"/>
        </w:rPr>
        <w:t>الْإِقْرَارُ بِالْأَنْبِيَاءِ</w:t>
      </w:r>
      <w:r w:rsidRPr="00F543F1">
        <w:rPr>
          <w:rStyle w:val="libFootnotenumChar"/>
          <w:rtl/>
        </w:rPr>
        <w:t>(15)</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ذرّيّته »</w:t>
      </w:r>
      <w:r>
        <w:rPr>
          <w:rtl/>
        </w:rPr>
        <w:t>.</w:t>
      </w:r>
      <w:r w:rsidRPr="00132E65">
        <w:rPr>
          <w:rtl/>
        </w:rPr>
        <w:t xml:space="preserve"> وفي البصائر ، ص 59 ، ح 4 : « ذرّيّتها »</w:t>
      </w:r>
      <w:r>
        <w:rPr>
          <w:rtl/>
        </w:rPr>
        <w:t>.</w:t>
      </w:r>
    </w:p>
    <w:p w:rsidR="000C39D1" w:rsidRPr="00132E65" w:rsidRDefault="000C39D1" w:rsidP="000C39D1">
      <w:pPr>
        <w:pStyle w:val="libFootnote0"/>
        <w:rPr>
          <w:rtl/>
          <w:lang w:bidi="fa-IR"/>
        </w:rPr>
      </w:pPr>
      <w:r>
        <w:rPr>
          <w:rtl/>
        </w:rPr>
        <w:t>(2).</w:t>
      </w:r>
      <w:r w:rsidRPr="00132E65">
        <w:rPr>
          <w:rtl/>
        </w:rPr>
        <w:t xml:space="preserve"> في « ض ، بح ، بر ، بس ، بف » وحاشية « ج » و</w:t>
      </w:r>
      <w:r w:rsidRPr="009D1ACE">
        <w:rPr>
          <w:rStyle w:val="libFootnoteBoldChar"/>
          <w:rtl/>
        </w:rPr>
        <w:t>الوافي</w:t>
      </w:r>
      <w:r w:rsidRPr="00132E65">
        <w:rPr>
          <w:rtl/>
        </w:rPr>
        <w:t xml:space="preserve"> والبصائر ، ص 59 ، ح 4 : « ثمرها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والمؤمنون »</w:t>
      </w:r>
      <w:r>
        <w:rPr>
          <w:rtl/>
        </w:rPr>
        <w:t>.</w:t>
      </w:r>
    </w:p>
    <w:p w:rsidR="000C39D1" w:rsidRPr="00132E65" w:rsidRDefault="000C39D1" w:rsidP="00EE4C5A">
      <w:pPr>
        <w:pStyle w:val="libFootnote0"/>
        <w:rPr>
          <w:rtl/>
          <w:lang w:bidi="fa-IR"/>
        </w:rPr>
      </w:pPr>
      <w:r>
        <w:rPr>
          <w:rtl/>
        </w:rPr>
        <w:t>(4).</w:t>
      </w:r>
      <w:r w:rsidRPr="00132E65">
        <w:rPr>
          <w:rtl/>
        </w:rPr>
        <w:t xml:space="preserve"> أي هل في الشجرة أمر زائد على ما ذكرت من الأصل والفرع والثمرة والورق</w:t>
      </w:r>
      <w:r>
        <w:rPr>
          <w:rtl/>
        </w:rPr>
        <w:t>؟</w:t>
      </w:r>
      <w:r w:rsidRPr="00132E65">
        <w:rPr>
          <w:rtl/>
        </w:rPr>
        <w:t xml:space="preserve"> وفي « ب ، ض ، بس » وحاشية « بح ، بر ، بس » : « شوب » فيكون المراد : هل فيها شوب خطأ وبطلان. وفي </w:t>
      </w:r>
      <w:r w:rsidRPr="003C3275">
        <w:rPr>
          <w:rtl/>
        </w:rPr>
        <w:t>البصائر</w:t>
      </w:r>
      <w:r w:rsidRPr="00132E65">
        <w:rPr>
          <w:rtl/>
        </w:rPr>
        <w:t xml:space="preserve"> ، ص 59 ، ح 4 : « هل ترى فيها فضلاً يا أبا جعفر » بدل « هل فيها فضل »</w:t>
      </w:r>
      <w:r>
        <w:rPr>
          <w:rtl/>
        </w:rPr>
        <w:t>.</w:t>
      </w:r>
      <w:r w:rsidR="00EE4C5A">
        <w:rPr>
          <w:rFonts w:hint="cs"/>
          <w:rtl/>
        </w:rPr>
        <w:t xml:space="preserve">       </w:t>
      </w:r>
      <w:r>
        <w:rPr>
          <w:rtl/>
        </w:rPr>
        <w:t>(5).</w:t>
      </w:r>
      <w:r w:rsidR="00EE4C5A">
        <w:rPr>
          <w:rtl/>
        </w:rPr>
        <w:t xml:space="preserve"> في« ب »والبصائر</w:t>
      </w:r>
      <w:r w:rsidRPr="00132E65">
        <w:rPr>
          <w:rtl/>
        </w:rPr>
        <w:t>، ص 59</w:t>
      </w:r>
      <w:r w:rsidR="00EE4C5A">
        <w:rPr>
          <w:rtl/>
        </w:rPr>
        <w:t>،ح 4</w:t>
      </w:r>
      <w:r w:rsidRPr="00132E65">
        <w:rPr>
          <w:rtl/>
        </w:rPr>
        <w:t>:</w:t>
      </w:r>
      <w:r>
        <w:rPr>
          <w:rtl/>
        </w:rPr>
        <w:t xml:space="preserve"> + </w:t>
      </w:r>
      <w:r w:rsidRPr="00132E65">
        <w:rPr>
          <w:rtl/>
        </w:rPr>
        <w:t>« فقال »</w:t>
      </w:r>
      <w:r>
        <w:rPr>
          <w:rtl/>
        </w:rPr>
        <w:t>.</w:t>
      </w:r>
    </w:p>
    <w:p w:rsidR="000C39D1" w:rsidRPr="00132E65" w:rsidRDefault="000C39D1" w:rsidP="000C39D1">
      <w:pPr>
        <w:pStyle w:val="libFootnote0"/>
        <w:rPr>
          <w:rtl/>
          <w:lang w:bidi="fa-IR"/>
        </w:rPr>
      </w:pPr>
      <w:r>
        <w:rPr>
          <w:rtl/>
        </w:rPr>
        <w:t>(6).</w:t>
      </w:r>
      <w:r w:rsidRPr="00132E65">
        <w:rPr>
          <w:rtl/>
        </w:rPr>
        <w:t xml:space="preserve"> في « ب » </w:t>
      </w:r>
      <w:r>
        <w:rPr>
          <w:rtl/>
        </w:rPr>
        <w:t xml:space="preserve">: - </w:t>
      </w:r>
      <w:r w:rsidRPr="00132E65">
        <w:rPr>
          <w:rtl/>
        </w:rPr>
        <w:t>« والله »</w:t>
      </w:r>
      <w:r>
        <w:rPr>
          <w:rtl/>
        </w:rPr>
        <w:t>.</w:t>
      </w:r>
      <w:r w:rsidRPr="00132E65">
        <w:rPr>
          <w:rtl/>
        </w:rPr>
        <w:t xml:space="preserve"> وفي « ض » : « لا والله »</w:t>
      </w:r>
      <w:r>
        <w:rPr>
          <w:rtl/>
        </w:rPr>
        <w:t>.</w:t>
      </w:r>
    </w:p>
    <w:p w:rsidR="000C39D1" w:rsidRPr="00132E65" w:rsidRDefault="000C39D1" w:rsidP="000C39D1">
      <w:pPr>
        <w:pStyle w:val="libFootnote0"/>
        <w:rPr>
          <w:rtl/>
          <w:lang w:bidi="fa-IR"/>
        </w:rPr>
      </w:pPr>
      <w:r>
        <w:rPr>
          <w:rtl/>
        </w:rPr>
        <w:t>(7).</w:t>
      </w:r>
      <w:r w:rsidRPr="00132E65">
        <w:rPr>
          <w:rtl/>
        </w:rPr>
        <w:t xml:space="preserve"> في البصائر ، ص 59 ، ح 4 : « يولد فيورق » بدل « ليولد فتورق »</w:t>
      </w:r>
      <w:r>
        <w:rPr>
          <w:rtl/>
        </w:rPr>
        <w:t>.</w:t>
      </w:r>
    </w:p>
    <w:p w:rsidR="000C39D1" w:rsidRPr="00132E65" w:rsidRDefault="000C39D1" w:rsidP="000C39D1">
      <w:pPr>
        <w:pStyle w:val="libFootnote0"/>
        <w:rPr>
          <w:rtl/>
          <w:lang w:bidi="fa-IR"/>
        </w:rPr>
      </w:pPr>
      <w:r>
        <w:rPr>
          <w:rtl/>
        </w:rPr>
        <w:t>(8).</w:t>
      </w:r>
      <w:r w:rsidRPr="00132E65">
        <w:rPr>
          <w:rtl/>
        </w:rPr>
        <w:t xml:space="preserve"> في « ض » : « فيها ورقة »</w:t>
      </w:r>
      <w:r>
        <w:rPr>
          <w:rtl/>
        </w:rPr>
        <w:t>.</w:t>
      </w:r>
      <w:r w:rsidRPr="00132E65">
        <w:rPr>
          <w:rtl/>
        </w:rPr>
        <w:t xml:space="preserve"> وفي البصائر ، ص 59 ، ح 4 </w:t>
      </w:r>
      <w:r>
        <w:rPr>
          <w:rtl/>
        </w:rPr>
        <w:t xml:space="preserve">: - </w:t>
      </w:r>
      <w:r w:rsidRPr="00132E65">
        <w:rPr>
          <w:rtl/>
        </w:rPr>
        <w:t>« فيها »</w:t>
      </w:r>
      <w:r>
        <w:rPr>
          <w:rtl/>
        </w:rPr>
        <w:t>.</w:t>
      </w:r>
    </w:p>
    <w:p w:rsidR="000C39D1" w:rsidRPr="00132E65" w:rsidRDefault="000C39D1" w:rsidP="000C39D1">
      <w:pPr>
        <w:pStyle w:val="libFootnote0"/>
        <w:rPr>
          <w:rtl/>
          <w:lang w:bidi="fa-IR"/>
        </w:rPr>
      </w:pPr>
      <w:r>
        <w:rPr>
          <w:rtl/>
        </w:rPr>
        <w:t>(9).</w:t>
      </w:r>
      <w:r w:rsidRPr="00132E65">
        <w:rPr>
          <w:rtl/>
        </w:rPr>
        <w:t xml:space="preserve"> في « ج » : « وتسقط »</w:t>
      </w:r>
      <w:r>
        <w:rPr>
          <w:rtl/>
        </w:rPr>
        <w:t>.</w:t>
      </w:r>
      <w:r w:rsidRPr="00132E65">
        <w:rPr>
          <w:rtl/>
        </w:rPr>
        <w:t xml:space="preserve"> وفي « بح » والبحار : « فيسقط »</w:t>
      </w:r>
      <w:r>
        <w:rPr>
          <w:rtl/>
        </w:rPr>
        <w:t>.</w:t>
      </w:r>
    </w:p>
    <w:p w:rsidR="000C39D1" w:rsidRPr="00132E65" w:rsidRDefault="000C39D1" w:rsidP="000C39D1">
      <w:pPr>
        <w:pStyle w:val="libFootnote0"/>
        <w:rPr>
          <w:rtl/>
          <w:lang w:bidi="fa-IR"/>
        </w:rPr>
      </w:pPr>
      <w:r>
        <w:rPr>
          <w:rtl/>
        </w:rPr>
        <w:t>(10).</w:t>
      </w:r>
      <w:r w:rsidRPr="00132E65">
        <w:rPr>
          <w:rtl/>
        </w:rPr>
        <w:t xml:space="preserve"> في البصائر ، ص 59 ، ح 4 : « ورقته » بدل « ورقة منها »</w:t>
      </w:r>
      <w:r>
        <w:rPr>
          <w:rtl/>
        </w:rPr>
        <w:t>.</w:t>
      </w:r>
    </w:p>
    <w:p w:rsidR="000C39D1" w:rsidRPr="00132E65" w:rsidRDefault="000C39D1" w:rsidP="00EE4C5A">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59 ، ح 4 ، عن أحمد بن محمّد ، عن عليّ بن سيف ، عن أبيه ، عن عمر بن يزيد ، عن أبي عبد الله. وفي </w:t>
      </w:r>
      <w:r w:rsidRPr="007A1104">
        <w:rPr>
          <w:rStyle w:val="libFootnoteBoldChar"/>
          <w:rtl/>
        </w:rPr>
        <w:t>بصائر الدرجات</w:t>
      </w:r>
      <w:r w:rsidRPr="00132E65">
        <w:rPr>
          <w:rtl/>
        </w:rPr>
        <w:t xml:space="preserve"> ، ص 60 ، ح 2 </w:t>
      </w:r>
      <w:r>
        <w:rPr>
          <w:rtl/>
        </w:rPr>
        <w:t>و 3</w:t>
      </w:r>
      <w:r w:rsidRPr="00132E65">
        <w:rPr>
          <w:rtl/>
        </w:rPr>
        <w:t xml:space="preserve"> ؛ و</w:t>
      </w:r>
      <w:r w:rsidRPr="003C3275">
        <w:rPr>
          <w:rtl/>
        </w:rPr>
        <w:t>كمال الدين</w:t>
      </w:r>
      <w:r w:rsidRPr="00132E65">
        <w:rPr>
          <w:rtl/>
        </w:rPr>
        <w:t xml:space="preserve"> ، ص 345 ، ح 30 ؛ و</w:t>
      </w:r>
      <w:r w:rsidRPr="003C3275">
        <w:rPr>
          <w:rtl/>
        </w:rPr>
        <w:t>تفسير فرات</w:t>
      </w:r>
      <w:r w:rsidRPr="00132E65">
        <w:rPr>
          <w:rtl/>
        </w:rPr>
        <w:t xml:space="preserve"> ، ص 219 ، ح 292 </w:t>
      </w:r>
      <w:r>
        <w:rPr>
          <w:rtl/>
        </w:rPr>
        <w:t>و 2</w:t>
      </w:r>
      <w:r w:rsidRPr="00132E65">
        <w:rPr>
          <w:rtl/>
        </w:rPr>
        <w:t xml:space="preserve">93 ، بسند آخر عن أبي عبد الله </w:t>
      </w:r>
      <w:r w:rsidRPr="00EE4C5A">
        <w:rPr>
          <w:rStyle w:val="libFootnoteAlaemChar"/>
          <w:rtl/>
        </w:rPr>
        <w:t>عليه‌السلام</w:t>
      </w:r>
      <w:r w:rsidRPr="00132E65">
        <w:rPr>
          <w:rtl/>
        </w:rPr>
        <w:t xml:space="preserve"> ، مع اختلاف يسير. وفي </w:t>
      </w:r>
      <w:r w:rsidRPr="007A1104">
        <w:rPr>
          <w:rStyle w:val="libFootnoteBoldChar"/>
          <w:rtl/>
        </w:rPr>
        <w:t>بصائر الدرجات</w:t>
      </w:r>
      <w:r w:rsidRPr="00132E65">
        <w:rPr>
          <w:rtl/>
        </w:rPr>
        <w:t xml:space="preserve"> ، ص 59 ، ح 2 </w:t>
      </w:r>
      <w:r>
        <w:rPr>
          <w:rtl/>
        </w:rPr>
        <w:t>و 3</w:t>
      </w:r>
      <w:r w:rsidRPr="00132E65">
        <w:rPr>
          <w:rtl/>
        </w:rPr>
        <w:t xml:space="preserve"> ؛ و</w:t>
      </w:r>
      <w:r w:rsidRPr="003C3275">
        <w:rPr>
          <w:rtl/>
        </w:rPr>
        <w:t>معاني الأخبار</w:t>
      </w:r>
      <w:r w:rsidRPr="00132E65">
        <w:rPr>
          <w:rtl/>
        </w:rPr>
        <w:t xml:space="preserve"> ، ص 400 ، ح 61 ، بسند آخر عن أبي جعفر </w:t>
      </w:r>
      <w:r w:rsidRPr="00EE4C5A">
        <w:rPr>
          <w:rStyle w:val="libFootnoteAlaemChar"/>
          <w:rtl/>
        </w:rPr>
        <w:t>عليه‌السلام</w:t>
      </w:r>
      <w:r w:rsidRPr="00132E65">
        <w:rPr>
          <w:rtl/>
        </w:rPr>
        <w:t xml:space="preserve"> ، مع اختلاف يسير. وفي </w:t>
      </w:r>
      <w:r w:rsidRPr="007A1104">
        <w:rPr>
          <w:rStyle w:val="libFootnoteBoldChar"/>
          <w:rtl/>
        </w:rPr>
        <w:t>بصائر الدرجات</w:t>
      </w:r>
      <w:r w:rsidRPr="00132E65">
        <w:rPr>
          <w:rtl/>
        </w:rPr>
        <w:t xml:space="preserve"> ، ص 58 ، ح 1 ، بسند آخر عن أبي جعفر </w:t>
      </w:r>
      <w:r w:rsidRPr="00EE4C5A">
        <w:rPr>
          <w:rStyle w:val="libFootnoteAlaemChar"/>
          <w:rtl/>
        </w:rPr>
        <w:t>عليه‌السلام</w:t>
      </w:r>
      <w:r w:rsidRPr="00132E65">
        <w:rPr>
          <w:rtl/>
        </w:rPr>
        <w:t xml:space="preserve"> ، عن رسول الله </w:t>
      </w:r>
      <w:r w:rsidRPr="00EE4C5A">
        <w:rPr>
          <w:rStyle w:val="libFootnoteAlaemChar"/>
          <w:rFonts w:eastAsiaTheme="minorHAnsi"/>
          <w:rtl/>
        </w:rPr>
        <w:t>صلى‌الله‌عليه‌وآله</w:t>
      </w:r>
      <w:r w:rsidRPr="00132E65">
        <w:rPr>
          <w:rtl/>
          <w:lang w:bidi="fa-IR"/>
        </w:rPr>
        <w:t xml:space="preserve"> </w:t>
      </w:r>
      <w:r w:rsidRPr="00132E65">
        <w:rPr>
          <w:rtl/>
        </w:rPr>
        <w:t xml:space="preserve">، مع اختلاف يسير. راجع : </w:t>
      </w:r>
      <w:r w:rsidRPr="007A1104">
        <w:rPr>
          <w:rStyle w:val="libFootnoteBoldChar"/>
          <w:rtl/>
        </w:rPr>
        <w:t>بصائر الدرجات</w:t>
      </w:r>
      <w:r w:rsidRPr="00132E65">
        <w:rPr>
          <w:rtl/>
        </w:rPr>
        <w:t xml:space="preserve"> ، ص 60 ، ح 1 ؛ و</w:t>
      </w:r>
      <w:r w:rsidRPr="003C3275">
        <w:rPr>
          <w:rtl/>
        </w:rPr>
        <w:t>تفسير العيّاشي</w:t>
      </w:r>
      <w:r w:rsidRPr="00132E65">
        <w:rPr>
          <w:rtl/>
        </w:rPr>
        <w:t xml:space="preserve"> ، ج 2 ، ص 224 ، ح 10</w:t>
      </w:r>
      <w:r w:rsidR="00EE4C5A">
        <w:rPr>
          <w:rFonts w:hint="cs"/>
          <w:rtl/>
        </w:rPr>
        <w:t>.</w:t>
      </w:r>
      <w:r w:rsidRPr="009D1ACE">
        <w:rPr>
          <w:rStyle w:val="libFootnoteBoldChar"/>
          <w:rtl/>
        </w:rPr>
        <w:t>الوافي</w:t>
      </w:r>
      <w:r w:rsidRPr="00132E65">
        <w:rPr>
          <w:rtl/>
        </w:rPr>
        <w:t xml:space="preserve"> ، ج 3 ، ص 89 ، ح 1563 ؛ </w:t>
      </w:r>
      <w:r w:rsidRPr="003C3275">
        <w:rPr>
          <w:rtl/>
        </w:rPr>
        <w:t>البحار</w:t>
      </w:r>
      <w:r w:rsidRPr="00132E65">
        <w:rPr>
          <w:rtl/>
        </w:rPr>
        <w:t xml:space="preserve"> ، ج 24 ، ص 142 ، ح 12.</w:t>
      </w:r>
      <w:r w:rsidR="00EE4C5A">
        <w:rPr>
          <w:rFonts w:hint="cs"/>
          <w:rtl/>
        </w:rPr>
        <w:t xml:space="preserve">    </w:t>
      </w:r>
      <w:r>
        <w:rPr>
          <w:rtl/>
        </w:rPr>
        <w:t>(12).</w:t>
      </w:r>
      <w:r w:rsidRPr="00132E65">
        <w:rPr>
          <w:rtl/>
        </w:rPr>
        <w:t xml:space="preserve"> في « بح » و</w:t>
      </w:r>
      <w:r w:rsidRPr="009D1ACE">
        <w:rPr>
          <w:rStyle w:val="libFootnoteBoldChar"/>
          <w:rtl/>
        </w:rPr>
        <w:t>الوافي</w:t>
      </w:r>
      <w:r w:rsidRPr="00132E65">
        <w:rPr>
          <w:rtl/>
        </w:rPr>
        <w:t xml:space="preserve"> : « قوله »</w:t>
      </w:r>
      <w:r>
        <w:rPr>
          <w:rtl/>
        </w:rPr>
        <w:t>.</w:t>
      </w:r>
    </w:p>
    <w:tbl>
      <w:tblPr>
        <w:tblStyle w:val="TableGrid"/>
        <w:bidiVisual/>
        <w:tblW w:w="0" w:type="auto"/>
        <w:tblLook w:val="04A0" w:firstRow="1" w:lastRow="0" w:firstColumn="1" w:lastColumn="0" w:noHBand="0" w:noVBand="1"/>
      </w:tblPr>
      <w:tblGrid>
        <w:gridCol w:w="4006"/>
        <w:gridCol w:w="4006"/>
      </w:tblGrid>
      <w:tr w:rsidR="00EE4C5A" w:rsidTr="00EE4C5A">
        <w:tc>
          <w:tcPr>
            <w:tcW w:w="4006" w:type="dxa"/>
          </w:tcPr>
          <w:p w:rsidR="00EE4C5A" w:rsidRDefault="00EE4C5A" w:rsidP="000C39D1">
            <w:pPr>
              <w:pStyle w:val="libFootnote0"/>
              <w:rPr>
                <w:rtl/>
              </w:rPr>
            </w:pPr>
            <w:r>
              <w:rPr>
                <w:rtl/>
              </w:rPr>
              <w:t>(13)</w:t>
            </w:r>
            <w:r w:rsidRPr="00132E65">
              <w:rPr>
                <w:rtl/>
              </w:rPr>
              <w:t xml:space="preserve"> في البحار ، ج 24 </w:t>
            </w:r>
            <w:r>
              <w:rPr>
                <w:rtl/>
              </w:rPr>
              <w:t xml:space="preserve">: - </w:t>
            </w:r>
            <w:r w:rsidRPr="00132E65">
              <w:rPr>
                <w:rtl/>
              </w:rPr>
              <w:t>« يعني في الميثاق »</w:t>
            </w:r>
            <w:r>
              <w:rPr>
                <w:rtl/>
              </w:rPr>
              <w:t>.</w:t>
            </w:r>
          </w:p>
        </w:tc>
        <w:tc>
          <w:tcPr>
            <w:tcW w:w="4006" w:type="dxa"/>
          </w:tcPr>
          <w:p w:rsidR="00EE4C5A" w:rsidRDefault="00EE4C5A" w:rsidP="000C39D1">
            <w:pPr>
              <w:pStyle w:val="libFootnote0"/>
              <w:rPr>
                <w:rtl/>
              </w:rPr>
            </w:pPr>
            <w:r>
              <w:rPr>
                <w:rtl/>
              </w:rPr>
              <w:t>(14)</w:t>
            </w:r>
            <w:r w:rsidRPr="00132E65">
              <w:rPr>
                <w:rtl/>
              </w:rPr>
              <w:t xml:space="preserve"> الأنعام </w:t>
            </w:r>
            <w:r>
              <w:rPr>
                <w:rtl/>
              </w:rPr>
              <w:t>(6)</w:t>
            </w:r>
            <w:r w:rsidRPr="00132E65">
              <w:rPr>
                <w:rtl/>
              </w:rPr>
              <w:t xml:space="preserve"> : 158.</w:t>
            </w:r>
          </w:p>
        </w:tc>
      </w:tr>
    </w:tbl>
    <w:p w:rsidR="000C39D1" w:rsidRPr="00132E65" w:rsidRDefault="000C39D1" w:rsidP="000C39D1">
      <w:pPr>
        <w:pStyle w:val="libFootnote0"/>
        <w:rPr>
          <w:rtl/>
          <w:lang w:bidi="fa-IR"/>
        </w:rPr>
      </w:pPr>
      <w:r>
        <w:rPr>
          <w:rtl/>
        </w:rPr>
        <w:t>(15)</w:t>
      </w:r>
      <w:r w:rsidRPr="00132E65">
        <w:rPr>
          <w:rtl/>
        </w:rPr>
        <w:t xml:space="preserve"> في البحار ، ج 24 : « قال : الأنبياء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وَالْأَوْصِيَاءِ وأَمِيرِ الْمُؤْمِنِينَ </w:t>
      </w:r>
      <w:r w:rsidRPr="00071CF9">
        <w:rPr>
          <w:rStyle w:val="libAlaemChar"/>
          <w:rtl/>
        </w:rPr>
        <w:t>عليه‌السلام</w:t>
      </w:r>
      <w:r w:rsidRPr="00132E65">
        <w:rPr>
          <w:rtl/>
          <w:lang w:bidi="fa-IR"/>
        </w:rPr>
        <w:t xml:space="preserve"> خَاصَّةً ، قَالَ : لَايَنْفَعُ </w:t>
      </w:r>
      <w:r>
        <w:rPr>
          <w:rStyle w:val="libFootnotenumChar"/>
          <w:rtl/>
        </w:rPr>
        <w:t>(1)</w:t>
      </w:r>
      <w:r w:rsidRPr="00132E65">
        <w:rPr>
          <w:rtl/>
          <w:lang w:bidi="fa-IR"/>
        </w:rPr>
        <w:t xml:space="preserve"> إِيمَانُهَا لِأَنَّهَا سُلِبَتْ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3C3275">
        <w:rPr>
          <w:rtl/>
        </w:rPr>
        <w:t>1169</w:t>
      </w:r>
      <w:r w:rsidRPr="004325D8">
        <w:rPr>
          <w:rStyle w:val="libBold2Char"/>
          <w:rtl/>
        </w:rPr>
        <w:t xml:space="preserve"> / 82.</w:t>
      </w:r>
      <w:r w:rsidRPr="00132E65">
        <w:rPr>
          <w:rtl/>
          <w:lang w:bidi="fa-IR"/>
        </w:rPr>
        <w:t xml:space="preserve"> وبِهذَا الْإِسْنَادِ ، عَنْ يُونُسَ ، عَنْ صَبَّاحٍ الْمُزَنِيِّ ، عَنْ أَبِي حَمْزَةَ :</w:t>
      </w:r>
    </w:p>
    <w:p w:rsidR="000C39D1" w:rsidRPr="00132E65" w:rsidRDefault="000C39D1" w:rsidP="000C39D1">
      <w:pPr>
        <w:pStyle w:val="libNormal"/>
        <w:rPr>
          <w:rtl/>
          <w:lang w:bidi="fa-IR"/>
        </w:rPr>
      </w:pPr>
      <w:r w:rsidRPr="00132E65">
        <w:rPr>
          <w:rtl/>
          <w:lang w:bidi="fa-IR"/>
        </w:rPr>
        <w:t xml:space="preserve">عَنْ أَحَدِهِمَا </w:t>
      </w:r>
      <w:r>
        <w:rPr>
          <w:rStyle w:val="libFootnotenumChar"/>
          <w:rtl/>
        </w:rPr>
        <w:t>(3)</w:t>
      </w:r>
      <w:r w:rsidRPr="00132E65">
        <w:rPr>
          <w:rtl/>
          <w:lang w:bidi="fa-IR"/>
        </w:rPr>
        <w:t xml:space="preserve"> </w:t>
      </w:r>
      <w:r w:rsidRPr="00071CF9">
        <w:rPr>
          <w:rStyle w:val="libAlaemChar"/>
          <w:rtl/>
        </w:rPr>
        <w:t>عليهما‌السلام</w:t>
      </w:r>
      <w:r w:rsidRPr="00132E65">
        <w:rPr>
          <w:rtl/>
          <w:lang w:bidi="fa-IR"/>
        </w:rPr>
        <w:t xml:space="preserve"> فِي قَوْلِ اللهِ </w:t>
      </w:r>
      <w:r>
        <w:rPr>
          <w:rStyle w:val="libFootnotenumChar"/>
          <w:rtl/>
        </w:rPr>
        <w:t>(4)</w:t>
      </w:r>
      <w:r w:rsidRPr="00132E65">
        <w:rPr>
          <w:rtl/>
          <w:lang w:bidi="fa-IR"/>
        </w:rPr>
        <w:t xml:space="preserve"> جَلَّ وعَزَّ : </w:t>
      </w:r>
      <w:r w:rsidRPr="00071CF9">
        <w:rPr>
          <w:rStyle w:val="libAlaemChar"/>
          <w:rtl/>
        </w:rPr>
        <w:t>(</w:t>
      </w:r>
      <w:r w:rsidRPr="00071CF9">
        <w:rPr>
          <w:rStyle w:val="libAieChar"/>
          <w:rtl/>
        </w:rPr>
        <w:t xml:space="preserve"> بَلى مَنْ كَسَبَ سَيِّئَةً وَأَحاطَتْ بِهِ خَطِيئَتُهُ </w:t>
      </w:r>
      <w:r w:rsidRPr="00071CF9">
        <w:rPr>
          <w:rStyle w:val="libAlaemChar"/>
          <w:rtl/>
        </w:rPr>
        <w:t>)</w:t>
      </w:r>
      <w:r w:rsidRPr="00132E65">
        <w:rPr>
          <w:rtl/>
          <w:lang w:bidi="fa-IR"/>
        </w:rPr>
        <w:t xml:space="preserve"> قَالَ : « إِذَا جَحَدَ إِمَامَةَ أَمِيرِ الْمُؤْمِنِينَ </w:t>
      </w:r>
      <w:r w:rsidRPr="00071CF9">
        <w:rPr>
          <w:rStyle w:val="libAlaemChar"/>
          <w:rtl/>
        </w:rPr>
        <w:t>عليه‌السلام(</w:t>
      </w:r>
      <w:r w:rsidRPr="00071CF9">
        <w:rPr>
          <w:rStyle w:val="libAieChar"/>
          <w:rtl/>
        </w:rPr>
        <w:t xml:space="preserve"> فَأُولئِكَ أَصْحابُ النّارِ هُمْ فِيها خالِدُونَ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3C3275">
        <w:rPr>
          <w:rtl/>
        </w:rPr>
        <w:t>1170</w:t>
      </w:r>
      <w:r w:rsidRPr="004325D8">
        <w:rPr>
          <w:rStyle w:val="libBold2Char"/>
          <w:rtl/>
        </w:rPr>
        <w:t xml:space="preserve"> / 83.</w:t>
      </w:r>
      <w:r w:rsidRPr="00132E65">
        <w:rPr>
          <w:rtl/>
          <w:lang w:bidi="fa-IR"/>
        </w:rPr>
        <w:t xml:space="preserve"> عِدَّةٌ مِنْ أَصْحَابِنَا ، عَنْ أَحْمَدَ بْنِ مُحَمَّدِ ، عَنِ ابْنِ أَبِي نَصْرٍ </w:t>
      </w:r>
      <w:r>
        <w:rPr>
          <w:rStyle w:val="libFootnotenumChar"/>
          <w:rtl/>
        </w:rPr>
        <w:t>(7)</w:t>
      </w:r>
      <w:r w:rsidRPr="00132E65">
        <w:rPr>
          <w:rtl/>
          <w:lang w:bidi="fa-IR"/>
        </w:rPr>
        <w:t xml:space="preserve"> ، عَنْ حَمَّادِ بْنِ عُثْمَانَ ، عَنْ أَبِي عُبَيْدَةَ الْحَذَّاءِ ، قَالَ :</w:t>
      </w:r>
    </w:p>
    <w:p w:rsidR="000C39D1" w:rsidRPr="00132E65" w:rsidRDefault="000C39D1" w:rsidP="000C39D1">
      <w:pPr>
        <w:pStyle w:val="libNormal"/>
        <w:rPr>
          <w:rtl/>
          <w:lang w:bidi="fa-IR"/>
        </w:rPr>
      </w:pPr>
      <w:r w:rsidRPr="00132E65">
        <w:rPr>
          <w:rtl/>
          <w:lang w:bidi="fa-IR"/>
        </w:rPr>
        <w:t xml:space="preserve">سَأَلْتُ أَبَا جَعْفَرٍ </w:t>
      </w:r>
      <w:r>
        <w:rPr>
          <w:rStyle w:val="libFootnotenumChar"/>
          <w:rtl/>
        </w:rPr>
        <w:t>(8)</w:t>
      </w:r>
      <w:r w:rsidRPr="00132E65">
        <w:rPr>
          <w:rtl/>
          <w:lang w:bidi="fa-IR"/>
        </w:rPr>
        <w:t xml:space="preserve"> </w:t>
      </w:r>
      <w:r w:rsidRPr="00071CF9">
        <w:rPr>
          <w:rStyle w:val="libAlaemChar"/>
          <w:rtl/>
        </w:rPr>
        <w:t>عليه‌السلام</w:t>
      </w:r>
      <w:r w:rsidRPr="00132E65">
        <w:rPr>
          <w:rtl/>
          <w:lang w:bidi="fa-IR"/>
        </w:rPr>
        <w:t xml:space="preserve"> عَنِ الِاسْتِطَاعَةِ ، وقَوْلِ النَّاسِ </w:t>
      </w:r>
      <w:r>
        <w:rPr>
          <w:rStyle w:val="libFootnotenumChar"/>
          <w:rtl/>
        </w:rPr>
        <w:t>(9)</w:t>
      </w:r>
      <w:r w:rsidRPr="00132E65">
        <w:rPr>
          <w:rtl/>
          <w:lang w:bidi="fa-IR"/>
        </w:rPr>
        <w:t xml:space="preserve"> ، فَقَالَ</w:t>
      </w:r>
      <w:r>
        <w:rPr>
          <w:rtl/>
          <w:lang w:bidi="fa-IR"/>
        </w:rPr>
        <w:t xml:space="preserve"> - </w:t>
      </w:r>
      <w:r w:rsidRPr="00132E65">
        <w:rPr>
          <w:rtl/>
          <w:lang w:bidi="fa-IR"/>
        </w:rPr>
        <w:t xml:space="preserve">وتَلَا </w:t>
      </w:r>
      <w:r>
        <w:rPr>
          <w:rStyle w:val="libFootnotenumChar"/>
          <w:rtl/>
        </w:rPr>
        <w:t>(10)</w:t>
      </w:r>
      <w:r w:rsidRPr="00132E65">
        <w:rPr>
          <w:rtl/>
          <w:lang w:bidi="fa-IR"/>
        </w:rPr>
        <w:t xml:space="preserve"> هذِهِ الْآيَةَ : </w:t>
      </w:r>
      <w:r w:rsidRPr="00071CF9">
        <w:rPr>
          <w:rStyle w:val="libAlaemChar"/>
          <w:rtl/>
        </w:rPr>
        <w:t>(</w:t>
      </w:r>
      <w:r w:rsidRPr="00071CF9">
        <w:rPr>
          <w:rStyle w:val="libAieChar"/>
          <w:rtl/>
        </w:rPr>
        <w:t xml:space="preserve"> وَلا يَزالُونَ مُخْتَلِفِينَ</w:t>
      </w:r>
      <w:r w:rsidR="00554B47">
        <w:rPr>
          <w:rStyle w:val="libAieChar"/>
          <w:rFonts w:hint="cs"/>
          <w:rtl/>
        </w:rPr>
        <w:t xml:space="preserve"> *</w:t>
      </w:r>
      <w:r w:rsidR="00554B47">
        <w:rPr>
          <w:rStyle w:val="libAieChar"/>
          <w:rtl/>
        </w:rPr>
        <w:t xml:space="preserve"> إِل</w:t>
      </w:r>
      <w:r w:rsidR="00554B47">
        <w:rPr>
          <w:rStyle w:val="libAieChar"/>
          <w:rFonts w:hint="cs"/>
          <w:rtl/>
        </w:rPr>
        <w:t>ّ</w:t>
      </w:r>
      <w:r w:rsidR="00554B47">
        <w:rPr>
          <w:rStyle w:val="libAieChar"/>
          <w:rtl/>
        </w:rPr>
        <w:t>ا</w:t>
      </w:r>
      <w:r w:rsidRPr="00071CF9">
        <w:rPr>
          <w:rStyle w:val="libAieChar"/>
          <w:rtl/>
        </w:rPr>
        <w:t xml:space="preserve"> مَنْ رَحِمَ رَبُّكَ وَلِذلِكَ خَلَقَهُمْ </w:t>
      </w:r>
      <w:r w:rsidRPr="00071CF9">
        <w:rPr>
          <w:rStyle w:val="libAlaemChar"/>
          <w:rtl/>
        </w:rPr>
        <w:t>)</w:t>
      </w:r>
      <w:r w:rsidRPr="00132E65">
        <w:rPr>
          <w:rtl/>
          <w:lang w:bidi="fa-IR"/>
        </w:rPr>
        <w:t xml:space="preserve"> </w:t>
      </w:r>
      <w:r>
        <w:rPr>
          <w:rStyle w:val="libFootnotenumChar"/>
          <w:rtl/>
        </w:rPr>
        <w:t>(11)</w:t>
      </w:r>
      <w:r>
        <w:rPr>
          <w:rtl/>
          <w:lang w:bidi="fa-IR"/>
        </w:rPr>
        <w:t xml:space="preserve"> - </w:t>
      </w:r>
      <w:r w:rsidRPr="00132E65">
        <w:rPr>
          <w:rtl/>
          <w:lang w:bidi="fa-IR"/>
        </w:rPr>
        <w:t>: « يَا أَبَا عُبَيْدَةَ ، النَّاسُ مُخْتَلِفُونَ فِي إِصَابَةِ الْقَوْلِ ، وكُلُّهُمْ هَالِكٌ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w:t>
      </w:r>
      <w:r>
        <w:rPr>
          <w:rtl/>
        </w:rPr>
        <w:t xml:space="preserve"> + </w:t>
      </w:r>
      <w:r w:rsidRPr="00132E65">
        <w:rPr>
          <w:rtl/>
        </w:rPr>
        <w:t>« نفساً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928 ، ح 1612 ؛ </w:t>
      </w:r>
      <w:r w:rsidRPr="003C3275">
        <w:rPr>
          <w:rtl/>
        </w:rPr>
        <w:t>البحار</w:t>
      </w:r>
      <w:r w:rsidRPr="00132E65">
        <w:rPr>
          <w:rtl/>
        </w:rPr>
        <w:t xml:space="preserve"> ، ج 24 ، ص 401 ، ح 128 ؛ وج 67 ، ص 33.</w:t>
      </w:r>
    </w:p>
    <w:p w:rsidR="000C39D1" w:rsidRPr="00132E65" w:rsidRDefault="000C39D1" w:rsidP="000C39D1">
      <w:pPr>
        <w:pStyle w:val="libFootnote0"/>
        <w:rPr>
          <w:rtl/>
          <w:lang w:bidi="fa-IR"/>
        </w:rPr>
      </w:pPr>
      <w:r>
        <w:rPr>
          <w:rtl/>
        </w:rPr>
        <w:t>(3).</w:t>
      </w:r>
      <w:r w:rsidRPr="00132E65">
        <w:rPr>
          <w:rtl/>
        </w:rPr>
        <w:t xml:space="preserve"> في « ض ، ف ، بس ، بف » وحاشية « ج ، بر » : « أبي عبد الله »</w:t>
      </w:r>
      <w:r>
        <w:rPr>
          <w:rtl/>
        </w:rPr>
        <w:t>.</w:t>
      </w:r>
    </w:p>
    <w:p w:rsidR="000C39D1" w:rsidRPr="00132E65" w:rsidRDefault="000C39D1" w:rsidP="000C39D1">
      <w:pPr>
        <w:pStyle w:val="libFootnote0"/>
        <w:rPr>
          <w:rtl/>
          <w:lang w:bidi="fa-IR"/>
        </w:rPr>
      </w:pPr>
      <w:r>
        <w:rPr>
          <w:rtl/>
        </w:rPr>
        <w:t>(4).</w:t>
      </w:r>
      <w:r w:rsidRPr="00132E65">
        <w:rPr>
          <w:rtl/>
        </w:rPr>
        <w:t xml:space="preserve"> في « بح » : « قوله »</w:t>
      </w:r>
      <w:r>
        <w:rPr>
          <w:rtl/>
        </w:rPr>
        <w:t>.</w:t>
      </w:r>
    </w:p>
    <w:p w:rsidR="000C39D1" w:rsidRPr="00132E65" w:rsidRDefault="000C39D1" w:rsidP="000C39D1">
      <w:pPr>
        <w:pStyle w:val="libFootnote0"/>
        <w:rPr>
          <w:rtl/>
          <w:lang w:bidi="fa-IR"/>
        </w:rPr>
      </w:pPr>
      <w:r>
        <w:rPr>
          <w:rtl/>
        </w:rPr>
        <w:t>(5).</w:t>
      </w:r>
      <w:r w:rsidRPr="00132E65">
        <w:rPr>
          <w:rtl/>
        </w:rPr>
        <w:t xml:space="preserve"> البقرة </w:t>
      </w:r>
      <w:r w:rsidR="00CD55AA">
        <w:rPr>
          <w:rtl/>
        </w:rPr>
        <w:t>(2)</w:t>
      </w:r>
      <w:r w:rsidRPr="00132E65">
        <w:rPr>
          <w:rtl/>
        </w:rPr>
        <w:t xml:space="preserve"> : 81.</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928 ، ح 1613 ؛ </w:t>
      </w:r>
      <w:r w:rsidRPr="003C3275">
        <w:rPr>
          <w:rtl/>
        </w:rPr>
        <w:t>البحار</w:t>
      </w:r>
      <w:r w:rsidRPr="00132E65">
        <w:rPr>
          <w:rtl/>
        </w:rPr>
        <w:t xml:space="preserve"> ، ج 8 ، ص 358 ، ح 20 ؛ وج 24 ، ص 401 ، ح 129.</w:t>
      </w:r>
    </w:p>
    <w:p w:rsidR="000C39D1" w:rsidRPr="00132E65" w:rsidRDefault="000C39D1" w:rsidP="000C39D1">
      <w:pPr>
        <w:pStyle w:val="libFootnote0"/>
        <w:rPr>
          <w:rtl/>
          <w:lang w:bidi="fa-IR"/>
        </w:rPr>
      </w:pPr>
      <w:r>
        <w:rPr>
          <w:rtl/>
        </w:rPr>
        <w:t>(7).</w:t>
      </w:r>
      <w:r w:rsidRPr="00132E65">
        <w:rPr>
          <w:rtl/>
        </w:rPr>
        <w:t xml:space="preserve"> هكذا في « ألف ، ج ، بر ، بس ، بف » والوسائل والبحار ، ج 5. وفي « ض » : « أحمد بن محمّد عن أبي نصر »</w:t>
      </w:r>
      <w:r>
        <w:rPr>
          <w:rtl/>
        </w:rPr>
        <w:t>.</w:t>
      </w:r>
      <w:r w:rsidRPr="00132E65">
        <w:rPr>
          <w:rtl/>
        </w:rPr>
        <w:t xml:space="preserve"> وفي « ف ، جر » والمطبوع : « أحمد بن محمّد بن أبي نصر »</w:t>
      </w:r>
      <w:r>
        <w:rPr>
          <w:rtl/>
        </w:rPr>
        <w:t>.</w:t>
      </w:r>
      <w:r w:rsidRPr="00132E65">
        <w:rPr>
          <w:rtl/>
        </w:rPr>
        <w:t xml:space="preserve"> وفي « بح » : « أحمد عن محمّد بن أبي نصر »</w:t>
      </w:r>
      <w:r>
        <w:rPr>
          <w:rtl/>
        </w:rPr>
        <w:t>.</w:t>
      </w:r>
    </w:p>
    <w:p w:rsidR="000C39D1" w:rsidRPr="00132E65" w:rsidRDefault="000C39D1" w:rsidP="000C39D1">
      <w:pPr>
        <w:pStyle w:val="libFootnote0"/>
        <w:rPr>
          <w:rtl/>
          <w:lang w:bidi="fa-IR"/>
        </w:rPr>
      </w:pPr>
      <w:r w:rsidRPr="0046781C">
        <w:rPr>
          <w:rtl/>
        </w:rPr>
        <w:t xml:space="preserve">والصواب ما أثبتناه ؛ فقد توسّط [ أحمد بن محمّد ] بن أبي نصر بين أحمد بن محمّد بن خالد وأحمد بن محمّد بن عيسى ، وبين حمّاد بن عثمان في بعض الأسناد. راجع : </w:t>
      </w:r>
      <w:r w:rsidRPr="003C3275">
        <w:rPr>
          <w:rtl/>
        </w:rPr>
        <w:t>معجم رجال الحديث</w:t>
      </w:r>
      <w:r w:rsidRPr="0046781C">
        <w:rPr>
          <w:rtl/>
        </w:rPr>
        <w:t xml:space="preserve"> ، ج 2 ، ص 606 ، ج 22 ، ص 344. أضف إلى ذلك أنّه لم يثبت رواية عدّة من أصحابنا من مشايخ الكليني ، عن أحمد بن محمّد بن أبي نصر مباشرةً.</w:t>
      </w:r>
    </w:p>
    <w:p w:rsidR="000C39D1" w:rsidRPr="00132E65" w:rsidRDefault="000C39D1" w:rsidP="000C39D1">
      <w:pPr>
        <w:pStyle w:val="libFootnote0"/>
        <w:rPr>
          <w:rtl/>
          <w:lang w:bidi="fa-IR"/>
        </w:rPr>
      </w:pPr>
      <w:r>
        <w:rPr>
          <w:rtl/>
        </w:rPr>
        <w:t>(8).</w:t>
      </w:r>
      <w:r w:rsidRPr="00132E65">
        <w:rPr>
          <w:rtl/>
        </w:rPr>
        <w:t xml:space="preserve"> في « بس » وحاشية « بر » : « أبا عبد الله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عن الاستطاعة ، يعني هل يستطيع العبد من أفعاله شيئاً ، أم أنّها بيد الله. وقول الناس ، يعني اختلافهم في هذه المسألة على أقوال شتّى »</w:t>
      </w:r>
      <w:r>
        <w:rPr>
          <w:rtl/>
        </w:rPr>
        <w:t>.</w:t>
      </w:r>
    </w:p>
    <w:p w:rsidR="000C39D1" w:rsidRPr="00132E65" w:rsidRDefault="000C39D1" w:rsidP="000C39D1">
      <w:pPr>
        <w:pStyle w:val="libFootnote0"/>
        <w:rPr>
          <w:rtl/>
          <w:lang w:bidi="fa-IR"/>
        </w:rPr>
      </w:pPr>
      <w:r>
        <w:rPr>
          <w:rtl/>
        </w:rPr>
        <w:t>(10).</w:t>
      </w:r>
      <w:r w:rsidRPr="00132E65">
        <w:rPr>
          <w:rtl/>
        </w:rPr>
        <w:t xml:space="preserve"> في « ف » : « فتلا »</w:t>
      </w:r>
      <w:r>
        <w:rPr>
          <w:rtl/>
        </w:rPr>
        <w:t>.</w:t>
      </w:r>
    </w:p>
    <w:p w:rsidR="000C39D1" w:rsidRPr="00132E65" w:rsidRDefault="000C39D1" w:rsidP="000C39D1">
      <w:pPr>
        <w:pStyle w:val="libFootnote0"/>
        <w:rPr>
          <w:rtl/>
          <w:lang w:bidi="fa-IR"/>
        </w:rPr>
      </w:pPr>
      <w:r>
        <w:rPr>
          <w:rtl/>
        </w:rPr>
        <w:t>(11).</w:t>
      </w:r>
      <w:r w:rsidRPr="00132E65">
        <w:rPr>
          <w:rtl/>
        </w:rPr>
        <w:t xml:space="preserve"> هود </w:t>
      </w:r>
      <w:r w:rsidR="00CD55AA">
        <w:rPr>
          <w:rtl/>
        </w:rPr>
        <w:t>(11)</w:t>
      </w:r>
      <w:r w:rsidRPr="00132E65">
        <w:rPr>
          <w:rtl/>
        </w:rPr>
        <w:t xml:space="preserve"> : 118</w:t>
      </w:r>
      <w:r>
        <w:rPr>
          <w:rtl/>
        </w:rPr>
        <w:t xml:space="preserve"> - </w:t>
      </w:r>
      <w:r w:rsidRPr="00132E65">
        <w:rPr>
          <w:rtl/>
        </w:rPr>
        <w:t>119.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w:t>
      </w:r>
      <w:r>
        <w:rPr>
          <w:rStyle w:val="libFootnotenumChar"/>
          <w:rtl/>
        </w:rPr>
        <w:t>(1)</w:t>
      </w:r>
      <w:r w:rsidRPr="00132E65">
        <w:rPr>
          <w:rtl/>
          <w:lang w:bidi="fa-IR"/>
        </w:rPr>
        <w:t xml:space="preserve"> : قُلْتُ : قَوْلُهُ </w:t>
      </w:r>
      <w:r>
        <w:rPr>
          <w:rStyle w:val="libFootnotenumChar"/>
          <w:rtl/>
        </w:rPr>
        <w:t>(2)</w:t>
      </w:r>
      <w:r w:rsidRPr="00132E65">
        <w:rPr>
          <w:rtl/>
          <w:lang w:bidi="fa-IR"/>
        </w:rPr>
        <w:t xml:space="preserve"> : </w:t>
      </w:r>
      <w:r w:rsidRPr="00071CF9">
        <w:rPr>
          <w:rStyle w:val="libAlaemChar"/>
          <w:rtl/>
        </w:rPr>
        <w:t>(</w:t>
      </w:r>
      <w:r w:rsidR="00CD55AA">
        <w:rPr>
          <w:rStyle w:val="libAieChar"/>
          <w:rtl/>
        </w:rPr>
        <w:t xml:space="preserve"> إِل</w:t>
      </w:r>
      <w:r w:rsidR="00CD55AA">
        <w:rPr>
          <w:rStyle w:val="libAieChar"/>
          <w:rFonts w:hint="cs"/>
          <w:rtl/>
        </w:rPr>
        <w:t>ّ</w:t>
      </w:r>
      <w:r w:rsidR="00CD55AA">
        <w:rPr>
          <w:rStyle w:val="libAieChar"/>
          <w:rtl/>
        </w:rPr>
        <w:t>ا</w:t>
      </w:r>
      <w:r w:rsidRPr="00071CF9">
        <w:rPr>
          <w:rStyle w:val="libAieChar"/>
          <w:rtl/>
        </w:rPr>
        <w:t xml:space="preserve"> مَنْ رَحِمَ رَبُّكَ </w:t>
      </w:r>
      <w:r w:rsidRPr="00071CF9">
        <w:rPr>
          <w:rStyle w:val="libAlaemChar"/>
          <w:rtl/>
        </w:rPr>
        <w:t>)</w:t>
      </w:r>
      <w:r>
        <w:rPr>
          <w:rtl/>
          <w:lang w:bidi="fa-IR"/>
        </w:rPr>
        <w:t>؟</w:t>
      </w:r>
      <w:r w:rsidRPr="00132E65">
        <w:rPr>
          <w:rtl/>
          <w:lang w:bidi="fa-IR"/>
        </w:rPr>
        <w:t xml:space="preserve"> قَالَ : « هُمْ شِيعَتُنَا ، ولِرَحْمَتِهِ </w:t>
      </w:r>
      <w:r>
        <w:rPr>
          <w:rStyle w:val="libFootnotenumChar"/>
          <w:rtl/>
        </w:rPr>
        <w:t>(3)</w:t>
      </w:r>
      <w:r w:rsidRPr="00132E65">
        <w:rPr>
          <w:rtl/>
          <w:lang w:bidi="fa-IR"/>
        </w:rPr>
        <w:t xml:space="preserve"> خَلَقَهُمْ ، وَهُوَ قَوْلُهُ : </w:t>
      </w:r>
      <w:r w:rsidRPr="00071CF9">
        <w:rPr>
          <w:rStyle w:val="libAlaemChar"/>
          <w:rtl/>
        </w:rPr>
        <w:t>(</w:t>
      </w:r>
      <w:r w:rsidRPr="00071CF9">
        <w:rPr>
          <w:rStyle w:val="libAieChar"/>
          <w:rtl/>
        </w:rPr>
        <w:t xml:space="preserve"> وَلِذلِكَ خَلَقَهُمْ </w:t>
      </w:r>
      <w:r w:rsidRPr="00071CF9">
        <w:rPr>
          <w:rStyle w:val="libAlaemChar"/>
          <w:rtl/>
        </w:rPr>
        <w:t>)</w:t>
      </w:r>
      <w:r w:rsidRPr="00132E65">
        <w:rPr>
          <w:rtl/>
          <w:lang w:bidi="fa-IR"/>
        </w:rPr>
        <w:t xml:space="preserve"> يَقُولُ : لِطَاعَةِ الْإِمَامِ </w:t>
      </w:r>
      <w:r>
        <w:rPr>
          <w:rStyle w:val="libFootnotenumChar"/>
          <w:rtl/>
        </w:rPr>
        <w:t>(4)</w:t>
      </w:r>
      <w:r w:rsidRPr="00132E65">
        <w:rPr>
          <w:rtl/>
          <w:lang w:bidi="fa-IR"/>
        </w:rPr>
        <w:t xml:space="preserve"> ؛ الرَّحْمَةُ </w:t>
      </w:r>
      <w:r>
        <w:rPr>
          <w:rStyle w:val="libFootnotenumChar"/>
          <w:rtl/>
        </w:rPr>
        <w:t>(5)</w:t>
      </w:r>
      <w:r w:rsidRPr="00132E65">
        <w:rPr>
          <w:rtl/>
          <w:lang w:bidi="fa-IR"/>
        </w:rPr>
        <w:t xml:space="preserve"> الَّتِي يَقُولُ : </w:t>
      </w:r>
      <w:r w:rsidRPr="00071CF9">
        <w:rPr>
          <w:rStyle w:val="libAlaemChar"/>
          <w:rtl/>
        </w:rPr>
        <w:t>(</w:t>
      </w:r>
      <w:r w:rsidRPr="00071CF9">
        <w:rPr>
          <w:rStyle w:val="libAieChar"/>
          <w:rtl/>
        </w:rPr>
        <w:t xml:space="preserve"> وَرَحْمَتِي وَسِعَتْ كُلَّ شَيْ‌ءٍ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يَقُولُ : عِلْمُ </w:t>
      </w:r>
      <w:r>
        <w:rPr>
          <w:rStyle w:val="libFootnotenumChar"/>
          <w:rtl/>
        </w:rPr>
        <w:t>(7)</w:t>
      </w:r>
      <w:r w:rsidRPr="00132E65">
        <w:rPr>
          <w:rtl/>
          <w:lang w:bidi="fa-IR"/>
        </w:rPr>
        <w:t xml:space="preserve"> الْإِمَامِ ، و</w:t>
      </w:r>
      <w:r>
        <w:rPr>
          <w:rFonts w:hint="cs"/>
          <w:rtl/>
          <w:lang w:bidi="fa-IR"/>
        </w:rPr>
        <w:t xml:space="preserve"> </w:t>
      </w:r>
      <w:r>
        <w:rPr>
          <w:rStyle w:val="libFootnotenumChar"/>
          <w:rtl/>
        </w:rPr>
        <w:t>(8)</w:t>
      </w:r>
      <w:r w:rsidRPr="00132E65">
        <w:rPr>
          <w:rtl/>
          <w:lang w:bidi="fa-IR"/>
        </w:rPr>
        <w:t xml:space="preserve"> وسِعَ عِلْمُهُ</w:t>
      </w:r>
      <w:r>
        <w:rPr>
          <w:rtl/>
          <w:lang w:bidi="fa-IR"/>
        </w:rPr>
        <w:t xml:space="preserve"> - </w:t>
      </w:r>
      <w:r w:rsidRPr="00132E65">
        <w:rPr>
          <w:rtl/>
          <w:lang w:bidi="fa-IR"/>
        </w:rPr>
        <w:t xml:space="preserve">الَّذِي هُوَ </w:t>
      </w:r>
      <w:r>
        <w:rPr>
          <w:rStyle w:val="libFootnotenumChar"/>
          <w:rtl/>
        </w:rPr>
        <w:t>(9)</w:t>
      </w:r>
      <w:r w:rsidRPr="00132E65">
        <w:rPr>
          <w:rtl/>
          <w:lang w:bidi="fa-IR"/>
        </w:rPr>
        <w:t xml:space="preserve"> مِنْ عِلْمِهِ</w:t>
      </w:r>
      <w:r>
        <w:rPr>
          <w:rtl/>
          <w:lang w:bidi="fa-IR"/>
        </w:rPr>
        <w:t xml:space="preserve"> - </w:t>
      </w:r>
      <w:r w:rsidRPr="00132E65">
        <w:rPr>
          <w:rtl/>
          <w:lang w:bidi="fa-IR"/>
        </w:rPr>
        <w:t xml:space="preserve">كُلَّ شَيْ‌ءٍ هُمْ شِيعَتُنَا </w:t>
      </w:r>
      <w:r>
        <w:rPr>
          <w:rStyle w:val="libFootnotenumChar"/>
          <w:rtl/>
        </w:rPr>
        <w:t>(10)</w:t>
      </w:r>
      <w:r w:rsidRPr="00132E65">
        <w:rPr>
          <w:rtl/>
          <w:lang w:bidi="fa-IR"/>
        </w:rPr>
        <w:t xml:space="preserve"> ، ثُمَّ قَالَ : </w:t>
      </w:r>
      <w:r w:rsidRPr="00071CF9">
        <w:rPr>
          <w:rStyle w:val="libAlaemChar"/>
          <w:rtl/>
        </w:rPr>
        <w:t>(</w:t>
      </w:r>
      <w:r w:rsidRPr="00071CF9">
        <w:rPr>
          <w:rStyle w:val="libAieChar"/>
          <w:rtl/>
        </w:rPr>
        <w:t xml:space="preserve"> فَسَأَكْتُبُها لِلَّذِينَ يَتَّقُونَ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يَعْنِي ولَايَةَ غَيْرِ الْإِمَامِ وطَاعَتَهُ ، ثُمَّ قَالَ : </w:t>
      </w:r>
      <w:r w:rsidRPr="00071CF9">
        <w:rPr>
          <w:rStyle w:val="libAlaemChar"/>
          <w:rtl/>
        </w:rPr>
        <w:t>(</w:t>
      </w:r>
      <w:r w:rsidRPr="00071CF9">
        <w:rPr>
          <w:rStyle w:val="libAieChar"/>
          <w:rtl/>
        </w:rPr>
        <w:t xml:space="preserve"> يَجِدُونَهُ مَكْتُوباً عِنْدَهُمْ فِي التَّوْراةِ وَالْإِنْجِيلِ </w:t>
      </w:r>
      <w:r w:rsidRPr="00071CF9">
        <w:rPr>
          <w:rStyle w:val="libAlaemChar"/>
          <w:rtl/>
        </w:rPr>
        <w:t>)</w:t>
      </w:r>
      <w:r w:rsidRPr="00132E65">
        <w:rPr>
          <w:rtl/>
          <w:lang w:bidi="fa-IR"/>
        </w:rPr>
        <w:t xml:space="preserve"> يَعْنِي النَّبِيَّ </w:t>
      </w:r>
      <w:r w:rsidRPr="0093484F">
        <w:rPr>
          <w:rStyle w:val="libAlaemChar"/>
          <w:rFonts w:eastAsiaTheme="minorHAnsi"/>
          <w:rtl/>
        </w:rPr>
        <w:t>صلى‌الله‌عليه‌وآله</w:t>
      </w:r>
      <w:r w:rsidRPr="00132E65">
        <w:rPr>
          <w:rtl/>
          <w:lang w:bidi="fa-IR"/>
        </w:rPr>
        <w:t xml:space="preserve"> والْوَصِيَّ والْقَائِمَ</w:t>
      </w:r>
      <w:r>
        <w:rPr>
          <w:rFonts w:hint="cs"/>
          <w:rtl/>
          <w:lang w:bidi="fa-IR"/>
        </w:rPr>
        <w:t xml:space="preserve"> </w:t>
      </w:r>
      <w:r w:rsidRPr="00071CF9">
        <w:rPr>
          <w:rStyle w:val="libAlaemChar"/>
          <w:rtl/>
        </w:rPr>
        <w:t>(</w:t>
      </w:r>
      <w:r w:rsidRPr="00071CF9">
        <w:rPr>
          <w:rStyle w:val="libAieChar"/>
          <w:rtl/>
        </w:rPr>
        <w:t xml:space="preserve"> يَأْمُرُهُمْ بِالْمَعْرُوفِ </w:t>
      </w:r>
      <w:r w:rsidRPr="00071CF9">
        <w:rPr>
          <w:rStyle w:val="libAlaemChar"/>
          <w:rtl/>
        </w:rPr>
        <w:t>)</w:t>
      </w:r>
      <w:r w:rsidRPr="00132E65">
        <w:rPr>
          <w:rtl/>
          <w:lang w:bidi="fa-IR"/>
        </w:rPr>
        <w:t xml:space="preserve"> إِذَا قَامَ</w:t>
      </w:r>
      <w:r>
        <w:rPr>
          <w:rFonts w:hint="cs"/>
          <w:rtl/>
          <w:lang w:bidi="fa-IR"/>
        </w:rPr>
        <w:t xml:space="preserve"> </w:t>
      </w:r>
      <w:r w:rsidRPr="00071CF9">
        <w:rPr>
          <w:rStyle w:val="libAlaemChar"/>
          <w:rtl/>
        </w:rPr>
        <w:t>(</w:t>
      </w:r>
      <w:r w:rsidRPr="00071CF9">
        <w:rPr>
          <w:rStyle w:val="libAieChar"/>
          <w:rtl/>
        </w:rPr>
        <w:t xml:space="preserve"> وَيَنْهاهُمْ عَنِ الْمُنْكَرِ </w:t>
      </w:r>
      <w:r w:rsidRPr="00071CF9">
        <w:rPr>
          <w:rStyle w:val="libAlaemChar"/>
          <w:rtl/>
        </w:rPr>
        <w:t>)</w:t>
      </w:r>
      <w:r w:rsidRPr="00132E65">
        <w:rPr>
          <w:rtl/>
          <w:lang w:bidi="fa-IR"/>
        </w:rPr>
        <w:t xml:space="preserve"> والْمُنْكَرُ </w:t>
      </w:r>
      <w:r>
        <w:rPr>
          <w:rStyle w:val="libFootnotenumChar"/>
          <w:rtl/>
        </w:rPr>
        <w:t>(12)</w:t>
      </w:r>
      <w:r w:rsidRPr="00132E65">
        <w:rPr>
          <w:rtl/>
          <w:lang w:bidi="fa-IR"/>
        </w:rPr>
        <w:t xml:space="preserve"> مَنْ أَنْكَرَ فَضْلَ الْإِمَامِ وَجَحَدَهُ</w:t>
      </w:r>
      <w:r>
        <w:rPr>
          <w:rFonts w:hint="cs"/>
          <w:rtl/>
          <w:lang w:bidi="fa-IR"/>
        </w:rPr>
        <w:t xml:space="preserve"> </w:t>
      </w:r>
      <w:r w:rsidRPr="00071CF9">
        <w:rPr>
          <w:rStyle w:val="libAlaemChar"/>
          <w:rtl/>
        </w:rPr>
        <w:t>(</w:t>
      </w:r>
      <w:r w:rsidRPr="00071CF9">
        <w:rPr>
          <w:rStyle w:val="libAieChar"/>
          <w:rtl/>
        </w:rPr>
        <w:t xml:space="preserve"> وَيُحِلُّ لَهُمُ الطَّيِّباتِ </w:t>
      </w:r>
      <w:r w:rsidRPr="00071CF9">
        <w:rPr>
          <w:rStyle w:val="libAlaemChar"/>
          <w:rtl/>
        </w:rPr>
        <w:t>)</w:t>
      </w:r>
      <w:r w:rsidRPr="00132E65">
        <w:rPr>
          <w:rtl/>
          <w:lang w:bidi="fa-IR"/>
        </w:rPr>
        <w:t xml:space="preserve"> : أَخْذَ الْعِلْمِ مِنْ أَهْلِهِ</w:t>
      </w:r>
      <w:r>
        <w:rPr>
          <w:rFonts w:hint="cs"/>
          <w:rtl/>
          <w:lang w:bidi="fa-IR"/>
        </w:rPr>
        <w:t xml:space="preserve"> </w:t>
      </w:r>
      <w:r w:rsidRPr="00071CF9">
        <w:rPr>
          <w:rStyle w:val="libAlaemChar"/>
          <w:rtl/>
        </w:rPr>
        <w:t>(</w:t>
      </w:r>
      <w:r w:rsidRPr="00071CF9">
        <w:rPr>
          <w:rStyle w:val="libAieChar"/>
          <w:rtl/>
        </w:rPr>
        <w:t xml:space="preserve"> وَيُحَرِّمُ عَلَيْهِمُ الْخَبائِثَ </w:t>
      </w:r>
      <w:r w:rsidRPr="00071CF9">
        <w:rPr>
          <w:rStyle w:val="libAlaemChar"/>
          <w:rtl/>
        </w:rPr>
        <w:t>)</w:t>
      </w:r>
      <w:r w:rsidRPr="00132E65">
        <w:rPr>
          <w:rtl/>
          <w:lang w:bidi="fa-IR"/>
        </w:rPr>
        <w:t xml:space="preserve"> وَالْخَبَائِثُ قَوْلُ مَنْ خَالَفَ</w:t>
      </w:r>
      <w:r>
        <w:rPr>
          <w:rFonts w:hint="cs"/>
          <w:rtl/>
          <w:lang w:bidi="fa-IR"/>
        </w:rPr>
        <w:t xml:space="preserve"> </w:t>
      </w:r>
      <w:r w:rsidRPr="00071CF9">
        <w:rPr>
          <w:rStyle w:val="libAlaemChar"/>
          <w:rtl/>
        </w:rPr>
        <w:t>(</w:t>
      </w:r>
      <w:r w:rsidRPr="00071CF9">
        <w:rPr>
          <w:rStyle w:val="libAieChar"/>
          <w:rtl/>
        </w:rPr>
        <w:t xml:space="preserve"> وَيَضَعُ عَنْهُمْ إِصْرَهُمْ </w:t>
      </w:r>
      <w:r w:rsidRPr="00071CF9">
        <w:rPr>
          <w:rStyle w:val="libAlaemChar"/>
          <w:rtl/>
        </w:rPr>
        <w:t>)</w:t>
      </w:r>
      <w:r w:rsidRPr="00132E65">
        <w:rPr>
          <w:rtl/>
          <w:lang w:bidi="fa-IR"/>
        </w:rPr>
        <w:t xml:space="preserve"> وهِيَ الذُّنُوبُ الَّتِي كَانُوا فِيهَا قَبْلَ مَعْرِفَتِهِمْ‌</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D55AA" w:rsidTr="00CD55AA">
        <w:tc>
          <w:tcPr>
            <w:tcW w:w="4006" w:type="dxa"/>
          </w:tcPr>
          <w:p w:rsidR="00CD55AA" w:rsidRDefault="00CD55AA" w:rsidP="000C39D1">
            <w:pPr>
              <w:pStyle w:val="libFootnote0"/>
              <w:rPr>
                <w:rtl/>
              </w:rPr>
            </w:pPr>
            <w:r>
              <w:rPr>
                <w:rtl/>
              </w:rPr>
              <w:t>(1).</w:t>
            </w:r>
            <w:r w:rsidRPr="00132E65">
              <w:rPr>
                <w:rtl/>
              </w:rPr>
              <w:t xml:space="preserve"> في « ف » : « وقال »</w:t>
            </w:r>
            <w:r>
              <w:rPr>
                <w:rtl/>
              </w:rPr>
              <w:t>.</w:t>
            </w:r>
          </w:p>
        </w:tc>
        <w:tc>
          <w:tcPr>
            <w:tcW w:w="4006" w:type="dxa"/>
          </w:tcPr>
          <w:p w:rsidR="00CD55AA" w:rsidRDefault="00CD55AA" w:rsidP="000C39D1">
            <w:pPr>
              <w:pStyle w:val="libFootnote0"/>
              <w:rPr>
                <w:rtl/>
              </w:rPr>
            </w:pPr>
            <w:r>
              <w:rPr>
                <w:rtl/>
              </w:rPr>
              <w:t>(2).في«بف»وحاشية«بح»:«له</w:t>
            </w:r>
            <w:r w:rsidRPr="00132E65">
              <w:rPr>
                <w:rtl/>
              </w:rPr>
              <w:t>»</w:t>
            </w:r>
            <w:r>
              <w:rPr>
                <w:rtl/>
              </w:rPr>
              <w:t>.وفي</w:t>
            </w:r>
            <w:r>
              <w:rPr>
                <w:rFonts w:hint="cs"/>
                <w:rtl/>
              </w:rPr>
              <w:t xml:space="preserve"> </w:t>
            </w:r>
            <w:r>
              <w:rPr>
                <w:rtl/>
              </w:rPr>
              <w:t>الوسائل:-«قوله</w:t>
            </w:r>
            <w:r w:rsidRPr="00132E65">
              <w:rPr>
                <w:rtl/>
              </w:rPr>
              <w:t>»</w:t>
            </w:r>
            <w:r>
              <w:rPr>
                <w:rtl/>
              </w:rPr>
              <w:t>.</w:t>
            </w:r>
          </w:p>
        </w:tc>
      </w:tr>
    </w:tbl>
    <w:p w:rsidR="000C39D1" w:rsidRPr="00132E65" w:rsidRDefault="000C39D1" w:rsidP="000C39D1">
      <w:pPr>
        <w:pStyle w:val="libFootnote0"/>
        <w:rPr>
          <w:rtl/>
          <w:lang w:bidi="fa-IR"/>
        </w:rPr>
      </w:pPr>
      <w:r>
        <w:rPr>
          <w:rtl/>
        </w:rPr>
        <w:t>(3).</w:t>
      </w:r>
      <w:r w:rsidRPr="00132E65">
        <w:rPr>
          <w:rtl/>
        </w:rPr>
        <w:t xml:space="preserve"> في البحار ، ج 5 : « لرحمة »</w:t>
      </w:r>
      <w:r>
        <w:rPr>
          <w:rtl/>
        </w:rPr>
        <w:t>.</w:t>
      </w:r>
    </w:p>
    <w:p w:rsidR="000C39D1" w:rsidRPr="00132E65" w:rsidRDefault="000C39D1" w:rsidP="000C39D1">
      <w:pPr>
        <w:pStyle w:val="libFootnote0"/>
        <w:rPr>
          <w:rtl/>
          <w:lang w:bidi="fa-IR"/>
        </w:rPr>
      </w:pPr>
      <w:r>
        <w:rPr>
          <w:rtl/>
        </w:rPr>
        <w:t>(4).</w:t>
      </w:r>
      <w:r w:rsidRPr="00132E65">
        <w:rPr>
          <w:rtl/>
        </w:rPr>
        <w:t xml:space="preserve"> في « بح » وشرح المازندراني والبحار ، ج 24 : « الإمامة »</w:t>
      </w:r>
      <w:r>
        <w:rPr>
          <w:rtl/>
        </w:rPr>
        <w:t>.</w:t>
      </w:r>
    </w:p>
    <w:p w:rsidR="000C39D1" w:rsidRPr="00132E65" w:rsidRDefault="000C39D1" w:rsidP="002F6C33">
      <w:pPr>
        <w:pStyle w:val="libFootnote0"/>
        <w:rPr>
          <w:rtl/>
          <w:lang w:bidi="fa-IR"/>
        </w:rPr>
      </w:pPr>
      <w:r>
        <w:rPr>
          <w:rtl/>
        </w:rPr>
        <w:t>(5).</w:t>
      </w:r>
      <w:r w:rsidRPr="00132E65">
        <w:rPr>
          <w:rtl/>
        </w:rPr>
        <w:t xml:space="preserve"> « الرحمة » مرفوعة على الابتدائيّة عند المازندراني ، </w:t>
      </w:r>
      <w:r>
        <w:rPr>
          <w:rtl/>
        </w:rPr>
        <w:t>و «</w:t>
      </w:r>
      <w:r w:rsidRPr="00132E65">
        <w:rPr>
          <w:rtl/>
        </w:rPr>
        <w:t xml:space="preserve"> علم الإمام » خبره ، </w:t>
      </w:r>
      <w:r>
        <w:rPr>
          <w:rtl/>
        </w:rPr>
        <w:t>و «</w:t>
      </w:r>
      <w:r w:rsidRPr="00132E65">
        <w:rPr>
          <w:rtl/>
        </w:rPr>
        <w:t xml:space="preserve"> يقول » تأكيد. ومجرورة عند المجلسي على البدليّة عن « طاعة الإمام » ونقل عن بعض بأنّ الظرف في قوله : « لطاعة الإمام » متعلّق</w:t>
      </w:r>
      <w:r w:rsidR="002F6C33">
        <w:rPr>
          <w:rtl/>
        </w:rPr>
        <w:t xml:space="preserve"> ب</w:t>
      </w:r>
      <w:r w:rsidR="002F6C33">
        <w:rPr>
          <w:rFonts w:hint="cs"/>
          <w:rtl/>
        </w:rPr>
        <w:t>ـ</w:t>
      </w:r>
      <w:r>
        <w:rPr>
          <w:rtl/>
        </w:rPr>
        <w:t xml:space="preserve"> «</w:t>
      </w:r>
      <w:r w:rsidRPr="00132E65">
        <w:rPr>
          <w:rtl/>
        </w:rPr>
        <w:t xml:space="preserve"> يقول » </w:t>
      </w:r>
      <w:r>
        <w:rPr>
          <w:rtl/>
        </w:rPr>
        <w:t>و «</w:t>
      </w:r>
      <w:r w:rsidRPr="00132E65">
        <w:rPr>
          <w:rtl/>
        </w:rPr>
        <w:t xml:space="preserve"> الرحمة » منصوب مفعول « يقول »</w:t>
      </w:r>
      <w:r>
        <w:rPr>
          <w:rtl/>
        </w:rPr>
        <w:t>.</w:t>
      </w:r>
      <w:r w:rsidR="002F6C33">
        <w:rPr>
          <w:rFonts w:hint="cs"/>
          <w:rtl/>
        </w:rPr>
        <w:t xml:space="preserve">              </w:t>
      </w:r>
      <w:r w:rsidR="00936037">
        <w:rPr>
          <w:rFonts w:hint="cs"/>
          <w:rtl/>
        </w:rPr>
        <w:t xml:space="preserve">             </w:t>
      </w:r>
      <w:r w:rsidR="002F6C33">
        <w:rPr>
          <w:rFonts w:hint="cs"/>
          <w:rtl/>
        </w:rPr>
        <w:t xml:space="preserve">   </w:t>
      </w:r>
      <w:r>
        <w:rPr>
          <w:rtl/>
        </w:rPr>
        <w:t>(6).</w:t>
      </w:r>
      <w:r w:rsidRPr="00132E65">
        <w:rPr>
          <w:rtl/>
        </w:rPr>
        <w:t xml:space="preserve"> في « ض » :</w:t>
      </w:r>
      <w:r>
        <w:rPr>
          <w:rtl/>
        </w:rPr>
        <w:t xml:space="preserve"> + </w:t>
      </w:r>
      <w:r w:rsidRPr="00132E65">
        <w:rPr>
          <w:rtl/>
        </w:rPr>
        <w:t>« رحمة وعلماً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ويمكن أن يقرأ « عَلِمَ » بصيغة الماضي »</w:t>
      </w:r>
      <w:r>
        <w:rPr>
          <w:rtl/>
        </w:rPr>
        <w:t>.</w:t>
      </w:r>
    </w:p>
    <w:tbl>
      <w:tblPr>
        <w:tblStyle w:val="TableGrid"/>
        <w:bidiVisual/>
        <w:tblW w:w="0" w:type="auto"/>
        <w:tblLook w:val="04A0" w:firstRow="1" w:lastRow="0" w:firstColumn="1" w:lastColumn="0" w:noHBand="0" w:noVBand="1"/>
      </w:tblPr>
      <w:tblGrid>
        <w:gridCol w:w="4006"/>
        <w:gridCol w:w="4006"/>
      </w:tblGrid>
      <w:tr w:rsidR="002F6C33" w:rsidTr="002F6C33">
        <w:tc>
          <w:tcPr>
            <w:tcW w:w="4006" w:type="dxa"/>
          </w:tcPr>
          <w:p w:rsidR="002F6C33" w:rsidRDefault="002F6C33" w:rsidP="000C39D1">
            <w:pPr>
              <w:pStyle w:val="libFootnote0"/>
              <w:rPr>
                <w:rtl/>
              </w:rPr>
            </w:pPr>
            <w:r>
              <w:rPr>
                <w:rtl/>
              </w:rPr>
              <w:t>(8).</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tc>
        <w:tc>
          <w:tcPr>
            <w:tcW w:w="4006" w:type="dxa"/>
          </w:tcPr>
          <w:p w:rsidR="002F6C33" w:rsidRDefault="002F6C33" w:rsidP="000C39D1">
            <w:pPr>
              <w:pStyle w:val="libFootnote0"/>
              <w:rPr>
                <w:rtl/>
              </w:rPr>
            </w:pPr>
            <w:r>
              <w:rPr>
                <w:rtl/>
              </w:rPr>
              <w:t>(9).</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هو »</w:t>
            </w:r>
            <w:r>
              <w:rPr>
                <w:rtl/>
              </w:rPr>
              <w:t>.</w:t>
            </w:r>
          </w:p>
        </w:tc>
      </w:tr>
    </w:tbl>
    <w:p w:rsidR="000C39D1" w:rsidRPr="00132E65" w:rsidRDefault="000C39D1" w:rsidP="000C39D1">
      <w:pPr>
        <w:pStyle w:val="libFootnote0"/>
        <w:rPr>
          <w:rtl/>
          <w:lang w:bidi="fa-IR"/>
        </w:rPr>
      </w:pPr>
      <w:r>
        <w:rPr>
          <w:rtl/>
        </w:rPr>
        <w:t>(10).</w:t>
      </w:r>
      <w:r w:rsidRPr="00132E65">
        <w:rPr>
          <w:rtl/>
        </w:rPr>
        <w:t xml:space="preserve"> في « ب ، ج ، ض ، ف ، بح ، بر ، بس » و</w:t>
      </w:r>
      <w:r w:rsidRPr="009D1ACE">
        <w:rPr>
          <w:rStyle w:val="libFootnoteBoldChar"/>
          <w:rtl/>
        </w:rPr>
        <w:t>مرآة العقول</w:t>
      </w:r>
      <w:r w:rsidRPr="00132E65">
        <w:rPr>
          <w:rtl/>
        </w:rPr>
        <w:t xml:space="preserve"> : « هو شيعتنا »</w:t>
      </w:r>
      <w:r>
        <w:rPr>
          <w:rtl/>
        </w:rPr>
        <w:t>.</w:t>
      </w:r>
      <w:r w:rsidRPr="00132E65">
        <w:rPr>
          <w:rtl/>
        </w:rPr>
        <w:t xml:space="preserve"> وفي حاشية « ف » : « هم وسّعتنا »</w:t>
      </w:r>
      <w:r>
        <w:rPr>
          <w:rtl/>
        </w:rPr>
        <w:t>.</w:t>
      </w:r>
      <w:r w:rsidRPr="00132E65">
        <w:rPr>
          <w:rtl/>
        </w:rPr>
        <w:t xml:space="preserve"> ونقل </w:t>
      </w:r>
      <w:r w:rsidRPr="003C3275">
        <w:rPr>
          <w:rtl/>
        </w:rPr>
        <w:t>في‌المرآة</w:t>
      </w:r>
      <w:r w:rsidRPr="00132E65">
        <w:rPr>
          <w:rtl/>
        </w:rPr>
        <w:t xml:space="preserve"> عن بعض : « هو سعتنا »</w:t>
      </w:r>
      <w:r>
        <w:rPr>
          <w:rtl/>
        </w:rPr>
        <w:t>.</w:t>
      </w:r>
      <w:r w:rsidRPr="00132E65">
        <w:rPr>
          <w:rtl/>
        </w:rPr>
        <w:t xml:space="preserve"> قال : « وفسّر </w:t>
      </w:r>
      <w:r w:rsidRPr="004D2362">
        <w:rPr>
          <w:rStyle w:val="libFootnoteAlaemChar"/>
          <w:rtl/>
        </w:rPr>
        <w:t>عليه‌السلام</w:t>
      </w:r>
      <w:r w:rsidRPr="00132E65">
        <w:rPr>
          <w:rtl/>
        </w:rPr>
        <w:t xml:space="preserve"> الشي‌ء بالشيعة ؛ لأنّهم المنتفعون به فصار لهم رحمة »</w:t>
      </w:r>
      <w:r>
        <w:rPr>
          <w:rtl/>
        </w:rPr>
        <w:t>.</w:t>
      </w:r>
      <w:r w:rsidRPr="00132E65">
        <w:rPr>
          <w:rtl/>
        </w:rPr>
        <w:t xml:space="preserve"> وفي </w:t>
      </w:r>
      <w:r w:rsidRPr="009D1ACE">
        <w:rPr>
          <w:rStyle w:val="libFootnoteBoldChar"/>
          <w:rtl/>
        </w:rPr>
        <w:t>الوافي</w:t>
      </w:r>
      <w:r w:rsidRPr="00132E65">
        <w:rPr>
          <w:rtl/>
        </w:rPr>
        <w:t xml:space="preserve"> : « فسّر الرحمة بطاعة الإمام لأنّ طاعة الإمام توصل العبد إلى رحمة الله. وفسّر الرحمة الواسعة بعلم الإمام لأنّه الهادي إليها. </w:t>
      </w:r>
      <w:r>
        <w:rPr>
          <w:rtl/>
        </w:rPr>
        <w:t>و «</w:t>
      </w:r>
      <w:r w:rsidRPr="00132E65">
        <w:rPr>
          <w:rtl/>
        </w:rPr>
        <w:t xml:space="preserve"> وسع علمه » أي علم الإمام الذي هو من علمه ، أي من علم الله تعالى. « هم شيعتنا » أي كلّ شي‌ء من ذنوب شيعتنا وسعته رحمة ربّنا. وفي تفسير الرحمة الواسعة بعلم الإمام إشارة إلى أنّهم لو كانوا يستندون فيه إلى علمه لما اختلفوا فيما اختلفوا »</w:t>
      </w:r>
      <w:r>
        <w:rPr>
          <w:rtl/>
        </w:rPr>
        <w:t>.</w:t>
      </w:r>
    </w:p>
    <w:p w:rsidR="000C39D1" w:rsidRPr="00132E65" w:rsidRDefault="000C39D1" w:rsidP="000C39D1">
      <w:pPr>
        <w:pStyle w:val="libFootnote0"/>
        <w:rPr>
          <w:rtl/>
          <w:lang w:bidi="fa-IR"/>
        </w:rPr>
      </w:pPr>
      <w:r>
        <w:rPr>
          <w:rtl/>
        </w:rPr>
        <w:t>(11).</w:t>
      </w:r>
      <w:r w:rsidRPr="00132E65">
        <w:rPr>
          <w:rtl/>
        </w:rPr>
        <w:t xml:space="preserve"> الأعراف </w:t>
      </w:r>
      <w:r w:rsidR="004D2362">
        <w:rPr>
          <w:rtl/>
        </w:rPr>
        <w:t>(7)</w:t>
      </w:r>
      <w:r w:rsidRPr="00132E65">
        <w:rPr>
          <w:rtl/>
        </w:rPr>
        <w:t xml:space="preserve"> : 156.</w:t>
      </w:r>
    </w:p>
    <w:p w:rsidR="000C39D1" w:rsidRPr="00132E65" w:rsidRDefault="000C39D1" w:rsidP="004D2362">
      <w:pPr>
        <w:pStyle w:val="libFootnote0"/>
        <w:rPr>
          <w:rtl/>
          <w:lang w:bidi="fa-IR"/>
        </w:rPr>
      </w:pPr>
      <w:r>
        <w:rPr>
          <w:rtl/>
        </w:rPr>
        <w:t>(12).</w:t>
      </w:r>
      <w:r w:rsidRPr="00132E65">
        <w:rPr>
          <w:rtl/>
        </w:rPr>
        <w:t xml:space="preserve"> قال الفيض : « ال</w:t>
      </w:r>
      <w:r w:rsidR="004D2362">
        <w:rPr>
          <w:rFonts w:hint="cs"/>
          <w:rtl/>
        </w:rPr>
        <w:t>ـ</w:t>
      </w:r>
      <w:r w:rsidRPr="00132E65">
        <w:rPr>
          <w:rtl/>
        </w:rPr>
        <w:t>مُنكِر ، بالكسر. والمراد أنّ المنكَر بالفتح هنا إنكار فضل الإمام »</w:t>
      </w:r>
      <w:r>
        <w:rPr>
          <w:rtl/>
        </w:rPr>
        <w:t>.</w:t>
      </w:r>
      <w:r w:rsidRPr="00132E65">
        <w:rPr>
          <w:rtl/>
        </w:rPr>
        <w:t xml:space="preserve"> وردّه المجلسي بعد ما قال : « فقوله </w:t>
      </w:r>
      <w:r w:rsidRPr="004D2362">
        <w:rPr>
          <w:rStyle w:val="libFootnoteAlaemChar"/>
          <w:rtl/>
        </w:rPr>
        <w:t>عليه‌السلام</w:t>
      </w:r>
      <w:r w:rsidRPr="00132E65">
        <w:rPr>
          <w:rtl/>
        </w:rPr>
        <w:t xml:space="preserve"> : والمنكر</w:t>
      </w:r>
      <w:r>
        <w:rPr>
          <w:rtl/>
        </w:rPr>
        <w:t xml:space="preserve"> - </w:t>
      </w:r>
      <w:r w:rsidRPr="00132E65">
        <w:rPr>
          <w:rtl/>
        </w:rPr>
        <w:t>بفتح الكاف</w:t>
      </w:r>
      <w:r>
        <w:rPr>
          <w:rtl/>
        </w:rPr>
        <w:t xml:space="preserve"> - </w:t>
      </w:r>
      <w:r w:rsidRPr="00132E65">
        <w:rPr>
          <w:rtl/>
        </w:rPr>
        <w:t xml:space="preserve">من أنكر فضل الإمام ، أي إنكار من أنكر ، كما في قوله تعالى : </w:t>
      </w:r>
      <w:r w:rsidRPr="004D2362">
        <w:rPr>
          <w:rStyle w:val="libFootnoteAlaemChar"/>
          <w:rtl/>
        </w:rPr>
        <w:t>(</w:t>
      </w:r>
      <w:r>
        <w:rPr>
          <w:rFonts w:hint="cs"/>
          <w:rtl/>
        </w:rPr>
        <w:t xml:space="preserve"> </w:t>
      </w:r>
      <w:r w:rsidRPr="00C2691A">
        <w:rPr>
          <w:rStyle w:val="libFootnoteAieChar"/>
          <w:rtl/>
        </w:rPr>
        <w:t>وَلكِنَّ الْبِرَّ مَنِ اتَّقى</w:t>
      </w:r>
      <w:r>
        <w:rPr>
          <w:rFonts w:hint="cs"/>
          <w:rtl/>
        </w:rPr>
        <w:t xml:space="preserve"> </w:t>
      </w:r>
      <w:r w:rsidRPr="004D2362">
        <w:rPr>
          <w:rStyle w:val="libFootnoteAlaemChar"/>
          <w:rtl/>
        </w:rPr>
        <w:t>)</w:t>
      </w:r>
      <w:r w:rsidRPr="00132E65">
        <w:rPr>
          <w:rtl/>
        </w:rPr>
        <w:t xml:space="preserve"> » [ البقرة </w:t>
      </w:r>
      <w:r>
        <w:rPr>
          <w:rtl/>
        </w:rPr>
        <w:t>(2)</w:t>
      </w:r>
      <w:r w:rsidRPr="00132E65">
        <w:rPr>
          <w:rtl/>
        </w:rPr>
        <w:t xml:space="preserve"> : 189 ]</w:t>
      </w:r>
      <w:r>
        <w:rPr>
          <w:rtl/>
        </w:rPr>
        <w:t>.</w:t>
      </w:r>
      <w:r w:rsidRPr="00132E65">
        <w:rPr>
          <w:rtl/>
        </w:rPr>
        <w:t xml:space="preserve"> راجع : </w:t>
      </w:r>
      <w:r w:rsidRPr="009D1ACE">
        <w:rPr>
          <w:rStyle w:val="libFootnoteBoldChar"/>
          <w:rtl/>
        </w:rPr>
        <w:t>الوافي</w:t>
      </w:r>
      <w:r w:rsidRPr="00132E65">
        <w:rPr>
          <w:rtl/>
        </w:rPr>
        <w:t xml:space="preserve"> ، ج 2 ، ص 912 ؛ </w:t>
      </w:r>
      <w:r w:rsidRPr="009D1ACE">
        <w:rPr>
          <w:rStyle w:val="libFootnoteBoldChar"/>
          <w:rtl/>
        </w:rPr>
        <w:t>مرآة العقول</w:t>
      </w:r>
      <w:r w:rsidRPr="00132E65">
        <w:rPr>
          <w:rtl/>
        </w:rPr>
        <w:t xml:space="preserve"> ، ج 5 ، ص 114.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فَضْلَ الْإِمَامِ</w:t>
      </w:r>
      <w:r>
        <w:rPr>
          <w:rFonts w:hint="cs"/>
          <w:rtl/>
          <w:lang w:bidi="fa-IR"/>
        </w:rPr>
        <w:t xml:space="preserve"> </w:t>
      </w:r>
      <w:r w:rsidRPr="00071CF9">
        <w:rPr>
          <w:rStyle w:val="libAlaemChar"/>
          <w:rtl/>
        </w:rPr>
        <w:t>(</w:t>
      </w:r>
      <w:r w:rsidRPr="00071CF9">
        <w:rPr>
          <w:rStyle w:val="libAieChar"/>
          <w:rtl/>
        </w:rPr>
        <w:t xml:space="preserve"> وَالْأَغْلالَ الَّتِي كانَتْ عَلَيْهِمْ </w:t>
      </w:r>
      <w:r w:rsidRPr="00071CF9">
        <w:rPr>
          <w:rStyle w:val="libAlaemChar"/>
          <w:rtl/>
        </w:rPr>
        <w:t>)</w:t>
      </w:r>
      <w:r w:rsidRPr="00132E65">
        <w:rPr>
          <w:rtl/>
          <w:lang w:bidi="fa-IR"/>
        </w:rPr>
        <w:t xml:space="preserve"> والْأَغْلَالُ مَا كَانُوا يَقُولُونَ مِمَّا لَمْ يَكُونُوا أُمِرُوا بِهِ مِنْ تَرْكِ فَضْلِ الْإِمَامِ ، فَلَمَّا عَرَفُوا فَضْلَ الْإِمَامِ وضَعَ عَنْهُمْ إِصْرَهُمْ </w:t>
      </w:r>
      <w:r>
        <w:rPr>
          <w:rStyle w:val="libFootnotenumChar"/>
          <w:rtl/>
        </w:rPr>
        <w:t>(1)</w:t>
      </w:r>
      <w:r w:rsidRPr="00132E65">
        <w:rPr>
          <w:rtl/>
          <w:lang w:bidi="fa-IR"/>
        </w:rPr>
        <w:t xml:space="preserve"> ؛ والْإِصْرُ : الذَّنْبُ ، وَهِيَ الْآصَارُ </w:t>
      </w:r>
      <w:r>
        <w:rPr>
          <w:rStyle w:val="libFootnotenumChar"/>
          <w:rtl/>
        </w:rPr>
        <w:t>(2)</w:t>
      </w:r>
    </w:p>
    <w:p w:rsidR="000C39D1" w:rsidRPr="00132E65" w:rsidRDefault="000C39D1" w:rsidP="000C39D1">
      <w:pPr>
        <w:pStyle w:val="libNormal"/>
        <w:rPr>
          <w:rtl/>
          <w:lang w:bidi="fa-IR"/>
        </w:rPr>
      </w:pPr>
      <w:r w:rsidRPr="00132E65">
        <w:rPr>
          <w:rtl/>
          <w:lang w:bidi="fa-IR"/>
        </w:rPr>
        <w:t xml:space="preserve">ثُمَّ نَسَبَهُمْ ، فَقَالَ : </w:t>
      </w:r>
      <w:r w:rsidRPr="00071CF9">
        <w:rPr>
          <w:rStyle w:val="libAlaemChar"/>
          <w:rtl/>
        </w:rPr>
        <w:t>(</w:t>
      </w:r>
      <w:r w:rsidRPr="00071CF9">
        <w:rPr>
          <w:rStyle w:val="libAieChar"/>
          <w:rtl/>
        </w:rPr>
        <w:t xml:space="preserve"> فَالَّذِينَ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sidRPr="00071CF9">
        <w:rPr>
          <w:rStyle w:val="libAlaemChar"/>
          <w:rtl/>
        </w:rPr>
        <w:t>(</w:t>
      </w:r>
      <w:r w:rsidRPr="00071CF9">
        <w:rPr>
          <w:rStyle w:val="libAieChar"/>
          <w:rtl/>
        </w:rPr>
        <w:t xml:space="preserve"> آمَنُوا بِهِ </w:t>
      </w:r>
      <w:r w:rsidRPr="00071CF9">
        <w:rPr>
          <w:rStyle w:val="libAlaemChar"/>
          <w:rtl/>
        </w:rPr>
        <w:t>)</w:t>
      </w:r>
      <w:r w:rsidRPr="00132E65">
        <w:rPr>
          <w:rtl/>
          <w:lang w:bidi="fa-IR"/>
        </w:rPr>
        <w:t xml:space="preserve"> يَعْنِي بِالْإِمَامِ </w:t>
      </w:r>
      <w:r>
        <w:rPr>
          <w:rStyle w:val="libFootnotenumChar"/>
          <w:rtl/>
        </w:rPr>
        <w:t>(4)</w:t>
      </w:r>
      <w:r w:rsidRPr="00132E65">
        <w:rPr>
          <w:rtl/>
          <w:lang w:bidi="fa-IR"/>
        </w:rPr>
        <w:t xml:space="preserve"> </w:t>
      </w:r>
      <w:r w:rsidRPr="00071CF9">
        <w:rPr>
          <w:rStyle w:val="libAlaemChar"/>
          <w:rtl/>
        </w:rPr>
        <w:t>(</w:t>
      </w:r>
      <w:r w:rsidRPr="00071CF9">
        <w:rPr>
          <w:rStyle w:val="libAieChar"/>
          <w:rtl/>
        </w:rPr>
        <w:t xml:space="preserve"> وَعَزَّرُوهُ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sidRPr="00071CF9">
        <w:rPr>
          <w:rStyle w:val="libAlaemChar"/>
          <w:rtl/>
        </w:rPr>
        <w:t>(</w:t>
      </w:r>
      <w:r w:rsidRPr="00071CF9">
        <w:rPr>
          <w:rStyle w:val="libAieChar"/>
          <w:rtl/>
        </w:rPr>
        <w:t xml:space="preserve"> وَنَصَرُوهُ وَاتَّبَعُوا النُّورَ الَّذِي أُنْزِلَ مَعَهُ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sidRPr="00071CF9">
        <w:rPr>
          <w:rStyle w:val="libAlaemChar"/>
          <w:rtl/>
        </w:rPr>
        <w:t>(</w:t>
      </w:r>
      <w:r w:rsidRPr="00071CF9">
        <w:rPr>
          <w:rStyle w:val="libAieChar"/>
          <w:rtl/>
        </w:rPr>
        <w:t xml:space="preserve"> أُولئِكَ هُمُ الْمُفْلِحُونَ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يَعْنِي الَّذِينَ اجْتَنَبُوا الْجِبْتَ </w:t>
      </w:r>
      <w:r>
        <w:rPr>
          <w:rStyle w:val="libFootnotenumChar"/>
          <w:rtl/>
        </w:rPr>
        <w:t>(8)</w:t>
      </w:r>
      <w:r w:rsidRPr="00132E65">
        <w:rPr>
          <w:rtl/>
          <w:lang w:bidi="fa-IR"/>
        </w:rPr>
        <w:t xml:space="preserve"> والطَّاغُوتَ أَنْ يَعْبُدُوهَا ؛ والْجِبْتُ والطَّاغُوتُ : فُلَانٌ وفُلَانٌ وفُلَانٌ ، والْعِبَادَةُ : طَاعَةُ النَّاسِ لَهُمْ.</w:t>
      </w:r>
    </w:p>
    <w:p w:rsidR="000C39D1" w:rsidRPr="00132E65" w:rsidRDefault="000C39D1" w:rsidP="000C39D1">
      <w:pPr>
        <w:pStyle w:val="libNormal"/>
        <w:rPr>
          <w:rtl/>
          <w:lang w:bidi="fa-IR"/>
        </w:rPr>
      </w:pPr>
      <w:r w:rsidRPr="00132E65">
        <w:rPr>
          <w:rtl/>
          <w:lang w:bidi="fa-IR"/>
        </w:rPr>
        <w:t xml:space="preserve">ثُمَّ قَالَ : </w:t>
      </w:r>
      <w:r w:rsidRPr="00071CF9">
        <w:rPr>
          <w:rStyle w:val="libAlaemChar"/>
          <w:rtl/>
        </w:rPr>
        <w:t>(</w:t>
      </w:r>
      <w:r w:rsidRPr="00071CF9">
        <w:rPr>
          <w:rStyle w:val="libAieChar"/>
          <w:rtl/>
        </w:rPr>
        <w:t xml:space="preserve"> أَنِيبُوا إِلى رَبِّكُمْ وَأَسْلِمُوا لَهُ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ثُمَّ جَزَاهُمْ ، فَقَالَ : </w:t>
      </w:r>
      <w:r w:rsidRPr="00071CF9">
        <w:rPr>
          <w:rStyle w:val="libAlaemChar"/>
          <w:rtl/>
        </w:rPr>
        <w:t>(</w:t>
      </w:r>
      <w:r w:rsidRPr="00071CF9">
        <w:rPr>
          <w:rStyle w:val="libAieChar"/>
          <w:rtl/>
        </w:rPr>
        <w:t xml:space="preserve"> لَهُمُ الْبُشْرى فِي الْحَياةِ الدُّنْيا وَفِي الْآخِرَةِ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والْإِمَامُ يُبَشِّرُهُمْ بِقِيَامِ الْقَائِمِ وبِظُهُورِهِ ، وبِقَتْلِ أَعْدَائِهِمْ ،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الأَصْرُ » : الكسر والعطف والحبس. </w:t>
      </w:r>
      <w:r>
        <w:rPr>
          <w:rtl/>
        </w:rPr>
        <w:t>و «</w:t>
      </w:r>
      <w:r w:rsidRPr="00132E65">
        <w:rPr>
          <w:rtl/>
        </w:rPr>
        <w:t xml:space="preserve"> الإِصْرُ » : العهد والذَنْب والثِقْل. والجمع : آصار وإصْران. </w:t>
      </w:r>
      <w:r w:rsidRPr="003C3275">
        <w:rPr>
          <w:rtl/>
        </w:rPr>
        <w:t>القاموس‌المحيط</w:t>
      </w:r>
      <w:r w:rsidRPr="00132E65">
        <w:rPr>
          <w:rtl/>
        </w:rPr>
        <w:t xml:space="preserve"> ، ج 1 ، ص 492 ( أصر )</w:t>
      </w:r>
      <w:r>
        <w:rPr>
          <w:rtl/>
        </w:rPr>
        <w:t>.</w:t>
      </w:r>
    </w:p>
    <w:p w:rsidR="000C39D1" w:rsidRPr="00132E65" w:rsidRDefault="000C39D1" w:rsidP="000C39D1">
      <w:pPr>
        <w:pStyle w:val="libFootnote0"/>
        <w:rPr>
          <w:rtl/>
          <w:lang w:bidi="fa-IR"/>
        </w:rPr>
      </w:pPr>
      <w:r>
        <w:rPr>
          <w:rtl/>
        </w:rPr>
        <w:t>(2).</w:t>
      </w:r>
      <w:r w:rsidRPr="00132E65">
        <w:rPr>
          <w:rtl/>
        </w:rPr>
        <w:t xml:space="preserve"> قال المجلسي : « فقوله : وهي الآصار ، يحتمل وجوهاً : الأوّل : أن يكون بصيغة الجمع ويكون قراءتهم </w:t>
      </w:r>
      <w:r w:rsidRPr="00071CF9">
        <w:rPr>
          <w:rStyle w:val="libAlaemChar"/>
          <w:rtl/>
        </w:rPr>
        <w:t>عليهم‌السلام</w:t>
      </w:r>
      <w:r w:rsidRPr="00132E65">
        <w:rPr>
          <w:rtl/>
        </w:rPr>
        <w:t xml:space="preserve"> موافقة لقراءة ابن عامر ، أو يكون المعنى أنّ المراد بالمفرد هنا الجمع والمراد جميع ذنوبهم. الثاني : أن يكون الإصار بالكسر ، والمعنى أنّ الأصر مأخوذ من الإصار الذي يشدّ به الخباء ، ولعلّ المعنى أنّ الذنب يشدّ به رجل المذنب عن القيام بالطاعة ، كما أنّ الإصار يشدّ به أسفل الخباء. الثالث : ما قيل : إنّ ضمير هي للأغلال ، والآصار بصيغة الجمع ، والمراد أنّ الأغلال عمدة أثقالهم وذنوبهم »</w:t>
      </w:r>
      <w:r>
        <w:rPr>
          <w:rtl/>
        </w:rPr>
        <w:t>.</w:t>
      </w:r>
      <w:r w:rsidRPr="00132E65">
        <w:rPr>
          <w:rtl/>
        </w:rPr>
        <w:t xml:space="preserve"> الثاني قول الفيض ، والثالث قول المازندراني. راجع : </w:t>
      </w:r>
      <w:r w:rsidRPr="003C3275">
        <w:rPr>
          <w:rtl/>
        </w:rPr>
        <w:t>شرح المازندراني</w:t>
      </w:r>
      <w:r w:rsidRPr="00132E65">
        <w:rPr>
          <w:rtl/>
        </w:rPr>
        <w:t xml:space="preserve"> ، ج 7 ، ص 99 ؛ </w:t>
      </w:r>
      <w:r w:rsidRPr="009D1ACE">
        <w:rPr>
          <w:rStyle w:val="libFootnoteBoldChar"/>
          <w:rtl/>
        </w:rPr>
        <w:t>الوافي</w:t>
      </w:r>
      <w:r w:rsidRPr="00132E65">
        <w:rPr>
          <w:rtl/>
        </w:rPr>
        <w:t xml:space="preserve"> ، ج 3 ، ص 912 ؛ </w:t>
      </w:r>
      <w:r w:rsidRPr="009D1ACE">
        <w:rPr>
          <w:rStyle w:val="libFootnoteBoldChar"/>
          <w:rtl/>
        </w:rPr>
        <w:t>مرآة العقول</w:t>
      </w:r>
      <w:r w:rsidRPr="00132E65">
        <w:rPr>
          <w:rtl/>
        </w:rPr>
        <w:t xml:space="preserve"> ، ج 5 ، ص 115.</w:t>
      </w:r>
    </w:p>
    <w:p w:rsidR="000C39D1" w:rsidRPr="00132E65" w:rsidRDefault="000C39D1" w:rsidP="000C39D1">
      <w:pPr>
        <w:pStyle w:val="libFootnote0"/>
        <w:rPr>
          <w:rtl/>
          <w:lang w:bidi="fa-IR"/>
        </w:rPr>
      </w:pPr>
      <w:r>
        <w:rPr>
          <w:rtl/>
        </w:rPr>
        <w:t>(3).</w:t>
      </w:r>
      <w:r w:rsidRPr="00132E65">
        <w:rPr>
          <w:rtl/>
        </w:rPr>
        <w:t xml:space="preserve"> هكذا في القرآن. وفي النسخ والمطبوع بدون الفاء.</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بالنبيّ »</w:t>
      </w:r>
      <w:r>
        <w:rPr>
          <w:rtl/>
        </w:rPr>
        <w:t>.</w:t>
      </w:r>
    </w:p>
    <w:p w:rsidR="000C39D1" w:rsidRPr="00132E65" w:rsidRDefault="000C39D1" w:rsidP="000C39D1">
      <w:pPr>
        <w:pStyle w:val="libFootnote0"/>
        <w:rPr>
          <w:rtl/>
          <w:lang w:bidi="fa-IR"/>
        </w:rPr>
      </w:pPr>
      <w:r>
        <w:rPr>
          <w:rtl/>
        </w:rPr>
        <w:t>(5).</w:t>
      </w:r>
      <w:r w:rsidRPr="00132E65">
        <w:rPr>
          <w:rtl/>
        </w:rPr>
        <w:t xml:space="preserve"> التعزير هاهنا : الإعانة والتوقير والنصر مرّة بعد مرّة. وأصل التعزير : المنع والردّ ، فكأنّ من نَصَرْتَهُ قد رددتَ عنه أعداءَه ومنعتَهم من أذاه. </w:t>
      </w:r>
      <w:r w:rsidRPr="003C3275">
        <w:rPr>
          <w:rtl/>
        </w:rPr>
        <w:t>النهاية</w:t>
      </w:r>
      <w:r w:rsidRPr="00132E65">
        <w:rPr>
          <w:rtl/>
        </w:rPr>
        <w:t xml:space="preserve"> ، ج 3 ، ص 228 ( عزر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xml:space="preserve">« هو أمير المؤمنين والأئمّة </w:t>
      </w:r>
      <w:r w:rsidRPr="00864FC0">
        <w:rPr>
          <w:rStyle w:val="libFootnoteAlaemChar"/>
          <w:rtl/>
        </w:rPr>
        <w:t>عليهم‌السلام</w:t>
      </w:r>
      <w:r w:rsidRPr="00132E65">
        <w:rPr>
          <w:rtl/>
        </w:rPr>
        <w:t xml:space="preserve"> »</w:t>
      </w:r>
      <w:r>
        <w:rPr>
          <w:rtl/>
        </w:rPr>
        <w:t>.</w:t>
      </w:r>
    </w:p>
    <w:p w:rsidR="000C39D1" w:rsidRPr="00132E65" w:rsidRDefault="000C39D1" w:rsidP="000C39D1">
      <w:pPr>
        <w:pStyle w:val="libFootnote0"/>
        <w:rPr>
          <w:rtl/>
          <w:lang w:bidi="fa-IR"/>
        </w:rPr>
      </w:pPr>
      <w:r>
        <w:rPr>
          <w:rtl/>
        </w:rPr>
        <w:t>(7).</w:t>
      </w:r>
      <w:r w:rsidRPr="00132E65">
        <w:rPr>
          <w:rtl/>
        </w:rPr>
        <w:t xml:space="preserve"> الأعراف </w:t>
      </w:r>
      <w:r w:rsidR="00864FC0">
        <w:rPr>
          <w:rtl/>
        </w:rPr>
        <w:t>(7)</w:t>
      </w:r>
      <w:r w:rsidRPr="00132E65">
        <w:rPr>
          <w:rtl/>
        </w:rPr>
        <w:t xml:space="preserve"> : 156 </w:t>
      </w:r>
      <w:r>
        <w:rPr>
          <w:rtl/>
        </w:rPr>
        <w:t>و 1</w:t>
      </w:r>
      <w:r w:rsidRPr="00132E65">
        <w:rPr>
          <w:rtl/>
        </w:rPr>
        <w:t>57.</w:t>
      </w:r>
    </w:p>
    <w:p w:rsidR="000C39D1" w:rsidRPr="00132E65" w:rsidRDefault="000C39D1" w:rsidP="000C39D1">
      <w:pPr>
        <w:pStyle w:val="libFootnote0"/>
        <w:rPr>
          <w:rtl/>
          <w:lang w:bidi="fa-IR"/>
        </w:rPr>
      </w:pPr>
      <w:r>
        <w:rPr>
          <w:rtl/>
        </w:rPr>
        <w:t>(8).</w:t>
      </w:r>
      <w:r w:rsidRPr="00132E65">
        <w:rPr>
          <w:rtl/>
        </w:rPr>
        <w:t xml:space="preserve"> « الجِبْتُ » : الفَسل الذي لا خير فيه. والفسل : الرَذْلُ والنذل الذي لا مروّة له. ويقال لكلّ ما عُبد من دون الله تعالى : جِبْتٌ. وسمّي الساحر والكاهن جبتاً. راجع : </w:t>
      </w:r>
      <w:r w:rsidRPr="003C3275">
        <w:rPr>
          <w:rtl/>
        </w:rPr>
        <w:t>المفردات</w:t>
      </w:r>
      <w:r w:rsidRPr="00132E65">
        <w:rPr>
          <w:rtl/>
        </w:rPr>
        <w:t xml:space="preserve"> للراغب ، ص 182 ( جبت )</w:t>
      </w:r>
      <w:r>
        <w:rPr>
          <w:rtl/>
        </w:rPr>
        <w:t>.</w:t>
      </w:r>
    </w:p>
    <w:tbl>
      <w:tblPr>
        <w:tblStyle w:val="TableGrid"/>
        <w:bidiVisual/>
        <w:tblW w:w="0" w:type="auto"/>
        <w:tblLook w:val="04A0" w:firstRow="1" w:lastRow="0" w:firstColumn="1" w:lastColumn="0" w:noHBand="0" w:noVBand="1"/>
      </w:tblPr>
      <w:tblGrid>
        <w:gridCol w:w="4006"/>
        <w:gridCol w:w="4006"/>
      </w:tblGrid>
      <w:tr w:rsidR="00864FC0" w:rsidTr="00864FC0">
        <w:tc>
          <w:tcPr>
            <w:tcW w:w="4006" w:type="dxa"/>
          </w:tcPr>
          <w:p w:rsidR="00864FC0" w:rsidRDefault="00864FC0" w:rsidP="000C39D1">
            <w:pPr>
              <w:pStyle w:val="libFootnote0"/>
              <w:rPr>
                <w:rtl/>
              </w:rPr>
            </w:pPr>
            <w:r>
              <w:rPr>
                <w:rtl/>
              </w:rPr>
              <w:t>(9).</w:t>
            </w:r>
            <w:r w:rsidRPr="00132E65">
              <w:rPr>
                <w:rtl/>
              </w:rPr>
              <w:t xml:space="preserve"> الزمر (39) : 54.</w:t>
            </w:r>
          </w:p>
        </w:tc>
        <w:tc>
          <w:tcPr>
            <w:tcW w:w="4006" w:type="dxa"/>
          </w:tcPr>
          <w:p w:rsidR="00864FC0" w:rsidRDefault="00864FC0" w:rsidP="000C39D1">
            <w:pPr>
              <w:pStyle w:val="libFootnote0"/>
              <w:rPr>
                <w:rtl/>
              </w:rPr>
            </w:pPr>
            <w:r>
              <w:rPr>
                <w:rtl/>
              </w:rPr>
              <w:t>(10).</w:t>
            </w:r>
            <w:r w:rsidRPr="00132E65">
              <w:rPr>
                <w:rtl/>
              </w:rPr>
              <w:t xml:space="preserve"> يونس </w:t>
            </w:r>
            <w:r>
              <w:rPr>
                <w:rtl/>
              </w:rPr>
              <w:t>(10)</w:t>
            </w:r>
            <w:r w:rsidRPr="00132E65">
              <w:rPr>
                <w:rtl/>
              </w:rPr>
              <w:t xml:space="preserve"> : 64.</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وَبِالنَّجَاةِ فِي الْآخِرَةِ ، والْوُرُودِ عَلى مُحَمَّدٍ</w:t>
      </w:r>
      <w:r>
        <w:rPr>
          <w:rtl/>
          <w:lang w:bidi="fa-IR"/>
        </w:rPr>
        <w:t xml:space="preserve"> - </w:t>
      </w:r>
      <w:r w:rsidRPr="00071CF9">
        <w:rPr>
          <w:rStyle w:val="libAlaemChar"/>
          <w:rtl/>
        </w:rPr>
        <w:t>صلى‌الله‌عليه‌وآله</w:t>
      </w:r>
      <w:r w:rsidRPr="00132E65">
        <w:rPr>
          <w:rtl/>
          <w:lang w:bidi="fa-IR"/>
        </w:rPr>
        <w:t xml:space="preserve"> الصَّادِقِينَ</w:t>
      </w:r>
      <w:r>
        <w:rPr>
          <w:rtl/>
          <w:lang w:bidi="fa-IR"/>
        </w:rPr>
        <w:t xml:space="preserve"> - </w:t>
      </w:r>
      <w:r w:rsidRPr="00132E65">
        <w:rPr>
          <w:rtl/>
          <w:lang w:bidi="fa-IR"/>
        </w:rPr>
        <w:t xml:space="preserve">عَلَى </w:t>
      </w:r>
      <w:r>
        <w:rPr>
          <w:rStyle w:val="libFootnotenumChar"/>
          <w:rtl/>
        </w:rPr>
        <w:t>(1)</w:t>
      </w:r>
      <w:r w:rsidRPr="00132E65">
        <w:rPr>
          <w:rtl/>
          <w:lang w:bidi="fa-IR"/>
        </w:rPr>
        <w:t xml:space="preserve"> الْحَوْضِ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3C3275">
        <w:rPr>
          <w:rtl/>
        </w:rPr>
        <w:t>1171</w:t>
      </w:r>
      <w:r w:rsidRPr="004325D8">
        <w:rPr>
          <w:rStyle w:val="libBold2Char"/>
          <w:rtl/>
        </w:rPr>
        <w:t xml:space="preserve"> / 84.</w:t>
      </w:r>
      <w:r w:rsidRPr="00132E65">
        <w:rPr>
          <w:rtl/>
          <w:lang w:bidi="fa-IR"/>
        </w:rPr>
        <w:t xml:space="preserve"> عَلِيُّ بْنُ مُحَمَّدٍ ، عَنْ سَهْلِ بْنِ زِيَادٍ ، عَنِ ابْنِ مَحْبُوبٍ ، عَنْ هِشَامِ بْنِ سَالِمٍ ، عَنْ عَمَّارٍ السَّابَاطِيِّ ، قَالَ :</w:t>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عَزَّ وجَلَّ : </w:t>
      </w:r>
      <w:r w:rsidRPr="00071CF9">
        <w:rPr>
          <w:rStyle w:val="libAlaemChar"/>
          <w:rtl/>
        </w:rPr>
        <w:t>(</w:t>
      </w:r>
      <w:r w:rsidRPr="00071CF9">
        <w:rPr>
          <w:rStyle w:val="libAieChar"/>
          <w:rtl/>
        </w:rPr>
        <w:t xml:space="preserve"> أَفَمَنِ اتَّبَعَ رِضْوانَ اللهِ كَمَنْ باءَ بِسَخَطٍ مِنَ اللهِ وَمَأْواهُ جَهَنَّمُ وَبِئْسَ الْمَصِيرُ </w:t>
      </w:r>
      <w:r w:rsidR="00184131">
        <w:rPr>
          <w:rStyle w:val="libAieChar"/>
          <w:rFonts w:hint="cs"/>
          <w:rtl/>
        </w:rPr>
        <w:t xml:space="preserve">* </w:t>
      </w:r>
      <w:r w:rsidRPr="00071CF9">
        <w:rPr>
          <w:rStyle w:val="libAieChar"/>
          <w:rtl/>
        </w:rPr>
        <w:t xml:space="preserve">هُمْ دَرَجاتٌ عِنْدَ اللهِ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فَقَالَ : « الَّذِينَ اتَّبَعُوا رِضْوَانَ اللهِ هُمُ الْأَئِمَّةُ ، وهُمْ</w:t>
      </w:r>
      <w:r>
        <w:rPr>
          <w:rtl/>
          <w:lang w:bidi="fa-IR"/>
        </w:rPr>
        <w:t xml:space="preserve"> - </w:t>
      </w:r>
      <w:r w:rsidRPr="00132E65">
        <w:rPr>
          <w:rtl/>
          <w:lang w:bidi="fa-IR"/>
        </w:rPr>
        <w:t>واللهِ يَا عَمَّارُ</w:t>
      </w:r>
      <w:r>
        <w:rPr>
          <w:rtl/>
          <w:lang w:bidi="fa-IR"/>
        </w:rPr>
        <w:t xml:space="preserve"> - </w:t>
      </w:r>
      <w:r w:rsidRPr="00132E65">
        <w:rPr>
          <w:rtl/>
          <w:lang w:bidi="fa-IR"/>
        </w:rPr>
        <w:t xml:space="preserve">دَرَجَاتٌ لِلْمُؤْمِنِينَ ، وبِوَلَايَتِهِمْ ومَعْرِفَتِهِمْ إِيَّانَا يُضَاعِفُ اللهُ لَهُمْ أَعْمَالَهُمْ ، ويَرْفَعُ اللهُ </w:t>
      </w:r>
      <w:r>
        <w:rPr>
          <w:rStyle w:val="libFootnotenumChar"/>
          <w:rtl/>
        </w:rPr>
        <w:t>(4)</w:t>
      </w:r>
      <w:r w:rsidRPr="00132E65">
        <w:rPr>
          <w:rtl/>
          <w:lang w:bidi="fa-IR"/>
        </w:rPr>
        <w:t xml:space="preserve"> لَهُمُ الدَّرَجَاتِ الْعُلى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C3275">
        <w:rPr>
          <w:rtl/>
        </w:rPr>
        <w:t>1172</w:t>
      </w:r>
      <w:r w:rsidRPr="004325D8">
        <w:rPr>
          <w:rStyle w:val="libBold2Char"/>
          <w:rtl/>
        </w:rPr>
        <w:t xml:space="preserve"> / 85.</w:t>
      </w:r>
      <w:r w:rsidRPr="00132E65">
        <w:rPr>
          <w:rtl/>
          <w:lang w:bidi="fa-IR"/>
        </w:rPr>
        <w:t xml:space="preserve"> عَلِيُّ بْنُ مُحَمَّدٍ وغَيْرُهُ ، عَنْ سَهْلِ بْنِ زِيَادٍ ، عَنْ يَعْقُوبَ بْنِ يَزِيدَ ، عَنْ زِيَادٍ الْقَنْدِيِّ ، عَنْ عَمَّارٍ الْأَسَدِيِّ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إِلَيْهِ يَصْعَدُ الْكَلِمُ الطَّيِّبُ وَالْعَمَلُ الصّالِحُ يَرْفَعُهُ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قَالَ : « وَلَايَتُنَا </w:t>
      </w:r>
      <w:r>
        <w:rPr>
          <w:rStyle w:val="libFootnotenumChar"/>
          <w:rtl/>
        </w:rPr>
        <w:t>(7)</w:t>
      </w:r>
      <w:r w:rsidRPr="00132E65">
        <w:rPr>
          <w:rtl/>
          <w:lang w:bidi="fa-IR"/>
        </w:rPr>
        <w:t xml:space="preserve"> أَهْلَ الْبَيْتِ</w:t>
      </w:r>
      <w:r>
        <w:rPr>
          <w:rtl/>
          <w:lang w:bidi="fa-IR"/>
        </w:rPr>
        <w:t xml:space="preserve"> - </w:t>
      </w:r>
      <w:r w:rsidRPr="00132E65">
        <w:rPr>
          <w:rtl/>
          <w:lang w:bidi="fa-IR"/>
        </w:rPr>
        <w:t xml:space="preserve">وأَهْوى </w:t>
      </w:r>
      <w:r>
        <w:rPr>
          <w:rStyle w:val="libFootnotenumChar"/>
          <w:rtl/>
        </w:rPr>
        <w:t>(8)</w:t>
      </w:r>
      <w:r w:rsidRPr="00132E65">
        <w:rPr>
          <w:rtl/>
          <w:lang w:bidi="fa-IR"/>
        </w:rPr>
        <w:t xml:space="preserve"> بِيَدِهِ إِلى صَدْرِهِ </w:t>
      </w:r>
      <w:r>
        <w:rPr>
          <w:rStyle w:val="libFootnotenumChar"/>
          <w:rtl/>
        </w:rPr>
        <w:t>(9)</w:t>
      </w:r>
      <w:r>
        <w:rPr>
          <w:rtl/>
          <w:lang w:bidi="fa-IR"/>
        </w:rPr>
        <w:t xml:space="preserve"> - </w:t>
      </w:r>
      <w:r w:rsidRPr="00132E65">
        <w:rPr>
          <w:rtl/>
          <w:lang w:bidi="fa-IR"/>
        </w:rPr>
        <w:t>فَمَنْ لَمْ يَتَوَلَّنَا لَمْ يَرْفَعِ‌</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على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911 ، ح 1588 ؛ </w:t>
      </w:r>
      <w:r w:rsidRPr="003C3275">
        <w:rPr>
          <w:rtl/>
        </w:rPr>
        <w:t>الوسائل</w:t>
      </w:r>
      <w:r w:rsidRPr="00132E65">
        <w:rPr>
          <w:rtl/>
        </w:rPr>
        <w:t xml:space="preserve"> ، ج 27 ، ص 67 ، ح 33218 ، إلى قوله : « والخبائث قول من خالف » ؛ </w:t>
      </w:r>
      <w:r w:rsidRPr="003C3275">
        <w:rPr>
          <w:rtl/>
        </w:rPr>
        <w:t>البحار</w:t>
      </w:r>
      <w:r w:rsidRPr="00132E65">
        <w:rPr>
          <w:rtl/>
        </w:rPr>
        <w:t xml:space="preserve"> ، ج 5 ، ص 195 ، ح 1 ، إلى قوله : « لطاعة الإمام » ؛ وج 24 ، ص 353 ، ح 73.</w:t>
      </w:r>
    </w:p>
    <w:p w:rsidR="000C39D1" w:rsidRPr="00132E65" w:rsidRDefault="000C39D1" w:rsidP="000C39D1">
      <w:pPr>
        <w:pStyle w:val="libFootnote0"/>
        <w:rPr>
          <w:rtl/>
          <w:lang w:bidi="fa-IR"/>
        </w:rPr>
      </w:pPr>
      <w:r>
        <w:rPr>
          <w:rtl/>
        </w:rPr>
        <w:t>(3).</w:t>
      </w:r>
      <w:r w:rsidRPr="00132E65">
        <w:rPr>
          <w:rtl/>
        </w:rPr>
        <w:t xml:space="preserve"> آل عمران </w:t>
      </w:r>
      <w:r w:rsidR="00184131">
        <w:rPr>
          <w:rtl/>
        </w:rPr>
        <w:t>(3)</w:t>
      </w:r>
      <w:r w:rsidRPr="00132E65">
        <w:rPr>
          <w:rtl/>
        </w:rPr>
        <w:t xml:space="preserve"> : 162</w:t>
      </w:r>
      <w:r>
        <w:rPr>
          <w:rtl/>
        </w:rPr>
        <w:t xml:space="preserve"> - </w:t>
      </w:r>
      <w:r w:rsidRPr="00132E65">
        <w:rPr>
          <w:rtl/>
        </w:rPr>
        <w:t>163.</w:t>
      </w:r>
    </w:p>
    <w:p w:rsidR="000C39D1" w:rsidRPr="00132E65" w:rsidRDefault="000C39D1" w:rsidP="000C39D1">
      <w:pPr>
        <w:pStyle w:val="libFootnote0"/>
        <w:rPr>
          <w:rtl/>
          <w:lang w:bidi="fa-IR"/>
        </w:rPr>
      </w:pPr>
      <w:r>
        <w:rPr>
          <w:rtl/>
        </w:rPr>
        <w:t>(4).</w:t>
      </w:r>
      <w:r w:rsidRPr="00132E65">
        <w:rPr>
          <w:rtl/>
        </w:rPr>
        <w:t xml:space="preserve"> في « ف » </w:t>
      </w:r>
      <w:r>
        <w:rPr>
          <w:rtl/>
        </w:rPr>
        <w:t xml:space="preserve">: - </w:t>
      </w:r>
      <w:r w:rsidRPr="00132E65">
        <w:rPr>
          <w:rtl/>
        </w:rPr>
        <w:t>« الله »</w:t>
      </w:r>
      <w:r>
        <w:rPr>
          <w:rtl/>
        </w:rPr>
        <w:t>.</w:t>
      </w:r>
    </w:p>
    <w:p w:rsidR="000C39D1" w:rsidRPr="00132E65" w:rsidRDefault="000C39D1" w:rsidP="00184131">
      <w:pPr>
        <w:pStyle w:val="libFootnote0"/>
        <w:rPr>
          <w:rtl/>
          <w:lang w:bidi="fa-IR"/>
        </w:rPr>
      </w:pPr>
      <w:r>
        <w:rPr>
          <w:rtl/>
        </w:rPr>
        <w:t>(5).</w:t>
      </w:r>
      <w:r w:rsidRPr="00132E65">
        <w:rPr>
          <w:rtl/>
        </w:rPr>
        <w:t xml:space="preserve"> </w:t>
      </w:r>
      <w:r w:rsidRPr="003C3275">
        <w:rPr>
          <w:rtl/>
        </w:rPr>
        <w:t>تفسير العيّاشي</w:t>
      </w:r>
      <w:r w:rsidRPr="00132E65">
        <w:rPr>
          <w:rtl/>
        </w:rPr>
        <w:t xml:space="preserve"> ، ج 1 ، ص 205 ، ح 149 ، عن عمّار بن مروان</w:t>
      </w:r>
      <w:r w:rsidR="00184131">
        <w:rPr>
          <w:rFonts w:hint="cs"/>
          <w:rtl/>
        </w:rPr>
        <w:t>.</w:t>
      </w:r>
      <w:r w:rsidRPr="009D1ACE">
        <w:rPr>
          <w:rStyle w:val="libFootnoteBoldChar"/>
          <w:rtl/>
        </w:rPr>
        <w:t>الوافي</w:t>
      </w:r>
      <w:r w:rsidRPr="00132E65">
        <w:rPr>
          <w:rtl/>
        </w:rPr>
        <w:t xml:space="preserve"> ، ج 3 ، ص 900 ، ح 1564.</w:t>
      </w:r>
    </w:p>
    <w:p w:rsidR="000C39D1" w:rsidRPr="00132E65" w:rsidRDefault="000C39D1" w:rsidP="000C39D1">
      <w:pPr>
        <w:pStyle w:val="libFootnote0"/>
        <w:rPr>
          <w:rtl/>
          <w:lang w:bidi="fa-IR"/>
        </w:rPr>
      </w:pPr>
      <w:r>
        <w:rPr>
          <w:rtl/>
        </w:rPr>
        <w:t>(6).</w:t>
      </w:r>
      <w:r w:rsidRPr="00132E65">
        <w:rPr>
          <w:rtl/>
        </w:rPr>
        <w:t xml:space="preserve"> فاطر (35) : 10.</w:t>
      </w:r>
    </w:p>
    <w:p w:rsidR="000C39D1" w:rsidRPr="00132E65" w:rsidRDefault="000C39D1" w:rsidP="000C39D1">
      <w:pPr>
        <w:pStyle w:val="libFootnote0"/>
        <w:rPr>
          <w:rtl/>
          <w:lang w:bidi="fa-IR"/>
        </w:rPr>
      </w:pPr>
      <w:r>
        <w:rPr>
          <w:rtl/>
        </w:rPr>
        <w:t>(7).</w:t>
      </w:r>
      <w:r w:rsidRPr="00132E65">
        <w:rPr>
          <w:rtl/>
        </w:rPr>
        <w:t xml:space="preserve"> هكذا في « ف »</w:t>
      </w:r>
      <w:r>
        <w:rPr>
          <w:rtl/>
        </w:rPr>
        <w:t>.</w:t>
      </w:r>
      <w:r w:rsidRPr="00132E65">
        <w:rPr>
          <w:rtl/>
        </w:rPr>
        <w:t xml:space="preserve"> وفي سائر النسخ والمطبوع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(8).</w:t>
      </w:r>
      <w:r w:rsidRPr="00132E65">
        <w:rPr>
          <w:rtl/>
        </w:rPr>
        <w:t xml:space="preserve"> في « بس ، بف » وحاشية « ج » و</w:t>
      </w:r>
      <w:r w:rsidRPr="009D1ACE">
        <w:rPr>
          <w:rStyle w:val="libFootnoteBoldChar"/>
          <w:rtl/>
        </w:rPr>
        <w:t>الوافي</w:t>
      </w:r>
      <w:r w:rsidRPr="00132E65">
        <w:rPr>
          <w:rtl/>
        </w:rPr>
        <w:t xml:space="preserve"> : « وأومأ »</w:t>
      </w:r>
      <w:r>
        <w:rPr>
          <w:rtl/>
        </w:rPr>
        <w:t>.</w:t>
      </w:r>
    </w:p>
    <w:p w:rsidR="000C39D1" w:rsidRPr="00132E65" w:rsidRDefault="000C39D1" w:rsidP="000C39D1">
      <w:pPr>
        <w:pStyle w:val="libFootnote0"/>
        <w:rPr>
          <w:rtl/>
          <w:lang w:bidi="fa-IR"/>
        </w:rPr>
      </w:pPr>
      <w:r>
        <w:rPr>
          <w:rtl/>
        </w:rPr>
        <w:t>(9).</w:t>
      </w:r>
      <w:r w:rsidRPr="00132E65">
        <w:rPr>
          <w:rtl/>
        </w:rPr>
        <w:t xml:space="preserve"> في « ف » :</w:t>
      </w:r>
      <w:r>
        <w:rPr>
          <w:rtl/>
        </w:rPr>
        <w:t xml:space="preserve"> + </w:t>
      </w:r>
      <w:r w:rsidRPr="00132E65">
        <w:rPr>
          <w:rtl/>
        </w:rPr>
        <w:t>« وقال »</w:t>
      </w:r>
      <w:r>
        <w:rPr>
          <w:rtl/>
        </w:rPr>
        <w:t>.</w:t>
      </w:r>
      <w:r w:rsidRPr="00132E65">
        <w:rPr>
          <w:rtl/>
        </w:rPr>
        <w:t xml:space="preserve"> وقوله : « أهوى بيده إلى صدره » ، أي مدّها نحوه وأمالها إليه. راجع : </w:t>
      </w:r>
      <w:r w:rsidRPr="003C3275">
        <w:rPr>
          <w:rtl/>
        </w:rPr>
        <w:t>النهاية</w:t>
      </w:r>
      <w:r w:rsidRPr="00132E65">
        <w:rPr>
          <w:rtl/>
        </w:rPr>
        <w:t xml:space="preserve"> ، ج 5 ، ص 285 ( هوا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اللهُ لَهُ عَمَلاً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3C3275">
        <w:rPr>
          <w:rtl/>
        </w:rPr>
        <w:t>1173</w:t>
      </w:r>
      <w:r w:rsidRPr="004325D8">
        <w:rPr>
          <w:rStyle w:val="libBold2Char"/>
          <w:rtl/>
        </w:rPr>
        <w:t xml:space="preserve"> / 86.</w:t>
      </w:r>
      <w:r w:rsidRPr="00132E65">
        <w:rPr>
          <w:rtl/>
          <w:lang w:bidi="fa-IR"/>
        </w:rPr>
        <w:t xml:space="preserve"> عِدَّةٌ مِنْ أَصْحَابِنَا ، عَنْ أَحْمَدَ بْنِ مُحَمَّدٍ ، عَنِ الْحُسَيْنِ بْنِ سَعِيدٍ ، عَنِ النَّضْرِ بْنِ سُوَيْدٍ ، عَنِ الْقَاسِمِ بْنِ سُلَيْمَانَ ، عَنْ سَمَاعَةَ بْنِ مِهْرَانَ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يُؤْتِكُمْ كِفْلَيْنِ مِنْ رَحْمَتِهِ </w:t>
      </w:r>
      <w:r w:rsidRPr="00071CF9">
        <w:rPr>
          <w:rStyle w:val="libAlaemChar"/>
          <w:rtl/>
        </w:rPr>
        <w:t>)</w:t>
      </w:r>
      <w:r w:rsidRPr="00132E65">
        <w:rPr>
          <w:rtl/>
          <w:lang w:bidi="fa-IR"/>
        </w:rPr>
        <w:t xml:space="preserve"> قَالَ : « الْحَسَنُ وَالْحُسَيْنُ </w:t>
      </w:r>
      <w:r w:rsidRPr="00071CF9">
        <w:rPr>
          <w:rStyle w:val="libAlaemChar"/>
          <w:rtl/>
        </w:rPr>
        <w:t>عليهما‌السلام</w:t>
      </w:r>
      <w:r w:rsidRPr="00132E65">
        <w:rPr>
          <w:rtl/>
          <w:lang w:bidi="fa-IR"/>
        </w:rPr>
        <w:t xml:space="preserve"> » ، </w:t>
      </w:r>
      <w:r w:rsidRPr="00071CF9">
        <w:rPr>
          <w:rStyle w:val="libAlaemChar"/>
          <w:rtl/>
        </w:rPr>
        <w:t>(</w:t>
      </w:r>
      <w:r w:rsidRPr="00071CF9">
        <w:rPr>
          <w:rStyle w:val="libAieChar"/>
          <w:rtl/>
        </w:rPr>
        <w:t xml:space="preserve"> وَيَجْعَلْ لَكُمْ نُوراً تَمْشُونَ بِهِ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قَالَ : « إِمَامٌ تَأْتَمُّونَ بِهِ »</w:t>
      </w:r>
      <w:r>
        <w:rPr>
          <w:rtl/>
          <w:lang w:bidi="fa-IR"/>
        </w:rPr>
        <w:t>.</w:t>
      </w:r>
      <w:r w:rsidRPr="00132E65">
        <w:rPr>
          <w:rtl/>
          <w:lang w:bidi="fa-IR"/>
        </w:rPr>
        <w:t xml:space="preserve"> </w:t>
      </w:r>
      <w:r>
        <w:rPr>
          <w:rStyle w:val="libFootnotenumChar"/>
          <w:rtl/>
        </w:rPr>
        <w:t>(4)</w:t>
      </w:r>
      <w:r w:rsidRPr="00132E65">
        <w:rPr>
          <w:rtl/>
          <w:lang w:bidi="fa-IR"/>
        </w:rPr>
        <w:t>‌</w:t>
      </w:r>
    </w:p>
    <w:p w:rsidR="000C39D1" w:rsidRPr="00132E65" w:rsidRDefault="000C39D1" w:rsidP="000C39D1">
      <w:pPr>
        <w:pStyle w:val="libNormal"/>
        <w:rPr>
          <w:rtl/>
          <w:lang w:bidi="fa-IR"/>
        </w:rPr>
      </w:pPr>
      <w:r w:rsidRPr="003C3275">
        <w:rPr>
          <w:rtl/>
        </w:rPr>
        <w:t>1174</w:t>
      </w:r>
      <w:r w:rsidRPr="004325D8">
        <w:rPr>
          <w:rStyle w:val="libBold2Char"/>
          <w:rtl/>
        </w:rPr>
        <w:t xml:space="preserve"> / 87.</w:t>
      </w:r>
      <w:r w:rsidRPr="00132E65">
        <w:rPr>
          <w:rtl/>
          <w:lang w:bidi="fa-IR"/>
        </w:rPr>
        <w:t xml:space="preserve"> عَلِيُّ بْنُ إِبْرَاهِيمَ ، عَنْ أَبِيهِ ، عَنِ الْقَاسِمِ بْنِ مُحَمَّدٍ الْجَوْهَرِيِّ ، عَنْ بَعْضِ أَصْحَابِهِ :</w:t>
      </w:r>
    </w:p>
    <w:p w:rsidR="000C39D1" w:rsidRPr="00132E65" w:rsidRDefault="000C39D1" w:rsidP="00324CE0">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قَوْلِهِ تَعَالى : </w:t>
      </w:r>
      <w:r w:rsidRPr="00071CF9">
        <w:rPr>
          <w:rStyle w:val="libAlaemChar"/>
          <w:rtl/>
        </w:rPr>
        <w:t>(</w:t>
      </w:r>
      <w:r w:rsidRPr="00071CF9">
        <w:rPr>
          <w:rStyle w:val="libAieChar"/>
          <w:rtl/>
        </w:rPr>
        <w:t xml:space="preserve"> وَيَسْتَنْبِئُونَكَ أَحَقٌّ هُوَ </w:t>
      </w:r>
      <w:r w:rsidRPr="00071CF9">
        <w:rPr>
          <w:rStyle w:val="libAlaemChar"/>
          <w:rtl/>
        </w:rPr>
        <w:t>)</w:t>
      </w:r>
      <w:r w:rsidRPr="00132E65">
        <w:rPr>
          <w:rtl/>
          <w:lang w:bidi="fa-IR"/>
        </w:rPr>
        <w:t xml:space="preserve"> قَالَ </w:t>
      </w:r>
      <w:r>
        <w:rPr>
          <w:rStyle w:val="libFootnotenumChar"/>
          <w:rtl/>
        </w:rPr>
        <w:t>(5)</w:t>
      </w:r>
      <w:r w:rsidRPr="00132E65">
        <w:rPr>
          <w:rtl/>
          <w:lang w:bidi="fa-IR"/>
        </w:rPr>
        <w:t xml:space="preserve"> : « مَا تَقُولُ </w:t>
      </w:r>
      <w:r>
        <w:rPr>
          <w:rStyle w:val="libFootnotenumChar"/>
          <w:rtl/>
        </w:rPr>
        <w:t>(6)</w:t>
      </w:r>
      <w:r w:rsidRPr="00132E65">
        <w:rPr>
          <w:rtl/>
          <w:lang w:bidi="fa-IR"/>
        </w:rPr>
        <w:t xml:space="preserve"> فِي عَلِيٍّ </w:t>
      </w:r>
      <w:r w:rsidRPr="00071CF9">
        <w:rPr>
          <w:rStyle w:val="libAlaemChar"/>
          <w:rtl/>
        </w:rPr>
        <w:t>عليه‌السلام(</w:t>
      </w:r>
      <w:r w:rsidRPr="00071CF9">
        <w:rPr>
          <w:rStyle w:val="libAieChar"/>
          <w:rtl/>
        </w:rPr>
        <w:t xml:space="preserve"> قُلْ إِي وَرَبِّي إِنَّهُ لَحَقٌّ وَما أَنْتُمْ بِمُعْجِزِينَ </w:t>
      </w:r>
      <w:r w:rsidRPr="00071CF9">
        <w:rPr>
          <w:rStyle w:val="libAlaemChar"/>
          <w:rtl/>
        </w:rPr>
        <w:t>)</w:t>
      </w:r>
      <w:r w:rsidRPr="00132E65">
        <w:rPr>
          <w:rtl/>
          <w:lang w:bidi="fa-IR"/>
        </w:rPr>
        <w:t xml:space="preserve">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3C3275">
        <w:rPr>
          <w:rtl/>
        </w:rPr>
        <w:t>1175</w:t>
      </w:r>
      <w:r w:rsidRPr="004325D8">
        <w:rPr>
          <w:rStyle w:val="libBold2Char"/>
          <w:rtl/>
        </w:rPr>
        <w:t xml:space="preserve"> / 88.</w:t>
      </w:r>
      <w:r w:rsidRPr="00132E65">
        <w:rPr>
          <w:rtl/>
          <w:lang w:bidi="fa-IR"/>
        </w:rPr>
        <w:t xml:space="preserve"> عَلِيُّ بْنُ مُحَمَّدٍ ، عَنْ سَهْلِ بْنِ زِيَادٍ ، عَنْ مُحَمَّدِ بْنِ سُلَيْمَانَ الدَّيْلَمِيِّ ، عَنْ أَبِيهِ ، عَنْ أَبَانِ بْنِ تَغْلِبَ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ج » : « أصلاً »</w:t>
      </w:r>
      <w:r>
        <w:rPr>
          <w:rtl/>
        </w:rPr>
        <w:t>.</w:t>
      </w:r>
      <w:r w:rsidRPr="00132E65">
        <w:rPr>
          <w:rtl/>
        </w:rPr>
        <w:t xml:space="preserve"> وفي </w:t>
      </w:r>
      <w:r w:rsidRPr="009D1ACE">
        <w:rPr>
          <w:rStyle w:val="libFootnoteBoldChar"/>
          <w:rtl/>
        </w:rPr>
        <w:t>الوافي</w:t>
      </w:r>
      <w:r w:rsidRPr="00132E65">
        <w:rPr>
          <w:rtl/>
        </w:rPr>
        <w:t xml:space="preserve"> : « يعني أنّ المراد بالعمل الصالح إنّما هو ولايتنا واتّباعنا ، وهي التي يرفعها الله تعالى أوّلاً ، ثمّ بتبعيّتها يرفع سائر الأعمال. والمستفاد من الحديث أنّ المستتر في يرفعه راجع إلى الله تعالى »</w:t>
      </w:r>
      <w:r>
        <w:rPr>
          <w:rtl/>
        </w:rPr>
        <w:t>.</w:t>
      </w:r>
    </w:p>
    <w:p w:rsidR="000C39D1" w:rsidRPr="00132E65" w:rsidRDefault="000C39D1" w:rsidP="009D0A47">
      <w:pPr>
        <w:pStyle w:val="libFootnote0"/>
        <w:rPr>
          <w:rtl/>
          <w:lang w:bidi="fa-IR"/>
        </w:rPr>
      </w:pPr>
      <w:r>
        <w:rPr>
          <w:rtl/>
        </w:rPr>
        <w:t>(2).</w:t>
      </w:r>
      <w:r w:rsidRPr="00132E65">
        <w:rPr>
          <w:rtl/>
        </w:rPr>
        <w:t xml:space="preserve"> راجع : </w:t>
      </w:r>
      <w:r w:rsidRPr="003C3275">
        <w:rPr>
          <w:rtl/>
        </w:rPr>
        <w:t>تفسير القمّي</w:t>
      </w:r>
      <w:r w:rsidRPr="00132E65">
        <w:rPr>
          <w:rtl/>
        </w:rPr>
        <w:t xml:space="preserve"> ، ج 2 ، ص 207</w:t>
      </w:r>
      <w:r w:rsidR="009D0A47">
        <w:rPr>
          <w:rFonts w:hint="cs"/>
          <w:rtl/>
        </w:rPr>
        <w:t>.</w:t>
      </w:r>
      <w:r w:rsidRPr="009D1ACE">
        <w:rPr>
          <w:rStyle w:val="libFootnoteBoldChar"/>
          <w:rtl/>
        </w:rPr>
        <w:t>الوافي</w:t>
      </w:r>
      <w:r w:rsidRPr="00132E65">
        <w:rPr>
          <w:rtl/>
        </w:rPr>
        <w:t xml:space="preserve"> ، ج 3 ، ص 900 ، ح 1565 ؛ </w:t>
      </w:r>
      <w:r w:rsidRPr="003C3275">
        <w:rPr>
          <w:rtl/>
        </w:rPr>
        <w:t>البحار</w:t>
      </w:r>
      <w:r w:rsidRPr="00132E65">
        <w:rPr>
          <w:rtl/>
        </w:rPr>
        <w:t xml:space="preserve"> ، ج 24 ، ص 357 ، ح 75.</w:t>
      </w:r>
    </w:p>
    <w:p w:rsidR="000C39D1" w:rsidRPr="00132E65" w:rsidRDefault="000C39D1" w:rsidP="000C39D1">
      <w:pPr>
        <w:pStyle w:val="libFootnote0"/>
        <w:rPr>
          <w:rtl/>
          <w:lang w:bidi="fa-IR"/>
        </w:rPr>
      </w:pPr>
      <w:r>
        <w:rPr>
          <w:rtl/>
        </w:rPr>
        <w:t>(3).</w:t>
      </w:r>
      <w:r w:rsidRPr="00132E65">
        <w:rPr>
          <w:rtl/>
        </w:rPr>
        <w:t xml:space="preserve"> الحديد (57) : 28.</w:t>
      </w:r>
    </w:p>
    <w:p w:rsidR="000C39D1" w:rsidRPr="00132E65" w:rsidRDefault="000C39D1" w:rsidP="009D0A47">
      <w:pPr>
        <w:pStyle w:val="libFootnote0"/>
        <w:rPr>
          <w:rtl/>
          <w:lang w:bidi="fa-IR"/>
        </w:rPr>
      </w:pPr>
      <w:r>
        <w:rPr>
          <w:rtl/>
        </w:rPr>
        <w:t>(4).</w:t>
      </w:r>
      <w:r w:rsidRPr="00132E65">
        <w:rPr>
          <w:rtl/>
        </w:rPr>
        <w:t xml:space="preserve"> </w:t>
      </w:r>
      <w:r w:rsidRPr="003C3275">
        <w:rPr>
          <w:rtl/>
        </w:rPr>
        <w:t>تفسير القمّي</w:t>
      </w:r>
      <w:r w:rsidRPr="00132E65">
        <w:rPr>
          <w:rtl/>
        </w:rPr>
        <w:t xml:space="preserve"> ، ج 2 ، ص 352 ، بسنده عن الحسين بن سعيد. وفي </w:t>
      </w:r>
      <w:r w:rsidRPr="000577A7">
        <w:rPr>
          <w:rStyle w:val="libFootnoteBoldChar"/>
          <w:rtl/>
        </w:rPr>
        <w:t>الكافي</w:t>
      </w:r>
      <w:r w:rsidRPr="00132E65">
        <w:rPr>
          <w:rtl/>
        </w:rPr>
        <w:t xml:space="preserve"> ، كتاب الحجّة ، باب أنّ الأئمّة </w:t>
      </w:r>
      <w:r w:rsidRPr="009D0A47">
        <w:rPr>
          <w:rStyle w:val="libFootnoteAlaemChar"/>
          <w:rtl/>
        </w:rPr>
        <w:t>عليهم‌السلام</w:t>
      </w:r>
      <w:r w:rsidRPr="00132E65">
        <w:rPr>
          <w:rtl/>
        </w:rPr>
        <w:t xml:space="preserve"> نور الله عزّ وجلّ ، ح 520 ؛ و</w:t>
      </w:r>
      <w:r w:rsidRPr="003C3275">
        <w:rPr>
          <w:rtl/>
        </w:rPr>
        <w:t xml:space="preserve">تفسير فرات </w:t>
      </w:r>
      <w:r w:rsidRPr="00132E65">
        <w:rPr>
          <w:rtl/>
        </w:rPr>
        <w:t xml:space="preserve">، ص 468 ، ح 613 ، بسند آخر عن أبي جعفر </w:t>
      </w:r>
      <w:r w:rsidRPr="009D0A47">
        <w:rPr>
          <w:rStyle w:val="libFootnoteAlaemChar"/>
          <w:rtl/>
        </w:rPr>
        <w:t>عليه‌السلام</w:t>
      </w:r>
      <w:r w:rsidRPr="00132E65">
        <w:rPr>
          <w:rtl/>
        </w:rPr>
        <w:t xml:space="preserve"> ، مع زيادة واختلاف. </w:t>
      </w:r>
      <w:r w:rsidRPr="003C3275">
        <w:rPr>
          <w:rtl/>
        </w:rPr>
        <w:t>تفسير فرات</w:t>
      </w:r>
      <w:r w:rsidRPr="00132E65">
        <w:rPr>
          <w:rtl/>
        </w:rPr>
        <w:t xml:space="preserve"> ، ص 468 ، ح 612 ، من دون الإسناد إلى المعصوم </w:t>
      </w:r>
      <w:r w:rsidRPr="009D0A47">
        <w:rPr>
          <w:rStyle w:val="libFootnoteAlaemChar"/>
          <w:rtl/>
        </w:rPr>
        <w:t>عليه‌السلام</w:t>
      </w:r>
      <w:r w:rsidRPr="00132E65">
        <w:rPr>
          <w:rtl/>
        </w:rPr>
        <w:t xml:space="preserve"> ، مع اختلاف يسير</w:t>
      </w:r>
      <w:r w:rsidR="009D0A47">
        <w:rPr>
          <w:rFonts w:hint="cs"/>
          <w:rtl/>
        </w:rPr>
        <w:t>.</w:t>
      </w:r>
      <w:r w:rsidRPr="009D1ACE">
        <w:rPr>
          <w:rStyle w:val="libFootnoteBoldChar"/>
          <w:rtl/>
        </w:rPr>
        <w:t>الوافي</w:t>
      </w:r>
      <w:r w:rsidRPr="00132E65">
        <w:rPr>
          <w:rtl/>
        </w:rPr>
        <w:t xml:space="preserve"> ، ج 3 ، ص 901 ، ح 1566.</w:t>
      </w:r>
      <w:r w:rsidR="009D0A47">
        <w:rPr>
          <w:rFonts w:hint="cs"/>
          <w:rtl/>
        </w:rPr>
        <w:t xml:space="preserve">                  </w:t>
      </w:r>
      <w:r w:rsidR="00936037">
        <w:rPr>
          <w:rFonts w:hint="cs"/>
          <w:rtl/>
        </w:rPr>
        <w:t xml:space="preserve">          </w:t>
      </w:r>
      <w:r w:rsidR="009D0A47">
        <w:rPr>
          <w:rFonts w:hint="cs"/>
          <w:rtl/>
        </w:rPr>
        <w:t xml:space="preserve">     </w:t>
      </w:r>
      <w:r w:rsidR="005134D2">
        <w:rPr>
          <w:rFonts w:hint="cs"/>
          <w:rtl/>
        </w:rPr>
        <w:t xml:space="preserve"> </w:t>
      </w:r>
      <w:r w:rsidR="009D0A47">
        <w:rPr>
          <w:rFonts w:hint="cs"/>
          <w:rtl/>
        </w:rPr>
        <w:t xml:space="preserve"> </w:t>
      </w:r>
      <w:r>
        <w:rPr>
          <w:rtl/>
        </w:rPr>
        <w:t>(5).</w:t>
      </w:r>
      <w:r w:rsidRPr="00132E65">
        <w:rPr>
          <w:rtl/>
        </w:rPr>
        <w:t xml:space="preserve"> في شرح المازندراني :</w:t>
      </w:r>
      <w:r>
        <w:rPr>
          <w:rtl/>
        </w:rPr>
        <w:t xml:space="preserve"> + </w:t>
      </w:r>
      <w:r w:rsidRPr="00132E65">
        <w:rPr>
          <w:rtl/>
        </w:rPr>
        <w:t>« هو »</w:t>
      </w:r>
      <w:r>
        <w:rPr>
          <w:rtl/>
        </w:rPr>
        <w:t>.</w:t>
      </w:r>
    </w:p>
    <w:tbl>
      <w:tblPr>
        <w:tblStyle w:val="TableGrid"/>
        <w:bidiVisual/>
        <w:tblW w:w="0" w:type="auto"/>
        <w:tblLook w:val="04A0" w:firstRow="1" w:lastRow="0" w:firstColumn="1" w:lastColumn="0" w:noHBand="0" w:noVBand="1"/>
      </w:tblPr>
      <w:tblGrid>
        <w:gridCol w:w="4006"/>
        <w:gridCol w:w="4006"/>
      </w:tblGrid>
      <w:tr w:rsidR="009D0A47" w:rsidTr="009D0A47">
        <w:tc>
          <w:tcPr>
            <w:tcW w:w="4006" w:type="dxa"/>
          </w:tcPr>
          <w:p w:rsidR="009D0A47" w:rsidRDefault="009D0A47" w:rsidP="000C39D1">
            <w:pPr>
              <w:pStyle w:val="libFootnote0"/>
              <w:rPr>
                <w:rtl/>
              </w:rPr>
            </w:pPr>
            <w:r>
              <w:rPr>
                <w:rtl/>
              </w:rPr>
              <w:t>(6).</w:t>
            </w:r>
            <w:r w:rsidRPr="00132E65">
              <w:rPr>
                <w:rtl/>
              </w:rPr>
              <w:t xml:space="preserve"> في « بح » : « يقول »</w:t>
            </w:r>
            <w:r>
              <w:rPr>
                <w:rtl/>
              </w:rPr>
              <w:t>.</w:t>
            </w:r>
          </w:p>
        </w:tc>
        <w:tc>
          <w:tcPr>
            <w:tcW w:w="4006" w:type="dxa"/>
          </w:tcPr>
          <w:p w:rsidR="009D0A47" w:rsidRDefault="009D0A47" w:rsidP="000C39D1">
            <w:pPr>
              <w:pStyle w:val="libFootnote0"/>
              <w:rPr>
                <w:rtl/>
              </w:rPr>
            </w:pPr>
            <w:r>
              <w:rPr>
                <w:rtl/>
              </w:rPr>
              <w:t>(7).</w:t>
            </w:r>
            <w:r w:rsidRPr="00132E65">
              <w:rPr>
                <w:rtl/>
              </w:rPr>
              <w:t xml:space="preserve"> يونس </w:t>
            </w:r>
            <w:r>
              <w:rPr>
                <w:rtl/>
              </w:rPr>
              <w:t>(10)</w:t>
            </w:r>
            <w:r w:rsidRPr="00132E65">
              <w:rPr>
                <w:rtl/>
              </w:rPr>
              <w:t xml:space="preserve"> : 53.</w:t>
            </w:r>
          </w:p>
        </w:tc>
      </w:tr>
    </w:tbl>
    <w:p w:rsidR="000C39D1" w:rsidRPr="00132E65" w:rsidRDefault="000C39D1" w:rsidP="00106AC9">
      <w:pPr>
        <w:pStyle w:val="libFootnote0"/>
        <w:rPr>
          <w:rtl/>
          <w:lang w:bidi="fa-IR"/>
        </w:rPr>
      </w:pPr>
      <w:r>
        <w:rPr>
          <w:rtl/>
        </w:rPr>
        <w:t>(8).</w:t>
      </w:r>
      <w:r w:rsidRPr="00132E65">
        <w:rPr>
          <w:rtl/>
        </w:rPr>
        <w:t xml:space="preserve"> </w:t>
      </w:r>
      <w:r w:rsidRPr="003C3275">
        <w:rPr>
          <w:rtl/>
        </w:rPr>
        <w:t>الأمالي</w:t>
      </w:r>
      <w:r w:rsidRPr="00132E65">
        <w:rPr>
          <w:rtl/>
        </w:rPr>
        <w:t xml:space="preserve"> للصدوق ، ص 673 ، المجلس 96 ، ح 7 ، بسند آخر ؛ </w:t>
      </w:r>
      <w:r w:rsidRPr="003C3275">
        <w:rPr>
          <w:rtl/>
        </w:rPr>
        <w:t>تفسير العيّاشي</w:t>
      </w:r>
      <w:r w:rsidRPr="00132E65">
        <w:rPr>
          <w:rtl/>
        </w:rPr>
        <w:t xml:space="preserve"> ، ج 2 ، ص 123 ، ح 25 ، عن يحيى بن سعيد ، عن أبي عبد الله ، عن أبيه </w:t>
      </w:r>
      <w:r w:rsidRPr="009D0A47">
        <w:rPr>
          <w:rStyle w:val="libFootnoteAlaemChar"/>
          <w:rtl/>
        </w:rPr>
        <w:t>عليهما‌السلام</w:t>
      </w:r>
      <w:r w:rsidRPr="00132E65">
        <w:rPr>
          <w:rtl/>
        </w:rPr>
        <w:t xml:space="preserve"> ، مع اختلاف يسير ؛ </w:t>
      </w:r>
      <w:r w:rsidRPr="003C3275">
        <w:rPr>
          <w:rtl/>
        </w:rPr>
        <w:t>تفسير القمّي</w:t>
      </w:r>
      <w:r w:rsidRPr="00132E65">
        <w:rPr>
          <w:rtl/>
        </w:rPr>
        <w:t xml:space="preserve"> ، ج 1 ، ص 313 ؛ وج 2 ، ص 92 ، من دون الإسناد إلى المعصوم </w:t>
      </w:r>
      <w:r w:rsidRPr="009D0A47">
        <w:rPr>
          <w:rStyle w:val="libFootnoteAlaemChar"/>
          <w:rtl/>
        </w:rPr>
        <w:t>عليه‌السلام</w:t>
      </w:r>
      <w:r w:rsidRPr="00132E65">
        <w:rPr>
          <w:rtl/>
        </w:rPr>
        <w:t xml:space="preserve"> ، مع اختلاف يسير</w:t>
      </w:r>
      <w:r w:rsidR="00106AC9">
        <w:rPr>
          <w:rFonts w:hint="cs"/>
          <w:rtl/>
        </w:rPr>
        <w:t>.</w:t>
      </w:r>
      <w:r w:rsidRPr="009D1ACE">
        <w:rPr>
          <w:rStyle w:val="libFootnoteBoldChar"/>
          <w:rtl/>
        </w:rPr>
        <w:t>الوافي</w:t>
      </w:r>
      <w:r w:rsidRPr="00132E65">
        <w:rPr>
          <w:rtl/>
        </w:rPr>
        <w:t xml:space="preserve"> ، ج 3 ، ص 929 ، ح 1614 ؛ </w:t>
      </w:r>
      <w:r w:rsidRPr="003C3275">
        <w:rPr>
          <w:rtl/>
        </w:rPr>
        <w:t>البحار</w:t>
      </w:r>
      <w:r w:rsidRPr="00132E65">
        <w:rPr>
          <w:rtl/>
        </w:rPr>
        <w:t xml:space="preserve"> ، ج 24 ، ص 351 ، ح 68.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قُلْتُ لَهُ : جُعِلْتُ فِدَاكَ ، قَوْلُهُ تَعَالى : </w:t>
      </w:r>
      <w:r w:rsidRPr="00071CF9">
        <w:rPr>
          <w:rStyle w:val="libAlaemChar"/>
          <w:rtl/>
        </w:rPr>
        <w:t>(</w:t>
      </w:r>
      <w:r w:rsidRPr="00071CF9">
        <w:rPr>
          <w:rStyle w:val="libAieChar"/>
          <w:rtl/>
        </w:rPr>
        <w:t xml:space="preserve"> فَلَا اقْتَحَمَ الْعَقَبَةَ </w:t>
      </w:r>
      <w:r w:rsidRPr="00071CF9">
        <w:rPr>
          <w:rStyle w:val="libAlaemChar"/>
          <w:rtl/>
        </w:rPr>
        <w:t>)</w:t>
      </w:r>
      <w:r w:rsidRPr="00132E65">
        <w:rPr>
          <w:rtl/>
          <w:lang w:bidi="fa-IR"/>
        </w:rPr>
        <w:t xml:space="preserve"> </w:t>
      </w:r>
      <w:r>
        <w:rPr>
          <w:rStyle w:val="libFootnotenumChar"/>
          <w:rtl/>
        </w:rPr>
        <w:t>(1)</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(2)</w:t>
      </w:r>
      <w:r w:rsidRPr="00132E65">
        <w:rPr>
          <w:rtl/>
          <w:lang w:bidi="fa-IR"/>
        </w:rPr>
        <w:t xml:space="preserve"> : « مَنْ أَكْرَمَهُ اللهُ بِوَلَايَتِنَا فَقَدْ جَازَ الْعَقَبَةَ ، ونَحْنُ تِلْكَ الْعَقَبَةُ الَّتِي مَنِ اقْتَحَمَهَا </w:t>
      </w:r>
      <w:r>
        <w:rPr>
          <w:rStyle w:val="libFootnotenumChar"/>
          <w:rtl/>
        </w:rPr>
        <w:t>(3)</w:t>
      </w:r>
      <w:r w:rsidRPr="00132E65">
        <w:rPr>
          <w:rtl/>
          <w:lang w:bidi="fa-IR"/>
        </w:rPr>
        <w:t xml:space="preserve"> نَجَا »</w:t>
      </w:r>
      <w:r>
        <w:rPr>
          <w:rtl/>
          <w:lang w:bidi="fa-IR"/>
        </w:rPr>
        <w:t>.</w:t>
      </w:r>
    </w:p>
    <w:p w:rsidR="000C39D1" w:rsidRPr="00132E65" w:rsidRDefault="000C39D1" w:rsidP="000C39D1">
      <w:pPr>
        <w:pStyle w:val="libNormal"/>
        <w:rPr>
          <w:rtl/>
          <w:lang w:bidi="fa-IR"/>
        </w:rPr>
      </w:pPr>
      <w:r w:rsidRPr="00132E65">
        <w:rPr>
          <w:rtl/>
          <w:lang w:bidi="fa-IR"/>
        </w:rPr>
        <w:t xml:space="preserve">قَالَ : فَسَكَتَ ، فَقَالَ </w:t>
      </w:r>
      <w:r>
        <w:rPr>
          <w:rStyle w:val="libFootnotenumChar"/>
          <w:rtl/>
        </w:rPr>
        <w:t>(4)</w:t>
      </w:r>
      <w:r w:rsidRPr="00132E65">
        <w:rPr>
          <w:rtl/>
          <w:lang w:bidi="fa-IR"/>
        </w:rPr>
        <w:t xml:space="preserve"> لِي : « فَهَلاَّ أُفِيدُكَ حَرْفاً خَيْراً </w:t>
      </w:r>
      <w:r>
        <w:rPr>
          <w:rStyle w:val="libFootnotenumChar"/>
          <w:rtl/>
        </w:rPr>
        <w:t>(5)</w:t>
      </w:r>
      <w:r w:rsidRPr="00132E65">
        <w:rPr>
          <w:rtl/>
          <w:lang w:bidi="fa-IR"/>
        </w:rPr>
        <w:t xml:space="preserve"> لَكَ مِنَ الدُّنْيَا ومَا فِيهَا</w:t>
      </w:r>
      <w:r>
        <w:rPr>
          <w:rtl/>
          <w:lang w:bidi="fa-IR"/>
        </w:rPr>
        <w:t>؟</w:t>
      </w:r>
      <w:r w:rsidRPr="00132E65">
        <w:rPr>
          <w:rtl/>
          <w:lang w:bidi="fa-IR"/>
        </w:rPr>
        <w:t xml:space="preserve"> » قُلْتُ :بَلى جُعِلْتُ فِدَاكَ ، قَالَ : « قَوْلُهُ : </w:t>
      </w:r>
      <w:r w:rsidRPr="00071CF9">
        <w:rPr>
          <w:rStyle w:val="libAlaemChar"/>
          <w:rtl/>
        </w:rPr>
        <w:t>(</w:t>
      </w:r>
      <w:r w:rsidRPr="00071CF9">
        <w:rPr>
          <w:rStyle w:val="libAieChar"/>
          <w:rtl/>
        </w:rPr>
        <w:t xml:space="preserve"> فَكُّ رَقَبَةٍ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r w:rsidRPr="00132E65">
        <w:rPr>
          <w:rtl/>
          <w:lang w:bidi="fa-IR"/>
        </w:rPr>
        <w:t xml:space="preserve"> ثُمَّ قَالَ : « النَّاسُ كُلُّهُمْ عَبِيدُ النَّارِ غَيْرَكَ وَأَصْحَابِكَ ؛ فَإِنَّ اللهَ فَكَّ رِقَابَكُمْ مِنَ النَّارِ بِوَلَايَتِنَا أَهْلَ الْبَيْتِ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4C30C3">
        <w:rPr>
          <w:rtl/>
        </w:rPr>
        <w:t>1176</w:t>
      </w:r>
      <w:r w:rsidRPr="004325D8">
        <w:rPr>
          <w:rStyle w:val="libBold2Char"/>
          <w:rtl/>
        </w:rPr>
        <w:t xml:space="preserve"> / 89.</w:t>
      </w:r>
      <w:r w:rsidRPr="00132E65">
        <w:rPr>
          <w:rtl/>
          <w:lang w:bidi="fa-IR"/>
        </w:rPr>
        <w:t xml:space="preserve"> عَلِيُّ بْنُ إِبْرَاهِيمَ ، عَنْ أَبِيهِ ، عَنِ ابْنِ أَبِي عُمَيْرٍ ، عَنْ سَمَاعَةَ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جَلَّ وعَزَّ : </w:t>
      </w:r>
      <w:r w:rsidRPr="00071CF9">
        <w:rPr>
          <w:rStyle w:val="libAlaemChar"/>
          <w:rtl/>
        </w:rPr>
        <w:t>(</w:t>
      </w:r>
      <w:r w:rsidRPr="00071CF9">
        <w:rPr>
          <w:rStyle w:val="libAieChar"/>
          <w:rtl/>
        </w:rPr>
        <w:t xml:space="preserve"> وَأَوْفُوا بِعَهْدِي </w:t>
      </w:r>
      <w:r w:rsidRPr="00071CF9">
        <w:rPr>
          <w:rStyle w:val="libAlaemChar"/>
          <w:rtl/>
        </w:rPr>
        <w:t>)</w:t>
      </w:r>
      <w:r w:rsidRPr="00132E65">
        <w:rPr>
          <w:rtl/>
          <w:lang w:bidi="fa-IR"/>
        </w:rPr>
        <w:t xml:space="preserve"> قَالَ : « بِوَلَايَةِ أَمِيرِ الْمُؤْمِنِينَ </w:t>
      </w:r>
      <w:r w:rsidRPr="00071CF9">
        <w:rPr>
          <w:rStyle w:val="libAlaemChar"/>
          <w:rtl/>
        </w:rPr>
        <w:t>عليه‌السلام</w:t>
      </w:r>
      <w:r w:rsidRPr="00132E65">
        <w:rPr>
          <w:rtl/>
          <w:lang w:bidi="fa-IR"/>
        </w:rPr>
        <w:t xml:space="preserve"> » ، </w:t>
      </w:r>
      <w:r w:rsidRPr="00071CF9">
        <w:rPr>
          <w:rStyle w:val="libAlaemChar"/>
          <w:rtl/>
        </w:rPr>
        <w:t>(</w:t>
      </w:r>
      <w:r w:rsidRPr="00071CF9">
        <w:rPr>
          <w:rStyle w:val="libAieChar"/>
          <w:rtl/>
        </w:rPr>
        <w:t xml:space="preserve"> أُوفِ بِعَهْدِكُمْ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 « أُوفِ لَكُمْ بِالْجَنَّةِ </w:t>
      </w:r>
      <w:r>
        <w:rPr>
          <w:rStyle w:val="libFootnotenumChar"/>
          <w:rtl/>
        </w:rPr>
        <w:t>(9)</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06AC9" w:rsidTr="00106AC9">
        <w:tc>
          <w:tcPr>
            <w:tcW w:w="4006" w:type="dxa"/>
          </w:tcPr>
          <w:p w:rsidR="00106AC9" w:rsidRDefault="00106AC9" w:rsidP="000C39D1">
            <w:pPr>
              <w:pStyle w:val="libFootnote0"/>
              <w:rPr>
                <w:rtl/>
              </w:rPr>
            </w:pPr>
            <w:r>
              <w:rPr>
                <w:rtl/>
              </w:rPr>
              <w:t>(1).</w:t>
            </w:r>
            <w:r w:rsidRPr="00132E65">
              <w:rPr>
                <w:rtl/>
              </w:rPr>
              <w:t xml:space="preserve"> البلد (90) : 11.</w:t>
            </w:r>
          </w:p>
        </w:tc>
        <w:tc>
          <w:tcPr>
            <w:tcW w:w="4006" w:type="dxa"/>
          </w:tcPr>
          <w:p w:rsidR="00106AC9" w:rsidRDefault="00106AC9" w:rsidP="000C39D1">
            <w:pPr>
              <w:pStyle w:val="libFootnote0"/>
              <w:rPr>
                <w:rtl/>
              </w:rPr>
            </w:pPr>
            <w:r>
              <w:rPr>
                <w:rtl/>
              </w:rPr>
              <w:t>(2).</w:t>
            </w:r>
            <w:r w:rsidRPr="00132E65">
              <w:rPr>
                <w:rtl/>
              </w:rPr>
              <w:t xml:space="preserve"> في « ب » والبحار : « قال »</w:t>
            </w:r>
            <w:r>
              <w:rPr>
                <w:rtl/>
              </w:rPr>
              <w:t>.</w:t>
            </w:r>
          </w:p>
        </w:tc>
      </w:tr>
    </w:tbl>
    <w:p w:rsidR="000C39D1" w:rsidRPr="00132E65" w:rsidRDefault="000C39D1" w:rsidP="000C39D1">
      <w:pPr>
        <w:pStyle w:val="libFootnote0"/>
        <w:rPr>
          <w:rtl/>
          <w:lang w:bidi="fa-IR"/>
        </w:rPr>
      </w:pPr>
      <w:r>
        <w:rPr>
          <w:rtl/>
        </w:rPr>
        <w:t>(3).</w:t>
      </w:r>
      <w:r w:rsidRPr="00132E65">
        <w:rPr>
          <w:rtl/>
        </w:rPr>
        <w:t xml:space="preserve"> « اقتحمها » ، أي دخلها ووقع فيها. ويقال : اقتحم الإنسان الأمرَ العظيمَ وتقحّمه : إذا رمى نفسه فيه من غير رويّة وتثبّت. راجع : </w:t>
      </w:r>
      <w:r w:rsidRPr="004C30C3">
        <w:rPr>
          <w:rtl/>
        </w:rPr>
        <w:t>الصحاح</w:t>
      </w:r>
      <w:r w:rsidRPr="00132E65">
        <w:rPr>
          <w:rtl/>
        </w:rPr>
        <w:t xml:space="preserve"> ، ج 5 ، ص 2006 ؛ </w:t>
      </w:r>
      <w:r w:rsidRPr="004C30C3">
        <w:rPr>
          <w:rtl/>
        </w:rPr>
        <w:t>النهاية</w:t>
      </w:r>
      <w:r w:rsidRPr="00132E65">
        <w:rPr>
          <w:rtl/>
        </w:rPr>
        <w:t xml:space="preserve"> ، ج 5 ، ص 18 ( قحم )</w:t>
      </w:r>
      <w:r>
        <w:rPr>
          <w:rtl/>
        </w:rPr>
        <w:t>.</w:t>
      </w:r>
    </w:p>
    <w:p w:rsidR="000C39D1" w:rsidRPr="00132E65" w:rsidRDefault="000C39D1" w:rsidP="000C39D1">
      <w:pPr>
        <w:pStyle w:val="libFootnote0"/>
        <w:rPr>
          <w:rtl/>
          <w:lang w:bidi="fa-IR"/>
        </w:rPr>
      </w:pPr>
      <w:r>
        <w:rPr>
          <w:rtl/>
        </w:rPr>
        <w:t>(4).</w:t>
      </w:r>
      <w:r w:rsidRPr="00132E65">
        <w:rPr>
          <w:rtl/>
        </w:rPr>
        <w:t xml:space="preserve"> في « ب » : « وقال »</w:t>
      </w:r>
      <w:r>
        <w:rPr>
          <w:rtl/>
        </w:rPr>
        <w:t>.</w:t>
      </w:r>
    </w:p>
    <w:p w:rsidR="000C39D1" w:rsidRPr="00132E65" w:rsidRDefault="000C39D1" w:rsidP="00054E4B">
      <w:pPr>
        <w:pStyle w:val="libFootnote0"/>
        <w:rPr>
          <w:rtl/>
          <w:lang w:bidi="fa-IR"/>
        </w:rPr>
      </w:pPr>
      <w:r>
        <w:rPr>
          <w:rtl/>
        </w:rPr>
        <w:t>(5).</w:t>
      </w:r>
      <w:r w:rsidRPr="00132E65">
        <w:rPr>
          <w:rtl/>
        </w:rPr>
        <w:t xml:space="preserve"> هكذا في « ج ، بس » و</w:t>
      </w:r>
      <w:r w:rsidRPr="009D1ACE">
        <w:rPr>
          <w:rStyle w:val="libFootnoteBoldChar"/>
          <w:rtl/>
        </w:rPr>
        <w:t>مرآة العقول</w:t>
      </w:r>
      <w:r w:rsidRPr="00132E65">
        <w:rPr>
          <w:rtl/>
        </w:rPr>
        <w:t>. وهو الذي تقتضيه القواعد. وفي أكثر النسخ والمطبوع : « خير »</w:t>
      </w:r>
      <w:r>
        <w:rPr>
          <w:rtl/>
        </w:rPr>
        <w:t>.</w:t>
      </w:r>
      <w:r w:rsidRPr="00132E65">
        <w:rPr>
          <w:rtl/>
        </w:rPr>
        <w:t xml:space="preserve"> وهو خبر مبتدأ محذوف. والجملة منصوبة محلاًّ صفة « حرفاً »</w:t>
      </w:r>
      <w:r>
        <w:rPr>
          <w:rtl/>
        </w:rPr>
        <w:t>.</w:t>
      </w:r>
      <w:r w:rsidRPr="00132E65">
        <w:rPr>
          <w:rtl/>
        </w:rPr>
        <w:t xml:space="preserve"> ويمكن على بُعدٍ قراءة ما في النسخ بالإضافة ، أي : حرفا خيرٍ ، وهما : فكّ رقبة.</w:t>
      </w:r>
      <w:r w:rsidR="00054E4B">
        <w:rPr>
          <w:rFonts w:hint="cs"/>
          <w:rtl/>
        </w:rPr>
        <w:t xml:space="preserve">                               </w:t>
      </w:r>
      <w:r w:rsidR="00936037">
        <w:rPr>
          <w:rFonts w:hint="cs"/>
          <w:rtl/>
        </w:rPr>
        <w:t xml:space="preserve">           </w:t>
      </w:r>
      <w:r w:rsidR="00054E4B">
        <w:rPr>
          <w:rFonts w:hint="cs"/>
          <w:rtl/>
        </w:rPr>
        <w:t xml:space="preserve">     </w:t>
      </w:r>
      <w:r>
        <w:rPr>
          <w:rtl/>
        </w:rPr>
        <w:t>(6).</w:t>
      </w:r>
      <w:r w:rsidRPr="00132E65">
        <w:rPr>
          <w:rtl/>
        </w:rPr>
        <w:t xml:space="preserve"> البلد (90) : 13.</w:t>
      </w:r>
    </w:p>
    <w:p w:rsidR="000C39D1" w:rsidRPr="00132E65" w:rsidRDefault="000C39D1" w:rsidP="002015F2">
      <w:pPr>
        <w:pStyle w:val="libFootnote0"/>
        <w:rPr>
          <w:rtl/>
          <w:lang w:bidi="fa-IR"/>
        </w:rPr>
      </w:pPr>
      <w:r>
        <w:rPr>
          <w:rtl/>
        </w:rPr>
        <w:t>(7).</w:t>
      </w:r>
      <w:r w:rsidRPr="00132E65">
        <w:rPr>
          <w:rtl/>
        </w:rPr>
        <w:t xml:space="preserve"> </w:t>
      </w:r>
      <w:r w:rsidRPr="004C30C3">
        <w:rPr>
          <w:rtl/>
        </w:rPr>
        <w:t>فضائل الشيعة</w:t>
      </w:r>
      <w:r w:rsidRPr="00132E65">
        <w:rPr>
          <w:rtl/>
        </w:rPr>
        <w:t xml:space="preserve"> ، ص 26 ، ح 19 ، بسنده عن أبان بن تغلب ؛ </w:t>
      </w:r>
      <w:r w:rsidRPr="004C30C3">
        <w:rPr>
          <w:rtl/>
        </w:rPr>
        <w:t>تفسير فرات</w:t>
      </w:r>
      <w:r w:rsidRPr="00132E65">
        <w:rPr>
          <w:rtl/>
        </w:rPr>
        <w:t xml:space="preserve"> ، ص 558 ، ح 714 ، بسنده عن أبان ، مع اختلاف يسير ؛ </w:t>
      </w:r>
      <w:r w:rsidRPr="004C30C3">
        <w:rPr>
          <w:rtl/>
        </w:rPr>
        <w:t>تفسير فرات</w:t>
      </w:r>
      <w:r w:rsidRPr="00132E65">
        <w:rPr>
          <w:rtl/>
        </w:rPr>
        <w:t xml:space="preserve"> ، ص 557</w:t>
      </w:r>
      <w:r>
        <w:rPr>
          <w:rtl/>
        </w:rPr>
        <w:t xml:space="preserve"> - </w:t>
      </w:r>
      <w:r w:rsidRPr="00132E65">
        <w:rPr>
          <w:rtl/>
        </w:rPr>
        <w:t xml:space="preserve">558 ، ح 713 </w:t>
      </w:r>
      <w:r>
        <w:rPr>
          <w:rtl/>
        </w:rPr>
        <w:t>و 7</w:t>
      </w:r>
      <w:r w:rsidRPr="00132E65">
        <w:rPr>
          <w:rtl/>
        </w:rPr>
        <w:t xml:space="preserve">15 ، بسنده عن أبان بن تغلب ، عن أبي جعفر </w:t>
      </w:r>
      <w:r w:rsidRPr="00106AC9">
        <w:rPr>
          <w:rStyle w:val="libFootnoteAlaemChar"/>
          <w:rtl/>
        </w:rPr>
        <w:t>عليه‌السلام</w:t>
      </w:r>
      <w:r w:rsidRPr="00132E65">
        <w:rPr>
          <w:rtl/>
        </w:rPr>
        <w:t xml:space="preserve"> ، مع اختلاف يسير. </w:t>
      </w:r>
      <w:r w:rsidRPr="004C30C3">
        <w:rPr>
          <w:rtl/>
        </w:rPr>
        <w:t>تفسير القمّي</w:t>
      </w:r>
      <w:r w:rsidRPr="00132E65">
        <w:rPr>
          <w:rtl/>
        </w:rPr>
        <w:t xml:space="preserve"> ، ج 2 ، ص 422 ، من دون الإسناد إلى المعصوم </w:t>
      </w:r>
      <w:r w:rsidRPr="00106AC9">
        <w:rPr>
          <w:rStyle w:val="libFootnoteAlaemChar"/>
          <w:rtl/>
        </w:rPr>
        <w:t>عليه‌السلام</w:t>
      </w:r>
      <w:r w:rsidRPr="00132E65">
        <w:rPr>
          <w:rtl/>
        </w:rPr>
        <w:t xml:space="preserve"> ، وفيه قطعة مع اختلاف. وراجع : </w:t>
      </w:r>
      <w:r w:rsidRPr="000577A7">
        <w:rPr>
          <w:rStyle w:val="libFootnoteBoldChar"/>
          <w:rtl/>
        </w:rPr>
        <w:t>الكافي</w:t>
      </w:r>
      <w:r w:rsidRPr="00132E65">
        <w:rPr>
          <w:rtl/>
        </w:rPr>
        <w:t xml:space="preserve"> ، كتاب الحجّة ، باب فيه نكت ونتف من التنزيل في الولاية ، ح 1136</w:t>
      </w:r>
      <w:r w:rsidR="00054E4B">
        <w:rPr>
          <w:rFonts w:hint="cs"/>
          <w:rtl/>
        </w:rPr>
        <w:t>.</w:t>
      </w:r>
      <w:r w:rsidRPr="009D1ACE">
        <w:rPr>
          <w:rStyle w:val="libFootnoteBoldChar"/>
          <w:rtl/>
        </w:rPr>
        <w:t>الوافي</w:t>
      </w:r>
      <w:r w:rsidRPr="00132E65">
        <w:rPr>
          <w:rtl/>
        </w:rPr>
        <w:t xml:space="preserve"> ، ج 3 ، ص 893 ، ح 1544 ؛ </w:t>
      </w:r>
      <w:r w:rsidRPr="004C30C3">
        <w:rPr>
          <w:rtl/>
        </w:rPr>
        <w:t>البحار</w:t>
      </w:r>
      <w:r w:rsidRPr="00132E65">
        <w:rPr>
          <w:rtl/>
        </w:rPr>
        <w:t xml:space="preserve"> ، ج 24 ، ص 285 ، ح 12.</w:t>
      </w:r>
      <w:r w:rsidR="002015F2">
        <w:rPr>
          <w:rFonts w:hint="cs"/>
          <w:rtl/>
        </w:rPr>
        <w:t xml:space="preserve">  </w:t>
      </w:r>
      <w:r>
        <w:rPr>
          <w:rtl/>
        </w:rPr>
        <w:t>(8).</w:t>
      </w:r>
      <w:r w:rsidRPr="00132E65">
        <w:rPr>
          <w:rtl/>
        </w:rPr>
        <w:t xml:space="preserve"> البقرة </w:t>
      </w:r>
      <w:r w:rsidR="002015F2">
        <w:rPr>
          <w:rtl/>
        </w:rPr>
        <w:t>(2)</w:t>
      </w:r>
      <w:r w:rsidRPr="00132E65">
        <w:rPr>
          <w:rtl/>
        </w:rPr>
        <w:t xml:space="preserve"> : 40.</w:t>
      </w:r>
    </w:p>
    <w:p w:rsidR="000C39D1" w:rsidRPr="00132E65" w:rsidRDefault="000C39D1" w:rsidP="000C39D1">
      <w:pPr>
        <w:pStyle w:val="libFootnote0"/>
        <w:rPr>
          <w:rtl/>
          <w:lang w:bidi="fa-IR"/>
        </w:rPr>
      </w:pPr>
      <w:r>
        <w:rPr>
          <w:rtl/>
        </w:rPr>
        <w:t>(9).</w:t>
      </w:r>
      <w:r w:rsidRPr="00132E65">
        <w:rPr>
          <w:rtl/>
        </w:rPr>
        <w:t xml:space="preserve"> في « بح » وتفسير العيّاشي : « الجنّة »</w:t>
      </w:r>
      <w:r>
        <w:rPr>
          <w:rtl/>
        </w:rPr>
        <w:t>.</w:t>
      </w:r>
    </w:p>
    <w:p w:rsidR="000C39D1" w:rsidRPr="00132E65" w:rsidRDefault="000C39D1" w:rsidP="002015F2">
      <w:pPr>
        <w:pStyle w:val="libFootnote0"/>
        <w:rPr>
          <w:rtl/>
          <w:lang w:bidi="fa-IR"/>
        </w:rPr>
      </w:pPr>
      <w:r>
        <w:rPr>
          <w:rtl/>
        </w:rPr>
        <w:t>(10).</w:t>
      </w:r>
      <w:r w:rsidRPr="00132E65">
        <w:rPr>
          <w:rtl/>
        </w:rPr>
        <w:t xml:space="preserve"> </w:t>
      </w:r>
      <w:r w:rsidRPr="004C30C3">
        <w:rPr>
          <w:rtl/>
        </w:rPr>
        <w:t>تفسير فرات</w:t>
      </w:r>
      <w:r w:rsidRPr="00132E65">
        <w:rPr>
          <w:rtl/>
        </w:rPr>
        <w:t xml:space="preserve"> ، ص 58 ، ح 18 </w:t>
      </w:r>
      <w:r>
        <w:rPr>
          <w:rtl/>
        </w:rPr>
        <w:t>و 1</w:t>
      </w:r>
      <w:r w:rsidRPr="00132E65">
        <w:rPr>
          <w:rtl/>
        </w:rPr>
        <w:t xml:space="preserve">9 ، بسنده عن سماعة بن مهران ؛ </w:t>
      </w:r>
      <w:r w:rsidRPr="004C30C3">
        <w:rPr>
          <w:rtl/>
        </w:rPr>
        <w:t>تفسير العيّاشي</w:t>
      </w:r>
      <w:r w:rsidRPr="00132E65">
        <w:rPr>
          <w:rtl/>
        </w:rPr>
        <w:t xml:space="preserve"> ، ج 1 ، ص 42 ، ح 30 ، عن سماعة</w:t>
      </w:r>
      <w:r w:rsidR="002015F2">
        <w:rPr>
          <w:rFonts w:hint="cs"/>
          <w:rtl/>
        </w:rPr>
        <w:t>.</w:t>
      </w:r>
      <w:r w:rsidRPr="009D1ACE">
        <w:rPr>
          <w:rStyle w:val="libFootnoteBoldChar"/>
          <w:rtl/>
        </w:rPr>
        <w:t>الوافي</w:t>
      </w:r>
      <w:r w:rsidRPr="00132E65">
        <w:rPr>
          <w:rtl/>
        </w:rPr>
        <w:t xml:space="preserve"> ، ج 3 ، ص 901 ، ح 1567 ؛ </w:t>
      </w:r>
      <w:r w:rsidRPr="004C30C3">
        <w:rPr>
          <w:rtl/>
        </w:rPr>
        <w:t>البحار</w:t>
      </w:r>
      <w:r w:rsidRPr="00132E65">
        <w:rPr>
          <w:rtl/>
        </w:rPr>
        <w:t xml:space="preserve"> ، ج 24 ، ص 358 ، ح 77.</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4C30C3">
        <w:rPr>
          <w:rtl/>
        </w:rPr>
        <w:t>1177</w:t>
      </w:r>
      <w:r w:rsidRPr="004325D8">
        <w:rPr>
          <w:rStyle w:val="libBold2Char"/>
          <w:rtl/>
        </w:rPr>
        <w:t xml:space="preserve"> / 90.</w:t>
      </w:r>
      <w:r w:rsidRPr="00132E65">
        <w:rPr>
          <w:rtl/>
          <w:lang w:bidi="fa-IR"/>
        </w:rPr>
        <w:t xml:space="preserve"> مُحَمَّدُ بْنُ يَحْيى ، عَنْ سَلَمَةَ بْنِ الْخَطَّابِ ، عَنِ الْحَسَنِ بْنِ عَبْدِ الرَّحْمنِ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وَإِذا تُتْلى عَلَيْهِمْ آياتُنا بَيِّناتٍ قالَ الَّذِينَ كَفَرُوا لِلَّذِينَ آمَنُوا أَيُّ الْفَرِيقَيْنِ خَيْرٌ مَقاماً وَأَحْسَنُ نَدِيًّا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كَانَ رَسُولُ اللهِ </w:t>
      </w:r>
      <w:r w:rsidRPr="0093484F">
        <w:rPr>
          <w:rStyle w:val="libAlaemChar"/>
          <w:rFonts w:eastAsiaTheme="minorHAnsi"/>
          <w:rtl/>
        </w:rPr>
        <w:t>صلى‌الله‌عليه‌وآله</w:t>
      </w:r>
      <w:r w:rsidRPr="00132E65">
        <w:rPr>
          <w:rtl/>
          <w:lang w:bidi="fa-IR"/>
        </w:rPr>
        <w:t xml:space="preserve"> دَعَا قُرَيْشاً إِلى ولَايَتِنَا ، فَنَفَرُوا </w:t>
      </w:r>
      <w:r>
        <w:rPr>
          <w:rStyle w:val="libFootnotenumChar"/>
          <w:rtl/>
        </w:rPr>
        <w:t>(2)</w:t>
      </w:r>
      <w:r w:rsidRPr="00132E65">
        <w:rPr>
          <w:rtl/>
          <w:lang w:bidi="fa-IR"/>
        </w:rPr>
        <w:t xml:space="preserve"> وأَنْكَرُوا ، فَقَالَ الَّذِينَ كَفَرُوا مِنْ قُرَيْشٍ لِلَّذِينَ آمَنُوا</w:t>
      </w:r>
      <w:r>
        <w:rPr>
          <w:rtl/>
          <w:lang w:bidi="fa-IR"/>
        </w:rPr>
        <w:t xml:space="preserve"> - </w:t>
      </w:r>
      <w:r w:rsidRPr="00132E65">
        <w:rPr>
          <w:rtl/>
          <w:lang w:bidi="fa-IR"/>
        </w:rPr>
        <w:t xml:space="preserve">الَّذِينَ </w:t>
      </w:r>
      <w:r>
        <w:rPr>
          <w:rStyle w:val="libFootnotenumChar"/>
          <w:rtl/>
        </w:rPr>
        <w:t>(3)</w:t>
      </w:r>
      <w:r w:rsidRPr="00132E65">
        <w:rPr>
          <w:rtl/>
          <w:lang w:bidi="fa-IR"/>
        </w:rPr>
        <w:t xml:space="preserve"> أَقَرُّوا لِأَمِيرِ الْمُؤْمِنِينَ </w:t>
      </w:r>
      <w:r w:rsidRPr="00071CF9">
        <w:rPr>
          <w:rStyle w:val="libAlaemChar"/>
          <w:rtl/>
        </w:rPr>
        <w:t>عليه‌السلام</w:t>
      </w:r>
      <w:r w:rsidRPr="00132E65">
        <w:rPr>
          <w:rtl/>
          <w:lang w:bidi="fa-IR"/>
        </w:rPr>
        <w:t xml:space="preserve"> ولَنَا أَهْلَ الْبَيْتِ </w:t>
      </w:r>
      <w:r>
        <w:rPr>
          <w:rtl/>
          <w:lang w:bidi="fa-IR"/>
        </w:rPr>
        <w:t>- :</w:t>
      </w:r>
      <w:r w:rsidRPr="00132E65">
        <w:rPr>
          <w:rtl/>
          <w:lang w:bidi="fa-IR"/>
        </w:rPr>
        <w:t xml:space="preserve"> </w:t>
      </w:r>
      <w:r w:rsidRPr="00071CF9">
        <w:rPr>
          <w:rStyle w:val="libAlaemChar"/>
          <w:rtl/>
        </w:rPr>
        <w:t>(</w:t>
      </w:r>
      <w:r w:rsidRPr="00071CF9">
        <w:rPr>
          <w:rStyle w:val="libAieChar"/>
          <w:rtl/>
        </w:rPr>
        <w:t xml:space="preserve"> أَيُّ الْفَرِيقَيْنِ خَيْرٌ مَقاماً وَأَحْسَنُ نَدِيًّا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 تَعْيِيراً مِنْهُمْ. فَقَالَ اللهُ رَدّاً عَلَيْهِمْ : </w:t>
      </w:r>
      <w:r w:rsidRPr="00071CF9">
        <w:rPr>
          <w:rStyle w:val="libAlaemChar"/>
          <w:rtl/>
        </w:rPr>
        <w:t>(</w:t>
      </w:r>
      <w:r w:rsidRPr="00071CF9">
        <w:rPr>
          <w:rStyle w:val="libAieChar"/>
          <w:rtl/>
        </w:rPr>
        <w:t xml:space="preserve"> وَكَمْ أَهْلَكْنا قَبْلَهُمْ مِنْ قَرْنٍ </w:t>
      </w:r>
      <w:r w:rsidRPr="00071CF9">
        <w:rPr>
          <w:rStyle w:val="libAlaemChar"/>
          <w:rtl/>
        </w:rPr>
        <w:t>)</w:t>
      </w:r>
      <w:r w:rsidRPr="00132E65">
        <w:rPr>
          <w:rtl/>
          <w:lang w:bidi="fa-IR"/>
        </w:rPr>
        <w:t xml:space="preserve"> مِنَ الْأُمَمِ السَّالِفَةِ</w:t>
      </w:r>
      <w:r>
        <w:rPr>
          <w:rFonts w:hint="cs"/>
          <w:rtl/>
          <w:lang w:bidi="fa-IR"/>
        </w:rPr>
        <w:t xml:space="preserve"> </w:t>
      </w:r>
      <w:r w:rsidRPr="00071CF9">
        <w:rPr>
          <w:rStyle w:val="libAlaemChar"/>
          <w:rtl/>
        </w:rPr>
        <w:t>(</w:t>
      </w:r>
      <w:r w:rsidRPr="00071CF9">
        <w:rPr>
          <w:rStyle w:val="libAieChar"/>
          <w:rtl/>
        </w:rPr>
        <w:t xml:space="preserve"> هُمْ أَحْسَنُ أَثاثاً وَرِءْياً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مَنْ كانَ فِي الضَّلالَةِ فَلْيَمْدُدْ لَهُ الرَّحْمنُ مَدًّا </w:t>
      </w:r>
      <w:r w:rsidRPr="00071CF9">
        <w:rPr>
          <w:rStyle w:val="libAlaemChar"/>
          <w:rtl/>
        </w:rPr>
        <w:t>)</w:t>
      </w:r>
      <w:r>
        <w:rPr>
          <w:rtl/>
          <w:lang w:bidi="fa-IR"/>
        </w:rPr>
        <w:t>؟</w:t>
      </w:r>
      <w:r w:rsidRPr="00132E65">
        <w:rPr>
          <w:rtl/>
          <w:lang w:bidi="fa-IR"/>
        </w:rPr>
        <w:t xml:space="preserve"> قَالَ : « كُلُّهُمْ كَانُوا فِي الضَّلَالَةِ لَايُؤْمِنُونَ بِوَلَايَةِ أَمِيرِ الْمُؤْمِنِينَ </w:t>
      </w:r>
      <w:r w:rsidRPr="00071CF9">
        <w:rPr>
          <w:rStyle w:val="libAlaemChar"/>
          <w:rtl/>
        </w:rPr>
        <w:t>عليه‌السلام</w:t>
      </w:r>
      <w:r w:rsidRPr="00132E65">
        <w:rPr>
          <w:rtl/>
          <w:lang w:bidi="fa-IR"/>
        </w:rPr>
        <w:t xml:space="preserve"> ولَابِوَلَايَتِنَا ، فَكَانُوا ضَالِّينَ مُضِلِّينَ ، فَيَمُدُّ لَهُمْ فِي ضَلَالَتِهِمْ وطُغْيَانِهِمْ حَتّى يَمُوتُوا ، فَيُصَيِّرُهُمُ اللهُ شَرّاً مَكَاناً وأَضْعَفَ جُنْداً »</w:t>
      </w:r>
      <w:r>
        <w:rPr>
          <w:rtl/>
          <w:lang w:bidi="fa-IR"/>
        </w:rPr>
        <w:t>.</w:t>
      </w:r>
    </w:p>
    <w:p w:rsidR="000C39D1"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حَتّى إِذا رَأَوْا ما يُوعَدُونَ إِمَّا الْعَذابَ وَإِمَّا السّاعَةَ فَسَيَعْلَمُونَ مَنْ هُوَ شَرٌّ مَكاناً وَأَضْعَفُ جُنْداً </w:t>
      </w:r>
      <w:r w:rsidRPr="00071CF9">
        <w:rPr>
          <w:rStyle w:val="libAlaemChar"/>
          <w:rtl/>
        </w:rPr>
        <w:t>)</w:t>
      </w:r>
      <w:r w:rsidRPr="00132E65">
        <w:rPr>
          <w:rtl/>
          <w:lang w:bidi="fa-IR"/>
        </w:rPr>
        <w:t xml:space="preserve"> </w:t>
      </w:r>
      <w:r>
        <w:rPr>
          <w:rStyle w:val="libFootnotenumChar"/>
          <w:rtl/>
        </w:rPr>
        <w:t>(6)</w:t>
      </w:r>
      <w:r>
        <w:rPr>
          <w:rtl/>
          <w:lang w:bidi="fa-IR"/>
        </w:rPr>
        <w:t>؟</w:t>
      </w:r>
      <w:r w:rsidRPr="00132E65">
        <w:rPr>
          <w:rtl/>
          <w:lang w:bidi="fa-IR"/>
        </w:rPr>
        <w:t xml:space="preserve"> قَالَ : « أَمَّا قَوْلُهُ : </w:t>
      </w:r>
      <w:r w:rsidRPr="00071CF9">
        <w:rPr>
          <w:rStyle w:val="libAlaemChar"/>
          <w:rtl/>
        </w:rPr>
        <w:t>(</w:t>
      </w:r>
      <w:r w:rsidRPr="00071CF9">
        <w:rPr>
          <w:rStyle w:val="libAieChar"/>
          <w:rtl/>
        </w:rPr>
        <w:t xml:space="preserve"> حَتّى إِذا رَأَوْا ما يُوعَدُونَ </w:t>
      </w:r>
      <w:r w:rsidRPr="00071CF9">
        <w:rPr>
          <w:rStyle w:val="libAlaemChar"/>
          <w:rtl/>
        </w:rPr>
        <w:t>)</w:t>
      </w:r>
      <w:r w:rsidRPr="00132E65">
        <w:rPr>
          <w:rtl/>
          <w:lang w:bidi="fa-IR"/>
        </w:rPr>
        <w:t xml:space="preserve"> فَهُوَ خُرُوجُ الْقَائِمِ وهُوَ السَّاعَةُ </w:t>
      </w:r>
      <w:r>
        <w:rPr>
          <w:rStyle w:val="libFootnotenumChar"/>
          <w:rtl/>
        </w:rPr>
        <w:t>(7)</w:t>
      </w:r>
      <w:r w:rsidRPr="00132E65">
        <w:rPr>
          <w:rtl/>
          <w:lang w:bidi="fa-IR"/>
        </w:rPr>
        <w:t xml:space="preserve"> ، فَسَيَعْلَمُونَ ذلِكَ الْيَوْمَ و</w:t>
      </w:r>
      <w:r>
        <w:rPr>
          <w:rFonts w:hint="cs"/>
          <w:rtl/>
          <w:lang w:bidi="fa-IR"/>
        </w:rPr>
        <w:t xml:space="preserve"> </w:t>
      </w:r>
      <w:r>
        <w:rPr>
          <w:rStyle w:val="libFootnotenumChar"/>
          <w:rtl/>
        </w:rPr>
        <w:t>(8)</w:t>
      </w:r>
      <w:r w:rsidRPr="00132E65">
        <w:rPr>
          <w:rtl/>
          <w:lang w:bidi="fa-IR"/>
        </w:rPr>
        <w:t xml:space="preserve"> مَا نَزَلَ </w:t>
      </w:r>
      <w:r>
        <w:rPr>
          <w:rStyle w:val="libFootnotenumChar"/>
          <w:rtl/>
        </w:rPr>
        <w:t>(9)</w:t>
      </w:r>
      <w:r w:rsidRPr="00132E65">
        <w:rPr>
          <w:rtl/>
          <w:lang w:bidi="fa-IR"/>
        </w:rPr>
        <w:t xml:space="preserve"> بِهِمْ مِنَ اللهِ عَلى يَدَيْ قَائِمِهِ ، فَذلِكَ قَوْلُهُ :</w:t>
      </w:r>
      <w:r>
        <w:rPr>
          <w:rFonts w:hint="cs"/>
          <w:rtl/>
          <w:lang w:bidi="fa-IR"/>
        </w:rPr>
        <w:t xml:space="preserve"> </w:t>
      </w:r>
      <w:r w:rsidRPr="00071CF9">
        <w:rPr>
          <w:rStyle w:val="libAlaemChar"/>
          <w:rtl/>
        </w:rPr>
        <w:t>(</w:t>
      </w:r>
      <w:r w:rsidRPr="00071CF9">
        <w:rPr>
          <w:rStyle w:val="libAieChar"/>
          <w:rtl/>
        </w:rPr>
        <w:t xml:space="preserve"> مَنْ هُوَ شَرٌّ مَكاناً </w:t>
      </w:r>
      <w:r w:rsidRPr="00071CF9">
        <w:rPr>
          <w:rStyle w:val="libAlaemChar"/>
          <w:rtl/>
        </w:rPr>
        <w:t>)</w:t>
      </w:r>
      <w:r w:rsidRPr="00132E65">
        <w:rPr>
          <w:rtl/>
          <w:lang w:bidi="fa-IR"/>
        </w:rPr>
        <w:t xml:space="preserve"> يَعْنِي عِنْدَ الْقَائِمِ</w:t>
      </w:r>
      <w:r>
        <w:rPr>
          <w:rFonts w:hint="cs"/>
          <w:rtl/>
          <w:lang w:bidi="fa-IR"/>
        </w:rPr>
        <w:t xml:space="preserve"> </w:t>
      </w:r>
      <w:r w:rsidRPr="00071CF9">
        <w:rPr>
          <w:rStyle w:val="libAlaemChar"/>
          <w:rtl/>
        </w:rPr>
        <w:t>(</w:t>
      </w:r>
      <w:r w:rsidRPr="00071CF9">
        <w:rPr>
          <w:rStyle w:val="libAieChar"/>
          <w:rtl/>
        </w:rPr>
        <w:t xml:space="preserve"> وَأَضْعَفُ جُنْداً </w:t>
      </w:r>
      <w:r w:rsidRPr="00071CF9">
        <w:rPr>
          <w:rStyle w:val="libAlaemChar"/>
          <w:rtl/>
        </w:rPr>
        <w:t>)</w:t>
      </w:r>
      <w:r w:rsidRPr="00132E65">
        <w:rPr>
          <w:rtl/>
          <w:lang w:bidi="fa-IR"/>
        </w:rPr>
        <w:t xml:space="preserve"> »</w:t>
      </w:r>
      <w:r>
        <w:rPr>
          <w:rtl/>
          <w:lang w:bidi="fa-IR"/>
        </w:rPr>
        <w:t>.</w:t>
      </w:r>
    </w:p>
    <w:p w:rsidR="000C39D1" w:rsidRPr="00132E65" w:rsidRDefault="000C39D1" w:rsidP="000C39D1">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015F2" w:rsidTr="002015F2">
        <w:tc>
          <w:tcPr>
            <w:tcW w:w="4006" w:type="dxa"/>
          </w:tcPr>
          <w:p w:rsidR="002015F2" w:rsidRDefault="002015F2" w:rsidP="000C39D1">
            <w:pPr>
              <w:pStyle w:val="libFootnote0"/>
              <w:rPr>
                <w:rtl/>
              </w:rPr>
            </w:pPr>
            <w:r>
              <w:rPr>
                <w:rtl/>
              </w:rPr>
              <w:t>(1).</w:t>
            </w:r>
            <w:r w:rsidRPr="00132E65">
              <w:rPr>
                <w:rtl/>
              </w:rPr>
              <w:t xml:space="preserve"> مريم (19) : 73.</w:t>
            </w:r>
          </w:p>
        </w:tc>
        <w:tc>
          <w:tcPr>
            <w:tcW w:w="4006" w:type="dxa"/>
          </w:tcPr>
          <w:p w:rsidR="002015F2" w:rsidRDefault="002015F2" w:rsidP="000C39D1">
            <w:pPr>
              <w:pStyle w:val="libFootnote0"/>
              <w:rPr>
                <w:rtl/>
              </w:rPr>
            </w:pPr>
            <w:r>
              <w:rPr>
                <w:rtl/>
              </w:rPr>
              <w:t>(2).</w:t>
            </w:r>
            <w:r w:rsidRPr="00132E65">
              <w:rPr>
                <w:rtl/>
              </w:rPr>
              <w:t xml:space="preserve"> في « ف » : « فتنفّروا »</w:t>
            </w:r>
            <w:r>
              <w:rPr>
                <w:rtl/>
              </w:rPr>
              <w:t>.</w:t>
            </w:r>
          </w:p>
        </w:tc>
      </w:tr>
    </w:tbl>
    <w:p w:rsidR="000C39D1" w:rsidRPr="00132E65" w:rsidRDefault="000C39D1" w:rsidP="000C39D1">
      <w:pPr>
        <w:pStyle w:val="libFootnote0"/>
        <w:rPr>
          <w:rtl/>
          <w:lang w:bidi="fa-IR"/>
        </w:rPr>
      </w:pPr>
      <w:r>
        <w:rPr>
          <w:rtl/>
        </w:rPr>
        <w:t>(3).</w:t>
      </w:r>
      <w:r w:rsidRPr="00132E65">
        <w:rPr>
          <w:rtl/>
        </w:rPr>
        <w:t xml:space="preserve"> في « ج ، بف » </w:t>
      </w:r>
      <w:r>
        <w:rPr>
          <w:rtl/>
        </w:rPr>
        <w:t xml:space="preserve">: - </w:t>
      </w:r>
      <w:r w:rsidRPr="00132E65">
        <w:rPr>
          <w:rtl/>
        </w:rPr>
        <w:t>« الذين »</w:t>
      </w:r>
      <w:r>
        <w:rPr>
          <w:rtl/>
        </w:rPr>
        <w:t>.</w:t>
      </w:r>
    </w:p>
    <w:p w:rsidR="000C39D1" w:rsidRPr="00132E65" w:rsidRDefault="000C39D1" w:rsidP="00D820DB">
      <w:pPr>
        <w:pStyle w:val="libFootnote0"/>
        <w:rPr>
          <w:rtl/>
          <w:lang w:bidi="fa-IR"/>
        </w:rPr>
      </w:pPr>
      <w:r>
        <w:rPr>
          <w:rtl/>
        </w:rPr>
        <w:t>(4).</w:t>
      </w:r>
      <w:r w:rsidRPr="00132E65">
        <w:rPr>
          <w:rtl/>
        </w:rPr>
        <w:t xml:space="preserve"> « النَدِيُّ » : مجلس القوم ومتحدَّثهم ، وكذلك النَدْوَةُ والنادي وال</w:t>
      </w:r>
      <w:r w:rsidR="002015F2">
        <w:rPr>
          <w:rFonts w:hint="cs"/>
          <w:rtl/>
        </w:rPr>
        <w:t>ـ</w:t>
      </w:r>
      <w:r w:rsidRPr="00132E65">
        <w:rPr>
          <w:rtl/>
        </w:rPr>
        <w:t>مُنْتَدى. فإن تفرّق القوم فليس بنديّ. الصحاح ، ج 6 ، ص 2505 ( ندا )</w:t>
      </w:r>
      <w:r>
        <w:rPr>
          <w:rtl/>
        </w:rPr>
        <w:t>.</w:t>
      </w:r>
      <w:r w:rsidR="00D820DB">
        <w:rPr>
          <w:rFonts w:hint="cs"/>
          <w:rtl/>
        </w:rPr>
        <w:t xml:space="preserve">                         </w:t>
      </w:r>
      <w:r w:rsidR="00936037">
        <w:rPr>
          <w:rFonts w:hint="cs"/>
          <w:rtl/>
        </w:rPr>
        <w:t xml:space="preserve">        </w:t>
      </w:r>
      <w:r w:rsidR="00D820DB">
        <w:rPr>
          <w:rFonts w:hint="cs"/>
          <w:rtl/>
        </w:rPr>
        <w:t xml:space="preserve">   </w:t>
      </w:r>
      <w:r>
        <w:rPr>
          <w:rtl/>
        </w:rPr>
        <w:t>(5).</w:t>
      </w:r>
      <w:r w:rsidRPr="00132E65">
        <w:rPr>
          <w:rtl/>
        </w:rPr>
        <w:t xml:space="preserve"> مريم (19) : 74.</w:t>
      </w:r>
    </w:p>
    <w:p w:rsidR="000C39D1" w:rsidRPr="00132E65" w:rsidRDefault="000C39D1" w:rsidP="000C39D1">
      <w:pPr>
        <w:pStyle w:val="libFootnote0"/>
        <w:rPr>
          <w:rtl/>
          <w:lang w:bidi="fa-IR"/>
        </w:rPr>
      </w:pPr>
      <w:r>
        <w:rPr>
          <w:rtl/>
        </w:rPr>
        <w:t>(6).</w:t>
      </w:r>
      <w:r w:rsidRPr="00132E65">
        <w:rPr>
          <w:rtl/>
        </w:rPr>
        <w:t xml:space="preserve"> مريم (19) : 75.</w:t>
      </w:r>
    </w:p>
    <w:p w:rsidR="000C39D1" w:rsidRPr="00132E65" w:rsidRDefault="000C39D1" w:rsidP="00D820DB">
      <w:pPr>
        <w:pStyle w:val="libFootnote0"/>
        <w:rPr>
          <w:rtl/>
          <w:lang w:bidi="fa-IR"/>
        </w:rPr>
      </w:pPr>
      <w:r>
        <w:rPr>
          <w:rtl/>
        </w:rPr>
        <w:t>(7).</w:t>
      </w:r>
      <w:r w:rsidRPr="00132E65">
        <w:rPr>
          <w:rtl/>
        </w:rPr>
        <w:t xml:space="preserve"> في « ف » </w:t>
      </w:r>
      <w:r>
        <w:rPr>
          <w:rtl/>
        </w:rPr>
        <w:t xml:space="preserve">: - </w:t>
      </w:r>
      <w:r w:rsidR="00D820DB" w:rsidRPr="00D820DB">
        <w:rPr>
          <w:rStyle w:val="libFootnoteAlaemChar"/>
          <w:rFonts w:hint="cs"/>
          <w:rtl/>
        </w:rPr>
        <w:t>(</w:t>
      </w:r>
      <w:r w:rsidRPr="00D820DB">
        <w:rPr>
          <w:rStyle w:val="libFootnoteAieChar"/>
          <w:rtl/>
        </w:rPr>
        <w:t xml:space="preserve"> فَسَيَعْلَمُونَ مَنْ هُوَ شَرٌّ </w:t>
      </w:r>
      <w:r w:rsidR="00D820DB" w:rsidRPr="00D820DB">
        <w:rPr>
          <w:rStyle w:val="libFootnoteAlaemChar"/>
          <w:rFonts w:hint="cs"/>
          <w:rtl/>
        </w:rPr>
        <w:t>)</w:t>
      </w:r>
      <w:r>
        <w:rPr>
          <w:rtl/>
        </w:rPr>
        <w:t xml:space="preserve"> - </w:t>
      </w:r>
      <w:r w:rsidRPr="00132E65">
        <w:rPr>
          <w:rtl/>
        </w:rPr>
        <w:t>إلى</w:t>
      </w:r>
      <w:r>
        <w:rPr>
          <w:rtl/>
        </w:rPr>
        <w:t xml:space="preserve"> - </w:t>
      </w:r>
      <w:r w:rsidRPr="00132E65">
        <w:rPr>
          <w:rtl/>
        </w:rPr>
        <w:t>هو الساعة »</w:t>
      </w:r>
      <w:r>
        <w:rPr>
          <w:rtl/>
        </w:rPr>
        <w:t>.</w:t>
      </w:r>
    </w:p>
    <w:p w:rsidR="000C39D1" w:rsidRPr="00132E65" w:rsidRDefault="000C39D1" w:rsidP="00D820DB">
      <w:pPr>
        <w:pStyle w:val="libFootnote0"/>
        <w:rPr>
          <w:rtl/>
          <w:lang w:bidi="fa-IR"/>
        </w:rPr>
      </w:pPr>
      <w:r>
        <w:rPr>
          <w:rtl/>
        </w:rPr>
        <w:t>(8).</w:t>
      </w:r>
      <w:r w:rsidRPr="00132E65">
        <w:rPr>
          <w:rtl/>
        </w:rPr>
        <w:t xml:space="preserve"> في البحار ، ج 15 </w:t>
      </w:r>
      <w:r>
        <w:rPr>
          <w:rtl/>
        </w:rPr>
        <w:t xml:space="preserve">: - </w:t>
      </w:r>
      <w:r w:rsidRPr="00132E65">
        <w:rPr>
          <w:rtl/>
        </w:rPr>
        <w:t>«</w:t>
      </w:r>
      <w:r>
        <w:rPr>
          <w:rtl/>
        </w:rPr>
        <w:t xml:space="preserve"> و ».</w:t>
      </w:r>
      <w:r w:rsidRPr="00132E65">
        <w:rPr>
          <w:rtl/>
        </w:rPr>
        <w:t xml:space="preserve"> قال المجلسي في </w:t>
      </w:r>
      <w:r w:rsidRPr="009D1ACE">
        <w:rPr>
          <w:rStyle w:val="libFootnoteBoldChar"/>
          <w:rtl/>
        </w:rPr>
        <w:t>مرآة العقول</w:t>
      </w:r>
      <w:r w:rsidRPr="00132E65">
        <w:rPr>
          <w:rtl/>
        </w:rPr>
        <w:t xml:space="preserve"> : « والظاهر أنّ الواو زيد من النسّاخ » ، ونقل عن بعض النسخ عدم الواو.</w:t>
      </w:r>
      <w:r w:rsidR="00D820DB">
        <w:rPr>
          <w:rFonts w:hint="cs"/>
          <w:rtl/>
        </w:rPr>
        <w:t xml:space="preserve">                            </w:t>
      </w:r>
      <w:r w:rsidR="00936037">
        <w:rPr>
          <w:rFonts w:hint="cs"/>
          <w:rtl/>
        </w:rPr>
        <w:t xml:space="preserve">        </w:t>
      </w:r>
      <w:r w:rsidR="00D820DB">
        <w:rPr>
          <w:rFonts w:hint="cs"/>
          <w:rtl/>
        </w:rPr>
        <w:t xml:space="preserve">   </w:t>
      </w:r>
      <w:r>
        <w:rPr>
          <w:rtl/>
        </w:rPr>
        <w:t>(9).</w:t>
      </w:r>
      <w:r w:rsidRPr="00132E65">
        <w:rPr>
          <w:rtl/>
        </w:rPr>
        <w:t xml:space="preserve"> في « ف ، بس » : « ما ينزل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وَيَزِيدُ اللهُ الَّذِينَ اهْتَدَوْا هُدىً </w:t>
      </w:r>
      <w:r w:rsidRPr="00071CF9">
        <w:rPr>
          <w:rStyle w:val="libAlaemChar"/>
          <w:rtl/>
        </w:rPr>
        <w:t>)</w:t>
      </w:r>
      <w:r w:rsidRPr="00132E65">
        <w:rPr>
          <w:rtl/>
          <w:lang w:bidi="fa-IR"/>
        </w:rPr>
        <w:t xml:space="preserve"> </w:t>
      </w:r>
      <w:r>
        <w:rPr>
          <w:rStyle w:val="libFootnotenumChar"/>
          <w:rtl/>
        </w:rPr>
        <w:t>(1)</w:t>
      </w:r>
      <w:r>
        <w:rPr>
          <w:rtl/>
          <w:lang w:bidi="fa-IR"/>
        </w:rPr>
        <w:t>؟</w:t>
      </w:r>
      <w:r w:rsidRPr="00132E65">
        <w:rPr>
          <w:rtl/>
          <w:lang w:bidi="fa-IR"/>
        </w:rPr>
        <w:t xml:space="preserve"> قَالَ : « يَزِيدُهُمْ ذلِكَ الْيَوْمَ هُدًى عَلى هُدًى بِاتِّبَاعِهِمُ الْقَائِمَ حَيْثُ لَايَجْحَدُونَهُ ولَايُنْكِرُونَهُ »</w:t>
      </w:r>
      <w:r>
        <w:rPr>
          <w:rtl/>
          <w:lang w:bidi="fa-IR"/>
        </w:rPr>
        <w:t>.</w:t>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w:t>
      </w:r>
      <w:r w:rsidR="00EF62F5">
        <w:rPr>
          <w:rStyle w:val="libAieChar"/>
          <w:rtl/>
        </w:rPr>
        <w:t>لا يَمْلِكُونَ الشَّفاعَةَ إِل</w:t>
      </w:r>
      <w:r w:rsidR="00EF62F5">
        <w:rPr>
          <w:rStyle w:val="libAieChar"/>
          <w:rFonts w:hint="cs"/>
          <w:rtl/>
        </w:rPr>
        <w:t>ّ</w:t>
      </w:r>
      <w:r w:rsidR="00EF62F5">
        <w:rPr>
          <w:rStyle w:val="libAieChar"/>
          <w:rtl/>
        </w:rPr>
        <w:t>ا</w:t>
      </w:r>
      <w:r w:rsidRPr="00071CF9">
        <w:rPr>
          <w:rStyle w:val="libAieChar"/>
          <w:rtl/>
        </w:rPr>
        <w:t xml:space="preserve"> مَنِ اتَّخَذَ عِنْدَ الرَّحْمنِ عَهْداً </w:t>
      </w:r>
      <w:r w:rsidRPr="00071CF9">
        <w:rPr>
          <w:rStyle w:val="libAlaemChar"/>
          <w:rtl/>
        </w:rPr>
        <w:t>)</w:t>
      </w:r>
      <w:r w:rsidRPr="00132E65">
        <w:rPr>
          <w:rtl/>
          <w:lang w:bidi="fa-IR"/>
        </w:rPr>
        <w:t xml:space="preserve"> </w:t>
      </w:r>
      <w:r>
        <w:rPr>
          <w:rStyle w:val="libFootnotenumChar"/>
          <w:rtl/>
        </w:rPr>
        <w:t>(2)</w:t>
      </w:r>
      <w:r>
        <w:rPr>
          <w:rtl/>
          <w:lang w:bidi="fa-IR"/>
        </w:rPr>
        <w:t>؟</w:t>
      </w:r>
      <w:r w:rsidR="00EF62F5">
        <w:rPr>
          <w:rtl/>
          <w:lang w:bidi="fa-IR"/>
        </w:rPr>
        <w:t xml:space="preserve"> قَالَ : « إِل</w:t>
      </w:r>
      <w:r w:rsidR="00EF62F5">
        <w:rPr>
          <w:rFonts w:hint="cs"/>
          <w:rtl/>
          <w:lang w:bidi="fa-IR"/>
        </w:rPr>
        <w:t>َّ</w:t>
      </w:r>
      <w:r w:rsidR="00EF62F5">
        <w:rPr>
          <w:rtl/>
          <w:lang w:bidi="fa-IR"/>
        </w:rPr>
        <w:t>ا</w:t>
      </w:r>
      <w:r w:rsidRPr="00132E65">
        <w:rPr>
          <w:rtl/>
          <w:lang w:bidi="fa-IR"/>
        </w:rPr>
        <w:t xml:space="preserve"> </w:t>
      </w:r>
      <w:r>
        <w:rPr>
          <w:rStyle w:val="libFootnotenumChar"/>
          <w:rtl/>
        </w:rPr>
        <w:t>(3)</w:t>
      </w:r>
      <w:r w:rsidRPr="00132E65">
        <w:rPr>
          <w:rtl/>
          <w:lang w:bidi="fa-IR"/>
        </w:rPr>
        <w:t xml:space="preserve"> مَنْ دَانَ اللهَ بِوَلَايَةِ أَمِيرِ الْمُؤْمِنِينَ والْأَئِمَّةِ </w:t>
      </w:r>
      <w:r w:rsidRPr="00071CF9">
        <w:rPr>
          <w:rStyle w:val="libAlaemChar"/>
          <w:rtl/>
        </w:rPr>
        <w:t>عليهم‌السلام</w:t>
      </w:r>
      <w:r w:rsidRPr="00132E65">
        <w:rPr>
          <w:rtl/>
          <w:lang w:bidi="fa-IR"/>
        </w:rPr>
        <w:t xml:space="preserve"> مِنْ بَعْدِهِ ، فَهُوَ الْعَهْدُ عِنْدَ اللهِ »</w:t>
      </w:r>
      <w:r>
        <w:rPr>
          <w:rtl/>
          <w:lang w:bidi="fa-IR"/>
        </w:rPr>
        <w:t>.</w:t>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إِنَّ الَّذِينَ آمَنُوا وَعَمِلُوا الصّالِحاتِ سَيَجْعَلُ لَهُمُ الرَّحْمنُ وُدًّا </w:t>
      </w:r>
      <w:r w:rsidRPr="00071CF9">
        <w:rPr>
          <w:rStyle w:val="libAlaemChar"/>
          <w:rtl/>
        </w:rPr>
        <w:t>)</w:t>
      </w:r>
      <w:r w:rsidRPr="00132E65">
        <w:rPr>
          <w:rtl/>
          <w:lang w:bidi="fa-IR"/>
        </w:rPr>
        <w:t xml:space="preserve"> </w:t>
      </w:r>
      <w:r>
        <w:rPr>
          <w:rStyle w:val="libFootnotenumChar"/>
          <w:rtl/>
        </w:rPr>
        <w:t>(4)</w:t>
      </w:r>
      <w:r>
        <w:rPr>
          <w:rtl/>
          <w:lang w:bidi="fa-IR"/>
        </w:rPr>
        <w:t>؟</w:t>
      </w:r>
      <w:r w:rsidRPr="00132E65">
        <w:rPr>
          <w:rtl/>
          <w:lang w:bidi="fa-IR"/>
        </w:rPr>
        <w:t xml:space="preserve"> قَالَ :</w:t>
      </w:r>
      <w:r>
        <w:rPr>
          <w:rFonts w:hint="cs"/>
          <w:rtl/>
          <w:lang w:bidi="fa-IR"/>
        </w:rPr>
        <w:t xml:space="preserve"> </w:t>
      </w:r>
      <w:r w:rsidRPr="00132E65">
        <w:rPr>
          <w:rtl/>
          <w:lang w:bidi="fa-IR"/>
        </w:rPr>
        <w:t xml:space="preserve">« وَلَايَةُ أَمِيرِ الْمُؤْمِنِينَ </w:t>
      </w:r>
      <w:r w:rsidRPr="00071CF9">
        <w:rPr>
          <w:rStyle w:val="libAlaemChar"/>
          <w:rtl/>
        </w:rPr>
        <w:t>عليه‌السلام</w:t>
      </w:r>
      <w:r w:rsidRPr="00132E65">
        <w:rPr>
          <w:rtl/>
          <w:lang w:bidi="fa-IR"/>
        </w:rPr>
        <w:t xml:space="preserve"> هِيَ الْوُدُّ الَّذِي قَالَ اللهُ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فَإِنَّما يَسَّرْناهُ بِلِسانِكَ لِتُبَشِّرَ بِهِ الْمُتَّقِينَ وَتُنْذِرَ بِهِ قَوْماً لُدًّا </w:t>
      </w:r>
      <w:r w:rsidRPr="00071CF9">
        <w:rPr>
          <w:rStyle w:val="libAlaemChar"/>
          <w:rtl/>
        </w:rPr>
        <w:t>)</w:t>
      </w:r>
      <w:r w:rsidRPr="00132E65">
        <w:rPr>
          <w:rtl/>
          <w:lang w:bidi="fa-IR"/>
        </w:rPr>
        <w:t xml:space="preserve"> </w:t>
      </w:r>
      <w:r>
        <w:rPr>
          <w:rStyle w:val="libFootnotenumChar"/>
          <w:rtl/>
        </w:rPr>
        <w:t>(5)</w:t>
      </w:r>
      <w:r>
        <w:rPr>
          <w:rtl/>
          <w:lang w:bidi="fa-IR"/>
        </w:rPr>
        <w:t>؟</w:t>
      </w:r>
      <w:r w:rsidRPr="00132E65">
        <w:rPr>
          <w:rtl/>
          <w:lang w:bidi="fa-IR"/>
        </w:rPr>
        <w:t xml:space="preserve"> قَالَ : « إِنَّمَا يَسَّرَهُ </w:t>
      </w:r>
      <w:r>
        <w:rPr>
          <w:rStyle w:val="libFootnotenumChar"/>
          <w:rtl/>
        </w:rPr>
        <w:t>(6)</w:t>
      </w:r>
      <w:r w:rsidRPr="00132E65">
        <w:rPr>
          <w:rtl/>
          <w:lang w:bidi="fa-IR"/>
        </w:rPr>
        <w:t xml:space="preserve"> اللهُ </w:t>
      </w:r>
      <w:r>
        <w:rPr>
          <w:rStyle w:val="libFootnotenumChar"/>
          <w:rtl/>
        </w:rPr>
        <w:t>(7)</w:t>
      </w:r>
      <w:r w:rsidRPr="00132E65">
        <w:rPr>
          <w:rtl/>
          <w:lang w:bidi="fa-IR"/>
        </w:rPr>
        <w:t xml:space="preserve"> عَلى لِسَانِهِ </w:t>
      </w:r>
      <w:r>
        <w:rPr>
          <w:rStyle w:val="libFootnotenumChar"/>
          <w:rtl/>
        </w:rPr>
        <w:t>(8)</w:t>
      </w:r>
      <w:r w:rsidRPr="00132E65">
        <w:rPr>
          <w:rtl/>
          <w:lang w:bidi="fa-IR"/>
        </w:rPr>
        <w:t xml:space="preserve"> حِينَ أَقَامَ أَمِيرَ الْمُؤْمِنِينَ </w:t>
      </w:r>
      <w:r>
        <w:rPr>
          <w:rStyle w:val="libFootnotenumChar"/>
          <w:rtl/>
        </w:rPr>
        <w:t>(9)</w:t>
      </w:r>
      <w:r w:rsidRPr="00132E65">
        <w:rPr>
          <w:rtl/>
          <w:lang w:bidi="fa-IR"/>
        </w:rPr>
        <w:t xml:space="preserve"> </w:t>
      </w:r>
      <w:r w:rsidRPr="00071CF9">
        <w:rPr>
          <w:rStyle w:val="libAlaemChar"/>
          <w:rtl/>
        </w:rPr>
        <w:t>عليه‌السلام</w:t>
      </w:r>
      <w:r w:rsidRPr="00132E65">
        <w:rPr>
          <w:rtl/>
          <w:lang w:bidi="fa-IR"/>
        </w:rPr>
        <w:t xml:space="preserve"> عَلَماً ، فَبَشَّرَ بِهِ الْمُؤْمِنِينَ ، وأَنْذَرَ بِهِ الْكَافِرِينَ ، وهُمُ الَّذِينَ ذَكَرَهُمُ اللهُ فِي كِتَابِهِ لُدّاً </w:t>
      </w:r>
      <w:r>
        <w:rPr>
          <w:rStyle w:val="libFootnotenumChar"/>
          <w:rtl/>
        </w:rPr>
        <w:t>(10)</w:t>
      </w:r>
      <w:r w:rsidRPr="00132E65">
        <w:rPr>
          <w:rtl/>
          <w:lang w:bidi="fa-IR"/>
        </w:rPr>
        <w:t xml:space="preserve"> أَيْ كُفَّاراً »</w:t>
      </w:r>
      <w:r>
        <w:rPr>
          <w:rtl/>
          <w:lang w:bidi="fa-IR"/>
        </w:rPr>
        <w:t>.</w:t>
      </w:r>
    </w:p>
    <w:p w:rsidR="000C39D1" w:rsidRPr="00132E65" w:rsidRDefault="000C39D1" w:rsidP="000C39D1">
      <w:pPr>
        <w:pStyle w:val="libNormal"/>
        <w:rPr>
          <w:rtl/>
          <w:lang w:bidi="fa-IR"/>
        </w:rPr>
      </w:pPr>
      <w:r w:rsidRPr="00132E65">
        <w:rPr>
          <w:rtl/>
          <w:lang w:bidi="fa-IR"/>
        </w:rPr>
        <w:t xml:space="preserve">قَالَ : وسَأَلْتُهُ عَنْ قَوْلِ اللهِ : </w:t>
      </w:r>
      <w:r w:rsidRPr="00071CF9">
        <w:rPr>
          <w:rStyle w:val="libAlaemChar"/>
          <w:rtl/>
        </w:rPr>
        <w:t>(</w:t>
      </w:r>
      <w:r w:rsidRPr="00071CF9">
        <w:rPr>
          <w:rStyle w:val="libAieChar"/>
          <w:rtl/>
        </w:rPr>
        <w:t xml:space="preserve"> لِتُنْذِرَ قَوْماً ما أُنْذِرَ آباؤُهُمْ فَهُمْ غافِلُونَ </w:t>
      </w:r>
      <w:r w:rsidRPr="00071CF9">
        <w:rPr>
          <w:rStyle w:val="libAlaemChar"/>
          <w:rtl/>
        </w:rPr>
        <w:t>)</w:t>
      </w:r>
      <w:r w:rsidRPr="00132E65">
        <w:rPr>
          <w:rtl/>
          <w:lang w:bidi="fa-IR"/>
        </w:rPr>
        <w:t xml:space="preserve"> قَالَ : « لِتُنْذِرَ الْقَوْمَ الَّذِينَ </w:t>
      </w:r>
      <w:r>
        <w:rPr>
          <w:rStyle w:val="libFootnotenumChar"/>
          <w:rtl/>
        </w:rPr>
        <w:t>(11)</w:t>
      </w:r>
      <w:r w:rsidRPr="00132E65">
        <w:rPr>
          <w:rtl/>
          <w:lang w:bidi="fa-IR"/>
        </w:rPr>
        <w:t xml:space="preserve"> أَنْتَ فِيهِمْ كَمَا أُنْذِرَ آبَاؤُهُمْ ، فَهُمْ غَافِلُونَ عَنِ اللهِ وعَنْ رَسُولِهِ وعَنْ وَعِيدِهِ</w:t>
      </w:r>
      <w:r>
        <w:rPr>
          <w:rFonts w:hint="cs"/>
          <w:rtl/>
          <w:lang w:bidi="fa-IR"/>
        </w:rPr>
        <w:t xml:space="preserve"> </w:t>
      </w:r>
      <w:r w:rsidRPr="00071CF9">
        <w:rPr>
          <w:rStyle w:val="libAlaemChar"/>
          <w:rtl/>
        </w:rPr>
        <w:t>(</w:t>
      </w:r>
      <w:r w:rsidRPr="00071CF9">
        <w:rPr>
          <w:rStyle w:val="libAieChar"/>
          <w:rtl/>
        </w:rPr>
        <w:t xml:space="preserve"> لَقَدْ حَقَّ الْقَوْلُ عَلى أَكْثَرِهِمْ </w:t>
      </w:r>
      <w:r w:rsidRPr="00071CF9">
        <w:rPr>
          <w:rStyle w:val="libAlaemChar"/>
          <w:rtl/>
        </w:rPr>
        <w:t>)</w:t>
      </w:r>
      <w:r w:rsidRPr="00132E65">
        <w:rPr>
          <w:rtl/>
          <w:lang w:bidi="fa-IR"/>
        </w:rPr>
        <w:t xml:space="preserve"> مِمَّنْ لَايُقِرُّونَ بِوَلَايَةِ </w:t>
      </w:r>
      <w:r>
        <w:rPr>
          <w:rStyle w:val="libFootnotenumChar"/>
          <w:rtl/>
        </w:rPr>
        <w:t>(12)</w:t>
      </w:r>
      <w:r w:rsidRPr="00132E65">
        <w:rPr>
          <w:rtl/>
          <w:lang w:bidi="fa-IR"/>
        </w:rPr>
        <w:t xml:space="preserve"> أَمِيرِ الْمُؤْمِنِينَ والْأَئِمَّةِ </w:t>
      </w:r>
      <w:r w:rsidRPr="00071CF9">
        <w:rPr>
          <w:rStyle w:val="libAlaemChar"/>
          <w:rtl/>
        </w:rPr>
        <w:t>عليهم‌السلام</w:t>
      </w:r>
      <w:r w:rsidRPr="00132E65">
        <w:rPr>
          <w:rtl/>
          <w:lang w:bidi="fa-IR"/>
        </w:rPr>
        <w:t xml:space="preserve"> مِنْ بَعْدِهِ</w:t>
      </w:r>
      <w:r>
        <w:rPr>
          <w:rFonts w:hint="cs"/>
          <w:rtl/>
          <w:lang w:bidi="fa-IR"/>
        </w:rPr>
        <w:t xml:space="preserve"> </w:t>
      </w:r>
      <w:r w:rsidRPr="00071CF9">
        <w:rPr>
          <w:rStyle w:val="libAlaemChar"/>
          <w:rtl/>
        </w:rPr>
        <w:t>(</w:t>
      </w:r>
      <w:r w:rsidRPr="00071CF9">
        <w:rPr>
          <w:rStyle w:val="libAieChar"/>
          <w:rtl/>
        </w:rPr>
        <w:t xml:space="preserve"> فَهُمْ لا يُؤْمِنُونَ </w:t>
      </w:r>
      <w:r w:rsidRPr="00071CF9">
        <w:rPr>
          <w:rStyle w:val="libAlaemChar"/>
          <w:rtl/>
        </w:rPr>
        <w:t>)</w:t>
      </w:r>
      <w:r w:rsidRPr="00132E65">
        <w:rPr>
          <w:rtl/>
          <w:lang w:bidi="fa-IR"/>
        </w:rPr>
        <w:t xml:space="preserve"> بِإِمَامَةِ أَمِيرِ الْمُؤْمِنِينَ والْأَوْصِيَاءِ مِنْ بَعْدِهِ ، فَلَمَّا لَمْ يُقِرُّوا ، كَانَتْ </w:t>
      </w:r>
      <w:r w:rsidRPr="00F543F1">
        <w:rPr>
          <w:rStyle w:val="libFootnotenumChar"/>
          <w:rtl/>
        </w:rPr>
        <w:t>(13)</w:t>
      </w:r>
      <w:r w:rsidRPr="00132E65">
        <w:rPr>
          <w:rtl/>
          <w:lang w:bidi="fa-IR"/>
        </w:rPr>
        <w:t xml:space="preserve"> عُقُوبَتُهُمْ مَا ذَكَرَ </w:t>
      </w:r>
      <w:r w:rsidRPr="00F543F1">
        <w:rPr>
          <w:rStyle w:val="libFootnotenumChar"/>
          <w:rtl/>
        </w:rPr>
        <w:t>(14)</w:t>
      </w:r>
      <w:r w:rsidRPr="00132E65">
        <w:rPr>
          <w:rtl/>
          <w:lang w:bidi="fa-IR"/>
        </w:rPr>
        <w:t xml:space="preserve"> اللهُ : </w:t>
      </w:r>
      <w:r w:rsidRPr="00071CF9">
        <w:rPr>
          <w:rStyle w:val="libAlaemChar"/>
          <w:rtl/>
        </w:rPr>
        <w:t>(</w:t>
      </w:r>
      <w:r w:rsidRPr="00071CF9">
        <w:rPr>
          <w:rStyle w:val="libAieChar"/>
          <w:rtl/>
        </w:rPr>
        <w:t xml:space="preserve"> إِنّا جَعَلْنا فِي أَعْناقِهِمْ أَغْلالاً فَهِيَ إِلَى الْأَذْقانِ فَهُمْ مُقْمَحُونَ </w:t>
      </w:r>
      <w:r w:rsidRPr="00071CF9">
        <w:rPr>
          <w:rStyle w:val="libAlaemChar"/>
          <w:rtl/>
        </w:rPr>
        <w:t>)</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F62F5" w:rsidTr="00EF62F5">
        <w:tc>
          <w:tcPr>
            <w:tcW w:w="4006" w:type="dxa"/>
          </w:tcPr>
          <w:p w:rsidR="00EF62F5" w:rsidRDefault="00EF62F5" w:rsidP="000C39D1">
            <w:pPr>
              <w:pStyle w:val="libFootnote0"/>
              <w:rPr>
                <w:rtl/>
              </w:rPr>
            </w:pPr>
            <w:r>
              <w:rPr>
                <w:rtl/>
              </w:rPr>
              <w:t>(1).</w:t>
            </w:r>
            <w:r w:rsidRPr="00132E65">
              <w:rPr>
                <w:rtl/>
              </w:rPr>
              <w:t xml:space="preserve"> مريم (19) : 76.</w:t>
            </w:r>
          </w:p>
        </w:tc>
        <w:tc>
          <w:tcPr>
            <w:tcW w:w="4006" w:type="dxa"/>
          </w:tcPr>
          <w:p w:rsidR="00EF62F5" w:rsidRDefault="00EF62F5" w:rsidP="000C39D1">
            <w:pPr>
              <w:pStyle w:val="libFootnote0"/>
              <w:rPr>
                <w:rtl/>
              </w:rPr>
            </w:pPr>
            <w:r>
              <w:rPr>
                <w:rtl/>
              </w:rPr>
              <w:t>(2).</w:t>
            </w:r>
            <w:r w:rsidRPr="00132E65">
              <w:rPr>
                <w:rtl/>
              </w:rPr>
              <w:t xml:space="preserve"> مريم (19) : 87.</w:t>
            </w:r>
          </w:p>
        </w:tc>
      </w:tr>
      <w:tr w:rsidR="00EF62F5" w:rsidTr="00EF62F5">
        <w:tc>
          <w:tcPr>
            <w:tcW w:w="4006" w:type="dxa"/>
          </w:tcPr>
          <w:p w:rsidR="00EF62F5" w:rsidRDefault="00EF62F5" w:rsidP="000C39D1">
            <w:pPr>
              <w:pStyle w:val="libFootnote0"/>
              <w:rPr>
                <w:rtl/>
              </w:rPr>
            </w:pPr>
            <w:r>
              <w:rPr>
                <w:rtl/>
              </w:rPr>
              <w:t>(3).</w:t>
            </w:r>
            <w:r w:rsidRPr="00132E65">
              <w:rPr>
                <w:rtl/>
              </w:rPr>
              <w:t xml:space="preserve"> في « ف » </w:t>
            </w:r>
            <w:r>
              <w:rPr>
                <w:rtl/>
              </w:rPr>
              <w:t>: - « إل</w:t>
            </w:r>
            <w:r>
              <w:rPr>
                <w:rFonts w:hint="cs"/>
                <w:rtl/>
              </w:rPr>
              <w:t>ّ</w:t>
            </w:r>
            <w:r>
              <w:rPr>
                <w:rtl/>
              </w:rPr>
              <w:t>ا</w:t>
            </w:r>
            <w:r w:rsidRPr="00132E65">
              <w:rPr>
                <w:rtl/>
              </w:rPr>
              <w:t xml:space="preserve"> »</w:t>
            </w:r>
            <w:r>
              <w:rPr>
                <w:rtl/>
              </w:rPr>
              <w:t>.</w:t>
            </w:r>
          </w:p>
        </w:tc>
        <w:tc>
          <w:tcPr>
            <w:tcW w:w="4006" w:type="dxa"/>
          </w:tcPr>
          <w:p w:rsidR="00EF62F5" w:rsidRDefault="00EF62F5" w:rsidP="000C39D1">
            <w:pPr>
              <w:pStyle w:val="libFootnote0"/>
              <w:rPr>
                <w:rtl/>
              </w:rPr>
            </w:pPr>
            <w:r>
              <w:rPr>
                <w:rtl/>
              </w:rPr>
              <w:t>(4).</w:t>
            </w:r>
            <w:r w:rsidRPr="00132E65">
              <w:rPr>
                <w:rtl/>
              </w:rPr>
              <w:t xml:space="preserve"> مريم (19) : 96.</w:t>
            </w:r>
          </w:p>
        </w:tc>
      </w:tr>
      <w:tr w:rsidR="00EF62F5" w:rsidTr="00EF62F5">
        <w:tc>
          <w:tcPr>
            <w:tcW w:w="4006" w:type="dxa"/>
          </w:tcPr>
          <w:p w:rsidR="00EF62F5" w:rsidRDefault="00EF62F5" w:rsidP="000C39D1">
            <w:pPr>
              <w:pStyle w:val="libFootnote0"/>
              <w:rPr>
                <w:rtl/>
              </w:rPr>
            </w:pPr>
            <w:r>
              <w:rPr>
                <w:rtl/>
              </w:rPr>
              <w:t>(5).</w:t>
            </w:r>
            <w:r w:rsidRPr="00132E65">
              <w:rPr>
                <w:rtl/>
              </w:rPr>
              <w:t xml:space="preserve"> مريم (19) : 97.</w:t>
            </w:r>
          </w:p>
        </w:tc>
        <w:tc>
          <w:tcPr>
            <w:tcW w:w="4006" w:type="dxa"/>
          </w:tcPr>
          <w:p w:rsidR="00EF62F5" w:rsidRDefault="00EF62F5" w:rsidP="000C39D1">
            <w:pPr>
              <w:pStyle w:val="libFootnote0"/>
              <w:rPr>
                <w:rtl/>
              </w:rPr>
            </w:pPr>
            <w:r>
              <w:rPr>
                <w:rtl/>
              </w:rPr>
              <w:t>(6).</w:t>
            </w:r>
            <w:r w:rsidRPr="00132E65">
              <w:rPr>
                <w:rtl/>
              </w:rPr>
              <w:t xml:space="preserve"> في « بح » : « يسّر » بدون الضمير.</w:t>
            </w:r>
          </w:p>
        </w:tc>
      </w:tr>
      <w:tr w:rsidR="00EF62F5" w:rsidTr="00EF62F5">
        <w:tc>
          <w:tcPr>
            <w:tcW w:w="4006" w:type="dxa"/>
          </w:tcPr>
          <w:p w:rsidR="00EF62F5" w:rsidRDefault="00EF62F5" w:rsidP="000C39D1">
            <w:pPr>
              <w:pStyle w:val="libFootnote0"/>
              <w:rPr>
                <w:rtl/>
              </w:rPr>
            </w:pPr>
            <w:r>
              <w:rPr>
                <w:rtl/>
              </w:rPr>
              <w:t>(7).</w:t>
            </w:r>
            <w:r w:rsidRPr="00132E65">
              <w:rPr>
                <w:rtl/>
              </w:rPr>
              <w:t xml:space="preserve"> في « ف » </w:t>
            </w:r>
            <w:r>
              <w:rPr>
                <w:rtl/>
              </w:rPr>
              <w:t xml:space="preserve">: - </w:t>
            </w:r>
            <w:r w:rsidRPr="00132E65">
              <w:rPr>
                <w:rtl/>
              </w:rPr>
              <w:t>« الله »</w:t>
            </w:r>
            <w:r>
              <w:rPr>
                <w:rtl/>
              </w:rPr>
              <w:t>.</w:t>
            </w:r>
          </w:p>
        </w:tc>
        <w:tc>
          <w:tcPr>
            <w:tcW w:w="4006" w:type="dxa"/>
          </w:tcPr>
          <w:p w:rsidR="00EF62F5" w:rsidRDefault="00EF62F5" w:rsidP="000C39D1">
            <w:pPr>
              <w:pStyle w:val="libFootnote0"/>
              <w:rPr>
                <w:rtl/>
              </w:rPr>
            </w:pPr>
            <w:r>
              <w:rPr>
                <w:rtl/>
              </w:rPr>
              <w:t>(8).</w:t>
            </w:r>
            <w:r w:rsidRPr="00132E65">
              <w:rPr>
                <w:rtl/>
              </w:rPr>
              <w:t xml:space="preserve"> في « ف » : « بلسانه » بدل « على لسانه »</w:t>
            </w:r>
            <w:r>
              <w:rPr>
                <w:rtl/>
              </w:rPr>
              <w:t>.</w:t>
            </w:r>
          </w:p>
        </w:tc>
      </w:tr>
    </w:tbl>
    <w:p w:rsidR="000C39D1" w:rsidRPr="00132E65" w:rsidRDefault="000C39D1" w:rsidP="000C39D1">
      <w:pPr>
        <w:pStyle w:val="libFootnote0"/>
        <w:rPr>
          <w:rtl/>
          <w:lang w:bidi="fa-IR"/>
        </w:rPr>
      </w:pPr>
      <w:r>
        <w:rPr>
          <w:rtl/>
        </w:rPr>
        <w:t>(9).</w:t>
      </w:r>
      <w:r w:rsidRPr="00132E65">
        <w:rPr>
          <w:rtl/>
        </w:rPr>
        <w:t xml:space="preserve"> في حاشية « ف » :</w:t>
      </w:r>
      <w:r>
        <w:rPr>
          <w:rtl/>
        </w:rPr>
        <w:t xml:space="preserve"> + </w:t>
      </w:r>
      <w:r w:rsidRPr="00132E65">
        <w:rPr>
          <w:rtl/>
        </w:rPr>
        <w:t>« عليّاً »</w:t>
      </w:r>
      <w:r>
        <w:rPr>
          <w:rtl/>
        </w:rPr>
        <w:t>.</w:t>
      </w:r>
    </w:p>
    <w:p w:rsidR="000C39D1" w:rsidRPr="00132E65" w:rsidRDefault="000C39D1" w:rsidP="00F0267E">
      <w:pPr>
        <w:pStyle w:val="libFootnote0"/>
        <w:rPr>
          <w:rtl/>
          <w:lang w:bidi="fa-IR"/>
        </w:rPr>
      </w:pPr>
      <w:r>
        <w:rPr>
          <w:rtl/>
        </w:rPr>
        <w:t>(10).</w:t>
      </w:r>
      <w:r w:rsidRPr="00132E65">
        <w:rPr>
          <w:rtl/>
        </w:rPr>
        <w:t xml:space="preserve"> « اللُّدُّ » : جمع الأَلَدّ ، وهو الخصيم الشديد التأبّي ، أي شديد الكراهة. راجع : </w:t>
      </w:r>
      <w:r w:rsidRPr="004C30C3">
        <w:rPr>
          <w:rtl/>
        </w:rPr>
        <w:t>المفردات</w:t>
      </w:r>
      <w:r w:rsidRPr="00132E65">
        <w:rPr>
          <w:rtl/>
        </w:rPr>
        <w:t xml:space="preserve"> للراغب ، ص 739 ( لدد )</w:t>
      </w:r>
      <w:r>
        <w:rPr>
          <w:rtl/>
        </w:rPr>
        <w:t>.</w:t>
      </w:r>
      <w:r w:rsidR="00F0267E">
        <w:rPr>
          <w:rFonts w:hint="cs"/>
          <w:rtl/>
        </w:rPr>
        <w:t xml:space="preserve">                                      </w:t>
      </w:r>
      <w:r w:rsidR="00936037">
        <w:rPr>
          <w:rFonts w:hint="cs"/>
          <w:rtl/>
        </w:rPr>
        <w:t xml:space="preserve">        </w:t>
      </w:r>
      <w:r w:rsidR="00F0267E">
        <w:rPr>
          <w:rFonts w:hint="cs"/>
          <w:rtl/>
        </w:rPr>
        <w:t xml:space="preserve">          </w:t>
      </w:r>
      <w:r>
        <w:rPr>
          <w:rtl/>
        </w:rPr>
        <w:t>(11).</w:t>
      </w:r>
      <w:r w:rsidRPr="00132E65">
        <w:rPr>
          <w:rtl/>
        </w:rPr>
        <w:t xml:space="preserve"> في « بح ، بس » وحاشية « ض » : « الذي »</w:t>
      </w:r>
      <w:r>
        <w:rPr>
          <w:rtl/>
        </w:rPr>
        <w:t>.</w:t>
      </w:r>
    </w:p>
    <w:tbl>
      <w:tblPr>
        <w:tblStyle w:val="TableGrid"/>
        <w:bidiVisual/>
        <w:tblW w:w="0" w:type="auto"/>
        <w:tblLook w:val="04A0" w:firstRow="1" w:lastRow="0" w:firstColumn="1" w:lastColumn="0" w:noHBand="0" w:noVBand="1"/>
      </w:tblPr>
      <w:tblGrid>
        <w:gridCol w:w="4006"/>
        <w:gridCol w:w="4006"/>
      </w:tblGrid>
      <w:tr w:rsidR="00F0267E" w:rsidTr="00F0267E">
        <w:tc>
          <w:tcPr>
            <w:tcW w:w="4006" w:type="dxa"/>
          </w:tcPr>
          <w:p w:rsidR="00F0267E" w:rsidRDefault="00F0267E" w:rsidP="000C39D1">
            <w:pPr>
              <w:pStyle w:val="libFootnote0"/>
              <w:rPr>
                <w:rtl/>
              </w:rPr>
            </w:pPr>
            <w:r>
              <w:rPr>
                <w:rtl/>
              </w:rPr>
              <w:t>(12).</w:t>
            </w:r>
            <w:r w:rsidR="00C62724">
              <w:rPr>
                <w:rtl/>
              </w:rPr>
              <w:t xml:space="preserve"> في«ج» وحاشية</w:t>
            </w:r>
            <w:r w:rsidRPr="00132E65">
              <w:rPr>
                <w:rtl/>
              </w:rPr>
              <w:t>« بف » و</w:t>
            </w:r>
            <w:r w:rsidRPr="009D1ACE">
              <w:rPr>
                <w:rStyle w:val="libFootnoteBoldChar"/>
                <w:rtl/>
              </w:rPr>
              <w:t>الوافي</w:t>
            </w:r>
            <w:r w:rsidRPr="00132E65">
              <w:rPr>
                <w:rtl/>
              </w:rPr>
              <w:t>:</w:t>
            </w:r>
            <w:r>
              <w:rPr>
                <w:rtl/>
              </w:rPr>
              <w:t xml:space="preserve"> + </w:t>
            </w:r>
            <w:r w:rsidR="00C62724">
              <w:rPr>
                <w:rtl/>
              </w:rPr>
              <w:t>«عليّ</w:t>
            </w:r>
            <w:r w:rsidRPr="00132E65">
              <w:rPr>
                <w:rtl/>
              </w:rPr>
              <w:t>»</w:t>
            </w:r>
            <w:r>
              <w:rPr>
                <w:rtl/>
              </w:rPr>
              <w:t>.</w:t>
            </w:r>
          </w:p>
        </w:tc>
        <w:tc>
          <w:tcPr>
            <w:tcW w:w="4006" w:type="dxa"/>
          </w:tcPr>
          <w:p w:rsidR="00F0267E" w:rsidRDefault="00F0267E" w:rsidP="000C39D1">
            <w:pPr>
              <w:pStyle w:val="libFootnote0"/>
              <w:rPr>
                <w:rtl/>
              </w:rPr>
            </w:pPr>
            <w:r>
              <w:rPr>
                <w:rtl/>
              </w:rPr>
              <w:t>(13)</w:t>
            </w:r>
            <w:r w:rsidRPr="00132E65">
              <w:rPr>
                <w:rtl/>
              </w:rPr>
              <w:t xml:space="preserve"> في « بر » : « كان »</w:t>
            </w:r>
            <w:r>
              <w:rPr>
                <w:rtl/>
              </w:rPr>
              <w:t>.</w:t>
            </w:r>
          </w:p>
        </w:tc>
      </w:tr>
    </w:tbl>
    <w:p w:rsidR="000C39D1" w:rsidRPr="00132E65" w:rsidRDefault="000C39D1" w:rsidP="000C39D1">
      <w:pPr>
        <w:pStyle w:val="libFootnote0"/>
        <w:rPr>
          <w:rtl/>
          <w:lang w:bidi="fa-IR"/>
        </w:rPr>
      </w:pPr>
      <w:r>
        <w:rPr>
          <w:rtl/>
        </w:rPr>
        <w:t>(14)</w:t>
      </w:r>
      <w:r w:rsidRPr="00132E65">
        <w:rPr>
          <w:rtl/>
        </w:rPr>
        <w:t xml:space="preserve"> في « ف » : « ذكره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فِي نَارِ جَهَنَّمَ »</w:t>
      </w:r>
      <w:r>
        <w:rPr>
          <w:rtl/>
          <w:lang w:bidi="fa-IR"/>
        </w:rPr>
        <w:t>.</w:t>
      </w:r>
    </w:p>
    <w:p w:rsidR="000C39D1" w:rsidRPr="00132E65" w:rsidRDefault="000C39D1" w:rsidP="000C39D1">
      <w:pPr>
        <w:pStyle w:val="libNormal"/>
        <w:rPr>
          <w:rtl/>
          <w:lang w:bidi="fa-IR"/>
        </w:rPr>
      </w:pPr>
      <w:r w:rsidRPr="00132E65">
        <w:rPr>
          <w:rtl/>
          <w:lang w:bidi="fa-IR"/>
        </w:rPr>
        <w:t xml:space="preserve">ثُمَّ قَالَ : « </w:t>
      </w:r>
      <w:r w:rsidRPr="00071CF9">
        <w:rPr>
          <w:rStyle w:val="libAlaemChar"/>
          <w:rtl/>
        </w:rPr>
        <w:t>(</w:t>
      </w:r>
      <w:r w:rsidRPr="00071CF9">
        <w:rPr>
          <w:rStyle w:val="libAieChar"/>
          <w:rtl/>
        </w:rPr>
        <w:t xml:space="preserve"> وَجَعَلْنا مِنْ بَيْنِ أَيْدِيهِمْ سَدًّا وَمِنْ خَلْفِهِمْ سَدًّا فَأَغْشَيْناهُمْ فَهُمْ لا يُبْصِرُونَ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عُقُوبَةً مِنْهُ </w:t>
      </w:r>
      <w:r>
        <w:rPr>
          <w:rStyle w:val="libFootnotenumChar"/>
          <w:rtl/>
        </w:rPr>
        <w:t>(2)</w:t>
      </w:r>
      <w:r w:rsidRPr="00132E65">
        <w:rPr>
          <w:rtl/>
          <w:lang w:bidi="fa-IR"/>
        </w:rPr>
        <w:t xml:space="preserve"> لَهُمْ ؛ حَيْثُ أَنْكَرُوا ولَايَةَ أَمِيرِ الْمُؤْمِنِينَ والْأَئِمَّةِ مِنْ بَعْدِهِ ؛ هذَا </w:t>
      </w:r>
      <w:r>
        <w:rPr>
          <w:rStyle w:val="libFootnotenumChar"/>
          <w:rtl/>
        </w:rPr>
        <w:t>(3)</w:t>
      </w:r>
      <w:r w:rsidRPr="00132E65">
        <w:rPr>
          <w:rtl/>
          <w:lang w:bidi="fa-IR"/>
        </w:rPr>
        <w:t xml:space="preserve"> فِي الدُّنْيَا ، وَفِي الْآخِرَةِ فِي نَارِ جَهَنَّمَ مُقْمَحُونَ </w:t>
      </w:r>
      <w:r>
        <w:rPr>
          <w:rStyle w:val="libFootnotenumChar"/>
          <w:rtl/>
        </w:rPr>
        <w:t>(4)</w:t>
      </w:r>
      <w:r w:rsidRPr="00132E65">
        <w:rPr>
          <w:rtl/>
          <w:lang w:bidi="fa-IR"/>
        </w:rPr>
        <w:t xml:space="preserve"> ، ثُمَّ قَالَ : يَا مُحَمَّدُ ، </w:t>
      </w:r>
      <w:r w:rsidRPr="00071CF9">
        <w:rPr>
          <w:rStyle w:val="libAlaemChar"/>
          <w:rtl/>
        </w:rPr>
        <w:t>(</w:t>
      </w:r>
      <w:r w:rsidRPr="00071CF9">
        <w:rPr>
          <w:rStyle w:val="libAieChar"/>
          <w:rtl/>
        </w:rPr>
        <w:t xml:space="preserve"> وَسَواءٌ عَلَيْهِمْ أَأَنْذَرْتَهُمْ أَمْ لَمْ تُنْذِرْهُمْ لا يُؤْمِنُونَ </w:t>
      </w:r>
      <w:r w:rsidRPr="00071CF9">
        <w:rPr>
          <w:rStyle w:val="libAlaemChar"/>
          <w:rtl/>
        </w:rPr>
        <w:t>)</w:t>
      </w:r>
      <w:r w:rsidRPr="00132E65">
        <w:rPr>
          <w:rtl/>
          <w:lang w:bidi="fa-IR"/>
        </w:rPr>
        <w:t xml:space="preserve"> بِاللهِ وبِوَلَايَةِ عَلِيٍّ ومَنْ بَعْدَهُ ، ثُمَّ قَالَ : </w:t>
      </w:r>
      <w:r w:rsidRPr="00071CF9">
        <w:rPr>
          <w:rStyle w:val="libAlaemChar"/>
          <w:rtl/>
        </w:rPr>
        <w:t>(</w:t>
      </w:r>
      <w:r w:rsidRPr="00071CF9">
        <w:rPr>
          <w:rStyle w:val="libAieChar"/>
          <w:rtl/>
        </w:rPr>
        <w:t xml:space="preserve"> إِنَّما تُنْذِرُ مَنِ اتَّبَعَ الذِّكْرَ </w:t>
      </w:r>
      <w:r w:rsidRPr="00071CF9">
        <w:rPr>
          <w:rStyle w:val="libAlaemChar"/>
          <w:rtl/>
        </w:rPr>
        <w:t>)</w:t>
      </w:r>
      <w:r w:rsidRPr="00132E65">
        <w:rPr>
          <w:rtl/>
          <w:lang w:bidi="fa-IR"/>
        </w:rPr>
        <w:t xml:space="preserve"> يَعْنِي أَمِيرَ الْمُؤْمِنِينَ </w:t>
      </w:r>
      <w:r w:rsidRPr="00071CF9">
        <w:rPr>
          <w:rStyle w:val="libAlaemChar"/>
          <w:rtl/>
        </w:rPr>
        <w:t>عليه‌السلام(</w:t>
      </w:r>
      <w:r w:rsidRPr="00071CF9">
        <w:rPr>
          <w:rStyle w:val="libAieChar"/>
          <w:rtl/>
        </w:rPr>
        <w:t xml:space="preserve"> وَخَشِيَ الرَّحْمنَ بِالْغَيْبِ فَبَشِّرْهُ </w:t>
      </w:r>
      <w:r w:rsidRPr="00071CF9">
        <w:rPr>
          <w:rStyle w:val="libAlaemChar"/>
          <w:rtl/>
        </w:rPr>
        <w:t>)</w:t>
      </w:r>
      <w:r w:rsidRPr="00132E65">
        <w:rPr>
          <w:rtl/>
          <w:lang w:bidi="fa-IR"/>
        </w:rPr>
        <w:t xml:space="preserve"> يَا مُحَمَّدُ </w:t>
      </w:r>
      <w:r>
        <w:rPr>
          <w:rStyle w:val="libFootnotenumChar"/>
          <w:rtl/>
        </w:rPr>
        <w:t>(5)</w:t>
      </w:r>
      <w:r w:rsidRPr="00132E65">
        <w:rPr>
          <w:rtl/>
          <w:lang w:bidi="fa-IR"/>
        </w:rPr>
        <w:t xml:space="preserve"> </w:t>
      </w:r>
      <w:r w:rsidRPr="00071CF9">
        <w:rPr>
          <w:rStyle w:val="libAlaemChar"/>
          <w:rtl/>
        </w:rPr>
        <w:t>(</w:t>
      </w:r>
      <w:r w:rsidRPr="00071CF9">
        <w:rPr>
          <w:rStyle w:val="libAieChar"/>
          <w:rtl/>
        </w:rPr>
        <w:t xml:space="preserve"> بِمَغْفِرَةٍ وَأَجْرٍ كَرِيمٍ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4C30C3">
        <w:rPr>
          <w:rtl/>
        </w:rPr>
        <w:t>1178</w:t>
      </w:r>
      <w:r w:rsidRPr="004325D8">
        <w:rPr>
          <w:rStyle w:val="libBold2Char"/>
          <w:rtl/>
        </w:rPr>
        <w:t xml:space="preserve"> / 91.</w:t>
      </w:r>
      <w:r w:rsidRPr="00132E65">
        <w:rPr>
          <w:rtl/>
          <w:lang w:bidi="fa-IR"/>
        </w:rPr>
        <w:t xml:space="preserve"> عَلِيُّ بْنُ مُحَمَّدٍ ، عَنْ بَعْضِ أَصْحَ</w:t>
      </w:r>
      <w:r w:rsidR="001F6C90">
        <w:rPr>
          <w:rtl/>
          <w:lang w:bidi="fa-IR"/>
        </w:rPr>
        <w:t>ابِنَا ، عَنِ ابْنِ مَحْبُوبٍ ،عَنْ مُحَمَّدِ بْنِ الْفُضَيْلِ</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الْحَسَنِ الْمَاضِي </w:t>
      </w:r>
      <w:r w:rsidRPr="00071CF9">
        <w:rPr>
          <w:rStyle w:val="libAlaemChar"/>
          <w:rtl/>
        </w:rPr>
        <w:t>عليه‌السلام</w:t>
      </w:r>
      <w:r w:rsidRPr="00132E65">
        <w:rPr>
          <w:rtl/>
          <w:lang w:bidi="fa-IR"/>
        </w:rPr>
        <w:t xml:space="preserve"> ، قَالَ : سَأَلْتُهُ عَنْ قَوْلِ اللهِ عَزَّ وجَلَّ : </w:t>
      </w:r>
      <w:r w:rsidRPr="00071CF9">
        <w:rPr>
          <w:rStyle w:val="libAlaemChar"/>
          <w:rtl/>
        </w:rPr>
        <w:t>(</w:t>
      </w:r>
      <w:r w:rsidRPr="00071CF9">
        <w:rPr>
          <w:rStyle w:val="libAieChar"/>
          <w:rtl/>
        </w:rPr>
        <w:t xml:space="preserve"> يُرِيدُونَ لِيُطْفِؤُا نُورَ اللهِ بِأَفْواهِهِمْ </w:t>
      </w:r>
      <w:r w:rsidRPr="00071CF9">
        <w:rPr>
          <w:rStyle w:val="libAlaemChar"/>
          <w:rtl/>
        </w:rPr>
        <w:t>)</w:t>
      </w:r>
      <w:r w:rsidRPr="00132E65">
        <w:rPr>
          <w:rtl/>
          <w:lang w:bidi="fa-IR"/>
        </w:rPr>
        <w:t xml:space="preserve"> قَالَ : « يُرِيدُونَ لِيُطْفِئُوا ولَايَةَ أَمِيرِ الْمُؤْمِنِينَ </w:t>
      </w:r>
      <w:r w:rsidRPr="00071CF9">
        <w:rPr>
          <w:rStyle w:val="libAlaemChar"/>
          <w:rtl/>
        </w:rPr>
        <w:t>عليه‌السلام</w:t>
      </w:r>
      <w:r w:rsidRPr="00132E65">
        <w:rPr>
          <w:rtl/>
          <w:lang w:bidi="fa-IR"/>
        </w:rPr>
        <w:t xml:space="preserve"> بِأَفْوَاهِهِمْ »</w:t>
      </w:r>
      <w:r>
        <w:rPr>
          <w:rtl/>
          <w:lang w:bidi="fa-IR"/>
        </w:rPr>
        <w:t>.</w:t>
      </w:r>
    </w:p>
    <w:p w:rsidR="000C39D1" w:rsidRPr="00132E65" w:rsidRDefault="000C39D1" w:rsidP="00936037">
      <w:pPr>
        <w:pStyle w:val="libNormal"/>
        <w:rPr>
          <w:rtl/>
          <w:lang w:bidi="fa-IR"/>
        </w:rPr>
      </w:pPr>
      <w:r w:rsidRPr="00132E65">
        <w:rPr>
          <w:rtl/>
          <w:lang w:bidi="fa-IR"/>
        </w:rPr>
        <w:t xml:space="preserve">قُلْتُ </w:t>
      </w:r>
      <w:r>
        <w:rPr>
          <w:rStyle w:val="libFootnotenumChar"/>
          <w:rtl/>
        </w:rPr>
        <w:t>(8)</w:t>
      </w:r>
      <w:r w:rsidRPr="00132E65">
        <w:rPr>
          <w:rtl/>
          <w:lang w:bidi="fa-IR"/>
        </w:rPr>
        <w:t xml:space="preserve"> : </w:t>
      </w:r>
      <w:r w:rsidRPr="00071CF9">
        <w:rPr>
          <w:rStyle w:val="libAlaemChar"/>
          <w:rtl/>
        </w:rPr>
        <w:t>(</w:t>
      </w:r>
      <w:r w:rsidRPr="00071CF9">
        <w:rPr>
          <w:rStyle w:val="libAieChar"/>
          <w:rtl/>
        </w:rPr>
        <w:t xml:space="preserve"> وَاللهُ مُتِمُّ نُورِهِ </w:t>
      </w:r>
      <w:r w:rsidRPr="00071CF9">
        <w:rPr>
          <w:rStyle w:val="libAlaemChar"/>
          <w:rtl/>
        </w:rPr>
        <w:t>)</w:t>
      </w:r>
      <w:r w:rsidRPr="00132E65">
        <w:rPr>
          <w:rtl/>
          <w:lang w:bidi="fa-IR"/>
        </w:rPr>
        <w:t xml:space="preserve"> </w:t>
      </w:r>
      <w:r>
        <w:rPr>
          <w:rStyle w:val="libFootnotenumChar"/>
          <w:rtl/>
        </w:rPr>
        <w:t>(9)</w:t>
      </w:r>
      <w:r>
        <w:rPr>
          <w:rtl/>
          <w:lang w:bidi="fa-IR"/>
        </w:rPr>
        <w:t>؟</w:t>
      </w:r>
      <w:r w:rsidRPr="00132E65">
        <w:rPr>
          <w:rtl/>
          <w:lang w:bidi="fa-IR"/>
        </w:rPr>
        <w:t xml:space="preserve"> قَالَ : « وَاللهُ مُتِمُّ </w:t>
      </w:r>
      <w:r>
        <w:rPr>
          <w:rStyle w:val="libFootnotenumChar"/>
          <w:rtl/>
        </w:rPr>
        <w:t>(10)</w:t>
      </w:r>
      <w:r w:rsidRPr="00132E65">
        <w:rPr>
          <w:rtl/>
          <w:lang w:bidi="fa-IR"/>
        </w:rPr>
        <w:t xml:space="preserve"> الْإِمَامَةِ ؛ لِقَوْلِهِ عَزَّ وجَلَّ : « ال</w:t>
      </w:r>
      <w:r w:rsidR="001F6C90">
        <w:rPr>
          <w:rFonts w:hint="cs"/>
          <w:rtl/>
          <w:lang w:bidi="fa-IR"/>
        </w:rPr>
        <w:t>َّ</w:t>
      </w:r>
      <w:r w:rsidRPr="00132E65">
        <w:rPr>
          <w:rtl/>
          <w:lang w:bidi="fa-IR"/>
        </w:rPr>
        <w:t>ذ</w:t>
      </w:r>
      <w:r w:rsidR="001F6C90">
        <w:rPr>
          <w:rFonts w:hint="cs"/>
          <w:rtl/>
          <w:lang w:bidi="fa-IR"/>
        </w:rPr>
        <w:t>ِ</w:t>
      </w:r>
      <w:r w:rsidRPr="00132E65">
        <w:rPr>
          <w:rtl/>
          <w:lang w:bidi="fa-IR"/>
        </w:rPr>
        <w:t>ين</w:t>
      </w:r>
      <w:r w:rsidR="001F6C90">
        <w:rPr>
          <w:rFonts w:hint="cs"/>
          <w:rtl/>
          <w:lang w:bidi="fa-IR"/>
        </w:rPr>
        <w:t>َ</w:t>
      </w:r>
      <w:r>
        <w:rPr>
          <w:rFonts w:hint="cs"/>
          <w:rtl/>
          <w:lang w:bidi="fa-IR"/>
        </w:rPr>
        <w:t xml:space="preserve"> </w:t>
      </w:r>
      <w:r w:rsidRPr="00071CF9">
        <w:rPr>
          <w:rStyle w:val="libAlaemChar"/>
          <w:rtl/>
        </w:rPr>
        <w:t>(</w:t>
      </w:r>
      <w:r w:rsidRPr="00071CF9">
        <w:rPr>
          <w:rStyle w:val="libAieChar"/>
          <w:rtl/>
        </w:rPr>
        <w:t xml:space="preserve"> فَآمِنُوا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w:t>
      </w:r>
      <w:r w:rsidRPr="00071CF9">
        <w:rPr>
          <w:rStyle w:val="libAlaemChar"/>
          <w:rtl/>
        </w:rPr>
        <w:t>(</w:t>
      </w:r>
      <w:r w:rsidRPr="00071CF9">
        <w:rPr>
          <w:rStyle w:val="libAieChar"/>
          <w:rtl/>
        </w:rPr>
        <w:t xml:space="preserve"> بِاللهِ وَرَسُولِهِ وَالنُّورِ الَّذِي</w:t>
      </w:r>
      <w:r w:rsidR="001F6C90">
        <w:rPr>
          <w:rStyle w:val="libAieChar"/>
          <w:rFonts w:hint="cs"/>
          <w:rtl/>
        </w:rPr>
        <w:t xml:space="preserve"> </w:t>
      </w:r>
      <w:r w:rsidR="00936037">
        <w:rPr>
          <w:rFonts w:hint="cs"/>
          <w:rtl/>
        </w:rPr>
        <w:t>...................................</w:t>
      </w:r>
      <w:r w:rsidR="001F6C90">
        <w:rPr>
          <w:rStyle w:val="libAieChar"/>
          <w:rFonts w:hint="cs"/>
          <w:rtl/>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67469" w:rsidTr="00F67469">
        <w:tc>
          <w:tcPr>
            <w:tcW w:w="4006" w:type="dxa"/>
          </w:tcPr>
          <w:p w:rsidR="00F67469" w:rsidRDefault="00F67469" w:rsidP="000C39D1">
            <w:pPr>
              <w:pStyle w:val="libFootnote0"/>
              <w:rPr>
                <w:rtl/>
              </w:rPr>
            </w:pPr>
            <w:r>
              <w:rPr>
                <w:rtl/>
              </w:rPr>
              <w:t>(1).</w:t>
            </w:r>
            <w:r w:rsidRPr="00132E65">
              <w:rPr>
                <w:rtl/>
              </w:rPr>
              <w:t xml:space="preserve"> يس (36) : 6</w:t>
            </w:r>
            <w:r>
              <w:rPr>
                <w:rtl/>
              </w:rPr>
              <w:t xml:space="preserve"> - </w:t>
            </w:r>
            <w:r w:rsidRPr="00132E65">
              <w:rPr>
                <w:rtl/>
              </w:rPr>
              <w:t>9.</w:t>
            </w:r>
          </w:p>
        </w:tc>
        <w:tc>
          <w:tcPr>
            <w:tcW w:w="4006" w:type="dxa"/>
          </w:tcPr>
          <w:p w:rsidR="00F67469" w:rsidRDefault="00F67469" w:rsidP="000C39D1">
            <w:pPr>
              <w:pStyle w:val="libFootnote0"/>
              <w:rPr>
                <w:rtl/>
              </w:rPr>
            </w:pPr>
            <w:r>
              <w:rPr>
                <w:rtl/>
              </w:rPr>
              <w:t>(2).</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منه »</w:t>
            </w:r>
            <w:r>
              <w:rPr>
                <w:rtl/>
              </w:rPr>
              <w:t>.</w:t>
            </w:r>
          </w:p>
        </w:tc>
      </w:tr>
    </w:tbl>
    <w:p w:rsidR="000C39D1" w:rsidRPr="00132E65" w:rsidRDefault="000C39D1" w:rsidP="000C39D1">
      <w:pPr>
        <w:pStyle w:val="libFootnote0"/>
        <w:rPr>
          <w:rtl/>
          <w:lang w:bidi="fa-IR"/>
        </w:rPr>
      </w:pPr>
      <w:r>
        <w:rPr>
          <w:rtl/>
        </w:rPr>
        <w:t>(3).</w:t>
      </w:r>
      <w:r w:rsidRPr="00132E65">
        <w:rPr>
          <w:rtl/>
        </w:rPr>
        <w:t xml:space="preserve"> في « ف » : « وهذا »</w:t>
      </w:r>
      <w:r>
        <w:rPr>
          <w:rtl/>
        </w:rPr>
        <w:t>.</w:t>
      </w:r>
    </w:p>
    <w:p w:rsidR="000C39D1" w:rsidRPr="00132E65" w:rsidRDefault="000C39D1" w:rsidP="000C39D1">
      <w:pPr>
        <w:pStyle w:val="libFootnote0"/>
        <w:rPr>
          <w:rtl/>
          <w:lang w:bidi="fa-IR"/>
        </w:rPr>
      </w:pPr>
      <w:r>
        <w:rPr>
          <w:rtl/>
        </w:rPr>
        <w:t>(4).</w:t>
      </w:r>
      <w:r w:rsidRPr="00132E65">
        <w:rPr>
          <w:rtl/>
        </w:rPr>
        <w:t xml:space="preserve"> الإقماح : رفع الرأس وغضّ البصر. </w:t>
      </w:r>
      <w:r w:rsidRPr="004C30C3">
        <w:rPr>
          <w:rtl/>
        </w:rPr>
        <w:t>النهاية</w:t>
      </w:r>
      <w:r w:rsidRPr="00132E65">
        <w:rPr>
          <w:rtl/>
        </w:rPr>
        <w:t xml:space="preserve"> ، ج 4 ، ص 106 ( قمح )</w:t>
      </w:r>
      <w:r>
        <w:rPr>
          <w:rtl/>
        </w:rPr>
        <w:t>.</w:t>
      </w:r>
    </w:p>
    <w:tbl>
      <w:tblPr>
        <w:tblStyle w:val="TableGrid"/>
        <w:bidiVisual/>
        <w:tblW w:w="0" w:type="auto"/>
        <w:tblLook w:val="04A0" w:firstRow="1" w:lastRow="0" w:firstColumn="1" w:lastColumn="0" w:noHBand="0" w:noVBand="1"/>
      </w:tblPr>
      <w:tblGrid>
        <w:gridCol w:w="4006"/>
        <w:gridCol w:w="4006"/>
      </w:tblGrid>
      <w:tr w:rsidR="00D16DB0" w:rsidTr="00D16DB0">
        <w:tc>
          <w:tcPr>
            <w:tcW w:w="4006" w:type="dxa"/>
          </w:tcPr>
          <w:p w:rsidR="00D16DB0" w:rsidRDefault="00D16DB0" w:rsidP="000C39D1">
            <w:pPr>
              <w:pStyle w:val="libFootnote0"/>
              <w:rPr>
                <w:rtl/>
              </w:rPr>
            </w:pPr>
            <w:r>
              <w:rPr>
                <w:rtl/>
              </w:rPr>
              <w:t>(5).</w:t>
            </w:r>
            <w:r w:rsidRPr="00132E65">
              <w:rPr>
                <w:rtl/>
              </w:rPr>
              <w:t xml:space="preserve"> في « ب ، ف » </w:t>
            </w:r>
            <w:r>
              <w:rPr>
                <w:rtl/>
              </w:rPr>
              <w:t xml:space="preserve">: - </w:t>
            </w:r>
            <w:r w:rsidRPr="00132E65">
              <w:rPr>
                <w:rtl/>
              </w:rPr>
              <w:t>« يا محمّد »</w:t>
            </w:r>
            <w:r>
              <w:rPr>
                <w:rtl/>
              </w:rPr>
              <w:t>.</w:t>
            </w:r>
          </w:p>
        </w:tc>
        <w:tc>
          <w:tcPr>
            <w:tcW w:w="4006" w:type="dxa"/>
          </w:tcPr>
          <w:p w:rsidR="00D16DB0" w:rsidRDefault="00D16DB0" w:rsidP="000C39D1">
            <w:pPr>
              <w:pStyle w:val="libFootnote0"/>
              <w:rPr>
                <w:rtl/>
              </w:rPr>
            </w:pPr>
            <w:r>
              <w:rPr>
                <w:rtl/>
              </w:rPr>
              <w:t>(6).</w:t>
            </w:r>
            <w:r w:rsidRPr="00132E65">
              <w:rPr>
                <w:rtl/>
              </w:rPr>
              <w:t xml:space="preserve"> يس (36) : 10</w:t>
            </w:r>
            <w:r>
              <w:rPr>
                <w:rtl/>
              </w:rPr>
              <w:t xml:space="preserve"> - </w:t>
            </w:r>
            <w:r w:rsidRPr="00132E65">
              <w:rPr>
                <w:rtl/>
              </w:rPr>
              <w:t>11.</w:t>
            </w:r>
          </w:p>
        </w:tc>
      </w:tr>
    </w:tbl>
    <w:p w:rsidR="000C39D1" w:rsidRPr="00132E65" w:rsidRDefault="000C39D1" w:rsidP="005E3892">
      <w:pPr>
        <w:pStyle w:val="libFootnote0"/>
        <w:rPr>
          <w:rtl/>
          <w:lang w:bidi="fa-IR"/>
        </w:rPr>
      </w:pPr>
      <w:r>
        <w:rPr>
          <w:rtl/>
        </w:rPr>
        <w:t>(7).</w:t>
      </w:r>
      <w:r w:rsidRPr="00132E65">
        <w:rPr>
          <w:rtl/>
        </w:rPr>
        <w:t xml:space="preserve"> راجع : </w:t>
      </w:r>
      <w:r w:rsidRPr="004C30C3">
        <w:rPr>
          <w:rtl/>
        </w:rPr>
        <w:t>تفسير القمّي</w:t>
      </w:r>
      <w:r w:rsidRPr="00132E65">
        <w:rPr>
          <w:rtl/>
        </w:rPr>
        <w:t xml:space="preserve"> ، ج 2 ، ص 56 </w:t>
      </w:r>
      <w:r>
        <w:rPr>
          <w:rtl/>
        </w:rPr>
        <w:t>و 5</w:t>
      </w:r>
      <w:r w:rsidRPr="00132E65">
        <w:rPr>
          <w:rtl/>
        </w:rPr>
        <w:t xml:space="preserve">7 </w:t>
      </w:r>
      <w:r>
        <w:rPr>
          <w:rtl/>
        </w:rPr>
        <w:t>و 3</w:t>
      </w:r>
      <w:r w:rsidRPr="00132E65">
        <w:rPr>
          <w:rtl/>
        </w:rPr>
        <w:t>90 ؛ و</w:t>
      </w:r>
      <w:r w:rsidRPr="004C30C3">
        <w:rPr>
          <w:rtl/>
        </w:rPr>
        <w:t>تفسير فرات</w:t>
      </w:r>
      <w:r w:rsidRPr="00132E65">
        <w:rPr>
          <w:rtl/>
        </w:rPr>
        <w:t xml:space="preserve"> ، ص 248 ، ح 335 ؛ وص 251</w:t>
      </w:r>
      <w:r>
        <w:rPr>
          <w:rtl/>
        </w:rPr>
        <w:t xml:space="preserve"> - </w:t>
      </w:r>
      <w:r w:rsidRPr="00132E65">
        <w:rPr>
          <w:rtl/>
        </w:rPr>
        <w:t>252 ، ح 340</w:t>
      </w:r>
      <w:r>
        <w:rPr>
          <w:rtl/>
        </w:rPr>
        <w:t xml:space="preserve"> </w:t>
      </w:r>
      <w:r w:rsidR="005E3892">
        <w:rPr>
          <w:rtl/>
        </w:rPr>
        <w:t>–</w:t>
      </w:r>
      <w:r>
        <w:rPr>
          <w:rtl/>
        </w:rPr>
        <w:t xml:space="preserve"> </w:t>
      </w:r>
      <w:r w:rsidRPr="00132E65">
        <w:rPr>
          <w:rtl/>
        </w:rPr>
        <w:t>345</w:t>
      </w:r>
      <w:r w:rsidR="005E3892">
        <w:rPr>
          <w:rFonts w:hint="cs"/>
          <w:rtl/>
        </w:rPr>
        <w:t>.</w:t>
      </w:r>
      <w:r w:rsidRPr="009D1ACE">
        <w:rPr>
          <w:rStyle w:val="libFootnoteBoldChar"/>
          <w:rtl/>
        </w:rPr>
        <w:t>الوافي</w:t>
      </w:r>
      <w:r w:rsidRPr="00132E65">
        <w:rPr>
          <w:rtl/>
        </w:rPr>
        <w:t xml:space="preserve"> ، ج 3 ، ص 912 ، ح 1589 ؛ </w:t>
      </w:r>
      <w:r w:rsidRPr="004C30C3">
        <w:rPr>
          <w:rtl/>
        </w:rPr>
        <w:t>البحار</w:t>
      </w:r>
      <w:r w:rsidRPr="00132E65">
        <w:rPr>
          <w:rtl/>
        </w:rPr>
        <w:t xml:space="preserve"> ، ج 24 ، ص 332 ، ح 58 ؛ وج 51 ، ص 63 ، ح 64 ، من قوله : </w:t>
      </w:r>
      <w:r w:rsidR="005E3892" w:rsidRPr="005E3892">
        <w:rPr>
          <w:rStyle w:val="libFootnoteAlaemChar"/>
          <w:rFonts w:hint="cs"/>
          <w:rtl/>
        </w:rPr>
        <w:t>(</w:t>
      </w:r>
      <w:r w:rsidRPr="005E3892">
        <w:rPr>
          <w:rStyle w:val="libFootnoteAieChar"/>
          <w:rtl/>
        </w:rPr>
        <w:t xml:space="preserve"> حَتَّى إِذَا رَأَوْاْ مَا يُوعَدُونَ </w:t>
      </w:r>
      <w:r w:rsidR="005E3892" w:rsidRPr="005E3892">
        <w:rPr>
          <w:rStyle w:val="libFootnoteAlaemChar"/>
          <w:rFonts w:hint="cs"/>
          <w:rtl/>
        </w:rPr>
        <w:t>)</w:t>
      </w:r>
      <w:r w:rsidRPr="00132E65">
        <w:rPr>
          <w:rtl/>
        </w:rPr>
        <w:t xml:space="preserve"> إلى قوله : </w:t>
      </w:r>
      <w:r w:rsidR="005E3892" w:rsidRPr="005E3892">
        <w:rPr>
          <w:rStyle w:val="libFootnoteAlaemChar"/>
          <w:rFonts w:hint="cs"/>
          <w:rtl/>
        </w:rPr>
        <w:t>(</w:t>
      </w:r>
      <w:r w:rsidRPr="005E3892">
        <w:rPr>
          <w:rStyle w:val="libFootnoteAieChar"/>
          <w:rtl/>
        </w:rPr>
        <w:t xml:space="preserve"> وَأَضْعَفُ جُندًا </w:t>
      </w:r>
      <w:r w:rsidR="005E3892" w:rsidRPr="005E3892">
        <w:rPr>
          <w:rStyle w:val="libFootnoteAlaemChar"/>
          <w:rFonts w:hint="cs"/>
          <w:rtl/>
        </w:rPr>
        <w:t>)</w:t>
      </w:r>
      <w:r w:rsidRPr="00132E65">
        <w:rPr>
          <w:rtl/>
        </w:rPr>
        <w:t xml:space="preserve"> ؛ وج 35 ، ص 353 ، ح 1 ، وفيه قطعة.</w:t>
      </w:r>
    </w:p>
    <w:tbl>
      <w:tblPr>
        <w:tblStyle w:val="TableGrid"/>
        <w:bidiVisual/>
        <w:tblW w:w="0" w:type="auto"/>
        <w:tblLook w:val="04A0" w:firstRow="1" w:lastRow="0" w:firstColumn="1" w:lastColumn="0" w:noHBand="0" w:noVBand="1"/>
      </w:tblPr>
      <w:tblGrid>
        <w:gridCol w:w="4006"/>
        <w:gridCol w:w="4006"/>
      </w:tblGrid>
      <w:tr w:rsidR="005E3892" w:rsidTr="005E3892">
        <w:tc>
          <w:tcPr>
            <w:tcW w:w="4006" w:type="dxa"/>
          </w:tcPr>
          <w:p w:rsidR="005E3892" w:rsidRDefault="005E3892" w:rsidP="000C39D1">
            <w:pPr>
              <w:pStyle w:val="libFootnote0"/>
              <w:rPr>
                <w:rtl/>
              </w:rPr>
            </w:pPr>
            <w:r>
              <w:rPr>
                <w:rtl/>
              </w:rPr>
              <w:t>(8).</w:t>
            </w:r>
            <w:r w:rsidRPr="00132E65">
              <w:rPr>
                <w:rtl/>
              </w:rPr>
              <w:t xml:space="preserve"> في « ف » :</w:t>
            </w:r>
            <w:r>
              <w:rPr>
                <w:rtl/>
              </w:rPr>
              <w:t xml:space="preserve"> + </w:t>
            </w:r>
            <w:r w:rsidRPr="00132E65">
              <w:rPr>
                <w:rtl/>
              </w:rPr>
              <w:t>« قوله »</w:t>
            </w:r>
            <w:r>
              <w:rPr>
                <w:rtl/>
              </w:rPr>
              <w:t>.</w:t>
            </w:r>
          </w:p>
        </w:tc>
        <w:tc>
          <w:tcPr>
            <w:tcW w:w="4006" w:type="dxa"/>
          </w:tcPr>
          <w:p w:rsidR="005E3892" w:rsidRDefault="005E3892" w:rsidP="000C39D1">
            <w:pPr>
              <w:pStyle w:val="libFootnote0"/>
              <w:rPr>
                <w:rtl/>
              </w:rPr>
            </w:pPr>
            <w:r>
              <w:rPr>
                <w:rtl/>
              </w:rPr>
              <w:t>(9).</w:t>
            </w:r>
            <w:r w:rsidRPr="00132E65">
              <w:rPr>
                <w:rtl/>
              </w:rPr>
              <w:t xml:space="preserve"> الصفّ (61) : 8.</w:t>
            </w:r>
          </w:p>
        </w:tc>
      </w:tr>
    </w:tbl>
    <w:p w:rsidR="000C39D1" w:rsidRPr="00132E65" w:rsidRDefault="000C39D1" w:rsidP="000C39D1">
      <w:pPr>
        <w:pStyle w:val="libFootnote0"/>
        <w:rPr>
          <w:rtl/>
          <w:lang w:bidi="fa-IR"/>
        </w:rPr>
      </w:pPr>
      <w:r>
        <w:rPr>
          <w:rtl/>
        </w:rPr>
        <w:t>(10).</w:t>
      </w:r>
      <w:r w:rsidRPr="00132E65">
        <w:rPr>
          <w:rtl/>
        </w:rPr>
        <w:t xml:space="preserve"> في البحار </w:t>
      </w:r>
      <w:r>
        <w:rPr>
          <w:rtl/>
        </w:rPr>
        <w:t xml:space="preserve">: - </w:t>
      </w:r>
      <w:r w:rsidRPr="00132E65">
        <w:rPr>
          <w:rtl/>
        </w:rPr>
        <w:t>« قال : والله متمّ »</w:t>
      </w:r>
      <w:r>
        <w:rPr>
          <w:rtl/>
        </w:rPr>
        <w:t>.</w:t>
      </w:r>
    </w:p>
    <w:p w:rsidR="000C39D1" w:rsidRPr="00132E65" w:rsidRDefault="000C39D1" w:rsidP="00F22BAA">
      <w:pPr>
        <w:pStyle w:val="libFootnote0"/>
        <w:rPr>
          <w:rtl/>
          <w:lang w:bidi="fa-IR"/>
        </w:rPr>
      </w:pPr>
      <w:r>
        <w:rPr>
          <w:rtl/>
        </w:rPr>
        <w:t>(11).</w:t>
      </w:r>
      <w:r w:rsidRPr="00132E65">
        <w:rPr>
          <w:rtl/>
        </w:rPr>
        <w:t xml:space="preserve"> كذا في النسخ والمطبوع والبحار. وفي القرآن : </w:t>
      </w:r>
      <w:r w:rsidR="00F22BAA" w:rsidRPr="00F22BAA">
        <w:rPr>
          <w:rStyle w:val="libFootnoteAlaemChar"/>
          <w:rFonts w:hint="cs"/>
          <w:rtl/>
        </w:rPr>
        <w:t>(</w:t>
      </w:r>
      <w:r w:rsidRPr="00F22BAA">
        <w:rPr>
          <w:rStyle w:val="libFootnoteAieChar"/>
          <w:rtl/>
        </w:rPr>
        <w:t xml:space="preserve"> فَآمَنُوا </w:t>
      </w:r>
      <w:r w:rsidR="00F22BAA" w:rsidRPr="00F22BAA">
        <w:rPr>
          <w:rStyle w:val="libFootnoteAlaemChar"/>
          <w:rFonts w:hint="cs"/>
          <w:rtl/>
        </w:rPr>
        <w:t>)</w:t>
      </w:r>
      <w:r w:rsidRPr="00132E65">
        <w:rPr>
          <w:rtl/>
        </w:rPr>
        <w:t xml:space="preserve"> بدل « الّذين آمنوا »</w:t>
      </w:r>
      <w:r>
        <w:rPr>
          <w:rtl/>
        </w:rPr>
        <w:t>.</w:t>
      </w:r>
      <w:r w:rsidRPr="00132E65">
        <w:rPr>
          <w:rtl/>
        </w:rPr>
        <w:t xml:space="preserve"> وقال في </w:t>
      </w:r>
      <w:r w:rsidRPr="009D1ACE">
        <w:rPr>
          <w:rStyle w:val="libFootnoteBoldChar"/>
          <w:rtl/>
        </w:rPr>
        <w:t>مرآة العقول</w:t>
      </w:r>
      <w:r w:rsidRPr="00132E65">
        <w:rPr>
          <w:rtl/>
        </w:rPr>
        <w:t xml:space="preserve"> : « فالتغييرإمّا من النسّاخ والرواة ، أو منه </w:t>
      </w:r>
      <w:r w:rsidRPr="00F22BAA">
        <w:rPr>
          <w:rStyle w:val="libFootnoteAlaemChar"/>
          <w:rtl/>
        </w:rPr>
        <w:t>عليه‌السلام</w:t>
      </w:r>
      <w:r w:rsidRPr="00132E65">
        <w:rPr>
          <w:rtl/>
        </w:rPr>
        <w:t xml:space="preserve"> نقلاً بالمعنى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أَنْزَلْنا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فَالنُّورُ </w:t>
      </w:r>
      <w:r>
        <w:rPr>
          <w:rStyle w:val="libFootnotenumChar"/>
          <w:rtl/>
        </w:rPr>
        <w:t>(2)</w:t>
      </w:r>
      <w:r w:rsidRPr="00132E65">
        <w:rPr>
          <w:rtl/>
          <w:lang w:bidi="fa-IR"/>
        </w:rPr>
        <w:t xml:space="preserve"> هُوَ الْإِمَامُ »</w:t>
      </w:r>
      <w:r>
        <w:rPr>
          <w:rtl/>
          <w:lang w:bidi="fa-IR"/>
        </w:rPr>
        <w:t>.</w:t>
      </w:r>
    </w:p>
    <w:p w:rsidR="000C39D1" w:rsidRPr="00132E65" w:rsidRDefault="000C39D1" w:rsidP="000C39D1">
      <w:pPr>
        <w:pStyle w:val="libNormal"/>
        <w:rPr>
          <w:rtl/>
          <w:lang w:bidi="fa-IR"/>
        </w:rPr>
      </w:pPr>
      <w:r w:rsidRPr="00132E65">
        <w:rPr>
          <w:rtl/>
          <w:lang w:bidi="fa-IR"/>
        </w:rPr>
        <w:t xml:space="preserve">قُلْتُ </w:t>
      </w:r>
      <w:r>
        <w:rPr>
          <w:rStyle w:val="libFootnotenumChar"/>
          <w:rtl/>
        </w:rPr>
        <w:t>(3)</w:t>
      </w:r>
      <w:r w:rsidRPr="00132E65">
        <w:rPr>
          <w:rtl/>
          <w:lang w:bidi="fa-IR"/>
        </w:rPr>
        <w:t xml:space="preserve"> : </w:t>
      </w:r>
      <w:r w:rsidRPr="00071CF9">
        <w:rPr>
          <w:rStyle w:val="libAlaemChar"/>
          <w:rtl/>
        </w:rPr>
        <w:t>(</w:t>
      </w:r>
      <w:r w:rsidRPr="00071CF9">
        <w:rPr>
          <w:rStyle w:val="libAieChar"/>
          <w:rtl/>
        </w:rPr>
        <w:t xml:space="preserve"> هُوَ الَّذِي أَرْسَلَ رَسُولَهُ بِالْهُدى وَدِينِ الْحَقِّ </w:t>
      </w:r>
      <w:r w:rsidRPr="00071CF9">
        <w:rPr>
          <w:rStyle w:val="libAlaemChar"/>
          <w:rtl/>
        </w:rPr>
        <w:t>)</w:t>
      </w:r>
      <w:r>
        <w:rPr>
          <w:rtl/>
          <w:lang w:bidi="fa-IR"/>
        </w:rPr>
        <w:t>؟</w:t>
      </w:r>
      <w:r w:rsidRPr="00132E65">
        <w:rPr>
          <w:rtl/>
          <w:lang w:bidi="fa-IR"/>
        </w:rPr>
        <w:t xml:space="preserve"> قَالَ : « هُوَ الَّذِي أَمَرَ </w:t>
      </w:r>
      <w:r>
        <w:rPr>
          <w:rStyle w:val="libFootnotenumChar"/>
          <w:rtl/>
        </w:rPr>
        <w:t>(4)</w:t>
      </w:r>
      <w:r w:rsidRPr="00132E65">
        <w:rPr>
          <w:rtl/>
          <w:lang w:bidi="fa-IR"/>
        </w:rPr>
        <w:t xml:space="preserve"> رَسُولَهُ بِالْوَلَايَةِ لِوَصِيِّهِ ، والْوَلَايَةُ هِيَ دِينُ الْحَقِّ »</w:t>
      </w:r>
      <w:r>
        <w:rPr>
          <w:rtl/>
          <w:lang w:bidi="fa-IR"/>
        </w:rPr>
        <w:t>.</w:t>
      </w:r>
    </w:p>
    <w:p w:rsidR="000C39D1" w:rsidRPr="00132E65" w:rsidRDefault="000C39D1" w:rsidP="000C39D1">
      <w:pPr>
        <w:pStyle w:val="libNormal"/>
        <w:rPr>
          <w:rtl/>
          <w:lang w:bidi="fa-IR"/>
        </w:rPr>
      </w:pPr>
      <w:r w:rsidRPr="00132E65">
        <w:rPr>
          <w:rtl/>
          <w:lang w:bidi="fa-IR"/>
        </w:rPr>
        <w:t xml:space="preserve">قُلْتُ </w:t>
      </w:r>
      <w:r>
        <w:rPr>
          <w:rStyle w:val="libFootnotenumChar"/>
          <w:rtl/>
        </w:rPr>
        <w:t>(5)</w:t>
      </w:r>
      <w:r w:rsidRPr="00132E65">
        <w:rPr>
          <w:rtl/>
          <w:lang w:bidi="fa-IR"/>
        </w:rPr>
        <w:t xml:space="preserve"> : </w:t>
      </w:r>
      <w:r w:rsidRPr="00071CF9">
        <w:rPr>
          <w:rStyle w:val="libAlaemChar"/>
          <w:rtl/>
        </w:rPr>
        <w:t>(</w:t>
      </w:r>
      <w:r w:rsidRPr="00071CF9">
        <w:rPr>
          <w:rStyle w:val="libAieChar"/>
          <w:rtl/>
        </w:rPr>
        <w:t xml:space="preserve"> لِيُظْهِرَهُ عَلَى الدِّينِ كُلِّهِ </w:t>
      </w:r>
      <w:r w:rsidRPr="00071CF9">
        <w:rPr>
          <w:rStyle w:val="libAlaemChar"/>
          <w:rtl/>
        </w:rPr>
        <w:t>)</w:t>
      </w:r>
      <w:r w:rsidRPr="00132E65">
        <w:rPr>
          <w:rtl/>
          <w:lang w:bidi="fa-IR"/>
        </w:rPr>
        <w:t xml:space="preserve"> </w:t>
      </w:r>
      <w:r>
        <w:rPr>
          <w:rStyle w:val="libFootnotenumChar"/>
          <w:rtl/>
        </w:rPr>
        <w:t>(6)</w:t>
      </w:r>
      <w:r>
        <w:rPr>
          <w:rtl/>
          <w:lang w:bidi="fa-IR"/>
        </w:rPr>
        <w:t>؟</w:t>
      </w:r>
      <w:r w:rsidRPr="00132E65">
        <w:rPr>
          <w:rtl/>
          <w:lang w:bidi="fa-IR"/>
        </w:rPr>
        <w:t xml:space="preserve"> قَالَ : « يُظْهِرُهُ </w:t>
      </w:r>
      <w:r>
        <w:rPr>
          <w:rStyle w:val="libFootnotenumChar"/>
          <w:rtl/>
        </w:rPr>
        <w:t>(7)</w:t>
      </w:r>
      <w:r w:rsidRPr="00132E65">
        <w:rPr>
          <w:rtl/>
          <w:lang w:bidi="fa-IR"/>
        </w:rPr>
        <w:t xml:space="preserve"> عَلى جَمِيعِ </w:t>
      </w:r>
      <w:r>
        <w:rPr>
          <w:rStyle w:val="libFootnotenumChar"/>
          <w:rtl/>
        </w:rPr>
        <w:t>(8)</w:t>
      </w:r>
      <w:r w:rsidRPr="00132E65">
        <w:rPr>
          <w:rtl/>
          <w:lang w:bidi="fa-IR"/>
        </w:rPr>
        <w:t xml:space="preserve"> الْأَدْ</w:t>
      </w:r>
      <w:r w:rsidR="00936037">
        <w:rPr>
          <w:rtl/>
          <w:lang w:bidi="fa-IR"/>
        </w:rPr>
        <w:t>يَانِ عِنْدَ قِيَامِ الْقَائِمِ</w:t>
      </w:r>
      <w:r w:rsidRPr="00132E65">
        <w:rPr>
          <w:rtl/>
          <w:lang w:bidi="fa-IR"/>
        </w:rPr>
        <w:t>»</w:t>
      </w:r>
      <w:r>
        <w:rPr>
          <w:rtl/>
          <w:lang w:bidi="fa-IR"/>
        </w:rPr>
        <w:t>.</w:t>
      </w:r>
      <w:r w:rsidRPr="00132E65">
        <w:rPr>
          <w:rtl/>
          <w:lang w:bidi="fa-IR"/>
        </w:rPr>
        <w:t xml:space="preserve"> قَالَ : « يَقُولُ اللهُ </w:t>
      </w:r>
      <w:r>
        <w:rPr>
          <w:rStyle w:val="libFootnotenumChar"/>
          <w:rtl/>
        </w:rPr>
        <w:t>(9)</w:t>
      </w:r>
      <w:r w:rsidRPr="00132E65">
        <w:rPr>
          <w:rtl/>
          <w:lang w:bidi="fa-IR"/>
        </w:rPr>
        <w:t xml:space="preserve"> : </w:t>
      </w:r>
      <w:r w:rsidRPr="00071CF9">
        <w:rPr>
          <w:rStyle w:val="libAlaemChar"/>
          <w:rtl/>
        </w:rPr>
        <w:t>(</w:t>
      </w:r>
      <w:r w:rsidRPr="00071CF9">
        <w:rPr>
          <w:rStyle w:val="libAieChar"/>
          <w:rtl/>
        </w:rPr>
        <w:t xml:space="preserve"> وَاللهُ مُتِمُّ نُورِهِ </w:t>
      </w:r>
      <w:r w:rsidRPr="00071CF9">
        <w:rPr>
          <w:rStyle w:val="libAlaemChar"/>
          <w:rtl/>
        </w:rPr>
        <w:t>)</w:t>
      </w:r>
      <w:r w:rsidRPr="00AD23BA">
        <w:rPr>
          <w:rFonts w:hint="cs"/>
          <w:rtl/>
        </w:rPr>
        <w:t xml:space="preserve"> : </w:t>
      </w:r>
      <w:r>
        <w:rPr>
          <w:rStyle w:val="libFootnotenumChar"/>
          <w:rtl/>
        </w:rPr>
        <w:t>(10)</w:t>
      </w:r>
      <w:r w:rsidRPr="00132E65">
        <w:rPr>
          <w:rtl/>
          <w:lang w:bidi="fa-IR"/>
        </w:rPr>
        <w:t xml:space="preserve"> ولَايَةِ </w:t>
      </w:r>
      <w:r>
        <w:rPr>
          <w:rStyle w:val="libFootnotenumChar"/>
          <w:rtl/>
        </w:rPr>
        <w:t>(11)</w:t>
      </w:r>
      <w:r w:rsidRPr="00132E65">
        <w:rPr>
          <w:rtl/>
          <w:lang w:bidi="fa-IR"/>
        </w:rPr>
        <w:t xml:space="preserve"> الْقَائِمِ</w:t>
      </w:r>
      <w:r>
        <w:rPr>
          <w:rFonts w:hint="cs"/>
          <w:rtl/>
          <w:lang w:bidi="fa-IR"/>
        </w:rPr>
        <w:t xml:space="preserve"> </w:t>
      </w:r>
      <w:r w:rsidRPr="00071CF9">
        <w:rPr>
          <w:rStyle w:val="libAlaemChar"/>
          <w:rtl/>
        </w:rPr>
        <w:t>(</w:t>
      </w:r>
      <w:r w:rsidRPr="00071CF9">
        <w:rPr>
          <w:rStyle w:val="libAieChar"/>
          <w:rtl/>
        </w:rPr>
        <w:t xml:space="preserve"> وَلَوْ كَرِهَ الْكافِرُونَ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بِوَلَايَةِ عَلِيٍّ »</w:t>
      </w:r>
      <w:r>
        <w:rPr>
          <w:rtl/>
          <w:lang w:bidi="fa-IR"/>
        </w:rPr>
        <w:t>.</w:t>
      </w:r>
    </w:p>
    <w:p w:rsidR="000C39D1" w:rsidRPr="00132E65" w:rsidRDefault="000C39D1" w:rsidP="000C39D1">
      <w:pPr>
        <w:pStyle w:val="libNormal"/>
        <w:rPr>
          <w:rtl/>
          <w:lang w:bidi="fa-IR"/>
        </w:rPr>
      </w:pPr>
      <w:r w:rsidRPr="00132E65">
        <w:rPr>
          <w:rtl/>
          <w:lang w:bidi="fa-IR"/>
        </w:rPr>
        <w:t xml:space="preserve">قُلْتُ : هذَا تَنْزِيلٌ </w:t>
      </w:r>
      <w:r w:rsidRPr="00F543F1">
        <w:rPr>
          <w:rStyle w:val="libFootnotenumChar"/>
          <w:rtl/>
        </w:rPr>
        <w:t>(13)</w:t>
      </w:r>
      <w:r>
        <w:rPr>
          <w:rtl/>
          <w:lang w:bidi="fa-IR"/>
        </w:rPr>
        <w:t>؟</w:t>
      </w:r>
      <w:r w:rsidRPr="00132E65">
        <w:rPr>
          <w:rtl/>
          <w:lang w:bidi="fa-IR"/>
        </w:rPr>
        <w:t xml:space="preserve"> قَالَ : « نَعَمْ ، أَمَّا هذَا الْحَرْفُ </w:t>
      </w:r>
      <w:r w:rsidRPr="00F543F1">
        <w:rPr>
          <w:rStyle w:val="libFootnotenumChar"/>
          <w:rtl/>
        </w:rPr>
        <w:t>(14)</w:t>
      </w:r>
      <w:r w:rsidRPr="00132E65">
        <w:rPr>
          <w:rtl/>
          <w:lang w:bidi="fa-IR"/>
        </w:rPr>
        <w:t xml:space="preserve"> فَتَنْزِيلٌ ؛ وأَمَّا غَيْرُهُ فَتَأْوِيلٌ »</w:t>
      </w:r>
      <w:r>
        <w:rPr>
          <w:rtl/>
          <w:lang w:bidi="fa-IR"/>
        </w:rPr>
        <w:t>.</w:t>
      </w:r>
    </w:p>
    <w:p w:rsidR="000C39D1" w:rsidRPr="00132E65" w:rsidRDefault="000C39D1" w:rsidP="000C39D1">
      <w:pPr>
        <w:pStyle w:val="libNormal"/>
        <w:rPr>
          <w:rtl/>
          <w:lang w:bidi="fa-IR"/>
        </w:rPr>
      </w:pPr>
      <w:r w:rsidRPr="00132E65">
        <w:rPr>
          <w:rtl/>
          <w:lang w:bidi="fa-IR"/>
        </w:rPr>
        <w:t xml:space="preserve">قُلْتُ </w:t>
      </w:r>
      <w:r w:rsidRPr="00F543F1">
        <w:rPr>
          <w:rStyle w:val="libFootnotenumChar"/>
          <w:rtl/>
        </w:rPr>
        <w:t>(15)</w:t>
      </w:r>
      <w:r w:rsidRPr="00132E65">
        <w:rPr>
          <w:rtl/>
          <w:lang w:bidi="fa-IR"/>
        </w:rPr>
        <w:t xml:space="preserve"> : </w:t>
      </w:r>
      <w:r w:rsidRPr="00071CF9">
        <w:rPr>
          <w:rStyle w:val="libAlaemChar"/>
          <w:rtl/>
        </w:rPr>
        <w:t>(</w:t>
      </w:r>
      <w:r w:rsidRPr="00071CF9">
        <w:rPr>
          <w:rStyle w:val="libAieChar"/>
          <w:rtl/>
        </w:rPr>
        <w:t xml:space="preserve"> ذلِكَ بِأَنَّهُمْ آمَنُوا ثُمَّ كَفَرُوا </w:t>
      </w:r>
      <w:r w:rsidRPr="00071CF9">
        <w:rPr>
          <w:rStyle w:val="libAlaemChar"/>
          <w:rtl/>
        </w:rPr>
        <w:t>)</w:t>
      </w:r>
      <w:r w:rsidRPr="00132E65">
        <w:rPr>
          <w:rtl/>
          <w:lang w:bidi="fa-IR"/>
        </w:rPr>
        <w:t xml:space="preserve"> </w:t>
      </w:r>
      <w:r w:rsidRPr="00F543F1">
        <w:rPr>
          <w:rStyle w:val="libFootnotenumChar"/>
          <w:rtl/>
        </w:rPr>
        <w:t>(16)</w:t>
      </w:r>
      <w:r>
        <w:rPr>
          <w:rtl/>
          <w:lang w:bidi="fa-IR"/>
        </w:rPr>
        <w:t>؟</w:t>
      </w:r>
      <w:r w:rsidRPr="00132E65">
        <w:rPr>
          <w:rtl/>
          <w:lang w:bidi="fa-IR"/>
        </w:rPr>
        <w:t xml:space="preserve"> قَالَ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سَمّى مَنْ لَمْ يَتَّبِعْ رَسُولَهُ فِي ولَايَةِ وصِيِّهِ مُنَافِقِينَ ، وجَعَلَ مَنْ جَحَدَ وصِيَّهُ </w:t>
      </w:r>
      <w:r w:rsidRPr="00F543F1">
        <w:rPr>
          <w:rStyle w:val="libFootnotenumChar"/>
          <w:rtl/>
        </w:rPr>
        <w:t>(17)</w:t>
      </w:r>
      <w:r w:rsidRPr="00132E65">
        <w:rPr>
          <w:rtl/>
          <w:lang w:bidi="fa-IR"/>
        </w:rPr>
        <w:t xml:space="preserve"> إِمَامَتَهُ كَمَنْ جَحَدَ مُحَمَّداً ، وأَنْزَلَ بِذلِكَ قُرْآناً ، فَقَالَ : يَا مُحَمَّدُ ، </w:t>
      </w:r>
      <w:r w:rsidRPr="00071CF9">
        <w:rPr>
          <w:rStyle w:val="libAlaemChar"/>
          <w:rtl/>
        </w:rPr>
        <w:t>(</w:t>
      </w:r>
      <w:r w:rsidRPr="00071CF9">
        <w:rPr>
          <w:rStyle w:val="libAieChar"/>
          <w:rtl/>
        </w:rPr>
        <w:t xml:space="preserve"> إِذا جاءَكَ الْمُنافِقُونَ </w:t>
      </w:r>
      <w:r w:rsidRPr="00071CF9">
        <w:rPr>
          <w:rStyle w:val="libAlaemChar"/>
          <w:rtl/>
        </w:rPr>
        <w:t>)</w:t>
      </w:r>
      <w:r w:rsidRPr="00132E65">
        <w:rPr>
          <w:rtl/>
          <w:lang w:bidi="fa-IR"/>
        </w:rPr>
        <w:t xml:space="preserve"> بِوَلَايَةِ وصِيِّكَ</w:t>
      </w:r>
      <w:r>
        <w:rPr>
          <w:rFonts w:hint="cs"/>
          <w:rtl/>
          <w:lang w:bidi="fa-IR"/>
        </w:rPr>
        <w:t xml:space="preserve"> </w:t>
      </w:r>
      <w:r w:rsidRPr="00071CF9">
        <w:rPr>
          <w:rStyle w:val="libAlaemChar"/>
          <w:rtl/>
        </w:rPr>
        <w:t>(</w:t>
      </w:r>
      <w:r w:rsidRPr="00071CF9">
        <w:rPr>
          <w:rStyle w:val="libAieChar"/>
          <w:rtl/>
        </w:rPr>
        <w:t xml:space="preserve"> قالُوا نَشْهَدُ إِنَّكَ لَرَسُولُ اللهِ وَاللهُ يَعْلَمُ إِنَّكَ لَرَسُولُهُ وَاللهُ يَشْهَدُ إِنَّ الْمُنافِقِينَ </w:t>
      </w:r>
      <w:r w:rsidRPr="00071CF9">
        <w:rPr>
          <w:rStyle w:val="libAlaemChar"/>
          <w:rtl/>
        </w:rPr>
        <w:t>)</w:t>
      </w:r>
      <w:r w:rsidRPr="00132E65">
        <w:rPr>
          <w:rtl/>
          <w:lang w:bidi="fa-IR"/>
        </w:rPr>
        <w:t xml:space="preserve"> بِوَلَايَةِ عَلِيٍّ </w:t>
      </w:r>
      <w:r w:rsidRPr="00F543F1">
        <w:rPr>
          <w:rStyle w:val="libFootnotenumChar"/>
          <w:rtl/>
        </w:rPr>
        <w:t>(18)</w:t>
      </w:r>
      <w:r w:rsidRPr="00132E65">
        <w:rPr>
          <w:rtl/>
          <w:lang w:bidi="fa-IR"/>
        </w:rPr>
        <w:t xml:space="preserve"> </w:t>
      </w:r>
      <w:r w:rsidRPr="00071CF9">
        <w:rPr>
          <w:rStyle w:val="libAlaemChar"/>
          <w:rtl/>
        </w:rPr>
        <w:t>(</w:t>
      </w:r>
      <w:r w:rsidRPr="00071CF9">
        <w:rPr>
          <w:rStyle w:val="libAieChar"/>
          <w:rtl/>
        </w:rPr>
        <w:t xml:space="preserve"> لَكاذِبُونَ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C583B" w:rsidTr="005C583B">
        <w:tc>
          <w:tcPr>
            <w:tcW w:w="4006" w:type="dxa"/>
          </w:tcPr>
          <w:p w:rsidR="005C583B" w:rsidRDefault="005C583B" w:rsidP="000C39D1">
            <w:pPr>
              <w:pStyle w:val="libFootnote0"/>
              <w:rPr>
                <w:rtl/>
              </w:rPr>
            </w:pPr>
            <w:r>
              <w:rPr>
                <w:rtl/>
              </w:rPr>
              <w:t>(1).</w:t>
            </w:r>
            <w:r w:rsidRPr="00132E65">
              <w:rPr>
                <w:rtl/>
              </w:rPr>
              <w:t xml:space="preserve"> التغابن (64) : 8.</w:t>
            </w:r>
          </w:p>
        </w:tc>
        <w:tc>
          <w:tcPr>
            <w:tcW w:w="4006" w:type="dxa"/>
          </w:tcPr>
          <w:p w:rsidR="005C583B" w:rsidRDefault="005C583B" w:rsidP="000C39D1">
            <w:pPr>
              <w:pStyle w:val="libFootnote0"/>
              <w:rPr>
                <w:rtl/>
              </w:rPr>
            </w:pPr>
            <w:r>
              <w:rPr>
                <w:rtl/>
              </w:rPr>
              <w:t>(2).</w:t>
            </w:r>
            <w:r w:rsidRPr="00132E65">
              <w:rPr>
                <w:rtl/>
              </w:rPr>
              <w:t xml:space="preserve"> في البحار ، ج 23 ، </w:t>
            </w:r>
            <w:r>
              <w:rPr>
                <w:rtl/>
              </w:rPr>
              <w:t>و 5</w:t>
            </w:r>
            <w:r w:rsidRPr="00132E65">
              <w:rPr>
                <w:rtl/>
              </w:rPr>
              <w:t>1 : « والنور »</w:t>
            </w:r>
            <w:r>
              <w:rPr>
                <w:rtl/>
              </w:rPr>
              <w:t>.</w:t>
            </w:r>
          </w:p>
        </w:tc>
      </w:tr>
    </w:tbl>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قوله »</w:t>
      </w:r>
      <w:r>
        <w:rPr>
          <w:rtl/>
        </w:rPr>
        <w:t>.</w:t>
      </w:r>
      <w:r w:rsidRPr="00132E65">
        <w:rPr>
          <w:rtl/>
        </w:rPr>
        <w:t xml:space="preserve"> وفي البحار ، ج 51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3891"/>
        <w:gridCol w:w="4121"/>
      </w:tblGrid>
      <w:tr w:rsidR="00F64E65" w:rsidTr="00813037">
        <w:tc>
          <w:tcPr>
            <w:tcW w:w="3891" w:type="dxa"/>
          </w:tcPr>
          <w:p w:rsidR="00F64E65" w:rsidRDefault="00F64E65" w:rsidP="000C39D1">
            <w:pPr>
              <w:pStyle w:val="libFootnote0"/>
              <w:rPr>
                <w:rtl/>
              </w:rPr>
            </w:pPr>
            <w:r>
              <w:rPr>
                <w:rtl/>
              </w:rPr>
              <w:t>(4).</w:t>
            </w:r>
            <w:r w:rsidRPr="00132E65">
              <w:rPr>
                <w:rtl/>
              </w:rPr>
              <w:t xml:space="preserve"> في البحار ، ج 23 ، </w:t>
            </w:r>
            <w:r>
              <w:rPr>
                <w:rtl/>
              </w:rPr>
              <w:t>و 5</w:t>
            </w:r>
            <w:r w:rsidRPr="00132E65">
              <w:rPr>
                <w:rtl/>
              </w:rPr>
              <w:t>1 :</w:t>
            </w:r>
            <w:r>
              <w:rPr>
                <w:rtl/>
              </w:rPr>
              <w:t xml:space="preserve"> + </w:t>
            </w:r>
            <w:r w:rsidRPr="00132E65">
              <w:rPr>
                <w:rtl/>
              </w:rPr>
              <w:t>« الله »</w:t>
            </w:r>
            <w:r>
              <w:rPr>
                <w:rtl/>
              </w:rPr>
              <w:t>.</w:t>
            </w:r>
          </w:p>
        </w:tc>
        <w:tc>
          <w:tcPr>
            <w:tcW w:w="4121" w:type="dxa"/>
          </w:tcPr>
          <w:p w:rsidR="00F64E65" w:rsidRDefault="00F64E65" w:rsidP="000C39D1">
            <w:pPr>
              <w:pStyle w:val="libFootnote0"/>
              <w:rPr>
                <w:rtl/>
              </w:rPr>
            </w:pPr>
            <w:r>
              <w:rPr>
                <w:rtl/>
              </w:rPr>
              <w:t>(5).</w:t>
            </w:r>
            <w:r w:rsidRPr="00132E65">
              <w:rPr>
                <w:rtl/>
              </w:rPr>
              <w:t xml:space="preserve"> في « ف » :</w:t>
            </w:r>
            <w:r>
              <w:rPr>
                <w:rtl/>
              </w:rPr>
              <w:t xml:space="preserve"> + </w:t>
            </w:r>
            <w:r w:rsidRPr="00132E65">
              <w:rPr>
                <w:rtl/>
              </w:rPr>
              <w:t>« قوله »</w:t>
            </w:r>
            <w:r>
              <w:rPr>
                <w:rtl/>
              </w:rPr>
              <w:t>.</w:t>
            </w:r>
          </w:p>
        </w:tc>
      </w:tr>
      <w:tr w:rsidR="00F64E65" w:rsidTr="00813037">
        <w:tc>
          <w:tcPr>
            <w:tcW w:w="3891" w:type="dxa"/>
          </w:tcPr>
          <w:p w:rsidR="00F64E65" w:rsidRDefault="00F64E65" w:rsidP="000C39D1">
            <w:pPr>
              <w:pStyle w:val="libFootnote0"/>
              <w:rPr>
                <w:rtl/>
              </w:rPr>
            </w:pPr>
            <w:r>
              <w:rPr>
                <w:rtl/>
              </w:rPr>
              <w:t>(6).</w:t>
            </w:r>
            <w:r w:rsidRPr="00132E65">
              <w:rPr>
                <w:rtl/>
              </w:rPr>
              <w:t xml:space="preserve"> الصفّ (61) : 9.</w:t>
            </w:r>
          </w:p>
        </w:tc>
        <w:tc>
          <w:tcPr>
            <w:tcW w:w="4121" w:type="dxa"/>
          </w:tcPr>
          <w:p w:rsidR="00F64E65" w:rsidRDefault="00F64E65" w:rsidP="000C39D1">
            <w:pPr>
              <w:pStyle w:val="libFootnote0"/>
              <w:rPr>
                <w:rtl/>
              </w:rPr>
            </w:pPr>
            <w:r>
              <w:rPr>
                <w:rtl/>
              </w:rPr>
              <w:t>(7).</w:t>
            </w:r>
            <w:r w:rsidR="00813037">
              <w:rPr>
                <w:rtl/>
              </w:rPr>
              <w:t>في البحار،</w:t>
            </w:r>
            <w:r w:rsidRPr="00132E65">
              <w:rPr>
                <w:rtl/>
              </w:rPr>
              <w:t>ج 51</w:t>
            </w:r>
            <w:r w:rsidR="00813037">
              <w:rPr>
                <w:rtl/>
              </w:rPr>
              <w:t>:-</w:t>
            </w:r>
            <w:r w:rsidR="00813037">
              <w:rPr>
                <w:rFonts w:hint="cs"/>
                <w:rtl/>
              </w:rPr>
              <w:t xml:space="preserve"> </w:t>
            </w:r>
            <w:r w:rsidR="00813037">
              <w:rPr>
                <w:rtl/>
              </w:rPr>
              <w:t>«يظهره</w:t>
            </w:r>
            <w:r w:rsidRPr="00132E65">
              <w:rPr>
                <w:rtl/>
              </w:rPr>
              <w:t>»</w:t>
            </w:r>
            <w:r>
              <w:rPr>
                <w:rtl/>
              </w:rPr>
              <w:t>.</w:t>
            </w:r>
            <w:r w:rsidR="00813037">
              <w:rPr>
                <w:rtl/>
              </w:rPr>
              <w:t>وفي</w:t>
            </w:r>
            <w:r w:rsidR="00813037">
              <w:rPr>
                <w:rFonts w:hint="cs"/>
                <w:rtl/>
              </w:rPr>
              <w:t xml:space="preserve"> </w:t>
            </w:r>
            <w:r w:rsidR="00813037">
              <w:rPr>
                <w:rtl/>
              </w:rPr>
              <w:t>ج 23:«ليظهره</w:t>
            </w:r>
            <w:r w:rsidRPr="00132E65">
              <w:rPr>
                <w:rtl/>
              </w:rPr>
              <w:t>»</w:t>
            </w:r>
            <w:r>
              <w:rPr>
                <w:rtl/>
              </w:rPr>
              <w:t>.</w:t>
            </w:r>
          </w:p>
        </w:tc>
      </w:tr>
    </w:tbl>
    <w:p w:rsidR="000C39D1" w:rsidRPr="00132E65" w:rsidRDefault="000C39D1" w:rsidP="000C39D1">
      <w:pPr>
        <w:pStyle w:val="libFootnote0"/>
        <w:rPr>
          <w:rtl/>
          <w:lang w:bidi="fa-IR"/>
        </w:rPr>
      </w:pPr>
      <w:r>
        <w:rPr>
          <w:rtl/>
        </w:rPr>
        <w:t>(8).</w:t>
      </w:r>
      <w:r w:rsidRPr="00132E65">
        <w:rPr>
          <w:rtl/>
        </w:rPr>
        <w:t xml:space="preserve"> في البحار ، ج 23 </w:t>
      </w:r>
      <w:r>
        <w:rPr>
          <w:rtl/>
        </w:rPr>
        <w:t xml:space="preserve">: - </w:t>
      </w:r>
      <w:r w:rsidRPr="00132E65">
        <w:rPr>
          <w:rtl/>
        </w:rPr>
        <w:t>« جميع »</w:t>
      </w:r>
      <w:r>
        <w:rPr>
          <w:rtl/>
        </w:rPr>
        <w:t>.</w:t>
      </w:r>
    </w:p>
    <w:p w:rsidR="000C39D1" w:rsidRPr="00132E65" w:rsidRDefault="000C39D1" w:rsidP="000C39D1">
      <w:pPr>
        <w:pStyle w:val="libFootnote0"/>
        <w:rPr>
          <w:rtl/>
          <w:lang w:bidi="fa-IR"/>
        </w:rPr>
      </w:pPr>
      <w:r>
        <w:rPr>
          <w:rtl/>
        </w:rPr>
        <w:t>(9).</w:t>
      </w:r>
      <w:r w:rsidRPr="00132E65">
        <w:rPr>
          <w:rtl/>
        </w:rPr>
        <w:t xml:space="preserve"> في البحار ، ج 23 </w:t>
      </w:r>
      <w:r>
        <w:rPr>
          <w:rtl/>
        </w:rPr>
        <w:t>و 5</w:t>
      </w:r>
      <w:r w:rsidRPr="00132E65">
        <w:rPr>
          <w:rtl/>
        </w:rPr>
        <w:t>1 : « لقول الله عزّ وجلّ » بدل « قال : يقول الله »</w:t>
      </w:r>
      <w:r>
        <w:rPr>
          <w:rtl/>
        </w:rPr>
        <w:t>.</w:t>
      </w:r>
    </w:p>
    <w:p w:rsidR="000C39D1" w:rsidRPr="00132E65" w:rsidRDefault="000C39D1" w:rsidP="000C39D1">
      <w:pPr>
        <w:pStyle w:val="libFootnote0"/>
        <w:rPr>
          <w:rtl/>
          <w:lang w:bidi="fa-IR"/>
        </w:rPr>
      </w:pPr>
      <w:r>
        <w:rPr>
          <w:rtl/>
        </w:rPr>
        <w:t>(10).</w:t>
      </w:r>
      <w:r w:rsidRPr="00132E65">
        <w:rPr>
          <w:rtl/>
        </w:rPr>
        <w:t xml:space="preserve"> في « ف ، بس ، بف » والبحار ، ج 24 </w:t>
      </w:r>
      <w:r>
        <w:rPr>
          <w:rtl/>
        </w:rPr>
        <w:t xml:space="preserve">: - </w:t>
      </w:r>
      <w:r w:rsidRPr="00132E65">
        <w:rPr>
          <w:rtl/>
        </w:rPr>
        <w:t>« نوره »</w:t>
      </w:r>
      <w:r>
        <w:rPr>
          <w:rtl/>
        </w:rPr>
        <w:t>.</w:t>
      </w:r>
    </w:p>
    <w:tbl>
      <w:tblPr>
        <w:tblStyle w:val="TableGrid"/>
        <w:bidiVisual/>
        <w:tblW w:w="0" w:type="auto"/>
        <w:tblLook w:val="04A0" w:firstRow="1" w:lastRow="0" w:firstColumn="1" w:lastColumn="0" w:noHBand="0" w:noVBand="1"/>
      </w:tblPr>
      <w:tblGrid>
        <w:gridCol w:w="4006"/>
        <w:gridCol w:w="4006"/>
      </w:tblGrid>
      <w:tr w:rsidR="00813037" w:rsidTr="00813037">
        <w:tc>
          <w:tcPr>
            <w:tcW w:w="4006" w:type="dxa"/>
          </w:tcPr>
          <w:p w:rsidR="00813037" w:rsidRDefault="00813037" w:rsidP="000C39D1">
            <w:pPr>
              <w:pStyle w:val="libFootnote0"/>
              <w:rPr>
                <w:rtl/>
              </w:rPr>
            </w:pPr>
            <w:r>
              <w:rPr>
                <w:rtl/>
              </w:rPr>
              <w:t>(11).</w:t>
            </w:r>
            <w:r w:rsidRPr="00132E65">
              <w:rPr>
                <w:rtl/>
              </w:rPr>
              <w:t xml:space="preserve"> في البحار ، ج 23 </w:t>
            </w:r>
            <w:r>
              <w:rPr>
                <w:rtl/>
              </w:rPr>
              <w:t>و 5</w:t>
            </w:r>
            <w:r w:rsidRPr="00132E65">
              <w:rPr>
                <w:rtl/>
              </w:rPr>
              <w:t>1 : « بولاية »</w:t>
            </w:r>
            <w:r>
              <w:rPr>
                <w:rtl/>
              </w:rPr>
              <w:t>.</w:t>
            </w:r>
          </w:p>
        </w:tc>
        <w:tc>
          <w:tcPr>
            <w:tcW w:w="4006" w:type="dxa"/>
          </w:tcPr>
          <w:p w:rsidR="00813037" w:rsidRDefault="00813037" w:rsidP="000C39D1">
            <w:pPr>
              <w:pStyle w:val="libFootnote0"/>
              <w:rPr>
                <w:rtl/>
              </w:rPr>
            </w:pPr>
            <w:r>
              <w:rPr>
                <w:rtl/>
              </w:rPr>
              <w:t>(12).</w:t>
            </w:r>
            <w:r w:rsidRPr="00132E65">
              <w:rPr>
                <w:rtl/>
              </w:rPr>
              <w:t xml:space="preserve"> الصفّ (61) : 8.</w:t>
            </w:r>
          </w:p>
        </w:tc>
      </w:tr>
    </w:tbl>
    <w:p w:rsidR="000C39D1" w:rsidRPr="00132E65" w:rsidRDefault="000C39D1" w:rsidP="000C39D1">
      <w:pPr>
        <w:pStyle w:val="libFootnote0"/>
        <w:rPr>
          <w:rtl/>
          <w:lang w:bidi="fa-IR"/>
        </w:rPr>
      </w:pPr>
      <w:r>
        <w:rPr>
          <w:rtl/>
        </w:rPr>
        <w:t>(13)</w:t>
      </w:r>
      <w:r w:rsidRPr="00132E65">
        <w:rPr>
          <w:rtl/>
        </w:rPr>
        <w:t xml:space="preserve"> في </w:t>
      </w:r>
      <w:r w:rsidRPr="004C30C3">
        <w:rPr>
          <w:rtl/>
        </w:rPr>
        <w:t>شرح المازندراني</w:t>
      </w:r>
      <w:r w:rsidRPr="00132E65">
        <w:rPr>
          <w:rtl/>
        </w:rPr>
        <w:t xml:space="preserve"> : « وقد عرفت</w:t>
      </w:r>
      <w:r>
        <w:rPr>
          <w:rtl/>
        </w:rPr>
        <w:t xml:space="preserve"> ..</w:t>
      </w:r>
      <w:r w:rsidRPr="00132E65">
        <w:rPr>
          <w:rtl/>
        </w:rPr>
        <w:t xml:space="preserve">. أنّ المراد بالتنزيل ما جاء به جبرئيل </w:t>
      </w:r>
      <w:r w:rsidRPr="00B46400">
        <w:rPr>
          <w:rStyle w:val="libFootnoteAlaemChar"/>
          <w:rtl/>
        </w:rPr>
        <w:t>عليه‌السلام</w:t>
      </w:r>
      <w:r w:rsidRPr="00132E65">
        <w:rPr>
          <w:rtl/>
        </w:rPr>
        <w:t xml:space="preserve"> لتبليغ الوحي ، وأنّه أعمّ من أن يكون قرآناً وجزءاً منه وأن لا يكون ، فكلّ قرآن تنزيل دون العكس »</w:t>
      </w:r>
      <w:r>
        <w:rPr>
          <w:rtl/>
        </w:rPr>
        <w:t>.</w:t>
      </w:r>
    </w:p>
    <w:tbl>
      <w:tblPr>
        <w:tblStyle w:val="TableGrid"/>
        <w:bidiVisual/>
        <w:tblW w:w="0" w:type="auto"/>
        <w:tblLook w:val="04A0" w:firstRow="1" w:lastRow="0" w:firstColumn="1" w:lastColumn="0" w:noHBand="0" w:noVBand="1"/>
      </w:tblPr>
      <w:tblGrid>
        <w:gridCol w:w="4006"/>
        <w:gridCol w:w="4006"/>
      </w:tblGrid>
      <w:tr w:rsidR="00813037" w:rsidTr="00813037">
        <w:tc>
          <w:tcPr>
            <w:tcW w:w="4006" w:type="dxa"/>
          </w:tcPr>
          <w:p w:rsidR="00813037" w:rsidRDefault="00813037" w:rsidP="000C39D1">
            <w:pPr>
              <w:pStyle w:val="libFootnote0"/>
              <w:rPr>
                <w:rtl/>
                <w:lang w:bidi="fa-IR"/>
              </w:rPr>
            </w:pPr>
            <w:r>
              <w:rPr>
                <w:rtl/>
              </w:rPr>
              <w:t>(14)</w:t>
            </w:r>
            <w:r w:rsidRPr="00132E65">
              <w:rPr>
                <w:rtl/>
              </w:rPr>
              <w:t xml:space="preserve"> في البحار ، ج 23 : « هذه الحروف »</w:t>
            </w:r>
            <w:r>
              <w:rPr>
                <w:rtl/>
              </w:rPr>
              <w:t>.</w:t>
            </w:r>
          </w:p>
        </w:tc>
        <w:tc>
          <w:tcPr>
            <w:tcW w:w="4006" w:type="dxa"/>
          </w:tcPr>
          <w:p w:rsidR="00813037" w:rsidRDefault="00813037" w:rsidP="000C39D1">
            <w:pPr>
              <w:pStyle w:val="libFootnote0"/>
              <w:rPr>
                <w:rtl/>
                <w:lang w:bidi="fa-IR"/>
              </w:rPr>
            </w:pPr>
            <w:r>
              <w:rPr>
                <w:rtl/>
              </w:rPr>
              <w:t>(15)</w:t>
            </w:r>
            <w:r w:rsidRPr="00132E65">
              <w:rPr>
                <w:rtl/>
              </w:rPr>
              <w:t xml:space="preserve"> في « ف » :</w:t>
            </w:r>
            <w:r>
              <w:rPr>
                <w:rtl/>
              </w:rPr>
              <w:t xml:space="preserve"> + </w:t>
            </w:r>
            <w:r w:rsidRPr="00132E65">
              <w:rPr>
                <w:rtl/>
              </w:rPr>
              <w:t>« قوله »</w:t>
            </w:r>
            <w:r>
              <w:rPr>
                <w:rtl/>
              </w:rPr>
              <w:t>.</w:t>
            </w:r>
          </w:p>
        </w:tc>
      </w:tr>
    </w:tbl>
    <w:p w:rsidR="000C39D1" w:rsidRPr="00132E65" w:rsidRDefault="000C39D1" w:rsidP="000C39D1">
      <w:pPr>
        <w:pStyle w:val="libFootnote0"/>
        <w:rPr>
          <w:rtl/>
          <w:lang w:bidi="fa-IR"/>
        </w:rPr>
      </w:pPr>
      <w:r>
        <w:rPr>
          <w:rtl/>
        </w:rPr>
        <w:t>(16)</w:t>
      </w:r>
      <w:r w:rsidRPr="00132E65">
        <w:rPr>
          <w:rtl/>
        </w:rPr>
        <w:t xml:space="preserve"> المنافقون (63) : 3.</w:t>
      </w:r>
    </w:p>
    <w:p w:rsidR="000C39D1" w:rsidRPr="00132E65" w:rsidRDefault="000C39D1" w:rsidP="000C39D1">
      <w:pPr>
        <w:pStyle w:val="libFootnote0"/>
        <w:rPr>
          <w:rtl/>
          <w:lang w:bidi="fa-IR"/>
        </w:rPr>
      </w:pPr>
      <w:r>
        <w:rPr>
          <w:rtl/>
        </w:rPr>
        <w:t>(17)</w:t>
      </w:r>
      <w:r w:rsidRPr="00132E65">
        <w:rPr>
          <w:rtl/>
        </w:rPr>
        <w:t xml:space="preserve"> في « ب ، بح » وحاشية « ف » : « وصيّته »</w:t>
      </w:r>
      <w:r>
        <w:rPr>
          <w:rtl/>
        </w:rPr>
        <w:t>.</w:t>
      </w:r>
      <w:r w:rsidRPr="00132E65">
        <w:rPr>
          <w:rtl/>
        </w:rPr>
        <w:t xml:space="preserve"> وفي « ف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(18)</w:t>
      </w:r>
      <w:r w:rsidRPr="00132E65">
        <w:rPr>
          <w:rtl/>
        </w:rPr>
        <w:t xml:space="preserve"> في « بس » </w:t>
      </w:r>
      <w:r>
        <w:rPr>
          <w:rtl/>
        </w:rPr>
        <w:t xml:space="preserve">: - </w:t>
      </w:r>
      <w:r w:rsidRPr="00132E65">
        <w:rPr>
          <w:rtl/>
        </w:rPr>
        <w:t>« بولاية عليّ »</w:t>
      </w:r>
      <w:r>
        <w:rPr>
          <w:rtl/>
        </w:rPr>
        <w:t>.</w:t>
      </w:r>
      <w:r w:rsidRPr="00132E65">
        <w:rPr>
          <w:rtl/>
        </w:rPr>
        <w:t xml:space="preserve"> وفي </w:t>
      </w:r>
      <w:r w:rsidRPr="009D1ACE">
        <w:rPr>
          <w:rStyle w:val="libFootnoteBoldChar"/>
          <w:rtl/>
        </w:rPr>
        <w:t>مرآة العقول</w:t>
      </w:r>
      <w:r w:rsidRPr="00132E65">
        <w:rPr>
          <w:rtl/>
        </w:rPr>
        <w:t xml:space="preserve"> : « بولاية وصيّك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B46400" w:rsidP="000C39D1">
      <w:pPr>
        <w:pStyle w:val="libNormal0"/>
        <w:tabs>
          <w:tab w:val="left" w:pos="3968"/>
        </w:tabs>
        <w:rPr>
          <w:rtl/>
          <w:lang w:bidi="fa-IR"/>
        </w:rPr>
      </w:pPr>
      <w:r>
        <w:rPr>
          <w:rStyle w:val="libAieChar"/>
          <w:rFonts w:hint="cs"/>
          <w:rtl/>
        </w:rPr>
        <w:t xml:space="preserve">* </w:t>
      </w:r>
      <w:r w:rsidR="000C39D1" w:rsidRPr="00071CF9">
        <w:rPr>
          <w:rStyle w:val="libAieChar"/>
          <w:rtl/>
        </w:rPr>
        <w:t xml:space="preserve">اتَّخَذُوا أَيْمانَهُمْ جُنَّةً فَصَدُّوا عَنْ سَبِيلِ اللهِ </w:t>
      </w:r>
      <w:r w:rsidR="000C39D1" w:rsidRPr="00071CF9">
        <w:rPr>
          <w:rStyle w:val="libAlaemChar"/>
          <w:rtl/>
        </w:rPr>
        <w:t>)</w:t>
      </w:r>
      <w:r w:rsidR="000C39D1" w:rsidRPr="00132E65">
        <w:rPr>
          <w:rtl/>
          <w:lang w:bidi="fa-IR"/>
        </w:rPr>
        <w:t xml:space="preserve"> وَ</w:t>
      </w:r>
      <w:r w:rsidR="000C39D1">
        <w:rPr>
          <w:rFonts w:hint="cs"/>
          <w:rtl/>
          <w:lang w:bidi="fa-IR"/>
        </w:rPr>
        <w:t xml:space="preserve"> </w:t>
      </w:r>
      <w:r w:rsidR="000C39D1">
        <w:rPr>
          <w:rStyle w:val="libFootnotenumChar"/>
          <w:rtl/>
        </w:rPr>
        <w:t>(1)</w:t>
      </w:r>
      <w:r w:rsidR="000C39D1" w:rsidRPr="00132E65">
        <w:rPr>
          <w:rtl/>
          <w:lang w:bidi="fa-IR"/>
        </w:rPr>
        <w:t xml:space="preserve"> السَّبِيلُ هُوَ الْوَصِيُّ</w:t>
      </w:r>
      <w:r w:rsidR="000C39D1">
        <w:rPr>
          <w:rFonts w:hint="cs"/>
          <w:rtl/>
          <w:lang w:bidi="fa-IR"/>
        </w:rPr>
        <w:t xml:space="preserve"> </w:t>
      </w:r>
      <w:r w:rsidR="000C39D1" w:rsidRPr="00071CF9">
        <w:rPr>
          <w:rStyle w:val="libAlaemChar"/>
          <w:rtl/>
        </w:rPr>
        <w:t>(</w:t>
      </w:r>
      <w:r w:rsidR="000C39D1" w:rsidRPr="00071CF9">
        <w:rPr>
          <w:rStyle w:val="libAieChar"/>
          <w:rtl/>
        </w:rPr>
        <w:t xml:space="preserve"> إِنَّهُمْ ساءَ ما كانُوا يَعْمَلُونَ</w:t>
      </w:r>
      <w:r>
        <w:rPr>
          <w:rStyle w:val="libAieChar"/>
          <w:rFonts w:hint="cs"/>
          <w:rtl/>
        </w:rPr>
        <w:t xml:space="preserve"> *</w:t>
      </w:r>
      <w:r w:rsidR="000C39D1" w:rsidRPr="00071CF9">
        <w:rPr>
          <w:rStyle w:val="libAieChar"/>
          <w:rtl/>
        </w:rPr>
        <w:t xml:space="preserve"> ذلِكَ بِأَنَّهُمْ آمَنُوا </w:t>
      </w:r>
      <w:r w:rsidR="000C39D1" w:rsidRPr="00071CF9">
        <w:rPr>
          <w:rStyle w:val="libAlaemChar"/>
          <w:rtl/>
        </w:rPr>
        <w:t>)</w:t>
      </w:r>
      <w:r w:rsidR="000C39D1" w:rsidRPr="00132E65">
        <w:rPr>
          <w:rtl/>
          <w:lang w:bidi="fa-IR"/>
        </w:rPr>
        <w:t xml:space="preserve"> بِرِسَالَتِكَ</w:t>
      </w:r>
      <w:r w:rsidR="000C39D1">
        <w:rPr>
          <w:rFonts w:hint="cs"/>
          <w:rtl/>
          <w:lang w:bidi="fa-IR"/>
        </w:rPr>
        <w:t xml:space="preserve"> </w:t>
      </w:r>
      <w:r w:rsidR="000C39D1" w:rsidRPr="00071CF9">
        <w:rPr>
          <w:rStyle w:val="libAlaemChar"/>
          <w:rtl/>
        </w:rPr>
        <w:t>(</w:t>
      </w:r>
      <w:r w:rsidR="000C39D1" w:rsidRPr="00071CF9">
        <w:rPr>
          <w:rStyle w:val="libAieChar"/>
          <w:rtl/>
        </w:rPr>
        <w:t xml:space="preserve"> ثُمَّ كَفَرُوا </w:t>
      </w:r>
      <w:r w:rsidR="000C39D1" w:rsidRPr="00071CF9">
        <w:rPr>
          <w:rStyle w:val="libAlaemChar"/>
          <w:rtl/>
        </w:rPr>
        <w:t>)</w:t>
      </w:r>
      <w:r w:rsidR="000C39D1" w:rsidRPr="00132E65">
        <w:rPr>
          <w:rtl/>
          <w:lang w:bidi="fa-IR"/>
        </w:rPr>
        <w:t xml:space="preserve"> </w:t>
      </w:r>
      <w:r w:rsidR="000C39D1">
        <w:rPr>
          <w:rStyle w:val="libFootnotenumChar"/>
          <w:rtl/>
        </w:rPr>
        <w:t>(2)</w:t>
      </w:r>
      <w:r w:rsidR="000C39D1" w:rsidRPr="00132E65">
        <w:rPr>
          <w:rtl/>
          <w:lang w:bidi="fa-IR"/>
        </w:rPr>
        <w:t xml:space="preserve"> بِوَلَايَةِ وصِيِّكَ</w:t>
      </w:r>
      <w:r w:rsidR="000C39D1">
        <w:rPr>
          <w:rFonts w:hint="cs"/>
          <w:rtl/>
          <w:lang w:bidi="fa-IR"/>
        </w:rPr>
        <w:t xml:space="preserve"> </w:t>
      </w:r>
      <w:r w:rsidR="000C39D1" w:rsidRPr="00071CF9">
        <w:rPr>
          <w:rStyle w:val="libAlaemChar"/>
          <w:rtl/>
        </w:rPr>
        <w:t>(</w:t>
      </w:r>
      <w:r w:rsidR="000C39D1" w:rsidRPr="00071CF9">
        <w:rPr>
          <w:rStyle w:val="libAieChar"/>
          <w:rtl/>
        </w:rPr>
        <w:t xml:space="preserve"> فَطُبِعَ </w:t>
      </w:r>
      <w:r w:rsidR="000C39D1" w:rsidRPr="00071CF9">
        <w:rPr>
          <w:rStyle w:val="libAlaemChar"/>
          <w:rtl/>
        </w:rPr>
        <w:t>)</w:t>
      </w:r>
      <w:r w:rsidR="000C39D1" w:rsidRPr="00132E65">
        <w:rPr>
          <w:rtl/>
          <w:lang w:bidi="fa-IR"/>
        </w:rPr>
        <w:t xml:space="preserve"> </w:t>
      </w:r>
      <w:r w:rsidR="000C39D1">
        <w:rPr>
          <w:rStyle w:val="libFootnotenumChar"/>
          <w:rtl/>
        </w:rPr>
        <w:t>(3)</w:t>
      </w:r>
      <w:r w:rsidR="000C39D1" w:rsidRPr="00132E65">
        <w:rPr>
          <w:rtl/>
          <w:lang w:bidi="fa-IR"/>
        </w:rPr>
        <w:t xml:space="preserve"> </w:t>
      </w:r>
      <w:r w:rsidR="000C39D1" w:rsidRPr="00071CF9">
        <w:rPr>
          <w:rStyle w:val="libAlaemChar"/>
          <w:rtl/>
        </w:rPr>
        <w:t>(</w:t>
      </w:r>
      <w:r w:rsidR="000C39D1" w:rsidRPr="00071CF9">
        <w:rPr>
          <w:rStyle w:val="libAieChar"/>
          <w:rtl/>
        </w:rPr>
        <w:t xml:space="preserve"> عَلى قُلُوبِهِمْ فَهُمْ لا يَفْقَهُونَ </w:t>
      </w:r>
      <w:r w:rsidR="000C39D1" w:rsidRPr="00071CF9">
        <w:rPr>
          <w:rStyle w:val="libAlaemChar"/>
          <w:rtl/>
        </w:rPr>
        <w:t>)</w:t>
      </w:r>
      <w:r w:rsidR="000C39D1" w:rsidRPr="00132E65">
        <w:rPr>
          <w:rtl/>
          <w:lang w:bidi="fa-IR"/>
        </w:rPr>
        <w:t xml:space="preserve"> </w:t>
      </w:r>
      <w:r w:rsidR="000C39D1">
        <w:rPr>
          <w:rStyle w:val="libFootnotenumChar"/>
          <w:rtl/>
        </w:rPr>
        <w:t>(4)</w:t>
      </w:r>
      <w:r w:rsidR="000C39D1" w:rsidRPr="00132E65">
        <w:rPr>
          <w:rtl/>
          <w:lang w:bidi="fa-IR"/>
        </w:rPr>
        <w:t xml:space="preserve"> »</w:t>
      </w:r>
      <w:r w:rsidR="000C39D1">
        <w:rPr>
          <w:rtl/>
          <w:lang w:bidi="fa-IR"/>
        </w:rPr>
        <w:t>.</w:t>
      </w:r>
    </w:p>
    <w:p w:rsidR="000C39D1" w:rsidRPr="00132E65" w:rsidRDefault="000C39D1" w:rsidP="000C39D1">
      <w:pPr>
        <w:pStyle w:val="libNormal"/>
        <w:rPr>
          <w:rtl/>
          <w:lang w:bidi="fa-IR"/>
        </w:rPr>
      </w:pPr>
      <w:r w:rsidRPr="00132E65">
        <w:rPr>
          <w:rtl/>
          <w:lang w:bidi="fa-IR"/>
        </w:rPr>
        <w:t>قُلْتُ : مَا مَعْنى « لَا يَفْقَهُونَ »</w:t>
      </w:r>
      <w:r>
        <w:rPr>
          <w:rtl/>
          <w:lang w:bidi="fa-IR"/>
        </w:rPr>
        <w:t>؟</w:t>
      </w:r>
      <w:r w:rsidRPr="00132E65">
        <w:rPr>
          <w:rtl/>
          <w:lang w:bidi="fa-IR"/>
        </w:rPr>
        <w:t xml:space="preserve"> قَالَ : « يَقُولُ </w:t>
      </w:r>
      <w:r>
        <w:rPr>
          <w:rStyle w:val="libFootnotenumChar"/>
          <w:rtl/>
        </w:rPr>
        <w:t>(5)</w:t>
      </w:r>
      <w:r w:rsidRPr="00132E65">
        <w:rPr>
          <w:rtl/>
          <w:lang w:bidi="fa-IR"/>
        </w:rPr>
        <w:t xml:space="preserve"> : لَايَعْقِلُونَ </w:t>
      </w:r>
      <w:r>
        <w:rPr>
          <w:rStyle w:val="libFootnotenumChar"/>
          <w:rtl/>
        </w:rPr>
        <w:t>(6)</w:t>
      </w:r>
      <w:r w:rsidRPr="00132E65">
        <w:rPr>
          <w:rtl/>
          <w:lang w:bidi="fa-IR"/>
        </w:rPr>
        <w:t xml:space="preserve"> بِنُبُوَّتِكَ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وَإِذا قِيلَ لَهُمْ تَعالَوْا يَسْتَغْفِرْ لَكُمْ رَسُولُ اللهِ </w:t>
      </w:r>
      <w:r w:rsidRPr="00071CF9">
        <w:rPr>
          <w:rStyle w:val="libAlaemChar"/>
          <w:rtl/>
        </w:rPr>
        <w:t>)</w:t>
      </w:r>
      <w:r>
        <w:rPr>
          <w:rtl/>
          <w:lang w:bidi="fa-IR"/>
        </w:rPr>
        <w:t>؟</w:t>
      </w:r>
      <w:r w:rsidRPr="00132E65">
        <w:rPr>
          <w:rtl/>
          <w:lang w:bidi="fa-IR"/>
        </w:rPr>
        <w:t xml:space="preserve"> قَالَ </w:t>
      </w:r>
      <w:r>
        <w:rPr>
          <w:rStyle w:val="libFootnotenumChar"/>
          <w:rtl/>
        </w:rPr>
        <w:t>(7)</w:t>
      </w:r>
      <w:r w:rsidRPr="00132E65">
        <w:rPr>
          <w:rtl/>
          <w:lang w:bidi="fa-IR"/>
        </w:rPr>
        <w:t xml:space="preserve"> : « وَإِذَا قِيلَ لَهُمُ : ارْجِعُوا </w:t>
      </w:r>
      <w:r>
        <w:rPr>
          <w:rStyle w:val="libFootnotenumChar"/>
          <w:rtl/>
        </w:rPr>
        <w:t>(8)</w:t>
      </w:r>
      <w:r w:rsidRPr="00132E65">
        <w:rPr>
          <w:rtl/>
          <w:lang w:bidi="fa-IR"/>
        </w:rPr>
        <w:t xml:space="preserve"> إِلى ولَايَةِ عَلِيٍّ يَسْتَغْفِرْ لَكُمُ النَّبِيُّ </w:t>
      </w:r>
      <w:r>
        <w:rPr>
          <w:rStyle w:val="libFootnotenumChar"/>
          <w:rtl/>
        </w:rPr>
        <w:t>(9)</w:t>
      </w:r>
      <w:r w:rsidRPr="00132E65">
        <w:rPr>
          <w:rtl/>
          <w:lang w:bidi="fa-IR"/>
        </w:rPr>
        <w:t xml:space="preserve"> مِنْ ذُنُوبِكُمْ</w:t>
      </w:r>
      <w:r>
        <w:rPr>
          <w:rFonts w:hint="cs"/>
          <w:rtl/>
          <w:lang w:bidi="fa-IR"/>
        </w:rPr>
        <w:t xml:space="preserve"> </w:t>
      </w:r>
      <w:r w:rsidRPr="00071CF9">
        <w:rPr>
          <w:rStyle w:val="libAlaemChar"/>
          <w:rtl/>
        </w:rPr>
        <w:t>(</w:t>
      </w:r>
      <w:r w:rsidRPr="00071CF9">
        <w:rPr>
          <w:rStyle w:val="libAieChar"/>
          <w:rtl/>
        </w:rPr>
        <w:t xml:space="preserve"> لَوَّوْا رُؤُسَهُمْ </w:t>
      </w:r>
      <w:r w:rsidRPr="00071CF9">
        <w:rPr>
          <w:rStyle w:val="libAlaemChar"/>
          <w:rtl/>
        </w:rPr>
        <w:t>)</w:t>
      </w:r>
      <w:r w:rsidRPr="00132E65">
        <w:rPr>
          <w:rtl/>
          <w:lang w:bidi="fa-IR"/>
        </w:rPr>
        <w:t xml:space="preserve"> قَالَ اللهُ : </w:t>
      </w:r>
      <w:r w:rsidRPr="00071CF9">
        <w:rPr>
          <w:rStyle w:val="libAlaemChar"/>
          <w:rtl/>
        </w:rPr>
        <w:t>(</w:t>
      </w:r>
      <w:r w:rsidRPr="00071CF9">
        <w:rPr>
          <w:rStyle w:val="libAieChar"/>
          <w:rtl/>
        </w:rPr>
        <w:t xml:space="preserve"> وَرَأَيْتَهُمْ يَصُدُّونَ </w:t>
      </w:r>
      <w:r w:rsidRPr="00071CF9">
        <w:rPr>
          <w:rStyle w:val="libAlaemChar"/>
          <w:rtl/>
        </w:rPr>
        <w:t>)</w:t>
      </w:r>
      <w:r w:rsidRPr="00132E65">
        <w:rPr>
          <w:rtl/>
          <w:lang w:bidi="fa-IR"/>
        </w:rPr>
        <w:t xml:space="preserve"> عَنْ ولَايَةِ عَلِيٍّ</w:t>
      </w:r>
      <w:r>
        <w:rPr>
          <w:rFonts w:hint="cs"/>
          <w:rtl/>
          <w:lang w:bidi="fa-IR"/>
        </w:rPr>
        <w:t xml:space="preserve"> </w:t>
      </w:r>
      <w:r w:rsidRPr="00071CF9">
        <w:rPr>
          <w:rStyle w:val="libAlaemChar"/>
          <w:rtl/>
        </w:rPr>
        <w:t>(</w:t>
      </w:r>
      <w:r w:rsidRPr="00071CF9">
        <w:rPr>
          <w:rStyle w:val="libAieChar"/>
          <w:rtl/>
        </w:rPr>
        <w:t xml:space="preserve"> وَهُمْ مُسْتَكْبِرُونَ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عَلَيْهِ.</w:t>
      </w:r>
    </w:p>
    <w:p w:rsidR="000C39D1" w:rsidRPr="00132E65" w:rsidRDefault="000C39D1" w:rsidP="000C39D1">
      <w:pPr>
        <w:pStyle w:val="libNormal"/>
        <w:rPr>
          <w:rtl/>
          <w:lang w:bidi="fa-IR"/>
        </w:rPr>
      </w:pPr>
      <w:r w:rsidRPr="00132E65">
        <w:rPr>
          <w:rtl/>
          <w:lang w:bidi="fa-IR"/>
        </w:rPr>
        <w:t xml:space="preserve">ثُمَّ عَطَفَ الْقَوْلَ </w:t>
      </w:r>
      <w:r>
        <w:rPr>
          <w:rStyle w:val="libFootnotenumChar"/>
          <w:rtl/>
        </w:rPr>
        <w:t>(11)</w:t>
      </w:r>
      <w:r w:rsidRPr="00132E65">
        <w:rPr>
          <w:rtl/>
          <w:lang w:bidi="fa-IR"/>
        </w:rPr>
        <w:t xml:space="preserve"> مِنَ اللهِ بِمَعْرِفَتِهِ بِهِمْ ، فَقَالَ : </w:t>
      </w:r>
      <w:r w:rsidRPr="00071CF9">
        <w:rPr>
          <w:rStyle w:val="libAlaemChar"/>
          <w:rtl/>
        </w:rPr>
        <w:t>(</w:t>
      </w:r>
      <w:r w:rsidRPr="00071CF9">
        <w:rPr>
          <w:rStyle w:val="libAieChar"/>
          <w:rtl/>
        </w:rPr>
        <w:t xml:space="preserve"> سَواءٌ عَلَيْهِمْ أَسْتَغْفَرْتَ لَهُمْ أَمْ لَمْ تَسْتَغْفِرْ لَهُمْ لَنْ يَغْفِرَ اللهُ لَهُمْ إِنَّ اللهَ لا يَهْدِي الْقَوْمَ الْفاسِقِينَ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يَقُولُ : الظَّالِمِينَ لِوَصِيِّكَ »</w:t>
      </w:r>
      <w:r>
        <w:rPr>
          <w:rtl/>
          <w:lang w:bidi="fa-IR"/>
        </w:rPr>
        <w:t>.</w:t>
      </w:r>
    </w:p>
    <w:p w:rsidR="000C39D1" w:rsidRPr="00132E65" w:rsidRDefault="000C39D1" w:rsidP="00936037">
      <w:pPr>
        <w:pStyle w:val="libNormal"/>
        <w:rPr>
          <w:rtl/>
          <w:lang w:bidi="fa-IR"/>
        </w:rPr>
      </w:pPr>
      <w:r w:rsidRPr="00132E65">
        <w:rPr>
          <w:rtl/>
          <w:lang w:bidi="fa-IR"/>
        </w:rPr>
        <w:t xml:space="preserve">قُلْتُ </w:t>
      </w:r>
      <w:r w:rsidRPr="00F543F1">
        <w:rPr>
          <w:rStyle w:val="libFootnotenumChar"/>
          <w:rtl/>
        </w:rPr>
        <w:t>(13)</w:t>
      </w:r>
      <w:r w:rsidRPr="00132E65">
        <w:rPr>
          <w:rtl/>
          <w:lang w:bidi="fa-IR"/>
        </w:rPr>
        <w:t xml:space="preserve"> : </w:t>
      </w:r>
      <w:r w:rsidRPr="00071CF9">
        <w:rPr>
          <w:rStyle w:val="libAlaemChar"/>
          <w:rtl/>
        </w:rPr>
        <w:t>(</w:t>
      </w:r>
      <w:r w:rsidRPr="00071CF9">
        <w:rPr>
          <w:rStyle w:val="libAieChar"/>
          <w:rtl/>
        </w:rPr>
        <w:t xml:space="preserve"> أَفَمَنْ يَمْشِي مُكِبًّا عَلى وَجْهِهِ أَهْدى أَمَّنْ يَمْشِي سَوِيًّا عَلى صِراطٍ مُسْتَقِيمٍ </w:t>
      </w:r>
      <w:r w:rsidRPr="00071CF9">
        <w:rPr>
          <w:rStyle w:val="libAlaemChar"/>
          <w:rtl/>
        </w:rPr>
        <w:t>)</w:t>
      </w:r>
      <w:r w:rsidRPr="00132E65">
        <w:rPr>
          <w:rtl/>
          <w:lang w:bidi="fa-IR"/>
        </w:rPr>
        <w:t xml:space="preserve"> </w:t>
      </w:r>
      <w:r w:rsidRPr="00F543F1">
        <w:rPr>
          <w:rStyle w:val="libFootnotenumChar"/>
          <w:rtl/>
        </w:rPr>
        <w:t>(14)</w:t>
      </w:r>
      <w:r>
        <w:rPr>
          <w:rtl/>
          <w:lang w:bidi="fa-IR"/>
        </w:rPr>
        <w:t>؟</w:t>
      </w:r>
      <w:r>
        <w:rPr>
          <w:rFonts w:hint="cs"/>
          <w:rtl/>
        </w:rPr>
        <w:t xml:space="preserve"> </w:t>
      </w:r>
      <w:r w:rsidRPr="00132E65">
        <w:rPr>
          <w:rtl/>
          <w:lang w:bidi="fa-IR"/>
        </w:rPr>
        <w:t xml:space="preserve">قَالَ : « إِنَّ اللهَ ضَرَبَ مَثَلَ </w:t>
      </w:r>
      <w:r w:rsidRPr="00F543F1">
        <w:rPr>
          <w:rStyle w:val="libFootnotenumChar"/>
          <w:rtl/>
        </w:rPr>
        <w:t>(15)</w:t>
      </w:r>
      <w:r w:rsidRPr="00132E65">
        <w:rPr>
          <w:rtl/>
          <w:lang w:bidi="fa-IR"/>
        </w:rPr>
        <w:t xml:space="preserve"> مَنْ حَادَ </w:t>
      </w:r>
      <w:r w:rsidRPr="00F543F1">
        <w:rPr>
          <w:rStyle w:val="libFootnotenumChar"/>
          <w:rtl/>
        </w:rPr>
        <w:t>(16)</w:t>
      </w:r>
      <w:r w:rsidRPr="00132E65">
        <w:rPr>
          <w:rtl/>
          <w:lang w:bidi="fa-IR"/>
        </w:rPr>
        <w:t xml:space="preserve"> عَنْ ولَايَةِ عَلِيٍّ كَمَنْ يَمْشِي عَلى</w:t>
      </w:r>
      <w:r w:rsidR="00936037">
        <w:rPr>
          <w:rFonts w:hint="cs"/>
          <w:rtl/>
          <w:lang w:bidi="fa-IR"/>
        </w:rPr>
        <w:t>..............</w:t>
      </w:r>
      <w:r w:rsidR="00B46400">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بح » : « وقال »</w:t>
      </w:r>
      <w:r>
        <w:rPr>
          <w:rtl/>
        </w:rPr>
        <w:t>.</w:t>
      </w:r>
    </w:p>
    <w:p w:rsidR="000C39D1" w:rsidRPr="00132E65" w:rsidRDefault="000C39D1" w:rsidP="000C39D1">
      <w:pPr>
        <w:pStyle w:val="libFootnote0"/>
        <w:rPr>
          <w:rtl/>
          <w:lang w:bidi="fa-IR"/>
        </w:rPr>
      </w:pPr>
      <w:r>
        <w:rPr>
          <w:rtl/>
        </w:rPr>
        <w:t>(2).</w:t>
      </w:r>
      <w:r w:rsidRPr="00132E65">
        <w:rPr>
          <w:rtl/>
        </w:rPr>
        <w:t xml:space="preserve"> هكذا في القرآن وحاشية « ف »</w:t>
      </w:r>
      <w:r>
        <w:rPr>
          <w:rtl/>
        </w:rPr>
        <w:t>.</w:t>
      </w:r>
      <w:r w:rsidRPr="00132E65">
        <w:rPr>
          <w:rtl/>
        </w:rPr>
        <w:t xml:space="preserve"> وفي سائر النسخ والمطبوع : « وكفروا »</w:t>
      </w:r>
      <w:r>
        <w:rPr>
          <w:rtl/>
        </w:rPr>
        <w:t>.</w:t>
      </w:r>
    </w:p>
    <w:p w:rsidR="000C39D1" w:rsidRPr="00132E65" w:rsidRDefault="000C39D1" w:rsidP="000C39D1">
      <w:pPr>
        <w:pStyle w:val="libFootnote0"/>
        <w:rPr>
          <w:rtl/>
          <w:lang w:bidi="fa-IR"/>
        </w:rPr>
      </w:pPr>
      <w:r>
        <w:rPr>
          <w:rtl/>
        </w:rPr>
        <w:t>(3).</w:t>
      </w:r>
      <w:r w:rsidRPr="00132E65">
        <w:rPr>
          <w:rtl/>
        </w:rPr>
        <w:t xml:space="preserve"> هكذا في القرآن وحاشية « بر »</w:t>
      </w:r>
      <w:r>
        <w:rPr>
          <w:rtl/>
        </w:rPr>
        <w:t>.</w:t>
      </w:r>
      <w:r w:rsidRPr="00132E65">
        <w:rPr>
          <w:rtl/>
        </w:rPr>
        <w:t xml:space="preserve"> وفي النسخ والمطبوع : « فَطَبَع الله »</w:t>
      </w:r>
      <w:r>
        <w:rPr>
          <w:rtl/>
        </w:rPr>
        <w:t>.</w:t>
      </w:r>
    </w:p>
    <w:tbl>
      <w:tblPr>
        <w:tblStyle w:val="TableGrid"/>
        <w:bidiVisual/>
        <w:tblW w:w="0" w:type="auto"/>
        <w:tblLook w:val="04A0" w:firstRow="1" w:lastRow="0" w:firstColumn="1" w:lastColumn="0" w:noHBand="0" w:noVBand="1"/>
      </w:tblPr>
      <w:tblGrid>
        <w:gridCol w:w="4006"/>
        <w:gridCol w:w="4006"/>
      </w:tblGrid>
      <w:tr w:rsidR="001609D6" w:rsidTr="001609D6">
        <w:tc>
          <w:tcPr>
            <w:tcW w:w="4006" w:type="dxa"/>
          </w:tcPr>
          <w:p w:rsidR="001609D6" w:rsidRDefault="001609D6" w:rsidP="000C39D1">
            <w:pPr>
              <w:pStyle w:val="libFootnote0"/>
              <w:rPr>
                <w:rtl/>
              </w:rPr>
            </w:pPr>
            <w:r>
              <w:rPr>
                <w:rtl/>
              </w:rPr>
              <w:t>(4).</w:t>
            </w:r>
            <w:r w:rsidRPr="00132E65">
              <w:rPr>
                <w:rtl/>
              </w:rPr>
              <w:t xml:space="preserve"> المنافقون (63) : 1</w:t>
            </w:r>
            <w:r>
              <w:rPr>
                <w:rtl/>
              </w:rPr>
              <w:t xml:space="preserve"> - </w:t>
            </w:r>
            <w:r w:rsidRPr="00132E65">
              <w:rPr>
                <w:rtl/>
              </w:rPr>
              <w:t>3.</w:t>
            </w:r>
          </w:p>
        </w:tc>
        <w:tc>
          <w:tcPr>
            <w:tcW w:w="4006" w:type="dxa"/>
          </w:tcPr>
          <w:p w:rsidR="001609D6" w:rsidRDefault="001609D6" w:rsidP="000C39D1">
            <w:pPr>
              <w:pStyle w:val="libFootnote0"/>
              <w:rPr>
                <w:rtl/>
              </w:rPr>
            </w:pPr>
            <w:r>
              <w:rPr>
                <w:rtl/>
              </w:rPr>
              <w:t>(5).</w:t>
            </w:r>
            <w:r w:rsidRPr="00132E65">
              <w:rPr>
                <w:rtl/>
              </w:rPr>
              <w:t xml:space="preserve"> في « بح » :</w:t>
            </w:r>
            <w:r>
              <w:rPr>
                <w:rtl/>
              </w:rPr>
              <w:t xml:space="preserve"> + </w:t>
            </w:r>
            <w:r w:rsidRPr="00132E65">
              <w:rPr>
                <w:rtl/>
              </w:rPr>
              <w:t>« الله يقول »</w:t>
            </w:r>
            <w:r>
              <w:rPr>
                <w:rtl/>
              </w:rPr>
              <w:t>.</w:t>
            </w:r>
          </w:p>
        </w:tc>
      </w:tr>
      <w:tr w:rsidR="001609D6" w:rsidTr="001609D6">
        <w:tc>
          <w:tcPr>
            <w:tcW w:w="4006" w:type="dxa"/>
          </w:tcPr>
          <w:p w:rsidR="001609D6" w:rsidRDefault="001609D6" w:rsidP="000C39D1">
            <w:pPr>
              <w:pStyle w:val="libFootnote0"/>
              <w:rPr>
                <w:rtl/>
              </w:rPr>
            </w:pPr>
            <w:r>
              <w:rPr>
                <w:rtl/>
              </w:rPr>
              <w:t>(6).</w:t>
            </w:r>
            <w:r w:rsidRPr="00132E65">
              <w:rPr>
                <w:rtl/>
              </w:rPr>
              <w:t xml:space="preserve"> في </w:t>
            </w:r>
            <w:r w:rsidRPr="009D1ACE">
              <w:rPr>
                <w:rStyle w:val="libFootnoteBoldChar"/>
                <w:rtl/>
              </w:rPr>
              <w:t>الوافي</w:t>
            </w:r>
            <w:r w:rsidRPr="00132E65">
              <w:rPr>
                <w:rtl/>
              </w:rPr>
              <w:t xml:space="preserve"> : « لا يقولون »</w:t>
            </w:r>
            <w:r>
              <w:rPr>
                <w:rtl/>
              </w:rPr>
              <w:t>.</w:t>
            </w:r>
          </w:p>
        </w:tc>
        <w:tc>
          <w:tcPr>
            <w:tcW w:w="4006" w:type="dxa"/>
          </w:tcPr>
          <w:p w:rsidR="001609D6" w:rsidRDefault="001609D6" w:rsidP="000C39D1">
            <w:pPr>
              <w:pStyle w:val="libFootnote0"/>
              <w:rPr>
                <w:rtl/>
              </w:rPr>
            </w:pPr>
            <w:r>
              <w:rPr>
                <w:rtl/>
              </w:rPr>
              <w:t>(7).</w:t>
            </w:r>
            <w:r w:rsidRPr="00132E65">
              <w:rPr>
                <w:rtl/>
              </w:rPr>
              <w:t xml:space="preserve"> في « بح » </w:t>
            </w:r>
            <w:r>
              <w:rPr>
                <w:rtl/>
              </w:rPr>
              <w:t xml:space="preserve">: - </w:t>
            </w:r>
            <w:r w:rsidRPr="00132E65">
              <w:rPr>
                <w:rtl/>
              </w:rPr>
              <w:t>« وإذا قيل</w:t>
            </w:r>
            <w:r>
              <w:rPr>
                <w:rtl/>
              </w:rPr>
              <w:t xml:space="preserve"> - </w:t>
            </w:r>
            <w:r w:rsidRPr="00132E65">
              <w:rPr>
                <w:rtl/>
              </w:rPr>
              <w:t>إلى</w:t>
            </w:r>
            <w:r>
              <w:rPr>
                <w:rtl/>
              </w:rPr>
              <w:t xml:space="preserve"> - </w:t>
            </w:r>
            <w:r w:rsidRPr="00132E65">
              <w:rPr>
                <w:rtl/>
              </w:rPr>
              <w:t>قال »</w:t>
            </w:r>
            <w:r>
              <w:rPr>
                <w:rtl/>
              </w:rPr>
              <w:t>.</w:t>
            </w:r>
          </w:p>
        </w:tc>
      </w:tr>
      <w:tr w:rsidR="001609D6" w:rsidTr="001609D6">
        <w:tc>
          <w:tcPr>
            <w:tcW w:w="4006" w:type="dxa"/>
          </w:tcPr>
          <w:p w:rsidR="001609D6" w:rsidRDefault="001609D6" w:rsidP="000C39D1">
            <w:pPr>
              <w:pStyle w:val="libFootnote0"/>
              <w:rPr>
                <w:rtl/>
              </w:rPr>
            </w:pPr>
            <w:r>
              <w:rPr>
                <w:rtl/>
              </w:rPr>
              <w:t>(8).</w:t>
            </w:r>
            <w:r w:rsidRPr="00132E65">
              <w:rPr>
                <w:rtl/>
              </w:rPr>
              <w:t xml:space="preserve"> في « بح » : « اركعوا »</w:t>
            </w:r>
            <w:r>
              <w:rPr>
                <w:rtl/>
              </w:rPr>
              <w:t>.</w:t>
            </w:r>
          </w:p>
        </w:tc>
        <w:tc>
          <w:tcPr>
            <w:tcW w:w="4006" w:type="dxa"/>
          </w:tcPr>
          <w:p w:rsidR="001609D6" w:rsidRDefault="001609D6" w:rsidP="000C39D1">
            <w:pPr>
              <w:pStyle w:val="libFootnote0"/>
              <w:rPr>
                <w:rtl/>
              </w:rPr>
            </w:pPr>
            <w:r>
              <w:rPr>
                <w:rtl/>
              </w:rPr>
              <w:t>(9).</w:t>
            </w:r>
            <w:r w:rsidRPr="00132E65">
              <w:rPr>
                <w:rtl/>
              </w:rPr>
              <w:t xml:space="preserve"> في حاشية « ج » : « رسول الله »</w:t>
            </w:r>
            <w:r>
              <w:rPr>
                <w:rtl/>
              </w:rPr>
              <w:t>.</w:t>
            </w:r>
          </w:p>
        </w:tc>
      </w:tr>
    </w:tbl>
    <w:p w:rsidR="000C39D1" w:rsidRPr="00132E65" w:rsidRDefault="000C39D1" w:rsidP="000C39D1">
      <w:pPr>
        <w:pStyle w:val="libFootnote0"/>
        <w:rPr>
          <w:rtl/>
          <w:lang w:bidi="fa-IR"/>
        </w:rPr>
      </w:pPr>
      <w:r>
        <w:rPr>
          <w:rtl/>
        </w:rPr>
        <w:t>(10).</w:t>
      </w:r>
      <w:r w:rsidRPr="00132E65">
        <w:rPr>
          <w:rtl/>
        </w:rPr>
        <w:t xml:space="preserve"> المنافقون (63) : 5.</w:t>
      </w:r>
    </w:p>
    <w:p w:rsidR="000C39D1" w:rsidRPr="00132E65" w:rsidRDefault="000C39D1" w:rsidP="000C39D1">
      <w:pPr>
        <w:pStyle w:val="libFootnote0"/>
        <w:rPr>
          <w:rtl/>
          <w:lang w:bidi="fa-IR"/>
        </w:rPr>
      </w:pPr>
      <w:r>
        <w:rPr>
          <w:rtl/>
        </w:rPr>
        <w:t>(11).</w:t>
      </w:r>
      <w:r w:rsidRPr="00132E65">
        <w:rPr>
          <w:rtl/>
        </w:rPr>
        <w:t xml:space="preserve"> أي وجّه القول وأماله وأرجعه. قال في </w:t>
      </w:r>
      <w:r w:rsidRPr="009D1ACE">
        <w:rPr>
          <w:rStyle w:val="libFootnoteBoldChar"/>
          <w:rtl/>
        </w:rPr>
        <w:t>مرآة العقول</w:t>
      </w:r>
      <w:r w:rsidRPr="00132E65">
        <w:rPr>
          <w:rtl/>
        </w:rPr>
        <w:t xml:space="preserve"> ، ج 5 ، ص 139 : « ثمّ عطف القول ، على بناء المجهول. والباء في قوله : بمعرفته ، بمعنى « إلى » ، أي عطف الله سبحانه »</w:t>
      </w:r>
      <w:r>
        <w:rPr>
          <w:rtl/>
        </w:rPr>
        <w:t>.</w:t>
      </w:r>
      <w:r w:rsidRPr="00132E65">
        <w:rPr>
          <w:rtl/>
        </w:rPr>
        <w:t xml:space="preserve"> ويؤيّده قوله : « من الله » وضبطه في « ض » بضمّ العين. ويؤيّد المعلوم قوله : « فقال</w:t>
      </w:r>
      <w:r>
        <w:rPr>
          <w:rtl/>
        </w:rPr>
        <w:t xml:space="preserve"> ..</w:t>
      </w:r>
      <w:r w:rsidRPr="00132E65">
        <w:rPr>
          <w:rtl/>
        </w:rPr>
        <w:t>. »</w:t>
      </w:r>
      <w:r>
        <w:rPr>
          <w:rtl/>
        </w:rPr>
        <w:t>.</w:t>
      </w:r>
      <w:r w:rsidRPr="00132E65">
        <w:rPr>
          <w:rtl/>
        </w:rPr>
        <w:t xml:space="preserve"> على أنّه قال في </w:t>
      </w:r>
      <w:r w:rsidRPr="009D1ACE">
        <w:rPr>
          <w:rStyle w:val="libFootnoteBoldChar"/>
          <w:rtl/>
        </w:rPr>
        <w:t>مرآة العقول</w:t>
      </w:r>
      <w:r w:rsidRPr="00132E65">
        <w:rPr>
          <w:rtl/>
        </w:rPr>
        <w:t xml:space="preserve"> ، ج 5 ، ص 142 وذيل قوله </w:t>
      </w:r>
      <w:r w:rsidRPr="00FB7D8A">
        <w:rPr>
          <w:rStyle w:val="libFootnoteAlaemChar"/>
          <w:rtl/>
        </w:rPr>
        <w:t>عليه‌السلام</w:t>
      </w:r>
      <w:r w:rsidRPr="00132E65">
        <w:rPr>
          <w:rtl/>
        </w:rPr>
        <w:t xml:space="preserve"> : « ثمّ عطف القول » الذي يأتي بُعيد هذا : « ثمّ عطف ، على بناء المعلوم والضمير لله ، أي أرجع القول إلى</w:t>
      </w:r>
      <w:r>
        <w:rPr>
          <w:rtl/>
        </w:rPr>
        <w:t xml:space="preserve"> ..</w:t>
      </w:r>
      <w:r w:rsidRPr="00132E65">
        <w:rPr>
          <w:rtl/>
        </w:rPr>
        <w:t>. »</w:t>
      </w:r>
      <w:r>
        <w:rPr>
          <w:rtl/>
        </w:rPr>
        <w:t>.</w:t>
      </w:r>
    </w:p>
    <w:tbl>
      <w:tblPr>
        <w:tblStyle w:val="TableGrid"/>
        <w:bidiVisual/>
        <w:tblW w:w="0" w:type="auto"/>
        <w:tblLook w:val="04A0" w:firstRow="1" w:lastRow="0" w:firstColumn="1" w:lastColumn="0" w:noHBand="0" w:noVBand="1"/>
      </w:tblPr>
      <w:tblGrid>
        <w:gridCol w:w="4006"/>
        <w:gridCol w:w="4006"/>
      </w:tblGrid>
      <w:tr w:rsidR="00FB7D8A" w:rsidTr="00FB7D8A">
        <w:tc>
          <w:tcPr>
            <w:tcW w:w="4006" w:type="dxa"/>
          </w:tcPr>
          <w:p w:rsidR="00FB7D8A" w:rsidRDefault="00FB7D8A" w:rsidP="000C39D1">
            <w:pPr>
              <w:pStyle w:val="libFootnote0"/>
              <w:rPr>
                <w:rtl/>
              </w:rPr>
            </w:pPr>
            <w:r>
              <w:rPr>
                <w:rtl/>
              </w:rPr>
              <w:t>(12).</w:t>
            </w:r>
            <w:r w:rsidRPr="00132E65">
              <w:rPr>
                <w:rtl/>
              </w:rPr>
              <w:t xml:space="preserve"> المنافقون (63) : 6.</w:t>
            </w:r>
          </w:p>
        </w:tc>
        <w:tc>
          <w:tcPr>
            <w:tcW w:w="4006" w:type="dxa"/>
          </w:tcPr>
          <w:p w:rsidR="00FB7D8A" w:rsidRDefault="00FB7D8A" w:rsidP="000C39D1">
            <w:pPr>
              <w:pStyle w:val="libFootnote0"/>
              <w:rPr>
                <w:rtl/>
              </w:rPr>
            </w:pPr>
            <w:r>
              <w:rPr>
                <w:rtl/>
              </w:rPr>
              <w:t>(13)</w:t>
            </w:r>
            <w:r w:rsidRPr="00132E65">
              <w:rPr>
                <w:rtl/>
              </w:rPr>
              <w:t xml:space="preserve"> في « ف » :</w:t>
            </w:r>
            <w:r>
              <w:rPr>
                <w:rtl/>
              </w:rPr>
              <w:t xml:space="preserve"> + </w:t>
            </w:r>
            <w:r w:rsidRPr="00132E65">
              <w:rPr>
                <w:rtl/>
              </w:rPr>
              <w:t>« قوله »</w:t>
            </w:r>
            <w:r>
              <w:rPr>
                <w:rtl/>
              </w:rPr>
              <w:t>.</w:t>
            </w:r>
          </w:p>
        </w:tc>
      </w:tr>
      <w:tr w:rsidR="00FB7D8A" w:rsidTr="00FB7D8A">
        <w:tc>
          <w:tcPr>
            <w:tcW w:w="4006" w:type="dxa"/>
          </w:tcPr>
          <w:p w:rsidR="00FB7D8A" w:rsidRDefault="00FB7D8A" w:rsidP="000C39D1">
            <w:pPr>
              <w:pStyle w:val="libFootnote0"/>
              <w:rPr>
                <w:rtl/>
              </w:rPr>
            </w:pPr>
            <w:r>
              <w:rPr>
                <w:rtl/>
              </w:rPr>
              <w:t>(14)</w:t>
            </w:r>
            <w:r w:rsidRPr="00132E65">
              <w:rPr>
                <w:rtl/>
              </w:rPr>
              <w:t xml:space="preserve"> الملك (67) : 22.</w:t>
            </w:r>
          </w:p>
        </w:tc>
        <w:tc>
          <w:tcPr>
            <w:tcW w:w="4006" w:type="dxa"/>
          </w:tcPr>
          <w:p w:rsidR="00FB7D8A" w:rsidRDefault="00FB7D8A" w:rsidP="000C39D1">
            <w:pPr>
              <w:pStyle w:val="libFootnote0"/>
              <w:rPr>
                <w:rtl/>
              </w:rPr>
            </w:pPr>
            <w:r>
              <w:rPr>
                <w:rtl/>
              </w:rPr>
              <w:t>(15)</w:t>
            </w:r>
            <w:r w:rsidRPr="00132E65">
              <w:rPr>
                <w:rtl/>
              </w:rPr>
              <w:t xml:space="preserve"> في « ب ، ض ، ف » : « مثلاً »</w:t>
            </w:r>
            <w:r>
              <w:rPr>
                <w:rtl/>
              </w:rPr>
              <w:t>.</w:t>
            </w:r>
          </w:p>
        </w:tc>
      </w:tr>
    </w:tbl>
    <w:p w:rsidR="000C39D1" w:rsidRPr="00132E65" w:rsidRDefault="000C39D1" w:rsidP="000C39D1">
      <w:pPr>
        <w:pStyle w:val="libFootnote0"/>
        <w:rPr>
          <w:rtl/>
          <w:lang w:bidi="fa-IR"/>
        </w:rPr>
      </w:pPr>
      <w:r>
        <w:rPr>
          <w:rtl/>
        </w:rPr>
        <w:t>(16)</w:t>
      </w:r>
      <w:r w:rsidRPr="00132E65">
        <w:rPr>
          <w:rtl/>
        </w:rPr>
        <w:t xml:space="preserve"> حاد عن الشي‌ء يحيد حُيوداً وحيْدَة وحيْدُودَةً : مال وعدل. </w:t>
      </w:r>
      <w:r w:rsidRPr="006E6DA1">
        <w:rPr>
          <w:rtl/>
        </w:rPr>
        <w:t>الصحاح</w:t>
      </w:r>
      <w:r w:rsidRPr="00132E65">
        <w:rPr>
          <w:rtl/>
        </w:rPr>
        <w:t xml:space="preserve"> ، ج 2 ، ص 467 ( حيد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وَجْهِهِ </w:t>
      </w:r>
      <w:r>
        <w:rPr>
          <w:rStyle w:val="libFootnotenumChar"/>
          <w:rtl/>
        </w:rPr>
        <w:t>(1)</w:t>
      </w:r>
      <w:r w:rsidRPr="00132E65">
        <w:rPr>
          <w:rtl/>
          <w:lang w:bidi="fa-IR"/>
        </w:rPr>
        <w:t xml:space="preserve"> لَايَهْتَدِي لِأَمْرِهِ ، وجَعَلَ مَنْ تَبِعَهُ </w:t>
      </w:r>
      <w:r>
        <w:rPr>
          <w:rStyle w:val="libFootnotenumChar"/>
          <w:rtl/>
        </w:rPr>
        <w:t>(2)</w:t>
      </w:r>
      <w:r w:rsidRPr="00132E65">
        <w:rPr>
          <w:rtl/>
          <w:lang w:bidi="fa-IR"/>
        </w:rPr>
        <w:t xml:space="preserve"> سَوِيّاً عَلى صِرَاطٍ مُسْتَقِيمٍ ، والصِّرَاطُ الْمُسْتَقِيمُ : أَمِيرُ الْمُؤْمِنِينَ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قُلْتُ : قَوْلُهُ : </w:t>
      </w:r>
      <w:r w:rsidRPr="00071CF9">
        <w:rPr>
          <w:rStyle w:val="libAlaemChar"/>
          <w:rtl/>
        </w:rPr>
        <w:t>(</w:t>
      </w:r>
      <w:r w:rsidRPr="00071CF9">
        <w:rPr>
          <w:rStyle w:val="libAieChar"/>
          <w:rtl/>
        </w:rPr>
        <w:t xml:space="preserve"> إِنَّهُ لَقَوْلُ رَسُولٍ كَرِيمٍ </w:t>
      </w:r>
      <w:r w:rsidRPr="00071CF9">
        <w:rPr>
          <w:rStyle w:val="libAlaemChar"/>
          <w:rtl/>
        </w:rPr>
        <w:t>)</w:t>
      </w:r>
      <w:r w:rsidRPr="00132E65">
        <w:rPr>
          <w:rtl/>
          <w:lang w:bidi="fa-IR"/>
        </w:rPr>
        <w:t xml:space="preserve"> </w:t>
      </w:r>
      <w:r>
        <w:rPr>
          <w:rStyle w:val="libFootnotenumChar"/>
          <w:rtl/>
        </w:rPr>
        <w:t>(3)</w:t>
      </w:r>
      <w:r>
        <w:rPr>
          <w:rtl/>
          <w:lang w:bidi="fa-IR"/>
        </w:rPr>
        <w:t>؟</w:t>
      </w:r>
      <w:r w:rsidRPr="00132E65">
        <w:rPr>
          <w:rtl/>
          <w:lang w:bidi="fa-IR"/>
        </w:rPr>
        <w:t xml:space="preserve"> قَالَ : « يَعْنِي جَبْرَئِيلَ عَنِ </w:t>
      </w:r>
      <w:r>
        <w:rPr>
          <w:rStyle w:val="libFootnotenumChar"/>
          <w:rtl/>
        </w:rPr>
        <w:t>(4)</w:t>
      </w:r>
      <w:r w:rsidRPr="00132E65">
        <w:rPr>
          <w:rtl/>
          <w:lang w:bidi="fa-IR"/>
        </w:rPr>
        <w:t xml:space="preserve"> اللهِ فِي ولَايَةِ عَلِيٍّ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(5)</w:t>
      </w:r>
      <w:r w:rsidRPr="00132E65">
        <w:rPr>
          <w:rtl/>
          <w:lang w:bidi="fa-IR"/>
        </w:rPr>
        <w:t xml:space="preserve"> : قُلْتُ : </w:t>
      </w:r>
      <w:r w:rsidRPr="00071CF9">
        <w:rPr>
          <w:rStyle w:val="libAlaemChar"/>
          <w:rtl/>
        </w:rPr>
        <w:t>(</w:t>
      </w:r>
      <w:r w:rsidRPr="00071CF9">
        <w:rPr>
          <w:rStyle w:val="libAieChar"/>
          <w:rtl/>
        </w:rPr>
        <w:t xml:space="preserve"> وَما هُوَ بِقَوْلِ شاعِرٍ قَلِيلاً ما تُؤْمِنُونَ </w:t>
      </w:r>
      <w:r w:rsidRPr="00071CF9">
        <w:rPr>
          <w:rStyle w:val="libAlaemChar"/>
          <w:rtl/>
        </w:rPr>
        <w:t>)</w:t>
      </w:r>
      <w:r w:rsidRPr="00132E65">
        <w:rPr>
          <w:rtl/>
          <w:lang w:bidi="fa-IR"/>
        </w:rPr>
        <w:t xml:space="preserve"> </w:t>
      </w:r>
      <w:r>
        <w:rPr>
          <w:rStyle w:val="libFootnotenumChar"/>
          <w:rtl/>
        </w:rPr>
        <w:t>(6)</w:t>
      </w:r>
      <w:r>
        <w:rPr>
          <w:rtl/>
          <w:lang w:bidi="fa-IR"/>
        </w:rPr>
        <w:t>؟</w:t>
      </w:r>
      <w:r w:rsidRPr="00132E65">
        <w:rPr>
          <w:rtl/>
          <w:lang w:bidi="fa-IR"/>
        </w:rPr>
        <w:t xml:space="preserve"> قَالَ : « قَالُوا : إِنَّ مُحَمَّداً كَذَّابٌ عَلى رَبِّهِ ، ومَا أَمَرَهُ </w:t>
      </w:r>
      <w:r>
        <w:rPr>
          <w:rStyle w:val="libFootnotenumChar"/>
          <w:rtl/>
        </w:rPr>
        <w:t>(7)</w:t>
      </w:r>
      <w:r w:rsidRPr="00132E65">
        <w:rPr>
          <w:rtl/>
          <w:lang w:bidi="fa-IR"/>
        </w:rPr>
        <w:t xml:space="preserve"> اللهُ بِهذَا فِي عَلِيٍّ ، فَأَنْزَلَ اللهُ </w:t>
      </w:r>
      <w:r>
        <w:rPr>
          <w:rStyle w:val="libFootnotenumChar"/>
          <w:rtl/>
        </w:rPr>
        <w:t>(8)</w:t>
      </w:r>
      <w:r w:rsidRPr="00132E65">
        <w:rPr>
          <w:rtl/>
          <w:lang w:bidi="fa-IR"/>
        </w:rPr>
        <w:t xml:space="preserve"> بِذلِكَ قُرْآناً ، فَقَالَ : إِنَّ ولَايَةَ عَلِيٍّ</w:t>
      </w:r>
      <w:r>
        <w:rPr>
          <w:rFonts w:hint="cs"/>
          <w:rtl/>
          <w:lang w:bidi="fa-IR"/>
        </w:rPr>
        <w:t xml:space="preserve"> </w:t>
      </w:r>
      <w:r w:rsidRPr="00071CF9">
        <w:rPr>
          <w:rStyle w:val="libAlaemChar"/>
          <w:rtl/>
        </w:rPr>
        <w:t>(</w:t>
      </w:r>
      <w:r w:rsidRPr="00071CF9">
        <w:rPr>
          <w:rStyle w:val="libAieChar"/>
          <w:rtl/>
        </w:rPr>
        <w:t xml:space="preserve"> تَنْزِيلٌ مِنْ رَبِّ الْعالَمِينَ</w:t>
      </w:r>
      <w:r w:rsidR="004331D7">
        <w:rPr>
          <w:rStyle w:val="libAieChar"/>
          <w:rFonts w:hint="cs"/>
          <w:rtl/>
        </w:rPr>
        <w:t xml:space="preserve"> *</w:t>
      </w:r>
      <w:r w:rsidRPr="00071CF9">
        <w:rPr>
          <w:rStyle w:val="libAieChar"/>
          <w:rtl/>
        </w:rPr>
        <w:t xml:space="preserve"> وَلَوْ تَقَوَّلَ عَلَيْنا </w:t>
      </w:r>
      <w:r w:rsidRPr="00071CF9">
        <w:rPr>
          <w:rStyle w:val="libAlaemChar"/>
          <w:rtl/>
        </w:rPr>
        <w:t>)</w:t>
      </w:r>
      <w:r w:rsidRPr="00132E65">
        <w:rPr>
          <w:rtl/>
          <w:lang w:bidi="fa-IR"/>
        </w:rPr>
        <w:t xml:space="preserve"> مُحَمَّدٌ</w:t>
      </w:r>
      <w:r>
        <w:rPr>
          <w:rFonts w:hint="cs"/>
          <w:rtl/>
          <w:lang w:bidi="fa-IR"/>
        </w:rPr>
        <w:t xml:space="preserve"> </w:t>
      </w:r>
      <w:r w:rsidRPr="00071CF9">
        <w:rPr>
          <w:rStyle w:val="libAlaemChar"/>
          <w:rtl/>
        </w:rPr>
        <w:t>(</w:t>
      </w:r>
      <w:r w:rsidRPr="00071CF9">
        <w:rPr>
          <w:rStyle w:val="libAieChar"/>
          <w:rtl/>
        </w:rPr>
        <w:t xml:space="preserve"> بَعْضَ الْأَقاوِيلِ </w:t>
      </w:r>
      <w:r w:rsidR="004331D7">
        <w:rPr>
          <w:rStyle w:val="libAieChar"/>
          <w:rFonts w:hint="cs"/>
          <w:rtl/>
        </w:rPr>
        <w:t xml:space="preserve">* </w:t>
      </w:r>
      <w:r w:rsidRPr="00071CF9">
        <w:rPr>
          <w:rStyle w:val="libAieChar"/>
          <w:rtl/>
        </w:rPr>
        <w:t xml:space="preserve">لَأَخَذْنا مِنْهُ بِالْيَمِينِ </w:t>
      </w:r>
      <w:r w:rsidR="004331D7">
        <w:rPr>
          <w:rStyle w:val="libAieChar"/>
          <w:rFonts w:hint="cs"/>
          <w:rtl/>
        </w:rPr>
        <w:t xml:space="preserve">* </w:t>
      </w:r>
      <w:r w:rsidRPr="00071CF9">
        <w:rPr>
          <w:rStyle w:val="libAieChar"/>
          <w:rtl/>
        </w:rPr>
        <w:t xml:space="preserve">ثُمَّ لَقَطَعْنا مِنْهُ الْوَتِينَ </w:t>
      </w:r>
      <w:r w:rsidRPr="00071CF9">
        <w:rPr>
          <w:rStyle w:val="libAlaemChar"/>
          <w:rtl/>
        </w:rPr>
        <w:t>)</w:t>
      </w:r>
      <w:r w:rsidRPr="00132E65">
        <w:rPr>
          <w:rtl/>
          <w:lang w:bidi="fa-IR"/>
        </w:rPr>
        <w:t xml:space="preserve"> </w:t>
      </w:r>
      <w:r>
        <w:rPr>
          <w:rStyle w:val="libFootnotenumChar"/>
          <w:rtl/>
        </w:rPr>
        <w:t>(9)</w:t>
      </w:r>
    </w:p>
    <w:p w:rsidR="000C39D1" w:rsidRDefault="000C39D1" w:rsidP="000C39D1">
      <w:pPr>
        <w:pStyle w:val="libNormal"/>
        <w:rPr>
          <w:rtl/>
          <w:lang w:bidi="fa-IR"/>
        </w:rPr>
      </w:pPr>
      <w:r w:rsidRPr="00132E65">
        <w:rPr>
          <w:rtl/>
          <w:lang w:bidi="fa-IR"/>
        </w:rPr>
        <w:t xml:space="preserve">ثُمَّ عَطَفَ الْقَوْلَ ، فَقَالَ : إِنَّ ولَايَةَ عَلِيٍّ </w:t>
      </w:r>
      <w:r>
        <w:rPr>
          <w:rStyle w:val="libFootnotenumChar"/>
          <w:rtl/>
        </w:rPr>
        <w:t>(10)</w:t>
      </w:r>
      <w:r w:rsidRPr="00132E65">
        <w:rPr>
          <w:rtl/>
          <w:lang w:bidi="fa-IR"/>
        </w:rPr>
        <w:t xml:space="preserve"> </w:t>
      </w:r>
      <w:r w:rsidRPr="00071CF9">
        <w:rPr>
          <w:rStyle w:val="libAlaemChar"/>
          <w:rtl/>
        </w:rPr>
        <w:t>(</w:t>
      </w:r>
      <w:r w:rsidRPr="00071CF9">
        <w:rPr>
          <w:rStyle w:val="libAieChar"/>
          <w:rtl/>
        </w:rPr>
        <w:t xml:space="preserve"> لَتَذْكِرَةٌ لِلْمُتَّقِينَ </w:t>
      </w:r>
      <w:r w:rsidRPr="00071CF9">
        <w:rPr>
          <w:rStyle w:val="libAlaemChar"/>
          <w:rtl/>
        </w:rPr>
        <w:t>)</w:t>
      </w:r>
      <w:r w:rsidRPr="00132E65">
        <w:rPr>
          <w:rtl/>
          <w:lang w:bidi="fa-IR"/>
        </w:rPr>
        <w:t xml:space="preserve"> لِلْعَالَمِينَ</w:t>
      </w:r>
      <w:r>
        <w:rPr>
          <w:rFonts w:hint="cs"/>
          <w:rtl/>
          <w:lang w:bidi="fa-IR"/>
        </w:rPr>
        <w:t xml:space="preserve"> </w:t>
      </w:r>
      <w:r w:rsidRPr="00071CF9">
        <w:rPr>
          <w:rStyle w:val="libAlaemChar"/>
          <w:rtl/>
        </w:rPr>
        <w:t>(</w:t>
      </w:r>
      <w:r w:rsidRPr="00071CF9">
        <w:rPr>
          <w:rStyle w:val="libAieChar"/>
          <w:rtl/>
        </w:rPr>
        <w:t xml:space="preserve"> وَإِنّا لَنَعْلَمُ أَنَّ مِنْكُمْ مُكَذِّبِينَ </w:t>
      </w:r>
      <w:r w:rsidRPr="00071CF9">
        <w:rPr>
          <w:rStyle w:val="libAlaemChar"/>
          <w:rtl/>
        </w:rPr>
        <w:t>)</w:t>
      </w:r>
      <w:r w:rsidRPr="00132E65">
        <w:rPr>
          <w:rtl/>
          <w:lang w:bidi="fa-IR"/>
        </w:rPr>
        <w:t xml:space="preserve"> وَإِنَّ عَلِيّاً</w:t>
      </w:r>
      <w:r>
        <w:rPr>
          <w:rFonts w:hint="cs"/>
          <w:rtl/>
          <w:lang w:bidi="fa-IR"/>
        </w:rPr>
        <w:t xml:space="preserve"> </w:t>
      </w:r>
      <w:r w:rsidRPr="00071CF9">
        <w:rPr>
          <w:rStyle w:val="libAlaemChar"/>
          <w:rtl/>
        </w:rPr>
        <w:t>(</w:t>
      </w:r>
      <w:r w:rsidRPr="00071CF9">
        <w:rPr>
          <w:rStyle w:val="libAieChar"/>
          <w:rtl/>
        </w:rPr>
        <w:t xml:space="preserve"> لَحَسْرَةٌ عَلَى الْكافِرِينَ </w:t>
      </w:r>
      <w:r w:rsidRPr="00071CF9">
        <w:rPr>
          <w:rStyle w:val="libAlaemChar"/>
          <w:rtl/>
        </w:rPr>
        <w:t>)</w:t>
      </w:r>
      <w:r w:rsidRPr="00132E65">
        <w:rPr>
          <w:rtl/>
          <w:lang w:bidi="fa-IR"/>
        </w:rPr>
        <w:t xml:space="preserve"> وإِنَّ ولَايَتَهُ</w:t>
      </w:r>
      <w:r>
        <w:rPr>
          <w:rFonts w:hint="cs"/>
          <w:rtl/>
          <w:lang w:bidi="fa-IR"/>
        </w:rPr>
        <w:t xml:space="preserve"> </w:t>
      </w:r>
      <w:r w:rsidRPr="00071CF9">
        <w:rPr>
          <w:rStyle w:val="libAlaemChar"/>
          <w:rtl/>
        </w:rPr>
        <w:t>(</w:t>
      </w:r>
      <w:r w:rsidRPr="00071CF9">
        <w:rPr>
          <w:rStyle w:val="libAieChar"/>
          <w:rtl/>
        </w:rPr>
        <w:t xml:space="preserve"> لَحَقُّ الْيَقِينِ </w:t>
      </w:r>
      <w:r w:rsidR="004331D7">
        <w:rPr>
          <w:rStyle w:val="libAieChar"/>
          <w:rFonts w:hint="cs"/>
          <w:rtl/>
        </w:rPr>
        <w:t xml:space="preserve">* </w:t>
      </w:r>
      <w:r w:rsidRPr="00071CF9">
        <w:rPr>
          <w:rStyle w:val="libAieChar"/>
          <w:rtl/>
        </w:rPr>
        <w:t xml:space="preserve">فَسَبِّحْ </w:t>
      </w:r>
      <w:r w:rsidRPr="00071CF9">
        <w:rPr>
          <w:rStyle w:val="libAlaemChar"/>
          <w:rtl/>
        </w:rPr>
        <w:t>)</w:t>
      </w:r>
      <w:r w:rsidRPr="00132E65">
        <w:rPr>
          <w:rtl/>
          <w:lang w:bidi="fa-IR"/>
        </w:rPr>
        <w:t xml:space="preserve"> يَا مُحَمَّدُ</w:t>
      </w:r>
      <w:r>
        <w:rPr>
          <w:rFonts w:hint="cs"/>
          <w:rtl/>
          <w:lang w:bidi="fa-IR"/>
        </w:rPr>
        <w:t xml:space="preserve"> </w:t>
      </w:r>
      <w:r w:rsidRPr="00071CF9">
        <w:rPr>
          <w:rStyle w:val="libAlaemChar"/>
          <w:rtl/>
        </w:rPr>
        <w:t>(</w:t>
      </w:r>
      <w:r w:rsidRPr="00071CF9">
        <w:rPr>
          <w:rStyle w:val="libAieChar"/>
          <w:rtl/>
        </w:rPr>
        <w:t xml:space="preserve"> بِاسْمِ رَبِّكَ الْعَظِيمِ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يَقُولُ : اشْكُرْ رَبَّكَ الْعَظِيمَ الَّذِي أَعْطَاكَ هذَا الْفَضْلَ »</w:t>
      </w:r>
      <w:r>
        <w:rPr>
          <w:rtl/>
          <w:lang w:bidi="fa-IR"/>
        </w:rPr>
        <w:t>.</w:t>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لَمّا سَمِعْنَا الْهُدى آمَنّا بِهِ </w:t>
      </w:r>
      <w:r w:rsidRPr="00071CF9">
        <w:rPr>
          <w:rStyle w:val="libAlaemChar"/>
          <w:rtl/>
        </w:rPr>
        <w:t>)</w:t>
      </w:r>
      <w:r>
        <w:rPr>
          <w:rtl/>
          <w:lang w:bidi="fa-IR"/>
        </w:rPr>
        <w:t>؟</w:t>
      </w:r>
      <w:r w:rsidRPr="00132E65">
        <w:rPr>
          <w:rtl/>
          <w:lang w:bidi="fa-IR"/>
        </w:rPr>
        <w:t xml:space="preserve"> قَالَ : « الْهُدَى : الْوَلَايَةُ ، آمَنّا بِمَوْلَانَا ، فَمَنْ آمَنَ بِوَلَايَةِ مَوْلَاهُ</w:t>
      </w:r>
      <w:r>
        <w:rPr>
          <w:rFonts w:hint="cs"/>
          <w:rtl/>
          <w:lang w:bidi="fa-IR"/>
        </w:rPr>
        <w:t xml:space="preserve"> </w:t>
      </w:r>
      <w:r w:rsidRPr="00071CF9">
        <w:rPr>
          <w:rStyle w:val="libAlaemChar"/>
          <w:rtl/>
        </w:rPr>
        <w:t>(</w:t>
      </w:r>
      <w:r w:rsidRPr="00071CF9">
        <w:rPr>
          <w:rStyle w:val="libAieChar"/>
          <w:rtl/>
        </w:rPr>
        <w:t xml:space="preserve"> فَلا يَخافُ بَخْساً وَلا رَهَقاً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قُلْتُ : تَنْزِيلٌ</w:t>
      </w:r>
      <w:r>
        <w:rPr>
          <w:rtl/>
          <w:lang w:bidi="fa-IR"/>
        </w:rPr>
        <w:t>؟</w:t>
      </w:r>
      <w:r w:rsidRPr="00132E65">
        <w:rPr>
          <w:rtl/>
          <w:lang w:bidi="fa-IR"/>
        </w:rPr>
        <w:t xml:space="preserve"> قَالَ : « لَا ، تَأْوِيلٌ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بف » </w:t>
      </w:r>
      <w:r>
        <w:rPr>
          <w:rtl/>
        </w:rPr>
        <w:t xml:space="preserve">: - </w:t>
      </w:r>
      <w:r w:rsidRPr="00132E65">
        <w:rPr>
          <w:rtl/>
        </w:rPr>
        <w:t>« أهدى</w:t>
      </w:r>
      <w:r>
        <w:rPr>
          <w:rtl/>
        </w:rPr>
        <w:t xml:space="preserve"> - </w:t>
      </w:r>
      <w:r w:rsidRPr="00132E65">
        <w:rPr>
          <w:rtl/>
        </w:rPr>
        <w:t>إلى</w:t>
      </w:r>
      <w:r>
        <w:rPr>
          <w:rtl/>
        </w:rPr>
        <w:t xml:space="preserve"> - </w:t>
      </w:r>
      <w:r w:rsidRPr="00132E65">
        <w:rPr>
          <w:rtl/>
        </w:rPr>
        <w:t>على وجهه »</w:t>
      </w:r>
      <w:r>
        <w:rPr>
          <w:rtl/>
        </w:rPr>
        <w:t>.</w:t>
      </w:r>
    </w:p>
    <w:p w:rsidR="000C39D1" w:rsidRPr="00132E65" w:rsidRDefault="000C39D1" w:rsidP="000C39D1">
      <w:pPr>
        <w:pStyle w:val="libFootnote0"/>
        <w:rPr>
          <w:rtl/>
          <w:lang w:bidi="fa-IR"/>
        </w:rPr>
      </w:pPr>
      <w:r>
        <w:rPr>
          <w:rtl/>
        </w:rPr>
        <w:t>(2).</w:t>
      </w:r>
      <w:r w:rsidRPr="00132E65">
        <w:rPr>
          <w:rtl/>
        </w:rPr>
        <w:t xml:space="preserve"> في « ف » : « اتّبعه »</w:t>
      </w:r>
      <w:r>
        <w:rPr>
          <w:rtl/>
        </w:rPr>
        <w:t>.</w:t>
      </w:r>
    </w:p>
    <w:tbl>
      <w:tblPr>
        <w:tblStyle w:val="TableGrid"/>
        <w:bidiVisual/>
        <w:tblW w:w="0" w:type="auto"/>
        <w:tblLook w:val="04A0" w:firstRow="1" w:lastRow="0" w:firstColumn="1" w:lastColumn="0" w:noHBand="0" w:noVBand="1"/>
      </w:tblPr>
      <w:tblGrid>
        <w:gridCol w:w="4006"/>
        <w:gridCol w:w="4006"/>
      </w:tblGrid>
      <w:tr w:rsidR="004331D7" w:rsidTr="004331D7">
        <w:tc>
          <w:tcPr>
            <w:tcW w:w="4006" w:type="dxa"/>
          </w:tcPr>
          <w:p w:rsidR="004331D7" w:rsidRDefault="004331D7" w:rsidP="000C39D1">
            <w:pPr>
              <w:pStyle w:val="libFootnote0"/>
              <w:rPr>
                <w:rtl/>
              </w:rPr>
            </w:pPr>
            <w:r>
              <w:rPr>
                <w:rtl/>
              </w:rPr>
              <w:t>(3).</w:t>
            </w:r>
            <w:r w:rsidRPr="00132E65">
              <w:rPr>
                <w:rtl/>
              </w:rPr>
              <w:t xml:space="preserve"> الحاقّة (69) : 40 ؛ التكوير (81) : 19.</w:t>
            </w:r>
          </w:p>
        </w:tc>
        <w:tc>
          <w:tcPr>
            <w:tcW w:w="4006" w:type="dxa"/>
          </w:tcPr>
          <w:p w:rsidR="004331D7" w:rsidRDefault="004331D7" w:rsidP="000C39D1">
            <w:pPr>
              <w:pStyle w:val="libFootnote0"/>
              <w:rPr>
                <w:rtl/>
              </w:rPr>
            </w:pPr>
            <w:r>
              <w:rPr>
                <w:rtl/>
              </w:rPr>
              <w:t>(4). في «بح» : «من</w:t>
            </w:r>
            <w:r w:rsidRPr="00132E65">
              <w:rPr>
                <w:rtl/>
              </w:rPr>
              <w:t>»</w:t>
            </w:r>
            <w:r>
              <w:rPr>
                <w:rtl/>
              </w:rPr>
              <w:t>.</w:t>
            </w:r>
            <w:r w:rsidRPr="00132E65">
              <w:rPr>
                <w:rtl/>
              </w:rPr>
              <w:t xml:space="preserve"> وفي « ف » :</w:t>
            </w:r>
            <w:r>
              <w:rPr>
                <w:rtl/>
              </w:rPr>
              <w:t xml:space="preserve"> + </w:t>
            </w:r>
            <w:r w:rsidRPr="00132E65">
              <w:rPr>
                <w:rtl/>
              </w:rPr>
              <w:t>« قول »</w:t>
            </w:r>
            <w:r>
              <w:rPr>
                <w:rtl/>
              </w:rPr>
              <w:t>.</w:t>
            </w:r>
          </w:p>
        </w:tc>
      </w:tr>
    </w:tbl>
    <w:p w:rsidR="000C39D1" w:rsidRPr="00132E65" w:rsidRDefault="000C39D1" w:rsidP="000C39D1">
      <w:pPr>
        <w:pStyle w:val="libFootnote0"/>
        <w:rPr>
          <w:rtl/>
          <w:lang w:bidi="fa-IR"/>
        </w:rPr>
      </w:pPr>
      <w:r>
        <w:rPr>
          <w:rtl/>
        </w:rPr>
        <w:t>(5).</w:t>
      </w:r>
      <w:r w:rsidRPr="00132E65">
        <w:rPr>
          <w:rtl/>
        </w:rPr>
        <w:t xml:space="preserve"> في « ب ، ض ، ف ، بح ، بس » و</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006"/>
        <w:gridCol w:w="4006"/>
      </w:tblGrid>
      <w:tr w:rsidR="00D11A2C" w:rsidTr="00D11A2C">
        <w:tc>
          <w:tcPr>
            <w:tcW w:w="4006" w:type="dxa"/>
          </w:tcPr>
          <w:p w:rsidR="00D11A2C" w:rsidRDefault="00D11A2C" w:rsidP="000C39D1">
            <w:pPr>
              <w:pStyle w:val="libFootnote0"/>
              <w:rPr>
                <w:rtl/>
                <w:lang w:bidi="fa-IR"/>
              </w:rPr>
            </w:pPr>
            <w:r>
              <w:rPr>
                <w:rtl/>
              </w:rPr>
              <w:t>(6).</w:t>
            </w:r>
            <w:r w:rsidRPr="00132E65">
              <w:rPr>
                <w:rtl/>
              </w:rPr>
              <w:t xml:space="preserve"> الحاقّة (69) : 41.</w:t>
            </w:r>
          </w:p>
        </w:tc>
        <w:tc>
          <w:tcPr>
            <w:tcW w:w="4006" w:type="dxa"/>
          </w:tcPr>
          <w:p w:rsidR="00D11A2C" w:rsidRDefault="00D11A2C" w:rsidP="000C39D1">
            <w:pPr>
              <w:pStyle w:val="libFootnote0"/>
              <w:rPr>
                <w:rtl/>
                <w:lang w:bidi="fa-IR"/>
              </w:rPr>
            </w:pPr>
            <w:r>
              <w:rPr>
                <w:rtl/>
              </w:rPr>
              <w:t>(7).</w:t>
            </w:r>
            <w:r w:rsidRPr="00132E65">
              <w:rPr>
                <w:rtl/>
              </w:rPr>
              <w:t xml:space="preserve"> في « بح » : « أمر » بدون الضمير.</w:t>
            </w:r>
          </w:p>
        </w:tc>
      </w:tr>
      <w:tr w:rsidR="00D11A2C" w:rsidTr="00D11A2C">
        <w:tc>
          <w:tcPr>
            <w:tcW w:w="4006" w:type="dxa"/>
          </w:tcPr>
          <w:p w:rsidR="00D11A2C" w:rsidRDefault="00D11A2C" w:rsidP="000C39D1">
            <w:pPr>
              <w:pStyle w:val="libFootnote0"/>
              <w:rPr>
                <w:rtl/>
                <w:lang w:bidi="fa-IR"/>
              </w:rPr>
            </w:pPr>
            <w:r>
              <w:rPr>
                <w:rtl/>
              </w:rPr>
              <w:t>(8).</w:t>
            </w:r>
            <w:r w:rsidRPr="00132E65">
              <w:rPr>
                <w:rtl/>
              </w:rPr>
              <w:t xml:space="preserve"> في « بس » </w:t>
            </w:r>
            <w:r>
              <w:rPr>
                <w:rtl/>
              </w:rPr>
              <w:t xml:space="preserve">: - </w:t>
            </w:r>
            <w:r w:rsidRPr="00132E65">
              <w:rPr>
                <w:rtl/>
              </w:rPr>
              <w:t>« الله »</w:t>
            </w:r>
            <w:r>
              <w:rPr>
                <w:rtl/>
              </w:rPr>
              <w:t>.</w:t>
            </w:r>
          </w:p>
        </w:tc>
        <w:tc>
          <w:tcPr>
            <w:tcW w:w="4006" w:type="dxa"/>
          </w:tcPr>
          <w:p w:rsidR="00D11A2C" w:rsidRDefault="00D11A2C" w:rsidP="000C39D1">
            <w:pPr>
              <w:pStyle w:val="libFootnote0"/>
              <w:rPr>
                <w:rtl/>
                <w:lang w:bidi="fa-IR"/>
              </w:rPr>
            </w:pPr>
            <w:r>
              <w:rPr>
                <w:rtl/>
              </w:rPr>
              <w:t>(9).</w:t>
            </w:r>
            <w:r w:rsidRPr="00132E65">
              <w:rPr>
                <w:rtl/>
              </w:rPr>
              <w:t xml:space="preserve"> الحاقّة (69) : 43</w:t>
            </w:r>
            <w:r>
              <w:rPr>
                <w:rtl/>
              </w:rPr>
              <w:t xml:space="preserve"> - </w:t>
            </w:r>
            <w:r w:rsidRPr="00132E65">
              <w:rPr>
                <w:rtl/>
              </w:rPr>
              <w:t>46.</w:t>
            </w:r>
          </w:p>
        </w:tc>
      </w:tr>
    </w:tbl>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الوافي</w:t>
      </w:r>
      <w:r w:rsidRPr="00132E65">
        <w:rPr>
          <w:rtl/>
        </w:rPr>
        <w:t xml:space="preserve"> : « الولاية » بدل « ولاية عليّ »</w:t>
      </w:r>
      <w:r>
        <w:rPr>
          <w:rtl/>
        </w:rPr>
        <w:t>.</w:t>
      </w:r>
      <w:r w:rsidRPr="00132E65">
        <w:rPr>
          <w:rtl/>
        </w:rPr>
        <w:t xml:space="preserve"> وفي القرآن</w:t>
      </w:r>
      <w:r>
        <w:rPr>
          <w:rFonts w:hint="cs"/>
          <w:rtl/>
        </w:rPr>
        <w:t xml:space="preserve"> </w:t>
      </w:r>
      <w:r w:rsidRPr="00D11A2C">
        <w:rPr>
          <w:rStyle w:val="libFootnoteAlaemChar"/>
          <w:rtl/>
        </w:rPr>
        <w:t>(</w:t>
      </w:r>
      <w:r>
        <w:rPr>
          <w:rFonts w:hint="cs"/>
          <w:rtl/>
        </w:rPr>
        <w:t xml:space="preserve"> </w:t>
      </w:r>
      <w:r w:rsidRPr="00C2691A">
        <w:rPr>
          <w:rStyle w:val="libFootnoteAieChar"/>
          <w:rtl/>
        </w:rPr>
        <w:t>وَإِنَّهُ لَتَذْكِرَةٌ لِلْمُتَّقِينَ</w:t>
      </w:r>
      <w:r>
        <w:rPr>
          <w:rFonts w:hint="cs"/>
          <w:rtl/>
        </w:rPr>
        <w:t xml:space="preserve"> </w:t>
      </w:r>
      <w:r w:rsidRPr="00D11A2C">
        <w:rPr>
          <w:rStyle w:val="libFootnoteAlaemChar"/>
          <w:rtl/>
        </w:rPr>
        <w:t>)</w:t>
      </w:r>
      <w:r w:rsidRPr="00132E65">
        <w:rPr>
          <w:rtl/>
        </w:rPr>
        <w:t xml:space="preserve"> ؛ </w:t>
      </w:r>
      <w:r w:rsidRPr="00D11A2C">
        <w:rPr>
          <w:rStyle w:val="libFootnoteAlaemChar"/>
          <w:rtl/>
        </w:rPr>
        <w:t>(</w:t>
      </w:r>
      <w:r>
        <w:rPr>
          <w:rFonts w:hint="cs"/>
          <w:rtl/>
        </w:rPr>
        <w:t xml:space="preserve"> </w:t>
      </w:r>
      <w:r w:rsidRPr="00C2691A">
        <w:rPr>
          <w:rStyle w:val="libFootnoteAieChar"/>
          <w:rtl/>
        </w:rPr>
        <w:t>وَإِنَّهُ لَحَسْرَةٌ عَلَى الْكافِرِينَ</w:t>
      </w:r>
      <w:r w:rsidR="00D11A2C">
        <w:rPr>
          <w:rStyle w:val="libFootnoteAieChar"/>
          <w:rFonts w:hint="cs"/>
          <w:rtl/>
        </w:rPr>
        <w:t xml:space="preserve"> *</w:t>
      </w:r>
      <w:r w:rsidRPr="00C2691A">
        <w:rPr>
          <w:rStyle w:val="libFootnoteAieChar"/>
          <w:rtl/>
        </w:rPr>
        <w:t xml:space="preserve"> وَإِنَّهُ لَحَقُّ الْيَقِينِ</w:t>
      </w:r>
      <w:r>
        <w:rPr>
          <w:rFonts w:hint="cs"/>
          <w:rtl/>
        </w:rPr>
        <w:t xml:space="preserve"> </w:t>
      </w:r>
      <w:r w:rsidRPr="00D11A2C">
        <w:rPr>
          <w:rStyle w:val="libFootnoteAlaemChar"/>
          <w:rtl/>
        </w:rPr>
        <w:t>)</w:t>
      </w:r>
      <w:r w:rsidRPr="00132E65">
        <w:rPr>
          <w:rtl/>
        </w:rPr>
        <w:t xml:space="preserve"> ف</w:t>
      </w:r>
      <w:r w:rsidR="00D11A2C">
        <w:rPr>
          <w:rFonts w:hint="cs"/>
          <w:rtl/>
        </w:rPr>
        <w:t>ـ</w:t>
      </w:r>
      <w:r w:rsidRPr="00132E65">
        <w:rPr>
          <w:rtl/>
        </w:rPr>
        <w:t xml:space="preserve"> « ولاية عليّ » وكذا ما بعده تفسيرٌ لمرجع الضمير فى « إنّه »</w:t>
      </w:r>
      <w:r>
        <w:rPr>
          <w:rtl/>
        </w:rPr>
        <w:t>.</w:t>
      </w:r>
    </w:p>
    <w:tbl>
      <w:tblPr>
        <w:tblStyle w:val="TableGrid"/>
        <w:bidiVisual/>
        <w:tblW w:w="0" w:type="auto"/>
        <w:tblLook w:val="04A0" w:firstRow="1" w:lastRow="0" w:firstColumn="1" w:lastColumn="0" w:noHBand="0" w:noVBand="1"/>
      </w:tblPr>
      <w:tblGrid>
        <w:gridCol w:w="4006"/>
        <w:gridCol w:w="4006"/>
      </w:tblGrid>
      <w:tr w:rsidR="00D11A2C" w:rsidTr="00D11A2C">
        <w:tc>
          <w:tcPr>
            <w:tcW w:w="4006" w:type="dxa"/>
          </w:tcPr>
          <w:p w:rsidR="00D11A2C" w:rsidRDefault="00D11A2C" w:rsidP="000C39D1">
            <w:pPr>
              <w:pStyle w:val="libFootnote0"/>
              <w:rPr>
                <w:rtl/>
              </w:rPr>
            </w:pPr>
            <w:r>
              <w:rPr>
                <w:rtl/>
              </w:rPr>
              <w:t>(11).</w:t>
            </w:r>
            <w:r w:rsidRPr="00132E65">
              <w:rPr>
                <w:rtl/>
              </w:rPr>
              <w:t xml:space="preserve"> الحاقّة (69) : 48</w:t>
            </w:r>
            <w:r>
              <w:rPr>
                <w:rtl/>
              </w:rPr>
              <w:t xml:space="preserve"> - </w:t>
            </w:r>
            <w:r w:rsidRPr="00132E65">
              <w:rPr>
                <w:rtl/>
              </w:rPr>
              <w:t>52.</w:t>
            </w:r>
          </w:p>
        </w:tc>
        <w:tc>
          <w:tcPr>
            <w:tcW w:w="4006" w:type="dxa"/>
          </w:tcPr>
          <w:p w:rsidR="00D11A2C" w:rsidRDefault="00D11A2C" w:rsidP="000C39D1">
            <w:pPr>
              <w:pStyle w:val="libFootnote0"/>
              <w:rPr>
                <w:rtl/>
              </w:rPr>
            </w:pPr>
            <w:r>
              <w:rPr>
                <w:rtl/>
              </w:rPr>
              <w:t>(12).</w:t>
            </w:r>
            <w:r w:rsidRPr="00132E65">
              <w:rPr>
                <w:rtl/>
              </w:rPr>
              <w:t xml:space="preserve"> الجنّ (72) : 13.</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قُلْ إِنِّي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w:t>
      </w:r>
      <w:r w:rsidRPr="00071CF9">
        <w:rPr>
          <w:rStyle w:val="libAlaemChar"/>
          <w:rtl/>
        </w:rPr>
        <w:t>(</w:t>
      </w:r>
      <w:r w:rsidRPr="00071CF9">
        <w:rPr>
          <w:rStyle w:val="libAieChar"/>
          <w:rtl/>
        </w:rPr>
        <w:t xml:space="preserve"> لا أَمْلِكُ لَكُمْ ضَرًّا وَلا رَشَداً </w:t>
      </w:r>
      <w:r w:rsidRPr="00071CF9">
        <w:rPr>
          <w:rStyle w:val="libAlaemChar"/>
          <w:rtl/>
        </w:rPr>
        <w:t>)</w:t>
      </w:r>
      <w:r w:rsidRPr="00132E65">
        <w:rPr>
          <w:rtl/>
          <w:lang w:bidi="fa-IR"/>
        </w:rPr>
        <w:t xml:space="preserve"> </w:t>
      </w:r>
      <w:r>
        <w:rPr>
          <w:rStyle w:val="libFootnotenumChar"/>
          <w:rtl/>
        </w:rPr>
        <w:t>(2)</w:t>
      </w:r>
      <w:r>
        <w:rPr>
          <w:rtl/>
          <w:lang w:bidi="fa-IR"/>
        </w:rPr>
        <w:t>؟</w:t>
      </w:r>
      <w:r w:rsidRPr="00132E65">
        <w:rPr>
          <w:rtl/>
          <w:lang w:bidi="fa-IR"/>
        </w:rPr>
        <w:t xml:space="preserve"> قَالَ : « إِنَّ رَسُولَ اللهِ </w:t>
      </w:r>
      <w:r w:rsidRPr="0093484F">
        <w:rPr>
          <w:rStyle w:val="libAlaemChar"/>
          <w:rFonts w:eastAsiaTheme="minorHAnsi"/>
          <w:rtl/>
        </w:rPr>
        <w:t>صلى‌الله‌عليه‌وآله</w:t>
      </w:r>
      <w:r w:rsidRPr="00132E65">
        <w:rPr>
          <w:rtl/>
          <w:lang w:bidi="fa-IR"/>
        </w:rPr>
        <w:t xml:space="preserve"> دَعَا النَّاسَ إِلى ولَايَةِ عَلِيٍّ ، فَاجْتَمَعَتْ إِلَيْهِ قُرَيْشٌ ، فَقَالُوا : يَا مُحَمَّدُ ، أَعْفِنَا مِنْ هذَا </w:t>
      </w:r>
      <w:r>
        <w:rPr>
          <w:rStyle w:val="libFootnotenumChar"/>
          <w:rtl/>
        </w:rPr>
        <w:t>(3)</w:t>
      </w:r>
      <w:r w:rsidRPr="00132E65">
        <w:rPr>
          <w:rtl/>
          <w:lang w:bidi="fa-IR"/>
        </w:rPr>
        <w:t xml:space="preserve"> ، فَقَالَ لَهُمْ رَسُولُ اللهِ </w:t>
      </w:r>
      <w:r w:rsidRPr="0093484F">
        <w:rPr>
          <w:rStyle w:val="libAlaemChar"/>
          <w:rFonts w:eastAsiaTheme="minorHAnsi"/>
          <w:rtl/>
        </w:rPr>
        <w:t>صلى‌الله‌عليه‌وآله</w:t>
      </w:r>
      <w:r w:rsidRPr="00132E65">
        <w:rPr>
          <w:rtl/>
          <w:lang w:bidi="fa-IR"/>
        </w:rPr>
        <w:t xml:space="preserve">: هذَا إِلَى اللهِ لَيْسَ إِلَيَّ ، فَاتَّهَمُوهُ وخَرَجُوا </w:t>
      </w:r>
      <w:r>
        <w:rPr>
          <w:rStyle w:val="libFootnotenumChar"/>
          <w:rtl/>
        </w:rPr>
        <w:t>(4)</w:t>
      </w:r>
      <w:r w:rsidRPr="00132E65">
        <w:rPr>
          <w:rtl/>
          <w:lang w:bidi="fa-IR"/>
        </w:rPr>
        <w:t xml:space="preserve"> مِنْ عِنْدِهِ ، فَأَنْزَلَ اللهُ :</w:t>
      </w:r>
      <w:r>
        <w:rPr>
          <w:rFonts w:hint="cs"/>
          <w:rtl/>
          <w:lang w:bidi="fa-IR"/>
        </w:rPr>
        <w:t xml:space="preserve"> </w:t>
      </w:r>
      <w:r w:rsidRPr="00071CF9">
        <w:rPr>
          <w:rStyle w:val="libAlaemChar"/>
          <w:rtl/>
        </w:rPr>
        <w:t>(</w:t>
      </w:r>
      <w:r w:rsidRPr="00071CF9">
        <w:rPr>
          <w:rStyle w:val="libAieChar"/>
          <w:rtl/>
        </w:rPr>
        <w:t xml:space="preserve"> قُلْ إِنِّي لا أَمْلِكُ لَكُمْ ضَرًّا وَلا رَشَداً </w:t>
      </w:r>
      <w:r w:rsidR="007E2EF3">
        <w:rPr>
          <w:rStyle w:val="libAieChar"/>
          <w:rFonts w:hint="cs"/>
          <w:rtl/>
        </w:rPr>
        <w:t xml:space="preserve">* </w:t>
      </w:r>
      <w:r w:rsidRPr="00071CF9">
        <w:rPr>
          <w:rStyle w:val="libAieChar"/>
          <w:rtl/>
        </w:rPr>
        <w:t xml:space="preserve">قُلْ إِنِّي لَنْ يُجِيرَنِي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sidRPr="00071CF9">
        <w:rPr>
          <w:rStyle w:val="libAlaemChar"/>
          <w:rtl/>
        </w:rPr>
        <w:t>(</w:t>
      </w:r>
      <w:r w:rsidRPr="00071CF9">
        <w:rPr>
          <w:rStyle w:val="libAieChar"/>
          <w:rtl/>
        </w:rPr>
        <w:t xml:space="preserve"> مِنَ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sidRPr="00071CF9">
        <w:rPr>
          <w:rStyle w:val="libAlaemChar"/>
          <w:rtl/>
        </w:rPr>
        <w:t>(</w:t>
      </w:r>
      <w:r w:rsidRPr="00071CF9">
        <w:rPr>
          <w:rStyle w:val="libAieChar"/>
          <w:rtl/>
        </w:rPr>
        <w:t xml:space="preserve"> اللهِ </w:t>
      </w:r>
      <w:r w:rsidRPr="00071CF9">
        <w:rPr>
          <w:rStyle w:val="libAlaemChar"/>
          <w:rtl/>
        </w:rPr>
        <w:t>)</w:t>
      </w:r>
      <w:r w:rsidRPr="00132E65">
        <w:rPr>
          <w:rtl/>
          <w:lang w:bidi="fa-IR"/>
        </w:rPr>
        <w:t xml:space="preserve"> إِنْ عَصَيْتُهُ</w:t>
      </w:r>
      <w:r>
        <w:rPr>
          <w:rFonts w:hint="cs"/>
          <w:rtl/>
          <w:lang w:bidi="fa-IR"/>
        </w:rPr>
        <w:t xml:space="preserve"> </w:t>
      </w:r>
      <w:r w:rsidRPr="00071CF9">
        <w:rPr>
          <w:rStyle w:val="libAlaemChar"/>
          <w:rtl/>
        </w:rPr>
        <w:t>(</w:t>
      </w:r>
      <w:r w:rsidRPr="00071CF9">
        <w:rPr>
          <w:rStyle w:val="libAieChar"/>
          <w:rtl/>
        </w:rPr>
        <w:t xml:space="preserve"> أَحَدٌ وَلَنْ أَجِد</w:t>
      </w:r>
      <w:r w:rsidR="007E2EF3">
        <w:rPr>
          <w:rStyle w:val="libAieChar"/>
          <w:rtl/>
        </w:rPr>
        <w:t xml:space="preserve">َ مِنْ دُونِهِ مُلْتَحَداً </w:t>
      </w:r>
      <w:r w:rsidR="007E2EF3">
        <w:rPr>
          <w:rStyle w:val="libAieChar"/>
          <w:rFonts w:hint="cs"/>
          <w:rtl/>
        </w:rPr>
        <w:t xml:space="preserve">* </w:t>
      </w:r>
      <w:r w:rsidR="007E2EF3">
        <w:rPr>
          <w:rStyle w:val="libAieChar"/>
          <w:rtl/>
        </w:rPr>
        <w:t>إِل</w:t>
      </w:r>
      <w:r w:rsidR="007E2EF3">
        <w:rPr>
          <w:rStyle w:val="libAieChar"/>
          <w:rFonts w:hint="cs"/>
          <w:rtl/>
        </w:rPr>
        <w:t>ّ</w:t>
      </w:r>
      <w:r w:rsidR="007E2EF3">
        <w:rPr>
          <w:rStyle w:val="libAieChar"/>
          <w:rtl/>
        </w:rPr>
        <w:t>ا</w:t>
      </w:r>
      <w:r w:rsidRPr="00071CF9">
        <w:rPr>
          <w:rStyle w:val="libAieChar"/>
          <w:rtl/>
        </w:rPr>
        <w:t xml:space="preserve"> بَلاغاً مِنَ اللهِ وَرِسالاتِهِ </w:t>
      </w:r>
      <w:r w:rsidRPr="00071CF9">
        <w:rPr>
          <w:rStyle w:val="libAlaemChar"/>
          <w:rtl/>
        </w:rPr>
        <w:t>)</w:t>
      </w:r>
      <w:r w:rsidRPr="00132E65">
        <w:rPr>
          <w:rtl/>
          <w:lang w:bidi="fa-IR"/>
        </w:rPr>
        <w:t xml:space="preserve"> فِي عَلِيٍّ »</w:t>
      </w:r>
      <w:r>
        <w:rPr>
          <w:rtl/>
          <w:lang w:bidi="fa-IR"/>
        </w:rPr>
        <w:t>.</w:t>
      </w:r>
    </w:p>
    <w:p w:rsidR="000C39D1" w:rsidRPr="00132E65" w:rsidRDefault="000C39D1" w:rsidP="000C39D1">
      <w:pPr>
        <w:pStyle w:val="libNormal"/>
        <w:rPr>
          <w:rtl/>
          <w:lang w:bidi="fa-IR"/>
        </w:rPr>
      </w:pPr>
      <w:r w:rsidRPr="00132E65">
        <w:rPr>
          <w:rtl/>
          <w:lang w:bidi="fa-IR"/>
        </w:rPr>
        <w:t>قُلْتُ : هذَا تَنْزِيلٌ</w:t>
      </w:r>
      <w:r>
        <w:rPr>
          <w:rtl/>
          <w:lang w:bidi="fa-IR"/>
        </w:rPr>
        <w:t>؟</w:t>
      </w:r>
      <w:r w:rsidRPr="00132E65">
        <w:rPr>
          <w:rtl/>
          <w:lang w:bidi="fa-IR"/>
        </w:rPr>
        <w:t xml:space="preserve"> قَالَ : « نَعَمْ »</w:t>
      </w:r>
      <w:r>
        <w:rPr>
          <w:rtl/>
          <w:lang w:bidi="fa-IR"/>
        </w:rPr>
        <w:t>.</w:t>
      </w:r>
      <w:r w:rsidRPr="00132E65">
        <w:rPr>
          <w:rtl/>
          <w:lang w:bidi="fa-IR"/>
        </w:rPr>
        <w:t xml:space="preserve"> ثُمَّ قَالَ تَوْكِيداً : « </w:t>
      </w:r>
      <w:r w:rsidRPr="00071CF9">
        <w:rPr>
          <w:rStyle w:val="libAlaemChar"/>
          <w:rtl/>
        </w:rPr>
        <w:t>(</w:t>
      </w:r>
      <w:r w:rsidRPr="00071CF9">
        <w:rPr>
          <w:rStyle w:val="libAieChar"/>
          <w:rtl/>
        </w:rPr>
        <w:t xml:space="preserve"> وَمَنْ يَعْصِ اللهَ وَرَسُولَهُ </w:t>
      </w:r>
      <w:r w:rsidRPr="00071CF9">
        <w:rPr>
          <w:rStyle w:val="libAlaemChar"/>
          <w:rtl/>
        </w:rPr>
        <w:t>)</w:t>
      </w:r>
      <w:r w:rsidRPr="00132E65">
        <w:rPr>
          <w:rtl/>
          <w:lang w:bidi="fa-IR"/>
        </w:rPr>
        <w:t xml:space="preserve"> فِي وَلَايَةِ عَلِيٍّ</w:t>
      </w:r>
      <w:r>
        <w:rPr>
          <w:rFonts w:hint="cs"/>
          <w:rtl/>
          <w:lang w:bidi="fa-IR"/>
        </w:rPr>
        <w:t xml:space="preserve"> </w:t>
      </w:r>
      <w:r w:rsidRPr="00071CF9">
        <w:rPr>
          <w:rStyle w:val="libAlaemChar"/>
          <w:rtl/>
        </w:rPr>
        <w:t>(</w:t>
      </w:r>
      <w:r w:rsidRPr="00071CF9">
        <w:rPr>
          <w:rStyle w:val="libAieChar"/>
          <w:rtl/>
        </w:rPr>
        <w:t xml:space="preserve"> فَإِنَّ لَهُ نارَ جَهَنَّمَ خالِدِينَ فِيها أَبَداً </w:t>
      </w:r>
      <w:r w:rsidRPr="00071CF9">
        <w:rPr>
          <w:rStyle w:val="libAlaemChar"/>
          <w:rtl/>
        </w:rPr>
        <w:t>)</w:t>
      </w:r>
      <w:r w:rsidRPr="00132E65">
        <w:rPr>
          <w:rtl/>
          <w:lang w:bidi="fa-IR"/>
        </w:rPr>
        <w:t xml:space="preserve"> </w:t>
      </w:r>
      <w:r>
        <w:rPr>
          <w:rStyle w:val="libFootnotenumChar"/>
          <w:rtl/>
        </w:rPr>
        <w:t>(7)</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حَتّى إِذا رَأَوْا ما يُوعَدُونَ فَسَيَعْلَمُونَ مَنْ أَضْعَفُ ناصِراً وَأَقَلُّ عَدَداً </w:t>
      </w:r>
      <w:r w:rsidRPr="00071CF9">
        <w:rPr>
          <w:rStyle w:val="libAlaemChar"/>
          <w:rtl/>
        </w:rPr>
        <w:t>)</w:t>
      </w:r>
      <w:r w:rsidRPr="00132E65">
        <w:rPr>
          <w:rtl/>
          <w:lang w:bidi="fa-IR"/>
        </w:rPr>
        <w:t xml:space="preserve"> </w:t>
      </w:r>
      <w:r>
        <w:rPr>
          <w:rStyle w:val="libFootnotenumChar"/>
          <w:rtl/>
        </w:rPr>
        <w:t>(8)</w:t>
      </w:r>
      <w:r>
        <w:rPr>
          <w:rtl/>
          <w:lang w:bidi="fa-IR"/>
        </w:rPr>
        <w:t>؟</w:t>
      </w:r>
      <w:r w:rsidRPr="00132E65">
        <w:rPr>
          <w:rtl/>
          <w:lang w:bidi="fa-IR"/>
        </w:rPr>
        <w:t xml:space="preserve"> قَالَ </w:t>
      </w:r>
      <w:r>
        <w:rPr>
          <w:rStyle w:val="libFootnotenumChar"/>
          <w:rtl/>
        </w:rPr>
        <w:t>(9)</w:t>
      </w:r>
      <w:r w:rsidRPr="00132E65">
        <w:rPr>
          <w:rtl/>
          <w:lang w:bidi="fa-IR"/>
        </w:rPr>
        <w:t xml:space="preserve"> :</w:t>
      </w:r>
      <w:r>
        <w:rPr>
          <w:rFonts w:hint="cs"/>
          <w:rtl/>
          <w:lang w:bidi="fa-IR"/>
        </w:rPr>
        <w:t xml:space="preserve"> </w:t>
      </w:r>
      <w:r w:rsidRPr="00132E65">
        <w:rPr>
          <w:rtl/>
          <w:lang w:bidi="fa-IR"/>
        </w:rPr>
        <w:t>« يَعْنِي بِذلِكَ الْقَائِمَ وأَنْصَارَهُ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E30C6F">
        <w:rPr>
          <w:rtl/>
        </w:rPr>
        <w:t xml:space="preserve"> </w:t>
      </w:r>
      <w:r w:rsidRPr="00071CF9">
        <w:rPr>
          <w:rStyle w:val="libAieChar"/>
          <w:rtl/>
        </w:rPr>
        <w:t>وَاصْبِرْ</w:t>
      </w:r>
      <w:r w:rsidRPr="00E30C6F">
        <w:rPr>
          <w:rtl/>
        </w:rPr>
        <w:t xml:space="preserve">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w:t>
      </w:r>
      <w:r w:rsidRPr="00071CF9">
        <w:rPr>
          <w:rStyle w:val="libAlaemChar"/>
          <w:rtl/>
        </w:rPr>
        <w:t>(</w:t>
      </w:r>
      <w:r w:rsidRPr="00E30C6F">
        <w:rPr>
          <w:rtl/>
        </w:rPr>
        <w:t xml:space="preserve"> </w:t>
      </w:r>
      <w:r w:rsidRPr="00071CF9">
        <w:rPr>
          <w:rStyle w:val="libAieChar"/>
          <w:rtl/>
        </w:rPr>
        <w:t>عَلى ما يَقُولُونَ</w:t>
      </w:r>
      <w:r w:rsidRPr="00E30C6F">
        <w:rPr>
          <w:rtl/>
        </w:rPr>
        <w:t xml:space="preserve"> </w:t>
      </w:r>
      <w:r w:rsidRPr="00071CF9">
        <w:rPr>
          <w:rStyle w:val="libAlaemChar"/>
          <w:rtl/>
        </w:rPr>
        <w:t>)</w:t>
      </w:r>
      <w:r>
        <w:rPr>
          <w:rtl/>
          <w:lang w:bidi="fa-IR"/>
        </w:rPr>
        <w:t>؟</w:t>
      </w:r>
      <w:r w:rsidRPr="00132E65">
        <w:rPr>
          <w:rtl/>
          <w:lang w:bidi="fa-IR"/>
        </w:rPr>
        <w:t xml:space="preserve"> قَالَ : « يَقُولُونَ فِيكَ : </w:t>
      </w:r>
      <w:r w:rsidRPr="00071CF9">
        <w:rPr>
          <w:rStyle w:val="libAlaemChar"/>
          <w:rtl/>
        </w:rPr>
        <w:t>(</w:t>
      </w:r>
      <w:r w:rsidRPr="00E30C6F">
        <w:rPr>
          <w:rtl/>
        </w:rPr>
        <w:t xml:space="preserve"> </w:t>
      </w:r>
      <w:r w:rsidRPr="00071CF9">
        <w:rPr>
          <w:rStyle w:val="libAieChar"/>
          <w:rtl/>
        </w:rPr>
        <w:t xml:space="preserve">وَاهْجُرْهُمْ هَجْراً جَمِيلاً </w:t>
      </w:r>
      <w:r w:rsidR="007E2EF3">
        <w:rPr>
          <w:rStyle w:val="libAieChar"/>
          <w:rFonts w:hint="cs"/>
          <w:rtl/>
        </w:rPr>
        <w:t xml:space="preserve">* </w:t>
      </w:r>
      <w:r w:rsidRPr="00071CF9">
        <w:rPr>
          <w:rStyle w:val="libAieChar"/>
          <w:rtl/>
        </w:rPr>
        <w:t>وَذَرْنِي</w:t>
      </w:r>
      <w:r w:rsidRPr="00E30C6F">
        <w:rPr>
          <w:rtl/>
        </w:rPr>
        <w:t xml:space="preserve"> </w:t>
      </w:r>
      <w:r w:rsidRPr="00071CF9">
        <w:rPr>
          <w:rStyle w:val="libAlaemChar"/>
          <w:rtl/>
        </w:rPr>
        <w:t>)</w:t>
      </w:r>
      <w:r w:rsidRPr="00132E65">
        <w:rPr>
          <w:rtl/>
          <w:lang w:bidi="fa-IR"/>
        </w:rPr>
        <w:t xml:space="preserve"> يَا مُحَمَّدُ</w:t>
      </w:r>
      <w:r>
        <w:rPr>
          <w:rFonts w:hint="cs"/>
          <w:rtl/>
          <w:lang w:bidi="fa-IR"/>
        </w:rPr>
        <w:t xml:space="preserve"> </w:t>
      </w:r>
      <w:r w:rsidRPr="00071CF9">
        <w:rPr>
          <w:rStyle w:val="libAlaemChar"/>
          <w:rtl/>
        </w:rPr>
        <w:t>(</w:t>
      </w:r>
      <w:r w:rsidRPr="00E30C6F">
        <w:rPr>
          <w:rtl/>
        </w:rPr>
        <w:t xml:space="preserve"> </w:t>
      </w:r>
      <w:r w:rsidRPr="00071CF9">
        <w:rPr>
          <w:rStyle w:val="libAieChar"/>
          <w:rtl/>
        </w:rPr>
        <w:t>وَالْمُكَذِّبِينَ</w:t>
      </w:r>
      <w:r w:rsidRPr="00E30C6F">
        <w:rPr>
          <w:rtl/>
        </w:rPr>
        <w:t xml:space="preserve"> </w:t>
      </w:r>
      <w:r w:rsidRPr="00071CF9">
        <w:rPr>
          <w:rStyle w:val="libAlaemChar"/>
          <w:rtl/>
        </w:rPr>
        <w:t>)</w:t>
      </w:r>
      <w:r w:rsidRPr="00132E65">
        <w:rPr>
          <w:rtl/>
          <w:lang w:bidi="fa-IR"/>
        </w:rPr>
        <w:t xml:space="preserve"> بِوَصِيِّكَ</w:t>
      </w:r>
      <w:r>
        <w:rPr>
          <w:rFonts w:hint="cs"/>
          <w:rtl/>
          <w:lang w:bidi="fa-IR"/>
        </w:rPr>
        <w:t xml:space="preserve"> </w:t>
      </w:r>
      <w:r w:rsidRPr="00071CF9">
        <w:rPr>
          <w:rStyle w:val="libAlaemChar"/>
          <w:rtl/>
        </w:rPr>
        <w:t>(</w:t>
      </w:r>
      <w:r w:rsidRPr="00E30C6F">
        <w:rPr>
          <w:rtl/>
        </w:rPr>
        <w:t xml:space="preserve"> </w:t>
      </w:r>
      <w:r w:rsidRPr="00071CF9">
        <w:rPr>
          <w:rStyle w:val="libAieChar"/>
          <w:rtl/>
        </w:rPr>
        <w:t>أُولِي النَّعْمَةِ وَمَهِّلْهُمْ قَلِيلاً</w:t>
      </w:r>
      <w:r w:rsidRPr="00E30C6F">
        <w:rPr>
          <w:rtl/>
        </w:rPr>
        <w:t xml:space="preserve">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 إِنَّ هذَا تَنْزِيلٌ </w:t>
      </w:r>
      <w:r>
        <w:rPr>
          <w:rStyle w:val="libFootnotenumChar"/>
          <w:rtl/>
        </w:rPr>
        <w:t>(12)</w:t>
      </w:r>
      <w:r>
        <w:rPr>
          <w:rtl/>
          <w:lang w:bidi="fa-IR"/>
        </w:rPr>
        <w:t>؟</w:t>
      </w:r>
      <w:r w:rsidRPr="00132E65">
        <w:rPr>
          <w:rtl/>
          <w:lang w:bidi="fa-IR"/>
        </w:rPr>
        <w:t xml:space="preserve"> قَالَ : « نَعَمْ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لِيَسْتَيْقِنَ الَّذِينَ أُوتُوا الْكِتابَ </w:t>
      </w:r>
      <w:r w:rsidRPr="00071CF9">
        <w:rPr>
          <w:rStyle w:val="libAlaemChar"/>
          <w:rtl/>
        </w:rPr>
        <w:t>)</w:t>
      </w:r>
      <w:r>
        <w:rPr>
          <w:rtl/>
          <w:lang w:bidi="fa-IR"/>
        </w:rPr>
        <w:t>؟</w:t>
      </w:r>
      <w:r w:rsidRPr="00132E65">
        <w:rPr>
          <w:rtl/>
          <w:lang w:bidi="fa-IR"/>
        </w:rPr>
        <w:t xml:space="preserve"> قَالَ : « يَسْتَيْقِنُونَ أَنَّ اللهَ ورَسُولَهُ‌</w:t>
      </w:r>
    </w:p>
    <w:p w:rsidR="000C39D1"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القرآن </w:t>
      </w:r>
      <w:r>
        <w:rPr>
          <w:rtl/>
        </w:rPr>
        <w:t>و «</w:t>
      </w:r>
      <w:r w:rsidRPr="00132E65">
        <w:rPr>
          <w:rtl/>
        </w:rPr>
        <w:t xml:space="preserve"> بر » وحاشية « ض » والبحار ، ج 24. وفي سائر النسخ والمطبوع </w:t>
      </w:r>
      <w:r>
        <w:rPr>
          <w:rtl/>
        </w:rPr>
        <w:t xml:space="preserve">: - </w:t>
      </w:r>
      <w:r w:rsidRPr="00132E65">
        <w:rPr>
          <w:rtl/>
        </w:rPr>
        <w:t>« قل إنّي »</w:t>
      </w:r>
      <w:r>
        <w:rPr>
          <w:rtl/>
        </w:rPr>
        <w:t>.</w:t>
      </w:r>
    </w:p>
    <w:p w:rsidR="000C39D1" w:rsidRPr="00132E65" w:rsidRDefault="000C39D1" w:rsidP="000C39D1">
      <w:pPr>
        <w:pStyle w:val="libFootnote0"/>
        <w:rPr>
          <w:rtl/>
          <w:lang w:bidi="fa-IR"/>
        </w:rPr>
      </w:pPr>
      <w:r>
        <w:rPr>
          <w:rtl/>
        </w:rPr>
        <w:t>(2).</w:t>
      </w:r>
      <w:r w:rsidRPr="00132E65">
        <w:rPr>
          <w:rtl/>
        </w:rPr>
        <w:t xml:space="preserve"> الجنّ (72) : 21.</w:t>
      </w:r>
    </w:p>
    <w:p w:rsidR="000C39D1" w:rsidRPr="00132E65" w:rsidRDefault="000C39D1" w:rsidP="000C39D1">
      <w:pPr>
        <w:pStyle w:val="libFootnote0"/>
        <w:rPr>
          <w:rtl/>
          <w:lang w:bidi="fa-IR"/>
        </w:rPr>
      </w:pPr>
      <w:r>
        <w:rPr>
          <w:rtl/>
        </w:rPr>
        <w:t>(3).</w:t>
      </w:r>
      <w:r w:rsidRPr="00132E65">
        <w:rPr>
          <w:rtl/>
        </w:rPr>
        <w:t xml:space="preserve"> « أعفنا من هذا » ، أي دَعْنا منه. يقال : أعفاه من الأمر : برّأه. راجع : </w:t>
      </w:r>
      <w:r w:rsidRPr="009D1ACE">
        <w:rPr>
          <w:rStyle w:val="libFootnoteBoldChar"/>
          <w:rtl/>
        </w:rPr>
        <w:t>لسان العرب</w:t>
      </w:r>
      <w:r w:rsidRPr="00132E65">
        <w:rPr>
          <w:rtl/>
        </w:rPr>
        <w:t xml:space="preserve"> ، ج 15 ، ص 74 ( عفا )</w:t>
      </w:r>
      <w:r>
        <w:rPr>
          <w:rtl/>
        </w:rPr>
        <w:t>.</w:t>
      </w:r>
    </w:p>
    <w:tbl>
      <w:tblPr>
        <w:tblStyle w:val="TableGrid"/>
        <w:bidiVisual/>
        <w:tblW w:w="0" w:type="auto"/>
        <w:tblLook w:val="04A0" w:firstRow="1" w:lastRow="0" w:firstColumn="1" w:lastColumn="0" w:noHBand="0" w:noVBand="1"/>
      </w:tblPr>
      <w:tblGrid>
        <w:gridCol w:w="4006"/>
        <w:gridCol w:w="4006"/>
      </w:tblGrid>
      <w:tr w:rsidR="007E2EF3" w:rsidTr="007E2EF3">
        <w:tc>
          <w:tcPr>
            <w:tcW w:w="4006" w:type="dxa"/>
          </w:tcPr>
          <w:p w:rsidR="007E2EF3" w:rsidRDefault="007E2EF3" w:rsidP="000C39D1">
            <w:pPr>
              <w:pStyle w:val="libFootnote0"/>
              <w:rPr>
                <w:rtl/>
              </w:rPr>
            </w:pPr>
            <w:r>
              <w:rPr>
                <w:rtl/>
              </w:rPr>
              <w:t>(4).</w:t>
            </w:r>
            <w:r w:rsidRPr="00132E65">
              <w:rPr>
                <w:rtl/>
              </w:rPr>
              <w:t xml:space="preserve"> في « ب » : « واخرجوا »</w:t>
            </w:r>
            <w:r>
              <w:rPr>
                <w:rtl/>
              </w:rPr>
              <w:t>.</w:t>
            </w:r>
          </w:p>
        </w:tc>
        <w:tc>
          <w:tcPr>
            <w:tcW w:w="4006" w:type="dxa"/>
          </w:tcPr>
          <w:p w:rsidR="007E2EF3" w:rsidRDefault="007E2EF3" w:rsidP="000C39D1">
            <w:pPr>
              <w:pStyle w:val="libFootnote0"/>
              <w:rPr>
                <w:rtl/>
              </w:rPr>
            </w:pPr>
            <w:r>
              <w:rPr>
                <w:rtl/>
              </w:rPr>
              <w:t>(5).</w:t>
            </w:r>
            <w:r w:rsidRPr="00132E65">
              <w:rPr>
                <w:rtl/>
              </w:rPr>
              <w:t xml:space="preserve"> في شرح المازندراني :</w:t>
            </w:r>
            <w:r>
              <w:rPr>
                <w:rtl/>
              </w:rPr>
              <w:t xml:space="preserve"> + </w:t>
            </w:r>
            <w:r w:rsidRPr="00132E65">
              <w:rPr>
                <w:rtl/>
              </w:rPr>
              <w:t>« أحد »</w:t>
            </w:r>
            <w:r>
              <w:rPr>
                <w:rtl/>
              </w:rPr>
              <w:t>.</w:t>
            </w:r>
          </w:p>
        </w:tc>
      </w:tr>
      <w:tr w:rsidR="007E2EF3" w:rsidTr="007E2EF3">
        <w:tc>
          <w:tcPr>
            <w:tcW w:w="4006" w:type="dxa"/>
          </w:tcPr>
          <w:p w:rsidR="007E2EF3" w:rsidRDefault="007E2EF3" w:rsidP="000C39D1">
            <w:pPr>
              <w:pStyle w:val="libFootnote0"/>
              <w:rPr>
                <w:rtl/>
              </w:rPr>
            </w:pPr>
            <w:r>
              <w:rPr>
                <w:rtl/>
              </w:rPr>
              <w:t>(6).</w:t>
            </w:r>
            <w:r w:rsidRPr="00132E65">
              <w:rPr>
                <w:rtl/>
              </w:rPr>
              <w:t xml:space="preserve"> في شرح المازندراني :</w:t>
            </w:r>
            <w:r>
              <w:rPr>
                <w:rtl/>
              </w:rPr>
              <w:t xml:space="preserve"> + </w:t>
            </w:r>
            <w:r w:rsidRPr="00132E65">
              <w:rPr>
                <w:rtl/>
              </w:rPr>
              <w:t>« عقوبة »</w:t>
            </w:r>
            <w:r>
              <w:rPr>
                <w:rtl/>
              </w:rPr>
              <w:t>.</w:t>
            </w:r>
          </w:p>
        </w:tc>
        <w:tc>
          <w:tcPr>
            <w:tcW w:w="4006" w:type="dxa"/>
          </w:tcPr>
          <w:p w:rsidR="007E2EF3" w:rsidRDefault="007E2EF3" w:rsidP="000C39D1">
            <w:pPr>
              <w:pStyle w:val="libFootnote0"/>
              <w:rPr>
                <w:rtl/>
              </w:rPr>
            </w:pPr>
            <w:r>
              <w:rPr>
                <w:rtl/>
              </w:rPr>
              <w:t>(7).</w:t>
            </w:r>
            <w:r w:rsidRPr="00132E65">
              <w:rPr>
                <w:rtl/>
              </w:rPr>
              <w:t xml:space="preserve"> الجنّ (72) : 21</w:t>
            </w:r>
            <w:r>
              <w:rPr>
                <w:rtl/>
              </w:rPr>
              <w:t xml:space="preserve"> - </w:t>
            </w:r>
            <w:r w:rsidRPr="00132E65">
              <w:rPr>
                <w:rtl/>
              </w:rPr>
              <w:t>23.</w:t>
            </w:r>
          </w:p>
        </w:tc>
      </w:tr>
    </w:tbl>
    <w:p w:rsidR="000C39D1" w:rsidRPr="00132E65" w:rsidRDefault="000C39D1" w:rsidP="000C39D1">
      <w:pPr>
        <w:pStyle w:val="libFootnote0"/>
        <w:rPr>
          <w:rtl/>
          <w:lang w:bidi="fa-IR"/>
        </w:rPr>
      </w:pPr>
      <w:r>
        <w:rPr>
          <w:rtl/>
        </w:rPr>
        <w:t>(8).</w:t>
      </w:r>
      <w:r w:rsidRPr="00132E65">
        <w:rPr>
          <w:rtl/>
        </w:rPr>
        <w:t xml:space="preserve"> الجنّ (72) : 24. وفي البحار ، ج 24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(9).</w:t>
      </w:r>
      <w:r w:rsidRPr="00132E65">
        <w:rPr>
          <w:rtl/>
        </w:rPr>
        <w:t xml:space="preserve"> هكذا في « ف » والبحار. وفي سائر النسخ والمطبوع </w:t>
      </w:r>
      <w:r>
        <w:rPr>
          <w:rtl/>
        </w:rPr>
        <w:t xml:space="preserve">: - </w:t>
      </w:r>
      <w:r w:rsidRPr="00132E65">
        <w:rPr>
          <w:rtl/>
        </w:rPr>
        <w:t>« قال »</w:t>
      </w:r>
      <w:r>
        <w:rPr>
          <w:rtl/>
        </w:rPr>
        <w:t>.</w:t>
      </w:r>
    </w:p>
    <w:p w:rsidR="000C39D1" w:rsidRPr="00132E65" w:rsidRDefault="000C39D1" w:rsidP="00001388">
      <w:pPr>
        <w:pStyle w:val="libFootnote0"/>
        <w:rPr>
          <w:rtl/>
          <w:lang w:bidi="fa-IR"/>
        </w:rPr>
      </w:pPr>
      <w:r>
        <w:rPr>
          <w:rtl/>
        </w:rPr>
        <w:t>(10).</w:t>
      </w:r>
      <w:r w:rsidRPr="00132E65">
        <w:rPr>
          <w:rtl/>
        </w:rPr>
        <w:t xml:space="preserve"> هكذا في القرآن والمطبوع. وفي « ب ، ج ، ض ، ف ، بح ، بر ، بس ، بف » و</w:t>
      </w:r>
      <w:r w:rsidRPr="009D1ACE">
        <w:rPr>
          <w:rStyle w:val="libFootnoteBoldChar"/>
          <w:rtl/>
        </w:rPr>
        <w:t>مرآة العقول</w:t>
      </w:r>
      <w:r w:rsidRPr="00132E65">
        <w:rPr>
          <w:rtl/>
        </w:rPr>
        <w:t xml:space="preserve"> : « فاصبر »</w:t>
      </w:r>
      <w:r>
        <w:rPr>
          <w:rtl/>
        </w:rPr>
        <w:t>.</w:t>
      </w:r>
      <w:r w:rsidRPr="00132E65">
        <w:rPr>
          <w:rtl/>
        </w:rPr>
        <w:t xml:space="preserve"> قال في‌المرآة : « أقول : في المزّمّل : </w:t>
      </w:r>
      <w:r w:rsidR="00001388" w:rsidRPr="00001388">
        <w:rPr>
          <w:rStyle w:val="libFootnoteAlaemChar"/>
          <w:rFonts w:hint="cs"/>
          <w:rtl/>
        </w:rPr>
        <w:t>(</w:t>
      </w:r>
      <w:r w:rsidRPr="00132E65">
        <w:rPr>
          <w:rtl/>
        </w:rPr>
        <w:t xml:space="preserve"> </w:t>
      </w:r>
      <w:r w:rsidRPr="00001388">
        <w:rPr>
          <w:rStyle w:val="libFootnoteAieChar"/>
          <w:rtl/>
        </w:rPr>
        <w:t>وَاصْبِرْ</w:t>
      </w:r>
      <w:r w:rsidRPr="00132E65">
        <w:rPr>
          <w:rtl/>
        </w:rPr>
        <w:t xml:space="preserve"> </w:t>
      </w:r>
      <w:r w:rsidR="00001388" w:rsidRPr="00001388">
        <w:rPr>
          <w:rStyle w:val="libFootnoteAlaemChar"/>
          <w:rFonts w:hint="cs"/>
          <w:rtl/>
        </w:rPr>
        <w:t>)</w:t>
      </w:r>
      <w:r w:rsidRPr="00132E65">
        <w:rPr>
          <w:rtl/>
        </w:rPr>
        <w:t xml:space="preserve"> وكأنّه من تصحيف النسّاخ. وقيل : من المحتمل أنّ ذكر الفاء بدلَ الواو للإشعار بأنّ « واصبر » عطف على « اتّخذ » من تتمّة التفريع »</w:t>
      </w:r>
      <w:r>
        <w:rPr>
          <w:rtl/>
        </w:rPr>
        <w:t>.</w:t>
      </w:r>
    </w:p>
    <w:tbl>
      <w:tblPr>
        <w:tblStyle w:val="TableGrid"/>
        <w:bidiVisual/>
        <w:tblW w:w="0" w:type="auto"/>
        <w:tblLook w:val="04A0" w:firstRow="1" w:lastRow="0" w:firstColumn="1" w:lastColumn="0" w:noHBand="0" w:noVBand="1"/>
      </w:tblPr>
      <w:tblGrid>
        <w:gridCol w:w="4006"/>
        <w:gridCol w:w="4006"/>
      </w:tblGrid>
      <w:tr w:rsidR="00001388" w:rsidTr="00001388">
        <w:tc>
          <w:tcPr>
            <w:tcW w:w="4006" w:type="dxa"/>
          </w:tcPr>
          <w:p w:rsidR="00001388" w:rsidRDefault="00001388" w:rsidP="000C39D1">
            <w:pPr>
              <w:pStyle w:val="libFootnote0"/>
              <w:rPr>
                <w:rtl/>
              </w:rPr>
            </w:pPr>
            <w:r>
              <w:rPr>
                <w:rtl/>
              </w:rPr>
              <w:t>(11).</w:t>
            </w:r>
            <w:r w:rsidRPr="00132E65">
              <w:rPr>
                <w:rtl/>
              </w:rPr>
              <w:t xml:space="preserve"> المزّمّل (73) : 10</w:t>
            </w:r>
            <w:r>
              <w:rPr>
                <w:rtl/>
              </w:rPr>
              <w:t xml:space="preserve"> - </w:t>
            </w:r>
            <w:r w:rsidRPr="00132E65">
              <w:rPr>
                <w:rtl/>
              </w:rPr>
              <w:t>11.</w:t>
            </w:r>
          </w:p>
        </w:tc>
        <w:tc>
          <w:tcPr>
            <w:tcW w:w="4006" w:type="dxa"/>
          </w:tcPr>
          <w:p w:rsidR="00001388" w:rsidRDefault="00001388" w:rsidP="000C39D1">
            <w:pPr>
              <w:pStyle w:val="libFootnote0"/>
              <w:rPr>
                <w:rtl/>
              </w:rPr>
            </w:pPr>
            <w:r>
              <w:rPr>
                <w:rtl/>
              </w:rPr>
              <w:t>(12).</w:t>
            </w:r>
            <w:r w:rsidRPr="00132E65">
              <w:rPr>
                <w:rtl/>
              </w:rPr>
              <w:t xml:space="preserve"> في « ب » : « لتنزيل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وَوصِيَّهُ حَقٌّ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وَيَزْدادَ الَّذِينَ آمَنُوا إِيماناً </w:t>
      </w:r>
      <w:r w:rsidRPr="00071CF9">
        <w:rPr>
          <w:rStyle w:val="libAlaemChar"/>
          <w:rtl/>
        </w:rPr>
        <w:t>)</w:t>
      </w:r>
      <w:r>
        <w:rPr>
          <w:rtl/>
          <w:lang w:bidi="fa-IR"/>
        </w:rPr>
        <w:t>؟</w:t>
      </w:r>
      <w:r w:rsidRPr="00132E65">
        <w:rPr>
          <w:rtl/>
          <w:lang w:bidi="fa-IR"/>
        </w:rPr>
        <w:t xml:space="preserve"> قَالَ : « وَ</w:t>
      </w:r>
      <w:r>
        <w:rPr>
          <w:rFonts w:hint="cs"/>
          <w:rtl/>
          <w:lang w:bidi="fa-IR"/>
        </w:rPr>
        <w:t xml:space="preserve"> </w:t>
      </w:r>
      <w:r>
        <w:rPr>
          <w:rStyle w:val="libFootnotenumChar"/>
          <w:rtl/>
        </w:rPr>
        <w:t>(1)</w:t>
      </w:r>
      <w:r w:rsidRPr="00132E65">
        <w:rPr>
          <w:rtl/>
          <w:lang w:bidi="fa-IR"/>
        </w:rPr>
        <w:t xml:space="preserve"> يَزْدَادُونَ بِوَلَايَةِ الْوَصِيِّ إِيمَاناً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وَلا يَرْتابَ الَّذِينَ أُوتُوا الْكِتابَ وَالْمُؤْمِنُونَ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قَالَ : « بِوَلَايَةِ عَلِيٍّ »</w:t>
      </w:r>
      <w:r>
        <w:rPr>
          <w:rtl/>
          <w:lang w:bidi="fa-IR"/>
        </w:rPr>
        <w:t>.</w:t>
      </w:r>
    </w:p>
    <w:p w:rsidR="000C39D1" w:rsidRPr="00132E65" w:rsidRDefault="000C39D1" w:rsidP="000C39D1">
      <w:pPr>
        <w:pStyle w:val="libNormal"/>
        <w:rPr>
          <w:rtl/>
          <w:lang w:bidi="fa-IR"/>
        </w:rPr>
      </w:pPr>
      <w:r w:rsidRPr="00132E65">
        <w:rPr>
          <w:rtl/>
          <w:lang w:bidi="fa-IR"/>
        </w:rPr>
        <w:t>قُلْتُ : مَا هذَا الِارْتِيَابُ</w:t>
      </w:r>
      <w:r>
        <w:rPr>
          <w:rtl/>
          <w:lang w:bidi="fa-IR"/>
        </w:rPr>
        <w:t>؟</w:t>
      </w:r>
      <w:r w:rsidRPr="00132E65">
        <w:rPr>
          <w:rtl/>
          <w:lang w:bidi="fa-IR"/>
        </w:rPr>
        <w:t xml:space="preserve"> قَالَ : « يَعْنِي بِذلِكَ أَهْلَ الْكِتَابِ والْمُؤْمِنِينَ الَّذِينَ ذَكَرَ </w:t>
      </w:r>
      <w:r>
        <w:rPr>
          <w:rStyle w:val="libFootnotenumChar"/>
          <w:rtl/>
        </w:rPr>
        <w:t>(3)</w:t>
      </w:r>
      <w:r w:rsidRPr="00132E65">
        <w:rPr>
          <w:rtl/>
          <w:lang w:bidi="fa-IR"/>
        </w:rPr>
        <w:t xml:space="preserve"> اللهُ ، فَقَالَ : ولَايَرْتَابُونَ فِي الْوَلَايَةِ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وَما هِيَ</w:t>
      </w:r>
      <w:r w:rsidR="00381686">
        <w:rPr>
          <w:rStyle w:val="libAieChar"/>
          <w:rtl/>
        </w:rPr>
        <w:t xml:space="preserve"> إِل</w:t>
      </w:r>
      <w:r w:rsidR="00381686">
        <w:rPr>
          <w:rStyle w:val="libAieChar"/>
          <w:rFonts w:hint="cs"/>
          <w:rtl/>
        </w:rPr>
        <w:t>ّ</w:t>
      </w:r>
      <w:r w:rsidR="00381686">
        <w:rPr>
          <w:rStyle w:val="libAieChar"/>
          <w:rtl/>
        </w:rPr>
        <w:t>ا</w:t>
      </w:r>
      <w:r w:rsidRPr="00071CF9">
        <w:rPr>
          <w:rStyle w:val="libAieChar"/>
          <w:rtl/>
        </w:rPr>
        <w:t xml:space="preserve"> ذِكْرى لِلْبَشَرِ </w:t>
      </w:r>
      <w:r w:rsidRPr="00071CF9">
        <w:rPr>
          <w:rStyle w:val="libAlaemChar"/>
          <w:rtl/>
        </w:rPr>
        <w:t>)</w:t>
      </w:r>
      <w:r w:rsidRPr="00132E65">
        <w:rPr>
          <w:rtl/>
          <w:lang w:bidi="fa-IR"/>
        </w:rPr>
        <w:t xml:space="preserve"> </w:t>
      </w:r>
      <w:r>
        <w:rPr>
          <w:rStyle w:val="libFootnotenumChar"/>
          <w:rtl/>
        </w:rPr>
        <w:t>(4)</w:t>
      </w:r>
      <w:r>
        <w:rPr>
          <w:rtl/>
          <w:lang w:bidi="fa-IR"/>
        </w:rPr>
        <w:t>؟</w:t>
      </w:r>
      <w:r w:rsidRPr="00132E65">
        <w:rPr>
          <w:rtl/>
          <w:lang w:bidi="fa-IR"/>
        </w:rPr>
        <w:t xml:space="preserve"> قَالَ : « نَعَمْ ، ولَايَةُ عَلِيٍّ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إِنَّها لَإِحْدَى الْكُبَرِ </w:t>
      </w:r>
      <w:r w:rsidRPr="00071CF9">
        <w:rPr>
          <w:rStyle w:val="libAlaemChar"/>
          <w:rtl/>
        </w:rPr>
        <w:t>)</w:t>
      </w:r>
      <w:r w:rsidRPr="00132E65">
        <w:rPr>
          <w:rtl/>
          <w:lang w:bidi="fa-IR"/>
        </w:rPr>
        <w:t xml:space="preserve"> </w:t>
      </w:r>
      <w:r>
        <w:rPr>
          <w:rStyle w:val="libFootnotenumChar"/>
          <w:rtl/>
        </w:rPr>
        <w:t>(5)</w:t>
      </w:r>
      <w:r>
        <w:rPr>
          <w:rtl/>
          <w:lang w:bidi="fa-IR"/>
        </w:rPr>
        <w:t>؟</w:t>
      </w:r>
      <w:r w:rsidRPr="00132E65">
        <w:rPr>
          <w:rtl/>
          <w:lang w:bidi="fa-IR"/>
        </w:rPr>
        <w:t xml:space="preserve"> قَالَ : « الْوَلَايَةُ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لِمَنْ شاءَ مِنْكُمْ أَنْ يَتَقَدَّمَ أَوْ يَتَأَخَّرَ </w:t>
      </w:r>
      <w:r w:rsidRPr="00071CF9">
        <w:rPr>
          <w:rStyle w:val="libAlaemChar"/>
          <w:rtl/>
        </w:rPr>
        <w:t>)</w:t>
      </w:r>
      <w:r w:rsidRPr="00132E65">
        <w:rPr>
          <w:rtl/>
          <w:lang w:bidi="fa-IR"/>
        </w:rPr>
        <w:t xml:space="preserve"> </w:t>
      </w:r>
      <w:r>
        <w:rPr>
          <w:rStyle w:val="libFootnotenumChar"/>
          <w:rtl/>
        </w:rPr>
        <w:t>(6)</w:t>
      </w:r>
      <w:r>
        <w:rPr>
          <w:rtl/>
          <w:lang w:bidi="fa-IR"/>
        </w:rPr>
        <w:t>؟</w:t>
      </w:r>
      <w:r w:rsidRPr="00132E65">
        <w:rPr>
          <w:rtl/>
          <w:lang w:bidi="fa-IR"/>
        </w:rPr>
        <w:t xml:space="preserve"> قَالَ : « مَنْ تَقَدَّمَ إِلى ولَايَتِنَا ، أُخِّرَ عَنْ سَقَرَ ، ومَنْ تَأَخَّرَ عَنَّا ، تَقَدَّمَ إِلى سَقَرَ »</w:t>
      </w:r>
      <w:r>
        <w:rPr>
          <w:rtl/>
          <w:lang w:bidi="fa-IR"/>
        </w:rPr>
        <w:t>.</w:t>
      </w:r>
    </w:p>
    <w:p w:rsidR="000C39D1" w:rsidRPr="00132E65" w:rsidRDefault="000C39D1" w:rsidP="000C39D1">
      <w:pPr>
        <w:pStyle w:val="libNormal"/>
        <w:rPr>
          <w:rtl/>
          <w:lang w:bidi="fa-IR"/>
        </w:rPr>
      </w:pPr>
      <w:r w:rsidRPr="00132E65">
        <w:rPr>
          <w:rtl/>
          <w:lang w:bidi="fa-IR"/>
        </w:rPr>
        <w:t xml:space="preserve">قُلْتُ </w:t>
      </w:r>
      <w:r>
        <w:rPr>
          <w:rStyle w:val="libFootnotenumChar"/>
          <w:rtl/>
        </w:rPr>
        <w:t>(7)</w:t>
      </w:r>
      <w:r w:rsidRPr="00132E65">
        <w:rPr>
          <w:rtl/>
          <w:lang w:bidi="fa-IR"/>
        </w:rPr>
        <w:t xml:space="preserve"> : </w:t>
      </w:r>
      <w:r w:rsidRPr="00071CF9">
        <w:rPr>
          <w:rStyle w:val="libAlaemChar"/>
          <w:rtl/>
        </w:rPr>
        <w:t>(</w:t>
      </w:r>
      <w:r w:rsidR="00381686">
        <w:rPr>
          <w:rStyle w:val="libAieChar"/>
          <w:rtl/>
        </w:rPr>
        <w:t xml:space="preserve"> إِل</w:t>
      </w:r>
      <w:r w:rsidR="00381686">
        <w:rPr>
          <w:rStyle w:val="libAieChar"/>
          <w:rFonts w:hint="cs"/>
          <w:rtl/>
        </w:rPr>
        <w:t>ّ</w:t>
      </w:r>
      <w:r w:rsidR="00381686">
        <w:rPr>
          <w:rStyle w:val="libAieChar"/>
          <w:rtl/>
        </w:rPr>
        <w:t>ا</w:t>
      </w:r>
      <w:r w:rsidRPr="00071CF9">
        <w:rPr>
          <w:rStyle w:val="libAieChar"/>
          <w:rtl/>
        </w:rPr>
        <w:t xml:space="preserve"> أَصْحابَ الْيَمِينِ </w:t>
      </w:r>
      <w:r w:rsidRPr="00071CF9">
        <w:rPr>
          <w:rStyle w:val="libAlaemChar"/>
          <w:rtl/>
        </w:rPr>
        <w:t>)</w:t>
      </w:r>
      <w:r w:rsidRPr="00132E65">
        <w:rPr>
          <w:rtl/>
          <w:lang w:bidi="fa-IR"/>
        </w:rPr>
        <w:t xml:space="preserve"> </w:t>
      </w:r>
      <w:r>
        <w:rPr>
          <w:rStyle w:val="libFootnotenumChar"/>
          <w:rtl/>
        </w:rPr>
        <w:t>(8)</w:t>
      </w:r>
      <w:r>
        <w:rPr>
          <w:rtl/>
          <w:lang w:bidi="fa-IR"/>
        </w:rPr>
        <w:t>؟</w:t>
      </w:r>
      <w:r w:rsidRPr="00132E65">
        <w:rPr>
          <w:rtl/>
          <w:lang w:bidi="fa-IR"/>
        </w:rPr>
        <w:t xml:space="preserve"> قَالَ : « هُمْ واللهِ شِيعَتُنَا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لَمْ نَكُ مِنَ الْمُصَلِّينَ </w:t>
      </w:r>
      <w:r w:rsidRPr="00071CF9">
        <w:rPr>
          <w:rStyle w:val="libAlaemChar"/>
          <w:rtl/>
        </w:rPr>
        <w:t>)</w:t>
      </w:r>
      <w:r w:rsidRPr="00132E65">
        <w:rPr>
          <w:rtl/>
          <w:lang w:bidi="fa-IR"/>
        </w:rPr>
        <w:t xml:space="preserve"> </w:t>
      </w:r>
      <w:r>
        <w:rPr>
          <w:rStyle w:val="libFootnotenumChar"/>
          <w:rtl/>
        </w:rPr>
        <w:t>(9)</w:t>
      </w:r>
      <w:r>
        <w:rPr>
          <w:rtl/>
          <w:lang w:bidi="fa-IR"/>
        </w:rPr>
        <w:t>؟</w:t>
      </w:r>
      <w:r w:rsidRPr="00132E65">
        <w:rPr>
          <w:rtl/>
          <w:lang w:bidi="fa-IR"/>
        </w:rPr>
        <w:t xml:space="preserve"> قَالَ : « إِنَّا لَمْ نَتَوَلَّ وصِيَّ مُحَمَّدٍ والْأَوْصِيَاءَ مِنْ بَعْدِهِ ، وَلَايُصَلُّونَ عَلَيْهِمْ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فَما لَهُمْ عَنِ التَّذْكِرَةِ مُعْرِضِينَ </w:t>
      </w:r>
      <w:r w:rsidRPr="00071CF9">
        <w:rPr>
          <w:rStyle w:val="libAlaemChar"/>
          <w:rtl/>
        </w:rPr>
        <w:t>)</w:t>
      </w:r>
      <w:r w:rsidRPr="00132E65">
        <w:rPr>
          <w:rtl/>
          <w:lang w:bidi="fa-IR"/>
        </w:rPr>
        <w:t xml:space="preserve"> </w:t>
      </w:r>
      <w:r>
        <w:rPr>
          <w:rStyle w:val="libFootnotenumChar"/>
          <w:rtl/>
        </w:rPr>
        <w:t>(10)</w:t>
      </w:r>
      <w:r>
        <w:rPr>
          <w:rtl/>
          <w:lang w:bidi="fa-IR"/>
        </w:rPr>
        <w:t>؟</w:t>
      </w:r>
      <w:r w:rsidRPr="00132E65">
        <w:rPr>
          <w:rtl/>
          <w:lang w:bidi="fa-IR"/>
        </w:rPr>
        <w:t xml:space="preserve"> قَالَ : « عَنِ الْوَلَايَةِ مُعْرِضِينَ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كَلاّ إِنَّها تَذْكِرَةٌ </w:t>
      </w:r>
      <w:r w:rsidRPr="00071CF9">
        <w:rPr>
          <w:rStyle w:val="libAlaemChar"/>
          <w:rtl/>
        </w:rPr>
        <w:t>)</w:t>
      </w:r>
      <w:r w:rsidRPr="00132E65">
        <w:rPr>
          <w:rtl/>
          <w:lang w:bidi="fa-IR"/>
        </w:rPr>
        <w:t xml:space="preserve"> </w:t>
      </w:r>
      <w:r>
        <w:rPr>
          <w:rStyle w:val="libFootnotenumChar"/>
          <w:rtl/>
        </w:rPr>
        <w:t>(11)</w:t>
      </w:r>
      <w:r>
        <w:rPr>
          <w:rtl/>
          <w:lang w:bidi="fa-IR"/>
        </w:rPr>
        <w:t>؟</w:t>
      </w:r>
      <w:r w:rsidRPr="00132E65">
        <w:rPr>
          <w:rtl/>
          <w:lang w:bidi="fa-IR"/>
        </w:rPr>
        <w:t xml:space="preserve"> قَالَ : « الْوَلَايَةُ »</w:t>
      </w:r>
      <w:r>
        <w:rPr>
          <w:rtl/>
          <w:lang w:bidi="fa-IR"/>
        </w:rPr>
        <w:t>.</w:t>
      </w:r>
    </w:p>
    <w:p w:rsidR="000C39D1" w:rsidRPr="00132E65" w:rsidRDefault="000C39D1" w:rsidP="000C39D1">
      <w:pPr>
        <w:pStyle w:val="libNormal"/>
        <w:rPr>
          <w:rtl/>
          <w:lang w:bidi="fa-IR"/>
        </w:rPr>
      </w:pPr>
      <w:r w:rsidRPr="00132E65">
        <w:rPr>
          <w:rtl/>
          <w:lang w:bidi="fa-IR"/>
        </w:rPr>
        <w:t xml:space="preserve">قُلْتُ : قَوْلُهُ : </w:t>
      </w:r>
      <w:r w:rsidRPr="00071CF9">
        <w:rPr>
          <w:rStyle w:val="libAlaemChar"/>
          <w:rtl/>
        </w:rPr>
        <w:t>(</w:t>
      </w:r>
      <w:r w:rsidRPr="00071CF9">
        <w:rPr>
          <w:rStyle w:val="libAieChar"/>
          <w:rtl/>
        </w:rPr>
        <w:t xml:space="preserve"> يُوفُونَ بِالنَّذْرِ </w:t>
      </w:r>
      <w:r w:rsidRPr="00071CF9">
        <w:rPr>
          <w:rStyle w:val="libAlaemChar"/>
          <w:rtl/>
        </w:rPr>
        <w:t>)</w:t>
      </w:r>
      <w:r w:rsidRPr="00132E65">
        <w:rPr>
          <w:rtl/>
          <w:lang w:bidi="fa-IR"/>
        </w:rPr>
        <w:t xml:space="preserve"> </w:t>
      </w:r>
      <w:r>
        <w:rPr>
          <w:rStyle w:val="libFootnotenumChar"/>
          <w:rtl/>
        </w:rPr>
        <w:t>(12)</w:t>
      </w:r>
      <w:r>
        <w:rPr>
          <w:rtl/>
          <w:lang w:bidi="fa-IR"/>
        </w:rPr>
        <w:t>؟</w:t>
      </w:r>
      <w:r w:rsidRPr="00132E65">
        <w:rPr>
          <w:rtl/>
          <w:lang w:bidi="fa-IR"/>
        </w:rPr>
        <w:t xml:space="preserve"> قَالَ : « يُوفُونَ لِلّهِ بِالنَّذْرِ الَّذِي أَخَذَ عَلَيْهِمْ فِي‌</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81686" w:rsidTr="00381686">
        <w:tc>
          <w:tcPr>
            <w:tcW w:w="4006" w:type="dxa"/>
          </w:tcPr>
          <w:p w:rsidR="00381686" w:rsidRDefault="00381686" w:rsidP="000C39D1">
            <w:pPr>
              <w:pStyle w:val="libFootnote0"/>
              <w:rPr>
                <w:rtl/>
              </w:rPr>
            </w:pPr>
            <w:r>
              <w:rPr>
                <w:rtl/>
              </w:rPr>
              <w:t>(1). في « ض، ف، بح</w:t>
            </w:r>
            <w:r w:rsidRPr="00132E65">
              <w:rPr>
                <w:rtl/>
              </w:rPr>
              <w:t>، بس » و</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tc>
        <w:tc>
          <w:tcPr>
            <w:tcW w:w="4006" w:type="dxa"/>
          </w:tcPr>
          <w:p w:rsidR="00381686" w:rsidRDefault="00381686" w:rsidP="000C39D1">
            <w:pPr>
              <w:pStyle w:val="libFootnote0"/>
              <w:rPr>
                <w:rtl/>
              </w:rPr>
            </w:pPr>
            <w:r>
              <w:rPr>
                <w:rtl/>
              </w:rPr>
              <w:t>(2).</w:t>
            </w:r>
            <w:r w:rsidRPr="00132E65">
              <w:rPr>
                <w:rtl/>
              </w:rPr>
              <w:t xml:space="preserve"> المدّثّر (74) : 31.</w:t>
            </w:r>
          </w:p>
        </w:tc>
      </w:tr>
      <w:tr w:rsidR="00381686" w:rsidTr="00381686">
        <w:tc>
          <w:tcPr>
            <w:tcW w:w="4006" w:type="dxa"/>
          </w:tcPr>
          <w:p w:rsidR="00381686" w:rsidRDefault="00381686" w:rsidP="000C39D1">
            <w:pPr>
              <w:pStyle w:val="libFootnote0"/>
              <w:rPr>
                <w:rtl/>
              </w:rPr>
            </w:pPr>
            <w:r>
              <w:rPr>
                <w:rtl/>
              </w:rPr>
              <w:t>(3).</w:t>
            </w:r>
            <w:r w:rsidRPr="00132E65">
              <w:rPr>
                <w:rtl/>
              </w:rPr>
              <w:t xml:space="preserve"> في « ف » : « ذكرهم »</w:t>
            </w:r>
            <w:r>
              <w:rPr>
                <w:rtl/>
              </w:rPr>
              <w:t>.</w:t>
            </w:r>
          </w:p>
        </w:tc>
        <w:tc>
          <w:tcPr>
            <w:tcW w:w="4006" w:type="dxa"/>
          </w:tcPr>
          <w:p w:rsidR="00381686" w:rsidRDefault="00381686" w:rsidP="000C39D1">
            <w:pPr>
              <w:pStyle w:val="libFootnote0"/>
              <w:rPr>
                <w:rtl/>
              </w:rPr>
            </w:pPr>
            <w:r>
              <w:rPr>
                <w:rtl/>
              </w:rPr>
              <w:t>(4).</w:t>
            </w:r>
            <w:r w:rsidRPr="00132E65">
              <w:rPr>
                <w:rtl/>
              </w:rPr>
              <w:t xml:space="preserve"> المدّثّر (74) : 31.</w:t>
            </w:r>
          </w:p>
        </w:tc>
      </w:tr>
      <w:tr w:rsidR="00381686" w:rsidTr="00381686">
        <w:tc>
          <w:tcPr>
            <w:tcW w:w="4006" w:type="dxa"/>
          </w:tcPr>
          <w:p w:rsidR="00381686" w:rsidRDefault="00381686" w:rsidP="000C39D1">
            <w:pPr>
              <w:pStyle w:val="libFootnote0"/>
              <w:rPr>
                <w:rtl/>
              </w:rPr>
            </w:pPr>
            <w:r>
              <w:rPr>
                <w:rtl/>
              </w:rPr>
              <w:t>(5).</w:t>
            </w:r>
            <w:r w:rsidRPr="00132E65">
              <w:rPr>
                <w:rtl/>
              </w:rPr>
              <w:t xml:space="preserve"> المدّثّر (74) : 35.</w:t>
            </w:r>
          </w:p>
        </w:tc>
        <w:tc>
          <w:tcPr>
            <w:tcW w:w="4006" w:type="dxa"/>
          </w:tcPr>
          <w:p w:rsidR="00381686" w:rsidRDefault="00381686" w:rsidP="000C39D1">
            <w:pPr>
              <w:pStyle w:val="libFootnote0"/>
              <w:rPr>
                <w:rtl/>
              </w:rPr>
            </w:pPr>
            <w:r>
              <w:rPr>
                <w:rtl/>
              </w:rPr>
              <w:t>(6).</w:t>
            </w:r>
            <w:r w:rsidRPr="00132E65">
              <w:rPr>
                <w:rtl/>
              </w:rPr>
              <w:t xml:space="preserve"> المدّثّر (74) : 37.</w:t>
            </w:r>
          </w:p>
        </w:tc>
      </w:tr>
    </w:tbl>
    <w:p w:rsidR="000C39D1" w:rsidRPr="00132E65" w:rsidRDefault="000C39D1" w:rsidP="000C39D1">
      <w:pPr>
        <w:pStyle w:val="libFootnote0"/>
        <w:rPr>
          <w:rtl/>
          <w:lang w:bidi="fa-IR"/>
        </w:rPr>
      </w:pPr>
      <w:r>
        <w:rPr>
          <w:rtl/>
        </w:rPr>
        <w:t>(7).</w:t>
      </w:r>
      <w:r w:rsidRPr="00132E65">
        <w:rPr>
          <w:rtl/>
        </w:rPr>
        <w:t xml:space="preserve"> هكذا في « ض »</w:t>
      </w:r>
      <w:r>
        <w:rPr>
          <w:rtl/>
        </w:rPr>
        <w:t>.</w:t>
      </w:r>
      <w:r w:rsidRPr="00132E65">
        <w:rPr>
          <w:rtl/>
        </w:rPr>
        <w:t xml:space="preserve"> وفي سائر النسخ والمطبوع </w:t>
      </w:r>
      <w:r>
        <w:rPr>
          <w:rtl/>
        </w:rPr>
        <w:t xml:space="preserve">: - </w:t>
      </w:r>
      <w:r w:rsidRPr="00132E65">
        <w:rPr>
          <w:rtl/>
        </w:rPr>
        <w:t>« قلت »</w:t>
      </w:r>
      <w:r>
        <w:rPr>
          <w:rtl/>
        </w:rPr>
        <w:t>.</w:t>
      </w:r>
    </w:p>
    <w:tbl>
      <w:tblPr>
        <w:tblStyle w:val="TableGrid"/>
        <w:bidiVisual/>
        <w:tblW w:w="0" w:type="auto"/>
        <w:tblLook w:val="04A0" w:firstRow="1" w:lastRow="0" w:firstColumn="1" w:lastColumn="0" w:noHBand="0" w:noVBand="1"/>
      </w:tblPr>
      <w:tblGrid>
        <w:gridCol w:w="4006"/>
        <w:gridCol w:w="4006"/>
      </w:tblGrid>
      <w:tr w:rsidR="004551D7" w:rsidTr="004551D7">
        <w:tc>
          <w:tcPr>
            <w:tcW w:w="4006" w:type="dxa"/>
          </w:tcPr>
          <w:p w:rsidR="004551D7" w:rsidRDefault="004551D7" w:rsidP="000C39D1">
            <w:pPr>
              <w:pStyle w:val="libFootnote0"/>
              <w:rPr>
                <w:rtl/>
                <w:lang w:bidi="fa-IR"/>
              </w:rPr>
            </w:pPr>
            <w:r>
              <w:rPr>
                <w:rtl/>
              </w:rPr>
              <w:t>(8).</w:t>
            </w:r>
            <w:r w:rsidRPr="00132E65">
              <w:rPr>
                <w:rtl/>
              </w:rPr>
              <w:t xml:space="preserve"> المدّثّر (74) : 39.</w:t>
            </w:r>
          </w:p>
        </w:tc>
        <w:tc>
          <w:tcPr>
            <w:tcW w:w="4006" w:type="dxa"/>
          </w:tcPr>
          <w:p w:rsidR="004551D7" w:rsidRDefault="004551D7" w:rsidP="000C39D1">
            <w:pPr>
              <w:pStyle w:val="libFootnote0"/>
              <w:rPr>
                <w:rtl/>
                <w:lang w:bidi="fa-IR"/>
              </w:rPr>
            </w:pPr>
            <w:r>
              <w:rPr>
                <w:rtl/>
              </w:rPr>
              <w:t>(9).</w:t>
            </w:r>
            <w:r w:rsidRPr="00132E65">
              <w:rPr>
                <w:rtl/>
              </w:rPr>
              <w:t xml:space="preserve"> المدّثّر (74) : 43.</w:t>
            </w:r>
          </w:p>
        </w:tc>
      </w:tr>
    </w:tbl>
    <w:p w:rsidR="000C39D1" w:rsidRPr="00132E65" w:rsidRDefault="000C39D1" w:rsidP="000C39D1">
      <w:pPr>
        <w:pStyle w:val="libFootnote0"/>
        <w:rPr>
          <w:rtl/>
          <w:lang w:bidi="fa-IR"/>
        </w:rPr>
      </w:pPr>
      <w:r>
        <w:rPr>
          <w:rtl/>
        </w:rPr>
        <w:t>(10).</w:t>
      </w:r>
      <w:r w:rsidRPr="00132E65">
        <w:rPr>
          <w:rtl/>
        </w:rPr>
        <w:t xml:space="preserve"> المدّثّر (74) : 49.</w:t>
      </w:r>
    </w:p>
    <w:p w:rsidR="000C39D1" w:rsidRPr="00132E65" w:rsidRDefault="000C39D1" w:rsidP="000C39D1">
      <w:pPr>
        <w:pStyle w:val="libFootnote0"/>
        <w:rPr>
          <w:rtl/>
          <w:lang w:bidi="fa-IR"/>
        </w:rPr>
      </w:pPr>
      <w:r>
        <w:rPr>
          <w:rtl/>
        </w:rPr>
        <w:t>(11).</w:t>
      </w:r>
      <w:r w:rsidRPr="00132E65">
        <w:rPr>
          <w:rtl/>
        </w:rPr>
        <w:t xml:space="preserve"> عبس (80) : 11. وفي سورة المدّثّر (74) : 54 : </w:t>
      </w:r>
      <w:r w:rsidRPr="00472FA3">
        <w:rPr>
          <w:rStyle w:val="libFootnoteAlaemChar"/>
          <w:rtl/>
        </w:rPr>
        <w:t>(</w:t>
      </w:r>
      <w:r>
        <w:rPr>
          <w:rFonts w:hint="cs"/>
          <w:rtl/>
        </w:rPr>
        <w:t xml:space="preserve"> </w:t>
      </w:r>
      <w:r w:rsidRPr="00C2691A">
        <w:rPr>
          <w:rStyle w:val="libFootnoteAieChar"/>
          <w:rtl/>
        </w:rPr>
        <w:t>كَلاّ إِنَّهُ تَذْكِرَةٌ</w:t>
      </w:r>
      <w:r>
        <w:rPr>
          <w:rFonts w:hint="cs"/>
          <w:rtl/>
        </w:rPr>
        <w:t xml:space="preserve"> </w:t>
      </w:r>
      <w:r w:rsidRPr="00472FA3">
        <w:rPr>
          <w:rStyle w:val="libFootnoteAlaemChar"/>
          <w:rtl/>
        </w:rPr>
        <w:t>)</w:t>
      </w:r>
      <w:r w:rsidRPr="00132E65">
        <w:rPr>
          <w:rtl/>
        </w:rPr>
        <w:t>.</w:t>
      </w:r>
    </w:p>
    <w:p w:rsidR="000C39D1" w:rsidRPr="00132E65" w:rsidRDefault="000C39D1" w:rsidP="000C39D1">
      <w:pPr>
        <w:pStyle w:val="libFootnote0"/>
        <w:rPr>
          <w:rtl/>
          <w:lang w:bidi="fa-IR"/>
        </w:rPr>
      </w:pPr>
      <w:r>
        <w:rPr>
          <w:rtl/>
        </w:rPr>
        <w:t>(12).</w:t>
      </w:r>
      <w:r w:rsidRPr="00132E65">
        <w:rPr>
          <w:rtl/>
        </w:rPr>
        <w:t xml:space="preserve"> الإنسان (76) : 7.</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الْمِيثَاقِ مِنْ ولَايَتِنَا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إِنّا نَحْنُ نَزَّلْنا عَلَيْكَ الْقُرْآنَ تَنْزِيلاً </w:t>
      </w:r>
      <w:r w:rsidRPr="00071CF9">
        <w:rPr>
          <w:rStyle w:val="libAlaemChar"/>
          <w:rtl/>
        </w:rPr>
        <w:t>)</w:t>
      </w:r>
      <w:r w:rsidRPr="00132E65">
        <w:rPr>
          <w:rtl/>
          <w:lang w:bidi="fa-IR"/>
        </w:rPr>
        <w:t xml:space="preserve"> </w:t>
      </w:r>
      <w:r>
        <w:rPr>
          <w:rStyle w:val="libFootnotenumChar"/>
          <w:rtl/>
        </w:rPr>
        <w:t>(1)</w:t>
      </w:r>
      <w:r>
        <w:rPr>
          <w:rtl/>
          <w:lang w:bidi="fa-IR"/>
        </w:rPr>
        <w:t>؟</w:t>
      </w:r>
      <w:r w:rsidRPr="00132E65">
        <w:rPr>
          <w:rtl/>
          <w:lang w:bidi="fa-IR"/>
        </w:rPr>
        <w:t xml:space="preserve"> قَالَ : « بِوَلَايَةِ عَلِيٍّ تَنْزِيلاً »</w:t>
      </w:r>
      <w:r>
        <w:rPr>
          <w:rtl/>
          <w:lang w:bidi="fa-IR"/>
        </w:rPr>
        <w:t>.</w:t>
      </w:r>
    </w:p>
    <w:p w:rsidR="000C39D1" w:rsidRPr="00132E65" w:rsidRDefault="000C39D1" w:rsidP="000C39D1">
      <w:pPr>
        <w:pStyle w:val="libNormal"/>
        <w:rPr>
          <w:rtl/>
          <w:lang w:bidi="fa-IR"/>
        </w:rPr>
      </w:pPr>
      <w:r w:rsidRPr="00132E65">
        <w:rPr>
          <w:rtl/>
          <w:lang w:bidi="fa-IR"/>
        </w:rPr>
        <w:t>قُلْتُ : هذَا تَنْزِيلٌ</w:t>
      </w:r>
      <w:r>
        <w:rPr>
          <w:rtl/>
          <w:lang w:bidi="fa-IR"/>
        </w:rPr>
        <w:t>؟</w:t>
      </w:r>
      <w:r w:rsidRPr="00132E65">
        <w:rPr>
          <w:rtl/>
          <w:lang w:bidi="fa-IR"/>
        </w:rPr>
        <w:t xml:space="preserve"> قَالَ : « نَعَمْ </w:t>
      </w:r>
      <w:r>
        <w:rPr>
          <w:rStyle w:val="libFootnotenumChar"/>
          <w:rtl/>
        </w:rPr>
        <w:t>(2)</w:t>
      </w:r>
      <w:r w:rsidRPr="00132E65">
        <w:rPr>
          <w:rtl/>
          <w:lang w:bidi="fa-IR"/>
        </w:rPr>
        <w:t xml:space="preserve"> ، ذَا تَأْوِيلٌ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إِنَّ هذِهِ تَذْكِرَةٌ </w:t>
      </w:r>
      <w:r w:rsidRPr="00071CF9">
        <w:rPr>
          <w:rStyle w:val="libAlaemChar"/>
          <w:rtl/>
        </w:rPr>
        <w:t>)</w:t>
      </w:r>
      <w:r w:rsidRPr="00132E65">
        <w:rPr>
          <w:rtl/>
          <w:lang w:bidi="fa-IR"/>
        </w:rPr>
        <w:t xml:space="preserve"> </w:t>
      </w:r>
      <w:r>
        <w:rPr>
          <w:rStyle w:val="libFootnotenumChar"/>
          <w:rtl/>
        </w:rPr>
        <w:t>(3)</w:t>
      </w:r>
      <w:r>
        <w:rPr>
          <w:rtl/>
          <w:lang w:bidi="fa-IR"/>
        </w:rPr>
        <w:t>؟</w:t>
      </w:r>
      <w:r w:rsidRPr="00132E65">
        <w:rPr>
          <w:rtl/>
          <w:lang w:bidi="fa-IR"/>
        </w:rPr>
        <w:t xml:space="preserve"> قَالَ : « الْوَلَايَةُ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يُدْخِلُ مَنْ يَشاءُ فِي رَحْمَتِهِ </w:t>
      </w:r>
      <w:r w:rsidRPr="00071CF9">
        <w:rPr>
          <w:rStyle w:val="libAlaemChar"/>
          <w:rtl/>
        </w:rPr>
        <w:t>)</w:t>
      </w:r>
      <w:r>
        <w:rPr>
          <w:rtl/>
          <w:lang w:bidi="fa-IR"/>
        </w:rPr>
        <w:t>؟</w:t>
      </w:r>
      <w:r w:rsidRPr="00132E65">
        <w:rPr>
          <w:rtl/>
          <w:lang w:bidi="fa-IR"/>
        </w:rPr>
        <w:t xml:space="preserve"> قَالَ : « فِي ولَايَتِنَا. قَالَ </w:t>
      </w:r>
      <w:r>
        <w:rPr>
          <w:rStyle w:val="libFootnotenumChar"/>
          <w:rtl/>
        </w:rPr>
        <w:t>(4)</w:t>
      </w:r>
      <w:r w:rsidRPr="00132E65">
        <w:rPr>
          <w:rtl/>
          <w:lang w:bidi="fa-IR"/>
        </w:rPr>
        <w:t xml:space="preserve"> : </w:t>
      </w:r>
      <w:r w:rsidRPr="00071CF9">
        <w:rPr>
          <w:rStyle w:val="libAlaemChar"/>
          <w:rtl/>
        </w:rPr>
        <w:t>(</w:t>
      </w:r>
      <w:r w:rsidRPr="00071CF9">
        <w:rPr>
          <w:rStyle w:val="libAieChar"/>
          <w:rtl/>
        </w:rPr>
        <w:t xml:space="preserve"> وَالظّالِمِينَ أَعَدَّ لَهُمْ عَذاباً أَلِيماً </w:t>
      </w:r>
      <w:r w:rsidRPr="00071CF9">
        <w:rPr>
          <w:rStyle w:val="libAlaemChar"/>
          <w:rtl/>
        </w:rPr>
        <w:t>)</w:t>
      </w:r>
      <w:r w:rsidRPr="00132E65">
        <w:rPr>
          <w:rtl/>
          <w:lang w:bidi="fa-IR"/>
        </w:rPr>
        <w:t xml:space="preserve"> </w:t>
      </w:r>
      <w:r>
        <w:rPr>
          <w:rStyle w:val="libFootnotenumChar"/>
          <w:rtl/>
        </w:rPr>
        <w:t>(5)</w:t>
      </w:r>
      <w:r>
        <w:rPr>
          <w:rtl/>
          <w:lang w:bidi="fa-IR"/>
        </w:rPr>
        <w:t xml:space="preserve"> أَ</w:t>
      </w:r>
      <w:r w:rsidRPr="00132E65">
        <w:rPr>
          <w:rtl/>
          <w:lang w:bidi="fa-IR"/>
        </w:rPr>
        <w:t xml:space="preserve">لَاتَرى أَنَّ اللهَ يَقُولُ : </w:t>
      </w:r>
      <w:r w:rsidRPr="00071CF9">
        <w:rPr>
          <w:rStyle w:val="libAlaemChar"/>
          <w:rtl/>
        </w:rPr>
        <w:t>(</w:t>
      </w:r>
      <w:r w:rsidRPr="00071CF9">
        <w:rPr>
          <w:rStyle w:val="libAieChar"/>
          <w:rtl/>
        </w:rPr>
        <w:t xml:space="preserve"> وَما ظَلَمُونا وَلكِنْ كانُوا أَنْفُسَهُمْ يَظْلِمُونَ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r w:rsidRPr="00132E65">
        <w:rPr>
          <w:rtl/>
          <w:lang w:bidi="fa-IR"/>
        </w:rPr>
        <w:t xml:space="preserve"> قَالَ :</w:t>
      </w:r>
      <w:r>
        <w:rPr>
          <w:rFonts w:hint="cs"/>
          <w:rtl/>
          <w:lang w:bidi="fa-IR"/>
        </w:rPr>
        <w:t xml:space="preserve"> </w:t>
      </w:r>
      <w:r w:rsidRPr="00132E65">
        <w:rPr>
          <w:rtl/>
          <w:lang w:bidi="fa-IR"/>
        </w:rPr>
        <w:t xml:space="preserve">« إِنَّ اللهَ أَعَزُّ وأَمْنَعُ مِنْ أَنْ يُظْلَمَ </w:t>
      </w:r>
      <w:r>
        <w:rPr>
          <w:rStyle w:val="libFootnotenumChar"/>
          <w:rtl/>
        </w:rPr>
        <w:t>(7)</w:t>
      </w:r>
      <w:r w:rsidRPr="00132E65">
        <w:rPr>
          <w:rtl/>
          <w:lang w:bidi="fa-IR"/>
        </w:rPr>
        <w:t xml:space="preserve"> أَوْ </w:t>
      </w:r>
      <w:r>
        <w:rPr>
          <w:rStyle w:val="libFootnotenumChar"/>
          <w:rtl/>
        </w:rPr>
        <w:t>(8)</w:t>
      </w:r>
      <w:r w:rsidRPr="00132E65">
        <w:rPr>
          <w:rtl/>
          <w:lang w:bidi="fa-IR"/>
        </w:rPr>
        <w:t xml:space="preserve"> يَنْسُبَ نَفْسَهُ إِلى ظُلْمٍ </w:t>
      </w:r>
      <w:r>
        <w:rPr>
          <w:rStyle w:val="libFootnotenumChar"/>
          <w:rtl/>
        </w:rPr>
        <w:t>(9)</w:t>
      </w:r>
      <w:r w:rsidRPr="00132E65">
        <w:rPr>
          <w:rtl/>
          <w:lang w:bidi="fa-IR"/>
        </w:rPr>
        <w:t xml:space="preserve"> ، ولكِنَّ اللهَ خَلَطَنَا </w:t>
      </w:r>
      <w:r>
        <w:rPr>
          <w:rStyle w:val="libFootnotenumChar"/>
          <w:rtl/>
        </w:rPr>
        <w:t>(10)</w:t>
      </w:r>
      <w:r w:rsidRPr="00132E65">
        <w:rPr>
          <w:rtl/>
          <w:lang w:bidi="fa-IR"/>
        </w:rPr>
        <w:t xml:space="preserve"> بِنَفْسِهِ ، فَجَعَلَ ظُلْمَنَا ظُلْمَهُ ، وو لَايَتَنَا ولَايَتَهُ ، ثُمَّ أَنْزَلَ بِذلِكَ قُرْآناً عَلى نَبِيِّهِ ، فَقَالَ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الإنسان (76) : 23.</w:t>
      </w:r>
    </w:p>
    <w:p w:rsidR="000C39D1" w:rsidRPr="00132E65" w:rsidRDefault="000C39D1" w:rsidP="000C39D1">
      <w:pPr>
        <w:pStyle w:val="libFootnote0"/>
        <w:rPr>
          <w:rtl/>
          <w:lang w:bidi="fa-IR"/>
        </w:rPr>
      </w:pPr>
      <w:r>
        <w:rPr>
          <w:rtl/>
        </w:rPr>
        <w:t>(2).</w:t>
      </w:r>
      <w:r w:rsidRPr="00132E65">
        <w:rPr>
          <w:rtl/>
        </w:rPr>
        <w:t xml:space="preserve"> اتّفقت النسخ على « نعم » ، والأنسب بقول</w:t>
      </w:r>
      <w:r w:rsidR="00613455">
        <w:rPr>
          <w:rtl/>
        </w:rPr>
        <w:t>ه : « ذا تأويل » : « لا » ، إل</w:t>
      </w:r>
      <w:r w:rsidR="00613455">
        <w:rPr>
          <w:rFonts w:hint="cs"/>
          <w:rtl/>
        </w:rPr>
        <w:t>ّ</w:t>
      </w:r>
      <w:r w:rsidR="00613455">
        <w:rPr>
          <w:rtl/>
        </w:rPr>
        <w:t>ا</w:t>
      </w:r>
      <w:r>
        <w:rPr>
          <w:rFonts w:hint="cs"/>
          <w:rtl/>
        </w:rPr>
        <w:t xml:space="preserve"> </w:t>
      </w:r>
      <w:r w:rsidRPr="00132E65">
        <w:rPr>
          <w:rtl/>
        </w:rPr>
        <w:t>أن يكون « ذا » إشارة إلى ما سبق ، كما احتمله المازندراني والمجلسي. قال المازندراني في شرحه ، ج 7 ، ص 116 : « لعلّ المراد : نعم هذا ، وهو ما ذكر في « نحن نزّلنا تنزيلاً »</w:t>
      </w:r>
      <w:r>
        <w:rPr>
          <w:rtl/>
        </w:rPr>
        <w:t>.</w:t>
      </w:r>
      <w:r w:rsidRPr="00132E65">
        <w:rPr>
          <w:rtl/>
        </w:rPr>
        <w:t xml:space="preserve"> </w:t>
      </w:r>
      <w:r>
        <w:rPr>
          <w:rtl/>
        </w:rPr>
        <w:t>و «</w:t>
      </w:r>
      <w:r w:rsidRPr="00132E65">
        <w:rPr>
          <w:rtl/>
        </w:rPr>
        <w:t xml:space="preserve"> ذا » ، وهو [ ما ] ذكر في</w:t>
      </w:r>
      <w:r>
        <w:rPr>
          <w:rFonts w:hint="cs"/>
          <w:rtl/>
        </w:rPr>
        <w:t xml:space="preserve"> </w:t>
      </w:r>
      <w:r w:rsidRPr="00613455">
        <w:rPr>
          <w:rStyle w:val="libFootnoteAlaemChar"/>
          <w:rtl/>
        </w:rPr>
        <w:t>(</w:t>
      </w:r>
      <w:r w:rsidRPr="006D6DB7">
        <w:rPr>
          <w:rFonts w:hint="cs"/>
          <w:rtl/>
        </w:rPr>
        <w:t xml:space="preserve"> </w:t>
      </w:r>
      <w:r w:rsidRPr="00C2691A">
        <w:rPr>
          <w:rStyle w:val="libFootnoteAieChar"/>
          <w:rtl/>
        </w:rPr>
        <w:t>يُوفُونَ بِالنَّذْرِ</w:t>
      </w:r>
      <w:r>
        <w:rPr>
          <w:rFonts w:hint="cs"/>
          <w:rtl/>
        </w:rPr>
        <w:t xml:space="preserve"> </w:t>
      </w:r>
      <w:r w:rsidRPr="00613455">
        <w:rPr>
          <w:rStyle w:val="libFootnoteAlaemChar"/>
          <w:rtl/>
        </w:rPr>
        <w:t>)</w:t>
      </w:r>
      <w:r w:rsidRPr="00132E65">
        <w:rPr>
          <w:rtl/>
        </w:rPr>
        <w:t xml:space="preserve"> تأويل »</w:t>
      </w:r>
      <w:r>
        <w:rPr>
          <w:rtl/>
        </w:rPr>
        <w:t>.</w:t>
      </w:r>
      <w:r w:rsidRPr="00132E65">
        <w:rPr>
          <w:rtl/>
        </w:rPr>
        <w:t xml:space="preserve"> وقال المجلسي في </w:t>
      </w:r>
      <w:r w:rsidRPr="009D1ACE">
        <w:rPr>
          <w:rStyle w:val="libFootnoteBoldChar"/>
          <w:rtl/>
        </w:rPr>
        <w:t>مرآة العقول</w:t>
      </w:r>
      <w:r w:rsidRPr="00132E65">
        <w:rPr>
          <w:rtl/>
        </w:rPr>
        <w:t xml:space="preserve"> ، ج 5 ، ص 151 : « ليس « نعم » في بعض النسخ ، وهو الأظهر. ورواه صاحب </w:t>
      </w:r>
      <w:r w:rsidRPr="006E6DA1">
        <w:rPr>
          <w:rtl/>
        </w:rPr>
        <w:t>تأويل الآيات</w:t>
      </w:r>
      <w:r w:rsidRPr="00132E65">
        <w:rPr>
          <w:rtl/>
        </w:rPr>
        <w:t xml:space="preserve"> ، ص 727 ، نقلاً عن </w:t>
      </w:r>
      <w:r w:rsidRPr="000577A7">
        <w:rPr>
          <w:rStyle w:val="libFootnoteBoldChar"/>
          <w:rtl/>
        </w:rPr>
        <w:t>الكافي</w:t>
      </w:r>
      <w:r w:rsidRPr="00132E65">
        <w:rPr>
          <w:rtl/>
        </w:rPr>
        <w:t xml:space="preserve"> : « قال : لا ، تأويل »</w:t>
      </w:r>
      <w:r>
        <w:rPr>
          <w:rtl/>
        </w:rPr>
        <w:t>.</w:t>
      </w:r>
      <w:r w:rsidRPr="00132E65">
        <w:rPr>
          <w:rtl/>
        </w:rPr>
        <w:t xml:space="preserve"> ولا ندري كان في نسخته كذلك أو صحّحه ليستقيم المعنى. وعلى ما في أكثر النسخ من وجود « نعم » فيمكن أن يكون مبنيّاً على أنّ سؤال السائل كان على وجه الإنكار والاستبعاد فاستعمل </w:t>
      </w:r>
      <w:r w:rsidRPr="00613455">
        <w:rPr>
          <w:rStyle w:val="libFootnoteAlaemChar"/>
          <w:rtl/>
        </w:rPr>
        <w:t>عليه‌السلام</w:t>
      </w:r>
      <w:r w:rsidRPr="00132E65">
        <w:rPr>
          <w:rtl/>
        </w:rPr>
        <w:t xml:space="preserve"> « نعم » مكان « بلى » وهو شائع في العرف. أو يكون « نعم » فقط جواباً عن السؤال ، </w:t>
      </w:r>
      <w:r>
        <w:rPr>
          <w:rtl/>
        </w:rPr>
        <w:t>و «</w:t>
      </w:r>
      <w:r w:rsidRPr="00132E65">
        <w:rPr>
          <w:rtl/>
        </w:rPr>
        <w:t xml:space="preserve"> ذا » إشارةً إلى ما قال </w:t>
      </w:r>
      <w:r w:rsidRPr="00613455">
        <w:rPr>
          <w:rStyle w:val="libFootnoteAlaemChar"/>
          <w:rtl/>
        </w:rPr>
        <w:t>عليه‌السلام</w:t>
      </w:r>
      <w:r w:rsidRPr="00132E65">
        <w:rPr>
          <w:rtl/>
        </w:rPr>
        <w:t xml:space="preserve"> في الآية السابقة ، أي هذا تنزيل ، وذا تأويل. وقرأ بعض الأفاضل « يعمّ » بالياء المثنّاة التحتانيّة وتشديد الميم بصيغة الفعل ،</w:t>
      </w:r>
      <w:r>
        <w:rPr>
          <w:rtl/>
        </w:rPr>
        <w:t xml:space="preserve"> ف- «</w:t>
      </w:r>
      <w:r w:rsidRPr="00132E65">
        <w:rPr>
          <w:rtl/>
        </w:rPr>
        <w:t xml:space="preserve"> ذا » مفعوله ، </w:t>
      </w:r>
      <w:r>
        <w:rPr>
          <w:rtl/>
        </w:rPr>
        <w:t>و «</w:t>
      </w:r>
      <w:r w:rsidR="00936037">
        <w:rPr>
          <w:rtl/>
        </w:rPr>
        <w:t xml:space="preserve"> تأويل</w:t>
      </w:r>
      <w:r w:rsidRPr="00132E65">
        <w:rPr>
          <w:rtl/>
        </w:rPr>
        <w:t>» فاعله ، أي هذا داخل في تأويل الخبر. والقول بزيادة « نعم » من النسّاخ أولى من هذا التصحيف »</w:t>
      </w:r>
      <w:r>
        <w:rPr>
          <w:rtl/>
        </w:rPr>
        <w:t>.</w:t>
      </w:r>
    </w:p>
    <w:p w:rsidR="000C39D1" w:rsidRPr="00132E65" w:rsidRDefault="000C39D1" w:rsidP="000C39D1">
      <w:pPr>
        <w:pStyle w:val="libFootnote0"/>
        <w:rPr>
          <w:rtl/>
          <w:lang w:bidi="fa-IR"/>
        </w:rPr>
      </w:pPr>
      <w:r>
        <w:rPr>
          <w:rtl/>
        </w:rPr>
        <w:t>(3).</w:t>
      </w:r>
      <w:r w:rsidRPr="00132E65">
        <w:rPr>
          <w:rtl/>
        </w:rPr>
        <w:t xml:space="preserve"> الإنسان (76) : 29.</w:t>
      </w:r>
    </w:p>
    <w:p w:rsidR="000C39D1" w:rsidRPr="00132E65" w:rsidRDefault="000C39D1" w:rsidP="000C39D1">
      <w:pPr>
        <w:pStyle w:val="libFootnote0"/>
        <w:rPr>
          <w:rtl/>
          <w:lang w:bidi="fa-IR"/>
        </w:rPr>
      </w:pPr>
      <w:r>
        <w:rPr>
          <w:rtl/>
        </w:rPr>
        <w:t>(4).</w:t>
      </w:r>
      <w:r w:rsidRPr="00132E65">
        <w:rPr>
          <w:rtl/>
        </w:rPr>
        <w:t xml:space="preserve"> في « بس » </w:t>
      </w:r>
      <w:r>
        <w:rPr>
          <w:rtl/>
        </w:rPr>
        <w:t xml:space="preserve">: - </w:t>
      </w:r>
      <w:r w:rsidRPr="00132E65">
        <w:rPr>
          <w:rtl/>
        </w:rPr>
        <w:t>« قال »</w:t>
      </w:r>
      <w:r>
        <w:rPr>
          <w:rtl/>
        </w:rPr>
        <w:t>.</w:t>
      </w:r>
      <w:r w:rsidRPr="00132E65">
        <w:rPr>
          <w:rtl/>
        </w:rPr>
        <w:t xml:space="preserve"> وقائله المعصوم </w:t>
      </w:r>
      <w:r w:rsidRPr="00613455">
        <w:rPr>
          <w:rStyle w:val="libFootnoteAlaemChar"/>
          <w:rtl/>
        </w:rPr>
        <w:t>عليه‌السلام</w:t>
      </w:r>
      <w:r w:rsidRPr="00132E65">
        <w:rPr>
          <w:rtl/>
        </w:rPr>
        <w:t xml:space="preserve"> وفاعله الله تعالى.</w:t>
      </w:r>
    </w:p>
    <w:tbl>
      <w:tblPr>
        <w:tblStyle w:val="TableGrid"/>
        <w:bidiVisual/>
        <w:tblW w:w="0" w:type="auto"/>
        <w:tblLook w:val="04A0" w:firstRow="1" w:lastRow="0" w:firstColumn="1" w:lastColumn="0" w:noHBand="0" w:noVBand="1"/>
      </w:tblPr>
      <w:tblGrid>
        <w:gridCol w:w="4006"/>
        <w:gridCol w:w="4006"/>
      </w:tblGrid>
      <w:tr w:rsidR="00613455" w:rsidTr="00613455">
        <w:tc>
          <w:tcPr>
            <w:tcW w:w="4006" w:type="dxa"/>
          </w:tcPr>
          <w:p w:rsidR="00613455" w:rsidRDefault="00613455" w:rsidP="000C39D1">
            <w:pPr>
              <w:pStyle w:val="libFootnote0"/>
              <w:rPr>
                <w:rtl/>
              </w:rPr>
            </w:pPr>
            <w:r>
              <w:rPr>
                <w:rtl/>
              </w:rPr>
              <w:t>(5).</w:t>
            </w:r>
            <w:r w:rsidRPr="00132E65">
              <w:rPr>
                <w:rtl/>
              </w:rPr>
              <w:t xml:space="preserve"> الإنسان (76) : 31.</w:t>
            </w:r>
          </w:p>
        </w:tc>
        <w:tc>
          <w:tcPr>
            <w:tcW w:w="4006" w:type="dxa"/>
          </w:tcPr>
          <w:p w:rsidR="00613455" w:rsidRDefault="00613455" w:rsidP="000C39D1">
            <w:pPr>
              <w:pStyle w:val="libFootnote0"/>
              <w:rPr>
                <w:rtl/>
              </w:rPr>
            </w:pPr>
            <w:r>
              <w:rPr>
                <w:rtl/>
              </w:rPr>
              <w:t>(6).</w:t>
            </w:r>
            <w:r w:rsidRPr="00132E65">
              <w:rPr>
                <w:rtl/>
              </w:rPr>
              <w:t xml:space="preserve"> البقرة </w:t>
            </w:r>
            <w:r>
              <w:rPr>
                <w:rtl/>
              </w:rPr>
              <w:t>(2)</w:t>
            </w:r>
            <w:r w:rsidRPr="00132E65">
              <w:rPr>
                <w:rtl/>
              </w:rPr>
              <w:t xml:space="preserve"> : 57 ؛ الأعراف </w:t>
            </w:r>
            <w:r>
              <w:rPr>
                <w:rtl/>
              </w:rPr>
              <w:t>(7)</w:t>
            </w:r>
            <w:r w:rsidRPr="00132E65">
              <w:rPr>
                <w:rtl/>
              </w:rPr>
              <w:t xml:space="preserve"> : 160.</w:t>
            </w:r>
          </w:p>
        </w:tc>
      </w:tr>
    </w:tbl>
    <w:p w:rsidR="000C39D1" w:rsidRPr="00132E65" w:rsidRDefault="000C39D1" w:rsidP="000C39D1">
      <w:pPr>
        <w:pStyle w:val="libFootnote0"/>
        <w:rPr>
          <w:rtl/>
          <w:lang w:bidi="fa-IR"/>
        </w:rPr>
      </w:pPr>
      <w:r>
        <w:rPr>
          <w:rtl/>
        </w:rPr>
        <w:t>(7).</w:t>
      </w:r>
      <w:r w:rsidRPr="00132E65">
        <w:rPr>
          <w:rtl/>
        </w:rPr>
        <w:t xml:space="preserve"> هكذا في « بس » : أي مبنيّاً للمفعول ، وهو المناسب للمقام ولقوله : « ما ظلمونا »</w:t>
      </w:r>
      <w:r>
        <w:rPr>
          <w:rtl/>
        </w:rPr>
        <w:t>.</w:t>
      </w:r>
      <w:r w:rsidRPr="00132E65">
        <w:rPr>
          <w:rtl/>
        </w:rPr>
        <w:t xml:space="preserve"> وفي </w:t>
      </w:r>
      <w:r w:rsidRPr="006E6DA1">
        <w:rPr>
          <w:rtl/>
        </w:rPr>
        <w:t>شرح المازندراني</w:t>
      </w:r>
      <w:r w:rsidRPr="00132E65">
        <w:rPr>
          <w:rtl/>
        </w:rPr>
        <w:t xml:space="preserve"> في‌تفسير الجملة : « بأن يكون مظلوماً أو ظالماً »</w:t>
      </w:r>
      <w:r>
        <w:rPr>
          <w:rtl/>
        </w:rPr>
        <w:t>.</w:t>
      </w:r>
    </w:p>
    <w:p w:rsidR="000C39D1" w:rsidRPr="00132E65" w:rsidRDefault="000C39D1" w:rsidP="000C39D1">
      <w:pPr>
        <w:pStyle w:val="libFootnote0"/>
        <w:rPr>
          <w:rtl/>
          <w:lang w:bidi="fa-IR"/>
        </w:rPr>
      </w:pPr>
      <w:r>
        <w:rPr>
          <w:rtl/>
        </w:rPr>
        <w:t>(8).</w:t>
      </w:r>
      <w:r w:rsidRPr="00132E65">
        <w:rPr>
          <w:rtl/>
        </w:rPr>
        <w:t xml:space="preserve"> في « ب ، بح ، بر ، بس ، بف » : « وأن »</w:t>
      </w:r>
      <w:r>
        <w:rPr>
          <w:rtl/>
        </w:rPr>
        <w:t>.</w:t>
      </w:r>
      <w:r w:rsidRPr="00132E65">
        <w:rPr>
          <w:rtl/>
        </w:rPr>
        <w:t xml:space="preserve"> وفي البحار ، ج 24 : « أو أن »</w:t>
      </w:r>
      <w:r>
        <w:rPr>
          <w:rtl/>
        </w:rPr>
        <w:t>.</w:t>
      </w:r>
    </w:p>
    <w:tbl>
      <w:tblPr>
        <w:tblStyle w:val="TableGrid"/>
        <w:bidiVisual/>
        <w:tblW w:w="0" w:type="auto"/>
        <w:tblLook w:val="04A0" w:firstRow="1" w:lastRow="0" w:firstColumn="1" w:lastColumn="0" w:noHBand="0" w:noVBand="1"/>
      </w:tblPr>
      <w:tblGrid>
        <w:gridCol w:w="4006"/>
        <w:gridCol w:w="4006"/>
      </w:tblGrid>
      <w:tr w:rsidR="00E8175C" w:rsidTr="00E8175C">
        <w:tc>
          <w:tcPr>
            <w:tcW w:w="4006" w:type="dxa"/>
          </w:tcPr>
          <w:p w:rsidR="00E8175C" w:rsidRDefault="00E8175C" w:rsidP="000C39D1">
            <w:pPr>
              <w:pStyle w:val="libFootnote0"/>
              <w:rPr>
                <w:rtl/>
              </w:rPr>
            </w:pPr>
            <w:r>
              <w:rPr>
                <w:rtl/>
              </w:rPr>
              <w:t>(9).</w:t>
            </w:r>
            <w:r w:rsidRPr="00132E65">
              <w:rPr>
                <w:rtl/>
              </w:rPr>
              <w:t xml:space="preserve"> في « ج ، ف ، بح » و</w:t>
            </w:r>
            <w:r w:rsidRPr="009D1ACE">
              <w:rPr>
                <w:rStyle w:val="libFootnoteBoldChar"/>
                <w:rtl/>
              </w:rPr>
              <w:t>الوافي</w:t>
            </w:r>
            <w:r w:rsidRPr="00132E65">
              <w:rPr>
                <w:rtl/>
              </w:rPr>
              <w:t xml:space="preserve"> : « الظلم »</w:t>
            </w:r>
            <w:r>
              <w:rPr>
                <w:rtl/>
              </w:rPr>
              <w:t>.</w:t>
            </w:r>
          </w:p>
        </w:tc>
        <w:tc>
          <w:tcPr>
            <w:tcW w:w="4006" w:type="dxa"/>
          </w:tcPr>
          <w:p w:rsidR="00E8175C" w:rsidRDefault="00E8175C" w:rsidP="000C39D1">
            <w:pPr>
              <w:pStyle w:val="libFootnote0"/>
              <w:rPr>
                <w:rtl/>
              </w:rPr>
            </w:pPr>
            <w:r>
              <w:rPr>
                <w:rtl/>
              </w:rPr>
              <w:t>(10).</w:t>
            </w:r>
            <w:r w:rsidRPr="00132E65">
              <w:rPr>
                <w:rtl/>
              </w:rPr>
              <w:t xml:space="preserve"> في « ف » : « خلّطنا » مشدّداً.</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laemChar"/>
          <w:rtl/>
        </w:rPr>
        <w:t>(</w:t>
      </w:r>
      <w:r w:rsidRPr="00071CF9">
        <w:rPr>
          <w:rStyle w:val="libAieChar"/>
          <w:rtl/>
        </w:rPr>
        <w:t xml:space="preserve"> وَما ظَلَمْناهُمْ وَلكِنْ كانُوا أَنْفُسَهُمْ يَظْلِمُونَ </w:t>
      </w:r>
      <w:r w:rsidRPr="00071CF9">
        <w:rPr>
          <w:rStyle w:val="libAlaemChar"/>
          <w:rtl/>
        </w:rPr>
        <w:t>)</w:t>
      </w:r>
      <w:r w:rsidRPr="00132E65">
        <w:rPr>
          <w:rtl/>
          <w:lang w:bidi="fa-IR"/>
        </w:rPr>
        <w:t xml:space="preserve"> </w:t>
      </w:r>
      <w:r>
        <w:rPr>
          <w:rStyle w:val="libFootnotenumChar"/>
          <w:rtl/>
        </w:rPr>
        <w:t>(1)</w:t>
      </w:r>
    </w:p>
    <w:p w:rsidR="000C39D1" w:rsidRPr="00132E65" w:rsidRDefault="000C39D1" w:rsidP="000C39D1">
      <w:pPr>
        <w:pStyle w:val="libNormal"/>
        <w:rPr>
          <w:rtl/>
          <w:lang w:bidi="fa-IR"/>
        </w:rPr>
      </w:pPr>
      <w:r w:rsidRPr="00132E65">
        <w:rPr>
          <w:rtl/>
          <w:lang w:bidi="fa-IR"/>
        </w:rPr>
        <w:t>قُلْتُ : هذَا تَنْزِيلٌ</w:t>
      </w:r>
      <w:r>
        <w:rPr>
          <w:rtl/>
          <w:lang w:bidi="fa-IR"/>
        </w:rPr>
        <w:t>؟</w:t>
      </w:r>
      <w:r w:rsidRPr="00132E65">
        <w:rPr>
          <w:rtl/>
          <w:lang w:bidi="fa-IR"/>
        </w:rPr>
        <w:t xml:space="preserve"> قَالَ : « نَعَمْ </w:t>
      </w:r>
      <w:r>
        <w:rPr>
          <w:rStyle w:val="libFootnotenumChar"/>
          <w:rtl/>
        </w:rPr>
        <w:t>(2)</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وَيْلٌ يَوْمَئِذٍ لِلْمُكَذِّبِينَ </w:t>
      </w:r>
      <w:r w:rsidRPr="00071CF9">
        <w:rPr>
          <w:rStyle w:val="libAlaemChar"/>
          <w:rtl/>
        </w:rPr>
        <w:t>)</w:t>
      </w:r>
      <w:r w:rsidRPr="00132E65">
        <w:rPr>
          <w:rtl/>
          <w:lang w:bidi="fa-IR"/>
        </w:rPr>
        <w:t xml:space="preserve"> </w:t>
      </w:r>
      <w:r>
        <w:rPr>
          <w:rStyle w:val="libFootnotenumChar"/>
          <w:rtl/>
        </w:rPr>
        <w:t>(3)</w:t>
      </w:r>
      <w:r>
        <w:rPr>
          <w:rtl/>
          <w:lang w:bidi="fa-IR"/>
        </w:rPr>
        <w:t>؟</w:t>
      </w:r>
      <w:r w:rsidRPr="00132E65">
        <w:rPr>
          <w:rtl/>
          <w:lang w:bidi="fa-IR"/>
        </w:rPr>
        <w:t xml:space="preserve"> قَالَ : « يَقُولُ : ويْلٌ </w:t>
      </w:r>
      <w:r>
        <w:rPr>
          <w:rStyle w:val="libFootnotenumChar"/>
          <w:rtl/>
        </w:rPr>
        <w:t>(4)</w:t>
      </w:r>
      <w:r w:rsidRPr="00132E65">
        <w:rPr>
          <w:rtl/>
          <w:lang w:bidi="fa-IR"/>
        </w:rPr>
        <w:t xml:space="preserve"> لِلْمُكَذِّبِينَ يَا مُحَمَّدُ ، بِمَا أَوْحَيْتُ إِلَيْكَ مِنْ ولَايَةِ عَلِيِّ بْنِ أَبِي طَالِبٍ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071CF9">
        <w:rPr>
          <w:rStyle w:val="libAlaemChar"/>
          <w:rtl/>
        </w:rPr>
        <w:t>(</w:t>
      </w:r>
      <w:r w:rsidRPr="00071CF9">
        <w:rPr>
          <w:rStyle w:val="libAieChar"/>
          <w:rtl/>
        </w:rPr>
        <w:t xml:space="preserve"> أَلَمْ نُهْلِكِ الْأَوَّلِينَ ثُمَّ نُتْبِعُهُمُ الْآخِرِينَ </w:t>
      </w:r>
      <w:r w:rsidRPr="00071CF9">
        <w:rPr>
          <w:rStyle w:val="libAlaemChar"/>
          <w:rtl/>
        </w:rPr>
        <w:t>)</w:t>
      </w:r>
      <w:r w:rsidRPr="00132E65">
        <w:rPr>
          <w:rtl/>
          <w:lang w:bidi="fa-IR"/>
        </w:rPr>
        <w:t xml:space="preserve"> </w:t>
      </w:r>
      <w:r>
        <w:rPr>
          <w:rStyle w:val="libFootnotenumChar"/>
          <w:rtl/>
        </w:rPr>
        <w:t>(6)</w:t>
      </w:r>
      <w:r>
        <w:rPr>
          <w:rtl/>
          <w:lang w:bidi="fa-IR"/>
        </w:rPr>
        <w:t>؟</w:t>
      </w:r>
      <w:r w:rsidRPr="00132E65">
        <w:rPr>
          <w:rtl/>
          <w:lang w:bidi="fa-IR"/>
        </w:rPr>
        <w:t xml:space="preserve"> قَالَ : « الْأَوَّلِينَ الَّذِينَ كَذَّبُوا الرُّسُلَ فِي طَاعَةِ الْأَوْصِيَاءِ »</w:t>
      </w:r>
      <w:r>
        <w:rPr>
          <w:rtl/>
          <w:lang w:bidi="fa-IR"/>
        </w:rPr>
        <w:t>.</w:t>
      </w:r>
    </w:p>
    <w:p w:rsidR="000C39D1" w:rsidRPr="00132E65" w:rsidRDefault="000C39D1" w:rsidP="000C39D1">
      <w:pPr>
        <w:pStyle w:val="libNormal"/>
        <w:rPr>
          <w:rtl/>
          <w:lang w:bidi="fa-IR"/>
        </w:rPr>
      </w:pPr>
      <w:r w:rsidRPr="00071CF9">
        <w:rPr>
          <w:rStyle w:val="libAlaemChar"/>
          <w:rtl/>
        </w:rPr>
        <w:t>(</w:t>
      </w:r>
      <w:r w:rsidRPr="00071CF9">
        <w:rPr>
          <w:rStyle w:val="libAieChar"/>
          <w:rtl/>
        </w:rPr>
        <w:t xml:space="preserve"> كَذلِكَ نَفْعَلُ بِالْمُجْرِمِينَ </w:t>
      </w:r>
      <w:r w:rsidRPr="00071CF9">
        <w:rPr>
          <w:rStyle w:val="libAlaemChar"/>
          <w:rtl/>
        </w:rPr>
        <w:t>)</w:t>
      </w:r>
      <w:r w:rsidRPr="00132E65">
        <w:rPr>
          <w:rtl/>
          <w:lang w:bidi="fa-IR"/>
        </w:rPr>
        <w:t xml:space="preserve"> </w:t>
      </w:r>
      <w:r>
        <w:rPr>
          <w:rStyle w:val="libFootnotenumChar"/>
          <w:rtl/>
        </w:rPr>
        <w:t>(7)</w:t>
      </w:r>
      <w:r>
        <w:rPr>
          <w:rtl/>
          <w:lang w:bidi="fa-IR"/>
        </w:rPr>
        <w:t>؟</w:t>
      </w:r>
      <w:r w:rsidRPr="00132E65">
        <w:rPr>
          <w:rtl/>
          <w:lang w:bidi="fa-IR"/>
        </w:rPr>
        <w:t xml:space="preserve"> قَالَ : « مَنْ أَجْرَمَ إِلى آلِ مُحَمَّدٍ </w:t>
      </w:r>
      <w:r>
        <w:rPr>
          <w:rStyle w:val="libFootnotenumChar"/>
          <w:rtl/>
        </w:rPr>
        <w:t>(8)</w:t>
      </w:r>
      <w:r w:rsidRPr="00132E65">
        <w:rPr>
          <w:rtl/>
          <w:lang w:bidi="fa-IR"/>
        </w:rPr>
        <w:t xml:space="preserve"> ، ورَكِبَ مِنْ وصِيِّهِ </w:t>
      </w:r>
      <w:r>
        <w:rPr>
          <w:rStyle w:val="libFootnotenumChar"/>
          <w:rtl/>
        </w:rPr>
        <w:t>(9)</w:t>
      </w:r>
      <w:r w:rsidRPr="00132E65">
        <w:rPr>
          <w:rtl/>
          <w:lang w:bidi="fa-IR"/>
        </w:rPr>
        <w:t xml:space="preserve"> مَا رَكِبَ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إِنَّ الْمُتَّقِينَ </w:t>
      </w:r>
      <w:r w:rsidRPr="00071CF9">
        <w:rPr>
          <w:rStyle w:val="libAlaemChar"/>
          <w:rtl/>
        </w:rPr>
        <w:t>)</w:t>
      </w:r>
      <w:r w:rsidRPr="00132E65">
        <w:rPr>
          <w:rtl/>
          <w:lang w:bidi="fa-IR"/>
        </w:rPr>
        <w:t xml:space="preserve"> </w:t>
      </w:r>
      <w:r>
        <w:rPr>
          <w:rStyle w:val="libFootnotenumChar"/>
          <w:rtl/>
        </w:rPr>
        <w:t>(10)</w:t>
      </w:r>
      <w:r>
        <w:rPr>
          <w:rtl/>
          <w:lang w:bidi="fa-IR"/>
        </w:rPr>
        <w:t>؟</w:t>
      </w:r>
      <w:r w:rsidRPr="00132E65">
        <w:rPr>
          <w:rtl/>
          <w:lang w:bidi="fa-IR"/>
        </w:rPr>
        <w:t xml:space="preserve"> قَالَ : « نَحْنُ</w:t>
      </w:r>
      <w:r>
        <w:rPr>
          <w:rtl/>
          <w:lang w:bidi="fa-IR"/>
        </w:rPr>
        <w:t xml:space="preserve"> - </w:t>
      </w:r>
      <w:r w:rsidRPr="00132E65">
        <w:rPr>
          <w:rtl/>
          <w:lang w:bidi="fa-IR"/>
        </w:rPr>
        <w:t>واللهِ</w:t>
      </w:r>
      <w:r>
        <w:rPr>
          <w:rtl/>
          <w:lang w:bidi="fa-IR"/>
        </w:rPr>
        <w:t xml:space="preserve"> - </w:t>
      </w:r>
      <w:r w:rsidRPr="00132E65">
        <w:rPr>
          <w:rtl/>
          <w:lang w:bidi="fa-IR"/>
        </w:rPr>
        <w:t>وشِيعَتُنَا ، لَيْسَ عَلى مِلَّةِ إِبْرَاهِيمَ غَيْرُنَا ، وسَائِرُ النَّاسِ مِنْهَا بُرَآءُ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النحل (16) : 118.</w:t>
      </w:r>
    </w:p>
    <w:p w:rsidR="000C39D1" w:rsidRPr="00132E65" w:rsidRDefault="000C39D1" w:rsidP="000C39D1">
      <w:pPr>
        <w:pStyle w:val="libFootnote0"/>
        <w:rPr>
          <w:rtl/>
          <w:lang w:bidi="fa-IR"/>
        </w:rPr>
      </w:pPr>
      <w:r>
        <w:rPr>
          <w:rtl/>
        </w:rPr>
        <w:t>(2).</w:t>
      </w:r>
      <w:r w:rsidR="003F1581">
        <w:rPr>
          <w:rtl/>
        </w:rPr>
        <w:t xml:space="preserve"> إنّ العل</w:t>
      </w:r>
      <w:r w:rsidR="003F1581">
        <w:rPr>
          <w:rFonts w:hint="cs"/>
          <w:rtl/>
        </w:rPr>
        <w:t>ّ</w:t>
      </w:r>
      <w:r w:rsidR="003F1581">
        <w:rPr>
          <w:rtl/>
        </w:rPr>
        <w:t>ا</w:t>
      </w:r>
      <w:r w:rsidRPr="00132E65">
        <w:rPr>
          <w:rtl/>
        </w:rPr>
        <w:t xml:space="preserve">مة المجلسي بعد ما ذكر أنّ تلك الآيات وردت في سورة البقرة والأعراف ، قال : « فالآية الاولى هي ما في البقرة والأعراف والثانية هي ما في النحل ، فقوله </w:t>
      </w:r>
      <w:r w:rsidRPr="003F1581">
        <w:rPr>
          <w:rStyle w:val="libFootnoteAlaemChar"/>
          <w:rtl/>
        </w:rPr>
        <w:t>عليه‌السلام</w:t>
      </w:r>
      <w:r w:rsidRPr="00132E65">
        <w:rPr>
          <w:rtl/>
        </w:rPr>
        <w:t xml:space="preserve"> : « نعم » في جواب : « هذا تنزيل » مشكل ؛ إذ كون الولاية مكان الرحمة بعيد. وكون الآية : « الظالمين آل محمّد »</w:t>
      </w:r>
      <w:r>
        <w:rPr>
          <w:rtl/>
        </w:rPr>
        <w:t xml:space="preserve"> - </w:t>
      </w:r>
      <w:r w:rsidRPr="00132E65">
        <w:rPr>
          <w:rtl/>
        </w:rPr>
        <w:t>كما فهم</w:t>
      </w:r>
      <w:r>
        <w:rPr>
          <w:rtl/>
        </w:rPr>
        <w:t xml:space="preserve"> - </w:t>
      </w:r>
      <w:r w:rsidRPr="00132E65">
        <w:rPr>
          <w:rtl/>
        </w:rPr>
        <w:t xml:space="preserve">ينافي ما حقّقه </w:t>
      </w:r>
      <w:r w:rsidRPr="003F1581">
        <w:rPr>
          <w:rStyle w:val="libFootnoteAlaemChar"/>
          <w:rtl/>
        </w:rPr>
        <w:t>عليه‌السلام</w:t>
      </w:r>
      <w:r w:rsidRPr="00132E65">
        <w:rPr>
          <w:rtl/>
        </w:rPr>
        <w:t xml:space="preserve"> من قوله : خلطنا بنفسه إلخ ، إلاّ</w:t>
      </w:r>
      <w:r>
        <w:rPr>
          <w:rFonts w:hint="cs"/>
          <w:rtl/>
        </w:rPr>
        <w:t xml:space="preserve"> </w:t>
      </w:r>
      <w:r w:rsidRPr="00132E65">
        <w:rPr>
          <w:rtl/>
        </w:rPr>
        <w:t xml:space="preserve">أن يقال : المراد بالتنزيل ما مرّ أنّه مدلوله المطابقي أو التضمّني لا الالتزامي ، أو أنّه قال جبرئيل </w:t>
      </w:r>
      <w:r w:rsidRPr="003F1581">
        <w:rPr>
          <w:rStyle w:val="libFootnoteAlaemChar"/>
          <w:rtl/>
        </w:rPr>
        <w:t>عليه‌السلام</w:t>
      </w:r>
      <w:r w:rsidRPr="00132E65">
        <w:rPr>
          <w:rtl/>
        </w:rPr>
        <w:t xml:space="preserve"> عند نزول الآية. وفي بعض النسخ : « وما ظلموناهم » في الأخير ؛ ليدلّ على أنّه كان في النحل هكذا ، فضميرُ « هم » تأكيد ومضمونها مطابق لما في البقرة والأعراف ، وهو أظهر »</w:t>
      </w:r>
      <w:r>
        <w:rPr>
          <w:rtl/>
        </w:rPr>
        <w:t>.</w:t>
      </w:r>
      <w:r w:rsidRPr="00132E65">
        <w:rPr>
          <w:rtl/>
        </w:rPr>
        <w:t xml:space="preserve"> وفي </w:t>
      </w:r>
      <w:r w:rsidRPr="009D1ACE">
        <w:rPr>
          <w:rStyle w:val="libFootnoteBoldChar"/>
          <w:rtl/>
        </w:rPr>
        <w:t>الوافي</w:t>
      </w:r>
      <w:r w:rsidRPr="00132E65">
        <w:rPr>
          <w:rtl/>
        </w:rPr>
        <w:t xml:space="preserve"> : « وما ظلمونا »</w:t>
      </w:r>
      <w:r>
        <w:rPr>
          <w:rtl/>
        </w:rPr>
        <w:t>.</w:t>
      </w:r>
    </w:p>
    <w:tbl>
      <w:tblPr>
        <w:tblStyle w:val="TableGrid"/>
        <w:bidiVisual/>
        <w:tblW w:w="0" w:type="auto"/>
        <w:tblLook w:val="04A0" w:firstRow="1" w:lastRow="0" w:firstColumn="1" w:lastColumn="0" w:noHBand="0" w:noVBand="1"/>
      </w:tblPr>
      <w:tblGrid>
        <w:gridCol w:w="4006"/>
        <w:gridCol w:w="4006"/>
      </w:tblGrid>
      <w:tr w:rsidR="003F1581" w:rsidTr="003F1581">
        <w:tc>
          <w:tcPr>
            <w:tcW w:w="4006" w:type="dxa"/>
          </w:tcPr>
          <w:p w:rsidR="003F1581" w:rsidRDefault="003F1581" w:rsidP="000C39D1">
            <w:pPr>
              <w:pStyle w:val="libFootnote0"/>
              <w:rPr>
                <w:rtl/>
              </w:rPr>
            </w:pPr>
            <w:r>
              <w:rPr>
                <w:rtl/>
              </w:rPr>
              <w:t>(3).</w:t>
            </w:r>
            <w:r w:rsidRPr="00132E65">
              <w:rPr>
                <w:rtl/>
              </w:rPr>
              <w:t xml:space="preserve"> المرسلات (77) : 15 ؛ المطفّفين (83) : 10.</w:t>
            </w:r>
          </w:p>
        </w:tc>
        <w:tc>
          <w:tcPr>
            <w:tcW w:w="4006" w:type="dxa"/>
          </w:tcPr>
          <w:p w:rsidR="003F1581" w:rsidRDefault="003F1581" w:rsidP="000C39D1">
            <w:pPr>
              <w:pStyle w:val="libFootnote0"/>
              <w:rPr>
                <w:rtl/>
              </w:rPr>
            </w:pPr>
            <w:r>
              <w:rPr>
                <w:rtl/>
              </w:rPr>
              <w:t>(4).</w:t>
            </w:r>
            <w:r w:rsidRPr="00132E65">
              <w:rPr>
                <w:rtl/>
              </w:rPr>
              <w:t xml:space="preserve"> في « ف » :</w:t>
            </w:r>
            <w:r>
              <w:rPr>
                <w:rtl/>
              </w:rPr>
              <w:t xml:space="preserve"> + </w:t>
            </w:r>
            <w:r w:rsidRPr="00132E65">
              <w:rPr>
                <w:rtl/>
              </w:rPr>
              <w:t>« يومئذٍ »</w:t>
            </w:r>
            <w:r>
              <w:rPr>
                <w:rtl/>
              </w:rPr>
              <w:t>.</w:t>
            </w:r>
          </w:p>
        </w:tc>
      </w:tr>
    </w:tbl>
    <w:p w:rsidR="000C39D1" w:rsidRPr="00132E65" w:rsidRDefault="000C39D1" w:rsidP="000C39D1">
      <w:pPr>
        <w:pStyle w:val="libFootnote0"/>
        <w:rPr>
          <w:rtl/>
          <w:lang w:bidi="fa-IR"/>
        </w:rPr>
      </w:pPr>
      <w:r>
        <w:rPr>
          <w:rtl/>
        </w:rPr>
        <w:t>(5).</w:t>
      </w:r>
      <w:r w:rsidRPr="00132E65">
        <w:rPr>
          <w:rtl/>
        </w:rPr>
        <w:t xml:space="preserve"> في « ب ، ض ، ف ، بس » والبحار ، ج 24 </w:t>
      </w:r>
      <w:r>
        <w:rPr>
          <w:rtl/>
        </w:rPr>
        <w:t xml:space="preserve">: - </w:t>
      </w:r>
      <w:r w:rsidRPr="00132E65">
        <w:rPr>
          <w:rtl/>
        </w:rPr>
        <w:t>« بن أبي طالب »</w:t>
      </w:r>
      <w:r>
        <w:rPr>
          <w:rtl/>
        </w:rPr>
        <w:t>.</w:t>
      </w:r>
    </w:p>
    <w:p w:rsidR="000C39D1" w:rsidRPr="00132E65" w:rsidRDefault="000C39D1" w:rsidP="000C39D1">
      <w:pPr>
        <w:pStyle w:val="libFootnote0"/>
        <w:rPr>
          <w:rtl/>
          <w:lang w:bidi="fa-IR"/>
        </w:rPr>
      </w:pPr>
      <w:r>
        <w:rPr>
          <w:rtl/>
        </w:rPr>
        <w:t>(6).</w:t>
      </w:r>
      <w:r w:rsidRPr="00132E65">
        <w:rPr>
          <w:rtl/>
        </w:rPr>
        <w:t xml:space="preserve"> المرسلات (77) : 16 </w:t>
      </w:r>
      <w:r>
        <w:rPr>
          <w:rtl/>
        </w:rPr>
        <w:t>و 1</w:t>
      </w:r>
      <w:r w:rsidRPr="00132E65">
        <w:rPr>
          <w:rtl/>
        </w:rPr>
        <w:t>7.</w:t>
      </w:r>
    </w:p>
    <w:p w:rsidR="000C39D1" w:rsidRPr="00132E65" w:rsidRDefault="000C39D1" w:rsidP="000C39D1">
      <w:pPr>
        <w:pStyle w:val="libFootnote0"/>
        <w:rPr>
          <w:rtl/>
          <w:lang w:bidi="fa-IR"/>
        </w:rPr>
      </w:pPr>
      <w:r>
        <w:rPr>
          <w:rtl/>
        </w:rPr>
        <w:t>(7).</w:t>
      </w:r>
      <w:r w:rsidRPr="00132E65">
        <w:rPr>
          <w:rtl/>
        </w:rPr>
        <w:t xml:space="preserve"> المرسلات (77) : 18.</w:t>
      </w:r>
    </w:p>
    <w:p w:rsidR="000C39D1" w:rsidRPr="00132E65" w:rsidRDefault="000C39D1" w:rsidP="000C39D1">
      <w:pPr>
        <w:pStyle w:val="libFootnote0"/>
        <w:rPr>
          <w:rtl/>
          <w:lang w:bidi="fa-IR"/>
        </w:rPr>
      </w:pPr>
      <w:r>
        <w:rPr>
          <w:rtl/>
        </w:rPr>
        <w:t>(8).</w:t>
      </w:r>
      <w:r w:rsidRPr="00132E65">
        <w:rPr>
          <w:rtl/>
        </w:rPr>
        <w:t xml:space="preserve"> « أجرم إلى آل محمّد » ، أي جنى فيهم جناية وأذنب واكتسب الإثم. راجع : </w:t>
      </w:r>
      <w:r w:rsidRPr="009D1ACE">
        <w:rPr>
          <w:rStyle w:val="libFootnoteBoldChar"/>
          <w:rtl/>
        </w:rPr>
        <w:t>لسان العرب</w:t>
      </w:r>
      <w:r w:rsidRPr="00132E65">
        <w:rPr>
          <w:rtl/>
        </w:rPr>
        <w:t xml:space="preserve"> ، ج 12 ، ص 91 ؛ </w:t>
      </w:r>
      <w:r w:rsidRPr="000B672D">
        <w:rPr>
          <w:rtl/>
        </w:rPr>
        <w:t>المصباح المنير</w:t>
      </w:r>
      <w:r w:rsidRPr="00132E65">
        <w:rPr>
          <w:rtl/>
        </w:rPr>
        <w:t xml:space="preserve"> ، ص 97 ( جرم )</w:t>
      </w:r>
      <w:r>
        <w:rPr>
          <w:rtl/>
        </w:rPr>
        <w:t>.</w:t>
      </w:r>
    </w:p>
    <w:p w:rsidR="000C39D1" w:rsidRPr="00132E65" w:rsidRDefault="000C39D1" w:rsidP="000C39D1">
      <w:pPr>
        <w:pStyle w:val="libFootnote0"/>
        <w:rPr>
          <w:rtl/>
          <w:lang w:bidi="fa-IR"/>
        </w:rPr>
      </w:pPr>
      <w:r>
        <w:rPr>
          <w:rtl/>
        </w:rPr>
        <w:t>(9).</w:t>
      </w:r>
      <w:r w:rsidRPr="00132E65">
        <w:rPr>
          <w:rtl/>
        </w:rPr>
        <w:t xml:space="preserve"> في حاشية « ج » : « وصيّته »</w:t>
      </w:r>
      <w:r>
        <w:rPr>
          <w:rtl/>
        </w:rPr>
        <w:t>.</w:t>
      </w:r>
    </w:p>
    <w:p w:rsidR="000C39D1" w:rsidRPr="00132E65" w:rsidRDefault="000C39D1" w:rsidP="000C39D1">
      <w:pPr>
        <w:pStyle w:val="libFootnote0"/>
        <w:rPr>
          <w:rtl/>
          <w:lang w:bidi="fa-IR"/>
        </w:rPr>
      </w:pPr>
      <w:r>
        <w:rPr>
          <w:rtl/>
        </w:rPr>
        <w:t>(10).</w:t>
      </w:r>
      <w:r w:rsidRPr="00132E65">
        <w:rPr>
          <w:rtl/>
        </w:rPr>
        <w:t xml:space="preserve"> المرسلات (77) : 41 ومواضع ا</w:t>
      </w:r>
      <w:r w:rsidR="0062534F">
        <w:rPr>
          <w:rFonts w:hint="cs"/>
          <w:rtl/>
        </w:rPr>
        <w:t>ُ</w:t>
      </w:r>
      <w:r w:rsidRPr="00132E65">
        <w:rPr>
          <w:rtl/>
        </w:rPr>
        <w:t>خر.</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يَوْمَ يَقُومُ الرُّوحُ وَالْمَلائِكَةُ صَفًّا لا يَتَكَلَّمُونَ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الْآيَةَ</w:t>
      </w:r>
      <w:r>
        <w:rPr>
          <w:rtl/>
          <w:lang w:bidi="fa-IR"/>
        </w:rPr>
        <w:t>؟</w:t>
      </w:r>
      <w:r w:rsidRPr="00132E65">
        <w:rPr>
          <w:rtl/>
          <w:lang w:bidi="fa-IR"/>
        </w:rPr>
        <w:t xml:space="preserve"> قَالَ </w:t>
      </w:r>
      <w:r>
        <w:rPr>
          <w:rStyle w:val="libFootnotenumChar"/>
          <w:rtl/>
        </w:rPr>
        <w:t>(2)</w:t>
      </w:r>
      <w:r w:rsidRPr="00132E65">
        <w:rPr>
          <w:rtl/>
          <w:lang w:bidi="fa-IR"/>
        </w:rPr>
        <w:t xml:space="preserve"> : « نَحْنُ</w:t>
      </w:r>
      <w:r>
        <w:rPr>
          <w:rtl/>
          <w:lang w:bidi="fa-IR"/>
        </w:rPr>
        <w:t xml:space="preserve"> - </w:t>
      </w:r>
      <w:r w:rsidRPr="00132E65">
        <w:rPr>
          <w:rtl/>
          <w:lang w:bidi="fa-IR"/>
        </w:rPr>
        <w:t>واللهِ</w:t>
      </w:r>
      <w:r>
        <w:rPr>
          <w:rtl/>
          <w:lang w:bidi="fa-IR"/>
        </w:rPr>
        <w:t xml:space="preserve"> - </w:t>
      </w:r>
      <w:r w:rsidRPr="00132E65">
        <w:rPr>
          <w:rtl/>
          <w:lang w:bidi="fa-IR"/>
        </w:rPr>
        <w:t>الْمَأْذُونُ لَهُمْ يَوْمَ الْقِيَامَةِ والْقَائِلُونَ صَوَاباً »</w:t>
      </w:r>
      <w:r>
        <w:rPr>
          <w:rtl/>
          <w:lang w:bidi="fa-IR"/>
        </w:rPr>
        <w:t>.</w:t>
      </w:r>
    </w:p>
    <w:p w:rsidR="000C39D1" w:rsidRPr="00132E65" w:rsidRDefault="000C39D1" w:rsidP="000C39D1">
      <w:pPr>
        <w:pStyle w:val="libNormal"/>
        <w:rPr>
          <w:rtl/>
          <w:lang w:bidi="fa-IR"/>
        </w:rPr>
      </w:pPr>
      <w:r w:rsidRPr="00132E65">
        <w:rPr>
          <w:rtl/>
          <w:lang w:bidi="fa-IR"/>
        </w:rPr>
        <w:t>قُلْتُ : مَا تَقُولُونَ إِذَا تَكَلَّمْتُمْ</w:t>
      </w:r>
      <w:r>
        <w:rPr>
          <w:rtl/>
          <w:lang w:bidi="fa-IR"/>
        </w:rPr>
        <w:t>؟</w:t>
      </w:r>
      <w:r w:rsidRPr="00132E65">
        <w:rPr>
          <w:rtl/>
          <w:lang w:bidi="fa-IR"/>
        </w:rPr>
        <w:t xml:space="preserve"> قَالَ : « نُمَجِّدُ </w:t>
      </w:r>
      <w:r>
        <w:rPr>
          <w:rStyle w:val="libFootnotenumChar"/>
          <w:rtl/>
        </w:rPr>
        <w:t>(3)</w:t>
      </w:r>
      <w:r w:rsidRPr="00132E65">
        <w:rPr>
          <w:rtl/>
          <w:lang w:bidi="fa-IR"/>
        </w:rPr>
        <w:t xml:space="preserve"> رَبَّنَا ، ونُصَلِّي عَلى نَبِيِّنَا ، ونَشْفَعُ لِشِيعَتِنَا ، فَلَا يَرُدُّنَا </w:t>
      </w:r>
      <w:r>
        <w:rPr>
          <w:rStyle w:val="libFootnotenumChar"/>
          <w:rtl/>
        </w:rPr>
        <w:t>(4)</w:t>
      </w:r>
      <w:r w:rsidRPr="00132E65">
        <w:rPr>
          <w:rtl/>
          <w:lang w:bidi="fa-IR"/>
        </w:rPr>
        <w:t xml:space="preserve"> رَبُّنَا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كَلاّ إِنَّ كِتابَ الفُجّارِ لَفِي سِجِّينٍ </w:t>
      </w:r>
      <w:r w:rsidRPr="00071CF9">
        <w:rPr>
          <w:rStyle w:val="libAlaemChar"/>
          <w:rtl/>
        </w:rPr>
        <w:t>)</w:t>
      </w:r>
      <w:r w:rsidRPr="00132E65">
        <w:rPr>
          <w:rtl/>
          <w:lang w:bidi="fa-IR"/>
        </w:rPr>
        <w:t xml:space="preserve"> </w:t>
      </w:r>
      <w:r>
        <w:rPr>
          <w:rStyle w:val="libFootnotenumChar"/>
          <w:rtl/>
        </w:rPr>
        <w:t>(5)</w:t>
      </w:r>
      <w:r>
        <w:rPr>
          <w:rtl/>
          <w:lang w:bidi="fa-IR"/>
        </w:rPr>
        <w:t>؟</w:t>
      </w:r>
      <w:r w:rsidRPr="00132E65">
        <w:rPr>
          <w:rtl/>
          <w:lang w:bidi="fa-IR"/>
        </w:rPr>
        <w:t xml:space="preserve"> قَالَ : « هُمُ الَّذِينَ فَجَرُوا فِي حَقِّ الْأَئِمَّةِ ، وَاعْتَدَوْا عَلَيْهِمْ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ثُمَّ يُقالُ هذَا الَّذِي كُنْتُمْ بِهِ تُكَذِّبُونَ </w:t>
      </w:r>
      <w:r w:rsidRPr="00071CF9">
        <w:rPr>
          <w:rStyle w:val="libAlaemChar"/>
          <w:rtl/>
        </w:rPr>
        <w:t>)</w:t>
      </w:r>
      <w:r w:rsidRPr="00132E65">
        <w:rPr>
          <w:rtl/>
          <w:lang w:bidi="fa-IR"/>
        </w:rPr>
        <w:t xml:space="preserve"> </w:t>
      </w:r>
      <w:r>
        <w:rPr>
          <w:rStyle w:val="libFootnotenumChar"/>
          <w:rtl/>
        </w:rPr>
        <w:t>(6)</w:t>
      </w:r>
      <w:r>
        <w:rPr>
          <w:rtl/>
          <w:lang w:bidi="fa-IR"/>
        </w:rPr>
        <w:t>؟</w:t>
      </w:r>
      <w:r w:rsidRPr="00132E65">
        <w:rPr>
          <w:rtl/>
          <w:lang w:bidi="fa-IR"/>
        </w:rPr>
        <w:t xml:space="preserve"> قَالَ : « يَعْنِي أَمِيرَ الْمُؤْمِنِينَ »</w:t>
      </w:r>
      <w:r>
        <w:rPr>
          <w:rtl/>
          <w:lang w:bidi="fa-IR"/>
        </w:rPr>
        <w:t>.</w:t>
      </w:r>
    </w:p>
    <w:p w:rsidR="000C39D1" w:rsidRPr="00132E65" w:rsidRDefault="000C39D1" w:rsidP="000C39D1">
      <w:pPr>
        <w:pStyle w:val="libNormal"/>
        <w:rPr>
          <w:rtl/>
          <w:lang w:bidi="fa-IR"/>
        </w:rPr>
      </w:pPr>
      <w:r w:rsidRPr="00132E65">
        <w:rPr>
          <w:rtl/>
          <w:lang w:bidi="fa-IR"/>
        </w:rPr>
        <w:t xml:space="preserve">قُلْتُ </w:t>
      </w:r>
      <w:r>
        <w:rPr>
          <w:rStyle w:val="libFootnotenumChar"/>
          <w:rtl/>
        </w:rPr>
        <w:t>(7)</w:t>
      </w:r>
      <w:r w:rsidRPr="00132E65">
        <w:rPr>
          <w:rtl/>
          <w:lang w:bidi="fa-IR"/>
        </w:rPr>
        <w:t xml:space="preserve"> : تَنْزِيلٌ</w:t>
      </w:r>
      <w:r>
        <w:rPr>
          <w:rtl/>
          <w:lang w:bidi="fa-IR"/>
        </w:rPr>
        <w:t>؟</w:t>
      </w:r>
      <w:r w:rsidRPr="00132E65">
        <w:rPr>
          <w:rtl/>
          <w:lang w:bidi="fa-IR"/>
        </w:rPr>
        <w:t xml:space="preserve"> قَالَ : « نَعَمْ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0B672D">
        <w:rPr>
          <w:rtl/>
        </w:rPr>
        <w:t>1179</w:t>
      </w:r>
      <w:r w:rsidRPr="004325D8">
        <w:rPr>
          <w:rStyle w:val="libBold2Char"/>
          <w:rtl/>
        </w:rPr>
        <w:t xml:space="preserve"> / 92.</w:t>
      </w:r>
      <w:r w:rsidRPr="00132E65">
        <w:rPr>
          <w:rtl/>
          <w:lang w:bidi="fa-IR"/>
        </w:rPr>
        <w:t xml:space="preserve"> مُحَمَّدُ بْنُ يَحْيى ، عَنْ سَلَمَةَ بْنِ الْخَطَّابِ ، عَنِ الْحُسَيْنِ </w:t>
      </w:r>
      <w:r>
        <w:rPr>
          <w:rStyle w:val="libFootnotenumChar"/>
          <w:rtl/>
        </w:rPr>
        <w:t>(9)</w:t>
      </w:r>
      <w:r w:rsidRPr="00132E65">
        <w:rPr>
          <w:rtl/>
          <w:lang w:bidi="fa-IR"/>
        </w:rPr>
        <w:t xml:space="preserve"> بْنِ عَبْدِ الرَّحْمنِ ، عَنْ عَلِيِّ بْنِ أَبِي حَمْزَةَ ، عَنْ أَبِي بَصِيرٍ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26C85">
      <w:pPr>
        <w:pStyle w:val="libFootnote0"/>
        <w:rPr>
          <w:rtl/>
          <w:lang w:bidi="fa-IR"/>
        </w:rPr>
      </w:pPr>
      <w:r>
        <w:rPr>
          <w:rtl/>
        </w:rPr>
        <w:t>(1).</w:t>
      </w:r>
      <w:r w:rsidRPr="00132E65">
        <w:rPr>
          <w:rtl/>
        </w:rPr>
        <w:t xml:space="preserve"> النبأ (78) : 38. وفي « ف » :</w:t>
      </w:r>
      <w:r>
        <w:rPr>
          <w:rtl/>
        </w:rPr>
        <w:t xml:space="preserve"> + </w:t>
      </w:r>
      <w:r w:rsidR="00026C85" w:rsidRPr="00026C85">
        <w:rPr>
          <w:rStyle w:val="libFootnoteAlaemChar"/>
          <w:rFonts w:hint="cs"/>
          <w:rtl/>
        </w:rPr>
        <w:t>(</w:t>
      </w:r>
      <w:r w:rsidR="0062534F" w:rsidRPr="00026C85">
        <w:rPr>
          <w:rStyle w:val="libFootnoteAieChar"/>
          <w:rtl/>
        </w:rPr>
        <w:t xml:space="preserve"> إِل</w:t>
      </w:r>
      <w:r w:rsidR="0062534F" w:rsidRPr="00026C85">
        <w:rPr>
          <w:rStyle w:val="libFootnoteAieChar"/>
          <w:rFonts w:hint="cs"/>
          <w:rtl/>
        </w:rPr>
        <w:t>َّ</w:t>
      </w:r>
      <w:r w:rsidR="0062534F" w:rsidRPr="00026C85">
        <w:rPr>
          <w:rStyle w:val="libFootnoteAieChar"/>
          <w:rtl/>
        </w:rPr>
        <w:t>ا</w:t>
      </w:r>
      <w:r w:rsidRPr="00026C85">
        <w:rPr>
          <w:rStyle w:val="libFootnoteAieChar"/>
          <w:rtl/>
        </w:rPr>
        <w:t xml:space="preserve"> مَنْ أَذِنَ لَهُ الرَّحْمنُ</w:t>
      </w:r>
      <w:r w:rsidRPr="00132E65">
        <w:rPr>
          <w:rtl/>
        </w:rPr>
        <w:t xml:space="preserve"> </w:t>
      </w:r>
      <w:r w:rsidR="00026C85" w:rsidRPr="00026C85">
        <w:rPr>
          <w:rStyle w:val="libFootnoteAlaemChar"/>
          <w:rFonts w:hint="cs"/>
          <w:rtl/>
        </w:rPr>
        <w:t>)</w:t>
      </w:r>
      <w:r>
        <w:rPr>
          <w:rtl/>
        </w:rPr>
        <w:t>.</w:t>
      </w:r>
    </w:p>
    <w:tbl>
      <w:tblPr>
        <w:tblStyle w:val="TableGrid"/>
        <w:bidiVisual/>
        <w:tblW w:w="0" w:type="auto"/>
        <w:tblLook w:val="04A0" w:firstRow="1" w:lastRow="0" w:firstColumn="1" w:lastColumn="0" w:noHBand="0" w:noVBand="1"/>
      </w:tblPr>
      <w:tblGrid>
        <w:gridCol w:w="4006"/>
        <w:gridCol w:w="4006"/>
      </w:tblGrid>
      <w:tr w:rsidR="00026C85" w:rsidTr="00026C85">
        <w:tc>
          <w:tcPr>
            <w:tcW w:w="4006" w:type="dxa"/>
          </w:tcPr>
          <w:p w:rsidR="00026C85" w:rsidRDefault="00026C85"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نعم »</w:t>
            </w:r>
            <w:r>
              <w:rPr>
                <w:rtl/>
              </w:rPr>
              <w:t>.</w:t>
            </w:r>
          </w:p>
        </w:tc>
        <w:tc>
          <w:tcPr>
            <w:tcW w:w="4006" w:type="dxa"/>
          </w:tcPr>
          <w:p w:rsidR="00026C85" w:rsidRDefault="00026C85" w:rsidP="000C39D1">
            <w:pPr>
              <w:pStyle w:val="libFootnote0"/>
              <w:rPr>
                <w:rtl/>
              </w:rPr>
            </w:pPr>
            <w:r>
              <w:rPr>
                <w:rtl/>
              </w:rPr>
              <w:t>(3).</w:t>
            </w:r>
            <w:r w:rsidRPr="00132E65">
              <w:rPr>
                <w:rtl/>
              </w:rPr>
              <w:t xml:space="preserve"> في « ب ، ف » : « نحمد »</w:t>
            </w:r>
            <w:r>
              <w:rPr>
                <w:rtl/>
              </w:rPr>
              <w:t>.</w:t>
            </w:r>
          </w:p>
        </w:tc>
      </w:tr>
      <w:tr w:rsidR="00026C85" w:rsidTr="00026C85">
        <w:tc>
          <w:tcPr>
            <w:tcW w:w="4006" w:type="dxa"/>
          </w:tcPr>
          <w:p w:rsidR="00026C85" w:rsidRDefault="00026C85" w:rsidP="000C39D1">
            <w:pPr>
              <w:pStyle w:val="libFootnote0"/>
              <w:rPr>
                <w:rtl/>
              </w:rPr>
            </w:pPr>
            <w:r>
              <w:rPr>
                <w:rtl/>
              </w:rPr>
              <w:t>(4). في« بح</w:t>
            </w:r>
            <w:r w:rsidRPr="00132E65">
              <w:rPr>
                <w:rtl/>
              </w:rPr>
              <w:t xml:space="preserve">، </w:t>
            </w:r>
            <w:r>
              <w:rPr>
                <w:rtl/>
              </w:rPr>
              <w:t>بس</w:t>
            </w:r>
            <w:r w:rsidRPr="00132E65">
              <w:rPr>
                <w:rtl/>
              </w:rPr>
              <w:t xml:space="preserve">، بف » وفي </w:t>
            </w:r>
            <w:r w:rsidRPr="009D1ACE">
              <w:rPr>
                <w:rStyle w:val="libFootnoteBoldChar"/>
                <w:rtl/>
              </w:rPr>
              <w:t>الوافي</w:t>
            </w:r>
            <w:r w:rsidRPr="00132E65">
              <w:rPr>
                <w:rtl/>
              </w:rPr>
              <w:t xml:space="preserve"> : « ولا يردّنا »</w:t>
            </w:r>
            <w:r>
              <w:rPr>
                <w:rtl/>
              </w:rPr>
              <w:t>.</w:t>
            </w:r>
          </w:p>
        </w:tc>
        <w:tc>
          <w:tcPr>
            <w:tcW w:w="4006" w:type="dxa"/>
          </w:tcPr>
          <w:p w:rsidR="00026C85" w:rsidRDefault="00026C85" w:rsidP="000C39D1">
            <w:pPr>
              <w:pStyle w:val="libFootnote0"/>
              <w:rPr>
                <w:rtl/>
              </w:rPr>
            </w:pPr>
            <w:r>
              <w:rPr>
                <w:rtl/>
              </w:rPr>
              <w:t>(5).</w:t>
            </w:r>
            <w:r w:rsidRPr="00132E65">
              <w:rPr>
                <w:rtl/>
              </w:rPr>
              <w:t xml:space="preserve"> المطفّفين (83) : 7.</w:t>
            </w:r>
          </w:p>
        </w:tc>
      </w:tr>
      <w:tr w:rsidR="00026C85" w:rsidTr="00026C85">
        <w:tc>
          <w:tcPr>
            <w:tcW w:w="4006" w:type="dxa"/>
          </w:tcPr>
          <w:p w:rsidR="00026C85" w:rsidRDefault="00026C85" w:rsidP="000C39D1">
            <w:pPr>
              <w:pStyle w:val="libFootnote0"/>
              <w:rPr>
                <w:rtl/>
              </w:rPr>
            </w:pPr>
            <w:r>
              <w:rPr>
                <w:rtl/>
              </w:rPr>
              <w:t>(6).</w:t>
            </w:r>
            <w:r w:rsidRPr="00132E65">
              <w:rPr>
                <w:rtl/>
              </w:rPr>
              <w:t xml:space="preserve"> المطفّفين (83) : 17.</w:t>
            </w:r>
          </w:p>
        </w:tc>
        <w:tc>
          <w:tcPr>
            <w:tcW w:w="4006" w:type="dxa"/>
          </w:tcPr>
          <w:p w:rsidR="00026C85" w:rsidRDefault="00026C85" w:rsidP="000C39D1">
            <w:pPr>
              <w:pStyle w:val="libFootnote0"/>
              <w:rPr>
                <w:rtl/>
              </w:rPr>
            </w:pPr>
            <w:r>
              <w:rPr>
                <w:rtl/>
              </w:rPr>
              <w:t>(7).</w:t>
            </w:r>
            <w:r w:rsidRPr="00132E65">
              <w:rPr>
                <w:rtl/>
              </w:rPr>
              <w:t xml:space="preserve"> في « ف » :</w:t>
            </w:r>
            <w:r>
              <w:rPr>
                <w:rtl/>
              </w:rPr>
              <w:t xml:space="preserve"> + </w:t>
            </w:r>
            <w:r w:rsidRPr="00132E65">
              <w:rPr>
                <w:rtl/>
              </w:rPr>
              <w:t>« هذا »</w:t>
            </w:r>
            <w:r>
              <w:rPr>
                <w:rtl/>
              </w:rPr>
              <w:t>.</w:t>
            </w:r>
          </w:p>
        </w:tc>
      </w:tr>
    </w:tbl>
    <w:p w:rsidR="000C39D1" w:rsidRPr="00132E65" w:rsidRDefault="000C39D1" w:rsidP="00545C49">
      <w:pPr>
        <w:pStyle w:val="libFootnote0"/>
        <w:rPr>
          <w:rtl/>
          <w:lang w:bidi="fa-IR"/>
        </w:rPr>
      </w:pPr>
      <w:r>
        <w:rPr>
          <w:rtl/>
        </w:rPr>
        <w:t>(8).</w:t>
      </w:r>
      <w:r w:rsidRPr="00132E65">
        <w:rPr>
          <w:rtl/>
        </w:rPr>
        <w:t xml:space="preserve"> </w:t>
      </w:r>
      <w:r w:rsidRPr="000577A7">
        <w:rPr>
          <w:rStyle w:val="libFootnoteBoldChar"/>
          <w:rtl/>
        </w:rPr>
        <w:t>الكافي</w:t>
      </w:r>
      <w:r w:rsidRPr="00132E65">
        <w:rPr>
          <w:rtl/>
        </w:rPr>
        <w:t xml:space="preserve"> ، كتاب الحجّة ، باب أنّ الأئمّة </w:t>
      </w:r>
      <w:r w:rsidRPr="0062534F">
        <w:rPr>
          <w:rStyle w:val="libFootnoteAlaemChar"/>
          <w:rtl/>
        </w:rPr>
        <w:t>عليهم‌السلام</w:t>
      </w:r>
      <w:r w:rsidRPr="00132E65">
        <w:rPr>
          <w:rtl/>
        </w:rPr>
        <w:t xml:space="preserve"> نور الله عزّ وجلّ ، ح 523 ، بسند آخر عن الحسن بن محبوب ، إلى قوله : « فالنور هو الإمام »</w:t>
      </w:r>
      <w:r>
        <w:rPr>
          <w:rtl/>
        </w:rPr>
        <w:t>.</w:t>
      </w:r>
      <w:r w:rsidRPr="00132E65">
        <w:rPr>
          <w:rtl/>
        </w:rPr>
        <w:t xml:space="preserve"> وفي </w:t>
      </w:r>
      <w:r w:rsidRPr="000577A7">
        <w:rPr>
          <w:rStyle w:val="libFootnoteBoldChar"/>
          <w:rtl/>
        </w:rPr>
        <w:t>الكافي</w:t>
      </w:r>
      <w:r w:rsidRPr="00132E65">
        <w:rPr>
          <w:rtl/>
        </w:rPr>
        <w:t xml:space="preserve"> ، باب فيه نكت ونتف من التنزيل في الولاية ، ح 1092 ؛ </w:t>
      </w:r>
      <w:r w:rsidRPr="000B672D">
        <w:rPr>
          <w:rtl/>
        </w:rPr>
        <w:t>و</w:t>
      </w:r>
      <w:r w:rsidRPr="007A1104">
        <w:rPr>
          <w:rStyle w:val="libFootnoteBoldChar"/>
          <w:rtl/>
        </w:rPr>
        <w:t>بصائر الدرجات</w:t>
      </w:r>
      <w:r w:rsidRPr="00132E65">
        <w:rPr>
          <w:rtl/>
        </w:rPr>
        <w:t xml:space="preserve"> ، ص 90 ، ح 2 ، بسندهما عن الحسن بن محبوب ، وفيهما قطعة منه هكذا : </w:t>
      </w:r>
      <w:r w:rsidR="00545C49" w:rsidRPr="00545C49">
        <w:rPr>
          <w:rStyle w:val="libFootnoteAlaemChar"/>
          <w:rFonts w:hint="cs"/>
          <w:rtl/>
        </w:rPr>
        <w:t>(</w:t>
      </w:r>
      <w:r w:rsidRPr="00545C49">
        <w:rPr>
          <w:rStyle w:val="libFootnoteAieChar"/>
          <w:rtl/>
        </w:rPr>
        <w:t xml:space="preserve"> يُوفُونَ بِالنَّذْرِ </w:t>
      </w:r>
      <w:r w:rsidR="00545C49" w:rsidRPr="00545C49">
        <w:rPr>
          <w:rStyle w:val="libFootnoteAlaemChar"/>
          <w:rFonts w:hint="cs"/>
          <w:rtl/>
        </w:rPr>
        <w:t>)</w:t>
      </w:r>
      <w:r w:rsidRPr="00132E65">
        <w:rPr>
          <w:rtl/>
        </w:rPr>
        <w:t xml:space="preserve"> : الذين أخذ عليهم [ في البصائر :</w:t>
      </w:r>
      <w:r>
        <w:rPr>
          <w:rtl/>
        </w:rPr>
        <w:t xml:space="preserve"> + </w:t>
      </w:r>
      <w:r w:rsidRPr="00132E65">
        <w:rPr>
          <w:rtl/>
        </w:rPr>
        <w:t>الميثاق ] من ولايتنا »</w:t>
      </w:r>
      <w:r>
        <w:rPr>
          <w:rtl/>
        </w:rPr>
        <w:t>.</w:t>
      </w:r>
      <w:r w:rsidRPr="00132E65">
        <w:rPr>
          <w:rtl/>
        </w:rPr>
        <w:t xml:space="preserve"> </w:t>
      </w:r>
      <w:r w:rsidRPr="000577A7">
        <w:rPr>
          <w:rStyle w:val="libFootnoteBoldChar"/>
          <w:rtl/>
        </w:rPr>
        <w:t>الكافي</w:t>
      </w:r>
      <w:r w:rsidRPr="00132E65">
        <w:rPr>
          <w:rtl/>
        </w:rPr>
        <w:t xml:space="preserve"> ، نفس الباب ، باب النوادر ، ح 367 ، بسند آخر عن أبي جعفر </w:t>
      </w:r>
      <w:r w:rsidRPr="0062534F">
        <w:rPr>
          <w:rStyle w:val="libFootnoteAlaemChar"/>
          <w:rtl/>
        </w:rPr>
        <w:t>عليه‌السلام</w:t>
      </w:r>
      <w:r w:rsidRPr="00132E65">
        <w:rPr>
          <w:rtl/>
        </w:rPr>
        <w:t xml:space="preserve"> ، من قوله </w:t>
      </w:r>
      <w:r w:rsidR="00545C49" w:rsidRPr="00545C49">
        <w:rPr>
          <w:rStyle w:val="libFootnoteAlaemChar"/>
          <w:rFonts w:hint="cs"/>
          <w:rtl/>
        </w:rPr>
        <w:t>(</w:t>
      </w:r>
      <w:r w:rsidRPr="00545C49">
        <w:rPr>
          <w:rStyle w:val="libFootnoteAieChar"/>
          <w:rtl/>
        </w:rPr>
        <w:t xml:space="preserve"> وَمَا ظَلَمُونَا </w:t>
      </w:r>
      <w:r w:rsidR="00545C49" w:rsidRPr="00545C49">
        <w:rPr>
          <w:rStyle w:val="libFootnoteAlaemChar"/>
          <w:rFonts w:hint="cs"/>
          <w:rtl/>
        </w:rPr>
        <w:t>)</w:t>
      </w:r>
      <w:r w:rsidRPr="00132E65">
        <w:rPr>
          <w:rtl/>
        </w:rPr>
        <w:t xml:space="preserve"> إلى قوله : « وولايتنا ولايته » مع اختلاف يسير وزيادة في آخره. راجع : </w:t>
      </w:r>
      <w:r w:rsidRPr="000577A7">
        <w:rPr>
          <w:rStyle w:val="libFootnoteBoldChar"/>
          <w:rtl/>
        </w:rPr>
        <w:t>الكافي</w:t>
      </w:r>
      <w:r w:rsidRPr="00132E65">
        <w:rPr>
          <w:rtl/>
        </w:rPr>
        <w:t xml:space="preserve"> ، باب أنّ الأئمّة </w:t>
      </w:r>
      <w:r w:rsidRPr="0062534F">
        <w:rPr>
          <w:rStyle w:val="libFootnoteAlaemChar"/>
          <w:rtl/>
        </w:rPr>
        <w:t>عليهم‌السلام</w:t>
      </w:r>
      <w:r w:rsidRPr="00132E65">
        <w:rPr>
          <w:rtl/>
        </w:rPr>
        <w:t xml:space="preserve"> نور الله عزّ وجلّ ، ح 518 ؛ </w:t>
      </w:r>
      <w:r w:rsidRPr="000B672D">
        <w:rPr>
          <w:rtl/>
        </w:rPr>
        <w:t>وفيه</w:t>
      </w:r>
      <w:r w:rsidRPr="00132E65">
        <w:rPr>
          <w:rtl/>
        </w:rPr>
        <w:t xml:space="preserve"> ، باب في نكت ونتف من التنزيل في الولاية ، ح 1150 ؛ و</w:t>
      </w:r>
      <w:r w:rsidRPr="000B672D">
        <w:rPr>
          <w:rtl/>
        </w:rPr>
        <w:t>تفسير القمّي</w:t>
      </w:r>
      <w:r w:rsidRPr="00132E65">
        <w:rPr>
          <w:rtl/>
        </w:rPr>
        <w:t xml:space="preserve"> ، ج 2 ، ص 371 </w:t>
      </w:r>
      <w:r>
        <w:rPr>
          <w:rtl/>
        </w:rPr>
        <w:t>و 3</w:t>
      </w:r>
      <w:r w:rsidRPr="00132E65">
        <w:rPr>
          <w:rtl/>
        </w:rPr>
        <w:t>89 ؛ و</w:t>
      </w:r>
      <w:r w:rsidRPr="000B672D">
        <w:rPr>
          <w:rtl/>
        </w:rPr>
        <w:t>تفسير فرات</w:t>
      </w:r>
      <w:r w:rsidRPr="00132E65">
        <w:rPr>
          <w:rtl/>
        </w:rPr>
        <w:t xml:space="preserve"> ، ص 511 ، ح 667</w:t>
      </w:r>
      <w:r w:rsidR="00545C49">
        <w:rPr>
          <w:rFonts w:hint="cs"/>
          <w:rtl/>
        </w:rPr>
        <w:t>.</w:t>
      </w:r>
      <w:r w:rsidRPr="009D1ACE">
        <w:rPr>
          <w:rStyle w:val="libFootnoteBoldChar"/>
          <w:rtl/>
        </w:rPr>
        <w:t>الوافي</w:t>
      </w:r>
      <w:r w:rsidRPr="00132E65">
        <w:rPr>
          <w:rtl/>
        </w:rPr>
        <w:t xml:space="preserve"> ، ج 3 ، ص 914 ، ح 1590 ؛ </w:t>
      </w:r>
      <w:r w:rsidRPr="000B672D">
        <w:rPr>
          <w:rtl/>
        </w:rPr>
        <w:t>البحار</w:t>
      </w:r>
      <w:r w:rsidRPr="00132E65">
        <w:rPr>
          <w:rtl/>
        </w:rPr>
        <w:t xml:space="preserve"> ، ج 23 ، ص 318 ، ح 29 ؛ وج 51 ، ص 60 ، ذيل ح 57 وفيهما إلى قوله : « هذا الحرف فتنزيل وأمّا غيره فتأويل » ؛ وج 24 ، ص 336 ، ح 59 ؛ وج 67 ، ص 58 ، وفيه من قوله : « قلت : قوله : </w:t>
      </w:r>
      <w:r w:rsidR="00545C49" w:rsidRPr="00545C49">
        <w:rPr>
          <w:rStyle w:val="libFootnoteAlaemChar"/>
          <w:rFonts w:hint="cs"/>
          <w:rtl/>
        </w:rPr>
        <w:t>(</w:t>
      </w:r>
      <w:r w:rsidRPr="00545C49">
        <w:rPr>
          <w:rStyle w:val="libFootnoteAieChar"/>
          <w:rtl/>
        </w:rPr>
        <w:t xml:space="preserve"> لَمَّا سَمِعْنَا الْهُدَىءَامَنَّا بِهِ </w:t>
      </w:r>
      <w:r w:rsidR="00545C49" w:rsidRPr="00545C49">
        <w:rPr>
          <w:rStyle w:val="libFootnoteAlaemChar"/>
          <w:rFonts w:hint="cs"/>
          <w:rtl/>
        </w:rPr>
        <w:t>)</w:t>
      </w:r>
      <w:r w:rsidRPr="00132E65">
        <w:rPr>
          <w:rtl/>
        </w:rPr>
        <w:t xml:space="preserve"> ، إلى قوله : </w:t>
      </w:r>
      <w:r w:rsidR="00545C49" w:rsidRPr="00545C49">
        <w:rPr>
          <w:rStyle w:val="libFootnoteAlaemChar"/>
          <w:rFonts w:hint="cs"/>
          <w:rtl/>
        </w:rPr>
        <w:t>(</w:t>
      </w:r>
      <w:r w:rsidRPr="00545C49">
        <w:rPr>
          <w:rStyle w:val="libFootnoteAieChar"/>
          <w:rtl/>
        </w:rPr>
        <w:t xml:space="preserve"> وَلَارَهَقًا</w:t>
      </w:r>
      <w:r w:rsidRPr="00132E65">
        <w:rPr>
          <w:rtl/>
        </w:rPr>
        <w:t xml:space="preserve"> </w:t>
      </w:r>
      <w:r w:rsidR="00545C49" w:rsidRPr="00545C49">
        <w:rPr>
          <w:rStyle w:val="libFootnoteAlaemChar"/>
          <w:rFonts w:hint="cs"/>
          <w:rtl/>
        </w:rPr>
        <w:t>)</w:t>
      </w:r>
      <w:r w:rsidRPr="00132E65">
        <w:rPr>
          <w:rtl/>
        </w:rPr>
        <w:t xml:space="preserve"> قلت : تنزيل</w:t>
      </w:r>
      <w:r>
        <w:rPr>
          <w:rtl/>
        </w:rPr>
        <w:t>؟</w:t>
      </w:r>
      <w:r w:rsidRPr="00132E65">
        <w:rPr>
          <w:rtl/>
        </w:rPr>
        <w:t xml:space="preserve"> قال : لا ، تأويل »</w:t>
      </w:r>
      <w:r>
        <w:rPr>
          <w:rtl/>
        </w:rPr>
        <w:t>.</w:t>
      </w:r>
    </w:p>
    <w:p w:rsidR="000C39D1" w:rsidRPr="00132E65" w:rsidRDefault="000C39D1" w:rsidP="000C39D1">
      <w:pPr>
        <w:pStyle w:val="libFootnote0"/>
        <w:rPr>
          <w:rtl/>
          <w:lang w:bidi="fa-IR"/>
        </w:rPr>
      </w:pPr>
      <w:r>
        <w:rPr>
          <w:rtl/>
        </w:rPr>
        <w:t>(9).</w:t>
      </w:r>
      <w:r w:rsidRPr="00132E65">
        <w:rPr>
          <w:rtl/>
        </w:rPr>
        <w:t xml:space="preserve"> في البحار ، ج 51 ، : « الحسن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وجَلَّ : </w:t>
      </w:r>
      <w:r w:rsidRPr="00071CF9">
        <w:rPr>
          <w:rStyle w:val="libAlaemChar"/>
          <w:rtl/>
        </w:rPr>
        <w:t>(</w:t>
      </w:r>
      <w:r w:rsidRPr="00071CF9">
        <w:rPr>
          <w:rStyle w:val="libAieChar"/>
          <w:rtl/>
        </w:rPr>
        <w:t xml:space="preserve"> وَمَنْ أَعْرَضَ عَنْ ذِكْرِي فَإِنَّ لَهُ مَعِيشَةً ضَنْكاً </w:t>
      </w:r>
      <w:r w:rsidRPr="00071CF9">
        <w:rPr>
          <w:rStyle w:val="libAlaemChar"/>
          <w:rtl/>
        </w:rPr>
        <w:t>)</w:t>
      </w:r>
      <w:r w:rsidRPr="00132E65">
        <w:rPr>
          <w:rtl/>
          <w:lang w:bidi="fa-IR"/>
        </w:rPr>
        <w:t xml:space="preserve"> قَالَ : « يَعْنِي بِهِ ولَايَةَ أَمِيرِ الْمُؤْمِنِينَ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وَنَحْشُرُهُ يَوْمَ الْقِيامَةِ أَعْمى </w:t>
      </w:r>
      <w:r w:rsidRPr="00071CF9">
        <w:rPr>
          <w:rStyle w:val="libAlaemChar"/>
          <w:rtl/>
        </w:rPr>
        <w:t>)</w:t>
      </w:r>
      <w:r w:rsidRPr="00132E65">
        <w:rPr>
          <w:rtl/>
          <w:lang w:bidi="fa-IR"/>
        </w:rPr>
        <w:t xml:space="preserve"> </w:t>
      </w:r>
      <w:r>
        <w:rPr>
          <w:rStyle w:val="libFootnotenumChar"/>
          <w:rtl/>
        </w:rPr>
        <w:t>(1)</w:t>
      </w:r>
      <w:r>
        <w:rPr>
          <w:rtl/>
          <w:lang w:bidi="fa-IR"/>
        </w:rPr>
        <w:t>؟</w:t>
      </w:r>
      <w:r w:rsidRPr="00132E65">
        <w:rPr>
          <w:rtl/>
          <w:lang w:bidi="fa-IR"/>
        </w:rPr>
        <w:t xml:space="preserve"> قَالَ : « يَعْنِي أَعْمَى الْبَصَرِ فِي الْآخِرَةِ ، أَعْمَى الْقَلْبِ فِي الدُّنْيَا ، عَنْ ولَايَةِ أَمِيرِ الْمُؤْمِنِينَ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 وَهُوَ مُتَحَيِّرٌ فِي الْقِيَامَةِ ، يَقُولُ : </w:t>
      </w:r>
      <w:r w:rsidRPr="00071CF9">
        <w:rPr>
          <w:rStyle w:val="libAlaemChar"/>
          <w:rtl/>
        </w:rPr>
        <w:t>(</w:t>
      </w:r>
      <w:r w:rsidRPr="00071CF9">
        <w:rPr>
          <w:rStyle w:val="libAieChar"/>
          <w:rtl/>
        </w:rPr>
        <w:t xml:space="preserve"> لِمَ حَشَرْتَنِي أَعْمى وَقَدْ كُنْتُ بَصِيراً</w:t>
      </w:r>
      <w:r w:rsidR="00900992">
        <w:rPr>
          <w:rStyle w:val="libAieChar"/>
          <w:rFonts w:hint="cs"/>
          <w:rtl/>
        </w:rPr>
        <w:t xml:space="preserve"> *</w:t>
      </w:r>
      <w:r w:rsidRPr="00071CF9">
        <w:rPr>
          <w:rStyle w:val="libAieChar"/>
          <w:rtl/>
        </w:rPr>
        <w:t xml:space="preserve"> قالَ كَذلِكَ أَتَتْكَ آياتُنا فَنَسِيتَها </w:t>
      </w:r>
      <w:r w:rsidRPr="00071CF9">
        <w:rPr>
          <w:rStyle w:val="libAlaemChar"/>
          <w:rtl/>
        </w:rPr>
        <w:t>)</w:t>
      </w:r>
      <w:r w:rsidRPr="00132E65">
        <w:rPr>
          <w:rtl/>
          <w:lang w:bidi="fa-IR"/>
        </w:rPr>
        <w:t xml:space="preserve"> »</w:t>
      </w:r>
      <w:r>
        <w:rPr>
          <w:rtl/>
          <w:lang w:bidi="fa-IR"/>
        </w:rPr>
        <w:t>.</w:t>
      </w:r>
      <w:r w:rsidRPr="00132E65">
        <w:rPr>
          <w:rtl/>
          <w:lang w:bidi="fa-IR"/>
        </w:rPr>
        <w:t xml:space="preserve"> قَالَ : « الْآيَاتُ : الْأَئِمَّةُ </w:t>
      </w:r>
      <w:r w:rsidRPr="00071CF9">
        <w:rPr>
          <w:rStyle w:val="libAlaemChar"/>
          <w:rtl/>
        </w:rPr>
        <w:t>عليهم‌السلام</w:t>
      </w:r>
      <w:r w:rsidRPr="00132E65">
        <w:rPr>
          <w:rtl/>
          <w:lang w:bidi="fa-IR"/>
        </w:rPr>
        <w:t xml:space="preserve"> ، فَنَسِيتَها</w:t>
      </w:r>
      <w:r>
        <w:rPr>
          <w:rFonts w:hint="cs"/>
          <w:rtl/>
          <w:lang w:bidi="fa-IR"/>
        </w:rPr>
        <w:t xml:space="preserve"> </w:t>
      </w:r>
      <w:r w:rsidRPr="00071CF9">
        <w:rPr>
          <w:rStyle w:val="libAlaemChar"/>
          <w:rtl/>
        </w:rPr>
        <w:t>(</w:t>
      </w:r>
      <w:r w:rsidRPr="00071CF9">
        <w:rPr>
          <w:rStyle w:val="libAieChar"/>
          <w:rtl/>
        </w:rPr>
        <w:t xml:space="preserve"> وَكَذلِكَ الْيَوْمَ تُنْسى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يَعْنِي تَرَكْتَهَا ، وكَذلِكَ </w:t>
      </w:r>
      <w:r>
        <w:rPr>
          <w:rStyle w:val="libFootnotenumChar"/>
          <w:rtl/>
        </w:rPr>
        <w:t>(3)</w:t>
      </w:r>
      <w:r w:rsidRPr="00132E65">
        <w:rPr>
          <w:rtl/>
          <w:lang w:bidi="fa-IR"/>
        </w:rPr>
        <w:t xml:space="preserve"> الْيَوْمَ تُتْرَكُ فِي النَّارِ ، كَمَا تَرَكْتَ الْأَئِمَّةَ </w:t>
      </w:r>
      <w:r w:rsidRPr="00071CF9">
        <w:rPr>
          <w:rStyle w:val="libAlaemChar"/>
          <w:rtl/>
        </w:rPr>
        <w:t>عليهم‌السلام</w:t>
      </w:r>
      <w:r w:rsidRPr="00132E65">
        <w:rPr>
          <w:rtl/>
          <w:lang w:bidi="fa-IR"/>
        </w:rPr>
        <w:t xml:space="preserve"> ، فَلَمْ تُطِعْ أَمْرَهُمْ ، ولَمْ تَسْمَعْ قَوْلَهُمْ</w:t>
      </w:r>
      <w:r>
        <w:rPr>
          <w:rStyle w:val="libFootnotenumChar"/>
          <w:rtl/>
        </w:rPr>
        <w:t>(4)</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وَكَذلِكَ نَجْزِي مَنْ أَسْرَفَ وَلَمْ يُؤْمِنْ بِآياتِ رَبِّهِ وَلَعَذابُ الْآخِرَةِ أَشَدُّ وَأَبْقى </w:t>
      </w:r>
      <w:r w:rsidRPr="00071CF9">
        <w:rPr>
          <w:rStyle w:val="libAlaemChar"/>
          <w:rtl/>
        </w:rPr>
        <w:t>)</w:t>
      </w:r>
      <w:r w:rsidRPr="00132E65">
        <w:rPr>
          <w:rtl/>
          <w:lang w:bidi="fa-IR"/>
        </w:rPr>
        <w:t xml:space="preserve"> </w:t>
      </w:r>
      <w:r>
        <w:rPr>
          <w:rStyle w:val="libFootnotenumChar"/>
          <w:rtl/>
        </w:rPr>
        <w:t>(5)</w:t>
      </w:r>
      <w:r>
        <w:rPr>
          <w:rtl/>
          <w:lang w:bidi="fa-IR"/>
        </w:rPr>
        <w:t>؟</w:t>
      </w:r>
      <w:r>
        <w:rPr>
          <w:rFonts w:hint="cs"/>
          <w:rtl/>
          <w:lang w:bidi="fa-IR"/>
        </w:rPr>
        <w:t xml:space="preserve"> </w:t>
      </w:r>
      <w:r w:rsidRPr="00132E65">
        <w:rPr>
          <w:rtl/>
          <w:lang w:bidi="fa-IR"/>
        </w:rPr>
        <w:t xml:space="preserve">قَالَ : « يَعْنِي </w:t>
      </w:r>
      <w:r>
        <w:rPr>
          <w:rStyle w:val="libFootnotenumChar"/>
          <w:rtl/>
        </w:rPr>
        <w:t>(6)</w:t>
      </w:r>
      <w:r w:rsidRPr="00132E65">
        <w:rPr>
          <w:rtl/>
          <w:lang w:bidi="fa-IR"/>
        </w:rPr>
        <w:t xml:space="preserve"> مَنْ أَشْرَكَ بِوَلَايَةِ أَمِيرِ الْمُؤْمِنِينَ </w:t>
      </w:r>
      <w:r w:rsidRPr="00071CF9">
        <w:rPr>
          <w:rStyle w:val="libAlaemChar"/>
          <w:rtl/>
        </w:rPr>
        <w:t>عليه‌السلام</w:t>
      </w:r>
      <w:r w:rsidRPr="00132E65">
        <w:rPr>
          <w:rtl/>
          <w:lang w:bidi="fa-IR"/>
        </w:rPr>
        <w:t xml:space="preserve"> غَيْرَهُ </w:t>
      </w:r>
      <w:r>
        <w:rPr>
          <w:rStyle w:val="libFootnotenumChar"/>
          <w:rtl/>
        </w:rPr>
        <w:t>(7)</w:t>
      </w:r>
      <w:r w:rsidRPr="00132E65">
        <w:rPr>
          <w:rtl/>
          <w:lang w:bidi="fa-IR"/>
        </w:rPr>
        <w:t xml:space="preserve"> ، ولَمْ يُؤْمِنْ بِآيَاتِ رَبِّهِ ، و</w:t>
      </w:r>
      <w:r>
        <w:rPr>
          <w:rFonts w:hint="cs"/>
          <w:rtl/>
          <w:lang w:bidi="fa-IR"/>
        </w:rPr>
        <w:t xml:space="preserve"> </w:t>
      </w:r>
      <w:r>
        <w:rPr>
          <w:rStyle w:val="libFootnotenumChar"/>
          <w:rtl/>
        </w:rPr>
        <w:t>(8)</w:t>
      </w:r>
      <w:r w:rsidRPr="00132E65">
        <w:rPr>
          <w:rtl/>
          <w:lang w:bidi="fa-IR"/>
        </w:rPr>
        <w:t xml:space="preserve"> تَرَكَ الْأَئِمَّةَ مُعَانَدَةً ، فَلَمْ يَتَّبِعْ </w:t>
      </w:r>
      <w:r>
        <w:rPr>
          <w:rStyle w:val="libFootnotenumChar"/>
          <w:rtl/>
        </w:rPr>
        <w:t>(9)</w:t>
      </w:r>
      <w:r w:rsidRPr="00132E65">
        <w:rPr>
          <w:rtl/>
          <w:lang w:bidi="fa-IR"/>
        </w:rPr>
        <w:t xml:space="preserve"> آثَارَهُمْ ، ولَمْ يَتَوَلَّهُمْ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اللهُ لَطِيفٌ بِعِبادِهِ يَرْزُقُ مَنْ يَشاءُ </w:t>
      </w:r>
      <w:r w:rsidRPr="00071CF9">
        <w:rPr>
          <w:rStyle w:val="libAlaemChar"/>
          <w:rtl/>
        </w:rPr>
        <w:t>)</w:t>
      </w:r>
      <w:r w:rsidRPr="00132E65">
        <w:rPr>
          <w:rtl/>
          <w:lang w:bidi="fa-IR"/>
        </w:rPr>
        <w:t xml:space="preserve"> </w:t>
      </w:r>
      <w:r>
        <w:rPr>
          <w:rStyle w:val="libFootnotenumChar"/>
          <w:rtl/>
        </w:rPr>
        <w:t>(10)</w:t>
      </w:r>
      <w:r>
        <w:rPr>
          <w:rtl/>
          <w:lang w:bidi="fa-IR"/>
        </w:rPr>
        <w:t>؟</w:t>
      </w:r>
      <w:r w:rsidRPr="00132E65">
        <w:rPr>
          <w:rtl/>
          <w:lang w:bidi="fa-IR"/>
        </w:rPr>
        <w:t xml:space="preserve"> قَالَ : « وَلَايَةُ أَمِيرِ الْمُؤْمِنِينَ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قُلْتُ : </w:t>
      </w:r>
      <w:r w:rsidRPr="00071CF9">
        <w:rPr>
          <w:rStyle w:val="libAlaemChar"/>
          <w:rtl/>
        </w:rPr>
        <w:t>(</w:t>
      </w:r>
      <w:r w:rsidRPr="00071CF9">
        <w:rPr>
          <w:rStyle w:val="libAieChar"/>
          <w:rtl/>
        </w:rPr>
        <w:t xml:space="preserve"> مَنْ كانَ يُرِيدُ حَرْثَ الْآخِرَةِ </w:t>
      </w:r>
      <w:r w:rsidRPr="00071CF9">
        <w:rPr>
          <w:rStyle w:val="libAlaemChar"/>
          <w:rtl/>
        </w:rPr>
        <w:t>)</w:t>
      </w:r>
      <w:r>
        <w:rPr>
          <w:rtl/>
          <w:lang w:bidi="fa-IR"/>
        </w:rPr>
        <w:t>؟</w:t>
      </w:r>
      <w:r w:rsidRPr="00132E65">
        <w:rPr>
          <w:rtl/>
          <w:lang w:bidi="fa-IR"/>
        </w:rPr>
        <w:t xml:space="preserve"> قَالَ : « مَعْرِفَةُ أَمِيرِ الْمُؤْمِنِينَ والْأَئِمَّةِ </w:t>
      </w:r>
      <w:r w:rsidRPr="00071CF9">
        <w:rPr>
          <w:rStyle w:val="libAlaemChar"/>
          <w:rtl/>
        </w:rPr>
        <w:t>عليهم‌السلام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071CF9">
        <w:rPr>
          <w:rStyle w:val="libAlaemChar"/>
          <w:rtl/>
        </w:rPr>
        <w:t>(</w:t>
      </w:r>
      <w:r w:rsidRPr="00071CF9">
        <w:rPr>
          <w:rStyle w:val="libAieChar"/>
          <w:rtl/>
        </w:rPr>
        <w:t xml:space="preserve"> نَزِدْ لَهُ فِي حَرْثِهِ </w:t>
      </w:r>
      <w:r w:rsidRPr="00071CF9">
        <w:rPr>
          <w:rStyle w:val="libAlaemChar"/>
          <w:rtl/>
        </w:rPr>
        <w:t>)</w:t>
      </w:r>
      <w:r>
        <w:rPr>
          <w:rtl/>
          <w:lang w:bidi="fa-IR"/>
        </w:rPr>
        <w:t>؟</w:t>
      </w:r>
      <w:r w:rsidRPr="00132E65">
        <w:rPr>
          <w:rtl/>
          <w:lang w:bidi="fa-IR"/>
        </w:rPr>
        <w:t xml:space="preserve"> قَالَ : « نَزِيدُهُ مِنْهَا »</w:t>
      </w:r>
      <w:r>
        <w:rPr>
          <w:rtl/>
          <w:lang w:bidi="fa-IR"/>
        </w:rPr>
        <w:t>.</w:t>
      </w:r>
    </w:p>
    <w:p w:rsidR="000C39D1" w:rsidRPr="00132E65" w:rsidRDefault="000C39D1" w:rsidP="000C39D1">
      <w:pPr>
        <w:pStyle w:val="libNormal"/>
        <w:rPr>
          <w:rtl/>
          <w:lang w:bidi="fa-IR"/>
        </w:rPr>
      </w:pPr>
      <w:r w:rsidRPr="00132E65">
        <w:rPr>
          <w:rtl/>
          <w:lang w:bidi="fa-IR"/>
        </w:rPr>
        <w:t>قَالَ : « يَسْتَوْفِي نَصِيبَهُ مِنْ دَوْلَتِهِمْ »</w:t>
      </w:r>
      <w:r>
        <w:rPr>
          <w:rtl/>
          <w:lang w:bidi="fa-IR"/>
        </w:rPr>
        <w:t>.</w:t>
      </w:r>
    </w:p>
    <w:p w:rsidR="000C39D1" w:rsidRPr="00132E65" w:rsidRDefault="000C39D1" w:rsidP="000C39D1">
      <w:pPr>
        <w:pStyle w:val="libNormal"/>
        <w:rPr>
          <w:rtl/>
          <w:lang w:bidi="fa-IR"/>
        </w:rPr>
      </w:pPr>
      <w:r w:rsidRPr="00071CF9">
        <w:rPr>
          <w:rStyle w:val="libAlaemChar"/>
          <w:rtl/>
        </w:rPr>
        <w:t>(</w:t>
      </w:r>
      <w:r w:rsidRPr="00071CF9">
        <w:rPr>
          <w:rStyle w:val="libAieChar"/>
          <w:rtl/>
        </w:rPr>
        <w:t xml:space="preserve"> وَمَنْ كانَ يُرِيدُ حَرْثَ الدُّنْيا نُؤْتِهِ مِنْها وَما لَهُ فِي الْآخِرَةِ مِنْ نَصِيبٍ </w:t>
      </w:r>
      <w:r w:rsidRPr="00071CF9">
        <w:rPr>
          <w:rStyle w:val="libAlaemChar"/>
          <w:rtl/>
        </w:rPr>
        <w:t>)</w:t>
      </w:r>
      <w:r w:rsidRPr="00132E65">
        <w:rPr>
          <w:rtl/>
          <w:lang w:bidi="fa-IR"/>
        </w:rPr>
        <w:t xml:space="preserve"> </w:t>
      </w:r>
      <w:r>
        <w:rPr>
          <w:rStyle w:val="libFootnotenumChar"/>
          <w:rtl/>
        </w:rPr>
        <w:t>(11)</w:t>
      </w:r>
      <w:r>
        <w:rPr>
          <w:rtl/>
          <w:lang w:bidi="fa-IR"/>
        </w:rPr>
        <w:t>؟</w:t>
      </w:r>
      <w:r w:rsidRPr="00132E65">
        <w:rPr>
          <w:rtl/>
          <w:lang w:bidi="fa-IR"/>
        </w:rPr>
        <w:t xml:space="preserve"> قَالَ : « لَيْسَ لَهُ‌</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00992" w:rsidTr="00900992">
        <w:tc>
          <w:tcPr>
            <w:tcW w:w="4006" w:type="dxa"/>
          </w:tcPr>
          <w:p w:rsidR="00900992" w:rsidRDefault="00900992" w:rsidP="000C39D1">
            <w:pPr>
              <w:pStyle w:val="libFootnote0"/>
              <w:rPr>
                <w:rtl/>
              </w:rPr>
            </w:pPr>
            <w:r>
              <w:rPr>
                <w:rtl/>
              </w:rPr>
              <w:t>(1).</w:t>
            </w:r>
            <w:r w:rsidRPr="00132E65">
              <w:rPr>
                <w:rtl/>
              </w:rPr>
              <w:t xml:space="preserve"> طه (20) : 124.</w:t>
            </w:r>
          </w:p>
        </w:tc>
        <w:tc>
          <w:tcPr>
            <w:tcW w:w="4006" w:type="dxa"/>
          </w:tcPr>
          <w:p w:rsidR="00900992" w:rsidRDefault="00900992" w:rsidP="000C39D1">
            <w:pPr>
              <w:pStyle w:val="libFootnote0"/>
              <w:rPr>
                <w:rtl/>
              </w:rPr>
            </w:pPr>
            <w:r>
              <w:rPr>
                <w:rtl/>
              </w:rPr>
              <w:t>(2).</w:t>
            </w:r>
            <w:r w:rsidRPr="00132E65">
              <w:rPr>
                <w:rtl/>
              </w:rPr>
              <w:t xml:space="preserve"> طه (20) : 125</w:t>
            </w:r>
            <w:r>
              <w:rPr>
                <w:rtl/>
              </w:rPr>
              <w:t xml:space="preserve"> - </w:t>
            </w:r>
            <w:r w:rsidRPr="00132E65">
              <w:rPr>
                <w:rtl/>
              </w:rPr>
              <w:t>126.</w:t>
            </w:r>
          </w:p>
        </w:tc>
      </w:tr>
      <w:tr w:rsidR="00900992" w:rsidTr="00900992">
        <w:tc>
          <w:tcPr>
            <w:tcW w:w="4006" w:type="dxa"/>
          </w:tcPr>
          <w:p w:rsidR="00900992" w:rsidRDefault="00900992" w:rsidP="000C39D1">
            <w:pPr>
              <w:pStyle w:val="libFootnote0"/>
              <w:rPr>
                <w:rtl/>
              </w:rPr>
            </w:pPr>
            <w:r>
              <w:rPr>
                <w:rtl/>
              </w:rPr>
              <w:t>(3).</w:t>
            </w:r>
            <w:r w:rsidRPr="00132E65">
              <w:rPr>
                <w:rtl/>
              </w:rPr>
              <w:t xml:space="preserve"> في « ف » : « فكذلك »</w:t>
            </w:r>
            <w:r>
              <w:rPr>
                <w:rtl/>
              </w:rPr>
              <w:t>.</w:t>
            </w:r>
          </w:p>
        </w:tc>
        <w:tc>
          <w:tcPr>
            <w:tcW w:w="4006" w:type="dxa"/>
          </w:tcPr>
          <w:p w:rsidR="00900992" w:rsidRDefault="00900992" w:rsidP="000C39D1">
            <w:pPr>
              <w:pStyle w:val="libFootnote0"/>
              <w:rPr>
                <w:rtl/>
              </w:rPr>
            </w:pPr>
            <w:r>
              <w:rPr>
                <w:rtl/>
              </w:rPr>
              <w:t>(4).</w:t>
            </w:r>
            <w:r w:rsidRPr="00132E65">
              <w:rPr>
                <w:rtl/>
              </w:rPr>
              <w:t xml:space="preserve"> في البحار ، ج 24 : « لهم »</w:t>
            </w:r>
            <w:r>
              <w:rPr>
                <w:rtl/>
              </w:rPr>
              <w:t>.</w:t>
            </w:r>
          </w:p>
        </w:tc>
      </w:tr>
      <w:tr w:rsidR="00900992" w:rsidTr="00900992">
        <w:tc>
          <w:tcPr>
            <w:tcW w:w="4006" w:type="dxa"/>
          </w:tcPr>
          <w:p w:rsidR="00900992" w:rsidRDefault="00900992" w:rsidP="000C39D1">
            <w:pPr>
              <w:pStyle w:val="libFootnote0"/>
              <w:rPr>
                <w:rtl/>
              </w:rPr>
            </w:pPr>
            <w:r>
              <w:rPr>
                <w:rtl/>
              </w:rPr>
              <w:t>(5).</w:t>
            </w:r>
            <w:r w:rsidRPr="00132E65">
              <w:rPr>
                <w:rtl/>
              </w:rPr>
              <w:t xml:space="preserve"> طه (20) : 127.</w:t>
            </w:r>
          </w:p>
        </w:tc>
        <w:tc>
          <w:tcPr>
            <w:tcW w:w="4006" w:type="dxa"/>
          </w:tcPr>
          <w:p w:rsidR="00900992" w:rsidRDefault="00900992" w:rsidP="000C39D1">
            <w:pPr>
              <w:pStyle w:val="libFootnote0"/>
              <w:rPr>
                <w:rtl/>
              </w:rPr>
            </w:pPr>
            <w:r>
              <w:rPr>
                <w:rtl/>
              </w:rPr>
              <w:t>(6).</w:t>
            </w:r>
            <w:r w:rsidRPr="00132E65">
              <w:rPr>
                <w:rtl/>
              </w:rPr>
              <w:t xml:space="preserve"> في « بف » : « وكذلك نجزي » بدل « يعني »</w:t>
            </w:r>
            <w:r>
              <w:rPr>
                <w:rtl/>
              </w:rPr>
              <w:t>.</w:t>
            </w:r>
          </w:p>
        </w:tc>
      </w:tr>
      <w:tr w:rsidR="00900992" w:rsidTr="00900992">
        <w:tc>
          <w:tcPr>
            <w:tcW w:w="4006" w:type="dxa"/>
          </w:tcPr>
          <w:p w:rsidR="00900992" w:rsidRDefault="00900992" w:rsidP="000C39D1">
            <w:pPr>
              <w:pStyle w:val="libFootnote0"/>
              <w:rPr>
                <w:rtl/>
              </w:rPr>
            </w:pPr>
            <w:r>
              <w:rPr>
                <w:rtl/>
              </w:rPr>
              <w:t>(7).</w:t>
            </w:r>
            <w:r w:rsidRPr="00132E65">
              <w:rPr>
                <w:rtl/>
              </w:rPr>
              <w:t xml:space="preserve"> في « ف » </w:t>
            </w:r>
            <w:r>
              <w:rPr>
                <w:rtl/>
              </w:rPr>
              <w:t xml:space="preserve">: - </w:t>
            </w:r>
            <w:r w:rsidRPr="00132E65">
              <w:rPr>
                <w:rtl/>
              </w:rPr>
              <w:t>« غيره »</w:t>
            </w:r>
            <w:r>
              <w:rPr>
                <w:rtl/>
              </w:rPr>
              <w:t>.</w:t>
            </w:r>
          </w:p>
        </w:tc>
        <w:tc>
          <w:tcPr>
            <w:tcW w:w="4006" w:type="dxa"/>
          </w:tcPr>
          <w:p w:rsidR="00900992" w:rsidRDefault="00900992" w:rsidP="000C39D1">
            <w:pPr>
              <w:pStyle w:val="libFootnote0"/>
              <w:rPr>
                <w:rtl/>
              </w:rPr>
            </w:pPr>
            <w:r>
              <w:rPr>
                <w:rtl/>
              </w:rPr>
              <w:t>(8).</w:t>
            </w:r>
            <w:r w:rsidRPr="00132E65">
              <w:rPr>
                <w:rtl/>
              </w:rPr>
              <w:t xml:space="preserve"> في « ف ، بح ، بر ، بس ، بف » </w:t>
            </w:r>
            <w:r>
              <w:rPr>
                <w:rtl/>
              </w:rPr>
              <w:t xml:space="preserve">: - </w:t>
            </w:r>
            <w:r w:rsidRPr="00132E65">
              <w:rPr>
                <w:rtl/>
              </w:rPr>
              <w:t>«</w:t>
            </w:r>
            <w:r>
              <w:rPr>
                <w:rtl/>
              </w:rPr>
              <w:t xml:space="preserve"> و ».</w:t>
            </w:r>
          </w:p>
        </w:tc>
      </w:tr>
      <w:tr w:rsidR="00900992" w:rsidTr="00900992">
        <w:tc>
          <w:tcPr>
            <w:tcW w:w="4006" w:type="dxa"/>
          </w:tcPr>
          <w:p w:rsidR="00900992" w:rsidRDefault="00900992" w:rsidP="000C39D1">
            <w:pPr>
              <w:pStyle w:val="libFootnote0"/>
              <w:rPr>
                <w:rtl/>
              </w:rPr>
            </w:pPr>
            <w:r>
              <w:rPr>
                <w:rtl/>
              </w:rPr>
              <w:t>(9).</w:t>
            </w:r>
            <w:r w:rsidRPr="00132E65">
              <w:rPr>
                <w:rtl/>
              </w:rPr>
              <w:t xml:space="preserve"> في « ف ، بف » : « ولم يتّبع »</w:t>
            </w:r>
            <w:r>
              <w:rPr>
                <w:rtl/>
              </w:rPr>
              <w:t>.</w:t>
            </w:r>
          </w:p>
        </w:tc>
        <w:tc>
          <w:tcPr>
            <w:tcW w:w="4006" w:type="dxa"/>
          </w:tcPr>
          <w:p w:rsidR="00900992" w:rsidRDefault="00900992" w:rsidP="000C39D1">
            <w:pPr>
              <w:pStyle w:val="libFootnote0"/>
              <w:rPr>
                <w:rtl/>
              </w:rPr>
            </w:pPr>
            <w:r>
              <w:rPr>
                <w:rtl/>
              </w:rPr>
              <w:t>(10).</w:t>
            </w:r>
            <w:r w:rsidRPr="00132E65">
              <w:rPr>
                <w:rtl/>
              </w:rPr>
              <w:t xml:space="preserve"> الشورى (42) : 19.</w:t>
            </w:r>
          </w:p>
        </w:tc>
      </w:tr>
    </w:tbl>
    <w:p w:rsidR="000C39D1" w:rsidRPr="00132E65" w:rsidRDefault="000C39D1" w:rsidP="000C39D1">
      <w:pPr>
        <w:pStyle w:val="libFootnote0"/>
        <w:rPr>
          <w:rtl/>
          <w:lang w:bidi="fa-IR"/>
        </w:rPr>
      </w:pPr>
      <w:r>
        <w:rPr>
          <w:rtl/>
        </w:rPr>
        <w:t>(11).</w:t>
      </w:r>
      <w:r w:rsidRPr="00132E65">
        <w:rPr>
          <w:rtl/>
        </w:rPr>
        <w:t xml:space="preserve"> الشورى (42) : 20.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فِي </w:t>
      </w:r>
      <w:r>
        <w:rPr>
          <w:rStyle w:val="libFootnotenumChar"/>
          <w:rtl/>
        </w:rPr>
        <w:t>(1)</w:t>
      </w:r>
      <w:r w:rsidRPr="00132E65">
        <w:rPr>
          <w:rtl/>
          <w:lang w:bidi="fa-IR"/>
        </w:rPr>
        <w:t xml:space="preserve"> دَوْلَةِ الْحَقِّ مَعَ الْقَائِمِ نَصِيبٌ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Heading2Center"/>
        <w:rPr>
          <w:rtl/>
          <w:lang w:bidi="fa-IR"/>
        </w:rPr>
      </w:pPr>
      <w:bookmarkStart w:id="148" w:name="_Toc459459150"/>
      <w:bookmarkStart w:id="149" w:name="_Toc34663119"/>
      <w:r w:rsidRPr="00132E65">
        <w:rPr>
          <w:rtl/>
          <w:lang w:bidi="fa-IR"/>
        </w:rPr>
        <w:t>109</w:t>
      </w:r>
      <w:r>
        <w:rPr>
          <w:rtl/>
          <w:lang w:bidi="fa-IR"/>
        </w:rPr>
        <w:t xml:space="preserve"> - </w:t>
      </w:r>
      <w:r w:rsidRPr="00132E65">
        <w:rPr>
          <w:rtl/>
          <w:lang w:bidi="fa-IR"/>
        </w:rPr>
        <w:t xml:space="preserve">بَابٌ فِيهِ نُتَفٌ </w:t>
      </w:r>
      <w:r>
        <w:rPr>
          <w:rStyle w:val="libFootnotenumChar"/>
          <w:rtl/>
        </w:rPr>
        <w:t>(3)</w:t>
      </w:r>
      <w:r>
        <w:rPr>
          <w:rtl/>
          <w:lang w:bidi="fa-IR"/>
        </w:rPr>
        <w:t xml:space="preserve"> </w:t>
      </w:r>
      <w:r w:rsidRPr="00132E65">
        <w:rPr>
          <w:rtl/>
          <w:lang w:bidi="fa-IR"/>
        </w:rPr>
        <w:t>وجَوَامِعُ مِنَ الرِّوَايَةِ فِي الْوَلَايَةِ‌</w:t>
      </w:r>
      <w:bookmarkEnd w:id="148"/>
      <w:bookmarkEnd w:id="149"/>
    </w:p>
    <w:p w:rsidR="000C39D1" w:rsidRPr="00132E65" w:rsidRDefault="000C39D1" w:rsidP="000C39D1">
      <w:pPr>
        <w:pStyle w:val="libNormal"/>
        <w:rPr>
          <w:rtl/>
          <w:lang w:bidi="fa-IR"/>
        </w:rPr>
      </w:pPr>
      <w:r w:rsidRPr="003C1E35">
        <w:rPr>
          <w:rtl/>
        </w:rPr>
        <w:t>1180</w:t>
      </w:r>
      <w:r w:rsidRPr="004325D8">
        <w:rPr>
          <w:rStyle w:val="libBold2Char"/>
          <w:rtl/>
        </w:rPr>
        <w:t xml:space="preserve"> / 1.</w:t>
      </w:r>
      <w:r w:rsidRPr="00132E65">
        <w:rPr>
          <w:rtl/>
          <w:lang w:bidi="fa-IR"/>
        </w:rPr>
        <w:t xml:space="preserve"> مُحَمَّدُ بْنُ يَعْقُوبَ الْكُلَيْنِيُّ ، عَنْ مُحَمَّدِ بْنِ الْحَسَنِ وعَلِيِّ بْنِ مُحَمَّدٍ ، عَنْ سَهْلِ بْنِ زِيَادٍ ، عَنِ ابْنِ</w:t>
      </w:r>
      <w:r>
        <w:rPr>
          <w:rFonts w:hint="cs"/>
          <w:rtl/>
          <w:lang w:bidi="fa-IR"/>
        </w:rPr>
        <w:t xml:space="preserve"> </w:t>
      </w:r>
      <w:r w:rsidRPr="00132E65">
        <w:rPr>
          <w:rtl/>
          <w:lang w:bidi="fa-IR"/>
        </w:rPr>
        <w:t>مَحْبُوبٍ ، عَنِ ابْنِ رِئَابٍ ، عَنْ بُكَيْرِ بْنِ أَعْيَنَ ، قَالَ :</w:t>
      </w:r>
    </w:p>
    <w:p w:rsidR="000C39D1" w:rsidRPr="00132E65" w:rsidRDefault="000C39D1" w:rsidP="000C39D1">
      <w:pPr>
        <w:pStyle w:val="libNormal"/>
        <w:rPr>
          <w:rtl/>
          <w:lang w:bidi="fa-IR"/>
        </w:rPr>
      </w:pPr>
      <w:r w:rsidRPr="00132E65">
        <w:rPr>
          <w:rtl/>
          <w:lang w:bidi="fa-IR"/>
        </w:rPr>
        <w:t xml:space="preserve">كَانَ أَبُو جَعْفَرٍ </w:t>
      </w:r>
      <w:r w:rsidRPr="00071CF9">
        <w:rPr>
          <w:rStyle w:val="libAlaemChar"/>
          <w:rtl/>
        </w:rPr>
        <w:t>عليه‌السلام</w:t>
      </w:r>
      <w:r w:rsidRPr="00132E65">
        <w:rPr>
          <w:rtl/>
          <w:lang w:bidi="fa-IR"/>
        </w:rPr>
        <w:t xml:space="preserve"> يَقُولُ : « إِنَّ اللهَ أَخَذَ مِيثَاقَ شِيعَتِنَا بِالْوَلَايَةِ</w:t>
      </w:r>
      <w:r>
        <w:rPr>
          <w:rtl/>
          <w:lang w:bidi="fa-IR"/>
        </w:rPr>
        <w:t xml:space="preserve"> - </w:t>
      </w:r>
      <w:r w:rsidRPr="00132E65">
        <w:rPr>
          <w:rtl/>
          <w:lang w:bidi="fa-IR"/>
        </w:rPr>
        <w:t>وهُمْ ذَرٌّ</w:t>
      </w:r>
      <w:r>
        <w:rPr>
          <w:rtl/>
          <w:lang w:bidi="fa-IR"/>
        </w:rPr>
        <w:t xml:space="preserve"> - </w:t>
      </w:r>
      <w:r w:rsidRPr="00132E65">
        <w:rPr>
          <w:rtl/>
          <w:lang w:bidi="fa-IR"/>
        </w:rPr>
        <w:t xml:space="preserve">يَوْمَ أَخَذَ الْمِيثَاقَ عَلَى الذَّرِّ ، والْإِقْرَارَ </w:t>
      </w:r>
      <w:r>
        <w:rPr>
          <w:rStyle w:val="libFootnotenumChar"/>
          <w:rtl/>
        </w:rPr>
        <w:t>(4)</w:t>
      </w:r>
      <w:r w:rsidRPr="00132E65">
        <w:rPr>
          <w:rtl/>
          <w:lang w:bidi="fa-IR"/>
        </w:rPr>
        <w:t xml:space="preserve"> لَهُ بِالرُّبُوبِيَّةِ ، ولِمُحَمَّدٍ </w:t>
      </w:r>
      <w:r w:rsidRPr="0093484F">
        <w:rPr>
          <w:rStyle w:val="libAlaemChar"/>
          <w:rFonts w:eastAsiaTheme="minorHAnsi"/>
          <w:rtl/>
        </w:rPr>
        <w:t>صلى‌الله‌عليه‌وآله</w:t>
      </w:r>
      <w:r w:rsidRPr="00132E65">
        <w:rPr>
          <w:rtl/>
          <w:lang w:bidi="fa-IR"/>
        </w:rPr>
        <w:t xml:space="preserve"> بِالنُّبُوَّةِ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C1E35">
        <w:rPr>
          <w:rtl/>
        </w:rPr>
        <w:t>1181</w:t>
      </w:r>
      <w:r w:rsidRPr="004325D8">
        <w:rPr>
          <w:rStyle w:val="libBold2Char"/>
          <w:rtl/>
        </w:rPr>
        <w:t xml:space="preserve"> / 2.</w:t>
      </w:r>
      <w:r w:rsidRPr="00132E65">
        <w:rPr>
          <w:rtl/>
          <w:lang w:bidi="fa-IR"/>
        </w:rPr>
        <w:t xml:space="preserve"> مُحَمَّدُ بْنُ يَحْيى ، عَنْ مُحَمَّدِ بْنِ الْحُسَيْنِ ، عَنْ مُحَمَّدِ بْنِ إِسْمَاعِيلَ بْنِ بَزِيعٍ ، عَنْ صَالِحِ بْنِ عُقْبَةَ ، عَنْ عَبْدِ اللهِ بْنِ مُحَمَّدٍ الْجُعْفِيِّ </w:t>
      </w:r>
      <w:r>
        <w:rPr>
          <w:rStyle w:val="libFootnotenumChar"/>
          <w:rtl/>
        </w:rPr>
        <w:t>(6)</w:t>
      </w:r>
      <w:r w:rsidRPr="00132E65">
        <w:rPr>
          <w:rtl/>
          <w:lang w:bidi="fa-IR"/>
        </w:rPr>
        <w:t xml:space="preserve"> ، عَنْ أَبِي جَعْفَرٍ </w:t>
      </w:r>
      <w:r w:rsidRPr="00071CF9">
        <w:rPr>
          <w:rStyle w:val="libAlaemChar"/>
          <w:rtl/>
        </w:rPr>
        <w:t>عليه‌السلام</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 « من »</w:t>
      </w:r>
      <w:r>
        <w:rPr>
          <w:rtl/>
        </w:rPr>
        <w:t>.</w:t>
      </w:r>
    </w:p>
    <w:p w:rsidR="000C39D1" w:rsidRPr="00132E65" w:rsidRDefault="000C39D1" w:rsidP="00636074">
      <w:pPr>
        <w:pStyle w:val="libFootnote0"/>
        <w:rPr>
          <w:rtl/>
          <w:lang w:bidi="fa-IR"/>
        </w:rPr>
      </w:pPr>
      <w:r>
        <w:rPr>
          <w:rtl/>
        </w:rPr>
        <w:t>(2).</w:t>
      </w:r>
      <w:r w:rsidRPr="00132E65">
        <w:rPr>
          <w:rtl/>
        </w:rPr>
        <w:t xml:space="preserve"> </w:t>
      </w:r>
      <w:r w:rsidRPr="003C1E35">
        <w:rPr>
          <w:rtl/>
        </w:rPr>
        <w:t>تفسير فرات</w:t>
      </w:r>
      <w:r w:rsidRPr="00132E65">
        <w:rPr>
          <w:rtl/>
        </w:rPr>
        <w:t xml:space="preserve"> ، ص 260 ، ح 356 ، بسند آخر ، عن ابن عبّاس من دون الإسناد إلى المعصوم </w:t>
      </w:r>
      <w:r w:rsidRPr="002B746F">
        <w:rPr>
          <w:rStyle w:val="libFootnoteAlaemChar"/>
          <w:rtl/>
        </w:rPr>
        <w:t>عليه‌السلام</w:t>
      </w:r>
      <w:r w:rsidRPr="00132E65">
        <w:rPr>
          <w:rtl/>
        </w:rPr>
        <w:t xml:space="preserve"> ، وفيه قطعة مع اختلاف يسير</w:t>
      </w:r>
      <w:r w:rsidR="00636074">
        <w:rPr>
          <w:rFonts w:hint="cs"/>
          <w:rtl/>
        </w:rPr>
        <w:t>.</w:t>
      </w:r>
      <w:r w:rsidRPr="009D1ACE">
        <w:rPr>
          <w:rStyle w:val="libFootnoteBoldChar"/>
          <w:rtl/>
        </w:rPr>
        <w:t>الوافي</w:t>
      </w:r>
      <w:r w:rsidRPr="00132E65">
        <w:rPr>
          <w:rtl/>
        </w:rPr>
        <w:t xml:space="preserve"> ، ج 3 ، ص 919 ، ح 1591 ؛ </w:t>
      </w:r>
      <w:r w:rsidRPr="003C1E35">
        <w:rPr>
          <w:rtl/>
        </w:rPr>
        <w:t>البحار</w:t>
      </w:r>
      <w:r w:rsidRPr="00132E65">
        <w:rPr>
          <w:rtl/>
        </w:rPr>
        <w:t xml:space="preserve"> ، ج 24 ، ص 348 ، ح 60 ؛ وج 51 ، ص 63 ، ح 64 ؛ وج 70 ، ص 225.</w:t>
      </w:r>
    </w:p>
    <w:p w:rsidR="000C39D1" w:rsidRPr="00132E65" w:rsidRDefault="000C39D1" w:rsidP="000C39D1">
      <w:pPr>
        <w:pStyle w:val="libFootnote0"/>
        <w:rPr>
          <w:rtl/>
          <w:lang w:bidi="fa-IR"/>
        </w:rPr>
      </w:pPr>
      <w:r>
        <w:rPr>
          <w:rtl/>
        </w:rPr>
        <w:t>(3).</w:t>
      </w:r>
      <w:r w:rsidRPr="00132E65">
        <w:rPr>
          <w:rtl/>
        </w:rPr>
        <w:t xml:space="preserve"> « النُتَفُ » : جمع النُتْفَةُ ، وهو ما نَتَفْتَهُ ونزعته بأصابعك من النبت وغيره ، فالمراد الأخبار المتفرّقة الواردة في الولاية. أو القطعة من النبات. فالمراد طائفة من الروايات. راجع : </w:t>
      </w:r>
      <w:r w:rsidRPr="003C1E35">
        <w:rPr>
          <w:rtl/>
        </w:rPr>
        <w:t>الصحاح</w:t>
      </w:r>
      <w:r w:rsidRPr="00132E65">
        <w:rPr>
          <w:rtl/>
        </w:rPr>
        <w:t xml:space="preserve"> ، ج 4 ، ص 1429 ؛ </w:t>
      </w:r>
      <w:r w:rsidRPr="003C1E35">
        <w:rPr>
          <w:rtl/>
        </w:rPr>
        <w:t>المصباح المنير</w:t>
      </w:r>
      <w:r w:rsidRPr="00132E65">
        <w:rPr>
          <w:rtl/>
        </w:rPr>
        <w:t xml:space="preserve"> ، ص 592 ( نتف ) ؛ </w:t>
      </w:r>
      <w:r w:rsidRPr="003C1E35">
        <w:rPr>
          <w:rtl/>
        </w:rPr>
        <w:t>شرح المازندراني</w:t>
      </w:r>
      <w:r w:rsidRPr="00132E65">
        <w:rPr>
          <w:rtl/>
        </w:rPr>
        <w:t xml:space="preserve"> ، ج 7 ، ص 121 ؛ </w:t>
      </w:r>
      <w:r w:rsidRPr="009D1ACE">
        <w:rPr>
          <w:rStyle w:val="libFootnoteBoldChar"/>
          <w:rtl/>
        </w:rPr>
        <w:t>مرآة العقول</w:t>
      </w:r>
      <w:r w:rsidRPr="00132E65">
        <w:rPr>
          <w:rtl/>
        </w:rPr>
        <w:t xml:space="preserve"> ، ج 5 ، ص 1.</w:t>
      </w:r>
    </w:p>
    <w:p w:rsidR="000C39D1" w:rsidRPr="00132E65" w:rsidRDefault="000C39D1" w:rsidP="00636074">
      <w:pPr>
        <w:pStyle w:val="libFootnote0"/>
        <w:rPr>
          <w:rtl/>
          <w:lang w:bidi="fa-IR"/>
        </w:rPr>
      </w:pPr>
      <w:r>
        <w:rPr>
          <w:rtl/>
        </w:rPr>
        <w:t>(4).</w:t>
      </w:r>
      <w:r w:rsidRPr="00132E65">
        <w:rPr>
          <w:rtl/>
        </w:rPr>
        <w:t xml:space="preserve"> في </w:t>
      </w:r>
      <w:r w:rsidRPr="003C1E35">
        <w:rPr>
          <w:rtl/>
        </w:rPr>
        <w:t>شرح المازندراني</w:t>
      </w:r>
      <w:r w:rsidRPr="00132E65">
        <w:rPr>
          <w:rtl/>
        </w:rPr>
        <w:t xml:space="preserve"> : « هو</w:t>
      </w:r>
      <w:r>
        <w:rPr>
          <w:rtl/>
        </w:rPr>
        <w:t xml:space="preserve"> - </w:t>
      </w:r>
      <w:r w:rsidRPr="00132E65">
        <w:rPr>
          <w:rtl/>
        </w:rPr>
        <w:t>أي الإقرار</w:t>
      </w:r>
      <w:r>
        <w:rPr>
          <w:rtl/>
        </w:rPr>
        <w:t xml:space="preserve"> - </w:t>
      </w:r>
      <w:r w:rsidRPr="00132E65">
        <w:rPr>
          <w:rtl/>
        </w:rPr>
        <w:t>بالجرّ عطف على الذرّ ، أو على الولاية. والأوّل أولى ؛ لأنّه أعمّ ؛ حيث يشمل الشيعة وغيرهم »</w:t>
      </w:r>
      <w:r>
        <w:rPr>
          <w:rtl/>
        </w:rPr>
        <w:t>.</w:t>
      </w:r>
      <w:r w:rsidR="00636074">
        <w:rPr>
          <w:rFonts w:hint="cs"/>
          <w:rtl/>
        </w:rPr>
        <w:t xml:space="preserve">                            </w:t>
      </w:r>
      <w:r>
        <w:rPr>
          <w:rtl/>
        </w:rPr>
        <w:t>(5).</w:t>
      </w:r>
      <w:r w:rsidRPr="00132E65">
        <w:rPr>
          <w:rtl/>
        </w:rPr>
        <w:t xml:space="preserve"> </w:t>
      </w:r>
      <w:r w:rsidRPr="009D1ACE">
        <w:rPr>
          <w:rStyle w:val="libFootnoteBoldChar"/>
          <w:rtl/>
        </w:rPr>
        <w:t>الوافي</w:t>
      </w:r>
      <w:r w:rsidRPr="00132E65">
        <w:rPr>
          <w:rtl/>
        </w:rPr>
        <w:t xml:space="preserve"> ، ج 3 ، ص 492 ، ح 993.</w:t>
      </w:r>
    </w:p>
    <w:p w:rsidR="000C39D1" w:rsidRPr="00132E65" w:rsidRDefault="000C39D1" w:rsidP="000C39D1">
      <w:pPr>
        <w:pStyle w:val="libFootnote0"/>
        <w:rPr>
          <w:rtl/>
          <w:lang w:bidi="fa-IR"/>
        </w:rPr>
      </w:pPr>
      <w:r>
        <w:rPr>
          <w:rtl/>
        </w:rPr>
        <w:t>(6).</w:t>
      </w:r>
      <w:r w:rsidRPr="00132E65">
        <w:rPr>
          <w:rtl/>
        </w:rPr>
        <w:t xml:space="preserve"> هكذا في حاشية « ج ، جر » و</w:t>
      </w:r>
      <w:r w:rsidRPr="009D1ACE">
        <w:rPr>
          <w:rStyle w:val="libFootnoteBoldChar"/>
          <w:rtl/>
        </w:rPr>
        <w:t>الوافي</w:t>
      </w:r>
      <w:r w:rsidRPr="00132E65">
        <w:rPr>
          <w:rtl/>
        </w:rPr>
        <w:t xml:space="preserve"> ، وهكذا نقله الأردبيلي في </w:t>
      </w:r>
      <w:r w:rsidRPr="003C1E35">
        <w:rPr>
          <w:rtl/>
        </w:rPr>
        <w:t>جامع الرواة</w:t>
      </w:r>
      <w:r w:rsidRPr="00132E65">
        <w:rPr>
          <w:rtl/>
        </w:rPr>
        <w:t xml:space="preserve"> ، ج 1 ، ص 504 من نسخة. وفي متن النسخ وفي المطبوع : « الجعفري »</w:t>
      </w:r>
      <w:r>
        <w:rPr>
          <w:rtl/>
        </w:rPr>
        <w:t>.</w:t>
      </w:r>
    </w:p>
    <w:p w:rsidR="000C39D1" w:rsidRPr="00132E65" w:rsidRDefault="000C39D1" w:rsidP="000C39D1">
      <w:pPr>
        <w:pStyle w:val="libFootnote0"/>
        <w:rPr>
          <w:rtl/>
          <w:lang w:bidi="fa-IR"/>
        </w:rPr>
      </w:pPr>
      <w:r w:rsidRPr="0046781C">
        <w:rPr>
          <w:rtl/>
        </w:rPr>
        <w:t xml:space="preserve">هذا ، وقد روى صالح بن عقبة عن عبد الله بن محمّد الجعفي في بعض الأسناد ، والجعفي هو المذكور في كتب الرجال ، راجع : </w:t>
      </w:r>
      <w:r w:rsidRPr="003C1E35">
        <w:rPr>
          <w:rtl/>
        </w:rPr>
        <w:t>رجال البرقي</w:t>
      </w:r>
      <w:r w:rsidRPr="0046781C">
        <w:rPr>
          <w:rtl/>
        </w:rPr>
        <w:t xml:space="preserve"> ، ص 10 ؛ </w:t>
      </w:r>
      <w:r w:rsidRPr="003C1E35">
        <w:rPr>
          <w:rtl/>
        </w:rPr>
        <w:t>رجال الطوسي</w:t>
      </w:r>
      <w:r w:rsidRPr="0046781C">
        <w:rPr>
          <w:rtl/>
        </w:rPr>
        <w:t xml:space="preserve"> ، ص 118 ، الرقم 1198 ؛ وص 139 ، الرقم 1473 ؛ وص 231 ، الرقم 3133 ؛ </w:t>
      </w:r>
      <w:r w:rsidRPr="003C1E35">
        <w:rPr>
          <w:rtl/>
        </w:rPr>
        <w:t>معجم رجال الحديث</w:t>
      </w:r>
      <w:r w:rsidRPr="0046781C">
        <w:rPr>
          <w:rtl/>
        </w:rPr>
        <w:t xml:space="preserve"> ، ج 10 ، ص 497.</w:t>
      </w:r>
    </w:p>
    <w:p w:rsidR="000C39D1" w:rsidRPr="00132E65" w:rsidRDefault="000C39D1" w:rsidP="00F605FF">
      <w:pPr>
        <w:pStyle w:val="libFootnote0"/>
        <w:rPr>
          <w:rtl/>
          <w:lang w:bidi="fa-IR"/>
        </w:rPr>
      </w:pPr>
      <w:r w:rsidRPr="0046781C">
        <w:rPr>
          <w:rtl/>
        </w:rPr>
        <w:t xml:space="preserve">ثمّ إنّ الخبر يأتي في </w:t>
      </w:r>
      <w:r w:rsidRPr="000577A7">
        <w:rPr>
          <w:rStyle w:val="libFootnoteBoldChar"/>
          <w:rtl/>
        </w:rPr>
        <w:t>الكافي</w:t>
      </w:r>
      <w:r w:rsidRPr="0046781C">
        <w:rPr>
          <w:rtl/>
        </w:rPr>
        <w:t xml:space="preserve"> ، ح 1461 بنفس الإسناد عن صالح بن عقبة ، عن عبدالله بن محمّد الجعفي وعُقبةَ جميعاً عن أبي جعفر </w:t>
      </w:r>
      <w:r w:rsidR="00F605FF" w:rsidRPr="002B746F">
        <w:rPr>
          <w:rStyle w:val="libFootnoteAlaemChar"/>
          <w:rtl/>
        </w:rPr>
        <w:t>عليه‌السلام</w:t>
      </w:r>
      <w:r w:rsidRPr="0046781C">
        <w:rPr>
          <w:rtl/>
        </w:rPr>
        <w:t xml:space="preserve">. وورد الخبر في </w:t>
      </w:r>
      <w:r w:rsidRPr="007A1104">
        <w:rPr>
          <w:rStyle w:val="libFootnoteBoldChar"/>
          <w:rtl/>
        </w:rPr>
        <w:t>بصائر الدرجات</w:t>
      </w:r>
      <w:r w:rsidRPr="0046781C">
        <w:rPr>
          <w:rtl/>
        </w:rPr>
        <w:t xml:space="preserve"> ، ص 80 ، ح 1 ، و</w:t>
      </w:r>
      <w:r w:rsidRPr="003C1E35">
        <w:rPr>
          <w:rtl/>
        </w:rPr>
        <w:t>علل الشرائع</w:t>
      </w:r>
      <w:r w:rsidRPr="0046781C">
        <w:rPr>
          <w:rtl/>
        </w:rPr>
        <w:t xml:space="preserve"> ، ص 118 ، ح 3 ، </w:t>
      </w:r>
      <w:r w:rsidRPr="003C1E35">
        <w:rPr>
          <w:rtl/>
        </w:rPr>
        <w:t>وتفسير العيّاشي</w:t>
      </w:r>
      <w:r w:rsidRPr="0046781C">
        <w:rPr>
          <w:rtl/>
        </w:rPr>
        <w:t xml:space="preserve"> ، ج 2 ، ص 126 ، ح 37 ، وفي الجميع : « عبدالله بن محمّد الجعفي »</w:t>
      </w:r>
      <w:r>
        <w:rPr>
          <w:rtl/>
        </w:rPr>
        <w:t>.</w:t>
      </w:r>
    </w:p>
    <w:p w:rsidR="000C39D1" w:rsidRDefault="000C39D1" w:rsidP="000C39D1">
      <w:pPr>
        <w:pStyle w:val="libCenter"/>
        <w:rPr>
          <w:rtl/>
          <w:lang w:bidi="fa-IR"/>
        </w:rPr>
      </w:pPr>
      <w:r>
        <w:rPr>
          <w:rtl/>
          <w:lang w:bidi="fa-IR"/>
        </w:rPr>
        <w:br w:type="page"/>
      </w:r>
    </w:p>
    <w:p w:rsidR="000C39D1" w:rsidRPr="00132E65" w:rsidRDefault="000C39D1" w:rsidP="000C39D1">
      <w:pPr>
        <w:pStyle w:val="libCenter"/>
        <w:rPr>
          <w:rtl/>
          <w:lang w:bidi="fa-IR"/>
        </w:rPr>
      </w:pPr>
      <w:r w:rsidRPr="00132E65">
        <w:rPr>
          <w:rtl/>
          <w:lang w:bidi="fa-IR"/>
        </w:rPr>
        <w:t>وَ</w:t>
      </w:r>
      <w:r>
        <w:rPr>
          <w:rFonts w:hint="cs"/>
          <w:rtl/>
          <w:lang w:bidi="fa-IR"/>
        </w:rPr>
        <w:t xml:space="preserve"> </w:t>
      </w:r>
      <w:r>
        <w:rPr>
          <w:rStyle w:val="libFootnotenumChar"/>
          <w:rtl/>
        </w:rPr>
        <w:t>(1)</w:t>
      </w:r>
      <w:r w:rsidRPr="00132E65">
        <w:rPr>
          <w:rtl/>
          <w:lang w:bidi="fa-IR"/>
        </w:rPr>
        <w:t xml:space="preserve"> عَنْ عُقْبَةَ : عَنْ أَبِي جَعْفَرٍ </w:t>
      </w:r>
      <w:r w:rsidRPr="00071CF9">
        <w:rPr>
          <w:rStyle w:val="libAlaemChar"/>
          <w:rtl/>
        </w:rPr>
        <w:t>عليه‌السلام</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 إِنَّ اللهَ خَلَقَ الْخَلْقَ ، فَخَلَقَ مَا </w:t>
      </w:r>
      <w:r>
        <w:rPr>
          <w:rStyle w:val="libFootnotenumChar"/>
          <w:rtl/>
        </w:rPr>
        <w:t>(2)</w:t>
      </w:r>
      <w:r w:rsidRPr="00132E65">
        <w:rPr>
          <w:rtl/>
          <w:lang w:bidi="fa-IR"/>
        </w:rPr>
        <w:t xml:space="preserve"> أَحَبَّ مِمَّا أَحَبَّ ، و</w:t>
      </w:r>
      <w:r>
        <w:rPr>
          <w:rFonts w:hint="cs"/>
          <w:rtl/>
          <w:lang w:bidi="fa-IR"/>
        </w:rPr>
        <w:t xml:space="preserve"> </w:t>
      </w:r>
      <w:r>
        <w:rPr>
          <w:rStyle w:val="libFootnotenumChar"/>
          <w:rtl/>
        </w:rPr>
        <w:t>(3)</w:t>
      </w:r>
      <w:r w:rsidRPr="00132E65">
        <w:rPr>
          <w:rtl/>
          <w:lang w:bidi="fa-IR"/>
        </w:rPr>
        <w:t xml:space="preserve"> كَانَ مَا </w:t>
      </w:r>
      <w:r>
        <w:rPr>
          <w:rStyle w:val="libFootnotenumChar"/>
          <w:rtl/>
        </w:rPr>
        <w:t>(4)</w:t>
      </w:r>
      <w:r w:rsidRPr="00132E65">
        <w:rPr>
          <w:rtl/>
          <w:lang w:bidi="fa-IR"/>
        </w:rPr>
        <w:t xml:space="preserve"> أَحَبَّ أَنْ خَلَقَهُ </w:t>
      </w:r>
      <w:r>
        <w:rPr>
          <w:rStyle w:val="libFootnotenumChar"/>
          <w:rtl/>
        </w:rPr>
        <w:t>(5)</w:t>
      </w:r>
      <w:r w:rsidRPr="00132E65">
        <w:rPr>
          <w:rtl/>
          <w:lang w:bidi="fa-IR"/>
        </w:rPr>
        <w:t xml:space="preserve"> مِنْ طِينَةِ </w:t>
      </w:r>
      <w:r>
        <w:rPr>
          <w:rStyle w:val="libFootnotenumChar"/>
          <w:rtl/>
        </w:rPr>
        <w:t>(6)</w:t>
      </w:r>
      <w:r w:rsidRPr="00132E65">
        <w:rPr>
          <w:rtl/>
          <w:lang w:bidi="fa-IR"/>
        </w:rPr>
        <w:t xml:space="preserve"> الْجَنَّةِ ، وخَلَقَ مَا </w:t>
      </w:r>
      <w:r>
        <w:rPr>
          <w:rStyle w:val="libFootnotenumChar"/>
          <w:rtl/>
        </w:rPr>
        <w:t>(7)</w:t>
      </w:r>
      <w:r w:rsidRPr="00132E65">
        <w:rPr>
          <w:rtl/>
          <w:lang w:bidi="fa-IR"/>
        </w:rPr>
        <w:t xml:space="preserve"> أَبْغَضَ مِمَّا أَبْغَضَ </w:t>
      </w:r>
      <w:r>
        <w:rPr>
          <w:rStyle w:val="libFootnotenumChar"/>
          <w:rtl/>
        </w:rPr>
        <w:t>(8)</w:t>
      </w:r>
      <w:r w:rsidRPr="00132E65">
        <w:rPr>
          <w:rtl/>
          <w:lang w:bidi="fa-IR"/>
        </w:rPr>
        <w:t xml:space="preserve"> ، وكَانَ </w:t>
      </w:r>
      <w:r>
        <w:rPr>
          <w:rStyle w:val="libFootnotenumChar"/>
          <w:rtl/>
        </w:rPr>
        <w:t>(9)</w:t>
      </w:r>
      <w:r w:rsidRPr="00132E65">
        <w:rPr>
          <w:rtl/>
          <w:lang w:bidi="fa-IR"/>
        </w:rPr>
        <w:t xml:space="preserve"> مَا أَبْغَضَ أَنْ خَلَقَهُ </w:t>
      </w:r>
      <w:r>
        <w:rPr>
          <w:rStyle w:val="libFootnotenumChar"/>
          <w:rtl/>
        </w:rPr>
        <w:t>(10)</w:t>
      </w:r>
      <w:r w:rsidRPr="00132E65">
        <w:rPr>
          <w:rtl/>
          <w:lang w:bidi="fa-IR"/>
        </w:rPr>
        <w:t xml:space="preserve"> مِنْ طِينَةِ </w:t>
      </w:r>
      <w:r>
        <w:rPr>
          <w:rStyle w:val="libFootnotenumChar"/>
          <w:rtl/>
        </w:rPr>
        <w:t>(11)</w:t>
      </w:r>
      <w:r w:rsidRPr="00132E65">
        <w:rPr>
          <w:rtl/>
          <w:lang w:bidi="fa-IR"/>
        </w:rPr>
        <w:t xml:space="preserve"> النَّارِ ، ثُمَّ بَعَثَهُمْ فِي الظِّلَالِ »</w:t>
      </w:r>
      <w:r>
        <w:rPr>
          <w:rtl/>
          <w:lang w:bidi="fa-IR"/>
        </w:rPr>
        <w:t>.</w:t>
      </w:r>
    </w:p>
    <w:p w:rsidR="000C39D1" w:rsidRPr="00132E65" w:rsidRDefault="000C39D1" w:rsidP="000C39D1">
      <w:pPr>
        <w:pStyle w:val="libNormal"/>
        <w:rPr>
          <w:rtl/>
          <w:lang w:bidi="fa-IR"/>
        </w:rPr>
      </w:pPr>
      <w:r w:rsidRPr="00132E65">
        <w:rPr>
          <w:rtl/>
          <w:lang w:bidi="fa-IR"/>
        </w:rPr>
        <w:t>فَقُلْتُ : وأَيُّ شَيْ‌ءٍ الظِّلَالُ</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(12)</w:t>
      </w:r>
      <w:r>
        <w:rPr>
          <w:rtl/>
          <w:lang w:bidi="fa-IR"/>
        </w:rPr>
        <w:t xml:space="preserve"> : « أَ</w:t>
      </w:r>
      <w:r w:rsidRPr="00132E65">
        <w:rPr>
          <w:rtl/>
          <w:lang w:bidi="fa-IR"/>
        </w:rPr>
        <w:t xml:space="preserve">لَمْ تَرَ إِلى ظِلِّكَ </w:t>
      </w:r>
      <w:r w:rsidRPr="00F543F1">
        <w:rPr>
          <w:rStyle w:val="libFootnotenumChar"/>
          <w:rtl/>
        </w:rPr>
        <w:t>(13)</w:t>
      </w:r>
      <w:r w:rsidRPr="00132E65">
        <w:rPr>
          <w:rtl/>
          <w:lang w:bidi="fa-IR"/>
        </w:rPr>
        <w:t xml:space="preserve"> فِي الشَّمْسِ شَيْ‌ءٌ ، ولَيْسَ بِشَيْ‌ءٍ ، ثُمَّ بَعَثَ اللهُ </w:t>
      </w:r>
      <w:r w:rsidRPr="00F543F1">
        <w:rPr>
          <w:rStyle w:val="libFootnotenumChar"/>
          <w:rtl/>
        </w:rPr>
        <w:t>(14)</w:t>
      </w:r>
      <w:r w:rsidRPr="00132E65">
        <w:rPr>
          <w:rtl/>
          <w:lang w:bidi="fa-IR"/>
        </w:rPr>
        <w:t xml:space="preserve"> فِيهِمُ </w:t>
      </w:r>
      <w:r w:rsidRPr="00F543F1">
        <w:rPr>
          <w:rStyle w:val="libFootnotenumChar"/>
          <w:rtl/>
        </w:rPr>
        <w:t>(15)</w:t>
      </w:r>
      <w:r w:rsidRPr="00132E65">
        <w:rPr>
          <w:rtl/>
          <w:lang w:bidi="fa-IR"/>
        </w:rPr>
        <w:t xml:space="preserve"> النَّبِيِّينَ يَدْعُونَهُمْ </w:t>
      </w:r>
      <w:r w:rsidRPr="00F543F1">
        <w:rPr>
          <w:rStyle w:val="libFootnotenumChar"/>
          <w:rtl/>
        </w:rPr>
        <w:t>(16)</w:t>
      </w:r>
      <w:r w:rsidRPr="00132E65">
        <w:rPr>
          <w:rtl/>
          <w:lang w:bidi="fa-IR"/>
        </w:rPr>
        <w:t xml:space="preserve"> إِلَى الْإِقْرَارِ بِاللهِ ، وهُوَ قَوْلُهُ : </w:t>
      </w:r>
      <w:r w:rsidRPr="00071CF9">
        <w:rPr>
          <w:rStyle w:val="libAlaemChar"/>
          <w:rtl/>
        </w:rPr>
        <w:t>(</w:t>
      </w:r>
      <w:r w:rsidRPr="00071CF9">
        <w:rPr>
          <w:rStyle w:val="libAieChar"/>
          <w:rtl/>
        </w:rPr>
        <w:t xml:space="preserve"> وَلَئِنْ سَأَلْتَهُمْ مَنْ خَلَقَهُمْ لَيَقُولُنَّ اللهُ </w:t>
      </w:r>
      <w:r w:rsidRPr="00071CF9">
        <w:rPr>
          <w:rStyle w:val="libAlaemChar"/>
          <w:rtl/>
        </w:rPr>
        <w:t>)</w:t>
      </w:r>
      <w:r w:rsidRPr="00132E65">
        <w:rPr>
          <w:rtl/>
          <w:lang w:bidi="fa-IR"/>
        </w:rPr>
        <w:t xml:space="preserve"> </w:t>
      </w:r>
      <w:r w:rsidRPr="00F543F1">
        <w:rPr>
          <w:rStyle w:val="libFootnotenumChar"/>
          <w:rtl/>
        </w:rPr>
        <w:t>(17)</w:t>
      </w:r>
      <w:r w:rsidRPr="00132E65">
        <w:rPr>
          <w:rtl/>
          <w:lang w:bidi="fa-IR"/>
        </w:rPr>
        <w:t xml:space="preserve"> ثُمَّ دَعَاهُمْ </w:t>
      </w:r>
      <w:r w:rsidRPr="00F543F1">
        <w:rPr>
          <w:rStyle w:val="libFootnotenumChar"/>
          <w:rtl/>
        </w:rPr>
        <w:t>(18)</w:t>
      </w:r>
      <w:r w:rsidRPr="00132E65">
        <w:rPr>
          <w:rtl/>
          <w:lang w:bidi="fa-IR"/>
        </w:rPr>
        <w:t xml:space="preserve"> إِلَى الْإِقْرَارِ بِالنَّبِيِّينَ ، فَأَقَرَّ بَعْضُهُمْ </w:t>
      </w:r>
      <w:r w:rsidRPr="00F543F1">
        <w:rPr>
          <w:rStyle w:val="libFootnotenumChar"/>
          <w:rtl/>
        </w:rPr>
        <w:t>(19)</w:t>
      </w:r>
      <w:r w:rsidRPr="00132E65">
        <w:rPr>
          <w:rtl/>
          <w:lang w:bidi="fa-IR"/>
        </w:rPr>
        <w:t xml:space="preserve"> ، وأَنْكَرَ بَعْضُهُمْ </w:t>
      </w:r>
      <w:r w:rsidRPr="00F543F1">
        <w:rPr>
          <w:rStyle w:val="libFootnotenumChar"/>
          <w:rtl/>
        </w:rPr>
        <w:t>(20)</w:t>
      </w:r>
      <w:r w:rsidRPr="00132E65">
        <w:rPr>
          <w:rtl/>
          <w:lang w:bidi="fa-IR"/>
        </w:rPr>
        <w:t xml:space="preserve"> ، ثُمَّ‌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السند تحويل بعطف « عقبة عن أبي جعفر </w:t>
      </w:r>
      <w:r w:rsidRPr="00F605FF">
        <w:rPr>
          <w:rStyle w:val="libFootnoteAlaemChar"/>
          <w:rtl/>
        </w:rPr>
        <w:t>عليه‌السلام</w:t>
      </w:r>
      <w:r w:rsidRPr="00132E65">
        <w:rPr>
          <w:rtl/>
        </w:rPr>
        <w:t xml:space="preserve"> » على « عبد الله بن محمّد الجعفي عن أبي جعفر </w:t>
      </w:r>
      <w:r w:rsidRPr="00F605FF">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0577A7">
        <w:rPr>
          <w:rStyle w:val="libFootnoteBoldChar"/>
          <w:rtl/>
        </w:rPr>
        <w:t>الكافي</w:t>
      </w:r>
      <w:r w:rsidRPr="00132E65">
        <w:rPr>
          <w:rtl/>
        </w:rPr>
        <w:t xml:space="preserve"> ، ح 1461 ، و</w:t>
      </w:r>
      <w:r w:rsidRPr="009D1ACE">
        <w:rPr>
          <w:rStyle w:val="libFootnoteBoldChar"/>
          <w:rtl/>
        </w:rPr>
        <w:t>الوافي</w:t>
      </w:r>
      <w:r w:rsidRPr="00132E65">
        <w:rPr>
          <w:rtl/>
        </w:rPr>
        <w:t xml:space="preserve"> والبصائر والعلل وتفسير العيّاشي والبحار : « من »</w:t>
      </w:r>
      <w:r>
        <w:rPr>
          <w:rtl/>
        </w:rPr>
        <w:t>.</w:t>
      </w:r>
    </w:p>
    <w:tbl>
      <w:tblPr>
        <w:tblStyle w:val="TableGrid"/>
        <w:bidiVisual/>
        <w:tblW w:w="0" w:type="auto"/>
        <w:tblLook w:val="04A0" w:firstRow="1" w:lastRow="0" w:firstColumn="1" w:lastColumn="0" w:noHBand="0" w:noVBand="1"/>
      </w:tblPr>
      <w:tblGrid>
        <w:gridCol w:w="4006"/>
        <w:gridCol w:w="4006"/>
      </w:tblGrid>
      <w:tr w:rsidR="00F605FF" w:rsidTr="00F605FF">
        <w:tc>
          <w:tcPr>
            <w:tcW w:w="4006" w:type="dxa"/>
          </w:tcPr>
          <w:p w:rsidR="00F605FF" w:rsidRDefault="00F605FF" w:rsidP="000C39D1">
            <w:pPr>
              <w:pStyle w:val="libFootnote0"/>
              <w:rPr>
                <w:rtl/>
              </w:rPr>
            </w:pPr>
            <w:r>
              <w:rPr>
                <w:rtl/>
              </w:rPr>
              <w:t>(3).</w:t>
            </w:r>
            <w:r w:rsidRPr="00132E65">
              <w:rPr>
                <w:rtl/>
              </w:rPr>
              <w:t xml:space="preserve"> في « بح » </w:t>
            </w:r>
            <w:r>
              <w:rPr>
                <w:rtl/>
              </w:rPr>
              <w:t xml:space="preserve">: - </w:t>
            </w:r>
            <w:r w:rsidRPr="00132E65">
              <w:rPr>
                <w:rtl/>
              </w:rPr>
              <w:t>«</w:t>
            </w:r>
            <w:r>
              <w:rPr>
                <w:rtl/>
              </w:rPr>
              <w:t xml:space="preserve"> و ».</w:t>
            </w:r>
          </w:p>
        </w:tc>
        <w:tc>
          <w:tcPr>
            <w:tcW w:w="4006" w:type="dxa"/>
          </w:tcPr>
          <w:p w:rsidR="00F605FF" w:rsidRDefault="00F605FF" w:rsidP="000C39D1">
            <w:pPr>
              <w:pStyle w:val="libFootnote0"/>
              <w:rPr>
                <w:rtl/>
              </w:rPr>
            </w:pPr>
            <w:r>
              <w:rPr>
                <w:rtl/>
              </w:rPr>
              <w:t>(4).</w:t>
            </w:r>
            <w:r w:rsidRPr="00132E65">
              <w:rPr>
                <w:rtl/>
              </w:rPr>
              <w:t xml:space="preserve"> في البصائر </w:t>
            </w:r>
            <w:r>
              <w:rPr>
                <w:rtl/>
              </w:rPr>
              <w:t xml:space="preserve">: - </w:t>
            </w:r>
            <w:r w:rsidRPr="00132E65">
              <w:rPr>
                <w:rtl/>
              </w:rPr>
              <w:t>« ما »</w:t>
            </w:r>
            <w:r>
              <w:rPr>
                <w:rtl/>
              </w:rPr>
              <w:t>.</w:t>
            </w:r>
          </w:p>
        </w:tc>
      </w:tr>
      <w:tr w:rsidR="00F605FF" w:rsidTr="00F605FF">
        <w:tc>
          <w:tcPr>
            <w:tcW w:w="4006" w:type="dxa"/>
          </w:tcPr>
          <w:p w:rsidR="00F605FF" w:rsidRDefault="00F605FF" w:rsidP="000C39D1">
            <w:pPr>
              <w:pStyle w:val="libFootnote0"/>
              <w:rPr>
                <w:rtl/>
              </w:rPr>
            </w:pPr>
            <w:r>
              <w:rPr>
                <w:rtl/>
              </w:rPr>
              <w:t>(5).</w:t>
            </w:r>
            <w:r w:rsidRPr="00132E65">
              <w:rPr>
                <w:rtl/>
              </w:rPr>
              <w:t xml:space="preserve"> في البصائر : « يخلقه »</w:t>
            </w:r>
            <w:r>
              <w:rPr>
                <w:rtl/>
              </w:rPr>
              <w:t>.</w:t>
            </w:r>
          </w:p>
        </w:tc>
        <w:tc>
          <w:tcPr>
            <w:tcW w:w="4006" w:type="dxa"/>
          </w:tcPr>
          <w:p w:rsidR="00F605FF" w:rsidRDefault="00F605FF" w:rsidP="000C39D1">
            <w:pPr>
              <w:pStyle w:val="libFootnote0"/>
              <w:rPr>
                <w:rtl/>
              </w:rPr>
            </w:pPr>
            <w:r>
              <w:rPr>
                <w:rtl/>
              </w:rPr>
              <w:t>(6).</w:t>
            </w:r>
            <w:r w:rsidRPr="00132E65">
              <w:rPr>
                <w:rtl/>
              </w:rPr>
              <w:t xml:space="preserve"> في « ج ، بف » وتفسير العيّاشي :</w:t>
            </w:r>
            <w:r>
              <w:rPr>
                <w:rtl/>
              </w:rPr>
              <w:t xml:space="preserve"> + </w:t>
            </w:r>
            <w:r w:rsidRPr="00132E65">
              <w:rPr>
                <w:rtl/>
              </w:rPr>
              <w:t>« من »</w:t>
            </w:r>
            <w:r>
              <w:rPr>
                <w:rtl/>
              </w:rPr>
              <w:t>.</w:t>
            </w:r>
          </w:p>
        </w:tc>
      </w:tr>
    </w:tbl>
    <w:p w:rsidR="000C39D1" w:rsidRPr="00132E65" w:rsidRDefault="000C39D1" w:rsidP="00F605FF">
      <w:pPr>
        <w:pStyle w:val="libFootnote0"/>
        <w:rPr>
          <w:rtl/>
          <w:lang w:bidi="fa-IR"/>
        </w:rPr>
      </w:pPr>
      <w:r>
        <w:rPr>
          <w:rtl/>
        </w:rPr>
        <w:t>(7).</w:t>
      </w:r>
      <w:r w:rsidRPr="00132E65">
        <w:rPr>
          <w:rtl/>
        </w:rPr>
        <w:t xml:space="preserve"> في « ب ، ض ، ف ، بح ، بس » وحاشية « بر » و</w:t>
      </w:r>
      <w:r w:rsidRPr="000577A7">
        <w:rPr>
          <w:rStyle w:val="libFootnoteBoldChar"/>
          <w:rtl/>
        </w:rPr>
        <w:t>الكافي</w:t>
      </w:r>
      <w:r w:rsidRPr="00132E65">
        <w:rPr>
          <w:rtl/>
        </w:rPr>
        <w:t xml:space="preserve"> ، ح 1461 و</w:t>
      </w:r>
      <w:r w:rsidRPr="009D1ACE">
        <w:rPr>
          <w:rStyle w:val="libFootnoteBoldChar"/>
          <w:rtl/>
        </w:rPr>
        <w:t>الوافي</w:t>
      </w:r>
      <w:r w:rsidRPr="00132E65">
        <w:rPr>
          <w:rtl/>
        </w:rPr>
        <w:t xml:space="preserve"> والبصائر والعلل وتفسير العيّاشي : « من »</w:t>
      </w:r>
      <w:r>
        <w:rPr>
          <w:rtl/>
        </w:rPr>
        <w:t>.</w:t>
      </w:r>
      <w:r w:rsidR="00F605FF">
        <w:rPr>
          <w:rFonts w:hint="cs"/>
          <w:rtl/>
        </w:rPr>
        <w:t xml:space="preserve">                                    </w:t>
      </w:r>
      <w:r w:rsidR="00936037">
        <w:rPr>
          <w:rFonts w:hint="cs"/>
          <w:rtl/>
        </w:rPr>
        <w:t xml:space="preserve">           </w:t>
      </w:r>
      <w:r w:rsidR="00F605FF">
        <w:rPr>
          <w:rFonts w:hint="cs"/>
          <w:rtl/>
        </w:rPr>
        <w:t xml:space="preserve">   </w:t>
      </w:r>
      <w:r>
        <w:rPr>
          <w:rtl/>
        </w:rPr>
        <w:t>(8).</w:t>
      </w:r>
      <w:r w:rsidRPr="00132E65">
        <w:rPr>
          <w:rtl/>
        </w:rPr>
        <w:t xml:space="preserve"> في « بف » </w:t>
      </w:r>
      <w:r>
        <w:rPr>
          <w:rtl/>
        </w:rPr>
        <w:t xml:space="preserve">: - </w:t>
      </w:r>
      <w:r w:rsidRPr="00132E65">
        <w:rPr>
          <w:rtl/>
        </w:rPr>
        <w:t>« وخلق ما أبغض ممّا أبغض »</w:t>
      </w:r>
      <w:r>
        <w:rPr>
          <w:rtl/>
        </w:rPr>
        <w:t>.</w:t>
      </w:r>
    </w:p>
    <w:tbl>
      <w:tblPr>
        <w:tblStyle w:val="TableGrid"/>
        <w:bidiVisual/>
        <w:tblW w:w="0" w:type="auto"/>
        <w:tblLook w:val="04A0" w:firstRow="1" w:lastRow="0" w:firstColumn="1" w:lastColumn="0" w:noHBand="0" w:noVBand="1"/>
      </w:tblPr>
      <w:tblGrid>
        <w:gridCol w:w="4006"/>
        <w:gridCol w:w="4006"/>
      </w:tblGrid>
      <w:tr w:rsidR="00F605FF" w:rsidTr="00F605FF">
        <w:tc>
          <w:tcPr>
            <w:tcW w:w="4006" w:type="dxa"/>
          </w:tcPr>
          <w:p w:rsidR="00F605FF" w:rsidRDefault="00F605FF" w:rsidP="000C39D1">
            <w:pPr>
              <w:pStyle w:val="libFootnote0"/>
              <w:rPr>
                <w:rtl/>
              </w:rPr>
            </w:pPr>
            <w:r>
              <w:rPr>
                <w:rtl/>
              </w:rPr>
              <w:t>(9).</w:t>
            </w:r>
            <w:r w:rsidRPr="00132E65">
              <w:rPr>
                <w:rtl/>
              </w:rPr>
              <w:t xml:space="preserve"> في البحار : « فكان »</w:t>
            </w:r>
            <w:r>
              <w:rPr>
                <w:rtl/>
              </w:rPr>
              <w:t>.</w:t>
            </w:r>
          </w:p>
        </w:tc>
        <w:tc>
          <w:tcPr>
            <w:tcW w:w="4006" w:type="dxa"/>
          </w:tcPr>
          <w:p w:rsidR="00F605FF" w:rsidRDefault="00F605FF" w:rsidP="000C39D1">
            <w:pPr>
              <w:pStyle w:val="libFootnote0"/>
              <w:rPr>
                <w:rtl/>
              </w:rPr>
            </w:pPr>
            <w:r>
              <w:rPr>
                <w:rtl/>
              </w:rPr>
              <w:t>(10).</w:t>
            </w:r>
            <w:r w:rsidRPr="00132E65">
              <w:rPr>
                <w:rtl/>
              </w:rPr>
              <w:t xml:space="preserve"> في البصائر : « يخلقه »</w:t>
            </w:r>
            <w:r>
              <w:rPr>
                <w:rtl/>
              </w:rPr>
              <w:t>.</w:t>
            </w:r>
          </w:p>
        </w:tc>
      </w:tr>
    </w:tbl>
    <w:p w:rsidR="000C39D1" w:rsidRPr="00132E65" w:rsidRDefault="000C39D1" w:rsidP="000C39D1">
      <w:pPr>
        <w:pStyle w:val="libFootnote0"/>
        <w:rPr>
          <w:rtl/>
          <w:lang w:bidi="fa-IR"/>
        </w:rPr>
      </w:pPr>
      <w:r>
        <w:rPr>
          <w:rtl/>
        </w:rPr>
        <w:t>(11).</w:t>
      </w:r>
      <w:r w:rsidRPr="00132E65">
        <w:rPr>
          <w:rtl/>
        </w:rPr>
        <w:t xml:space="preserve"> في « بف »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0577A7">
        <w:rPr>
          <w:rStyle w:val="libFootnoteBoldChar"/>
          <w:rtl/>
        </w:rPr>
        <w:t>الكافي</w:t>
      </w:r>
      <w:r w:rsidRPr="00132E65">
        <w:rPr>
          <w:rtl/>
        </w:rPr>
        <w:t xml:space="preserve"> ، ح 1461 ، والبحار والعلل وتفسير العيّاشي : « فقال »</w:t>
      </w:r>
      <w:r>
        <w:rPr>
          <w:rtl/>
        </w:rPr>
        <w:t>.</w:t>
      </w:r>
    </w:p>
    <w:p w:rsidR="000C39D1" w:rsidRPr="00132E65" w:rsidRDefault="000C39D1" w:rsidP="000C39D1">
      <w:pPr>
        <w:pStyle w:val="libFootnote0"/>
        <w:rPr>
          <w:rtl/>
          <w:lang w:bidi="fa-IR"/>
        </w:rPr>
      </w:pPr>
      <w:r>
        <w:rPr>
          <w:rtl/>
        </w:rPr>
        <w:t>(13)</w:t>
      </w:r>
      <w:r w:rsidRPr="00132E65">
        <w:rPr>
          <w:rtl/>
        </w:rPr>
        <w:t xml:space="preserve"> في حاشية « بف » : « ظلّ »</w:t>
      </w:r>
      <w:r>
        <w:rPr>
          <w:rtl/>
        </w:rPr>
        <w:t>.</w:t>
      </w:r>
      <w:r w:rsidRPr="00132E65">
        <w:rPr>
          <w:rtl/>
        </w:rPr>
        <w:t xml:space="preserve"> وفي البصائر : « إذا ظلل » بدل « إلى ظلّك »</w:t>
      </w:r>
      <w:r>
        <w:rPr>
          <w:rtl/>
        </w:rPr>
        <w:t>.</w:t>
      </w:r>
    </w:p>
    <w:p w:rsidR="000C39D1" w:rsidRPr="00132E65" w:rsidRDefault="000C39D1" w:rsidP="000C39D1">
      <w:pPr>
        <w:pStyle w:val="libFootnote0"/>
        <w:rPr>
          <w:rtl/>
          <w:lang w:bidi="fa-IR"/>
        </w:rPr>
      </w:pPr>
      <w:r>
        <w:rPr>
          <w:rtl/>
        </w:rPr>
        <w:t>(14)</w:t>
      </w:r>
      <w:r w:rsidRPr="00132E65">
        <w:rPr>
          <w:rtl/>
        </w:rPr>
        <w:t xml:space="preserve"> في </w:t>
      </w:r>
      <w:r w:rsidRPr="000577A7">
        <w:rPr>
          <w:rStyle w:val="libFootnoteBoldChar"/>
          <w:rtl/>
        </w:rPr>
        <w:t>الكافي</w:t>
      </w:r>
      <w:r w:rsidRPr="00132E65">
        <w:rPr>
          <w:rtl/>
        </w:rPr>
        <w:t xml:space="preserve"> ، ح 1461 والبحار والبصائر والعلل وتفسير العيّاشي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(15)</w:t>
      </w:r>
      <w:r w:rsidRPr="00132E65">
        <w:rPr>
          <w:rtl/>
        </w:rPr>
        <w:t xml:space="preserve"> في </w:t>
      </w:r>
      <w:r w:rsidRPr="000577A7">
        <w:rPr>
          <w:rStyle w:val="libFootnoteBoldChar"/>
          <w:rtl/>
        </w:rPr>
        <w:t>الكافي</w:t>
      </w:r>
      <w:r w:rsidRPr="00132E65">
        <w:rPr>
          <w:rtl/>
        </w:rPr>
        <w:t xml:space="preserve"> ، ح 1461 ، والعلل : « منهم »</w:t>
      </w:r>
      <w:r>
        <w:rPr>
          <w:rtl/>
        </w:rPr>
        <w:t>.</w:t>
      </w:r>
    </w:p>
    <w:p w:rsidR="000C39D1" w:rsidRPr="00132E65" w:rsidRDefault="000C39D1" w:rsidP="000C39D1">
      <w:pPr>
        <w:pStyle w:val="libFootnote0"/>
        <w:rPr>
          <w:rtl/>
          <w:lang w:bidi="fa-IR"/>
        </w:rPr>
      </w:pPr>
      <w:r>
        <w:rPr>
          <w:rtl/>
        </w:rPr>
        <w:t>(16)</w:t>
      </w:r>
      <w:r w:rsidRPr="00132E65">
        <w:rPr>
          <w:rtl/>
        </w:rPr>
        <w:t xml:space="preserve"> في « ب ، ض ، بح ، بس » وحاشية « ف » وشرح المازندراني و</w:t>
      </w:r>
      <w:r w:rsidRPr="009D1ACE">
        <w:rPr>
          <w:rStyle w:val="libFootnoteBoldChar"/>
          <w:rtl/>
        </w:rPr>
        <w:t>مرآة العقول</w:t>
      </w:r>
      <w:r w:rsidRPr="00132E65">
        <w:rPr>
          <w:rtl/>
        </w:rPr>
        <w:t xml:space="preserve"> : « يدعوهم »</w:t>
      </w:r>
      <w:r>
        <w:rPr>
          <w:rtl/>
        </w:rPr>
        <w:t>.</w:t>
      </w:r>
      <w:r w:rsidRPr="00132E65">
        <w:rPr>
          <w:rtl/>
        </w:rPr>
        <w:t xml:space="preserve"> وذهب المازندراني والمجلسي إلى أنّ التقدير : لأن يدعوهم. وفي </w:t>
      </w:r>
      <w:r w:rsidRPr="003C1E35">
        <w:rPr>
          <w:rtl/>
        </w:rPr>
        <w:t>النحو</w:t>
      </w:r>
      <w:r w:rsidRPr="00132E65">
        <w:rPr>
          <w:rtl/>
        </w:rPr>
        <w:t xml:space="preserve"> </w:t>
      </w:r>
      <w:r w:rsidRPr="009D1ACE">
        <w:rPr>
          <w:rStyle w:val="libFootnoteBoldChar"/>
          <w:rtl/>
        </w:rPr>
        <w:t>الوافي</w:t>
      </w:r>
      <w:r w:rsidRPr="00132E65">
        <w:rPr>
          <w:rtl/>
        </w:rPr>
        <w:t xml:space="preserve"> ، ج 1 ، ص 163 : « هنا لغة تحذف نون الرفع بلا جازم وناصب »</w:t>
      </w:r>
      <w:r>
        <w:rPr>
          <w:rtl/>
        </w:rPr>
        <w:t>.</w:t>
      </w:r>
      <w:r w:rsidRPr="00132E65">
        <w:rPr>
          <w:rtl/>
        </w:rPr>
        <w:t xml:space="preserve"> وفي </w:t>
      </w:r>
      <w:r w:rsidRPr="000577A7">
        <w:rPr>
          <w:rStyle w:val="libFootnoteBoldChar"/>
          <w:rtl/>
        </w:rPr>
        <w:t>الكافي</w:t>
      </w:r>
      <w:r w:rsidRPr="00132E65">
        <w:rPr>
          <w:rtl/>
        </w:rPr>
        <w:t xml:space="preserve"> ، ح 1461 والبحار والعلل : « فدعوهم »</w:t>
      </w:r>
      <w:r>
        <w:rPr>
          <w:rtl/>
        </w:rPr>
        <w:t>.</w:t>
      </w:r>
    </w:p>
    <w:tbl>
      <w:tblPr>
        <w:tblStyle w:val="TableGrid"/>
        <w:bidiVisual/>
        <w:tblW w:w="0" w:type="auto"/>
        <w:tblLook w:val="04A0" w:firstRow="1" w:lastRow="0" w:firstColumn="1" w:lastColumn="0" w:noHBand="0" w:noVBand="1"/>
      </w:tblPr>
      <w:tblGrid>
        <w:gridCol w:w="4006"/>
        <w:gridCol w:w="4006"/>
      </w:tblGrid>
      <w:tr w:rsidR="00F605FF" w:rsidTr="00F605FF">
        <w:tc>
          <w:tcPr>
            <w:tcW w:w="4006" w:type="dxa"/>
          </w:tcPr>
          <w:p w:rsidR="00F605FF" w:rsidRDefault="00F605FF" w:rsidP="000C39D1">
            <w:pPr>
              <w:pStyle w:val="libFootnote0"/>
              <w:rPr>
                <w:rtl/>
              </w:rPr>
            </w:pPr>
            <w:r>
              <w:rPr>
                <w:rtl/>
              </w:rPr>
              <w:t>(17)</w:t>
            </w:r>
            <w:r w:rsidRPr="00132E65">
              <w:rPr>
                <w:rtl/>
              </w:rPr>
              <w:t xml:space="preserve"> الزخرف (43) : 87.</w:t>
            </w:r>
          </w:p>
        </w:tc>
        <w:tc>
          <w:tcPr>
            <w:tcW w:w="4006" w:type="dxa"/>
          </w:tcPr>
          <w:p w:rsidR="00F605FF" w:rsidRDefault="00F605FF" w:rsidP="000C39D1">
            <w:pPr>
              <w:pStyle w:val="libFootnote0"/>
              <w:rPr>
                <w:rtl/>
              </w:rPr>
            </w:pPr>
            <w:r>
              <w:rPr>
                <w:rtl/>
              </w:rPr>
              <w:t>(18)</w:t>
            </w:r>
            <w:r w:rsidRPr="00132E65">
              <w:rPr>
                <w:rtl/>
              </w:rPr>
              <w:t xml:space="preserve"> في </w:t>
            </w:r>
            <w:r w:rsidRPr="000577A7">
              <w:rPr>
                <w:rStyle w:val="libFootnoteBoldChar"/>
                <w:rtl/>
              </w:rPr>
              <w:t>الكافي</w:t>
            </w:r>
            <w:r>
              <w:rPr>
                <w:rtl/>
              </w:rPr>
              <w:t>،ح 1461 والبحار والعلل:«دعوهم</w:t>
            </w:r>
            <w:r w:rsidRPr="00132E65">
              <w:rPr>
                <w:rtl/>
              </w:rPr>
              <w:t>»</w:t>
            </w:r>
            <w:r>
              <w:rPr>
                <w:rtl/>
              </w:rPr>
              <w:t>.</w:t>
            </w:r>
          </w:p>
        </w:tc>
      </w:tr>
    </w:tbl>
    <w:p w:rsidR="000C39D1" w:rsidRPr="00132E65" w:rsidRDefault="000C39D1" w:rsidP="000C39D1">
      <w:pPr>
        <w:pStyle w:val="libFootnote0"/>
        <w:rPr>
          <w:rtl/>
          <w:lang w:bidi="fa-IR"/>
        </w:rPr>
      </w:pPr>
      <w:r>
        <w:rPr>
          <w:rtl/>
        </w:rPr>
        <w:t>(19)</w:t>
      </w:r>
      <w:r w:rsidRPr="00132E65">
        <w:rPr>
          <w:rtl/>
        </w:rPr>
        <w:t xml:space="preserve"> في حاشية « ج » : « بعض »</w:t>
      </w:r>
      <w:r>
        <w:rPr>
          <w:rtl/>
        </w:rPr>
        <w:t>.</w:t>
      </w:r>
    </w:p>
    <w:p w:rsidR="000C39D1" w:rsidRPr="00132E65" w:rsidRDefault="000C39D1" w:rsidP="000C39D1">
      <w:pPr>
        <w:pStyle w:val="libFootnote0"/>
        <w:rPr>
          <w:rtl/>
          <w:lang w:bidi="fa-IR"/>
        </w:rPr>
      </w:pPr>
      <w:r w:rsidRPr="00132E65">
        <w:rPr>
          <w:rtl/>
        </w:rPr>
        <w:t>(20) في « ج ، بس » وحاشية « بر » و</w:t>
      </w:r>
      <w:r w:rsidRPr="000577A7">
        <w:rPr>
          <w:rStyle w:val="libFootnoteBoldChar"/>
          <w:rtl/>
        </w:rPr>
        <w:t>الكافي</w:t>
      </w:r>
      <w:r w:rsidRPr="00132E65">
        <w:rPr>
          <w:rtl/>
        </w:rPr>
        <w:t xml:space="preserve"> ، ح 1461 وتفسير العيّاشي : « بعض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F605FF">
      <w:pPr>
        <w:pStyle w:val="libNormal0"/>
        <w:tabs>
          <w:tab w:val="left" w:pos="3968"/>
        </w:tabs>
        <w:rPr>
          <w:rtl/>
          <w:lang w:bidi="fa-IR"/>
        </w:rPr>
      </w:pPr>
      <w:r w:rsidRPr="00132E65">
        <w:rPr>
          <w:rtl/>
          <w:lang w:bidi="fa-IR"/>
        </w:rPr>
        <w:t xml:space="preserve">دَعَاهُمْ </w:t>
      </w:r>
      <w:r>
        <w:rPr>
          <w:rStyle w:val="libFootnotenumChar"/>
          <w:rtl/>
        </w:rPr>
        <w:t>(1)</w:t>
      </w:r>
      <w:r w:rsidRPr="00132E65">
        <w:rPr>
          <w:rtl/>
          <w:lang w:bidi="fa-IR"/>
        </w:rPr>
        <w:t xml:space="preserve"> الى ولَايَتِنَا ، فَأَقَرَّ بِهَا</w:t>
      </w:r>
      <w:r>
        <w:rPr>
          <w:rtl/>
          <w:lang w:bidi="fa-IR"/>
        </w:rPr>
        <w:t xml:space="preserve"> - </w:t>
      </w:r>
      <w:r w:rsidRPr="00132E65">
        <w:rPr>
          <w:rtl/>
          <w:lang w:bidi="fa-IR"/>
        </w:rPr>
        <w:t>واللهِ</w:t>
      </w:r>
      <w:r>
        <w:rPr>
          <w:rtl/>
          <w:lang w:bidi="fa-IR"/>
        </w:rPr>
        <w:t xml:space="preserve"> - </w:t>
      </w:r>
      <w:r w:rsidRPr="00132E65">
        <w:rPr>
          <w:rtl/>
          <w:lang w:bidi="fa-IR"/>
        </w:rPr>
        <w:t xml:space="preserve">مَنْ أَحَبَّ ، وأَنْكَرَهَا مَنْ أَبْغَضَ ، وهُوَ قَوْلُهُ : </w:t>
      </w:r>
      <w:r w:rsidRPr="00071CF9">
        <w:rPr>
          <w:rStyle w:val="libAlaemChar"/>
          <w:rtl/>
        </w:rPr>
        <w:t>(</w:t>
      </w:r>
      <w:r w:rsidRPr="00071CF9">
        <w:rPr>
          <w:rStyle w:val="libAieChar"/>
          <w:rtl/>
        </w:rPr>
        <w:t xml:space="preserve"> فَما </w:t>
      </w:r>
      <w:r>
        <w:rPr>
          <w:rStyle w:val="libFootnotenumChar"/>
          <w:rtl/>
        </w:rPr>
        <w:t>(2)</w:t>
      </w:r>
      <w:r w:rsidRPr="00071CF9">
        <w:rPr>
          <w:rStyle w:val="libAieChar"/>
          <w:rtl/>
        </w:rPr>
        <w:t xml:space="preserve"> كانُوا لِيُؤْمِنُوا بِما كَذَّبُوا بِهِ مِنْ قَبْلُ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r w:rsidRPr="00132E65">
        <w:rPr>
          <w:rtl/>
          <w:lang w:bidi="fa-IR"/>
        </w:rPr>
        <w:t xml:space="preserve"> ثُمَّ </w:t>
      </w:r>
      <w:r>
        <w:rPr>
          <w:rStyle w:val="libFootnotenumChar"/>
          <w:rtl/>
        </w:rPr>
        <w:t>(4)</w:t>
      </w:r>
      <w:r w:rsidRPr="00132E65">
        <w:rPr>
          <w:rtl/>
          <w:lang w:bidi="fa-IR"/>
        </w:rPr>
        <w:t xml:space="preserve"> قَالَ أَبُو جَعْفَرٍ </w:t>
      </w:r>
      <w:r w:rsidRPr="00071CF9">
        <w:rPr>
          <w:rStyle w:val="libAlaemChar"/>
          <w:rtl/>
        </w:rPr>
        <w:t>عليه‌السلام</w:t>
      </w:r>
      <w:r w:rsidRPr="00132E65">
        <w:rPr>
          <w:rtl/>
          <w:lang w:bidi="fa-IR"/>
        </w:rPr>
        <w:t xml:space="preserve"> : « كَانَ التَّكْذِيبُ ثَمَّ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3C1E35">
        <w:rPr>
          <w:rtl/>
        </w:rPr>
        <w:t>1182</w:t>
      </w:r>
      <w:r w:rsidRPr="004325D8">
        <w:rPr>
          <w:rStyle w:val="libBold2Char"/>
          <w:rtl/>
        </w:rPr>
        <w:t xml:space="preserve"> / 3.</w:t>
      </w:r>
      <w:r w:rsidRPr="00132E65">
        <w:rPr>
          <w:rtl/>
          <w:lang w:bidi="fa-IR"/>
        </w:rPr>
        <w:t xml:space="preserve"> مُحَمَّدُ بْنُ يَحْيى ، عَنْ سَلَمَةَ بْنِ الْخَطَّابِ ، عَنْ عَلِيِّ بْنِ سَيْفٍ ، عَنِ الْعَبَّاسِ بْنِ عَامِرٍ ، عَنْ أَحْمَدَ بْنِ رِزْقٍ الْغُمْشَانِيِّ </w:t>
      </w:r>
      <w:r>
        <w:rPr>
          <w:rStyle w:val="libFootnotenumChar"/>
          <w:rtl/>
        </w:rPr>
        <w:t>(7)</w:t>
      </w:r>
      <w:r w:rsidRPr="00132E65">
        <w:rPr>
          <w:rtl/>
          <w:lang w:bidi="fa-IR"/>
        </w:rPr>
        <w:t xml:space="preserve"> ، عَنْ مُحَمَّدِ بْنِ عَبْدِ الرَّحْمنِ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وَلَايَتُنَا ولَايَةُ اللهِ الَّتِي لَمْ يَبْعَثْ </w:t>
      </w:r>
      <w:r>
        <w:rPr>
          <w:rStyle w:val="libFootnotenumChar"/>
          <w:rtl/>
        </w:rPr>
        <w:t>(8)</w:t>
      </w:r>
      <w:r w:rsidRPr="00132E65">
        <w:rPr>
          <w:rtl/>
          <w:lang w:bidi="fa-IR"/>
        </w:rPr>
        <w:t xml:space="preserve"> نَبِيّاً </w:t>
      </w:r>
      <w:r>
        <w:rPr>
          <w:rStyle w:val="libFootnotenumChar"/>
          <w:rtl/>
        </w:rPr>
        <w:t>(9)</w:t>
      </w:r>
      <w:r w:rsidRPr="00132E65">
        <w:rPr>
          <w:rtl/>
          <w:lang w:bidi="fa-IR"/>
        </w:rPr>
        <w:t xml:space="preserve"> قَطُّ إِلاَّ بِهَا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3C1E35">
        <w:rPr>
          <w:rtl/>
        </w:rPr>
        <w:t>1183</w:t>
      </w:r>
      <w:r w:rsidRPr="004325D8">
        <w:rPr>
          <w:rStyle w:val="libBold2Char"/>
          <w:rtl/>
        </w:rPr>
        <w:t xml:space="preserve"> / 4.</w:t>
      </w:r>
      <w:r w:rsidRPr="00132E65">
        <w:rPr>
          <w:rtl/>
          <w:lang w:bidi="fa-IR"/>
        </w:rPr>
        <w:t xml:space="preserve"> مُحَمَّدُ بْنُ يَحْيى ، عَنْ عَبْدِ اللهِ بْنِ مُحَمَّدِ بْنِ عِيسى ، عَنْ مُحَمَّدِ بْنِ عَبْدِ الْحَمِيدِ ، عَنْ يُونُسَ بْنِ يَعْقُوبَ ، عَنْ عَبْدِ الْأَعْلى </w:t>
      </w:r>
      <w:r>
        <w:rPr>
          <w:rStyle w:val="libFootnotenumChar"/>
          <w:rtl/>
        </w:rPr>
        <w:t>(11)</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1461 والبحار وتفسير العيّاشي والعلل : « دعوهم »</w:t>
      </w:r>
      <w:r>
        <w:rPr>
          <w:rtl/>
        </w:rPr>
        <w:t>.</w:t>
      </w:r>
    </w:p>
    <w:p w:rsidR="000C39D1" w:rsidRPr="00132E65" w:rsidRDefault="000C39D1" w:rsidP="000C39D1">
      <w:pPr>
        <w:pStyle w:val="libFootnote0"/>
        <w:rPr>
          <w:rtl/>
          <w:lang w:bidi="fa-IR"/>
        </w:rPr>
      </w:pPr>
      <w:r>
        <w:rPr>
          <w:rtl/>
        </w:rPr>
        <w:t>(2).</w:t>
      </w:r>
      <w:r w:rsidRPr="00132E65">
        <w:rPr>
          <w:rtl/>
        </w:rPr>
        <w:t xml:space="preserve"> هكذا في القرآن والمطبوع. وفي النسخ : « وما »</w:t>
      </w:r>
      <w:r>
        <w:rPr>
          <w:rtl/>
        </w:rPr>
        <w:t>.</w:t>
      </w:r>
    </w:p>
    <w:tbl>
      <w:tblPr>
        <w:tblStyle w:val="TableGrid"/>
        <w:bidiVisual/>
        <w:tblW w:w="0" w:type="auto"/>
        <w:tblLook w:val="04A0" w:firstRow="1" w:lastRow="0" w:firstColumn="1" w:lastColumn="0" w:noHBand="0" w:noVBand="1"/>
      </w:tblPr>
      <w:tblGrid>
        <w:gridCol w:w="4006"/>
        <w:gridCol w:w="4006"/>
      </w:tblGrid>
      <w:tr w:rsidR="00F605FF" w:rsidTr="00F605FF">
        <w:tc>
          <w:tcPr>
            <w:tcW w:w="4006" w:type="dxa"/>
          </w:tcPr>
          <w:p w:rsidR="00F605FF" w:rsidRDefault="00F605FF" w:rsidP="000C39D1">
            <w:pPr>
              <w:pStyle w:val="libFootnote0"/>
              <w:rPr>
                <w:rtl/>
              </w:rPr>
            </w:pPr>
            <w:r>
              <w:rPr>
                <w:rtl/>
              </w:rPr>
              <w:t>(3).</w:t>
            </w:r>
            <w:r w:rsidRPr="00132E65">
              <w:rPr>
                <w:rtl/>
              </w:rPr>
              <w:t xml:space="preserve"> يونس </w:t>
            </w:r>
            <w:r>
              <w:rPr>
                <w:rtl/>
              </w:rPr>
              <w:t>(10)</w:t>
            </w:r>
            <w:r w:rsidRPr="00132E65">
              <w:rPr>
                <w:rtl/>
              </w:rPr>
              <w:t xml:space="preserve"> : 74.</w:t>
            </w:r>
          </w:p>
        </w:tc>
        <w:tc>
          <w:tcPr>
            <w:tcW w:w="4006" w:type="dxa"/>
          </w:tcPr>
          <w:p w:rsidR="00F605FF" w:rsidRDefault="00F605FF" w:rsidP="000C39D1">
            <w:pPr>
              <w:pStyle w:val="libFootnote0"/>
              <w:rPr>
                <w:rtl/>
              </w:rPr>
            </w:pPr>
            <w:r>
              <w:rPr>
                <w:rtl/>
              </w:rPr>
              <w:t>(4).</w:t>
            </w:r>
            <w:r w:rsidRPr="00132E65">
              <w:rPr>
                <w:rtl/>
              </w:rPr>
              <w:t xml:space="preserve"> في « ب » </w:t>
            </w:r>
            <w:r>
              <w:rPr>
                <w:rtl/>
              </w:rPr>
              <w:t xml:space="preserve">: - </w:t>
            </w:r>
            <w:r w:rsidRPr="00132E65">
              <w:rPr>
                <w:rtl/>
              </w:rPr>
              <w:t>« ثمّ »</w:t>
            </w:r>
            <w:r>
              <w:rPr>
                <w:rtl/>
              </w:rPr>
              <w:t>.</w:t>
            </w:r>
          </w:p>
        </w:tc>
      </w:tr>
    </w:tbl>
    <w:p w:rsidR="000C39D1" w:rsidRPr="00132E65" w:rsidRDefault="000C39D1" w:rsidP="000C39D1">
      <w:pPr>
        <w:pStyle w:val="libFootnote0"/>
        <w:rPr>
          <w:rtl/>
          <w:lang w:bidi="fa-IR"/>
        </w:rPr>
      </w:pPr>
      <w:r>
        <w:rPr>
          <w:rtl/>
        </w:rPr>
        <w:t>(5).</w:t>
      </w:r>
      <w:r w:rsidRPr="00132E65">
        <w:rPr>
          <w:rtl/>
        </w:rPr>
        <w:t xml:space="preserve"> في البصائر : « ثمّة »</w:t>
      </w:r>
      <w:r>
        <w:rPr>
          <w:rtl/>
        </w:rPr>
        <w:t>.</w:t>
      </w:r>
    </w:p>
    <w:p w:rsidR="000C39D1" w:rsidRPr="00132E65" w:rsidRDefault="000C39D1" w:rsidP="00F605FF">
      <w:pPr>
        <w:pStyle w:val="libFootnote0"/>
        <w:rPr>
          <w:rtl/>
          <w:lang w:bidi="fa-IR"/>
        </w:rPr>
      </w:pPr>
      <w:r>
        <w:rPr>
          <w:rtl/>
        </w:rPr>
        <w:t>(6).</w:t>
      </w:r>
      <w:r w:rsidRPr="00132E65">
        <w:rPr>
          <w:rtl/>
        </w:rPr>
        <w:t xml:space="preserve"> </w:t>
      </w:r>
      <w:r w:rsidRPr="000577A7">
        <w:rPr>
          <w:rStyle w:val="libFootnoteBoldChar"/>
          <w:rtl/>
        </w:rPr>
        <w:t>الكافي</w:t>
      </w:r>
      <w:r w:rsidRPr="00132E65">
        <w:rPr>
          <w:rtl/>
        </w:rPr>
        <w:t xml:space="preserve"> ، كتاب الإيمان والكفر ، باب آخر منه ، ح 1461. وفي </w:t>
      </w:r>
      <w:r w:rsidRPr="007A1104">
        <w:rPr>
          <w:rStyle w:val="libFootnoteBoldChar"/>
          <w:rtl/>
        </w:rPr>
        <w:t>بصائر الدرجات</w:t>
      </w:r>
      <w:r w:rsidRPr="00132E65">
        <w:rPr>
          <w:rtl/>
        </w:rPr>
        <w:t xml:space="preserve"> ، ص 80 ، ح 1 ، عن محمّد بن الحسين. </w:t>
      </w:r>
      <w:r w:rsidRPr="003C1E35">
        <w:rPr>
          <w:rtl/>
        </w:rPr>
        <w:t>علل الشرائع</w:t>
      </w:r>
      <w:r w:rsidRPr="00132E65">
        <w:rPr>
          <w:rtl/>
        </w:rPr>
        <w:t xml:space="preserve"> ، ص 118 ، ح 3 ، بسنده عن محمّد بن إسماعيل بن بزيع. وفي </w:t>
      </w:r>
      <w:r w:rsidRPr="003C1E35">
        <w:rPr>
          <w:rtl/>
        </w:rPr>
        <w:t>تفسير العيّاشي</w:t>
      </w:r>
      <w:r w:rsidRPr="00132E65">
        <w:rPr>
          <w:rtl/>
        </w:rPr>
        <w:t xml:space="preserve"> ، ج 2 ، ص 126 ، ح 37 ، عن عبد الله بن محمّد الجعفي</w:t>
      </w:r>
      <w:r w:rsidR="00F605FF">
        <w:rPr>
          <w:rFonts w:hint="cs"/>
          <w:rtl/>
        </w:rPr>
        <w:t>.</w:t>
      </w:r>
      <w:r w:rsidRPr="009D1ACE">
        <w:rPr>
          <w:rStyle w:val="libFootnoteBoldChar"/>
          <w:rtl/>
        </w:rPr>
        <w:t>الوافي</w:t>
      </w:r>
      <w:r w:rsidRPr="00132E65">
        <w:rPr>
          <w:rtl/>
        </w:rPr>
        <w:t xml:space="preserve"> ، ج 3 ، ص 493 ، ح 996 ؛ </w:t>
      </w:r>
      <w:r w:rsidRPr="003C1E35">
        <w:rPr>
          <w:rtl/>
        </w:rPr>
        <w:t>البحار</w:t>
      </w:r>
      <w:r w:rsidRPr="00132E65">
        <w:rPr>
          <w:rtl/>
        </w:rPr>
        <w:t xml:space="preserve"> ، ج 67 ، ص 98 ، ح 16.</w:t>
      </w:r>
    </w:p>
    <w:p w:rsidR="000C39D1" w:rsidRPr="00132E65" w:rsidRDefault="000C39D1" w:rsidP="000C39D1">
      <w:pPr>
        <w:pStyle w:val="libFootnote0"/>
        <w:rPr>
          <w:rtl/>
          <w:lang w:bidi="fa-IR"/>
        </w:rPr>
      </w:pPr>
      <w:r>
        <w:rPr>
          <w:rtl/>
        </w:rPr>
        <w:t>(7).</w:t>
      </w:r>
      <w:r w:rsidRPr="00132E65">
        <w:rPr>
          <w:rtl/>
        </w:rPr>
        <w:t xml:space="preserve"> في « ج » : « العمشاني »</w:t>
      </w:r>
      <w:r>
        <w:rPr>
          <w:rtl/>
        </w:rPr>
        <w:t>.</w:t>
      </w:r>
      <w:r w:rsidRPr="00132E65">
        <w:rPr>
          <w:rtl/>
        </w:rPr>
        <w:t xml:space="preserve"> وفي « بس » : « الغسّاني » بعد تصحيحه من « العمشاني »</w:t>
      </w:r>
      <w:r>
        <w:rPr>
          <w:rtl/>
        </w:rPr>
        <w:t>.</w:t>
      </w:r>
      <w:r w:rsidRPr="00132E65">
        <w:rPr>
          <w:rtl/>
        </w:rPr>
        <w:t xml:space="preserve"> ا</w:t>
      </w:r>
      <w:r w:rsidR="00F605FF">
        <w:rPr>
          <w:rFonts w:hint="cs"/>
          <w:rtl/>
        </w:rPr>
        <w:t>ُ</w:t>
      </w:r>
      <w:r w:rsidRPr="00132E65">
        <w:rPr>
          <w:rtl/>
        </w:rPr>
        <w:t xml:space="preserve">نظر : ترجمة العنوان في </w:t>
      </w:r>
      <w:r w:rsidRPr="003C1E35">
        <w:rPr>
          <w:rtl/>
        </w:rPr>
        <w:t>رجال النجاشي</w:t>
      </w:r>
      <w:r w:rsidRPr="00132E65">
        <w:rPr>
          <w:rtl/>
        </w:rPr>
        <w:t xml:space="preserve"> ، ص 98 ، الرقم 243 ؛ </w:t>
      </w:r>
      <w:r w:rsidRPr="003C1E35">
        <w:rPr>
          <w:rtl/>
        </w:rPr>
        <w:t>الفهرست</w:t>
      </w:r>
      <w:r w:rsidRPr="00132E65">
        <w:rPr>
          <w:rtl/>
        </w:rPr>
        <w:t xml:space="preserve"> للطوسي ، ص 83 ، الرقم 106 ؛ </w:t>
      </w:r>
      <w:r w:rsidRPr="003C1E35">
        <w:rPr>
          <w:rtl/>
        </w:rPr>
        <w:t>رجال ابن داود</w:t>
      </w:r>
      <w:r w:rsidRPr="00132E65">
        <w:rPr>
          <w:rtl/>
        </w:rPr>
        <w:t xml:space="preserve"> ، ص 28 ، الرقم 76 ؛ </w:t>
      </w:r>
      <w:r w:rsidRPr="003C1E35">
        <w:rPr>
          <w:rtl/>
        </w:rPr>
        <w:t>خلاصة الأقوال</w:t>
      </w:r>
      <w:r w:rsidRPr="00132E65">
        <w:rPr>
          <w:rtl/>
        </w:rPr>
        <w:t xml:space="preserve"> ، ص 48.</w:t>
      </w:r>
    </w:p>
    <w:p w:rsidR="000C39D1" w:rsidRPr="00132E65" w:rsidRDefault="000C39D1" w:rsidP="000C39D1">
      <w:pPr>
        <w:pStyle w:val="libFootnote0"/>
        <w:rPr>
          <w:rtl/>
          <w:lang w:bidi="fa-IR"/>
        </w:rPr>
      </w:pPr>
      <w:r>
        <w:rPr>
          <w:rtl/>
        </w:rPr>
        <w:t>(8).</w:t>
      </w:r>
      <w:r w:rsidRPr="00132E65">
        <w:rPr>
          <w:rtl/>
        </w:rPr>
        <w:t xml:space="preserve"> في « بح » : « لم يُبْعث » على صيغة المبنيّ للمفعول. وفي « ف » وحاشية « ج »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(9).</w:t>
      </w:r>
      <w:r w:rsidRPr="00132E65">
        <w:rPr>
          <w:rtl/>
        </w:rPr>
        <w:t xml:space="preserve"> في « بح ، بس » وحاشية : « ج ، ض » : « نبيّ »</w:t>
      </w:r>
      <w:r>
        <w:rPr>
          <w:rtl/>
        </w:rPr>
        <w:t>.</w:t>
      </w:r>
    </w:p>
    <w:p w:rsidR="000C39D1" w:rsidRPr="00132E65" w:rsidRDefault="000C39D1" w:rsidP="00EA4A07">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75 ، ح 9 ، عن سلمة بن الخطّاب ؛ </w:t>
      </w:r>
      <w:r w:rsidRPr="003C1E35">
        <w:rPr>
          <w:rtl/>
        </w:rPr>
        <w:t>الأمالي</w:t>
      </w:r>
      <w:r w:rsidRPr="00132E65">
        <w:rPr>
          <w:rtl/>
        </w:rPr>
        <w:t xml:space="preserve"> للطوسي ، ص 671 ، المجلس 26 ، ح 19 ، بسنده عن العبّاس بن عامر. </w:t>
      </w:r>
      <w:r w:rsidRPr="003C1E35">
        <w:rPr>
          <w:rtl/>
        </w:rPr>
        <w:t>الأمالي</w:t>
      </w:r>
      <w:r w:rsidRPr="00132E65">
        <w:rPr>
          <w:rtl/>
        </w:rPr>
        <w:t xml:space="preserve"> للمفيد ، ص 142 ، المجلس 17 ، ح 9 ، بسند آخر ، مع زيادة في آخره ؛ </w:t>
      </w:r>
      <w:r w:rsidRPr="007A1104">
        <w:rPr>
          <w:rStyle w:val="libFootnoteBoldChar"/>
          <w:rtl/>
        </w:rPr>
        <w:t>بصائر الدرجات</w:t>
      </w:r>
      <w:r w:rsidRPr="00132E65">
        <w:rPr>
          <w:rtl/>
        </w:rPr>
        <w:t xml:space="preserve"> ، ص 75 ، ح 6 </w:t>
      </w:r>
      <w:r>
        <w:rPr>
          <w:rtl/>
        </w:rPr>
        <w:t>و 7</w:t>
      </w:r>
      <w:r w:rsidRPr="00132E65">
        <w:rPr>
          <w:rtl/>
        </w:rPr>
        <w:t xml:space="preserve"> </w:t>
      </w:r>
      <w:r>
        <w:rPr>
          <w:rtl/>
        </w:rPr>
        <w:t>و 8</w:t>
      </w:r>
      <w:r w:rsidRPr="00132E65">
        <w:rPr>
          <w:rtl/>
        </w:rPr>
        <w:t xml:space="preserve"> بسند آخر عن أبي جعفر </w:t>
      </w:r>
      <w:r w:rsidRPr="00F605FF">
        <w:rPr>
          <w:rStyle w:val="libFootnoteAlaemChar"/>
          <w:rtl/>
        </w:rPr>
        <w:t>عليه‌السلام</w:t>
      </w:r>
      <w:r w:rsidR="00EA4A07">
        <w:rPr>
          <w:rFonts w:hint="cs"/>
          <w:rtl/>
        </w:rPr>
        <w:t>.</w:t>
      </w:r>
      <w:r w:rsidRPr="009D1ACE">
        <w:rPr>
          <w:rStyle w:val="libFootnoteBoldChar"/>
          <w:rtl/>
        </w:rPr>
        <w:t>الوافي</w:t>
      </w:r>
      <w:r w:rsidRPr="00132E65">
        <w:rPr>
          <w:rtl/>
        </w:rPr>
        <w:t xml:space="preserve"> ، ج 3 ، ص 494 ، ح 997.</w:t>
      </w:r>
    </w:p>
    <w:p w:rsidR="000C39D1" w:rsidRPr="00132E65" w:rsidRDefault="000C39D1" w:rsidP="000C39D1">
      <w:pPr>
        <w:pStyle w:val="libFootnote0"/>
        <w:rPr>
          <w:rtl/>
          <w:lang w:bidi="fa-IR"/>
        </w:rPr>
      </w:pPr>
      <w:r>
        <w:rPr>
          <w:rtl/>
        </w:rPr>
        <w:t>(11).</w:t>
      </w:r>
      <w:r w:rsidRPr="00132E65">
        <w:rPr>
          <w:rtl/>
        </w:rPr>
        <w:t xml:space="preserve"> ورد مضمون الخبر في </w:t>
      </w:r>
      <w:r w:rsidRPr="007A1104">
        <w:rPr>
          <w:rStyle w:val="libFootnoteBoldChar"/>
          <w:rtl/>
        </w:rPr>
        <w:t>بصائر الدرجات</w:t>
      </w:r>
      <w:r w:rsidRPr="00132E65">
        <w:rPr>
          <w:rtl/>
        </w:rPr>
        <w:t xml:space="preserve"> ، ص 75 ، ح 2 ، بسنده عن يونس بن يعقوب عن عبدالأعلى عن أبي بصير ، قال : سمعت أباعبدالله </w:t>
      </w:r>
      <w:r w:rsidRPr="00F605FF">
        <w:rPr>
          <w:rStyle w:val="libFootnoteAlaemChar"/>
          <w:rtl/>
        </w:rPr>
        <w:t>عليه‌السلام</w:t>
      </w:r>
      <w:r w:rsidRPr="00132E65">
        <w:rPr>
          <w:rtl/>
        </w:rPr>
        <w:t xml:space="preserve"> يقول. لكن لم يرد « عن عبدالأعلى » في بعض نسخه المعتبرة.</w:t>
      </w:r>
    </w:p>
    <w:p w:rsidR="000C39D1" w:rsidRPr="00132E65" w:rsidRDefault="000C39D1" w:rsidP="000C39D1">
      <w:pPr>
        <w:pStyle w:val="libFootnote0"/>
        <w:rPr>
          <w:rtl/>
          <w:lang w:bidi="fa-IR"/>
        </w:rPr>
      </w:pPr>
      <w:r w:rsidRPr="0046781C">
        <w:rPr>
          <w:rtl/>
        </w:rPr>
        <w:t xml:space="preserve">وهو الظاهر ؛ فإنّه لم يثبت رواية عبدالأعلى عن أبي بصير في موضع ، وتكرّرت رواية يونس بن يعقوب عن أبي بصير في الأسناد. راجع : </w:t>
      </w:r>
      <w:r w:rsidRPr="003C1E35">
        <w:rPr>
          <w:rtl/>
        </w:rPr>
        <w:t>معجم رجال الحديث</w:t>
      </w:r>
      <w:r w:rsidRPr="0046781C">
        <w:rPr>
          <w:rtl/>
        </w:rPr>
        <w:t xml:space="preserve"> ، ج 20 ، ص 339</w:t>
      </w:r>
      <w:r>
        <w:rPr>
          <w:rtl/>
        </w:rPr>
        <w:t xml:space="preserve"> - </w:t>
      </w:r>
      <w:r w:rsidRPr="0046781C">
        <w:rPr>
          <w:rtl/>
        </w:rPr>
        <w:t>340.</w:t>
      </w:r>
    </w:p>
    <w:p w:rsidR="000C39D1" w:rsidRDefault="000C39D1" w:rsidP="000C39D1">
      <w:pPr>
        <w:pStyle w:val="libNormal"/>
        <w:rPr>
          <w:rtl/>
          <w:lang w:bidi="fa-IR"/>
        </w:rPr>
      </w:pPr>
      <w:r>
        <w:rPr>
          <w:rtl/>
          <w:lang w:bidi="fa-IR"/>
        </w:rPr>
        <w:br w:type="page"/>
      </w:r>
    </w:p>
    <w:p w:rsidR="000C39D1" w:rsidRPr="00132E65" w:rsidRDefault="000C39D1" w:rsidP="00EA4A07">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مَا</w:t>
      </w:r>
      <w:r w:rsidR="00EA4A07">
        <w:rPr>
          <w:rtl/>
          <w:lang w:bidi="fa-IR"/>
        </w:rPr>
        <w:t xml:space="preserve"> مِنْ نَبِيٍّ جَاءَ قَطُّ إِل</w:t>
      </w:r>
      <w:r w:rsidR="00EA4A07">
        <w:rPr>
          <w:rFonts w:hint="cs"/>
          <w:rtl/>
          <w:lang w:bidi="fa-IR"/>
        </w:rPr>
        <w:t>َّ</w:t>
      </w:r>
      <w:r w:rsidR="00EA4A07">
        <w:rPr>
          <w:rtl/>
          <w:lang w:bidi="fa-IR"/>
        </w:rPr>
        <w:t>ا</w:t>
      </w:r>
      <w:r w:rsidRPr="00132E65">
        <w:rPr>
          <w:rtl/>
          <w:lang w:bidi="fa-IR"/>
        </w:rPr>
        <w:t xml:space="preserve"> </w:t>
      </w:r>
      <w:r>
        <w:rPr>
          <w:rStyle w:val="libFootnotenumChar"/>
          <w:rtl/>
        </w:rPr>
        <w:t>(1)</w:t>
      </w:r>
      <w:r w:rsidRPr="00132E65">
        <w:rPr>
          <w:rtl/>
          <w:lang w:bidi="fa-IR"/>
        </w:rPr>
        <w:t xml:space="preserve"> بِمَعْرِفَةِ حَقِّنَا ، و</w:t>
      </w:r>
      <w:r w:rsidR="00936037">
        <w:rPr>
          <w:rtl/>
          <w:lang w:bidi="fa-IR"/>
        </w:rPr>
        <w:t>تَفْضِيلِنَا عَلى مَنْ سِوَانَا</w:t>
      </w:r>
      <w:r w:rsidRPr="00132E65">
        <w:rPr>
          <w:rtl/>
          <w:lang w:bidi="fa-IR"/>
        </w:rPr>
        <w:t>»</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3C1E35">
        <w:rPr>
          <w:rtl/>
        </w:rPr>
        <w:t>1184</w:t>
      </w:r>
      <w:r w:rsidRPr="004325D8">
        <w:rPr>
          <w:rStyle w:val="libBold2Char"/>
          <w:rtl/>
        </w:rPr>
        <w:t xml:space="preserve"> / 5.</w:t>
      </w:r>
      <w:r w:rsidRPr="00132E65">
        <w:rPr>
          <w:rtl/>
          <w:lang w:bidi="fa-IR"/>
        </w:rPr>
        <w:t xml:space="preserve"> مُحَمَّدُ بْنُ يَحْيى ، عَنْ أَحْمَدَ بْنِ مُحَمَّدِ بْنِ عِيسى ، عَنْ مُحَمَّدِ بْنِ إِسْمَاعِيلَ بْنِ بَزِيعٍ ، عَنْ مُحَمَّدِ بْنِ الْفُضَيْلِ ، عَنْ أَبِي الصَّبَّاحِ الْكِنَانِيِّ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سَمِعْتُهُ يَقُولُ : « وَاللهِ ، إِنَّ فِي السَّمَاءِ لَسَبْعِينَ صَفّاً </w:t>
      </w:r>
      <w:r>
        <w:rPr>
          <w:rStyle w:val="libFootnotenumChar"/>
          <w:rtl/>
        </w:rPr>
        <w:t>(3)</w:t>
      </w:r>
      <w:r w:rsidRPr="00132E65">
        <w:rPr>
          <w:rtl/>
          <w:lang w:bidi="fa-IR"/>
        </w:rPr>
        <w:t xml:space="preserve"> مِنَ الْمَلَائِكَةِ ، لَوِ اجْتَمَعَ أَهْلُ الْأَرْضِ كُلُّهُمْ يُحْصُونَ عَدَدَ كُلِّ صَفٍّ </w:t>
      </w:r>
      <w:r>
        <w:rPr>
          <w:rStyle w:val="libFootnotenumChar"/>
          <w:rtl/>
        </w:rPr>
        <w:t>(4)</w:t>
      </w:r>
      <w:r w:rsidRPr="00132E65">
        <w:rPr>
          <w:rtl/>
          <w:lang w:bidi="fa-IR"/>
        </w:rPr>
        <w:t xml:space="preserve"> مِنْهُمْ ، مَا أَحْصَوْهُمْ ، وَإِنَّهُمْ لَيَدِينُونَ بِوَلَايَتِنَا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C1E35">
        <w:rPr>
          <w:rtl/>
        </w:rPr>
        <w:t>1185</w:t>
      </w:r>
      <w:r w:rsidRPr="004325D8">
        <w:rPr>
          <w:rStyle w:val="libBold2Char"/>
          <w:rtl/>
        </w:rPr>
        <w:t xml:space="preserve"> / 6.</w:t>
      </w:r>
      <w:r w:rsidRPr="00132E65">
        <w:rPr>
          <w:rtl/>
          <w:lang w:bidi="fa-IR"/>
        </w:rPr>
        <w:t xml:space="preserve"> مُحَمَّدٌ ، عَنْ أَحْمَدَ بْنِ مُحَمَّدٍ ، عَنِ ابْنِ مَحْبُوبٍ ، عَنْ مُحَمَّدِ بْنِ الْفُضَيْلِ :</w:t>
      </w:r>
    </w:p>
    <w:p w:rsidR="000C39D1" w:rsidRPr="00132E65" w:rsidRDefault="000C39D1" w:rsidP="00936037">
      <w:pPr>
        <w:pStyle w:val="libNormal"/>
        <w:rPr>
          <w:rtl/>
          <w:lang w:bidi="fa-IR"/>
        </w:rPr>
      </w:pPr>
      <w:r w:rsidRPr="00132E65">
        <w:rPr>
          <w:rtl/>
          <w:lang w:bidi="fa-IR"/>
        </w:rPr>
        <w:t xml:space="preserve">عَنْ أَبِي الْحَسَنِ </w:t>
      </w:r>
      <w:r>
        <w:rPr>
          <w:rStyle w:val="libFootnotenumChar"/>
          <w:rtl/>
        </w:rPr>
        <w:t>(6)</w:t>
      </w:r>
      <w:r w:rsidRPr="00132E65">
        <w:rPr>
          <w:rtl/>
          <w:lang w:bidi="fa-IR"/>
        </w:rPr>
        <w:t xml:space="preserve"> </w:t>
      </w:r>
      <w:r w:rsidRPr="00071CF9">
        <w:rPr>
          <w:rStyle w:val="libAlaemChar"/>
          <w:rtl/>
        </w:rPr>
        <w:t>عليه‌السلام</w:t>
      </w:r>
      <w:r w:rsidRPr="00132E65">
        <w:rPr>
          <w:rtl/>
          <w:lang w:bidi="fa-IR"/>
        </w:rPr>
        <w:t xml:space="preserve"> ، قَالَ : « وَلَايَةُ عَلِيٍّ مَكْتُوبَةٌ فِي جَمِيعِ صُحُفِ </w:t>
      </w:r>
      <w:r>
        <w:rPr>
          <w:rStyle w:val="libFootnotenumChar"/>
          <w:rtl/>
        </w:rPr>
        <w:t>(7)</w:t>
      </w:r>
      <w:r w:rsidRPr="00132E65">
        <w:rPr>
          <w:rtl/>
          <w:lang w:bidi="fa-IR"/>
        </w:rPr>
        <w:t xml:space="preserve"> الْأَنْبِيَاءِ ، وَلَنْ يَبْعَثَ </w:t>
      </w:r>
      <w:r>
        <w:rPr>
          <w:rStyle w:val="libFootnotenumChar"/>
          <w:rtl/>
        </w:rPr>
        <w:t>(8)</w:t>
      </w:r>
      <w:r w:rsidR="00EA4A07">
        <w:rPr>
          <w:rtl/>
          <w:lang w:bidi="fa-IR"/>
        </w:rPr>
        <w:t xml:space="preserve"> اللهُ رَسُولاً إِل</w:t>
      </w:r>
      <w:r w:rsidR="00EA4A07">
        <w:rPr>
          <w:rFonts w:hint="cs"/>
          <w:rtl/>
          <w:lang w:bidi="fa-IR"/>
        </w:rPr>
        <w:t>َّ</w:t>
      </w:r>
      <w:r w:rsidR="00EA4A07">
        <w:rPr>
          <w:rtl/>
          <w:lang w:bidi="fa-IR"/>
        </w:rPr>
        <w:t>ا</w:t>
      </w:r>
      <w:r w:rsidRPr="00132E65">
        <w:rPr>
          <w:rtl/>
          <w:lang w:bidi="fa-IR"/>
        </w:rPr>
        <w:t xml:space="preserve"> بِنُبُوَّةِ مُحَمَّدٍ </w:t>
      </w:r>
      <w:r w:rsidRPr="0093484F">
        <w:rPr>
          <w:rStyle w:val="libAlaemChar"/>
          <w:rFonts w:eastAsiaTheme="minorHAnsi"/>
          <w:rtl/>
        </w:rPr>
        <w:t>صلى‌الله‌عليه‌وآله</w:t>
      </w:r>
      <w:r w:rsidR="00EA4A07">
        <w:rPr>
          <w:rtl/>
          <w:lang w:bidi="fa-IR"/>
        </w:rPr>
        <w:t xml:space="preserve"> ، و</w:t>
      </w:r>
      <w:r w:rsidR="00EA4A07">
        <w:rPr>
          <w:rFonts w:hint="cs"/>
          <w:rtl/>
          <w:lang w:bidi="fa-IR"/>
        </w:rPr>
        <w:t xml:space="preserve">َ </w:t>
      </w:r>
      <w:r w:rsidR="00EA4A07">
        <w:rPr>
          <w:rtl/>
          <w:lang w:bidi="fa-IR"/>
        </w:rPr>
        <w:t>و</w:t>
      </w:r>
      <w:r w:rsidR="00EA4A07">
        <w:rPr>
          <w:rFonts w:hint="cs"/>
          <w:rtl/>
          <w:lang w:bidi="fa-IR"/>
        </w:rPr>
        <w:t>َ</w:t>
      </w:r>
      <w:r w:rsidRPr="00132E65">
        <w:rPr>
          <w:rtl/>
          <w:lang w:bidi="fa-IR"/>
        </w:rPr>
        <w:t xml:space="preserve">صِيَّةِ </w:t>
      </w:r>
      <w:r>
        <w:rPr>
          <w:rStyle w:val="libFootnotenumChar"/>
          <w:rtl/>
        </w:rPr>
        <w:t>(9)</w:t>
      </w:r>
      <w:r w:rsidR="00936037">
        <w:rPr>
          <w:rFonts w:hint="cs"/>
          <w:rtl/>
          <w:lang w:bidi="fa-IR"/>
        </w:rPr>
        <w:t>...........................................</w:t>
      </w:r>
      <w:r w:rsidR="00EA4A07">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أمر »</w:t>
      </w:r>
      <w:r>
        <w:rPr>
          <w:rtl/>
        </w:rPr>
        <w:t>.</w:t>
      </w:r>
    </w:p>
    <w:p w:rsidR="000C39D1" w:rsidRPr="00132E65" w:rsidRDefault="000C39D1" w:rsidP="00EA4A07">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74 ، ح 1 </w:t>
      </w:r>
      <w:r>
        <w:rPr>
          <w:rtl/>
        </w:rPr>
        <w:t>و 3</w:t>
      </w:r>
      <w:r w:rsidRPr="00132E65">
        <w:rPr>
          <w:rtl/>
        </w:rPr>
        <w:t xml:space="preserve"> ، بسنده عن يونس بن يعقوب ؛ </w:t>
      </w:r>
      <w:r w:rsidRPr="003C1E35">
        <w:rPr>
          <w:rtl/>
        </w:rPr>
        <w:t>وفيه</w:t>
      </w:r>
      <w:r w:rsidRPr="00132E65">
        <w:rPr>
          <w:rtl/>
        </w:rPr>
        <w:t xml:space="preserve"> ، ح 2 ، بسنده عن يونس بن يعقوب ، عن عبد الأعلى ، عن أبي بصير ؛ </w:t>
      </w:r>
      <w:r w:rsidRPr="003C1E35">
        <w:rPr>
          <w:rtl/>
        </w:rPr>
        <w:t>وفيه</w:t>
      </w:r>
      <w:r w:rsidRPr="00132E65">
        <w:rPr>
          <w:rtl/>
        </w:rPr>
        <w:t xml:space="preserve"> أيضاً ، ص 75 ، ح 4 ، عن عبد الله بن محمّد ، عن يونس بن يعقوب ، عن عبد الأعلى ؛ </w:t>
      </w:r>
      <w:r w:rsidRPr="003C1E35">
        <w:rPr>
          <w:rtl/>
        </w:rPr>
        <w:t>وفيه</w:t>
      </w:r>
      <w:r w:rsidRPr="00132E65">
        <w:rPr>
          <w:rtl/>
        </w:rPr>
        <w:t xml:space="preserve"> أيضاً ، ح 5 ، بسند آخر عن يونس بن يعقوب ، عن أبي بصير ، وفي كلّها مع اختلاف يسير</w:t>
      </w:r>
      <w:r w:rsidR="00EA4A07">
        <w:rPr>
          <w:rFonts w:hint="cs"/>
          <w:rtl/>
        </w:rPr>
        <w:t>.</w:t>
      </w:r>
      <w:r w:rsidRPr="009D1ACE">
        <w:rPr>
          <w:rStyle w:val="libFootnoteBoldChar"/>
          <w:rtl/>
        </w:rPr>
        <w:t>الوافي</w:t>
      </w:r>
      <w:r w:rsidRPr="00132E65">
        <w:rPr>
          <w:rtl/>
        </w:rPr>
        <w:t xml:space="preserve"> ، ج 3 ، ص 494 ، ح 998.</w:t>
      </w:r>
    </w:p>
    <w:p w:rsidR="000C39D1" w:rsidRPr="00132E65" w:rsidRDefault="000C39D1" w:rsidP="000C39D1">
      <w:pPr>
        <w:pStyle w:val="libFootnote0"/>
        <w:rPr>
          <w:rtl/>
          <w:lang w:bidi="fa-IR"/>
        </w:rPr>
      </w:pPr>
      <w:r>
        <w:rPr>
          <w:rtl/>
        </w:rPr>
        <w:t>(3).</w:t>
      </w:r>
      <w:r w:rsidRPr="00132E65">
        <w:rPr>
          <w:rtl/>
        </w:rPr>
        <w:t xml:space="preserve"> في البصائر ، ج 1 </w:t>
      </w:r>
      <w:r>
        <w:rPr>
          <w:rtl/>
        </w:rPr>
        <w:t>و 4</w:t>
      </w:r>
      <w:r w:rsidRPr="00132E65">
        <w:rPr>
          <w:rtl/>
        </w:rPr>
        <w:t xml:space="preserve"> : « صنفاً »</w:t>
      </w:r>
      <w:r>
        <w:rPr>
          <w:rtl/>
        </w:rPr>
        <w:t>.</w:t>
      </w:r>
      <w:r w:rsidRPr="00132E65">
        <w:rPr>
          <w:rtl/>
        </w:rPr>
        <w:t xml:space="preserve"> وفي </w:t>
      </w:r>
      <w:r w:rsidRPr="009D1ACE">
        <w:rPr>
          <w:rStyle w:val="libFootnoteBoldChar"/>
          <w:rtl/>
        </w:rPr>
        <w:t>مرآة العقول</w:t>
      </w:r>
      <w:r w:rsidRPr="00132E65">
        <w:rPr>
          <w:rtl/>
        </w:rPr>
        <w:t xml:space="preserve"> : « في البصائر : لسبعين صنفاً</w:t>
      </w:r>
      <w:r>
        <w:rPr>
          <w:rtl/>
        </w:rPr>
        <w:t xml:space="preserve"> ..</w:t>
      </w:r>
      <w:r w:rsidRPr="00132E65">
        <w:rPr>
          <w:rtl/>
        </w:rPr>
        <w:t>. وكأنّه أظهر »</w:t>
      </w:r>
      <w:r>
        <w:rPr>
          <w:rtl/>
        </w:rPr>
        <w:t>.</w:t>
      </w:r>
    </w:p>
    <w:p w:rsidR="000C39D1" w:rsidRPr="00132E65" w:rsidRDefault="000C39D1" w:rsidP="000C39D1">
      <w:pPr>
        <w:pStyle w:val="libFootnote0"/>
        <w:rPr>
          <w:rtl/>
          <w:lang w:bidi="fa-IR"/>
        </w:rPr>
      </w:pPr>
      <w:r>
        <w:rPr>
          <w:rtl/>
        </w:rPr>
        <w:t>(4).</w:t>
      </w:r>
      <w:r w:rsidRPr="00132E65">
        <w:rPr>
          <w:rtl/>
        </w:rPr>
        <w:t xml:space="preserve"> في « ج » والبصائر ، ح 1 </w:t>
      </w:r>
      <w:r>
        <w:rPr>
          <w:rtl/>
        </w:rPr>
        <w:t>و 4</w:t>
      </w:r>
      <w:r w:rsidRPr="00132E65">
        <w:rPr>
          <w:rtl/>
        </w:rPr>
        <w:t xml:space="preserve"> : « صنف »</w:t>
      </w:r>
      <w:r>
        <w:rPr>
          <w:rtl/>
        </w:rPr>
        <w:t>.</w:t>
      </w:r>
    </w:p>
    <w:p w:rsidR="000C39D1" w:rsidRPr="00132E65" w:rsidRDefault="000C39D1" w:rsidP="00EA4A07">
      <w:pPr>
        <w:pStyle w:val="libFootnote0"/>
        <w:rPr>
          <w:rtl/>
          <w:lang w:bidi="fa-IR"/>
        </w:rPr>
      </w:pPr>
      <w:r>
        <w:rPr>
          <w:rtl/>
        </w:rPr>
        <w:t>(5).</w:t>
      </w:r>
      <w:r w:rsidRPr="00132E65">
        <w:rPr>
          <w:rtl/>
        </w:rPr>
        <w:t xml:space="preserve"> </w:t>
      </w:r>
      <w:r w:rsidRPr="007A1104">
        <w:rPr>
          <w:rStyle w:val="libFootnoteBoldChar"/>
          <w:rtl/>
        </w:rPr>
        <w:t>بصائر الدرجات</w:t>
      </w:r>
      <w:r w:rsidRPr="00132E65">
        <w:rPr>
          <w:rtl/>
        </w:rPr>
        <w:t xml:space="preserve"> ، ص 67 ، ح 1 ، عن أحمد بن محمّد ، عن محمّد بن إسماعيل بن بزيع والحسين بن سعيد ، عن محمّد بن الفضيل ، عن أبي الصبّاح الكناني ؛ وفيه ، ح 2 ، عن عليّ بن إسماعيل ، عن محمّد بن الفضيل ، عن أبي الصبّاح ؛ </w:t>
      </w:r>
      <w:r w:rsidRPr="003C1E35">
        <w:rPr>
          <w:rtl/>
        </w:rPr>
        <w:t>وفيه</w:t>
      </w:r>
      <w:r w:rsidRPr="00132E65">
        <w:rPr>
          <w:rtl/>
        </w:rPr>
        <w:t xml:space="preserve"> أيضاً ، ح 4 ، عن أحمد بن محمّد ، عن الحسن بن عليّ بن فضّال ، عن محمّد بن الفضيل ، عن أبي الصبّاح</w:t>
      </w:r>
      <w:r w:rsidR="00EA4A07">
        <w:rPr>
          <w:rFonts w:hint="cs"/>
          <w:rtl/>
        </w:rPr>
        <w:t>.</w:t>
      </w:r>
      <w:r w:rsidRPr="009D1ACE">
        <w:rPr>
          <w:rStyle w:val="libFootnoteBoldChar"/>
          <w:rtl/>
        </w:rPr>
        <w:t>الوافي</w:t>
      </w:r>
      <w:r w:rsidRPr="00132E65">
        <w:rPr>
          <w:rtl/>
        </w:rPr>
        <w:t xml:space="preserve"> ، ج 3 ، ص 494 ، ح 999.</w:t>
      </w:r>
      <w:r w:rsidR="00EA4A07">
        <w:rPr>
          <w:rFonts w:hint="cs"/>
          <w:rtl/>
        </w:rPr>
        <w:t xml:space="preserve">                       </w:t>
      </w:r>
      <w:r>
        <w:rPr>
          <w:rtl/>
        </w:rPr>
        <w:t>(6).</w:t>
      </w:r>
      <w:r w:rsidRPr="00132E65">
        <w:rPr>
          <w:rtl/>
        </w:rPr>
        <w:t xml:space="preserve"> في حاشية « ج » :</w:t>
      </w:r>
      <w:r>
        <w:rPr>
          <w:rtl/>
        </w:rPr>
        <w:t xml:space="preserve"> + </w:t>
      </w:r>
      <w:r w:rsidRPr="00132E65">
        <w:rPr>
          <w:rtl/>
        </w:rPr>
        <w:t>« الرضا »</w:t>
      </w:r>
      <w:r>
        <w:rPr>
          <w:rtl/>
        </w:rPr>
        <w:t>.</w:t>
      </w:r>
    </w:p>
    <w:p w:rsidR="000C39D1" w:rsidRPr="00132E65" w:rsidRDefault="000C39D1" w:rsidP="000C39D1">
      <w:pPr>
        <w:pStyle w:val="libFootnote0"/>
        <w:rPr>
          <w:rtl/>
          <w:lang w:bidi="fa-IR"/>
        </w:rPr>
      </w:pPr>
      <w:r>
        <w:rPr>
          <w:rtl/>
        </w:rPr>
        <w:t>(7).</w:t>
      </w:r>
      <w:r w:rsidRPr="00132E65">
        <w:rPr>
          <w:rtl/>
        </w:rPr>
        <w:t xml:space="preserve"> في البحار : « صحف جميع »</w:t>
      </w:r>
      <w:r>
        <w:rPr>
          <w:rtl/>
        </w:rPr>
        <w:t>.</w:t>
      </w:r>
    </w:p>
    <w:p w:rsidR="000C39D1" w:rsidRPr="00132E65" w:rsidRDefault="000C39D1" w:rsidP="000C39D1">
      <w:pPr>
        <w:pStyle w:val="libFootnote0"/>
        <w:rPr>
          <w:rtl/>
          <w:lang w:bidi="fa-IR"/>
        </w:rPr>
      </w:pPr>
      <w:r>
        <w:rPr>
          <w:rtl/>
        </w:rPr>
        <w:t>(8).</w:t>
      </w:r>
      <w:r w:rsidRPr="00132E65">
        <w:rPr>
          <w:rtl/>
        </w:rPr>
        <w:t xml:space="preserve"> في حاشية « ض » : « ولم يبعث » ، قال في </w:t>
      </w:r>
      <w:r w:rsidRPr="009D1ACE">
        <w:rPr>
          <w:rStyle w:val="libFootnoteBoldChar"/>
          <w:rtl/>
        </w:rPr>
        <w:t>مرآة العقول</w:t>
      </w:r>
      <w:r w:rsidRPr="00132E65">
        <w:rPr>
          <w:rtl/>
        </w:rPr>
        <w:t xml:space="preserve"> : « </w:t>
      </w:r>
      <w:r>
        <w:rPr>
          <w:rtl/>
        </w:rPr>
        <w:t>و «</w:t>
      </w:r>
      <w:r w:rsidRPr="00132E65">
        <w:rPr>
          <w:rtl/>
        </w:rPr>
        <w:t xml:space="preserve"> لن » هنا لتأكيد النفي</w:t>
      </w:r>
      <w:r>
        <w:rPr>
          <w:rtl/>
        </w:rPr>
        <w:t xml:space="preserve"> - </w:t>
      </w:r>
      <w:r w:rsidRPr="00132E65">
        <w:rPr>
          <w:rtl/>
        </w:rPr>
        <w:t>كما جوّزه الزمخشري</w:t>
      </w:r>
      <w:r>
        <w:rPr>
          <w:rtl/>
        </w:rPr>
        <w:t xml:space="preserve"> - </w:t>
      </w:r>
      <w:r w:rsidRPr="00132E65">
        <w:rPr>
          <w:rtl/>
        </w:rPr>
        <w:t>إذلا معنى للتأييد هنا ، وكأنّه كان « لم » ، لكن في البصائر أيضاً كذلك »</w:t>
      </w:r>
      <w:r>
        <w:rPr>
          <w:rtl/>
        </w:rPr>
        <w:t>.</w:t>
      </w:r>
    </w:p>
    <w:p w:rsidR="000C39D1" w:rsidRPr="00132E65" w:rsidRDefault="000C39D1" w:rsidP="000C39D1">
      <w:pPr>
        <w:pStyle w:val="libFootnote0"/>
        <w:rPr>
          <w:rtl/>
          <w:lang w:bidi="fa-IR"/>
        </w:rPr>
      </w:pPr>
      <w:r>
        <w:rPr>
          <w:rtl/>
        </w:rPr>
        <w:t>(9).</w:t>
      </w:r>
      <w:r w:rsidRPr="00132E65">
        <w:rPr>
          <w:rtl/>
        </w:rPr>
        <w:t xml:space="preserve"> هكذا في « ب ، ش ، ض ، ظ ، بج ، بف ، جح ، جس ، جط » و</w:t>
      </w:r>
      <w:r w:rsidRPr="009D1ACE">
        <w:rPr>
          <w:rStyle w:val="libFootnoteBoldChar"/>
          <w:rtl/>
        </w:rPr>
        <w:t>الوافي</w:t>
      </w:r>
      <w:r w:rsidRPr="00132E65">
        <w:rPr>
          <w:rtl/>
        </w:rPr>
        <w:t xml:space="preserve"> و</w:t>
      </w:r>
      <w:r w:rsidR="00884C24">
        <w:rPr>
          <w:rtl/>
        </w:rPr>
        <w:t>البحار. وفي باقي النسخ والمطبوع</w:t>
      </w:r>
      <w:r w:rsidRPr="00132E65">
        <w:rPr>
          <w:rtl/>
        </w:rPr>
        <w:t xml:space="preserve">: </w:t>
      </w:r>
      <w:r w:rsidR="00884C24">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عَلِيٍّ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3C1E35">
        <w:rPr>
          <w:rtl/>
        </w:rPr>
        <w:t>1186</w:t>
      </w:r>
      <w:r w:rsidRPr="004325D8">
        <w:rPr>
          <w:rStyle w:val="libBold2Char"/>
          <w:rtl/>
        </w:rPr>
        <w:t xml:space="preserve"> / 7.</w:t>
      </w:r>
      <w:r w:rsidRPr="00132E65">
        <w:rPr>
          <w:rtl/>
          <w:lang w:bidi="fa-IR"/>
        </w:rPr>
        <w:t xml:space="preserve"> الْحُسَيْنُ بْنُ مُحَمَّدٍ ، عَنْ مُعَلَّى بْنِ مُحَمَّدٍ ، عَنْ مُحَمَّدِ بْنِ جُمْهُورٍ ، قَالَ :</w:t>
      </w:r>
      <w:r>
        <w:rPr>
          <w:rFonts w:hint="cs"/>
          <w:rtl/>
          <w:lang w:bidi="fa-IR"/>
        </w:rPr>
        <w:t xml:space="preserve"> </w:t>
      </w:r>
      <w:r w:rsidRPr="00132E65">
        <w:rPr>
          <w:rtl/>
          <w:lang w:bidi="fa-IR"/>
        </w:rPr>
        <w:t>حَدَّثَنَا يُونُسُ ، عَنْ حَمَّادِ بْنِ عُثْمَانَ ، عَنِ الْفُضَيْلِ بْنِ يَسَارٍ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إِنَّ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نَصَبَ عَلِيّاً </w:t>
      </w:r>
      <w:r w:rsidRPr="00071CF9">
        <w:rPr>
          <w:rStyle w:val="libAlaemChar"/>
          <w:rtl/>
        </w:rPr>
        <w:t>عليه‌السلام</w:t>
      </w:r>
      <w:r w:rsidRPr="00132E65">
        <w:rPr>
          <w:rtl/>
          <w:lang w:bidi="fa-IR"/>
        </w:rPr>
        <w:t xml:space="preserve"> عَلَماً بَيْنَهُ وبَيْنَ خَلْقِهِ ؛ فَمَنْ عَرَفَهُ كَانَ مُؤْمِناً ، ومَنْ أَنْكَرَهُ كَانَ كَافِراً ، ومَنْ جَهِلَهُ كَانَ ضَالًّا ، ومَنْ نَصَبَ مَعَهُ شَيْئاً </w:t>
      </w:r>
      <w:r>
        <w:rPr>
          <w:rStyle w:val="libFootnotenumChar"/>
          <w:rtl/>
        </w:rPr>
        <w:t>(2)</w:t>
      </w:r>
      <w:r w:rsidRPr="00132E65">
        <w:rPr>
          <w:rtl/>
          <w:lang w:bidi="fa-IR"/>
        </w:rPr>
        <w:t xml:space="preserve"> كَانَ مُشْرِكاً ، ومَنْ جَاءَ بِوَلَايَتِهِ دَخَلَ الْجَنَّةَ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3C1E35">
        <w:rPr>
          <w:rtl/>
        </w:rPr>
        <w:t>1187</w:t>
      </w:r>
      <w:r w:rsidRPr="004325D8">
        <w:rPr>
          <w:rStyle w:val="libBold2Char"/>
          <w:rtl/>
        </w:rPr>
        <w:t xml:space="preserve"> / 8.</w:t>
      </w:r>
      <w:r w:rsidRPr="00132E65">
        <w:rPr>
          <w:rtl/>
          <w:lang w:bidi="fa-IR"/>
        </w:rPr>
        <w:t xml:space="preserve"> الْحُسَيْنُ بْنُ مُحَمَّدٍ ، عَنْ مُعَلَّى بْنِ مُحَمَّدٍ ، عَنِ الْوَشَّاءِ ، عَنْ عَبْدِ اللهِ بْنِ سِنَانٍ ، عَنْ أَبِي حَمْزَةَ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إِنَّ عَلِيّاً </w:t>
      </w:r>
      <w:r w:rsidRPr="00071CF9">
        <w:rPr>
          <w:rStyle w:val="libAlaemChar"/>
          <w:rtl/>
        </w:rPr>
        <w:t>عليه‌السلام</w:t>
      </w:r>
      <w:r w:rsidRPr="00132E65">
        <w:rPr>
          <w:rtl/>
          <w:lang w:bidi="fa-IR"/>
        </w:rPr>
        <w:t xml:space="preserve"> بَابٌ فَتَحَهُ اللهُ ؛ فَمَنْ دَخَلَهُ كَانَ مُؤْمِناً ، وَمَنْ خَرَجَ مِنْهُ </w:t>
      </w:r>
      <w:r>
        <w:rPr>
          <w:rStyle w:val="libFootnotenumChar"/>
          <w:rtl/>
        </w:rPr>
        <w:t>(5)</w:t>
      </w:r>
      <w:r w:rsidRPr="00132E65">
        <w:rPr>
          <w:rtl/>
          <w:lang w:bidi="fa-IR"/>
        </w:rPr>
        <w:t xml:space="preserve"> كَانَ كَافِراً ، ومَنْ لَمْ يَدْخُلْ فِيهِ ولَمْ يَخْرُجْ </w:t>
      </w:r>
      <w:r>
        <w:rPr>
          <w:rStyle w:val="libFootnotenumChar"/>
          <w:rtl/>
        </w:rPr>
        <w:t>(6)</w:t>
      </w:r>
      <w:r w:rsidRPr="00132E65">
        <w:rPr>
          <w:rtl/>
          <w:lang w:bidi="fa-IR"/>
        </w:rPr>
        <w:t xml:space="preserve"> مِنْهُ كَانَ فِي الطَّبَقَةِ الَّذِينَ‌</w:t>
      </w:r>
    </w:p>
    <w:p w:rsidR="000C39D1" w:rsidRPr="00132E65" w:rsidRDefault="000C39D1" w:rsidP="000C39D1">
      <w:pPr>
        <w:pStyle w:val="libLine"/>
        <w:rPr>
          <w:rtl/>
          <w:lang w:bidi="fa-IR"/>
        </w:rPr>
      </w:pPr>
      <w:r w:rsidRPr="00132E65">
        <w:rPr>
          <w:rtl/>
          <w:lang w:bidi="fa-IR"/>
        </w:rPr>
        <w:t>__________________</w:t>
      </w:r>
    </w:p>
    <w:p w:rsidR="000C39D1" w:rsidRPr="00132E65" w:rsidRDefault="00FA1AFC" w:rsidP="000C39D1">
      <w:pPr>
        <w:pStyle w:val="libFootnote0"/>
        <w:rPr>
          <w:rtl/>
          <w:lang w:bidi="fa-IR"/>
        </w:rPr>
      </w:pPr>
      <w:r>
        <w:rPr>
          <w:rFonts w:hint="cs"/>
          <w:rtl/>
        </w:rPr>
        <w:t xml:space="preserve">= </w:t>
      </w:r>
      <w:r w:rsidR="000C39D1" w:rsidRPr="00132E65">
        <w:rPr>
          <w:rtl/>
        </w:rPr>
        <w:t>« ووصيّه »</w:t>
      </w:r>
      <w:r w:rsidR="000C39D1">
        <w:rPr>
          <w:rtl/>
        </w:rPr>
        <w:t>.</w:t>
      </w:r>
      <w:r w:rsidR="000C39D1" w:rsidRPr="00132E65">
        <w:rPr>
          <w:rtl/>
        </w:rPr>
        <w:t xml:space="preserve"> وفي البصائر : « وولاية وصيّه »</w:t>
      </w:r>
      <w:r w:rsidR="000C39D1">
        <w:rPr>
          <w:rtl/>
        </w:rPr>
        <w:t>.</w:t>
      </w:r>
    </w:p>
    <w:p w:rsidR="000C39D1" w:rsidRPr="00132E65" w:rsidRDefault="000C39D1" w:rsidP="00FA1AFC">
      <w:pPr>
        <w:pStyle w:val="libFootnote0"/>
        <w:rPr>
          <w:rtl/>
          <w:lang w:bidi="fa-IR"/>
        </w:rPr>
      </w:pPr>
      <w:r>
        <w:rPr>
          <w:rtl/>
        </w:rPr>
        <w:t>(1).</w:t>
      </w:r>
      <w:r w:rsidRPr="00132E65">
        <w:rPr>
          <w:rtl/>
        </w:rPr>
        <w:t xml:space="preserve"> </w:t>
      </w:r>
      <w:r w:rsidRPr="007A1104">
        <w:rPr>
          <w:rStyle w:val="libFootnoteBoldChar"/>
          <w:rtl/>
        </w:rPr>
        <w:t>بصائر الدرجات</w:t>
      </w:r>
      <w:r w:rsidRPr="00132E65">
        <w:rPr>
          <w:rtl/>
        </w:rPr>
        <w:t xml:space="preserve"> ، ص 72 ، ح 1 ، عن يعقوب بن يزيد ، عن الحسن بن محبوب ؛ </w:t>
      </w:r>
      <w:r w:rsidRPr="003C1E35">
        <w:rPr>
          <w:rtl/>
        </w:rPr>
        <w:t>الاختصاص</w:t>
      </w:r>
      <w:r w:rsidRPr="00132E65">
        <w:rPr>
          <w:rtl/>
        </w:rPr>
        <w:t xml:space="preserve"> ، ص 18 ، عن محمّد بن الفضيل ، إلى قوله : « صحف الأنبياء »</w:t>
      </w:r>
      <w:r w:rsidR="00FA1AFC">
        <w:rPr>
          <w:rFonts w:hint="cs"/>
          <w:rtl/>
        </w:rPr>
        <w:t>.</w:t>
      </w:r>
      <w:r w:rsidRPr="009D1ACE">
        <w:rPr>
          <w:rStyle w:val="libFootnoteBoldChar"/>
          <w:rtl/>
        </w:rPr>
        <w:t>الوافي</w:t>
      </w:r>
      <w:r w:rsidRPr="00132E65">
        <w:rPr>
          <w:rtl/>
        </w:rPr>
        <w:t xml:space="preserve"> ، ج 3 ، ص 495 ، ح 1000 ؛ </w:t>
      </w:r>
      <w:r w:rsidRPr="003C1E35">
        <w:rPr>
          <w:rtl/>
        </w:rPr>
        <w:t>البحار</w:t>
      </w:r>
      <w:r w:rsidRPr="00132E65">
        <w:rPr>
          <w:rtl/>
        </w:rPr>
        <w:t xml:space="preserve"> ، ج 38 ، ص 46 ، ذيل ح 4.</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شيئاً »</w:t>
      </w:r>
      <w:r>
        <w:rPr>
          <w:rtl/>
        </w:rPr>
        <w:t>.</w:t>
      </w:r>
      <w:r w:rsidRPr="00132E65">
        <w:rPr>
          <w:rtl/>
        </w:rPr>
        <w:t xml:space="preserve"> وقال : « ومن نصب معه ، يعني أشرك معه غيره في منصبه »</w:t>
      </w:r>
      <w:r>
        <w:rPr>
          <w:rtl/>
        </w:rPr>
        <w:t>.</w:t>
      </w:r>
    </w:p>
    <w:p w:rsidR="000C39D1" w:rsidRPr="00132E65" w:rsidRDefault="000C39D1" w:rsidP="000C39D1">
      <w:pPr>
        <w:pStyle w:val="libFootnote0"/>
        <w:rPr>
          <w:rtl/>
          <w:lang w:bidi="fa-IR"/>
        </w:rPr>
      </w:pPr>
      <w:r>
        <w:rPr>
          <w:rtl/>
        </w:rPr>
        <w:t>(3).</w:t>
      </w:r>
      <w:r w:rsidRPr="00132E65">
        <w:rPr>
          <w:rtl/>
        </w:rPr>
        <w:t xml:space="preserve"> وفي </w:t>
      </w:r>
      <w:r w:rsidRPr="000577A7">
        <w:rPr>
          <w:rStyle w:val="libFootnoteBoldChar"/>
          <w:rtl/>
        </w:rPr>
        <w:t>الكافي</w:t>
      </w:r>
      <w:r w:rsidRPr="00132E65">
        <w:rPr>
          <w:rtl/>
        </w:rPr>
        <w:t xml:space="preserve"> ، ح 2863 والأمالي ، ص 487 :</w:t>
      </w:r>
      <w:r>
        <w:rPr>
          <w:rtl/>
        </w:rPr>
        <w:t xml:space="preserve"> + </w:t>
      </w:r>
      <w:r w:rsidRPr="00132E65">
        <w:rPr>
          <w:rtl/>
        </w:rPr>
        <w:t>« ومن جاء بعداوته دخل النار »</w:t>
      </w:r>
      <w:r>
        <w:rPr>
          <w:rtl/>
        </w:rPr>
        <w:t>.</w:t>
      </w:r>
      <w:r w:rsidRPr="00132E65">
        <w:rPr>
          <w:rtl/>
        </w:rPr>
        <w:t xml:space="preserve"> وفي الأمالي ، ص 410 :</w:t>
      </w:r>
      <w:r>
        <w:rPr>
          <w:rtl/>
        </w:rPr>
        <w:t xml:space="preserve"> + </w:t>
      </w:r>
      <w:r w:rsidRPr="00132E65">
        <w:rPr>
          <w:rtl/>
        </w:rPr>
        <w:t>« ومن أنكرها دخل النار »</w:t>
      </w:r>
      <w:r>
        <w:rPr>
          <w:rtl/>
        </w:rPr>
        <w:t>.</w:t>
      </w:r>
    </w:p>
    <w:p w:rsidR="00C17CD8" w:rsidRDefault="000C39D1" w:rsidP="00C17CD8">
      <w:pPr>
        <w:pStyle w:val="libFootnote0"/>
        <w:rPr>
          <w:rtl/>
        </w:rPr>
      </w:pPr>
      <w:r>
        <w:rPr>
          <w:rtl/>
        </w:rPr>
        <w:t>(4).</w:t>
      </w:r>
      <w:r w:rsidRPr="00132E65">
        <w:rPr>
          <w:rtl/>
        </w:rPr>
        <w:t xml:space="preserve"> </w:t>
      </w:r>
      <w:r w:rsidRPr="000577A7">
        <w:rPr>
          <w:rStyle w:val="libFootnoteBoldChar"/>
          <w:rtl/>
        </w:rPr>
        <w:t>الكافي</w:t>
      </w:r>
      <w:r w:rsidRPr="00132E65">
        <w:rPr>
          <w:rtl/>
        </w:rPr>
        <w:t xml:space="preserve"> ، كتاب الإيمان والكفر ، باب الكفر ، ح 2863 ، بسند آخر عن يونس ، عن فضيل بن يسار. وفي </w:t>
      </w:r>
      <w:r w:rsidRPr="003C1E35">
        <w:rPr>
          <w:rtl/>
        </w:rPr>
        <w:t>المحاسن</w:t>
      </w:r>
      <w:r w:rsidRPr="00132E65">
        <w:rPr>
          <w:rtl/>
        </w:rPr>
        <w:t xml:space="preserve"> ، ص 89 ، كتاب عقاب الأعمال ، ح 34 ؛ و</w:t>
      </w:r>
      <w:r w:rsidRPr="003C1E35">
        <w:rPr>
          <w:rtl/>
        </w:rPr>
        <w:t>ثواب الأعمال</w:t>
      </w:r>
      <w:r w:rsidRPr="00132E65">
        <w:rPr>
          <w:rtl/>
        </w:rPr>
        <w:t xml:space="preserve"> ، ص 249 ، ح 11 ، بسند آخر ، عن أبي عبد الله ، عن أبي جعفر </w:t>
      </w:r>
      <w:r w:rsidRPr="00FA1AFC">
        <w:rPr>
          <w:rStyle w:val="libFootnoteAlaemChar"/>
          <w:rtl/>
        </w:rPr>
        <w:t>عليهما‌السلام</w:t>
      </w:r>
      <w:r w:rsidRPr="00132E65">
        <w:rPr>
          <w:rtl/>
        </w:rPr>
        <w:t xml:space="preserve"> ، وفيهما : « إنّ الله تعالى جعل عليّاً عَلَماً بينه وبين خلقه ، ليس بينه وبينهم عَلَم غيره ، فمن تبعه كان مؤمناً ، ومن جحده كان كافراً ، ومن شكّ فيه كان مشركاً »</w:t>
      </w:r>
      <w:r>
        <w:rPr>
          <w:rtl/>
        </w:rPr>
        <w:t>.</w:t>
      </w:r>
      <w:r w:rsidRPr="00132E65">
        <w:rPr>
          <w:rtl/>
        </w:rPr>
        <w:t xml:space="preserve"> وفي </w:t>
      </w:r>
      <w:r w:rsidRPr="003C1E35">
        <w:rPr>
          <w:rtl/>
        </w:rPr>
        <w:t>الأمالي</w:t>
      </w:r>
      <w:r w:rsidRPr="00132E65">
        <w:rPr>
          <w:rtl/>
        </w:rPr>
        <w:t xml:space="preserve"> للطوسي ، ص 410 ، المجلس 14 ، ح 70 ، بسند آخر عن أبي عبد الله </w:t>
      </w:r>
      <w:r w:rsidRPr="00FA1AFC">
        <w:rPr>
          <w:rStyle w:val="libFootnoteAlaemChar"/>
          <w:rtl/>
        </w:rPr>
        <w:t>عليه‌السلام</w:t>
      </w:r>
      <w:r w:rsidRPr="00132E65">
        <w:rPr>
          <w:rtl/>
        </w:rPr>
        <w:t xml:space="preserve"> ؛ </w:t>
      </w:r>
      <w:r w:rsidRPr="003C1E35">
        <w:rPr>
          <w:rtl/>
        </w:rPr>
        <w:t>وفيه</w:t>
      </w:r>
      <w:r w:rsidRPr="00132E65">
        <w:rPr>
          <w:rtl/>
        </w:rPr>
        <w:t xml:space="preserve"> ، ص 487 ، المجلس 17 ، ح 36 ، بسند آخر عن أبي عبد الله ، عن آبائه ، عن رسول الله صلوات الله عليهم ، وفيهما مع اختلاف يسير. راجع : </w:t>
      </w:r>
      <w:r w:rsidRPr="003C1E35">
        <w:rPr>
          <w:rtl/>
        </w:rPr>
        <w:t>كمال الدين</w:t>
      </w:r>
      <w:r w:rsidRPr="00132E65">
        <w:rPr>
          <w:rtl/>
        </w:rPr>
        <w:t xml:space="preserve"> ، ص 412 ، ح 9</w:t>
      </w:r>
      <w:r w:rsidR="00FA1AFC">
        <w:rPr>
          <w:rFonts w:hint="cs"/>
          <w:rtl/>
        </w:rPr>
        <w:t>.</w:t>
      </w:r>
      <w:r w:rsidRPr="009D1ACE">
        <w:rPr>
          <w:rStyle w:val="libFootnoteBoldChar"/>
          <w:rtl/>
        </w:rPr>
        <w:t>الوافي</w:t>
      </w:r>
      <w:r w:rsidRPr="00132E65">
        <w:rPr>
          <w:rtl/>
        </w:rPr>
        <w:t xml:space="preserve"> ، ج 3 ، ص 521 ، ح 1038 ؛ </w:t>
      </w:r>
      <w:r w:rsidRPr="003C1E35">
        <w:rPr>
          <w:rtl/>
        </w:rPr>
        <w:t>الوسائل</w:t>
      </w:r>
      <w:r w:rsidRPr="00132E65">
        <w:rPr>
          <w:rtl/>
        </w:rPr>
        <w:t xml:space="preserve"> ، ج 28 ، ص 353 ، ح 34951 ؛ </w:t>
      </w:r>
      <w:r w:rsidRPr="003C1E35">
        <w:rPr>
          <w:rtl/>
        </w:rPr>
        <w:t>البحار</w:t>
      </w:r>
      <w:r w:rsidRPr="00132E65">
        <w:rPr>
          <w:rtl/>
        </w:rPr>
        <w:t xml:space="preserve"> ، ج 32 ، ص 324 ، ح 300.</w:t>
      </w:r>
    </w:p>
    <w:p w:rsidR="000C39D1" w:rsidRPr="00132E65" w:rsidRDefault="000C39D1" w:rsidP="00C17CD8">
      <w:pPr>
        <w:pStyle w:val="libFootnote0"/>
        <w:rPr>
          <w:rtl/>
          <w:lang w:bidi="fa-IR"/>
        </w:rPr>
      </w:pPr>
      <w:r>
        <w:rPr>
          <w:rtl/>
        </w:rPr>
        <w:t>(5).</w:t>
      </w:r>
      <w:r w:rsidRPr="00132E65">
        <w:rPr>
          <w:rtl/>
        </w:rPr>
        <w:t xml:space="preserve"> في حاشية « ج » : « عنه »</w:t>
      </w:r>
      <w:r>
        <w:rPr>
          <w:rtl/>
        </w:rPr>
        <w:t>.</w:t>
      </w:r>
    </w:p>
    <w:p w:rsidR="000C39D1" w:rsidRPr="00132E65" w:rsidRDefault="000C39D1" w:rsidP="000C39D1">
      <w:pPr>
        <w:pStyle w:val="libFootnote0"/>
        <w:rPr>
          <w:rtl/>
          <w:lang w:bidi="fa-IR"/>
        </w:rPr>
      </w:pPr>
      <w:r>
        <w:rPr>
          <w:rtl/>
        </w:rPr>
        <w:t>(6).</w:t>
      </w:r>
      <w:r w:rsidRPr="00132E65">
        <w:rPr>
          <w:rtl/>
        </w:rPr>
        <w:t xml:space="preserve"> في « ب ، ف ، بر ، بف » : « ويخرج » بدون لم.</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قَالَ اللهُ تَبَارَكَ وتَعَالى </w:t>
      </w:r>
      <w:r>
        <w:rPr>
          <w:rStyle w:val="libFootnotenumChar"/>
          <w:rtl/>
        </w:rPr>
        <w:t>(1)</w:t>
      </w:r>
      <w:r w:rsidRPr="00132E65">
        <w:rPr>
          <w:rtl/>
          <w:lang w:bidi="fa-IR"/>
        </w:rPr>
        <w:t xml:space="preserve"> : لِي </w:t>
      </w:r>
      <w:r>
        <w:rPr>
          <w:rStyle w:val="libFootnotenumChar"/>
          <w:rtl/>
        </w:rPr>
        <w:t>(2)</w:t>
      </w:r>
      <w:r w:rsidRPr="00132E65">
        <w:rPr>
          <w:rtl/>
          <w:lang w:bidi="fa-IR"/>
        </w:rPr>
        <w:t xml:space="preserve"> فِيهِمُ الْمَشِيئَةُ » </w:t>
      </w:r>
      <w:r>
        <w:rPr>
          <w:rStyle w:val="libFootnotenumChar"/>
          <w:rtl/>
        </w:rPr>
        <w:t>(3)</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3C1E35">
        <w:rPr>
          <w:rtl/>
        </w:rPr>
        <w:t>1188</w:t>
      </w:r>
      <w:r w:rsidRPr="004325D8">
        <w:rPr>
          <w:rStyle w:val="libBold2Char"/>
          <w:rtl/>
        </w:rPr>
        <w:t xml:space="preserve"> / 9.</w:t>
      </w:r>
      <w:r w:rsidRPr="00132E65">
        <w:rPr>
          <w:rtl/>
          <w:lang w:bidi="fa-IR"/>
        </w:rPr>
        <w:t xml:space="preserve"> مُحَمَّدُ بْنُ يَحْيى ، عَنْ أَحْمَدَ بْنِ مُحَمَّدٍ ، عَنِ ابْنِ مَحْبُوبٍ ، عَنِ ابْنِ رِئَابٍ </w:t>
      </w:r>
      <w:r>
        <w:rPr>
          <w:rStyle w:val="libFootnotenumChar"/>
          <w:rtl/>
        </w:rPr>
        <w:t>(5)</w:t>
      </w:r>
      <w:r w:rsidRPr="00132E65">
        <w:rPr>
          <w:rtl/>
          <w:lang w:bidi="fa-IR"/>
        </w:rPr>
        <w:t xml:space="preserve"> ، عَنْ بُكَيْرِ بْنِ أَعْيَنَ ، قَالَ :</w:t>
      </w:r>
    </w:p>
    <w:p w:rsidR="000C39D1" w:rsidRPr="00132E65" w:rsidRDefault="000C39D1" w:rsidP="00C17CD8">
      <w:pPr>
        <w:pStyle w:val="libNormal"/>
        <w:rPr>
          <w:rtl/>
          <w:lang w:bidi="fa-IR"/>
        </w:rPr>
      </w:pPr>
      <w:r w:rsidRPr="00132E65">
        <w:rPr>
          <w:rtl/>
          <w:lang w:bidi="fa-IR"/>
        </w:rPr>
        <w:t xml:space="preserve">كَانَ أَبُو جَعْفَرٍ </w:t>
      </w:r>
      <w:r w:rsidRPr="00071CF9">
        <w:rPr>
          <w:rStyle w:val="libAlaemChar"/>
          <w:rtl/>
        </w:rPr>
        <w:t>عليه‌السلام</w:t>
      </w:r>
      <w:r w:rsidRPr="00132E65">
        <w:rPr>
          <w:rtl/>
          <w:lang w:bidi="fa-IR"/>
        </w:rPr>
        <w:t xml:space="preserve"> يَقُولُ : « إِنَّ اللهَ أَخَذَ مِيثَاقَ شِيعَتِنَا بِالْوَلَايَةِ لَنَا</w:t>
      </w:r>
      <w:r>
        <w:rPr>
          <w:rtl/>
          <w:lang w:bidi="fa-IR"/>
        </w:rPr>
        <w:t xml:space="preserve"> - </w:t>
      </w:r>
      <w:r w:rsidRPr="00132E65">
        <w:rPr>
          <w:rtl/>
          <w:lang w:bidi="fa-IR"/>
        </w:rPr>
        <w:t>وهُمْ ذَرٌّ</w:t>
      </w:r>
      <w:r>
        <w:rPr>
          <w:rtl/>
          <w:lang w:bidi="fa-IR"/>
        </w:rPr>
        <w:t xml:space="preserve"> - </w:t>
      </w:r>
      <w:r w:rsidRPr="00132E65">
        <w:rPr>
          <w:rtl/>
          <w:lang w:bidi="fa-IR"/>
        </w:rPr>
        <w:t xml:space="preserve">يَوْمَ أَخَذَ الْمِيثَاقَ عَلَى الذَّرِّ بِالْإِقْرَارِ لَهُ </w:t>
      </w:r>
      <w:r>
        <w:rPr>
          <w:rStyle w:val="libFootnotenumChar"/>
          <w:rtl/>
        </w:rPr>
        <w:t>(6)</w:t>
      </w:r>
      <w:r w:rsidRPr="00132E65">
        <w:rPr>
          <w:rtl/>
          <w:lang w:bidi="fa-IR"/>
        </w:rPr>
        <w:t xml:space="preserve"> بِالرُّبُوبِيَّةِ ، ولِمُحَمَّدٍ </w:t>
      </w:r>
      <w:r w:rsidRPr="0093484F">
        <w:rPr>
          <w:rStyle w:val="libAlaemChar"/>
          <w:rFonts w:eastAsiaTheme="minorHAnsi"/>
          <w:rtl/>
        </w:rPr>
        <w:t>صلى‌الله‌عليه‌وآله</w:t>
      </w:r>
      <w:r w:rsidRPr="00132E65">
        <w:rPr>
          <w:rtl/>
          <w:lang w:bidi="fa-IR"/>
        </w:rPr>
        <w:t xml:space="preserve"> بِالنُّبُوَّةِ ، وعَرَضَ اللهُ</w:t>
      </w:r>
      <w:r>
        <w:rPr>
          <w:rtl/>
          <w:lang w:bidi="fa-IR"/>
        </w:rPr>
        <w:t xml:space="preserve"> - </w:t>
      </w:r>
      <w:r w:rsidRPr="00132E65">
        <w:rPr>
          <w:rtl/>
          <w:lang w:bidi="fa-IR"/>
        </w:rPr>
        <w:t xml:space="preserve">جَلَّ وعَزَّ </w:t>
      </w:r>
      <w:r>
        <w:rPr>
          <w:rStyle w:val="libFootnotenumChar"/>
          <w:rtl/>
        </w:rPr>
        <w:t>(7)</w:t>
      </w:r>
      <w:r>
        <w:rPr>
          <w:rtl/>
          <w:lang w:bidi="fa-IR"/>
        </w:rPr>
        <w:t xml:space="preserve"> - </w:t>
      </w:r>
      <w:r w:rsidRPr="00132E65">
        <w:rPr>
          <w:rtl/>
          <w:lang w:bidi="fa-IR"/>
        </w:rPr>
        <w:t xml:space="preserve">عَلى مُحَمَّدٍ </w:t>
      </w:r>
      <w:r w:rsidRPr="0093484F">
        <w:rPr>
          <w:rStyle w:val="libAlaemChar"/>
          <w:rFonts w:eastAsiaTheme="minorHAnsi"/>
          <w:rtl/>
        </w:rPr>
        <w:t>صلى‌الله‌عليه‌وآله</w:t>
      </w:r>
      <w:r w:rsidRPr="00132E65">
        <w:rPr>
          <w:rtl/>
          <w:lang w:bidi="fa-IR"/>
        </w:rPr>
        <w:t xml:space="preserve"> أُمَّتَهُ فِي الطِّينِ وهُمْ أَظِلَّةٌ </w:t>
      </w:r>
      <w:r>
        <w:rPr>
          <w:rStyle w:val="libFootnotenumChar"/>
          <w:rtl/>
        </w:rPr>
        <w:t>(8)</w:t>
      </w:r>
      <w:r w:rsidRPr="00132E65">
        <w:rPr>
          <w:rtl/>
          <w:lang w:bidi="fa-IR"/>
        </w:rPr>
        <w:t xml:space="preserve"> ، وخَلَقَهُمْ مِنَ الطِّينَةِ الَّتِي خُلِقَ </w:t>
      </w:r>
      <w:r>
        <w:rPr>
          <w:rStyle w:val="libFootnotenumChar"/>
          <w:rtl/>
        </w:rPr>
        <w:t>(9)</w:t>
      </w:r>
      <w:r w:rsidRPr="00132E65">
        <w:rPr>
          <w:rtl/>
          <w:lang w:bidi="fa-IR"/>
        </w:rPr>
        <w:t xml:space="preserve"> مِنْهَا آدَمُ ، وخَلَقَ اللهُ أَرْوَاحَ شِيعَتِنَا قَبْلَ أَبْدَانِهِمْ بِأَلْفَيْ عَامٍ </w:t>
      </w:r>
      <w:r>
        <w:rPr>
          <w:rStyle w:val="libFootnotenumChar"/>
          <w:rtl/>
        </w:rPr>
        <w:t>(10)</w:t>
      </w:r>
      <w:r w:rsidRPr="00132E65">
        <w:rPr>
          <w:rtl/>
          <w:lang w:bidi="fa-IR"/>
        </w:rPr>
        <w:t xml:space="preserve"> ، وَعَرَضَهُمْ عَلَيْهِ ، وعَرَّفَهُمْ رَسُولَ اللهِ </w:t>
      </w:r>
      <w:r w:rsidR="00C17CD8" w:rsidRPr="0093484F">
        <w:rPr>
          <w:rStyle w:val="libAlaemChar"/>
          <w:rFonts w:eastAsiaTheme="minorHAnsi"/>
          <w:rtl/>
        </w:rPr>
        <w:t>صلى‌الله‌عليه‌وآله</w:t>
      </w:r>
      <w:r w:rsidR="00C17CD8" w:rsidRPr="00132E65">
        <w:rPr>
          <w:rtl/>
          <w:lang w:bidi="fa-IR"/>
        </w:rPr>
        <w:t xml:space="preserve"> </w:t>
      </w:r>
      <w:r w:rsidRPr="00132E65">
        <w:rPr>
          <w:rtl/>
          <w:lang w:bidi="fa-IR"/>
        </w:rPr>
        <w:t xml:space="preserve">، وعَرَّفَهُمْ عَلِيّاً </w:t>
      </w:r>
      <w:r w:rsidRPr="00071CF9">
        <w:rPr>
          <w:rStyle w:val="libAlaemChar"/>
          <w:rtl/>
        </w:rPr>
        <w:t>عليه‌السلام</w:t>
      </w:r>
      <w:r w:rsidRPr="00132E65">
        <w:rPr>
          <w:rtl/>
          <w:lang w:bidi="fa-IR"/>
        </w:rPr>
        <w:t xml:space="preserve"> ، ونَحْنُ نَعْرِفُهُمْ فِي لَحْنِ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44FD" w:rsidTr="00C044FD">
        <w:tc>
          <w:tcPr>
            <w:tcW w:w="4006" w:type="dxa"/>
          </w:tcPr>
          <w:p w:rsidR="00C044FD" w:rsidRDefault="00C044FD"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فيهم »</w:t>
            </w:r>
            <w:r>
              <w:rPr>
                <w:rtl/>
              </w:rPr>
              <w:t>.</w:t>
            </w:r>
          </w:p>
        </w:tc>
        <w:tc>
          <w:tcPr>
            <w:tcW w:w="4006" w:type="dxa"/>
          </w:tcPr>
          <w:p w:rsidR="00C044FD" w:rsidRDefault="00C044FD" w:rsidP="000C39D1">
            <w:pPr>
              <w:pStyle w:val="libFootnote0"/>
              <w:rPr>
                <w:rtl/>
              </w:rPr>
            </w:pPr>
            <w:r>
              <w:rPr>
                <w:rtl/>
              </w:rPr>
              <w:t>(2). في«ب،ض»والوسائل:-«لي</w:t>
            </w:r>
            <w:r w:rsidRPr="00132E65">
              <w:rPr>
                <w:rtl/>
              </w:rPr>
              <w:t>»</w:t>
            </w:r>
            <w:r>
              <w:rPr>
                <w:rtl/>
              </w:rPr>
              <w:t>.وفي«ف»</w:t>
            </w:r>
            <w:r w:rsidRPr="00132E65">
              <w:rPr>
                <w:rtl/>
              </w:rPr>
              <w:t>: « لما »</w:t>
            </w:r>
            <w:r>
              <w:rPr>
                <w:rtl/>
              </w:rPr>
              <w:t>.</w:t>
            </w:r>
          </w:p>
        </w:tc>
      </w:tr>
    </w:tbl>
    <w:p w:rsidR="000C39D1" w:rsidRPr="00132E65" w:rsidRDefault="000C39D1" w:rsidP="000C39D1">
      <w:pPr>
        <w:pStyle w:val="libFootnote0"/>
        <w:rPr>
          <w:rtl/>
          <w:lang w:bidi="fa-IR"/>
        </w:rPr>
      </w:pPr>
      <w:r>
        <w:rPr>
          <w:rtl/>
        </w:rPr>
        <w:t>(3).</w:t>
      </w:r>
      <w:r w:rsidRPr="00132E65">
        <w:rPr>
          <w:rtl/>
        </w:rPr>
        <w:t xml:space="preserve"> إشارة إلى الآية 106 من سورة التوبة </w:t>
      </w:r>
      <w:r w:rsidR="00750D87">
        <w:rPr>
          <w:rtl/>
        </w:rPr>
        <w:t>(9)</w:t>
      </w:r>
      <w:r>
        <w:rPr>
          <w:rtl/>
        </w:rPr>
        <w:t xml:space="preserve"> :</w:t>
      </w:r>
      <w:r w:rsidRPr="00132E65">
        <w:rPr>
          <w:rtl/>
        </w:rPr>
        <w:t xml:space="preserve"> </w:t>
      </w:r>
      <w:r w:rsidRPr="00750D87">
        <w:rPr>
          <w:rStyle w:val="libFootnoteAlaemChar"/>
          <w:rtl/>
        </w:rPr>
        <w:t>(</w:t>
      </w:r>
      <w:r>
        <w:rPr>
          <w:rFonts w:hint="cs"/>
          <w:rtl/>
        </w:rPr>
        <w:t xml:space="preserve"> </w:t>
      </w:r>
      <w:r w:rsidRPr="00C2691A">
        <w:rPr>
          <w:rStyle w:val="libFootnoteAieChar"/>
          <w:rtl/>
        </w:rPr>
        <w:t>وَآخَرُونَ مُرْجَوْنَ لِأَمْرِ اللهِ إِمّا يُعَذِّبُهُمْ وَإِمّا يَتُوبُ عَلَيْهِمْ</w:t>
      </w:r>
      <w:r>
        <w:rPr>
          <w:rFonts w:hint="cs"/>
          <w:rtl/>
        </w:rPr>
        <w:t xml:space="preserve"> </w:t>
      </w:r>
      <w:r w:rsidRPr="00750D87">
        <w:rPr>
          <w:rStyle w:val="libFootnoteAlaemChar"/>
          <w:rtl/>
        </w:rPr>
        <w:t>)</w:t>
      </w:r>
      <w:r w:rsidRPr="00132E65">
        <w:rPr>
          <w:rtl/>
        </w:rPr>
        <w:t>.</w:t>
      </w:r>
    </w:p>
    <w:p w:rsidR="000C39D1" w:rsidRPr="00132E65" w:rsidRDefault="000C39D1" w:rsidP="00750D87">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الإيمان والكفر ، باب الكفر ، ح 2859 ، إلى قوله : « ومن خرج منه كان كافراً »</w:t>
      </w:r>
      <w:r>
        <w:rPr>
          <w:rtl/>
        </w:rPr>
        <w:t>.</w:t>
      </w:r>
      <w:r w:rsidRPr="00132E65">
        <w:rPr>
          <w:rtl/>
        </w:rPr>
        <w:t xml:space="preserve"> </w:t>
      </w:r>
      <w:r w:rsidRPr="003C1E35">
        <w:rPr>
          <w:rtl/>
        </w:rPr>
        <w:t>وفيه</w:t>
      </w:r>
      <w:r w:rsidRPr="00132E65">
        <w:rPr>
          <w:rtl/>
        </w:rPr>
        <w:t xml:space="preserve"> ، ح 2861 ، عن الحسين بن محمّد ، عن معلّى بن محمّد ، عن الوشّاء ، عن إبراهيم بن أبي بكر ، عن أبي الحسن موسى </w:t>
      </w:r>
      <w:r w:rsidRPr="00C044FD">
        <w:rPr>
          <w:rStyle w:val="libFootnoteAlaemChar"/>
          <w:rtl/>
        </w:rPr>
        <w:t>عليه‌السلام</w:t>
      </w:r>
      <w:r w:rsidRPr="00132E65">
        <w:rPr>
          <w:rtl/>
        </w:rPr>
        <w:t xml:space="preserve">. </w:t>
      </w:r>
      <w:r w:rsidRPr="003C1E35">
        <w:rPr>
          <w:rtl/>
        </w:rPr>
        <w:t>وفيه</w:t>
      </w:r>
      <w:r w:rsidRPr="00132E65">
        <w:rPr>
          <w:rtl/>
        </w:rPr>
        <w:t xml:space="preserve"> أيضاً ، نفس الباب ، ح 2864 ، بسند آخر عن أبي إبراهيم </w:t>
      </w:r>
      <w:r w:rsidRPr="00C044FD">
        <w:rPr>
          <w:rStyle w:val="libFootnoteAlaemChar"/>
          <w:rtl/>
        </w:rPr>
        <w:t>عليه‌السلام</w:t>
      </w:r>
      <w:r w:rsidRPr="00132E65">
        <w:rPr>
          <w:rtl/>
        </w:rPr>
        <w:t xml:space="preserve"> ، مع اختلاف يسير. </w:t>
      </w:r>
      <w:r w:rsidRPr="003C1E35">
        <w:rPr>
          <w:rtl/>
        </w:rPr>
        <w:t>كتاب سليم بن قيس</w:t>
      </w:r>
      <w:r w:rsidRPr="00132E65">
        <w:rPr>
          <w:rtl/>
        </w:rPr>
        <w:t xml:space="preserve"> ، ص 861 ، ح 47 ، عن سلمان الفارسي ، من دون الإسناد إلى المعصوم </w:t>
      </w:r>
      <w:r w:rsidRPr="00C044FD">
        <w:rPr>
          <w:rStyle w:val="libFootnoteAlaemChar"/>
          <w:rtl/>
        </w:rPr>
        <w:t>عليه‌السلام</w:t>
      </w:r>
      <w:r w:rsidRPr="00132E65">
        <w:rPr>
          <w:rtl/>
        </w:rPr>
        <w:t xml:space="preserve"> ، إلى قوله : « ومن خرج منه كان كافراً »</w:t>
      </w:r>
      <w:r>
        <w:rPr>
          <w:rtl/>
        </w:rPr>
        <w:t>.</w:t>
      </w:r>
      <w:r w:rsidRPr="00132E65">
        <w:rPr>
          <w:rtl/>
        </w:rPr>
        <w:t xml:space="preserve"> راجع : </w:t>
      </w:r>
      <w:r w:rsidRPr="003C1E35">
        <w:rPr>
          <w:rtl/>
        </w:rPr>
        <w:t>الجمل</w:t>
      </w:r>
      <w:r w:rsidRPr="00132E65">
        <w:rPr>
          <w:rtl/>
        </w:rPr>
        <w:t xml:space="preserve"> ، ص 253 ؛ و</w:t>
      </w:r>
      <w:r w:rsidRPr="003C1E35">
        <w:rPr>
          <w:rtl/>
        </w:rPr>
        <w:t>تفسير فرات</w:t>
      </w:r>
      <w:r w:rsidRPr="00132E65">
        <w:rPr>
          <w:rtl/>
        </w:rPr>
        <w:t xml:space="preserve"> ، ص 79 ، ح 54 </w:t>
      </w:r>
      <w:r>
        <w:rPr>
          <w:rtl/>
        </w:rPr>
        <w:t>و 5</w:t>
      </w:r>
      <w:r w:rsidRPr="00132E65">
        <w:rPr>
          <w:rtl/>
        </w:rPr>
        <w:t>5</w:t>
      </w:r>
      <w:r w:rsidR="00750D87">
        <w:rPr>
          <w:rFonts w:hint="cs"/>
          <w:rtl/>
        </w:rPr>
        <w:t>.</w:t>
      </w:r>
      <w:r w:rsidRPr="009D1ACE">
        <w:rPr>
          <w:rStyle w:val="libFootnoteBoldChar"/>
          <w:rtl/>
        </w:rPr>
        <w:t>الوافي</w:t>
      </w:r>
      <w:r w:rsidRPr="00132E65">
        <w:rPr>
          <w:rtl/>
        </w:rPr>
        <w:t xml:space="preserve"> ، ج 3 ، ص 507 ، ح 1019 ؛ </w:t>
      </w:r>
      <w:r w:rsidRPr="003C1E35">
        <w:rPr>
          <w:rtl/>
        </w:rPr>
        <w:t>الوسائل</w:t>
      </w:r>
      <w:r w:rsidRPr="00132E65">
        <w:rPr>
          <w:rtl/>
        </w:rPr>
        <w:t xml:space="preserve"> ، ج 28 ، ص 354 ، ح 34952 ؛ </w:t>
      </w:r>
      <w:r w:rsidRPr="003C1E35">
        <w:rPr>
          <w:rtl/>
        </w:rPr>
        <w:t>البحار</w:t>
      </w:r>
      <w:r w:rsidRPr="00132E65">
        <w:rPr>
          <w:rtl/>
        </w:rPr>
        <w:t xml:space="preserve"> ، ج 32 ، ص 324 ، ح 301.</w:t>
      </w:r>
    </w:p>
    <w:p w:rsidR="000C39D1" w:rsidRPr="00132E65" w:rsidRDefault="000C39D1" w:rsidP="00750D87">
      <w:pPr>
        <w:pStyle w:val="libFootnote0"/>
        <w:rPr>
          <w:rtl/>
          <w:lang w:bidi="fa-IR"/>
        </w:rPr>
      </w:pPr>
      <w:r>
        <w:rPr>
          <w:rtl/>
        </w:rPr>
        <w:t>(5).</w:t>
      </w:r>
      <w:r w:rsidRPr="00132E65">
        <w:rPr>
          <w:rtl/>
        </w:rPr>
        <w:t xml:space="preserve"> في البحار </w:t>
      </w:r>
      <w:r>
        <w:rPr>
          <w:rtl/>
        </w:rPr>
        <w:t xml:space="preserve">: - </w:t>
      </w:r>
      <w:r w:rsidRPr="00132E65">
        <w:rPr>
          <w:rtl/>
        </w:rPr>
        <w:t>« عن ابن رئاب »</w:t>
      </w:r>
      <w:r>
        <w:rPr>
          <w:rtl/>
        </w:rPr>
        <w:t>.</w:t>
      </w:r>
      <w:r w:rsidRPr="00132E65">
        <w:rPr>
          <w:rtl/>
        </w:rPr>
        <w:t xml:space="preserve"> وهو سهو ؛ فقد مات بكير بن أعين في حياة أبي عبدالله </w:t>
      </w:r>
      <w:r w:rsidRPr="00C044FD">
        <w:rPr>
          <w:rStyle w:val="libFootnoteAlaemChar"/>
          <w:rtl/>
        </w:rPr>
        <w:t>عليه‌السلام</w:t>
      </w:r>
      <w:r w:rsidRPr="00132E65">
        <w:rPr>
          <w:rtl/>
        </w:rPr>
        <w:t xml:space="preserve"> ، ولم يدرك ابنُ‌محبوب</w:t>
      </w:r>
      <w:r>
        <w:rPr>
          <w:rtl/>
        </w:rPr>
        <w:t xml:space="preserve"> - </w:t>
      </w:r>
      <w:r w:rsidRPr="00132E65">
        <w:rPr>
          <w:rtl/>
        </w:rPr>
        <w:t>وهو الحسن</w:t>
      </w:r>
      <w:r>
        <w:rPr>
          <w:rtl/>
        </w:rPr>
        <w:t xml:space="preserve"> - </w:t>
      </w:r>
      <w:r w:rsidRPr="00132E65">
        <w:rPr>
          <w:rtl/>
        </w:rPr>
        <w:t xml:space="preserve">/ رواةَ هذه الطبقة. راجع : </w:t>
      </w:r>
      <w:r w:rsidRPr="003C1E35">
        <w:rPr>
          <w:rtl/>
        </w:rPr>
        <w:t>رجال الكشّي</w:t>
      </w:r>
      <w:r w:rsidRPr="00132E65">
        <w:rPr>
          <w:rtl/>
        </w:rPr>
        <w:t xml:space="preserve"> ، ص 161 ، الرقم 270 ؛ </w:t>
      </w:r>
      <w:r w:rsidRPr="003C1E35">
        <w:rPr>
          <w:rtl/>
        </w:rPr>
        <w:t>رجال الطوسي</w:t>
      </w:r>
      <w:r w:rsidRPr="00132E65">
        <w:rPr>
          <w:rtl/>
        </w:rPr>
        <w:t xml:space="preserve"> ، ص 170 ، الرقم 1992.</w:t>
      </w:r>
      <w:r w:rsidR="00750D87">
        <w:rPr>
          <w:rFonts w:hint="cs"/>
          <w:rtl/>
        </w:rPr>
        <w:t xml:space="preserve">                                  </w:t>
      </w:r>
      <w:r>
        <w:rPr>
          <w:rtl/>
        </w:rPr>
        <w:t>(6).</w:t>
      </w:r>
      <w:r w:rsidRPr="00132E65">
        <w:rPr>
          <w:rtl/>
        </w:rPr>
        <w:t xml:space="preserve"> في البحار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006"/>
        <w:gridCol w:w="4006"/>
      </w:tblGrid>
      <w:tr w:rsidR="00750D87" w:rsidTr="00750D87">
        <w:tc>
          <w:tcPr>
            <w:tcW w:w="4006" w:type="dxa"/>
          </w:tcPr>
          <w:p w:rsidR="00750D87" w:rsidRDefault="00750D87" w:rsidP="000C39D1">
            <w:pPr>
              <w:pStyle w:val="libFootnote0"/>
              <w:rPr>
                <w:rtl/>
              </w:rPr>
            </w:pPr>
            <w:r>
              <w:rPr>
                <w:rtl/>
              </w:rPr>
              <w:t>(7).</w:t>
            </w:r>
            <w:r w:rsidRPr="00132E65">
              <w:rPr>
                <w:rtl/>
              </w:rPr>
              <w:t xml:space="preserve"> في المحاسن </w:t>
            </w:r>
            <w:r>
              <w:rPr>
                <w:rtl/>
              </w:rPr>
              <w:t xml:space="preserve">: - </w:t>
            </w:r>
            <w:r w:rsidRPr="00132E65">
              <w:rPr>
                <w:rtl/>
              </w:rPr>
              <w:t>« الله جلّ وعزّ »</w:t>
            </w:r>
            <w:r>
              <w:rPr>
                <w:rtl/>
              </w:rPr>
              <w:t>.</w:t>
            </w:r>
          </w:p>
        </w:tc>
        <w:tc>
          <w:tcPr>
            <w:tcW w:w="4006" w:type="dxa"/>
          </w:tcPr>
          <w:p w:rsidR="00750D87" w:rsidRDefault="00750D87" w:rsidP="000C39D1">
            <w:pPr>
              <w:pStyle w:val="libFootnote0"/>
              <w:rPr>
                <w:rtl/>
              </w:rPr>
            </w:pPr>
            <w:r>
              <w:rPr>
                <w:rtl/>
              </w:rPr>
              <w:t>(8).</w:t>
            </w:r>
            <w:r w:rsidRPr="00132E65">
              <w:rPr>
                <w:rtl/>
              </w:rPr>
              <w:t xml:space="preserve"> في « ف » : « والظلمة » بدل « وهم أظلّة »</w:t>
            </w:r>
            <w:r>
              <w:rPr>
                <w:rtl/>
              </w:rPr>
              <w:t>.</w:t>
            </w:r>
          </w:p>
        </w:tc>
      </w:tr>
    </w:tbl>
    <w:p w:rsidR="000C39D1" w:rsidRPr="00132E65" w:rsidRDefault="000C39D1" w:rsidP="000C39D1">
      <w:pPr>
        <w:pStyle w:val="libFootnote0"/>
        <w:rPr>
          <w:rtl/>
          <w:lang w:bidi="fa-IR"/>
        </w:rPr>
      </w:pPr>
      <w:r>
        <w:rPr>
          <w:rtl/>
        </w:rPr>
        <w:t>(9).</w:t>
      </w:r>
      <w:r w:rsidRPr="00132E65">
        <w:rPr>
          <w:rtl/>
        </w:rPr>
        <w:t xml:space="preserve"> يجوز فيه المبنيّ للفاعل أيضاً.</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الوافي</w:t>
      </w:r>
      <w:r w:rsidRPr="00132E65">
        <w:rPr>
          <w:rtl/>
        </w:rPr>
        <w:t xml:space="preserve"> : « كأنّ المراد بالقبليّة القبليّة بالرتبة. والتعبير بألفي عام على التقدير والتمثيل ، يعني لو قدّر دخولها في الزمان وتمثّلت ، لكانت ألفي عام »</w:t>
      </w:r>
      <w:r>
        <w:rPr>
          <w:rtl/>
        </w:rPr>
        <w:t>.</w:t>
      </w:r>
    </w:p>
    <w:p w:rsidR="000C39D1" w:rsidRPr="00132E65" w:rsidRDefault="000C39D1" w:rsidP="000C39D1">
      <w:pPr>
        <w:pStyle w:val="libFootnote0"/>
        <w:rPr>
          <w:rtl/>
          <w:lang w:bidi="fa-IR"/>
        </w:rPr>
      </w:pPr>
      <w:r>
        <w:rPr>
          <w:rtl/>
        </w:rPr>
        <w:t>(11).</w:t>
      </w:r>
      <w:r w:rsidRPr="00132E65">
        <w:rPr>
          <w:rtl/>
        </w:rPr>
        <w:t xml:space="preserve"> « اللَحْنُ » : صرف الكلام عن سننه الجاري عليه إمّا بإزالة الإعراب ، أو التصحيف ، وهو المذموم ، وذلك أكثراستعمالاً. وإمّا بإزالته عن التصريح وصرفه بمعناه إلى تعريض وفحوى ، وهو محمود عند أكثر الا</w:t>
      </w:r>
      <w:r w:rsidR="00EC763C">
        <w:rPr>
          <w:rFonts w:hint="cs"/>
          <w:rtl/>
        </w:rPr>
        <w:t>ُ</w:t>
      </w:r>
      <w:r w:rsidRPr="00132E65">
        <w:rPr>
          <w:rtl/>
        </w:rPr>
        <w:t xml:space="preserve">دباء من حيث البلاغة ، وإيّاه قصدَ هاهنا. راجع : </w:t>
      </w:r>
      <w:r w:rsidRPr="003C1E35">
        <w:rPr>
          <w:rtl/>
        </w:rPr>
        <w:t>المفردات</w:t>
      </w:r>
      <w:r w:rsidRPr="00132E65">
        <w:rPr>
          <w:rtl/>
        </w:rPr>
        <w:t xml:space="preserve"> للراغب ، ص 728 ( لحن )</w:t>
      </w:r>
      <w:r>
        <w:rPr>
          <w:rtl/>
        </w:rPr>
        <w:t>.</w:t>
      </w:r>
    </w:p>
    <w:p w:rsidR="000C39D1" w:rsidRDefault="000C39D1" w:rsidP="000C39D1">
      <w:pPr>
        <w:pStyle w:val="libNormal0"/>
        <w:tabs>
          <w:tab w:val="left" w:pos="3968"/>
        </w:tabs>
        <w:rPr>
          <w:rtl/>
          <w:lang w:bidi="fa-IR"/>
        </w:rPr>
      </w:pPr>
      <w:r>
        <w:rPr>
          <w:rtl/>
          <w:lang w:bidi="fa-IR"/>
        </w:rPr>
        <w:br w:type="page"/>
      </w:r>
    </w:p>
    <w:p w:rsidR="000C39D1" w:rsidRPr="00660DE0" w:rsidRDefault="000C39D1" w:rsidP="000C39D1">
      <w:pPr>
        <w:pStyle w:val="libNormal0"/>
        <w:tabs>
          <w:tab w:val="left" w:pos="3968"/>
        </w:tabs>
        <w:rPr>
          <w:rtl/>
        </w:rPr>
      </w:pPr>
      <w:r w:rsidRPr="00660DE0">
        <w:rPr>
          <w:rtl/>
        </w:rPr>
        <w:t xml:space="preserve">الْقَوْلِ ». </w:t>
      </w:r>
      <w:r>
        <w:rPr>
          <w:rStyle w:val="libFootnotenumChar"/>
          <w:rtl/>
        </w:rPr>
        <w:t>(1)</w:t>
      </w:r>
    </w:p>
    <w:p w:rsidR="000C39D1" w:rsidRPr="00132E65" w:rsidRDefault="000C39D1" w:rsidP="000C39D1">
      <w:pPr>
        <w:pStyle w:val="Heading2Center"/>
        <w:rPr>
          <w:rtl/>
          <w:lang w:bidi="fa-IR"/>
        </w:rPr>
      </w:pPr>
      <w:bookmarkStart w:id="150" w:name="_Toc459459151"/>
      <w:bookmarkStart w:id="151" w:name="_Toc34663120"/>
      <w:r w:rsidRPr="00132E65">
        <w:rPr>
          <w:rtl/>
          <w:lang w:bidi="fa-IR"/>
        </w:rPr>
        <w:t>110</w:t>
      </w:r>
      <w:r>
        <w:rPr>
          <w:rtl/>
          <w:lang w:bidi="fa-IR"/>
        </w:rPr>
        <w:t xml:space="preserve"> - </w:t>
      </w:r>
      <w:r w:rsidRPr="00132E65">
        <w:rPr>
          <w:rtl/>
          <w:lang w:bidi="fa-IR"/>
        </w:rPr>
        <w:t xml:space="preserve">بَابٌ فِي مَعْرِفَتِهِمْ </w:t>
      </w:r>
      <w:r>
        <w:rPr>
          <w:rStyle w:val="libFootnotenumChar"/>
          <w:rtl/>
        </w:rPr>
        <w:t>(2)</w:t>
      </w:r>
      <w:r>
        <w:rPr>
          <w:rtl/>
          <w:lang w:bidi="fa-IR"/>
        </w:rPr>
        <w:t xml:space="preserve"> </w:t>
      </w:r>
      <w:r w:rsidRPr="00132E65">
        <w:rPr>
          <w:rtl/>
          <w:lang w:bidi="fa-IR"/>
        </w:rPr>
        <w:t>أَوْلِيَاءَهُمْ والتَّفْوِيضِ إِلَيْهِمْ‌</w:t>
      </w:r>
      <w:bookmarkEnd w:id="150"/>
      <w:bookmarkEnd w:id="151"/>
    </w:p>
    <w:p w:rsidR="000C39D1" w:rsidRPr="00132E65" w:rsidRDefault="000C39D1" w:rsidP="000C39D1">
      <w:pPr>
        <w:pStyle w:val="libNormal"/>
        <w:rPr>
          <w:rtl/>
          <w:lang w:bidi="fa-IR"/>
        </w:rPr>
      </w:pPr>
      <w:r w:rsidRPr="003C1E35">
        <w:rPr>
          <w:rtl/>
        </w:rPr>
        <w:t>1189</w:t>
      </w:r>
      <w:r w:rsidRPr="004325D8">
        <w:rPr>
          <w:rStyle w:val="libBold2Char"/>
          <w:rtl/>
        </w:rPr>
        <w:t xml:space="preserve"> / 1.</w:t>
      </w:r>
      <w:r w:rsidRPr="00132E65">
        <w:rPr>
          <w:rtl/>
          <w:lang w:bidi="fa-IR"/>
        </w:rPr>
        <w:t xml:space="preserve"> مُحَمَّدُ بْنُ يَحْيى ، عَنْ أَحْمَدَ بْنِ مُحَمَّدٍ ، عَنِ ابْنِ مَحْبُوبٍ ، عَنْ صَالِحِ بْنِ سَهْلٍ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(3)</w:t>
      </w:r>
      <w:r w:rsidRPr="00132E65">
        <w:rPr>
          <w:rtl/>
          <w:lang w:bidi="fa-IR"/>
        </w:rPr>
        <w:t xml:space="preserve"> : « أَنَّ رَجُلاً جَاءَ إِلى أَمِيرِ الْمُؤْمِنِينَ </w:t>
      </w:r>
      <w:r w:rsidRPr="00071CF9">
        <w:rPr>
          <w:rStyle w:val="libAlaemChar"/>
          <w:rtl/>
        </w:rPr>
        <w:t>عليه‌السلام</w:t>
      </w:r>
      <w:r>
        <w:rPr>
          <w:rtl/>
          <w:lang w:bidi="fa-IR"/>
        </w:rPr>
        <w:t xml:space="preserve"> - </w:t>
      </w:r>
      <w:r w:rsidRPr="00132E65">
        <w:rPr>
          <w:rtl/>
          <w:lang w:bidi="fa-IR"/>
        </w:rPr>
        <w:t>وهُوَ مَعَ أَصْحَابِهِ</w:t>
      </w:r>
      <w:r>
        <w:rPr>
          <w:rtl/>
          <w:lang w:bidi="fa-IR"/>
        </w:rPr>
        <w:t xml:space="preserve"> - </w:t>
      </w:r>
      <w:r w:rsidRPr="00132E65">
        <w:rPr>
          <w:rtl/>
          <w:lang w:bidi="fa-IR"/>
        </w:rPr>
        <w:t xml:space="preserve">فَسَلَّمَ عَلَيْهِ ، ثُمَّ قَالَ لَهُ </w:t>
      </w:r>
      <w:r>
        <w:rPr>
          <w:rStyle w:val="libFootnotenumChar"/>
          <w:rtl/>
        </w:rPr>
        <w:t>(4)</w:t>
      </w:r>
      <w:r w:rsidRPr="00132E65">
        <w:rPr>
          <w:rtl/>
          <w:lang w:bidi="fa-IR"/>
        </w:rPr>
        <w:t xml:space="preserve"> : أَنَا واللهِ أُحِبُّكَ وأَتَوَلاَّكَ ، فَقَالَ لَهُ أَمِيرُ الْمُؤْمِنِينَ </w:t>
      </w:r>
      <w:r w:rsidRPr="00071CF9">
        <w:rPr>
          <w:rStyle w:val="libAlaemChar"/>
          <w:rtl/>
        </w:rPr>
        <w:t>عليه‌السلام</w:t>
      </w:r>
      <w:r w:rsidRPr="00132E65">
        <w:rPr>
          <w:rtl/>
          <w:lang w:bidi="fa-IR"/>
        </w:rPr>
        <w:t xml:space="preserve"> : كَذَبْتَ ، قَالَ </w:t>
      </w:r>
      <w:r>
        <w:rPr>
          <w:rStyle w:val="libFootnotenumChar"/>
          <w:rtl/>
        </w:rPr>
        <w:t>(5)</w:t>
      </w:r>
      <w:r w:rsidRPr="00132E65">
        <w:rPr>
          <w:rtl/>
          <w:lang w:bidi="fa-IR"/>
        </w:rPr>
        <w:t xml:space="preserve"> : بَلى واللهِ ، إِنِّي أُحِبُّكَ وأَتَوَلاَّكَ ، فَكَرَّرَ ثَلَاثاً </w:t>
      </w:r>
      <w:r>
        <w:rPr>
          <w:rStyle w:val="libFootnotenumChar"/>
          <w:rtl/>
        </w:rPr>
        <w:t>(6)</w:t>
      </w:r>
      <w:r w:rsidRPr="00132E65">
        <w:rPr>
          <w:rtl/>
          <w:lang w:bidi="fa-IR"/>
        </w:rPr>
        <w:t xml:space="preserve"> ، فَقَالَ لَهُ أَمِيرُ الْمُؤْمِنِينَ </w:t>
      </w:r>
      <w:r w:rsidRPr="00071CF9">
        <w:rPr>
          <w:rStyle w:val="libAlaemChar"/>
          <w:rtl/>
        </w:rPr>
        <w:t>عليه‌السلام</w:t>
      </w:r>
      <w:r w:rsidRPr="00132E65">
        <w:rPr>
          <w:rtl/>
          <w:lang w:bidi="fa-IR"/>
        </w:rPr>
        <w:t xml:space="preserve"> : كَذَبْتَ ، مَا أَنْتَ كَمَا قُلْتَ ؛ إِنَّ اللهَ خَلَقَ الْأَرْوَاحَ قَبْلَ الْأَبْدَانِ بِأَلْفَيْ عَامٍ ، ثُمَّ عَرَضَ عَلَيْنَا الْمُحِبَّ لَنَا ، فَوَ اللهِ ، مَا رَأَيْتُ رُوحَكَ فِيمَنْ عُرِضَ </w:t>
      </w:r>
      <w:r>
        <w:rPr>
          <w:rStyle w:val="libFootnotenumChar"/>
          <w:rtl/>
        </w:rPr>
        <w:t>(7)</w:t>
      </w:r>
      <w:r w:rsidRPr="00132E65">
        <w:rPr>
          <w:rtl/>
          <w:lang w:bidi="fa-IR"/>
        </w:rPr>
        <w:t xml:space="preserve"> ، فَأَيْنَ كُنْتَ ، فَسَكَتَ الرَّجُلُ عِنْدَ ذلِكَ ، ولَمْ يُرَاجِعْهُ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EC763C" w:rsidP="000C39D1">
      <w:pPr>
        <w:pStyle w:val="libNormal"/>
        <w:rPr>
          <w:rtl/>
          <w:lang w:bidi="fa-IR"/>
        </w:rPr>
      </w:pPr>
      <w:r>
        <w:rPr>
          <w:rFonts w:hint="cs"/>
          <w:rtl/>
          <w:lang w:bidi="fa-IR"/>
        </w:rPr>
        <w:t xml:space="preserve">* </w:t>
      </w:r>
      <w:r w:rsidR="000C39D1" w:rsidRPr="00132E65">
        <w:rPr>
          <w:rtl/>
          <w:lang w:bidi="fa-IR"/>
        </w:rPr>
        <w:t xml:space="preserve">وفِي رِوَايَةٍ أُخْرى : قَالَ أَبُو عَبْدِ اللهِ </w:t>
      </w:r>
      <w:r w:rsidR="000C39D1" w:rsidRPr="00071CF9">
        <w:rPr>
          <w:rStyle w:val="libAlaemChar"/>
          <w:rtl/>
        </w:rPr>
        <w:t>عليه‌السلام</w:t>
      </w:r>
      <w:r w:rsidR="000C39D1" w:rsidRPr="00132E65">
        <w:rPr>
          <w:rtl/>
          <w:lang w:bidi="fa-IR"/>
        </w:rPr>
        <w:t xml:space="preserve"> : « كَانَ فِي النَّارِ »</w:t>
      </w:r>
      <w:r w:rsidR="000C39D1">
        <w:rPr>
          <w:rtl/>
          <w:lang w:bidi="fa-IR"/>
        </w:rPr>
        <w:t>.</w:t>
      </w:r>
      <w:r w:rsidR="000C39D1" w:rsidRPr="00132E65">
        <w:rPr>
          <w:rtl/>
          <w:lang w:bidi="fa-IR"/>
        </w:rPr>
        <w:t xml:space="preserve"> </w:t>
      </w:r>
      <w:r w:rsidR="000C39D1">
        <w:rPr>
          <w:rStyle w:val="libFootnotenumChar"/>
          <w:rtl/>
        </w:rPr>
        <w:t>(9)</w:t>
      </w:r>
      <w:r w:rsidR="000C39D1"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EC763C">
      <w:pPr>
        <w:pStyle w:val="libFootnote0"/>
        <w:rPr>
          <w:rtl/>
          <w:lang w:bidi="fa-IR"/>
        </w:rPr>
      </w:pPr>
      <w:r>
        <w:rPr>
          <w:rtl/>
        </w:rPr>
        <w:t>(1).</w:t>
      </w:r>
      <w:r w:rsidRPr="00132E65">
        <w:rPr>
          <w:rtl/>
        </w:rPr>
        <w:t xml:space="preserve"> </w:t>
      </w:r>
      <w:r w:rsidRPr="003C1E35">
        <w:rPr>
          <w:rtl/>
        </w:rPr>
        <w:t>المحاسن</w:t>
      </w:r>
      <w:r w:rsidRPr="00132E65">
        <w:rPr>
          <w:rtl/>
        </w:rPr>
        <w:t xml:space="preserve"> ، ص 135 ، كتاب الصفوة ، ح 16 ، عن الحسن بن محبوب ؛ </w:t>
      </w:r>
      <w:r w:rsidRPr="007A1104">
        <w:rPr>
          <w:rStyle w:val="libFootnoteBoldChar"/>
          <w:rtl/>
        </w:rPr>
        <w:t>بصائر الدرجات</w:t>
      </w:r>
      <w:r w:rsidRPr="00132E65">
        <w:rPr>
          <w:rtl/>
        </w:rPr>
        <w:t xml:space="preserve"> ، ص 89 ، ح 1 ، عن أحمد بن محمّد ومحمّد بن الحسين ، عن الحسن بن محبوب. </w:t>
      </w:r>
      <w:r w:rsidRPr="003C1E35">
        <w:rPr>
          <w:rtl/>
        </w:rPr>
        <w:t>تفسير العيّاشي</w:t>
      </w:r>
      <w:r w:rsidRPr="00132E65">
        <w:rPr>
          <w:rtl/>
        </w:rPr>
        <w:t xml:space="preserve"> ، ج 1 ، ص 180 ، ح 74 ، عن بكير ، عن أبي جعفر </w:t>
      </w:r>
      <w:r w:rsidRPr="00EC763C">
        <w:rPr>
          <w:rStyle w:val="libFootnoteAlaemChar"/>
          <w:rtl/>
        </w:rPr>
        <w:t>عليه‌السلام</w:t>
      </w:r>
      <w:r w:rsidR="00EC763C">
        <w:rPr>
          <w:rFonts w:hint="cs"/>
          <w:rtl/>
        </w:rPr>
        <w:t>.</w:t>
      </w:r>
      <w:r w:rsidRPr="009D1ACE">
        <w:rPr>
          <w:rStyle w:val="libFootnoteBoldChar"/>
          <w:rtl/>
        </w:rPr>
        <w:t>الوافي</w:t>
      </w:r>
      <w:r w:rsidRPr="00132E65">
        <w:rPr>
          <w:rtl/>
        </w:rPr>
        <w:t xml:space="preserve"> ، ج 3 ، ص 493 ، ح 995 ؛ </w:t>
      </w:r>
      <w:r w:rsidRPr="003C1E35">
        <w:rPr>
          <w:rtl/>
        </w:rPr>
        <w:t>البحار</w:t>
      </w:r>
      <w:r w:rsidRPr="00132E65">
        <w:rPr>
          <w:rtl/>
        </w:rPr>
        <w:t xml:space="preserve"> ، ج 61 ، ص 135 ، ح 10.</w:t>
      </w:r>
    </w:p>
    <w:tbl>
      <w:tblPr>
        <w:tblStyle w:val="TableGrid"/>
        <w:bidiVisual/>
        <w:tblW w:w="0" w:type="auto"/>
        <w:tblLook w:val="04A0" w:firstRow="1" w:lastRow="0" w:firstColumn="1" w:lastColumn="0" w:noHBand="0" w:noVBand="1"/>
      </w:tblPr>
      <w:tblGrid>
        <w:gridCol w:w="4006"/>
        <w:gridCol w:w="4006"/>
      </w:tblGrid>
      <w:tr w:rsidR="00EC763C" w:rsidTr="00EC763C">
        <w:tc>
          <w:tcPr>
            <w:tcW w:w="4006" w:type="dxa"/>
          </w:tcPr>
          <w:p w:rsidR="00EC763C" w:rsidRDefault="00EC763C" w:rsidP="000C39D1">
            <w:pPr>
              <w:pStyle w:val="libFootnote0"/>
              <w:rPr>
                <w:rtl/>
              </w:rPr>
            </w:pPr>
            <w:r>
              <w:rPr>
                <w:rtl/>
              </w:rPr>
              <w:t>(2).</w:t>
            </w:r>
            <w:r w:rsidRPr="00132E65">
              <w:rPr>
                <w:rtl/>
              </w:rPr>
              <w:t xml:space="preserve"> في حاشية « ض » : « معرفة »</w:t>
            </w:r>
            <w:r>
              <w:rPr>
                <w:rtl/>
              </w:rPr>
              <w:t>.</w:t>
            </w:r>
          </w:p>
        </w:tc>
        <w:tc>
          <w:tcPr>
            <w:tcW w:w="4006" w:type="dxa"/>
          </w:tcPr>
          <w:p w:rsidR="00EC763C" w:rsidRDefault="00EC763C" w:rsidP="000C39D1">
            <w:pPr>
              <w:pStyle w:val="libFootnote0"/>
              <w:rPr>
                <w:rtl/>
              </w:rPr>
            </w:pPr>
            <w:r>
              <w:rPr>
                <w:rtl/>
              </w:rPr>
              <w:t>(3).</w:t>
            </w:r>
            <w:r w:rsidRPr="00132E65">
              <w:rPr>
                <w:rtl/>
              </w:rPr>
              <w:t xml:space="preserve"> في « ض ، ف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(4).</w:t>
      </w:r>
      <w:r w:rsidRPr="00132E65">
        <w:rPr>
          <w:rtl/>
        </w:rPr>
        <w:t xml:space="preserve"> في « ب ، ض ، بح ، بر ، بس » والبصائر ، ص 86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006"/>
        <w:gridCol w:w="4006"/>
      </w:tblGrid>
      <w:tr w:rsidR="00EC763C" w:rsidTr="00EC763C">
        <w:tc>
          <w:tcPr>
            <w:tcW w:w="4006" w:type="dxa"/>
          </w:tcPr>
          <w:p w:rsidR="00EC763C" w:rsidRDefault="00EC763C" w:rsidP="000C39D1">
            <w:pPr>
              <w:pStyle w:val="libFootnote0"/>
              <w:rPr>
                <w:rtl/>
                <w:lang w:bidi="fa-IR"/>
              </w:rPr>
            </w:pPr>
            <w:r>
              <w:rPr>
                <w:rtl/>
              </w:rPr>
              <w:t>(5).</w:t>
            </w:r>
            <w:r w:rsidRPr="00132E65">
              <w:rPr>
                <w:rtl/>
              </w:rPr>
              <w:t xml:space="preserve"> في « ف » : « فقال »</w:t>
            </w:r>
            <w:r>
              <w:rPr>
                <w:rtl/>
              </w:rPr>
              <w:t>.</w:t>
            </w:r>
          </w:p>
        </w:tc>
        <w:tc>
          <w:tcPr>
            <w:tcW w:w="4006" w:type="dxa"/>
          </w:tcPr>
          <w:p w:rsidR="00EC763C" w:rsidRDefault="00EC763C" w:rsidP="000C39D1">
            <w:pPr>
              <w:pStyle w:val="libFootnote0"/>
              <w:rPr>
                <w:rtl/>
                <w:lang w:bidi="fa-IR"/>
              </w:rPr>
            </w:pPr>
            <w:r>
              <w:rPr>
                <w:rtl/>
              </w:rPr>
              <w:t>(6). في «ج، ف، بر، بف»</w:t>
            </w:r>
            <w:r w:rsidRPr="00132E65">
              <w:rPr>
                <w:rtl/>
              </w:rPr>
              <w:t>و</w:t>
            </w:r>
            <w:r w:rsidRPr="009D1ACE">
              <w:rPr>
                <w:rStyle w:val="libFootnoteBoldChar"/>
                <w:rtl/>
              </w:rPr>
              <w:t>الوافي</w:t>
            </w:r>
            <w:r>
              <w:rPr>
                <w:rtl/>
              </w:rPr>
              <w:t>:-</w:t>
            </w:r>
            <w:r w:rsidRPr="00132E65">
              <w:rPr>
                <w:rtl/>
              </w:rPr>
              <w:t>« فكرّر ثلاثاً »</w:t>
            </w:r>
            <w:r>
              <w:rPr>
                <w:rtl/>
              </w:rPr>
              <w:t>.</w:t>
            </w:r>
          </w:p>
        </w:tc>
      </w:tr>
    </w:tbl>
    <w:p w:rsidR="000C39D1" w:rsidRPr="00132E65" w:rsidRDefault="000C39D1" w:rsidP="000C39D1">
      <w:pPr>
        <w:pStyle w:val="libFootnote0"/>
        <w:rPr>
          <w:rtl/>
          <w:lang w:bidi="fa-IR"/>
        </w:rPr>
      </w:pPr>
      <w:r>
        <w:rPr>
          <w:rtl/>
        </w:rPr>
        <w:t>(7).</w:t>
      </w:r>
      <w:r w:rsidRPr="00132E65">
        <w:rPr>
          <w:rtl/>
        </w:rPr>
        <w:t xml:space="preserve"> في حاشية « بف » : « عرضت »</w:t>
      </w:r>
      <w:r>
        <w:rPr>
          <w:rtl/>
        </w:rPr>
        <w:t>.</w:t>
      </w:r>
    </w:p>
    <w:p w:rsidR="000C39D1" w:rsidRPr="00132E65" w:rsidRDefault="000C39D1" w:rsidP="00EC763C">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86 ، ح 1 ، عن أحمد بن محمّد. </w:t>
      </w:r>
      <w:r w:rsidRPr="003C1E35">
        <w:rPr>
          <w:rtl/>
        </w:rPr>
        <w:t>وفيه</w:t>
      </w:r>
      <w:r w:rsidRPr="00132E65">
        <w:rPr>
          <w:rtl/>
        </w:rPr>
        <w:t xml:space="preserve"> ، ص 87</w:t>
      </w:r>
      <w:r>
        <w:rPr>
          <w:rtl/>
        </w:rPr>
        <w:t xml:space="preserve"> - </w:t>
      </w:r>
      <w:r w:rsidRPr="00132E65">
        <w:rPr>
          <w:rtl/>
        </w:rPr>
        <w:t xml:space="preserve">89 ، ح 4 </w:t>
      </w:r>
      <w:r>
        <w:rPr>
          <w:rtl/>
        </w:rPr>
        <w:t>و 8</w:t>
      </w:r>
      <w:r w:rsidRPr="00132E65">
        <w:rPr>
          <w:rtl/>
        </w:rPr>
        <w:t xml:space="preserve"> ، بسند آخر ، مع اختلاف يسير ، وراجع الأحاديث الاخر في هذا الباب من البصائر</w:t>
      </w:r>
      <w:r w:rsidR="00EC763C">
        <w:rPr>
          <w:rFonts w:hint="cs"/>
          <w:rtl/>
        </w:rPr>
        <w:t>.</w:t>
      </w:r>
      <w:r w:rsidRPr="009D1ACE">
        <w:rPr>
          <w:rStyle w:val="libFootnoteBoldChar"/>
          <w:rtl/>
        </w:rPr>
        <w:t>الوافي</w:t>
      </w:r>
      <w:r w:rsidRPr="00132E65">
        <w:rPr>
          <w:rtl/>
        </w:rPr>
        <w:t xml:space="preserve"> ، ج 3 ، ص 542 ، ح 1076.</w:t>
      </w:r>
    </w:p>
    <w:p w:rsidR="000C39D1" w:rsidRPr="00132E65"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87 ، ح 2 ، عن إبراهيم بن هاشم ، عن عمرو بن عثمان ، عن أبي محمّد المشهدي من آل رجاء البجلي ، عن أبي عبد الله </w:t>
      </w:r>
      <w:r w:rsidRPr="00EC763C">
        <w:rPr>
          <w:rStyle w:val="libFootnoteAlaemChar"/>
          <w:rtl/>
        </w:rPr>
        <w:t>عليه‌السلام</w:t>
      </w:r>
      <w:r w:rsidRPr="00132E65">
        <w:rPr>
          <w:rtl/>
        </w:rPr>
        <w:t xml:space="preserve"> قال : « قال رجل لأميرالمؤمنين عليّ بن أبي طالب </w:t>
      </w:r>
      <w:r w:rsidRPr="00EC763C">
        <w:rPr>
          <w:rStyle w:val="libFootnoteAlaemChar"/>
          <w:rtl/>
        </w:rPr>
        <w:t>عليه‌السلام</w:t>
      </w:r>
      <w:r w:rsidRPr="00132E65">
        <w:rPr>
          <w:rtl/>
        </w:rPr>
        <w:t xml:space="preserve"> : يا أميرالمؤمنين أنا والله </w:t>
      </w:r>
      <w:r w:rsidR="00EC763C">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D1DF8">
        <w:rPr>
          <w:rtl/>
        </w:rPr>
        <w:t>1190</w:t>
      </w:r>
      <w:r w:rsidRPr="004325D8">
        <w:rPr>
          <w:rStyle w:val="libBold2Char"/>
          <w:rtl/>
        </w:rPr>
        <w:t xml:space="preserve"> / 2.</w:t>
      </w:r>
      <w:r w:rsidRPr="00132E65">
        <w:rPr>
          <w:rtl/>
          <w:lang w:bidi="fa-IR"/>
        </w:rPr>
        <w:t xml:space="preserve"> مُحَمَّدُ بْنُ يَحْيى ، عَنْ أَحْمَدَ بْنِ مُحَمَّدٍ ، عَنِ الْحُسَيْنِ بْنِ سَعِيدٍ ، عَنْ عَمْرِو بْنِ مَيْمُونٍ ، عَنْ عَمَّارِ بْنِ مَرْوَانَ ، عَنْ جَابِرٍ :</w:t>
      </w:r>
    </w:p>
    <w:p w:rsidR="000C39D1" w:rsidRPr="00132E65" w:rsidRDefault="000C39D1" w:rsidP="001A5265">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إِنَّا لَنَعْرِفُ الرَّجُلَ</w:t>
      </w:r>
      <w:r>
        <w:rPr>
          <w:rtl/>
          <w:lang w:bidi="fa-IR"/>
        </w:rPr>
        <w:t xml:space="preserve"> - </w:t>
      </w:r>
      <w:r w:rsidRPr="00132E65">
        <w:rPr>
          <w:rtl/>
          <w:lang w:bidi="fa-IR"/>
        </w:rPr>
        <w:t>إِذَا رَأَيْنَاهُ</w:t>
      </w:r>
      <w:r>
        <w:rPr>
          <w:rtl/>
          <w:lang w:bidi="fa-IR"/>
        </w:rPr>
        <w:t xml:space="preserve"> - </w:t>
      </w:r>
      <w:r w:rsidRPr="00132E65">
        <w:rPr>
          <w:rtl/>
          <w:lang w:bidi="fa-IR"/>
        </w:rPr>
        <w:t xml:space="preserve">بِحَقِيقَةِ الْإِيمَانِ وحَقِيقَةِ </w:t>
      </w:r>
      <w:r>
        <w:rPr>
          <w:rStyle w:val="libFootnotenumChar"/>
          <w:rtl/>
        </w:rPr>
        <w:t>(1)</w:t>
      </w:r>
      <w:r w:rsidR="00C17CD8">
        <w:rPr>
          <w:rtl/>
          <w:lang w:bidi="fa-IR"/>
        </w:rPr>
        <w:t xml:space="preserve"> النِّفَاقِ</w:t>
      </w:r>
      <w:r w:rsidRPr="00132E65">
        <w:rPr>
          <w:rtl/>
          <w:lang w:bidi="fa-IR"/>
        </w:rPr>
        <w:t>»</w:t>
      </w:r>
      <w:r>
        <w:rPr>
          <w:rtl/>
          <w:lang w:bidi="fa-IR"/>
        </w:rPr>
        <w:t>.</w:t>
      </w:r>
      <w:r>
        <w:rPr>
          <w:rStyle w:val="libFootnotenumChar"/>
          <w:rtl/>
        </w:rPr>
        <w:t>(2)</w:t>
      </w:r>
    </w:p>
    <w:p w:rsidR="000C39D1" w:rsidRPr="00132E65" w:rsidRDefault="000C39D1" w:rsidP="000C39D1">
      <w:pPr>
        <w:pStyle w:val="libNormal"/>
        <w:rPr>
          <w:rtl/>
          <w:lang w:bidi="fa-IR"/>
        </w:rPr>
      </w:pPr>
      <w:r w:rsidRPr="005D1DF8">
        <w:rPr>
          <w:rtl/>
        </w:rPr>
        <w:t>1191</w:t>
      </w:r>
      <w:r w:rsidRPr="004325D8">
        <w:rPr>
          <w:rStyle w:val="libBold2Char"/>
          <w:rtl/>
        </w:rPr>
        <w:t xml:space="preserve"> / 3.</w:t>
      </w:r>
      <w:r w:rsidRPr="00132E65">
        <w:rPr>
          <w:rtl/>
          <w:lang w:bidi="fa-IR"/>
        </w:rPr>
        <w:t xml:space="preserve"> أَحْمَدُ بْنُ إِدْرِيسَ ومُحَمَّدُ بْنُ يَحْيى ، عَنِ الْحَسَنِ بْنِ عَلِيٍّ الْكُوفِيِّ ، عَنْ عُبَيْسِ بْنِ هِشَامٍ ، عَنْ عَبْدِ اللهِ بْنِ سُلَيْمَانَ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سَأَلْتُهُ عَنِ الْإِمَامِ : فَوَّضَ اللهُ إِلَيْهِ كَمَا فَوَّضَ إِلى سُلَيْمَانَ بْنِ دَاوُدَ</w:t>
      </w:r>
      <w:r>
        <w:rPr>
          <w:rtl/>
          <w:lang w:bidi="fa-IR"/>
        </w:rPr>
        <w:t>؟</w:t>
      </w:r>
      <w:r w:rsidRPr="00132E65">
        <w:rPr>
          <w:rtl/>
          <w:lang w:bidi="fa-IR"/>
        </w:rPr>
        <w:t xml:space="preserve"> فَقَالَ </w:t>
      </w:r>
      <w:r>
        <w:rPr>
          <w:rStyle w:val="libFootnotenumChar"/>
          <w:rtl/>
        </w:rPr>
        <w:t>(3)</w:t>
      </w:r>
      <w:r w:rsidRPr="00132E65">
        <w:rPr>
          <w:rtl/>
          <w:lang w:bidi="fa-IR"/>
        </w:rPr>
        <w:t xml:space="preserve"> : « نَعَمْ »</w:t>
      </w:r>
      <w:r>
        <w:rPr>
          <w:rtl/>
          <w:lang w:bidi="fa-IR"/>
        </w:rPr>
        <w:t>.</w:t>
      </w:r>
      <w:r w:rsidRPr="00132E65">
        <w:rPr>
          <w:rtl/>
          <w:lang w:bidi="fa-IR"/>
        </w:rPr>
        <w:t xml:space="preserve"> وذلِكَ </w:t>
      </w:r>
      <w:r>
        <w:rPr>
          <w:rStyle w:val="libFootnotenumChar"/>
          <w:rtl/>
        </w:rPr>
        <w:t>(4)</w:t>
      </w:r>
      <w:r w:rsidRPr="00132E65">
        <w:rPr>
          <w:rtl/>
          <w:lang w:bidi="fa-IR"/>
        </w:rPr>
        <w:t xml:space="preserve"> أَنَّ رَجُلاً سَأَلَهُ عَنْ مَسْأَلَةٍ ، فَأَجَابَهُ فِيهَا ، وسَأَلَهُ آخَرُ عَنْ تِلْكَ الْمَسْأَلَةِ ، فَأَجَابَهُ بِغَيْرِ جَوَابِ الْأَوَّلِ ، ثُمَّ سَأَلَهُ آخَرُ ، فَأَجَابَهُ بِغَيْرِ جَوَابِ الْأَوَّلَيْنِ ،</w:t>
      </w:r>
    </w:p>
    <w:p w:rsidR="000C39D1" w:rsidRPr="00132E65" w:rsidRDefault="000C39D1" w:rsidP="000C39D1">
      <w:pPr>
        <w:pStyle w:val="libLine"/>
        <w:rPr>
          <w:rtl/>
          <w:lang w:bidi="fa-IR"/>
        </w:rPr>
      </w:pPr>
      <w:r w:rsidRPr="00132E65">
        <w:rPr>
          <w:rtl/>
          <w:lang w:bidi="fa-IR"/>
        </w:rPr>
        <w:t>__________________</w:t>
      </w:r>
    </w:p>
    <w:p w:rsidR="000C39D1" w:rsidRPr="00132E65" w:rsidRDefault="001A5265" w:rsidP="001A5265">
      <w:pPr>
        <w:pStyle w:val="libFootnote0"/>
        <w:rPr>
          <w:rtl/>
          <w:lang w:bidi="fa-IR"/>
        </w:rPr>
      </w:pPr>
      <w:r>
        <w:rPr>
          <w:rFonts w:hint="cs"/>
          <w:rtl/>
          <w:lang w:bidi="fa-IR"/>
        </w:rPr>
        <w:t xml:space="preserve">= </w:t>
      </w:r>
      <w:r w:rsidR="000C39D1" w:rsidRPr="00132E65">
        <w:rPr>
          <w:rtl/>
        </w:rPr>
        <w:t>ا</w:t>
      </w:r>
      <w:r>
        <w:rPr>
          <w:rFonts w:hint="cs"/>
          <w:rtl/>
        </w:rPr>
        <w:t>ُ</w:t>
      </w:r>
      <w:r w:rsidR="000C39D1" w:rsidRPr="00132E65">
        <w:rPr>
          <w:rtl/>
        </w:rPr>
        <w:t>حبّك. فقال له : كذبت ، قال : بلى والله إنّي ا</w:t>
      </w:r>
      <w:r>
        <w:rPr>
          <w:rFonts w:hint="cs"/>
          <w:rtl/>
        </w:rPr>
        <w:t>ُ</w:t>
      </w:r>
      <w:r w:rsidR="000C39D1" w:rsidRPr="00132E65">
        <w:rPr>
          <w:rtl/>
        </w:rPr>
        <w:t>حبّك وأتولاّك. فقال أميرالمؤمنين : كذبت ، قال : سبحان الله يا أميرالمؤمنين ، أحلف بالله أنّي احبّك فتقول : كذبت</w:t>
      </w:r>
      <w:r w:rsidR="000C39D1">
        <w:rPr>
          <w:rtl/>
        </w:rPr>
        <w:t>؟!</w:t>
      </w:r>
      <w:r w:rsidR="000C39D1" w:rsidRPr="00132E65">
        <w:rPr>
          <w:rtl/>
        </w:rPr>
        <w:t xml:space="preserve"> قال : وما علمت إنّ الله خلق الأرواح قبل الأبدان بألفي عام ، فأمسكها الهواء ، ثمّ عرضها علينا أهل البيت ؛ فوالله ما منها روح إلاّوقد عرفنا بدنه ، فوالله ما رأيتك فيها ، فأين كنت</w:t>
      </w:r>
      <w:r w:rsidR="000C39D1">
        <w:rPr>
          <w:rtl/>
        </w:rPr>
        <w:t>؟</w:t>
      </w:r>
      <w:r w:rsidR="000C39D1" w:rsidRPr="00132E65">
        <w:rPr>
          <w:rtl/>
        </w:rPr>
        <w:t xml:space="preserve"> » قال أبوعبدالله </w:t>
      </w:r>
      <w:r w:rsidR="000C39D1" w:rsidRPr="001A5265">
        <w:rPr>
          <w:rStyle w:val="libFootnoteAlaemChar"/>
          <w:rtl/>
        </w:rPr>
        <w:t>عليه‌السلام</w:t>
      </w:r>
      <w:r w:rsidR="000C39D1" w:rsidRPr="00132E65">
        <w:rPr>
          <w:rtl/>
        </w:rPr>
        <w:t xml:space="preserve"> : « كان في النار »</w:t>
      </w:r>
      <w:r>
        <w:rPr>
          <w:rFonts w:hint="cs"/>
          <w:rtl/>
        </w:rPr>
        <w:t>.</w:t>
      </w:r>
      <w:r w:rsidR="000C39D1" w:rsidRPr="009D1ACE">
        <w:rPr>
          <w:rStyle w:val="libFootnoteBoldChar"/>
          <w:rtl/>
        </w:rPr>
        <w:t>الوافي</w:t>
      </w:r>
      <w:r w:rsidR="000C39D1" w:rsidRPr="00132E65">
        <w:rPr>
          <w:rtl/>
        </w:rPr>
        <w:t xml:space="preserve"> ، ج 3 ، ص 542 ، ح 1077.</w:t>
      </w:r>
    </w:p>
    <w:p w:rsidR="000C39D1" w:rsidRPr="00132E65" w:rsidRDefault="000C39D1" w:rsidP="000C39D1">
      <w:pPr>
        <w:pStyle w:val="libFootnote0"/>
        <w:rPr>
          <w:rtl/>
          <w:lang w:bidi="fa-IR"/>
        </w:rPr>
      </w:pPr>
      <w:r>
        <w:rPr>
          <w:rtl/>
        </w:rPr>
        <w:t>(1).</w:t>
      </w:r>
      <w:r w:rsidRPr="00132E65">
        <w:rPr>
          <w:rtl/>
        </w:rPr>
        <w:t xml:space="preserve"> في « ب » والبصائر ، ص 288 ، ح 1 </w:t>
      </w:r>
      <w:r>
        <w:rPr>
          <w:rtl/>
        </w:rPr>
        <w:t>و 3</w:t>
      </w:r>
      <w:r w:rsidRPr="00132E65">
        <w:rPr>
          <w:rtl/>
        </w:rPr>
        <w:t xml:space="preserve"> ، والاختصاص : « وبحقيقة »</w:t>
      </w:r>
      <w:r>
        <w:rPr>
          <w:rtl/>
        </w:rPr>
        <w:t>.</w:t>
      </w:r>
    </w:p>
    <w:p w:rsidR="000C39D1" w:rsidRPr="00132E65" w:rsidRDefault="000C39D1" w:rsidP="001A5265">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288 ، ح 1 ، بسنده عن الحسين بن سعيد ، عن عمر بن تميم ، عن عمّار بن مروان ، عن أبي جعفر </w:t>
      </w:r>
      <w:r w:rsidRPr="001A5265">
        <w:rPr>
          <w:rStyle w:val="libFootnoteAlaemChar"/>
          <w:rtl/>
        </w:rPr>
        <w:t>عليه‌السلام</w:t>
      </w:r>
      <w:r w:rsidRPr="00132E65">
        <w:rPr>
          <w:rtl/>
        </w:rPr>
        <w:t xml:space="preserve"> ؛ </w:t>
      </w:r>
      <w:r w:rsidRPr="005D1DF8">
        <w:rPr>
          <w:rtl/>
        </w:rPr>
        <w:t>وفيه</w:t>
      </w:r>
      <w:r w:rsidRPr="00132E65">
        <w:rPr>
          <w:rtl/>
        </w:rPr>
        <w:t xml:space="preserve"> ، ح 3 ، بسنده عن الحسين بن سعيد ، عن عمر بن ميمون ، عن عمّار بن مروان ، عن أبي جعفر </w:t>
      </w:r>
      <w:r w:rsidRPr="001A5265">
        <w:rPr>
          <w:rStyle w:val="libFootnoteAlaemChar"/>
          <w:rtl/>
        </w:rPr>
        <w:t>عليه‌السلام</w:t>
      </w:r>
      <w:r w:rsidRPr="00132E65">
        <w:rPr>
          <w:rtl/>
        </w:rPr>
        <w:t xml:space="preserve"> ؛ </w:t>
      </w:r>
      <w:r w:rsidRPr="005D1DF8">
        <w:rPr>
          <w:rtl/>
        </w:rPr>
        <w:t>الاختصاص</w:t>
      </w:r>
      <w:r w:rsidRPr="00132E65">
        <w:rPr>
          <w:rtl/>
        </w:rPr>
        <w:t xml:space="preserve"> ، ص 278 ، عن أحمد بن محمّد بن عيسى. وفي </w:t>
      </w:r>
      <w:r w:rsidRPr="007A1104">
        <w:rPr>
          <w:rStyle w:val="libFootnoteBoldChar"/>
          <w:rtl/>
        </w:rPr>
        <w:t>بصائر الدرجات</w:t>
      </w:r>
      <w:r w:rsidRPr="00132E65">
        <w:rPr>
          <w:rtl/>
        </w:rPr>
        <w:t xml:space="preserve"> ، ص 118 ، ح 1 ؛ وص 288 ، ح 4 ، بسند آخر عن عليّ بن الحسين </w:t>
      </w:r>
      <w:r w:rsidRPr="001A5265">
        <w:rPr>
          <w:rStyle w:val="libFootnoteAlaemChar"/>
          <w:rtl/>
        </w:rPr>
        <w:t>عليه‌السلام</w:t>
      </w:r>
      <w:r w:rsidRPr="00132E65">
        <w:rPr>
          <w:rtl/>
        </w:rPr>
        <w:t xml:space="preserve">. وفي </w:t>
      </w:r>
      <w:r w:rsidRPr="007A1104">
        <w:rPr>
          <w:rStyle w:val="libFootnoteBoldChar"/>
          <w:rtl/>
        </w:rPr>
        <w:t>بصائر الدرجات</w:t>
      </w:r>
      <w:r w:rsidRPr="00132E65">
        <w:rPr>
          <w:rtl/>
        </w:rPr>
        <w:t xml:space="preserve"> ، ص 119 ، ضمن ح 3 ؛ وص 288 ، ح 2 </w:t>
      </w:r>
      <w:r>
        <w:rPr>
          <w:rtl/>
        </w:rPr>
        <w:t>و 5</w:t>
      </w:r>
      <w:r w:rsidRPr="00132E65">
        <w:rPr>
          <w:rtl/>
        </w:rPr>
        <w:t xml:space="preserve"> ؛ و</w:t>
      </w:r>
      <w:r w:rsidRPr="000577A7">
        <w:rPr>
          <w:rStyle w:val="libFootnoteBoldChar"/>
          <w:rtl/>
        </w:rPr>
        <w:t>الكافي</w:t>
      </w:r>
      <w:r w:rsidRPr="005D1DF8">
        <w:rPr>
          <w:rtl/>
        </w:rPr>
        <w:t xml:space="preserve"> </w:t>
      </w:r>
      <w:r w:rsidRPr="00132E65">
        <w:rPr>
          <w:rtl/>
        </w:rPr>
        <w:t>، كتاب الحجّة ، باب أنّ الأئمّة ورثوا علم النبيّ</w:t>
      </w:r>
      <w:r>
        <w:rPr>
          <w:rtl/>
        </w:rPr>
        <w:t xml:space="preserve"> ..</w:t>
      </w:r>
      <w:r w:rsidRPr="00132E65">
        <w:rPr>
          <w:rtl/>
        </w:rPr>
        <w:t>. ، ضمن ح 601 ؛ و</w:t>
      </w:r>
      <w:r w:rsidRPr="005D1DF8">
        <w:rPr>
          <w:rtl/>
        </w:rPr>
        <w:t>عيون الأخبار</w:t>
      </w:r>
      <w:r w:rsidRPr="00132E65">
        <w:rPr>
          <w:rtl/>
        </w:rPr>
        <w:t xml:space="preserve"> ، ج 2 ، ص 227 ، ح 1 ؛ و</w:t>
      </w:r>
      <w:r w:rsidRPr="005D1DF8">
        <w:rPr>
          <w:rtl/>
        </w:rPr>
        <w:t>تفسير فرات</w:t>
      </w:r>
      <w:r w:rsidRPr="00132E65">
        <w:rPr>
          <w:rtl/>
        </w:rPr>
        <w:t xml:space="preserve"> ، ص 283 ، ضمن ح 384 ، بسند آخر عن الرضا </w:t>
      </w:r>
      <w:r w:rsidRPr="001A5265">
        <w:rPr>
          <w:rStyle w:val="libFootnoteAlaemChar"/>
          <w:rtl/>
        </w:rPr>
        <w:t>عليه‌السلام</w:t>
      </w:r>
      <w:r w:rsidRPr="00132E65">
        <w:rPr>
          <w:rtl/>
        </w:rPr>
        <w:t xml:space="preserve">. </w:t>
      </w:r>
      <w:r w:rsidRPr="005D1DF8">
        <w:rPr>
          <w:rtl/>
        </w:rPr>
        <w:t>تفسير القمّي</w:t>
      </w:r>
      <w:r w:rsidRPr="00132E65">
        <w:rPr>
          <w:rtl/>
        </w:rPr>
        <w:t xml:space="preserve"> ، ج 2 ، ص 104 مرسلاً عن عبد الله بن جندب ، عن الرضا </w:t>
      </w:r>
      <w:r w:rsidRPr="001A5265">
        <w:rPr>
          <w:rStyle w:val="libFootnoteAlaemChar"/>
          <w:rtl/>
        </w:rPr>
        <w:t>عليه‌السلام</w:t>
      </w:r>
      <w:r w:rsidRPr="00132E65">
        <w:rPr>
          <w:rtl/>
        </w:rPr>
        <w:t xml:space="preserve"> ، مع زيادة في أوّله وآخره. </w:t>
      </w:r>
      <w:r w:rsidRPr="005D1DF8">
        <w:rPr>
          <w:rtl/>
        </w:rPr>
        <w:t>تفسير فرات</w:t>
      </w:r>
      <w:r w:rsidRPr="00132E65">
        <w:rPr>
          <w:rtl/>
        </w:rPr>
        <w:t xml:space="preserve"> ، ص 285 ، ضمن ح 385 : « عن عليّ بن الحسين معنعناً عن الأصبغ بن نباتة ، عن عبد الله بن جندب ، عن عليّ بن أبي طالب </w:t>
      </w:r>
      <w:r w:rsidRPr="001A5265">
        <w:rPr>
          <w:rStyle w:val="libFootnoteAlaemChar"/>
          <w:rtl/>
        </w:rPr>
        <w:t>عليه‌السلام</w:t>
      </w:r>
      <w:r w:rsidR="001A5265">
        <w:rPr>
          <w:rFonts w:hint="cs"/>
          <w:rtl/>
        </w:rPr>
        <w:t>.</w:t>
      </w:r>
      <w:r w:rsidRPr="009D1ACE">
        <w:rPr>
          <w:rStyle w:val="libFootnoteBoldChar"/>
          <w:rtl/>
        </w:rPr>
        <w:t>الوافي</w:t>
      </w:r>
      <w:r w:rsidRPr="00132E65">
        <w:rPr>
          <w:rtl/>
        </w:rPr>
        <w:t xml:space="preserve"> ، ج 3 ، ص 542 ، ح 107.</w:t>
      </w:r>
      <w:r w:rsidR="001A5265">
        <w:rPr>
          <w:rFonts w:hint="cs"/>
          <w:rtl/>
        </w:rPr>
        <w:t xml:space="preserve">           </w:t>
      </w:r>
      <w:r w:rsidR="00C17CD8">
        <w:rPr>
          <w:rFonts w:hint="cs"/>
          <w:rtl/>
        </w:rPr>
        <w:t xml:space="preserve">                                      </w:t>
      </w:r>
      <w:r w:rsidR="001A5265">
        <w:rPr>
          <w:rFonts w:hint="cs"/>
          <w:rtl/>
        </w:rPr>
        <w:t xml:space="preserve">           </w:t>
      </w:r>
      <w:r>
        <w:rPr>
          <w:rtl/>
        </w:rPr>
        <w:t>(3).</w:t>
      </w:r>
      <w:r w:rsidRPr="00132E65">
        <w:rPr>
          <w:rtl/>
        </w:rPr>
        <w:t xml:space="preserve"> في « ب » : « قال »</w:t>
      </w:r>
      <w:r>
        <w:rPr>
          <w:rtl/>
        </w:rPr>
        <w:t>.</w:t>
      </w:r>
    </w:p>
    <w:p w:rsidR="000C39D1" w:rsidRPr="00132E65" w:rsidRDefault="000C39D1" w:rsidP="000C39D1">
      <w:pPr>
        <w:pStyle w:val="libFootnote0"/>
        <w:rPr>
          <w:rtl/>
          <w:lang w:bidi="fa-IR"/>
        </w:rPr>
      </w:pPr>
      <w:r>
        <w:rPr>
          <w:rtl/>
        </w:rPr>
        <w:t>(4).</w:t>
      </w:r>
      <w:r w:rsidRPr="00132E65">
        <w:rPr>
          <w:rtl/>
        </w:rPr>
        <w:t xml:space="preserve"> « وذلك » ، الظاهر أنّه كلام عبد الله ، لبيان سبب السؤال ، والتقدير ذلك السؤال ؛ لأنّ رجلاً سأله. واستبعد المجلسي احتمال أن يكون من كلام الإمام ، وضمير سأله لسليمان </w:t>
      </w:r>
      <w:r w:rsidRPr="001A5265">
        <w:rPr>
          <w:rStyle w:val="libFootnoteAlaemChar"/>
          <w:rtl/>
        </w:rPr>
        <w:t>عليه‌السلام</w:t>
      </w:r>
      <w:r w:rsidRPr="00132E65">
        <w:rPr>
          <w:rtl/>
        </w:rPr>
        <w:t xml:space="preserve">. راجع : </w:t>
      </w:r>
      <w:r w:rsidRPr="005D1DF8">
        <w:rPr>
          <w:rtl/>
        </w:rPr>
        <w:t>شرح المازندراني</w:t>
      </w:r>
      <w:r w:rsidRPr="00132E65">
        <w:rPr>
          <w:rtl/>
        </w:rPr>
        <w:t xml:space="preserve"> ، ج 7 ، ص 128 ؛ </w:t>
      </w:r>
      <w:r w:rsidRPr="009D1ACE">
        <w:rPr>
          <w:rStyle w:val="libFootnoteBoldChar"/>
          <w:rtl/>
        </w:rPr>
        <w:t>مرآة العقول</w:t>
      </w:r>
      <w:r w:rsidRPr="00132E65">
        <w:rPr>
          <w:rtl/>
        </w:rPr>
        <w:t xml:space="preserve"> ، ج 5 ، ص 168.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ثُمَّ قَالَ : « </w:t>
      </w:r>
      <w:r w:rsidRPr="00071CF9">
        <w:rPr>
          <w:rStyle w:val="libAlaemChar"/>
          <w:rtl/>
        </w:rPr>
        <w:t>(</w:t>
      </w:r>
      <w:r w:rsidRPr="00071CF9">
        <w:rPr>
          <w:rStyle w:val="libAieChar"/>
          <w:rtl/>
        </w:rPr>
        <w:t xml:space="preserve"> هذا عَطاؤُنا فَامْنُنْ أَوْ </w:t>
      </w:r>
      <w:r w:rsidRPr="00071CF9">
        <w:rPr>
          <w:rStyle w:val="libAlaemChar"/>
          <w:rtl/>
        </w:rPr>
        <w:t>)</w:t>
      </w:r>
      <w:r w:rsidRPr="00132E65">
        <w:rPr>
          <w:rtl/>
          <w:lang w:bidi="fa-IR"/>
        </w:rPr>
        <w:t xml:space="preserve"> ( أَعْطِ ) </w:t>
      </w:r>
      <w:r>
        <w:rPr>
          <w:rStyle w:val="libFootnotenumChar"/>
          <w:rtl/>
        </w:rPr>
        <w:t>(1)</w:t>
      </w:r>
      <w:r w:rsidRPr="00132E65">
        <w:rPr>
          <w:rtl/>
          <w:lang w:bidi="fa-IR"/>
        </w:rPr>
        <w:t xml:space="preserve"> </w:t>
      </w:r>
      <w:r w:rsidRPr="00071CF9">
        <w:rPr>
          <w:rStyle w:val="libAlaemChar"/>
          <w:rtl/>
        </w:rPr>
        <w:t>(</w:t>
      </w:r>
      <w:r w:rsidRPr="00071CF9">
        <w:rPr>
          <w:rStyle w:val="libAieChar"/>
          <w:rtl/>
        </w:rPr>
        <w:t xml:space="preserve"> بِغَيْرِ حِسابٍ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وهكَذَا هِيَ </w:t>
      </w:r>
      <w:r>
        <w:rPr>
          <w:rStyle w:val="libFootnotenumChar"/>
          <w:rtl/>
        </w:rPr>
        <w:t>(3)</w:t>
      </w:r>
      <w:r w:rsidRPr="00132E65">
        <w:rPr>
          <w:rtl/>
          <w:lang w:bidi="fa-IR"/>
        </w:rPr>
        <w:t xml:space="preserve"> فِي قِرَاءَةِ عَلِيٍّ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قُلْتُ : أَصْلَحَكَ اللهُ ، فَحِينَ أَجَابَهُمْ بِهذَا الْجَوَابِ يَعْرِفُهُمُ الْإِمَامُ</w:t>
      </w:r>
      <w:r>
        <w:rPr>
          <w:rtl/>
          <w:lang w:bidi="fa-IR"/>
        </w:rPr>
        <w:t>؟</w:t>
      </w:r>
    </w:p>
    <w:p w:rsidR="000C39D1" w:rsidRPr="00132E65" w:rsidRDefault="000C39D1" w:rsidP="000C39D1">
      <w:pPr>
        <w:pStyle w:val="libNormal"/>
        <w:rPr>
          <w:rtl/>
          <w:lang w:bidi="fa-IR"/>
        </w:rPr>
      </w:pPr>
      <w:r w:rsidRPr="00132E65">
        <w:rPr>
          <w:rtl/>
          <w:lang w:bidi="fa-IR"/>
        </w:rPr>
        <w:t>قَالَ : « سُبْحَانَ اللهِ</w:t>
      </w:r>
      <w:r>
        <w:rPr>
          <w:rtl/>
          <w:lang w:bidi="fa-IR"/>
        </w:rPr>
        <w:t>! أَ</w:t>
      </w:r>
      <w:r w:rsidRPr="00132E65">
        <w:rPr>
          <w:rtl/>
          <w:lang w:bidi="fa-IR"/>
        </w:rPr>
        <w:t xml:space="preserve">مَا تَسْمَعُ اللهَ يَقُولُ : </w:t>
      </w:r>
      <w:r w:rsidRPr="00071CF9">
        <w:rPr>
          <w:rStyle w:val="libAlaemChar"/>
          <w:rtl/>
        </w:rPr>
        <w:t>(</w:t>
      </w:r>
      <w:r w:rsidRPr="00071CF9">
        <w:rPr>
          <w:rStyle w:val="libAieChar"/>
          <w:rtl/>
        </w:rPr>
        <w:t xml:space="preserve"> إِنَّ فِي ذلِكَ لَآياتٍ لِلْمُتَوَسِّمِينَ </w:t>
      </w:r>
      <w:r w:rsidRPr="00071CF9">
        <w:rPr>
          <w:rStyle w:val="libAlaemChar"/>
          <w:rtl/>
        </w:rPr>
        <w:t>)</w:t>
      </w:r>
      <w:r w:rsidRPr="00132E65">
        <w:rPr>
          <w:rtl/>
          <w:lang w:bidi="fa-IR"/>
        </w:rPr>
        <w:t xml:space="preserve"> وهُمُ الْأَئِمَّةُ</w:t>
      </w:r>
      <w:r>
        <w:rPr>
          <w:rFonts w:hint="cs"/>
          <w:rtl/>
          <w:lang w:bidi="fa-IR"/>
        </w:rPr>
        <w:t xml:space="preserve"> </w:t>
      </w:r>
      <w:r w:rsidRPr="00071CF9">
        <w:rPr>
          <w:rStyle w:val="libAlaemChar"/>
          <w:rtl/>
        </w:rPr>
        <w:t>(</w:t>
      </w:r>
      <w:r w:rsidRPr="00071CF9">
        <w:rPr>
          <w:rStyle w:val="libAieChar"/>
          <w:rtl/>
        </w:rPr>
        <w:t xml:space="preserve"> وَإِنَّها لَبِسَبِيلٍ مُقِيمٍ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لَايَخْرُجُ مِنْهَا أَبَداً »</w:t>
      </w:r>
      <w:r>
        <w:rPr>
          <w:rtl/>
          <w:lang w:bidi="fa-IR"/>
        </w:rPr>
        <w:t>.</w:t>
      </w:r>
    </w:p>
    <w:p w:rsidR="000C39D1" w:rsidRPr="00132E65" w:rsidRDefault="000C39D1" w:rsidP="000C39D1">
      <w:pPr>
        <w:pStyle w:val="libNormal"/>
        <w:rPr>
          <w:rtl/>
          <w:lang w:bidi="fa-IR"/>
        </w:rPr>
      </w:pPr>
      <w:r w:rsidRPr="00132E65">
        <w:rPr>
          <w:rtl/>
          <w:lang w:bidi="fa-IR"/>
        </w:rPr>
        <w:t xml:space="preserve">ثُمَّ قَالَ لِي : « نَعَمْ ، إِنَّ الْإِمَامَ إِذَا أَبْصَرَ </w:t>
      </w:r>
      <w:r>
        <w:rPr>
          <w:rStyle w:val="libFootnotenumChar"/>
          <w:rtl/>
        </w:rPr>
        <w:t>(5)</w:t>
      </w:r>
      <w:r w:rsidRPr="00132E65">
        <w:rPr>
          <w:rtl/>
          <w:lang w:bidi="fa-IR"/>
        </w:rPr>
        <w:t xml:space="preserve"> إِلَى الرَّجُلِ عَرَفَهُ وعَرَفَ لَوْنَهُ ، وإِنْ سَمِعَ كَلَامَهُ مِنْ خَلْفِ حَائِطٍ عَرَفَهُ وعَرَفَ مَا هُوَ ؛ إِنَّ اللهَ يَقُولُ : </w:t>
      </w:r>
      <w:r w:rsidRPr="00071CF9">
        <w:rPr>
          <w:rStyle w:val="libAlaemChar"/>
          <w:rtl/>
        </w:rPr>
        <w:t>(</w:t>
      </w:r>
      <w:r w:rsidRPr="00071CF9">
        <w:rPr>
          <w:rStyle w:val="libAieChar"/>
          <w:rtl/>
        </w:rPr>
        <w:t xml:space="preserve"> وَمِنْ آياتِهِ خَلْقُ السَّماواتِ وَالْأَرْضِ وَاخْتِلافُ أَلْسِنَتِكُمْ وَأَلْوانِكُمْ إِنَّ فِي ذلِكَ لَآياتٍ لِلْعالِمِينَ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وهُمُ الْعُلَمَاءُ ، فَلَيْسَ يَسْمَعُ شَيْئاً مِن</w:t>
      </w:r>
      <w:r w:rsidR="001A5265">
        <w:rPr>
          <w:rtl/>
          <w:lang w:bidi="fa-IR"/>
        </w:rPr>
        <w:t>َ الْأَمْرِ يَنْطِقُ بِهِ إِل</w:t>
      </w:r>
      <w:r w:rsidR="001A5265">
        <w:rPr>
          <w:rFonts w:hint="cs"/>
          <w:rtl/>
          <w:lang w:bidi="fa-IR"/>
        </w:rPr>
        <w:t>َّ</w:t>
      </w:r>
      <w:r w:rsidR="001A5265">
        <w:rPr>
          <w:rtl/>
          <w:lang w:bidi="fa-IR"/>
        </w:rPr>
        <w:t>ا</w:t>
      </w:r>
      <w:r w:rsidRPr="00132E65">
        <w:rPr>
          <w:rtl/>
          <w:lang w:bidi="fa-IR"/>
        </w:rPr>
        <w:t xml:space="preserve"> عَرَفَهُ نَاجٍ أَوْ هَالِكٌ ، فَلِذلِكَ يُجِيبُهُمْ بِالَّذِي يُجِيبُهُمْ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كذا في أكثر النسخ. وفي القرآن </w:t>
      </w:r>
      <w:r>
        <w:rPr>
          <w:rtl/>
        </w:rPr>
        <w:t>و «</w:t>
      </w:r>
      <w:r w:rsidRPr="00132E65">
        <w:rPr>
          <w:rtl/>
        </w:rPr>
        <w:t xml:space="preserve"> ف » وحاشية « بر » : « أَوْ أَمْسِكْ »</w:t>
      </w:r>
      <w:r>
        <w:rPr>
          <w:rtl/>
        </w:rPr>
        <w:t>.</w:t>
      </w:r>
      <w:r w:rsidRPr="00132E65">
        <w:rPr>
          <w:rtl/>
        </w:rPr>
        <w:t xml:space="preserve"> وفي البصائر ، ص 387 والاختصاص : « فأمسك أو أعط »</w:t>
      </w:r>
      <w:r>
        <w:rPr>
          <w:rtl/>
        </w:rPr>
        <w:t>.</w:t>
      </w:r>
      <w:r w:rsidRPr="00132E65">
        <w:rPr>
          <w:rtl/>
        </w:rPr>
        <w:t xml:space="preserve"> وقوله : « هكذا هي في قراءة عليّ </w:t>
      </w:r>
      <w:r w:rsidRPr="001A5265">
        <w:rPr>
          <w:rStyle w:val="libFootnoteAlaemChar"/>
          <w:rtl/>
        </w:rPr>
        <w:t>عليه‌السلام</w:t>
      </w:r>
      <w:r w:rsidRPr="00132E65">
        <w:rPr>
          <w:rtl/>
        </w:rPr>
        <w:t xml:space="preserve"> » يقتضي أن يكون الصادر منه </w:t>
      </w:r>
      <w:r w:rsidRPr="001A5265">
        <w:rPr>
          <w:rStyle w:val="libFootnoteAlaemChar"/>
          <w:rtl/>
        </w:rPr>
        <w:t>عليه‌السلام</w:t>
      </w:r>
      <w:r w:rsidRPr="00132E65">
        <w:rPr>
          <w:rtl/>
        </w:rPr>
        <w:t xml:space="preserve"> غير المشهور. وفي شرح المازندراني : « لعلّ المراد بالمنّ في هذه القراءة القطع أو النقص. وأمّا القراءة المشهورة</w:t>
      </w:r>
      <w:r>
        <w:rPr>
          <w:rtl/>
        </w:rPr>
        <w:t xml:space="preserve"> ..</w:t>
      </w:r>
      <w:r w:rsidRPr="00132E65">
        <w:rPr>
          <w:rtl/>
        </w:rPr>
        <w:t>. فالمراد به الإعطاء والإحسان »</w:t>
      </w:r>
      <w:r>
        <w:rPr>
          <w:rtl/>
        </w:rPr>
        <w:t>.</w:t>
      </w:r>
    </w:p>
    <w:p w:rsidR="000C39D1" w:rsidRPr="00132E65" w:rsidRDefault="000C39D1" w:rsidP="000C39D1">
      <w:pPr>
        <w:pStyle w:val="libFootnote0"/>
        <w:rPr>
          <w:rtl/>
          <w:lang w:bidi="fa-IR"/>
        </w:rPr>
      </w:pPr>
      <w:r>
        <w:rPr>
          <w:rtl/>
        </w:rPr>
        <w:t>(2).</w:t>
      </w:r>
      <w:r w:rsidRPr="00132E65">
        <w:rPr>
          <w:rtl/>
        </w:rPr>
        <w:t xml:space="preserve"> ص (38) : 39.</w:t>
      </w:r>
    </w:p>
    <w:p w:rsidR="000C39D1" w:rsidRPr="00132E65" w:rsidRDefault="000C39D1" w:rsidP="000C39D1">
      <w:pPr>
        <w:pStyle w:val="libFootnote0"/>
        <w:rPr>
          <w:rtl/>
          <w:lang w:bidi="fa-IR"/>
        </w:rPr>
      </w:pPr>
      <w:r>
        <w:rPr>
          <w:rtl/>
        </w:rPr>
        <w:t>(3).</w:t>
      </w:r>
      <w:r w:rsidRPr="00132E65">
        <w:rPr>
          <w:rtl/>
        </w:rPr>
        <w:t xml:space="preserve"> في « ب ، بح » والبصائر ، ص 361 ، ح 1 </w:t>
      </w:r>
      <w:r>
        <w:rPr>
          <w:rtl/>
        </w:rPr>
        <w:t xml:space="preserve">: - </w:t>
      </w:r>
      <w:r w:rsidRPr="00132E65">
        <w:rPr>
          <w:rtl/>
        </w:rPr>
        <w:t>« هي »</w:t>
      </w:r>
      <w:r>
        <w:rPr>
          <w:rtl/>
        </w:rPr>
        <w:t>.</w:t>
      </w:r>
    </w:p>
    <w:tbl>
      <w:tblPr>
        <w:tblStyle w:val="TableGrid"/>
        <w:bidiVisual/>
        <w:tblW w:w="0" w:type="auto"/>
        <w:tblLook w:val="04A0" w:firstRow="1" w:lastRow="0" w:firstColumn="1" w:lastColumn="0" w:noHBand="0" w:noVBand="1"/>
      </w:tblPr>
      <w:tblGrid>
        <w:gridCol w:w="4006"/>
        <w:gridCol w:w="4006"/>
      </w:tblGrid>
      <w:tr w:rsidR="001A5265" w:rsidTr="001A5265">
        <w:tc>
          <w:tcPr>
            <w:tcW w:w="4006" w:type="dxa"/>
          </w:tcPr>
          <w:p w:rsidR="001A5265" w:rsidRDefault="001A5265" w:rsidP="000C39D1">
            <w:pPr>
              <w:pStyle w:val="libFootnote0"/>
              <w:rPr>
                <w:rtl/>
              </w:rPr>
            </w:pPr>
            <w:r>
              <w:rPr>
                <w:rtl/>
              </w:rPr>
              <w:t>(4).</w:t>
            </w:r>
            <w:r w:rsidRPr="00132E65">
              <w:rPr>
                <w:rtl/>
              </w:rPr>
              <w:t xml:space="preserve"> الحجر (15) : 75</w:t>
            </w:r>
            <w:r>
              <w:rPr>
                <w:rtl/>
              </w:rPr>
              <w:t xml:space="preserve"> - </w:t>
            </w:r>
            <w:r w:rsidRPr="00132E65">
              <w:rPr>
                <w:rtl/>
              </w:rPr>
              <w:t>76.</w:t>
            </w:r>
          </w:p>
        </w:tc>
        <w:tc>
          <w:tcPr>
            <w:tcW w:w="4006" w:type="dxa"/>
          </w:tcPr>
          <w:p w:rsidR="001A5265" w:rsidRDefault="001A5265" w:rsidP="000C39D1">
            <w:pPr>
              <w:pStyle w:val="libFootnote0"/>
              <w:rPr>
                <w:rtl/>
              </w:rPr>
            </w:pPr>
            <w:r>
              <w:rPr>
                <w:rtl/>
              </w:rPr>
              <w:t>(5). في البصائر،ص</w:t>
            </w:r>
            <w:r w:rsidRPr="00132E65">
              <w:rPr>
                <w:rtl/>
              </w:rPr>
              <w:t xml:space="preserve">361 </w:t>
            </w:r>
            <w:r>
              <w:rPr>
                <w:rtl/>
              </w:rPr>
              <w:t>و 387والاختصاص:«نظر</w:t>
            </w:r>
            <w:r w:rsidRPr="00132E65">
              <w:rPr>
                <w:rtl/>
              </w:rPr>
              <w:t>»</w:t>
            </w:r>
            <w:r>
              <w:rPr>
                <w:rtl/>
              </w:rPr>
              <w:t>.</w:t>
            </w:r>
          </w:p>
        </w:tc>
      </w:tr>
      <w:tr w:rsidR="001A5265" w:rsidTr="001A5265">
        <w:tc>
          <w:tcPr>
            <w:tcW w:w="4006" w:type="dxa"/>
          </w:tcPr>
          <w:p w:rsidR="001A5265" w:rsidRDefault="001A5265" w:rsidP="000C39D1">
            <w:pPr>
              <w:pStyle w:val="libFootnote0"/>
              <w:rPr>
                <w:rtl/>
              </w:rPr>
            </w:pPr>
            <w:r>
              <w:rPr>
                <w:rtl/>
              </w:rPr>
              <w:t>(6).</w:t>
            </w:r>
            <w:r w:rsidRPr="00132E65">
              <w:rPr>
                <w:rtl/>
              </w:rPr>
              <w:t xml:space="preserve"> الروم (30) : 22.</w:t>
            </w:r>
          </w:p>
        </w:tc>
        <w:tc>
          <w:tcPr>
            <w:tcW w:w="4006" w:type="dxa"/>
          </w:tcPr>
          <w:p w:rsidR="001A5265" w:rsidRDefault="001A5265" w:rsidP="000C39D1">
            <w:pPr>
              <w:pStyle w:val="libFootnote0"/>
              <w:rPr>
                <w:rtl/>
              </w:rPr>
            </w:pPr>
            <w:r>
              <w:rPr>
                <w:rtl/>
              </w:rPr>
              <w:t>(7).</w:t>
            </w:r>
            <w:r w:rsidRPr="00132E65">
              <w:rPr>
                <w:rtl/>
              </w:rPr>
              <w:t xml:space="preserve"> في « ف » : « فلذلك نجيبهم بالذي نجيبهم »</w:t>
            </w:r>
            <w:r>
              <w:rPr>
                <w:rtl/>
              </w:rPr>
              <w:t>.</w:t>
            </w:r>
          </w:p>
        </w:tc>
      </w:tr>
    </w:tbl>
    <w:p w:rsidR="000C39D1" w:rsidRPr="00132E65" w:rsidRDefault="000C39D1" w:rsidP="001A5265">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361 ، ح 1 ، عن الحسن بن عليّ بن عبد الله ، عن عيسى بن هشام ، عن سليمان ، عن أبي عبد الله </w:t>
      </w:r>
      <w:r w:rsidRPr="001A5265">
        <w:rPr>
          <w:rStyle w:val="libFootnoteAlaemChar"/>
          <w:rtl/>
        </w:rPr>
        <w:t>عليه‌السلام</w:t>
      </w:r>
      <w:r w:rsidRPr="00132E65">
        <w:rPr>
          <w:rtl/>
        </w:rPr>
        <w:t xml:space="preserve"> ؛ </w:t>
      </w:r>
      <w:r w:rsidRPr="005D1DF8">
        <w:rPr>
          <w:rtl/>
        </w:rPr>
        <w:t>وفيه</w:t>
      </w:r>
      <w:r w:rsidRPr="00132E65">
        <w:rPr>
          <w:rtl/>
        </w:rPr>
        <w:t xml:space="preserve"> ، ص 387 ، ح 13 ، عن الحسن بن عليّ بن عبد الله ، عن عبيس بن هشام ، عن عبد الصمد بن بشير ، عن عبد الله بن سليمان ؛ </w:t>
      </w:r>
      <w:r w:rsidRPr="005D1DF8">
        <w:rPr>
          <w:rtl/>
        </w:rPr>
        <w:t>الاختصاص</w:t>
      </w:r>
      <w:r w:rsidRPr="00132E65">
        <w:rPr>
          <w:rtl/>
        </w:rPr>
        <w:t xml:space="preserve"> ، ص 306 ، عن الحسن بن عليّ بن المغيرة ، عن عبيس بن هشام ، عن عبد الصمد بن بشير ، عن عبد الله بن سليمان. راجع : </w:t>
      </w:r>
      <w:r w:rsidRPr="000577A7">
        <w:rPr>
          <w:rStyle w:val="libFootnoteBoldChar"/>
          <w:rtl/>
        </w:rPr>
        <w:t>الكافي</w:t>
      </w:r>
      <w:r w:rsidRPr="00132E65">
        <w:rPr>
          <w:rtl/>
        </w:rPr>
        <w:t xml:space="preserve"> ، كتاب الحجّة ، باب أنّ المتوسّمين الّذين ذكرهم الله</w:t>
      </w:r>
      <w:r>
        <w:rPr>
          <w:rtl/>
        </w:rPr>
        <w:t xml:space="preserve"> ..</w:t>
      </w:r>
      <w:r w:rsidRPr="00132E65">
        <w:rPr>
          <w:rtl/>
        </w:rPr>
        <w:t xml:space="preserve">. ، ح 578 </w:t>
      </w:r>
      <w:r>
        <w:rPr>
          <w:rtl/>
        </w:rPr>
        <w:t>و 5</w:t>
      </w:r>
      <w:r w:rsidRPr="00132E65">
        <w:rPr>
          <w:rtl/>
        </w:rPr>
        <w:t>81 ؛ و</w:t>
      </w:r>
      <w:r w:rsidRPr="007A1104">
        <w:rPr>
          <w:rStyle w:val="libFootnoteBoldChar"/>
          <w:rtl/>
        </w:rPr>
        <w:t>بصائر الدرجات</w:t>
      </w:r>
      <w:r w:rsidRPr="00132E65">
        <w:rPr>
          <w:rtl/>
        </w:rPr>
        <w:t xml:space="preserve"> ، ص 355 ، ح 3 </w:t>
      </w:r>
      <w:r>
        <w:rPr>
          <w:rtl/>
        </w:rPr>
        <w:t>و 4</w:t>
      </w:r>
      <w:r w:rsidRPr="00132E65">
        <w:rPr>
          <w:rtl/>
        </w:rPr>
        <w:t xml:space="preserve"> ؛ و</w:t>
      </w:r>
      <w:r w:rsidRPr="005D1DF8">
        <w:rPr>
          <w:rtl/>
        </w:rPr>
        <w:t>تفسير العيّاشي</w:t>
      </w:r>
      <w:r w:rsidRPr="00132E65">
        <w:rPr>
          <w:rtl/>
        </w:rPr>
        <w:t xml:space="preserve"> ، ج 2 ، ص 247 ، ح 28 </w:t>
      </w:r>
      <w:r>
        <w:rPr>
          <w:rtl/>
        </w:rPr>
        <w:t>و 2</w:t>
      </w:r>
      <w:r w:rsidRPr="00132E65">
        <w:rPr>
          <w:rtl/>
        </w:rPr>
        <w:t>9 ؛ و</w:t>
      </w:r>
      <w:r w:rsidRPr="005D1DF8">
        <w:rPr>
          <w:rtl/>
        </w:rPr>
        <w:t xml:space="preserve">تفسير القمّي </w:t>
      </w:r>
      <w:r w:rsidRPr="00132E65">
        <w:rPr>
          <w:rtl/>
        </w:rPr>
        <w:t>، ج 1 ، ص 376 ؛ و</w:t>
      </w:r>
      <w:r w:rsidRPr="005D1DF8">
        <w:rPr>
          <w:rtl/>
        </w:rPr>
        <w:t xml:space="preserve">الاختصاص </w:t>
      </w:r>
      <w:r w:rsidRPr="00132E65">
        <w:rPr>
          <w:rtl/>
        </w:rPr>
        <w:t>، ص 302</w:t>
      </w:r>
      <w:r w:rsidR="001A5265">
        <w:rPr>
          <w:rFonts w:hint="cs"/>
          <w:rtl/>
        </w:rPr>
        <w:t>.</w:t>
      </w:r>
      <w:r w:rsidRPr="009D1ACE">
        <w:rPr>
          <w:rStyle w:val="libFootnoteBoldChar"/>
          <w:rtl/>
        </w:rPr>
        <w:t>الوافي</w:t>
      </w:r>
      <w:r w:rsidRPr="00132E65">
        <w:rPr>
          <w:rtl/>
        </w:rPr>
        <w:t xml:space="preserve"> ، ج 3 ، ص 542 ، ح 1079.</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Pr>
          <w:rtl/>
          <w:lang w:bidi="fa-IR"/>
        </w:rPr>
        <w:br w:type="page"/>
      </w:r>
    </w:p>
    <w:p w:rsidR="000C39D1" w:rsidRDefault="000C39D1" w:rsidP="000C39D1">
      <w:pPr>
        <w:pStyle w:val="Heading1Center"/>
        <w:rPr>
          <w:rtl/>
          <w:lang w:bidi="fa-IR"/>
        </w:rPr>
      </w:pPr>
      <w:bookmarkStart w:id="152" w:name="_Toc459459152"/>
      <w:bookmarkStart w:id="153" w:name="_Toc34663121"/>
      <w:r w:rsidRPr="004D2A96">
        <w:rPr>
          <w:rFonts w:hint="cs"/>
          <w:rtl/>
          <w:lang w:bidi="fa-IR"/>
        </w:rPr>
        <w:t>أبواب التاريخ</w:t>
      </w:r>
      <w:bookmarkEnd w:id="152"/>
      <w:bookmarkEnd w:id="153"/>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Pr>
          <w:rtl/>
          <w:lang w:bidi="fa-IR"/>
        </w:rPr>
        <w:br w:type="page"/>
      </w:r>
    </w:p>
    <w:p w:rsidR="000C39D1" w:rsidRPr="00132E65" w:rsidRDefault="000C39D1" w:rsidP="000C39D1">
      <w:pPr>
        <w:pStyle w:val="libCenterBold1"/>
        <w:rPr>
          <w:rtl/>
          <w:lang w:bidi="fa-IR"/>
        </w:rPr>
      </w:pPr>
      <w:r w:rsidRPr="00132E65">
        <w:rPr>
          <w:rtl/>
          <w:lang w:bidi="fa-IR"/>
        </w:rPr>
        <w:t xml:space="preserve">أَبْوَابُ </w:t>
      </w:r>
      <w:r>
        <w:rPr>
          <w:rStyle w:val="libFootnotenumChar"/>
          <w:rtl/>
        </w:rPr>
        <w:t>(1)</w:t>
      </w:r>
      <w:r>
        <w:rPr>
          <w:rtl/>
          <w:lang w:bidi="fa-IR"/>
        </w:rPr>
        <w:t xml:space="preserve"> </w:t>
      </w:r>
      <w:r w:rsidRPr="00132E65">
        <w:rPr>
          <w:rtl/>
          <w:lang w:bidi="fa-IR"/>
        </w:rPr>
        <w:t>التَّارِيخِ‌</w:t>
      </w:r>
    </w:p>
    <w:p w:rsidR="000C39D1" w:rsidRPr="00132E65" w:rsidRDefault="000C39D1" w:rsidP="000C39D1">
      <w:pPr>
        <w:pStyle w:val="Heading2Center"/>
        <w:rPr>
          <w:rtl/>
          <w:lang w:bidi="fa-IR"/>
        </w:rPr>
      </w:pPr>
      <w:bookmarkStart w:id="154" w:name="_Toc459459153"/>
      <w:bookmarkStart w:id="155" w:name="_Toc34663122"/>
      <w:r w:rsidRPr="00132E65">
        <w:rPr>
          <w:rtl/>
          <w:lang w:bidi="fa-IR"/>
        </w:rPr>
        <w:t>111</w:t>
      </w:r>
      <w:r>
        <w:rPr>
          <w:rtl/>
          <w:lang w:bidi="fa-IR"/>
        </w:rPr>
        <w:t xml:space="preserve"> - </w:t>
      </w:r>
      <w:r w:rsidRPr="00132E65">
        <w:rPr>
          <w:rtl/>
          <w:lang w:bidi="fa-IR"/>
        </w:rPr>
        <w:t xml:space="preserve">بَابُ </w:t>
      </w:r>
      <w:r>
        <w:rPr>
          <w:rStyle w:val="libFootnotenumChar"/>
          <w:rtl/>
        </w:rPr>
        <w:t>(2)</w:t>
      </w:r>
      <w:r>
        <w:rPr>
          <w:rtl/>
        </w:rPr>
        <w:t xml:space="preserve"> </w:t>
      </w:r>
      <w:r w:rsidRPr="00132E65">
        <w:rPr>
          <w:rtl/>
          <w:lang w:bidi="fa-IR"/>
        </w:rPr>
        <w:t xml:space="preserve">مَوْلِدِ النَّبِيِّ </w:t>
      </w:r>
      <w:r w:rsidRPr="00071CF9">
        <w:rPr>
          <w:rStyle w:val="libAlaemChar"/>
          <w:rtl/>
        </w:rPr>
        <w:t>صلى‌الله‌عليه‌وآله‌وسلم</w:t>
      </w:r>
      <w:r w:rsidR="00E65809">
        <w:rPr>
          <w:rtl/>
          <w:lang w:bidi="fa-IR"/>
        </w:rPr>
        <w:t xml:space="preserve"> و</w:t>
      </w:r>
      <w:r w:rsidR="00E65809">
        <w:rPr>
          <w:rFonts w:hint="cs"/>
          <w:rtl/>
          <w:lang w:bidi="fa-IR"/>
        </w:rPr>
        <w:t xml:space="preserve">َ </w:t>
      </w:r>
      <w:r w:rsidR="00E65809">
        <w:rPr>
          <w:rtl/>
          <w:lang w:bidi="fa-IR"/>
        </w:rPr>
        <w:t>و</w:t>
      </w:r>
      <w:r w:rsidR="00E65809">
        <w:rPr>
          <w:rFonts w:hint="cs"/>
          <w:rtl/>
          <w:lang w:bidi="fa-IR"/>
        </w:rPr>
        <w:t>َ</w:t>
      </w:r>
      <w:r w:rsidRPr="00132E65">
        <w:rPr>
          <w:rtl/>
          <w:lang w:bidi="fa-IR"/>
        </w:rPr>
        <w:t>فَاتِهِ‌</w:t>
      </w:r>
      <w:bookmarkEnd w:id="154"/>
      <w:bookmarkEnd w:id="155"/>
    </w:p>
    <w:p w:rsidR="000C39D1" w:rsidRPr="00132E65" w:rsidRDefault="000C39D1" w:rsidP="000C39D1">
      <w:pPr>
        <w:pStyle w:val="libNormal0"/>
        <w:tabs>
          <w:tab w:val="left" w:pos="3968"/>
        </w:tabs>
        <w:rPr>
          <w:rtl/>
          <w:lang w:bidi="fa-IR"/>
        </w:rPr>
      </w:pPr>
      <w:r w:rsidRPr="00132E65">
        <w:rPr>
          <w:rtl/>
          <w:lang w:bidi="fa-IR"/>
        </w:rPr>
        <w:t xml:space="preserve">وُلِدَ </w:t>
      </w:r>
      <w:r>
        <w:rPr>
          <w:rStyle w:val="libFootnotenumChar"/>
          <w:rtl/>
        </w:rPr>
        <w:t>(3)</w:t>
      </w:r>
      <w:r w:rsidRPr="00132E65">
        <w:rPr>
          <w:rtl/>
          <w:lang w:bidi="fa-IR"/>
        </w:rPr>
        <w:t xml:space="preserve"> النَّبِيُّ </w:t>
      </w:r>
      <w:r w:rsidRPr="00071CF9">
        <w:rPr>
          <w:rStyle w:val="libAlaemChar"/>
          <w:rtl/>
        </w:rPr>
        <w:t>صلى‌الله‌عليه‌وآله‌وسلم</w:t>
      </w:r>
      <w:r w:rsidRPr="00132E65">
        <w:rPr>
          <w:rtl/>
          <w:lang w:bidi="fa-IR"/>
        </w:rPr>
        <w:t xml:space="preserve"> لِاثْنَتَيْ عَشْرَةَ لَيْلَةً مَضَتْ مِنْ شَهْرِ رَبِيعٍ الْأَوَّلِ فِي عَامِ الْفِيلِ يَوْمَ الْجُمُعَةِ مَعَ الزَّوَالِ.</w:t>
      </w:r>
    </w:p>
    <w:p w:rsidR="000C39D1" w:rsidRPr="00132E65" w:rsidRDefault="000C39D1" w:rsidP="000C39D1">
      <w:pPr>
        <w:pStyle w:val="libNormal0"/>
        <w:tabs>
          <w:tab w:val="left" w:pos="3968"/>
        </w:tabs>
        <w:rPr>
          <w:rtl/>
          <w:lang w:bidi="fa-IR"/>
        </w:rPr>
      </w:pPr>
      <w:r w:rsidRPr="00132E65">
        <w:rPr>
          <w:rtl/>
          <w:lang w:bidi="fa-IR"/>
        </w:rPr>
        <w:t>وَرُوِيَ أَيْضاً عِنْدَ طُلُوعِ الْفَجْرِ قَبْلَ أَنْ يُبْعَثَ بِأَرْبَعِينَ سَنَةً.</w:t>
      </w:r>
    </w:p>
    <w:p w:rsidR="000C39D1" w:rsidRPr="00132E65" w:rsidRDefault="000C39D1" w:rsidP="000C39D1">
      <w:pPr>
        <w:pStyle w:val="libNormal0"/>
        <w:tabs>
          <w:tab w:val="left" w:pos="3968"/>
        </w:tabs>
        <w:rPr>
          <w:rtl/>
          <w:lang w:bidi="fa-IR"/>
        </w:rPr>
      </w:pPr>
      <w:r w:rsidRPr="00132E65">
        <w:rPr>
          <w:rtl/>
          <w:lang w:bidi="fa-IR"/>
        </w:rPr>
        <w:t xml:space="preserve">وَحَمَلَتْ بِهِ أُمُّهُ فِي أَيَّامِ التَّشْرِيقِ عِنْدَ الْجَمْرَةِ الْوُسْطى ، وكَانَتْ </w:t>
      </w:r>
      <w:r>
        <w:rPr>
          <w:rStyle w:val="libFootnotenumChar"/>
          <w:rtl/>
        </w:rPr>
        <w:t>(4)</w:t>
      </w:r>
      <w:r w:rsidRPr="00132E65">
        <w:rPr>
          <w:rtl/>
          <w:lang w:bidi="fa-IR"/>
        </w:rPr>
        <w:t xml:space="preserve"> فِي مَنْزِلِ عَبْدِ الله</w:t>
      </w:r>
      <w:r w:rsidR="00E65809">
        <w:rPr>
          <w:rtl/>
          <w:lang w:bidi="fa-IR"/>
        </w:rPr>
        <w:t>ِ بْنِ عَبْدِ الْمُطَّلِبِ ، و</w:t>
      </w:r>
      <w:r w:rsidR="00E65809">
        <w:rPr>
          <w:rFonts w:hint="cs"/>
          <w:rtl/>
          <w:lang w:bidi="fa-IR"/>
        </w:rPr>
        <w:t xml:space="preserve">َ </w:t>
      </w:r>
      <w:r w:rsidR="00E65809">
        <w:rPr>
          <w:rtl/>
          <w:lang w:bidi="fa-IR"/>
        </w:rPr>
        <w:t>و</w:t>
      </w:r>
      <w:r w:rsidR="00E65809">
        <w:rPr>
          <w:rFonts w:hint="cs"/>
          <w:rtl/>
          <w:lang w:bidi="fa-IR"/>
        </w:rPr>
        <w:t>َ</w:t>
      </w:r>
      <w:r w:rsidRPr="00132E65">
        <w:rPr>
          <w:rtl/>
          <w:lang w:bidi="fa-IR"/>
        </w:rPr>
        <w:t xml:space="preserve">لَدَتْهُ فِي شِعْبِ </w:t>
      </w:r>
      <w:r>
        <w:rPr>
          <w:rStyle w:val="libFootnotenumChar"/>
          <w:rtl/>
        </w:rPr>
        <w:t>(5)</w:t>
      </w:r>
      <w:r w:rsidRPr="00132E65">
        <w:rPr>
          <w:rtl/>
          <w:lang w:bidi="fa-IR"/>
        </w:rPr>
        <w:t xml:space="preserve"> أَبِي طَالِبٍ فِي دَارِ مُحَمَّدِ بْنِ يُوسُفَ فِي الزَّاوِيَةِ الْقُصْوى عَنْ يَسَارِكَ وأَنْتَ دَاخِلُ الدَّارِ </w:t>
      </w:r>
      <w:r>
        <w:rPr>
          <w:rStyle w:val="libFootnotenumChar"/>
          <w:rtl/>
        </w:rPr>
        <w:t>(6)</w:t>
      </w:r>
      <w:r w:rsidRPr="00132E65">
        <w:rPr>
          <w:rtl/>
          <w:lang w:bidi="fa-IR"/>
        </w:rPr>
        <w:t xml:space="preserve"> ، وقَدْ أَخْرَجَتِ الْخَيْزُرَانُ ذلِكَ الْبَيْتَ ، فَصَيَّرَتْهُ </w:t>
      </w:r>
      <w:r>
        <w:rPr>
          <w:rStyle w:val="libFootnotenumChar"/>
          <w:rtl/>
        </w:rPr>
        <w:t>(7)</w:t>
      </w:r>
      <w:r w:rsidRPr="00132E65">
        <w:rPr>
          <w:rtl/>
          <w:lang w:bidi="fa-IR"/>
        </w:rPr>
        <w:t xml:space="preserve"> مَسْجِداً يُصَلِّي النَّاسُ </w:t>
      </w:r>
      <w:r>
        <w:rPr>
          <w:rStyle w:val="libFootnotenumChar"/>
          <w:rtl/>
        </w:rPr>
        <w:t>(8)</w:t>
      </w:r>
      <w:r w:rsidRPr="00132E65">
        <w:rPr>
          <w:rtl/>
          <w:lang w:bidi="fa-IR"/>
        </w:rPr>
        <w:t xml:space="preserve"> فِيهِ.</w:t>
      </w:r>
    </w:p>
    <w:p w:rsidR="000C39D1" w:rsidRPr="00132E65" w:rsidRDefault="000C39D1" w:rsidP="000C39D1">
      <w:pPr>
        <w:pStyle w:val="libNormal0"/>
        <w:tabs>
          <w:tab w:val="left" w:pos="3968"/>
        </w:tabs>
        <w:rPr>
          <w:rtl/>
          <w:lang w:bidi="fa-IR"/>
        </w:rPr>
      </w:pPr>
      <w:r w:rsidRPr="00132E65">
        <w:rPr>
          <w:rtl/>
          <w:lang w:bidi="fa-IR"/>
        </w:rPr>
        <w:t>وَبَقِيَ بِمَكَّةَ بَعْدَ مَبْعَثِهِ ثَلَاثَ عَشْرَةَ سَنَةً ، ثُمَّ هَاجَرَ إِلَى الْمَدِينَةِ ، ومَكَثَ بِهَا عَشْرَ‌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باب »</w:t>
      </w:r>
      <w:r>
        <w:rPr>
          <w:rtl/>
        </w:rPr>
        <w:t>.</w:t>
      </w:r>
    </w:p>
    <w:p w:rsidR="000C39D1" w:rsidRPr="00132E65" w:rsidRDefault="000C39D1" w:rsidP="000C39D1">
      <w:pPr>
        <w:pStyle w:val="libFootnote0"/>
        <w:rPr>
          <w:rtl/>
          <w:lang w:bidi="fa-IR"/>
        </w:rPr>
      </w:pPr>
      <w:r>
        <w:rPr>
          <w:rtl/>
        </w:rPr>
        <w:t>(2).</w:t>
      </w:r>
      <w:r w:rsidRPr="00132E65">
        <w:rPr>
          <w:rtl/>
        </w:rPr>
        <w:t xml:space="preserve"> في « ب ، ج ، ض ، ف ، بر ، بس » </w:t>
      </w:r>
      <w:r>
        <w:rPr>
          <w:rtl/>
        </w:rPr>
        <w:t xml:space="preserve">: - </w:t>
      </w:r>
      <w:r w:rsidRPr="00132E65">
        <w:rPr>
          <w:rtl/>
        </w:rPr>
        <w:t>« باب »</w:t>
      </w:r>
      <w:r>
        <w:rPr>
          <w:rtl/>
        </w:rPr>
        <w:t>.</w:t>
      </w:r>
      <w:r w:rsidRPr="00132E65">
        <w:rPr>
          <w:rtl/>
        </w:rPr>
        <w:t xml:space="preserve"> وفي </w:t>
      </w:r>
      <w:r w:rsidRPr="009D1ACE">
        <w:rPr>
          <w:rStyle w:val="libFootnoteBoldChar"/>
          <w:rtl/>
        </w:rPr>
        <w:t>مرآة العقول</w:t>
      </w:r>
      <w:r w:rsidRPr="00132E65">
        <w:rPr>
          <w:rtl/>
        </w:rPr>
        <w:t xml:space="preserve"> : « تاريخ » بدل « باب »</w:t>
      </w:r>
      <w:r>
        <w:rPr>
          <w:rtl/>
        </w:rPr>
        <w:t>.</w:t>
      </w:r>
    </w:p>
    <w:p w:rsidR="000C39D1" w:rsidRPr="00132E65" w:rsidRDefault="000C39D1" w:rsidP="000C39D1">
      <w:pPr>
        <w:pStyle w:val="libFootnote0"/>
        <w:rPr>
          <w:rtl/>
          <w:lang w:bidi="fa-IR"/>
        </w:rPr>
      </w:pPr>
      <w:r>
        <w:rPr>
          <w:rtl/>
        </w:rPr>
        <w:t>(3).</w:t>
      </w:r>
      <w:r w:rsidRPr="00132E65">
        <w:rPr>
          <w:rtl/>
        </w:rPr>
        <w:t xml:space="preserve"> في « ف » : « مولد »</w:t>
      </w:r>
      <w:r>
        <w:rPr>
          <w:rtl/>
        </w:rPr>
        <w:t>.</w:t>
      </w:r>
    </w:p>
    <w:p w:rsidR="000C39D1" w:rsidRPr="00132E65" w:rsidRDefault="000C39D1" w:rsidP="000C39D1">
      <w:pPr>
        <w:pStyle w:val="libFootnote0"/>
        <w:rPr>
          <w:rtl/>
          <w:lang w:bidi="fa-IR"/>
        </w:rPr>
      </w:pPr>
      <w:r>
        <w:rPr>
          <w:rtl/>
        </w:rPr>
        <w:t>(4).</w:t>
      </w:r>
      <w:r w:rsidRPr="00132E65">
        <w:rPr>
          <w:rtl/>
        </w:rPr>
        <w:t xml:space="preserve"> في « ف » : « وكان »</w:t>
      </w:r>
      <w:r>
        <w:rPr>
          <w:rtl/>
        </w:rPr>
        <w:t>.</w:t>
      </w:r>
    </w:p>
    <w:p w:rsidR="000C39D1" w:rsidRPr="00132E65" w:rsidRDefault="000C39D1" w:rsidP="00E65809">
      <w:pPr>
        <w:pStyle w:val="libFootnote0"/>
        <w:rPr>
          <w:rtl/>
          <w:lang w:bidi="fa-IR"/>
        </w:rPr>
      </w:pPr>
      <w:r>
        <w:rPr>
          <w:rtl/>
        </w:rPr>
        <w:t>(5).</w:t>
      </w:r>
      <w:r w:rsidRPr="00132E65">
        <w:rPr>
          <w:rtl/>
        </w:rPr>
        <w:t xml:space="preserve"> « الشِعْب » : الطريق في الجبل ، ومسيل الماء في بطن أرض ، أو ما انفرج بين الجبلين. </w:t>
      </w:r>
      <w:r w:rsidRPr="000C2534">
        <w:rPr>
          <w:rtl/>
        </w:rPr>
        <w:t>القاموس المحيط</w:t>
      </w:r>
      <w:r w:rsidRPr="00132E65">
        <w:rPr>
          <w:rtl/>
        </w:rPr>
        <w:t xml:space="preserve"> ، ج 1 ، ص 184 ( شعب )</w:t>
      </w:r>
      <w:r>
        <w:rPr>
          <w:rtl/>
        </w:rPr>
        <w:t>.</w:t>
      </w:r>
      <w:r w:rsidR="00E65809">
        <w:rPr>
          <w:rFonts w:hint="cs"/>
          <w:rtl/>
        </w:rPr>
        <w:t xml:space="preserve">             </w:t>
      </w:r>
      <w:r w:rsidR="00C17CD8">
        <w:rPr>
          <w:rFonts w:hint="cs"/>
          <w:rtl/>
        </w:rPr>
        <w:t xml:space="preserve">                   </w:t>
      </w:r>
      <w:r w:rsidR="00E65809">
        <w:rPr>
          <w:rFonts w:hint="cs"/>
          <w:rtl/>
        </w:rPr>
        <w:t xml:space="preserve">                </w:t>
      </w:r>
      <w:r>
        <w:rPr>
          <w:rtl/>
        </w:rPr>
        <w:t>(6).</w:t>
      </w:r>
      <w:r w:rsidRPr="00132E65">
        <w:rPr>
          <w:rtl/>
        </w:rPr>
        <w:t xml:space="preserve"> في البحار </w:t>
      </w:r>
      <w:r>
        <w:rPr>
          <w:rtl/>
        </w:rPr>
        <w:t xml:space="preserve">: - </w:t>
      </w:r>
      <w:r w:rsidRPr="00132E65">
        <w:rPr>
          <w:rtl/>
        </w:rPr>
        <w:t>« الدار »</w:t>
      </w:r>
      <w:r>
        <w:rPr>
          <w:rtl/>
        </w:rPr>
        <w:t>.</w:t>
      </w:r>
    </w:p>
    <w:p w:rsidR="000C39D1" w:rsidRPr="00132E65" w:rsidRDefault="000C39D1" w:rsidP="000C39D1">
      <w:pPr>
        <w:pStyle w:val="libFootnote0"/>
        <w:rPr>
          <w:rtl/>
          <w:lang w:bidi="fa-IR"/>
        </w:rPr>
      </w:pPr>
      <w:r>
        <w:rPr>
          <w:rtl/>
        </w:rPr>
        <w:t>(7).</w:t>
      </w:r>
      <w:r w:rsidRPr="00132E65">
        <w:rPr>
          <w:rtl/>
        </w:rPr>
        <w:t xml:space="preserve"> في « ج ، ض ، ف ، بح » وحاشية « بس » : « فصيّروه »</w:t>
      </w:r>
      <w:r>
        <w:rPr>
          <w:rtl/>
        </w:rPr>
        <w:t>.</w:t>
      </w:r>
      <w:r w:rsidRPr="00132E65">
        <w:rPr>
          <w:rtl/>
        </w:rPr>
        <w:t xml:space="preserve"> وفي « بس ، بف » وحاشية « ف » : « فصيّره »</w:t>
      </w:r>
      <w:r>
        <w:rPr>
          <w:rtl/>
        </w:rPr>
        <w:t>.</w:t>
      </w:r>
    </w:p>
    <w:p w:rsidR="000C39D1" w:rsidRPr="00132E65" w:rsidRDefault="000C39D1" w:rsidP="000C39D1">
      <w:pPr>
        <w:pStyle w:val="libFootnote0"/>
        <w:rPr>
          <w:rtl/>
          <w:lang w:bidi="fa-IR"/>
        </w:rPr>
      </w:pPr>
      <w:r>
        <w:rPr>
          <w:rtl/>
        </w:rPr>
        <w:t>(8).</w:t>
      </w:r>
      <w:r w:rsidRPr="00132E65">
        <w:rPr>
          <w:rtl/>
        </w:rPr>
        <w:t xml:space="preserve"> في « بس » : « الناس يصلّي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سِنِينَ ثُمَّ قُبِضَ </w:t>
      </w:r>
      <w:r w:rsidRPr="00071CF9">
        <w:rPr>
          <w:rStyle w:val="libAlaemChar"/>
          <w:rtl/>
        </w:rPr>
        <w:t>عليه‌السلام</w:t>
      </w:r>
      <w:r w:rsidRPr="00132E65">
        <w:rPr>
          <w:rtl/>
          <w:lang w:bidi="fa-IR"/>
        </w:rPr>
        <w:t xml:space="preserve"> لِاثْنَتَيْ عَشْرَةَ لَيْلَةً مَضَتْ مِنْ رَبِيعٍ الْأَوَّلِ يَوْمَ الْإِثْنَيْنِ وهُوَ ابْنُ ثَلَاثٍ وسِتِّينَ سَنَةً.</w:t>
      </w:r>
    </w:p>
    <w:p w:rsidR="000C39D1" w:rsidRPr="00132E65" w:rsidRDefault="000C39D1" w:rsidP="000C39D1">
      <w:pPr>
        <w:pStyle w:val="libNormal0"/>
        <w:tabs>
          <w:tab w:val="left" w:pos="3968"/>
        </w:tabs>
        <w:rPr>
          <w:rtl/>
          <w:lang w:bidi="fa-IR"/>
        </w:rPr>
      </w:pPr>
      <w:r w:rsidRPr="00132E65">
        <w:rPr>
          <w:rtl/>
          <w:lang w:bidi="fa-IR"/>
        </w:rPr>
        <w:t>وَتُوُفِّيَ أَبُوهُ عَبْدُ اللهِ بْنُ عَبْدِ الْمُطَّلِبِ بِالْمَدِينَةِ عِنْدَ أَخْوَالِهِ وهُوَ ابْنُ شَهْرَيْنِ.</w:t>
      </w:r>
    </w:p>
    <w:p w:rsidR="000C39D1" w:rsidRPr="00132E65" w:rsidRDefault="000C39D1" w:rsidP="000C39D1">
      <w:pPr>
        <w:pStyle w:val="libNormal0"/>
        <w:tabs>
          <w:tab w:val="left" w:pos="3968"/>
        </w:tabs>
        <w:rPr>
          <w:rtl/>
          <w:lang w:bidi="fa-IR"/>
        </w:rPr>
      </w:pPr>
      <w:r w:rsidRPr="00132E65">
        <w:rPr>
          <w:rtl/>
          <w:lang w:bidi="fa-IR"/>
        </w:rPr>
        <w:t xml:space="preserve">وَمَاتَتْ أُمُّهُ آمِنَةُ </w:t>
      </w:r>
      <w:r>
        <w:rPr>
          <w:rStyle w:val="libFootnotenumChar"/>
          <w:rtl/>
        </w:rPr>
        <w:t>(1)</w:t>
      </w:r>
      <w:r w:rsidRPr="00132E65">
        <w:rPr>
          <w:rtl/>
          <w:lang w:bidi="fa-IR"/>
        </w:rPr>
        <w:t xml:space="preserve"> بِنْتُ وهْبِ بْنِ عَبْدِ مَنَافِ بْنِ زُهْرَةَ بْنِ كِلَابِ بْنِ مُرَّةَ بْنِ كَعْبِ بْنِ لُؤَيِّ بْنِ غَالِبٍ وهُوَ </w:t>
      </w:r>
      <w:r w:rsidRPr="00071CF9">
        <w:rPr>
          <w:rStyle w:val="libAlaemChar"/>
          <w:rtl/>
        </w:rPr>
        <w:t>عليه‌السلام</w:t>
      </w:r>
      <w:r w:rsidRPr="00132E65">
        <w:rPr>
          <w:rtl/>
          <w:lang w:bidi="fa-IR"/>
        </w:rPr>
        <w:t xml:space="preserve"> ابْنُ أَرْبَعِ </w:t>
      </w:r>
      <w:r>
        <w:rPr>
          <w:rStyle w:val="libFootnotenumChar"/>
          <w:rtl/>
        </w:rPr>
        <w:t>(2)</w:t>
      </w:r>
      <w:r w:rsidRPr="00132E65">
        <w:rPr>
          <w:rtl/>
          <w:lang w:bidi="fa-IR"/>
        </w:rPr>
        <w:t xml:space="preserve"> سِنِينَ.</w:t>
      </w:r>
    </w:p>
    <w:p w:rsidR="000C39D1" w:rsidRPr="00132E65" w:rsidRDefault="000C39D1" w:rsidP="000C39D1">
      <w:pPr>
        <w:pStyle w:val="libNormal0"/>
        <w:tabs>
          <w:tab w:val="left" w:pos="3968"/>
        </w:tabs>
        <w:rPr>
          <w:rtl/>
          <w:lang w:bidi="fa-IR"/>
        </w:rPr>
      </w:pPr>
      <w:r w:rsidRPr="00132E65">
        <w:rPr>
          <w:rtl/>
          <w:lang w:bidi="fa-IR"/>
        </w:rPr>
        <w:t xml:space="preserve">وَمَاتَ عَبْدُ الْمُطَّلِبِ ولِلنَّبِيِّ </w:t>
      </w:r>
      <w:r w:rsidRPr="0093484F">
        <w:rPr>
          <w:rStyle w:val="libAlaemChar"/>
          <w:rFonts w:eastAsiaTheme="minorHAnsi"/>
          <w:rtl/>
        </w:rPr>
        <w:t>صلى‌الله‌عليه‌وآله</w:t>
      </w:r>
      <w:r w:rsidRPr="00132E65">
        <w:rPr>
          <w:rtl/>
          <w:lang w:bidi="fa-IR"/>
        </w:rPr>
        <w:t xml:space="preserve"> نَحْوُ ثَمَانِ سِنِينَ.</w:t>
      </w:r>
    </w:p>
    <w:p w:rsidR="000C39D1" w:rsidRPr="00132E65" w:rsidRDefault="000C39D1" w:rsidP="000C39D1">
      <w:pPr>
        <w:pStyle w:val="libNormal0"/>
        <w:tabs>
          <w:tab w:val="left" w:pos="3968"/>
        </w:tabs>
        <w:rPr>
          <w:rtl/>
          <w:lang w:bidi="fa-IR"/>
        </w:rPr>
      </w:pPr>
      <w:r w:rsidRPr="00132E65">
        <w:rPr>
          <w:rtl/>
          <w:lang w:bidi="fa-IR"/>
        </w:rPr>
        <w:t xml:space="preserve">وَتَزَوَّجَ خَدِيجَةَ وهُوَ ابْنُ بِضْعٍ </w:t>
      </w:r>
      <w:r>
        <w:rPr>
          <w:rStyle w:val="libFootnotenumChar"/>
          <w:rtl/>
        </w:rPr>
        <w:t>(3)</w:t>
      </w:r>
      <w:r w:rsidRPr="00132E65">
        <w:rPr>
          <w:rtl/>
          <w:lang w:bidi="fa-IR"/>
        </w:rPr>
        <w:t xml:space="preserve"> وعِشْرِينَ سَنَةً ، فَوُلِدَ لَهُ </w:t>
      </w:r>
      <w:r>
        <w:rPr>
          <w:rStyle w:val="libFootnotenumChar"/>
          <w:rtl/>
        </w:rPr>
        <w:t>(4)</w:t>
      </w:r>
      <w:r w:rsidRPr="00132E65">
        <w:rPr>
          <w:rtl/>
          <w:lang w:bidi="fa-IR"/>
        </w:rPr>
        <w:t xml:space="preserve"> مِنْهَا قَبْلَ مَبْعَثِهِ </w:t>
      </w:r>
      <w:r w:rsidRPr="00071CF9">
        <w:rPr>
          <w:rStyle w:val="libAlaemChar"/>
          <w:rtl/>
        </w:rPr>
        <w:t>عليه‌السلام</w:t>
      </w:r>
      <w:r w:rsidRPr="00132E65">
        <w:rPr>
          <w:rtl/>
          <w:lang w:bidi="fa-IR"/>
        </w:rPr>
        <w:t xml:space="preserve"> : الْقَاسِمُ ، وَرُقَيَّةُ ، وز</w:t>
      </w:r>
      <w:r w:rsidR="00FD64DE">
        <w:rPr>
          <w:rtl/>
          <w:lang w:bidi="fa-IR"/>
        </w:rPr>
        <w:t>َيْنَبُ ، وأُمُّ كُلْثُومٍ ؛ و</w:t>
      </w:r>
      <w:r w:rsidR="00FD64DE">
        <w:rPr>
          <w:rFonts w:hint="cs"/>
          <w:rtl/>
          <w:lang w:bidi="fa-IR"/>
        </w:rPr>
        <w:t xml:space="preserve">َ </w:t>
      </w:r>
      <w:r w:rsidR="00FD64DE">
        <w:rPr>
          <w:rtl/>
          <w:lang w:bidi="fa-IR"/>
        </w:rPr>
        <w:t>و</w:t>
      </w:r>
      <w:r w:rsidR="00FD64DE">
        <w:rPr>
          <w:rFonts w:hint="cs"/>
          <w:rtl/>
          <w:lang w:bidi="fa-IR"/>
        </w:rPr>
        <w:t>ُ</w:t>
      </w:r>
      <w:r w:rsidRPr="00132E65">
        <w:rPr>
          <w:rtl/>
          <w:lang w:bidi="fa-IR"/>
        </w:rPr>
        <w:t xml:space="preserve">لِدَ لَهُ </w:t>
      </w:r>
      <w:r>
        <w:rPr>
          <w:rStyle w:val="libFootnotenumChar"/>
          <w:rtl/>
        </w:rPr>
        <w:t>(5)</w:t>
      </w:r>
      <w:r w:rsidRPr="00132E65">
        <w:rPr>
          <w:rtl/>
          <w:lang w:bidi="fa-IR"/>
        </w:rPr>
        <w:t xml:space="preserve"> بَعْدَ الْمَبْعَثِ : الطَّيِّبُ ، والطَّاهِرُ ، وفَاطِمَةُ </w:t>
      </w:r>
      <w:r w:rsidRPr="00071CF9">
        <w:rPr>
          <w:rStyle w:val="libAlaemChar"/>
          <w:rtl/>
        </w:rPr>
        <w:t>عليها‌السلام</w:t>
      </w:r>
      <w:r w:rsidRPr="00132E65">
        <w:rPr>
          <w:rtl/>
          <w:lang w:bidi="fa-IR"/>
        </w:rPr>
        <w:t>.</w:t>
      </w:r>
    </w:p>
    <w:p w:rsidR="000C39D1" w:rsidRPr="00132E65" w:rsidRDefault="000C39D1" w:rsidP="000C39D1">
      <w:pPr>
        <w:pStyle w:val="libNormal0"/>
        <w:tabs>
          <w:tab w:val="left" w:pos="3968"/>
        </w:tabs>
        <w:rPr>
          <w:rtl/>
          <w:lang w:bidi="fa-IR"/>
        </w:rPr>
      </w:pPr>
      <w:r w:rsidRPr="00132E65">
        <w:rPr>
          <w:rtl/>
          <w:lang w:bidi="fa-IR"/>
        </w:rPr>
        <w:t xml:space="preserve">وَرُوِيَ أَيْضاً : أَنَّهُ لَمْ يُولَدْ لَهُ </w:t>
      </w:r>
      <w:r>
        <w:rPr>
          <w:rStyle w:val="libFootnotenumChar"/>
          <w:rtl/>
        </w:rPr>
        <w:t>(6)</w:t>
      </w:r>
      <w:r w:rsidR="00FD64DE">
        <w:rPr>
          <w:rtl/>
          <w:lang w:bidi="fa-IR"/>
        </w:rPr>
        <w:t xml:space="preserve"> بَعْدَ الْمَبْعَثِ إِل</w:t>
      </w:r>
      <w:r w:rsidR="00FD64DE">
        <w:rPr>
          <w:rFonts w:hint="cs"/>
          <w:rtl/>
          <w:lang w:bidi="fa-IR"/>
        </w:rPr>
        <w:t>َّ</w:t>
      </w:r>
      <w:r w:rsidR="00FD64DE">
        <w:rPr>
          <w:rtl/>
          <w:lang w:bidi="fa-IR"/>
        </w:rPr>
        <w:t>ا</w:t>
      </w:r>
      <w:r w:rsidRPr="00132E65">
        <w:rPr>
          <w:rtl/>
          <w:lang w:bidi="fa-IR"/>
        </w:rPr>
        <w:t xml:space="preserve"> فَاطِمَةُ </w:t>
      </w:r>
      <w:r w:rsidRPr="00071CF9">
        <w:rPr>
          <w:rStyle w:val="libAlaemChar"/>
          <w:rtl/>
        </w:rPr>
        <w:t>عليها‌السلام</w:t>
      </w:r>
      <w:r w:rsidRPr="00132E65">
        <w:rPr>
          <w:rtl/>
          <w:lang w:bidi="fa-IR"/>
        </w:rPr>
        <w:t xml:space="preserve"> ، وأَنَّ الطَّيِّبَ والطَّاهِرَ ولِدَا قَبْلَ مَبْعَثِهِ.</w:t>
      </w:r>
    </w:p>
    <w:p w:rsidR="000C39D1" w:rsidRPr="00132E65" w:rsidRDefault="000C39D1" w:rsidP="000C39D1">
      <w:pPr>
        <w:pStyle w:val="libNormal0"/>
        <w:tabs>
          <w:tab w:val="left" w:pos="3968"/>
        </w:tabs>
        <w:rPr>
          <w:rtl/>
          <w:lang w:bidi="fa-IR"/>
        </w:rPr>
      </w:pPr>
      <w:r w:rsidRPr="00132E65">
        <w:rPr>
          <w:rtl/>
          <w:lang w:bidi="fa-IR"/>
        </w:rPr>
        <w:t xml:space="preserve">وَمَاتَتْ خَدِيجَةُ </w:t>
      </w:r>
      <w:r w:rsidRPr="00071CF9">
        <w:rPr>
          <w:rStyle w:val="libAlaemChar"/>
          <w:rtl/>
        </w:rPr>
        <w:t>عليها‌السلام</w:t>
      </w:r>
      <w:r w:rsidRPr="00132E65">
        <w:rPr>
          <w:rtl/>
          <w:lang w:bidi="fa-IR"/>
        </w:rPr>
        <w:t xml:space="preserve"> </w:t>
      </w:r>
      <w:r>
        <w:rPr>
          <w:rStyle w:val="libFootnotenumChar"/>
          <w:rtl/>
        </w:rPr>
        <w:t>(7)</w:t>
      </w:r>
      <w:r w:rsidRPr="00132E65">
        <w:rPr>
          <w:rtl/>
          <w:lang w:bidi="fa-IR"/>
        </w:rPr>
        <w:t xml:space="preserve"> حِينَ خَرَجَ رَسُولُ اللهِ </w:t>
      </w:r>
      <w:r w:rsidRPr="0093484F">
        <w:rPr>
          <w:rStyle w:val="libAlaemChar"/>
          <w:rFonts w:eastAsiaTheme="minorHAnsi"/>
          <w:rtl/>
        </w:rPr>
        <w:t>صلى‌الله‌عليه‌وآله</w:t>
      </w:r>
      <w:r w:rsidRPr="00132E65">
        <w:rPr>
          <w:rtl/>
          <w:lang w:bidi="fa-IR"/>
        </w:rPr>
        <w:t xml:space="preserve"> مِنَ الشِّعْبِ ، وكَانَ ذلِكَ قَبْلَ الْهِجْرَةِ بِسَنَةٍ.</w:t>
      </w:r>
    </w:p>
    <w:p w:rsidR="000C39D1" w:rsidRPr="00132E65" w:rsidRDefault="000C39D1" w:rsidP="000C39D1">
      <w:pPr>
        <w:pStyle w:val="libNormal0"/>
        <w:tabs>
          <w:tab w:val="left" w:pos="3968"/>
        </w:tabs>
        <w:rPr>
          <w:rtl/>
          <w:lang w:bidi="fa-IR"/>
        </w:rPr>
      </w:pPr>
      <w:r w:rsidRPr="00132E65">
        <w:rPr>
          <w:rtl/>
          <w:lang w:bidi="fa-IR"/>
        </w:rPr>
        <w:t xml:space="preserve">وَمَاتَ أَبُو طَالِبٍ بَعْدَ مَوْتِ خَدِيجَةَ بِسَنَةٍ ، فَلَمَّا فَقَدَهُمَا رَسُولُ اللهِ </w:t>
      </w:r>
      <w:r w:rsidRPr="0093484F">
        <w:rPr>
          <w:rStyle w:val="libAlaemChar"/>
          <w:rFonts w:eastAsiaTheme="minorHAnsi"/>
          <w:rtl/>
        </w:rPr>
        <w:t>صلى‌الله‌عليه‌وآله</w:t>
      </w:r>
      <w:r w:rsidRPr="00132E65">
        <w:rPr>
          <w:rtl/>
          <w:lang w:bidi="fa-IR"/>
        </w:rPr>
        <w:t xml:space="preserve"> شَنَأَ </w:t>
      </w:r>
      <w:r>
        <w:rPr>
          <w:rStyle w:val="libFootnotenumChar"/>
          <w:rtl/>
        </w:rPr>
        <w:t>(8)</w:t>
      </w:r>
      <w:r w:rsidRPr="00132E65">
        <w:rPr>
          <w:rtl/>
          <w:lang w:bidi="fa-IR"/>
        </w:rPr>
        <w:t xml:space="preserve"> الْمُقَامَ </w:t>
      </w:r>
      <w:r>
        <w:rPr>
          <w:rStyle w:val="libFootnotenumChar"/>
          <w:rtl/>
        </w:rPr>
        <w:t>(9)</w:t>
      </w:r>
      <w:r w:rsidRPr="00132E65">
        <w:rPr>
          <w:rtl/>
          <w:lang w:bidi="fa-IR"/>
        </w:rPr>
        <w:t xml:space="preserve"> بِمَكَّةَ ، ودَخَلَهُ حُزْنٌ شَدِيدٌ ، وشَكَا ذلِكَ إِلى جَبْرَئِيلَ </w:t>
      </w:r>
      <w:r w:rsidRPr="00071CF9">
        <w:rPr>
          <w:rStyle w:val="libAlaemChar"/>
          <w:rtl/>
        </w:rPr>
        <w:t>عليه‌السلام</w:t>
      </w:r>
      <w:r w:rsidRPr="00132E65">
        <w:rPr>
          <w:rtl/>
          <w:lang w:bidi="fa-IR"/>
        </w:rPr>
        <w:t xml:space="preserve"> ، فَأَوْحَى اللهُ تَعَالى إِلَيْهِ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آمنة ا</w:t>
      </w:r>
      <w:r w:rsidR="00FD64DE">
        <w:rPr>
          <w:rFonts w:hint="cs"/>
          <w:rtl/>
        </w:rPr>
        <w:t>ُ</w:t>
      </w:r>
      <w:r w:rsidRPr="00132E65">
        <w:rPr>
          <w:rtl/>
        </w:rPr>
        <w:t>مّه »</w:t>
      </w:r>
      <w:r>
        <w:rPr>
          <w:rtl/>
        </w:rPr>
        <w:t>.</w:t>
      </w:r>
    </w:p>
    <w:p w:rsidR="000C39D1" w:rsidRPr="00132E65" w:rsidRDefault="000C39D1" w:rsidP="000C39D1">
      <w:pPr>
        <w:pStyle w:val="libFootnote0"/>
        <w:rPr>
          <w:rtl/>
          <w:lang w:bidi="fa-IR"/>
        </w:rPr>
      </w:pPr>
      <w:r>
        <w:rPr>
          <w:rtl/>
        </w:rPr>
        <w:t>(2).</w:t>
      </w:r>
      <w:r w:rsidRPr="00132E65">
        <w:rPr>
          <w:rtl/>
        </w:rPr>
        <w:t xml:space="preserve"> في حاشية « بس » : « ثلاث »</w:t>
      </w:r>
      <w:r>
        <w:rPr>
          <w:rtl/>
        </w:rPr>
        <w:t>.</w:t>
      </w:r>
    </w:p>
    <w:p w:rsidR="000C39D1" w:rsidRPr="00132E65" w:rsidRDefault="000C39D1" w:rsidP="000C39D1">
      <w:pPr>
        <w:pStyle w:val="libFootnote0"/>
        <w:rPr>
          <w:rtl/>
          <w:lang w:bidi="fa-IR"/>
        </w:rPr>
      </w:pPr>
      <w:r>
        <w:rPr>
          <w:rtl/>
        </w:rPr>
        <w:t>(3).</w:t>
      </w:r>
      <w:r w:rsidRPr="00132E65">
        <w:rPr>
          <w:rtl/>
        </w:rPr>
        <w:t xml:space="preserve"> « البِضع » في العدد بالكسر ، وقد يفتح : ما بين الثلاث إلى التسع. وقيل : ما بين الواحد إلى العشرة ؛ لأنّه قطعةمن العدد. </w:t>
      </w:r>
      <w:r w:rsidRPr="000C2534">
        <w:rPr>
          <w:rtl/>
        </w:rPr>
        <w:t>النهاية</w:t>
      </w:r>
      <w:r w:rsidRPr="00132E65">
        <w:rPr>
          <w:rtl/>
        </w:rPr>
        <w:t xml:space="preserve"> ، ج 1 ، ص 133 ( بضع )</w:t>
      </w:r>
      <w:r>
        <w:rPr>
          <w:rtl/>
        </w:rPr>
        <w:t>.</w:t>
      </w:r>
    </w:p>
    <w:p w:rsidR="000C39D1" w:rsidRPr="00132E65" w:rsidRDefault="000C39D1" w:rsidP="000C39D1">
      <w:pPr>
        <w:pStyle w:val="libFootnote0"/>
        <w:rPr>
          <w:rtl/>
          <w:lang w:bidi="fa-IR"/>
        </w:rPr>
      </w:pPr>
      <w:r>
        <w:rPr>
          <w:rtl/>
        </w:rPr>
        <w:t>(4).</w:t>
      </w:r>
      <w:r w:rsidRPr="00132E65">
        <w:rPr>
          <w:rtl/>
        </w:rPr>
        <w:t xml:space="preserve"> في « بف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منها »</w:t>
      </w:r>
      <w:r>
        <w:rPr>
          <w:rtl/>
        </w:rPr>
        <w:t>.</w:t>
      </w:r>
    </w:p>
    <w:p w:rsidR="000C39D1" w:rsidRPr="00132E65" w:rsidRDefault="000C39D1" w:rsidP="000C39D1">
      <w:pPr>
        <w:pStyle w:val="libFootnote0"/>
        <w:rPr>
          <w:rtl/>
          <w:lang w:bidi="fa-IR"/>
        </w:rPr>
      </w:pPr>
      <w:r>
        <w:rPr>
          <w:rtl/>
        </w:rPr>
        <w:t>(6).</w:t>
      </w:r>
      <w:r w:rsidRPr="00132E65">
        <w:rPr>
          <w:rtl/>
        </w:rPr>
        <w:t xml:space="preserve"> هكذا في « ج ، ض ، ف ، بح ، بس ، بف » و</w:t>
      </w:r>
      <w:r w:rsidRPr="009D1ACE">
        <w:rPr>
          <w:rStyle w:val="libFootnoteBoldChar"/>
          <w:rtl/>
        </w:rPr>
        <w:t>الوافي</w:t>
      </w:r>
      <w:r w:rsidRPr="00132E65">
        <w:rPr>
          <w:rtl/>
        </w:rPr>
        <w:t xml:space="preserve">. وفي سائر النسخ والمطبوع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006"/>
        <w:gridCol w:w="4006"/>
      </w:tblGrid>
      <w:tr w:rsidR="00FD64DE" w:rsidTr="00FD64DE">
        <w:tc>
          <w:tcPr>
            <w:tcW w:w="4006" w:type="dxa"/>
          </w:tcPr>
          <w:p w:rsidR="00FD64DE" w:rsidRDefault="00FD64DE" w:rsidP="000C39D1">
            <w:pPr>
              <w:pStyle w:val="libFootnote0"/>
              <w:rPr>
                <w:rtl/>
              </w:rPr>
            </w:pPr>
            <w:r>
              <w:rPr>
                <w:rtl/>
              </w:rPr>
              <w:t>(7).</w:t>
            </w:r>
            <w:r w:rsidRPr="00132E65">
              <w:rPr>
                <w:rtl/>
              </w:rPr>
              <w:t xml:space="preserve"> في « بر » : « رضي الله عنها »</w:t>
            </w:r>
            <w:r>
              <w:rPr>
                <w:rtl/>
              </w:rPr>
              <w:t>.</w:t>
            </w:r>
          </w:p>
        </w:tc>
        <w:tc>
          <w:tcPr>
            <w:tcW w:w="4006" w:type="dxa"/>
          </w:tcPr>
          <w:p w:rsidR="00FD64DE" w:rsidRDefault="00FD64DE" w:rsidP="000C39D1">
            <w:pPr>
              <w:pStyle w:val="libFootnote0"/>
              <w:rPr>
                <w:rtl/>
              </w:rPr>
            </w:pPr>
            <w:r>
              <w:rPr>
                <w:rtl/>
              </w:rPr>
              <w:t>(8).</w:t>
            </w:r>
            <w:r w:rsidRPr="00132E65">
              <w:rPr>
                <w:rtl/>
              </w:rPr>
              <w:t xml:space="preserve"> في « بف » وحاشية « ج » و</w:t>
            </w:r>
            <w:r w:rsidRPr="009D1ACE">
              <w:rPr>
                <w:rStyle w:val="libFootnoteBoldChar"/>
                <w:rtl/>
              </w:rPr>
              <w:t>الوافي</w:t>
            </w:r>
            <w:r w:rsidRPr="00132E65">
              <w:rPr>
                <w:rtl/>
              </w:rPr>
              <w:t xml:space="preserve"> : « سئم »</w:t>
            </w:r>
            <w:r>
              <w:rPr>
                <w:rtl/>
              </w:rPr>
              <w:t>.</w:t>
            </w:r>
          </w:p>
        </w:tc>
      </w:tr>
    </w:tbl>
    <w:p w:rsidR="000C39D1" w:rsidRPr="00132E65" w:rsidRDefault="000C39D1" w:rsidP="000C39D1">
      <w:pPr>
        <w:pStyle w:val="libFootnote0"/>
        <w:rPr>
          <w:rtl/>
          <w:lang w:bidi="fa-IR"/>
        </w:rPr>
      </w:pPr>
      <w:r>
        <w:rPr>
          <w:rtl/>
        </w:rPr>
        <w:t>(9).</w:t>
      </w:r>
      <w:r w:rsidRPr="00132E65">
        <w:rPr>
          <w:rtl/>
        </w:rPr>
        <w:t xml:space="preserve"> « شنأ ال</w:t>
      </w:r>
      <w:r w:rsidR="00FD64DE">
        <w:rPr>
          <w:rFonts w:hint="cs"/>
          <w:rtl/>
        </w:rPr>
        <w:t>ـ</w:t>
      </w:r>
      <w:r w:rsidRPr="00132E65">
        <w:rPr>
          <w:rtl/>
        </w:rPr>
        <w:t xml:space="preserve">مُقام » ، أي أبغض الإقامة. من الشناءة بمعنى البغض. راجع : </w:t>
      </w:r>
      <w:r w:rsidRPr="000C2534">
        <w:rPr>
          <w:rtl/>
        </w:rPr>
        <w:t>الصحاح</w:t>
      </w:r>
      <w:r w:rsidRPr="00132E65">
        <w:rPr>
          <w:rtl/>
        </w:rPr>
        <w:t xml:space="preserve"> ، ج 1 ، ص 57 ( شنأ )</w:t>
      </w:r>
      <w:r>
        <w:rPr>
          <w:rtl/>
        </w:rPr>
        <w:t>.</w:t>
      </w:r>
    </w:p>
    <w:p w:rsidR="000C39D1" w:rsidRPr="00132E65" w:rsidRDefault="000C39D1" w:rsidP="000C39D1">
      <w:pPr>
        <w:pStyle w:val="libFootnote0"/>
        <w:rPr>
          <w:rtl/>
          <w:lang w:bidi="fa-IR"/>
        </w:rPr>
      </w:pPr>
      <w:r>
        <w:rPr>
          <w:rtl/>
        </w:rPr>
        <w:t>(10).</w:t>
      </w:r>
      <w:r w:rsidRPr="00132E65">
        <w:rPr>
          <w:rtl/>
        </w:rPr>
        <w:t xml:space="preserve"> في « ف » :</w:t>
      </w:r>
      <w:r>
        <w:rPr>
          <w:rtl/>
        </w:rPr>
        <w:t xml:space="preserve"> + </w:t>
      </w:r>
      <w:r w:rsidRPr="00132E65">
        <w:rPr>
          <w:rtl/>
        </w:rPr>
        <w:t>« أن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اخْرُجْ مِنَ </w:t>
      </w:r>
      <w:r>
        <w:rPr>
          <w:rStyle w:val="libFootnotenumChar"/>
          <w:rtl/>
        </w:rPr>
        <w:t>(1)</w:t>
      </w:r>
      <w:r w:rsidRPr="00132E65">
        <w:rPr>
          <w:rtl/>
          <w:lang w:bidi="fa-IR"/>
        </w:rPr>
        <w:t xml:space="preserve"> الْقَرْيَةِ </w:t>
      </w:r>
      <w:r>
        <w:rPr>
          <w:rStyle w:val="libFootnotenumChar"/>
          <w:rtl/>
        </w:rPr>
        <w:t>(2)</w:t>
      </w:r>
      <w:r w:rsidRPr="00132E65">
        <w:rPr>
          <w:rtl/>
          <w:lang w:bidi="fa-IR"/>
        </w:rPr>
        <w:t xml:space="preserve"> الظَّالِمِ أَهْلُهَا </w:t>
      </w:r>
      <w:r>
        <w:rPr>
          <w:rStyle w:val="libFootnotenumChar"/>
          <w:rtl/>
        </w:rPr>
        <w:t>(3)</w:t>
      </w:r>
      <w:r w:rsidRPr="00132E65">
        <w:rPr>
          <w:rtl/>
          <w:lang w:bidi="fa-IR"/>
        </w:rPr>
        <w:t xml:space="preserve"> ؛ فَلَيْسَ لَكَ بِمَكَّةَ </w:t>
      </w:r>
      <w:r>
        <w:rPr>
          <w:rStyle w:val="libFootnotenumChar"/>
          <w:rtl/>
        </w:rPr>
        <w:t>(4)</w:t>
      </w:r>
      <w:r w:rsidRPr="00132E65">
        <w:rPr>
          <w:rtl/>
          <w:lang w:bidi="fa-IR"/>
        </w:rPr>
        <w:t xml:space="preserve"> نَاصِرٌ بَعْدَ أَبِي طَالِبٍ ، وأَمَرَهُ </w:t>
      </w:r>
      <w:r w:rsidRPr="00071CF9">
        <w:rPr>
          <w:rStyle w:val="libAlaemChar"/>
          <w:rtl/>
        </w:rPr>
        <w:t>عليه‌السلام</w:t>
      </w:r>
      <w:r w:rsidRPr="00132E65">
        <w:rPr>
          <w:rtl/>
          <w:lang w:bidi="fa-IR"/>
        </w:rPr>
        <w:t xml:space="preserve"> بِالْهِجْرَةِ.</w:t>
      </w:r>
      <w:r>
        <w:rPr>
          <w:rStyle w:val="libFootnotenumChar"/>
          <w:rtl/>
        </w:rPr>
        <w:t>(5)</w:t>
      </w:r>
    </w:p>
    <w:p w:rsidR="000C39D1" w:rsidRPr="00132E65" w:rsidRDefault="000C39D1" w:rsidP="000C39D1">
      <w:pPr>
        <w:pStyle w:val="libNormal"/>
        <w:rPr>
          <w:rtl/>
          <w:lang w:bidi="fa-IR"/>
        </w:rPr>
      </w:pPr>
      <w:r w:rsidRPr="000C2534">
        <w:rPr>
          <w:rtl/>
        </w:rPr>
        <w:t>1192</w:t>
      </w:r>
      <w:r w:rsidRPr="004325D8">
        <w:rPr>
          <w:rStyle w:val="libBold2Char"/>
          <w:rtl/>
        </w:rPr>
        <w:t xml:space="preserve"> / 1.</w:t>
      </w:r>
      <w:r w:rsidRPr="00132E65">
        <w:rPr>
          <w:rtl/>
          <w:lang w:bidi="fa-IR"/>
        </w:rPr>
        <w:t xml:space="preserve"> مُحَمَّدُ بْنُ يَحْيى ، عَنْ أَحْمَدَ بْنِ مُحَمَّدٍ ، عَنِ ابْنِ فَضَّالٍ ، عَنْ عَبْدِ اللهِ بْنِ مُحَمَّدِ ابْنِ أَخِي حَمَّادٍ الْكَاتِبِ ، عَنِ الْحُسَيْنِ بْنِ عَبْدِ اللهِ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كَانَ رَسُولُ اللهِ </w:t>
      </w:r>
      <w:r w:rsidRPr="0093484F">
        <w:rPr>
          <w:rStyle w:val="libAlaemChar"/>
          <w:rFonts w:eastAsiaTheme="minorHAnsi"/>
          <w:rtl/>
        </w:rPr>
        <w:t>صلى‌الله‌عليه‌وآله</w:t>
      </w:r>
      <w:r w:rsidRPr="00132E65">
        <w:rPr>
          <w:rtl/>
          <w:lang w:bidi="fa-IR"/>
        </w:rPr>
        <w:t xml:space="preserve"> سَيِّدَ ولْدِ آدَمَ</w:t>
      </w:r>
      <w:r>
        <w:rPr>
          <w:rtl/>
          <w:lang w:bidi="fa-IR"/>
        </w:rPr>
        <w:t>؟</w:t>
      </w:r>
    </w:p>
    <w:p w:rsidR="000C39D1" w:rsidRPr="00132E65" w:rsidRDefault="000C39D1" w:rsidP="000C39D1">
      <w:pPr>
        <w:pStyle w:val="libNormal"/>
        <w:rPr>
          <w:rtl/>
          <w:lang w:bidi="fa-IR"/>
        </w:rPr>
      </w:pPr>
      <w:r w:rsidRPr="00132E65">
        <w:rPr>
          <w:rtl/>
          <w:lang w:bidi="fa-IR"/>
        </w:rPr>
        <w:t xml:space="preserve">فَقَالَ : « كَانَ واللهِ </w:t>
      </w:r>
      <w:r>
        <w:rPr>
          <w:rStyle w:val="libFootnotenumChar"/>
          <w:rtl/>
        </w:rPr>
        <w:t>(6)</w:t>
      </w:r>
      <w:r w:rsidRPr="00132E65">
        <w:rPr>
          <w:rtl/>
          <w:lang w:bidi="fa-IR"/>
        </w:rPr>
        <w:t xml:space="preserve"> سَيِّدَ مَنْ خَلَقَ اللهُ ؛ ومَا بَرَأَ </w:t>
      </w:r>
      <w:r>
        <w:rPr>
          <w:rStyle w:val="libFootnotenumChar"/>
          <w:rtl/>
        </w:rPr>
        <w:t>(7)</w:t>
      </w:r>
      <w:r w:rsidRPr="00132E65">
        <w:rPr>
          <w:rtl/>
          <w:lang w:bidi="fa-IR"/>
        </w:rPr>
        <w:t xml:space="preserve"> اللهُ بَرِيَّةً خَيْراً </w:t>
      </w:r>
      <w:r>
        <w:rPr>
          <w:rStyle w:val="libFootnotenumChar"/>
          <w:rtl/>
        </w:rPr>
        <w:t>(8)</w:t>
      </w:r>
      <w:r w:rsidRPr="00132E65">
        <w:rPr>
          <w:rtl/>
          <w:lang w:bidi="fa-IR"/>
        </w:rPr>
        <w:t xml:space="preserve"> مِنْ مُحَمَّدٍ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0C2534">
        <w:rPr>
          <w:rtl/>
        </w:rPr>
        <w:t>1193</w:t>
      </w:r>
      <w:r w:rsidRPr="004325D8">
        <w:rPr>
          <w:rStyle w:val="libBold2Char"/>
          <w:rtl/>
        </w:rPr>
        <w:t xml:space="preserve"> / 2.</w:t>
      </w:r>
      <w:r w:rsidRPr="00132E65">
        <w:rPr>
          <w:rtl/>
          <w:lang w:bidi="fa-IR"/>
        </w:rPr>
        <w:t xml:space="preserve"> مُحَمَّدُ بْنُ يَحْيى ، عَنْ أَحْمَدَ بْنِ مُحَمَّدٍ ، عَنِ الْحَجَّالِ ، عَنْ حَمَّادٍ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وذَكَرَ رَسُولَ اللهِ </w:t>
      </w:r>
      <w:r w:rsidRPr="0093484F">
        <w:rPr>
          <w:rStyle w:val="libAlaemChar"/>
          <w:rFonts w:eastAsiaTheme="minorHAnsi"/>
          <w:rtl/>
        </w:rPr>
        <w:t>صلى‌الله‌عليه‌وآله</w:t>
      </w:r>
      <w:r w:rsidRPr="00132E65">
        <w:rPr>
          <w:rtl/>
          <w:lang w:bidi="fa-IR"/>
        </w:rPr>
        <w:t xml:space="preserve"> ، فَقَالَ : « قَالَ أَمِيرُ الْمُؤْمِنِينَ </w:t>
      </w:r>
      <w:r w:rsidRPr="00071CF9">
        <w:rPr>
          <w:rStyle w:val="libAlaemChar"/>
          <w:rtl/>
        </w:rPr>
        <w:t>عليه‌السلام</w:t>
      </w:r>
      <w:r w:rsidRPr="00132E65">
        <w:rPr>
          <w:rtl/>
          <w:lang w:bidi="fa-IR"/>
        </w:rPr>
        <w:t xml:space="preserve"> : مَا بَرَأَ اللهُ نَسَمَةً </w:t>
      </w:r>
      <w:r>
        <w:rPr>
          <w:rStyle w:val="libFootnotenumChar"/>
          <w:rtl/>
        </w:rPr>
        <w:t>(10)</w:t>
      </w:r>
      <w:r w:rsidRPr="00132E65">
        <w:rPr>
          <w:rtl/>
          <w:lang w:bidi="fa-IR"/>
        </w:rPr>
        <w:t xml:space="preserve"> خَيْراً مِنْ مُحَمَّدٍ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0C2534">
        <w:rPr>
          <w:rtl/>
        </w:rPr>
        <w:t>1194</w:t>
      </w:r>
      <w:r w:rsidRPr="004325D8">
        <w:rPr>
          <w:rStyle w:val="libBold2Char"/>
          <w:rtl/>
        </w:rPr>
        <w:t xml:space="preserve"> / 3.</w:t>
      </w:r>
      <w:r w:rsidRPr="00132E65">
        <w:rPr>
          <w:rtl/>
          <w:lang w:bidi="fa-IR"/>
        </w:rPr>
        <w:t xml:space="preserve"> أَحْمَدُ بْنُ إِدْرِيسَ ، عَنِ الْحُسَيْنِ بْنِ عُبَيْدِ اللهِ </w:t>
      </w:r>
      <w:r>
        <w:rPr>
          <w:rStyle w:val="libFootnotenumChar"/>
          <w:rtl/>
        </w:rPr>
        <w:t>(12)</w:t>
      </w:r>
      <w:r w:rsidRPr="00132E65">
        <w:rPr>
          <w:rtl/>
          <w:lang w:bidi="fa-IR"/>
        </w:rPr>
        <w:t xml:space="preserve"> ، عَنْ مُحَمَّدِ بْنِ عِيسى‌</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D64DE" w:rsidTr="00FD64DE">
        <w:tc>
          <w:tcPr>
            <w:tcW w:w="4006" w:type="dxa"/>
          </w:tcPr>
          <w:p w:rsidR="00FD64DE" w:rsidRDefault="00FD64DE" w:rsidP="000C39D1">
            <w:pPr>
              <w:pStyle w:val="libFootnote0"/>
              <w:rPr>
                <w:rtl/>
              </w:rPr>
            </w:pPr>
            <w:r>
              <w:rPr>
                <w:rtl/>
              </w:rPr>
              <w:t>(1).</w:t>
            </w:r>
            <w:r w:rsidRPr="00132E65">
              <w:rPr>
                <w:rtl/>
              </w:rPr>
              <w:t xml:space="preserve"> في « ج ، بح » و</w:t>
            </w:r>
            <w:r w:rsidRPr="009D1ACE">
              <w:rPr>
                <w:rStyle w:val="libFootnoteBoldChar"/>
                <w:rtl/>
              </w:rPr>
              <w:t>الوافي</w:t>
            </w:r>
            <w:r w:rsidRPr="00132E65">
              <w:rPr>
                <w:rtl/>
              </w:rPr>
              <w:t xml:space="preserve"> : « من هذه »</w:t>
            </w:r>
            <w:r>
              <w:rPr>
                <w:rtl/>
              </w:rPr>
              <w:t>.</w:t>
            </w:r>
          </w:p>
        </w:tc>
        <w:tc>
          <w:tcPr>
            <w:tcW w:w="4006" w:type="dxa"/>
          </w:tcPr>
          <w:p w:rsidR="00FD64DE" w:rsidRDefault="00FD64DE" w:rsidP="000C39D1">
            <w:pPr>
              <w:pStyle w:val="libFootnote0"/>
              <w:rPr>
                <w:rtl/>
              </w:rPr>
            </w:pPr>
            <w:r>
              <w:rPr>
                <w:rtl/>
              </w:rPr>
              <w:t>(2).</w:t>
            </w:r>
            <w:r w:rsidRPr="00132E65">
              <w:rPr>
                <w:rtl/>
              </w:rPr>
              <w:t xml:space="preserve"> في « ف » :</w:t>
            </w:r>
            <w:r>
              <w:rPr>
                <w:rtl/>
              </w:rPr>
              <w:t xml:space="preserve"> + </w:t>
            </w:r>
            <w:r w:rsidRPr="00132E65">
              <w:rPr>
                <w:rtl/>
              </w:rPr>
              <w:t>« التى »</w:t>
            </w:r>
            <w:r>
              <w:rPr>
                <w:rtl/>
              </w:rPr>
              <w:t>.</w:t>
            </w:r>
          </w:p>
        </w:tc>
      </w:tr>
      <w:tr w:rsidR="00FD64DE" w:rsidTr="00FD64DE">
        <w:tc>
          <w:tcPr>
            <w:tcW w:w="4006" w:type="dxa"/>
          </w:tcPr>
          <w:p w:rsidR="00FD64DE" w:rsidRDefault="00FD64DE" w:rsidP="000C39D1">
            <w:pPr>
              <w:pStyle w:val="libFootnote0"/>
              <w:rPr>
                <w:rtl/>
              </w:rPr>
            </w:pPr>
            <w:r>
              <w:rPr>
                <w:rtl/>
              </w:rPr>
              <w:t>(3).</w:t>
            </w:r>
            <w:r w:rsidRPr="00132E65">
              <w:rPr>
                <w:rtl/>
              </w:rPr>
              <w:t xml:space="preserve"> في « بح ، بر » :</w:t>
            </w:r>
            <w:r>
              <w:rPr>
                <w:rtl/>
              </w:rPr>
              <w:t xml:space="preserve"> + </w:t>
            </w:r>
            <w:r w:rsidRPr="00132E65">
              <w:rPr>
                <w:rtl/>
              </w:rPr>
              <w:t>« يعني مكّة »</w:t>
            </w:r>
            <w:r>
              <w:rPr>
                <w:rtl/>
              </w:rPr>
              <w:t>.</w:t>
            </w:r>
          </w:p>
        </w:tc>
        <w:tc>
          <w:tcPr>
            <w:tcW w:w="4006" w:type="dxa"/>
          </w:tcPr>
          <w:p w:rsidR="00FD64DE" w:rsidRDefault="00FD64DE" w:rsidP="000C39D1">
            <w:pPr>
              <w:pStyle w:val="libFootnote0"/>
              <w:rPr>
                <w:rtl/>
              </w:rPr>
            </w:pPr>
            <w:r>
              <w:rPr>
                <w:rtl/>
              </w:rPr>
              <w:t>(4).</w:t>
            </w:r>
            <w:r w:rsidRPr="00132E65">
              <w:rPr>
                <w:rtl/>
              </w:rPr>
              <w:t xml:space="preserve"> في حاشية « ف » : « فيها »</w:t>
            </w:r>
            <w:r>
              <w:rPr>
                <w:rtl/>
              </w:rPr>
              <w:t>.</w:t>
            </w:r>
          </w:p>
        </w:tc>
      </w:tr>
    </w:tbl>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722 ؛ وفي </w:t>
      </w:r>
      <w:r w:rsidRPr="000C2534">
        <w:rPr>
          <w:rtl/>
        </w:rPr>
        <w:t>البحار</w:t>
      </w:r>
      <w:r w:rsidRPr="00132E65">
        <w:rPr>
          <w:rtl/>
        </w:rPr>
        <w:t xml:space="preserve"> ، ج 15 ، ص 251 ، ح 5 ، إلى قوله : « مسجداً يصلّي الناس فيه »</w:t>
      </w:r>
      <w:r>
        <w:rPr>
          <w:rtl/>
        </w:rPr>
        <w:t>.</w:t>
      </w:r>
    </w:p>
    <w:p w:rsidR="000C39D1" w:rsidRPr="00132E65" w:rsidRDefault="000C39D1" w:rsidP="000C39D1">
      <w:pPr>
        <w:pStyle w:val="libFootnote0"/>
        <w:rPr>
          <w:rtl/>
          <w:lang w:bidi="fa-IR"/>
        </w:rPr>
      </w:pPr>
      <w:r>
        <w:rPr>
          <w:rtl/>
        </w:rPr>
        <w:t>(6).</w:t>
      </w:r>
      <w:r w:rsidRPr="00132E65">
        <w:rPr>
          <w:rtl/>
        </w:rPr>
        <w:t xml:space="preserve"> في « ب » : « والله كان »</w:t>
      </w:r>
      <w:r>
        <w:rPr>
          <w:rtl/>
        </w:rPr>
        <w:t>.</w:t>
      </w:r>
    </w:p>
    <w:p w:rsidR="000C39D1" w:rsidRPr="00132E65" w:rsidRDefault="000C39D1" w:rsidP="000C39D1">
      <w:pPr>
        <w:pStyle w:val="libFootnote0"/>
        <w:rPr>
          <w:rtl/>
          <w:lang w:bidi="fa-IR"/>
        </w:rPr>
      </w:pPr>
      <w:r>
        <w:rPr>
          <w:rtl/>
        </w:rPr>
        <w:t>(7).</w:t>
      </w:r>
      <w:r w:rsidRPr="00132E65">
        <w:rPr>
          <w:rtl/>
        </w:rPr>
        <w:t xml:space="preserve"> بَرَأَ البَرِيَّةَ ، أي خلقهم لا عن مثال. والبَرِيَّةُ : الخلق ، من البَرْو أو البَرْأ. راجع : </w:t>
      </w:r>
      <w:r w:rsidRPr="000C2534">
        <w:rPr>
          <w:rtl/>
        </w:rPr>
        <w:t>النهاية</w:t>
      </w:r>
      <w:r w:rsidRPr="00132E65">
        <w:rPr>
          <w:rtl/>
        </w:rPr>
        <w:t xml:space="preserve"> ، ج 11 ، ص 111 ( برأ ) ، وص 122 ( برا )</w:t>
      </w:r>
      <w:r>
        <w:rPr>
          <w:rtl/>
        </w:rPr>
        <w:t>.</w:t>
      </w:r>
    </w:p>
    <w:p w:rsidR="000C39D1" w:rsidRPr="00132E65" w:rsidRDefault="000C39D1" w:rsidP="000C39D1">
      <w:pPr>
        <w:pStyle w:val="libFootnote0"/>
        <w:rPr>
          <w:rtl/>
          <w:lang w:bidi="fa-IR"/>
        </w:rPr>
      </w:pPr>
      <w:r>
        <w:rPr>
          <w:rtl/>
        </w:rPr>
        <w:t>(8).</w:t>
      </w:r>
      <w:r w:rsidRPr="00132E65">
        <w:rPr>
          <w:rtl/>
        </w:rPr>
        <w:t xml:space="preserve"> في « ج ، بر ، بس » وشرح المازندراني و</w:t>
      </w:r>
      <w:r w:rsidRPr="009D1ACE">
        <w:rPr>
          <w:rStyle w:val="libFootnoteBoldChar"/>
          <w:rtl/>
        </w:rPr>
        <w:t>مرآة العقول</w:t>
      </w:r>
      <w:r w:rsidRPr="00132E65">
        <w:rPr>
          <w:rtl/>
        </w:rPr>
        <w:t xml:space="preserve"> : « خيرٌ »</w:t>
      </w:r>
      <w:r>
        <w:rPr>
          <w:rtl/>
        </w:rPr>
        <w:t>.</w:t>
      </w:r>
      <w:r w:rsidRPr="00132E65">
        <w:rPr>
          <w:rtl/>
        </w:rPr>
        <w:t xml:space="preserve"> قال في الأوّل : « خير ، بالرفع خبر مبتدأ محذوف ، أي هو خير »</w:t>
      </w:r>
      <w:r>
        <w:rPr>
          <w:rtl/>
        </w:rPr>
        <w:t>.</w:t>
      </w:r>
      <w:r w:rsidRPr="00132E65">
        <w:rPr>
          <w:rtl/>
        </w:rPr>
        <w:t xml:space="preserve"> وقال في الثاني : « </w:t>
      </w:r>
      <w:r>
        <w:rPr>
          <w:rtl/>
        </w:rPr>
        <w:t>و «</w:t>
      </w:r>
      <w:r w:rsidRPr="00132E65">
        <w:rPr>
          <w:rtl/>
        </w:rPr>
        <w:t xml:space="preserve"> خير » بالرفع خبر مبتدأ محذوف بتقدير هي ، والجملة نعت بريّة »</w:t>
      </w:r>
      <w:r>
        <w:rPr>
          <w:rtl/>
        </w:rPr>
        <w:t>.</w:t>
      </w:r>
      <w:r w:rsidRPr="00132E65">
        <w:rPr>
          <w:rtl/>
        </w:rPr>
        <w:t xml:space="preserve"> أقول : ما قالاه غير محتاج إليه.</w:t>
      </w:r>
    </w:p>
    <w:p w:rsidR="000C39D1" w:rsidRPr="00132E65" w:rsidRDefault="000C39D1" w:rsidP="00FD64DE">
      <w:pPr>
        <w:pStyle w:val="libFootnote0"/>
        <w:rPr>
          <w:rtl/>
          <w:lang w:bidi="fa-IR"/>
        </w:rPr>
      </w:pPr>
      <w:r>
        <w:rPr>
          <w:rtl/>
        </w:rPr>
        <w:t>(9).</w:t>
      </w:r>
      <w:r w:rsidRPr="00132E65">
        <w:rPr>
          <w:rtl/>
        </w:rPr>
        <w:t xml:space="preserve"> راجع : </w:t>
      </w:r>
      <w:r w:rsidRPr="000C2534">
        <w:rPr>
          <w:rtl/>
        </w:rPr>
        <w:t>الاختصاص</w:t>
      </w:r>
      <w:r w:rsidRPr="00132E65">
        <w:rPr>
          <w:rtl/>
        </w:rPr>
        <w:t xml:space="preserve"> ، ص 234</w:t>
      </w:r>
      <w:r w:rsidR="00FD64DE">
        <w:rPr>
          <w:rFonts w:hint="cs"/>
          <w:rtl/>
        </w:rPr>
        <w:t>.</w:t>
      </w:r>
      <w:r w:rsidRPr="009D1ACE">
        <w:rPr>
          <w:rStyle w:val="libFootnoteBoldChar"/>
          <w:rtl/>
        </w:rPr>
        <w:t>الوافي</w:t>
      </w:r>
      <w:r w:rsidRPr="00132E65">
        <w:rPr>
          <w:rtl/>
        </w:rPr>
        <w:t xml:space="preserve"> ، ج 3 ، ص 712 ، ح 1327 ؛ </w:t>
      </w:r>
      <w:r w:rsidRPr="000C2534">
        <w:rPr>
          <w:rtl/>
        </w:rPr>
        <w:t>البحار</w:t>
      </w:r>
      <w:r w:rsidRPr="00132E65">
        <w:rPr>
          <w:rtl/>
        </w:rPr>
        <w:t xml:space="preserve"> ، ج 16 ، ص 368 ، ح 76.</w:t>
      </w:r>
    </w:p>
    <w:p w:rsidR="000C39D1" w:rsidRPr="00132E65" w:rsidRDefault="000C39D1" w:rsidP="000C39D1">
      <w:pPr>
        <w:pStyle w:val="libFootnote0"/>
        <w:rPr>
          <w:rtl/>
          <w:lang w:bidi="fa-IR"/>
        </w:rPr>
      </w:pPr>
      <w:r>
        <w:rPr>
          <w:rtl/>
        </w:rPr>
        <w:t>(10).</w:t>
      </w:r>
      <w:r w:rsidRPr="00132E65">
        <w:rPr>
          <w:rtl/>
        </w:rPr>
        <w:t xml:space="preserve"> « النَسَمَةُ » : النفس والروح. </w:t>
      </w:r>
      <w:r w:rsidRPr="000C2534">
        <w:rPr>
          <w:rtl/>
        </w:rPr>
        <w:t>النهاية</w:t>
      </w:r>
      <w:r w:rsidRPr="00132E65">
        <w:rPr>
          <w:rtl/>
        </w:rPr>
        <w:t xml:space="preserve"> ، ج 5 ، ص 49 ( نسم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712 ، ح 1328 ؛ </w:t>
      </w:r>
      <w:r w:rsidRPr="000C2534">
        <w:rPr>
          <w:rtl/>
        </w:rPr>
        <w:t>البحار</w:t>
      </w:r>
      <w:r w:rsidRPr="00132E65">
        <w:rPr>
          <w:rtl/>
        </w:rPr>
        <w:t xml:space="preserve"> ، ج 16 ، ص 368 ، ح 77.</w:t>
      </w:r>
    </w:p>
    <w:p w:rsidR="000C39D1" w:rsidRPr="00132E65" w:rsidRDefault="000C39D1" w:rsidP="000C39D1">
      <w:pPr>
        <w:pStyle w:val="libFootnote0"/>
        <w:rPr>
          <w:rtl/>
          <w:lang w:bidi="fa-IR"/>
        </w:rPr>
      </w:pPr>
      <w:r>
        <w:rPr>
          <w:rtl/>
        </w:rPr>
        <w:t>(12).</w:t>
      </w:r>
      <w:r w:rsidRPr="00132E65">
        <w:rPr>
          <w:rtl/>
        </w:rPr>
        <w:t xml:space="preserve"> هكذا في « ب ، ج ، ض ، ف ، بس » والبحار ، ج 57 ، ح 193. وفي « بح ، بر ، بف ، جر » والمطبوع : « الحسين بن‌عبد الله »</w:t>
      </w:r>
      <w:r>
        <w:rPr>
          <w:rtl/>
        </w:rPr>
        <w:t>.</w:t>
      </w:r>
      <w:r w:rsidR="00FD64DE">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وَمُحَمَّدِ بْنِ عَبْدِ اللهِ </w:t>
      </w:r>
      <w:r>
        <w:rPr>
          <w:rStyle w:val="libFootnotenumChar"/>
          <w:rtl/>
        </w:rPr>
        <w:t>(1)</w:t>
      </w:r>
      <w:r w:rsidRPr="00132E65">
        <w:rPr>
          <w:rtl/>
          <w:lang w:bidi="fa-IR"/>
        </w:rPr>
        <w:t xml:space="preserve"> ، عَنْ عَلِيِّ بْنِ حَدِيدٍ ، عَنْ مُرَازِمٍ :</w:t>
      </w:r>
    </w:p>
    <w:p w:rsidR="000C39D1" w:rsidRPr="00132E65" w:rsidRDefault="000C39D1" w:rsidP="00BB684B">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قَالَ اللهُ تَبَارَكَ وتَعَالى : يَا مُحَمَّدُ ، إِنِّي خَلَقْتُكَ وعَلِيّاً نُوراً</w:t>
      </w:r>
      <w:r>
        <w:rPr>
          <w:rtl/>
          <w:lang w:bidi="fa-IR"/>
        </w:rPr>
        <w:t xml:space="preserve"> - </w:t>
      </w:r>
      <w:r w:rsidRPr="00132E65">
        <w:rPr>
          <w:rtl/>
          <w:lang w:bidi="fa-IR"/>
        </w:rPr>
        <w:t>يَعْنِي رُوحاً بِلَا بَدَنٍ</w:t>
      </w:r>
      <w:r>
        <w:rPr>
          <w:rtl/>
          <w:lang w:bidi="fa-IR"/>
        </w:rPr>
        <w:t xml:space="preserve"> - </w:t>
      </w:r>
      <w:r w:rsidRPr="00132E65">
        <w:rPr>
          <w:rtl/>
          <w:lang w:bidi="fa-IR"/>
        </w:rPr>
        <w:t xml:space="preserve">قَبْلَ أَنْ أَخْلُقَ سَمَاوَاتِي وأَرْضِي وعَرْشِي وبَحْرِي </w:t>
      </w:r>
      <w:r>
        <w:rPr>
          <w:rStyle w:val="libFootnotenumChar"/>
          <w:rtl/>
        </w:rPr>
        <w:t>(2)</w:t>
      </w:r>
      <w:r w:rsidRPr="00132E65">
        <w:rPr>
          <w:rtl/>
          <w:lang w:bidi="fa-IR"/>
        </w:rPr>
        <w:t xml:space="preserve"> ، فَلَمْ تَزَلْ تُهَلِّلُنِي </w:t>
      </w:r>
      <w:r>
        <w:rPr>
          <w:rStyle w:val="libFootnotenumChar"/>
          <w:rtl/>
        </w:rPr>
        <w:t>(3)</w:t>
      </w:r>
      <w:r w:rsidRPr="00132E65">
        <w:rPr>
          <w:rtl/>
          <w:lang w:bidi="fa-IR"/>
        </w:rPr>
        <w:t xml:space="preserve"> وتُمَجِّدُنِي </w:t>
      </w:r>
      <w:r>
        <w:rPr>
          <w:rStyle w:val="libFootnotenumChar"/>
          <w:rtl/>
        </w:rPr>
        <w:t>(4)</w:t>
      </w:r>
      <w:r w:rsidRPr="00132E65">
        <w:rPr>
          <w:rtl/>
          <w:lang w:bidi="fa-IR"/>
        </w:rPr>
        <w:t xml:space="preserve"> ، ثُمَّ جَمَعْتُ رُوحَيْكُمَا ، فَجَعَلْتُهُمَا واحِدَةً ، فَكَانَتْ تُمَجِّدُنِي وَتُقَدِّسُنِي </w:t>
      </w:r>
      <w:r>
        <w:rPr>
          <w:rStyle w:val="libFootnotenumChar"/>
          <w:rtl/>
        </w:rPr>
        <w:t>(5)</w:t>
      </w:r>
      <w:r w:rsidRPr="00132E65">
        <w:rPr>
          <w:rtl/>
          <w:lang w:bidi="fa-IR"/>
        </w:rPr>
        <w:t xml:space="preserve"> وتُهَلِّلُنِي ، ثُمَّ قَسَمْتُهَا ثِنْتَيْنِ </w:t>
      </w:r>
      <w:r>
        <w:rPr>
          <w:rStyle w:val="libFootnotenumChar"/>
          <w:rtl/>
        </w:rPr>
        <w:t>(6)</w:t>
      </w:r>
      <w:r w:rsidRPr="00132E65">
        <w:rPr>
          <w:rtl/>
          <w:lang w:bidi="fa-IR"/>
        </w:rPr>
        <w:t xml:space="preserve"> ، وقَسَمْتُ الثِّنْتَيْنِ ثِنْتَيْنِ </w:t>
      </w:r>
      <w:r>
        <w:rPr>
          <w:rStyle w:val="libFootnotenumChar"/>
          <w:rtl/>
        </w:rPr>
        <w:t>(7)</w:t>
      </w:r>
      <w:r w:rsidRPr="00132E65">
        <w:rPr>
          <w:rtl/>
          <w:lang w:bidi="fa-IR"/>
        </w:rPr>
        <w:t xml:space="preserve"> ، فَصَارَتْ أَرْبَعَةً :</w:t>
      </w:r>
      <w:r>
        <w:rPr>
          <w:rFonts w:hint="cs"/>
          <w:rtl/>
          <w:lang w:bidi="fa-IR"/>
        </w:rPr>
        <w:t xml:space="preserve"> </w:t>
      </w:r>
      <w:r w:rsidRPr="00132E65">
        <w:rPr>
          <w:rtl/>
          <w:lang w:bidi="fa-IR"/>
        </w:rPr>
        <w:t xml:space="preserve">مُحَمَّدٌ واحِدٌ ، وعَلِيٌّ واحِدٌ ، والْحَسَنُ والْحُسَيْنُ اثْنَانِ </w:t>
      </w:r>
      <w:r>
        <w:rPr>
          <w:rStyle w:val="libFootnotenumChar"/>
          <w:rtl/>
        </w:rPr>
        <w:t>(8)</w:t>
      </w:r>
      <w:r w:rsidRPr="00132E65">
        <w:rPr>
          <w:rtl/>
          <w:lang w:bidi="fa-IR"/>
        </w:rPr>
        <w:t xml:space="preserve"> ؛ ثُمَّ خَلَقَ اللهُ فَاطِمَةَ مِنْ نُورٍ ابْتَدَأَهَا رُوحاً بِلَا بَدَنٍ ، ثُمَّ مَسَحَنَا </w:t>
      </w:r>
      <w:r>
        <w:rPr>
          <w:rStyle w:val="libFootnotenumChar"/>
          <w:rtl/>
        </w:rPr>
        <w:t>(9)</w:t>
      </w:r>
      <w:r w:rsidRPr="00132E65">
        <w:rPr>
          <w:rtl/>
          <w:lang w:bidi="fa-IR"/>
        </w:rPr>
        <w:t xml:space="preserve"> بِيَمِينِهِ ، فَأَفْضى </w:t>
      </w:r>
      <w:r>
        <w:rPr>
          <w:rStyle w:val="libFootnotenumChar"/>
          <w:rtl/>
        </w:rPr>
        <w:t>(10)</w:t>
      </w:r>
      <w:r w:rsidRPr="00132E65">
        <w:rPr>
          <w:rtl/>
          <w:lang w:bidi="fa-IR"/>
        </w:rPr>
        <w:t xml:space="preserve"> نُورَهُ فِينَا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p w:rsidR="000C39D1" w:rsidRPr="00132E65" w:rsidRDefault="00BB684B" w:rsidP="000C39D1">
      <w:pPr>
        <w:pStyle w:val="libFootnote0"/>
        <w:rPr>
          <w:rtl/>
          <w:lang w:bidi="fa-IR"/>
        </w:rPr>
      </w:pPr>
      <w:r w:rsidRPr="00E55206">
        <w:rPr>
          <w:rFonts w:hint="cs"/>
          <w:rtl/>
        </w:rPr>
        <w:t xml:space="preserve">= </w:t>
      </w:r>
      <w:r w:rsidR="000C39D1" w:rsidRPr="00E55206">
        <w:rPr>
          <w:rtl/>
        </w:rPr>
        <w:t xml:space="preserve">والحسين هذا ، هو الحسين بن عبيد الله بن سهل ، روى عنه أحمد بن إدريس في بعض الطرق ، راجع : </w:t>
      </w:r>
      <w:r w:rsidR="000C39D1" w:rsidRPr="000C2534">
        <w:rPr>
          <w:rtl/>
        </w:rPr>
        <w:t>رجال النجاشي</w:t>
      </w:r>
      <w:r w:rsidR="000C39D1" w:rsidRPr="00E55206">
        <w:rPr>
          <w:rtl/>
        </w:rPr>
        <w:t xml:space="preserve"> ، ص 61 ، الرقم 141.</w:t>
      </w:r>
    </w:p>
    <w:p w:rsidR="000C39D1" w:rsidRPr="00132E65" w:rsidRDefault="000C39D1" w:rsidP="000C39D1">
      <w:pPr>
        <w:pStyle w:val="libFootnote0"/>
        <w:rPr>
          <w:rtl/>
          <w:lang w:bidi="fa-IR"/>
        </w:rPr>
      </w:pPr>
      <w:r>
        <w:rPr>
          <w:rtl/>
        </w:rPr>
        <w:t>(1).</w:t>
      </w:r>
      <w:r w:rsidRPr="00132E65">
        <w:rPr>
          <w:rtl/>
        </w:rPr>
        <w:t xml:space="preserve"> في « ف » : « محمّد بن عبد الرحمن »</w:t>
      </w:r>
      <w:r>
        <w:rPr>
          <w:rtl/>
        </w:rPr>
        <w:t>.</w:t>
      </w:r>
      <w:r w:rsidRPr="00132E65">
        <w:rPr>
          <w:rtl/>
        </w:rPr>
        <w:t xml:space="preserve"> وفي البحار ، ج 57 ، ح 65 : « محمّد بن عبيد الله »</w:t>
      </w:r>
      <w:r>
        <w:rPr>
          <w:rtl/>
        </w:rPr>
        <w:t>.</w:t>
      </w:r>
    </w:p>
    <w:p w:rsidR="000C39D1" w:rsidRPr="00132E65" w:rsidRDefault="000C39D1" w:rsidP="000C39D1">
      <w:pPr>
        <w:pStyle w:val="libFootnote0"/>
        <w:rPr>
          <w:rtl/>
          <w:lang w:bidi="fa-IR"/>
        </w:rPr>
      </w:pPr>
      <w:r>
        <w:rPr>
          <w:rtl/>
        </w:rPr>
        <w:t>(2).</w:t>
      </w:r>
      <w:r w:rsidRPr="00132E65">
        <w:rPr>
          <w:rtl/>
        </w:rPr>
        <w:t xml:space="preserve"> في « بح » </w:t>
      </w:r>
      <w:r>
        <w:rPr>
          <w:rtl/>
        </w:rPr>
        <w:t xml:space="preserve">: - </w:t>
      </w:r>
      <w:r w:rsidRPr="00132E65">
        <w:rPr>
          <w:rtl/>
        </w:rPr>
        <w:t>« وبحري »</w:t>
      </w:r>
      <w:r>
        <w:rPr>
          <w:rtl/>
        </w:rPr>
        <w:t>.</w:t>
      </w:r>
    </w:p>
    <w:p w:rsidR="000C39D1" w:rsidRPr="00132E65" w:rsidRDefault="000C39D1" w:rsidP="000C39D1">
      <w:pPr>
        <w:pStyle w:val="libFootnote0"/>
        <w:rPr>
          <w:rtl/>
          <w:lang w:bidi="fa-IR"/>
        </w:rPr>
      </w:pPr>
      <w:r>
        <w:rPr>
          <w:rtl/>
        </w:rPr>
        <w:t>(3).</w:t>
      </w:r>
      <w:r w:rsidRPr="00132E65">
        <w:rPr>
          <w:rtl/>
        </w:rPr>
        <w:t xml:space="preserve"> « تُهَلّ</w:t>
      </w:r>
      <w:r w:rsidR="00E4364B">
        <w:rPr>
          <w:rtl/>
        </w:rPr>
        <w:t>ِلُنِي » ، أي تقول : لا إله إل</w:t>
      </w:r>
      <w:r w:rsidR="00E4364B">
        <w:rPr>
          <w:rFonts w:hint="cs"/>
          <w:rtl/>
        </w:rPr>
        <w:t>ّ</w:t>
      </w:r>
      <w:r w:rsidR="00E4364B">
        <w:rPr>
          <w:rtl/>
        </w:rPr>
        <w:t>ا</w:t>
      </w:r>
      <w:r>
        <w:rPr>
          <w:rFonts w:hint="cs"/>
          <w:rtl/>
        </w:rPr>
        <w:t xml:space="preserve"> </w:t>
      </w:r>
      <w:r w:rsidRPr="00132E65">
        <w:rPr>
          <w:rtl/>
        </w:rPr>
        <w:t>الله. راجع : مجمع البحرين ، ج 5 ، ص 500 ( هلل )</w:t>
      </w:r>
      <w:r>
        <w:rPr>
          <w:rtl/>
        </w:rPr>
        <w:t>.</w:t>
      </w:r>
    </w:p>
    <w:p w:rsidR="000C39D1" w:rsidRPr="00132E65" w:rsidRDefault="000C39D1" w:rsidP="000C39D1">
      <w:pPr>
        <w:pStyle w:val="libFootnote0"/>
        <w:rPr>
          <w:rtl/>
          <w:lang w:bidi="fa-IR"/>
        </w:rPr>
      </w:pPr>
      <w:r>
        <w:rPr>
          <w:rtl/>
        </w:rPr>
        <w:t>(4).</w:t>
      </w:r>
      <w:r w:rsidRPr="00132E65">
        <w:rPr>
          <w:rtl/>
        </w:rPr>
        <w:t xml:space="preserve"> « تُمَجِّدُنِي » ، أي تُعَظّمني وتُشرّفني وتثني عليَّ وتنسبني إلى المجد. راجع : </w:t>
      </w:r>
      <w:r w:rsidRPr="009D1ACE">
        <w:rPr>
          <w:rStyle w:val="libFootnoteBoldChar"/>
          <w:rtl/>
        </w:rPr>
        <w:t>لسان العرب</w:t>
      </w:r>
      <w:r w:rsidRPr="00132E65">
        <w:rPr>
          <w:rtl/>
        </w:rPr>
        <w:t xml:space="preserve"> ، ج 3 ، ص 395 ( مجد )</w:t>
      </w:r>
      <w:r>
        <w:rPr>
          <w:rtl/>
        </w:rPr>
        <w:t>.</w:t>
      </w:r>
    </w:p>
    <w:p w:rsidR="000C39D1" w:rsidRPr="00132E65" w:rsidRDefault="000C39D1" w:rsidP="000C39D1">
      <w:pPr>
        <w:pStyle w:val="libFootnote0"/>
        <w:rPr>
          <w:rtl/>
          <w:lang w:bidi="fa-IR"/>
        </w:rPr>
      </w:pPr>
      <w:r>
        <w:rPr>
          <w:rtl/>
        </w:rPr>
        <w:t>(5).</w:t>
      </w:r>
      <w:r w:rsidRPr="00132E65">
        <w:rPr>
          <w:rtl/>
        </w:rPr>
        <w:t xml:space="preserve"> التقديس : تنزيه الله عزّ وجلّ ، ووصفه بالتقديس والتنزيه والتطهير عن النقائص والعيوب. راجع : </w:t>
      </w:r>
      <w:r w:rsidRPr="000C2534">
        <w:rPr>
          <w:rtl/>
        </w:rPr>
        <w:t>المفردات‌للراغب</w:t>
      </w:r>
      <w:r w:rsidRPr="00132E65">
        <w:rPr>
          <w:rtl/>
        </w:rPr>
        <w:t xml:space="preserve"> ، ص 660 ؛ </w:t>
      </w:r>
      <w:r w:rsidRPr="009D1ACE">
        <w:rPr>
          <w:rStyle w:val="libFootnoteBoldChar"/>
          <w:rtl/>
        </w:rPr>
        <w:t>لسان العرب</w:t>
      </w:r>
      <w:r w:rsidRPr="00132E65">
        <w:rPr>
          <w:rtl/>
        </w:rPr>
        <w:t xml:space="preserve"> ، ج 6 ، ص 168 ( قدس )</w:t>
      </w:r>
      <w:r>
        <w:rPr>
          <w:rtl/>
        </w:rPr>
        <w:t>.</w:t>
      </w:r>
    </w:p>
    <w:tbl>
      <w:tblPr>
        <w:tblStyle w:val="TableGrid"/>
        <w:bidiVisual/>
        <w:tblW w:w="0" w:type="auto"/>
        <w:tblLook w:val="04A0" w:firstRow="1" w:lastRow="0" w:firstColumn="1" w:lastColumn="0" w:noHBand="0" w:noVBand="1"/>
      </w:tblPr>
      <w:tblGrid>
        <w:gridCol w:w="4006"/>
        <w:gridCol w:w="4006"/>
      </w:tblGrid>
      <w:tr w:rsidR="00E4364B" w:rsidTr="00E4364B">
        <w:tc>
          <w:tcPr>
            <w:tcW w:w="4006" w:type="dxa"/>
          </w:tcPr>
          <w:p w:rsidR="00E4364B" w:rsidRDefault="00E4364B" w:rsidP="000C39D1">
            <w:pPr>
              <w:pStyle w:val="libFootnote0"/>
              <w:rPr>
                <w:rtl/>
              </w:rPr>
            </w:pPr>
            <w:r>
              <w:rPr>
                <w:rtl/>
              </w:rPr>
              <w:t>(6).</w:t>
            </w:r>
            <w:r w:rsidRPr="00132E65">
              <w:rPr>
                <w:rtl/>
              </w:rPr>
              <w:t xml:space="preserve"> في « ف » : « اثنتين »</w:t>
            </w:r>
            <w:r>
              <w:rPr>
                <w:rtl/>
              </w:rPr>
              <w:t>.</w:t>
            </w:r>
          </w:p>
        </w:tc>
        <w:tc>
          <w:tcPr>
            <w:tcW w:w="4006" w:type="dxa"/>
          </w:tcPr>
          <w:p w:rsidR="00E4364B" w:rsidRDefault="00E4364B" w:rsidP="000C39D1">
            <w:pPr>
              <w:pStyle w:val="libFootnote0"/>
              <w:rPr>
                <w:rtl/>
              </w:rPr>
            </w:pPr>
            <w:r>
              <w:rPr>
                <w:rtl/>
              </w:rPr>
              <w:t>(7). في« ب »:</w:t>
            </w:r>
            <w:r w:rsidRPr="00132E65">
              <w:rPr>
                <w:rtl/>
              </w:rPr>
              <w:t>« اثنين »</w:t>
            </w:r>
            <w:r>
              <w:rPr>
                <w:rtl/>
              </w:rPr>
              <w:t>.وفي« ب»</w:t>
            </w:r>
            <w:r w:rsidRPr="00132E65">
              <w:rPr>
                <w:rtl/>
              </w:rPr>
              <w:t>و</w:t>
            </w:r>
            <w:r w:rsidRPr="009D1ACE">
              <w:rPr>
                <w:rStyle w:val="libFootnoteBoldChar"/>
                <w:rtl/>
              </w:rPr>
              <w:t>الوافي</w:t>
            </w:r>
            <w:r>
              <w:rPr>
                <w:rtl/>
              </w:rPr>
              <w:t xml:space="preserve"> :«اثنتين</w:t>
            </w:r>
            <w:r w:rsidRPr="00132E65">
              <w:rPr>
                <w:rtl/>
              </w:rPr>
              <w:t>»</w:t>
            </w:r>
            <w:r>
              <w:rPr>
                <w:rtl/>
              </w:rPr>
              <w:t>.</w:t>
            </w:r>
          </w:p>
        </w:tc>
      </w:tr>
    </w:tbl>
    <w:p w:rsidR="000C39D1" w:rsidRPr="00132E65" w:rsidRDefault="000C39D1" w:rsidP="00293D24">
      <w:pPr>
        <w:pStyle w:val="libFootnote0"/>
        <w:rPr>
          <w:rtl/>
          <w:lang w:bidi="fa-IR"/>
        </w:rPr>
      </w:pPr>
      <w:r>
        <w:rPr>
          <w:rtl/>
        </w:rPr>
        <w:t>(8).</w:t>
      </w:r>
      <w:r w:rsidRPr="00132E65">
        <w:rPr>
          <w:rtl/>
        </w:rPr>
        <w:t xml:space="preserve"> هكذا في « بح » وحاشية « ج »</w:t>
      </w:r>
      <w:r>
        <w:rPr>
          <w:rtl/>
        </w:rPr>
        <w:t>.</w:t>
      </w:r>
      <w:r w:rsidRPr="00132E65">
        <w:rPr>
          <w:rtl/>
        </w:rPr>
        <w:t xml:space="preserve"> وفي « ب » : « اثنين »</w:t>
      </w:r>
      <w:r>
        <w:rPr>
          <w:rtl/>
        </w:rPr>
        <w:t>.</w:t>
      </w:r>
      <w:r w:rsidRPr="00132E65">
        <w:rPr>
          <w:rtl/>
        </w:rPr>
        <w:t xml:space="preserve"> وفي « ج ، ض » وحاشية « بح ، بر » : « ثنتين »</w:t>
      </w:r>
      <w:r>
        <w:rPr>
          <w:rtl/>
        </w:rPr>
        <w:t>.</w:t>
      </w:r>
      <w:r w:rsidRPr="00132E65">
        <w:rPr>
          <w:rtl/>
        </w:rPr>
        <w:t xml:space="preserve"> وفي « بف » : « اثنتان »</w:t>
      </w:r>
      <w:r>
        <w:rPr>
          <w:rtl/>
        </w:rPr>
        <w:t>.</w:t>
      </w:r>
      <w:r w:rsidRPr="00132E65">
        <w:rPr>
          <w:rtl/>
        </w:rPr>
        <w:t xml:space="preserve"> وفي سائر النسخ والمطبوع : « ثنتان »</w:t>
      </w:r>
      <w:r>
        <w:rPr>
          <w:rtl/>
        </w:rPr>
        <w:t>.</w:t>
      </w:r>
      <w:r w:rsidRPr="00132E65">
        <w:rPr>
          <w:rtl/>
        </w:rPr>
        <w:t xml:space="preserve"> وفي حاشية « ج » أيضاً : « والحسن وأحد والحسين وأحد » بدل « والحسن والحسين اثنان »</w:t>
      </w:r>
      <w:r>
        <w:rPr>
          <w:rtl/>
        </w:rPr>
        <w:t>.</w:t>
      </w:r>
      <w:r w:rsidR="00293D24">
        <w:rPr>
          <w:rFonts w:hint="cs"/>
          <w:rtl/>
        </w:rPr>
        <w:t xml:space="preserve">   </w:t>
      </w:r>
      <w:r>
        <w:rPr>
          <w:rtl/>
        </w:rPr>
        <w:t>(9).</w:t>
      </w:r>
      <w:r w:rsidRPr="00132E65">
        <w:rPr>
          <w:rtl/>
        </w:rPr>
        <w:t xml:space="preserve"> في </w:t>
      </w:r>
      <w:r w:rsidRPr="009D1ACE">
        <w:rPr>
          <w:rStyle w:val="libFootnoteBoldChar"/>
          <w:rtl/>
        </w:rPr>
        <w:t>الوافي</w:t>
      </w:r>
      <w:r w:rsidRPr="00132E65">
        <w:rPr>
          <w:rtl/>
        </w:rPr>
        <w:t xml:space="preserve"> : « مسحها »</w:t>
      </w:r>
      <w:r>
        <w:rPr>
          <w:rtl/>
        </w:rPr>
        <w:t>.</w:t>
      </w:r>
    </w:p>
    <w:p w:rsidR="000C39D1" w:rsidRPr="00132E65" w:rsidRDefault="000C39D1" w:rsidP="000C39D1">
      <w:pPr>
        <w:pStyle w:val="libFootnote0"/>
        <w:rPr>
          <w:rtl/>
          <w:lang w:bidi="fa-IR"/>
        </w:rPr>
      </w:pPr>
      <w:r>
        <w:rPr>
          <w:rtl/>
        </w:rPr>
        <w:t>(10).</w:t>
      </w:r>
      <w:r w:rsidRPr="00132E65">
        <w:rPr>
          <w:rtl/>
        </w:rPr>
        <w:t xml:space="preserve"> في « بح » : « فأضاء »</w:t>
      </w:r>
      <w:r>
        <w:rPr>
          <w:rtl/>
        </w:rPr>
        <w:t>.</w:t>
      </w:r>
      <w:r w:rsidRPr="00132E65">
        <w:rPr>
          <w:rtl/>
        </w:rPr>
        <w:t xml:space="preserve"> وقوله : « أَفْضى نُورَهُ فينا » ، أي أوصله إلينا. أو « أفْضى نورُه » ، أي وصل ، أو اتّسع. يقال : فَضَا المكانُ وأفضى إذا اتّسع. وأفضى فلان إلى فلان ، أي وصل إليه ، وأصله أنّه صار في فُرْجته وفضائه وحيّزه. راجع : </w:t>
      </w:r>
      <w:r w:rsidRPr="009D1ACE">
        <w:rPr>
          <w:rStyle w:val="libFootnoteBoldChar"/>
          <w:rtl/>
        </w:rPr>
        <w:t>لسان العرب</w:t>
      </w:r>
      <w:r w:rsidRPr="00132E65">
        <w:rPr>
          <w:rtl/>
        </w:rPr>
        <w:t xml:space="preserve"> ، ج 15 ، ص 157 ( فضا ) ؛ </w:t>
      </w:r>
      <w:r w:rsidRPr="009D1ACE">
        <w:rPr>
          <w:rStyle w:val="libFootnoteBoldChar"/>
          <w:rtl/>
        </w:rPr>
        <w:t>الوافي</w:t>
      </w:r>
      <w:r w:rsidRPr="00132E65">
        <w:rPr>
          <w:rtl/>
        </w:rPr>
        <w:t xml:space="preserve"> ، ج 3 ، ص 681 ؛ </w:t>
      </w:r>
      <w:r w:rsidRPr="009D1ACE">
        <w:rPr>
          <w:rStyle w:val="libFootnoteBoldChar"/>
          <w:rtl/>
        </w:rPr>
        <w:t>مرآة العقول</w:t>
      </w:r>
      <w:r w:rsidRPr="00132E65">
        <w:rPr>
          <w:rtl/>
        </w:rPr>
        <w:t xml:space="preserve"> ، ج 5 ، ص 189.</w:t>
      </w:r>
    </w:p>
    <w:p w:rsidR="000C39D1" w:rsidRPr="00132E65" w:rsidRDefault="000C39D1" w:rsidP="000C39D1">
      <w:pPr>
        <w:pStyle w:val="libFootnote0"/>
        <w:rPr>
          <w:rtl/>
          <w:lang w:bidi="fa-IR"/>
        </w:rPr>
      </w:pPr>
      <w:r>
        <w:rPr>
          <w:rtl/>
        </w:rPr>
        <w:t>(11).</w:t>
      </w:r>
      <w:r w:rsidRPr="00132E65">
        <w:rPr>
          <w:rtl/>
        </w:rPr>
        <w:t xml:space="preserve"> في حاشية « ج » : « فيها »</w:t>
      </w:r>
      <w:r>
        <w:rPr>
          <w:rtl/>
        </w:rPr>
        <w:t>.</w:t>
      </w:r>
    </w:p>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3 ، ص 680 ، ح 1280 ؛ </w:t>
      </w:r>
      <w:r w:rsidRPr="000C2534">
        <w:rPr>
          <w:rtl/>
        </w:rPr>
        <w:t>البحار</w:t>
      </w:r>
      <w:r w:rsidRPr="00132E65">
        <w:rPr>
          <w:rtl/>
        </w:rPr>
        <w:t xml:space="preserve"> ، ج 15 ، ص 18 ، ح 28 ؛ وج 57 ، ص 193 ، ح 140 ؛ </w:t>
      </w:r>
      <w:r w:rsidRPr="000C2534">
        <w:rPr>
          <w:rtl/>
        </w:rPr>
        <w:t>وفيه</w:t>
      </w:r>
      <w:r w:rsidRPr="00132E65">
        <w:rPr>
          <w:rtl/>
        </w:rPr>
        <w:t xml:space="preserve"> ، ص 65 ، ح 42 ، إلى قوله : « وأرضي وعرشي وبحري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0C2534">
        <w:rPr>
          <w:rtl/>
        </w:rPr>
        <w:t>1195</w:t>
      </w:r>
      <w:r w:rsidRPr="004325D8">
        <w:rPr>
          <w:rStyle w:val="libBold2Char"/>
          <w:rtl/>
        </w:rPr>
        <w:t xml:space="preserve"> / 4.</w:t>
      </w:r>
      <w:r w:rsidRPr="00132E65">
        <w:rPr>
          <w:rtl/>
          <w:lang w:bidi="fa-IR"/>
        </w:rPr>
        <w:t xml:space="preserve"> أَحْمَدُ ، عَنِ الْحُسَيْنِ ، عَنْ مُحَمَّدِ بْنِ عَبْدِ اللهِ ، عَنْ مُحَمَّدِ بْنِ الْفُضَيْلِ ، عَنْ أَبِي حَمْزَةَ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أَوْحَى اللهُ تَعَالى إِلى مُحَمَّدٍ </w:t>
      </w:r>
      <w:r w:rsidRPr="0093484F">
        <w:rPr>
          <w:rStyle w:val="libAlaemChar"/>
          <w:rFonts w:eastAsiaTheme="minorHAnsi"/>
          <w:rtl/>
        </w:rPr>
        <w:t>صلى‌الله‌عليه‌وآله</w:t>
      </w:r>
      <w:r w:rsidRPr="00132E65">
        <w:rPr>
          <w:rtl/>
          <w:lang w:bidi="fa-IR"/>
        </w:rPr>
        <w:t xml:space="preserve">: يَا مُحَمَّدُ </w:t>
      </w:r>
      <w:r>
        <w:rPr>
          <w:rStyle w:val="libFootnotenumChar"/>
          <w:rtl/>
        </w:rPr>
        <w:t>(1)</w:t>
      </w:r>
      <w:r w:rsidRPr="00132E65">
        <w:rPr>
          <w:rtl/>
          <w:lang w:bidi="fa-IR"/>
        </w:rPr>
        <w:t xml:space="preserve"> ، إِنِّي خَلَقْتُكَ ولَمْ تَكُ شَيْئاً ، ونَفَخْتُ فِيكَ مِنْ رُوحِي كَرَامَةً مِنِّي ، أَكْرَمْتُكَ بِهَا حِينَ أَوْجَبْتُ لَكَ الطَّاعَةَ عَلى خَلْقِي جَمِيعاً ، فَمَنْ أَطَاعَكَ ، فَقَدْ أَطَاعَنِي ، ومَنْ عَصَاكَ فَقَدْ عَصَانِي ، وَأَوْجَبْتُ ذلِكَ فِي عَلِيٍّ وفِي نَسْلِهِ مِمَّنِ </w:t>
      </w:r>
      <w:r>
        <w:rPr>
          <w:rStyle w:val="libFootnotenumChar"/>
          <w:rtl/>
        </w:rPr>
        <w:t>(2)</w:t>
      </w:r>
      <w:r w:rsidRPr="00132E65">
        <w:rPr>
          <w:rtl/>
          <w:lang w:bidi="fa-IR"/>
        </w:rPr>
        <w:t xml:space="preserve"> اخْتَصَصْتُهُ مِنْهُمْ لِنَفْسِي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325D8">
        <w:rPr>
          <w:rStyle w:val="libBold2Char"/>
          <w:rtl/>
        </w:rPr>
        <w:t>1196 / 5.</w:t>
      </w:r>
      <w:r w:rsidRPr="00132E65">
        <w:rPr>
          <w:rtl/>
          <w:lang w:bidi="fa-IR"/>
        </w:rPr>
        <w:t xml:space="preserve"> الْحُسَيْنُ بْنُ مُحَمَّدٍ الْأَشْعَرِيُّ ، عَنْ مُعَلَّى بْنِ مُحَمَّدٍ ، عَنْ أَبِي الْفَضْلِ عَبْدِ اللهِ بْنِ إِدْرِيسَ ، عَنْ مُحَمَّدِ بْنِ سِنَانٍ ، قَالَ :</w:t>
      </w:r>
    </w:p>
    <w:p w:rsidR="000C39D1" w:rsidRPr="00132E65" w:rsidRDefault="000C39D1" w:rsidP="000C39D1">
      <w:pPr>
        <w:pStyle w:val="libNormal"/>
        <w:rPr>
          <w:rtl/>
          <w:lang w:bidi="fa-IR"/>
        </w:rPr>
      </w:pPr>
      <w:r w:rsidRPr="00132E65">
        <w:rPr>
          <w:rtl/>
          <w:lang w:bidi="fa-IR"/>
        </w:rPr>
        <w:t xml:space="preserve">كُنْتُ عِنْدَ أَبِي جَعْفَرٍ الثَّانِي </w:t>
      </w:r>
      <w:r w:rsidRPr="00071CF9">
        <w:rPr>
          <w:rStyle w:val="libAlaemChar"/>
          <w:rtl/>
        </w:rPr>
        <w:t>عليه‌السلام</w:t>
      </w:r>
      <w:r w:rsidRPr="00132E65">
        <w:rPr>
          <w:rtl/>
          <w:lang w:bidi="fa-IR"/>
        </w:rPr>
        <w:t xml:space="preserve"> ، فَأَجْرَيْتُ اخْتِلَافَ الشِّيعَةِ ، فَقَالَ : « يَا مُحَمَّدُ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لَمْ يَزَلْ مُتَفَرِّداً </w:t>
      </w:r>
      <w:r>
        <w:rPr>
          <w:rStyle w:val="libFootnotenumChar"/>
          <w:rtl/>
        </w:rPr>
        <w:t>(4)</w:t>
      </w:r>
      <w:r w:rsidRPr="00132E65">
        <w:rPr>
          <w:rtl/>
          <w:lang w:bidi="fa-IR"/>
        </w:rPr>
        <w:t xml:space="preserve"> بِوَحْدَانِيَّتِهِ </w:t>
      </w:r>
      <w:r>
        <w:rPr>
          <w:rStyle w:val="libFootnotenumChar"/>
          <w:rtl/>
        </w:rPr>
        <w:t>(5)</w:t>
      </w:r>
      <w:r w:rsidRPr="00132E65">
        <w:rPr>
          <w:rtl/>
          <w:lang w:bidi="fa-IR"/>
        </w:rPr>
        <w:t xml:space="preserve"> ، ثُمَّ خَلَقَ مُحَمَّداً وعَلِيّاً وفَاطِمَةَ ، فَمَكَثُوا أَلْفَ دَهْرٍ ، ثُمَّ خَلَقَ جَمِيعَ الْأَشْيَاءِ ، فَأَشْهَدَهُمْ خَلْقَهَا ، وأَجْرى طَاعَتَهُمْ عَلَيْهَا ، وَفَوَّضَ أُمُورَهَا إِلَيْهِمْ ، فَهُمْ يُحِلُّونَ مَا يَشَاؤُونَ ، ويُحَرِّمُونَ مَا يَشَاؤُونَ ، ولَنْ يَشَاؤُوا </w:t>
      </w:r>
      <w:r>
        <w:rPr>
          <w:rStyle w:val="libFootnotenumChar"/>
          <w:rtl/>
        </w:rPr>
        <w:t>(6)</w:t>
      </w:r>
      <w:r w:rsidR="00293D24">
        <w:rPr>
          <w:rtl/>
          <w:lang w:bidi="fa-IR"/>
        </w:rPr>
        <w:t xml:space="preserve"> إِل</w:t>
      </w:r>
      <w:r w:rsidR="00293D24">
        <w:rPr>
          <w:rFonts w:hint="cs"/>
          <w:rtl/>
          <w:lang w:bidi="fa-IR"/>
        </w:rPr>
        <w:t>َّ</w:t>
      </w:r>
      <w:r w:rsidR="00293D24">
        <w:rPr>
          <w:rtl/>
          <w:lang w:bidi="fa-IR"/>
        </w:rPr>
        <w:t>ا</w:t>
      </w:r>
      <w:r w:rsidRPr="00132E65">
        <w:rPr>
          <w:rtl/>
          <w:lang w:bidi="fa-IR"/>
        </w:rPr>
        <w:t xml:space="preserve"> أَنْ يَشَاءَ اللهُ تَبَارَكَ وتَعَالى »</w:t>
      </w:r>
      <w:r>
        <w:rPr>
          <w:rtl/>
          <w:lang w:bidi="fa-IR"/>
        </w:rPr>
        <w:t>.</w:t>
      </w:r>
    </w:p>
    <w:p w:rsidR="000C39D1" w:rsidRPr="00132E65" w:rsidRDefault="000C39D1" w:rsidP="00C17CD8">
      <w:pPr>
        <w:pStyle w:val="libNormal"/>
        <w:rPr>
          <w:rtl/>
          <w:lang w:bidi="fa-IR"/>
        </w:rPr>
      </w:pPr>
      <w:r w:rsidRPr="00132E65">
        <w:rPr>
          <w:rtl/>
          <w:lang w:bidi="fa-IR"/>
        </w:rPr>
        <w:t xml:space="preserve">ثُمَّ قَالَ : « يَا مُحَمَّدُ ، هذِهِ الدِّيَانَةُ الَّتِي مَنْ تَقَدَّمَهَا مَرَقَ </w:t>
      </w:r>
      <w:r>
        <w:rPr>
          <w:rStyle w:val="libFootnotenumChar"/>
          <w:rtl/>
        </w:rPr>
        <w:t>(7)</w:t>
      </w:r>
      <w:r w:rsidRPr="00132E65">
        <w:rPr>
          <w:rtl/>
          <w:lang w:bidi="fa-IR"/>
        </w:rPr>
        <w:t xml:space="preserve"> ، ومَنْ تَخَلَّفَ عَنْهَا مَحَقَ </w:t>
      </w:r>
      <w:r>
        <w:rPr>
          <w:rStyle w:val="libFootnotenumChar"/>
          <w:rtl/>
        </w:rPr>
        <w:t>(8)</w:t>
      </w:r>
      <w:r w:rsidRPr="00132E65">
        <w:rPr>
          <w:rtl/>
          <w:lang w:bidi="fa-IR"/>
        </w:rPr>
        <w:t xml:space="preserve"> ، ومَنْ لَزِمَهَا لَحِقَ ؛</w:t>
      </w:r>
      <w:r w:rsidR="00C17CD8">
        <w:rPr>
          <w:rFonts w:hint="cs"/>
          <w:rtl/>
          <w:lang w:bidi="fa-IR"/>
        </w:rPr>
        <w:t>.............................................................................</w:t>
      </w:r>
      <w:r w:rsidR="00C17CD8">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ف ، بح ، بر ، بس ، بف » و</w:t>
      </w:r>
      <w:r w:rsidRPr="009D1ACE">
        <w:rPr>
          <w:rStyle w:val="libFootnoteBoldChar"/>
          <w:rtl/>
        </w:rPr>
        <w:t>الوافي</w:t>
      </w:r>
      <w:r w:rsidRPr="00132E65">
        <w:rPr>
          <w:rtl/>
        </w:rPr>
        <w:t xml:space="preserve"> والأمالي. وفي المطبوع </w:t>
      </w:r>
      <w:r>
        <w:rPr>
          <w:rtl/>
        </w:rPr>
        <w:t xml:space="preserve">: - </w:t>
      </w:r>
      <w:r w:rsidRPr="00132E65">
        <w:rPr>
          <w:rtl/>
        </w:rPr>
        <w:t>« يا محمّد »</w:t>
      </w:r>
      <w:r>
        <w:rPr>
          <w:rtl/>
        </w:rPr>
        <w:t>.</w:t>
      </w:r>
    </w:p>
    <w:p w:rsidR="000C39D1" w:rsidRPr="00132E65" w:rsidRDefault="000C39D1" w:rsidP="000C39D1">
      <w:pPr>
        <w:pStyle w:val="libFootnote0"/>
        <w:rPr>
          <w:rtl/>
          <w:lang w:bidi="fa-IR"/>
        </w:rPr>
      </w:pPr>
      <w:r>
        <w:rPr>
          <w:rtl/>
        </w:rPr>
        <w:t>(2).</w:t>
      </w:r>
      <w:r w:rsidRPr="00132E65">
        <w:rPr>
          <w:rtl/>
        </w:rPr>
        <w:t xml:space="preserve"> في « بح ، بر ، بس » وحاشية « ض » و</w:t>
      </w:r>
      <w:r w:rsidRPr="009D1ACE">
        <w:rPr>
          <w:rStyle w:val="libFootnoteBoldChar"/>
          <w:rtl/>
        </w:rPr>
        <w:t>الوافي</w:t>
      </w:r>
      <w:r w:rsidRPr="00132E65">
        <w:rPr>
          <w:rtl/>
        </w:rPr>
        <w:t xml:space="preserve"> : « من »</w:t>
      </w:r>
      <w:r>
        <w:rPr>
          <w:rtl/>
        </w:rPr>
        <w:t>.</w:t>
      </w:r>
      <w:r w:rsidRPr="00132E65">
        <w:rPr>
          <w:rtl/>
        </w:rPr>
        <w:t xml:space="preserve"> وفي « بف » : « لمن »</w:t>
      </w:r>
      <w:r>
        <w:rPr>
          <w:rtl/>
        </w:rPr>
        <w:t>.</w:t>
      </w:r>
    </w:p>
    <w:p w:rsidR="000C39D1" w:rsidRPr="00132E65" w:rsidRDefault="000C39D1" w:rsidP="00776265">
      <w:pPr>
        <w:pStyle w:val="libFootnote0"/>
        <w:rPr>
          <w:rtl/>
          <w:lang w:bidi="fa-IR"/>
        </w:rPr>
      </w:pPr>
      <w:r>
        <w:rPr>
          <w:rtl/>
        </w:rPr>
        <w:t>(3).</w:t>
      </w:r>
      <w:r w:rsidRPr="00132E65">
        <w:rPr>
          <w:rtl/>
        </w:rPr>
        <w:t xml:space="preserve"> </w:t>
      </w:r>
      <w:r w:rsidRPr="000C2534">
        <w:rPr>
          <w:rtl/>
        </w:rPr>
        <w:t>الأمالي</w:t>
      </w:r>
      <w:r w:rsidRPr="00132E65">
        <w:rPr>
          <w:rtl/>
        </w:rPr>
        <w:t xml:space="preserve"> للصدوق ، ص 604 ، المجلس 88 ، ح 5 ، عن الحسين بن أحمد بن إدريس ، عن أبيه ، عن الحسين بن عبيد الله ، عن محمّد بن عبد الله</w:t>
      </w:r>
      <w:r w:rsidR="00776265">
        <w:rPr>
          <w:rFonts w:hint="cs"/>
          <w:rtl/>
        </w:rPr>
        <w:t>.</w:t>
      </w:r>
      <w:r w:rsidRPr="009D1ACE">
        <w:rPr>
          <w:rStyle w:val="libFootnoteBoldChar"/>
          <w:rtl/>
        </w:rPr>
        <w:t>الوافي</w:t>
      </w:r>
      <w:r w:rsidRPr="00132E65">
        <w:rPr>
          <w:rtl/>
        </w:rPr>
        <w:t xml:space="preserve"> ، ج 3 ، ص 681 ، ح 1281.</w:t>
      </w:r>
    </w:p>
    <w:tbl>
      <w:tblPr>
        <w:tblStyle w:val="TableGrid"/>
        <w:bidiVisual/>
        <w:tblW w:w="0" w:type="auto"/>
        <w:tblLook w:val="04A0" w:firstRow="1" w:lastRow="0" w:firstColumn="1" w:lastColumn="0" w:noHBand="0" w:noVBand="1"/>
      </w:tblPr>
      <w:tblGrid>
        <w:gridCol w:w="4006"/>
        <w:gridCol w:w="4006"/>
      </w:tblGrid>
      <w:tr w:rsidR="00776265" w:rsidTr="00776265">
        <w:tc>
          <w:tcPr>
            <w:tcW w:w="4006" w:type="dxa"/>
          </w:tcPr>
          <w:p w:rsidR="00776265" w:rsidRDefault="00776265" w:rsidP="000C39D1">
            <w:pPr>
              <w:pStyle w:val="libFootnote0"/>
              <w:rPr>
                <w:rtl/>
              </w:rPr>
            </w:pPr>
            <w:r>
              <w:rPr>
                <w:rtl/>
              </w:rPr>
              <w:t>(4).</w:t>
            </w:r>
            <w:r w:rsidRPr="00132E65">
              <w:rPr>
                <w:rtl/>
              </w:rPr>
              <w:t xml:space="preserve"> في « ب ، بف » : « منفرداً »</w:t>
            </w:r>
            <w:r>
              <w:rPr>
                <w:rtl/>
              </w:rPr>
              <w:t>.</w:t>
            </w:r>
          </w:p>
        </w:tc>
        <w:tc>
          <w:tcPr>
            <w:tcW w:w="4006" w:type="dxa"/>
          </w:tcPr>
          <w:p w:rsidR="00776265" w:rsidRDefault="00776265" w:rsidP="000C39D1">
            <w:pPr>
              <w:pStyle w:val="libFootnote0"/>
              <w:rPr>
                <w:rtl/>
              </w:rPr>
            </w:pPr>
            <w:r>
              <w:rPr>
                <w:rtl/>
              </w:rPr>
              <w:t>(5).</w:t>
            </w:r>
            <w:r w:rsidRPr="00132E65">
              <w:rPr>
                <w:rtl/>
              </w:rPr>
              <w:t xml:space="preserve"> في « ج » : « بوحدانيّة »</w:t>
            </w:r>
            <w:r>
              <w:rPr>
                <w:rtl/>
              </w:rPr>
              <w:t>.</w:t>
            </w:r>
          </w:p>
        </w:tc>
      </w:tr>
    </w:tbl>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ولا يشاؤن »</w:t>
      </w:r>
      <w:r>
        <w:rPr>
          <w:rtl/>
        </w:rPr>
        <w:t>.</w:t>
      </w:r>
    </w:p>
    <w:p w:rsidR="000C39D1" w:rsidRPr="00132E65" w:rsidRDefault="000C39D1" w:rsidP="000C39D1">
      <w:pPr>
        <w:pStyle w:val="libFootnote0"/>
        <w:rPr>
          <w:rtl/>
          <w:lang w:bidi="fa-IR"/>
        </w:rPr>
      </w:pPr>
      <w:r>
        <w:rPr>
          <w:rtl/>
        </w:rPr>
        <w:t>(7).</w:t>
      </w:r>
      <w:r w:rsidRPr="00132E65">
        <w:rPr>
          <w:rtl/>
        </w:rPr>
        <w:t xml:space="preserve"> « مَرَقَ » ، أي خرج من الدين. راجع : </w:t>
      </w:r>
      <w:r w:rsidRPr="000C2534">
        <w:rPr>
          <w:rtl/>
        </w:rPr>
        <w:t>الصحاح</w:t>
      </w:r>
      <w:r w:rsidRPr="00132E65">
        <w:rPr>
          <w:rtl/>
        </w:rPr>
        <w:t xml:space="preserve"> ، ج 4 ، ص 1554 ( مرق )</w:t>
      </w:r>
      <w:r>
        <w:rPr>
          <w:rtl/>
        </w:rPr>
        <w:t>.</w:t>
      </w:r>
    </w:p>
    <w:p w:rsidR="000C39D1" w:rsidRPr="00132E65" w:rsidRDefault="000C39D1" w:rsidP="000C39D1">
      <w:pPr>
        <w:pStyle w:val="libFootnote0"/>
        <w:rPr>
          <w:rtl/>
          <w:lang w:bidi="ar-IQ"/>
        </w:rPr>
      </w:pPr>
      <w:r>
        <w:rPr>
          <w:rtl/>
        </w:rPr>
        <w:t>(8).</w:t>
      </w:r>
      <w:r w:rsidRPr="00132E65">
        <w:rPr>
          <w:rtl/>
        </w:rPr>
        <w:t xml:space="preserve"> في « ج » : « محّق » بالتضعيف. </w:t>
      </w:r>
      <w:r>
        <w:rPr>
          <w:rtl/>
        </w:rPr>
        <w:t>و «</w:t>
      </w:r>
      <w:r w:rsidRPr="00132E65">
        <w:rPr>
          <w:rtl/>
        </w:rPr>
        <w:t xml:space="preserve"> مَحَقَ » ، أي أبطل دينه ومحاه. واحتمل المجلسي كونه على المجهول ، </w:t>
      </w:r>
      <w:r w:rsidR="00267A6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خُذْهَا </w:t>
      </w:r>
      <w:r>
        <w:rPr>
          <w:rStyle w:val="libFootnotenumChar"/>
          <w:rtl/>
        </w:rPr>
        <w:t>(1)</w:t>
      </w:r>
      <w:r w:rsidRPr="00132E65">
        <w:rPr>
          <w:rtl/>
          <w:lang w:bidi="fa-IR"/>
        </w:rPr>
        <w:t xml:space="preserve"> إِلَيْكَ يَا مُحَمَّدُ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0C2534">
        <w:rPr>
          <w:rtl/>
        </w:rPr>
        <w:t>1197</w:t>
      </w:r>
      <w:r w:rsidRPr="004325D8">
        <w:rPr>
          <w:rStyle w:val="libBold2Char"/>
          <w:rtl/>
        </w:rPr>
        <w:t xml:space="preserve"> / 6.</w:t>
      </w:r>
      <w:r w:rsidRPr="00132E65">
        <w:rPr>
          <w:rtl/>
          <w:lang w:bidi="fa-IR"/>
        </w:rPr>
        <w:t xml:space="preserve"> عِدَّةٌ مِنْ أَصْحَابِنَا ، عَنْ أَحْمَدَ بْنِ مُحَمَّدٍ ، عَنِ ابْنِ مَحْب</w:t>
      </w:r>
      <w:r w:rsidR="00B168B7">
        <w:rPr>
          <w:rtl/>
          <w:lang w:bidi="fa-IR"/>
        </w:rPr>
        <w:t>ُوبٍ ، عَنْ صَالِحِ بْنِ سَهْلٍ</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 أَنَّ بَعْضَ قُرَيْشٍ قَالَ لِرَسُولِ اللهِ </w:t>
      </w:r>
      <w:r w:rsidRPr="0093484F">
        <w:rPr>
          <w:rStyle w:val="libAlaemChar"/>
          <w:rFonts w:eastAsiaTheme="minorHAnsi"/>
          <w:rtl/>
        </w:rPr>
        <w:t>صلى‌الله‌عليه‌وآله</w:t>
      </w:r>
      <w:r w:rsidRPr="00132E65">
        <w:rPr>
          <w:rtl/>
          <w:lang w:bidi="fa-IR"/>
        </w:rPr>
        <w:t>: بِأَيِّ شَيْ‌ءٍ سَبَقْتَ الْأَنْبِيَاءَ وأَنْتَ بُعِثْتَ آخِرَهُمْ وخَاتَمَهُمْ</w:t>
      </w:r>
      <w:r>
        <w:rPr>
          <w:rtl/>
          <w:lang w:bidi="fa-IR"/>
        </w:rPr>
        <w:t>؟</w:t>
      </w:r>
    </w:p>
    <w:p w:rsidR="000C39D1" w:rsidRPr="00132E65" w:rsidRDefault="000C39D1" w:rsidP="00B168B7">
      <w:pPr>
        <w:pStyle w:val="libNormal"/>
        <w:rPr>
          <w:rtl/>
          <w:lang w:bidi="fa-IR"/>
        </w:rPr>
      </w:pPr>
      <w:r w:rsidRPr="00132E65">
        <w:rPr>
          <w:rtl/>
          <w:lang w:bidi="fa-IR"/>
        </w:rPr>
        <w:t xml:space="preserve">قَالَ </w:t>
      </w:r>
      <w:r>
        <w:rPr>
          <w:rStyle w:val="libFootnotenumChar"/>
          <w:rtl/>
        </w:rPr>
        <w:t>(3)</w:t>
      </w:r>
      <w:r w:rsidRPr="00132E65">
        <w:rPr>
          <w:rtl/>
          <w:lang w:bidi="fa-IR"/>
        </w:rPr>
        <w:t xml:space="preserve"> : إِنِّي كُنْتُ أَوَّلَ مَنْ آمَنَ بِرَبِّي ، وأَوَّلَ مَنْ أَجَابَ حِينَ أَخَذَ اللهُ مِيثَاقَ النَّبِيِّينَ</w:t>
      </w:r>
      <w:r>
        <w:rPr>
          <w:rFonts w:hint="cs"/>
          <w:rtl/>
          <w:lang w:bidi="fa-IR"/>
        </w:rPr>
        <w:t xml:space="preserve"> </w:t>
      </w:r>
      <w:r w:rsidRPr="00071CF9">
        <w:rPr>
          <w:rStyle w:val="libAlaemChar"/>
          <w:rtl/>
        </w:rPr>
        <w:t>(</w:t>
      </w:r>
      <w:r w:rsidRPr="00071CF9">
        <w:rPr>
          <w:rStyle w:val="libAieChar"/>
          <w:rtl/>
        </w:rPr>
        <w:t xml:space="preserve"> وَأَشْهَدَهُمْ عَلى أَنْفُسِهِمْ أَلَسْتُ بِرَبِّكُمْ قالُوا بَلى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 فَكُنْتُ أَنَا أَوَّلَ نَبِيٍّ قَالَ : بَلى ، فَسَبَقْتُهُمْ بِالْإِقْرَارِ ب</w:t>
      </w:r>
      <w:r w:rsidR="00C17CD8">
        <w:rPr>
          <w:rtl/>
          <w:lang w:bidi="fa-IR"/>
        </w:rPr>
        <w:t>ِاللهِ</w:t>
      </w:r>
      <w:r w:rsidRPr="00132E65">
        <w:rPr>
          <w:rtl/>
          <w:lang w:bidi="fa-IR"/>
        </w:rPr>
        <w:t>»</w:t>
      </w:r>
      <w:r>
        <w:rPr>
          <w:rtl/>
          <w:lang w:bidi="fa-IR"/>
        </w:rPr>
        <w:t>.</w:t>
      </w:r>
      <w:r>
        <w:rPr>
          <w:rStyle w:val="libFootnotenumChar"/>
          <w:rtl/>
        </w:rPr>
        <w:t>(5)</w:t>
      </w:r>
    </w:p>
    <w:p w:rsidR="000C39D1" w:rsidRPr="00132E65" w:rsidRDefault="000C39D1" w:rsidP="000C39D1">
      <w:pPr>
        <w:pStyle w:val="libNormal"/>
        <w:rPr>
          <w:rtl/>
          <w:lang w:bidi="fa-IR"/>
        </w:rPr>
      </w:pPr>
      <w:r w:rsidRPr="000C2534">
        <w:rPr>
          <w:rtl/>
        </w:rPr>
        <w:t>1198</w:t>
      </w:r>
      <w:r w:rsidRPr="004325D8">
        <w:rPr>
          <w:rStyle w:val="libBold2Char"/>
          <w:rtl/>
        </w:rPr>
        <w:t xml:space="preserve"> / 7.</w:t>
      </w:r>
      <w:r w:rsidRPr="00132E65">
        <w:rPr>
          <w:rtl/>
          <w:lang w:bidi="fa-IR"/>
        </w:rPr>
        <w:t xml:space="preserve"> عَلِيُّ بْنُ مُحَمَّدٍ ، عَنْ سَهْلِ بْنِ زِيَادٍ ، عَنْ مُحَمَّدِ بْنِ عَلِيِّ بْنِ إِبْرَاهِيمَ ، عَنْ عَلِيِّ بْنِ حَمَّادٍ ، عَنِ الْمُفَضَّلِ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كَيْفَ كُنْتُمْ حَيْثُ كُنْتُمْ فِي الْأَظِلَّةِ</w:t>
      </w:r>
      <w:r>
        <w:rPr>
          <w:rtl/>
          <w:lang w:bidi="fa-IR"/>
        </w:rPr>
        <w:t>؟</w:t>
      </w:r>
    </w:p>
    <w:p w:rsidR="000C39D1" w:rsidRPr="00132E65" w:rsidRDefault="000C39D1" w:rsidP="000C39D1">
      <w:pPr>
        <w:pStyle w:val="libNormal"/>
        <w:rPr>
          <w:rtl/>
          <w:lang w:bidi="fa-IR"/>
        </w:rPr>
      </w:pPr>
      <w:r w:rsidRPr="00132E65">
        <w:rPr>
          <w:rtl/>
          <w:lang w:bidi="fa-IR"/>
        </w:rPr>
        <w:t>فَقَالَ : « يَا مُفَضَّلُ ، كُنَّا عِنْدَ رَبِّنَا</w:t>
      </w:r>
      <w:r>
        <w:rPr>
          <w:rtl/>
          <w:lang w:bidi="fa-IR"/>
        </w:rPr>
        <w:t xml:space="preserve"> - </w:t>
      </w:r>
      <w:r w:rsidRPr="00132E65">
        <w:rPr>
          <w:rtl/>
          <w:lang w:bidi="fa-IR"/>
        </w:rPr>
        <w:t>لَيْسَ عِنْدَهُ أَحَدٌ غَيْرُنَا</w:t>
      </w:r>
      <w:r>
        <w:rPr>
          <w:rtl/>
          <w:lang w:bidi="fa-IR"/>
        </w:rPr>
        <w:t xml:space="preserve"> - </w:t>
      </w:r>
      <w:r w:rsidRPr="00132E65">
        <w:rPr>
          <w:rtl/>
          <w:lang w:bidi="fa-IR"/>
        </w:rPr>
        <w:t>فِي ظُلَّةٍ خَضْرَاءَ ، نُسَبِّحُهُ‌</w:t>
      </w:r>
    </w:p>
    <w:p w:rsidR="000C39D1" w:rsidRPr="00132E65" w:rsidRDefault="000C39D1" w:rsidP="000C39D1">
      <w:pPr>
        <w:pStyle w:val="libLine"/>
        <w:rPr>
          <w:rtl/>
          <w:lang w:bidi="fa-IR"/>
        </w:rPr>
      </w:pPr>
      <w:r w:rsidRPr="00132E65">
        <w:rPr>
          <w:rtl/>
          <w:lang w:bidi="fa-IR"/>
        </w:rPr>
        <w:t>__________________</w:t>
      </w:r>
    </w:p>
    <w:p w:rsidR="000C39D1" w:rsidRPr="00132E65" w:rsidRDefault="00B168B7" w:rsidP="000C39D1">
      <w:pPr>
        <w:pStyle w:val="libFootnote0"/>
        <w:rPr>
          <w:rtl/>
          <w:lang w:bidi="fa-IR"/>
        </w:rPr>
      </w:pPr>
      <w:r>
        <w:rPr>
          <w:rFonts w:hint="cs"/>
          <w:rtl/>
        </w:rPr>
        <w:t xml:space="preserve">= </w:t>
      </w:r>
      <w:r w:rsidR="000C39D1" w:rsidRPr="00132E65">
        <w:rPr>
          <w:rtl/>
        </w:rPr>
        <w:t xml:space="preserve">أي بطل. راجع : </w:t>
      </w:r>
      <w:r w:rsidR="000C39D1" w:rsidRPr="000C2534">
        <w:rPr>
          <w:rtl/>
        </w:rPr>
        <w:t>الصحاح</w:t>
      </w:r>
      <w:r w:rsidR="000C39D1" w:rsidRPr="00132E65">
        <w:rPr>
          <w:rtl/>
        </w:rPr>
        <w:t xml:space="preserve"> ، ج 3 ، ص 155 ( محق )</w:t>
      </w:r>
      <w:r w:rsidR="000C39D1">
        <w:rPr>
          <w:rtl/>
        </w:rPr>
        <w:t>.</w:t>
      </w:r>
    </w:p>
    <w:p w:rsidR="000C39D1" w:rsidRPr="00132E65" w:rsidRDefault="000C39D1" w:rsidP="000C39D1">
      <w:pPr>
        <w:pStyle w:val="libFootnote0"/>
        <w:rPr>
          <w:rtl/>
          <w:lang w:bidi="fa-IR"/>
        </w:rPr>
      </w:pPr>
      <w:r>
        <w:rPr>
          <w:rtl/>
        </w:rPr>
        <w:t>(1).</w:t>
      </w:r>
      <w:r w:rsidRPr="00132E65">
        <w:rPr>
          <w:rtl/>
        </w:rPr>
        <w:t xml:space="preserve"> قوله : « خذها » : خبرٌ لهذه الديانة. وكونه خبراً ثانياً </w:t>
      </w:r>
      <w:r>
        <w:rPr>
          <w:rtl/>
        </w:rPr>
        <w:t>و «</w:t>
      </w:r>
      <w:r w:rsidRPr="00132E65">
        <w:rPr>
          <w:rtl/>
        </w:rPr>
        <w:t xml:space="preserve"> التي » خبراً أوّلَ بعيد.</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682 ، ح 1284 ؛ </w:t>
      </w:r>
      <w:r w:rsidRPr="000C2534">
        <w:rPr>
          <w:rtl/>
        </w:rPr>
        <w:t>البحار</w:t>
      </w:r>
      <w:r w:rsidRPr="00132E65">
        <w:rPr>
          <w:rtl/>
        </w:rPr>
        <w:t xml:space="preserve"> ، ج 15 ، ص 19 ، ح 29 ؛ وج 25 ، ص 340 ، ح 24 ؛ وج 57 ، ص 195 ، ح 141 ؛ </w:t>
      </w:r>
      <w:r w:rsidRPr="000C2534">
        <w:rPr>
          <w:rtl/>
        </w:rPr>
        <w:t>وفيه</w:t>
      </w:r>
      <w:r w:rsidRPr="00132E65">
        <w:rPr>
          <w:rtl/>
        </w:rPr>
        <w:t xml:space="preserve"> ، ص 65 ، ح 43 ، إلى قوله : « وأجرى طاعتهم عليها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0577A7">
        <w:rPr>
          <w:rStyle w:val="libFootnoteBoldChar"/>
          <w:rtl/>
        </w:rPr>
        <w:t>الكافي</w:t>
      </w:r>
      <w:r w:rsidRPr="00132E65">
        <w:rPr>
          <w:rtl/>
        </w:rPr>
        <w:t xml:space="preserve"> ، ح 1462 و</w:t>
      </w:r>
      <w:r w:rsidRPr="009D1ACE">
        <w:rPr>
          <w:rStyle w:val="libFootnoteBoldChar"/>
          <w:rtl/>
        </w:rPr>
        <w:t>الوافي</w:t>
      </w:r>
      <w:r w:rsidRPr="00132E65">
        <w:rPr>
          <w:rtl/>
        </w:rPr>
        <w:t xml:space="preserve"> وتفسير العيّاشي : « فقال »</w:t>
      </w:r>
      <w:r>
        <w:rPr>
          <w:rtl/>
        </w:rPr>
        <w:t>.</w:t>
      </w:r>
    </w:p>
    <w:p w:rsidR="000C39D1" w:rsidRPr="00132E65" w:rsidRDefault="000C39D1" w:rsidP="000C39D1">
      <w:pPr>
        <w:pStyle w:val="libFootnote0"/>
        <w:rPr>
          <w:rtl/>
          <w:lang w:bidi="fa-IR"/>
        </w:rPr>
      </w:pPr>
      <w:r>
        <w:rPr>
          <w:rtl/>
        </w:rPr>
        <w:t>(4).</w:t>
      </w:r>
      <w:r w:rsidRPr="00132E65">
        <w:rPr>
          <w:rtl/>
        </w:rPr>
        <w:t xml:space="preserve"> الأعراف </w:t>
      </w:r>
      <w:r w:rsidR="00B168B7">
        <w:rPr>
          <w:rtl/>
        </w:rPr>
        <w:t>(7)</w:t>
      </w:r>
      <w:r w:rsidRPr="00132E65">
        <w:rPr>
          <w:rtl/>
        </w:rPr>
        <w:t xml:space="preserve"> : 172. وفي </w:t>
      </w:r>
      <w:r w:rsidRPr="000577A7">
        <w:rPr>
          <w:rStyle w:val="libFootnoteBoldChar"/>
          <w:rtl/>
        </w:rPr>
        <w:t>الكافي</w:t>
      </w:r>
      <w:r w:rsidRPr="00132E65">
        <w:rPr>
          <w:rtl/>
        </w:rPr>
        <w:t xml:space="preserve"> ، ح 1462 و</w:t>
      </w:r>
      <w:r w:rsidRPr="009D1ACE">
        <w:rPr>
          <w:rStyle w:val="libFootnoteBoldChar"/>
          <w:rtl/>
        </w:rPr>
        <w:t>الوافي</w:t>
      </w:r>
      <w:r w:rsidRPr="00132E65">
        <w:rPr>
          <w:rtl/>
        </w:rPr>
        <w:t xml:space="preserve"> </w:t>
      </w:r>
      <w:r>
        <w:rPr>
          <w:rtl/>
        </w:rPr>
        <w:t xml:space="preserve">: - </w:t>
      </w:r>
      <w:r w:rsidRPr="00132E65">
        <w:rPr>
          <w:rtl/>
        </w:rPr>
        <w:t>« قالوا بلى »</w:t>
      </w:r>
      <w:r>
        <w:rPr>
          <w:rtl/>
        </w:rPr>
        <w:t>.</w:t>
      </w:r>
    </w:p>
    <w:p w:rsidR="000C39D1" w:rsidRPr="00132E65" w:rsidRDefault="000C39D1" w:rsidP="00B168B7">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الإيمان والكفر ، باب أنّ رسول الله </w:t>
      </w:r>
      <w:r w:rsidRPr="00B168B7">
        <w:rPr>
          <w:rStyle w:val="libFootnoteAlaemChar"/>
          <w:rFonts w:eastAsiaTheme="minorHAnsi"/>
          <w:rtl/>
        </w:rPr>
        <w:t>صلى‌الله‌عليه‌وآله</w:t>
      </w:r>
      <w:r w:rsidRPr="00132E65">
        <w:rPr>
          <w:rtl/>
          <w:lang w:bidi="fa-IR"/>
        </w:rPr>
        <w:t xml:space="preserve"> </w:t>
      </w:r>
      <w:r w:rsidRPr="00132E65">
        <w:rPr>
          <w:rtl/>
        </w:rPr>
        <w:t>أوّل من أجاب و</w:t>
      </w:r>
      <w:r>
        <w:rPr>
          <w:rtl/>
        </w:rPr>
        <w:t xml:space="preserve"> ..</w:t>
      </w:r>
      <w:r w:rsidRPr="00132E65">
        <w:rPr>
          <w:rtl/>
        </w:rPr>
        <w:t xml:space="preserve">. ، ح 1462 ، عن محمّد بن يحيى ، عن أحمد بن محمّد. </w:t>
      </w:r>
      <w:r w:rsidRPr="007A1104">
        <w:rPr>
          <w:rStyle w:val="libFootnoteBoldChar"/>
          <w:rtl/>
        </w:rPr>
        <w:t>بصائر الدرجات</w:t>
      </w:r>
      <w:r w:rsidRPr="00132E65">
        <w:rPr>
          <w:rtl/>
        </w:rPr>
        <w:t xml:space="preserve"> ، ص 83 ، ح 2 ، عن الحسن بن محبوب. </w:t>
      </w:r>
      <w:r w:rsidRPr="000C2534">
        <w:rPr>
          <w:rtl/>
        </w:rPr>
        <w:t>علل الشرائع</w:t>
      </w:r>
      <w:r w:rsidRPr="00132E65">
        <w:rPr>
          <w:rtl/>
        </w:rPr>
        <w:t xml:space="preserve"> ، ص 124 ، ح 1 ، بسنده عن أحمد بن محمّد بن سعيد الكوفي ، عن جعفر بن عبيد الله ، عن الحسن بن محبوب. </w:t>
      </w:r>
      <w:r w:rsidRPr="000C2534">
        <w:rPr>
          <w:rtl/>
        </w:rPr>
        <w:t>تفسير العيّاشي</w:t>
      </w:r>
      <w:r w:rsidRPr="00132E65">
        <w:rPr>
          <w:rtl/>
        </w:rPr>
        <w:t xml:space="preserve"> ، ج 2 ، ص 39 ، ح 107 ، عن صالح بن سهل. وفي </w:t>
      </w:r>
      <w:r w:rsidRPr="000577A7">
        <w:rPr>
          <w:rStyle w:val="libFootnoteBoldChar"/>
          <w:rtl/>
        </w:rPr>
        <w:t>الكافي</w:t>
      </w:r>
      <w:r w:rsidRPr="00132E65">
        <w:rPr>
          <w:rtl/>
        </w:rPr>
        <w:t xml:space="preserve"> ، نفس الباب ، ح 1464 ؛ و</w:t>
      </w:r>
      <w:r w:rsidRPr="007A1104">
        <w:rPr>
          <w:rStyle w:val="libFootnoteBoldChar"/>
          <w:rtl/>
        </w:rPr>
        <w:t>بصائر الدرجات</w:t>
      </w:r>
      <w:r w:rsidRPr="00132E65">
        <w:rPr>
          <w:rtl/>
        </w:rPr>
        <w:t xml:space="preserve"> ، ص 86 ، ح 12 ، بسند آخر ، عن صالح بن سهل ، مع اختلاف</w:t>
      </w:r>
      <w:r w:rsidR="00B168B7">
        <w:rPr>
          <w:rFonts w:hint="cs"/>
          <w:rtl/>
        </w:rPr>
        <w:t>.</w:t>
      </w:r>
      <w:r w:rsidRPr="009D1ACE">
        <w:rPr>
          <w:rStyle w:val="libFootnoteBoldChar"/>
          <w:rtl/>
        </w:rPr>
        <w:t>الوافي</w:t>
      </w:r>
      <w:r w:rsidRPr="00132E65">
        <w:rPr>
          <w:rtl/>
        </w:rPr>
        <w:t xml:space="preserve"> ، ج 4 ، ص 126 ، ح 1720 ؛ </w:t>
      </w:r>
      <w:r w:rsidRPr="00332C2E">
        <w:rPr>
          <w:rtl/>
        </w:rPr>
        <w:t>البحار</w:t>
      </w:r>
      <w:r w:rsidRPr="00132E65">
        <w:rPr>
          <w:rtl/>
        </w:rPr>
        <w:t xml:space="preserve"> ، ج 16 ، ص 353 ، ح 36.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وَنُقَدِّسُهُ ونُهَلِّلُهُ ونُمَجِّدُهُ </w:t>
      </w:r>
      <w:r>
        <w:rPr>
          <w:rStyle w:val="libFootnotenumChar"/>
          <w:rtl/>
        </w:rPr>
        <w:t>(1)</w:t>
      </w:r>
      <w:r w:rsidRPr="00132E65">
        <w:rPr>
          <w:rtl/>
          <w:lang w:bidi="fa-IR"/>
        </w:rPr>
        <w:t xml:space="preserve"> ، و</w:t>
      </w:r>
      <w:r w:rsidR="00B168B7">
        <w:rPr>
          <w:rFonts w:hint="cs"/>
          <w:rtl/>
          <w:lang w:bidi="fa-IR"/>
        </w:rPr>
        <w:t>َ</w:t>
      </w:r>
      <w:r w:rsidRPr="00132E65">
        <w:rPr>
          <w:rtl/>
          <w:lang w:bidi="fa-IR"/>
        </w:rPr>
        <w:t xml:space="preserve">مَا </w:t>
      </w:r>
      <w:r>
        <w:rPr>
          <w:rStyle w:val="libFootnotenumChar"/>
          <w:rtl/>
        </w:rPr>
        <w:t>(2)</w:t>
      </w:r>
      <w:r w:rsidRPr="00132E65">
        <w:rPr>
          <w:rtl/>
          <w:lang w:bidi="fa-IR"/>
        </w:rPr>
        <w:t xml:space="preserve"> مِنْ مَلَكٍ مُقَرَّبٍ ولَاذِي رُوحٍ غَيْرُنَا </w:t>
      </w:r>
      <w:r>
        <w:rPr>
          <w:rStyle w:val="libFootnotenumChar"/>
          <w:rtl/>
        </w:rPr>
        <w:t>(3)</w:t>
      </w:r>
      <w:r w:rsidRPr="00132E65">
        <w:rPr>
          <w:rtl/>
          <w:lang w:bidi="fa-IR"/>
        </w:rPr>
        <w:t xml:space="preserve"> حَتّى بَدَا لَهُ فِي خَلْقِ الْأَشْيَاءِ ، فَخَلَقَ مَا شَاءَ كَيْفَ شَاءَ مِنَ الْمَلَائِكَةِ وغَيْرِهِمْ ، ثُمَّ أَنْهى </w:t>
      </w:r>
      <w:r>
        <w:rPr>
          <w:rStyle w:val="libFootnotenumChar"/>
          <w:rtl/>
        </w:rPr>
        <w:t>(4)</w:t>
      </w:r>
      <w:r w:rsidRPr="00132E65">
        <w:rPr>
          <w:rtl/>
          <w:lang w:bidi="fa-IR"/>
        </w:rPr>
        <w:t xml:space="preserve"> عِلْمَ ذلِكَ إِلَيْنَا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32C2E">
        <w:rPr>
          <w:rtl/>
        </w:rPr>
        <w:t>1199</w:t>
      </w:r>
      <w:r w:rsidRPr="004325D8">
        <w:rPr>
          <w:rStyle w:val="libBold2Char"/>
          <w:rtl/>
        </w:rPr>
        <w:t xml:space="preserve"> / 8.</w:t>
      </w:r>
      <w:r w:rsidRPr="00132E65">
        <w:rPr>
          <w:rtl/>
          <w:lang w:bidi="fa-IR"/>
        </w:rPr>
        <w:t xml:space="preserve"> سَهْلُ بْنُ زِيَادٍ ، عَنْ مُحَمَّدِ بْنِ الْوَلِيدِ ، قَالَ : سَمِعْتُ يُونُسَ بْنَ يَعْقُوبَ ، عَنْ سِنَانِ بْنِ طَرِيفٍ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يَقُولُ </w:t>
      </w:r>
      <w:r>
        <w:rPr>
          <w:rStyle w:val="libFootnotenumChar"/>
          <w:rtl/>
        </w:rPr>
        <w:t>(7)</w:t>
      </w:r>
      <w:r w:rsidRPr="00132E65">
        <w:rPr>
          <w:rtl/>
          <w:lang w:bidi="fa-IR"/>
        </w:rPr>
        <w:t xml:space="preserve"> : قَالَ : « إِنَّا أَوَّلُ أَهْلِ بَيْتٍ نَوَّهَ </w:t>
      </w:r>
      <w:r>
        <w:rPr>
          <w:rStyle w:val="libFootnotenumChar"/>
          <w:rtl/>
        </w:rPr>
        <w:t>(8)</w:t>
      </w:r>
      <w:r w:rsidRPr="00132E65">
        <w:rPr>
          <w:rtl/>
          <w:lang w:bidi="fa-IR"/>
        </w:rPr>
        <w:t xml:space="preserve"> اللهُ بِأَسْمَائِنَا ، إِنَّهُ لَمَّا خَلَقَ </w:t>
      </w:r>
      <w:r>
        <w:rPr>
          <w:rStyle w:val="libFootnotenumChar"/>
          <w:rtl/>
        </w:rPr>
        <w:t>(9)</w:t>
      </w:r>
      <w:r w:rsidRPr="00132E65">
        <w:rPr>
          <w:rtl/>
          <w:lang w:bidi="fa-IR"/>
        </w:rPr>
        <w:t xml:space="preserve"> السَّمَاوَاتِ والْأَرْضَ أَمَرَ مُنَادِياً ، فَنَادى </w:t>
      </w:r>
      <w:r>
        <w:rPr>
          <w:rStyle w:val="libFootnotenumChar"/>
          <w:rtl/>
        </w:rPr>
        <w:t>(10)</w:t>
      </w:r>
      <w:r w:rsidRPr="00132E65">
        <w:rPr>
          <w:rtl/>
          <w:lang w:bidi="fa-IR"/>
        </w:rPr>
        <w:t xml:space="preserve"> : أَشْهَدُ أَنْ لَا</w:t>
      </w:r>
      <w:r>
        <w:rPr>
          <w:rFonts w:hint="cs"/>
          <w:rtl/>
          <w:lang w:bidi="fa-IR"/>
        </w:rPr>
        <w:t xml:space="preserve"> </w:t>
      </w:r>
      <w:r w:rsidR="007F6F13">
        <w:rPr>
          <w:rtl/>
          <w:lang w:bidi="fa-IR"/>
        </w:rPr>
        <w:t>إِلهَ إِل</w:t>
      </w:r>
      <w:r w:rsidR="007F6F13">
        <w:rPr>
          <w:rFonts w:hint="cs"/>
          <w:rtl/>
          <w:lang w:bidi="fa-IR"/>
        </w:rPr>
        <w:t>َّ</w:t>
      </w:r>
      <w:r w:rsidR="007F6F13">
        <w:rPr>
          <w:rtl/>
          <w:lang w:bidi="fa-IR"/>
        </w:rPr>
        <w:t>ا</w:t>
      </w:r>
      <w:r w:rsidRPr="00132E65">
        <w:rPr>
          <w:rtl/>
          <w:lang w:bidi="fa-IR"/>
        </w:rPr>
        <w:t xml:space="preserve"> اللهُ</w:t>
      </w:r>
      <w:r>
        <w:rPr>
          <w:rtl/>
          <w:lang w:bidi="fa-IR"/>
        </w:rPr>
        <w:t xml:space="preserve"> - </w:t>
      </w:r>
      <w:r w:rsidRPr="00132E65">
        <w:rPr>
          <w:rtl/>
          <w:lang w:bidi="fa-IR"/>
        </w:rPr>
        <w:t>ثَلَاثاً</w:t>
      </w:r>
      <w:r>
        <w:rPr>
          <w:rtl/>
          <w:lang w:bidi="fa-IR"/>
        </w:rPr>
        <w:t xml:space="preserve"> - </w:t>
      </w:r>
      <w:r w:rsidRPr="00132E65">
        <w:rPr>
          <w:rtl/>
          <w:lang w:bidi="fa-IR"/>
        </w:rPr>
        <w:t xml:space="preserve">أَشْهَدُ </w:t>
      </w:r>
      <w:r>
        <w:rPr>
          <w:rStyle w:val="libFootnotenumChar"/>
          <w:rtl/>
        </w:rPr>
        <w:t>(11)</w:t>
      </w:r>
      <w:r w:rsidRPr="00132E65">
        <w:rPr>
          <w:rtl/>
          <w:lang w:bidi="fa-IR"/>
        </w:rPr>
        <w:t xml:space="preserve"> أَنَّ مُحَمَّداً رَسُولُ اللهِ</w:t>
      </w:r>
      <w:r>
        <w:rPr>
          <w:rtl/>
          <w:lang w:bidi="fa-IR"/>
        </w:rPr>
        <w:t xml:space="preserve"> - </w:t>
      </w:r>
      <w:r w:rsidRPr="00132E65">
        <w:rPr>
          <w:rtl/>
          <w:lang w:bidi="fa-IR"/>
        </w:rPr>
        <w:t>ثَلَاثاً</w:t>
      </w:r>
      <w:r>
        <w:rPr>
          <w:rtl/>
          <w:lang w:bidi="fa-IR"/>
        </w:rPr>
        <w:t xml:space="preserve"> - </w:t>
      </w:r>
      <w:r w:rsidRPr="00132E65">
        <w:rPr>
          <w:rtl/>
          <w:lang w:bidi="fa-IR"/>
        </w:rPr>
        <w:t xml:space="preserve">أَشْهَدُ </w:t>
      </w:r>
      <w:r>
        <w:rPr>
          <w:rStyle w:val="libFootnotenumChar"/>
          <w:rtl/>
        </w:rPr>
        <w:t>(12)</w:t>
      </w:r>
      <w:r w:rsidRPr="00132E65">
        <w:rPr>
          <w:rtl/>
          <w:lang w:bidi="fa-IR"/>
        </w:rPr>
        <w:t xml:space="preserve"> أَنَّ عَلِيّاً أَمِيرُ الْمُؤْمِنِينَ حَقّاً</w:t>
      </w:r>
      <w:r>
        <w:rPr>
          <w:rtl/>
          <w:lang w:bidi="fa-IR"/>
        </w:rPr>
        <w:t xml:space="preserve"> - </w:t>
      </w:r>
      <w:r w:rsidRPr="00132E65">
        <w:rPr>
          <w:rtl/>
          <w:lang w:bidi="fa-IR"/>
        </w:rPr>
        <w:t>ثَلَاثاً</w:t>
      </w:r>
      <w:r>
        <w:rPr>
          <w:rtl/>
          <w:lang w:bidi="fa-IR"/>
        </w:rPr>
        <w:t xml:space="preserve"> - </w:t>
      </w:r>
      <w:r w:rsidRPr="00132E65">
        <w:rPr>
          <w:rtl/>
          <w:lang w:bidi="fa-IR"/>
        </w:rPr>
        <w:t>»</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332C2E">
        <w:rPr>
          <w:rtl/>
        </w:rPr>
        <w:t>1200</w:t>
      </w:r>
      <w:r w:rsidRPr="004325D8">
        <w:rPr>
          <w:rStyle w:val="libBold2Char"/>
          <w:rtl/>
        </w:rPr>
        <w:t xml:space="preserve"> / 9.</w:t>
      </w:r>
      <w:r w:rsidRPr="00132E65">
        <w:rPr>
          <w:rtl/>
          <w:lang w:bidi="fa-IR"/>
        </w:rPr>
        <w:t xml:space="preserve"> أَحْمَدُ بْنُ إِدْرِيسَ ، عَنِ الْحُسَيْنِ بْنِ عُبَيْدِ اللهِ الصَّغِيرِ </w:t>
      </w:r>
      <w:r w:rsidRPr="00F543F1">
        <w:rPr>
          <w:rStyle w:val="libFootnotenumChar"/>
          <w:rtl/>
        </w:rPr>
        <w:t>(14)</w:t>
      </w:r>
      <w:r w:rsidRPr="00132E65">
        <w:rPr>
          <w:rtl/>
          <w:lang w:bidi="fa-IR"/>
        </w:rPr>
        <w:t xml:space="preserve"> ، عَنْ مُحَمَّدِ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تقدّم معنى التقديس والتهليل والتمجيد ذيل الحديث 3 من هذا الباب.</w:t>
      </w:r>
    </w:p>
    <w:tbl>
      <w:tblPr>
        <w:tblStyle w:val="TableGrid"/>
        <w:bidiVisual/>
        <w:tblW w:w="0" w:type="auto"/>
        <w:tblLook w:val="04A0" w:firstRow="1" w:lastRow="0" w:firstColumn="1" w:lastColumn="0" w:noHBand="0" w:noVBand="1"/>
      </w:tblPr>
      <w:tblGrid>
        <w:gridCol w:w="4006"/>
        <w:gridCol w:w="4006"/>
      </w:tblGrid>
      <w:tr w:rsidR="007F6F13" w:rsidTr="007F6F13">
        <w:tc>
          <w:tcPr>
            <w:tcW w:w="4006" w:type="dxa"/>
          </w:tcPr>
          <w:p w:rsidR="007F6F13" w:rsidRDefault="007F6F13" w:rsidP="000C39D1">
            <w:pPr>
              <w:pStyle w:val="libFootnote0"/>
              <w:rPr>
                <w:rtl/>
              </w:rPr>
            </w:pPr>
            <w:r>
              <w:rPr>
                <w:rtl/>
              </w:rPr>
              <w:t>(2).</w:t>
            </w:r>
            <w:r w:rsidRPr="00132E65">
              <w:rPr>
                <w:rtl/>
              </w:rPr>
              <w:t xml:space="preserve"> في البحار ، ج 57 : « ولا »</w:t>
            </w:r>
            <w:r>
              <w:rPr>
                <w:rtl/>
              </w:rPr>
              <w:t>.</w:t>
            </w:r>
          </w:p>
        </w:tc>
        <w:tc>
          <w:tcPr>
            <w:tcW w:w="4006" w:type="dxa"/>
          </w:tcPr>
          <w:p w:rsidR="007F6F13" w:rsidRDefault="007F6F13" w:rsidP="000C39D1">
            <w:pPr>
              <w:pStyle w:val="libFootnote0"/>
              <w:rPr>
                <w:rtl/>
              </w:rPr>
            </w:pPr>
            <w:r>
              <w:rPr>
                <w:rtl/>
              </w:rPr>
              <w:t>(3).</w:t>
            </w:r>
            <w:r w:rsidRPr="00132E65">
              <w:rPr>
                <w:rtl/>
              </w:rPr>
              <w:t xml:space="preserve"> صفة لذي روح باعتبار المحلّ.</w:t>
            </w:r>
          </w:p>
        </w:tc>
      </w:tr>
    </w:tbl>
    <w:p w:rsidR="000C39D1" w:rsidRPr="00132E65" w:rsidRDefault="000C39D1" w:rsidP="000C39D1">
      <w:pPr>
        <w:pStyle w:val="libFootnote0"/>
        <w:rPr>
          <w:rtl/>
          <w:lang w:bidi="fa-IR"/>
        </w:rPr>
      </w:pPr>
      <w:r>
        <w:rPr>
          <w:rtl/>
        </w:rPr>
        <w:t>(4).</w:t>
      </w:r>
      <w:r w:rsidRPr="00132E65">
        <w:rPr>
          <w:rtl/>
        </w:rPr>
        <w:t xml:space="preserve"> في حاشية « ض » : « ألقى »</w:t>
      </w:r>
      <w:r>
        <w:rPr>
          <w:rtl/>
        </w:rPr>
        <w:t>.</w:t>
      </w:r>
      <w:r w:rsidRPr="00132E65">
        <w:rPr>
          <w:rtl/>
        </w:rPr>
        <w:t xml:space="preserve"> وفي </w:t>
      </w:r>
      <w:r w:rsidRPr="009D1ACE">
        <w:rPr>
          <w:rStyle w:val="libFootnoteBoldChar"/>
          <w:rtl/>
        </w:rPr>
        <w:t>مرآة العقول</w:t>
      </w:r>
      <w:r w:rsidRPr="00132E65">
        <w:rPr>
          <w:rtl/>
        </w:rPr>
        <w:t xml:space="preserve"> : « انتهى »</w:t>
      </w:r>
      <w:r>
        <w:rPr>
          <w:rtl/>
        </w:rPr>
        <w:t>.</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683 ، ح 1285 ؛ </w:t>
      </w:r>
      <w:r w:rsidRPr="00332C2E">
        <w:rPr>
          <w:rtl/>
        </w:rPr>
        <w:t>البحار</w:t>
      </w:r>
      <w:r w:rsidRPr="00132E65">
        <w:rPr>
          <w:rtl/>
        </w:rPr>
        <w:t xml:space="preserve"> ، ج 15 ، ص 24 ، ح 45 ؛ وج 57 ، ص 196 ، ح 142.</w:t>
      </w:r>
    </w:p>
    <w:p w:rsidR="000C39D1" w:rsidRPr="00132E65" w:rsidRDefault="000C39D1" w:rsidP="000C39D1">
      <w:pPr>
        <w:pStyle w:val="libFootnote0"/>
        <w:rPr>
          <w:rtl/>
          <w:lang w:bidi="fa-IR"/>
        </w:rPr>
      </w:pPr>
      <w:r>
        <w:rPr>
          <w:rtl/>
        </w:rPr>
        <w:t>(6).</w:t>
      </w:r>
      <w:r w:rsidRPr="00132E65">
        <w:rPr>
          <w:rtl/>
        </w:rPr>
        <w:t xml:space="preserve"> في « ب ، ج ، ف ، بح ، بف » : « ظريف »</w:t>
      </w:r>
      <w:r>
        <w:rPr>
          <w:rtl/>
        </w:rPr>
        <w:t>.</w:t>
      </w:r>
      <w:r w:rsidRPr="00132E65">
        <w:rPr>
          <w:rtl/>
        </w:rPr>
        <w:t xml:space="preserve"> وهو سهو. راجع : </w:t>
      </w:r>
      <w:r w:rsidRPr="00332C2E">
        <w:rPr>
          <w:rtl/>
        </w:rPr>
        <w:t>رجال النجاشي</w:t>
      </w:r>
      <w:r w:rsidRPr="00132E65">
        <w:rPr>
          <w:rtl/>
        </w:rPr>
        <w:t xml:space="preserve"> ، ص 214 ، الرقم 558 ؛ </w:t>
      </w:r>
      <w:r w:rsidRPr="00332C2E">
        <w:rPr>
          <w:rtl/>
        </w:rPr>
        <w:t>رجال البرقي</w:t>
      </w:r>
      <w:r w:rsidRPr="00132E65">
        <w:rPr>
          <w:rtl/>
        </w:rPr>
        <w:t xml:space="preserve"> ، ص 40 ؛ </w:t>
      </w:r>
      <w:r w:rsidRPr="00332C2E">
        <w:rPr>
          <w:rtl/>
        </w:rPr>
        <w:t>رجال الطوسي</w:t>
      </w:r>
      <w:r w:rsidRPr="00132E65">
        <w:rPr>
          <w:rtl/>
        </w:rPr>
        <w:t xml:space="preserve"> ، ص 221 ، الرقم 2944.</w:t>
      </w:r>
    </w:p>
    <w:p w:rsidR="000C39D1" w:rsidRPr="00132E65" w:rsidRDefault="000C39D1" w:rsidP="000C39D1">
      <w:pPr>
        <w:pStyle w:val="libFootnote0"/>
        <w:rPr>
          <w:rtl/>
          <w:lang w:bidi="fa-IR"/>
        </w:rPr>
      </w:pPr>
      <w:r>
        <w:rPr>
          <w:rtl/>
        </w:rPr>
        <w:t>(7).</w:t>
      </w:r>
      <w:r w:rsidRPr="00132E65">
        <w:rPr>
          <w:rtl/>
        </w:rPr>
        <w:t xml:space="preserve"> في « بف » و</w:t>
      </w:r>
      <w:r w:rsidRPr="009D1ACE">
        <w:rPr>
          <w:rStyle w:val="libFootnoteBoldChar"/>
          <w:rtl/>
        </w:rPr>
        <w:t>الوافي</w:t>
      </w:r>
      <w:r w:rsidRPr="00132E65">
        <w:rPr>
          <w:rtl/>
        </w:rPr>
        <w:t xml:space="preserve"> والبحار </w:t>
      </w:r>
      <w:r>
        <w:rPr>
          <w:rtl/>
        </w:rPr>
        <w:t xml:space="preserve">: - </w:t>
      </w:r>
      <w:r w:rsidRPr="00132E65">
        <w:rPr>
          <w:rtl/>
        </w:rPr>
        <w:t>« يقول »</w:t>
      </w:r>
      <w:r>
        <w:rPr>
          <w:rtl/>
        </w:rPr>
        <w:t>.</w:t>
      </w:r>
    </w:p>
    <w:p w:rsidR="000C39D1" w:rsidRPr="00132E65" w:rsidRDefault="000C39D1" w:rsidP="000C39D1">
      <w:pPr>
        <w:pStyle w:val="libFootnote0"/>
        <w:rPr>
          <w:rtl/>
          <w:lang w:bidi="fa-IR"/>
        </w:rPr>
      </w:pPr>
      <w:r>
        <w:rPr>
          <w:rtl/>
        </w:rPr>
        <w:t>(8).</w:t>
      </w:r>
      <w:r w:rsidRPr="00132E65">
        <w:rPr>
          <w:rtl/>
        </w:rPr>
        <w:t xml:space="preserve"> يقال : نوّهتُه تنويهاً ، إذا رفعتَه. ونوّهتُ باسمه إذا رفعتَ ذكره. </w:t>
      </w:r>
      <w:r w:rsidRPr="00332C2E">
        <w:rPr>
          <w:rtl/>
        </w:rPr>
        <w:t>الصحاح</w:t>
      </w:r>
      <w:r w:rsidRPr="00132E65">
        <w:rPr>
          <w:rtl/>
        </w:rPr>
        <w:t xml:space="preserve"> ، ج 6 ، ص 2254 ( نوه )</w:t>
      </w:r>
      <w:r>
        <w:rPr>
          <w:rtl/>
        </w:rPr>
        <w:t>.</w:t>
      </w:r>
    </w:p>
    <w:tbl>
      <w:tblPr>
        <w:tblStyle w:val="TableGrid"/>
        <w:bidiVisual/>
        <w:tblW w:w="0" w:type="auto"/>
        <w:tblLook w:val="04A0" w:firstRow="1" w:lastRow="0" w:firstColumn="1" w:lastColumn="0" w:noHBand="0" w:noVBand="1"/>
      </w:tblPr>
      <w:tblGrid>
        <w:gridCol w:w="4006"/>
        <w:gridCol w:w="4006"/>
      </w:tblGrid>
      <w:tr w:rsidR="006C02B3" w:rsidTr="006C02B3">
        <w:tc>
          <w:tcPr>
            <w:tcW w:w="4006" w:type="dxa"/>
          </w:tcPr>
          <w:p w:rsidR="006C02B3" w:rsidRDefault="006C02B3" w:rsidP="000C39D1">
            <w:pPr>
              <w:pStyle w:val="libFootnote0"/>
              <w:rPr>
                <w:rtl/>
              </w:rPr>
            </w:pPr>
            <w:r>
              <w:rPr>
                <w:rtl/>
              </w:rPr>
              <w:t>(9).</w:t>
            </w:r>
            <w:r w:rsidRPr="00132E65">
              <w:rPr>
                <w:rtl/>
              </w:rPr>
              <w:t xml:space="preserve"> في </w:t>
            </w:r>
            <w:r w:rsidRPr="009D1ACE">
              <w:rPr>
                <w:rStyle w:val="libFootnoteBoldChar"/>
                <w:rtl/>
              </w:rPr>
              <w:t>مرآة العقول</w:t>
            </w:r>
            <w:r w:rsidRPr="00132E65">
              <w:rPr>
                <w:rtl/>
              </w:rPr>
              <w:t xml:space="preserve"> والأمالي :</w:t>
            </w:r>
            <w:r>
              <w:rPr>
                <w:rtl/>
              </w:rPr>
              <w:t xml:space="preserve"> + </w:t>
            </w:r>
            <w:r w:rsidRPr="00132E65">
              <w:rPr>
                <w:rtl/>
              </w:rPr>
              <w:t>« الله »</w:t>
            </w:r>
            <w:r>
              <w:rPr>
                <w:rtl/>
              </w:rPr>
              <w:t>.</w:t>
            </w:r>
          </w:p>
        </w:tc>
        <w:tc>
          <w:tcPr>
            <w:tcW w:w="4006" w:type="dxa"/>
          </w:tcPr>
          <w:p w:rsidR="006C02B3" w:rsidRDefault="006C02B3" w:rsidP="000C39D1">
            <w:pPr>
              <w:pStyle w:val="libFootnote0"/>
              <w:rPr>
                <w:rtl/>
              </w:rPr>
            </w:pPr>
            <w:r>
              <w:rPr>
                <w:rtl/>
              </w:rPr>
              <w:t>(10). في«بس»:«ينادي</w:t>
            </w:r>
            <w:r w:rsidRPr="00132E65">
              <w:rPr>
                <w:rtl/>
              </w:rPr>
              <w:t>»</w:t>
            </w:r>
            <w:r>
              <w:rPr>
                <w:rtl/>
              </w:rPr>
              <w:t>.وفي</w:t>
            </w:r>
            <w:r>
              <w:rPr>
                <w:rFonts w:hint="cs"/>
                <w:rtl/>
              </w:rPr>
              <w:t xml:space="preserve"> </w:t>
            </w:r>
            <w:r>
              <w:rPr>
                <w:rtl/>
              </w:rPr>
              <w:t>حاشية«ج» :«فينادي</w:t>
            </w:r>
            <w:r w:rsidRPr="00132E65">
              <w:rPr>
                <w:rtl/>
              </w:rPr>
              <w:t>»</w:t>
            </w:r>
            <w:r>
              <w:rPr>
                <w:rtl/>
              </w:rPr>
              <w:t>.</w:t>
            </w:r>
          </w:p>
        </w:tc>
      </w:tr>
      <w:tr w:rsidR="006C02B3" w:rsidTr="006C02B3">
        <w:tc>
          <w:tcPr>
            <w:tcW w:w="4006" w:type="dxa"/>
          </w:tcPr>
          <w:p w:rsidR="006C02B3" w:rsidRDefault="006C02B3" w:rsidP="000C39D1">
            <w:pPr>
              <w:pStyle w:val="libFootnote0"/>
              <w:rPr>
                <w:rtl/>
              </w:rPr>
            </w:pPr>
            <w:r>
              <w:rPr>
                <w:rtl/>
              </w:rPr>
              <w:t>(11).</w:t>
            </w:r>
            <w:r w:rsidRPr="00132E65">
              <w:rPr>
                <w:rtl/>
              </w:rPr>
              <w:t xml:space="preserve"> في « ج » :</w:t>
            </w:r>
            <w:r>
              <w:rPr>
                <w:rtl/>
              </w:rPr>
              <w:t xml:space="preserve"> + </w:t>
            </w:r>
            <w:r w:rsidRPr="00132E65">
              <w:rPr>
                <w:rtl/>
              </w:rPr>
              <w:t>« وأشهد »</w:t>
            </w:r>
            <w:r>
              <w:rPr>
                <w:rtl/>
              </w:rPr>
              <w:t>.</w:t>
            </w:r>
          </w:p>
        </w:tc>
        <w:tc>
          <w:tcPr>
            <w:tcW w:w="4006" w:type="dxa"/>
          </w:tcPr>
          <w:p w:rsidR="006C02B3" w:rsidRDefault="006C02B3" w:rsidP="000C39D1">
            <w:pPr>
              <w:pStyle w:val="libFootnote0"/>
              <w:rPr>
                <w:rtl/>
              </w:rPr>
            </w:pPr>
            <w:r>
              <w:rPr>
                <w:rtl/>
              </w:rPr>
              <w:t>(12).</w:t>
            </w:r>
            <w:r w:rsidRPr="00132E65">
              <w:rPr>
                <w:rtl/>
              </w:rPr>
              <w:t xml:space="preserve"> في « ج » : « وأشهد »</w:t>
            </w:r>
            <w:r>
              <w:rPr>
                <w:rtl/>
              </w:rPr>
              <w:t>.</w:t>
            </w:r>
          </w:p>
        </w:tc>
      </w:tr>
    </w:tbl>
    <w:p w:rsidR="000C39D1" w:rsidRPr="00132E65" w:rsidRDefault="000C39D1" w:rsidP="0015782C">
      <w:pPr>
        <w:pStyle w:val="libFootnote0"/>
        <w:rPr>
          <w:rtl/>
          <w:lang w:bidi="fa-IR"/>
        </w:rPr>
      </w:pPr>
      <w:r>
        <w:rPr>
          <w:rtl/>
        </w:rPr>
        <w:t>(13)</w:t>
      </w:r>
      <w:r w:rsidRPr="00132E65">
        <w:rPr>
          <w:rtl/>
        </w:rPr>
        <w:t xml:space="preserve"> </w:t>
      </w:r>
      <w:r w:rsidRPr="00332C2E">
        <w:rPr>
          <w:rtl/>
        </w:rPr>
        <w:t>الأمالي</w:t>
      </w:r>
      <w:r w:rsidRPr="00132E65">
        <w:rPr>
          <w:rtl/>
        </w:rPr>
        <w:t xml:space="preserve"> للصدوق ، ص 604 ، المجلس 88 ، ح 4 ، بسنده عن سهل بن زياد</w:t>
      </w:r>
      <w:r w:rsidR="0015782C">
        <w:rPr>
          <w:rFonts w:hint="cs"/>
          <w:rtl/>
        </w:rPr>
        <w:t>.</w:t>
      </w:r>
      <w:r w:rsidRPr="009D1ACE">
        <w:rPr>
          <w:rStyle w:val="libFootnoteBoldChar"/>
          <w:rtl/>
        </w:rPr>
        <w:t>الوافي</w:t>
      </w:r>
      <w:r w:rsidRPr="00132E65">
        <w:rPr>
          <w:rtl/>
        </w:rPr>
        <w:t xml:space="preserve"> ، ج 3 ، ص 683 ، ح 1286 ؛ </w:t>
      </w:r>
      <w:r w:rsidRPr="00332C2E">
        <w:rPr>
          <w:rtl/>
        </w:rPr>
        <w:t>البحار</w:t>
      </w:r>
      <w:r w:rsidRPr="00132E65">
        <w:rPr>
          <w:rtl/>
        </w:rPr>
        <w:t xml:space="preserve"> ، ج 16 ، ص 368 ، ح 78.</w:t>
      </w:r>
    </w:p>
    <w:p w:rsidR="000C39D1" w:rsidRPr="00132E65" w:rsidRDefault="000C39D1" w:rsidP="000C39D1">
      <w:pPr>
        <w:pStyle w:val="libFootnote0"/>
        <w:rPr>
          <w:rtl/>
          <w:lang w:bidi="fa-IR"/>
        </w:rPr>
      </w:pPr>
      <w:r>
        <w:rPr>
          <w:rtl/>
        </w:rPr>
        <w:t>(14)</w:t>
      </w:r>
      <w:r w:rsidRPr="00132E65">
        <w:rPr>
          <w:rtl/>
        </w:rPr>
        <w:t xml:space="preserve"> هكذا في حاشية « ش » وهامش المطبوع. وفي « ب ، ج ، ض ، ف ، بح ، بر ، بس ، بف ، جر » والمطبوع : « الحسين بن عبدالله الصغير »</w:t>
      </w:r>
      <w:r>
        <w:rPr>
          <w:rtl/>
        </w:rPr>
        <w:t>.</w:t>
      </w:r>
      <w:r w:rsidRPr="00132E65">
        <w:rPr>
          <w:rtl/>
        </w:rPr>
        <w:t xml:space="preserve"> وما أثبتناه هو الظاهر ؛ فإنّه يأتي في ، ح 21 من الباب ، رواية أحمد بن إدريس عن الحسين بن عبيد الله ، عن أبي عبد الله الحسين الصغير ، عن محمّد بن إبراهيم الجعفري.</w:t>
      </w:r>
    </w:p>
    <w:p w:rsidR="000C39D1" w:rsidRPr="004F73CF" w:rsidRDefault="000C39D1" w:rsidP="000C39D1">
      <w:pPr>
        <w:pStyle w:val="libFootnote0"/>
        <w:rPr>
          <w:rtl/>
        </w:rPr>
      </w:pPr>
      <w:r w:rsidRPr="004F73CF">
        <w:rPr>
          <w:rtl/>
        </w:rPr>
        <w:t xml:space="preserve">والظاهر اتّحاد السند مع سندنا هذا ووقوع التحريف في ما نحن فيه ، بأن كان الأصل </w:t>
      </w:r>
      <w:r>
        <w:rPr>
          <w:rtl/>
        </w:rPr>
        <w:t>-</w:t>
      </w:r>
      <w:r w:rsidRPr="004F73CF">
        <w:rPr>
          <w:rtl/>
        </w:rPr>
        <w:t xml:space="preserve"> مثلاً </w:t>
      </w:r>
      <w:r>
        <w:rPr>
          <w:rtl/>
        </w:rPr>
        <w:t>-</w:t>
      </w:r>
      <w:r w:rsidRPr="004F73CF">
        <w:rPr>
          <w:rtl/>
        </w:rPr>
        <w:t xml:space="preserve"> هكذا : الحسين بن </w:t>
      </w:r>
      <w:r w:rsidR="0015782C">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إِبْرَاهِيمَ الْجَعْفَرِيِّ ، عَنْ أَحْمَدَ بْنِ عَلِيٍّ ، عَنْ </w:t>
      </w:r>
      <w:r>
        <w:rPr>
          <w:rStyle w:val="libFootnotenumChar"/>
          <w:rtl/>
        </w:rPr>
        <w:t>(1)</w:t>
      </w:r>
      <w:r w:rsidRPr="00132E65">
        <w:rPr>
          <w:rtl/>
          <w:lang w:bidi="fa-IR"/>
        </w:rPr>
        <w:t xml:space="preserve"> مُحَمَّدِ بْنِ عَبْدِ اللهِ بْنِ عُمَرَ بْنِ عَلِيِّ بْنِ أَبِي طَالِبٍ </w:t>
      </w:r>
      <w:r w:rsidRPr="00071CF9">
        <w:rPr>
          <w:rStyle w:val="libAlaemChar"/>
          <w:rtl/>
        </w:rPr>
        <w:t>عليه‌السلام</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اللهَ كَانَ إِذْ لَاكَانَ </w:t>
      </w:r>
      <w:r>
        <w:rPr>
          <w:rStyle w:val="libFootnotenumChar"/>
          <w:rtl/>
        </w:rPr>
        <w:t>(2)</w:t>
      </w:r>
      <w:r w:rsidRPr="00132E65">
        <w:rPr>
          <w:rtl/>
          <w:lang w:bidi="fa-IR"/>
        </w:rPr>
        <w:t xml:space="preserve"> ، فَخَلَقَ الْكَانَ والْمَكَانَ </w:t>
      </w:r>
      <w:r>
        <w:rPr>
          <w:rStyle w:val="libFootnotenumChar"/>
          <w:rtl/>
        </w:rPr>
        <w:t>(3)</w:t>
      </w:r>
      <w:r w:rsidRPr="00132E65">
        <w:rPr>
          <w:rtl/>
          <w:lang w:bidi="fa-IR"/>
        </w:rPr>
        <w:t xml:space="preserve"> ، وَخَلَقَ نُورَ الْأَنْوَارِ الَّذِي نُوِّرَتْ مِنْهُ الْأَنْوَارُ ، وأَجْرى فِيهِ مِنْ نُورِهِ الَّذِي نُوِّرَتْ مِنْهُ الْأَنْوَارُ ، وهُوَ النُّورُ الَّذِي خَلَقَ مِنْهُ مُحَمَّداً وعَلِيّاً ، فَلَمْ يَزَالَا نُورَيْنِ أَوَّلَيْنِ ؛ إِذْ لَاشَيْ‌ءَ كُوِّنَ قَبْلَهُمَا ، فَلَمْ يَزَالَا يَجْرِيَانِ طَاهِرَيْنِ مُطَهَّرَيْنِ فِي الْأَصْلَابِ الطَّاهِرَةِ </w:t>
      </w:r>
      <w:r>
        <w:rPr>
          <w:rStyle w:val="libFootnotenumChar"/>
          <w:rtl/>
        </w:rPr>
        <w:t>(4)</w:t>
      </w:r>
      <w:r w:rsidRPr="00132E65">
        <w:rPr>
          <w:rtl/>
          <w:lang w:bidi="fa-IR"/>
        </w:rPr>
        <w:t xml:space="preserve"> حَتَّى افْتَرَقَا فِي أَطْهَرِ </w:t>
      </w:r>
      <w:r>
        <w:rPr>
          <w:rStyle w:val="libFootnotenumChar"/>
          <w:rtl/>
        </w:rPr>
        <w:t>(5)</w:t>
      </w:r>
      <w:r w:rsidRPr="00132E65">
        <w:rPr>
          <w:rtl/>
          <w:lang w:bidi="fa-IR"/>
        </w:rPr>
        <w:t xml:space="preserve"> طَاهِرَيْنِ : فِي عَبْدِ اللهِ وأَبِي طَالِبٍ </w:t>
      </w:r>
      <w:r w:rsidRPr="00071CF9">
        <w:rPr>
          <w:rStyle w:val="libAlaemChar"/>
          <w:rtl/>
        </w:rPr>
        <w:t>عليهما‌السلام</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A85CD7">
        <w:rPr>
          <w:rtl/>
        </w:rPr>
        <w:t>1201</w:t>
      </w:r>
      <w:r w:rsidRPr="004325D8">
        <w:rPr>
          <w:rStyle w:val="libBold2Char"/>
          <w:rtl/>
        </w:rPr>
        <w:t xml:space="preserve"> / 10.</w:t>
      </w:r>
      <w:r w:rsidRPr="00132E65">
        <w:rPr>
          <w:rtl/>
          <w:lang w:bidi="fa-IR"/>
        </w:rPr>
        <w:t xml:space="preserve"> الْحُسَيْنُ ، عَنْ مُحَمَّدِ بْنِ عَبْدِ اللهِ </w:t>
      </w:r>
      <w:r>
        <w:rPr>
          <w:rStyle w:val="libFootnotenumChar"/>
          <w:rtl/>
        </w:rPr>
        <w:t>(7)</w:t>
      </w:r>
      <w:r w:rsidRPr="00132E65">
        <w:rPr>
          <w:rtl/>
          <w:lang w:bidi="fa-IR"/>
        </w:rPr>
        <w:t xml:space="preserve"> ، عَنْ مُحَمَّدِ بْنِ سِنَانٍ ، عَنِ الْمُفَضَّلِ ، عَنْ‌</w:t>
      </w:r>
    </w:p>
    <w:p w:rsidR="000C39D1" w:rsidRPr="00132E65" w:rsidRDefault="000C39D1" w:rsidP="000C39D1">
      <w:pPr>
        <w:pStyle w:val="libLine"/>
        <w:rPr>
          <w:rtl/>
          <w:lang w:bidi="fa-IR"/>
        </w:rPr>
      </w:pPr>
      <w:r w:rsidRPr="00132E65">
        <w:rPr>
          <w:rtl/>
          <w:lang w:bidi="fa-IR"/>
        </w:rPr>
        <w:t>__________________</w:t>
      </w:r>
    </w:p>
    <w:p w:rsidR="000C39D1" w:rsidRPr="00645000" w:rsidRDefault="00D54FEC" w:rsidP="000C39D1">
      <w:pPr>
        <w:pStyle w:val="libFootnote0"/>
        <w:rPr>
          <w:rtl/>
        </w:rPr>
      </w:pPr>
      <w:r>
        <w:rPr>
          <w:rFonts w:hint="cs"/>
          <w:rtl/>
        </w:rPr>
        <w:t xml:space="preserve">= </w:t>
      </w:r>
      <w:r w:rsidR="000C39D1" w:rsidRPr="00645000">
        <w:rPr>
          <w:rtl/>
        </w:rPr>
        <w:t>عبيد الله عن الحسين أبي عبد الله الصغير ، أو عن أبي عبد الله الصغير ، فجاز نظر الناسخ من « عبيد الله » المصحَّف في أكثر النسخ بأبي عبد الله إلى « أبي عبد الله » قبل الصغير ، فوقع السقط في السند.</w:t>
      </w:r>
    </w:p>
    <w:p w:rsidR="000C39D1" w:rsidRPr="004F73CF" w:rsidRDefault="000C39D1" w:rsidP="00E55206">
      <w:pPr>
        <w:pStyle w:val="libFootnote0"/>
        <w:rPr>
          <w:rtl/>
        </w:rPr>
      </w:pPr>
      <w:r w:rsidRPr="004F73CF">
        <w:rPr>
          <w:rtl/>
        </w:rPr>
        <w:t>هذا ، والمراد من الحسين بن عبيدالله هو الحسين بن عبيدالله بن سهل ، كما تقدّم في ذيل الحديث الثالث من الباب ، فلاحظ.</w:t>
      </w:r>
    </w:p>
    <w:p w:rsidR="000C39D1" w:rsidRPr="00132E65" w:rsidRDefault="000C39D1" w:rsidP="000C39D1">
      <w:pPr>
        <w:pStyle w:val="libFootnote0"/>
        <w:rPr>
          <w:rtl/>
          <w:lang w:bidi="fa-IR"/>
        </w:rPr>
      </w:pPr>
      <w:r>
        <w:rPr>
          <w:rtl/>
        </w:rPr>
        <w:t>(1).</w:t>
      </w:r>
      <w:r w:rsidRPr="00132E65">
        <w:rPr>
          <w:rtl/>
        </w:rPr>
        <w:t xml:space="preserve"> هكذا في « بح ، بف ، جر »</w:t>
      </w:r>
      <w:r>
        <w:rPr>
          <w:rtl/>
        </w:rPr>
        <w:t>.</w:t>
      </w:r>
      <w:r w:rsidRPr="00132E65">
        <w:rPr>
          <w:rtl/>
        </w:rPr>
        <w:t xml:space="preserve"> وفي « ب ، ج ، ض ، ف ، بر ، بس » وحاشية « جر » والمطبوع : « أحمد بن عليّ بن‌محمّد بن عبد الله بن عمر بن عليّ بن أبي طالب »</w:t>
      </w:r>
      <w:r>
        <w:rPr>
          <w:rtl/>
        </w:rPr>
        <w:t>.</w:t>
      </w:r>
    </w:p>
    <w:p w:rsidR="000C39D1" w:rsidRPr="00132E65" w:rsidRDefault="000C39D1" w:rsidP="000C39D1">
      <w:pPr>
        <w:pStyle w:val="libFootnote0"/>
        <w:rPr>
          <w:rtl/>
          <w:lang w:bidi="fa-IR"/>
        </w:rPr>
      </w:pPr>
      <w:r w:rsidRPr="00E55206">
        <w:rPr>
          <w:rtl/>
        </w:rPr>
        <w:t xml:space="preserve">وما أثبتناه هو الظاهر ؛ فإنّ عليّ بن محمّد والد أحمد - / وهو علي المشطب - ، توفّي سنة 216 كما في هامش </w:t>
      </w:r>
      <w:r w:rsidRPr="00A85CD7">
        <w:rPr>
          <w:rtl/>
        </w:rPr>
        <w:t>عمدة الطالب</w:t>
      </w:r>
      <w:r w:rsidRPr="00E55206">
        <w:rPr>
          <w:rtl/>
        </w:rPr>
        <w:t xml:space="preserve"> ، ص 365 ، فيبعد جدّاً رواية ولَده أحمد عن أبي عبد الله </w:t>
      </w:r>
      <w:r w:rsidRPr="00D54FEC">
        <w:rPr>
          <w:rStyle w:val="libFootnoteAlaemChar"/>
          <w:rtl/>
        </w:rPr>
        <w:t>عليه‌السلام</w:t>
      </w:r>
      <w:r w:rsidRPr="00E55206">
        <w:rPr>
          <w:rtl/>
        </w:rPr>
        <w:t xml:space="preserve"> مباشرة. والراوي عن أبي عبد الله </w:t>
      </w:r>
      <w:r w:rsidRPr="00D54FEC">
        <w:rPr>
          <w:rStyle w:val="libFootnoteAlaemChar"/>
          <w:rtl/>
        </w:rPr>
        <w:t>عليه‌السلام</w:t>
      </w:r>
      <w:r w:rsidRPr="00E55206">
        <w:rPr>
          <w:rtl/>
        </w:rPr>
        <w:t xml:space="preserve"> هو جدّه محمّد بن عبد الله بن محمّد بن عمر بن عليّ بن أبي طالب. راجع : </w:t>
      </w:r>
      <w:r w:rsidRPr="00A85CD7">
        <w:rPr>
          <w:rtl/>
        </w:rPr>
        <w:t>رجال النجاشي</w:t>
      </w:r>
      <w:r w:rsidRPr="00E55206">
        <w:rPr>
          <w:rtl/>
        </w:rPr>
        <w:t xml:space="preserve"> ، ص 358 ، الرقم 962.</w:t>
      </w:r>
    </w:p>
    <w:p w:rsidR="00C17CD8" w:rsidRDefault="000C39D1" w:rsidP="00C17CD8">
      <w:pPr>
        <w:pStyle w:val="libFootnote0"/>
        <w:rPr>
          <w:rtl/>
        </w:rPr>
      </w:pPr>
      <w:r w:rsidRPr="00E55206">
        <w:rPr>
          <w:rtl/>
        </w:rPr>
        <w:t xml:space="preserve">ثمّ إنّه ظهر ممّا ذكر وقوع خلل في العنوان ، إمّا بوقوع السقط قبل « عمر » أو بالنسبة إلى الجدّ بعد « عبد الله » ، فإنّ عمر </w:t>
      </w:r>
      <w:r w:rsidR="00D54FEC" w:rsidRPr="00E55206">
        <w:rPr>
          <w:rtl/>
        </w:rPr>
        <w:t>بن عليّ بن أبي طالب لم يعقب إل</w:t>
      </w:r>
      <w:r w:rsidR="00D54FEC" w:rsidRPr="00E55206">
        <w:rPr>
          <w:rFonts w:hint="cs"/>
          <w:rtl/>
        </w:rPr>
        <w:t>ّ</w:t>
      </w:r>
      <w:r w:rsidR="00D54FEC" w:rsidRPr="00E55206">
        <w:rPr>
          <w:rtl/>
        </w:rPr>
        <w:t>ا</w:t>
      </w:r>
      <w:r w:rsidRPr="00E55206">
        <w:rPr>
          <w:rtl/>
        </w:rPr>
        <w:t xml:space="preserve">من رجل واحد وهو « محمّد بن عمر ». راجع : </w:t>
      </w:r>
      <w:r w:rsidRPr="00A85CD7">
        <w:rPr>
          <w:rtl/>
        </w:rPr>
        <w:t>تهذيب الأنساب</w:t>
      </w:r>
      <w:r w:rsidRPr="00E55206">
        <w:rPr>
          <w:rtl/>
        </w:rPr>
        <w:t xml:space="preserve"> ، ص 291 - 297.</w:t>
      </w:r>
    </w:p>
    <w:p w:rsidR="000C39D1" w:rsidRPr="00132E65" w:rsidRDefault="000C39D1" w:rsidP="00C17CD8">
      <w:pPr>
        <w:pStyle w:val="libFootnote0"/>
        <w:rPr>
          <w:rtl/>
          <w:lang w:bidi="fa-IR"/>
        </w:rPr>
      </w:pPr>
      <w:r>
        <w:rPr>
          <w:rtl/>
        </w:rPr>
        <w:t>(2).</w:t>
      </w:r>
      <w:r w:rsidRPr="00132E65">
        <w:rPr>
          <w:rtl/>
        </w:rPr>
        <w:t xml:space="preserve"> في « بر » وحاشية « ف ، بس » : « مكان »</w:t>
      </w:r>
      <w:r>
        <w:rPr>
          <w:rtl/>
        </w:rPr>
        <w:t>.</w:t>
      </w:r>
    </w:p>
    <w:tbl>
      <w:tblPr>
        <w:tblStyle w:val="TableGrid"/>
        <w:bidiVisual/>
        <w:tblW w:w="0" w:type="auto"/>
        <w:tblLook w:val="04A0" w:firstRow="1" w:lastRow="0" w:firstColumn="1" w:lastColumn="0" w:noHBand="0" w:noVBand="1"/>
      </w:tblPr>
      <w:tblGrid>
        <w:gridCol w:w="4006"/>
        <w:gridCol w:w="4006"/>
      </w:tblGrid>
      <w:tr w:rsidR="009E2F13" w:rsidTr="009E2F13">
        <w:tc>
          <w:tcPr>
            <w:tcW w:w="4006" w:type="dxa"/>
          </w:tcPr>
          <w:p w:rsidR="009E2F13" w:rsidRDefault="009E2F13" w:rsidP="000C39D1">
            <w:pPr>
              <w:pStyle w:val="libFootnote0"/>
              <w:rPr>
                <w:rtl/>
              </w:rPr>
            </w:pPr>
            <w:r>
              <w:rPr>
                <w:rtl/>
              </w:rPr>
              <w:t>(3).</w:t>
            </w:r>
            <w:r w:rsidRPr="00132E65">
              <w:rPr>
                <w:rtl/>
              </w:rPr>
              <w:t xml:space="preserve"> في « بر » و</w:t>
            </w:r>
            <w:r w:rsidRPr="009D1ACE">
              <w:rPr>
                <w:rStyle w:val="libFootnoteBoldChar"/>
                <w:rtl/>
              </w:rPr>
              <w:t>الوافي</w:t>
            </w:r>
            <w:r w:rsidRPr="00132E65">
              <w:rPr>
                <w:rtl/>
              </w:rPr>
              <w:t xml:space="preserve"> :</w:t>
            </w:r>
            <w:r>
              <w:rPr>
                <w:rtl/>
              </w:rPr>
              <w:t xml:space="preserve"> + </w:t>
            </w:r>
            <w:r w:rsidRPr="00132E65">
              <w:rPr>
                <w:rtl/>
              </w:rPr>
              <w:t>« وخلق الأنوار »</w:t>
            </w:r>
            <w:r>
              <w:rPr>
                <w:rtl/>
              </w:rPr>
              <w:t>.</w:t>
            </w:r>
          </w:p>
        </w:tc>
        <w:tc>
          <w:tcPr>
            <w:tcW w:w="4006" w:type="dxa"/>
          </w:tcPr>
          <w:p w:rsidR="009E2F13" w:rsidRDefault="009E2F13" w:rsidP="000C39D1">
            <w:pPr>
              <w:pStyle w:val="libFootnote0"/>
              <w:rPr>
                <w:rtl/>
              </w:rPr>
            </w:pPr>
            <w:r>
              <w:rPr>
                <w:rtl/>
              </w:rPr>
              <w:t>(4).</w:t>
            </w:r>
            <w:r w:rsidRPr="00132E65">
              <w:rPr>
                <w:rtl/>
              </w:rPr>
              <w:t xml:space="preserve"> في « ج » : « أصلاب الطاهرات »</w:t>
            </w:r>
            <w:r>
              <w:rPr>
                <w:rtl/>
              </w:rPr>
              <w:t>.</w:t>
            </w:r>
          </w:p>
        </w:tc>
      </w:tr>
    </w:tbl>
    <w:p w:rsidR="000C39D1" w:rsidRPr="00132E65" w:rsidRDefault="000C39D1" w:rsidP="000C39D1">
      <w:pPr>
        <w:pStyle w:val="libFootnote0"/>
        <w:rPr>
          <w:rtl/>
          <w:lang w:bidi="fa-IR"/>
        </w:rPr>
      </w:pPr>
      <w:r>
        <w:rPr>
          <w:rtl/>
        </w:rPr>
        <w:t>(5).</w:t>
      </w:r>
      <w:r w:rsidRPr="00132E65">
        <w:rPr>
          <w:rtl/>
        </w:rPr>
        <w:t xml:space="preserve"> في « بف » </w:t>
      </w:r>
      <w:r>
        <w:rPr>
          <w:rtl/>
        </w:rPr>
        <w:t xml:space="preserve">: - </w:t>
      </w:r>
      <w:r w:rsidRPr="00132E65">
        <w:rPr>
          <w:rtl/>
        </w:rPr>
        <w:t>« أطهر »</w:t>
      </w:r>
      <w:r>
        <w:rPr>
          <w:rtl/>
        </w:rPr>
        <w:t>.</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681 ، ح 1282 ؛ </w:t>
      </w:r>
      <w:r w:rsidRPr="00A85CD7">
        <w:rPr>
          <w:rtl/>
        </w:rPr>
        <w:t>البحار</w:t>
      </w:r>
      <w:r w:rsidRPr="00132E65">
        <w:rPr>
          <w:rtl/>
        </w:rPr>
        <w:t xml:space="preserve"> ، ج 15 ، ص 24 ، ح 46 ؛ وج 57 ، ص 196 ، ح 143.</w:t>
      </w:r>
    </w:p>
    <w:p w:rsidR="000C39D1" w:rsidRPr="00132E65" w:rsidRDefault="000C39D1" w:rsidP="000C39D1">
      <w:pPr>
        <w:pStyle w:val="libFootnote0"/>
        <w:rPr>
          <w:rtl/>
          <w:lang w:bidi="fa-IR"/>
        </w:rPr>
      </w:pPr>
      <w:r>
        <w:rPr>
          <w:rtl/>
        </w:rPr>
        <w:t>(7).</w:t>
      </w:r>
      <w:r w:rsidRPr="00132E65">
        <w:rPr>
          <w:rtl/>
        </w:rPr>
        <w:t xml:space="preserve"> في « بح ، بر ، بس ، بف » وحاشية « جر » : « الحسين بن محمّد بن عبد الله »</w:t>
      </w:r>
      <w:r>
        <w:rPr>
          <w:rtl/>
        </w:rPr>
        <w:t>.</w:t>
      </w:r>
      <w:r w:rsidRPr="00132E65">
        <w:rPr>
          <w:rtl/>
        </w:rPr>
        <w:t xml:space="preserve"> وفي البحار : « الحسين بن محمّد عن</w:t>
      </w:r>
      <w:r w:rsidR="008061AE">
        <w:rPr>
          <w:rFonts w:hint="cs"/>
          <w:rtl/>
        </w:rPr>
        <w:t xml:space="preserve"> =</w:t>
      </w:r>
      <w:r w:rsidRPr="00132E65">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جَابِرِ بْنِ يَزِيدَ ، قَالَ :</w:t>
      </w:r>
    </w:p>
    <w:p w:rsidR="000C39D1" w:rsidRPr="00132E65" w:rsidRDefault="000C39D1" w:rsidP="000C39D1">
      <w:pPr>
        <w:pStyle w:val="libNormal"/>
        <w:rPr>
          <w:rtl/>
          <w:lang w:bidi="fa-IR"/>
        </w:rPr>
      </w:pPr>
      <w:r w:rsidRPr="00132E65">
        <w:rPr>
          <w:rtl/>
          <w:lang w:bidi="fa-IR"/>
        </w:rPr>
        <w:t xml:space="preserve">قَالَ لِي </w:t>
      </w:r>
      <w:r>
        <w:rPr>
          <w:rStyle w:val="libFootnotenumChar"/>
          <w:rtl/>
        </w:rPr>
        <w:t>(1)</w:t>
      </w:r>
      <w:r w:rsidRPr="00132E65">
        <w:rPr>
          <w:rtl/>
          <w:lang w:bidi="fa-IR"/>
        </w:rPr>
        <w:t xml:space="preserve"> أَبُو جَعْفَرٍ </w:t>
      </w:r>
      <w:r w:rsidRPr="00071CF9">
        <w:rPr>
          <w:rStyle w:val="libAlaemChar"/>
          <w:rtl/>
        </w:rPr>
        <w:t>عليه‌السلام</w:t>
      </w:r>
      <w:r w:rsidRPr="00132E65">
        <w:rPr>
          <w:rtl/>
          <w:lang w:bidi="fa-IR"/>
        </w:rPr>
        <w:t xml:space="preserve"> : « يَا جَابِرُ ، إِنَّ اللهَ أَوَّلَ مَا خَلَقَ ، خَلَقَ مُحَمَّداً وعِتْرَتَهُ الْهُدَاةَ الْمُهْتَدِينَ </w:t>
      </w:r>
      <w:r>
        <w:rPr>
          <w:rStyle w:val="libFootnotenumChar"/>
          <w:rtl/>
        </w:rPr>
        <w:t>(2)</w:t>
      </w:r>
      <w:r w:rsidRPr="00132E65">
        <w:rPr>
          <w:rtl/>
          <w:lang w:bidi="fa-IR"/>
        </w:rPr>
        <w:t xml:space="preserve"> ، فَكَانُوا أَشْبَاحَ نُورٍ بَيْنَ يَدَيِ اللهِ »</w:t>
      </w:r>
      <w:r>
        <w:rPr>
          <w:rtl/>
          <w:lang w:bidi="fa-IR"/>
        </w:rPr>
        <w:t>.</w:t>
      </w:r>
    </w:p>
    <w:p w:rsidR="000C39D1" w:rsidRPr="00132E65" w:rsidRDefault="000C39D1" w:rsidP="000C39D1">
      <w:pPr>
        <w:pStyle w:val="libNormal"/>
        <w:rPr>
          <w:rtl/>
          <w:lang w:bidi="fa-IR"/>
        </w:rPr>
      </w:pPr>
      <w:r w:rsidRPr="00132E65">
        <w:rPr>
          <w:rtl/>
          <w:lang w:bidi="fa-IR"/>
        </w:rPr>
        <w:t>قُلْتُ : ومَا الْأَشْبَاحُ</w:t>
      </w:r>
      <w:r>
        <w:rPr>
          <w:rtl/>
          <w:lang w:bidi="fa-IR"/>
        </w:rPr>
        <w:t>؟</w:t>
      </w:r>
    </w:p>
    <w:p w:rsidR="000C39D1" w:rsidRPr="00132E65" w:rsidRDefault="000C39D1" w:rsidP="000C39D1">
      <w:pPr>
        <w:pStyle w:val="libNormal"/>
        <w:rPr>
          <w:rtl/>
          <w:lang w:bidi="fa-IR"/>
        </w:rPr>
      </w:pPr>
      <w:r w:rsidRPr="00132E65">
        <w:rPr>
          <w:rtl/>
          <w:lang w:bidi="fa-IR"/>
        </w:rPr>
        <w:t xml:space="preserve">قَالَ : « ظِلُّ النُّورِ ، أَبْدَانٌ نُورَانِيَّةٌ </w:t>
      </w:r>
      <w:r>
        <w:rPr>
          <w:rStyle w:val="libFootnotenumChar"/>
          <w:rtl/>
        </w:rPr>
        <w:t>(3)</w:t>
      </w:r>
      <w:r w:rsidRPr="00132E65">
        <w:rPr>
          <w:rtl/>
          <w:lang w:bidi="fa-IR"/>
        </w:rPr>
        <w:t xml:space="preserve"> بِلَا أَرْوَاحٍ ، وكَانَ </w:t>
      </w:r>
      <w:r>
        <w:rPr>
          <w:rStyle w:val="libFootnotenumChar"/>
          <w:rtl/>
        </w:rPr>
        <w:t>(4)</w:t>
      </w:r>
      <w:r w:rsidRPr="00132E65">
        <w:rPr>
          <w:rtl/>
          <w:lang w:bidi="fa-IR"/>
        </w:rPr>
        <w:t xml:space="preserve"> مُؤَيَّداً بِرُوحٍ </w:t>
      </w:r>
      <w:r>
        <w:rPr>
          <w:rStyle w:val="libFootnotenumChar"/>
          <w:rtl/>
        </w:rPr>
        <w:t>(5)</w:t>
      </w:r>
      <w:r w:rsidRPr="00132E65">
        <w:rPr>
          <w:rtl/>
          <w:lang w:bidi="fa-IR"/>
        </w:rPr>
        <w:t xml:space="preserve"> واحِدَةٍ </w:t>
      </w:r>
      <w:r>
        <w:rPr>
          <w:rStyle w:val="libFootnotenumChar"/>
          <w:rtl/>
        </w:rPr>
        <w:t>(6)</w:t>
      </w:r>
      <w:r w:rsidRPr="00132E65">
        <w:rPr>
          <w:rtl/>
          <w:lang w:bidi="fa-IR"/>
        </w:rPr>
        <w:t xml:space="preserve"> ، وهِيَ رُوحُ الْقُدُسِ ، فَبِهِ كَانَ يَعْبُدُ اللهَ وعِتْرَتُهُ ، و</w:t>
      </w:r>
      <w:r>
        <w:rPr>
          <w:rFonts w:hint="cs"/>
          <w:rtl/>
          <w:lang w:bidi="fa-IR"/>
        </w:rPr>
        <w:t xml:space="preserve"> </w:t>
      </w:r>
      <w:r>
        <w:rPr>
          <w:rStyle w:val="libFootnotenumChar"/>
          <w:rtl/>
        </w:rPr>
        <w:t>(7)</w:t>
      </w:r>
      <w:r w:rsidRPr="00132E65">
        <w:rPr>
          <w:rtl/>
          <w:lang w:bidi="fa-IR"/>
        </w:rPr>
        <w:t xml:space="preserve"> لِذلِكَ خَلَقَهُمْ حُلَمَاءَ ، عُلَمَاءَ </w:t>
      </w:r>
      <w:r>
        <w:rPr>
          <w:rStyle w:val="libFootnotenumChar"/>
          <w:rtl/>
        </w:rPr>
        <w:t>(8)</w:t>
      </w:r>
      <w:r w:rsidRPr="00132E65">
        <w:rPr>
          <w:rtl/>
          <w:lang w:bidi="fa-IR"/>
        </w:rPr>
        <w:t xml:space="preserve"> ، بَرَرَةً ، أَصْفِيَاءَ ، يَعْبُدُونَ اللهَ بِالصَّلَاةِ والصَّوْمِ والسُّجُودِ والتَّسْبِيحِ والتَّهْلِيلِ ، ويُصَلُّونَ الصَّلَوَاتِ </w:t>
      </w:r>
      <w:r>
        <w:rPr>
          <w:rStyle w:val="libFootnotenumChar"/>
          <w:rtl/>
        </w:rPr>
        <w:t>(9)</w:t>
      </w:r>
      <w:r w:rsidRPr="00132E65">
        <w:rPr>
          <w:rtl/>
          <w:lang w:bidi="fa-IR"/>
        </w:rPr>
        <w:t xml:space="preserve"> ، ويَحُجُّونَ ويَصُومُونَ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A85CD7">
        <w:rPr>
          <w:rtl/>
        </w:rPr>
        <w:t>1202</w:t>
      </w:r>
      <w:r w:rsidRPr="004325D8">
        <w:rPr>
          <w:rStyle w:val="libBold2Char"/>
          <w:rtl/>
        </w:rPr>
        <w:t xml:space="preserve"> / 11.</w:t>
      </w:r>
      <w:r w:rsidRPr="00132E65">
        <w:rPr>
          <w:rtl/>
          <w:lang w:bidi="fa-IR"/>
        </w:rPr>
        <w:t xml:space="preserve"> عَلِيُّ بْنُ مُحَمَّدٍ وغَيْرُهُ ، عَنْ سَهْلِ بْنِ زِيَادٍ ، عَنْ مُحَمَّدِ بْنِ الْوَلِيدِ شَبَابٍ الصَّيْرَفِيِّ ، عَنْ مَالِكِ بْنِ إِسْمَاعِيلَ النَّهْدِيِّ ، عَنْ عَبْدِ السَّلَامِ بْنِ حَارِثٍ </w:t>
      </w:r>
      <w:r>
        <w:rPr>
          <w:rStyle w:val="libFootnotenumChar"/>
          <w:rtl/>
        </w:rPr>
        <w:t>(11)</w:t>
      </w:r>
      <w:r w:rsidRPr="00132E65">
        <w:rPr>
          <w:rtl/>
          <w:lang w:bidi="fa-IR"/>
        </w:rPr>
        <w:t xml:space="preserve"> ، عَنْ سَالِمِ بْنِ‌</w:t>
      </w:r>
    </w:p>
    <w:p w:rsidR="000C39D1" w:rsidRPr="00132E65" w:rsidRDefault="000C39D1" w:rsidP="000C39D1">
      <w:pPr>
        <w:pStyle w:val="libLine"/>
        <w:rPr>
          <w:rtl/>
          <w:lang w:bidi="fa-IR"/>
        </w:rPr>
      </w:pPr>
      <w:r w:rsidRPr="00132E65">
        <w:rPr>
          <w:rtl/>
          <w:lang w:bidi="fa-IR"/>
        </w:rPr>
        <w:t>__________________</w:t>
      </w:r>
    </w:p>
    <w:p w:rsidR="000C39D1" w:rsidRDefault="000927D1" w:rsidP="000C39D1">
      <w:pPr>
        <w:pStyle w:val="libFootnote0"/>
        <w:rPr>
          <w:rtl/>
        </w:rPr>
      </w:pPr>
      <w:r>
        <w:rPr>
          <w:rFonts w:hint="cs"/>
          <w:rtl/>
        </w:rPr>
        <w:t xml:space="preserve">= </w:t>
      </w:r>
      <w:r w:rsidR="000C39D1" w:rsidRPr="00132E65">
        <w:rPr>
          <w:rtl/>
        </w:rPr>
        <w:t>عبد الله »</w:t>
      </w:r>
      <w:r w:rsidR="000C39D1">
        <w:rPr>
          <w:rtl/>
        </w:rPr>
        <w:t>.</w:t>
      </w:r>
      <w:r w:rsidR="000C39D1" w:rsidRPr="00132E65">
        <w:rPr>
          <w:rtl/>
        </w:rPr>
        <w:t xml:space="preserve"> لكنّ الظاهر أنّه سهو ، وأنّ الحسين هو الحسين بن عبيد الله المذكور في السند السابق ، فيكون السند معلّقاً على سابقه. يؤيّد ذلك ما تقدّم في </w:t>
      </w:r>
      <w:r w:rsidR="000C39D1" w:rsidRPr="000577A7">
        <w:rPr>
          <w:rStyle w:val="libFootnoteBoldChar"/>
          <w:rtl/>
        </w:rPr>
        <w:t>الكافي</w:t>
      </w:r>
      <w:r w:rsidR="000C39D1" w:rsidRPr="00132E65">
        <w:rPr>
          <w:rtl/>
        </w:rPr>
        <w:t xml:space="preserve"> ، ح 310 وح 1194.</w:t>
      </w:r>
    </w:p>
    <w:tbl>
      <w:tblPr>
        <w:tblStyle w:val="TableGrid"/>
        <w:bidiVisual/>
        <w:tblW w:w="0" w:type="auto"/>
        <w:tblLook w:val="04A0" w:firstRow="1" w:lastRow="0" w:firstColumn="1" w:lastColumn="0" w:noHBand="0" w:noVBand="1"/>
      </w:tblPr>
      <w:tblGrid>
        <w:gridCol w:w="4006"/>
        <w:gridCol w:w="4006"/>
      </w:tblGrid>
      <w:tr w:rsidR="009529B0" w:rsidTr="009529B0">
        <w:tc>
          <w:tcPr>
            <w:tcW w:w="4006" w:type="dxa"/>
          </w:tcPr>
          <w:p w:rsidR="009529B0" w:rsidRDefault="009529B0"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لي »</w:t>
            </w:r>
            <w:r>
              <w:rPr>
                <w:rtl/>
              </w:rPr>
              <w:t>.</w:t>
            </w:r>
          </w:p>
        </w:tc>
        <w:tc>
          <w:tcPr>
            <w:tcW w:w="4006" w:type="dxa"/>
          </w:tcPr>
          <w:p w:rsidR="009529B0" w:rsidRDefault="009529B0" w:rsidP="000C39D1">
            <w:pPr>
              <w:pStyle w:val="libFootnote0"/>
              <w:rPr>
                <w:rtl/>
              </w:rPr>
            </w:pPr>
            <w:r>
              <w:rPr>
                <w:rtl/>
              </w:rPr>
              <w:t>(2).</w:t>
            </w:r>
            <w:r w:rsidRPr="00132E65">
              <w:rPr>
                <w:rtl/>
              </w:rPr>
              <w:t xml:space="preserve"> في « ف ، بر ، بف » : « المهديّين »</w:t>
            </w:r>
            <w:r>
              <w:rPr>
                <w:rtl/>
              </w:rPr>
              <w:t>.</w:t>
            </w:r>
          </w:p>
        </w:tc>
      </w:tr>
      <w:tr w:rsidR="009529B0" w:rsidTr="009529B0">
        <w:tc>
          <w:tcPr>
            <w:tcW w:w="4006" w:type="dxa"/>
          </w:tcPr>
          <w:p w:rsidR="009529B0" w:rsidRDefault="009529B0" w:rsidP="000C39D1">
            <w:pPr>
              <w:pStyle w:val="libFootnote0"/>
              <w:rPr>
                <w:rtl/>
              </w:rPr>
            </w:pPr>
            <w:r>
              <w:rPr>
                <w:rtl/>
              </w:rPr>
              <w:t>(3).</w:t>
            </w:r>
            <w:r w:rsidRPr="00132E65">
              <w:rPr>
                <w:rtl/>
              </w:rPr>
              <w:t xml:space="preserve"> في البحار ، ج 61 : « نوريّة »</w:t>
            </w:r>
            <w:r>
              <w:rPr>
                <w:rtl/>
              </w:rPr>
              <w:t>.</w:t>
            </w:r>
          </w:p>
        </w:tc>
        <w:tc>
          <w:tcPr>
            <w:tcW w:w="4006" w:type="dxa"/>
          </w:tcPr>
          <w:p w:rsidR="009529B0" w:rsidRDefault="009529B0" w:rsidP="000C39D1">
            <w:pPr>
              <w:pStyle w:val="libFootnote0"/>
              <w:rPr>
                <w:rtl/>
              </w:rPr>
            </w:pPr>
            <w:r>
              <w:rPr>
                <w:rtl/>
              </w:rPr>
              <w:t>(4).</w:t>
            </w:r>
            <w:r w:rsidRPr="00132E65">
              <w:rPr>
                <w:rtl/>
              </w:rPr>
              <w:t xml:space="preserve"> في « ب » : « فكان »</w:t>
            </w:r>
            <w:r>
              <w:rPr>
                <w:rtl/>
              </w:rPr>
              <w:t>.</w:t>
            </w:r>
          </w:p>
        </w:tc>
      </w:tr>
    </w:tbl>
    <w:p w:rsidR="000C39D1" w:rsidRPr="00132E65" w:rsidRDefault="000C39D1" w:rsidP="000C39D1">
      <w:pPr>
        <w:pStyle w:val="libFootnote0"/>
        <w:rPr>
          <w:rtl/>
          <w:lang w:bidi="fa-IR"/>
        </w:rPr>
      </w:pPr>
      <w:r>
        <w:rPr>
          <w:rtl/>
        </w:rPr>
        <w:t>(5).</w:t>
      </w:r>
      <w:r w:rsidRPr="00132E65">
        <w:rPr>
          <w:rtl/>
        </w:rPr>
        <w:t xml:space="preserve"> في البحار ، ج 57 : « بنور »</w:t>
      </w:r>
      <w:r>
        <w:rPr>
          <w:rtl/>
        </w:rPr>
        <w:t>.</w:t>
      </w:r>
    </w:p>
    <w:p w:rsidR="000C39D1" w:rsidRPr="00132E65" w:rsidRDefault="000C39D1" w:rsidP="000C39D1">
      <w:pPr>
        <w:pStyle w:val="libFootnote0"/>
        <w:rPr>
          <w:rtl/>
          <w:lang w:bidi="fa-IR"/>
        </w:rPr>
      </w:pPr>
      <w:r>
        <w:rPr>
          <w:rtl/>
        </w:rPr>
        <w:t>(6).</w:t>
      </w:r>
      <w:r w:rsidRPr="00132E65">
        <w:rPr>
          <w:rtl/>
        </w:rPr>
        <w:t xml:space="preserve"> في « ب ، بح » والبحار ، ج 15 </w:t>
      </w:r>
      <w:r>
        <w:rPr>
          <w:rtl/>
        </w:rPr>
        <w:t>و 5</w:t>
      </w:r>
      <w:r w:rsidRPr="00132E65">
        <w:rPr>
          <w:rtl/>
        </w:rPr>
        <w:t xml:space="preserve">7 </w:t>
      </w:r>
      <w:r>
        <w:rPr>
          <w:rtl/>
        </w:rPr>
        <w:t>و 6</w:t>
      </w:r>
      <w:r w:rsidRPr="00132E65">
        <w:rPr>
          <w:rtl/>
        </w:rPr>
        <w:t>1 : « واحد »</w:t>
      </w:r>
      <w:r>
        <w:rPr>
          <w:rtl/>
        </w:rPr>
        <w:t>.</w:t>
      </w:r>
      <w:r w:rsidRPr="00132E65">
        <w:rPr>
          <w:rtl/>
        </w:rPr>
        <w:t xml:space="preserve"> والروح يذكّر ويؤنّث.</w:t>
      </w:r>
    </w:p>
    <w:tbl>
      <w:tblPr>
        <w:tblStyle w:val="TableGrid"/>
        <w:bidiVisual/>
        <w:tblW w:w="0" w:type="auto"/>
        <w:tblLook w:val="04A0" w:firstRow="1" w:lastRow="0" w:firstColumn="1" w:lastColumn="0" w:noHBand="0" w:noVBand="1"/>
      </w:tblPr>
      <w:tblGrid>
        <w:gridCol w:w="4006"/>
        <w:gridCol w:w="4006"/>
      </w:tblGrid>
      <w:tr w:rsidR="00E17BB5" w:rsidTr="00E17BB5">
        <w:tc>
          <w:tcPr>
            <w:tcW w:w="4006" w:type="dxa"/>
          </w:tcPr>
          <w:p w:rsidR="00E17BB5" w:rsidRDefault="006B3273" w:rsidP="000C39D1">
            <w:pPr>
              <w:pStyle w:val="libFootnote0"/>
              <w:rPr>
                <w:rtl/>
              </w:rPr>
            </w:pPr>
            <w:r>
              <w:rPr>
                <w:rtl/>
              </w:rPr>
              <w:t>(7).</w:t>
            </w:r>
            <w:r w:rsidRPr="00132E65">
              <w:rPr>
                <w:rtl/>
              </w:rPr>
              <w:t xml:space="preserve"> في البحار ، ج 61 </w:t>
            </w:r>
            <w:r>
              <w:rPr>
                <w:rtl/>
              </w:rPr>
              <w:t xml:space="preserve">: - </w:t>
            </w:r>
            <w:r w:rsidRPr="00132E65">
              <w:rPr>
                <w:rtl/>
              </w:rPr>
              <w:t>«</w:t>
            </w:r>
            <w:r>
              <w:rPr>
                <w:rtl/>
              </w:rPr>
              <w:t xml:space="preserve"> و ».</w:t>
            </w:r>
          </w:p>
        </w:tc>
        <w:tc>
          <w:tcPr>
            <w:tcW w:w="4006" w:type="dxa"/>
          </w:tcPr>
          <w:p w:rsidR="00E17BB5" w:rsidRDefault="006B3273" w:rsidP="000C39D1">
            <w:pPr>
              <w:pStyle w:val="libFootnote0"/>
              <w:rPr>
                <w:rtl/>
              </w:rPr>
            </w:pPr>
            <w:r>
              <w:rPr>
                <w:rtl/>
              </w:rPr>
              <w:t>(8).</w:t>
            </w:r>
            <w:r w:rsidRPr="00132E65">
              <w:rPr>
                <w:rtl/>
              </w:rPr>
              <w:t xml:space="preserve"> في « ب » : « وعلماء »</w:t>
            </w:r>
            <w:r>
              <w:rPr>
                <w:rtl/>
              </w:rPr>
              <w:t>.</w:t>
            </w:r>
          </w:p>
        </w:tc>
      </w:tr>
    </w:tbl>
    <w:p w:rsidR="000C39D1" w:rsidRPr="00132E65" w:rsidRDefault="000C39D1" w:rsidP="000C39D1">
      <w:pPr>
        <w:pStyle w:val="libFootnote0"/>
        <w:rPr>
          <w:rtl/>
          <w:lang w:bidi="fa-IR"/>
        </w:rPr>
      </w:pPr>
      <w:r>
        <w:rPr>
          <w:rtl/>
        </w:rPr>
        <w:t>(9).</w:t>
      </w:r>
      <w:r w:rsidRPr="00132E65">
        <w:rPr>
          <w:rtl/>
        </w:rPr>
        <w:t xml:space="preserve"> في « ج ، ف » وحاشية « ض ، بر » : « الصلاة »</w:t>
      </w:r>
      <w:r>
        <w:rPr>
          <w:rtl/>
        </w:rPr>
        <w:t>.</w:t>
      </w:r>
    </w:p>
    <w:p w:rsidR="000C39D1" w:rsidRPr="00132E65" w:rsidRDefault="000C39D1" w:rsidP="000C39D1">
      <w:pPr>
        <w:pStyle w:val="libFootnote0"/>
        <w:rPr>
          <w:rtl/>
          <w:lang w:bidi="fa-IR"/>
        </w:rPr>
      </w:pPr>
      <w:r>
        <w:rPr>
          <w:rtl/>
        </w:rPr>
        <w:t>(10).</w:t>
      </w:r>
      <w:r w:rsidRPr="00132E65">
        <w:rPr>
          <w:rtl/>
        </w:rPr>
        <w:t xml:space="preserve"> </w:t>
      </w:r>
      <w:r w:rsidRPr="009D1ACE">
        <w:rPr>
          <w:rStyle w:val="libFootnoteBoldChar"/>
          <w:rtl/>
        </w:rPr>
        <w:t>الوافي</w:t>
      </w:r>
      <w:r w:rsidRPr="00132E65">
        <w:rPr>
          <w:rtl/>
        </w:rPr>
        <w:t xml:space="preserve"> ، ج 3 ، ص 682 ، ح 1283 ؛ </w:t>
      </w:r>
      <w:r w:rsidRPr="00A85CD7">
        <w:rPr>
          <w:rtl/>
        </w:rPr>
        <w:t>البحار</w:t>
      </w:r>
      <w:r w:rsidRPr="00132E65">
        <w:rPr>
          <w:rtl/>
        </w:rPr>
        <w:t xml:space="preserve"> ، ج 15 ، ص 25 ، ح 47 ؛ وج 57 ، ص 197 ، ح 144 ؛ وج 61 ، ص 142 ، ح 20.</w:t>
      </w:r>
    </w:p>
    <w:p w:rsidR="000C39D1" w:rsidRPr="00132E65" w:rsidRDefault="000C39D1" w:rsidP="000C39D1">
      <w:pPr>
        <w:pStyle w:val="libFootnote0"/>
        <w:rPr>
          <w:rtl/>
          <w:lang w:bidi="fa-IR"/>
        </w:rPr>
      </w:pPr>
      <w:r>
        <w:rPr>
          <w:rtl/>
        </w:rPr>
        <w:t>(11).</w:t>
      </w:r>
      <w:r w:rsidRPr="00132E65">
        <w:rPr>
          <w:rtl/>
        </w:rPr>
        <w:t xml:space="preserve"> لم نجد عنوان « عبدالسلام بن حارث » في شي‌ءٍ من الأسناد والطرق. والظاهر وقوع التحريف في العنوان ، وأنّ الصواب فيه هو « عبدالسلام بن حرب » وهو النهدي المذكور في مصادر رجال العامّة والخاصّة. وقد عُدَّ من رواة عبدالسلام بن حرب هذا ، أبوغسّان مالك بن إسماعيل ، وهو مالك بن إسماعيل النهدي المذكور في السند. راجع : </w:t>
      </w:r>
      <w:r w:rsidRPr="00A85CD7">
        <w:rPr>
          <w:rtl/>
        </w:rPr>
        <w:t>رجال الطوسي</w:t>
      </w:r>
      <w:r w:rsidRPr="00132E65">
        <w:rPr>
          <w:rtl/>
        </w:rPr>
        <w:t xml:space="preserve"> ، ص 237 ، الرقم 3244 ؛ </w:t>
      </w:r>
      <w:r w:rsidRPr="00A85CD7">
        <w:rPr>
          <w:rtl/>
        </w:rPr>
        <w:t>تهذيب الكمال</w:t>
      </w:r>
      <w:r w:rsidRPr="00132E65">
        <w:rPr>
          <w:rtl/>
        </w:rPr>
        <w:t xml:space="preserve"> ، ج 18 ، ص 66 ، الرقم 3418 ؛ وج 27 ، </w:t>
      </w:r>
      <w:r w:rsidR="00AD0E1B">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حَفْصَةَ الْعِجْلِيِّ :</w:t>
      </w:r>
    </w:p>
    <w:p w:rsidR="000C39D1" w:rsidRPr="00132E65" w:rsidRDefault="000C39D1" w:rsidP="000524EA">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كَانَ فِي رَسُولِ اللهِ </w:t>
      </w:r>
      <w:r w:rsidRPr="0093484F">
        <w:rPr>
          <w:rStyle w:val="libAlaemChar"/>
          <w:rFonts w:eastAsiaTheme="minorHAnsi"/>
          <w:rtl/>
        </w:rPr>
        <w:t>صلى‌الله‌عليه‌وآله</w:t>
      </w:r>
      <w:r w:rsidRPr="00132E65">
        <w:rPr>
          <w:rtl/>
          <w:lang w:bidi="fa-IR"/>
        </w:rPr>
        <w:t xml:space="preserve"> ثَلَاثَةٌ لَمْ تَكُنْ </w:t>
      </w:r>
      <w:r>
        <w:rPr>
          <w:rStyle w:val="libFootnotenumChar"/>
          <w:rtl/>
        </w:rPr>
        <w:t>(1)</w:t>
      </w:r>
      <w:r w:rsidRPr="00132E65">
        <w:rPr>
          <w:rtl/>
          <w:lang w:bidi="fa-IR"/>
        </w:rPr>
        <w:t xml:space="preserve"> فِي أَحَدٍ غَيْرِهِ : لَمْ يَكُنْ لَهُ فَيْ‌ءٌ ، وكَانَ لَايَمُرُّ فِي طَرِيقٍ فَيُمَرُّ فِيهِ بَعْدَ يَوْمَيْنِ أَوْ ثَلَاثَةٍ </w:t>
      </w:r>
      <w:r>
        <w:rPr>
          <w:rStyle w:val="libFootnotenumChar"/>
          <w:rtl/>
        </w:rPr>
        <w:t>(2)</w:t>
      </w:r>
      <w:r w:rsidR="000524EA">
        <w:rPr>
          <w:rtl/>
          <w:lang w:bidi="fa-IR"/>
        </w:rPr>
        <w:t xml:space="preserve"> إِل</w:t>
      </w:r>
      <w:r w:rsidR="000524EA">
        <w:rPr>
          <w:rFonts w:hint="cs"/>
          <w:rtl/>
          <w:lang w:bidi="fa-IR"/>
        </w:rPr>
        <w:t>َّ</w:t>
      </w:r>
      <w:r w:rsidR="000524EA">
        <w:rPr>
          <w:rtl/>
          <w:lang w:bidi="fa-IR"/>
        </w:rPr>
        <w:t>ا</w:t>
      </w:r>
      <w:r w:rsidRPr="00132E65">
        <w:rPr>
          <w:rtl/>
          <w:lang w:bidi="fa-IR"/>
        </w:rPr>
        <w:t xml:space="preserve"> عُرِفَ أَنَّهُ قَدْ مَرَّ فِيهِ ؛ لِطِيبِ عَرْفِهِ </w:t>
      </w:r>
      <w:r>
        <w:rPr>
          <w:rStyle w:val="libFootnotenumChar"/>
          <w:rtl/>
        </w:rPr>
        <w:t>(3)</w:t>
      </w:r>
      <w:r w:rsidRPr="00132E65">
        <w:rPr>
          <w:rtl/>
          <w:lang w:bidi="fa-IR"/>
        </w:rPr>
        <w:t xml:space="preserve"> ، وكَانَ لَايَمُرُّ بِحَجَرٍ ولَابِشَجَرٍ </w:t>
      </w:r>
      <w:r>
        <w:rPr>
          <w:rStyle w:val="libFootnotenumChar"/>
          <w:rtl/>
        </w:rPr>
        <w:t>(4)</w:t>
      </w:r>
      <w:r w:rsidRPr="00132E65">
        <w:rPr>
          <w:rtl/>
          <w:lang w:bidi="fa-IR"/>
        </w:rPr>
        <w:t xml:space="preserve"> </w:t>
      </w:r>
      <w:r w:rsidR="000524EA">
        <w:rPr>
          <w:rtl/>
          <w:lang w:bidi="fa-IR"/>
        </w:rPr>
        <w:t>إِل</w:t>
      </w:r>
      <w:r w:rsidR="000524EA">
        <w:rPr>
          <w:rFonts w:hint="cs"/>
          <w:rtl/>
          <w:lang w:bidi="fa-IR"/>
        </w:rPr>
        <w:t>َّ</w:t>
      </w:r>
      <w:r w:rsidR="000524EA">
        <w:rPr>
          <w:rtl/>
          <w:lang w:bidi="fa-IR"/>
        </w:rPr>
        <w:t>ا</w:t>
      </w:r>
      <w:r w:rsidR="000524EA" w:rsidRPr="00132E65">
        <w:rPr>
          <w:rtl/>
          <w:lang w:bidi="fa-IR"/>
        </w:rPr>
        <w:t xml:space="preserve"> </w:t>
      </w:r>
      <w:r w:rsidRPr="00132E65">
        <w:rPr>
          <w:rtl/>
          <w:lang w:bidi="fa-IR"/>
        </w:rPr>
        <w:t>سَجَدَ لَهُ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A85CD7">
        <w:rPr>
          <w:rtl/>
        </w:rPr>
        <w:t>1203</w:t>
      </w:r>
      <w:r w:rsidRPr="004325D8">
        <w:rPr>
          <w:rStyle w:val="libBold2Char"/>
          <w:rtl/>
        </w:rPr>
        <w:t xml:space="preserve"> / 12.</w:t>
      </w:r>
      <w:r w:rsidRPr="00132E65">
        <w:rPr>
          <w:rtl/>
          <w:lang w:bidi="fa-IR"/>
        </w:rPr>
        <w:t xml:space="preserve"> عَلِيُّ بْنُ إِبْرَاهِيمَ ، عَنْ أَبِيهِ ، عَنْ أَحْمَدَ بْنِ مُحَمَّدِ بْنِ أَبِي نَصْرٍ ، عَنْ حَمَّادِ بْنِ عُثْمَانَ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عُرِجَ بِرَسُولِ اللهِ </w:t>
      </w:r>
      <w:r w:rsidRPr="0093484F">
        <w:rPr>
          <w:rStyle w:val="libAlaemChar"/>
          <w:rFonts w:eastAsiaTheme="minorHAnsi"/>
          <w:rtl/>
        </w:rPr>
        <w:t>صلى‌الله‌عليه‌وآله</w:t>
      </w:r>
      <w:r w:rsidRPr="00132E65">
        <w:rPr>
          <w:rtl/>
          <w:lang w:bidi="fa-IR"/>
        </w:rPr>
        <w:t xml:space="preserve"> ، انْتَهى بِهِ جَبْرَئِيلُ </w:t>
      </w:r>
      <w:r w:rsidRPr="00071CF9">
        <w:rPr>
          <w:rStyle w:val="libAlaemChar"/>
          <w:rtl/>
        </w:rPr>
        <w:t>عليه‌السلام</w:t>
      </w:r>
      <w:r w:rsidRPr="00132E65">
        <w:rPr>
          <w:rtl/>
          <w:lang w:bidi="fa-IR"/>
        </w:rPr>
        <w:t xml:space="preserve"> إِلى مَكَانٍ ، فَخَلّى عَنْهُ </w:t>
      </w:r>
      <w:r>
        <w:rPr>
          <w:rStyle w:val="libFootnotenumChar"/>
          <w:rtl/>
        </w:rPr>
        <w:t>(6)</w:t>
      </w:r>
      <w:r w:rsidRPr="00132E65">
        <w:rPr>
          <w:rtl/>
          <w:lang w:bidi="fa-IR"/>
        </w:rPr>
        <w:t xml:space="preserve"> ، فَقَالَ لَهُ : يَا جَبْرَئِيلُ ، أَتُخَلِّينِي </w:t>
      </w:r>
      <w:r>
        <w:rPr>
          <w:rStyle w:val="libFootnotenumChar"/>
          <w:rtl/>
        </w:rPr>
        <w:t>(7)</w:t>
      </w:r>
      <w:r w:rsidRPr="00132E65">
        <w:rPr>
          <w:rtl/>
          <w:lang w:bidi="fa-IR"/>
        </w:rPr>
        <w:t xml:space="preserve"> عَلى هذِهِ الْحَالِ </w:t>
      </w:r>
      <w:r>
        <w:rPr>
          <w:rStyle w:val="libFootnotenumChar"/>
          <w:rtl/>
        </w:rPr>
        <w:t>(8)</w:t>
      </w:r>
      <w:r>
        <w:rPr>
          <w:rtl/>
          <w:lang w:bidi="fa-IR"/>
        </w:rPr>
        <w:t>؟</w:t>
      </w:r>
      <w:r w:rsidRPr="00132E65">
        <w:rPr>
          <w:rtl/>
          <w:lang w:bidi="fa-IR"/>
        </w:rPr>
        <w:t xml:space="preserve"> فَقَالَ : امْضِهْ ؛ فَوَ اللهِ لَقَدْ وطِئْتَ مَكَاناً مَا وطِئَهُ بَشَرٌ ، ومَا </w:t>
      </w:r>
      <w:r>
        <w:rPr>
          <w:rStyle w:val="libFootnotenumChar"/>
          <w:rtl/>
        </w:rPr>
        <w:t>(9)</w:t>
      </w:r>
      <w:r w:rsidRPr="00132E65">
        <w:rPr>
          <w:rtl/>
          <w:lang w:bidi="fa-IR"/>
        </w:rPr>
        <w:t xml:space="preserve"> مَشى فِيهِ بَشَرٌ قَبْلَكَ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A85CD7">
        <w:rPr>
          <w:rtl/>
        </w:rPr>
        <w:t>1204</w:t>
      </w:r>
      <w:r w:rsidRPr="004325D8">
        <w:rPr>
          <w:rStyle w:val="libBold2Char"/>
          <w:rtl/>
        </w:rPr>
        <w:t xml:space="preserve"> / 13.</w:t>
      </w:r>
      <w:r w:rsidRPr="00132E65">
        <w:rPr>
          <w:rtl/>
          <w:lang w:bidi="fa-IR"/>
        </w:rPr>
        <w:t xml:space="preserve"> عِدَّةٌ مِنْ أَصْحَابِنَا ، عَنْ أَحْمَدَ بْنِ مُحَمَّدٍ ، عَنِ الْحُسَيْنِ بْنِ سَعِيدٍ ، عَنِ‌</w:t>
      </w:r>
    </w:p>
    <w:p w:rsidR="000C39D1" w:rsidRPr="00132E65" w:rsidRDefault="000C39D1" w:rsidP="000C39D1">
      <w:pPr>
        <w:pStyle w:val="libLine"/>
        <w:rPr>
          <w:rtl/>
          <w:lang w:bidi="fa-IR"/>
        </w:rPr>
      </w:pPr>
      <w:r w:rsidRPr="00132E65">
        <w:rPr>
          <w:rtl/>
          <w:lang w:bidi="fa-IR"/>
        </w:rPr>
        <w:t>__________________</w:t>
      </w:r>
    </w:p>
    <w:p w:rsidR="000C39D1" w:rsidRPr="00132E65" w:rsidRDefault="000524EA" w:rsidP="000C39D1">
      <w:pPr>
        <w:pStyle w:val="libFootnote0"/>
        <w:rPr>
          <w:rtl/>
          <w:lang w:bidi="fa-IR"/>
        </w:rPr>
      </w:pPr>
      <w:r>
        <w:rPr>
          <w:rFonts w:hint="cs"/>
          <w:rtl/>
        </w:rPr>
        <w:t xml:space="preserve">= </w:t>
      </w:r>
      <w:r w:rsidR="000C39D1" w:rsidRPr="00132E65">
        <w:rPr>
          <w:rtl/>
        </w:rPr>
        <w:t>ص 86 ، الرقم 5727.</w:t>
      </w:r>
    </w:p>
    <w:p w:rsidR="000C39D1" w:rsidRPr="00C17CD8" w:rsidRDefault="000C39D1" w:rsidP="00C17CD8">
      <w:pPr>
        <w:pStyle w:val="libFootnote0"/>
        <w:rPr>
          <w:rtl/>
        </w:rPr>
      </w:pPr>
      <w:r w:rsidRPr="00C17CD8">
        <w:rPr>
          <w:rtl/>
        </w:rPr>
        <w:t xml:space="preserve">يؤكّد ذلك ما ورد </w:t>
      </w:r>
      <w:r w:rsidRPr="00570D51">
        <w:rPr>
          <w:rtl/>
        </w:rPr>
        <w:t>في الغارات</w:t>
      </w:r>
      <w:r w:rsidRPr="00C17CD8">
        <w:rPr>
          <w:rtl/>
        </w:rPr>
        <w:t xml:space="preserve"> ، ج 1 ، ص 80 ، من رواية أبي غسّان النهدي مالك بن إسماعيل عن عبدالسلام بن حرب النهدي ، وما ورد في </w:t>
      </w:r>
      <w:r w:rsidRPr="00570D51">
        <w:rPr>
          <w:rtl/>
        </w:rPr>
        <w:t>شواهد التنزيل</w:t>
      </w:r>
      <w:r w:rsidRPr="00C17CD8">
        <w:rPr>
          <w:rtl/>
        </w:rPr>
        <w:t xml:space="preserve"> ، ج 1 ، ص 59 ، ح 62 ، من رواية أبي غسّان مالك بن إسماعيل النهدي عن عبدالسلام بن حرب.</w:t>
      </w:r>
    </w:p>
    <w:tbl>
      <w:tblPr>
        <w:tblStyle w:val="TableGrid"/>
        <w:bidiVisual/>
        <w:tblW w:w="0" w:type="auto"/>
        <w:tblLook w:val="04A0" w:firstRow="1" w:lastRow="0" w:firstColumn="1" w:lastColumn="0" w:noHBand="0" w:noVBand="1"/>
      </w:tblPr>
      <w:tblGrid>
        <w:gridCol w:w="4006"/>
        <w:gridCol w:w="4006"/>
      </w:tblGrid>
      <w:tr w:rsidR="00F94F22" w:rsidTr="00F94F22">
        <w:tc>
          <w:tcPr>
            <w:tcW w:w="4006" w:type="dxa"/>
          </w:tcPr>
          <w:p w:rsidR="00F94F22" w:rsidRDefault="00F94F22" w:rsidP="000C39D1">
            <w:pPr>
              <w:pStyle w:val="libFootnote0"/>
              <w:rPr>
                <w:rtl/>
              </w:rPr>
            </w:pPr>
            <w:r>
              <w:rPr>
                <w:rtl/>
              </w:rPr>
              <w:t>(1).</w:t>
            </w:r>
            <w:r w:rsidRPr="00132E65">
              <w:rPr>
                <w:rtl/>
              </w:rPr>
              <w:t xml:space="preserve"> في « ب » : « لم يكن »</w:t>
            </w:r>
            <w:r>
              <w:rPr>
                <w:rtl/>
              </w:rPr>
              <w:t>.</w:t>
            </w:r>
          </w:p>
        </w:tc>
        <w:tc>
          <w:tcPr>
            <w:tcW w:w="4006" w:type="dxa"/>
          </w:tcPr>
          <w:p w:rsidR="00F94F22" w:rsidRDefault="00F94F22"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 ثلاث »</w:t>
            </w:r>
            <w:r>
              <w:rPr>
                <w:rtl/>
              </w:rPr>
              <w:t>.</w:t>
            </w:r>
          </w:p>
        </w:tc>
      </w:tr>
    </w:tbl>
    <w:p w:rsidR="000C39D1" w:rsidRPr="00132E65" w:rsidRDefault="000C39D1" w:rsidP="000C39D1">
      <w:pPr>
        <w:pStyle w:val="libFootnote0"/>
        <w:rPr>
          <w:rtl/>
          <w:lang w:bidi="fa-IR"/>
        </w:rPr>
      </w:pPr>
      <w:r>
        <w:rPr>
          <w:rtl/>
        </w:rPr>
        <w:t>(3).</w:t>
      </w:r>
      <w:r w:rsidRPr="00132E65">
        <w:rPr>
          <w:rtl/>
        </w:rPr>
        <w:t xml:space="preserve"> « العَرْف » : الريح ، طيّبةً كانت أو منتنةً. </w:t>
      </w:r>
      <w:r w:rsidRPr="00A85CD7">
        <w:rPr>
          <w:rtl/>
        </w:rPr>
        <w:t>الصحاح</w:t>
      </w:r>
      <w:r w:rsidRPr="00132E65">
        <w:rPr>
          <w:rtl/>
        </w:rPr>
        <w:t xml:space="preserve"> ، ج 4 ، ص 1400 ( عرف )</w:t>
      </w:r>
      <w:r>
        <w:rPr>
          <w:rtl/>
        </w:rPr>
        <w:t>.</w:t>
      </w:r>
    </w:p>
    <w:p w:rsidR="000C39D1" w:rsidRPr="00132E65" w:rsidRDefault="000C39D1" w:rsidP="000C39D1">
      <w:pPr>
        <w:pStyle w:val="libFootnote0"/>
        <w:rPr>
          <w:rtl/>
          <w:lang w:bidi="fa-IR"/>
        </w:rPr>
      </w:pPr>
      <w:r>
        <w:rPr>
          <w:rtl/>
        </w:rPr>
        <w:t>(4).</w:t>
      </w:r>
      <w:r w:rsidRPr="00132E65">
        <w:rPr>
          <w:rtl/>
        </w:rPr>
        <w:t xml:space="preserve"> في « ب ، بح ، بف » وشرح المازندراني و</w:t>
      </w:r>
      <w:r w:rsidRPr="009D1ACE">
        <w:rPr>
          <w:rStyle w:val="libFootnoteBoldChar"/>
          <w:rtl/>
        </w:rPr>
        <w:t>الوافي</w:t>
      </w:r>
      <w:r w:rsidRPr="00132E65">
        <w:rPr>
          <w:rtl/>
        </w:rPr>
        <w:t xml:space="preserve"> والبحار : « ولا شجر » بدون الباء.</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705 ، ح 1316 ؛ </w:t>
      </w:r>
      <w:r w:rsidRPr="00A85CD7">
        <w:rPr>
          <w:rtl/>
        </w:rPr>
        <w:t>البحار</w:t>
      </w:r>
      <w:r w:rsidRPr="00132E65">
        <w:rPr>
          <w:rtl/>
        </w:rPr>
        <w:t xml:space="preserve"> ، ج 16 ، ص 368 ، ح 79 ؛ وج 17 ، ص 346 ، ح 17.</w:t>
      </w:r>
    </w:p>
    <w:p w:rsidR="000C39D1" w:rsidRPr="00132E65" w:rsidRDefault="000C39D1" w:rsidP="000C39D1">
      <w:pPr>
        <w:pStyle w:val="libFootnote0"/>
        <w:rPr>
          <w:rtl/>
          <w:lang w:bidi="fa-IR"/>
        </w:rPr>
      </w:pPr>
      <w:r>
        <w:rPr>
          <w:rtl/>
        </w:rPr>
        <w:t>(6).</w:t>
      </w:r>
      <w:r w:rsidRPr="00132E65">
        <w:rPr>
          <w:rtl/>
        </w:rPr>
        <w:t xml:space="preserve"> « فَخَلَّى عنه » ، أي تركه وأعرض عنه. ويقال أيضاً : خَلَّى الأمرَ وتخلّى منه وعنه وخالاه ، أي تركه. راجع : </w:t>
      </w:r>
      <w:r w:rsidRPr="00A85CD7">
        <w:rPr>
          <w:rtl/>
        </w:rPr>
        <w:t>لسان‌العرب</w:t>
      </w:r>
      <w:r w:rsidRPr="00132E65">
        <w:rPr>
          <w:rtl/>
        </w:rPr>
        <w:t xml:space="preserve"> ، ج 14 ، ص 239 ( خلا )</w:t>
      </w:r>
      <w:r>
        <w:rPr>
          <w:rtl/>
        </w:rPr>
        <w:t>.</w:t>
      </w:r>
    </w:p>
    <w:p w:rsidR="000C39D1" w:rsidRPr="00132E65" w:rsidRDefault="000C39D1" w:rsidP="000C39D1">
      <w:pPr>
        <w:pStyle w:val="libFootnote0"/>
        <w:rPr>
          <w:rtl/>
          <w:lang w:bidi="fa-IR"/>
        </w:rPr>
      </w:pPr>
      <w:r>
        <w:rPr>
          <w:rtl/>
        </w:rPr>
        <w:t>(7).</w:t>
      </w:r>
      <w:r w:rsidRPr="00132E65">
        <w:rPr>
          <w:rtl/>
        </w:rPr>
        <w:t xml:space="preserve"> هكذا في « ج ، ض ، ف ، بح ، بر ، بس ، بف » و</w:t>
      </w:r>
      <w:r w:rsidRPr="009D1ACE">
        <w:rPr>
          <w:rStyle w:val="libFootnoteBoldChar"/>
          <w:rtl/>
        </w:rPr>
        <w:t>الوافي</w:t>
      </w:r>
      <w:r w:rsidRPr="00132E65">
        <w:rPr>
          <w:rtl/>
        </w:rPr>
        <w:t xml:space="preserve"> والبحار ، ج 18. وفي سائر النسخ والمطبوع : « تخلّيني » بدون همزة الاستفهام.</w:t>
      </w:r>
    </w:p>
    <w:p w:rsidR="000C39D1" w:rsidRPr="00132E65" w:rsidRDefault="000C39D1" w:rsidP="00447DAD">
      <w:pPr>
        <w:pStyle w:val="libFootnote0"/>
        <w:rPr>
          <w:rtl/>
          <w:lang w:bidi="fa-IR"/>
        </w:rPr>
      </w:pPr>
      <w:r>
        <w:rPr>
          <w:rtl/>
        </w:rPr>
        <w:t>(8).</w:t>
      </w:r>
      <w:r w:rsidRPr="00132E65">
        <w:rPr>
          <w:rtl/>
        </w:rPr>
        <w:t xml:space="preserve"> هكذا في « ب ، ج ، ض ، ف ، بح ، بر ، بس ، بف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وفي المطبوع : « الحالة »</w:t>
      </w:r>
      <w:r>
        <w:rPr>
          <w:rtl/>
        </w:rPr>
        <w:t>.</w:t>
      </w:r>
      <w:r w:rsidR="00447DAD">
        <w:rPr>
          <w:rFonts w:hint="cs"/>
          <w:rtl/>
        </w:rPr>
        <w:t xml:space="preserve">                                   </w:t>
      </w:r>
      <w:r>
        <w:rPr>
          <w:rtl/>
        </w:rPr>
        <w:t>(9).</w:t>
      </w:r>
      <w:r w:rsidRPr="00132E65">
        <w:rPr>
          <w:rtl/>
        </w:rPr>
        <w:t xml:space="preserve"> في « ب » وحاشية « ج » : « ولا »</w:t>
      </w:r>
      <w:r>
        <w:rPr>
          <w:rtl/>
        </w:rPr>
        <w:t>.</w:t>
      </w:r>
    </w:p>
    <w:p w:rsidR="000C39D1" w:rsidRPr="00132E65" w:rsidRDefault="000C39D1" w:rsidP="000C39D1">
      <w:pPr>
        <w:pStyle w:val="libFootnote0"/>
        <w:rPr>
          <w:rtl/>
          <w:lang w:bidi="fa-IR"/>
        </w:rPr>
      </w:pPr>
      <w:r>
        <w:rPr>
          <w:rtl/>
        </w:rPr>
        <w:t>(10).</w:t>
      </w:r>
      <w:r w:rsidRPr="00132E65">
        <w:rPr>
          <w:rtl/>
        </w:rPr>
        <w:t xml:space="preserve"> </w:t>
      </w:r>
      <w:r w:rsidRPr="009D1ACE">
        <w:rPr>
          <w:rStyle w:val="libFootnoteBoldChar"/>
          <w:rtl/>
        </w:rPr>
        <w:t>الوافي</w:t>
      </w:r>
      <w:r w:rsidRPr="00132E65">
        <w:rPr>
          <w:rtl/>
        </w:rPr>
        <w:t xml:space="preserve"> ، ج 3 ، ص 714 ، ح 1330 ؛ </w:t>
      </w:r>
      <w:r w:rsidRPr="00A85CD7">
        <w:rPr>
          <w:rtl/>
        </w:rPr>
        <w:t>البحار</w:t>
      </w:r>
      <w:r w:rsidRPr="00132E65">
        <w:rPr>
          <w:rtl/>
        </w:rPr>
        <w:t xml:space="preserve"> ، ج 18 ، ص 306 ، ح 12.</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الْقَاسِمِ بْنِ مُحَمَّدٍ الْجَوْهَرِيِّ ، عَنْ عَلِيِّ بْنِ أَبِي حَمْزَةَ ، قَالَ :</w:t>
      </w:r>
    </w:p>
    <w:p w:rsidR="000C39D1" w:rsidRPr="00132E65" w:rsidRDefault="000C39D1" w:rsidP="000C39D1">
      <w:pPr>
        <w:pStyle w:val="libNormal"/>
        <w:rPr>
          <w:rtl/>
          <w:lang w:bidi="fa-IR"/>
        </w:rPr>
      </w:pPr>
      <w:r w:rsidRPr="00132E65">
        <w:rPr>
          <w:rtl/>
          <w:lang w:bidi="fa-IR"/>
        </w:rPr>
        <w:t xml:space="preserve">سَأَلَ أَبُو بَصِيرٍ أَبَا عَبْدِ اللهِ </w:t>
      </w:r>
      <w:r w:rsidRPr="00071CF9">
        <w:rPr>
          <w:rStyle w:val="libAlaemChar"/>
          <w:rtl/>
        </w:rPr>
        <w:t>عليه‌السلام</w:t>
      </w:r>
      <w:r w:rsidRPr="00132E65">
        <w:rPr>
          <w:rtl/>
          <w:lang w:bidi="fa-IR"/>
        </w:rPr>
        <w:t xml:space="preserve"> وأَنَا حَاضِرٌ ، فَقَالَ </w:t>
      </w:r>
      <w:r>
        <w:rPr>
          <w:rStyle w:val="libFootnotenumChar"/>
          <w:rtl/>
        </w:rPr>
        <w:t>(1)</w:t>
      </w:r>
      <w:r w:rsidRPr="00132E65">
        <w:rPr>
          <w:rtl/>
          <w:lang w:bidi="fa-IR"/>
        </w:rPr>
        <w:t xml:space="preserve"> : جُعِلْتُ فِدَاكَ ، كَمْ عُرِجَ بِرَسُولِ اللهِ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فَقَالَ </w:t>
      </w:r>
      <w:r>
        <w:rPr>
          <w:rStyle w:val="libFootnotenumChar"/>
          <w:rtl/>
        </w:rPr>
        <w:t>(2)</w:t>
      </w:r>
      <w:r w:rsidRPr="00132E65">
        <w:rPr>
          <w:rtl/>
          <w:lang w:bidi="fa-IR"/>
        </w:rPr>
        <w:t xml:space="preserve"> : « مَرَّتَيْنِ ، فَأَوْقَفَهُ جَبْرَئِيلُ مَوْقِفاً ، فَقَالَ لَهُ : مَكَانَكَ يَا مُحَمَّدُ ، فَلَقَدْ وَقَفْتَ مَوْقِفاً مَا وقَفَهُ مَلَكٌ قَطُّ ولَانَبِيٌّ ؛ إِنَّ رَبَّكَ يُصَلِّي </w:t>
      </w:r>
      <w:r>
        <w:rPr>
          <w:rStyle w:val="libFootnotenumChar"/>
          <w:rtl/>
        </w:rPr>
        <w:t>(3)</w:t>
      </w:r>
      <w:r w:rsidRPr="00132E65">
        <w:rPr>
          <w:rtl/>
          <w:lang w:bidi="fa-IR"/>
        </w:rPr>
        <w:t xml:space="preserve"> ، فَقَالَ : يَا جَبْرَئِيلُ ، وكَيْفَ يُصَلِّي</w:t>
      </w:r>
      <w:r>
        <w:rPr>
          <w:rtl/>
          <w:lang w:bidi="fa-IR"/>
        </w:rPr>
        <w:t>؟</w:t>
      </w:r>
      <w:r w:rsidRPr="00132E65">
        <w:rPr>
          <w:rtl/>
          <w:lang w:bidi="fa-IR"/>
        </w:rPr>
        <w:t xml:space="preserve"> قَالَ : يَقُولُ : سُبُّوحٌ ، قُدُّوسٌ </w:t>
      </w:r>
      <w:r>
        <w:rPr>
          <w:rStyle w:val="libFootnotenumChar"/>
          <w:rtl/>
        </w:rPr>
        <w:t>(4)</w:t>
      </w:r>
      <w:r w:rsidRPr="00132E65">
        <w:rPr>
          <w:rtl/>
          <w:lang w:bidi="fa-IR"/>
        </w:rPr>
        <w:t xml:space="preserve"> ، أَنَا </w:t>
      </w:r>
      <w:r>
        <w:rPr>
          <w:rStyle w:val="libFootnotenumChar"/>
          <w:rtl/>
        </w:rPr>
        <w:t>(5)</w:t>
      </w:r>
      <w:r w:rsidRPr="00132E65">
        <w:rPr>
          <w:rtl/>
          <w:lang w:bidi="fa-IR"/>
        </w:rPr>
        <w:t xml:space="preserve"> رَبُّ الْمَلَائِكَةِ والرُّوحِ ، سَبَقَتْ رَحْمَتِي غَضَبِي. فَقَالَ </w:t>
      </w:r>
      <w:r>
        <w:rPr>
          <w:rStyle w:val="libFootnotenumChar"/>
          <w:rtl/>
        </w:rPr>
        <w:t>(6)</w:t>
      </w:r>
      <w:r w:rsidRPr="00132E65">
        <w:rPr>
          <w:rtl/>
          <w:lang w:bidi="fa-IR"/>
        </w:rPr>
        <w:t xml:space="preserve"> : اللهُمَّ عَفْوَكَ </w:t>
      </w:r>
      <w:r>
        <w:rPr>
          <w:rStyle w:val="libFootnotenumChar"/>
          <w:rtl/>
        </w:rPr>
        <w:t>(7)</w:t>
      </w:r>
      <w:r w:rsidRPr="00132E65">
        <w:rPr>
          <w:rtl/>
          <w:lang w:bidi="fa-IR"/>
        </w:rPr>
        <w:t xml:space="preserve"> عَفْوَكَ »</w:t>
      </w:r>
      <w:r>
        <w:rPr>
          <w:rtl/>
          <w:lang w:bidi="fa-IR"/>
        </w:rPr>
        <w:t>.</w:t>
      </w:r>
      <w:r w:rsidRPr="00132E65">
        <w:rPr>
          <w:rtl/>
          <w:lang w:bidi="fa-IR"/>
        </w:rPr>
        <w:t xml:space="preserve"> قَالَ : « وَكَانَ كَمَا قَالَ اللهُ : </w:t>
      </w:r>
      <w:r w:rsidRPr="00071CF9">
        <w:rPr>
          <w:rStyle w:val="libAlaemChar"/>
          <w:rtl/>
        </w:rPr>
        <w:t>(</w:t>
      </w:r>
      <w:r w:rsidRPr="00071CF9">
        <w:rPr>
          <w:rStyle w:val="libAieChar"/>
          <w:rtl/>
        </w:rPr>
        <w:t xml:space="preserve"> قابَ قَوْسَيْنِ أَوْ أَدْنى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فَقَالَ لَهُ أَبُو بَصِيرٍ : جُعِلْتُ فِدَاكَ ، مَا</w:t>
      </w:r>
      <w:r>
        <w:rPr>
          <w:rFonts w:hint="cs"/>
          <w:rtl/>
          <w:lang w:bidi="fa-IR"/>
        </w:rPr>
        <w:t xml:space="preserve"> </w:t>
      </w:r>
      <w:r w:rsidRPr="00071CF9">
        <w:rPr>
          <w:rStyle w:val="libAlaemChar"/>
          <w:rtl/>
        </w:rPr>
        <w:t>(</w:t>
      </w:r>
      <w:r w:rsidRPr="00071CF9">
        <w:rPr>
          <w:rStyle w:val="libAieChar"/>
          <w:rtl/>
        </w:rPr>
        <w:t xml:space="preserve"> قابَ قَوْسَيْنِ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w:t>
      </w:r>
      <w:r w:rsidRPr="00071CF9">
        <w:rPr>
          <w:rStyle w:val="libAlaemChar"/>
          <w:rtl/>
        </w:rPr>
        <w:t>(</w:t>
      </w:r>
      <w:r w:rsidRPr="00071CF9">
        <w:rPr>
          <w:rStyle w:val="libAieChar"/>
          <w:rtl/>
        </w:rPr>
        <w:t xml:space="preserve"> أَوْ أَدْنى </w:t>
      </w:r>
      <w:r w:rsidRPr="00071CF9">
        <w:rPr>
          <w:rStyle w:val="libAlaemChar"/>
          <w:rtl/>
        </w:rPr>
        <w:t>)</w:t>
      </w:r>
      <w:r w:rsidRPr="00132E65">
        <w:rPr>
          <w:rtl/>
          <w:lang w:bidi="fa-IR"/>
        </w:rPr>
        <w:t xml:space="preserve"> </w:t>
      </w:r>
      <w:r>
        <w:rPr>
          <w:rStyle w:val="libFootnotenumChar"/>
          <w:rtl/>
        </w:rPr>
        <w:t>(10)</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(11)</w:t>
      </w:r>
      <w:r w:rsidRPr="00132E65">
        <w:rPr>
          <w:rtl/>
          <w:lang w:bidi="fa-IR"/>
        </w:rPr>
        <w:t xml:space="preserve"> : « مَا بَيْنَ سِيَتِهَا </w:t>
      </w:r>
      <w:r>
        <w:rPr>
          <w:rStyle w:val="libFootnotenumChar"/>
          <w:rtl/>
        </w:rPr>
        <w:t>(12)</w:t>
      </w:r>
      <w:r w:rsidRPr="00132E65">
        <w:rPr>
          <w:rtl/>
          <w:lang w:bidi="fa-IR"/>
        </w:rPr>
        <w:t xml:space="preserve"> إِلى رَأْسِهَا </w:t>
      </w:r>
      <w:r w:rsidRPr="00F543F1">
        <w:rPr>
          <w:rStyle w:val="libFootnotenumChar"/>
          <w:rtl/>
        </w:rPr>
        <w:t>(13)</w:t>
      </w:r>
      <w:r w:rsidRPr="00132E65">
        <w:rPr>
          <w:rtl/>
          <w:lang w:bidi="fa-IR"/>
        </w:rPr>
        <w:t xml:space="preserve"> »</w:t>
      </w:r>
      <w:r>
        <w:rPr>
          <w:rtl/>
          <w:lang w:bidi="fa-IR"/>
        </w:rPr>
        <w:t>.</w:t>
      </w:r>
      <w:r w:rsidRPr="00132E65">
        <w:rPr>
          <w:rtl/>
          <w:lang w:bidi="fa-IR"/>
        </w:rPr>
        <w:t xml:space="preserve"> فَقَالَ </w:t>
      </w:r>
      <w:r w:rsidRPr="00F543F1">
        <w:rPr>
          <w:rStyle w:val="libFootnotenumChar"/>
          <w:rtl/>
        </w:rPr>
        <w:t>(14)</w:t>
      </w:r>
      <w:r w:rsidRPr="00132E65">
        <w:rPr>
          <w:rtl/>
          <w:lang w:bidi="fa-IR"/>
        </w:rPr>
        <w:t xml:space="preserve"> : « كَانَ </w:t>
      </w:r>
      <w:r w:rsidRPr="00F543F1">
        <w:rPr>
          <w:rStyle w:val="libFootnotenumChar"/>
          <w:rtl/>
        </w:rPr>
        <w:t>(15)</w:t>
      </w:r>
      <w:r w:rsidRPr="00132E65">
        <w:rPr>
          <w:rtl/>
          <w:lang w:bidi="fa-IR"/>
        </w:rPr>
        <w:t xml:space="preserve"> بَيْنَهُمَا حِجَابٌ يَتَلَأْلَأُ‌</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47DAD" w:rsidTr="00447DAD">
        <w:tc>
          <w:tcPr>
            <w:tcW w:w="4006" w:type="dxa"/>
          </w:tcPr>
          <w:p w:rsidR="00447DAD" w:rsidRDefault="00447DAD" w:rsidP="000C39D1">
            <w:pPr>
              <w:pStyle w:val="libFootnote0"/>
              <w:rPr>
                <w:rtl/>
              </w:rPr>
            </w:pPr>
            <w:r>
              <w:rPr>
                <w:rtl/>
              </w:rPr>
              <w:t>(1).</w:t>
            </w:r>
            <w:r w:rsidRPr="00132E65">
              <w:rPr>
                <w:rtl/>
              </w:rPr>
              <w:t xml:space="preserve"> في « ف » :</w:t>
            </w:r>
            <w:r>
              <w:rPr>
                <w:rtl/>
              </w:rPr>
              <w:t xml:space="preserve"> + </w:t>
            </w:r>
            <w:r w:rsidRPr="00132E65">
              <w:rPr>
                <w:rtl/>
              </w:rPr>
              <w:t>« له »</w:t>
            </w:r>
            <w:r>
              <w:rPr>
                <w:rtl/>
              </w:rPr>
              <w:t>.</w:t>
            </w:r>
          </w:p>
        </w:tc>
        <w:tc>
          <w:tcPr>
            <w:tcW w:w="4006" w:type="dxa"/>
          </w:tcPr>
          <w:p w:rsidR="00447DAD" w:rsidRDefault="00447DAD" w:rsidP="000C39D1">
            <w:pPr>
              <w:pStyle w:val="libFootnote0"/>
              <w:rPr>
                <w:rtl/>
              </w:rPr>
            </w:pPr>
            <w:r>
              <w:rPr>
                <w:rtl/>
              </w:rPr>
              <w:t>(2).</w:t>
            </w:r>
            <w:r w:rsidRPr="00132E65">
              <w:rPr>
                <w:rtl/>
              </w:rPr>
              <w:t xml:space="preserve"> في « بف » و</w:t>
            </w:r>
            <w:r w:rsidRPr="009D1ACE">
              <w:rPr>
                <w:rStyle w:val="libFootnoteBoldChar"/>
                <w:rtl/>
              </w:rPr>
              <w:t>الوافي</w:t>
            </w:r>
            <w:r w:rsidRPr="00132E65">
              <w:rPr>
                <w:rtl/>
              </w:rPr>
              <w:t xml:space="preserve"> : « قال »</w:t>
            </w:r>
            <w:r>
              <w:rPr>
                <w:rtl/>
              </w:rPr>
              <w:t>.</w:t>
            </w:r>
          </w:p>
        </w:tc>
      </w:tr>
    </w:tbl>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عليك »</w:t>
      </w:r>
      <w:r>
        <w:rPr>
          <w:rtl/>
        </w:rPr>
        <w:t>.</w:t>
      </w:r>
    </w:p>
    <w:p w:rsidR="000C39D1" w:rsidRPr="00132E65" w:rsidRDefault="000C39D1" w:rsidP="000C39D1">
      <w:pPr>
        <w:pStyle w:val="libFootnote0"/>
        <w:rPr>
          <w:rtl/>
          <w:lang w:bidi="fa-IR"/>
        </w:rPr>
      </w:pPr>
      <w:r>
        <w:rPr>
          <w:rtl/>
        </w:rPr>
        <w:t>(4).</w:t>
      </w:r>
      <w:r w:rsidRPr="00132E65">
        <w:rPr>
          <w:rtl/>
        </w:rPr>
        <w:t xml:space="preserve"> « سبّوح قدّوس » ، يُرْوَيان بالضمّ والفتح. والفتح أقيس و</w:t>
      </w:r>
      <w:r w:rsidR="00447DAD">
        <w:rPr>
          <w:rtl/>
        </w:rPr>
        <w:t>ليس بالكثير ، ولم يجي‌ء منه إل</w:t>
      </w:r>
      <w:r w:rsidR="00447DAD">
        <w:rPr>
          <w:rFonts w:hint="cs"/>
          <w:rtl/>
        </w:rPr>
        <w:t>ّ</w:t>
      </w:r>
      <w:r w:rsidR="00447DAD">
        <w:rPr>
          <w:rtl/>
        </w:rPr>
        <w:t>ا</w:t>
      </w:r>
      <w:r w:rsidR="00447DAD">
        <w:rPr>
          <w:rFonts w:hint="cs"/>
          <w:rtl/>
        </w:rPr>
        <w:t xml:space="preserve"> </w:t>
      </w:r>
      <w:r w:rsidRPr="00132E65">
        <w:rPr>
          <w:rtl/>
        </w:rPr>
        <w:t xml:space="preserve">قَدّوس وسَبّوح‌وذَرّوح. والضمّ أكثر استعمالاً ، وهو من أبنية المبالغة. والمراد بهما الطهارة والتنزيه عن العيوب. وقال المجلسي : « وهما هنا خبران لمبتدأ محذوف ، أي أنا سبّوح. أو قوله : « أنا » مبتدأ ، </w:t>
      </w:r>
      <w:r>
        <w:rPr>
          <w:rtl/>
        </w:rPr>
        <w:t>و «</w:t>
      </w:r>
      <w:r w:rsidRPr="00132E65">
        <w:rPr>
          <w:rtl/>
        </w:rPr>
        <w:t xml:space="preserve"> ربّ » منصوب باختصاص »</w:t>
      </w:r>
      <w:r>
        <w:rPr>
          <w:rtl/>
        </w:rPr>
        <w:t>.</w:t>
      </w:r>
      <w:r w:rsidRPr="00132E65">
        <w:rPr>
          <w:rtl/>
        </w:rPr>
        <w:t xml:space="preserve"> راجع : </w:t>
      </w:r>
      <w:r w:rsidRPr="00A85CD7">
        <w:rPr>
          <w:rtl/>
        </w:rPr>
        <w:t>النهاية</w:t>
      </w:r>
      <w:r w:rsidRPr="00132E65">
        <w:rPr>
          <w:rtl/>
        </w:rPr>
        <w:t xml:space="preserve"> ، ج 2 ، ص 332 ( سبح ) ؛ وج 4 ، ص 23 ( قدس )</w:t>
      </w:r>
      <w:r>
        <w:rPr>
          <w:rtl/>
        </w:rPr>
        <w:t>.</w:t>
      </w:r>
    </w:p>
    <w:tbl>
      <w:tblPr>
        <w:tblStyle w:val="TableGrid"/>
        <w:bidiVisual/>
        <w:tblW w:w="0" w:type="auto"/>
        <w:tblLook w:val="04A0" w:firstRow="1" w:lastRow="0" w:firstColumn="1" w:lastColumn="0" w:noHBand="0" w:noVBand="1"/>
      </w:tblPr>
      <w:tblGrid>
        <w:gridCol w:w="4006"/>
        <w:gridCol w:w="4006"/>
      </w:tblGrid>
      <w:tr w:rsidR="00447DAD" w:rsidTr="00447DAD">
        <w:tc>
          <w:tcPr>
            <w:tcW w:w="4006" w:type="dxa"/>
          </w:tcPr>
          <w:p w:rsidR="00447DAD" w:rsidRDefault="00447DAD" w:rsidP="000C39D1">
            <w:pPr>
              <w:pStyle w:val="libFootnote0"/>
              <w:rPr>
                <w:rtl/>
              </w:rPr>
            </w:pPr>
            <w:r>
              <w:rPr>
                <w:rtl/>
              </w:rPr>
              <w:t>(5).</w:t>
            </w:r>
            <w:r w:rsidRPr="00132E65">
              <w:rPr>
                <w:rtl/>
              </w:rPr>
              <w:t xml:space="preserve"> في « ف » </w:t>
            </w:r>
            <w:r>
              <w:rPr>
                <w:rtl/>
              </w:rPr>
              <w:t xml:space="preserve">: - </w:t>
            </w:r>
            <w:r w:rsidRPr="00132E65">
              <w:rPr>
                <w:rtl/>
              </w:rPr>
              <w:t>« أنا »</w:t>
            </w:r>
            <w:r>
              <w:rPr>
                <w:rtl/>
              </w:rPr>
              <w:t>.</w:t>
            </w:r>
          </w:p>
        </w:tc>
        <w:tc>
          <w:tcPr>
            <w:tcW w:w="4006" w:type="dxa"/>
          </w:tcPr>
          <w:p w:rsidR="00447DAD" w:rsidRDefault="00447DAD" w:rsidP="000C39D1">
            <w:pPr>
              <w:pStyle w:val="libFootnote0"/>
              <w:rPr>
                <w:rtl/>
              </w:rPr>
            </w:pPr>
            <w:r>
              <w:rPr>
                <w:rtl/>
              </w:rPr>
              <w:t>(6).</w:t>
            </w:r>
            <w:r w:rsidRPr="00132E65">
              <w:rPr>
                <w:rtl/>
              </w:rPr>
              <w:t xml:space="preserve"> في البحار :</w:t>
            </w:r>
            <w:r>
              <w:rPr>
                <w:rtl/>
              </w:rPr>
              <w:t xml:space="preserve"> + </w:t>
            </w:r>
            <w:r w:rsidRPr="00132E65">
              <w:rPr>
                <w:rtl/>
              </w:rPr>
              <w:t xml:space="preserve">« النبيّ </w:t>
            </w:r>
            <w:r w:rsidRPr="00447DAD">
              <w:rPr>
                <w:rStyle w:val="libFootnoteAlaemChar"/>
                <w:rFonts w:eastAsiaTheme="minorHAnsi"/>
                <w:rtl/>
              </w:rPr>
              <w:t>صلى‌الله‌عليه‌وآله</w:t>
            </w:r>
            <w:r w:rsidRPr="00132E65">
              <w:rPr>
                <w:rtl/>
                <w:lang w:bidi="fa-IR"/>
              </w:rPr>
              <w:t xml:space="preserve"> </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احتمل المازندراني والمجلسي كون « عفوك » مرفوعاً بتقدير الخبر ، أي عفوك محيط بالمذنبين.</w:t>
      </w:r>
    </w:p>
    <w:p w:rsidR="000C39D1" w:rsidRPr="00132E65" w:rsidRDefault="000C39D1" w:rsidP="000C39D1">
      <w:pPr>
        <w:pStyle w:val="libFootnote0"/>
        <w:rPr>
          <w:rtl/>
          <w:lang w:bidi="fa-IR"/>
        </w:rPr>
      </w:pPr>
      <w:r>
        <w:rPr>
          <w:rtl/>
        </w:rPr>
        <w:t>(8).</w:t>
      </w:r>
      <w:r w:rsidRPr="00132E65">
        <w:rPr>
          <w:rtl/>
        </w:rPr>
        <w:t xml:space="preserve"> النجم (53) : 9.</w:t>
      </w:r>
    </w:p>
    <w:p w:rsidR="000C39D1" w:rsidRPr="00132E65" w:rsidRDefault="000C39D1" w:rsidP="000C39D1">
      <w:pPr>
        <w:pStyle w:val="libFootnote0"/>
        <w:rPr>
          <w:rtl/>
          <w:lang w:bidi="fa-IR"/>
        </w:rPr>
      </w:pPr>
      <w:r>
        <w:rPr>
          <w:rtl/>
        </w:rPr>
        <w:t>(9).</w:t>
      </w:r>
      <w:r w:rsidRPr="00132E65">
        <w:rPr>
          <w:rtl/>
        </w:rPr>
        <w:t xml:space="preserve"> قال الجوهري : « تقول : بينهما قابُ قوس وقِيبُ قوس ، وقادُ قوس وقِيدُ قوس ، أي قدرُ قوسٍ. والقابُ : ما بين ال</w:t>
      </w:r>
      <w:r w:rsidR="00447DAD">
        <w:rPr>
          <w:rFonts w:hint="cs"/>
          <w:rtl/>
        </w:rPr>
        <w:t>ـ</w:t>
      </w:r>
      <w:r w:rsidRPr="00132E65">
        <w:rPr>
          <w:rtl/>
        </w:rPr>
        <w:t>مَقْبِض والسِيَة. ولكلّ قوس قابان »</w:t>
      </w:r>
      <w:r>
        <w:rPr>
          <w:rtl/>
        </w:rPr>
        <w:t>.</w:t>
      </w:r>
      <w:r w:rsidRPr="00132E65">
        <w:rPr>
          <w:rtl/>
        </w:rPr>
        <w:t xml:space="preserve"> </w:t>
      </w:r>
      <w:r w:rsidRPr="00A85CD7">
        <w:rPr>
          <w:rtl/>
        </w:rPr>
        <w:t>الصحاح</w:t>
      </w:r>
      <w:r w:rsidRPr="00132E65">
        <w:rPr>
          <w:rtl/>
        </w:rPr>
        <w:t xml:space="preserve"> ، ج 1 ، ص 207 ( قوب )</w:t>
      </w:r>
      <w:r>
        <w:rPr>
          <w:rtl/>
        </w:rPr>
        <w:t>.</w:t>
      </w:r>
    </w:p>
    <w:tbl>
      <w:tblPr>
        <w:tblStyle w:val="TableGrid"/>
        <w:bidiVisual/>
        <w:tblW w:w="0" w:type="auto"/>
        <w:tblLook w:val="04A0" w:firstRow="1" w:lastRow="0" w:firstColumn="1" w:lastColumn="0" w:noHBand="0" w:noVBand="1"/>
      </w:tblPr>
      <w:tblGrid>
        <w:gridCol w:w="4006"/>
        <w:gridCol w:w="4006"/>
      </w:tblGrid>
      <w:tr w:rsidR="00447DAD" w:rsidTr="00447DAD">
        <w:tc>
          <w:tcPr>
            <w:tcW w:w="4006" w:type="dxa"/>
          </w:tcPr>
          <w:p w:rsidR="00447DAD" w:rsidRDefault="00447DAD" w:rsidP="000C39D1">
            <w:pPr>
              <w:pStyle w:val="libFootnote0"/>
              <w:rPr>
                <w:rtl/>
                <w:lang w:bidi="fa-IR"/>
              </w:rPr>
            </w:pPr>
            <w:r>
              <w:rPr>
                <w:rtl/>
              </w:rPr>
              <w:t>(10).</w:t>
            </w:r>
            <w:r w:rsidRPr="00132E65">
              <w:rPr>
                <w:rtl/>
              </w:rPr>
              <w:t xml:space="preserve"> في « ب » </w:t>
            </w:r>
            <w:r>
              <w:rPr>
                <w:rtl/>
              </w:rPr>
              <w:t xml:space="preserve">: - </w:t>
            </w:r>
            <w:r w:rsidRPr="00132E65">
              <w:rPr>
                <w:rtl/>
              </w:rPr>
              <w:t>« أو أدنى »</w:t>
            </w:r>
            <w:r>
              <w:rPr>
                <w:rtl/>
              </w:rPr>
              <w:t>.</w:t>
            </w:r>
          </w:p>
        </w:tc>
        <w:tc>
          <w:tcPr>
            <w:tcW w:w="4006" w:type="dxa"/>
          </w:tcPr>
          <w:p w:rsidR="00447DAD" w:rsidRDefault="00447DAD" w:rsidP="000C39D1">
            <w:pPr>
              <w:pStyle w:val="libFootnote0"/>
              <w:rPr>
                <w:rtl/>
                <w:lang w:bidi="fa-IR"/>
              </w:rPr>
            </w:pPr>
            <w:r>
              <w:rPr>
                <w:rtl/>
              </w:rPr>
              <w:t>(11).</w:t>
            </w:r>
            <w:r w:rsidRPr="00132E65">
              <w:rPr>
                <w:rtl/>
              </w:rPr>
              <w:t xml:space="preserve"> في « ض » : « فقال »</w:t>
            </w:r>
            <w:r>
              <w:rPr>
                <w:rtl/>
              </w:rPr>
              <w:t>.</w:t>
            </w:r>
          </w:p>
        </w:tc>
      </w:tr>
    </w:tbl>
    <w:p w:rsidR="000C39D1" w:rsidRPr="00132E65" w:rsidRDefault="000C39D1" w:rsidP="000C39D1">
      <w:pPr>
        <w:pStyle w:val="libFootnote0"/>
        <w:rPr>
          <w:rtl/>
          <w:lang w:bidi="fa-IR"/>
        </w:rPr>
      </w:pPr>
      <w:r>
        <w:rPr>
          <w:rtl/>
        </w:rPr>
        <w:t>(12).</w:t>
      </w:r>
      <w:r w:rsidRPr="00132E65">
        <w:rPr>
          <w:rtl/>
        </w:rPr>
        <w:t xml:space="preserve"> في « ف » : « سئها »</w:t>
      </w:r>
      <w:r>
        <w:rPr>
          <w:rtl/>
        </w:rPr>
        <w:t>.</w:t>
      </w:r>
      <w:r w:rsidRPr="00132E65">
        <w:rPr>
          <w:rtl/>
        </w:rPr>
        <w:t xml:space="preserve"> وسِيَةُ القوس : ما عُطِف وانحنى من طرفيها. والجمع : سِياتٌ ، والهاء عوض من الواو. راجع : </w:t>
      </w:r>
      <w:r w:rsidRPr="00A85CD7">
        <w:rPr>
          <w:rtl/>
        </w:rPr>
        <w:t>الصحاح</w:t>
      </w:r>
      <w:r w:rsidRPr="00132E65">
        <w:rPr>
          <w:rtl/>
        </w:rPr>
        <w:t xml:space="preserve"> ، ج 6 ، ص 2387 ( سيا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9D1ACE">
        <w:rPr>
          <w:rStyle w:val="libFootnoteBoldChar"/>
          <w:rtl/>
        </w:rPr>
        <w:t>مرآة العقول</w:t>
      </w:r>
      <w:r w:rsidRPr="00132E65">
        <w:rPr>
          <w:rtl/>
        </w:rPr>
        <w:t xml:space="preserve"> : « ويمكن أن يقرأ : رِآسها بكسر الراء ، ثمّ الهمزة ، ثمّ الألف ، فيكون بمعنى المقبض »</w:t>
      </w:r>
      <w:r>
        <w:rPr>
          <w:rtl/>
        </w:rPr>
        <w:t>.</w:t>
      </w:r>
    </w:p>
    <w:p w:rsidR="000C39D1" w:rsidRPr="00132E65" w:rsidRDefault="000C39D1" w:rsidP="000C39D1">
      <w:pPr>
        <w:pStyle w:val="libFootnote0"/>
        <w:rPr>
          <w:rtl/>
          <w:lang w:bidi="fa-IR"/>
        </w:rPr>
      </w:pPr>
      <w:r>
        <w:rPr>
          <w:rtl/>
        </w:rPr>
        <w:t>(14)</w:t>
      </w:r>
      <w:r w:rsidRPr="00132E65">
        <w:rPr>
          <w:rtl/>
        </w:rPr>
        <w:t xml:space="preserve"> في « ب » وحاشية « بف » وشرح المازندراني و</w:t>
      </w:r>
      <w:r w:rsidRPr="009D1ACE">
        <w:rPr>
          <w:rStyle w:val="libFootnoteBoldChar"/>
          <w:rtl/>
        </w:rPr>
        <w:t>الوافي</w:t>
      </w:r>
      <w:r w:rsidRPr="00132E65">
        <w:rPr>
          <w:rtl/>
        </w:rPr>
        <w:t xml:space="preserve"> والبحار : « قال »</w:t>
      </w:r>
      <w:r>
        <w:rPr>
          <w:rtl/>
        </w:rPr>
        <w:t>.</w:t>
      </w:r>
      <w:r w:rsidRPr="00132E65">
        <w:rPr>
          <w:rtl/>
        </w:rPr>
        <w:t xml:space="preserve"> وفي « ف » :</w:t>
      </w:r>
      <w:r>
        <w:rPr>
          <w:rtl/>
        </w:rPr>
        <w:t xml:space="preserve"> + </w:t>
      </w:r>
      <w:r w:rsidRPr="00132E65">
        <w:rPr>
          <w:rtl/>
        </w:rPr>
        <w:t>« كما قال »</w:t>
      </w:r>
      <w:r>
        <w:rPr>
          <w:rtl/>
        </w:rPr>
        <w:t>.</w:t>
      </w:r>
    </w:p>
    <w:p w:rsidR="000C39D1" w:rsidRPr="00132E65" w:rsidRDefault="000C39D1" w:rsidP="000C39D1">
      <w:pPr>
        <w:pStyle w:val="libFootnote0"/>
        <w:rPr>
          <w:rtl/>
          <w:lang w:bidi="fa-IR"/>
        </w:rPr>
      </w:pPr>
      <w:r>
        <w:rPr>
          <w:rtl/>
        </w:rPr>
        <w:t>(15)</w:t>
      </w:r>
      <w:r w:rsidRPr="00132E65">
        <w:rPr>
          <w:rtl/>
        </w:rPr>
        <w:t xml:space="preserve"> في « ب » وحاشية « بف » والبحار : « فكان كما 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بَخَفْقٍ </w:t>
      </w:r>
      <w:r>
        <w:rPr>
          <w:rStyle w:val="libFootnotenumChar"/>
          <w:rtl/>
        </w:rPr>
        <w:t>(1)</w:t>
      </w:r>
      <w:r>
        <w:rPr>
          <w:rtl/>
          <w:lang w:bidi="fa-IR"/>
        </w:rPr>
        <w:t xml:space="preserve"> - </w:t>
      </w:r>
      <w:r w:rsidRPr="00132E65">
        <w:rPr>
          <w:rtl/>
          <w:lang w:bidi="fa-IR"/>
        </w:rPr>
        <w:t>ولَا</w:t>
      </w:r>
      <w:r>
        <w:rPr>
          <w:rFonts w:hint="cs"/>
          <w:rtl/>
          <w:lang w:bidi="fa-IR"/>
        </w:rPr>
        <w:t xml:space="preserve"> </w:t>
      </w:r>
      <w:r w:rsidR="00447DAD">
        <w:rPr>
          <w:rtl/>
          <w:lang w:bidi="fa-IR"/>
        </w:rPr>
        <w:t>أَعْلَمُهُ إِل</w:t>
      </w:r>
      <w:r w:rsidR="00447DAD">
        <w:rPr>
          <w:rFonts w:hint="cs"/>
          <w:rtl/>
          <w:lang w:bidi="fa-IR"/>
        </w:rPr>
        <w:t>َّ</w:t>
      </w:r>
      <w:r w:rsidR="00447DAD">
        <w:rPr>
          <w:rtl/>
          <w:lang w:bidi="fa-IR"/>
        </w:rPr>
        <w:t>ا</w:t>
      </w:r>
      <w:r w:rsidRPr="00132E65">
        <w:rPr>
          <w:rtl/>
          <w:lang w:bidi="fa-IR"/>
        </w:rPr>
        <w:t xml:space="preserve"> وقَدْ قَالَ : زَبَرْجَدٌ</w:t>
      </w:r>
      <w:r>
        <w:rPr>
          <w:rtl/>
          <w:lang w:bidi="fa-IR"/>
        </w:rPr>
        <w:t xml:space="preserve"> - </w:t>
      </w:r>
      <w:r w:rsidRPr="00132E65">
        <w:rPr>
          <w:rtl/>
          <w:lang w:bidi="fa-IR"/>
        </w:rPr>
        <w:t xml:space="preserve">فَنَظَرَ فِي </w:t>
      </w:r>
      <w:r>
        <w:rPr>
          <w:rStyle w:val="libFootnotenumChar"/>
          <w:rtl/>
        </w:rPr>
        <w:t>(2)</w:t>
      </w:r>
      <w:r w:rsidRPr="00132E65">
        <w:rPr>
          <w:rtl/>
          <w:lang w:bidi="fa-IR"/>
        </w:rPr>
        <w:t xml:space="preserve"> مِثْلِ سَمِّ </w:t>
      </w:r>
      <w:r>
        <w:rPr>
          <w:rStyle w:val="libFootnotenumChar"/>
          <w:rtl/>
        </w:rPr>
        <w:t>(3)</w:t>
      </w:r>
      <w:r w:rsidRPr="00132E65">
        <w:rPr>
          <w:rtl/>
          <w:lang w:bidi="fa-IR"/>
        </w:rPr>
        <w:t xml:space="preserve"> الْإِبْرَةِ إِلى مَا شَاءَ اللهُ مِنْ نُورِ الْعَظَمَةِ ، فَقَالَ اللهُ تَبَارَكَ وتَعَالى : يَا مُحَمَّدُ ، قَالَ </w:t>
      </w:r>
      <w:r>
        <w:rPr>
          <w:rStyle w:val="libFootnotenumChar"/>
          <w:rtl/>
        </w:rPr>
        <w:t>(4)</w:t>
      </w:r>
      <w:r w:rsidRPr="00132E65">
        <w:rPr>
          <w:rtl/>
          <w:lang w:bidi="fa-IR"/>
        </w:rPr>
        <w:t xml:space="preserve"> : لَبَّيْكَ رَبِّي </w:t>
      </w:r>
      <w:r>
        <w:rPr>
          <w:rStyle w:val="libFootnotenumChar"/>
          <w:rtl/>
        </w:rPr>
        <w:t>(5)</w:t>
      </w:r>
      <w:r w:rsidRPr="00132E65">
        <w:rPr>
          <w:rtl/>
          <w:lang w:bidi="fa-IR"/>
        </w:rPr>
        <w:t xml:space="preserve"> ، قَالَ : مَنْ لِأُمَّتِكَ مِنْ بَعْدِكَ</w:t>
      </w:r>
      <w:r>
        <w:rPr>
          <w:rtl/>
          <w:lang w:bidi="fa-IR"/>
        </w:rPr>
        <w:t>؟</w:t>
      </w:r>
      <w:r w:rsidRPr="00132E65">
        <w:rPr>
          <w:rtl/>
          <w:lang w:bidi="fa-IR"/>
        </w:rPr>
        <w:t xml:space="preserve"> قَالَ : اللهُ أَعْلَمُ ، قَالَ : عَلِيُّ بْنُ أَبِي طَالِبٍ ، أَمِيرُ الْمُؤْمِنِينَ ، وسَيِّدُ الْمُسْلِمِينَ ، وقَائِدُ الْغُرِّ الْمُحَجَّلِينَ </w:t>
      </w:r>
      <w:r>
        <w:rPr>
          <w:rStyle w:val="libFootnotenumChar"/>
          <w:rtl/>
        </w:rPr>
        <w:t>(6)</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قَالَ : ثُمَّ قَالَ أَبُو عَبْدِ اللهِ </w:t>
      </w:r>
      <w:r w:rsidRPr="00071CF9">
        <w:rPr>
          <w:rStyle w:val="libAlaemChar"/>
          <w:rtl/>
        </w:rPr>
        <w:t>عليه‌السلام</w:t>
      </w:r>
      <w:r w:rsidRPr="00132E65">
        <w:rPr>
          <w:rtl/>
          <w:lang w:bidi="fa-IR"/>
        </w:rPr>
        <w:t xml:space="preserve"> لِأَبِي بَصِيرٍ : « يَا أَبَا مُحَمَّدٍ ، واللهِ ، مَا جَاءَتْ ولَايَةُ عَلِيٍّ مِنَ الْأَرْضِ ، ولكِنْ جَاءَتْ مِنَ السَّمَاءِ مُشَافَهَةً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A85CD7">
        <w:rPr>
          <w:rtl/>
        </w:rPr>
        <w:t>1205</w:t>
      </w:r>
      <w:r w:rsidRPr="004325D8">
        <w:rPr>
          <w:rStyle w:val="libBold2Char"/>
          <w:rtl/>
        </w:rPr>
        <w:t xml:space="preserve"> / 14.</w:t>
      </w:r>
      <w:r w:rsidRPr="00132E65">
        <w:rPr>
          <w:rtl/>
          <w:lang w:bidi="fa-IR"/>
        </w:rPr>
        <w:t xml:space="preserve"> عِدَّةٌ مِنْ أَصْحَابِنَا ، عَنْ أَحْمَدَ بْنِ مُحَمَّدٍ ، عَنْ عَلِيِّ بْنِ سَيْفٍ ، عَنْ عَمْرِو بْنِ شِمْرٍ ، عَنْ جَابِرٍ ، قَالَ :</w:t>
      </w:r>
    </w:p>
    <w:p w:rsidR="000C39D1" w:rsidRPr="00132E65" w:rsidRDefault="000C39D1" w:rsidP="000C39D1">
      <w:pPr>
        <w:pStyle w:val="libNormal"/>
        <w:rPr>
          <w:rtl/>
          <w:lang w:bidi="fa-IR"/>
        </w:rPr>
      </w:pPr>
      <w:r w:rsidRPr="00132E65">
        <w:rPr>
          <w:rtl/>
          <w:lang w:bidi="fa-IR"/>
        </w:rPr>
        <w:t xml:space="preserve">قُلْتُ لِأَبِي جَعْفَرٍ </w:t>
      </w:r>
      <w:r w:rsidRPr="00071CF9">
        <w:rPr>
          <w:rStyle w:val="libAlaemChar"/>
          <w:rtl/>
        </w:rPr>
        <w:t>عليه‌السلام</w:t>
      </w:r>
      <w:r w:rsidRPr="00132E65">
        <w:rPr>
          <w:rtl/>
          <w:lang w:bidi="fa-IR"/>
        </w:rPr>
        <w:t xml:space="preserve"> : صِفْ لِي نَبِيَّ اللهِ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قَالَ : « كَانَ </w:t>
      </w:r>
      <w:r>
        <w:rPr>
          <w:rStyle w:val="libFootnotenumChar"/>
          <w:rtl/>
        </w:rPr>
        <w:t>(8)</w:t>
      </w:r>
      <w:r w:rsidRPr="00132E65">
        <w:rPr>
          <w:rtl/>
          <w:lang w:bidi="fa-IR"/>
        </w:rPr>
        <w:t xml:space="preserve"> نَبِيُّ اللهِ </w:t>
      </w:r>
      <w:r w:rsidRPr="00071CF9">
        <w:rPr>
          <w:rStyle w:val="libAlaemChar"/>
          <w:rtl/>
        </w:rPr>
        <w:t>عليه‌السلام</w:t>
      </w:r>
      <w:r w:rsidRPr="00132E65">
        <w:rPr>
          <w:rtl/>
          <w:lang w:bidi="fa-IR"/>
        </w:rPr>
        <w:t xml:space="preserve"> أَبْيَضَ ، مُشْرَبَ </w:t>
      </w:r>
      <w:r>
        <w:rPr>
          <w:rStyle w:val="libFootnotenumChar"/>
          <w:rtl/>
        </w:rPr>
        <w:t>(9)</w:t>
      </w:r>
      <w:r w:rsidRPr="00132E65">
        <w:rPr>
          <w:rtl/>
          <w:lang w:bidi="fa-IR"/>
        </w:rPr>
        <w:t xml:space="preserve"> حُمْرَةٍ ، أَدْعَجَ الْعَيْنَيْنِ </w:t>
      </w:r>
      <w:r>
        <w:rPr>
          <w:rStyle w:val="libFootnotenumChar"/>
          <w:rtl/>
        </w:rPr>
        <w:t>(10)</w:t>
      </w:r>
      <w:r w:rsidRPr="00132E65">
        <w:rPr>
          <w:rtl/>
          <w:lang w:bidi="fa-IR"/>
        </w:rPr>
        <w:t xml:space="preserve"> ، مَقْرُونَ‌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ش ، ض ، و، بد ، بر ، بش ، بل ، جف ، جو » وفي </w:t>
      </w:r>
      <w:r w:rsidRPr="009D1ACE">
        <w:rPr>
          <w:rStyle w:val="libFootnoteBoldChar"/>
          <w:rtl/>
        </w:rPr>
        <w:t>الوافي</w:t>
      </w:r>
      <w:r w:rsidRPr="00132E65">
        <w:rPr>
          <w:rtl/>
        </w:rPr>
        <w:t xml:space="preserve"> والبحار. و</w:t>
      </w:r>
      <w:r w:rsidR="00C17CD8">
        <w:rPr>
          <w:rtl/>
        </w:rPr>
        <w:t>في سائر النسخ والمطبوع : « يخفق</w:t>
      </w:r>
      <w:r w:rsidRPr="00132E65">
        <w:rPr>
          <w:rtl/>
        </w:rPr>
        <w:t>»</w:t>
      </w:r>
      <w:r>
        <w:rPr>
          <w:rtl/>
        </w:rPr>
        <w:t>.</w:t>
      </w:r>
      <w:r w:rsidRPr="00132E65">
        <w:rPr>
          <w:rtl/>
        </w:rPr>
        <w:t xml:space="preserve"> والخفق : التحرّك والاضطراب. يقال : يتحرّك ويضطرب. يقال : خفقت الرايةُ تَخْفُقُ وتَخْفُقُ خَفْقاً وخَفَقاناً ، أي اضطربت وتحرّكت. راجع : </w:t>
      </w:r>
      <w:r w:rsidRPr="00A85CD7">
        <w:rPr>
          <w:rtl/>
        </w:rPr>
        <w:t>القاموس المحيط</w:t>
      </w:r>
      <w:r w:rsidRPr="00132E65">
        <w:rPr>
          <w:rtl/>
        </w:rPr>
        <w:t xml:space="preserve"> ، ج 2 ، ص 1169 ( خفق )</w:t>
      </w:r>
      <w:r>
        <w:rPr>
          <w:rtl/>
        </w:rPr>
        <w:t>.</w:t>
      </w:r>
    </w:p>
    <w:p w:rsidR="000C39D1" w:rsidRPr="00132E65" w:rsidRDefault="000C39D1" w:rsidP="000C39D1">
      <w:pPr>
        <w:pStyle w:val="libFootnote0"/>
        <w:rPr>
          <w:rtl/>
          <w:lang w:bidi="fa-IR"/>
        </w:rPr>
      </w:pPr>
      <w:r>
        <w:rPr>
          <w:rtl/>
        </w:rPr>
        <w:t>(2).</w:t>
      </w:r>
      <w:r w:rsidRPr="00132E65">
        <w:rPr>
          <w:rtl/>
        </w:rPr>
        <w:t xml:space="preserve"> في « ج ، ض ، بح ، بر ، بف »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(3).</w:t>
      </w:r>
      <w:r w:rsidRPr="00132E65">
        <w:rPr>
          <w:rtl/>
        </w:rPr>
        <w:t xml:space="preserve"> « السَمُّ » : الثَقْبُ ، ومنه سمّ الخِياط. </w:t>
      </w:r>
      <w:r w:rsidRPr="00A85CD7">
        <w:rPr>
          <w:rtl/>
        </w:rPr>
        <w:t>الصحاح</w:t>
      </w:r>
      <w:r w:rsidRPr="00132E65">
        <w:rPr>
          <w:rtl/>
        </w:rPr>
        <w:t xml:space="preserve"> ، ج 5 ، ص 1953 ( سمم )</w:t>
      </w:r>
      <w:r>
        <w:rPr>
          <w:rtl/>
        </w:rPr>
        <w:t>.</w:t>
      </w:r>
    </w:p>
    <w:tbl>
      <w:tblPr>
        <w:tblStyle w:val="TableGrid"/>
        <w:bidiVisual/>
        <w:tblW w:w="0" w:type="auto"/>
        <w:tblLook w:val="04A0" w:firstRow="1" w:lastRow="0" w:firstColumn="1" w:lastColumn="0" w:noHBand="0" w:noVBand="1"/>
      </w:tblPr>
      <w:tblGrid>
        <w:gridCol w:w="4006"/>
        <w:gridCol w:w="4006"/>
      </w:tblGrid>
      <w:tr w:rsidR="00447DAD" w:rsidTr="00447DAD">
        <w:tc>
          <w:tcPr>
            <w:tcW w:w="4006" w:type="dxa"/>
          </w:tcPr>
          <w:p w:rsidR="00447DAD" w:rsidRDefault="00447DAD" w:rsidP="000C39D1">
            <w:pPr>
              <w:pStyle w:val="libFootnote0"/>
              <w:rPr>
                <w:rtl/>
              </w:rPr>
            </w:pPr>
            <w:r>
              <w:rPr>
                <w:rtl/>
              </w:rPr>
              <w:t>(4).</w:t>
            </w:r>
            <w:r w:rsidRPr="00132E65">
              <w:rPr>
                <w:rtl/>
              </w:rPr>
              <w:t xml:space="preserve"> في « ض » و</w:t>
            </w:r>
            <w:r w:rsidRPr="009D1ACE">
              <w:rPr>
                <w:rStyle w:val="libFootnoteBoldChar"/>
                <w:rtl/>
              </w:rPr>
              <w:t>الوافي</w:t>
            </w:r>
            <w:r w:rsidRPr="00132E65">
              <w:rPr>
                <w:rtl/>
              </w:rPr>
              <w:t xml:space="preserve"> : « فقال »</w:t>
            </w:r>
            <w:r>
              <w:rPr>
                <w:rtl/>
              </w:rPr>
              <w:t>.</w:t>
            </w:r>
          </w:p>
        </w:tc>
        <w:tc>
          <w:tcPr>
            <w:tcW w:w="4006" w:type="dxa"/>
          </w:tcPr>
          <w:p w:rsidR="00447DAD" w:rsidRDefault="00447DAD" w:rsidP="000C39D1">
            <w:pPr>
              <w:pStyle w:val="libFootnote0"/>
              <w:rPr>
                <w:rtl/>
              </w:rPr>
            </w:pPr>
            <w:r>
              <w:rPr>
                <w:rtl/>
              </w:rPr>
              <w:t>(5).</w:t>
            </w:r>
            <w:r w:rsidRPr="00132E65">
              <w:rPr>
                <w:rtl/>
              </w:rPr>
              <w:t xml:space="preserve"> في حاشية « ف » : « ربّ »</w:t>
            </w:r>
            <w:r>
              <w:rPr>
                <w:rtl/>
              </w:rPr>
              <w:t>.</w:t>
            </w:r>
          </w:p>
        </w:tc>
      </w:tr>
    </w:tbl>
    <w:p w:rsidR="000C39D1" w:rsidRPr="00132E65" w:rsidRDefault="000C39D1" w:rsidP="000C39D1">
      <w:pPr>
        <w:pStyle w:val="libFootnote0"/>
        <w:rPr>
          <w:rtl/>
          <w:lang w:bidi="fa-IR"/>
        </w:rPr>
      </w:pPr>
      <w:r>
        <w:rPr>
          <w:rtl/>
        </w:rPr>
        <w:t>(6).</w:t>
      </w:r>
      <w:r w:rsidRPr="00132E65">
        <w:rPr>
          <w:rtl/>
        </w:rPr>
        <w:t xml:space="preserve"> « الغُرُّ » : جمع الأغرّ ، من الغُرّة : بياض الوجه. </w:t>
      </w:r>
      <w:r>
        <w:rPr>
          <w:rtl/>
        </w:rPr>
        <w:t>و «</w:t>
      </w:r>
      <w:r w:rsidRPr="00132E65">
        <w:rPr>
          <w:rtl/>
        </w:rPr>
        <w:t xml:space="preserve"> ال</w:t>
      </w:r>
      <w:r w:rsidR="00447DAD">
        <w:rPr>
          <w:rFonts w:hint="cs"/>
          <w:rtl/>
        </w:rPr>
        <w:t>ـ</w:t>
      </w:r>
      <w:r w:rsidRPr="00132E65">
        <w:rPr>
          <w:rtl/>
        </w:rPr>
        <w:t>مُحَجَّلُ » : هو الذي يرتفع البياض في قوائمه إلى موضع القيد ويجاوز الأرساغ</w:t>
      </w:r>
      <w:r>
        <w:rPr>
          <w:rtl/>
        </w:rPr>
        <w:t xml:space="preserve"> - </w:t>
      </w:r>
      <w:r w:rsidRPr="00132E65">
        <w:rPr>
          <w:rtl/>
        </w:rPr>
        <w:t>جمع الرُسُغ ، وهو المفصل ما بين الساعد والكفّ أو الساق والقدم</w:t>
      </w:r>
      <w:r>
        <w:rPr>
          <w:rtl/>
        </w:rPr>
        <w:t xml:space="preserve"> - </w:t>
      </w:r>
      <w:r w:rsidRPr="00132E65">
        <w:rPr>
          <w:rtl/>
        </w:rPr>
        <w:t xml:space="preserve">ولا يجاوز الركبتين. </w:t>
      </w:r>
      <w:r>
        <w:rPr>
          <w:rtl/>
        </w:rPr>
        <w:t>و «</w:t>
      </w:r>
      <w:r w:rsidRPr="00132E65">
        <w:rPr>
          <w:rtl/>
        </w:rPr>
        <w:t xml:space="preserve"> الغرّ المحجّلين » ، أي بيض مواضع الوضوء من الأيدي والوجه والأقدام. راجع : </w:t>
      </w:r>
      <w:r w:rsidRPr="00A85CD7">
        <w:rPr>
          <w:rtl/>
        </w:rPr>
        <w:t>النهاية</w:t>
      </w:r>
      <w:r w:rsidRPr="00132E65">
        <w:rPr>
          <w:rtl/>
        </w:rPr>
        <w:t xml:space="preserve"> ، ج 1 ، ص 346 ( حجل ) ؛ وج 3 ، ص 354 ( غرر )</w:t>
      </w:r>
      <w:r>
        <w:rPr>
          <w:rtl/>
        </w:rPr>
        <w:t>.</w:t>
      </w:r>
    </w:p>
    <w:p w:rsidR="000C39D1" w:rsidRPr="00132E65" w:rsidRDefault="000C39D1" w:rsidP="00447DAD">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714 ، ح 1331 وقال : « في هذا الحديث أسرار غامضة</w:t>
      </w:r>
      <w:r>
        <w:rPr>
          <w:rtl/>
        </w:rPr>
        <w:t xml:space="preserve"> ..</w:t>
      </w:r>
      <w:r w:rsidRPr="00132E65">
        <w:rPr>
          <w:rtl/>
        </w:rPr>
        <w:t>. » وللمزيد راجعه ؛ البحار ، ج 18 ، ص 306 ، ح 13.</w:t>
      </w:r>
      <w:r w:rsidR="00447DAD">
        <w:rPr>
          <w:rFonts w:hint="cs"/>
          <w:rtl/>
        </w:rPr>
        <w:t xml:space="preserve">                    </w:t>
      </w:r>
      <w:r w:rsidR="00C17CD8">
        <w:rPr>
          <w:rFonts w:hint="cs"/>
          <w:rtl/>
        </w:rPr>
        <w:t xml:space="preserve">      </w:t>
      </w:r>
      <w:r w:rsidR="00447DAD">
        <w:rPr>
          <w:rFonts w:hint="cs"/>
          <w:rtl/>
        </w:rPr>
        <w:t xml:space="preserve">      </w:t>
      </w:r>
      <w:r>
        <w:rPr>
          <w:rtl/>
        </w:rPr>
        <w:t>(8).</w:t>
      </w:r>
      <w:r w:rsidRPr="00132E65">
        <w:rPr>
          <w:rtl/>
        </w:rPr>
        <w:t xml:space="preserve"> في « بر » </w:t>
      </w:r>
      <w:r>
        <w:rPr>
          <w:rtl/>
        </w:rPr>
        <w:t xml:space="preserve">: - </w:t>
      </w:r>
      <w:r w:rsidRPr="00132E65">
        <w:rPr>
          <w:rtl/>
        </w:rPr>
        <w:t>« كان »</w:t>
      </w:r>
      <w:r>
        <w:rPr>
          <w:rtl/>
        </w:rPr>
        <w:t>.</w:t>
      </w:r>
    </w:p>
    <w:p w:rsidR="000C39D1" w:rsidRPr="00132E65" w:rsidRDefault="000C39D1" w:rsidP="000C39D1">
      <w:pPr>
        <w:pStyle w:val="libFootnote0"/>
        <w:rPr>
          <w:rtl/>
          <w:lang w:bidi="fa-IR"/>
        </w:rPr>
      </w:pPr>
      <w:r>
        <w:rPr>
          <w:rtl/>
        </w:rPr>
        <w:t>(9).</w:t>
      </w:r>
      <w:r w:rsidRPr="00132E65">
        <w:rPr>
          <w:rtl/>
        </w:rPr>
        <w:t xml:space="preserve"> في « بر » : « مشرّب »</w:t>
      </w:r>
      <w:r>
        <w:rPr>
          <w:rtl/>
        </w:rPr>
        <w:t>.</w:t>
      </w:r>
      <w:r w:rsidRPr="00132E65">
        <w:rPr>
          <w:rtl/>
        </w:rPr>
        <w:t xml:space="preserve"> وفي </w:t>
      </w:r>
      <w:r w:rsidRPr="009D1ACE">
        <w:rPr>
          <w:rStyle w:val="libFootnoteBoldChar"/>
          <w:rtl/>
        </w:rPr>
        <w:t>الوافي</w:t>
      </w:r>
      <w:r w:rsidRPr="00132E65">
        <w:rPr>
          <w:rtl/>
        </w:rPr>
        <w:t xml:space="preserve"> :</w:t>
      </w:r>
      <w:r>
        <w:rPr>
          <w:rtl/>
        </w:rPr>
        <w:t xml:space="preserve"> + </w:t>
      </w:r>
      <w:r w:rsidRPr="00132E65">
        <w:rPr>
          <w:rtl/>
        </w:rPr>
        <w:t>« من »</w:t>
      </w:r>
      <w:r>
        <w:rPr>
          <w:rtl/>
        </w:rPr>
        <w:t>.</w:t>
      </w:r>
      <w:r w:rsidRPr="00132E65">
        <w:rPr>
          <w:rtl/>
        </w:rPr>
        <w:t xml:space="preserve"> </w:t>
      </w:r>
      <w:r>
        <w:rPr>
          <w:rtl/>
        </w:rPr>
        <w:t>و «</w:t>
      </w:r>
      <w:r w:rsidRPr="00132E65">
        <w:rPr>
          <w:rtl/>
        </w:rPr>
        <w:t xml:space="preserve"> الإشراب » : خلط لون بلون ، كأنّ أحد اللونين سُقِيَ اللون الآخر. يقال : بياضٌ مُشْرَبٌ حُمْرَةً بالتخفيف. وإذا شُدِّد كان للتكثير والمبالغة. </w:t>
      </w:r>
      <w:r w:rsidRPr="00A85CD7">
        <w:rPr>
          <w:rtl/>
        </w:rPr>
        <w:t>النهاية</w:t>
      </w:r>
      <w:r w:rsidRPr="00132E65">
        <w:rPr>
          <w:rtl/>
        </w:rPr>
        <w:t xml:space="preserve"> ، ج 2 ، ص 454 ( شرب )</w:t>
      </w:r>
      <w:r>
        <w:rPr>
          <w:rtl/>
        </w:rPr>
        <w:t>.</w:t>
      </w:r>
    </w:p>
    <w:p w:rsidR="000C39D1" w:rsidRPr="00132E65" w:rsidRDefault="000C39D1" w:rsidP="000C39D1">
      <w:pPr>
        <w:pStyle w:val="libFootnote0"/>
        <w:rPr>
          <w:rtl/>
          <w:lang w:bidi="fa-IR"/>
        </w:rPr>
      </w:pPr>
      <w:r>
        <w:rPr>
          <w:rtl/>
        </w:rPr>
        <w:t>(10).</w:t>
      </w:r>
      <w:r w:rsidRPr="00132E65">
        <w:rPr>
          <w:rtl/>
        </w:rPr>
        <w:t xml:space="preserve"> « أَدْعَجُ الْعَيْنَيْنِ » ، أي أسودهما ، من الدَعَج والدُعْجَة بمعنى السواد في العين وغيرها. يريد أنّ سواد عَيْنَيْه </w:t>
      </w:r>
      <w:r w:rsidR="00461709">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الْحَاجِبَيْنِ ، شَثْنَ الْأَطْرَافِ </w:t>
      </w:r>
      <w:r>
        <w:rPr>
          <w:rStyle w:val="libFootnotenumChar"/>
          <w:rtl/>
        </w:rPr>
        <w:t>(1)</w:t>
      </w:r>
      <w:r w:rsidRPr="00132E65">
        <w:rPr>
          <w:rtl/>
          <w:lang w:bidi="fa-IR"/>
        </w:rPr>
        <w:t xml:space="preserve"> ، كَأَنَّ الذَّهَبَ أُفْرِغَ عَلى بَرَاثِنِهِ </w:t>
      </w:r>
      <w:r>
        <w:rPr>
          <w:rStyle w:val="libFootnotenumChar"/>
          <w:rtl/>
        </w:rPr>
        <w:t>(2)</w:t>
      </w:r>
      <w:r w:rsidRPr="00132E65">
        <w:rPr>
          <w:rtl/>
          <w:lang w:bidi="fa-IR"/>
        </w:rPr>
        <w:t xml:space="preserve"> ، عَظِيمَ مُشَاشَةِ </w:t>
      </w:r>
      <w:r>
        <w:rPr>
          <w:rStyle w:val="libFootnotenumChar"/>
          <w:rtl/>
        </w:rPr>
        <w:t>(3)</w:t>
      </w:r>
      <w:r w:rsidRPr="00132E65">
        <w:rPr>
          <w:rtl/>
          <w:lang w:bidi="fa-IR"/>
        </w:rPr>
        <w:t xml:space="preserve"> الْمَنْكِبَيْنِ ، إِذَا الْتَفَتَ يَلْتَفِتُ جَمِيعاً مِنْ شِدَّةِ اسْتِرْسَالِهِ </w:t>
      </w:r>
      <w:r>
        <w:rPr>
          <w:rStyle w:val="libFootnotenumChar"/>
          <w:rtl/>
        </w:rPr>
        <w:t>(4)</w:t>
      </w:r>
      <w:r w:rsidRPr="00132E65">
        <w:rPr>
          <w:rtl/>
          <w:lang w:bidi="fa-IR"/>
        </w:rPr>
        <w:t xml:space="preserve"> ، سُرْبَتُهُ </w:t>
      </w:r>
      <w:r>
        <w:rPr>
          <w:rStyle w:val="libFootnotenumChar"/>
          <w:rtl/>
        </w:rPr>
        <w:t>(5)</w:t>
      </w:r>
      <w:r w:rsidRPr="00132E65">
        <w:rPr>
          <w:rtl/>
          <w:lang w:bidi="fa-IR"/>
        </w:rPr>
        <w:t xml:space="preserve"> سَائِلَةٌ مِنْ لَبَّتِهِ </w:t>
      </w:r>
      <w:r>
        <w:rPr>
          <w:rStyle w:val="libFootnotenumChar"/>
          <w:rtl/>
        </w:rPr>
        <w:t>(6)</w:t>
      </w:r>
      <w:r w:rsidRPr="00132E65">
        <w:rPr>
          <w:rtl/>
          <w:lang w:bidi="fa-IR"/>
        </w:rPr>
        <w:t xml:space="preserve"> إِلى سُرَّتِهِ كَأَنَّهَا وسَطُ الْفِضَّةِ الْمُصَفَّاةِ ، وكَأَنَّ عُنُقَهُ إِلى كَاهِلِهِ </w:t>
      </w:r>
      <w:r>
        <w:rPr>
          <w:rStyle w:val="libFootnotenumChar"/>
          <w:rtl/>
        </w:rPr>
        <w:t>(7)</w:t>
      </w:r>
      <w:r w:rsidRPr="00132E65">
        <w:rPr>
          <w:rtl/>
          <w:lang w:bidi="fa-IR"/>
        </w:rPr>
        <w:t xml:space="preserve"> إِبْرِيقُ </w:t>
      </w:r>
      <w:r>
        <w:rPr>
          <w:rStyle w:val="libFootnotenumChar"/>
          <w:rtl/>
        </w:rPr>
        <w:t>(8)</w:t>
      </w:r>
      <w:r w:rsidRPr="00132E65">
        <w:rPr>
          <w:rtl/>
          <w:lang w:bidi="fa-IR"/>
        </w:rPr>
        <w:t xml:space="preserve"> فِضَّةٍ ، يَكَادُ أَنْفُهُ إِذَا شَرِبَ أَنْ يَرِدَ الْمَاءَ ، وإِذَا مَشى تَكَفَّأَ </w:t>
      </w:r>
      <w:r>
        <w:rPr>
          <w:rStyle w:val="libFootnotenumChar"/>
          <w:rtl/>
        </w:rPr>
        <w:t>(9)</w:t>
      </w:r>
      <w:r w:rsidRPr="00132E65">
        <w:rPr>
          <w:rtl/>
          <w:lang w:bidi="fa-IR"/>
        </w:rPr>
        <w:t xml:space="preserve"> كَأَنَّهُ يَنْزِلُ فِي صَبَبٍ </w:t>
      </w:r>
      <w:r>
        <w:rPr>
          <w:rStyle w:val="libFootnotenumChar"/>
          <w:rtl/>
        </w:rPr>
        <w:t>(10)</w:t>
      </w:r>
      <w:r w:rsidRPr="00132E65">
        <w:rPr>
          <w:rtl/>
          <w:lang w:bidi="fa-IR"/>
        </w:rPr>
        <w:t xml:space="preserve"> ، لَمْ يُرَ مِثْلُ نَبِيِّ اللهِ قَبْلَهُ وَلَابَعْدَهُ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CC23D8" w:rsidP="000C39D1">
      <w:pPr>
        <w:pStyle w:val="libFootnote0"/>
        <w:rPr>
          <w:rtl/>
          <w:lang w:bidi="fa-IR"/>
        </w:rPr>
      </w:pPr>
      <w:r>
        <w:rPr>
          <w:rFonts w:hint="cs"/>
          <w:rtl/>
        </w:rPr>
        <w:t xml:space="preserve">= </w:t>
      </w:r>
      <w:r w:rsidR="000C39D1" w:rsidRPr="00132E65">
        <w:rPr>
          <w:rtl/>
        </w:rPr>
        <w:t xml:space="preserve">كان شديد السواد. وقيل : الدَعَجُ : شدّة سواد العين في شدّة بياضها. </w:t>
      </w:r>
      <w:r w:rsidR="000C39D1" w:rsidRPr="00A85CD7">
        <w:rPr>
          <w:rtl/>
        </w:rPr>
        <w:t>النهاية</w:t>
      </w:r>
      <w:r w:rsidR="000C39D1" w:rsidRPr="00132E65">
        <w:rPr>
          <w:rtl/>
        </w:rPr>
        <w:t xml:space="preserve"> ، ج 2 ، ص 119 ( دعج )</w:t>
      </w:r>
      <w:r w:rsidR="000C39D1">
        <w:rPr>
          <w:rtl/>
        </w:rPr>
        <w:t>.</w:t>
      </w:r>
    </w:p>
    <w:p w:rsidR="000C39D1" w:rsidRPr="00132E65" w:rsidRDefault="000C39D1" w:rsidP="000C39D1">
      <w:pPr>
        <w:pStyle w:val="libFootnote0"/>
        <w:rPr>
          <w:rtl/>
          <w:lang w:bidi="fa-IR"/>
        </w:rPr>
      </w:pPr>
      <w:r>
        <w:rPr>
          <w:rtl/>
        </w:rPr>
        <w:t>(1).</w:t>
      </w:r>
      <w:r w:rsidRPr="00132E65">
        <w:rPr>
          <w:rtl/>
        </w:rPr>
        <w:t xml:space="preserve"> يقال : شَثْنُ الكفّين والقدمين ، أي أنّهما يميلان إلى الغِلَظ والقِصَر. وقيل : هو الذي في أنامله غِلَظٌ بلا قصر ، ويحمد ذلك في الرجال ؛ لأنّه أشدّ لقبضهم ، ويذمّ في النساء. والأطراف من البدن : اليدان والرجلان والرأس. راجع : </w:t>
      </w:r>
      <w:r w:rsidRPr="00A85CD7">
        <w:rPr>
          <w:rtl/>
        </w:rPr>
        <w:t>النهاية</w:t>
      </w:r>
      <w:r w:rsidRPr="00132E65">
        <w:rPr>
          <w:rtl/>
        </w:rPr>
        <w:t xml:space="preserve"> ، ج 2 ، ص 444 ( شثن ) ؛ </w:t>
      </w:r>
      <w:r w:rsidRPr="00A85CD7">
        <w:rPr>
          <w:rtl/>
        </w:rPr>
        <w:t>القاموس المحيط</w:t>
      </w:r>
      <w:r w:rsidRPr="00132E65">
        <w:rPr>
          <w:rtl/>
        </w:rPr>
        <w:t xml:space="preserve"> ، ج 2 ، ص 1108 ( طرف )</w:t>
      </w:r>
      <w:r>
        <w:rPr>
          <w:rtl/>
        </w:rPr>
        <w:t>.</w:t>
      </w:r>
    </w:p>
    <w:p w:rsidR="000C39D1" w:rsidRPr="00132E65" w:rsidRDefault="000C39D1" w:rsidP="000C39D1">
      <w:pPr>
        <w:pStyle w:val="libFootnote0"/>
        <w:rPr>
          <w:rtl/>
          <w:lang w:bidi="fa-IR"/>
        </w:rPr>
      </w:pPr>
      <w:r>
        <w:rPr>
          <w:rtl/>
        </w:rPr>
        <w:t>(2).</w:t>
      </w:r>
      <w:r w:rsidRPr="00132E65">
        <w:rPr>
          <w:rtl/>
        </w:rPr>
        <w:t xml:space="preserve"> « البَراثِنُ » : جمع البُرْثُن ، وهي الكفّ بكمالها مع الأصابع. </w:t>
      </w:r>
      <w:r w:rsidRPr="009D1ACE">
        <w:rPr>
          <w:rStyle w:val="libFootnoteBoldChar"/>
          <w:rtl/>
        </w:rPr>
        <w:t>لسان العرب</w:t>
      </w:r>
      <w:r w:rsidRPr="00132E65">
        <w:rPr>
          <w:rtl/>
        </w:rPr>
        <w:t xml:space="preserve"> ، ج 13 ، ص 50 ( برثن )</w:t>
      </w:r>
      <w:r>
        <w:rPr>
          <w:rtl/>
        </w:rPr>
        <w:t>.</w:t>
      </w:r>
    </w:p>
    <w:p w:rsidR="000C39D1" w:rsidRPr="00132E65" w:rsidRDefault="000C39D1" w:rsidP="000C39D1">
      <w:pPr>
        <w:pStyle w:val="libFootnote0"/>
        <w:rPr>
          <w:rtl/>
          <w:lang w:bidi="fa-IR"/>
        </w:rPr>
      </w:pPr>
      <w:r>
        <w:rPr>
          <w:rtl/>
        </w:rPr>
        <w:t>(3).</w:t>
      </w:r>
      <w:r w:rsidRPr="00132E65">
        <w:rPr>
          <w:rtl/>
        </w:rPr>
        <w:t xml:space="preserve"> قال الجوهري : « ال</w:t>
      </w:r>
      <w:r w:rsidR="00CC23D8">
        <w:rPr>
          <w:rFonts w:hint="cs"/>
          <w:rtl/>
        </w:rPr>
        <w:t>ـ</w:t>
      </w:r>
      <w:r w:rsidRPr="00132E65">
        <w:rPr>
          <w:rtl/>
        </w:rPr>
        <w:t>مُشاشَةُ : واحدة ال</w:t>
      </w:r>
      <w:r w:rsidR="00CC23D8">
        <w:rPr>
          <w:rFonts w:hint="cs"/>
          <w:rtl/>
        </w:rPr>
        <w:t>ـ</w:t>
      </w:r>
      <w:r w:rsidRPr="00132E65">
        <w:rPr>
          <w:rtl/>
        </w:rPr>
        <w:t>مُشاش ، وهي رؤوس العظام الليّنة التي يمكن مضغها. وقال ابن الأثير : « ال</w:t>
      </w:r>
      <w:r w:rsidR="00CC23D8">
        <w:rPr>
          <w:rFonts w:hint="cs"/>
          <w:rtl/>
        </w:rPr>
        <w:t>ـ</w:t>
      </w:r>
      <w:r w:rsidRPr="00132E65">
        <w:rPr>
          <w:rtl/>
        </w:rPr>
        <w:t>مُشاش : رؤوس العظام كالمرفقين والكتفين والركبتين »</w:t>
      </w:r>
      <w:r>
        <w:rPr>
          <w:rtl/>
        </w:rPr>
        <w:t>.</w:t>
      </w:r>
      <w:r w:rsidRPr="00132E65">
        <w:rPr>
          <w:rtl/>
        </w:rPr>
        <w:t xml:space="preserve"> راجع : </w:t>
      </w:r>
      <w:r w:rsidRPr="00A85CD7">
        <w:rPr>
          <w:rtl/>
        </w:rPr>
        <w:t>الصحاح</w:t>
      </w:r>
      <w:r w:rsidRPr="00132E65">
        <w:rPr>
          <w:rtl/>
        </w:rPr>
        <w:t xml:space="preserve"> ، ج 3 ، ص 1019 ؛ </w:t>
      </w:r>
      <w:r w:rsidRPr="00A85CD7">
        <w:rPr>
          <w:rtl/>
        </w:rPr>
        <w:t>النهاية</w:t>
      </w:r>
      <w:r w:rsidRPr="00132E65">
        <w:rPr>
          <w:rtl/>
        </w:rPr>
        <w:t xml:space="preserve"> ، ج 4 ، ص 333 ( مشش )</w:t>
      </w:r>
      <w:r>
        <w:rPr>
          <w:rtl/>
        </w:rPr>
        <w:t>.</w:t>
      </w:r>
    </w:p>
    <w:p w:rsidR="000C39D1" w:rsidRPr="00132E65" w:rsidRDefault="000C39D1" w:rsidP="000C39D1">
      <w:pPr>
        <w:pStyle w:val="libFootnote0"/>
        <w:rPr>
          <w:rtl/>
          <w:lang w:bidi="fa-IR"/>
        </w:rPr>
      </w:pPr>
      <w:r>
        <w:rPr>
          <w:rtl/>
        </w:rPr>
        <w:t>(4).</w:t>
      </w:r>
      <w:r w:rsidRPr="00132E65">
        <w:rPr>
          <w:rtl/>
        </w:rPr>
        <w:t xml:space="preserve"> « الاسترسال » : الاستئناس والطمأنينة إلى الإنسان والثقة به فيما يحدّثه به ، وأصله السكون والثبات. </w:t>
      </w:r>
      <w:r w:rsidRPr="00A85CD7">
        <w:rPr>
          <w:rtl/>
        </w:rPr>
        <w:t>النهاية</w:t>
      </w:r>
      <w:r w:rsidRPr="00132E65">
        <w:rPr>
          <w:rtl/>
        </w:rPr>
        <w:t xml:space="preserve"> ، ج 2 ، ص 223 ( رسل )</w:t>
      </w:r>
      <w:r>
        <w:rPr>
          <w:rtl/>
        </w:rPr>
        <w:t>.</w:t>
      </w:r>
    </w:p>
    <w:p w:rsidR="000C39D1" w:rsidRPr="00132E65" w:rsidRDefault="000C39D1" w:rsidP="000C39D1">
      <w:pPr>
        <w:pStyle w:val="libFootnote0"/>
        <w:rPr>
          <w:rtl/>
          <w:lang w:bidi="fa-IR"/>
        </w:rPr>
      </w:pPr>
      <w:r>
        <w:rPr>
          <w:rtl/>
        </w:rPr>
        <w:t>(5).</w:t>
      </w:r>
      <w:r w:rsidRPr="00132E65">
        <w:rPr>
          <w:rtl/>
        </w:rPr>
        <w:t xml:space="preserve"> في شرح المازندراني : « مسربته »</w:t>
      </w:r>
      <w:r>
        <w:rPr>
          <w:rtl/>
        </w:rPr>
        <w:t>.</w:t>
      </w:r>
      <w:r w:rsidRPr="00132E65">
        <w:rPr>
          <w:rtl/>
        </w:rPr>
        <w:t xml:space="preserve"> وفي </w:t>
      </w:r>
      <w:r w:rsidRPr="009D1ACE">
        <w:rPr>
          <w:rStyle w:val="libFootnoteBoldChar"/>
          <w:rtl/>
        </w:rPr>
        <w:t>الوافي</w:t>
      </w:r>
      <w:r w:rsidRPr="00132E65">
        <w:rPr>
          <w:rtl/>
        </w:rPr>
        <w:t xml:space="preserve"> : « سربة »</w:t>
      </w:r>
      <w:r>
        <w:rPr>
          <w:rtl/>
        </w:rPr>
        <w:t>.</w:t>
      </w:r>
      <w:r w:rsidRPr="00132E65">
        <w:rPr>
          <w:rtl/>
        </w:rPr>
        <w:t xml:space="preserve"> </w:t>
      </w:r>
      <w:r>
        <w:rPr>
          <w:rtl/>
        </w:rPr>
        <w:t>و «</w:t>
      </w:r>
      <w:r w:rsidRPr="00132E65">
        <w:rPr>
          <w:rtl/>
        </w:rPr>
        <w:t xml:space="preserve"> السُرْبَةُ » : الشعر المستدقّ الذي يأخذ من الصدر إلى السُرَّة ، أو النابت وسط الصدر إلى البطن. </w:t>
      </w:r>
      <w:r w:rsidRPr="009D1ACE">
        <w:rPr>
          <w:rStyle w:val="libFootnoteBoldChar"/>
          <w:rtl/>
        </w:rPr>
        <w:t>لسان العرب</w:t>
      </w:r>
      <w:r w:rsidRPr="00132E65">
        <w:rPr>
          <w:rtl/>
        </w:rPr>
        <w:t xml:space="preserve"> ، ج 1 ، ص 465 ( سرب )</w:t>
      </w:r>
      <w:r>
        <w:rPr>
          <w:rtl/>
        </w:rPr>
        <w:t>.</w:t>
      </w:r>
    </w:p>
    <w:p w:rsidR="000C39D1" w:rsidRPr="00132E65" w:rsidRDefault="000C39D1" w:rsidP="000C39D1">
      <w:pPr>
        <w:pStyle w:val="libFootnote0"/>
        <w:rPr>
          <w:rtl/>
          <w:lang w:bidi="fa-IR"/>
        </w:rPr>
      </w:pPr>
      <w:r>
        <w:rPr>
          <w:rtl/>
        </w:rPr>
        <w:t>(6).</w:t>
      </w:r>
      <w:r w:rsidRPr="00132E65">
        <w:rPr>
          <w:rtl/>
        </w:rPr>
        <w:t xml:space="preserve"> « اللَبَّةُ » : ال</w:t>
      </w:r>
      <w:r w:rsidR="00CC23D8">
        <w:rPr>
          <w:rFonts w:hint="cs"/>
          <w:rtl/>
        </w:rPr>
        <w:t>ـ</w:t>
      </w:r>
      <w:r w:rsidRPr="00132E65">
        <w:rPr>
          <w:rtl/>
        </w:rPr>
        <w:t xml:space="preserve">مَنْحَرُ ، وموضع القلادة من الصدر. </w:t>
      </w:r>
      <w:r w:rsidRPr="00A85CD7">
        <w:rPr>
          <w:rtl/>
        </w:rPr>
        <w:t>القاموس المحيط</w:t>
      </w:r>
      <w:r w:rsidRPr="00132E65">
        <w:rPr>
          <w:rtl/>
        </w:rPr>
        <w:t xml:space="preserve"> ، ج 1 ، ص 224 ( لبب )</w:t>
      </w:r>
      <w:r>
        <w:rPr>
          <w:rtl/>
        </w:rPr>
        <w:t>.</w:t>
      </w:r>
    </w:p>
    <w:p w:rsidR="000C39D1" w:rsidRPr="00132E65" w:rsidRDefault="000C39D1" w:rsidP="000C39D1">
      <w:pPr>
        <w:pStyle w:val="libFootnote0"/>
        <w:rPr>
          <w:rtl/>
          <w:lang w:bidi="fa-IR"/>
        </w:rPr>
      </w:pPr>
      <w:r>
        <w:rPr>
          <w:rtl/>
        </w:rPr>
        <w:t>(7).</w:t>
      </w:r>
      <w:r w:rsidRPr="00132E65">
        <w:rPr>
          <w:rtl/>
        </w:rPr>
        <w:t xml:space="preserve"> « الكاهِلُ » : الحارِكُ ، أو مقدّم أعلى الظهر ممّا يلي العنق وهو الثلث الأعلى وفيه ستّ فِقَر ، أو ما بين الكَتِفَيْن ، أو مَوْصِل العنق في الصُلْب. </w:t>
      </w:r>
      <w:r w:rsidRPr="00A85CD7">
        <w:rPr>
          <w:rtl/>
        </w:rPr>
        <w:t>القاموس المحيط</w:t>
      </w:r>
      <w:r w:rsidRPr="00132E65">
        <w:rPr>
          <w:rtl/>
        </w:rPr>
        <w:t xml:space="preserve"> ، ج 2 ، ص 1393 ( كهل )</w:t>
      </w:r>
      <w:r>
        <w:rPr>
          <w:rtl/>
        </w:rPr>
        <w:t>.</w:t>
      </w:r>
    </w:p>
    <w:p w:rsidR="000C39D1" w:rsidRPr="00132E65" w:rsidRDefault="000C39D1" w:rsidP="000C39D1">
      <w:pPr>
        <w:pStyle w:val="libFootnote0"/>
        <w:rPr>
          <w:rtl/>
          <w:lang w:bidi="fa-IR"/>
        </w:rPr>
      </w:pPr>
      <w:r>
        <w:rPr>
          <w:rtl/>
        </w:rPr>
        <w:t>(8).</w:t>
      </w:r>
      <w:r w:rsidRPr="00132E65">
        <w:rPr>
          <w:rtl/>
        </w:rPr>
        <w:t xml:space="preserve"> « الإبريق » : الشديد البرق واللمعان ، اسم من بَرَقَ السيفُ وغيرُه ، أي لَمَعَ وتلألأ. والمراد تشبيه عنقه الشريف بالفضّة الخالصة في البرق واللمعان. راجع : </w:t>
      </w:r>
      <w:r w:rsidRPr="009D1ACE">
        <w:rPr>
          <w:rStyle w:val="libFootnoteBoldChar"/>
          <w:rtl/>
        </w:rPr>
        <w:t>لسان العرب</w:t>
      </w:r>
      <w:r w:rsidRPr="00132E65">
        <w:rPr>
          <w:rtl/>
        </w:rPr>
        <w:t xml:space="preserve"> ، ج 10 ، ص 15 ( برق ) ؛ </w:t>
      </w:r>
      <w:r w:rsidRPr="00A85CD7">
        <w:rPr>
          <w:rtl/>
        </w:rPr>
        <w:t>شرح المازندراني</w:t>
      </w:r>
      <w:r w:rsidRPr="00132E65">
        <w:rPr>
          <w:rtl/>
        </w:rPr>
        <w:t xml:space="preserve"> ، ج 7 ، ص 149.</w:t>
      </w:r>
    </w:p>
    <w:p w:rsidR="000C39D1" w:rsidRPr="00132E65" w:rsidRDefault="000C39D1" w:rsidP="000C39D1">
      <w:pPr>
        <w:pStyle w:val="libFootnote0"/>
        <w:rPr>
          <w:rtl/>
          <w:lang w:bidi="fa-IR"/>
        </w:rPr>
      </w:pPr>
      <w:r>
        <w:rPr>
          <w:rtl/>
        </w:rPr>
        <w:t>(9).</w:t>
      </w:r>
      <w:r w:rsidRPr="00132E65">
        <w:rPr>
          <w:rtl/>
        </w:rPr>
        <w:t xml:space="preserve"> « تَكَفَّأَ » ، أي تمايل إلى قدّام. </w:t>
      </w:r>
      <w:r w:rsidRPr="00A85CD7">
        <w:rPr>
          <w:rtl/>
        </w:rPr>
        <w:t>النهاية</w:t>
      </w:r>
      <w:r w:rsidRPr="00132E65">
        <w:rPr>
          <w:rtl/>
        </w:rPr>
        <w:t xml:space="preserve"> ، ج 4 ، ص 183 ( كفأ )</w:t>
      </w:r>
      <w:r>
        <w:rPr>
          <w:rtl/>
        </w:rPr>
        <w:t>.</w:t>
      </w:r>
    </w:p>
    <w:p w:rsidR="000C39D1" w:rsidRPr="00132E65" w:rsidRDefault="000C39D1" w:rsidP="000C39D1">
      <w:pPr>
        <w:pStyle w:val="libFootnote0"/>
        <w:rPr>
          <w:rtl/>
          <w:lang w:bidi="fa-IR"/>
        </w:rPr>
      </w:pPr>
      <w:r>
        <w:rPr>
          <w:rtl/>
        </w:rPr>
        <w:t>(10).</w:t>
      </w:r>
      <w:r w:rsidRPr="00132E65">
        <w:rPr>
          <w:rtl/>
        </w:rPr>
        <w:t xml:space="preserve"> الصَبَبُ » : ما انحدر من الأرض. وجمعه أصْباب. وهذا ممّا يدلّ على تواضعه وخضوعه. راجع : </w:t>
      </w:r>
      <w:r w:rsidRPr="00A85CD7">
        <w:rPr>
          <w:rtl/>
        </w:rPr>
        <w:t>الصحاح</w:t>
      </w:r>
      <w:r w:rsidRPr="00132E65">
        <w:rPr>
          <w:rtl/>
        </w:rPr>
        <w:t xml:space="preserve"> ، ج 1 ، ص 161 ( صبب )</w:t>
      </w:r>
      <w:r>
        <w:rPr>
          <w:rtl/>
        </w:rPr>
        <w:t>.</w:t>
      </w:r>
    </w:p>
    <w:p w:rsidR="000C39D1" w:rsidRPr="00132E65" w:rsidRDefault="000C39D1" w:rsidP="00CC23D8">
      <w:pPr>
        <w:pStyle w:val="libFootnote0"/>
        <w:rPr>
          <w:rtl/>
          <w:lang w:bidi="fa-IR"/>
        </w:rPr>
      </w:pPr>
      <w:r>
        <w:rPr>
          <w:rtl/>
        </w:rPr>
        <w:t>(11).</w:t>
      </w:r>
      <w:r w:rsidRPr="00132E65">
        <w:rPr>
          <w:rtl/>
        </w:rPr>
        <w:t xml:space="preserve"> </w:t>
      </w:r>
      <w:r w:rsidRPr="00A85CD7">
        <w:rPr>
          <w:rtl/>
        </w:rPr>
        <w:t>الأمالي</w:t>
      </w:r>
      <w:r w:rsidRPr="00132E65">
        <w:rPr>
          <w:rtl/>
        </w:rPr>
        <w:t xml:space="preserve"> للطوسي ، ص 340 ، المجلس 12 ، ح 35 ، بسند آخر عن عليّ بن موسى ، عن آبائه ، عن عليّ </w:t>
      </w:r>
      <w:r w:rsidRPr="00CC23D8">
        <w:rPr>
          <w:rStyle w:val="libFootnoteAlaemChar"/>
          <w:rtl/>
        </w:rPr>
        <w:t>عليهم‌السلام</w:t>
      </w:r>
      <w:r w:rsidRPr="00132E65">
        <w:rPr>
          <w:rtl/>
        </w:rPr>
        <w:t xml:space="preserve"> ، مع اختلاف يسير</w:t>
      </w:r>
      <w:r w:rsidR="00CC23D8">
        <w:rPr>
          <w:rFonts w:hint="cs"/>
          <w:rtl/>
        </w:rPr>
        <w:t>.</w:t>
      </w:r>
      <w:r w:rsidRPr="009D1ACE">
        <w:rPr>
          <w:rStyle w:val="libFootnoteBoldChar"/>
          <w:rtl/>
        </w:rPr>
        <w:t>الوافي</w:t>
      </w:r>
      <w:r w:rsidRPr="00132E65">
        <w:rPr>
          <w:rtl/>
        </w:rPr>
        <w:t xml:space="preserve"> ، ج 3 ، ص 703 ، ح 1314 ؛ </w:t>
      </w:r>
      <w:r w:rsidRPr="00A85CD7">
        <w:rPr>
          <w:rtl/>
        </w:rPr>
        <w:t>البحار</w:t>
      </w:r>
      <w:r w:rsidRPr="00132E65">
        <w:rPr>
          <w:rtl/>
        </w:rPr>
        <w:t xml:space="preserve"> ، ج 16 ، ص 188 ، ح 23.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16933">
        <w:rPr>
          <w:rtl/>
        </w:rPr>
        <w:t>1206</w:t>
      </w:r>
      <w:r w:rsidRPr="004325D8">
        <w:rPr>
          <w:rStyle w:val="libBold2Char"/>
          <w:rtl/>
        </w:rPr>
        <w:t xml:space="preserve"> / 15.</w:t>
      </w:r>
      <w:r w:rsidRPr="00132E65">
        <w:rPr>
          <w:rtl/>
          <w:lang w:bidi="fa-IR"/>
        </w:rPr>
        <w:t xml:space="preserve"> عِدَّةٌ مِنْ أَصْحَابِنَا ، عَنْ أَحْمَدَ بْنِ مُحَمَّدٍ ، عَنِ ابْنِ فَضَّالٍ ، عَنْ أَبِي جَمِيلَةَ ، عَنْ مُحَمَّدٍ الْحَلَبِيِّ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رَسُولَ اللهِ </w:t>
      </w:r>
      <w:r w:rsidRPr="0093484F">
        <w:rPr>
          <w:rStyle w:val="libAlaemChar"/>
          <w:rFonts w:eastAsiaTheme="minorHAnsi"/>
          <w:rtl/>
        </w:rPr>
        <w:t>صلى‌الله‌عليه‌وآله</w:t>
      </w:r>
      <w:r w:rsidRPr="00132E65">
        <w:rPr>
          <w:rtl/>
          <w:lang w:bidi="fa-IR"/>
        </w:rPr>
        <w:t xml:space="preserve"> قَالَ : إِنَّ اللهَ مَثَّلَ لِي أُمَّتِي فِي الطِّينِ ، وعَلَّمَنِي أَسْمَاءَهُمْ كَمَا عَلَّمَ آدَمَ الْأَسْمَاءَ كُلَّهَا ، فَمَرَّ بِي أَصْحَابُ الرَّايَاتِ </w:t>
      </w:r>
      <w:r>
        <w:rPr>
          <w:rStyle w:val="libFootnotenumChar"/>
          <w:rtl/>
        </w:rPr>
        <w:t>(1)</w:t>
      </w:r>
      <w:r w:rsidRPr="00132E65">
        <w:rPr>
          <w:rtl/>
          <w:lang w:bidi="fa-IR"/>
        </w:rPr>
        <w:t xml:space="preserve"> ، فَاسْتَغْفَرْتُ لِعَلِيٍّ وشِيعَتِهِ ، إِنَّ رَبِّي وعَدَنِي فِي شِيعَةِ عَلِيٍّ خَصْلَةً </w:t>
      </w:r>
      <w:r>
        <w:rPr>
          <w:rStyle w:val="libFootnotenumChar"/>
          <w:rtl/>
        </w:rPr>
        <w:t>(2)</w:t>
      </w:r>
      <w:r w:rsidRPr="00132E65">
        <w:rPr>
          <w:rtl/>
          <w:lang w:bidi="fa-IR"/>
        </w:rPr>
        <w:t xml:space="preserve"> ، قِيلَ : يَا رَسُولَ اللهِ ، وَمَا هِيَ</w:t>
      </w:r>
      <w:r>
        <w:rPr>
          <w:rtl/>
          <w:lang w:bidi="fa-IR"/>
        </w:rPr>
        <w:t>؟</w:t>
      </w:r>
      <w:r w:rsidRPr="00132E65">
        <w:rPr>
          <w:rtl/>
          <w:lang w:bidi="fa-IR"/>
        </w:rPr>
        <w:t xml:space="preserve"> قَالَ : الْمَغْفِرَةُ لِمَنْ آمَنَ مِنْهُمْ ، وأَنْ </w:t>
      </w:r>
      <w:r>
        <w:rPr>
          <w:rStyle w:val="libFootnotenumChar"/>
          <w:rtl/>
        </w:rPr>
        <w:t>(3)</w:t>
      </w:r>
      <w:r w:rsidRPr="00132E65">
        <w:rPr>
          <w:rtl/>
          <w:lang w:bidi="fa-IR"/>
        </w:rPr>
        <w:t xml:space="preserve"> لَايُغَادِرَ </w:t>
      </w:r>
      <w:r>
        <w:rPr>
          <w:rStyle w:val="libFootnotenumChar"/>
          <w:rtl/>
        </w:rPr>
        <w:t>(4)</w:t>
      </w:r>
      <w:r w:rsidRPr="00132E65">
        <w:rPr>
          <w:rtl/>
          <w:lang w:bidi="fa-IR"/>
        </w:rPr>
        <w:t xml:space="preserve"> مِنْهُمْ صَغِيرَةً ولَاكَبِيرَةً </w:t>
      </w:r>
      <w:r>
        <w:rPr>
          <w:rStyle w:val="libFootnotenumChar"/>
          <w:rtl/>
        </w:rPr>
        <w:t>(5)</w:t>
      </w:r>
      <w:r w:rsidRPr="00132E65">
        <w:rPr>
          <w:rtl/>
          <w:lang w:bidi="fa-IR"/>
        </w:rPr>
        <w:t xml:space="preserve"> ، وَلَهُمْ تُبَدَّلُ السَّيِّئَاتُ حَسَنَاتٍ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616933">
        <w:rPr>
          <w:rtl/>
        </w:rPr>
        <w:t>1207</w:t>
      </w:r>
      <w:r w:rsidRPr="004325D8">
        <w:rPr>
          <w:rStyle w:val="libBold2Char"/>
          <w:rtl/>
        </w:rPr>
        <w:t xml:space="preserve"> / 16.</w:t>
      </w:r>
      <w:r w:rsidRPr="00132E65">
        <w:rPr>
          <w:rtl/>
          <w:lang w:bidi="fa-IR"/>
        </w:rPr>
        <w:t xml:space="preserve"> عَلِيُّ بْنُ إِبْرَاهِيمَ ، عَنْ أَبِيهِ ، عَنِ الْحُسَيْنِ </w:t>
      </w:r>
      <w:r>
        <w:rPr>
          <w:rStyle w:val="libFootnotenumChar"/>
          <w:rtl/>
        </w:rPr>
        <w:t>(7)</w:t>
      </w:r>
      <w:r w:rsidRPr="00132E65">
        <w:rPr>
          <w:rtl/>
          <w:lang w:bidi="fa-IR"/>
        </w:rPr>
        <w:t xml:space="preserve"> بْنِ سَيْفٍ ، عَنْ أَبِيهِ ، عَمَّنْ ذَكَرَهُ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خَطَبَ رَسُولُ اللهِ </w:t>
      </w:r>
      <w:r w:rsidRPr="0093484F">
        <w:rPr>
          <w:rStyle w:val="libAlaemChar"/>
          <w:rFonts w:eastAsiaTheme="minorHAnsi"/>
          <w:rtl/>
        </w:rPr>
        <w:t>صلى‌الله‌عليه‌وآله</w:t>
      </w:r>
      <w:r w:rsidRPr="00132E65">
        <w:rPr>
          <w:rtl/>
          <w:lang w:bidi="fa-IR"/>
        </w:rPr>
        <w:t xml:space="preserve"> النَّاسَ </w:t>
      </w:r>
      <w:r>
        <w:rPr>
          <w:rStyle w:val="libFootnotenumChar"/>
          <w:rtl/>
        </w:rPr>
        <w:t>(8)</w:t>
      </w:r>
      <w:r w:rsidRPr="00132E65">
        <w:rPr>
          <w:rtl/>
          <w:lang w:bidi="fa-IR"/>
        </w:rPr>
        <w:t xml:space="preserve"> ، ثُمَّ رَفَعَ يَدَهُ الْيُمْنى‌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وأصحاب الرايات : رؤساء الأديان المختلفة »</w:t>
      </w:r>
      <w:r>
        <w:rPr>
          <w:rtl/>
        </w:rPr>
        <w:t>.</w:t>
      </w:r>
    </w:p>
    <w:p w:rsidR="000C39D1" w:rsidRPr="00132E65" w:rsidRDefault="000C39D1" w:rsidP="000C39D1">
      <w:pPr>
        <w:pStyle w:val="libFootnote0"/>
        <w:rPr>
          <w:rtl/>
          <w:lang w:bidi="fa-IR"/>
        </w:rPr>
      </w:pPr>
      <w:r>
        <w:rPr>
          <w:rtl/>
        </w:rPr>
        <w:t>(2).</w:t>
      </w:r>
      <w:r w:rsidRPr="00132E65">
        <w:rPr>
          <w:rtl/>
        </w:rPr>
        <w:t xml:space="preserve"> في حاشية « ف » : « في شيعته على خصلة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وإن كان »</w:t>
      </w:r>
      <w:r>
        <w:rPr>
          <w:rtl/>
        </w:rPr>
        <w:t>.</w:t>
      </w:r>
      <w:r w:rsidRPr="00132E65">
        <w:rPr>
          <w:rtl/>
        </w:rPr>
        <w:t xml:space="preserve"> وفي البصائر ، ح 1 </w:t>
      </w:r>
      <w:r>
        <w:rPr>
          <w:rtl/>
        </w:rPr>
        <w:t>و 1</w:t>
      </w:r>
      <w:r w:rsidRPr="00132E65">
        <w:rPr>
          <w:rtl/>
        </w:rPr>
        <w:t xml:space="preserve">1 </w:t>
      </w:r>
      <w:r>
        <w:rPr>
          <w:rtl/>
        </w:rPr>
        <w:t xml:space="preserve">: - </w:t>
      </w:r>
      <w:r w:rsidRPr="00132E65">
        <w:rPr>
          <w:rtl/>
        </w:rPr>
        <w:t>« وأن »</w:t>
      </w:r>
      <w:r>
        <w:rPr>
          <w:rtl/>
        </w:rPr>
        <w:t>.</w:t>
      </w:r>
    </w:p>
    <w:p w:rsidR="000C39D1" w:rsidRPr="00132E65" w:rsidRDefault="000C39D1" w:rsidP="000C39D1">
      <w:pPr>
        <w:pStyle w:val="libFootnote0"/>
        <w:rPr>
          <w:rtl/>
          <w:lang w:bidi="fa-IR"/>
        </w:rPr>
      </w:pPr>
      <w:r>
        <w:rPr>
          <w:rtl/>
        </w:rPr>
        <w:t>(4).</w:t>
      </w:r>
      <w:r w:rsidRPr="00132E65">
        <w:rPr>
          <w:rtl/>
        </w:rPr>
        <w:t xml:space="preserve"> « ال</w:t>
      </w:r>
      <w:r w:rsidR="00CC23D8">
        <w:rPr>
          <w:rFonts w:hint="cs"/>
          <w:rtl/>
        </w:rPr>
        <w:t>ـ</w:t>
      </w:r>
      <w:r w:rsidRPr="00132E65">
        <w:rPr>
          <w:rtl/>
        </w:rPr>
        <w:t xml:space="preserve">مُغادَرَةُ » : الترك. </w:t>
      </w:r>
      <w:r w:rsidRPr="009D1ACE">
        <w:rPr>
          <w:rStyle w:val="libFootnoteBoldChar"/>
          <w:rtl/>
        </w:rPr>
        <w:t>لسان العرب</w:t>
      </w:r>
      <w:r w:rsidRPr="00132E65">
        <w:rPr>
          <w:rtl/>
        </w:rPr>
        <w:t xml:space="preserve"> ، ج 5 ، ص 8</w:t>
      </w:r>
      <w:r>
        <w:rPr>
          <w:rtl/>
        </w:rPr>
        <w:t xml:space="preserve"> - </w:t>
      </w:r>
      <w:r w:rsidRPr="00132E65">
        <w:rPr>
          <w:rtl/>
        </w:rPr>
        <w:t>9 ( غدر )</w:t>
      </w:r>
      <w:r>
        <w:rPr>
          <w:rtl/>
        </w:rPr>
        <w:t>.</w:t>
      </w:r>
    </w:p>
    <w:p w:rsidR="000C39D1" w:rsidRPr="00132E65" w:rsidRDefault="000C39D1" w:rsidP="000C39D1">
      <w:pPr>
        <w:pStyle w:val="libFootnote0"/>
        <w:rPr>
          <w:rtl/>
          <w:lang w:bidi="fa-IR"/>
        </w:rPr>
      </w:pPr>
      <w:r>
        <w:rPr>
          <w:rtl/>
        </w:rPr>
        <w:t>(5).</w:t>
      </w:r>
      <w:r w:rsidRPr="00132E65">
        <w:rPr>
          <w:rtl/>
        </w:rPr>
        <w:t xml:space="preserve"> في « ف » : « كبيرة ولا صغيرة »</w:t>
      </w:r>
      <w:r>
        <w:rPr>
          <w:rtl/>
        </w:rPr>
        <w:t>.</w:t>
      </w:r>
    </w:p>
    <w:p w:rsidR="000C39D1" w:rsidRPr="00132E65" w:rsidRDefault="000C39D1" w:rsidP="00CC23D8">
      <w:pPr>
        <w:pStyle w:val="libFootnote0"/>
        <w:rPr>
          <w:rtl/>
          <w:lang w:bidi="fa-IR"/>
        </w:rPr>
      </w:pPr>
      <w:r>
        <w:rPr>
          <w:rtl/>
        </w:rPr>
        <w:t>(6).</w:t>
      </w:r>
      <w:r w:rsidRPr="00132E65">
        <w:rPr>
          <w:rtl/>
        </w:rPr>
        <w:t xml:space="preserve"> </w:t>
      </w:r>
      <w:r w:rsidRPr="007A1104">
        <w:rPr>
          <w:rStyle w:val="libFootnoteBoldChar"/>
          <w:rtl/>
        </w:rPr>
        <w:t>بصائر الدرجات</w:t>
      </w:r>
      <w:r w:rsidRPr="00132E65">
        <w:rPr>
          <w:rtl/>
        </w:rPr>
        <w:t xml:space="preserve"> ، ص 83 ، ح 1 ، عن أحمد بن محمّد ويعقوب بن يزيد ، عن الحسن بن عليّ بن فضّال. </w:t>
      </w:r>
      <w:r w:rsidRPr="00616933">
        <w:rPr>
          <w:rtl/>
        </w:rPr>
        <w:t>وفيه</w:t>
      </w:r>
      <w:r w:rsidRPr="00132E65">
        <w:rPr>
          <w:rtl/>
        </w:rPr>
        <w:t xml:space="preserve"> ، ص 85 ، ح 11 ، بسند آخر عن أبي جعفر </w:t>
      </w:r>
      <w:r w:rsidRPr="00CC23D8">
        <w:rPr>
          <w:rStyle w:val="libFootnoteAlaemChar"/>
          <w:rtl/>
        </w:rPr>
        <w:t>عليه‌السلام</w:t>
      </w:r>
      <w:r w:rsidRPr="00132E65">
        <w:rPr>
          <w:rtl/>
        </w:rPr>
        <w:t xml:space="preserve">. راجع : </w:t>
      </w:r>
      <w:r w:rsidRPr="007A1104">
        <w:rPr>
          <w:rStyle w:val="libFootnoteBoldChar"/>
          <w:rtl/>
        </w:rPr>
        <w:t>بصائر الدرجات</w:t>
      </w:r>
      <w:r w:rsidRPr="00132E65">
        <w:rPr>
          <w:rtl/>
        </w:rPr>
        <w:t xml:space="preserve"> ، ص 84</w:t>
      </w:r>
      <w:r>
        <w:rPr>
          <w:rtl/>
        </w:rPr>
        <w:t xml:space="preserve"> - </w:t>
      </w:r>
      <w:r w:rsidRPr="00132E65">
        <w:rPr>
          <w:rtl/>
        </w:rPr>
        <w:t xml:space="preserve">86 ، ح 5 </w:t>
      </w:r>
      <w:r>
        <w:rPr>
          <w:rtl/>
        </w:rPr>
        <w:t>و 7</w:t>
      </w:r>
      <w:r w:rsidRPr="00132E65">
        <w:rPr>
          <w:rtl/>
        </w:rPr>
        <w:t xml:space="preserve"> </w:t>
      </w:r>
      <w:r>
        <w:rPr>
          <w:rtl/>
        </w:rPr>
        <w:t>و 1</w:t>
      </w:r>
      <w:r w:rsidRPr="00132E65">
        <w:rPr>
          <w:rtl/>
        </w:rPr>
        <w:t>2</w:t>
      </w:r>
      <w:r>
        <w:rPr>
          <w:rtl/>
        </w:rPr>
        <w:t xml:space="preserve"> - </w:t>
      </w:r>
      <w:r w:rsidRPr="00132E65">
        <w:rPr>
          <w:rtl/>
        </w:rPr>
        <w:t>15 ؛ و</w:t>
      </w:r>
      <w:r w:rsidRPr="00616933">
        <w:rPr>
          <w:rtl/>
        </w:rPr>
        <w:t xml:space="preserve">فضائل الشيعة </w:t>
      </w:r>
      <w:r w:rsidRPr="00132E65">
        <w:rPr>
          <w:rtl/>
        </w:rPr>
        <w:t>، ص 32 ، ضمن ح 27 ؛ و</w:t>
      </w:r>
      <w:r w:rsidRPr="00616933">
        <w:rPr>
          <w:rtl/>
        </w:rPr>
        <w:t>الأمالي</w:t>
      </w:r>
      <w:r w:rsidRPr="00132E65">
        <w:rPr>
          <w:rtl/>
        </w:rPr>
        <w:t xml:space="preserve"> للمفيد ، ص 89 ، المجلس 10 ، ح 5 ؛ وص 126 ، المجلس 15 ، ضمن ح 4 ؛ و</w:t>
      </w:r>
      <w:r w:rsidRPr="00616933">
        <w:rPr>
          <w:rtl/>
        </w:rPr>
        <w:t>الأمالي</w:t>
      </w:r>
      <w:r w:rsidRPr="00132E65">
        <w:rPr>
          <w:rtl/>
        </w:rPr>
        <w:t xml:space="preserve"> للطوسي ، ص 648 ، المجلس 33 ، ضمن ح 10 ؛ و</w:t>
      </w:r>
      <w:r w:rsidRPr="00616933">
        <w:rPr>
          <w:rtl/>
        </w:rPr>
        <w:t>تفسير فرات</w:t>
      </w:r>
      <w:r w:rsidRPr="00132E65">
        <w:rPr>
          <w:rtl/>
        </w:rPr>
        <w:t xml:space="preserve"> ، ص 392 ، ضمن ح 525 ؛ وص 544 ، ضمن ح 699</w:t>
      </w:r>
      <w:r w:rsidR="00CC23D8">
        <w:rPr>
          <w:rFonts w:hint="cs"/>
          <w:rtl/>
        </w:rPr>
        <w:t>.</w:t>
      </w:r>
      <w:r w:rsidRPr="009D1ACE">
        <w:rPr>
          <w:rStyle w:val="libFootnoteBoldChar"/>
          <w:rtl/>
        </w:rPr>
        <w:t>الوافي</w:t>
      </w:r>
      <w:r w:rsidRPr="00132E65">
        <w:rPr>
          <w:rtl/>
        </w:rPr>
        <w:t xml:space="preserve"> ، ج 4 ، ص 54 ، ح 1659.</w:t>
      </w:r>
    </w:p>
    <w:p w:rsidR="000C39D1" w:rsidRPr="00132E65" w:rsidRDefault="000C39D1" w:rsidP="000C39D1">
      <w:pPr>
        <w:pStyle w:val="libFootnote0"/>
        <w:rPr>
          <w:rtl/>
          <w:lang w:bidi="fa-IR"/>
        </w:rPr>
      </w:pPr>
      <w:r>
        <w:rPr>
          <w:rtl/>
        </w:rPr>
        <w:t>(7).</w:t>
      </w:r>
      <w:r w:rsidRPr="00132E65">
        <w:rPr>
          <w:rtl/>
        </w:rPr>
        <w:t xml:space="preserve"> هكذا في حاشية « بف »</w:t>
      </w:r>
      <w:r>
        <w:rPr>
          <w:rtl/>
        </w:rPr>
        <w:t>.</w:t>
      </w:r>
      <w:r w:rsidRPr="00132E65">
        <w:rPr>
          <w:rtl/>
        </w:rPr>
        <w:t xml:space="preserve"> وفي النسخ والمطبوع : « الحسن »</w:t>
      </w:r>
      <w:r>
        <w:rPr>
          <w:rtl/>
        </w:rPr>
        <w:t>.</w:t>
      </w:r>
    </w:p>
    <w:p w:rsidR="000C39D1" w:rsidRPr="00132E65" w:rsidRDefault="000C39D1" w:rsidP="000C39D1">
      <w:pPr>
        <w:pStyle w:val="libFootnote0"/>
        <w:rPr>
          <w:rtl/>
          <w:lang w:bidi="fa-IR"/>
        </w:rPr>
      </w:pPr>
      <w:r w:rsidRPr="00E55206">
        <w:rPr>
          <w:rtl/>
        </w:rPr>
        <w:t>والصواب ما أثبتناه ؛ فقد روى إبراهيم بن هاشم ، والد عليّ بن إبراهيم عن الحسين بن سيف عن أبيه في عدّة من الأسناد ، ا</w:t>
      </w:r>
      <w:r w:rsidR="00CC23D8" w:rsidRPr="00E55206">
        <w:rPr>
          <w:rFonts w:hint="cs"/>
          <w:rtl/>
        </w:rPr>
        <w:t>ُ</w:t>
      </w:r>
      <w:r w:rsidRPr="00E55206">
        <w:rPr>
          <w:rtl/>
        </w:rPr>
        <w:t xml:space="preserve">نظر على سبيل المثال : </w:t>
      </w:r>
      <w:r w:rsidRPr="007A1104">
        <w:rPr>
          <w:rStyle w:val="libFootnoteBoldChar"/>
          <w:rtl/>
        </w:rPr>
        <w:t>بصائر الدرجات</w:t>
      </w:r>
      <w:r w:rsidRPr="00E55206">
        <w:rPr>
          <w:rtl/>
        </w:rPr>
        <w:t xml:space="preserve"> ، ص 4 ، أحاديث 5 - 7 ، وص 69 ، ح 1 ، وص 186 ، ح 47 ، وص 260 ، ح 2 ، وص 297 ، ح 4.</w:t>
      </w:r>
    </w:p>
    <w:p w:rsidR="000C39D1" w:rsidRPr="00132E65" w:rsidRDefault="000C39D1" w:rsidP="000C39D1">
      <w:pPr>
        <w:pStyle w:val="libFootnote0"/>
        <w:rPr>
          <w:rtl/>
          <w:lang w:bidi="fa-IR"/>
        </w:rPr>
      </w:pPr>
      <w:r w:rsidRPr="00E55206">
        <w:rPr>
          <w:rtl/>
        </w:rPr>
        <w:t xml:space="preserve">والخبر رواه الصفّار في </w:t>
      </w:r>
      <w:r w:rsidRPr="007A1104">
        <w:rPr>
          <w:rStyle w:val="libFootnoteBoldChar"/>
          <w:rtl/>
        </w:rPr>
        <w:t>بصائر الدرجات</w:t>
      </w:r>
      <w:r w:rsidRPr="00E55206">
        <w:rPr>
          <w:rtl/>
        </w:rPr>
        <w:t xml:space="preserve"> ، ص 192 ، ح 4 - باختلاف يسير - عن إبراهيم بن هاشم ، عن الحسين بن سيف ، عن أبيه قال : حدّثني أبو القاسم عن محمّد بن عبد الله قال : سمعت جعفر بن محمّد </w:t>
      </w:r>
      <w:r w:rsidRPr="00C17CD8">
        <w:rPr>
          <w:rStyle w:val="libFootnoteAlaemChar"/>
          <w:rtl/>
        </w:rPr>
        <w:t>عليه‌السلام</w:t>
      </w:r>
      <w:r w:rsidRPr="00E55206">
        <w:rPr>
          <w:rtl/>
        </w:rPr>
        <w:t xml:space="preserve"> يقول : خطب رسول الله </w:t>
      </w:r>
      <w:r w:rsidRPr="00CC23D8">
        <w:rPr>
          <w:rStyle w:val="libFootnoteAlaemChar"/>
          <w:rFonts w:eastAsiaTheme="minorHAnsi"/>
          <w:rtl/>
        </w:rPr>
        <w:t>صلى‌الله‌عليه‌وآله</w:t>
      </w:r>
      <w:r w:rsidRPr="00132E65">
        <w:rPr>
          <w:rtl/>
          <w:lang w:bidi="fa-IR"/>
        </w:rPr>
        <w:t xml:space="preserve"> </w:t>
      </w:r>
      <w:r w:rsidRPr="00E55206">
        <w:rPr>
          <w:rtl/>
        </w:rPr>
        <w:t>، الخبر.</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يوماً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قَابِضاً </w:t>
      </w:r>
      <w:r>
        <w:rPr>
          <w:rStyle w:val="libFootnotenumChar"/>
          <w:rtl/>
        </w:rPr>
        <w:t>(1)</w:t>
      </w:r>
      <w:r w:rsidRPr="00132E65">
        <w:rPr>
          <w:rtl/>
          <w:lang w:bidi="fa-IR"/>
        </w:rPr>
        <w:t xml:space="preserve"> عَلى كَفِّه</w:t>
      </w:r>
      <w:r>
        <w:rPr>
          <w:rtl/>
          <w:lang w:bidi="fa-IR"/>
        </w:rPr>
        <w:t>ِ ، ثُمَّ قَالَ : أَ</w:t>
      </w:r>
      <w:r w:rsidRPr="00132E65">
        <w:rPr>
          <w:rtl/>
          <w:lang w:bidi="fa-IR"/>
        </w:rPr>
        <w:t>تَدْرُونَ</w:t>
      </w:r>
      <w:r>
        <w:rPr>
          <w:rtl/>
          <w:lang w:bidi="fa-IR"/>
        </w:rPr>
        <w:t xml:space="preserve"> - </w:t>
      </w:r>
      <w:r w:rsidRPr="00132E65">
        <w:rPr>
          <w:rtl/>
          <w:lang w:bidi="fa-IR"/>
        </w:rPr>
        <w:t>أَيُّهَا النَّاسُ</w:t>
      </w:r>
      <w:r>
        <w:rPr>
          <w:rtl/>
          <w:lang w:bidi="fa-IR"/>
        </w:rPr>
        <w:t xml:space="preserve"> - </w:t>
      </w:r>
      <w:r w:rsidRPr="00132E65">
        <w:rPr>
          <w:rtl/>
          <w:lang w:bidi="fa-IR"/>
        </w:rPr>
        <w:t>مَا فِي كَفِّي</w:t>
      </w:r>
      <w:r>
        <w:rPr>
          <w:rtl/>
          <w:lang w:bidi="fa-IR"/>
        </w:rPr>
        <w:t>؟</w:t>
      </w:r>
      <w:r w:rsidRPr="00132E65">
        <w:rPr>
          <w:rtl/>
          <w:lang w:bidi="fa-IR"/>
        </w:rPr>
        <w:t xml:space="preserve"> قَالُوا : اللهُ ورَسُولُهُ أَعْلَمُ ، فَقَالَ </w:t>
      </w:r>
      <w:r>
        <w:rPr>
          <w:rStyle w:val="libFootnotenumChar"/>
          <w:rtl/>
        </w:rPr>
        <w:t>(2)</w:t>
      </w:r>
      <w:r w:rsidRPr="00132E65">
        <w:rPr>
          <w:rtl/>
          <w:lang w:bidi="fa-IR"/>
        </w:rPr>
        <w:t xml:space="preserve"> : فِيهَا أَسْمَاءُ أَهْلِ الْجَنَّةِ وأَسْمَاءُ آبَائِهِمْ وقَبَائِلِهِمْ إِلى يَوْمِ الْقِيَامَةِ.</w:t>
      </w:r>
    </w:p>
    <w:p w:rsidR="000C39D1" w:rsidRPr="00132E65" w:rsidRDefault="000C39D1" w:rsidP="000C39D1">
      <w:pPr>
        <w:pStyle w:val="libNormal"/>
        <w:rPr>
          <w:rtl/>
          <w:lang w:bidi="fa-IR"/>
        </w:rPr>
      </w:pPr>
      <w:r w:rsidRPr="00132E65">
        <w:rPr>
          <w:rtl/>
          <w:lang w:bidi="fa-IR"/>
        </w:rPr>
        <w:t xml:space="preserve">ثُمَّ رَفَعَ يَدَهُ الشِّمَالَ </w:t>
      </w:r>
      <w:r>
        <w:rPr>
          <w:rStyle w:val="libFootnotenumChar"/>
          <w:rtl/>
        </w:rPr>
        <w:t>(3)</w:t>
      </w:r>
      <w:r w:rsidRPr="00132E65">
        <w:rPr>
          <w:rtl/>
          <w:lang w:bidi="fa-IR"/>
        </w:rPr>
        <w:t xml:space="preserve"> ، ف</w:t>
      </w:r>
      <w:r>
        <w:rPr>
          <w:rtl/>
          <w:lang w:bidi="fa-IR"/>
        </w:rPr>
        <w:t>َقَالَ : أَيُّهَا النَّاسُ ، أَ</w:t>
      </w:r>
      <w:r w:rsidRPr="00132E65">
        <w:rPr>
          <w:rtl/>
          <w:lang w:bidi="fa-IR"/>
        </w:rPr>
        <w:t>تَدْرُونَ مَا فِي كَفِّي</w:t>
      </w:r>
      <w:r>
        <w:rPr>
          <w:rtl/>
          <w:lang w:bidi="fa-IR"/>
        </w:rPr>
        <w:t>؟</w:t>
      </w:r>
      <w:r w:rsidRPr="00132E65">
        <w:rPr>
          <w:rtl/>
          <w:lang w:bidi="fa-IR"/>
        </w:rPr>
        <w:t xml:space="preserve"> قَالُوا : اللهُ ورَسُولُهُ أَعْلَمُ ، فَقَالَ </w:t>
      </w:r>
      <w:r>
        <w:rPr>
          <w:rStyle w:val="libFootnotenumChar"/>
          <w:rtl/>
        </w:rPr>
        <w:t>(4)</w:t>
      </w:r>
      <w:r w:rsidRPr="00132E65">
        <w:rPr>
          <w:rtl/>
          <w:lang w:bidi="fa-IR"/>
        </w:rPr>
        <w:t xml:space="preserve"> : أَسْمَاءُ أَهْلِ النَّارِ وأَسْمَاءُ </w:t>
      </w:r>
      <w:r>
        <w:rPr>
          <w:rStyle w:val="libFootnotenumChar"/>
          <w:rtl/>
        </w:rPr>
        <w:t>(5)</w:t>
      </w:r>
      <w:r w:rsidRPr="00132E65">
        <w:rPr>
          <w:rtl/>
          <w:lang w:bidi="fa-IR"/>
        </w:rPr>
        <w:t xml:space="preserve"> آبَائِهِمْ وقَبَائِلِهِمْ إِلى يَوْمِ الْقِيَامَةِ </w:t>
      </w:r>
      <w:r>
        <w:rPr>
          <w:rStyle w:val="libFootnotenumChar"/>
          <w:rtl/>
        </w:rPr>
        <w:t>(6)</w:t>
      </w:r>
    </w:p>
    <w:p w:rsidR="000C39D1" w:rsidRPr="00132E65" w:rsidRDefault="000C39D1" w:rsidP="000C39D1">
      <w:pPr>
        <w:pStyle w:val="libNormal"/>
        <w:rPr>
          <w:rtl/>
          <w:lang w:bidi="fa-IR"/>
        </w:rPr>
      </w:pPr>
      <w:r w:rsidRPr="00132E65">
        <w:rPr>
          <w:rtl/>
          <w:lang w:bidi="fa-IR"/>
        </w:rPr>
        <w:t xml:space="preserve">ثُمَّ قَالَ : حَكَمَ اللهُ وعَدَلَ ، حَكَمَ اللهُ وعَدَلَ ، حَكَمَ اللهُ وعَدَلَ </w:t>
      </w:r>
      <w:r>
        <w:rPr>
          <w:rStyle w:val="libFootnotenumChar"/>
          <w:rtl/>
        </w:rPr>
        <w:t>(7)</w:t>
      </w:r>
      <w:r w:rsidRPr="00132E65">
        <w:rPr>
          <w:rtl/>
          <w:lang w:bidi="fa-IR"/>
        </w:rPr>
        <w:t xml:space="preserve"> ، </w:t>
      </w:r>
      <w:r w:rsidRPr="00071CF9">
        <w:rPr>
          <w:rStyle w:val="libAlaemChar"/>
          <w:rtl/>
        </w:rPr>
        <w:t>(</w:t>
      </w:r>
      <w:r w:rsidRPr="00071CF9">
        <w:rPr>
          <w:rStyle w:val="libAieChar"/>
          <w:rtl/>
        </w:rPr>
        <w:t xml:space="preserve"> فَرِيقٌ فِي الْجَنَّةِ ، وَفَرِيقٌ فِي السَّعِيرِ </w:t>
      </w:r>
      <w:r w:rsidRPr="00071CF9">
        <w:rPr>
          <w:rStyle w:val="libAlaemChar"/>
          <w:rtl/>
        </w:rPr>
        <w:t>)</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616933">
        <w:rPr>
          <w:rtl/>
        </w:rPr>
        <w:t>1208</w:t>
      </w:r>
      <w:r w:rsidRPr="004325D8">
        <w:rPr>
          <w:rStyle w:val="libBold2Char"/>
          <w:rtl/>
        </w:rPr>
        <w:t xml:space="preserve"> / 17.</w:t>
      </w:r>
      <w:r w:rsidRPr="00132E65">
        <w:rPr>
          <w:rtl/>
          <w:lang w:bidi="fa-IR"/>
        </w:rPr>
        <w:t xml:space="preserve"> مُحَمَّدُ بْنُ يَحْيى ، عَنْ أَحْمَدَ بْنِ مُحَمَّدِ بْنِ عِيسى ، عَنِ الْحَسَنِ بْنِ مَحْبُوبٍ ، عَنْ إِسْحَاقَ بْنِ غَالِبٍ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خُطْبَةٍ لَهُ خَاصَّةً يَذْكُرُ فِيهَا </w:t>
      </w:r>
      <w:r>
        <w:rPr>
          <w:rStyle w:val="libFootnotenumChar"/>
          <w:rtl/>
        </w:rPr>
        <w:t>(9)</w:t>
      </w:r>
      <w:r w:rsidRPr="00132E65">
        <w:rPr>
          <w:rtl/>
          <w:lang w:bidi="fa-IR"/>
        </w:rPr>
        <w:t xml:space="preserve"> حَالَ النَّبِيِّ والْأَئِمَّةِ </w:t>
      </w:r>
      <w:r w:rsidRPr="00071CF9">
        <w:rPr>
          <w:rStyle w:val="libAlaemChar"/>
          <w:rtl/>
        </w:rPr>
        <w:t>عليهم‌السلام</w:t>
      </w:r>
      <w:r w:rsidRPr="00132E65">
        <w:rPr>
          <w:rtl/>
          <w:lang w:bidi="fa-IR"/>
        </w:rPr>
        <w:t xml:space="preserve"> وَصِفَاتِهِمْ : « فَلَمْ يَمْنَعْ رَبَّنَا</w:t>
      </w:r>
      <w:r>
        <w:rPr>
          <w:rtl/>
          <w:lang w:bidi="fa-IR"/>
        </w:rPr>
        <w:t xml:space="preserve"> - </w:t>
      </w:r>
      <w:r w:rsidRPr="00132E65">
        <w:rPr>
          <w:rtl/>
          <w:lang w:bidi="fa-IR"/>
        </w:rPr>
        <w:t xml:space="preserve">لِحِلْمِهِ وأَنَاتِهِ </w:t>
      </w:r>
      <w:r>
        <w:rPr>
          <w:rStyle w:val="libFootnotenumChar"/>
          <w:rtl/>
        </w:rPr>
        <w:t>(10)</w:t>
      </w:r>
      <w:r w:rsidRPr="00132E65">
        <w:rPr>
          <w:rtl/>
          <w:lang w:bidi="fa-IR"/>
        </w:rPr>
        <w:t xml:space="preserve"> وعَطْفِهِ</w:t>
      </w:r>
      <w:r>
        <w:rPr>
          <w:rtl/>
          <w:lang w:bidi="fa-IR"/>
        </w:rPr>
        <w:t xml:space="preserve"> - </w:t>
      </w:r>
      <w:r w:rsidRPr="00132E65">
        <w:rPr>
          <w:rtl/>
          <w:lang w:bidi="fa-IR"/>
        </w:rPr>
        <w:t xml:space="preserve">مَا كَانَ مِنْ عَظِيمِ جُرْمِهِمْ وقَبِيحِ أَفْعَالِهِمْ أَنِ انْتَجَبَ لَهُمْ أَحَبَّ أَنْبِيَائِهِ إِلَيْهِ ، وأَكْرَمَهُمْ عَلَيْهِ مُحَمَّدَ بْنَ عَبْدِ اللهِ </w:t>
      </w:r>
      <w:r w:rsidRPr="0093484F">
        <w:rPr>
          <w:rStyle w:val="libAlaemChar"/>
          <w:rFonts w:eastAsiaTheme="minorHAnsi"/>
          <w:rtl/>
        </w:rPr>
        <w:t>صلى‌الله‌عليه‌وآله</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بس » وحاشية « بح ، بر » وحاشية بدرالدين : « قابض » أي هو قابض.</w:t>
      </w:r>
    </w:p>
    <w:p w:rsidR="000C39D1" w:rsidRPr="00132E65" w:rsidRDefault="000C39D1" w:rsidP="000C39D1">
      <w:pPr>
        <w:pStyle w:val="libFootnote0"/>
        <w:rPr>
          <w:rtl/>
          <w:lang w:bidi="fa-IR"/>
        </w:rPr>
      </w:pPr>
      <w:r>
        <w:rPr>
          <w:rtl/>
        </w:rPr>
        <w:t>(2).</w:t>
      </w:r>
      <w:r w:rsidRPr="00132E65">
        <w:rPr>
          <w:rtl/>
        </w:rPr>
        <w:t xml:space="preserve"> في شرح المازندراني : « قال »</w:t>
      </w:r>
      <w:r>
        <w:rPr>
          <w:rtl/>
        </w:rPr>
        <w:t>.</w:t>
      </w:r>
    </w:p>
    <w:p w:rsidR="000C39D1" w:rsidRPr="00132E65" w:rsidRDefault="000C39D1" w:rsidP="000C39D1">
      <w:pPr>
        <w:pStyle w:val="libFootnote0"/>
        <w:rPr>
          <w:rtl/>
          <w:lang w:bidi="fa-IR"/>
        </w:rPr>
      </w:pPr>
      <w:r>
        <w:rPr>
          <w:rtl/>
        </w:rPr>
        <w:t>(3).</w:t>
      </w:r>
      <w:r w:rsidRPr="00132E65">
        <w:rPr>
          <w:rtl/>
        </w:rPr>
        <w:t xml:space="preserve"> في البصائر : « اليسرى »</w:t>
      </w:r>
      <w:r>
        <w:rPr>
          <w:rtl/>
        </w:rPr>
        <w:t>.</w:t>
      </w:r>
    </w:p>
    <w:p w:rsidR="000C39D1" w:rsidRPr="00132E65" w:rsidRDefault="000C39D1" w:rsidP="000C39D1">
      <w:pPr>
        <w:pStyle w:val="libFootnote0"/>
        <w:rPr>
          <w:rtl/>
          <w:lang w:bidi="fa-IR"/>
        </w:rPr>
      </w:pPr>
      <w:r>
        <w:rPr>
          <w:rtl/>
        </w:rPr>
        <w:t>(4).</w:t>
      </w:r>
      <w:r w:rsidRPr="00132E65">
        <w:rPr>
          <w:rtl/>
        </w:rPr>
        <w:t xml:space="preserve"> في البصائر :</w:t>
      </w:r>
      <w:r>
        <w:rPr>
          <w:rtl/>
        </w:rPr>
        <w:t xml:space="preserve"> + </w:t>
      </w:r>
      <w:r w:rsidRPr="00132E65">
        <w:rPr>
          <w:rtl/>
        </w:rPr>
        <w:t>« فيها »</w:t>
      </w:r>
      <w:r>
        <w:rPr>
          <w:rtl/>
        </w:rPr>
        <w:t>.</w:t>
      </w:r>
    </w:p>
    <w:p w:rsidR="000C39D1" w:rsidRPr="00132E65" w:rsidRDefault="000C39D1" w:rsidP="000C39D1">
      <w:pPr>
        <w:pStyle w:val="libFootnote0"/>
        <w:rPr>
          <w:rtl/>
          <w:lang w:bidi="fa-IR"/>
        </w:rPr>
      </w:pPr>
      <w:r>
        <w:rPr>
          <w:rtl/>
        </w:rPr>
        <w:t>(5).</w:t>
      </w:r>
      <w:r w:rsidRPr="00132E65">
        <w:rPr>
          <w:rtl/>
        </w:rPr>
        <w:t xml:space="preserve"> في « ض » </w:t>
      </w:r>
      <w:r>
        <w:rPr>
          <w:rtl/>
        </w:rPr>
        <w:t xml:space="preserve">: - </w:t>
      </w:r>
      <w:r w:rsidRPr="00132E65">
        <w:rPr>
          <w:rtl/>
        </w:rPr>
        <w:t>« أسماء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ل</w:t>
      </w:r>
      <w:r w:rsidR="00CC23D8">
        <w:rPr>
          <w:rFonts w:hint="cs"/>
          <w:rtl/>
        </w:rPr>
        <w:t>ـ</w:t>
      </w:r>
      <w:r w:rsidRPr="00132E65">
        <w:rPr>
          <w:rtl/>
        </w:rPr>
        <w:t>مّا كان نجاة الناجين من الا</w:t>
      </w:r>
      <w:r w:rsidR="002C014A">
        <w:rPr>
          <w:rFonts w:hint="cs"/>
          <w:rtl/>
        </w:rPr>
        <w:t>ُ</w:t>
      </w:r>
      <w:r w:rsidRPr="00132E65">
        <w:rPr>
          <w:rtl/>
        </w:rPr>
        <w:t xml:space="preserve">مّة وهلاك الهالكين منهم مسبّبين عن رسالته </w:t>
      </w:r>
      <w:r w:rsidRPr="00CC23D8">
        <w:rPr>
          <w:rStyle w:val="libFootnoteAlaemChar"/>
          <w:rFonts w:eastAsiaTheme="minorHAnsi"/>
          <w:rtl/>
        </w:rPr>
        <w:t>صلى‌الله‌عليه‌وآله</w:t>
      </w:r>
      <w:r w:rsidRPr="00132E65">
        <w:rPr>
          <w:rtl/>
          <w:lang w:bidi="fa-IR"/>
        </w:rPr>
        <w:t xml:space="preserve"> </w:t>
      </w:r>
      <w:r w:rsidRPr="00132E65">
        <w:rPr>
          <w:rtl/>
        </w:rPr>
        <w:t>وبها صار أحد الفريقين من أصحاب اليمين والآخر من أصحاب الشمال ، جاز التعبير عن هذا المعنى كون أسمائهما في كفّيه المباركين »</w:t>
      </w:r>
      <w:r>
        <w:rPr>
          <w:rtl/>
        </w:rPr>
        <w:t>.</w:t>
      </w:r>
    </w:p>
    <w:p w:rsidR="000C39D1" w:rsidRPr="00132E65" w:rsidRDefault="000C39D1" w:rsidP="000C39D1">
      <w:pPr>
        <w:pStyle w:val="libFootnote0"/>
        <w:rPr>
          <w:rtl/>
          <w:lang w:bidi="fa-IR"/>
        </w:rPr>
      </w:pPr>
      <w:r>
        <w:rPr>
          <w:rtl/>
        </w:rPr>
        <w:t>(7).</w:t>
      </w:r>
      <w:r w:rsidRPr="00132E65">
        <w:rPr>
          <w:rtl/>
        </w:rPr>
        <w:t xml:space="preserve"> هكذا في « ب ، ج ، ض ، ف ، بر ، بس ، بف » وشرح المازندراني و</w:t>
      </w:r>
      <w:r w:rsidRPr="009D1ACE">
        <w:rPr>
          <w:rStyle w:val="libFootnoteBoldChar"/>
          <w:rtl/>
        </w:rPr>
        <w:t>الوافي</w:t>
      </w:r>
      <w:r w:rsidRPr="00132E65">
        <w:rPr>
          <w:rtl/>
        </w:rPr>
        <w:t xml:space="preserve"> والبحار والبصائر. وفي المطبوع‌وبعض النسخ </w:t>
      </w:r>
      <w:r>
        <w:rPr>
          <w:rtl/>
        </w:rPr>
        <w:t xml:space="preserve">: - </w:t>
      </w:r>
      <w:r w:rsidRPr="00132E65">
        <w:rPr>
          <w:rtl/>
        </w:rPr>
        <w:t>« حكم الله وعدل » الثالث.</w:t>
      </w:r>
    </w:p>
    <w:p w:rsidR="000C39D1" w:rsidRPr="00132E65" w:rsidRDefault="000C39D1" w:rsidP="002C014A">
      <w:pPr>
        <w:pStyle w:val="libFootnote0"/>
        <w:rPr>
          <w:rtl/>
          <w:lang w:bidi="fa-IR"/>
        </w:rPr>
      </w:pPr>
      <w:r>
        <w:rPr>
          <w:rtl/>
        </w:rPr>
        <w:t>(8).</w:t>
      </w:r>
      <w:r w:rsidRPr="00132E65">
        <w:rPr>
          <w:rtl/>
        </w:rPr>
        <w:t xml:space="preserve"> </w:t>
      </w:r>
      <w:r w:rsidRPr="007A1104">
        <w:rPr>
          <w:rStyle w:val="libFootnoteBoldChar"/>
          <w:rtl/>
        </w:rPr>
        <w:t>بصائر الدرجات</w:t>
      </w:r>
      <w:r w:rsidRPr="00132E65">
        <w:rPr>
          <w:rtl/>
        </w:rPr>
        <w:t xml:space="preserve"> ، ص 192 ، ح 4 ، عن إبراهيم بن هاشم ، عن الحسين بن سيف ، عن أبيه ، عن أبي القاسم ، عن محمّد بن عبد الله ، عن أبي عبد الله </w:t>
      </w:r>
      <w:r w:rsidRPr="00CC23D8">
        <w:rPr>
          <w:rStyle w:val="libFootnoteAlaemChar"/>
          <w:rtl/>
        </w:rPr>
        <w:t>عليه‌السلام</w:t>
      </w:r>
      <w:r w:rsidR="002C014A">
        <w:rPr>
          <w:rFonts w:hint="cs"/>
          <w:rtl/>
        </w:rPr>
        <w:t>.</w:t>
      </w:r>
      <w:r w:rsidRPr="009D1ACE">
        <w:rPr>
          <w:rStyle w:val="libFootnoteBoldChar"/>
          <w:rtl/>
        </w:rPr>
        <w:t>الوافي</w:t>
      </w:r>
      <w:r w:rsidRPr="00132E65">
        <w:rPr>
          <w:rtl/>
        </w:rPr>
        <w:t xml:space="preserve"> ، ج 4 ، ص 5 ، ح 1660 ؛ </w:t>
      </w:r>
      <w:r w:rsidRPr="00616933">
        <w:rPr>
          <w:rtl/>
        </w:rPr>
        <w:t>البحار</w:t>
      </w:r>
      <w:r w:rsidRPr="00132E65">
        <w:rPr>
          <w:rtl/>
        </w:rPr>
        <w:t xml:space="preserve"> ، ج 17 ، ص 152 ، ح 55.</w:t>
      </w:r>
    </w:p>
    <w:p w:rsidR="000C39D1" w:rsidRPr="00132E65" w:rsidRDefault="000C39D1" w:rsidP="000C39D1">
      <w:pPr>
        <w:pStyle w:val="libFootnote0"/>
        <w:rPr>
          <w:rtl/>
          <w:lang w:bidi="fa-IR"/>
        </w:rPr>
      </w:pPr>
      <w:r>
        <w:rPr>
          <w:rtl/>
        </w:rPr>
        <w:t>(9).</w:t>
      </w:r>
      <w:r w:rsidRPr="00132E65">
        <w:rPr>
          <w:rtl/>
        </w:rPr>
        <w:t xml:space="preserve"> في « ف » : « فيها يذكر »</w:t>
      </w:r>
      <w:r>
        <w:rPr>
          <w:rtl/>
        </w:rPr>
        <w:t>.</w:t>
      </w:r>
    </w:p>
    <w:p w:rsidR="000C39D1" w:rsidRPr="00132E65" w:rsidRDefault="000C39D1" w:rsidP="000C39D1">
      <w:pPr>
        <w:pStyle w:val="libFootnote0"/>
        <w:rPr>
          <w:rtl/>
          <w:lang w:bidi="fa-IR"/>
        </w:rPr>
      </w:pPr>
      <w:r>
        <w:rPr>
          <w:rtl/>
        </w:rPr>
        <w:t>(10).</w:t>
      </w:r>
      <w:r w:rsidRPr="00132E65">
        <w:rPr>
          <w:rtl/>
        </w:rPr>
        <w:t xml:space="preserve"> « الأَناةُ » : العلم والوقار والتثبّت. راجع : </w:t>
      </w:r>
      <w:r w:rsidRPr="009D1ACE">
        <w:rPr>
          <w:rStyle w:val="libFootnoteBoldChar"/>
          <w:rtl/>
        </w:rPr>
        <w:t>لسان العرب</w:t>
      </w:r>
      <w:r w:rsidRPr="00132E65">
        <w:rPr>
          <w:rtl/>
        </w:rPr>
        <w:t xml:space="preserve"> ، ج 14 ، ص 48 ( أنى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C17CD8">
      <w:pPr>
        <w:pStyle w:val="libNormal0"/>
        <w:tabs>
          <w:tab w:val="left" w:pos="3968"/>
        </w:tabs>
        <w:rPr>
          <w:rtl/>
          <w:lang w:bidi="fa-IR"/>
        </w:rPr>
      </w:pPr>
      <w:r w:rsidRPr="00132E65">
        <w:rPr>
          <w:rtl/>
          <w:lang w:bidi="fa-IR"/>
        </w:rPr>
        <w:t xml:space="preserve">فِي حَوْمَةِ الْعِزِّ </w:t>
      </w:r>
      <w:r>
        <w:rPr>
          <w:rStyle w:val="libFootnotenumChar"/>
          <w:rtl/>
        </w:rPr>
        <w:t>(1)</w:t>
      </w:r>
      <w:r w:rsidRPr="00132E65">
        <w:rPr>
          <w:rtl/>
          <w:lang w:bidi="fa-IR"/>
        </w:rPr>
        <w:t xml:space="preserve"> مَوْلِدُهُ ، وفِي دَوْمَةِ </w:t>
      </w:r>
      <w:r>
        <w:rPr>
          <w:rStyle w:val="libFootnotenumChar"/>
          <w:rtl/>
        </w:rPr>
        <w:t>(2)</w:t>
      </w:r>
      <w:r w:rsidRPr="00132E65">
        <w:rPr>
          <w:rtl/>
          <w:lang w:bidi="fa-IR"/>
        </w:rPr>
        <w:t xml:space="preserve"> الْكَرَمِ مَحْتِدُهُ </w:t>
      </w:r>
      <w:r>
        <w:rPr>
          <w:rStyle w:val="libFootnotenumChar"/>
          <w:rtl/>
        </w:rPr>
        <w:t>(3)</w:t>
      </w:r>
      <w:r w:rsidRPr="00132E65">
        <w:rPr>
          <w:rtl/>
          <w:lang w:bidi="fa-IR"/>
        </w:rPr>
        <w:t xml:space="preserve"> ، غَيْرَ مَشُوبٍ حَسَبُهُ ، ولَا مَمْزُوجٍ نَسَبُهُ ، ولَامَجْهُولٍ عِنْدَ أَهْلِ الْعِلْمِ صِفَتُهُ ، بَشَّرَتْ بِهِ الْأَنْبِيَاءُ فِي كُتُبِهَا ، وَنَطَقَتْ بِهِ الْعُلَمَاءُ بِنَعْتِهَا ، وتَأَمَّلَتْهُ الْحُكَمَاءُ بِوَصْفِهَا ، مُهَذَّبٌ لَايُدَانى ، هَاشِمِيٌّ لَا يُوَازى ، أَبْطَحِيٌّ لَايُسَامى </w:t>
      </w:r>
      <w:r>
        <w:rPr>
          <w:rStyle w:val="libFootnotenumChar"/>
          <w:rtl/>
        </w:rPr>
        <w:t>(4)</w:t>
      </w:r>
      <w:r w:rsidRPr="00132E65">
        <w:rPr>
          <w:rtl/>
          <w:lang w:bidi="fa-IR"/>
        </w:rPr>
        <w:t xml:space="preserve"> ، شِيمَتُهُ </w:t>
      </w:r>
      <w:r>
        <w:rPr>
          <w:rStyle w:val="libFootnotenumChar"/>
          <w:rtl/>
        </w:rPr>
        <w:t>(5)</w:t>
      </w:r>
      <w:r w:rsidRPr="00132E65">
        <w:rPr>
          <w:rtl/>
          <w:lang w:bidi="fa-IR"/>
        </w:rPr>
        <w:t xml:space="preserve"> الْحَيَاءُ ، وطَبِيعَتُهُ السَّخَاءُ ، مَجْبُولٌ عَلى أَوْقَارِ </w:t>
      </w:r>
      <w:r>
        <w:rPr>
          <w:rStyle w:val="libFootnotenumChar"/>
          <w:rtl/>
        </w:rPr>
        <w:t>(6)</w:t>
      </w:r>
      <w:r w:rsidRPr="00132E65">
        <w:rPr>
          <w:rtl/>
          <w:lang w:bidi="fa-IR"/>
        </w:rPr>
        <w:t xml:space="preserve"> النُّبُوَّةِ وأَخْلَاقِهَا ، مَطْبُوعٌ عَلى أَوْصَافِ الرِّسَالَةِ وأَحْلَامِهَا </w:t>
      </w:r>
      <w:r>
        <w:rPr>
          <w:rStyle w:val="libFootnotenumChar"/>
          <w:rtl/>
        </w:rPr>
        <w:t>(7)</w:t>
      </w:r>
      <w:r w:rsidRPr="00132E65">
        <w:rPr>
          <w:rtl/>
          <w:lang w:bidi="fa-IR"/>
        </w:rPr>
        <w:t xml:space="preserve"> ، إِلى أَنِ انْتَهَتْ بِهِ أَسْبَابُ مَقَادِيرِ اللهِ إِلى أَوْقَاتِهَا ، وجَرى بِأَمْرِ اللهِ الْقَضَاءُ فِيهِ إِلى نِهَايَاتِهَا ، أَدَّاهُ </w:t>
      </w:r>
      <w:r>
        <w:rPr>
          <w:rStyle w:val="libFootnotenumChar"/>
          <w:rtl/>
        </w:rPr>
        <w:t>(8)</w:t>
      </w:r>
      <w:r w:rsidRPr="00132E65">
        <w:rPr>
          <w:rtl/>
          <w:lang w:bidi="fa-IR"/>
        </w:rPr>
        <w:t xml:space="preserve"> مَحْتُومُ قَضَاءِ اللهِ إِلى غَايَاتِهَا ، تُبَشِّرُ </w:t>
      </w:r>
      <w:r>
        <w:rPr>
          <w:rStyle w:val="libFootnotenumChar"/>
          <w:rtl/>
        </w:rPr>
        <w:t>(9)</w:t>
      </w:r>
      <w:r w:rsidRPr="00132E65">
        <w:rPr>
          <w:rtl/>
          <w:lang w:bidi="fa-IR"/>
        </w:rPr>
        <w:t xml:space="preserve"> بِهِ كُلُّ أُمَّةٍ مَنْ بَعْدَهَا ، ويَدْفَعُهُ كُلُّ أَبٍ إِلى أَبٍ مِنْ ظَهْرٍ إِلى ظَهْرٍ </w:t>
      </w:r>
      <w:r>
        <w:rPr>
          <w:rStyle w:val="libFootnotenumChar"/>
          <w:rtl/>
        </w:rPr>
        <w:t>(10)</w:t>
      </w:r>
      <w:r w:rsidRPr="00132E65">
        <w:rPr>
          <w:rtl/>
          <w:lang w:bidi="fa-IR"/>
        </w:rPr>
        <w:t xml:space="preserve"> ، لَمْ يَخْلِطْهُ فِي عُنْصُرِهِ </w:t>
      </w:r>
      <w:r>
        <w:rPr>
          <w:rStyle w:val="libFootnotenumChar"/>
          <w:rtl/>
        </w:rPr>
        <w:t>(11)</w:t>
      </w:r>
      <w:r w:rsidRPr="00132E65">
        <w:rPr>
          <w:rtl/>
          <w:lang w:bidi="fa-IR"/>
        </w:rPr>
        <w:t xml:space="preserve"> سِفَاحٌ </w:t>
      </w:r>
      <w:r>
        <w:rPr>
          <w:rStyle w:val="libFootnotenumChar"/>
          <w:rtl/>
        </w:rPr>
        <w:t>(12)</w:t>
      </w:r>
      <w:r w:rsidRPr="00132E65">
        <w:rPr>
          <w:rtl/>
          <w:lang w:bidi="fa-IR"/>
        </w:rPr>
        <w:t xml:space="preserve"> ، ولَمْ‌</w:t>
      </w:r>
      <w:r w:rsidR="00C17CD8">
        <w:rPr>
          <w:rFonts w:hint="cs"/>
          <w:rtl/>
          <w:lang w:bidi="fa-IR"/>
        </w:rPr>
        <w:t>...............................................</w:t>
      </w:r>
      <w:r w:rsidR="002C014A">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حَوْمَةُ العزّ » : معظمه. حومة القتال والرمل وغيره ، أي معظمه. راجع : </w:t>
      </w:r>
      <w:r w:rsidRPr="00616933">
        <w:rPr>
          <w:rtl/>
        </w:rPr>
        <w:t>الصحاح</w:t>
      </w:r>
      <w:r w:rsidRPr="00132E65">
        <w:rPr>
          <w:rtl/>
        </w:rPr>
        <w:t xml:space="preserve"> ، ج 5 ، ص 1908 ( حوم )</w:t>
      </w:r>
      <w:r>
        <w:rPr>
          <w:rtl/>
        </w:rPr>
        <w:t>.</w:t>
      </w:r>
    </w:p>
    <w:p w:rsidR="000C39D1" w:rsidRPr="00132E65" w:rsidRDefault="000C39D1" w:rsidP="000C39D1">
      <w:pPr>
        <w:pStyle w:val="libFootnote0"/>
        <w:rPr>
          <w:rtl/>
          <w:lang w:bidi="fa-IR"/>
        </w:rPr>
      </w:pPr>
      <w:r>
        <w:rPr>
          <w:rtl/>
        </w:rPr>
        <w:t>(2).</w:t>
      </w:r>
      <w:r w:rsidRPr="00132E65">
        <w:rPr>
          <w:rtl/>
        </w:rPr>
        <w:t xml:space="preserve"> « الدَوْمةُ » : واحدة الدَوْم ، وهي ضِخام الشجر. وقيل : هو شجر المُقْل. قال الجوهري : « أصحاب اللغة يقولونه بضمّ الدال ، وأصحاب الحديث يفتحونها »</w:t>
      </w:r>
      <w:r>
        <w:rPr>
          <w:rtl/>
        </w:rPr>
        <w:t>.</w:t>
      </w:r>
      <w:r w:rsidRPr="00132E65">
        <w:rPr>
          <w:rtl/>
        </w:rPr>
        <w:t xml:space="preserve"> وفي </w:t>
      </w:r>
      <w:r w:rsidRPr="009D1ACE">
        <w:rPr>
          <w:rStyle w:val="libFootnoteBoldChar"/>
          <w:rtl/>
        </w:rPr>
        <w:t>الوافي</w:t>
      </w:r>
      <w:r w:rsidRPr="00132E65">
        <w:rPr>
          <w:rtl/>
        </w:rPr>
        <w:t xml:space="preserve"> : « دَوْمة الشي‌ء : أصله »</w:t>
      </w:r>
      <w:r>
        <w:rPr>
          <w:rtl/>
        </w:rPr>
        <w:t>.</w:t>
      </w:r>
      <w:r w:rsidRPr="00132E65">
        <w:rPr>
          <w:rtl/>
        </w:rPr>
        <w:t xml:space="preserve"> راجع : </w:t>
      </w:r>
      <w:r w:rsidRPr="00616933">
        <w:rPr>
          <w:rtl/>
        </w:rPr>
        <w:t>الصحاح</w:t>
      </w:r>
      <w:r w:rsidRPr="00132E65">
        <w:rPr>
          <w:rtl/>
        </w:rPr>
        <w:t xml:space="preserve"> ، ج 5 ، ص 1923 ؛ </w:t>
      </w:r>
      <w:r w:rsidRPr="00616933">
        <w:rPr>
          <w:rtl/>
        </w:rPr>
        <w:t>النهاية</w:t>
      </w:r>
      <w:r w:rsidRPr="00132E65">
        <w:rPr>
          <w:rtl/>
        </w:rPr>
        <w:t xml:space="preserve"> ، ج 2 ، ص 141 ( دوم )</w:t>
      </w:r>
      <w:r>
        <w:rPr>
          <w:rtl/>
        </w:rPr>
        <w:t>.</w:t>
      </w:r>
    </w:p>
    <w:p w:rsidR="000C39D1" w:rsidRPr="00132E65" w:rsidRDefault="000C39D1" w:rsidP="000C39D1">
      <w:pPr>
        <w:pStyle w:val="libFootnote0"/>
        <w:rPr>
          <w:rtl/>
          <w:lang w:bidi="fa-IR"/>
        </w:rPr>
      </w:pPr>
      <w:r>
        <w:rPr>
          <w:rtl/>
        </w:rPr>
        <w:t>(3).</w:t>
      </w:r>
      <w:r w:rsidRPr="00132E65">
        <w:rPr>
          <w:rtl/>
        </w:rPr>
        <w:t xml:space="preserve"> في البحار </w:t>
      </w:r>
      <w:r>
        <w:rPr>
          <w:rtl/>
        </w:rPr>
        <w:t xml:space="preserve">: - </w:t>
      </w:r>
      <w:r w:rsidRPr="00132E65">
        <w:rPr>
          <w:rtl/>
        </w:rPr>
        <w:t>« محتده »</w:t>
      </w:r>
      <w:r>
        <w:rPr>
          <w:rtl/>
        </w:rPr>
        <w:t>.</w:t>
      </w:r>
      <w:r w:rsidRPr="00132E65">
        <w:rPr>
          <w:rtl/>
        </w:rPr>
        <w:t xml:space="preserve"> وقال الجوهري : « حَتَدَ بالمكان يَحْتِدُ : أقام به وثبت. وال</w:t>
      </w:r>
      <w:r w:rsidR="002C014A">
        <w:rPr>
          <w:rFonts w:hint="cs"/>
          <w:rtl/>
        </w:rPr>
        <w:t>ـ</w:t>
      </w:r>
      <w:r w:rsidRPr="00132E65">
        <w:rPr>
          <w:rtl/>
        </w:rPr>
        <w:t>مَحْتِدُ : الأصل ، يقال : فلان من مَحْتِدِ صدقٍ ومَحْفِدِ صدقٍ »</w:t>
      </w:r>
      <w:r>
        <w:rPr>
          <w:rtl/>
        </w:rPr>
        <w:t>.</w:t>
      </w:r>
      <w:r w:rsidRPr="00132E65">
        <w:rPr>
          <w:rtl/>
        </w:rPr>
        <w:t xml:space="preserve"> والمراد : المقام والمسكن. راجع : </w:t>
      </w:r>
      <w:r w:rsidRPr="00616933">
        <w:rPr>
          <w:rtl/>
        </w:rPr>
        <w:t>الصحاح</w:t>
      </w:r>
      <w:r w:rsidRPr="00132E65">
        <w:rPr>
          <w:rtl/>
        </w:rPr>
        <w:t xml:space="preserve"> ، ج 2 ، ص 462 ( حتد )</w:t>
      </w:r>
      <w:r>
        <w:rPr>
          <w:rtl/>
        </w:rPr>
        <w:t>.</w:t>
      </w:r>
    </w:p>
    <w:p w:rsidR="000C39D1" w:rsidRPr="00132E65" w:rsidRDefault="000C39D1" w:rsidP="000C39D1">
      <w:pPr>
        <w:pStyle w:val="libFootnote0"/>
        <w:rPr>
          <w:rtl/>
          <w:lang w:bidi="fa-IR"/>
        </w:rPr>
      </w:pPr>
      <w:r>
        <w:rPr>
          <w:rtl/>
        </w:rPr>
        <w:t>(4).</w:t>
      </w:r>
      <w:r w:rsidRPr="00132E65">
        <w:rPr>
          <w:rtl/>
        </w:rPr>
        <w:t xml:space="preserve"> « لا يُسامى » ، أي لا يغالَب في السُمُوّ والرفعة ، من المساماة : المفاخرة. يقال : ساماه : فاخره وطاوله ، أي غالبه‌في الطَوْل والفضل وفي صفة من الأوصاف ، من السموّ بمعنى الارتفاع. وفي </w:t>
      </w:r>
      <w:r w:rsidRPr="009D1ACE">
        <w:rPr>
          <w:rStyle w:val="libFootnoteBoldChar"/>
          <w:rtl/>
        </w:rPr>
        <w:t>الوافي</w:t>
      </w:r>
      <w:r w:rsidRPr="00132E65">
        <w:rPr>
          <w:rtl/>
        </w:rPr>
        <w:t xml:space="preserve"> : « الموازاة والمساواة : وهي بمعنى الارتفاع والعلوّ ، يعني ليس في ارتفاعه وعلوّه أحد »</w:t>
      </w:r>
      <w:r>
        <w:rPr>
          <w:rtl/>
        </w:rPr>
        <w:t>.</w:t>
      </w:r>
      <w:r w:rsidRPr="00132E65">
        <w:rPr>
          <w:rtl/>
        </w:rPr>
        <w:t xml:space="preserve"> راجع : </w:t>
      </w:r>
      <w:r w:rsidRPr="009D1ACE">
        <w:rPr>
          <w:rStyle w:val="libFootnoteBoldChar"/>
          <w:rtl/>
        </w:rPr>
        <w:t>لسان العرب</w:t>
      </w:r>
      <w:r w:rsidRPr="00132E65">
        <w:rPr>
          <w:rtl/>
        </w:rPr>
        <w:t xml:space="preserve"> ، ج 14 ، ص 397 ( سمو )</w:t>
      </w:r>
      <w:r>
        <w:rPr>
          <w:rtl/>
        </w:rPr>
        <w:t>.</w:t>
      </w:r>
    </w:p>
    <w:p w:rsidR="000C39D1" w:rsidRPr="00132E65" w:rsidRDefault="000C39D1" w:rsidP="000C39D1">
      <w:pPr>
        <w:pStyle w:val="libFootnote0"/>
        <w:rPr>
          <w:rtl/>
          <w:lang w:bidi="fa-IR"/>
        </w:rPr>
      </w:pPr>
      <w:r>
        <w:rPr>
          <w:rtl/>
        </w:rPr>
        <w:t>(5).</w:t>
      </w:r>
      <w:r w:rsidRPr="00132E65">
        <w:rPr>
          <w:rtl/>
        </w:rPr>
        <w:t xml:space="preserve"> « الشِيمةُ » : الخُلُق والطبيعة. </w:t>
      </w:r>
      <w:r w:rsidRPr="009D1ACE">
        <w:rPr>
          <w:rStyle w:val="libFootnoteBoldChar"/>
          <w:rtl/>
        </w:rPr>
        <w:t>لسان العرب</w:t>
      </w:r>
      <w:r w:rsidRPr="00132E65">
        <w:rPr>
          <w:rtl/>
        </w:rPr>
        <w:t xml:space="preserve"> ، ج 12 ، ص 329 ( شيم )</w:t>
      </w:r>
      <w:r>
        <w:rPr>
          <w:rtl/>
        </w:rPr>
        <w:t>.</w:t>
      </w:r>
    </w:p>
    <w:p w:rsidR="000C39D1" w:rsidRPr="00132E65" w:rsidRDefault="000C39D1" w:rsidP="000C39D1">
      <w:pPr>
        <w:pStyle w:val="libFootnote0"/>
        <w:rPr>
          <w:rtl/>
          <w:lang w:bidi="fa-IR"/>
        </w:rPr>
      </w:pPr>
      <w:r>
        <w:rPr>
          <w:rtl/>
        </w:rPr>
        <w:t>(6).</w:t>
      </w:r>
      <w:r w:rsidRPr="00132E65">
        <w:rPr>
          <w:rtl/>
        </w:rPr>
        <w:t xml:space="preserve"> « الأَوْقارُ » : جمع الوِقْر ، الحِمْلُ الثقيل ، أو أعمّ. والحِمْل : ما يُحْمَل. </w:t>
      </w:r>
      <w:r w:rsidRPr="00616933">
        <w:rPr>
          <w:rtl/>
        </w:rPr>
        <w:t>القاموس المحيط</w:t>
      </w:r>
      <w:r w:rsidRPr="00132E65">
        <w:rPr>
          <w:rtl/>
        </w:rPr>
        <w:t xml:space="preserve"> ، ج 1 ، ص 683 ( وقر )</w:t>
      </w:r>
      <w:r>
        <w:rPr>
          <w:rtl/>
        </w:rPr>
        <w:t>.</w:t>
      </w:r>
    </w:p>
    <w:p w:rsidR="000C39D1" w:rsidRPr="00132E65" w:rsidRDefault="000C39D1" w:rsidP="002C014A">
      <w:pPr>
        <w:pStyle w:val="libFootnote0"/>
        <w:rPr>
          <w:rtl/>
          <w:lang w:bidi="fa-IR"/>
        </w:rPr>
      </w:pPr>
      <w:r>
        <w:rPr>
          <w:rtl/>
        </w:rPr>
        <w:t>(7).</w:t>
      </w:r>
      <w:r w:rsidRPr="00132E65">
        <w:rPr>
          <w:rtl/>
        </w:rPr>
        <w:t xml:space="preserve"> « الأَحْلامُ » : جمع الحِلْم ، وهو العقل ، وكأنّه من الحِلْم ، بمعنى الأناة والتثبّت في الا</w:t>
      </w:r>
      <w:r w:rsidR="002C014A">
        <w:rPr>
          <w:rFonts w:hint="cs"/>
          <w:rtl/>
        </w:rPr>
        <w:t>ُ</w:t>
      </w:r>
      <w:r w:rsidRPr="00132E65">
        <w:rPr>
          <w:rtl/>
        </w:rPr>
        <w:t xml:space="preserve">مور ، وذلك من شعار العقلاء. </w:t>
      </w:r>
      <w:r w:rsidRPr="00616933">
        <w:rPr>
          <w:rtl/>
        </w:rPr>
        <w:t>النهاية</w:t>
      </w:r>
      <w:r w:rsidRPr="00132E65">
        <w:rPr>
          <w:rtl/>
        </w:rPr>
        <w:t xml:space="preserve"> ، ج 1 ، ص 434 ( حلم )</w:t>
      </w:r>
      <w:r>
        <w:rPr>
          <w:rtl/>
        </w:rPr>
        <w:t>.</w:t>
      </w:r>
      <w:r w:rsidR="002C014A">
        <w:rPr>
          <w:rFonts w:hint="cs"/>
          <w:rtl/>
        </w:rPr>
        <w:t xml:space="preserve">                       </w:t>
      </w:r>
      <w:r>
        <w:rPr>
          <w:rtl/>
        </w:rPr>
        <w:t>(8).</w:t>
      </w:r>
      <w:r w:rsidRPr="00132E65">
        <w:rPr>
          <w:rtl/>
        </w:rPr>
        <w:t xml:space="preserve"> في </w:t>
      </w:r>
      <w:r w:rsidRPr="009D1ACE">
        <w:rPr>
          <w:rStyle w:val="libFootnoteBoldChar"/>
          <w:rtl/>
        </w:rPr>
        <w:t>الوافي</w:t>
      </w:r>
      <w:r w:rsidRPr="00132E65">
        <w:rPr>
          <w:rtl/>
        </w:rPr>
        <w:t xml:space="preserve"> : « أدّى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يبشّر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مرآة العقول</w:t>
      </w:r>
      <w:r w:rsidRPr="00132E65">
        <w:rPr>
          <w:rtl/>
        </w:rPr>
        <w:t xml:space="preserve"> : « في بعض النسخ بالطاء المهملة ، أي من مسلم إلى مسلم »</w:t>
      </w:r>
      <w:r>
        <w:rPr>
          <w:rtl/>
        </w:rPr>
        <w:t>.</w:t>
      </w:r>
      <w:r w:rsidRPr="00132E65">
        <w:rPr>
          <w:rtl/>
        </w:rPr>
        <w:t xml:space="preserve"> أي من طهر إلى طهر.</w:t>
      </w:r>
    </w:p>
    <w:p w:rsidR="000C39D1" w:rsidRPr="00132E65" w:rsidRDefault="000C39D1" w:rsidP="000C39D1">
      <w:pPr>
        <w:pStyle w:val="libFootnote0"/>
        <w:rPr>
          <w:rtl/>
          <w:lang w:bidi="fa-IR"/>
        </w:rPr>
      </w:pPr>
      <w:r>
        <w:rPr>
          <w:rtl/>
        </w:rPr>
        <w:t>(11).</w:t>
      </w:r>
      <w:r w:rsidRPr="00132E65">
        <w:rPr>
          <w:rtl/>
        </w:rPr>
        <w:t xml:space="preserve"> « العُنْصُر » </w:t>
      </w:r>
      <w:r>
        <w:rPr>
          <w:rtl/>
        </w:rPr>
        <w:t>و «</w:t>
      </w:r>
      <w:r w:rsidRPr="00132E65">
        <w:rPr>
          <w:rtl/>
        </w:rPr>
        <w:t xml:space="preserve"> العُنْصَرُ » : الأصل. </w:t>
      </w:r>
      <w:r w:rsidRPr="00616933">
        <w:rPr>
          <w:rtl/>
        </w:rPr>
        <w:t>النهاية</w:t>
      </w:r>
      <w:r w:rsidRPr="00132E65">
        <w:rPr>
          <w:rtl/>
        </w:rPr>
        <w:t xml:space="preserve"> ، ج 3 ، ص 309 ( عنصر )</w:t>
      </w:r>
      <w:r>
        <w:rPr>
          <w:rtl/>
        </w:rPr>
        <w:t>.</w:t>
      </w:r>
    </w:p>
    <w:p w:rsidR="000C39D1" w:rsidRPr="00132E65" w:rsidRDefault="000C39D1" w:rsidP="000C39D1">
      <w:pPr>
        <w:pStyle w:val="libFootnote0"/>
        <w:rPr>
          <w:rtl/>
          <w:lang w:bidi="fa-IR"/>
        </w:rPr>
      </w:pPr>
      <w:r>
        <w:rPr>
          <w:rtl/>
        </w:rPr>
        <w:t>(12).</w:t>
      </w:r>
      <w:r w:rsidRPr="00132E65">
        <w:rPr>
          <w:rtl/>
        </w:rPr>
        <w:t xml:space="preserve"> « السِفاحُ » : الزنا ، مأخوذ من سَفَحْتُ الماء إذا صَبَبْتَهُ. </w:t>
      </w:r>
      <w:r w:rsidRPr="00616933">
        <w:rPr>
          <w:rtl/>
        </w:rPr>
        <w:t>النهاية</w:t>
      </w:r>
      <w:r w:rsidRPr="00132E65">
        <w:rPr>
          <w:rtl/>
        </w:rPr>
        <w:t xml:space="preserve"> ، ج 2 ، ص 317 ( سفح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يُنَجِّسْهُ </w:t>
      </w:r>
      <w:r>
        <w:rPr>
          <w:rStyle w:val="libFootnotenumChar"/>
          <w:rtl/>
        </w:rPr>
        <w:t>(1)</w:t>
      </w:r>
      <w:r w:rsidRPr="00132E65">
        <w:rPr>
          <w:rtl/>
          <w:lang w:bidi="fa-IR"/>
        </w:rPr>
        <w:t xml:space="preserve"> فِي ولَادَتِهِ نِكَاحٌ ، مِنْ لَدُنْ آدَمَ إِلى أَبِيهِ عَبْدِ اللهِ فِي خَيْرِ فِرْقَةٍ ، وأَكْرَمِ سِبْطٍ </w:t>
      </w:r>
      <w:r>
        <w:rPr>
          <w:rStyle w:val="libFootnotenumChar"/>
          <w:rtl/>
        </w:rPr>
        <w:t>(2)</w:t>
      </w:r>
      <w:r w:rsidRPr="00132E65">
        <w:rPr>
          <w:rtl/>
          <w:lang w:bidi="fa-IR"/>
        </w:rPr>
        <w:t xml:space="preserve"> ، وَأَمْنَعِ رَهْطٍ </w:t>
      </w:r>
      <w:r>
        <w:rPr>
          <w:rStyle w:val="libFootnotenumChar"/>
          <w:rtl/>
        </w:rPr>
        <w:t>(3)</w:t>
      </w:r>
      <w:r w:rsidRPr="00132E65">
        <w:rPr>
          <w:rtl/>
          <w:lang w:bidi="fa-IR"/>
        </w:rPr>
        <w:t xml:space="preserve"> ، وأَكْلَا حَمْلٍ </w:t>
      </w:r>
      <w:r>
        <w:rPr>
          <w:rStyle w:val="libFootnotenumChar"/>
          <w:rtl/>
        </w:rPr>
        <w:t>(4)</w:t>
      </w:r>
      <w:r w:rsidRPr="00132E65">
        <w:rPr>
          <w:rtl/>
          <w:lang w:bidi="fa-IR"/>
        </w:rPr>
        <w:t xml:space="preserve"> ، وأَوْدَعِ حِجْرٍ </w:t>
      </w:r>
      <w:r>
        <w:rPr>
          <w:rStyle w:val="libFootnotenumChar"/>
          <w:rtl/>
        </w:rPr>
        <w:t>(5)</w:t>
      </w:r>
      <w:r w:rsidRPr="00132E65">
        <w:rPr>
          <w:rtl/>
          <w:lang w:bidi="fa-IR"/>
        </w:rPr>
        <w:t xml:space="preserve"> ، اصْطَفَاهُ اللهُ وارْتَضَاهُ واجْتَبَاهُ ، وآتَاهُ مِنَ الْعِلْمِ مَفَاتِيحَهُ </w:t>
      </w:r>
      <w:r>
        <w:rPr>
          <w:rStyle w:val="libFootnotenumChar"/>
          <w:rtl/>
        </w:rPr>
        <w:t>(6)</w:t>
      </w:r>
      <w:r w:rsidRPr="00132E65">
        <w:rPr>
          <w:rtl/>
          <w:lang w:bidi="fa-IR"/>
        </w:rPr>
        <w:t xml:space="preserve"> ، ومِنَ الْحُكْمِ </w:t>
      </w:r>
      <w:r>
        <w:rPr>
          <w:rStyle w:val="libFootnotenumChar"/>
          <w:rtl/>
        </w:rPr>
        <w:t>(7)</w:t>
      </w:r>
      <w:r w:rsidRPr="00132E65">
        <w:rPr>
          <w:rtl/>
          <w:lang w:bidi="fa-IR"/>
        </w:rPr>
        <w:t xml:space="preserve"> يَنَابِيعَهُ </w:t>
      </w:r>
      <w:r>
        <w:rPr>
          <w:rStyle w:val="libFootnotenumChar"/>
          <w:rtl/>
        </w:rPr>
        <w:t>(8)</w:t>
      </w:r>
      <w:r w:rsidRPr="00132E65">
        <w:rPr>
          <w:rtl/>
          <w:lang w:bidi="fa-IR"/>
        </w:rPr>
        <w:t xml:space="preserve"> ، ابْتَعَثَهُ </w:t>
      </w:r>
      <w:r>
        <w:rPr>
          <w:rStyle w:val="libFootnotenumChar"/>
          <w:rtl/>
        </w:rPr>
        <w:t>(9)</w:t>
      </w:r>
      <w:r w:rsidRPr="00132E65">
        <w:rPr>
          <w:rtl/>
          <w:lang w:bidi="fa-IR"/>
        </w:rPr>
        <w:t xml:space="preserve"> رَحْمَةً لِلْعِبَادِ ، ورَبِيعاً </w:t>
      </w:r>
      <w:r>
        <w:rPr>
          <w:rStyle w:val="libFootnotenumChar"/>
          <w:rtl/>
        </w:rPr>
        <w:t>(10)</w:t>
      </w:r>
      <w:r w:rsidRPr="00132E65">
        <w:rPr>
          <w:rtl/>
          <w:lang w:bidi="fa-IR"/>
        </w:rPr>
        <w:t xml:space="preserve"> لِلْبِلَادِ ، وَأَنْزَلَ اللهُ إِلَيْهِ الْكِتَابَ ، فِيهِ الْبَيَانُ والتِّبْيَانُ</w:t>
      </w:r>
      <w:r>
        <w:rPr>
          <w:rFonts w:hint="cs"/>
          <w:rtl/>
          <w:lang w:bidi="fa-IR"/>
        </w:rPr>
        <w:t xml:space="preserve"> </w:t>
      </w:r>
      <w:r w:rsidRPr="00071CF9">
        <w:rPr>
          <w:rStyle w:val="libAlaemChar"/>
          <w:rtl/>
        </w:rPr>
        <w:t>(</w:t>
      </w:r>
      <w:r w:rsidRPr="00071CF9">
        <w:rPr>
          <w:rStyle w:val="libAieChar"/>
          <w:rtl/>
        </w:rPr>
        <w:t xml:space="preserve"> قُرْآناً عَرَبِيًّا غَيْرَ ذِي عِوَجٍ لَعَلَّهُمْ يَتَّقُونَ </w:t>
      </w:r>
      <w:r w:rsidRPr="00071CF9">
        <w:rPr>
          <w:rStyle w:val="libAlaemChar"/>
          <w:rtl/>
        </w:rPr>
        <w:t>)</w:t>
      </w:r>
      <w:r w:rsidRPr="00132E65">
        <w:rPr>
          <w:rtl/>
          <w:lang w:bidi="fa-IR"/>
        </w:rPr>
        <w:t xml:space="preserve"> </w:t>
      </w:r>
      <w:r>
        <w:rPr>
          <w:rStyle w:val="libFootnotenumChar"/>
          <w:rtl/>
        </w:rPr>
        <w:t>(11)</w:t>
      </w:r>
      <w:r w:rsidRPr="00132E65">
        <w:rPr>
          <w:rtl/>
          <w:lang w:bidi="fa-IR"/>
        </w:rPr>
        <w:t xml:space="preserve"> ، قَدْ بَيَّنَهُ </w:t>
      </w:r>
      <w:r>
        <w:rPr>
          <w:rStyle w:val="libFootnotenumChar"/>
          <w:rtl/>
        </w:rPr>
        <w:t>(12)</w:t>
      </w:r>
      <w:r w:rsidRPr="00132E65">
        <w:rPr>
          <w:rtl/>
          <w:lang w:bidi="fa-IR"/>
        </w:rPr>
        <w:t xml:space="preserve"> لِلنَّاسِ ، ونَهَجَهُ </w:t>
      </w:r>
      <w:r w:rsidRPr="00F543F1">
        <w:rPr>
          <w:rStyle w:val="libFootnotenumChar"/>
          <w:rtl/>
        </w:rPr>
        <w:t>(13)</w:t>
      </w:r>
      <w:r w:rsidRPr="00132E65">
        <w:rPr>
          <w:rtl/>
          <w:lang w:bidi="fa-IR"/>
        </w:rPr>
        <w:t xml:space="preserve"> بِعِلْمٍ قَدْ فَصَّلَهُ ، ودِينٍ قَدْ أَوْضَحَهُ ، وفَرَائِضَ قَدْ أَوْجَبَهَا ، وَحُدُودٍ حَدَّهَا لِلنَّاسِ وبَيَّنَهَا ، وأُمُورٍ قَدْ كَشَفَهَا لِخَلْقِهِ وأَعْلَنَهَا </w:t>
      </w:r>
      <w:r w:rsidRPr="00F543F1">
        <w:rPr>
          <w:rStyle w:val="libFootnotenumChar"/>
          <w:rtl/>
        </w:rPr>
        <w:t>(14)</w:t>
      </w:r>
      <w:r w:rsidRPr="00132E65">
        <w:rPr>
          <w:rtl/>
          <w:lang w:bidi="fa-IR"/>
        </w:rPr>
        <w:t xml:space="preserve"> ، فِيهَا دَلَالَةٌ إِلَى النَّجَاةِ ، ومَعَالِمُ </w:t>
      </w:r>
      <w:r w:rsidRPr="00F543F1">
        <w:rPr>
          <w:rStyle w:val="libFootnotenumChar"/>
          <w:rtl/>
        </w:rPr>
        <w:t>(15)</w:t>
      </w:r>
      <w:r w:rsidRPr="00132E65">
        <w:rPr>
          <w:rtl/>
          <w:lang w:bidi="fa-IR"/>
        </w:rPr>
        <w:t xml:space="preserve"> تَدْعُو إِلى هُدَاهُ </w:t>
      </w:r>
      <w:r w:rsidRPr="00F543F1">
        <w:rPr>
          <w:rStyle w:val="libFootnotenumChar"/>
          <w:rtl/>
        </w:rPr>
        <w:t>(16)</w:t>
      </w:r>
      <w:r w:rsidRPr="00132E65">
        <w:rPr>
          <w:rtl/>
          <w:lang w:bidi="fa-IR"/>
        </w:rPr>
        <w:t xml:space="preserve"> ، فَبَلَّغَ رَسُولُ اللهِ </w:t>
      </w:r>
      <w:r w:rsidRPr="0093484F">
        <w:rPr>
          <w:rStyle w:val="libAlaemChar"/>
          <w:rFonts w:eastAsiaTheme="minorHAnsi"/>
          <w:rtl/>
        </w:rPr>
        <w:t>صلى‌الله‌عليه‌وآله</w:t>
      </w:r>
      <w:r w:rsidRPr="00132E65">
        <w:rPr>
          <w:rtl/>
          <w:lang w:bidi="fa-IR"/>
        </w:rPr>
        <w:t xml:space="preserve"> مَا أُرْسِلَ بِهِ ، وصَدَعَ بِمَا‌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 « ولا ينجّسه »</w:t>
      </w:r>
      <w:r>
        <w:rPr>
          <w:rtl/>
        </w:rPr>
        <w:t>.</w:t>
      </w:r>
    </w:p>
    <w:p w:rsidR="000C39D1" w:rsidRPr="00132E65" w:rsidRDefault="000C39D1" w:rsidP="000C39D1">
      <w:pPr>
        <w:pStyle w:val="libFootnote0"/>
        <w:rPr>
          <w:rtl/>
          <w:lang w:bidi="fa-IR"/>
        </w:rPr>
      </w:pPr>
      <w:r>
        <w:rPr>
          <w:rtl/>
        </w:rPr>
        <w:t>(2).</w:t>
      </w:r>
      <w:r w:rsidRPr="00132E65">
        <w:rPr>
          <w:rtl/>
        </w:rPr>
        <w:t xml:space="preserve"> « السِبْطُ » : واحد الأسباط ، وهي الأولاد خاصّة. وقيل : أولاد الأولاد. وقيل : أولاد البنات. </w:t>
      </w:r>
      <w:r w:rsidRPr="00616933">
        <w:rPr>
          <w:rtl/>
        </w:rPr>
        <w:t>النهاية</w:t>
      </w:r>
      <w:r w:rsidRPr="00132E65">
        <w:rPr>
          <w:rtl/>
        </w:rPr>
        <w:t xml:space="preserve"> ، ج 2 ، ص 334 ( سبط )</w:t>
      </w:r>
      <w:r>
        <w:rPr>
          <w:rtl/>
        </w:rPr>
        <w:t>.</w:t>
      </w:r>
    </w:p>
    <w:p w:rsidR="000C39D1" w:rsidRPr="00132E65" w:rsidRDefault="000C39D1" w:rsidP="000C39D1">
      <w:pPr>
        <w:pStyle w:val="libFootnote0"/>
        <w:rPr>
          <w:rtl/>
          <w:lang w:bidi="fa-IR"/>
        </w:rPr>
      </w:pPr>
      <w:r>
        <w:rPr>
          <w:rtl/>
        </w:rPr>
        <w:t>(3).</w:t>
      </w:r>
      <w:r w:rsidRPr="00132E65">
        <w:rPr>
          <w:rtl/>
        </w:rPr>
        <w:t xml:space="preserve"> رَهْطُ الرجل : عشيرته وأهله. لا واحد له من لفظه. </w:t>
      </w:r>
      <w:r w:rsidRPr="00616933">
        <w:rPr>
          <w:rtl/>
        </w:rPr>
        <w:t>النهاية</w:t>
      </w:r>
      <w:r w:rsidRPr="00132E65">
        <w:rPr>
          <w:rtl/>
        </w:rPr>
        <w:t xml:space="preserve"> ، ج 2 ، ص 283 ( رهط )</w:t>
      </w:r>
      <w:r>
        <w:rPr>
          <w:rtl/>
        </w:rPr>
        <w:t>.</w:t>
      </w:r>
    </w:p>
    <w:p w:rsidR="000C39D1" w:rsidRPr="00132E65" w:rsidRDefault="000C39D1" w:rsidP="000C39D1">
      <w:pPr>
        <w:pStyle w:val="libFootnote0"/>
        <w:rPr>
          <w:rtl/>
          <w:lang w:bidi="fa-IR"/>
        </w:rPr>
      </w:pPr>
      <w:r>
        <w:rPr>
          <w:rtl/>
        </w:rPr>
        <w:t>(4).</w:t>
      </w:r>
      <w:r w:rsidRPr="00132E65">
        <w:rPr>
          <w:rtl/>
        </w:rPr>
        <w:t xml:space="preserve"> « أَكْلَأُ حَمْلٍ » ، أي أحفظها وأحرسها ؛ من الكِلاءَة بمعنى الحفظ والحِراسة. راجع : </w:t>
      </w:r>
      <w:r w:rsidRPr="00616933">
        <w:rPr>
          <w:rtl/>
        </w:rPr>
        <w:t>الصحاح</w:t>
      </w:r>
      <w:r w:rsidR="00C17CD8">
        <w:rPr>
          <w:rtl/>
        </w:rPr>
        <w:t xml:space="preserve"> ، ج 1 ، ص 69 (كلأ</w:t>
      </w:r>
      <w:r w:rsidRPr="00132E65">
        <w:rPr>
          <w:rtl/>
        </w:rPr>
        <w:t>)</w:t>
      </w:r>
      <w:r>
        <w:rPr>
          <w:rtl/>
        </w:rPr>
        <w:t>.</w:t>
      </w:r>
    </w:p>
    <w:p w:rsidR="000C39D1" w:rsidRPr="00132E65" w:rsidRDefault="000C39D1" w:rsidP="000C39D1">
      <w:pPr>
        <w:pStyle w:val="libFootnote0"/>
        <w:rPr>
          <w:rtl/>
          <w:lang w:bidi="fa-IR"/>
        </w:rPr>
      </w:pPr>
      <w:r>
        <w:rPr>
          <w:rtl/>
        </w:rPr>
        <w:t>(5).</w:t>
      </w:r>
      <w:r w:rsidRPr="00132E65">
        <w:rPr>
          <w:rtl/>
        </w:rPr>
        <w:t xml:space="preserve"> في بح « حجز » بالزاي. </w:t>
      </w:r>
      <w:r>
        <w:rPr>
          <w:rtl/>
        </w:rPr>
        <w:t>و «</w:t>
      </w:r>
      <w:r w:rsidRPr="00132E65">
        <w:rPr>
          <w:rtl/>
        </w:rPr>
        <w:t xml:space="preserve"> أودع حِجْرٍ » ، أي أوقره وأرفهه ؛ من ودُعَ وداعَةً ودَعَةً ، أي سكن وترفّه. راجع : </w:t>
      </w:r>
      <w:r w:rsidRPr="00616933">
        <w:rPr>
          <w:rtl/>
        </w:rPr>
        <w:t>النهاية</w:t>
      </w:r>
      <w:r w:rsidRPr="00132E65">
        <w:rPr>
          <w:rtl/>
        </w:rPr>
        <w:t xml:space="preserve"> ، ج 5 ، ص 166 ( ودع )</w:t>
      </w:r>
      <w:r>
        <w:rPr>
          <w:rtl/>
        </w:rPr>
        <w:t>.</w:t>
      </w:r>
    </w:p>
    <w:p w:rsidR="000C39D1" w:rsidRPr="00132E65" w:rsidRDefault="000C39D1" w:rsidP="000C39D1">
      <w:pPr>
        <w:pStyle w:val="libFootnote0"/>
        <w:rPr>
          <w:rtl/>
          <w:lang w:bidi="fa-IR"/>
        </w:rPr>
      </w:pPr>
      <w:r>
        <w:rPr>
          <w:rtl/>
        </w:rPr>
        <w:t>(6).</w:t>
      </w:r>
      <w:r w:rsidRPr="00132E65">
        <w:rPr>
          <w:rtl/>
        </w:rPr>
        <w:t xml:space="preserve"> في « ج » : « مفاتيحاً »</w:t>
      </w:r>
      <w:r>
        <w:rPr>
          <w:rtl/>
        </w:rPr>
        <w:t>.</w:t>
      </w:r>
      <w:r w:rsidRPr="00132E65">
        <w:rPr>
          <w:rtl/>
        </w:rPr>
        <w:t xml:space="preserve"> وفي حاشية : « ج ، ف ، بف » : « مفاتيح »</w:t>
      </w:r>
      <w:r>
        <w:rPr>
          <w:rtl/>
        </w:rPr>
        <w:t>.</w:t>
      </w:r>
    </w:p>
    <w:p w:rsidR="000C39D1" w:rsidRPr="00132E65" w:rsidRDefault="000C39D1" w:rsidP="000C39D1">
      <w:pPr>
        <w:pStyle w:val="libFootnote0"/>
        <w:rPr>
          <w:rtl/>
          <w:lang w:bidi="fa-IR"/>
        </w:rPr>
      </w:pPr>
      <w:r>
        <w:rPr>
          <w:rtl/>
        </w:rPr>
        <w:t>(7).</w:t>
      </w:r>
      <w:r w:rsidRPr="00132E65">
        <w:rPr>
          <w:rtl/>
        </w:rPr>
        <w:t xml:space="preserve"> في شرح المازندراني : « الحُكم</w:t>
      </w:r>
      <w:r>
        <w:rPr>
          <w:rtl/>
        </w:rPr>
        <w:t xml:space="preserve"> - </w:t>
      </w:r>
      <w:r w:rsidRPr="00132E65">
        <w:rPr>
          <w:rtl/>
        </w:rPr>
        <w:t>بالضمّ والسكون</w:t>
      </w:r>
      <w:r>
        <w:rPr>
          <w:rtl/>
        </w:rPr>
        <w:t xml:space="preserve"> - </w:t>
      </w:r>
      <w:r w:rsidRPr="00132E65">
        <w:rPr>
          <w:rtl/>
        </w:rPr>
        <w:t>: الحكمة »</w:t>
      </w:r>
      <w:r>
        <w:rPr>
          <w:rtl/>
        </w:rPr>
        <w:t>.</w:t>
      </w:r>
      <w:r w:rsidRPr="00132E65">
        <w:rPr>
          <w:rtl/>
        </w:rPr>
        <w:t xml:space="preserve"> والحِكم جمع الحكمة لا يناسبه الضمير المفرد والمذكّر في « ينابيعه »</w:t>
      </w:r>
      <w:r>
        <w:rPr>
          <w:rtl/>
        </w:rPr>
        <w:t>.</w:t>
      </w:r>
      <w:r w:rsidRPr="00132E65">
        <w:rPr>
          <w:rtl/>
        </w:rPr>
        <w:t xml:space="preserve"> ومثله في </w:t>
      </w:r>
      <w:r w:rsidRPr="009D1ACE">
        <w:rPr>
          <w:rStyle w:val="libFootnoteBoldChar"/>
          <w:rtl/>
        </w:rPr>
        <w:t>الوافي</w:t>
      </w:r>
      <w:r w:rsidRPr="00132E65">
        <w:rPr>
          <w:rtl/>
        </w:rPr>
        <w:t>.</w:t>
      </w:r>
    </w:p>
    <w:p w:rsidR="000C39D1" w:rsidRPr="00132E65" w:rsidRDefault="000C39D1" w:rsidP="000C39D1">
      <w:pPr>
        <w:pStyle w:val="libFootnote0"/>
        <w:rPr>
          <w:rtl/>
          <w:lang w:bidi="fa-IR"/>
        </w:rPr>
      </w:pPr>
      <w:r>
        <w:rPr>
          <w:rtl/>
        </w:rPr>
        <w:t>(8).</w:t>
      </w:r>
      <w:r w:rsidRPr="00132E65">
        <w:rPr>
          <w:rtl/>
        </w:rPr>
        <w:t xml:space="preserve"> في « ج ، ض » : « ينابيعاً »</w:t>
      </w:r>
      <w:r>
        <w:rPr>
          <w:rtl/>
        </w:rPr>
        <w:t>.</w:t>
      </w:r>
      <w:r w:rsidRPr="00132E65">
        <w:rPr>
          <w:rtl/>
        </w:rPr>
        <w:t xml:space="preserve"> وفي « ف » وحاشية « بف » : « ينابيع »</w:t>
      </w:r>
      <w:r>
        <w:rPr>
          <w:rtl/>
        </w:rPr>
        <w:t>.</w:t>
      </w:r>
    </w:p>
    <w:p w:rsidR="000C39D1" w:rsidRPr="00132E65" w:rsidRDefault="000C39D1" w:rsidP="000C39D1">
      <w:pPr>
        <w:pStyle w:val="libFootnote0"/>
        <w:rPr>
          <w:rtl/>
          <w:lang w:bidi="fa-IR"/>
        </w:rPr>
      </w:pPr>
      <w:r>
        <w:rPr>
          <w:rtl/>
        </w:rPr>
        <w:t>(9).</w:t>
      </w:r>
      <w:r w:rsidRPr="00132E65">
        <w:rPr>
          <w:rtl/>
        </w:rPr>
        <w:t xml:space="preserve"> في « ج » : « انبعثه »</w:t>
      </w:r>
      <w:r>
        <w:rPr>
          <w:rtl/>
        </w:rPr>
        <w:t>.</w:t>
      </w:r>
      <w:r w:rsidRPr="00132E65">
        <w:rPr>
          <w:rtl/>
        </w:rPr>
        <w:t xml:space="preserve"> وفي « ف » : « وانبعثه »</w:t>
      </w:r>
      <w:r>
        <w:rPr>
          <w:rtl/>
        </w:rPr>
        <w:t>.</w:t>
      </w:r>
      <w:r w:rsidRPr="00132E65">
        <w:rPr>
          <w:rtl/>
        </w:rPr>
        <w:t xml:space="preserve"> لم يُرتعدية الانفعال من البعث.</w:t>
      </w:r>
    </w:p>
    <w:p w:rsidR="000C39D1" w:rsidRPr="00132E65" w:rsidRDefault="000C39D1" w:rsidP="000C39D1">
      <w:pPr>
        <w:pStyle w:val="libFootnote0"/>
        <w:rPr>
          <w:rtl/>
          <w:lang w:bidi="fa-IR"/>
        </w:rPr>
      </w:pPr>
      <w:r>
        <w:rPr>
          <w:rtl/>
        </w:rPr>
        <w:t>(10).</w:t>
      </w:r>
      <w:r w:rsidRPr="00132E65">
        <w:rPr>
          <w:rtl/>
        </w:rPr>
        <w:t xml:space="preserve"> « الرَبِيعُ » : عَلَمٌ ، والمطر في الربيع ، والحظّ من الماء للأرض. </w:t>
      </w:r>
      <w:r w:rsidRPr="00616933">
        <w:rPr>
          <w:rtl/>
        </w:rPr>
        <w:t>القاموس المحيط</w:t>
      </w:r>
      <w:r w:rsidRPr="00132E65">
        <w:rPr>
          <w:rtl/>
        </w:rPr>
        <w:t xml:space="preserve"> ، ج 2 ، ص 965 ( ربع )</w:t>
      </w:r>
      <w:r>
        <w:rPr>
          <w:rtl/>
        </w:rPr>
        <w:t>.</w:t>
      </w:r>
    </w:p>
    <w:tbl>
      <w:tblPr>
        <w:tblStyle w:val="TableGrid"/>
        <w:bidiVisual/>
        <w:tblW w:w="0" w:type="auto"/>
        <w:tblLook w:val="04A0" w:firstRow="1" w:lastRow="0" w:firstColumn="1" w:lastColumn="0" w:noHBand="0" w:noVBand="1"/>
      </w:tblPr>
      <w:tblGrid>
        <w:gridCol w:w="4006"/>
        <w:gridCol w:w="4006"/>
      </w:tblGrid>
      <w:tr w:rsidR="002C014A" w:rsidTr="002C014A">
        <w:tc>
          <w:tcPr>
            <w:tcW w:w="4006" w:type="dxa"/>
          </w:tcPr>
          <w:p w:rsidR="002C014A" w:rsidRDefault="002C014A" w:rsidP="000C39D1">
            <w:pPr>
              <w:pStyle w:val="libFootnote0"/>
              <w:rPr>
                <w:rtl/>
              </w:rPr>
            </w:pPr>
            <w:r>
              <w:rPr>
                <w:rtl/>
              </w:rPr>
              <w:t>(11).</w:t>
            </w:r>
            <w:r w:rsidRPr="00132E65">
              <w:rPr>
                <w:rtl/>
              </w:rPr>
              <w:t xml:space="preserve"> الزمر (39) : 28.</w:t>
            </w:r>
          </w:p>
        </w:tc>
        <w:tc>
          <w:tcPr>
            <w:tcW w:w="4006" w:type="dxa"/>
          </w:tcPr>
          <w:p w:rsidR="002C014A" w:rsidRDefault="002C014A" w:rsidP="000C39D1">
            <w:pPr>
              <w:pStyle w:val="libFootnote0"/>
              <w:rPr>
                <w:rtl/>
              </w:rPr>
            </w:pPr>
            <w:r>
              <w:rPr>
                <w:rtl/>
              </w:rPr>
              <w:t>(12).</w:t>
            </w:r>
            <w:r w:rsidRPr="00132E65">
              <w:rPr>
                <w:rtl/>
              </w:rPr>
              <w:t xml:space="preserve"> في حاشية « ف » : « قد تبيّنه »</w:t>
            </w:r>
            <w:r>
              <w:rPr>
                <w:rtl/>
              </w:rPr>
              <w:t>.</w:t>
            </w:r>
          </w:p>
        </w:tc>
      </w:tr>
    </w:tbl>
    <w:p w:rsidR="000C39D1" w:rsidRPr="00132E65" w:rsidRDefault="000C39D1" w:rsidP="000C39D1">
      <w:pPr>
        <w:pStyle w:val="libFootnote0"/>
        <w:rPr>
          <w:rtl/>
          <w:lang w:bidi="fa-IR"/>
        </w:rPr>
      </w:pPr>
      <w:r>
        <w:rPr>
          <w:rtl/>
        </w:rPr>
        <w:t>(13)</w:t>
      </w:r>
      <w:r w:rsidRPr="00132E65">
        <w:rPr>
          <w:rtl/>
        </w:rPr>
        <w:t xml:space="preserve"> في « ج ، ض ، ف » : « نهّجه » بالتثقيل. </w:t>
      </w:r>
      <w:r>
        <w:rPr>
          <w:rtl/>
        </w:rPr>
        <w:t>و «</w:t>
      </w:r>
      <w:r w:rsidRPr="00132E65">
        <w:rPr>
          <w:rtl/>
        </w:rPr>
        <w:t xml:space="preserve"> نهجه » : أبانه وأوضحه ؛ من نَهَجْتُ الطريق ، إذا أبَنْتَهُ وأوضحته. ونَهَجَ الطريقَ ، أي سلكه. راجع : </w:t>
      </w:r>
      <w:r w:rsidRPr="00654F03">
        <w:rPr>
          <w:rtl/>
        </w:rPr>
        <w:t>الصحاح</w:t>
      </w:r>
      <w:r w:rsidRPr="00132E65">
        <w:rPr>
          <w:rtl/>
        </w:rPr>
        <w:t xml:space="preserve"> ، ج 1 ، ص 346 ( نهج )</w:t>
      </w:r>
      <w:r>
        <w:rPr>
          <w:rtl/>
        </w:rPr>
        <w:t>.</w:t>
      </w:r>
    </w:p>
    <w:tbl>
      <w:tblPr>
        <w:tblStyle w:val="TableGrid"/>
        <w:bidiVisual/>
        <w:tblW w:w="0" w:type="auto"/>
        <w:tblLook w:val="04A0" w:firstRow="1" w:lastRow="0" w:firstColumn="1" w:lastColumn="0" w:noHBand="0" w:noVBand="1"/>
      </w:tblPr>
      <w:tblGrid>
        <w:gridCol w:w="4006"/>
        <w:gridCol w:w="4006"/>
      </w:tblGrid>
      <w:tr w:rsidR="00D63DB0" w:rsidTr="00D63DB0">
        <w:tc>
          <w:tcPr>
            <w:tcW w:w="4006" w:type="dxa"/>
          </w:tcPr>
          <w:p w:rsidR="00D63DB0" w:rsidRDefault="00D63DB0" w:rsidP="000C39D1">
            <w:pPr>
              <w:pStyle w:val="libFootnote0"/>
              <w:rPr>
                <w:rtl/>
                <w:lang w:bidi="fa-IR"/>
              </w:rPr>
            </w:pPr>
            <w:r>
              <w:rPr>
                <w:rtl/>
              </w:rPr>
              <w:t>(14) في«ض،بر،بس</w:t>
            </w:r>
            <w:r w:rsidRPr="00132E65">
              <w:rPr>
                <w:rtl/>
              </w:rPr>
              <w:t>» وحاشية « ج » : « وأعلن »</w:t>
            </w:r>
            <w:r>
              <w:rPr>
                <w:rtl/>
              </w:rPr>
              <w:t>.</w:t>
            </w:r>
          </w:p>
        </w:tc>
        <w:tc>
          <w:tcPr>
            <w:tcW w:w="4006" w:type="dxa"/>
          </w:tcPr>
          <w:p w:rsidR="00D63DB0" w:rsidRDefault="00D63DB0" w:rsidP="000C39D1">
            <w:pPr>
              <w:pStyle w:val="libFootnote0"/>
              <w:rPr>
                <w:rtl/>
                <w:lang w:bidi="fa-IR"/>
              </w:rPr>
            </w:pPr>
            <w:r>
              <w:rPr>
                <w:rtl/>
              </w:rPr>
              <w:t>(15)</w:t>
            </w:r>
            <w:r w:rsidRPr="00132E65">
              <w:rPr>
                <w:rtl/>
              </w:rPr>
              <w:t xml:space="preserve"> احتمل في « معالم » الجرّ عطفاً على النجاة.</w:t>
            </w:r>
          </w:p>
        </w:tc>
      </w:tr>
    </w:tbl>
    <w:p w:rsidR="000C39D1" w:rsidRPr="00132E65" w:rsidRDefault="000C39D1" w:rsidP="000C39D1">
      <w:pPr>
        <w:pStyle w:val="libFootnote0"/>
        <w:rPr>
          <w:rtl/>
          <w:lang w:bidi="fa-IR"/>
        </w:rPr>
      </w:pPr>
      <w:r>
        <w:rPr>
          <w:rtl/>
        </w:rPr>
        <w:t>(16)</w:t>
      </w:r>
      <w:r w:rsidRPr="00132E65">
        <w:rPr>
          <w:rtl/>
        </w:rPr>
        <w:t xml:space="preserve"> في « ج » : « هداة »</w:t>
      </w:r>
      <w:r>
        <w:rPr>
          <w:rtl/>
        </w:rPr>
        <w:t>.</w:t>
      </w:r>
      <w:r w:rsidRPr="00132E65">
        <w:rPr>
          <w:rtl/>
        </w:rPr>
        <w:t xml:space="preserve"> وفي « ف » : « الهداة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أُمِرَ </w:t>
      </w:r>
      <w:r>
        <w:rPr>
          <w:rStyle w:val="libFootnotenumChar"/>
          <w:rtl/>
        </w:rPr>
        <w:t>(1)</w:t>
      </w:r>
      <w:r w:rsidRPr="00132E65">
        <w:rPr>
          <w:rtl/>
          <w:lang w:bidi="fa-IR"/>
        </w:rPr>
        <w:t xml:space="preserve"> ، وأَدّى مَا حُمِّلَ مِنْ أَثْقَالِ النُّبُوَّةِ ، وصَبَرَ لِرَبِّهِ ، وجَاهَدَ فِي سَبِيلِهِ ، ونَصَحَ لِأُمَّتِهِ ، وَدَعَاهُمْ إِلَى النَّجَاةِ ، وحَثَّهُمْ عَلَى الذِّكْرِ ، ودَلَّهُمْ عَلى سَبِيلِ الْهُدى ، بِمَنَاهِجَ ودَوَاعٍ أَسَّسَ لِلْعِبَادِ أَسَاسَهَا </w:t>
      </w:r>
      <w:r>
        <w:rPr>
          <w:rStyle w:val="libFootnotenumChar"/>
          <w:rtl/>
        </w:rPr>
        <w:t>(2)</w:t>
      </w:r>
      <w:r w:rsidRPr="00132E65">
        <w:rPr>
          <w:rtl/>
          <w:lang w:bidi="fa-IR"/>
        </w:rPr>
        <w:t xml:space="preserve"> ، ومَنَارٍ </w:t>
      </w:r>
      <w:r>
        <w:rPr>
          <w:rStyle w:val="libFootnotenumChar"/>
          <w:rtl/>
        </w:rPr>
        <w:t>(3)</w:t>
      </w:r>
      <w:r w:rsidRPr="00132E65">
        <w:rPr>
          <w:rtl/>
          <w:lang w:bidi="fa-IR"/>
        </w:rPr>
        <w:t xml:space="preserve"> رَفَعَ لَهُمْ </w:t>
      </w:r>
      <w:r>
        <w:rPr>
          <w:rStyle w:val="libFootnotenumChar"/>
          <w:rtl/>
        </w:rPr>
        <w:t>(4)</w:t>
      </w:r>
      <w:r w:rsidRPr="00132E65">
        <w:rPr>
          <w:rtl/>
          <w:lang w:bidi="fa-IR"/>
        </w:rPr>
        <w:t xml:space="preserve"> أَعْلَامَهَا ، كَيْلَا يَضِلُّوا مِنْ بَعْدِهِ ، وكَانَ بِهِمْ رَؤُوفاً رَحِيماً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654F03">
        <w:rPr>
          <w:rtl/>
        </w:rPr>
        <w:t>1209</w:t>
      </w:r>
      <w:r w:rsidRPr="004325D8">
        <w:rPr>
          <w:rStyle w:val="libBold2Char"/>
          <w:rtl/>
        </w:rPr>
        <w:t xml:space="preserve"> / 18.</w:t>
      </w:r>
      <w:r w:rsidRPr="00132E65">
        <w:rPr>
          <w:rtl/>
          <w:lang w:bidi="fa-IR"/>
        </w:rPr>
        <w:t xml:space="preserve"> مُحَمَّدُ بْنُ يَحْيى ، عَنْ سَعْدِ بْنِ عَبْدِ اللهِ ، عَنْ جَمَاعَةٍ مِنْ أَصْحَابِنَا ، عَنْ أَحْمَدَ بْنِ هِلَالٍ ، عَنْ أُمَيَّةَ بْنِ عَلِيٍّ الْقَيْسِيِّ ، قَالَ : حَدَّثَنِي دُرُسْتُ بْنُ أَبِي مَنْصُورٍ :</w:t>
      </w:r>
    </w:p>
    <w:p w:rsidR="000C39D1" w:rsidRPr="00132E65" w:rsidRDefault="000C39D1" w:rsidP="000C39D1">
      <w:pPr>
        <w:pStyle w:val="libNormal"/>
        <w:rPr>
          <w:rtl/>
          <w:lang w:bidi="fa-IR"/>
        </w:rPr>
      </w:pPr>
      <w:r w:rsidRPr="00132E65">
        <w:rPr>
          <w:rtl/>
          <w:lang w:bidi="fa-IR"/>
        </w:rPr>
        <w:t xml:space="preserve">أَنَّهُ سَأَلَ أَبَا الْحَسَنِ الْأَوَّلَ </w:t>
      </w:r>
      <w:r w:rsidRPr="00071CF9">
        <w:rPr>
          <w:rStyle w:val="libAlaemChar"/>
          <w:rtl/>
        </w:rPr>
        <w:t>عليه‌السلام</w:t>
      </w:r>
      <w:r>
        <w:rPr>
          <w:rtl/>
          <w:lang w:bidi="fa-IR"/>
        </w:rPr>
        <w:t xml:space="preserve"> : أَ</w:t>
      </w:r>
      <w:r w:rsidRPr="00132E65">
        <w:rPr>
          <w:rtl/>
          <w:lang w:bidi="fa-IR"/>
        </w:rPr>
        <w:t xml:space="preserve">كَانَ رَسُولُ اللهِ </w:t>
      </w:r>
      <w:r w:rsidRPr="0093484F">
        <w:rPr>
          <w:rStyle w:val="libAlaemChar"/>
          <w:rFonts w:eastAsiaTheme="minorHAnsi"/>
          <w:rtl/>
        </w:rPr>
        <w:t>صلى‌الله‌عليه‌وآله</w:t>
      </w:r>
      <w:r w:rsidRPr="00132E65">
        <w:rPr>
          <w:rtl/>
          <w:lang w:bidi="fa-IR"/>
        </w:rPr>
        <w:t xml:space="preserve"> مَحْجُوجاً بِأَبِي طَالِبٍ </w:t>
      </w:r>
      <w:r>
        <w:rPr>
          <w:rStyle w:val="libFootnotenumChar"/>
          <w:rtl/>
        </w:rPr>
        <w:t>(7)</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صدع بما امر » ، أي أجهر به ، من صَدَعتُ بالحقّ ، إذا تكلّمتَ به جهاراً. وفي الشروح : أو أظهره ، من صدعه ، إذا أظهره وبيّنه. أو فرّق به بين الباطل والحقّ من صدعه إذا شقّه. راجع : </w:t>
      </w:r>
      <w:r w:rsidRPr="00654F03">
        <w:rPr>
          <w:rtl/>
        </w:rPr>
        <w:t>الصحاح</w:t>
      </w:r>
      <w:r w:rsidRPr="00132E65">
        <w:rPr>
          <w:rtl/>
        </w:rPr>
        <w:t xml:space="preserve"> ، ج 3 ، ص 1241 ( صدع )</w:t>
      </w:r>
      <w:r>
        <w:rPr>
          <w:rtl/>
        </w:rPr>
        <w:t>.</w:t>
      </w:r>
    </w:p>
    <w:tbl>
      <w:tblPr>
        <w:tblStyle w:val="TableGrid"/>
        <w:bidiVisual/>
        <w:tblW w:w="0" w:type="auto"/>
        <w:tblLook w:val="04A0" w:firstRow="1" w:lastRow="0" w:firstColumn="1" w:lastColumn="0" w:noHBand="0" w:noVBand="1"/>
      </w:tblPr>
      <w:tblGrid>
        <w:gridCol w:w="4006"/>
        <w:gridCol w:w="4006"/>
      </w:tblGrid>
      <w:tr w:rsidR="005F2DE7" w:rsidTr="005F2DE7">
        <w:tc>
          <w:tcPr>
            <w:tcW w:w="4006" w:type="dxa"/>
          </w:tcPr>
          <w:p w:rsidR="005F2DE7" w:rsidRDefault="005F2DE7" w:rsidP="000C39D1">
            <w:pPr>
              <w:pStyle w:val="libFootnote0"/>
              <w:rPr>
                <w:rtl/>
              </w:rPr>
            </w:pPr>
            <w:r>
              <w:rPr>
                <w:rtl/>
              </w:rPr>
              <w:t>(2).</w:t>
            </w:r>
            <w:r w:rsidRPr="00132E65">
              <w:rPr>
                <w:rtl/>
              </w:rPr>
              <w:t xml:space="preserve"> في « ف » </w:t>
            </w:r>
            <w:r>
              <w:rPr>
                <w:rtl/>
              </w:rPr>
              <w:t xml:space="preserve">: - </w:t>
            </w:r>
            <w:r w:rsidRPr="00132E65">
              <w:rPr>
                <w:rtl/>
              </w:rPr>
              <w:t>« أساسها »</w:t>
            </w:r>
            <w:r>
              <w:rPr>
                <w:rtl/>
              </w:rPr>
              <w:t>.</w:t>
            </w:r>
          </w:p>
        </w:tc>
        <w:tc>
          <w:tcPr>
            <w:tcW w:w="4006" w:type="dxa"/>
          </w:tcPr>
          <w:p w:rsidR="005F2DE7" w:rsidRDefault="005F2DE7" w:rsidP="000C39D1">
            <w:pPr>
              <w:pStyle w:val="libFootnote0"/>
              <w:rPr>
                <w:rtl/>
              </w:rPr>
            </w:pPr>
            <w:r>
              <w:rPr>
                <w:rtl/>
              </w:rPr>
              <w:t>(3).</w:t>
            </w:r>
            <w:r w:rsidRPr="00132E65">
              <w:rPr>
                <w:rtl/>
              </w:rPr>
              <w:t xml:space="preserve"> في « بس » و</w:t>
            </w:r>
            <w:r w:rsidRPr="009D1ACE">
              <w:rPr>
                <w:rStyle w:val="libFootnoteBoldChar"/>
                <w:rtl/>
              </w:rPr>
              <w:t>مرآة العقول</w:t>
            </w:r>
            <w:r w:rsidRPr="00132E65">
              <w:rPr>
                <w:rtl/>
              </w:rPr>
              <w:t xml:space="preserve"> : « منائر »</w:t>
            </w:r>
            <w:r>
              <w:rPr>
                <w:rtl/>
              </w:rPr>
              <w:t>.</w:t>
            </w:r>
          </w:p>
        </w:tc>
      </w:tr>
      <w:tr w:rsidR="005F2DE7" w:rsidTr="005F2DE7">
        <w:tc>
          <w:tcPr>
            <w:tcW w:w="4006" w:type="dxa"/>
          </w:tcPr>
          <w:p w:rsidR="005F2DE7" w:rsidRDefault="005F2DE7" w:rsidP="000C39D1">
            <w:pPr>
              <w:pStyle w:val="libFootnote0"/>
              <w:rPr>
                <w:rtl/>
              </w:rPr>
            </w:pPr>
            <w:r>
              <w:rPr>
                <w:rtl/>
              </w:rPr>
              <w:t>(4).</w:t>
            </w:r>
            <w:r w:rsidRPr="00132E65">
              <w:rPr>
                <w:rtl/>
              </w:rPr>
              <w:t xml:space="preserve"> في « ف » </w:t>
            </w:r>
            <w:r>
              <w:rPr>
                <w:rtl/>
              </w:rPr>
              <w:t xml:space="preserve">: - </w:t>
            </w:r>
            <w:r w:rsidRPr="00132E65">
              <w:rPr>
                <w:rtl/>
              </w:rPr>
              <w:t>« لهم »</w:t>
            </w:r>
            <w:r>
              <w:rPr>
                <w:rtl/>
              </w:rPr>
              <w:t>.</w:t>
            </w:r>
          </w:p>
        </w:tc>
        <w:tc>
          <w:tcPr>
            <w:tcW w:w="4006" w:type="dxa"/>
          </w:tcPr>
          <w:p w:rsidR="005F2DE7" w:rsidRDefault="005F2DE7" w:rsidP="000C39D1">
            <w:pPr>
              <w:pStyle w:val="libFootnote0"/>
              <w:rPr>
                <w:rtl/>
              </w:rPr>
            </w:pPr>
            <w:r>
              <w:rPr>
                <w:rtl/>
              </w:rPr>
              <w:t>(5). في حاشية«بح</w:t>
            </w:r>
            <w:r w:rsidRPr="00132E65">
              <w:rPr>
                <w:rtl/>
              </w:rPr>
              <w:t>» :</w:t>
            </w:r>
            <w:r>
              <w:rPr>
                <w:rtl/>
              </w:rPr>
              <w:t>+«</w:t>
            </w:r>
            <w:r w:rsidRPr="005F2DE7">
              <w:rPr>
                <w:rFonts w:eastAsiaTheme="minorHAnsi"/>
                <w:rtl/>
              </w:rPr>
              <w:t>صلى</w:t>
            </w:r>
            <w:r>
              <w:rPr>
                <w:rFonts w:eastAsiaTheme="minorHAnsi" w:hint="cs"/>
                <w:rtl/>
              </w:rPr>
              <w:t xml:space="preserve"> </w:t>
            </w:r>
            <w:r w:rsidRPr="005F2DE7">
              <w:rPr>
                <w:rFonts w:eastAsiaTheme="minorHAnsi"/>
                <w:rtl/>
              </w:rPr>
              <w:t>‌الله‌</w:t>
            </w:r>
            <w:r>
              <w:rPr>
                <w:rFonts w:eastAsiaTheme="minorHAnsi" w:hint="cs"/>
                <w:rtl/>
              </w:rPr>
              <w:t xml:space="preserve"> </w:t>
            </w:r>
            <w:r w:rsidRPr="005F2DE7">
              <w:rPr>
                <w:rFonts w:eastAsiaTheme="minorHAnsi"/>
                <w:rtl/>
              </w:rPr>
              <w:t>عليه‌</w:t>
            </w:r>
            <w:r>
              <w:rPr>
                <w:rFonts w:eastAsiaTheme="minorHAnsi" w:hint="cs"/>
                <w:rtl/>
              </w:rPr>
              <w:t xml:space="preserve"> </w:t>
            </w:r>
            <w:r w:rsidRPr="005F2DE7">
              <w:rPr>
                <w:rFonts w:eastAsiaTheme="minorHAnsi"/>
                <w:rtl/>
              </w:rPr>
              <w:t>وآله</w:t>
            </w:r>
            <w:r w:rsidRPr="005F2DE7">
              <w:rPr>
                <w:rtl/>
              </w:rPr>
              <w:t xml:space="preserve"> </w:t>
            </w:r>
            <w:r>
              <w:rPr>
                <w:rtl/>
              </w:rPr>
              <w:t>تسليماً</w:t>
            </w:r>
            <w:r w:rsidRPr="00132E65">
              <w:rPr>
                <w:rtl/>
              </w:rPr>
              <w:t>»</w:t>
            </w:r>
            <w:r>
              <w:rPr>
                <w:rtl/>
              </w:rPr>
              <w:t>.</w:t>
            </w:r>
          </w:p>
        </w:tc>
      </w:tr>
    </w:tbl>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705 ، ح 1317 ؛ </w:t>
      </w:r>
      <w:r w:rsidRPr="00654F03">
        <w:rPr>
          <w:rtl/>
        </w:rPr>
        <w:t>البحار</w:t>
      </w:r>
      <w:r w:rsidRPr="00132E65">
        <w:rPr>
          <w:rtl/>
        </w:rPr>
        <w:t xml:space="preserve"> ، ج 16 ، ص 369 ، ح 80.</w:t>
      </w:r>
    </w:p>
    <w:p w:rsidR="000C39D1" w:rsidRPr="00132E65" w:rsidRDefault="000C39D1" w:rsidP="000C39D1">
      <w:pPr>
        <w:pStyle w:val="libFootnote0"/>
        <w:rPr>
          <w:rtl/>
          <w:lang w:bidi="fa-IR"/>
        </w:rPr>
      </w:pPr>
      <w:r>
        <w:rPr>
          <w:rtl/>
        </w:rPr>
        <w:t>(7).</w:t>
      </w:r>
      <w:r w:rsidRPr="00132E65">
        <w:rPr>
          <w:rtl/>
        </w:rPr>
        <w:t xml:space="preserve"> في كمال الدين : « بآبي » بدل « بأبي طالب »</w:t>
      </w:r>
      <w:r>
        <w:rPr>
          <w:rtl/>
        </w:rPr>
        <w:t>.</w:t>
      </w:r>
    </w:p>
    <w:p w:rsidR="000C39D1" w:rsidRPr="00383383" w:rsidRDefault="000C39D1" w:rsidP="00E55206">
      <w:pPr>
        <w:pStyle w:val="libFootnote0"/>
        <w:rPr>
          <w:rtl/>
        </w:rPr>
      </w:pPr>
      <w:r w:rsidRPr="00F543F1">
        <w:rPr>
          <w:rtl/>
        </w:rPr>
        <w:t xml:space="preserve">وروي هذا الحديث في </w:t>
      </w:r>
      <w:r w:rsidRPr="00383383">
        <w:rPr>
          <w:rtl/>
        </w:rPr>
        <w:t>كمال الدين ، ص 665 ، ح 7 ، وعنه في البحار ، ج 17 ، ص 139 ، ح 24 ، وفيهما : « آبي » بدل « أبي طالب » ، فقيل في توفيقهما وجوه :</w:t>
      </w:r>
    </w:p>
    <w:p w:rsidR="000C39D1" w:rsidRPr="00383383" w:rsidRDefault="000C39D1" w:rsidP="00E55206">
      <w:pPr>
        <w:pStyle w:val="libFootnote0"/>
        <w:rPr>
          <w:rtl/>
        </w:rPr>
      </w:pPr>
      <w:r w:rsidRPr="00383383">
        <w:rPr>
          <w:rtl/>
        </w:rPr>
        <w:t xml:space="preserve">الأوّل : أنّ « أبي طالب » تصحيف « آبي بالط » ، </w:t>
      </w:r>
      <w:r>
        <w:rPr>
          <w:rtl/>
        </w:rPr>
        <w:t>و «</w:t>
      </w:r>
      <w:r w:rsidRPr="00383383">
        <w:rPr>
          <w:rtl/>
        </w:rPr>
        <w:t xml:space="preserve"> آبي » </w:t>
      </w:r>
      <w:r>
        <w:rPr>
          <w:rtl/>
        </w:rPr>
        <w:t>و «</w:t>
      </w:r>
      <w:r w:rsidRPr="00383383">
        <w:rPr>
          <w:rtl/>
        </w:rPr>
        <w:t xml:space="preserve"> بالط » اسمان </w:t>
      </w:r>
      <w:r>
        <w:rPr>
          <w:rtl/>
        </w:rPr>
        <w:t>-</w:t>
      </w:r>
      <w:r w:rsidRPr="00383383">
        <w:rPr>
          <w:rtl/>
        </w:rPr>
        <w:t xml:space="preserve"> لشخص واحد على ما صرّح به الصدوق في كمال الدين</w:t>
      </w:r>
      <w:r w:rsidRPr="00F543F1">
        <w:rPr>
          <w:rtl/>
        </w:rPr>
        <w:t xml:space="preserve"> ، ص 664 ، ذيل حديث 3 ، أو اسمان لشخصين على ما احتمله المجلسي في </w:t>
      </w:r>
      <w:r w:rsidRPr="00383383">
        <w:rPr>
          <w:rtl/>
        </w:rPr>
        <w:t xml:space="preserve">البحار </w:t>
      </w:r>
      <w:r w:rsidRPr="00F543F1">
        <w:rPr>
          <w:rtl/>
        </w:rPr>
        <w:t xml:space="preserve">، ج 17 ، ص 142 ، ذيل حديث 28 ، أو « آبي » من ألقاب علماء النصارى ، أو لقب آخر أوصياء عيسى 7 ، وكان « آبي » هذا اسمه « بالط » كما يستفاد ممّا رواه الصدوق في </w:t>
      </w:r>
      <w:r w:rsidRPr="00383383">
        <w:rPr>
          <w:rtl/>
        </w:rPr>
        <w:t>كمال الدين</w:t>
      </w:r>
      <w:r w:rsidRPr="00F543F1">
        <w:rPr>
          <w:rtl/>
        </w:rPr>
        <w:t xml:space="preserve"> ، ص 664 ، ح 4 و 5 ، وعنه في </w:t>
      </w:r>
      <w:r w:rsidRPr="00383383">
        <w:rPr>
          <w:rtl/>
        </w:rPr>
        <w:t xml:space="preserve">البحار ، ج 17 ، ص 141 ، ح 25 </w:t>
      </w:r>
      <w:r>
        <w:rPr>
          <w:rtl/>
        </w:rPr>
        <w:t>و 2</w:t>
      </w:r>
      <w:r w:rsidRPr="00383383">
        <w:rPr>
          <w:rtl/>
        </w:rPr>
        <w:t>6.</w:t>
      </w:r>
    </w:p>
    <w:p w:rsidR="000C39D1" w:rsidRPr="00383383" w:rsidRDefault="000C39D1" w:rsidP="00E55206">
      <w:pPr>
        <w:pStyle w:val="libFootnote0"/>
        <w:rPr>
          <w:rtl/>
        </w:rPr>
      </w:pPr>
      <w:r w:rsidRPr="00383383">
        <w:rPr>
          <w:rtl/>
        </w:rPr>
        <w:t>الثانى : أنّ « آبي بالط » تصحيف « أبي طالب » كما يظهر من كلام المجلسي في البحار ، ج 17 ، ص 140 ، ذيل حديث 24. فالخبر واحد على هذين الوجهين.</w:t>
      </w:r>
    </w:p>
    <w:p w:rsidR="000C39D1" w:rsidRPr="00383383" w:rsidRDefault="000C39D1" w:rsidP="00E55206">
      <w:pPr>
        <w:pStyle w:val="libFootnote0"/>
        <w:rPr>
          <w:rtl/>
        </w:rPr>
      </w:pPr>
      <w:r w:rsidRPr="00383383">
        <w:rPr>
          <w:rtl/>
        </w:rPr>
        <w:t>الثالث : أنّه ليس في البين تصحيف ، بل يحتمل أن يكون السائل سأل عن حال كليهما وكان الجواب واحداً. ذكره المجلسي في البحار ، ج 17 ، ص 140 ، ذيل حديث 24.</w:t>
      </w:r>
    </w:p>
    <w:p w:rsidR="000C39D1" w:rsidRPr="009643B3" w:rsidRDefault="000C39D1" w:rsidP="00E55206">
      <w:pPr>
        <w:pStyle w:val="libFootnote0"/>
        <w:rPr>
          <w:rtl/>
        </w:rPr>
      </w:pPr>
      <w:r w:rsidRPr="009643B3">
        <w:rPr>
          <w:rtl/>
        </w:rPr>
        <w:t xml:space="preserve">أقوى الوجوه </w:t>
      </w:r>
      <w:r>
        <w:rPr>
          <w:rtl/>
        </w:rPr>
        <w:t>-</w:t>
      </w:r>
      <w:r w:rsidRPr="009643B3">
        <w:rPr>
          <w:rtl/>
        </w:rPr>
        <w:t xml:space="preserve"> بعد غمض النظر عن كلام المحقّق الشعراني ، حيث قال : ولا ريب في ضعف هذه الرواية ؛ لأنّ </w:t>
      </w:r>
      <w:r w:rsidR="006A4253">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 « لَا ، ولكِنَّهُ </w:t>
      </w:r>
      <w:r>
        <w:rPr>
          <w:rStyle w:val="libFootnotenumChar"/>
          <w:rtl/>
        </w:rPr>
        <w:t>(1)</w:t>
      </w:r>
      <w:r w:rsidRPr="00132E65">
        <w:rPr>
          <w:rtl/>
          <w:lang w:bidi="fa-IR"/>
        </w:rPr>
        <w:t xml:space="preserve"> كَانَ </w:t>
      </w:r>
      <w:r>
        <w:rPr>
          <w:rStyle w:val="libFootnotenumChar"/>
          <w:rtl/>
        </w:rPr>
        <w:t>(2)</w:t>
      </w:r>
      <w:r w:rsidRPr="00132E65">
        <w:rPr>
          <w:rtl/>
          <w:lang w:bidi="fa-IR"/>
        </w:rPr>
        <w:t xml:space="preserve"> مُسْتَوْدَعاً لِلْوَصَايَا </w:t>
      </w:r>
      <w:r>
        <w:rPr>
          <w:rStyle w:val="libFootnotenumChar"/>
          <w:rtl/>
        </w:rPr>
        <w:t>(3)</w:t>
      </w:r>
      <w:r w:rsidRPr="00132E65">
        <w:rPr>
          <w:rtl/>
          <w:lang w:bidi="fa-IR"/>
        </w:rPr>
        <w:t xml:space="preserve"> ، فَدَفَعَهَا إِلَيْهِ </w:t>
      </w:r>
      <w:r w:rsidRPr="0093484F">
        <w:rPr>
          <w:rStyle w:val="libAlaemChar"/>
          <w:rFonts w:eastAsiaTheme="minorHAnsi"/>
          <w:rtl/>
        </w:rPr>
        <w:t>صلى‌الله‌عليه‌وآله</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قُلْتُ : فَدَفَعَ إِلَيْهِ الْوَصَايَا عَلى أَنَّهُ مَحْجُوجٌ </w:t>
      </w:r>
      <w:r>
        <w:rPr>
          <w:rStyle w:val="libFootnotenumChar"/>
          <w:rtl/>
        </w:rPr>
        <w:t>(4)</w:t>
      </w:r>
      <w:r w:rsidRPr="00132E65">
        <w:rPr>
          <w:rtl/>
          <w:lang w:bidi="fa-IR"/>
        </w:rPr>
        <w:t xml:space="preserve"> بِهِ</w:t>
      </w:r>
      <w:r>
        <w:rPr>
          <w:rtl/>
          <w:lang w:bidi="fa-IR"/>
        </w:rPr>
        <w:t>؟</w:t>
      </w:r>
    </w:p>
    <w:p w:rsidR="003D72C4" w:rsidRPr="00132E65" w:rsidRDefault="000C39D1" w:rsidP="003D72C4">
      <w:pPr>
        <w:pStyle w:val="libNormal"/>
        <w:rPr>
          <w:rtl/>
          <w:lang w:bidi="fa-IR"/>
        </w:rPr>
      </w:pPr>
      <w:r w:rsidRPr="00132E65">
        <w:rPr>
          <w:rtl/>
          <w:lang w:bidi="fa-IR"/>
        </w:rPr>
        <w:t>فَقَالَ : « لَوْ كَانَ مَحْجُوجاً بِهِ ، مَا دَفَعَ إِلَيْهِ الْوَصِيَّةَ »</w:t>
      </w:r>
      <w:r>
        <w:rPr>
          <w:rtl/>
          <w:lang w:bidi="fa-IR"/>
        </w:rPr>
        <w:t>.</w:t>
      </w:r>
      <w:r w:rsidRPr="00132E65">
        <w:rPr>
          <w:rtl/>
          <w:lang w:bidi="fa-IR"/>
        </w:rPr>
        <w:t xml:space="preserve"> </w:t>
      </w:r>
      <w:r>
        <w:rPr>
          <w:rStyle w:val="libFootnotenumChar"/>
          <w:rtl/>
        </w:rPr>
        <w:t>(5)</w:t>
      </w:r>
      <w:r w:rsidR="003D72C4" w:rsidRPr="003D72C4">
        <w:rPr>
          <w:rtl/>
          <w:lang w:bidi="fa-IR"/>
        </w:rPr>
        <w:t xml:space="preserve"> </w:t>
      </w:r>
    </w:p>
    <w:p w:rsidR="000C39D1" w:rsidRPr="00132E65" w:rsidRDefault="000C39D1" w:rsidP="003D72C4">
      <w:pPr>
        <w:pStyle w:val="libNormal"/>
        <w:rPr>
          <w:rtl/>
          <w:lang w:bidi="fa-IR"/>
        </w:rPr>
      </w:pPr>
      <w:r w:rsidRPr="00132E65">
        <w:rPr>
          <w:rtl/>
          <w:lang w:bidi="fa-IR"/>
        </w:rPr>
        <w:t xml:space="preserve">قَالَ : فَقُلْتُ : فَمَا كَانَ حَالُ أَبِي طَالِبٍ </w:t>
      </w:r>
      <w:r>
        <w:rPr>
          <w:rStyle w:val="libFootnotenumChar"/>
          <w:rtl/>
        </w:rPr>
        <w:t>(6)</w:t>
      </w:r>
      <w:r>
        <w:rPr>
          <w:rtl/>
          <w:lang w:bidi="fa-IR"/>
        </w:rPr>
        <w:t>؟</w:t>
      </w:r>
    </w:p>
    <w:p w:rsidR="000C39D1" w:rsidRPr="00132E65" w:rsidRDefault="000C39D1" w:rsidP="000C39D1">
      <w:pPr>
        <w:pStyle w:val="libNormal"/>
        <w:rPr>
          <w:rtl/>
          <w:lang w:bidi="fa-IR"/>
        </w:rPr>
      </w:pPr>
      <w:r w:rsidRPr="00132E65">
        <w:rPr>
          <w:rtl/>
          <w:lang w:bidi="fa-IR"/>
        </w:rPr>
        <w:t xml:space="preserve">قَالَ : « أَقَرَّ بِالنَّبِيِّ وبِمَا جَاءَ بِهِ ، ودَفَعَ إِلَيْهِ الْوَصَايَا ، ومَاتَ </w:t>
      </w:r>
      <w:r>
        <w:rPr>
          <w:rStyle w:val="libFootnotenumChar"/>
          <w:rtl/>
        </w:rPr>
        <w:t>(7)</w:t>
      </w:r>
      <w:r w:rsidRPr="00132E65">
        <w:rPr>
          <w:rtl/>
          <w:lang w:bidi="fa-IR"/>
        </w:rPr>
        <w:t xml:space="preserve"> مِنْ يَوْمِهِ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654F03">
        <w:rPr>
          <w:rtl/>
        </w:rPr>
        <w:t>1210</w:t>
      </w:r>
      <w:r w:rsidRPr="004325D8">
        <w:rPr>
          <w:rStyle w:val="libBold2Char"/>
          <w:rtl/>
        </w:rPr>
        <w:t xml:space="preserve"> / 19.</w:t>
      </w:r>
      <w:r w:rsidRPr="00132E65">
        <w:rPr>
          <w:rtl/>
          <w:lang w:bidi="fa-IR"/>
        </w:rPr>
        <w:t xml:space="preserve"> الْحُسَيْنُ بْنُ مُحَمَّدٍ الْأَشْعَرِيُّ ، عَنْ مُعَلَّى بْنِ مُحَمَّدٍ ، عَنْ مَنْصُورِ بْنِ الْعَبَّاسِ ، عَنْ عَلِيِّ بْنِ أَسْبَاطٍ ، عَنْ يَعْقُوبَ بْنِ سَالِمٍ ، عَنْ رَجُلٍ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قُبِضَ رَسُولُ اللهِ </w:t>
      </w:r>
      <w:r w:rsidRPr="0093484F">
        <w:rPr>
          <w:rStyle w:val="libAlaemChar"/>
          <w:rFonts w:eastAsiaTheme="minorHAnsi"/>
          <w:rtl/>
        </w:rPr>
        <w:t>صلى‌الله‌عليه‌وآله</w:t>
      </w:r>
      <w:r w:rsidRPr="00132E65">
        <w:rPr>
          <w:rtl/>
          <w:lang w:bidi="fa-IR"/>
        </w:rPr>
        <w:t xml:space="preserve"> بَاتَ آلُ مُحَمَّدٍ </w:t>
      </w:r>
      <w:r w:rsidRPr="00071CF9">
        <w:rPr>
          <w:rStyle w:val="libAlaemChar"/>
          <w:rtl/>
        </w:rPr>
        <w:t>عليهم‌السلام</w:t>
      </w:r>
      <w:r w:rsidRPr="00132E65">
        <w:rPr>
          <w:rtl/>
          <w:lang w:bidi="fa-IR"/>
        </w:rPr>
        <w:t xml:space="preserve"> بِأَطْوَلِ لَيْلَةٍ‌</w:t>
      </w:r>
    </w:p>
    <w:p w:rsidR="000C39D1" w:rsidRPr="00132E65" w:rsidRDefault="000C39D1" w:rsidP="000C39D1">
      <w:pPr>
        <w:pStyle w:val="libLine"/>
        <w:rPr>
          <w:rtl/>
          <w:lang w:bidi="fa-IR"/>
        </w:rPr>
      </w:pPr>
      <w:r w:rsidRPr="00132E65">
        <w:rPr>
          <w:rtl/>
          <w:lang w:bidi="fa-IR"/>
        </w:rPr>
        <w:t>__________________</w:t>
      </w:r>
    </w:p>
    <w:p w:rsidR="000C39D1" w:rsidRPr="001C3FA4" w:rsidRDefault="003D72C4" w:rsidP="000C39D1">
      <w:pPr>
        <w:pStyle w:val="libFootnote0"/>
        <w:rPr>
          <w:rtl/>
        </w:rPr>
      </w:pPr>
      <w:r>
        <w:rPr>
          <w:rFonts w:hint="cs"/>
          <w:rtl/>
        </w:rPr>
        <w:t xml:space="preserve">= </w:t>
      </w:r>
      <w:r w:rsidR="000C39D1" w:rsidRPr="001C3FA4">
        <w:rPr>
          <w:rtl/>
        </w:rPr>
        <w:t xml:space="preserve">أحمد بن هلال غال كذّاب ، واميّة بن قيس الذي روى عنه أحمد أيضاً ضعيف متّصف بالكذب ، وردّ الخبر أولى من التكلّف في تأويله </w:t>
      </w:r>
      <w:r w:rsidR="000C39D1">
        <w:rPr>
          <w:rtl/>
        </w:rPr>
        <w:t>-</w:t>
      </w:r>
      <w:r w:rsidR="000C39D1" w:rsidRPr="001C3FA4">
        <w:rPr>
          <w:rtl/>
        </w:rPr>
        <w:t xml:space="preserve"> هو الأوّل ؛ فإنّه يرد على الثاني والثالث أوّلاً بأنّه لو كان ذاك المستودع للوصايا أبا طالب ، لما أخّر الأداء والدفع إلى يوم وفاته ، وثانياً لم يدلّ دليل على كون أبي طالب نصرانيّاً ولم يحتمله أحد ممّن يعتدّ بقوله ، ولو كان كذلك لكان النبيّ </w:t>
      </w:r>
      <w:r w:rsidR="000C39D1" w:rsidRPr="003D72C4">
        <w:rPr>
          <w:rStyle w:val="libFootnoteAlaemChar"/>
          <w:rFonts w:eastAsiaTheme="minorHAnsi"/>
          <w:rtl/>
        </w:rPr>
        <w:t>صلى‌الله‌عليه‌وآله</w:t>
      </w:r>
      <w:r w:rsidR="000C39D1" w:rsidRPr="00132E65">
        <w:rPr>
          <w:rtl/>
          <w:lang w:bidi="fa-IR"/>
        </w:rPr>
        <w:t xml:space="preserve"> </w:t>
      </w:r>
      <w:r w:rsidR="000C39D1" w:rsidRPr="001C3FA4">
        <w:rPr>
          <w:rtl/>
        </w:rPr>
        <w:t xml:space="preserve">متّهماً بأنّه أخذ العلم بالتوراة والإنجيل والشرائع السابقة وأخبار النبيّين </w:t>
      </w:r>
      <w:r w:rsidR="000C39D1" w:rsidRPr="003D72C4">
        <w:rPr>
          <w:rStyle w:val="libFootnoteAlaemChar"/>
          <w:rtl/>
        </w:rPr>
        <w:t>عليهم‌السلام</w:t>
      </w:r>
      <w:r w:rsidR="000C39D1" w:rsidRPr="001C3FA4">
        <w:rPr>
          <w:rtl/>
        </w:rPr>
        <w:t xml:space="preserve"> من عمّه أبي طالب ؛ لأنّه كان في حضانته وتربيته منذ صباه مدّة ثلاثين سنة بل أربعين ، والنصارى يقرؤون التوراة وكتب الأنبياء السابقين ولا يتركونها نظير ترك المسلمين. ولكن لم يدّع أحد من المنكرين من معاصريه </w:t>
      </w:r>
      <w:r w:rsidR="000C39D1" w:rsidRPr="003D72C4">
        <w:rPr>
          <w:rStyle w:val="libFootnoteAlaemChar"/>
          <w:rFonts w:eastAsiaTheme="minorHAnsi"/>
          <w:rtl/>
        </w:rPr>
        <w:t>صلى‌الله‌عليه‌وآله</w:t>
      </w:r>
      <w:r w:rsidR="000C39D1" w:rsidRPr="00132E65">
        <w:rPr>
          <w:rtl/>
          <w:lang w:bidi="fa-IR"/>
        </w:rPr>
        <w:t xml:space="preserve"> </w:t>
      </w:r>
      <w:r w:rsidR="000C39D1" w:rsidRPr="001C3FA4">
        <w:rPr>
          <w:rtl/>
        </w:rPr>
        <w:t>فيه ولا في أبي طالب شيئاً يوهم ذلك. ذكره المحقّق الشعراني. وللمزيد ا</w:t>
      </w:r>
      <w:r>
        <w:rPr>
          <w:rFonts w:hint="cs"/>
          <w:rtl/>
        </w:rPr>
        <w:t>ُ</w:t>
      </w:r>
      <w:r w:rsidR="000C39D1" w:rsidRPr="001C3FA4">
        <w:rPr>
          <w:rtl/>
        </w:rPr>
        <w:t xml:space="preserve">نظر : كمال الدين ، ص 166 ، ذيل حديث 21 ؛ شرح المازندراني ، ج 7 ، ص 164 ، تعليقة المحقّق الشعراني ؛ البحار ، ج 17 ، ص 139 </w:t>
      </w:r>
      <w:r w:rsidR="000C39D1">
        <w:rPr>
          <w:rtl/>
        </w:rPr>
        <w:t>-</w:t>
      </w:r>
      <w:r w:rsidR="000C39D1" w:rsidRPr="001C3FA4">
        <w:rPr>
          <w:rtl/>
        </w:rPr>
        <w:t xml:space="preserve"> 141 ، ح 24 </w:t>
      </w:r>
      <w:r w:rsidR="000C39D1">
        <w:rPr>
          <w:rtl/>
        </w:rPr>
        <w:t>-</w:t>
      </w:r>
      <w:r w:rsidR="000C39D1" w:rsidRPr="001C3FA4">
        <w:rPr>
          <w:rtl/>
        </w:rPr>
        <w:t xml:space="preserve"> 26 ؛ وج 35 ، ص 75 ، ح 8.</w:t>
      </w:r>
    </w:p>
    <w:tbl>
      <w:tblPr>
        <w:tblStyle w:val="TableGrid"/>
        <w:bidiVisual/>
        <w:tblW w:w="0" w:type="auto"/>
        <w:tblLook w:val="04A0" w:firstRow="1" w:lastRow="0" w:firstColumn="1" w:lastColumn="0" w:noHBand="0" w:noVBand="1"/>
      </w:tblPr>
      <w:tblGrid>
        <w:gridCol w:w="4006"/>
        <w:gridCol w:w="4006"/>
      </w:tblGrid>
      <w:tr w:rsidR="003D72C4" w:rsidTr="003D72C4">
        <w:tc>
          <w:tcPr>
            <w:tcW w:w="4006" w:type="dxa"/>
          </w:tcPr>
          <w:p w:rsidR="003D72C4" w:rsidRDefault="003D72C4" w:rsidP="000C39D1">
            <w:pPr>
              <w:pStyle w:val="libFootnote0"/>
              <w:rPr>
                <w:rtl/>
              </w:rPr>
            </w:pPr>
            <w:r>
              <w:rPr>
                <w:rtl/>
              </w:rPr>
              <w:t>(1).</w:t>
            </w:r>
            <w:r w:rsidRPr="00132E65">
              <w:rPr>
                <w:rtl/>
              </w:rPr>
              <w:t xml:space="preserve"> في البحار : « لكن »</w:t>
            </w:r>
            <w:r>
              <w:rPr>
                <w:rtl/>
              </w:rPr>
              <w:t>.</w:t>
            </w:r>
          </w:p>
        </w:tc>
        <w:tc>
          <w:tcPr>
            <w:tcW w:w="4006" w:type="dxa"/>
          </w:tcPr>
          <w:p w:rsidR="003D72C4" w:rsidRDefault="003D72C4" w:rsidP="000C39D1">
            <w:pPr>
              <w:pStyle w:val="libFootnote0"/>
              <w:rPr>
                <w:rtl/>
              </w:rPr>
            </w:pPr>
            <w:r>
              <w:rPr>
                <w:rtl/>
              </w:rPr>
              <w:t>(2).</w:t>
            </w:r>
            <w:r w:rsidRPr="00132E65">
              <w:rPr>
                <w:rtl/>
              </w:rPr>
              <w:t xml:space="preserve"> في « ب » </w:t>
            </w:r>
            <w:r>
              <w:rPr>
                <w:rtl/>
              </w:rPr>
              <w:t xml:space="preserve">: - </w:t>
            </w:r>
            <w:r w:rsidRPr="00132E65">
              <w:rPr>
                <w:rtl/>
              </w:rPr>
              <w:t>« كان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محجوباً بأبي طالب ، يعني أنّ أبا طالب كان حجّة عليه قبل أن يبعث للوصايا ، أي وصايا الأنبياء </w:t>
      </w:r>
      <w:r w:rsidRPr="003D72C4">
        <w:rPr>
          <w:rStyle w:val="libFootnoteAlaemChar"/>
          <w:rtl/>
        </w:rPr>
        <w:t>عليهم‌السلام</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على أنّه محجوج به ، يعني على أن يكون النبيّ </w:t>
      </w:r>
      <w:r w:rsidRPr="003D72C4">
        <w:rPr>
          <w:rStyle w:val="libFootnoteAlaemChar"/>
          <w:rFonts w:eastAsiaTheme="minorHAnsi"/>
          <w:rtl/>
        </w:rPr>
        <w:t>صلى‌الله‌عليه‌وآله</w:t>
      </w:r>
      <w:r w:rsidRPr="00132E65">
        <w:rPr>
          <w:rtl/>
          <w:lang w:bidi="fa-IR"/>
        </w:rPr>
        <w:t xml:space="preserve"> </w:t>
      </w:r>
      <w:r w:rsidRPr="00132E65">
        <w:rPr>
          <w:rtl/>
        </w:rPr>
        <w:t>حجّة عليه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وذلك لأنّ الوصيّة تنتقل ممّن له التقدّم »</w:t>
      </w:r>
      <w:r>
        <w:rPr>
          <w:rtl/>
        </w:rPr>
        <w:t>.</w:t>
      </w:r>
    </w:p>
    <w:tbl>
      <w:tblPr>
        <w:tblStyle w:val="TableGrid"/>
        <w:bidiVisual/>
        <w:tblW w:w="0" w:type="auto"/>
        <w:tblLook w:val="04A0" w:firstRow="1" w:lastRow="0" w:firstColumn="1" w:lastColumn="0" w:noHBand="0" w:noVBand="1"/>
      </w:tblPr>
      <w:tblGrid>
        <w:gridCol w:w="4006"/>
        <w:gridCol w:w="4006"/>
      </w:tblGrid>
      <w:tr w:rsidR="003D72C4" w:rsidTr="003D72C4">
        <w:tc>
          <w:tcPr>
            <w:tcW w:w="4006" w:type="dxa"/>
          </w:tcPr>
          <w:p w:rsidR="003D72C4" w:rsidRDefault="003D72C4" w:rsidP="000C39D1">
            <w:pPr>
              <w:pStyle w:val="libFootnote0"/>
              <w:rPr>
                <w:rtl/>
              </w:rPr>
            </w:pPr>
            <w:r>
              <w:rPr>
                <w:rtl/>
              </w:rPr>
              <w:t>(6).</w:t>
            </w:r>
            <w:r w:rsidRPr="00132E65">
              <w:rPr>
                <w:rtl/>
              </w:rPr>
              <w:t xml:space="preserve"> في كمال الدين : « آبي » بدل « أبي طالب »</w:t>
            </w:r>
            <w:r>
              <w:rPr>
                <w:rtl/>
              </w:rPr>
              <w:t>.</w:t>
            </w:r>
          </w:p>
        </w:tc>
        <w:tc>
          <w:tcPr>
            <w:tcW w:w="4006" w:type="dxa"/>
          </w:tcPr>
          <w:p w:rsidR="003D72C4" w:rsidRDefault="003D72C4" w:rsidP="000C39D1">
            <w:pPr>
              <w:pStyle w:val="libFootnote0"/>
              <w:rPr>
                <w:rtl/>
              </w:rPr>
            </w:pPr>
            <w:r>
              <w:rPr>
                <w:rtl/>
              </w:rPr>
              <w:t>(7).</w:t>
            </w:r>
            <w:r w:rsidRPr="00132E65">
              <w:rPr>
                <w:rtl/>
              </w:rPr>
              <w:t xml:space="preserve"> في كمال الدين :</w:t>
            </w:r>
            <w:r>
              <w:rPr>
                <w:rtl/>
              </w:rPr>
              <w:t xml:space="preserve"> + </w:t>
            </w:r>
            <w:r w:rsidRPr="00132E65">
              <w:rPr>
                <w:rtl/>
              </w:rPr>
              <w:t>« آبي »</w:t>
            </w:r>
            <w:r>
              <w:rPr>
                <w:rtl/>
              </w:rPr>
              <w:t>.</w:t>
            </w:r>
          </w:p>
        </w:tc>
      </w:tr>
    </w:tbl>
    <w:p w:rsidR="000C39D1" w:rsidRPr="00132E65" w:rsidRDefault="000C39D1" w:rsidP="003D72C4">
      <w:pPr>
        <w:pStyle w:val="libFootnote0"/>
        <w:rPr>
          <w:rtl/>
          <w:lang w:bidi="fa-IR"/>
        </w:rPr>
      </w:pPr>
      <w:r>
        <w:rPr>
          <w:rtl/>
        </w:rPr>
        <w:t>(8).</w:t>
      </w:r>
      <w:r w:rsidRPr="00132E65">
        <w:rPr>
          <w:rtl/>
        </w:rPr>
        <w:t xml:space="preserve"> </w:t>
      </w:r>
      <w:r w:rsidRPr="00654F03">
        <w:rPr>
          <w:rtl/>
        </w:rPr>
        <w:t>كمال الدين</w:t>
      </w:r>
      <w:r w:rsidRPr="00132E65">
        <w:rPr>
          <w:rtl/>
        </w:rPr>
        <w:t xml:space="preserve"> ، ص 665 ، ح 7 ، بسنده عن سعد بن عبد الله ، عن جماعة من أصحابنا الكوفيّين ، عن محمّد بن إسماعيل بن بزيع ، عن اميّة بن عليّ القيسي ، عن درست بن أبي منصور الواسطي</w:t>
      </w:r>
      <w:r w:rsidR="003D72C4">
        <w:rPr>
          <w:rFonts w:hint="cs"/>
          <w:rtl/>
        </w:rPr>
        <w:t>.</w:t>
      </w:r>
      <w:r w:rsidRPr="009D1ACE">
        <w:rPr>
          <w:rStyle w:val="libFootnoteBoldChar"/>
          <w:rtl/>
        </w:rPr>
        <w:t>الوافي</w:t>
      </w:r>
      <w:r w:rsidRPr="00132E65">
        <w:rPr>
          <w:rtl/>
        </w:rPr>
        <w:t xml:space="preserve"> ، ج 3 ، ص 701 ، ح 1311 ؛ </w:t>
      </w:r>
      <w:r w:rsidRPr="00654F03">
        <w:rPr>
          <w:rtl/>
        </w:rPr>
        <w:t>البحار</w:t>
      </w:r>
      <w:r w:rsidRPr="00132E65">
        <w:rPr>
          <w:rtl/>
        </w:rPr>
        <w:t xml:space="preserve"> ، ج 17 ، ص 140 ، ذيل ح 24 ؛ وج 35 ، ص 73 ، ح 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حَتّى ظَنُّوا </w:t>
      </w:r>
      <w:r>
        <w:rPr>
          <w:rStyle w:val="libFootnotenumChar"/>
          <w:rtl/>
        </w:rPr>
        <w:t>(1)</w:t>
      </w:r>
      <w:r w:rsidRPr="00132E65">
        <w:rPr>
          <w:rtl/>
          <w:lang w:bidi="fa-IR"/>
        </w:rPr>
        <w:t xml:space="preserve"> أَنْ لَاسَمَاءَ تُظِلُّهُمْ ؛ ولَا</w:t>
      </w:r>
      <w:r>
        <w:rPr>
          <w:rFonts w:hint="cs"/>
          <w:rtl/>
          <w:lang w:bidi="fa-IR"/>
        </w:rPr>
        <w:t xml:space="preserve"> </w:t>
      </w:r>
      <w:r w:rsidRPr="00132E65">
        <w:rPr>
          <w:rtl/>
          <w:lang w:bidi="fa-IR"/>
        </w:rPr>
        <w:t xml:space="preserve">أَرْضَ تُقِلُّهُمْ </w:t>
      </w:r>
      <w:r>
        <w:rPr>
          <w:rStyle w:val="libFootnotenumChar"/>
          <w:rtl/>
        </w:rPr>
        <w:t>(2)</w:t>
      </w:r>
      <w:r w:rsidRPr="00132E65">
        <w:rPr>
          <w:rtl/>
          <w:lang w:bidi="fa-IR"/>
        </w:rPr>
        <w:t xml:space="preserve"> ؛ لِأَنَّ رَسُولَ اللهِ </w:t>
      </w:r>
      <w:r w:rsidRPr="0093484F">
        <w:rPr>
          <w:rStyle w:val="libAlaemChar"/>
          <w:rFonts w:eastAsiaTheme="minorHAnsi"/>
          <w:rtl/>
        </w:rPr>
        <w:t>صلى‌الله‌عليه‌وآله</w:t>
      </w:r>
      <w:r w:rsidRPr="00132E65">
        <w:rPr>
          <w:rtl/>
          <w:lang w:bidi="fa-IR"/>
        </w:rPr>
        <w:t xml:space="preserve"> وتَرَ الْأَقْرَبِينَ </w:t>
      </w:r>
      <w:r>
        <w:rPr>
          <w:rStyle w:val="libFootnotenumChar"/>
          <w:rtl/>
        </w:rPr>
        <w:t>(3)</w:t>
      </w:r>
      <w:r w:rsidRPr="00132E65">
        <w:rPr>
          <w:rtl/>
          <w:lang w:bidi="fa-IR"/>
        </w:rPr>
        <w:t xml:space="preserve"> وَالْأَبْعَدِينَ فِي اللهِ.</w:t>
      </w:r>
    </w:p>
    <w:p w:rsidR="000C39D1" w:rsidRPr="00132E65" w:rsidRDefault="000C39D1" w:rsidP="000C39D1">
      <w:pPr>
        <w:pStyle w:val="libNormal"/>
        <w:rPr>
          <w:rtl/>
          <w:lang w:bidi="fa-IR"/>
        </w:rPr>
      </w:pPr>
      <w:r w:rsidRPr="00132E65">
        <w:rPr>
          <w:rtl/>
          <w:lang w:bidi="fa-IR"/>
        </w:rPr>
        <w:t xml:space="preserve">فَبَيْنَا </w:t>
      </w:r>
      <w:r>
        <w:rPr>
          <w:rStyle w:val="libFootnotenumChar"/>
          <w:rtl/>
        </w:rPr>
        <w:t>(4)</w:t>
      </w:r>
      <w:r w:rsidRPr="00132E65">
        <w:rPr>
          <w:rtl/>
          <w:lang w:bidi="fa-IR"/>
        </w:rPr>
        <w:t xml:space="preserve"> هُمْ كَذلِكَ إِذْ أَتَاهُمْ آتٍ</w:t>
      </w:r>
      <w:r>
        <w:rPr>
          <w:rtl/>
          <w:lang w:bidi="fa-IR"/>
        </w:rPr>
        <w:t xml:space="preserve"> - </w:t>
      </w:r>
      <w:r w:rsidRPr="00132E65">
        <w:rPr>
          <w:rtl/>
          <w:lang w:bidi="fa-IR"/>
        </w:rPr>
        <w:t>لَايَرَوْنَهُ ويَسْمَعُونَ كَلَامَهُ</w:t>
      </w:r>
      <w:r>
        <w:rPr>
          <w:rtl/>
          <w:lang w:bidi="fa-IR"/>
        </w:rPr>
        <w:t xml:space="preserve"> - </w:t>
      </w:r>
      <w:r w:rsidRPr="00132E65">
        <w:rPr>
          <w:rtl/>
          <w:lang w:bidi="fa-IR"/>
        </w:rPr>
        <w:t xml:space="preserve">فَقَالَ : السَّلَامُ عَلَيْكُمْ أَهْلَ الْبَيْتِ ورَحْمَةُ اللهِ وبَرَكَاتُهُ ، إِنَّ فِي اللهِ عَزَاءً </w:t>
      </w:r>
      <w:r>
        <w:rPr>
          <w:rStyle w:val="libFootnotenumChar"/>
          <w:rtl/>
        </w:rPr>
        <w:t>(5)</w:t>
      </w:r>
      <w:r w:rsidRPr="00132E65">
        <w:rPr>
          <w:rtl/>
          <w:lang w:bidi="fa-IR"/>
        </w:rPr>
        <w:t xml:space="preserve"> مِنْ كُلِّ مُصِيبَةٍ ، ونَجَاةً مِنْ كُلِّ هَلَكَةٍ ، ودَرَكاً </w:t>
      </w:r>
      <w:r>
        <w:rPr>
          <w:rStyle w:val="libFootnotenumChar"/>
          <w:rtl/>
        </w:rPr>
        <w:t>(6)</w:t>
      </w:r>
      <w:r w:rsidRPr="00132E65">
        <w:rPr>
          <w:rtl/>
          <w:lang w:bidi="fa-IR"/>
        </w:rPr>
        <w:t xml:space="preserve"> لِمَا </w:t>
      </w:r>
      <w:r>
        <w:rPr>
          <w:rStyle w:val="libFootnotenumChar"/>
          <w:rtl/>
        </w:rPr>
        <w:t>(7)</w:t>
      </w:r>
      <w:r w:rsidRPr="00132E65">
        <w:rPr>
          <w:rtl/>
          <w:lang w:bidi="fa-IR"/>
        </w:rPr>
        <w:t xml:space="preserve"> فَاتَ : </w:t>
      </w:r>
      <w:r w:rsidRPr="00071CF9">
        <w:rPr>
          <w:rStyle w:val="libAlaemChar"/>
          <w:rtl/>
        </w:rPr>
        <w:t>(</w:t>
      </w:r>
      <w:r w:rsidRPr="00071CF9">
        <w:rPr>
          <w:rStyle w:val="libAieChar"/>
          <w:rtl/>
        </w:rPr>
        <w:t xml:space="preserve"> كُلُّ نَفْسٍ ذائِقَةُ الْمَوْتِ وَإِنَّما تُوَفَّوْنَ أُجُورَكُمْ يَوْمَ الْقِيامَةِ فَمَنْ زُحْزِحَ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sidRPr="00071CF9">
        <w:rPr>
          <w:rStyle w:val="libAlaemChar"/>
          <w:rtl/>
        </w:rPr>
        <w:t>(</w:t>
      </w:r>
      <w:r w:rsidRPr="00071CF9">
        <w:rPr>
          <w:rStyle w:val="libAieChar"/>
          <w:rtl/>
        </w:rPr>
        <w:t xml:space="preserve"> عَنِ النّارِ وَأُدْخِلَ الْجَنَّةَ فَقَدْ فازَ</w:t>
      </w:r>
      <w:r w:rsidR="00BB21F0">
        <w:rPr>
          <w:rStyle w:val="libAieChar"/>
          <w:rtl/>
        </w:rPr>
        <w:t xml:space="preserve"> وَمَا الْحَياةُ الدُّنْيا إِل</w:t>
      </w:r>
      <w:r w:rsidR="00BB21F0">
        <w:rPr>
          <w:rStyle w:val="libAieChar"/>
          <w:rFonts w:hint="cs"/>
          <w:rtl/>
        </w:rPr>
        <w:t>ّ</w:t>
      </w:r>
      <w:r w:rsidR="00BB21F0">
        <w:rPr>
          <w:rStyle w:val="libAieChar"/>
          <w:rtl/>
        </w:rPr>
        <w:t>ا</w:t>
      </w:r>
      <w:r w:rsidRPr="00071CF9">
        <w:rPr>
          <w:rStyle w:val="libAieChar"/>
          <w:rtl/>
        </w:rPr>
        <w:t xml:space="preserve"> مَتاعُ الْغُرُورِ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إِنَّ اللهَ اخْتَارَكُمْ </w:t>
      </w:r>
      <w:r>
        <w:rPr>
          <w:rStyle w:val="libFootnotenumChar"/>
          <w:rtl/>
        </w:rPr>
        <w:t>(10)</w:t>
      </w:r>
      <w:r w:rsidRPr="00132E65">
        <w:rPr>
          <w:rtl/>
          <w:lang w:bidi="fa-IR"/>
        </w:rPr>
        <w:t xml:space="preserve"> وَفَضَّلَكُمْ وطَهَّرَكُمْ </w:t>
      </w:r>
      <w:r>
        <w:rPr>
          <w:rStyle w:val="libFootnotenumChar"/>
          <w:rtl/>
        </w:rPr>
        <w:t>(11)</w:t>
      </w:r>
      <w:r w:rsidRPr="00132E65">
        <w:rPr>
          <w:rtl/>
          <w:lang w:bidi="fa-IR"/>
        </w:rPr>
        <w:t xml:space="preserve"> ، وجَعَلَكُمْ أَهْلَ بَيْتِ نَبِيِّهِ ، واسْتَوْدَعَكُمْ عِلْمَهُ </w:t>
      </w:r>
      <w:r>
        <w:rPr>
          <w:rStyle w:val="libFootnotenumChar"/>
          <w:rtl/>
        </w:rPr>
        <w:t>(12)</w:t>
      </w:r>
      <w:r w:rsidRPr="00132E65">
        <w:rPr>
          <w:rtl/>
          <w:lang w:bidi="fa-IR"/>
        </w:rPr>
        <w:t xml:space="preserve"> ، وأَوْرَثَكُمْ كِتَابَهُ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w:t>
      </w:r>
      <w:r>
        <w:rPr>
          <w:rtl/>
        </w:rPr>
        <w:t xml:space="preserve"> ..</w:t>
      </w:r>
      <w:r w:rsidRPr="00132E65">
        <w:rPr>
          <w:rtl/>
        </w:rPr>
        <w:t>. ويمكن أن يقرأ : ظُنُّوا على بناء المجهول ، أي ظنّ الحاضرون بهم ذلك »</w:t>
      </w:r>
      <w:r>
        <w:rPr>
          <w:rtl/>
        </w:rPr>
        <w:t>.</w:t>
      </w:r>
    </w:p>
    <w:p w:rsidR="000C39D1" w:rsidRPr="00132E65" w:rsidRDefault="000C39D1" w:rsidP="000C39D1">
      <w:pPr>
        <w:pStyle w:val="libFootnote0"/>
        <w:rPr>
          <w:rtl/>
          <w:lang w:bidi="fa-IR"/>
        </w:rPr>
      </w:pPr>
      <w:r>
        <w:rPr>
          <w:rtl/>
        </w:rPr>
        <w:t>(2).</w:t>
      </w:r>
      <w:r w:rsidRPr="00132E65">
        <w:rPr>
          <w:rtl/>
        </w:rPr>
        <w:t xml:space="preserve"> « تُقِلُّهُمْ » ، أي ترفعهم وتحملهم. راجع : </w:t>
      </w:r>
      <w:r w:rsidRPr="00654F03">
        <w:rPr>
          <w:rtl/>
        </w:rPr>
        <w:t>النهاية</w:t>
      </w:r>
      <w:r w:rsidRPr="00132E65">
        <w:rPr>
          <w:rtl/>
        </w:rPr>
        <w:t xml:space="preserve"> ، ج 4 ، ص 104 ( قلل )</w:t>
      </w:r>
      <w:r>
        <w:rPr>
          <w:rtl/>
        </w:rPr>
        <w:t>.</w:t>
      </w:r>
    </w:p>
    <w:p w:rsidR="000C39D1" w:rsidRPr="00132E65" w:rsidRDefault="000C39D1" w:rsidP="000C39D1">
      <w:pPr>
        <w:pStyle w:val="libFootnote0"/>
        <w:rPr>
          <w:rtl/>
          <w:lang w:bidi="fa-IR"/>
        </w:rPr>
      </w:pPr>
      <w:r>
        <w:rPr>
          <w:rtl/>
        </w:rPr>
        <w:t>(3).</w:t>
      </w:r>
      <w:r w:rsidRPr="00132E65">
        <w:rPr>
          <w:rtl/>
        </w:rPr>
        <w:t xml:space="preserve"> </w:t>
      </w:r>
      <w:r w:rsidR="00BB21F0">
        <w:rPr>
          <w:rtl/>
        </w:rPr>
        <w:t>« وَتَرَ الأقربين » ، قال العل</w:t>
      </w:r>
      <w:r w:rsidR="00BB21F0">
        <w:rPr>
          <w:rFonts w:hint="cs"/>
          <w:rtl/>
        </w:rPr>
        <w:t>ّ</w:t>
      </w:r>
      <w:r w:rsidR="00BB21F0">
        <w:rPr>
          <w:rtl/>
        </w:rPr>
        <w:t>ا</w:t>
      </w:r>
      <w:r w:rsidRPr="00132E65">
        <w:rPr>
          <w:rtl/>
        </w:rPr>
        <w:t xml:space="preserve">مة المازندراني : « الوَتْرُ : الذَحْلُ ، وهو طلب المكافاة بجناية جنيت على الرجل من قتل أو جرح أو نحو ذلك. والحمل للمبالغة. والمقصود أنّ رسول الله </w:t>
      </w:r>
      <w:r w:rsidRPr="00C17CD8">
        <w:rPr>
          <w:rStyle w:val="libFootnoteAlaemChar"/>
          <w:rFonts w:eastAsiaTheme="minorHAnsi"/>
          <w:rtl/>
        </w:rPr>
        <w:t>صلى‌الله‌عليه‌وآله</w:t>
      </w:r>
      <w:r w:rsidRPr="00132E65">
        <w:rPr>
          <w:rtl/>
          <w:lang w:bidi="fa-IR"/>
        </w:rPr>
        <w:t xml:space="preserve"> </w:t>
      </w:r>
      <w:r w:rsidRPr="00132E65">
        <w:rPr>
          <w:rtl/>
        </w:rPr>
        <w:t>كان طالب الجنايات للأقارب والأباعد ودافع الجور والظلم عنهم وحافظ حقوقهم »</w:t>
      </w:r>
      <w:r>
        <w:rPr>
          <w:rtl/>
        </w:rPr>
        <w:t>.</w:t>
      </w:r>
      <w:r w:rsidRPr="00132E65">
        <w:rPr>
          <w:rtl/>
        </w:rPr>
        <w:t xml:space="preserve"> وقال الفيض : « الوَتْر : الحقد ؛ يعني أسخطهم على نفسه وأهله وجعلهم ذوي حقد عليهم في طلب رضاء الله سبحانه »</w:t>
      </w:r>
      <w:r>
        <w:rPr>
          <w:rtl/>
        </w:rPr>
        <w:t>.</w:t>
      </w:r>
      <w:r w:rsidRPr="00132E65">
        <w:rPr>
          <w:rtl/>
        </w:rPr>
        <w:t xml:space="preserve"> وقال المجلسي : « أي جنى عليهم وقتل أقاربهم وجعلهم ذوي أوتار ودخول طالبين للدماء ونقصهم أموالهم ، كلّ ذلك في الله أي لطلب رضاه »</w:t>
      </w:r>
      <w:r>
        <w:rPr>
          <w:rtl/>
        </w:rPr>
        <w:t>.</w:t>
      </w:r>
      <w:r w:rsidRPr="00132E65">
        <w:rPr>
          <w:rtl/>
        </w:rPr>
        <w:t xml:space="preserve"> راجع : </w:t>
      </w:r>
      <w:r w:rsidRPr="00654F03">
        <w:rPr>
          <w:rtl/>
        </w:rPr>
        <w:t>شرح المازندراني</w:t>
      </w:r>
      <w:r w:rsidRPr="00132E65">
        <w:rPr>
          <w:rtl/>
        </w:rPr>
        <w:t xml:space="preserve"> ، ج 7 ، ص 166 ؛ </w:t>
      </w:r>
      <w:r w:rsidRPr="009D1ACE">
        <w:rPr>
          <w:rStyle w:val="libFootnoteBoldChar"/>
          <w:rtl/>
        </w:rPr>
        <w:t>الوافي</w:t>
      </w:r>
      <w:r w:rsidRPr="00132E65">
        <w:rPr>
          <w:rtl/>
        </w:rPr>
        <w:t xml:space="preserve"> ، ج 3 ، ص 721 ؛ </w:t>
      </w:r>
      <w:r w:rsidRPr="009D1ACE">
        <w:rPr>
          <w:rStyle w:val="libFootnoteBoldChar"/>
          <w:rtl/>
        </w:rPr>
        <w:t>مرآة العقول</w:t>
      </w:r>
      <w:r w:rsidRPr="00132E65">
        <w:rPr>
          <w:rtl/>
        </w:rPr>
        <w:t xml:space="preserve"> ، ج 5 ، ص 226 ؛ </w:t>
      </w:r>
      <w:r w:rsidRPr="009D1ACE">
        <w:rPr>
          <w:rStyle w:val="libFootnoteBoldChar"/>
          <w:rtl/>
        </w:rPr>
        <w:t>لسان العرب</w:t>
      </w:r>
      <w:r w:rsidRPr="00132E65">
        <w:rPr>
          <w:rtl/>
        </w:rPr>
        <w:t xml:space="preserve"> ، ج 5 ، ص 274</w:t>
      </w:r>
      <w:r>
        <w:rPr>
          <w:rtl/>
        </w:rPr>
        <w:t xml:space="preserve"> - </w:t>
      </w:r>
      <w:r w:rsidRPr="00132E65">
        <w:rPr>
          <w:rtl/>
        </w:rPr>
        <w:t>275 ( وتر )</w:t>
      </w:r>
      <w:r>
        <w:rPr>
          <w:rtl/>
        </w:rPr>
        <w:t>.</w:t>
      </w:r>
    </w:p>
    <w:p w:rsidR="000C39D1" w:rsidRPr="00132E65" w:rsidRDefault="000C39D1" w:rsidP="000C39D1">
      <w:pPr>
        <w:pStyle w:val="libFootnote0"/>
        <w:rPr>
          <w:rtl/>
          <w:lang w:bidi="fa-IR"/>
        </w:rPr>
      </w:pPr>
      <w:r>
        <w:rPr>
          <w:rtl/>
        </w:rPr>
        <w:t>(4).</w:t>
      </w:r>
      <w:r w:rsidRPr="00132E65">
        <w:rPr>
          <w:rtl/>
        </w:rPr>
        <w:t xml:space="preserve"> في « ض ، ف ، بر ، بس » وحاشية « بح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 « فبينما »</w:t>
      </w:r>
      <w:r>
        <w:rPr>
          <w:rtl/>
        </w:rPr>
        <w:t>.</w:t>
      </w:r>
    </w:p>
    <w:p w:rsidR="000C39D1" w:rsidRPr="00132E65" w:rsidRDefault="000C39D1" w:rsidP="000C39D1">
      <w:pPr>
        <w:pStyle w:val="libFootnote0"/>
        <w:rPr>
          <w:rtl/>
          <w:lang w:bidi="fa-IR"/>
        </w:rPr>
      </w:pPr>
      <w:r>
        <w:rPr>
          <w:rtl/>
        </w:rPr>
        <w:t>(5).</w:t>
      </w:r>
      <w:r w:rsidRPr="00132E65">
        <w:rPr>
          <w:rtl/>
        </w:rPr>
        <w:t xml:space="preserve"> « العَزاءُ » : الصبر ، أو حسنه. </w:t>
      </w:r>
      <w:r w:rsidRPr="00654F03">
        <w:rPr>
          <w:rtl/>
        </w:rPr>
        <w:t>القاموس المحيط</w:t>
      </w:r>
      <w:r w:rsidRPr="00132E65">
        <w:rPr>
          <w:rtl/>
        </w:rPr>
        <w:t xml:space="preserve"> ، ج 2 ، ص 1718 ( عزى )</w:t>
      </w:r>
      <w:r>
        <w:rPr>
          <w:rtl/>
        </w:rPr>
        <w:t>.</w:t>
      </w:r>
    </w:p>
    <w:p w:rsidR="000C39D1" w:rsidRPr="00132E65" w:rsidRDefault="000C39D1" w:rsidP="00BB21F0">
      <w:pPr>
        <w:pStyle w:val="libFootnote0"/>
        <w:rPr>
          <w:rtl/>
          <w:lang w:bidi="fa-IR"/>
        </w:rPr>
      </w:pPr>
      <w:r>
        <w:rPr>
          <w:rtl/>
        </w:rPr>
        <w:t>(6).</w:t>
      </w:r>
      <w:r w:rsidRPr="00132E65">
        <w:rPr>
          <w:rtl/>
        </w:rPr>
        <w:t xml:space="preserve"> « الدَرَك » : إدراك الحاجة ومطلبه. والدَرْكُ : اللحاق والوصول إلى الشي‌ء. </w:t>
      </w:r>
      <w:r w:rsidRPr="009D1ACE">
        <w:rPr>
          <w:rStyle w:val="libFootnoteBoldChar"/>
          <w:rtl/>
        </w:rPr>
        <w:t>لسان العرب</w:t>
      </w:r>
      <w:r w:rsidRPr="00132E65">
        <w:rPr>
          <w:rtl/>
        </w:rPr>
        <w:t xml:space="preserve"> ، ج 10 ، ص 419 ( درك )</w:t>
      </w:r>
      <w:r>
        <w:rPr>
          <w:rtl/>
        </w:rPr>
        <w:t>.</w:t>
      </w:r>
      <w:r w:rsidR="00BB21F0">
        <w:rPr>
          <w:rFonts w:hint="cs"/>
          <w:rtl/>
        </w:rPr>
        <w:t xml:space="preserve">                                </w:t>
      </w:r>
      <w:r w:rsidR="00C17CD8">
        <w:rPr>
          <w:rFonts w:hint="cs"/>
          <w:rtl/>
        </w:rPr>
        <w:t xml:space="preserve">            </w:t>
      </w:r>
      <w:r w:rsidR="00BB21F0">
        <w:rPr>
          <w:rFonts w:hint="cs"/>
          <w:rtl/>
        </w:rPr>
        <w:t xml:space="preserve">             </w:t>
      </w:r>
      <w:r>
        <w:rPr>
          <w:rtl/>
        </w:rPr>
        <w:t>(7).</w:t>
      </w:r>
      <w:r w:rsidRPr="00132E65">
        <w:rPr>
          <w:rtl/>
        </w:rPr>
        <w:t xml:space="preserve"> في « ف » : « لكلّ ما »</w:t>
      </w:r>
      <w:r>
        <w:rPr>
          <w:rtl/>
        </w:rPr>
        <w:t>.</w:t>
      </w:r>
    </w:p>
    <w:p w:rsidR="000C39D1" w:rsidRPr="00132E65" w:rsidRDefault="000C39D1" w:rsidP="000C39D1">
      <w:pPr>
        <w:pStyle w:val="libFootnote0"/>
        <w:rPr>
          <w:rtl/>
          <w:lang w:bidi="fa-IR"/>
        </w:rPr>
      </w:pPr>
      <w:r>
        <w:rPr>
          <w:rtl/>
        </w:rPr>
        <w:t>(8).</w:t>
      </w:r>
      <w:r w:rsidRPr="00132E65">
        <w:rPr>
          <w:rtl/>
        </w:rPr>
        <w:t xml:space="preserve"> « زُحْزِحَ » ، أي نُحِّيَ وبُوعِدَ. راجع : </w:t>
      </w:r>
      <w:r w:rsidRPr="00654F03">
        <w:rPr>
          <w:rtl/>
        </w:rPr>
        <w:t>النهاية</w:t>
      </w:r>
      <w:r w:rsidRPr="00132E65">
        <w:rPr>
          <w:rtl/>
        </w:rPr>
        <w:t xml:space="preserve"> ، ج 2 ، ص 297 ( زحزح )</w:t>
      </w:r>
      <w:r>
        <w:rPr>
          <w:rtl/>
        </w:rPr>
        <w:t>.</w:t>
      </w:r>
    </w:p>
    <w:tbl>
      <w:tblPr>
        <w:tblStyle w:val="TableGrid"/>
        <w:bidiVisual/>
        <w:tblW w:w="0" w:type="auto"/>
        <w:tblLook w:val="04A0" w:firstRow="1" w:lastRow="0" w:firstColumn="1" w:lastColumn="0" w:noHBand="0" w:noVBand="1"/>
      </w:tblPr>
      <w:tblGrid>
        <w:gridCol w:w="4006"/>
        <w:gridCol w:w="4006"/>
      </w:tblGrid>
      <w:tr w:rsidR="00BB21F0" w:rsidTr="00BB21F0">
        <w:tc>
          <w:tcPr>
            <w:tcW w:w="4006" w:type="dxa"/>
          </w:tcPr>
          <w:p w:rsidR="00BB21F0" w:rsidRDefault="00BB21F0" w:rsidP="000C39D1">
            <w:pPr>
              <w:pStyle w:val="libFootnote0"/>
              <w:rPr>
                <w:rtl/>
              </w:rPr>
            </w:pPr>
            <w:r>
              <w:rPr>
                <w:rtl/>
              </w:rPr>
              <w:t>(9).</w:t>
            </w:r>
            <w:r w:rsidRPr="00132E65">
              <w:rPr>
                <w:rtl/>
              </w:rPr>
              <w:t xml:space="preserve"> آل عمران </w:t>
            </w:r>
            <w:r>
              <w:rPr>
                <w:rtl/>
              </w:rPr>
              <w:t>(3)</w:t>
            </w:r>
            <w:r w:rsidRPr="00132E65">
              <w:rPr>
                <w:rtl/>
              </w:rPr>
              <w:t xml:space="preserve"> : 185.</w:t>
            </w:r>
          </w:p>
        </w:tc>
        <w:tc>
          <w:tcPr>
            <w:tcW w:w="4006" w:type="dxa"/>
          </w:tcPr>
          <w:p w:rsidR="00BB21F0" w:rsidRDefault="00BB21F0" w:rsidP="000C39D1">
            <w:pPr>
              <w:pStyle w:val="libFootnote0"/>
              <w:rPr>
                <w:rtl/>
              </w:rPr>
            </w:pPr>
            <w:r>
              <w:rPr>
                <w:rtl/>
              </w:rPr>
              <w:t>(10).</w:t>
            </w:r>
            <w:r w:rsidRPr="00132E65">
              <w:rPr>
                <w:rtl/>
              </w:rPr>
              <w:t xml:space="preserve"> في « ض » : « قد اختاركم »</w:t>
            </w:r>
            <w:r>
              <w:rPr>
                <w:rtl/>
              </w:rPr>
              <w:t>.</w:t>
            </w:r>
          </w:p>
        </w:tc>
      </w:tr>
    </w:tbl>
    <w:p w:rsidR="000C39D1" w:rsidRPr="00132E65" w:rsidRDefault="000C39D1" w:rsidP="000C39D1">
      <w:pPr>
        <w:pStyle w:val="libFootnote0"/>
        <w:rPr>
          <w:rtl/>
          <w:lang w:bidi="fa-IR"/>
        </w:rPr>
      </w:pPr>
      <w:r>
        <w:rPr>
          <w:rtl/>
        </w:rPr>
        <w:t>(11).</w:t>
      </w:r>
      <w:r w:rsidRPr="00132E65">
        <w:rPr>
          <w:rtl/>
        </w:rPr>
        <w:t xml:space="preserve"> في « ج » : « طهّركم وفضّلكم »</w:t>
      </w:r>
      <w:r>
        <w:rPr>
          <w:rtl/>
        </w:rPr>
        <w:t>.</w:t>
      </w:r>
      <w:r w:rsidRPr="00132E65">
        <w:rPr>
          <w:rtl/>
        </w:rPr>
        <w:t xml:space="preserve"> وقوله : « وطهّركم » إشارة إلى الآية 33 من سورة الأحزاب (33</w:t>
      </w:r>
      <w:r>
        <w:rPr>
          <w:rtl/>
        </w:rPr>
        <w:t>) :</w:t>
      </w:r>
      <w:r w:rsidRPr="00132E65">
        <w:rPr>
          <w:rtl/>
        </w:rPr>
        <w:t xml:space="preserve"> </w:t>
      </w:r>
      <w:r w:rsidRPr="00A03115">
        <w:rPr>
          <w:rStyle w:val="libFootnoteAlaemChar"/>
          <w:rtl/>
        </w:rPr>
        <w:t>(</w:t>
      </w:r>
      <w:r>
        <w:rPr>
          <w:rFonts w:hint="cs"/>
          <w:rtl/>
        </w:rPr>
        <w:t xml:space="preserve"> </w:t>
      </w:r>
      <w:r w:rsidRPr="00C2691A">
        <w:rPr>
          <w:rStyle w:val="libFootnoteAieChar"/>
          <w:rtl/>
        </w:rPr>
        <w:t>إِنَّما يُرِيدُ اللهُ لِيُذْهِبَ عَنْكُمُ الرِّجْسَ أَهْلَ الْبَيْتِ وَيُطَهِّرَكُمْ تَطْهِيراً</w:t>
      </w:r>
      <w:r>
        <w:rPr>
          <w:rFonts w:hint="cs"/>
          <w:rtl/>
        </w:rPr>
        <w:t xml:space="preserve"> </w:t>
      </w:r>
      <w:r w:rsidRPr="00A03115">
        <w:rPr>
          <w:rStyle w:val="libFootnoteAlaemChar"/>
          <w:rtl/>
        </w:rPr>
        <w:t>)</w:t>
      </w:r>
      <w:r w:rsidRPr="00132E65">
        <w:rPr>
          <w:rtl/>
        </w:rPr>
        <w:t>.</w:t>
      </w:r>
    </w:p>
    <w:p w:rsidR="000C39D1" w:rsidRPr="00132E65" w:rsidRDefault="000C39D1" w:rsidP="000C39D1">
      <w:pPr>
        <w:pStyle w:val="libFootnote0"/>
        <w:rPr>
          <w:rtl/>
          <w:lang w:bidi="fa-IR"/>
        </w:rPr>
      </w:pPr>
      <w:r>
        <w:rPr>
          <w:rtl/>
        </w:rPr>
        <w:t>(12).</w:t>
      </w:r>
      <w:r w:rsidRPr="00132E65">
        <w:rPr>
          <w:rtl/>
        </w:rPr>
        <w:t xml:space="preserve"> « استودعكم علمه » ، أي جعلكم حَفَظَةً لعلمه. من استودعتُه وديعةً ، إذا استحفظتَه إيّاه. راجع : </w:t>
      </w:r>
      <w:r w:rsidRPr="00654F03">
        <w:rPr>
          <w:rtl/>
        </w:rPr>
        <w:t>الصحاح</w:t>
      </w:r>
      <w:r w:rsidRPr="00132E65">
        <w:rPr>
          <w:rtl/>
        </w:rPr>
        <w:t xml:space="preserve"> ، ج 3 ، ص 1296 ( ودع )</w:t>
      </w:r>
      <w:r>
        <w:rPr>
          <w:rtl/>
        </w:rPr>
        <w:t>.</w:t>
      </w:r>
    </w:p>
    <w:p w:rsidR="000C39D1" w:rsidRPr="00132E65" w:rsidRDefault="000C39D1" w:rsidP="000C39D1">
      <w:pPr>
        <w:pStyle w:val="libFootnote0"/>
        <w:rPr>
          <w:rtl/>
          <w:lang w:bidi="fa-IR"/>
        </w:rPr>
      </w:pPr>
      <w:r>
        <w:rPr>
          <w:rtl/>
        </w:rPr>
        <w:t>(13)</w:t>
      </w:r>
      <w:r w:rsidRPr="00132E65">
        <w:rPr>
          <w:rtl/>
        </w:rPr>
        <w:t xml:space="preserve"> إشارة إلى الآية 32 من سورة فاطر (35</w:t>
      </w:r>
      <w:r>
        <w:rPr>
          <w:rtl/>
        </w:rPr>
        <w:t>) :</w:t>
      </w:r>
      <w:r w:rsidRPr="00132E65">
        <w:rPr>
          <w:rtl/>
        </w:rPr>
        <w:t xml:space="preserve"> </w:t>
      </w:r>
      <w:r w:rsidRPr="00A03115">
        <w:rPr>
          <w:rStyle w:val="libFootnoteAlaemChar"/>
          <w:rtl/>
        </w:rPr>
        <w:t>(</w:t>
      </w:r>
      <w:r>
        <w:rPr>
          <w:rFonts w:hint="cs"/>
          <w:rtl/>
        </w:rPr>
        <w:t xml:space="preserve"> </w:t>
      </w:r>
      <w:r w:rsidRPr="00C2691A">
        <w:rPr>
          <w:rStyle w:val="libFootnoteAieChar"/>
          <w:rtl/>
        </w:rPr>
        <w:t>ثُمَّ أَوْرَثْنَا الْكِتابَ الَّذِينَ اصْطَفَيْنا مِنْ عِبادِنا</w:t>
      </w:r>
      <w:r>
        <w:rPr>
          <w:rFonts w:hint="cs"/>
          <w:rtl/>
        </w:rPr>
        <w:t xml:space="preserve"> </w:t>
      </w:r>
      <w:r w:rsidRPr="00A03115">
        <w:rPr>
          <w:rStyle w:val="libFootnoteAlaemChar"/>
          <w:rtl/>
        </w:rPr>
        <w:t>)</w:t>
      </w:r>
      <w:r w:rsidRPr="00132E65">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وَجَعَلَكُمْ تَابُوتَ عِلْمِهِ وعَصَا عِزِّهِ ، وضَرَبَ لَكُمْ مَثَلاً مِنْ نُورِهِ </w:t>
      </w:r>
      <w:r>
        <w:rPr>
          <w:rStyle w:val="libFootnotenumChar"/>
          <w:rtl/>
        </w:rPr>
        <w:t>(1)</w:t>
      </w:r>
      <w:r w:rsidRPr="00132E65">
        <w:rPr>
          <w:rtl/>
          <w:lang w:bidi="fa-IR"/>
        </w:rPr>
        <w:t xml:space="preserve"> ، وعَصَمَكُمْ مِنَ الزَّلَلِ ، وَآمَنَكُمْ مِنَ الْفِتَنِ ، فَتَعَزَّوْا بِعَزَاءِ اللهِ </w:t>
      </w:r>
      <w:r>
        <w:rPr>
          <w:rStyle w:val="libFootnotenumChar"/>
          <w:rtl/>
        </w:rPr>
        <w:t>(2)</w:t>
      </w:r>
      <w:r w:rsidRPr="00132E65">
        <w:rPr>
          <w:rtl/>
          <w:lang w:bidi="fa-IR"/>
        </w:rPr>
        <w:t xml:space="preserve"> ؛ فَإِنَّ اللهَ لَمْ يَنْزِعْ </w:t>
      </w:r>
      <w:r>
        <w:rPr>
          <w:rStyle w:val="libFootnotenumChar"/>
          <w:rtl/>
        </w:rPr>
        <w:t>(3)</w:t>
      </w:r>
      <w:r w:rsidRPr="00132E65">
        <w:rPr>
          <w:rtl/>
          <w:lang w:bidi="fa-IR"/>
        </w:rPr>
        <w:t xml:space="preserve"> مِنْكُمْ رَحْمَتَهُ ، ولَنْ يُزِيلَ عَنْكُمْ نِعْمَتَهُ ، فَأَنْتُمْ أَهْلُ اللهِ</w:t>
      </w:r>
      <w:r>
        <w:rPr>
          <w:rtl/>
          <w:lang w:bidi="fa-IR"/>
        </w:rPr>
        <w:t xml:space="preserve"> - </w:t>
      </w:r>
      <w:r w:rsidRPr="00132E65">
        <w:rPr>
          <w:rtl/>
          <w:lang w:bidi="fa-IR"/>
        </w:rPr>
        <w:t>عَزَّ وجَلَّ</w:t>
      </w:r>
      <w:r>
        <w:rPr>
          <w:rtl/>
          <w:lang w:bidi="fa-IR"/>
        </w:rPr>
        <w:t xml:space="preserve"> - </w:t>
      </w:r>
      <w:r w:rsidRPr="00132E65">
        <w:rPr>
          <w:rtl/>
          <w:lang w:bidi="fa-IR"/>
        </w:rPr>
        <w:t xml:space="preserve">الَّذِينَ بِهِمْ تَمَّتِ النِّعْمَةُ ، واجْتَمَعَتِ الْفُرْقَةُ </w:t>
      </w:r>
      <w:r>
        <w:rPr>
          <w:rStyle w:val="libFootnotenumChar"/>
          <w:rtl/>
        </w:rPr>
        <w:t>(4)</w:t>
      </w:r>
      <w:r w:rsidRPr="00132E65">
        <w:rPr>
          <w:rtl/>
          <w:lang w:bidi="fa-IR"/>
        </w:rPr>
        <w:t xml:space="preserve"> ، وَائْتَلَفَتِ الْكَلِمَةُ ، وأَنْتُمْ أَوْلِيَاؤُهُ ؛ فَمَنْ تَوَلاَّكُمْ فَازَ ؛ ومَنْ ظَلَمَ حَقَّكُمْ زَهَقَ </w:t>
      </w:r>
      <w:r>
        <w:rPr>
          <w:rStyle w:val="libFootnotenumChar"/>
          <w:rtl/>
        </w:rPr>
        <w:t>(5)</w:t>
      </w:r>
      <w:r w:rsidRPr="00132E65">
        <w:rPr>
          <w:rtl/>
          <w:lang w:bidi="fa-IR"/>
        </w:rPr>
        <w:t xml:space="preserve"> ؛ مَوَدَّتُكُمْ مِنَ اللهِ واجِبَةٌ فِي كِتَابِهِ </w:t>
      </w:r>
      <w:r>
        <w:rPr>
          <w:rStyle w:val="libFootnotenumChar"/>
          <w:rtl/>
        </w:rPr>
        <w:t>(6)</w:t>
      </w:r>
      <w:r w:rsidRPr="00132E65">
        <w:rPr>
          <w:rtl/>
          <w:lang w:bidi="fa-IR"/>
        </w:rPr>
        <w:t xml:space="preserve"> عَلى عِبَادِهِ الْمُؤْمِنِينَ ، ثُمَّ اللهُ عَلى نَصْرِكُمْ</w:t>
      </w:r>
      <w:r>
        <w:rPr>
          <w:rtl/>
          <w:lang w:bidi="fa-IR"/>
        </w:rPr>
        <w:t xml:space="preserve"> - </w:t>
      </w:r>
      <w:r w:rsidRPr="00132E65">
        <w:rPr>
          <w:rtl/>
          <w:lang w:bidi="fa-IR"/>
        </w:rPr>
        <w:t>إِذَا يَشَاءُ</w:t>
      </w:r>
      <w:r>
        <w:rPr>
          <w:rtl/>
          <w:lang w:bidi="fa-IR"/>
        </w:rPr>
        <w:t xml:space="preserve"> - </w:t>
      </w:r>
      <w:r w:rsidRPr="00132E65">
        <w:rPr>
          <w:rtl/>
          <w:lang w:bidi="fa-IR"/>
        </w:rPr>
        <w:t xml:space="preserve">قَدِيرٌ ؛ فَاصْبِرُوا لِعَوَاقِبِ الْأُمُورِ ؛ فَإِنَّهَا إِلَى اللهِ تَصِيرُ ، قَدْ قَبَّلَكُمُ اللهُ مِنْ نَبِيِّهِ ودِيعَةً ، وَاسْتَوْدَعَكُمْ أَوْلِيَاءَهُ الْمُؤْمِنِينَ فِي الْأَرْضِ ، فَمَنْ أَدّى أَمَانَتَهُ آتَاهُ </w:t>
      </w:r>
      <w:r>
        <w:rPr>
          <w:rStyle w:val="libFootnotenumChar"/>
          <w:rtl/>
        </w:rPr>
        <w:t>(7)</w:t>
      </w:r>
      <w:r w:rsidRPr="00132E65">
        <w:rPr>
          <w:rtl/>
          <w:lang w:bidi="fa-IR"/>
        </w:rPr>
        <w:t xml:space="preserve"> اللهُ صِدْقَهُ ، فَأَنْتُمُ الْأَمَانَةُ الْمُسْتَوْدَعَةُ ، ولَكُمُ الْمَوَدَّةُ الْوَاجِبَةُ والطَّاعَةُ الْمَفْرُوضَةُ </w:t>
      </w:r>
      <w:r>
        <w:rPr>
          <w:rStyle w:val="libFootnotenumChar"/>
          <w:rtl/>
        </w:rPr>
        <w:t>(8)</w:t>
      </w:r>
      <w:r w:rsidRPr="00132E65">
        <w:rPr>
          <w:rtl/>
          <w:lang w:bidi="fa-IR"/>
        </w:rPr>
        <w:t xml:space="preserve"> ، وقَدْ قُبِضَ رَسُولُ اللهِ </w:t>
      </w:r>
      <w:r w:rsidRPr="0093484F">
        <w:rPr>
          <w:rStyle w:val="libAlaemChar"/>
          <w:rFonts w:eastAsiaTheme="minorHAnsi"/>
          <w:rtl/>
        </w:rPr>
        <w:t>صلى‌الله‌عليه‌وآله</w:t>
      </w:r>
      <w:r w:rsidRPr="00132E65">
        <w:rPr>
          <w:rtl/>
          <w:lang w:bidi="fa-IR"/>
        </w:rPr>
        <w:t xml:space="preserve"> وقَدْ أَكْمَلَ لَكُمُ الدِّينَ ، وبَيَّنَ لَكُمْ سَبِيلَ الْمَخْرَجِ ، فَلَمْ يَتْرُكْ لِجَاهِلٍ حُجَّةً ، فَمَنْ جَهِلَ أَوْ تَجَاهَلَ أَوْ أَنْكَرَ أَوْ نَسِيَ أَوْ تَنَاسى ، فَعَلَى اللهِ حِسَابُهُ ، واللهُ مِنْ وَرَاءِ حَوَائِجِكُمْ ، وأَسْتَوْدِعُكُمُ اللهَ ، والسَّلَامُ عَلَيْكُمْ » </w:t>
      </w:r>
      <w:r>
        <w:rPr>
          <w:rStyle w:val="libFootnotenumChar"/>
          <w:rtl/>
        </w:rPr>
        <w:t>(9)</w:t>
      </w:r>
    </w:p>
    <w:p w:rsidR="000C39D1" w:rsidRPr="00132E65" w:rsidRDefault="000C39D1" w:rsidP="000C39D1">
      <w:pPr>
        <w:pStyle w:val="libNormal"/>
        <w:rPr>
          <w:rtl/>
          <w:lang w:bidi="fa-IR"/>
        </w:rPr>
      </w:pPr>
      <w:r w:rsidRPr="00132E65">
        <w:rPr>
          <w:rtl/>
          <w:lang w:bidi="fa-IR"/>
        </w:rPr>
        <w:t xml:space="preserve">فَسَأَلْتُ أَبَا جَعْفَرٍ </w:t>
      </w:r>
      <w:r w:rsidRPr="00071CF9">
        <w:rPr>
          <w:rStyle w:val="libAlaemChar"/>
          <w:rtl/>
        </w:rPr>
        <w:t>عليه‌السلام</w:t>
      </w:r>
      <w:r w:rsidRPr="00132E65">
        <w:rPr>
          <w:rtl/>
          <w:lang w:bidi="fa-IR"/>
        </w:rPr>
        <w:t xml:space="preserve"> : مِمَّنْ </w:t>
      </w:r>
      <w:r>
        <w:rPr>
          <w:rStyle w:val="libFootnotenumChar"/>
          <w:rtl/>
        </w:rPr>
        <w:t>(10)</w:t>
      </w:r>
      <w:r w:rsidRPr="00132E65">
        <w:rPr>
          <w:rtl/>
          <w:lang w:bidi="fa-IR"/>
        </w:rPr>
        <w:t xml:space="preserve"> أَتَاهُمُ التَّعْزِيَةُ</w:t>
      </w:r>
      <w:r>
        <w:rPr>
          <w:rtl/>
          <w:lang w:bidi="fa-IR"/>
        </w:rPr>
        <w:t>؟</w:t>
      </w:r>
      <w:r w:rsidRPr="00132E65">
        <w:rPr>
          <w:rtl/>
          <w:lang w:bidi="fa-IR"/>
        </w:rPr>
        <w:t xml:space="preserve"> فَقَالَ : « مِنَ اللهِ تَبَارَكَ وتَعَالى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إشارة إلى الآية 35 من سورة النور (24</w:t>
      </w:r>
      <w:r>
        <w:rPr>
          <w:rtl/>
        </w:rPr>
        <w:t>) :</w:t>
      </w:r>
      <w:r w:rsidRPr="00132E65">
        <w:rPr>
          <w:rtl/>
        </w:rPr>
        <w:t xml:space="preserve"> </w:t>
      </w:r>
      <w:r w:rsidRPr="00A03115">
        <w:rPr>
          <w:rStyle w:val="libFootnoteAlaemChar"/>
          <w:rtl/>
        </w:rPr>
        <w:t>(</w:t>
      </w:r>
      <w:r>
        <w:rPr>
          <w:rFonts w:hint="cs"/>
          <w:rtl/>
        </w:rPr>
        <w:t xml:space="preserve"> </w:t>
      </w:r>
      <w:r w:rsidRPr="00C2691A">
        <w:rPr>
          <w:rStyle w:val="libFootnoteAieChar"/>
          <w:rtl/>
        </w:rPr>
        <w:t>اللهُ نُورُ السَّماواتِ وَالْأَرْضِ مَثَلُ نُورِهِ كَمِشْكاةٍ ...</w:t>
      </w:r>
      <w:r>
        <w:rPr>
          <w:rFonts w:hint="cs"/>
          <w:rtl/>
        </w:rPr>
        <w:t xml:space="preserve"> </w:t>
      </w:r>
      <w:r w:rsidRPr="00A03115">
        <w:rPr>
          <w:rStyle w:val="libFootnoteAlaemChar"/>
          <w:rtl/>
        </w:rPr>
        <w:t>)</w:t>
      </w:r>
      <w:r w:rsidRPr="00132E65">
        <w:rPr>
          <w:rtl/>
        </w:rPr>
        <w:t>.</w:t>
      </w:r>
    </w:p>
    <w:p w:rsidR="00C17CD8" w:rsidRDefault="000C39D1" w:rsidP="00C17CD8">
      <w:pPr>
        <w:pStyle w:val="libFootnote0"/>
        <w:rPr>
          <w:rtl/>
        </w:rPr>
      </w:pPr>
      <w:r>
        <w:rPr>
          <w:rtl/>
        </w:rPr>
        <w:t>(2).</w:t>
      </w:r>
      <w:r w:rsidRPr="00132E65">
        <w:rPr>
          <w:rtl/>
        </w:rPr>
        <w:t xml:space="preserve"> المراد بالتعزّي التأسّي والتصبّر عند المصيبة ، وأن يقول : </w:t>
      </w:r>
      <w:r w:rsidRPr="00A03115">
        <w:rPr>
          <w:rStyle w:val="libFootnoteAlaemChar"/>
          <w:rtl/>
        </w:rPr>
        <w:t>(</w:t>
      </w:r>
      <w:r>
        <w:rPr>
          <w:rFonts w:hint="cs"/>
          <w:rtl/>
        </w:rPr>
        <w:t xml:space="preserve"> </w:t>
      </w:r>
      <w:r w:rsidRPr="00C2691A">
        <w:rPr>
          <w:rStyle w:val="libFootnoteAieChar"/>
          <w:rtl/>
        </w:rPr>
        <w:t>إِنّا لِلّهِ وَإِنّا إِلَيْهِ راجِعُونَ</w:t>
      </w:r>
      <w:r w:rsidRPr="003518C5">
        <w:rPr>
          <w:rFonts w:hint="cs"/>
          <w:rtl/>
        </w:rPr>
        <w:t xml:space="preserve"> </w:t>
      </w:r>
      <w:r w:rsidRPr="00A03115">
        <w:rPr>
          <w:rStyle w:val="libFootnoteAlaemChar"/>
          <w:rtl/>
        </w:rPr>
        <w:t>)</w:t>
      </w:r>
      <w:r w:rsidRPr="00132E65">
        <w:rPr>
          <w:rtl/>
        </w:rPr>
        <w:t xml:space="preserve"> [ البقرة </w:t>
      </w:r>
      <w:r w:rsidR="00A03115">
        <w:rPr>
          <w:rtl/>
        </w:rPr>
        <w:t>(2)</w:t>
      </w:r>
      <w:r w:rsidRPr="00132E65">
        <w:rPr>
          <w:rtl/>
        </w:rPr>
        <w:t xml:space="preserve"> : 156 ] كما</w:t>
      </w:r>
      <w:r>
        <w:rPr>
          <w:rFonts w:hint="cs"/>
          <w:rtl/>
        </w:rPr>
        <w:t xml:space="preserve"> </w:t>
      </w:r>
      <w:r w:rsidRPr="00132E65">
        <w:rPr>
          <w:rtl/>
        </w:rPr>
        <w:t xml:space="preserve">أمر الله تعالى. ومعنى « بعزاء الله » ، أي بتعزية الله إيّاه ، فقام الاسم مقام المصدر. راجع : </w:t>
      </w:r>
      <w:r w:rsidRPr="00654F03">
        <w:rPr>
          <w:rtl/>
        </w:rPr>
        <w:t>النهاية</w:t>
      </w:r>
      <w:r w:rsidRPr="00132E65">
        <w:rPr>
          <w:rtl/>
        </w:rPr>
        <w:t xml:space="preserve"> ، ج 3 ، ص 233 ( عزا )</w:t>
      </w:r>
      <w:r>
        <w:rPr>
          <w:rtl/>
        </w:rPr>
        <w:t>.</w:t>
      </w:r>
    </w:p>
    <w:p w:rsidR="000C39D1" w:rsidRPr="00132E65" w:rsidRDefault="000C39D1" w:rsidP="00C17CD8">
      <w:pPr>
        <w:pStyle w:val="libFootnote0"/>
        <w:rPr>
          <w:rtl/>
          <w:lang w:bidi="fa-IR"/>
        </w:rPr>
      </w:pPr>
      <w:r>
        <w:rPr>
          <w:rtl/>
        </w:rPr>
        <w:t>(3).</w:t>
      </w:r>
      <w:r w:rsidRPr="00132E65">
        <w:rPr>
          <w:rtl/>
        </w:rPr>
        <w:t xml:space="preserve"> في « ج » : « لن ينزع »</w:t>
      </w:r>
      <w:r>
        <w:rPr>
          <w:rtl/>
        </w:rPr>
        <w:t>.</w:t>
      </w:r>
    </w:p>
    <w:p w:rsidR="000C39D1" w:rsidRPr="00132E65" w:rsidRDefault="000C39D1" w:rsidP="000C39D1">
      <w:pPr>
        <w:pStyle w:val="libFootnote0"/>
        <w:rPr>
          <w:rtl/>
          <w:lang w:bidi="fa-IR"/>
        </w:rPr>
      </w:pPr>
      <w:r>
        <w:rPr>
          <w:rtl/>
        </w:rPr>
        <w:t>(4).</w:t>
      </w:r>
      <w:r w:rsidRPr="00132E65">
        <w:rPr>
          <w:rtl/>
        </w:rPr>
        <w:t xml:space="preserve"> قال المازندراني : « ولو قرئت بالكسر وا</w:t>
      </w:r>
      <w:r w:rsidR="00A03115">
        <w:rPr>
          <w:rFonts w:hint="cs"/>
          <w:rtl/>
        </w:rPr>
        <w:t>ُ</w:t>
      </w:r>
      <w:r w:rsidRPr="00132E65">
        <w:rPr>
          <w:rtl/>
        </w:rPr>
        <w:t>ريد بها جنس الطائفة الشامل للطوائف المتفرّقة لم يكن بعيداً »</w:t>
      </w:r>
      <w:r>
        <w:rPr>
          <w:rtl/>
        </w:rPr>
        <w:t>.</w:t>
      </w:r>
      <w:r w:rsidRPr="00132E65">
        <w:rPr>
          <w:rtl/>
        </w:rPr>
        <w:t xml:space="preserve"> وقريب منه قاله المجلسي.</w:t>
      </w:r>
    </w:p>
    <w:p w:rsidR="000C39D1" w:rsidRPr="00132E65" w:rsidRDefault="000C39D1" w:rsidP="000C39D1">
      <w:pPr>
        <w:pStyle w:val="libFootnote0"/>
        <w:rPr>
          <w:rtl/>
          <w:lang w:bidi="fa-IR"/>
        </w:rPr>
      </w:pPr>
      <w:r>
        <w:rPr>
          <w:rtl/>
        </w:rPr>
        <w:t>(5).</w:t>
      </w:r>
      <w:r w:rsidRPr="00132E65">
        <w:rPr>
          <w:rtl/>
        </w:rPr>
        <w:t xml:space="preserve"> « زَهَقَ » ، أي بطل وهلك. </w:t>
      </w:r>
      <w:r w:rsidRPr="00654F03">
        <w:rPr>
          <w:rtl/>
        </w:rPr>
        <w:t>القاموس المحيط</w:t>
      </w:r>
      <w:r w:rsidRPr="00132E65">
        <w:rPr>
          <w:rtl/>
        </w:rPr>
        <w:t xml:space="preserve"> ، ج 2 ، ص 1184 ( زهق )</w:t>
      </w:r>
      <w:r>
        <w:rPr>
          <w:rtl/>
        </w:rPr>
        <w:t>.</w:t>
      </w:r>
    </w:p>
    <w:p w:rsidR="000C39D1" w:rsidRPr="00132E65" w:rsidRDefault="000C39D1" w:rsidP="000C39D1">
      <w:pPr>
        <w:pStyle w:val="libFootnote0"/>
        <w:rPr>
          <w:rtl/>
          <w:lang w:bidi="fa-IR"/>
        </w:rPr>
      </w:pPr>
      <w:r>
        <w:rPr>
          <w:rtl/>
        </w:rPr>
        <w:t>(6).</w:t>
      </w:r>
      <w:r w:rsidRPr="00132E65">
        <w:rPr>
          <w:rtl/>
        </w:rPr>
        <w:t xml:space="preserve"> إشارة إلى الآية 23 من سورة الشورى (42</w:t>
      </w:r>
      <w:r>
        <w:rPr>
          <w:rtl/>
        </w:rPr>
        <w:t>) :</w:t>
      </w:r>
      <w:r w:rsidRPr="00132E65">
        <w:rPr>
          <w:rtl/>
        </w:rPr>
        <w:t xml:space="preserve"> </w:t>
      </w:r>
      <w:r w:rsidRPr="00A03115">
        <w:rPr>
          <w:rStyle w:val="libFootnoteAlaemChar"/>
          <w:rtl/>
        </w:rPr>
        <w:t>(</w:t>
      </w:r>
      <w:r>
        <w:rPr>
          <w:rFonts w:hint="cs"/>
          <w:rtl/>
        </w:rPr>
        <w:t xml:space="preserve"> </w:t>
      </w:r>
      <w:r w:rsidRPr="00C2691A">
        <w:rPr>
          <w:rStyle w:val="libFootnoteAieChar"/>
          <w:rtl/>
        </w:rPr>
        <w:t>قُلْ ل</w:t>
      </w:r>
      <w:r w:rsidR="00A03115">
        <w:rPr>
          <w:rStyle w:val="libFootnoteAieChar"/>
          <w:rFonts w:hint="cs"/>
          <w:rtl/>
        </w:rPr>
        <w:t>َّ</w:t>
      </w:r>
      <w:r w:rsidRPr="00C2691A">
        <w:rPr>
          <w:rStyle w:val="libFootnoteAieChar"/>
          <w:rtl/>
        </w:rPr>
        <w:t>ا أَسْ</w:t>
      </w:r>
      <w:r w:rsidR="00A03115">
        <w:rPr>
          <w:rStyle w:val="libFootnoteAieChar"/>
          <w:rtl/>
        </w:rPr>
        <w:t>ئَلُكُمْ عَلَيْهِ أَجْراً إِل</w:t>
      </w:r>
      <w:r w:rsidR="00A03115">
        <w:rPr>
          <w:rStyle w:val="libFootnoteAieChar"/>
          <w:rFonts w:hint="cs"/>
          <w:rtl/>
        </w:rPr>
        <w:t>َّ</w:t>
      </w:r>
      <w:r w:rsidR="00A03115">
        <w:rPr>
          <w:rStyle w:val="libFootnoteAieChar"/>
          <w:rtl/>
        </w:rPr>
        <w:t>ا</w:t>
      </w:r>
      <w:r w:rsidRPr="00C2691A">
        <w:rPr>
          <w:rStyle w:val="libFootnoteAieChar"/>
          <w:rtl/>
        </w:rPr>
        <w:t xml:space="preserve"> الْمَوَدَّةَ فِي الْقُرْبى</w:t>
      </w:r>
      <w:r>
        <w:rPr>
          <w:rFonts w:hint="cs"/>
          <w:rtl/>
        </w:rPr>
        <w:t xml:space="preserve"> </w:t>
      </w:r>
      <w:r w:rsidRPr="00A03115">
        <w:rPr>
          <w:rStyle w:val="libFootnoteAlaemChar"/>
          <w:rtl/>
        </w:rPr>
        <w:t>)</w:t>
      </w:r>
      <w:r w:rsidRPr="00132E65">
        <w:rPr>
          <w:rtl/>
        </w:rPr>
        <w:t>.</w:t>
      </w:r>
    </w:p>
    <w:tbl>
      <w:tblPr>
        <w:tblStyle w:val="TableGrid"/>
        <w:bidiVisual/>
        <w:tblW w:w="0" w:type="auto"/>
        <w:tblLook w:val="04A0" w:firstRow="1" w:lastRow="0" w:firstColumn="1" w:lastColumn="0" w:noHBand="0" w:noVBand="1"/>
      </w:tblPr>
      <w:tblGrid>
        <w:gridCol w:w="4006"/>
        <w:gridCol w:w="4006"/>
      </w:tblGrid>
      <w:tr w:rsidR="00A03115" w:rsidTr="00A03115">
        <w:tc>
          <w:tcPr>
            <w:tcW w:w="4006" w:type="dxa"/>
          </w:tcPr>
          <w:p w:rsidR="00A03115" w:rsidRDefault="00A03115" w:rsidP="000C39D1">
            <w:pPr>
              <w:pStyle w:val="libFootnote0"/>
              <w:rPr>
                <w:rtl/>
              </w:rPr>
            </w:pPr>
            <w:r>
              <w:rPr>
                <w:rtl/>
              </w:rPr>
              <w:t>(7).</w:t>
            </w:r>
            <w:r w:rsidRPr="00132E65">
              <w:rPr>
                <w:rtl/>
              </w:rPr>
              <w:t xml:space="preserve"> في شرح المازندراني : « أتاه »</w:t>
            </w:r>
            <w:r>
              <w:rPr>
                <w:rtl/>
              </w:rPr>
              <w:t>.</w:t>
            </w:r>
          </w:p>
        </w:tc>
        <w:tc>
          <w:tcPr>
            <w:tcW w:w="4006" w:type="dxa"/>
          </w:tcPr>
          <w:p w:rsidR="00A03115" w:rsidRDefault="00A03115" w:rsidP="000C39D1">
            <w:pPr>
              <w:pStyle w:val="libFootnote0"/>
              <w:rPr>
                <w:rtl/>
              </w:rPr>
            </w:pPr>
            <w:r>
              <w:rPr>
                <w:rtl/>
              </w:rPr>
              <w:t>(8).</w:t>
            </w:r>
            <w:r w:rsidRPr="00132E65">
              <w:rPr>
                <w:rtl/>
              </w:rPr>
              <w:t xml:space="preserve"> في « ب » : « المفترضة »</w:t>
            </w:r>
            <w:r>
              <w:rPr>
                <w:rtl/>
              </w:rPr>
              <w:t>.</w:t>
            </w:r>
          </w:p>
        </w:tc>
      </w:tr>
      <w:tr w:rsidR="00A03115" w:rsidTr="00A03115">
        <w:tc>
          <w:tcPr>
            <w:tcW w:w="4006" w:type="dxa"/>
          </w:tcPr>
          <w:p w:rsidR="00A03115" w:rsidRDefault="00A03115" w:rsidP="000C39D1">
            <w:pPr>
              <w:pStyle w:val="libFootnote0"/>
              <w:rPr>
                <w:rtl/>
              </w:rPr>
            </w:pPr>
            <w:r>
              <w:rPr>
                <w:rtl/>
              </w:rPr>
              <w:t>(9).</w:t>
            </w:r>
            <w:r w:rsidRPr="00132E65">
              <w:rPr>
                <w:rtl/>
              </w:rPr>
              <w:t xml:space="preserve"> في « ف » :</w:t>
            </w:r>
            <w:r>
              <w:rPr>
                <w:rtl/>
              </w:rPr>
              <w:t xml:space="preserve"> + </w:t>
            </w:r>
            <w:r w:rsidRPr="00132E65">
              <w:rPr>
                <w:rtl/>
              </w:rPr>
              <w:t>« قال »</w:t>
            </w:r>
            <w:r>
              <w:rPr>
                <w:rtl/>
              </w:rPr>
              <w:t>.</w:t>
            </w:r>
          </w:p>
        </w:tc>
        <w:tc>
          <w:tcPr>
            <w:tcW w:w="4006" w:type="dxa"/>
          </w:tcPr>
          <w:p w:rsidR="00A03115" w:rsidRDefault="00A03115" w:rsidP="000C39D1">
            <w:pPr>
              <w:pStyle w:val="libFootnote0"/>
              <w:rPr>
                <w:rtl/>
              </w:rPr>
            </w:pPr>
            <w:r>
              <w:rPr>
                <w:rtl/>
              </w:rPr>
              <w:t>(10).</w:t>
            </w:r>
            <w:r w:rsidRPr="00132E65">
              <w:rPr>
                <w:rtl/>
              </w:rPr>
              <w:t xml:space="preserve"> في « بح » : « من أين »</w:t>
            </w:r>
            <w:r>
              <w:rPr>
                <w:rtl/>
              </w:rPr>
              <w:t>.</w:t>
            </w:r>
          </w:p>
        </w:tc>
      </w:tr>
    </w:tbl>
    <w:p w:rsidR="000C39D1" w:rsidRPr="00132E65" w:rsidRDefault="000C39D1" w:rsidP="00297770">
      <w:pPr>
        <w:pStyle w:val="libFootnote0"/>
        <w:rPr>
          <w:rtl/>
          <w:lang w:bidi="fa-IR"/>
        </w:rPr>
      </w:pPr>
      <w:r>
        <w:rPr>
          <w:rtl/>
        </w:rPr>
        <w:t>(11).</w:t>
      </w:r>
      <w:r w:rsidRPr="00132E65">
        <w:rPr>
          <w:rtl/>
        </w:rPr>
        <w:t xml:space="preserve"> راجع : </w:t>
      </w:r>
      <w:r w:rsidRPr="000577A7">
        <w:rPr>
          <w:rStyle w:val="libFootnoteBoldChar"/>
          <w:rtl/>
        </w:rPr>
        <w:t>الكافي</w:t>
      </w:r>
      <w:r w:rsidRPr="00132E65">
        <w:rPr>
          <w:rtl/>
        </w:rPr>
        <w:t xml:space="preserve"> ، كتاب الجنائز ، باب التعزّي ، ح 4651 </w:t>
      </w:r>
      <w:r>
        <w:rPr>
          <w:rtl/>
        </w:rPr>
        <w:t>و 4</w:t>
      </w:r>
      <w:r w:rsidRPr="00132E65">
        <w:rPr>
          <w:rtl/>
        </w:rPr>
        <w:t xml:space="preserve">652 </w:t>
      </w:r>
      <w:r>
        <w:rPr>
          <w:rtl/>
        </w:rPr>
        <w:t>و 4</w:t>
      </w:r>
      <w:r w:rsidRPr="00132E65">
        <w:rPr>
          <w:rtl/>
        </w:rPr>
        <w:t>655 ؛ و</w:t>
      </w:r>
      <w:r w:rsidRPr="00654F03">
        <w:rPr>
          <w:rtl/>
        </w:rPr>
        <w:t>الأمالي</w:t>
      </w:r>
      <w:r w:rsidRPr="00132E65">
        <w:rPr>
          <w:rtl/>
        </w:rPr>
        <w:t xml:space="preserve"> للصدوق ، ص 274 ، المجلس 46 ، ح 11 ؛ و</w:t>
      </w:r>
      <w:r w:rsidRPr="00654F03">
        <w:rPr>
          <w:rtl/>
        </w:rPr>
        <w:t xml:space="preserve">كمال الدين </w:t>
      </w:r>
      <w:r w:rsidRPr="00132E65">
        <w:rPr>
          <w:rtl/>
        </w:rPr>
        <w:t>، ص 392 ، ح 7 ؛ و</w:t>
      </w:r>
      <w:r w:rsidRPr="00654F03">
        <w:rPr>
          <w:rtl/>
        </w:rPr>
        <w:t>الأمالي</w:t>
      </w:r>
      <w:r w:rsidRPr="00132E65">
        <w:rPr>
          <w:rtl/>
        </w:rPr>
        <w:t xml:space="preserve"> للطوسي ، ص 660 ، المجلس 35 ، ح 9 ؛ و</w:t>
      </w:r>
      <w:r w:rsidRPr="00654F03">
        <w:rPr>
          <w:rtl/>
        </w:rPr>
        <w:t>تفسير العيّاشي</w:t>
      </w:r>
      <w:r w:rsidRPr="00132E65">
        <w:rPr>
          <w:rtl/>
        </w:rPr>
        <w:t xml:space="preserve"> ، ج 1 ، ص 209 ، ح 166</w:t>
      </w:r>
      <w:r>
        <w:rPr>
          <w:rtl/>
        </w:rPr>
        <w:t xml:space="preserve"> </w:t>
      </w:r>
      <w:r w:rsidR="00297770">
        <w:rPr>
          <w:rtl/>
        </w:rPr>
        <w:t>–</w:t>
      </w:r>
      <w:r>
        <w:rPr>
          <w:rtl/>
        </w:rPr>
        <w:t xml:space="preserve"> </w:t>
      </w:r>
      <w:r w:rsidRPr="00132E65">
        <w:rPr>
          <w:rtl/>
        </w:rPr>
        <w:t>168</w:t>
      </w:r>
      <w:r w:rsidR="00297770">
        <w:rPr>
          <w:rFonts w:hint="cs"/>
          <w:rtl/>
        </w:rPr>
        <w:t>.</w:t>
      </w:r>
      <w:r w:rsidRPr="009D1ACE">
        <w:rPr>
          <w:rStyle w:val="libFootnoteBoldChar"/>
          <w:rtl/>
        </w:rPr>
        <w:t>الوافي</w:t>
      </w:r>
      <w:r w:rsidRPr="00132E65">
        <w:rPr>
          <w:rtl/>
        </w:rPr>
        <w:t xml:space="preserve"> ، ج 3 ، ص 720 ، ح 1335 ؛ </w:t>
      </w:r>
      <w:r w:rsidRPr="00654F03">
        <w:rPr>
          <w:rtl/>
        </w:rPr>
        <w:t>البحار</w:t>
      </w:r>
      <w:r w:rsidRPr="00132E65">
        <w:rPr>
          <w:rtl/>
        </w:rPr>
        <w:t xml:space="preserve"> ، ج 22 ، ص 537 ، ح 39.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4C5BA9">
        <w:rPr>
          <w:rtl/>
        </w:rPr>
        <w:t>1211</w:t>
      </w:r>
      <w:r w:rsidRPr="004325D8">
        <w:rPr>
          <w:rStyle w:val="libBold2Char"/>
          <w:rtl/>
        </w:rPr>
        <w:t xml:space="preserve"> / 20.</w:t>
      </w:r>
      <w:r w:rsidRPr="00132E65">
        <w:rPr>
          <w:rtl/>
          <w:lang w:bidi="fa-IR"/>
        </w:rPr>
        <w:t xml:space="preserve"> عِدَّةٌ مِنْ أَصْحَابِنَا ، عَنْ أَحْمَدَ بْنِ مُحَمَّدٍ ، عَنِ الْحُسَيْنِ بْنِ سَعِيدٍ ، عَنْ مُحَمَّدِ بْنِ سِنَانٍ ، عَنِ ابْنِ مُسْكَانَ ، عَنْ إِسْمَاعِيلَ بْنِ عَمَّارٍ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كَانَ رَسُولُ اللهِ </w:t>
      </w:r>
      <w:r w:rsidRPr="0093484F">
        <w:rPr>
          <w:rStyle w:val="libAlaemChar"/>
          <w:rFonts w:eastAsiaTheme="minorHAnsi"/>
          <w:rtl/>
        </w:rPr>
        <w:t>صلى‌الله‌عليه‌وآله</w:t>
      </w:r>
      <w:r w:rsidRPr="00132E65">
        <w:rPr>
          <w:rtl/>
          <w:lang w:bidi="fa-IR"/>
        </w:rPr>
        <w:t xml:space="preserve"> إِذَا رُئِيَ فِي اللَّيْلَةِ الظَّلْمَاءِ ، رُئِيَ لَهُ نُورٌ كَأَنَّهُ شِقَّةُ </w:t>
      </w:r>
      <w:r>
        <w:rPr>
          <w:rStyle w:val="libFootnotenumChar"/>
          <w:rtl/>
        </w:rPr>
        <w:t>(1)</w:t>
      </w:r>
      <w:r w:rsidRPr="00132E65">
        <w:rPr>
          <w:rtl/>
          <w:lang w:bidi="fa-IR"/>
        </w:rPr>
        <w:t xml:space="preserve"> قَمَرٍ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Default="000C39D1" w:rsidP="000C39D1">
      <w:pPr>
        <w:pStyle w:val="libNormal"/>
        <w:rPr>
          <w:rtl/>
          <w:lang w:bidi="fa-IR"/>
        </w:rPr>
      </w:pPr>
      <w:r w:rsidRPr="004C5BA9">
        <w:rPr>
          <w:rtl/>
        </w:rPr>
        <w:t>1212</w:t>
      </w:r>
      <w:r w:rsidRPr="004325D8">
        <w:rPr>
          <w:rStyle w:val="libBold2Char"/>
          <w:rtl/>
        </w:rPr>
        <w:t xml:space="preserve"> / 21.</w:t>
      </w:r>
      <w:r w:rsidRPr="00132E65">
        <w:rPr>
          <w:rtl/>
          <w:lang w:bidi="fa-IR"/>
        </w:rPr>
        <w:t xml:space="preserve"> أَحْمَدُ بْنُ إِدْرِيسَ ، عَنِ الْحُسَيْنِ بْنِ عُبَيْدِ اللهِ ، عَنْ أَبِي عَبْدِ اللهِ الْحُسَيْنِ الصَّغِيرِ ، عَنْ مُحَمَّدِ بْنِ إِبْرَاهِيمَ الْجَعْفَرِيِّ ، عَنْ أَحْمَدَ بْنِ عَلِيِّ </w:t>
      </w:r>
      <w:r>
        <w:rPr>
          <w:rStyle w:val="libFootnotenumChar"/>
          <w:rtl/>
        </w:rPr>
        <w:t>(3)</w:t>
      </w:r>
      <w:r w:rsidRPr="00132E65">
        <w:rPr>
          <w:rtl/>
          <w:lang w:bidi="fa-IR"/>
        </w:rPr>
        <w:t xml:space="preserve"> بْنِ مُحَمَّدِ بْنِ عَبْدِ اللهِ بْنِ عُمَرَ بْنِ عَلِيِّ بْنِ أَبِي طَالِبٍ ، عَنْ أَبِي عَبْدِ اللهِ </w:t>
      </w:r>
      <w:r w:rsidRPr="00071CF9">
        <w:rPr>
          <w:rStyle w:val="libAlaemChar"/>
          <w:rtl/>
        </w:rPr>
        <w:t>عليه‌السلام</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وَمُحَمَّدُ بْنُ يَحْيى </w:t>
      </w:r>
      <w:r>
        <w:rPr>
          <w:rStyle w:val="libFootnotenumChar"/>
          <w:rtl/>
        </w:rPr>
        <w:t>(4)</w:t>
      </w:r>
      <w:r w:rsidRPr="00132E65">
        <w:rPr>
          <w:rtl/>
          <w:lang w:bidi="fa-IR"/>
        </w:rPr>
        <w:t xml:space="preserve"> ، عَنْ سَعْدِ بْنِ عَبْدِ اللهِ ، عَنْ يَعْقُوبَ بْنِ يَزِيدَ ، عَنِ ابْنِ فَضَّالٍ ، عَنْ بَعْضِ رِجَالِهِ :</w:t>
      </w:r>
    </w:p>
    <w:p w:rsidR="000C39D1" w:rsidRPr="00132E65" w:rsidRDefault="000C39D1" w:rsidP="00297770">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نَزَلَ جَبْرَئِيلُ </w:t>
      </w:r>
      <w:r w:rsidRPr="00071CF9">
        <w:rPr>
          <w:rStyle w:val="libAlaemChar"/>
          <w:rtl/>
        </w:rPr>
        <w:t>عليه‌السلام</w:t>
      </w:r>
      <w:r w:rsidRPr="00132E65">
        <w:rPr>
          <w:rtl/>
          <w:lang w:bidi="fa-IR"/>
        </w:rPr>
        <w:t xml:space="preserve"> عَلَى النَّبِيِّ </w:t>
      </w:r>
      <w:r w:rsidRPr="0093484F">
        <w:rPr>
          <w:rStyle w:val="libAlaemChar"/>
          <w:rFonts w:eastAsiaTheme="minorHAnsi"/>
          <w:rtl/>
        </w:rPr>
        <w:t>صلى‌الله‌عليه‌وآله</w:t>
      </w:r>
      <w:r w:rsidRPr="00132E65">
        <w:rPr>
          <w:rtl/>
          <w:lang w:bidi="fa-IR"/>
        </w:rPr>
        <w:t xml:space="preserve"> ، فَقَالَ : يَا مُحَمَّدُ ، إِنَّ رَبَّكَ يُقْرِئُكَ السَّلَامَ ، ويَقُولُ : إِنِّي قَدْ </w:t>
      </w:r>
      <w:r>
        <w:rPr>
          <w:rStyle w:val="libFootnotenumChar"/>
          <w:rtl/>
        </w:rPr>
        <w:t>(5)</w:t>
      </w:r>
      <w:r w:rsidRPr="00132E65">
        <w:rPr>
          <w:rtl/>
          <w:lang w:bidi="fa-IR"/>
        </w:rPr>
        <w:t xml:space="preserve"> حَرَّمْتُ النَّارَ عَلى صُلْبٍ أَنْزَلَكَ </w:t>
      </w:r>
      <w:r>
        <w:rPr>
          <w:rStyle w:val="libFootnotenumChar"/>
          <w:rtl/>
        </w:rPr>
        <w:t>(6)</w:t>
      </w:r>
      <w:r w:rsidRPr="00132E65">
        <w:rPr>
          <w:rtl/>
          <w:lang w:bidi="fa-IR"/>
        </w:rPr>
        <w:t xml:space="preserve"> ، وبَطْنٍ حَمَلَكَ ، وَحِجْرٍ كَفَلَكَ </w:t>
      </w:r>
      <w:r>
        <w:rPr>
          <w:rStyle w:val="libFootnotenumChar"/>
          <w:rtl/>
        </w:rPr>
        <w:t>(7)</w:t>
      </w:r>
      <w:r w:rsidRPr="00132E65">
        <w:rPr>
          <w:rtl/>
          <w:lang w:bidi="fa-IR"/>
        </w:rPr>
        <w:t xml:space="preserve"> ؛ فَالصُّلْبُ صُلْبُ أَبِيكَ </w:t>
      </w:r>
      <w:r>
        <w:rPr>
          <w:rStyle w:val="libFootnotenumChar"/>
          <w:rtl/>
        </w:rPr>
        <w:t>(8)</w:t>
      </w:r>
      <w:r w:rsidRPr="00132E65">
        <w:rPr>
          <w:rtl/>
          <w:lang w:bidi="fa-IR"/>
        </w:rPr>
        <w:t xml:space="preserve"> عَبْدِ اللهِ بْنِ عَبْدِ الْمُطَّلِبِ ، والْبَطْنُ الَّذِي حَمَلَكَ فَآمِنَةُ بِنْتُ وهْبٍ ، وأَمَّا حِجْرٌ كَفَلَكَ </w:t>
      </w:r>
      <w:r>
        <w:rPr>
          <w:rStyle w:val="libFootnotenumChar"/>
          <w:rtl/>
        </w:rPr>
        <w:t>(9)</w:t>
      </w:r>
      <w:r w:rsidRPr="00132E65">
        <w:rPr>
          <w:rtl/>
          <w:lang w:bidi="fa-IR"/>
        </w:rPr>
        <w:t xml:space="preserve"> ، فَحِجْرُ أَبِي طَالِبٍ »</w:t>
      </w:r>
      <w:r>
        <w:rPr>
          <w:rtl/>
          <w:lang w:bidi="fa-IR"/>
        </w:rPr>
        <w:t>.</w:t>
      </w:r>
      <w:r w:rsidRPr="00132E65">
        <w:rPr>
          <w:rtl/>
          <w:lang w:bidi="fa-IR"/>
        </w:rPr>
        <w:t xml:space="preserve"> </w:t>
      </w:r>
      <w:r>
        <w:rPr>
          <w:rStyle w:val="libFootnotenumChar"/>
          <w:rtl/>
        </w:rPr>
        <w:t>(10)</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الشِقّةُ » : نصف الشي‌ء إذا شُقَّ. وفي </w:t>
      </w:r>
      <w:r w:rsidRPr="009D1ACE">
        <w:rPr>
          <w:rStyle w:val="libFootnoteBoldChar"/>
          <w:rtl/>
        </w:rPr>
        <w:t>الوافي</w:t>
      </w:r>
      <w:r w:rsidRPr="00132E65">
        <w:rPr>
          <w:rtl/>
        </w:rPr>
        <w:t xml:space="preserve"> : « كأنّه شبّهه صلوات الله عليهما بالبدر ، دون الهلال ؛ أو مافوقه ؛ لأنّ القمر على هيئة الكرة ؛ فتأمّل »</w:t>
      </w:r>
      <w:r>
        <w:rPr>
          <w:rtl/>
        </w:rPr>
        <w:t>.</w:t>
      </w:r>
      <w:r w:rsidRPr="00132E65">
        <w:rPr>
          <w:rtl/>
        </w:rPr>
        <w:t xml:space="preserve"> راجع : </w:t>
      </w:r>
      <w:r w:rsidRPr="004C5BA9">
        <w:rPr>
          <w:rtl/>
        </w:rPr>
        <w:t>القاموس المحيط</w:t>
      </w:r>
      <w:r w:rsidRPr="00132E65">
        <w:rPr>
          <w:rtl/>
        </w:rPr>
        <w:t xml:space="preserve"> ، ج 2 ، ص 1192 ( شقق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704 ، ح 1315 ؛ </w:t>
      </w:r>
      <w:r w:rsidRPr="004C5BA9">
        <w:rPr>
          <w:rtl/>
        </w:rPr>
        <w:t>البحار</w:t>
      </w:r>
      <w:r w:rsidRPr="00132E65">
        <w:rPr>
          <w:rtl/>
        </w:rPr>
        <w:t xml:space="preserve"> ، ج 16 ، ص 189 ، ح 27.</w:t>
      </w:r>
    </w:p>
    <w:p w:rsidR="000C39D1" w:rsidRPr="00132E65" w:rsidRDefault="000C39D1" w:rsidP="000C39D1">
      <w:pPr>
        <w:pStyle w:val="libFootnote0"/>
        <w:rPr>
          <w:rtl/>
          <w:lang w:bidi="fa-IR"/>
        </w:rPr>
      </w:pPr>
      <w:r>
        <w:rPr>
          <w:rtl/>
        </w:rPr>
        <w:t>(3).</w:t>
      </w:r>
      <w:r w:rsidRPr="00132E65">
        <w:rPr>
          <w:rtl/>
        </w:rPr>
        <w:t xml:space="preserve"> راجع : ما قدّمناه ، ذيل ح 9 من الباب.</w:t>
      </w:r>
    </w:p>
    <w:p w:rsidR="000C39D1" w:rsidRPr="00132E65" w:rsidRDefault="000C39D1" w:rsidP="000C39D1">
      <w:pPr>
        <w:pStyle w:val="libFootnote0"/>
        <w:rPr>
          <w:rtl/>
          <w:lang w:bidi="fa-IR"/>
        </w:rPr>
      </w:pPr>
      <w:r>
        <w:rPr>
          <w:rtl/>
        </w:rPr>
        <w:t>(4).</w:t>
      </w:r>
      <w:r w:rsidRPr="00132E65">
        <w:rPr>
          <w:rtl/>
        </w:rPr>
        <w:t xml:space="preserve"> محمّد بن يحيى هو شيخ المصنّف كما لا يخفى ، فللخبر طريقان.</w:t>
      </w:r>
    </w:p>
    <w:tbl>
      <w:tblPr>
        <w:tblStyle w:val="TableGrid"/>
        <w:bidiVisual/>
        <w:tblW w:w="0" w:type="auto"/>
        <w:tblLook w:val="04A0" w:firstRow="1" w:lastRow="0" w:firstColumn="1" w:lastColumn="0" w:noHBand="0" w:noVBand="1"/>
      </w:tblPr>
      <w:tblGrid>
        <w:gridCol w:w="4006"/>
        <w:gridCol w:w="4006"/>
      </w:tblGrid>
      <w:tr w:rsidR="00297770" w:rsidTr="00297770">
        <w:tc>
          <w:tcPr>
            <w:tcW w:w="4006" w:type="dxa"/>
          </w:tcPr>
          <w:p w:rsidR="00297770" w:rsidRDefault="00297770" w:rsidP="000C39D1">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قد »</w:t>
            </w:r>
            <w:r>
              <w:rPr>
                <w:rtl/>
              </w:rPr>
              <w:t>.</w:t>
            </w:r>
          </w:p>
        </w:tc>
        <w:tc>
          <w:tcPr>
            <w:tcW w:w="4006" w:type="dxa"/>
          </w:tcPr>
          <w:p w:rsidR="00297770" w:rsidRDefault="00297770" w:rsidP="000C39D1">
            <w:pPr>
              <w:pStyle w:val="libFootnote0"/>
              <w:rPr>
                <w:rtl/>
              </w:rPr>
            </w:pPr>
            <w:r>
              <w:rPr>
                <w:rtl/>
              </w:rPr>
              <w:t>(6).</w:t>
            </w:r>
            <w:r w:rsidRPr="00132E65">
              <w:rPr>
                <w:rtl/>
              </w:rPr>
              <w:t xml:space="preserve"> في « بس » : « قد أنزلك »</w:t>
            </w:r>
            <w:r>
              <w:rPr>
                <w:rtl/>
              </w:rPr>
              <w:t>.</w:t>
            </w:r>
          </w:p>
        </w:tc>
      </w:tr>
    </w:tbl>
    <w:p w:rsidR="000C39D1" w:rsidRPr="00132E65" w:rsidRDefault="000C39D1" w:rsidP="000C39D1">
      <w:pPr>
        <w:pStyle w:val="libFootnote0"/>
        <w:rPr>
          <w:rtl/>
          <w:lang w:bidi="fa-IR"/>
        </w:rPr>
      </w:pPr>
      <w:r>
        <w:rPr>
          <w:rtl/>
        </w:rPr>
        <w:t>(7).</w:t>
      </w:r>
      <w:r w:rsidRPr="00132E65">
        <w:rPr>
          <w:rtl/>
        </w:rPr>
        <w:t xml:space="preserve"> في « ف » : « كفّلك » بالتثقيل.</w:t>
      </w:r>
    </w:p>
    <w:p w:rsidR="000C39D1" w:rsidRPr="00132E65" w:rsidRDefault="000C39D1" w:rsidP="000C39D1">
      <w:pPr>
        <w:pStyle w:val="libFootnote0"/>
        <w:rPr>
          <w:rtl/>
          <w:lang w:bidi="fa-IR"/>
        </w:rPr>
      </w:pPr>
      <w:r>
        <w:rPr>
          <w:rtl/>
        </w:rPr>
        <w:t>(8).</w:t>
      </w:r>
      <w:r w:rsidRPr="00132E65">
        <w:rPr>
          <w:rtl/>
        </w:rPr>
        <w:t xml:space="preserve"> في « ب ، ج ، بح ، بس ، بف » وحاشية « ف » و</w:t>
      </w:r>
      <w:r w:rsidRPr="009D1ACE">
        <w:rPr>
          <w:rStyle w:val="libFootnoteBoldChar"/>
          <w:rtl/>
        </w:rPr>
        <w:t>الوافي</w:t>
      </w:r>
      <w:r w:rsidRPr="00132E65">
        <w:rPr>
          <w:rtl/>
        </w:rPr>
        <w:t xml:space="preserve"> : « أبيه »</w:t>
      </w:r>
      <w:r>
        <w:rPr>
          <w:rtl/>
        </w:rPr>
        <w:t>.</w:t>
      </w:r>
    </w:p>
    <w:p w:rsidR="000C39D1" w:rsidRPr="00132E65" w:rsidRDefault="000C39D1" w:rsidP="000C39D1">
      <w:pPr>
        <w:pStyle w:val="libFootnote0"/>
        <w:rPr>
          <w:rtl/>
          <w:lang w:bidi="fa-IR"/>
        </w:rPr>
      </w:pPr>
      <w:r>
        <w:rPr>
          <w:rtl/>
        </w:rPr>
        <w:t>(9).</w:t>
      </w:r>
      <w:r w:rsidRPr="00132E65">
        <w:rPr>
          <w:rtl/>
        </w:rPr>
        <w:t xml:space="preserve"> في « ف » : « كفّلك » بالتثقيل.</w:t>
      </w:r>
    </w:p>
    <w:p w:rsidR="000C39D1" w:rsidRPr="00132E65" w:rsidRDefault="000C39D1" w:rsidP="000C39D1">
      <w:pPr>
        <w:pStyle w:val="libFootnote0"/>
        <w:rPr>
          <w:rtl/>
          <w:lang w:bidi="fa-IR"/>
        </w:rPr>
      </w:pPr>
      <w:r>
        <w:rPr>
          <w:rtl/>
        </w:rPr>
        <w:t>(10).</w:t>
      </w:r>
      <w:r w:rsidRPr="00132E65">
        <w:rPr>
          <w:rtl/>
        </w:rPr>
        <w:t xml:space="preserve"> </w:t>
      </w:r>
      <w:r w:rsidRPr="004C5BA9">
        <w:rPr>
          <w:rtl/>
        </w:rPr>
        <w:t>الأمالي</w:t>
      </w:r>
      <w:r w:rsidRPr="00132E65">
        <w:rPr>
          <w:rtl/>
        </w:rPr>
        <w:t xml:space="preserve"> للصدوق ، ص 606 ، المجلس 88 ، ح 12 ؛ و</w:t>
      </w:r>
      <w:r w:rsidRPr="004C5BA9">
        <w:rPr>
          <w:rtl/>
        </w:rPr>
        <w:t>معاني الأخبار</w:t>
      </w:r>
      <w:r w:rsidRPr="00132E65">
        <w:rPr>
          <w:rtl/>
        </w:rPr>
        <w:t xml:space="preserve"> ، ص 1</w:t>
      </w:r>
      <w:r w:rsidR="00C17CD8">
        <w:rPr>
          <w:rtl/>
        </w:rPr>
        <w:t>36 ، ح 1 ، بسند آخر ، وفيهما مع</w:t>
      </w:r>
      <w:r w:rsidR="00297770">
        <w:rPr>
          <w:rFonts w:hint="cs"/>
          <w:rtl/>
        </w:rPr>
        <w:t>=</w:t>
      </w:r>
    </w:p>
    <w:p w:rsidR="000C39D1" w:rsidRDefault="000C39D1" w:rsidP="000C39D1">
      <w:pPr>
        <w:pStyle w:val="libNormal"/>
        <w:rPr>
          <w:rtl/>
          <w:lang w:bidi="fa-IR"/>
        </w:rPr>
      </w:pPr>
      <w:r>
        <w:rPr>
          <w:rtl/>
          <w:lang w:bidi="fa-IR"/>
        </w:rPr>
        <w:br w:type="page"/>
      </w:r>
    </w:p>
    <w:p w:rsidR="000C39D1" w:rsidRPr="00132E65" w:rsidRDefault="00C64CFF" w:rsidP="000C39D1">
      <w:pPr>
        <w:pStyle w:val="libNormal"/>
        <w:rPr>
          <w:rtl/>
          <w:lang w:bidi="fa-IR"/>
        </w:rPr>
      </w:pPr>
      <w:r>
        <w:rPr>
          <w:rFonts w:hint="cs"/>
          <w:rtl/>
          <w:lang w:bidi="fa-IR"/>
        </w:rPr>
        <w:t xml:space="preserve">* </w:t>
      </w:r>
      <w:r w:rsidR="000C39D1" w:rsidRPr="00132E65">
        <w:rPr>
          <w:rtl/>
          <w:lang w:bidi="fa-IR"/>
        </w:rPr>
        <w:t xml:space="preserve">وفِي رِوَايَةِ ابْنِ فَضَّالٍ : « وَفَاطِمَةَ </w:t>
      </w:r>
      <w:r w:rsidR="000C39D1">
        <w:rPr>
          <w:rStyle w:val="libFootnotenumChar"/>
          <w:rtl/>
        </w:rPr>
        <w:t>(1)</w:t>
      </w:r>
      <w:r w:rsidR="000C39D1" w:rsidRPr="00132E65">
        <w:rPr>
          <w:rtl/>
          <w:lang w:bidi="fa-IR"/>
        </w:rPr>
        <w:t xml:space="preserve"> بِنْتِ أَسَدٍ »</w:t>
      </w:r>
      <w:r w:rsidR="000C39D1">
        <w:rPr>
          <w:rtl/>
          <w:lang w:bidi="fa-IR"/>
        </w:rPr>
        <w:t>.</w:t>
      </w:r>
    </w:p>
    <w:p w:rsidR="000C39D1" w:rsidRPr="00132E65" w:rsidRDefault="000C39D1" w:rsidP="000C39D1">
      <w:pPr>
        <w:pStyle w:val="libNormal"/>
        <w:rPr>
          <w:rtl/>
          <w:lang w:bidi="fa-IR"/>
        </w:rPr>
      </w:pPr>
      <w:r w:rsidRPr="004C5BA9">
        <w:rPr>
          <w:rtl/>
        </w:rPr>
        <w:t>1213</w:t>
      </w:r>
      <w:r w:rsidRPr="004325D8">
        <w:rPr>
          <w:rStyle w:val="libBold2Char"/>
          <w:rtl/>
        </w:rPr>
        <w:t xml:space="preserve"> / 22.</w:t>
      </w:r>
      <w:r w:rsidRPr="00132E65">
        <w:rPr>
          <w:rtl/>
          <w:lang w:bidi="fa-IR"/>
        </w:rPr>
        <w:t xml:space="preserve"> مُحَمَّدُ بْنُ يَحْيى ، عَنْ أَحْمَدَ بْنِ مُحَمَّدِ بْنِ عِيسى ، عَنِ ابْنِ أَبِي عُمَيْرٍ ، عَنْ جَمِيلِ بْنِ دَرَّاجٍ ، عَنْ زُرَارَةَ بْنِ أَعْيَنَ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يُحْشَرُ عَبْدُ الْمُطَّلِبِ يَوْمَ الْقِيَامَةِ أُمَّةً </w:t>
      </w:r>
      <w:r>
        <w:rPr>
          <w:rStyle w:val="libFootnotenumChar"/>
          <w:rtl/>
        </w:rPr>
        <w:t>(2)</w:t>
      </w:r>
      <w:r w:rsidRPr="00132E65">
        <w:rPr>
          <w:rtl/>
          <w:lang w:bidi="fa-IR"/>
        </w:rPr>
        <w:t xml:space="preserve"> وحْدَهُ </w:t>
      </w:r>
      <w:r>
        <w:rPr>
          <w:rStyle w:val="libFootnotenumChar"/>
          <w:rtl/>
        </w:rPr>
        <w:t>(3)</w:t>
      </w:r>
      <w:r w:rsidRPr="00132E65">
        <w:rPr>
          <w:rtl/>
          <w:lang w:bidi="fa-IR"/>
        </w:rPr>
        <w:t xml:space="preserve"> ، عَلَيْهِ سِيمَاءُ الْأَنْبِيَاءِ وهَيْبَةُ </w:t>
      </w:r>
      <w:r>
        <w:rPr>
          <w:rStyle w:val="libFootnotenumChar"/>
          <w:rtl/>
        </w:rPr>
        <w:t>(4)</w:t>
      </w:r>
      <w:r w:rsidRPr="00132E65">
        <w:rPr>
          <w:rtl/>
          <w:lang w:bidi="fa-IR"/>
        </w:rPr>
        <w:t xml:space="preserve"> الْمُلُوكِ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4C5BA9">
        <w:rPr>
          <w:rtl/>
        </w:rPr>
        <w:t>1214</w:t>
      </w:r>
      <w:r w:rsidRPr="004325D8">
        <w:rPr>
          <w:rStyle w:val="libBold2Char"/>
          <w:rtl/>
        </w:rPr>
        <w:t xml:space="preserve"> / 23.</w:t>
      </w:r>
      <w:r w:rsidRPr="00132E65">
        <w:rPr>
          <w:rtl/>
          <w:lang w:bidi="fa-IR"/>
        </w:rPr>
        <w:t xml:space="preserve"> عَلِيُّ بْنُ إِبْرَاهِيمَ ، عَنْ أَبِيهِ ، عَنْ عَبْدِ اللهِ بْنِ عَبْدِ الرَّحْمنِ الْأَصَمِّ ، عَنِ الْهَيْثَمِ بْنِ واقِدٍ ، عَنْ مُقَرِّنٍ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w:t>
      </w:r>
      <w:r>
        <w:rPr>
          <w:rStyle w:val="libFootnotenumChar"/>
          <w:rtl/>
        </w:rPr>
        <w:t>(6)</w:t>
      </w:r>
      <w:r w:rsidRPr="00132E65">
        <w:rPr>
          <w:rtl/>
          <w:lang w:bidi="fa-IR"/>
        </w:rPr>
        <w:t xml:space="preserve"> : « إِنَّ عَبْدَ الْمُطَّلِبِ أَوَّلُ مَنْ قَالَ بِالْبَدَاءِ ، يُبْعَثُ يَوْمَ الْقِيَامَةِ أُمَّةً وحْدَهُ </w:t>
      </w:r>
      <w:r>
        <w:rPr>
          <w:rStyle w:val="libFootnotenumChar"/>
          <w:rtl/>
        </w:rPr>
        <w:t>(7)</w:t>
      </w:r>
      <w:r w:rsidRPr="00132E65">
        <w:rPr>
          <w:rtl/>
          <w:lang w:bidi="fa-IR"/>
        </w:rPr>
        <w:t xml:space="preserve"> ، عَلَيْهِ بَهَاءُ الْمُلُوكِ وسِيمَاءُ الْأَنْبِيَاءِ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Default="000C39D1" w:rsidP="000C39D1">
      <w:pPr>
        <w:pStyle w:val="libNormal"/>
        <w:rPr>
          <w:rtl/>
          <w:lang w:bidi="fa-IR"/>
        </w:rPr>
      </w:pPr>
      <w:r w:rsidRPr="004C5BA9">
        <w:rPr>
          <w:rtl/>
        </w:rPr>
        <w:t>1215</w:t>
      </w:r>
      <w:r w:rsidRPr="004325D8">
        <w:rPr>
          <w:rStyle w:val="libBold2Char"/>
          <w:rtl/>
        </w:rPr>
        <w:t xml:space="preserve"> / 24.</w:t>
      </w:r>
      <w:r w:rsidRPr="00132E65">
        <w:rPr>
          <w:rtl/>
          <w:lang w:bidi="fa-IR"/>
        </w:rPr>
        <w:t xml:space="preserve"> بَعْضُ أَصْحَابِنَا ، عَنِ ابْنِ جُمْهُورٍ ، عَنْ أَبِيهِ ، عَنِ ابْنِ مَحْبُوبٍ ، عَنِ ابْنِ رِئَابٍ ، عَنْ عَبْدِ الرَّحْمنِ بْنِ الْحَجَّاجِ ؛ </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(9)</w:t>
      </w:r>
      <w:r w:rsidRPr="00132E65">
        <w:rPr>
          <w:rtl/>
          <w:lang w:bidi="fa-IR"/>
        </w:rPr>
        <w:t xml:space="preserve"> عَنْ مُحَمَّدِ بْنِ سِنَانٍ ، عَنِ الْمُفَضَّلِ بْنِ عُمَرَ جَمِيعاً :</w:t>
      </w:r>
    </w:p>
    <w:p w:rsidR="000C39D1" w:rsidRPr="00132E65" w:rsidRDefault="000C39D1" w:rsidP="000C39D1">
      <w:pPr>
        <w:pStyle w:val="libLine"/>
        <w:rPr>
          <w:rtl/>
          <w:lang w:bidi="fa-IR"/>
        </w:rPr>
      </w:pPr>
      <w:r w:rsidRPr="00132E65">
        <w:rPr>
          <w:rtl/>
          <w:lang w:bidi="fa-IR"/>
        </w:rPr>
        <w:t>__________________</w:t>
      </w:r>
    </w:p>
    <w:p w:rsidR="000C39D1" w:rsidRDefault="00297770" w:rsidP="004F6D5D">
      <w:pPr>
        <w:pStyle w:val="libFootnote0"/>
        <w:rPr>
          <w:rtl/>
        </w:rPr>
      </w:pPr>
      <w:r>
        <w:rPr>
          <w:rFonts w:hint="cs"/>
          <w:rtl/>
        </w:rPr>
        <w:t xml:space="preserve">= </w:t>
      </w:r>
      <w:r w:rsidR="000C39D1" w:rsidRPr="00132E65">
        <w:rPr>
          <w:rtl/>
        </w:rPr>
        <w:t xml:space="preserve">زيادة : « وفاطمة بنت أسد » في آخره ؛ </w:t>
      </w:r>
      <w:r w:rsidR="000C39D1" w:rsidRPr="004C5BA9">
        <w:rPr>
          <w:rtl/>
        </w:rPr>
        <w:t>الخصال</w:t>
      </w:r>
      <w:r w:rsidR="000C39D1" w:rsidRPr="00132E65">
        <w:rPr>
          <w:rtl/>
        </w:rPr>
        <w:t xml:space="preserve"> ، ص 293 ، باب الخمسة ، ح 59 ، بسند آخر عن أبي عبد الله </w:t>
      </w:r>
      <w:r w:rsidR="000C39D1" w:rsidRPr="00C17CD8">
        <w:rPr>
          <w:rStyle w:val="libFootnoteAlaemChar"/>
          <w:rtl/>
        </w:rPr>
        <w:t>عليه‌السلام</w:t>
      </w:r>
      <w:r w:rsidR="000C39D1" w:rsidRPr="00132E65">
        <w:rPr>
          <w:rtl/>
        </w:rPr>
        <w:t xml:space="preserve"> ، مع زيادة واختلاف يسير. وفي </w:t>
      </w:r>
      <w:r w:rsidR="000C39D1" w:rsidRPr="004C5BA9">
        <w:rPr>
          <w:rtl/>
        </w:rPr>
        <w:t>معاني الأخبار</w:t>
      </w:r>
      <w:r w:rsidR="000C39D1" w:rsidRPr="00132E65">
        <w:rPr>
          <w:rtl/>
        </w:rPr>
        <w:t xml:space="preserve"> ، ص 179 ، ذيل ح 1 ؛ و</w:t>
      </w:r>
      <w:r w:rsidR="000C39D1" w:rsidRPr="004C5BA9">
        <w:rPr>
          <w:rtl/>
        </w:rPr>
        <w:t xml:space="preserve">علل الشرائع </w:t>
      </w:r>
      <w:r w:rsidR="000C39D1" w:rsidRPr="00132E65">
        <w:rPr>
          <w:rtl/>
        </w:rPr>
        <w:t xml:space="preserve">، ص 176 ، ح 1 ، بسند آخر عن النبيّ </w:t>
      </w:r>
      <w:r w:rsidR="004F6D5D" w:rsidRPr="004F6D5D">
        <w:rPr>
          <w:rStyle w:val="libFootnoteAlaemChar"/>
          <w:rFonts w:eastAsiaTheme="minorHAnsi"/>
          <w:rtl/>
        </w:rPr>
        <w:t>صلى‌الله‌عليه‌وآله</w:t>
      </w:r>
      <w:r w:rsidR="004F6D5D" w:rsidRPr="00132E65">
        <w:rPr>
          <w:rtl/>
          <w:lang w:bidi="fa-IR"/>
        </w:rPr>
        <w:t xml:space="preserve"> </w:t>
      </w:r>
      <w:r w:rsidR="000C39D1" w:rsidRPr="00132E65">
        <w:rPr>
          <w:rtl/>
        </w:rPr>
        <w:t>، مع اختلاف يسير</w:t>
      </w:r>
      <w:r w:rsidR="00C64CFF">
        <w:rPr>
          <w:rFonts w:hint="cs"/>
          <w:rtl/>
        </w:rPr>
        <w:t>.</w:t>
      </w:r>
      <w:r w:rsidR="000C39D1" w:rsidRPr="009D1ACE">
        <w:rPr>
          <w:rStyle w:val="libFootnoteBoldChar"/>
          <w:rtl/>
        </w:rPr>
        <w:t>الوافي</w:t>
      </w:r>
      <w:r w:rsidR="000C39D1" w:rsidRPr="00132E65">
        <w:rPr>
          <w:rtl/>
        </w:rPr>
        <w:t xml:space="preserve"> ، ج 3 ، ص 702 ، ح 1312 </w:t>
      </w:r>
      <w:r w:rsidR="000C39D1">
        <w:rPr>
          <w:rtl/>
        </w:rPr>
        <w:t>و 1</w:t>
      </w:r>
      <w:r w:rsidR="000C39D1" w:rsidRPr="00132E65">
        <w:rPr>
          <w:rtl/>
        </w:rPr>
        <w:t>313.</w:t>
      </w:r>
    </w:p>
    <w:p w:rsidR="000C39D1" w:rsidRPr="00132E65" w:rsidRDefault="000C39D1" w:rsidP="000C39D1">
      <w:pPr>
        <w:pStyle w:val="libFootnote0"/>
        <w:rPr>
          <w:rtl/>
          <w:lang w:bidi="fa-IR"/>
        </w:rPr>
      </w:pPr>
      <w:r>
        <w:rPr>
          <w:rtl/>
        </w:rPr>
        <w:t>(1).</w:t>
      </w:r>
      <w:r w:rsidRPr="00132E65">
        <w:rPr>
          <w:rtl/>
        </w:rPr>
        <w:t xml:space="preserve"> عطف على أبي طالب في تلك الرواية.</w:t>
      </w:r>
    </w:p>
    <w:p w:rsidR="000C39D1" w:rsidRPr="00132E65" w:rsidRDefault="000C39D1" w:rsidP="00974EAD">
      <w:pPr>
        <w:pStyle w:val="libFootnote0"/>
        <w:rPr>
          <w:rtl/>
        </w:rPr>
      </w:pPr>
      <w:r>
        <w:rPr>
          <w:rtl/>
        </w:rPr>
        <w:t>(2).</w:t>
      </w:r>
      <w:r w:rsidRPr="00132E65">
        <w:rPr>
          <w:rtl/>
        </w:rPr>
        <w:t xml:space="preserve"> « الا</w:t>
      </w:r>
      <w:r w:rsidR="00C64CFF">
        <w:rPr>
          <w:rFonts w:hint="cs"/>
          <w:rtl/>
        </w:rPr>
        <w:t>ُ</w:t>
      </w:r>
      <w:r w:rsidRPr="00132E65">
        <w:rPr>
          <w:rtl/>
        </w:rPr>
        <w:t>مّة » :</w:t>
      </w:r>
      <w:r w:rsidR="00974EAD">
        <w:rPr>
          <w:rFonts w:hint="cs"/>
          <w:rtl/>
        </w:rPr>
        <w:t xml:space="preserve"> </w:t>
      </w:r>
      <w:r w:rsidRPr="00132E65">
        <w:rPr>
          <w:rtl/>
        </w:rPr>
        <w:t xml:space="preserve">الرجل المنفرد بدين. </w:t>
      </w:r>
      <w:r w:rsidRPr="004C5BA9">
        <w:rPr>
          <w:rtl/>
        </w:rPr>
        <w:t>النهاية</w:t>
      </w:r>
      <w:r w:rsidRPr="00132E65">
        <w:rPr>
          <w:rtl/>
        </w:rPr>
        <w:t xml:space="preserve"> ، ج 1 ، ص 68 ( أمم )</w:t>
      </w:r>
      <w:r>
        <w:rPr>
          <w:rtl/>
        </w:rPr>
        <w:t>.</w:t>
      </w:r>
    </w:p>
    <w:p w:rsidR="000C39D1" w:rsidRPr="00132E65" w:rsidRDefault="000C39D1" w:rsidP="00AD221D">
      <w:pPr>
        <w:pStyle w:val="libFootnote0"/>
        <w:rPr>
          <w:rtl/>
          <w:lang w:bidi="fa-IR"/>
        </w:rPr>
      </w:pPr>
      <w:r>
        <w:rPr>
          <w:rtl/>
        </w:rPr>
        <w:t>(3).</w:t>
      </w:r>
      <w:r w:rsidRPr="00132E65">
        <w:rPr>
          <w:rtl/>
        </w:rPr>
        <w:t xml:space="preserve"> هكذا في « ج ، ض ، ف ، بح ، بر ، بس ، بف » وشرح المازندراني و</w:t>
      </w:r>
      <w:r w:rsidRPr="009D1ACE">
        <w:rPr>
          <w:rStyle w:val="libFootnoteBoldChar"/>
          <w:rtl/>
        </w:rPr>
        <w:t>الوافي</w:t>
      </w:r>
      <w:r w:rsidRPr="00132E65">
        <w:rPr>
          <w:rtl/>
        </w:rPr>
        <w:t xml:space="preserve"> والبحار. وفي بعض النسخ والمطبوع : « واحدة »</w:t>
      </w:r>
      <w:r>
        <w:rPr>
          <w:rtl/>
        </w:rPr>
        <w:t>.</w:t>
      </w:r>
      <w:r w:rsidR="00AD221D">
        <w:rPr>
          <w:rFonts w:hint="cs"/>
          <w:rtl/>
        </w:rPr>
        <w:t xml:space="preserve">                          </w:t>
      </w:r>
      <w:r w:rsidR="00C17CD8">
        <w:rPr>
          <w:rFonts w:hint="cs"/>
          <w:rtl/>
        </w:rPr>
        <w:t xml:space="preserve">               </w:t>
      </w:r>
      <w:r w:rsidR="00AD221D">
        <w:rPr>
          <w:rFonts w:hint="cs"/>
          <w:rtl/>
        </w:rPr>
        <w:t xml:space="preserve">        </w:t>
      </w:r>
      <w:r>
        <w:rPr>
          <w:rtl/>
        </w:rPr>
        <w:t>(4).</w:t>
      </w:r>
      <w:r w:rsidRPr="00132E65">
        <w:rPr>
          <w:rtl/>
        </w:rPr>
        <w:t xml:space="preserve"> في « ف » : « وهيئته »</w:t>
      </w:r>
      <w:r>
        <w:rPr>
          <w:rtl/>
        </w:rPr>
        <w:t>.</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694 ، ح 1299 ؛ </w:t>
      </w:r>
      <w:r w:rsidRPr="004C5BA9">
        <w:rPr>
          <w:rtl/>
        </w:rPr>
        <w:t>البحار</w:t>
      </w:r>
      <w:r w:rsidRPr="00132E65">
        <w:rPr>
          <w:rtl/>
        </w:rPr>
        <w:t xml:space="preserve"> ، ج 15 ، ص 157 ، ح 84.</w:t>
      </w:r>
    </w:p>
    <w:tbl>
      <w:tblPr>
        <w:tblStyle w:val="TableGrid"/>
        <w:bidiVisual/>
        <w:tblW w:w="0" w:type="auto"/>
        <w:tblLook w:val="04A0" w:firstRow="1" w:lastRow="0" w:firstColumn="1" w:lastColumn="0" w:noHBand="0" w:noVBand="1"/>
      </w:tblPr>
      <w:tblGrid>
        <w:gridCol w:w="4006"/>
        <w:gridCol w:w="4006"/>
      </w:tblGrid>
      <w:tr w:rsidR="0056472A" w:rsidTr="0056472A">
        <w:tc>
          <w:tcPr>
            <w:tcW w:w="4006" w:type="dxa"/>
          </w:tcPr>
          <w:p w:rsidR="0056472A" w:rsidRDefault="0056472A" w:rsidP="000C39D1">
            <w:pPr>
              <w:pStyle w:val="libFootnote0"/>
              <w:rPr>
                <w:rtl/>
              </w:rPr>
            </w:pPr>
            <w:r>
              <w:rPr>
                <w:rtl/>
              </w:rPr>
              <w:t>(6).</w:t>
            </w:r>
            <w:r w:rsidRPr="00132E65">
              <w:rPr>
                <w:rtl/>
              </w:rPr>
              <w:t xml:space="preserve"> في « ج » </w:t>
            </w:r>
            <w:r>
              <w:rPr>
                <w:rtl/>
              </w:rPr>
              <w:t xml:space="preserve">: - </w:t>
            </w:r>
            <w:r w:rsidRPr="00132E65">
              <w:rPr>
                <w:rtl/>
              </w:rPr>
              <w:t>« قال »</w:t>
            </w:r>
            <w:r>
              <w:rPr>
                <w:rtl/>
              </w:rPr>
              <w:t>.</w:t>
            </w:r>
          </w:p>
        </w:tc>
        <w:tc>
          <w:tcPr>
            <w:tcW w:w="4006" w:type="dxa"/>
          </w:tcPr>
          <w:p w:rsidR="0056472A" w:rsidRDefault="0056472A" w:rsidP="0056472A">
            <w:pPr>
              <w:pStyle w:val="libFootnote0"/>
              <w:rPr>
                <w:rtl/>
              </w:rPr>
            </w:pPr>
            <w:r>
              <w:rPr>
                <w:rtl/>
              </w:rPr>
              <w:t>(7).</w:t>
            </w:r>
            <w:r w:rsidRPr="00132E65">
              <w:rPr>
                <w:rtl/>
              </w:rPr>
              <w:t>في«ب»:«واحدة»</w:t>
            </w:r>
            <w:r>
              <w:rPr>
                <w:rtl/>
              </w:rPr>
              <w:t>.</w:t>
            </w:r>
            <w:r w:rsidRPr="00132E65">
              <w:rPr>
                <w:rtl/>
              </w:rPr>
              <w:t>وفي«ض»:</w:t>
            </w:r>
            <w:r>
              <w:rPr>
                <w:rtl/>
              </w:rPr>
              <w:t>+</w:t>
            </w:r>
            <w:r w:rsidRPr="00132E65">
              <w:rPr>
                <w:rtl/>
              </w:rPr>
              <w:t>«</w:t>
            </w:r>
            <w:r>
              <w:rPr>
                <w:rtl/>
              </w:rPr>
              <w:t>و».</w:t>
            </w:r>
          </w:p>
        </w:tc>
      </w:tr>
    </w:tbl>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694 ، ح 1300 ؛ </w:t>
      </w:r>
      <w:r w:rsidRPr="004C5BA9">
        <w:rPr>
          <w:rtl/>
        </w:rPr>
        <w:t>البحار</w:t>
      </w:r>
      <w:r w:rsidRPr="00132E65">
        <w:rPr>
          <w:rtl/>
        </w:rPr>
        <w:t xml:space="preserve"> ، ج 15 ، ص 157 ، ح 85.</w:t>
      </w:r>
    </w:p>
    <w:p w:rsidR="000C39D1" w:rsidRPr="00132E65" w:rsidRDefault="000C39D1" w:rsidP="000C39D1">
      <w:pPr>
        <w:pStyle w:val="libFootnote0"/>
        <w:rPr>
          <w:rtl/>
          <w:lang w:bidi="fa-IR"/>
        </w:rPr>
      </w:pPr>
      <w:r>
        <w:rPr>
          <w:rtl/>
        </w:rPr>
        <w:t>(9).</w:t>
      </w:r>
      <w:r w:rsidRPr="00132E65">
        <w:rPr>
          <w:rtl/>
        </w:rPr>
        <w:t xml:space="preserve"> هكذا في المطبوع وحاشية « بح »</w:t>
      </w:r>
      <w:r>
        <w:rPr>
          <w:rtl/>
        </w:rPr>
        <w:t>.</w:t>
      </w:r>
      <w:r w:rsidRPr="00132E65">
        <w:rPr>
          <w:rtl/>
        </w:rPr>
        <w:t xml:space="preserve"> وفي النسخ </w:t>
      </w:r>
      <w:r>
        <w:rPr>
          <w:rtl/>
        </w:rPr>
        <w:t xml:space="preserve">: - </w:t>
      </w:r>
      <w:r w:rsidRPr="00132E65">
        <w:rPr>
          <w:rtl/>
        </w:rPr>
        <w:t>«</w:t>
      </w:r>
      <w:r>
        <w:rPr>
          <w:rtl/>
        </w:rPr>
        <w:t xml:space="preserve"> و »</w:t>
      </w:r>
      <w:r w:rsidRPr="00132E65">
        <w:rPr>
          <w:rtl/>
        </w:rPr>
        <w:t xml:space="preserve"> ، لكنّ الظاهر ثبوتها وأن</w:t>
      </w:r>
      <w:r w:rsidR="0056472A">
        <w:rPr>
          <w:rtl/>
        </w:rPr>
        <w:t>ّ في السند تحويلاً بعطف « محمّد</w:t>
      </w:r>
      <w:r w:rsidR="0056472A">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يُبْعَثُ عَبْدُ الْمُطَّلِبِ أُمَّةً و</w:t>
      </w:r>
      <w:r w:rsidR="0056472A">
        <w:rPr>
          <w:rFonts w:hint="cs"/>
          <w:rtl/>
          <w:lang w:bidi="fa-IR"/>
        </w:rPr>
        <w:t>َ</w:t>
      </w:r>
      <w:r w:rsidRPr="00132E65">
        <w:rPr>
          <w:rtl/>
          <w:lang w:bidi="fa-IR"/>
        </w:rPr>
        <w:t xml:space="preserve">حْدَهُ ، عَلَيْهِ بَهَاءُ الْمُلُوكِ </w:t>
      </w:r>
      <w:r>
        <w:rPr>
          <w:rStyle w:val="libFootnotenumChar"/>
          <w:rtl/>
        </w:rPr>
        <w:t>(1)</w:t>
      </w:r>
      <w:r w:rsidRPr="00132E65">
        <w:rPr>
          <w:rtl/>
          <w:lang w:bidi="fa-IR"/>
        </w:rPr>
        <w:t xml:space="preserve"> وَسِيمَاءُ الْأَنْبِيَاءِ ، و</w:t>
      </w:r>
      <w:r w:rsidR="0056472A">
        <w:rPr>
          <w:rFonts w:hint="cs"/>
          <w:rtl/>
          <w:lang w:bidi="fa-IR"/>
        </w:rPr>
        <w:t xml:space="preserve">َ </w:t>
      </w:r>
      <w:r w:rsidRPr="00132E65">
        <w:rPr>
          <w:rtl/>
          <w:lang w:bidi="fa-IR"/>
        </w:rPr>
        <w:t>ذلِكَ أَنَّهُ أَوَّلُ مَنْ قَالَ بِالْبَدَاءِ »</w:t>
      </w:r>
      <w:r>
        <w:rPr>
          <w:rtl/>
          <w:lang w:bidi="fa-IR"/>
        </w:rPr>
        <w:t>.</w:t>
      </w:r>
    </w:p>
    <w:p w:rsidR="000C39D1" w:rsidRPr="00132E65" w:rsidRDefault="000C39D1" w:rsidP="000C39D1">
      <w:pPr>
        <w:pStyle w:val="libNormal"/>
        <w:rPr>
          <w:rtl/>
          <w:lang w:bidi="fa-IR"/>
        </w:rPr>
      </w:pPr>
      <w:r w:rsidRPr="00132E65">
        <w:rPr>
          <w:rtl/>
          <w:lang w:bidi="fa-IR"/>
        </w:rPr>
        <w:t xml:space="preserve">قَالَ : « وَكَانَ عَبْدُ الْمُطَّلِبِ أَرْسَلَ رَسُولَ اللهِ </w:t>
      </w:r>
      <w:r>
        <w:rPr>
          <w:rStyle w:val="libFootnotenumChar"/>
          <w:rtl/>
        </w:rPr>
        <w:t>(2)</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إِلى رُعَاتِهِ </w:t>
      </w:r>
      <w:r>
        <w:rPr>
          <w:rStyle w:val="libFootnotenumChar"/>
          <w:rtl/>
        </w:rPr>
        <w:t>(3)</w:t>
      </w:r>
      <w:r w:rsidRPr="00132E65">
        <w:rPr>
          <w:rtl/>
          <w:lang w:bidi="fa-IR"/>
        </w:rPr>
        <w:t xml:space="preserve"> فِي إِبِلٍ قَدْ نَدَّتْ لَهُ </w:t>
      </w:r>
      <w:r>
        <w:rPr>
          <w:rStyle w:val="libFootnotenumChar"/>
          <w:rtl/>
        </w:rPr>
        <w:t>(4)</w:t>
      </w:r>
      <w:r w:rsidRPr="00132E65">
        <w:rPr>
          <w:rtl/>
          <w:lang w:bidi="fa-IR"/>
        </w:rPr>
        <w:t xml:space="preserve"> ، فَجَمَعَهَا </w:t>
      </w:r>
      <w:r>
        <w:rPr>
          <w:rStyle w:val="libFootnotenumChar"/>
          <w:rtl/>
        </w:rPr>
        <w:t>(5)</w:t>
      </w:r>
      <w:r w:rsidRPr="00132E65">
        <w:rPr>
          <w:rtl/>
          <w:lang w:bidi="fa-IR"/>
        </w:rPr>
        <w:t xml:space="preserve"> ، فَأَبْطَأَ عَلَيْهِ ، فَأَخَذَ بِحَلْقَةِ بَابِ الْكَعْبَةِ ،</w:t>
      </w:r>
      <w:r>
        <w:rPr>
          <w:rtl/>
          <w:lang w:bidi="fa-IR"/>
        </w:rPr>
        <w:t xml:space="preserve"> و</w:t>
      </w:r>
      <w:r w:rsidR="00FB57D3">
        <w:rPr>
          <w:rFonts w:hint="cs"/>
          <w:rtl/>
          <w:lang w:bidi="fa-IR"/>
        </w:rPr>
        <w:t xml:space="preserve">َ </w:t>
      </w:r>
      <w:r>
        <w:rPr>
          <w:rtl/>
          <w:lang w:bidi="fa-IR"/>
        </w:rPr>
        <w:t>جَعَلَ يَقُولُ : يَا رَبِّ أَ</w:t>
      </w:r>
      <w:r w:rsidRPr="00132E65">
        <w:rPr>
          <w:rtl/>
          <w:lang w:bidi="fa-IR"/>
        </w:rPr>
        <w:t xml:space="preserve">تُهْلِكُ آلَكَ </w:t>
      </w:r>
      <w:r>
        <w:rPr>
          <w:rStyle w:val="libFootnotenumChar"/>
          <w:rtl/>
        </w:rPr>
        <w:t>(6)</w:t>
      </w:r>
      <w:r>
        <w:rPr>
          <w:rtl/>
          <w:lang w:bidi="fa-IR"/>
        </w:rPr>
        <w:t>؟</w:t>
      </w:r>
      <w:r>
        <w:rPr>
          <w:rFonts w:hint="cs"/>
          <w:rtl/>
          <w:lang w:bidi="fa-IR"/>
        </w:rPr>
        <w:t xml:space="preserve"> </w:t>
      </w:r>
      <w:r w:rsidRPr="00132E65">
        <w:rPr>
          <w:rtl/>
          <w:lang w:bidi="fa-IR"/>
        </w:rPr>
        <w:t xml:space="preserve">إِنْ تَفْعَلْ فَأَمْرٌ </w:t>
      </w:r>
      <w:r>
        <w:rPr>
          <w:rStyle w:val="libFootnotenumChar"/>
          <w:rtl/>
        </w:rPr>
        <w:t>(7)</w:t>
      </w:r>
      <w:r w:rsidRPr="00132E65">
        <w:rPr>
          <w:rtl/>
          <w:lang w:bidi="fa-IR"/>
        </w:rPr>
        <w:t xml:space="preserve"> مَا بَدَا لَكَ ، فَجَاءَ رَسُولُ اللهِ </w:t>
      </w:r>
      <w:r w:rsidRPr="0093484F">
        <w:rPr>
          <w:rStyle w:val="libAlaemChar"/>
          <w:rFonts w:eastAsiaTheme="minorHAnsi"/>
          <w:rtl/>
        </w:rPr>
        <w:t>صلى‌الله‌عليه‌وآله</w:t>
      </w:r>
      <w:r w:rsidRPr="00132E65">
        <w:rPr>
          <w:rtl/>
          <w:lang w:bidi="fa-IR"/>
        </w:rPr>
        <w:t xml:space="preserve"> بِالْإِبِلِ و</w:t>
      </w:r>
      <w:r w:rsidR="00FB57D3">
        <w:rPr>
          <w:rFonts w:hint="cs"/>
          <w:rtl/>
          <w:lang w:bidi="fa-IR"/>
        </w:rPr>
        <w:t>َ</w:t>
      </w:r>
      <w:r w:rsidRPr="00132E65">
        <w:rPr>
          <w:rtl/>
          <w:lang w:bidi="fa-IR"/>
        </w:rPr>
        <w:t>قَدْ و</w:t>
      </w:r>
      <w:r w:rsidR="00FB57D3">
        <w:rPr>
          <w:rFonts w:hint="cs"/>
          <w:rtl/>
          <w:lang w:bidi="fa-IR"/>
        </w:rPr>
        <w:t>َ</w:t>
      </w:r>
      <w:r w:rsidRPr="00132E65">
        <w:rPr>
          <w:rtl/>
          <w:lang w:bidi="fa-IR"/>
        </w:rPr>
        <w:t>جَّهَ عَبْدُ الْمُطَّلِبِ فِي كُلِّ طَرِيقٍ و</w:t>
      </w:r>
      <w:r w:rsidR="00FB57D3">
        <w:rPr>
          <w:rFonts w:hint="cs"/>
          <w:rtl/>
          <w:lang w:bidi="fa-IR"/>
        </w:rPr>
        <w:t>َ</w:t>
      </w:r>
      <w:r w:rsidRPr="00132E65">
        <w:rPr>
          <w:rtl/>
          <w:lang w:bidi="fa-IR"/>
        </w:rPr>
        <w:t xml:space="preserve">فِي كُلِّ شِعْبٍ </w:t>
      </w:r>
      <w:r>
        <w:rPr>
          <w:rStyle w:val="libFootnotenumChar"/>
          <w:rtl/>
        </w:rPr>
        <w:t>(8)</w:t>
      </w:r>
      <w:r w:rsidRPr="00132E65">
        <w:rPr>
          <w:rtl/>
          <w:lang w:bidi="fa-IR"/>
        </w:rPr>
        <w:t xml:space="preserve"> فِي طَلَبِهِ ، و</w:t>
      </w:r>
      <w:r w:rsidR="00FB57D3">
        <w:rPr>
          <w:rFonts w:hint="cs"/>
          <w:rtl/>
          <w:lang w:bidi="fa-IR"/>
        </w:rPr>
        <w:t>َ</w:t>
      </w:r>
      <w:r>
        <w:rPr>
          <w:rtl/>
          <w:lang w:bidi="fa-IR"/>
        </w:rPr>
        <w:t>جَعَلَ يَصِيحُ : يَا رَبِّ ، أَ</w:t>
      </w:r>
      <w:r w:rsidRPr="00132E65">
        <w:rPr>
          <w:rtl/>
          <w:lang w:bidi="fa-IR"/>
        </w:rPr>
        <w:t>تُهْلِكُ آلَكَ</w:t>
      </w:r>
      <w:r>
        <w:rPr>
          <w:rtl/>
          <w:lang w:bidi="fa-IR"/>
        </w:rPr>
        <w:t>؟</w:t>
      </w:r>
      <w:r w:rsidRPr="00132E65">
        <w:rPr>
          <w:rtl/>
          <w:lang w:bidi="fa-IR"/>
        </w:rPr>
        <w:t xml:space="preserve"> إِنْ تَفْعَلْ فَأَمْرٌ‌</w:t>
      </w:r>
    </w:p>
    <w:p w:rsidR="000C39D1" w:rsidRPr="00132E65" w:rsidRDefault="000C39D1" w:rsidP="000C39D1">
      <w:pPr>
        <w:pStyle w:val="libLine"/>
        <w:rPr>
          <w:rtl/>
          <w:lang w:bidi="fa-IR"/>
        </w:rPr>
      </w:pPr>
      <w:r w:rsidRPr="00132E65">
        <w:rPr>
          <w:rtl/>
          <w:lang w:bidi="fa-IR"/>
        </w:rPr>
        <w:t>__________________</w:t>
      </w:r>
    </w:p>
    <w:p w:rsidR="000C39D1" w:rsidRPr="00132E65" w:rsidRDefault="00AD67B3" w:rsidP="000C39D1">
      <w:pPr>
        <w:pStyle w:val="libFootnote0"/>
        <w:rPr>
          <w:rtl/>
          <w:lang w:bidi="fa-IR"/>
        </w:rPr>
      </w:pPr>
      <w:r>
        <w:rPr>
          <w:rFonts w:hint="cs"/>
          <w:rtl/>
        </w:rPr>
        <w:t>=</w:t>
      </w:r>
      <w:r w:rsidR="000C39D1" w:rsidRPr="00132E65">
        <w:rPr>
          <w:rtl/>
        </w:rPr>
        <w:t>بن سنان عن المفضّل بن عمر » على « ابن محبوب عن ابن رئاب عن عبد الرحمن بن الحجّاج »</w:t>
      </w:r>
      <w:r w:rsidR="000C39D1">
        <w:rPr>
          <w:rtl/>
        </w:rPr>
        <w:t>.</w:t>
      </w:r>
    </w:p>
    <w:p w:rsidR="000C39D1" w:rsidRPr="0096003A" w:rsidRDefault="000C39D1" w:rsidP="00E55206">
      <w:pPr>
        <w:pStyle w:val="libFootnote0"/>
        <w:rPr>
          <w:rtl/>
        </w:rPr>
      </w:pPr>
      <w:r w:rsidRPr="0096003A">
        <w:rPr>
          <w:rtl/>
        </w:rPr>
        <w:t xml:space="preserve">توضيح ذلك : أنّ مقتضى لفظة « جميعاً » تعدّد الراوي عن أبي عبد الله </w:t>
      </w:r>
      <w:r w:rsidR="00AD67B3" w:rsidRPr="00AD67B3">
        <w:rPr>
          <w:rStyle w:val="libFootnoteAlaemChar"/>
          <w:rtl/>
        </w:rPr>
        <w:t>عليه‌السلام</w:t>
      </w:r>
      <w:r w:rsidR="00AD67B3" w:rsidRPr="00132E65">
        <w:rPr>
          <w:rtl/>
          <w:lang w:bidi="fa-IR"/>
        </w:rPr>
        <w:t xml:space="preserve"> </w:t>
      </w:r>
      <w:r w:rsidRPr="0096003A">
        <w:rPr>
          <w:rtl/>
        </w:rPr>
        <w:t>، وهذا ينافي وقوع لفظة « عن » بين جميع سلسلة الرواة.</w:t>
      </w:r>
    </w:p>
    <w:p w:rsidR="000C39D1" w:rsidRPr="0096003A" w:rsidRDefault="000C39D1" w:rsidP="00E55206">
      <w:pPr>
        <w:pStyle w:val="libFootnote0"/>
        <w:rPr>
          <w:rtl/>
        </w:rPr>
      </w:pPr>
      <w:r w:rsidRPr="0096003A">
        <w:rPr>
          <w:rtl/>
        </w:rPr>
        <w:t xml:space="preserve">ثمّ إنّه روى ابن جمهور عن أبيه عن محمّد بن سنان عن المفضّل بن عمر عن أبي عبد الله </w:t>
      </w:r>
      <w:r w:rsidR="00AD67B3" w:rsidRPr="00AD67B3">
        <w:rPr>
          <w:rStyle w:val="libFootnoteAlaemChar"/>
          <w:rtl/>
        </w:rPr>
        <w:t>عليه‌السلام</w:t>
      </w:r>
      <w:r w:rsidR="00AD67B3" w:rsidRPr="00132E65">
        <w:rPr>
          <w:rtl/>
          <w:lang w:bidi="fa-IR"/>
        </w:rPr>
        <w:t xml:space="preserve"> </w:t>
      </w:r>
      <w:r w:rsidRPr="0096003A">
        <w:rPr>
          <w:rtl/>
        </w:rPr>
        <w:t xml:space="preserve">في الكافي ، ح 4359 </w:t>
      </w:r>
      <w:r>
        <w:rPr>
          <w:rtl/>
        </w:rPr>
        <w:t>و 4</w:t>
      </w:r>
      <w:r w:rsidRPr="0096003A">
        <w:rPr>
          <w:rtl/>
        </w:rPr>
        <w:t xml:space="preserve">637 </w:t>
      </w:r>
      <w:r>
        <w:rPr>
          <w:rtl/>
        </w:rPr>
        <w:t>و 4</w:t>
      </w:r>
      <w:r w:rsidRPr="0096003A">
        <w:rPr>
          <w:rtl/>
        </w:rPr>
        <w:t xml:space="preserve">685 </w:t>
      </w:r>
      <w:r>
        <w:rPr>
          <w:rtl/>
        </w:rPr>
        <w:t>و 6</w:t>
      </w:r>
      <w:r w:rsidRPr="0096003A">
        <w:rPr>
          <w:rtl/>
        </w:rPr>
        <w:t xml:space="preserve">742 </w:t>
      </w:r>
      <w:r>
        <w:rPr>
          <w:rtl/>
        </w:rPr>
        <w:t>و 8</w:t>
      </w:r>
      <w:r w:rsidRPr="0096003A">
        <w:rPr>
          <w:rtl/>
        </w:rPr>
        <w:t xml:space="preserve">264. ولازم ذلك وقوع التحويل في السند بعطف طبقتين على ثلاث طبقات ، وأنّ الراوي عن أبي عبد الله </w:t>
      </w:r>
      <w:r w:rsidR="00AD67B3" w:rsidRPr="00AD67B3">
        <w:rPr>
          <w:rStyle w:val="libFootnoteAlaemChar"/>
          <w:rtl/>
        </w:rPr>
        <w:t>عليه‌السلام</w:t>
      </w:r>
      <w:r w:rsidR="00AD67B3" w:rsidRPr="00132E65">
        <w:rPr>
          <w:rtl/>
          <w:lang w:bidi="fa-IR"/>
        </w:rPr>
        <w:t xml:space="preserve"> </w:t>
      </w:r>
      <w:r w:rsidRPr="0096003A">
        <w:rPr>
          <w:rtl/>
        </w:rPr>
        <w:t>هو المفضّل بن عمر وعبد الرحمن بن الحجّاج.</w:t>
      </w:r>
    </w:p>
    <w:p w:rsidR="000C39D1" w:rsidRPr="0096003A" w:rsidRDefault="000C39D1" w:rsidP="00E55206">
      <w:pPr>
        <w:pStyle w:val="libFootnote0"/>
        <w:rPr>
          <w:rtl/>
        </w:rPr>
      </w:pPr>
      <w:r w:rsidRPr="0096003A">
        <w:rPr>
          <w:rtl/>
        </w:rPr>
        <w:t xml:space="preserve">هذا ، ولا يبعد وقوع الخلل في الجزء الأوّل من السند أيضاً ؛ وبأن يكون الصواب : « ابن رئاب وعبد الرحمن بن الحجّاج » ؛ فإنّه مضافاً إلى أنّهما من مشايخ ابن محبوب ، لم نجد رواية ابن رئاب عن عبد الرحمن بن الحجّاج في موضع. راجع : معجم رجال الحديث ، ج 5 ، ص 92 </w:t>
      </w:r>
      <w:r>
        <w:rPr>
          <w:rtl/>
        </w:rPr>
        <w:t>-</w:t>
      </w:r>
      <w:r w:rsidRPr="0096003A">
        <w:rPr>
          <w:rtl/>
        </w:rPr>
        <w:t xml:space="preserve"> 93 ؛ وج 21 ، ص 19 </w:t>
      </w:r>
      <w:r>
        <w:rPr>
          <w:rtl/>
        </w:rPr>
        <w:t>-</w:t>
      </w:r>
      <w:r w:rsidRPr="0096003A">
        <w:rPr>
          <w:rtl/>
        </w:rPr>
        <w:t xml:space="preserve"> 20.</w:t>
      </w:r>
    </w:p>
    <w:p w:rsidR="000C39D1" w:rsidRPr="0096003A" w:rsidRDefault="000C39D1" w:rsidP="00E55206">
      <w:pPr>
        <w:pStyle w:val="libFootnote0"/>
        <w:rPr>
          <w:rtl/>
        </w:rPr>
      </w:pPr>
      <w:r w:rsidRPr="0096003A">
        <w:rPr>
          <w:rtl/>
        </w:rPr>
        <w:t>ثمّ إنّه لا يبعد الجمع بين النسخة الصحيحة والمصحّفة في « وعن » قبل « محمّد بن سنان ».</w:t>
      </w:r>
    </w:p>
    <w:tbl>
      <w:tblPr>
        <w:tblStyle w:val="TableGrid"/>
        <w:bidiVisual/>
        <w:tblW w:w="0" w:type="auto"/>
        <w:tblLook w:val="04A0" w:firstRow="1" w:lastRow="0" w:firstColumn="1" w:lastColumn="0" w:noHBand="0" w:noVBand="1"/>
      </w:tblPr>
      <w:tblGrid>
        <w:gridCol w:w="4006"/>
        <w:gridCol w:w="4006"/>
      </w:tblGrid>
      <w:tr w:rsidR="00AD67B3" w:rsidTr="00AD67B3">
        <w:tc>
          <w:tcPr>
            <w:tcW w:w="4006" w:type="dxa"/>
          </w:tcPr>
          <w:p w:rsidR="00AD67B3" w:rsidRDefault="00AD67B3"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 « الملك »</w:t>
            </w:r>
            <w:r>
              <w:rPr>
                <w:rtl/>
              </w:rPr>
              <w:t>.</w:t>
            </w:r>
          </w:p>
        </w:tc>
        <w:tc>
          <w:tcPr>
            <w:tcW w:w="4006" w:type="dxa"/>
          </w:tcPr>
          <w:p w:rsidR="00AD67B3" w:rsidRDefault="00AD67B3" w:rsidP="000C39D1">
            <w:pPr>
              <w:pStyle w:val="libFootnote0"/>
              <w:rPr>
                <w:rtl/>
              </w:rPr>
            </w:pPr>
            <w:r>
              <w:rPr>
                <w:rtl/>
              </w:rPr>
              <w:t>(2).</w:t>
            </w:r>
            <w:r w:rsidRPr="00132E65">
              <w:rPr>
                <w:rtl/>
              </w:rPr>
              <w:t xml:space="preserve"> في « بح » : « رسوله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و</w:t>
      </w:r>
      <w:r w:rsidRPr="009D1ACE">
        <w:rPr>
          <w:rStyle w:val="libFootnoteBoldChar"/>
          <w:rtl/>
        </w:rPr>
        <w:t>الوافي</w:t>
      </w:r>
      <w:r w:rsidRPr="00132E65">
        <w:rPr>
          <w:rtl/>
        </w:rPr>
        <w:t xml:space="preserve"> : « رعائه » جمع الراعي ، كالرعاة.</w:t>
      </w:r>
    </w:p>
    <w:p w:rsidR="000C39D1" w:rsidRPr="00132E65" w:rsidRDefault="000C39D1" w:rsidP="000C39D1">
      <w:pPr>
        <w:pStyle w:val="libFootnote0"/>
        <w:rPr>
          <w:rtl/>
          <w:lang w:bidi="fa-IR"/>
        </w:rPr>
      </w:pPr>
      <w:r>
        <w:rPr>
          <w:rtl/>
        </w:rPr>
        <w:t>(4).</w:t>
      </w:r>
      <w:r w:rsidRPr="00132E65">
        <w:rPr>
          <w:rtl/>
        </w:rPr>
        <w:t xml:space="preserve"> في قوله </w:t>
      </w:r>
      <w:r w:rsidRPr="00CC51D8">
        <w:rPr>
          <w:rStyle w:val="libFootnoteAlaemChar"/>
          <w:rtl/>
        </w:rPr>
        <w:t>عليه‌السلام</w:t>
      </w:r>
      <w:r w:rsidRPr="00132E65">
        <w:rPr>
          <w:rtl/>
        </w:rPr>
        <w:t xml:space="preserve"> : « قد ندّت له » احتمالان : إمّا من النَّدّ بمعنى الشرد والنفور. وهذا مختار المازندراني والأظهر عند المجلسي. وإمّا من الندو أو الندي بمعنى تفرّق الشي‌ء وخروج الإبل من مرعاها. وهو الأنسب عند الفيض. راجع : </w:t>
      </w:r>
      <w:r w:rsidRPr="004C5BA9">
        <w:rPr>
          <w:rtl/>
        </w:rPr>
        <w:t>القاموس المحيط</w:t>
      </w:r>
      <w:r w:rsidRPr="00132E65">
        <w:rPr>
          <w:rtl/>
        </w:rPr>
        <w:t xml:space="preserve"> ، ج 1 ، ص 464 ( ندد ) ؛ وج 2 ، ص 1752 ( ندا )</w:t>
      </w:r>
      <w:r>
        <w:rPr>
          <w:rtl/>
        </w:rPr>
        <w:t>.</w:t>
      </w:r>
    </w:p>
    <w:p w:rsidR="000C39D1" w:rsidRPr="00132E65" w:rsidRDefault="000C39D1" w:rsidP="000C39D1">
      <w:pPr>
        <w:pStyle w:val="libFootnote0"/>
        <w:rPr>
          <w:rtl/>
          <w:lang w:bidi="fa-IR"/>
        </w:rPr>
      </w:pPr>
      <w:r>
        <w:rPr>
          <w:rtl/>
        </w:rPr>
        <w:t>(5).</w:t>
      </w:r>
      <w:r w:rsidRPr="00132E65">
        <w:rPr>
          <w:rtl/>
        </w:rPr>
        <w:t xml:space="preserve"> في « بف » و</w:t>
      </w:r>
      <w:r w:rsidRPr="009D1ACE">
        <w:rPr>
          <w:rStyle w:val="libFootnoteBoldChar"/>
          <w:rtl/>
        </w:rPr>
        <w:t>الوافي</w:t>
      </w:r>
      <w:r w:rsidRPr="00132E65">
        <w:rPr>
          <w:rtl/>
        </w:rPr>
        <w:t xml:space="preserve"> : « يجمعها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4C5BA9">
        <w:rPr>
          <w:rtl/>
        </w:rPr>
        <w:t>شرح المازندراني</w:t>
      </w:r>
      <w:r w:rsidRPr="00132E65">
        <w:rPr>
          <w:rtl/>
        </w:rPr>
        <w:t xml:space="preserve"> :</w:t>
      </w:r>
      <w:r>
        <w:rPr>
          <w:rtl/>
        </w:rPr>
        <w:t xml:space="preserve"> « أ</w:t>
      </w:r>
      <w:r w:rsidRPr="00132E65">
        <w:rPr>
          <w:rtl/>
        </w:rPr>
        <w:t>لك أن تفعل »</w:t>
      </w:r>
      <w:r>
        <w:rPr>
          <w:rtl/>
        </w:rPr>
        <w:t>.</w:t>
      </w:r>
      <w:r w:rsidRPr="00132E65">
        <w:rPr>
          <w:rtl/>
        </w:rPr>
        <w:t xml:space="preserve"> وقال : « مفعول « تهلك » محذوف. ثمّ قال : « منهم من قرأ : آلك ، بمدّ الألف على أنّه مفعول تهلك »</w:t>
      </w:r>
      <w:r>
        <w:rPr>
          <w:rtl/>
        </w:rPr>
        <w:t>.</w:t>
      </w:r>
      <w:r w:rsidRPr="00132E65">
        <w:rPr>
          <w:rtl/>
        </w:rPr>
        <w:t xml:space="preserve"> وفي </w:t>
      </w:r>
      <w:r w:rsidRPr="009D1ACE">
        <w:rPr>
          <w:rStyle w:val="libFootnoteBoldChar"/>
          <w:rtl/>
        </w:rPr>
        <w:t>الوافي</w:t>
      </w:r>
      <w:r w:rsidRPr="00132E65">
        <w:rPr>
          <w:rtl/>
        </w:rPr>
        <w:t xml:space="preserve"> اختار الأوّل واحتمل الثاني.</w:t>
      </w:r>
    </w:p>
    <w:p w:rsidR="000C39D1" w:rsidRPr="00132E65" w:rsidRDefault="000C39D1" w:rsidP="000C39D1">
      <w:pPr>
        <w:pStyle w:val="libFootnote0"/>
        <w:rPr>
          <w:rtl/>
          <w:lang w:bidi="fa-IR"/>
        </w:rPr>
      </w:pPr>
      <w:r>
        <w:rPr>
          <w:rtl/>
        </w:rPr>
        <w:t>(7).</w:t>
      </w:r>
      <w:r w:rsidRPr="00132E65">
        <w:rPr>
          <w:rtl/>
        </w:rPr>
        <w:t xml:space="preserve"> احتمل في </w:t>
      </w:r>
      <w:r w:rsidRPr="009D1ACE">
        <w:rPr>
          <w:rStyle w:val="libFootnoteBoldChar"/>
          <w:rtl/>
        </w:rPr>
        <w:t>مرآة العقول</w:t>
      </w:r>
      <w:r w:rsidRPr="00132E65">
        <w:rPr>
          <w:rtl/>
        </w:rPr>
        <w:t xml:space="preserve"> كونَ الكلمة أمراً. وقال المازندراني : « قرئ : إن تفعل ، بكسر الهمزة على الشرط</w:t>
      </w:r>
      <w:r w:rsidR="00CC51D8">
        <w:rPr>
          <w:rFonts w:hint="cs"/>
          <w:rtl/>
        </w:rPr>
        <w:t xml:space="preserve"> </w:t>
      </w:r>
      <w:r w:rsidRPr="00132E65">
        <w:rPr>
          <w:rtl/>
        </w:rPr>
        <w:t>و</w:t>
      </w:r>
      <w:r w:rsidR="00CC51D8">
        <w:rPr>
          <w:rFonts w:hint="cs"/>
          <w:rtl/>
        </w:rPr>
        <w:t xml:space="preserve"> </w:t>
      </w:r>
      <w:r w:rsidRPr="00132E65">
        <w:rPr>
          <w:rtl/>
        </w:rPr>
        <w:t>جُعل « فأمر » على صيغة الأمر جزاه »</w:t>
      </w:r>
      <w:r>
        <w:rPr>
          <w:rtl/>
        </w:rPr>
        <w:t>.</w:t>
      </w:r>
      <w:r w:rsidRPr="00132E65">
        <w:rPr>
          <w:rtl/>
        </w:rPr>
        <w:t xml:space="preserve"> كما هو المحتمل عند الفيض في </w:t>
      </w:r>
      <w:r w:rsidRPr="009D1ACE">
        <w:rPr>
          <w:rStyle w:val="libFootnoteBoldChar"/>
          <w:rtl/>
        </w:rPr>
        <w:t>الوافي</w:t>
      </w:r>
      <w:r w:rsidRPr="00132E65">
        <w:rPr>
          <w:rtl/>
        </w:rPr>
        <w:t>.</w:t>
      </w:r>
    </w:p>
    <w:p w:rsidR="000C39D1" w:rsidRPr="00132E65" w:rsidRDefault="000C39D1" w:rsidP="00CC51D8">
      <w:pPr>
        <w:pStyle w:val="libFootnote0"/>
        <w:rPr>
          <w:rtl/>
          <w:lang w:bidi="ar-IQ"/>
        </w:rPr>
      </w:pPr>
      <w:r>
        <w:rPr>
          <w:rtl/>
        </w:rPr>
        <w:t>(8).</w:t>
      </w:r>
      <w:r w:rsidRPr="00132E65">
        <w:rPr>
          <w:rtl/>
        </w:rPr>
        <w:t xml:space="preserve"> « الشِعْب » : الطريق في الجبل ، ومسيل الماء في بطن أرض ، أو ما انفرج بين الجبلين. </w:t>
      </w:r>
      <w:r w:rsidRPr="004C5BA9">
        <w:rPr>
          <w:rtl/>
        </w:rPr>
        <w:t>القاموس المحيط</w:t>
      </w:r>
      <w:r w:rsidRPr="00132E65">
        <w:rPr>
          <w:rtl/>
        </w:rPr>
        <w:t xml:space="preserve"> ،</w:t>
      </w:r>
      <w:r w:rsidR="00CC51D8">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مَا بَدَا لَكَ ، و</w:t>
      </w:r>
      <w:r w:rsidR="00CC51D8">
        <w:rPr>
          <w:rFonts w:hint="cs"/>
          <w:rtl/>
          <w:lang w:bidi="fa-IR"/>
        </w:rPr>
        <w:t xml:space="preserve">َ </w:t>
      </w:r>
      <w:r w:rsidRPr="00132E65">
        <w:rPr>
          <w:rtl/>
          <w:lang w:bidi="fa-IR"/>
        </w:rPr>
        <w:t xml:space="preserve">لَمَّا </w:t>
      </w:r>
      <w:r>
        <w:rPr>
          <w:rStyle w:val="libFootnotenumChar"/>
          <w:rtl/>
        </w:rPr>
        <w:t>(1)</w:t>
      </w:r>
      <w:r w:rsidRPr="00132E65">
        <w:rPr>
          <w:rtl/>
          <w:lang w:bidi="fa-IR"/>
        </w:rPr>
        <w:t xml:space="preserve"> رَأى رَسُولَ اللهِ </w:t>
      </w:r>
      <w:r w:rsidRPr="0093484F">
        <w:rPr>
          <w:rStyle w:val="libAlaemChar"/>
          <w:rFonts w:eastAsiaTheme="minorHAnsi"/>
          <w:rtl/>
        </w:rPr>
        <w:t>صلى‌الله‌عليه‌وآله</w:t>
      </w:r>
      <w:r w:rsidRPr="00132E65">
        <w:rPr>
          <w:rtl/>
          <w:lang w:bidi="fa-IR"/>
        </w:rPr>
        <w:t xml:space="preserve"> ، أَخَذَهُ فَقَبَّلَهُ ، و</w:t>
      </w:r>
      <w:r w:rsidR="00CC51D8">
        <w:rPr>
          <w:rFonts w:hint="cs"/>
          <w:rtl/>
          <w:lang w:bidi="fa-IR"/>
        </w:rPr>
        <w:t xml:space="preserve">َ </w:t>
      </w:r>
      <w:r w:rsidRPr="00132E65">
        <w:rPr>
          <w:rtl/>
          <w:lang w:bidi="fa-IR"/>
        </w:rPr>
        <w:t xml:space="preserve">قَالَ </w:t>
      </w:r>
      <w:r>
        <w:rPr>
          <w:rStyle w:val="libFootnotenumChar"/>
          <w:rtl/>
        </w:rPr>
        <w:t>(2)</w:t>
      </w:r>
      <w:r w:rsidRPr="00132E65">
        <w:rPr>
          <w:rtl/>
          <w:lang w:bidi="fa-IR"/>
        </w:rPr>
        <w:t xml:space="preserve"> : يَا بُنَيَّ ، لَاوَجَّهْتُكَ بَعْدَ هذَا فِي شَيْ‌ءٍ ؛ فَإِنِّي أَخَافُ أَنْ تُغْتَالَ </w:t>
      </w:r>
      <w:r>
        <w:rPr>
          <w:rStyle w:val="libFootnotenumChar"/>
          <w:rtl/>
        </w:rPr>
        <w:t>(3)</w:t>
      </w:r>
      <w:r w:rsidRPr="00132E65">
        <w:rPr>
          <w:rtl/>
          <w:lang w:bidi="fa-IR"/>
        </w:rPr>
        <w:t xml:space="preserve"> فَتُقْتَلَ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4C5BA9">
        <w:rPr>
          <w:rtl/>
        </w:rPr>
        <w:t>1216</w:t>
      </w:r>
      <w:r w:rsidRPr="004325D8">
        <w:rPr>
          <w:rStyle w:val="libBold2Char"/>
          <w:rtl/>
        </w:rPr>
        <w:t xml:space="preserve"> / 25.</w:t>
      </w:r>
      <w:r w:rsidRPr="00132E65">
        <w:rPr>
          <w:rtl/>
          <w:lang w:bidi="fa-IR"/>
        </w:rPr>
        <w:t xml:space="preserve"> عِدَّةٌ مِنْ أَصْحَابِنَا ، عَنْ أَحْمَدَ بْنِ مُحَمَّدِ بْنِ عِيسى ، عَنِ ابْنِ أَبِي عُمَيْرٍ ، عَنْ مُحَمَّدِ بْنِ حُمْرَانَ ، عَنْ أَبَانِ بْنِ تَغْلِبَ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لَمَّا أَنْ و</w:t>
      </w:r>
      <w:r w:rsidR="00D22244">
        <w:rPr>
          <w:rFonts w:hint="cs"/>
          <w:rtl/>
          <w:lang w:bidi="fa-IR"/>
        </w:rPr>
        <w:t xml:space="preserve">َ </w:t>
      </w:r>
      <w:r w:rsidRPr="00132E65">
        <w:rPr>
          <w:rtl/>
          <w:lang w:bidi="fa-IR"/>
        </w:rPr>
        <w:t xml:space="preserve">جَّهَ صَاحِبُ الْحَبَشَةِ بِالْخَيْلِ </w:t>
      </w:r>
      <w:r>
        <w:rPr>
          <w:rStyle w:val="libFootnotenumChar"/>
          <w:rtl/>
        </w:rPr>
        <w:t>(5)</w:t>
      </w:r>
      <w:r>
        <w:rPr>
          <w:rtl/>
          <w:lang w:bidi="fa-IR"/>
        </w:rPr>
        <w:t xml:space="preserve"> </w:t>
      </w:r>
      <w:r w:rsidR="00D22244">
        <w:rPr>
          <w:rtl/>
          <w:lang w:bidi="fa-IR"/>
        </w:rPr>
        <w:t>–</w:t>
      </w:r>
      <w:r>
        <w:rPr>
          <w:rtl/>
          <w:lang w:bidi="fa-IR"/>
        </w:rPr>
        <w:t xml:space="preserve"> </w:t>
      </w:r>
      <w:r w:rsidRPr="00132E65">
        <w:rPr>
          <w:rtl/>
          <w:lang w:bidi="fa-IR"/>
        </w:rPr>
        <w:t>و</w:t>
      </w:r>
      <w:r w:rsidR="00D22244">
        <w:rPr>
          <w:rFonts w:hint="cs"/>
          <w:rtl/>
          <w:lang w:bidi="fa-IR"/>
        </w:rPr>
        <w:t xml:space="preserve">َ </w:t>
      </w:r>
      <w:r w:rsidRPr="00132E65">
        <w:rPr>
          <w:rtl/>
          <w:lang w:bidi="fa-IR"/>
        </w:rPr>
        <w:t>مَعَهُمُ الْفِيلُ</w:t>
      </w:r>
      <w:r>
        <w:rPr>
          <w:rtl/>
          <w:lang w:bidi="fa-IR"/>
        </w:rPr>
        <w:t xml:space="preserve"> - </w:t>
      </w:r>
      <w:r w:rsidRPr="00132E65">
        <w:rPr>
          <w:rtl/>
          <w:lang w:bidi="fa-IR"/>
        </w:rPr>
        <w:t xml:space="preserve">لِيَهْدِمَ الْبَيْتَ ، مَرُّوا بِإِبِلٍ </w:t>
      </w:r>
      <w:r>
        <w:rPr>
          <w:rStyle w:val="libFootnotenumChar"/>
          <w:rtl/>
        </w:rPr>
        <w:t>(6)</w:t>
      </w:r>
      <w:r w:rsidRPr="00132E65">
        <w:rPr>
          <w:rtl/>
          <w:lang w:bidi="fa-IR"/>
        </w:rPr>
        <w:t xml:space="preserve"> لِعَبْدِ الْمُطَّلِبِ ، فَسَاقُوهَا ، فَبَلَغَ ذلِكَ عَبْدَ الْمُطَّلِبِ ، فَأَتى صَاحِبَ الْحَبَشَةِ ، فَدَخَلَ الْآذِنُ </w:t>
      </w:r>
      <w:r>
        <w:rPr>
          <w:rStyle w:val="libFootnotenumChar"/>
          <w:rtl/>
        </w:rPr>
        <w:t>(7)</w:t>
      </w:r>
      <w:r w:rsidRPr="00132E65">
        <w:rPr>
          <w:rtl/>
          <w:lang w:bidi="fa-IR"/>
        </w:rPr>
        <w:t xml:space="preserve"> ، فَقَالَ : هذَا عَبْدُ الْمُطَّلِبِ بْنُ هَاشِمٍ ، قَالَ </w:t>
      </w:r>
      <w:r>
        <w:rPr>
          <w:rStyle w:val="libFootnotenumChar"/>
          <w:rtl/>
        </w:rPr>
        <w:t>(8)</w:t>
      </w:r>
      <w:r w:rsidRPr="00132E65">
        <w:rPr>
          <w:rtl/>
          <w:lang w:bidi="fa-IR"/>
        </w:rPr>
        <w:t xml:space="preserve"> : و</w:t>
      </w:r>
      <w:r w:rsidR="00D22244">
        <w:rPr>
          <w:rFonts w:hint="cs"/>
          <w:rtl/>
          <w:lang w:bidi="fa-IR"/>
        </w:rPr>
        <w:t xml:space="preserve">َ </w:t>
      </w:r>
      <w:r w:rsidRPr="00132E65">
        <w:rPr>
          <w:rtl/>
          <w:lang w:bidi="fa-IR"/>
        </w:rPr>
        <w:t>مَا يَشَاءُ</w:t>
      </w:r>
      <w:r>
        <w:rPr>
          <w:rtl/>
          <w:lang w:bidi="fa-IR"/>
        </w:rPr>
        <w:t>؟</w:t>
      </w:r>
      <w:r w:rsidRPr="00132E65">
        <w:rPr>
          <w:rtl/>
          <w:lang w:bidi="fa-IR"/>
        </w:rPr>
        <w:t xml:space="preserve"> قَالَ التَّرْجُمَانُ : جَاءَ فِي إِبِلٍ لَهُ سَاقُوهَا يَسْأَلُكَ رَدَّهَا ، فَقَالَ مَلِكُ الْحَبَشَةِ لِأَصْحَابِهِ : هذَا رَئِيسُ قَوْمٍ و</w:t>
      </w:r>
      <w:r w:rsidR="00D22244">
        <w:rPr>
          <w:rFonts w:hint="cs"/>
          <w:rtl/>
          <w:lang w:bidi="fa-IR"/>
        </w:rPr>
        <w:t xml:space="preserve">َ </w:t>
      </w:r>
      <w:r w:rsidRPr="00132E65">
        <w:rPr>
          <w:rtl/>
          <w:lang w:bidi="fa-IR"/>
        </w:rPr>
        <w:t xml:space="preserve">زَعِيمُهُمْ </w:t>
      </w:r>
      <w:r>
        <w:rPr>
          <w:rStyle w:val="libFootnotenumChar"/>
          <w:rtl/>
        </w:rPr>
        <w:t>(9)</w:t>
      </w:r>
      <w:r w:rsidRPr="00132E65">
        <w:rPr>
          <w:rtl/>
          <w:lang w:bidi="fa-IR"/>
        </w:rPr>
        <w:t xml:space="preserve"> جِئْتُ إِلى بَيْتِهِ الَّذِي يَعْبُدُهُ لِأَهْدِمَهُ و</w:t>
      </w:r>
      <w:r w:rsidR="00541E09">
        <w:rPr>
          <w:rFonts w:hint="cs"/>
          <w:rtl/>
          <w:lang w:bidi="fa-IR"/>
        </w:rPr>
        <w:t xml:space="preserve">َ </w:t>
      </w:r>
      <w:r w:rsidRPr="00132E65">
        <w:rPr>
          <w:rtl/>
          <w:lang w:bidi="fa-IR"/>
        </w:rPr>
        <w:t>هُوَ يَسْأَلُنِي إِطْلَاقَ إِبِلِهِ</w:t>
      </w:r>
      <w:r>
        <w:rPr>
          <w:rtl/>
          <w:lang w:bidi="fa-IR"/>
        </w:rPr>
        <w:t>!</w:t>
      </w:r>
      <w:r w:rsidRPr="00132E65">
        <w:rPr>
          <w:rtl/>
          <w:lang w:bidi="fa-IR"/>
        </w:rPr>
        <w:t xml:space="preserve"> أَمَا لَوْ سَأَلَنِيَ الْإِمْسَاكَ عَنْ هَدْمِهِ لَفَعَلْتُ ، رُدُّوا عَلَيْهِ إِبِلَهُ.</w:t>
      </w:r>
    </w:p>
    <w:p w:rsidR="000C39D1" w:rsidRPr="00132E65" w:rsidRDefault="000C39D1" w:rsidP="000C39D1">
      <w:pPr>
        <w:pStyle w:val="libNormal"/>
        <w:rPr>
          <w:rtl/>
          <w:lang w:bidi="fa-IR"/>
        </w:rPr>
      </w:pPr>
      <w:r w:rsidRPr="00132E65">
        <w:rPr>
          <w:rtl/>
          <w:lang w:bidi="fa-IR"/>
        </w:rPr>
        <w:t xml:space="preserve">فَقَالَ عَبْدُ الْمُطَّلِبِ لِتَرْجُمَانِهِ : مَا قَالَ لَكَ </w:t>
      </w:r>
      <w:r>
        <w:rPr>
          <w:rStyle w:val="libFootnotenumChar"/>
          <w:rtl/>
        </w:rPr>
        <w:t>(10)</w:t>
      </w:r>
      <w:r w:rsidRPr="00132E65">
        <w:rPr>
          <w:rtl/>
          <w:lang w:bidi="fa-IR"/>
        </w:rPr>
        <w:t xml:space="preserve"> الْمَلِكُ</w:t>
      </w:r>
      <w:r>
        <w:rPr>
          <w:rtl/>
          <w:lang w:bidi="fa-IR"/>
        </w:rPr>
        <w:t>؟</w:t>
      </w:r>
      <w:r w:rsidRPr="00132E65">
        <w:rPr>
          <w:rtl/>
          <w:lang w:bidi="fa-IR"/>
        </w:rPr>
        <w:t xml:space="preserve"> فَأَخْبَرَهُ ، فَقَالَ عَبْدُ الْمُطَّلِبِ :</w:t>
      </w:r>
    </w:p>
    <w:p w:rsidR="000C39D1" w:rsidRPr="00132E65" w:rsidRDefault="000C39D1" w:rsidP="000C39D1">
      <w:pPr>
        <w:pStyle w:val="libLine"/>
        <w:rPr>
          <w:rtl/>
          <w:lang w:bidi="fa-IR"/>
        </w:rPr>
      </w:pPr>
      <w:r w:rsidRPr="00132E65">
        <w:rPr>
          <w:rtl/>
          <w:lang w:bidi="fa-IR"/>
        </w:rPr>
        <w:t>__________________</w:t>
      </w:r>
    </w:p>
    <w:p w:rsidR="000C39D1" w:rsidRPr="00132E65" w:rsidRDefault="00541E09" w:rsidP="000C39D1">
      <w:pPr>
        <w:pStyle w:val="libFootnote0"/>
        <w:rPr>
          <w:rtl/>
          <w:lang w:bidi="fa-IR"/>
        </w:rPr>
      </w:pPr>
      <w:r>
        <w:rPr>
          <w:rFonts w:hint="cs"/>
          <w:rtl/>
        </w:rPr>
        <w:t>=</w:t>
      </w:r>
      <w:r w:rsidR="000C39D1" w:rsidRPr="00132E65">
        <w:rPr>
          <w:rtl/>
        </w:rPr>
        <w:t>ج 1 ، ص 184 ( شعب )</w:t>
      </w:r>
      <w:r w:rsidR="000C39D1">
        <w:rPr>
          <w:rtl/>
        </w:rPr>
        <w:t>.</w:t>
      </w:r>
    </w:p>
    <w:tbl>
      <w:tblPr>
        <w:tblStyle w:val="TableGrid"/>
        <w:bidiVisual/>
        <w:tblW w:w="0" w:type="auto"/>
        <w:tblLook w:val="04A0" w:firstRow="1" w:lastRow="0" w:firstColumn="1" w:lastColumn="0" w:noHBand="0" w:noVBand="1"/>
      </w:tblPr>
      <w:tblGrid>
        <w:gridCol w:w="4006"/>
        <w:gridCol w:w="4006"/>
      </w:tblGrid>
      <w:tr w:rsidR="00541E09" w:rsidTr="00541E09">
        <w:tc>
          <w:tcPr>
            <w:tcW w:w="4006" w:type="dxa"/>
          </w:tcPr>
          <w:p w:rsidR="00541E09" w:rsidRDefault="00541E09" w:rsidP="000C39D1">
            <w:pPr>
              <w:pStyle w:val="libFootnote0"/>
              <w:rPr>
                <w:rtl/>
              </w:rPr>
            </w:pPr>
            <w:r>
              <w:rPr>
                <w:rtl/>
              </w:rPr>
              <w:t>(1).</w:t>
            </w:r>
            <w:r w:rsidRPr="00132E65">
              <w:rPr>
                <w:rtl/>
              </w:rPr>
              <w:t xml:space="preserve"> في « بح ، بر ، بف » : « فلمّا »</w:t>
            </w:r>
            <w:r>
              <w:rPr>
                <w:rtl/>
              </w:rPr>
              <w:t>.</w:t>
            </w:r>
          </w:p>
        </w:tc>
        <w:tc>
          <w:tcPr>
            <w:tcW w:w="4006" w:type="dxa"/>
          </w:tcPr>
          <w:p w:rsidR="00541E09" w:rsidRDefault="00541E09" w:rsidP="000C39D1">
            <w:pPr>
              <w:pStyle w:val="libFootnote0"/>
              <w:rPr>
                <w:rtl/>
              </w:rPr>
            </w:pPr>
            <w:r>
              <w:rPr>
                <w:rtl/>
              </w:rPr>
              <w:t>(2).</w:t>
            </w:r>
            <w:r w:rsidRPr="00132E65">
              <w:rPr>
                <w:rtl/>
              </w:rPr>
              <w:t xml:space="preserve"> في « ب ، ف » والبحار : « فقال »</w:t>
            </w:r>
            <w:r>
              <w:rPr>
                <w:rtl/>
              </w:rPr>
              <w:t>.</w:t>
            </w:r>
          </w:p>
        </w:tc>
      </w:tr>
    </w:tbl>
    <w:p w:rsidR="000C39D1" w:rsidRPr="00132E65" w:rsidRDefault="000C39D1" w:rsidP="000C39D1">
      <w:pPr>
        <w:pStyle w:val="libFootnote0"/>
        <w:rPr>
          <w:rtl/>
          <w:lang w:bidi="fa-IR"/>
        </w:rPr>
      </w:pPr>
      <w:r>
        <w:rPr>
          <w:rtl/>
        </w:rPr>
        <w:t>(3).</w:t>
      </w:r>
      <w:r w:rsidRPr="00132E65">
        <w:rPr>
          <w:rtl/>
        </w:rPr>
        <w:t xml:space="preserve"> « الاغتيال » : هو أن يُخْدَعَ ويُقْتَل في موضع لا يراه فيه أحد. </w:t>
      </w:r>
      <w:r w:rsidRPr="004C5BA9">
        <w:rPr>
          <w:rtl/>
        </w:rPr>
        <w:t>النهاية</w:t>
      </w:r>
      <w:r w:rsidRPr="00132E65">
        <w:rPr>
          <w:rtl/>
        </w:rPr>
        <w:t xml:space="preserve"> ، ج 3 ، ص 403 ( غيل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694 ، ح 1301 ؛ </w:t>
      </w:r>
      <w:r w:rsidRPr="004C5BA9">
        <w:rPr>
          <w:rtl/>
        </w:rPr>
        <w:t>البحار</w:t>
      </w:r>
      <w:r w:rsidRPr="00132E65">
        <w:rPr>
          <w:rtl/>
        </w:rPr>
        <w:t xml:space="preserve"> ، ج 15 ، ص 157 ، ح 86.</w:t>
      </w:r>
    </w:p>
    <w:p w:rsidR="000C39D1" w:rsidRPr="00132E65" w:rsidRDefault="000C39D1" w:rsidP="000C39D1">
      <w:pPr>
        <w:pStyle w:val="libFootnote0"/>
        <w:rPr>
          <w:rtl/>
          <w:lang w:bidi="fa-IR"/>
        </w:rPr>
      </w:pPr>
      <w:r>
        <w:rPr>
          <w:rtl/>
        </w:rPr>
        <w:t>(5).</w:t>
      </w:r>
      <w:r w:rsidRPr="00132E65">
        <w:rPr>
          <w:rtl/>
        </w:rPr>
        <w:t xml:space="preserve"> قوله </w:t>
      </w:r>
      <w:r w:rsidRPr="00541E09">
        <w:rPr>
          <w:rStyle w:val="libFootnoteAlaemChar"/>
          <w:rtl/>
        </w:rPr>
        <w:t>عليه‌السلام</w:t>
      </w:r>
      <w:r w:rsidRPr="00132E65">
        <w:rPr>
          <w:rtl/>
        </w:rPr>
        <w:t xml:space="preserve"> : « بالخيل » مفعولُ « وجّه » والباء زائدة. قال المجلسي في </w:t>
      </w:r>
      <w:r w:rsidRPr="009D1ACE">
        <w:rPr>
          <w:rStyle w:val="libFootnoteBoldChar"/>
          <w:rtl/>
        </w:rPr>
        <w:t>مرآة العقول</w:t>
      </w:r>
      <w:r w:rsidRPr="00132E65">
        <w:rPr>
          <w:rtl/>
        </w:rPr>
        <w:t xml:space="preserve"> : « أو المفعول مقدّر ، أي و</w:t>
      </w:r>
      <w:r w:rsidR="00541E09">
        <w:rPr>
          <w:rFonts w:hint="cs"/>
          <w:rtl/>
        </w:rPr>
        <w:t xml:space="preserve">َ </w:t>
      </w:r>
      <w:r w:rsidRPr="00132E65">
        <w:rPr>
          <w:rtl/>
        </w:rPr>
        <w:t>جَّهَ</w:t>
      </w:r>
      <w:r w:rsidR="00541E09">
        <w:rPr>
          <w:rFonts w:hint="cs"/>
          <w:rtl/>
        </w:rPr>
        <w:t xml:space="preserve"> </w:t>
      </w:r>
      <w:r w:rsidRPr="00132E65">
        <w:rPr>
          <w:rtl/>
        </w:rPr>
        <w:t>‌قائداً وهو ابن الصباح بالخيل ، فالباء للمصاحبة. ويمكن أن يقرأ : و</w:t>
      </w:r>
      <w:r w:rsidR="00541E09">
        <w:rPr>
          <w:rFonts w:hint="cs"/>
          <w:rtl/>
        </w:rPr>
        <w:t>ُ</w:t>
      </w:r>
      <w:r w:rsidRPr="00132E65">
        <w:rPr>
          <w:rtl/>
        </w:rPr>
        <w:t>جِّهَ على بناء المجهول ، فالمراد بصاحب الحبشة : أبرهة »</w:t>
      </w:r>
      <w:r>
        <w:rPr>
          <w:rtl/>
        </w:rPr>
        <w:t>.</w:t>
      </w:r>
    </w:p>
    <w:p w:rsidR="000C39D1" w:rsidRPr="00132E65" w:rsidRDefault="000C39D1" w:rsidP="000C39D1">
      <w:pPr>
        <w:pStyle w:val="libFootnote0"/>
        <w:rPr>
          <w:rtl/>
          <w:lang w:bidi="fa-IR"/>
        </w:rPr>
      </w:pPr>
      <w:r>
        <w:rPr>
          <w:rtl/>
        </w:rPr>
        <w:t>(6).</w:t>
      </w:r>
      <w:r w:rsidRPr="00132E65">
        <w:rPr>
          <w:rtl/>
        </w:rPr>
        <w:t xml:space="preserve"> « الإِبِلُ » : اسم الجمع ، لا واحد لها من لفظها ، وهي مؤنّثة ؛ لأنّ أسماء الجموع التي لا واحد لها من لفظها إذا</w:t>
      </w:r>
      <w:r w:rsidR="00763050">
        <w:rPr>
          <w:rFonts w:hint="cs"/>
          <w:rtl/>
        </w:rPr>
        <w:t xml:space="preserve"> </w:t>
      </w:r>
      <w:r w:rsidRPr="00132E65">
        <w:rPr>
          <w:rtl/>
        </w:rPr>
        <w:t xml:space="preserve">كانت لغير الآدميّين فالتأنيث لها لازم. </w:t>
      </w:r>
      <w:r w:rsidRPr="004C5BA9">
        <w:rPr>
          <w:rtl/>
        </w:rPr>
        <w:t>الصحاح</w:t>
      </w:r>
      <w:r w:rsidRPr="00132E65">
        <w:rPr>
          <w:rtl/>
        </w:rPr>
        <w:t xml:space="preserve"> ، ج 4 ، ص 1618 ( أبل )</w:t>
      </w:r>
      <w:r>
        <w:rPr>
          <w:rtl/>
        </w:rPr>
        <w:t>.</w:t>
      </w:r>
    </w:p>
    <w:p w:rsidR="000C39D1" w:rsidRPr="00132E65" w:rsidRDefault="000C39D1" w:rsidP="000C39D1">
      <w:pPr>
        <w:pStyle w:val="libFootnote0"/>
        <w:rPr>
          <w:rtl/>
          <w:lang w:bidi="fa-IR"/>
        </w:rPr>
      </w:pPr>
      <w:r>
        <w:rPr>
          <w:rtl/>
        </w:rPr>
        <w:t>(7).</w:t>
      </w:r>
      <w:r w:rsidRPr="00132E65">
        <w:rPr>
          <w:rtl/>
        </w:rPr>
        <w:t xml:space="preserve"> في « ف » : « الآتون »</w:t>
      </w:r>
      <w:r>
        <w:rPr>
          <w:rtl/>
        </w:rPr>
        <w:t>.</w:t>
      </w:r>
      <w:r w:rsidRPr="00132E65">
        <w:rPr>
          <w:rtl/>
        </w:rPr>
        <w:t xml:space="preserve"> وفي </w:t>
      </w:r>
      <w:r w:rsidRPr="004C5BA9">
        <w:rPr>
          <w:rtl/>
        </w:rPr>
        <w:t>الصحاح</w:t>
      </w:r>
      <w:r w:rsidRPr="00132E65">
        <w:rPr>
          <w:rtl/>
        </w:rPr>
        <w:t xml:space="preserve"> ، ج 5 ، ص 2069 ( أذن ) : « الآذِنُ : الحاجب »</w:t>
      </w:r>
      <w:r>
        <w:rPr>
          <w:rtl/>
        </w:rPr>
        <w:t>.</w:t>
      </w:r>
      <w:r w:rsidRPr="00132E65">
        <w:rPr>
          <w:rtl/>
        </w:rPr>
        <w:t xml:space="preserve"> وفي </w:t>
      </w:r>
      <w:r w:rsidRPr="004C5BA9">
        <w:rPr>
          <w:rtl/>
        </w:rPr>
        <w:t>المرآة</w:t>
      </w:r>
      <w:r w:rsidRPr="00132E65">
        <w:rPr>
          <w:rtl/>
        </w:rPr>
        <w:t xml:space="preserve"> : « فدخل الآذن ، أي</w:t>
      </w:r>
      <w:r w:rsidR="00F76624">
        <w:rPr>
          <w:rFonts w:hint="cs"/>
          <w:rtl/>
        </w:rPr>
        <w:t xml:space="preserve"> </w:t>
      </w:r>
      <w:r w:rsidRPr="00132E65">
        <w:rPr>
          <w:rtl/>
        </w:rPr>
        <w:t>‌الحاجب الذي يطلب الإذن للناس ويأذنهم للدخول »</w:t>
      </w:r>
      <w:r>
        <w:rPr>
          <w:rtl/>
        </w:rPr>
        <w:t>.</w:t>
      </w:r>
    </w:p>
    <w:p w:rsidR="000C39D1" w:rsidRPr="00132E65" w:rsidRDefault="000C39D1" w:rsidP="000C39D1">
      <w:pPr>
        <w:pStyle w:val="libFootnote0"/>
        <w:rPr>
          <w:rtl/>
          <w:lang w:bidi="fa-IR"/>
        </w:rPr>
      </w:pPr>
      <w:r>
        <w:rPr>
          <w:rtl/>
        </w:rPr>
        <w:t>(8).</w:t>
      </w:r>
      <w:r w:rsidRPr="00132E65">
        <w:rPr>
          <w:rtl/>
        </w:rPr>
        <w:t xml:space="preserve"> في « ف » : « ثمّ قال »</w:t>
      </w:r>
      <w:r>
        <w:rPr>
          <w:rtl/>
        </w:rPr>
        <w:t>.</w:t>
      </w:r>
    </w:p>
    <w:p w:rsidR="000C39D1" w:rsidRPr="00132E65" w:rsidRDefault="000C39D1" w:rsidP="000C39D1">
      <w:pPr>
        <w:pStyle w:val="libFootnote0"/>
        <w:rPr>
          <w:rtl/>
          <w:lang w:bidi="fa-IR"/>
        </w:rPr>
      </w:pPr>
      <w:r>
        <w:rPr>
          <w:rtl/>
        </w:rPr>
        <w:t>(9).</w:t>
      </w:r>
      <w:r w:rsidRPr="00132E65">
        <w:rPr>
          <w:rtl/>
        </w:rPr>
        <w:t xml:space="preserve"> « الزعيم » : الكفيل ، ورئيس القوم وسيّدهم ، أو المتكلّم عنهم. </w:t>
      </w:r>
      <w:r w:rsidRPr="004C5BA9">
        <w:rPr>
          <w:rtl/>
        </w:rPr>
        <w:t>القاموس المحيط</w:t>
      </w:r>
      <w:r w:rsidRPr="00132E65">
        <w:rPr>
          <w:rtl/>
        </w:rPr>
        <w:t xml:space="preserve"> ، ج 2 ، ص 1472 ( زعم )</w:t>
      </w:r>
      <w:r>
        <w:rPr>
          <w:rtl/>
        </w:rPr>
        <w:t>.</w:t>
      </w:r>
    </w:p>
    <w:p w:rsidR="000C39D1" w:rsidRPr="00132E65" w:rsidRDefault="000C39D1" w:rsidP="000C39D1">
      <w:pPr>
        <w:pStyle w:val="libFootnote0"/>
        <w:rPr>
          <w:rtl/>
          <w:lang w:bidi="fa-IR"/>
        </w:rPr>
      </w:pPr>
      <w:r>
        <w:rPr>
          <w:rtl/>
        </w:rPr>
        <w:t>(10).</w:t>
      </w:r>
      <w:r w:rsidRPr="00132E65">
        <w:rPr>
          <w:rtl/>
        </w:rPr>
        <w:t xml:space="preserve"> في « ب ، ف ، بح ، بر ، بف » و</w:t>
      </w:r>
      <w:r w:rsidRPr="009D1ACE">
        <w:rPr>
          <w:rStyle w:val="libFootnoteBoldChar"/>
          <w:rtl/>
        </w:rPr>
        <w:t>الوافي</w:t>
      </w:r>
      <w:r w:rsidRPr="00132E65">
        <w:rPr>
          <w:rtl/>
        </w:rPr>
        <w:t xml:space="preserve"> والبحار </w:t>
      </w:r>
      <w:r>
        <w:rPr>
          <w:rtl/>
        </w:rPr>
        <w:t xml:space="preserve">: - </w:t>
      </w:r>
      <w:r w:rsidRPr="00132E65">
        <w:rPr>
          <w:rtl/>
        </w:rPr>
        <w:t>« لك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أَنَا رَبُّ الْإِبِلِ ، و</w:t>
      </w:r>
      <w:r w:rsidR="00F76624">
        <w:rPr>
          <w:rFonts w:hint="cs"/>
          <w:rtl/>
          <w:lang w:bidi="fa-IR"/>
        </w:rPr>
        <w:t xml:space="preserve">َ </w:t>
      </w:r>
      <w:r w:rsidRPr="00132E65">
        <w:rPr>
          <w:rtl/>
          <w:lang w:bidi="fa-IR"/>
        </w:rPr>
        <w:t xml:space="preserve">لِهذَا الْبَيْتِ رَبٌّ يَمْنَعُهُ ، فَرُدَّتْ </w:t>
      </w:r>
      <w:r>
        <w:rPr>
          <w:rStyle w:val="libFootnotenumChar"/>
          <w:rtl/>
        </w:rPr>
        <w:t>(1)</w:t>
      </w:r>
      <w:r w:rsidRPr="00132E65">
        <w:rPr>
          <w:rtl/>
          <w:lang w:bidi="fa-IR"/>
        </w:rPr>
        <w:t xml:space="preserve"> إِلَيْهِ </w:t>
      </w:r>
      <w:r>
        <w:rPr>
          <w:rStyle w:val="libFootnotenumChar"/>
          <w:rtl/>
        </w:rPr>
        <w:t>(2)</w:t>
      </w:r>
      <w:r w:rsidRPr="00132E65">
        <w:rPr>
          <w:rtl/>
          <w:lang w:bidi="fa-IR"/>
        </w:rPr>
        <w:t xml:space="preserve"> إِبِلُهُ ، و</w:t>
      </w:r>
      <w:r w:rsidR="00F76624">
        <w:rPr>
          <w:rFonts w:hint="cs"/>
          <w:rtl/>
          <w:lang w:bidi="fa-IR"/>
        </w:rPr>
        <w:t xml:space="preserve">َ </w:t>
      </w:r>
      <w:r w:rsidRPr="00132E65">
        <w:rPr>
          <w:rtl/>
          <w:lang w:bidi="fa-IR"/>
        </w:rPr>
        <w:t xml:space="preserve">انْصَرَفَ عَبْدُ الْمُطَّلِبِ نَحْوَ مَنْزِلِهِ ، فَمَرَّ بِالْفِيلِ فِي مُنْصَرَفِهِ </w:t>
      </w:r>
      <w:r>
        <w:rPr>
          <w:rStyle w:val="libFootnotenumChar"/>
          <w:rtl/>
        </w:rPr>
        <w:t>(3)</w:t>
      </w:r>
      <w:r w:rsidRPr="00132E65">
        <w:rPr>
          <w:rtl/>
          <w:lang w:bidi="fa-IR"/>
        </w:rPr>
        <w:t xml:space="preserve"> ، فَقَالَ لِلْفِيلِ : يَا مَحْمُودُ ، فَحَرَّكَ الْفِي</w:t>
      </w:r>
      <w:r>
        <w:rPr>
          <w:rtl/>
          <w:lang w:bidi="fa-IR"/>
        </w:rPr>
        <w:t>لُ رَأْسَهُ ، فَقَالَ لَهُ : أَ</w:t>
      </w:r>
      <w:r w:rsidRPr="00132E65">
        <w:rPr>
          <w:rtl/>
          <w:lang w:bidi="fa-IR"/>
        </w:rPr>
        <w:t xml:space="preserve">تَدْرِي </w:t>
      </w:r>
      <w:r>
        <w:rPr>
          <w:rStyle w:val="libFootnotenumChar"/>
          <w:rtl/>
        </w:rPr>
        <w:t>(4)</w:t>
      </w:r>
      <w:r w:rsidRPr="00132E65">
        <w:rPr>
          <w:rtl/>
          <w:lang w:bidi="fa-IR"/>
        </w:rPr>
        <w:t xml:space="preserve"> لِمَ جَاؤُوا بِكَ</w:t>
      </w:r>
      <w:r>
        <w:rPr>
          <w:rtl/>
          <w:lang w:bidi="fa-IR"/>
        </w:rPr>
        <w:t>؟</w:t>
      </w:r>
      <w:r w:rsidRPr="00132E65">
        <w:rPr>
          <w:rtl/>
          <w:lang w:bidi="fa-IR"/>
        </w:rPr>
        <w:t xml:space="preserve"> فَقَالَ الْفِيلُّ بِرَأْسِهِ : لَا ، فَقَالَ عَبْدُ الْمُطَّلِبِ : جَاؤُوا بِكَ</w:t>
      </w:r>
      <w:r>
        <w:rPr>
          <w:rtl/>
          <w:lang w:bidi="fa-IR"/>
        </w:rPr>
        <w:t xml:space="preserve"> لِتَهْدِمَ بَيْتَ رَبِّكَ ، أَ</w:t>
      </w:r>
      <w:r w:rsidRPr="00132E65">
        <w:rPr>
          <w:rtl/>
          <w:lang w:bidi="fa-IR"/>
        </w:rPr>
        <w:t>فَتُرَاكَ فَاعِلَ ذلِكَ</w:t>
      </w:r>
      <w:r>
        <w:rPr>
          <w:rtl/>
          <w:lang w:bidi="fa-IR"/>
        </w:rPr>
        <w:t>؟</w:t>
      </w:r>
      <w:r w:rsidRPr="00132E65">
        <w:rPr>
          <w:rtl/>
          <w:lang w:bidi="fa-IR"/>
        </w:rPr>
        <w:t xml:space="preserve"> فَقَالَ بِرَأْسِهِ : لَا.</w:t>
      </w:r>
    </w:p>
    <w:p w:rsidR="000C39D1" w:rsidRPr="00132E65" w:rsidRDefault="000C39D1" w:rsidP="000C39D1">
      <w:pPr>
        <w:pStyle w:val="libNormal"/>
        <w:rPr>
          <w:rtl/>
          <w:lang w:bidi="fa-IR"/>
        </w:rPr>
      </w:pPr>
      <w:r w:rsidRPr="00132E65">
        <w:rPr>
          <w:rtl/>
          <w:lang w:bidi="fa-IR"/>
        </w:rPr>
        <w:t>فَانْصَرَفَ عَبْدُ الْمُطَّلِبِ إِلى مَنْزِلِهِ ، فَلَمَّا أَصْبَحُوا ، غَدَوْا بِهِ لِدُخُولِ الْحَرَمِ ، فَأَبى وَ</w:t>
      </w:r>
      <w:r w:rsidR="00F76624">
        <w:rPr>
          <w:rFonts w:hint="cs"/>
          <w:rtl/>
          <w:lang w:bidi="fa-IR"/>
        </w:rPr>
        <w:t xml:space="preserve"> </w:t>
      </w:r>
      <w:r w:rsidRPr="00132E65">
        <w:rPr>
          <w:rtl/>
          <w:lang w:bidi="fa-IR"/>
        </w:rPr>
        <w:t xml:space="preserve">امْتَنَعَ عَلَيْهِمْ ، فَقَالَ عَبْدُ الْمُطَّلِبِ لِبَعْضِ مَوَالِيهِ عِنْدَ ذلِكَ : اعْلُ الْجَبَلَ ، فَانْظُرْ تَرى </w:t>
      </w:r>
      <w:r>
        <w:rPr>
          <w:rStyle w:val="libFootnotenumChar"/>
          <w:rtl/>
        </w:rPr>
        <w:t>(5)</w:t>
      </w:r>
      <w:r w:rsidRPr="00132E65">
        <w:rPr>
          <w:rtl/>
          <w:lang w:bidi="fa-IR"/>
        </w:rPr>
        <w:t xml:space="preserve"> شَيْئاً </w:t>
      </w:r>
      <w:r>
        <w:rPr>
          <w:rStyle w:val="libFootnotenumChar"/>
          <w:rtl/>
        </w:rPr>
        <w:t>(6)</w:t>
      </w:r>
      <w:r>
        <w:rPr>
          <w:rtl/>
          <w:lang w:bidi="fa-IR"/>
        </w:rPr>
        <w:t>؟</w:t>
      </w:r>
      <w:r w:rsidRPr="00132E65">
        <w:rPr>
          <w:rtl/>
          <w:lang w:bidi="fa-IR"/>
        </w:rPr>
        <w:t xml:space="preserve"> فَقَالَ : أَرى سَوَاداً مِنْ قِبَلِ الْبَحْرِ </w:t>
      </w:r>
      <w:r>
        <w:rPr>
          <w:rStyle w:val="libFootnotenumChar"/>
          <w:rtl/>
        </w:rPr>
        <w:t>(7)</w:t>
      </w:r>
      <w:r w:rsidRPr="00132E65">
        <w:rPr>
          <w:rtl/>
          <w:lang w:bidi="fa-IR"/>
        </w:rPr>
        <w:t xml:space="preserve"> ، فَقَالَ لَهُ : يُصِيبُهُ بَصَرُكَ أَجْمَعَ</w:t>
      </w:r>
      <w:r>
        <w:rPr>
          <w:rtl/>
          <w:lang w:bidi="fa-IR"/>
        </w:rPr>
        <w:t>؟</w:t>
      </w:r>
      <w:r w:rsidRPr="00132E65">
        <w:rPr>
          <w:rtl/>
          <w:lang w:bidi="fa-IR"/>
        </w:rPr>
        <w:t xml:space="preserve"> فَقَالَ لَهُ : لَا ، وَلَأَوْشَكَ </w:t>
      </w:r>
      <w:r>
        <w:rPr>
          <w:rStyle w:val="libFootnotenumChar"/>
          <w:rtl/>
        </w:rPr>
        <w:t>(8)</w:t>
      </w:r>
      <w:r w:rsidRPr="00132E65">
        <w:rPr>
          <w:rtl/>
          <w:lang w:bidi="fa-IR"/>
        </w:rPr>
        <w:t xml:space="preserve"> أَنْ يُصِيبَ ، فَلَمَّا أَنْ قَرُبَ ، قَالَ : هُوَ طَيْرٌ كَثِيرٌ و</w:t>
      </w:r>
      <w:r w:rsidR="00F76624">
        <w:rPr>
          <w:rFonts w:hint="cs"/>
          <w:rtl/>
          <w:lang w:bidi="fa-IR"/>
        </w:rPr>
        <w:t xml:space="preserve">َ </w:t>
      </w:r>
      <w:r w:rsidRPr="00132E65">
        <w:rPr>
          <w:rtl/>
          <w:lang w:bidi="fa-IR"/>
        </w:rPr>
        <w:t>لَا</w:t>
      </w:r>
      <w:r>
        <w:rPr>
          <w:rFonts w:hint="cs"/>
          <w:rtl/>
          <w:lang w:bidi="fa-IR"/>
        </w:rPr>
        <w:t xml:space="preserve"> </w:t>
      </w:r>
      <w:r w:rsidRPr="00132E65">
        <w:rPr>
          <w:rtl/>
          <w:lang w:bidi="fa-IR"/>
        </w:rPr>
        <w:t xml:space="preserve">أَعْرِفُهُ ، يَحْمِلُ كُلُّ طَيْرٍ فِي مِنْقَارِهِ حَصَاةً </w:t>
      </w:r>
      <w:r>
        <w:rPr>
          <w:rStyle w:val="libFootnotenumChar"/>
          <w:rtl/>
        </w:rPr>
        <w:t>(9)</w:t>
      </w:r>
      <w:r w:rsidRPr="00132E65">
        <w:rPr>
          <w:rtl/>
          <w:lang w:bidi="fa-IR"/>
        </w:rPr>
        <w:t xml:space="preserve"> مِثْلَ </w:t>
      </w:r>
      <w:r>
        <w:rPr>
          <w:rStyle w:val="libFootnotenumChar"/>
          <w:rtl/>
        </w:rPr>
        <w:t>(10)</w:t>
      </w:r>
      <w:r w:rsidRPr="00132E65">
        <w:rPr>
          <w:rtl/>
          <w:lang w:bidi="fa-IR"/>
        </w:rPr>
        <w:t xml:space="preserve"> حَصَاةِ الْخَذْفِ </w:t>
      </w:r>
      <w:r>
        <w:rPr>
          <w:rStyle w:val="libFootnotenumChar"/>
          <w:rtl/>
        </w:rPr>
        <w:t>(11)</w:t>
      </w:r>
      <w:r w:rsidRPr="00132E65">
        <w:rPr>
          <w:rtl/>
          <w:lang w:bidi="fa-IR"/>
        </w:rPr>
        <w:t xml:space="preserve"> ، أَوْ دُونَ حَصَاةِ الْخَذْفِ ، فَقَالَ عَبْدُ الْمُطَّلِبِ :</w:t>
      </w:r>
      <w:r>
        <w:rPr>
          <w:rFonts w:hint="cs"/>
          <w:rtl/>
          <w:lang w:bidi="fa-IR"/>
        </w:rPr>
        <w:t xml:space="preserve"> </w:t>
      </w:r>
      <w:r w:rsidRPr="00132E65">
        <w:rPr>
          <w:rtl/>
          <w:lang w:bidi="fa-IR"/>
        </w:rPr>
        <w:t xml:space="preserve">وَرَبِّ عَبْدِ الْمُطَّلِبِ مَا تُرِيدُ </w:t>
      </w:r>
      <w:r>
        <w:rPr>
          <w:rStyle w:val="libFootnotenumChar"/>
          <w:rtl/>
        </w:rPr>
        <w:t>(12)</w:t>
      </w:r>
      <w:r w:rsidRPr="00132E65">
        <w:rPr>
          <w:rtl/>
          <w:lang w:bidi="fa-IR"/>
        </w:rPr>
        <w:t xml:space="preserve"> إِلاَّ الْقَوْمَ حَتّى لَمَّا صَارَتْ </w:t>
      </w:r>
      <w:r w:rsidRPr="00F543F1">
        <w:rPr>
          <w:rStyle w:val="libFootnotenumChar"/>
          <w:rtl/>
        </w:rPr>
        <w:t>(13)</w:t>
      </w:r>
      <w:r w:rsidRPr="00132E65">
        <w:rPr>
          <w:rtl/>
          <w:lang w:bidi="fa-IR"/>
        </w:rPr>
        <w:t xml:space="preserve"> فَوْقَ رُؤُوسِهِمْ أَجْمَعَ ، أَلْقَتِ الْحَصَاةَ ، فَوَقَعَتْ كُلُّ حَصَاةٍ عَلى هَامَةِ </w:t>
      </w:r>
      <w:r w:rsidRPr="00F543F1">
        <w:rPr>
          <w:rStyle w:val="libFootnotenumChar"/>
          <w:rtl/>
        </w:rPr>
        <w:t>(14)</w:t>
      </w:r>
      <w:r w:rsidRPr="00132E65">
        <w:rPr>
          <w:rtl/>
          <w:lang w:bidi="fa-IR"/>
        </w:rPr>
        <w:t xml:space="preserve"> رَجُلٍ ، فَخَرَجَتْ مِنْ دُبُرِهِ ، فَقَتَلَتْهُ </w:t>
      </w:r>
      <w:r w:rsidRPr="00F543F1">
        <w:rPr>
          <w:rStyle w:val="libFootnotenumChar"/>
          <w:rtl/>
        </w:rPr>
        <w:t>(15)</w:t>
      </w:r>
      <w:r w:rsidRPr="00132E65">
        <w:rPr>
          <w:rtl/>
          <w:lang w:bidi="fa-IR"/>
        </w:rPr>
        <w:t xml:space="preserve"> ، فَمَا انْفَلَتَ </w:t>
      </w:r>
      <w:r w:rsidRPr="00F543F1">
        <w:rPr>
          <w:rStyle w:val="libFootnotenumChar"/>
          <w:rtl/>
        </w:rPr>
        <w:t>(16)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فر</w:t>
      </w:r>
      <w:r w:rsidR="00F76624">
        <w:rPr>
          <w:rFonts w:hint="cs"/>
          <w:rtl/>
        </w:rPr>
        <w:t xml:space="preserve"> </w:t>
      </w:r>
      <w:r w:rsidRPr="00132E65">
        <w:rPr>
          <w:rtl/>
        </w:rPr>
        <w:t>دّ »</w:t>
      </w:r>
      <w:r>
        <w:rPr>
          <w:rtl/>
        </w:rPr>
        <w:t>.</w:t>
      </w:r>
    </w:p>
    <w:p w:rsidR="000C39D1" w:rsidRPr="00132E65" w:rsidRDefault="000C39D1" w:rsidP="000C39D1">
      <w:pPr>
        <w:pStyle w:val="libFootnote0"/>
        <w:rPr>
          <w:rtl/>
          <w:lang w:bidi="fa-IR"/>
        </w:rPr>
      </w:pPr>
      <w:r>
        <w:rPr>
          <w:rtl/>
        </w:rPr>
        <w:t>(2).</w:t>
      </w:r>
      <w:r w:rsidRPr="00132E65">
        <w:rPr>
          <w:rtl/>
        </w:rPr>
        <w:t xml:space="preserve"> في « ض ، ف ، بح ، بر ، بس ، بف » و</w:t>
      </w:r>
      <w:r w:rsidRPr="009D1ACE">
        <w:rPr>
          <w:rStyle w:val="libFootnoteBoldChar"/>
          <w:rtl/>
        </w:rPr>
        <w:t>الوافي</w:t>
      </w:r>
      <w:r w:rsidRPr="00132E65">
        <w:rPr>
          <w:rtl/>
        </w:rPr>
        <w:t xml:space="preserve"> والبحار : « عليه »</w:t>
      </w:r>
      <w:r>
        <w:rPr>
          <w:rtl/>
        </w:rPr>
        <w:t>.</w:t>
      </w:r>
    </w:p>
    <w:tbl>
      <w:tblPr>
        <w:tblStyle w:val="TableGrid"/>
        <w:bidiVisual/>
        <w:tblW w:w="0" w:type="auto"/>
        <w:tblLook w:val="04A0" w:firstRow="1" w:lastRow="0" w:firstColumn="1" w:lastColumn="0" w:noHBand="0" w:noVBand="1"/>
      </w:tblPr>
      <w:tblGrid>
        <w:gridCol w:w="4006"/>
        <w:gridCol w:w="4006"/>
      </w:tblGrid>
      <w:tr w:rsidR="00F76624" w:rsidTr="00F76624">
        <w:tc>
          <w:tcPr>
            <w:tcW w:w="4006" w:type="dxa"/>
          </w:tcPr>
          <w:p w:rsidR="00F76624" w:rsidRDefault="00980C34" w:rsidP="000C39D1">
            <w:pPr>
              <w:pStyle w:val="libFootnote0"/>
              <w:rPr>
                <w:rtl/>
              </w:rPr>
            </w:pPr>
            <w:r>
              <w:rPr>
                <w:rtl/>
              </w:rPr>
              <w:t>(3).</w:t>
            </w:r>
            <w:r w:rsidRPr="00132E65">
              <w:rPr>
                <w:rtl/>
              </w:rPr>
              <w:t>في«ب»:«فمرّ في منصرفه بالفيل»</w:t>
            </w:r>
            <w:r>
              <w:rPr>
                <w:rtl/>
              </w:rPr>
              <w:t>.</w:t>
            </w:r>
          </w:p>
        </w:tc>
        <w:tc>
          <w:tcPr>
            <w:tcW w:w="4006" w:type="dxa"/>
          </w:tcPr>
          <w:p w:rsidR="00F76624" w:rsidRDefault="00980C34" w:rsidP="000C39D1">
            <w:pPr>
              <w:pStyle w:val="libFootnote0"/>
              <w:rPr>
                <w:rtl/>
              </w:rPr>
            </w:pPr>
            <w:r>
              <w:rPr>
                <w:rtl/>
              </w:rPr>
              <w:t>(4).</w:t>
            </w:r>
            <w:r w:rsidRPr="00132E65">
              <w:rPr>
                <w:rtl/>
              </w:rPr>
              <w:t>في«بس»:«تدري»بدون الهمزة.</w:t>
            </w:r>
          </w:p>
        </w:tc>
      </w:tr>
      <w:tr w:rsidR="00F76624" w:rsidTr="00F76624">
        <w:tc>
          <w:tcPr>
            <w:tcW w:w="4006" w:type="dxa"/>
          </w:tcPr>
          <w:p w:rsidR="00F76624" w:rsidRDefault="00F625FC" w:rsidP="000C39D1">
            <w:pPr>
              <w:pStyle w:val="libFootnote0"/>
              <w:rPr>
                <w:rtl/>
              </w:rPr>
            </w:pPr>
            <w:r>
              <w:rPr>
                <w:rtl/>
              </w:rPr>
              <w:t>(5).</w:t>
            </w:r>
            <w:r w:rsidRPr="00132E65">
              <w:rPr>
                <w:rtl/>
              </w:rPr>
              <w:t xml:space="preserve"> في « ف » : « ما ترى »</w:t>
            </w:r>
            <w:r>
              <w:rPr>
                <w:rtl/>
              </w:rPr>
              <w:t>.</w:t>
            </w:r>
          </w:p>
        </w:tc>
        <w:tc>
          <w:tcPr>
            <w:tcW w:w="4006" w:type="dxa"/>
          </w:tcPr>
          <w:p w:rsidR="00F76624" w:rsidRDefault="00F625FC" w:rsidP="000C39D1">
            <w:pPr>
              <w:pStyle w:val="libFootnote0"/>
              <w:rPr>
                <w:rtl/>
              </w:rPr>
            </w:pPr>
            <w:r>
              <w:rPr>
                <w:rtl/>
              </w:rPr>
              <w:t>(6).</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فصعد »</w:t>
            </w:r>
            <w:r>
              <w:rPr>
                <w:rtl/>
              </w:rPr>
              <w:t>.</w:t>
            </w:r>
          </w:p>
        </w:tc>
      </w:tr>
      <w:tr w:rsidR="00F76624" w:rsidTr="00F76624">
        <w:tc>
          <w:tcPr>
            <w:tcW w:w="4006" w:type="dxa"/>
          </w:tcPr>
          <w:p w:rsidR="00F76624" w:rsidRDefault="00F625FC" w:rsidP="000C39D1">
            <w:pPr>
              <w:pStyle w:val="libFootnote0"/>
              <w:rPr>
                <w:rtl/>
              </w:rPr>
            </w:pPr>
            <w:r>
              <w:rPr>
                <w:rtl/>
              </w:rPr>
              <w:t>(7).</w:t>
            </w:r>
            <w:r w:rsidRPr="00132E65">
              <w:rPr>
                <w:rtl/>
              </w:rPr>
              <w:t xml:space="preserve"> في « ب » :</w:t>
            </w:r>
            <w:r>
              <w:rPr>
                <w:rtl/>
              </w:rPr>
              <w:t xml:space="preserve"> + </w:t>
            </w:r>
            <w:r w:rsidRPr="00132E65">
              <w:rPr>
                <w:rtl/>
              </w:rPr>
              <w:t>« فصعد »</w:t>
            </w:r>
            <w:r>
              <w:rPr>
                <w:rtl/>
              </w:rPr>
              <w:t>.</w:t>
            </w:r>
          </w:p>
        </w:tc>
        <w:tc>
          <w:tcPr>
            <w:tcW w:w="4006" w:type="dxa"/>
          </w:tcPr>
          <w:p w:rsidR="00F76624" w:rsidRDefault="00F625FC" w:rsidP="000C39D1">
            <w:pPr>
              <w:pStyle w:val="libFootnote0"/>
              <w:rPr>
                <w:rtl/>
              </w:rPr>
            </w:pPr>
            <w:r>
              <w:rPr>
                <w:rtl/>
              </w:rPr>
              <w:t>(8).</w:t>
            </w:r>
            <w:r w:rsidRPr="00132E65">
              <w:rPr>
                <w:rtl/>
              </w:rPr>
              <w:t xml:space="preserve"> في « بف » : « وأوشك »</w:t>
            </w:r>
            <w:r>
              <w:rPr>
                <w:rtl/>
              </w:rPr>
              <w:t>.</w:t>
            </w:r>
          </w:p>
        </w:tc>
      </w:tr>
      <w:tr w:rsidR="00F76624" w:rsidTr="00F76624">
        <w:tc>
          <w:tcPr>
            <w:tcW w:w="4006" w:type="dxa"/>
          </w:tcPr>
          <w:p w:rsidR="00F76624" w:rsidRDefault="00F625FC" w:rsidP="000C39D1">
            <w:pPr>
              <w:pStyle w:val="libFootnote0"/>
              <w:rPr>
                <w:rtl/>
              </w:rPr>
            </w:pPr>
            <w:r>
              <w:rPr>
                <w:rtl/>
              </w:rPr>
              <w:t>(9).</w:t>
            </w:r>
            <w:r w:rsidRPr="00132E65">
              <w:rPr>
                <w:rtl/>
              </w:rPr>
              <w:t xml:space="preserve"> في « ف » : « حصاً »</w:t>
            </w:r>
            <w:r>
              <w:rPr>
                <w:rtl/>
              </w:rPr>
              <w:t>.</w:t>
            </w:r>
          </w:p>
        </w:tc>
        <w:tc>
          <w:tcPr>
            <w:tcW w:w="4006" w:type="dxa"/>
          </w:tcPr>
          <w:p w:rsidR="00F76624" w:rsidRDefault="00F625FC" w:rsidP="000C39D1">
            <w:pPr>
              <w:pStyle w:val="libFootnote0"/>
              <w:rPr>
                <w:rtl/>
              </w:rPr>
            </w:pPr>
            <w:r>
              <w:rPr>
                <w:rtl/>
              </w:rPr>
              <w:t>(10).</w:t>
            </w:r>
            <w:r w:rsidRPr="00132E65">
              <w:rPr>
                <w:rtl/>
              </w:rPr>
              <w:t xml:space="preserve"> في « ب » : « من »</w:t>
            </w:r>
            <w:r>
              <w:rPr>
                <w:rtl/>
              </w:rPr>
              <w:t>.</w:t>
            </w:r>
          </w:p>
        </w:tc>
      </w:tr>
    </w:tbl>
    <w:p w:rsidR="000C39D1" w:rsidRPr="00132E65" w:rsidRDefault="000C39D1" w:rsidP="000C39D1">
      <w:pPr>
        <w:pStyle w:val="libFootnote0"/>
        <w:rPr>
          <w:rtl/>
          <w:lang w:bidi="fa-IR"/>
        </w:rPr>
      </w:pPr>
      <w:r>
        <w:rPr>
          <w:rtl/>
        </w:rPr>
        <w:t>(11).</w:t>
      </w:r>
      <w:r w:rsidRPr="00132E65">
        <w:rPr>
          <w:rtl/>
        </w:rPr>
        <w:t xml:space="preserve"> « الخَذْفُ » : هو رميك حَصاةً أو نَواةً تأخذها بين سبّابتيك وترمي بها ، أو تتّخذ مِخْذَفةً من خشب ثمّ ترمي بها الحصاة بين إبهامك والسبّابة. </w:t>
      </w:r>
      <w:r w:rsidRPr="004C5BA9">
        <w:rPr>
          <w:rtl/>
        </w:rPr>
        <w:t>النهاية</w:t>
      </w:r>
      <w:r w:rsidRPr="00132E65">
        <w:rPr>
          <w:rtl/>
        </w:rPr>
        <w:t xml:space="preserve"> ، ج 2 ، ص 16 ( خذف )</w:t>
      </w:r>
      <w:r>
        <w:rPr>
          <w:rtl/>
        </w:rPr>
        <w:t>.</w:t>
      </w:r>
    </w:p>
    <w:p w:rsidR="000C39D1" w:rsidRPr="00132E65" w:rsidRDefault="000C39D1" w:rsidP="000C39D1">
      <w:pPr>
        <w:pStyle w:val="libFootnote0"/>
        <w:rPr>
          <w:rtl/>
          <w:lang w:bidi="fa-IR"/>
        </w:rPr>
      </w:pPr>
      <w:r>
        <w:rPr>
          <w:rtl/>
        </w:rPr>
        <w:t>(12).</w:t>
      </w:r>
      <w:r w:rsidRPr="00132E65">
        <w:rPr>
          <w:rtl/>
        </w:rPr>
        <w:t xml:space="preserve"> في « ب ، ج ، ض ، ف ، بح ، بس ، بف » والبحار : « ما يريد »</w:t>
      </w:r>
      <w:r>
        <w:rPr>
          <w:rtl/>
        </w:rPr>
        <w:t>.</w:t>
      </w:r>
      <w:r w:rsidRPr="00132E65">
        <w:rPr>
          <w:rtl/>
        </w:rPr>
        <w:t xml:space="preserve"> قال في </w:t>
      </w:r>
      <w:r w:rsidRPr="009D1ACE">
        <w:rPr>
          <w:rStyle w:val="libFootnoteBoldChar"/>
          <w:rtl/>
        </w:rPr>
        <w:t>مرآة العقول</w:t>
      </w:r>
      <w:r w:rsidRPr="00132E65">
        <w:rPr>
          <w:rtl/>
        </w:rPr>
        <w:t xml:space="preserve"> ، ج 5 ، ص 240 : « وقد يذكّروقد يؤنّث »</w:t>
      </w:r>
      <w:r>
        <w:rPr>
          <w:rtl/>
        </w:rPr>
        <w:t>.</w:t>
      </w:r>
    </w:p>
    <w:p w:rsidR="000C39D1" w:rsidRPr="00132E65" w:rsidRDefault="000C39D1" w:rsidP="000C39D1">
      <w:pPr>
        <w:pStyle w:val="libFootnote0"/>
        <w:rPr>
          <w:rtl/>
          <w:lang w:bidi="fa-IR"/>
        </w:rPr>
      </w:pPr>
      <w:r>
        <w:rPr>
          <w:rtl/>
        </w:rPr>
        <w:t>(13)</w:t>
      </w:r>
      <w:r w:rsidRPr="00132E65">
        <w:rPr>
          <w:rtl/>
        </w:rPr>
        <w:t xml:space="preserve"> هكذا في « ض ، ف »</w:t>
      </w:r>
      <w:r>
        <w:rPr>
          <w:rtl/>
        </w:rPr>
        <w:t>.</w:t>
      </w:r>
      <w:r w:rsidRPr="00132E65">
        <w:rPr>
          <w:rtl/>
        </w:rPr>
        <w:t xml:space="preserve"> وفي « بر » : « صار »</w:t>
      </w:r>
      <w:r>
        <w:rPr>
          <w:rtl/>
        </w:rPr>
        <w:t>.</w:t>
      </w:r>
      <w:r w:rsidRPr="00132E65">
        <w:rPr>
          <w:rtl/>
        </w:rPr>
        <w:t xml:space="preserve"> وفي المطبوع وبعض النسخ : « صاروا »</w:t>
      </w:r>
      <w:r>
        <w:rPr>
          <w:rtl/>
        </w:rPr>
        <w:t>.</w:t>
      </w:r>
    </w:p>
    <w:p w:rsidR="000C39D1" w:rsidRPr="00132E65" w:rsidRDefault="000C39D1" w:rsidP="000C39D1">
      <w:pPr>
        <w:pStyle w:val="libFootnote0"/>
        <w:rPr>
          <w:rtl/>
          <w:lang w:bidi="fa-IR"/>
        </w:rPr>
      </w:pPr>
      <w:r>
        <w:rPr>
          <w:rtl/>
        </w:rPr>
        <w:t>(14)</w:t>
      </w:r>
      <w:r w:rsidRPr="00132E65">
        <w:rPr>
          <w:rtl/>
        </w:rPr>
        <w:t xml:space="preserve"> « الهامَةُ » : الرأس ، والجمع : هامٌ. </w:t>
      </w:r>
      <w:r w:rsidRPr="004C5BA9">
        <w:rPr>
          <w:rtl/>
        </w:rPr>
        <w:t>الصحاح</w:t>
      </w:r>
      <w:r w:rsidRPr="00132E65">
        <w:rPr>
          <w:rtl/>
        </w:rPr>
        <w:t xml:space="preserve"> ، ج 5 ، ص 2063 ( هيم )</w:t>
      </w:r>
      <w:r>
        <w:rPr>
          <w:rtl/>
        </w:rPr>
        <w:t>.</w:t>
      </w:r>
    </w:p>
    <w:p w:rsidR="000C39D1" w:rsidRPr="00132E65" w:rsidRDefault="000C39D1" w:rsidP="000C39D1">
      <w:pPr>
        <w:pStyle w:val="libFootnote0"/>
        <w:rPr>
          <w:rtl/>
          <w:lang w:bidi="fa-IR"/>
        </w:rPr>
      </w:pPr>
      <w:r>
        <w:rPr>
          <w:rtl/>
        </w:rPr>
        <w:t>(15)</w:t>
      </w:r>
      <w:r w:rsidRPr="00132E65">
        <w:rPr>
          <w:rtl/>
        </w:rPr>
        <w:t xml:space="preserve"> في « ج » : « فقتله »</w:t>
      </w:r>
      <w:r>
        <w:rPr>
          <w:rtl/>
        </w:rPr>
        <w:t>.</w:t>
      </w:r>
    </w:p>
    <w:p w:rsidR="000C39D1" w:rsidRPr="00132E65" w:rsidRDefault="000C39D1" w:rsidP="000C39D1">
      <w:pPr>
        <w:pStyle w:val="libFootnote0"/>
        <w:rPr>
          <w:rtl/>
          <w:lang w:bidi="fa-IR"/>
        </w:rPr>
      </w:pPr>
      <w:r>
        <w:rPr>
          <w:rtl/>
        </w:rPr>
        <w:t>(16)</w:t>
      </w:r>
      <w:r w:rsidRPr="00132E65">
        <w:rPr>
          <w:rtl/>
        </w:rPr>
        <w:t xml:space="preserve"> « الانفلات » : التخلّص من الشي‌ء فَجأةً من غير تمكّث. </w:t>
      </w:r>
      <w:r w:rsidRPr="004C5BA9">
        <w:rPr>
          <w:rtl/>
        </w:rPr>
        <w:t>النهاية</w:t>
      </w:r>
      <w:r w:rsidRPr="00132E65">
        <w:rPr>
          <w:rtl/>
        </w:rPr>
        <w:t xml:space="preserve"> ، ج 3 ، ص 467 ( فلت )</w:t>
      </w:r>
      <w:r>
        <w:rPr>
          <w:rtl/>
        </w:rPr>
        <w:t>.</w:t>
      </w:r>
    </w:p>
    <w:p w:rsidR="000C39D1" w:rsidRDefault="000C39D1" w:rsidP="000C39D1">
      <w:pPr>
        <w:pStyle w:val="libNormal0"/>
        <w:tabs>
          <w:tab w:val="left" w:pos="3968"/>
        </w:tabs>
        <w:rPr>
          <w:rtl/>
          <w:lang w:bidi="fa-IR"/>
        </w:rPr>
      </w:pPr>
      <w:r>
        <w:rPr>
          <w:rtl/>
          <w:lang w:bidi="fa-IR"/>
        </w:rPr>
        <w:br w:type="page"/>
      </w:r>
    </w:p>
    <w:p w:rsidR="00B43A8A" w:rsidRPr="00B43A8A" w:rsidRDefault="00F94739" w:rsidP="005A141A">
      <w:pPr>
        <w:pStyle w:val="libNormal0"/>
        <w:tabs>
          <w:tab w:val="left" w:pos="3968"/>
        </w:tabs>
        <w:rPr>
          <w:rtl/>
          <w:lang w:bidi="fa-IR"/>
        </w:rPr>
      </w:pPr>
      <w:r>
        <w:rPr>
          <w:rtl/>
          <w:lang w:bidi="fa-IR"/>
        </w:rPr>
        <w:t>مِنْهُمْ إِل</w:t>
      </w:r>
      <w:r>
        <w:rPr>
          <w:rFonts w:hint="cs"/>
          <w:rtl/>
          <w:lang w:bidi="fa-IR"/>
        </w:rPr>
        <w:t>َّ</w:t>
      </w:r>
      <w:r>
        <w:rPr>
          <w:rtl/>
          <w:lang w:bidi="fa-IR"/>
        </w:rPr>
        <w:t>ا</w:t>
      </w:r>
      <w:r w:rsidR="000C39D1" w:rsidRPr="00132E65">
        <w:rPr>
          <w:rtl/>
          <w:lang w:bidi="fa-IR"/>
        </w:rPr>
        <w:t xml:space="preserve"> رَجُلٌ و</w:t>
      </w:r>
      <w:r>
        <w:rPr>
          <w:rFonts w:hint="cs"/>
          <w:rtl/>
          <w:lang w:bidi="fa-IR"/>
        </w:rPr>
        <w:t>َ</w:t>
      </w:r>
      <w:r w:rsidR="000C39D1" w:rsidRPr="00132E65">
        <w:rPr>
          <w:rtl/>
          <w:lang w:bidi="fa-IR"/>
        </w:rPr>
        <w:t xml:space="preserve">احِدٌ يُخْبِرُ النَّاسَ </w:t>
      </w:r>
      <w:r w:rsidR="000C39D1">
        <w:rPr>
          <w:rStyle w:val="libFootnotenumChar"/>
          <w:rtl/>
        </w:rPr>
        <w:t>(1)</w:t>
      </w:r>
      <w:r w:rsidR="000C39D1" w:rsidRPr="00132E65">
        <w:rPr>
          <w:rtl/>
          <w:lang w:bidi="fa-IR"/>
        </w:rPr>
        <w:t xml:space="preserve"> ، فَلَمَّا أَنْ أَخْبَرَهُمْ </w:t>
      </w:r>
      <w:r w:rsidR="000C39D1">
        <w:rPr>
          <w:rStyle w:val="libFootnotenumChar"/>
          <w:rtl/>
        </w:rPr>
        <w:t>(2)</w:t>
      </w:r>
      <w:r w:rsidR="000C39D1" w:rsidRPr="00132E65">
        <w:rPr>
          <w:rtl/>
          <w:lang w:bidi="fa-IR"/>
        </w:rPr>
        <w:t xml:space="preserve"> ، أَلْقَتْ </w:t>
      </w:r>
      <w:r w:rsidR="000C39D1">
        <w:rPr>
          <w:rStyle w:val="libFootnotenumChar"/>
          <w:rtl/>
        </w:rPr>
        <w:t>(3)</w:t>
      </w:r>
      <w:r w:rsidR="000C39D1" w:rsidRPr="00132E65">
        <w:rPr>
          <w:rtl/>
          <w:lang w:bidi="fa-IR"/>
        </w:rPr>
        <w:t xml:space="preserve"> عَلَيْهِ حَصَاةً فَقَتَلَتْهُ </w:t>
      </w:r>
      <w:r w:rsidR="000C39D1">
        <w:rPr>
          <w:rStyle w:val="libFootnotenumChar"/>
          <w:rtl/>
        </w:rPr>
        <w:t>(4)</w:t>
      </w:r>
      <w:r w:rsidR="000C39D1" w:rsidRPr="00132E65">
        <w:rPr>
          <w:rtl/>
          <w:lang w:bidi="fa-IR"/>
        </w:rPr>
        <w:t xml:space="preserve"> »</w:t>
      </w:r>
      <w:r w:rsidR="000C39D1">
        <w:rPr>
          <w:rtl/>
          <w:lang w:bidi="fa-IR"/>
        </w:rPr>
        <w:t>.</w:t>
      </w:r>
      <w:r w:rsidR="000C39D1" w:rsidRPr="00132E65">
        <w:rPr>
          <w:rtl/>
          <w:lang w:bidi="fa-IR"/>
        </w:rPr>
        <w:t xml:space="preserve"> </w:t>
      </w:r>
      <w:r w:rsidR="000C39D1">
        <w:rPr>
          <w:rStyle w:val="libFootnotenumChar"/>
          <w:rtl/>
        </w:rPr>
        <w:t>(5)</w:t>
      </w:r>
      <w:r w:rsidR="000C39D1" w:rsidRPr="00132E65">
        <w:rPr>
          <w:rtl/>
          <w:lang w:bidi="fa-IR"/>
        </w:rPr>
        <w:t xml:space="preserve"> ‌</w:t>
      </w:r>
    </w:p>
    <w:p w:rsidR="000C39D1" w:rsidRPr="00132E65" w:rsidRDefault="000C39D1" w:rsidP="000C39D1">
      <w:pPr>
        <w:pStyle w:val="libNormal"/>
        <w:rPr>
          <w:rtl/>
          <w:lang w:bidi="fa-IR"/>
        </w:rPr>
      </w:pPr>
      <w:r w:rsidRPr="004C5BA9">
        <w:rPr>
          <w:rtl/>
        </w:rPr>
        <w:t>1217</w:t>
      </w:r>
      <w:r w:rsidRPr="004325D8">
        <w:rPr>
          <w:rStyle w:val="libBold2Char"/>
          <w:rtl/>
        </w:rPr>
        <w:t xml:space="preserve"> / 26.</w:t>
      </w:r>
      <w:r w:rsidRPr="00132E65">
        <w:rPr>
          <w:rtl/>
          <w:lang w:bidi="fa-IR"/>
        </w:rPr>
        <w:t xml:space="preserve"> عَلِيُّ بْنُ إِبْرَاهِيمَ ، عَنْ أَبِيهِ ، عَنْ أَحْمَدَ بْنِ مُحَمَّدِ بْنِ أَبِي نَصْرٍ ، عَنْ رِفَاعَةَ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كَانَ عَبْدُ الْمُطَّلِبِ يُفْرَشُ لَهُ بِفِنَاءِ </w:t>
      </w:r>
      <w:r>
        <w:rPr>
          <w:rStyle w:val="libFootnotenumChar"/>
          <w:rtl/>
        </w:rPr>
        <w:t>(6)</w:t>
      </w:r>
      <w:r w:rsidRPr="00132E65">
        <w:rPr>
          <w:rtl/>
          <w:lang w:bidi="fa-IR"/>
        </w:rPr>
        <w:t xml:space="preserve"> الْكَعْبَةِ لَايُفْرَشُ لِأَحَدٍ غَيْرِهِ ، و</w:t>
      </w:r>
      <w:r w:rsidR="005A141A">
        <w:rPr>
          <w:rFonts w:hint="cs"/>
          <w:rtl/>
        </w:rPr>
        <w:t xml:space="preserve">َ </w:t>
      </w:r>
      <w:r w:rsidRPr="00132E65">
        <w:rPr>
          <w:rtl/>
          <w:lang w:bidi="fa-IR"/>
        </w:rPr>
        <w:t>كَانَ لَهُ و</w:t>
      </w:r>
      <w:r w:rsidR="005A141A">
        <w:rPr>
          <w:rFonts w:hint="cs"/>
          <w:rtl/>
          <w:lang w:bidi="fa-IR"/>
        </w:rPr>
        <w:t>ُ</w:t>
      </w:r>
      <w:r w:rsidRPr="00132E65">
        <w:rPr>
          <w:rtl/>
          <w:lang w:bidi="fa-IR"/>
        </w:rPr>
        <w:t xml:space="preserve">لْدٌ يَقُومُونَ عَلى رَأْسِهِ ، فَيَمْنَعُونَ مَنْ دَنَا مِنْهُ ، فَجَاءَ رَسُولُ اللهِ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و</w:t>
      </w:r>
      <w:r w:rsidR="008D5AC4">
        <w:rPr>
          <w:rFonts w:hint="cs"/>
          <w:rtl/>
          <w:lang w:bidi="fa-IR"/>
        </w:rPr>
        <w:t xml:space="preserve">َ </w:t>
      </w:r>
      <w:r w:rsidRPr="00132E65">
        <w:rPr>
          <w:rtl/>
          <w:lang w:bidi="fa-IR"/>
        </w:rPr>
        <w:t xml:space="preserve">هُوَ طِفْلٌ يَدْرُجُ </w:t>
      </w:r>
      <w:r>
        <w:rPr>
          <w:rStyle w:val="libFootnotenumChar"/>
          <w:rtl/>
        </w:rPr>
        <w:t>(7)</w:t>
      </w:r>
      <w:r>
        <w:rPr>
          <w:rtl/>
          <w:lang w:bidi="fa-IR"/>
        </w:rPr>
        <w:t xml:space="preserve"> - </w:t>
      </w:r>
      <w:r w:rsidRPr="00132E65">
        <w:rPr>
          <w:rtl/>
          <w:lang w:bidi="fa-IR"/>
        </w:rPr>
        <w:t xml:space="preserve">حَتّى جَلَسَ عَلى فَخِذَيْهِ ، فَأَهْوى </w:t>
      </w:r>
      <w:r>
        <w:rPr>
          <w:rStyle w:val="libFootnotenumChar"/>
          <w:rtl/>
        </w:rPr>
        <w:t>(8)</w:t>
      </w:r>
      <w:r w:rsidRPr="00132E65">
        <w:rPr>
          <w:rtl/>
          <w:lang w:bidi="fa-IR"/>
        </w:rPr>
        <w:t xml:space="preserve"> بَعْضُهُمْ إِلَيْهِ لِيُنَحِّيَهُ عَنْهُ </w:t>
      </w:r>
      <w:r>
        <w:rPr>
          <w:rStyle w:val="libFootnotenumChar"/>
          <w:rtl/>
        </w:rPr>
        <w:t>(9)</w:t>
      </w:r>
      <w:r w:rsidRPr="00132E65">
        <w:rPr>
          <w:rtl/>
          <w:lang w:bidi="fa-IR"/>
        </w:rPr>
        <w:t xml:space="preserve"> ، فَقَالَ لَهُ عَبْدُ الْمُطَّلِبِ : دَعِ ابْنِي ؛ فَإِنَّ الْمَلَكَ </w:t>
      </w:r>
      <w:r>
        <w:rPr>
          <w:rStyle w:val="libFootnotenumChar"/>
          <w:rtl/>
        </w:rPr>
        <w:t>(10)</w:t>
      </w:r>
      <w:r w:rsidRPr="00132E65">
        <w:rPr>
          <w:rtl/>
          <w:lang w:bidi="fa-IR"/>
        </w:rPr>
        <w:t xml:space="preserve"> قَدْ أَتَاهُ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4C5BA9">
        <w:rPr>
          <w:rtl/>
        </w:rPr>
        <w:t>1218</w:t>
      </w:r>
      <w:r w:rsidRPr="004325D8">
        <w:rPr>
          <w:rStyle w:val="libBold2Char"/>
          <w:rtl/>
        </w:rPr>
        <w:t xml:space="preserve"> / 27.</w:t>
      </w:r>
      <w:r w:rsidRPr="00132E65">
        <w:rPr>
          <w:rtl/>
          <w:lang w:bidi="fa-IR"/>
        </w:rPr>
        <w:t xml:space="preserve"> مُحَمَّدُ بْنُ يَحْيى ، عَنْ سَعْدِ بْنِ عَبْدِ اللهِ ، عَنْ إِبْرَاهِيمَ بْنِ مُحَمَّدٍ الثَّقَفِيِّ ، عَنْ عَلِيِّ بْنِ الْمُعَلّى ، عَنْ أَخِيهِ مُحَمَّدٍ ، عَنْ دُرُسْتَ بْنِ أَبِي مَنْصُورٍ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و</w:t>
      </w:r>
      <w:r w:rsidR="00493156">
        <w:rPr>
          <w:rFonts w:hint="cs"/>
          <w:rtl/>
          <w:lang w:bidi="fa-IR"/>
        </w:rPr>
        <w:t>ُ</w:t>
      </w:r>
      <w:r w:rsidRPr="00132E65">
        <w:rPr>
          <w:rtl/>
          <w:lang w:bidi="fa-IR"/>
        </w:rPr>
        <w:t xml:space="preserve">لِدَ النَّبِيُّ </w:t>
      </w:r>
      <w:r w:rsidRPr="0093484F">
        <w:rPr>
          <w:rStyle w:val="libAlaemChar"/>
          <w:rFonts w:eastAsiaTheme="minorHAnsi"/>
          <w:rtl/>
        </w:rPr>
        <w:t>صلى‌الله‌عليه‌وآله</w:t>
      </w:r>
      <w:r w:rsidRPr="00132E65">
        <w:rPr>
          <w:rtl/>
          <w:lang w:bidi="fa-IR"/>
        </w:rPr>
        <w:t xml:space="preserve"> ، مَكَثَ أَيَّاماً لَيْسَ لَهُ لَبَنٌ ، فَأَلْقَاهُ أَبُو طَالِبٍ عَلى ثَدْيِ نَفْسِهِ ، فَأَنْزَلَ اللهُ فِيهِ لَبَناً ، فَرَضَعَ مِنْهُ أَيَّاماً حَتّى و</w:t>
      </w:r>
      <w:r w:rsidR="00493156">
        <w:rPr>
          <w:rFonts w:hint="cs"/>
          <w:rtl/>
          <w:lang w:bidi="fa-IR"/>
        </w:rPr>
        <w:t>َ</w:t>
      </w:r>
      <w:r w:rsidRPr="00132E65">
        <w:rPr>
          <w:rtl/>
          <w:lang w:bidi="fa-IR"/>
        </w:rPr>
        <w:t>قَعَ أَبُو طَالِبٍ‌</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A2FF7" w:rsidTr="005A2FF7">
        <w:tc>
          <w:tcPr>
            <w:tcW w:w="4006" w:type="dxa"/>
          </w:tcPr>
          <w:p w:rsidR="005A2FF7" w:rsidRDefault="005A2FF7" w:rsidP="005A2FF7">
            <w:pPr>
              <w:pStyle w:val="libFootnote0"/>
              <w:rPr>
                <w:rtl/>
              </w:rPr>
            </w:pPr>
            <w:r>
              <w:rPr>
                <w:rtl/>
              </w:rPr>
              <w:t>(1).</w:t>
            </w:r>
            <w:r w:rsidRPr="00132E65">
              <w:rPr>
                <w:rtl/>
              </w:rPr>
              <w:t>في«ب،ج،بف»و</w:t>
            </w:r>
            <w:r w:rsidRPr="009D1ACE">
              <w:rPr>
                <w:rStyle w:val="libFootnoteBoldChar"/>
                <w:rtl/>
              </w:rPr>
              <w:t>الوافي</w:t>
            </w:r>
            <w:r w:rsidRPr="00132E65">
              <w:rPr>
                <w:rtl/>
              </w:rPr>
              <w:t>:</w:t>
            </w:r>
            <w:r>
              <w:rPr>
                <w:rtl/>
              </w:rPr>
              <w:t>+</w:t>
            </w:r>
            <w:r w:rsidRPr="00132E65">
              <w:rPr>
                <w:rtl/>
              </w:rPr>
              <w:t>«فأخبرهم»</w:t>
            </w:r>
            <w:r>
              <w:rPr>
                <w:rtl/>
              </w:rPr>
              <w:t>.</w:t>
            </w:r>
          </w:p>
        </w:tc>
        <w:tc>
          <w:tcPr>
            <w:tcW w:w="4006" w:type="dxa"/>
          </w:tcPr>
          <w:p w:rsidR="005A2FF7" w:rsidRDefault="005A2FF7" w:rsidP="000C39D1">
            <w:pPr>
              <w:pStyle w:val="libFootnote0"/>
              <w:rPr>
                <w:rtl/>
              </w:rPr>
            </w:pPr>
            <w:r>
              <w:rPr>
                <w:rtl/>
              </w:rPr>
              <w:t>(2).</w:t>
            </w:r>
            <w:r w:rsidRPr="00132E65">
              <w:rPr>
                <w:rtl/>
              </w:rPr>
              <w:t xml:space="preserve"> في « ف » : « أن خبرهم »</w:t>
            </w:r>
            <w:r>
              <w:rPr>
                <w:rtl/>
              </w:rPr>
              <w:t>.</w:t>
            </w:r>
          </w:p>
        </w:tc>
      </w:tr>
      <w:tr w:rsidR="005A2FF7" w:rsidTr="005A2FF7">
        <w:tc>
          <w:tcPr>
            <w:tcW w:w="4006" w:type="dxa"/>
          </w:tcPr>
          <w:p w:rsidR="005A2FF7" w:rsidRDefault="005A2FF7" w:rsidP="000C39D1">
            <w:pPr>
              <w:pStyle w:val="libFootnote0"/>
              <w:rPr>
                <w:rtl/>
              </w:rPr>
            </w:pPr>
            <w:r>
              <w:rPr>
                <w:rtl/>
              </w:rPr>
              <w:t>(3).</w:t>
            </w:r>
            <w:r w:rsidRPr="00132E65">
              <w:rPr>
                <w:rtl/>
              </w:rPr>
              <w:t xml:space="preserve"> في « بف » : « القيت »</w:t>
            </w:r>
            <w:r>
              <w:rPr>
                <w:rtl/>
              </w:rPr>
              <w:t>.</w:t>
            </w:r>
          </w:p>
        </w:tc>
        <w:tc>
          <w:tcPr>
            <w:tcW w:w="4006" w:type="dxa"/>
          </w:tcPr>
          <w:p w:rsidR="005A2FF7" w:rsidRDefault="005A2FF7" w:rsidP="000C39D1">
            <w:pPr>
              <w:pStyle w:val="libFootnote0"/>
              <w:rPr>
                <w:rtl/>
              </w:rPr>
            </w:pPr>
            <w:r>
              <w:rPr>
                <w:rtl/>
              </w:rPr>
              <w:t>(4).</w:t>
            </w:r>
            <w:r w:rsidRPr="00132E65">
              <w:rPr>
                <w:rtl/>
              </w:rPr>
              <w:t xml:space="preserve"> في « ج » : « فقتله »</w:t>
            </w:r>
            <w:r>
              <w:rPr>
                <w:rtl/>
              </w:rPr>
              <w:t>.</w:t>
            </w:r>
          </w:p>
        </w:tc>
      </w:tr>
    </w:tbl>
    <w:p w:rsidR="000C39D1" w:rsidRPr="00132E65" w:rsidRDefault="000C39D1" w:rsidP="000C39D1">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كتاب الحجّ ، باب ورود تبّع وأصحاب الفيل البيت</w:t>
      </w:r>
      <w:r>
        <w:rPr>
          <w:rtl/>
        </w:rPr>
        <w:t xml:space="preserve"> ..</w:t>
      </w:r>
      <w:r w:rsidRPr="00132E65">
        <w:rPr>
          <w:rtl/>
        </w:rPr>
        <w:t xml:space="preserve">. ، ح 6760 ، عن عدّة من أصحابنا ، عن أحمد بن محمّد ، عن ابن أبي عمير ، عن محمّد بن حمران وهشام بن سالم ، عن أبي عبدالله </w:t>
      </w:r>
      <w:r w:rsidRPr="00F665F2">
        <w:rPr>
          <w:rStyle w:val="libFootnoteAlaemChar"/>
          <w:rtl/>
        </w:rPr>
        <w:t>عليه‌السلام</w:t>
      </w:r>
      <w:r w:rsidRPr="00132E65">
        <w:rPr>
          <w:rtl/>
        </w:rPr>
        <w:t xml:space="preserve"> ، مع اختلاف يسير </w:t>
      </w:r>
      <w:r w:rsidR="00AD787A">
        <w:rPr>
          <w:rFonts w:hint="cs"/>
          <w:rtl/>
        </w:rPr>
        <w:t xml:space="preserve">. </w:t>
      </w:r>
      <w:r w:rsidRPr="009D1ACE">
        <w:rPr>
          <w:rStyle w:val="libFootnoteBoldChar"/>
          <w:rtl/>
        </w:rPr>
        <w:t>الوافي</w:t>
      </w:r>
      <w:r w:rsidRPr="00132E65">
        <w:rPr>
          <w:rtl/>
        </w:rPr>
        <w:t xml:space="preserve"> ، ج 3 ، ص 695 ، ح 1302 ؛ </w:t>
      </w:r>
      <w:r w:rsidRPr="004C5BA9">
        <w:rPr>
          <w:rtl/>
        </w:rPr>
        <w:t>البحار</w:t>
      </w:r>
      <w:r w:rsidRPr="00132E65">
        <w:rPr>
          <w:rtl/>
        </w:rPr>
        <w:t xml:space="preserve"> ، ج 15 ، ص 158 ، ح 87.</w:t>
      </w:r>
    </w:p>
    <w:p w:rsidR="000C39D1" w:rsidRPr="00132E65" w:rsidRDefault="000C39D1" w:rsidP="000C39D1">
      <w:pPr>
        <w:pStyle w:val="libFootnote0"/>
        <w:rPr>
          <w:rtl/>
          <w:lang w:bidi="fa-IR"/>
        </w:rPr>
      </w:pPr>
      <w:r>
        <w:rPr>
          <w:rtl/>
        </w:rPr>
        <w:t>(6).</w:t>
      </w:r>
      <w:r w:rsidRPr="00132E65">
        <w:rPr>
          <w:rtl/>
        </w:rPr>
        <w:t xml:space="preserve"> قال الجوهري : « فناء الدار : ما امتدّ من جوانبها »</w:t>
      </w:r>
      <w:r>
        <w:rPr>
          <w:rtl/>
        </w:rPr>
        <w:t>.</w:t>
      </w:r>
      <w:r w:rsidRPr="00132E65">
        <w:rPr>
          <w:rtl/>
        </w:rPr>
        <w:t xml:space="preserve"> وقال ابن الأثير : « الفِناءُ : هو المتّسع أمام الدار »</w:t>
      </w:r>
      <w:r>
        <w:rPr>
          <w:rtl/>
        </w:rPr>
        <w:t>.</w:t>
      </w:r>
      <w:r w:rsidRPr="00132E65">
        <w:rPr>
          <w:rtl/>
        </w:rPr>
        <w:t xml:space="preserve"> راجع : </w:t>
      </w:r>
      <w:r w:rsidRPr="004C5BA9">
        <w:rPr>
          <w:rtl/>
        </w:rPr>
        <w:t>الصحاح</w:t>
      </w:r>
      <w:r w:rsidRPr="00132E65">
        <w:rPr>
          <w:rtl/>
        </w:rPr>
        <w:t xml:space="preserve"> ، ج 6 ، ص 2457 ؛ </w:t>
      </w:r>
      <w:r w:rsidRPr="004C5BA9">
        <w:rPr>
          <w:rtl/>
        </w:rPr>
        <w:t>النهاية</w:t>
      </w:r>
      <w:r w:rsidRPr="00132E65">
        <w:rPr>
          <w:rtl/>
        </w:rPr>
        <w:t xml:space="preserve"> ، ج 3 ، ص 477 ( فنى )</w:t>
      </w:r>
      <w:r>
        <w:rPr>
          <w:rtl/>
        </w:rPr>
        <w:t>.</w:t>
      </w:r>
    </w:p>
    <w:p w:rsidR="000C39D1" w:rsidRPr="00132E65" w:rsidRDefault="000C39D1" w:rsidP="000C39D1">
      <w:pPr>
        <w:pStyle w:val="libFootnote0"/>
        <w:rPr>
          <w:rtl/>
          <w:lang w:bidi="fa-IR"/>
        </w:rPr>
      </w:pPr>
      <w:r>
        <w:rPr>
          <w:rtl/>
        </w:rPr>
        <w:t>(7).</w:t>
      </w:r>
      <w:r w:rsidRPr="00132E65">
        <w:rPr>
          <w:rtl/>
        </w:rPr>
        <w:t xml:space="preserve"> دَرَجَ الصبيّ يَدْرُجُ دُرُوجاً : مشى قليلاً في أوّل ما يمشي. </w:t>
      </w:r>
      <w:r w:rsidRPr="004C5BA9">
        <w:rPr>
          <w:rtl/>
        </w:rPr>
        <w:t>المصباح المنير</w:t>
      </w:r>
      <w:r w:rsidRPr="00132E65">
        <w:rPr>
          <w:rtl/>
        </w:rPr>
        <w:t xml:space="preserve"> ، ص 191 ( درج )</w:t>
      </w:r>
      <w:r>
        <w:rPr>
          <w:rtl/>
        </w:rPr>
        <w:t>.</w:t>
      </w:r>
    </w:p>
    <w:p w:rsidR="000C39D1" w:rsidRPr="00132E65" w:rsidRDefault="000C39D1" w:rsidP="00AD787A">
      <w:pPr>
        <w:pStyle w:val="libFootnote0"/>
        <w:rPr>
          <w:rtl/>
          <w:lang w:bidi="fa-IR"/>
        </w:rPr>
      </w:pPr>
      <w:r>
        <w:rPr>
          <w:rtl/>
        </w:rPr>
        <w:t>(8).</w:t>
      </w:r>
      <w:r w:rsidRPr="00132E65">
        <w:rPr>
          <w:rtl/>
        </w:rPr>
        <w:t xml:space="preserve"> أَهْوى إلى الشي‌ء بيده : مدّها ليأخذه إذا كان عن قرب ، فإن كان عن بعد قيل : هوى إليه بغير ألف. </w:t>
      </w:r>
      <w:r w:rsidRPr="004C5BA9">
        <w:rPr>
          <w:rtl/>
        </w:rPr>
        <w:t>المصباح المنير</w:t>
      </w:r>
      <w:r w:rsidRPr="00132E65">
        <w:rPr>
          <w:rtl/>
        </w:rPr>
        <w:t xml:space="preserve"> ، ص 643 ( هوى )</w:t>
      </w:r>
      <w:r>
        <w:rPr>
          <w:rtl/>
        </w:rPr>
        <w:t>.</w:t>
      </w:r>
      <w:r w:rsidR="00AD787A">
        <w:rPr>
          <w:rFonts w:hint="cs"/>
          <w:rtl/>
        </w:rPr>
        <w:t xml:space="preserve">                                   </w:t>
      </w:r>
      <w:r>
        <w:rPr>
          <w:rtl/>
        </w:rPr>
        <w:t>(9).</w:t>
      </w:r>
      <w:r w:rsidRPr="00132E65">
        <w:rPr>
          <w:rtl/>
        </w:rPr>
        <w:t xml:space="preserve"> في « ف » : « منه »</w:t>
      </w:r>
      <w:r>
        <w:rPr>
          <w:rtl/>
        </w:rPr>
        <w:t>.</w:t>
      </w:r>
    </w:p>
    <w:p w:rsidR="000C39D1" w:rsidRPr="00132E65" w:rsidRDefault="000C39D1" w:rsidP="000C39D1">
      <w:pPr>
        <w:pStyle w:val="libFootnote0"/>
        <w:rPr>
          <w:rtl/>
          <w:lang w:bidi="fa-IR"/>
        </w:rPr>
      </w:pPr>
      <w:r>
        <w:rPr>
          <w:rtl/>
        </w:rPr>
        <w:t>(10).</w:t>
      </w:r>
      <w:r w:rsidR="00AD787A">
        <w:rPr>
          <w:rtl/>
        </w:rPr>
        <w:t xml:space="preserve"> احتمل العل</w:t>
      </w:r>
      <w:r w:rsidR="00AD787A">
        <w:rPr>
          <w:rFonts w:hint="cs"/>
          <w:rtl/>
        </w:rPr>
        <w:t>ّ</w:t>
      </w:r>
      <w:r w:rsidR="00AD787A">
        <w:rPr>
          <w:rtl/>
        </w:rPr>
        <w:t>ا</w:t>
      </w:r>
      <w:r w:rsidRPr="00132E65">
        <w:rPr>
          <w:rtl/>
        </w:rPr>
        <w:t xml:space="preserve">مة </w:t>
      </w:r>
      <w:r w:rsidR="00D4705D">
        <w:rPr>
          <w:rtl/>
        </w:rPr>
        <w:t>المازندراني والمجلسي كون « الم</w:t>
      </w:r>
      <w:r w:rsidR="00D4705D">
        <w:rPr>
          <w:rFonts w:hint="cs"/>
          <w:rtl/>
        </w:rPr>
        <w:t>ـُل</w:t>
      </w:r>
      <w:r w:rsidRPr="00132E65">
        <w:rPr>
          <w:rtl/>
        </w:rPr>
        <w:t>ْك » بضمّ الميم وسكون اللام.</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قد أتاه ، إمّا من الإيتاء ؛ يعني أنّه لم يأت إلينا بنفسه بل إنّما أتى به الملك ، أو من الإتيان ؛ يعني قد أتى إليه الملك ، فله شأن من الشأن »</w:t>
      </w:r>
      <w:r>
        <w:rPr>
          <w:rtl/>
        </w:rPr>
        <w:t>.</w:t>
      </w:r>
    </w:p>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3 ، ص 696 ، ح 1303 ؛ </w:t>
      </w:r>
      <w:r w:rsidRPr="004C5BA9">
        <w:rPr>
          <w:rtl/>
        </w:rPr>
        <w:t>البحار</w:t>
      </w:r>
      <w:r w:rsidRPr="00132E65">
        <w:rPr>
          <w:rtl/>
        </w:rPr>
        <w:t xml:space="preserve"> ، ج 15 ، ص 159 ، ح 88.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عَلى حَلِيمَةَ السَّعْدِيَّةِ ، فَدَفَعَهُ إِلَيْهَا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4C5BA9">
        <w:rPr>
          <w:rtl/>
        </w:rPr>
        <w:t>1219</w:t>
      </w:r>
      <w:r w:rsidRPr="004325D8">
        <w:rPr>
          <w:rStyle w:val="libBold2Char"/>
          <w:rtl/>
        </w:rPr>
        <w:t xml:space="preserve"> / 28.</w:t>
      </w:r>
      <w:r w:rsidRPr="00132E65">
        <w:rPr>
          <w:rtl/>
          <w:lang w:bidi="fa-IR"/>
        </w:rPr>
        <w:t xml:space="preserve"> عَلِيُّ بْنُ إِبْرَاهِيمَ ، عَنْ أَبِيهِ ، عَنِ ابْنِ أَبِي عُمَيْرٍ ، عَنْ هِشَامِ بْنِ سَالِمٍ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مَثَلَ أَبِي طَالِبٍ مَثَلُ أَصْحَابِ الْكَهْفِ ، أَسَرُّوا الْإِيمَانَ و</w:t>
      </w:r>
      <w:r w:rsidR="00053130">
        <w:rPr>
          <w:rFonts w:hint="cs"/>
          <w:rtl/>
          <w:lang w:bidi="fa-IR"/>
        </w:rPr>
        <w:t xml:space="preserve">َ </w:t>
      </w:r>
      <w:r w:rsidRPr="00132E65">
        <w:rPr>
          <w:rtl/>
          <w:lang w:bidi="fa-IR"/>
        </w:rPr>
        <w:t>أَظْهَرُوا الشِّرْكَ ، فَآتَاهُمُ اللهُ أَجْرَهُمْ مَرَّتَيْنِ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C5BA9">
        <w:rPr>
          <w:rtl/>
        </w:rPr>
        <w:t>1220</w:t>
      </w:r>
      <w:r w:rsidRPr="004325D8">
        <w:rPr>
          <w:rStyle w:val="libBold2Char"/>
          <w:rtl/>
        </w:rPr>
        <w:t xml:space="preserve"> / 29.</w:t>
      </w:r>
      <w:r w:rsidRPr="00132E65">
        <w:rPr>
          <w:rtl/>
          <w:lang w:bidi="fa-IR"/>
        </w:rPr>
        <w:t xml:space="preserve"> الْحُسَيْنُ بْنُ مُحَمَّدٍ و</w:t>
      </w:r>
      <w:r w:rsidR="00302F3D">
        <w:rPr>
          <w:rFonts w:hint="cs"/>
          <w:rtl/>
          <w:lang w:bidi="fa-IR"/>
        </w:rPr>
        <w:t>َ</w:t>
      </w:r>
      <w:r w:rsidR="00021095">
        <w:rPr>
          <w:rFonts w:hint="cs"/>
          <w:rtl/>
          <w:lang w:bidi="fa-IR"/>
        </w:rPr>
        <w:t xml:space="preserve"> </w:t>
      </w:r>
      <w:r w:rsidRPr="00132E65">
        <w:rPr>
          <w:rtl/>
          <w:lang w:bidi="fa-IR"/>
        </w:rPr>
        <w:t>مُحَمَّدُ بْنُ يَحْيى ، عَنْ أَحْمَدَ بْنِ إِسْحَاقَ ، عَنْ بَكْرِ بْنِ مُحَمَّدٍ الْأَزْدِيِّ :</w:t>
      </w:r>
    </w:p>
    <w:p w:rsidR="000C39D1" w:rsidRDefault="000C39D1" w:rsidP="000C39D1">
      <w:pPr>
        <w:pStyle w:val="libNormal"/>
        <w:rPr>
          <w:rtl/>
          <w:lang w:bidi="fa-IR"/>
        </w:rPr>
      </w:pPr>
      <w:r w:rsidRPr="00132E65">
        <w:rPr>
          <w:rtl/>
          <w:lang w:bidi="fa-IR"/>
        </w:rPr>
        <w:t xml:space="preserve">عَنْ إِسْحَاقَ بْنِ جَعْفَرٍ ، عَنْ أَبِيهِ </w:t>
      </w:r>
      <w:r w:rsidRPr="00071CF9">
        <w:rPr>
          <w:rStyle w:val="libAlaemChar"/>
          <w:rtl/>
        </w:rPr>
        <w:t>عليه‌السلام</w:t>
      </w:r>
      <w:r w:rsidRPr="00132E65">
        <w:rPr>
          <w:rtl/>
          <w:lang w:bidi="fa-IR"/>
        </w:rPr>
        <w:t xml:space="preserve"> ، قَالَ : قِيلَ لَهُ : إِنَّهُمْ يَزْعُمُونَ أَنَّ أَبَا طَالِبٍ كَانَ كَافِراً</w:t>
      </w:r>
      <w:r>
        <w:rPr>
          <w:rtl/>
          <w:lang w:bidi="fa-IR"/>
        </w:rPr>
        <w:t>؟</w:t>
      </w:r>
      <w:r w:rsidRPr="00132E65">
        <w:rPr>
          <w:rtl/>
          <w:lang w:bidi="fa-IR"/>
        </w:rPr>
        <w:t xml:space="preserve"> فَقَالَ : « كَذَبُوا ؛ كَيْفَ يَكُونُ كَافِراً و</w:t>
      </w:r>
      <w:r w:rsidR="00021095">
        <w:rPr>
          <w:rFonts w:hint="cs"/>
          <w:rtl/>
          <w:lang w:bidi="fa-IR"/>
        </w:rPr>
        <w:t xml:space="preserve">َ </w:t>
      </w:r>
      <w:r w:rsidRPr="00132E65">
        <w:rPr>
          <w:rtl/>
          <w:lang w:bidi="fa-IR"/>
        </w:rPr>
        <w:t>هُوَ يَقُولُ :</w:t>
      </w:r>
    </w:p>
    <w:tbl>
      <w:tblPr>
        <w:tblStyle w:val="TableGrid"/>
        <w:bidiVisual/>
        <w:tblW w:w="4562" w:type="pct"/>
        <w:tblInd w:w="384" w:type="dxa"/>
        <w:tblLook w:val="01E0" w:firstRow="1" w:lastRow="1" w:firstColumn="1" w:lastColumn="1" w:noHBand="0" w:noVBand="0"/>
      </w:tblPr>
      <w:tblGrid>
        <w:gridCol w:w="4797"/>
        <w:gridCol w:w="341"/>
        <w:gridCol w:w="4749"/>
      </w:tblGrid>
      <w:tr w:rsidR="005D124E" w:rsidTr="005D124E">
        <w:trPr>
          <w:trHeight w:val="350"/>
        </w:trPr>
        <w:tc>
          <w:tcPr>
            <w:tcW w:w="3920" w:type="dxa"/>
            <w:hideMark/>
          </w:tcPr>
          <w:p w:rsidR="005D124E" w:rsidRDefault="005D124E">
            <w:pPr>
              <w:pStyle w:val="libPoem"/>
            </w:pPr>
            <w:r>
              <w:rPr>
                <w:rtl/>
              </w:rPr>
              <w:t>أَ</w:t>
            </w:r>
            <w:r w:rsidRPr="00F1071A">
              <w:rPr>
                <w:rtl/>
              </w:rPr>
              <w:t xml:space="preserve">لَمْ تَعْلَمُوا </w:t>
            </w:r>
            <w:r>
              <w:rPr>
                <w:rStyle w:val="libFootnotenumChar"/>
                <w:rtl/>
              </w:rPr>
              <w:t>(4)</w:t>
            </w:r>
            <w:r w:rsidRPr="00F1071A">
              <w:rPr>
                <w:rtl/>
              </w:rPr>
              <w:t xml:space="preserve"> أَنَّا و</w:t>
            </w:r>
            <w:r w:rsidR="003B580F">
              <w:rPr>
                <w:rFonts w:hint="cs"/>
                <w:rtl/>
              </w:rPr>
              <w:t>َ</w:t>
            </w:r>
            <w:r w:rsidRPr="00F1071A">
              <w:rPr>
                <w:rtl/>
              </w:rPr>
              <w:t>جَدْنَا مُحَمَّداً</w:t>
            </w:r>
            <w:r>
              <w:rPr>
                <w:rStyle w:val="libPoemTiniChar0"/>
                <w:rtl/>
              </w:rPr>
              <w:br/>
              <w:t> </w:t>
            </w:r>
          </w:p>
        </w:tc>
        <w:tc>
          <w:tcPr>
            <w:tcW w:w="279" w:type="dxa"/>
          </w:tcPr>
          <w:p w:rsidR="005D124E" w:rsidRDefault="005D124E">
            <w:pPr>
              <w:pStyle w:val="libPoem"/>
            </w:pPr>
          </w:p>
        </w:tc>
        <w:tc>
          <w:tcPr>
            <w:tcW w:w="3881" w:type="dxa"/>
            <w:hideMark/>
          </w:tcPr>
          <w:p w:rsidR="005D124E" w:rsidRDefault="005D124E">
            <w:pPr>
              <w:pStyle w:val="libPoem"/>
            </w:pPr>
            <w:r w:rsidRPr="00F1071A">
              <w:rPr>
                <w:rtl/>
              </w:rPr>
              <w:t>نَبِيّاً كَمُوسى خُطَّ فِي أَوَّلِ الْكُتُبِ</w:t>
            </w:r>
            <w:r>
              <w:rPr>
                <w:rFonts w:hint="cs"/>
                <w:rtl/>
              </w:rPr>
              <w:t xml:space="preserve"> </w:t>
            </w:r>
            <w:r>
              <w:rPr>
                <w:rStyle w:val="libFootnotenumChar"/>
                <w:rtl/>
              </w:rPr>
              <w:t>(5)</w:t>
            </w:r>
            <w:r w:rsidRPr="00F1071A">
              <w:rPr>
                <w:rtl/>
              </w:rPr>
              <w:t>؟</w:t>
            </w:r>
            <w:r>
              <w:rPr>
                <w:rtl/>
              </w:rPr>
              <w:t>!</w:t>
            </w:r>
            <w:r>
              <w:rPr>
                <w:rStyle w:val="libPoemTiniChar0"/>
                <w:rtl/>
              </w:rPr>
              <w:br/>
              <w:t> </w:t>
            </w:r>
          </w:p>
        </w:tc>
      </w:tr>
    </w:tbl>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4E2FB4">
        <w:rPr>
          <w:rtl/>
        </w:rPr>
        <w:t>الحديث</w:t>
      </w:r>
      <w:r w:rsidRPr="00132E65">
        <w:rPr>
          <w:rtl/>
        </w:rPr>
        <w:t xml:space="preserve"> لايخلو عن غرابة ، وفي سنده عليّ بن أبي حمزة البطائني الذي روى الكشّي في ذمّه أخباراً كثيرة. راجع </w:t>
      </w:r>
      <w:r w:rsidRPr="004C5BA9">
        <w:rPr>
          <w:rtl/>
        </w:rPr>
        <w:t>رجال الكشّي</w:t>
      </w:r>
      <w:r w:rsidRPr="00132E65">
        <w:rPr>
          <w:rtl/>
        </w:rPr>
        <w:t xml:space="preserve"> ، ص 403</w:t>
      </w:r>
      <w:r>
        <w:rPr>
          <w:rtl/>
        </w:rPr>
        <w:t xml:space="preserve"> - </w:t>
      </w:r>
      <w:r w:rsidRPr="00132E65">
        <w:rPr>
          <w:rtl/>
        </w:rPr>
        <w:t>405 ، ح 754</w:t>
      </w:r>
      <w:r>
        <w:rPr>
          <w:rtl/>
        </w:rPr>
        <w:t xml:space="preserve"> - </w:t>
      </w:r>
      <w:r w:rsidRPr="00132E65">
        <w:rPr>
          <w:rtl/>
        </w:rPr>
        <w:t>760 ؛ وص 443</w:t>
      </w:r>
      <w:r>
        <w:rPr>
          <w:rtl/>
        </w:rPr>
        <w:t xml:space="preserve"> - </w:t>
      </w:r>
      <w:r w:rsidRPr="00132E65">
        <w:rPr>
          <w:rtl/>
        </w:rPr>
        <w:t>445 ، ح 832</w:t>
      </w:r>
      <w:r>
        <w:rPr>
          <w:rtl/>
        </w:rPr>
        <w:t xml:space="preserve"> - </w:t>
      </w:r>
      <w:r w:rsidRPr="00132E65">
        <w:rPr>
          <w:rtl/>
        </w:rPr>
        <w:t>838.</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698 ، ح 1304 ؛ </w:t>
      </w:r>
      <w:r w:rsidRPr="004C5BA9">
        <w:rPr>
          <w:rtl/>
        </w:rPr>
        <w:t>البحار</w:t>
      </w:r>
      <w:r w:rsidRPr="00132E65">
        <w:rPr>
          <w:rtl/>
        </w:rPr>
        <w:t xml:space="preserve"> ، ج 15 ، ص 340 ، ح 11 ؛ وج 35 ، ص 136 ، ح 80.</w:t>
      </w:r>
    </w:p>
    <w:p w:rsidR="000C39D1" w:rsidRPr="00132E65" w:rsidRDefault="000C39D1" w:rsidP="000C39D1">
      <w:pPr>
        <w:pStyle w:val="libFootnote0"/>
        <w:rPr>
          <w:rtl/>
          <w:lang w:bidi="fa-IR"/>
        </w:rPr>
      </w:pPr>
      <w:r>
        <w:rPr>
          <w:rtl/>
        </w:rPr>
        <w:t>(3).</w:t>
      </w:r>
      <w:r w:rsidRPr="00132E65">
        <w:rPr>
          <w:rtl/>
        </w:rPr>
        <w:t xml:space="preserve"> </w:t>
      </w:r>
      <w:r w:rsidRPr="00ED3085">
        <w:rPr>
          <w:rtl/>
        </w:rPr>
        <w:t>الأمالي</w:t>
      </w:r>
      <w:r w:rsidRPr="00132E65">
        <w:rPr>
          <w:rtl/>
        </w:rPr>
        <w:t xml:space="preserve"> للصدوق ، ص 615 ، المجلس 89 ، ح 12 ، بسند آخر ؛ </w:t>
      </w:r>
      <w:r w:rsidRPr="00ED3085">
        <w:rPr>
          <w:rtl/>
        </w:rPr>
        <w:t>معاني الأخبار</w:t>
      </w:r>
      <w:r w:rsidRPr="00132E65">
        <w:rPr>
          <w:rtl/>
        </w:rPr>
        <w:t xml:space="preserve"> ، ص 285 ، ح 1 ، بسند آخر ، مع زيادة في أوّله. </w:t>
      </w:r>
      <w:r w:rsidRPr="00ED3085">
        <w:rPr>
          <w:rtl/>
        </w:rPr>
        <w:t>الاختصاص</w:t>
      </w:r>
      <w:r w:rsidRPr="00132E65">
        <w:rPr>
          <w:rtl/>
        </w:rPr>
        <w:t xml:space="preserve"> ، ص 241 ، مرسلاً عن أبي عبد الله </w:t>
      </w:r>
      <w:r w:rsidRPr="003B580F">
        <w:rPr>
          <w:rStyle w:val="libFootnoteAlaemChar"/>
          <w:rtl/>
        </w:rPr>
        <w:t>عليه‌السلام</w:t>
      </w:r>
      <w:r w:rsidRPr="00132E65">
        <w:rPr>
          <w:rtl/>
        </w:rPr>
        <w:t xml:space="preserve"> ؛ </w:t>
      </w:r>
      <w:r w:rsidRPr="00ED3085">
        <w:rPr>
          <w:rtl/>
        </w:rPr>
        <w:t>الأمالي</w:t>
      </w:r>
      <w:r w:rsidRPr="00132E65">
        <w:rPr>
          <w:rtl/>
        </w:rPr>
        <w:t xml:space="preserve"> للصدوق ، ص 615 ، المجلس 89 ، ح 11 ، بسند آخر ، عن سعيد بن جبير ، عن عبد الله بن عبّاس من دون الإسناد إلى المعصوم </w:t>
      </w:r>
      <w:r w:rsidRPr="003B580F">
        <w:rPr>
          <w:rStyle w:val="libFootnoteAlaemChar"/>
          <w:rtl/>
        </w:rPr>
        <w:t>عليه‌السلام</w:t>
      </w:r>
      <w:r w:rsidRPr="00132E65">
        <w:rPr>
          <w:rtl/>
        </w:rPr>
        <w:t xml:space="preserve"> ، مع زيادة في أوّله </w:t>
      </w:r>
      <w:r w:rsidR="003B580F">
        <w:rPr>
          <w:rFonts w:hint="cs"/>
          <w:rtl/>
        </w:rPr>
        <w:t>.</w:t>
      </w:r>
      <w:r w:rsidRPr="009D1ACE">
        <w:rPr>
          <w:rStyle w:val="libFootnoteBoldChar"/>
          <w:rtl/>
        </w:rPr>
        <w:t>الوافي</w:t>
      </w:r>
      <w:r w:rsidRPr="00132E65">
        <w:rPr>
          <w:rtl/>
        </w:rPr>
        <w:t xml:space="preserve"> ، ج 3 ، ص 698 ، ح 1305 ؛ </w:t>
      </w:r>
      <w:r w:rsidRPr="00ED3085">
        <w:rPr>
          <w:rtl/>
        </w:rPr>
        <w:t>الوسائل</w:t>
      </w:r>
      <w:r w:rsidRPr="00132E65">
        <w:rPr>
          <w:rtl/>
        </w:rPr>
        <w:t xml:space="preserve"> ، ج 16 ، ص 225 ، ح 21422.</w:t>
      </w:r>
    </w:p>
    <w:p w:rsidR="000C39D1" w:rsidRPr="00132E65" w:rsidRDefault="000C39D1" w:rsidP="000C39D1">
      <w:pPr>
        <w:pStyle w:val="libFootnote0"/>
        <w:rPr>
          <w:rtl/>
          <w:lang w:bidi="fa-IR"/>
        </w:rPr>
      </w:pPr>
      <w:r>
        <w:rPr>
          <w:rtl/>
        </w:rPr>
        <w:t>(4). في « بس » : « أ</w:t>
      </w:r>
      <w:r w:rsidRPr="00132E65">
        <w:rPr>
          <w:rtl/>
        </w:rPr>
        <w:t>لم يعلموا »</w:t>
      </w:r>
      <w:r>
        <w:rPr>
          <w:rtl/>
        </w:rPr>
        <w:t>.</w:t>
      </w:r>
    </w:p>
    <w:p w:rsidR="000C39D1" w:rsidRPr="00132E65" w:rsidRDefault="000C39D1" w:rsidP="00FB78C6">
      <w:pPr>
        <w:pStyle w:val="libFootnote0"/>
        <w:rPr>
          <w:rtl/>
          <w:lang w:bidi="fa-IR"/>
        </w:rPr>
      </w:pPr>
      <w:r>
        <w:rPr>
          <w:rtl/>
        </w:rPr>
        <w:t>(5).</w:t>
      </w:r>
      <w:r w:rsidRPr="00132E65">
        <w:rPr>
          <w:rtl/>
        </w:rPr>
        <w:t xml:space="preserve"> الوزن : بحر طويل. والقائل : أبوطالب </w:t>
      </w:r>
      <w:r w:rsidR="00FB78C6" w:rsidRPr="00FB78C6">
        <w:rPr>
          <w:rStyle w:val="libFootnoteAlaemChar"/>
          <w:rtl/>
        </w:rPr>
        <w:t>رضي‌الله‌عنه</w:t>
      </w:r>
      <w:r w:rsidRPr="00132E65">
        <w:rPr>
          <w:rtl/>
        </w:rPr>
        <w:t xml:space="preserve"> ، وهو عبدمناف بن عبدالمطلّب بن هاشم وقد تقدّمت ترجمته مختصرة في </w:t>
      </w:r>
      <w:r w:rsidRPr="000577A7">
        <w:rPr>
          <w:rStyle w:val="libFootnoteBoldChar"/>
          <w:rtl/>
        </w:rPr>
        <w:t>الكافي</w:t>
      </w:r>
      <w:r w:rsidRPr="00132E65">
        <w:rPr>
          <w:rtl/>
        </w:rPr>
        <w:t xml:space="preserve"> ، ذيل ح 327.</w:t>
      </w:r>
    </w:p>
    <w:p w:rsidR="000C39D1" w:rsidRPr="00287C15" w:rsidRDefault="000C39D1" w:rsidP="000C39D1">
      <w:pPr>
        <w:pStyle w:val="libFootnote0"/>
        <w:rPr>
          <w:rtl/>
        </w:rPr>
      </w:pPr>
      <w:r w:rsidRPr="00287C15">
        <w:rPr>
          <w:rtl/>
        </w:rPr>
        <w:t>وهذا البيت من قصيدة قالها أبوطالب حين تظاهرت قريش على رسول الله</w:t>
      </w:r>
      <w:r w:rsidRPr="00071CF9">
        <w:rPr>
          <w:rStyle w:val="libAlaemChar"/>
          <w:rtl/>
        </w:rPr>
        <w:t xml:space="preserve"> </w:t>
      </w:r>
      <w:r w:rsidRPr="00DD386D">
        <w:rPr>
          <w:rStyle w:val="libFootnoteAlaemChar"/>
          <w:rFonts w:eastAsiaTheme="minorHAnsi"/>
          <w:rtl/>
        </w:rPr>
        <w:t>صلى‌الله‌عليه‌وآله</w:t>
      </w:r>
      <w:r w:rsidRPr="00132E65">
        <w:rPr>
          <w:rtl/>
          <w:lang w:bidi="fa-IR"/>
        </w:rPr>
        <w:t xml:space="preserve"> </w:t>
      </w:r>
      <w:r w:rsidRPr="00287C15">
        <w:rPr>
          <w:rtl/>
        </w:rPr>
        <w:t xml:space="preserve">واستدلّ به الإمام الصادق </w:t>
      </w:r>
      <w:r w:rsidRPr="00DD386D">
        <w:rPr>
          <w:rStyle w:val="libFootnoteAlaemChar"/>
          <w:rtl/>
        </w:rPr>
        <w:t>عليه‌السلام</w:t>
      </w:r>
      <w:r w:rsidRPr="00287C15">
        <w:rPr>
          <w:rtl/>
        </w:rPr>
        <w:t xml:space="preserve"> على إيمان أبي طالب. واستدلّ به الشيخ المفيد لنفس الغرض في إيمان أبي طالب ، ص 33 ، فقد قال بعد إيراده : « وفي هذا الشعر والذي قبله محض الإقرار برسول الله </w:t>
      </w:r>
      <w:r w:rsidRPr="00C17CD8">
        <w:rPr>
          <w:rStyle w:val="libFootnoteAlaemChar"/>
          <w:rFonts w:eastAsiaTheme="minorHAnsi"/>
          <w:rtl/>
        </w:rPr>
        <w:t>صلى‌الله‌عليه‌وآله</w:t>
      </w:r>
      <w:r w:rsidRPr="00132E65">
        <w:rPr>
          <w:rtl/>
          <w:lang w:bidi="fa-IR"/>
        </w:rPr>
        <w:t xml:space="preserve"> </w:t>
      </w:r>
      <w:r w:rsidRPr="00287C15">
        <w:rPr>
          <w:rtl/>
        </w:rPr>
        <w:t>وبالنبوّة ، وصريحة بلا</w:t>
      </w:r>
      <w:r>
        <w:rPr>
          <w:rFonts w:hint="cs"/>
          <w:rtl/>
        </w:rPr>
        <w:t xml:space="preserve"> </w:t>
      </w:r>
      <w:r w:rsidRPr="00287C15">
        <w:rPr>
          <w:rtl/>
        </w:rPr>
        <w:t>ارتياب ».</w:t>
      </w:r>
    </w:p>
    <w:p w:rsidR="000C39D1" w:rsidRPr="00287C15" w:rsidRDefault="000C39D1" w:rsidP="000C39D1">
      <w:pPr>
        <w:pStyle w:val="libFootnote0"/>
        <w:rPr>
          <w:rtl/>
        </w:rPr>
      </w:pPr>
      <w:r w:rsidRPr="00287C15">
        <w:rPr>
          <w:rtl/>
        </w:rPr>
        <w:t xml:space="preserve">مصادره : ديوان أبي طالب لأبي هفّان ، ص 72 ؛ السيرة النبويّة لابن هشام ، ج 1 ، ص 377 ، السيرة النبويّة لابن إسحاق ، ص 157 ؛ الروض الأنف ، ج 2 ، ص 102 ؛ شرح </w:t>
      </w:r>
      <w:r w:rsidRPr="0073465D">
        <w:rPr>
          <w:rtl/>
        </w:rPr>
        <w:t>نهج البلاغه</w:t>
      </w:r>
      <w:r w:rsidRPr="00287C15">
        <w:rPr>
          <w:rtl/>
        </w:rPr>
        <w:t xml:space="preserve"> لابن أبي الحديد ، ج 14 ، ص 72 ؛ </w:t>
      </w:r>
      <w:r w:rsidRPr="0073465D">
        <w:rPr>
          <w:rtl/>
        </w:rPr>
        <w:t>البداية والنهاية</w:t>
      </w:r>
      <w:r w:rsidRPr="00287C15">
        <w:rPr>
          <w:rtl/>
        </w:rPr>
        <w:t xml:space="preserve"> ، ج 3 ، ص 84 ؛ </w:t>
      </w:r>
      <w:r w:rsidRPr="0073465D">
        <w:rPr>
          <w:rtl/>
        </w:rPr>
        <w:t>خزانة الأدب</w:t>
      </w:r>
      <w:r w:rsidRPr="00287C15">
        <w:rPr>
          <w:rtl/>
        </w:rPr>
        <w:t xml:space="preserve"> ، ج 2 ، ص 76 ؛ </w:t>
      </w:r>
      <w:r w:rsidRPr="0073465D">
        <w:rPr>
          <w:rtl/>
        </w:rPr>
        <w:t>إيمان أبي طالب</w:t>
      </w:r>
      <w:r w:rsidRPr="00287C15">
        <w:rPr>
          <w:rtl/>
        </w:rPr>
        <w:t xml:space="preserve"> ، ص 33.</w:t>
      </w:r>
    </w:p>
    <w:p w:rsidR="000C39D1" w:rsidRDefault="000C39D1" w:rsidP="000C39D1">
      <w:pPr>
        <w:pStyle w:val="libNormal"/>
        <w:rPr>
          <w:rtl/>
          <w:lang w:bidi="fa-IR"/>
        </w:rPr>
      </w:pPr>
      <w:r>
        <w:rPr>
          <w:rtl/>
          <w:lang w:bidi="fa-IR"/>
        </w:rPr>
        <w:br w:type="page"/>
      </w:r>
    </w:p>
    <w:p w:rsidR="000C39D1" w:rsidRDefault="00DD386D" w:rsidP="000C39D1">
      <w:pPr>
        <w:pStyle w:val="libNormal"/>
        <w:rPr>
          <w:rtl/>
          <w:lang w:bidi="fa-IR"/>
        </w:rPr>
      </w:pPr>
      <w:r>
        <w:rPr>
          <w:rFonts w:hint="cs"/>
          <w:rtl/>
          <w:lang w:bidi="fa-IR"/>
        </w:rPr>
        <w:t xml:space="preserve">* </w:t>
      </w:r>
      <w:r w:rsidR="000C39D1" w:rsidRPr="00132E65">
        <w:rPr>
          <w:rtl/>
          <w:lang w:bidi="fa-IR"/>
        </w:rPr>
        <w:t>و</w:t>
      </w:r>
      <w:r w:rsidR="006D794F">
        <w:rPr>
          <w:rFonts w:hint="cs"/>
          <w:rtl/>
          <w:lang w:bidi="fa-IR"/>
        </w:rPr>
        <w:t>َ</w:t>
      </w:r>
      <w:r w:rsidR="000C39D1" w:rsidRPr="00132E65">
        <w:rPr>
          <w:rtl/>
          <w:lang w:bidi="fa-IR"/>
        </w:rPr>
        <w:t>فِي حَدِيثٍ آخَرَ : « كَيْفَ يَكُونُ أَبُو طَالِبٍ كَافِراً و</w:t>
      </w:r>
      <w:r w:rsidR="006D794F">
        <w:rPr>
          <w:rFonts w:hint="cs"/>
          <w:rtl/>
          <w:lang w:bidi="fa-IR"/>
        </w:rPr>
        <w:t xml:space="preserve">َ </w:t>
      </w:r>
      <w:r w:rsidR="000C39D1" w:rsidRPr="00132E65">
        <w:rPr>
          <w:rtl/>
          <w:lang w:bidi="fa-IR"/>
        </w:rPr>
        <w:t>هُوَ يَقُولُ :</w:t>
      </w:r>
    </w:p>
    <w:tbl>
      <w:tblPr>
        <w:tblStyle w:val="TableGrid"/>
        <w:bidiVisual/>
        <w:tblW w:w="4562" w:type="pct"/>
        <w:tblInd w:w="384" w:type="dxa"/>
        <w:tblLook w:val="01E0" w:firstRow="1" w:lastRow="1" w:firstColumn="1" w:lastColumn="1" w:noHBand="0" w:noVBand="0"/>
      </w:tblPr>
      <w:tblGrid>
        <w:gridCol w:w="4797"/>
        <w:gridCol w:w="341"/>
        <w:gridCol w:w="4749"/>
      </w:tblGrid>
      <w:tr w:rsidR="006D794F" w:rsidTr="007C4EAE">
        <w:trPr>
          <w:trHeight w:val="350"/>
        </w:trPr>
        <w:tc>
          <w:tcPr>
            <w:tcW w:w="3920" w:type="dxa"/>
            <w:shd w:val="clear" w:color="auto" w:fill="auto"/>
          </w:tcPr>
          <w:p w:rsidR="006D794F" w:rsidRDefault="006D794F" w:rsidP="007C4EAE">
            <w:pPr>
              <w:pStyle w:val="libPoem"/>
            </w:pPr>
            <w:r w:rsidRPr="00A7577E">
              <w:rPr>
                <w:rtl/>
              </w:rPr>
              <w:t xml:space="preserve">لَقَدْ عَلِمُوا أَنَّ ابْنَنَا </w:t>
            </w:r>
            <w:r>
              <w:rPr>
                <w:rStyle w:val="libFootnotenumChar"/>
                <w:rtl/>
              </w:rPr>
              <w:t>(1)</w:t>
            </w:r>
            <w:r w:rsidRPr="00A7577E">
              <w:rPr>
                <w:rtl/>
              </w:rPr>
              <w:t xml:space="preserve"> لَامُكَذَّبٌ </w:t>
            </w:r>
            <w:r>
              <w:rPr>
                <w:rStyle w:val="libFootnotenumChar"/>
                <w:rtl/>
              </w:rPr>
              <w:t>(2)</w:t>
            </w:r>
            <w:r w:rsidRPr="00725071">
              <w:rPr>
                <w:rStyle w:val="libPoemTiniChar0"/>
                <w:rtl/>
              </w:rPr>
              <w:br/>
              <w:t> </w:t>
            </w:r>
          </w:p>
        </w:tc>
        <w:tc>
          <w:tcPr>
            <w:tcW w:w="279" w:type="dxa"/>
            <w:shd w:val="clear" w:color="auto" w:fill="auto"/>
          </w:tcPr>
          <w:p w:rsidR="006D794F" w:rsidRDefault="006D794F" w:rsidP="007C4EAE">
            <w:pPr>
              <w:pStyle w:val="libPoem"/>
              <w:rPr>
                <w:rtl/>
              </w:rPr>
            </w:pPr>
          </w:p>
        </w:tc>
        <w:tc>
          <w:tcPr>
            <w:tcW w:w="3881" w:type="dxa"/>
            <w:shd w:val="clear" w:color="auto" w:fill="auto"/>
          </w:tcPr>
          <w:p w:rsidR="006D794F" w:rsidRDefault="006D794F" w:rsidP="00BA44E1">
            <w:pPr>
              <w:pStyle w:val="libPoem"/>
            </w:pPr>
            <w:r w:rsidRPr="00A7577E">
              <w:rPr>
                <w:rtl/>
              </w:rPr>
              <w:t>لَدَيْنَاو</w:t>
            </w:r>
            <w:r w:rsidR="00BA44E1">
              <w:rPr>
                <w:rFonts w:hint="cs"/>
                <w:rtl/>
              </w:rPr>
              <w:t>َ</w:t>
            </w:r>
            <w:r w:rsidRPr="00A7577E">
              <w:rPr>
                <w:rtl/>
              </w:rPr>
              <w:t>لَايَعْبَأُ</w:t>
            </w:r>
            <w:r>
              <w:rPr>
                <w:rStyle w:val="libFootnotenumChar"/>
                <w:rtl/>
              </w:rPr>
              <w:t>(3)</w:t>
            </w:r>
            <w:r w:rsidRPr="00A7577E">
              <w:rPr>
                <w:rtl/>
              </w:rPr>
              <w:t>بِقِيلِ</w:t>
            </w:r>
            <w:r>
              <w:rPr>
                <w:rStyle w:val="libFootnotenumChar"/>
                <w:rtl/>
              </w:rPr>
              <w:t>(4)</w:t>
            </w:r>
            <w:r w:rsidRPr="00A7577E">
              <w:rPr>
                <w:rtl/>
              </w:rPr>
              <w:t xml:space="preserve">الْأَبَاطِلِ </w:t>
            </w:r>
            <w:r>
              <w:rPr>
                <w:rStyle w:val="libFootnotenumChar"/>
                <w:rtl/>
              </w:rPr>
              <w:t>(5)</w:t>
            </w:r>
            <w:r w:rsidRPr="00725071">
              <w:rPr>
                <w:rStyle w:val="libPoemTiniChar0"/>
                <w:rtl/>
              </w:rPr>
              <w:br/>
              <w:t> </w:t>
            </w:r>
          </w:p>
        </w:tc>
      </w:tr>
      <w:tr w:rsidR="006D794F" w:rsidTr="007C4EAE">
        <w:trPr>
          <w:trHeight w:val="350"/>
        </w:trPr>
        <w:tc>
          <w:tcPr>
            <w:tcW w:w="3920" w:type="dxa"/>
          </w:tcPr>
          <w:p w:rsidR="006D794F" w:rsidRDefault="006D794F" w:rsidP="007C4EAE">
            <w:pPr>
              <w:pStyle w:val="libPoem"/>
            </w:pPr>
            <w:r>
              <w:rPr>
                <w:rtl/>
              </w:rPr>
              <w:t>وَ</w:t>
            </w:r>
            <w:r w:rsidRPr="00A7577E">
              <w:rPr>
                <w:rtl/>
              </w:rPr>
              <w:t>أَبْيَضُ يُسْتَسْقَى الْغَمَامُ بِوَجْهِه</w:t>
            </w:r>
            <w:r w:rsidRPr="00725071">
              <w:rPr>
                <w:rStyle w:val="libPoemTiniChar0"/>
                <w:rtl/>
              </w:rPr>
              <w:br/>
              <w:t> </w:t>
            </w:r>
          </w:p>
        </w:tc>
        <w:tc>
          <w:tcPr>
            <w:tcW w:w="279" w:type="dxa"/>
          </w:tcPr>
          <w:p w:rsidR="006D794F" w:rsidRDefault="006D794F" w:rsidP="007C4EAE">
            <w:pPr>
              <w:pStyle w:val="libPoem"/>
              <w:rPr>
                <w:rtl/>
              </w:rPr>
            </w:pPr>
          </w:p>
        </w:tc>
        <w:tc>
          <w:tcPr>
            <w:tcW w:w="3881" w:type="dxa"/>
          </w:tcPr>
          <w:p w:rsidR="006D794F" w:rsidRDefault="006D794F" w:rsidP="00BA44E1">
            <w:pPr>
              <w:pStyle w:val="libPoem"/>
            </w:pPr>
            <w:r w:rsidRPr="004F239A">
              <w:rPr>
                <w:rtl/>
              </w:rPr>
              <w:t>ثِمَالُ</w:t>
            </w:r>
            <w:r>
              <w:rPr>
                <w:rStyle w:val="libFootnotenumChar"/>
                <w:rtl/>
              </w:rPr>
              <w:t>(6)</w:t>
            </w:r>
            <w:r w:rsidRPr="00A7577E">
              <w:rPr>
                <w:rtl/>
              </w:rPr>
              <w:t xml:space="preserve"> الْيَتَامى،عِصْمَةٌ</w:t>
            </w:r>
            <w:r>
              <w:rPr>
                <w:rStyle w:val="libFootnotenumChar"/>
                <w:rtl/>
              </w:rPr>
              <w:t>(7)</w:t>
            </w:r>
            <w:r w:rsidRPr="004F239A">
              <w:rPr>
                <w:rtl/>
              </w:rPr>
              <w:t>لِلْأَرَامِل</w:t>
            </w:r>
            <w:r>
              <w:rPr>
                <w:rStyle w:val="libFootnotenumChar"/>
                <w:rtl/>
              </w:rPr>
              <w:t>(8)</w:t>
            </w:r>
            <w:r w:rsidRPr="00A7577E">
              <w:rPr>
                <w:rtl/>
              </w:rPr>
              <w:t>؟»</w:t>
            </w:r>
            <w:r>
              <w:rPr>
                <w:rFonts w:hint="cs"/>
                <w:rtl/>
              </w:rPr>
              <w:t xml:space="preserve"> </w:t>
            </w:r>
            <w:r>
              <w:rPr>
                <w:rStyle w:val="libFootnotenumChar"/>
                <w:rtl/>
              </w:rPr>
              <w:t>(9)</w:t>
            </w:r>
            <w:r w:rsidRPr="00725071">
              <w:rPr>
                <w:rStyle w:val="libPoemTiniChar0"/>
                <w:rtl/>
              </w:rPr>
              <w:br/>
              <w:t> </w:t>
            </w:r>
          </w:p>
        </w:tc>
      </w:tr>
    </w:tbl>
    <w:p w:rsidR="000C39D1" w:rsidRPr="00132E65" w:rsidRDefault="000C39D1" w:rsidP="000C39D1">
      <w:pPr>
        <w:pStyle w:val="libNormal"/>
        <w:rPr>
          <w:rtl/>
          <w:lang w:bidi="fa-IR"/>
        </w:rPr>
      </w:pPr>
      <w:r w:rsidRPr="00ED3085">
        <w:rPr>
          <w:rtl/>
        </w:rPr>
        <w:t>1221</w:t>
      </w:r>
      <w:r w:rsidRPr="004325D8">
        <w:rPr>
          <w:rStyle w:val="libBold2Char"/>
          <w:rtl/>
        </w:rPr>
        <w:t xml:space="preserve"> / 30.</w:t>
      </w:r>
      <w:r w:rsidRPr="00132E65">
        <w:rPr>
          <w:rtl/>
          <w:lang w:bidi="fa-IR"/>
        </w:rPr>
        <w:t xml:space="preserve"> عَلِيُّ بْنُ إِبْرَاهِيمَ ، عَنْ أَبِيهِ ، عَنِ ابْنِ أَبِي عُمَيْرٍ ، عَنْ هِشَامِ بْنِ الْحَكَمِ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بَيْنَا النَّبِيُّ </w:t>
      </w:r>
      <w:r w:rsidRPr="0093484F">
        <w:rPr>
          <w:rStyle w:val="libAlaemChar"/>
          <w:rFonts w:eastAsiaTheme="minorHAnsi"/>
          <w:rtl/>
        </w:rPr>
        <w:t>صلى‌الله‌عليه‌وآله</w:t>
      </w:r>
      <w:r w:rsidRPr="00132E65">
        <w:rPr>
          <w:rtl/>
          <w:lang w:bidi="fa-IR"/>
        </w:rPr>
        <w:t xml:space="preserve"> فِي الْمَسْجِدِ الْحَرَامِ ، و</w:t>
      </w:r>
      <w:r w:rsidR="00160FC4">
        <w:rPr>
          <w:rFonts w:hint="cs"/>
          <w:rtl/>
          <w:lang w:bidi="fa-IR"/>
        </w:rPr>
        <w:t xml:space="preserve">َ </w:t>
      </w:r>
      <w:r w:rsidRPr="00132E65">
        <w:rPr>
          <w:rtl/>
          <w:lang w:bidi="fa-IR"/>
        </w:rPr>
        <w:t xml:space="preserve">عَلَيْهِ ثِيَابٌ لَهُ </w:t>
      </w:r>
      <w:r>
        <w:rPr>
          <w:rStyle w:val="libFootnotenumChar"/>
          <w:rtl/>
        </w:rPr>
        <w:t>(10)</w:t>
      </w:r>
      <w:r w:rsidRPr="00132E65">
        <w:rPr>
          <w:rtl/>
          <w:lang w:bidi="fa-IR"/>
        </w:rPr>
        <w:t xml:space="preserve"> جُدُدٌ </w:t>
      </w:r>
      <w:r>
        <w:rPr>
          <w:rStyle w:val="libFootnotenumChar"/>
          <w:rtl/>
        </w:rPr>
        <w:t>(11)</w:t>
      </w:r>
      <w:r w:rsidRPr="00132E65">
        <w:rPr>
          <w:rtl/>
          <w:lang w:bidi="fa-IR"/>
        </w:rPr>
        <w:t xml:space="preserve"> ، فَأَلْقَى الْمُشْرِكُونَ عَلَيْهِ‌</w:t>
      </w:r>
      <w:r w:rsidR="00C80D4C">
        <w:rPr>
          <w:rFonts w:hint="cs"/>
          <w:rtl/>
          <w:lang w:bidi="fa-IR"/>
        </w:rPr>
        <w:t>..............................................</w:t>
      </w:r>
      <w:r w:rsidR="00C17CD8">
        <w:rPr>
          <w:rFonts w:hint="cs"/>
          <w:rtl/>
          <w:lang w:bidi="fa-IR"/>
        </w:rPr>
        <w:t>.....</w:t>
      </w:r>
      <w:r w:rsidR="00C80D4C">
        <w:rPr>
          <w:rFonts w:hint="cs"/>
          <w:rtl/>
          <w:lang w:bidi="fa-IR"/>
        </w:rPr>
        <w:t>.</w:t>
      </w:r>
      <w:r w:rsidR="00C80D4C">
        <w:rPr>
          <w:rFonts w:hint="cs"/>
          <w:rtl/>
          <w:lang w:bidi="fa-IR"/>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75540" w:rsidTr="00D75540">
        <w:tc>
          <w:tcPr>
            <w:tcW w:w="4006" w:type="dxa"/>
          </w:tcPr>
          <w:p w:rsidR="00D75540" w:rsidRDefault="00D75540" w:rsidP="000C39D1">
            <w:pPr>
              <w:pStyle w:val="libFootnote0"/>
              <w:rPr>
                <w:rtl/>
              </w:rPr>
            </w:pPr>
            <w:r>
              <w:rPr>
                <w:rtl/>
              </w:rPr>
              <w:t>(1).</w:t>
            </w:r>
            <w:r w:rsidRPr="00132E65">
              <w:rPr>
                <w:rtl/>
              </w:rPr>
              <w:t xml:space="preserve"> في حاشية « ف » : « نبيّاً »</w:t>
            </w:r>
            <w:r>
              <w:rPr>
                <w:rtl/>
              </w:rPr>
              <w:t>.</w:t>
            </w:r>
          </w:p>
        </w:tc>
        <w:tc>
          <w:tcPr>
            <w:tcW w:w="4006" w:type="dxa"/>
          </w:tcPr>
          <w:p w:rsidR="00D75540" w:rsidRDefault="00D75540" w:rsidP="000C39D1">
            <w:pPr>
              <w:pStyle w:val="libFootnote0"/>
              <w:rPr>
                <w:rtl/>
              </w:rPr>
            </w:pPr>
            <w:r>
              <w:rPr>
                <w:rtl/>
              </w:rPr>
              <w:t>(2).</w:t>
            </w:r>
            <w:r w:rsidRPr="00132E65">
              <w:rPr>
                <w:rtl/>
              </w:rPr>
              <w:t xml:space="preserve"> في حاشية « ج » : « لا يكذّب »</w:t>
            </w:r>
            <w:r>
              <w:rPr>
                <w:rtl/>
              </w:rPr>
              <w:t>.</w:t>
            </w:r>
          </w:p>
        </w:tc>
      </w:tr>
    </w:tbl>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ولا يعبأ ، على المعلوم والمجهول من العَبْ‌ء ، وهو المبالاة بالشي‌ء والاعتناء به. وفي بعض النسخ : « ولا تَعِيا » باليائيّة والمثنّاة ، من العياء والكلال. وفي بعضها : « ولا يعنى » بالنون ، أي لا يعتني ، على بناء المعلوم أو المجهول. والأوّل أصحّ وأشهر »</w:t>
      </w:r>
      <w:r>
        <w:rPr>
          <w:rtl/>
        </w:rPr>
        <w:t>.</w:t>
      </w:r>
      <w:r w:rsidRPr="00132E65">
        <w:rPr>
          <w:rtl/>
        </w:rPr>
        <w:t xml:space="preserve"> وراجع : </w:t>
      </w:r>
      <w:r w:rsidRPr="00ED3085">
        <w:rPr>
          <w:rtl/>
        </w:rPr>
        <w:t>الصحاح</w:t>
      </w:r>
      <w:r w:rsidRPr="00132E65">
        <w:rPr>
          <w:rtl/>
        </w:rPr>
        <w:t xml:space="preserve"> ، ج 1 ، ص 62 ( عبأ )</w:t>
      </w:r>
      <w:r>
        <w:rPr>
          <w:rtl/>
        </w:rPr>
        <w:t>.</w:t>
      </w:r>
    </w:p>
    <w:p w:rsidR="000C39D1" w:rsidRPr="00132E65" w:rsidRDefault="000C39D1" w:rsidP="000C39D1">
      <w:pPr>
        <w:pStyle w:val="libFootnote0"/>
        <w:rPr>
          <w:rtl/>
          <w:lang w:bidi="fa-IR"/>
        </w:rPr>
      </w:pPr>
      <w:r>
        <w:rPr>
          <w:rtl/>
        </w:rPr>
        <w:t>(4).</w:t>
      </w:r>
      <w:r w:rsidRPr="00132E65">
        <w:rPr>
          <w:rtl/>
        </w:rPr>
        <w:t xml:space="preserve"> في « ض » و</w:t>
      </w:r>
      <w:r w:rsidRPr="009D1ACE">
        <w:rPr>
          <w:rStyle w:val="libFootnoteBoldChar"/>
          <w:rtl/>
        </w:rPr>
        <w:t>الوافي</w:t>
      </w:r>
      <w:r w:rsidRPr="00132E65">
        <w:rPr>
          <w:rtl/>
        </w:rPr>
        <w:t xml:space="preserve"> والبحار : « بقول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 الأباطل : جمع أبطل ، أفعل التفضيل. وهم المكذّبون له والقائلون إنّه ساحر أو مجنون ، أو إنّ ما جاء به سحر ، أو أساطير الأوّلين ، وأمثال ذلك »</w:t>
      </w:r>
      <w:r>
        <w:rPr>
          <w:rtl/>
        </w:rPr>
        <w:t>.</w:t>
      </w:r>
      <w:r w:rsidRPr="00132E65">
        <w:rPr>
          <w:rtl/>
        </w:rPr>
        <w:t xml:space="preserve"> وقوله : « أبيض » مرفوع عطفاً على خبر « أنّ » أي « لا مكذَّب »</w:t>
      </w:r>
      <w:r>
        <w:rPr>
          <w:rtl/>
        </w:rPr>
        <w:t>.</w:t>
      </w:r>
    </w:p>
    <w:p w:rsidR="000C39D1" w:rsidRPr="00132E65" w:rsidRDefault="000C39D1" w:rsidP="000C39D1">
      <w:pPr>
        <w:pStyle w:val="libFootnote0"/>
        <w:rPr>
          <w:rtl/>
          <w:lang w:bidi="fa-IR"/>
        </w:rPr>
      </w:pPr>
      <w:r>
        <w:rPr>
          <w:rtl/>
        </w:rPr>
        <w:t>(6).</w:t>
      </w:r>
      <w:r w:rsidR="008E5D3E">
        <w:rPr>
          <w:rtl/>
        </w:rPr>
        <w:t xml:space="preserve"> « الثِمالُ » : الم</w:t>
      </w:r>
      <w:r w:rsidR="008E5D3E">
        <w:rPr>
          <w:rFonts w:hint="cs"/>
          <w:rtl/>
        </w:rPr>
        <w:t>ـَ</w:t>
      </w:r>
      <w:r w:rsidRPr="00132E65">
        <w:rPr>
          <w:rtl/>
        </w:rPr>
        <w:t>ل</w:t>
      </w:r>
      <w:r w:rsidR="006E630B">
        <w:rPr>
          <w:rtl/>
        </w:rPr>
        <w:t>ْجأ والغِياثُ. وقيل : هو الم</w:t>
      </w:r>
      <w:r w:rsidR="006E630B">
        <w:rPr>
          <w:rFonts w:hint="cs"/>
          <w:rtl/>
        </w:rPr>
        <w:t>ـُ</w:t>
      </w:r>
      <w:r w:rsidRPr="00132E65">
        <w:rPr>
          <w:rtl/>
        </w:rPr>
        <w:t xml:space="preserve">طْعِمُ في الشدّة. </w:t>
      </w:r>
      <w:r w:rsidRPr="00ED3085">
        <w:rPr>
          <w:rtl/>
        </w:rPr>
        <w:t>النهاية</w:t>
      </w:r>
      <w:r w:rsidRPr="00132E65">
        <w:rPr>
          <w:rtl/>
        </w:rPr>
        <w:t xml:space="preserve"> ، ج 1 ، ص 222 ( ثمل )</w:t>
      </w:r>
      <w:r>
        <w:rPr>
          <w:rtl/>
        </w:rPr>
        <w:t>.</w:t>
      </w:r>
    </w:p>
    <w:p w:rsidR="000C39D1" w:rsidRPr="00132E65" w:rsidRDefault="000C39D1" w:rsidP="000C39D1">
      <w:pPr>
        <w:pStyle w:val="libFootnote0"/>
        <w:rPr>
          <w:rtl/>
          <w:lang w:bidi="fa-IR"/>
        </w:rPr>
      </w:pPr>
      <w:r>
        <w:rPr>
          <w:rtl/>
        </w:rPr>
        <w:t>(7).</w:t>
      </w:r>
      <w:r w:rsidR="00B7749D">
        <w:rPr>
          <w:rtl/>
        </w:rPr>
        <w:t xml:space="preserve"> « العِصْمة » : الم</w:t>
      </w:r>
      <w:r w:rsidR="00B7749D">
        <w:rPr>
          <w:rFonts w:hint="cs"/>
          <w:rtl/>
        </w:rPr>
        <w:t>ـَ</w:t>
      </w:r>
      <w:r w:rsidRPr="00132E65">
        <w:rPr>
          <w:rtl/>
        </w:rPr>
        <w:t xml:space="preserve">نَعة ، والعاصم : المانع الحامي. والمعنى : يمنعهم من الضياع والحاجة. </w:t>
      </w:r>
      <w:r w:rsidRPr="00ED3085">
        <w:rPr>
          <w:rtl/>
        </w:rPr>
        <w:t>النهاية</w:t>
      </w:r>
      <w:r w:rsidRPr="00132E65">
        <w:rPr>
          <w:rtl/>
        </w:rPr>
        <w:t xml:space="preserve"> ، ج 3 ، ص 249 ( عصم )</w:t>
      </w:r>
      <w:r>
        <w:rPr>
          <w:rtl/>
        </w:rPr>
        <w:t>.</w:t>
      </w:r>
    </w:p>
    <w:p w:rsidR="000C39D1" w:rsidRPr="00132E65" w:rsidRDefault="000C39D1" w:rsidP="000C39D1">
      <w:pPr>
        <w:pStyle w:val="libFootnote0"/>
        <w:rPr>
          <w:rtl/>
          <w:lang w:bidi="fa-IR"/>
        </w:rPr>
      </w:pPr>
      <w:r>
        <w:rPr>
          <w:rtl/>
        </w:rPr>
        <w:t>(8).</w:t>
      </w:r>
      <w:r w:rsidRPr="00132E65">
        <w:rPr>
          <w:rtl/>
        </w:rPr>
        <w:t xml:space="preserve"> « الأرامِلُ » : المساكين من رجال ونساء. ويقال لكلّ واحد من الفريقين على انفراده : أرامِلُ. وهو بالنساء أخصّ وأكثر استعمالاً. والواحد : أرمل وأرملة. فالأرمل : الذي ماتت زوجته ، والأرملة التي مات زوجها وسواء كانا غنيّين أو فقيرين. </w:t>
      </w:r>
      <w:r w:rsidRPr="00ED3085">
        <w:rPr>
          <w:rtl/>
        </w:rPr>
        <w:t>النهاية</w:t>
      </w:r>
      <w:r w:rsidRPr="00132E65">
        <w:rPr>
          <w:rtl/>
        </w:rPr>
        <w:t xml:space="preserve"> ، ج 2 ، ص 266 ( رمل )</w:t>
      </w:r>
      <w:r>
        <w:rPr>
          <w:rtl/>
        </w:rPr>
        <w:t>.</w:t>
      </w:r>
    </w:p>
    <w:p w:rsidR="000C39D1" w:rsidRPr="0073465D" w:rsidRDefault="000C39D1" w:rsidP="000C39D1">
      <w:pPr>
        <w:pStyle w:val="libFootnote0"/>
        <w:rPr>
          <w:rtl/>
        </w:rPr>
      </w:pPr>
      <w:r w:rsidRPr="0073465D">
        <w:rPr>
          <w:rtl/>
        </w:rPr>
        <w:t xml:space="preserve">وهذان البيتان من لاميّة أبي طالب المشهورة ، وقد تقدّم ذكر مَن نقلها من المؤرّخين وغيرهم في </w:t>
      </w:r>
      <w:r w:rsidRPr="000577A7">
        <w:rPr>
          <w:rStyle w:val="libFootnoteBoldChar"/>
          <w:rtl/>
        </w:rPr>
        <w:t>الكافي</w:t>
      </w:r>
      <w:r w:rsidRPr="0073465D">
        <w:rPr>
          <w:rtl/>
        </w:rPr>
        <w:t xml:space="preserve"> ، ذيل ح 327.</w:t>
      </w:r>
    </w:p>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3 ، ص 698 ، ح 1306 ؛ </w:t>
      </w:r>
      <w:r w:rsidRPr="00ED3085">
        <w:rPr>
          <w:rtl/>
        </w:rPr>
        <w:t>البحار</w:t>
      </w:r>
      <w:r w:rsidRPr="00132E65">
        <w:rPr>
          <w:rtl/>
        </w:rPr>
        <w:t xml:space="preserve"> ، ج 35 ، ص 136 ، ح 81.</w:t>
      </w:r>
    </w:p>
    <w:p w:rsidR="000C39D1" w:rsidRPr="00132E65" w:rsidRDefault="000C39D1" w:rsidP="000C39D1">
      <w:pPr>
        <w:pStyle w:val="libFootnote0"/>
        <w:rPr>
          <w:rtl/>
          <w:lang w:bidi="fa-IR"/>
        </w:rPr>
      </w:pPr>
      <w:r>
        <w:rPr>
          <w:rtl/>
        </w:rPr>
        <w:t>(10).</w:t>
      </w:r>
      <w:r w:rsidRPr="00132E65">
        <w:rPr>
          <w:rtl/>
        </w:rPr>
        <w:t xml:space="preserve"> في البحار ، ج 35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(11).</w:t>
      </w:r>
      <w:r w:rsidRPr="00132E65">
        <w:rPr>
          <w:rtl/>
        </w:rPr>
        <w:t xml:space="preserve"> اختلف المازندراني والمجلسي في ضبط الكلمة ، فذهب الأوّل إلى كونها بضمّ الأوّل وفتح الثاني جمع الجِدَّة ، بمعنى العلامة والطريقة. والثاني إلى كونها بضمّتين جمع الجديد. وهذا هو الصحيح من حيث اللفظ والمعنى ؛ لأنّ مقتضى الأوّل كون « له » خبراً مقدّماً </w:t>
      </w:r>
      <w:r>
        <w:rPr>
          <w:rtl/>
        </w:rPr>
        <w:t>و «</w:t>
      </w:r>
      <w:r w:rsidRPr="00132E65">
        <w:rPr>
          <w:rtl/>
        </w:rPr>
        <w:t xml:space="preserve"> جدد » مبتدأ مؤخّراً </w:t>
      </w:r>
      <w:r w:rsidR="00B7749D">
        <w:rPr>
          <w:rtl/>
        </w:rPr>
        <w:t>والجملة صفة للثياب ، ومقتضاه أن</w:t>
      </w:r>
      <w:r w:rsidR="00B7749D">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E75E28">
      <w:pPr>
        <w:pStyle w:val="libNormal0"/>
        <w:tabs>
          <w:tab w:val="left" w:pos="3968"/>
        </w:tabs>
        <w:rPr>
          <w:rtl/>
          <w:lang w:bidi="fa-IR"/>
        </w:rPr>
      </w:pPr>
      <w:r w:rsidRPr="00132E65">
        <w:rPr>
          <w:rtl/>
          <w:lang w:bidi="fa-IR"/>
        </w:rPr>
        <w:t xml:space="preserve">سَلى </w:t>
      </w:r>
      <w:r>
        <w:rPr>
          <w:rStyle w:val="libFootnotenumChar"/>
          <w:rtl/>
        </w:rPr>
        <w:t>(1)</w:t>
      </w:r>
      <w:r w:rsidRPr="00132E65">
        <w:rPr>
          <w:rtl/>
          <w:lang w:bidi="fa-IR"/>
        </w:rPr>
        <w:t xml:space="preserve"> نَاقَةٍ ، فَمَلَؤُوا ثِيَابَهُ بِهَا ، فَدَخَلَهُ مِنْ ذلِكَ مَا شَاءَ اللهُ ، فَذَهَبَ إِلى أَبِي طَالِبٍ ، فَقَالَ لَهُ : يَا عَمِّ ، كَيْفَ تَرى حَسَبِي فِيكُمْ</w:t>
      </w:r>
      <w:r>
        <w:rPr>
          <w:rtl/>
          <w:lang w:bidi="fa-IR"/>
        </w:rPr>
        <w:t>؟</w:t>
      </w:r>
      <w:r w:rsidRPr="00132E65">
        <w:rPr>
          <w:rtl/>
          <w:lang w:bidi="fa-IR"/>
        </w:rPr>
        <w:t xml:space="preserve"> فَقَالَ لَهُ : و</w:t>
      </w:r>
      <w:r w:rsidR="00B7749D">
        <w:rPr>
          <w:rFonts w:hint="cs"/>
          <w:rtl/>
          <w:lang w:bidi="fa-IR"/>
        </w:rPr>
        <w:t>َ</w:t>
      </w:r>
      <w:r>
        <w:rPr>
          <w:rFonts w:hint="cs"/>
          <w:rtl/>
          <w:lang w:bidi="fa-IR"/>
        </w:rPr>
        <w:t xml:space="preserve"> </w:t>
      </w:r>
      <w:r>
        <w:rPr>
          <w:rStyle w:val="libFootnotenumChar"/>
          <w:rtl/>
        </w:rPr>
        <w:t>(2)</w:t>
      </w:r>
      <w:r w:rsidRPr="00132E65">
        <w:rPr>
          <w:rtl/>
          <w:lang w:bidi="fa-IR"/>
        </w:rPr>
        <w:t xml:space="preserve"> مَا ذَاكَ </w:t>
      </w:r>
      <w:r>
        <w:rPr>
          <w:rStyle w:val="libFootnotenumChar"/>
          <w:rtl/>
        </w:rPr>
        <w:t>(3)</w:t>
      </w:r>
      <w:r w:rsidRPr="00132E65">
        <w:rPr>
          <w:rtl/>
          <w:lang w:bidi="fa-IR"/>
        </w:rPr>
        <w:t xml:space="preserve"> يَا ابْنَ أَخِي</w:t>
      </w:r>
      <w:r>
        <w:rPr>
          <w:rtl/>
          <w:lang w:bidi="fa-IR"/>
        </w:rPr>
        <w:t>؟</w:t>
      </w:r>
      <w:r>
        <w:rPr>
          <w:rFonts w:hint="cs"/>
          <w:rtl/>
          <w:lang w:bidi="fa-IR"/>
        </w:rPr>
        <w:t xml:space="preserve"> </w:t>
      </w:r>
      <w:r w:rsidRPr="00132E65">
        <w:rPr>
          <w:rtl/>
          <w:lang w:bidi="fa-IR"/>
        </w:rPr>
        <w:t>فَأَخْبَرَهُ الْخَبَرَ ، فَدَعَا أَبُو طَالِبٍ حَمْزَةَ ، و</w:t>
      </w:r>
      <w:r w:rsidR="00E75E28">
        <w:rPr>
          <w:rFonts w:hint="cs"/>
          <w:rtl/>
        </w:rPr>
        <w:t>َ</w:t>
      </w:r>
      <w:r w:rsidRPr="00132E65">
        <w:rPr>
          <w:rtl/>
          <w:lang w:bidi="fa-IR"/>
        </w:rPr>
        <w:t>أَخَذَ السَّيْفَ ، و</w:t>
      </w:r>
      <w:r w:rsidR="00E75E28">
        <w:rPr>
          <w:rFonts w:hint="cs"/>
          <w:rtl/>
          <w:lang w:bidi="fa-IR"/>
        </w:rPr>
        <w:t xml:space="preserve">َ </w:t>
      </w:r>
      <w:r w:rsidRPr="00132E65">
        <w:rPr>
          <w:rtl/>
          <w:lang w:bidi="fa-IR"/>
        </w:rPr>
        <w:t>قَالَ لِحَمْزَةَ : خُذِ السَّلى ، ثُمَّ تَوَجَّهَ إِلَى الْقَوْمِ و</w:t>
      </w:r>
      <w:r w:rsidR="00E75E28">
        <w:rPr>
          <w:rFonts w:hint="cs"/>
          <w:rtl/>
          <w:lang w:bidi="fa-IR"/>
        </w:rPr>
        <w:t xml:space="preserve">َ </w:t>
      </w:r>
      <w:r w:rsidRPr="00132E65">
        <w:rPr>
          <w:rtl/>
          <w:lang w:bidi="fa-IR"/>
        </w:rPr>
        <w:t xml:space="preserve">النَّبِيُّ </w:t>
      </w:r>
      <w:r w:rsidRPr="0093484F">
        <w:rPr>
          <w:rStyle w:val="libAlaemChar"/>
          <w:rFonts w:eastAsiaTheme="minorHAnsi"/>
          <w:rtl/>
        </w:rPr>
        <w:t>صلى‌الله‌عليه‌وآله</w:t>
      </w:r>
      <w:r w:rsidRPr="00132E65">
        <w:rPr>
          <w:rtl/>
          <w:lang w:bidi="fa-IR"/>
        </w:rPr>
        <w:t xml:space="preserve"> مَعَهُ ، فَأَتى قُرَيْشاً</w:t>
      </w:r>
      <w:r>
        <w:rPr>
          <w:rtl/>
          <w:lang w:bidi="fa-IR"/>
        </w:rPr>
        <w:t xml:space="preserve"> </w:t>
      </w:r>
      <w:r w:rsidR="00E75E28">
        <w:rPr>
          <w:rtl/>
          <w:lang w:bidi="fa-IR"/>
        </w:rPr>
        <w:t>–</w:t>
      </w:r>
      <w:r>
        <w:rPr>
          <w:rtl/>
          <w:lang w:bidi="fa-IR"/>
        </w:rPr>
        <w:t xml:space="preserve"> </w:t>
      </w:r>
      <w:r w:rsidRPr="00132E65">
        <w:rPr>
          <w:rtl/>
          <w:lang w:bidi="fa-IR"/>
        </w:rPr>
        <w:t>و</w:t>
      </w:r>
      <w:r w:rsidR="00E75E28">
        <w:rPr>
          <w:rFonts w:hint="cs"/>
          <w:rtl/>
          <w:lang w:bidi="fa-IR"/>
        </w:rPr>
        <w:t xml:space="preserve">َ </w:t>
      </w:r>
      <w:r w:rsidRPr="00132E65">
        <w:rPr>
          <w:rtl/>
          <w:lang w:bidi="fa-IR"/>
        </w:rPr>
        <w:t>هُمْ حَوْلَ الْكَعْبَةِ</w:t>
      </w:r>
      <w:r>
        <w:rPr>
          <w:rtl/>
          <w:lang w:bidi="fa-IR"/>
        </w:rPr>
        <w:t xml:space="preserve"> - </w:t>
      </w:r>
      <w:r w:rsidRPr="00132E65">
        <w:rPr>
          <w:rtl/>
          <w:lang w:bidi="fa-IR"/>
        </w:rPr>
        <w:t>فَلَمَّا رَأَوْهُ عَرَفُوا الشَّرَّ فِي و</w:t>
      </w:r>
      <w:r w:rsidR="00E75E28">
        <w:rPr>
          <w:rFonts w:hint="cs"/>
          <w:rtl/>
          <w:lang w:bidi="fa-IR"/>
        </w:rPr>
        <w:t>َ</w:t>
      </w:r>
      <w:r w:rsidRPr="00132E65">
        <w:rPr>
          <w:rtl/>
          <w:lang w:bidi="fa-IR"/>
        </w:rPr>
        <w:t xml:space="preserve">جْهِهِ ، ثُمَّ قَالَ لِحَمْزَةَ : أَمِرَّ السَّلى عَلى سِبَالِهِمْ </w:t>
      </w:r>
      <w:r>
        <w:rPr>
          <w:rStyle w:val="libFootnotenumChar"/>
          <w:rtl/>
        </w:rPr>
        <w:t>(4)</w:t>
      </w:r>
      <w:r w:rsidRPr="00132E65">
        <w:rPr>
          <w:rtl/>
          <w:lang w:bidi="fa-IR"/>
        </w:rPr>
        <w:t xml:space="preserve"> ، فَفَعَلَ ذلِكَ حَتّى أَتى عَلى </w:t>
      </w:r>
      <w:r>
        <w:rPr>
          <w:rStyle w:val="libFootnotenumChar"/>
          <w:rtl/>
        </w:rPr>
        <w:t>(5)</w:t>
      </w:r>
      <w:r w:rsidRPr="00132E65">
        <w:rPr>
          <w:rtl/>
          <w:lang w:bidi="fa-IR"/>
        </w:rPr>
        <w:t xml:space="preserve"> آخِرِهِمْ ، ثُمَّ الْتَفَتَ أَبُو طَالِبٍ إِلَى النَّبِيِّ </w:t>
      </w:r>
      <w:r w:rsidRPr="0093484F">
        <w:rPr>
          <w:rStyle w:val="libAlaemChar"/>
          <w:rFonts w:eastAsiaTheme="minorHAnsi"/>
          <w:rtl/>
        </w:rPr>
        <w:t>صلى‌الله‌عليه‌وآله</w:t>
      </w:r>
      <w:r w:rsidRPr="00132E65">
        <w:rPr>
          <w:rtl/>
          <w:lang w:bidi="fa-IR"/>
        </w:rPr>
        <w:t xml:space="preserve"> ، فَقَالَ : يَا ابْنَ أَخِي ، هذَا </w:t>
      </w:r>
      <w:r>
        <w:rPr>
          <w:rStyle w:val="libFootnotenumChar"/>
          <w:rtl/>
        </w:rPr>
        <w:t>(6)</w:t>
      </w:r>
      <w:r w:rsidRPr="00132E65">
        <w:rPr>
          <w:rtl/>
          <w:lang w:bidi="fa-IR"/>
        </w:rPr>
        <w:t xml:space="preserve"> حَسَبُكَ فِينَا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ED3085">
        <w:rPr>
          <w:rtl/>
        </w:rPr>
        <w:t>1222</w:t>
      </w:r>
      <w:r w:rsidRPr="004325D8">
        <w:rPr>
          <w:rStyle w:val="libBold2Char"/>
          <w:rtl/>
        </w:rPr>
        <w:t xml:space="preserve"> / 31.</w:t>
      </w:r>
      <w:r w:rsidRPr="00132E65">
        <w:rPr>
          <w:rtl/>
          <w:lang w:bidi="fa-IR"/>
        </w:rPr>
        <w:t xml:space="preserve"> عَلِيٌّ ، عَنْ أَبِيهِ ، عَنِ ابْنِ أَبِي نَصْرٍ ، عَنْ إِبْرَاهِيمَ بْنِ مُحَمَّدٍ الْأَشْعَرِيِّ ، عَنْ عُبَيْدِ بْنِ زُرَارَةَ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تُوُفِّيَ أَبُو طَالِبٍ ، نَزَلَ جَبْرَئِيلُ </w:t>
      </w:r>
      <w:r w:rsidRPr="00071CF9">
        <w:rPr>
          <w:rStyle w:val="libAlaemChar"/>
          <w:rtl/>
        </w:rPr>
        <w:t>عليه‌السلام</w:t>
      </w:r>
      <w:r w:rsidRPr="00132E65">
        <w:rPr>
          <w:rtl/>
          <w:lang w:bidi="fa-IR"/>
        </w:rPr>
        <w:t xml:space="preserve"> عَلى‌</w:t>
      </w:r>
    </w:p>
    <w:p w:rsidR="000C39D1" w:rsidRPr="00132E65" w:rsidRDefault="000C39D1" w:rsidP="000C39D1">
      <w:pPr>
        <w:pStyle w:val="libLine"/>
        <w:rPr>
          <w:rtl/>
          <w:lang w:bidi="fa-IR"/>
        </w:rPr>
      </w:pPr>
      <w:r w:rsidRPr="00132E65">
        <w:rPr>
          <w:rtl/>
          <w:lang w:bidi="fa-IR"/>
        </w:rPr>
        <w:t>__________________</w:t>
      </w:r>
    </w:p>
    <w:p w:rsidR="000C39D1" w:rsidRPr="00132E65" w:rsidRDefault="00E75E28" w:rsidP="000C39D1">
      <w:pPr>
        <w:pStyle w:val="libFootnote0"/>
        <w:rPr>
          <w:rtl/>
          <w:lang w:bidi="fa-IR"/>
        </w:rPr>
      </w:pPr>
      <w:r>
        <w:rPr>
          <w:rFonts w:hint="cs"/>
          <w:rtl/>
        </w:rPr>
        <w:t>=</w:t>
      </w:r>
      <w:r w:rsidR="000C39D1" w:rsidRPr="00132E65">
        <w:rPr>
          <w:rtl/>
        </w:rPr>
        <w:t xml:space="preserve">يقول : « لها جدد » وعلى الثاني يكون « له » </w:t>
      </w:r>
      <w:r w:rsidR="000C39D1">
        <w:rPr>
          <w:rtl/>
        </w:rPr>
        <w:t>و «</w:t>
      </w:r>
      <w:r w:rsidR="000C39D1" w:rsidRPr="00132E65">
        <w:rPr>
          <w:rtl/>
        </w:rPr>
        <w:t xml:space="preserve"> جدد » صفتين للثياب. وأمّا من حيث المعنى ؛ فإنّ كون الثياب ذات خطوط غير مؤثّر في شدّة قبح عمل المشركين هذا بخلاف كونها جديدة. راجع : </w:t>
      </w:r>
      <w:r w:rsidR="000C39D1" w:rsidRPr="00ED3085">
        <w:rPr>
          <w:rtl/>
        </w:rPr>
        <w:t>شرح المازندراني</w:t>
      </w:r>
      <w:r w:rsidR="000C39D1" w:rsidRPr="00132E65">
        <w:rPr>
          <w:rtl/>
        </w:rPr>
        <w:t xml:space="preserve"> ، ج 7 ، ص 176 ؛ </w:t>
      </w:r>
      <w:r w:rsidR="000C39D1" w:rsidRPr="009D1ACE">
        <w:rPr>
          <w:rStyle w:val="libFootnoteBoldChar"/>
          <w:rtl/>
        </w:rPr>
        <w:t>مرآة العقول</w:t>
      </w:r>
      <w:r w:rsidR="000C39D1" w:rsidRPr="00132E65">
        <w:rPr>
          <w:rtl/>
        </w:rPr>
        <w:t xml:space="preserve"> ، ج 5 ، ص 256 ؛ </w:t>
      </w:r>
      <w:r w:rsidR="000C39D1" w:rsidRPr="009D1ACE">
        <w:rPr>
          <w:rStyle w:val="libFootnoteBoldChar"/>
          <w:rtl/>
        </w:rPr>
        <w:t>لسان العرب</w:t>
      </w:r>
      <w:r w:rsidR="000C39D1" w:rsidRPr="00132E65">
        <w:rPr>
          <w:rtl/>
        </w:rPr>
        <w:t xml:space="preserve"> ، ج 3 ، ص 108 </w:t>
      </w:r>
      <w:r w:rsidR="000C39D1">
        <w:rPr>
          <w:rtl/>
        </w:rPr>
        <w:t>و 1</w:t>
      </w:r>
      <w:r w:rsidR="000C39D1" w:rsidRPr="00132E65">
        <w:rPr>
          <w:rtl/>
        </w:rPr>
        <w:t>11 ( جدد )</w:t>
      </w:r>
      <w:r w:rsidR="000C39D1">
        <w:rPr>
          <w:rtl/>
        </w:rPr>
        <w:t>.</w:t>
      </w:r>
    </w:p>
    <w:p w:rsidR="000C39D1" w:rsidRPr="00132E65" w:rsidRDefault="000C39D1" w:rsidP="000C39D1">
      <w:pPr>
        <w:pStyle w:val="libFootnote0"/>
        <w:rPr>
          <w:rtl/>
          <w:lang w:bidi="fa-IR"/>
        </w:rPr>
      </w:pPr>
      <w:r>
        <w:rPr>
          <w:rtl/>
        </w:rPr>
        <w:t>(1).</w:t>
      </w:r>
      <w:r w:rsidRPr="00132E65">
        <w:rPr>
          <w:rtl/>
        </w:rPr>
        <w:t xml:space="preserve"> « السَلى » : الجِلْد الرقيق الذي يخرج فيه الولد من بطن ا</w:t>
      </w:r>
      <w:r w:rsidR="00E75E28">
        <w:rPr>
          <w:rFonts w:hint="cs"/>
          <w:rtl/>
        </w:rPr>
        <w:t>ُ</w:t>
      </w:r>
      <w:r w:rsidRPr="00132E65">
        <w:rPr>
          <w:rtl/>
        </w:rPr>
        <w:t>مّه ملفوفاً فيه ، إن نزع</w:t>
      </w:r>
      <w:r w:rsidR="007C4EAE">
        <w:rPr>
          <w:rtl/>
        </w:rPr>
        <w:t>ت عن وجه الفصيل ساعةَ يولد وإل</w:t>
      </w:r>
      <w:r w:rsidR="007C4EAE">
        <w:rPr>
          <w:rFonts w:hint="cs"/>
          <w:rtl/>
        </w:rPr>
        <w:t>ّ</w:t>
      </w:r>
      <w:r w:rsidR="007C4EAE">
        <w:rPr>
          <w:rtl/>
        </w:rPr>
        <w:t>ا</w:t>
      </w:r>
      <w:r w:rsidRPr="00132E65">
        <w:rPr>
          <w:rtl/>
        </w:rPr>
        <w:t xml:space="preserve"> قتلته. وكذلك إن انقطع السلى في البطن. راجع : </w:t>
      </w:r>
      <w:r w:rsidRPr="00ED3085">
        <w:rPr>
          <w:rtl/>
        </w:rPr>
        <w:t>الصحاح</w:t>
      </w:r>
      <w:r w:rsidRPr="00132E65">
        <w:rPr>
          <w:rtl/>
        </w:rPr>
        <w:t xml:space="preserve"> ، ج 6 ، ص 2381 ؛ </w:t>
      </w:r>
      <w:r w:rsidRPr="00ED3085">
        <w:rPr>
          <w:rtl/>
        </w:rPr>
        <w:t>النهاية</w:t>
      </w:r>
      <w:r w:rsidRPr="00132E65">
        <w:rPr>
          <w:rtl/>
        </w:rPr>
        <w:t xml:space="preserve"> ، ج 2 ، ص 396 ( سلا )</w:t>
      </w:r>
      <w:r>
        <w:rPr>
          <w:rtl/>
        </w:rPr>
        <w:t>.</w:t>
      </w:r>
      <w:r w:rsidRPr="00132E65">
        <w:rPr>
          <w:rtl/>
        </w:rPr>
        <w:t xml:space="preserve"> وتأنيث الضمير الراجع إليه في الحديث باعتبار الجلدة أو باعتبار ما فيه من الكثافات.</w:t>
      </w:r>
    </w:p>
    <w:p w:rsidR="000C39D1" w:rsidRPr="00132E65" w:rsidRDefault="000C39D1" w:rsidP="000C39D1">
      <w:pPr>
        <w:pStyle w:val="libFootnote0"/>
        <w:rPr>
          <w:rtl/>
          <w:lang w:bidi="fa-IR"/>
        </w:rPr>
      </w:pPr>
      <w:r>
        <w:rPr>
          <w:rtl/>
        </w:rPr>
        <w:t>(2).</w:t>
      </w:r>
      <w:r w:rsidRPr="00132E65">
        <w:rPr>
          <w:rtl/>
        </w:rPr>
        <w:t xml:space="preserve"> في « ض » </w:t>
      </w:r>
      <w:r>
        <w:rPr>
          <w:rtl/>
        </w:rPr>
        <w:t xml:space="preserve">: - </w:t>
      </w:r>
      <w:r w:rsidRPr="00132E65">
        <w:rPr>
          <w:rtl/>
        </w:rPr>
        <w:t>«</w:t>
      </w:r>
      <w:r>
        <w:rPr>
          <w:rtl/>
        </w:rPr>
        <w:t xml:space="preserve"> و ».</w:t>
      </w:r>
      <w:r w:rsidRPr="00132E65">
        <w:rPr>
          <w:rtl/>
        </w:rPr>
        <w:t xml:space="preserve"> وفي البحار </w:t>
      </w:r>
      <w:r>
        <w:rPr>
          <w:rtl/>
        </w:rPr>
        <w:t xml:space="preserve">: - </w:t>
      </w:r>
      <w:r w:rsidRPr="00132E65">
        <w:rPr>
          <w:rtl/>
        </w:rPr>
        <w:t>« له</w:t>
      </w:r>
      <w:r>
        <w:rPr>
          <w:rtl/>
        </w:rPr>
        <w:t xml:space="preserve"> و ».</w:t>
      </w:r>
    </w:p>
    <w:p w:rsidR="000C39D1" w:rsidRPr="00132E65" w:rsidRDefault="000C39D1" w:rsidP="000C39D1">
      <w:pPr>
        <w:pStyle w:val="libFootnote0"/>
        <w:rPr>
          <w:rtl/>
          <w:lang w:bidi="fa-IR"/>
        </w:rPr>
      </w:pPr>
      <w:r>
        <w:rPr>
          <w:rtl/>
        </w:rPr>
        <w:t>(3).</w:t>
      </w:r>
      <w:r w:rsidRPr="00132E65">
        <w:rPr>
          <w:rtl/>
        </w:rPr>
        <w:t xml:space="preserve"> في « بح » : « ذلك »</w:t>
      </w:r>
      <w:r>
        <w:rPr>
          <w:rtl/>
        </w:rPr>
        <w:t>.</w:t>
      </w:r>
    </w:p>
    <w:p w:rsidR="000C39D1" w:rsidRPr="00132E65" w:rsidRDefault="000C39D1" w:rsidP="000C39D1">
      <w:pPr>
        <w:pStyle w:val="libFootnote0"/>
        <w:rPr>
          <w:rtl/>
          <w:lang w:bidi="fa-IR"/>
        </w:rPr>
      </w:pPr>
      <w:r>
        <w:rPr>
          <w:rtl/>
        </w:rPr>
        <w:t>(4).</w:t>
      </w:r>
      <w:r w:rsidRPr="00132E65">
        <w:rPr>
          <w:rtl/>
        </w:rPr>
        <w:t xml:space="preserve"> في حاشية « ب ، ج ، ض ، بس ، بر ، بف » والبحار ، ج 35 : « أسبلتهم »</w:t>
      </w:r>
      <w:r>
        <w:rPr>
          <w:rtl/>
        </w:rPr>
        <w:t>.</w:t>
      </w:r>
      <w:r w:rsidRPr="00132E65">
        <w:rPr>
          <w:rtl/>
        </w:rPr>
        <w:t xml:space="preserve"> وفي </w:t>
      </w:r>
      <w:r w:rsidRPr="009D1ACE">
        <w:rPr>
          <w:rStyle w:val="libFootnoteBoldChar"/>
          <w:rtl/>
        </w:rPr>
        <w:t>مرآة العقول</w:t>
      </w:r>
      <w:r w:rsidRPr="00132E65">
        <w:rPr>
          <w:rtl/>
        </w:rPr>
        <w:t xml:space="preserve"> عن بعض النسخ : « على‌أسبالهم »</w:t>
      </w:r>
      <w:r>
        <w:rPr>
          <w:rtl/>
        </w:rPr>
        <w:t>.</w:t>
      </w:r>
      <w:r w:rsidRPr="00132E65">
        <w:rPr>
          <w:rtl/>
        </w:rPr>
        <w:t xml:space="preserve"> </w:t>
      </w:r>
      <w:r>
        <w:rPr>
          <w:rtl/>
        </w:rPr>
        <w:t>و «</w:t>
      </w:r>
      <w:r w:rsidRPr="00132E65">
        <w:rPr>
          <w:rtl/>
        </w:rPr>
        <w:t xml:space="preserve"> السبال » : جمع السَبَلَة ، وهي الدائرة في وسط الشَفَة العليا ، أو ما على الشارب من الشَعر ، أو طرفه ، أو مجتمع الشاربين ، أو على ما الذَقَن إلى طرف اللحية كلّها أو مقدّمها خاصّة. </w:t>
      </w:r>
      <w:r w:rsidRPr="00ED3085">
        <w:rPr>
          <w:rtl/>
        </w:rPr>
        <w:t>القاموس المحيط</w:t>
      </w:r>
      <w:r w:rsidRPr="00132E65">
        <w:rPr>
          <w:rtl/>
        </w:rPr>
        <w:t xml:space="preserve"> ، ج 2 ، ص 1338.</w:t>
      </w:r>
    </w:p>
    <w:p w:rsidR="000C39D1" w:rsidRPr="00132E65" w:rsidRDefault="000C39D1" w:rsidP="000C39D1">
      <w:pPr>
        <w:pStyle w:val="libFootnote0"/>
        <w:rPr>
          <w:rtl/>
          <w:lang w:bidi="fa-IR"/>
        </w:rPr>
      </w:pPr>
      <w:r>
        <w:rPr>
          <w:rtl/>
        </w:rPr>
        <w:t>(5).</w:t>
      </w:r>
      <w:r w:rsidRPr="00132E65">
        <w:rPr>
          <w:rtl/>
        </w:rPr>
        <w:t xml:space="preserve"> في « بح » : « إلى »</w:t>
      </w:r>
      <w:r>
        <w:rPr>
          <w:rtl/>
        </w:rPr>
        <w:t>.</w:t>
      </w:r>
    </w:p>
    <w:p w:rsidR="000C39D1" w:rsidRPr="00132E65" w:rsidRDefault="000C39D1" w:rsidP="000C39D1">
      <w:pPr>
        <w:pStyle w:val="libFootnote0"/>
        <w:rPr>
          <w:rtl/>
          <w:lang w:bidi="fa-IR"/>
        </w:rPr>
      </w:pPr>
      <w:r>
        <w:rPr>
          <w:rtl/>
        </w:rPr>
        <w:t>(6).</w:t>
      </w:r>
      <w:r w:rsidRPr="00132E65">
        <w:rPr>
          <w:rtl/>
        </w:rPr>
        <w:t xml:space="preserve"> في حاشية « ج » : « هكذا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699 ، ح 1307 ؛ </w:t>
      </w:r>
      <w:r w:rsidRPr="00ED3085">
        <w:rPr>
          <w:rtl/>
        </w:rPr>
        <w:t>البحار</w:t>
      </w:r>
      <w:r w:rsidRPr="00132E65">
        <w:rPr>
          <w:rtl/>
        </w:rPr>
        <w:t xml:space="preserve"> ، ج 18 ، ص 239 ، ح 85 ؛ وج 35 ، ص 136 ، ح 82.</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C17CD8">
      <w:pPr>
        <w:pStyle w:val="libNormal0"/>
        <w:tabs>
          <w:tab w:val="left" w:pos="3968"/>
        </w:tabs>
        <w:rPr>
          <w:rtl/>
          <w:lang w:bidi="fa-IR"/>
        </w:rPr>
      </w:pPr>
      <w:r w:rsidRPr="00132E65">
        <w:rPr>
          <w:rtl/>
          <w:lang w:bidi="fa-IR"/>
        </w:rPr>
        <w:t xml:space="preserve">رَسُولِ اللهِ </w:t>
      </w:r>
      <w:r w:rsidR="00C17CD8" w:rsidRPr="0093484F">
        <w:rPr>
          <w:rStyle w:val="libAlaemChar"/>
          <w:rFonts w:eastAsiaTheme="minorHAnsi"/>
          <w:rtl/>
        </w:rPr>
        <w:t>صلى‌الله‌عليه‌وآله</w:t>
      </w:r>
      <w:r w:rsidR="00C17CD8" w:rsidRPr="00132E65">
        <w:rPr>
          <w:rtl/>
          <w:lang w:bidi="fa-IR"/>
        </w:rPr>
        <w:t xml:space="preserve"> </w:t>
      </w:r>
      <w:r w:rsidRPr="00132E65">
        <w:rPr>
          <w:rtl/>
          <w:lang w:bidi="fa-IR"/>
        </w:rPr>
        <w:t xml:space="preserve">، فَقَالَ : يَا مُحَمَّدُ ، اخْرُجْ مِنْ مَكَّةَ ؛ فَلَيْسَ لَكَ فِيهَا </w:t>
      </w:r>
      <w:r>
        <w:rPr>
          <w:rStyle w:val="libFootnotenumChar"/>
          <w:rtl/>
        </w:rPr>
        <w:t>(1)</w:t>
      </w:r>
      <w:r w:rsidRPr="00132E65">
        <w:rPr>
          <w:rtl/>
          <w:lang w:bidi="fa-IR"/>
        </w:rPr>
        <w:t xml:space="preserve"> نَاصِرٌ ، و</w:t>
      </w:r>
      <w:r w:rsidR="007C73A3">
        <w:rPr>
          <w:rFonts w:hint="cs"/>
          <w:rtl/>
          <w:lang w:bidi="fa-IR"/>
        </w:rPr>
        <w:t xml:space="preserve">َ </w:t>
      </w:r>
      <w:r w:rsidRPr="00132E65">
        <w:rPr>
          <w:rtl/>
          <w:lang w:bidi="fa-IR"/>
        </w:rPr>
        <w:t xml:space="preserve">ثَارَتْ قُرَيْشٌ </w:t>
      </w:r>
      <w:r>
        <w:rPr>
          <w:rStyle w:val="libFootnotenumChar"/>
          <w:rtl/>
        </w:rPr>
        <w:t>(2)</w:t>
      </w:r>
      <w:r w:rsidRPr="00132E65">
        <w:rPr>
          <w:rtl/>
          <w:lang w:bidi="fa-IR"/>
        </w:rPr>
        <w:t xml:space="preserve"> بِالنَّبِيِّ </w:t>
      </w:r>
      <w:r w:rsidRPr="0093484F">
        <w:rPr>
          <w:rStyle w:val="libAlaemChar"/>
          <w:rFonts w:eastAsiaTheme="minorHAnsi"/>
          <w:rtl/>
        </w:rPr>
        <w:t>صلى‌الله‌عليه‌وآله</w:t>
      </w:r>
      <w:r w:rsidRPr="00132E65">
        <w:rPr>
          <w:rtl/>
          <w:lang w:bidi="fa-IR"/>
        </w:rPr>
        <w:t xml:space="preserve"> ، فَخَرَجَ هَارِباً حَتّى جَاءَ إِلى جَبَلٍ بِمَكَّةَ </w:t>
      </w:r>
      <w:r>
        <w:rPr>
          <w:rStyle w:val="libFootnotenumChar"/>
          <w:rtl/>
        </w:rPr>
        <w:t>(3)</w:t>
      </w:r>
      <w:r>
        <w:rPr>
          <w:rtl/>
          <w:lang w:bidi="fa-IR"/>
        </w:rPr>
        <w:t xml:space="preserve"> - </w:t>
      </w:r>
      <w:r w:rsidRPr="00132E65">
        <w:rPr>
          <w:rtl/>
          <w:lang w:bidi="fa-IR"/>
        </w:rPr>
        <w:t>يُقَالُ لَهُ : الْحَجُونُ</w:t>
      </w:r>
      <w:r>
        <w:rPr>
          <w:rtl/>
          <w:lang w:bidi="fa-IR"/>
        </w:rPr>
        <w:t xml:space="preserve"> - </w:t>
      </w:r>
      <w:r w:rsidRPr="00132E65">
        <w:rPr>
          <w:rtl/>
          <w:lang w:bidi="fa-IR"/>
        </w:rPr>
        <w:t>فَصَارَ إِلَيْهِ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ED3085">
        <w:rPr>
          <w:rtl/>
        </w:rPr>
        <w:t>1223</w:t>
      </w:r>
      <w:r w:rsidRPr="004325D8">
        <w:rPr>
          <w:rStyle w:val="libBold2Char"/>
          <w:rtl/>
        </w:rPr>
        <w:t xml:space="preserve"> / 32.</w:t>
      </w:r>
      <w:r w:rsidRPr="00132E65">
        <w:rPr>
          <w:rtl/>
          <w:lang w:bidi="fa-IR"/>
        </w:rPr>
        <w:t xml:space="preserve"> عَلِيُّ بْنُ مُحَمَّدِ بْنِ عَبْدِ اللهِ و</w:t>
      </w:r>
      <w:r w:rsidR="007C73A3">
        <w:rPr>
          <w:rFonts w:hint="cs"/>
          <w:rtl/>
          <w:lang w:bidi="fa-IR"/>
        </w:rPr>
        <w:t xml:space="preserve">َ </w:t>
      </w:r>
      <w:r w:rsidRPr="00132E65">
        <w:rPr>
          <w:rtl/>
          <w:lang w:bidi="fa-IR"/>
        </w:rPr>
        <w:t>مُحَمَّدُ بْنُ يَحْيى ، عَنْ مُحَمَّدِ بْنِ عَبْدِ اللهِ رَفَعَهُ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أَبَا طَالِبٍ أَسْلَمَ بِحِسَابِ الْجُمَّلِ </w:t>
      </w:r>
      <w:r>
        <w:rPr>
          <w:rStyle w:val="libFootnotenumChar"/>
          <w:rtl/>
        </w:rPr>
        <w:t>(5)</w:t>
      </w:r>
      <w:r w:rsidRPr="00132E65">
        <w:rPr>
          <w:rtl/>
          <w:lang w:bidi="fa-IR"/>
        </w:rPr>
        <w:t xml:space="preserve"> » قَالَ </w:t>
      </w:r>
      <w:r>
        <w:rPr>
          <w:rStyle w:val="libFootnotenumChar"/>
          <w:rtl/>
        </w:rPr>
        <w:t>(6)</w:t>
      </w:r>
      <w:r w:rsidRPr="00132E65">
        <w:rPr>
          <w:rtl/>
          <w:lang w:bidi="fa-IR"/>
        </w:rPr>
        <w:t xml:space="preserve"> : « </w:t>
      </w:r>
      <w:r w:rsidR="00C17CD8">
        <w:rPr>
          <w:rtl/>
          <w:lang w:bidi="fa-IR"/>
        </w:rPr>
        <w:t>بِكُلِّ لِسَانٍ</w:t>
      </w:r>
      <w:r w:rsidRPr="00132E65">
        <w:rPr>
          <w:rtl/>
          <w:lang w:bidi="fa-IR"/>
        </w:rPr>
        <w:t>»</w:t>
      </w:r>
      <w:r>
        <w:rPr>
          <w:rtl/>
          <w:lang w:bidi="fa-IR"/>
        </w:rPr>
        <w:t>.</w:t>
      </w:r>
      <w:r>
        <w:rPr>
          <w:rStyle w:val="libFootnotenumChar"/>
          <w:rtl/>
        </w:rPr>
        <w:t>(7)</w:t>
      </w:r>
    </w:p>
    <w:p w:rsidR="000C39D1" w:rsidRPr="00132E65" w:rsidRDefault="000C39D1" w:rsidP="000C39D1">
      <w:pPr>
        <w:pStyle w:val="libNormal"/>
        <w:rPr>
          <w:rtl/>
          <w:lang w:bidi="fa-IR"/>
        </w:rPr>
      </w:pPr>
      <w:r w:rsidRPr="00ED3085">
        <w:rPr>
          <w:rtl/>
        </w:rPr>
        <w:t>1224</w:t>
      </w:r>
      <w:r w:rsidRPr="004325D8">
        <w:rPr>
          <w:rStyle w:val="libBold2Char"/>
          <w:rtl/>
        </w:rPr>
        <w:t xml:space="preserve"> / 33.</w:t>
      </w:r>
      <w:r w:rsidRPr="00132E65">
        <w:rPr>
          <w:rtl/>
          <w:lang w:bidi="fa-IR"/>
        </w:rPr>
        <w:t xml:space="preserve"> مُحَمَّدُ بْنُ يَحْيى </w:t>
      </w:r>
      <w:r>
        <w:rPr>
          <w:rStyle w:val="libFootnotenumChar"/>
          <w:rtl/>
        </w:rPr>
        <w:t>(8)</w:t>
      </w:r>
      <w:r w:rsidRPr="00132E65">
        <w:rPr>
          <w:rtl/>
          <w:lang w:bidi="fa-IR"/>
        </w:rPr>
        <w:t xml:space="preserve"> ، عَنْ أَحْمَدَ و</w:t>
      </w:r>
      <w:r w:rsidR="007C73A3">
        <w:rPr>
          <w:rFonts w:hint="cs"/>
          <w:rtl/>
          <w:lang w:bidi="fa-IR"/>
        </w:rPr>
        <w:t xml:space="preserve">َ </w:t>
      </w:r>
      <w:r w:rsidRPr="00132E65">
        <w:rPr>
          <w:rtl/>
          <w:lang w:bidi="fa-IR"/>
        </w:rPr>
        <w:t>عَبْدِ اللهِ ابْنَيْ مُحَمَّدِ بْنِ عِيسى ، عَنْ أَبِيهِمَا ، عَنْ عَبْدِ اللهِ بْنِ الْمُغِيرَةِ ، عَنْ إِسْمَاعِيلَ بْنِ أَبِي زِيَادٍ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أَسْلَمَ أَبُو طَالِبٍ بِحِسَابِ الْجُمَّلِ ، و</w:t>
      </w:r>
      <w:r w:rsidR="007C73A3">
        <w:rPr>
          <w:rFonts w:hint="cs"/>
          <w:rtl/>
          <w:lang w:bidi="fa-IR"/>
        </w:rPr>
        <w:t xml:space="preserve">َ </w:t>
      </w:r>
      <w:r w:rsidRPr="00132E65">
        <w:rPr>
          <w:rtl/>
          <w:lang w:bidi="fa-IR"/>
        </w:rPr>
        <w:t xml:space="preserve">عَقَدَ بِيَدِهِ </w:t>
      </w:r>
      <w:r>
        <w:rPr>
          <w:rStyle w:val="libFootnotenumChar"/>
          <w:rtl/>
        </w:rPr>
        <w:t>(9)</w:t>
      </w:r>
      <w:r w:rsidRPr="00132E65">
        <w:rPr>
          <w:rtl/>
          <w:lang w:bidi="fa-IR"/>
        </w:rPr>
        <w:t xml:space="preserve"> ثَلَاثاً‌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بح ، بر ، بس ، بف » وحاشية « ض ، ف » و</w:t>
      </w:r>
      <w:r w:rsidRPr="009D1ACE">
        <w:rPr>
          <w:rStyle w:val="libFootnoteBoldChar"/>
          <w:rtl/>
        </w:rPr>
        <w:t>الوافي</w:t>
      </w:r>
      <w:r w:rsidRPr="00132E65">
        <w:rPr>
          <w:rtl/>
        </w:rPr>
        <w:t xml:space="preserve"> والبحار ، ج 19 : « بها »</w:t>
      </w:r>
      <w:r>
        <w:rPr>
          <w:rtl/>
        </w:rPr>
        <w:t>.</w:t>
      </w:r>
    </w:p>
    <w:p w:rsidR="000C39D1" w:rsidRPr="00132E65" w:rsidRDefault="000C39D1" w:rsidP="000C39D1">
      <w:pPr>
        <w:pStyle w:val="libFootnote0"/>
        <w:rPr>
          <w:rtl/>
          <w:lang w:bidi="fa-IR"/>
        </w:rPr>
      </w:pPr>
      <w:r>
        <w:rPr>
          <w:rtl/>
        </w:rPr>
        <w:t>(2).</w:t>
      </w:r>
      <w:r w:rsidRPr="00132E65">
        <w:rPr>
          <w:rtl/>
        </w:rPr>
        <w:t xml:space="preserve"> في « بر » : « ثار الناس »</w:t>
      </w:r>
      <w:r>
        <w:rPr>
          <w:rtl/>
        </w:rPr>
        <w:t>.</w:t>
      </w:r>
      <w:r w:rsidRPr="00132E65">
        <w:rPr>
          <w:rtl/>
        </w:rPr>
        <w:t xml:space="preserve"> وقوله : « ثارتْ » ، أي و</w:t>
      </w:r>
      <w:r w:rsidR="007C73A3">
        <w:rPr>
          <w:rFonts w:hint="cs"/>
          <w:rtl/>
        </w:rPr>
        <w:t xml:space="preserve">َ </w:t>
      </w:r>
      <w:r w:rsidRPr="00132E65">
        <w:rPr>
          <w:rtl/>
        </w:rPr>
        <w:t xml:space="preserve">ثَبتْ وهاجت. راجع : </w:t>
      </w:r>
      <w:r w:rsidRPr="00ED3085">
        <w:rPr>
          <w:rtl/>
        </w:rPr>
        <w:t>الصحاح</w:t>
      </w:r>
      <w:r w:rsidRPr="00132E65">
        <w:rPr>
          <w:rtl/>
        </w:rPr>
        <w:t xml:space="preserve"> ، ج 2 ، ص 606 ( ثور )</w:t>
      </w:r>
      <w:r>
        <w:rPr>
          <w:rtl/>
        </w:rPr>
        <w:t>.</w:t>
      </w:r>
    </w:p>
    <w:p w:rsidR="000C39D1" w:rsidRPr="00132E65" w:rsidRDefault="000C39D1" w:rsidP="000C39D1">
      <w:pPr>
        <w:pStyle w:val="libFootnote0"/>
        <w:rPr>
          <w:rtl/>
          <w:lang w:bidi="fa-IR"/>
        </w:rPr>
      </w:pPr>
      <w:r>
        <w:rPr>
          <w:rtl/>
        </w:rPr>
        <w:t>(3).</w:t>
      </w:r>
      <w:r w:rsidRPr="00132E65">
        <w:rPr>
          <w:rtl/>
        </w:rPr>
        <w:t xml:space="preserve"> في « بف » : « مكّة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700 ، ح 1308 ؛ </w:t>
      </w:r>
      <w:r w:rsidRPr="00ED3085">
        <w:rPr>
          <w:rtl/>
        </w:rPr>
        <w:t>البحار</w:t>
      </w:r>
      <w:r w:rsidRPr="00132E65">
        <w:rPr>
          <w:rtl/>
        </w:rPr>
        <w:t xml:space="preserve"> ، ج 19 ، ص 14 ، ح 6 ؛ وج 35 ، ص 137 ، ح 83.</w:t>
      </w:r>
    </w:p>
    <w:p w:rsidR="000C39D1" w:rsidRPr="00132E65" w:rsidRDefault="000C39D1" w:rsidP="000C39D1">
      <w:pPr>
        <w:pStyle w:val="libFootnote0"/>
        <w:rPr>
          <w:rtl/>
          <w:lang w:bidi="fa-IR"/>
        </w:rPr>
      </w:pPr>
      <w:r>
        <w:rPr>
          <w:rtl/>
        </w:rPr>
        <w:t>(5).</w:t>
      </w:r>
      <w:r w:rsidRPr="00132E65">
        <w:rPr>
          <w:rtl/>
        </w:rPr>
        <w:t xml:space="preserve"> « حساب الجُمَّل » : الحروف المقطّعة على أبجد. قال المازندراني : « لعلّ المراد بالحساب العدد والقدر ، وبالجُمَل</w:t>
      </w:r>
      <w:r>
        <w:rPr>
          <w:rtl/>
        </w:rPr>
        <w:t xml:space="preserve"> - </w:t>
      </w:r>
      <w:r w:rsidRPr="00132E65">
        <w:rPr>
          <w:rtl/>
        </w:rPr>
        <w:t>بتخفيف الميم</w:t>
      </w:r>
      <w:r>
        <w:rPr>
          <w:rtl/>
        </w:rPr>
        <w:t xml:space="preserve"> - </w:t>
      </w:r>
      <w:r w:rsidRPr="00132E65">
        <w:rPr>
          <w:rtl/>
        </w:rPr>
        <w:t>جمع الجملة وهي الطائفة ؛ يعني أنّه آمن بعدد كلّ طائفة وقدرهم »</w:t>
      </w:r>
      <w:r>
        <w:rPr>
          <w:rtl/>
        </w:rPr>
        <w:t>.</w:t>
      </w:r>
      <w:r w:rsidRPr="00132E65">
        <w:rPr>
          <w:rtl/>
        </w:rPr>
        <w:t xml:space="preserve"> راجع : </w:t>
      </w:r>
      <w:r w:rsidRPr="009D1ACE">
        <w:rPr>
          <w:rStyle w:val="libFootnoteBoldChar"/>
          <w:rtl/>
        </w:rPr>
        <w:t>لسان العرب</w:t>
      </w:r>
      <w:r w:rsidRPr="00132E65">
        <w:rPr>
          <w:rtl/>
        </w:rPr>
        <w:t xml:space="preserve"> ، ج 11 ، ص 128 ( جمل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ويمكن أن يكون ضمير « قال » أوّلاً راجعاً إلى الراوي ، وثانياً إلى الإمام </w:t>
      </w:r>
      <w:r w:rsidRPr="007C73A3">
        <w:rPr>
          <w:rStyle w:val="libFootnoteAlaemChar"/>
          <w:rtl/>
        </w:rPr>
        <w:t>عليه‌السلام</w:t>
      </w:r>
      <w:r w:rsidRPr="00132E65">
        <w:rPr>
          <w:rtl/>
        </w:rPr>
        <w:t xml:space="preserve"> بأن يكون الراوي قال من نفسه أو ناقلاً عن غيره : إنّ أبا طالب أظهر إسلامه للرسول </w:t>
      </w:r>
      <w:r w:rsidRPr="007C73A3">
        <w:rPr>
          <w:rStyle w:val="libFootnoteAlaemChar"/>
          <w:rFonts w:eastAsiaTheme="minorHAnsi"/>
          <w:rtl/>
        </w:rPr>
        <w:t>صلى‌الله‌عليه‌وآله</w:t>
      </w:r>
      <w:r w:rsidRPr="00132E65">
        <w:rPr>
          <w:rtl/>
          <w:lang w:bidi="fa-IR"/>
        </w:rPr>
        <w:t xml:space="preserve"> </w:t>
      </w:r>
      <w:r w:rsidRPr="00132E65">
        <w:rPr>
          <w:rtl/>
        </w:rPr>
        <w:t>بحساب الجمّل</w:t>
      </w:r>
      <w:r>
        <w:rPr>
          <w:rtl/>
        </w:rPr>
        <w:t xml:space="preserve"> ..</w:t>
      </w:r>
      <w:r w:rsidRPr="00132E65">
        <w:rPr>
          <w:rtl/>
        </w:rPr>
        <w:t xml:space="preserve">. فأجاب </w:t>
      </w:r>
      <w:r w:rsidRPr="007C73A3">
        <w:rPr>
          <w:rStyle w:val="libFootnoteAlaemChar"/>
          <w:rtl/>
        </w:rPr>
        <w:t>عليه‌السلام</w:t>
      </w:r>
      <w:r w:rsidRPr="00132E65">
        <w:rPr>
          <w:rtl/>
        </w:rPr>
        <w:t xml:space="preserve"> بأنّه أظهر إسلامه بجميع الألسن ؛ فإنّه كان عارفاً بها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700 ، ح 1309 ؛ </w:t>
      </w:r>
      <w:r w:rsidRPr="00ED3085">
        <w:rPr>
          <w:rtl/>
        </w:rPr>
        <w:t>البحار</w:t>
      </w:r>
      <w:r w:rsidRPr="00132E65">
        <w:rPr>
          <w:rtl/>
        </w:rPr>
        <w:t xml:space="preserve"> ، ج 35 ، ص 78 ، ح 16.</w:t>
      </w:r>
    </w:p>
    <w:p w:rsidR="000C39D1" w:rsidRPr="00132E65" w:rsidRDefault="000C39D1" w:rsidP="000C39D1">
      <w:pPr>
        <w:pStyle w:val="libFootnote0"/>
        <w:rPr>
          <w:rtl/>
          <w:lang w:bidi="fa-IR"/>
        </w:rPr>
      </w:pPr>
      <w:r>
        <w:rPr>
          <w:rtl/>
        </w:rPr>
        <w:t>(8).</w:t>
      </w:r>
      <w:r w:rsidRPr="00132E65">
        <w:rPr>
          <w:rtl/>
        </w:rPr>
        <w:t xml:space="preserve"> في البحار : « محمّد بن عبدالله »</w:t>
      </w:r>
      <w:r>
        <w:rPr>
          <w:rtl/>
        </w:rPr>
        <w:t>.</w:t>
      </w:r>
      <w:r w:rsidRPr="00132E65">
        <w:rPr>
          <w:rtl/>
        </w:rPr>
        <w:t xml:space="preserve"> وهو سهو ظاهراً ؛ فإنّ المراد من محمّد بن عبدالله في مشايخ الكليني هومحمّد بن عبدالله بن جعفر الحميري وهو لا يروي في أسناد </w:t>
      </w:r>
      <w:r w:rsidRPr="000577A7">
        <w:rPr>
          <w:rStyle w:val="libFootnoteBoldChar"/>
          <w:rtl/>
        </w:rPr>
        <w:t>الكافي</w:t>
      </w:r>
      <w:r w:rsidRPr="00132E65">
        <w:rPr>
          <w:rtl/>
        </w:rPr>
        <w:t xml:space="preserve"> إل</w:t>
      </w:r>
      <w:r w:rsidR="007C73A3">
        <w:rPr>
          <w:rFonts w:hint="cs"/>
          <w:rtl/>
        </w:rPr>
        <w:t>ّ</w:t>
      </w:r>
      <w:r w:rsidRPr="00132E65">
        <w:rPr>
          <w:rtl/>
        </w:rPr>
        <w:t>اعن أبيه.</w:t>
      </w:r>
    </w:p>
    <w:p w:rsidR="000C39D1" w:rsidRPr="00132E65" w:rsidRDefault="000C39D1" w:rsidP="000C39D1">
      <w:pPr>
        <w:pStyle w:val="libFootnote0"/>
        <w:rPr>
          <w:rtl/>
          <w:lang w:bidi="fa-IR"/>
        </w:rPr>
      </w:pPr>
      <w:r>
        <w:rPr>
          <w:rtl/>
        </w:rPr>
        <w:t>(9).</w:t>
      </w:r>
      <w:r w:rsidRPr="00132E65">
        <w:rPr>
          <w:rtl/>
        </w:rPr>
        <w:t xml:space="preserve"> في « بف » : « به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وَسِتِّينَ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8711D2">
        <w:rPr>
          <w:rtl/>
        </w:rPr>
        <w:t>1225</w:t>
      </w:r>
      <w:r w:rsidRPr="004325D8">
        <w:rPr>
          <w:rStyle w:val="libBold2Char"/>
          <w:rtl/>
        </w:rPr>
        <w:t xml:space="preserve"> / 34.</w:t>
      </w:r>
      <w:r w:rsidRPr="00132E65">
        <w:rPr>
          <w:rtl/>
          <w:lang w:bidi="fa-IR"/>
        </w:rPr>
        <w:t xml:space="preserve"> مُحَمَّدُ بْنُ يَحْيى ، عَنْ أَحْمَدَ بْنِ مُحَمَّدٍ ، عَنِ ابْنِ فَضَّالٍ ، عَنِ الْحُسَيْنِ بْنِ عُلْوَانَ الْكَلْبِيِّ ، عَنْ عَلِيِّ بْنِ الْحَزَوَّرِ </w:t>
      </w:r>
      <w:r>
        <w:rPr>
          <w:rStyle w:val="libFootnotenumChar"/>
          <w:rtl/>
        </w:rPr>
        <w:t>(3)</w:t>
      </w:r>
      <w:r w:rsidRPr="00132E65">
        <w:rPr>
          <w:rtl/>
          <w:lang w:bidi="fa-IR"/>
        </w:rPr>
        <w:t xml:space="preserve"> الْغَنَوِيِّ ، عَنْ أَصْبَغَ بْنِ نُبَاتَةَ الْحَنْظَلِيِّ ، قَالَ :</w:t>
      </w:r>
    </w:p>
    <w:p w:rsidR="000C39D1" w:rsidRPr="00132E65" w:rsidRDefault="000C39D1" w:rsidP="000C39D1">
      <w:pPr>
        <w:pStyle w:val="libNormal"/>
        <w:rPr>
          <w:rtl/>
          <w:lang w:bidi="fa-IR"/>
        </w:rPr>
      </w:pPr>
      <w:r w:rsidRPr="00132E65">
        <w:rPr>
          <w:rtl/>
          <w:lang w:bidi="fa-IR"/>
        </w:rPr>
        <w:t xml:space="preserve">رَأَيْتُ أَمِيرَ الْمُؤْمِنِينَ </w:t>
      </w:r>
      <w:r w:rsidRPr="00071CF9">
        <w:rPr>
          <w:rStyle w:val="libAlaemChar"/>
          <w:rtl/>
        </w:rPr>
        <w:t>عليه‌السلام</w:t>
      </w:r>
      <w:r w:rsidRPr="00132E65">
        <w:rPr>
          <w:rtl/>
          <w:lang w:bidi="fa-IR"/>
        </w:rPr>
        <w:t xml:space="preserve"> يَوْمَ افْتَتَحَ الْبَصْرَةَ ، و</w:t>
      </w:r>
      <w:r w:rsidR="008F7ACD">
        <w:rPr>
          <w:rFonts w:hint="cs"/>
          <w:rtl/>
          <w:lang w:bidi="fa-IR"/>
        </w:rPr>
        <w:t xml:space="preserve">َ </w:t>
      </w:r>
      <w:r w:rsidRPr="00132E65">
        <w:rPr>
          <w:rtl/>
          <w:lang w:bidi="fa-IR"/>
        </w:rPr>
        <w:t xml:space="preserve">رَكِبَ بَغْلَةَ رَسُولِ اللهِ </w:t>
      </w:r>
      <w:r w:rsidRPr="0093484F">
        <w:rPr>
          <w:rStyle w:val="libAlaemChar"/>
          <w:rFonts w:eastAsiaTheme="minorHAnsi"/>
          <w:rtl/>
        </w:rPr>
        <w:t>صلى‌الله‌عليه‌وآله</w:t>
      </w:r>
      <w:r w:rsidRPr="00132E65">
        <w:rPr>
          <w:rtl/>
          <w:lang w:bidi="fa-IR"/>
        </w:rPr>
        <w:t xml:space="preserve"> ، ثُمَّ قَالَ :</w:t>
      </w:r>
      <w:r>
        <w:rPr>
          <w:rFonts w:hint="cs"/>
          <w:rtl/>
          <w:lang w:bidi="fa-IR"/>
        </w:rPr>
        <w:t xml:space="preserve"> </w:t>
      </w:r>
      <w:r w:rsidRPr="00132E65">
        <w:rPr>
          <w:rtl/>
          <w:lang w:bidi="fa-IR"/>
        </w:rPr>
        <w:t xml:space="preserve">« أَيُّهَا </w:t>
      </w:r>
      <w:r>
        <w:rPr>
          <w:rStyle w:val="libFootnotenumChar"/>
          <w:rtl/>
        </w:rPr>
        <w:t>(4)</w:t>
      </w:r>
      <w:r>
        <w:rPr>
          <w:rtl/>
          <w:lang w:bidi="fa-IR"/>
        </w:rPr>
        <w:t xml:space="preserve"> النَّاسُ ، أَ</w:t>
      </w:r>
      <w:r w:rsidRPr="00132E65">
        <w:rPr>
          <w:rtl/>
          <w:lang w:bidi="fa-IR"/>
        </w:rPr>
        <w:t>لَا</w:t>
      </w:r>
      <w:r>
        <w:rPr>
          <w:rFonts w:hint="cs"/>
          <w:rtl/>
          <w:lang w:bidi="fa-IR"/>
        </w:rPr>
        <w:t xml:space="preserve"> </w:t>
      </w:r>
      <w:r w:rsidRPr="00132E65">
        <w:rPr>
          <w:rtl/>
          <w:lang w:bidi="fa-IR"/>
        </w:rPr>
        <w:t>أُخْبِرُكُمْ بِخَيْرِ الْخَلْقِ يَوْمَ يَجْمَعُهُمُ اللهُ</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فَقَامَ إِلَيْهِ أَبُو أَيُّوبَ الْأَنْصَارِيُّ ، فَقَالَ </w:t>
      </w:r>
      <w:r>
        <w:rPr>
          <w:rStyle w:val="libFootnotenumChar"/>
          <w:rtl/>
        </w:rPr>
        <w:t>(5)</w:t>
      </w:r>
      <w:r w:rsidRPr="00132E65">
        <w:rPr>
          <w:rtl/>
          <w:lang w:bidi="fa-IR"/>
        </w:rPr>
        <w:t xml:space="preserve"> : بَلى يَا أَمِيرَ الْمُؤْمِنِينَ ، حَدِّثْنَا ؛ فَإِنَّكَ كُنْتَ تَشْهَدُ و</w:t>
      </w:r>
      <w:r w:rsidR="008F7ACD">
        <w:rPr>
          <w:rFonts w:hint="cs"/>
          <w:rtl/>
          <w:lang w:bidi="fa-IR"/>
        </w:rPr>
        <w:t xml:space="preserve">َ </w:t>
      </w:r>
      <w:r w:rsidRPr="00132E65">
        <w:rPr>
          <w:rtl/>
          <w:lang w:bidi="fa-IR"/>
        </w:rPr>
        <w:t xml:space="preserve">نَغِيبُ </w:t>
      </w:r>
      <w:r>
        <w:rPr>
          <w:rStyle w:val="libFootnotenumChar"/>
          <w:rtl/>
        </w:rPr>
        <w:t>(6)</w:t>
      </w:r>
    </w:p>
    <w:p w:rsidR="000C39D1" w:rsidRPr="00132E65" w:rsidRDefault="000C39D1" w:rsidP="000C39D1">
      <w:pPr>
        <w:pStyle w:val="libNormal"/>
        <w:rPr>
          <w:rtl/>
          <w:lang w:bidi="fa-IR"/>
        </w:rPr>
      </w:pPr>
      <w:r w:rsidRPr="00132E65">
        <w:rPr>
          <w:rtl/>
          <w:lang w:bidi="fa-IR"/>
        </w:rPr>
        <w:t xml:space="preserve">فَقَالَ : « إِنَّ خَيْرَ الْخَلْقِ يَوْمَ يَجْمَعُهُمُ </w:t>
      </w:r>
      <w:r>
        <w:rPr>
          <w:rStyle w:val="libFootnotenumChar"/>
          <w:rtl/>
        </w:rPr>
        <w:t>(7)</w:t>
      </w:r>
      <w:r w:rsidRPr="00132E65">
        <w:rPr>
          <w:rtl/>
          <w:lang w:bidi="fa-IR"/>
        </w:rPr>
        <w:t xml:space="preserve"> اللهُ سَبْعَةٌ مِنْ و</w:t>
      </w:r>
      <w:r w:rsidR="00557BB8">
        <w:rPr>
          <w:rFonts w:hint="cs"/>
          <w:rtl/>
          <w:lang w:bidi="fa-IR"/>
        </w:rPr>
        <w:t>ُ</w:t>
      </w:r>
      <w:r w:rsidRPr="00132E65">
        <w:rPr>
          <w:rtl/>
          <w:lang w:bidi="fa-IR"/>
        </w:rPr>
        <w:t>لْدِ عَبْدِ الْمُطَّلِبِ</w:t>
      </w:r>
      <w:r w:rsidR="0036158E">
        <w:rPr>
          <w:rtl/>
          <w:lang w:bidi="fa-IR"/>
        </w:rPr>
        <w:t xml:space="preserve"> ، لَايُنْكِرُ فَضْلَهُمْ إِل</w:t>
      </w:r>
      <w:r w:rsidR="0036158E">
        <w:rPr>
          <w:rFonts w:hint="cs"/>
          <w:rtl/>
          <w:lang w:bidi="fa-IR"/>
        </w:rPr>
        <w:t>َّ</w:t>
      </w:r>
      <w:r w:rsidR="0036158E">
        <w:rPr>
          <w:rtl/>
          <w:lang w:bidi="fa-IR"/>
        </w:rPr>
        <w:t>ا</w:t>
      </w:r>
      <w:r w:rsidRPr="00132E65">
        <w:rPr>
          <w:rtl/>
          <w:lang w:bidi="fa-IR"/>
        </w:rPr>
        <w:t xml:space="preserve"> كَافِرٌ ، و</w:t>
      </w:r>
      <w:r w:rsidR="0036158E">
        <w:rPr>
          <w:rFonts w:hint="cs"/>
          <w:rtl/>
          <w:lang w:bidi="fa-IR"/>
        </w:rPr>
        <w:t xml:space="preserve">َ </w:t>
      </w:r>
      <w:r w:rsidR="0036158E">
        <w:rPr>
          <w:rtl/>
          <w:lang w:bidi="fa-IR"/>
        </w:rPr>
        <w:t>لَايَجْحَدُ بِهِ إِل</w:t>
      </w:r>
      <w:r w:rsidR="0036158E">
        <w:rPr>
          <w:rFonts w:hint="cs"/>
          <w:rtl/>
          <w:lang w:bidi="fa-IR"/>
        </w:rPr>
        <w:t>َّ</w:t>
      </w:r>
      <w:r w:rsidR="0036158E">
        <w:rPr>
          <w:rtl/>
          <w:lang w:bidi="fa-IR"/>
        </w:rPr>
        <w:t>ا</w:t>
      </w:r>
      <w:r w:rsidRPr="00132E65">
        <w:rPr>
          <w:rtl/>
          <w:lang w:bidi="fa-IR"/>
        </w:rPr>
        <w:t xml:space="preserve"> جَاحِدٌ »</w:t>
      </w:r>
      <w:r>
        <w:rPr>
          <w:rtl/>
          <w:lang w:bidi="fa-IR"/>
        </w:rPr>
        <w:t>.</w:t>
      </w:r>
    </w:p>
    <w:p w:rsidR="000C39D1" w:rsidRPr="00132E65" w:rsidRDefault="000C39D1" w:rsidP="0036158E">
      <w:pPr>
        <w:pStyle w:val="libNormal"/>
        <w:rPr>
          <w:rtl/>
          <w:lang w:bidi="fa-IR"/>
        </w:rPr>
      </w:pPr>
      <w:r w:rsidRPr="00132E65">
        <w:rPr>
          <w:rtl/>
          <w:lang w:bidi="fa-IR"/>
        </w:rPr>
        <w:t xml:space="preserve">فَقَامَ عَمَّارُ بْنُ يَاسِرٍ رَحِمَهُ اللهُ </w:t>
      </w:r>
      <w:r>
        <w:rPr>
          <w:rStyle w:val="libFootnotenumChar"/>
          <w:rtl/>
        </w:rPr>
        <w:t>(8)</w:t>
      </w:r>
      <w:r w:rsidRPr="00132E65">
        <w:rPr>
          <w:rtl/>
          <w:lang w:bidi="fa-IR"/>
        </w:rPr>
        <w:t xml:space="preserve"> ، فَقَالَ </w:t>
      </w:r>
      <w:r>
        <w:rPr>
          <w:rStyle w:val="libFootnotenumChar"/>
          <w:rtl/>
        </w:rPr>
        <w:t>(9)</w:t>
      </w:r>
      <w:r w:rsidRPr="00132E65">
        <w:rPr>
          <w:rtl/>
          <w:lang w:bidi="fa-IR"/>
        </w:rPr>
        <w:t xml:space="preserve"> : يَا أَمِيرَ الْمُؤْمِنِينَ ، سَمِّهِمْ‌</w:t>
      </w:r>
      <w:r w:rsidR="0036158E">
        <w:rPr>
          <w:rFonts w:hint="cs"/>
          <w:rtl/>
          <w:lang w:bidi="fa-IR"/>
        </w:rPr>
        <w:t>..........</w:t>
      </w:r>
      <w:r w:rsidR="003915A6">
        <w:rPr>
          <w:rFonts w:hint="cs"/>
          <w:rtl/>
          <w:lang w:bidi="fa-IR"/>
        </w:rPr>
        <w:t>.....</w:t>
      </w:r>
      <w:r w:rsidR="0036158E">
        <w:rPr>
          <w:rFonts w:hint="cs"/>
          <w:rtl/>
          <w:lang w:bidi="fa-IR"/>
        </w:rPr>
        <w:t>...</w:t>
      </w:r>
      <w:r w:rsidR="0036158E">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بف » :</w:t>
      </w:r>
      <w:r>
        <w:rPr>
          <w:rtl/>
        </w:rPr>
        <w:t xml:space="preserve"> + </w:t>
      </w:r>
      <w:r w:rsidRPr="00132E65">
        <w:rPr>
          <w:rtl/>
        </w:rPr>
        <w:t>« سنة »</w:t>
      </w:r>
      <w:r>
        <w:rPr>
          <w:rtl/>
        </w:rPr>
        <w:t>.</w:t>
      </w:r>
      <w:r w:rsidRPr="00132E65">
        <w:rPr>
          <w:rtl/>
        </w:rPr>
        <w:t xml:space="preserve"> في </w:t>
      </w:r>
      <w:r w:rsidRPr="008711D2">
        <w:rPr>
          <w:rtl/>
        </w:rPr>
        <w:t>معاني الأخبار</w:t>
      </w:r>
      <w:r w:rsidRPr="00132E65">
        <w:rPr>
          <w:rtl/>
        </w:rPr>
        <w:t xml:space="preserve"> ، ص 286 ، ح 2 : « سئل أبوالقاسم الحسين بن روح عن معنى هذا الخبر ، فقال : عنى بذلك « إله أحد جواد » قال : وتفسير ذلك أنّ الألف واحد ، واللام ثلاثون ، والهاء خمسة ، والألف واحد ، والحاء ثمانية ، والدال أربعة ، والجيم ثلاثة ، والواو ستّة ، والألف واحد ، والدال أربعة ؛ فذلك ثلاثة وستّون »</w:t>
      </w:r>
      <w:r>
        <w:rPr>
          <w:rtl/>
        </w:rPr>
        <w:t>.</w:t>
      </w:r>
      <w:r w:rsidRPr="00132E65">
        <w:rPr>
          <w:rtl/>
        </w:rPr>
        <w:t xml:space="preserve"> وقال في </w:t>
      </w:r>
      <w:r w:rsidRPr="009D1ACE">
        <w:rPr>
          <w:rStyle w:val="libFootnoteBoldChar"/>
          <w:rtl/>
        </w:rPr>
        <w:t>الوافي</w:t>
      </w:r>
      <w:r w:rsidRPr="00132E65">
        <w:rPr>
          <w:rtl/>
        </w:rPr>
        <w:t xml:space="preserve"> : « لعلّ المراد بالحديث أنّه أظهر إسلامه بكلمات كان عددها بحساب الجُمَّل ثلاثة وستّين ؛ ففسّر ابن روح تلك الكلمات وعدّدها »</w:t>
      </w:r>
      <w:r>
        <w:rPr>
          <w:rtl/>
        </w:rPr>
        <w:t>.</w:t>
      </w:r>
    </w:p>
    <w:p w:rsidR="000C39D1" w:rsidRPr="00132E65" w:rsidRDefault="000C39D1" w:rsidP="000C39D1">
      <w:pPr>
        <w:pStyle w:val="libFootnote0"/>
        <w:rPr>
          <w:rtl/>
          <w:lang w:bidi="fa-IR"/>
        </w:rPr>
      </w:pPr>
      <w:r>
        <w:rPr>
          <w:rtl/>
        </w:rPr>
        <w:t>(2).</w:t>
      </w:r>
      <w:r w:rsidRPr="00132E65">
        <w:rPr>
          <w:rtl/>
        </w:rPr>
        <w:t xml:space="preserve"> </w:t>
      </w:r>
      <w:r w:rsidRPr="008711D2">
        <w:rPr>
          <w:rtl/>
        </w:rPr>
        <w:t>كمال الدين</w:t>
      </w:r>
      <w:r w:rsidRPr="00132E65">
        <w:rPr>
          <w:rtl/>
        </w:rPr>
        <w:t xml:space="preserve"> ، ص 519 ، ح 48 ؛ و</w:t>
      </w:r>
      <w:r w:rsidRPr="008711D2">
        <w:rPr>
          <w:rtl/>
        </w:rPr>
        <w:t>معاني الأخبار</w:t>
      </w:r>
      <w:r w:rsidRPr="00132E65">
        <w:rPr>
          <w:rtl/>
        </w:rPr>
        <w:t xml:space="preserve"> ، ص 286 ، ح 2 ، بسند آخر عن أبي القاسم الحسين بن روح </w:t>
      </w:r>
      <w:r w:rsidR="009A0EA5">
        <w:rPr>
          <w:rFonts w:hint="cs"/>
          <w:rtl/>
        </w:rPr>
        <w:t xml:space="preserve">. </w:t>
      </w:r>
      <w:r w:rsidRPr="009D1ACE">
        <w:rPr>
          <w:rStyle w:val="libFootnoteBoldChar"/>
          <w:rtl/>
        </w:rPr>
        <w:t>الوافي</w:t>
      </w:r>
      <w:r w:rsidRPr="00132E65">
        <w:rPr>
          <w:rtl/>
        </w:rPr>
        <w:t xml:space="preserve"> ، ج 3 ، ص 700 ، ح 1310 ؛ </w:t>
      </w:r>
      <w:r w:rsidRPr="008711D2">
        <w:rPr>
          <w:rtl/>
        </w:rPr>
        <w:t>البحار</w:t>
      </w:r>
      <w:r w:rsidRPr="00132E65">
        <w:rPr>
          <w:rtl/>
        </w:rPr>
        <w:t xml:space="preserve"> ، ج 35 ، ص 78 ، ح 17.</w:t>
      </w:r>
    </w:p>
    <w:p w:rsidR="000C39D1" w:rsidRPr="00132E65" w:rsidRDefault="000C39D1" w:rsidP="000C39D1">
      <w:pPr>
        <w:pStyle w:val="libFootnote0"/>
        <w:rPr>
          <w:rtl/>
          <w:lang w:bidi="fa-IR"/>
        </w:rPr>
      </w:pPr>
      <w:r>
        <w:rPr>
          <w:rtl/>
        </w:rPr>
        <w:t>(3).</w:t>
      </w:r>
      <w:r w:rsidRPr="00132E65">
        <w:rPr>
          <w:rtl/>
        </w:rPr>
        <w:t xml:space="preserve"> في « ج » : « الخرور »</w:t>
      </w:r>
      <w:r>
        <w:rPr>
          <w:rtl/>
        </w:rPr>
        <w:t>.</w:t>
      </w:r>
      <w:r w:rsidRPr="00132E65">
        <w:rPr>
          <w:rtl/>
        </w:rPr>
        <w:t xml:space="preserve"> وفي « بح » : « الجزور »</w:t>
      </w:r>
      <w:r>
        <w:rPr>
          <w:rtl/>
        </w:rPr>
        <w:t>.</w:t>
      </w:r>
      <w:r w:rsidRPr="00132E65">
        <w:rPr>
          <w:rtl/>
        </w:rPr>
        <w:t xml:space="preserve"> وكلاهما سهو. وعلى هذا ، هو عليّ بن الحَزَوَّر الغَنَويّ الكوفيّ. راجع : </w:t>
      </w:r>
      <w:r w:rsidRPr="008711D2">
        <w:rPr>
          <w:rtl/>
        </w:rPr>
        <w:t>تهذيب الكمال</w:t>
      </w:r>
      <w:r w:rsidRPr="00132E65">
        <w:rPr>
          <w:rtl/>
        </w:rPr>
        <w:t xml:space="preserve"> ، ج 20 ، ص 366 ، الرقم 4039 ، وما بهامشه من المصادر.</w:t>
      </w:r>
    </w:p>
    <w:tbl>
      <w:tblPr>
        <w:tblStyle w:val="TableGrid"/>
        <w:bidiVisual/>
        <w:tblW w:w="0" w:type="auto"/>
        <w:tblLook w:val="04A0" w:firstRow="1" w:lastRow="0" w:firstColumn="1" w:lastColumn="0" w:noHBand="0" w:noVBand="1"/>
      </w:tblPr>
      <w:tblGrid>
        <w:gridCol w:w="4006"/>
        <w:gridCol w:w="4006"/>
      </w:tblGrid>
      <w:tr w:rsidR="009A0EA5" w:rsidTr="009A0EA5">
        <w:tc>
          <w:tcPr>
            <w:tcW w:w="4006" w:type="dxa"/>
          </w:tcPr>
          <w:p w:rsidR="009A0EA5" w:rsidRDefault="009A0EA5" w:rsidP="000C39D1">
            <w:pPr>
              <w:pStyle w:val="libFootnote0"/>
              <w:rPr>
                <w:rtl/>
              </w:rPr>
            </w:pPr>
            <w:r>
              <w:rPr>
                <w:rtl/>
              </w:rPr>
              <w:t>(4).</w:t>
            </w:r>
            <w:r w:rsidRPr="00132E65">
              <w:rPr>
                <w:rtl/>
              </w:rPr>
              <w:t xml:space="preserve"> في البحار : « يا أيّها »</w:t>
            </w:r>
            <w:r>
              <w:rPr>
                <w:rtl/>
              </w:rPr>
              <w:t>.</w:t>
            </w:r>
          </w:p>
        </w:tc>
        <w:tc>
          <w:tcPr>
            <w:tcW w:w="4006" w:type="dxa"/>
          </w:tcPr>
          <w:p w:rsidR="009A0EA5" w:rsidRDefault="009A0EA5" w:rsidP="000C39D1">
            <w:pPr>
              <w:pStyle w:val="libFootnote0"/>
              <w:rPr>
                <w:rtl/>
              </w:rPr>
            </w:pPr>
            <w:r>
              <w:rPr>
                <w:rtl/>
              </w:rPr>
              <w:t>(5).</w:t>
            </w:r>
            <w:r w:rsidRPr="00132E65">
              <w:rPr>
                <w:rtl/>
              </w:rPr>
              <w:t xml:space="preserve"> في « بح » : « وقال »</w:t>
            </w:r>
            <w:r>
              <w:rPr>
                <w:rtl/>
              </w:rPr>
              <w:t>.</w:t>
            </w:r>
          </w:p>
        </w:tc>
      </w:tr>
    </w:tbl>
    <w:p w:rsidR="000C39D1" w:rsidRPr="00132E65" w:rsidRDefault="000C39D1" w:rsidP="000C39D1">
      <w:pPr>
        <w:pStyle w:val="libFootnote0"/>
        <w:rPr>
          <w:rtl/>
          <w:lang w:bidi="fa-IR"/>
        </w:rPr>
      </w:pPr>
      <w:r>
        <w:rPr>
          <w:rtl/>
        </w:rPr>
        <w:t>(6).</w:t>
      </w:r>
      <w:r w:rsidRPr="00132E65">
        <w:rPr>
          <w:rtl/>
        </w:rPr>
        <w:t xml:space="preserve"> في « ج ، ف ، بح ، بر ، بف » وشرح المازندراني : « تغيب »</w:t>
      </w:r>
      <w:r>
        <w:rPr>
          <w:rtl/>
        </w:rPr>
        <w:t>.</w:t>
      </w:r>
      <w:r w:rsidRPr="00132E65">
        <w:rPr>
          <w:rtl/>
        </w:rPr>
        <w:t xml:space="preserve"> وقال المازندراني : « أي تغيب عنّا ، فالفرصة غنيمة »</w:t>
      </w:r>
      <w:r>
        <w:rPr>
          <w:rtl/>
        </w:rPr>
        <w:t>.</w:t>
      </w:r>
      <w:r w:rsidRPr="00132E65">
        <w:rPr>
          <w:rtl/>
        </w:rPr>
        <w:t xml:space="preserve"> وقال في </w:t>
      </w:r>
      <w:r w:rsidRPr="009D1ACE">
        <w:rPr>
          <w:rStyle w:val="libFootnoteBoldChar"/>
          <w:rtl/>
        </w:rPr>
        <w:t>الوافي</w:t>
      </w:r>
      <w:r w:rsidRPr="00132E65">
        <w:rPr>
          <w:rtl/>
        </w:rPr>
        <w:t xml:space="preserve"> : « كنت تشهد ونغيب ، يعني إنّك لم تزل كنت شاهداً مع رسول الله </w:t>
      </w:r>
      <w:r w:rsidRPr="0008742C">
        <w:rPr>
          <w:rStyle w:val="libFootnoteAlaemChar"/>
          <w:rFonts w:eastAsiaTheme="minorHAnsi"/>
          <w:rtl/>
        </w:rPr>
        <w:t>صلى‌الله‌عليه‌وآله</w:t>
      </w:r>
      <w:r w:rsidRPr="00132E65">
        <w:rPr>
          <w:rtl/>
          <w:lang w:bidi="fa-IR"/>
        </w:rPr>
        <w:t xml:space="preserve"> </w:t>
      </w:r>
      <w:r w:rsidRPr="00132E65">
        <w:rPr>
          <w:rtl/>
        </w:rPr>
        <w:t>تسمع الحديث منه ، ونحن كنّا نغيب عنه أحياناً لم نسمع كثيراً ممّا كنت تسمع »</w:t>
      </w:r>
      <w:r>
        <w:rPr>
          <w:rtl/>
        </w:rPr>
        <w:t>.</w:t>
      </w:r>
    </w:p>
    <w:tbl>
      <w:tblPr>
        <w:tblStyle w:val="TableGrid"/>
        <w:bidiVisual/>
        <w:tblW w:w="0" w:type="auto"/>
        <w:tblLook w:val="04A0" w:firstRow="1" w:lastRow="0" w:firstColumn="1" w:lastColumn="0" w:noHBand="0" w:noVBand="1"/>
      </w:tblPr>
      <w:tblGrid>
        <w:gridCol w:w="4006"/>
        <w:gridCol w:w="4006"/>
      </w:tblGrid>
      <w:tr w:rsidR="0008742C" w:rsidTr="0008742C">
        <w:tc>
          <w:tcPr>
            <w:tcW w:w="4006" w:type="dxa"/>
          </w:tcPr>
          <w:p w:rsidR="0008742C" w:rsidRDefault="0008742C" w:rsidP="000C39D1">
            <w:pPr>
              <w:pStyle w:val="libFootnote0"/>
              <w:rPr>
                <w:rtl/>
              </w:rPr>
            </w:pPr>
            <w:r>
              <w:rPr>
                <w:rtl/>
              </w:rPr>
              <w:t>(7).</w:t>
            </w:r>
            <w:r w:rsidRPr="00132E65">
              <w:rPr>
                <w:rtl/>
              </w:rPr>
              <w:t xml:space="preserve"> في « بر ، بف » : « يبعثهم »</w:t>
            </w:r>
            <w:r>
              <w:rPr>
                <w:rtl/>
              </w:rPr>
              <w:t>.</w:t>
            </w:r>
          </w:p>
        </w:tc>
        <w:tc>
          <w:tcPr>
            <w:tcW w:w="4006" w:type="dxa"/>
          </w:tcPr>
          <w:p w:rsidR="0008742C" w:rsidRDefault="0008742C" w:rsidP="0008742C">
            <w:pPr>
              <w:pStyle w:val="libFootnote0"/>
              <w:rPr>
                <w:rtl/>
              </w:rPr>
            </w:pPr>
            <w:r>
              <w:rPr>
                <w:rtl/>
              </w:rPr>
              <w:t>(8).</w:t>
            </w:r>
            <w:r w:rsidRPr="00132E65">
              <w:rPr>
                <w:rtl/>
              </w:rPr>
              <w:t xml:space="preserve"> في « بف » </w:t>
            </w:r>
            <w:r>
              <w:rPr>
                <w:rtl/>
              </w:rPr>
              <w:t xml:space="preserve">: - </w:t>
            </w:r>
            <w:r w:rsidRPr="00132E65">
              <w:rPr>
                <w:rtl/>
              </w:rPr>
              <w:t>«</w:t>
            </w:r>
            <w:r>
              <w:rPr>
                <w:rFonts w:hint="cs"/>
                <w:rtl/>
              </w:rPr>
              <w:t>رحمه الله</w:t>
            </w:r>
            <w:r w:rsidRPr="00132E65">
              <w:rPr>
                <w:rtl/>
              </w:rPr>
              <w:t>»</w:t>
            </w:r>
            <w:r>
              <w:rPr>
                <w:rtl/>
              </w:rPr>
              <w:t>.</w:t>
            </w:r>
          </w:p>
        </w:tc>
      </w:tr>
    </w:tbl>
    <w:p w:rsidR="000C39D1" w:rsidRPr="00132E65" w:rsidRDefault="000C39D1" w:rsidP="000C39D1">
      <w:pPr>
        <w:pStyle w:val="libFootnote0"/>
        <w:rPr>
          <w:rtl/>
          <w:lang w:bidi="fa-IR"/>
        </w:rPr>
      </w:pPr>
      <w:r>
        <w:rPr>
          <w:rtl/>
        </w:rPr>
        <w:t>(9).</w:t>
      </w:r>
      <w:r w:rsidRPr="00132E65">
        <w:rPr>
          <w:rtl/>
        </w:rPr>
        <w:t xml:space="preserve"> في « ف » :</w:t>
      </w:r>
      <w:r>
        <w:rPr>
          <w:rtl/>
        </w:rPr>
        <w:t xml:space="preserve"> + </w:t>
      </w:r>
      <w:r w:rsidRPr="00132E65">
        <w:rPr>
          <w:rtl/>
        </w:rPr>
        <w:t>« بيّنهم لنا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لَنَا </w:t>
      </w:r>
      <w:r>
        <w:rPr>
          <w:rStyle w:val="libFootnotenumChar"/>
          <w:rtl/>
        </w:rPr>
        <w:t>(1)</w:t>
      </w:r>
      <w:r w:rsidRPr="00132E65">
        <w:rPr>
          <w:rtl/>
          <w:lang w:bidi="fa-IR"/>
        </w:rPr>
        <w:t xml:space="preserve"> لِنَعْرِفَهُمْ </w:t>
      </w:r>
      <w:r>
        <w:rPr>
          <w:rStyle w:val="libFootnotenumChar"/>
          <w:rtl/>
        </w:rPr>
        <w:t>(2)</w:t>
      </w:r>
    </w:p>
    <w:p w:rsidR="000C39D1" w:rsidRPr="00132E65" w:rsidRDefault="000C39D1" w:rsidP="000C39D1">
      <w:pPr>
        <w:pStyle w:val="libNormal"/>
        <w:rPr>
          <w:rtl/>
          <w:lang w:bidi="fa-IR"/>
        </w:rPr>
      </w:pPr>
      <w:r w:rsidRPr="00132E65">
        <w:rPr>
          <w:rtl/>
          <w:lang w:bidi="fa-IR"/>
        </w:rPr>
        <w:t xml:space="preserve">فَقَالَ : « إِنَّ خَيْرَ الْخَلْقِ يَوْمَ يَجْمَعُهُمُ </w:t>
      </w:r>
      <w:r>
        <w:rPr>
          <w:rStyle w:val="libFootnotenumChar"/>
          <w:rtl/>
        </w:rPr>
        <w:t>(3)</w:t>
      </w:r>
      <w:r w:rsidRPr="00132E65">
        <w:rPr>
          <w:rtl/>
          <w:lang w:bidi="fa-IR"/>
        </w:rPr>
        <w:t xml:space="preserve"> اللهُ </w:t>
      </w:r>
      <w:r>
        <w:rPr>
          <w:rStyle w:val="libFootnotenumChar"/>
          <w:rtl/>
        </w:rPr>
        <w:t>(4)</w:t>
      </w:r>
      <w:r w:rsidRPr="00132E65">
        <w:rPr>
          <w:rtl/>
          <w:lang w:bidi="fa-IR"/>
        </w:rPr>
        <w:t xml:space="preserve"> الرُّسُلُ ، و</w:t>
      </w:r>
      <w:r w:rsidR="004A6752">
        <w:rPr>
          <w:rFonts w:hint="cs"/>
          <w:rtl/>
          <w:lang w:bidi="fa-IR"/>
        </w:rPr>
        <w:t xml:space="preserve">َ </w:t>
      </w:r>
      <w:r w:rsidRPr="00132E65">
        <w:rPr>
          <w:rtl/>
          <w:lang w:bidi="fa-IR"/>
        </w:rPr>
        <w:t xml:space="preserve">إِنَّ أَفْضَلَ الرُّسُلِ مُحَمَّدٌ </w:t>
      </w:r>
      <w:r w:rsidRPr="00071CF9">
        <w:rPr>
          <w:rStyle w:val="libAlaemChar"/>
          <w:rtl/>
        </w:rPr>
        <w:t>صلى‌الله‌عليه‌وآله‌وسلم</w:t>
      </w:r>
      <w:r w:rsidRPr="00132E65">
        <w:rPr>
          <w:rtl/>
          <w:lang w:bidi="fa-IR"/>
        </w:rPr>
        <w:t xml:space="preserve"> ، وَإِنَّ أَفْضَلَ كُلِّ أُمَّةٍ بَعْدَ نَبِيِّهَا و</w:t>
      </w:r>
      <w:r w:rsidR="004A6752">
        <w:rPr>
          <w:rFonts w:hint="cs"/>
          <w:rtl/>
          <w:lang w:bidi="fa-IR"/>
        </w:rPr>
        <w:t>َ</w:t>
      </w:r>
      <w:r w:rsidRPr="00132E65">
        <w:rPr>
          <w:rtl/>
          <w:lang w:bidi="fa-IR"/>
        </w:rPr>
        <w:t>صِيُّ نَبِيِّهَا حَتّى يُدْرِكَهُ نَبِيٌّ ، أَلَا و</w:t>
      </w:r>
      <w:r w:rsidR="004A6752">
        <w:rPr>
          <w:rFonts w:hint="cs"/>
          <w:rtl/>
          <w:lang w:bidi="fa-IR"/>
        </w:rPr>
        <w:t xml:space="preserve">َ </w:t>
      </w:r>
      <w:r w:rsidRPr="00132E65">
        <w:rPr>
          <w:rtl/>
          <w:lang w:bidi="fa-IR"/>
        </w:rPr>
        <w:t>إِنَّ أَفْضَلَ الْأَوْصِيَاءِ وَصِيُّ مُحَمَّدٍ عَلَيْهِ و</w:t>
      </w:r>
      <w:r w:rsidR="004A6752">
        <w:rPr>
          <w:rFonts w:hint="cs"/>
          <w:rtl/>
          <w:lang w:bidi="fa-IR"/>
        </w:rPr>
        <w:t xml:space="preserve">َ </w:t>
      </w:r>
      <w:r w:rsidRPr="00132E65">
        <w:rPr>
          <w:rtl/>
          <w:lang w:bidi="fa-IR"/>
        </w:rPr>
        <w:t>آلِهِ السَّلَامُ ، أَلَا و</w:t>
      </w:r>
      <w:r w:rsidR="004A6752">
        <w:rPr>
          <w:rFonts w:hint="cs"/>
          <w:rtl/>
          <w:lang w:bidi="fa-IR"/>
        </w:rPr>
        <w:t xml:space="preserve">َ </w:t>
      </w:r>
      <w:r w:rsidRPr="00132E65">
        <w:rPr>
          <w:rtl/>
          <w:lang w:bidi="fa-IR"/>
        </w:rPr>
        <w:t>إِنَّ أَفْضَلَ الْخَلْقِ بَعْدَ الْأَوْصِيَاءِ الشُّهَدَاءُ ، أَلَا و</w:t>
      </w:r>
      <w:r w:rsidR="004A6752">
        <w:rPr>
          <w:rFonts w:hint="cs"/>
          <w:rtl/>
          <w:lang w:bidi="fa-IR"/>
        </w:rPr>
        <w:t xml:space="preserve">َ </w:t>
      </w:r>
      <w:r w:rsidRPr="00132E65">
        <w:rPr>
          <w:rtl/>
          <w:lang w:bidi="fa-IR"/>
        </w:rPr>
        <w:t>إِنَّ أَفْضَلَ الشُّهَدَاءِ حَمْزَةُ بْنُ عَبْدِ الْمُطَّلِبِ و</w:t>
      </w:r>
      <w:r w:rsidR="004A6752">
        <w:rPr>
          <w:rFonts w:hint="cs"/>
          <w:rtl/>
          <w:lang w:bidi="fa-IR"/>
        </w:rPr>
        <w:t xml:space="preserve">َ </w:t>
      </w:r>
      <w:r w:rsidRPr="00132E65">
        <w:rPr>
          <w:rtl/>
          <w:lang w:bidi="fa-IR"/>
        </w:rPr>
        <w:t xml:space="preserve">جَعْفَرُ بْنُ أَبِي طَالِبٍ ، لَهُ جَنَاحَانِ خَضِيبَانِ ، يَطِيرُ بِهِمَا فِي الْجَنَّةِ ، لَمْ يُنْحَلْ </w:t>
      </w:r>
      <w:r>
        <w:rPr>
          <w:rStyle w:val="libFootnotenumChar"/>
          <w:rtl/>
        </w:rPr>
        <w:t>(5)</w:t>
      </w:r>
      <w:r w:rsidRPr="00132E65">
        <w:rPr>
          <w:rtl/>
          <w:lang w:bidi="fa-IR"/>
        </w:rPr>
        <w:t xml:space="preserve"> أَحَدٌ </w:t>
      </w:r>
      <w:r>
        <w:rPr>
          <w:rStyle w:val="libFootnotenumChar"/>
          <w:rtl/>
        </w:rPr>
        <w:t>(6)</w:t>
      </w:r>
      <w:r w:rsidRPr="00132E65">
        <w:rPr>
          <w:rtl/>
          <w:lang w:bidi="fa-IR"/>
        </w:rPr>
        <w:t xml:space="preserve"> مِنْ هذِهِ الْأُمَّةِ </w:t>
      </w:r>
      <w:r>
        <w:rPr>
          <w:rStyle w:val="libFootnotenumChar"/>
          <w:rtl/>
        </w:rPr>
        <w:t>(7)</w:t>
      </w:r>
      <w:r w:rsidRPr="00132E65">
        <w:rPr>
          <w:rtl/>
          <w:lang w:bidi="fa-IR"/>
        </w:rPr>
        <w:t xml:space="preserve"> جَنَاحَانِ </w:t>
      </w:r>
      <w:r>
        <w:rPr>
          <w:rStyle w:val="libFootnotenumChar"/>
          <w:rtl/>
        </w:rPr>
        <w:t>(8)</w:t>
      </w:r>
      <w:r w:rsidRPr="00132E65">
        <w:rPr>
          <w:rtl/>
          <w:lang w:bidi="fa-IR"/>
        </w:rPr>
        <w:t xml:space="preserve"> غَيْرُهُ ، شَيْ‌ءٌ كَرَّمَ اللهُ </w:t>
      </w:r>
      <w:r>
        <w:rPr>
          <w:rStyle w:val="libFootnotenumChar"/>
          <w:rtl/>
        </w:rPr>
        <w:t>(9)</w:t>
      </w:r>
      <w:r w:rsidRPr="00132E65">
        <w:rPr>
          <w:rtl/>
          <w:lang w:bidi="fa-IR"/>
        </w:rPr>
        <w:t xml:space="preserve"> بِهِ مُحَمَّداً </w:t>
      </w:r>
      <w:r w:rsidRPr="0093484F">
        <w:rPr>
          <w:rStyle w:val="libAlaemChar"/>
          <w:rFonts w:eastAsiaTheme="minorHAnsi"/>
          <w:rtl/>
        </w:rPr>
        <w:t>صلى‌الله‌عليه‌وآله</w:t>
      </w:r>
      <w:r w:rsidRPr="00132E65">
        <w:rPr>
          <w:rtl/>
          <w:lang w:bidi="fa-IR"/>
        </w:rPr>
        <w:t xml:space="preserve"> و</w:t>
      </w:r>
      <w:r w:rsidR="004A6752">
        <w:rPr>
          <w:rFonts w:hint="cs"/>
          <w:rtl/>
          <w:lang w:bidi="fa-IR"/>
        </w:rPr>
        <w:t xml:space="preserve">َ </w:t>
      </w:r>
      <w:r w:rsidRPr="00132E65">
        <w:rPr>
          <w:rtl/>
          <w:lang w:bidi="fa-IR"/>
        </w:rPr>
        <w:t xml:space="preserve">شَرَّفَهُ </w:t>
      </w:r>
      <w:r>
        <w:rPr>
          <w:rStyle w:val="libFootnotenumChar"/>
          <w:rtl/>
        </w:rPr>
        <w:t>(10)</w:t>
      </w:r>
      <w:r w:rsidRPr="00132E65">
        <w:rPr>
          <w:rtl/>
          <w:lang w:bidi="fa-IR"/>
        </w:rPr>
        <w:t xml:space="preserve"> ، و</w:t>
      </w:r>
      <w:r w:rsidR="004A6752">
        <w:rPr>
          <w:rFonts w:hint="cs"/>
          <w:rtl/>
          <w:lang w:bidi="fa-IR"/>
        </w:rPr>
        <w:t>َ</w:t>
      </w:r>
      <w:r w:rsidRPr="00132E65">
        <w:rPr>
          <w:rtl/>
          <w:lang w:bidi="fa-IR"/>
        </w:rPr>
        <w:t xml:space="preserve">السِّبْطَانِ </w:t>
      </w:r>
      <w:r>
        <w:rPr>
          <w:rStyle w:val="libFootnotenumChar"/>
          <w:rtl/>
        </w:rPr>
        <w:t>(11)</w:t>
      </w:r>
      <w:r>
        <w:rPr>
          <w:rtl/>
          <w:lang w:bidi="fa-IR"/>
        </w:rPr>
        <w:t xml:space="preserve"> - </w:t>
      </w:r>
      <w:r w:rsidRPr="00132E65">
        <w:rPr>
          <w:rtl/>
          <w:lang w:bidi="fa-IR"/>
        </w:rPr>
        <w:t>الْحَسَنُ و</w:t>
      </w:r>
      <w:r w:rsidR="004A6752">
        <w:rPr>
          <w:rFonts w:hint="cs"/>
          <w:rtl/>
          <w:lang w:bidi="fa-IR"/>
        </w:rPr>
        <w:t xml:space="preserve">َ </w:t>
      </w:r>
      <w:r w:rsidRPr="00132E65">
        <w:rPr>
          <w:rtl/>
          <w:lang w:bidi="fa-IR"/>
        </w:rPr>
        <w:t>الْحُسَيْنُ</w:t>
      </w:r>
      <w:r>
        <w:rPr>
          <w:rtl/>
          <w:lang w:bidi="fa-IR"/>
        </w:rPr>
        <w:t xml:space="preserve"> </w:t>
      </w:r>
      <w:r w:rsidR="004A6752">
        <w:rPr>
          <w:rtl/>
          <w:lang w:bidi="fa-IR"/>
        </w:rPr>
        <w:t>–</w:t>
      </w:r>
      <w:r>
        <w:rPr>
          <w:rtl/>
          <w:lang w:bidi="fa-IR"/>
        </w:rPr>
        <w:t xml:space="preserve"> </w:t>
      </w:r>
      <w:r w:rsidRPr="00132E65">
        <w:rPr>
          <w:rtl/>
          <w:lang w:bidi="fa-IR"/>
        </w:rPr>
        <w:t>و</w:t>
      </w:r>
      <w:r w:rsidR="004A6752">
        <w:rPr>
          <w:rFonts w:hint="cs"/>
          <w:rtl/>
          <w:lang w:bidi="fa-IR"/>
        </w:rPr>
        <w:t xml:space="preserve">َ </w:t>
      </w:r>
      <w:r w:rsidRPr="00132E65">
        <w:rPr>
          <w:rtl/>
          <w:lang w:bidi="fa-IR"/>
        </w:rPr>
        <w:t xml:space="preserve">الْمَهْدِيُّ </w:t>
      </w:r>
      <w:r>
        <w:rPr>
          <w:rStyle w:val="libFootnotenumChar"/>
          <w:rtl/>
        </w:rPr>
        <w:t>(12)</w:t>
      </w:r>
      <w:r w:rsidRPr="00132E65">
        <w:rPr>
          <w:rtl/>
          <w:lang w:bidi="fa-IR"/>
        </w:rPr>
        <w:t xml:space="preserve"> </w:t>
      </w:r>
      <w:r w:rsidRPr="00071CF9">
        <w:rPr>
          <w:rStyle w:val="libAlaemChar"/>
          <w:rtl/>
        </w:rPr>
        <w:t>عليهم‌السلام</w:t>
      </w:r>
      <w:r w:rsidRPr="00132E65">
        <w:rPr>
          <w:rtl/>
          <w:lang w:bidi="fa-IR"/>
        </w:rPr>
        <w:t xml:space="preserve"> يَجْعَلُهُ اللهُ مَنْ شَاءَ مِنَّا أَهْلَ الْبَيْتِ »</w:t>
      </w:r>
      <w:r>
        <w:rPr>
          <w:rtl/>
          <w:lang w:bidi="fa-IR"/>
        </w:rPr>
        <w:t>.</w:t>
      </w:r>
    </w:p>
    <w:p w:rsidR="000C39D1" w:rsidRPr="00132E65" w:rsidRDefault="000C39D1" w:rsidP="004A6752">
      <w:pPr>
        <w:pStyle w:val="libNormal"/>
        <w:rPr>
          <w:rtl/>
          <w:lang w:bidi="fa-IR"/>
        </w:rPr>
      </w:pPr>
      <w:r w:rsidRPr="00132E65">
        <w:rPr>
          <w:rtl/>
          <w:lang w:bidi="fa-IR"/>
        </w:rPr>
        <w:t xml:space="preserve">ثُمَّ تَلَا هذِهِ الْآيَةَ : </w:t>
      </w:r>
      <w:r w:rsidRPr="00071CF9">
        <w:rPr>
          <w:rStyle w:val="libAlaemChar"/>
          <w:rtl/>
        </w:rPr>
        <w:t>(</w:t>
      </w:r>
      <w:r w:rsidRPr="00071CF9">
        <w:rPr>
          <w:rStyle w:val="libAieChar"/>
          <w:rtl/>
        </w:rPr>
        <w:t xml:space="preserve"> وَمَنْ يُطِعِ اللهَ وَالرَّسُولَ فَأُولئِكَ مَعَ الَّذِينَ أَنْعَمَ اللهُ عَلَيْهِمْ مِنَ النَّبِيِّينَ وَالصِّدِّيقِينَ وَالشُّهَداءِ وَالصّالِحِينَ وَحَسُنَ أُولئِكَ رَفِيقاً </w:t>
      </w:r>
      <w:r w:rsidR="004A6752">
        <w:rPr>
          <w:rStyle w:val="libAieChar"/>
          <w:rFonts w:hint="cs"/>
          <w:rtl/>
        </w:rPr>
        <w:t xml:space="preserve">* </w:t>
      </w:r>
      <w:r w:rsidRPr="00071CF9">
        <w:rPr>
          <w:rStyle w:val="libAieChar"/>
          <w:rtl/>
        </w:rPr>
        <w:t xml:space="preserve">ذلِكَ الْفَضْلُ مِنَ اللهِ وَكَفى بِاللهِ عَلِيماً </w:t>
      </w:r>
      <w:r w:rsidRPr="00071CF9">
        <w:rPr>
          <w:rStyle w:val="libAlaemChar"/>
          <w:rtl/>
        </w:rPr>
        <w:t>)</w:t>
      </w:r>
      <w:r w:rsidRPr="00132E65">
        <w:rPr>
          <w:rtl/>
          <w:lang w:bidi="fa-IR"/>
        </w:rPr>
        <w:t xml:space="preserve"> </w:t>
      </w:r>
      <w:r w:rsidRPr="00F543F1">
        <w:rPr>
          <w:rStyle w:val="libFootnotenumChar"/>
          <w:rtl/>
        </w:rPr>
        <w:t>(13)</w:t>
      </w:r>
      <w:r w:rsidR="004A6752">
        <w:rPr>
          <w:rFonts w:hint="cs"/>
          <w:rtl/>
          <w:lang w:bidi="fa-IR"/>
        </w:rPr>
        <w:t>.</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بر ، بف » و</w:t>
      </w:r>
      <w:r w:rsidRPr="009D1ACE">
        <w:rPr>
          <w:rStyle w:val="libFootnoteBoldChar"/>
          <w:rtl/>
        </w:rPr>
        <w:t>الوافي</w:t>
      </w:r>
      <w:r w:rsidRPr="00132E65">
        <w:rPr>
          <w:rtl/>
        </w:rPr>
        <w:t xml:space="preserve"> : « سمّهم لنا يا أمير المؤمنين »</w:t>
      </w:r>
      <w:r>
        <w:rPr>
          <w:rtl/>
        </w:rPr>
        <w:t>.</w:t>
      </w:r>
    </w:p>
    <w:p w:rsidR="000C39D1" w:rsidRPr="00132E65" w:rsidRDefault="000C39D1" w:rsidP="000C39D1">
      <w:pPr>
        <w:pStyle w:val="libFootnote0"/>
        <w:rPr>
          <w:rtl/>
          <w:lang w:bidi="fa-IR"/>
        </w:rPr>
      </w:pPr>
      <w:r>
        <w:rPr>
          <w:rtl/>
        </w:rPr>
        <w:t>(2).</w:t>
      </w:r>
      <w:r w:rsidRPr="00132E65">
        <w:rPr>
          <w:rtl/>
        </w:rPr>
        <w:t xml:space="preserve"> في « ب » : « فنعرفهم »</w:t>
      </w:r>
      <w:r>
        <w:rPr>
          <w:rtl/>
        </w:rPr>
        <w:t>.</w:t>
      </w:r>
      <w:r w:rsidRPr="00132E65">
        <w:rPr>
          <w:rtl/>
        </w:rPr>
        <w:t xml:space="preserve"> وفي « ف ، بح ، بس » : « فلنعرفهم »</w:t>
      </w:r>
      <w:r>
        <w:rPr>
          <w:rtl/>
        </w:rPr>
        <w:t>.</w:t>
      </w:r>
    </w:p>
    <w:tbl>
      <w:tblPr>
        <w:tblStyle w:val="TableGrid"/>
        <w:bidiVisual/>
        <w:tblW w:w="0" w:type="auto"/>
        <w:tblLook w:val="04A0" w:firstRow="1" w:lastRow="0" w:firstColumn="1" w:lastColumn="0" w:noHBand="0" w:noVBand="1"/>
      </w:tblPr>
      <w:tblGrid>
        <w:gridCol w:w="4006"/>
        <w:gridCol w:w="4006"/>
      </w:tblGrid>
      <w:tr w:rsidR="00043C47" w:rsidTr="00043C47">
        <w:tc>
          <w:tcPr>
            <w:tcW w:w="4006" w:type="dxa"/>
          </w:tcPr>
          <w:p w:rsidR="00043C47" w:rsidRDefault="00043C47" w:rsidP="000C39D1">
            <w:pPr>
              <w:pStyle w:val="libFootnote0"/>
              <w:rPr>
                <w:rtl/>
              </w:rPr>
            </w:pPr>
            <w:r>
              <w:rPr>
                <w:rtl/>
              </w:rPr>
              <w:t>(3).</w:t>
            </w:r>
            <w:r w:rsidRPr="00132E65">
              <w:rPr>
                <w:rtl/>
              </w:rPr>
              <w:t xml:space="preserve"> في « ف » : « يجمع »</w:t>
            </w:r>
            <w:r>
              <w:rPr>
                <w:rtl/>
              </w:rPr>
              <w:t>.</w:t>
            </w:r>
          </w:p>
        </w:tc>
        <w:tc>
          <w:tcPr>
            <w:tcW w:w="4006" w:type="dxa"/>
          </w:tcPr>
          <w:p w:rsidR="00043C47" w:rsidRDefault="00043C47" w:rsidP="000C39D1">
            <w:pPr>
              <w:pStyle w:val="libFootnote0"/>
              <w:rPr>
                <w:rtl/>
              </w:rPr>
            </w:pPr>
            <w:r>
              <w:rPr>
                <w:rtl/>
              </w:rPr>
              <w:t>(4).</w:t>
            </w:r>
            <w:r w:rsidRPr="00132E65">
              <w:rPr>
                <w:rtl/>
              </w:rPr>
              <w:t xml:space="preserve"> في « بس » </w:t>
            </w:r>
            <w:r>
              <w:rPr>
                <w:rtl/>
              </w:rPr>
              <w:t xml:space="preserve">: - </w:t>
            </w:r>
            <w:r w:rsidRPr="00132E65">
              <w:rPr>
                <w:rtl/>
              </w:rPr>
              <w:t>« الله »</w:t>
            </w:r>
            <w:r>
              <w:rPr>
                <w:rtl/>
              </w:rPr>
              <w:t>.</w:t>
            </w:r>
          </w:p>
        </w:tc>
      </w:tr>
    </w:tbl>
    <w:p w:rsidR="000C39D1" w:rsidRPr="00132E65" w:rsidRDefault="000C39D1" w:rsidP="000C39D1">
      <w:pPr>
        <w:pStyle w:val="libFootnote0"/>
        <w:rPr>
          <w:rtl/>
          <w:lang w:bidi="fa-IR"/>
        </w:rPr>
      </w:pPr>
      <w:r>
        <w:rPr>
          <w:rtl/>
        </w:rPr>
        <w:t>(5).</w:t>
      </w:r>
      <w:r w:rsidRPr="00132E65">
        <w:rPr>
          <w:rtl/>
        </w:rPr>
        <w:t xml:space="preserve"> في « بف » وحاشية « ج ، ض » و</w:t>
      </w:r>
      <w:r w:rsidRPr="009D1ACE">
        <w:rPr>
          <w:rStyle w:val="libFootnoteBoldChar"/>
          <w:rtl/>
        </w:rPr>
        <w:t>الوافي</w:t>
      </w:r>
      <w:r w:rsidRPr="00132E65">
        <w:rPr>
          <w:rtl/>
        </w:rPr>
        <w:t xml:space="preserve"> : « لم يجعل »</w:t>
      </w:r>
      <w:r>
        <w:rPr>
          <w:rtl/>
        </w:rPr>
        <w:t>.</w:t>
      </w:r>
      <w:r w:rsidRPr="00132E65">
        <w:rPr>
          <w:rtl/>
        </w:rPr>
        <w:t xml:space="preserve"> وقوله : « لم يُنحَلْ » ، أي لم يعط ؛ من النُحل بمعنى العطيّة</w:t>
      </w:r>
      <w:r w:rsidR="00EC4EA9">
        <w:rPr>
          <w:rFonts w:hint="cs"/>
          <w:rtl/>
        </w:rPr>
        <w:t xml:space="preserve"> </w:t>
      </w:r>
      <w:r w:rsidRPr="00132E65">
        <w:rPr>
          <w:rtl/>
        </w:rPr>
        <w:t xml:space="preserve">والهبة ، مصدر نَحَله ، أي أعطاه ، والإسم النِحلَة. راجع : </w:t>
      </w:r>
      <w:r w:rsidRPr="008711D2">
        <w:rPr>
          <w:rtl/>
        </w:rPr>
        <w:t>القاموس المحيط</w:t>
      </w:r>
      <w:r w:rsidRPr="00132E65">
        <w:rPr>
          <w:rtl/>
        </w:rPr>
        <w:t xml:space="preserve"> ، ج 2 ، ص 1400 ( نحل )</w:t>
      </w:r>
      <w:r>
        <w:rPr>
          <w:rtl/>
        </w:rPr>
        <w:t>.</w:t>
      </w:r>
    </w:p>
    <w:p w:rsidR="000C39D1" w:rsidRPr="00132E65" w:rsidRDefault="000C39D1" w:rsidP="000C39D1">
      <w:pPr>
        <w:pStyle w:val="libFootnote0"/>
        <w:rPr>
          <w:rtl/>
          <w:lang w:bidi="fa-IR"/>
        </w:rPr>
      </w:pPr>
      <w:r>
        <w:rPr>
          <w:rtl/>
        </w:rPr>
        <w:t>(6).</w:t>
      </w:r>
      <w:r w:rsidRPr="00132E65">
        <w:rPr>
          <w:rtl/>
        </w:rPr>
        <w:t xml:space="preserve"> في « بف » وحاشية « ض ، بر » و</w:t>
      </w:r>
      <w:r w:rsidRPr="009D1ACE">
        <w:rPr>
          <w:rStyle w:val="libFootnoteBoldChar"/>
          <w:rtl/>
        </w:rPr>
        <w:t>الوافي</w:t>
      </w:r>
      <w:r w:rsidRPr="00132E65">
        <w:rPr>
          <w:rtl/>
        </w:rPr>
        <w:t xml:space="preserve"> : « لأحد »</w:t>
      </w:r>
      <w:r>
        <w:rPr>
          <w:rtl/>
        </w:rPr>
        <w:t>.</w:t>
      </w:r>
    </w:p>
    <w:p w:rsidR="000C39D1" w:rsidRPr="00132E65" w:rsidRDefault="000C39D1" w:rsidP="000C39D1">
      <w:pPr>
        <w:pStyle w:val="libFootnote0"/>
        <w:rPr>
          <w:rtl/>
          <w:lang w:bidi="fa-IR"/>
        </w:rPr>
      </w:pPr>
      <w:r>
        <w:rPr>
          <w:rtl/>
        </w:rPr>
        <w:t>(7).</w:t>
      </w:r>
      <w:r w:rsidRPr="00132E65">
        <w:rPr>
          <w:rtl/>
        </w:rPr>
        <w:t xml:space="preserve"> في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(8).</w:t>
      </w:r>
      <w:r w:rsidRPr="00132E65">
        <w:rPr>
          <w:rtl/>
        </w:rPr>
        <w:t xml:space="preserve"> في « بف » :</w:t>
      </w:r>
      <w:r>
        <w:rPr>
          <w:rtl/>
        </w:rPr>
        <w:t xml:space="preserve"> + </w:t>
      </w:r>
      <w:r w:rsidRPr="00132E65">
        <w:rPr>
          <w:rtl/>
        </w:rPr>
        <w:t>« خضيبان يطير بهما في الجنّة »</w:t>
      </w:r>
      <w:r>
        <w:rPr>
          <w:rtl/>
        </w:rPr>
        <w:t>.</w:t>
      </w:r>
      <w:r w:rsidRPr="00132E65">
        <w:rPr>
          <w:rtl/>
        </w:rPr>
        <w:t xml:space="preserve"> وفي </w:t>
      </w:r>
      <w:r w:rsidRPr="009D1ACE">
        <w:rPr>
          <w:rStyle w:val="libFootnoteBoldChar"/>
          <w:rtl/>
        </w:rPr>
        <w:t>مرآة العقول</w:t>
      </w:r>
      <w:r w:rsidRPr="00132E65">
        <w:rPr>
          <w:rtl/>
        </w:rPr>
        <w:t xml:space="preserve"> : « جناحان ، بالرفع</w:t>
      </w:r>
      <w:r>
        <w:rPr>
          <w:rtl/>
        </w:rPr>
        <w:t xml:space="preserve"> - </w:t>
      </w:r>
      <w:r w:rsidRPr="00132E65">
        <w:rPr>
          <w:rtl/>
        </w:rPr>
        <w:t>على ما في النسخ</w:t>
      </w:r>
      <w:r>
        <w:rPr>
          <w:rtl/>
        </w:rPr>
        <w:t xml:space="preserve"> - </w:t>
      </w:r>
      <w:r w:rsidR="00EC4EA9">
        <w:rPr>
          <w:rtl/>
        </w:rPr>
        <w:t>حكاية للسابق ، وإل</w:t>
      </w:r>
      <w:r w:rsidR="00EC4EA9">
        <w:rPr>
          <w:rFonts w:hint="cs"/>
          <w:rtl/>
        </w:rPr>
        <w:t>ّ</w:t>
      </w:r>
      <w:r w:rsidR="00EC4EA9">
        <w:rPr>
          <w:rtl/>
        </w:rPr>
        <w:t>ا</w:t>
      </w:r>
      <w:r w:rsidRPr="00132E65">
        <w:rPr>
          <w:rtl/>
        </w:rPr>
        <w:t xml:space="preserve"> فالظاهر : جناحين » ؛ لأنّه مفعول ثان « لم يُنحَل »</w:t>
      </w:r>
      <w:r>
        <w:rPr>
          <w:rtl/>
        </w:rPr>
        <w:t>.</w:t>
      </w:r>
    </w:p>
    <w:tbl>
      <w:tblPr>
        <w:tblStyle w:val="TableGrid"/>
        <w:bidiVisual/>
        <w:tblW w:w="0" w:type="auto"/>
        <w:tblLook w:val="04A0" w:firstRow="1" w:lastRow="0" w:firstColumn="1" w:lastColumn="0" w:noHBand="0" w:noVBand="1"/>
      </w:tblPr>
      <w:tblGrid>
        <w:gridCol w:w="4006"/>
        <w:gridCol w:w="4006"/>
      </w:tblGrid>
      <w:tr w:rsidR="00EC4EA9" w:rsidTr="00EC4EA9">
        <w:tc>
          <w:tcPr>
            <w:tcW w:w="4006" w:type="dxa"/>
          </w:tcPr>
          <w:p w:rsidR="00EC4EA9" w:rsidRDefault="00EC4EA9" w:rsidP="000C39D1">
            <w:pPr>
              <w:pStyle w:val="libFootnote0"/>
              <w:rPr>
                <w:rtl/>
              </w:rPr>
            </w:pPr>
            <w:r>
              <w:rPr>
                <w:rtl/>
              </w:rPr>
              <w:t>(9).</w:t>
            </w:r>
            <w:r w:rsidRPr="00132E65">
              <w:rPr>
                <w:rtl/>
              </w:rPr>
              <w:t xml:space="preserve"> في « ب » </w:t>
            </w:r>
            <w:r>
              <w:rPr>
                <w:rtl/>
              </w:rPr>
              <w:t xml:space="preserve">: - </w:t>
            </w:r>
            <w:r w:rsidRPr="00132E65">
              <w:rPr>
                <w:rtl/>
              </w:rPr>
              <w:t>« الله »</w:t>
            </w:r>
            <w:r>
              <w:rPr>
                <w:rtl/>
              </w:rPr>
              <w:t>.</w:t>
            </w:r>
          </w:p>
        </w:tc>
        <w:tc>
          <w:tcPr>
            <w:tcW w:w="4006" w:type="dxa"/>
          </w:tcPr>
          <w:p w:rsidR="00EC4EA9" w:rsidRDefault="00EC4EA9" w:rsidP="000C39D1">
            <w:pPr>
              <w:pStyle w:val="libFootnote0"/>
              <w:rPr>
                <w:rtl/>
              </w:rPr>
            </w:pPr>
            <w:r>
              <w:rPr>
                <w:rtl/>
              </w:rPr>
              <w:t>(10).</w:t>
            </w:r>
            <w:r w:rsidRPr="00132E65">
              <w:rPr>
                <w:rtl/>
              </w:rPr>
              <w:t xml:space="preserve"> في « بح » : « شرّفهم »</w:t>
            </w:r>
            <w:r>
              <w:rPr>
                <w:rtl/>
              </w:rPr>
              <w:t>.</w:t>
            </w:r>
          </w:p>
        </w:tc>
      </w:tr>
    </w:tbl>
    <w:p w:rsidR="000C39D1" w:rsidRPr="00132E65" w:rsidRDefault="000C39D1" w:rsidP="000C39D1">
      <w:pPr>
        <w:pStyle w:val="libFootnote0"/>
        <w:rPr>
          <w:rtl/>
          <w:lang w:bidi="fa-IR"/>
        </w:rPr>
      </w:pPr>
      <w:r>
        <w:rPr>
          <w:rtl/>
        </w:rPr>
        <w:t>(11).</w:t>
      </w:r>
      <w:r w:rsidRPr="00132E65">
        <w:rPr>
          <w:rtl/>
        </w:rPr>
        <w:t xml:space="preserve"> قوله : « السبطان » مبتدأ خبره محذوف كما في </w:t>
      </w:r>
      <w:r w:rsidRPr="008711D2">
        <w:rPr>
          <w:rtl/>
        </w:rPr>
        <w:t>المرآة</w:t>
      </w:r>
      <w:r w:rsidRPr="00132E65">
        <w:rPr>
          <w:rtl/>
        </w:rPr>
        <w:t xml:space="preserve"> وهو « منهم » أي من السبعة.</w:t>
      </w:r>
    </w:p>
    <w:p w:rsidR="000C39D1" w:rsidRPr="00132E65" w:rsidRDefault="000C39D1" w:rsidP="00DF7515">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وكذا المهديّ ، منصوب بفعل مضمر يفسّره يجعله »</w:t>
      </w:r>
      <w:r>
        <w:rPr>
          <w:rtl/>
        </w:rPr>
        <w:t>.</w:t>
      </w:r>
      <w:r w:rsidRPr="00132E65">
        <w:rPr>
          <w:rtl/>
        </w:rPr>
        <w:t xml:space="preserve"> ولكن قوله : « </w:t>
      </w:r>
      <w:r w:rsidR="00DF7515">
        <w:rPr>
          <w:rFonts w:hint="cs"/>
          <w:rtl/>
        </w:rPr>
        <w:t>عليهم السلام</w:t>
      </w:r>
      <w:r w:rsidRPr="00132E65">
        <w:rPr>
          <w:rtl/>
        </w:rPr>
        <w:t>» يأباه ، بل هو مرفوع عطفاً على « السبطان »</w:t>
      </w:r>
      <w:r>
        <w:rPr>
          <w:rtl/>
        </w:rPr>
        <w:t>.</w:t>
      </w:r>
      <w:r w:rsidR="00DF7515">
        <w:rPr>
          <w:rFonts w:hint="cs"/>
          <w:rtl/>
        </w:rPr>
        <w:t xml:space="preserve">                </w:t>
      </w:r>
      <w:r w:rsidR="003915A6">
        <w:rPr>
          <w:rFonts w:hint="cs"/>
          <w:rtl/>
        </w:rPr>
        <w:t xml:space="preserve">      </w:t>
      </w:r>
      <w:r w:rsidR="00DF7515">
        <w:rPr>
          <w:rFonts w:hint="cs"/>
          <w:rtl/>
        </w:rPr>
        <w:t xml:space="preserve"> </w:t>
      </w:r>
      <w:r>
        <w:rPr>
          <w:rtl/>
        </w:rPr>
        <w:t>(13)</w:t>
      </w:r>
      <w:r w:rsidRPr="00132E65">
        <w:rPr>
          <w:rtl/>
        </w:rPr>
        <w:t xml:space="preserve"> النساء </w:t>
      </w:r>
      <w:r w:rsidR="003915A6">
        <w:rPr>
          <w:rtl/>
        </w:rPr>
        <w:t>(4)</w:t>
      </w:r>
      <w:r w:rsidRPr="00132E65">
        <w:rPr>
          <w:rtl/>
        </w:rPr>
        <w:t xml:space="preserve"> : 69</w:t>
      </w:r>
      <w:r>
        <w:rPr>
          <w:rtl/>
        </w:rPr>
        <w:t xml:space="preserve"> - </w:t>
      </w:r>
      <w:r w:rsidRPr="00132E65">
        <w:rPr>
          <w:rtl/>
        </w:rPr>
        <w:t>70.</w:t>
      </w:r>
    </w:p>
    <w:p w:rsidR="000C39D1" w:rsidRPr="00132E65" w:rsidRDefault="000C39D1" w:rsidP="000C39D1">
      <w:pPr>
        <w:pStyle w:val="libFootnote0"/>
        <w:rPr>
          <w:rtl/>
          <w:lang w:bidi="fa-IR"/>
        </w:rPr>
      </w:pPr>
      <w:r>
        <w:rPr>
          <w:rtl/>
        </w:rPr>
        <w:t>(14)</w:t>
      </w:r>
      <w:r w:rsidRPr="00132E65">
        <w:rPr>
          <w:rtl/>
        </w:rPr>
        <w:t xml:space="preserve"> </w:t>
      </w:r>
      <w:r w:rsidRPr="008711D2">
        <w:rPr>
          <w:rtl/>
        </w:rPr>
        <w:t>تفسير فرات</w:t>
      </w:r>
      <w:r w:rsidRPr="00132E65">
        <w:rPr>
          <w:rtl/>
        </w:rPr>
        <w:t xml:space="preserve"> ، ص 111 ، ح 113 ، وفيه « حدّثني عبيد بن كثير معنعناً عن أصبغ ب</w:t>
      </w:r>
      <w:r w:rsidR="00DF7515">
        <w:rPr>
          <w:rtl/>
        </w:rPr>
        <w:t>ن نباتة » ، مع زيادة في أوّله ؛</w:t>
      </w:r>
      <w:r w:rsidR="00DF7515">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8711D2">
        <w:rPr>
          <w:rtl/>
        </w:rPr>
        <w:t>1226</w:t>
      </w:r>
      <w:r w:rsidRPr="004325D8">
        <w:rPr>
          <w:rStyle w:val="libBold2Char"/>
          <w:rtl/>
        </w:rPr>
        <w:t xml:space="preserve"> / 35.</w:t>
      </w:r>
      <w:r w:rsidRPr="00132E65">
        <w:rPr>
          <w:rtl/>
          <w:lang w:bidi="fa-IR"/>
        </w:rPr>
        <w:t xml:space="preserve"> مُحَمَّدُ بْنُ الْحَسَنِ </w:t>
      </w:r>
      <w:r>
        <w:rPr>
          <w:rStyle w:val="libFootnotenumChar"/>
          <w:rtl/>
        </w:rPr>
        <w:t>(1)</w:t>
      </w:r>
      <w:r w:rsidRPr="00132E65">
        <w:rPr>
          <w:rtl/>
          <w:lang w:bidi="fa-IR"/>
        </w:rPr>
        <w:t xml:space="preserve"> ، عَنْ سَهْلِ بْنِ زِيَادٍ ، عَنِ ابْنِ فَضَّالٍ ، عَنْ عَلِيِّ بْنِ النُّعْمَانِ ، عَنْ أَبِي مَرْيَمَ الْأَنْصَارِيِّ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قُلْتُ لَهُ : كَيْفَ كَانَتِ الصَّلَاةُ عَلَى النَّبِيِّ </w:t>
      </w:r>
      <w:r w:rsidRPr="0093484F">
        <w:rPr>
          <w:rStyle w:val="libAlaemChar"/>
          <w:rFonts w:eastAsiaTheme="minorHAnsi"/>
          <w:rtl/>
        </w:rPr>
        <w:t>صلى‌الله‌عليه‌وآله</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 لَمَّا غَسَّلَهُ </w:t>
      </w:r>
      <w:r>
        <w:rPr>
          <w:rStyle w:val="libFootnotenumChar"/>
          <w:rtl/>
        </w:rPr>
        <w:t>(2)</w:t>
      </w:r>
      <w:r w:rsidRPr="00132E65">
        <w:rPr>
          <w:rtl/>
          <w:lang w:bidi="fa-IR"/>
        </w:rPr>
        <w:t xml:space="preserve"> أَمِيرُ الْمُؤْمِنِينَ </w:t>
      </w:r>
      <w:r w:rsidRPr="00071CF9">
        <w:rPr>
          <w:rStyle w:val="libAlaemChar"/>
          <w:rtl/>
        </w:rPr>
        <w:t>عليه‌السلام</w:t>
      </w:r>
      <w:r w:rsidRPr="00132E65">
        <w:rPr>
          <w:rtl/>
          <w:lang w:bidi="fa-IR"/>
        </w:rPr>
        <w:t xml:space="preserve"> و</w:t>
      </w:r>
      <w:r w:rsidR="00DF7515">
        <w:rPr>
          <w:rFonts w:hint="cs"/>
          <w:rtl/>
          <w:lang w:bidi="fa-IR"/>
        </w:rPr>
        <w:t xml:space="preserve">َ </w:t>
      </w:r>
      <w:r w:rsidRPr="00132E65">
        <w:rPr>
          <w:rtl/>
          <w:lang w:bidi="fa-IR"/>
        </w:rPr>
        <w:t xml:space="preserve">كَفَّنَهُ ، سَجَّاهُ </w:t>
      </w:r>
      <w:r>
        <w:rPr>
          <w:rStyle w:val="libFootnotenumChar"/>
          <w:rtl/>
        </w:rPr>
        <w:t>(3)</w:t>
      </w:r>
      <w:r w:rsidRPr="00132E65">
        <w:rPr>
          <w:rtl/>
          <w:lang w:bidi="fa-IR"/>
        </w:rPr>
        <w:t xml:space="preserve"> ، ثُمَّ أَدْخَلَ عَلَيْهِ عَشَرَةً ، فَدَارُوا حَوْلَهُ ، ثُمَّ و</w:t>
      </w:r>
      <w:r w:rsidR="00DF7515">
        <w:rPr>
          <w:rFonts w:hint="cs"/>
          <w:rtl/>
          <w:lang w:bidi="fa-IR"/>
        </w:rPr>
        <w:t>َ</w:t>
      </w:r>
      <w:r w:rsidRPr="00132E65">
        <w:rPr>
          <w:rtl/>
          <w:lang w:bidi="fa-IR"/>
        </w:rPr>
        <w:t xml:space="preserve">قَفَ أَمِيرُ الْمُؤْمِنِينَ </w:t>
      </w:r>
      <w:r w:rsidRPr="00071CF9">
        <w:rPr>
          <w:rStyle w:val="libAlaemChar"/>
          <w:rtl/>
        </w:rPr>
        <w:t>عليه‌السلام</w:t>
      </w:r>
      <w:r w:rsidRPr="00132E65">
        <w:rPr>
          <w:rtl/>
          <w:lang w:bidi="fa-IR"/>
        </w:rPr>
        <w:t xml:space="preserve"> فِي وسَطِهِمْ ، فَقَالَ : </w:t>
      </w:r>
      <w:r w:rsidRPr="00071CF9">
        <w:rPr>
          <w:rStyle w:val="libAlaemChar"/>
          <w:rtl/>
        </w:rPr>
        <w:t>(</w:t>
      </w:r>
      <w:r w:rsidRPr="00071CF9">
        <w:rPr>
          <w:rStyle w:val="libAieChar"/>
          <w:rtl/>
        </w:rPr>
        <w:t xml:space="preserve"> إِنَّ اللهَ وَمَلائِكَتَهُ يُصَلُّونَ عَلَى النَّبِيِّ يا أَيُّهَا الَّذِينَ آمَنُوا صَلُّو</w:t>
      </w:r>
      <w:r w:rsidR="00A4415A">
        <w:rPr>
          <w:rStyle w:val="libAieChar"/>
          <w:rtl/>
        </w:rPr>
        <w:t>ا عَلَيْهِ وَسَلِّمُوا تَ</w:t>
      </w:r>
      <w:r w:rsidR="00A4415A">
        <w:rPr>
          <w:rStyle w:val="libAieChar"/>
          <w:rFonts w:hint="cs"/>
          <w:rtl/>
        </w:rPr>
        <w:t>س</w:t>
      </w:r>
      <w:r w:rsidRPr="00071CF9">
        <w:rPr>
          <w:rStyle w:val="libAieChar"/>
          <w:rtl/>
        </w:rPr>
        <w:t xml:space="preserve">لِيماً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فَيَقُولُ الْقَوْمُ كَمَا يَقُولُ حَتّى صَلّى عَلَيْهِ أَهْلُ الْمَدِينَةِ و</w:t>
      </w:r>
      <w:r w:rsidR="00A4415A">
        <w:rPr>
          <w:rFonts w:hint="cs"/>
          <w:rtl/>
          <w:lang w:bidi="fa-IR"/>
        </w:rPr>
        <w:t xml:space="preserve">َ </w:t>
      </w:r>
      <w:r w:rsidRPr="00132E65">
        <w:rPr>
          <w:rtl/>
          <w:lang w:bidi="fa-IR"/>
        </w:rPr>
        <w:t xml:space="preserve">أَهْلُ الْعَوَالِي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8711D2">
        <w:rPr>
          <w:rtl/>
        </w:rPr>
        <w:t>1227</w:t>
      </w:r>
      <w:r w:rsidRPr="004325D8">
        <w:rPr>
          <w:rStyle w:val="libBold2Char"/>
          <w:rtl/>
        </w:rPr>
        <w:t xml:space="preserve"> / 36.</w:t>
      </w:r>
      <w:r w:rsidRPr="00132E65">
        <w:rPr>
          <w:rtl/>
          <w:lang w:bidi="fa-IR"/>
        </w:rPr>
        <w:t xml:space="preserve"> مُحَمَّدُ بْنُ يَحْيى ، عَنْ سَلَمَةَ بْنِ الْخَطَّابِ ، عَنْ عَلِيِّ بْنِ سَيْفٍ ، عَنْ أَبِي الْمَغْرَاءِ </w:t>
      </w:r>
      <w:r>
        <w:rPr>
          <w:rStyle w:val="libFootnotenumChar"/>
          <w:rtl/>
        </w:rPr>
        <w:t>(7)</w:t>
      </w:r>
      <w:r w:rsidRPr="00132E65">
        <w:rPr>
          <w:rtl/>
          <w:lang w:bidi="fa-IR"/>
        </w:rPr>
        <w:t xml:space="preserve"> ، عَنْ عُقْبَةَ بْنِ بَشِيرٍ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النَّبِيُّ </w:t>
      </w:r>
      <w:r w:rsidRPr="0093484F">
        <w:rPr>
          <w:rStyle w:val="libAlaemChar"/>
          <w:rFonts w:eastAsiaTheme="minorHAnsi"/>
          <w:rtl/>
        </w:rPr>
        <w:t>صلى‌الله‌عليه‌وآله</w:t>
      </w:r>
      <w:r w:rsidRPr="00132E65">
        <w:rPr>
          <w:rtl/>
          <w:lang w:bidi="fa-IR"/>
        </w:rPr>
        <w:t xml:space="preserve"> لِعَلِيٍّ </w:t>
      </w:r>
      <w:r w:rsidRPr="00071CF9">
        <w:rPr>
          <w:rStyle w:val="libAlaemChar"/>
          <w:rtl/>
        </w:rPr>
        <w:t>عليه‌السلام</w:t>
      </w:r>
      <w:r w:rsidRPr="00132E65">
        <w:rPr>
          <w:rtl/>
          <w:lang w:bidi="fa-IR"/>
        </w:rPr>
        <w:t xml:space="preserve"> : يَا عَلِيُّ ، ادْفِنِّي فِي هذَا الْمَكَانِ ، وَ</w:t>
      </w:r>
      <w:r w:rsidR="00B71B87">
        <w:rPr>
          <w:rFonts w:hint="cs"/>
          <w:rtl/>
          <w:lang w:bidi="fa-IR"/>
        </w:rPr>
        <w:t xml:space="preserve"> </w:t>
      </w:r>
      <w:r w:rsidRPr="00132E65">
        <w:rPr>
          <w:rtl/>
          <w:lang w:bidi="fa-IR"/>
        </w:rPr>
        <w:t>ارْفَعْ قَبْرِي مِنَ الْأَرْضِ أَرْبَعَ أَصَابِعَ ، و</w:t>
      </w:r>
      <w:r w:rsidR="00B71B87">
        <w:rPr>
          <w:rFonts w:hint="cs"/>
          <w:rtl/>
          <w:lang w:bidi="fa-IR"/>
        </w:rPr>
        <w:t xml:space="preserve">َ </w:t>
      </w:r>
      <w:r w:rsidRPr="00132E65">
        <w:rPr>
          <w:rtl/>
          <w:lang w:bidi="fa-IR"/>
        </w:rPr>
        <w:t>رُشَّ عَلَيْهِ مِنَ الْمَاءِ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B71B87" w:rsidP="000C39D1">
      <w:pPr>
        <w:pStyle w:val="libFootnote0"/>
        <w:rPr>
          <w:rtl/>
          <w:lang w:bidi="fa-IR"/>
        </w:rPr>
      </w:pPr>
      <w:r>
        <w:rPr>
          <w:rFonts w:hint="cs"/>
          <w:rtl/>
        </w:rPr>
        <w:t>=</w:t>
      </w:r>
      <w:r w:rsidR="000C39D1" w:rsidRPr="00132E65">
        <w:rPr>
          <w:rtl/>
        </w:rPr>
        <w:t xml:space="preserve">وص 113 ، ح 114 ، وفيه : « حدّثني الحسن بن عليّ بن بزيع معنعناً عن أصبغ بن نباتة ، وفيهما مع اختلاف يسير. </w:t>
      </w:r>
      <w:r w:rsidR="000C39D1" w:rsidRPr="008711D2">
        <w:rPr>
          <w:rtl/>
        </w:rPr>
        <w:t>الغيبة</w:t>
      </w:r>
      <w:r w:rsidR="000C39D1" w:rsidRPr="00132E65">
        <w:rPr>
          <w:rtl/>
        </w:rPr>
        <w:t xml:space="preserve"> للطوسي ، ص 191 ، ح 154 ، بسند آخر عن رسول الله </w:t>
      </w:r>
      <w:r w:rsidR="000C39D1" w:rsidRPr="00B71B87">
        <w:rPr>
          <w:rStyle w:val="libFootnoteAlaemChar"/>
          <w:rFonts w:eastAsiaTheme="minorHAnsi"/>
          <w:rtl/>
        </w:rPr>
        <w:t>صلى‌الله‌عليه‌وآله</w:t>
      </w:r>
      <w:r w:rsidR="000C39D1" w:rsidRPr="00132E65">
        <w:rPr>
          <w:rtl/>
          <w:lang w:bidi="fa-IR"/>
        </w:rPr>
        <w:t xml:space="preserve"> </w:t>
      </w:r>
      <w:r w:rsidR="000C39D1" w:rsidRPr="00132E65">
        <w:rPr>
          <w:rtl/>
        </w:rPr>
        <w:t xml:space="preserve">، مع اختلاف </w:t>
      </w:r>
      <w:r>
        <w:rPr>
          <w:rFonts w:hint="cs"/>
          <w:rtl/>
        </w:rPr>
        <w:t>.</w:t>
      </w:r>
      <w:r w:rsidR="000C39D1" w:rsidRPr="009D1ACE">
        <w:rPr>
          <w:rStyle w:val="libFootnoteBoldChar"/>
          <w:rtl/>
        </w:rPr>
        <w:t>الوافي</w:t>
      </w:r>
      <w:r w:rsidR="000C39D1" w:rsidRPr="00132E65">
        <w:rPr>
          <w:rtl/>
        </w:rPr>
        <w:t xml:space="preserve"> ، ج 3 ، ص 712 ، ح 1329 ؛ </w:t>
      </w:r>
      <w:r w:rsidR="000C39D1" w:rsidRPr="008711D2">
        <w:rPr>
          <w:rtl/>
        </w:rPr>
        <w:t>البحار</w:t>
      </w:r>
      <w:r w:rsidR="000C39D1" w:rsidRPr="00132E65">
        <w:rPr>
          <w:rtl/>
        </w:rPr>
        <w:t xml:space="preserve"> ، ج 22 ، ص 282 ، ح 41.</w:t>
      </w:r>
    </w:p>
    <w:p w:rsidR="000C39D1" w:rsidRPr="00132E65" w:rsidRDefault="000C39D1" w:rsidP="000C39D1">
      <w:pPr>
        <w:pStyle w:val="libFootnote0"/>
        <w:rPr>
          <w:rtl/>
          <w:lang w:bidi="fa-IR"/>
        </w:rPr>
      </w:pPr>
      <w:r>
        <w:rPr>
          <w:rtl/>
        </w:rPr>
        <w:t>(1).</w:t>
      </w:r>
      <w:r w:rsidRPr="00132E65">
        <w:rPr>
          <w:rtl/>
        </w:rPr>
        <w:t xml:space="preserve"> هكذا في « ب » وحاشية « ض ، بح ، بر »</w:t>
      </w:r>
      <w:r>
        <w:rPr>
          <w:rtl/>
        </w:rPr>
        <w:t>.</w:t>
      </w:r>
      <w:r w:rsidRPr="00132E65">
        <w:rPr>
          <w:rtl/>
        </w:rPr>
        <w:t xml:space="preserve"> وفي « ج ، ض ، ف ، بح ، بر ، بس ، بف ، جر » والمطبوع : « محمّد بن‌الحسين »</w:t>
      </w:r>
      <w:r>
        <w:rPr>
          <w:rtl/>
        </w:rPr>
        <w:t>.</w:t>
      </w:r>
      <w:r w:rsidRPr="00132E65">
        <w:rPr>
          <w:rtl/>
        </w:rPr>
        <w:t xml:space="preserve"> والصواب ما أثبتناه ، كما تقدّم في </w:t>
      </w:r>
      <w:r w:rsidRPr="000577A7">
        <w:rPr>
          <w:rStyle w:val="libFootnoteBoldChar"/>
          <w:rtl/>
        </w:rPr>
        <w:t>الكافي</w:t>
      </w:r>
      <w:r w:rsidRPr="00132E65">
        <w:rPr>
          <w:rtl/>
        </w:rPr>
        <w:t xml:space="preserve"> ، ذيل ح 250 </w:t>
      </w:r>
      <w:r>
        <w:rPr>
          <w:rtl/>
        </w:rPr>
        <w:t>و 5</w:t>
      </w:r>
      <w:r w:rsidRPr="00132E65">
        <w:rPr>
          <w:rtl/>
        </w:rPr>
        <w:t>25.</w:t>
      </w:r>
    </w:p>
    <w:p w:rsidR="000C39D1" w:rsidRPr="00132E65" w:rsidRDefault="000C39D1" w:rsidP="000C39D1">
      <w:pPr>
        <w:pStyle w:val="libFootnote0"/>
        <w:rPr>
          <w:rtl/>
          <w:lang w:bidi="fa-IR"/>
        </w:rPr>
      </w:pPr>
      <w:r>
        <w:rPr>
          <w:rtl/>
        </w:rPr>
        <w:t>(2).</w:t>
      </w:r>
      <w:r w:rsidRPr="00132E65">
        <w:rPr>
          <w:rtl/>
        </w:rPr>
        <w:t xml:space="preserve"> في « ف ، بح ، بس » : « غسله » بالتخفيف وكلاهما صحيح.</w:t>
      </w:r>
    </w:p>
    <w:p w:rsidR="000C39D1" w:rsidRPr="00132E65" w:rsidRDefault="000C39D1" w:rsidP="00CA3D1B">
      <w:pPr>
        <w:pStyle w:val="libFootnote0"/>
        <w:rPr>
          <w:rtl/>
          <w:lang w:bidi="fa-IR"/>
        </w:rPr>
      </w:pPr>
      <w:r>
        <w:rPr>
          <w:rtl/>
        </w:rPr>
        <w:t>(3).</w:t>
      </w:r>
      <w:r w:rsidRPr="00132E65">
        <w:rPr>
          <w:rtl/>
        </w:rPr>
        <w:t xml:space="preserve"> « سجّاه » ، أي غطّاه. تقول : سَجَّيْتُ الميّتَ تسجيةً ، إذا مددتَ عليه ثوباً. راجع : </w:t>
      </w:r>
      <w:r w:rsidRPr="008711D2">
        <w:rPr>
          <w:rtl/>
        </w:rPr>
        <w:t>الصحاح</w:t>
      </w:r>
      <w:r w:rsidRPr="00132E65">
        <w:rPr>
          <w:rtl/>
        </w:rPr>
        <w:t xml:space="preserve"> ، ج 6 ، ص 2372 ( سجا )</w:t>
      </w:r>
      <w:r>
        <w:rPr>
          <w:rtl/>
        </w:rPr>
        <w:t>.</w:t>
      </w:r>
      <w:r w:rsidR="00CA3D1B">
        <w:rPr>
          <w:rFonts w:hint="cs"/>
          <w:rtl/>
        </w:rPr>
        <w:t xml:space="preserve">                                          </w:t>
      </w:r>
      <w:r>
        <w:rPr>
          <w:rtl/>
        </w:rPr>
        <w:t>(4).</w:t>
      </w:r>
      <w:r w:rsidRPr="00132E65">
        <w:rPr>
          <w:rtl/>
        </w:rPr>
        <w:t xml:space="preserve"> الأحزاب (33) : 56.</w:t>
      </w:r>
    </w:p>
    <w:p w:rsidR="000C39D1" w:rsidRPr="00132E65" w:rsidRDefault="000C39D1" w:rsidP="000C39D1">
      <w:pPr>
        <w:pStyle w:val="libFootnote0"/>
        <w:rPr>
          <w:rtl/>
          <w:lang w:bidi="fa-IR"/>
        </w:rPr>
      </w:pPr>
      <w:r>
        <w:rPr>
          <w:rtl/>
        </w:rPr>
        <w:t>(5).</w:t>
      </w:r>
      <w:r w:rsidRPr="00132E65">
        <w:rPr>
          <w:rtl/>
        </w:rPr>
        <w:t xml:space="preserve"> « العالية » </w:t>
      </w:r>
      <w:r>
        <w:rPr>
          <w:rtl/>
        </w:rPr>
        <w:t>و «</w:t>
      </w:r>
      <w:r w:rsidRPr="00132E65">
        <w:rPr>
          <w:rtl/>
        </w:rPr>
        <w:t xml:space="preserve"> العوالي » : هي أماكن بأعلى أراضي المدينة ، والنسبة إليها : عُلْوِيٌّ على غير قياس. وأدناها من المدينة على أربعة أميال ، وأبعدها من جهة نجد ثمانية. </w:t>
      </w:r>
      <w:r w:rsidRPr="008711D2">
        <w:rPr>
          <w:rtl/>
        </w:rPr>
        <w:t>النهاية</w:t>
      </w:r>
      <w:r w:rsidRPr="00132E65">
        <w:rPr>
          <w:rtl/>
        </w:rPr>
        <w:t xml:space="preserve"> ، ج 3 ، ص 295 ( علا )</w:t>
      </w:r>
      <w:r>
        <w:rPr>
          <w:rtl/>
        </w:rPr>
        <w:t>.</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24 ، ص 473 ، ح 24464 ؛ </w:t>
      </w:r>
      <w:r w:rsidRPr="008711D2">
        <w:rPr>
          <w:rtl/>
        </w:rPr>
        <w:t>البحار</w:t>
      </w:r>
      <w:r w:rsidRPr="00132E65">
        <w:rPr>
          <w:rtl/>
        </w:rPr>
        <w:t xml:space="preserve"> ، ج 22 ، ص 539 ، ح 45.</w:t>
      </w:r>
    </w:p>
    <w:p w:rsidR="000C39D1" w:rsidRPr="00132E65" w:rsidRDefault="000C39D1" w:rsidP="000C39D1">
      <w:pPr>
        <w:pStyle w:val="libFootnote0"/>
        <w:rPr>
          <w:rtl/>
          <w:lang w:bidi="fa-IR"/>
        </w:rPr>
      </w:pPr>
      <w:r>
        <w:rPr>
          <w:rtl/>
        </w:rPr>
        <w:t>(7).</w:t>
      </w:r>
      <w:r w:rsidRPr="00132E65">
        <w:rPr>
          <w:rtl/>
        </w:rPr>
        <w:t xml:space="preserve"> في البحار : « المعزا »</w:t>
      </w:r>
      <w:r>
        <w:rPr>
          <w:rtl/>
        </w:rPr>
        <w:t>.</w:t>
      </w:r>
      <w:r w:rsidRPr="00132E65">
        <w:rPr>
          <w:rtl/>
        </w:rPr>
        <w:t xml:space="preserve"> وهو سهو. وأبوالمغراء هو حميد بن المثنّى. راجع : </w:t>
      </w:r>
      <w:r w:rsidRPr="008711D2">
        <w:rPr>
          <w:rtl/>
        </w:rPr>
        <w:t>رجال النجاشي</w:t>
      </w:r>
      <w:r w:rsidRPr="00132E65">
        <w:rPr>
          <w:rtl/>
        </w:rPr>
        <w:t xml:space="preserve"> ، ص 133 ، الرقم 340 ؛ </w:t>
      </w:r>
      <w:r w:rsidRPr="008711D2">
        <w:rPr>
          <w:rtl/>
        </w:rPr>
        <w:t>الفهرست</w:t>
      </w:r>
      <w:r w:rsidRPr="00132E65">
        <w:rPr>
          <w:rtl/>
        </w:rPr>
        <w:t xml:space="preserve"> للطوسي ، ص 154 ، الرقم 236.</w:t>
      </w:r>
    </w:p>
    <w:p w:rsidR="000C39D1" w:rsidRPr="00132E65" w:rsidRDefault="000C39D1" w:rsidP="000C39D1">
      <w:pPr>
        <w:pStyle w:val="libFootnote0"/>
        <w:rPr>
          <w:rtl/>
          <w:lang w:bidi="fa-IR"/>
        </w:rPr>
      </w:pPr>
      <w:r>
        <w:rPr>
          <w:rtl/>
        </w:rPr>
        <w:t>(8).</w:t>
      </w:r>
      <w:r w:rsidRPr="00132E65">
        <w:rPr>
          <w:rtl/>
        </w:rPr>
        <w:t xml:space="preserve"> </w:t>
      </w:r>
      <w:r w:rsidRPr="008711D2">
        <w:rPr>
          <w:rtl/>
        </w:rPr>
        <w:t>قرب الإسناد</w:t>
      </w:r>
      <w:r w:rsidRPr="00132E65">
        <w:rPr>
          <w:rtl/>
        </w:rPr>
        <w:t xml:space="preserve"> ، ص 155 ، ح 568 ، بسند آخر عن جعفر ، عن أبيه ، عن عليّ </w:t>
      </w:r>
      <w:r w:rsidRPr="00CA3D1B">
        <w:rPr>
          <w:rStyle w:val="libFootnoteAlaemChar"/>
          <w:rtl/>
        </w:rPr>
        <w:t>عليه‌السلام</w:t>
      </w:r>
      <w:r w:rsidRPr="00132E65">
        <w:rPr>
          <w:rtl/>
        </w:rPr>
        <w:t xml:space="preserve"> : « أنّ قبر رسول الله </w:t>
      </w:r>
      <w:r w:rsidRPr="00CA3D1B">
        <w:rPr>
          <w:rStyle w:val="libFootnoteAlaemChar"/>
          <w:rFonts w:eastAsiaTheme="minorHAnsi"/>
          <w:rtl/>
        </w:rPr>
        <w:t>صلى‌الله‌عليه‌وآله</w:t>
      </w:r>
      <w:r w:rsidRPr="00132E65">
        <w:rPr>
          <w:rtl/>
          <w:lang w:bidi="fa-IR"/>
        </w:rPr>
        <w:t xml:space="preserve"> </w:t>
      </w:r>
      <w:r w:rsidR="00CA3D1B">
        <w:rPr>
          <w:rtl/>
        </w:rPr>
        <w:t>رفع</w:t>
      </w:r>
      <w:r w:rsidR="00CA3D1B">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8711D2">
        <w:rPr>
          <w:rtl/>
        </w:rPr>
        <w:t>1228</w:t>
      </w:r>
      <w:r w:rsidRPr="004325D8">
        <w:rPr>
          <w:rStyle w:val="libBold2Char"/>
          <w:rtl/>
        </w:rPr>
        <w:t xml:space="preserve"> / 37.</w:t>
      </w:r>
      <w:r w:rsidRPr="00132E65">
        <w:rPr>
          <w:rtl/>
          <w:lang w:bidi="fa-IR"/>
        </w:rPr>
        <w:t xml:space="preserve"> عَلِيُّ بْنُ إِبْرَاهِيمَ ، عَنْ أَبِيهِ ، عَنِ ابْنِ أَبِي عُمَيْرٍ ، عَنْ حَمَّادٍ ، عَنِ الْحَلَبِيِّ :</w:t>
      </w:r>
    </w:p>
    <w:p w:rsidR="000C39D1" w:rsidRPr="00132E65" w:rsidRDefault="000C39D1" w:rsidP="00B66603">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أَتَى الْعَبَّاسُ أَمِيرَ الْمُؤْمِنِينَ </w:t>
      </w:r>
      <w:r w:rsidRPr="00071CF9">
        <w:rPr>
          <w:rStyle w:val="libAlaemChar"/>
          <w:rtl/>
        </w:rPr>
        <w:t>عليه‌السلام</w:t>
      </w:r>
      <w:r w:rsidRPr="00132E65">
        <w:rPr>
          <w:rtl/>
          <w:lang w:bidi="fa-IR"/>
        </w:rPr>
        <w:t xml:space="preserve"> ، فَقَالَ : يَا عَلِيُّ ، إِنَّ النَّاسَ قَدِ اجْتَمَعُوا أَنْ يَدْفِنُوا رَسُولَ اللهِ </w:t>
      </w:r>
      <w:r w:rsidRPr="0093484F">
        <w:rPr>
          <w:rStyle w:val="libAlaemChar"/>
          <w:rFonts w:eastAsiaTheme="minorHAnsi"/>
          <w:rtl/>
        </w:rPr>
        <w:t>صلى‌الله‌عليه‌وآله</w:t>
      </w:r>
      <w:r w:rsidRPr="00132E65">
        <w:rPr>
          <w:rtl/>
          <w:lang w:bidi="fa-IR"/>
        </w:rPr>
        <w:t xml:space="preserve"> فِي بَقِيعِ </w:t>
      </w:r>
      <w:r>
        <w:rPr>
          <w:rStyle w:val="libFootnotenumChar"/>
          <w:rtl/>
        </w:rPr>
        <w:t>(1)</w:t>
      </w:r>
      <w:r w:rsidRPr="00132E65">
        <w:rPr>
          <w:rtl/>
          <w:lang w:bidi="fa-IR"/>
        </w:rPr>
        <w:t xml:space="preserve"> الْمُصَلّى ، و</w:t>
      </w:r>
      <w:r w:rsidR="00B66603">
        <w:rPr>
          <w:rFonts w:hint="cs"/>
          <w:rtl/>
          <w:lang w:bidi="fa-IR"/>
        </w:rPr>
        <w:t xml:space="preserve">َ </w:t>
      </w:r>
      <w:r w:rsidRPr="00132E65">
        <w:rPr>
          <w:rtl/>
          <w:lang w:bidi="fa-IR"/>
        </w:rPr>
        <w:t xml:space="preserve">أَنْ يَؤُمَّهُمْ رَجُلٌ مِنْهُمْ ، فَخَرَجَ أَمِيرُ الْمُؤْمِنِينَ </w:t>
      </w:r>
      <w:r w:rsidRPr="00071CF9">
        <w:rPr>
          <w:rStyle w:val="libAlaemChar"/>
          <w:rtl/>
        </w:rPr>
        <w:t>عليه‌السلام</w:t>
      </w:r>
      <w:r w:rsidRPr="00132E65">
        <w:rPr>
          <w:rtl/>
          <w:lang w:bidi="fa-IR"/>
        </w:rPr>
        <w:t xml:space="preserve"> إِلَى النَّاسِ ، فَقَالَ : يَا </w:t>
      </w:r>
      <w:r>
        <w:rPr>
          <w:rStyle w:val="libFootnotenumChar"/>
          <w:rtl/>
        </w:rPr>
        <w:t>(2)</w:t>
      </w:r>
      <w:r w:rsidRPr="00132E65">
        <w:rPr>
          <w:rtl/>
          <w:lang w:bidi="fa-IR"/>
        </w:rPr>
        <w:t xml:space="preserve"> أَيُّهَا النَّاسُ ، إِنَّ رَسُولَ اللهِ </w:t>
      </w:r>
      <w:r w:rsidRPr="0093484F">
        <w:rPr>
          <w:rStyle w:val="libAlaemChar"/>
          <w:rFonts w:eastAsiaTheme="minorHAnsi"/>
          <w:rtl/>
        </w:rPr>
        <w:t>صلى‌الله‌عليه‌وآله</w:t>
      </w:r>
      <w:r w:rsidRPr="00132E65">
        <w:rPr>
          <w:rtl/>
          <w:lang w:bidi="fa-IR"/>
        </w:rPr>
        <w:t xml:space="preserve"> إِمَامٌ </w:t>
      </w:r>
      <w:r>
        <w:rPr>
          <w:rStyle w:val="libFootnotenumChar"/>
          <w:rtl/>
        </w:rPr>
        <w:t>(3)</w:t>
      </w:r>
      <w:r w:rsidRPr="00132E65">
        <w:rPr>
          <w:rtl/>
          <w:lang w:bidi="fa-IR"/>
        </w:rPr>
        <w:t xml:space="preserve"> حَيّاً و</w:t>
      </w:r>
      <w:r w:rsidR="00B66603">
        <w:rPr>
          <w:rFonts w:hint="cs"/>
          <w:rtl/>
          <w:lang w:bidi="fa-IR"/>
        </w:rPr>
        <w:t>َ</w:t>
      </w:r>
      <w:r w:rsidRPr="00132E65">
        <w:rPr>
          <w:rtl/>
          <w:lang w:bidi="fa-IR"/>
        </w:rPr>
        <w:t xml:space="preserve">مَيِّتاً </w:t>
      </w:r>
      <w:r>
        <w:rPr>
          <w:rStyle w:val="libFootnotenumChar"/>
          <w:rtl/>
        </w:rPr>
        <w:t>(4)</w:t>
      </w:r>
      <w:r w:rsidRPr="00132E65">
        <w:rPr>
          <w:rtl/>
          <w:lang w:bidi="fa-IR"/>
        </w:rPr>
        <w:t xml:space="preserve"> ، و</w:t>
      </w:r>
      <w:r w:rsidR="00B66603">
        <w:rPr>
          <w:rFonts w:hint="cs"/>
          <w:rtl/>
          <w:lang w:bidi="fa-IR"/>
        </w:rPr>
        <w:t>َ</w:t>
      </w:r>
      <w:r>
        <w:rPr>
          <w:rFonts w:hint="cs"/>
          <w:rtl/>
          <w:lang w:bidi="fa-IR"/>
        </w:rPr>
        <w:t xml:space="preserve"> </w:t>
      </w:r>
      <w:r>
        <w:rPr>
          <w:rStyle w:val="libFootnotenumChar"/>
          <w:rtl/>
        </w:rPr>
        <w:t>(5)</w:t>
      </w:r>
      <w:r w:rsidRPr="00132E65">
        <w:rPr>
          <w:rtl/>
          <w:lang w:bidi="fa-IR"/>
        </w:rPr>
        <w:t xml:space="preserve"> قَالَ : إِنِّي أُدْفَنُ فِي الْبُقْعَةِ الَّتِي أُقْبَضُ فِيهَا ، ثُمَّ قَامَ عَلَى الْبَابِ ، فَصَلّى عَلَيْهِ ، ثُمَّ أَمَرَ النَّاسَ عَشَرَةً عَشَرَةً يُصَلُّونَ عَلَيْهِ ، ثُمَّ يَخْرُجُونَ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8711D2">
        <w:rPr>
          <w:rtl/>
        </w:rPr>
        <w:t>1229</w:t>
      </w:r>
      <w:r w:rsidRPr="004325D8">
        <w:rPr>
          <w:rStyle w:val="libBold2Char"/>
          <w:rtl/>
        </w:rPr>
        <w:t xml:space="preserve"> / 38.</w:t>
      </w:r>
      <w:r w:rsidRPr="00132E65">
        <w:rPr>
          <w:rtl/>
          <w:lang w:bidi="fa-IR"/>
        </w:rPr>
        <w:t xml:space="preserve"> مُحَمَّدُ بْنُ يَحْيى ، عَنْ سَلَمَةَ بْنِ الْخَطَّابِ ، عَنْ عَلِيِّ بْنِ سَيْفٍ ، عَنْ عَمْرِو بْنِ شِمْرٍ ، عَنْ جَابِرٍ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قُبِضَ النَّبِيُّ </w:t>
      </w:r>
      <w:r w:rsidRPr="0093484F">
        <w:rPr>
          <w:rStyle w:val="libAlaemChar"/>
          <w:rFonts w:eastAsiaTheme="minorHAnsi"/>
          <w:rtl/>
        </w:rPr>
        <w:t>صلى‌الله‌عليه‌وآله</w:t>
      </w:r>
      <w:r w:rsidRPr="00132E65">
        <w:rPr>
          <w:rtl/>
          <w:lang w:bidi="fa-IR"/>
        </w:rPr>
        <w:t xml:space="preserve"> ، صَلَّتْ عَلَيْهِ الْمَلَائِكَةُ و</w:t>
      </w:r>
      <w:r w:rsidR="00B66603">
        <w:rPr>
          <w:rFonts w:hint="cs"/>
          <w:rtl/>
          <w:lang w:bidi="fa-IR"/>
        </w:rPr>
        <w:t xml:space="preserve">َ </w:t>
      </w:r>
      <w:r w:rsidRPr="00132E65">
        <w:rPr>
          <w:rtl/>
          <w:lang w:bidi="fa-IR"/>
        </w:rPr>
        <w:t>الْمُهَاجِرُونَ وَ</w:t>
      </w:r>
      <w:r w:rsidR="00B66603">
        <w:rPr>
          <w:rFonts w:hint="cs"/>
          <w:rtl/>
          <w:lang w:bidi="fa-IR"/>
        </w:rPr>
        <w:t xml:space="preserve"> </w:t>
      </w:r>
      <w:r w:rsidRPr="00132E65">
        <w:rPr>
          <w:rtl/>
          <w:lang w:bidi="fa-IR"/>
        </w:rPr>
        <w:t>الْأَنْصَارُ فَوْجاً فَوْجاً »</w:t>
      </w:r>
      <w:r>
        <w:rPr>
          <w:rtl/>
          <w:lang w:bidi="fa-IR"/>
        </w:rPr>
        <w:t>.</w:t>
      </w:r>
    </w:p>
    <w:p w:rsidR="000C39D1" w:rsidRPr="00132E65" w:rsidRDefault="000C39D1" w:rsidP="000C39D1">
      <w:pPr>
        <w:pStyle w:val="libNormal"/>
        <w:rPr>
          <w:rtl/>
          <w:lang w:bidi="fa-IR"/>
        </w:rPr>
      </w:pPr>
      <w:r w:rsidRPr="00132E65">
        <w:rPr>
          <w:rtl/>
          <w:lang w:bidi="fa-IR"/>
        </w:rPr>
        <w:t xml:space="preserve">قَالَ : « وَقَالَ أَمِيرُ الْمُؤْمِنِينَ </w:t>
      </w:r>
      <w:r w:rsidRPr="00071CF9">
        <w:rPr>
          <w:rStyle w:val="libAlaemChar"/>
          <w:rtl/>
        </w:rPr>
        <w:t>عليه‌السلام</w:t>
      </w:r>
      <w:r w:rsidRPr="00132E65">
        <w:rPr>
          <w:rtl/>
          <w:lang w:bidi="fa-IR"/>
        </w:rPr>
        <w:t xml:space="preserve"> : سَمِعْتُ رَسُولَ اللهِ </w:t>
      </w:r>
      <w:r w:rsidRPr="0093484F">
        <w:rPr>
          <w:rStyle w:val="libAlaemChar"/>
          <w:rFonts w:eastAsiaTheme="minorHAnsi"/>
          <w:rtl/>
        </w:rPr>
        <w:t>صلى‌الله‌عليه‌وآله</w:t>
      </w:r>
      <w:r w:rsidRPr="00132E65">
        <w:rPr>
          <w:rtl/>
          <w:lang w:bidi="fa-IR"/>
        </w:rPr>
        <w:t xml:space="preserve"> يَقُولُ فِي صِحَّتِهِ‌</w:t>
      </w:r>
    </w:p>
    <w:p w:rsidR="000C39D1" w:rsidRPr="00132E65" w:rsidRDefault="000C39D1" w:rsidP="000C39D1">
      <w:pPr>
        <w:pStyle w:val="libLine"/>
        <w:rPr>
          <w:rtl/>
          <w:lang w:bidi="fa-IR"/>
        </w:rPr>
      </w:pPr>
      <w:r w:rsidRPr="00132E65">
        <w:rPr>
          <w:rtl/>
          <w:lang w:bidi="fa-IR"/>
        </w:rPr>
        <w:t>__________________</w:t>
      </w:r>
    </w:p>
    <w:p w:rsidR="000C39D1" w:rsidRPr="00132E65" w:rsidRDefault="00B66603" w:rsidP="000C39D1">
      <w:pPr>
        <w:pStyle w:val="libFootnote0"/>
        <w:rPr>
          <w:rtl/>
          <w:lang w:bidi="fa-IR"/>
        </w:rPr>
      </w:pPr>
      <w:r>
        <w:rPr>
          <w:rFonts w:hint="cs"/>
          <w:rtl/>
        </w:rPr>
        <w:t>=</w:t>
      </w:r>
      <w:r w:rsidR="000C39D1" w:rsidRPr="00132E65">
        <w:rPr>
          <w:rtl/>
        </w:rPr>
        <w:t>من الأرض بقدر شبر ، أو أربع أصابع ، ورشّ عليه الماء »</w:t>
      </w:r>
      <w:r w:rsidR="000C39D1">
        <w:rPr>
          <w:rtl/>
        </w:rPr>
        <w:t>.</w:t>
      </w:r>
      <w:r w:rsidR="000C39D1" w:rsidRPr="00132E65">
        <w:rPr>
          <w:rtl/>
        </w:rPr>
        <w:t xml:space="preserve"> قال عليّ </w:t>
      </w:r>
      <w:r w:rsidR="000C39D1" w:rsidRPr="00B66603">
        <w:rPr>
          <w:rStyle w:val="libFootnoteAlaemChar"/>
          <w:rtl/>
        </w:rPr>
        <w:t>عليه‌السلام</w:t>
      </w:r>
      <w:r w:rsidR="000C39D1" w:rsidRPr="00132E65">
        <w:rPr>
          <w:rtl/>
        </w:rPr>
        <w:t xml:space="preserve"> : « والسنّة أن يرشّ على القبر الماء » </w:t>
      </w:r>
      <w:r>
        <w:rPr>
          <w:rFonts w:hint="cs"/>
          <w:rtl/>
        </w:rPr>
        <w:t>.</w:t>
      </w:r>
      <w:r w:rsidR="000C39D1" w:rsidRPr="009D1ACE">
        <w:rPr>
          <w:rStyle w:val="libFootnoteBoldChar"/>
          <w:rtl/>
        </w:rPr>
        <w:t>الوافي</w:t>
      </w:r>
      <w:r w:rsidR="000C39D1" w:rsidRPr="00132E65">
        <w:rPr>
          <w:rtl/>
        </w:rPr>
        <w:t xml:space="preserve"> ، ج 25 ، ص 526 ، ح 24574 ؛ </w:t>
      </w:r>
      <w:r w:rsidR="000C39D1" w:rsidRPr="008711D2">
        <w:rPr>
          <w:rtl/>
        </w:rPr>
        <w:t>الوسائل</w:t>
      </w:r>
      <w:r w:rsidR="000C39D1" w:rsidRPr="00132E65">
        <w:rPr>
          <w:rtl/>
        </w:rPr>
        <w:t xml:space="preserve"> ، ج 3 ، ص 192 ، ح 3378 ؛ </w:t>
      </w:r>
      <w:r w:rsidR="000C39D1" w:rsidRPr="008711D2">
        <w:rPr>
          <w:rtl/>
        </w:rPr>
        <w:t>البحار</w:t>
      </w:r>
      <w:r w:rsidR="000C39D1" w:rsidRPr="00132E65">
        <w:rPr>
          <w:rtl/>
        </w:rPr>
        <w:t xml:space="preserve"> ، ج 22 ، ص 539 ، ح 46.</w:t>
      </w:r>
    </w:p>
    <w:p w:rsidR="000C39D1" w:rsidRPr="00132E65" w:rsidRDefault="000C39D1" w:rsidP="00A965BF">
      <w:pPr>
        <w:pStyle w:val="libFootnote0"/>
        <w:rPr>
          <w:rtl/>
          <w:lang w:bidi="fa-IR"/>
        </w:rPr>
      </w:pPr>
      <w:r>
        <w:rPr>
          <w:rtl/>
        </w:rPr>
        <w:t>(1).</w:t>
      </w:r>
      <w:r w:rsidRPr="00132E65">
        <w:rPr>
          <w:rtl/>
        </w:rPr>
        <w:t xml:space="preserve"> « بقيع » : موضع فيه ا</w:t>
      </w:r>
      <w:r w:rsidR="00A965BF">
        <w:rPr>
          <w:rFonts w:hint="cs"/>
          <w:rtl/>
        </w:rPr>
        <w:t>ُ</w:t>
      </w:r>
      <w:r w:rsidRPr="00132E65">
        <w:rPr>
          <w:rtl/>
        </w:rPr>
        <w:t xml:space="preserve">روم الشجر ، أي اصولها من ضروب شتّى. يقال لعدّة مواضع بالمدينة تتميّز بالإضافة. منها : بقيع المصلّى ، وهو موضع كان يصلّي فيه رسول الله </w:t>
      </w:r>
      <w:r w:rsidRPr="00B66603">
        <w:rPr>
          <w:rStyle w:val="libFootnoteAlaemChar"/>
          <w:rFonts w:eastAsiaTheme="minorHAnsi"/>
          <w:rtl/>
        </w:rPr>
        <w:t>صلى‌الله‌عليه‌وآله</w:t>
      </w:r>
      <w:r w:rsidRPr="00132E65">
        <w:rPr>
          <w:rtl/>
        </w:rPr>
        <w:t xml:space="preserve">. راجع : </w:t>
      </w:r>
      <w:r w:rsidRPr="008711D2">
        <w:rPr>
          <w:rtl/>
        </w:rPr>
        <w:t>القاموس المحيط</w:t>
      </w:r>
      <w:r w:rsidRPr="00132E65">
        <w:rPr>
          <w:rtl/>
        </w:rPr>
        <w:t xml:space="preserve"> ، ج 2 ، ص 947 ( بقع ) ؛ </w:t>
      </w:r>
      <w:r w:rsidRPr="009D1ACE">
        <w:rPr>
          <w:rStyle w:val="libFootnoteBoldChar"/>
          <w:rtl/>
        </w:rPr>
        <w:t>مرآة العقول</w:t>
      </w:r>
      <w:r w:rsidRPr="00132E65">
        <w:rPr>
          <w:rtl/>
        </w:rPr>
        <w:t xml:space="preserve"> ، ج 5 ، ص 266.</w:t>
      </w:r>
      <w:r w:rsidR="00A965BF">
        <w:rPr>
          <w:rFonts w:hint="cs"/>
          <w:rtl/>
        </w:rPr>
        <w:t xml:space="preserve">                         </w:t>
      </w:r>
      <w:r>
        <w:rPr>
          <w:rtl/>
        </w:rPr>
        <w:t>(2).</w:t>
      </w:r>
      <w:r w:rsidRPr="00132E65">
        <w:rPr>
          <w:rtl/>
        </w:rPr>
        <w:t xml:space="preserve"> في « بف » </w:t>
      </w:r>
      <w:r>
        <w:rPr>
          <w:rtl/>
        </w:rPr>
        <w:t xml:space="preserve">: - </w:t>
      </w:r>
      <w:r w:rsidRPr="00132E65">
        <w:rPr>
          <w:rtl/>
        </w:rPr>
        <w:t>« يا »</w:t>
      </w:r>
      <w:r>
        <w:rPr>
          <w:rtl/>
        </w:rPr>
        <w:t>.</w:t>
      </w:r>
    </w:p>
    <w:p w:rsidR="000C39D1" w:rsidRPr="00132E65" w:rsidRDefault="000C39D1" w:rsidP="000C39D1">
      <w:pPr>
        <w:pStyle w:val="libFootnote0"/>
        <w:rPr>
          <w:rtl/>
          <w:lang w:bidi="fa-IR"/>
        </w:rPr>
      </w:pPr>
      <w:r>
        <w:rPr>
          <w:rtl/>
        </w:rPr>
        <w:t>(3).</w:t>
      </w:r>
      <w:r w:rsidRPr="00132E65">
        <w:rPr>
          <w:rtl/>
        </w:rPr>
        <w:t xml:space="preserve"> في « ج ، ض ، بس » وحاشية « بح ، بر » وفقه الرضا : « إمامنا »</w:t>
      </w:r>
      <w:r>
        <w:rPr>
          <w:rtl/>
        </w:rPr>
        <w:t>.</w:t>
      </w:r>
      <w:r w:rsidRPr="00132E65">
        <w:rPr>
          <w:rtl/>
        </w:rPr>
        <w:t xml:space="preserve"> وفي « ف » : « إماماً »</w:t>
      </w:r>
      <w:r>
        <w:rPr>
          <w:rtl/>
        </w:rPr>
        <w:t>.</w:t>
      </w:r>
      <w:r w:rsidRPr="00132E65">
        <w:rPr>
          <w:rtl/>
        </w:rPr>
        <w:t xml:space="preserve"> وفي </w:t>
      </w:r>
      <w:r w:rsidRPr="009D1ACE">
        <w:rPr>
          <w:rStyle w:val="libFootnoteBoldChar"/>
          <w:rtl/>
        </w:rPr>
        <w:t>الوافي</w:t>
      </w:r>
      <w:r w:rsidRPr="00132E65">
        <w:rPr>
          <w:rtl/>
        </w:rPr>
        <w:t xml:space="preserve"> : « إمام حيّاً وميّتاً ، يعني لاينبغي أن يقف أحد أمام القوم عند جنازته </w:t>
      </w:r>
      <w:r w:rsidRPr="00B66603">
        <w:rPr>
          <w:rStyle w:val="libFootnoteAlaemChar"/>
          <w:rFonts w:eastAsiaTheme="minorHAnsi"/>
          <w:rtl/>
        </w:rPr>
        <w:t>صلى‌الله‌عليه‌وآله</w:t>
      </w:r>
      <w:r w:rsidRPr="00132E65">
        <w:rPr>
          <w:rtl/>
          <w:lang w:bidi="fa-IR"/>
        </w:rPr>
        <w:t xml:space="preserve"> </w:t>
      </w:r>
      <w:r w:rsidRPr="00132E65">
        <w:rPr>
          <w:rtl/>
        </w:rPr>
        <w:t xml:space="preserve">؛ لأنّه إمام ميّتاً كما أنّه إمام حيّاً. دلّ على هذا المعنى قول أبي جعفر </w:t>
      </w:r>
      <w:r w:rsidRPr="00A965BF">
        <w:rPr>
          <w:rStyle w:val="libFootnoteAlaemChar"/>
          <w:rtl/>
        </w:rPr>
        <w:t>عليه‌السلام</w:t>
      </w:r>
      <w:r w:rsidRPr="00132E65">
        <w:rPr>
          <w:rtl/>
        </w:rPr>
        <w:t xml:space="preserve"> في الحديث السابق : « ثمّ وقف أميرالمؤمنين </w:t>
      </w:r>
      <w:r w:rsidRPr="00B66603">
        <w:rPr>
          <w:rStyle w:val="libFootnoteAlaemChar"/>
          <w:rtl/>
        </w:rPr>
        <w:t>عليه‌السلام</w:t>
      </w:r>
      <w:r w:rsidRPr="00132E65">
        <w:rPr>
          <w:rtl/>
        </w:rPr>
        <w:t xml:space="preserve"> في وسطهم » يعني لم يتقدّمهم »</w:t>
      </w:r>
      <w:r>
        <w:rPr>
          <w:rtl/>
        </w:rPr>
        <w:t>.</w:t>
      </w:r>
    </w:p>
    <w:p w:rsidR="000C39D1" w:rsidRPr="00132E65" w:rsidRDefault="000C39D1" w:rsidP="000C39D1">
      <w:pPr>
        <w:pStyle w:val="libFootnote0"/>
        <w:rPr>
          <w:rtl/>
          <w:lang w:bidi="fa-IR"/>
        </w:rPr>
      </w:pPr>
      <w:r>
        <w:rPr>
          <w:rtl/>
        </w:rPr>
        <w:t>(4).</w:t>
      </w:r>
      <w:r w:rsidRPr="00132E65">
        <w:rPr>
          <w:rtl/>
        </w:rPr>
        <w:t xml:space="preserve"> في فقه الرضا :</w:t>
      </w:r>
      <w:r>
        <w:rPr>
          <w:rtl/>
        </w:rPr>
        <w:t xml:space="preserve"> + </w:t>
      </w:r>
      <w:r w:rsidRPr="00132E65">
        <w:rPr>
          <w:rtl/>
        </w:rPr>
        <w:t xml:space="preserve">« وهل تعلمون أنّه </w:t>
      </w:r>
      <w:r w:rsidRPr="00B66603">
        <w:rPr>
          <w:rStyle w:val="libFootnoteAlaemChar"/>
          <w:rFonts w:eastAsiaTheme="minorHAnsi"/>
          <w:rtl/>
        </w:rPr>
        <w:t>صلى‌الله‌عليه‌وآله</w:t>
      </w:r>
      <w:r w:rsidRPr="00132E65">
        <w:rPr>
          <w:rtl/>
          <w:lang w:bidi="fa-IR"/>
        </w:rPr>
        <w:t xml:space="preserve"> </w:t>
      </w:r>
      <w:r w:rsidRPr="00132E65">
        <w:rPr>
          <w:rtl/>
        </w:rPr>
        <w:t>لعن من جعل القبور مصلّى ، ولعن من يجعل مع الله إلهاً ، ولعن من كسر رباعيته وشقّ لثته. فقالوا : الأمر إليك ، فاصنع ما رأيت »</w:t>
      </w:r>
      <w:r>
        <w:rPr>
          <w:rtl/>
        </w:rPr>
        <w:t>.</w:t>
      </w:r>
    </w:p>
    <w:p w:rsidR="000C39D1" w:rsidRPr="00132E65" w:rsidRDefault="000C39D1" w:rsidP="000C39D1">
      <w:pPr>
        <w:pStyle w:val="libFootnote0"/>
        <w:rPr>
          <w:rtl/>
          <w:lang w:bidi="fa-IR"/>
        </w:rPr>
      </w:pPr>
      <w:r>
        <w:rPr>
          <w:rtl/>
        </w:rPr>
        <w:t>(5).</w:t>
      </w:r>
      <w:r w:rsidRPr="00132E65">
        <w:rPr>
          <w:rtl/>
        </w:rPr>
        <w:t xml:space="preserve"> في « بر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(6).</w:t>
      </w:r>
      <w:r w:rsidRPr="00132E65">
        <w:rPr>
          <w:rtl/>
        </w:rPr>
        <w:t xml:space="preserve"> </w:t>
      </w:r>
      <w:r w:rsidRPr="008711D2">
        <w:rPr>
          <w:rtl/>
        </w:rPr>
        <w:t>فقه الرضا</w:t>
      </w:r>
      <w:r w:rsidRPr="00132E65">
        <w:rPr>
          <w:rtl/>
        </w:rPr>
        <w:t xml:space="preserve"> </w:t>
      </w:r>
      <w:r w:rsidRPr="00A965BF">
        <w:rPr>
          <w:rStyle w:val="libFootnoteAlaemChar"/>
          <w:rtl/>
        </w:rPr>
        <w:t>عليه‌السلام</w:t>
      </w:r>
      <w:r w:rsidRPr="00132E65">
        <w:rPr>
          <w:rtl/>
        </w:rPr>
        <w:t xml:space="preserve"> ، ص 188 ؛ </w:t>
      </w:r>
      <w:r w:rsidRPr="008711D2">
        <w:rPr>
          <w:rtl/>
        </w:rPr>
        <w:t>كفاية الأثر</w:t>
      </w:r>
      <w:r w:rsidRPr="00132E65">
        <w:rPr>
          <w:rtl/>
        </w:rPr>
        <w:t xml:space="preserve"> ، ص 124 ، بسند آخر عن عمّار ، من دون الإسناد ، إلى المعصوم </w:t>
      </w:r>
      <w:r w:rsidRPr="00A965BF">
        <w:rPr>
          <w:rStyle w:val="libFootnoteAlaemChar"/>
          <w:rtl/>
        </w:rPr>
        <w:t>عليه‌السلام</w:t>
      </w:r>
      <w:r w:rsidRPr="00132E65">
        <w:rPr>
          <w:rtl/>
        </w:rPr>
        <w:t xml:space="preserve"> ، وفيهما مع اختلاف يسير وزيادة في أوّله </w:t>
      </w:r>
      <w:r w:rsidR="00A965BF">
        <w:rPr>
          <w:rFonts w:hint="cs"/>
          <w:rtl/>
        </w:rPr>
        <w:t>.</w:t>
      </w:r>
      <w:r w:rsidRPr="009D1ACE">
        <w:rPr>
          <w:rStyle w:val="libFootnoteBoldChar"/>
          <w:rtl/>
        </w:rPr>
        <w:t>الوافي</w:t>
      </w:r>
      <w:r w:rsidRPr="00132E65">
        <w:rPr>
          <w:rtl/>
        </w:rPr>
        <w:t xml:space="preserve"> ، ج 24 ، ص 473 ، ح 24465 ؛ </w:t>
      </w:r>
      <w:r w:rsidRPr="008711D2">
        <w:rPr>
          <w:rtl/>
        </w:rPr>
        <w:t>الوسائل</w:t>
      </w:r>
      <w:r w:rsidRPr="00132E65">
        <w:rPr>
          <w:rtl/>
        </w:rPr>
        <w:t xml:space="preserve"> ، ج 3 ، ص 80 ، ح 3074 ؛ </w:t>
      </w:r>
      <w:r w:rsidRPr="008711D2">
        <w:rPr>
          <w:rtl/>
        </w:rPr>
        <w:t>البحار</w:t>
      </w:r>
      <w:r w:rsidRPr="00132E65">
        <w:rPr>
          <w:rtl/>
        </w:rPr>
        <w:t xml:space="preserve"> ، ج 22 ، ص 539 ، ح 47.</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وَسَلَامَتِهِ : إِنَّمَا أُنْزِلَتْ هذِهِ الْآيَةُ عَلَيَّ </w:t>
      </w:r>
      <w:r>
        <w:rPr>
          <w:rStyle w:val="libFootnotenumChar"/>
          <w:rtl/>
        </w:rPr>
        <w:t>(1)</w:t>
      </w:r>
      <w:r w:rsidRPr="00132E65">
        <w:rPr>
          <w:rtl/>
          <w:lang w:bidi="fa-IR"/>
        </w:rPr>
        <w:t xml:space="preserve"> فِي الصَّلَاةِ عَلَيَّ </w:t>
      </w:r>
      <w:r>
        <w:rPr>
          <w:rStyle w:val="libFootnotenumChar"/>
          <w:rtl/>
        </w:rPr>
        <w:t>(2)</w:t>
      </w:r>
      <w:r w:rsidRPr="00132E65">
        <w:rPr>
          <w:rtl/>
          <w:lang w:bidi="fa-IR"/>
        </w:rPr>
        <w:t xml:space="preserve"> بَعْدَ قَبْضِ اللهِ لِي : </w:t>
      </w:r>
      <w:r w:rsidRPr="00071CF9">
        <w:rPr>
          <w:rStyle w:val="libAlaemChar"/>
          <w:rtl/>
        </w:rPr>
        <w:t>(</w:t>
      </w:r>
      <w:r w:rsidRPr="00071CF9">
        <w:rPr>
          <w:rStyle w:val="libAieChar"/>
          <w:rtl/>
        </w:rPr>
        <w:t xml:space="preserve"> إِنَّ اللهَ وَمَلائِكَتَهُ يُصَلُّونَ عَلَى النَّبِيِّ يا أَيُّهَا الَّذِينَ آمَنُوا صَلُّوا عَلَيْهِ وَسَلِّمُوا تَسْلِيماً </w:t>
      </w:r>
      <w:r w:rsidRPr="00071CF9">
        <w:rPr>
          <w:rStyle w:val="libAlaemChar"/>
          <w:rtl/>
        </w:rPr>
        <w:t>)</w:t>
      </w:r>
      <w:r w:rsidRPr="00132E65">
        <w:rPr>
          <w:rtl/>
          <w:lang w:bidi="fa-IR"/>
        </w:rPr>
        <w:t xml:space="preserve">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8711D2">
        <w:rPr>
          <w:rtl/>
        </w:rPr>
        <w:t>1230</w:t>
      </w:r>
      <w:r w:rsidRPr="004325D8">
        <w:rPr>
          <w:rStyle w:val="libBold2Char"/>
          <w:rtl/>
        </w:rPr>
        <w:t xml:space="preserve"> / 39.</w:t>
      </w:r>
      <w:r w:rsidRPr="00132E65">
        <w:rPr>
          <w:rtl/>
          <w:lang w:bidi="fa-IR"/>
        </w:rPr>
        <w:t xml:space="preserve"> بَعْضُ أَصْحَابِنَا رَفَعَهُ ، عَنْ مُحَمَّدِ بْنِ سِنَانٍ ، عَنْ دَاوُدَ بْنِ كَثِيرٍ الرَّقِّيِّ :</w:t>
      </w:r>
    </w:p>
    <w:p w:rsidR="000C39D1" w:rsidRPr="00132E65" w:rsidRDefault="000C39D1" w:rsidP="000C39D1">
      <w:pPr>
        <w:pStyle w:val="libNormal"/>
        <w:rPr>
          <w:rtl/>
          <w:lang w:bidi="fa-IR"/>
        </w:rPr>
      </w:pPr>
      <w:r w:rsidRPr="00132E65">
        <w:rPr>
          <w:rtl/>
          <w:lang w:bidi="fa-IR"/>
        </w:rPr>
        <w:t xml:space="preserve">قَالَ : قُلْتُ لِأَبِي عَبْدِ اللهِ </w:t>
      </w:r>
      <w:r w:rsidRPr="00071CF9">
        <w:rPr>
          <w:rStyle w:val="libAlaemChar"/>
          <w:rtl/>
        </w:rPr>
        <w:t>عليه‌السلام</w:t>
      </w:r>
      <w:r w:rsidRPr="00132E65">
        <w:rPr>
          <w:rtl/>
          <w:lang w:bidi="fa-IR"/>
        </w:rPr>
        <w:t xml:space="preserve"> : مَا مَعْنَى السَّلَامِ </w:t>
      </w:r>
      <w:r>
        <w:rPr>
          <w:rStyle w:val="libFootnotenumChar"/>
          <w:rtl/>
        </w:rPr>
        <w:t>(5)</w:t>
      </w:r>
      <w:r w:rsidRPr="00132E65">
        <w:rPr>
          <w:rtl/>
          <w:lang w:bidi="fa-IR"/>
        </w:rPr>
        <w:t xml:space="preserve"> عَلى رَسُولِ اللهِ </w:t>
      </w:r>
      <w:r>
        <w:rPr>
          <w:rStyle w:val="libFootnotenumChar"/>
          <w:rtl/>
        </w:rPr>
        <w:t>(6)</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w:t>
      </w:r>
      <w:r>
        <w:rPr>
          <w:rtl/>
          <w:lang w:bidi="fa-IR"/>
        </w:rPr>
        <w:t>؟</w:t>
      </w:r>
    </w:p>
    <w:p w:rsidR="000C39D1" w:rsidRPr="00132E65" w:rsidRDefault="000C39D1" w:rsidP="00BC2444">
      <w:pPr>
        <w:pStyle w:val="libNormal"/>
        <w:rPr>
          <w:rtl/>
          <w:lang w:bidi="fa-IR"/>
        </w:rPr>
      </w:pPr>
      <w:r w:rsidRPr="00132E65">
        <w:rPr>
          <w:rtl/>
          <w:lang w:bidi="fa-IR"/>
        </w:rPr>
        <w:t>فَقَالَ : « إِنَّ اللهَ</w:t>
      </w:r>
      <w:r>
        <w:rPr>
          <w:rtl/>
          <w:lang w:bidi="fa-IR"/>
        </w:rPr>
        <w:t xml:space="preserve"> - </w:t>
      </w:r>
      <w:r w:rsidRPr="00132E65">
        <w:rPr>
          <w:rtl/>
          <w:lang w:bidi="fa-IR"/>
        </w:rPr>
        <w:t>تَبَارَكَ و</w:t>
      </w:r>
      <w:r w:rsidR="00CE5BA6">
        <w:rPr>
          <w:rFonts w:hint="cs"/>
          <w:rtl/>
          <w:lang w:bidi="fa-IR"/>
        </w:rPr>
        <w:t xml:space="preserve">َ </w:t>
      </w:r>
      <w:r w:rsidRPr="00132E65">
        <w:rPr>
          <w:rtl/>
          <w:lang w:bidi="fa-IR"/>
        </w:rPr>
        <w:t>تَعَالى</w:t>
      </w:r>
      <w:r>
        <w:rPr>
          <w:rtl/>
          <w:lang w:bidi="fa-IR"/>
        </w:rPr>
        <w:t xml:space="preserve"> - </w:t>
      </w:r>
      <w:r w:rsidRPr="00132E65">
        <w:rPr>
          <w:rtl/>
          <w:lang w:bidi="fa-IR"/>
        </w:rPr>
        <w:t>لَمَّا خَلَقَ نَبِيَّهُ و</w:t>
      </w:r>
      <w:r w:rsidR="00104042">
        <w:rPr>
          <w:rFonts w:hint="cs"/>
          <w:rtl/>
          <w:lang w:bidi="fa-IR"/>
        </w:rPr>
        <w:t xml:space="preserve">َ </w:t>
      </w:r>
      <w:r w:rsidRPr="00132E65">
        <w:rPr>
          <w:rtl/>
          <w:lang w:bidi="fa-IR"/>
        </w:rPr>
        <w:t>و</w:t>
      </w:r>
      <w:r w:rsidR="00104042">
        <w:rPr>
          <w:rFonts w:hint="cs"/>
          <w:rtl/>
          <w:lang w:bidi="fa-IR"/>
        </w:rPr>
        <w:t>َ</w:t>
      </w:r>
      <w:r w:rsidRPr="00132E65">
        <w:rPr>
          <w:rtl/>
          <w:lang w:bidi="fa-IR"/>
        </w:rPr>
        <w:t>صِيَّهُ و</w:t>
      </w:r>
      <w:r w:rsidR="00104042">
        <w:rPr>
          <w:rFonts w:hint="cs"/>
          <w:rtl/>
          <w:lang w:bidi="fa-IR"/>
        </w:rPr>
        <w:t>َ</w:t>
      </w:r>
      <w:r w:rsidRPr="00132E65">
        <w:rPr>
          <w:rtl/>
          <w:lang w:bidi="fa-IR"/>
        </w:rPr>
        <w:t>ابْنَتَهُ و</w:t>
      </w:r>
      <w:r w:rsidR="00104042">
        <w:rPr>
          <w:rFonts w:hint="cs"/>
          <w:rtl/>
          <w:lang w:bidi="fa-IR"/>
        </w:rPr>
        <w:t>َ</w:t>
      </w:r>
      <w:r w:rsidRPr="00132E65">
        <w:rPr>
          <w:rtl/>
          <w:lang w:bidi="fa-IR"/>
        </w:rPr>
        <w:t>ابْنَيْهِ و</w:t>
      </w:r>
      <w:r w:rsidR="00104042">
        <w:rPr>
          <w:rFonts w:hint="cs"/>
          <w:rtl/>
          <w:lang w:bidi="fa-IR"/>
        </w:rPr>
        <w:t>َ</w:t>
      </w:r>
      <w:r w:rsidR="00417FA6">
        <w:rPr>
          <w:rFonts w:hint="cs"/>
          <w:rtl/>
          <w:lang w:bidi="fa-IR"/>
        </w:rPr>
        <w:t xml:space="preserve"> </w:t>
      </w:r>
      <w:r w:rsidRPr="00132E65">
        <w:rPr>
          <w:rtl/>
          <w:lang w:bidi="fa-IR"/>
        </w:rPr>
        <w:t>جَمِيعَ الْأَئِمَّةِ ، و</w:t>
      </w:r>
      <w:r w:rsidR="00417FA6">
        <w:rPr>
          <w:rFonts w:hint="cs"/>
          <w:rtl/>
          <w:lang w:bidi="fa-IR"/>
        </w:rPr>
        <w:t>َ</w:t>
      </w:r>
      <w:r w:rsidRPr="00132E65">
        <w:rPr>
          <w:rtl/>
          <w:lang w:bidi="fa-IR"/>
        </w:rPr>
        <w:t>خَلَقَ شِيعَتَهُمْ ، أَخَذَ عَلَيْهِمُ الْمِيثَاقَ ، و</w:t>
      </w:r>
      <w:r w:rsidR="00417FA6">
        <w:rPr>
          <w:rFonts w:hint="cs"/>
          <w:rtl/>
          <w:lang w:bidi="fa-IR"/>
        </w:rPr>
        <w:t>َ</w:t>
      </w:r>
      <w:r>
        <w:rPr>
          <w:rFonts w:hint="cs"/>
          <w:rtl/>
          <w:lang w:bidi="fa-IR"/>
        </w:rPr>
        <w:t xml:space="preserve"> </w:t>
      </w:r>
      <w:r>
        <w:rPr>
          <w:rStyle w:val="libFootnotenumChar"/>
          <w:rtl/>
        </w:rPr>
        <w:t>(7)</w:t>
      </w:r>
      <w:r w:rsidRPr="00132E65">
        <w:rPr>
          <w:rtl/>
          <w:lang w:bidi="fa-IR"/>
        </w:rPr>
        <w:t xml:space="preserve"> أَنْ يَصْبِرُوا و</w:t>
      </w:r>
      <w:r w:rsidR="00BC2444">
        <w:rPr>
          <w:rFonts w:hint="cs"/>
          <w:rtl/>
          <w:lang w:bidi="fa-IR"/>
        </w:rPr>
        <w:t>َ</w:t>
      </w:r>
      <w:r w:rsidRPr="00132E65">
        <w:rPr>
          <w:rtl/>
          <w:lang w:bidi="fa-IR"/>
        </w:rPr>
        <w:t>يُصَابِرُوا و</w:t>
      </w:r>
      <w:r w:rsidR="00BC2444">
        <w:rPr>
          <w:rFonts w:hint="cs"/>
          <w:rtl/>
          <w:lang w:bidi="fa-IR"/>
        </w:rPr>
        <w:t>َ</w:t>
      </w:r>
      <w:r w:rsidRPr="00132E65">
        <w:rPr>
          <w:rtl/>
          <w:lang w:bidi="fa-IR"/>
        </w:rPr>
        <w:t xml:space="preserve">يُرَابِطُوا </w:t>
      </w:r>
      <w:r>
        <w:rPr>
          <w:rStyle w:val="libFootnotenumChar"/>
          <w:rtl/>
        </w:rPr>
        <w:t>(8)</w:t>
      </w:r>
      <w:r w:rsidRPr="00132E65">
        <w:rPr>
          <w:rtl/>
          <w:lang w:bidi="fa-IR"/>
        </w:rPr>
        <w:t xml:space="preserve"> ، وَأَنْ يَتَّقُوا اللهَ ؛ و</w:t>
      </w:r>
      <w:r w:rsidR="00BC2444">
        <w:rPr>
          <w:rFonts w:hint="cs"/>
          <w:rtl/>
          <w:lang w:bidi="fa-IR"/>
        </w:rPr>
        <w:t xml:space="preserve">َ </w:t>
      </w:r>
      <w:r w:rsidRPr="00132E65">
        <w:rPr>
          <w:rtl/>
          <w:lang w:bidi="fa-IR"/>
        </w:rPr>
        <w:t>و</w:t>
      </w:r>
      <w:r w:rsidR="00BC2444">
        <w:rPr>
          <w:rFonts w:hint="cs"/>
          <w:rtl/>
          <w:lang w:bidi="fa-IR"/>
        </w:rPr>
        <w:t>َ</w:t>
      </w:r>
      <w:r w:rsidRPr="00132E65">
        <w:rPr>
          <w:rtl/>
          <w:lang w:bidi="fa-IR"/>
        </w:rPr>
        <w:t>عَدَهُمْ أَنْ يُسَلِّمَ لَهُمُ الْأَرْضَ الْمُبَارَكَةَ و</w:t>
      </w:r>
      <w:r w:rsidR="00BC2444">
        <w:rPr>
          <w:rFonts w:hint="cs"/>
          <w:rtl/>
          <w:lang w:bidi="fa-IR"/>
        </w:rPr>
        <w:t xml:space="preserve">َ </w:t>
      </w:r>
      <w:r w:rsidRPr="00132E65">
        <w:rPr>
          <w:rtl/>
          <w:lang w:bidi="fa-IR"/>
        </w:rPr>
        <w:t>الْحَرَمَ الْآمِنَ ، و</w:t>
      </w:r>
      <w:r w:rsidR="00BC2444">
        <w:rPr>
          <w:rFonts w:hint="cs"/>
          <w:rtl/>
          <w:lang w:bidi="fa-IR"/>
        </w:rPr>
        <w:t xml:space="preserve">َ </w:t>
      </w:r>
      <w:r w:rsidRPr="00132E65">
        <w:rPr>
          <w:rtl/>
          <w:lang w:bidi="fa-IR"/>
        </w:rPr>
        <w:t xml:space="preserve">أَنْ يُنَزِّلَ </w:t>
      </w:r>
      <w:r>
        <w:rPr>
          <w:rStyle w:val="libFootnotenumChar"/>
          <w:rtl/>
        </w:rPr>
        <w:t>(9)</w:t>
      </w:r>
      <w:r w:rsidRPr="00132E65">
        <w:rPr>
          <w:rtl/>
          <w:lang w:bidi="fa-IR"/>
        </w:rPr>
        <w:t xml:space="preserve"> لَهُمُ الْبَيْتَ الْمَعْمُورَ ، و</w:t>
      </w:r>
      <w:r w:rsidR="00BC2444">
        <w:rPr>
          <w:rFonts w:hint="cs"/>
          <w:rtl/>
          <w:lang w:bidi="fa-IR"/>
        </w:rPr>
        <w:t xml:space="preserve">َ </w:t>
      </w:r>
      <w:r w:rsidRPr="00132E65">
        <w:rPr>
          <w:rtl/>
          <w:lang w:bidi="fa-IR"/>
        </w:rPr>
        <w:t xml:space="preserve">يُظْهِرَ لَهُمُ السَّقْفَ الْمَرْفُوعَ </w:t>
      </w:r>
      <w:r>
        <w:rPr>
          <w:rStyle w:val="libFootnotenumChar"/>
          <w:rtl/>
        </w:rPr>
        <w:t>(10)</w:t>
      </w:r>
      <w:r w:rsidRPr="00132E65">
        <w:rPr>
          <w:rtl/>
          <w:lang w:bidi="fa-IR"/>
        </w:rPr>
        <w:t xml:space="preserve"> ، و</w:t>
      </w:r>
      <w:r w:rsidR="00BC2444">
        <w:rPr>
          <w:rFonts w:hint="cs"/>
          <w:rtl/>
          <w:lang w:bidi="fa-IR"/>
        </w:rPr>
        <w:t xml:space="preserve">َ </w:t>
      </w:r>
      <w:r w:rsidRPr="00132E65">
        <w:rPr>
          <w:rtl/>
          <w:lang w:bidi="fa-IR"/>
        </w:rPr>
        <w:t>يُرِيحَهُمْ مِنْ عَدُوِّهِمْ و</w:t>
      </w:r>
      <w:r w:rsidR="00BC2444">
        <w:rPr>
          <w:rFonts w:hint="cs"/>
          <w:rtl/>
          <w:lang w:bidi="fa-IR"/>
        </w:rPr>
        <w:t xml:space="preserve">َ </w:t>
      </w:r>
      <w:r w:rsidRPr="00132E65">
        <w:rPr>
          <w:rtl/>
          <w:lang w:bidi="fa-IR"/>
        </w:rPr>
        <w:t xml:space="preserve">الْأَرْضِ </w:t>
      </w:r>
      <w:r>
        <w:rPr>
          <w:rStyle w:val="libFootnotenumChar"/>
          <w:rtl/>
        </w:rPr>
        <w:t>(11)</w:t>
      </w:r>
      <w:r w:rsidRPr="00132E65">
        <w:rPr>
          <w:rtl/>
          <w:lang w:bidi="fa-IR"/>
        </w:rPr>
        <w:t xml:space="preserve"> الَّتِي يُبَدِّلُهَا اللهُ مِنَ السَّلَامِ و</w:t>
      </w:r>
      <w:r w:rsidR="00BC2444">
        <w:rPr>
          <w:rFonts w:hint="cs"/>
          <w:rtl/>
          <w:lang w:bidi="fa-IR"/>
        </w:rPr>
        <w:t xml:space="preserve">َ </w:t>
      </w:r>
      <w:r w:rsidRPr="00132E65">
        <w:rPr>
          <w:rtl/>
          <w:lang w:bidi="fa-IR"/>
        </w:rPr>
        <w:t xml:space="preserve">يُسَلِّمُ مَا فِيهَا لَهُمْ ، لَاشِيَةَ </w:t>
      </w:r>
      <w:r>
        <w:rPr>
          <w:rStyle w:val="libFootnotenumChar"/>
          <w:rtl/>
        </w:rPr>
        <w:t>(12)</w:t>
      </w:r>
      <w:r w:rsidRPr="00132E65">
        <w:rPr>
          <w:rtl/>
          <w:lang w:bidi="fa-IR"/>
        </w:rPr>
        <w:t xml:space="preserve"> فِيهَا</w:t>
      </w:r>
      <w:r>
        <w:rPr>
          <w:rtl/>
          <w:lang w:bidi="fa-IR"/>
        </w:rPr>
        <w:t xml:space="preserve"> - </w:t>
      </w:r>
      <w:r w:rsidRPr="00132E65">
        <w:rPr>
          <w:rtl/>
          <w:lang w:bidi="fa-IR"/>
        </w:rPr>
        <w:t>قَالَ : لَاخُصُومَةَ فِيهَا‌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C2444" w:rsidTr="00BC2444">
        <w:tc>
          <w:tcPr>
            <w:tcW w:w="4006" w:type="dxa"/>
          </w:tcPr>
          <w:p w:rsidR="00BC2444" w:rsidRDefault="00BC2444" w:rsidP="00BC2444">
            <w:pPr>
              <w:pStyle w:val="libFootnote0"/>
              <w:rPr>
                <w:rtl/>
              </w:rPr>
            </w:pPr>
            <w:r>
              <w:rPr>
                <w:rtl/>
              </w:rPr>
              <w:t>(1).</w:t>
            </w:r>
            <w:r w:rsidRPr="00132E65">
              <w:rPr>
                <w:rtl/>
              </w:rPr>
              <w:t>في«ف،بر،بف»:</w:t>
            </w:r>
            <w:r>
              <w:rPr>
                <w:rtl/>
              </w:rPr>
              <w:t>«</w:t>
            </w:r>
            <w:r w:rsidRPr="00132E65">
              <w:rPr>
                <w:rtl/>
              </w:rPr>
              <w:t>عليّ هذه الآية»</w:t>
            </w:r>
            <w:r>
              <w:rPr>
                <w:rtl/>
              </w:rPr>
              <w:t>.</w:t>
            </w:r>
          </w:p>
        </w:tc>
        <w:tc>
          <w:tcPr>
            <w:tcW w:w="4006" w:type="dxa"/>
          </w:tcPr>
          <w:p w:rsidR="00BC2444" w:rsidRDefault="00BC2444" w:rsidP="000C39D1">
            <w:pPr>
              <w:pStyle w:val="libFootnote0"/>
              <w:rPr>
                <w:rtl/>
              </w:rPr>
            </w:pPr>
            <w:r>
              <w:rPr>
                <w:rtl/>
              </w:rPr>
              <w:t>(2).</w:t>
            </w:r>
            <w:r w:rsidRPr="00132E65">
              <w:rPr>
                <w:rtl/>
              </w:rPr>
              <w:t xml:space="preserve"> في البحار </w:t>
            </w:r>
            <w:r>
              <w:rPr>
                <w:rtl/>
              </w:rPr>
              <w:t xml:space="preserve">: - </w:t>
            </w:r>
            <w:r w:rsidRPr="00132E65">
              <w:rPr>
                <w:rtl/>
              </w:rPr>
              <w:t>« عليّ »</w:t>
            </w:r>
            <w:r>
              <w:rPr>
                <w:rtl/>
              </w:rPr>
              <w:t>.</w:t>
            </w:r>
          </w:p>
        </w:tc>
      </w:tr>
    </w:tbl>
    <w:p w:rsidR="000C39D1" w:rsidRPr="00132E65" w:rsidRDefault="000C39D1" w:rsidP="000C39D1">
      <w:pPr>
        <w:pStyle w:val="libFootnote0"/>
        <w:rPr>
          <w:rtl/>
          <w:lang w:bidi="fa-IR"/>
        </w:rPr>
      </w:pPr>
      <w:r>
        <w:rPr>
          <w:rtl/>
        </w:rPr>
        <w:t>(3).</w:t>
      </w:r>
      <w:r w:rsidRPr="00132E65">
        <w:rPr>
          <w:rtl/>
        </w:rPr>
        <w:t xml:space="preserve"> الأحزاب (33) : 56.</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24 ، ص 474 ، ح 24466 ؛ </w:t>
      </w:r>
      <w:r w:rsidRPr="008711D2">
        <w:rPr>
          <w:rtl/>
        </w:rPr>
        <w:t>البحار</w:t>
      </w:r>
      <w:r w:rsidRPr="00132E65">
        <w:rPr>
          <w:rtl/>
        </w:rPr>
        <w:t xml:space="preserve"> ، ج 22 ، ص 540 ، ح 48.</w:t>
      </w:r>
    </w:p>
    <w:p w:rsidR="000C39D1" w:rsidRPr="00132E65" w:rsidRDefault="000C39D1" w:rsidP="000C39D1">
      <w:pPr>
        <w:pStyle w:val="libFootnote0"/>
        <w:rPr>
          <w:rtl/>
          <w:lang w:bidi="fa-IR"/>
        </w:rPr>
      </w:pPr>
      <w:r>
        <w:rPr>
          <w:rtl/>
        </w:rPr>
        <w:t>(5).</w:t>
      </w:r>
      <w:r w:rsidRPr="00132E65">
        <w:rPr>
          <w:rtl/>
        </w:rPr>
        <w:t xml:space="preserve"> في « بف » :</w:t>
      </w:r>
      <w:r>
        <w:rPr>
          <w:rtl/>
        </w:rPr>
        <w:t xml:space="preserve"> + </w:t>
      </w:r>
      <w:r w:rsidRPr="00132E65">
        <w:rPr>
          <w:rtl/>
        </w:rPr>
        <w:t>« على الله</w:t>
      </w:r>
      <w:r>
        <w:rPr>
          <w:rtl/>
        </w:rPr>
        <w:t xml:space="preserve"> و ».</w:t>
      </w:r>
      <w:r w:rsidRPr="00132E65">
        <w:rPr>
          <w:rtl/>
        </w:rPr>
        <w:t xml:space="preserve"> وفي </w:t>
      </w:r>
      <w:r w:rsidRPr="009D1ACE">
        <w:rPr>
          <w:rStyle w:val="libFootnoteBoldChar"/>
          <w:rtl/>
        </w:rPr>
        <w:t>مرآة العقول</w:t>
      </w:r>
      <w:r w:rsidRPr="00132E65">
        <w:rPr>
          <w:rtl/>
        </w:rPr>
        <w:t xml:space="preserve"> : « السلام مجرور ، والظرف متعلّق به ، أو حال منه. أو مرفوع مبتدأ ، والظرف خبره ، ومضمون الجملة مضاف إليه. والأوّل أظهر »</w:t>
      </w:r>
      <w:r>
        <w:rPr>
          <w:rtl/>
        </w:rPr>
        <w:t>.</w:t>
      </w:r>
    </w:p>
    <w:tbl>
      <w:tblPr>
        <w:tblStyle w:val="TableGrid"/>
        <w:bidiVisual/>
        <w:tblW w:w="0" w:type="auto"/>
        <w:tblLook w:val="04A0" w:firstRow="1" w:lastRow="0" w:firstColumn="1" w:lastColumn="0" w:noHBand="0" w:noVBand="1"/>
      </w:tblPr>
      <w:tblGrid>
        <w:gridCol w:w="3891"/>
        <w:gridCol w:w="4121"/>
      </w:tblGrid>
      <w:tr w:rsidR="00BC2444" w:rsidTr="00BC2444">
        <w:tc>
          <w:tcPr>
            <w:tcW w:w="3891" w:type="dxa"/>
          </w:tcPr>
          <w:p w:rsidR="00BC2444" w:rsidRDefault="00BC2444" w:rsidP="00BC2444">
            <w:pPr>
              <w:pStyle w:val="libFootnote0"/>
              <w:rPr>
                <w:rtl/>
              </w:rPr>
            </w:pPr>
            <w:r>
              <w:rPr>
                <w:rtl/>
              </w:rPr>
              <w:t>(6).</w:t>
            </w:r>
            <w:r w:rsidRPr="00132E65">
              <w:rPr>
                <w:rtl/>
              </w:rPr>
              <w:t>فى«ب،بف»:«رسوله»بدل«رسول</w:t>
            </w:r>
            <w:r>
              <w:rPr>
                <w:rFonts w:hint="cs"/>
                <w:rtl/>
              </w:rPr>
              <w:t xml:space="preserve"> </w:t>
            </w:r>
            <w:r w:rsidRPr="00132E65">
              <w:rPr>
                <w:rtl/>
              </w:rPr>
              <w:t>الله»</w:t>
            </w:r>
            <w:r>
              <w:rPr>
                <w:rtl/>
              </w:rPr>
              <w:t>.</w:t>
            </w:r>
          </w:p>
        </w:tc>
        <w:tc>
          <w:tcPr>
            <w:tcW w:w="4121" w:type="dxa"/>
          </w:tcPr>
          <w:p w:rsidR="00BC2444" w:rsidRDefault="00BC2444" w:rsidP="00BC2444">
            <w:pPr>
              <w:pStyle w:val="libFootnote0"/>
              <w:rPr>
                <w:rtl/>
              </w:rPr>
            </w:pPr>
            <w:r>
              <w:rPr>
                <w:rtl/>
              </w:rPr>
              <w:t>(7).</w:t>
            </w:r>
            <w:r w:rsidRPr="00132E65">
              <w:rPr>
                <w:rtl/>
              </w:rPr>
              <w:t xml:space="preserve">في </w:t>
            </w:r>
            <w:r w:rsidRPr="009D1ACE">
              <w:rPr>
                <w:rStyle w:val="libFootnoteBoldChar"/>
                <w:rtl/>
              </w:rPr>
              <w:t>مرآة العقول</w:t>
            </w:r>
            <w:r w:rsidRPr="00132E65">
              <w:rPr>
                <w:rtl/>
              </w:rPr>
              <w:t>:«ولا يبعد كون الواوزائدةمن النسّاخ»</w:t>
            </w:r>
            <w:r>
              <w:rPr>
                <w:rtl/>
              </w:rPr>
              <w:t>.</w:t>
            </w:r>
          </w:p>
        </w:tc>
      </w:tr>
    </w:tbl>
    <w:p w:rsidR="000C39D1" w:rsidRPr="00132E65" w:rsidRDefault="000C39D1" w:rsidP="000C39D1">
      <w:pPr>
        <w:pStyle w:val="libFootnote0"/>
        <w:rPr>
          <w:rtl/>
          <w:lang w:bidi="fa-IR"/>
        </w:rPr>
      </w:pPr>
      <w:r>
        <w:rPr>
          <w:rtl/>
        </w:rPr>
        <w:t>(8).</w:t>
      </w:r>
      <w:r w:rsidRPr="00132E65">
        <w:rPr>
          <w:rtl/>
        </w:rPr>
        <w:t xml:space="preserve"> « الرباط » </w:t>
      </w:r>
      <w:r>
        <w:rPr>
          <w:rtl/>
        </w:rPr>
        <w:t>و «</w:t>
      </w:r>
      <w:r w:rsidRPr="00132E65">
        <w:rPr>
          <w:rtl/>
        </w:rPr>
        <w:t xml:space="preserve"> المرابطة » في الأصل هي الإقامة على جهاد العدوّ بالحرب ، وارتباط الخيل وإعدادها. وقيل : أصل المرابطة أن يربط الفريقان خيولهم في ثَفْرٍ كلّ منهما معدّ لصاحبه ، فسمّي المقام في الثغور رباطاً. وقد يطلق على ربط النفس على الأعمال الصالحة والأخلاق الفاضلة. راجع : </w:t>
      </w:r>
      <w:r w:rsidRPr="008711D2">
        <w:rPr>
          <w:rtl/>
        </w:rPr>
        <w:t>النهاية</w:t>
      </w:r>
      <w:r w:rsidRPr="00132E65">
        <w:rPr>
          <w:rtl/>
        </w:rPr>
        <w:t xml:space="preserve"> ، ج 2 ، ص 18 ( ربط ) ؛ </w:t>
      </w:r>
      <w:r w:rsidRPr="008711D2">
        <w:rPr>
          <w:rtl/>
        </w:rPr>
        <w:t>شرح المازندراني</w:t>
      </w:r>
      <w:r w:rsidRPr="00132E65">
        <w:rPr>
          <w:rtl/>
        </w:rPr>
        <w:t xml:space="preserve"> ، ج 7 ، ص 187.</w:t>
      </w:r>
    </w:p>
    <w:p w:rsidR="000C39D1" w:rsidRPr="00132E65" w:rsidRDefault="000C39D1" w:rsidP="000C39D1">
      <w:pPr>
        <w:pStyle w:val="libFootnote0"/>
        <w:rPr>
          <w:rtl/>
          <w:lang w:bidi="fa-IR"/>
        </w:rPr>
      </w:pPr>
      <w:r>
        <w:rPr>
          <w:rtl/>
        </w:rPr>
        <w:t>(9).</w:t>
      </w:r>
      <w:r w:rsidRPr="00132E65">
        <w:rPr>
          <w:rtl/>
        </w:rPr>
        <w:t xml:space="preserve"> يجوز فيه الإفعال والتجرّد أيضاً. قال في </w:t>
      </w:r>
      <w:r w:rsidRPr="009D1ACE">
        <w:rPr>
          <w:rStyle w:val="libFootnoteBoldChar"/>
          <w:rtl/>
        </w:rPr>
        <w:t>مرآة العقول</w:t>
      </w:r>
      <w:r w:rsidRPr="00132E65">
        <w:rPr>
          <w:rtl/>
        </w:rPr>
        <w:t xml:space="preserve"> : « لم أر فيما أظنّ نزول البيت المعمور في زمن القائم </w:t>
      </w:r>
      <w:r w:rsidRPr="00BC2444">
        <w:rPr>
          <w:rStyle w:val="libFootnoteAlaemChar"/>
          <w:rtl/>
        </w:rPr>
        <w:t>عليه‌السلام</w:t>
      </w:r>
      <w:r w:rsidRPr="00132E65">
        <w:rPr>
          <w:rtl/>
        </w:rPr>
        <w:t xml:space="preserve"> </w:t>
      </w:r>
      <w:r w:rsidR="00BC2444">
        <w:rPr>
          <w:rtl/>
        </w:rPr>
        <w:t>إل</w:t>
      </w:r>
      <w:r w:rsidR="00BC2444">
        <w:rPr>
          <w:rFonts w:hint="cs"/>
          <w:rtl/>
        </w:rPr>
        <w:t>ّ</w:t>
      </w:r>
      <w:r w:rsidR="00BC2444">
        <w:rPr>
          <w:rtl/>
        </w:rPr>
        <w:t>ا</w:t>
      </w:r>
      <w:r w:rsidRPr="00132E65">
        <w:rPr>
          <w:rtl/>
        </w:rPr>
        <w:t>في هذا الخبر »</w:t>
      </w:r>
      <w:r>
        <w:rPr>
          <w:rtl/>
        </w:rPr>
        <w:t>.</w:t>
      </w:r>
      <w:r w:rsidRPr="00132E65">
        <w:rPr>
          <w:rtl/>
        </w:rPr>
        <w:t xml:space="preserve"> ثمّ ذكر ما ذُكر في الخبر من التأويلات.</w:t>
      </w:r>
    </w:p>
    <w:p w:rsidR="000C39D1" w:rsidRPr="00132E65" w:rsidRDefault="000C39D1" w:rsidP="000C39D1">
      <w:pPr>
        <w:pStyle w:val="libFootnote0"/>
        <w:rPr>
          <w:rtl/>
          <w:lang w:bidi="fa-IR"/>
        </w:rPr>
      </w:pPr>
      <w:r>
        <w:rPr>
          <w:rtl/>
        </w:rPr>
        <w:t>(10).</w:t>
      </w:r>
      <w:r w:rsidRPr="00132E65">
        <w:rPr>
          <w:rtl/>
        </w:rPr>
        <w:t xml:space="preserve"> في « ب » :</w:t>
      </w:r>
      <w:r>
        <w:rPr>
          <w:rtl/>
        </w:rPr>
        <w:t xml:space="preserve"> + </w:t>
      </w:r>
      <w:r w:rsidRPr="00132E65">
        <w:rPr>
          <w:rtl/>
        </w:rPr>
        <w:t>« ويزكّيهم »</w:t>
      </w:r>
      <w:r>
        <w:rPr>
          <w:rtl/>
        </w:rPr>
        <w:t>.</w:t>
      </w:r>
    </w:p>
    <w:p w:rsidR="000C39D1" w:rsidRPr="00132E65" w:rsidRDefault="000C39D1" w:rsidP="000C39D1">
      <w:pPr>
        <w:pStyle w:val="libFootnote0"/>
        <w:rPr>
          <w:rtl/>
          <w:lang w:bidi="fa-IR"/>
        </w:rPr>
      </w:pPr>
      <w:r>
        <w:rPr>
          <w:rtl/>
        </w:rPr>
        <w:t>(11).</w:t>
      </w:r>
      <w:r w:rsidRPr="00132E65">
        <w:rPr>
          <w:rtl/>
        </w:rPr>
        <w:t xml:space="preserve"> « الأرضِ » مجرور عطفاً على عدوّهم. وذكر في </w:t>
      </w:r>
      <w:r w:rsidRPr="009D1ACE">
        <w:rPr>
          <w:rStyle w:val="libFootnoteBoldChar"/>
          <w:rtl/>
        </w:rPr>
        <w:t>مرآة العقول</w:t>
      </w:r>
      <w:r w:rsidRPr="00132E65">
        <w:rPr>
          <w:rtl/>
        </w:rPr>
        <w:t xml:space="preserve"> وجوهاً ا</w:t>
      </w:r>
      <w:r w:rsidR="00D66640">
        <w:rPr>
          <w:rFonts w:hint="cs"/>
          <w:rtl/>
        </w:rPr>
        <w:t>ُ</w:t>
      </w:r>
      <w:r w:rsidRPr="00132E65">
        <w:rPr>
          <w:rtl/>
        </w:rPr>
        <w:t>خر ، فراجعه.</w:t>
      </w:r>
    </w:p>
    <w:p w:rsidR="000C39D1" w:rsidRPr="00132E65" w:rsidRDefault="000C39D1" w:rsidP="000C39D1">
      <w:pPr>
        <w:pStyle w:val="libFootnote0"/>
        <w:rPr>
          <w:rtl/>
          <w:lang w:bidi="fa-IR"/>
        </w:rPr>
      </w:pPr>
      <w:r>
        <w:rPr>
          <w:rtl/>
        </w:rPr>
        <w:t>(12).</w:t>
      </w:r>
      <w:r w:rsidRPr="00132E65">
        <w:rPr>
          <w:rtl/>
        </w:rPr>
        <w:t xml:space="preserve"> في « بف » : « لا شبه »</w:t>
      </w:r>
      <w:r>
        <w:rPr>
          <w:rtl/>
        </w:rPr>
        <w:t>.</w:t>
      </w:r>
      <w:r w:rsidRPr="00132E65">
        <w:rPr>
          <w:rtl/>
        </w:rPr>
        <w:t xml:space="preserve"> </w:t>
      </w:r>
      <w:r>
        <w:rPr>
          <w:rtl/>
        </w:rPr>
        <w:t>و «</w:t>
      </w:r>
      <w:r w:rsidRPr="00132E65">
        <w:rPr>
          <w:rtl/>
        </w:rPr>
        <w:t xml:space="preserve"> الشِيَةُ » : كلّ لون يخالف معظم لون الفرس وغيره. وأصله من الوَشْي ، والوَشي في‌اللون : خلط لون بلون </w:t>
      </w:r>
      <w:r>
        <w:rPr>
          <w:rtl/>
        </w:rPr>
        <w:t>و «</w:t>
      </w:r>
      <w:r w:rsidRPr="00132E65">
        <w:rPr>
          <w:rtl/>
        </w:rPr>
        <w:t xml:space="preserve"> لاشية فيها » أي لالون فيها يخالف لونها. راجع : </w:t>
      </w:r>
      <w:r w:rsidRPr="009D1ACE">
        <w:rPr>
          <w:rStyle w:val="libFootnoteBoldChar"/>
          <w:rtl/>
        </w:rPr>
        <w:t>لسان العرب</w:t>
      </w:r>
      <w:r w:rsidR="00D66640">
        <w:rPr>
          <w:rtl/>
        </w:rPr>
        <w:t xml:space="preserve"> ، ج 15 ، ص 392</w:t>
      </w:r>
      <w:r w:rsidR="00D66640">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لِعَدُوِّهِمْ </w:t>
      </w:r>
      <w:r>
        <w:rPr>
          <w:rStyle w:val="libFootnotenumChar"/>
          <w:rtl/>
        </w:rPr>
        <w:t>(1)</w:t>
      </w:r>
      <w:r>
        <w:rPr>
          <w:rtl/>
          <w:lang w:bidi="fa-IR"/>
        </w:rPr>
        <w:t xml:space="preserve"> </w:t>
      </w:r>
      <w:r w:rsidR="003448DF">
        <w:rPr>
          <w:rtl/>
          <w:lang w:bidi="fa-IR"/>
        </w:rPr>
        <w:t>–</w:t>
      </w:r>
      <w:r>
        <w:rPr>
          <w:rtl/>
          <w:lang w:bidi="fa-IR"/>
        </w:rPr>
        <w:t xml:space="preserve"> </w:t>
      </w:r>
      <w:r w:rsidRPr="00132E65">
        <w:rPr>
          <w:rtl/>
          <w:lang w:bidi="fa-IR"/>
        </w:rPr>
        <w:t>و</w:t>
      </w:r>
      <w:r w:rsidR="003448DF">
        <w:rPr>
          <w:rFonts w:hint="cs"/>
          <w:rtl/>
          <w:lang w:bidi="fa-IR"/>
        </w:rPr>
        <w:t xml:space="preserve">َ </w:t>
      </w:r>
      <w:r w:rsidRPr="00132E65">
        <w:rPr>
          <w:rtl/>
          <w:lang w:bidi="fa-IR"/>
        </w:rPr>
        <w:t>أَنْ يَكُونَ لَهُمْ فِيهَا مَا يُحِبُّونَ ؛ و</w:t>
      </w:r>
      <w:r w:rsidR="003448DF">
        <w:rPr>
          <w:rFonts w:hint="cs"/>
          <w:rtl/>
          <w:lang w:bidi="fa-IR"/>
        </w:rPr>
        <w:t xml:space="preserve">َ </w:t>
      </w:r>
      <w:r w:rsidRPr="00132E65">
        <w:rPr>
          <w:rtl/>
          <w:lang w:bidi="fa-IR"/>
        </w:rPr>
        <w:t xml:space="preserve">أَخَذَ رَسُولُ اللهِ </w:t>
      </w:r>
      <w:r w:rsidRPr="0093484F">
        <w:rPr>
          <w:rStyle w:val="libAlaemChar"/>
          <w:rFonts w:eastAsiaTheme="minorHAnsi"/>
          <w:rtl/>
        </w:rPr>
        <w:t>صلى‌الله‌عليه‌وآله</w:t>
      </w:r>
      <w:r w:rsidRPr="00132E65">
        <w:rPr>
          <w:rtl/>
          <w:lang w:bidi="fa-IR"/>
        </w:rPr>
        <w:t xml:space="preserve"> عَلى جَمِيعِ الْأَئِمَّةِ </w:t>
      </w:r>
      <w:r>
        <w:rPr>
          <w:rStyle w:val="libFootnotenumChar"/>
          <w:rtl/>
        </w:rPr>
        <w:t>(2)</w:t>
      </w:r>
      <w:r w:rsidRPr="00132E65">
        <w:rPr>
          <w:rtl/>
          <w:lang w:bidi="fa-IR"/>
        </w:rPr>
        <w:t xml:space="preserve"> وَشِيعَتِهِمُ </w:t>
      </w:r>
      <w:r>
        <w:rPr>
          <w:rStyle w:val="libFootnotenumChar"/>
          <w:rtl/>
        </w:rPr>
        <w:t>(3)</w:t>
      </w:r>
      <w:r w:rsidRPr="00132E65">
        <w:rPr>
          <w:rtl/>
          <w:lang w:bidi="fa-IR"/>
        </w:rPr>
        <w:t xml:space="preserve"> الْمِيثَاقَ بِذلِكَ ، و</w:t>
      </w:r>
      <w:r w:rsidR="003448DF">
        <w:rPr>
          <w:rFonts w:hint="cs"/>
          <w:rtl/>
          <w:lang w:bidi="fa-IR"/>
        </w:rPr>
        <w:t xml:space="preserve">َ </w:t>
      </w:r>
      <w:r w:rsidRPr="00132E65">
        <w:rPr>
          <w:rtl/>
          <w:lang w:bidi="fa-IR"/>
        </w:rPr>
        <w:t xml:space="preserve">إِنَّمَا السَّلَامُ عَلَيْهِ </w:t>
      </w:r>
      <w:r>
        <w:rPr>
          <w:rStyle w:val="libFootnotenumChar"/>
          <w:rtl/>
        </w:rPr>
        <w:t>(4)</w:t>
      </w:r>
      <w:r w:rsidRPr="00132E65">
        <w:rPr>
          <w:rtl/>
          <w:lang w:bidi="fa-IR"/>
        </w:rPr>
        <w:t xml:space="preserve"> تَذْكِرَةُ </w:t>
      </w:r>
      <w:r>
        <w:rPr>
          <w:rStyle w:val="libFootnotenumChar"/>
          <w:rtl/>
        </w:rPr>
        <w:t>(5)</w:t>
      </w:r>
      <w:r w:rsidRPr="00132E65">
        <w:rPr>
          <w:rtl/>
          <w:lang w:bidi="fa-IR"/>
        </w:rPr>
        <w:t xml:space="preserve"> نَفْسِ الْمِيثَاقِ ، و</w:t>
      </w:r>
      <w:r w:rsidR="003448DF">
        <w:rPr>
          <w:rFonts w:hint="cs"/>
          <w:rtl/>
          <w:lang w:bidi="fa-IR"/>
        </w:rPr>
        <w:t xml:space="preserve">َ </w:t>
      </w:r>
      <w:r w:rsidRPr="00132E65">
        <w:rPr>
          <w:rtl/>
          <w:lang w:bidi="fa-IR"/>
        </w:rPr>
        <w:t xml:space="preserve">تَجْدِيدٌ </w:t>
      </w:r>
      <w:r>
        <w:rPr>
          <w:rStyle w:val="libFootnotenumChar"/>
          <w:rtl/>
        </w:rPr>
        <w:t>(6)</w:t>
      </w:r>
      <w:r w:rsidRPr="00132E65">
        <w:rPr>
          <w:rtl/>
          <w:lang w:bidi="fa-IR"/>
        </w:rPr>
        <w:t xml:space="preserve"> لَهُ عَلَى اللهِ لَعَلَّهُ </w:t>
      </w:r>
      <w:r>
        <w:rPr>
          <w:rStyle w:val="libFootnotenumChar"/>
          <w:rtl/>
        </w:rPr>
        <w:t>(7)</w:t>
      </w:r>
      <w:r w:rsidRPr="00132E65">
        <w:rPr>
          <w:rtl/>
          <w:lang w:bidi="fa-IR"/>
        </w:rPr>
        <w:t xml:space="preserve"> أَنْ يُعَجِّلَهُ </w:t>
      </w:r>
      <w:r>
        <w:rPr>
          <w:rStyle w:val="libFootnotenumChar"/>
          <w:rtl/>
        </w:rPr>
        <w:t>(8)</w:t>
      </w:r>
      <w:r>
        <w:rPr>
          <w:rtl/>
          <w:lang w:bidi="fa-IR"/>
        </w:rPr>
        <w:t xml:space="preserve"> - </w:t>
      </w:r>
      <w:r w:rsidRPr="00132E65">
        <w:rPr>
          <w:rtl/>
          <w:lang w:bidi="fa-IR"/>
        </w:rPr>
        <w:t>جَلَّ و</w:t>
      </w:r>
      <w:r w:rsidR="003448DF">
        <w:rPr>
          <w:rFonts w:hint="cs"/>
          <w:rtl/>
          <w:lang w:bidi="fa-IR"/>
        </w:rPr>
        <w:t xml:space="preserve">َ </w:t>
      </w:r>
      <w:r w:rsidRPr="00132E65">
        <w:rPr>
          <w:rtl/>
          <w:lang w:bidi="fa-IR"/>
        </w:rPr>
        <w:t>عَزَّ</w:t>
      </w:r>
      <w:r>
        <w:rPr>
          <w:rtl/>
          <w:lang w:bidi="fa-IR"/>
        </w:rPr>
        <w:t xml:space="preserve"> </w:t>
      </w:r>
      <w:r w:rsidR="003448DF">
        <w:rPr>
          <w:rtl/>
          <w:lang w:bidi="fa-IR"/>
        </w:rPr>
        <w:t>–</w:t>
      </w:r>
      <w:r>
        <w:rPr>
          <w:rtl/>
          <w:lang w:bidi="fa-IR"/>
        </w:rPr>
        <w:t xml:space="preserve"> </w:t>
      </w:r>
      <w:r w:rsidRPr="00132E65">
        <w:rPr>
          <w:rtl/>
          <w:lang w:bidi="fa-IR"/>
        </w:rPr>
        <w:t>و</w:t>
      </w:r>
      <w:r w:rsidR="003448DF">
        <w:rPr>
          <w:rFonts w:hint="cs"/>
          <w:rtl/>
          <w:lang w:bidi="fa-IR"/>
        </w:rPr>
        <w:t xml:space="preserve">َ </w:t>
      </w:r>
      <w:r w:rsidRPr="00132E65">
        <w:rPr>
          <w:rtl/>
          <w:lang w:bidi="fa-IR"/>
        </w:rPr>
        <w:t xml:space="preserve">يُعَجِّلَ </w:t>
      </w:r>
      <w:r>
        <w:rPr>
          <w:rStyle w:val="libFootnotenumChar"/>
          <w:rtl/>
        </w:rPr>
        <w:t>(9)</w:t>
      </w:r>
      <w:r w:rsidRPr="00132E65">
        <w:rPr>
          <w:rtl/>
          <w:lang w:bidi="fa-IR"/>
        </w:rPr>
        <w:t xml:space="preserve"> السَّلَامَ لَكُمْ بِجَمِيعِ مَا فِيهِ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4E2FB4">
        <w:rPr>
          <w:rtl/>
        </w:rPr>
        <w:t>1231</w:t>
      </w:r>
      <w:r w:rsidRPr="004325D8">
        <w:rPr>
          <w:rStyle w:val="libBold2Char"/>
          <w:rtl/>
        </w:rPr>
        <w:t xml:space="preserve"> / 40.</w:t>
      </w:r>
      <w:r w:rsidRPr="00132E65">
        <w:rPr>
          <w:rtl/>
          <w:lang w:bidi="fa-IR"/>
        </w:rPr>
        <w:t xml:space="preserve"> ابْنُ مَحْبُوبٍ </w:t>
      </w:r>
      <w:r>
        <w:rPr>
          <w:rStyle w:val="libFootnotenumChar"/>
          <w:rtl/>
        </w:rPr>
        <w:t>(11)</w:t>
      </w:r>
      <w:r w:rsidRPr="00132E65">
        <w:rPr>
          <w:rtl/>
          <w:lang w:bidi="fa-IR"/>
        </w:rPr>
        <w:t xml:space="preserve"> ، عَنْ عَبْدِ اللهِ بْنِ سِنَانٍ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اللهُمَّ صَلِّ عَلى مُحَمَّدٍ صَفِيِّكَ وَخَلِيلِكَ </w:t>
      </w:r>
      <w:r>
        <w:rPr>
          <w:rStyle w:val="libFootnotenumChar"/>
          <w:rtl/>
        </w:rPr>
        <w:t>(12)</w:t>
      </w:r>
      <w:r w:rsidRPr="00132E65">
        <w:rPr>
          <w:rtl/>
          <w:lang w:bidi="fa-IR"/>
        </w:rPr>
        <w:t xml:space="preserve"> و</w:t>
      </w:r>
      <w:r w:rsidR="003448DF">
        <w:rPr>
          <w:rFonts w:hint="cs"/>
          <w:rtl/>
          <w:lang w:bidi="fa-IR"/>
        </w:rPr>
        <w:t xml:space="preserve">َ </w:t>
      </w:r>
      <w:r w:rsidRPr="00132E65">
        <w:rPr>
          <w:rtl/>
          <w:lang w:bidi="fa-IR"/>
        </w:rPr>
        <w:t xml:space="preserve">نَجِيِّكَ </w:t>
      </w:r>
      <w:r w:rsidRPr="00F543F1">
        <w:rPr>
          <w:rStyle w:val="libFootnotenumChar"/>
          <w:rtl/>
        </w:rPr>
        <w:t>(13)</w:t>
      </w:r>
      <w:r w:rsidRPr="00132E65">
        <w:rPr>
          <w:rtl/>
          <w:lang w:bidi="fa-IR"/>
        </w:rPr>
        <w:t xml:space="preserve"> ، الْمُدَبِّرِ لِأَمْرِكَ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Heading2Center"/>
        <w:rPr>
          <w:rtl/>
          <w:lang w:bidi="fa-IR"/>
        </w:rPr>
      </w:pPr>
      <w:bookmarkStart w:id="156" w:name="_Toc459459154"/>
      <w:bookmarkStart w:id="157" w:name="_Toc34663123"/>
      <w:r w:rsidRPr="00132E65">
        <w:rPr>
          <w:rtl/>
          <w:lang w:bidi="fa-IR"/>
        </w:rPr>
        <w:t>112</w:t>
      </w:r>
      <w:r>
        <w:rPr>
          <w:rtl/>
          <w:lang w:bidi="fa-IR"/>
        </w:rPr>
        <w:t xml:space="preserve"> - </w:t>
      </w:r>
      <w:r w:rsidRPr="00132E65">
        <w:rPr>
          <w:rtl/>
          <w:lang w:bidi="fa-IR"/>
        </w:rPr>
        <w:t xml:space="preserve">بَابُ </w:t>
      </w:r>
      <w:r w:rsidRPr="00F543F1">
        <w:rPr>
          <w:rStyle w:val="libFootnotenumChar"/>
          <w:rtl/>
        </w:rPr>
        <w:t>(15)</w:t>
      </w:r>
      <w:r>
        <w:rPr>
          <w:rtl/>
          <w:lang w:bidi="fa-IR"/>
        </w:rPr>
        <w:t xml:space="preserve"> </w:t>
      </w:r>
      <w:r w:rsidRPr="00132E65">
        <w:rPr>
          <w:rtl/>
          <w:lang w:bidi="fa-IR"/>
        </w:rPr>
        <w:t xml:space="preserve">النَّهْيِ عَنِ الْإِشْرَافِ عَلى قَبْرِ النَّبِيِّ </w:t>
      </w:r>
      <w:r w:rsidRPr="00F543F1">
        <w:rPr>
          <w:rStyle w:val="libFootnotenumChar"/>
          <w:rtl/>
        </w:rPr>
        <w:t>(16)</w:t>
      </w:r>
      <w:r>
        <w:rPr>
          <w:rtl/>
          <w:lang w:bidi="fa-IR"/>
        </w:rPr>
        <w:t xml:space="preserve"> </w:t>
      </w:r>
      <w:bookmarkEnd w:id="156"/>
      <w:r w:rsidRPr="0093484F">
        <w:rPr>
          <w:rStyle w:val="libAlaemChar"/>
          <w:rFonts w:eastAsiaTheme="minorHAnsi"/>
          <w:rtl/>
        </w:rPr>
        <w:t>صلى‌الله‌عليه‌وآله</w:t>
      </w:r>
      <w:bookmarkEnd w:id="157"/>
    </w:p>
    <w:p w:rsidR="000C39D1" w:rsidRPr="00132E65" w:rsidRDefault="000C39D1" w:rsidP="000C39D1">
      <w:pPr>
        <w:pStyle w:val="libNormal"/>
        <w:rPr>
          <w:rtl/>
          <w:lang w:bidi="fa-IR"/>
        </w:rPr>
      </w:pPr>
      <w:r w:rsidRPr="004E2FB4">
        <w:rPr>
          <w:rtl/>
        </w:rPr>
        <w:t>1232</w:t>
      </w:r>
      <w:r w:rsidRPr="004325D8">
        <w:rPr>
          <w:rStyle w:val="libBold2Char"/>
          <w:rtl/>
        </w:rPr>
        <w:t xml:space="preserve"> / 1.</w:t>
      </w:r>
      <w:r w:rsidRPr="00132E65">
        <w:rPr>
          <w:rtl/>
          <w:lang w:bidi="fa-IR"/>
        </w:rPr>
        <w:t xml:space="preserve"> عِدَّةٌ مِنْ أَصْحَابِنَا ، عَنْ أَحْمَدَ بْنِ مُحَمَّدٍ الْبَرْقِيِّ ، عَنْ جَعْفَرِ بْنِ الْمُثَنَّى‌</w:t>
      </w:r>
    </w:p>
    <w:p w:rsidR="000C39D1" w:rsidRPr="00132E65" w:rsidRDefault="000C39D1" w:rsidP="000C39D1">
      <w:pPr>
        <w:pStyle w:val="libLine"/>
        <w:rPr>
          <w:rtl/>
          <w:lang w:bidi="fa-IR"/>
        </w:rPr>
      </w:pPr>
      <w:r w:rsidRPr="00132E65">
        <w:rPr>
          <w:rtl/>
          <w:lang w:bidi="fa-IR"/>
        </w:rPr>
        <w:t>__________________</w:t>
      </w:r>
    </w:p>
    <w:p w:rsidR="000C39D1" w:rsidRPr="00132E65" w:rsidRDefault="003448DF" w:rsidP="000C39D1">
      <w:pPr>
        <w:pStyle w:val="libFootnote0"/>
        <w:rPr>
          <w:rtl/>
          <w:lang w:bidi="fa-IR"/>
        </w:rPr>
      </w:pPr>
      <w:r>
        <w:rPr>
          <w:rFonts w:hint="cs"/>
          <w:rtl/>
        </w:rPr>
        <w:t xml:space="preserve">= </w:t>
      </w:r>
      <w:r w:rsidR="000C39D1" w:rsidRPr="00132E65">
        <w:rPr>
          <w:rtl/>
        </w:rPr>
        <w:t>( وشي )</w:t>
      </w:r>
      <w:r w:rsidR="000C39D1">
        <w:rPr>
          <w:rtl/>
        </w:rPr>
        <w:t>.</w:t>
      </w:r>
      <w:r w:rsidR="000C39D1" w:rsidRPr="00132E65">
        <w:rPr>
          <w:rtl/>
        </w:rPr>
        <w:t xml:space="preserve"> وقال في </w:t>
      </w:r>
      <w:r w:rsidR="000C39D1" w:rsidRPr="008711D2">
        <w:rPr>
          <w:rtl/>
        </w:rPr>
        <w:t>المرآة</w:t>
      </w:r>
      <w:r w:rsidR="000C39D1" w:rsidRPr="00132E65">
        <w:rPr>
          <w:rtl/>
        </w:rPr>
        <w:t xml:space="preserve"> : « وتفسير الشيه هنا بالخصومة مبنيّ على حمل الكلام على الاستعارة ، فإنّه إذا لم يسلّم لهم الأرض كملاً ، بل كان لبعضها فيه خصومة ، فكانت كحيوان فيه لون غير لون أصله »</w:t>
      </w:r>
      <w:r w:rsidR="000C39D1">
        <w:rPr>
          <w:rtl/>
        </w:rPr>
        <w:t>.</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قال : لا خصومة فيها لعدوّهم ، من كلام الراوي تفسير للشية »</w:t>
      </w:r>
      <w:r>
        <w:rPr>
          <w:rtl/>
        </w:rPr>
        <w:t>.</w:t>
      </w:r>
    </w:p>
    <w:p w:rsidR="000C39D1" w:rsidRPr="00132E65" w:rsidRDefault="000C39D1" w:rsidP="000C39D1">
      <w:pPr>
        <w:pStyle w:val="libFootnote0"/>
        <w:rPr>
          <w:rtl/>
          <w:lang w:bidi="fa-IR"/>
        </w:rPr>
      </w:pPr>
      <w:r>
        <w:rPr>
          <w:rtl/>
        </w:rPr>
        <w:t>(2).</w:t>
      </w:r>
      <w:r w:rsidRPr="00132E65">
        <w:rPr>
          <w:rtl/>
        </w:rPr>
        <w:t xml:space="preserve"> في « ب ، ج ، ف ، بس ، بف » : « الا</w:t>
      </w:r>
      <w:r w:rsidR="003448DF">
        <w:rPr>
          <w:rFonts w:hint="cs"/>
          <w:rtl/>
        </w:rPr>
        <w:t>ُ</w:t>
      </w:r>
      <w:r w:rsidRPr="00132E65">
        <w:rPr>
          <w:rtl/>
        </w:rPr>
        <w:t>مّة »</w:t>
      </w:r>
      <w:r>
        <w:rPr>
          <w:rtl/>
        </w:rPr>
        <w:t>.</w:t>
      </w:r>
    </w:p>
    <w:p w:rsidR="000C39D1" w:rsidRPr="00132E65" w:rsidRDefault="000C39D1" w:rsidP="000C39D1">
      <w:pPr>
        <w:pStyle w:val="libFootnote0"/>
        <w:rPr>
          <w:rtl/>
          <w:lang w:bidi="fa-IR"/>
        </w:rPr>
      </w:pPr>
      <w:r>
        <w:rPr>
          <w:rtl/>
        </w:rPr>
        <w:t>(3).</w:t>
      </w:r>
      <w:r w:rsidRPr="00132E65">
        <w:rPr>
          <w:rtl/>
        </w:rPr>
        <w:t xml:space="preserve"> في « ب ، ج ، ف ، بف » وحاشية « ض » : « وشيعتنا »</w:t>
      </w:r>
      <w:r>
        <w:rPr>
          <w:rtl/>
        </w:rPr>
        <w:t>.</w:t>
      </w:r>
    </w:p>
    <w:p w:rsidR="000C39D1" w:rsidRPr="00132E65" w:rsidRDefault="000C39D1" w:rsidP="003448DF">
      <w:pPr>
        <w:pStyle w:val="libFootnote0"/>
        <w:rPr>
          <w:rtl/>
          <w:lang w:bidi="fa-IR"/>
        </w:rPr>
      </w:pPr>
      <w:r>
        <w:rPr>
          <w:rtl/>
        </w:rPr>
        <w:t>(4).</w:t>
      </w:r>
      <w:r w:rsidRPr="00132E65">
        <w:rPr>
          <w:rtl/>
        </w:rPr>
        <w:t xml:space="preserve"> في « ج ، ض ، ف ، بر ، بس ، بف » و</w:t>
      </w:r>
      <w:r w:rsidRPr="009D1ACE">
        <w:rPr>
          <w:rStyle w:val="libFootnoteBoldChar"/>
          <w:rtl/>
        </w:rPr>
        <w:t>الوافي</w:t>
      </w:r>
      <w:r w:rsidRPr="00132E65">
        <w:rPr>
          <w:rtl/>
        </w:rPr>
        <w:t xml:space="preserve"> :</w:t>
      </w:r>
      <w:r>
        <w:rPr>
          <w:rtl/>
        </w:rPr>
        <w:t xml:space="preserve"> + </w:t>
      </w:r>
      <w:r w:rsidRPr="00132E65">
        <w:rPr>
          <w:rtl/>
        </w:rPr>
        <w:t>«</w:t>
      </w:r>
      <w:r w:rsidR="003448DF">
        <w:rPr>
          <w:rFonts w:hint="cs"/>
          <w:rtl/>
        </w:rPr>
        <w:t>عليه السلام</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541631" w:rsidTr="00541631">
        <w:tc>
          <w:tcPr>
            <w:tcW w:w="4006" w:type="dxa"/>
          </w:tcPr>
          <w:p w:rsidR="00541631" w:rsidRDefault="00541631" w:rsidP="000C39D1">
            <w:pPr>
              <w:pStyle w:val="libFootnote0"/>
              <w:rPr>
                <w:rtl/>
                <w:lang w:bidi="fa-IR"/>
              </w:rPr>
            </w:pPr>
            <w:r>
              <w:rPr>
                <w:rtl/>
              </w:rPr>
              <w:t>(5).</w:t>
            </w:r>
            <w:r w:rsidRPr="00132E65">
              <w:rPr>
                <w:rtl/>
              </w:rPr>
              <w:t xml:space="preserve"> في « بف » : « مذكّرة »</w:t>
            </w:r>
            <w:r>
              <w:rPr>
                <w:rtl/>
              </w:rPr>
              <w:t>.</w:t>
            </w:r>
          </w:p>
        </w:tc>
        <w:tc>
          <w:tcPr>
            <w:tcW w:w="4006" w:type="dxa"/>
          </w:tcPr>
          <w:p w:rsidR="00541631" w:rsidRDefault="00541631" w:rsidP="000C39D1">
            <w:pPr>
              <w:pStyle w:val="libFootnote0"/>
              <w:rPr>
                <w:rtl/>
                <w:lang w:bidi="fa-IR"/>
              </w:rPr>
            </w:pPr>
            <w:r>
              <w:rPr>
                <w:rtl/>
              </w:rPr>
              <w:t>(6).</w:t>
            </w:r>
            <w:r w:rsidRPr="00132E65">
              <w:rPr>
                <w:rtl/>
              </w:rPr>
              <w:t xml:space="preserve"> في « بف » : « تجديداً »</w:t>
            </w:r>
            <w:r>
              <w:rPr>
                <w:rtl/>
              </w:rPr>
              <w:t>.</w:t>
            </w:r>
          </w:p>
        </w:tc>
      </w:tr>
      <w:tr w:rsidR="00541631" w:rsidTr="00541631">
        <w:tc>
          <w:tcPr>
            <w:tcW w:w="4006" w:type="dxa"/>
          </w:tcPr>
          <w:p w:rsidR="00541631" w:rsidRDefault="00541631" w:rsidP="00541631">
            <w:pPr>
              <w:pStyle w:val="libFootnote0"/>
              <w:rPr>
                <w:rtl/>
              </w:rPr>
            </w:pPr>
            <w:r>
              <w:rPr>
                <w:rtl/>
              </w:rPr>
              <w:t>(7).</w:t>
            </w:r>
            <w:r w:rsidRPr="00132E65">
              <w:rPr>
                <w:rtl/>
              </w:rPr>
              <w:t>في«ض»</w:t>
            </w:r>
            <w:r>
              <w:rPr>
                <w:rtl/>
              </w:rPr>
              <w:t>:-</w:t>
            </w:r>
            <w:r w:rsidRPr="00132E65">
              <w:rPr>
                <w:rtl/>
              </w:rPr>
              <w:t>«</w:t>
            </w:r>
            <w:r>
              <w:rPr>
                <w:rtl/>
              </w:rPr>
              <w:t>لعلّه</w:t>
            </w:r>
            <w:r w:rsidRPr="00132E65">
              <w:rPr>
                <w:rtl/>
              </w:rPr>
              <w:t>»</w:t>
            </w:r>
            <w:r>
              <w:rPr>
                <w:rtl/>
              </w:rPr>
              <w:t>.</w:t>
            </w:r>
            <w:r w:rsidRPr="00132E65">
              <w:rPr>
                <w:rtl/>
              </w:rPr>
              <w:t>وفي«ف»:«لعلّة»</w:t>
            </w:r>
            <w:r>
              <w:rPr>
                <w:rtl/>
              </w:rPr>
              <w:t>.</w:t>
            </w:r>
          </w:p>
        </w:tc>
        <w:tc>
          <w:tcPr>
            <w:tcW w:w="4006" w:type="dxa"/>
          </w:tcPr>
          <w:p w:rsidR="00541631" w:rsidRDefault="00541631" w:rsidP="000C39D1">
            <w:pPr>
              <w:pStyle w:val="libFootnote0"/>
              <w:rPr>
                <w:rtl/>
              </w:rPr>
            </w:pPr>
            <w:r>
              <w:rPr>
                <w:rtl/>
              </w:rPr>
              <w:t>(8).</w:t>
            </w:r>
            <w:r w:rsidRPr="00132E65">
              <w:rPr>
                <w:rtl/>
              </w:rPr>
              <w:t xml:space="preserve"> في « بر » :</w:t>
            </w:r>
            <w:r>
              <w:rPr>
                <w:rtl/>
              </w:rPr>
              <w:t xml:space="preserve"> + </w:t>
            </w:r>
            <w:r w:rsidRPr="00132E65">
              <w:rPr>
                <w:rtl/>
              </w:rPr>
              <w:t>« لخلقه »</w:t>
            </w:r>
            <w:r>
              <w:rPr>
                <w:rtl/>
              </w:rPr>
              <w:t>.</w:t>
            </w:r>
          </w:p>
        </w:tc>
      </w:tr>
    </w:tbl>
    <w:p w:rsidR="000C39D1" w:rsidRPr="00132E65" w:rsidRDefault="000C39D1" w:rsidP="000C39D1">
      <w:pPr>
        <w:pStyle w:val="libFootnote0"/>
        <w:rPr>
          <w:rtl/>
          <w:lang w:bidi="fa-IR"/>
        </w:rPr>
      </w:pPr>
      <w:r>
        <w:rPr>
          <w:rtl/>
        </w:rPr>
        <w:t>(9).</w:t>
      </w:r>
      <w:r w:rsidRPr="00132E65">
        <w:rPr>
          <w:rtl/>
        </w:rPr>
        <w:t xml:space="preserve"> في « بح » : « وتعجيل »</w:t>
      </w:r>
      <w:r>
        <w:rPr>
          <w:rtl/>
        </w:rPr>
        <w:t>.</w:t>
      </w:r>
    </w:p>
    <w:p w:rsidR="000C39D1" w:rsidRPr="00132E65" w:rsidRDefault="000C39D1" w:rsidP="000C39D1">
      <w:pPr>
        <w:pStyle w:val="libFootnote0"/>
        <w:rPr>
          <w:rtl/>
          <w:lang w:bidi="fa-IR"/>
        </w:rPr>
      </w:pPr>
      <w:r>
        <w:rPr>
          <w:rtl/>
        </w:rPr>
        <w:t>(10).</w:t>
      </w:r>
      <w:r w:rsidRPr="00132E65">
        <w:rPr>
          <w:rtl/>
        </w:rPr>
        <w:t xml:space="preserve"> </w:t>
      </w:r>
      <w:r w:rsidRPr="009D1ACE">
        <w:rPr>
          <w:rStyle w:val="libFootnoteBoldChar"/>
          <w:rtl/>
        </w:rPr>
        <w:t>الوافي</w:t>
      </w:r>
      <w:r w:rsidRPr="00132E65">
        <w:rPr>
          <w:rtl/>
        </w:rPr>
        <w:t xml:space="preserve"> ، ج 14 ، ص 1355 ، ح 14388 ؛ </w:t>
      </w:r>
      <w:r w:rsidRPr="004E2FB4">
        <w:rPr>
          <w:rtl/>
        </w:rPr>
        <w:t>البحار</w:t>
      </w:r>
      <w:r w:rsidRPr="00132E65">
        <w:rPr>
          <w:rtl/>
        </w:rPr>
        <w:t xml:space="preserve"> ، ج 52 ، ص 380 ، ح 190.</w:t>
      </w:r>
    </w:p>
    <w:p w:rsidR="000C39D1" w:rsidRPr="00132E65" w:rsidRDefault="000C39D1" w:rsidP="00BF6C35">
      <w:pPr>
        <w:pStyle w:val="libFootnote0"/>
        <w:rPr>
          <w:rtl/>
          <w:lang w:bidi="fa-IR"/>
        </w:rPr>
      </w:pPr>
      <w:r>
        <w:rPr>
          <w:rtl/>
        </w:rPr>
        <w:t>(11).</w:t>
      </w:r>
      <w:r w:rsidRPr="00132E65">
        <w:rPr>
          <w:rtl/>
        </w:rPr>
        <w:t xml:space="preserve"> ابن محبوب ، هو الحسن ، وليس هو من مشايخ الكليني. وأمّا كون السند معلّقاً على الأسناد السابقة ، فليس له وجه مبرِّر.</w:t>
      </w:r>
      <w:r w:rsidR="00BF6C35">
        <w:rPr>
          <w:rFonts w:hint="cs"/>
          <w:rtl/>
        </w:rPr>
        <w:t xml:space="preserve">                                           </w:t>
      </w:r>
      <w:r>
        <w:rPr>
          <w:rtl/>
        </w:rPr>
        <w:t>(12).</w:t>
      </w:r>
      <w:r w:rsidR="00BF6C35">
        <w:rPr>
          <w:rtl/>
        </w:rPr>
        <w:t>في</w:t>
      </w:r>
      <w:r w:rsidRPr="00132E65">
        <w:rPr>
          <w:rtl/>
        </w:rPr>
        <w:t>«ج ، بح ، بس»</w:t>
      </w:r>
      <w:r>
        <w:rPr>
          <w:rtl/>
        </w:rPr>
        <w:t>:-</w:t>
      </w:r>
      <w:r w:rsidRPr="00132E65">
        <w:rPr>
          <w:rtl/>
        </w:rPr>
        <w:t>«وخليلك»</w:t>
      </w:r>
      <w:r>
        <w:rPr>
          <w:rtl/>
        </w:rPr>
        <w:t>.</w:t>
      </w:r>
    </w:p>
    <w:p w:rsidR="000C39D1" w:rsidRPr="00132E65" w:rsidRDefault="000C39D1" w:rsidP="000C39D1">
      <w:pPr>
        <w:pStyle w:val="libFootnote0"/>
        <w:rPr>
          <w:rtl/>
          <w:lang w:bidi="fa-IR"/>
        </w:rPr>
      </w:pPr>
      <w:r>
        <w:rPr>
          <w:rtl/>
        </w:rPr>
        <w:t>(13)</w:t>
      </w:r>
      <w:r w:rsidRPr="00132E65">
        <w:rPr>
          <w:rtl/>
        </w:rPr>
        <w:t xml:space="preserve"> في « ب » وحاشية « ض » : « نجيبك »</w:t>
      </w:r>
      <w:r>
        <w:rPr>
          <w:rtl/>
        </w:rPr>
        <w:t>.</w:t>
      </w:r>
      <w:r w:rsidRPr="00132E65">
        <w:rPr>
          <w:rtl/>
        </w:rPr>
        <w:t xml:space="preserve"> </w:t>
      </w:r>
      <w:r>
        <w:rPr>
          <w:rtl/>
        </w:rPr>
        <w:t>و «</w:t>
      </w:r>
      <w:r w:rsidRPr="00132E65">
        <w:rPr>
          <w:rtl/>
        </w:rPr>
        <w:t xml:space="preserve"> النَجِيُّ » : الذي تسارّه ؛ من النَجْو ، وهو السرّ بين اثنين. قاله الجو</w:t>
      </w:r>
      <w:r w:rsidR="00743CB0">
        <w:rPr>
          <w:rtl/>
        </w:rPr>
        <w:t>هري. وقال ابن الأثير : « هو الم</w:t>
      </w:r>
      <w:r w:rsidR="00743CB0">
        <w:rPr>
          <w:rFonts w:hint="cs"/>
          <w:rtl/>
        </w:rPr>
        <w:t>ـُ</w:t>
      </w:r>
      <w:r w:rsidRPr="00132E65">
        <w:rPr>
          <w:rtl/>
        </w:rPr>
        <w:t>ن</w:t>
      </w:r>
      <w:r w:rsidR="00743CB0">
        <w:rPr>
          <w:rtl/>
        </w:rPr>
        <w:t>اجي الم</w:t>
      </w:r>
      <w:r w:rsidR="00743CB0">
        <w:rPr>
          <w:rFonts w:hint="cs"/>
          <w:rtl/>
        </w:rPr>
        <w:t>ـُ</w:t>
      </w:r>
      <w:r w:rsidR="00743CB0">
        <w:rPr>
          <w:rtl/>
        </w:rPr>
        <w:t>خاطِبُ للإنسان والم</w:t>
      </w:r>
      <w:r w:rsidR="00743CB0">
        <w:rPr>
          <w:rFonts w:hint="cs"/>
          <w:rtl/>
        </w:rPr>
        <w:t>ـُ</w:t>
      </w:r>
      <w:r w:rsidRPr="00132E65">
        <w:rPr>
          <w:rtl/>
        </w:rPr>
        <w:t>حَدِّثُ له. فعيل من المناجاة »</w:t>
      </w:r>
      <w:r>
        <w:rPr>
          <w:rtl/>
        </w:rPr>
        <w:t>.</w:t>
      </w:r>
      <w:r w:rsidRPr="00132E65">
        <w:rPr>
          <w:rtl/>
        </w:rPr>
        <w:t xml:space="preserve"> راجع : </w:t>
      </w:r>
      <w:r w:rsidRPr="004E2FB4">
        <w:rPr>
          <w:rtl/>
        </w:rPr>
        <w:t>الصحاح</w:t>
      </w:r>
      <w:r w:rsidRPr="00132E65">
        <w:rPr>
          <w:rtl/>
        </w:rPr>
        <w:t xml:space="preserve"> ، ج 6 ، ص 2503 ؛ </w:t>
      </w:r>
      <w:r w:rsidRPr="004E2FB4">
        <w:rPr>
          <w:rtl/>
        </w:rPr>
        <w:t>النهاية</w:t>
      </w:r>
      <w:r w:rsidRPr="00132E65">
        <w:rPr>
          <w:rtl/>
        </w:rPr>
        <w:t xml:space="preserve"> ، ج 5 ، ص 25 ( نجا )</w:t>
      </w:r>
      <w:r>
        <w:rPr>
          <w:rtl/>
        </w:rPr>
        <w:t>.</w:t>
      </w:r>
    </w:p>
    <w:p w:rsidR="000C39D1" w:rsidRPr="00132E65" w:rsidRDefault="000C39D1" w:rsidP="000C39D1">
      <w:pPr>
        <w:pStyle w:val="libFootnote0"/>
        <w:rPr>
          <w:rtl/>
          <w:lang w:bidi="fa-IR"/>
        </w:rPr>
      </w:pPr>
      <w:r>
        <w:rPr>
          <w:rtl/>
        </w:rPr>
        <w:t>(14)</w:t>
      </w:r>
      <w:r w:rsidRPr="00132E65">
        <w:rPr>
          <w:rtl/>
        </w:rPr>
        <w:t xml:space="preserve"> </w:t>
      </w:r>
      <w:r w:rsidRPr="009D1ACE">
        <w:rPr>
          <w:rStyle w:val="libFootnoteBoldChar"/>
          <w:rtl/>
        </w:rPr>
        <w:t>الوافي</w:t>
      </w:r>
      <w:r w:rsidRPr="00132E65">
        <w:rPr>
          <w:rtl/>
        </w:rPr>
        <w:t xml:space="preserve"> ، ج 3 ، ص 620 ، ح 1201 ؛ </w:t>
      </w:r>
      <w:r w:rsidRPr="004E2FB4">
        <w:rPr>
          <w:rtl/>
        </w:rPr>
        <w:t>البحار</w:t>
      </w:r>
      <w:r w:rsidRPr="00132E65">
        <w:rPr>
          <w:rtl/>
        </w:rPr>
        <w:t xml:space="preserve"> ، ج 16 ، ص 371 ، ح 81.</w:t>
      </w:r>
    </w:p>
    <w:tbl>
      <w:tblPr>
        <w:tblStyle w:val="TableGrid"/>
        <w:bidiVisual/>
        <w:tblW w:w="0" w:type="auto"/>
        <w:tblLook w:val="04A0" w:firstRow="1" w:lastRow="0" w:firstColumn="1" w:lastColumn="0" w:noHBand="0" w:noVBand="1"/>
      </w:tblPr>
      <w:tblGrid>
        <w:gridCol w:w="4006"/>
        <w:gridCol w:w="4006"/>
      </w:tblGrid>
      <w:tr w:rsidR="00743CB0" w:rsidTr="00743CB0">
        <w:tc>
          <w:tcPr>
            <w:tcW w:w="4006" w:type="dxa"/>
          </w:tcPr>
          <w:p w:rsidR="00743CB0" w:rsidRDefault="00743CB0" w:rsidP="000C39D1">
            <w:pPr>
              <w:pStyle w:val="libFootnote0"/>
              <w:rPr>
                <w:rtl/>
              </w:rPr>
            </w:pPr>
            <w:r>
              <w:rPr>
                <w:rtl/>
              </w:rPr>
              <w:t>(15)</w:t>
            </w:r>
            <w:r w:rsidRPr="00132E65">
              <w:rPr>
                <w:rtl/>
              </w:rPr>
              <w:t xml:space="preserve"> في « ب ، ض ، بف » </w:t>
            </w:r>
            <w:r>
              <w:rPr>
                <w:rtl/>
              </w:rPr>
              <w:t xml:space="preserve">: - </w:t>
            </w:r>
            <w:r w:rsidRPr="00132E65">
              <w:rPr>
                <w:rtl/>
              </w:rPr>
              <w:t>« باب »</w:t>
            </w:r>
            <w:r>
              <w:rPr>
                <w:rtl/>
              </w:rPr>
              <w:t>.</w:t>
            </w:r>
          </w:p>
        </w:tc>
        <w:tc>
          <w:tcPr>
            <w:tcW w:w="4006" w:type="dxa"/>
          </w:tcPr>
          <w:p w:rsidR="00743CB0" w:rsidRDefault="00743CB0" w:rsidP="000C39D1">
            <w:pPr>
              <w:pStyle w:val="libFootnote0"/>
              <w:rPr>
                <w:rtl/>
              </w:rPr>
            </w:pPr>
            <w:r>
              <w:rPr>
                <w:rtl/>
              </w:rPr>
              <w:t>(16)</w:t>
            </w:r>
            <w:r w:rsidRPr="00132E65">
              <w:rPr>
                <w:rtl/>
              </w:rPr>
              <w:t xml:space="preserve"> في « ض » : « رسول الله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الْخَطِيبِ ، قَالَ :</w:t>
      </w:r>
    </w:p>
    <w:p w:rsidR="000C39D1" w:rsidRPr="00132E65" w:rsidRDefault="000C39D1" w:rsidP="000C39D1">
      <w:pPr>
        <w:pStyle w:val="libNormal"/>
        <w:rPr>
          <w:rtl/>
          <w:lang w:bidi="fa-IR"/>
        </w:rPr>
      </w:pPr>
      <w:r w:rsidRPr="00132E65">
        <w:rPr>
          <w:rtl/>
          <w:lang w:bidi="fa-IR"/>
        </w:rPr>
        <w:t>كُنْتُ بِالْمَدِينَةِ و</w:t>
      </w:r>
      <w:r w:rsidR="00BD7BAA">
        <w:rPr>
          <w:rFonts w:hint="cs"/>
          <w:rtl/>
          <w:lang w:bidi="fa-IR"/>
        </w:rPr>
        <w:t xml:space="preserve">َ </w:t>
      </w:r>
      <w:r w:rsidRPr="00132E65">
        <w:rPr>
          <w:rtl/>
          <w:lang w:bidi="fa-IR"/>
        </w:rPr>
        <w:t>سَقْفُ الْمَسْجِدِ الَّذِي يُشْرِفُ عَلَى الْقَبْرِ قَدْ سَقَطَ ، و</w:t>
      </w:r>
      <w:r w:rsidR="00BD7BAA">
        <w:rPr>
          <w:rFonts w:hint="cs"/>
          <w:rtl/>
          <w:lang w:bidi="fa-IR"/>
        </w:rPr>
        <w:t xml:space="preserve">َ </w:t>
      </w:r>
      <w:r w:rsidRPr="00132E65">
        <w:rPr>
          <w:rtl/>
          <w:lang w:bidi="fa-IR"/>
        </w:rPr>
        <w:t>الْفَعَلَةُ يَصْعَدُونَ و</w:t>
      </w:r>
      <w:r w:rsidR="00BD7BAA">
        <w:rPr>
          <w:rFonts w:hint="cs"/>
          <w:rtl/>
          <w:lang w:bidi="fa-IR"/>
        </w:rPr>
        <w:t xml:space="preserve">َ </w:t>
      </w:r>
      <w:r w:rsidRPr="00132E65">
        <w:rPr>
          <w:rtl/>
          <w:lang w:bidi="fa-IR"/>
        </w:rPr>
        <w:t>يَنْزِلُونَ و</w:t>
      </w:r>
      <w:r w:rsidR="00BD7BAA">
        <w:rPr>
          <w:rFonts w:hint="cs"/>
          <w:rtl/>
          <w:lang w:bidi="fa-IR"/>
        </w:rPr>
        <w:t xml:space="preserve">َ </w:t>
      </w:r>
      <w:r w:rsidRPr="00132E65">
        <w:rPr>
          <w:rtl/>
          <w:lang w:bidi="fa-IR"/>
        </w:rPr>
        <w:t xml:space="preserve">نَحْنُ جَمَاعَةٌ ، فَقُلْتُ لِأَصْحَابِنَا </w:t>
      </w:r>
      <w:r>
        <w:rPr>
          <w:rStyle w:val="libFootnotenumChar"/>
          <w:rtl/>
        </w:rPr>
        <w:t>(1)</w:t>
      </w:r>
      <w:r w:rsidRPr="00132E65">
        <w:rPr>
          <w:rtl/>
          <w:lang w:bidi="fa-IR"/>
        </w:rPr>
        <w:t xml:space="preserve"> : مَنْ مِنْكُمْ لَهُ مَوْعِدٌ يَدْخُلُ </w:t>
      </w:r>
      <w:r>
        <w:rPr>
          <w:rStyle w:val="libFootnotenumChar"/>
          <w:rtl/>
        </w:rPr>
        <w:t>(2)</w:t>
      </w:r>
      <w:r w:rsidRPr="00132E65">
        <w:rPr>
          <w:rtl/>
          <w:lang w:bidi="fa-IR"/>
        </w:rPr>
        <w:t xml:space="preserve"> عَلى أَبِي عَبْدِ اللهِ </w:t>
      </w:r>
      <w:r w:rsidRPr="00071CF9">
        <w:rPr>
          <w:rStyle w:val="libAlaemChar"/>
          <w:rtl/>
        </w:rPr>
        <w:t>عليه‌السلام</w:t>
      </w:r>
      <w:r w:rsidRPr="00132E65">
        <w:rPr>
          <w:rtl/>
          <w:lang w:bidi="fa-IR"/>
        </w:rPr>
        <w:t xml:space="preserve"> اللَّيْلَةَ </w:t>
      </w:r>
      <w:r>
        <w:rPr>
          <w:rStyle w:val="libFootnotenumChar"/>
          <w:rtl/>
        </w:rPr>
        <w:t>(3)</w:t>
      </w:r>
      <w:r>
        <w:rPr>
          <w:rtl/>
          <w:lang w:bidi="fa-IR"/>
        </w:rPr>
        <w:t>؟</w:t>
      </w:r>
      <w:r w:rsidRPr="00132E65">
        <w:rPr>
          <w:rtl/>
          <w:lang w:bidi="fa-IR"/>
        </w:rPr>
        <w:t xml:space="preserve"> فَقَالَ مِهْرَانُ بْنُ أَبِي نَصْرٍ : أَنَا ، و</w:t>
      </w:r>
      <w:r w:rsidR="00BD7BAA">
        <w:rPr>
          <w:rFonts w:hint="cs"/>
          <w:rtl/>
          <w:lang w:bidi="fa-IR"/>
        </w:rPr>
        <w:t xml:space="preserve">َ </w:t>
      </w:r>
      <w:r w:rsidRPr="00132E65">
        <w:rPr>
          <w:rtl/>
          <w:lang w:bidi="fa-IR"/>
        </w:rPr>
        <w:t xml:space="preserve">قَالَ إِسْمَاعِيلُ بْنُ عَمَّارٍ الصَّيْرَفِيُّ : أَنَا ، فَقُلْنَا لَهُمَا </w:t>
      </w:r>
      <w:r>
        <w:rPr>
          <w:rStyle w:val="libFootnotenumChar"/>
          <w:rtl/>
        </w:rPr>
        <w:t>(4)</w:t>
      </w:r>
      <w:r w:rsidRPr="00132E65">
        <w:rPr>
          <w:rtl/>
          <w:lang w:bidi="fa-IR"/>
        </w:rPr>
        <w:t xml:space="preserve"> : سَلَاهُ لَنَا </w:t>
      </w:r>
      <w:r>
        <w:rPr>
          <w:rStyle w:val="libFootnotenumChar"/>
          <w:rtl/>
        </w:rPr>
        <w:t>(5)</w:t>
      </w:r>
      <w:r w:rsidRPr="00132E65">
        <w:rPr>
          <w:rtl/>
          <w:lang w:bidi="fa-IR"/>
        </w:rPr>
        <w:t xml:space="preserve"> عَنِ الصُّعُودِ لِنُشْرِفَ عَلى قَبْرِ النَّبِيِّ </w:t>
      </w:r>
      <w:r w:rsidRPr="0093484F">
        <w:rPr>
          <w:rStyle w:val="libAlaemChar"/>
          <w:rFonts w:eastAsiaTheme="minorHAnsi"/>
          <w:rtl/>
        </w:rPr>
        <w:t>صلى‌الله‌عليه‌وآله</w:t>
      </w:r>
      <w:r w:rsidRPr="00132E65">
        <w:rPr>
          <w:rtl/>
          <w:lang w:bidi="fa-IR"/>
        </w:rPr>
        <w:t xml:space="preserve"> ، فَلَمَّا كَانَ مِنَ الْغَدِ لَقِينَاهُمَا ، فَاجْتَمَعْنَا جَمِيعاً ، فَقَالَ إِسْمَاعِيلُ : قَدْ سَأَلْنَاهُ لَكُمْ عَمَّا ذَكَرْتُمْ ، فَقَالَ : « مَا أُحِبُّ </w:t>
      </w:r>
      <w:r>
        <w:rPr>
          <w:rStyle w:val="libFootnotenumChar"/>
          <w:rtl/>
        </w:rPr>
        <w:t>(6)</w:t>
      </w:r>
      <w:r w:rsidRPr="00132E65">
        <w:rPr>
          <w:rtl/>
          <w:lang w:bidi="fa-IR"/>
        </w:rPr>
        <w:t xml:space="preserve"> لِأَحَدٍ مِنْهُمْ أَنْ يَعْلُوَ فَوْقَهُ ، و</w:t>
      </w:r>
      <w:r w:rsidR="00BD7BAA">
        <w:rPr>
          <w:rFonts w:hint="cs"/>
          <w:rtl/>
          <w:lang w:bidi="fa-IR"/>
        </w:rPr>
        <w:t xml:space="preserve">َ </w:t>
      </w:r>
      <w:r w:rsidRPr="00132E65">
        <w:rPr>
          <w:rtl/>
          <w:lang w:bidi="fa-IR"/>
        </w:rPr>
        <w:t>لَا</w:t>
      </w:r>
      <w:r>
        <w:rPr>
          <w:rFonts w:hint="cs"/>
          <w:rtl/>
          <w:lang w:bidi="fa-IR"/>
        </w:rPr>
        <w:t xml:space="preserve"> </w:t>
      </w:r>
      <w:r w:rsidRPr="00132E65">
        <w:rPr>
          <w:rtl/>
          <w:lang w:bidi="fa-IR"/>
        </w:rPr>
        <w:t xml:space="preserve">آمَنُهُ أَنْ يَرى شَيْئاً </w:t>
      </w:r>
      <w:r>
        <w:rPr>
          <w:rStyle w:val="libFootnotenumChar"/>
          <w:rtl/>
        </w:rPr>
        <w:t>(7)</w:t>
      </w:r>
      <w:r w:rsidRPr="00132E65">
        <w:rPr>
          <w:rtl/>
          <w:lang w:bidi="fa-IR"/>
        </w:rPr>
        <w:t xml:space="preserve"> يَذْهَبُ مِنْهُ </w:t>
      </w:r>
      <w:r>
        <w:rPr>
          <w:rStyle w:val="libFootnotenumChar"/>
          <w:rtl/>
        </w:rPr>
        <w:t>(8)</w:t>
      </w:r>
      <w:r w:rsidRPr="00132E65">
        <w:rPr>
          <w:rtl/>
          <w:lang w:bidi="fa-IR"/>
        </w:rPr>
        <w:t xml:space="preserve"> بَصَرُهُ ، أَوْ يَرَاهُ قَائِماً يُصَلِّي ، أَوْ يَرَاهُ مَعَ بَعْضِ أَزْوَاجِهِ </w:t>
      </w:r>
      <w:r w:rsidRPr="0093484F">
        <w:rPr>
          <w:rStyle w:val="libAlaemChar"/>
          <w:rFonts w:eastAsiaTheme="minorHAnsi"/>
          <w:rtl/>
        </w:rPr>
        <w:t>صلى‌الله‌عليه‌وآله</w:t>
      </w:r>
      <w:r w:rsidRPr="00132E65">
        <w:rPr>
          <w:rtl/>
          <w:lang w:bidi="fa-IR"/>
        </w:rPr>
        <w:t xml:space="preserve"> </w:t>
      </w:r>
      <w:r>
        <w:rPr>
          <w:rStyle w:val="libFootnotenumChar"/>
          <w:rtl/>
        </w:rPr>
        <w:t>(9)</w:t>
      </w:r>
      <w:r w:rsidRPr="00132E65">
        <w:rPr>
          <w:rtl/>
          <w:lang w:bidi="fa-IR"/>
        </w:rPr>
        <w:t xml:space="preserve">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D7BAA" w:rsidTr="00BD7BAA">
        <w:tc>
          <w:tcPr>
            <w:tcW w:w="4006" w:type="dxa"/>
          </w:tcPr>
          <w:p w:rsidR="00BD7BAA" w:rsidRDefault="00BD7BAA" w:rsidP="000C39D1">
            <w:pPr>
              <w:pStyle w:val="libFootnote0"/>
              <w:rPr>
                <w:rtl/>
              </w:rPr>
            </w:pPr>
            <w:r>
              <w:rPr>
                <w:rtl/>
              </w:rPr>
              <w:t>(1).</w:t>
            </w:r>
            <w:r w:rsidRPr="00132E65">
              <w:rPr>
                <w:rtl/>
              </w:rPr>
              <w:t xml:space="preserve"> في « بر » : « أصحابي »</w:t>
            </w:r>
            <w:r>
              <w:rPr>
                <w:rtl/>
              </w:rPr>
              <w:t>.</w:t>
            </w:r>
          </w:p>
        </w:tc>
        <w:tc>
          <w:tcPr>
            <w:tcW w:w="4006" w:type="dxa"/>
          </w:tcPr>
          <w:p w:rsidR="00BD7BAA" w:rsidRDefault="00BD7BAA"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 « مدخل »</w:t>
            </w:r>
            <w:r>
              <w:rPr>
                <w:rtl/>
              </w:rPr>
              <w:t>.</w:t>
            </w:r>
          </w:p>
        </w:tc>
      </w:tr>
      <w:tr w:rsidR="00BD7BAA" w:rsidTr="00BD7BAA">
        <w:tc>
          <w:tcPr>
            <w:tcW w:w="4006" w:type="dxa"/>
          </w:tcPr>
          <w:p w:rsidR="00BD7BAA" w:rsidRDefault="00BD7BAA" w:rsidP="000C39D1">
            <w:pPr>
              <w:pStyle w:val="libFootnote0"/>
              <w:rPr>
                <w:rtl/>
              </w:rPr>
            </w:pPr>
            <w:r>
              <w:rPr>
                <w:rtl/>
              </w:rPr>
              <w:t>(3).</w:t>
            </w:r>
            <w:r w:rsidRPr="00132E65">
              <w:rPr>
                <w:rtl/>
              </w:rPr>
              <w:t xml:space="preserve"> في « ب » </w:t>
            </w:r>
            <w:r>
              <w:rPr>
                <w:rtl/>
              </w:rPr>
              <w:t xml:space="preserve">: - </w:t>
            </w:r>
            <w:r w:rsidRPr="00132E65">
              <w:rPr>
                <w:rtl/>
              </w:rPr>
              <w:t>« الليلة »</w:t>
            </w:r>
            <w:r>
              <w:rPr>
                <w:rtl/>
              </w:rPr>
              <w:t>.</w:t>
            </w:r>
          </w:p>
        </w:tc>
        <w:tc>
          <w:tcPr>
            <w:tcW w:w="4006" w:type="dxa"/>
          </w:tcPr>
          <w:p w:rsidR="00BD7BAA" w:rsidRDefault="00BD7BAA" w:rsidP="000C39D1">
            <w:pPr>
              <w:pStyle w:val="libFootnote0"/>
              <w:rPr>
                <w:rtl/>
              </w:rPr>
            </w:pPr>
            <w:r>
              <w:rPr>
                <w:rtl/>
              </w:rPr>
              <w:t>(4).</w:t>
            </w:r>
            <w:r w:rsidRPr="00132E65">
              <w:rPr>
                <w:rtl/>
              </w:rPr>
              <w:t xml:space="preserve"> في الوسائل </w:t>
            </w:r>
            <w:r>
              <w:rPr>
                <w:rtl/>
              </w:rPr>
              <w:t xml:space="preserve">: - </w:t>
            </w:r>
            <w:r w:rsidRPr="00132E65">
              <w:rPr>
                <w:rtl/>
              </w:rPr>
              <w:t>« لهما »</w:t>
            </w:r>
            <w:r>
              <w:rPr>
                <w:rtl/>
              </w:rPr>
              <w:t>.</w:t>
            </w:r>
          </w:p>
        </w:tc>
      </w:tr>
    </w:tbl>
    <w:p w:rsidR="000C39D1" w:rsidRPr="00132E65" w:rsidRDefault="000C39D1" w:rsidP="000C39D1">
      <w:pPr>
        <w:pStyle w:val="libFootnote0"/>
        <w:rPr>
          <w:rtl/>
          <w:lang w:bidi="fa-IR"/>
        </w:rPr>
      </w:pPr>
      <w:r>
        <w:rPr>
          <w:rtl/>
        </w:rPr>
        <w:t>(5).</w:t>
      </w:r>
      <w:r w:rsidRPr="00132E65">
        <w:rPr>
          <w:rtl/>
        </w:rPr>
        <w:t xml:space="preserve"> في الوسائل </w:t>
      </w:r>
      <w:r>
        <w:rPr>
          <w:rtl/>
        </w:rPr>
        <w:t xml:space="preserve">: - </w:t>
      </w:r>
      <w:r w:rsidRPr="00132E65">
        <w:rPr>
          <w:rtl/>
        </w:rPr>
        <w:t>« لنا »</w:t>
      </w:r>
      <w:r>
        <w:rPr>
          <w:rtl/>
        </w:rPr>
        <w:t>.</w:t>
      </w:r>
    </w:p>
    <w:p w:rsidR="000C39D1" w:rsidRPr="00132E65" w:rsidRDefault="000C39D1" w:rsidP="000C39D1">
      <w:pPr>
        <w:pStyle w:val="libFootnote0"/>
        <w:rPr>
          <w:rtl/>
          <w:lang w:bidi="fa-IR"/>
        </w:rPr>
      </w:pPr>
      <w:r>
        <w:rPr>
          <w:rtl/>
        </w:rPr>
        <w:t>(6).</w:t>
      </w:r>
      <w:r w:rsidRPr="00132E65">
        <w:rPr>
          <w:rtl/>
        </w:rPr>
        <w:t xml:space="preserve"> في الوسائل و</w:t>
      </w:r>
      <w:r w:rsidRPr="009D1ACE">
        <w:rPr>
          <w:rStyle w:val="libFootnoteBoldChar"/>
          <w:rtl/>
        </w:rPr>
        <w:t>مرآة العقول</w:t>
      </w:r>
      <w:r w:rsidRPr="00132E65">
        <w:rPr>
          <w:rtl/>
        </w:rPr>
        <w:t xml:space="preserve"> : « لا ا</w:t>
      </w:r>
      <w:r w:rsidR="00BD7BAA">
        <w:rPr>
          <w:rFonts w:hint="cs"/>
          <w:rtl/>
        </w:rPr>
        <w:t>ُ</w:t>
      </w:r>
      <w:r w:rsidRPr="00132E65">
        <w:rPr>
          <w:rtl/>
        </w:rPr>
        <w:t>حبّ »</w:t>
      </w:r>
      <w:r>
        <w:rPr>
          <w:rtl/>
        </w:rPr>
        <w:t>.</w:t>
      </w:r>
    </w:p>
    <w:p w:rsidR="000C39D1" w:rsidRPr="00132E65" w:rsidRDefault="000C39D1" w:rsidP="000C39D1">
      <w:pPr>
        <w:pStyle w:val="libFootnote0"/>
        <w:rPr>
          <w:rtl/>
          <w:lang w:bidi="fa-IR"/>
        </w:rPr>
      </w:pPr>
      <w:r>
        <w:rPr>
          <w:rtl/>
        </w:rPr>
        <w:t>(7).</w:t>
      </w:r>
      <w:r w:rsidRPr="00132E65">
        <w:rPr>
          <w:rtl/>
        </w:rPr>
        <w:t xml:space="preserve"> في الوسائل : « منه »</w:t>
      </w:r>
      <w:r>
        <w:rPr>
          <w:rtl/>
        </w:rPr>
        <w:t>.</w:t>
      </w:r>
    </w:p>
    <w:p w:rsidR="000C39D1" w:rsidRPr="00132E65" w:rsidRDefault="000C39D1" w:rsidP="000C39D1">
      <w:pPr>
        <w:pStyle w:val="libFootnote0"/>
        <w:rPr>
          <w:rtl/>
          <w:lang w:bidi="fa-IR"/>
        </w:rPr>
      </w:pPr>
      <w:r>
        <w:rPr>
          <w:rtl/>
        </w:rPr>
        <w:t>(8).</w:t>
      </w:r>
      <w:r w:rsidRPr="00132E65">
        <w:rPr>
          <w:rtl/>
        </w:rPr>
        <w:t xml:space="preserve"> في « ج » : « به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لعلّ المراد بالشي‌ء الذي يذهب منه بصره النور الشعشعاني لشخصه الملكوتي الروحاني صلوات الله عليه وآله إذا ظهر عليه ، فلم يطق إبصاره</w:t>
      </w:r>
      <w:r>
        <w:rPr>
          <w:rtl/>
        </w:rPr>
        <w:t xml:space="preserve"> ....</w:t>
      </w:r>
      <w:r w:rsidRPr="00132E65">
        <w:rPr>
          <w:rtl/>
        </w:rPr>
        <w:t xml:space="preserve"> وأمّا قوله : « أو يراه قائماً » إلى آخره ، فإنّما ذلك لمن أطاف رؤيته ولكنّه هاب منه ؛ وذلك لأنّ لهم </w:t>
      </w:r>
      <w:r w:rsidRPr="00BD7BAA">
        <w:rPr>
          <w:rStyle w:val="libFootnoteAlaemChar"/>
          <w:rtl/>
        </w:rPr>
        <w:t>عليهم‌السلام</w:t>
      </w:r>
      <w:r w:rsidRPr="00132E65">
        <w:rPr>
          <w:rtl/>
        </w:rPr>
        <w:t xml:space="preserve"> إراءة أشخاصهم الروحانيّة لمن أرادوا من أهل هذه النشأة ، إمّا لطفاً وإفادة ، أو قهراً وتنبيهاً على سوء أدب ، كما ورد أنّ رسول الله </w:t>
      </w:r>
      <w:r w:rsidRPr="00BD7BAA">
        <w:rPr>
          <w:rStyle w:val="libFootnoteAlaemChar"/>
          <w:rFonts w:eastAsiaTheme="minorHAnsi"/>
          <w:rtl/>
        </w:rPr>
        <w:t>صلى‌الله‌عليه‌وآله</w:t>
      </w:r>
      <w:r w:rsidRPr="00132E65">
        <w:rPr>
          <w:rtl/>
          <w:lang w:bidi="fa-IR"/>
        </w:rPr>
        <w:t xml:space="preserve"> </w:t>
      </w:r>
      <w:r w:rsidRPr="00132E65">
        <w:rPr>
          <w:rtl/>
        </w:rPr>
        <w:t xml:space="preserve">أرى شخصه بعد وفاته أبابكر بمحضر عليّ </w:t>
      </w:r>
      <w:r w:rsidRPr="00BD7BAA">
        <w:rPr>
          <w:rStyle w:val="libFootnoteAlaemChar"/>
          <w:rtl/>
        </w:rPr>
        <w:t>عليه‌السلام</w:t>
      </w:r>
      <w:r w:rsidRPr="00132E65">
        <w:rPr>
          <w:rtl/>
        </w:rPr>
        <w:t xml:space="preserve"> وأمره بردّ حقّه عليه »</w:t>
      </w:r>
      <w:r>
        <w:rPr>
          <w:rtl/>
        </w:rPr>
        <w:t>.</w:t>
      </w:r>
      <w:r w:rsidR="00164CA9">
        <w:rPr>
          <w:rtl/>
        </w:rPr>
        <w:t xml:space="preserve"> وقال العل</w:t>
      </w:r>
      <w:r w:rsidR="00164CA9">
        <w:rPr>
          <w:rFonts w:hint="cs"/>
          <w:rtl/>
        </w:rPr>
        <w:t>ّ</w:t>
      </w:r>
      <w:r w:rsidR="00164CA9">
        <w:rPr>
          <w:rtl/>
        </w:rPr>
        <w:t>ا</w:t>
      </w:r>
      <w:r w:rsidRPr="00132E65">
        <w:rPr>
          <w:rtl/>
        </w:rPr>
        <w:t>مة الشعراني في تعليقته على شرح المازندراني : « النهي عن الإشراف لترك الأدب ، وهو علّته كما ذكره الشارح أوّلاً ، لكن يذكر للتنفير عن بعض المنهيّات ا</w:t>
      </w:r>
      <w:r w:rsidR="008B06DA">
        <w:rPr>
          <w:rFonts w:hint="cs"/>
          <w:rtl/>
        </w:rPr>
        <w:t>ُ</w:t>
      </w:r>
      <w:r w:rsidRPr="00132E65">
        <w:rPr>
          <w:rtl/>
        </w:rPr>
        <w:t xml:space="preserve">مور نظير قوله تعالى : </w:t>
      </w:r>
      <w:r w:rsidRPr="008B06DA">
        <w:rPr>
          <w:rStyle w:val="libFootnoteAlaemChar"/>
          <w:rtl/>
        </w:rPr>
        <w:t>(</w:t>
      </w:r>
      <w:r w:rsidRPr="00006D78">
        <w:rPr>
          <w:rFonts w:hint="cs"/>
          <w:rtl/>
        </w:rPr>
        <w:t xml:space="preserve"> </w:t>
      </w:r>
      <w:r w:rsidRPr="00C2691A">
        <w:rPr>
          <w:rStyle w:val="libFootnoteAieChar"/>
          <w:rtl/>
        </w:rPr>
        <w:t>أَيُحِبُّ أَحَدُكُمْ أَنْ يَأْكُلَ لَحْمَ أَخِيهِ مَيْتاً</w:t>
      </w:r>
      <w:r>
        <w:rPr>
          <w:rFonts w:hint="cs"/>
          <w:rtl/>
        </w:rPr>
        <w:t xml:space="preserve"> </w:t>
      </w:r>
      <w:r w:rsidRPr="008B06DA">
        <w:rPr>
          <w:rStyle w:val="libFootnoteAlaemChar"/>
          <w:rtl/>
        </w:rPr>
        <w:t>)</w:t>
      </w:r>
      <w:r w:rsidRPr="00132E65">
        <w:rPr>
          <w:rtl/>
        </w:rPr>
        <w:t xml:space="preserve"> [ الحجرات (49) 12 ] في التنفير عن الغيبة. وقد أبدع </w:t>
      </w:r>
      <w:r w:rsidRPr="008B06DA">
        <w:rPr>
          <w:rStyle w:val="libFootnoteAlaemChar"/>
          <w:rtl/>
        </w:rPr>
        <w:t>عليه‌السلام</w:t>
      </w:r>
      <w:r w:rsidRPr="00132E65">
        <w:rPr>
          <w:rtl/>
        </w:rPr>
        <w:t xml:space="preserve"> في التعبير ؛ لأنّ كلّ من ينفّر عن حرام لابدّ أن يشبهه بشي‌ء خبيث ويمثّله في صورة موهنة مزجرة ، ألا ترى أنّه نفّر عن النظر إلى الشطرنج بأنّ الناظر إليه كمن ينظر إلى فرج ا</w:t>
      </w:r>
      <w:r w:rsidR="008B06DA">
        <w:rPr>
          <w:rFonts w:hint="cs"/>
          <w:rtl/>
        </w:rPr>
        <w:t>ُ</w:t>
      </w:r>
      <w:r w:rsidRPr="00132E65">
        <w:rPr>
          <w:rtl/>
        </w:rPr>
        <w:t xml:space="preserve">مّه ، ومثّل المال الحرام بعراق خنزير في كفّ مجذوم. وذكر الخبائث هنا إساءة أدب ، لكنّه ذكر </w:t>
      </w:r>
      <w:r w:rsidRPr="00BD7BAA">
        <w:rPr>
          <w:rStyle w:val="libFootnoteAlaemChar"/>
          <w:rtl/>
        </w:rPr>
        <w:t>عليه‌السلام</w:t>
      </w:r>
      <w:r w:rsidRPr="00132E65">
        <w:rPr>
          <w:rtl/>
        </w:rPr>
        <w:t xml:space="preserve"> ما يزجر عن الإشراف ولايوهن ولايستلزم ترك الأدب ، وهذا أعلى درجات البلاغة »</w:t>
      </w:r>
      <w:r>
        <w:rPr>
          <w:rtl/>
        </w:rPr>
        <w:t>.</w:t>
      </w:r>
      <w:r w:rsidRPr="00132E65">
        <w:rPr>
          <w:rtl/>
        </w:rPr>
        <w:t xml:space="preserve"> وللمزيد راجع : </w:t>
      </w:r>
      <w:r w:rsidRPr="004E2FB4">
        <w:rPr>
          <w:rtl/>
        </w:rPr>
        <w:t>شرح المازندراني</w:t>
      </w:r>
      <w:r w:rsidRPr="00132E65">
        <w:rPr>
          <w:rtl/>
        </w:rPr>
        <w:t xml:space="preserve"> ، ج 7 ، ص 194 ؛ </w:t>
      </w:r>
      <w:r w:rsidRPr="009D1ACE">
        <w:rPr>
          <w:rStyle w:val="libFootnoteBoldChar"/>
          <w:rtl/>
        </w:rPr>
        <w:t>مرآة العقول</w:t>
      </w:r>
      <w:r w:rsidRPr="00132E65">
        <w:rPr>
          <w:rtl/>
        </w:rPr>
        <w:t xml:space="preserve"> ، ج 5 ، ص 272.</w:t>
      </w:r>
    </w:p>
    <w:p w:rsidR="000C39D1" w:rsidRPr="00132E65" w:rsidRDefault="000C39D1" w:rsidP="000C39D1">
      <w:pPr>
        <w:pStyle w:val="libFootnote0"/>
        <w:rPr>
          <w:rtl/>
          <w:lang w:bidi="fa-IR"/>
        </w:rPr>
      </w:pPr>
      <w:r>
        <w:rPr>
          <w:rtl/>
        </w:rPr>
        <w:t>(10).</w:t>
      </w:r>
      <w:r w:rsidRPr="00132E65">
        <w:rPr>
          <w:rtl/>
        </w:rPr>
        <w:t xml:space="preserve"> </w:t>
      </w:r>
      <w:r w:rsidRPr="009D1ACE">
        <w:rPr>
          <w:rStyle w:val="libFootnoteBoldChar"/>
          <w:rtl/>
        </w:rPr>
        <w:t>الوافي</w:t>
      </w:r>
      <w:r w:rsidRPr="00132E65">
        <w:rPr>
          <w:rtl/>
        </w:rPr>
        <w:t xml:space="preserve"> ، ج 14 ، ص 1353 ، ح 14387 ؛ </w:t>
      </w:r>
      <w:r w:rsidRPr="004E2FB4">
        <w:rPr>
          <w:rtl/>
        </w:rPr>
        <w:t>الوسائل</w:t>
      </w:r>
      <w:r w:rsidRPr="00132E65">
        <w:rPr>
          <w:rtl/>
        </w:rPr>
        <w:t xml:space="preserve"> ، ج 14 ، ص 373 ، ح 19417 ؛ </w:t>
      </w:r>
      <w:r w:rsidRPr="004E2FB4">
        <w:rPr>
          <w:rtl/>
        </w:rPr>
        <w:t>البحار</w:t>
      </w:r>
      <w:r w:rsidRPr="00132E65">
        <w:rPr>
          <w:rtl/>
        </w:rPr>
        <w:t xml:space="preserve"> ، ج 22 ، ص 552 ، ح 11.</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58" w:name="_Toc459459155"/>
      <w:bookmarkStart w:id="159" w:name="_Toc34663124"/>
      <w:r w:rsidRPr="00132E65">
        <w:rPr>
          <w:rtl/>
          <w:lang w:bidi="fa-IR"/>
        </w:rPr>
        <w:t>113</w:t>
      </w:r>
      <w:r>
        <w:rPr>
          <w:rtl/>
          <w:lang w:bidi="fa-IR"/>
        </w:rPr>
        <w:t xml:space="preserve"> - </w:t>
      </w:r>
      <w:r w:rsidRPr="00132E65">
        <w:rPr>
          <w:rtl/>
          <w:lang w:bidi="fa-IR"/>
        </w:rPr>
        <w:t xml:space="preserve">بَابُ </w:t>
      </w:r>
      <w:r>
        <w:rPr>
          <w:rStyle w:val="libFootnotenumChar"/>
          <w:rtl/>
        </w:rPr>
        <w:t>(1)</w:t>
      </w:r>
      <w:r>
        <w:rPr>
          <w:rtl/>
          <w:lang w:bidi="fa-IR"/>
        </w:rPr>
        <w:t xml:space="preserve"> </w:t>
      </w:r>
      <w:r w:rsidRPr="00132E65">
        <w:rPr>
          <w:rtl/>
          <w:lang w:bidi="fa-IR"/>
        </w:rPr>
        <w:t xml:space="preserve">مَوْلِدِ أَمِيرِ الْمُؤْمِنِينَ </w:t>
      </w:r>
      <w:r>
        <w:rPr>
          <w:rStyle w:val="libFootnotenumChar"/>
          <w:rtl/>
        </w:rPr>
        <w:t>(2)</w:t>
      </w:r>
      <w:r>
        <w:rPr>
          <w:rtl/>
          <w:lang w:bidi="fa-IR"/>
        </w:rPr>
        <w:t xml:space="preserve"> </w:t>
      </w:r>
      <w:r w:rsidRPr="00132E65">
        <w:rPr>
          <w:rtl/>
          <w:lang w:bidi="fa-IR"/>
        </w:rPr>
        <w:t>صَلَوَاتُ اللهِ عَلَيْهِ‌</w:t>
      </w:r>
      <w:bookmarkEnd w:id="158"/>
      <w:bookmarkEnd w:id="159"/>
    </w:p>
    <w:p w:rsidR="000C39D1" w:rsidRPr="00132E65" w:rsidRDefault="000C39D1" w:rsidP="000C39D1">
      <w:pPr>
        <w:pStyle w:val="libNormal0"/>
        <w:tabs>
          <w:tab w:val="left" w:pos="3968"/>
        </w:tabs>
        <w:rPr>
          <w:rtl/>
          <w:lang w:bidi="fa-IR"/>
        </w:rPr>
      </w:pPr>
      <w:r w:rsidRPr="00132E65">
        <w:rPr>
          <w:rtl/>
          <w:lang w:bidi="fa-IR"/>
        </w:rPr>
        <w:t xml:space="preserve">وُلِدَ أَمِيرُ الْمُؤْمِنِينَ </w:t>
      </w:r>
      <w:r w:rsidRPr="00071CF9">
        <w:rPr>
          <w:rStyle w:val="libAlaemChar"/>
          <w:rtl/>
        </w:rPr>
        <w:t>عليه‌السلام</w:t>
      </w:r>
      <w:r w:rsidRPr="00132E65">
        <w:rPr>
          <w:rtl/>
          <w:lang w:bidi="fa-IR"/>
        </w:rPr>
        <w:t xml:space="preserve"> بَعْدَ عَامِ الْفِيلِ بِثَلَاثِينَ سَنَةً ، و</w:t>
      </w:r>
      <w:r w:rsidR="008B06DA">
        <w:rPr>
          <w:rFonts w:hint="cs"/>
          <w:rtl/>
          <w:lang w:bidi="fa-IR"/>
        </w:rPr>
        <w:t xml:space="preserve">َ </w:t>
      </w:r>
      <w:r w:rsidRPr="00132E65">
        <w:rPr>
          <w:rtl/>
          <w:lang w:bidi="fa-IR"/>
        </w:rPr>
        <w:t xml:space="preserve">قُتِلَ </w:t>
      </w:r>
      <w:r w:rsidRPr="00071CF9">
        <w:rPr>
          <w:rStyle w:val="libAlaemChar"/>
          <w:rtl/>
        </w:rPr>
        <w:t>عليه‌السلام</w:t>
      </w:r>
      <w:r w:rsidRPr="00132E65">
        <w:rPr>
          <w:rtl/>
          <w:lang w:bidi="fa-IR"/>
        </w:rPr>
        <w:t xml:space="preserve"> فِي شَهْرِ رَمَضَانَ لِتِسْعٍ بَقِينَ مِنْهُ لَيْلَةَ الْأَحَدِ سَنَةَ أَرْبَعِينَ مِنَ الْهِجْرَةِ ، وهُوَ ابْنُ ثَلَاثٍ وسِتِّينَ سَنَةً. بَقِيَ بَعْدَ قَبْضِ </w:t>
      </w:r>
      <w:r>
        <w:rPr>
          <w:rStyle w:val="libFootnotenumChar"/>
          <w:rtl/>
        </w:rPr>
        <w:t>(3)</w:t>
      </w:r>
      <w:r w:rsidRPr="00132E65">
        <w:rPr>
          <w:rtl/>
          <w:lang w:bidi="fa-IR"/>
        </w:rPr>
        <w:t xml:space="preserve"> النَّبِيِّ </w:t>
      </w:r>
      <w:r w:rsidRPr="0093484F">
        <w:rPr>
          <w:rStyle w:val="libAlaemChar"/>
          <w:rFonts w:eastAsiaTheme="minorHAnsi"/>
          <w:rtl/>
        </w:rPr>
        <w:t>صلى‌الله‌عليه‌وآله</w:t>
      </w:r>
      <w:r w:rsidRPr="00132E65">
        <w:rPr>
          <w:rtl/>
          <w:lang w:bidi="fa-IR"/>
        </w:rPr>
        <w:t xml:space="preserve"> ثَلَاثِينَ سَنَةً. و</w:t>
      </w:r>
      <w:r w:rsidR="008B06DA">
        <w:rPr>
          <w:rFonts w:hint="cs"/>
          <w:rtl/>
          <w:lang w:bidi="fa-IR"/>
        </w:rPr>
        <w:t xml:space="preserve">َ </w:t>
      </w:r>
      <w:r w:rsidRPr="00132E65">
        <w:rPr>
          <w:rtl/>
          <w:lang w:bidi="fa-IR"/>
        </w:rPr>
        <w:t>أُمُّهُ فَاطِمَةُ بِنْتُ أَسَدِ بْنِ هَاشِمِ بْنِ عَبْدِ مَنَافٍ ، و</w:t>
      </w:r>
      <w:r w:rsidR="008B06DA">
        <w:rPr>
          <w:rFonts w:hint="cs"/>
          <w:rtl/>
          <w:lang w:bidi="fa-IR"/>
        </w:rPr>
        <w:t xml:space="preserve">َ </w:t>
      </w:r>
      <w:r w:rsidRPr="00132E65">
        <w:rPr>
          <w:rtl/>
          <w:lang w:bidi="fa-IR"/>
        </w:rPr>
        <w:t>هُوَ أَوَّلُ هَاشِمِيٍّ و</w:t>
      </w:r>
      <w:r w:rsidR="008B06DA">
        <w:rPr>
          <w:rFonts w:hint="cs"/>
          <w:rtl/>
          <w:lang w:bidi="fa-IR"/>
        </w:rPr>
        <w:t>َ</w:t>
      </w:r>
      <w:r w:rsidRPr="00132E65">
        <w:rPr>
          <w:rtl/>
          <w:lang w:bidi="fa-IR"/>
        </w:rPr>
        <w:t xml:space="preserve">لَدَهُ هَاشِمٌ مَرَّتَيْنِ.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4E2FB4">
        <w:rPr>
          <w:rtl/>
        </w:rPr>
        <w:t>1233</w:t>
      </w:r>
      <w:r w:rsidRPr="004325D8">
        <w:rPr>
          <w:rStyle w:val="libBold2Char"/>
          <w:rtl/>
        </w:rPr>
        <w:t xml:space="preserve"> / 1.</w:t>
      </w:r>
      <w:r w:rsidRPr="00132E65">
        <w:rPr>
          <w:rtl/>
          <w:lang w:bidi="fa-IR"/>
        </w:rPr>
        <w:t xml:space="preserve"> الْحُسَيْنُ </w:t>
      </w:r>
      <w:r>
        <w:rPr>
          <w:rStyle w:val="libFootnotenumChar"/>
          <w:rtl/>
        </w:rPr>
        <w:t>(5)</w:t>
      </w:r>
      <w:r w:rsidRPr="00132E65">
        <w:rPr>
          <w:rtl/>
          <w:lang w:bidi="fa-IR"/>
        </w:rPr>
        <w:t xml:space="preserve"> بْنُ مُحَمَّدٍ ، عَنْ مُحَمَّدِ بْنِ يَحْيَى الْفَارِسِيِّ ، عَنْ أَبِي حَنِيفَةَ مُحَمَّدِ بْنِ يَحْيى ، عَنِ الْوَلِيدِ بْنِ أَبَانٍ ، عَنْ مُحَمَّدِ بْنِ عَبْدِ اللهِ بْنِ مُسْكَانَ ، عَنْ أَبِيهِ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إِنَّ </w:t>
      </w:r>
      <w:r>
        <w:rPr>
          <w:rStyle w:val="libFootnotenumChar"/>
          <w:rtl/>
        </w:rPr>
        <w:t>(6)</w:t>
      </w:r>
      <w:r w:rsidRPr="00132E65">
        <w:rPr>
          <w:rtl/>
          <w:lang w:bidi="fa-IR"/>
        </w:rPr>
        <w:t xml:space="preserve"> فَاطِمَةَ بِنْتَ أَسَدٍ جَاءَتْ إِلى أَبِي طَالِبٍ لِتُبَشِّرَهُ </w:t>
      </w:r>
      <w:r>
        <w:rPr>
          <w:rStyle w:val="libFootnotenumChar"/>
          <w:rtl/>
        </w:rPr>
        <w:t>(7)</w:t>
      </w:r>
      <w:r w:rsidRPr="00132E65">
        <w:rPr>
          <w:rtl/>
          <w:lang w:bidi="fa-IR"/>
        </w:rPr>
        <w:t xml:space="preserve"> بِمَوْلِدِ النَّبِيِّ </w:t>
      </w:r>
      <w:r w:rsidRPr="0093484F">
        <w:rPr>
          <w:rStyle w:val="libAlaemChar"/>
          <w:rFonts w:eastAsiaTheme="minorHAnsi"/>
          <w:rtl/>
        </w:rPr>
        <w:t>صلى‌الله‌عليه‌وآله</w:t>
      </w:r>
      <w:r w:rsidRPr="00132E65">
        <w:rPr>
          <w:rtl/>
          <w:lang w:bidi="fa-IR"/>
        </w:rPr>
        <w:t xml:space="preserve"> ، فَقَالَ </w:t>
      </w:r>
      <w:r>
        <w:rPr>
          <w:rStyle w:val="libFootnotenumChar"/>
          <w:rtl/>
        </w:rPr>
        <w:t>(8)</w:t>
      </w:r>
      <w:r w:rsidRPr="00132E65">
        <w:rPr>
          <w:rtl/>
          <w:lang w:bidi="fa-IR"/>
        </w:rPr>
        <w:t xml:space="preserve"> أَبُو طَالِبٍ : اصْبِرِي </w:t>
      </w:r>
      <w:r>
        <w:rPr>
          <w:rStyle w:val="libFootnotenumChar"/>
          <w:rtl/>
        </w:rPr>
        <w:t>(9)</w:t>
      </w:r>
      <w:r w:rsidRPr="00132E65">
        <w:rPr>
          <w:rtl/>
          <w:lang w:bidi="fa-IR"/>
        </w:rPr>
        <w:t xml:space="preserve"> سَبْتاً </w:t>
      </w:r>
      <w:r>
        <w:rPr>
          <w:rStyle w:val="libFootnotenumChar"/>
          <w:rtl/>
        </w:rPr>
        <w:t>(10)</w:t>
      </w:r>
      <w:r w:rsidRPr="00132E65">
        <w:rPr>
          <w:rtl/>
          <w:lang w:bidi="fa-IR"/>
        </w:rPr>
        <w:t xml:space="preserve"> أُبَشِّرْكِ </w:t>
      </w:r>
      <w:r>
        <w:rPr>
          <w:rStyle w:val="libFootnotenumChar"/>
          <w:rtl/>
        </w:rPr>
        <w:t>(11)</w:t>
      </w:r>
      <w:r w:rsidR="008B06DA">
        <w:rPr>
          <w:rtl/>
          <w:lang w:bidi="fa-IR"/>
        </w:rPr>
        <w:t xml:space="preserve"> بِمِثْلِهِ إِل</w:t>
      </w:r>
      <w:r w:rsidR="008B06DA">
        <w:rPr>
          <w:rFonts w:hint="cs"/>
          <w:rtl/>
          <w:lang w:bidi="fa-IR"/>
        </w:rPr>
        <w:t>َّ</w:t>
      </w:r>
      <w:r w:rsidR="008B06DA">
        <w:rPr>
          <w:rtl/>
          <w:lang w:bidi="fa-IR"/>
        </w:rPr>
        <w:t>ا</w:t>
      </w:r>
      <w:r w:rsidRPr="00132E65">
        <w:rPr>
          <w:rtl/>
          <w:lang w:bidi="fa-IR"/>
        </w:rPr>
        <w:t xml:space="preserve"> النُّبُوَّةَ »</w:t>
      </w:r>
      <w:r>
        <w:rPr>
          <w:rtl/>
          <w:lang w:bidi="fa-IR"/>
        </w:rPr>
        <w:t>.</w:t>
      </w:r>
    </w:p>
    <w:p w:rsidR="000C39D1" w:rsidRPr="00132E65" w:rsidRDefault="000C39D1" w:rsidP="000C39D1">
      <w:pPr>
        <w:pStyle w:val="libNormal"/>
        <w:rPr>
          <w:rtl/>
          <w:lang w:bidi="fa-IR"/>
        </w:rPr>
      </w:pPr>
      <w:r w:rsidRPr="00132E65">
        <w:rPr>
          <w:rtl/>
          <w:lang w:bidi="fa-IR"/>
        </w:rPr>
        <w:t>وَقَالَ : « السَّبْتُ ثَلَاثُونَ سَنَةً ، و</w:t>
      </w:r>
      <w:r w:rsidR="004722F3">
        <w:rPr>
          <w:rFonts w:hint="cs"/>
          <w:rtl/>
          <w:lang w:bidi="fa-IR"/>
        </w:rPr>
        <w:t xml:space="preserve">َ </w:t>
      </w:r>
      <w:r w:rsidRPr="00132E65">
        <w:rPr>
          <w:rtl/>
          <w:lang w:bidi="fa-IR"/>
        </w:rPr>
        <w:t xml:space="preserve">كَانَ بَيْنَ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(12)</w:t>
      </w:r>
      <w:r w:rsidRPr="00132E65">
        <w:rPr>
          <w:rtl/>
          <w:lang w:bidi="fa-IR"/>
        </w:rPr>
        <w:t xml:space="preserve"> وَ</w:t>
      </w:r>
      <w:r w:rsidR="004722F3">
        <w:rPr>
          <w:rFonts w:hint="cs"/>
          <w:rtl/>
          <w:lang w:bidi="fa-IR"/>
        </w:rPr>
        <w:t xml:space="preserve"> </w:t>
      </w:r>
      <w:r w:rsidRPr="00132E65">
        <w:rPr>
          <w:rtl/>
          <w:lang w:bidi="fa-IR"/>
        </w:rPr>
        <w:t xml:space="preserve">أَمِيرِ الْمُؤْمِنِينَ </w:t>
      </w:r>
      <w:r w:rsidRPr="00071CF9">
        <w:rPr>
          <w:rStyle w:val="libAlaemChar"/>
          <w:rtl/>
        </w:rPr>
        <w:t>عليه‌السلام</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ض ، ف ، بح ، بر ، بس ، بف » </w:t>
      </w:r>
      <w:r>
        <w:rPr>
          <w:rtl/>
        </w:rPr>
        <w:t xml:space="preserve">: - </w:t>
      </w:r>
      <w:r w:rsidRPr="00132E65">
        <w:rPr>
          <w:rtl/>
        </w:rPr>
        <w:t>« باب »</w:t>
      </w:r>
      <w:r>
        <w:rPr>
          <w:rtl/>
        </w:rPr>
        <w:t>.</w:t>
      </w:r>
    </w:p>
    <w:tbl>
      <w:tblPr>
        <w:tblStyle w:val="TableGrid"/>
        <w:bidiVisual/>
        <w:tblW w:w="0" w:type="auto"/>
        <w:tblLook w:val="04A0" w:firstRow="1" w:lastRow="0" w:firstColumn="1" w:lastColumn="0" w:noHBand="0" w:noVBand="1"/>
      </w:tblPr>
      <w:tblGrid>
        <w:gridCol w:w="4006"/>
        <w:gridCol w:w="4006"/>
      </w:tblGrid>
      <w:tr w:rsidR="004722F3" w:rsidTr="004722F3">
        <w:tc>
          <w:tcPr>
            <w:tcW w:w="4006" w:type="dxa"/>
          </w:tcPr>
          <w:p w:rsidR="004722F3" w:rsidRDefault="004722F3" w:rsidP="000C39D1">
            <w:pPr>
              <w:pStyle w:val="libFootnote0"/>
              <w:rPr>
                <w:rtl/>
              </w:rPr>
            </w:pPr>
            <w:r>
              <w:rPr>
                <w:rtl/>
              </w:rPr>
              <w:t>(2).</w:t>
            </w:r>
            <w:r w:rsidRPr="00132E65">
              <w:rPr>
                <w:rtl/>
              </w:rPr>
              <w:t xml:space="preserve"> في « ض » :</w:t>
            </w:r>
            <w:r>
              <w:rPr>
                <w:rtl/>
              </w:rPr>
              <w:t xml:space="preserve"> + </w:t>
            </w:r>
            <w:r w:rsidRPr="00132E65">
              <w:rPr>
                <w:rtl/>
              </w:rPr>
              <w:t>« عليّ »</w:t>
            </w:r>
            <w:r>
              <w:rPr>
                <w:rtl/>
              </w:rPr>
              <w:t>.</w:t>
            </w:r>
          </w:p>
        </w:tc>
        <w:tc>
          <w:tcPr>
            <w:tcW w:w="4006" w:type="dxa"/>
          </w:tcPr>
          <w:p w:rsidR="004722F3" w:rsidRDefault="004722F3" w:rsidP="000C39D1">
            <w:pPr>
              <w:pStyle w:val="libFootnote0"/>
              <w:rPr>
                <w:rtl/>
              </w:rPr>
            </w:pPr>
            <w:r>
              <w:rPr>
                <w:rtl/>
              </w:rPr>
              <w:t>(3).</w:t>
            </w:r>
            <w:r w:rsidRPr="00132E65">
              <w:rPr>
                <w:rtl/>
              </w:rPr>
              <w:t xml:space="preserve"> في « ب » : « مضيّ »</w:t>
            </w:r>
            <w:r>
              <w:rPr>
                <w:rtl/>
              </w:rPr>
              <w:t>.</w:t>
            </w:r>
          </w:p>
        </w:tc>
      </w:tr>
    </w:tbl>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744 ، ذيل ح 1357 ؛ </w:t>
      </w:r>
      <w:r w:rsidRPr="004E2FB4">
        <w:rPr>
          <w:rtl/>
        </w:rPr>
        <w:t>البحار</w:t>
      </w:r>
      <w:r w:rsidRPr="00132E65">
        <w:rPr>
          <w:rtl/>
        </w:rPr>
        <w:t xml:space="preserve"> ، ج 35 ، ص 6 ، ح 4.</w:t>
      </w:r>
    </w:p>
    <w:p w:rsidR="000C39D1" w:rsidRPr="00132E65" w:rsidRDefault="000C39D1" w:rsidP="000C39D1">
      <w:pPr>
        <w:pStyle w:val="libFootnote0"/>
        <w:rPr>
          <w:rtl/>
          <w:lang w:bidi="fa-IR"/>
        </w:rPr>
      </w:pPr>
      <w:r>
        <w:rPr>
          <w:rtl/>
        </w:rPr>
        <w:t>(5).</w:t>
      </w:r>
      <w:r w:rsidRPr="00132E65">
        <w:rPr>
          <w:rtl/>
        </w:rPr>
        <w:t xml:space="preserve"> ورد الخبر</w:t>
      </w:r>
      <w:r>
        <w:rPr>
          <w:rtl/>
        </w:rPr>
        <w:t xml:space="preserve"> - </w:t>
      </w:r>
      <w:r w:rsidRPr="00132E65">
        <w:rPr>
          <w:rtl/>
        </w:rPr>
        <w:t>باختلاف يسير</w:t>
      </w:r>
      <w:r>
        <w:rPr>
          <w:rtl/>
        </w:rPr>
        <w:t xml:space="preserve"> - </w:t>
      </w:r>
      <w:r w:rsidRPr="00132E65">
        <w:rPr>
          <w:rtl/>
        </w:rPr>
        <w:t xml:space="preserve">في </w:t>
      </w:r>
      <w:r w:rsidRPr="004E2FB4">
        <w:rPr>
          <w:rtl/>
        </w:rPr>
        <w:t>معاني الأخبار</w:t>
      </w:r>
      <w:r w:rsidRPr="00132E65">
        <w:rPr>
          <w:rtl/>
        </w:rPr>
        <w:t xml:space="preserve"> ، ص 403 ، ح 68 ، بسنده عن محمّد بن يعقوب عن الحسن بن‌محمّد. وهو سهو ظاهراً ؛ فإنّا لم نجد في مشايخ الكليني من يسمّى بالحسن بن محمّد. وأمّا ما ورد في </w:t>
      </w:r>
      <w:r w:rsidRPr="004E2FB4">
        <w:rPr>
          <w:rtl/>
        </w:rPr>
        <w:t>خصائص الأئمّة</w:t>
      </w:r>
      <w:r w:rsidRPr="00132E65">
        <w:rPr>
          <w:rtl/>
        </w:rPr>
        <w:t xml:space="preserve"> ، ص 64 ، من نقل الخبر بسنده عن محمّد بن يعقوب عن الحسن بن محمّد بن يحيى عن الوليد بن أبان ، فمختلّ يعلم وجه اختلاله بأدنى تأمّل.</w:t>
      </w:r>
    </w:p>
    <w:p w:rsidR="000C39D1" w:rsidRPr="00132E65" w:rsidRDefault="000C39D1" w:rsidP="000C39D1">
      <w:pPr>
        <w:pStyle w:val="libFootnote0"/>
        <w:rPr>
          <w:rtl/>
          <w:lang w:bidi="fa-IR"/>
        </w:rPr>
      </w:pPr>
      <w:r>
        <w:rPr>
          <w:rtl/>
        </w:rPr>
        <w:t>(6).</w:t>
      </w:r>
      <w:r w:rsidRPr="00132E65">
        <w:rPr>
          <w:rtl/>
        </w:rPr>
        <w:t xml:space="preserve"> في « بر »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(7).</w:t>
      </w:r>
      <w:r w:rsidRPr="00132E65">
        <w:rPr>
          <w:rtl/>
        </w:rPr>
        <w:t xml:space="preserve"> في « ب ، ج ، بف » وحاشية « ض ، بس » : « لتسرّه »</w:t>
      </w:r>
      <w:r>
        <w:rPr>
          <w:rtl/>
        </w:rPr>
        <w:t>.</w:t>
      </w:r>
      <w:r w:rsidRPr="00132E65">
        <w:rPr>
          <w:rtl/>
        </w:rPr>
        <w:t xml:space="preserve"> وفي المعاني وخصائص الأئمّة : « تبشّره »</w:t>
      </w:r>
      <w:r>
        <w:rPr>
          <w:rtl/>
        </w:rPr>
        <w:t>.</w:t>
      </w:r>
    </w:p>
    <w:tbl>
      <w:tblPr>
        <w:tblStyle w:val="TableGrid"/>
        <w:bidiVisual/>
        <w:tblW w:w="0" w:type="auto"/>
        <w:tblLook w:val="04A0" w:firstRow="1" w:lastRow="0" w:firstColumn="1" w:lastColumn="0" w:noHBand="0" w:noVBand="1"/>
      </w:tblPr>
      <w:tblGrid>
        <w:gridCol w:w="4006"/>
        <w:gridCol w:w="4006"/>
      </w:tblGrid>
      <w:tr w:rsidR="00F94B1A" w:rsidTr="00F94B1A">
        <w:tc>
          <w:tcPr>
            <w:tcW w:w="4006" w:type="dxa"/>
          </w:tcPr>
          <w:p w:rsidR="00F94B1A" w:rsidRDefault="00F94B1A" w:rsidP="000C39D1">
            <w:pPr>
              <w:pStyle w:val="libFootnote0"/>
              <w:rPr>
                <w:rtl/>
              </w:rPr>
            </w:pPr>
            <w:r>
              <w:rPr>
                <w:rtl/>
              </w:rPr>
              <w:t>(8).</w:t>
            </w:r>
            <w:r w:rsidRPr="00132E65">
              <w:rPr>
                <w:rtl/>
              </w:rPr>
              <w:t xml:space="preserve"> في المعاني وخصائص الأئمّة :</w:t>
            </w:r>
            <w:r>
              <w:rPr>
                <w:rtl/>
              </w:rPr>
              <w:t xml:space="preserve"> + </w:t>
            </w:r>
            <w:r w:rsidRPr="00132E65">
              <w:rPr>
                <w:rtl/>
              </w:rPr>
              <w:t>« لها »</w:t>
            </w:r>
            <w:r>
              <w:rPr>
                <w:rtl/>
              </w:rPr>
              <w:t>.</w:t>
            </w:r>
          </w:p>
        </w:tc>
        <w:tc>
          <w:tcPr>
            <w:tcW w:w="4006" w:type="dxa"/>
          </w:tcPr>
          <w:p w:rsidR="00F94B1A" w:rsidRDefault="00F94B1A" w:rsidP="000C39D1">
            <w:pPr>
              <w:pStyle w:val="libFootnote0"/>
              <w:rPr>
                <w:rtl/>
              </w:rPr>
            </w:pPr>
            <w:r>
              <w:rPr>
                <w:rtl/>
              </w:rPr>
              <w:t>(9).</w:t>
            </w:r>
            <w:r w:rsidRPr="00132E65">
              <w:rPr>
                <w:rtl/>
              </w:rPr>
              <w:t xml:space="preserve"> في المعاني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والبحار :</w:t>
      </w:r>
      <w:r>
        <w:rPr>
          <w:rtl/>
        </w:rPr>
        <w:t xml:space="preserve"> + </w:t>
      </w:r>
      <w:r w:rsidRPr="00132E65">
        <w:rPr>
          <w:rtl/>
        </w:rPr>
        <w:t>« آتيك »</w:t>
      </w:r>
      <w:r>
        <w:rPr>
          <w:rtl/>
        </w:rPr>
        <w:t>.</w:t>
      </w:r>
      <w:r w:rsidRPr="00132E65">
        <w:rPr>
          <w:rtl/>
        </w:rPr>
        <w:t xml:space="preserve"> </w:t>
      </w:r>
      <w:r>
        <w:rPr>
          <w:rtl/>
        </w:rPr>
        <w:t>و «</w:t>
      </w:r>
      <w:r w:rsidRPr="00132E65">
        <w:rPr>
          <w:rtl/>
        </w:rPr>
        <w:t xml:space="preserve"> السَبت » : برهة ، أي قطعة ومدّة من الزمان ، قليلة كانت أو كثيرة. وخصّ في الحديث بالثلاثين. راجع : </w:t>
      </w:r>
      <w:r w:rsidRPr="004E2FB4">
        <w:rPr>
          <w:rtl/>
        </w:rPr>
        <w:t>ترتيب كتاب العين</w:t>
      </w:r>
      <w:r w:rsidRPr="00132E65">
        <w:rPr>
          <w:rtl/>
        </w:rPr>
        <w:t xml:space="preserve"> ، ج 2 ، ص 780 ؛ </w:t>
      </w:r>
      <w:r w:rsidRPr="004E2FB4">
        <w:rPr>
          <w:rtl/>
        </w:rPr>
        <w:t>النهاية</w:t>
      </w:r>
      <w:r w:rsidRPr="00132E65">
        <w:rPr>
          <w:rtl/>
        </w:rPr>
        <w:t xml:space="preserve"> ، ج 2 ، ص 331 ( سبت )</w:t>
      </w:r>
      <w:r>
        <w:rPr>
          <w:rtl/>
        </w:rPr>
        <w:t>.</w:t>
      </w:r>
    </w:p>
    <w:p w:rsidR="000C39D1" w:rsidRPr="00132E65" w:rsidRDefault="000C39D1" w:rsidP="000C39D1">
      <w:pPr>
        <w:pStyle w:val="libFootnote0"/>
        <w:rPr>
          <w:rtl/>
          <w:lang w:bidi="fa-IR"/>
        </w:rPr>
      </w:pPr>
      <w:r>
        <w:rPr>
          <w:rtl/>
        </w:rPr>
        <w:t>(11).</w:t>
      </w:r>
      <w:r w:rsidRPr="00132E65">
        <w:rPr>
          <w:rtl/>
        </w:rPr>
        <w:t xml:space="preserve"> في « ب ، ض ، بر ، بف » و</w:t>
      </w:r>
      <w:r w:rsidRPr="009D1ACE">
        <w:rPr>
          <w:rStyle w:val="libFootnoteBoldChar"/>
          <w:rtl/>
        </w:rPr>
        <w:t>الوافي</w:t>
      </w:r>
      <w:r w:rsidRPr="00132E65">
        <w:rPr>
          <w:rtl/>
        </w:rPr>
        <w:t xml:space="preserve"> والمعاني : « آتيك »</w:t>
      </w:r>
      <w:r>
        <w:rPr>
          <w:rtl/>
        </w:rPr>
        <w:t>.</w:t>
      </w:r>
      <w:r w:rsidRPr="00132E65">
        <w:rPr>
          <w:rtl/>
        </w:rPr>
        <w:t xml:space="preserve"> وفي « ج » : « أتيتك »</w:t>
      </w:r>
      <w:r>
        <w:rPr>
          <w:rtl/>
        </w:rPr>
        <w:t>.</w:t>
      </w:r>
      <w:r w:rsidRPr="00132E65">
        <w:rPr>
          <w:rtl/>
        </w:rPr>
        <w:t xml:space="preserve"> وفي خصائص الأئمّة : « إنّك »</w:t>
      </w:r>
      <w:r>
        <w:rPr>
          <w:rtl/>
        </w:rPr>
        <w:t>.</w:t>
      </w:r>
    </w:p>
    <w:p w:rsidR="000C39D1" w:rsidRPr="00132E65" w:rsidRDefault="000C39D1" w:rsidP="000C39D1">
      <w:pPr>
        <w:pStyle w:val="libFootnote0"/>
        <w:rPr>
          <w:rtl/>
          <w:lang w:bidi="fa-IR"/>
        </w:rPr>
      </w:pPr>
      <w:r>
        <w:rPr>
          <w:rtl/>
        </w:rPr>
        <w:t>(12).</w:t>
      </w:r>
      <w:r w:rsidRPr="00132E65">
        <w:rPr>
          <w:rtl/>
        </w:rPr>
        <w:t xml:space="preserve"> في خصائص الأئمّة : « بين مولد النبيّ </w:t>
      </w:r>
      <w:r w:rsidRPr="00853C4B">
        <w:rPr>
          <w:rStyle w:val="libFootnoteAlaemChar"/>
          <w:rFonts w:eastAsiaTheme="minorHAnsi"/>
          <w:rtl/>
        </w:rPr>
        <w:t>صلى‌الله‌عليه‌وآله</w:t>
      </w:r>
      <w:r w:rsidRPr="00132E65">
        <w:rPr>
          <w:rtl/>
          <w:lang w:bidi="fa-IR"/>
        </w:rPr>
        <w:t xml:space="preserve"> </w:t>
      </w:r>
      <w:r w:rsidRPr="00132E65">
        <w:rPr>
          <w:rtl/>
        </w:rPr>
        <w:t xml:space="preserve">» بدل « بين رسول الله </w:t>
      </w:r>
      <w:r w:rsidRPr="00853C4B">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ثَلَاثُونَ سَنَةً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4E2FB4">
        <w:rPr>
          <w:rtl/>
        </w:rPr>
        <w:t>1234</w:t>
      </w:r>
      <w:r w:rsidRPr="004325D8">
        <w:rPr>
          <w:rStyle w:val="libBold2Char"/>
          <w:rtl/>
        </w:rPr>
        <w:t xml:space="preserve"> / 2.</w:t>
      </w:r>
      <w:r w:rsidRPr="00132E65">
        <w:rPr>
          <w:rtl/>
          <w:lang w:bidi="fa-IR"/>
        </w:rPr>
        <w:t xml:space="preserve"> عَلِيُّ بْنُ مُحَمَّدِ بْنِ عَبْدِ اللهِ ، عَنِ السَّيَّارِيِّ ، عَنْ مُحَمَّدِ بْنِ جُمْه</w:t>
      </w:r>
      <w:r w:rsidR="003915A6">
        <w:rPr>
          <w:rtl/>
          <w:lang w:bidi="fa-IR"/>
        </w:rPr>
        <w:t>ُورٍ ، عَنْ بَعْضِ أَصْحَابِنَا</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فَاطِمَةَ بِنْتَ أَسَدٍ أُمَّ أَمِيرِ الْمُؤْمِنِينَ </w:t>
      </w:r>
      <w:r w:rsidRPr="00071CF9">
        <w:rPr>
          <w:rStyle w:val="libAlaemChar"/>
          <w:rtl/>
        </w:rPr>
        <w:t>عليه‌السلام</w:t>
      </w:r>
      <w:r w:rsidRPr="00132E65">
        <w:rPr>
          <w:rtl/>
          <w:lang w:bidi="fa-IR"/>
        </w:rPr>
        <w:t xml:space="preserve"> كَانَتْ أَوَّلَ امْرَأَةٍ هَاجَرَتْ إِلى رَسُولِ اللهِ </w:t>
      </w:r>
      <w:r w:rsidRPr="0093484F">
        <w:rPr>
          <w:rStyle w:val="libAlaemChar"/>
          <w:rFonts w:eastAsiaTheme="minorHAnsi"/>
          <w:rtl/>
        </w:rPr>
        <w:t>صلى‌الله‌عليه‌وآله</w:t>
      </w:r>
      <w:r w:rsidRPr="00132E65">
        <w:rPr>
          <w:rtl/>
          <w:lang w:bidi="fa-IR"/>
        </w:rPr>
        <w:t xml:space="preserve"> مِنْ مَكَّةَ إِلَى الْمَدِينَةِ عَلى قَدَمَيْهَا ، و</w:t>
      </w:r>
      <w:r w:rsidR="00B031B2">
        <w:rPr>
          <w:rFonts w:hint="cs"/>
          <w:rtl/>
          <w:lang w:bidi="fa-IR"/>
        </w:rPr>
        <w:t xml:space="preserve">َ </w:t>
      </w:r>
      <w:r w:rsidRPr="00132E65">
        <w:rPr>
          <w:rtl/>
          <w:lang w:bidi="fa-IR"/>
        </w:rPr>
        <w:t xml:space="preserve">كَانَتْ مِنْ أَبَرِّ النَّاسِ بِرَسُولِ اللهِ </w:t>
      </w:r>
      <w:r>
        <w:rPr>
          <w:rStyle w:val="libFootnotenumChar"/>
          <w:rtl/>
        </w:rPr>
        <w:t>(2)</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فَسَمِعَتْ رَسُولَ اللهِ </w:t>
      </w:r>
      <w:r w:rsidRPr="0093484F">
        <w:rPr>
          <w:rStyle w:val="libAlaemChar"/>
          <w:rFonts w:eastAsiaTheme="minorHAnsi"/>
          <w:rtl/>
        </w:rPr>
        <w:t>صلى‌الله‌عليه‌وآله</w:t>
      </w:r>
      <w:r w:rsidRPr="00132E65">
        <w:rPr>
          <w:rtl/>
          <w:lang w:bidi="fa-IR"/>
        </w:rPr>
        <w:t xml:space="preserve"> و</w:t>
      </w:r>
      <w:r w:rsidR="00B031B2">
        <w:rPr>
          <w:rFonts w:hint="cs"/>
          <w:rtl/>
          <w:lang w:bidi="fa-IR"/>
        </w:rPr>
        <w:t xml:space="preserve">َ </w:t>
      </w:r>
      <w:r w:rsidRPr="00132E65">
        <w:rPr>
          <w:rtl/>
          <w:lang w:bidi="fa-IR"/>
        </w:rPr>
        <w:t xml:space="preserve">هُوَ </w:t>
      </w:r>
      <w:r>
        <w:rPr>
          <w:rStyle w:val="libFootnotenumChar"/>
          <w:rtl/>
        </w:rPr>
        <w:t>(3)</w:t>
      </w:r>
      <w:r w:rsidRPr="00132E65">
        <w:rPr>
          <w:rtl/>
          <w:lang w:bidi="fa-IR"/>
        </w:rPr>
        <w:t xml:space="preserve"> يَقُولُ : إِنَّ النَّاسَ يُحْشَرُونَ يَوْمَ الْقِيَامَةِ عُرَاةً كَمَا و</w:t>
      </w:r>
      <w:r w:rsidR="00C21142">
        <w:rPr>
          <w:rFonts w:hint="cs"/>
          <w:rtl/>
          <w:lang w:bidi="fa-IR"/>
        </w:rPr>
        <w:t>ُ</w:t>
      </w:r>
      <w:r w:rsidRPr="00132E65">
        <w:rPr>
          <w:rtl/>
          <w:lang w:bidi="fa-IR"/>
        </w:rPr>
        <w:t>لِدُوا ، فَقَالَتْ : و</w:t>
      </w:r>
      <w:r w:rsidR="00860DB5">
        <w:rPr>
          <w:rFonts w:hint="cs"/>
          <w:rtl/>
          <w:lang w:bidi="fa-IR"/>
        </w:rPr>
        <w:t>َ</w:t>
      </w:r>
      <w:r w:rsidRPr="00132E65">
        <w:rPr>
          <w:rtl/>
          <w:lang w:bidi="fa-IR"/>
        </w:rPr>
        <w:t xml:space="preserve">ا سَوْأَتَاهْ </w:t>
      </w:r>
      <w:r>
        <w:rPr>
          <w:rStyle w:val="libFootnotenumChar"/>
          <w:rtl/>
        </w:rPr>
        <w:t>(4)</w:t>
      </w:r>
      <w:r w:rsidRPr="00132E65">
        <w:rPr>
          <w:rtl/>
          <w:lang w:bidi="fa-IR"/>
        </w:rPr>
        <w:t xml:space="preserve"> ، فَقَالَ لَهَا رَسُولُ اللهِ </w:t>
      </w:r>
      <w:r w:rsidRPr="0093484F">
        <w:rPr>
          <w:rStyle w:val="libAlaemChar"/>
          <w:rFonts w:eastAsiaTheme="minorHAnsi"/>
          <w:rtl/>
        </w:rPr>
        <w:t>صلى‌الله‌عليه‌وآله</w:t>
      </w:r>
      <w:r w:rsidRPr="00132E65">
        <w:rPr>
          <w:rtl/>
          <w:lang w:bidi="fa-IR"/>
        </w:rPr>
        <w:t>: فَإِنِّي أَسْأَلُ اللهَ أَنْ يَبْعَثَكِ كَاسِيَةً ؛ و</w:t>
      </w:r>
      <w:r w:rsidR="00860DB5">
        <w:rPr>
          <w:rFonts w:hint="cs"/>
          <w:rtl/>
          <w:lang w:bidi="fa-IR"/>
        </w:rPr>
        <w:t>َ</w:t>
      </w:r>
      <w:r w:rsidRPr="00132E65">
        <w:rPr>
          <w:rtl/>
          <w:lang w:bidi="fa-IR"/>
        </w:rPr>
        <w:t xml:space="preserve">سَمِعَتْهُ يَذْكُرُ ضَغْطَةَ </w:t>
      </w:r>
      <w:r>
        <w:rPr>
          <w:rStyle w:val="libFootnotenumChar"/>
          <w:rtl/>
        </w:rPr>
        <w:t>(5)</w:t>
      </w:r>
      <w:r w:rsidRPr="00132E65">
        <w:rPr>
          <w:rtl/>
          <w:lang w:bidi="fa-IR"/>
        </w:rPr>
        <w:t xml:space="preserve"> الْقَبْرِ ، فَقَالَتْ : و</w:t>
      </w:r>
      <w:r w:rsidR="00860DB5">
        <w:rPr>
          <w:rFonts w:hint="cs"/>
          <w:rtl/>
          <w:lang w:bidi="fa-IR"/>
        </w:rPr>
        <w:t>َ</w:t>
      </w:r>
      <w:r w:rsidRPr="00132E65">
        <w:rPr>
          <w:rtl/>
          <w:lang w:bidi="fa-IR"/>
        </w:rPr>
        <w:t xml:space="preserve">ا ضَعْفَاهْ ، فَقَالَ لَهَا رَسُولُ اللهِ </w:t>
      </w:r>
      <w:r w:rsidRPr="0093484F">
        <w:rPr>
          <w:rStyle w:val="libAlaemChar"/>
          <w:rFonts w:eastAsiaTheme="minorHAnsi"/>
          <w:rtl/>
        </w:rPr>
        <w:t>صلى‌الله‌عليه‌وآله</w:t>
      </w:r>
      <w:r w:rsidRPr="00132E65">
        <w:rPr>
          <w:rtl/>
          <w:lang w:bidi="fa-IR"/>
        </w:rPr>
        <w:t>: فَإِنِّي أَسْأَلُ اللهَ أَنْ يَكْفِيَكِ ذلِكِ.</w:t>
      </w:r>
    </w:p>
    <w:p w:rsidR="000C39D1" w:rsidRPr="00132E65" w:rsidRDefault="000C39D1" w:rsidP="000C39D1">
      <w:pPr>
        <w:pStyle w:val="libNormal"/>
        <w:rPr>
          <w:rtl/>
          <w:lang w:bidi="fa-IR"/>
        </w:rPr>
      </w:pPr>
      <w:r w:rsidRPr="00132E65">
        <w:rPr>
          <w:rtl/>
          <w:lang w:bidi="fa-IR"/>
        </w:rPr>
        <w:t xml:space="preserve">وَقَالَتْ لِرَسُولِ اللهِ </w:t>
      </w:r>
      <w:r w:rsidRPr="0093484F">
        <w:rPr>
          <w:rStyle w:val="libAlaemChar"/>
          <w:rFonts w:eastAsiaTheme="minorHAnsi"/>
          <w:rtl/>
        </w:rPr>
        <w:t>صلى‌الله‌عليه‌وآله</w:t>
      </w:r>
      <w:r w:rsidRPr="00132E65">
        <w:rPr>
          <w:rtl/>
          <w:lang w:bidi="fa-IR"/>
        </w:rPr>
        <w:t xml:space="preserve"> يَوْماً : إِنِّي أُرِيدُ أَنْ أُعْتِقَ جَارِيَتِي </w:t>
      </w:r>
      <w:r>
        <w:rPr>
          <w:rStyle w:val="libFootnotenumChar"/>
          <w:rtl/>
        </w:rPr>
        <w:t>(6)</w:t>
      </w:r>
      <w:r w:rsidRPr="00132E65">
        <w:rPr>
          <w:rtl/>
          <w:lang w:bidi="fa-IR"/>
        </w:rPr>
        <w:t xml:space="preserve"> هذِهِ ، فَقَالَ لَهَا </w:t>
      </w:r>
      <w:r>
        <w:rPr>
          <w:rStyle w:val="libFootnotenumChar"/>
          <w:rtl/>
        </w:rPr>
        <w:t>(7)</w:t>
      </w:r>
      <w:r w:rsidRPr="00132E65">
        <w:rPr>
          <w:rtl/>
          <w:lang w:bidi="fa-IR"/>
        </w:rPr>
        <w:t xml:space="preserve"> : إِنْ فَعَلْتِ ، أَعْتَقَ اللهُ بِكُلِّ عُضْوٍ مِنْهَا عُضْواً مِنْكِ مِنَ النَّارِ ؛ فَلَمَّا مَرِضَتْ ، أَوْصَتْ إِلى رَسُولِ اللهِ </w:t>
      </w:r>
      <w:r w:rsidRPr="0093484F">
        <w:rPr>
          <w:rStyle w:val="libAlaemChar"/>
          <w:rFonts w:eastAsiaTheme="minorHAnsi"/>
          <w:rtl/>
        </w:rPr>
        <w:t>صلى‌الله‌عليه‌وآله</w:t>
      </w:r>
      <w:r w:rsidRPr="00132E65">
        <w:rPr>
          <w:rtl/>
          <w:lang w:bidi="fa-IR"/>
        </w:rPr>
        <w:t xml:space="preserve"> ، و</w:t>
      </w:r>
      <w:r w:rsidR="00860DB5">
        <w:rPr>
          <w:rFonts w:hint="cs"/>
          <w:rtl/>
          <w:lang w:bidi="fa-IR"/>
        </w:rPr>
        <w:t xml:space="preserve">َ </w:t>
      </w:r>
      <w:r w:rsidRPr="00132E65">
        <w:rPr>
          <w:rtl/>
          <w:lang w:bidi="fa-IR"/>
        </w:rPr>
        <w:t xml:space="preserve">أَمَرَتْ أَنْ يُعْتِقَ </w:t>
      </w:r>
      <w:r>
        <w:rPr>
          <w:rStyle w:val="libFootnotenumChar"/>
          <w:rtl/>
        </w:rPr>
        <w:t>(8)</w:t>
      </w:r>
      <w:r w:rsidR="00860DB5">
        <w:rPr>
          <w:rFonts w:hint="cs"/>
          <w:rtl/>
          <w:lang w:bidi="fa-IR"/>
        </w:rPr>
        <w:t>........................</w:t>
      </w:r>
      <w:r w:rsidR="003915A6">
        <w:rPr>
          <w:rFonts w:hint="cs"/>
          <w:rtl/>
          <w:lang w:bidi="fa-IR"/>
        </w:rPr>
        <w:t>..............</w:t>
      </w:r>
      <w:r w:rsidR="00860DB5">
        <w:rPr>
          <w:rFonts w:hint="cs"/>
          <w:rtl/>
          <w:lang w:bidi="fa-IR"/>
        </w:rPr>
        <w:t>.....................................</w:t>
      </w:r>
      <w:r w:rsidR="00860DB5">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4E2FB4">
        <w:rPr>
          <w:rtl/>
        </w:rPr>
        <w:t>معاني الأخبار</w:t>
      </w:r>
      <w:r w:rsidRPr="00132E65">
        <w:rPr>
          <w:rtl/>
        </w:rPr>
        <w:t xml:space="preserve"> ، ص 403 ، ح 68 بسنده عن الكليني. </w:t>
      </w:r>
      <w:r w:rsidRPr="004E2FB4">
        <w:rPr>
          <w:rtl/>
        </w:rPr>
        <w:t>خصائص الأئمّة</w:t>
      </w:r>
      <w:r w:rsidRPr="00132E65">
        <w:rPr>
          <w:rtl/>
        </w:rPr>
        <w:t xml:space="preserve"> </w:t>
      </w:r>
      <w:r w:rsidRPr="00150E38">
        <w:rPr>
          <w:rStyle w:val="libFootnoteAlaemChar"/>
          <w:rtl/>
        </w:rPr>
        <w:t>عليهم‌السلام</w:t>
      </w:r>
      <w:r w:rsidRPr="00132E65">
        <w:rPr>
          <w:rtl/>
        </w:rPr>
        <w:t xml:space="preserve"> ، ص 64 ، عن هارون بن موسى ، عن محمّد بن يعقوب ، عن الحسين بن محمّد بن يحيى ، عن الوليد بن أبان</w:t>
      </w:r>
      <w:r w:rsidR="00150E38">
        <w:rPr>
          <w:rFonts w:hint="cs"/>
          <w:rtl/>
        </w:rPr>
        <w:t xml:space="preserve"> .</w:t>
      </w:r>
      <w:r w:rsidRPr="00132E65">
        <w:rPr>
          <w:rtl/>
        </w:rPr>
        <w:t xml:space="preserve"> </w:t>
      </w:r>
      <w:r w:rsidRPr="009D1ACE">
        <w:rPr>
          <w:rStyle w:val="libFootnoteBoldChar"/>
          <w:rtl/>
        </w:rPr>
        <w:t>الوافي</w:t>
      </w:r>
      <w:r w:rsidRPr="00132E65">
        <w:rPr>
          <w:rtl/>
        </w:rPr>
        <w:t xml:space="preserve"> ، ج 3 ، ص 724 ، ح 1336 ؛ </w:t>
      </w:r>
      <w:r w:rsidRPr="004E2FB4">
        <w:rPr>
          <w:rtl/>
        </w:rPr>
        <w:t>البحار</w:t>
      </w:r>
      <w:r w:rsidRPr="00132E65">
        <w:rPr>
          <w:rtl/>
        </w:rPr>
        <w:t xml:space="preserve"> ، ج 35 ، ص 6 ، ح 5.</w:t>
      </w:r>
    </w:p>
    <w:p w:rsidR="000C39D1" w:rsidRPr="00132E65" w:rsidRDefault="000C39D1" w:rsidP="000C39D1">
      <w:pPr>
        <w:pStyle w:val="libFootnote0"/>
        <w:rPr>
          <w:rtl/>
          <w:lang w:bidi="fa-IR"/>
        </w:rPr>
      </w:pPr>
      <w:r>
        <w:rPr>
          <w:rtl/>
        </w:rPr>
        <w:t>(2).</w:t>
      </w:r>
      <w:r w:rsidRPr="00132E65">
        <w:rPr>
          <w:rtl/>
        </w:rPr>
        <w:t xml:space="preserve"> في « ف » : « إلى رسول الله »</w:t>
      </w:r>
      <w:r>
        <w:rPr>
          <w:rtl/>
        </w:rPr>
        <w:t>.</w:t>
      </w:r>
      <w:r w:rsidRPr="00132E65">
        <w:rPr>
          <w:rtl/>
        </w:rPr>
        <w:t xml:space="preserve"> وفي خصائص الأئمّة : « عند رسول الله »</w:t>
      </w:r>
      <w:r>
        <w:rPr>
          <w:rtl/>
        </w:rPr>
        <w:t>.</w:t>
      </w:r>
    </w:p>
    <w:p w:rsidR="000C39D1" w:rsidRPr="00132E65" w:rsidRDefault="000C39D1" w:rsidP="000C39D1">
      <w:pPr>
        <w:pStyle w:val="libFootnote0"/>
        <w:rPr>
          <w:rtl/>
          <w:lang w:bidi="fa-IR"/>
        </w:rPr>
      </w:pPr>
      <w:r>
        <w:rPr>
          <w:rtl/>
        </w:rPr>
        <w:t>(3).</w:t>
      </w:r>
      <w:r w:rsidRPr="00132E65">
        <w:rPr>
          <w:rtl/>
        </w:rPr>
        <w:t xml:space="preserve"> في خصائص الأئمّة </w:t>
      </w:r>
      <w:r>
        <w:rPr>
          <w:rtl/>
        </w:rPr>
        <w:t xml:space="preserve">: - </w:t>
      </w:r>
      <w:r w:rsidRPr="00132E65">
        <w:rPr>
          <w:rtl/>
        </w:rPr>
        <w:t>« وهو »</w:t>
      </w:r>
      <w:r>
        <w:rPr>
          <w:rtl/>
        </w:rPr>
        <w:t>.</w:t>
      </w:r>
    </w:p>
    <w:p w:rsidR="000C39D1" w:rsidRPr="00132E65" w:rsidRDefault="000C39D1" w:rsidP="000C39D1">
      <w:pPr>
        <w:pStyle w:val="libFootnote0"/>
        <w:rPr>
          <w:rtl/>
          <w:lang w:bidi="fa-IR"/>
        </w:rPr>
      </w:pPr>
      <w:r>
        <w:rPr>
          <w:rtl/>
        </w:rPr>
        <w:t>(4).</w:t>
      </w:r>
      <w:r w:rsidRPr="00132E65">
        <w:rPr>
          <w:rtl/>
        </w:rPr>
        <w:t xml:space="preserve"> « وا سَوْأَتاهْ » ، « وا » حرف تفجّع ، يدخل على المتفجّع منه ، كوا حزناه ، وعلى المتفجّع عليه ، كوا زيداه ، والألف زائدة لمدّ الصوت في المصيبة ، وزيدت الهاء الساكنة لزيادة مدّها. والسَوْأَةُ في الأصل : الفرج ، ثمّ نقل إلى كلّ ما يُسْتَحْيا منه إذا ظهر من قول أو فعل. راجع : </w:t>
      </w:r>
      <w:r w:rsidRPr="009D1ACE">
        <w:rPr>
          <w:rStyle w:val="libFootnoteBoldChar"/>
          <w:rtl/>
        </w:rPr>
        <w:t>مرآة العقول</w:t>
      </w:r>
      <w:r w:rsidRPr="00132E65">
        <w:rPr>
          <w:rtl/>
        </w:rPr>
        <w:t xml:space="preserve"> ، ج 5 ، ص 279 ؛ </w:t>
      </w:r>
      <w:r w:rsidRPr="004E2FB4">
        <w:rPr>
          <w:rtl/>
        </w:rPr>
        <w:t>النهاية</w:t>
      </w:r>
      <w:r w:rsidRPr="00132E65">
        <w:rPr>
          <w:rtl/>
        </w:rPr>
        <w:t xml:space="preserve"> ، ج 2 ، ص 416 ( سوأ )</w:t>
      </w:r>
      <w:r>
        <w:rPr>
          <w:rtl/>
        </w:rPr>
        <w:t>.</w:t>
      </w:r>
    </w:p>
    <w:p w:rsidR="000C39D1" w:rsidRPr="00132E65" w:rsidRDefault="000C39D1" w:rsidP="003935A9">
      <w:pPr>
        <w:pStyle w:val="libFootnote0"/>
        <w:rPr>
          <w:rtl/>
          <w:lang w:bidi="fa-IR"/>
        </w:rPr>
      </w:pPr>
      <w:r>
        <w:rPr>
          <w:rtl/>
        </w:rPr>
        <w:t>(5).</w:t>
      </w:r>
      <w:r w:rsidRPr="00132E65">
        <w:rPr>
          <w:rtl/>
        </w:rPr>
        <w:t xml:space="preserve"> « الضَغْطَةُ » : العصر. يقال : ضَغَطَهُ يَضْغَطُهُ ضَغْطاً ، إذا عَصَرَه وضَيَّقَ عليه وقَهَرَه. راجع : </w:t>
      </w:r>
      <w:r w:rsidRPr="004E2FB4">
        <w:rPr>
          <w:rtl/>
        </w:rPr>
        <w:t>النهاية</w:t>
      </w:r>
      <w:r w:rsidRPr="00132E65">
        <w:rPr>
          <w:rtl/>
        </w:rPr>
        <w:t xml:space="preserve"> ، ج 3 ، ص 90 ( ضغط )</w:t>
      </w:r>
      <w:r>
        <w:rPr>
          <w:rtl/>
        </w:rPr>
        <w:t>.</w:t>
      </w:r>
      <w:r w:rsidR="003935A9">
        <w:rPr>
          <w:rFonts w:hint="cs"/>
          <w:rtl/>
        </w:rPr>
        <w:t xml:space="preserve">                             </w:t>
      </w:r>
      <w:r w:rsidR="003915A6">
        <w:rPr>
          <w:rFonts w:hint="cs"/>
          <w:rtl/>
        </w:rPr>
        <w:t xml:space="preserve">           </w:t>
      </w:r>
      <w:r w:rsidR="003935A9">
        <w:rPr>
          <w:rFonts w:hint="cs"/>
          <w:rtl/>
        </w:rPr>
        <w:t xml:space="preserve">          </w:t>
      </w:r>
      <w:r>
        <w:rPr>
          <w:rtl/>
        </w:rPr>
        <w:t>(6).</w:t>
      </w:r>
      <w:r w:rsidRPr="00132E65">
        <w:rPr>
          <w:rtl/>
        </w:rPr>
        <w:t xml:space="preserve"> في « بف » : « خادمي »</w:t>
      </w:r>
      <w:r>
        <w:rPr>
          <w:rtl/>
        </w:rPr>
        <w:t>.</w:t>
      </w:r>
    </w:p>
    <w:tbl>
      <w:tblPr>
        <w:tblStyle w:val="TableGrid"/>
        <w:bidiVisual/>
        <w:tblW w:w="0" w:type="auto"/>
        <w:tblLook w:val="04A0" w:firstRow="1" w:lastRow="0" w:firstColumn="1" w:lastColumn="0" w:noHBand="0" w:noVBand="1"/>
      </w:tblPr>
      <w:tblGrid>
        <w:gridCol w:w="4006"/>
        <w:gridCol w:w="4006"/>
      </w:tblGrid>
      <w:tr w:rsidR="003935A9" w:rsidTr="003935A9">
        <w:tc>
          <w:tcPr>
            <w:tcW w:w="4006" w:type="dxa"/>
          </w:tcPr>
          <w:p w:rsidR="003935A9" w:rsidRDefault="003935A9" w:rsidP="000C39D1">
            <w:pPr>
              <w:pStyle w:val="libFootnote0"/>
              <w:rPr>
                <w:rtl/>
              </w:rPr>
            </w:pPr>
            <w:r>
              <w:rPr>
                <w:rtl/>
              </w:rPr>
              <w:t>(7).</w:t>
            </w:r>
            <w:r w:rsidRPr="00132E65">
              <w:rPr>
                <w:rtl/>
              </w:rPr>
              <w:t xml:space="preserve"> في « بس » </w:t>
            </w:r>
            <w:r>
              <w:rPr>
                <w:rtl/>
              </w:rPr>
              <w:t xml:space="preserve">: - </w:t>
            </w:r>
            <w:r w:rsidRPr="00132E65">
              <w:rPr>
                <w:rtl/>
              </w:rPr>
              <w:t>« لها »</w:t>
            </w:r>
            <w:r>
              <w:rPr>
                <w:rtl/>
              </w:rPr>
              <w:t>.</w:t>
            </w:r>
          </w:p>
        </w:tc>
        <w:tc>
          <w:tcPr>
            <w:tcW w:w="4006" w:type="dxa"/>
          </w:tcPr>
          <w:p w:rsidR="003935A9" w:rsidRDefault="003935A9" w:rsidP="000C39D1">
            <w:pPr>
              <w:pStyle w:val="libFootnote0"/>
              <w:rPr>
                <w:rtl/>
              </w:rPr>
            </w:pPr>
            <w:r>
              <w:rPr>
                <w:rtl/>
              </w:rPr>
              <w:t>(8).</w:t>
            </w:r>
            <w:r w:rsidRPr="00132E65">
              <w:rPr>
                <w:rtl/>
              </w:rPr>
              <w:t xml:space="preserve"> في « ف » : « امرت أن تعتق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خَادِمَهَا </w:t>
      </w:r>
      <w:r>
        <w:rPr>
          <w:rStyle w:val="libFootnotenumChar"/>
          <w:rtl/>
        </w:rPr>
        <w:t>(1)</w:t>
      </w:r>
      <w:r w:rsidRPr="00132E65">
        <w:rPr>
          <w:rtl/>
          <w:lang w:bidi="fa-IR"/>
        </w:rPr>
        <w:t xml:space="preserve"> ، و</w:t>
      </w:r>
      <w:r w:rsidR="000D2963">
        <w:rPr>
          <w:rFonts w:hint="cs"/>
          <w:rtl/>
          <w:lang w:bidi="fa-IR"/>
        </w:rPr>
        <w:t xml:space="preserve">َ </w:t>
      </w:r>
      <w:r w:rsidRPr="00132E65">
        <w:rPr>
          <w:rtl/>
          <w:lang w:bidi="fa-IR"/>
        </w:rPr>
        <w:t xml:space="preserve">اعْتُقِلَ </w:t>
      </w:r>
      <w:r>
        <w:rPr>
          <w:rStyle w:val="libFootnotenumChar"/>
          <w:rtl/>
        </w:rPr>
        <w:t>(2)</w:t>
      </w:r>
      <w:r w:rsidRPr="00132E65">
        <w:rPr>
          <w:rtl/>
          <w:lang w:bidi="fa-IR"/>
        </w:rPr>
        <w:t xml:space="preserve"> لِسَانُهَا ، فَجَعَلَتْ تُومِيُ إِلى رَسُولِ اللهِ </w:t>
      </w:r>
      <w:r w:rsidRPr="0093484F">
        <w:rPr>
          <w:rStyle w:val="libAlaemChar"/>
          <w:rFonts w:eastAsiaTheme="minorHAnsi"/>
          <w:rtl/>
        </w:rPr>
        <w:t>صلى‌الله‌عليه‌وآله</w:t>
      </w:r>
      <w:r w:rsidRPr="00132E65">
        <w:rPr>
          <w:rtl/>
          <w:lang w:bidi="fa-IR"/>
        </w:rPr>
        <w:t xml:space="preserve"> إِيمَاءً ، فَقَبِلَ رَسُولُ اللهِ </w:t>
      </w:r>
      <w:r w:rsidRPr="0093484F">
        <w:rPr>
          <w:rStyle w:val="libAlaemChar"/>
          <w:rFonts w:eastAsiaTheme="minorHAnsi"/>
          <w:rtl/>
        </w:rPr>
        <w:t>صلى‌الله‌عليه‌وآله</w:t>
      </w:r>
      <w:r w:rsidRPr="00132E65">
        <w:rPr>
          <w:rtl/>
          <w:lang w:bidi="fa-IR"/>
        </w:rPr>
        <w:t xml:space="preserve"> و</w:t>
      </w:r>
      <w:r w:rsidR="000D2963">
        <w:rPr>
          <w:rFonts w:hint="cs"/>
          <w:rtl/>
          <w:lang w:bidi="fa-IR"/>
        </w:rPr>
        <w:t>َ</w:t>
      </w:r>
      <w:r w:rsidRPr="00132E65">
        <w:rPr>
          <w:rtl/>
          <w:lang w:bidi="fa-IR"/>
        </w:rPr>
        <w:t>صِيَّتَهَا.</w:t>
      </w:r>
    </w:p>
    <w:p w:rsidR="000C39D1" w:rsidRPr="00132E65" w:rsidRDefault="000C39D1" w:rsidP="000C39D1">
      <w:pPr>
        <w:pStyle w:val="libNormal"/>
        <w:rPr>
          <w:rtl/>
          <w:lang w:bidi="fa-IR"/>
        </w:rPr>
      </w:pPr>
      <w:r w:rsidRPr="00132E65">
        <w:rPr>
          <w:rtl/>
          <w:lang w:bidi="fa-IR"/>
        </w:rPr>
        <w:t xml:space="preserve">فَبَيْنَمَا </w:t>
      </w:r>
      <w:r>
        <w:rPr>
          <w:rStyle w:val="libFootnotenumChar"/>
          <w:rtl/>
        </w:rPr>
        <w:t>(3)</w:t>
      </w:r>
      <w:r w:rsidRPr="00132E65">
        <w:rPr>
          <w:rtl/>
          <w:lang w:bidi="fa-IR"/>
        </w:rPr>
        <w:t xml:space="preserve"> هُوَ ذَاتَ يَوْمٍ قَاعِدٌ إِذْ أَتَاهُ أَمِيرُ الْمُؤْمِنِينَ </w:t>
      </w:r>
      <w:r w:rsidRPr="00071CF9">
        <w:rPr>
          <w:rStyle w:val="libAlaemChar"/>
          <w:rtl/>
        </w:rPr>
        <w:t>عليه‌السلام</w:t>
      </w:r>
      <w:r w:rsidRPr="00132E65">
        <w:rPr>
          <w:rtl/>
          <w:lang w:bidi="fa-IR"/>
        </w:rPr>
        <w:t xml:space="preserve"> و</w:t>
      </w:r>
      <w:r w:rsidR="00630DCE">
        <w:rPr>
          <w:rFonts w:hint="cs"/>
          <w:rtl/>
          <w:lang w:bidi="fa-IR"/>
        </w:rPr>
        <w:t xml:space="preserve">َ </w:t>
      </w:r>
      <w:r w:rsidRPr="00132E65">
        <w:rPr>
          <w:rtl/>
          <w:lang w:bidi="fa-IR"/>
        </w:rPr>
        <w:t xml:space="preserve">هُوَ يَبْكِي ، فَقَالَ لَهُ رَسُولُ اللهِ </w:t>
      </w:r>
      <w:r w:rsidRPr="0093484F">
        <w:rPr>
          <w:rStyle w:val="libAlaemChar"/>
          <w:rFonts w:eastAsiaTheme="minorHAnsi"/>
          <w:rtl/>
        </w:rPr>
        <w:t>صلى‌الله‌عليه‌وآله</w:t>
      </w:r>
      <w:r w:rsidRPr="00132E65">
        <w:rPr>
          <w:rtl/>
          <w:lang w:bidi="fa-IR"/>
        </w:rPr>
        <w:t>: مَا يُبْكِيكَ</w:t>
      </w:r>
      <w:r>
        <w:rPr>
          <w:rtl/>
          <w:lang w:bidi="fa-IR"/>
        </w:rPr>
        <w:t>؟</w:t>
      </w:r>
      <w:r w:rsidRPr="00132E65">
        <w:rPr>
          <w:rtl/>
          <w:lang w:bidi="fa-IR"/>
        </w:rPr>
        <w:t xml:space="preserve"> فَقَالَ : مَاتَتْ أُمِّي فَاطِمَةُ </w:t>
      </w:r>
      <w:r>
        <w:rPr>
          <w:rStyle w:val="libFootnotenumChar"/>
          <w:rtl/>
        </w:rPr>
        <w:t>(4)</w:t>
      </w:r>
      <w:r w:rsidRPr="00132E65">
        <w:rPr>
          <w:rtl/>
          <w:lang w:bidi="fa-IR"/>
        </w:rPr>
        <w:t xml:space="preserve"> ، فَقَالَ </w:t>
      </w:r>
      <w:r>
        <w:rPr>
          <w:rStyle w:val="libFootnotenumChar"/>
          <w:rtl/>
        </w:rPr>
        <w:t>(5)</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أُمِّي </w:t>
      </w:r>
      <w:r>
        <w:rPr>
          <w:rStyle w:val="libFootnotenumChar"/>
          <w:rtl/>
        </w:rPr>
        <w:t>(6)</w:t>
      </w:r>
      <w:r w:rsidRPr="00132E65">
        <w:rPr>
          <w:rtl/>
          <w:lang w:bidi="fa-IR"/>
        </w:rPr>
        <w:t xml:space="preserve"> وَ</w:t>
      </w:r>
      <w:r w:rsidR="00630DCE">
        <w:rPr>
          <w:rFonts w:hint="cs"/>
          <w:rtl/>
          <w:lang w:bidi="fa-IR"/>
        </w:rPr>
        <w:t xml:space="preserve"> </w:t>
      </w:r>
      <w:r w:rsidRPr="00132E65">
        <w:rPr>
          <w:rtl/>
          <w:lang w:bidi="fa-IR"/>
        </w:rPr>
        <w:t>اللهِ ، و</w:t>
      </w:r>
      <w:r w:rsidR="00630DCE">
        <w:rPr>
          <w:rFonts w:hint="cs"/>
          <w:rtl/>
          <w:lang w:bidi="fa-IR"/>
        </w:rPr>
        <w:t xml:space="preserve">َ </w:t>
      </w:r>
      <w:r w:rsidRPr="00132E65">
        <w:rPr>
          <w:rtl/>
          <w:lang w:bidi="fa-IR"/>
        </w:rPr>
        <w:t xml:space="preserve">قَامَ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مُسْرِعاً حَتّى دَخَلَ ، فَنَظَرَ إِلَيْهَا و</w:t>
      </w:r>
      <w:r w:rsidR="006630A0">
        <w:rPr>
          <w:rFonts w:hint="cs"/>
          <w:rtl/>
          <w:lang w:bidi="fa-IR"/>
        </w:rPr>
        <w:t xml:space="preserve">َ </w:t>
      </w:r>
      <w:r w:rsidRPr="00132E65">
        <w:rPr>
          <w:rtl/>
          <w:lang w:bidi="fa-IR"/>
        </w:rPr>
        <w:t xml:space="preserve">بَكى </w:t>
      </w:r>
      <w:r>
        <w:rPr>
          <w:rStyle w:val="libFootnotenumChar"/>
          <w:rtl/>
        </w:rPr>
        <w:t>(8)</w:t>
      </w:r>
      <w:r w:rsidRPr="00132E65">
        <w:rPr>
          <w:rtl/>
          <w:lang w:bidi="fa-IR"/>
        </w:rPr>
        <w:t xml:space="preserve"> ، ثُمَّ أَمَرَ النِّسَاءَ أَنْ يَغْسِلْنَهَا </w:t>
      </w:r>
      <w:r>
        <w:rPr>
          <w:rStyle w:val="libFootnotenumChar"/>
          <w:rtl/>
        </w:rPr>
        <w:t>(9)</w:t>
      </w:r>
      <w:r w:rsidRPr="00132E65">
        <w:rPr>
          <w:rtl/>
          <w:lang w:bidi="fa-IR"/>
        </w:rPr>
        <w:t xml:space="preserve"> ، وَقَالَ </w:t>
      </w:r>
      <w:r w:rsidRPr="00071CF9">
        <w:rPr>
          <w:rStyle w:val="libAlaemChar"/>
          <w:rtl/>
        </w:rPr>
        <w:t>عليه‌السلام</w:t>
      </w:r>
      <w:r w:rsidRPr="00132E65">
        <w:rPr>
          <w:rtl/>
          <w:lang w:bidi="fa-IR"/>
        </w:rPr>
        <w:t xml:space="preserve"> : إِذَا فَرَغْتُنَّ فَلَا تُحْدِثْنَ شَيْئاً حَتّى تُعْلِمْنَنِي </w:t>
      </w:r>
      <w:r>
        <w:rPr>
          <w:rStyle w:val="libFootnotenumChar"/>
          <w:rtl/>
        </w:rPr>
        <w:t>(10)</w:t>
      </w:r>
      <w:r w:rsidRPr="00132E65">
        <w:rPr>
          <w:rtl/>
          <w:lang w:bidi="fa-IR"/>
        </w:rPr>
        <w:t xml:space="preserve"> ، فَلَمَّا فَرَغْنَ أَعْلَمْنَهُ بِذلِكَ </w:t>
      </w:r>
      <w:r>
        <w:rPr>
          <w:rStyle w:val="libFootnotenumChar"/>
          <w:rtl/>
        </w:rPr>
        <w:t>(11)</w:t>
      </w:r>
      <w:r w:rsidRPr="00132E65">
        <w:rPr>
          <w:rtl/>
          <w:lang w:bidi="fa-IR"/>
        </w:rPr>
        <w:t xml:space="preserve"> ، فَأَعْطَاهُنَّ </w:t>
      </w:r>
      <w:r>
        <w:rPr>
          <w:rStyle w:val="libFootnotenumChar"/>
          <w:rtl/>
        </w:rPr>
        <w:t>(12)</w:t>
      </w:r>
      <w:r w:rsidRPr="00132E65">
        <w:rPr>
          <w:rtl/>
          <w:lang w:bidi="fa-IR"/>
        </w:rPr>
        <w:t xml:space="preserve"> أَحَدَ </w:t>
      </w:r>
      <w:r w:rsidRPr="00F543F1">
        <w:rPr>
          <w:rStyle w:val="libFootnotenumChar"/>
          <w:rtl/>
        </w:rPr>
        <w:t>(13)</w:t>
      </w:r>
      <w:r w:rsidRPr="00132E65">
        <w:rPr>
          <w:rtl/>
          <w:lang w:bidi="fa-IR"/>
        </w:rPr>
        <w:t xml:space="preserve"> قَمِيصَيْهِ </w:t>
      </w:r>
      <w:r w:rsidRPr="00F543F1">
        <w:rPr>
          <w:rStyle w:val="libFootnotenumChar"/>
          <w:rtl/>
        </w:rPr>
        <w:t>(14)</w:t>
      </w:r>
      <w:r w:rsidRPr="00132E65">
        <w:rPr>
          <w:rtl/>
          <w:lang w:bidi="fa-IR"/>
        </w:rPr>
        <w:t xml:space="preserve"> ، الَّذِي يَلِي جَسَدَهُ </w:t>
      </w:r>
      <w:r w:rsidRPr="00F543F1">
        <w:rPr>
          <w:rStyle w:val="libFootnotenumChar"/>
          <w:rtl/>
        </w:rPr>
        <w:t>(15)</w:t>
      </w:r>
      <w:r w:rsidRPr="00132E65">
        <w:rPr>
          <w:rtl/>
          <w:lang w:bidi="fa-IR"/>
        </w:rPr>
        <w:t xml:space="preserve"> ، و</w:t>
      </w:r>
      <w:r w:rsidR="006630A0">
        <w:rPr>
          <w:rFonts w:hint="cs"/>
          <w:rtl/>
          <w:lang w:bidi="fa-IR"/>
        </w:rPr>
        <w:t xml:space="preserve">َ </w:t>
      </w:r>
      <w:r w:rsidRPr="00132E65">
        <w:rPr>
          <w:rtl/>
          <w:lang w:bidi="fa-IR"/>
        </w:rPr>
        <w:t>أَمَرَهُنَّ أَنْ يُكَفِّنَّهَا فِيهِ.</w:t>
      </w:r>
    </w:p>
    <w:p w:rsidR="000C39D1" w:rsidRPr="00132E65" w:rsidRDefault="000C39D1" w:rsidP="000C39D1">
      <w:pPr>
        <w:pStyle w:val="libNormal"/>
        <w:rPr>
          <w:rtl/>
          <w:lang w:bidi="fa-IR"/>
        </w:rPr>
      </w:pPr>
      <w:r w:rsidRPr="00132E65">
        <w:rPr>
          <w:rtl/>
          <w:lang w:bidi="fa-IR"/>
        </w:rPr>
        <w:t>وَ</w:t>
      </w:r>
      <w:r w:rsidR="006630A0">
        <w:rPr>
          <w:rFonts w:hint="cs"/>
          <w:rtl/>
          <w:lang w:bidi="fa-IR"/>
        </w:rPr>
        <w:t xml:space="preserve"> </w:t>
      </w:r>
      <w:r w:rsidRPr="00132E65">
        <w:rPr>
          <w:rtl/>
          <w:lang w:bidi="fa-IR"/>
        </w:rPr>
        <w:t xml:space="preserve">قَالَ لِلْمُسْلِمِينَ : إِذَا رَأَيْتُمُونِي قَدْ فَعَلْتُ شَيْئاً لَمْ أَفْعَلْهُ قَبْلَ ذلِكَ </w:t>
      </w:r>
      <w:r w:rsidRPr="00F543F1">
        <w:rPr>
          <w:rStyle w:val="libFootnotenumChar"/>
          <w:rtl/>
        </w:rPr>
        <w:t>(16)</w:t>
      </w:r>
      <w:r w:rsidRPr="00132E65">
        <w:rPr>
          <w:rtl/>
          <w:lang w:bidi="fa-IR"/>
        </w:rPr>
        <w:t xml:space="preserve"> ، فَسَلُونِي </w:t>
      </w:r>
      <w:r w:rsidRPr="00F543F1">
        <w:rPr>
          <w:rStyle w:val="libFootnotenumChar"/>
          <w:rtl/>
        </w:rPr>
        <w:t>(17)</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خصائص الأئمّة : « وأعتقت الجارية المقدّم ذكرها » بدل « وأمرتْ أن يعتق خادمها »</w:t>
      </w:r>
      <w:r>
        <w:rPr>
          <w:rtl/>
        </w:rPr>
        <w:t>.</w:t>
      </w:r>
    </w:p>
    <w:p w:rsidR="000C39D1" w:rsidRPr="00132E65" w:rsidRDefault="000C39D1" w:rsidP="000C39D1">
      <w:pPr>
        <w:pStyle w:val="libFootnote0"/>
        <w:rPr>
          <w:rtl/>
          <w:lang w:bidi="fa-IR"/>
        </w:rPr>
      </w:pPr>
      <w:r>
        <w:rPr>
          <w:rtl/>
        </w:rPr>
        <w:t>(2).</w:t>
      </w:r>
      <w:r w:rsidRPr="00132E65">
        <w:rPr>
          <w:rtl/>
        </w:rPr>
        <w:t xml:space="preserve"> في « ف » : « اعتلّ »</w:t>
      </w:r>
      <w:r>
        <w:rPr>
          <w:rtl/>
        </w:rPr>
        <w:t>.</w:t>
      </w:r>
      <w:r w:rsidRPr="00132E65">
        <w:rPr>
          <w:rtl/>
        </w:rPr>
        <w:t xml:space="preserve"> يقال : اعتُقل لسانه</w:t>
      </w:r>
      <w:r>
        <w:rPr>
          <w:rtl/>
        </w:rPr>
        <w:t xml:space="preserve"> - </w:t>
      </w:r>
      <w:r w:rsidRPr="00132E65">
        <w:rPr>
          <w:rtl/>
        </w:rPr>
        <w:t>بضمّ التاء</w:t>
      </w:r>
      <w:r>
        <w:rPr>
          <w:rtl/>
        </w:rPr>
        <w:t xml:space="preserve"> - </w:t>
      </w:r>
      <w:r w:rsidRPr="00132E65">
        <w:rPr>
          <w:rtl/>
        </w:rPr>
        <w:t xml:space="preserve">إذا احتبس عن الكلام ولم يقدر عليه. </w:t>
      </w:r>
      <w:r w:rsidRPr="00714A96">
        <w:rPr>
          <w:rtl/>
        </w:rPr>
        <w:t>المغرب</w:t>
      </w:r>
      <w:r w:rsidRPr="00132E65">
        <w:rPr>
          <w:rtl/>
        </w:rPr>
        <w:t xml:space="preserve"> ، ص 324 ( عقل )</w:t>
      </w:r>
      <w:r>
        <w:rPr>
          <w:rtl/>
        </w:rPr>
        <w:t>.</w:t>
      </w:r>
    </w:p>
    <w:p w:rsidR="000C39D1" w:rsidRPr="00132E65" w:rsidRDefault="000C39D1" w:rsidP="000C39D1">
      <w:pPr>
        <w:pStyle w:val="libFootnote0"/>
        <w:rPr>
          <w:rtl/>
          <w:lang w:bidi="fa-IR"/>
        </w:rPr>
      </w:pPr>
      <w:r>
        <w:rPr>
          <w:rtl/>
        </w:rPr>
        <w:t>(3).</w:t>
      </w:r>
      <w:r w:rsidRPr="00132E65">
        <w:rPr>
          <w:rtl/>
        </w:rPr>
        <w:t xml:space="preserve"> في « ض ، بر » و</w:t>
      </w:r>
      <w:r w:rsidRPr="009D1ACE">
        <w:rPr>
          <w:rStyle w:val="libFootnoteBoldChar"/>
          <w:rtl/>
        </w:rPr>
        <w:t>الوافي</w:t>
      </w:r>
      <w:r w:rsidRPr="00132E65">
        <w:rPr>
          <w:rtl/>
        </w:rPr>
        <w:t xml:space="preserve"> وخصائص الأئمّة : « فبينا »</w:t>
      </w:r>
      <w:r>
        <w:rPr>
          <w:rtl/>
        </w:rPr>
        <w:t>.</w:t>
      </w:r>
    </w:p>
    <w:p w:rsidR="000C39D1" w:rsidRPr="00132E65" w:rsidRDefault="000C39D1" w:rsidP="000C39D1">
      <w:pPr>
        <w:pStyle w:val="libFootnote0"/>
        <w:rPr>
          <w:rtl/>
          <w:lang w:bidi="fa-IR"/>
        </w:rPr>
      </w:pPr>
      <w:r>
        <w:rPr>
          <w:rtl/>
        </w:rPr>
        <w:t>(4).</w:t>
      </w:r>
      <w:r w:rsidRPr="00132E65">
        <w:rPr>
          <w:rtl/>
        </w:rPr>
        <w:t xml:space="preserve"> في خصائص الأئمّة : « قال : إنّ ا</w:t>
      </w:r>
      <w:r w:rsidR="006630A0">
        <w:rPr>
          <w:rFonts w:hint="cs"/>
          <w:rtl/>
        </w:rPr>
        <w:t>ُ</w:t>
      </w:r>
      <w:r w:rsidRPr="00132E65">
        <w:rPr>
          <w:rtl/>
        </w:rPr>
        <w:t>مّي فاطمة قد قضت » بدل « فقال : ماتت ا</w:t>
      </w:r>
      <w:r w:rsidR="006630A0">
        <w:rPr>
          <w:rFonts w:hint="cs"/>
          <w:rtl/>
        </w:rPr>
        <w:t>ُ</w:t>
      </w:r>
      <w:r w:rsidRPr="00132E65">
        <w:rPr>
          <w:rtl/>
        </w:rPr>
        <w:t>مّي فاطمة »</w:t>
      </w:r>
      <w:r>
        <w:rPr>
          <w:rtl/>
        </w:rPr>
        <w:t>.</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له »</w:t>
      </w:r>
      <w:r>
        <w:rPr>
          <w:rtl/>
        </w:rPr>
        <w:t>.</w:t>
      </w:r>
    </w:p>
    <w:p w:rsidR="000C39D1" w:rsidRPr="00132E65" w:rsidRDefault="000C39D1" w:rsidP="006630A0">
      <w:pPr>
        <w:pStyle w:val="libFootnote0"/>
        <w:rPr>
          <w:rtl/>
          <w:lang w:bidi="fa-IR"/>
        </w:rPr>
      </w:pPr>
      <w:r>
        <w:rPr>
          <w:rtl/>
        </w:rPr>
        <w:t>(6).</w:t>
      </w:r>
      <w:r w:rsidRPr="00132E65">
        <w:rPr>
          <w:rtl/>
        </w:rPr>
        <w:t xml:space="preserve"> هكذا في النسخ التي قوبلت و</w:t>
      </w:r>
      <w:r w:rsidRPr="009D1ACE">
        <w:rPr>
          <w:rStyle w:val="libFootnoteBoldChar"/>
          <w:rtl/>
        </w:rPr>
        <w:t>الوافي</w:t>
      </w:r>
      <w:r w:rsidRPr="00132E65">
        <w:rPr>
          <w:rtl/>
        </w:rPr>
        <w:t>. وفي المطبوع : « وا</w:t>
      </w:r>
      <w:r w:rsidR="006630A0">
        <w:rPr>
          <w:rFonts w:hint="cs"/>
          <w:rtl/>
        </w:rPr>
        <w:t>ُ</w:t>
      </w:r>
      <w:r w:rsidRPr="00132E65">
        <w:rPr>
          <w:rtl/>
        </w:rPr>
        <w:t>مّي »</w:t>
      </w:r>
      <w:r>
        <w:rPr>
          <w:rtl/>
        </w:rPr>
        <w:t>.</w:t>
      </w:r>
      <w:r w:rsidRPr="00132E65">
        <w:rPr>
          <w:rtl/>
        </w:rPr>
        <w:t xml:space="preserve"> وفي </w:t>
      </w:r>
      <w:r w:rsidRPr="00714A96">
        <w:rPr>
          <w:rtl/>
        </w:rPr>
        <w:t>شرح المازندراني</w:t>
      </w:r>
      <w:r w:rsidRPr="00132E65">
        <w:rPr>
          <w:rtl/>
        </w:rPr>
        <w:t xml:space="preserve"> : « ا</w:t>
      </w:r>
      <w:r w:rsidR="006630A0">
        <w:rPr>
          <w:rFonts w:hint="cs"/>
          <w:rtl/>
        </w:rPr>
        <w:t>ُ</w:t>
      </w:r>
      <w:r w:rsidRPr="00132E65">
        <w:rPr>
          <w:rtl/>
        </w:rPr>
        <w:t>مّي والله ، أي فاطمة ا</w:t>
      </w:r>
      <w:r w:rsidR="006630A0">
        <w:rPr>
          <w:rFonts w:hint="cs"/>
          <w:rtl/>
        </w:rPr>
        <w:t>ُ</w:t>
      </w:r>
      <w:r w:rsidRPr="00132E65">
        <w:rPr>
          <w:rtl/>
        </w:rPr>
        <w:t>مّي ، أو ماتت ا</w:t>
      </w:r>
      <w:r w:rsidR="006630A0">
        <w:rPr>
          <w:rFonts w:hint="cs"/>
          <w:rtl/>
        </w:rPr>
        <w:t>ُ</w:t>
      </w:r>
      <w:r w:rsidRPr="00132E65">
        <w:rPr>
          <w:rtl/>
        </w:rPr>
        <w:t>مّي »</w:t>
      </w:r>
      <w:r>
        <w:rPr>
          <w:rtl/>
        </w:rPr>
        <w:t>.</w:t>
      </w:r>
      <w:r w:rsidRPr="00132E65">
        <w:rPr>
          <w:rtl/>
        </w:rPr>
        <w:t xml:space="preserve"> وفي </w:t>
      </w:r>
      <w:r w:rsidRPr="009D1ACE">
        <w:rPr>
          <w:rStyle w:val="libFootnoteBoldChar"/>
          <w:rtl/>
        </w:rPr>
        <w:t>مرآة العقول</w:t>
      </w:r>
      <w:r w:rsidRPr="00132E65">
        <w:rPr>
          <w:rtl/>
        </w:rPr>
        <w:t xml:space="preserve"> : « ا</w:t>
      </w:r>
      <w:r w:rsidR="006630A0">
        <w:rPr>
          <w:rFonts w:hint="cs"/>
          <w:rtl/>
        </w:rPr>
        <w:t>ُ</w:t>
      </w:r>
      <w:r w:rsidRPr="00132E65">
        <w:rPr>
          <w:rtl/>
        </w:rPr>
        <w:t xml:space="preserve">مّي ، أي هي </w:t>
      </w:r>
      <w:r w:rsidR="006630A0" w:rsidRPr="00132E65">
        <w:rPr>
          <w:rtl/>
        </w:rPr>
        <w:t>ا</w:t>
      </w:r>
      <w:r w:rsidR="006630A0">
        <w:rPr>
          <w:rFonts w:hint="cs"/>
          <w:rtl/>
        </w:rPr>
        <w:t>ُ</w:t>
      </w:r>
      <w:r w:rsidR="006630A0" w:rsidRPr="00132E65">
        <w:rPr>
          <w:rtl/>
        </w:rPr>
        <w:t xml:space="preserve">مّي </w:t>
      </w:r>
      <w:r w:rsidRPr="00132E65">
        <w:rPr>
          <w:rtl/>
        </w:rPr>
        <w:t xml:space="preserve">، أو ماتت </w:t>
      </w:r>
      <w:r w:rsidR="006630A0" w:rsidRPr="00132E65">
        <w:rPr>
          <w:rtl/>
        </w:rPr>
        <w:t>ا</w:t>
      </w:r>
      <w:r w:rsidR="006630A0">
        <w:rPr>
          <w:rFonts w:hint="cs"/>
          <w:rtl/>
        </w:rPr>
        <w:t>ُ</w:t>
      </w:r>
      <w:r w:rsidR="006630A0" w:rsidRPr="00132E65">
        <w:rPr>
          <w:rtl/>
        </w:rPr>
        <w:t xml:space="preserve">مّي </w:t>
      </w:r>
      <w:r w:rsidRPr="00132E65">
        <w:rPr>
          <w:rtl/>
        </w:rPr>
        <w:t>»</w:t>
      </w:r>
      <w:r>
        <w:rPr>
          <w:rtl/>
        </w:rPr>
        <w:t>.</w:t>
      </w:r>
      <w:r w:rsidRPr="00132E65">
        <w:rPr>
          <w:rtl/>
        </w:rPr>
        <w:t xml:space="preserve"> ويشعر كلاهما على عدم الواو.</w:t>
      </w:r>
    </w:p>
    <w:tbl>
      <w:tblPr>
        <w:tblStyle w:val="TableGrid"/>
        <w:bidiVisual/>
        <w:tblW w:w="0" w:type="auto"/>
        <w:tblLook w:val="04A0" w:firstRow="1" w:lastRow="0" w:firstColumn="1" w:lastColumn="0" w:noHBand="0" w:noVBand="1"/>
      </w:tblPr>
      <w:tblGrid>
        <w:gridCol w:w="4006"/>
        <w:gridCol w:w="4006"/>
      </w:tblGrid>
      <w:tr w:rsidR="006630A0" w:rsidTr="006630A0">
        <w:tc>
          <w:tcPr>
            <w:tcW w:w="4006" w:type="dxa"/>
          </w:tcPr>
          <w:p w:rsidR="006630A0" w:rsidRDefault="006630A0" w:rsidP="000C39D1">
            <w:pPr>
              <w:pStyle w:val="libFootnote0"/>
              <w:rPr>
                <w:rtl/>
                <w:lang w:bidi="fa-IR"/>
              </w:rPr>
            </w:pPr>
            <w:r>
              <w:rPr>
                <w:rtl/>
              </w:rPr>
              <w:t>(7).</w:t>
            </w:r>
            <w:r w:rsidRPr="00132E65">
              <w:rPr>
                <w:rtl/>
              </w:rPr>
              <w:t xml:space="preserve"> في « ف ، بر » : « فقام » بدل « وقام »</w:t>
            </w:r>
            <w:r>
              <w:rPr>
                <w:rtl/>
              </w:rPr>
              <w:t>.</w:t>
            </w:r>
          </w:p>
        </w:tc>
        <w:tc>
          <w:tcPr>
            <w:tcW w:w="4006" w:type="dxa"/>
          </w:tcPr>
          <w:p w:rsidR="006630A0" w:rsidRDefault="006630A0" w:rsidP="000C39D1">
            <w:pPr>
              <w:pStyle w:val="libFootnote0"/>
              <w:rPr>
                <w:rtl/>
                <w:lang w:bidi="fa-IR"/>
              </w:rPr>
            </w:pPr>
            <w:r>
              <w:rPr>
                <w:rtl/>
              </w:rPr>
              <w:t>(8).</w:t>
            </w:r>
            <w:r w:rsidRPr="00132E65">
              <w:rPr>
                <w:rtl/>
              </w:rPr>
              <w:t xml:space="preserve"> في « ج » : « فبكى »</w:t>
            </w:r>
            <w:r>
              <w:rPr>
                <w:rtl/>
              </w:rPr>
              <w:t>.</w:t>
            </w:r>
          </w:p>
        </w:tc>
      </w:tr>
      <w:tr w:rsidR="006630A0" w:rsidTr="006630A0">
        <w:tc>
          <w:tcPr>
            <w:tcW w:w="4006" w:type="dxa"/>
          </w:tcPr>
          <w:p w:rsidR="006630A0" w:rsidRDefault="006630A0" w:rsidP="000C39D1">
            <w:pPr>
              <w:pStyle w:val="libFootnote0"/>
              <w:rPr>
                <w:rtl/>
              </w:rPr>
            </w:pPr>
            <w:r>
              <w:rPr>
                <w:rtl/>
              </w:rPr>
              <w:t>(9).</w:t>
            </w:r>
            <w:r w:rsidRPr="00132E65">
              <w:rPr>
                <w:rtl/>
              </w:rPr>
              <w:t xml:space="preserve"> يجوز فيه وفي مثله التخفيف والتثقيل.</w:t>
            </w:r>
          </w:p>
        </w:tc>
        <w:tc>
          <w:tcPr>
            <w:tcW w:w="4006" w:type="dxa"/>
          </w:tcPr>
          <w:p w:rsidR="006630A0" w:rsidRDefault="006630A0" w:rsidP="000C39D1">
            <w:pPr>
              <w:pStyle w:val="libFootnote0"/>
              <w:rPr>
                <w:rtl/>
              </w:rPr>
            </w:pPr>
            <w:r>
              <w:rPr>
                <w:rtl/>
              </w:rPr>
              <w:t>(10).</w:t>
            </w:r>
            <w:r w:rsidRPr="00132E65">
              <w:rPr>
                <w:rtl/>
              </w:rPr>
              <w:t xml:space="preserve"> في « بر » : « تعلمني » بحذف نون الوقاية.</w:t>
            </w:r>
          </w:p>
        </w:tc>
      </w:tr>
    </w:tbl>
    <w:p w:rsidR="000C39D1" w:rsidRPr="00132E65" w:rsidRDefault="000C39D1" w:rsidP="000C39D1">
      <w:pPr>
        <w:pStyle w:val="libFootnote0"/>
        <w:rPr>
          <w:rtl/>
          <w:lang w:bidi="fa-IR"/>
        </w:rPr>
      </w:pPr>
      <w:r>
        <w:rPr>
          <w:rtl/>
        </w:rPr>
        <w:t>(11).</w:t>
      </w:r>
      <w:r w:rsidRPr="00132E65">
        <w:rPr>
          <w:rtl/>
        </w:rPr>
        <w:t xml:space="preserve"> في « ب ، بر ، بف » و</w:t>
      </w:r>
      <w:r w:rsidRPr="009D1ACE">
        <w:rPr>
          <w:rStyle w:val="libFootnoteBoldChar"/>
          <w:rtl/>
        </w:rPr>
        <w:t>الوافي</w:t>
      </w:r>
      <w:r w:rsidRPr="00132E65">
        <w:rPr>
          <w:rtl/>
        </w:rPr>
        <w:t xml:space="preserve"> وخصائص الأئمّة : « ذلك »</w:t>
      </w:r>
      <w:r>
        <w:rPr>
          <w:rtl/>
        </w:rPr>
        <w:t>.</w:t>
      </w:r>
    </w:p>
    <w:p w:rsidR="000C39D1" w:rsidRPr="00132E65" w:rsidRDefault="000C39D1" w:rsidP="000C39D1">
      <w:pPr>
        <w:pStyle w:val="libFootnote0"/>
        <w:rPr>
          <w:rtl/>
          <w:lang w:bidi="fa-IR"/>
        </w:rPr>
      </w:pPr>
      <w:r>
        <w:rPr>
          <w:rtl/>
        </w:rPr>
        <w:t>(12).</w:t>
      </w:r>
      <w:r w:rsidRPr="00132E65">
        <w:rPr>
          <w:rtl/>
        </w:rPr>
        <w:t xml:space="preserve"> في « بر ، بف » : « وأعطاهنّ »</w:t>
      </w:r>
      <w:r>
        <w:rPr>
          <w:rtl/>
        </w:rPr>
        <w:t>.</w:t>
      </w:r>
    </w:p>
    <w:p w:rsidR="000C39D1" w:rsidRPr="00132E65" w:rsidRDefault="000C39D1" w:rsidP="000C39D1">
      <w:pPr>
        <w:pStyle w:val="libFootnote0"/>
        <w:rPr>
          <w:rtl/>
          <w:lang w:bidi="fa-IR"/>
        </w:rPr>
      </w:pPr>
      <w:r>
        <w:rPr>
          <w:rtl/>
        </w:rPr>
        <w:t>(13)</w:t>
      </w:r>
      <w:r w:rsidRPr="00132E65">
        <w:rPr>
          <w:rtl/>
        </w:rPr>
        <w:t xml:space="preserve"> في « ب ، ج ، ض ، ف ، بح ، بر ، بف » : « إحدى »</w:t>
      </w:r>
      <w:r>
        <w:rPr>
          <w:rtl/>
        </w:rPr>
        <w:t>.</w:t>
      </w:r>
      <w:r w:rsidRPr="00132E65">
        <w:rPr>
          <w:rtl/>
        </w:rPr>
        <w:t xml:space="preserve"> والقميص يذكّر ويؤنّث ، ويبعّده وصفه بالمذكّر. وفي « بس » وحاشية « ف » و</w:t>
      </w:r>
      <w:r w:rsidRPr="009D1ACE">
        <w:rPr>
          <w:rStyle w:val="libFootnoteBoldChar"/>
          <w:rtl/>
        </w:rPr>
        <w:t>مرآة العقول</w:t>
      </w:r>
      <w:r w:rsidRPr="00132E65">
        <w:rPr>
          <w:rtl/>
        </w:rPr>
        <w:t xml:space="preserve"> : « أجدى » أي أنفع وأحسن. وقال في </w:t>
      </w:r>
      <w:r w:rsidRPr="00714A96">
        <w:rPr>
          <w:rtl/>
        </w:rPr>
        <w:t>المرآة</w:t>
      </w:r>
      <w:r w:rsidRPr="00132E65">
        <w:rPr>
          <w:rtl/>
        </w:rPr>
        <w:t xml:space="preserve"> : « وفي بعض النسخ بالحاء المهملة</w:t>
      </w:r>
      <w:r>
        <w:rPr>
          <w:rtl/>
        </w:rPr>
        <w:t xml:space="preserve"> - </w:t>
      </w:r>
      <w:r w:rsidRPr="00132E65">
        <w:rPr>
          <w:rtl/>
        </w:rPr>
        <w:t>أي إحدى</w:t>
      </w:r>
      <w:r>
        <w:rPr>
          <w:rtl/>
        </w:rPr>
        <w:t xml:space="preserve"> - </w:t>
      </w:r>
      <w:r w:rsidRPr="00132E65">
        <w:rPr>
          <w:rtl/>
        </w:rPr>
        <w:t>وهو خطأ ؛ للتوصيف بالمذكّر »</w:t>
      </w:r>
      <w:r>
        <w:rPr>
          <w:rtl/>
        </w:rPr>
        <w:t>.</w:t>
      </w:r>
    </w:p>
    <w:p w:rsidR="000C39D1" w:rsidRPr="00132E65" w:rsidRDefault="000C39D1" w:rsidP="000C39D1">
      <w:pPr>
        <w:pStyle w:val="libFootnote0"/>
        <w:rPr>
          <w:rtl/>
          <w:lang w:bidi="fa-IR"/>
        </w:rPr>
      </w:pPr>
      <w:r>
        <w:rPr>
          <w:rtl/>
        </w:rPr>
        <w:t>(14)</w:t>
      </w:r>
      <w:r w:rsidRPr="00132E65">
        <w:rPr>
          <w:rtl/>
        </w:rPr>
        <w:t xml:space="preserve"> في « ب ، ف ، بح ، بر » و</w:t>
      </w:r>
      <w:r w:rsidRPr="009D1ACE">
        <w:rPr>
          <w:rStyle w:val="libFootnoteBoldChar"/>
          <w:rtl/>
        </w:rPr>
        <w:t>مرآة العقول</w:t>
      </w:r>
      <w:r w:rsidRPr="00132E65">
        <w:rPr>
          <w:rtl/>
        </w:rPr>
        <w:t xml:space="preserve"> : « قميصه »</w:t>
      </w:r>
      <w:r>
        <w:rPr>
          <w:rtl/>
        </w:rPr>
        <w:t>.</w:t>
      </w:r>
      <w:r w:rsidRPr="00132E65">
        <w:rPr>
          <w:rtl/>
        </w:rPr>
        <w:t xml:space="preserve"> وفي خصائص الأئمّة :</w:t>
      </w:r>
      <w:r>
        <w:rPr>
          <w:rtl/>
        </w:rPr>
        <w:t xml:space="preserve"> + </w:t>
      </w:r>
      <w:r w:rsidRPr="00132E65">
        <w:rPr>
          <w:rtl/>
        </w:rPr>
        <w:t>« وهو »</w:t>
      </w:r>
      <w:r>
        <w:rPr>
          <w:rtl/>
        </w:rPr>
        <w:t>.</w:t>
      </w:r>
    </w:p>
    <w:tbl>
      <w:tblPr>
        <w:tblStyle w:val="TableGrid"/>
        <w:bidiVisual/>
        <w:tblW w:w="0" w:type="auto"/>
        <w:tblLook w:val="04A0" w:firstRow="1" w:lastRow="0" w:firstColumn="1" w:lastColumn="0" w:noHBand="0" w:noVBand="1"/>
      </w:tblPr>
      <w:tblGrid>
        <w:gridCol w:w="4006"/>
        <w:gridCol w:w="4006"/>
      </w:tblGrid>
      <w:tr w:rsidR="00063B4B" w:rsidTr="00063B4B">
        <w:tc>
          <w:tcPr>
            <w:tcW w:w="4006" w:type="dxa"/>
          </w:tcPr>
          <w:p w:rsidR="00063B4B" w:rsidRDefault="00063B4B" w:rsidP="000C39D1">
            <w:pPr>
              <w:pStyle w:val="libFootnote0"/>
              <w:rPr>
                <w:rtl/>
              </w:rPr>
            </w:pPr>
            <w:r>
              <w:rPr>
                <w:rtl/>
              </w:rPr>
              <w:t>(15)</w:t>
            </w:r>
            <w:r w:rsidRPr="00132E65">
              <w:rPr>
                <w:rtl/>
              </w:rPr>
              <w:t xml:space="preserve"> في حاشية « ض » : « جلده »</w:t>
            </w:r>
            <w:r>
              <w:rPr>
                <w:rtl/>
              </w:rPr>
              <w:t>.</w:t>
            </w:r>
          </w:p>
        </w:tc>
        <w:tc>
          <w:tcPr>
            <w:tcW w:w="4006" w:type="dxa"/>
          </w:tcPr>
          <w:p w:rsidR="00063B4B" w:rsidRDefault="00063B4B" w:rsidP="000C39D1">
            <w:pPr>
              <w:pStyle w:val="libFootnote0"/>
              <w:rPr>
                <w:rtl/>
              </w:rPr>
            </w:pPr>
            <w:r>
              <w:rPr>
                <w:rtl/>
              </w:rPr>
              <w:t>(16)</w:t>
            </w:r>
            <w:r w:rsidRPr="00132E65">
              <w:rPr>
                <w:rtl/>
              </w:rPr>
              <w:t xml:space="preserve"> في « ف » : « ذلك قبل »</w:t>
            </w:r>
            <w:r>
              <w:rPr>
                <w:rtl/>
              </w:rPr>
              <w:t>.</w:t>
            </w:r>
          </w:p>
        </w:tc>
      </w:tr>
    </w:tbl>
    <w:p w:rsidR="000C39D1" w:rsidRPr="00132E65" w:rsidRDefault="000C39D1" w:rsidP="000C39D1">
      <w:pPr>
        <w:pStyle w:val="libFootnote0"/>
        <w:rPr>
          <w:rtl/>
          <w:lang w:bidi="fa-IR"/>
        </w:rPr>
      </w:pPr>
      <w:r>
        <w:rPr>
          <w:rtl/>
        </w:rPr>
        <w:t>(17)</w:t>
      </w:r>
      <w:r w:rsidRPr="00132E65">
        <w:rPr>
          <w:rtl/>
        </w:rPr>
        <w:t xml:space="preserve"> في « بح ، بر ، بف » وخصائص الأئمّة : « فاسألوني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لِمَ فَعَلْتُهُ</w:t>
      </w:r>
      <w:r>
        <w:rPr>
          <w:rtl/>
          <w:lang w:bidi="fa-IR"/>
        </w:rPr>
        <w:t>؟</w:t>
      </w:r>
      <w:r w:rsidRPr="00132E65">
        <w:rPr>
          <w:rtl/>
          <w:lang w:bidi="fa-IR"/>
        </w:rPr>
        <w:t xml:space="preserve"> فَلَمَّا فَرَغْنَ مِنْ غُسْلِهَا و</w:t>
      </w:r>
      <w:r w:rsidR="00297412">
        <w:rPr>
          <w:rFonts w:hint="cs"/>
          <w:rtl/>
          <w:lang w:bidi="fa-IR"/>
        </w:rPr>
        <w:t xml:space="preserve">َ </w:t>
      </w:r>
      <w:r w:rsidRPr="00132E65">
        <w:rPr>
          <w:rtl/>
          <w:lang w:bidi="fa-IR"/>
        </w:rPr>
        <w:t xml:space="preserve">كَفْنِهَا </w:t>
      </w:r>
      <w:r>
        <w:rPr>
          <w:rStyle w:val="libFootnotenumChar"/>
          <w:rtl/>
        </w:rPr>
        <w:t>(1)</w:t>
      </w:r>
      <w:r w:rsidRPr="00132E65">
        <w:rPr>
          <w:rtl/>
          <w:lang w:bidi="fa-IR"/>
        </w:rPr>
        <w:t xml:space="preserve"> ، دَخَلَ </w:t>
      </w:r>
      <w:r>
        <w:rPr>
          <w:rStyle w:val="libFootnotenumChar"/>
          <w:rtl/>
        </w:rPr>
        <w:t>(2)</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فَحَمَلَ جَنَازَتَهَا عَلى عَاتِقِهِ </w:t>
      </w:r>
      <w:r>
        <w:rPr>
          <w:rStyle w:val="libFootnotenumChar"/>
          <w:rtl/>
        </w:rPr>
        <w:t>(3)</w:t>
      </w:r>
      <w:r w:rsidRPr="00132E65">
        <w:rPr>
          <w:rtl/>
          <w:lang w:bidi="fa-IR"/>
        </w:rPr>
        <w:t xml:space="preserve"> ، فَلَمْ يَزَلْ </w:t>
      </w:r>
      <w:r>
        <w:rPr>
          <w:rStyle w:val="libFootnotenumChar"/>
          <w:rtl/>
        </w:rPr>
        <w:t>(4)</w:t>
      </w:r>
      <w:r w:rsidRPr="00132E65">
        <w:rPr>
          <w:rtl/>
          <w:lang w:bidi="fa-IR"/>
        </w:rPr>
        <w:t xml:space="preserve"> تَحْتَ جَنَازَتِهَا </w:t>
      </w:r>
      <w:r>
        <w:rPr>
          <w:rStyle w:val="libFootnotenumChar"/>
          <w:rtl/>
        </w:rPr>
        <w:t>(5)</w:t>
      </w:r>
      <w:r w:rsidRPr="00132E65">
        <w:rPr>
          <w:rtl/>
          <w:lang w:bidi="fa-IR"/>
        </w:rPr>
        <w:t xml:space="preserve"> حَتّى أَوْرَدَهَا قَبْرَهَا ، ثُمَّ و</w:t>
      </w:r>
      <w:r w:rsidR="00297412">
        <w:rPr>
          <w:rFonts w:hint="cs"/>
          <w:rtl/>
          <w:lang w:bidi="fa-IR"/>
        </w:rPr>
        <w:t>َ</w:t>
      </w:r>
      <w:r w:rsidRPr="00132E65">
        <w:rPr>
          <w:rtl/>
          <w:lang w:bidi="fa-IR"/>
        </w:rPr>
        <w:t>ضَعَهَا ، و</w:t>
      </w:r>
      <w:r w:rsidR="00297412">
        <w:rPr>
          <w:rFonts w:hint="cs"/>
          <w:rtl/>
          <w:lang w:bidi="fa-IR"/>
        </w:rPr>
        <w:t>َ</w:t>
      </w:r>
      <w:r w:rsidRPr="00132E65">
        <w:rPr>
          <w:rtl/>
          <w:lang w:bidi="fa-IR"/>
        </w:rPr>
        <w:t xml:space="preserve">دَخَلَ الْقَبْرَ ، فَاضْطَجَعَ </w:t>
      </w:r>
      <w:r>
        <w:rPr>
          <w:rStyle w:val="libFootnotenumChar"/>
          <w:rtl/>
        </w:rPr>
        <w:t>(6)</w:t>
      </w:r>
      <w:r w:rsidRPr="00132E65">
        <w:rPr>
          <w:rtl/>
          <w:lang w:bidi="fa-IR"/>
        </w:rPr>
        <w:t xml:space="preserve"> فِيهِ ، ثُمَّ قَامَ فَأَخَذَهَا عَلى يَدَيْهِ حَتّى و</w:t>
      </w:r>
      <w:r w:rsidR="00297412">
        <w:rPr>
          <w:rFonts w:hint="cs"/>
          <w:rtl/>
          <w:lang w:bidi="fa-IR"/>
        </w:rPr>
        <w:t>َ</w:t>
      </w:r>
      <w:r w:rsidRPr="00132E65">
        <w:rPr>
          <w:rtl/>
          <w:lang w:bidi="fa-IR"/>
        </w:rPr>
        <w:t xml:space="preserve">ضَعَهَا فِي الْقَبْرِ ، ثُمَّ انْكَبَّ </w:t>
      </w:r>
      <w:r>
        <w:rPr>
          <w:rStyle w:val="libFootnotenumChar"/>
          <w:rtl/>
        </w:rPr>
        <w:t>(7)</w:t>
      </w:r>
      <w:r w:rsidRPr="00132E65">
        <w:rPr>
          <w:rtl/>
          <w:lang w:bidi="fa-IR"/>
        </w:rPr>
        <w:t xml:space="preserve"> عَلَيْهَا طَوِيلاً يُنَاجِيهَا ، وَيَقُولُ لَهَا : ابْنُكَ ، ابْنُكِ ، ابْنُكِ </w:t>
      </w:r>
      <w:r>
        <w:rPr>
          <w:rStyle w:val="libFootnotenumChar"/>
          <w:rtl/>
        </w:rPr>
        <w:t>(8)</w:t>
      </w:r>
      <w:r w:rsidRPr="00132E65">
        <w:rPr>
          <w:rtl/>
          <w:lang w:bidi="fa-IR"/>
        </w:rPr>
        <w:t xml:space="preserve"> ، ثُمَّ خَرَجَ ، و</w:t>
      </w:r>
      <w:r w:rsidR="00297412">
        <w:rPr>
          <w:rFonts w:hint="cs"/>
          <w:rtl/>
          <w:lang w:bidi="fa-IR"/>
        </w:rPr>
        <w:t xml:space="preserve">َ </w:t>
      </w:r>
      <w:r w:rsidRPr="00132E65">
        <w:rPr>
          <w:rtl/>
          <w:lang w:bidi="fa-IR"/>
        </w:rPr>
        <w:t xml:space="preserve">سَوّى </w:t>
      </w:r>
      <w:r>
        <w:rPr>
          <w:rStyle w:val="libFootnotenumChar"/>
          <w:rtl/>
        </w:rPr>
        <w:t>(9)</w:t>
      </w:r>
      <w:r w:rsidRPr="00132E65">
        <w:rPr>
          <w:rtl/>
          <w:lang w:bidi="fa-IR"/>
        </w:rPr>
        <w:t xml:space="preserve"> عَلَيْهَا </w:t>
      </w:r>
      <w:r>
        <w:rPr>
          <w:rStyle w:val="libFootnotenumChar"/>
          <w:rtl/>
        </w:rPr>
        <w:t>(10)</w:t>
      </w:r>
      <w:r w:rsidRPr="00132E65">
        <w:rPr>
          <w:rtl/>
          <w:lang w:bidi="fa-IR"/>
        </w:rPr>
        <w:t xml:space="preserve"> ، ثُمَّ انْكَبَّ </w:t>
      </w:r>
      <w:r>
        <w:rPr>
          <w:rStyle w:val="libFootnotenumChar"/>
          <w:rtl/>
        </w:rPr>
        <w:t>(11)</w:t>
      </w:r>
      <w:r w:rsidRPr="00132E65">
        <w:rPr>
          <w:rtl/>
          <w:lang w:bidi="fa-IR"/>
        </w:rPr>
        <w:t xml:space="preserve"> عَلى قَبْرِهَا ، فَسَمِعُوهُ يَقُولُ : لَا</w:t>
      </w:r>
      <w:r>
        <w:rPr>
          <w:rFonts w:hint="cs"/>
          <w:rtl/>
          <w:lang w:bidi="fa-IR"/>
        </w:rPr>
        <w:t xml:space="preserve"> </w:t>
      </w:r>
      <w:r w:rsidR="00297412">
        <w:rPr>
          <w:rtl/>
          <w:lang w:bidi="fa-IR"/>
        </w:rPr>
        <w:t>إِلهَ إِل</w:t>
      </w:r>
      <w:r w:rsidR="00297412">
        <w:rPr>
          <w:rFonts w:hint="cs"/>
          <w:rtl/>
          <w:lang w:bidi="fa-IR"/>
        </w:rPr>
        <w:t>َّ</w:t>
      </w:r>
      <w:r w:rsidR="00297412">
        <w:rPr>
          <w:rtl/>
          <w:lang w:bidi="fa-IR"/>
        </w:rPr>
        <w:t>ا</w:t>
      </w:r>
      <w:r w:rsidRPr="00132E65">
        <w:rPr>
          <w:rtl/>
          <w:lang w:bidi="fa-IR"/>
        </w:rPr>
        <w:t xml:space="preserve"> اللهُ ، اللهُمَّ إِنِّي أَسْتَوْدِعُكَ إيّاها </w:t>
      </w:r>
      <w:r>
        <w:rPr>
          <w:rStyle w:val="libFootnotenumChar"/>
          <w:rtl/>
        </w:rPr>
        <w:t>(12)</w:t>
      </w:r>
      <w:r w:rsidRPr="00132E65">
        <w:rPr>
          <w:rtl/>
          <w:lang w:bidi="fa-IR"/>
        </w:rPr>
        <w:t xml:space="preserve"> ، ثُمَّ انْصَرَفَ.</w:t>
      </w:r>
    </w:p>
    <w:p w:rsidR="000C39D1" w:rsidRPr="00132E65" w:rsidRDefault="000C39D1" w:rsidP="000C39D1">
      <w:pPr>
        <w:pStyle w:val="libNormal"/>
        <w:rPr>
          <w:rtl/>
          <w:lang w:bidi="fa-IR"/>
        </w:rPr>
      </w:pPr>
      <w:r w:rsidRPr="00132E65">
        <w:rPr>
          <w:rtl/>
          <w:lang w:bidi="fa-IR"/>
        </w:rPr>
        <w:t xml:space="preserve">فَقَالَ لَهُ الْمُسْلِمُونَ </w:t>
      </w:r>
      <w:r w:rsidRPr="00F543F1">
        <w:rPr>
          <w:rStyle w:val="libFootnotenumChar"/>
          <w:rtl/>
        </w:rPr>
        <w:t>(13)</w:t>
      </w:r>
      <w:r w:rsidRPr="00132E65">
        <w:rPr>
          <w:rtl/>
          <w:lang w:bidi="fa-IR"/>
        </w:rPr>
        <w:t xml:space="preserve"> : إِنَّا رَأَيْنَاكَ فَعَلْتَ أَشْيَاءَ لَمْ تَفْعَلْهَا قَبْلَ الْيَوْمِ</w:t>
      </w:r>
      <w:r>
        <w:rPr>
          <w:rtl/>
          <w:lang w:bidi="fa-IR"/>
        </w:rPr>
        <w:t>؟</w:t>
      </w:r>
      <w:r w:rsidRPr="00132E65">
        <w:rPr>
          <w:rtl/>
          <w:lang w:bidi="fa-IR"/>
        </w:rPr>
        <w:t xml:space="preserve"> فَقَالَ : الْيَوْمَ فَقَدْتُ بِرَّ </w:t>
      </w:r>
      <w:r w:rsidRPr="00F543F1">
        <w:rPr>
          <w:rStyle w:val="libFootnotenumChar"/>
          <w:rtl/>
        </w:rPr>
        <w:t>(14)</w:t>
      </w:r>
      <w:r w:rsidRPr="00132E65">
        <w:rPr>
          <w:rtl/>
          <w:lang w:bidi="fa-IR"/>
        </w:rPr>
        <w:t xml:space="preserve"> أَبِي طَالِبٍ ، إِنْ كَانَتْ </w:t>
      </w:r>
      <w:r w:rsidRPr="00F543F1">
        <w:rPr>
          <w:rStyle w:val="libFootnotenumChar"/>
          <w:rtl/>
        </w:rPr>
        <w:t>(15)</w:t>
      </w:r>
      <w:r w:rsidRPr="00132E65">
        <w:rPr>
          <w:rtl/>
          <w:lang w:bidi="fa-IR"/>
        </w:rPr>
        <w:t xml:space="preserve"> لَيَكُونُ </w:t>
      </w:r>
      <w:r w:rsidRPr="00F543F1">
        <w:rPr>
          <w:rStyle w:val="libFootnotenumChar"/>
          <w:rtl/>
        </w:rPr>
        <w:t>(16)</w:t>
      </w:r>
      <w:r w:rsidRPr="00132E65">
        <w:rPr>
          <w:rtl/>
          <w:lang w:bidi="fa-IR"/>
        </w:rPr>
        <w:t xml:space="preserve"> عِنْدَهَا الشَّيْ‌ءُ فَتُؤْثِرُنِي </w:t>
      </w:r>
      <w:r w:rsidRPr="00F543F1">
        <w:rPr>
          <w:rStyle w:val="libFootnotenumChar"/>
          <w:rtl/>
        </w:rPr>
        <w:t>(17)</w:t>
      </w:r>
      <w:r w:rsidRPr="00132E65">
        <w:rPr>
          <w:rtl/>
          <w:lang w:bidi="fa-IR"/>
        </w:rPr>
        <w:t xml:space="preserve"> بِهِ عَلى نَفْسِهَا وَ</w:t>
      </w:r>
      <w:r w:rsidR="00297412">
        <w:rPr>
          <w:rFonts w:hint="cs"/>
          <w:rtl/>
          <w:lang w:bidi="fa-IR"/>
        </w:rPr>
        <w:t xml:space="preserve"> </w:t>
      </w:r>
      <w:r w:rsidRPr="00132E65">
        <w:rPr>
          <w:rtl/>
          <w:lang w:bidi="fa-IR"/>
        </w:rPr>
        <w:t>و</w:t>
      </w:r>
      <w:r w:rsidR="00297412">
        <w:rPr>
          <w:rFonts w:hint="cs"/>
          <w:rtl/>
          <w:lang w:bidi="fa-IR"/>
        </w:rPr>
        <w:t>َ</w:t>
      </w:r>
      <w:r w:rsidRPr="00132E65">
        <w:rPr>
          <w:rtl/>
          <w:lang w:bidi="fa-IR"/>
        </w:rPr>
        <w:t xml:space="preserve">لَدِهَا </w:t>
      </w:r>
      <w:r w:rsidRPr="00F543F1">
        <w:rPr>
          <w:rStyle w:val="libFootnotenumChar"/>
          <w:rtl/>
        </w:rPr>
        <w:t>(18)</w:t>
      </w:r>
      <w:r w:rsidRPr="00132E65">
        <w:rPr>
          <w:rtl/>
          <w:lang w:bidi="fa-IR"/>
        </w:rPr>
        <w:t xml:space="preserve"> ، و</w:t>
      </w:r>
      <w:r w:rsidR="00297412">
        <w:rPr>
          <w:rFonts w:hint="cs"/>
          <w:rtl/>
          <w:lang w:bidi="fa-IR"/>
        </w:rPr>
        <w:t xml:space="preserve">َ </w:t>
      </w:r>
      <w:r w:rsidRPr="00132E65">
        <w:rPr>
          <w:rtl/>
          <w:lang w:bidi="fa-IR"/>
        </w:rPr>
        <w:t>إِنِّي ذَكَرْتُ الْقِيَامَةَ ، و</w:t>
      </w:r>
      <w:r w:rsidR="00297412">
        <w:rPr>
          <w:rFonts w:hint="cs"/>
          <w:rtl/>
          <w:lang w:bidi="fa-IR"/>
        </w:rPr>
        <w:t xml:space="preserve">َ </w:t>
      </w:r>
      <w:r w:rsidRPr="00132E65">
        <w:rPr>
          <w:rtl/>
          <w:lang w:bidi="fa-IR"/>
        </w:rPr>
        <w:t>أَنَّ النَّاسَ يُحْشَرُونَ عُرَاةً ، فَقَالَتْ : و</w:t>
      </w:r>
      <w:r w:rsidR="00297412">
        <w:rPr>
          <w:rFonts w:hint="cs"/>
          <w:rtl/>
          <w:lang w:bidi="fa-IR"/>
        </w:rPr>
        <w:t>َ</w:t>
      </w:r>
      <w:r w:rsidRPr="00132E65">
        <w:rPr>
          <w:rtl/>
          <w:lang w:bidi="fa-IR"/>
        </w:rPr>
        <w:t xml:space="preserve">ا سَوْأَتَاهْ ، فَضَمِنْتُ لَهَا أَنْ يَبْعَثَهَا اللهُ </w:t>
      </w:r>
      <w:r w:rsidRPr="00F543F1">
        <w:rPr>
          <w:rStyle w:val="libFootnotenumChar"/>
          <w:rtl/>
        </w:rPr>
        <w:t>(19)</w:t>
      </w:r>
      <w:r w:rsidRPr="00132E65">
        <w:rPr>
          <w:rtl/>
          <w:lang w:bidi="fa-IR"/>
        </w:rPr>
        <w:t xml:space="preserve"> كَاسِيَةً ، و</w:t>
      </w:r>
      <w:r w:rsidR="00297412">
        <w:rPr>
          <w:rFonts w:hint="cs"/>
          <w:rtl/>
          <w:lang w:bidi="fa-IR"/>
        </w:rPr>
        <w:t xml:space="preserve">َ </w:t>
      </w:r>
      <w:r w:rsidRPr="00132E65">
        <w:rPr>
          <w:rtl/>
          <w:lang w:bidi="fa-IR"/>
        </w:rPr>
        <w:t>ذَكَرْتُ ضَغْطَةَ الْقَبْرِ ، فَقَالَتْ : و</w:t>
      </w:r>
      <w:r w:rsidR="00297412">
        <w:rPr>
          <w:rFonts w:hint="cs"/>
          <w:rtl/>
          <w:lang w:bidi="fa-IR"/>
        </w:rPr>
        <w:t>َ</w:t>
      </w:r>
      <w:r w:rsidRPr="00132E65">
        <w:rPr>
          <w:rtl/>
          <w:lang w:bidi="fa-IR"/>
        </w:rPr>
        <w:t>ا ضَعْفَاهْ ، فَضَمِنْتُ‌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خصائص الأئمّة : « تغسيلها وتكفينها »</w:t>
      </w:r>
      <w:r>
        <w:rPr>
          <w:rtl/>
        </w:rPr>
        <w:t>.</w:t>
      </w:r>
    </w:p>
    <w:p w:rsidR="000C39D1" w:rsidRPr="00132E65" w:rsidRDefault="000C39D1" w:rsidP="000C39D1">
      <w:pPr>
        <w:pStyle w:val="libFootnote0"/>
        <w:rPr>
          <w:rtl/>
          <w:lang w:bidi="fa-IR"/>
        </w:rPr>
      </w:pPr>
      <w:r>
        <w:rPr>
          <w:rtl/>
        </w:rPr>
        <w:t>(2).</w:t>
      </w:r>
      <w:r w:rsidRPr="00132E65">
        <w:rPr>
          <w:rtl/>
        </w:rPr>
        <w:t xml:space="preserve"> في « ب ، ض » :</w:t>
      </w:r>
      <w:r>
        <w:rPr>
          <w:rtl/>
        </w:rPr>
        <w:t xml:space="preserve"> + </w:t>
      </w:r>
      <w:r w:rsidRPr="00132E65">
        <w:rPr>
          <w:rtl/>
        </w:rPr>
        <w:t>« رسول الله »</w:t>
      </w:r>
      <w:r>
        <w:rPr>
          <w:rtl/>
        </w:rPr>
        <w:t>.</w:t>
      </w:r>
    </w:p>
    <w:p w:rsidR="000C39D1" w:rsidRPr="00132E65" w:rsidRDefault="000C39D1" w:rsidP="000C39D1">
      <w:pPr>
        <w:pStyle w:val="libFootnote0"/>
        <w:rPr>
          <w:rtl/>
          <w:lang w:bidi="fa-IR"/>
        </w:rPr>
      </w:pPr>
      <w:r>
        <w:rPr>
          <w:rtl/>
        </w:rPr>
        <w:t>(3).</w:t>
      </w:r>
      <w:r w:rsidRPr="00132E65">
        <w:rPr>
          <w:rtl/>
        </w:rPr>
        <w:t xml:space="preserve"> </w:t>
      </w:r>
      <w:r w:rsidR="00297412">
        <w:rPr>
          <w:rtl/>
        </w:rPr>
        <w:t>« العاتِق » موضع الرداء من الم</w:t>
      </w:r>
      <w:r w:rsidR="00297412">
        <w:rPr>
          <w:rFonts w:hint="cs"/>
          <w:rtl/>
        </w:rPr>
        <w:t>ـَ</w:t>
      </w:r>
      <w:r w:rsidRPr="00132E65">
        <w:rPr>
          <w:rtl/>
        </w:rPr>
        <w:t xml:space="preserve">نْكِب ، يذكّر ويؤنّث. </w:t>
      </w:r>
      <w:r w:rsidRPr="00714A96">
        <w:rPr>
          <w:rtl/>
        </w:rPr>
        <w:t>الصحاح</w:t>
      </w:r>
      <w:r w:rsidRPr="00132E65">
        <w:rPr>
          <w:rtl/>
        </w:rPr>
        <w:t xml:space="preserve"> ، ج 4 ، ص 1521 ( عتق )</w:t>
      </w:r>
      <w:r>
        <w:rPr>
          <w:rtl/>
        </w:rPr>
        <w:t>.</w:t>
      </w:r>
    </w:p>
    <w:tbl>
      <w:tblPr>
        <w:tblStyle w:val="TableGrid"/>
        <w:bidiVisual/>
        <w:tblW w:w="0" w:type="auto"/>
        <w:tblLook w:val="04A0" w:firstRow="1" w:lastRow="0" w:firstColumn="1" w:lastColumn="0" w:noHBand="0" w:noVBand="1"/>
      </w:tblPr>
      <w:tblGrid>
        <w:gridCol w:w="4006"/>
        <w:gridCol w:w="4006"/>
      </w:tblGrid>
      <w:tr w:rsidR="00297412" w:rsidTr="00297412">
        <w:tc>
          <w:tcPr>
            <w:tcW w:w="4006" w:type="dxa"/>
          </w:tcPr>
          <w:p w:rsidR="00297412" w:rsidRDefault="00297412" w:rsidP="005A2369">
            <w:pPr>
              <w:pStyle w:val="libFootnote0"/>
              <w:rPr>
                <w:rtl/>
                <w:lang w:bidi="fa-IR"/>
              </w:rPr>
            </w:pPr>
            <w:r>
              <w:rPr>
                <w:rtl/>
              </w:rPr>
              <w:t>(4).</w:t>
            </w:r>
            <w:r w:rsidRPr="00132E65">
              <w:rPr>
                <w:rtl/>
              </w:rPr>
              <w:t>في حاشية«</w:t>
            </w:r>
            <w:r w:rsidR="005A2369">
              <w:rPr>
                <w:rtl/>
              </w:rPr>
              <w:t>بر</w:t>
            </w:r>
            <w:r w:rsidRPr="00132E65">
              <w:rPr>
                <w:rtl/>
              </w:rPr>
              <w:t>،بف»:«ولم يزل»</w:t>
            </w:r>
            <w:r>
              <w:rPr>
                <w:rtl/>
              </w:rPr>
              <w:t>.</w:t>
            </w:r>
          </w:p>
        </w:tc>
        <w:tc>
          <w:tcPr>
            <w:tcW w:w="4006" w:type="dxa"/>
          </w:tcPr>
          <w:p w:rsidR="00297412" w:rsidRDefault="00297412" w:rsidP="005A2369">
            <w:pPr>
              <w:pStyle w:val="libFootnote0"/>
              <w:rPr>
                <w:rtl/>
                <w:lang w:bidi="fa-IR"/>
              </w:rPr>
            </w:pPr>
            <w:r>
              <w:rPr>
                <w:rtl/>
              </w:rPr>
              <w:t>(5).</w:t>
            </w:r>
            <w:r w:rsidRPr="00132E65">
              <w:rPr>
                <w:rtl/>
              </w:rPr>
              <w:t>في خصائص الأئمّة</w:t>
            </w:r>
            <w:r>
              <w:rPr>
                <w:rtl/>
              </w:rPr>
              <w:t>:-</w:t>
            </w:r>
            <w:r w:rsidRPr="00132E65">
              <w:rPr>
                <w:rtl/>
              </w:rPr>
              <w:t>«على عاتقه</w:t>
            </w:r>
            <w:r>
              <w:rPr>
                <w:rtl/>
              </w:rPr>
              <w:t>-</w:t>
            </w:r>
            <w:r w:rsidRPr="00132E65">
              <w:rPr>
                <w:rtl/>
              </w:rPr>
              <w:t>إلى</w:t>
            </w:r>
            <w:r>
              <w:rPr>
                <w:rtl/>
              </w:rPr>
              <w:t>-</w:t>
            </w:r>
            <w:r w:rsidRPr="00132E65">
              <w:rPr>
                <w:rtl/>
              </w:rPr>
              <w:t>جنازتها»</w:t>
            </w:r>
            <w:r>
              <w:rPr>
                <w:rtl/>
              </w:rPr>
              <w:t>.</w:t>
            </w:r>
          </w:p>
        </w:tc>
      </w:tr>
    </w:tbl>
    <w:p w:rsidR="000C39D1" w:rsidRPr="00132E65" w:rsidRDefault="000C39D1" w:rsidP="006B6357">
      <w:pPr>
        <w:pStyle w:val="libFootnote0"/>
        <w:rPr>
          <w:rtl/>
          <w:lang w:bidi="fa-IR"/>
        </w:rPr>
      </w:pPr>
      <w:r>
        <w:rPr>
          <w:rtl/>
        </w:rPr>
        <w:t>(6).</w:t>
      </w:r>
      <w:r w:rsidRPr="00132E65">
        <w:rPr>
          <w:rtl/>
        </w:rPr>
        <w:t xml:space="preserve"> في « بر » : « واضطجع »</w:t>
      </w:r>
      <w:r>
        <w:rPr>
          <w:rtl/>
        </w:rPr>
        <w:t>.</w:t>
      </w:r>
      <w:r w:rsidRPr="00132E65">
        <w:rPr>
          <w:rtl/>
        </w:rPr>
        <w:t xml:space="preserve"> وضجع الرجل واضطجع ، أي وضع جنبه بالأرض. </w:t>
      </w:r>
      <w:r w:rsidRPr="00714A96">
        <w:rPr>
          <w:rtl/>
        </w:rPr>
        <w:t>الصحاح</w:t>
      </w:r>
      <w:r w:rsidRPr="00132E65">
        <w:rPr>
          <w:rtl/>
        </w:rPr>
        <w:t xml:space="preserve"> ، ج 3 ، ص 1248 ( ضجع )</w:t>
      </w:r>
      <w:r>
        <w:rPr>
          <w:rtl/>
        </w:rPr>
        <w:t>.</w:t>
      </w:r>
      <w:r w:rsidR="006B6357">
        <w:rPr>
          <w:rFonts w:hint="cs"/>
          <w:rtl/>
        </w:rPr>
        <w:t xml:space="preserve">                               </w:t>
      </w:r>
      <w:r w:rsidR="003915A6">
        <w:rPr>
          <w:rFonts w:hint="cs"/>
          <w:rtl/>
        </w:rPr>
        <w:t xml:space="preserve"> </w:t>
      </w:r>
      <w:r w:rsidR="006B6357">
        <w:rPr>
          <w:rFonts w:hint="cs"/>
          <w:rtl/>
        </w:rPr>
        <w:t xml:space="preserve">    </w:t>
      </w:r>
      <w:r w:rsidR="003915A6">
        <w:rPr>
          <w:rFonts w:hint="cs"/>
          <w:rtl/>
        </w:rPr>
        <w:t xml:space="preserve"> </w:t>
      </w:r>
      <w:r w:rsidR="006B6357">
        <w:rPr>
          <w:rFonts w:hint="cs"/>
          <w:rtl/>
        </w:rPr>
        <w:t xml:space="preserve">             </w:t>
      </w:r>
      <w:r>
        <w:rPr>
          <w:rtl/>
        </w:rPr>
        <w:t>(7).</w:t>
      </w:r>
      <w:r w:rsidRPr="00132E65">
        <w:rPr>
          <w:rtl/>
        </w:rPr>
        <w:t xml:space="preserve"> في « بف » : « أكبّ »</w:t>
      </w:r>
      <w:r>
        <w:rPr>
          <w:rtl/>
        </w:rPr>
        <w:t>.</w:t>
      </w:r>
    </w:p>
    <w:p w:rsidR="000C39D1" w:rsidRPr="00132E65" w:rsidRDefault="000C39D1" w:rsidP="006B6357">
      <w:pPr>
        <w:pStyle w:val="libFootnote0"/>
        <w:rPr>
          <w:rtl/>
          <w:lang w:bidi="fa-IR"/>
        </w:rPr>
      </w:pPr>
      <w:r>
        <w:rPr>
          <w:rtl/>
        </w:rPr>
        <w:t>(8).</w:t>
      </w:r>
      <w:r w:rsidRPr="00132E65">
        <w:rPr>
          <w:rtl/>
        </w:rPr>
        <w:t xml:space="preserve"> في « ج ، ض ، ف ، بح ، بس » و</w:t>
      </w:r>
      <w:r w:rsidRPr="009D1ACE">
        <w:rPr>
          <w:rStyle w:val="libFootnoteBoldChar"/>
          <w:rtl/>
        </w:rPr>
        <w:t>مرآة العقول</w:t>
      </w:r>
      <w:r w:rsidRPr="00132E65">
        <w:rPr>
          <w:rtl/>
        </w:rPr>
        <w:t xml:space="preserve"> وخصائص الأئمّة </w:t>
      </w:r>
      <w:r>
        <w:rPr>
          <w:rtl/>
        </w:rPr>
        <w:t xml:space="preserve">: - </w:t>
      </w:r>
      <w:r w:rsidRPr="00132E65">
        <w:rPr>
          <w:rtl/>
        </w:rPr>
        <w:t>« ابنك » الثالث. وضُبط « ابن » في « بر » هناوفيما يأتي بالنصب.</w:t>
      </w:r>
      <w:r w:rsidR="006B6357">
        <w:rPr>
          <w:rFonts w:hint="cs"/>
          <w:rtl/>
        </w:rPr>
        <w:t xml:space="preserve">                 </w:t>
      </w:r>
      <w:r w:rsidR="003915A6">
        <w:rPr>
          <w:rFonts w:hint="cs"/>
          <w:rtl/>
        </w:rPr>
        <w:t xml:space="preserve">       </w:t>
      </w:r>
      <w:r w:rsidR="006B6357">
        <w:rPr>
          <w:rFonts w:hint="cs"/>
          <w:rtl/>
        </w:rPr>
        <w:t xml:space="preserve">  </w:t>
      </w:r>
      <w:r w:rsidR="003915A6">
        <w:rPr>
          <w:rFonts w:hint="cs"/>
          <w:rtl/>
        </w:rPr>
        <w:t xml:space="preserve"> </w:t>
      </w:r>
      <w:r w:rsidR="006B6357">
        <w:rPr>
          <w:rFonts w:hint="cs"/>
          <w:rtl/>
        </w:rPr>
        <w:t xml:space="preserve">          </w:t>
      </w:r>
      <w:r>
        <w:rPr>
          <w:rtl/>
        </w:rPr>
        <w:t>(9).</w:t>
      </w:r>
      <w:r w:rsidRPr="00132E65">
        <w:rPr>
          <w:rtl/>
        </w:rPr>
        <w:t xml:space="preserve"> في « ج » : « سُوّي » على بناء المجهول.</w:t>
      </w:r>
    </w:p>
    <w:tbl>
      <w:tblPr>
        <w:tblStyle w:val="TableGrid"/>
        <w:bidiVisual/>
        <w:tblW w:w="0" w:type="auto"/>
        <w:tblLook w:val="04A0" w:firstRow="1" w:lastRow="0" w:firstColumn="1" w:lastColumn="0" w:noHBand="0" w:noVBand="1"/>
      </w:tblPr>
      <w:tblGrid>
        <w:gridCol w:w="4006"/>
        <w:gridCol w:w="4006"/>
      </w:tblGrid>
      <w:tr w:rsidR="006B6357" w:rsidTr="006B6357">
        <w:tc>
          <w:tcPr>
            <w:tcW w:w="4006" w:type="dxa"/>
          </w:tcPr>
          <w:p w:rsidR="006B6357" w:rsidRDefault="006B6357" w:rsidP="000C39D1">
            <w:pPr>
              <w:pStyle w:val="libFootnote0"/>
              <w:rPr>
                <w:rtl/>
              </w:rPr>
            </w:pPr>
            <w:r>
              <w:rPr>
                <w:rtl/>
              </w:rPr>
              <w:t>(10).</w:t>
            </w:r>
            <w:r w:rsidRPr="00132E65">
              <w:rPr>
                <w:rtl/>
              </w:rPr>
              <w:t xml:space="preserve"> في خصائص الأئمّة :</w:t>
            </w:r>
            <w:r>
              <w:rPr>
                <w:rtl/>
              </w:rPr>
              <w:t xml:space="preserve"> + </w:t>
            </w:r>
            <w:r w:rsidRPr="00132E65">
              <w:rPr>
                <w:rtl/>
              </w:rPr>
              <w:t>« التراب »</w:t>
            </w:r>
            <w:r>
              <w:rPr>
                <w:rtl/>
              </w:rPr>
              <w:t>.</w:t>
            </w:r>
          </w:p>
        </w:tc>
        <w:tc>
          <w:tcPr>
            <w:tcW w:w="4006" w:type="dxa"/>
          </w:tcPr>
          <w:p w:rsidR="006B6357" w:rsidRDefault="006B6357" w:rsidP="000C39D1">
            <w:pPr>
              <w:pStyle w:val="libFootnote0"/>
              <w:rPr>
                <w:rtl/>
              </w:rPr>
            </w:pPr>
            <w:r>
              <w:rPr>
                <w:rtl/>
              </w:rPr>
              <w:t>(11).</w:t>
            </w:r>
            <w:r w:rsidRPr="00132E65">
              <w:rPr>
                <w:rtl/>
              </w:rPr>
              <w:t xml:space="preserve"> في « بف » : « أكبّ »</w:t>
            </w:r>
            <w:r>
              <w:rPr>
                <w:rtl/>
              </w:rPr>
              <w:t>.</w:t>
            </w:r>
          </w:p>
        </w:tc>
      </w:tr>
    </w:tbl>
    <w:p w:rsidR="000C39D1" w:rsidRPr="00132E65" w:rsidRDefault="000C39D1" w:rsidP="000C39D1">
      <w:pPr>
        <w:pStyle w:val="libFootnote0"/>
        <w:rPr>
          <w:rtl/>
          <w:lang w:bidi="fa-IR"/>
        </w:rPr>
      </w:pPr>
      <w:r>
        <w:rPr>
          <w:rtl/>
        </w:rPr>
        <w:t>(12).</w:t>
      </w:r>
      <w:r w:rsidRPr="00132E65">
        <w:rPr>
          <w:rtl/>
        </w:rPr>
        <w:t xml:space="preserve"> هكذا في « ج ، ف ، بح ، بر ، بف » و</w:t>
      </w:r>
      <w:r w:rsidRPr="009D1ACE">
        <w:rPr>
          <w:rStyle w:val="libFootnoteBoldChar"/>
          <w:rtl/>
        </w:rPr>
        <w:t>الوافي</w:t>
      </w:r>
      <w:r w:rsidRPr="00132E65">
        <w:rPr>
          <w:rtl/>
        </w:rPr>
        <w:t>. وهذا الاستعمال</w:t>
      </w:r>
      <w:r>
        <w:rPr>
          <w:rtl/>
        </w:rPr>
        <w:t xml:space="preserve"> - </w:t>
      </w:r>
      <w:r w:rsidRPr="00132E65">
        <w:rPr>
          <w:rtl/>
        </w:rPr>
        <w:t>أي جعل ما هو الوديعة مفعولاً ثانياً</w:t>
      </w:r>
      <w:r>
        <w:rPr>
          <w:rtl/>
        </w:rPr>
        <w:t xml:space="preserve"> - </w:t>
      </w:r>
      <w:r w:rsidRPr="00132E65">
        <w:rPr>
          <w:rtl/>
        </w:rPr>
        <w:t>هو الأصل. وفي المطبوع وبعض النسخ : « أستودعها إيّاك »</w:t>
      </w:r>
      <w:r>
        <w:rPr>
          <w:rtl/>
        </w:rPr>
        <w:t>.</w:t>
      </w:r>
    </w:p>
    <w:p w:rsidR="000C39D1" w:rsidRPr="00132E65" w:rsidRDefault="000C39D1" w:rsidP="000C39D1">
      <w:pPr>
        <w:pStyle w:val="libFootnote0"/>
        <w:rPr>
          <w:rtl/>
          <w:lang w:bidi="fa-IR"/>
        </w:rPr>
      </w:pPr>
      <w:r>
        <w:rPr>
          <w:rtl/>
        </w:rPr>
        <w:t>(13)</w:t>
      </w:r>
      <w:r w:rsidRPr="00132E65">
        <w:rPr>
          <w:rtl/>
        </w:rPr>
        <w:t xml:space="preserve"> في خصائص الأئمّة : « فقال المسلمون : يا رسول الله »</w:t>
      </w:r>
      <w:r>
        <w:rPr>
          <w:rtl/>
        </w:rPr>
        <w:t>.</w:t>
      </w:r>
    </w:p>
    <w:p w:rsidR="000C39D1" w:rsidRPr="00132E65" w:rsidRDefault="000C39D1" w:rsidP="000C39D1">
      <w:pPr>
        <w:pStyle w:val="libFootnote0"/>
        <w:rPr>
          <w:rtl/>
          <w:lang w:bidi="fa-IR"/>
        </w:rPr>
      </w:pPr>
      <w:r>
        <w:rPr>
          <w:rtl/>
        </w:rPr>
        <w:t>(14)</w:t>
      </w:r>
      <w:r w:rsidRPr="00132E65">
        <w:rPr>
          <w:rtl/>
        </w:rPr>
        <w:t xml:space="preserve"> في </w:t>
      </w:r>
      <w:r w:rsidRPr="009D1ACE">
        <w:rPr>
          <w:rStyle w:val="libFootnoteBoldChar"/>
          <w:rtl/>
        </w:rPr>
        <w:t>الوافي</w:t>
      </w:r>
      <w:r w:rsidRPr="00132E65">
        <w:rPr>
          <w:rtl/>
        </w:rPr>
        <w:t xml:space="preserve"> : « ا</w:t>
      </w:r>
      <w:r w:rsidR="00EA6AC5">
        <w:rPr>
          <w:rFonts w:hint="cs"/>
          <w:rtl/>
        </w:rPr>
        <w:t>ُ</w:t>
      </w:r>
      <w:r w:rsidRPr="00132E65">
        <w:rPr>
          <w:rtl/>
        </w:rPr>
        <w:t>مّ ابن » بدل « برّ »</w:t>
      </w:r>
      <w:r>
        <w:rPr>
          <w:rtl/>
        </w:rPr>
        <w:t>.</w:t>
      </w:r>
      <w:r w:rsidRPr="00132E65">
        <w:rPr>
          <w:rtl/>
        </w:rPr>
        <w:t xml:space="preserve"> وفي خصائص الأئمّة </w:t>
      </w:r>
      <w:r>
        <w:rPr>
          <w:rtl/>
        </w:rPr>
        <w:t xml:space="preserve">: - </w:t>
      </w:r>
      <w:r w:rsidRPr="00132E65">
        <w:rPr>
          <w:rtl/>
        </w:rPr>
        <w:t>« برّ »</w:t>
      </w:r>
      <w:r>
        <w:rPr>
          <w:rtl/>
        </w:rPr>
        <w:t>.</w:t>
      </w:r>
      <w:r w:rsidRPr="00132E65">
        <w:rPr>
          <w:rtl/>
        </w:rPr>
        <w:t xml:space="preserve"> وفي </w:t>
      </w:r>
      <w:r w:rsidRPr="00714A96">
        <w:rPr>
          <w:rtl/>
        </w:rPr>
        <w:t>شرح المازندراني</w:t>
      </w:r>
      <w:r w:rsidRPr="00132E65">
        <w:rPr>
          <w:rtl/>
        </w:rPr>
        <w:t xml:space="preserve"> : « البِرُّ بالكسر : الإحسان</w:t>
      </w:r>
      <w:r w:rsidR="007820F9">
        <w:rPr>
          <w:rFonts w:hint="cs"/>
          <w:rtl/>
        </w:rPr>
        <w:t xml:space="preserve"> </w:t>
      </w:r>
      <w:r w:rsidRPr="00132E65">
        <w:rPr>
          <w:rtl/>
        </w:rPr>
        <w:t>‌والخير واللطف ، وبالفتح : العطوف والشفيق. والظاهر أنّ « إن » في « إن كانت » مخفّفة من المشدّدة المكسورة »</w:t>
      </w:r>
      <w:r>
        <w:rPr>
          <w:rtl/>
        </w:rPr>
        <w:t>.</w:t>
      </w:r>
    </w:p>
    <w:tbl>
      <w:tblPr>
        <w:tblStyle w:val="TableGrid"/>
        <w:bidiVisual/>
        <w:tblW w:w="0" w:type="auto"/>
        <w:tblLook w:val="04A0" w:firstRow="1" w:lastRow="0" w:firstColumn="1" w:lastColumn="0" w:noHBand="0" w:noVBand="1"/>
      </w:tblPr>
      <w:tblGrid>
        <w:gridCol w:w="4006"/>
        <w:gridCol w:w="4006"/>
      </w:tblGrid>
      <w:tr w:rsidR="007820F9" w:rsidTr="007820F9">
        <w:tc>
          <w:tcPr>
            <w:tcW w:w="4006" w:type="dxa"/>
          </w:tcPr>
          <w:p w:rsidR="007820F9" w:rsidRDefault="007820F9" w:rsidP="000C39D1">
            <w:pPr>
              <w:pStyle w:val="libFootnote0"/>
              <w:rPr>
                <w:rtl/>
              </w:rPr>
            </w:pPr>
            <w:r>
              <w:rPr>
                <w:rtl/>
              </w:rPr>
              <w:t>(15)</w:t>
            </w:r>
            <w:r w:rsidRPr="00132E65">
              <w:rPr>
                <w:rtl/>
              </w:rPr>
              <w:t xml:space="preserve"> في « بف » : « كان »</w:t>
            </w:r>
            <w:r>
              <w:rPr>
                <w:rtl/>
              </w:rPr>
              <w:t>.</w:t>
            </w:r>
          </w:p>
        </w:tc>
        <w:tc>
          <w:tcPr>
            <w:tcW w:w="4006" w:type="dxa"/>
          </w:tcPr>
          <w:p w:rsidR="007820F9" w:rsidRDefault="007820F9" w:rsidP="000C39D1">
            <w:pPr>
              <w:pStyle w:val="libFootnote0"/>
              <w:rPr>
                <w:rtl/>
              </w:rPr>
            </w:pPr>
            <w:r>
              <w:rPr>
                <w:rtl/>
              </w:rPr>
              <w:t>(16)</w:t>
            </w:r>
            <w:r w:rsidRPr="00132E65">
              <w:rPr>
                <w:rtl/>
              </w:rPr>
              <w:t xml:space="preserve"> في « بف » : « يكون » بدون اللام.</w:t>
            </w:r>
          </w:p>
        </w:tc>
      </w:tr>
    </w:tbl>
    <w:p w:rsidR="000C39D1" w:rsidRPr="00132E65" w:rsidRDefault="000C39D1" w:rsidP="000C39D1">
      <w:pPr>
        <w:pStyle w:val="libFootnote0"/>
        <w:rPr>
          <w:rtl/>
          <w:lang w:bidi="fa-IR"/>
        </w:rPr>
      </w:pPr>
      <w:r>
        <w:rPr>
          <w:rtl/>
        </w:rPr>
        <w:t>(17)</w:t>
      </w:r>
      <w:r w:rsidRPr="00132E65">
        <w:rPr>
          <w:rtl/>
        </w:rPr>
        <w:t xml:space="preserve"> « فَتُؤْثِرُني » ، أي تفضّلني. يقال : آثرتك عليه إيثاراً ، أي فضّلتك عليه. راجع : </w:t>
      </w:r>
      <w:r w:rsidRPr="009D1ACE">
        <w:rPr>
          <w:rStyle w:val="libFootnoteBoldChar"/>
          <w:rtl/>
        </w:rPr>
        <w:t>لسان العرب</w:t>
      </w:r>
      <w:r w:rsidRPr="00714A96">
        <w:rPr>
          <w:rtl/>
        </w:rPr>
        <w:t xml:space="preserve"> </w:t>
      </w:r>
      <w:r w:rsidR="003915A6">
        <w:rPr>
          <w:rtl/>
        </w:rPr>
        <w:t>، ج 4 ، ص 7 ( أثر</w:t>
      </w:r>
      <w:r w:rsidRPr="00132E65">
        <w:rPr>
          <w:rtl/>
        </w:rPr>
        <w:t>)</w:t>
      </w:r>
      <w:r>
        <w:rPr>
          <w:rtl/>
        </w:rPr>
        <w:t>.</w:t>
      </w:r>
    </w:p>
    <w:tbl>
      <w:tblPr>
        <w:tblStyle w:val="TableGrid"/>
        <w:bidiVisual/>
        <w:tblW w:w="0" w:type="auto"/>
        <w:tblLook w:val="04A0" w:firstRow="1" w:lastRow="0" w:firstColumn="1" w:lastColumn="0" w:noHBand="0" w:noVBand="1"/>
      </w:tblPr>
      <w:tblGrid>
        <w:gridCol w:w="4006"/>
        <w:gridCol w:w="4006"/>
      </w:tblGrid>
      <w:tr w:rsidR="007635D3" w:rsidTr="007635D3">
        <w:tc>
          <w:tcPr>
            <w:tcW w:w="4006" w:type="dxa"/>
          </w:tcPr>
          <w:p w:rsidR="007635D3" w:rsidRDefault="007635D3" w:rsidP="000C39D1">
            <w:pPr>
              <w:pStyle w:val="libFootnote0"/>
              <w:rPr>
                <w:rtl/>
                <w:lang w:bidi="fa-IR"/>
              </w:rPr>
            </w:pPr>
            <w:r>
              <w:rPr>
                <w:rtl/>
              </w:rPr>
              <w:t>(18)</w:t>
            </w:r>
            <w:r w:rsidRPr="00132E65">
              <w:rPr>
                <w:rtl/>
              </w:rPr>
              <w:t xml:space="preserve"> يجوز فيه ضمّ الواو وسكون اللام أيضاً.</w:t>
            </w:r>
          </w:p>
        </w:tc>
        <w:tc>
          <w:tcPr>
            <w:tcW w:w="4006" w:type="dxa"/>
          </w:tcPr>
          <w:p w:rsidR="007635D3" w:rsidRDefault="007635D3" w:rsidP="000C39D1">
            <w:pPr>
              <w:pStyle w:val="libFootnote0"/>
              <w:rPr>
                <w:rtl/>
                <w:lang w:bidi="fa-IR"/>
              </w:rPr>
            </w:pPr>
            <w:r>
              <w:rPr>
                <w:rtl/>
              </w:rPr>
              <w:t>(19)</w:t>
            </w:r>
            <w:r w:rsidRPr="00132E65">
              <w:rPr>
                <w:rtl/>
              </w:rPr>
              <w:t xml:space="preserve"> في « بس » : « الله يبعثها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لَهَا أَنْ يَكْفِيَهَا اللهُ ذلِكَ ، فَكَفَّنْتُهَا بِقَمِيصِي ، و</w:t>
      </w:r>
      <w:r w:rsidR="000C030B">
        <w:rPr>
          <w:rFonts w:hint="cs"/>
          <w:rtl/>
          <w:lang w:bidi="fa-IR"/>
        </w:rPr>
        <w:t>َ</w:t>
      </w:r>
      <w:r w:rsidRPr="00132E65">
        <w:rPr>
          <w:rtl/>
          <w:lang w:bidi="fa-IR"/>
        </w:rPr>
        <w:t xml:space="preserve">اضْطَجَعْتُ </w:t>
      </w:r>
      <w:r>
        <w:rPr>
          <w:rStyle w:val="libFootnotenumChar"/>
          <w:rtl/>
        </w:rPr>
        <w:t>(1)</w:t>
      </w:r>
      <w:r w:rsidRPr="00132E65">
        <w:rPr>
          <w:rtl/>
          <w:lang w:bidi="fa-IR"/>
        </w:rPr>
        <w:t xml:space="preserve"> فِي قَبْرِهَا لِذلِكَ ، و</w:t>
      </w:r>
      <w:r w:rsidR="000C030B">
        <w:rPr>
          <w:rFonts w:hint="cs"/>
          <w:rtl/>
          <w:lang w:bidi="fa-IR"/>
        </w:rPr>
        <w:t xml:space="preserve">َ </w:t>
      </w:r>
      <w:r w:rsidRPr="00132E65">
        <w:rPr>
          <w:rtl/>
          <w:lang w:bidi="fa-IR"/>
        </w:rPr>
        <w:t>انْكَبَبْتُ عَلَيْهَا ، فَلَقَّنْتُهَا مَا تُسْأَلُ عَنْهُ ؛ فَإِنَّهَا سُئِلَتْ عَنْ رَبِّهَا ، فَقَالَتْ ؛ و</w:t>
      </w:r>
      <w:r w:rsidR="000C030B">
        <w:rPr>
          <w:rFonts w:hint="cs"/>
          <w:rtl/>
          <w:lang w:bidi="fa-IR"/>
        </w:rPr>
        <w:t xml:space="preserve">َ </w:t>
      </w:r>
      <w:r w:rsidRPr="00132E65">
        <w:rPr>
          <w:rtl/>
          <w:lang w:bidi="fa-IR"/>
        </w:rPr>
        <w:t>سُئِلَتْ عَنْ رَسُولِهَا ، فَأَجَابَتْ ؛ و</w:t>
      </w:r>
      <w:r w:rsidR="000C030B">
        <w:rPr>
          <w:rFonts w:hint="cs"/>
          <w:rtl/>
          <w:lang w:bidi="fa-IR"/>
        </w:rPr>
        <w:t xml:space="preserve">َ </w:t>
      </w:r>
      <w:r w:rsidRPr="00132E65">
        <w:rPr>
          <w:rtl/>
          <w:lang w:bidi="fa-IR"/>
        </w:rPr>
        <w:t>سُئِلَتْ عَنْ و</w:t>
      </w:r>
      <w:r w:rsidR="000C030B">
        <w:rPr>
          <w:rFonts w:hint="cs"/>
          <w:rtl/>
          <w:lang w:bidi="fa-IR"/>
        </w:rPr>
        <w:t>َ</w:t>
      </w:r>
      <w:r w:rsidRPr="00132E65">
        <w:rPr>
          <w:rtl/>
          <w:lang w:bidi="fa-IR"/>
        </w:rPr>
        <w:t>لِيِّهَا و</w:t>
      </w:r>
      <w:r w:rsidR="000C030B">
        <w:rPr>
          <w:rFonts w:hint="cs"/>
          <w:rtl/>
          <w:lang w:bidi="fa-IR"/>
        </w:rPr>
        <w:t xml:space="preserve">َ </w:t>
      </w:r>
      <w:r w:rsidRPr="00132E65">
        <w:rPr>
          <w:rtl/>
          <w:lang w:bidi="fa-IR"/>
        </w:rPr>
        <w:t xml:space="preserve">إِمَامِهَا ، فَأُرْتِجَ </w:t>
      </w:r>
      <w:r>
        <w:rPr>
          <w:rStyle w:val="libFootnotenumChar"/>
          <w:rtl/>
        </w:rPr>
        <w:t>(2)</w:t>
      </w:r>
      <w:r w:rsidRPr="00132E65">
        <w:rPr>
          <w:rtl/>
          <w:lang w:bidi="fa-IR"/>
        </w:rPr>
        <w:t xml:space="preserve"> عَلَيْهَا ، فَقُلْتُ </w:t>
      </w:r>
      <w:r>
        <w:rPr>
          <w:rStyle w:val="libFootnotenumChar"/>
          <w:rtl/>
        </w:rPr>
        <w:t>(3)</w:t>
      </w:r>
      <w:r w:rsidRPr="00132E65">
        <w:rPr>
          <w:rtl/>
          <w:lang w:bidi="fa-IR"/>
        </w:rPr>
        <w:t xml:space="preserve"> : ابْنُكِ ، ابْنُكِ ، ابْنُكِ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714A96">
        <w:rPr>
          <w:rtl/>
        </w:rPr>
        <w:t>1235</w:t>
      </w:r>
      <w:r w:rsidRPr="004325D8">
        <w:rPr>
          <w:rStyle w:val="libBold2Char"/>
          <w:rtl/>
        </w:rPr>
        <w:t xml:space="preserve"> / 3.</w:t>
      </w:r>
      <w:r w:rsidRPr="00132E65">
        <w:rPr>
          <w:rtl/>
          <w:lang w:bidi="fa-IR"/>
        </w:rPr>
        <w:t xml:space="preserve"> بَعْضُ أَصْحَابِنَا ، عَمَّنْ ذَكَرَهُ ، عَنِ ابْنِ مَحْبُوبٍ ، عَنْ عُمَرَ بْنِ أَبَانٍ الْكَلْبِيِّ ، عَنِ الْمُفَضَّلِ بْنِ عُمَرَ ، قَالَ :</w:t>
      </w:r>
    </w:p>
    <w:p w:rsidR="000C39D1" w:rsidRPr="00132E65" w:rsidRDefault="000C39D1" w:rsidP="006D79AA">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لَمَّا و</w:t>
      </w:r>
      <w:r w:rsidR="006D79AA">
        <w:rPr>
          <w:rFonts w:hint="cs"/>
          <w:rtl/>
          <w:lang w:bidi="fa-IR"/>
        </w:rPr>
        <w:t>ُ</w:t>
      </w:r>
      <w:r w:rsidRPr="00132E65">
        <w:rPr>
          <w:rtl/>
          <w:lang w:bidi="fa-IR"/>
        </w:rPr>
        <w:t xml:space="preserve">لِدَ </w:t>
      </w:r>
      <w:r>
        <w:rPr>
          <w:rStyle w:val="libFootnotenumChar"/>
          <w:rtl/>
        </w:rPr>
        <w:t>(6)</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 فُتِحَ لِآمِنَةَ بَيَاضُ فَارِسَ </w:t>
      </w:r>
      <w:r>
        <w:rPr>
          <w:rStyle w:val="libFootnotenumChar"/>
          <w:rtl/>
        </w:rPr>
        <w:t>(7)</w:t>
      </w:r>
      <w:r w:rsidRPr="00132E65">
        <w:rPr>
          <w:rtl/>
          <w:lang w:bidi="fa-IR"/>
        </w:rPr>
        <w:t xml:space="preserve"> ، وَقُصُورُ الشَّامِ ، فَجَاءَتْ فَاطِمَةُ</w:t>
      </w:r>
      <w:r>
        <w:rPr>
          <w:rtl/>
          <w:lang w:bidi="fa-IR"/>
        </w:rPr>
        <w:t xml:space="preserve"> - </w:t>
      </w:r>
      <w:r w:rsidRPr="00132E65">
        <w:rPr>
          <w:rtl/>
          <w:lang w:bidi="fa-IR"/>
        </w:rPr>
        <w:t>بِنْتُ أَسَدٍ أُمُّ أَمِيرِ الْمُؤْمِنِينَ</w:t>
      </w:r>
      <w:r>
        <w:rPr>
          <w:rtl/>
          <w:lang w:bidi="fa-IR"/>
        </w:rPr>
        <w:t xml:space="preserve"> - </w:t>
      </w:r>
      <w:r w:rsidRPr="00132E65">
        <w:rPr>
          <w:rtl/>
          <w:lang w:bidi="fa-IR"/>
        </w:rPr>
        <w:t xml:space="preserve">إِلى أَبِي طَالِبٍ ضَاحِكَةً مُسْتَبْشِرَةً ، فَأَعْلَمَتْهُ مَا قَالَتْ آمِنَةُ ، فَقَالَ </w:t>
      </w:r>
      <w:r>
        <w:rPr>
          <w:rStyle w:val="libFootnotenumChar"/>
          <w:rtl/>
        </w:rPr>
        <w:t>(8)</w:t>
      </w:r>
      <w:r w:rsidRPr="00132E65">
        <w:rPr>
          <w:rtl/>
          <w:lang w:bidi="fa-IR"/>
        </w:rPr>
        <w:t xml:space="preserve"> لَهَا أَبُو طَالِبٍ : و</w:t>
      </w:r>
      <w:r w:rsidR="006D79AA">
        <w:rPr>
          <w:rFonts w:hint="cs"/>
          <w:rtl/>
          <w:lang w:bidi="fa-IR"/>
        </w:rPr>
        <w:t xml:space="preserve">َ </w:t>
      </w:r>
      <w:r w:rsidRPr="00132E65">
        <w:rPr>
          <w:rtl/>
          <w:lang w:bidi="fa-IR"/>
        </w:rPr>
        <w:t xml:space="preserve">تَتَعَجَّبِينَ </w:t>
      </w:r>
      <w:r>
        <w:rPr>
          <w:rStyle w:val="libFootnotenumChar"/>
          <w:rtl/>
        </w:rPr>
        <w:t>(9)</w:t>
      </w:r>
      <w:r w:rsidRPr="00132E65">
        <w:rPr>
          <w:rtl/>
          <w:lang w:bidi="fa-IR"/>
        </w:rPr>
        <w:t xml:space="preserve"> مِنْ هذَا</w:t>
      </w:r>
      <w:r>
        <w:rPr>
          <w:rtl/>
          <w:lang w:bidi="fa-IR"/>
        </w:rPr>
        <w:t>؟</w:t>
      </w:r>
      <w:r w:rsidRPr="00132E65">
        <w:rPr>
          <w:rtl/>
          <w:lang w:bidi="fa-IR"/>
        </w:rPr>
        <w:t xml:space="preserve"> إِنَّكِ تَحْبَلِينَ </w:t>
      </w:r>
      <w:r>
        <w:rPr>
          <w:rStyle w:val="libFootnotenumChar"/>
          <w:rtl/>
        </w:rPr>
        <w:t>(10)</w:t>
      </w:r>
      <w:r w:rsidRPr="00132E65">
        <w:rPr>
          <w:rtl/>
          <w:lang w:bidi="fa-IR"/>
        </w:rPr>
        <w:t xml:space="preserve"> و</w:t>
      </w:r>
      <w:r w:rsidR="006D79AA">
        <w:rPr>
          <w:rFonts w:hint="cs"/>
          <w:rtl/>
          <w:lang w:bidi="fa-IR"/>
        </w:rPr>
        <w:t xml:space="preserve">َ </w:t>
      </w:r>
      <w:r w:rsidRPr="00132E65">
        <w:rPr>
          <w:rtl/>
          <w:lang w:bidi="fa-IR"/>
        </w:rPr>
        <w:t>تَلِدِينَ بِوَصِيِّهِ و</w:t>
      </w:r>
      <w:r w:rsidR="006D79AA">
        <w:rPr>
          <w:rFonts w:hint="cs"/>
          <w:rtl/>
          <w:lang w:bidi="fa-IR"/>
        </w:rPr>
        <w:t xml:space="preserve">َ </w:t>
      </w:r>
      <w:r w:rsidRPr="00132E65">
        <w:rPr>
          <w:rtl/>
          <w:lang w:bidi="fa-IR"/>
        </w:rPr>
        <w:t>و</w:t>
      </w:r>
      <w:r w:rsidR="006D79AA">
        <w:rPr>
          <w:rFonts w:hint="cs"/>
          <w:rtl/>
          <w:lang w:bidi="fa-IR"/>
        </w:rPr>
        <w:t>َ</w:t>
      </w:r>
      <w:r w:rsidRPr="00132E65">
        <w:rPr>
          <w:rtl/>
          <w:lang w:bidi="fa-IR"/>
        </w:rPr>
        <w:t>زِيرِهِ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714A96">
        <w:rPr>
          <w:rtl/>
        </w:rPr>
        <w:t>1236</w:t>
      </w:r>
      <w:r w:rsidRPr="004325D8">
        <w:rPr>
          <w:rStyle w:val="libBold2Char"/>
          <w:rtl/>
        </w:rPr>
        <w:t xml:space="preserve"> / 4.</w:t>
      </w:r>
      <w:r w:rsidRPr="00132E65">
        <w:rPr>
          <w:rtl/>
          <w:lang w:bidi="fa-IR"/>
        </w:rPr>
        <w:t xml:space="preserve"> عِدَّةٌ مِنْ أَصْحَابِنَا ، عَنْ أَحْمَدَ بْنِ مُحَمَّدِ بْنِ عِيسى ، عَنِ الْبَرْقِيِّ ، عَنْ أَحْمَدَ‌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ج » : « وقد اضطجعت »</w:t>
      </w:r>
      <w:r>
        <w:rPr>
          <w:rtl/>
        </w:rPr>
        <w:t>.</w:t>
      </w:r>
    </w:p>
    <w:p w:rsidR="003915A6" w:rsidRDefault="000C39D1" w:rsidP="003915A6">
      <w:pPr>
        <w:pStyle w:val="libFootnote0"/>
        <w:rPr>
          <w:rtl/>
        </w:rPr>
      </w:pPr>
      <w:r>
        <w:rPr>
          <w:rtl/>
        </w:rPr>
        <w:t>(2).</w:t>
      </w:r>
      <w:r w:rsidRPr="00132E65">
        <w:rPr>
          <w:rtl/>
        </w:rPr>
        <w:t xml:space="preserve"> اختلفت النسخ في ضبط الكلمة. ففي بعضها « ا</w:t>
      </w:r>
      <w:r w:rsidR="00910B2E">
        <w:rPr>
          <w:rFonts w:hint="cs"/>
          <w:rtl/>
        </w:rPr>
        <w:t>ُ</w:t>
      </w:r>
      <w:r w:rsidRPr="00132E65">
        <w:rPr>
          <w:rtl/>
        </w:rPr>
        <w:t xml:space="preserve">رتج » أي الإفعال من رتج ، كما في </w:t>
      </w:r>
      <w:r w:rsidRPr="009D1ACE">
        <w:rPr>
          <w:rStyle w:val="libFootnoteBoldChar"/>
          <w:rtl/>
        </w:rPr>
        <w:t>الوافي</w:t>
      </w:r>
      <w:r w:rsidRPr="00132E65">
        <w:rPr>
          <w:rtl/>
        </w:rPr>
        <w:t xml:space="preserve"> بمعنى استغلق عليها. وفي بعضها : « ارتجّ » أي الافتعال من رجج. والمقام وكلمة « عليها » يقتضيان الأوّل. قال الجوهري : « ا</w:t>
      </w:r>
      <w:r w:rsidR="00910B2E">
        <w:rPr>
          <w:rFonts w:hint="cs"/>
          <w:rtl/>
        </w:rPr>
        <w:t>ُ</w:t>
      </w:r>
      <w:r w:rsidRPr="00132E65">
        <w:rPr>
          <w:rtl/>
        </w:rPr>
        <w:t>رتج على القارئ</w:t>
      </w:r>
      <w:r>
        <w:rPr>
          <w:rtl/>
        </w:rPr>
        <w:t xml:space="preserve"> - </w:t>
      </w:r>
      <w:r w:rsidRPr="00132E65">
        <w:rPr>
          <w:rtl/>
        </w:rPr>
        <w:t>على ما لم يسمّ فاعله</w:t>
      </w:r>
      <w:r>
        <w:rPr>
          <w:rtl/>
        </w:rPr>
        <w:t xml:space="preserve"> - </w:t>
      </w:r>
      <w:r w:rsidRPr="00132E65">
        <w:rPr>
          <w:rtl/>
        </w:rPr>
        <w:t>إذا لم يقدر على القراءة كأنّه اطبق عليه كما يرتج الباب ، وكذلك ارْتُتج عليه ، ولا تقل ارتُجّ عليه ، بالتشديد »</w:t>
      </w:r>
      <w:r>
        <w:rPr>
          <w:rtl/>
        </w:rPr>
        <w:t>.</w:t>
      </w:r>
      <w:r w:rsidRPr="00132E65">
        <w:rPr>
          <w:rtl/>
        </w:rPr>
        <w:t xml:space="preserve"> والارتجاج هو الاضطراب والتزلزل ، وهو علّة للارتاج. راجع : </w:t>
      </w:r>
      <w:r w:rsidRPr="00714A96">
        <w:rPr>
          <w:rtl/>
        </w:rPr>
        <w:t>الصحاح</w:t>
      </w:r>
      <w:r w:rsidRPr="00132E65">
        <w:rPr>
          <w:rtl/>
        </w:rPr>
        <w:t xml:space="preserve"> ، ج 1 ، ص 317 ( رتج )</w:t>
      </w:r>
      <w:r>
        <w:rPr>
          <w:rtl/>
        </w:rPr>
        <w:t>.</w:t>
      </w:r>
    </w:p>
    <w:p w:rsidR="000C39D1" w:rsidRPr="00132E65" w:rsidRDefault="000C39D1" w:rsidP="003915A6">
      <w:pPr>
        <w:pStyle w:val="libFootnote0"/>
        <w:rPr>
          <w:rtl/>
          <w:lang w:bidi="fa-IR"/>
        </w:rPr>
      </w:pPr>
      <w:r>
        <w:rPr>
          <w:rtl/>
        </w:rPr>
        <w:t>(3).</w:t>
      </w:r>
      <w:r w:rsidRPr="00132E65">
        <w:rPr>
          <w:rtl/>
        </w:rPr>
        <w:t xml:space="preserve"> في خصائص الأئمّة :</w:t>
      </w:r>
      <w:r>
        <w:rPr>
          <w:rtl/>
        </w:rPr>
        <w:t xml:space="preserve"> + </w:t>
      </w:r>
      <w:r w:rsidRPr="00132E65">
        <w:rPr>
          <w:rtl/>
        </w:rPr>
        <w:t>« لها »</w:t>
      </w:r>
      <w:r>
        <w:rPr>
          <w:rtl/>
        </w:rPr>
        <w:t>.</w:t>
      </w:r>
    </w:p>
    <w:p w:rsidR="000C39D1" w:rsidRPr="00132E65" w:rsidRDefault="000C39D1" w:rsidP="000C39D1">
      <w:pPr>
        <w:pStyle w:val="libFootnote0"/>
        <w:rPr>
          <w:rtl/>
          <w:lang w:bidi="fa-IR"/>
        </w:rPr>
      </w:pPr>
      <w:r>
        <w:rPr>
          <w:rtl/>
        </w:rPr>
        <w:t>(4).</w:t>
      </w:r>
      <w:r w:rsidRPr="00132E65">
        <w:rPr>
          <w:rtl/>
        </w:rPr>
        <w:t xml:space="preserve"> في « ب ، ج ، ف ، بح ، بس » وخصائص الأئمّة </w:t>
      </w:r>
      <w:r>
        <w:rPr>
          <w:rtl/>
        </w:rPr>
        <w:t xml:space="preserve">: - </w:t>
      </w:r>
      <w:r w:rsidRPr="00132E65">
        <w:rPr>
          <w:rtl/>
        </w:rPr>
        <w:t>« ابنك » الثالث.</w:t>
      </w:r>
    </w:p>
    <w:p w:rsidR="000C39D1" w:rsidRPr="00132E65" w:rsidRDefault="000C39D1" w:rsidP="000C39D1">
      <w:pPr>
        <w:pStyle w:val="libFootnote0"/>
        <w:rPr>
          <w:rtl/>
          <w:lang w:bidi="fa-IR"/>
        </w:rPr>
      </w:pPr>
      <w:r>
        <w:rPr>
          <w:rtl/>
        </w:rPr>
        <w:t>(5).</w:t>
      </w:r>
      <w:r w:rsidRPr="00132E65">
        <w:rPr>
          <w:rtl/>
        </w:rPr>
        <w:t xml:space="preserve"> </w:t>
      </w:r>
      <w:r w:rsidRPr="00714A96">
        <w:rPr>
          <w:rtl/>
        </w:rPr>
        <w:t>خصائص الأئمّة</w:t>
      </w:r>
      <w:r w:rsidRPr="00132E65">
        <w:rPr>
          <w:rtl/>
        </w:rPr>
        <w:t xml:space="preserve"> </w:t>
      </w:r>
      <w:r w:rsidRPr="003E465F">
        <w:rPr>
          <w:rStyle w:val="libFootnoteAlaemChar"/>
          <w:rtl/>
        </w:rPr>
        <w:t>عليهم‌السلام</w:t>
      </w:r>
      <w:r w:rsidRPr="00132E65">
        <w:rPr>
          <w:rtl/>
        </w:rPr>
        <w:t xml:space="preserve"> ، ص 64 ، ومن دلائله </w:t>
      </w:r>
      <w:r w:rsidRPr="003E465F">
        <w:rPr>
          <w:rStyle w:val="libFootnoteAlaemChar"/>
          <w:rtl/>
        </w:rPr>
        <w:t>عليه‌السلام</w:t>
      </w:r>
      <w:r w:rsidRPr="00132E65">
        <w:rPr>
          <w:rtl/>
        </w:rPr>
        <w:t xml:space="preserve"> عند موته بسنده عن الكليني </w:t>
      </w:r>
      <w:r w:rsidR="003E465F">
        <w:rPr>
          <w:rFonts w:hint="cs"/>
          <w:rtl/>
        </w:rPr>
        <w:t>.</w:t>
      </w:r>
      <w:r w:rsidRPr="009D1ACE">
        <w:rPr>
          <w:rStyle w:val="libFootnoteBoldChar"/>
          <w:rtl/>
        </w:rPr>
        <w:t>الوافي</w:t>
      </w:r>
      <w:r w:rsidRPr="00132E65">
        <w:rPr>
          <w:rtl/>
        </w:rPr>
        <w:t xml:space="preserve"> ، ج 3 ، ص 725 ، ح 1338 ؛ </w:t>
      </w:r>
      <w:r w:rsidRPr="00714A96">
        <w:rPr>
          <w:rtl/>
        </w:rPr>
        <w:t>الوسائل</w:t>
      </w:r>
      <w:r w:rsidRPr="00132E65">
        <w:rPr>
          <w:rtl/>
        </w:rPr>
        <w:t xml:space="preserve"> ، ج 19 ، ص 374 ، ح 24793 ، إلى قوله : « فقبل رسول الله </w:t>
      </w:r>
      <w:r w:rsidRPr="003E465F">
        <w:rPr>
          <w:rStyle w:val="libFootnoteAlaemChar"/>
          <w:rFonts w:eastAsiaTheme="minorHAnsi"/>
          <w:rtl/>
        </w:rPr>
        <w:t>صلى‌الله‌عليه‌وآله</w:t>
      </w:r>
      <w:r w:rsidRPr="00132E65">
        <w:rPr>
          <w:rtl/>
          <w:lang w:bidi="fa-IR"/>
        </w:rPr>
        <w:t xml:space="preserve"> </w:t>
      </w:r>
      <w:r w:rsidRPr="00132E65">
        <w:rPr>
          <w:rtl/>
        </w:rPr>
        <w:t>وصيّتها »</w:t>
      </w:r>
      <w:r>
        <w:rPr>
          <w:rtl/>
        </w:rPr>
        <w:t>.</w:t>
      </w:r>
    </w:p>
    <w:p w:rsidR="000C39D1" w:rsidRPr="00132E65" w:rsidRDefault="000C39D1" w:rsidP="000C39D1">
      <w:pPr>
        <w:pStyle w:val="libFootnote0"/>
        <w:rPr>
          <w:rtl/>
          <w:lang w:bidi="fa-IR"/>
        </w:rPr>
      </w:pPr>
      <w:r>
        <w:rPr>
          <w:rtl/>
        </w:rPr>
        <w:t>(6).</w:t>
      </w:r>
      <w:r w:rsidRPr="00132E65">
        <w:rPr>
          <w:rtl/>
        </w:rPr>
        <w:t xml:space="preserve"> في « ج » : « ورد »</w:t>
      </w:r>
      <w:r>
        <w:rPr>
          <w:rtl/>
        </w:rPr>
        <w:t>.</w:t>
      </w:r>
    </w:p>
    <w:p w:rsidR="000C39D1" w:rsidRPr="00132E65" w:rsidRDefault="000C39D1" w:rsidP="00BA570A">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أي كشفت لها تلك البلاد بارتفاع الحجب حتّى رأتها عياناً » ونُسب البياض إلى فارس لبياض ألوانهم ، ولأنّ الغالب على أموالهم الفضّة ، كما أنّ الغالب على ألوان أهل الشام الحُمرة وعلى أموالهم الذهب. راجع : </w:t>
      </w:r>
      <w:r w:rsidRPr="00714A96">
        <w:rPr>
          <w:rtl/>
        </w:rPr>
        <w:t>النهاية</w:t>
      </w:r>
      <w:r w:rsidRPr="00132E65">
        <w:rPr>
          <w:rtl/>
        </w:rPr>
        <w:t xml:space="preserve"> ، ج 1 ، ص 172 ( بيض )</w:t>
      </w:r>
      <w:r>
        <w:rPr>
          <w:rtl/>
        </w:rPr>
        <w:t>.</w:t>
      </w:r>
      <w:r w:rsidR="00BA570A">
        <w:rPr>
          <w:rFonts w:hint="cs"/>
          <w:rtl/>
        </w:rPr>
        <w:t xml:space="preserve">          </w:t>
      </w:r>
      <w:r w:rsidR="003915A6">
        <w:rPr>
          <w:rFonts w:hint="cs"/>
          <w:rtl/>
        </w:rPr>
        <w:t xml:space="preserve">                     </w:t>
      </w:r>
      <w:r w:rsidR="00BA570A">
        <w:rPr>
          <w:rFonts w:hint="cs"/>
          <w:rtl/>
        </w:rPr>
        <w:t xml:space="preserve">        </w:t>
      </w:r>
      <w:r>
        <w:rPr>
          <w:rtl/>
        </w:rPr>
        <w:t>(8).</w:t>
      </w:r>
      <w:r w:rsidRPr="00132E65">
        <w:rPr>
          <w:rtl/>
        </w:rPr>
        <w:t xml:space="preserve"> في « بس » : « قال »</w:t>
      </w:r>
      <w:r>
        <w:rPr>
          <w:rtl/>
        </w:rPr>
        <w:t>.</w:t>
      </w:r>
    </w:p>
    <w:tbl>
      <w:tblPr>
        <w:tblStyle w:val="TableGrid"/>
        <w:bidiVisual/>
        <w:tblW w:w="0" w:type="auto"/>
        <w:tblLook w:val="04A0" w:firstRow="1" w:lastRow="0" w:firstColumn="1" w:lastColumn="0" w:noHBand="0" w:noVBand="1"/>
      </w:tblPr>
      <w:tblGrid>
        <w:gridCol w:w="4006"/>
        <w:gridCol w:w="4006"/>
      </w:tblGrid>
      <w:tr w:rsidR="00BA570A" w:rsidTr="00BA570A">
        <w:tc>
          <w:tcPr>
            <w:tcW w:w="4006" w:type="dxa"/>
          </w:tcPr>
          <w:p w:rsidR="00BA570A" w:rsidRDefault="00BA570A" w:rsidP="000C39D1">
            <w:pPr>
              <w:pStyle w:val="libFootnote0"/>
              <w:rPr>
                <w:rtl/>
              </w:rPr>
            </w:pPr>
            <w:r>
              <w:rPr>
                <w:rtl/>
              </w:rPr>
              <w:t>(9).</w:t>
            </w:r>
            <w:r w:rsidRPr="00132E65">
              <w:rPr>
                <w:rtl/>
              </w:rPr>
              <w:t xml:space="preserve"> في حاشية « ب ، ج ، ض » : « تعجبين »</w:t>
            </w:r>
            <w:r>
              <w:rPr>
                <w:rtl/>
              </w:rPr>
              <w:t>.</w:t>
            </w:r>
          </w:p>
        </w:tc>
        <w:tc>
          <w:tcPr>
            <w:tcW w:w="4006" w:type="dxa"/>
          </w:tcPr>
          <w:p w:rsidR="00BA570A" w:rsidRDefault="00BA570A" w:rsidP="000C39D1">
            <w:pPr>
              <w:pStyle w:val="libFootnote0"/>
              <w:rPr>
                <w:rtl/>
              </w:rPr>
            </w:pPr>
            <w:r>
              <w:rPr>
                <w:rtl/>
              </w:rPr>
              <w:t>(10).</w:t>
            </w:r>
            <w:r w:rsidRPr="00132E65">
              <w:rPr>
                <w:rtl/>
              </w:rPr>
              <w:t xml:space="preserve"> في « ج » : « لتحبلين »</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724 ، ح 1337 ؛ </w:t>
      </w:r>
      <w:r w:rsidRPr="00714A96">
        <w:rPr>
          <w:rtl/>
        </w:rPr>
        <w:t>البحار</w:t>
      </w:r>
      <w:r w:rsidRPr="00132E65">
        <w:rPr>
          <w:rtl/>
        </w:rPr>
        <w:t xml:space="preserve"> ، ج 35 ، ص 6 ، ح 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بْنِ زَيْدٍ النَّيْسَابُورِيِّ ، قَالَ : حَدَّثَنِي عُمَرُ بْنُ إِبْرَاهِيمَ الْهَاشِمِيُّ ، عَنْ عَبْدِ الْمَلِكِ بْنِ عُمَرَ </w:t>
      </w:r>
      <w:r>
        <w:rPr>
          <w:rStyle w:val="libFootnotenumChar"/>
          <w:rtl/>
        </w:rPr>
        <w:t>(1)</w:t>
      </w:r>
      <w:r w:rsidRPr="00132E65">
        <w:rPr>
          <w:rtl/>
          <w:lang w:bidi="fa-IR"/>
        </w:rPr>
        <w:t xml:space="preserve"> ، عَنْ أَسِيدِ بْنِ صَفْوَانَ</w:t>
      </w:r>
      <w:r>
        <w:rPr>
          <w:rtl/>
          <w:lang w:bidi="fa-IR"/>
        </w:rPr>
        <w:t xml:space="preserve"> - </w:t>
      </w:r>
      <w:r w:rsidRPr="00132E65">
        <w:rPr>
          <w:rtl/>
          <w:lang w:bidi="fa-IR"/>
        </w:rPr>
        <w:t xml:space="preserve">صَاحِبِ رَسُولِ اللهِ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قَالَ :</w:t>
      </w:r>
    </w:p>
    <w:p w:rsidR="000C39D1" w:rsidRPr="00132E65" w:rsidRDefault="000C39D1" w:rsidP="00610664">
      <w:pPr>
        <w:pStyle w:val="libNormal"/>
        <w:rPr>
          <w:rtl/>
          <w:lang w:bidi="fa-IR"/>
        </w:rPr>
      </w:pPr>
      <w:r w:rsidRPr="00132E65">
        <w:rPr>
          <w:rtl/>
          <w:lang w:bidi="fa-IR"/>
        </w:rPr>
        <w:t xml:space="preserve">لَمَّا كَانَ الْيَوْمُ الَّذِي قُبِضَ فِيهِ أَمِيرُ الْمُؤْمِنِينَ </w:t>
      </w:r>
      <w:r w:rsidRPr="00071CF9">
        <w:rPr>
          <w:rStyle w:val="libAlaemChar"/>
          <w:rtl/>
        </w:rPr>
        <w:t>عليه‌السلام</w:t>
      </w:r>
      <w:r w:rsidRPr="00132E65">
        <w:rPr>
          <w:rtl/>
          <w:lang w:bidi="fa-IR"/>
        </w:rPr>
        <w:t xml:space="preserve"> ، ارْتَجَّ </w:t>
      </w:r>
      <w:r>
        <w:rPr>
          <w:rStyle w:val="libFootnotenumChar"/>
          <w:rtl/>
        </w:rPr>
        <w:t>(2)</w:t>
      </w:r>
      <w:r w:rsidRPr="00132E65">
        <w:rPr>
          <w:rtl/>
          <w:lang w:bidi="fa-IR"/>
        </w:rPr>
        <w:t xml:space="preserve"> الْمَوْضِعُ بِالْبُكَاءِ ، و</w:t>
      </w:r>
      <w:r w:rsidR="00D94C1E">
        <w:rPr>
          <w:rFonts w:hint="cs"/>
          <w:rtl/>
          <w:lang w:bidi="fa-IR"/>
        </w:rPr>
        <w:t xml:space="preserve">َ </w:t>
      </w:r>
      <w:r w:rsidRPr="00132E65">
        <w:rPr>
          <w:rtl/>
          <w:lang w:bidi="fa-IR"/>
        </w:rPr>
        <w:t xml:space="preserve">دَهِشَ </w:t>
      </w:r>
      <w:r>
        <w:rPr>
          <w:rStyle w:val="libFootnotenumChar"/>
          <w:rtl/>
        </w:rPr>
        <w:t>(3)</w:t>
      </w:r>
      <w:r w:rsidRPr="00132E65">
        <w:rPr>
          <w:rtl/>
          <w:lang w:bidi="fa-IR"/>
        </w:rPr>
        <w:t xml:space="preserve"> النَّاسُ كَيَوْمِ قُبِضَ </w:t>
      </w:r>
      <w:r>
        <w:rPr>
          <w:rStyle w:val="libFootnotenumChar"/>
          <w:rtl/>
        </w:rPr>
        <w:t>(4)</w:t>
      </w:r>
      <w:r w:rsidRPr="00132E65">
        <w:rPr>
          <w:rtl/>
          <w:lang w:bidi="fa-IR"/>
        </w:rPr>
        <w:t xml:space="preserve"> النَّبِيُّ </w:t>
      </w:r>
      <w:r w:rsidR="00610664" w:rsidRPr="0093484F">
        <w:rPr>
          <w:rStyle w:val="libAlaemChar"/>
          <w:rFonts w:eastAsiaTheme="minorHAnsi"/>
          <w:rtl/>
        </w:rPr>
        <w:t>صلى‌الله‌عليه‌وآله</w:t>
      </w:r>
      <w:r w:rsidR="00610664" w:rsidRPr="00132E65">
        <w:rPr>
          <w:rtl/>
          <w:lang w:bidi="fa-IR"/>
        </w:rPr>
        <w:t xml:space="preserve"> </w:t>
      </w:r>
      <w:r w:rsidRPr="00132E65">
        <w:rPr>
          <w:rtl/>
          <w:lang w:bidi="fa-IR"/>
        </w:rPr>
        <w:t>، و</w:t>
      </w:r>
      <w:r w:rsidR="004578BF">
        <w:rPr>
          <w:rFonts w:hint="cs"/>
          <w:rtl/>
          <w:lang w:bidi="fa-IR"/>
        </w:rPr>
        <w:t xml:space="preserve">َ </w:t>
      </w:r>
      <w:r w:rsidRPr="00132E65">
        <w:rPr>
          <w:rtl/>
          <w:lang w:bidi="fa-IR"/>
        </w:rPr>
        <w:t>جَاءَ رَجُلٌ</w:t>
      </w:r>
      <w:r>
        <w:rPr>
          <w:rtl/>
          <w:lang w:bidi="fa-IR"/>
        </w:rPr>
        <w:t xml:space="preserve"> - </w:t>
      </w:r>
      <w:r w:rsidRPr="00132E65">
        <w:rPr>
          <w:rtl/>
          <w:lang w:bidi="fa-IR"/>
        </w:rPr>
        <w:t>بَاكِياً و</w:t>
      </w:r>
      <w:r w:rsidR="004578BF">
        <w:rPr>
          <w:rFonts w:hint="cs"/>
          <w:rtl/>
          <w:lang w:bidi="fa-IR"/>
        </w:rPr>
        <w:t xml:space="preserve">َ </w:t>
      </w:r>
      <w:r w:rsidRPr="00132E65">
        <w:rPr>
          <w:rtl/>
          <w:lang w:bidi="fa-IR"/>
        </w:rPr>
        <w:t>هُوَ مُسْرِعٌ مُسْتَرْجِعٌ وَ</w:t>
      </w:r>
      <w:r w:rsidR="004578BF">
        <w:rPr>
          <w:rFonts w:hint="cs"/>
          <w:rtl/>
          <w:lang w:bidi="fa-IR"/>
        </w:rPr>
        <w:t xml:space="preserve"> </w:t>
      </w:r>
      <w:r w:rsidRPr="00132E65">
        <w:rPr>
          <w:rtl/>
          <w:lang w:bidi="fa-IR"/>
        </w:rPr>
        <w:t>هُوَ يَقُولُ : الْيَوْمَ انْقَطَعَتْ خِلَافَةُ النُّبُوَّةِ</w:t>
      </w:r>
      <w:r>
        <w:rPr>
          <w:rtl/>
          <w:lang w:bidi="fa-IR"/>
        </w:rPr>
        <w:t xml:space="preserve"> - </w:t>
      </w:r>
      <w:r w:rsidRPr="00132E65">
        <w:rPr>
          <w:rtl/>
          <w:lang w:bidi="fa-IR"/>
        </w:rPr>
        <w:t>حَتّى و</w:t>
      </w:r>
      <w:r w:rsidR="004578BF">
        <w:rPr>
          <w:rFonts w:hint="cs"/>
          <w:rtl/>
          <w:lang w:bidi="fa-IR"/>
        </w:rPr>
        <w:t>َ</w:t>
      </w:r>
      <w:r w:rsidRPr="00132E65">
        <w:rPr>
          <w:rtl/>
          <w:lang w:bidi="fa-IR"/>
        </w:rPr>
        <w:t xml:space="preserve">قَفَ عَلى بَابِ الْبَيْتِ الَّذِي فِيهِ أَمِيرُ الْمُؤْمِنِينَ </w:t>
      </w:r>
      <w:r w:rsidRPr="00071CF9">
        <w:rPr>
          <w:rStyle w:val="libAlaemChar"/>
          <w:rtl/>
        </w:rPr>
        <w:t>عليه‌السلام</w:t>
      </w:r>
      <w:r w:rsidRPr="00132E65">
        <w:rPr>
          <w:rtl/>
          <w:lang w:bidi="fa-IR"/>
        </w:rPr>
        <w:t xml:space="preserve"> ، فَقَالَ : رَحِمَكَ اللهُ يَا </w:t>
      </w:r>
      <w:r>
        <w:rPr>
          <w:rStyle w:val="libFootnotenumChar"/>
          <w:rtl/>
        </w:rPr>
        <w:t>(5)</w:t>
      </w:r>
      <w:r w:rsidRPr="00132E65">
        <w:rPr>
          <w:rtl/>
          <w:lang w:bidi="fa-IR"/>
        </w:rPr>
        <w:t xml:space="preserve"> أَبَا الْحَسَنِ ، كُنْتَ أَوَّلَ الْقَوْمِ إِسْلَاماً ، و</w:t>
      </w:r>
      <w:r w:rsidR="004578BF">
        <w:rPr>
          <w:rFonts w:hint="cs"/>
          <w:rtl/>
          <w:lang w:bidi="fa-IR"/>
        </w:rPr>
        <w:t xml:space="preserve">َ </w:t>
      </w:r>
      <w:r w:rsidRPr="00132E65">
        <w:rPr>
          <w:rtl/>
          <w:lang w:bidi="fa-IR"/>
        </w:rPr>
        <w:t>أَخْلَصَهُمْ إِيمَاناً ، و</w:t>
      </w:r>
      <w:r w:rsidR="004578BF">
        <w:rPr>
          <w:rFonts w:hint="cs"/>
          <w:rtl/>
          <w:lang w:bidi="fa-IR"/>
        </w:rPr>
        <w:t xml:space="preserve">َ </w:t>
      </w:r>
      <w:r w:rsidRPr="00132E65">
        <w:rPr>
          <w:rtl/>
          <w:lang w:bidi="fa-IR"/>
        </w:rPr>
        <w:t>أَشَدَّهُمْ يَقِيناً ، و</w:t>
      </w:r>
      <w:r w:rsidR="004578BF">
        <w:rPr>
          <w:rFonts w:hint="cs"/>
          <w:rtl/>
          <w:lang w:bidi="fa-IR"/>
        </w:rPr>
        <w:t xml:space="preserve">َ </w:t>
      </w:r>
      <w:r w:rsidRPr="00132E65">
        <w:rPr>
          <w:rtl/>
          <w:lang w:bidi="fa-IR"/>
        </w:rPr>
        <w:t>أَخْوَفَهُمْ لِلّهِ ، و</w:t>
      </w:r>
      <w:r w:rsidR="004578BF">
        <w:rPr>
          <w:rFonts w:hint="cs"/>
          <w:rtl/>
          <w:lang w:bidi="fa-IR"/>
        </w:rPr>
        <w:t>َ</w:t>
      </w:r>
      <w:r w:rsidRPr="00132E65">
        <w:rPr>
          <w:rtl/>
          <w:lang w:bidi="fa-IR"/>
        </w:rPr>
        <w:t xml:space="preserve">أَعْظَمَهُمْ عَنَاءً </w:t>
      </w:r>
      <w:r>
        <w:rPr>
          <w:rStyle w:val="libFootnotenumChar"/>
          <w:rtl/>
        </w:rPr>
        <w:t>(6)</w:t>
      </w:r>
      <w:r w:rsidRPr="00132E65">
        <w:rPr>
          <w:rtl/>
          <w:lang w:bidi="fa-IR"/>
        </w:rPr>
        <w:t xml:space="preserve"> ، و</w:t>
      </w:r>
      <w:r w:rsidR="004578BF">
        <w:rPr>
          <w:rFonts w:hint="cs"/>
          <w:rtl/>
          <w:lang w:bidi="fa-IR"/>
        </w:rPr>
        <w:t>َ</w:t>
      </w:r>
      <w:r w:rsidRPr="00132E65">
        <w:rPr>
          <w:rtl/>
          <w:lang w:bidi="fa-IR"/>
        </w:rPr>
        <w:t xml:space="preserve">أَحْوَطَهُمْ </w:t>
      </w:r>
      <w:r>
        <w:rPr>
          <w:rStyle w:val="libFootnotenumChar"/>
          <w:rtl/>
        </w:rPr>
        <w:t>(7)</w:t>
      </w:r>
      <w:r w:rsidRPr="00132E65">
        <w:rPr>
          <w:rtl/>
          <w:lang w:bidi="fa-IR"/>
        </w:rPr>
        <w:t xml:space="preserve"> عَلى رَسُولِ اللهِ </w:t>
      </w:r>
      <w:r w:rsidRPr="0093484F">
        <w:rPr>
          <w:rStyle w:val="libAlaemChar"/>
          <w:rFonts w:eastAsiaTheme="minorHAnsi"/>
          <w:rtl/>
        </w:rPr>
        <w:t>صلى‌الله‌عليه‌وآله</w:t>
      </w:r>
      <w:r w:rsidRPr="00132E65">
        <w:rPr>
          <w:rtl/>
          <w:lang w:bidi="fa-IR"/>
        </w:rPr>
        <w:t xml:space="preserve"> ، و</w:t>
      </w:r>
      <w:r w:rsidR="004578BF">
        <w:rPr>
          <w:rFonts w:hint="cs"/>
          <w:rtl/>
          <w:lang w:bidi="fa-IR"/>
        </w:rPr>
        <w:t xml:space="preserve">َ </w:t>
      </w:r>
      <w:r w:rsidRPr="00132E65">
        <w:rPr>
          <w:rtl/>
          <w:lang w:bidi="fa-IR"/>
        </w:rPr>
        <w:t xml:space="preserve">آمَنَهُمْ </w:t>
      </w:r>
      <w:r>
        <w:rPr>
          <w:rStyle w:val="libFootnotenumChar"/>
          <w:rtl/>
        </w:rPr>
        <w:t>(8)</w:t>
      </w:r>
      <w:r w:rsidRPr="00132E65">
        <w:rPr>
          <w:rtl/>
          <w:lang w:bidi="fa-IR"/>
        </w:rPr>
        <w:t xml:space="preserve"> عَلى أَصْحَابِهِ ، و</w:t>
      </w:r>
      <w:r w:rsidR="004578BF">
        <w:rPr>
          <w:rFonts w:hint="cs"/>
          <w:rtl/>
          <w:lang w:bidi="fa-IR"/>
        </w:rPr>
        <w:t xml:space="preserve">َ </w:t>
      </w:r>
      <w:r w:rsidRPr="00132E65">
        <w:rPr>
          <w:rtl/>
          <w:lang w:bidi="fa-IR"/>
        </w:rPr>
        <w:t xml:space="preserve">أَفْضَلَهُمْ مَنَاقِبَ </w:t>
      </w:r>
      <w:r>
        <w:rPr>
          <w:rStyle w:val="libFootnotenumChar"/>
          <w:rtl/>
        </w:rPr>
        <w:t>(9)</w:t>
      </w:r>
      <w:r w:rsidRPr="00132E65">
        <w:rPr>
          <w:rtl/>
          <w:lang w:bidi="fa-IR"/>
        </w:rPr>
        <w:t xml:space="preserve"> ، و</w:t>
      </w:r>
      <w:r w:rsidR="004578BF">
        <w:rPr>
          <w:rFonts w:hint="cs"/>
          <w:rtl/>
          <w:lang w:bidi="fa-IR"/>
        </w:rPr>
        <w:t xml:space="preserve">َ </w:t>
      </w:r>
      <w:r w:rsidRPr="00132E65">
        <w:rPr>
          <w:rtl/>
          <w:lang w:bidi="fa-IR"/>
        </w:rPr>
        <w:t xml:space="preserve">أَكْرَمَهُمْ </w:t>
      </w:r>
      <w:r>
        <w:rPr>
          <w:rStyle w:val="libFootnotenumChar"/>
          <w:rtl/>
        </w:rPr>
        <w:t>(10)</w:t>
      </w:r>
      <w:r w:rsidRPr="00132E65">
        <w:rPr>
          <w:rtl/>
          <w:lang w:bidi="fa-IR"/>
        </w:rPr>
        <w:t xml:space="preserve"> سَوَابِقَ </w:t>
      </w:r>
      <w:r>
        <w:rPr>
          <w:rStyle w:val="libFootnotenumChar"/>
          <w:rtl/>
        </w:rPr>
        <w:t>(11)</w:t>
      </w:r>
      <w:r w:rsidRPr="00132E65">
        <w:rPr>
          <w:rtl/>
          <w:lang w:bidi="fa-IR"/>
        </w:rPr>
        <w:t xml:space="preserve"> ، وَ</w:t>
      </w:r>
      <w:r w:rsidR="004578BF">
        <w:rPr>
          <w:rFonts w:hint="cs"/>
          <w:rtl/>
          <w:lang w:bidi="fa-IR"/>
        </w:rPr>
        <w:t xml:space="preserve"> </w:t>
      </w:r>
      <w:r w:rsidRPr="00132E65">
        <w:rPr>
          <w:rtl/>
          <w:lang w:bidi="fa-IR"/>
        </w:rPr>
        <w:t>أَرْفَعَهُمْ دَرَجَةً ، و</w:t>
      </w:r>
      <w:r w:rsidR="004578BF">
        <w:rPr>
          <w:rFonts w:hint="cs"/>
          <w:rtl/>
          <w:lang w:bidi="fa-IR"/>
        </w:rPr>
        <w:t xml:space="preserve">َ </w:t>
      </w:r>
      <w:r w:rsidRPr="00132E65">
        <w:rPr>
          <w:rtl/>
          <w:lang w:bidi="fa-IR"/>
        </w:rPr>
        <w:t xml:space="preserve">أَقْرَبَهُمْ مِنْ رَسُولِ اللهِ </w:t>
      </w:r>
      <w:r w:rsidRPr="0093484F">
        <w:rPr>
          <w:rStyle w:val="libAlaemChar"/>
          <w:rFonts w:eastAsiaTheme="minorHAnsi"/>
          <w:rtl/>
        </w:rPr>
        <w:t>صلى‌الله‌عليه‌وآله</w:t>
      </w:r>
      <w:r w:rsidRPr="00132E65">
        <w:rPr>
          <w:rtl/>
          <w:lang w:bidi="fa-IR"/>
        </w:rPr>
        <w:t xml:space="preserve"> ، و</w:t>
      </w:r>
      <w:r w:rsidR="004578BF">
        <w:rPr>
          <w:rFonts w:hint="cs"/>
          <w:rtl/>
          <w:lang w:bidi="fa-IR"/>
        </w:rPr>
        <w:t xml:space="preserve">َ </w:t>
      </w:r>
      <w:r w:rsidRPr="00132E65">
        <w:rPr>
          <w:rtl/>
          <w:lang w:bidi="fa-IR"/>
        </w:rPr>
        <w:t xml:space="preserve">أَشْبَهَهُمْ بِهِ هَدْياً </w:t>
      </w:r>
      <w:r>
        <w:rPr>
          <w:rStyle w:val="libFootnotenumChar"/>
          <w:rtl/>
        </w:rPr>
        <w:t>(12)</w:t>
      </w:r>
      <w:r w:rsidRPr="00132E65">
        <w:rPr>
          <w:rtl/>
          <w:lang w:bidi="fa-IR"/>
        </w:rPr>
        <w:t xml:space="preserve"> و</w:t>
      </w:r>
      <w:r w:rsidR="004578BF">
        <w:rPr>
          <w:rFonts w:hint="cs"/>
          <w:rtl/>
          <w:lang w:bidi="fa-IR"/>
        </w:rPr>
        <w:t xml:space="preserve">َ </w:t>
      </w:r>
      <w:r w:rsidRPr="00132E65">
        <w:rPr>
          <w:rtl/>
          <w:lang w:bidi="fa-IR"/>
        </w:rPr>
        <w:t xml:space="preserve">خَلْقاً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كذا في النسخ والمطبوع ، لكنّ الظاهر وقوع التحريف في العنوان. والصواب « عبد الملك بن عمير » ، وهوعبد الملك بن عمير بن سويد القرشي ، روى عن أسِيْد بن صفوان وروى عنه إبراهيم بن خالد الهاشمي. راجع : </w:t>
      </w:r>
      <w:r w:rsidRPr="00620606">
        <w:rPr>
          <w:rtl/>
        </w:rPr>
        <w:t>لسان الميزان</w:t>
      </w:r>
      <w:r w:rsidRPr="00132E65">
        <w:rPr>
          <w:rtl/>
        </w:rPr>
        <w:t xml:space="preserve"> ، ج 4 ، ص 99 ، الرقم 6044 ؛ </w:t>
      </w:r>
      <w:r w:rsidRPr="00620606">
        <w:rPr>
          <w:rtl/>
        </w:rPr>
        <w:t>تهذيب الكمال</w:t>
      </w:r>
      <w:r w:rsidRPr="00132E65">
        <w:rPr>
          <w:rtl/>
        </w:rPr>
        <w:t xml:space="preserve"> ، ج 3 ، ص 241 ، الرقم 513 ؛ وج 18 ، ص 370 ، الرقم 3546. والخبر رواه الصدوق في </w:t>
      </w:r>
      <w:r w:rsidRPr="00620606">
        <w:rPr>
          <w:rtl/>
        </w:rPr>
        <w:t>الأمالي</w:t>
      </w:r>
      <w:r w:rsidRPr="00132E65">
        <w:rPr>
          <w:rtl/>
        </w:rPr>
        <w:t xml:space="preserve"> ، ص 241 ، المجلس 42 ، ح 11 ؛ و</w:t>
      </w:r>
      <w:r w:rsidRPr="00620606">
        <w:rPr>
          <w:rtl/>
        </w:rPr>
        <w:t>كمال الدين</w:t>
      </w:r>
      <w:r w:rsidRPr="00132E65">
        <w:rPr>
          <w:rtl/>
        </w:rPr>
        <w:t xml:space="preserve"> ، ص 387. وفيهما : « عبد الملك بن عمير »</w:t>
      </w:r>
      <w:r>
        <w:rPr>
          <w:rtl/>
        </w:rPr>
        <w:t>.</w:t>
      </w:r>
    </w:p>
    <w:p w:rsidR="000C39D1" w:rsidRPr="00132E65" w:rsidRDefault="000C39D1" w:rsidP="000C39D1">
      <w:pPr>
        <w:pStyle w:val="libFootnote0"/>
        <w:rPr>
          <w:rtl/>
          <w:lang w:bidi="fa-IR"/>
        </w:rPr>
      </w:pPr>
      <w:r>
        <w:rPr>
          <w:rtl/>
        </w:rPr>
        <w:t>(2).</w:t>
      </w:r>
      <w:r w:rsidRPr="00132E65">
        <w:rPr>
          <w:rtl/>
        </w:rPr>
        <w:t xml:space="preserve"> « الارتجاج » : الاضطراب. يقال : ارتجّ البَحْر وغيره : اضطرب. راجع : </w:t>
      </w:r>
      <w:r w:rsidRPr="00620606">
        <w:rPr>
          <w:rtl/>
        </w:rPr>
        <w:t>الصحاح</w:t>
      </w:r>
      <w:r w:rsidRPr="00132E65">
        <w:rPr>
          <w:rtl/>
        </w:rPr>
        <w:t xml:space="preserve"> ، ج 1 ، ص 317 ( رجج )</w:t>
      </w:r>
      <w:r>
        <w:rPr>
          <w:rtl/>
        </w:rPr>
        <w:t>.</w:t>
      </w:r>
    </w:p>
    <w:p w:rsidR="000C39D1" w:rsidRPr="00132E65" w:rsidRDefault="000C39D1" w:rsidP="001107AF">
      <w:pPr>
        <w:pStyle w:val="libFootnote0"/>
        <w:rPr>
          <w:rtl/>
          <w:lang w:bidi="fa-IR"/>
        </w:rPr>
      </w:pPr>
      <w:r>
        <w:rPr>
          <w:rtl/>
        </w:rPr>
        <w:t>(3).</w:t>
      </w:r>
      <w:r w:rsidRPr="00132E65">
        <w:rPr>
          <w:rtl/>
        </w:rPr>
        <w:t xml:space="preserve"> قال الجوهري : « دَهِش الرجل</w:t>
      </w:r>
      <w:r>
        <w:rPr>
          <w:rtl/>
        </w:rPr>
        <w:t xml:space="preserve"> - </w:t>
      </w:r>
      <w:r w:rsidRPr="00132E65">
        <w:rPr>
          <w:rtl/>
        </w:rPr>
        <w:t>بالكسر</w:t>
      </w:r>
      <w:r>
        <w:rPr>
          <w:rtl/>
        </w:rPr>
        <w:t xml:space="preserve"> - </w:t>
      </w:r>
      <w:r w:rsidRPr="00132E65">
        <w:rPr>
          <w:rtl/>
        </w:rPr>
        <w:t>يَدْهَش دَهَشاً : تحيّر ، ودُهش أيضاً ، فهو مدهوش. وأدهشه اللهُ »</w:t>
      </w:r>
      <w:r>
        <w:rPr>
          <w:rtl/>
        </w:rPr>
        <w:t>.</w:t>
      </w:r>
      <w:r w:rsidRPr="00132E65">
        <w:rPr>
          <w:rtl/>
        </w:rPr>
        <w:t xml:space="preserve"> </w:t>
      </w:r>
      <w:r w:rsidRPr="00620606">
        <w:rPr>
          <w:rtl/>
        </w:rPr>
        <w:t>الصحاح</w:t>
      </w:r>
      <w:r w:rsidRPr="00132E65">
        <w:rPr>
          <w:rtl/>
        </w:rPr>
        <w:t xml:space="preserve"> ، ج 3 ، ص 1006 ( دهش )</w:t>
      </w:r>
      <w:r>
        <w:rPr>
          <w:rtl/>
        </w:rPr>
        <w:t>.</w:t>
      </w:r>
      <w:r w:rsidR="001107AF">
        <w:rPr>
          <w:rFonts w:hint="cs"/>
          <w:rtl/>
        </w:rPr>
        <w:t xml:space="preserve">                     </w:t>
      </w:r>
      <w:r>
        <w:rPr>
          <w:rtl/>
        </w:rPr>
        <w:t>(4).</w:t>
      </w:r>
      <w:r w:rsidRPr="00132E65">
        <w:rPr>
          <w:rtl/>
        </w:rPr>
        <w:t xml:space="preserve"> في « ف » والأمالي :</w:t>
      </w:r>
      <w:r>
        <w:rPr>
          <w:rtl/>
        </w:rPr>
        <w:t xml:space="preserve"> + </w:t>
      </w:r>
      <w:r w:rsidRPr="00132E65">
        <w:rPr>
          <w:rtl/>
        </w:rPr>
        <w:t>« فيه »</w:t>
      </w:r>
      <w:r>
        <w:rPr>
          <w:rtl/>
        </w:rPr>
        <w:t>.</w:t>
      </w:r>
    </w:p>
    <w:p w:rsidR="000C39D1" w:rsidRPr="00132E65" w:rsidRDefault="000C39D1" w:rsidP="000C39D1">
      <w:pPr>
        <w:pStyle w:val="libFootnote0"/>
        <w:rPr>
          <w:rtl/>
          <w:lang w:bidi="fa-IR"/>
        </w:rPr>
      </w:pPr>
      <w:r>
        <w:rPr>
          <w:rtl/>
        </w:rPr>
        <w:t>(5).</w:t>
      </w:r>
      <w:r w:rsidRPr="00132E65">
        <w:rPr>
          <w:rtl/>
        </w:rPr>
        <w:t xml:space="preserve"> في « بس » </w:t>
      </w:r>
      <w:r>
        <w:rPr>
          <w:rtl/>
        </w:rPr>
        <w:t xml:space="preserve">: - </w:t>
      </w:r>
      <w:r w:rsidRPr="00132E65">
        <w:rPr>
          <w:rtl/>
        </w:rPr>
        <w:t>« يا »</w:t>
      </w:r>
      <w:r>
        <w:rPr>
          <w:rtl/>
        </w:rPr>
        <w:t>.</w:t>
      </w:r>
    </w:p>
    <w:p w:rsidR="000C39D1" w:rsidRPr="00132E65" w:rsidRDefault="000C39D1" w:rsidP="000C39D1">
      <w:pPr>
        <w:pStyle w:val="libFootnote0"/>
        <w:rPr>
          <w:rtl/>
          <w:lang w:bidi="fa-IR"/>
        </w:rPr>
      </w:pPr>
      <w:r>
        <w:rPr>
          <w:rtl/>
        </w:rPr>
        <w:t>(6).</w:t>
      </w:r>
      <w:r w:rsidRPr="00132E65">
        <w:rPr>
          <w:rtl/>
        </w:rPr>
        <w:t xml:space="preserve"> « العَناء » : التعب والنصب. يقال : عَنِيَ الإنسانُ عَناءً ، أي تعب ونَصِبَ. راجع : </w:t>
      </w:r>
      <w:r w:rsidRPr="00620606">
        <w:rPr>
          <w:rtl/>
        </w:rPr>
        <w:t>الصحاح</w:t>
      </w:r>
      <w:r w:rsidRPr="00132E65">
        <w:rPr>
          <w:rtl/>
        </w:rPr>
        <w:t xml:space="preserve"> ، ج 6 ، ص 2440 ( عنا )</w:t>
      </w:r>
      <w:r>
        <w:rPr>
          <w:rtl/>
        </w:rPr>
        <w:t>.</w:t>
      </w:r>
    </w:p>
    <w:p w:rsidR="000C39D1" w:rsidRPr="00132E65" w:rsidRDefault="000C39D1" w:rsidP="00D80C93">
      <w:pPr>
        <w:pStyle w:val="libFootnote0"/>
        <w:rPr>
          <w:rtl/>
          <w:lang w:bidi="fa-IR"/>
        </w:rPr>
      </w:pPr>
      <w:r>
        <w:rPr>
          <w:rtl/>
        </w:rPr>
        <w:t>(7).</w:t>
      </w:r>
      <w:r w:rsidRPr="00132E65">
        <w:rPr>
          <w:rtl/>
        </w:rPr>
        <w:t xml:space="preserve"> يقال : حاطه يَحُوطه حَوْطاً وحِياطة ، إذا حفظه وصانه وذبّ عنه وتوفّر على مصالحه. قال المجلسي : « وتعديته</w:t>
      </w:r>
      <w:r>
        <w:rPr>
          <w:rtl/>
        </w:rPr>
        <w:t xml:space="preserve"> ب</w:t>
      </w:r>
      <w:r w:rsidR="00D80C93">
        <w:rPr>
          <w:rFonts w:hint="cs"/>
          <w:rtl/>
        </w:rPr>
        <w:t>ـ</w:t>
      </w:r>
      <w:r>
        <w:rPr>
          <w:rtl/>
        </w:rPr>
        <w:t>«</w:t>
      </w:r>
      <w:r w:rsidRPr="00132E65">
        <w:rPr>
          <w:rtl/>
        </w:rPr>
        <w:t xml:space="preserve"> على » لتضمين معنى الإشفاق »</w:t>
      </w:r>
      <w:r>
        <w:rPr>
          <w:rtl/>
        </w:rPr>
        <w:t>.</w:t>
      </w:r>
      <w:r w:rsidRPr="00132E65">
        <w:rPr>
          <w:rtl/>
        </w:rPr>
        <w:t xml:space="preserve"> </w:t>
      </w:r>
      <w:r w:rsidRPr="00620606">
        <w:rPr>
          <w:rtl/>
        </w:rPr>
        <w:t>النهاية</w:t>
      </w:r>
      <w:r w:rsidRPr="00132E65">
        <w:rPr>
          <w:rtl/>
        </w:rPr>
        <w:t xml:space="preserve"> ، ج 1 ، ص 461 ( حوط )</w:t>
      </w:r>
      <w:r>
        <w:rPr>
          <w:rtl/>
        </w:rPr>
        <w:t>.</w:t>
      </w:r>
    </w:p>
    <w:p w:rsidR="000C39D1" w:rsidRPr="00132E65" w:rsidRDefault="000C39D1" w:rsidP="00D80C93">
      <w:pPr>
        <w:pStyle w:val="libFootnote0"/>
        <w:rPr>
          <w:rtl/>
          <w:lang w:bidi="fa-IR"/>
        </w:rPr>
      </w:pPr>
      <w:r>
        <w:rPr>
          <w:rtl/>
        </w:rPr>
        <w:t>(8).</w:t>
      </w:r>
      <w:r w:rsidRPr="00132E65">
        <w:rPr>
          <w:rtl/>
        </w:rPr>
        <w:t xml:space="preserve"> « آمنهم » إمّا من الأمن ، ضدّ الخوف ؛ أو من الأمانة ضدّ الخيانة. اختار المازندراني والمجلسي الثاني بتضمين‌</w:t>
      </w:r>
      <w:r w:rsidR="00D80C93">
        <w:rPr>
          <w:rFonts w:hint="cs"/>
          <w:rtl/>
        </w:rPr>
        <w:t xml:space="preserve"> </w:t>
      </w:r>
      <w:r w:rsidRPr="00132E65">
        <w:rPr>
          <w:rtl/>
        </w:rPr>
        <w:t>معنى المحافظة ، كما احتملهما الفيض.</w:t>
      </w:r>
      <w:r w:rsidR="00D80C93">
        <w:rPr>
          <w:rFonts w:hint="cs"/>
          <w:rtl/>
        </w:rPr>
        <w:t xml:space="preserve">           </w:t>
      </w:r>
      <w:r w:rsidR="003915A6">
        <w:rPr>
          <w:rFonts w:hint="cs"/>
          <w:rtl/>
        </w:rPr>
        <w:t xml:space="preserve">   </w:t>
      </w:r>
      <w:r w:rsidR="00D80C93">
        <w:rPr>
          <w:rFonts w:hint="cs"/>
          <w:rtl/>
        </w:rPr>
        <w:t xml:space="preserve">             </w:t>
      </w:r>
      <w:r>
        <w:rPr>
          <w:rtl/>
        </w:rPr>
        <w:t>(9).</w:t>
      </w:r>
      <w:r w:rsidRPr="00132E65">
        <w:rPr>
          <w:rtl/>
        </w:rPr>
        <w:t xml:space="preserve"> في « ج » وحاشية « بف » : « مناقباً »</w:t>
      </w:r>
      <w:r>
        <w:rPr>
          <w:rtl/>
        </w:rPr>
        <w:t>.</w:t>
      </w:r>
    </w:p>
    <w:tbl>
      <w:tblPr>
        <w:tblStyle w:val="TableGrid"/>
        <w:bidiVisual/>
        <w:tblW w:w="0" w:type="auto"/>
        <w:tblLook w:val="04A0" w:firstRow="1" w:lastRow="0" w:firstColumn="1" w:lastColumn="0" w:noHBand="0" w:noVBand="1"/>
      </w:tblPr>
      <w:tblGrid>
        <w:gridCol w:w="4006"/>
        <w:gridCol w:w="4006"/>
      </w:tblGrid>
      <w:tr w:rsidR="00D80C93" w:rsidTr="00D80C93">
        <w:tc>
          <w:tcPr>
            <w:tcW w:w="4006" w:type="dxa"/>
          </w:tcPr>
          <w:p w:rsidR="00D80C93" w:rsidRDefault="00D80C93" w:rsidP="000C39D1">
            <w:pPr>
              <w:pStyle w:val="libFootnote0"/>
              <w:rPr>
                <w:rtl/>
              </w:rPr>
            </w:pPr>
            <w:r>
              <w:rPr>
                <w:rtl/>
              </w:rPr>
              <w:t>(10).</w:t>
            </w:r>
            <w:r w:rsidRPr="00132E65">
              <w:rPr>
                <w:rtl/>
              </w:rPr>
              <w:t xml:space="preserve"> في « ب » : « وأكثرهم »</w:t>
            </w:r>
            <w:r>
              <w:rPr>
                <w:rtl/>
              </w:rPr>
              <w:t>.</w:t>
            </w:r>
          </w:p>
        </w:tc>
        <w:tc>
          <w:tcPr>
            <w:tcW w:w="4006" w:type="dxa"/>
          </w:tcPr>
          <w:p w:rsidR="00D80C93" w:rsidRDefault="00D80C93" w:rsidP="000C39D1">
            <w:pPr>
              <w:pStyle w:val="libFootnote0"/>
              <w:rPr>
                <w:rtl/>
              </w:rPr>
            </w:pPr>
            <w:r>
              <w:rPr>
                <w:rtl/>
              </w:rPr>
              <w:t>(11).</w:t>
            </w:r>
            <w:r w:rsidRPr="00132E65">
              <w:rPr>
                <w:rtl/>
              </w:rPr>
              <w:t xml:space="preserve"> في « ج » وحاشية « بف » : « سوابقاً »</w:t>
            </w:r>
            <w:r>
              <w:rPr>
                <w:rtl/>
              </w:rPr>
              <w:t>.</w:t>
            </w:r>
          </w:p>
        </w:tc>
      </w:tr>
    </w:tbl>
    <w:p w:rsidR="000C39D1" w:rsidRPr="00132E65" w:rsidRDefault="000C39D1" w:rsidP="000C39D1">
      <w:pPr>
        <w:pStyle w:val="libFootnote0"/>
        <w:rPr>
          <w:rtl/>
          <w:lang w:bidi="fa-IR"/>
        </w:rPr>
      </w:pPr>
      <w:r>
        <w:rPr>
          <w:rtl/>
        </w:rPr>
        <w:t>(12).</w:t>
      </w:r>
      <w:r w:rsidRPr="00132E65">
        <w:rPr>
          <w:rtl/>
        </w:rPr>
        <w:t xml:space="preserve"> « الهدي » : السيرة والهيئة والطريقة. </w:t>
      </w:r>
      <w:r w:rsidRPr="00620606">
        <w:rPr>
          <w:rtl/>
        </w:rPr>
        <w:t>النهاية</w:t>
      </w:r>
      <w:r w:rsidRPr="00132E65">
        <w:rPr>
          <w:rtl/>
        </w:rPr>
        <w:t xml:space="preserve"> ، ج 5 ، ص 253 ( هدى )</w:t>
      </w:r>
      <w:r>
        <w:rPr>
          <w:rtl/>
        </w:rPr>
        <w:t>.</w:t>
      </w:r>
    </w:p>
    <w:p w:rsidR="000C39D1" w:rsidRPr="00132E65" w:rsidRDefault="000C39D1" w:rsidP="004D3D54">
      <w:pPr>
        <w:pStyle w:val="libFootnote0"/>
        <w:rPr>
          <w:rtl/>
          <w:lang w:bidi="fa-IR"/>
        </w:rPr>
      </w:pPr>
      <w:r>
        <w:rPr>
          <w:rtl/>
        </w:rPr>
        <w:t>(13)</w:t>
      </w:r>
      <w:r w:rsidRPr="00132E65">
        <w:rPr>
          <w:rtl/>
        </w:rPr>
        <w:t xml:space="preserve"> في « بح » : « خُلْقاً » بضمّ الخاء. وفي كمال الدين : « نطقاً »</w:t>
      </w:r>
      <w:r>
        <w:rPr>
          <w:rtl/>
        </w:rPr>
        <w:t>.</w:t>
      </w:r>
      <w:r w:rsidRPr="00132E65">
        <w:rPr>
          <w:rtl/>
        </w:rPr>
        <w:t xml:space="preserve"> وفي </w:t>
      </w:r>
      <w:r w:rsidRPr="00620606">
        <w:rPr>
          <w:rtl/>
        </w:rPr>
        <w:t>شرح المازندراني</w:t>
      </w:r>
      <w:r w:rsidRPr="00132E65">
        <w:rPr>
          <w:rtl/>
        </w:rPr>
        <w:t xml:space="preserve"> : « والخلق</w:t>
      </w:r>
      <w:r>
        <w:rPr>
          <w:rtl/>
        </w:rPr>
        <w:t xml:space="preserve"> - </w:t>
      </w:r>
      <w:r w:rsidRPr="00132E65">
        <w:rPr>
          <w:rtl/>
        </w:rPr>
        <w:t>بضمّ الخاء</w:t>
      </w:r>
      <w:r w:rsidR="004D3D54">
        <w:rPr>
          <w:rFonts w:hint="cs"/>
          <w:rtl/>
        </w:rPr>
        <w:t xml:space="preserve">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445321">
      <w:pPr>
        <w:pStyle w:val="libNormal0"/>
        <w:tabs>
          <w:tab w:val="left" w:pos="3968"/>
        </w:tabs>
        <w:rPr>
          <w:rtl/>
          <w:lang w:bidi="fa-IR"/>
        </w:rPr>
      </w:pPr>
      <w:r w:rsidRPr="00132E65">
        <w:rPr>
          <w:rtl/>
          <w:lang w:bidi="fa-IR"/>
        </w:rPr>
        <w:t xml:space="preserve">وَسَمْتاً </w:t>
      </w:r>
      <w:r>
        <w:rPr>
          <w:rStyle w:val="libFootnotenumChar"/>
          <w:rtl/>
        </w:rPr>
        <w:t>(1)</w:t>
      </w:r>
      <w:r w:rsidRPr="00132E65">
        <w:rPr>
          <w:rtl/>
          <w:lang w:bidi="fa-IR"/>
        </w:rPr>
        <w:t xml:space="preserve"> و</w:t>
      </w:r>
      <w:r w:rsidR="00C8646B">
        <w:rPr>
          <w:rFonts w:hint="cs"/>
          <w:rtl/>
          <w:lang w:bidi="fa-IR"/>
        </w:rPr>
        <w:t xml:space="preserve">َ </w:t>
      </w:r>
      <w:r w:rsidRPr="00132E65">
        <w:rPr>
          <w:rtl/>
          <w:lang w:bidi="fa-IR"/>
        </w:rPr>
        <w:t>فِعْلاً ، و</w:t>
      </w:r>
      <w:r w:rsidR="00C8646B">
        <w:rPr>
          <w:rFonts w:hint="cs"/>
          <w:rtl/>
          <w:lang w:bidi="fa-IR"/>
        </w:rPr>
        <w:t xml:space="preserve">َ </w:t>
      </w:r>
      <w:r w:rsidRPr="00132E65">
        <w:rPr>
          <w:rtl/>
          <w:lang w:bidi="fa-IR"/>
        </w:rPr>
        <w:t>أَشْرَفَهُمْ مَنْزِلَةً ، و</w:t>
      </w:r>
      <w:r w:rsidR="00C8646B">
        <w:rPr>
          <w:rFonts w:hint="cs"/>
          <w:rtl/>
          <w:lang w:bidi="fa-IR"/>
        </w:rPr>
        <w:t xml:space="preserve">َ </w:t>
      </w:r>
      <w:r w:rsidRPr="00132E65">
        <w:rPr>
          <w:rtl/>
          <w:lang w:bidi="fa-IR"/>
        </w:rPr>
        <w:t>أَكْرَمَهُمْ عَلَيْهِ ، فَجَزَاكَ اللهُ عَنِ الْإِسْلَامِ و</w:t>
      </w:r>
      <w:r w:rsidR="00C8646B">
        <w:rPr>
          <w:rFonts w:hint="cs"/>
          <w:rtl/>
          <w:lang w:bidi="fa-IR"/>
        </w:rPr>
        <w:t xml:space="preserve">َ </w:t>
      </w:r>
      <w:r w:rsidRPr="00132E65">
        <w:rPr>
          <w:rtl/>
          <w:lang w:bidi="fa-IR"/>
        </w:rPr>
        <w:t>عَنْ رَسُولِهِ و</w:t>
      </w:r>
      <w:r w:rsidR="00C8646B">
        <w:rPr>
          <w:rFonts w:hint="cs"/>
          <w:rtl/>
          <w:lang w:bidi="fa-IR"/>
        </w:rPr>
        <w:t xml:space="preserve">َ </w:t>
      </w:r>
      <w:r w:rsidRPr="00132E65">
        <w:rPr>
          <w:rtl/>
          <w:lang w:bidi="fa-IR"/>
        </w:rPr>
        <w:t xml:space="preserve">عَنِ الْمُسْلِمِينَ خَيْراً ، قَوِيتَ </w:t>
      </w:r>
      <w:r>
        <w:rPr>
          <w:rStyle w:val="libFootnotenumChar"/>
          <w:rtl/>
        </w:rPr>
        <w:t>(2)</w:t>
      </w:r>
      <w:r w:rsidRPr="00132E65">
        <w:rPr>
          <w:rtl/>
          <w:lang w:bidi="fa-IR"/>
        </w:rPr>
        <w:t xml:space="preserve"> حِينَ ضَعُفَ أَصْحَابُهُ ، و</w:t>
      </w:r>
      <w:r w:rsidR="00445321">
        <w:rPr>
          <w:rFonts w:hint="cs"/>
          <w:rtl/>
          <w:lang w:bidi="fa-IR"/>
        </w:rPr>
        <w:t xml:space="preserve">َ </w:t>
      </w:r>
      <w:r w:rsidRPr="00132E65">
        <w:rPr>
          <w:rtl/>
          <w:lang w:bidi="fa-IR"/>
        </w:rPr>
        <w:t xml:space="preserve">بَرَزْتَ </w:t>
      </w:r>
      <w:r>
        <w:rPr>
          <w:rStyle w:val="libFootnotenumChar"/>
          <w:rtl/>
        </w:rPr>
        <w:t>(3)</w:t>
      </w:r>
      <w:r w:rsidRPr="00132E65">
        <w:rPr>
          <w:rtl/>
          <w:lang w:bidi="fa-IR"/>
        </w:rPr>
        <w:t xml:space="preserve"> حِينَ اسْتَكَانُوا </w:t>
      </w:r>
      <w:r>
        <w:rPr>
          <w:rStyle w:val="libFootnotenumChar"/>
          <w:rtl/>
        </w:rPr>
        <w:t>(4)</w:t>
      </w:r>
      <w:r w:rsidRPr="00132E65">
        <w:rPr>
          <w:rtl/>
          <w:lang w:bidi="fa-IR"/>
        </w:rPr>
        <w:t xml:space="preserve"> ، وَنَهَضْتَ حِينَ و</w:t>
      </w:r>
      <w:r w:rsidR="00445321">
        <w:rPr>
          <w:rFonts w:hint="cs"/>
          <w:rtl/>
          <w:lang w:bidi="fa-IR"/>
        </w:rPr>
        <w:t>َ</w:t>
      </w:r>
      <w:r w:rsidRPr="00132E65">
        <w:rPr>
          <w:rtl/>
          <w:lang w:bidi="fa-IR"/>
        </w:rPr>
        <w:t>هَنُوا ، و</w:t>
      </w:r>
      <w:r w:rsidR="00445321">
        <w:rPr>
          <w:rFonts w:hint="cs"/>
          <w:rtl/>
          <w:lang w:bidi="fa-IR"/>
        </w:rPr>
        <w:t xml:space="preserve">َ </w:t>
      </w:r>
      <w:r w:rsidRPr="00132E65">
        <w:rPr>
          <w:rtl/>
          <w:lang w:bidi="fa-IR"/>
        </w:rPr>
        <w:t xml:space="preserve">لَزِمْتَ مِنْهَاجَ رَسُولِ اللهِ </w:t>
      </w:r>
      <w:r w:rsidRPr="0093484F">
        <w:rPr>
          <w:rStyle w:val="libAlaemChar"/>
          <w:rFonts w:eastAsiaTheme="minorHAnsi"/>
          <w:rtl/>
        </w:rPr>
        <w:t>صلى‌الله‌عليه‌وآله</w:t>
      </w:r>
      <w:r w:rsidRPr="00132E65">
        <w:rPr>
          <w:rtl/>
          <w:lang w:bidi="fa-IR"/>
        </w:rPr>
        <w:t xml:space="preserve"> إِذْ هَمَّ أَصْحَابُهُ </w:t>
      </w:r>
      <w:r>
        <w:rPr>
          <w:rStyle w:val="libFootnotenumChar"/>
          <w:rtl/>
        </w:rPr>
        <w:t>(5)</w:t>
      </w:r>
      <w:r w:rsidRPr="00132E65">
        <w:rPr>
          <w:rtl/>
          <w:lang w:bidi="fa-IR"/>
        </w:rPr>
        <w:t xml:space="preserve"> ، كُنْتَ </w:t>
      </w:r>
      <w:r>
        <w:rPr>
          <w:rStyle w:val="libFootnotenumChar"/>
          <w:rtl/>
        </w:rPr>
        <w:t>(6)</w:t>
      </w:r>
      <w:r w:rsidRPr="00132E65">
        <w:rPr>
          <w:rtl/>
          <w:lang w:bidi="fa-IR"/>
        </w:rPr>
        <w:t xml:space="preserve"> خَلِيفَتَهُ حَقّاً ، لَمْ تُنَازَعْ </w:t>
      </w:r>
      <w:r>
        <w:rPr>
          <w:rStyle w:val="libFootnotenumChar"/>
          <w:rtl/>
        </w:rPr>
        <w:t>(7)</w:t>
      </w:r>
      <w:r w:rsidRPr="00132E65">
        <w:rPr>
          <w:rtl/>
          <w:lang w:bidi="fa-IR"/>
        </w:rPr>
        <w:t xml:space="preserve"> و</w:t>
      </w:r>
      <w:r w:rsidR="00445321">
        <w:rPr>
          <w:rFonts w:hint="cs"/>
          <w:rtl/>
          <w:lang w:bidi="fa-IR"/>
        </w:rPr>
        <w:t xml:space="preserve">َ </w:t>
      </w:r>
      <w:r w:rsidRPr="00132E65">
        <w:rPr>
          <w:rtl/>
          <w:lang w:bidi="fa-IR"/>
        </w:rPr>
        <w:t xml:space="preserve">لَمْ تَضْرَعْ </w:t>
      </w:r>
      <w:r>
        <w:rPr>
          <w:rStyle w:val="libFootnotenumChar"/>
          <w:rtl/>
        </w:rPr>
        <w:t>(8)</w:t>
      </w:r>
      <w:r w:rsidRPr="00132E65">
        <w:rPr>
          <w:rtl/>
          <w:lang w:bidi="fa-IR"/>
        </w:rPr>
        <w:t xml:space="preserve"> بِرَغْمِ </w:t>
      </w:r>
      <w:r>
        <w:rPr>
          <w:rStyle w:val="libFootnotenumChar"/>
          <w:rtl/>
        </w:rPr>
        <w:t>(9)</w:t>
      </w:r>
      <w:r w:rsidRPr="00132E65">
        <w:rPr>
          <w:rtl/>
          <w:lang w:bidi="fa-IR"/>
        </w:rPr>
        <w:t xml:space="preserve"> الْمُنَافِقِينَ و</w:t>
      </w:r>
      <w:r w:rsidR="00445321">
        <w:rPr>
          <w:rFonts w:hint="cs"/>
          <w:rtl/>
          <w:lang w:bidi="fa-IR"/>
        </w:rPr>
        <w:t xml:space="preserve">َ </w:t>
      </w:r>
      <w:r w:rsidRPr="00132E65">
        <w:rPr>
          <w:rtl/>
          <w:lang w:bidi="fa-IR"/>
        </w:rPr>
        <w:t>غَيْظِ الْكَافِرِينَ و</w:t>
      </w:r>
      <w:r w:rsidR="00445321">
        <w:rPr>
          <w:rFonts w:hint="cs"/>
          <w:rtl/>
          <w:lang w:bidi="fa-IR"/>
        </w:rPr>
        <w:t xml:space="preserve">َ </w:t>
      </w:r>
      <w:r w:rsidRPr="00132E65">
        <w:rPr>
          <w:rtl/>
          <w:lang w:bidi="fa-IR"/>
        </w:rPr>
        <w:t xml:space="preserve">كُرْهِ الْحَاسِدِينَ وَصِغَرِ </w:t>
      </w:r>
      <w:r>
        <w:rPr>
          <w:rStyle w:val="libFootnotenumChar"/>
          <w:rtl/>
        </w:rPr>
        <w:t>(10)</w:t>
      </w:r>
      <w:r w:rsidRPr="00132E65">
        <w:rPr>
          <w:rtl/>
          <w:lang w:bidi="fa-IR"/>
        </w:rPr>
        <w:t xml:space="preserve"> الْفَاسِقِينَ ، فَقُمْتَ بِالْأَمْرِ حِينَ </w:t>
      </w:r>
      <w:r>
        <w:rPr>
          <w:rStyle w:val="libFootnotenumChar"/>
          <w:rtl/>
        </w:rPr>
        <w:t>(11)</w:t>
      </w:r>
      <w:r w:rsidRPr="00132E65">
        <w:rPr>
          <w:rtl/>
          <w:lang w:bidi="fa-IR"/>
        </w:rPr>
        <w:t xml:space="preserve"> فَشِلُوا </w:t>
      </w:r>
      <w:r>
        <w:rPr>
          <w:rStyle w:val="libFootnotenumChar"/>
          <w:rtl/>
        </w:rPr>
        <w:t>(12)</w:t>
      </w:r>
      <w:r w:rsidRPr="00132E65">
        <w:rPr>
          <w:rtl/>
          <w:lang w:bidi="fa-IR"/>
        </w:rPr>
        <w:t xml:space="preserve"> ، و</w:t>
      </w:r>
      <w:r w:rsidR="00445321">
        <w:rPr>
          <w:rFonts w:hint="cs"/>
          <w:rtl/>
          <w:lang w:bidi="fa-IR"/>
        </w:rPr>
        <w:t xml:space="preserve">َ </w:t>
      </w:r>
      <w:r w:rsidRPr="00132E65">
        <w:rPr>
          <w:rtl/>
          <w:lang w:bidi="fa-IR"/>
        </w:rPr>
        <w:t xml:space="preserve">نَطَقْتَ حِينَ تَتَعْتَعُوا </w:t>
      </w:r>
      <w:r w:rsidRPr="00F543F1">
        <w:rPr>
          <w:rStyle w:val="libFootnotenumChar"/>
          <w:rtl/>
        </w:rPr>
        <w:t>(13)</w:t>
      </w:r>
      <w:r w:rsidRPr="00132E65">
        <w:rPr>
          <w:rtl/>
          <w:lang w:bidi="fa-IR"/>
        </w:rPr>
        <w:t xml:space="preserve"> ، و</w:t>
      </w:r>
      <w:r w:rsidR="00445321">
        <w:rPr>
          <w:rFonts w:hint="cs"/>
          <w:rtl/>
          <w:lang w:bidi="fa-IR"/>
        </w:rPr>
        <w:t xml:space="preserve">َ </w:t>
      </w:r>
      <w:r w:rsidRPr="00132E65">
        <w:rPr>
          <w:rtl/>
          <w:lang w:bidi="fa-IR"/>
        </w:rPr>
        <w:t>مَضَيْتَ بِنُورِ اللهِ إِذْ و</w:t>
      </w:r>
      <w:r w:rsidR="00445321">
        <w:rPr>
          <w:rFonts w:hint="cs"/>
          <w:rtl/>
          <w:lang w:bidi="fa-IR"/>
        </w:rPr>
        <w:t>َ</w:t>
      </w:r>
      <w:r w:rsidRPr="00132E65">
        <w:rPr>
          <w:rtl/>
          <w:lang w:bidi="fa-IR"/>
        </w:rPr>
        <w:t xml:space="preserve">قَفُوا ، فَاتَّبَعُوكَ </w:t>
      </w:r>
      <w:r w:rsidRPr="00F543F1">
        <w:rPr>
          <w:rStyle w:val="libFootnotenumChar"/>
          <w:rtl/>
        </w:rPr>
        <w:t>(14)</w:t>
      </w:r>
      <w:r w:rsidRPr="00132E65">
        <w:rPr>
          <w:rtl/>
          <w:lang w:bidi="fa-IR"/>
        </w:rPr>
        <w:t xml:space="preserve"> فَهُدُوا ، و</w:t>
      </w:r>
      <w:r w:rsidR="00445321">
        <w:rPr>
          <w:rFonts w:hint="cs"/>
          <w:rtl/>
          <w:lang w:bidi="fa-IR"/>
        </w:rPr>
        <w:t>َ</w:t>
      </w:r>
      <w:r w:rsidRPr="00F543F1">
        <w:rPr>
          <w:rStyle w:val="libFootnotenumChar"/>
          <w:rtl/>
        </w:rPr>
        <w:t>(15)</w:t>
      </w:r>
      <w:r w:rsidRPr="00132E65">
        <w:rPr>
          <w:rtl/>
          <w:lang w:bidi="fa-IR"/>
        </w:rPr>
        <w:t xml:space="preserve"> كُنْتَ أَخْفَضَهُمْ صَوْتاً ، و</w:t>
      </w:r>
      <w:r w:rsidR="00445321">
        <w:rPr>
          <w:rFonts w:hint="cs"/>
          <w:rtl/>
          <w:lang w:bidi="fa-IR"/>
        </w:rPr>
        <w:t xml:space="preserve">َ </w:t>
      </w:r>
      <w:r w:rsidRPr="00132E65">
        <w:rPr>
          <w:rtl/>
          <w:lang w:bidi="fa-IR"/>
        </w:rPr>
        <w:t xml:space="preserve">أَعْلَاهُمْ قُنُوتاً </w:t>
      </w:r>
      <w:r w:rsidRPr="00F543F1">
        <w:rPr>
          <w:rStyle w:val="libFootnotenumChar"/>
          <w:rtl/>
        </w:rPr>
        <w:t>(16)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445321" w:rsidP="000C39D1">
      <w:pPr>
        <w:pStyle w:val="libFootnote0"/>
        <w:rPr>
          <w:rtl/>
          <w:lang w:bidi="fa-IR"/>
        </w:rPr>
      </w:pPr>
      <w:r>
        <w:rPr>
          <w:rFonts w:hint="cs"/>
          <w:rtl/>
        </w:rPr>
        <w:t>=</w:t>
      </w:r>
      <w:r w:rsidR="000C39D1" w:rsidRPr="00132E65">
        <w:rPr>
          <w:rtl/>
        </w:rPr>
        <w:t>واللام وسكونها</w:t>
      </w:r>
      <w:r w:rsidR="000C39D1">
        <w:rPr>
          <w:rtl/>
        </w:rPr>
        <w:t xml:space="preserve"> - </w:t>
      </w:r>
      <w:r w:rsidR="000C39D1" w:rsidRPr="00132E65">
        <w:rPr>
          <w:rtl/>
        </w:rPr>
        <w:t>: الدين والطبيعة والسجيّة »</w:t>
      </w:r>
      <w:r w:rsidR="000C39D1">
        <w:rPr>
          <w:rtl/>
        </w:rPr>
        <w:t>.</w:t>
      </w:r>
    </w:p>
    <w:p w:rsidR="000C39D1" w:rsidRPr="00132E65" w:rsidRDefault="000C39D1" w:rsidP="000C39D1">
      <w:pPr>
        <w:pStyle w:val="libFootnote0"/>
        <w:rPr>
          <w:rtl/>
          <w:lang w:bidi="fa-IR"/>
        </w:rPr>
      </w:pPr>
      <w:r>
        <w:rPr>
          <w:rtl/>
        </w:rPr>
        <w:t>(1).</w:t>
      </w:r>
      <w:r w:rsidRPr="00132E65">
        <w:rPr>
          <w:rtl/>
        </w:rPr>
        <w:t xml:space="preserve"> قال ابن الأثير : « السَمْت : هو الهيئة الحسنة »</w:t>
      </w:r>
      <w:r>
        <w:rPr>
          <w:rtl/>
        </w:rPr>
        <w:t>.</w:t>
      </w:r>
      <w:r w:rsidRPr="00132E65">
        <w:rPr>
          <w:rtl/>
        </w:rPr>
        <w:t xml:space="preserve"> وقال المطرزي : « السمت : الطريق. ويستعار لهيئة أهل الخير »</w:t>
      </w:r>
      <w:r>
        <w:rPr>
          <w:rtl/>
        </w:rPr>
        <w:t>.</w:t>
      </w:r>
      <w:r w:rsidRPr="00132E65">
        <w:rPr>
          <w:rtl/>
        </w:rPr>
        <w:t xml:space="preserve"> راجع : </w:t>
      </w:r>
      <w:r w:rsidRPr="00620606">
        <w:rPr>
          <w:rtl/>
        </w:rPr>
        <w:t>النهاية</w:t>
      </w:r>
      <w:r w:rsidRPr="00132E65">
        <w:rPr>
          <w:rtl/>
        </w:rPr>
        <w:t xml:space="preserve"> ، ج 2 ، ص 397 ؛ </w:t>
      </w:r>
      <w:r w:rsidRPr="00620606">
        <w:rPr>
          <w:rtl/>
        </w:rPr>
        <w:t>المغرب</w:t>
      </w:r>
      <w:r w:rsidRPr="00132E65">
        <w:rPr>
          <w:rtl/>
        </w:rPr>
        <w:t xml:space="preserve"> ، ص 234 : ( سمت )</w:t>
      </w:r>
      <w:r>
        <w:rPr>
          <w:rtl/>
        </w:rPr>
        <w:t>.</w:t>
      </w:r>
    </w:p>
    <w:tbl>
      <w:tblPr>
        <w:tblStyle w:val="TableGrid"/>
        <w:bidiVisual/>
        <w:tblW w:w="0" w:type="auto"/>
        <w:tblLook w:val="04A0" w:firstRow="1" w:lastRow="0" w:firstColumn="1" w:lastColumn="0" w:noHBand="0" w:noVBand="1"/>
      </w:tblPr>
      <w:tblGrid>
        <w:gridCol w:w="4006"/>
        <w:gridCol w:w="4006"/>
      </w:tblGrid>
      <w:tr w:rsidR="00DC5CEF" w:rsidTr="00DC5CEF">
        <w:tc>
          <w:tcPr>
            <w:tcW w:w="4006" w:type="dxa"/>
          </w:tcPr>
          <w:p w:rsidR="00DC5CEF" w:rsidRDefault="00DC5CEF" w:rsidP="000C39D1">
            <w:pPr>
              <w:pStyle w:val="libFootnote0"/>
              <w:rPr>
                <w:rtl/>
              </w:rPr>
            </w:pPr>
            <w:r>
              <w:rPr>
                <w:rtl/>
              </w:rPr>
              <w:t>(2).</w:t>
            </w:r>
            <w:r w:rsidRPr="00132E65">
              <w:rPr>
                <w:rtl/>
              </w:rPr>
              <w:t xml:space="preserve"> في « ف » : « قوّيت » بالتثقيل.</w:t>
            </w:r>
          </w:p>
        </w:tc>
        <w:tc>
          <w:tcPr>
            <w:tcW w:w="4006" w:type="dxa"/>
          </w:tcPr>
          <w:p w:rsidR="00DC5CEF" w:rsidRDefault="00DC5CEF" w:rsidP="000C39D1">
            <w:pPr>
              <w:pStyle w:val="libFootnote0"/>
              <w:rPr>
                <w:rtl/>
              </w:rPr>
            </w:pPr>
            <w:r>
              <w:rPr>
                <w:rtl/>
              </w:rPr>
              <w:t>(3).</w:t>
            </w:r>
            <w:r w:rsidRPr="00132E65">
              <w:rPr>
                <w:rtl/>
              </w:rPr>
              <w:t xml:space="preserve"> في « ف » : « برّزت » بالتثقيل.</w:t>
            </w:r>
          </w:p>
        </w:tc>
      </w:tr>
    </w:tbl>
    <w:p w:rsidR="000C39D1" w:rsidRPr="00132E65" w:rsidRDefault="000C39D1" w:rsidP="00163A91">
      <w:pPr>
        <w:pStyle w:val="libFootnote0"/>
        <w:rPr>
          <w:rtl/>
          <w:lang w:bidi="fa-IR"/>
        </w:rPr>
      </w:pPr>
      <w:r>
        <w:rPr>
          <w:rtl/>
        </w:rPr>
        <w:t>(4).</w:t>
      </w:r>
      <w:r w:rsidRPr="00132E65">
        <w:rPr>
          <w:rtl/>
        </w:rPr>
        <w:t xml:space="preserve"> « استكانوا » ، أي خضعوا وذلّوا. كان في الأصل : استكنوا ، فمدّت فتحة الكاف بألف ، راجع : </w:t>
      </w:r>
      <w:r w:rsidRPr="009D1ACE">
        <w:rPr>
          <w:rStyle w:val="libFootnoteBoldChar"/>
          <w:rtl/>
        </w:rPr>
        <w:t>لسان العرب</w:t>
      </w:r>
      <w:r w:rsidRPr="00132E65">
        <w:rPr>
          <w:rtl/>
        </w:rPr>
        <w:t xml:space="preserve"> ، ج 13 ، ص 218 ( سكن )</w:t>
      </w:r>
      <w:r>
        <w:rPr>
          <w:rtl/>
        </w:rPr>
        <w:t>.</w:t>
      </w:r>
      <w:r w:rsidR="00163A91">
        <w:rPr>
          <w:rFonts w:hint="cs"/>
          <w:rtl/>
        </w:rPr>
        <w:t xml:space="preserve">            </w:t>
      </w:r>
      <w:r w:rsidR="003915A6">
        <w:rPr>
          <w:rFonts w:hint="cs"/>
          <w:rtl/>
        </w:rPr>
        <w:t xml:space="preserve">              </w:t>
      </w:r>
      <w:r w:rsidR="00163A91">
        <w:rPr>
          <w:rFonts w:hint="cs"/>
          <w:rtl/>
        </w:rPr>
        <w:t xml:space="preserve">      </w:t>
      </w:r>
      <w:r>
        <w:rPr>
          <w:rtl/>
        </w:rPr>
        <w:t>(5).</w:t>
      </w:r>
      <w:r w:rsidRPr="00132E65">
        <w:rPr>
          <w:rtl/>
        </w:rPr>
        <w:t xml:space="preserve"> يعني بترك منهاجه.</w:t>
      </w:r>
    </w:p>
    <w:p w:rsidR="000C39D1" w:rsidRPr="00132E65" w:rsidRDefault="000C39D1" w:rsidP="000C39D1">
      <w:pPr>
        <w:pStyle w:val="libFootnote0"/>
        <w:rPr>
          <w:rtl/>
          <w:lang w:bidi="fa-IR"/>
        </w:rPr>
      </w:pPr>
      <w:r>
        <w:rPr>
          <w:rtl/>
        </w:rPr>
        <w:t>(6).</w:t>
      </w:r>
      <w:r w:rsidRPr="00132E65">
        <w:rPr>
          <w:rtl/>
        </w:rPr>
        <w:t xml:space="preserve"> هكذا في « ب ، ج ، ض ، ف ، بح ، بر ، بس ، بف » و</w:t>
      </w:r>
      <w:r w:rsidRPr="009D1ACE">
        <w:rPr>
          <w:rStyle w:val="libFootnoteBoldChar"/>
          <w:rtl/>
        </w:rPr>
        <w:t>الوافي</w:t>
      </w:r>
      <w:r w:rsidRPr="00132E65">
        <w:rPr>
          <w:rtl/>
        </w:rPr>
        <w:t xml:space="preserve"> وكمال الدين. وفي المطبوع : « [ و ] كنت »</w:t>
      </w:r>
      <w:r>
        <w:rPr>
          <w:rtl/>
        </w:rPr>
        <w:t>.</w:t>
      </w:r>
    </w:p>
    <w:p w:rsidR="000C39D1" w:rsidRPr="00132E65" w:rsidRDefault="000C39D1" w:rsidP="000C39D1">
      <w:pPr>
        <w:pStyle w:val="libFootnote0"/>
        <w:rPr>
          <w:rtl/>
          <w:lang w:bidi="fa-IR"/>
        </w:rPr>
      </w:pPr>
      <w:r>
        <w:rPr>
          <w:rtl/>
        </w:rPr>
        <w:t>(7).</w:t>
      </w:r>
      <w:r w:rsidRPr="00132E65">
        <w:rPr>
          <w:rtl/>
        </w:rPr>
        <w:t xml:space="preserve"> « لم تنازع » اختار المجلسي كونه على بناء الفاعل ، ثمّ استظهر بناء المجهول ، وذكر وجوهاً في معناه.</w:t>
      </w:r>
    </w:p>
    <w:p w:rsidR="000C39D1" w:rsidRPr="00132E65" w:rsidRDefault="000C39D1" w:rsidP="000C39D1">
      <w:pPr>
        <w:pStyle w:val="libFootnote0"/>
        <w:rPr>
          <w:rtl/>
          <w:lang w:bidi="fa-IR"/>
        </w:rPr>
      </w:pPr>
      <w:r>
        <w:rPr>
          <w:rtl/>
        </w:rPr>
        <w:t>(8).</w:t>
      </w:r>
      <w:r w:rsidRPr="00132E65">
        <w:rPr>
          <w:rtl/>
        </w:rPr>
        <w:t xml:space="preserve"> « لَمْ تضرع » : معلوم من ضَرَعَ وضَرِعَ وضَرُع ، أي ذلّ وخضع واستكان وتذلّل وضعف. أو مجهول من أضرعه ، أي أذلّه. راجع : </w:t>
      </w:r>
      <w:r w:rsidRPr="00620606">
        <w:rPr>
          <w:rtl/>
        </w:rPr>
        <w:t>القاموس المحيط</w:t>
      </w:r>
      <w:r w:rsidRPr="00132E65">
        <w:rPr>
          <w:rtl/>
        </w:rPr>
        <w:t xml:space="preserve"> ، ج 2 ، ص 994 ( ضرع )</w:t>
      </w:r>
      <w:r>
        <w:rPr>
          <w:rtl/>
        </w:rPr>
        <w:t>.</w:t>
      </w:r>
    </w:p>
    <w:p w:rsidR="000C39D1" w:rsidRPr="00132E65" w:rsidRDefault="000C39D1" w:rsidP="000C39D1">
      <w:pPr>
        <w:pStyle w:val="libFootnote0"/>
        <w:rPr>
          <w:rtl/>
          <w:lang w:bidi="fa-IR"/>
        </w:rPr>
      </w:pPr>
      <w:r>
        <w:rPr>
          <w:rtl/>
        </w:rPr>
        <w:t>(9).</w:t>
      </w:r>
      <w:r w:rsidRPr="00132E65">
        <w:rPr>
          <w:rtl/>
        </w:rPr>
        <w:t xml:space="preserve"> « الرَغْمُ »</w:t>
      </w:r>
      <w:r>
        <w:rPr>
          <w:rtl/>
        </w:rPr>
        <w:t xml:space="preserve"> - </w:t>
      </w:r>
      <w:r w:rsidRPr="00132E65">
        <w:rPr>
          <w:rtl/>
        </w:rPr>
        <w:t>مثلّث الراء</w:t>
      </w:r>
      <w:r>
        <w:rPr>
          <w:rtl/>
        </w:rPr>
        <w:t xml:space="preserve"> - </w:t>
      </w:r>
      <w:r w:rsidRPr="00132E65">
        <w:rPr>
          <w:rtl/>
        </w:rPr>
        <w:t xml:space="preserve">: الذُلّ والكُرْه. ويقال : أرغم الله أنفه ، أي ألزقه بالرُغام وهو التراب. هذا هو الأصل ، ثمّ استعمل في الذلّ والعجز عن الانتصاف والانقياد على كُرْه. راجع : </w:t>
      </w:r>
      <w:r w:rsidRPr="009D1ACE">
        <w:rPr>
          <w:rStyle w:val="libFootnoteBoldChar"/>
          <w:rtl/>
        </w:rPr>
        <w:t>لسان العرب</w:t>
      </w:r>
      <w:r w:rsidRPr="00132E65">
        <w:rPr>
          <w:rtl/>
        </w:rPr>
        <w:t xml:space="preserve"> ، ج 12 ، ص 245</w:t>
      </w:r>
      <w:r>
        <w:rPr>
          <w:rtl/>
        </w:rPr>
        <w:t xml:space="preserve"> - </w:t>
      </w:r>
      <w:r w:rsidRPr="00132E65">
        <w:rPr>
          <w:rtl/>
        </w:rPr>
        <w:t>246 ( رغم )</w:t>
      </w:r>
      <w:r>
        <w:rPr>
          <w:rtl/>
        </w:rPr>
        <w:t>.</w:t>
      </w:r>
    </w:p>
    <w:p w:rsidR="000C39D1" w:rsidRPr="00132E65" w:rsidRDefault="000C39D1" w:rsidP="00163A91">
      <w:pPr>
        <w:pStyle w:val="libFootnote0"/>
        <w:rPr>
          <w:rtl/>
          <w:lang w:bidi="fa-IR"/>
        </w:rPr>
      </w:pPr>
      <w:r>
        <w:rPr>
          <w:rtl/>
          <w:lang w:bidi="fa-IR"/>
        </w:rPr>
        <w:t>(10).</w:t>
      </w:r>
      <w:r w:rsidRPr="00132E65">
        <w:rPr>
          <w:rtl/>
          <w:lang w:bidi="fa-IR"/>
        </w:rPr>
        <w:t xml:space="preserve"> في « ب ، بف » وحاشية « ض » و</w:t>
      </w:r>
      <w:r w:rsidRPr="009D1ACE">
        <w:rPr>
          <w:rStyle w:val="libFootnoteBoldChar"/>
          <w:rtl/>
        </w:rPr>
        <w:t>الوافي</w:t>
      </w:r>
      <w:r w:rsidRPr="00132E65">
        <w:rPr>
          <w:rtl/>
          <w:lang w:bidi="fa-IR"/>
        </w:rPr>
        <w:t xml:space="preserve"> والأمالي وكمال الدين : « ضغن » بمعنى الحقد. </w:t>
      </w:r>
      <w:r>
        <w:rPr>
          <w:rtl/>
          <w:lang w:bidi="fa-IR"/>
        </w:rPr>
        <w:t>و «</w:t>
      </w:r>
      <w:r w:rsidRPr="00132E65">
        <w:rPr>
          <w:rtl/>
          <w:lang w:bidi="fa-IR"/>
        </w:rPr>
        <w:t xml:space="preserve"> صغر الفاسقين » ، أي</w:t>
      </w:r>
      <w:r w:rsidR="00163A91">
        <w:rPr>
          <w:rFonts w:hint="cs"/>
          <w:rtl/>
          <w:lang w:bidi="fa-IR"/>
        </w:rPr>
        <w:t xml:space="preserve"> </w:t>
      </w:r>
      <w:r w:rsidRPr="00132E65">
        <w:rPr>
          <w:rtl/>
          <w:lang w:bidi="fa-IR"/>
        </w:rPr>
        <w:t xml:space="preserve">‌ذُلّهم وهوانهم. راجع : </w:t>
      </w:r>
      <w:r w:rsidRPr="00620606">
        <w:rPr>
          <w:rtl/>
        </w:rPr>
        <w:t>النهاية</w:t>
      </w:r>
      <w:r w:rsidRPr="00132E65">
        <w:rPr>
          <w:rtl/>
          <w:lang w:bidi="fa-IR"/>
        </w:rPr>
        <w:t xml:space="preserve"> ، ج 3 ، ص 33.</w:t>
      </w:r>
      <w:r w:rsidR="003915A6">
        <w:rPr>
          <w:rFonts w:hint="cs"/>
          <w:rtl/>
          <w:lang w:bidi="fa-IR"/>
        </w:rPr>
        <w:t xml:space="preserve">        </w:t>
      </w:r>
      <w:r w:rsidR="00163A91">
        <w:rPr>
          <w:rFonts w:hint="cs"/>
          <w:rtl/>
          <w:lang w:bidi="fa-IR"/>
        </w:rPr>
        <w:t xml:space="preserve">   </w:t>
      </w:r>
      <w:r>
        <w:rPr>
          <w:rtl/>
        </w:rPr>
        <w:t>(11).</w:t>
      </w:r>
      <w:r w:rsidRPr="00132E65">
        <w:rPr>
          <w:rtl/>
        </w:rPr>
        <w:t>في«ج»:«</w:t>
      </w:r>
      <w:r w:rsidR="00163A91">
        <w:rPr>
          <w:rtl/>
        </w:rPr>
        <w:t>حيث</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 الفَشَلُ » : الجزع والجُبْن والضعف. </w:t>
      </w:r>
      <w:r w:rsidRPr="00620606">
        <w:rPr>
          <w:rtl/>
        </w:rPr>
        <w:t>النهاية</w:t>
      </w:r>
      <w:r w:rsidRPr="00132E65">
        <w:rPr>
          <w:rtl/>
        </w:rPr>
        <w:t xml:space="preserve"> ، ج 3 ، ص 449 ( فشل )</w:t>
      </w:r>
      <w:r>
        <w:rPr>
          <w:rtl/>
        </w:rPr>
        <w:t>.</w:t>
      </w:r>
    </w:p>
    <w:p w:rsidR="000C39D1" w:rsidRPr="00132E65" w:rsidRDefault="000C39D1" w:rsidP="000C39D1">
      <w:pPr>
        <w:pStyle w:val="libFootnote0"/>
        <w:rPr>
          <w:rtl/>
          <w:lang w:bidi="fa-IR"/>
        </w:rPr>
      </w:pPr>
      <w:r>
        <w:rPr>
          <w:rtl/>
        </w:rPr>
        <w:t>(13)</w:t>
      </w:r>
      <w:r w:rsidRPr="00132E65">
        <w:rPr>
          <w:rtl/>
        </w:rPr>
        <w:t xml:space="preserve"> التَعْتَعَةُ في الكلام : التردّد فيه من حَصَرٍ أو عَيٍّ ، أي من ضيق وعجز. </w:t>
      </w:r>
      <w:r w:rsidRPr="00620606">
        <w:rPr>
          <w:rtl/>
        </w:rPr>
        <w:t>الصحاح</w:t>
      </w:r>
      <w:r w:rsidRPr="00132E65">
        <w:rPr>
          <w:rtl/>
        </w:rPr>
        <w:t xml:space="preserve"> ، ج 3 ، ص 1191 ( تعع )</w:t>
      </w:r>
      <w:r>
        <w:rPr>
          <w:rtl/>
        </w:rPr>
        <w:t>.</w:t>
      </w:r>
    </w:p>
    <w:p w:rsidR="000C39D1" w:rsidRPr="00132E65" w:rsidRDefault="000C39D1" w:rsidP="000C39D1">
      <w:pPr>
        <w:pStyle w:val="libFootnote0"/>
        <w:rPr>
          <w:rtl/>
          <w:lang w:bidi="fa-IR"/>
        </w:rPr>
      </w:pPr>
      <w:r>
        <w:rPr>
          <w:rtl/>
        </w:rPr>
        <w:t>(14)</w:t>
      </w:r>
      <w:r w:rsidRPr="00132E65">
        <w:rPr>
          <w:rtl/>
        </w:rPr>
        <w:t xml:space="preserve"> في « ب » وحاشية « بف » : « واتّبعوك »</w:t>
      </w:r>
      <w:r>
        <w:rPr>
          <w:rtl/>
        </w:rPr>
        <w:t>.</w:t>
      </w:r>
      <w:r w:rsidRPr="00132E65">
        <w:rPr>
          <w:rtl/>
        </w:rPr>
        <w:t xml:space="preserve"> وفي كمال الدين : « ولو اتّبعوك لهدوا » بدل « فاتّبعوك فهدوا »</w:t>
      </w:r>
      <w:r>
        <w:rPr>
          <w:rtl/>
        </w:rPr>
        <w:t>.</w:t>
      </w:r>
    </w:p>
    <w:p w:rsidR="000C39D1" w:rsidRPr="00132E65" w:rsidRDefault="000C39D1" w:rsidP="000C39D1">
      <w:pPr>
        <w:pStyle w:val="libFootnote0"/>
        <w:rPr>
          <w:rtl/>
          <w:lang w:bidi="fa-IR"/>
        </w:rPr>
      </w:pPr>
      <w:r>
        <w:rPr>
          <w:rtl/>
        </w:rPr>
        <w:t>(15)</w:t>
      </w:r>
      <w:r w:rsidRPr="00132E65">
        <w:rPr>
          <w:rtl/>
        </w:rPr>
        <w:t xml:space="preserve"> في « بس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(16)</w:t>
      </w:r>
      <w:r w:rsidRPr="00132E65">
        <w:rPr>
          <w:rtl/>
        </w:rPr>
        <w:t xml:space="preserve"> في حاشية « ف ، بح ، بس ، بف » : « قدماً »</w:t>
      </w:r>
      <w:r>
        <w:rPr>
          <w:rtl/>
        </w:rPr>
        <w:t>.</w:t>
      </w:r>
      <w:r w:rsidRPr="00132E65">
        <w:rPr>
          <w:rtl/>
        </w:rPr>
        <w:t xml:space="preserve"> وفي الأمالي : « فرقاً »</w:t>
      </w:r>
      <w:r>
        <w:rPr>
          <w:rtl/>
        </w:rPr>
        <w:t>.</w:t>
      </w:r>
      <w:r w:rsidRPr="00132E65">
        <w:rPr>
          <w:rtl/>
        </w:rPr>
        <w:t xml:space="preserve"> وفي كمال الدين : « قوّتاً »</w:t>
      </w:r>
      <w:r>
        <w:rPr>
          <w:rtl/>
        </w:rPr>
        <w:t>.</w:t>
      </w:r>
      <w:r w:rsidRPr="00132E65">
        <w:rPr>
          <w:rtl/>
        </w:rPr>
        <w:t xml:space="preserve"> </w:t>
      </w:r>
      <w:r>
        <w:rPr>
          <w:rtl/>
        </w:rPr>
        <w:t>و «</w:t>
      </w:r>
      <w:r w:rsidR="003915A6">
        <w:rPr>
          <w:rtl/>
        </w:rPr>
        <w:t xml:space="preserve"> القنوت</w:t>
      </w:r>
      <w:r w:rsidRPr="00132E65">
        <w:rPr>
          <w:rtl/>
        </w:rPr>
        <w:t xml:space="preserve">» يرد لمعان متعدّدة ، كالطاعة ، والخشوع ، والصلاة ، والدعاء ، والعبادة ، والقيام ، وطول القيام ، والسكوت. </w:t>
      </w:r>
      <w:r w:rsidRPr="00620606">
        <w:rPr>
          <w:rtl/>
        </w:rPr>
        <w:t>النهاية</w:t>
      </w:r>
      <w:r w:rsidRPr="00132E65">
        <w:rPr>
          <w:rtl/>
        </w:rPr>
        <w:t xml:space="preserve"> ، ج 4 ، ص 111 ( قنت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وَأَقَلَّهُمْ </w:t>
      </w:r>
      <w:r>
        <w:rPr>
          <w:rStyle w:val="libFootnotenumChar"/>
          <w:rtl/>
        </w:rPr>
        <w:t>(1)</w:t>
      </w:r>
      <w:r w:rsidRPr="00132E65">
        <w:rPr>
          <w:rtl/>
          <w:lang w:bidi="fa-IR"/>
        </w:rPr>
        <w:t xml:space="preserve"> كَلَاماً ، و</w:t>
      </w:r>
      <w:r w:rsidR="004851E2">
        <w:rPr>
          <w:rFonts w:hint="cs"/>
          <w:rtl/>
          <w:lang w:bidi="fa-IR"/>
        </w:rPr>
        <w:t xml:space="preserve">َ </w:t>
      </w:r>
      <w:r w:rsidRPr="00132E65">
        <w:rPr>
          <w:rtl/>
          <w:lang w:bidi="fa-IR"/>
        </w:rPr>
        <w:t xml:space="preserve">أَصْوَبَهُمْ نُطْقاً </w:t>
      </w:r>
      <w:r>
        <w:rPr>
          <w:rStyle w:val="libFootnotenumChar"/>
          <w:rtl/>
        </w:rPr>
        <w:t>(2)</w:t>
      </w:r>
      <w:r w:rsidRPr="00132E65">
        <w:rPr>
          <w:rtl/>
          <w:lang w:bidi="fa-IR"/>
        </w:rPr>
        <w:t xml:space="preserve"> ، و</w:t>
      </w:r>
      <w:r w:rsidR="009A3D18">
        <w:rPr>
          <w:rFonts w:hint="cs"/>
          <w:rtl/>
          <w:lang w:bidi="fa-IR"/>
        </w:rPr>
        <w:t xml:space="preserve">َ </w:t>
      </w:r>
      <w:r w:rsidRPr="00132E65">
        <w:rPr>
          <w:rtl/>
          <w:lang w:bidi="fa-IR"/>
        </w:rPr>
        <w:t xml:space="preserve">أَكْبَرَهُمْ </w:t>
      </w:r>
      <w:r>
        <w:rPr>
          <w:rStyle w:val="libFootnotenumChar"/>
          <w:rtl/>
        </w:rPr>
        <w:t>(3)</w:t>
      </w:r>
      <w:r w:rsidRPr="00132E65">
        <w:rPr>
          <w:rtl/>
          <w:lang w:bidi="fa-IR"/>
        </w:rPr>
        <w:t xml:space="preserve"> رَأْياً ، و</w:t>
      </w:r>
      <w:r w:rsidR="009A3D18">
        <w:rPr>
          <w:rFonts w:hint="cs"/>
          <w:rtl/>
          <w:lang w:bidi="fa-IR"/>
        </w:rPr>
        <w:t xml:space="preserve">َ </w:t>
      </w:r>
      <w:r w:rsidRPr="00132E65">
        <w:rPr>
          <w:rtl/>
          <w:lang w:bidi="fa-IR"/>
        </w:rPr>
        <w:t>أَشْجَعَهُمْ قَلْباً ، و</w:t>
      </w:r>
      <w:r w:rsidR="009A3D18">
        <w:rPr>
          <w:rFonts w:hint="cs"/>
          <w:rtl/>
          <w:lang w:bidi="fa-IR"/>
        </w:rPr>
        <w:t xml:space="preserve">َ </w:t>
      </w:r>
      <w:r w:rsidRPr="00132E65">
        <w:rPr>
          <w:rtl/>
          <w:lang w:bidi="fa-IR"/>
        </w:rPr>
        <w:t xml:space="preserve">أَشَدَّهُمْ يَقِيناً </w:t>
      </w:r>
      <w:r>
        <w:rPr>
          <w:rStyle w:val="libFootnotenumChar"/>
          <w:rtl/>
        </w:rPr>
        <w:t>(4)</w:t>
      </w:r>
      <w:r w:rsidRPr="00132E65">
        <w:rPr>
          <w:rtl/>
          <w:lang w:bidi="fa-IR"/>
        </w:rPr>
        <w:t xml:space="preserve"> ، وَأَحْسَنَهُمْ عَمَلاً ، و</w:t>
      </w:r>
      <w:r w:rsidR="009A3D18">
        <w:rPr>
          <w:rFonts w:hint="cs"/>
          <w:rtl/>
          <w:lang w:bidi="fa-IR"/>
        </w:rPr>
        <w:t xml:space="preserve">َ </w:t>
      </w:r>
      <w:r w:rsidRPr="00132E65">
        <w:rPr>
          <w:rtl/>
          <w:lang w:bidi="fa-IR"/>
        </w:rPr>
        <w:t>أَعْرَفَهُمْ بِالْأُمُورِ.</w:t>
      </w:r>
    </w:p>
    <w:p w:rsidR="000C39D1" w:rsidRPr="00132E65" w:rsidRDefault="000C39D1" w:rsidP="000C39D1">
      <w:pPr>
        <w:pStyle w:val="libNormal"/>
        <w:rPr>
          <w:rtl/>
          <w:lang w:bidi="fa-IR"/>
        </w:rPr>
      </w:pPr>
      <w:r w:rsidRPr="00132E65">
        <w:rPr>
          <w:rtl/>
          <w:lang w:bidi="fa-IR"/>
        </w:rPr>
        <w:t>كُنْتَ</w:t>
      </w:r>
      <w:r>
        <w:rPr>
          <w:rtl/>
          <w:lang w:bidi="fa-IR"/>
        </w:rPr>
        <w:t xml:space="preserve"> </w:t>
      </w:r>
      <w:r w:rsidR="009A3D18">
        <w:rPr>
          <w:rtl/>
          <w:lang w:bidi="fa-IR"/>
        </w:rPr>
        <w:t>–</w:t>
      </w:r>
      <w:r>
        <w:rPr>
          <w:rtl/>
          <w:lang w:bidi="fa-IR"/>
        </w:rPr>
        <w:t xml:space="preserve"> </w:t>
      </w:r>
      <w:r w:rsidRPr="00132E65">
        <w:rPr>
          <w:rtl/>
          <w:lang w:bidi="fa-IR"/>
        </w:rPr>
        <w:t>و</w:t>
      </w:r>
      <w:r w:rsidR="009A3D18">
        <w:rPr>
          <w:rFonts w:hint="cs"/>
          <w:rtl/>
          <w:lang w:bidi="fa-IR"/>
        </w:rPr>
        <w:t xml:space="preserve">َ </w:t>
      </w:r>
      <w:r w:rsidRPr="00132E65">
        <w:rPr>
          <w:rtl/>
          <w:lang w:bidi="fa-IR"/>
        </w:rPr>
        <w:t>اللهِ</w:t>
      </w:r>
      <w:r>
        <w:rPr>
          <w:rtl/>
          <w:lang w:bidi="fa-IR"/>
        </w:rPr>
        <w:t xml:space="preserve"> - </w:t>
      </w:r>
      <w:r w:rsidRPr="00132E65">
        <w:rPr>
          <w:rtl/>
          <w:lang w:bidi="fa-IR"/>
        </w:rPr>
        <w:t xml:space="preserve">يَعْسُوباً </w:t>
      </w:r>
      <w:r>
        <w:rPr>
          <w:rStyle w:val="libFootnotenumChar"/>
          <w:rtl/>
        </w:rPr>
        <w:t>(5)</w:t>
      </w:r>
      <w:r w:rsidRPr="00132E65">
        <w:rPr>
          <w:rtl/>
          <w:lang w:bidi="fa-IR"/>
        </w:rPr>
        <w:t xml:space="preserve"> لِلدِّينِ أَوَّلاً و</w:t>
      </w:r>
      <w:r w:rsidR="009A3D18">
        <w:rPr>
          <w:rFonts w:hint="cs"/>
          <w:rtl/>
          <w:lang w:bidi="fa-IR"/>
        </w:rPr>
        <w:t xml:space="preserve">َ </w:t>
      </w:r>
      <w:r w:rsidRPr="00132E65">
        <w:rPr>
          <w:rtl/>
          <w:lang w:bidi="fa-IR"/>
        </w:rPr>
        <w:t xml:space="preserve">آخِراً </w:t>
      </w:r>
      <w:r>
        <w:rPr>
          <w:rStyle w:val="libFootnotenumChar"/>
          <w:rtl/>
        </w:rPr>
        <w:t>(6)</w:t>
      </w:r>
      <w:r w:rsidRPr="00132E65">
        <w:rPr>
          <w:rtl/>
          <w:lang w:bidi="fa-IR"/>
        </w:rPr>
        <w:t xml:space="preserve"> ، الْأَوَّلَ </w:t>
      </w:r>
      <w:r>
        <w:rPr>
          <w:rStyle w:val="libFootnotenumChar"/>
          <w:rtl/>
        </w:rPr>
        <w:t>(7)</w:t>
      </w:r>
      <w:r w:rsidRPr="00132E65">
        <w:rPr>
          <w:rtl/>
          <w:lang w:bidi="fa-IR"/>
        </w:rPr>
        <w:t xml:space="preserve"> حِينَ تَفَرَّقَ النَّاسُ </w:t>
      </w:r>
      <w:r>
        <w:rPr>
          <w:rStyle w:val="libFootnotenumChar"/>
          <w:rtl/>
        </w:rPr>
        <w:t>(8)</w:t>
      </w:r>
      <w:r w:rsidRPr="00132E65">
        <w:rPr>
          <w:rtl/>
          <w:lang w:bidi="fa-IR"/>
        </w:rPr>
        <w:t xml:space="preserve"> ، و</w:t>
      </w:r>
      <w:r w:rsidR="009A3D18">
        <w:rPr>
          <w:rFonts w:hint="cs"/>
          <w:rtl/>
          <w:lang w:bidi="fa-IR"/>
        </w:rPr>
        <w:t xml:space="preserve">َ </w:t>
      </w:r>
      <w:r w:rsidRPr="00132E65">
        <w:rPr>
          <w:rtl/>
          <w:lang w:bidi="fa-IR"/>
        </w:rPr>
        <w:t xml:space="preserve">الْآخِرَ </w:t>
      </w:r>
      <w:r>
        <w:rPr>
          <w:rStyle w:val="libFootnotenumChar"/>
          <w:rtl/>
        </w:rPr>
        <w:t>(9)</w:t>
      </w:r>
      <w:r w:rsidRPr="00132E65">
        <w:rPr>
          <w:rtl/>
          <w:lang w:bidi="fa-IR"/>
        </w:rPr>
        <w:t xml:space="preserve"> حِينَ فَشِلُوا ، كُنْتَ لِلْمُؤْمِنِينَ أَباً رَحِيماً إِذْ صَارُوا عَلَيْكَ عِيَالاً ، فَحَمَلْتَ أَثْقَالَ مَا عَنْهُ ضَعُفُوا ، و</w:t>
      </w:r>
      <w:r w:rsidR="009A3D18">
        <w:rPr>
          <w:rFonts w:hint="cs"/>
          <w:rtl/>
          <w:lang w:bidi="fa-IR"/>
        </w:rPr>
        <w:t xml:space="preserve">َ </w:t>
      </w:r>
      <w:r w:rsidRPr="00132E65">
        <w:rPr>
          <w:rtl/>
          <w:lang w:bidi="fa-IR"/>
        </w:rPr>
        <w:t>حَفِظْتَ مَا أَضَاعُوا ، و</w:t>
      </w:r>
      <w:r w:rsidR="009A3D18">
        <w:rPr>
          <w:rFonts w:hint="cs"/>
          <w:rtl/>
          <w:lang w:bidi="fa-IR"/>
        </w:rPr>
        <w:t xml:space="preserve">َ </w:t>
      </w:r>
      <w:r w:rsidRPr="00132E65">
        <w:rPr>
          <w:rtl/>
          <w:lang w:bidi="fa-IR"/>
        </w:rPr>
        <w:t>رَعَيْتَ مَا أَهْمَلُوا ، و</w:t>
      </w:r>
      <w:r w:rsidR="009A3D18">
        <w:rPr>
          <w:rFonts w:hint="cs"/>
          <w:rtl/>
          <w:lang w:bidi="fa-IR"/>
        </w:rPr>
        <w:t xml:space="preserve">َ </w:t>
      </w:r>
      <w:r w:rsidRPr="00132E65">
        <w:rPr>
          <w:rtl/>
          <w:lang w:bidi="fa-IR"/>
        </w:rPr>
        <w:t xml:space="preserve">شَمَّرْتَ </w:t>
      </w:r>
      <w:r>
        <w:rPr>
          <w:rStyle w:val="libFootnotenumChar"/>
          <w:rtl/>
        </w:rPr>
        <w:t>(10)</w:t>
      </w:r>
      <w:r w:rsidRPr="00132E65">
        <w:rPr>
          <w:rtl/>
          <w:lang w:bidi="fa-IR"/>
        </w:rPr>
        <w:t xml:space="preserve"> إِذَا اجْتَمَعُوا </w:t>
      </w:r>
      <w:r>
        <w:rPr>
          <w:rStyle w:val="libFootnotenumChar"/>
          <w:rtl/>
        </w:rPr>
        <w:t>(11)</w:t>
      </w:r>
      <w:r w:rsidRPr="00132E65">
        <w:rPr>
          <w:rtl/>
          <w:lang w:bidi="fa-IR"/>
        </w:rPr>
        <w:t xml:space="preserve"> ، و</w:t>
      </w:r>
      <w:r w:rsidR="009A3D18">
        <w:rPr>
          <w:rFonts w:hint="cs"/>
          <w:rtl/>
          <w:lang w:bidi="fa-IR"/>
        </w:rPr>
        <w:t xml:space="preserve">َ </w:t>
      </w:r>
      <w:r w:rsidRPr="00132E65">
        <w:rPr>
          <w:rtl/>
          <w:lang w:bidi="fa-IR"/>
        </w:rPr>
        <w:t xml:space="preserve">عَلَوْتَ إِذْ </w:t>
      </w:r>
      <w:r>
        <w:rPr>
          <w:rStyle w:val="libFootnotenumChar"/>
          <w:rtl/>
        </w:rPr>
        <w:t>(12)</w:t>
      </w:r>
      <w:r w:rsidRPr="00132E65">
        <w:rPr>
          <w:rtl/>
          <w:lang w:bidi="fa-IR"/>
        </w:rPr>
        <w:t xml:space="preserve"> هَلِعُوا </w:t>
      </w:r>
      <w:r w:rsidRPr="00F543F1">
        <w:rPr>
          <w:rStyle w:val="libFootnotenumChar"/>
          <w:rtl/>
        </w:rPr>
        <w:t>(13)</w:t>
      </w:r>
      <w:r w:rsidRPr="00132E65">
        <w:rPr>
          <w:rtl/>
          <w:lang w:bidi="fa-IR"/>
        </w:rPr>
        <w:t xml:space="preserve"> ، و</w:t>
      </w:r>
      <w:r w:rsidR="009A3D18">
        <w:rPr>
          <w:rFonts w:hint="cs"/>
          <w:rtl/>
          <w:lang w:bidi="fa-IR"/>
        </w:rPr>
        <w:t xml:space="preserve">َ </w:t>
      </w:r>
      <w:r w:rsidRPr="00132E65">
        <w:rPr>
          <w:rtl/>
          <w:lang w:bidi="fa-IR"/>
        </w:rPr>
        <w:t xml:space="preserve">صَبَرْتَ إِذْ أَسْرَعُوا </w:t>
      </w:r>
      <w:r w:rsidRPr="00F543F1">
        <w:rPr>
          <w:rStyle w:val="libFootnotenumChar"/>
          <w:rtl/>
        </w:rPr>
        <w:t>(14)</w:t>
      </w:r>
      <w:r w:rsidRPr="00132E65">
        <w:rPr>
          <w:rtl/>
          <w:lang w:bidi="fa-IR"/>
        </w:rPr>
        <w:t xml:space="preserve"> ، و</w:t>
      </w:r>
      <w:r w:rsidR="009A3D18">
        <w:rPr>
          <w:rFonts w:hint="cs"/>
          <w:rtl/>
          <w:lang w:bidi="fa-IR"/>
        </w:rPr>
        <w:t xml:space="preserve">َ </w:t>
      </w:r>
      <w:r w:rsidRPr="00132E65">
        <w:rPr>
          <w:rtl/>
          <w:lang w:bidi="fa-IR"/>
        </w:rPr>
        <w:t xml:space="preserve">أَدْرَكْتَ أَوْتَارَ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879B4" w:rsidTr="00B879B4">
        <w:tc>
          <w:tcPr>
            <w:tcW w:w="4006" w:type="dxa"/>
          </w:tcPr>
          <w:p w:rsidR="00B879B4" w:rsidRDefault="00B879B4" w:rsidP="00FA06FD">
            <w:pPr>
              <w:pStyle w:val="libFootnote0"/>
              <w:rPr>
                <w:rtl/>
              </w:rPr>
            </w:pPr>
            <w:r>
              <w:rPr>
                <w:rtl/>
              </w:rPr>
              <w:t>(1).</w:t>
            </w:r>
            <w:r w:rsidRPr="00132E65">
              <w:rPr>
                <w:rtl/>
              </w:rPr>
              <w:t xml:space="preserve"> في حاشية «ج»:«وأطيبهم»</w:t>
            </w:r>
            <w:r>
              <w:rPr>
                <w:rtl/>
              </w:rPr>
              <w:t>.</w:t>
            </w:r>
          </w:p>
        </w:tc>
        <w:tc>
          <w:tcPr>
            <w:tcW w:w="4006" w:type="dxa"/>
          </w:tcPr>
          <w:p w:rsidR="00B879B4" w:rsidRDefault="00B879B4" w:rsidP="00B879B4">
            <w:pPr>
              <w:pStyle w:val="libFootnote0"/>
              <w:rPr>
                <w:rtl/>
              </w:rPr>
            </w:pPr>
            <w:r>
              <w:rPr>
                <w:rtl/>
              </w:rPr>
              <w:t>(2).</w:t>
            </w:r>
            <w:r w:rsidRPr="00132E65">
              <w:rPr>
                <w:rtl/>
              </w:rPr>
              <w:t>في حاشية«بح»والأمالي وكمال الدين:«</w:t>
            </w:r>
            <w:r>
              <w:rPr>
                <w:rtl/>
              </w:rPr>
              <w:t>منطقاً</w:t>
            </w:r>
            <w:r w:rsidRPr="00132E65">
              <w:rPr>
                <w:rtl/>
              </w:rPr>
              <w:t>»</w:t>
            </w:r>
            <w:r>
              <w:rPr>
                <w:rtl/>
              </w:rPr>
              <w:t>.</w:t>
            </w:r>
          </w:p>
        </w:tc>
      </w:tr>
    </w:tbl>
    <w:p w:rsidR="000C39D1" w:rsidRPr="00132E65" w:rsidRDefault="000C39D1" w:rsidP="000C39D1">
      <w:pPr>
        <w:pStyle w:val="libFootnote0"/>
        <w:rPr>
          <w:rtl/>
          <w:lang w:bidi="fa-IR"/>
        </w:rPr>
      </w:pPr>
      <w:r>
        <w:rPr>
          <w:rtl/>
        </w:rPr>
        <w:t>(3).</w:t>
      </w:r>
      <w:r w:rsidRPr="00132E65">
        <w:rPr>
          <w:rtl/>
        </w:rPr>
        <w:t xml:space="preserve"> في « ب ، بح ، بف » والأمالي : « وأكثرهم »</w:t>
      </w:r>
      <w:r>
        <w:rPr>
          <w:rtl/>
        </w:rPr>
        <w:t>.</w:t>
      </w:r>
    </w:p>
    <w:p w:rsidR="000C39D1" w:rsidRPr="00132E65" w:rsidRDefault="000C39D1" w:rsidP="000C39D1">
      <w:pPr>
        <w:pStyle w:val="libFootnote0"/>
        <w:rPr>
          <w:rtl/>
          <w:lang w:bidi="fa-IR"/>
        </w:rPr>
      </w:pPr>
      <w:r>
        <w:rPr>
          <w:rtl/>
        </w:rPr>
        <w:t>(4).</w:t>
      </w:r>
      <w:r w:rsidRPr="00132E65">
        <w:rPr>
          <w:rtl/>
        </w:rPr>
        <w:t xml:space="preserve"> « وأشدّهم يقيناً </w:t>
      </w:r>
      <w:r w:rsidR="000F225A">
        <w:rPr>
          <w:rtl/>
        </w:rPr>
        <w:t>» مكرّر من الناسخ أو الرواة إل</w:t>
      </w:r>
      <w:r w:rsidR="000F225A">
        <w:rPr>
          <w:rFonts w:hint="cs"/>
          <w:rtl/>
        </w:rPr>
        <w:t>ّ</w:t>
      </w:r>
      <w:r w:rsidR="000F225A">
        <w:rPr>
          <w:rtl/>
        </w:rPr>
        <w:t>ا</w:t>
      </w:r>
      <w:r>
        <w:rPr>
          <w:rFonts w:hint="cs"/>
          <w:rtl/>
        </w:rPr>
        <w:t xml:space="preserve"> </w:t>
      </w:r>
      <w:r w:rsidRPr="00132E65">
        <w:rPr>
          <w:rtl/>
        </w:rPr>
        <w:t xml:space="preserve">أن يراد باليقين هاهنا اليقين بالأحكام أو القضاء والقدر ، وفي السابق اليقين بالله تعالى ورسوله </w:t>
      </w:r>
      <w:r w:rsidRPr="009A3D18">
        <w:rPr>
          <w:rStyle w:val="libFootnoteAlaemChar"/>
          <w:rFonts w:eastAsiaTheme="minorHAnsi"/>
          <w:rtl/>
        </w:rPr>
        <w:t>صلى‌الله‌عليه‌وآله</w:t>
      </w:r>
      <w:r w:rsidRPr="00132E65">
        <w:rPr>
          <w:rtl/>
        </w:rPr>
        <w:t xml:space="preserve">. راجع : </w:t>
      </w:r>
      <w:r w:rsidRPr="00620606">
        <w:rPr>
          <w:rtl/>
        </w:rPr>
        <w:t>شرح المازندراني</w:t>
      </w:r>
      <w:r w:rsidRPr="00132E65">
        <w:rPr>
          <w:rtl/>
        </w:rPr>
        <w:t xml:space="preserve"> ، ج 7 ، ص 199 ؛ </w:t>
      </w:r>
      <w:r w:rsidRPr="009D1ACE">
        <w:rPr>
          <w:rStyle w:val="libFootnoteBoldChar"/>
          <w:rtl/>
        </w:rPr>
        <w:t>مرآة العقول</w:t>
      </w:r>
      <w:r w:rsidRPr="00132E65">
        <w:rPr>
          <w:rtl/>
        </w:rPr>
        <w:t xml:space="preserve"> ، ج 5 ، ص 297.</w:t>
      </w:r>
    </w:p>
    <w:p w:rsidR="000C39D1" w:rsidRPr="00132E65" w:rsidRDefault="000C39D1" w:rsidP="000C39D1">
      <w:pPr>
        <w:pStyle w:val="libFootnote0"/>
        <w:rPr>
          <w:rtl/>
          <w:lang w:bidi="fa-IR"/>
        </w:rPr>
      </w:pPr>
      <w:r>
        <w:rPr>
          <w:rtl/>
        </w:rPr>
        <w:t>(5).</w:t>
      </w:r>
      <w:r w:rsidRPr="00132E65">
        <w:rPr>
          <w:rtl/>
        </w:rPr>
        <w:t xml:space="preserve"> « اليعسوب » في الأصل : أمير النحل وفحلها. ويطلق على سيّد القوم ورئيسهم ومقدّمهم لرجوعهم إليه</w:t>
      </w:r>
      <w:r w:rsidR="000F225A">
        <w:rPr>
          <w:rFonts w:hint="cs"/>
          <w:rtl/>
        </w:rPr>
        <w:t xml:space="preserve"> </w:t>
      </w:r>
      <w:r w:rsidRPr="00132E65">
        <w:rPr>
          <w:rtl/>
        </w:rPr>
        <w:t xml:space="preserve">‌واجتماعهم عليه ولَوْذهم به ، كما تجتمع النحل على يعسوبها وتلوذ بها. والمعنى سيّد الناس في الدين. راجع : </w:t>
      </w:r>
      <w:r w:rsidRPr="009D1ACE">
        <w:rPr>
          <w:rStyle w:val="libFootnoteBoldChar"/>
          <w:rtl/>
        </w:rPr>
        <w:t>لسان العرب</w:t>
      </w:r>
      <w:r w:rsidRPr="00132E65">
        <w:rPr>
          <w:rtl/>
        </w:rPr>
        <w:t xml:space="preserve"> ، ج 1 ، ص 599</w:t>
      </w:r>
      <w:r>
        <w:rPr>
          <w:rtl/>
        </w:rPr>
        <w:t xml:space="preserve"> - </w:t>
      </w:r>
      <w:r w:rsidRPr="00132E65">
        <w:rPr>
          <w:rtl/>
        </w:rPr>
        <w:t>600 ( عسب )</w:t>
      </w:r>
      <w:r>
        <w:rPr>
          <w:rtl/>
        </w:rPr>
        <w:t>.</w:t>
      </w:r>
    </w:p>
    <w:p w:rsidR="000C39D1" w:rsidRPr="00132E65" w:rsidRDefault="000C39D1" w:rsidP="000C39D1">
      <w:pPr>
        <w:pStyle w:val="libFootnote0"/>
        <w:rPr>
          <w:rtl/>
          <w:lang w:bidi="fa-IR"/>
        </w:rPr>
      </w:pPr>
      <w:r>
        <w:rPr>
          <w:rtl/>
        </w:rPr>
        <w:t>(6).</w:t>
      </w:r>
      <w:r w:rsidRPr="00132E65">
        <w:rPr>
          <w:rtl/>
        </w:rPr>
        <w:t xml:space="preserve"> في « ب ، بر ، بف » و</w:t>
      </w:r>
      <w:r w:rsidRPr="009D1ACE">
        <w:rPr>
          <w:rStyle w:val="libFootnoteBoldChar"/>
          <w:rtl/>
        </w:rPr>
        <w:t>الوافي</w:t>
      </w:r>
      <w:r w:rsidRPr="00132E65">
        <w:rPr>
          <w:rtl/>
        </w:rPr>
        <w:t xml:space="preserve"> والأمالي وكمال الدين </w:t>
      </w:r>
      <w:r>
        <w:rPr>
          <w:rtl/>
        </w:rPr>
        <w:t xml:space="preserve">: - </w:t>
      </w:r>
      <w:r w:rsidRPr="00132E65">
        <w:rPr>
          <w:rtl/>
        </w:rPr>
        <w:t>« آخراً »</w:t>
      </w:r>
      <w:r>
        <w:rPr>
          <w:rtl/>
        </w:rPr>
        <w:t>.</w:t>
      </w:r>
    </w:p>
    <w:p w:rsidR="000C39D1" w:rsidRPr="00132E65" w:rsidRDefault="000C39D1" w:rsidP="000C39D1">
      <w:pPr>
        <w:pStyle w:val="libFootnote0"/>
        <w:rPr>
          <w:rtl/>
          <w:lang w:bidi="fa-IR"/>
        </w:rPr>
      </w:pPr>
      <w:r>
        <w:rPr>
          <w:rtl/>
        </w:rPr>
        <w:t>(7).</w:t>
      </w:r>
      <w:r w:rsidRPr="00132E65">
        <w:rPr>
          <w:rtl/>
        </w:rPr>
        <w:t xml:space="preserve"> في « ض ، بر ، بف » و</w:t>
      </w:r>
      <w:r w:rsidRPr="009D1ACE">
        <w:rPr>
          <w:rStyle w:val="libFootnoteBoldChar"/>
          <w:rtl/>
        </w:rPr>
        <w:t>الوافي</w:t>
      </w:r>
      <w:r w:rsidRPr="00132E65">
        <w:rPr>
          <w:rtl/>
        </w:rPr>
        <w:t xml:space="preserve"> والأمالي وكمال الدين </w:t>
      </w:r>
      <w:r>
        <w:rPr>
          <w:rtl/>
        </w:rPr>
        <w:t xml:space="preserve">: - </w:t>
      </w:r>
      <w:r w:rsidRPr="00132E65">
        <w:rPr>
          <w:rtl/>
        </w:rPr>
        <w:t>« الأوّل »</w:t>
      </w:r>
      <w:r>
        <w:rPr>
          <w:rtl/>
        </w:rPr>
        <w:t>.</w:t>
      </w:r>
    </w:p>
    <w:p w:rsidR="000C39D1" w:rsidRPr="00132E65" w:rsidRDefault="000C39D1" w:rsidP="000C39D1">
      <w:pPr>
        <w:pStyle w:val="libFootnote0"/>
        <w:rPr>
          <w:rtl/>
          <w:lang w:bidi="fa-IR"/>
        </w:rPr>
      </w:pPr>
      <w:r>
        <w:rPr>
          <w:rtl/>
        </w:rPr>
        <w:t>(8).</w:t>
      </w:r>
      <w:r w:rsidRPr="00132E65">
        <w:rPr>
          <w:rtl/>
        </w:rPr>
        <w:t xml:space="preserve"> في « بر » </w:t>
      </w:r>
      <w:r>
        <w:rPr>
          <w:rtl/>
        </w:rPr>
        <w:t xml:space="preserve">: - </w:t>
      </w:r>
      <w:r w:rsidRPr="00132E65">
        <w:rPr>
          <w:rtl/>
        </w:rPr>
        <w:t>« الناس »</w:t>
      </w:r>
      <w:r>
        <w:rPr>
          <w:rtl/>
        </w:rPr>
        <w:t>.</w:t>
      </w:r>
    </w:p>
    <w:p w:rsidR="000C39D1" w:rsidRPr="00132E65" w:rsidRDefault="000C39D1" w:rsidP="000C39D1">
      <w:pPr>
        <w:pStyle w:val="libFootnote0"/>
        <w:rPr>
          <w:rtl/>
          <w:lang w:bidi="fa-IR"/>
        </w:rPr>
      </w:pPr>
      <w:r>
        <w:rPr>
          <w:rtl/>
        </w:rPr>
        <w:t>(9).</w:t>
      </w:r>
      <w:r w:rsidRPr="00132E65">
        <w:rPr>
          <w:rtl/>
        </w:rPr>
        <w:t xml:space="preserve"> في « ب ، بر ، بف » و</w:t>
      </w:r>
      <w:r w:rsidRPr="009D1ACE">
        <w:rPr>
          <w:rStyle w:val="libFootnoteBoldChar"/>
          <w:rtl/>
        </w:rPr>
        <w:t>الوافي</w:t>
      </w:r>
      <w:r w:rsidRPr="00132E65">
        <w:rPr>
          <w:rtl/>
        </w:rPr>
        <w:t xml:space="preserve"> والأمالي وكمال الدين : « وآخراً »</w:t>
      </w:r>
      <w:r>
        <w:rPr>
          <w:rtl/>
        </w:rPr>
        <w:t>.</w:t>
      </w:r>
    </w:p>
    <w:p w:rsidR="000C39D1" w:rsidRPr="00132E65" w:rsidRDefault="000C39D1" w:rsidP="000C39D1">
      <w:pPr>
        <w:pStyle w:val="libFootnote0"/>
        <w:rPr>
          <w:rtl/>
          <w:lang w:bidi="fa-IR"/>
        </w:rPr>
      </w:pPr>
      <w:r>
        <w:rPr>
          <w:rtl/>
        </w:rPr>
        <w:t>(10).</w:t>
      </w:r>
      <w:r w:rsidRPr="00132E65">
        <w:rPr>
          <w:rtl/>
        </w:rPr>
        <w:t xml:space="preserve"> « شمّرت » ، أي اجتهدت وهممت ؛ من التشمير بمعنى الهمّ ، وهو الجدّ في الأمر والاجتهاد. راجع : </w:t>
      </w:r>
      <w:r w:rsidRPr="00620606">
        <w:rPr>
          <w:rtl/>
        </w:rPr>
        <w:t>النهاية</w:t>
      </w:r>
      <w:r w:rsidRPr="00132E65">
        <w:rPr>
          <w:rtl/>
        </w:rPr>
        <w:t xml:space="preserve"> ، ج 2 ، ص 500 ( شمر )</w:t>
      </w:r>
      <w:r>
        <w:rPr>
          <w:rtl/>
        </w:rPr>
        <w:t>.</w:t>
      </w:r>
    </w:p>
    <w:p w:rsidR="000C39D1" w:rsidRPr="00132E65" w:rsidRDefault="000C39D1" w:rsidP="000C39D1">
      <w:pPr>
        <w:pStyle w:val="libFootnote0"/>
        <w:rPr>
          <w:rtl/>
          <w:lang w:bidi="fa-IR"/>
        </w:rPr>
      </w:pPr>
      <w:r>
        <w:rPr>
          <w:rtl/>
        </w:rPr>
        <w:t>(11).</w:t>
      </w:r>
      <w:r w:rsidRPr="00132E65">
        <w:rPr>
          <w:rtl/>
        </w:rPr>
        <w:t xml:space="preserve"> أي من الأمر من ا</w:t>
      </w:r>
      <w:r w:rsidR="000F225A">
        <w:rPr>
          <w:rFonts w:hint="cs"/>
          <w:rtl/>
        </w:rPr>
        <w:t>ُ</w:t>
      </w:r>
      <w:r w:rsidRPr="00132E65">
        <w:rPr>
          <w:rtl/>
        </w:rPr>
        <w:t>مور الدين. وفي « ب ، ج ، بح ، بس » : « إذِ اجْتمعوا »</w:t>
      </w:r>
      <w:r>
        <w:rPr>
          <w:rtl/>
        </w:rPr>
        <w:t>.</w:t>
      </w:r>
      <w:r w:rsidRPr="00132E65">
        <w:rPr>
          <w:rtl/>
        </w:rPr>
        <w:t xml:space="preserve"> وفي « بر » وحاشية « ج ، ف » : « إذاجشعوا »</w:t>
      </w:r>
      <w:r>
        <w:rPr>
          <w:rtl/>
        </w:rPr>
        <w:t>.</w:t>
      </w:r>
      <w:r w:rsidRPr="00132E65">
        <w:rPr>
          <w:rtl/>
        </w:rPr>
        <w:t xml:space="preserve"> وفي شرح المازندراني و</w:t>
      </w:r>
      <w:r w:rsidRPr="009D1ACE">
        <w:rPr>
          <w:rStyle w:val="libFootnoteBoldChar"/>
          <w:rtl/>
        </w:rPr>
        <w:t>مرآة العقول</w:t>
      </w:r>
      <w:r w:rsidRPr="00132E65">
        <w:rPr>
          <w:rtl/>
        </w:rPr>
        <w:t xml:space="preserve"> عن بعض النسخ : « إذا خشعوا »</w:t>
      </w:r>
      <w:r>
        <w:rPr>
          <w:rtl/>
        </w:rPr>
        <w:t>.</w:t>
      </w:r>
      <w:r w:rsidRPr="00132E65">
        <w:rPr>
          <w:rtl/>
        </w:rPr>
        <w:t xml:space="preserve"> وفي كمال الدين : « إذْ خففوا »</w:t>
      </w:r>
      <w:r>
        <w:rPr>
          <w:rtl/>
        </w:rPr>
        <w:t>.</w:t>
      </w:r>
    </w:p>
    <w:p w:rsidR="000C39D1" w:rsidRPr="00132E65" w:rsidRDefault="000C39D1" w:rsidP="000C39D1">
      <w:pPr>
        <w:pStyle w:val="libFootnote0"/>
        <w:rPr>
          <w:rtl/>
          <w:lang w:bidi="fa-IR"/>
        </w:rPr>
      </w:pPr>
      <w:r>
        <w:rPr>
          <w:rtl/>
        </w:rPr>
        <w:t>(12).</w:t>
      </w:r>
      <w:r w:rsidRPr="00132E65">
        <w:rPr>
          <w:rtl/>
        </w:rPr>
        <w:t xml:space="preserve"> في « ف » : « إذا »</w:t>
      </w:r>
      <w:r>
        <w:rPr>
          <w:rtl/>
        </w:rPr>
        <w:t>.</w:t>
      </w:r>
    </w:p>
    <w:p w:rsidR="000C39D1" w:rsidRPr="00132E65" w:rsidRDefault="000C39D1" w:rsidP="000C39D1">
      <w:pPr>
        <w:pStyle w:val="libFootnote0"/>
        <w:rPr>
          <w:rtl/>
          <w:lang w:bidi="fa-IR"/>
        </w:rPr>
      </w:pPr>
      <w:r>
        <w:rPr>
          <w:rtl/>
        </w:rPr>
        <w:t>(13)</w:t>
      </w:r>
      <w:r w:rsidRPr="00132E65">
        <w:rPr>
          <w:rtl/>
        </w:rPr>
        <w:t xml:space="preserve"> « الهلعُ » : الحرص. وقيل : الجزع وقلّة الصبر. وقيل : هو أسوأ الجزع وأفحشه. </w:t>
      </w:r>
      <w:r w:rsidRPr="009D1ACE">
        <w:rPr>
          <w:rStyle w:val="libFootnoteBoldChar"/>
          <w:rtl/>
        </w:rPr>
        <w:t>لسان العرب</w:t>
      </w:r>
      <w:r w:rsidR="003915A6">
        <w:rPr>
          <w:rtl/>
        </w:rPr>
        <w:t xml:space="preserve"> ، ج 8 ، ص 374 (هلع</w:t>
      </w:r>
      <w:r w:rsidRPr="00132E65">
        <w:rPr>
          <w:rtl/>
        </w:rPr>
        <w:t>)</w:t>
      </w:r>
      <w:r>
        <w:rPr>
          <w:rtl/>
        </w:rPr>
        <w:t>.</w:t>
      </w:r>
    </w:p>
    <w:p w:rsidR="000C39D1" w:rsidRPr="00132E65" w:rsidRDefault="000C39D1" w:rsidP="000C39D1">
      <w:pPr>
        <w:pStyle w:val="libFootnote0"/>
        <w:rPr>
          <w:rtl/>
          <w:lang w:bidi="fa-IR"/>
        </w:rPr>
      </w:pPr>
      <w:r>
        <w:rPr>
          <w:rtl/>
        </w:rPr>
        <w:t>(14)</w:t>
      </w:r>
      <w:r w:rsidRPr="00132E65">
        <w:rPr>
          <w:rtl/>
        </w:rPr>
        <w:t xml:space="preserve"> في « بف » : « سرعوا »</w:t>
      </w:r>
      <w:r>
        <w:rPr>
          <w:rtl/>
        </w:rPr>
        <w:t>.</w:t>
      </w:r>
      <w:r w:rsidRPr="00132E65">
        <w:rPr>
          <w:rtl/>
        </w:rPr>
        <w:t xml:space="preserve"> وفي الأمالي « أشرعوا »</w:t>
      </w:r>
      <w:r>
        <w:rPr>
          <w:rtl/>
        </w:rPr>
        <w:t>.</w:t>
      </w:r>
      <w:r w:rsidRPr="00132E65">
        <w:rPr>
          <w:rtl/>
        </w:rPr>
        <w:t xml:space="preserve"> وفي كمال الدين : « جزعوا »</w:t>
      </w:r>
      <w:r>
        <w:rPr>
          <w:rtl/>
        </w:rPr>
        <w:t>.</w:t>
      </w:r>
    </w:p>
    <w:p w:rsidR="000C39D1" w:rsidRPr="00132E65" w:rsidRDefault="000C39D1" w:rsidP="000C39D1">
      <w:pPr>
        <w:pStyle w:val="libFootnote0"/>
        <w:rPr>
          <w:rtl/>
          <w:lang w:bidi="fa-IR"/>
        </w:rPr>
      </w:pPr>
      <w:r>
        <w:rPr>
          <w:rtl/>
        </w:rPr>
        <w:t>(15)</w:t>
      </w:r>
      <w:r w:rsidRPr="00132E65">
        <w:rPr>
          <w:rtl/>
        </w:rPr>
        <w:t xml:space="preserve"> قال ابن الأثير : « الأوتار : هي جمع وتْر ، بالكسر ، وهي الجناية »</w:t>
      </w:r>
      <w:r>
        <w:rPr>
          <w:rtl/>
        </w:rPr>
        <w:t>.</w:t>
      </w:r>
      <w:r w:rsidRPr="00132E65">
        <w:rPr>
          <w:rtl/>
        </w:rPr>
        <w:t xml:space="preserve"> قال المازندراني : « يخاطب بهذا الكلام </w:t>
      </w:r>
      <w:r w:rsidR="000F225A">
        <w:rPr>
          <w:rtl/>
        </w:rPr>
        <w:t>أمير</w:t>
      </w:r>
      <w:r w:rsidR="000F225A">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مَا طَلَبُوا </w:t>
      </w:r>
      <w:r>
        <w:rPr>
          <w:rStyle w:val="libFootnotenumChar"/>
          <w:rtl/>
        </w:rPr>
        <w:t>(1)</w:t>
      </w:r>
      <w:r w:rsidRPr="00132E65">
        <w:rPr>
          <w:rtl/>
          <w:lang w:bidi="fa-IR"/>
        </w:rPr>
        <w:t xml:space="preserve"> ، و</w:t>
      </w:r>
      <w:r w:rsidR="00C07512">
        <w:rPr>
          <w:rFonts w:hint="cs"/>
          <w:rtl/>
          <w:lang w:bidi="fa-IR"/>
        </w:rPr>
        <w:t>َ</w:t>
      </w:r>
      <w:r w:rsidRPr="00132E65">
        <w:rPr>
          <w:rtl/>
          <w:lang w:bidi="fa-IR"/>
        </w:rPr>
        <w:t xml:space="preserve">نَالُوا </w:t>
      </w:r>
      <w:r>
        <w:rPr>
          <w:rStyle w:val="libFootnotenumChar"/>
          <w:rtl/>
        </w:rPr>
        <w:t>(2)</w:t>
      </w:r>
      <w:r w:rsidRPr="00132E65">
        <w:rPr>
          <w:rtl/>
          <w:lang w:bidi="fa-IR"/>
        </w:rPr>
        <w:t xml:space="preserve"> بِكَ مَا لَمْ يَحْتَسِبُوا ، كُنْتَ عَلَى الْكَافِرِينَ </w:t>
      </w:r>
      <w:r>
        <w:rPr>
          <w:rStyle w:val="libFootnotenumChar"/>
          <w:rtl/>
        </w:rPr>
        <w:t>(3)</w:t>
      </w:r>
      <w:r w:rsidRPr="00132E65">
        <w:rPr>
          <w:rtl/>
          <w:lang w:bidi="fa-IR"/>
        </w:rPr>
        <w:t xml:space="preserve"> عَذَاباً صَبّاً </w:t>
      </w:r>
      <w:r>
        <w:rPr>
          <w:rStyle w:val="libFootnotenumChar"/>
          <w:rtl/>
        </w:rPr>
        <w:t>(4)</w:t>
      </w:r>
      <w:r w:rsidRPr="00132E65">
        <w:rPr>
          <w:rtl/>
          <w:lang w:bidi="fa-IR"/>
        </w:rPr>
        <w:t xml:space="preserve"> و</w:t>
      </w:r>
      <w:r w:rsidR="00C07512">
        <w:rPr>
          <w:rFonts w:hint="cs"/>
          <w:rtl/>
          <w:lang w:bidi="fa-IR"/>
        </w:rPr>
        <w:t xml:space="preserve">َ </w:t>
      </w:r>
      <w:r w:rsidRPr="00132E65">
        <w:rPr>
          <w:rtl/>
          <w:lang w:bidi="fa-IR"/>
        </w:rPr>
        <w:t xml:space="preserve">نَهْباً </w:t>
      </w:r>
      <w:r>
        <w:rPr>
          <w:rStyle w:val="libFootnotenumChar"/>
          <w:rtl/>
        </w:rPr>
        <w:t>(5)</w:t>
      </w:r>
      <w:r w:rsidRPr="00132E65">
        <w:rPr>
          <w:rtl/>
          <w:lang w:bidi="fa-IR"/>
        </w:rPr>
        <w:t xml:space="preserve"> ، وَلِلْمُؤْمِنِينَ عَمَداً </w:t>
      </w:r>
      <w:r>
        <w:rPr>
          <w:rStyle w:val="libFootnotenumChar"/>
          <w:rtl/>
        </w:rPr>
        <w:t>(6)</w:t>
      </w:r>
      <w:r w:rsidRPr="00132E65">
        <w:rPr>
          <w:rtl/>
          <w:lang w:bidi="fa-IR"/>
        </w:rPr>
        <w:t xml:space="preserve"> و</w:t>
      </w:r>
      <w:r w:rsidR="00C07512">
        <w:rPr>
          <w:rFonts w:hint="cs"/>
          <w:rtl/>
          <w:lang w:bidi="fa-IR"/>
        </w:rPr>
        <w:t xml:space="preserve">َ </w:t>
      </w:r>
      <w:r w:rsidRPr="00132E65">
        <w:rPr>
          <w:rtl/>
          <w:lang w:bidi="fa-IR"/>
        </w:rPr>
        <w:t xml:space="preserve">حِصْناً </w:t>
      </w:r>
      <w:r>
        <w:rPr>
          <w:rStyle w:val="libFootnotenumChar"/>
          <w:rtl/>
        </w:rPr>
        <w:t>(7)</w:t>
      </w:r>
      <w:r w:rsidRPr="00132E65">
        <w:rPr>
          <w:rtl/>
          <w:lang w:bidi="fa-IR"/>
        </w:rPr>
        <w:t xml:space="preserve"> ، فَطِرْتَ </w:t>
      </w:r>
      <w:r>
        <w:rPr>
          <w:rStyle w:val="libFootnotenumChar"/>
          <w:rtl/>
        </w:rPr>
        <w:t>(8)</w:t>
      </w:r>
      <w:r>
        <w:rPr>
          <w:rtl/>
          <w:lang w:bidi="fa-IR"/>
        </w:rPr>
        <w:t xml:space="preserve"> </w:t>
      </w:r>
      <w:r w:rsidR="00C07512">
        <w:rPr>
          <w:rtl/>
          <w:lang w:bidi="fa-IR"/>
        </w:rPr>
        <w:t>–</w:t>
      </w:r>
      <w:r>
        <w:rPr>
          <w:rtl/>
          <w:lang w:bidi="fa-IR"/>
        </w:rPr>
        <w:t xml:space="preserve"> </w:t>
      </w:r>
      <w:r w:rsidRPr="00132E65">
        <w:rPr>
          <w:rtl/>
          <w:lang w:bidi="fa-IR"/>
        </w:rPr>
        <w:t>و</w:t>
      </w:r>
      <w:r w:rsidR="00C07512">
        <w:rPr>
          <w:rFonts w:hint="cs"/>
          <w:rtl/>
          <w:lang w:bidi="fa-IR"/>
        </w:rPr>
        <w:t xml:space="preserve">َ </w:t>
      </w:r>
      <w:r w:rsidRPr="00132E65">
        <w:rPr>
          <w:rtl/>
          <w:lang w:bidi="fa-IR"/>
        </w:rPr>
        <w:t>اللهِ</w:t>
      </w:r>
      <w:r>
        <w:rPr>
          <w:rtl/>
          <w:lang w:bidi="fa-IR"/>
        </w:rPr>
        <w:t xml:space="preserve"> - </w:t>
      </w:r>
      <w:r w:rsidRPr="00132E65">
        <w:rPr>
          <w:rtl/>
          <w:lang w:bidi="fa-IR"/>
        </w:rPr>
        <w:t xml:space="preserve">بِنَعْمَائِهَا </w:t>
      </w:r>
      <w:r>
        <w:rPr>
          <w:rStyle w:val="libFootnotenumChar"/>
          <w:rtl/>
        </w:rPr>
        <w:t>(9)</w:t>
      </w:r>
      <w:r w:rsidRPr="00132E65">
        <w:rPr>
          <w:rtl/>
          <w:lang w:bidi="fa-IR"/>
        </w:rPr>
        <w:t xml:space="preserve"> ، و</w:t>
      </w:r>
      <w:r w:rsidR="00C07512">
        <w:rPr>
          <w:rFonts w:hint="cs"/>
          <w:rtl/>
          <w:lang w:bidi="fa-IR"/>
        </w:rPr>
        <w:t xml:space="preserve">َ </w:t>
      </w:r>
      <w:r w:rsidRPr="00132E65">
        <w:rPr>
          <w:rtl/>
          <w:lang w:bidi="fa-IR"/>
        </w:rPr>
        <w:t xml:space="preserve">فُزْتَ بِحِبَائِهَا </w:t>
      </w:r>
      <w:r>
        <w:rPr>
          <w:rStyle w:val="libFootnotenumChar"/>
          <w:rtl/>
        </w:rPr>
        <w:t>(10)</w:t>
      </w:r>
      <w:r w:rsidRPr="00132E65">
        <w:rPr>
          <w:rtl/>
          <w:lang w:bidi="fa-IR"/>
        </w:rPr>
        <w:t xml:space="preserve"> ، و</w:t>
      </w:r>
      <w:r w:rsidR="00C07512">
        <w:rPr>
          <w:rFonts w:hint="cs"/>
          <w:rtl/>
          <w:lang w:bidi="fa-IR"/>
        </w:rPr>
        <w:t xml:space="preserve">َ </w:t>
      </w:r>
      <w:r w:rsidRPr="00132E65">
        <w:rPr>
          <w:rtl/>
          <w:lang w:bidi="fa-IR"/>
        </w:rPr>
        <w:t>أَحْرَزْتَ سَوَابِغَهَا ، و</w:t>
      </w:r>
      <w:r w:rsidR="00C07512">
        <w:rPr>
          <w:rFonts w:hint="cs"/>
          <w:rtl/>
          <w:lang w:bidi="fa-IR"/>
        </w:rPr>
        <w:t xml:space="preserve">َ </w:t>
      </w:r>
      <w:r w:rsidRPr="00132E65">
        <w:rPr>
          <w:rtl/>
          <w:lang w:bidi="fa-IR"/>
        </w:rPr>
        <w:t xml:space="preserve">ذَهَبْتَ بِفَضَائِلِهَا ، لَمْ تُفْلَلْ </w:t>
      </w:r>
      <w:r>
        <w:rPr>
          <w:rStyle w:val="libFootnotenumChar"/>
          <w:rtl/>
        </w:rPr>
        <w:t>(11)</w:t>
      </w:r>
      <w:r w:rsidRPr="00132E65">
        <w:rPr>
          <w:rtl/>
          <w:lang w:bidi="fa-IR"/>
        </w:rPr>
        <w:t xml:space="preserve"> حُجَّتُكَ ، و</w:t>
      </w:r>
      <w:r w:rsidR="00C07512">
        <w:rPr>
          <w:rFonts w:hint="cs"/>
          <w:rtl/>
          <w:lang w:bidi="fa-IR"/>
        </w:rPr>
        <w:t xml:space="preserve">َ </w:t>
      </w:r>
      <w:r w:rsidRPr="00132E65">
        <w:rPr>
          <w:rtl/>
          <w:lang w:bidi="fa-IR"/>
        </w:rPr>
        <w:t xml:space="preserve">لَمْ يَزِغْ </w:t>
      </w:r>
      <w:r>
        <w:rPr>
          <w:rStyle w:val="libFootnotenumChar"/>
          <w:rtl/>
        </w:rPr>
        <w:t>(12)</w:t>
      </w:r>
      <w:r w:rsidRPr="00132E65">
        <w:rPr>
          <w:rtl/>
          <w:lang w:bidi="fa-IR"/>
        </w:rPr>
        <w:t xml:space="preserve"> قَلْبُكَ ، و</w:t>
      </w:r>
      <w:r w:rsidR="00C07512">
        <w:rPr>
          <w:rFonts w:hint="cs"/>
          <w:rtl/>
          <w:lang w:bidi="fa-IR"/>
        </w:rPr>
        <w:t>َ</w:t>
      </w:r>
      <w:r w:rsidRPr="00132E65">
        <w:rPr>
          <w:rtl/>
          <w:lang w:bidi="fa-IR"/>
        </w:rPr>
        <w:t>لَمْ تَضْعُفْ بَصِيرَتُكَ ،</w:t>
      </w:r>
    </w:p>
    <w:p w:rsidR="000C39D1" w:rsidRPr="00132E65" w:rsidRDefault="000C39D1" w:rsidP="000C39D1">
      <w:pPr>
        <w:pStyle w:val="libLine"/>
        <w:rPr>
          <w:rtl/>
          <w:lang w:bidi="fa-IR"/>
        </w:rPr>
      </w:pPr>
      <w:r w:rsidRPr="00132E65">
        <w:rPr>
          <w:rtl/>
          <w:lang w:bidi="fa-IR"/>
        </w:rPr>
        <w:t>__________________</w:t>
      </w:r>
    </w:p>
    <w:p w:rsidR="000C39D1" w:rsidRPr="00132E65" w:rsidRDefault="00C07512" w:rsidP="000C39D1">
      <w:pPr>
        <w:pStyle w:val="libFootnote0"/>
        <w:rPr>
          <w:rtl/>
          <w:lang w:bidi="fa-IR"/>
        </w:rPr>
      </w:pPr>
      <w:r>
        <w:rPr>
          <w:rFonts w:hint="cs"/>
          <w:rtl/>
        </w:rPr>
        <w:t xml:space="preserve">= </w:t>
      </w:r>
      <w:r w:rsidR="000C39D1" w:rsidRPr="00132E65">
        <w:rPr>
          <w:rtl/>
        </w:rPr>
        <w:t>قوم يدفع العار والضرّ والشين عنهم حين ضعفوا عن مدافعتها ويطلب لهم الجنايات والدماء حين عجزوا عن مطالبتها »</w:t>
      </w:r>
      <w:r w:rsidR="000C39D1">
        <w:rPr>
          <w:rtl/>
        </w:rPr>
        <w:t>.</w:t>
      </w:r>
      <w:r w:rsidR="000C39D1" w:rsidRPr="00132E65">
        <w:rPr>
          <w:rtl/>
        </w:rPr>
        <w:t xml:space="preserve"> وجعلها الفيض جمع الوَتَرَة ؛ حيث قال : « الوترة</w:t>
      </w:r>
      <w:r w:rsidR="000C39D1">
        <w:rPr>
          <w:rtl/>
        </w:rPr>
        <w:t xml:space="preserve"> - </w:t>
      </w:r>
      <w:r w:rsidR="000C39D1" w:rsidRPr="00132E65">
        <w:rPr>
          <w:rtl/>
        </w:rPr>
        <w:t>محرّكة</w:t>
      </w:r>
      <w:r w:rsidR="000C39D1">
        <w:rPr>
          <w:rtl/>
        </w:rPr>
        <w:t xml:space="preserve"> - </w:t>
      </w:r>
      <w:r w:rsidR="000C39D1" w:rsidRPr="00132E65">
        <w:rPr>
          <w:rtl/>
        </w:rPr>
        <w:t>: خيار كلّ شي‌ء »</w:t>
      </w:r>
      <w:r w:rsidR="000C39D1">
        <w:rPr>
          <w:rtl/>
        </w:rPr>
        <w:t>.</w:t>
      </w:r>
      <w:r w:rsidR="000C39D1" w:rsidRPr="00132E65">
        <w:rPr>
          <w:rtl/>
        </w:rPr>
        <w:t xml:space="preserve"> والموجود في </w:t>
      </w:r>
      <w:r w:rsidR="000C39D1" w:rsidRPr="00620606">
        <w:rPr>
          <w:rtl/>
        </w:rPr>
        <w:t>اللسان</w:t>
      </w:r>
      <w:r w:rsidR="000C39D1" w:rsidRPr="00132E65">
        <w:rPr>
          <w:rtl/>
        </w:rPr>
        <w:t xml:space="preserve"> : وتَرَة كلّ شي‌ء : حِتارُهُ ، وهو ما استدار من حُرُوفه أي أطرافه. راجع : </w:t>
      </w:r>
      <w:r w:rsidR="000C39D1" w:rsidRPr="00620606">
        <w:rPr>
          <w:rtl/>
        </w:rPr>
        <w:t>النهاية</w:t>
      </w:r>
      <w:r w:rsidR="000C39D1" w:rsidRPr="00132E65">
        <w:rPr>
          <w:rtl/>
        </w:rPr>
        <w:t xml:space="preserve"> ، ج 5 ، ص 148 ؛ </w:t>
      </w:r>
      <w:r w:rsidR="000C39D1" w:rsidRPr="009D1ACE">
        <w:rPr>
          <w:rStyle w:val="libFootnoteBoldChar"/>
          <w:rtl/>
        </w:rPr>
        <w:t>لسان العرب</w:t>
      </w:r>
      <w:r w:rsidR="000C39D1" w:rsidRPr="00132E65">
        <w:rPr>
          <w:rtl/>
        </w:rPr>
        <w:t xml:space="preserve"> ، ج 5 ، ص 277 ( وتر )</w:t>
      </w:r>
      <w:r w:rsidR="000C39D1">
        <w:rPr>
          <w:rtl/>
        </w:rPr>
        <w:t>.</w:t>
      </w:r>
    </w:p>
    <w:p w:rsidR="000C39D1" w:rsidRPr="00132E65" w:rsidRDefault="000C39D1" w:rsidP="00C07512">
      <w:pPr>
        <w:pStyle w:val="libFootnote0"/>
        <w:rPr>
          <w:rtl/>
          <w:lang w:bidi="fa-IR"/>
        </w:rPr>
      </w:pPr>
      <w:r>
        <w:rPr>
          <w:rtl/>
        </w:rPr>
        <w:t>(1).</w:t>
      </w:r>
      <w:r w:rsidRPr="00132E65">
        <w:rPr>
          <w:rtl/>
        </w:rPr>
        <w:t xml:space="preserve"> في الأمالي : « وأدركت إذ تخلّفوا ما عنه تخلّفوا »</w:t>
      </w:r>
      <w:r>
        <w:rPr>
          <w:rtl/>
        </w:rPr>
        <w:t>.</w:t>
      </w:r>
      <w:r w:rsidRPr="00132E65">
        <w:rPr>
          <w:rtl/>
        </w:rPr>
        <w:t xml:space="preserve"> وفي كمال الدين : « وأدركت إذ تخلّفوا » كلاهما بدل « أدركت‌أوتار ما طلبوا »</w:t>
      </w:r>
      <w:r>
        <w:rPr>
          <w:rtl/>
        </w:rPr>
        <w:t>.</w:t>
      </w:r>
      <w:r w:rsidR="00C07512">
        <w:rPr>
          <w:rFonts w:hint="cs"/>
          <w:rtl/>
        </w:rPr>
        <w:t xml:space="preserve">                              </w:t>
      </w:r>
      <w:r>
        <w:rPr>
          <w:rtl/>
        </w:rPr>
        <w:t>(2).</w:t>
      </w:r>
      <w:r w:rsidRPr="00132E65">
        <w:rPr>
          <w:rtl/>
        </w:rPr>
        <w:t xml:space="preserve"> في « ج » : « وناولوا »</w:t>
      </w:r>
      <w:r>
        <w:rPr>
          <w:rtl/>
        </w:rPr>
        <w:t>.</w:t>
      </w:r>
    </w:p>
    <w:p w:rsidR="000C39D1" w:rsidRPr="00132E65" w:rsidRDefault="000C39D1" w:rsidP="000C39D1">
      <w:pPr>
        <w:pStyle w:val="libFootnote0"/>
        <w:rPr>
          <w:rtl/>
          <w:lang w:bidi="fa-IR"/>
        </w:rPr>
      </w:pPr>
      <w:r>
        <w:rPr>
          <w:rtl/>
        </w:rPr>
        <w:t>(3).</w:t>
      </w:r>
      <w:r w:rsidRPr="00132E65">
        <w:rPr>
          <w:rtl/>
        </w:rPr>
        <w:t xml:space="preserve"> في « ب ، ج ، ض ، ف ، بس » و</w:t>
      </w:r>
      <w:r w:rsidRPr="009D1ACE">
        <w:rPr>
          <w:rStyle w:val="libFootnoteBoldChar"/>
          <w:rtl/>
        </w:rPr>
        <w:t>مرآة العقول</w:t>
      </w:r>
      <w:r w:rsidRPr="00132E65">
        <w:rPr>
          <w:rtl/>
        </w:rPr>
        <w:t xml:space="preserve"> والأمالي والبحار : « للكافرين »</w:t>
      </w:r>
      <w:r>
        <w:rPr>
          <w:rtl/>
        </w:rPr>
        <w:t>.</w:t>
      </w:r>
    </w:p>
    <w:p w:rsidR="000C39D1" w:rsidRPr="00132E65" w:rsidRDefault="000C39D1" w:rsidP="000C39D1">
      <w:pPr>
        <w:pStyle w:val="libFootnote0"/>
        <w:rPr>
          <w:rtl/>
          <w:lang w:bidi="fa-IR"/>
        </w:rPr>
      </w:pPr>
      <w:r>
        <w:rPr>
          <w:rtl/>
        </w:rPr>
        <w:t>(4).</w:t>
      </w:r>
      <w:r w:rsidRPr="00132E65">
        <w:rPr>
          <w:rtl/>
        </w:rPr>
        <w:t xml:space="preserve"> في « بح » : « وصباً »</w:t>
      </w:r>
      <w:r>
        <w:rPr>
          <w:rtl/>
        </w:rPr>
        <w:t>.</w:t>
      </w:r>
      <w:r w:rsidRPr="00132E65">
        <w:rPr>
          <w:rtl/>
        </w:rPr>
        <w:t xml:space="preserve"> وعذاب واصب ، أي دائم.</w:t>
      </w:r>
    </w:p>
    <w:p w:rsidR="000C39D1" w:rsidRPr="00132E65" w:rsidRDefault="000C39D1" w:rsidP="000C39D1">
      <w:pPr>
        <w:pStyle w:val="libFootnote0"/>
        <w:rPr>
          <w:rtl/>
          <w:lang w:bidi="fa-IR"/>
        </w:rPr>
      </w:pPr>
      <w:r>
        <w:rPr>
          <w:rtl/>
        </w:rPr>
        <w:t>(5).</w:t>
      </w:r>
      <w:r w:rsidRPr="00132E65">
        <w:rPr>
          <w:rtl/>
        </w:rPr>
        <w:t xml:space="preserve"> في « ض » وحاشية « بس » : « نهيّاً »</w:t>
      </w:r>
      <w:r>
        <w:rPr>
          <w:rtl/>
        </w:rPr>
        <w:t>.</w:t>
      </w:r>
      <w:r w:rsidRPr="00132E65">
        <w:rPr>
          <w:rtl/>
        </w:rPr>
        <w:t xml:space="preserve"> </w:t>
      </w:r>
      <w:r>
        <w:rPr>
          <w:rtl/>
        </w:rPr>
        <w:t>و «</w:t>
      </w:r>
      <w:r w:rsidRPr="00132E65">
        <w:rPr>
          <w:rtl/>
        </w:rPr>
        <w:t xml:space="preserve"> النهيّ » : الذي بلغ غاية السِمَن. وفي الأمالي : « مبيّناً »</w:t>
      </w:r>
      <w:r>
        <w:rPr>
          <w:rtl/>
        </w:rPr>
        <w:t>.</w:t>
      </w:r>
      <w:r w:rsidRPr="00132E65">
        <w:rPr>
          <w:rtl/>
        </w:rPr>
        <w:t xml:space="preserve"> وفي كمال الدين </w:t>
      </w:r>
      <w:r>
        <w:rPr>
          <w:rtl/>
        </w:rPr>
        <w:t xml:space="preserve">: - </w:t>
      </w:r>
      <w:r w:rsidRPr="00132E65">
        <w:rPr>
          <w:rtl/>
        </w:rPr>
        <w:t>« صبّاً ونهباً »</w:t>
      </w:r>
      <w:r>
        <w:rPr>
          <w:rtl/>
        </w:rPr>
        <w:t>.</w:t>
      </w:r>
      <w:r w:rsidRPr="00132E65">
        <w:rPr>
          <w:rtl/>
        </w:rPr>
        <w:t xml:space="preserve"> </w:t>
      </w:r>
      <w:r>
        <w:rPr>
          <w:rtl/>
        </w:rPr>
        <w:t>و «</w:t>
      </w:r>
      <w:r w:rsidRPr="00132E65">
        <w:rPr>
          <w:rtl/>
        </w:rPr>
        <w:t xml:space="preserve"> النهب » : الانتهاب ، وهو الغلبةُ على المال والقهرُ. قال المازندراني : « والحمل للمبالغة ، أو الصبّ ، بمعنى الفاعل أو المفعول ، والنهب بمعنى الفاعل »</w:t>
      </w:r>
      <w:r>
        <w:rPr>
          <w:rtl/>
        </w:rPr>
        <w:t>.</w:t>
      </w:r>
      <w:r w:rsidRPr="00132E65">
        <w:rPr>
          <w:rtl/>
        </w:rPr>
        <w:t xml:space="preserve"> راجع : </w:t>
      </w:r>
      <w:r w:rsidRPr="00620606">
        <w:rPr>
          <w:rtl/>
        </w:rPr>
        <w:t>المصباح المنير</w:t>
      </w:r>
      <w:r w:rsidRPr="00132E65">
        <w:rPr>
          <w:rtl/>
        </w:rPr>
        <w:t xml:space="preserve"> ، ص 627 ( نهب )</w:t>
      </w:r>
      <w:r>
        <w:rPr>
          <w:rtl/>
        </w:rPr>
        <w:t>.</w:t>
      </w:r>
    </w:p>
    <w:p w:rsidR="000C39D1" w:rsidRPr="00132E65" w:rsidRDefault="000C39D1" w:rsidP="000C39D1">
      <w:pPr>
        <w:pStyle w:val="libFootnote0"/>
        <w:rPr>
          <w:rtl/>
          <w:lang w:bidi="fa-IR"/>
        </w:rPr>
      </w:pPr>
      <w:r>
        <w:rPr>
          <w:rtl/>
        </w:rPr>
        <w:t>(6).</w:t>
      </w:r>
      <w:r w:rsidRPr="00132E65">
        <w:rPr>
          <w:rtl/>
        </w:rPr>
        <w:t xml:space="preserve"> في « ض ، بح » : « عُمُداً »</w:t>
      </w:r>
      <w:r>
        <w:rPr>
          <w:rtl/>
        </w:rPr>
        <w:t>.</w:t>
      </w:r>
      <w:r w:rsidRPr="00132E65">
        <w:rPr>
          <w:rtl/>
        </w:rPr>
        <w:t xml:space="preserve"> </w:t>
      </w:r>
      <w:r>
        <w:rPr>
          <w:rtl/>
        </w:rPr>
        <w:t>و «</w:t>
      </w:r>
      <w:r w:rsidRPr="00132E65">
        <w:rPr>
          <w:rtl/>
        </w:rPr>
        <w:t xml:space="preserve"> العمود » يجمع جمعَ الكثرة على العَمَد</w:t>
      </w:r>
      <w:r>
        <w:rPr>
          <w:rtl/>
        </w:rPr>
        <w:t xml:space="preserve"> - </w:t>
      </w:r>
      <w:r w:rsidRPr="00132E65">
        <w:rPr>
          <w:rtl/>
        </w:rPr>
        <w:t>بالتحريك</w:t>
      </w:r>
      <w:r>
        <w:rPr>
          <w:rtl/>
        </w:rPr>
        <w:t xml:space="preserve"> - </w:t>
      </w:r>
      <w:r w:rsidRPr="00132E65">
        <w:rPr>
          <w:rtl/>
        </w:rPr>
        <w:t>والعُمُد ، بضمّ الأوّل والثاني. وفي « بف » وحاشية « ج » و</w:t>
      </w:r>
      <w:r w:rsidRPr="009D1ACE">
        <w:rPr>
          <w:rStyle w:val="libFootnoteBoldChar"/>
          <w:rtl/>
        </w:rPr>
        <w:t>الوافي</w:t>
      </w:r>
      <w:r w:rsidRPr="00132E65">
        <w:rPr>
          <w:rtl/>
        </w:rPr>
        <w:t xml:space="preserve"> والأمالي وكمال الدين : « غيثاً »</w:t>
      </w:r>
      <w:r>
        <w:rPr>
          <w:rtl/>
        </w:rPr>
        <w:t>.</w:t>
      </w:r>
      <w:r w:rsidRPr="00132E65">
        <w:rPr>
          <w:rtl/>
        </w:rPr>
        <w:t xml:space="preserve"> وقال في </w:t>
      </w:r>
      <w:r w:rsidRPr="009D1ACE">
        <w:rPr>
          <w:rStyle w:val="libFootnoteBoldChar"/>
          <w:rtl/>
        </w:rPr>
        <w:t>مرآة العقول</w:t>
      </w:r>
      <w:r w:rsidRPr="00132E65">
        <w:rPr>
          <w:rtl/>
        </w:rPr>
        <w:t xml:space="preserve"> : « ولعلّه أنسب »</w:t>
      </w:r>
      <w:r>
        <w:rPr>
          <w:rtl/>
        </w:rPr>
        <w:t>.</w:t>
      </w:r>
    </w:p>
    <w:p w:rsidR="000C39D1" w:rsidRPr="00132E65" w:rsidRDefault="000C39D1" w:rsidP="000C39D1">
      <w:pPr>
        <w:pStyle w:val="libFootnote0"/>
        <w:rPr>
          <w:rtl/>
          <w:lang w:bidi="fa-IR"/>
        </w:rPr>
      </w:pPr>
      <w:r>
        <w:rPr>
          <w:rtl/>
        </w:rPr>
        <w:t>(7).</w:t>
      </w:r>
      <w:r w:rsidRPr="00132E65">
        <w:rPr>
          <w:rtl/>
        </w:rPr>
        <w:t xml:space="preserve"> في « ب » : « حصيناً »</w:t>
      </w:r>
      <w:r>
        <w:rPr>
          <w:rtl/>
        </w:rPr>
        <w:t>.</w:t>
      </w:r>
      <w:r w:rsidRPr="00132E65">
        <w:rPr>
          <w:rtl/>
        </w:rPr>
        <w:t xml:space="preserve"> وفي « بف » وحاشية « ج » و</w:t>
      </w:r>
      <w:r w:rsidRPr="009D1ACE">
        <w:rPr>
          <w:rStyle w:val="libFootnoteBoldChar"/>
          <w:rtl/>
        </w:rPr>
        <w:t>الوافي</w:t>
      </w:r>
      <w:r w:rsidRPr="00132E65">
        <w:rPr>
          <w:rtl/>
        </w:rPr>
        <w:t xml:space="preserve"> والأمالي وكمال الدين : « خصباً »</w:t>
      </w:r>
      <w:r>
        <w:rPr>
          <w:rtl/>
        </w:rPr>
        <w:t>.</w:t>
      </w:r>
      <w:r w:rsidRPr="00132E65">
        <w:rPr>
          <w:rtl/>
        </w:rPr>
        <w:t xml:space="preserve"> وقال في </w:t>
      </w:r>
      <w:r w:rsidRPr="009D1ACE">
        <w:rPr>
          <w:rStyle w:val="libFootnoteBoldChar"/>
          <w:rtl/>
        </w:rPr>
        <w:t>مرآة العقول</w:t>
      </w:r>
      <w:r w:rsidRPr="00132E65">
        <w:rPr>
          <w:rtl/>
        </w:rPr>
        <w:t xml:space="preserve"> : « ولعلّه أنسب ، والخِصب</w:t>
      </w:r>
      <w:r>
        <w:rPr>
          <w:rtl/>
        </w:rPr>
        <w:t xml:space="preserve"> - </w:t>
      </w:r>
      <w:r w:rsidRPr="00132E65">
        <w:rPr>
          <w:rtl/>
        </w:rPr>
        <w:t>بالكسر</w:t>
      </w:r>
      <w:r>
        <w:rPr>
          <w:rtl/>
        </w:rPr>
        <w:t xml:space="preserve"> - </w:t>
      </w:r>
      <w:r w:rsidRPr="00132E65">
        <w:rPr>
          <w:rtl/>
        </w:rPr>
        <w:t xml:space="preserve">: كثرة العشب ورفاعة العيش. كذا في </w:t>
      </w:r>
      <w:r w:rsidRPr="00620606">
        <w:rPr>
          <w:rtl/>
        </w:rPr>
        <w:t>القاموس</w:t>
      </w:r>
      <w:r w:rsidRPr="00132E65">
        <w:rPr>
          <w:rtl/>
        </w:rPr>
        <w:t xml:space="preserve"> »</w:t>
      </w:r>
      <w:r>
        <w:rPr>
          <w:rtl/>
        </w:rPr>
        <w:t>.</w:t>
      </w:r>
    </w:p>
    <w:p w:rsidR="000C39D1" w:rsidRPr="00132E65" w:rsidRDefault="000C39D1" w:rsidP="000C39D1">
      <w:pPr>
        <w:pStyle w:val="libFootnote0"/>
        <w:rPr>
          <w:rtl/>
          <w:lang w:bidi="fa-IR"/>
        </w:rPr>
      </w:pPr>
      <w:r>
        <w:rPr>
          <w:rtl/>
        </w:rPr>
        <w:t>(8).</w:t>
      </w:r>
      <w:r w:rsidRPr="00132E65">
        <w:rPr>
          <w:rtl/>
        </w:rPr>
        <w:t xml:space="preserve"> قوله : « فطرت » يحتمل وجهين : الأوّل أن يكون الفاء للعطف والفعل معلوماً ، من الطيران. والثاني أن يكون الفعل مجهولاً من الفطرة ، أي خُلقتَ. قال في </w:t>
      </w:r>
      <w:r w:rsidRPr="009D1ACE">
        <w:rPr>
          <w:rStyle w:val="libFootnoteBoldChar"/>
          <w:rtl/>
        </w:rPr>
        <w:t>مرآة العقول</w:t>
      </w:r>
      <w:r w:rsidRPr="00132E65">
        <w:rPr>
          <w:rtl/>
        </w:rPr>
        <w:t xml:space="preserve"> : « قال بعض شرّاح العامّة : فطرت ، بصيغة المجهول بمعنى الخلقة ، وبصيغة المعلوم بمعنى الطيران. وقرئ فُطِّرتَ ، على المجهول وتشديد الطاء. يقال : فطّرتُ الصائم ، إذا أعطيته الفَطور. انتهى »</w:t>
      </w:r>
      <w:r>
        <w:rPr>
          <w:rtl/>
        </w:rPr>
        <w:t>.</w:t>
      </w:r>
      <w:r w:rsidRPr="00132E65">
        <w:rPr>
          <w:rtl/>
        </w:rPr>
        <w:t xml:space="preserve"> وراجع : </w:t>
      </w:r>
      <w:r w:rsidRPr="00620606">
        <w:rPr>
          <w:rtl/>
        </w:rPr>
        <w:t>شرح المازندراني</w:t>
      </w:r>
      <w:r w:rsidRPr="00132E65">
        <w:rPr>
          <w:rtl/>
        </w:rPr>
        <w:t>.</w:t>
      </w:r>
    </w:p>
    <w:p w:rsidR="00A03264" w:rsidRPr="00A03264" w:rsidRDefault="000C39D1" w:rsidP="00C9377F">
      <w:pPr>
        <w:pStyle w:val="libFootnote0"/>
        <w:rPr>
          <w:rtl/>
        </w:rPr>
      </w:pPr>
      <w:r>
        <w:rPr>
          <w:rtl/>
        </w:rPr>
        <w:t>(9).</w:t>
      </w:r>
      <w:r w:rsidRPr="00132E65">
        <w:rPr>
          <w:rtl/>
        </w:rPr>
        <w:t xml:space="preserve"> في حاشية « ج » : « بنعماتها »</w:t>
      </w:r>
      <w:r>
        <w:rPr>
          <w:rtl/>
        </w:rPr>
        <w:t>.</w:t>
      </w:r>
      <w:r w:rsidRPr="00132E65">
        <w:rPr>
          <w:rtl/>
        </w:rPr>
        <w:t xml:space="preserve"> وفي « ج ، ض » والبحار : « بغمّائها » ، أي الحزن والكرب. وفي « ف ، بس » : « بِغِمائها »</w:t>
      </w:r>
      <w:r>
        <w:rPr>
          <w:rtl/>
        </w:rPr>
        <w:t>.</w:t>
      </w:r>
      <w:r w:rsidRPr="00132E65">
        <w:rPr>
          <w:rtl/>
        </w:rPr>
        <w:t xml:space="preserve"> </w:t>
      </w:r>
      <w:r>
        <w:rPr>
          <w:rtl/>
        </w:rPr>
        <w:t>و «</w:t>
      </w:r>
      <w:r w:rsidRPr="00132E65">
        <w:rPr>
          <w:rtl/>
        </w:rPr>
        <w:t xml:space="preserve"> الغماء » : سقف البيت. وفي « ف » : « بنعمّائها »</w:t>
      </w:r>
      <w:r>
        <w:rPr>
          <w:rtl/>
        </w:rPr>
        <w:t>.</w:t>
      </w:r>
      <w:r w:rsidRPr="00132E65">
        <w:rPr>
          <w:rtl/>
        </w:rPr>
        <w:t xml:space="preserve"> وضمير « ها » راجع إلى الخلافة أو العيشة أو الدنيا.</w:t>
      </w:r>
    </w:p>
    <w:p w:rsidR="000C39D1" w:rsidRPr="00132E65" w:rsidRDefault="000C39D1" w:rsidP="000C39D1">
      <w:pPr>
        <w:pStyle w:val="libFootnote0"/>
        <w:rPr>
          <w:rtl/>
          <w:lang w:bidi="fa-IR"/>
        </w:rPr>
      </w:pPr>
      <w:r>
        <w:rPr>
          <w:rtl/>
        </w:rPr>
        <w:t>(10).</w:t>
      </w:r>
      <w:r w:rsidRPr="00132E65">
        <w:rPr>
          <w:rtl/>
        </w:rPr>
        <w:t xml:space="preserve"> « الحباء » : العطاء. يقال : حباه يحبوه ، أي أعطاه. </w:t>
      </w:r>
      <w:r w:rsidRPr="00620606">
        <w:rPr>
          <w:rtl/>
        </w:rPr>
        <w:t>الصحاح</w:t>
      </w:r>
      <w:r w:rsidRPr="00132E65">
        <w:rPr>
          <w:rtl/>
        </w:rPr>
        <w:t xml:space="preserve"> ، ج 6 ، ص 2308 ( حبا )</w:t>
      </w:r>
      <w:r>
        <w:rPr>
          <w:rtl/>
        </w:rPr>
        <w:t>.</w:t>
      </w:r>
      <w:r w:rsidRPr="00132E65">
        <w:rPr>
          <w:rtl/>
        </w:rPr>
        <w:t xml:space="preserve"> وفي « ف » : « حيائها »</w:t>
      </w:r>
      <w:r>
        <w:rPr>
          <w:rtl/>
        </w:rPr>
        <w:t>.</w:t>
      </w:r>
      <w:r w:rsidRPr="00132E65">
        <w:rPr>
          <w:rtl/>
        </w:rPr>
        <w:t xml:space="preserve"> </w:t>
      </w:r>
      <w:r>
        <w:rPr>
          <w:rtl/>
        </w:rPr>
        <w:t>و «</w:t>
      </w:r>
      <w:r w:rsidRPr="00132E65">
        <w:rPr>
          <w:rtl/>
        </w:rPr>
        <w:t xml:space="preserve"> الحَياء » بالفتح : الخصب والمطر.</w:t>
      </w:r>
    </w:p>
    <w:p w:rsidR="000C39D1" w:rsidRPr="00132E65" w:rsidRDefault="000C39D1" w:rsidP="000C39D1">
      <w:pPr>
        <w:pStyle w:val="libFootnote0"/>
        <w:rPr>
          <w:rtl/>
          <w:lang w:bidi="fa-IR"/>
        </w:rPr>
      </w:pPr>
      <w:r>
        <w:rPr>
          <w:rtl/>
        </w:rPr>
        <w:t>(11).</w:t>
      </w:r>
      <w:r w:rsidRPr="00132E65">
        <w:rPr>
          <w:rtl/>
        </w:rPr>
        <w:t xml:space="preserve"> في « ف » : « لم تفللّ »</w:t>
      </w:r>
      <w:r>
        <w:rPr>
          <w:rtl/>
        </w:rPr>
        <w:t>.</w:t>
      </w:r>
      <w:r w:rsidRPr="00132E65">
        <w:rPr>
          <w:rtl/>
        </w:rPr>
        <w:t xml:space="preserve"> وفلّ السيفَ وفلّله بمعنى ، أي ثلمه وكسره. راجع : </w:t>
      </w:r>
      <w:r w:rsidRPr="009D1ACE">
        <w:rPr>
          <w:rStyle w:val="libFootnoteBoldChar"/>
          <w:rtl/>
        </w:rPr>
        <w:t>لسان العرب</w:t>
      </w:r>
      <w:r w:rsidRPr="00132E65">
        <w:rPr>
          <w:rtl/>
        </w:rPr>
        <w:t xml:space="preserve"> ، ج 11 ، ص 530 ( فلل )</w:t>
      </w:r>
      <w:r>
        <w:rPr>
          <w:rtl/>
        </w:rPr>
        <w:t>.</w:t>
      </w:r>
      <w:r w:rsidRPr="00132E65">
        <w:rPr>
          <w:rtl/>
        </w:rPr>
        <w:t xml:space="preserve"> ويمكن قراءة « تفلل » بصيغة المعلوم من التفعّل بحذف إحدى التاءين ، كما احتمله في </w:t>
      </w:r>
      <w:r w:rsidRPr="009D1ACE">
        <w:rPr>
          <w:rStyle w:val="libFootnoteBoldChar"/>
          <w:rtl/>
        </w:rPr>
        <w:t>مرآة العقول</w:t>
      </w:r>
      <w:r w:rsidRPr="00132E65">
        <w:rPr>
          <w:rtl/>
        </w:rPr>
        <w:t>.</w:t>
      </w:r>
    </w:p>
    <w:p w:rsidR="000C39D1" w:rsidRPr="00132E65" w:rsidRDefault="000C39D1" w:rsidP="00C9377F">
      <w:pPr>
        <w:pStyle w:val="libFootnote0"/>
        <w:rPr>
          <w:rtl/>
          <w:lang w:bidi="fa-IR"/>
        </w:rPr>
      </w:pPr>
      <w:r>
        <w:rPr>
          <w:rtl/>
        </w:rPr>
        <w:t>(12).</w:t>
      </w:r>
      <w:r w:rsidRPr="00132E65">
        <w:rPr>
          <w:rtl/>
        </w:rPr>
        <w:t xml:space="preserve"> « لم يَزِغ » : لم يَملْ ، من الزيغ بمعنى الميل. يقال : زاغ عن الطريق يزيغ إذا عدل عنه. </w:t>
      </w:r>
      <w:r w:rsidRPr="00620606">
        <w:rPr>
          <w:rtl/>
        </w:rPr>
        <w:t>النهاية</w:t>
      </w:r>
      <w:r w:rsidRPr="00132E65">
        <w:rPr>
          <w:rtl/>
        </w:rPr>
        <w:t xml:space="preserve"> ، ج 2 ،</w:t>
      </w:r>
      <w:r w:rsidR="00C9377F">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وَلَمْ تَجْبُنْ نَفْسُكَ و</w:t>
      </w:r>
      <w:r w:rsidR="00C9377F">
        <w:rPr>
          <w:rFonts w:hint="cs"/>
          <w:rtl/>
        </w:rPr>
        <w:t xml:space="preserve">َ </w:t>
      </w:r>
      <w:r w:rsidRPr="00132E65">
        <w:rPr>
          <w:rtl/>
          <w:lang w:bidi="fa-IR"/>
        </w:rPr>
        <w:t xml:space="preserve">لَمْ تَخِرَّ </w:t>
      </w:r>
      <w:r>
        <w:rPr>
          <w:rStyle w:val="libFootnotenumChar"/>
          <w:rtl/>
        </w:rPr>
        <w:t>(1)</w:t>
      </w:r>
      <w:r w:rsidRPr="00132E65">
        <w:rPr>
          <w:rtl/>
          <w:lang w:bidi="fa-IR"/>
        </w:rPr>
        <w:t xml:space="preserve"> ، كُنْتَ كَالْجَبَلِ لَاتُحَرِّكُهُ الْعَوَاصِفُ </w:t>
      </w:r>
      <w:r>
        <w:rPr>
          <w:rStyle w:val="libFootnotenumChar"/>
          <w:rtl/>
        </w:rPr>
        <w:t>(2)</w:t>
      </w:r>
      <w:r w:rsidRPr="00132E65">
        <w:rPr>
          <w:rtl/>
          <w:lang w:bidi="fa-IR"/>
        </w:rPr>
        <w:t xml:space="preserve"> ، و</w:t>
      </w:r>
      <w:r w:rsidR="00C9377F">
        <w:rPr>
          <w:rFonts w:hint="cs"/>
          <w:rtl/>
          <w:lang w:bidi="fa-IR"/>
        </w:rPr>
        <w:t xml:space="preserve">َ </w:t>
      </w:r>
      <w:r w:rsidRPr="00132E65">
        <w:rPr>
          <w:rtl/>
          <w:lang w:bidi="fa-IR"/>
        </w:rPr>
        <w:t>كُنْتَ</w:t>
      </w:r>
      <w:r>
        <w:rPr>
          <w:rtl/>
          <w:lang w:bidi="fa-IR"/>
        </w:rPr>
        <w:t xml:space="preserve"> - </w:t>
      </w:r>
      <w:r w:rsidRPr="00132E65">
        <w:rPr>
          <w:rtl/>
          <w:lang w:bidi="fa-IR"/>
        </w:rPr>
        <w:t xml:space="preserve">كَمَا قَالَ </w:t>
      </w:r>
      <w:r w:rsidRPr="00071CF9">
        <w:rPr>
          <w:rStyle w:val="libAlaemChar"/>
          <w:rtl/>
        </w:rPr>
        <w:t>عليه‌السلام</w:t>
      </w:r>
      <w:r>
        <w:rPr>
          <w:rtl/>
          <w:lang w:bidi="fa-IR"/>
        </w:rPr>
        <w:t xml:space="preserve"> - </w:t>
      </w:r>
      <w:r w:rsidRPr="00132E65">
        <w:rPr>
          <w:rtl/>
          <w:lang w:bidi="fa-IR"/>
        </w:rPr>
        <w:t xml:space="preserve">آمَنَ </w:t>
      </w:r>
      <w:r>
        <w:rPr>
          <w:rStyle w:val="libFootnotenumChar"/>
          <w:rtl/>
        </w:rPr>
        <w:t>(3)</w:t>
      </w:r>
      <w:r w:rsidRPr="00132E65">
        <w:rPr>
          <w:rtl/>
          <w:lang w:bidi="fa-IR"/>
        </w:rPr>
        <w:t xml:space="preserve"> النَّاسِ فِي صُحْبَتِكَ و</w:t>
      </w:r>
      <w:r w:rsidR="00C9377F">
        <w:rPr>
          <w:rFonts w:hint="cs"/>
          <w:rtl/>
          <w:lang w:bidi="fa-IR"/>
        </w:rPr>
        <w:t xml:space="preserve">َ </w:t>
      </w:r>
      <w:r w:rsidRPr="00132E65">
        <w:rPr>
          <w:rtl/>
          <w:lang w:bidi="fa-IR"/>
        </w:rPr>
        <w:t>ذَاتِ يَدِكَ ، و</w:t>
      </w:r>
      <w:r w:rsidR="00C9377F">
        <w:rPr>
          <w:rFonts w:hint="cs"/>
          <w:rtl/>
          <w:lang w:bidi="fa-IR"/>
        </w:rPr>
        <w:t xml:space="preserve">َ </w:t>
      </w:r>
      <w:r w:rsidRPr="00132E65">
        <w:rPr>
          <w:rtl/>
          <w:lang w:bidi="fa-IR"/>
        </w:rPr>
        <w:t>كُنْتَ</w:t>
      </w:r>
      <w:r>
        <w:rPr>
          <w:rtl/>
          <w:lang w:bidi="fa-IR"/>
        </w:rPr>
        <w:t xml:space="preserve"> - </w:t>
      </w:r>
      <w:r w:rsidRPr="00132E65">
        <w:rPr>
          <w:rtl/>
          <w:lang w:bidi="fa-IR"/>
        </w:rPr>
        <w:t>كَمَا قَالَ</w:t>
      </w:r>
      <w:r>
        <w:rPr>
          <w:rtl/>
          <w:lang w:bidi="fa-IR"/>
        </w:rPr>
        <w:t xml:space="preserve"> - </w:t>
      </w:r>
      <w:r w:rsidRPr="00132E65">
        <w:rPr>
          <w:rtl/>
          <w:lang w:bidi="fa-IR"/>
        </w:rPr>
        <w:t xml:space="preserve">ضَعِيفاً فِي بَدَنِكَ ، قَوِيّاً فِي أَمْرِ اللهِ ، مُتَوَاضِعاً فِي نَفْسِكَ ، عَظِيماً عِنْدَ اللهِ ، كَبِيراً فِي الْأَرْضِ ، جَلِيلاً عِنْدَ الْمُؤْمِنِينَ </w:t>
      </w:r>
      <w:r>
        <w:rPr>
          <w:rStyle w:val="libFootnotenumChar"/>
          <w:rtl/>
        </w:rPr>
        <w:t>(4)</w:t>
      </w:r>
      <w:r w:rsidRPr="00132E65">
        <w:rPr>
          <w:rtl/>
          <w:lang w:bidi="fa-IR"/>
        </w:rPr>
        <w:t xml:space="preserve"> ، لَمْ يَكُنْ لِأَحَدٍ فِيكَ مَهْمَزٌ </w:t>
      </w:r>
      <w:r>
        <w:rPr>
          <w:rStyle w:val="libFootnotenumChar"/>
          <w:rtl/>
        </w:rPr>
        <w:t>(5)</w:t>
      </w:r>
      <w:r w:rsidRPr="00132E65">
        <w:rPr>
          <w:rtl/>
          <w:lang w:bidi="fa-IR"/>
        </w:rPr>
        <w:t xml:space="preserve"> ، و</w:t>
      </w:r>
      <w:r w:rsidR="00C9377F">
        <w:rPr>
          <w:rFonts w:hint="cs"/>
          <w:rtl/>
          <w:lang w:bidi="fa-IR"/>
        </w:rPr>
        <w:t xml:space="preserve">َ </w:t>
      </w:r>
      <w:r w:rsidRPr="00132E65">
        <w:rPr>
          <w:rtl/>
          <w:lang w:bidi="fa-IR"/>
        </w:rPr>
        <w:t xml:space="preserve">لَالِقَائِلٍ فِيكَ مَغْمَزٌ </w:t>
      </w:r>
      <w:r>
        <w:rPr>
          <w:rStyle w:val="libFootnotenumChar"/>
          <w:rtl/>
        </w:rPr>
        <w:t>(6)</w:t>
      </w:r>
      <w:r w:rsidRPr="00132E65">
        <w:rPr>
          <w:rtl/>
          <w:lang w:bidi="fa-IR"/>
        </w:rPr>
        <w:t xml:space="preserve"> ، و</w:t>
      </w:r>
      <w:r w:rsidR="00C9377F">
        <w:rPr>
          <w:rFonts w:hint="cs"/>
          <w:rtl/>
          <w:lang w:bidi="fa-IR"/>
        </w:rPr>
        <w:t xml:space="preserve">َ </w:t>
      </w:r>
      <w:r w:rsidRPr="00132E65">
        <w:rPr>
          <w:rtl/>
          <w:lang w:bidi="fa-IR"/>
        </w:rPr>
        <w:t>لَالِأَحَدٍ فِيكَ مَطْمَعٌ ، و</w:t>
      </w:r>
      <w:r w:rsidR="00C9377F">
        <w:rPr>
          <w:rFonts w:hint="cs"/>
          <w:rtl/>
          <w:lang w:bidi="fa-IR"/>
        </w:rPr>
        <w:t xml:space="preserve">َ </w:t>
      </w:r>
      <w:r w:rsidRPr="00132E65">
        <w:rPr>
          <w:rtl/>
          <w:lang w:bidi="fa-IR"/>
        </w:rPr>
        <w:t xml:space="preserve">لَالِأَحَدٍ عِنْدَكَ هَوَادَةٌ </w:t>
      </w:r>
      <w:r>
        <w:rPr>
          <w:rStyle w:val="libFootnotenumChar"/>
          <w:rtl/>
        </w:rPr>
        <w:t>(7)</w:t>
      </w:r>
    </w:p>
    <w:p w:rsidR="000C39D1" w:rsidRPr="00132E65" w:rsidRDefault="000C39D1" w:rsidP="00C9377F">
      <w:pPr>
        <w:pStyle w:val="libNormal"/>
        <w:rPr>
          <w:rtl/>
          <w:lang w:bidi="fa-IR"/>
        </w:rPr>
      </w:pPr>
      <w:r w:rsidRPr="00132E65">
        <w:rPr>
          <w:rtl/>
          <w:lang w:bidi="fa-IR"/>
        </w:rPr>
        <w:t>الضَّعِيفُ الذَّلِيلُ عِنْدَكَ قَوِيٌّ عَزِيزٌ حَتّى تَأْخُذَ لَهُ بِحَقِّهِ ، و</w:t>
      </w:r>
      <w:r w:rsidR="00C9377F">
        <w:rPr>
          <w:rFonts w:hint="cs"/>
          <w:rtl/>
          <w:lang w:bidi="fa-IR"/>
        </w:rPr>
        <w:t xml:space="preserve">َ </w:t>
      </w:r>
      <w:r w:rsidRPr="00132E65">
        <w:rPr>
          <w:rtl/>
          <w:lang w:bidi="fa-IR"/>
        </w:rPr>
        <w:t>الْقَوِيُّ الْعَزِيزُ عِنْدَكَ ضَعِيفٌ ذَلِيلٌ حَتّى تَأْخُذَ مِنْهُ الْحَقَّ ، و</w:t>
      </w:r>
      <w:r w:rsidR="00C9377F">
        <w:rPr>
          <w:rFonts w:hint="cs"/>
          <w:rtl/>
          <w:lang w:bidi="fa-IR"/>
        </w:rPr>
        <w:t>َ</w:t>
      </w:r>
      <w:r w:rsidRPr="00132E65">
        <w:rPr>
          <w:rtl/>
          <w:lang w:bidi="fa-IR"/>
        </w:rPr>
        <w:t>الْقَرِيبُ و</w:t>
      </w:r>
      <w:r w:rsidR="00C9377F">
        <w:rPr>
          <w:rFonts w:hint="cs"/>
          <w:rtl/>
          <w:lang w:bidi="fa-IR"/>
        </w:rPr>
        <w:t>َ</w:t>
      </w:r>
      <w:r w:rsidRPr="00132E65">
        <w:rPr>
          <w:rtl/>
          <w:lang w:bidi="fa-IR"/>
        </w:rPr>
        <w:t xml:space="preserve">الْبَعِيدُ عِنْدَكَ </w:t>
      </w:r>
      <w:r>
        <w:rPr>
          <w:rStyle w:val="libFootnotenumChar"/>
          <w:rtl/>
        </w:rPr>
        <w:t>(8)</w:t>
      </w:r>
      <w:r w:rsidRPr="00132E65">
        <w:rPr>
          <w:rtl/>
          <w:lang w:bidi="fa-IR"/>
        </w:rPr>
        <w:t xml:space="preserve"> فِي ذلِكَ سَوَاءٌ ، شَأْنُكَ الْحَقُّ و</w:t>
      </w:r>
      <w:r w:rsidR="00C9377F">
        <w:rPr>
          <w:rFonts w:hint="cs"/>
          <w:rtl/>
          <w:lang w:bidi="fa-IR"/>
        </w:rPr>
        <w:t xml:space="preserve">َ </w:t>
      </w:r>
      <w:r w:rsidRPr="00132E65">
        <w:rPr>
          <w:rtl/>
          <w:lang w:bidi="fa-IR"/>
        </w:rPr>
        <w:t>الصِّدْقُ و</w:t>
      </w:r>
      <w:r w:rsidR="00C9377F">
        <w:rPr>
          <w:rFonts w:hint="cs"/>
          <w:rtl/>
          <w:lang w:bidi="fa-IR"/>
        </w:rPr>
        <w:t xml:space="preserve">َ </w:t>
      </w:r>
      <w:r w:rsidRPr="00132E65">
        <w:rPr>
          <w:rtl/>
          <w:lang w:bidi="fa-IR"/>
        </w:rPr>
        <w:t>الرِّفْقُ ، و</w:t>
      </w:r>
      <w:r w:rsidR="00C9377F">
        <w:rPr>
          <w:rFonts w:hint="cs"/>
          <w:rtl/>
          <w:lang w:bidi="fa-IR"/>
        </w:rPr>
        <w:t xml:space="preserve">َ </w:t>
      </w:r>
      <w:r w:rsidRPr="00132E65">
        <w:rPr>
          <w:rtl/>
          <w:lang w:bidi="fa-IR"/>
        </w:rPr>
        <w:t>قَوْلُكَ حُكْمٌ و</w:t>
      </w:r>
      <w:r w:rsidR="00C9377F">
        <w:rPr>
          <w:rFonts w:hint="cs"/>
          <w:rtl/>
          <w:lang w:bidi="fa-IR"/>
        </w:rPr>
        <w:t xml:space="preserve">َ </w:t>
      </w:r>
      <w:r w:rsidRPr="00132E65">
        <w:rPr>
          <w:rtl/>
          <w:lang w:bidi="fa-IR"/>
        </w:rPr>
        <w:t>حَتْمٌ ، و</w:t>
      </w:r>
      <w:r w:rsidR="00C9377F">
        <w:rPr>
          <w:rFonts w:hint="cs"/>
          <w:rtl/>
          <w:lang w:bidi="fa-IR"/>
        </w:rPr>
        <w:t xml:space="preserve">َ </w:t>
      </w:r>
      <w:r w:rsidRPr="00132E65">
        <w:rPr>
          <w:rtl/>
          <w:lang w:bidi="fa-IR"/>
        </w:rPr>
        <w:t xml:space="preserve">أَمْرُكَ حِلْمٌ </w:t>
      </w:r>
      <w:r>
        <w:rPr>
          <w:rStyle w:val="libFootnotenumChar"/>
          <w:rtl/>
        </w:rPr>
        <w:t>(9)</w:t>
      </w:r>
      <w:r w:rsidRPr="00132E65">
        <w:rPr>
          <w:rtl/>
          <w:lang w:bidi="fa-IR"/>
        </w:rPr>
        <w:t xml:space="preserve"> </w:t>
      </w:r>
      <w:r w:rsidR="00C9377F">
        <w:rPr>
          <w:rFonts w:hint="cs"/>
          <w:rtl/>
          <w:lang w:bidi="fa-IR"/>
        </w:rPr>
        <w:t>.................</w:t>
      </w:r>
      <w:r w:rsidR="003915A6">
        <w:rPr>
          <w:rFonts w:hint="cs"/>
          <w:rtl/>
          <w:lang w:bidi="fa-IR"/>
        </w:rPr>
        <w:t>............</w:t>
      </w:r>
      <w:r w:rsidR="00C9377F">
        <w:rPr>
          <w:rFonts w:hint="cs"/>
          <w:rtl/>
          <w:lang w:bidi="fa-IR"/>
        </w:rPr>
        <w:t>................</w:t>
      </w:r>
      <w:r w:rsidR="00C9377F">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C9377F" w:rsidP="000C39D1">
      <w:pPr>
        <w:pStyle w:val="libFootnote0"/>
        <w:rPr>
          <w:rtl/>
          <w:lang w:bidi="fa-IR"/>
        </w:rPr>
      </w:pPr>
      <w:r>
        <w:rPr>
          <w:rFonts w:hint="cs"/>
          <w:rtl/>
        </w:rPr>
        <w:t>=</w:t>
      </w:r>
      <w:r w:rsidR="000C39D1" w:rsidRPr="00132E65">
        <w:rPr>
          <w:rtl/>
        </w:rPr>
        <w:t>ص 324 ( زيغ )</w:t>
      </w:r>
      <w:r w:rsidR="000C39D1">
        <w:rPr>
          <w:rtl/>
        </w:rPr>
        <w:t>.</w:t>
      </w:r>
    </w:p>
    <w:p w:rsidR="000C39D1" w:rsidRPr="00132E65" w:rsidRDefault="000C39D1" w:rsidP="000C39D1">
      <w:pPr>
        <w:pStyle w:val="libFootnote0"/>
        <w:rPr>
          <w:rtl/>
          <w:lang w:bidi="fa-IR"/>
        </w:rPr>
      </w:pPr>
      <w:r>
        <w:rPr>
          <w:rtl/>
        </w:rPr>
        <w:t>(1).</w:t>
      </w:r>
      <w:r w:rsidRPr="00132E65">
        <w:rPr>
          <w:rtl/>
        </w:rPr>
        <w:t xml:space="preserve"> من باب ضرب ونصر. وفي « ف ، بف » وحاشية « ج » : « لم تخز »</w:t>
      </w:r>
      <w:r>
        <w:rPr>
          <w:rtl/>
        </w:rPr>
        <w:t>.</w:t>
      </w:r>
      <w:r w:rsidRPr="00132E65">
        <w:rPr>
          <w:rtl/>
        </w:rPr>
        <w:t xml:space="preserve"> وفي </w:t>
      </w:r>
      <w:r w:rsidRPr="009D1ACE">
        <w:rPr>
          <w:rStyle w:val="libFootnoteBoldChar"/>
          <w:rtl/>
        </w:rPr>
        <w:t>الوافي</w:t>
      </w:r>
      <w:r w:rsidRPr="00132E65">
        <w:rPr>
          <w:rtl/>
        </w:rPr>
        <w:t xml:space="preserve"> </w:t>
      </w:r>
      <w:r w:rsidR="003915A6">
        <w:rPr>
          <w:rtl/>
        </w:rPr>
        <w:t>والأمالي وكمال الدين : « لم‌تخن</w:t>
      </w:r>
      <w:r w:rsidRPr="00132E65">
        <w:rPr>
          <w:rtl/>
        </w:rPr>
        <w:t>»</w:t>
      </w:r>
      <w:r>
        <w:rPr>
          <w:rtl/>
        </w:rPr>
        <w:t>.</w:t>
      </w:r>
      <w:r w:rsidRPr="00132E65">
        <w:rPr>
          <w:rtl/>
        </w:rPr>
        <w:t xml:space="preserve"> قال في </w:t>
      </w:r>
      <w:r w:rsidRPr="00620606">
        <w:rPr>
          <w:rtl/>
        </w:rPr>
        <w:t>المرآة</w:t>
      </w:r>
      <w:r w:rsidRPr="00132E65">
        <w:rPr>
          <w:rtl/>
        </w:rPr>
        <w:t xml:space="preserve"> : « وفي بعض النسخ بالحاء المهملة من الحيرة</w:t>
      </w:r>
      <w:r>
        <w:rPr>
          <w:rtl/>
        </w:rPr>
        <w:t xml:space="preserve"> ..</w:t>
      </w:r>
      <w:r w:rsidRPr="00132E65">
        <w:rPr>
          <w:rtl/>
        </w:rPr>
        <w:t>. وفي بعض نسخ الكتاب : ولم تخن ، من الخيانة وهو أظهر »</w:t>
      </w:r>
      <w:r>
        <w:rPr>
          <w:rtl/>
        </w:rPr>
        <w:t>.</w:t>
      </w:r>
      <w:r w:rsidRPr="00132E65">
        <w:rPr>
          <w:rtl/>
        </w:rPr>
        <w:t xml:space="preserve"> ونقل المازندراني في شرحه الأخيرَ عن بعض النسخ أيضاً. وقوله : « لم تَخِرَّ » </w:t>
      </w:r>
      <w:r>
        <w:rPr>
          <w:rtl/>
        </w:rPr>
        <w:t>و «</w:t>
      </w:r>
      <w:r w:rsidRPr="00132E65">
        <w:rPr>
          <w:rtl/>
        </w:rPr>
        <w:t xml:space="preserve"> لم تَخُرَّ » من الخَرّ والخَرُور ، بمعنى السقوط مطلقاً ، والسقوط من علو إلى سفل. راجع </w:t>
      </w:r>
      <w:r w:rsidRPr="00620606">
        <w:rPr>
          <w:rtl/>
        </w:rPr>
        <w:t xml:space="preserve">: </w:t>
      </w:r>
      <w:r w:rsidRPr="009D1ACE">
        <w:rPr>
          <w:rStyle w:val="libFootnoteBoldChar"/>
          <w:rtl/>
        </w:rPr>
        <w:t>لسان العرب</w:t>
      </w:r>
      <w:r w:rsidRPr="00132E65">
        <w:rPr>
          <w:rtl/>
        </w:rPr>
        <w:t xml:space="preserve"> ، ج 4 ، ص 234 ( خرر )</w:t>
      </w:r>
      <w:r>
        <w:rPr>
          <w:rtl/>
        </w:rPr>
        <w:t>.</w:t>
      </w:r>
    </w:p>
    <w:p w:rsidR="000C39D1" w:rsidRPr="00132E65" w:rsidRDefault="000C39D1" w:rsidP="000C39D1">
      <w:pPr>
        <w:pStyle w:val="libFootnote0"/>
        <w:rPr>
          <w:rtl/>
          <w:lang w:bidi="fa-IR"/>
        </w:rPr>
      </w:pPr>
      <w:r>
        <w:rPr>
          <w:rtl/>
        </w:rPr>
        <w:t>(2).</w:t>
      </w:r>
      <w:r w:rsidRPr="00132E65">
        <w:rPr>
          <w:rtl/>
        </w:rPr>
        <w:t xml:space="preserve"> في الأمالي وكمال الدين :</w:t>
      </w:r>
      <w:r>
        <w:rPr>
          <w:rtl/>
        </w:rPr>
        <w:t xml:space="preserve"> + </w:t>
      </w:r>
      <w:r w:rsidRPr="00132E65">
        <w:rPr>
          <w:rtl/>
        </w:rPr>
        <w:t>« ولا تزيله القواصف »</w:t>
      </w:r>
      <w:r>
        <w:rPr>
          <w:rtl/>
        </w:rPr>
        <w:t>.</w:t>
      </w:r>
      <w:r w:rsidRPr="00132E65">
        <w:rPr>
          <w:rtl/>
        </w:rPr>
        <w:t xml:space="preserve"> </w:t>
      </w:r>
      <w:r>
        <w:rPr>
          <w:rtl/>
        </w:rPr>
        <w:t>و «</w:t>
      </w:r>
      <w:r w:rsidRPr="00132E65">
        <w:rPr>
          <w:rtl/>
        </w:rPr>
        <w:t xml:space="preserve"> العَواصِفُ » : الرياح شديدة الهبوب. راجع : </w:t>
      </w:r>
      <w:r w:rsidRPr="00620606">
        <w:rPr>
          <w:rtl/>
        </w:rPr>
        <w:t>النهاية</w:t>
      </w:r>
      <w:r w:rsidRPr="00132E65">
        <w:rPr>
          <w:rtl/>
        </w:rPr>
        <w:t xml:space="preserve"> ، ج 3 ، ص 248 ( عصف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امن ، أفعل التفضيل ، مأخوذ من الأمانة ضدّ الخيانة »</w:t>
      </w:r>
      <w:r>
        <w:rPr>
          <w:rtl/>
        </w:rPr>
        <w:t>.</w:t>
      </w:r>
    </w:p>
    <w:p w:rsidR="000C39D1" w:rsidRPr="00132E65" w:rsidRDefault="000C39D1" w:rsidP="000C39D1">
      <w:pPr>
        <w:pStyle w:val="libFootnote0"/>
        <w:rPr>
          <w:rtl/>
          <w:lang w:bidi="fa-IR"/>
        </w:rPr>
      </w:pPr>
      <w:r>
        <w:rPr>
          <w:rtl/>
        </w:rPr>
        <w:t>(4).</w:t>
      </w:r>
      <w:r w:rsidRPr="00132E65">
        <w:rPr>
          <w:rtl/>
        </w:rPr>
        <w:t xml:space="preserve"> في « ب » : « المؤمن »</w:t>
      </w:r>
      <w:r>
        <w:rPr>
          <w:rtl/>
        </w:rPr>
        <w:t>.</w:t>
      </w:r>
    </w:p>
    <w:p w:rsidR="000C39D1" w:rsidRPr="00132E65" w:rsidRDefault="000C39D1" w:rsidP="000C39D1">
      <w:pPr>
        <w:pStyle w:val="libFootnote0"/>
        <w:rPr>
          <w:rtl/>
          <w:lang w:bidi="fa-IR"/>
        </w:rPr>
      </w:pPr>
      <w:r>
        <w:rPr>
          <w:rtl/>
        </w:rPr>
        <w:t>(5).</w:t>
      </w:r>
      <w:r w:rsidR="004B579E">
        <w:rPr>
          <w:rtl/>
        </w:rPr>
        <w:t xml:space="preserve"> « الم</w:t>
      </w:r>
      <w:r w:rsidR="004B579E">
        <w:rPr>
          <w:rFonts w:hint="cs"/>
          <w:rtl/>
        </w:rPr>
        <w:t>ـَ</w:t>
      </w:r>
      <w:r w:rsidRPr="00132E65">
        <w:rPr>
          <w:rtl/>
        </w:rPr>
        <w:t xml:space="preserve">هْمَز » : مصدر أو اسم مكان من الهَمْز بمعنى النَخْسِ أي الدفع ، والغَمْزِ أي العصر والكبس باليد ، وكلّ‌شي‌ء دفعته فقد همزته. أو بمعنى الغيبة والطعن والوَقِيعَة في الناس وذكر عيوبهم. راجع : </w:t>
      </w:r>
      <w:r w:rsidRPr="00620606">
        <w:rPr>
          <w:rtl/>
        </w:rPr>
        <w:t>النهاية</w:t>
      </w:r>
      <w:r w:rsidRPr="00132E65">
        <w:rPr>
          <w:rtl/>
        </w:rPr>
        <w:t xml:space="preserve"> ، ج 5 ، ص 273 ( همز )</w:t>
      </w:r>
      <w:r>
        <w:rPr>
          <w:rtl/>
        </w:rPr>
        <w:t>.</w:t>
      </w:r>
    </w:p>
    <w:p w:rsidR="000C39D1" w:rsidRPr="00132E65" w:rsidRDefault="000C39D1" w:rsidP="000C39D1">
      <w:pPr>
        <w:pStyle w:val="libFootnote0"/>
        <w:rPr>
          <w:rtl/>
          <w:lang w:bidi="fa-IR"/>
        </w:rPr>
      </w:pPr>
      <w:r>
        <w:rPr>
          <w:rtl/>
        </w:rPr>
        <w:t>(6).</w:t>
      </w:r>
      <w:r w:rsidR="004B579E">
        <w:rPr>
          <w:rtl/>
        </w:rPr>
        <w:t xml:space="preserve"> الم</w:t>
      </w:r>
      <w:r w:rsidR="004B579E">
        <w:rPr>
          <w:rFonts w:hint="cs"/>
          <w:rtl/>
        </w:rPr>
        <w:t>ـَ</w:t>
      </w:r>
      <w:r w:rsidRPr="00132E65">
        <w:rPr>
          <w:rtl/>
        </w:rPr>
        <w:t xml:space="preserve">غْمَزُ » : مصدر أو اسم مكان من الغَمزْ بمعنى العصر والكَبس باليد. أو بمعنى الإشارة باليد والعين والحاجب. راجع : </w:t>
      </w:r>
      <w:r w:rsidRPr="00620606">
        <w:rPr>
          <w:rtl/>
        </w:rPr>
        <w:t>النهاية</w:t>
      </w:r>
      <w:r w:rsidRPr="00132E65">
        <w:rPr>
          <w:rtl/>
        </w:rPr>
        <w:t xml:space="preserve"> ، ج 3 ، ص 385</w:t>
      </w:r>
      <w:r>
        <w:rPr>
          <w:rtl/>
        </w:rPr>
        <w:t xml:space="preserve"> - </w:t>
      </w:r>
      <w:r w:rsidRPr="00132E65">
        <w:rPr>
          <w:rtl/>
        </w:rPr>
        <w:t>386 ( غمز )</w:t>
      </w:r>
      <w:r>
        <w:rPr>
          <w:rtl/>
        </w:rPr>
        <w:t>.</w:t>
      </w:r>
    </w:p>
    <w:p w:rsidR="000C39D1" w:rsidRPr="00132E65" w:rsidRDefault="000C39D1" w:rsidP="000C39D1">
      <w:pPr>
        <w:pStyle w:val="libFootnote0"/>
        <w:rPr>
          <w:rtl/>
          <w:lang w:bidi="fa-IR"/>
        </w:rPr>
      </w:pPr>
      <w:r>
        <w:rPr>
          <w:rtl/>
        </w:rPr>
        <w:t>(7).</w:t>
      </w:r>
      <w:r w:rsidRPr="00132E65">
        <w:rPr>
          <w:rtl/>
        </w:rPr>
        <w:t xml:space="preserve"> « الهَوادَةُ » : السكون والميل والصلح والمحاباة. راجع : </w:t>
      </w:r>
      <w:r w:rsidRPr="009D1ACE">
        <w:rPr>
          <w:rStyle w:val="libFootnoteBoldChar"/>
          <w:rtl/>
        </w:rPr>
        <w:t>لسان العرب</w:t>
      </w:r>
      <w:r w:rsidRPr="00132E65">
        <w:rPr>
          <w:rtl/>
        </w:rPr>
        <w:t xml:space="preserve"> ، ج 3 ، ص 440 ( هود )</w:t>
      </w:r>
      <w:r>
        <w:rPr>
          <w:rtl/>
        </w:rPr>
        <w:t>.</w:t>
      </w:r>
    </w:p>
    <w:p w:rsidR="000C39D1" w:rsidRPr="00132E65" w:rsidRDefault="000C39D1" w:rsidP="000C39D1">
      <w:pPr>
        <w:pStyle w:val="libFootnote0"/>
        <w:rPr>
          <w:rtl/>
          <w:lang w:bidi="fa-IR"/>
        </w:rPr>
      </w:pPr>
      <w:r>
        <w:rPr>
          <w:rtl/>
        </w:rPr>
        <w:t>(8).</w:t>
      </w:r>
      <w:r w:rsidRPr="00132E65">
        <w:rPr>
          <w:rtl/>
        </w:rPr>
        <w:t xml:space="preserve"> في البحار : « عنك »</w:t>
      </w:r>
      <w:r>
        <w:rPr>
          <w:rtl/>
        </w:rPr>
        <w:t>.</w:t>
      </w:r>
    </w:p>
    <w:p w:rsidR="000C39D1" w:rsidRPr="00132E65" w:rsidRDefault="000C39D1" w:rsidP="000C39D1">
      <w:pPr>
        <w:pStyle w:val="libFootnote0"/>
        <w:rPr>
          <w:rtl/>
          <w:lang w:bidi="fa-IR"/>
        </w:rPr>
      </w:pPr>
      <w:r>
        <w:rPr>
          <w:rtl/>
        </w:rPr>
        <w:t>(9).</w:t>
      </w:r>
      <w:r w:rsidRPr="00132E65">
        <w:rPr>
          <w:rtl/>
        </w:rPr>
        <w:t xml:space="preserve"> « الحِلْم » : العقل والأناة والتثبّت في الا</w:t>
      </w:r>
      <w:r w:rsidR="004B579E">
        <w:rPr>
          <w:rFonts w:hint="cs"/>
          <w:rtl/>
        </w:rPr>
        <w:t>ُ</w:t>
      </w:r>
      <w:r w:rsidRPr="00132E65">
        <w:rPr>
          <w:rtl/>
        </w:rPr>
        <w:t xml:space="preserve">مور ، وذلك من شعار العقلاء. راجع : </w:t>
      </w:r>
      <w:r w:rsidRPr="00620606">
        <w:rPr>
          <w:rtl/>
        </w:rPr>
        <w:t>النهاية</w:t>
      </w:r>
      <w:r w:rsidRPr="00132E65">
        <w:rPr>
          <w:rtl/>
        </w:rPr>
        <w:t xml:space="preserve"> ، ج 1 ، ص 434 ( حلم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وَحَزْمٌ </w:t>
      </w:r>
      <w:r>
        <w:rPr>
          <w:rStyle w:val="libFootnotenumChar"/>
          <w:rtl/>
        </w:rPr>
        <w:t>(1)</w:t>
      </w:r>
      <w:r w:rsidRPr="00132E65">
        <w:rPr>
          <w:rtl/>
          <w:lang w:bidi="fa-IR"/>
        </w:rPr>
        <w:t xml:space="preserve"> ، و</w:t>
      </w:r>
      <w:r w:rsidR="00AF2E94">
        <w:rPr>
          <w:rFonts w:hint="cs"/>
          <w:rtl/>
          <w:lang w:bidi="fa-IR"/>
        </w:rPr>
        <w:t xml:space="preserve">َ </w:t>
      </w:r>
      <w:r w:rsidRPr="00132E65">
        <w:rPr>
          <w:rtl/>
          <w:lang w:bidi="fa-IR"/>
        </w:rPr>
        <w:t>رَأْيُكَ عِلْمٌ و</w:t>
      </w:r>
      <w:r w:rsidR="00AF2E94">
        <w:rPr>
          <w:rFonts w:hint="cs"/>
          <w:rtl/>
          <w:lang w:bidi="fa-IR"/>
        </w:rPr>
        <w:t xml:space="preserve">َ </w:t>
      </w:r>
      <w:r w:rsidRPr="00132E65">
        <w:rPr>
          <w:rtl/>
          <w:lang w:bidi="fa-IR"/>
        </w:rPr>
        <w:t xml:space="preserve">عَزْمٌ فِيمَا فَعَلْتَ </w:t>
      </w:r>
      <w:r>
        <w:rPr>
          <w:rStyle w:val="libFootnotenumChar"/>
          <w:rtl/>
        </w:rPr>
        <w:t>(2)</w:t>
      </w:r>
      <w:r w:rsidRPr="00132E65">
        <w:rPr>
          <w:rtl/>
          <w:lang w:bidi="fa-IR"/>
        </w:rPr>
        <w:t xml:space="preserve"> ، و</w:t>
      </w:r>
      <w:r w:rsidR="00AF2E94">
        <w:rPr>
          <w:rFonts w:hint="cs"/>
          <w:rtl/>
          <w:lang w:bidi="fa-IR"/>
        </w:rPr>
        <w:t xml:space="preserve">َ </w:t>
      </w:r>
      <w:r w:rsidRPr="00132E65">
        <w:rPr>
          <w:rtl/>
          <w:lang w:bidi="fa-IR"/>
        </w:rPr>
        <w:t>قَدْ نَهَجَ السَّبِيلُ ، و</w:t>
      </w:r>
      <w:r w:rsidR="00AF2E94">
        <w:rPr>
          <w:rFonts w:hint="cs"/>
          <w:rtl/>
          <w:lang w:bidi="fa-IR"/>
        </w:rPr>
        <w:t xml:space="preserve">َ </w:t>
      </w:r>
      <w:r w:rsidRPr="00132E65">
        <w:rPr>
          <w:rtl/>
          <w:lang w:bidi="fa-IR"/>
        </w:rPr>
        <w:t>سَهُلَ الْعَسِيرُ ، و</w:t>
      </w:r>
      <w:r w:rsidR="00AF2E94">
        <w:rPr>
          <w:rFonts w:hint="cs"/>
          <w:rtl/>
          <w:lang w:bidi="fa-IR"/>
        </w:rPr>
        <w:t>َ</w:t>
      </w:r>
      <w:r w:rsidRPr="00132E65">
        <w:rPr>
          <w:rtl/>
          <w:lang w:bidi="fa-IR"/>
        </w:rPr>
        <w:t>أُطْفِئَتِ النِّيرَانُ ، و</w:t>
      </w:r>
      <w:r w:rsidR="00AF2E94">
        <w:rPr>
          <w:rFonts w:hint="cs"/>
          <w:rtl/>
          <w:lang w:bidi="fa-IR"/>
        </w:rPr>
        <w:t>َ</w:t>
      </w:r>
      <w:r w:rsidRPr="00132E65">
        <w:rPr>
          <w:rtl/>
          <w:lang w:bidi="fa-IR"/>
        </w:rPr>
        <w:t>اعْتَدَلَ بِكَ الدِّينُ ، و</w:t>
      </w:r>
      <w:r w:rsidR="00AF2E94">
        <w:rPr>
          <w:rFonts w:hint="cs"/>
          <w:rtl/>
          <w:lang w:bidi="fa-IR"/>
        </w:rPr>
        <w:t xml:space="preserve">َ </w:t>
      </w:r>
      <w:r w:rsidRPr="00132E65">
        <w:rPr>
          <w:rtl/>
          <w:lang w:bidi="fa-IR"/>
        </w:rPr>
        <w:t xml:space="preserve">قَوِيَ بِكَ الْإِسْلَامُ </w:t>
      </w:r>
      <w:r>
        <w:rPr>
          <w:rStyle w:val="libFootnotenumChar"/>
          <w:rtl/>
        </w:rPr>
        <w:t>(3)</w:t>
      </w:r>
      <w:r w:rsidRPr="00132E65">
        <w:rPr>
          <w:rtl/>
          <w:lang w:bidi="fa-IR"/>
        </w:rPr>
        <w:t xml:space="preserve"> ، فَظَهَرَ </w:t>
      </w:r>
      <w:r>
        <w:rPr>
          <w:rStyle w:val="libFootnotenumChar"/>
          <w:rtl/>
        </w:rPr>
        <w:t>(4)</w:t>
      </w:r>
      <w:r w:rsidRPr="00132E65">
        <w:rPr>
          <w:rtl/>
          <w:lang w:bidi="fa-IR"/>
        </w:rPr>
        <w:t xml:space="preserve"> أَمْرُ اللهِ و</w:t>
      </w:r>
      <w:r w:rsidR="00AF2E94">
        <w:rPr>
          <w:rFonts w:hint="cs"/>
          <w:rtl/>
          <w:lang w:bidi="fa-IR"/>
        </w:rPr>
        <w:t xml:space="preserve">َ </w:t>
      </w:r>
      <w:r w:rsidRPr="00132E65">
        <w:rPr>
          <w:rtl/>
          <w:lang w:bidi="fa-IR"/>
        </w:rPr>
        <w:t xml:space="preserve">لَوْ كَرِهَ الْكَافِرُونَ ، وَثَبَتَ بِكَ </w:t>
      </w:r>
      <w:r>
        <w:rPr>
          <w:rStyle w:val="libFootnotenumChar"/>
          <w:rtl/>
        </w:rPr>
        <w:t>(5)</w:t>
      </w:r>
      <w:r w:rsidRPr="00132E65">
        <w:rPr>
          <w:rtl/>
          <w:lang w:bidi="fa-IR"/>
        </w:rPr>
        <w:t xml:space="preserve"> الْإِسْلَامُ </w:t>
      </w:r>
      <w:r>
        <w:rPr>
          <w:rStyle w:val="libFootnotenumChar"/>
          <w:rtl/>
        </w:rPr>
        <w:t>(6)</w:t>
      </w:r>
      <w:r w:rsidRPr="00132E65">
        <w:rPr>
          <w:rtl/>
          <w:lang w:bidi="fa-IR"/>
        </w:rPr>
        <w:t xml:space="preserve"> و</w:t>
      </w:r>
      <w:r w:rsidR="00F364B1">
        <w:rPr>
          <w:rFonts w:hint="cs"/>
          <w:rtl/>
          <w:lang w:bidi="fa-IR"/>
        </w:rPr>
        <w:t xml:space="preserve">َ </w:t>
      </w:r>
      <w:r w:rsidRPr="00132E65">
        <w:rPr>
          <w:rtl/>
          <w:lang w:bidi="fa-IR"/>
        </w:rPr>
        <w:t>الْمُؤْمِنُونَ ، و</w:t>
      </w:r>
      <w:r w:rsidR="00F364B1">
        <w:rPr>
          <w:rFonts w:hint="cs"/>
          <w:rtl/>
          <w:lang w:bidi="fa-IR"/>
        </w:rPr>
        <w:t xml:space="preserve">َ </w:t>
      </w:r>
      <w:r w:rsidRPr="00132E65">
        <w:rPr>
          <w:rtl/>
          <w:lang w:bidi="fa-IR"/>
        </w:rPr>
        <w:t>سَبَقْتَ سَبْقاً بَعِيداً ، و</w:t>
      </w:r>
      <w:r w:rsidR="00F364B1">
        <w:rPr>
          <w:rFonts w:hint="cs"/>
          <w:rtl/>
          <w:lang w:bidi="fa-IR"/>
        </w:rPr>
        <w:t xml:space="preserve">َ </w:t>
      </w:r>
      <w:r w:rsidRPr="00132E65">
        <w:rPr>
          <w:rtl/>
          <w:lang w:bidi="fa-IR"/>
        </w:rPr>
        <w:t xml:space="preserve">أَتْعَبْتَ مَنْ بَعْدَكَ تَعَباً شَدِيداً ، فَجَلَلْتَ عَنِ الْبُكَاءِ </w:t>
      </w:r>
      <w:r>
        <w:rPr>
          <w:rStyle w:val="libFootnotenumChar"/>
          <w:rtl/>
        </w:rPr>
        <w:t>(7)</w:t>
      </w:r>
      <w:r w:rsidRPr="00132E65">
        <w:rPr>
          <w:rtl/>
          <w:lang w:bidi="fa-IR"/>
        </w:rPr>
        <w:t xml:space="preserve"> ، و</w:t>
      </w:r>
      <w:r w:rsidR="00F364B1">
        <w:rPr>
          <w:rFonts w:hint="cs"/>
          <w:rtl/>
          <w:lang w:bidi="fa-IR"/>
        </w:rPr>
        <w:t xml:space="preserve">َ </w:t>
      </w:r>
      <w:r w:rsidRPr="00132E65">
        <w:rPr>
          <w:rtl/>
          <w:lang w:bidi="fa-IR"/>
        </w:rPr>
        <w:t xml:space="preserve">عَظُمَتْ رَزِيَّتُكَ </w:t>
      </w:r>
      <w:r>
        <w:rPr>
          <w:rStyle w:val="libFootnotenumChar"/>
          <w:rtl/>
        </w:rPr>
        <w:t>(8)</w:t>
      </w:r>
      <w:r w:rsidRPr="00132E65">
        <w:rPr>
          <w:rtl/>
          <w:lang w:bidi="fa-IR"/>
        </w:rPr>
        <w:t xml:space="preserve"> فِي السَّمَاءِ ، و</w:t>
      </w:r>
      <w:r w:rsidR="00F364B1">
        <w:rPr>
          <w:rFonts w:hint="cs"/>
          <w:rtl/>
          <w:lang w:bidi="fa-IR"/>
        </w:rPr>
        <w:t xml:space="preserve">َ </w:t>
      </w:r>
      <w:r w:rsidRPr="00132E65">
        <w:rPr>
          <w:rtl/>
          <w:lang w:bidi="fa-IR"/>
        </w:rPr>
        <w:t xml:space="preserve">هَدَّتْ </w:t>
      </w:r>
      <w:r>
        <w:rPr>
          <w:rStyle w:val="libFootnotenumChar"/>
          <w:rtl/>
        </w:rPr>
        <w:t>(9)</w:t>
      </w:r>
      <w:r w:rsidRPr="00132E65">
        <w:rPr>
          <w:rtl/>
          <w:lang w:bidi="fa-IR"/>
        </w:rPr>
        <w:t xml:space="preserve"> مُصِيبَتُكَ الْأَنَامَ </w:t>
      </w:r>
      <w:r>
        <w:rPr>
          <w:rStyle w:val="libFootnotenumChar"/>
          <w:rtl/>
        </w:rPr>
        <w:t>(10)</w:t>
      </w:r>
      <w:r w:rsidRPr="00132E65">
        <w:rPr>
          <w:rtl/>
          <w:lang w:bidi="fa-IR"/>
        </w:rPr>
        <w:t xml:space="preserve"> ؛ فَإِنَّا </w:t>
      </w:r>
      <w:r>
        <w:rPr>
          <w:rStyle w:val="libFootnotenumChar"/>
          <w:rtl/>
        </w:rPr>
        <w:t>(11)</w:t>
      </w:r>
      <w:r w:rsidRPr="00132E65">
        <w:rPr>
          <w:rtl/>
          <w:lang w:bidi="fa-IR"/>
        </w:rPr>
        <w:t xml:space="preserve"> لِلّهِ و</w:t>
      </w:r>
      <w:r w:rsidR="00F364B1">
        <w:rPr>
          <w:rFonts w:hint="cs"/>
          <w:rtl/>
          <w:lang w:bidi="fa-IR"/>
        </w:rPr>
        <w:t xml:space="preserve">َ </w:t>
      </w:r>
      <w:r w:rsidRPr="00132E65">
        <w:rPr>
          <w:rtl/>
          <w:lang w:bidi="fa-IR"/>
        </w:rPr>
        <w:t xml:space="preserve">إِنَّا إِلَيْهِ رَاجِعُونَ ، رَضِينَا عَنِ اللهِ قَضَاهُ </w:t>
      </w:r>
      <w:r>
        <w:rPr>
          <w:rStyle w:val="libFootnotenumChar"/>
          <w:rtl/>
        </w:rPr>
        <w:t>(12)</w:t>
      </w:r>
      <w:r w:rsidRPr="00132E65">
        <w:rPr>
          <w:rtl/>
          <w:lang w:bidi="fa-IR"/>
        </w:rPr>
        <w:t xml:space="preserve"> ، و</w:t>
      </w:r>
      <w:r w:rsidR="00F364B1">
        <w:rPr>
          <w:rFonts w:hint="cs"/>
          <w:rtl/>
          <w:lang w:bidi="fa-IR"/>
        </w:rPr>
        <w:t xml:space="preserve">َ </w:t>
      </w:r>
      <w:r w:rsidRPr="00132E65">
        <w:rPr>
          <w:rtl/>
          <w:lang w:bidi="fa-IR"/>
        </w:rPr>
        <w:t>سَلَّمْنَا لِلّهِ أَمْرَهُ ، فَوَ اللهِ لَنْ يُصَابَ الْمُسْلِمُونَ بِمِثْلِكَ أَبَداً.</w:t>
      </w:r>
    </w:p>
    <w:p w:rsidR="000C39D1" w:rsidRPr="00132E65" w:rsidRDefault="000C39D1" w:rsidP="000C39D1">
      <w:pPr>
        <w:pStyle w:val="libNormal"/>
        <w:rPr>
          <w:rtl/>
          <w:lang w:bidi="fa-IR"/>
        </w:rPr>
      </w:pPr>
      <w:r w:rsidRPr="00132E65">
        <w:rPr>
          <w:rtl/>
          <w:lang w:bidi="fa-IR"/>
        </w:rPr>
        <w:t>كُنْتَ لِلْمُؤْمِنِينَ كَهْفاً و</w:t>
      </w:r>
      <w:r w:rsidR="00F364B1">
        <w:rPr>
          <w:rFonts w:hint="cs"/>
          <w:rtl/>
          <w:lang w:bidi="fa-IR"/>
        </w:rPr>
        <w:t xml:space="preserve">َ </w:t>
      </w:r>
      <w:r w:rsidRPr="00132E65">
        <w:rPr>
          <w:rtl/>
          <w:lang w:bidi="fa-IR"/>
        </w:rPr>
        <w:t xml:space="preserve">حِصْناً </w:t>
      </w:r>
      <w:r w:rsidRPr="00F543F1">
        <w:rPr>
          <w:rStyle w:val="libFootnotenumChar"/>
          <w:rtl/>
        </w:rPr>
        <w:t>(13)</w:t>
      </w:r>
      <w:r w:rsidRPr="00132E65">
        <w:rPr>
          <w:rtl/>
          <w:lang w:bidi="fa-IR"/>
        </w:rPr>
        <w:t xml:space="preserve"> و</w:t>
      </w:r>
      <w:r w:rsidR="00F364B1">
        <w:rPr>
          <w:rFonts w:hint="cs"/>
          <w:rtl/>
          <w:lang w:bidi="fa-IR"/>
        </w:rPr>
        <w:t xml:space="preserve">َ </w:t>
      </w:r>
      <w:r w:rsidRPr="00132E65">
        <w:rPr>
          <w:rtl/>
          <w:lang w:bidi="fa-IR"/>
        </w:rPr>
        <w:t xml:space="preserve">قُنَّةً </w:t>
      </w:r>
      <w:r w:rsidRPr="00F543F1">
        <w:rPr>
          <w:rStyle w:val="libFootnotenumChar"/>
          <w:rtl/>
        </w:rPr>
        <w:t>(14)</w:t>
      </w:r>
      <w:r w:rsidRPr="00132E65">
        <w:rPr>
          <w:rtl/>
          <w:lang w:bidi="fa-IR"/>
        </w:rPr>
        <w:t xml:space="preserve"> رَاسِياً </w:t>
      </w:r>
      <w:r w:rsidRPr="00F543F1">
        <w:rPr>
          <w:rStyle w:val="libFootnotenumChar"/>
          <w:rtl/>
        </w:rPr>
        <w:t>(15)</w:t>
      </w:r>
      <w:r w:rsidRPr="00132E65">
        <w:rPr>
          <w:rtl/>
          <w:lang w:bidi="fa-IR"/>
        </w:rPr>
        <w:t xml:space="preserve"> ، و</w:t>
      </w:r>
      <w:r w:rsidR="00F364B1">
        <w:rPr>
          <w:rFonts w:hint="cs"/>
          <w:rtl/>
          <w:lang w:bidi="fa-IR"/>
        </w:rPr>
        <w:t xml:space="preserve">َ </w:t>
      </w:r>
      <w:r w:rsidRPr="00132E65">
        <w:rPr>
          <w:rtl/>
          <w:lang w:bidi="fa-IR"/>
        </w:rPr>
        <w:t>عَلَى الْكَافِرِينَ غِلْظَةً و</w:t>
      </w:r>
      <w:r w:rsidR="00F364B1">
        <w:rPr>
          <w:rFonts w:hint="cs"/>
          <w:rtl/>
          <w:lang w:bidi="fa-IR"/>
        </w:rPr>
        <w:t xml:space="preserve">َ </w:t>
      </w:r>
      <w:r w:rsidRPr="00132E65">
        <w:rPr>
          <w:rtl/>
          <w:lang w:bidi="fa-IR"/>
        </w:rPr>
        <w:t>غَيْظاً ، فَأَلْحَقَكَ اللهُ بِنَبِيِّهِ ، و</w:t>
      </w:r>
      <w:r w:rsidR="00F364B1">
        <w:rPr>
          <w:rFonts w:hint="cs"/>
          <w:rtl/>
          <w:lang w:bidi="fa-IR"/>
        </w:rPr>
        <w:t xml:space="preserve">َ </w:t>
      </w:r>
      <w:r w:rsidRPr="00132E65">
        <w:rPr>
          <w:rtl/>
          <w:lang w:bidi="fa-IR"/>
        </w:rPr>
        <w:t>لَا</w:t>
      </w:r>
      <w:r>
        <w:rPr>
          <w:rFonts w:hint="cs"/>
          <w:rtl/>
          <w:lang w:bidi="fa-IR"/>
        </w:rPr>
        <w:t xml:space="preserve"> </w:t>
      </w:r>
      <w:r w:rsidRPr="00132E65">
        <w:rPr>
          <w:rtl/>
          <w:lang w:bidi="fa-IR"/>
        </w:rPr>
        <w:t xml:space="preserve">أَحْرَمَنَا </w:t>
      </w:r>
      <w:r w:rsidRPr="00F543F1">
        <w:rPr>
          <w:rStyle w:val="libFootnotenumChar"/>
          <w:rtl/>
        </w:rPr>
        <w:t>(16)</w:t>
      </w:r>
      <w:r w:rsidRPr="00132E65">
        <w:rPr>
          <w:rtl/>
          <w:lang w:bidi="fa-IR"/>
        </w:rPr>
        <w:t xml:space="preserve"> أَجْرَكَ ، و</w:t>
      </w:r>
      <w:r w:rsidR="00F364B1">
        <w:rPr>
          <w:rFonts w:hint="cs"/>
          <w:rtl/>
          <w:lang w:bidi="fa-IR"/>
        </w:rPr>
        <w:t xml:space="preserve">َ </w:t>
      </w:r>
      <w:r w:rsidRPr="00132E65">
        <w:rPr>
          <w:rtl/>
          <w:lang w:bidi="fa-IR"/>
        </w:rPr>
        <w:t>لَا</w:t>
      </w:r>
      <w:r>
        <w:rPr>
          <w:rFonts w:hint="cs"/>
          <w:rtl/>
          <w:lang w:bidi="fa-IR"/>
        </w:rPr>
        <w:t xml:space="preserve"> </w:t>
      </w:r>
      <w:r w:rsidRPr="00132E65">
        <w:rPr>
          <w:rtl/>
          <w:lang w:bidi="fa-IR"/>
        </w:rPr>
        <w:t>أَضَلَّنَا بَعْدَكَ.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الحَزْمُ » : ضبط الرجل أمره والحَذَرُ من فواته ، من قولهم : حَزَمْتُ الشي‌ء ، أي شددته وأتقنته. راجع : </w:t>
      </w:r>
      <w:r w:rsidRPr="00620606">
        <w:rPr>
          <w:rtl/>
        </w:rPr>
        <w:t>النهاية</w:t>
      </w:r>
      <w:r w:rsidRPr="00132E65">
        <w:rPr>
          <w:rtl/>
        </w:rPr>
        <w:t xml:space="preserve"> ، ج 1 ، ص 379 ( حزم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فيما عملت »</w:t>
      </w:r>
      <w:r>
        <w:rPr>
          <w:rtl/>
        </w:rPr>
        <w:t>.</w:t>
      </w:r>
      <w:r w:rsidRPr="00132E65">
        <w:rPr>
          <w:rtl/>
        </w:rPr>
        <w:t xml:space="preserve"> وفي الأمالي : « فاقلعت » بدل « فيما فعلت »</w:t>
      </w:r>
      <w:r>
        <w:rPr>
          <w:rtl/>
        </w:rPr>
        <w:t>.</w:t>
      </w:r>
    </w:p>
    <w:tbl>
      <w:tblPr>
        <w:tblStyle w:val="TableGrid"/>
        <w:bidiVisual/>
        <w:tblW w:w="0" w:type="auto"/>
        <w:tblLook w:val="04A0" w:firstRow="1" w:lastRow="0" w:firstColumn="1" w:lastColumn="0" w:noHBand="0" w:noVBand="1"/>
      </w:tblPr>
      <w:tblGrid>
        <w:gridCol w:w="4261"/>
        <w:gridCol w:w="4262"/>
      </w:tblGrid>
      <w:tr w:rsidR="00F6026D" w:rsidTr="00F6026D">
        <w:tc>
          <w:tcPr>
            <w:tcW w:w="4261" w:type="dxa"/>
          </w:tcPr>
          <w:p w:rsidR="00F6026D" w:rsidRDefault="00F6026D" w:rsidP="000B729B">
            <w:pPr>
              <w:pStyle w:val="libFootnote0"/>
              <w:rPr>
                <w:rtl/>
              </w:rPr>
            </w:pPr>
            <w:r>
              <w:rPr>
                <w:rtl/>
              </w:rPr>
              <w:t>(3).</w:t>
            </w:r>
            <w:r w:rsidRPr="00132E65">
              <w:rPr>
                <w:rtl/>
              </w:rPr>
              <w:t>في«ض،ف،بر</w:t>
            </w:r>
            <w:r>
              <w:rPr>
                <w:rtl/>
              </w:rPr>
              <w:t>»</w:t>
            </w:r>
            <w:r w:rsidRPr="00132E65">
              <w:rPr>
                <w:rtl/>
              </w:rPr>
              <w:t>:</w:t>
            </w:r>
            <w:r>
              <w:rPr>
                <w:rtl/>
              </w:rPr>
              <w:t>+«</w:t>
            </w:r>
            <w:r w:rsidRPr="00132E65">
              <w:rPr>
                <w:rtl/>
              </w:rPr>
              <w:t>و</w:t>
            </w:r>
            <w:r>
              <w:rPr>
                <w:rtl/>
              </w:rPr>
              <w:t>المؤمنون</w:t>
            </w:r>
            <w:r w:rsidRPr="00132E65">
              <w:rPr>
                <w:rtl/>
              </w:rPr>
              <w:t>»</w:t>
            </w:r>
            <w:r>
              <w:rPr>
                <w:rtl/>
              </w:rPr>
              <w:t>.</w:t>
            </w:r>
          </w:p>
        </w:tc>
        <w:tc>
          <w:tcPr>
            <w:tcW w:w="4262" w:type="dxa"/>
          </w:tcPr>
          <w:p w:rsidR="00F6026D" w:rsidRDefault="00F6026D" w:rsidP="000B729B">
            <w:pPr>
              <w:pStyle w:val="libFootnote0"/>
              <w:rPr>
                <w:rtl/>
              </w:rPr>
            </w:pPr>
            <w:r>
              <w:rPr>
                <w:rtl/>
              </w:rPr>
              <w:t>(4).</w:t>
            </w:r>
            <w:r w:rsidRPr="00132E65">
              <w:rPr>
                <w:rtl/>
              </w:rPr>
              <w:t>في«ب،ج،ض،ف،بر،بف»و</w:t>
            </w:r>
            <w:r w:rsidRPr="009D1ACE">
              <w:rPr>
                <w:rStyle w:val="libFootnoteBoldChar"/>
                <w:rtl/>
              </w:rPr>
              <w:t>الوافي</w:t>
            </w:r>
            <w:r w:rsidRPr="00132E65">
              <w:rPr>
                <w:rtl/>
              </w:rPr>
              <w:t>:«</w:t>
            </w:r>
            <w:r>
              <w:rPr>
                <w:rtl/>
              </w:rPr>
              <w:t>وظهر</w:t>
            </w:r>
            <w:r w:rsidRPr="00132E65">
              <w:rPr>
                <w:rtl/>
              </w:rPr>
              <w:t>»</w:t>
            </w:r>
            <w:r>
              <w:rPr>
                <w:rtl/>
              </w:rPr>
              <w:t>.</w:t>
            </w:r>
          </w:p>
        </w:tc>
      </w:tr>
    </w:tbl>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بك »</w:t>
      </w:r>
      <w:r>
        <w:rPr>
          <w:rtl/>
        </w:rPr>
        <w:t>.</w:t>
      </w:r>
    </w:p>
    <w:p w:rsidR="000C39D1" w:rsidRPr="00132E65" w:rsidRDefault="000C39D1" w:rsidP="000C39D1">
      <w:pPr>
        <w:pStyle w:val="libFootnote0"/>
        <w:rPr>
          <w:rtl/>
          <w:lang w:bidi="fa-IR"/>
        </w:rPr>
      </w:pPr>
      <w:r>
        <w:rPr>
          <w:rtl/>
        </w:rPr>
        <w:t>(6).</w:t>
      </w:r>
      <w:r w:rsidRPr="00132E65">
        <w:rPr>
          <w:rtl/>
        </w:rPr>
        <w:t xml:space="preserve"> في الأمالي والبحار </w:t>
      </w:r>
      <w:r>
        <w:rPr>
          <w:rtl/>
        </w:rPr>
        <w:t xml:space="preserve">: - </w:t>
      </w:r>
      <w:r w:rsidRPr="00132E65">
        <w:rPr>
          <w:rtl/>
        </w:rPr>
        <w:t>« فظهر أمر الله</w:t>
      </w:r>
      <w:r>
        <w:rPr>
          <w:rtl/>
        </w:rPr>
        <w:t xml:space="preserve"> - </w:t>
      </w:r>
      <w:r w:rsidRPr="00132E65">
        <w:rPr>
          <w:rtl/>
        </w:rPr>
        <w:t>إلى</w:t>
      </w:r>
      <w:r>
        <w:rPr>
          <w:rtl/>
        </w:rPr>
        <w:t xml:space="preserve"> - </w:t>
      </w:r>
      <w:r w:rsidRPr="00132E65">
        <w:rPr>
          <w:rtl/>
        </w:rPr>
        <w:t>بك الإسلام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جلالته عن البكاء كناية عن عظم قدره ، يعني أنت أجلّ من أن يبكى عليك على قدر عزائك »</w:t>
      </w:r>
      <w:r>
        <w:rPr>
          <w:rtl/>
        </w:rPr>
        <w:t>.</w:t>
      </w:r>
    </w:p>
    <w:p w:rsidR="000C39D1" w:rsidRPr="00132E65" w:rsidRDefault="000C39D1" w:rsidP="000C39D1">
      <w:pPr>
        <w:pStyle w:val="libFootnote0"/>
        <w:rPr>
          <w:rtl/>
          <w:lang w:bidi="fa-IR"/>
        </w:rPr>
      </w:pPr>
      <w:r>
        <w:rPr>
          <w:rtl/>
        </w:rPr>
        <w:t>(8).</w:t>
      </w:r>
      <w:r w:rsidRPr="00132E65">
        <w:rPr>
          <w:rtl/>
        </w:rPr>
        <w:t xml:space="preserve"> « الرَزِيَّةُ » : المصيبة ، والجمع : رزايا ، وأصلها الهمز ، يقال : رَزَأْتُهُ. </w:t>
      </w:r>
      <w:r w:rsidRPr="00620606">
        <w:rPr>
          <w:rtl/>
        </w:rPr>
        <w:t>المصباح المنير</w:t>
      </w:r>
      <w:r w:rsidRPr="00132E65">
        <w:rPr>
          <w:rtl/>
        </w:rPr>
        <w:t xml:space="preserve"> ، ص 226 ( رزى )</w:t>
      </w:r>
      <w:r>
        <w:rPr>
          <w:rtl/>
        </w:rPr>
        <w:t>.</w:t>
      </w:r>
    </w:p>
    <w:p w:rsidR="000C39D1" w:rsidRPr="00132E65" w:rsidRDefault="000C39D1" w:rsidP="00536EBF">
      <w:pPr>
        <w:pStyle w:val="libFootnote0"/>
        <w:rPr>
          <w:rtl/>
          <w:lang w:bidi="fa-IR"/>
        </w:rPr>
      </w:pPr>
      <w:r>
        <w:rPr>
          <w:rtl/>
        </w:rPr>
        <w:t>(9).</w:t>
      </w:r>
      <w:r w:rsidRPr="00132E65">
        <w:rPr>
          <w:rtl/>
        </w:rPr>
        <w:t xml:space="preserve"> يقال : هدّ البناءَ يَهُدّه هَدّاً ، أي كسره وضعضعه. وهَدَّتْه المصيبة ، أي أوهنتْ رُكنَه. </w:t>
      </w:r>
      <w:r w:rsidRPr="00620606">
        <w:rPr>
          <w:rtl/>
        </w:rPr>
        <w:t>الصحاح</w:t>
      </w:r>
      <w:r w:rsidRPr="00132E65">
        <w:rPr>
          <w:rtl/>
        </w:rPr>
        <w:t xml:space="preserve"> ، ج 2 ، ص 555 ( هدد )</w:t>
      </w:r>
      <w:r>
        <w:rPr>
          <w:rtl/>
        </w:rPr>
        <w:t>.</w:t>
      </w:r>
      <w:r w:rsidR="00536EBF">
        <w:rPr>
          <w:rFonts w:hint="cs"/>
          <w:rtl/>
        </w:rPr>
        <w:t xml:space="preserve">                                                      </w:t>
      </w:r>
      <w:r>
        <w:rPr>
          <w:rtl/>
        </w:rPr>
        <w:t>(10).</w:t>
      </w:r>
      <w:r w:rsidRPr="00132E65">
        <w:rPr>
          <w:rtl/>
        </w:rPr>
        <w:t xml:space="preserve"> في « ب ، بف » : « الإسلام »</w:t>
      </w:r>
      <w:r>
        <w:rPr>
          <w:rtl/>
        </w:rPr>
        <w:t>.</w:t>
      </w:r>
    </w:p>
    <w:p w:rsidR="000C39D1" w:rsidRPr="00132E65" w:rsidRDefault="000C39D1" w:rsidP="000C39D1">
      <w:pPr>
        <w:pStyle w:val="libFootnote0"/>
        <w:rPr>
          <w:rtl/>
          <w:lang w:bidi="fa-IR"/>
        </w:rPr>
      </w:pPr>
      <w:r>
        <w:rPr>
          <w:rtl/>
        </w:rPr>
        <w:t>(11).</w:t>
      </w:r>
      <w:r w:rsidRPr="00132E65">
        <w:rPr>
          <w:rtl/>
        </w:rPr>
        <w:t xml:space="preserve"> في « ب ، بح ، بر ، بف » : « وإنّا »</w:t>
      </w:r>
      <w:r>
        <w:rPr>
          <w:rtl/>
        </w:rPr>
        <w:t>.</w:t>
      </w:r>
    </w:p>
    <w:p w:rsidR="000C39D1" w:rsidRPr="00132E65" w:rsidRDefault="000C39D1" w:rsidP="000C39D1">
      <w:pPr>
        <w:pStyle w:val="libFootnote0"/>
        <w:rPr>
          <w:rtl/>
          <w:lang w:bidi="fa-IR"/>
        </w:rPr>
      </w:pPr>
      <w:r>
        <w:rPr>
          <w:rtl/>
        </w:rPr>
        <w:t>(12).</w:t>
      </w:r>
      <w:r w:rsidRPr="00132E65">
        <w:rPr>
          <w:rtl/>
        </w:rPr>
        <w:t xml:space="preserve"> هو من تخفيف الهمزة بالحذف. وفي « ب ، بح » و</w:t>
      </w:r>
      <w:r w:rsidRPr="009D1ACE">
        <w:rPr>
          <w:rStyle w:val="libFootnoteBoldChar"/>
          <w:rtl/>
        </w:rPr>
        <w:t>الوافي</w:t>
      </w:r>
      <w:r w:rsidRPr="00132E65">
        <w:rPr>
          <w:rtl/>
        </w:rPr>
        <w:t xml:space="preserve"> والأمالي والبحار : « قضاءه »</w:t>
      </w:r>
      <w:r>
        <w:rPr>
          <w:rtl/>
        </w:rPr>
        <w:t>.</w:t>
      </w:r>
    </w:p>
    <w:p w:rsidR="000C39D1" w:rsidRPr="00132E65" w:rsidRDefault="000C39D1" w:rsidP="000C39D1">
      <w:pPr>
        <w:pStyle w:val="libFootnote0"/>
        <w:rPr>
          <w:rtl/>
          <w:lang w:bidi="fa-IR"/>
        </w:rPr>
      </w:pPr>
      <w:r>
        <w:rPr>
          <w:rtl/>
        </w:rPr>
        <w:t>(13)</w:t>
      </w:r>
      <w:r w:rsidRPr="00132E65">
        <w:rPr>
          <w:rtl/>
        </w:rPr>
        <w:t xml:space="preserve"> في الأمالي : « كهفاً حصيناً »</w:t>
      </w:r>
      <w:r>
        <w:rPr>
          <w:rtl/>
        </w:rPr>
        <w:t>.</w:t>
      </w:r>
    </w:p>
    <w:p w:rsidR="000C39D1" w:rsidRPr="00132E65" w:rsidRDefault="000C39D1" w:rsidP="000C39D1">
      <w:pPr>
        <w:pStyle w:val="libFootnote0"/>
        <w:rPr>
          <w:rtl/>
          <w:lang w:bidi="fa-IR"/>
        </w:rPr>
      </w:pPr>
      <w:r>
        <w:rPr>
          <w:rtl/>
        </w:rPr>
        <w:t>(14)</w:t>
      </w:r>
      <w:r w:rsidRPr="00132E65">
        <w:rPr>
          <w:rtl/>
        </w:rPr>
        <w:t xml:space="preserve"> « القُنّة » : الجبل الصغير ، أو الجبل السهل المستوي المنبسط على الأرض ، أو الجبل المنفرد المستطيل إلى السماء. ولا تكون القُنّة إلاّسوداء. وقُنّة كلّ شي‌ء أعلاه ، مثل القُلّة. </w:t>
      </w:r>
      <w:r w:rsidRPr="009D1ACE">
        <w:rPr>
          <w:rStyle w:val="libFootnoteBoldChar"/>
          <w:rtl/>
        </w:rPr>
        <w:t>لسان العرب</w:t>
      </w:r>
      <w:r w:rsidRPr="00132E65">
        <w:rPr>
          <w:rtl/>
        </w:rPr>
        <w:t xml:space="preserve"> ، ج 13 ، ص 348 ( قنن )</w:t>
      </w:r>
      <w:r>
        <w:rPr>
          <w:rtl/>
        </w:rPr>
        <w:t>.</w:t>
      </w:r>
    </w:p>
    <w:p w:rsidR="000C39D1" w:rsidRPr="00132E65" w:rsidRDefault="000C39D1" w:rsidP="000C39D1">
      <w:pPr>
        <w:pStyle w:val="libFootnote0"/>
        <w:rPr>
          <w:rtl/>
          <w:lang w:bidi="fa-IR"/>
        </w:rPr>
      </w:pPr>
      <w:r>
        <w:rPr>
          <w:rtl/>
        </w:rPr>
        <w:t>(15)</w:t>
      </w:r>
      <w:r w:rsidRPr="00132E65">
        <w:rPr>
          <w:rtl/>
        </w:rPr>
        <w:t xml:space="preserve"> في </w:t>
      </w:r>
      <w:r w:rsidRPr="009D1ACE">
        <w:rPr>
          <w:rStyle w:val="libFootnoteBoldChar"/>
          <w:rtl/>
        </w:rPr>
        <w:t>الوافي</w:t>
      </w:r>
      <w:r w:rsidRPr="00132E65">
        <w:rPr>
          <w:rtl/>
        </w:rPr>
        <w:t xml:space="preserve"> والأمالي </w:t>
      </w:r>
      <w:r>
        <w:rPr>
          <w:rtl/>
        </w:rPr>
        <w:t xml:space="preserve">: - </w:t>
      </w:r>
      <w:r w:rsidRPr="00132E65">
        <w:rPr>
          <w:rtl/>
        </w:rPr>
        <w:t>« وقُنّة راسياً »</w:t>
      </w:r>
      <w:r>
        <w:rPr>
          <w:rtl/>
        </w:rPr>
        <w:t>.</w:t>
      </w:r>
      <w:r w:rsidRPr="00132E65">
        <w:rPr>
          <w:rtl/>
        </w:rPr>
        <w:t xml:space="preserve"> </w:t>
      </w:r>
      <w:r>
        <w:rPr>
          <w:rtl/>
        </w:rPr>
        <w:t>و «</w:t>
      </w:r>
      <w:r w:rsidRPr="00132E65">
        <w:rPr>
          <w:rtl/>
        </w:rPr>
        <w:t xml:space="preserve"> الراسي » : الثابت. يقال : رسا الشي‌ءُ يرسو : ثبت. والرواسي من الجبال : الثوابت الرواسخ. وراجع : </w:t>
      </w:r>
      <w:r w:rsidRPr="00620606">
        <w:rPr>
          <w:rtl/>
        </w:rPr>
        <w:t>الصحاح</w:t>
      </w:r>
      <w:r w:rsidRPr="00132E65">
        <w:rPr>
          <w:rtl/>
        </w:rPr>
        <w:t xml:space="preserve"> ، ج 6 ، ص 2356 ( رسا )</w:t>
      </w:r>
      <w:r>
        <w:rPr>
          <w:rtl/>
        </w:rPr>
        <w:t>.</w:t>
      </w:r>
    </w:p>
    <w:p w:rsidR="000C39D1" w:rsidRPr="00132E65" w:rsidRDefault="000C39D1" w:rsidP="00536EBF">
      <w:pPr>
        <w:pStyle w:val="libFootnote0"/>
        <w:rPr>
          <w:rtl/>
          <w:lang w:bidi="fa-IR"/>
        </w:rPr>
      </w:pPr>
      <w:r>
        <w:rPr>
          <w:rtl/>
        </w:rPr>
        <w:t>(16)</w:t>
      </w:r>
      <w:r w:rsidRPr="00132E65">
        <w:rPr>
          <w:rtl/>
        </w:rPr>
        <w:t xml:space="preserve"> في « بس » :</w:t>
      </w:r>
      <w:r>
        <w:rPr>
          <w:rtl/>
        </w:rPr>
        <w:t xml:space="preserve"> + </w:t>
      </w:r>
      <w:r w:rsidRPr="00132E65">
        <w:rPr>
          <w:rtl/>
        </w:rPr>
        <w:t>« الله »</w:t>
      </w:r>
      <w:r>
        <w:rPr>
          <w:rtl/>
        </w:rPr>
        <w:t>.</w:t>
      </w:r>
      <w:r w:rsidRPr="00132E65">
        <w:rPr>
          <w:rtl/>
        </w:rPr>
        <w:t xml:space="preserve"> وفي </w:t>
      </w:r>
      <w:r w:rsidRPr="009D1ACE">
        <w:rPr>
          <w:rStyle w:val="libFootnoteBoldChar"/>
          <w:rtl/>
        </w:rPr>
        <w:t>الوافي</w:t>
      </w:r>
      <w:r w:rsidRPr="00132E65">
        <w:rPr>
          <w:rtl/>
        </w:rPr>
        <w:t xml:space="preserve"> والأمالي وكمال الدين : « ولا حرمنا »</w:t>
      </w:r>
      <w:r>
        <w:rPr>
          <w:rtl/>
        </w:rPr>
        <w:t>.</w:t>
      </w:r>
      <w:r w:rsidRPr="00132E65">
        <w:rPr>
          <w:rtl/>
        </w:rPr>
        <w:t xml:space="preserve"> وقال في </w:t>
      </w:r>
      <w:r w:rsidRPr="00536EBF">
        <w:rPr>
          <w:rStyle w:val="libFootnoteBoldChar"/>
          <w:rtl/>
        </w:rPr>
        <w:t>اللسا</w:t>
      </w:r>
      <w:r w:rsidRPr="009D1ACE">
        <w:rPr>
          <w:rStyle w:val="libFootnoteBoldChar"/>
          <w:rtl/>
        </w:rPr>
        <w:t>ن العرب</w:t>
      </w:r>
      <w:r w:rsidR="00536EBF">
        <w:rPr>
          <w:rtl/>
        </w:rPr>
        <w:t xml:space="preserve"> : « وأحرمه</w:t>
      </w:r>
      <w:r w:rsidRPr="00132E65">
        <w:rPr>
          <w:rtl/>
        </w:rPr>
        <w:t>،</w:t>
      </w:r>
      <w:r w:rsidR="00536EBF">
        <w:rPr>
          <w:rFonts w:hint="cs"/>
          <w:rtl/>
        </w:rPr>
        <w:t xml:space="preserve"> =</w:t>
      </w:r>
    </w:p>
    <w:p w:rsidR="000C39D1" w:rsidRDefault="000C39D1" w:rsidP="000C39D1">
      <w:pPr>
        <w:pStyle w:val="libNormal"/>
        <w:rPr>
          <w:rtl/>
          <w:lang w:bidi="fa-IR"/>
        </w:rPr>
      </w:pPr>
      <w:r>
        <w:rPr>
          <w:rtl/>
          <w:lang w:bidi="fa-IR"/>
        </w:rPr>
        <w:br w:type="page"/>
      </w:r>
    </w:p>
    <w:p w:rsidR="000C39D1" w:rsidRPr="00132E65" w:rsidRDefault="000C39D1" w:rsidP="00727DE3">
      <w:pPr>
        <w:pStyle w:val="libNormal"/>
        <w:rPr>
          <w:rtl/>
          <w:lang w:bidi="fa-IR"/>
        </w:rPr>
      </w:pPr>
      <w:r w:rsidRPr="00132E65">
        <w:rPr>
          <w:rtl/>
          <w:lang w:bidi="fa-IR"/>
        </w:rPr>
        <w:t>وَسَكَتَ الْقَوْمُ حَتّى انْقَضى كَلَامُهُ ، و</w:t>
      </w:r>
      <w:r w:rsidR="00727DE3">
        <w:rPr>
          <w:rFonts w:hint="cs"/>
          <w:rtl/>
          <w:lang w:bidi="fa-IR"/>
        </w:rPr>
        <w:t xml:space="preserve">َ </w:t>
      </w:r>
      <w:r w:rsidRPr="00132E65">
        <w:rPr>
          <w:rtl/>
          <w:lang w:bidi="fa-IR"/>
        </w:rPr>
        <w:t xml:space="preserve">بَكى ، </w:t>
      </w:r>
      <w:r w:rsidR="00727DE3" w:rsidRPr="00132E65">
        <w:rPr>
          <w:rtl/>
          <w:lang w:bidi="fa-IR"/>
        </w:rPr>
        <w:t>و</w:t>
      </w:r>
      <w:r w:rsidR="00727DE3">
        <w:rPr>
          <w:rFonts w:hint="cs"/>
          <w:rtl/>
          <w:lang w:bidi="fa-IR"/>
        </w:rPr>
        <w:t xml:space="preserve">َ </w:t>
      </w:r>
      <w:r w:rsidR="00727DE3" w:rsidRPr="00132E65">
        <w:rPr>
          <w:rtl/>
          <w:lang w:bidi="fa-IR"/>
        </w:rPr>
        <w:t>بَكى</w:t>
      </w:r>
      <w:r w:rsidR="00727DE3">
        <w:rPr>
          <w:rFonts w:hint="cs"/>
          <w:rtl/>
          <w:lang w:bidi="fa-IR"/>
        </w:rPr>
        <w:t xml:space="preserve"> </w:t>
      </w:r>
      <w:r>
        <w:rPr>
          <w:rStyle w:val="libFootnotenumChar"/>
          <w:rtl/>
        </w:rPr>
        <w:t>(1)</w:t>
      </w:r>
      <w:r w:rsidRPr="00132E65">
        <w:rPr>
          <w:rtl/>
          <w:lang w:bidi="fa-IR"/>
        </w:rPr>
        <w:t xml:space="preserve"> أَصْحَابُ رَسُولِ اللهِ </w:t>
      </w:r>
      <w:r w:rsidRPr="0093484F">
        <w:rPr>
          <w:rStyle w:val="libAlaemChar"/>
          <w:rFonts w:eastAsiaTheme="minorHAnsi"/>
          <w:rtl/>
        </w:rPr>
        <w:t>صلى‌الله‌عليه‌وآله</w:t>
      </w:r>
      <w:r w:rsidRPr="00132E65">
        <w:rPr>
          <w:rtl/>
          <w:lang w:bidi="fa-IR"/>
        </w:rPr>
        <w:t xml:space="preserve"> ، ثُمَّ طَلَبُوهُ ، فَلَمْ يُصَادِفُوهُ.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620606">
        <w:rPr>
          <w:rtl/>
        </w:rPr>
        <w:t>1237</w:t>
      </w:r>
      <w:r w:rsidRPr="004325D8">
        <w:rPr>
          <w:rStyle w:val="libBold2Char"/>
          <w:rtl/>
        </w:rPr>
        <w:t xml:space="preserve"> / 5.</w:t>
      </w:r>
      <w:r w:rsidRPr="00132E65">
        <w:rPr>
          <w:rtl/>
          <w:lang w:bidi="fa-IR"/>
        </w:rPr>
        <w:t xml:space="preserve"> عِدَّةٌ مِنْ أَصْحَابِنَا ، عَنْ أَحْمَدَ بْنِ مُحَمَّدٍ ، عَنْ عَلِيِّ بْنِ الْحَكَمِ ، عَنْ صَفْوَانَ الْجَمَّالِ ، قَالَ :</w:t>
      </w:r>
    </w:p>
    <w:p w:rsidR="000C39D1" w:rsidRPr="00132E65" w:rsidRDefault="000C39D1" w:rsidP="000C39D1">
      <w:pPr>
        <w:pStyle w:val="libNormal"/>
        <w:rPr>
          <w:rtl/>
          <w:lang w:bidi="fa-IR"/>
        </w:rPr>
      </w:pPr>
      <w:r w:rsidRPr="00132E65">
        <w:rPr>
          <w:rtl/>
          <w:lang w:bidi="fa-IR"/>
        </w:rPr>
        <w:t>كُنْتُ أَنَا و</w:t>
      </w:r>
      <w:r w:rsidR="00727DE3">
        <w:rPr>
          <w:rFonts w:hint="cs"/>
          <w:rtl/>
          <w:lang w:bidi="fa-IR"/>
        </w:rPr>
        <w:t xml:space="preserve">َ </w:t>
      </w:r>
      <w:r w:rsidRPr="00132E65">
        <w:rPr>
          <w:rtl/>
          <w:lang w:bidi="fa-IR"/>
        </w:rPr>
        <w:t xml:space="preserve">عَامِرُ بْنُ </w:t>
      </w:r>
      <w:r>
        <w:rPr>
          <w:rStyle w:val="libFootnotenumChar"/>
          <w:rtl/>
        </w:rPr>
        <w:t>(3)</w:t>
      </w:r>
      <w:r w:rsidRPr="00132E65">
        <w:rPr>
          <w:rtl/>
          <w:lang w:bidi="fa-IR"/>
        </w:rPr>
        <w:t xml:space="preserve"> عَبْدِ اللهِ بْنِ جُذَاعَةَ الْأَزْدِيُّ عِنْدَ أَبِي عَبْدِ اللهِ </w:t>
      </w:r>
      <w:r w:rsidRPr="00071CF9">
        <w:rPr>
          <w:rStyle w:val="libAlaemChar"/>
          <w:rtl/>
        </w:rPr>
        <w:t>عليه‌السلام</w:t>
      </w:r>
      <w:r w:rsidRPr="00132E65">
        <w:rPr>
          <w:rtl/>
          <w:lang w:bidi="fa-IR"/>
        </w:rPr>
        <w:t xml:space="preserve"> ، قَالَ : فَقَالَ لَهُ عَامِرٌ : جُعِلْتُ فِدَاكَ ، إِنَّ النَّاسَ يَزْعُمُونَ أَنَّ أَمِيرَ الْمُؤْمِنِينَ </w:t>
      </w:r>
      <w:r w:rsidRPr="00071CF9">
        <w:rPr>
          <w:rStyle w:val="libAlaemChar"/>
          <w:rtl/>
        </w:rPr>
        <w:t>عليه‌السلام</w:t>
      </w:r>
      <w:r w:rsidRPr="00132E65">
        <w:rPr>
          <w:rtl/>
          <w:lang w:bidi="fa-IR"/>
        </w:rPr>
        <w:t xml:space="preserve"> دُفِنَ بِالرَّحْبَةِ </w:t>
      </w:r>
      <w:r>
        <w:rPr>
          <w:rStyle w:val="libFootnotenumChar"/>
          <w:rtl/>
        </w:rPr>
        <w:t>(4)</w:t>
      </w:r>
      <w:r>
        <w:rPr>
          <w:rtl/>
          <w:lang w:bidi="fa-IR"/>
        </w:rPr>
        <w:t>؟</w:t>
      </w:r>
      <w:r w:rsidRPr="00132E65">
        <w:rPr>
          <w:rtl/>
          <w:lang w:bidi="fa-IR"/>
        </w:rPr>
        <w:t xml:space="preserve"> قَالَ :</w:t>
      </w:r>
      <w:r>
        <w:rPr>
          <w:rFonts w:hint="cs"/>
          <w:rtl/>
          <w:lang w:bidi="fa-IR"/>
        </w:rPr>
        <w:t xml:space="preserve"> </w:t>
      </w:r>
      <w:r w:rsidRPr="00132E65">
        <w:rPr>
          <w:rtl/>
          <w:lang w:bidi="fa-IR"/>
        </w:rPr>
        <w:t>« لَا »</w:t>
      </w:r>
      <w:r>
        <w:rPr>
          <w:rtl/>
          <w:lang w:bidi="fa-IR"/>
        </w:rPr>
        <w:t>.</w:t>
      </w:r>
      <w:r w:rsidRPr="00132E65">
        <w:rPr>
          <w:rtl/>
          <w:lang w:bidi="fa-IR"/>
        </w:rPr>
        <w:t xml:space="preserve"> قَالَ : فَأَيْنَ دُفِنَ</w:t>
      </w:r>
      <w:r>
        <w:rPr>
          <w:rtl/>
          <w:lang w:bidi="fa-IR"/>
        </w:rPr>
        <w:t>؟</w:t>
      </w:r>
      <w:r w:rsidRPr="00132E65">
        <w:rPr>
          <w:rtl/>
          <w:lang w:bidi="fa-IR"/>
        </w:rPr>
        <w:t xml:space="preserve"> قَالَ : « إِنَّهُ لَمَّا مَاتَ احْتَمَلَهُ الْحَسَنُ </w:t>
      </w:r>
      <w:r w:rsidRPr="00071CF9">
        <w:rPr>
          <w:rStyle w:val="libAlaemChar"/>
          <w:rtl/>
        </w:rPr>
        <w:t>عليه‌السلام</w:t>
      </w:r>
      <w:r w:rsidRPr="00132E65">
        <w:rPr>
          <w:rtl/>
          <w:lang w:bidi="fa-IR"/>
        </w:rPr>
        <w:t xml:space="preserve"> ، فَأَتى بِهِ ظَهْرَ الْكُوفَةِ قَرِيباً مِنَ النَّجَفِ يَسْرَةً </w:t>
      </w:r>
      <w:r>
        <w:rPr>
          <w:rStyle w:val="libFootnotenumChar"/>
          <w:rtl/>
        </w:rPr>
        <w:t>(5)</w:t>
      </w:r>
      <w:r w:rsidRPr="00132E65">
        <w:rPr>
          <w:rtl/>
          <w:lang w:bidi="fa-IR"/>
        </w:rPr>
        <w:t xml:space="preserve"> عَنِ الْغَرِيِّ </w:t>
      </w:r>
      <w:r>
        <w:rPr>
          <w:rStyle w:val="libFootnotenumChar"/>
          <w:rtl/>
        </w:rPr>
        <w:t>(6)</w:t>
      </w:r>
      <w:r w:rsidRPr="00132E65">
        <w:rPr>
          <w:rtl/>
          <w:lang w:bidi="fa-IR"/>
        </w:rPr>
        <w:t xml:space="preserve"> ، يَمْنَةً </w:t>
      </w:r>
      <w:r>
        <w:rPr>
          <w:rStyle w:val="libFootnotenumChar"/>
          <w:rtl/>
        </w:rPr>
        <w:t>(7)</w:t>
      </w:r>
      <w:r w:rsidRPr="00132E65">
        <w:rPr>
          <w:rtl/>
          <w:lang w:bidi="fa-IR"/>
        </w:rPr>
        <w:t xml:space="preserve"> عَنِ‌</w:t>
      </w:r>
      <w:r w:rsidR="00727DE3">
        <w:rPr>
          <w:rFonts w:hint="cs"/>
          <w:rtl/>
          <w:lang w:bidi="fa-IR"/>
        </w:rPr>
        <w:t>........................</w:t>
      </w:r>
      <w:r w:rsidR="003915A6">
        <w:rPr>
          <w:rFonts w:hint="cs"/>
          <w:rtl/>
          <w:lang w:bidi="fa-IR"/>
        </w:rPr>
        <w:t>.....</w:t>
      </w:r>
      <w:r w:rsidR="00727DE3">
        <w:rPr>
          <w:rFonts w:hint="cs"/>
          <w:rtl/>
          <w:lang w:bidi="fa-IR"/>
        </w:rPr>
        <w:t>.................................</w:t>
      </w:r>
      <w:r w:rsidR="00727DE3">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Default="007F6F15" w:rsidP="000C39D1">
      <w:pPr>
        <w:pStyle w:val="libFootnote0"/>
        <w:rPr>
          <w:rtl/>
          <w:lang w:bidi="fa-IR"/>
        </w:rPr>
      </w:pPr>
      <w:r>
        <w:rPr>
          <w:rFonts w:hint="cs"/>
          <w:rtl/>
        </w:rPr>
        <w:t xml:space="preserve">= </w:t>
      </w:r>
      <w:r w:rsidR="000C39D1" w:rsidRPr="00132E65">
        <w:rPr>
          <w:rtl/>
        </w:rPr>
        <w:t>لغة ليست بالعالية »</w:t>
      </w:r>
      <w:r w:rsidR="000C39D1">
        <w:rPr>
          <w:rtl/>
        </w:rPr>
        <w:t>.</w:t>
      </w:r>
      <w:r w:rsidR="000C39D1" w:rsidRPr="00132E65">
        <w:rPr>
          <w:rtl/>
        </w:rPr>
        <w:t xml:space="preserve"> </w:t>
      </w:r>
      <w:r w:rsidR="000C39D1" w:rsidRPr="009D1ACE">
        <w:rPr>
          <w:rStyle w:val="libFootnoteBoldChar"/>
          <w:rtl/>
        </w:rPr>
        <w:t>لسان العرب</w:t>
      </w:r>
      <w:r w:rsidR="000C39D1" w:rsidRPr="00132E65">
        <w:rPr>
          <w:rtl/>
        </w:rPr>
        <w:t xml:space="preserve"> ، ج 12 ، ص 125 ( حرم )</w:t>
      </w:r>
      <w:r w:rsidR="000C39D1">
        <w:rPr>
          <w:rtl/>
        </w:rPr>
        <w:t>.</w:t>
      </w:r>
    </w:p>
    <w:p w:rsidR="000C39D1" w:rsidRPr="00132E65" w:rsidRDefault="000C39D1" w:rsidP="000C39D1">
      <w:pPr>
        <w:pStyle w:val="libFootnote0"/>
        <w:rPr>
          <w:rtl/>
          <w:lang w:bidi="fa-IR"/>
        </w:rPr>
      </w:pPr>
      <w:r>
        <w:rPr>
          <w:rtl/>
        </w:rPr>
        <w:t>(1).</w:t>
      </w:r>
      <w:r w:rsidRPr="00132E65">
        <w:rPr>
          <w:rtl/>
        </w:rPr>
        <w:t xml:space="preserve"> في « بر » : « وبكّى » بالتثقيل ، واحتمله في </w:t>
      </w:r>
      <w:r w:rsidRPr="009D1ACE">
        <w:rPr>
          <w:rStyle w:val="libFootnoteBoldChar"/>
          <w:rtl/>
        </w:rPr>
        <w:t>مرآة العقول</w:t>
      </w:r>
      <w:r w:rsidRPr="00132E65">
        <w:rPr>
          <w:rtl/>
        </w:rPr>
        <w:t>. وفي الأمالي وكمال الدين : « وأبكى »</w:t>
      </w:r>
      <w:r>
        <w:rPr>
          <w:rtl/>
        </w:rPr>
        <w:t>.</w:t>
      </w:r>
    </w:p>
    <w:p w:rsidR="000C39D1" w:rsidRPr="00132E65" w:rsidRDefault="000C39D1" w:rsidP="000C39D1">
      <w:pPr>
        <w:pStyle w:val="libFootnote0"/>
        <w:rPr>
          <w:rtl/>
          <w:lang w:bidi="fa-IR"/>
        </w:rPr>
      </w:pPr>
      <w:r>
        <w:rPr>
          <w:rtl/>
        </w:rPr>
        <w:t>(2).</w:t>
      </w:r>
      <w:r w:rsidRPr="00132E65">
        <w:rPr>
          <w:rtl/>
        </w:rPr>
        <w:t xml:space="preserve"> </w:t>
      </w:r>
      <w:r w:rsidRPr="00620606">
        <w:rPr>
          <w:rtl/>
        </w:rPr>
        <w:t>الأمالي</w:t>
      </w:r>
      <w:r w:rsidRPr="00132E65">
        <w:rPr>
          <w:rtl/>
        </w:rPr>
        <w:t xml:space="preserve"> للصدوق ، ص 241 ، المجلس 42 ، ح 11 ؛ و</w:t>
      </w:r>
      <w:r w:rsidRPr="00620606">
        <w:rPr>
          <w:rtl/>
        </w:rPr>
        <w:t xml:space="preserve">كمال الدين </w:t>
      </w:r>
      <w:r w:rsidRPr="00132E65">
        <w:rPr>
          <w:rtl/>
        </w:rPr>
        <w:t xml:space="preserve">، ص 387 ، ح 3 ، بسنده عن أحمد بن محمّد بن عيسى ، عن محمّد بن خالد البرقي. </w:t>
      </w:r>
      <w:r w:rsidRPr="00620606">
        <w:rPr>
          <w:rtl/>
        </w:rPr>
        <w:t>الفقيه</w:t>
      </w:r>
      <w:r w:rsidRPr="00132E65">
        <w:rPr>
          <w:rtl/>
        </w:rPr>
        <w:t xml:space="preserve"> ، ج 2 ، ص 592 ، ح 3199 ، زيارة ا</w:t>
      </w:r>
      <w:r w:rsidR="00EA63BF">
        <w:rPr>
          <w:rFonts w:hint="cs"/>
          <w:rtl/>
        </w:rPr>
        <w:t>ُ</w:t>
      </w:r>
      <w:r w:rsidRPr="00132E65">
        <w:rPr>
          <w:rtl/>
        </w:rPr>
        <w:t xml:space="preserve">خرى لأمير المؤمنين </w:t>
      </w:r>
      <w:r w:rsidRPr="00EA63BF">
        <w:rPr>
          <w:rStyle w:val="libFootnoteAlaemChar"/>
          <w:rtl/>
        </w:rPr>
        <w:t>عليه‌السلام</w:t>
      </w:r>
      <w:r w:rsidRPr="00132E65">
        <w:rPr>
          <w:rtl/>
        </w:rPr>
        <w:t xml:space="preserve"> ، مع اختلاف يسير وزيادة في أوّله </w:t>
      </w:r>
      <w:r w:rsidR="00EA63BF">
        <w:rPr>
          <w:rFonts w:hint="cs"/>
          <w:rtl/>
        </w:rPr>
        <w:t>.</w:t>
      </w:r>
      <w:r w:rsidRPr="009D1ACE">
        <w:rPr>
          <w:rStyle w:val="libFootnoteBoldChar"/>
          <w:rtl/>
        </w:rPr>
        <w:t>الوافي</w:t>
      </w:r>
      <w:r w:rsidRPr="00132E65">
        <w:rPr>
          <w:rtl/>
        </w:rPr>
        <w:t xml:space="preserve"> ، ج 3 ، ص 74 ، ح 1357 ؛ </w:t>
      </w:r>
      <w:r w:rsidRPr="00620606">
        <w:rPr>
          <w:rtl/>
        </w:rPr>
        <w:t>البحار</w:t>
      </w:r>
      <w:r w:rsidRPr="00132E65">
        <w:rPr>
          <w:rtl/>
        </w:rPr>
        <w:t xml:space="preserve"> ، ج 100 ، ص 354 ، ح 1.</w:t>
      </w:r>
    </w:p>
    <w:p w:rsidR="000C39D1" w:rsidRPr="00132E65" w:rsidRDefault="000C39D1" w:rsidP="000C39D1">
      <w:pPr>
        <w:pStyle w:val="libFootnote0"/>
        <w:rPr>
          <w:rtl/>
          <w:lang w:bidi="fa-IR"/>
        </w:rPr>
      </w:pPr>
      <w:r>
        <w:rPr>
          <w:rtl/>
        </w:rPr>
        <w:t>(3).</w:t>
      </w:r>
      <w:r w:rsidRPr="00132E65">
        <w:rPr>
          <w:rtl/>
        </w:rPr>
        <w:t xml:space="preserve"> في النسخ والمطبوع : « عامر وعبد الله بن جذاعة الأزدي » لكنّ الخبر أورده السيّد عبدالكريم بن طاووس في</w:t>
      </w:r>
      <w:r>
        <w:rPr>
          <w:rFonts w:hint="cs"/>
          <w:rtl/>
        </w:rPr>
        <w:t xml:space="preserve"> </w:t>
      </w:r>
      <w:r w:rsidRPr="00620606">
        <w:rPr>
          <w:rtl/>
        </w:rPr>
        <w:t>‌فرحة الغريّ</w:t>
      </w:r>
      <w:r w:rsidRPr="00132E65">
        <w:rPr>
          <w:rtl/>
        </w:rPr>
        <w:t xml:space="preserve"> ، ص 62 ، بسنده عن محمّد بن يعقوب ، عن عدّة من أصحابنا ، عن أحمد بن محمّد ، عن عليّ بن الحكم ، عن صفوان الجمّال قال : كنت أنا وعامر بن عبدالله بن خزاعة الأزدي. والخبر مأخوذ من </w:t>
      </w:r>
      <w:r w:rsidRPr="000577A7">
        <w:rPr>
          <w:rStyle w:val="libFootnoteBoldChar"/>
          <w:rtl/>
        </w:rPr>
        <w:t>الكافي</w:t>
      </w:r>
      <w:r w:rsidRPr="00132E65">
        <w:rPr>
          <w:rtl/>
        </w:rPr>
        <w:t xml:space="preserve"> كما يشهد بذلك ظاهره. وورد الخبر في </w:t>
      </w:r>
      <w:r w:rsidRPr="00620606">
        <w:rPr>
          <w:rtl/>
        </w:rPr>
        <w:t>كامل الزيارات</w:t>
      </w:r>
      <w:r w:rsidRPr="00132E65">
        <w:rPr>
          <w:rtl/>
        </w:rPr>
        <w:t xml:space="preserve"> ، ص 33 ، ح 1 ، بسند آخر عن أحمد بن محمّد بن عيسى ، عن عليّ بن الحكم ، عن صفوان الجمّال قال : كنت وعامر بن عبدالله بن جذاعة الأزدي. وعامر بن عبد الله هو المذكور في كتب الرجال. راجع : </w:t>
      </w:r>
      <w:r w:rsidRPr="00620606">
        <w:rPr>
          <w:rtl/>
        </w:rPr>
        <w:t>رجال النجاشي</w:t>
      </w:r>
      <w:r w:rsidRPr="00132E65">
        <w:rPr>
          <w:rtl/>
        </w:rPr>
        <w:t xml:space="preserve"> ، ص 293 ، الرقم 794 ؛ </w:t>
      </w:r>
      <w:r w:rsidRPr="00620606">
        <w:rPr>
          <w:rtl/>
        </w:rPr>
        <w:t>رجال البرقي</w:t>
      </w:r>
      <w:r w:rsidRPr="00132E65">
        <w:rPr>
          <w:rtl/>
        </w:rPr>
        <w:t xml:space="preserve"> ، ص 36 ؛ </w:t>
      </w:r>
      <w:r w:rsidRPr="00620606">
        <w:rPr>
          <w:rtl/>
        </w:rPr>
        <w:t>رجال الكشّي</w:t>
      </w:r>
      <w:r w:rsidRPr="00132E65">
        <w:rPr>
          <w:rtl/>
        </w:rPr>
        <w:t xml:space="preserve"> ، ص 9 ، الرقم 20 ؛ و</w:t>
      </w:r>
      <w:r w:rsidRPr="00620606">
        <w:rPr>
          <w:rtl/>
        </w:rPr>
        <w:t>رجال الطوسي</w:t>
      </w:r>
      <w:r w:rsidRPr="00132E65">
        <w:rPr>
          <w:rtl/>
        </w:rPr>
        <w:t xml:space="preserve"> ، ص 255 ، الرقم 3606.</w:t>
      </w:r>
    </w:p>
    <w:p w:rsidR="000C39D1" w:rsidRPr="00132E65" w:rsidRDefault="000C39D1" w:rsidP="000C39D1">
      <w:pPr>
        <w:pStyle w:val="libFootnote0"/>
        <w:rPr>
          <w:rtl/>
          <w:lang w:bidi="fa-IR"/>
        </w:rPr>
      </w:pPr>
      <w:r>
        <w:rPr>
          <w:rtl/>
        </w:rPr>
        <w:t>(4).</w:t>
      </w:r>
      <w:r w:rsidRPr="00132E65">
        <w:rPr>
          <w:rtl/>
        </w:rPr>
        <w:t xml:space="preserve"> رَحْبَةُ المكان ورَحَبَتُهُ : ساحَتُهُ ومُتَّسعه. والرَحبة هذه : محلّة بالكوفة. قال في </w:t>
      </w:r>
      <w:r w:rsidRPr="00620606">
        <w:rPr>
          <w:rtl/>
        </w:rPr>
        <w:t>المرآة</w:t>
      </w:r>
      <w:r w:rsidRPr="00132E65">
        <w:rPr>
          <w:rtl/>
        </w:rPr>
        <w:t xml:space="preserve"> ، ج 5 ، ص 305 : « وكأنّ‌المراد هنا ميدان الكوفة أو ساحة مسجدها »</w:t>
      </w:r>
      <w:r>
        <w:rPr>
          <w:rtl/>
        </w:rPr>
        <w:t>.</w:t>
      </w:r>
      <w:r w:rsidRPr="00132E65">
        <w:rPr>
          <w:rtl/>
        </w:rPr>
        <w:t xml:space="preserve"> راجع : </w:t>
      </w:r>
      <w:r w:rsidRPr="00620606">
        <w:rPr>
          <w:rtl/>
        </w:rPr>
        <w:t>القاموس المحيط</w:t>
      </w:r>
      <w:r w:rsidRPr="00132E65">
        <w:rPr>
          <w:rtl/>
        </w:rPr>
        <w:t xml:space="preserve"> ، ج 1 ، ص 167 ( رحب )</w:t>
      </w:r>
      <w:r>
        <w:rPr>
          <w:rtl/>
        </w:rPr>
        <w:t>.</w:t>
      </w:r>
    </w:p>
    <w:p w:rsidR="000C39D1" w:rsidRPr="00132E65" w:rsidRDefault="000C39D1" w:rsidP="000C39D1">
      <w:pPr>
        <w:pStyle w:val="libFootnote0"/>
        <w:rPr>
          <w:rtl/>
          <w:lang w:bidi="fa-IR"/>
        </w:rPr>
      </w:pPr>
      <w:r>
        <w:rPr>
          <w:rtl/>
        </w:rPr>
        <w:t>(5).</w:t>
      </w:r>
      <w:r w:rsidRPr="00132E65">
        <w:rPr>
          <w:rtl/>
        </w:rPr>
        <w:t xml:space="preserve"> يجوز فيها الضمّ أيضاً كما في « بح »</w:t>
      </w:r>
      <w:r>
        <w:rPr>
          <w:rtl/>
        </w:rPr>
        <w:t>.</w:t>
      </w:r>
    </w:p>
    <w:p w:rsidR="000C39D1" w:rsidRPr="00132E65" w:rsidRDefault="000C39D1" w:rsidP="00EA63BF">
      <w:pPr>
        <w:pStyle w:val="libFootnote0"/>
        <w:rPr>
          <w:rtl/>
          <w:lang w:bidi="fa-IR"/>
        </w:rPr>
      </w:pPr>
      <w:r>
        <w:rPr>
          <w:rtl/>
        </w:rPr>
        <w:t>(6).</w:t>
      </w:r>
      <w:r w:rsidRPr="00132E65">
        <w:rPr>
          <w:rtl/>
        </w:rPr>
        <w:t xml:space="preserve"> « الغَرِيُّ » : الحَسَنُ من الرجال وغيرهم ، والحسن الوجه ، وكلّ بناء حَسَن غريٌّ ، ومن الغَرِيّان</w:t>
      </w:r>
      <w:r>
        <w:rPr>
          <w:rtl/>
        </w:rPr>
        <w:t xml:space="preserve"> - </w:t>
      </w:r>
      <w:r w:rsidRPr="00132E65">
        <w:rPr>
          <w:rtl/>
        </w:rPr>
        <w:t>وهما بناءان طويلان مشهوران بالكوفة</w:t>
      </w:r>
      <w:r>
        <w:rPr>
          <w:rtl/>
        </w:rPr>
        <w:t xml:space="preserve"> - </w:t>
      </w:r>
      <w:r w:rsidRPr="00132E65">
        <w:rPr>
          <w:rtl/>
        </w:rPr>
        <w:t xml:space="preserve">سُمِّيا غَرِيّين ؛ لأنَّ النعمان بن المنذر كان يُغرّيهما بدم من يقتله في يوم بُؤْسه. </w:t>
      </w:r>
      <w:r w:rsidRPr="009D1ACE">
        <w:rPr>
          <w:rStyle w:val="libFootnoteBoldChar"/>
          <w:rtl/>
        </w:rPr>
        <w:t>لسان العرب</w:t>
      </w:r>
      <w:r w:rsidRPr="00132E65">
        <w:rPr>
          <w:rtl/>
        </w:rPr>
        <w:t xml:space="preserve"> ، ج 15 ، ص 122 ( غرا )</w:t>
      </w:r>
      <w:r>
        <w:rPr>
          <w:rtl/>
        </w:rPr>
        <w:t>.</w:t>
      </w:r>
      <w:r w:rsidR="00EA63BF">
        <w:rPr>
          <w:rFonts w:hint="cs"/>
          <w:rtl/>
        </w:rPr>
        <w:t xml:space="preserve">                                      </w:t>
      </w:r>
      <w:r>
        <w:rPr>
          <w:rtl/>
        </w:rPr>
        <w:t>(7).</w:t>
      </w:r>
      <w:r w:rsidRPr="00132E65">
        <w:rPr>
          <w:rtl/>
        </w:rPr>
        <w:t xml:space="preserve"> يجوز فيها الضمّ أيضاً كما في « بح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الْحِيرَةِ </w:t>
      </w:r>
      <w:r>
        <w:rPr>
          <w:rStyle w:val="libFootnotenumChar"/>
          <w:rtl/>
        </w:rPr>
        <w:t>(1)</w:t>
      </w:r>
      <w:r w:rsidRPr="00132E65">
        <w:rPr>
          <w:rtl/>
          <w:lang w:bidi="fa-IR"/>
        </w:rPr>
        <w:t xml:space="preserve"> ، فَدَفَنَهُ بَيْنَ ذَكَوَاتٍ </w:t>
      </w:r>
      <w:r>
        <w:rPr>
          <w:rStyle w:val="libFootnotenumChar"/>
          <w:rtl/>
        </w:rPr>
        <w:t>(2)</w:t>
      </w:r>
      <w:r w:rsidRPr="00132E65">
        <w:rPr>
          <w:rtl/>
          <w:lang w:bidi="fa-IR"/>
        </w:rPr>
        <w:t xml:space="preserve"> بِيضٍ »</w:t>
      </w:r>
      <w:r>
        <w:rPr>
          <w:rtl/>
          <w:lang w:bidi="fa-IR"/>
        </w:rPr>
        <w:t>.</w:t>
      </w:r>
    </w:p>
    <w:p w:rsidR="000C39D1" w:rsidRPr="00132E65" w:rsidRDefault="000C39D1" w:rsidP="000C39D1">
      <w:pPr>
        <w:pStyle w:val="libNormal"/>
        <w:rPr>
          <w:rtl/>
          <w:lang w:bidi="fa-IR"/>
        </w:rPr>
      </w:pPr>
      <w:r w:rsidRPr="00132E65">
        <w:rPr>
          <w:rtl/>
          <w:lang w:bidi="fa-IR"/>
        </w:rPr>
        <w:t xml:space="preserve">قَالَ : فَلَمَّا كَانَ بَعْدُ ، ذَهَبْتُ إِلَى الْمَوْضِعِ ، فَتَوَهَّمْتُ مَوْضِعاً مِنْهُ ، ثُمَّ أَتَيْتُهُ ، فَأَخْبَرْتُهُ ، فَقَالَ لِي : « أَصَبْتَ </w:t>
      </w:r>
      <w:r>
        <w:rPr>
          <w:rStyle w:val="libFootnotenumChar"/>
          <w:rtl/>
        </w:rPr>
        <w:t>(3)</w:t>
      </w:r>
      <w:r w:rsidRPr="00132E65">
        <w:rPr>
          <w:rtl/>
          <w:lang w:bidi="fa-IR"/>
        </w:rPr>
        <w:t xml:space="preserve"> رَحِمَكَ اللهُ » ثَلَاثَ مَرَّاتٍ.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620606">
        <w:rPr>
          <w:rtl/>
        </w:rPr>
        <w:t>1238</w:t>
      </w:r>
      <w:r w:rsidRPr="004325D8">
        <w:rPr>
          <w:rStyle w:val="libBold2Char"/>
          <w:rtl/>
        </w:rPr>
        <w:t xml:space="preserve"> / 6.</w:t>
      </w:r>
      <w:r w:rsidRPr="00132E65">
        <w:rPr>
          <w:rtl/>
          <w:lang w:bidi="fa-IR"/>
        </w:rPr>
        <w:t xml:space="preserve"> أَحْمَدُ بْنُ مُحَمَّدٍ </w:t>
      </w:r>
      <w:r>
        <w:rPr>
          <w:rStyle w:val="libFootnotenumChar"/>
          <w:rtl/>
        </w:rPr>
        <w:t>(5)</w:t>
      </w:r>
      <w:r w:rsidRPr="00132E65">
        <w:rPr>
          <w:rtl/>
          <w:lang w:bidi="fa-IR"/>
        </w:rPr>
        <w:t xml:space="preserve"> ، عَنِ ابْنِ أَبِي عُمَيْرٍ ، عَنِ الْقَاسِمِ بْنِ مُحَمَّدٍ ، عَنْ عَبْدِ اللهِ بْنِ سِنَانٍ ، قَالَ :</w:t>
      </w:r>
    </w:p>
    <w:p w:rsidR="000C39D1" w:rsidRPr="00132E65" w:rsidRDefault="000C39D1" w:rsidP="000C39D1">
      <w:pPr>
        <w:pStyle w:val="libNormal"/>
        <w:rPr>
          <w:rtl/>
          <w:lang w:bidi="fa-IR"/>
        </w:rPr>
      </w:pPr>
      <w:r w:rsidRPr="00132E65">
        <w:rPr>
          <w:rtl/>
          <w:lang w:bidi="fa-IR"/>
        </w:rPr>
        <w:t xml:space="preserve">أَتَانِي عُمَرُ </w:t>
      </w:r>
      <w:r>
        <w:rPr>
          <w:rStyle w:val="libFootnotenumChar"/>
          <w:rtl/>
        </w:rPr>
        <w:t>(6)</w:t>
      </w:r>
      <w:r w:rsidRPr="00132E65">
        <w:rPr>
          <w:rtl/>
          <w:lang w:bidi="fa-IR"/>
        </w:rPr>
        <w:t xml:space="preserve"> بْنُ يَزِيدَ ، فَقَالَ لِي : ارْكَبْ ، فَرَكِبْتُ مَعَهُ ، فَمَضَيْنَا حَتّى أَتَيْنَا مَنْزِلَ حَفْصٍ الْكُنَاسِيِّ ، فَاسْتَخْرَجْتُهُ ، فَرَكِبَ مَعَنَا ، ثُمَّ مَضَيْنَا حَتّى أَتَيْنَا </w:t>
      </w:r>
      <w:r>
        <w:rPr>
          <w:rStyle w:val="libFootnotenumChar"/>
          <w:rtl/>
        </w:rPr>
        <w:t>(7)</w:t>
      </w:r>
      <w:r w:rsidRPr="00132E65">
        <w:rPr>
          <w:rtl/>
          <w:lang w:bidi="fa-IR"/>
        </w:rPr>
        <w:t xml:space="preserve"> الْغَرِيَّ ، فَانْتَهَيْنَا إِلى قَبْرٍ ، فَقَالَ </w:t>
      </w:r>
      <w:r>
        <w:rPr>
          <w:rStyle w:val="libFootnotenumChar"/>
          <w:rtl/>
        </w:rPr>
        <w:t>(8)</w:t>
      </w:r>
      <w:r w:rsidRPr="00132E65">
        <w:rPr>
          <w:rtl/>
          <w:lang w:bidi="fa-IR"/>
        </w:rPr>
        <w:t xml:space="preserve"> : انْزِلُوا ، هذَا قَبْرُ أَمِيرِ الْمُؤْمِنِينَ </w:t>
      </w:r>
      <w:r w:rsidRPr="00071CF9">
        <w:rPr>
          <w:rStyle w:val="libAlaemChar"/>
          <w:rtl/>
        </w:rPr>
        <w:t>عليه‌السلام</w:t>
      </w:r>
      <w:r w:rsidRPr="00132E65">
        <w:rPr>
          <w:rtl/>
          <w:lang w:bidi="fa-IR"/>
        </w:rPr>
        <w:t xml:space="preserve"> ، فَقُلْنَا : مِنْ أَيْنَ عَلِمْتَ </w:t>
      </w:r>
      <w:r>
        <w:rPr>
          <w:rStyle w:val="libFootnotenumChar"/>
          <w:rtl/>
        </w:rPr>
        <w:t>(9)</w:t>
      </w:r>
      <w:r>
        <w:rPr>
          <w:rtl/>
          <w:lang w:bidi="fa-IR"/>
        </w:rPr>
        <w:t>؟</w:t>
      </w:r>
      <w:r w:rsidRPr="00132E65">
        <w:rPr>
          <w:rtl/>
          <w:lang w:bidi="fa-IR"/>
        </w:rPr>
        <w:t xml:space="preserve"> فَقَالَ : أَتَيْتُهُ مَعَ أَبِي عَبْدِ اللهِ </w:t>
      </w:r>
      <w:r w:rsidRPr="00071CF9">
        <w:rPr>
          <w:rStyle w:val="libAlaemChar"/>
          <w:rtl/>
        </w:rPr>
        <w:t>عليه‌السلام</w:t>
      </w:r>
      <w:r>
        <w:rPr>
          <w:rtl/>
          <w:lang w:bidi="fa-IR"/>
        </w:rPr>
        <w:t xml:space="preserve"> - </w:t>
      </w:r>
      <w:r w:rsidRPr="00132E65">
        <w:rPr>
          <w:rtl/>
          <w:lang w:bidi="fa-IR"/>
        </w:rPr>
        <w:t>حَيْثُ كَانَ بِالْحِيرَةِ</w:t>
      </w:r>
      <w:r>
        <w:rPr>
          <w:rtl/>
          <w:lang w:bidi="fa-IR"/>
        </w:rPr>
        <w:t xml:space="preserve"> - </w:t>
      </w:r>
      <w:r w:rsidRPr="00132E65">
        <w:rPr>
          <w:rtl/>
          <w:lang w:bidi="fa-IR"/>
        </w:rPr>
        <w:t>غَيْرَ مَرَّةٍ ، و</w:t>
      </w:r>
      <w:r w:rsidR="00552527">
        <w:rPr>
          <w:rFonts w:hint="cs"/>
          <w:rtl/>
          <w:lang w:bidi="fa-IR"/>
        </w:rPr>
        <w:t xml:space="preserve">َ </w:t>
      </w:r>
      <w:r w:rsidRPr="00132E65">
        <w:rPr>
          <w:rtl/>
          <w:lang w:bidi="fa-IR"/>
        </w:rPr>
        <w:t xml:space="preserve">خَبَّرَنِي أَنَّهُ قَبْرُهُ.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الحِيرَةُ » : مدينة كان يسكنها النعمان بن المنذر ، وهي على رأس ميل من الكوفة. </w:t>
      </w:r>
      <w:r w:rsidRPr="00620606">
        <w:rPr>
          <w:rtl/>
        </w:rPr>
        <w:t>المغرب</w:t>
      </w:r>
      <w:r w:rsidRPr="00132E65">
        <w:rPr>
          <w:rtl/>
        </w:rPr>
        <w:t xml:space="preserve"> ، ص 134 ( حير )</w:t>
      </w:r>
      <w:r>
        <w:rPr>
          <w:rtl/>
        </w:rPr>
        <w:t>.</w:t>
      </w:r>
    </w:p>
    <w:p w:rsidR="000C39D1" w:rsidRPr="00132E65" w:rsidRDefault="000C39D1" w:rsidP="00552527">
      <w:pPr>
        <w:pStyle w:val="libFootnote0"/>
        <w:rPr>
          <w:rtl/>
          <w:lang w:bidi="fa-IR"/>
        </w:rPr>
      </w:pPr>
      <w:r>
        <w:rPr>
          <w:rtl/>
        </w:rPr>
        <w:t>(2).</w:t>
      </w:r>
      <w:r w:rsidRPr="00132E65">
        <w:rPr>
          <w:rtl/>
        </w:rPr>
        <w:t xml:space="preserve"> هكذا في « ب ، ج ، ض ، ف ، بح ، بس ، بف » وحاشية بدرالدين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والذكوات واحدة الذُكْوَة ، وهي الجمرة الملتهبة. راجع : </w:t>
      </w:r>
      <w:r w:rsidRPr="009D1ACE">
        <w:rPr>
          <w:rStyle w:val="libFootnoteBoldChar"/>
          <w:rtl/>
        </w:rPr>
        <w:t>لسان العرب</w:t>
      </w:r>
      <w:r w:rsidRPr="00132E65">
        <w:rPr>
          <w:rtl/>
        </w:rPr>
        <w:t xml:space="preserve"> ، ج 14 ، ص 287 ( ذكا )</w:t>
      </w:r>
      <w:r>
        <w:rPr>
          <w:rtl/>
        </w:rPr>
        <w:t>.</w:t>
      </w:r>
      <w:r w:rsidRPr="00132E65">
        <w:rPr>
          <w:rtl/>
        </w:rPr>
        <w:t xml:space="preserve"> وفي « بر » والمطبوع : « زكوات » بالزاي. قال في </w:t>
      </w:r>
      <w:r w:rsidRPr="009D1ACE">
        <w:rPr>
          <w:rStyle w:val="libFootnoteBoldChar"/>
          <w:rtl/>
        </w:rPr>
        <w:t>الوافي</w:t>
      </w:r>
      <w:r w:rsidRPr="00132E65">
        <w:rPr>
          <w:rtl/>
        </w:rPr>
        <w:t xml:space="preserve"> : « وا</w:t>
      </w:r>
      <w:r w:rsidR="00552527">
        <w:rPr>
          <w:rFonts w:hint="cs"/>
          <w:rtl/>
        </w:rPr>
        <w:t>ُ</w:t>
      </w:r>
      <w:r w:rsidRPr="00132E65">
        <w:rPr>
          <w:rtl/>
        </w:rPr>
        <w:t>ريد بالذكوات البيض الحصيات التي يقال لها : دُرّ النجف ، تشبيهاً لها بالجمرة المتوقّدة. ومن جعلها بالراء وفسّرها بالآبار التي جدرانها أحجار بيض فلم يبعد. ويأتي م</w:t>
      </w:r>
      <w:r w:rsidR="00552527">
        <w:rPr>
          <w:rtl/>
        </w:rPr>
        <w:t>ا يؤيّده في باب فضل الحصى ، إل</w:t>
      </w:r>
      <w:r w:rsidR="00552527">
        <w:rPr>
          <w:rFonts w:hint="cs"/>
          <w:rtl/>
        </w:rPr>
        <w:t>ّ</w:t>
      </w:r>
      <w:r w:rsidR="00552527">
        <w:rPr>
          <w:rtl/>
        </w:rPr>
        <w:t>ا</w:t>
      </w:r>
      <w:r>
        <w:rPr>
          <w:rFonts w:hint="cs"/>
          <w:rtl/>
        </w:rPr>
        <w:t xml:space="preserve"> </w:t>
      </w:r>
      <w:r w:rsidRPr="00132E65">
        <w:rPr>
          <w:rtl/>
        </w:rPr>
        <w:t>أنّه لا يساعده أكثر النسخ ؛ فإنّها مكتوبة فيه بالذال المعجمة »</w:t>
      </w:r>
      <w:r>
        <w:rPr>
          <w:rtl/>
        </w:rPr>
        <w:t>.</w:t>
      </w:r>
      <w:r w:rsidRPr="00132E65">
        <w:rPr>
          <w:rtl/>
        </w:rPr>
        <w:t xml:space="preserve"> وقال في </w:t>
      </w:r>
      <w:r w:rsidRPr="00620606">
        <w:rPr>
          <w:rtl/>
        </w:rPr>
        <w:t>المرآة</w:t>
      </w:r>
      <w:r w:rsidRPr="00132E65">
        <w:rPr>
          <w:rtl/>
        </w:rPr>
        <w:t xml:space="preserve"> : « ولعلّه أراد التلال التي كانت محيطة بقبره صلوات الله عليه ، شبّهها لضيائها وتوقّدها عند شروق الشمس عليها ؛ لاشتمالها على الحصيات البيض والدراري بالجمرة الملتهبة</w:t>
      </w:r>
      <w:r>
        <w:rPr>
          <w:rtl/>
        </w:rPr>
        <w:t xml:space="preserve"> ..</w:t>
      </w:r>
      <w:r w:rsidRPr="00132E65">
        <w:rPr>
          <w:rtl/>
        </w:rPr>
        <w:t>. وقيل : إنّ أصله : ذكاوات جمع ذكاء بمعنى التلِّ الصغير »</w:t>
      </w:r>
      <w:r>
        <w:rPr>
          <w:rtl/>
        </w:rPr>
        <w:t>.</w:t>
      </w:r>
      <w:r w:rsidR="00552527">
        <w:rPr>
          <w:rFonts w:hint="cs"/>
          <w:rtl/>
        </w:rPr>
        <w:t xml:space="preserve">              </w:t>
      </w:r>
      <w:r w:rsidR="00127293">
        <w:rPr>
          <w:rFonts w:hint="cs"/>
          <w:rtl/>
        </w:rPr>
        <w:t xml:space="preserve">      </w:t>
      </w:r>
      <w:r w:rsidR="00552527">
        <w:rPr>
          <w:rFonts w:hint="cs"/>
          <w:rtl/>
        </w:rPr>
        <w:t xml:space="preserve"> </w:t>
      </w:r>
      <w:r>
        <w:rPr>
          <w:rtl/>
        </w:rPr>
        <w:t>(3).</w:t>
      </w:r>
      <w:r w:rsidRPr="00132E65">
        <w:rPr>
          <w:rtl/>
        </w:rPr>
        <w:t>في«ف»:«</w:t>
      </w:r>
      <w:r w:rsidR="00552527">
        <w:rPr>
          <w:rtl/>
        </w:rPr>
        <w:t>أصبته</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w:t>
      </w:r>
      <w:r w:rsidRPr="00620606">
        <w:rPr>
          <w:rtl/>
        </w:rPr>
        <w:t>كامل الزيارات</w:t>
      </w:r>
      <w:r w:rsidRPr="00132E65">
        <w:rPr>
          <w:rtl/>
        </w:rPr>
        <w:t xml:space="preserve"> ، ص 33 ، الباب التاسع ، ح 1 ، بسنده عن أحمد بن محمّد بن عيسى </w:t>
      </w:r>
      <w:r w:rsidR="00127293">
        <w:rPr>
          <w:rFonts w:hint="cs"/>
          <w:rtl/>
        </w:rPr>
        <w:t>.</w:t>
      </w:r>
      <w:r w:rsidRPr="009D1ACE">
        <w:rPr>
          <w:rStyle w:val="libFootnoteBoldChar"/>
          <w:rtl/>
        </w:rPr>
        <w:t>الوافي</w:t>
      </w:r>
      <w:r w:rsidRPr="00132E65">
        <w:rPr>
          <w:rtl/>
        </w:rPr>
        <w:t xml:space="preserve"> ، ج 14 ، ص 1411 ، ح 14458.</w:t>
      </w:r>
    </w:p>
    <w:p w:rsidR="000C39D1" w:rsidRPr="00132E65" w:rsidRDefault="000C39D1" w:rsidP="000C39D1">
      <w:pPr>
        <w:pStyle w:val="libFootnote0"/>
        <w:rPr>
          <w:rtl/>
          <w:lang w:bidi="fa-IR"/>
        </w:rPr>
      </w:pPr>
      <w:r>
        <w:rPr>
          <w:rtl/>
        </w:rPr>
        <w:t>(5).</w:t>
      </w:r>
      <w:r w:rsidRPr="00132E65">
        <w:rPr>
          <w:rtl/>
        </w:rPr>
        <w:t xml:space="preserve"> السند معلّق على سابقه. ويروي عن أحمد بن محمّد عدّة من أصحابنا.</w:t>
      </w:r>
    </w:p>
    <w:p w:rsidR="000C39D1" w:rsidRPr="00132E65" w:rsidRDefault="000C39D1" w:rsidP="000C39D1">
      <w:pPr>
        <w:pStyle w:val="libFootnote0"/>
        <w:rPr>
          <w:rtl/>
          <w:lang w:bidi="fa-IR"/>
        </w:rPr>
      </w:pPr>
      <w:r>
        <w:rPr>
          <w:rtl/>
        </w:rPr>
        <w:t>(6).</w:t>
      </w:r>
      <w:r w:rsidRPr="00132E65">
        <w:rPr>
          <w:rtl/>
        </w:rPr>
        <w:t xml:space="preserve"> في كامل الزيارات : « عمر [ عمرو ] »</w:t>
      </w:r>
      <w:r>
        <w:rPr>
          <w:rtl/>
        </w:rPr>
        <w:t>.</w:t>
      </w:r>
      <w:r w:rsidRPr="00132E65">
        <w:rPr>
          <w:rtl/>
        </w:rPr>
        <w:t xml:space="preserve"> والظاهر أنّ ابن يزيد هذا ، هو عمر بن يزيد بيّاع السابريّ.</w:t>
      </w:r>
    </w:p>
    <w:tbl>
      <w:tblPr>
        <w:tblStyle w:val="TableGrid"/>
        <w:bidiVisual/>
        <w:tblW w:w="0" w:type="auto"/>
        <w:tblLook w:val="04A0" w:firstRow="1" w:lastRow="0" w:firstColumn="1" w:lastColumn="0" w:noHBand="0" w:noVBand="1"/>
      </w:tblPr>
      <w:tblGrid>
        <w:gridCol w:w="4261"/>
        <w:gridCol w:w="4262"/>
      </w:tblGrid>
      <w:tr w:rsidR="00A90192" w:rsidTr="00A90192">
        <w:tc>
          <w:tcPr>
            <w:tcW w:w="4261" w:type="dxa"/>
          </w:tcPr>
          <w:p w:rsidR="00A90192" w:rsidRDefault="00A90192" w:rsidP="000C39D1">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 « حتّى انتهينا »</w:t>
            </w:r>
            <w:r>
              <w:rPr>
                <w:rtl/>
              </w:rPr>
              <w:t>.</w:t>
            </w:r>
          </w:p>
        </w:tc>
        <w:tc>
          <w:tcPr>
            <w:tcW w:w="4262" w:type="dxa"/>
          </w:tcPr>
          <w:p w:rsidR="00A90192" w:rsidRDefault="00A90192" w:rsidP="000C39D1">
            <w:pPr>
              <w:pStyle w:val="libFootnote0"/>
              <w:rPr>
                <w:rtl/>
              </w:rPr>
            </w:pPr>
            <w:r>
              <w:rPr>
                <w:rtl/>
              </w:rPr>
              <w:t>(8).</w:t>
            </w:r>
            <w:r w:rsidRPr="00132E65">
              <w:rPr>
                <w:rtl/>
              </w:rPr>
              <w:t xml:space="preserve"> في « بر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(9).</w:t>
      </w:r>
      <w:r w:rsidRPr="00132E65">
        <w:rPr>
          <w:rtl/>
        </w:rPr>
        <w:t xml:space="preserve"> في « بس » :</w:t>
      </w:r>
      <w:r>
        <w:rPr>
          <w:rtl/>
        </w:rPr>
        <w:t xml:space="preserve"> + </w:t>
      </w:r>
      <w:r w:rsidRPr="00132E65">
        <w:rPr>
          <w:rtl/>
        </w:rPr>
        <w:t>« هذا »</w:t>
      </w:r>
      <w:r>
        <w:rPr>
          <w:rtl/>
        </w:rPr>
        <w:t>.</w:t>
      </w:r>
    </w:p>
    <w:p w:rsidR="000C39D1" w:rsidRPr="00132E65" w:rsidRDefault="000C39D1" w:rsidP="000C39D1">
      <w:pPr>
        <w:pStyle w:val="libFootnote0"/>
        <w:rPr>
          <w:rtl/>
          <w:lang w:bidi="fa-IR"/>
        </w:rPr>
      </w:pPr>
      <w:r>
        <w:rPr>
          <w:rtl/>
        </w:rPr>
        <w:t>(10).</w:t>
      </w:r>
      <w:r w:rsidRPr="00132E65">
        <w:rPr>
          <w:rtl/>
        </w:rPr>
        <w:t xml:space="preserve"> </w:t>
      </w:r>
      <w:r w:rsidRPr="00620606">
        <w:rPr>
          <w:rtl/>
        </w:rPr>
        <w:t>كامل الزيارات</w:t>
      </w:r>
      <w:r w:rsidRPr="00132E65">
        <w:rPr>
          <w:rtl/>
        </w:rPr>
        <w:t xml:space="preserve"> ، ص 34 ، الباب التاسع ، ح 3 ، عن جماعة مشايخه ، عن محمّد بن يحيى ، عن أحمد بن محمّد مع اختلاف يسير </w:t>
      </w:r>
      <w:r w:rsidR="000E2D13">
        <w:rPr>
          <w:rFonts w:hint="cs"/>
          <w:rtl/>
        </w:rPr>
        <w:t>.</w:t>
      </w:r>
      <w:r w:rsidRPr="009D1ACE">
        <w:rPr>
          <w:rStyle w:val="libFootnoteBoldChar"/>
          <w:rtl/>
        </w:rPr>
        <w:t>الوافي</w:t>
      </w:r>
      <w:r w:rsidRPr="00132E65">
        <w:rPr>
          <w:rtl/>
        </w:rPr>
        <w:t xml:space="preserve"> ، ج 14 ، ص 1412 ، ح 14459.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620606">
        <w:rPr>
          <w:rtl/>
        </w:rPr>
        <w:t>1239</w:t>
      </w:r>
      <w:r w:rsidRPr="004325D8">
        <w:rPr>
          <w:rStyle w:val="libBold2Char"/>
          <w:rtl/>
        </w:rPr>
        <w:t xml:space="preserve"> / 7.</w:t>
      </w:r>
      <w:r w:rsidRPr="00132E65">
        <w:rPr>
          <w:rtl/>
          <w:lang w:bidi="fa-IR"/>
        </w:rPr>
        <w:t xml:space="preserve"> مُحَمَّدُ بْنُ يَحْيى ، عَنْ سَلَمَةَ بْنِ الْخَطَّابِ ، عَنْ عَبْدِ اللهِ بْنِ مُحَمَّدٍ ، عَنْ عَبْدِ اللهِ بْنِ الْقَاسِمِ ، عَنْ عِيسى شَلَقَانَ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أَمِيرَ الْمُؤْمِنِينَ </w:t>
      </w:r>
      <w:r w:rsidRPr="00071CF9">
        <w:rPr>
          <w:rStyle w:val="libAlaemChar"/>
          <w:rtl/>
        </w:rPr>
        <w:t>عليه‌السلام</w:t>
      </w:r>
      <w:r w:rsidRPr="00132E65">
        <w:rPr>
          <w:rtl/>
          <w:lang w:bidi="fa-IR"/>
        </w:rPr>
        <w:t xml:space="preserve"> لَهُ خُؤُولَةٌ </w:t>
      </w:r>
      <w:r>
        <w:rPr>
          <w:rStyle w:val="libFootnotenumChar"/>
          <w:rtl/>
        </w:rPr>
        <w:t>(1)</w:t>
      </w:r>
      <w:r w:rsidRPr="00132E65">
        <w:rPr>
          <w:rtl/>
          <w:lang w:bidi="fa-IR"/>
        </w:rPr>
        <w:t xml:space="preserve"> فِي بَنِي مَخْزُومٍ ، و</w:t>
      </w:r>
      <w:r w:rsidR="002C5810">
        <w:rPr>
          <w:rFonts w:hint="cs"/>
          <w:rtl/>
          <w:lang w:bidi="fa-IR"/>
        </w:rPr>
        <w:t xml:space="preserve">َ </w:t>
      </w:r>
      <w:r w:rsidRPr="00132E65">
        <w:rPr>
          <w:rtl/>
          <w:lang w:bidi="fa-IR"/>
        </w:rPr>
        <w:t xml:space="preserve">إِنَّ شَابّاً مِنْهُمْ أَتَاهُ ، فَقَالَ : يَا خَالِي ، إِنَّ أَخِي </w:t>
      </w:r>
      <w:r>
        <w:rPr>
          <w:rStyle w:val="libFootnotenumChar"/>
          <w:rtl/>
        </w:rPr>
        <w:t>(2)</w:t>
      </w:r>
      <w:r w:rsidRPr="00132E65">
        <w:rPr>
          <w:rtl/>
          <w:lang w:bidi="fa-IR"/>
        </w:rPr>
        <w:t xml:space="preserve"> مَاتَ و</w:t>
      </w:r>
      <w:r w:rsidR="002C5810">
        <w:rPr>
          <w:rFonts w:hint="cs"/>
          <w:rtl/>
          <w:lang w:bidi="fa-IR"/>
        </w:rPr>
        <w:t xml:space="preserve">َ </w:t>
      </w:r>
      <w:r w:rsidRPr="00132E65">
        <w:rPr>
          <w:rtl/>
          <w:lang w:bidi="fa-IR"/>
        </w:rPr>
        <w:t>قَدْ حَزِنْتُ عَلَيْهِ حُزْناً شَدِيداً »</w:t>
      </w:r>
      <w:r>
        <w:rPr>
          <w:rtl/>
          <w:lang w:bidi="fa-IR"/>
        </w:rPr>
        <w:t>.</w:t>
      </w:r>
    </w:p>
    <w:p w:rsidR="000C39D1" w:rsidRPr="00132E65" w:rsidRDefault="000C39D1" w:rsidP="000C39D1">
      <w:pPr>
        <w:pStyle w:val="libNormal"/>
        <w:rPr>
          <w:rtl/>
          <w:lang w:bidi="fa-IR"/>
        </w:rPr>
      </w:pPr>
      <w:r w:rsidRPr="00132E65">
        <w:rPr>
          <w:rtl/>
          <w:lang w:bidi="fa-IR"/>
        </w:rPr>
        <w:t xml:space="preserve">قَالَ : « فَقَالَ لَهُ </w:t>
      </w:r>
      <w:r>
        <w:rPr>
          <w:rStyle w:val="libFootnotenumChar"/>
          <w:rtl/>
        </w:rPr>
        <w:t>(3)</w:t>
      </w:r>
      <w:r w:rsidRPr="00132E65">
        <w:rPr>
          <w:rtl/>
          <w:lang w:bidi="fa-IR"/>
        </w:rPr>
        <w:t xml:space="preserve"> : تَشْتَهِي </w:t>
      </w:r>
      <w:r>
        <w:rPr>
          <w:rStyle w:val="libFootnotenumChar"/>
          <w:rtl/>
        </w:rPr>
        <w:t>(4)</w:t>
      </w:r>
      <w:r w:rsidRPr="00132E65">
        <w:rPr>
          <w:rtl/>
          <w:lang w:bidi="fa-IR"/>
        </w:rPr>
        <w:t xml:space="preserve"> أَنْ تَرَاهُ</w:t>
      </w:r>
      <w:r>
        <w:rPr>
          <w:rtl/>
          <w:lang w:bidi="fa-IR"/>
        </w:rPr>
        <w:t>؟</w:t>
      </w:r>
      <w:r w:rsidRPr="00132E65">
        <w:rPr>
          <w:rtl/>
          <w:lang w:bidi="fa-IR"/>
        </w:rPr>
        <w:t xml:space="preserve"> قَالَ : بَلى </w:t>
      </w:r>
      <w:r>
        <w:rPr>
          <w:rStyle w:val="libFootnotenumChar"/>
          <w:rtl/>
        </w:rPr>
        <w:t>(5)</w:t>
      </w:r>
      <w:r w:rsidRPr="00132E65">
        <w:rPr>
          <w:rtl/>
          <w:lang w:bidi="fa-IR"/>
        </w:rPr>
        <w:t xml:space="preserve"> ، قَالَ : فَأَرِنِي قَبْرَهُ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(6)</w:t>
      </w:r>
      <w:r w:rsidRPr="00132E65">
        <w:rPr>
          <w:rtl/>
          <w:lang w:bidi="fa-IR"/>
        </w:rPr>
        <w:t xml:space="preserve"> : « فَخَرَجَ و</w:t>
      </w:r>
      <w:r w:rsidR="002C5810">
        <w:rPr>
          <w:rFonts w:hint="cs"/>
          <w:rtl/>
          <w:lang w:bidi="fa-IR"/>
        </w:rPr>
        <w:t xml:space="preserve">َ </w:t>
      </w:r>
      <w:r w:rsidRPr="00132E65">
        <w:rPr>
          <w:rtl/>
          <w:lang w:bidi="fa-IR"/>
        </w:rPr>
        <w:t xml:space="preserve">مَعَهُ بُرْدَةُ رَسُولِ اللهِ </w:t>
      </w:r>
      <w:r w:rsidRPr="0093484F">
        <w:rPr>
          <w:rStyle w:val="libAlaemChar"/>
          <w:rFonts w:eastAsiaTheme="minorHAnsi"/>
          <w:rtl/>
        </w:rPr>
        <w:t>صلى‌الله‌عليه‌وآله</w:t>
      </w:r>
      <w:r w:rsidRPr="00132E65">
        <w:rPr>
          <w:rtl/>
          <w:lang w:bidi="fa-IR"/>
        </w:rPr>
        <w:t xml:space="preserve"> مُتَّزِراً بِهَا </w:t>
      </w:r>
      <w:r>
        <w:rPr>
          <w:rStyle w:val="libFootnotenumChar"/>
          <w:rtl/>
        </w:rPr>
        <w:t>(7)</w:t>
      </w:r>
      <w:r w:rsidRPr="00132E65">
        <w:rPr>
          <w:rtl/>
          <w:lang w:bidi="fa-IR"/>
        </w:rPr>
        <w:t xml:space="preserve"> ، فَلَمَّا انْتَهى إِلَى الْقَبْرِ ، تَلَمْلَمَتْ </w:t>
      </w:r>
      <w:r>
        <w:rPr>
          <w:rStyle w:val="libFootnotenumChar"/>
          <w:rtl/>
        </w:rPr>
        <w:t>(8)</w:t>
      </w:r>
      <w:r w:rsidRPr="00132E65">
        <w:rPr>
          <w:rtl/>
          <w:lang w:bidi="fa-IR"/>
        </w:rPr>
        <w:t xml:space="preserve"> شَفَتَاهُ ، ثُمَّ رَكَضَهُ </w:t>
      </w:r>
      <w:r>
        <w:rPr>
          <w:rStyle w:val="libFootnotenumChar"/>
          <w:rtl/>
        </w:rPr>
        <w:t>(9)</w:t>
      </w:r>
      <w:r w:rsidRPr="00132E65">
        <w:rPr>
          <w:rtl/>
          <w:lang w:bidi="fa-IR"/>
        </w:rPr>
        <w:t xml:space="preserve"> بِرِجْلِهِ ، فَخَرَجَ مِنْ قَبْرِهِ و</w:t>
      </w:r>
      <w:r w:rsidR="004E0D9D">
        <w:rPr>
          <w:rFonts w:hint="cs"/>
          <w:rtl/>
          <w:lang w:bidi="fa-IR"/>
        </w:rPr>
        <w:t xml:space="preserve">َ </w:t>
      </w:r>
      <w:r w:rsidRPr="00132E65">
        <w:rPr>
          <w:rtl/>
          <w:lang w:bidi="fa-IR"/>
        </w:rPr>
        <w:t xml:space="preserve">هُوَ يَقُولُ </w:t>
      </w:r>
      <w:r>
        <w:rPr>
          <w:rStyle w:val="libFootnotenumChar"/>
          <w:rtl/>
        </w:rPr>
        <w:t>(10)</w:t>
      </w:r>
      <w:r w:rsidRPr="00132E65">
        <w:rPr>
          <w:rtl/>
          <w:lang w:bidi="fa-IR"/>
        </w:rPr>
        <w:t xml:space="preserve"> بِلِسَانِ الْفُرْسِ ، فَقَالَ أَمِيرُ الْمُؤْمِنِينَ </w:t>
      </w:r>
      <w:r w:rsidRPr="00071CF9">
        <w:rPr>
          <w:rStyle w:val="libAlaemChar"/>
          <w:rtl/>
        </w:rPr>
        <w:t>عليه‌السلام</w:t>
      </w:r>
      <w:r>
        <w:rPr>
          <w:rtl/>
          <w:lang w:bidi="fa-IR"/>
        </w:rPr>
        <w:t xml:space="preserve"> : أَ</w:t>
      </w:r>
      <w:r w:rsidRPr="00132E65">
        <w:rPr>
          <w:rtl/>
          <w:lang w:bidi="fa-IR"/>
        </w:rPr>
        <w:t>لَمْ تَمُتْ و</w:t>
      </w:r>
      <w:r w:rsidR="00A15A2B">
        <w:rPr>
          <w:rFonts w:hint="cs"/>
          <w:rtl/>
          <w:lang w:bidi="fa-IR"/>
        </w:rPr>
        <w:t xml:space="preserve">َ </w:t>
      </w:r>
      <w:r w:rsidRPr="00132E65">
        <w:rPr>
          <w:rtl/>
          <w:lang w:bidi="fa-IR"/>
        </w:rPr>
        <w:t>أَنْتَ رَجُلٌ مِنَ الْعَرَبِ</w:t>
      </w:r>
      <w:r>
        <w:rPr>
          <w:rtl/>
          <w:lang w:bidi="fa-IR"/>
        </w:rPr>
        <w:t>؟!</w:t>
      </w:r>
      <w:r w:rsidRPr="00132E65">
        <w:rPr>
          <w:rtl/>
          <w:lang w:bidi="fa-IR"/>
        </w:rPr>
        <w:t xml:space="preserve"> قَالَ : بَلى ، و</w:t>
      </w:r>
      <w:r w:rsidR="00A15A2B">
        <w:rPr>
          <w:rFonts w:hint="cs"/>
          <w:rtl/>
          <w:lang w:bidi="fa-IR"/>
        </w:rPr>
        <w:t xml:space="preserve">َ </w:t>
      </w:r>
      <w:r w:rsidRPr="00132E65">
        <w:rPr>
          <w:rtl/>
          <w:lang w:bidi="fa-IR"/>
        </w:rPr>
        <w:t>لكِنَّا مِتْنَا عَلى سُنَّةِ فُلَانٍ و</w:t>
      </w:r>
      <w:r w:rsidR="00A15A2B">
        <w:rPr>
          <w:rFonts w:hint="cs"/>
          <w:rtl/>
          <w:lang w:bidi="fa-IR"/>
        </w:rPr>
        <w:t xml:space="preserve">َ </w:t>
      </w:r>
      <w:r w:rsidRPr="00132E65">
        <w:rPr>
          <w:rtl/>
          <w:lang w:bidi="fa-IR"/>
        </w:rPr>
        <w:t xml:space="preserve">فُلَانٍ </w:t>
      </w:r>
      <w:r>
        <w:rPr>
          <w:rStyle w:val="libFootnotenumChar"/>
          <w:rtl/>
        </w:rPr>
        <w:t>(11)</w:t>
      </w:r>
      <w:r w:rsidRPr="00132E65">
        <w:rPr>
          <w:rtl/>
          <w:lang w:bidi="fa-IR"/>
        </w:rPr>
        <w:t xml:space="preserve"> ، فَانْقَلَبَتْ أَلْسِنَتُنَا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Default="000C39D1" w:rsidP="000C39D1">
      <w:pPr>
        <w:pStyle w:val="libNormal"/>
        <w:rPr>
          <w:rtl/>
          <w:lang w:bidi="fa-IR"/>
        </w:rPr>
      </w:pPr>
      <w:r w:rsidRPr="00620606">
        <w:rPr>
          <w:rtl/>
        </w:rPr>
        <w:t>1240</w:t>
      </w:r>
      <w:r w:rsidRPr="004325D8">
        <w:rPr>
          <w:rStyle w:val="libBold2Char"/>
          <w:rtl/>
        </w:rPr>
        <w:t xml:space="preserve"> / 8.</w:t>
      </w:r>
      <w:r w:rsidRPr="00132E65">
        <w:rPr>
          <w:rtl/>
          <w:lang w:bidi="fa-IR"/>
        </w:rPr>
        <w:t xml:space="preserve"> مُحَمَّدُ بْنُ يَحْيى ، عَنْ أَحْمَدَ بْنِ مُحَمَّدٍ ؛</w:t>
      </w:r>
    </w:p>
    <w:p w:rsidR="000C39D1" w:rsidRPr="00132E65" w:rsidRDefault="000C39D1" w:rsidP="000C39D1">
      <w:pPr>
        <w:pStyle w:val="libNormal"/>
        <w:rPr>
          <w:rtl/>
          <w:lang w:bidi="fa-IR"/>
        </w:rPr>
      </w:pPr>
      <w:r w:rsidRPr="00132E65">
        <w:rPr>
          <w:rtl/>
          <w:lang w:bidi="fa-IR"/>
        </w:rPr>
        <w:t>و</w:t>
      </w:r>
      <w:r w:rsidR="00A15A2B">
        <w:rPr>
          <w:rFonts w:hint="cs"/>
          <w:rtl/>
          <w:lang w:bidi="fa-IR"/>
        </w:rPr>
        <w:t>َ</w:t>
      </w:r>
      <w:r w:rsidRPr="00132E65">
        <w:rPr>
          <w:rtl/>
          <w:lang w:bidi="fa-IR"/>
        </w:rPr>
        <w:t>عَلِيُّ بْنُ مُحَمَّدٍ ، عَنْ سَهْلِ بْنِ زِيَادٍ جَمِيعاً ، عَنِ ابْنِ مَحْبُوبٍ ، عَنْ أَبِي حَمْزَةَ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الخؤُولة » : جمع الخال ، أو مصدر ولا فعل له. يقال : خال بيّن الخؤُولة ، وبيني وبين فلان خؤُولة. راجع : </w:t>
      </w:r>
      <w:r w:rsidRPr="009D1ACE">
        <w:rPr>
          <w:rStyle w:val="libFootnoteBoldChar"/>
          <w:rtl/>
        </w:rPr>
        <w:t>لسان العرب</w:t>
      </w:r>
      <w:r w:rsidRPr="00132E65">
        <w:rPr>
          <w:rtl/>
        </w:rPr>
        <w:t xml:space="preserve"> ، ج 11 ، ص 224 : ( خول )</w:t>
      </w:r>
      <w:r>
        <w:rPr>
          <w:rtl/>
        </w:rPr>
        <w:t>.</w:t>
      </w:r>
    </w:p>
    <w:p w:rsidR="000C39D1" w:rsidRPr="00132E65" w:rsidRDefault="000C39D1" w:rsidP="000C39D1">
      <w:pPr>
        <w:pStyle w:val="libFootnote0"/>
        <w:rPr>
          <w:rtl/>
          <w:lang w:bidi="fa-IR"/>
        </w:rPr>
      </w:pPr>
      <w:r>
        <w:rPr>
          <w:rtl/>
        </w:rPr>
        <w:t>(2).</w:t>
      </w:r>
      <w:r w:rsidRPr="00132E65">
        <w:rPr>
          <w:rtl/>
        </w:rPr>
        <w:t xml:space="preserve"> في البصائر :</w:t>
      </w:r>
      <w:r>
        <w:rPr>
          <w:rtl/>
        </w:rPr>
        <w:t xml:space="preserve"> + </w:t>
      </w:r>
      <w:r w:rsidRPr="00132E65">
        <w:rPr>
          <w:rtl/>
        </w:rPr>
        <w:t>« وابن أبي »</w:t>
      </w:r>
      <w:r>
        <w:rPr>
          <w:rtl/>
        </w:rPr>
        <w:t>.</w:t>
      </w:r>
    </w:p>
    <w:p w:rsidR="000C39D1" w:rsidRPr="00132E65" w:rsidRDefault="000C39D1" w:rsidP="000C39D1">
      <w:pPr>
        <w:pStyle w:val="libFootnote0"/>
        <w:rPr>
          <w:rtl/>
          <w:lang w:bidi="fa-IR"/>
        </w:rPr>
      </w:pPr>
      <w:r>
        <w:rPr>
          <w:rtl/>
        </w:rPr>
        <w:t>(3).</w:t>
      </w:r>
      <w:r w:rsidRPr="00132E65">
        <w:rPr>
          <w:rtl/>
        </w:rPr>
        <w:t xml:space="preserve"> في « ب » </w:t>
      </w:r>
      <w:r>
        <w:rPr>
          <w:rtl/>
        </w:rPr>
        <w:t xml:space="preserve">: - </w:t>
      </w:r>
      <w:r w:rsidRPr="00132E65">
        <w:rPr>
          <w:rtl/>
        </w:rPr>
        <w:t>« له »</w:t>
      </w:r>
      <w:r>
        <w:rPr>
          <w:rtl/>
        </w:rPr>
        <w:t>.</w:t>
      </w:r>
      <w:r w:rsidRPr="00132E65">
        <w:rPr>
          <w:rtl/>
        </w:rPr>
        <w:t xml:space="preserve"> وفي « بس » : « لي »</w:t>
      </w:r>
      <w:r>
        <w:rPr>
          <w:rtl/>
        </w:rPr>
        <w:t>.</w:t>
      </w:r>
      <w:r w:rsidRPr="00132E65">
        <w:rPr>
          <w:rtl/>
        </w:rPr>
        <w:t xml:space="preserve"> وفي البصائر </w:t>
      </w:r>
      <w:r>
        <w:rPr>
          <w:rtl/>
        </w:rPr>
        <w:t xml:space="preserve">: - </w:t>
      </w:r>
      <w:r w:rsidRPr="00132E65">
        <w:rPr>
          <w:rtl/>
        </w:rPr>
        <w:t>« فقال له »</w:t>
      </w:r>
      <w:r>
        <w:rPr>
          <w:rtl/>
        </w:rPr>
        <w:t>.</w:t>
      </w:r>
    </w:p>
    <w:tbl>
      <w:tblPr>
        <w:tblStyle w:val="TableGrid"/>
        <w:bidiVisual/>
        <w:tblW w:w="0" w:type="auto"/>
        <w:tblLook w:val="04A0" w:firstRow="1" w:lastRow="0" w:firstColumn="1" w:lastColumn="0" w:noHBand="0" w:noVBand="1"/>
      </w:tblPr>
      <w:tblGrid>
        <w:gridCol w:w="4261"/>
        <w:gridCol w:w="4262"/>
      </w:tblGrid>
      <w:tr w:rsidR="00A15A2B" w:rsidTr="00A15A2B">
        <w:tc>
          <w:tcPr>
            <w:tcW w:w="4261" w:type="dxa"/>
          </w:tcPr>
          <w:p w:rsidR="00A15A2B" w:rsidRDefault="00A15A2B" w:rsidP="00A15A2B">
            <w:pPr>
              <w:pStyle w:val="libFootnote0"/>
              <w:rPr>
                <w:rtl/>
                <w:lang w:bidi="fa-IR"/>
              </w:rPr>
            </w:pPr>
            <w:r>
              <w:rPr>
                <w:rtl/>
              </w:rPr>
              <w:t>(4).</w:t>
            </w:r>
            <w:r w:rsidRPr="00132E65">
              <w:rPr>
                <w:rtl/>
              </w:rPr>
              <w:t>في«ب»:«تشهي»</w:t>
            </w:r>
            <w:r>
              <w:rPr>
                <w:rtl/>
              </w:rPr>
              <w:t>.</w:t>
            </w:r>
            <w:r w:rsidRPr="00132E65">
              <w:rPr>
                <w:rtl/>
              </w:rPr>
              <w:t>وفي البصائر:«فتشتهي»</w:t>
            </w:r>
            <w:r>
              <w:rPr>
                <w:rtl/>
              </w:rPr>
              <w:t>.</w:t>
            </w:r>
          </w:p>
        </w:tc>
        <w:tc>
          <w:tcPr>
            <w:tcW w:w="4262" w:type="dxa"/>
          </w:tcPr>
          <w:p w:rsidR="00A15A2B" w:rsidRDefault="00A15A2B" w:rsidP="000C39D1">
            <w:pPr>
              <w:pStyle w:val="libFootnote0"/>
              <w:rPr>
                <w:rtl/>
              </w:rPr>
            </w:pPr>
            <w:r>
              <w:rPr>
                <w:rtl/>
              </w:rPr>
              <w:t>(5).</w:t>
            </w:r>
            <w:r w:rsidRPr="00132E65">
              <w:rPr>
                <w:rtl/>
              </w:rPr>
              <w:t xml:space="preserve"> في البصائر : « نعم »</w:t>
            </w:r>
            <w:r>
              <w:rPr>
                <w:rtl/>
              </w:rPr>
              <w:t>.</w:t>
            </w:r>
          </w:p>
        </w:tc>
      </w:tr>
      <w:tr w:rsidR="00A15A2B" w:rsidTr="00A15A2B">
        <w:tc>
          <w:tcPr>
            <w:tcW w:w="4261" w:type="dxa"/>
          </w:tcPr>
          <w:p w:rsidR="00A15A2B" w:rsidRDefault="00A15A2B" w:rsidP="000C39D1">
            <w:pPr>
              <w:pStyle w:val="libFootnote0"/>
              <w:rPr>
                <w:rtl/>
              </w:rPr>
            </w:pPr>
            <w:r>
              <w:rPr>
                <w:rtl/>
              </w:rPr>
              <w:t>(6).</w:t>
            </w:r>
            <w:r w:rsidRPr="00132E65">
              <w:rPr>
                <w:rtl/>
              </w:rPr>
              <w:t xml:space="preserve"> في البصائر و</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tc>
        <w:tc>
          <w:tcPr>
            <w:tcW w:w="4262" w:type="dxa"/>
          </w:tcPr>
          <w:p w:rsidR="00A15A2B" w:rsidRDefault="00A15A2B" w:rsidP="000C39D1">
            <w:pPr>
              <w:pStyle w:val="libFootnote0"/>
              <w:rPr>
                <w:rtl/>
              </w:rPr>
            </w:pPr>
            <w:r>
              <w:rPr>
                <w:rtl/>
              </w:rPr>
              <w:t>(7).</w:t>
            </w:r>
            <w:r w:rsidRPr="00132E65">
              <w:rPr>
                <w:rtl/>
              </w:rPr>
              <w:t>في البصائر:«المستجاب»بدل«متّزراً بها»</w:t>
            </w:r>
            <w:r>
              <w:rPr>
                <w:rtl/>
              </w:rPr>
              <w:t>.</w:t>
            </w:r>
          </w:p>
        </w:tc>
      </w:tr>
    </w:tbl>
    <w:p w:rsidR="000C39D1" w:rsidRPr="00132E65" w:rsidRDefault="000C39D1" w:rsidP="000B74CB">
      <w:pPr>
        <w:pStyle w:val="libFootnote0"/>
        <w:rPr>
          <w:rtl/>
          <w:lang w:bidi="fa-IR"/>
        </w:rPr>
      </w:pPr>
      <w:r>
        <w:rPr>
          <w:rtl/>
        </w:rPr>
        <w:t>(8).</w:t>
      </w:r>
      <w:r w:rsidRPr="00132E65">
        <w:rPr>
          <w:rtl/>
        </w:rPr>
        <w:t xml:space="preserve"> في البصائر : « تململت »</w:t>
      </w:r>
      <w:r>
        <w:rPr>
          <w:rtl/>
        </w:rPr>
        <w:t>.</w:t>
      </w:r>
      <w:r w:rsidRPr="00132E65">
        <w:rPr>
          <w:rtl/>
        </w:rPr>
        <w:t xml:space="preserve"> وقوله « تلملمت » ، أي انضمّت ، أو تحرّكت ، من قولهم : كتيبة مُلَمْلَمَةٌ ، أي مجتمعة</w:t>
      </w:r>
      <w:r w:rsidR="0014494D">
        <w:rPr>
          <w:rFonts w:hint="cs"/>
          <w:rtl/>
        </w:rPr>
        <w:t xml:space="preserve"> </w:t>
      </w:r>
      <w:r w:rsidR="0014494D">
        <w:rPr>
          <w:rtl/>
        </w:rPr>
        <w:t>مضمومة بعضها إلى بعض. والم</w:t>
      </w:r>
      <w:r w:rsidR="0014494D">
        <w:rPr>
          <w:rFonts w:hint="cs"/>
          <w:rtl/>
        </w:rPr>
        <w:t>ـُ</w:t>
      </w:r>
      <w:r w:rsidRPr="00132E65">
        <w:rPr>
          <w:rtl/>
        </w:rPr>
        <w:t>لَمْلَمُ : المجتمع المدوّر المضموم. ولَمْلَمَ الحَجَرَ ، أي أداره. ونقل المجلسي عن بعض النسخ تقديم الميم على اللام من التململ</w:t>
      </w:r>
      <w:r>
        <w:rPr>
          <w:rtl/>
        </w:rPr>
        <w:t xml:space="preserve"> - </w:t>
      </w:r>
      <w:r w:rsidRPr="00132E65">
        <w:rPr>
          <w:rtl/>
        </w:rPr>
        <w:t>كما في البصائر</w:t>
      </w:r>
      <w:r>
        <w:rPr>
          <w:rtl/>
        </w:rPr>
        <w:t xml:space="preserve"> - </w:t>
      </w:r>
      <w:r w:rsidRPr="00132E65">
        <w:rPr>
          <w:rtl/>
        </w:rPr>
        <w:t xml:space="preserve">بمعنى التقلّب ، واستظهره. راجع : </w:t>
      </w:r>
      <w:r w:rsidRPr="00620606">
        <w:rPr>
          <w:rtl/>
        </w:rPr>
        <w:t>القاموس المحيط</w:t>
      </w:r>
      <w:r w:rsidRPr="00132E65">
        <w:rPr>
          <w:rtl/>
        </w:rPr>
        <w:t xml:space="preserve"> ، ج 2 ، ص 1525 ( لمم )</w:t>
      </w:r>
      <w:r>
        <w:rPr>
          <w:rtl/>
        </w:rPr>
        <w:t>.</w:t>
      </w:r>
      <w:r w:rsidR="000B74CB">
        <w:rPr>
          <w:rFonts w:hint="cs"/>
          <w:rtl/>
        </w:rPr>
        <w:t xml:space="preserve">                                                   </w:t>
      </w:r>
      <w:r w:rsidR="003915A6">
        <w:rPr>
          <w:rFonts w:hint="cs"/>
          <w:rtl/>
        </w:rPr>
        <w:t xml:space="preserve"> </w:t>
      </w:r>
      <w:r w:rsidR="000B74CB">
        <w:rPr>
          <w:rFonts w:hint="cs"/>
          <w:rtl/>
        </w:rPr>
        <w:t xml:space="preserve">     </w:t>
      </w:r>
      <w:r>
        <w:rPr>
          <w:rtl/>
        </w:rPr>
        <w:t>(9).</w:t>
      </w:r>
      <w:r w:rsidRPr="00132E65">
        <w:rPr>
          <w:rtl/>
        </w:rPr>
        <w:t>في«ج»:«تركضه»</w:t>
      </w:r>
      <w:r>
        <w:rPr>
          <w:rtl/>
        </w:rPr>
        <w:t>.</w:t>
      </w:r>
    </w:p>
    <w:tbl>
      <w:tblPr>
        <w:tblStyle w:val="TableGrid"/>
        <w:bidiVisual/>
        <w:tblW w:w="0" w:type="auto"/>
        <w:tblLook w:val="04A0" w:firstRow="1" w:lastRow="0" w:firstColumn="1" w:lastColumn="0" w:noHBand="0" w:noVBand="1"/>
      </w:tblPr>
      <w:tblGrid>
        <w:gridCol w:w="4261"/>
        <w:gridCol w:w="4262"/>
      </w:tblGrid>
      <w:tr w:rsidR="000B74CB" w:rsidTr="000B74CB">
        <w:tc>
          <w:tcPr>
            <w:tcW w:w="4261" w:type="dxa"/>
          </w:tcPr>
          <w:p w:rsidR="000B74CB" w:rsidRDefault="000B74CB" w:rsidP="000C39D1">
            <w:pPr>
              <w:pStyle w:val="libFootnote0"/>
              <w:rPr>
                <w:rtl/>
              </w:rPr>
            </w:pPr>
            <w:r>
              <w:rPr>
                <w:rtl/>
              </w:rPr>
              <w:t>(10).</w:t>
            </w:r>
            <w:r w:rsidRPr="00132E65">
              <w:rPr>
                <w:rtl/>
              </w:rPr>
              <w:t xml:space="preserve"> في البصائر :</w:t>
            </w:r>
            <w:r>
              <w:rPr>
                <w:rtl/>
              </w:rPr>
              <w:t xml:space="preserve"> + </w:t>
            </w:r>
            <w:r w:rsidRPr="00132E65">
              <w:rPr>
                <w:rtl/>
              </w:rPr>
              <w:t>« رميكا »</w:t>
            </w:r>
            <w:r>
              <w:rPr>
                <w:rtl/>
              </w:rPr>
              <w:t>.</w:t>
            </w:r>
          </w:p>
        </w:tc>
        <w:tc>
          <w:tcPr>
            <w:tcW w:w="4262" w:type="dxa"/>
          </w:tcPr>
          <w:p w:rsidR="000B74CB" w:rsidRDefault="000B74CB" w:rsidP="000C39D1">
            <w:pPr>
              <w:pStyle w:val="libFootnote0"/>
              <w:rPr>
                <w:rtl/>
              </w:rPr>
            </w:pPr>
            <w:r>
              <w:rPr>
                <w:rtl/>
              </w:rPr>
              <w:t>(11).</w:t>
            </w:r>
            <w:r w:rsidRPr="00132E65">
              <w:rPr>
                <w:rtl/>
              </w:rPr>
              <w:t xml:space="preserve"> في البصائر </w:t>
            </w:r>
            <w:r>
              <w:rPr>
                <w:rtl/>
              </w:rPr>
              <w:t xml:space="preserve">: - </w:t>
            </w:r>
            <w:r w:rsidRPr="00132E65">
              <w:rPr>
                <w:rtl/>
              </w:rPr>
              <w:t>« وفلان »</w:t>
            </w:r>
            <w:r>
              <w:rPr>
                <w:rtl/>
              </w:rPr>
              <w:t>.</w:t>
            </w:r>
          </w:p>
        </w:tc>
      </w:tr>
    </w:tbl>
    <w:p w:rsidR="000C39D1" w:rsidRPr="00132E65" w:rsidRDefault="000C39D1" w:rsidP="000C39D1">
      <w:pPr>
        <w:pStyle w:val="libFootnote0"/>
        <w:rPr>
          <w:rtl/>
          <w:lang w:bidi="fa-IR"/>
        </w:rPr>
      </w:pPr>
      <w:r>
        <w:rPr>
          <w:rtl/>
        </w:rPr>
        <w:t>(12).</w:t>
      </w:r>
      <w:r w:rsidRPr="00132E65">
        <w:rPr>
          <w:rtl/>
        </w:rPr>
        <w:t xml:space="preserve"> </w:t>
      </w:r>
      <w:r w:rsidRPr="007A1104">
        <w:rPr>
          <w:rStyle w:val="libFootnoteBoldChar"/>
          <w:rtl/>
        </w:rPr>
        <w:t>بصائر الدرجات</w:t>
      </w:r>
      <w:r w:rsidRPr="00132E65">
        <w:rPr>
          <w:rtl/>
        </w:rPr>
        <w:t xml:space="preserve"> ، ص 273 ، ح 3 ، عن سلمة بن خطّاب ، عن عبد الله بن القاسم ، عن عيسى بن شلقان </w:t>
      </w:r>
      <w:r w:rsidR="000623B9">
        <w:rPr>
          <w:rFonts w:hint="cs"/>
          <w:rtl/>
        </w:rPr>
        <w:t>.</w:t>
      </w:r>
      <w:r w:rsidRPr="009D1ACE">
        <w:rPr>
          <w:rStyle w:val="libFootnoteBoldChar"/>
          <w:rtl/>
        </w:rPr>
        <w:t>الوافي</w:t>
      </w:r>
      <w:r w:rsidRPr="00132E65">
        <w:rPr>
          <w:rtl/>
        </w:rPr>
        <w:t xml:space="preserve"> ، ج 3 ، ص 736 ، ح 1353.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قُبِضَ أَمِيرُ الْمُؤْمِنِينَ </w:t>
      </w:r>
      <w:r w:rsidRPr="00071CF9">
        <w:rPr>
          <w:rStyle w:val="libAlaemChar"/>
          <w:rtl/>
        </w:rPr>
        <w:t>عليه‌السلام</w:t>
      </w:r>
      <w:r w:rsidRPr="00132E65">
        <w:rPr>
          <w:rtl/>
          <w:lang w:bidi="fa-IR"/>
        </w:rPr>
        <w:t xml:space="preserve"> ، قَامَ الْحَسَنُ بْنُ عَلِيٍّ </w:t>
      </w:r>
      <w:r w:rsidRPr="00071CF9">
        <w:rPr>
          <w:rStyle w:val="libAlaemChar"/>
          <w:rtl/>
        </w:rPr>
        <w:t>عليه‌السلام</w:t>
      </w:r>
      <w:r w:rsidRPr="00132E65">
        <w:rPr>
          <w:rtl/>
          <w:lang w:bidi="fa-IR"/>
        </w:rPr>
        <w:t xml:space="preserve"> فِي مَسْجِدِ الْكُوفَةِ ، فَحَمِدَ اللهَ ، و</w:t>
      </w:r>
      <w:r w:rsidR="00B0732B">
        <w:rPr>
          <w:rFonts w:hint="cs"/>
          <w:rtl/>
          <w:lang w:bidi="fa-IR"/>
        </w:rPr>
        <w:t xml:space="preserve">َ </w:t>
      </w:r>
      <w:r w:rsidRPr="00132E65">
        <w:rPr>
          <w:rtl/>
          <w:lang w:bidi="fa-IR"/>
        </w:rPr>
        <w:t>أَثْنى عَلَيْهِ ، و</w:t>
      </w:r>
      <w:r w:rsidR="00B0732B">
        <w:rPr>
          <w:rFonts w:hint="cs"/>
          <w:rtl/>
          <w:lang w:bidi="fa-IR"/>
        </w:rPr>
        <w:t>َ</w:t>
      </w:r>
      <w:r w:rsidRPr="00132E65">
        <w:rPr>
          <w:rtl/>
          <w:lang w:bidi="fa-IR"/>
        </w:rPr>
        <w:t xml:space="preserve">صَلّى عَلَى النَّبِيِّ </w:t>
      </w:r>
      <w:r w:rsidRPr="0093484F">
        <w:rPr>
          <w:rStyle w:val="libAlaemChar"/>
          <w:rFonts w:eastAsiaTheme="minorHAnsi"/>
          <w:rtl/>
        </w:rPr>
        <w:t>صلى‌الله‌عليه‌وآله</w:t>
      </w:r>
      <w:r w:rsidRPr="00132E65">
        <w:rPr>
          <w:rtl/>
          <w:lang w:bidi="fa-IR"/>
        </w:rPr>
        <w:t xml:space="preserve"> ، ثُمَّ قَالَ : أَيُّهَا النَّاسُ ، إِنَّهُ قَدْ </w:t>
      </w:r>
      <w:r>
        <w:rPr>
          <w:rStyle w:val="libFootnotenumChar"/>
          <w:rtl/>
        </w:rPr>
        <w:t>(1)</w:t>
      </w:r>
      <w:r w:rsidRPr="00132E65">
        <w:rPr>
          <w:rtl/>
          <w:lang w:bidi="fa-IR"/>
        </w:rPr>
        <w:t xml:space="preserve"> ق</w:t>
      </w:r>
      <w:r w:rsidR="00B0732B">
        <w:rPr>
          <w:rFonts w:hint="cs"/>
          <w:rtl/>
          <w:lang w:bidi="fa-IR"/>
        </w:rPr>
        <w:t>ُ</w:t>
      </w:r>
      <w:r w:rsidRPr="00132E65">
        <w:rPr>
          <w:rtl/>
          <w:lang w:bidi="fa-IR"/>
        </w:rPr>
        <w:t>بِضَ فِي هذِهِ اللَّيْلَةِ رَجُلٌ مَا سَبَقَهُ الْأَوَّلُونَ ، و</w:t>
      </w:r>
      <w:r w:rsidR="00B0732B">
        <w:rPr>
          <w:rFonts w:hint="cs"/>
          <w:rtl/>
          <w:lang w:bidi="fa-IR"/>
        </w:rPr>
        <w:t xml:space="preserve">َ </w:t>
      </w:r>
      <w:r w:rsidRPr="00132E65">
        <w:rPr>
          <w:rtl/>
          <w:lang w:bidi="fa-IR"/>
        </w:rPr>
        <w:t xml:space="preserve">لَايُدْرِكُهُ </w:t>
      </w:r>
      <w:r>
        <w:rPr>
          <w:rStyle w:val="libFootnotenumChar"/>
          <w:rtl/>
        </w:rPr>
        <w:t>(2)</w:t>
      </w:r>
      <w:r w:rsidRPr="00132E65">
        <w:rPr>
          <w:rtl/>
          <w:lang w:bidi="fa-IR"/>
        </w:rPr>
        <w:t xml:space="preserve"> الْآخِرُونَ ، إِنْ </w:t>
      </w:r>
      <w:r>
        <w:rPr>
          <w:rStyle w:val="libFootnotenumChar"/>
          <w:rtl/>
        </w:rPr>
        <w:t>(3)</w:t>
      </w:r>
      <w:r w:rsidRPr="00132E65">
        <w:rPr>
          <w:rtl/>
          <w:lang w:bidi="fa-IR"/>
        </w:rPr>
        <w:t xml:space="preserve"> كَانَ لَصَاحِبَ </w:t>
      </w:r>
      <w:r>
        <w:rPr>
          <w:rStyle w:val="libFootnotenumChar"/>
          <w:rtl/>
        </w:rPr>
        <w:t>(4)</w:t>
      </w:r>
      <w:r w:rsidRPr="00132E65">
        <w:rPr>
          <w:rtl/>
          <w:lang w:bidi="fa-IR"/>
        </w:rPr>
        <w:t xml:space="preserve"> رَايَةِ رَسُولِ اللهِ </w:t>
      </w:r>
      <w:r w:rsidRPr="0093484F">
        <w:rPr>
          <w:rStyle w:val="libAlaemChar"/>
          <w:rFonts w:eastAsiaTheme="minorHAnsi"/>
          <w:rtl/>
        </w:rPr>
        <w:t>صلى‌الله‌عليه‌وآله</w:t>
      </w:r>
      <w:r w:rsidRPr="00132E65">
        <w:rPr>
          <w:rtl/>
          <w:lang w:bidi="fa-IR"/>
        </w:rPr>
        <w:t xml:space="preserve"> عَنْ يَمِينِهِ جَبْرَئِيلُ ، و</w:t>
      </w:r>
      <w:r w:rsidR="00B0732B">
        <w:rPr>
          <w:rFonts w:hint="cs"/>
          <w:rtl/>
          <w:lang w:bidi="fa-IR"/>
        </w:rPr>
        <w:t xml:space="preserve">َ </w:t>
      </w:r>
      <w:r w:rsidRPr="00132E65">
        <w:rPr>
          <w:rtl/>
          <w:lang w:bidi="fa-IR"/>
        </w:rPr>
        <w:t xml:space="preserve">عَنْ يَسَارِهِ </w:t>
      </w:r>
      <w:r>
        <w:rPr>
          <w:rStyle w:val="libFootnotenumChar"/>
          <w:rtl/>
        </w:rPr>
        <w:t>(5)</w:t>
      </w:r>
      <w:r w:rsidRPr="00132E65">
        <w:rPr>
          <w:rtl/>
          <w:lang w:bidi="fa-IR"/>
        </w:rPr>
        <w:t xml:space="preserve"> مِيكَائِيلُ ، لَايَنْثَنِي </w:t>
      </w:r>
      <w:r>
        <w:rPr>
          <w:rStyle w:val="libFootnotenumChar"/>
          <w:rtl/>
        </w:rPr>
        <w:t>(6)</w:t>
      </w:r>
      <w:r w:rsidRPr="00132E65">
        <w:rPr>
          <w:rtl/>
          <w:lang w:bidi="fa-IR"/>
        </w:rPr>
        <w:t xml:space="preserve"> حَتّى يَفْتَحَ اللهُ لَهُ ؛ و</w:t>
      </w:r>
      <w:r w:rsidR="00B0732B">
        <w:rPr>
          <w:rFonts w:hint="cs"/>
          <w:rtl/>
          <w:lang w:bidi="fa-IR"/>
        </w:rPr>
        <w:t xml:space="preserve">َ </w:t>
      </w:r>
      <w:r w:rsidRPr="00132E65">
        <w:rPr>
          <w:rtl/>
          <w:lang w:bidi="fa-IR"/>
        </w:rPr>
        <w:t>اللهِ ، مَا تَرَكَ بَيْضَاءَ و</w:t>
      </w:r>
      <w:r w:rsidR="00B0732B">
        <w:rPr>
          <w:rFonts w:hint="cs"/>
          <w:rtl/>
          <w:lang w:bidi="fa-IR"/>
        </w:rPr>
        <w:t xml:space="preserve">َ </w:t>
      </w:r>
      <w:r w:rsidR="00B0732B">
        <w:rPr>
          <w:rtl/>
          <w:lang w:bidi="fa-IR"/>
        </w:rPr>
        <w:t>لَاحَمْرَاءَ إِل</w:t>
      </w:r>
      <w:r w:rsidR="00B0732B">
        <w:rPr>
          <w:rFonts w:hint="cs"/>
          <w:rtl/>
          <w:lang w:bidi="fa-IR"/>
        </w:rPr>
        <w:t>َّ</w:t>
      </w:r>
      <w:r w:rsidR="00B0732B">
        <w:rPr>
          <w:rtl/>
          <w:lang w:bidi="fa-IR"/>
        </w:rPr>
        <w:t>ا</w:t>
      </w:r>
      <w:r w:rsidRPr="00132E65">
        <w:rPr>
          <w:rtl/>
          <w:lang w:bidi="fa-IR"/>
        </w:rPr>
        <w:t xml:space="preserve"> سَبْعَمِائَةِ دِرْهَمٍ فَضَلَتْ عَنْ عَطَائِهِ أَرَادَ أَنْ يَشْتَرِيَ بِهَا خَادِماً لِأَهْلِهِ ؛ و</w:t>
      </w:r>
      <w:r w:rsidR="00B0732B">
        <w:rPr>
          <w:rFonts w:hint="cs"/>
          <w:rtl/>
          <w:lang w:bidi="fa-IR"/>
        </w:rPr>
        <w:t xml:space="preserve">َ </w:t>
      </w:r>
      <w:r w:rsidRPr="00132E65">
        <w:rPr>
          <w:rtl/>
          <w:lang w:bidi="fa-IR"/>
        </w:rPr>
        <w:t xml:space="preserve">اللهِ ، لَقَدْ قُبِضَ فِي اللَّيْلَةِ الَّتِي فِيهَا قُبِضَ </w:t>
      </w:r>
      <w:r>
        <w:rPr>
          <w:rStyle w:val="libFootnotenumChar"/>
          <w:rtl/>
        </w:rPr>
        <w:t>(7)</w:t>
      </w:r>
      <w:r w:rsidRPr="00132E65">
        <w:rPr>
          <w:rtl/>
          <w:lang w:bidi="fa-IR"/>
        </w:rPr>
        <w:t xml:space="preserve"> وَصِيُّ مُوسى يُوشَعُ بْنُ نُونٍ ، و</w:t>
      </w:r>
      <w:r w:rsidR="00B0732B">
        <w:rPr>
          <w:rFonts w:hint="cs"/>
          <w:rtl/>
          <w:lang w:bidi="fa-IR"/>
        </w:rPr>
        <w:t xml:space="preserve">َ </w:t>
      </w:r>
      <w:r w:rsidRPr="00132E65">
        <w:rPr>
          <w:rtl/>
          <w:lang w:bidi="fa-IR"/>
        </w:rPr>
        <w:t xml:space="preserve">اللَّيْلَةِ الَّتِي عُرِجَ فِيهَا بِعِيسَى </w:t>
      </w:r>
      <w:r>
        <w:rPr>
          <w:rStyle w:val="libFootnotenumChar"/>
          <w:rtl/>
        </w:rPr>
        <w:t>(8)</w:t>
      </w:r>
      <w:r w:rsidRPr="00132E65">
        <w:rPr>
          <w:rtl/>
          <w:lang w:bidi="fa-IR"/>
        </w:rPr>
        <w:t xml:space="preserve"> بْنِ مَرْيَمَ ، و</w:t>
      </w:r>
      <w:r w:rsidR="00B0732B">
        <w:rPr>
          <w:rFonts w:hint="cs"/>
          <w:rtl/>
          <w:lang w:bidi="fa-IR"/>
        </w:rPr>
        <w:t xml:space="preserve">َ </w:t>
      </w:r>
      <w:r w:rsidRPr="00132E65">
        <w:rPr>
          <w:rtl/>
          <w:lang w:bidi="fa-IR"/>
        </w:rPr>
        <w:t xml:space="preserve">اللَّيْلَةِ الَّتِي نَزَلَ </w:t>
      </w:r>
      <w:r>
        <w:rPr>
          <w:rStyle w:val="libFootnotenumChar"/>
          <w:rtl/>
        </w:rPr>
        <w:t>(9)</w:t>
      </w:r>
      <w:r w:rsidRPr="00132E65">
        <w:rPr>
          <w:rtl/>
          <w:lang w:bidi="fa-IR"/>
        </w:rPr>
        <w:t xml:space="preserve"> فِيهَا الْقُرْآنُ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620606">
        <w:rPr>
          <w:rtl/>
        </w:rPr>
        <w:t>1241</w:t>
      </w:r>
      <w:r w:rsidRPr="004325D8">
        <w:rPr>
          <w:rStyle w:val="libBold2Char"/>
          <w:rtl/>
        </w:rPr>
        <w:t xml:space="preserve"> / 9.</w:t>
      </w:r>
      <w:r w:rsidRPr="00132E65">
        <w:rPr>
          <w:rtl/>
          <w:lang w:bidi="fa-IR"/>
        </w:rPr>
        <w:t xml:space="preserve"> عَلِيُّ بْنُ مُحَمَّدٍ رَفَعَهُ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لَمَّا غُسِّلَ </w:t>
      </w:r>
      <w:r>
        <w:rPr>
          <w:rStyle w:val="libFootnotenumChar"/>
          <w:rtl/>
        </w:rPr>
        <w:t>(11)</w:t>
      </w:r>
      <w:r w:rsidRPr="00132E65">
        <w:rPr>
          <w:rtl/>
          <w:lang w:bidi="fa-IR"/>
        </w:rPr>
        <w:t xml:space="preserve"> أَمِيرُ الْمُؤْمِنِينَ </w:t>
      </w:r>
      <w:r w:rsidRPr="00071CF9">
        <w:rPr>
          <w:rStyle w:val="libAlaemChar"/>
          <w:rtl/>
        </w:rPr>
        <w:t>عليه‌السلام</w:t>
      </w:r>
      <w:r w:rsidRPr="00132E65">
        <w:rPr>
          <w:rtl/>
          <w:lang w:bidi="fa-IR"/>
        </w:rPr>
        <w:t xml:space="preserve"> ، نُودُوا مِنْ جَانِبِ الْبَيْتِ : إِنْ أَخَذْتُمْ مُقَدَّمَ السَّرِيرِ كُفِيتُمْ مُؤَخَّرَهُ ، و</w:t>
      </w:r>
      <w:r w:rsidR="00B0732B">
        <w:rPr>
          <w:rFonts w:hint="cs"/>
          <w:rtl/>
          <w:lang w:bidi="fa-IR"/>
        </w:rPr>
        <w:t xml:space="preserve">َ </w:t>
      </w:r>
      <w:r w:rsidRPr="00132E65">
        <w:rPr>
          <w:rtl/>
          <w:lang w:bidi="fa-IR"/>
        </w:rPr>
        <w:t>إِنْ أَخَذْتُمْ مُؤَخَّرَهُ كُفِيتُمْ مُقَدَّمَهُ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977A55" w:rsidTr="00977A55">
        <w:tc>
          <w:tcPr>
            <w:tcW w:w="4261" w:type="dxa"/>
          </w:tcPr>
          <w:p w:rsidR="00977A55" w:rsidRDefault="00977A55" w:rsidP="00B0732B">
            <w:pPr>
              <w:pStyle w:val="libFootnote0"/>
              <w:rPr>
                <w:rtl/>
              </w:rPr>
            </w:pPr>
            <w:r>
              <w:rPr>
                <w:rtl/>
              </w:rPr>
              <w:t>(1).</w:t>
            </w:r>
            <w:r w:rsidRPr="00132E65">
              <w:rPr>
                <w:rtl/>
              </w:rPr>
              <w:t>في«ب،ج،بح،بف»</w:t>
            </w:r>
            <w:r>
              <w:rPr>
                <w:rtl/>
              </w:rPr>
              <w:t>:-</w:t>
            </w:r>
            <w:r w:rsidRPr="00132E65">
              <w:rPr>
                <w:rtl/>
              </w:rPr>
              <w:t>«قد»</w:t>
            </w:r>
            <w:r>
              <w:rPr>
                <w:rtl/>
              </w:rPr>
              <w:t>.</w:t>
            </w:r>
          </w:p>
        </w:tc>
        <w:tc>
          <w:tcPr>
            <w:tcW w:w="4262" w:type="dxa"/>
          </w:tcPr>
          <w:p w:rsidR="00977A55" w:rsidRDefault="00977A55" w:rsidP="00B0732B">
            <w:pPr>
              <w:pStyle w:val="libFootnote0"/>
              <w:rPr>
                <w:rtl/>
              </w:rPr>
            </w:pPr>
            <w:r>
              <w:rPr>
                <w:rtl/>
              </w:rPr>
              <w:t>(2).</w:t>
            </w:r>
            <w:r w:rsidRPr="00132E65">
              <w:rPr>
                <w:rtl/>
              </w:rPr>
              <w:t>في«ف»:«وما يدركه»</w:t>
            </w:r>
            <w:r>
              <w:rPr>
                <w:rtl/>
              </w:rPr>
              <w:t>.</w:t>
            </w:r>
          </w:p>
        </w:tc>
      </w:tr>
    </w:tbl>
    <w:p w:rsidR="000C39D1" w:rsidRPr="00132E65" w:rsidRDefault="000C39D1" w:rsidP="00F55A7C">
      <w:pPr>
        <w:pStyle w:val="libFootnote0"/>
        <w:rPr>
          <w:rtl/>
          <w:lang w:bidi="fa-IR"/>
        </w:rPr>
      </w:pPr>
      <w:r>
        <w:rPr>
          <w:rtl/>
        </w:rPr>
        <w:t>(3).</w:t>
      </w:r>
      <w:r w:rsidRPr="00132E65">
        <w:rPr>
          <w:rtl/>
        </w:rPr>
        <w:t xml:space="preserve"> هكذا في « ج ، ض ، ف ، بح ، بر ، بس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وفي « ب » والمطبوع : « إنّه »</w:t>
      </w:r>
      <w:r>
        <w:rPr>
          <w:rtl/>
        </w:rPr>
        <w:t>.</w:t>
      </w:r>
      <w:r w:rsidRPr="00132E65">
        <w:rPr>
          <w:rtl/>
        </w:rPr>
        <w:t xml:space="preserve"> </w:t>
      </w:r>
      <w:r>
        <w:rPr>
          <w:rtl/>
        </w:rPr>
        <w:t>و «</w:t>
      </w:r>
      <w:r w:rsidR="003915A6">
        <w:rPr>
          <w:rtl/>
        </w:rPr>
        <w:t xml:space="preserve"> إنْ</w:t>
      </w:r>
      <w:r w:rsidRPr="00132E65">
        <w:rPr>
          <w:rtl/>
        </w:rPr>
        <w:t>» مخفّفة من المثقلّة.</w:t>
      </w:r>
      <w:r w:rsidR="00F55A7C">
        <w:rPr>
          <w:rFonts w:hint="cs"/>
          <w:rtl/>
        </w:rPr>
        <w:t xml:space="preserve">       </w:t>
      </w:r>
      <w:r w:rsidR="003915A6">
        <w:rPr>
          <w:rFonts w:hint="cs"/>
          <w:rtl/>
        </w:rPr>
        <w:t xml:space="preserve">                              </w:t>
      </w:r>
      <w:r w:rsidR="00F55A7C">
        <w:rPr>
          <w:rFonts w:hint="cs"/>
          <w:rtl/>
        </w:rPr>
        <w:t xml:space="preserve">    </w:t>
      </w:r>
      <w:r>
        <w:rPr>
          <w:rtl/>
        </w:rPr>
        <w:t>(4).</w:t>
      </w:r>
      <w:r w:rsidRPr="00132E65">
        <w:rPr>
          <w:rtl/>
        </w:rPr>
        <w:t xml:space="preserve"> في « بر ، بف » : « يأخذ »</w:t>
      </w:r>
      <w:r>
        <w:rPr>
          <w:rtl/>
        </w:rPr>
        <w:t>.</w:t>
      </w:r>
    </w:p>
    <w:p w:rsidR="000C39D1" w:rsidRPr="00132E65" w:rsidRDefault="000C39D1" w:rsidP="000C39D1">
      <w:pPr>
        <w:pStyle w:val="libFootnote0"/>
        <w:rPr>
          <w:rtl/>
          <w:lang w:bidi="fa-IR"/>
        </w:rPr>
      </w:pPr>
      <w:r>
        <w:rPr>
          <w:rtl/>
        </w:rPr>
        <w:t>(5).</w:t>
      </w:r>
      <w:r w:rsidRPr="00132E65">
        <w:rPr>
          <w:rtl/>
        </w:rPr>
        <w:t xml:space="preserve"> في « ب » : « شماله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لا يثنى »</w:t>
      </w:r>
      <w:r>
        <w:rPr>
          <w:rtl/>
        </w:rPr>
        <w:t>.</w:t>
      </w:r>
      <w:r w:rsidRPr="00132E65">
        <w:rPr>
          <w:rtl/>
        </w:rPr>
        <w:t xml:space="preserve"> وقوله : « لا ينثني » ، أي لا ينعطف ولا ينصرف ولا يرجع ؛ من الثني ، وهو العطف والصرف. راجع : </w:t>
      </w:r>
      <w:r w:rsidRPr="009D1ACE">
        <w:rPr>
          <w:rStyle w:val="libFootnoteBoldChar"/>
          <w:rtl/>
        </w:rPr>
        <w:t>لسان العرب</w:t>
      </w:r>
      <w:r w:rsidRPr="00132E65">
        <w:rPr>
          <w:rtl/>
        </w:rPr>
        <w:t xml:space="preserve"> ، ج 14 ، ص 115 ( ثنى )</w:t>
      </w:r>
      <w:r>
        <w:rPr>
          <w:rtl/>
        </w:rPr>
        <w:t>.</w:t>
      </w:r>
    </w:p>
    <w:tbl>
      <w:tblPr>
        <w:tblStyle w:val="TableGrid"/>
        <w:bidiVisual/>
        <w:tblW w:w="0" w:type="auto"/>
        <w:tblLook w:val="04A0" w:firstRow="1" w:lastRow="0" w:firstColumn="1" w:lastColumn="0" w:noHBand="0" w:noVBand="1"/>
      </w:tblPr>
      <w:tblGrid>
        <w:gridCol w:w="4261"/>
        <w:gridCol w:w="4262"/>
      </w:tblGrid>
      <w:tr w:rsidR="00234350" w:rsidTr="00234350">
        <w:tc>
          <w:tcPr>
            <w:tcW w:w="4261" w:type="dxa"/>
          </w:tcPr>
          <w:p w:rsidR="00234350" w:rsidRDefault="00234350" w:rsidP="000C39D1">
            <w:pPr>
              <w:pStyle w:val="libFootnote0"/>
              <w:rPr>
                <w:rtl/>
              </w:rPr>
            </w:pPr>
            <w:r>
              <w:rPr>
                <w:rtl/>
              </w:rPr>
              <w:t>(7).</w:t>
            </w:r>
            <w:r w:rsidRPr="00132E65">
              <w:rPr>
                <w:rtl/>
              </w:rPr>
              <w:t>في«ب،ج،بح،بف»:«قبض فيها»</w:t>
            </w:r>
            <w:r>
              <w:rPr>
                <w:rtl/>
              </w:rPr>
              <w:t>.</w:t>
            </w:r>
          </w:p>
        </w:tc>
        <w:tc>
          <w:tcPr>
            <w:tcW w:w="4262" w:type="dxa"/>
          </w:tcPr>
          <w:p w:rsidR="00234350" w:rsidRDefault="00234350" w:rsidP="000C39D1">
            <w:pPr>
              <w:pStyle w:val="libFootnote0"/>
              <w:rPr>
                <w:rtl/>
              </w:rPr>
            </w:pPr>
            <w:r>
              <w:rPr>
                <w:rtl/>
              </w:rPr>
              <w:t>(8).</w:t>
            </w:r>
            <w:r w:rsidRPr="00132E65">
              <w:rPr>
                <w:rtl/>
              </w:rPr>
              <w:t xml:space="preserve"> في « ف » : « عيسى »</w:t>
            </w:r>
            <w:r>
              <w:rPr>
                <w:rtl/>
              </w:rPr>
              <w:t>.</w:t>
            </w:r>
          </w:p>
        </w:tc>
      </w:tr>
    </w:tbl>
    <w:p w:rsidR="000C39D1" w:rsidRPr="00132E65" w:rsidRDefault="000C39D1" w:rsidP="000C39D1">
      <w:pPr>
        <w:pStyle w:val="libFootnote0"/>
        <w:rPr>
          <w:rtl/>
          <w:lang w:bidi="fa-IR"/>
        </w:rPr>
      </w:pPr>
      <w:r>
        <w:rPr>
          <w:rtl/>
        </w:rPr>
        <w:t>(9).</w:t>
      </w:r>
      <w:r w:rsidRPr="00132E65">
        <w:rPr>
          <w:rtl/>
        </w:rPr>
        <w:t xml:space="preserve"> يجوز فيه التثقيل أيضاً كما في « ج »</w:t>
      </w:r>
      <w:r>
        <w:rPr>
          <w:rtl/>
        </w:rPr>
        <w:t>.</w:t>
      </w:r>
    </w:p>
    <w:p w:rsidR="000C39D1" w:rsidRPr="00132E65" w:rsidRDefault="000C39D1" w:rsidP="0099055B">
      <w:pPr>
        <w:pStyle w:val="libFootnote0"/>
        <w:rPr>
          <w:rtl/>
          <w:lang w:bidi="fa-IR"/>
        </w:rPr>
      </w:pPr>
      <w:r>
        <w:rPr>
          <w:rtl/>
        </w:rPr>
        <w:t>(10).</w:t>
      </w:r>
      <w:r w:rsidRPr="00132E65">
        <w:rPr>
          <w:rtl/>
        </w:rPr>
        <w:t xml:space="preserve"> </w:t>
      </w:r>
      <w:r w:rsidRPr="00620606">
        <w:rPr>
          <w:rtl/>
        </w:rPr>
        <w:t>الإرشاد</w:t>
      </w:r>
      <w:r w:rsidRPr="00132E65">
        <w:rPr>
          <w:rtl/>
        </w:rPr>
        <w:t xml:space="preserve"> ، ج 2 ، ص 7 ؛ و</w:t>
      </w:r>
      <w:r w:rsidRPr="00620606">
        <w:rPr>
          <w:rtl/>
        </w:rPr>
        <w:t>الأمالي</w:t>
      </w:r>
      <w:r w:rsidRPr="00132E65">
        <w:rPr>
          <w:rtl/>
        </w:rPr>
        <w:t xml:space="preserve"> للطوسي ، ص 269 ، المجلس 10 ، ح 39 ؛ و</w:t>
      </w:r>
      <w:r w:rsidRPr="00620606">
        <w:rPr>
          <w:rtl/>
        </w:rPr>
        <w:t xml:space="preserve">تفسير فرات </w:t>
      </w:r>
      <w:r w:rsidRPr="00132E65">
        <w:rPr>
          <w:rtl/>
        </w:rPr>
        <w:t>، ص 198 ، ح 257 ؛ و</w:t>
      </w:r>
      <w:r w:rsidRPr="00620606">
        <w:rPr>
          <w:rtl/>
        </w:rPr>
        <w:t>خصائص الأئمّة</w:t>
      </w:r>
      <w:r w:rsidRPr="00132E65">
        <w:rPr>
          <w:rtl/>
        </w:rPr>
        <w:t xml:space="preserve"> ، ص 79 ، بسند آخر عن الحسن بن عليّ </w:t>
      </w:r>
      <w:r w:rsidRPr="00723A8F">
        <w:rPr>
          <w:rStyle w:val="libFootnoteAlaemChar"/>
          <w:rtl/>
        </w:rPr>
        <w:t>عليه‌السلام</w:t>
      </w:r>
      <w:r w:rsidRPr="00132E65">
        <w:rPr>
          <w:rtl/>
        </w:rPr>
        <w:t xml:space="preserve"> ، مع زيادة واختلاف يسير </w:t>
      </w:r>
      <w:r w:rsidR="00723A8F">
        <w:rPr>
          <w:rFonts w:hint="cs"/>
          <w:rtl/>
        </w:rPr>
        <w:t>.</w:t>
      </w:r>
      <w:r w:rsidRPr="009D1ACE">
        <w:rPr>
          <w:rStyle w:val="libFootnoteBoldChar"/>
          <w:rtl/>
        </w:rPr>
        <w:t>الوافي</w:t>
      </w:r>
      <w:r w:rsidRPr="00132E65">
        <w:rPr>
          <w:rtl/>
        </w:rPr>
        <w:t xml:space="preserve"> ، ج 3 ، ص 740 ، ح 1356.</w:t>
      </w:r>
      <w:r w:rsidR="0099055B">
        <w:rPr>
          <w:rFonts w:hint="cs"/>
          <w:rtl/>
        </w:rPr>
        <w:t xml:space="preserve">                                         </w:t>
      </w:r>
      <w:r>
        <w:rPr>
          <w:rtl/>
        </w:rPr>
        <w:t>(11).</w:t>
      </w:r>
      <w:r w:rsidRPr="00132E65">
        <w:rPr>
          <w:rtl/>
        </w:rPr>
        <w:t>في أكثر النسخ بالتثقيل ويجوز فيه التخفيف أيضاً.</w:t>
      </w:r>
    </w:p>
    <w:p w:rsidR="000C39D1" w:rsidRPr="00132E65" w:rsidRDefault="000C39D1" w:rsidP="009D3728">
      <w:pPr>
        <w:pStyle w:val="libFootnote0"/>
        <w:rPr>
          <w:rtl/>
          <w:lang w:bidi="fa-IR"/>
        </w:rPr>
      </w:pPr>
      <w:r>
        <w:rPr>
          <w:rtl/>
        </w:rPr>
        <w:t>(12).</w:t>
      </w:r>
      <w:r w:rsidRPr="00132E65">
        <w:rPr>
          <w:rtl/>
        </w:rPr>
        <w:t xml:space="preserve"> </w:t>
      </w:r>
      <w:r w:rsidRPr="00620606">
        <w:rPr>
          <w:rtl/>
        </w:rPr>
        <w:t>خصائص الأئمّة</w:t>
      </w:r>
      <w:r w:rsidRPr="00132E65">
        <w:rPr>
          <w:rtl/>
        </w:rPr>
        <w:t xml:space="preserve"> </w:t>
      </w:r>
      <w:r w:rsidRPr="00723A8F">
        <w:rPr>
          <w:rStyle w:val="libFootnoteAlaemChar"/>
          <w:rtl/>
        </w:rPr>
        <w:t>عليهم‌السلام</w:t>
      </w:r>
      <w:r w:rsidRPr="00132E65">
        <w:rPr>
          <w:rtl/>
        </w:rPr>
        <w:t xml:space="preserve"> ، ص 64 ، ومن دلائله </w:t>
      </w:r>
      <w:r w:rsidRPr="00723A8F">
        <w:rPr>
          <w:rStyle w:val="libFootnoteAlaemChar"/>
          <w:rtl/>
        </w:rPr>
        <w:t>عليه‌السلام</w:t>
      </w:r>
      <w:r w:rsidRPr="00132E65">
        <w:rPr>
          <w:rtl/>
        </w:rPr>
        <w:t xml:space="preserve"> عند موته ، مرسلاً ، مع زيادة في آخره هكذا : « وأشار </w:t>
      </w:r>
      <w:r w:rsidRPr="00723A8F">
        <w:rPr>
          <w:rStyle w:val="libFootnoteAlaemChar"/>
          <w:rtl/>
        </w:rPr>
        <w:t>عليه‌السلام</w:t>
      </w:r>
      <w:r w:rsidRPr="00132E65">
        <w:rPr>
          <w:rtl/>
        </w:rPr>
        <w:t xml:space="preserve"> إلى أنّ الملائكة قالت ذلك »</w:t>
      </w:r>
      <w:r w:rsidR="009D3728">
        <w:rPr>
          <w:rFonts w:hint="cs"/>
          <w:rtl/>
        </w:rPr>
        <w:t>.</w:t>
      </w:r>
      <w:r w:rsidRPr="009D1ACE">
        <w:rPr>
          <w:rStyle w:val="libFootnoteBoldChar"/>
          <w:rtl/>
        </w:rPr>
        <w:t>الوافي</w:t>
      </w:r>
      <w:r w:rsidRPr="00132E65">
        <w:rPr>
          <w:rtl/>
        </w:rPr>
        <w:t xml:space="preserve"> ، ج 14 ، ص 1339 ، ح 14367 ؛ </w:t>
      </w:r>
      <w:r w:rsidRPr="00620606">
        <w:rPr>
          <w:rtl/>
        </w:rPr>
        <w:t>البحار</w:t>
      </w:r>
      <w:r w:rsidRPr="00132E65">
        <w:rPr>
          <w:rtl/>
        </w:rPr>
        <w:t xml:space="preserve"> ، ج 42 ، ص 213 ، ح 14 ؛ وص 251 ، ح 53.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DA43CA">
        <w:rPr>
          <w:rtl/>
        </w:rPr>
        <w:t>1242</w:t>
      </w:r>
      <w:r w:rsidRPr="004325D8">
        <w:rPr>
          <w:rStyle w:val="libBold2Char"/>
          <w:rtl/>
        </w:rPr>
        <w:t xml:space="preserve"> / 10.</w:t>
      </w:r>
      <w:r w:rsidRPr="00132E65">
        <w:rPr>
          <w:rtl/>
          <w:lang w:bidi="fa-IR"/>
        </w:rPr>
        <w:t xml:space="preserve"> سَعْدُ بْنُ عَبْدِ اللهِ ، عَنْ أَحْمَدَ بْنِ مُحَمَّدِ بْنِ عِيسى ، عَنِ الْحَسَنِ بْنِ عَلِيِّ بْنِ فَضَّالٍ ، عَنْ عَبْدِ اللهِ بْنِ </w:t>
      </w:r>
      <w:r>
        <w:rPr>
          <w:rStyle w:val="libFootnotenumChar"/>
          <w:rtl/>
        </w:rPr>
        <w:t>(1)</w:t>
      </w:r>
      <w:r w:rsidRPr="00132E65">
        <w:rPr>
          <w:rtl/>
          <w:lang w:bidi="fa-IR"/>
        </w:rPr>
        <w:t xml:space="preserve"> بُكَيْرٍ ، عَنْ بَعْضِ أَصْحَابِنَا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أَنَّهُ سَمِعَهُ يَقُولُ : « لَمَّا قُبِضَ أَمِيرُ الْمُؤْمِنِينَ </w:t>
      </w:r>
      <w:r w:rsidRPr="00071CF9">
        <w:rPr>
          <w:rStyle w:val="libAlaemChar"/>
          <w:rtl/>
        </w:rPr>
        <w:t>عليه‌السلام</w:t>
      </w:r>
      <w:r w:rsidRPr="00132E65">
        <w:rPr>
          <w:rtl/>
          <w:lang w:bidi="fa-IR"/>
        </w:rPr>
        <w:t xml:space="preserve"> ، أَخْرَجَهُ الْحَسَنُ وَ</w:t>
      </w:r>
      <w:r w:rsidR="009D3728">
        <w:rPr>
          <w:rFonts w:hint="cs"/>
          <w:rtl/>
          <w:lang w:bidi="fa-IR"/>
        </w:rPr>
        <w:t xml:space="preserve"> </w:t>
      </w:r>
      <w:r w:rsidRPr="00132E65">
        <w:rPr>
          <w:rtl/>
          <w:lang w:bidi="fa-IR"/>
        </w:rPr>
        <w:t>الْحُسَيْنُ و</w:t>
      </w:r>
      <w:r w:rsidR="009D3728">
        <w:rPr>
          <w:rFonts w:hint="cs"/>
          <w:rtl/>
          <w:lang w:bidi="fa-IR"/>
        </w:rPr>
        <w:t xml:space="preserve">َ </w:t>
      </w:r>
      <w:r w:rsidRPr="00132E65">
        <w:rPr>
          <w:rtl/>
          <w:lang w:bidi="fa-IR"/>
        </w:rPr>
        <w:t xml:space="preserve">رَجُلَانِ آخَرَانِ ، حَتّى إِذَا خَرَجُوا مِنَ الْكُوفَةِ تَرَكُوهَا عَنْ أَيْمَانِهِمْ </w:t>
      </w:r>
      <w:r>
        <w:rPr>
          <w:rStyle w:val="libFootnotenumChar"/>
          <w:rtl/>
        </w:rPr>
        <w:t>(2)</w:t>
      </w:r>
      <w:r w:rsidRPr="00132E65">
        <w:rPr>
          <w:rtl/>
          <w:lang w:bidi="fa-IR"/>
        </w:rPr>
        <w:t xml:space="preserve"> ، ثُمَّ أَخَذُوا فِي الْجَبَّانَةِ </w:t>
      </w:r>
      <w:r>
        <w:rPr>
          <w:rStyle w:val="libFootnotenumChar"/>
          <w:rtl/>
        </w:rPr>
        <w:t>(3)</w:t>
      </w:r>
      <w:r w:rsidRPr="00132E65">
        <w:rPr>
          <w:rtl/>
          <w:lang w:bidi="fa-IR"/>
        </w:rPr>
        <w:t xml:space="preserve"> حَتّى مَرُّوا بِهِ </w:t>
      </w:r>
      <w:r>
        <w:rPr>
          <w:rStyle w:val="libFootnotenumChar"/>
          <w:rtl/>
        </w:rPr>
        <w:t>(4)</w:t>
      </w:r>
      <w:r w:rsidRPr="00132E65">
        <w:rPr>
          <w:rtl/>
          <w:lang w:bidi="fa-IR"/>
        </w:rPr>
        <w:t xml:space="preserve"> إِلَى الْغَرِيِّ </w:t>
      </w:r>
      <w:r>
        <w:rPr>
          <w:rStyle w:val="libFootnotenumChar"/>
          <w:rtl/>
        </w:rPr>
        <w:t>(5)</w:t>
      </w:r>
      <w:r w:rsidRPr="00132E65">
        <w:rPr>
          <w:rtl/>
          <w:lang w:bidi="fa-IR"/>
        </w:rPr>
        <w:t xml:space="preserve"> ، فَدَفَنُوهُ </w:t>
      </w:r>
      <w:r>
        <w:rPr>
          <w:rStyle w:val="libFootnotenumChar"/>
          <w:rtl/>
        </w:rPr>
        <w:t>(6)</w:t>
      </w:r>
      <w:r w:rsidRPr="00132E65">
        <w:rPr>
          <w:rtl/>
          <w:lang w:bidi="fa-IR"/>
        </w:rPr>
        <w:t xml:space="preserve"> و</w:t>
      </w:r>
      <w:r w:rsidR="009D3728">
        <w:rPr>
          <w:rFonts w:hint="cs"/>
          <w:rtl/>
          <w:lang w:bidi="fa-IR"/>
        </w:rPr>
        <w:t xml:space="preserve">َ </w:t>
      </w:r>
      <w:r w:rsidRPr="00132E65">
        <w:rPr>
          <w:rtl/>
          <w:lang w:bidi="fa-IR"/>
        </w:rPr>
        <w:t>سَوَّوْا قَبْرَهُ و</w:t>
      </w:r>
      <w:r w:rsidR="009D3728">
        <w:rPr>
          <w:rFonts w:hint="cs"/>
          <w:rtl/>
          <w:lang w:bidi="fa-IR"/>
        </w:rPr>
        <w:t>َ</w:t>
      </w:r>
      <w:r w:rsidRPr="00132E65">
        <w:rPr>
          <w:rtl/>
          <w:lang w:bidi="fa-IR"/>
        </w:rPr>
        <w:t xml:space="preserve">انْصَرَفُوا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Heading2Center"/>
        <w:rPr>
          <w:rtl/>
          <w:lang w:bidi="fa-IR"/>
        </w:rPr>
      </w:pPr>
      <w:bookmarkStart w:id="160" w:name="_Toc459459156"/>
      <w:bookmarkStart w:id="161" w:name="_Toc34663125"/>
      <w:r w:rsidRPr="00132E65">
        <w:rPr>
          <w:rtl/>
          <w:lang w:bidi="fa-IR"/>
        </w:rPr>
        <w:t>114</w:t>
      </w:r>
      <w:r>
        <w:rPr>
          <w:rtl/>
          <w:lang w:bidi="fa-IR"/>
        </w:rPr>
        <w:t xml:space="preserve"> - </w:t>
      </w:r>
      <w:r w:rsidRPr="00132E65">
        <w:rPr>
          <w:rtl/>
          <w:lang w:bidi="fa-IR"/>
        </w:rPr>
        <w:t xml:space="preserve">بَابُ </w:t>
      </w:r>
      <w:r>
        <w:rPr>
          <w:rStyle w:val="libFootnotenumChar"/>
          <w:rtl/>
        </w:rPr>
        <w:t>(9)</w:t>
      </w:r>
      <w:r>
        <w:rPr>
          <w:rtl/>
          <w:lang w:bidi="fa-IR"/>
        </w:rPr>
        <w:t xml:space="preserve"> </w:t>
      </w:r>
      <w:r w:rsidRPr="00132E65">
        <w:rPr>
          <w:rtl/>
          <w:lang w:bidi="fa-IR"/>
        </w:rPr>
        <w:t xml:space="preserve">مَوْلِدِ الزَّهْرَاءِ فَاطِمَةَ </w:t>
      </w:r>
      <w:r>
        <w:rPr>
          <w:rStyle w:val="libFootnotenumChar"/>
          <w:rtl/>
        </w:rPr>
        <w:t>(10)</w:t>
      </w:r>
      <w:r>
        <w:rPr>
          <w:rtl/>
        </w:rPr>
        <w:t xml:space="preserve"> </w:t>
      </w:r>
      <w:r w:rsidRPr="00071CF9">
        <w:rPr>
          <w:rStyle w:val="libAlaemChar"/>
          <w:rtl/>
        </w:rPr>
        <w:t>عليها‌السلام</w:t>
      </w:r>
      <w:r w:rsidRPr="00132E65">
        <w:rPr>
          <w:rtl/>
          <w:lang w:bidi="fa-IR"/>
        </w:rPr>
        <w:t>‌</w:t>
      </w:r>
      <w:bookmarkEnd w:id="160"/>
      <w:bookmarkEnd w:id="161"/>
    </w:p>
    <w:p w:rsidR="000C39D1" w:rsidRPr="00132E65" w:rsidRDefault="000C39D1" w:rsidP="0025322F">
      <w:pPr>
        <w:pStyle w:val="libNormal0"/>
        <w:tabs>
          <w:tab w:val="left" w:pos="3968"/>
        </w:tabs>
        <w:rPr>
          <w:rtl/>
          <w:lang w:bidi="fa-IR"/>
        </w:rPr>
      </w:pPr>
      <w:r w:rsidRPr="00132E65">
        <w:rPr>
          <w:rtl/>
          <w:lang w:bidi="fa-IR"/>
        </w:rPr>
        <w:t>وُلِدَتْ فَاطِمَةُ</w:t>
      </w:r>
      <w:r>
        <w:rPr>
          <w:rtl/>
          <w:lang w:bidi="fa-IR"/>
        </w:rPr>
        <w:t xml:space="preserve"> - </w:t>
      </w:r>
      <w:r w:rsidRPr="00132E65">
        <w:rPr>
          <w:rtl/>
          <w:lang w:bidi="fa-IR"/>
        </w:rPr>
        <w:t>عَلَيْهَا و</w:t>
      </w:r>
      <w:r w:rsidR="00F4465C">
        <w:rPr>
          <w:rFonts w:hint="cs"/>
          <w:rtl/>
          <w:lang w:bidi="fa-IR"/>
        </w:rPr>
        <w:t xml:space="preserve">َ </w:t>
      </w:r>
      <w:r w:rsidRPr="00132E65">
        <w:rPr>
          <w:rtl/>
          <w:lang w:bidi="fa-IR"/>
        </w:rPr>
        <w:t>عَلى بَعْلِهَا السَّلَامُ</w:t>
      </w:r>
      <w:r>
        <w:rPr>
          <w:rtl/>
          <w:lang w:bidi="fa-IR"/>
        </w:rPr>
        <w:t xml:space="preserve"> - </w:t>
      </w:r>
      <w:r w:rsidRPr="00132E65">
        <w:rPr>
          <w:rtl/>
          <w:lang w:bidi="fa-IR"/>
        </w:rPr>
        <w:t xml:space="preserve">بَعْدَ مَبْعَثِ رَسُولِ اللهِ </w:t>
      </w:r>
      <w:r>
        <w:rPr>
          <w:rStyle w:val="libFootnotenumChar"/>
          <w:rtl/>
        </w:rPr>
        <w:t>(11)</w:t>
      </w:r>
      <w:r w:rsidRPr="00132E65">
        <w:rPr>
          <w:rtl/>
          <w:lang w:bidi="fa-IR"/>
        </w:rPr>
        <w:t xml:space="preserve"> </w:t>
      </w:r>
      <w:r w:rsidR="0025322F" w:rsidRPr="0093484F">
        <w:rPr>
          <w:rStyle w:val="libAlaemChar"/>
          <w:rFonts w:eastAsiaTheme="minorHAnsi"/>
          <w:rtl/>
        </w:rPr>
        <w:t>صلى‌الله‌عليه‌وآله</w:t>
      </w:r>
      <w:r w:rsidR="0025322F" w:rsidRPr="00132E65">
        <w:rPr>
          <w:rtl/>
          <w:lang w:bidi="fa-IR"/>
        </w:rPr>
        <w:t xml:space="preserve"> </w:t>
      </w:r>
      <w:r w:rsidRPr="00132E65">
        <w:rPr>
          <w:rtl/>
          <w:lang w:bidi="fa-IR"/>
        </w:rPr>
        <w:t>بِخَمْسِ سِنِينَ ؛ و</w:t>
      </w:r>
      <w:r w:rsidR="0025322F">
        <w:rPr>
          <w:rFonts w:hint="cs"/>
          <w:rtl/>
          <w:lang w:bidi="fa-IR"/>
        </w:rPr>
        <w:t xml:space="preserve">َ </w:t>
      </w:r>
      <w:r w:rsidRPr="00132E65">
        <w:rPr>
          <w:rtl/>
          <w:lang w:bidi="fa-IR"/>
        </w:rPr>
        <w:t xml:space="preserve">تُوُفِّيَتْ </w:t>
      </w:r>
      <w:r w:rsidRPr="00071CF9">
        <w:rPr>
          <w:rStyle w:val="libAlaemChar"/>
          <w:rtl/>
        </w:rPr>
        <w:t>عليها‌السلام</w:t>
      </w:r>
      <w:r w:rsidRPr="00132E65">
        <w:rPr>
          <w:rtl/>
          <w:lang w:bidi="fa-IR"/>
        </w:rPr>
        <w:t xml:space="preserve"> و</w:t>
      </w:r>
      <w:r w:rsidR="0025322F">
        <w:rPr>
          <w:rFonts w:hint="cs"/>
          <w:rtl/>
          <w:lang w:bidi="fa-IR"/>
        </w:rPr>
        <w:t xml:space="preserve">َ </w:t>
      </w:r>
      <w:r w:rsidRPr="00132E65">
        <w:rPr>
          <w:rtl/>
          <w:lang w:bidi="fa-IR"/>
        </w:rPr>
        <w:t>لَهَا ثَمَانَ عَشْرَةَ سَنَةً و</w:t>
      </w:r>
      <w:r w:rsidR="00262FA6">
        <w:rPr>
          <w:rFonts w:hint="cs"/>
          <w:rtl/>
          <w:lang w:bidi="fa-IR"/>
        </w:rPr>
        <w:t xml:space="preserve">َ </w:t>
      </w:r>
      <w:r w:rsidRPr="00132E65">
        <w:rPr>
          <w:rtl/>
          <w:lang w:bidi="fa-IR"/>
        </w:rPr>
        <w:t xml:space="preserve">خَمْسَةٌ وسَبْعُونَ يَوْماً </w:t>
      </w:r>
      <w:r>
        <w:rPr>
          <w:rStyle w:val="libFootnotenumChar"/>
          <w:rtl/>
        </w:rPr>
        <w:t>(12)</w:t>
      </w:r>
      <w:r w:rsidRPr="00132E65">
        <w:rPr>
          <w:rtl/>
          <w:lang w:bidi="fa-IR"/>
        </w:rPr>
        <w:t xml:space="preserve"> ؛ و</w:t>
      </w:r>
      <w:r w:rsidR="006D530C">
        <w:rPr>
          <w:rFonts w:hint="cs"/>
          <w:rtl/>
          <w:lang w:bidi="fa-IR"/>
        </w:rPr>
        <w:t xml:space="preserve">َ </w:t>
      </w:r>
      <w:r w:rsidRPr="00132E65">
        <w:rPr>
          <w:rtl/>
          <w:lang w:bidi="fa-IR"/>
        </w:rPr>
        <w:t xml:space="preserve">بَقِيَتْ بَعْدَ أَبِيهَا </w:t>
      </w:r>
      <w:r w:rsidRPr="0093484F">
        <w:rPr>
          <w:rStyle w:val="libAlaemChar"/>
          <w:rFonts w:eastAsiaTheme="minorHAnsi"/>
          <w:rtl/>
        </w:rPr>
        <w:t>صلى‌الله‌عليه‌وآله</w:t>
      </w:r>
      <w:r w:rsidRPr="00132E65">
        <w:rPr>
          <w:rtl/>
          <w:lang w:bidi="fa-IR"/>
        </w:rPr>
        <w:t xml:space="preserve"> خَمْسَةً و</w:t>
      </w:r>
      <w:r w:rsidR="006D530C">
        <w:rPr>
          <w:rFonts w:hint="cs"/>
          <w:rtl/>
          <w:lang w:bidi="fa-IR"/>
        </w:rPr>
        <w:t xml:space="preserve">َ </w:t>
      </w:r>
      <w:r w:rsidRPr="00132E65">
        <w:rPr>
          <w:rtl/>
          <w:lang w:bidi="fa-IR"/>
        </w:rPr>
        <w:t xml:space="preserve">سَبْعِينَ يَوْماً.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DA43CA">
        <w:rPr>
          <w:rtl/>
        </w:rPr>
        <w:t>1243</w:t>
      </w:r>
      <w:r w:rsidRPr="004325D8">
        <w:rPr>
          <w:rStyle w:val="libBold2Char"/>
          <w:rtl/>
        </w:rPr>
        <w:t xml:space="preserve"> / 1.</w:t>
      </w:r>
      <w:r w:rsidRPr="00132E65">
        <w:rPr>
          <w:rtl/>
          <w:lang w:bidi="fa-IR"/>
        </w:rPr>
        <w:t xml:space="preserve"> عَبْدُ اللهِ بْنُ جَعْفَرٍ و</w:t>
      </w:r>
      <w:r w:rsidR="006D530C">
        <w:rPr>
          <w:rFonts w:hint="cs"/>
          <w:rtl/>
          <w:lang w:bidi="fa-IR"/>
        </w:rPr>
        <w:t xml:space="preserve">َ </w:t>
      </w:r>
      <w:r w:rsidRPr="00132E65">
        <w:rPr>
          <w:rtl/>
          <w:lang w:bidi="fa-IR"/>
        </w:rPr>
        <w:t>سَعْدُ بْنُ عَبْدِ اللهِ جَمِيعاً ، عَنْ إِبْرَاهِيمَ بْنِ مَهْزِيَارَ ، عَنْ أَخِيهِ عَلِيِّ بْنِ مَهْزِيَارَ ، عَنِ الْحَسَنِ بْنِ مَحْبُوبٍ ، عَنْ هِشَامِ بْنِ سَالِمٍ ، عَنْ حَبِيبٍ‌</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جميع النسخ. وفي المطبوع </w:t>
      </w:r>
      <w:r>
        <w:rPr>
          <w:rtl/>
        </w:rPr>
        <w:t xml:space="preserve">: - </w:t>
      </w:r>
      <w:r w:rsidRPr="00132E65">
        <w:rPr>
          <w:rtl/>
        </w:rPr>
        <w:t>« بن »</w:t>
      </w:r>
      <w:r>
        <w:rPr>
          <w:rtl/>
        </w:rPr>
        <w:t>.</w:t>
      </w:r>
    </w:p>
    <w:p w:rsidR="000C39D1" w:rsidRPr="00132E65" w:rsidRDefault="000C39D1" w:rsidP="000C39D1">
      <w:pPr>
        <w:pStyle w:val="libFootnote0"/>
        <w:rPr>
          <w:rtl/>
          <w:lang w:bidi="fa-IR"/>
        </w:rPr>
      </w:pPr>
      <w:r>
        <w:rPr>
          <w:rtl/>
        </w:rPr>
        <w:t>(2).</w:t>
      </w:r>
      <w:r w:rsidRPr="00132E65">
        <w:rPr>
          <w:rtl/>
        </w:rPr>
        <w:t xml:space="preserve"> في « بس ، بف » وحاشية « ض » : « يمينهم »</w:t>
      </w:r>
      <w:r>
        <w:rPr>
          <w:rtl/>
        </w:rPr>
        <w:t>.</w:t>
      </w:r>
    </w:p>
    <w:p w:rsidR="000C39D1" w:rsidRPr="00132E65" w:rsidRDefault="000C39D1" w:rsidP="006D530C">
      <w:pPr>
        <w:pStyle w:val="libFootnote0"/>
        <w:rPr>
          <w:rtl/>
          <w:lang w:bidi="fa-IR"/>
        </w:rPr>
      </w:pPr>
      <w:r>
        <w:rPr>
          <w:rtl/>
        </w:rPr>
        <w:t>(3).</w:t>
      </w:r>
      <w:r w:rsidRPr="00132E65">
        <w:rPr>
          <w:rtl/>
        </w:rPr>
        <w:t xml:space="preserve"> « الجبّان » </w:t>
      </w:r>
      <w:r>
        <w:rPr>
          <w:rtl/>
        </w:rPr>
        <w:t>و «</w:t>
      </w:r>
      <w:r w:rsidRPr="00132E65">
        <w:rPr>
          <w:rtl/>
        </w:rPr>
        <w:t xml:space="preserve"> الجَبّانة » : الصحراء ، وتسمّى بهما المقابر ؛ لأنّها تكون في الصحراء ، تسمية الشي‌ء بموضعه. </w:t>
      </w:r>
      <w:r w:rsidRPr="00DA43CA">
        <w:rPr>
          <w:rtl/>
        </w:rPr>
        <w:t>النهاية</w:t>
      </w:r>
      <w:r w:rsidRPr="00132E65">
        <w:rPr>
          <w:rtl/>
        </w:rPr>
        <w:t xml:space="preserve"> ، ج 1 ، ص 236 ( جبن )</w:t>
      </w:r>
      <w:r>
        <w:rPr>
          <w:rtl/>
        </w:rPr>
        <w:t>.</w:t>
      </w:r>
      <w:r w:rsidR="006D530C">
        <w:rPr>
          <w:rFonts w:hint="cs"/>
          <w:rtl/>
        </w:rPr>
        <w:t xml:space="preserve">                         </w:t>
      </w:r>
      <w:r w:rsidR="003915A6">
        <w:rPr>
          <w:rFonts w:hint="cs"/>
          <w:rtl/>
        </w:rPr>
        <w:t xml:space="preserve">    </w:t>
      </w:r>
      <w:r w:rsidR="006D530C">
        <w:rPr>
          <w:rFonts w:hint="cs"/>
          <w:rtl/>
        </w:rPr>
        <w:t xml:space="preserve">    </w:t>
      </w:r>
      <w:r>
        <w:rPr>
          <w:rtl/>
        </w:rPr>
        <w:t>(4).</w:t>
      </w:r>
      <w:r w:rsidRPr="00132E65">
        <w:rPr>
          <w:rtl/>
        </w:rPr>
        <w:t xml:space="preserve"> في « ب »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(5).</w:t>
      </w:r>
      <w:r w:rsidRPr="00132E65">
        <w:rPr>
          <w:rtl/>
        </w:rPr>
        <w:t xml:space="preserve"> تقدّم معنى الغريّ ذيل الحديث 5 من هذا الباب.</w:t>
      </w:r>
    </w:p>
    <w:p w:rsidR="000C39D1" w:rsidRPr="00132E65" w:rsidRDefault="000C39D1" w:rsidP="000C39D1">
      <w:pPr>
        <w:pStyle w:val="libFootnote0"/>
        <w:rPr>
          <w:rtl/>
          <w:lang w:bidi="fa-IR"/>
        </w:rPr>
      </w:pPr>
      <w:r>
        <w:rPr>
          <w:rtl/>
        </w:rPr>
        <w:t>(6).</w:t>
      </w:r>
      <w:r w:rsidRPr="00132E65">
        <w:rPr>
          <w:rtl/>
        </w:rPr>
        <w:t xml:space="preserve"> في « ج ، ض » : « ودفنوه »</w:t>
      </w:r>
      <w:r>
        <w:rPr>
          <w:rtl/>
        </w:rPr>
        <w:t>.</w:t>
      </w:r>
    </w:p>
    <w:p w:rsidR="000C39D1" w:rsidRPr="00132E65" w:rsidRDefault="000C39D1" w:rsidP="000C39D1">
      <w:pPr>
        <w:pStyle w:val="libFootnote0"/>
        <w:rPr>
          <w:rtl/>
          <w:lang w:bidi="fa-IR"/>
        </w:rPr>
      </w:pPr>
      <w:r>
        <w:rPr>
          <w:rtl/>
        </w:rPr>
        <w:t>(7).</w:t>
      </w:r>
      <w:r w:rsidRPr="00132E65">
        <w:rPr>
          <w:rtl/>
        </w:rPr>
        <w:t xml:space="preserve"> هكذا في « ب ، ج ، ض ، ف ، بح ، بر ، بس ، بف »</w:t>
      </w:r>
      <w:r>
        <w:rPr>
          <w:rtl/>
        </w:rPr>
        <w:t>.</w:t>
      </w:r>
      <w:r w:rsidRPr="00132E65">
        <w:rPr>
          <w:rtl/>
        </w:rPr>
        <w:t xml:space="preserve"> وفي « بف » :</w:t>
      </w:r>
      <w:r>
        <w:rPr>
          <w:rtl/>
        </w:rPr>
        <w:t xml:space="preserve"> + </w:t>
      </w:r>
      <w:r w:rsidRPr="00132E65">
        <w:rPr>
          <w:rtl/>
        </w:rPr>
        <w:t>« عنه »</w:t>
      </w:r>
      <w:r>
        <w:rPr>
          <w:rtl/>
        </w:rPr>
        <w:t>.</w:t>
      </w:r>
      <w:r w:rsidRPr="00132E65">
        <w:rPr>
          <w:rtl/>
        </w:rPr>
        <w:t xml:space="preserve"> وفي المطبوع : « فانصرفوا »</w:t>
      </w:r>
      <w:r>
        <w:rPr>
          <w:rtl/>
        </w:rPr>
        <w:t>.</w:t>
      </w:r>
    </w:p>
    <w:tbl>
      <w:tblPr>
        <w:tblStyle w:val="TableGrid"/>
        <w:bidiVisual/>
        <w:tblW w:w="0" w:type="auto"/>
        <w:tblLook w:val="04A0" w:firstRow="1" w:lastRow="0" w:firstColumn="1" w:lastColumn="0" w:noHBand="0" w:noVBand="1"/>
      </w:tblPr>
      <w:tblGrid>
        <w:gridCol w:w="4261"/>
        <w:gridCol w:w="4262"/>
      </w:tblGrid>
      <w:tr w:rsidR="009A173E" w:rsidTr="009A173E">
        <w:tc>
          <w:tcPr>
            <w:tcW w:w="4261" w:type="dxa"/>
          </w:tcPr>
          <w:p w:rsidR="009A173E" w:rsidRDefault="009A173E" w:rsidP="000C39D1">
            <w:pPr>
              <w:pStyle w:val="libFootnote0"/>
              <w:rPr>
                <w:rtl/>
              </w:rPr>
            </w:pPr>
            <w:r>
              <w:rPr>
                <w:rtl/>
              </w:rPr>
              <w:t>(8).</w:t>
            </w:r>
            <w:r w:rsidRPr="009D1ACE">
              <w:rPr>
                <w:rStyle w:val="libFootnoteBoldChar"/>
                <w:rtl/>
              </w:rPr>
              <w:t>الوافي</w:t>
            </w:r>
            <w:r w:rsidRPr="00132E65">
              <w:rPr>
                <w:rtl/>
              </w:rPr>
              <w:t xml:space="preserve">،ج </w:t>
            </w:r>
            <w:r>
              <w:rPr>
                <w:rtl/>
              </w:rPr>
              <w:t>14</w:t>
            </w:r>
            <w:r w:rsidRPr="00132E65">
              <w:rPr>
                <w:rtl/>
              </w:rPr>
              <w:t>،ص</w:t>
            </w:r>
            <w:r>
              <w:rPr>
                <w:rtl/>
              </w:rPr>
              <w:t>1412</w:t>
            </w:r>
            <w:r w:rsidRPr="00132E65">
              <w:rPr>
                <w:rtl/>
              </w:rPr>
              <w:t>،ح14460.</w:t>
            </w:r>
          </w:p>
        </w:tc>
        <w:tc>
          <w:tcPr>
            <w:tcW w:w="4262" w:type="dxa"/>
          </w:tcPr>
          <w:p w:rsidR="009A173E" w:rsidRDefault="009A173E" w:rsidP="000C39D1">
            <w:pPr>
              <w:pStyle w:val="libFootnote0"/>
              <w:rPr>
                <w:rtl/>
              </w:rPr>
            </w:pPr>
            <w:r>
              <w:rPr>
                <w:rtl/>
              </w:rPr>
              <w:t>(9).</w:t>
            </w:r>
            <w:r w:rsidRPr="00132E65">
              <w:rPr>
                <w:rtl/>
              </w:rPr>
              <w:t>في«ب،ض،ف،بر،بس»</w:t>
            </w:r>
            <w:r>
              <w:rPr>
                <w:rtl/>
              </w:rPr>
              <w:t>:-</w:t>
            </w:r>
            <w:r w:rsidRPr="00132E65">
              <w:rPr>
                <w:rtl/>
              </w:rPr>
              <w:t>«باب»</w:t>
            </w:r>
            <w:r>
              <w:rPr>
                <w:rtl/>
              </w:rPr>
              <w:t>.</w:t>
            </w:r>
          </w:p>
        </w:tc>
      </w:tr>
    </w:tbl>
    <w:p w:rsidR="000C39D1" w:rsidRPr="00132E65" w:rsidRDefault="000C39D1" w:rsidP="000C39D1">
      <w:pPr>
        <w:pStyle w:val="libFootnote0"/>
        <w:rPr>
          <w:rtl/>
          <w:lang w:bidi="fa-IR"/>
        </w:rPr>
      </w:pPr>
      <w:r>
        <w:rPr>
          <w:rtl/>
        </w:rPr>
        <w:t>(10).</w:t>
      </w:r>
      <w:r w:rsidRPr="00132E65">
        <w:rPr>
          <w:rtl/>
        </w:rPr>
        <w:t xml:space="preserve"> في « ب ، بس » : « فاطمة الزهراء » بدل « الزهراء فاطمة »</w:t>
      </w:r>
      <w:r>
        <w:rPr>
          <w:rtl/>
        </w:rPr>
        <w:t>.</w:t>
      </w:r>
    </w:p>
    <w:p w:rsidR="000C39D1" w:rsidRPr="00132E65" w:rsidRDefault="000C39D1" w:rsidP="000C39D1">
      <w:pPr>
        <w:pStyle w:val="libFootnote0"/>
        <w:rPr>
          <w:rtl/>
          <w:lang w:bidi="fa-IR"/>
        </w:rPr>
      </w:pPr>
      <w:r>
        <w:rPr>
          <w:rtl/>
        </w:rPr>
        <w:t>(11).</w:t>
      </w:r>
      <w:r w:rsidRPr="00132E65">
        <w:rPr>
          <w:rtl/>
        </w:rPr>
        <w:t xml:space="preserve"> في حاشية « ج ، ف ، بح » والبحار : « النبيّ » بدل « رسول الله »</w:t>
      </w:r>
      <w:r>
        <w:rPr>
          <w:rtl/>
        </w:rPr>
        <w:t>.</w:t>
      </w:r>
    </w:p>
    <w:p w:rsidR="000C39D1" w:rsidRPr="00132E65" w:rsidRDefault="000C39D1" w:rsidP="000C39D1">
      <w:pPr>
        <w:pStyle w:val="libFootnote0"/>
        <w:rPr>
          <w:rtl/>
          <w:lang w:bidi="fa-IR"/>
        </w:rPr>
      </w:pPr>
      <w:r>
        <w:rPr>
          <w:rtl/>
        </w:rPr>
        <w:t>(12).</w:t>
      </w:r>
      <w:r w:rsidRPr="00132E65">
        <w:rPr>
          <w:rtl/>
        </w:rPr>
        <w:t xml:space="preserve"> في « بر » </w:t>
      </w:r>
      <w:r>
        <w:rPr>
          <w:rtl/>
        </w:rPr>
        <w:t xml:space="preserve">: - </w:t>
      </w:r>
      <w:r w:rsidRPr="00132E65">
        <w:rPr>
          <w:rtl/>
        </w:rPr>
        <w:t>« ولدت فاطمة</w:t>
      </w:r>
      <w:r>
        <w:rPr>
          <w:rtl/>
        </w:rPr>
        <w:t xml:space="preserve"> - </w:t>
      </w:r>
      <w:r w:rsidRPr="00132E65">
        <w:rPr>
          <w:rtl/>
        </w:rPr>
        <w:t>إلى</w:t>
      </w:r>
      <w:r>
        <w:rPr>
          <w:rtl/>
        </w:rPr>
        <w:t xml:space="preserve"> - </w:t>
      </w:r>
      <w:r w:rsidRPr="00132E65">
        <w:rPr>
          <w:rtl/>
        </w:rPr>
        <w:t>سبعون يوماً »</w:t>
      </w:r>
      <w:r>
        <w:rPr>
          <w:rtl/>
        </w:rPr>
        <w:t>.</w:t>
      </w:r>
    </w:p>
    <w:p w:rsidR="000C39D1" w:rsidRPr="00132E65" w:rsidRDefault="000C39D1" w:rsidP="000C39D1">
      <w:pPr>
        <w:pStyle w:val="libFootnote0"/>
        <w:rPr>
          <w:rtl/>
          <w:lang w:bidi="fa-IR"/>
        </w:rPr>
      </w:pPr>
      <w:r>
        <w:rPr>
          <w:rtl/>
        </w:rPr>
        <w:t>(13)</w:t>
      </w:r>
      <w:r w:rsidR="000E2EBD">
        <w:rPr>
          <w:rFonts w:hint="cs"/>
          <w:rtl/>
        </w:rPr>
        <w:t>.</w:t>
      </w:r>
      <w:r w:rsidRPr="00132E65">
        <w:rPr>
          <w:rtl/>
        </w:rPr>
        <w:t xml:space="preserve"> </w:t>
      </w:r>
      <w:r w:rsidRPr="009D1ACE">
        <w:rPr>
          <w:rStyle w:val="libFootnoteBoldChar"/>
          <w:rtl/>
        </w:rPr>
        <w:t>الوافي</w:t>
      </w:r>
      <w:r w:rsidRPr="00132E65">
        <w:rPr>
          <w:rtl/>
        </w:rPr>
        <w:t xml:space="preserve"> ، ج 3 ، ص 750 ، ذيل ح 1367 ؛ </w:t>
      </w:r>
      <w:r w:rsidRPr="00DA43CA">
        <w:rPr>
          <w:rtl/>
        </w:rPr>
        <w:t>البحار</w:t>
      </w:r>
      <w:r w:rsidRPr="00132E65">
        <w:rPr>
          <w:rtl/>
        </w:rPr>
        <w:t xml:space="preserve"> ، ج 43 ، ص 7 ، ح 10.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السِّجِسْتَانِيِّ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وُلِدَتْ فَاطِمَةُ بِنْتُ مُحَمَّدٍ </w:t>
      </w:r>
      <w:r w:rsidRPr="0093484F">
        <w:rPr>
          <w:rStyle w:val="libAlaemChar"/>
          <w:rFonts w:eastAsiaTheme="minorHAnsi"/>
          <w:rtl/>
        </w:rPr>
        <w:t>صلى‌الله‌عليه‌وآله</w:t>
      </w:r>
      <w:r w:rsidRPr="00132E65">
        <w:rPr>
          <w:rtl/>
          <w:lang w:bidi="fa-IR"/>
        </w:rPr>
        <w:t xml:space="preserve"> بَعْدَ مَبْعَثِ رَسُولِ اللهِ </w:t>
      </w:r>
      <w:r w:rsidRPr="0093484F">
        <w:rPr>
          <w:rStyle w:val="libAlaemChar"/>
          <w:rFonts w:eastAsiaTheme="minorHAnsi"/>
          <w:rtl/>
        </w:rPr>
        <w:t>صلى‌الله‌عليه‌وآله</w:t>
      </w:r>
      <w:r w:rsidRPr="00132E65">
        <w:rPr>
          <w:rtl/>
          <w:lang w:bidi="fa-IR"/>
        </w:rPr>
        <w:t xml:space="preserve"> بِخَمْسِ سِنِينَ ، و</w:t>
      </w:r>
      <w:r w:rsidR="00A8573B">
        <w:rPr>
          <w:rFonts w:hint="cs"/>
          <w:rtl/>
          <w:lang w:bidi="fa-IR"/>
        </w:rPr>
        <w:t xml:space="preserve">َ </w:t>
      </w:r>
      <w:r w:rsidRPr="00132E65">
        <w:rPr>
          <w:rtl/>
          <w:lang w:bidi="fa-IR"/>
        </w:rPr>
        <w:t>تُوُفِّيَتْ و</w:t>
      </w:r>
      <w:r w:rsidR="00A8573B">
        <w:rPr>
          <w:rFonts w:hint="cs"/>
          <w:rtl/>
          <w:lang w:bidi="fa-IR"/>
        </w:rPr>
        <w:t xml:space="preserve">َ </w:t>
      </w:r>
      <w:r w:rsidRPr="00132E65">
        <w:rPr>
          <w:rtl/>
          <w:lang w:bidi="fa-IR"/>
        </w:rPr>
        <w:t>لَهَا ثَمَانَ عَشْرَةَ سَنَةً و</w:t>
      </w:r>
      <w:r w:rsidR="00A8573B">
        <w:rPr>
          <w:rFonts w:hint="cs"/>
          <w:rtl/>
          <w:lang w:bidi="fa-IR"/>
        </w:rPr>
        <w:t>َ</w:t>
      </w:r>
      <w:r w:rsidRPr="00132E65">
        <w:rPr>
          <w:rtl/>
          <w:lang w:bidi="fa-IR"/>
        </w:rPr>
        <w:t>خَمْسَةٌ و</w:t>
      </w:r>
      <w:r w:rsidR="00A8573B">
        <w:rPr>
          <w:rFonts w:hint="cs"/>
          <w:rtl/>
          <w:lang w:bidi="fa-IR"/>
        </w:rPr>
        <w:t xml:space="preserve">َ </w:t>
      </w:r>
      <w:r w:rsidRPr="00132E65">
        <w:rPr>
          <w:rtl/>
          <w:lang w:bidi="fa-IR"/>
        </w:rPr>
        <w:t xml:space="preserve">سَبْعُونَ يَوْماً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DA43CA">
        <w:rPr>
          <w:rtl/>
        </w:rPr>
        <w:t>1244</w:t>
      </w:r>
      <w:r w:rsidRPr="004325D8">
        <w:rPr>
          <w:rStyle w:val="libBold2Char"/>
          <w:rtl/>
        </w:rPr>
        <w:t xml:space="preserve"> / 2.</w:t>
      </w:r>
      <w:r w:rsidRPr="00132E65">
        <w:rPr>
          <w:rtl/>
          <w:lang w:bidi="fa-IR"/>
        </w:rPr>
        <w:t xml:space="preserve"> مُحَمَّدُ بْنُ يَحْيى ، عَنْ أَحْمَدَ بْنِ مُحَمَّدٍ ، عَنِ ابْنِ مَحْبُوبٍ ، عَنِ ابْنِ </w:t>
      </w:r>
      <w:r w:rsidR="003915A6">
        <w:rPr>
          <w:rtl/>
          <w:lang w:bidi="fa-IR"/>
        </w:rPr>
        <w:t>رِئَابٍ ، عَنْ أَبِي عُبَيْدَةَ</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فَاطِمَةَ </w:t>
      </w:r>
      <w:r w:rsidRPr="00071CF9">
        <w:rPr>
          <w:rStyle w:val="libAlaemChar"/>
          <w:rtl/>
        </w:rPr>
        <w:t>عليها‌السلام</w:t>
      </w:r>
      <w:r w:rsidRPr="00132E65">
        <w:rPr>
          <w:rtl/>
          <w:lang w:bidi="fa-IR"/>
        </w:rPr>
        <w:t xml:space="preserve"> مَكَثَتْ بَعْدَ رَسُولِ اللهِ </w:t>
      </w:r>
      <w:r w:rsidRPr="0093484F">
        <w:rPr>
          <w:rStyle w:val="libAlaemChar"/>
          <w:rFonts w:eastAsiaTheme="minorHAnsi"/>
          <w:rtl/>
        </w:rPr>
        <w:t>صلى‌الله‌عليه‌وآله</w:t>
      </w:r>
      <w:r w:rsidRPr="00132E65">
        <w:rPr>
          <w:rtl/>
          <w:lang w:bidi="fa-IR"/>
        </w:rPr>
        <w:t xml:space="preserve"> خَمْسَةً وَ</w:t>
      </w:r>
      <w:r w:rsidR="00A8573B">
        <w:rPr>
          <w:rFonts w:hint="cs"/>
          <w:rtl/>
          <w:lang w:bidi="fa-IR"/>
        </w:rPr>
        <w:t xml:space="preserve"> </w:t>
      </w:r>
      <w:r w:rsidRPr="00132E65">
        <w:rPr>
          <w:rtl/>
          <w:lang w:bidi="fa-IR"/>
        </w:rPr>
        <w:t>سَبْعِينَ يَوْماً ، و</w:t>
      </w:r>
      <w:r w:rsidR="00A8573B">
        <w:rPr>
          <w:rFonts w:hint="cs"/>
          <w:rtl/>
          <w:lang w:bidi="fa-IR"/>
        </w:rPr>
        <w:t xml:space="preserve">َ </w:t>
      </w:r>
      <w:r w:rsidRPr="00132E65">
        <w:rPr>
          <w:rtl/>
          <w:lang w:bidi="fa-IR"/>
        </w:rPr>
        <w:t>كَانَ دَخَلَهَا حُزْنٌ شَدِيدٌ عَلى أَبِيهَا ، و</w:t>
      </w:r>
      <w:r w:rsidR="00A8573B">
        <w:rPr>
          <w:rFonts w:hint="cs"/>
          <w:rtl/>
          <w:lang w:bidi="fa-IR"/>
        </w:rPr>
        <w:t xml:space="preserve">َ </w:t>
      </w:r>
      <w:r w:rsidRPr="00132E65">
        <w:rPr>
          <w:rtl/>
          <w:lang w:bidi="fa-IR"/>
        </w:rPr>
        <w:t xml:space="preserve">كَانَ يَأْتِيهَا جَبْرَئِيلُ </w:t>
      </w:r>
      <w:r w:rsidRPr="00071CF9">
        <w:rPr>
          <w:rStyle w:val="libAlaemChar"/>
          <w:rtl/>
        </w:rPr>
        <w:t>عليه‌السلام</w:t>
      </w:r>
      <w:r w:rsidRPr="00132E65">
        <w:rPr>
          <w:rtl/>
          <w:lang w:bidi="fa-IR"/>
        </w:rPr>
        <w:t xml:space="preserve"> </w:t>
      </w:r>
      <w:r>
        <w:rPr>
          <w:rStyle w:val="libFootnotenumChar"/>
          <w:rtl/>
        </w:rPr>
        <w:t>(3)</w:t>
      </w:r>
      <w:r w:rsidRPr="00132E65">
        <w:rPr>
          <w:rtl/>
          <w:lang w:bidi="fa-IR"/>
        </w:rPr>
        <w:t xml:space="preserve"> ، فَيُحْسِنُ عَزَاءَهَا </w:t>
      </w:r>
      <w:r>
        <w:rPr>
          <w:rStyle w:val="libFootnotenumChar"/>
          <w:rtl/>
        </w:rPr>
        <w:t>(4)</w:t>
      </w:r>
      <w:r w:rsidRPr="00132E65">
        <w:rPr>
          <w:rtl/>
          <w:lang w:bidi="fa-IR"/>
        </w:rPr>
        <w:t xml:space="preserve"> عَلى أَبِيهَا ، و</w:t>
      </w:r>
      <w:r w:rsidR="00A8573B">
        <w:rPr>
          <w:rFonts w:hint="cs"/>
          <w:rtl/>
          <w:lang w:bidi="fa-IR"/>
        </w:rPr>
        <w:t xml:space="preserve">َ </w:t>
      </w:r>
      <w:r w:rsidRPr="00132E65">
        <w:rPr>
          <w:rtl/>
          <w:lang w:bidi="fa-IR"/>
        </w:rPr>
        <w:t>يُطَيِّبُ نَفْسَهَا ، و</w:t>
      </w:r>
      <w:r w:rsidR="00A8573B">
        <w:rPr>
          <w:rFonts w:hint="cs"/>
          <w:rtl/>
          <w:lang w:bidi="fa-IR"/>
        </w:rPr>
        <w:t xml:space="preserve">َ </w:t>
      </w:r>
      <w:r w:rsidRPr="00132E65">
        <w:rPr>
          <w:rtl/>
          <w:lang w:bidi="fa-IR"/>
        </w:rPr>
        <w:t xml:space="preserve">يُخْبِرُهَا </w:t>
      </w:r>
      <w:r>
        <w:rPr>
          <w:rStyle w:val="libFootnotenumChar"/>
          <w:rtl/>
        </w:rPr>
        <w:t>(5)</w:t>
      </w:r>
      <w:r w:rsidRPr="00132E65">
        <w:rPr>
          <w:rtl/>
          <w:lang w:bidi="fa-IR"/>
        </w:rPr>
        <w:t xml:space="preserve"> عَنْ أَبِيهَا و</w:t>
      </w:r>
      <w:r w:rsidR="00A8573B">
        <w:rPr>
          <w:rFonts w:hint="cs"/>
          <w:rtl/>
          <w:lang w:bidi="fa-IR"/>
        </w:rPr>
        <w:t xml:space="preserve">َ </w:t>
      </w:r>
      <w:r w:rsidRPr="00132E65">
        <w:rPr>
          <w:rtl/>
          <w:lang w:bidi="fa-IR"/>
        </w:rPr>
        <w:t>مَكَانِهِ ، و</w:t>
      </w:r>
      <w:r w:rsidR="00A8573B">
        <w:rPr>
          <w:rFonts w:hint="cs"/>
          <w:rtl/>
          <w:lang w:bidi="fa-IR"/>
        </w:rPr>
        <w:t xml:space="preserve">َ </w:t>
      </w:r>
      <w:r w:rsidRPr="00132E65">
        <w:rPr>
          <w:rtl/>
          <w:lang w:bidi="fa-IR"/>
        </w:rPr>
        <w:t>يُخْبِرُهَا بِمَا يَكُونُ بَعْدَهَا فِي ذُرِّيَّتِهَا ، و</w:t>
      </w:r>
      <w:r w:rsidR="00A8573B">
        <w:rPr>
          <w:rFonts w:hint="cs"/>
          <w:rtl/>
          <w:lang w:bidi="fa-IR"/>
        </w:rPr>
        <w:t xml:space="preserve">َ </w:t>
      </w:r>
      <w:r w:rsidRPr="00132E65">
        <w:rPr>
          <w:rtl/>
          <w:lang w:bidi="fa-IR"/>
        </w:rPr>
        <w:t xml:space="preserve">كَانَ عَلِيٌّ </w:t>
      </w:r>
      <w:r w:rsidRPr="00071CF9">
        <w:rPr>
          <w:rStyle w:val="libAlaemChar"/>
          <w:rtl/>
        </w:rPr>
        <w:t>عليه‌السلام</w:t>
      </w:r>
      <w:r w:rsidRPr="00132E65">
        <w:rPr>
          <w:rtl/>
          <w:lang w:bidi="fa-IR"/>
        </w:rPr>
        <w:t xml:space="preserve"> يَكْتُبُ ذلِكَ </w:t>
      </w:r>
      <w:r>
        <w:rPr>
          <w:rStyle w:val="libFootnotenumChar"/>
          <w:rtl/>
        </w:rPr>
        <w:t>(6)</w:t>
      </w:r>
      <w:r w:rsidRPr="00132E65">
        <w:rPr>
          <w:rtl/>
          <w:lang w:bidi="fa-IR"/>
        </w:rPr>
        <w:t xml:space="preserve">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DA43CA">
        <w:rPr>
          <w:rtl/>
        </w:rPr>
        <w:t>1245</w:t>
      </w:r>
      <w:r w:rsidRPr="004325D8">
        <w:rPr>
          <w:rStyle w:val="libBold2Char"/>
          <w:rtl/>
        </w:rPr>
        <w:t xml:space="preserve"> / 3.</w:t>
      </w:r>
      <w:r w:rsidRPr="00132E65">
        <w:rPr>
          <w:rtl/>
          <w:lang w:bidi="fa-IR"/>
        </w:rPr>
        <w:t xml:space="preserve"> مُحَمَّدُ بْنُ يَحْيى ، عَنِ الْعَمْرَكِيِّ بْنِ عَلِيٍّ ، عَنْ عَلِيِّ بْنِ جَعْفَرٍ :</w:t>
      </w:r>
    </w:p>
    <w:p w:rsidR="000C39D1" w:rsidRPr="00132E65" w:rsidRDefault="000C39D1" w:rsidP="000C39D1">
      <w:pPr>
        <w:pStyle w:val="libNormal"/>
        <w:rPr>
          <w:rtl/>
          <w:lang w:bidi="fa-IR"/>
        </w:rPr>
      </w:pPr>
      <w:r w:rsidRPr="00132E65">
        <w:rPr>
          <w:rtl/>
          <w:lang w:bidi="fa-IR"/>
        </w:rPr>
        <w:t xml:space="preserve">عَنْ </w:t>
      </w:r>
      <w:r>
        <w:rPr>
          <w:rStyle w:val="libFootnotenumChar"/>
          <w:rtl/>
        </w:rPr>
        <w:t>(8)</w:t>
      </w:r>
      <w:r w:rsidRPr="00132E65">
        <w:rPr>
          <w:rtl/>
          <w:lang w:bidi="fa-IR"/>
        </w:rPr>
        <w:t xml:space="preserve"> أَخِيهِ أَبِي الْحَسَنِ </w:t>
      </w:r>
      <w:r w:rsidRPr="00071CF9">
        <w:rPr>
          <w:rStyle w:val="libAlaemChar"/>
          <w:rtl/>
        </w:rPr>
        <w:t>عليه‌السلام</w:t>
      </w:r>
      <w:r w:rsidRPr="00132E65">
        <w:rPr>
          <w:rtl/>
          <w:lang w:bidi="fa-IR"/>
        </w:rPr>
        <w:t xml:space="preserve"> ، قَالَ : « إِنَّ فَاطِمَةَ </w:t>
      </w:r>
      <w:r w:rsidRPr="00071CF9">
        <w:rPr>
          <w:rStyle w:val="libAlaemChar"/>
          <w:rtl/>
        </w:rPr>
        <w:t>عليها‌السلام</w:t>
      </w:r>
      <w:r w:rsidRPr="00132E65">
        <w:rPr>
          <w:rtl/>
          <w:lang w:bidi="fa-IR"/>
        </w:rPr>
        <w:t xml:space="preserve"> صِدِّيقَةٌ شَهِيدَةٌ ، و</w:t>
      </w:r>
      <w:r w:rsidR="00A8573B">
        <w:rPr>
          <w:rFonts w:hint="cs"/>
          <w:rtl/>
          <w:lang w:bidi="fa-IR"/>
        </w:rPr>
        <w:t>َ</w:t>
      </w:r>
      <w:r w:rsidRPr="00132E65">
        <w:rPr>
          <w:rtl/>
          <w:lang w:bidi="fa-IR"/>
        </w:rPr>
        <w:t>إِنَّ بَنَاتِ‌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لقد ورد هذا الحديث هنا في نسخة « بف »</w:t>
      </w:r>
      <w:r>
        <w:rPr>
          <w:rtl/>
        </w:rPr>
        <w:t>.</w:t>
      </w:r>
      <w:r w:rsidRPr="00132E65">
        <w:rPr>
          <w:rtl/>
        </w:rPr>
        <w:t xml:space="preserve"> ولكن في سائر النسخ والمطبوع ورد في باب مولد أميرالمؤمنين </w:t>
      </w:r>
      <w:r w:rsidRPr="00A8573B">
        <w:rPr>
          <w:rStyle w:val="libFootnoteAlaemChar"/>
          <w:rtl/>
        </w:rPr>
        <w:t>عليه‌السلام</w:t>
      </w:r>
      <w:r w:rsidRPr="00132E65">
        <w:rPr>
          <w:rtl/>
        </w:rPr>
        <w:t xml:space="preserve"> بعد الحديث التاسع. والمناسب أن يذكر في هذا الباب ، ولعلّ ذكره في باب مولد أميرالمؤمنين </w:t>
      </w:r>
      <w:r w:rsidRPr="00A8573B">
        <w:rPr>
          <w:rStyle w:val="libFootnoteAlaemChar"/>
          <w:rtl/>
        </w:rPr>
        <w:t>عليه‌السلام</w:t>
      </w:r>
      <w:r w:rsidRPr="00132E65">
        <w:rPr>
          <w:rtl/>
        </w:rPr>
        <w:t xml:space="preserve"> من اشتباه النسّاخ ، كما أشار إليه المازندراني في شرحه ، ج 7 ، ص 211 ، والمجلسي في </w:t>
      </w:r>
      <w:r w:rsidRPr="009D1ACE">
        <w:rPr>
          <w:rStyle w:val="libFootnoteBoldChar"/>
          <w:rtl/>
        </w:rPr>
        <w:t>مرآة العقول</w:t>
      </w:r>
      <w:r w:rsidRPr="00132E65">
        <w:rPr>
          <w:rtl/>
        </w:rPr>
        <w:t xml:space="preserve"> ، ج 5 ، ص 311.</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750 ، ح 1367 ؛ </w:t>
      </w:r>
      <w:r w:rsidRPr="00DA43CA">
        <w:rPr>
          <w:rtl/>
        </w:rPr>
        <w:t>البحار</w:t>
      </w:r>
      <w:r w:rsidRPr="00132E65">
        <w:rPr>
          <w:rtl/>
        </w:rPr>
        <w:t xml:space="preserve"> ، ج 43 ، ص 9 ، ح 13.</w:t>
      </w:r>
    </w:p>
    <w:p w:rsidR="000C39D1" w:rsidRPr="00132E65" w:rsidRDefault="000C39D1" w:rsidP="000C39D1">
      <w:pPr>
        <w:pStyle w:val="libFootnote0"/>
        <w:rPr>
          <w:rtl/>
          <w:lang w:bidi="fa-IR"/>
        </w:rPr>
      </w:pPr>
      <w:r>
        <w:rPr>
          <w:rtl/>
        </w:rPr>
        <w:t>(3).</w:t>
      </w:r>
      <w:r w:rsidRPr="00132E65">
        <w:rPr>
          <w:rtl/>
        </w:rPr>
        <w:t xml:space="preserve"> في </w:t>
      </w:r>
      <w:r w:rsidRPr="000577A7">
        <w:rPr>
          <w:rStyle w:val="libFootnoteBoldChar"/>
          <w:rtl/>
        </w:rPr>
        <w:t>الكافي</w:t>
      </w:r>
      <w:r w:rsidRPr="00132E65">
        <w:rPr>
          <w:rtl/>
        </w:rPr>
        <w:t xml:space="preserve"> ، ح 641 والبصائر والبحار : « كان جبرئيل </w:t>
      </w:r>
      <w:r w:rsidRPr="00A8573B">
        <w:rPr>
          <w:rStyle w:val="libFootnoteAlaemChar"/>
          <w:rtl/>
        </w:rPr>
        <w:t>عليه‌السلام</w:t>
      </w:r>
      <w:r w:rsidRPr="00132E65">
        <w:rPr>
          <w:rtl/>
        </w:rPr>
        <w:t xml:space="preserve"> يأتيها »</w:t>
      </w:r>
      <w:r>
        <w:rPr>
          <w:rtl/>
        </w:rPr>
        <w:t>.</w:t>
      </w:r>
    </w:p>
    <w:p w:rsidR="000C39D1" w:rsidRPr="00132E65" w:rsidRDefault="000C39D1" w:rsidP="000C39D1">
      <w:pPr>
        <w:pStyle w:val="libFootnote0"/>
        <w:rPr>
          <w:rtl/>
          <w:lang w:bidi="fa-IR"/>
        </w:rPr>
      </w:pPr>
      <w:r>
        <w:rPr>
          <w:rtl/>
        </w:rPr>
        <w:t>(4).</w:t>
      </w:r>
      <w:r w:rsidRPr="00132E65">
        <w:rPr>
          <w:rtl/>
        </w:rPr>
        <w:t xml:space="preserve"> « العزاء » : الصبر ، أو حسنه. </w:t>
      </w:r>
      <w:r w:rsidRPr="00DA43CA">
        <w:rPr>
          <w:rtl/>
        </w:rPr>
        <w:t>القاموس المحيط</w:t>
      </w:r>
      <w:r w:rsidRPr="00132E65">
        <w:rPr>
          <w:rtl/>
        </w:rPr>
        <w:t xml:space="preserve"> ، ج 2 ، ص 1718 ( عزى )</w:t>
      </w:r>
      <w:r>
        <w:rPr>
          <w:rtl/>
        </w:rPr>
        <w:t>.</w:t>
      </w:r>
    </w:p>
    <w:p w:rsidR="000C39D1" w:rsidRPr="00132E65" w:rsidRDefault="000C39D1" w:rsidP="000C39D1">
      <w:pPr>
        <w:pStyle w:val="libFootnote0"/>
        <w:rPr>
          <w:rtl/>
          <w:lang w:bidi="fa-IR"/>
        </w:rPr>
      </w:pPr>
      <w:r>
        <w:rPr>
          <w:rtl/>
        </w:rPr>
        <w:t>(5).</w:t>
      </w:r>
      <w:r w:rsidRPr="00132E65">
        <w:rPr>
          <w:rtl/>
        </w:rPr>
        <w:t xml:space="preserve"> في « ج » : « ويخبر » بدون الضمير.</w:t>
      </w:r>
    </w:p>
    <w:p w:rsidR="000C39D1" w:rsidRPr="00132E65" w:rsidRDefault="000C39D1" w:rsidP="000C39D1">
      <w:pPr>
        <w:pStyle w:val="libFootnote0"/>
        <w:rPr>
          <w:rtl/>
          <w:lang w:bidi="fa-IR"/>
        </w:rPr>
      </w:pPr>
      <w:r>
        <w:rPr>
          <w:rtl/>
        </w:rPr>
        <w:t>(6).</w:t>
      </w:r>
      <w:r w:rsidRPr="00132E65">
        <w:rPr>
          <w:rtl/>
        </w:rPr>
        <w:t xml:space="preserve"> في البحار ، ج 22 :</w:t>
      </w:r>
      <w:r>
        <w:rPr>
          <w:rtl/>
        </w:rPr>
        <w:t xml:space="preserve"> + </w:t>
      </w:r>
      <w:r w:rsidRPr="00132E65">
        <w:rPr>
          <w:rtl/>
        </w:rPr>
        <w:t xml:space="preserve">« فهذا مصحف فاطمة </w:t>
      </w:r>
      <w:r w:rsidRPr="00A8573B">
        <w:rPr>
          <w:rStyle w:val="libFootnoteAlaemChar"/>
          <w:rtl/>
        </w:rPr>
        <w:t>عليها‌السلام</w:t>
      </w:r>
      <w:r w:rsidRPr="00132E65">
        <w:rPr>
          <w:rtl/>
        </w:rPr>
        <w:t xml:space="preserve"> »</w:t>
      </w:r>
      <w:r>
        <w:rPr>
          <w:rtl/>
        </w:rPr>
        <w:t>.</w:t>
      </w:r>
    </w:p>
    <w:p w:rsidR="000C39D1" w:rsidRPr="00132E65" w:rsidRDefault="000C39D1" w:rsidP="00A8573B">
      <w:pPr>
        <w:pStyle w:val="libFootnote0"/>
        <w:rPr>
          <w:rtl/>
          <w:lang w:bidi="fa-IR"/>
        </w:rPr>
      </w:pPr>
      <w:r>
        <w:rPr>
          <w:rtl/>
        </w:rPr>
        <w:t>(7).</w:t>
      </w:r>
      <w:r w:rsidRPr="00132E65">
        <w:rPr>
          <w:rtl/>
        </w:rPr>
        <w:t xml:space="preserve"> </w:t>
      </w:r>
      <w:r w:rsidRPr="000577A7">
        <w:rPr>
          <w:rStyle w:val="libFootnoteBoldChar"/>
          <w:rtl/>
        </w:rPr>
        <w:t>الكافي</w:t>
      </w:r>
      <w:r w:rsidRPr="00132E65">
        <w:rPr>
          <w:rtl/>
        </w:rPr>
        <w:t xml:space="preserve"> ، كتاب الحجّة ، باب فيه ذكر الصحيفة والجفر</w:t>
      </w:r>
      <w:r>
        <w:rPr>
          <w:rtl/>
        </w:rPr>
        <w:t xml:space="preserve"> ..</w:t>
      </w:r>
      <w:r w:rsidRPr="00132E65">
        <w:rPr>
          <w:rtl/>
        </w:rPr>
        <w:t xml:space="preserve">. ، ح 641 ، مع زيادة. وفي </w:t>
      </w:r>
      <w:r w:rsidRPr="007A1104">
        <w:rPr>
          <w:rStyle w:val="libFootnoteBoldChar"/>
          <w:rtl/>
        </w:rPr>
        <w:t>بصائر الدرجات</w:t>
      </w:r>
      <w:r w:rsidRPr="00132E65">
        <w:rPr>
          <w:rtl/>
        </w:rPr>
        <w:t xml:space="preserve"> ، ص 153 ، ح 6 ، عن أحمد بن محمّد ومحمّد بن الحسين ، عن الحسن بن محبوب ، مع زيادة</w:t>
      </w:r>
      <w:r w:rsidR="00A8573B">
        <w:rPr>
          <w:rFonts w:hint="cs"/>
          <w:rtl/>
        </w:rPr>
        <w:t>.</w:t>
      </w:r>
      <w:r w:rsidRPr="009D1ACE">
        <w:rPr>
          <w:rStyle w:val="libFootnoteBoldChar"/>
          <w:rtl/>
        </w:rPr>
        <w:t>الوافي</w:t>
      </w:r>
      <w:r w:rsidRPr="00132E65">
        <w:rPr>
          <w:rtl/>
        </w:rPr>
        <w:t xml:space="preserve"> ، ج 3 ، ص 745 ، ح 1358 ؛ </w:t>
      </w:r>
      <w:r w:rsidRPr="00DA43CA">
        <w:rPr>
          <w:rtl/>
        </w:rPr>
        <w:t>البحار</w:t>
      </w:r>
      <w:r w:rsidRPr="00132E65">
        <w:rPr>
          <w:rtl/>
        </w:rPr>
        <w:t xml:space="preserve"> ، ج 22 ، ص 545 ، ح 63.</w:t>
      </w:r>
    </w:p>
    <w:p w:rsidR="000C39D1" w:rsidRPr="00132E65" w:rsidRDefault="000C39D1" w:rsidP="000C39D1">
      <w:pPr>
        <w:pStyle w:val="libFootnote0"/>
        <w:rPr>
          <w:rtl/>
          <w:lang w:bidi="fa-IR"/>
        </w:rPr>
      </w:pPr>
      <w:r>
        <w:rPr>
          <w:rtl/>
        </w:rPr>
        <w:t>(8).</w:t>
      </w:r>
      <w:r w:rsidRPr="00132E65">
        <w:rPr>
          <w:rtl/>
        </w:rPr>
        <w:t xml:space="preserve"> هكذا في جميع النسخ. وفي المطبوع </w:t>
      </w:r>
      <w:r>
        <w:rPr>
          <w:rtl/>
        </w:rPr>
        <w:t xml:space="preserve">: - </w:t>
      </w:r>
      <w:r w:rsidRPr="00132E65">
        <w:rPr>
          <w:rtl/>
        </w:rPr>
        <w:t>« عن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الْأَنْبِيَاءِ لَايَطْمِثْنَ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19512B">
        <w:rPr>
          <w:rtl/>
        </w:rPr>
        <w:t>1246</w:t>
      </w:r>
      <w:r w:rsidRPr="004325D8">
        <w:rPr>
          <w:rStyle w:val="libBold2Char"/>
          <w:rtl/>
        </w:rPr>
        <w:t xml:space="preserve"> / 4.</w:t>
      </w:r>
      <w:r w:rsidRPr="00132E65">
        <w:rPr>
          <w:rtl/>
          <w:lang w:bidi="fa-IR"/>
        </w:rPr>
        <w:t xml:space="preserve"> أَحْمَدُ بْنُ مِهْرَانَ</w:t>
      </w:r>
      <w:r>
        <w:rPr>
          <w:rtl/>
          <w:lang w:bidi="fa-IR"/>
        </w:rPr>
        <w:t xml:space="preserve"> - </w:t>
      </w:r>
      <w:r w:rsidRPr="00132E65">
        <w:rPr>
          <w:rtl/>
          <w:lang w:bidi="fa-IR"/>
        </w:rPr>
        <w:t>رَحِمَهُ اللهُ</w:t>
      </w:r>
      <w:r>
        <w:rPr>
          <w:rtl/>
          <w:lang w:bidi="fa-IR"/>
        </w:rPr>
        <w:t xml:space="preserve"> - </w:t>
      </w:r>
      <w:r w:rsidRPr="00132E65">
        <w:rPr>
          <w:rtl/>
          <w:lang w:bidi="fa-IR"/>
        </w:rPr>
        <w:t>رَفَعَهُ و</w:t>
      </w:r>
      <w:r w:rsidR="00CA4DA0">
        <w:rPr>
          <w:rFonts w:hint="cs"/>
          <w:rtl/>
          <w:lang w:bidi="fa-IR"/>
        </w:rPr>
        <w:t xml:space="preserve">َ </w:t>
      </w:r>
      <w:r w:rsidRPr="00132E65">
        <w:rPr>
          <w:rtl/>
          <w:lang w:bidi="fa-IR"/>
        </w:rPr>
        <w:t xml:space="preserve">أَحْمَدُ بْنُ إِدْرِيسَ ، عَنْ مُحَمَّدِ بْنِ عَبْدِ الْجَبَّارِ الشَّيْبَانِيِّ ، قَالَ : حَدَّثَنِي الْقَاسِمُ بْنُ مُحَمَّدٍ الرَّازِيُّ ، قَالَ : حَدَّثَنَا </w:t>
      </w:r>
      <w:r>
        <w:rPr>
          <w:rStyle w:val="libFootnotenumChar"/>
          <w:rtl/>
        </w:rPr>
        <w:t>(3)</w:t>
      </w:r>
      <w:r w:rsidRPr="00132E65">
        <w:rPr>
          <w:rtl/>
          <w:lang w:bidi="fa-IR"/>
        </w:rPr>
        <w:t xml:space="preserve"> عَلِيُّ بْنُ مُحَمَّدٍ الْهُرْمُزَانِيُّ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الْحُسَيْنِ بْنِ عَلِيٍّ </w:t>
      </w:r>
      <w:r w:rsidRPr="00071CF9">
        <w:rPr>
          <w:rStyle w:val="libAlaemChar"/>
          <w:rtl/>
        </w:rPr>
        <w:t>عليهما‌السلام</w:t>
      </w:r>
      <w:r w:rsidRPr="00132E65">
        <w:rPr>
          <w:rtl/>
          <w:lang w:bidi="fa-IR"/>
        </w:rPr>
        <w:t xml:space="preserve"> ، قَالَ : « لَمَّا قُبِضَتْ فَاطِمَةُ </w:t>
      </w:r>
      <w:r w:rsidRPr="00071CF9">
        <w:rPr>
          <w:rStyle w:val="libAlaemChar"/>
          <w:rtl/>
        </w:rPr>
        <w:t>عليها‌السلام</w:t>
      </w:r>
      <w:r w:rsidRPr="00132E65">
        <w:rPr>
          <w:rtl/>
          <w:lang w:bidi="fa-IR"/>
        </w:rPr>
        <w:t xml:space="preserve"> ، دَفَنَهَا أَمِيرُ الْمُؤْمِنِينَ </w:t>
      </w:r>
      <w:r w:rsidRPr="00071CF9">
        <w:rPr>
          <w:rStyle w:val="libAlaemChar"/>
          <w:rtl/>
        </w:rPr>
        <w:t>عليه‌السلام</w:t>
      </w:r>
      <w:r w:rsidRPr="00132E65">
        <w:rPr>
          <w:rtl/>
          <w:lang w:bidi="fa-IR"/>
        </w:rPr>
        <w:t xml:space="preserve"> سِرّاً ، و</w:t>
      </w:r>
      <w:r w:rsidR="00CA4DA0">
        <w:rPr>
          <w:rFonts w:hint="cs"/>
          <w:rtl/>
          <w:lang w:bidi="fa-IR"/>
        </w:rPr>
        <w:t xml:space="preserve">َ </w:t>
      </w:r>
      <w:r w:rsidRPr="00132E65">
        <w:rPr>
          <w:rtl/>
          <w:lang w:bidi="fa-IR"/>
        </w:rPr>
        <w:t xml:space="preserve">عَفَا </w:t>
      </w:r>
      <w:r>
        <w:rPr>
          <w:rStyle w:val="libFootnotenumChar"/>
          <w:rtl/>
        </w:rPr>
        <w:t>(5)</w:t>
      </w:r>
      <w:r w:rsidRPr="00132E65">
        <w:rPr>
          <w:rtl/>
          <w:lang w:bidi="fa-IR"/>
        </w:rPr>
        <w:t xml:space="preserve"> عَلى مَوْضِعِ قَبْرِهَا ، ثُمَّ قَامَ ، فَحَوَّلَ و</w:t>
      </w:r>
      <w:r w:rsidR="00CA4DA0">
        <w:rPr>
          <w:rFonts w:hint="cs"/>
          <w:rtl/>
          <w:lang w:bidi="fa-IR"/>
        </w:rPr>
        <w:t>َ</w:t>
      </w:r>
      <w:r w:rsidRPr="00132E65">
        <w:rPr>
          <w:rtl/>
          <w:lang w:bidi="fa-IR"/>
        </w:rPr>
        <w:t xml:space="preserve">جْهَهُ إِلى قَبْرِ رَسُولِ اللهِ </w:t>
      </w:r>
      <w:r w:rsidRPr="0093484F">
        <w:rPr>
          <w:rStyle w:val="libAlaemChar"/>
          <w:rFonts w:eastAsiaTheme="minorHAnsi"/>
          <w:rtl/>
        </w:rPr>
        <w:t>صلى‌الله‌عليه‌وآله</w:t>
      </w:r>
      <w:r w:rsidRPr="00132E65">
        <w:rPr>
          <w:rtl/>
          <w:lang w:bidi="fa-IR"/>
        </w:rPr>
        <w:t xml:space="preserve"> ، فَقَالَ </w:t>
      </w:r>
      <w:r>
        <w:rPr>
          <w:rStyle w:val="libFootnotenumChar"/>
          <w:rtl/>
        </w:rPr>
        <w:t>(6)</w:t>
      </w:r>
      <w:r w:rsidRPr="00132E65">
        <w:rPr>
          <w:rtl/>
          <w:lang w:bidi="fa-IR"/>
        </w:rPr>
        <w:t xml:space="preserve"> : السَّلَامُ عَلَيْكَ يَا رَسُولَ اللهِ عَنِّي ؛ و</w:t>
      </w:r>
      <w:r w:rsidR="00CA4DA0">
        <w:rPr>
          <w:rFonts w:hint="cs"/>
          <w:rtl/>
          <w:lang w:bidi="fa-IR"/>
        </w:rPr>
        <w:t xml:space="preserve">َ </w:t>
      </w:r>
      <w:r w:rsidRPr="00132E65">
        <w:rPr>
          <w:rtl/>
          <w:lang w:bidi="fa-IR"/>
        </w:rPr>
        <w:t>السَّلَامُ عَلَيْكَ عَنِ ابْنَتِكَ وَزَائِرَتِكَ و</w:t>
      </w:r>
      <w:r w:rsidR="00CA4DA0">
        <w:rPr>
          <w:rFonts w:hint="cs"/>
          <w:rtl/>
          <w:lang w:bidi="fa-IR"/>
        </w:rPr>
        <w:t xml:space="preserve">َ </w:t>
      </w:r>
      <w:r w:rsidRPr="00132E65">
        <w:rPr>
          <w:rtl/>
          <w:lang w:bidi="fa-IR"/>
        </w:rPr>
        <w:t xml:space="preserve">الْبَائِتَةِ فِي الثَّرى </w:t>
      </w:r>
      <w:r>
        <w:rPr>
          <w:rStyle w:val="libFootnotenumChar"/>
          <w:rtl/>
        </w:rPr>
        <w:t>(7)</w:t>
      </w:r>
      <w:r w:rsidRPr="00132E65">
        <w:rPr>
          <w:rtl/>
          <w:lang w:bidi="fa-IR"/>
        </w:rPr>
        <w:t xml:space="preserve"> بِبُقْعَتِكَ </w:t>
      </w:r>
      <w:r>
        <w:rPr>
          <w:rStyle w:val="libFootnotenumChar"/>
          <w:rtl/>
        </w:rPr>
        <w:t>(8)</w:t>
      </w:r>
      <w:r w:rsidRPr="00132E65">
        <w:rPr>
          <w:rtl/>
          <w:lang w:bidi="fa-IR"/>
        </w:rPr>
        <w:t xml:space="preserve"> و</w:t>
      </w:r>
      <w:r w:rsidR="00CA4DA0">
        <w:rPr>
          <w:rFonts w:hint="cs"/>
          <w:rtl/>
          <w:lang w:bidi="fa-IR"/>
        </w:rPr>
        <w:t xml:space="preserve">َ </w:t>
      </w:r>
      <w:r w:rsidRPr="00132E65">
        <w:rPr>
          <w:rtl/>
          <w:lang w:bidi="fa-IR"/>
        </w:rPr>
        <w:t xml:space="preserve">الْمُخْتَارِ </w:t>
      </w:r>
      <w:r>
        <w:rPr>
          <w:rStyle w:val="libFootnotenumChar"/>
          <w:rtl/>
        </w:rPr>
        <w:t>(9)</w:t>
      </w:r>
      <w:r w:rsidRPr="00132E65">
        <w:rPr>
          <w:rtl/>
          <w:lang w:bidi="fa-IR"/>
        </w:rPr>
        <w:t xml:space="preserve"> اللهُ لَهَا سُرْعَةَ اللِّحَاقِ بِكَ ، قَلَّ‌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طَمَثَتِ المرأة طَمْثاً من باب ضرب ، إذا حاضت. </w:t>
      </w:r>
      <w:r w:rsidRPr="0019512B">
        <w:rPr>
          <w:rtl/>
        </w:rPr>
        <w:t>المصباح المنير</w:t>
      </w:r>
      <w:r w:rsidRPr="00132E65">
        <w:rPr>
          <w:rtl/>
        </w:rPr>
        <w:t xml:space="preserve"> ، ص 377 ( طمث )</w:t>
      </w:r>
      <w:r>
        <w:rPr>
          <w:rtl/>
        </w:rPr>
        <w:t>.</w:t>
      </w:r>
    </w:p>
    <w:p w:rsidR="000C39D1" w:rsidRPr="00132E65" w:rsidRDefault="000C39D1" w:rsidP="00CA4DA0">
      <w:pPr>
        <w:pStyle w:val="libFootnote0"/>
        <w:rPr>
          <w:rtl/>
          <w:lang w:bidi="fa-IR"/>
        </w:rPr>
      </w:pPr>
      <w:r>
        <w:rPr>
          <w:rtl/>
        </w:rPr>
        <w:t>(2).</w:t>
      </w:r>
      <w:r w:rsidRPr="00132E65">
        <w:rPr>
          <w:rtl/>
        </w:rPr>
        <w:t xml:space="preserve"> </w:t>
      </w:r>
      <w:r w:rsidRPr="0019512B">
        <w:rPr>
          <w:rtl/>
        </w:rPr>
        <w:t>علل الشرائع</w:t>
      </w:r>
      <w:r w:rsidRPr="00132E65">
        <w:rPr>
          <w:rtl/>
        </w:rPr>
        <w:t xml:space="preserve"> ، ص 290 ، ح 1 ، بسند آخر عن أبي جعفر </w:t>
      </w:r>
      <w:r w:rsidRPr="00CA4DA0">
        <w:rPr>
          <w:rStyle w:val="libFootnoteAlaemChar"/>
          <w:rtl/>
        </w:rPr>
        <w:t>عليه‌السلام</w:t>
      </w:r>
      <w:r w:rsidRPr="00132E65">
        <w:rPr>
          <w:rtl/>
        </w:rPr>
        <w:t xml:space="preserve"> ، قال : « إنّ بنات الأنبياء لا يطمثن ، وإنّما الطمث عقوبة ، وأوّل من طمثت سارة »</w:t>
      </w:r>
      <w:r w:rsidR="00CA4DA0">
        <w:rPr>
          <w:rFonts w:hint="cs"/>
          <w:rtl/>
        </w:rPr>
        <w:t>.</w:t>
      </w:r>
      <w:r w:rsidRPr="009D1ACE">
        <w:rPr>
          <w:rStyle w:val="libFootnoteBoldChar"/>
          <w:rtl/>
        </w:rPr>
        <w:t>الوافي</w:t>
      </w:r>
      <w:r w:rsidRPr="00132E65">
        <w:rPr>
          <w:rtl/>
        </w:rPr>
        <w:t xml:space="preserve"> ، ج 3 ، ص 745 ، ح 1359.</w:t>
      </w:r>
    </w:p>
    <w:p w:rsidR="000C39D1" w:rsidRPr="00132E65" w:rsidRDefault="000C39D1" w:rsidP="000C39D1">
      <w:pPr>
        <w:pStyle w:val="libFootnote0"/>
        <w:rPr>
          <w:rtl/>
          <w:lang w:bidi="fa-IR"/>
        </w:rPr>
      </w:pPr>
      <w:r>
        <w:rPr>
          <w:rtl/>
        </w:rPr>
        <w:t>(3).</w:t>
      </w:r>
      <w:r w:rsidRPr="00132E65">
        <w:rPr>
          <w:rtl/>
        </w:rPr>
        <w:t xml:space="preserve"> في « ض ، بر ، بس » والبحار : « حدّثني »</w:t>
      </w:r>
      <w:r>
        <w:rPr>
          <w:rtl/>
        </w:rPr>
        <w:t>.</w:t>
      </w:r>
    </w:p>
    <w:p w:rsidR="000C39D1" w:rsidRPr="00132E65" w:rsidRDefault="000C39D1" w:rsidP="000C39D1">
      <w:pPr>
        <w:pStyle w:val="libFootnote0"/>
        <w:rPr>
          <w:rtl/>
          <w:lang w:bidi="fa-IR"/>
        </w:rPr>
      </w:pPr>
      <w:r>
        <w:rPr>
          <w:rtl/>
        </w:rPr>
        <w:t>(4).</w:t>
      </w:r>
      <w:r w:rsidRPr="00132E65">
        <w:rPr>
          <w:rtl/>
        </w:rPr>
        <w:t xml:space="preserve"> في « ض ، بر » : « الهرمزائي »</w:t>
      </w:r>
      <w:r>
        <w:rPr>
          <w:rtl/>
        </w:rPr>
        <w:t>.</w:t>
      </w:r>
      <w:r w:rsidRPr="00132E65">
        <w:rPr>
          <w:rtl/>
        </w:rPr>
        <w:t xml:space="preserve"> وفي « ف ، بح ، بس » : « الهرمزاي »</w:t>
      </w:r>
      <w:r>
        <w:rPr>
          <w:rtl/>
        </w:rPr>
        <w:t>.</w:t>
      </w:r>
      <w:r w:rsidRPr="00132E65">
        <w:rPr>
          <w:rtl/>
        </w:rPr>
        <w:t xml:space="preserve"> وفي حاشية « ج » : « الهرمزي »</w:t>
      </w:r>
      <w:r>
        <w:rPr>
          <w:rtl/>
        </w:rPr>
        <w:t>.</w:t>
      </w:r>
      <w:r w:rsidRPr="00132E65">
        <w:rPr>
          <w:rtl/>
        </w:rPr>
        <w:t xml:space="preserve"> وفي حاشية « بف » : « البرمراني »</w:t>
      </w:r>
      <w:r>
        <w:rPr>
          <w:rtl/>
        </w:rPr>
        <w:t>.</w:t>
      </w:r>
    </w:p>
    <w:p w:rsidR="000C39D1" w:rsidRPr="0073465D" w:rsidRDefault="000C39D1" w:rsidP="000C39D1">
      <w:pPr>
        <w:pStyle w:val="libFootnote0"/>
        <w:rPr>
          <w:rtl/>
        </w:rPr>
      </w:pPr>
      <w:r w:rsidRPr="0073465D">
        <w:rPr>
          <w:rtl/>
        </w:rPr>
        <w:t xml:space="preserve">هذا ، وورد الخبر في الأمالي للمفيد ، ص 281 ، المجلس 33 ، ح 7 وفيه : « عليّ بن محمّد الهرمزاني عن عليّ بن الحسين بن عليّ عن أبيه الحسين </w:t>
      </w:r>
      <w:r w:rsidRPr="00CA4DA0">
        <w:rPr>
          <w:rStyle w:val="libFootnoteAlaemChar"/>
          <w:rtl/>
        </w:rPr>
        <w:t>عليه‌السلام</w:t>
      </w:r>
      <w:r w:rsidRPr="00071CF9">
        <w:rPr>
          <w:rStyle w:val="libAlaemChar"/>
          <w:rtl/>
        </w:rPr>
        <w:t xml:space="preserve"> </w:t>
      </w:r>
      <w:r w:rsidRPr="0073465D">
        <w:rPr>
          <w:rtl/>
        </w:rPr>
        <w:t xml:space="preserve">». وورد أيضاً في الأمالي للطوسي ، ص 109 ، المجلس 4 ، ح 166 ، وفيه : « عليّ بن محمّد الهرمزداني عن عليّ بن الحسين </w:t>
      </w:r>
      <w:r w:rsidRPr="00CA4DA0">
        <w:rPr>
          <w:rStyle w:val="libFootnoteAlaemChar"/>
          <w:rtl/>
        </w:rPr>
        <w:t>عليهما‌السلام</w:t>
      </w:r>
      <w:r w:rsidRPr="0073465D">
        <w:rPr>
          <w:rtl/>
        </w:rPr>
        <w:t xml:space="preserve"> عن أبيه الحسين </w:t>
      </w:r>
      <w:r w:rsidRPr="00CA4DA0">
        <w:rPr>
          <w:rStyle w:val="libFootnoteAlaemChar"/>
          <w:rtl/>
        </w:rPr>
        <w:t>عليه‌السلام</w:t>
      </w:r>
      <w:r w:rsidRPr="0073465D">
        <w:rPr>
          <w:rtl/>
        </w:rPr>
        <w:t xml:space="preserve"> ».</w:t>
      </w:r>
    </w:p>
    <w:p w:rsidR="000C39D1" w:rsidRPr="00132E65" w:rsidRDefault="000C39D1" w:rsidP="000C39D1">
      <w:pPr>
        <w:pStyle w:val="libFootnote0"/>
        <w:rPr>
          <w:rtl/>
          <w:lang w:bidi="fa-IR"/>
        </w:rPr>
      </w:pPr>
      <w:r>
        <w:rPr>
          <w:rtl/>
        </w:rPr>
        <w:t>(5).</w:t>
      </w:r>
      <w:r w:rsidRPr="00132E65">
        <w:rPr>
          <w:rtl/>
        </w:rPr>
        <w:t xml:space="preserve"> قوله : « عفا على موضع قبرها » ، أي محا أثرها. والعفو : المحو والانمحاء. قال الفيض : « العفو : المحو. وعفاعلى الأرض : غطّاها بالنبات »</w:t>
      </w:r>
      <w:r>
        <w:rPr>
          <w:rtl/>
        </w:rPr>
        <w:t>.</w:t>
      </w:r>
      <w:r w:rsidRPr="00132E65">
        <w:rPr>
          <w:rtl/>
        </w:rPr>
        <w:t xml:space="preserve"> والموجود في اللغة : غَفَت الأرضُ : غطّاها النبات. راجع : </w:t>
      </w:r>
      <w:r w:rsidRPr="009D1ACE">
        <w:rPr>
          <w:rStyle w:val="libFootnoteBoldChar"/>
          <w:rtl/>
        </w:rPr>
        <w:t>لسان العرب</w:t>
      </w:r>
      <w:r w:rsidRPr="00132E65">
        <w:rPr>
          <w:rtl/>
        </w:rPr>
        <w:t xml:space="preserve"> ، ج 15 ، ص 76 ؛ </w:t>
      </w:r>
      <w:r w:rsidRPr="0019512B">
        <w:rPr>
          <w:rtl/>
        </w:rPr>
        <w:t>مجمع البحرين</w:t>
      </w:r>
      <w:r w:rsidRPr="00132E65">
        <w:rPr>
          <w:rtl/>
        </w:rPr>
        <w:t xml:space="preserve"> ، ج 1 ، ص 300 ( عفا )</w:t>
      </w:r>
      <w:r>
        <w:rPr>
          <w:rtl/>
        </w:rPr>
        <w:t>.</w:t>
      </w:r>
    </w:p>
    <w:p w:rsidR="000C39D1" w:rsidRPr="00132E65" w:rsidRDefault="000C39D1" w:rsidP="000C39D1">
      <w:pPr>
        <w:pStyle w:val="libFootnote0"/>
        <w:rPr>
          <w:rtl/>
          <w:lang w:bidi="fa-IR"/>
        </w:rPr>
      </w:pPr>
      <w:r>
        <w:rPr>
          <w:rtl/>
        </w:rPr>
        <w:t>(6).</w:t>
      </w:r>
      <w:r w:rsidRPr="00132E65">
        <w:rPr>
          <w:rtl/>
        </w:rPr>
        <w:t xml:space="preserve"> في « ب » والبحار : « ثمّ قال »</w:t>
      </w:r>
      <w:r>
        <w:rPr>
          <w:rtl/>
        </w:rPr>
        <w:t>.</w:t>
      </w:r>
    </w:p>
    <w:p w:rsidR="000C39D1" w:rsidRPr="00132E65" w:rsidRDefault="000C39D1" w:rsidP="000C39D1">
      <w:pPr>
        <w:pStyle w:val="libFootnote0"/>
        <w:rPr>
          <w:rtl/>
          <w:lang w:bidi="fa-IR"/>
        </w:rPr>
      </w:pPr>
      <w:r>
        <w:rPr>
          <w:rtl/>
        </w:rPr>
        <w:t>(7).</w:t>
      </w:r>
      <w:r w:rsidRPr="00132E65">
        <w:rPr>
          <w:rtl/>
        </w:rPr>
        <w:t xml:space="preserve"> « الثَرى » : التراب النَدِيّ. يقال : ثرّى التراب يُثرِّيه تَثرِيةً ، إذا رشّ عليه الماء. </w:t>
      </w:r>
      <w:r w:rsidRPr="0019512B">
        <w:rPr>
          <w:rtl/>
        </w:rPr>
        <w:t>النهاية</w:t>
      </w:r>
      <w:r w:rsidRPr="00132E65">
        <w:rPr>
          <w:rtl/>
        </w:rPr>
        <w:t xml:space="preserve"> ، ج 1 ، ص 210 ( ثرا )</w:t>
      </w:r>
      <w:r>
        <w:rPr>
          <w:rtl/>
        </w:rPr>
        <w:t>.</w:t>
      </w:r>
    </w:p>
    <w:p w:rsidR="000C39D1" w:rsidRPr="00132E65" w:rsidRDefault="000C39D1" w:rsidP="000C39D1">
      <w:pPr>
        <w:pStyle w:val="libFootnote0"/>
        <w:rPr>
          <w:rtl/>
          <w:lang w:bidi="fa-IR"/>
        </w:rPr>
      </w:pPr>
      <w:r>
        <w:rPr>
          <w:rtl/>
        </w:rPr>
        <w:t>(8).</w:t>
      </w:r>
      <w:r w:rsidRPr="00132E65">
        <w:rPr>
          <w:rtl/>
        </w:rPr>
        <w:t xml:space="preserve"> في حاشية « ض » : « ببقيعك »</w:t>
      </w:r>
      <w:r>
        <w:rPr>
          <w:rtl/>
        </w:rPr>
        <w:t>.</w:t>
      </w:r>
      <w:r w:rsidRPr="00132E65">
        <w:rPr>
          <w:rtl/>
        </w:rPr>
        <w:t xml:space="preserve"> وقال في </w:t>
      </w:r>
      <w:r w:rsidRPr="0019512B">
        <w:rPr>
          <w:rtl/>
        </w:rPr>
        <w:t>المرآة</w:t>
      </w:r>
      <w:r w:rsidRPr="00132E65">
        <w:rPr>
          <w:rtl/>
        </w:rPr>
        <w:t xml:space="preserve"> : « لعلّه تصحيف »</w:t>
      </w:r>
      <w:r>
        <w:rPr>
          <w:rtl/>
        </w:rPr>
        <w:t>.</w:t>
      </w:r>
      <w:r w:rsidRPr="00132E65">
        <w:rPr>
          <w:rtl/>
        </w:rPr>
        <w:t xml:space="preserve"> </w:t>
      </w:r>
      <w:r>
        <w:rPr>
          <w:rtl/>
        </w:rPr>
        <w:t>و «</w:t>
      </w:r>
      <w:r w:rsidRPr="00132E65">
        <w:rPr>
          <w:rtl/>
        </w:rPr>
        <w:t xml:space="preserve"> البُقعة » : قطعة من أرض على غير هيئة التي على جنبها. </w:t>
      </w:r>
      <w:r w:rsidRPr="0019512B">
        <w:rPr>
          <w:rtl/>
        </w:rPr>
        <w:t>ترتيب كتاب العين</w:t>
      </w:r>
      <w:r w:rsidRPr="00132E65">
        <w:rPr>
          <w:rtl/>
        </w:rPr>
        <w:t xml:space="preserve"> ، ج 1 ، ص 182 ( بقع )</w:t>
      </w:r>
      <w:r>
        <w:rPr>
          <w:rtl/>
        </w:rPr>
        <w:t>.</w:t>
      </w:r>
    </w:p>
    <w:p w:rsidR="000C39D1" w:rsidRPr="00132E65" w:rsidRDefault="000C39D1" w:rsidP="000C39D1">
      <w:pPr>
        <w:pStyle w:val="libFootnote0"/>
        <w:rPr>
          <w:rtl/>
          <w:lang w:bidi="fa-IR"/>
        </w:rPr>
      </w:pPr>
      <w:r>
        <w:rPr>
          <w:rtl/>
        </w:rPr>
        <w:t>(9).</w:t>
      </w:r>
      <w:r w:rsidRPr="00132E65">
        <w:rPr>
          <w:rtl/>
        </w:rPr>
        <w:t xml:space="preserve"> الألف واللام في « المختار » موصولة ، وهو مضاف إلى الفاعل. </w:t>
      </w:r>
      <w:r>
        <w:rPr>
          <w:rtl/>
        </w:rPr>
        <w:t>و «</w:t>
      </w:r>
      <w:r w:rsidRPr="00132E65">
        <w:rPr>
          <w:rtl/>
        </w:rPr>
        <w:t xml:space="preserve"> سرعةَ » مفعول. راجع شروح </w:t>
      </w:r>
      <w:r w:rsidRPr="000577A7">
        <w:rPr>
          <w:rStyle w:val="libFootnoteBoldChar"/>
          <w:rtl/>
        </w:rPr>
        <w:t>الكافي</w:t>
      </w:r>
      <w:r w:rsidRPr="00132E65">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285E4B">
      <w:pPr>
        <w:pStyle w:val="libNormal0"/>
        <w:tabs>
          <w:tab w:val="left" w:pos="3968"/>
        </w:tabs>
        <w:rPr>
          <w:rtl/>
          <w:lang w:bidi="fa-IR"/>
        </w:rPr>
      </w:pPr>
      <w:r w:rsidRPr="00132E65">
        <w:rPr>
          <w:rtl/>
          <w:lang w:bidi="fa-IR"/>
        </w:rPr>
        <w:t xml:space="preserve">يَا رَسُولَ اللهِ عَنْ صَفِيَّتِكَ </w:t>
      </w:r>
      <w:r>
        <w:rPr>
          <w:rStyle w:val="libFootnotenumChar"/>
          <w:rtl/>
        </w:rPr>
        <w:t>(1)</w:t>
      </w:r>
      <w:r w:rsidRPr="00132E65">
        <w:rPr>
          <w:rtl/>
          <w:lang w:bidi="fa-IR"/>
        </w:rPr>
        <w:t xml:space="preserve"> صَبْرِي ، و</w:t>
      </w:r>
      <w:r w:rsidR="00CA4DA0">
        <w:rPr>
          <w:rFonts w:hint="cs"/>
          <w:rtl/>
          <w:lang w:bidi="fa-IR"/>
        </w:rPr>
        <w:t xml:space="preserve">َ </w:t>
      </w:r>
      <w:r w:rsidRPr="00132E65">
        <w:rPr>
          <w:rtl/>
          <w:lang w:bidi="fa-IR"/>
        </w:rPr>
        <w:t xml:space="preserve">عَفَا عَنْ سَيِّدَةِ نِسَاءِ الْعَالَمِينَ تَجَلُّدِي </w:t>
      </w:r>
      <w:r>
        <w:rPr>
          <w:rStyle w:val="libFootnotenumChar"/>
          <w:rtl/>
        </w:rPr>
        <w:t>(2)</w:t>
      </w:r>
      <w:r w:rsidR="00CA4DA0">
        <w:rPr>
          <w:rtl/>
          <w:lang w:bidi="fa-IR"/>
        </w:rPr>
        <w:t xml:space="preserve"> إِل</w:t>
      </w:r>
      <w:r w:rsidR="00285E4B">
        <w:rPr>
          <w:rFonts w:hint="cs"/>
          <w:rtl/>
          <w:lang w:bidi="fa-IR"/>
        </w:rPr>
        <w:t>َّ</w:t>
      </w:r>
      <w:r w:rsidR="00CA4DA0">
        <w:rPr>
          <w:rtl/>
          <w:lang w:bidi="fa-IR"/>
        </w:rPr>
        <w:t>ا</w:t>
      </w:r>
      <w:r w:rsidRPr="00132E65">
        <w:rPr>
          <w:rtl/>
          <w:lang w:bidi="fa-IR"/>
        </w:rPr>
        <w:t xml:space="preserve"> </w:t>
      </w:r>
      <w:r>
        <w:rPr>
          <w:rStyle w:val="libFootnotenumChar"/>
          <w:rtl/>
        </w:rPr>
        <w:t>(3)</w:t>
      </w:r>
      <w:r w:rsidRPr="00132E65">
        <w:rPr>
          <w:rtl/>
          <w:lang w:bidi="fa-IR"/>
        </w:rPr>
        <w:t xml:space="preserve"> أَنَّ فِي التَّأَسِّي لِي </w:t>
      </w:r>
      <w:r>
        <w:rPr>
          <w:rStyle w:val="libFootnotenumChar"/>
          <w:rtl/>
        </w:rPr>
        <w:t>(4)</w:t>
      </w:r>
      <w:r w:rsidRPr="00132E65">
        <w:rPr>
          <w:rtl/>
          <w:lang w:bidi="fa-IR"/>
        </w:rPr>
        <w:t xml:space="preserve"> بِسُنَّتِكَ فِي فُرْقَتِكَ مَوْضِعَ تَعَزٍّ </w:t>
      </w:r>
      <w:r>
        <w:rPr>
          <w:rStyle w:val="libFootnotenumChar"/>
          <w:rtl/>
        </w:rPr>
        <w:t>(5)</w:t>
      </w:r>
      <w:r w:rsidRPr="00132E65">
        <w:rPr>
          <w:rtl/>
          <w:lang w:bidi="fa-IR"/>
        </w:rPr>
        <w:t xml:space="preserve"> ، فَلَقَدْ </w:t>
      </w:r>
      <w:r>
        <w:rPr>
          <w:rStyle w:val="libFootnotenumChar"/>
          <w:rtl/>
        </w:rPr>
        <w:t>(6)</w:t>
      </w:r>
      <w:r w:rsidRPr="00132E65">
        <w:rPr>
          <w:rtl/>
          <w:lang w:bidi="fa-IR"/>
        </w:rPr>
        <w:t xml:space="preserve"> و</w:t>
      </w:r>
      <w:r w:rsidR="00285E4B">
        <w:rPr>
          <w:rFonts w:hint="cs"/>
          <w:rtl/>
          <w:lang w:bidi="fa-IR"/>
        </w:rPr>
        <w:t>َ</w:t>
      </w:r>
      <w:r w:rsidRPr="00132E65">
        <w:rPr>
          <w:rtl/>
          <w:lang w:bidi="fa-IR"/>
        </w:rPr>
        <w:t xml:space="preserve">سَّدْتُكَ </w:t>
      </w:r>
      <w:r>
        <w:rPr>
          <w:rStyle w:val="libFootnotenumChar"/>
          <w:rtl/>
        </w:rPr>
        <w:t>(7)</w:t>
      </w:r>
      <w:r w:rsidRPr="00132E65">
        <w:rPr>
          <w:rtl/>
          <w:lang w:bidi="fa-IR"/>
        </w:rPr>
        <w:t xml:space="preserve"> فِي مَلْحُودَةِ </w:t>
      </w:r>
      <w:r>
        <w:rPr>
          <w:rStyle w:val="libFootnotenumChar"/>
          <w:rtl/>
        </w:rPr>
        <w:t>(8)</w:t>
      </w:r>
      <w:r w:rsidRPr="00132E65">
        <w:rPr>
          <w:rtl/>
          <w:lang w:bidi="fa-IR"/>
        </w:rPr>
        <w:t xml:space="preserve"> قَبْرِكَ ، وَفَاضَتْ نَفْسُكَ بَيْنَ نَحْرِي و</w:t>
      </w:r>
      <w:r w:rsidR="00285E4B">
        <w:rPr>
          <w:rFonts w:hint="cs"/>
          <w:rtl/>
          <w:lang w:bidi="fa-IR"/>
        </w:rPr>
        <w:t xml:space="preserve">َ </w:t>
      </w:r>
      <w:r w:rsidRPr="00132E65">
        <w:rPr>
          <w:rtl/>
          <w:lang w:bidi="fa-IR"/>
        </w:rPr>
        <w:t xml:space="preserve">صَدْرِي ، بَلى </w:t>
      </w:r>
      <w:r>
        <w:rPr>
          <w:rStyle w:val="libFootnotenumChar"/>
          <w:rtl/>
        </w:rPr>
        <w:t>(9)</w:t>
      </w:r>
      <w:r w:rsidRPr="00132E65">
        <w:rPr>
          <w:rtl/>
          <w:lang w:bidi="fa-IR"/>
        </w:rPr>
        <w:t xml:space="preserve"> و</w:t>
      </w:r>
      <w:r w:rsidR="00285E4B">
        <w:rPr>
          <w:rFonts w:hint="cs"/>
          <w:rtl/>
          <w:lang w:bidi="fa-IR"/>
        </w:rPr>
        <w:t xml:space="preserve">َ </w:t>
      </w:r>
      <w:r w:rsidRPr="00132E65">
        <w:rPr>
          <w:rtl/>
          <w:lang w:bidi="fa-IR"/>
        </w:rPr>
        <w:t xml:space="preserve">فِي كِتَابِ اللهِ لِي </w:t>
      </w:r>
      <w:r>
        <w:rPr>
          <w:rStyle w:val="libFootnotenumChar"/>
          <w:rtl/>
        </w:rPr>
        <w:t>(10)</w:t>
      </w:r>
      <w:r w:rsidRPr="00132E65">
        <w:rPr>
          <w:rtl/>
          <w:lang w:bidi="fa-IR"/>
        </w:rPr>
        <w:t xml:space="preserve"> أَنْعَمُ الْقَبُولِ</w:t>
      </w:r>
      <w:r>
        <w:rPr>
          <w:rFonts w:hint="cs"/>
          <w:rtl/>
          <w:lang w:bidi="fa-IR"/>
        </w:rPr>
        <w:t xml:space="preserve"> </w:t>
      </w:r>
      <w:r w:rsidRPr="00071CF9">
        <w:rPr>
          <w:rStyle w:val="libAlaemChar"/>
          <w:rtl/>
        </w:rPr>
        <w:t>(</w:t>
      </w:r>
      <w:r w:rsidRPr="00071CF9">
        <w:rPr>
          <w:rStyle w:val="libAieChar"/>
          <w:rtl/>
        </w:rPr>
        <w:t xml:space="preserve"> إِنّ</w:t>
      </w:r>
      <w:r w:rsidR="00285E4B">
        <w:rPr>
          <w:rStyle w:val="libAieChar"/>
          <w:rFonts w:hint="cs"/>
          <w:rtl/>
        </w:rPr>
        <w:t>َ</w:t>
      </w:r>
      <w:r w:rsidRPr="00071CF9">
        <w:rPr>
          <w:rStyle w:val="libAieChar"/>
          <w:rtl/>
        </w:rPr>
        <w:t xml:space="preserve">ا </w:t>
      </w:r>
      <w:r>
        <w:rPr>
          <w:rStyle w:val="libFootnotenumChar"/>
          <w:rtl/>
        </w:rPr>
        <w:t>(11)</w:t>
      </w:r>
      <w:r w:rsidRPr="00071CF9">
        <w:rPr>
          <w:rStyle w:val="libAieChar"/>
          <w:rtl/>
        </w:rPr>
        <w:t xml:space="preserve"> لِلّهِ</w:t>
      </w:r>
      <w:r w:rsidR="00285E4B">
        <w:rPr>
          <w:rStyle w:val="libAieChar"/>
          <w:rFonts w:hint="cs"/>
          <w:rtl/>
        </w:rPr>
        <w:t>ِ</w:t>
      </w:r>
      <w:r w:rsidRPr="00071CF9">
        <w:rPr>
          <w:rStyle w:val="libAieChar"/>
          <w:rtl/>
        </w:rPr>
        <w:t xml:space="preserve"> وَإِنّ</w:t>
      </w:r>
      <w:r w:rsidR="00285E4B">
        <w:rPr>
          <w:rStyle w:val="libAieChar"/>
          <w:rFonts w:hint="cs"/>
          <w:rtl/>
        </w:rPr>
        <w:t>َ</w:t>
      </w:r>
      <w:r w:rsidRPr="00071CF9">
        <w:rPr>
          <w:rStyle w:val="libAieChar"/>
          <w:rtl/>
        </w:rPr>
        <w:t>ا إِلَيْهِ ر</w:t>
      </w:r>
      <w:r w:rsidR="00285E4B">
        <w:rPr>
          <w:rStyle w:val="libAieChar"/>
          <w:rFonts w:hint="cs"/>
          <w:rtl/>
        </w:rPr>
        <w:t>َ</w:t>
      </w:r>
      <w:r w:rsidRPr="00071CF9">
        <w:rPr>
          <w:rStyle w:val="libAieChar"/>
          <w:rtl/>
        </w:rPr>
        <w:t xml:space="preserve">اجِعُونَ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 قَدِ اسْتُرْجِعَتِ الْوَدِيعَةُ ، و</w:t>
      </w:r>
      <w:r w:rsidR="00285E4B">
        <w:rPr>
          <w:rFonts w:hint="cs"/>
          <w:rtl/>
          <w:lang w:bidi="fa-IR"/>
        </w:rPr>
        <w:t xml:space="preserve">َ </w:t>
      </w:r>
      <w:r w:rsidRPr="00132E65">
        <w:rPr>
          <w:rtl/>
          <w:lang w:bidi="fa-IR"/>
        </w:rPr>
        <w:t xml:space="preserve">أُخِذَتِ </w:t>
      </w:r>
      <w:r w:rsidRPr="00F543F1">
        <w:rPr>
          <w:rStyle w:val="libFootnotenumChar"/>
          <w:rtl/>
        </w:rPr>
        <w:t>(13)</w:t>
      </w:r>
      <w:r w:rsidRPr="00132E65">
        <w:rPr>
          <w:rtl/>
          <w:lang w:bidi="fa-IR"/>
        </w:rPr>
        <w:t xml:space="preserve"> الرَّهِينَةُ ، و</w:t>
      </w:r>
      <w:r w:rsidR="00285E4B">
        <w:rPr>
          <w:rFonts w:hint="cs"/>
          <w:rtl/>
          <w:lang w:bidi="fa-IR"/>
        </w:rPr>
        <w:t xml:space="preserve">َ </w:t>
      </w:r>
      <w:r w:rsidRPr="00132E65">
        <w:rPr>
          <w:rtl/>
          <w:lang w:bidi="fa-IR"/>
        </w:rPr>
        <w:t xml:space="preserve">أُخْلِسَتِ </w:t>
      </w:r>
      <w:r w:rsidRPr="00F543F1">
        <w:rPr>
          <w:rStyle w:val="libFootnotenumChar"/>
          <w:rtl/>
        </w:rPr>
        <w:t>(14)</w:t>
      </w:r>
      <w:r w:rsidRPr="00132E65">
        <w:rPr>
          <w:rtl/>
          <w:lang w:bidi="fa-IR"/>
        </w:rPr>
        <w:t xml:space="preserve"> الزَّهْرَاءُ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صَفِيَّةُ الرجل : التي تُصافيه الوُدَّ وتُخلصه له ، فعيلة بمعنى فاعلة أو مفعولة. راجع : </w:t>
      </w:r>
      <w:r w:rsidRPr="0019512B">
        <w:rPr>
          <w:rtl/>
        </w:rPr>
        <w:t>النهاية</w:t>
      </w:r>
      <w:r w:rsidRPr="00132E65">
        <w:rPr>
          <w:rtl/>
        </w:rPr>
        <w:t xml:space="preserve"> ، ج 3 ، ص 40 ( صفا )</w:t>
      </w:r>
      <w:r>
        <w:rPr>
          <w:rtl/>
        </w:rPr>
        <w:t>.</w:t>
      </w:r>
    </w:p>
    <w:p w:rsidR="000C39D1" w:rsidRPr="00132E65" w:rsidRDefault="000C39D1" w:rsidP="000C39D1">
      <w:pPr>
        <w:pStyle w:val="libFootnote0"/>
        <w:rPr>
          <w:rtl/>
          <w:lang w:bidi="fa-IR"/>
        </w:rPr>
      </w:pPr>
      <w:r>
        <w:rPr>
          <w:rtl/>
        </w:rPr>
        <w:t>(2).</w:t>
      </w:r>
      <w:r w:rsidRPr="00132E65">
        <w:rPr>
          <w:rtl/>
        </w:rPr>
        <w:t xml:space="preserve"> « التجلّد » : تكلّف الجَلَد والجَلادَة ، وهو الصَلابة والقوّة والشدّة والصبر. راجع : </w:t>
      </w:r>
      <w:r w:rsidRPr="009D1ACE">
        <w:rPr>
          <w:rStyle w:val="libFootnoteBoldChar"/>
          <w:rtl/>
        </w:rPr>
        <w:t>لسان العرب</w:t>
      </w:r>
      <w:r w:rsidRPr="00132E65">
        <w:rPr>
          <w:rtl/>
        </w:rPr>
        <w:t xml:space="preserve"> ، ج 3 ، ص 125</w:t>
      </w:r>
      <w:r>
        <w:rPr>
          <w:rtl/>
        </w:rPr>
        <w:t xml:space="preserve"> - </w:t>
      </w:r>
      <w:r w:rsidRPr="00132E65">
        <w:rPr>
          <w:rtl/>
        </w:rPr>
        <w:t>126 ( جلد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يمكن أن</w:t>
      </w:r>
      <w:r w:rsidR="00285E4B">
        <w:rPr>
          <w:rtl/>
        </w:rPr>
        <w:t xml:space="preserve"> يقرأ « إل</w:t>
      </w:r>
      <w:r w:rsidR="00285E4B">
        <w:rPr>
          <w:rFonts w:hint="cs"/>
          <w:rtl/>
        </w:rPr>
        <w:t>ّ</w:t>
      </w:r>
      <w:r w:rsidR="00285E4B">
        <w:rPr>
          <w:rtl/>
        </w:rPr>
        <w:t>ا</w:t>
      </w:r>
      <w:r w:rsidRPr="00132E65">
        <w:rPr>
          <w:rtl/>
        </w:rPr>
        <w:t xml:space="preserve"> » بالكسر والتشديد ، وبالفتح والتخفيف وكسر « إنّ »</w:t>
      </w:r>
      <w:r>
        <w:rPr>
          <w:rtl/>
        </w:rPr>
        <w:t>.</w:t>
      </w:r>
      <w:r w:rsidRPr="00132E65">
        <w:rPr>
          <w:rtl/>
        </w:rPr>
        <w:t xml:space="preserve"> وقد ضبط بهما في </w:t>
      </w:r>
      <w:r w:rsidRPr="0019512B">
        <w:rPr>
          <w:rtl/>
        </w:rPr>
        <w:t>النهج</w:t>
      </w:r>
      <w:r w:rsidRPr="00132E65">
        <w:rPr>
          <w:rtl/>
        </w:rPr>
        <w:t xml:space="preserve"> ، ولكلّ منهما وجه »</w:t>
      </w:r>
      <w:r>
        <w:rPr>
          <w:rtl/>
        </w:rPr>
        <w:t>.</w:t>
      </w:r>
      <w:r w:rsidRPr="00132E65">
        <w:rPr>
          <w:rtl/>
        </w:rPr>
        <w:t xml:space="preserve"> وفي </w:t>
      </w:r>
      <w:r w:rsidRPr="0019512B">
        <w:rPr>
          <w:rtl/>
        </w:rPr>
        <w:t>شرح المازندراني</w:t>
      </w:r>
      <w:r w:rsidRPr="00132E65">
        <w:rPr>
          <w:rtl/>
        </w:rPr>
        <w:t xml:space="preserve"> : « وفي بعض النسخ : موضع ثغر</w:t>
      </w:r>
      <w:r>
        <w:rPr>
          <w:rtl/>
        </w:rPr>
        <w:t xml:space="preserve"> ..</w:t>
      </w:r>
      <w:r w:rsidRPr="00132E65">
        <w:rPr>
          <w:rtl/>
        </w:rPr>
        <w:t xml:space="preserve">. والأنسب بهذا المعنى أن يقرأ « ألا » بالتخفيف ، للتنبيه ، </w:t>
      </w:r>
      <w:r>
        <w:rPr>
          <w:rtl/>
        </w:rPr>
        <w:t>و «</w:t>
      </w:r>
      <w:r w:rsidRPr="00132E65">
        <w:rPr>
          <w:rtl/>
        </w:rPr>
        <w:t xml:space="preserve"> إنّ » بكسر الهمزة »</w:t>
      </w:r>
      <w:r>
        <w:rPr>
          <w:rtl/>
        </w:rPr>
        <w:t>.</w:t>
      </w:r>
    </w:p>
    <w:p w:rsidR="000C39D1" w:rsidRPr="00132E65" w:rsidRDefault="000C39D1" w:rsidP="000C39D1">
      <w:pPr>
        <w:pStyle w:val="libFootnote0"/>
        <w:rPr>
          <w:rtl/>
          <w:lang w:bidi="fa-IR"/>
        </w:rPr>
      </w:pPr>
      <w:r>
        <w:rPr>
          <w:rtl/>
        </w:rPr>
        <w:t>(4).</w:t>
      </w:r>
      <w:r w:rsidRPr="00132E65">
        <w:rPr>
          <w:rtl/>
        </w:rPr>
        <w:t xml:space="preserve"> هكذا في « ب ، ج ، ض ، ف ، بح ، بر ، بس ، بف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والبحار والأمالي للمفيد والطوسي. وفي المطبوع : « أنّ لي في التأسّي »</w:t>
      </w:r>
      <w:r>
        <w:rPr>
          <w:rtl/>
        </w:rPr>
        <w:t>.</w:t>
      </w:r>
    </w:p>
    <w:p w:rsidR="000C39D1" w:rsidRPr="00132E65" w:rsidRDefault="000C39D1" w:rsidP="00285E4B">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أشار بسنّته </w:t>
      </w:r>
      <w:r w:rsidR="00285E4B">
        <w:rPr>
          <w:rFonts w:hint="cs"/>
          <w:rtl/>
        </w:rPr>
        <w:t>صلّى الله عليه و آله</w:t>
      </w:r>
      <w:r w:rsidRPr="00132E65">
        <w:rPr>
          <w:rtl/>
          <w:lang w:bidi="fa-IR"/>
        </w:rPr>
        <w:t xml:space="preserve"> </w:t>
      </w:r>
      <w:r w:rsidRPr="00132E65">
        <w:rPr>
          <w:rtl/>
        </w:rPr>
        <w:t xml:space="preserve">إلى الصبر في المصائب ، فإنّه </w:t>
      </w:r>
      <w:r w:rsidR="00285E4B">
        <w:rPr>
          <w:rFonts w:hint="cs"/>
          <w:rtl/>
        </w:rPr>
        <w:t>صلّى الله عليه و آله</w:t>
      </w:r>
      <w:r w:rsidR="00285E4B" w:rsidRPr="00132E65">
        <w:rPr>
          <w:rtl/>
        </w:rPr>
        <w:t xml:space="preserve"> </w:t>
      </w:r>
      <w:r w:rsidRPr="00132E65">
        <w:rPr>
          <w:rtl/>
        </w:rPr>
        <w:t xml:space="preserve">كان صبوراً في المصائب. أراد </w:t>
      </w:r>
      <w:r w:rsidR="00285E4B">
        <w:rPr>
          <w:rFonts w:hint="cs"/>
          <w:rtl/>
        </w:rPr>
        <w:t>عليه السلام</w:t>
      </w:r>
      <w:r w:rsidRPr="00132E65">
        <w:rPr>
          <w:rtl/>
        </w:rPr>
        <w:t xml:space="preserve"> أنّي قد تأسّيت بسنّتك في فرقتك ، يعني صبرتُ عليها ؛ فبالحريّ بي أن أصبر في فرقة ابنتك ، فإنّ مصيبتي بك أعظم. وقد ورد عن النبيّ </w:t>
      </w:r>
      <w:r w:rsidRPr="006341F4">
        <w:rPr>
          <w:rStyle w:val="libFootnoteAlaemChar"/>
          <w:rFonts w:eastAsiaTheme="minorHAnsi"/>
          <w:rtl/>
        </w:rPr>
        <w:t>صلى‌الله‌عليه‌وآله</w:t>
      </w:r>
      <w:r w:rsidRPr="00132E65">
        <w:rPr>
          <w:rtl/>
          <w:lang w:bidi="fa-IR"/>
        </w:rPr>
        <w:t xml:space="preserve"> </w:t>
      </w:r>
      <w:r w:rsidRPr="00132E65">
        <w:rPr>
          <w:rtl/>
        </w:rPr>
        <w:t>: « إذا أصاب أحدكم مصيبة فليذكر مصيبته بي ، فإنّها من أعظم المصائب »</w:t>
      </w:r>
      <w:r>
        <w:rPr>
          <w:rtl/>
        </w:rPr>
        <w:t>.</w:t>
      </w:r>
      <w:r w:rsidRPr="00132E65">
        <w:rPr>
          <w:rtl/>
        </w:rPr>
        <w:t xml:space="preserve"> وعنه </w:t>
      </w:r>
      <w:r w:rsidRPr="006341F4">
        <w:rPr>
          <w:rStyle w:val="libFootnoteAlaemChar"/>
          <w:rFonts w:eastAsiaTheme="minorHAnsi"/>
          <w:rtl/>
        </w:rPr>
        <w:t>صلى‌الله‌عليه‌وآله</w:t>
      </w:r>
      <w:r w:rsidRPr="00132E65">
        <w:rPr>
          <w:rtl/>
          <w:lang w:bidi="fa-IR"/>
        </w:rPr>
        <w:t xml:space="preserve"> </w:t>
      </w:r>
      <w:r w:rsidRPr="00132E65">
        <w:rPr>
          <w:rtl/>
        </w:rPr>
        <w:t>: « من عظمت مصيبته فليذكر مصيبته بي ، فإنّها ستهون عليه »</w:t>
      </w:r>
      <w:r>
        <w:rPr>
          <w:rtl/>
        </w:rPr>
        <w:t>.</w:t>
      </w:r>
    </w:p>
    <w:p w:rsidR="000C39D1" w:rsidRPr="00132E65" w:rsidRDefault="000C39D1" w:rsidP="000C39D1">
      <w:pPr>
        <w:pStyle w:val="libFootnote0"/>
        <w:rPr>
          <w:rtl/>
          <w:lang w:bidi="fa-IR"/>
        </w:rPr>
      </w:pPr>
      <w:r>
        <w:rPr>
          <w:rtl/>
        </w:rPr>
        <w:t>(6).</w:t>
      </w:r>
      <w:r w:rsidRPr="00132E65">
        <w:rPr>
          <w:rtl/>
        </w:rPr>
        <w:t xml:space="preserve"> في « بح ، بر » : « ولقد »</w:t>
      </w:r>
      <w:r>
        <w:rPr>
          <w:rtl/>
        </w:rPr>
        <w:t>.</w:t>
      </w:r>
    </w:p>
    <w:p w:rsidR="000C39D1" w:rsidRPr="00132E65" w:rsidRDefault="000C39D1" w:rsidP="000C39D1">
      <w:pPr>
        <w:pStyle w:val="libFootnote0"/>
        <w:rPr>
          <w:rtl/>
          <w:lang w:bidi="fa-IR"/>
        </w:rPr>
      </w:pPr>
      <w:r>
        <w:rPr>
          <w:rtl/>
        </w:rPr>
        <w:t>(7).</w:t>
      </w:r>
      <w:r w:rsidRPr="00132E65">
        <w:rPr>
          <w:rtl/>
        </w:rPr>
        <w:t xml:space="preserve"> « وَسَّدْتُكَ » ، أي وضعت رأسك على و</w:t>
      </w:r>
      <w:r w:rsidR="006B3DA1">
        <w:rPr>
          <w:rFonts w:hint="cs"/>
          <w:rtl/>
        </w:rPr>
        <w:t>ِ</w:t>
      </w:r>
      <w:r w:rsidR="006B3DA1">
        <w:rPr>
          <w:rtl/>
        </w:rPr>
        <w:t>سادة ، وهي الم</w:t>
      </w:r>
      <w:r w:rsidR="006B3DA1">
        <w:rPr>
          <w:rFonts w:hint="cs"/>
          <w:rtl/>
        </w:rPr>
        <w:t>ـِ</w:t>
      </w:r>
      <w:r w:rsidRPr="00132E65">
        <w:rPr>
          <w:rtl/>
        </w:rPr>
        <w:t xml:space="preserve">خَدَّةُ. وأمّا الوِسادُ بغير الهاء فكلّ شي‌ء يوضع تحت الرأس وإن كان من التراب أو الحجارة. راجع : </w:t>
      </w:r>
      <w:r w:rsidRPr="0019512B">
        <w:rPr>
          <w:rtl/>
        </w:rPr>
        <w:t>ترتيب كتاب العين</w:t>
      </w:r>
      <w:r w:rsidRPr="00132E65">
        <w:rPr>
          <w:rtl/>
        </w:rPr>
        <w:t xml:space="preserve"> ، ج 3 ، ص 1950 ( وسد )</w:t>
      </w:r>
      <w:r>
        <w:rPr>
          <w:rtl/>
        </w:rPr>
        <w:t>.</w:t>
      </w:r>
    </w:p>
    <w:p w:rsidR="000C39D1" w:rsidRPr="00132E65" w:rsidRDefault="000C39D1" w:rsidP="000C39D1">
      <w:pPr>
        <w:pStyle w:val="libFootnote0"/>
        <w:rPr>
          <w:rtl/>
          <w:lang w:bidi="fa-IR"/>
        </w:rPr>
      </w:pPr>
      <w:r>
        <w:rPr>
          <w:rtl/>
        </w:rPr>
        <w:t>(8).</w:t>
      </w:r>
      <w:r w:rsidRPr="00132E65">
        <w:rPr>
          <w:rtl/>
        </w:rPr>
        <w:t xml:space="preserve"> في حاشية « بح » : « ملحود »</w:t>
      </w:r>
      <w:r>
        <w:rPr>
          <w:rtl/>
        </w:rPr>
        <w:t>.</w:t>
      </w:r>
      <w:r w:rsidRPr="00132E65">
        <w:rPr>
          <w:rtl/>
        </w:rPr>
        <w:t xml:space="preserve"> </w:t>
      </w:r>
      <w:r>
        <w:rPr>
          <w:rtl/>
        </w:rPr>
        <w:t>و «</w:t>
      </w:r>
      <w:r w:rsidRPr="00132E65">
        <w:rPr>
          <w:rtl/>
        </w:rPr>
        <w:t xml:space="preserve"> اللَحْدُ » </w:t>
      </w:r>
      <w:r>
        <w:rPr>
          <w:rtl/>
        </w:rPr>
        <w:t>و «</w:t>
      </w:r>
      <w:r w:rsidRPr="00132E65">
        <w:rPr>
          <w:rtl/>
        </w:rPr>
        <w:t xml:space="preserve"> اللُحْدُ » : الشقّ الذي يكون في جانب القبر ، أو في عُرْضه ، أي وسطه. والملحود كاللحد صفة غالبة فالإضافة لظرفيّة. ويقال : لَحَدَ القبرَ ، أي عمل له لحداً ، فالقبر ملحود ، فالإضافة بيانيّة. راجع : </w:t>
      </w:r>
      <w:r w:rsidRPr="009D1ACE">
        <w:rPr>
          <w:rStyle w:val="libFootnoteBoldChar"/>
          <w:rtl/>
        </w:rPr>
        <w:t>لسان العرب</w:t>
      </w:r>
      <w:r w:rsidRPr="00132E65">
        <w:rPr>
          <w:rtl/>
        </w:rPr>
        <w:t xml:space="preserve"> ، ج 3 ، ص 388 ( لحد )</w:t>
      </w:r>
      <w:r>
        <w:rPr>
          <w:rtl/>
        </w:rPr>
        <w:t>.</w:t>
      </w:r>
    </w:p>
    <w:tbl>
      <w:tblPr>
        <w:tblStyle w:val="TableGrid"/>
        <w:bidiVisual/>
        <w:tblW w:w="0" w:type="auto"/>
        <w:tblLook w:val="04A0" w:firstRow="1" w:lastRow="0" w:firstColumn="1" w:lastColumn="0" w:noHBand="0" w:noVBand="1"/>
      </w:tblPr>
      <w:tblGrid>
        <w:gridCol w:w="4261"/>
        <w:gridCol w:w="4262"/>
      </w:tblGrid>
      <w:tr w:rsidR="006B3DA1" w:rsidTr="006B3DA1">
        <w:tc>
          <w:tcPr>
            <w:tcW w:w="4261" w:type="dxa"/>
          </w:tcPr>
          <w:p w:rsidR="006B3DA1" w:rsidRDefault="006B3DA1" w:rsidP="000C39D1">
            <w:pPr>
              <w:pStyle w:val="libFootnote0"/>
              <w:rPr>
                <w:rtl/>
              </w:rPr>
            </w:pPr>
            <w:r>
              <w:rPr>
                <w:rtl/>
              </w:rPr>
              <w:t>(9).</w:t>
            </w:r>
            <w:r w:rsidRPr="00132E65">
              <w:rPr>
                <w:rtl/>
              </w:rPr>
              <w:t xml:space="preserve"> في « بس » </w:t>
            </w:r>
            <w:r>
              <w:rPr>
                <w:rtl/>
              </w:rPr>
              <w:t xml:space="preserve">: - </w:t>
            </w:r>
            <w:r w:rsidRPr="00132E65">
              <w:rPr>
                <w:rtl/>
              </w:rPr>
              <w:t>« بلى »</w:t>
            </w:r>
            <w:r>
              <w:rPr>
                <w:rtl/>
              </w:rPr>
              <w:t>.</w:t>
            </w:r>
          </w:p>
        </w:tc>
        <w:tc>
          <w:tcPr>
            <w:tcW w:w="4262" w:type="dxa"/>
          </w:tcPr>
          <w:p w:rsidR="006B3DA1" w:rsidRDefault="006B3DA1" w:rsidP="000C39D1">
            <w:pPr>
              <w:pStyle w:val="libFootnote0"/>
              <w:rPr>
                <w:rtl/>
              </w:rPr>
            </w:pPr>
            <w:r>
              <w:rPr>
                <w:rtl/>
              </w:rPr>
              <w:t>(10).</w:t>
            </w:r>
            <w:r w:rsidRPr="00132E65">
              <w:rPr>
                <w:rtl/>
              </w:rPr>
              <w:t xml:space="preserve"> في « بس » </w:t>
            </w:r>
            <w:r>
              <w:rPr>
                <w:rtl/>
              </w:rPr>
              <w:t xml:space="preserve">: - </w:t>
            </w:r>
            <w:r w:rsidRPr="00132E65">
              <w:rPr>
                <w:rtl/>
              </w:rPr>
              <w:t>« لي »</w:t>
            </w:r>
            <w:r>
              <w:rPr>
                <w:rtl/>
              </w:rPr>
              <w:t>.</w:t>
            </w:r>
          </w:p>
        </w:tc>
      </w:tr>
      <w:tr w:rsidR="006B3DA1" w:rsidTr="006B3DA1">
        <w:tc>
          <w:tcPr>
            <w:tcW w:w="4261" w:type="dxa"/>
          </w:tcPr>
          <w:p w:rsidR="006B3DA1" w:rsidRDefault="006B3DA1" w:rsidP="000C39D1">
            <w:pPr>
              <w:pStyle w:val="libFootnote0"/>
              <w:rPr>
                <w:rtl/>
              </w:rPr>
            </w:pPr>
            <w:r>
              <w:rPr>
                <w:rtl/>
              </w:rPr>
              <w:t>(11).</w:t>
            </w:r>
            <w:r w:rsidRPr="00132E65">
              <w:rPr>
                <w:rtl/>
              </w:rPr>
              <w:t xml:space="preserve"> في « بف » : « فإنّا »</w:t>
            </w:r>
            <w:r>
              <w:rPr>
                <w:rtl/>
              </w:rPr>
              <w:t>.</w:t>
            </w:r>
          </w:p>
        </w:tc>
        <w:tc>
          <w:tcPr>
            <w:tcW w:w="4262" w:type="dxa"/>
          </w:tcPr>
          <w:p w:rsidR="006B3DA1" w:rsidRDefault="006B3DA1" w:rsidP="000C39D1">
            <w:pPr>
              <w:pStyle w:val="libFootnote0"/>
              <w:rPr>
                <w:rtl/>
              </w:rPr>
            </w:pPr>
            <w:r>
              <w:rPr>
                <w:rtl/>
              </w:rPr>
              <w:t>(12).</w:t>
            </w:r>
            <w:r w:rsidRPr="00132E65">
              <w:rPr>
                <w:rtl/>
              </w:rPr>
              <w:t xml:space="preserve"> البقرة </w:t>
            </w:r>
            <w:r>
              <w:rPr>
                <w:rtl/>
              </w:rPr>
              <w:t>(2).</w:t>
            </w:r>
            <w:r w:rsidRPr="00132E65">
              <w:rPr>
                <w:rtl/>
              </w:rPr>
              <w:t xml:space="preserve"> : 156.</w:t>
            </w:r>
          </w:p>
        </w:tc>
      </w:tr>
    </w:tbl>
    <w:p w:rsidR="000C39D1" w:rsidRPr="00132E65" w:rsidRDefault="000C39D1" w:rsidP="000C39D1">
      <w:pPr>
        <w:pStyle w:val="libFootnote0"/>
        <w:rPr>
          <w:rtl/>
          <w:lang w:bidi="fa-IR"/>
        </w:rPr>
      </w:pPr>
      <w:r>
        <w:rPr>
          <w:rtl/>
        </w:rPr>
        <w:t>(13)</w:t>
      </w:r>
      <w:r w:rsidRPr="00132E65">
        <w:rPr>
          <w:rtl/>
        </w:rPr>
        <w:t xml:space="preserve"> في « ف » : « استرجعتَ » </w:t>
      </w:r>
      <w:r>
        <w:rPr>
          <w:rtl/>
        </w:rPr>
        <w:t>و «</w:t>
      </w:r>
      <w:r w:rsidRPr="00132E65">
        <w:rPr>
          <w:rtl/>
        </w:rPr>
        <w:t xml:space="preserve"> أخذتَ » على المخاطب المعلوم. وقال في </w:t>
      </w:r>
      <w:r w:rsidRPr="009D1ACE">
        <w:rPr>
          <w:rStyle w:val="libFootnoteBoldChar"/>
          <w:rtl/>
        </w:rPr>
        <w:t>مرآة العقول</w:t>
      </w:r>
      <w:r w:rsidRPr="00132E65">
        <w:rPr>
          <w:rtl/>
        </w:rPr>
        <w:t xml:space="preserve"> : « الفعل فيها وفي قرينتيها إمّا على بناء المجهول ، أو المعلوم »</w:t>
      </w:r>
      <w:r>
        <w:rPr>
          <w:rtl/>
        </w:rPr>
        <w:t>.</w:t>
      </w:r>
    </w:p>
    <w:p w:rsidR="000C39D1" w:rsidRPr="00132E65" w:rsidRDefault="000C39D1" w:rsidP="00686736">
      <w:pPr>
        <w:pStyle w:val="libFootnote0"/>
        <w:rPr>
          <w:rtl/>
          <w:lang w:bidi="fa-IR"/>
        </w:rPr>
      </w:pPr>
      <w:r>
        <w:rPr>
          <w:rtl/>
        </w:rPr>
        <w:t>(14)</w:t>
      </w:r>
      <w:r w:rsidRPr="00132E65">
        <w:rPr>
          <w:rtl/>
        </w:rPr>
        <w:t xml:space="preserve"> في « ب ، ف » : « أخلستَ » على المخاطب المعلوم. وفي « بس وحاشية « ض » والأمالي للمفيد والطوسي: </w:t>
      </w:r>
      <w:r w:rsidR="006B3DA1">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فَمَا أَقْبَحَ الْخَضْرَاءَ و</w:t>
      </w:r>
      <w:r w:rsidR="004F7F1B">
        <w:rPr>
          <w:rFonts w:hint="cs"/>
          <w:rtl/>
          <w:lang w:bidi="fa-IR"/>
        </w:rPr>
        <w:t xml:space="preserve">َ </w:t>
      </w:r>
      <w:r w:rsidRPr="00132E65">
        <w:rPr>
          <w:rtl/>
          <w:lang w:bidi="fa-IR"/>
        </w:rPr>
        <w:t xml:space="preserve">الْغَبْرَاءَ </w:t>
      </w:r>
      <w:r>
        <w:rPr>
          <w:rStyle w:val="libFootnotenumChar"/>
          <w:rtl/>
        </w:rPr>
        <w:t>(1)</w:t>
      </w:r>
      <w:r w:rsidRPr="00132E65">
        <w:rPr>
          <w:rtl/>
          <w:lang w:bidi="fa-IR"/>
        </w:rPr>
        <w:t xml:space="preserve"> يَا رَسُولَ اللهِ ، أَمَّا حُزْنِي فَسَرْمَدٌ </w:t>
      </w:r>
      <w:r>
        <w:rPr>
          <w:rStyle w:val="libFootnotenumChar"/>
          <w:rtl/>
        </w:rPr>
        <w:t>(2)</w:t>
      </w:r>
      <w:r w:rsidRPr="00132E65">
        <w:rPr>
          <w:rtl/>
          <w:lang w:bidi="fa-IR"/>
        </w:rPr>
        <w:t xml:space="preserve"> ؛ و</w:t>
      </w:r>
      <w:r w:rsidR="004F7F1B">
        <w:rPr>
          <w:rFonts w:hint="cs"/>
          <w:rtl/>
          <w:lang w:bidi="fa-IR"/>
        </w:rPr>
        <w:t xml:space="preserve">َ </w:t>
      </w:r>
      <w:r w:rsidRPr="00132E65">
        <w:rPr>
          <w:rtl/>
          <w:lang w:bidi="fa-IR"/>
        </w:rPr>
        <w:t xml:space="preserve">أَمَّا لَيْلِي فَمُسَهَّدٌ </w:t>
      </w:r>
      <w:r>
        <w:rPr>
          <w:rStyle w:val="libFootnotenumChar"/>
          <w:rtl/>
        </w:rPr>
        <w:t>(3)</w:t>
      </w:r>
      <w:r w:rsidRPr="00132E65">
        <w:rPr>
          <w:rtl/>
          <w:lang w:bidi="fa-IR"/>
        </w:rPr>
        <w:t xml:space="preserve"> ، و</w:t>
      </w:r>
      <w:r w:rsidR="004F7F1B">
        <w:rPr>
          <w:rFonts w:hint="cs"/>
          <w:rtl/>
          <w:lang w:bidi="fa-IR"/>
        </w:rPr>
        <w:t xml:space="preserve">َ </w:t>
      </w:r>
      <w:r w:rsidRPr="00132E65">
        <w:rPr>
          <w:rtl/>
          <w:lang w:bidi="fa-IR"/>
        </w:rPr>
        <w:t xml:space="preserve">هَمٌّ </w:t>
      </w:r>
      <w:r>
        <w:rPr>
          <w:rStyle w:val="libFootnotenumChar"/>
          <w:rtl/>
        </w:rPr>
        <w:t>(4)</w:t>
      </w:r>
      <w:r w:rsidRPr="00132E65">
        <w:rPr>
          <w:rtl/>
          <w:lang w:bidi="fa-IR"/>
        </w:rPr>
        <w:t xml:space="preserve"> لَايَبْرَحُ مِنْ قَلْبِي أَوْ يَخْتَارَ اللهُ لِي دَارَكَ الَّتِي أَنْتَ فِيهَا مُقِيمٌ ، كَمَدٌ </w:t>
      </w:r>
      <w:r>
        <w:rPr>
          <w:rStyle w:val="libFootnotenumChar"/>
          <w:rtl/>
        </w:rPr>
        <w:t>(5)</w:t>
      </w:r>
      <w:r w:rsidRPr="00132E65">
        <w:rPr>
          <w:rtl/>
          <w:lang w:bidi="fa-IR"/>
        </w:rPr>
        <w:t xml:space="preserve"> مُقَيِّحٌ </w:t>
      </w:r>
      <w:r>
        <w:rPr>
          <w:rStyle w:val="libFootnotenumChar"/>
          <w:rtl/>
        </w:rPr>
        <w:t>(6)</w:t>
      </w:r>
      <w:r w:rsidRPr="00132E65">
        <w:rPr>
          <w:rtl/>
          <w:lang w:bidi="fa-IR"/>
        </w:rPr>
        <w:t xml:space="preserve"> ، و</w:t>
      </w:r>
      <w:r w:rsidR="004F7F1B">
        <w:rPr>
          <w:rFonts w:hint="cs"/>
          <w:rtl/>
          <w:lang w:bidi="fa-IR"/>
        </w:rPr>
        <w:t xml:space="preserve">َ </w:t>
      </w:r>
      <w:r w:rsidRPr="00132E65">
        <w:rPr>
          <w:rtl/>
          <w:lang w:bidi="fa-IR"/>
        </w:rPr>
        <w:t>هَمٌّ مُهَيِّجٌ ، سَرْعَانَ مَا فَرَّقَ بَيْنَنَا ، و</w:t>
      </w:r>
      <w:r w:rsidR="004F7F1B">
        <w:rPr>
          <w:rFonts w:hint="cs"/>
          <w:rtl/>
          <w:lang w:bidi="fa-IR"/>
        </w:rPr>
        <w:t xml:space="preserve">َ </w:t>
      </w:r>
      <w:r w:rsidRPr="00132E65">
        <w:rPr>
          <w:rtl/>
          <w:lang w:bidi="fa-IR"/>
        </w:rPr>
        <w:t>إِلَى اللهِ أَشْكُو ، و</w:t>
      </w:r>
      <w:r w:rsidR="004F7F1B">
        <w:rPr>
          <w:rFonts w:hint="cs"/>
          <w:rtl/>
          <w:lang w:bidi="fa-IR"/>
        </w:rPr>
        <w:t xml:space="preserve">َ </w:t>
      </w:r>
      <w:r w:rsidRPr="00132E65">
        <w:rPr>
          <w:rtl/>
          <w:lang w:bidi="fa-IR"/>
        </w:rPr>
        <w:t xml:space="preserve">سَتُنْبِئُكَ </w:t>
      </w:r>
      <w:r>
        <w:rPr>
          <w:rStyle w:val="libFootnotenumChar"/>
          <w:rtl/>
        </w:rPr>
        <w:t>(7)</w:t>
      </w:r>
      <w:r w:rsidRPr="00132E65">
        <w:rPr>
          <w:rtl/>
          <w:lang w:bidi="fa-IR"/>
        </w:rPr>
        <w:t xml:space="preserve"> ابْنَتُكَ بِتَظَافُرِ </w:t>
      </w:r>
      <w:r>
        <w:rPr>
          <w:rStyle w:val="libFootnotenumChar"/>
          <w:rtl/>
        </w:rPr>
        <w:t>(8)</w:t>
      </w:r>
      <w:r w:rsidRPr="00132E65">
        <w:rPr>
          <w:rtl/>
          <w:lang w:bidi="fa-IR"/>
        </w:rPr>
        <w:t xml:space="preserve"> أُمَّتِكَ عَلى هَضْمِهَا </w:t>
      </w:r>
      <w:r>
        <w:rPr>
          <w:rStyle w:val="libFootnotenumChar"/>
          <w:rtl/>
        </w:rPr>
        <w:t>(9)</w:t>
      </w:r>
      <w:r w:rsidRPr="00132E65">
        <w:rPr>
          <w:rtl/>
          <w:lang w:bidi="fa-IR"/>
        </w:rPr>
        <w:t xml:space="preserve"> ، فَأَحْفِهَا </w:t>
      </w:r>
      <w:r>
        <w:rPr>
          <w:rStyle w:val="libFootnotenumChar"/>
          <w:rtl/>
        </w:rPr>
        <w:t>(10)</w:t>
      </w:r>
      <w:r w:rsidRPr="00132E65">
        <w:rPr>
          <w:rtl/>
          <w:lang w:bidi="fa-IR"/>
        </w:rPr>
        <w:t xml:space="preserve"> السُّؤَالَ ، و</w:t>
      </w:r>
      <w:r w:rsidR="004F7F1B">
        <w:rPr>
          <w:rFonts w:hint="cs"/>
          <w:rtl/>
          <w:lang w:bidi="fa-IR"/>
        </w:rPr>
        <w:t xml:space="preserve">َ </w:t>
      </w:r>
      <w:r w:rsidRPr="00132E65">
        <w:rPr>
          <w:rtl/>
          <w:lang w:bidi="fa-IR"/>
        </w:rPr>
        <w:t xml:space="preserve">اسْتَخْبِرْهَا الْحَالَ ، فَكَمْ مِنْ غَلِيلٍ </w:t>
      </w:r>
      <w:r>
        <w:rPr>
          <w:rStyle w:val="libFootnotenumChar"/>
          <w:rtl/>
        </w:rPr>
        <w:t>(11)</w:t>
      </w:r>
      <w:r w:rsidRPr="00132E65">
        <w:rPr>
          <w:rtl/>
          <w:lang w:bidi="fa-IR"/>
        </w:rPr>
        <w:t xml:space="preserve"> مُعْتَلِجٍ بِصَدْرِهَا </w:t>
      </w:r>
      <w:r>
        <w:rPr>
          <w:rStyle w:val="libFootnotenumChar"/>
          <w:rtl/>
        </w:rPr>
        <w:t>(12)</w:t>
      </w:r>
      <w:r w:rsidRPr="00132E65">
        <w:rPr>
          <w:rtl/>
          <w:lang w:bidi="fa-IR"/>
        </w:rPr>
        <w:t xml:space="preserve"> لَمْ تَجِدْ إِلى‌</w:t>
      </w:r>
      <w:r w:rsidR="004F7F1B">
        <w:rPr>
          <w:rFonts w:hint="cs"/>
          <w:rtl/>
          <w:lang w:bidi="fa-IR"/>
        </w:rPr>
        <w:t>.............</w:t>
      </w:r>
      <w:r w:rsidR="004F7F1B">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13467C" w:rsidP="000C39D1">
      <w:pPr>
        <w:pStyle w:val="libFootnote0"/>
        <w:rPr>
          <w:rtl/>
          <w:lang w:bidi="fa-IR"/>
        </w:rPr>
      </w:pPr>
      <w:r>
        <w:rPr>
          <w:rFonts w:hint="cs"/>
          <w:rtl/>
        </w:rPr>
        <w:t xml:space="preserve">= </w:t>
      </w:r>
      <w:r w:rsidR="000C39D1" w:rsidRPr="00132E65">
        <w:rPr>
          <w:rtl/>
        </w:rPr>
        <w:t>« اختلست »</w:t>
      </w:r>
      <w:r w:rsidR="000C39D1">
        <w:rPr>
          <w:rtl/>
        </w:rPr>
        <w:t>.</w:t>
      </w:r>
      <w:r w:rsidR="000C39D1" w:rsidRPr="00132E65">
        <w:rPr>
          <w:rtl/>
        </w:rPr>
        <w:t xml:space="preserve"> وقال في </w:t>
      </w:r>
      <w:r w:rsidR="000C39D1" w:rsidRPr="009D1ACE">
        <w:rPr>
          <w:rStyle w:val="libFootnoteBoldChar"/>
          <w:rtl/>
        </w:rPr>
        <w:t>مرآة العقول</w:t>
      </w:r>
      <w:r w:rsidR="000C39D1" w:rsidRPr="00132E65">
        <w:rPr>
          <w:rtl/>
        </w:rPr>
        <w:t xml:space="preserve"> « وهو أظهر ، والاختلاس أخذ الشي‌ء بسرعة حبّاً له »</w:t>
      </w:r>
      <w:r w:rsidR="000C39D1">
        <w:rPr>
          <w:rtl/>
        </w:rPr>
        <w:t>.</w:t>
      </w:r>
      <w:r w:rsidR="000C39D1" w:rsidRPr="00132E65">
        <w:rPr>
          <w:rtl/>
        </w:rPr>
        <w:t xml:space="preserve"> وقال المازندراني في شرحه : « أخلستُ فلاناً ، أي أخذت حقّه »</w:t>
      </w:r>
      <w:r w:rsidR="000C39D1">
        <w:rPr>
          <w:rtl/>
        </w:rPr>
        <w:t>.</w:t>
      </w:r>
      <w:r w:rsidR="000C39D1" w:rsidRPr="00132E65">
        <w:rPr>
          <w:rtl/>
        </w:rPr>
        <w:t xml:space="preserve"> ولكنّ اللغة لا تساعده ؛ فإنّ « أَفْعَلَ » من الخلس لازم. راجع : </w:t>
      </w:r>
      <w:r w:rsidR="000C39D1" w:rsidRPr="009D1ACE">
        <w:rPr>
          <w:rStyle w:val="libFootnoteBoldChar"/>
          <w:rtl/>
        </w:rPr>
        <w:t>لسان العرب</w:t>
      </w:r>
      <w:r w:rsidR="000C39D1" w:rsidRPr="00132E65">
        <w:rPr>
          <w:rtl/>
        </w:rPr>
        <w:t xml:space="preserve"> ، ج 6 ، ص 65</w:t>
      </w:r>
      <w:r w:rsidR="000C39D1">
        <w:rPr>
          <w:rtl/>
        </w:rPr>
        <w:t xml:space="preserve"> - </w:t>
      </w:r>
      <w:r w:rsidR="000C39D1" w:rsidRPr="00132E65">
        <w:rPr>
          <w:rtl/>
        </w:rPr>
        <w:t>66 ( خلس )</w:t>
      </w:r>
      <w:r w:rsidR="000C39D1">
        <w:rPr>
          <w:rtl/>
        </w:rPr>
        <w:t>.</w:t>
      </w:r>
    </w:p>
    <w:p w:rsidR="000C39D1" w:rsidRPr="00132E65" w:rsidRDefault="000C39D1" w:rsidP="0013467C">
      <w:pPr>
        <w:pStyle w:val="libFootnote0"/>
        <w:rPr>
          <w:rtl/>
          <w:lang w:bidi="fa-IR"/>
        </w:rPr>
      </w:pPr>
      <w:r>
        <w:rPr>
          <w:rtl/>
        </w:rPr>
        <w:t>(1).</w:t>
      </w:r>
      <w:r w:rsidRPr="00132E65">
        <w:rPr>
          <w:rtl/>
        </w:rPr>
        <w:t xml:space="preserve"> « الخضراء » : السماء لخُضْرَة لونها. </w:t>
      </w:r>
      <w:r>
        <w:rPr>
          <w:rtl/>
        </w:rPr>
        <w:t>و «</w:t>
      </w:r>
      <w:r w:rsidRPr="00132E65">
        <w:rPr>
          <w:rtl/>
        </w:rPr>
        <w:t xml:space="preserve"> الغبراء » : الأرض لغُبْرة لونها ، أو لما فيها من الغُبار. راجع : </w:t>
      </w:r>
      <w:r w:rsidRPr="009D1ACE">
        <w:rPr>
          <w:rStyle w:val="libFootnoteBoldChar"/>
          <w:rtl/>
        </w:rPr>
        <w:t>لسان العرب</w:t>
      </w:r>
      <w:r w:rsidRPr="00132E65">
        <w:rPr>
          <w:rtl/>
        </w:rPr>
        <w:t xml:space="preserve"> ، ج 5 ، ص 5 ( غبر )</w:t>
      </w:r>
      <w:r>
        <w:rPr>
          <w:rtl/>
        </w:rPr>
        <w:t>.</w:t>
      </w:r>
      <w:r w:rsidR="0013467C">
        <w:rPr>
          <w:rFonts w:hint="cs"/>
          <w:rtl/>
        </w:rPr>
        <w:t xml:space="preserve">                                 </w:t>
      </w:r>
      <w:r>
        <w:rPr>
          <w:rtl/>
        </w:rPr>
        <w:t>(2).</w:t>
      </w:r>
      <w:r w:rsidRPr="00132E65">
        <w:rPr>
          <w:rtl/>
        </w:rPr>
        <w:t>في«بس»وحاشية«ض،بر»:«فشديد»</w:t>
      </w:r>
      <w:r>
        <w:rPr>
          <w:rtl/>
        </w:rPr>
        <w:t>.</w:t>
      </w:r>
    </w:p>
    <w:p w:rsidR="000C39D1" w:rsidRPr="00132E65" w:rsidRDefault="000C39D1" w:rsidP="000C39D1">
      <w:pPr>
        <w:pStyle w:val="libFootnote0"/>
        <w:rPr>
          <w:rtl/>
          <w:lang w:bidi="fa-IR"/>
        </w:rPr>
      </w:pPr>
      <w:r>
        <w:rPr>
          <w:rtl/>
        </w:rPr>
        <w:t>(3).</w:t>
      </w:r>
      <w:r w:rsidRPr="00132E65">
        <w:rPr>
          <w:rtl/>
        </w:rPr>
        <w:t xml:space="preserve"> « فَمُسَهَّدٌ » ، أي لا نوم فيه ، اسم مكان من السُهْد ، وهو الأَرَقُ ، أي ذهاب النوم في الليل. والسُهُد : القليلُ النوم. راجع : </w:t>
      </w:r>
      <w:r w:rsidRPr="0019512B">
        <w:rPr>
          <w:rtl/>
        </w:rPr>
        <w:t>القاموس المحيط</w:t>
      </w:r>
      <w:r w:rsidRPr="00132E65">
        <w:rPr>
          <w:rtl/>
        </w:rPr>
        <w:t xml:space="preserve"> ، ج 1 ، ص 424 ؛ </w:t>
      </w:r>
      <w:r w:rsidRPr="0019512B">
        <w:rPr>
          <w:rtl/>
        </w:rPr>
        <w:t>مجمع البحرين</w:t>
      </w:r>
      <w:r w:rsidRPr="00132E65">
        <w:rPr>
          <w:rtl/>
        </w:rPr>
        <w:t xml:space="preserve"> ، ج 3 ، ص 75 ( سهد )</w:t>
      </w:r>
      <w:r>
        <w:rPr>
          <w:rtl/>
        </w:rPr>
        <w:t>.</w:t>
      </w:r>
    </w:p>
    <w:p w:rsidR="000C39D1" w:rsidRPr="00132E65" w:rsidRDefault="000C39D1" w:rsidP="000C39D1">
      <w:pPr>
        <w:pStyle w:val="libFootnote0"/>
        <w:rPr>
          <w:rtl/>
          <w:lang w:bidi="fa-IR"/>
        </w:rPr>
      </w:pPr>
      <w:r>
        <w:rPr>
          <w:rtl/>
        </w:rPr>
        <w:t>(4).</w:t>
      </w:r>
      <w:r w:rsidRPr="00132E65">
        <w:rPr>
          <w:rtl/>
        </w:rPr>
        <w:t xml:space="preserve"> اختار المازندراني في شرحه كونه مبتدأً وخبره « كمد »</w:t>
      </w:r>
      <w:r>
        <w:rPr>
          <w:rtl/>
        </w:rPr>
        <w:t>.</w:t>
      </w:r>
      <w:r w:rsidRPr="00132E65">
        <w:rPr>
          <w:rtl/>
        </w:rPr>
        <w:t xml:space="preserve"> واحتمل في </w:t>
      </w:r>
      <w:r w:rsidRPr="009D1ACE">
        <w:rPr>
          <w:rStyle w:val="libFootnoteBoldChar"/>
          <w:rtl/>
        </w:rPr>
        <w:t>مرآة العقول</w:t>
      </w:r>
      <w:r w:rsidRPr="00132E65">
        <w:rPr>
          <w:rtl/>
        </w:rPr>
        <w:t xml:space="preserve"> كونه خبراً لمبتدأ محذوف ، أو مبتدأً وخبره « كمد » ، أو عطفاً على « مسهّد »</w:t>
      </w:r>
      <w:r>
        <w:rPr>
          <w:rtl/>
        </w:rPr>
        <w:t>.</w:t>
      </w:r>
    </w:p>
    <w:p w:rsidR="000C39D1" w:rsidRPr="00132E65" w:rsidRDefault="000C39D1" w:rsidP="000C39D1">
      <w:pPr>
        <w:pStyle w:val="libFootnote0"/>
        <w:rPr>
          <w:rtl/>
          <w:lang w:bidi="fa-IR"/>
        </w:rPr>
      </w:pPr>
      <w:r>
        <w:rPr>
          <w:rtl/>
        </w:rPr>
        <w:t>(5).</w:t>
      </w:r>
      <w:r w:rsidRPr="00132E65">
        <w:rPr>
          <w:rtl/>
        </w:rPr>
        <w:t xml:space="preserve"> « الكَمَدُ » : الحزن المكتوم. وقيل : هو أشدّ الحزن. </w:t>
      </w:r>
      <w:r w:rsidRPr="009D1ACE">
        <w:rPr>
          <w:rStyle w:val="libFootnoteBoldChar"/>
          <w:rtl/>
        </w:rPr>
        <w:t>لسان العرب</w:t>
      </w:r>
      <w:r w:rsidRPr="00132E65">
        <w:rPr>
          <w:rtl/>
        </w:rPr>
        <w:t xml:space="preserve"> ، ج 3 ، ص 381 ( كمد )</w:t>
      </w:r>
      <w:r>
        <w:rPr>
          <w:rtl/>
        </w:rPr>
        <w:t>.</w:t>
      </w:r>
      <w:r w:rsidRPr="00132E65">
        <w:rPr>
          <w:rtl/>
        </w:rPr>
        <w:t xml:space="preserve"> واحتمل المازندراني ، والمجلسي كون الكلمة بكاف التشبيه وكسر الميم وشدّ الدال ، بمعنى القيح. وما في اللغة هو « المِدّة »</w:t>
      </w:r>
      <w:r>
        <w:rPr>
          <w:rtl/>
        </w:rPr>
        <w:t>.</w:t>
      </w:r>
      <w:r w:rsidRPr="00132E65">
        <w:rPr>
          <w:rtl/>
        </w:rPr>
        <w:t xml:space="preserve"> قال في </w:t>
      </w:r>
      <w:r w:rsidRPr="0019512B">
        <w:rPr>
          <w:rtl/>
        </w:rPr>
        <w:t>المرآة</w:t>
      </w:r>
      <w:r w:rsidRPr="00132E65">
        <w:rPr>
          <w:rtl/>
        </w:rPr>
        <w:t xml:space="preserve"> : « وهو مضاف إلى « مقيح » اسم فاعل من باب الإفعال أو التفعيل ، أي جرح ذي قيح »</w:t>
      </w:r>
      <w:r>
        <w:rPr>
          <w:rtl/>
        </w:rPr>
        <w:t>.</w:t>
      </w:r>
    </w:p>
    <w:p w:rsidR="000C39D1" w:rsidRPr="00132E65" w:rsidRDefault="000C39D1" w:rsidP="000C39D1">
      <w:pPr>
        <w:pStyle w:val="libFootnote0"/>
        <w:rPr>
          <w:rtl/>
          <w:lang w:bidi="fa-IR"/>
        </w:rPr>
      </w:pPr>
      <w:r>
        <w:rPr>
          <w:rtl/>
        </w:rPr>
        <w:t>(6).</w:t>
      </w:r>
      <w:r w:rsidRPr="00132E65">
        <w:rPr>
          <w:rtl/>
        </w:rPr>
        <w:t xml:space="preserve"> « مُقَيِّحٌ » : اسم فاعل من قَيَّحَ الجَرْحُ </w:t>
      </w:r>
      <w:r w:rsidR="00B9782D">
        <w:rPr>
          <w:rtl/>
        </w:rPr>
        <w:t>، أي صار فيه القَيْح. قال العل</w:t>
      </w:r>
      <w:r w:rsidR="00B9782D">
        <w:rPr>
          <w:rFonts w:hint="cs"/>
          <w:rtl/>
        </w:rPr>
        <w:t>ّ</w:t>
      </w:r>
      <w:r w:rsidR="00B9782D">
        <w:rPr>
          <w:rtl/>
        </w:rPr>
        <w:t>ا</w:t>
      </w:r>
      <w:r w:rsidRPr="00132E65">
        <w:rPr>
          <w:rtl/>
        </w:rPr>
        <w:t>مة المجلسي : « كمد مقيّح ، أي حزن شديديخرج قلبي ويقيّحه ، أي يوجب سيلان القيح منه »</w:t>
      </w:r>
      <w:r>
        <w:rPr>
          <w:rtl/>
        </w:rPr>
        <w:t>.</w:t>
      </w:r>
      <w:r w:rsidRPr="00132E65">
        <w:rPr>
          <w:rtl/>
        </w:rPr>
        <w:t xml:space="preserve"> راجع : </w:t>
      </w:r>
      <w:r w:rsidRPr="0019512B">
        <w:rPr>
          <w:rtl/>
        </w:rPr>
        <w:t>المصباح المنير</w:t>
      </w:r>
      <w:r w:rsidRPr="00132E65">
        <w:rPr>
          <w:rtl/>
        </w:rPr>
        <w:t xml:space="preserve"> ، ص 521 ( قيح )</w:t>
      </w:r>
      <w:r>
        <w:rPr>
          <w:rtl/>
        </w:rPr>
        <w:t>.</w:t>
      </w:r>
    </w:p>
    <w:p w:rsidR="000C39D1" w:rsidRPr="00132E65" w:rsidRDefault="000C39D1" w:rsidP="000C39D1">
      <w:pPr>
        <w:pStyle w:val="libFootnote0"/>
        <w:rPr>
          <w:rtl/>
          <w:lang w:bidi="fa-IR"/>
        </w:rPr>
      </w:pPr>
      <w:r>
        <w:rPr>
          <w:rtl/>
        </w:rPr>
        <w:t>(7).</w:t>
      </w:r>
      <w:r w:rsidRPr="00132E65">
        <w:rPr>
          <w:rtl/>
        </w:rPr>
        <w:t xml:space="preserve"> يجوز من التفعيل أيضاً.</w:t>
      </w:r>
    </w:p>
    <w:p w:rsidR="000C39D1" w:rsidRPr="00132E65" w:rsidRDefault="000C39D1" w:rsidP="000C39D1">
      <w:pPr>
        <w:pStyle w:val="libFootnote0"/>
        <w:rPr>
          <w:rtl/>
          <w:lang w:bidi="fa-IR"/>
        </w:rPr>
      </w:pPr>
      <w:r>
        <w:rPr>
          <w:rtl/>
        </w:rPr>
        <w:t>(8).</w:t>
      </w:r>
      <w:r w:rsidRPr="00132E65">
        <w:rPr>
          <w:rtl/>
        </w:rPr>
        <w:t xml:space="preserve"> يصحّ الكلمة بالظاء والضاد المعجمتين ، وكذا باللظاء والهاء. واتّفقت النسخ على الأوّل. وقال في </w:t>
      </w:r>
      <w:r w:rsidRPr="0019512B">
        <w:rPr>
          <w:rtl/>
        </w:rPr>
        <w:t>مرآة</w:t>
      </w:r>
      <w:r w:rsidR="00CF79A2">
        <w:rPr>
          <w:rFonts w:hint="cs"/>
          <w:rtl/>
        </w:rPr>
        <w:t xml:space="preserve"> </w:t>
      </w:r>
      <w:r w:rsidRPr="0019512B">
        <w:rPr>
          <w:rtl/>
        </w:rPr>
        <w:t>العقول</w:t>
      </w:r>
      <w:r w:rsidRPr="00132E65">
        <w:rPr>
          <w:rtl/>
        </w:rPr>
        <w:t xml:space="preserve"> : « والضاد المعجمة أوفق بما في كتب اللغة</w:t>
      </w:r>
      <w:r>
        <w:rPr>
          <w:rtl/>
        </w:rPr>
        <w:t xml:space="preserve"> ..</w:t>
      </w:r>
      <w:r w:rsidRPr="00132E65">
        <w:rPr>
          <w:rtl/>
        </w:rPr>
        <w:t>. وكأنّ التصحيف من النسّاخ »</w:t>
      </w:r>
      <w:r>
        <w:rPr>
          <w:rtl/>
        </w:rPr>
        <w:t>.</w:t>
      </w:r>
    </w:p>
    <w:p w:rsidR="000C39D1" w:rsidRPr="00132E65" w:rsidRDefault="000C39D1" w:rsidP="000C39D1">
      <w:pPr>
        <w:pStyle w:val="libFootnote0"/>
        <w:rPr>
          <w:rtl/>
          <w:lang w:bidi="fa-IR"/>
        </w:rPr>
      </w:pPr>
      <w:r>
        <w:rPr>
          <w:rtl/>
        </w:rPr>
        <w:t>(9).</w:t>
      </w:r>
      <w:r w:rsidRPr="00132E65">
        <w:rPr>
          <w:rtl/>
        </w:rPr>
        <w:t xml:space="preserve"> « الهَضْمُ » : الكَسْرُ. تقول : هَضَمْتُ الشي‌ءَ ، أي كسرته. ويقال : هَضَمهُ حقَّه واهتضمه ، إذا ظلمه وكسر عليه حقّه. راجع : </w:t>
      </w:r>
      <w:r w:rsidRPr="0019512B">
        <w:rPr>
          <w:rtl/>
        </w:rPr>
        <w:t>الصحاح</w:t>
      </w:r>
      <w:r w:rsidRPr="00132E65">
        <w:rPr>
          <w:rtl/>
        </w:rPr>
        <w:t xml:space="preserve"> ، ج 5 ، ص 2059 ( هضم )</w:t>
      </w:r>
      <w:r>
        <w:rPr>
          <w:rtl/>
        </w:rPr>
        <w:t>.</w:t>
      </w:r>
    </w:p>
    <w:p w:rsidR="000C39D1" w:rsidRPr="00132E65" w:rsidRDefault="000C39D1" w:rsidP="000C39D1">
      <w:pPr>
        <w:pStyle w:val="libFootnote0"/>
        <w:rPr>
          <w:rtl/>
          <w:lang w:bidi="fa-IR"/>
        </w:rPr>
      </w:pPr>
      <w:r>
        <w:rPr>
          <w:rtl/>
        </w:rPr>
        <w:t>(10).</w:t>
      </w:r>
      <w:r w:rsidRPr="00132E65">
        <w:rPr>
          <w:rtl/>
        </w:rPr>
        <w:t xml:space="preserve"> « الإحفاء » : الاستقصاء في الكلام والسؤال. يقال : أحفى فلان بصاحبه ، وحَفِيَ به ، وتَحَفّى ، أي بالغ في برّه والسؤال عن حاله. وأحفى فلان فلاناً ، أي سأله فأكثر عليه في الطلب. </w:t>
      </w:r>
      <w:r w:rsidRPr="009D1ACE">
        <w:rPr>
          <w:rStyle w:val="libFootnoteBoldChar"/>
          <w:rtl/>
        </w:rPr>
        <w:t>لسان العرب</w:t>
      </w:r>
      <w:r w:rsidRPr="00132E65">
        <w:rPr>
          <w:rtl/>
        </w:rPr>
        <w:t xml:space="preserve"> ، ج 14 ، ص 188 ( حفا )</w:t>
      </w:r>
      <w:r>
        <w:rPr>
          <w:rtl/>
        </w:rPr>
        <w:t>.</w:t>
      </w:r>
    </w:p>
    <w:p w:rsidR="000C39D1" w:rsidRPr="00132E65" w:rsidRDefault="000C39D1" w:rsidP="000C39D1">
      <w:pPr>
        <w:pStyle w:val="libFootnote0"/>
        <w:rPr>
          <w:rtl/>
          <w:lang w:bidi="fa-IR"/>
        </w:rPr>
      </w:pPr>
      <w:r>
        <w:rPr>
          <w:rtl/>
        </w:rPr>
        <w:t>(11).</w:t>
      </w:r>
      <w:r w:rsidRPr="00132E65">
        <w:rPr>
          <w:rtl/>
        </w:rPr>
        <w:t xml:space="preserve"> « الغَلِيلُ » : حرارة الجوفِ ، وحرارة الحبّ والحزن. </w:t>
      </w:r>
      <w:r w:rsidRPr="0019512B">
        <w:rPr>
          <w:rtl/>
        </w:rPr>
        <w:t>القاموس المحيط</w:t>
      </w:r>
      <w:r w:rsidRPr="00132E65">
        <w:rPr>
          <w:rtl/>
        </w:rPr>
        <w:t xml:space="preserve"> ، ج 2 ، ص 137 ( غلل )</w:t>
      </w:r>
      <w:r>
        <w:rPr>
          <w:rtl/>
        </w:rPr>
        <w:t>.</w:t>
      </w:r>
    </w:p>
    <w:p w:rsidR="000C39D1" w:rsidRPr="00132E65" w:rsidRDefault="000C39D1" w:rsidP="00CF79A2">
      <w:pPr>
        <w:pStyle w:val="libFootnote0"/>
        <w:rPr>
          <w:rtl/>
          <w:lang w:bidi="fa-IR"/>
        </w:rPr>
      </w:pPr>
      <w:r>
        <w:rPr>
          <w:rtl/>
        </w:rPr>
        <w:t>(12).</w:t>
      </w:r>
      <w:r w:rsidRPr="00132E65">
        <w:rPr>
          <w:rtl/>
        </w:rPr>
        <w:t xml:space="preserve"> « مُعْتَلِجٌ بصدرها » ، أي متلاطم فيه ؛ من اعتلجت الأمواج ، أي تلاطمت والتطمت وضرب بعضها بعضاً؛ </w:t>
      </w:r>
      <w:r w:rsidR="00CF79A2">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B3001D">
      <w:pPr>
        <w:pStyle w:val="libNormal0"/>
        <w:tabs>
          <w:tab w:val="left" w:pos="3968"/>
        </w:tabs>
        <w:rPr>
          <w:rtl/>
          <w:lang w:bidi="fa-IR"/>
        </w:rPr>
      </w:pPr>
      <w:r w:rsidRPr="00132E65">
        <w:rPr>
          <w:rtl/>
          <w:lang w:bidi="fa-IR"/>
        </w:rPr>
        <w:t xml:space="preserve">بَثِّهِ </w:t>
      </w:r>
      <w:r>
        <w:rPr>
          <w:rStyle w:val="libFootnotenumChar"/>
          <w:rtl/>
        </w:rPr>
        <w:t>(1)</w:t>
      </w:r>
      <w:r w:rsidRPr="00132E65">
        <w:rPr>
          <w:rtl/>
          <w:lang w:bidi="fa-IR"/>
        </w:rPr>
        <w:t xml:space="preserve"> سَبِيلاً ، و</w:t>
      </w:r>
      <w:r w:rsidR="00B3001D">
        <w:rPr>
          <w:rFonts w:hint="cs"/>
          <w:rtl/>
        </w:rPr>
        <w:t xml:space="preserve">َ </w:t>
      </w:r>
      <w:r w:rsidRPr="00132E65">
        <w:rPr>
          <w:rtl/>
          <w:lang w:bidi="fa-IR"/>
        </w:rPr>
        <w:t>سَتَقُولُ ، و</w:t>
      </w:r>
      <w:r w:rsidR="00B3001D">
        <w:rPr>
          <w:rFonts w:hint="cs"/>
          <w:rtl/>
          <w:lang w:bidi="fa-IR"/>
        </w:rPr>
        <w:t xml:space="preserve">َ </w:t>
      </w:r>
      <w:r w:rsidRPr="00132E65">
        <w:rPr>
          <w:rtl/>
          <w:lang w:bidi="fa-IR"/>
        </w:rPr>
        <w:t>يَحْكُمُ اللهُ و</w:t>
      </w:r>
      <w:r w:rsidR="00B3001D">
        <w:rPr>
          <w:rFonts w:hint="cs"/>
          <w:rtl/>
          <w:lang w:bidi="fa-IR"/>
        </w:rPr>
        <w:t xml:space="preserve">َ </w:t>
      </w:r>
      <w:r w:rsidRPr="00132E65">
        <w:rPr>
          <w:rtl/>
          <w:lang w:bidi="fa-IR"/>
        </w:rPr>
        <w:t xml:space="preserve">هُوَ خَيْرُ الْحَاكِمِينَ </w:t>
      </w:r>
      <w:r>
        <w:rPr>
          <w:rStyle w:val="libFootnotenumChar"/>
          <w:rtl/>
        </w:rPr>
        <w:t>(2)</w:t>
      </w:r>
    </w:p>
    <w:p w:rsidR="000C39D1" w:rsidRPr="00132E65" w:rsidRDefault="000C39D1" w:rsidP="000C39D1">
      <w:pPr>
        <w:pStyle w:val="libNormal"/>
        <w:rPr>
          <w:rtl/>
          <w:lang w:bidi="fa-IR"/>
        </w:rPr>
      </w:pPr>
      <w:r w:rsidRPr="00132E65">
        <w:rPr>
          <w:rtl/>
          <w:lang w:bidi="fa-IR"/>
        </w:rPr>
        <w:t xml:space="preserve">سَلَامَ مُوَدِّعٍ لَاقَالٍ </w:t>
      </w:r>
      <w:r>
        <w:rPr>
          <w:rStyle w:val="libFootnotenumChar"/>
          <w:rtl/>
        </w:rPr>
        <w:t>(3)</w:t>
      </w:r>
      <w:r w:rsidRPr="00132E65">
        <w:rPr>
          <w:rtl/>
          <w:lang w:bidi="fa-IR"/>
        </w:rPr>
        <w:t xml:space="preserve"> و</w:t>
      </w:r>
      <w:r w:rsidR="00B3001D">
        <w:rPr>
          <w:rFonts w:hint="cs"/>
          <w:rtl/>
          <w:lang w:bidi="fa-IR"/>
        </w:rPr>
        <w:t xml:space="preserve">َ </w:t>
      </w:r>
      <w:r w:rsidRPr="00132E65">
        <w:rPr>
          <w:rtl/>
          <w:lang w:bidi="fa-IR"/>
        </w:rPr>
        <w:t xml:space="preserve">لَاسَئِمٍ </w:t>
      </w:r>
      <w:r>
        <w:rPr>
          <w:rStyle w:val="libFootnotenumChar"/>
          <w:rtl/>
        </w:rPr>
        <w:t>(4)</w:t>
      </w:r>
      <w:r w:rsidRPr="00132E65">
        <w:rPr>
          <w:rtl/>
          <w:lang w:bidi="fa-IR"/>
        </w:rPr>
        <w:t xml:space="preserve"> ، فَإِنْ أَنْصَرِفْ فَلَا عَنْ مَلَالَةٍ ، و</w:t>
      </w:r>
      <w:r w:rsidR="00B3001D">
        <w:rPr>
          <w:rFonts w:hint="cs"/>
          <w:rtl/>
          <w:lang w:bidi="fa-IR"/>
        </w:rPr>
        <w:t xml:space="preserve">َ </w:t>
      </w:r>
      <w:r w:rsidRPr="00132E65">
        <w:rPr>
          <w:rtl/>
          <w:lang w:bidi="fa-IR"/>
        </w:rPr>
        <w:t>إِنْ أُقِمْ فَلَا عَنْ سُوءِ ظَنٍّ بِمَا وعَدَ اللهُ الصَّابِرِينَ ، و</w:t>
      </w:r>
      <w:r w:rsidR="00B3001D">
        <w:rPr>
          <w:rFonts w:hint="cs"/>
          <w:rtl/>
          <w:lang w:bidi="fa-IR"/>
        </w:rPr>
        <w:t>َ</w:t>
      </w:r>
      <w:r w:rsidRPr="00132E65">
        <w:rPr>
          <w:rtl/>
          <w:lang w:bidi="fa-IR"/>
        </w:rPr>
        <w:t xml:space="preserve">اهَ </w:t>
      </w:r>
      <w:r>
        <w:rPr>
          <w:rStyle w:val="libFootnotenumChar"/>
          <w:rtl/>
        </w:rPr>
        <w:t>(5)</w:t>
      </w:r>
      <w:r w:rsidRPr="00132E65">
        <w:rPr>
          <w:rtl/>
          <w:lang w:bidi="fa-IR"/>
        </w:rPr>
        <w:t xml:space="preserve"> و</w:t>
      </w:r>
      <w:r w:rsidR="00B3001D">
        <w:rPr>
          <w:rFonts w:hint="cs"/>
          <w:rtl/>
          <w:lang w:bidi="fa-IR"/>
        </w:rPr>
        <w:t>َ</w:t>
      </w:r>
      <w:r w:rsidRPr="00132E65">
        <w:rPr>
          <w:rtl/>
          <w:lang w:bidi="fa-IR"/>
        </w:rPr>
        <w:t>اهاً ، و</w:t>
      </w:r>
      <w:r w:rsidR="00B3001D">
        <w:rPr>
          <w:rFonts w:hint="cs"/>
          <w:rtl/>
          <w:lang w:bidi="fa-IR"/>
        </w:rPr>
        <w:t xml:space="preserve">َ </w:t>
      </w:r>
      <w:r w:rsidRPr="00132E65">
        <w:rPr>
          <w:rtl/>
          <w:lang w:bidi="fa-IR"/>
        </w:rPr>
        <w:t>الصَّبْرُ أَيْمَنُ و</w:t>
      </w:r>
      <w:r w:rsidR="00286173">
        <w:rPr>
          <w:rFonts w:hint="cs"/>
          <w:rtl/>
          <w:lang w:bidi="fa-IR"/>
        </w:rPr>
        <w:t xml:space="preserve">َ </w:t>
      </w:r>
      <w:r w:rsidRPr="00132E65">
        <w:rPr>
          <w:rtl/>
          <w:lang w:bidi="fa-IR"/>
        </w:rPr>
        <w:t>أَجْمَلُ ، و</w:t>
      </w:r>
      <w:r w:rsidR="00286173">
        <w:rPr>
          <w:rFonts w:hint="cs"/>
          <w:rtl/>
          <w:lang w:bidi="fa-IR"/>
        </w:rPr>
        <w:t xml:space="preserve">َ </w:t>
      </w:r>
      <w:r w:rsidRPr="00132E65">
        <w:rPr>
          <w:rtl/>
          <w:lang w:bidi="fa-IR"/>
        </w:rPr>
        <w:t>لَوْ لَاغَلَبَةُ الْمُسْتَوْلِينَ لَجَعَلْتُ الْمُقَامَ واللَّبْثَ لِزَاماً مَعْكُوفاً ، و</w:t>
      </w:r>
      <w:r w:rsidR="00286173">
        <w:rPr>
          <w:rFonts w:hint="cs"/>
          <w:rtl/>
          <w:lang w:bidi="fa-IR"/>
        </w:rPr>
        <w:t xml:space="preserve">َ </w:t>
      </w:r>
      <w:r w:rsidRPr="00132E65">
        <w:rPr>
          <w:rtl/>
          <w:lang w:bidi="fa-IR"/>
        </w:rPr>
        <w:t xml:space="preserve">لَأَعْوَلْتُ </w:t>
      </w:r>
      <w:r>
        <w:rPr>
          <w:rStyle w:val="libFootnotenumChar"/>
          <w:rtl/>
        </w:rPr>
        <w:t>(6)</w:t>
      </w:r>
      <w:r w:rsidRPr="00132E65">
        <w:rPr>
          <w:rtl/>
          <w:lang w:bidi="fa-IR"/>
        </w:rPr>
        <w:t xml:space="preserve"> إِعْوَالَ الثَّكْلى </w:t>
      </w:r>
      <w:r>
        <w:rPr>
          <w:rStyle w:val="libFootnotenumChar"/>
          <w:rtl/>
        </w:rPr>
        <w:t>(7)</w:t>
      </w:r>
      <w:r w:rsidRPr="00132E65">
        <w:rPr>
          <w:rtl/>
          <w:lang w:bidi="fa-IR"/>
        </w:rPr>
        <w:t xml:space="preserve"> عَلى جَلِيلِ الرَّزِيَّةِ </w:t>
      </w:r>
      <w:r>
        <w:rPr>
          <w:rStyle w:val="libFootnotenumChar"/>
          <w:rtl/>
        </w:rPr>
        <w:t>(8)</w:t>
      </w:r>
      <w:r w:rsidRPr="00132E65">
        <w:rPr>
          <w:rtl/>
          <w:lang w:bidi="fa-IR"/>
        </w:rPr>
        <w:t xml:space="preserve"> ، فَبِعَيْنِ اللهِ تُدْفَنُ ابْنَتُكَ سِرّاً ، و</w:t>
      </w:r>
      <w:r w:rsidR="00286173">
        <w:rPr>
          <w:rFonts w:hint="cs"/>
          <w:rtl/>
          <w:lang w:bidi="fa-IR"/>
        </w:rPr>
        <w:t xml:space="preserve">َ </w:t>
      </w:r>
      <w:r w:rsidRPr="00132E65">
        <w:rPr>
          <w:rtl/>
          <w:lang w:bidi="fa-IR"/>
        </w:rPr>
        <w:t xml:space="preserve">تُهْضَمُ </w:t>
      </w:r>
      <w:r>
        <w:rPr>
          <w:rStyle w:val="libFootnotenumChar"/>
          <w:rtl/>
        </w:rPr>
        <w:t>(9)</w:t>
      </w:r>
      <w:r w:rsidRPr="00132E65">
        <w:rPr>
          <w:rtl/>
          <w:lang w:bidi="fa-IR"/>
        </w:rPr>
        <w:t xml:space="preserve"> حَقَّهَا </w:t>
      </w:r>
      <w:r>
        <w:rPr>
          <w:rStyle w:val="libFootnotenumChar"/>
          <w:rtl/>
        </w:rPr>
        <w:t>(10)</w:t>
      </w:r>
      <w:r w:rsidRPr="00132E65">
        <w:rPr>
          <w:rtl/>
          <w:lang w:bidi="fa-IR"/>
        </w:rPr>
        <w:t xml:space="preserve"> ، و</w:t>
      </w:r>
      <w:r w:rsidR="00286173">
        <w:rPr>
          <w:rFonts w:hint="cs"/>
          <w:rtl/>
          <w:lang w:bidi="fa-IR"/>
        </w:rPr>
        <w:t xml:space="preserve">َ </w:t>
      </w:r>
      <w:r w:rsidRPr="00132E65">
        <w:rPr>
          <w:rtl/>
          <w:lang w:bidi="fa-IR"/>
        </w:rPr>
        <w:t xml:space="preserve">تُمْنَعُ </w:t>
      </w:r>
      <w:r>
        <w:rPr>
          <w:rStyle w:val="libFootnotenumChar"/>
          <w:rtl/>
        </w:rPr>
        <w:t>(11)</w:t>
      </w:r>
      <w:r w:rsidRPr="00132E65">
        <w:rPr>
          <w:rtl/>
          <w:lang w:bidi="fa-IR"/>
        </w:rPr>
        <w:t xml:space="preserve"> إِرْثَهَا </w:t>
      </w:r>
      <w:r>
        <w:rPr>
          <w:rStyle w:val="libFootnotenumChar"/>
          <w:rtl/>
        </w:rPr>
        <w:t>(12)</w:t>
      </w:r>
      <w:r w:rsidRPr="00132E65">
        <w:rPr>
          <w:rtl/>
          <w:lang w:bidi="fa-IR"/>
        </w:rPr>
        <w:t xml:space="preserve"> ، و</w:t>
      </w:r>
      <w:r w:rsidR="00286173">
        <w:rPr>
          <w:rFonts w:hint="cs"/>
          <w:rtl/>
          <w:lang w:bidi="fa-IR"/>
        </w:rPr>
        <w:t xml:space="preserve">َ </w:t>
      </w:r>
      <w:r w:rsidRPr="00132E65">
        <w:rPr>
          <w:rtl/>
          <w:lang w:bidi="fa-IR"/>
        </w:rPr>
        <w:t>لَمْ يَتَبَاعَدِ‌</w:t>
      </w:r>
    </w:p>
    <w:p w:rsidR="000C39D1" w:rsidRPr="00132E65" w:rsidRDefault="000C39D1" w:rsidP="000C39D1">
      <w:pPr>
        <w:pStyle w:val="libLine"/>
        <w:rPr>
          <w:rtl/>
          <w:lang w:bidi="fa-IR"/>
        </w:rPr>
      </w:pPr>
      <w:r w:rsidRPr="00132E65">
        <w:rPr>
          <w:rtl/>
          <w:lang w:bidi="fa-IR"/>
        </w:rPr>
        <w:t>__________________</w:t>
      </w:r>
    </w:p>
    <w:p w:rsidR="000C39D1" w:rsidRPr="00132E65" w:rsidRDefault="00286173" w:rsidP="000C39D1">
      <w:pPr>
        <w:pStyle w:val="libFootnote0"/>
        <w:rPr>
          <w:rtl/>
          <w:lang w:bidi="fa-IR"/>
        </w:rPr>
      </w:pPr>
      <w:r>
        <w:rPr>
          <w:rFonts w:hint="cs"/>
          <w:rtl/>
        </w:rPr>
        <w:t xml:space="preserve">= </w:t>
      </w:r>
      <w:r w:rsidR="000C39D1" w:rsidRPr="00132E65">
        <w:rPr>
          <w:rtl/>
        </w:rPr>
        <w:t xml:space="preserve">من اللَطْم وهو ضرب الوجه ونحوه بالكفّ. راجع : </w:t>
      </w:r>
      <w:r w:rsidR="000C39D1" w:rsidRPr="009D1ACE">
        <w:rPr>
          <w:rStyle w:val="libFootnoteBoldChar"/>
          <w:rtl/>
        </w:rPr>
        <w:t>لسان العرب</w:t>
      </w:r>
      <w:r w:rsidR="000C39D1" w:rsidRPr="00132E65">
        <w:rPr>
          <w:rtl/>
        </w:rPr>
        <w:t xml:space="preserve"> ، ج 2 ، ص 327 ( علج )</w:t>
      </w:r>
      <w:r w:rsidR="000C39D1">
        <w:rPr>
          <w:rtl/>
        </w:rPr>
        <w:t>.</w:t>
      </w:r>
    </w:p>
    <w:p w:rsidR="000C39D1" w:rsidRPr="00132E65" w:rsidRDefault="000C39D1" w:rsidP="000C39D1">
      <w:pPr>
        <w:pStyle w:val="libFootnote0"/>
        <w:rPr>
          <w:rtl/>
          <w:lang w:bidi="fa-IR"/>
        </w:rPr>
      </w:pPr>
      <w:r>
        <w:rPr>
          <w:rtl/>
        </w:rPr>
        <w:t>(1).</w:t>
      </w:r>
      <w:r w:rsidRPr="00132E65">
        <w:rPr>
          <w:rtl/>
        </w:rPr>
        <w:t xml:space="preserve"> بَثَّ الخبرَ وأبثّه بمعنى ، أي نشره. يقال : أبثثتك سرّي ، أي أظهرته لك. وبثّث الخبرَ ، شُدّد للمبالغة ، فانبثّ ، أي انتشر. </w:t>
      </w:r>
      <w:r w:rsidRPr="0019512B">
        <w:rPr>
          <w:rtl/>
        </w:rPr>
        <w:t>الصحاح</w:t>
      </w:r>
      <w:r w:rsidRPr="00132E65">
        <w:rPr>
          <w:rtl/>
        </w:rPr>
        <w:t xml:space="preserve"> ، ج 1 ، ص 273 ( بثث )</w:t>
      </w:r>
      <w:r>
        <w:rPr>
          <w:rtl/>
        </w:rPr>
        <w:t>.</w:t>
      </w:r>
    </w:p>
    <w:p w:rsidR="000C39D1" w:rsidRPr="00132E65" w:rsidRDefault="000C39D1" w:rsidP="000C39D1">
      <w:pPr>
        <w:pStyle w:val="libFootnote0"/>
        <w:rPr>
          <w:rtl/>
          <w:lang w:bidi="fa-IR"/>
        </w:rPr>
      </w:pPr>
      <w:r>
        <w:rPr>
          <w:rtl/>
        </w:rPr>
        <w:t>(2).</w:t>
      </w:r>
      <w:r w:rsidRPr="00132E65">
        <w:rPr>
          <w:rtl/>
        </w:rPr>
        <w:t xml:space="preserve"> في البحار :</w:t>
      </w:r>
      <w:r>
        <w:rPr>
          <w:rtl/>
        </w:rPr>
        <w:t xml:space="preserve"> + </w:t>
      </w:r>
      <w:r w:rsidRPr="00132E65">
        <w:rPr>
          <w:rtl/>
        </w:rPr>
        <w:t>« والسلام عليكما »</w:t>
      </w:r>
      <w:r>
        <w:rPr>
          <w:rtl/>
        </w:rPr>
        <w:t>.</w:t>
      </w:r>
      <w:r w:rsidRPr="00132E65">
        <w:rPr>
          <w:rtl/>
        </w:rPr>
        <w:t xml:space="preserve"> وفي الأمالي للمفيد والطوسي :</w:t>
      </w:r>
      <w:r>
        <w:rPr>
          <w:rtl/>
        </w:rPr>
        <w:t xml:space="preserve"> + </w:t>
      </w:r>
      <w:r w:rsidRPr="00132E65">
        <w:rPr>
          <w:rtl/>
        </w:rPr>
        <w:t>« سلام عليك يا رسول الله »</w:t>
      </w:r>
      <w:r>
        <w:rPr>
          <w:rtl/>
        </w:rPr>
        <w:t>.</w:t>
      </w:r>
    </w:p>
    <w:p w:rsidR="000C39D1" w:rsidRPr="00132E65" w:rsidRDefault="000C39D1" w:rsidP="000C39D1">
      <w:pPr>
        <w:pStyle w:val="libFootnote0"/>
        <w:rPr>
          <w:rtl/>
          <w:lang w:bidi="fa-IR"/>
        </w:rPr>
      </w:pPr>
      <w:r>
        <w:rPr>
          <w:rtl/>
        </w:rPr>
        <w:t>(3).</w:t>
      </w:r>
      <w:r w:rsidRPr="00132E65">
        <w:rPr>
          <w:rtl/>
        </w:rPr>
        <w:t xml:space="preserve"> « قالٍ » ، أي مبغض ؛ من القلى بمعنى البغض ، فإن فتحت القاف مددت. قال المجلسي : « لا قالٍ ، بالجرّ نعت‌مودّع ، أو بالرفع بتقدير : لا هو قالٌ ، والجملة نعت مودّع »</w:t>
      </w:r>
      <w:r>
        <w:rPr>
          <w:rtl/>
        </w:rPr>
        <w:t>.</w:t>
      </w:r>
      <w:r w:rsidRPr="00132E65">
        <w:rPr>
          <w:rtl/>
        </w:rPr>
        <w:t xml:space="preserve"> راجع : </w:t>
      </w:r>
      <w:r w:rsidRPr="0019512B">
        <w:rPr>
          <w:rtl/>
        </w:rPr>
        <w:t>الصحاح</w:t>
      </w:r>
      <w:r w:rsidRPr="00132E65">
        <w:rPr>
          <w:rtl/>
        </w:rPr>
        <w:t xml:space="preserve"> ، ج 6 ، ص 2467 ( قلا )</w:t>
      </w:r>
      <w:r>
        <w:rPr>
          <w:rtl/>
        </w:rPr>
        <w:t>.</w:t>
      </w:r>
    </w:p>
    <w:p w:rsidR="000C39D1" w:rsidRPr="00132E65" w:rsidRDefault="000C39D1" w:rsidP="000C39D1">
      <w:pPr>
        <w:pStyle w:val="libFootnote0"/>
        <w:rPr>
          <w:rtl/>
          <w:lang w:bidi="fa-IR"/>
        </w:rPr>
      </w:pPr>
      <w:r>
        <w:rPr>
          <w:rtl/>
        </w:rPr>
        <w:t>(4).</w:t>
      </w:r>
      <w:r w:rsidRPr="00132E65">
        <w:rPr>
          <w:rtl/>
        </w:rPr>
        <w:t xml:space="preserve"> في « بر » : « لا سائم »</w:t>
      </w:r>
      <w:r>
        <w:rPr>
          <w:rtl/>
        </w:rPr>
        <w:t>.</w:t>
      </w:r>
      <w:r w:rsidRPr="00132E65">
        <w:rPr>
          <w:rtl/>
        </w:rPr>
        <w:t xml:space="preserve"> </w:t>
      </w:r>
      <w:r>
        <w:rPr>
          <w:rtl/>
        </w:rPr>
        <w:t>و «</w:t>
      </w:r>
      <w:r w:rsidRPr="00132E65">
        <w:rPr>
          <w:rtl/>
        </w:rPr>
        <w:t xml:space="preserve"> السَئِمُ » : الملول وا</w:t>
      </w:r>
      <w:r w:rsidR="00286173">
        <w:rPr>
          <w:rtl/>
        </w:rPr>
        <w:t>لضَجِرُ ، من السَآمَة ، وهو الم</w:t>
      </w:r>
      <w:r w:rsidR="00286173">
        <w:rPr>
          <w:rFonts w:hint="cs"/>
          <w:rtl/>
        </w:rPr>
        <w:t>ـَ</w:t>
      </w:r>
      <w:r w:rsidRPr="00132E65">
        <w:rPr>
          <w:rtl/>
        </w:rPr>
        <w:t xml:space="preserve">لَلُ والضَجَرُ. يقال : سَئِمَ الشي‌ءَ ومنه سَأماً وسَآمةً ، أي ملّه وضجر منه. راجع : </w:t>
      </w:r>
      <w:r w:rsidRPr="009D1ACE">
        <w:rPr>
          <w:rStyle w:val="libFootnoteBoldChar"/>
          <w:rtl/>
        </w:rPr>
        <w:t>لسان العرب</w:t>
      </w:r>
      <w:r w:rsidRPr="00132E65">
        <w:rPr>
          <w:rtl/>
        </w:rPr>
        <w:t xml:space="preserve"> ، ج 12 ، ص 280 ( سئم )</w:t>
      </w:r>
      <w:r>
        <w:rPr>
          <w:rtl/>
        </w:rPr>
        <w:t>.</w:t>
      </w:r>
    </w:p>
    <w:p w:rsidR="000C39D1" w:rsidRPr="00132E65" w:rsidRDefault="000C39D1" w:rsidP="000C39D1">
      <w:pPr>
        <w:pStyle w:val="libFootnote0"/>
        <w:rPr>
          <w:rtl/>
          <w:lang w:bidi="fa-IR"/>
        </w:rPr>
      </w:pPr>
      <w:r>
        <w:rPr>
          <w:rtl/>
        </w:rPr>
        <w:t>(5).</w:t>
      </w:r>
      <w:r w:rsidRPr="00132E65">
        <w:rPr>
          <w:rtl/>
        </w:rPr>
        <w:t xml:space="preserve"> في « ب » : « فآه »</w:t>
      </w:r>
      <w:r>
        <w:rPr>
          <w:rtl/>
        </w:rPr>
        <w:t>.</w:t>
      </w:r>
      <w:r w:rsidRPr="00132E65">
        <w:rPr>
          <w:rtl/>
        </w:rPr>
        <w:t xml:space="preserve"> وفي البحار : « واهاً »</w:t>
      </w:r>
      <w:r>
        <w:rPr>
          <w:rtl/>
        </w:rPr>
        <w:t>.</w:t>
      </w:r>
      <w:r w:rsidRPr="00132E65">
        <w:rPr>
          <w:rtl/>
        </w:rPr>
        <w:t xml:space="preserve"> وفي </w:t>
      </w:r>
      <w:r w:rsidRPr="0019512B">
        <w:rPr>
          <w:rtl/>
        </w:rPr>
        <w:t>شرح المازندراني</w:t>
      </w:r>
      <w:r w:rsidRPr="00132E65">
        <w:rPr>
          <w:rtl/>
        </w:rPr>
        <w:t xml:space="preserve"> : « الظاهر أنّ الواوين للعطف والربط »</w:t>
      </w:r>
      <w:r>
        <w:rPr>
          <w:rtl/>
        </w:rPr>
        <w:t>.</w:t>
      </w:r>
      <w:r w:rsidRPr="00132E65">
        <w:rPr>
          <w:rtl/>
        </w:rPr>
        <w:t xml:space="preserve"> وفي مرآةالعقول : « الواو فيهما جزء الكلمة ، أو للعطف ، أو في إحداهما للعطف وفي الا</w:t>
      </w:r>
      <w:r w:rsidR="006F3673">
        <w:rPr>
          <w:rFonts w:hint="cs"/>
          <w:rtl/>
        </w:rPr>
        <w:t>ُ</w:t>
      </w:r>
      <w:r w:rsidRPr="00132E65">
        <w:rPr>
          <w:rtl/>
        </w:rPr>
        <w:t>خرى جزء الكلمة</w:t>
      </w:r>
      <w:r>
        <w:rPr>
          <w:rtl/>
        </w:rPr>
        <w:t xml:space="preserve"> ..</w:t>
      </w:r>
      <w:r w:rsidRPr="00132E65">
        <w:rPr>
          <w:rtl/>
        </w:rPr>
        <w:t>. وعلى التقادير الأوّل غير منوّن والثاني منوّن »</w:t>
      </w:r>
      <w:r>
        <w:rPr>
          <w:rtl/>
        </w:rPr>
        <w:t>.</w:t>
      </w:r>
      <w:r w:rsidRPr="00132E65">
        <w:rPr>
          <w:rtl/>
        </w:rPr>
        <w:t xml:space="preserve"> ومعنى « واهَ » : التلهّف ، أي الحزن والتحسّر. وقد توضع موضع الإعجاب بالشي‌ء. يقال : واهاً له. وقد ترد بمعنى التوجّع ، أي التألّم. وينوّن ولا ينوّن ، فالتنوين عَلَمُ التنكير وتركه عَلَمُ التعريف. راجع : </w:t>
      </w:r>
      <w:r w:rsidRPr="0019512B">
        <w:rPr>
          <w:rtl/>
        </w:rPr>
        <w:t>النهاية</w:t>
      </w:r>
      <w:r w:rsidRPr="00132E65">
        <w:rPr>
          <w:rtl/>
        </w:rPr>
        <w:t xml:space="preserve"> ، ج 5 ، ص 144 ؛ </w:t>
      </w:r>
      <w:r w:rsidRPr="009D1ACE">
        <w:rPr>
          <w:rStyle w:val="libFootnoteBoldChar"/>
          <w:rtl/>
        </w:rPr>
        <w:t>لسان العرب</w:t>
      </w:r>
      <w:r w:rsidRPr="00132E65">
        <w:rPr>
          <w:rtl/>
        </w:rPr>
        <w:t xml:space="preserve"> ، ج 13 ، ص 564 ( ويه )</w:t>
      </w:r>
      <w:r>
        <w:rPr>
          <w:rtl/>
        </w:rPr>
        <w:t>.</w:t>
      </w:r>
    </w:p>
    <w:p w:rsidR="000C39D1" w:rsidRPr="00132E65" w:rsidRDefault="000C39D1" w:rsidP="000C39D1">
      <w:pPr>
        <w:pStyle w:val="libFootnote0"/>
        <w:rPr>
          <w:rtl/>
          <w:lang w:bidi="fa-IR"/>
        </w:rPr>
      </w:pPr>
      <w:r>
        <w:rPr>
          <w:rtl/>
        </w:rPr>
        <w:t>(6).</w:t>
      </w:r>
      <w:r w:rsidRPr="00132E65">
        <w:rPr>
          <w:rtl/>
        </w:rPr>
        <w:t xml:space="preserve"> « لأعولتُ » ، أي لبكيت رافعاً صوتي ؛ من العَوْل والعَوْلة بمعنى رفع الصوت بالبكاء. راجع : </w:t>
      </w:r>
      <w:r w:rsidRPr="0019512B">
        <w:rPr>
          <w:rtl/>
        </w:rPr>
        <w:t>الصحاح</w:t>
      </w:r>
      <w:r w:rsidRPr="00132E65">
        <w:rPr>
          <w:rtl/>
        </w:rPr>
        <w:t xml:space="preserve"> ، ج 5 ، ص 1776 ( عول )</w:t>
      </w:r>
      <w:r>
        <w:rPr>
          <w:rtl/>
        </w:rPr>
        <w:t>.</w:t>
      </w:r>
    </w:p>
    <w:p w:rsidR="000C39D1" w:rsidRPr="00132E65" w:rsidRDefault="000C39D1" w:rsidP="000C39D1">
      <w:pPr>
        <w:pStyle w:val="libFootnote0"/>
        <w:rPr>
          <w:rtl/>
          <w:lang w:bidi="fa-IR"/>
        </w:rPr>
      </w:pPr>
      <w:r>
        <w:rPr>
          <w:rtl/>
        </w:rPr>
        <w:t>(7).</w:t>
      </w:r>
      <w:r w:rsidRPr="00132E65">
        <w:rPr>
          <w:rtl/>
        </w:rPr>
        <w:t xml:space="preserve"> « الثكلى » : المرأة الفاقدة لزوجها ، أو ولدها ؛ من الثُكْل والثَكل بمعنى فقدان المرأة ولدها ، أو فقدان الحبيب. وأكثر ما يستعمل في فقدان المرأة زوجها ، أو في فقدان الرجل والمرأة ولدهما. راجع : </w:t>
      </w:r>
      <w:r w:rsidRPr="009D1ACE">
        <w:rPr>
          <w:rStyle w:val="libFootnoteBoldChar"/>
          <w:rtl/>
        </w:rPr>
        <w:t>لسان العرب</w:t>
      </w:r>
      <w:r w:rsidRPr="00132E65">
        <w:rPr>
          <w:rtl/>
        </w:rPr>
        <w:t xml:space="preserve"> ، ج 11 ، ص 88 ( ثكل )</w:t>
      </w:r>
      <w:r>
        <w:rPr>
          <w:rtl/>
        </w:rPr>
        <w:t>.</w:t>
      </w:r>
    </w:p>
    <w:p w:rsidR="000C39D1" w:rsidRPr="00132E65" w:rsidRDefault="000C39D1" w:rsidP="000C39D1">
      <w:pPr>
        <w:pStyle w:val="libFootnote0"/>
        <w:rPr>
          <w:rtl/>
          <w:lang w:bidi="fa-IR"/>
        </w:rPr>
      </w:pPr>
      <w:r>
        <w:rPr>
          <w:rtl/>
        </w:rPr>
        <w:t>(8).</w:t>
      </w:r>
      <w:r w:rsidRPr="00132E65">
        <w:rPr>
          <w:rtl/>
        </w:rPr>
        <w:t xml:space="preserve"> « الرَزِيّة » : المصيبة ، والجمع : رزايا. وأصلها الهمز ، يقال : رَزَأْتُهُ. </w:t>
      </w:r>
      <w:r w:rsidRPr="0019512B">
        <w:rPr>
          <w:rtl/>
        </w:rPr>
        <w:t>المصباح المنير</w:t>
      </w:r>
      <w:r w:rsidRPr="00132E65">
        <w:rPr>
          <w:rtl/>
        </w:rPr>
        <w:t xml:space="preserve"> ، ص 226 ( رزى )</w:t>
      </w:r>
      <w:r>
        <w:rPr>
          <w:rtl/>
        </w:rPr>
        <w:t>.</w:t>
      </w:r>
    </w:p>
    <w:p w:rsidR="000C39D1" w:rsidRPr="00132E65" w:rsidRDefault="000C39D1" w:rsidP="000C39D1">
      <w:pPr>
        <w:pStyle w:val="libFootnote0"/>
        <w:rPr>
          <w:rtl/>
          <w:lang w:bidi="fa-IR"/>
        </w:rPr>
      </w:pPr>
      <w:r>
        <w:rPr>
          <w:rtl/>
        </w:rPr>
        <w:t>(9).</w:t>
      </w:r>
      <w:r w:rsidRPr="00132E65">
        <w:rPr>
          <w:rtl/>
        </w:rPr>
        <w:t xml:space="preserve"> في شرح المازندراني و</w:t>
      </w:r>
      <w:r w:rsidRPr="009D1ACE">
        <w:rPr>
          <w:rStyle w:val="libFootnoteBoldChar"/>
          <w:rtl/>
        </w:rPr>
        <w:t>الوافي</w:t>
      </w:r>
      <w:r w:rsidRPr="00132E65">
        <w:rPr>
          <w:rtl/>
        </w:rPr>
        <w:t xml:space="preserve"> : « يهضم »</w:t>
      </w:r>
      <w:r>
        <w:rPr>
          <w:rtl/>
        </w:rPr>
        <w:t>.</w:t>
      </w:r>
    </w:p>
    <w:p w:rsidR="000C39D1" w:rsidRPr="00132E65" w:rsidRDefault="000C39D1" w:rsidP="000C39D1">
      <w:pPr>
        <w:pStyle w:val="libFootnote0"/>
        <w:rPr>
          <w:rtl/>
          <w:lang w:bidi="fa-IR"/>
        </w:rPr>
      </w:pPr>
      <w:r>
        <w:rPr>
          <w:rtl/>
        </w:rPr>
        <w:t>(10).</w:t>
      </w:r>
      <w:r w:rsidRPr="00132E65">
        <w:rPr>
          <w:rtl/>
        </w:rPr>
        <w:t xml:space="preserve"> في الأمالي للمفيد والطوسي :</w:t>
      </w:r>
      <w:r>
        <w:rPr>
          <w:rtl/>
        </w:rPr>
        <w:t xml:space="preserve"> + </w:t>
      </w:r>
      <w:r w:rsidRPr="00132E65">
        <w:rPr>
          <w:rtl/>
        </w:rPr>
        <w:t>« قهراً »</w:t>
      </w:r>
      <w:r>
        <w:rPr>
          <w:rtl/>
        </w:rPr>
        <w:t>.</w:t>
      </w:r>
    </w:p>
    <w:p w:rsidR="000C39D1" w:rsidRPr="00132E65" w:rsidRDefault="000C39D1" w:rsidP="000C39D1">
      <w:pPr>
        <w:pStyle w:val="libFootnote0"/>
        <w:rPr>
          <w:rtl/>
          <w:lang w:bidi="fa-IR"/>
        </w:rPr>
      </w:pPr>
      <w:r>
        <w:rPr>
          <w:rtl/>
        </w:rPr>
        <w:t>(11).</w:t>
      </w:r>
      <w:r w:rsidRPr="00132E65">
        <w:rPr>
          <w:rtl/>
        </w:rPr>
        <w:t xml:space="preserve"> في شرح المازندراني و</w:t>
      </w:r>
      <w:r w:rsidRPr="009D1ACE">
        <w:rPr>
          <w:rStyle w:val="libFootnoteBoldChar"/>
          <w:rtl/>
        </w:rPr>
        <w:t>الوافي</w:t>
      </w:r>
      <w:r w:rsidRPr="00132E65">
        <w:rPr>
          <w:rtl/>
        </w:rPr>
        <w:t xml:space="preserve"> والبحار : « ويمنع »</w:t>
      </w:r>
      <w:r>
        <w:rPr>
          <w:rtl/>
        </w:rPr>
        <w:t>.</w:t>
      </w:r>
    </w:p>
    <w:p w:rsidR="000C39D1" w:rsidRPr="00132E65" w:rsidRDefault="000C39D1" w:rsidP="000C39D1">
      <w:pPr>
        <w:pStyle w:val="libFootnote0"/>
        <w:rPr>
          <w:rtl/>
          <w:lang w:bidi="fa-IR"/>
        </w:rPr>
      </w:pPr>
      <w:r>
        <w:rPr>
          <w:rtl/>
        </w:rPr>
        <w:t>(12).</w:t>
      </w:r>
      <w:r w:rsidRPr="00132E65">
        <w:rPr>
          <w:rtl/>
        </w:rPr>
        <w:t xml:space="preserve"> في الأمالي للمفيد والطوسي :</w:t>
      </w:r>
      <w:r>
        <w:rPr>
          <w:rtl/>
        </w:rPr>
        <w:t xml:space="preserve"> + </w:t>
      </w:r>
      <w:r w:rsidRPr="00132E65">
        <w:rPr>
          <w:rtl/>
        </w:rPr>
        <w:t>« جهراً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الْعَهْدُ </w:t>
      </w:r>
      <w:r>
        <w:rPr>
          <w:rStyle w:val="libFootnotenumChar"/>
          <w:rtl/>
        </w:rPr>
        <w:t>(1)</w:t>
      </w:r>
      <w:r w:rsidRPr="00132E65">
        <w:rPr>
          <w:rtl/>
          <w:lang w:bidi="fa-IR"/>
        </w:rPr>
        <w:t xml:space="preserve"> ، و</w:t>
      </w:r>
      <w:r w:rsidR="006F3673">
        <w:rPr>
          <w:rFonts w:hint="cs"/>
          <w:rtl/>
          <w:lang w:bidi="fa-IR"/>
        </w:rPr>
        <w:t xml:space="preserve">َ </w:t>
      </w:r>
      <w:r w:rsidRPr="00132E65">
        <w:rPr>
          <w:rtl/>
          <w:lang w:bidi="fa-IR"/>
        </w:rPr>
        <w:t xml:space="preserve">لَمْ يَخْلَقْ </w:t>
      </w:r>
      <w:r>
        <w:rPr>
          <w:rStyle w:val="libFootnotenumChar"/>
          <w:rtl/>
        </w:rPr>
        <w:t>(2)</w:t>
      </w:r>
      <w:r w:rsidRPr="00132E65">
        <w:rPr>
          <w:rtl/>
          <w:lang w:bidi="fa-IR"/>
        </w:rPr>
        <w:t xml:space="preserve"> مِنْكَ الذِّكْرُ ، و</w:t>
      </w:r>
      <w:r w:rsidR="006F3673">
        <w:rPr>
          <w:rFonts w:hint="cs"/>
          <w:rtl/>
          <w:lang w:bidi="fa-IR"/>
        </w:rPr>
        <w:t xml:space="preserve">َ </w:t>
      </w:r>
      <w:r w:rsidRPr="00132E65">
        <w:rPr>
          <w:rtl/>
          <w:lang w:bidi="fa-IR"/>
        </w:rPr>
        <w:t>إِلَى اللهِ يَا رَسُولَ اللهِ الْمُشْتَكى ، و</w:t>
      </w:r>
      <w:r w:rsidR="006F3673">
        <w:rPr>
          <w:rFonts w:hint="cs"/>
          <w:rtl/>
          <w:lang w:bidi="fa-IR"/>
        </w:rPr>
        <w:t xml:space="preserve">َ </w:t>
      </w:r>
      <w:r w:rsidRPr="00132E65">
        <w:rPr>
          <w:rtl/>
          <w:lang w:bidi="fa-IR"/>
        </w:rPr>
        <w:t>فِيكَ يَا رَسُولَ اللهِ أَحْسَنُ الْعَزَاءِ ، صَلَّى اللهُ عَلَيْكَ ، و</w:t>
      </w:r>
      <w:r w:rsidR="006F3673">
        <w:rPr>
          <w:rFonts w:hint="cs"/>
          <w:rtl/>
          <w:lang w:bidi="fa-IR"/>
        </w:rPr>
        <w:t xml:space="preserve">َ </w:t>
      </w:r>
      <w:r w:rsidRPr="00132E65">
        <w:rPr>
          <w:rtl/>
          <w:lang w:bidi="fa-IR"/>
        </w:rPr>
        <w:t>عَلَيْهَا السَّلَامُ و</w:t>
      </w:r>
      <w:r w:rsidR="006F3673">
        <w:rPr>
          <w:rFonts w:hint="cs"/>
          <w:rtl/>
          <w:lang w:bidi="fa-IR"/>
        </w:rPr>
        <w:t xml:space="preserve">َ </w:t>
      </w:r>
      <w:r w:rsidRPr="00132E65">
        <w:rPr>
          <w:rtl/>
          <w:lang w:bidi="fa-IR"/>
        </w:rPr>
        <w:t>الرِّضْوَانُ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6D299E">
        <w:rPr>
          <w:rtl/>
        </w:rPr>
        <w:t>1247</w:t>
      </w:r>
      <w:r w:rsidRPr="004325D8">
        <w:rPr>
          <w:rStyle w:val="libBold2Char"/>
          <w:rtl/>
        </w:rPr>
        <w:t xml:space="preserve"> / 5.</w:t>
      </w:r>
      <w:r w:rsidRPr="00132E65">
        <w:rPr>
          <w:rtl/>
          <w:lang w:bidi="fa-IR"/>
        </w:rPr>
        <w:t xml:space="preserve"> عِدَّةٌ مِنْ أَصْحَابِنَا ، عَنْ أَحْمَدَ بْنِ مُحَمَّدِ بْنِ عِيسى ، عَنْ أَحْمَدَ بْنِ مُحَمَّدِ بْنِ أَبِي نَصْرٍ ، عَنْ عَبْدِ الرَّحْمنِ بْنِ سَالِمٍ ، عَنِ الْمُفَضَّلِ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قُلْتُ لِأَبِي عَبْدِ اللهِ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مَنْ غَسَّلَ </w:t>
      </w:r>
      <w:r>
        <w:rPr>
          <w:rStyle w:val="libFootnotenumChar"/>
          <w:rtl/>
        </w:rPr>
        <w:t>(6)</w:t>
      </w:r>
      <w:r w:rsidRPr="00132E65">
        <w:rPr>
          <w:rtl/>
          <w:lang w:bidi="fa-IR"/>
        </w:rPr>
        <w:t xml:space="preserve"> فَاطِمَةَ </w:t>
      </w:r>
      <w:r w:rsidRPr="00071CF9">
        <w:rPr>
          <w:rStyle w:val="libAlaemChar"/>
          <w:rtl/>
        </w:rPr>
        <w:t>عليها‌السلام</w:t>
      </w:r>
      <w:r>
        <w:rPr>
          <w:rtl/>
          <w:lang w:bidi="fa-IR"/>
        </w:rPr>
        <w:t>؟</w:t>
      </w:r>
      <w:r w:rsidRPr="00132E65">
        <w:rPr>
          <w:rtl/>
          <w:lang w:bidi="fa-IR"/>
        </w:rPr>
        <w:t xml:space="preserve"> قَالَ :</w:t>
      </w:r>
      <w:r>
        <w:rPr>
          <w:rFonts w:hint="cs"/>
          <w:rtl/>
          <w:lang w:bidi="fa-IR"/>
        </w:rPr>
        <w:t xml:space="preserve"> </w:t>
      </w:r>
      <w:r w:rsidRPr="00132E65">
        <w:rPr>
          <w:rtl/>
          <w:lang w:bidi="fa-IR"/>
        </w:rPr>
        <w:t xml:space="preserve">« ذَاكَ </w:t>
      </w:r>
      <w:r>
        <w:rPr>
          <w:rStyle w:val="libFootnotenumChar"/>
          <w:rtl/>
        </w:rPr>
        <w:t>(7)</w:t>
      </w:r>
      <w:r w:rsidRPr="00132E65">
        <w:rPr>
          <w:rtl/>
          <w:lang w:bidi="fa-IR"/>
        </w:rPr>
        <w:t xml:space="preserve"> أَمِيرُ الْمُؤْمِنِينَ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و</w:t>
      </w:r>
      <w:r w:rsidR="006F3673">
        <w:rPr>
          <w:rFonts w:hint="cs"/>
          <w:rtl/>
          <w:lang w:bidi="fa-IR"/>
        </w:rPr>
        <w:t xml:space="preserve">َ </w:t>
      </w:r>
      <w:r w:rsidRPr="00132E65">
        <w:rPr>
          <w:rtl/>
          <w:lang w:bidi="fa-IR"/>
        </w:rPr>
        <w:t xml:space="preserve">كَأَنِّي </w:t>
      </w:r>
      <w:r>
        <w:rPr>
          <w:rStyle w:val="libFootnotenumChar"/>
          <w:rtl/>
        </w:rPr>
        <w:t>(8)</w:t>
      </w:r>
      <w:r w:rsidRPr="00132E65">
        <w:rPr>
          <w:rtl/>
          <w:lang w:bidi="fa-IR"/>
        </w:rPr>
        <w:t xml:space="preserve"> اسْتَعْظَمْتُ </w:t>
      </w:r>
      <w:r>
        <w:rPr>
          <w:rStyle w:val="libFootnotenumChar"/>
          <w:rtl/>
        </w:rPr>
        <w:t>(9)</w:t>
      </w:r>
      <w:r w:rsidRPr="00132E65">
        <w:rPr>
          <w:rtl/>
          <w:lang w:bidi="fa-IR"/>
        </w:rPr>
        <w:t xml:space="preserve"> ذلِكَ مِنْ قَوْلِهِ ، فَقَالَ </w:t>
      </w:r>
      <w:r>
        <w:rPr>
          <w:rStyle w:val="libFootnotenumChar"/>
          <w:rtl/>
        </w:rPr>
        <w:t>(10)</w:t>
      </w:r>
      <w:r w:rsidRPr="00132E65">
        <w:rPr>
          <w:rtl/>
          <w:lang w:bidi="fa-IR"/>
        </w:rPr>
        <w:t xml:space="preserve"> : « كَأَنَّكَ ضِقْتَ </w:t>
      </w:r>
      <w:r>
        <w:rPr>
          <w:rStyle w:val="libFootnotenumChar"/>
          <w:rtl/>
        </w:rPr>
        <w:t>(11)</w:t>
      </w:r>
      <w:r w:rsidRPr="00132E65">
        <w:rPr>
          <w:rtl/>
          <w:lang w:bidi="fa-IR"/>
        </w:rPr>
        <w:t xml:space="preserve"> بِمَا </w:t>
      </w:r>
      <w:r>
        <w:rPr>
          <w:rStyle w:val="libFootnotenumChar"/>
          <w:rtl/>
        </w:rPr>
        <w:t>(12)</w:t>
      </w:r>
      <w:r w:rsidRPr="00132E65">
        <w:rPr>
          <w:rtl/>
          <w:lang w:bidi="fa-IR"/>
        </w:rPr>
        <w:t xml:space="preserve"> أَخْبَرْتُكَ بِهِ</w:t>
      </w:r>
      <w:r>
        <w:rPr>
          <w:rtl/>
          <w:lang w:bidi="fa-IR"/>
        </w:rPr>
        <w:t>؟</w:t>
      </w:r>
      <w:r w:rsidRPr="00132E65">
        <w:rPr>
          <w:rtl/>
          <w:lang w:bidi="fa-IR"/>
        </w:rPr>
        <w:t xml:space="preserve"> » ، قَالَ </w:t>
      </w:r>
      <w:r w:rsidRPr="00F543F1">
        <w:rPr>
          <w:rStyle w:val="libFootnotenumChar"/>
          <w:rtl/>
        </w:rPr>
        <w:t>(13)</w:t>
      </w:r>
      <w:r w:rsidRPr="00132E65">
        <w:rPr>
          <w:rtl/>
          <w:lang w:bidi="fa-IR"/>
        </w:rPr>
        <w:t xml:space="preserve"> : فَقُلْتُ </w:t>
      </w:r>
      <w:r w:rsidRPr="00F543F1">
        <w:rPr>
          <w:rStyle w:val="libFootnotenumChar"/>
          <w:rtl/>
        </w:rPr>
        <w:t>(14)</w:t>
      </w:r>
      <w:r w:rsidRPr="00132E65">
        <w:rPr>
          <w:rtl/>
          <w:lang w:bidi="fa-IR"/>
        </w:rPr>
        <w:t xml:space="preserve"> : قَدْ كَانَ ذَاكَ </w:t>
      </w:r>
      <w:r w:rsidRPr="00F543F1">
        <w:rPr>
          <w:rStyle w:val="libFootnotenumChar"/>
          <w:rtl/>
        </w:rPr>
        <w:t>(15)</w:t>
      </w:r>
      <w:r w:rsidRPr="00132E65">
        <w:rPr>
          <w:rtl/>
          <w:lang w:bidi="fa-IR"/>
        </w:rPr>
        <w:t xml:space="preserve"> جُعِلْتُ فِدَاكَ ، قَالَ </w:t>
      </w:r>
      <w:r w:rsidRPr="00F543F1">
        <w:rPr>
          <w:rStyle w:val="libFootnotenumChar"/>
          <w:rtl/>
        </w:rPr>
        <w:t>(16)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و</w:t>
      </w:r>
      <w:r w:rsidRPr="009D1ACE">
        <w:rPr>
          <w:rStyle w:val="libFootnoteBoldChar"/>
          <w:rtl/>
        </w:rPr>
        <w:t>الوافي</w:t>
      </w:r>
      <w:r w:rsidRPr="00132E65">
        <w:rPr>
          <w:rtl/>
        </w:rPr>
        <w:t xml:space="preserve"> : « الدهر »</w:t>
      </w:r>
      <w:r>
        <w:rPr>
          <w:rtl/>
        </w:rPr>
        <w:t>.</w:t>
      </w:r>
    </w:p>
    <w:p w:rsidR="000C39D1" w:rsidRPr="00132E65" w:rsidRDefault="000C39D1" w:rsidP="000C39D1">
      <w:pPr>
        <w:pStyle w:val="libFootnote0"/>
        <w:rPr>
          <w:rtl/>
          <w:lang w:bidi="fa-IR"/>
        </w:rPr>
      </w:pPr>
      <w:r>
        <w:rPr>
          <w:rtl/>
        </w:rPr>
        <w:t>(2).</w:t>
      </w:r>
      <w:r w:rsidRPr="00132E65">
        <w:rPr>
          <w:rtl/>
        </w:rPr>
        <w:t xml:space="preserve"> في الأمالي للمفيد ونهج البلاغة : « ولم يخل »</w:t>
      </w:r>
      <w:r>
        <w:rPr>
          <w:rtl/>
        </w:rPr>
        <w:t>.</w:t>
      </w:r>
      <w:r w:rsidRPr="00132E65">
        <w:rPr>
          <w:rtl/>
        </w:rPr>
        <w:t xml:space="preserve"> وخَلَقَ الشي‌ء</w:t>
      </w:r>
      <w:r>
        <w:rPr>
          <w:rtl/>
        </w:rPr>
        <w:t xml:space="preserve"> - </w:t>
      </w:r>
      <w:r w:rsidRPr="00132E65">
        <w:rPr>
          <w:rtl/>
        </w:rPr>
        <w:t>كنصر</w:t>
      </w:r>
      <w:r>
        <w:rPr>
          <w:rtl/>
        </w:rPr>
        <w:t xml:space="preserve"> - </w:t>
      </w:r>
      <w:r w:rsidRPr="00132E65">
        <w:rPr>
          <w:rtl/>
        </w:rPr>
        <w:t xml:space="preserve">وخَلُقَ وخَلِقَ وأخلق ، أي بَليَ. والمراد طراوة الذكر وكونه جديداً. راجع : </w:t>
      </w:r>
      <w:r w:rsidRPr="009D1ACE">
        <w:rPr>
          <w:rStyle w:val="libFootnoteBoldChar"/>
          <w:rtl/>
        </w:rPr>
        <w:t>لسان العرب</w:t>
      </w:r>
      <w:r w:rsidRPr="00132E65">
        <w:rPr>
          <w:rtl/>
        </w:rPr>
        <w:t xml:space="preserve"> ، ج 8 ، ص 88 ( خلق )</w:t>
      </w:r>
      <w:r>
        <w:rPr>
          <w:rtl/>
        </w:rPr>
        <w:t>.</w:t>
      </w:r>
    </w:p>
    <w:p w:rsidR="000C39D1" w:rsidRPr="00132E65" w:rsidRDefault="000C39D1" w:rsidP="007B5C53">
      <w:pPr>
        <w:pStyle w:val="libFootnote0"/>
        <w:rPr>
          <w:rtl/>
          <w:lang w:bidi="fa-IR"/>
        </w:rPr>
      </w:pPr>
      <w:r>
        <w:rPr>
          <w:rtl/>
        </w:rPr>
        <w:t>(3).</w:t>
      </w:r>
      <w:r w:rsidRPr="00132E65">
        <w:rPr>
          <w:rtl/>
        </w:rPr>
        <w:t xml:space="preserve"> </w:t>
      </w:r>
      <w:r w:rsidRPr="006D299E">
        <w:rPr>
          <w:rtl/>
        </w:rPr>
        <w:t>الأمالي</w:t>
      </w:r>
      <w:r w:rsidRPr="00132E65">
        <w:rPr>
          <w:rtl/>
        </w:rPr>
        <w:t xml:space="preserve"> للمفيد ، ص 281 ، المجلس 33 ، ح 7 ؛ و</w:t>
      </w:r>
      <w:r w:rsidRPr="006D299E">
        <w:rPr>
          <w:rtl/>
        </w:rPr>
        <w:t>الأمالي</w:t>
      </w:r>
      <w:r w:rsidRPr="00132E65">
        <w:rPr>
          <w:rtl/>
        </w:rPr>
        <w:t xml:space="preserve"> للطوسي ، ص 109 ، المجلس 4 ، ح 20 ، بسندهما عن أحمد بن إدريس ، وفيهما عن عليّ بن الحسين </w:t>
      </w:r>
      <w:r w:rsidRPr="00BF03BC">
        <w:rPr>
          <w:rStyle w:val="libFootnoteAlaemChar"/>
          <w:rtl/>
        </w:rPr>
        <w:t>عليه‌السلام</w:t>
      </w:r>
      <w:r w:rsidRPr="00132E65">
        <w:rPr>
          <w:rtl/>
        </w:rPr>
        <w:t xml:space="preserve"> ، عن الحسين بن عليّ </w:t>
      </w:r>
      <w:r w:rsidRPr="00BF03BC">
        <w:rPr>
          <w:rStyle w:val="libFootnoteAlaemChar"/>
          <w:rtl/>
        </w:rPr>
        <w:t>عليه‌السلام</w:t>
      </w:r>
      <w:r w:rsidRPr="00132E65">
        <w:rPr>
          <w:rtl/>
        </w:rPr>
        <w:t xml:space="preserve">. </w:t>
      </w:r>
      <w:r w:rsidRPr="006D299E">
        <w:rPr>
          <w:rtl/>
        </w:rPr>
        <w:t>نهج البلاغة</w:t>
      </w:r>
      <w:r w:rsidRPr="00132E65">
        <w:rPr>
          <w:rtl/>
        </w:rPr>
        <w:t xml:space="preserve"> ، ص 319 ، الخطبة 202 من قوله : « السلام عليك يا رسول الله عنّي » إلى قوله : « بما وعد الله الصابرين » ، وفي كلّها مع اختلاف يسير</w:t>
      </w:r>
      <w:r w:rsidR="007B5C53">
        <w:rPr>
          <w:rFonts w:hint="cs"/>
          <w:rtl/>
        </w:rPr>
        <w:t xml:space="preserve"> .</w:t>
      </w:r>
      <w:r w:rsidRPr="009D1ACE">
        <w:rPr>
          <w:rStyle w:val="libFootnoteBoldChar"/>
          <w:rtl/>
        </w:rPr>
        <w:t>الوافي</w:t>
      </w:r>
      <w:r w:rsidRPr="00132E65">
        <w:rPr>
          <w:rtl/>
        </w:rPr>
        <w:t xml:space="preserve"> ، ج 3 ، ص 748 ، ح 1366 ؛ </w:t>
      </w:r>
      <w:r w:rsidRPr="006D299E">
        <w:rPr>
          <w:rtl/>
        </w:rPr>
        <w:t>البحار</w:t>
      </w:r>
      <w:r w:rsidRPr="00132E65">
        <w:rPr>
          <w:rtl/>
        </w:rPr>
        <w:t xml:space="preserve"> ، ج 43 ، ص 193 ، ح 21.</w:t>
      </w:r>
    </w:p>
    <w:p w:rsidR="000C39D1" w:rsidRPr="00132E65" w:rsidRDefault="000C39D1" w:rsidP="000C39D1">
      <w:pPr>
        <w:pStyle w:val="libFootnote0"/>
        <w:rPr>
          <w:rtl/>
          <w:lang w:bidi="fa-IR"/>
        </w:rPr>
      </w:pPr>
      <w:r>
        <w:rPr>
          <w:rtl/>
        </w:rPr>
        <w:t>(4).</w:t>
      </w:r>
      <w:r w:rsidRPr="00132E65">
        <w:rPr>
          <w:rtl/>
        </w:rPr>
        <w:t xml:space="preserve"> في « ض ، بف » وحاشية « بر » :</w:t>
      </w:r>
      <w:r>
        <w:rPr>
          <w:rtl/>
        </w:rPr>
        <w:t xml:space="preserve"> + </w:t>
      </w:r>
      <w:r w:rsidRPr="00132E65">
        <w:rPr>
          <w:rtl/>
        </w:rPr>
        <w:t>« بن عمر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والبحار ، ج 27 : « قلت له »</w:t>
      </w:r>
      <w:r>
        <w:rPr>
          <w:rtl/>
        </w:rPr>
        <w:t>.</w:t>
      </w:r>
    </w:p>
    <w:p w:rsidR="000C39D1" w:rsidRPr="00132E65" w:rsidRDefault="000C39D1" w:rsidP="000C39D1">
      <w:pPr>
        <w:pStyle w:val="libFootnote0"/>
        <w:rPr>
          <w:rtl/>
          <w:lang w:bidi="fa-IR"/>
        </w:rPr>
      </w:pPr>
      <w:r>
        <w:rPr>
          <w:rtl/>
        </w:rPr>
        <w:t>(6).</w:t>
      </w:r>
      <w:r w:rsidRPr="00132E65">
        <w:rPr>
          <w:rtl/>
        </w:rPr>
        <w:t xml:space="preserve"> يجوز فيه التخفيف أيضاً.</w:t>
      </w:r>
    </w:p>
    <w:p w:rsidR="000C39D1" w:rsidRPr="00132E65" w:rsidRDefault="000C39D1" w:rsidP="000C39D1">
      <w:pPr>
        <w:pStyle w:val="libFootnote0"/>
        <w:rPr>
          <w:rtl/>
          <w:lang w:bidi="fa-IR"/>
        </w:rPr>
      </w:pPr>
      <w:r>
        <w:rPr>
          <w:rtl/>
        </w:rPr>
        <w:t>(7).</w:t>
      </w:r>
      <w:r w:rsidRPr="00132E65">
        <w:rPr>
          <w:rtl/>
        </w:rPr>
        <w:t xml:space="preserve"> في « بف » </w:t>
      </w:r>
      <w:r>
        <w:rPr>
          <w:rtl/>
        </w:rPr>
        <w:t xml:space="preserve">: - </w:t>
      </w:r>
      <w:r w:rsidRPr="00132E65">
        <w:rPr>
          <w:rtl/>
        </w:rPr>
        <w:t>« ذاك »</w:t>
      </w:r>
      <w:r>
        <w:rPr>
          <w:rtl/>
        </w:rPr>
        <w:t>.</w:t>
      </w:r>
    </w:p>
    <w:p w:rsidR="000C39D1" w:rsidRPr="00132E65" w:rsidRDefault="000C39D1" w:rsidP="000C39D1">
      <w:pPr>
        <w:pStyle w:val="libFootnote0"/>
        <w:rPr>
          <w:rtl/>
          <w:lang w:bidi="fa-IR"/>
        </w:rPr>
      </w:pPr>
      <w:r>
        <w:rPr>
          <w:rtl/>
        </w:rPr>
        <w:t>(8).</w:t>
      </w:r>
      <w:r w:rsidRPr="00132E65">
        <w:rPr>
          <w:rtl/>
        </w:rPr>
        <w:t xml:space="preserve"> في « ف ، بح ، بس ، بف » والتهذيب و</w:t>
      </w:r>
      <w:r w:rsidRPr="007A1104">
        <w:rPr>
          <w:rStyle w:val="libFootnoteBoldChar"/>
          <w:rtl/>
        </w:rPr>
        <w:t>الاستبصار</w:t>
      </w:r>
      <w:r w:rsidRPr="00132E65">
        <w:rPr>
          <w:rtl/>
        </w:rPr>
        <w:t xml:space="preserve"> والعلل والبحار ، ج 27 : « فكأنّي »</w:t>
      </w:r>
      <w:r>
        <w:rPr>
          <w:rtl/>
        </w:rPr>
        <w:t>.</w:t>
      </w:r>
      <w:r w:rsidR="003915A6">
        <w:rPr>
          <w:rtl/>
        </w:rPr>
        <w:t xml:space="preserve"> وفي الوسائل : «فكأنّما</w:t>
      </w:r>
      <w:r w:rsidRPr="00132E65">
        <w:rPr>
          <w:rtl/>
        </w:rPr>
        <w:t>»</w:t>
      </w:r>
      <w:r>
        <w:rPr>
          <w:rtl/>
        </w:rPr>
        <w:t>.</w:t>
      </w:r>
    </w:p>
    <w:p w:rsidR="000C39D1" w:rsidRPr="00132E65" w:rsidRDefault="000C39D1" w:rsidP="000C39D1">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4415 : « استفظت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0577A7">
        <w:rPr>
          <w:rStyle w:val="libFootnoteBoldChar"/>
          <w:rtl/>
        </w:rPr>
        <w:t>الكافي</w:t>
      </w:r>
      <w:r w:rsidRPr="00132E65">
        <w:rPr>
          <w:rtl/>
        </w:rPr>
        <w:t xml:space="preserve"> ، ح 4415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(11).</w:t>
      </w:r>
      <w:r w:rsidRPr="00132E65">
        <w:rPr>
          <w:rtl/>
        </w:rPr>
        <w:t xml:space="preserve"> « ضِقْتَ » ، أي ضِقْتَ به صدراً وضاق صدرك به. والاسم : الضَيْقُ والضِيقُ ، وهو الشكّ في القلب. يقال : في صدر فلان ضِيق علينا وضَيْقٌ. راجع : </w:t>
      </w:r>
      <w:r w:rsidRPr="009D1ACE">
        <w:rPr>
          <w:rStyle w:val="libFootnoteBoldChar"/>
          <w:rtl/>
        </w:rPr>
        <w:t>لسان العرب</w:t>
      </w:r>
      <w:r w:rsidRPr="00132E65">
        <w:rPr>
          <w:rtl/>
        </w:rPr>
        <w:t xml:space="preserve"> ، ج 10 ، ص 208 ( ضيق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0577A7">
        <w:rPr>
          <w:rStyle w:val="libFootnoteBoldChar"/>
          <w:rtl/>
        </w:rPr>
        <w:t>الكافي</w:t>
      </w:r>
      <w:r w:rsidRPr="00132E65">
        <w:rPr>
          <w:rtl/>
        </w:rPr>
        <w:t xml:space="preserve"> ، ح 4415 ، و</w:t>
      </w:r>
      <w:r w:rsidRPr="007A1104">
        <w:rPr>
          <w:rStyle w:val="libFootnoteBoldChar"/>
          <w:rtl/>
        </w:rPr>
        <w:t>الاستبصار</w:t>
      </w:r>
      <w:r w:rsidRPr="00132E65">
        <w:rPr>
          <w:rtl/>
        </w:rPr>
        <w:t xml:space="preserve"> والعلل : « ممّا »</w:t>
      </w:r>
      <w:r>
        <w:rPr>
          <w:rtl/>
        </w:rPr>
        <w:t>.</w:t>
      </w:r>
    </w:p>
    <w:tbl>
      <w:tblPr>
        <w:tblStyle w:val="TableGrid"/>
        <w:bidiVisual/>
        <w:tblW w:w="0" w:type="auto"/>
        <w:tblLook w:val="04A0" w:firstRow="1" w:lastRow="0" w:firstColumn="1" w:lastColumn="0" w:noHBand="0" w:noVBand="1"/>
      </w:tblPr>
      <w:tblGrid>
        <w:gridCol w:w="4261"/>
        <w:gridCol w:w="4262"/>
      </w:tblGrid>
      <w:tr w:rsidR="007B5C53" w:rsidTr="007B5C53">
        <w:tc>
          <w:tcPr>
            <w:tcW w:w="4261" w:type="dxa"/>
          </w:tcPr>
          <w:p w:rsidR="007B5C53" w:rsidRDefault="007B5C53" w:rsidP="000C39D1">
            <w:pPr>
              <w:pStyle w:val="libFootnote0"/>
              <w:rPr>
                <w:rtl/>
              </w:rPr>
            </w:pPr>
            <w:r>
              <w:rPr>
                <w:rtl/>
              </w:rPr>
              <w:t>(13)</w:t>
            </w:r>
            <w:r w:rsidRPr="00132E65">
              <w:rPr>
                <w:rtl/>
              </w:rPr>
              <w:t xml:space="preserve"> في </w:t>
            </w:r>
            <w:r w:rsidRPr="000577A7">
              <w:rPr>
                <w:rStyle w:val="libFootnoteBoldChar"/>
                <w:rtl/>
              </w:rPr>
              <w:t>الكافي</w:t>
            </w:r>
            <w:r w:rsidRPr="00132E65">
              <w:rPr>
                <w:rtl/>
              </w:rPr>
              <w:t xml:space="preserve"> ، ح 4415 </w:t>
            </w:r>
            <w:r>
              <w:rPr>
                <w:rtl/>
              </w:rPr>
              <w:t xml:space="preserve">: - </w:t>
            </w:r>
            <w:r w:rsidRPr="00132E65">
              <w:rPr>
                <w:rtl/>
              </w:rPr>
              <w:t>« به قال »</w:t>
            </w:r>
            <w:r>
              <w:rPr>
                <w:rtl/>
              </w:rPr>
              <w:t>.</w:t>
            </w:r>
          </w:p>
        </w:tc>
        <w:tc>
          <w:tcPr>
            <w:tcW w:w="4262" w:type="dxa"/>
          </w:tcPr>
          <w:p w:rsidR="007B5C53" w:rsidRDefault="007B5C53" w:rsidP="000C39D1">
            <w:pPr>
              <w:pStyle w:val="libFootnote0"/>
              <w:rPr>
                <w:rtl/>
              </w:rPr>
            </w:pPr>
            <w:r>
              <w:rPr>
                <w:rtl/>
              </w:rPr>
              <w:t>(14)</w:t>
            </w:r>
            <w:r w:rsidRPr="00132E65">
              <w:rPr>
                <w:rtl/>
              </w:rPr>
              <w:t xml:space="preserve"> في « ب » : « قلت »</w:t>
            </w:r>
            <w:r>
              <w:rPr>
                <w:rtl/>
              </w:rPr>
              <w:t>.</w:t>
            </w:r>
          </w:p>
        </w:tc>
      </w:tr>
    </w:tbl>
    <w:p w:rsidR="000C39D1" w:rsidRPr="00132E65" w:rsidRDefault="000C39D1" w:rsidP="007B5C53">
      <w:pPr>
        <w:pStyle w:val="libFootnote0"/>
        <w:rPr>
          <w:rtl/>
          <w:lang w:bidi="fa-IR"/>
        </w:rPr>
      </w:pPr>
      <w:r>
        <w:rPr>
          <w:rtl/>
        </w:rPr>
        <w:t>(15)</w:t>
      </w:r>
      <w:r w:rsidRPr="00132E65">
        <w:rPr>
          <w:rtl/>
        </w:rPr>
        <w:t xml:space="preserve"> في « ف » : « ولكان ذلك »</w:t>
      </w:r>
      <w:r>
        <w:rPr>
          <w:rtl/>
        </w:rPr>
        <w:t>.</w:t>
      </w:r>
      <w:r w:rsidRPr="00132E65">
        <w:rPr>
          <w:rtl/>
        </w:rPr>
        <w:t xml:space="preserve"> وفي </w:t>
      </w:r>
      <w:r w:rsidRPr="000577A7">
        <w:rPr>
          <w:rStyle w:val="libFootnoteBoldChar"/>
          <w:rtl/>
        </w:rPr>
        <w:t>الكافي</w:t>
      </w:r>
      <w:r w:rsidRPr="00132E65">
        <w:rPr>
          <w:rtl/>
        </w:rPr>
        <w:t xml:space="preserve"> ، ح 4415 ، والتهذيب و</w:t>
      </w:r>
      <w:r w:rsidRPr="007A1104">
        <w:rPr>
          <w:rStyle w:val="libFootnoteBoldChar"/>
          <w:rtl/>
        </w:rPr>
        <w:t>الاستبصار</w:t>
      </w:r>
      <w:r w:rsidRPr="00132E65">
        <w:rPr>
          <w:rtl/>
        </w:rPr>
        <w:t xml:space="preserve"> والعلل والوسائل والبحار ، ج 27 : « ذلك »</w:t>
      </w:r>
      <w:r>
        <w:rPr>
          <w:rtl/>
        </w:rPr>
        <w:t>.</w:t>
      </w:r>
      <w:r w:rsidRPr="00132E65">
        <w:rPr>
          <w:rtl/>
        </w:rPr>
        <w:t xml:space="preserve"> وفي البحار ، ج 14 </w:t>
      </w:r>
      <w:r>
        <w:rPr>
          <w:rtl/>
        </w:rPr>
        <w:t xml:space="preserve">: - </w:t>
      </w:r>
      <w:r w:rsidRPr="00132E65">
        <w:rPr>
          <w:rtl/>
        </w:rPr>
        <w:t>« ذاك »</w:t>
      </w:r>
      <w:r>
        <w:rPr>
          <w:rtl/>
        </w:rPr>
        <w:t>.</w:t>
      </w:r>
      <w:r w:rsidR="007B5C53">
        <w:rPr>
          <w:rFonts w:hint="cs"/>
          <w:rtl/>
        </w:rPr>
        <w:t xml:space="preserve">             </w:t>
      </w:r>
      <w:r>
        <w:rPr>
          <w:rtl/>
        </w:rPr>
        <w:t>(16)</w:t>
      </w:r>
      <w:r w:rsidRPr="00132E65">
        <w:rPr>
          <w:rtl/>
        </w:rPr>
        <w:t xml:space="preserve">في </w:t>
      </w:r>
      <w:r w:rsidRPr="000577A7">
        <w:rPr>
          <w:rStyle w:val="libFootnoteBoldChar"/>
          <w:rtl/>
        </w:rPr>
        <w:t>الكافي</w:t>
      </w:r>
      <w:r w:rsidRPr="00132E65">
        <w:rPr>
          <w:rtl/>
        </w:rPr>
        <w:t>،ح4415،و</w:t>
      </w:r>
      <w:r w:rsidRPr="007A1104">
        <w:rPr>
          <w:rStyle w:val="libFootnoteBoldChar"/>
          <w:rtl/>
        </w:rPr>
        <w:t>الاستبصار</w:t>
      </w:r>
      <w:r>
        <w:rPr>
          <w:rtl/>
        </w:rPr>
        <w:t>:-</w:t>
      </w:r>
      <w:r w:rsidRPr="00132E65">
        <w:rPr>
          <w:rtl/>
        </w:rPr>
        <w:t>«قال»</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فَقَالَ : « لَا تَضِيقَنَّ ؛ فَإِنَّهَا صِدِّيقَةٌ ، و</w:t>
      </w:r>
      <w:r w:rsidR="00B15406">
        <w:rPr>
          <w:rFonts w:hint="cs"/>
          <w:rtl/>
          <w:lang w:bidi="fa-IR"/>
        </w:rPr>
        <w:t>َ</w:t>
      </w:r>
      <w:r>
        <w:rPr>
          <w:rFonts w:hint="cs"/>
          <w:rtl/>
          <w:lang w:bidi="fa-IR"/>
        </w:rPr>
        <w:t xml:space="preserve"> </w:t>
      </w:r>
      <w:r>
        <w:rPr>
          <w:rStyle w:val="libFootnotenumChar"/>
          <w:rtl/>
        </w:rPr>
        <w:t>(1)</w:t>
      </w:r>
      <w:r w:rsidRPr="00132E65">
        <w:rPr>
          <w:rtl/>
          <w:lang w:bidi="fa-IR"/>
        </w:rPr>
        <w:t xml:space="preserve"> لَمْ يَكُنْ يُغَسِّلُهَا </w:t>
      </w:r>
      <w:r>
        <w:rPr>
          <w:rStyle w:val="libFootnotenumChar"/>
          <w:rtl/>
        </w:rPr>
        <w:t>(2)</w:t>
      </w:r>
      <w:r w:rsidR="00B15406">
        <w:rPr>
          <w:rtl/>
          <w:lang w:bidi="fa-IR"/>
        </w:rPr>
        <w:t xml:space="preserve"> إِل</w:t>
      </w:r>
      <w:r w:rsidR="00B15406">
        <w:rPr>
          <w:rFonts w:hint="cs"/>
          <w:rtl/>
          <w:lang w:bidi="fa-IR"/>
        </w:rPr>
        <w:t>َّ</w:t>
      </w:r>
      <w:r w:rsidR="00B15406">
        <w:rPr>
          <w:rtl/>
          <w:lang w:bidi="fa-IR"/>
        </w:rPr>
        <w:t>ا</w:t>
      </w:r>
      <w:r w:rsidRPr="00132E65">
        <w:rPr>
          <w:rtl/>
          <w:lang w:bidi="fa-IR"/>
        </w:rPr>
        <w:t xml:space="preserve"> صِدِّيقٌ ،</w:t>
      </w:r>
      <w:r>
        <w:rPr>
          <w:rtl/>
          <w:lang w:bidi="fa-IR"/>
        </w:rPr>
        <w:t xml:space="preserve"> أَ</w:t>
      </w:r>
      <w:r w:rsidRPr="00132E65">
        <w:rPr>
          <w:rtl/>
          <w:lang w:bidi="fa-IR"/>
        </w:rPr>
        <w:t>مَا عَلِمْتَ أَنَّ م</w:t>
      </w:r>
      <w:r w:rsidR="00B15406">
        <w:rPr>
          <w:rtl/>
          <w:lang w:bidi="fa-IR"/>
        </w:rPr>
        <w:t>َرْيَمَ لَمْ يُغَسِّلْهَا إِل</w:t>
      </w:r>
      <w:r w:rsidR="00B15406">
        <w:rPr>
          <w:rFonts w:hint="cs"/>
          <w:rtl/>
          <w:lang w:bidi="fa-IR"/>
        </w:rPr>
        <w:t>َّ</w:t>
      </w:r>
      <w:r w:rsidR="00B15406">
        <w:rPr>
          <w:rtl/>
          <w:lang w:bidi="fa-IR"/>
        </w:rPr>
        <w:t>ا</w:t>
      </w:r>
      <w:r w:rsidRPr="00132E65">
        <w:rPr>
          <w:rtl/>
          <w:lang w:bidi="fa-IR"/>
        </w:rPr>
        <w:t xml:space="preserve"> عِيسى </w:t>
      </w:r>
      <w:r>
        <w:rPr>
          <w:rStyle w:val="libFootnotenumChar"/>
          <w:rtl/>
        </w:rPr>
        <w:t>(3)</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6D299E">
        <w:rPr>
          <w:rtl/>
        </w:rPr>
        <w:t>1248</w:t>
      </w:r>
      <w:r w:rsidRPr="004325D8">
        <w:rPr>
          <w:rStyle w:val="libBold2Char"/>
          <w:rtl/>
        </w:rPr>
        <w:t xml:space="preserve"> / 6.</w:t>
      </w:r>
      <w:r w:rsidRPr="00132E65">
        <w:rPr>
          <w:rtl/>
          <w:lang w:bidi="fa-IR"/>
        </w:rPr>
        <w:t xml:space="preserve"> مُحَمَّدُ بْنُ يَحْيى ، عَنْ مُحَمَّدِ بْنِ الْحُسَيْنِ ، عَنْ مُحَمَّدِ بْنِ إِسْمَاعِيلَ ، عَنْ صَالِحِ بْنِ عُقْبَةَ ، عَنْ عَبْدِ اللهِ بْنِ مُحَمَّدٍ الْجُعْفِيِّ :</w:t>
      </w:r>
    </w:p>
    <w:p w:rsidR="000C39D1" w:rsidRPr="00132E65" w:rsidRDefault="000C39D1" w:rsidP="003915A6">
      <w:pPr>
        <w:pStyle w:val="libNormal"/>
        <w:rPr>
          <w:rtl/>
          <w:lang w:bidi="fa-IR"/>
        </w:rPr>
      </w:pPr>
      <w:r w:rsidRPr="00132E65">
        <w:rPr>
          <w:rtl/>
          <w:lang w:bidi="fa-IR"/>
        </w:rPr>
        <w:t>عَنْ أَبِي جَعْفَرٍ و</w:t>
      </w:r>
      <w:r w:rsidR="00B15406">
        <w:rPr>
          <w:rFonts w:hint="cs"/>
          <w:rtl/>
          <w:lang w:bidi="fa-IR"/>
        </w:rPr>
        <w:t xml:space="preserve">َ </w:t>
      </w:r>
      <w:r w:rsidRPr="00132E65">
        <w:rPr>
          <w:rtl/>
          <w:lang w:bidi="fa-IR"/>
        </w:rPr>
        <w:t xml:space="preserve">أَبِي عَبْدِ اللهِ </w:t>
      </w:r>
      <w:r w:rsidRPr="00071CF9">
        <w:rPr>
          <w:rStyle w:val="libAlaemChar"/>
          <w:rtl/>
        </w:rPr>
        <w:t>عليهما‌السلام</w:t>
      </w:r>
      <w:r w:rsidRPr="00132E65">
        <w:rPr>
          <w:rtl/>
          <w:lang w:bidi="fa-IR"/>
        </w:rPr>
        <w:t xml:space="preserve"> ، قَالَا : « إِنَّ فَاطِمَةَ </w:t>
      </w:r>
      <w:r w:rsidR="003915A6" w:rsidRPr="00071CF9">
        <w:rPr>
          <w:rStyle w:val="libAlaemChar"/>
          <w:rtl/>
        </w:rPr>
        <w:t>عليها‌السلام</w:t>
      </w:r>
      <w:r w:rsidR="003915A6" w:rsidRPr="00132E65">
        <w:rPr>
          <w:rtl/>
          <w:lang w:bidi="fa-IR"/>
        </w:rPr>
        <w:t xml:space="preserve"> </w:t>
      </w:r>
      <w:r w:rsidRPr="00132E65">
        <w:rPr>
          <w:rtl/>
          <w:lang w:bidi="fa-IR"/>
        </w:rPr>
        <w:t xml:space="preserve">لَمَّا أَنْ </w:t>
      </w:r>
      <w:r>
        <w:rPr>
          <w:rStyle w:val="libFootnotenumChar"/>
          <w:rtl/>
        </w:rPr>
        <w:t>(5)</w:t>
      </w:r>
      <w:r w:rsidRPr="00132E65">
        <w:rPr>
          <w:rtl/>
          <w:lang w:bidi="fa-IR"/>
        </w:rPr>
        <w:t xml:space="preserve"> كَانَ مِنْ أَمْرِهِمْ مَا كَانَ ، أَخَذَتْ بِتَلَابِيبِ </w:t>
      </w:r>
      <w:r>
        <w:rPr>
          <w:rStyle w:val="libFootnotenumChar"/>
          <w:rtl/>
        </w:rPr>
        <w:t>(6)</w:t>
      </w:r>
      <w:r w:rsidRPr="00132E65">
        <w:rPr>
          <w:rtl/>
          <w:lang w:bidi="fa-IR"/>
        </w:rPr>
        <w:t xml:space="preserve"> عُمَرَ ، فَجَذَبَتْهُ إِلَيْهَا ، ثُمَّ قَالَتْ : أَمَا و</w:t>
      </w:r>
      <w:r w:rsidR="00B15406">
        <w:rPr>
          <w:rFonts w:hint="cs"/>
          <w:rtl/>
          <w:lang w:bidi="fa-IR"/>
        </w:rPr>
        <w:t xml:space="preserve">َ </w:t>
      </w:r>
      <w:r w:rsidRPr="00132E65">
        <w:rPr>
          <w:rtl/>
          <w:lang w:bidi="fa-IR"/>
        </w:rPr>
        <w:t xml:space="preserve">اللهِ ، يَا ابْنَ الْخَطَّابِ ، لَوْ لَا أَنِّي أَكْرَهُ أَنْ يُصِيبَ الْبَلَاءُ مَنْ لَاذَنْبَ لَهُ ، لَعَلِمْتَ أَنِّي </w:t>
      </w:r>
      <w:r>
        <w:rPr>
          <w:rStyle w:val="libFootnotenumChar"/>
          <w:rtl/>
        </w:rPr>
        <w:t>(7)</w:t>
      </w:r>
      <w:r w:rsidRPr="00132E65">
        <w:rPr>
          <w:rtl/>
          <w:lang w:bidi="fa-IR"/>
        </w:rPr>
        <w:t xml:space="preserve"> سَأُقْسِمُ عَلَى اللهِ </w:t>
      </w:r>
      <w:r>
        <w:rPr>
          <w:rStyle w:val="libFootnotenumChar"/>
          <w:rtl/>
        </w:rPr>
        <w:t>(8)</w:t>
      </w:r>
      <w:r w:rsidRPr="00132E65">
        <w:rPr>
          <w:rtl/>
          <w:lang w:bidi="fa-IR"/>
        </w:rPr>
        <w:t xml:space="preserve"> ، ثُمَّ أَجِدُهُ سَرِيعَ الْإِجَابَةِ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6D299E">
        <w:rPr>
          <w:rtl/>
        </w:rPr>
        <w:t>1249</w:t>
      </w:r>
      <w:r w:rsidRPr="004325D8">
        <w:rPr>
          <w:rStyle w:val="libBold2Char"/>
          <w:rtl/>
        </w:rPr>
        <w:t xml:space="preserve"> / 7.</w:t>
      </w:r>
      <w:r w:rsidRPr="00132E65">
        <w:rPr>
          <w:rtl/>
          <w:lang w:bidi="fa-IR"/>
        </w:rPr>
        <w:t xml:space="preserve"> و</w:t>
      </w:r>
      <w:r w:rsidR="00971C5C">
        <w:rPr>
          <w:rFonts w:hint="cs"/>
          <w:rtl/>
          <w:lang w:bidi="fa-IR"/>
        </w:rPr>
        <w:t xml:space="preserve">َ </w:t>
      </w:r>
      <w:r w:rsidRPr="00132E65">
        <w:rPr>
          <w:rtl/>
          <w:lang w:bidi="fa-IR"/>
        </w:rPr>
        <w:t>بِهذَا الْإِسْنَادِ ، عَنْ صَالِحِ بْنِ عُقْبَةَ ، عَنْ يَزِيدَ بْنِ عَبْدِ الْمَلِكِ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و</w:t>
      </w:r>
      <w:r w:rsidR="00971C5C">
        <w:rPr>
          <w:rFonts w:hint="cs"/>
          <w:rtl/>
          <w:lang w:bidi="fa-IR"/>
        </w:rPr>
        <w:t>ُ</w:t>
      </w:r>
      <w:r w:rsidRPr="00132E65">
        <w:rPr>
          <w:rtl/>
          <w:lang w:bidi="fa-IR"/>
        </w:rPr>
        <w:t xml:space="preserve">لِدَتْ فَاطِمَةُ </w:t>
      </w:r>
      <w:r w:rsidRPr="00071CF9">
        <w:rPr>
          <w:rStyle w:val="libAlaemChar"/>
          <w:rtl/>
        </w:rPr>
        <w:t>عليها‌السلام</w:t>
      </w:r>
      <w:r w:rsidRPr="00132E65">
        <w:rPr>
          <w:rtl/>
          <w:lang w:bidi="fa-IR"/>
        </w:rPr>
        <w:t xml:space="preserve"> ، أَوْحَى اللهُ إِلى مَلَكٍ ، فَأَنْطَقَ </w:t>
      </w:r>
      <w:r>
        <w:rPr>
          <w:rStyle w:val="libFootnotenumChar"/>
          <w:rtl/>
        </w:rPr>
        <w:t>(10)</w:t>
      </w:r>
      <w:r w:rsidRPr="00132E65">
        <w:rPr>
          <w:rtl/>
          <w:lang w:bidi="fa-IR"/>
        </w:rPr>
        <w:t xml:space="preserve"> بِهِ‌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0577A7">
        <w:rPr>
          <w:rStyle w:val="libFootnoteBoldChar"/>
          <w:rtl/>
        </w:rPr>
        <w:t>الكافي</w:t>
      </w:r>
      <w:r w:rsidRPr="00132E65">
        <w:rPr>
          <w:rtl/>
        </w:rPr>
        <w:t xml:space="preserve"> ، ح 4415 ، والتهذيب و</w:t>
      </w:r>
      <w:r w:rsidRPr="007A1104">
        <w:rPr>
          <w:rStyle w:val="libFootnoteBoldChar"/>
          <w:rtl/>
        </w:rPr>
        <w:t>الاستبصار</w:t>
      </w:r>
      <w:r w:rsidRPr="00132E65">
        <w:rPr>
          <w:rtl/>
        </w:rPr>
        <w:t xml:space="preserve"> </w:t>
      </w:r>
      <w:r>
        <w:rPr>
          <w:rtl/>
        </w:rPr>
        <w:t xml:space="preserve">: - </w:t>
      </w:r>
      <w:r w:rsidRPr="00132E65">
        <w:rPr>
          <w:rtl/>
        </w:rPr>
        <w:t>«</w:t>
      </w:r>
      <w:r>
        <w:rPr>
          <w:rtl/>
        </w:rPr>
        <w:t xml:space="preserve"> و ».</w:t>
      </w:r>
    </w:p>
    <w:tbl>
      <w:tblPr>
        <w:tblStyle w:val="TableGrid"/>
        <w:bidiVisual/>
        <w:tblW w:w="0" w:type="auto"/>
        <w:tblLook w:val="04A0" w:firstRow="1" w:lastRow="0" w:firstColumn="1" w:lastColumn="0" w:noHBand="0" w:noVBand="1"/>
      </w:tblPr>
      <w:tblGrid>
        <w:gridCol w:w="4261"/>
        <w:gridCol w:w="4262"/>
      </w:tblGrid>
      <w:tr w:rsidR="00971C5C" w:rsidTr="00971C5C">
        <w:tc>
          <w:tcPr>
            <w:tcW w:w="4261" w:type="dxa"/>
          </w:tcPr>
          <w:p w:rsidR="00971C5C" w:rsidRDefault="00971C5C" w:rsidP="000C39D1">
            <w:pPr>
              <w:pStyle w:val="libFootnote0"/>
              <w:rPr>
                <w:rtl/>
              </w:rPr>
            </w:pPr>
            <w:r>
              <w:rPr>
                <w:rtl/>
              </w:rPr>
              <w:t>(2).</w:t>
            </w:r>
            <w:r w:rsidRPr="00132E65">
              <w:rPr>
                <w:rtl/>
              </w:rPr>
              <w:t xml:space="preserve"> يجوز فيه وفيما يأتي التخفيف أيضاً.</w:t>
            </w:r>
          </w:p>
        </w:tc>
        <w:tc>
          <w:tcPr>
            <w:tcW w:w="4262" w:type="dxa"/>
          </w:tcPr>
          <w:p w:rsidR="00971C5C" w:rsidRDefault="00971C5C" w:rsidP="000C39D1">
            <w:pPr>
              <w:pStyle w:val="libFootnote0"/>
              <w:rPr>
                <w:rtl/>
              </w:rPr>
            </w:pPr>
            <w:r>
              <w:rPr>
                <w:rtl/>
              </w:rPr>
              <w:t>(3).</w:t>
            </w:r>
            <w:r w:rsidRPr="00132E65">
              <w:rPr>
                <w:rtl/>
              </w:rPr>
              <w:t xml:space="preserve"> في حاشية « ج » :</w:t>
            </w:r>
            <w:r>
              <w:rPr>
                <w:rtl/>
              </w:rPr>
              <w:t xml:space="preserve"> + </w:t>
            </w:r>
            <w:r w:rsidRPr="00132E65">
              <w:rPr>
                <w:rtl/>
              </w:rPr>
              <w:t>« ابنها »</w:t>
            </w:r>
            <w:r>
              <w:rPr>
                <w:rtl/>
              </w:rPr>
              <w:t>.</w:t>
            </w:r>
          </w:p>
        </w:tc>
      </w:tr>
    </w:tbl>
    <w:p w:rsidR="000C39D1" w:rsidRPr="00132E65" w:rsidRDefault="000C39D1" w:rsidP="000C39D1">
      <w:pPr>
        <w:pStyle w:val="libFootnote0"/>
        <w:rPr>
          <w:rtl/>
          <w:lang w:bidi="fa-IR"/>
        </w:rPr>
      </w:pPr>
      <w:r>
        <w:rPr>
          <w:rtl/>
        </w:rPr>
        <w:t>(4).</w:t>
      </w:r>
      <w:r w:rsidRPr="00132E65">
        <w:rPr>
          <w:rtl/>
        </w:rPr>
        <w:t xml:space="preserve"> </w:t>
      </w:r>
      <w:r w:rsidRPr="000577A7">
        <w:rPr>
          <w:rStyle w:val="libFootnoteBoldChar"/>
          <w:rtl/>
        </w:rPr>
        <w:t>الكافي</w:t>
      </w:r>
      <w:r w:rsidRPr="00132E65">
        <w:rPr>
          <w:rtl/>
        </w:rPr>
        <w:t xml:space="preserve"> ، كتاب الجنائز ، باب الرجل يغسل المرأة</w:t>
      </w:r>
      <w:r>
        <w:rPr>
          <w:rtl/>
        </w:rPr>
        <w:t xml:space="preserve"> ..</w:t>
      </w:r>
      <w:r w:rsidRPr="00132E65">
        <w:rPr>
          <w:rtl/>
        </w:rPr>
        <w:t xml:space="preserve">. ، ح 4415 ، عن محمّد بن يحيى ، عن أحمد بن محمّد بن عيسى ، عن عبد الرحمن بن سالم ، عن مفضّل بن عمر ، مع زيادة في آخره ؛ </w:t>
      </w:r>
      <w:r w:rsidRPr="006D299E">
        <w:rPr>
          <w:rtl/>
        </w:rPr>
        <w:t>علل الشرائع</w:t>
      </w:r>
      <w:r w:rsidRPr="00132E65">
        <w:rPr>
          <w:rtl/>
        </w:rPr>
        <w:t xml:space="preserve"> ، ص 184 ، ح 1 ، بسنده عن أحمد بن محمّد بن عيسى ؛ </w:t>
      </w:r>
      <w:r w:rsidRPr="007A1104">
        <w:rPr>
          <w:rStyle w:val="libFootnoteBoldChar"/>
          <w:rtl/>
        </w:rPr>
        <w:t>الاستبصار</w:t>
      </w:r>
      <w:r w:rsidRPr="00132E65">
        <w:rPr>
          <w:rtl/>
        </w:rPr>
        <w:t xml:space="preserve"> ، ج 1 ، ص 199 ، ح 703 ؛ </w:t>
      </w:r>
      <w:r w:rsidRPr="006D299E">
        <w:rPr>
          <w:rtl/>
        </w:rPr>
        <w:t>التهذيب</w:t>
      </w:r>
      <w:r w:rsidRPr="00132E65">
        <w:rPr>
          <w:rtl/>
        </w:rPr>
        <w:t xml:space="preserve"> ، ج 1 ، ص 440 ، ح 1422 ، مع زيادة في آخره ، وفيهما عن أحمد بن محمّد بن عيسى ، عن أبي نصر </w:t>
      </w:r>
      <w:r w:rsidR="003A310F">
        <w:rPr>
          <w:rFonts w:hint="cs"/>
          <w:rtl/>
        </w:rPr>
        <w:t>.</w:t>
      </w:r>
      <w:r w:rsidRPr="009D1ACE">
        <w:rPr>
          <w:rStyle w:val="libFootnoteBoldChar"/>
          <w:rtl/>
        </w:rPr>
        <w:t>الوافي</w:t>
      </w:r>
      <w:r w:rsidRPr="00132E65">
        <w:rPr>
          <w:rtl/>
        </w:rPr>
        <w:t xml:space="preserve"> ، ج 3 ، ص 745 ، ح 1360 ؛ </w:t>
      </w:r>
      <w:r w:rsidRPr="006D299E">
        <w:rPr>
          <w:rtl/>
        </w:rPr>
        <w:t>الوسائل</w:t>
      </w:r>
      <w:r w:rsidRPr="00132E65">
        <w:rPr>
          <w:rtl/>
        </w:rPr>
        <w:t xml:space="preserve"> ، ج 2 ، ص 530 ، ح 2825 ؛ </w:t>
      </w:r>
      <w:r w:rsidRPr="006D299E">
        <w:rPr>
          <w:rtl/>
        </w:rPr>
        <w:t>البحار</w:t>
      </w:r>
      <w:r w:rsidRPr="00132E65">
        <w:rPr>
          <w:rtl/>
        </w:rPr>
        <w:t xml:space="preserve"> ، ج 27 ، ص 291 ، ح 7.</w:t>
      </w:r>
    </w:p>
    <w:p w:rsidR="000C39D1" w:rsidRPr="00132E65" w:rsidRDefault="000C39D1" w:rsidP="000C39D1">
      <w:pPr>
        <w:pStyle w:val="libFootnote0"/>
        <w:rPr>
          <w:rtl/>
          <w:lang w:bidi="fa-IR"/>
        </w:rPr>
      </w:pPr>
      <w:r>
        <w:rPr>
          <w:rtl/>
        </w:rPr>
        <w:t>(5).</w:t>
      </w:r>
      <w:r w:rsidRPr="00132E65">
        <w:rPr>
          <w:rtl/>
        </w:rPr>
        <w:t xml:space="preserve"> في « بف » والبحار </w:t>
      </w:r>
      <w:r>
        <w:rPr>
          <w:rtl/>
        </w:rPr>
        <w:t xml:space="preserve">: - </w:t>
      </w:r>
      <w:r w:rsidRPr="00132E65">
        <w:rPr>
          <w:rtl/>
        </w:rPr>
        <w:t>« أن »</w:t>
      </w:r>
      <w:r>
        <w:rPr>
          <w:rtl/>
        </w:rPr>
        <w:t>.</w:t>
      </w:r>
    </w:p>
    <w:p w:rsidR="000C39D1" w:rsidRPr="00132E65" w:rsidRDefault="000C39D1" w:rsidP="000C39D1">
      <w:pPr>
        <w:pStyle w:val="libFootnote0"/>
        <w:rPr>
          <w:rtl/>
          <w:lang w:bidi="fa-IR"/>
        </w:rPr>
      </w:pPr>
      <w:r>
        <w:rPr>
          <w:rtl/>
        </w:rPr>
        <w:t>(6).</w:t>
      </w:r>
      <w:r w:rsidRPr="00132E65">
        <w:rPr>
          <w:rtl/>
        </w:rPr>
        <w:t xml:space="preserve"> « التَلابِيبُ » : جمع التَلْبِيب ، وهو مَجمع ما في موضع اللَبَب من ثياب الرجل. واللَبَب : موضع القلادة من‌الصدر. يقال : لبّبه وأخذ بتلبيبه وتلابيبه ، إذا جمعتَ ثيابه عند صدره ونَحْره ثمّ جررته. راجع : </w:t>
      </w:r>
      <w:r w:rsidRPr="006D299E">
        <w:rPr>
          <w:rtl/>
        </w:rPr>
        <w:t>النهاية</w:t>
      </w:r>
      <w:r w:rsidRPr="00132E65">
        <w:rPr>
          <w:rtl/>
        </w:rPr>
        <w:t xml:space="preserve"> ، ج 1 ، ص 193 ( تلب ) ؛ </w:t>
      </w:r>
      <w:r w:rsidRPr="009D1ACE">
        <w:rPr>
          <w:rStyle w:val="libFootnoteBoldChar"/>
          <w:rtl/>
        </w:rPr>
        <w:t>لسان العرب</w:t>
      </w:r>
      <w:r w:rsidRPr="00132E65">
        <w:rPr>
          <w:rtl/>
        </w:rPr>
        <w:t xml:space="preserve"> ، ج 1 ، ص 734 ( لبب )</w:t>
      </w:r>
      <w:r>
        <w:rPr>
          <w:rtl/>
        </w:rPr>
        <w:t>.</w:t>
      </w:r>
    </w:p>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أنّي »</w:t>
      </w:r>
      <w:r>
        <w:rPr>
          <w:rtl/>
        </w:rPr>
        <w:t>.</w:t>
      </w:r>
    </w:p>
    <w:p w:rsidR="000C39D1" w:rsidRPr="00132E65" w:rsidRDefault="000C39D1" w:rsidP="00A13D12">
      <w:pPr>
        <w:pStyle w:val="libFootnote0"/>
        <w:rPr>
          <w:rtl/>
          <w:lang w:bidi="fa-IR"/>
        </w:rPr>
      </w:pPr>
      <w:r>
        <w:rPr>
          <w:rtl/>
        </w:rPr>
        <w:t>(8).</w:t>
      </w:r>
      <w:r w:rsidRPr="00132E65">
        <w:rPr>
          <w:rtl/>
        </w:rPr>
        <w:t xml:space="preserve"> والقسم على الله أن يقول : بحقّك فافعل كذا. وإنّما عدّي</w:t>
      </w:r>
      <w:r>
        <w:rPr>
          <w:rtl/>
        </w:rPr>
        <w:t xml:space="preserve"> ب</w:t>
      </w:r>
      <w:r w:rsidR="003A310F">
        <w:rPr>
          <w:rFonts w:hint="cs"/>
          <w:rtl/>
        </w:rPr>
        <w:t>ـ</w:t>
      </w:r>
      <w:r>
        <w:rPr>
          <w:rtl/>
        </w:rPr>
        <w:t xml:space="preserve"> «</w:t>
      </w:r>
      <w:r w:rsidRPr="00132E65">
        <w:rPr>
          <w:rtl/>
        </w:rPr>
        <w:t xml:space="preserve"> على » لأنّه ضُمِّن معنى التحكّم. </w:t>
      </w:r>
      <w:r w:rsidRPr="006D299E">
        <w:rPr>
          <w:rtl/>
        </w:rPr>
        <w:t>المغرب</w:t>
      </w:r>
      <w:r w:rsidRPr="00132E65">
        <w:rPr>
          <w:rtl/>
        </w:rPr>
        <w:t xml:space="preserve"> ، ص 294 ذيل ( طمر )</w:t>
      </w:r>
      <w:r>
        <w:rPr>
          <w:rtl/>
        </w:rPr>
        <w:t>.</w:t>
      </w:r>
      <w:r w:rsidR="00A13D12">
        <w:rPr>
          <w:rFonts w:hint="cs"/>
          <w:rtl/>
        </w:rPr>
        <w:t xml:space="preserve">                                          </w:t>
      </w:r>
      <w:r>
        <w:rPr>
          <w:rtl/>
        </w:rPr>
        <w:t>(9).</w:t>
      </w:r>
      <w:r w:rsidRPr="009D1ACE">
        <w:rPr>
          <w:rStyle w:val="libFootnoteBoldChar"/>
          <w:rtl/>
        </w:rPr>
        <w:t>الوافي</w:t>
      </w:r>
      <w:r w:rsidRPr="00132E65">
        <w:rPr>
          <w:rtl/>
        </w:rPr>
        <w:t>،ج2،ص188،ح648.</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مرآة العقول</w:t>
      </w:r>
      <w:r w:rsidRPr="00132E65">
        <w:rPr>
          <w:rtl/>
        </w:rPr>
        <w:t xml:space="preserve"> : « فانطلق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لِسَانَ مُحَمَّدٍ </w:t>
      </w:r>
      <w:r w:rsidRPr="0093484F">
        <w:rPr>
          <w:rStyle w:val="libAlaemChar"/>
          <w:rFonts w:eastAsiaTheme="minorHAnsi"/>
          <w:rtl/>
        </w:rPr>
        <w:t>صلى‌الله‌عليه‌وآله</w:t>
      </w:r>
      <w:r w:rsidRPr="00132E65">
        <w:rPr>
          <w:rtl/>
          <w:lang w:bidi="fa-IR"/>
        </w:rPr>
        <w:t xml:space="preserve"> ، فَسَمَّاهَا فَاطِمَةَ ، ثُمَّ قَالَ </w:t>
      </w:r>
      <w:r>
        <w:rPr>
          <w:rStyle w:val="libFootnotenumChar"/>
          <w:rtl/>
        </w:rPr>
        <w:t>(1)</w:t>
      </w:r>
      <w:r w:rsidRPr="00132E65">
        <w:rPr>
          <w:rtl/>
          <w:lang w:bidi="fa-IR"/>
        </w:rPr>
        <w:t xml:space="preserve"> : إِنِّي فَطَمْتُكِ </w:t>
      </w:r>
      <w:r>
        <w:rPr>
          <w:rStyle w:val="libFootnotenumChar"/>
          <w:rtl/>
        </w:rPr>
        <w:t>(2)</w:t>
      </w:r>
      <w:r w:rsidRPr="00132E65">
        <w:rPr>
          <w:rtl/>
          <w:lang w:bidi="fa-IR"/>
        </w:rPr>
        <w:t xml:space="preserve"> بِالْعِلْمِ ، و</w:t>
      </w:r>
      <w:r w:rsidR="00A13D12">
        <w:rPr>
          <w:rFonts w:hint="cs"/>
          <w:rtl/>
          <w:lang w:bidi="fa-IR"/>
        </w:rPr>
        <w:t xml:space="preserve">َ </w:t>
      </w:r>
      <w:r w:rsidRPr="00132E65">
        <w:rPr>
          <w:rtl/>
          <w:lang w:bidi="fa-IR"/>
        </w:rPr>
        <w:t xml:space="preserve">فَطَمْتُكِ مِنَ </w:t>
      </w:r>
      <w:r>
        <w:rPr>
          <w:rStyle w:val="libFootnotenumChar"/>
          <w:rtl/>
        </w:rPr>
        <w:t>(3)</w:t>
      </w:r>
      <w:r w:rsidRPr="00132E65">
        <w:rPr>
          <w:rtl/>
          <w:lang w:bidi="fa-IR"/>
        </w:rPr>
        <w:t xml:space="preserve"> الطَّمْثِ</w:t>
      </w:r>
      <w:r>
        <w:rPr>
          <w:rStyle w:val="libFootnotenumChar"/>
          <w:rtl/>
        </w:rPr>
        <w:t>(4)</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 xml:space="preserve">ثُمَّ قَالَ أَبُو جَعْفَرٍ </w:t>
      </w:r>
      <w:r w:rsidRPr="00071CF9">
        <w:rPr>
          <w:rStyle w:val="libAlaemChar"/>
          <w:rtl/>
        </w:rPr>
        <w:t>عليه‌السلام</w:t>
      </w:r>
      <w:r w:rsidRPr="00132E65">
        <w:rPr>
          <w:rtl/>
          <w:lang w:bidi="fa-IR"/>
        </w:rPr>
        <w:t xml:space="preserve"> : « وَاللهِ ، لَقَدْ فَطَمَهَا اللهُ بِالْعِلْمِ و</w:t>
      </w:r>
      <w:r w:rsidR="00A13D12">
        <w:rPr>
          <w:rFonts w:hint="cs"/>
          <w:rtl/>
          <w:lang w:bidi="fa-IR"/>
        </w:rPr>
        <w:t xml:space="preserve">َ </w:t>
      </w:r>
      <w:r w:rsidRPr="00132E65">
        <w:rPr>
          <w:rtl/>
          <w:lang w:bidi="fa-IR"/>
        </w:rPr>
        <w:t xml:space="preserve">عَنِ الطَّمْثِ فِي الْمِيثَاقِ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6D299E">
        <w:rPr>
          <w:rtl/>
        </w:rPr>
        <w:t>1250</w:t>
      </w:r>
      <w:r w:rsidRPr="004325D8">
        <w:rPr>
          <w:rStyle w:val="libBold2Char"/>
          <w:rtl/>
        </w:rPr>
        <w:t xml:space="preserve"> / 8.</w:t>
      </w:r>
      <w:r w:rsidRPr="00132E65">
        <w:rPr>
          <w:rtl/>
          <w:lang w:bidi="fa-IR"/>
        </w:rPr>
        <w:t xml:space="preserve"> و</w:t>
      </w:r>
      <w:r w:rsidR="00A13D12">
        <w:rPr>
          <w:rFonts w:hint="cs"/>
          <w:rtl/>
          <w:lang w:bidi="fa-IR"/>
        </w:rPr>
        <w:t xml:space="preserve">َ </w:t>
      </w:r>
      <w:r w:rsidRPr="00132E65">
        <w:rPr>
          <w:rtl/>
          <w:lang w:bidi="fa-IR"/>
        </w:rPr>
        <w:t>بِهذَا الْإِسْنَادِ ، عَنْ صَالِحِ بْنِ عُقْبَةَ ، عَنْ عَمْرِو بْنِ شِمْرٍ ، عَنْ جَابِرٍ :</w:t>
      </w:r>
    </w:p>
    <w:p w:rsidR="000C39D1" w:rsidRPr="00132E65" w:rsidRDefault="000C39D1" w:rsidP="00A13D12">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النَّبِيُّ </w:t>
      </w:r>
      <w:r w:rsidRPr="0093484F">
        <w:rPr>
          <w:rStyle w:val="libAlaemChar"/>
          <w:rFonts w:eastAsiaTheme="minorHAnsi"/>
          <w:rtl/>
        </w:rPr>
        <w:t>صلى‌الله‌عليه‌وآله</w:t>
      </w:r>
      <w:r w:rsidRPr="00132E65">
        <w:rPr>
          <w:rtl/>
          <w:lang w:bidi="fa-IR"/>
        </w:rPr>
        <w:t xml:space="preserve"> لِفَاطِمَةَ </w:t>
      </w:r>
      <w:r w:rsidRPr="00071CF9">
        <w:rPr>
          <w:rStyle w:val="libAlaemChar"/>
          <w:rtl/>
        </w:rPr>
        <w:t>عليها‌السلام</w:t>
      </w:r>
      <w:r w:rsidRPr="00132E65">
        <w:rPr>
          <w:rtl/>
          <w:lang w:bidi="fa-IR"/>
        </w:rPr>
        <w:t xml:space="preserve"> : يَا فَاطِمَةُ ، قُومِي فَأَخْرِجِي تِلْكَ الصَّحْفَةَ </w:t>
      </w:r>
      <w:r>
        <w:rPr>
          <w:rStyle w:val="libFootnotenumChar"/>
          <w:rtl/>
        </w:rPr>
        <w:t>(7)</w:t>
      </w:r>
      <w:r w:rsidRPr="00132E65">
        <w:rPr>
          <w:rtl/>
          <w:lang w:bidi="fa-IR"/>
        </w:rPr>
        <w:t xml:space="preserve"> ، فَقَامَتْ فَأَخْرَجَتْ </w:t>
      </w:r>
      <w:r>
        <w:rPr>
          <w:rStyle w:val="libFootnotenumChar"/>
          <w:rtl/>
        </w:rPr>
        <w:t>(8)</w:t>
      </w:r>
      <w:r w:rsidRPr="00132E65">
        <w:rPr>
          <w:rtl/>
          <w:lang w:bidi="fa-IR"/>
        </w:rPr>
        <w:t xml:space="preserve"> صَحْفَةً </w:t>
      </w:r>
      <w:r>
        <w:rPr>
          <w:rStyle w:val="libFootnotenumChar"/>
          <w:rtl/>
        </w:rPr>
        <w:t>(9)</w:t>
      </w:r>
      <w:r w:rsidRPr="00132E65">
        <w:rPr>
          <w:rtl/>
          <w:lang w:bidi="fa-IR"/>
        </w:rPr>
        <w:t xml:space="preserve"> فِيهَا ثَرِيدٌ </w:t>
      </w:r>
      <w:r>
        <w:rPr>
          <w:rStyle w:val="libFootnotenumChar"/>
          <w:rtl/>
        </w:rPr>
        <w:t>(10)</w:t>
      </w:r>
      <w:r w:rsidRPr="00132E65">
        <w:rPr>
          <w:rtl/>
          <w:lang w:bidi="fa-IR"/>
        </w:rPr>
        <w:t xml:space="preserve"> و</w:t>
      </w:r>
      <w:r w:rsidR="00A13D12">
        <w:rPr>
          <w:rFonts w:hint="cs"/>
          <w:rtl/>
          <w:lang w:bidi="fa-IR"/>
        </w:rPr>
        <w:t>َ</w:t>
      </w:r>
      <w:r w:rsidRPr="00132E65">
        <w:rPr>
          <w:rtl/>
          <w:lang w:bidi="fa-IR"/>
        </w:rPr>
        <w:t xml:space="preserve">عُرَاقٌ </w:t>
      </w:r>
      <w:r>
        <w:rPr>
          <w:rStyle w:val="libFootnotenumChar"/>
          <w:rtl/>
        </w:rPr>
        <w:t>(11)</w:t>
      </w:r>
      <w:r w:rsidRPr="00132E65">
        <w:rPr>
          <w:rtl/>
          <w:lang w:bidi="fa-IR"/>
        </w:rPr>
        <w:t xml:space="preserve"> يَفُورُ </w:t>
      </w:r>
      <w:r>
        <w:rPr>
          <w:rStyle w:val="libFootnotenumChar"/>
          <w:rtl/>
        </w:rPr>
        <w:t>(12)</w:t>
      </w:r>
      <w:r w:rsidRPr="00132E65">
        <w:rPr>
          <w:rtl/>
          <w:lang w:bidi="fa-IR"/>
        </w:rPr>
        <w:t xml:space="preserve"> ، فَأَكَلَ النَّبِيُّ </w:t>
      </w:r>
      <w:r w:rsidRPr="0093484F">
        <w:rPr>
          <w:rStyle w:val="libAlaemChar"/>
          <w:rFonts w:eastAsiaTheme="minorHAnsi"/>
          <w:rtl/>
        </w:rPr>
        <w:t>صلى‌الله‌عليه‌وآله</w:t>
      </w:r>
      <w:r w:rsidR="00A13D12">
        <w:rPr>
          <w:rtl/>
          <w:lang w:bidi="fa-IR"/>
        </w:rPr>
        <w:t xml:space="preserve"> </w:t>
      </w:r>
      <w:r w:rsidR="00A13D12">
        <w:rPr>
          <w:rFonts w:hint="cs"/>
          <w:rtl/>
          <w:lang w:bidi="fa-IR"/>
        </w:rPr>
        <w:t xml:space="preserve">وَ </w:t>
      </w:r>
      <w:r w:rsidRPr="00132E65">
        <w:rPr>
          <w:rtl/>
          <w:lang w:bidi="fa-IR"/>
        </w:rPr>
        <w:t>عَلِيٌّ و</w:t>
      </w:r>
      <w:r w:rsidR="00A13D12">
        <w:rPr>
          <w:rFonts w:hint="cs"/>
          <w:rtl/>
          <w:lang w:bidi="fa-IR"/>
        </w:rPr>
        <w:t xml:space="preserve">َ </w:t>
      </w:r>
      <w:r w:rsidRPr="00132E65">
        <w:rPr>
          <w:rtl/>
          <w:lang w:bidi="fa-IR"/>
        </w:rPr>
        <w:t>فَاطِمَةُ و</w:t>
      </w:r>
      <w:r w:rsidR="00A13D12">
        <w:rPr>
          <w:rFonts w:hint="cs"/>
          <w:rtl/>
          <w:lang w:bidi="fa-IR"/>
        </w:rPr>
        <w:t xml:space="preserve">َ </w:t>
      </w:r>
      <w:r w:rsidRPr="00132E65">
        <w:rPr>
          <w:rtl/>
          <w:lang w:bidi="fa-IR"/>
        </w:rPr>
        <w:t>الْحَسَنُ و</w:t>
      </w:r>
      <w:r w:rsidR="00A13D12">
        <w:rPr>
          <w:rFonts w:hint="cs"/>
          <w:rtl/>
          <w:lang w:bidi="fa-IR"/>
        </w:rPr>
        <w:t xml:space="preserve">َ </w:t>
      </w:r>
      <w:r w:rsidRPr="00132E65">
        <w:rPr>
          <w:rtl/>
          <w:lang w:bidi="fa-IR"/>
        </w:rPr>
        <w:t xml:space="preserve">الْحُسَيْنُ </w:t>
      </w:r>
      <w:r w:rsidRPr="00071CF9">
        <w:rPr>
          <w:rStyle w:val="libAlaemChar"/>
          <w:rtl/>
        </w:rPr>
        <w:t>عليهم‌السلام</w:t>
      </w:r>
      <w:r w:rsidRPr="00132E65">
        <w:rPr>
          <w:rtl/>
          <w:lang w:bidi="fa-IR"/>
        </w:rPr>
        <w:t xml:space="preserve"> ثَلَاثَةَ عَشَرَ يَوْماً ، ثُمَّ إِنَّ أُمَّ أَيْمَنَ رَأَتِ‌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 « فقال » بدل « ثمّ قال »</w:t>
      </w:r>
      <w:r>
        <w:rPr>
          <w:rtl/>
        </w:rPr>
        <w:t>.</w:t>
      </w:r>
    </w:p>
    <w:p w:rsidR="000C39D1" w:rsidRPr="00132E65" w:rsidRDefault="000C39D1" w:rsidP="000C39D1">
      <w:pPr>
        <w:pStyle w:val="libFootnote0"/>
        <w:rPr>
          <w:rtl/>
          <w:lang w:bidi="fa-IR"/>
        </w:rPr>
      </w:pPr>
      <w:r>
        <w:rPr>
          <w:rtl/>
        </w:rPr>
        <w:t>(2).</w:t>
      </w:r>
      <w:r w:rsidRPr="00132E65">
        <w:rPr>
          <w:rtl/>
        </w:rPr>
        <w:t xml:space="preserve"> في « بس » : « قد فطمتك »</w:t>
      </w:r>
      <w:r>
        <w:rPr>
          <w:rtl/>
        </w:rPr>
        <w:t>.</w:t>
      </w:r>
      <w:r w:rsidRPr="00132E65">
        <w:rPr>
          <w:rtl/>
        </w:rPr>
        <w:t xml:space="preserve"> وقوله : « فطمتك » ، من الفطم بمعنى القطع والفصل والمنع. واحتمل المجلسي كونه من باب التفعيل ، أي جعلتك قاطعة الناس من الجهل. راجع : </w:t>
      </w:r>
      <w:r w:rsidRPr="006D299E">
        <w:rPr>
          <w:rtl/>
        </w:rPr>
        <w:t>المصباح المنير</w:t>
      </w:r>
      <w:r w:rsidRPr="00132E65">
        <w:rPr>
          <w:rtl/>
        </w:rPr>
        <w:t xml:space="preserve"> ، ص 477 ( فطم )</w:t>
      </w:r>
      <w:r>
        <w:rPr>
          <w:rtl/>
        </w:rPr>
        <w:t>.</w:t>
      </w:r>
    </w:p>
    <w:p w:rsidR="000C39D1" w:rsidRPr="00132E65" w:rsidRDefault="000C39D1" w:rsidP="000C39D1">
      <w:pPr>
        <w:pStyle w:val="libFootnote0"/>
        <w:rPr>
          <w:rtl/>
          <w:lang w:bidi="fa-IR"/>
        </w:rPr>
      </w:pPr>
      <w:r>
        <w:rPr>
          <w:rtl/>
        </w:rPr>
        <w:t>(3).</w:t>
      </w:r>
      <w:r w:rsidRPr="00132E65">
        <w:rPr>
          <w:rtl/>
        </w:rPr>
        <w:t xml:space="preserve"> في العلل : « عن »</w:t>
      </w:r>
      <w:r>
        <w:rPr>
          <w:rtl/>
        </w:rPr>
        <w:t>.</w:t>
      </w:r>
      <w:r w:rsidRPr="00132E65">
        <w:rPr>
          <w:rtl/>
        </w:rPr>
        <w:t xml:space="preserve"> واتّفقت النسخ هنا على « من » وفيما سيأتي على « عن »</w:t>
      </w:r>
      <w:r>
        <w:rPr>
          <w:rtl/>
        </w:rPr>
        <w:t>.</w:t>
      </w:r>
      <w:r w:rsidRPr="00132E65">
        <w:rPr>
          <w:rtl/>
        </w:rPr>
        <w:t xml:space="preserve"> وجاء استعمال هذه المادّة بكليهما في اللغة.</w:t>
      </w:r>
    </w:p>
    <w:p w:rsidR="000C39D1" w:rsidRPr="00132E65" w:rsidRDefault="000C39D1" w:rsidP="000C39D1">
      <w:pPr>
        <w:pStyle w:val="libFootnote0"/>
        <w:rPr>
          <w:rtl/>
          <w:lang w:bidi="fa-IR"/>
        </w:rPr>
      </w:pPr>
      <w:r>
        <w:rPr>
          <w:rtl/>
        </w:rPr>
        <w:t>(4).</w:t>
      </w:r>
      <w:r w:rsidRPr="00132E65">
        <w:rPr>
          <w:rtl/>
        </w:rPr>
        <w:t xml:space="preserve"> تقدّم معنى الطمث ذيل الحديث 2 من هذا الباب.</w:t>
      </w:r>
    </w:p>
    <w:p w:rsidR="000C39D1" w:rsidRPr="00132E65" w:rsidRDefault="000C39D1" w:rsidP="000C39D1">
      <w:pPr>
        <w:pStyle w:val="libFootnote0"/>
        <w:rPr>
          <w:rtl/>
          <w:lang w:bidi="fa-IR"/>
        </w:rPr>
      </w:pPr>
      <w:r>
        <w:rPr>
          <w:rtl/>
        </w:rPr>
        <w:t>(5).</w:t>
      </w:r>
      <w:r w:rsidRPr="00132E65">
        <w:rPr>
          <w:rtl/>
        </w:rPr>
        <w:t xml:space="preserve"> في العلل : « بالميثاق »</w:t>
      </w:r>
      <w:r>
        <w:rPr>
          <w:rtl/>
        </w:rPr>
        <w:t>.</w:t>
      </w:r>
    </w:p>
    <w:p w:rsidR="000C39D1" w:rsidRPr="00132E65" w:rsidRDefault="000C39D1" w:rsidP="00A13D12">
      <w:pPr>
        <w:pStyle w:val="libFootnote0"/>
        <w:rPr>
          <w:rtl/>
          <w:lang w:bidi="fa-IR"/>
        </w:rPr>
      </w:pPr>
      <w:r>
        <w:rPr>
          <w:rtl/>
        </w:rPr>
        <w:t>(6).</w:t>
      </w:r>
      <w:r w:rsidRPr="00132E65">
        <w:rPr>
          <w:rtl/>
        </w:rPr>
        <w:t xml:space="preserve"> </w:t>
      </w:r>
      <w:r w:rsidRPr="006D299E">
        <w:rPr>
          <w:rtl/>
        </w:rPr>
        <w:t>علل الشرائع</w:t>
      </w:r>
      <w:r w:rsidRPr="00132E65">
        <w:rPr>
          <w:rtl/>
        </w:rPr>
        <w:t xml:space="preserve"> ، ص 179 ، ح 4 ، عن محمّد بن عليّ ماجيلويه ، عن محمّد بن يحيى العطّار ، عن محمّد بن الحسين ، عن محمّد بن صالح بن عقبة</w:t>
      </w:r>
      <w:r w:rsidR="00A13D12">
        <w:rPr>
          <w:rFonts w:hint="cs"/>
          <w:rtl/>
        </w:rPr>
        <w:t>.</w:t>
      </w:r>
      <w:r w:rsidRPr="009D1ACE">
        <w:rPr>
          <w:rStyle w:val="libFootnoteBoldChar"/>
          <w:rtl/>
        </w:rPr>
        <w:t>الوافي</w:t>
      </w:r>
      <w:r w:rsidRPr="00132E65">
        <w:rPr>
          <w:rtl/>
        </w:rPr>
        <w:t xml:space="preserve"> ، ج 3 ، ص 746 ، ح 1362.</w:t>
      </w:r>
    </w:p>
    <w:p w:rsidR="000C39D1" w:rsidRPr="00132E65" w:rsidRDefault="000C39D1" w:rsidP="000C39D1">
      <w:pPr>
        <w:pStyle w:val="libFootnote0"/>
        <w:rPr>
          <w:rtl/>
          <w:lang w:bidi="fa-IR"/>
        </w:rPr>
      </w:pPr>
      <w:r>
        <w:rPr>
          <w:rtl/>
        </w:rPr>
        <w:t>(7).</w:t>
      </w:r>
      <w:r w:rsidRPr="00132E65">
        <w:rPr>
          <w:rtl/>
        </w:rPr>
        <w:t xml:space="preserve"> « الصحفه » : إناء كالقَصْعَة المبسوطة ونحوها ، وقطعة كبيرة منبسطة تشبع الخم</w:t>
      </w:r>
      <w:r w:rsidR="0073398E">
        <w:rPr>
          <w:rtl/>
        </w:rPr>
        <w:t>سة. وجمعها : صِحافٌ. وقال‌العل</w:t>
      </w:r>
      <w:r w:rsidR="0073398E">
        <w:rPr>
          <w:rFonts w:hint="cs"/>
          <w:rtl/>
        </w:rPr>
        <w:t>ّ</w:t>
      </w:r>
      <w:r w:rsidR="0073398E">
        <w:rPr>
          <w:rtl/>
        </w:rPr>
        <w:t>ا</w:t>
      </w:r>
      <w:r w:rsidRPr="00132E65">
        <w:rPr>
          <w:rtl/>
        </w:rPr>
        <w:t>مة الفيض : « وفي إتيان الصحفة من الجنّة لآل العبا سرّ لطيف ، وذلك لأنّهم كانوا خمسة ، وهي تشبع خمسة »</w:t>
      </w:r>
      <w:r>
        <w:rPr>
          <w:rtl/>
        </w:rPr>
        <w:t>.</w:t>
      </w:r>
      <w:r w:rsidRPr="00132E65">
        <w:rPr>
          <w:rtl/>
        </w:rPr>
        <w:t xml:space="preserve"> راجع : </w:t>
      </w:r>
      <w:r w:rsidRPr="006D299E">
        <w:rPr>
          <w:rtl/>
        </w:rPr>
        <w:t>النهاية</w:t>
      </w:r>
      <w:r w:rsidRPr="00132E65">
        <w:rPr>
          <w:rtl/>
        </w:rPr>
        <w:t xml:space="preserve"> ، ج 3 ، ص 13 ؛ </w:t>
      </w:r>
      <w:r w:rsidRPr="006D299E">
        <w:rPr>
          <w:rtl/>
        </w:rPr>
        <w:t>المغرب</w:t>
      </w:r>
      <w:r w:rsidRPr="00132E65">
        <w:rPr>
          <w:rtl/>
        </w:rPr>
        <w:t xml:space="preserve"> ، ص 263 ( صحف )</w:t>
      </w:r>
      <w:r>
        <w:rPr>
          <w:rtl/>
        </w:rPr>
        <w:t>.</w:t>
      </w:r>
    </w:p>
    <w:p w:rsidR="000C39D1" w:rsidRPr="00132E65" w:rsidRDefault="000C39D1" w:rsidP="000C39D1">
      <w:pPr>
        <w:pStyle w:val="libFootnote0"/>
        <w:rPr>
          <w:rtl/>
          <w:lang w:bidi="fa-IR"/>
        </w:rPr>
      </w:pPr>
      <w:r>
        <w:rPr>
          <w:rtl/>
        </w:rPr>
        <w:t>(8).</w:t>
      </w:r>
      <w:r w:rsidRPr="00132E65">
        <w:rPr>
          <w:rtl/>
        </w:rPr>
        <w:t xml:space="preserve"> في « ج » : « وأخرجت »</w:t>
      </w:r>
      <w:r>
        <w:rPr>
          <w:rtl/>
        </w:rPr>
        <w:t>.</w:t>
      </w:r>
    </w:p>
    <w:p w:rsidR="000C39D1" w:rsidRPr="00132E65" w:rsidRDefault="000C39D1" w:rsidP="000C39D1">
      <w:pPr>
        <w:pStyle w:val="libFootnote0"/>
        <w:rPr>
          <w:rtl/>
          <w:lang w:bidi="fa-IR"/>
        </w:rPr>
      </w:pPr>
      <w:r>
        <w:rPr>
          <w:rtl/>
        </w:rPr>
        <w:t>(9).</w:t>
      </w:r>
      <w:r w:rsidRPr="00132E65">
        <w:rPr>
          <w:rtl/>
        </w:rPr>
        <w:t xml:space="preserve"> في « بر » : « صحيفة »</w:t>
      </w:r>
      <w:r>
        <w:rPr>
          <w:rtl/>
        </w:rPr>
        <w:t>.</w:t>
      </w:r>
    </w:p>
    <w:p w:rsidR="000C39D1" w:rsidRPr="00132E65" w:rsidRDefault="000C39D1" w:rsidP="000C39D1">
      <w:pPr>
        <w:pStyle w:val="libFootnote0"/>
        <w:rPr>
          <w:rtl/>
          <w:lang w:bidi="fa-IR"/>
        </w:rPr>
      </w:pPr>
      <w:r>
        <w:rPr>
          <w:rtl/>
        </w:rPr>
        <w:t>(10).</w:t>
      </w:r>
      <w:r w:rsidRPr="00132E65">
        <w:rPr>
          <w:rtl/>
        </w:rPr>
        <w:t xml:space="preserve"> « الثَرِيدُ » : الخبز المفتوت المكسور ، فعيل بمعنى مفعول ؛ من ثَرَدْتُ الخُبْز ثَرْداً</w:t>
      </w:r>
      <w:r>
        <w:rPr>
          <w:rtl/>
        </w:rPr>
        <w:t xml:space="preserve"> - </w:t>
      </w:r>
      <w:r w:rsidRPr="00132E65">
        <w:rPr>
          <w:rtl/>
        </w:rPr>
        <w:t>من باب قتل</w:t>
      </w:r>
      <w:r>
        <w:rPr>
          <w:rtl/>
        </w:rPr>
        <w:t xml:space="preserve"> - </w:t>
      </w:r>
      <w:r w:rsidRPr="00132E65">
        <w:rPr>
          <w:rtl/>
        </w:rPr>
        <w:t>وهو أن تَفُتَّه ، أي تكسره بالأصابع ، ثمّ تبلّه بمَرَقٍ وهو الماء الذي ا</w:t>
      </w:r>
      <w:r w:rsidR="0073398E">
        <w:rPr>
          <w:rFonts w:hint="cs"/>
          <w:rtl/>
        </w:rPr>
        <w:t>ُ</w:t>
      </w:r>
      <w:r w:rsidRPr="00132E65">
        <w:rPr>
          <w:rtl/>
        </w:rPr>
        <w:t xml:space="preserve">غلي فيه اللحم. راجع : </w:t>
      </w:r>
      <w:r w:rsidRPr="006D299E">
        <w:rPr>
          <w:rtl/>
        </w:rPr>
        <w:t>المصباح المنير</w:t>
      </w:r>
      <w:r w:rsidRPr="00132E65">
        <w:rPr>
          <w:rtl/>
        </w:rPr>
        <w:t xml:space="preserve"> ، ص 81 ( ثرد )</w:t>
      </w:r>
      <w:r>
        <w:rPr>
          <w:rtl/>
        </w:rPr>
        <w:t>.</w:t>
      </w:r>
    </w:p>
    <w:p w:rsidR="000C39D1" w:rsidRPr="00132E65" w:rsidRDefault="000C39D1" w:rsidP="000C39D1">
      <w:pPr>
        <w:pStyle w:val="libFootnote0"/>
        <w:rPr>
          <w:rtl/>
          <w:lang w:bidi="fa-IR"/>
        </w:rPr>
      </w:pPr>
      <w:r>
        <w:rPr>
          <w:rtl/>
        </w:rPr>
        <w:t>(11).</w:t>
      </w:r>
      <w:r w:rsidRPr="00132E65">
        <w:rPr>
          <w:rtl/>
        </w:rPr>
        <w:t xml:space="preserve"> قال الجوهري : « العَرْقُ : العظم الذي ا</w:t>
      </w:r>
      <w:r w:rsidR="0073398E">
        <w:rPr>
          <w:rFonts w:hint="cs"/>
          <w:rtl/>
        </w:rPr>
        <w:t>ُ</w:t>
      </w:r>
      <w:r w:rsidRPr="00132E65">
        <w:rPr>
          <w:rtl/>
        </w:rPr>
        <w:t>خذ عنه اللحم ، والجمع : عُراق »</w:t>
      </w:r>
      <w:r>
        <w:rPr>
          <w:rtl/>
        </w:rPr>
        <w:t>.</w:t>
      </w:r>
      <w:r w:rsidRPr="00132E65">
        <w:rPr>
          <w:rtl/>
        </w:rPr>
        <w:t xml:space="preserve"> وفي </w:t>
      </w:r>
      <w:r w:rsidRPr="006D299E">
        <w:rPr>
          <w:rtl/>
        </w:rPr>
        <w:t>القاموس</w:t>
      </w:r>
      <w:r w:rsidRPr="00132E65">
        <w:rPr>
          <w:rtl/>
        </w:rPr>
        <w:t xml:space="preserve"> : « العَرْقُ والعُراق : العظم ا</w:t>
      </w:r>
      <w:r w:rsidR="0073398E">
        <w:rPr>
          <w:rFonts w:hint="cs"/>
          <w:rtl/>
        </w:rPr>
        <w:t>ُ</w:t>
      </w:r>
      <w:r w:rsidRPr="00132E65">
        <w:rPr>
          <w:rtl/>
        </w:rPr>
        <w:t>كل لحمه ، أو العَرْق : العظم بلحمه ، فإذا ا</w:t>
      </w:r>
      <w:r w:rsidR="0073398E">
        <w:rPr>
          <w:rFonts w:hint="cs"/>
          <w:rtl/>
        </w:rPr>
        <w:t>ُ</w:t>
      </w:r>
      <w:r w:rsidRPr="00132E65">
        <w:rPr>
          <w:rtl/>
        </w:rPr>
        <w:t>كل لحمه فعُراق ، أو كلاهما لكيهما »</w:t>
      </w:r>
      <w:r>
        <w:rPr>
          <w:rtl/>
        </w:rPr>
        <w:t>.</w:t>
      </w:r>
      <w:r w:rsidRPr="00132E65">
        <w:rPr>
          <w:rtl/>
        </w:rPr>
        <w:t xml:space="preserve"> راجع : </w:t>
      </w:r>
      <w:r w:rsidRPr="006D299E">
        <w:rPr>
          <w:rtl/>
        </w:rPr>
        <w:t>الصحاح</w:t>
      </w:r>
      <w:r w:rsidRPr="00132E65">
        <w:rPr>
          <w:rtl/>
        </w:rPr>
        <w:t xml:space="preserve"> ، ج 4 ، ص 1523 ؛ </w:t>
      </w:r>
      <w:r w:rsidRPr="006D299E">
        <w:rPr>
          <w:rtl/>
        </w:rPr>
        <w:t>القاموس المحيط</w:t>
      </w:r>
      <w:r w:rsidRPr="00132E65">
        <w:rPr>
          <w:rtl/>
        </w:rPr>
        <w:t xml:space="preserve"> ، ج 2 ، ص 1204 ( عرق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الوافي</w:t>
      </w:r>
      <w:r w:rsidRPr="00132E65">
        <w:rPr>
          <w:rtl/>
        </w:rPr>
        <w:t xml:space="preserve"> : « تفور »</w:t>
      </w:r>
      <w:r>
        <w:rPr>
          <w:rtl/>
        </w:rPr>
        <w:t>.</w:t>
      </w:r>
      <w:r w:rsidRPr="00132E65">
        <w:rPr>
          <w:rtl/>
        </w:rPr>
        <w:t xml:space="preserve"> وفارَتِ القِدرُ تَفُورُ فَوْراً وفَوَراناً : جاشت. </w:t>
      </w:r>
      <w:r w:rsidRPr="006D299E">
        <w:rPr>
          <w:rtl/>
        </w:rPr>
        <w:t>الصحاح</w:t>
      </w:r>
      <w:r w:rsidRPr="00132E65">
        <w:rPr>
          <w:rtl/>
        </w:rPr>
        <w:t xml:space="preserve"> ، ج 2 ، ص 783 ( فور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الْحُسَيْنَ مَعَهُ شَيْ‌ءٌ ، فَقَالَتْ لَهُ : مِنْ أَيْنَ لَكَ هذَا</w:t>
      </w:r>
      <w:r>
        <w:rPr>
          <w:rtl/>
          <w:lang w:bidi="fa-IR"/>
        </w:rPr>
        <w:t>؟</w:t>
      </w:r>
      <w:r w:rsidRPr="00132E65">
        <w:rPr>
          <w:rtl/>
          <w:lang w:bidi="fa-IR"/>
        </w:rPr>
        <w:t xml:space="preserve"> قَالَ : إِنَّا لَنَأْكُلُهُ مُنْذُ أَيَّامٍ ، فَأَتَتْ أُمُّ أَيْمَنَ فَاطِمَةَ ، فَقَالَتْ : يَا فَاطِمَةُ ، إِذَا كَانَ عِنْدَ أُمِّ أَيْمَنَ شَيْ‌ءٌ ، فَإِنَّمَا هُوَ لِفَاطِمَةَ وَ</w:t>
      </w:r>
      <w:r w:rsidR="0073398E">
        <w:rPr>
          <w:rFonts w:hint="cs"/>
          <w:rtl/>
          <w:lang w:bidi="fa-IR"/>
        </w:rPr>
        <w:t xml:space="preserve"> </w:t>
      </w:r>
      <w:r w:rsidRPr="00132E65">
        <w:rPr>
          <w:rtl/>
          <w:lang w:bidi="fa-IR"/>
        </w:rPr>
        <w:t>و</w:t>
      </w:r>
      <w:r w:rsidR="0073398E">
        <w:rPr>
          <w:rFonts w:hint="cs"/>
          <w:rtl/>
          <w:lang w:bidi="fa-IR"/>
        </w:rPr>
        <w:t>ُ</w:t>
      </w:r>
      <w:r w:rsidRPr="00132E65">
        <w:rPr>
          <w:rtl/>
          <w:lang w:bidi="fa-IR"/>
        </w:rPr>
        <w:t xml:space="preserve">لْدِهَا </w:t>
      </w:r>
      <w:r>
        <w:rPr>
          <w:rStyle w:val="libFootnotenumChar"/>
          <w:rtl/>
        </w:rPr>
        <w:t>(1)</w:t>
      </w:r>
      <w:r w:rsidRPr="00132E65">
        <w:rPr>
          <w:rtl/>
          <w:lang w:bidi="fa-IR"/>
        </w:rPr>
        <w:t xml:space="preserve"> ، و</w:t>
      </w:r>
      <w:r w:rsidR="0073398E">
        <w:rPr>
          <w:rFonts w:hint="cs"/>
          <w:rtl/>
          <w:lang w:bidi="fa-IR"/>
        </w:rPr>
        <w:t>َ</w:t>
      </w:r>
      <w:r w:rsidR="00173458">
        <w:rPr>
          <w:rFonts w:hint="cs"/>
          <w:rtl/>
          <w:lang w:bidi="fa-IR"/>
        </w:rPr>
        <w:t xml:space="preserve"> </w:t>
      </w:r>
      <w:r w:rsidRPr="00132E65">
        <w:rPr>
          <w:rtl/>
          <w:lang w:bidi="fa-IR"/>
        </w:rPr>
        <w:t>إِذَا كَانَ عِنْدَ فَاطِمَةَ شَيْ‌ءٌ ، فَلَيْسَ لِأُمِّ أَيْمَنَ مِنْهُ شَيْ‌ءٌ</w:t>
      </w:r>
      <w:r>
        <w:rPr>
          <w:rtl/>
          <w:lang w:bidi="fa-IR"/>
        </w:rPr>
        <w:t>؟</w:t>
      </w:r>
      <w:r w:rsidRPr="00132E65">
        <w:rPr>
          <w:rtl/>
          <w:lang w:bidi="fa-IR"/>
        </w:rPr>
        <w:t xml:space="preserve"> فَأَخْرَجَتْ لَهَا مِنْهُ ، فَأَكَلَتْ مِنْهُ أُمُّ أَيْمَنَ و</w:t>
      </w:r>
      <w:r w:rsidR="00173458">
        <w:rPr>
          <w:rFonts w:hint="cs"/>
          <w:rtl/>
          <w:lang w:bidi="fa-IR"/>
        </w:rPr>
        <w:t xml:space="preserve">َ </w:t>
      </w:r>
      <w:r w:rsidRPr="00132E65">
        <w:rPr>
          <w:rtl/>
          <w:lang w:bidi="fa-IR"/>
        </w:rPr>
        <w:t xml:space="preserve">نَفِدَتِ الصَّحْفَةُ ، فَقَالَ لَهَا النَّبِيُّ </w:t>
      </w:r>
      <w:r w:rsidRPr="0093484F">
        <w:rPr>
          <w:rStyle w:val="libAlaemChar"/>
          <w:rFonts w:eastAsiaTheme="minorHAnsi"/>
          <w:rtl/>
        </w:rPr>
        <w:t>صلى‌الله‌عليه‌وآله</w:t>
      </w:r>
      <w:r w:rsidRPr="00132E65">
        <w:rPr>
          <w:rtl/>
          <w:lang w:bidi="fa-IR"/>
        </w:rPr>
        <w:t>: أَمَا لَوْ لَا</w:t>
      </w:r>
      <w:r>
        <w:rPr>
          <w:rFonts w:hint="cs"/>
          <w:rtl/>
          <w:lang w:bidi="fa-IR"/>
        </w:rPr>
        <w:t xml:space="preserve"> </w:t>
      </w:r>
      <w:r w:rsidRPr="00132E65">
        <w:rPr>
          <w:rtl/>
          <w:lang w:bidi="fa-IR"/>
        </w:rPr>
        <w:t xml:space="preserve">أَنَّكِ أَطْعَمْتِهَا </w:t>
      </w:r>
      <w:r>
        <w:rPr>
          <w:rStyle w:val="libFootnotenumChar"/>
          <w:rtl/>
        </w:rPr>
        <w:t>(2)</w:t>
      </w:r>
      <w:r w:rsidRPr="00132E65">
        <w:rPr>
          <w:rtl/>
          <w:lang w:bidi="fa-IR"/>
        </w:rPr>
        <w:t xml:space="preserve"> لَأَكَلْتِ مِنْهَا أَنْتِ و</w:t>
      </w:r>
      <w:r w:rsidR="00173458">
        <w:rPr>
          <w:rFonts w:hint="cs"/>
          <w:rtl/>
          <w:lang w:bidi="fa-IR"/>
        </w:rPr>
        <w:t xml:space="preserve">َ </w:t>
      </w:r>
      <w:r w:rsidRPr="00132E65">
        <w:rPr>
          <w:rtl/>
          <w:lang w:bidi="fa-IR"/>
        </w:rPr>
        <w:t>ذُرِّيَّتُكِ إِلى أَنْ تَقُومَ السَّاعَةُ »</w:t>
      </w:r>
      <w:r>
        <w:rPr>
          <w:rtl/>
          <w:lang w:bidi="fa-IR"/>
        </w:rPr>
        <w:t>.</w:t>
      </w:r>
    </w:p>
    <w:p w:rsidR="000C39D1" w:rsidRPr="00132E65" w:rsidRDefault="000C39D1" w:rsidP="000C39D1">
      <w:pPr>
        <w:pStyle w:val="libNormal"/>
        <w:rPr>
          <w:rtl/>
          <w:lang w:bidi="fa-IR"/>
        </w:rPr>
      </w:pPr>
      <w:r w:rsidRPr="00132E65">
        <w:rPr>
          <w:rtl/>
          <w:lang w:bidi="fa-IR"/>
        </w:rPr>
        <w:t xml:space="preserve">ثُمَّ قَالَ أَبُو جَعْفَرٍ </w:t>
      </w:r>
      <w:r w:rsidRPr="00071CF9">
        <w:rPr>
          <w:rStyle w:val="libAlaemChar"/>
          <w:rtl/>
        </w:rPr>
        <w:t>عليه‌السلام</w:t>
      </w:r>
      <w:r w:rsidRPr="00132E65">
        <w:rPr>
          <w:rtl/>
          <w:lang w:bidi="fa-IR"/>
        </w:rPr>
        <w:t xml:space="preserve"> : « وَ</w:t>
      </w:r>
      <w:r w:rsidR="00173458">
        <w:rPr>
          <w:rFonts w:hint="cs"/>
          <w:rtl/>
          <w:lang w:bidi="fa-IR"/>
        </w:rPr>
        <w:t xml:space="preserve"> </w:t>
      </w:r>
      <w:r w:rsidRPr="00132E65">
        <w:rPr>
          <w:rtl/>
          <w:lang w:bidi="fa-IR"/>
        </w:rPr>
        <w:t xml:space="preserve">الصَّحْفَةُ عِنْدَنَا ، يَخْرُجُ بِهَا </w:t>
      </w:r>
      <w:r>
        <w:rPr>
          <w:rStyle w:val="libFootnotenumChar"/>
          <w:rtl/>
        </w:rPr>
        <w:t>(3)</w:t>
      </w:r>
      <w:r w:rsidRPr="00132E65">
        <w:rPr>
          <w:rtl/>
          <w:lang w:bidi="fa-IR"/>
        </w:rPr>
        <w:t xml:space="preserve"> قَائِمُنَا </w:t>
      </w:r>
      <w:r w:rsidRPr="00071CF9">
        <w:rPr>
          <w:rStyle w:val="libAlaemChar"/>
          <w:rtl/>
        </w:rPr>
        <w:t>عليه‌السلام</w:t>
      </w:r>
      <w:r w:rsidRPr="00132E65">
        <w:rPr>
          <w:rtl/>
          <w:lang w:bidi="fa-IR"/>
        </w:rPr>
        <w:t xml:space="preserve"> فِي زَمَانِهِ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B35FC7">
        <w:rPr>
          <w:rtl/>
        </w:rPr>
        <w:t>1251</w:t>
      </w:r>
      <w:r w:rsidRPr="004325D8">
        <w:rPr>
          <w:rStyle w:val="libBold2Char"/>
          <w:rtl/>
        </w:rPr>
        <w:t xml:space="preserve"> / 9.</w:t>
      </w:r>
      <w:r w:rsidRPr="00132E65">
        <w:rPr>
          <w:rtl/>
          <w:lang w:bidi="fa-IR"/>
        </w:rPr>
        <w:t xml:space="preserve"> الْحُسَيْنُ بْنُ مُحَمَّدٍ ، عَنْ مُعَلَّى بْنِ مُحَمَّدٍ ، عَنْ أَحْمَدَ بْنِ مُحَمَّدِ بْنِ عَلِيٍّ </w:t>
      </w:r>
      <w:r>
        <w:rPr>
          <w:rStyle w:val="libFootnotenumChar"/>
          <w:rtl/>
        </w:rPr>
        <w:t>(5)</w:t>
      </w:r>
      <w:r w:rsidRPr="00132E65">
        <w:rPr>
          <w:rtl/>
          <w:lang w:bidi="fa-IR"/>
        </w:rPr>
        <w:t xml:space="preserve"> ، عَنْ عَلِيِّ بْنِ جَعْفَرٍ ، قَالَ :</w:t>
      </w:r>
    </w:p>
    <w:p w:rsidR="000C39D1" w:rsidRPr="00132E65" w:rsidRDefault="000C39D1" w:rsidP="000C39D1">
      <w:pPr>
        <w:pStyle w:val="libNormal"/>
        <w:rPr>
          <w:rtl/>
          <w:lang w:bidi="fa-IR"/>
        </w:rPr>
      </w:pPr>
      <w:r w:rsidRPr="00132E65">
        <w:rPr>
          <w:rtl/>
          <w:lang w:bidi="fa-IR"/>
        </w:rPr>
        <w:t xml:space="preserve">سَمِعْتُ أَبَا الْحَسَنِ </w:t>
      </w:r>
      <w:r w:rsidRPr="00071CF9">
        <w:rPr>
          <w:rStyle w:val="libAlaemChar"/>
          <w:rtl/>
        </w:rPr>
        <w:t>عليه‌السلام</w:t>
      </w:r>
      <w:r w:rsidRPr="00132E65">
        <w:rPr>
          <w:rtl/>
          <w:lang w:bidi="fa-IR"/>
        </w:rPr>
        <w:t xml:space="preserve"> يَقُولُ : « بَيْنَا رَسُولُ اللهِ </w:t>
      </w:r>
      <w:r w:rsidRPr="0093484F">
        <w:rPr>
          <w:rStyle w:val="libAlaemChar"/>
          <w:rFonts w:eastAsiaTheme="minorHAnsi"/>
          <w:rtl/>
        </w:rPr>
        <w:t>صلى‌الله‌عليه‌وآله</w:t>
      </w:r>
      <w:r w:rsidRPr="00132E65">
        <w:rPr>
          <w:rtl/>
          <w:lang w:bidi="fa-IR"/>
        </w:rPr>
        <w:t xml:space="preserve"> جَالِسٌ إِذْ دَخَلَ عَلَيْهِ مَلَكٌ لَهُ أَرْبَعَةٌ و</w:t>
      </w:r>
      <w:r w:rsidR="00173458">
        <w:rPr>
          <w:rFonts w:hint="cs"/>
          <w:rtl/>
          <w:lang w:bidi="fa-IR"/>
        </w:rPr>
        <w:t xml:space="preserve">َ </w:t>
      </w:r>
      <w:r w:rsidRPr="00132E65">
        <w:rPr>
          <w:rtl/>
          <w:lang w:bidi="fa-IR"/>
        </w:rPr>
        <w:t>عِشْرُونَ و</w:t>
      </w:r>
      <w:r w:rsidR="00173458">
        <w:rPr>
          <w:rFonts w:hint="cs"/>
          <w:rtl/>
          <w:lang w:bidi="fa-IR"/>
        </w:rPr>
        <w:t>َ</w:t>
      </w:r>
      <w:r w:rsidRPr="00132E65">
        <w:rPr>
          <w:rtl/>
          <w:lang w:bidi="fa-IR"/>
        </w:rPr>
        <w:t xml:space="preserve">جْهاً ، فَقَالَ لَهُ رَسُولُ اللهِ </w:t>
      </w:r>
      <w:r w:rsidRPr="0093484F">
        <w:rPr>
          <w:rStyle w:val="libAlaemChar"/>
          <w:rFonts w:eastAsiaTheme="minorHAnsi"/>
          <w:rtl/>
        </w:rPr>
        <w:t>صلى‌الله‌عليه‌وآله</w:t>
      </w:r>
      <w:r w:rsidRPr="00132E65">
        <w:rPr>
          <w:rtl/>
          <w:lang w:bidi="fa-IR"/>
        </w:rPr>
        <w:t>: حَبِيبِي جَبْرَئِيلُ ، لَمْ أَرَكَ فِي مِثْلِ هذِهِ الصُّورَةِ</w:t>
      </w:r>
      <w:r>
        <w:rPr>
          <w:rtl/>
          <w:lang w:bidi="fa-IR"/>
        </w:rPr>
        <w:t>؟</w:t>
      </w:r>
      <w:r w:rsidRPr="00132E65">
        <w:rPr>
          <w:rtl/>
          <w:lang w:bidi="fa-IR"/>
        </w:rPr>
        <w:t xml:space="preserve"> قَالَ الْمَلَكُ : لَسْتُ بِجَبْرَئِيلَ يَا مُحَمَّدُ </w:t>
      </w:r>
      <w:r>
        <w:rPr>
          <w:rStyle w:val="libFootnotenumChar"/>
          <w:rtl/>
        </w:rPr>
        <w:t>(6)</w:t>
      </w:r>
      <w:r w:rsidRPr="00132E65">
        <w:rPr>
          <w:rtl/>
          <w:lang w:bidi="fa-IR"/>
        </w:rPr>
        <w:t xml:space="preserve"> ، بَعَثَنِي اللهُ</w:t>
      </w:r>
      <w:r>
        <w:rPr>
          <w:rtl/>
          <w:lang w:bidi="fa-IR"/>
        </w:rPr>
        <w:t xml:space="preserve"> - </w:t>
      </w:r>
      <w:r w:rsidRPr="00132E65">
        <w:rPr>
          <w:rtl/>
          <w:lang w:bidi="fa-IR"/>
        </w:rPr>
        <w:t>عَزَّ و</w:t>
      </w:r>
      <w:r w:rsidR="00173458">
        <w:rPr>
          <w:rFonts w:hint="cs"/>
          <w:rtl/>
          <w:lang w:bidi="fa-IR"/>
        </w:rPr>
        <w:t xml:space="preserve">َ </w:t>
      </w:r>
      <w:r w:rsidRPr="00132E65">
        <w:rPr>
          <w:rtl/>
          <w:lang w:bidi="fa-IR"/>
        </w:rPr>
        <w:t>جَلَّ</w:t>
      </w:r>
      <w:r>
        <w:rPr>
          <w:rtl/>
          <w:lang w:bidi="fa-IR"/>
        </w:rPr>
        <w:t xml:space="preserve"> - </w:t>
      </w:r>
      <w:r w:rsidRPr="00132E65">
        <w:rPr>
          <w:rtl/>
          <w:lang w:bidi="fa-IR"/>
        </w:rPr>
        <w:t>أَنْ أُزَوِّجَ‌</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البحار : « ولولدها »</w:t>
      </w:r>
      <w:r>
        <w:rPr>
          <w:rtl/>
        </w:rPr>
        <w:t>.</w:t>
      </w:r>
    </w:p>
    <w:p w:rsidR="000C39D1" w:rsidRPr="00132E65" w:rsidRDefault="000C39D1" w:rsidP="000C39D1">
      <w:pPr>
        <w:pStyle w:val="libFootnote0"/>
        <w:rPr>
          <w:rtl/>
          <w:lang w:bidi="fa-IR"/>
        </w:rPr>
      </w:pPr>
      <w:r>
        <w:rPr>
          <w:rtl/>
        </w:rPr>
        <w:t>(2).</w:t>
      </w:r>
      <w:r w:rsidRPr="00132E65">
        <w:rPr>
          <w:rtl/>
        </w:rPr>
        <w:t xml:space="preserve"> في « بر » : « أما إنّك لولا أطعمتها »</w:t>
      </w:r>
      <w:r>
        <w:rPr>
          <w:rtl/>
        </w:rPr>
        <w:t>.</w:t>
      </w:r>
    </w:p>
    <w:p w:rsidR="000C39D1" w:rsidRPr="00132E65" w:rsidRDefault="000C39D1" w:rsidP="000C39D1">
      <w:pPr>
        <w:pStyle w:val="libFootnote0"/>
        <w:rPr>
          <w:rtl/>
          <w:lang w:bidi="fa-IR"/>
        </w:rPr>
      </w:pPr>
      <w:r>
        <w:rPr>
          <w:rtl/>
        </w:rPr>
        <w:t>(3).</w:t>
      </w:r>
      <w:r w:rsidRPr="00132E65">
        <w:rPr>
          <w:rtl/>
        </w:rPr>
        <w:t xml:space="preserve"> في « ف » : « منها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746 ، ح 1363 ؛ </w:t>
      </w:r>
      <w:r w:rsidRPr="00B35FC7">
        <w:rPr>
          <w:rtl/>
        </w:rPr>
        <w:t>البحار</w:t>
      </w:r>
      <w:r w:rsidRPr="00132E65">
        <w:rPr>
          <w:rtl/>
        </w:rPr>
        <w:t xml:space="preserve"> ، ج 43 ، ص 63 ، ح 55.</w:t>
      </w:r>
    </w:p>
    <w:p w:rsidR="000C39D1" w:rsidRPr="00132E65" w:rsidRDefault="000C39D1" w:rsidP="000C39D1">
      <w:pPr>
        <w:pStyle w:val="libFootnote0"/>
        <w:rPr>
          <w:rtl/>
          <w:lang w:bidi="fa-IR"/>
        </w:rPr>
      </w:pPr>
      <w:r>
        <w:rPr>
          <w:rtl/>
        </w:rPr>
        <w:t>(5).</w:t>
      </w:r>
      <w:r w:rsidRPr="00132E65">
        <w:rPr>
          <w:rtl/>
        </w:rPr>
        <w:t xml:space="preserve"> لم يُعهَد رواية معلّى بن محمّد عن أحمد بن محمّد بن عليّ ، والمعهود من هذا الطريق رواية الحسين بن‌محمّد عن معلّى بن محمّد عن أحمد بن محمّد بن عبد الله عن عليّ بن جعفر ، كما في </w:t>
      </w:r>
      <w:r w:rsidRPr="000577A7">
        <w:rPr>
          <w:rStyle w:val="libFootnoteBoldChar"/>
          <w:rtl/>
        </w:rPr>
        <w:t>الكافي</w:t>
      </w:r>
      <w:r w:rsidRPr="00132E65">
        <w:rPr>
          <w:rtl/>
        </w:rPr>
        <w:t xml:space="preserve"> ، ح 2156 </w:t>
      </w:r>
      <w:r>
        <w:rPr>
          <w:rtl/>
        </w:rPr>
        <w:t>و 2</w:t>
      </w:r>
      <w:r w:rsidRPr="00132E65">
        <w:rPr>
          <w:rtl/>
        </w:rPr>
        <w:t xml:space="preserve">325 </w:t>
      </w:r>
      <w:r>
        <w:rPr>
          <w:rtl/>
        </w:rPr>
        <w:t>و 2</w:t>
      </w:r>
      <w:r w:rsidRPr="00132E65">
        <w:rPr>
          <w:rtl/>
        </w:rPr>
        <w:t xml:space="preserve">795 </w:t>
      </w:r>
      <w:r>
        <w:rPr>
          <w:rtl/>
        </w:rPr>
        <w:t>و 2</w:t>
      </w:r>
      <w:r w:rsidRPr="00132E65">
        <w:rPr>
          <w:rtl/>
        </w:rPr>
        <w:t xml:space="preserve">799. بل أكثر روايات أحمد بن محمّد بن عبد الله قد وردت من طريق معلّى بن محمّد. راجع : </w:t>
      </w:r>
      <w:r w:rsidRPr="00B35FC7">
        <w:rPr>
          <w:rtl/>
        </w:rPr>
        <w:t>معجم رجال</w:t>
      </w:r>
      <w:r w:rsidRPr="00132E65">
        <w:rPr>
          <w:rtl/>
        </w:rPr>
        <w:t xml:space="preserve"> </w:t>
      </w:r>
      <w:r w:rsidRPr="00B35FC7">
        <w:rPr>
          <w:rtl/>
        </w:rPr>
        <w:t>الحديث</w:t>
      </w:r>
      <w:r w:rsidRPr="00132E65">
        <w:rPr>
          <w:rtl/>
        </w:rPr>
        <w:t xml:space="preserve"> ، ج 2 ، ص 286.</w:t>
      </w:r>
    </w:p>
    <w:p w:rsidR="000C39D1" w:rsidRPr="0073465D" w:rsidRDefault="000C39D1" w:rsidP="000C39D1">
      <w:pPr>
        <w:pStyle w:val="libFootnote0"/>
        <w:rPr>
          <w:rtl/>
        </w:rPr>
      </w:pPr>
      <w:r w:rsidRPr="0073465D">
        <w:rPr>
          <w:rtl/>
        </w:rPr>
        <w:t>والخبر رواه الصدوق في الخصال ، ص 640 ، ح 17 ؛ والأمالي ، ص 474 ، المجلس 86 ، ح 19 ، وفيهما : « أحمد بن محمّد بن أبي نصر البزنطي ». كما أنّ في معاني الأخبار ، ص 103 ، ح 1 : « أحمد بن محمّد البزنطي » ، لكنّ الجزم بصحّة هذه الموارد مشكل ؛ فإنّه يحتمل أنّ « أحمد بن محمّد » كان في الأصل مطلقاً ، وفُسِّر بالبزنطي ، بتخيّل انطباق هذا العنوان المشترك عليه.</w:t>
      </w:r>
    </w:p>
    <w:p w:rsidR="000C39D1" w:rsidRPr="00132E65" w:rsidRDefault="000C39D1" w:rsidP="000C39D1">
      <w:pPr>
        <w:pStyle w:val="libFootnote0"/>
        <w:rPr>
          <w:rtl/>
          <w:lang w:bidi="fa-IR"/>
        </w:rPr>
      </w:pPr>
      <w:r>
        <w:rPr>
          <w:rtl/>
        </w:rPr>
        <w:t>(6).</w:t>
      </w:r>
      <w:r w:rsidRPr="00132E65">
        <w:rPr>
          <w:rtl/>
        </w:rPr>
        <w:t xml:space="preserve"> في الأمالي والخصال والمعاني : « أنا محمود » بدل « يا محمّد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النُّورَ مِنَ النُّورِ ، قَالَ : مَنْ </w:t>
      </w:r>
      <w:r>
        <w:rPr>
          <w:rStyle w:val="libFootnotenumChar"/>
          <w:rtl/>
        </w:rPr>
        <w:t>(1)</w:t>
      </w:r>
      <w:r w:rsidRPr="00132E65">
        <w:rPr>
          <w:rtl/>
          <w:lang w:bidi="fa-IR"/>
        </w:rPr>
        <w:t xml:space="preserve"> مِمَّنْ</w:t>
      </w:r>
      <w:r>
        <w:rPr>
          <w:rtl/>
          <w:lang w:bidi="fa-IR"/>
        </w:rPr>
        <w:t>؟</w:t>
      </w:r>
      <w:r w:rsidRPr="00132E65">
        <w:rPr>
          <w:rtl/>
          <w:lang w:bidi="fa-IR"/>
        </w:rPr>
        <w:t xml:space="preserve"> قَالَ : فَاطِمَةَ مِنْ عَلِيٍّ »</w:t>
      </w:r>
      <w:r>
        <w:rPr>
          <w:rtl/>
          <w:lang w:bidi="fa-IR"/>
        </w:rPr>
        <w:t>.</w:t>
      </w:r>
    </w:p>
    <w:p w:rsidR="000C39D1" w:rsidRPr="00132E65" w:rsidRDefault="000C39D1" w:rsidP="000C39D1">
      <w:pPr>
        <w:pStyle w:val="libNormal"/>
        <w:rPr>
          <w:rtl/>
          <w:lang w:bidi="fa-IR"/>
        </w:rPr>
      </w:pPr>
      <w:r w:rsidRPr="00132E65">
        <w:rPr>
          <w:rtl/>
          <w:lang w:bidi="fa-IR"/>
        </w:rPr>
        <w:t>قَالَ : « فَلَمَّا و</w:t>
      </w:r>
      <w:r w:rsidR="00173458">
        <w:rPr>
          <w:rFonts w:hint="cs"/>
          <w:rtl/>
          <w:lang w:bidi="fa-IR"/>
        </w:rPr>
        <w:t>َ</w:t>
      </w:r>
      <w:r w:rsidRPr="00132E65">
        <w:rPr>
          <w:rtl/>
          <w:lang w:bidi="fa-IR"/>
        </w:rPr>
        <w:t xml:space="preserve">لَّى الْمَلَكُ إِذَا </w:t>
      </w:r>
      <w:r>
        <w:rPr>
          <w:rStyle w:val="libFootnotenumChar"/>
          <w:rtl/>
        </w:rPr>
        <w:t>(2)</w:t>
      </w:r>
      <w:r w:rsidRPr="00132E65">
        <w:rPr>
          <w:rtl/>
          <w:lang w:bidi="fa-IR"/>
        </w:rPr>
        <w:t xml:space="preserve"> بَيْنَ كَتِفَيْهِ </w:t>
      </w:r>
      <w:r>
        <w:rPr>
          <w:rStyle w:val="libFootnotenumChar"/>
          <w:rtl/>
        </w:rPr>
        <w:t>(3)</w:t>
      </w:r>
      <w:r w:rsidRPr="00132E65">
        <w:rPr>
          <w:rtl/>
          <w:lang w:bidi="fa-IR"/>
        </w:rPr>
        <w:t xml:space="preserve"> : مُحَمَّدٌ رَسُولُ اللهِ ، عَلِيٌّ و</w:t>
      </w:r>
      <w:r w:rsidR="00173458">
        <w:rPr>
          <w:rFonts w:hint="cs"/>
          <w:rtl/>
          <w:lang w:bidi="fa-IR"/>
        </w:rPr>
        <w:t>َ</w:t>
      </w:r>
      <w:r w:rsidRPr="00132E65">
        <w:rPr>
          <w:rtl/>
          <w:lang w:bidi="fa-IR"/>
        </w:rPr>
        <w:t xml:space="preserve">صِيُّهُ ، فَقَالَ رَسُولُ اللهِ </w:t>
      </w:r>
      <w:r w:rsidRPr="0093484F">
        <w:rPr>
          <w:rStyle w:val="libAlaemChar"/>
          <w:rFonts w:eastAsiaTheme="minorHAnsi"/>
          <w:rtl/>
        </w:rPr>
        <w:t>صلى‌الله‌عليه‌وآله</w:t>
      </w:r>
      <w:r w:rsidRPr="00132E65">
        <w:rPr>
          <w:rtl/>
          <w:lang w:bidi="fa-IR"/>
        </w:rPr>
        <w:t>: مُنْذُ كَمْ كُتِبَ هذَا بَيْنَ كَتِفَيْكَ</w:t>
      </w:r>
      <w:r>
        <w:rPr>
          <w:rtl/>
          <w:lang w:bidi="fa-IR"/>
        </w:rPr>
        <w:t>؟</w:t>
      </w:r>
      <w:r w:rsidRPr="00132E65">
        <w:rPr>
          <w:rtl/>
          <w:lang w:bidi="fa-IR"/>
        </w:rPr>
        <w:t xml:space="preserve"> فَقَالَ : مِنْ قَبْلِ أَنْ يَخْلُقَ اللهُ آدَمَ بِاثْنَيْنِ وَعِشْرِينَ أَلْفَ عَامٍ »</w:t>
      </w:r>
      <w:r>
        <w:rPr>
          <w:rtl/>
          <w:lang w:bidi="fa-IR"/>
        </w:rPr>
        <w:t>.</w:t>
      </w:r>
      <w:r>
        <w:rPr>
          <w:rStyle w:val="libFootnotenumChar"/>
          <w:rtl/>
        </w:rPr>
        <w:t>(4)</w:t>
      </w:r>
      <w:r w:rsidRPr="00132E65">
        <w:rPr>
          <w:rtl/>
          <w:lang w:bidi="fa-IR"/>
        </w:rPr>
        <w:t>‌</w:t>
      </w:r>
    </w:p>
    <w:p w:rsidR="000C39D1" w:rsidRPr="00132E65" w:rsidRDefault="000C39D1" w:rsidP="000C39D1">
      <w:pPr>
        <w:pStyle w:val="libNormal"/>
        <w:rPr>
          <w:rtl/>
          <w:lang w:bidi="fa-IR"/>
        </w:rPr>
      </w:pPr>
      <w:r w:rsidRPr="00B35FC7">
        <w:rPr>
          <w:rtl/>
        </w:rPr>
        <w:t>1252</w:t>
      </w:r>
      <w:r w:rsidRPr="004325D8">
        <w:rPr>
          <w:rStyle w:val="libBold2Char"/>
          <w:rtl/>
        </w:rPr>
        <w:t xml:space="preserve"> / 10.</w:t>
      </w:r>
      <w:r w:rsidRPr="00132E65">
        <w:rPr>
          <w:rtl/>
          <w:lang w:bidi="fa-IR"/>
        </w:rPr>
        <w:t xml:space="preserve"> عَلِيُّ بْنُ مُحَمَّدٍ و</w:t>
      </w:r>
      <w:r w:rsidR="0080546A">
        <w:rPr>
          <w:rFonts w:hint="cs"/>
          <w:rtl/>
          <w:lang w:bidi="fa-IR"/>
        </w:rPr>
        <w:t xml:space="preserve">َ </w:t>
      </w:r>
      <w:r w:rsidRPr="00132E65">
        <w:rPr>
          <w:rtl/>
          <w:lang w:bidi="fa-IR"/>
        </w:rPr>
        <w:t>غَيْرُهُ ، عَنْ سَهْلِ بْنِ زِيَادٍ ، عَنْ أَحْمَدَ بْنِ مُحَمَّدِ بْنِ أَبِي نَصْرٍ ، قَالَ :</w:t>
      </w:r>
    </w:p>
    <w:p w:rsidR="000C39D1" w:rsidRPr="00132E65" w:rsidRDefault="000C39D1" w:rsidP="000C39D1">
      <w:pPr>
        <w:pStyle w:val="libNormal"/>
        <w:rPr>
          <w:rtl/>
          <w:lang w:bidi="fa-IR"/>
        </w:rPr>
      </w:pPr>
      <w:r w:rsidRPr="00132E65">
        <w:rPr>
          <w:rtl/>
          <w:lang w:bidi="fa-IR"/>
        </w:rPr>
        <w:t xml:space="preserve">سَأَلْتُ الرِّضَا </w:t>
      </w:r>
      <w:r w:rsidRPr="00071CF9">
        <w:rPr>
          <w:rStyle w:val="libAlaemChar"/>
          <w:rtl/>
        </w:rPr>
        <w:t>عليه‌السلام</w:t>
      </w:r>
      <w:r w:rsidRPr="00132E65">
        <w:rPr>
          <w:rtl/>
          <w:lang w:bidi="fa-IR"/>
        </w:rPr>
        <w:t xml:space="preserve"> عَنْ قَبْرِ فَاطِمَةَ </w:t>
      </w:r>
      <w:r w:rsidRPr="00071CF9">
        <w:rPr>
          <w:rStyle w:val="libAlaemChar"/>
          <w:rtl/>
        </w:rPr>
        <w:t>عليها‌السلام</w:t>
      </w:r>
      <w:r w:rsidRPr="00132E65">
        <w:rPr>
          <w:rtl/>
          <w:lang w:bidi="fa-IR"/>
        </w:rPr>
        <w:t xml:space="preserve"> ، فَقَالَ </w:t>
      </w:r>
      <w:r>
        <w:rPr>
          <w:rStyle w:val="libFootnotenumChar"/>
          <w:rtl/>
        </w:rPr>
        <w:t>(5)</w:t>
      </w:r>
      <w:r w:rsidRPr="00132E65">
        <w:rPr>
          <w:rtl/>
          <w:lang w:bidi="fa-IR"/>
        </w:rPr>
        <w:t xml:space="preserve"> : « دُفِنَتْ فِي بَيْتِهَا ، فَلَمَّا زَادَتْ بَنُو أُمَيَّةَ فِي الْمَسْجِدِ صَارَتْ </w:t>
      </w:r>
      <w:r>
        <w:rPr>
          <w:rStyle w:val="libFootnotenumChar"/>
          <w:rtl/>
        </w:rPr>
        <w:t>(6)</w:t>
      </w:r>
      <w:r w:rsidRPr="00132E65">
        <w:rPr>
          <w:rtl/>
          <w:lang w:bidi="fa-IR"/>
        </w:rPr>
        <w:t xml:space="preserve"> فِي الْمَسْجِدِ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B35FC7">
        <w:rPr>
          <w:rtl/>
        </w:rPr>
        <w:t>1253</w:t>
      </w:r>
      <w:r w:rsidRPr="004325D8">
        <w:rPr>
          <w:rStyle w:val="libBold2Char"/>
          <w:rtl/>
        </w:rPr>
        <w:t xml:space="preserve"> / 11.</w:t>
      </w:r>
      <w:r w:rsidRPr="00132E65">
        <w:rPr>
          <w:rtl/>
          <w:lang w:bidi="fa-IR"/>
        </w:rPr>
        <w:t xml:space="preserve"> عِدَّةٌ مِنْ أَصْحَابِنَا ، عَنْ أَحْمَدَ بْنِ مُحَمَّدٍ ، عَنِ الْوَشَّاءِ ، عَنِ الْخَيْبَرِيِّ ، عَنْ يُونُسَ بْنِ ظَبْيَانَ :</w:t>
      </w:r>
    </w:p>
    <w:p w:rsidR="000C39D1" w:rsidRPr="00132E65" w:rsidRDefault="000C39D1" w:rsidP="00F537DF">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سَمِعْتُهُ يَقُولُ : « لَوْ لَا</w:t>
      </w:r>
      <w:r>
        <w:rPr>
          <w:rFonts w:hint="cs"/>
          <w:rtl/>
          <w:lang w:bidi="fa-IR"/>
        </w:rPr>
        <w:t xml:space="preserve"> </w:t>
      </w:r>
      <w:r w:rsidRPr="00132E65">
        <w:rPr>
          <w:rtl/>
          <w:lang w:bidi="fa-IR"/>
        </w:rPr>
        <w:t>أَنَّ اللهَ</w:t>
      </w:r>
      <w:r>
        <w:rPr>
          <w:rtl/>
          <w:lang w:bidi="fa-IR"/>
        </w:rPr>
        <w:t xml:space="preserve"> - </w:t>
      </w:r>
      <w:r w:rsidRPr="00132E65">
        <w:rPr>
          <w:rtl/>
          <w:lang w:bidi="fa-IR"/>
        </w:rPr>
        <w:t>تَبَارَكَ و</w:t>
      </w:r>
      <w:r w:rsidR="00F537DF">
        <w:rPr>
          <w:rFonts w:hint="cs"/>
          <w:rtl/>
          <w:lang w:bidi="fa-IR"/>
        </w:rPr>
        <w:t xml:space="preserve">َ </w:t>
      </w:r>
      <w:r w:rsidRPr="00132E65">
        <w:rPr>
          <w:rtl/>
          <w:lang w:bidi="fa-IR"/>
        </w:rPr>
        <w:t>تَعَالى</w:t>
      </w:r>
      <w:r>
        <w:rPr>
          <w:rtl/>
          <w:lang w:bidi="fa-IR"/>
        </w:rPr>
        <w:t xml:space="preserve"> - </w:t>
      </w:r>
      <w:r w:rsidRPr="00132E65">
        <w:rPr>
          <w:rtl/>
          <w:lang w:bidi="fa-IR"/>
        </w:rPr>
        <w:t xml:space="preserve">خَلَقَ أَمِيرَ الْمُؤْمِنِينَ </w:t>
      </w:r>
      <w:r w:rsidR="00F537DF" w:rsidRPr="00071CF9">
        <w:rPr>
          <w:rStyle w:val="libAlaemChar"/>
          <w:rtl/>
        </w:rPr>
        <w:t>عليه‌السلام</w:t>
      </w:r>
      <w:r w:rsidR="00F537DF" w:rsidRPr="00132E65">
        <w:rPr>
          <w:rtl/>
          <w:lang w:bidi="fa-IR"/>
        </w:rPr>
        <w:t xml:space="preserve"> </w:t>
      </w:r>
      <w:r w:rsidRPr="00132E65">
        <w:rPr>
          <w:rtl/>
          <w:lang w:bidi="fa-IR"/>
        </w:rPr>
        <w:t xml:space="preserve">لِفَاطِمَةَ </w:t>
      </w:r>
      <w:r w:rsidRPr="00071CF9">
        <w:rPr>
          <w:rStyle w:val="libAlaemChar"/>
          <w:rtl/>
        </w:rPr>
        <w:t>عليها‌السلام</w:t>
      </w:r>
      <w:r w:rsidRPr="00132E65">
        <w:rPr>
          <w:rtl/>
          <w:lang w:bidi="fa-IR"/>
        </w:rPr>
        <w:t xml:space="preserve"> ، مَا كَانَ لَهَا كُفْوٌ عَلى ظَهْرِ </w:t>
      </w:r>
      <w:r>
        <w:rPr>
          <w:rStyle w:val="libFootnotenumChar"/>
          <w:rtl/>
        </w:rPr>
        <w:t>(8)</w:t>
      </w:r>
      <w:r w:rsidRPr="00132E65">
        <w:rPr>
          <w:rtl/>
          <w:lang w:bidi="fa-IR"/>
        </w:rPr>
        <w:t xml:space="preserve"> الْأَرْضِ مِنْ آدَمَ‌</w:t>
      </w:r>
      <w:r w:rsidR="00A71E30">
        <w:rPr>
          <w:rFonts w:hint="cs"/>
          <w:rtl/>
          <w:lang w:bidi="fa-IR"/>
        </w:rPr>
        <w:t>..........</w:t>
      </w:r>
      <w:r w:rsidR="003915A6">
        <w:rPr>
          <w:rFonts w:hint="cs"/>
          <w:rtl/>
          <w:lang w:bidi="fa-IR"/>
        </w:rPr>
        <w:t>.......</w:t>
      </w:r>
      <w:r w:rsidR="00A71E30">
        <w:rPr>
          <w:rFonts w:hint="cs"/>
          <w:rtl/>
          <w:lang w:bidi="fa-IR"/>
        </w:rPr>
        <w:t>.....</w:t>
      </w:r>
      <w:r w:rsidR="00A71E30">
        <w:rPr>
          <w:rFonts w:hint="cs"/>
          <w:rtl/>
          <w:lang w:bidi="fa-IR"/>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F17A14" w:rsidTr="00F17A14">
        <w:tc>
          <w:tcPr>
            <w:tcW w:w="4261" w:type="dxa"/>
          </w:tcPr>
          <w:p w:rsidR="00F17A14" w:rsidRDefault="00F17A14" w:rsidP="000C39D1">
            <w:pPr>
              <w:pStyle w:val="libFootnote0"/>
              <w:rPr>
                <w:rtl/>
              </w:rPr>
            </w:pPr>
            <w:r>
              <w:rPr>
                <w:rtl/>
              </w:rPr>
              <w:t>(1).</w:t>
            </w:r>
            <w:r w:rsidRPr="00132E65">
              <w:rPr>
                <w:rtl/>
              </w:rPr>
              <w:t xml:space="preserve"> في « بح » </w:t>
            </w:r>
            <w:r>
              <w:rPr>
                <w:rtl/>
              </w:rPr>
              <w:t xml:space="preserve">: - </w:t>
            </w:r>
            <w:r w:rsidRPr="00132E65">
              <w:rPr>
                <w:rtl/>
              </w:rPr>
              <w:t>« من »</w:t>
            </w:r>
            <w:r>
              <w:rPr>
                <w:rtl/>
              </w:rPr>
              <w:t>.</w:t>
            </w:r>
          </w:p>
        </w:tc>
        <w:tc>
          <w:tcPr>
            <w:tcW w:w="4262" w:type="dxa"/>
          </w:tcPr>
          <w:p w:rsidR="00F17A14" w:rsidRDefault="00F17A14" w:rsidP="000C39D1">
            <w:pPr>
              <w:pStyle w:val="libFootnote0"/>
              <w:rPr>
                <w:rtl/>
              </w:rPr>
            </w:pPr>
            <w:r>
              <w:rPr>
                <w:rtl/>
              </w:rPr>
              <w:t>(2).</w:t>
            </w:r>
            <w:r w:rsidRPr="00132E65">
              <w:rPr>
                <w:rtl/>
              </w:rPr>
              <w:t xml:space="preserve"> في « ف » : « إذاً »</w:t>
            </w:r>
            <w:r>
              <w:rPr>
                <w:rtl/>
              </w:rPr>
              <w:t>.</w:t>
            </w:r>
          </w:p>
        </w:tc>
      </w:tr>
    </w:tbl>
    <w:p w:rsidR="000C39D1" w:rsidRPr="00132E65" w:rsidRDefault="000C39D1" w:rsidP="000C39D1">
      <w:pPr>
        <w:pStyle w:val="libFootnote0"/>
        <w:rPr>
          <w:rtl/>
          <w:lang w:bidi="fa-IR"/>
        </w:rPr>
      </w:pPr>
      <w:r>
        <w:rPr>
          <w:rtl/>
        </w:rPr>
        <w:t>(3).</w:t>
      </w:r>
      <w:r w:rsidRPr="00132E65">
        <w:rPr>
          <w:rtl/>
        </w:rPr>
        <w:t xml:space="preserve"> في المعاني :</w:t>
      </w:r>
      <w:r>
        <w:rPr>
          <w:rtl/>
        </w:rPr>
        <w:t xml:space="preserve"> + </w:t>
      </w:r>
      <w:r w:rsidRPr="00132E65">
        <w:rPr>
          <w:rtl/>
        </w:rPr>
        <w:t>« مكتوب »</w:t>
      </w:r>
      <w:r>
        <w:rPr>
          <w:rtl/>
        </w:rPr>
        <w:t>.</w:t>
      </w:r>
    </w:p>
    <w:p w:rsidR="000C39D1" w:rsidRPr="00132E65" w:rsidRDefault="000C39D1" w:rsidP="000C39D1">
      <w:pPr>
        <w:pStyle w:val="libFootnote0"/>
        <w:rPr>
          <w:rtl/>
          <w:lang w:bidi="fa-IR"/>
        </w:rPr>
      </w:pPr>
      <w:r>
        <w:rPr>
          <w:rtl/>
        </w:rPr>
        <w:t>(4).</w:t>
      </w:r>
      <w:r w:rsidRPr="00132E65">
        <w:rPr>
          <w:rtl/>
        </w:rPr>
        <w:t xml:space="preserve"> </w:t>
      </w:r>
      <w:r w:rsidRPr="00B35FC7">
        <w:rPr>
          <w:rtl/>
        </w:rPr>
        <w:t>الأمالي</w:t>
      </w:r>
      <w:r w:rsidRPr="00132E65">
        <w:rPr>
          <w:rtl/>
        </w:rPr>
        <w:t xml:space="preserve"> للصدوق ، ص 592 ، المجلس 86 ، ح 19 ؛ و</w:t>
      </w:r>
      <w:r w:rsidRPr="00B35FC7">
        <w:rPr>
          <w:rtl/>
        </w:rPr>
        <w:t>الخصال</w:t>
      </w:r>
      <w:r w:rsidRPr="00132E65">
        <w:rPr>
          <w:rtl/>
        </w:rPr>
        <w:t xml:space="preserve"> ، ص 640 ، باب ما بعد الألف ، ح 17 ؛ و</w:t>
      </w:r>
      <w:r w:rsidRPr="00B35FC7">
        <w:rPr>
          <w:rtl/>
        </w:rPr>
        <w:t>معاني الأخبار</w:t>
      </w:r>
      <w:r w:rsidRPr="00132E65">
        <w:rPr>
          <w:rtl/>
        </w:rPr>
        <w:t xml:space="preserve"> ، ص 103 ، ح 1 ، عن جعفر بن محمّد بن مسرور ، عن الحسين بن محمّد بن عامر ، عن معلّى بن محمّد ، عن أحمد بن محمّد بن أبي نصر البزنطي ، عن عليّ بن جعفر </w:t>
      </w:r>
      <w:r w:rsidR="00F17A14">
        <w:rPr>
          <w:rFonts w:hint="cs"/>
          <w:rtl/>
        </w:rPr>
        <w:t>.</w:t>
      </w:r>
      <w:r w:rsidRPr="009D1ACE">
        <w:rPr>
          <w:rStyle w:val="libFootnoteBoldChar"/>
          <w:rtl/>
        </w:rPr>
        <w:t>الوافي</w:t>
      </w:r>
      <w:r w:rsidRPr="00132E65">
        <w:rPr>
          <w:rtl/>
        </w:rPr>
        <w:t xml:space="preserve"> ، ج 3 ، ص 747 ، ح 1364.</w:t>
      </w:r>
    </w:p>
    <w:tbl>
      <w:tblPr>
        <w:tblStyle w:val="TableGrid"/>
        <w:bidiVisual/>
        <w:tblW w:w="0" w:type="auto"/>
        <w:tblLook w:val="04A0" w:firstRow="1" w:lastRow="0" w:firstColumn="1" w:lastColumn="0" w:noHBand="0" w:noVBand="1"/>
      </w:tblPr>
      <w:tblGrid>
        <w:gridCol w:w="4261"/>
        <w:gridCol w:w="4262"/>
      </w:tblGrid>
      <w:tr w:rsidR="00F57E1E" w:rsidTr="00F57E1E">
        <w:tc>
          <w:tcPr>
            <w:tcW w:w="4261" w:type="dxa"/>
          </w:tcPr>
          <w:p w:rsidR="00F57E1E" w:rsidRDefault="00F57E1E" w:rsidP="00D53595">
            <w:pPr>
              <w:pStyle w:val="libFootnote0"/>
              <w:rPr>
                <w:rtl/>
                <w:lang w:bidi="fa-IR"/>
              </w:rPr>
            </w:pPr>
            <w:r>
              <w:rPr>
                <w:rtl/>
              </w:rPr>
              <w:t>(5).</w:t>
            </w:r>
            <w:r w:rsidRPr="00132E65">
              <w:rPr>
                <w:rtl/>
              </w:rPr>
              <w:t>في«بح»:«قال»</w:t>
            </w:r>
            <w:r>
              <w:rPr>
                <w:rtl/>
              </w:rPr>
              <w:t>.</w:t>
            </w:r>
          </w:p>
        </w:tc>
        <w:tc>
          <w:tcPr>
            <w:tcW w:w="4262" w:type="dxa"/>
          </w:tcPr>
          <w:p w:rsidR="00F57E1E" w:rsidRDefault="00F57E1E" w:rsidP="00D53595">
            <w:pPr>
              <w:pStyle w:val="libFootnote0"/>
              <w:rPr>
                <w:rtl/>
                <w:lang w:bidi="fa-IR"/>
              </w:rPr>
            </w:pPr>
            <w:r>
              <w:rPr>
                <w:rtl/>
              </w:rPr>
              <w:t>(6).</w:t>
            </w:r>
            <w:r w:rsidRPr="00132E65">
              <w:rPr>
                <w:rtl/>
              </w:rPr>
              <w:t>في حاشية«ف»:«صار»،أي البيت.</w:t>
            </w:r>
          </w:p>
        </w:tc>
      </w:tr>
    </w:tbl>
    <w:p w:rsidR="000C39D1" w:rsidRPr="00132E65" w:rsidRDefault="000C39D1" w:rsidP="007B15F7">
      <w:pPr>
        <w:pStyle w:val="libFootnote0"/>
        <w:rPr>
          <w:rtl/>
          <w:lang w:bidi="fa-IR"/>
        </w:rPr>
      </w:pPr>
      <w:r>
        <w:rPr>
          <w:rtl/>
        </w:rPr>
        <w:t>(7).</w:t>
      </w:r>
      <w:r w:rsidRPr="00132E65">
        <w:rPr>
          <w:rtl/>
        </w:rPr>
        <w:t xml:space="preserve"> </w:t>
      </w:r>
      <w:r w:rsidRPr="00B35FC7">
        <w:rPr>
          <w:rtl/>
        </w:rPr>
        <w:t>قرب الإسناد</w:t>
      </w:r>
      <w:r w:rsidRPr="00132E65">
        <w:rPr>
          <w:rtl/>
        </w:rPr>
        <w:t xml:space="preserve"> ، ص 367 ، ح 1314 ، عن أحمد بن محمّد بن عيسى ، عن أحمد بن محمّد بن أبي نصر ، مع زيادة واختلاف يسير. وفي </w:t>
      </w:r>
      <w:r w:rsidRPr="00B35FC7">
        <w:rPr>
          <w:rtl/>
        </w:rPr>
        <w:t>عيون الأخبار</w:t>
      </w:r>
      <w:r w:rsidRPr="00132E65">
        <w:rPr>
          <w:rtl/>
        </w:rPr>
        <w:t xml:space="preserve"> ، ج 1 ، ص 311 ، ح 76 ؛ و</w:t>
      </w:r>
      <w:r w:rsidRPr="00B35FC7">
        <w:rPr>
          <w:rtl/>
        </w:rPr>
        <w:t>معاني الأخبار</w:t>
      </w:r>
      <w:r w:rsidRPr="00132E65">
        <w:rPr>
          <w:rtl/>
        </w:rPr>
        <w:t xml:space="preserve"> ، ص 268 ، ذيل ح 1 ، بسندهما عن سهل بن زياد الآدمي. </w:t>
      </w:r>
      <w:r w:rsidRPr="00B35FC7">
        <w:rPr>
          <w:rtl/>
        </w:rPr>
        <w:t>التهذيب</w:t>
      </w:r>
      <w:r w:rsidRPr="00132E65">
        <w:rPr>
          <w:rtl/>
        </w:rPr>
        <w:t xml:space="preserve"> ، ج 3 ، ص 255 ، ح 705 ، بسنده عن أحمد بن محمّد بن أبي نصر. </w:t>
      </w:r>
      <w:r w:rsidRPr="00B35FC7">
        <w:rPr>
          <w:rtl/>
        </w:rPr>
        <w:t>الفقيه</w:t>
      </w:r>
      <w:r w:rsidRPr="00132E65">
        <w:rPr>
          <w:rtl/>
        </w:rPr>
        <w:t xml:space="preserve"> ، ج 1 ، ص 229 ، ح 685 ؛ وج 2 ، ص 572 مرسلاً ؛ </w:t>
      </w:r>
      <w:r w:rsidRPr="00B35FC7">
        <w:rPr>
          <w:rtl/>
        </w:rPr>
        <w:t>التهذيب</w:t>
      </w:r>
      <w:r w:rsidRPr="00132E65">
        <w:rPr>
          <w:rtl/>
        </w:rPr>
        <w:t xml:space="preserve"> ، ج 6 ، ص 9 ، ذيل ح 10 مرسلاً ، مع اختلاف يسير</w:t>
      </w:r>
      <w:r w:rsidR="007B15F7">
        <w:rPr>
          <w:rFonts w:hint="cs"/>
          <w:rtl/>
        </w:rPr>
        <w:t xml:space="preserve">. </w:t>
      </w:r>
      <w:r w:rsidRPr="009D1ACE">
        <w:rPr>
          <w:rStyle w:val="libFootnoteBoldChar"/>
          <w:rtl/>
        </w:rPr>
        <w:t>الوافي</w:t>
      </w:r>
      <w:r w:rsidRPr="00132E65">
        <w:rPr>
          <w:rtl/>
        </w:rPr>
        <w:t xml:space="preserve"> ، ج 14 ، ص 1366 ، ح 14408 ؛ </w:t>
      </w:r>
      <w:r w:rsidRPr="00B35FC7">
        <w:rPr>
          <w:rtl/>
        </w:rPr>
        <w:t>الوسائل</w:t>
      </w:r>
      <w:r w:rsidRPr="00132E65">
        <w:rPr>
          <w:rtl/>
        </w:rPr>
        <w:t xml:space="preserve"> ، ج 14 ، ص 368 ، ذيل ح 19406.</w:t>
      </w:r>
    </w:p>
    <w:p w:rsidR="000C39D1" w:rsidRPr="00132E65" w:rsidRDefault="000C39D1" w:rsidP="000C39D1">
      <w:pPr>
        <w:pStyle w:val="libFootnote0"/>
        <w:rPr>
          <w:rtl/>
          <w:lang w:bidi="fa-IR"/>
        </w:rPr>
      </w:pPr>
      <w:r>
        <w:rPr>
          <w:rtl/>
        </w:rPr>
        <w:t>(8).</w:t>
      </w:r>
      <w:r w:rsidRPr="00132E65">
        <w:rPr>
          <w:rtl/>
        </w:rPr>
        <w:t xml:space="preserve"> في حاشية « ض » : « وجه »</w:t>
      </w:r>
      <w:r>
        <w:rPr>
          <w:rtl/>
        </w:rPr>
        <w:t>.</w:t>
      </w:r>
      <w:r w:rsidRPr="00132E65">
        <w:rPr>
          <w:rtl/>
        </w:rPr>
        <w:t xml:space="preserve"> وفي الأمالي </w:t>
      </w:r>
      <w:r>
        <w:rPr>
          <w:rtl/>
        </w:rPr>
        <w:t xml:space="preserve">: - </w:t>
      </w:r>
      <w:r w:rsidRPr="00132E65">
        <w:rPr>
          <w:rtl/>
        </w:rPr>
        <w:t>« ظهر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وَمَنْ </w:t>
      </w:r>
      <w:r>
        <w:rPr>
          <w:rStyle w:val="libFootnotenumChar"/>
          <w:rtl/>
        </w:rPr>
        <w:t>(1)</w:t>
      </w:r>
      <w:r w:rsidRPr="00132E65">
        <w:rPr>
          <w:rtl/>
          <w:lang w:bidi="fa-IR"/>
        </w:rPr>
        <w:t xml:space="preserve"> دُونَهُ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Heading2Center"/>
        <w:rPr>
          <w:rtl/>
          <w:lang w:bidi="fa-IR"/>
        </w:rPr>
      </w:pPr>
      <w:bookmarkStart w:id="162" w:name="_Toc459459157"/>
      <w:bookmarkStart w:id="163" w:name="_Toc34663126"/>
      <w:r w:rsidRPr="00132E65">
        <w:rPr>
          <w:rtl/>
          <w:lang w:bidi="fa-IR"/>
        </w:rPr>
        <w:t>115</w:t>
      </w:r>
      <w:r>
        <w:rPr>
          <w:rtl/>
          <w:lang w:bidi="fa-IR"/>
        </w:rPr>
        <w:t xml:space="preserve"> - </w:t>
      </w:r>
      <w:r w:rsidRPr="00132E65">
        <w:rPr>
          <w:rtl/>
          <w:lang w:bidi="fa-IR"/>
        </w:rPr>
        <w:t xml:space="preserve">بَابُ </w:t>
      </w:r>
      <w:r>
        <w:rPr>
          <w:rStyle w:val="libFootnotenumChar"/>
          <w:rtl/>
        </w:rPr>
        <w:t>(4)</w:t>
      </w:r>
      <w:r>
        <w:rPr>
          <w:rtl/>
          <w:lang w:bidi="fa-IR"/>
        </w:rPr>
        <w:t xml:space="preserve"> </w:t>
      </w:r>
      <w:r w:rsidRPr="00132E65">
        <w:rPr>
          <w:rtl/>
          <w:lang w:bidi="fa-IR"/>
        </w:rPr>
        <w:t>مَوْلِدِ الْحَسَنِ بْنِ عَلِيٍّ صَلَوَاتُ اللهِ عَلَيْهِمَا‌</w:t>
      </w:r>
      <w:bookmarkEnd w:id="162"/>
      <w:bookmarkEnd w:id="163"/>
    </w:p>
    <w:p w:rsidR="000C39D1" w:rsidRPr="00132E65" w:rsidRDefault="000C39D1" w:rsidP="000C39D1">
      <w:pPr>
        <w:pStyle w:val="libNormal0"/>
        <w:tabs>
          <w:tab w:val="left" w:pos="3968"/>
        </w:tabs>
        <w:rPr>
          <w:rtl/>
          <w:lang w:bidi="fa-IR"/>
        </w:rPr>
      </w:pPr>
      <w:r w:rsidRPr="00132E65">
        <w:rPr>
          <w:rtl/>
          <w:lang w:bidi="fa-IR"/>
        </w:rPr>
        <w:t xml:space="preserve">وُلِدَ الْحَسَنُ بْنُ عَلِيٍّ </w:t>
      </w:r>
      <w:r w:rsidRPr="00071CF9">
        <w:rPr>
          <w:rStyle w:val="libAlaemChar"/>
          <w:rtl/>
        </w:rPr>
        <w:t>عليهما‌السلام</w:t>
      </w:r>
      <w:r w:rsidRPr="00132E65">
        <w:rPr>
          <w:rtl/>
          <w:lang w:bidi="fa-IR"/>
        </w:rPr>
        <w:t xml:space="preserve"> فِي شَهْرِ رَمَضَانَ فِي سَنَةِ بَدْرٍ ، سَنَةِ اثْنَتَيْنِ بَعْدَ الْهِجْرَةِ.</w:t>
      </w:r>
    </w:p>
    <w:p w:rsidR="000C39D1" w:rsidRPr="00132E65" w:rsidRDefault="000C39D1" w:rsidP="000C39D1">
      <w:pPr>
        <w:pStyle w:val="libNormal0"/>
        <w:tabs>
          <w:tab w:val="left" w:pos="3968"/>
        </w:tabs>
        <w:rPr>
          <w:rtl/>
          <w:lang w:bidi="fa-IR"/>
        </w:rPr>
      </w:pPr>
      <w:r w:rsidRPr="00132E65">
        <w:rPr>
          <w:rtl/>
          <w:lang w:bidi="fa-IR"/>
        </w:rPr>
        <w:t xml:space="preserve">وَرُوِيَ : أَنَّهُ ولِدَ فِي سَنَةِ ثَلَاثٍ ؛ ومَضى </w:t>
      </w:r>
      <w:r w:rsidRPr="00071CF9">
        <w:rPr>
          <w:rStyle w:val="libAlaemChar"/>
          <w:rtl/>
        </w:rPr>
        <w:t>عليه‌السلام</w:t>
      </w:r>
      <w:r w:rsidRPr="00132E65">
        <w:rPr>
          <w:rtl/>
          <w:lang w:bidi="fa-IR"/>
        </w:rPr>
        <w:t xml:space="preserve"> فِي شَهْرِ صَفَرٍ فِي آخِرِهِ مِنْ سَنَةِ تِسْعٍ وأَرْبَعِينَ ؛ ومَضى وهُوَ ابْنُ سَبْعٍ وأَرْبَعِينَ سَنَةً وأَشْهُرٍ. وأُمُّهُ فَاطِمَةُ بِنْتُ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(5)</w:t>
      </w:r>
      <w:r w:rsidRPr="00132E65">
        <w:rPr>
          <w:rtl/>
          <w:lang w:bidi="fa-IR"/>
        </w:rPr>
        <w:t>‌</w:t>
      </w:r>
    </w:p>
    <w:p w:rsidR="000C39D1" w:rsidRPr="00132E65" w:rsidRDefault="000C39D1" w:rsidP="000C39D1">
      <w:pPr>
        <w:pStyle w:val="libNormal"/>
        <w:rPr>
          <w:rtl/>
          <w:lang w:bidi="fa-IR"/>
        </w:rPr>
      </w:pPr>
      <w:r w:rsidRPr="00B35FC7">
        <w:rPr>
          <w:rtl/>
        </w:rPr>
        <w:t>1254</w:t>
      </w:r>
      <w:r w:rsidRPr="004325D8">
        <w:rPr>
          <w:rStyle w:val="libBold2Char"/>
          <w:rtl/>
        </w:rPr>
        <w:t xml:space="preserve"> / 1.</w:t>
      </w:r>
      <w:r w:rsidRPr="00132E65">
        <w:rPr>
          <w:rtl/>
          <w:lang w:bidi="fa-IR"/>
        </w:rPr>
        <w:t xml:space="preserve"> مُحَمَّدُ بْنُ يَحْيى ، عَنِ الْحُسَيْنِ بْنِ إِسْحَاقَ ، عَنْ عَلِيِّ بْنِ مَهْزِيَارَ </w:t>
      </w:r>
      <w:r>
        <w:rPr>
          <w:rStyle w:val="libFootnotenumChar"/>
          <w:rtl/>
        </w:rPr>
        <w:t>(6)</w:t>
      </w:r>
      <w:r w:rsidRPr="00132E65">
        <w:rPr>
          <w:rtl/>
          <w:lang w:bidi="fa-IR"/>
        </w:rPr>
        <w:t xml:space="preserve"> ، عَنِ الْحُسَيْنِ بْنِ سَعِيدٍ ، عَنِ النَّضْرِ بْنِ سُوَيْدٍ ، عَنْ عَبْدِ اللهِ بْنِ سِنَانٍ :</w:t>
      </w:r>
    </w:p>
    <w:p w:rsidR="000C39D1" w:rsidRPr="00132E65" w:rsidRDefault="000C39D1" w:rsidP="000C39D1">
      <w:pPr>
        <w:pStyle w:val="libNormal"/>
        <w:rPr>
          <w:rtl/>
          <w:lang w:bidi="fa-IR"/>
        </w:rPr>
      </w:pPr>
      <w:r w:rsidRPr="00132E65">
        <w:rPr>
          <w:rtl/>
          <w:lang w:bidi="fa-IR"/>
        </w:rPr>
        <w:t xml:space="preserve">عَمَّنْ سَمِعَ أَبَا جَعْفَرٍ </w:t>
      </w:r>
      <w:r w:rsidRPr="00071CF9">
        <w:rPr>
          <w:rStyle w:val="libAlaemChar"/>
          <w:rtl/>
        </w:rPr>
        <w:t>عليه‌السلام</w:t>
      </w:r>
      <w:r w:rsidRPr="00132E65">
        <w:rPr>
          <w:rtl/>
          <w:lang w:bidi="fa-IR"/>
        </w:rPr>
        <w:t xml:space="preserve"> يَقُولُ : « لَمَّا حَضَرَتِ الْحَسَنَ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الْوَفَاةُ بَكى ، فَقِيلَ لَهُ : يَا ابْنَ </w:t>
      </w:r>
      <w:r>
        <w:rPr>
          <w:rStyle w:val="libFootnotenumChar"/>
          <w:rtl/>
        </w:rPr>
        <w:t>(8)</w:t>
      </w:r>
      <w:r w:rsidRPr="00132E65">
        <w:rPr>
          <w:rtl/>
          <w:lang w:bidi="fa-IR"/>
        </w:rPr>
        <w:t xml:space="preserve"> رَسُولِ اللهِ ، تَبْكِي </w:t>
      </w:r>
      <w:r>
        <w:rPr>
          <w:rStyle w:val="libFootnotenumChar"/>
          <w:rtl/>
        </w:rPr>
        <w:t>(9)</w:t>
      </w:r>
      <w:r w:rsidRPr="00132E65">
        <w:rPr>
          <w:rtl/>
          <w:lang w:bidi="fa-IR"/>
        </w:rPr>
        <w:t xml:space="preserve"> ومَكَانُكَ مِنْ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(10)</w:t>
      </w:r>
      <w:r w:rsidRPr="00132E65">
        <w:rPr>
          <w:rtl/>
          <w:lang w:bidi="fa-IR"/>
        </w:rPr>
        <w:t xml:space="preserve"> الَّذِي أَنْتَ بِهِ </w:t>
      </w:r>
      <w:r>
        <w:rPr>
          <w:rStyle w:val="libFootnotenumChar"/>
          <w:rtl/>
        </w:rPr>
        <w:t>(11)</w:t>
      </w:r>
      <w:r w:rsidRPr="00132E65">
        <w:rPr>
          <w:rtl/>
          <w:lang w:bidi="fa-IR"/>
        </w:rPr>
        <w:t xml:space="preserve"> ، وقَدْ قَالَ فِيكَ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ض ، ف ، بح ، بر ، بس ، بف » و</w:t>
      </w:r>
      <w:r w:rsidRPr="009D1ACE">
        <w:rPr>
          <w:rStyle w:val="libFootnoteBoldChar"/>
          <w:rtl/>
        </w:rPr>
        <w:t>الوافي</w:t>
      </w:r>
      <w:r w:rsidRPr="00132E65">
        <w:rPr>
          <w:rtl/>
        </w:rPr>
        <w:t xml:space="preserve"> : « فمن »</w:t>
      </w:r>
      <w:r>
        <w:rPr>
          <w:rtl/>
        </w:rPr>
        <w:t>.</w:t>
      </w:r>
      <w:r w:rsidRPr="00132E65">
        <w:rPr>
          <w:rtl/>
        </w:rPr>
        <w:t xml:space="preserve"> وفي « ب » وحاشية « ض » : « فما »</w:t>
      </w:r>
      <w:r>
        <w:rPr>
          <w:rtl/>
        </w:rPr>
        <w:t>.</w:t>
      </w:r>
    </w:p>
    <w:p w:rsidR="000C39D1" w:rsidRPr="00132E65" w:rsidRDefault="000C39D1" w:rsidP="000C39D1">
      <w:pPr>
        <w:pStyle w:val="libFootnote0"/>
        <w:rPr>
          <w:rtl/>
          <w:lang w:bidi="fa-IR"/>
        </w:rPr>
      </w:pPr>
      <w:r>
        <w:rPr>
          <w:rtl/>
        </w:rPr>
        <w:t>(2).</w:t>
      </w:r>
      <w:r w:rsidRPr="00132E65">
        <w:rPr>
          <w:rtl/>
        </w:rPr>
        <w:t xml:space="preserve"> في الأمالي </w:t>
      </w:r>
      <w:r>
        <w:rPr>
          <w:rtl/>
        </w:rPr>
        <w:t xml:space="preserve">: - </w:t>
      </w:r>
      <w:r w:rsidRPr="00132E65">
        <w:rPr>
          <w:rtl/>
        </w:rPr>
        <w:t>« من آدم ومن دونه »</w:t>
      </w:r>
      <w:r>
        <w:rPr>
          <w:rtl/>
        </w:rPr>
        <w:t>.</w:t>
      </w:r>
    </w:p>
    <w:p w:rsidR="000C39D1" w:rsidRPr="00132E65" w:rsidRDefault="000C39D1" w:rsidP="00EA6CF2">
      <w:pPr>
        <w:pStyle w:val="libFootnote0"/>
        <w:rPr>
          <w:rtl/>
          <w:lang w:bidi="fa-IR"/>
        </w:rPr>
      </w:pPr>
      <w:r>
        <w:rPr>
          <w:rtl/>
        </w:rPr>
        <w:t>(3).</w:t>
      </w:r>
      <w:r w:rsidRPr="00132E65">
        <w:rPr>
          <w:rtl/>
        </w:rPr>
        <w:t xml:space="preserve"> </w:t>
      </w:r>
      <w:r w:rsidRPr="00381013">
        <w:rPr>
          <w:rtl/>
        </w:rPr>
        <w:t>الأمالي</w:t>
      </w:r>
      <w:r w:rsidRPr="00132E65">
        <w:rPr>
          <w:rtl/>
        </w:rPr>
        <w:t xml:space="preserve"> للطوسي ، ص 43 ، المجلس 2 ، ح 15 ، بسنده عن الكليني. </w:t>
      </w:r>
      <w:r w:rsidRPr="00381013">
        <w:rPr>
          <w:rtl/>
        </w:rPr>
        <w:t>التهذيب</w:t>
      </w:r>
      <w:r w:rsidRPr="00132E65">
        <w:rPr>
          <w:rtl/>
        </w:rPr>
        <w:t xml:space="preserve"> ، ج 7 ، ص 470 ، ح 1882 ، بسند آخر</w:t>
      </w:r>
      <w:r w:rsidR="00EA6CF2">
        <w:rPr>
          <w:rFonts w:hint="cs"/>
          <w:rtl/>
        </w:rPr>
        <w:t>.</w:t>
      </w:r>
      <w:r w:rsidRPr="009D1ACE">
        <w:rPr>
          <w:rStyle w:val="libFootnoteBoldChar"/>
          <w:rtl/>
        </w:rPr>
        <w:t>الوافي</w:t>
      </w:r>
      <w:r w:rsidRPr="00132E65">
        <w:rPr>
          <w:rtl/>
        </w:rPr>
        <w:t xml:space="preserve"> ، ج 3 ، ص 748 ، ح 1365.</w:t>
      </w:r>
    </w:p>
    <w:p w:rsidR="000C39D1" w:rsidRPr="00132E65" w:rsidRDefault="000C39D1" w:rsidP="000C39D1">
      <w:pPr>
        <w:pStyle w:val="libFootnote0"/>
        <w:rPr>
          <w:rtl/>
          <w:lang w:bidi="fa-IR"/>
        </w:rPr>
      </w:pPr>
      <w:r>
        <w:rPr>
          <w:rtl/>
        </w:rPr>
        <w:t>(4).</w:t>
      </w:r>
      <w:r w:rsidRPr="00132E65">
        <w:rPr>
          <w:rtl/>
        </w:rPr>
        <w:t xml:space="preserve"> في « ب ، ج ، ض ، ف ، بح ، بر ، بس ، بف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755 ، ذيل ح 1374 ؛ </w:t>
      </w:r>
      <w:r w:rsidRPr="00381013">
        <w:rPr>
          <w:rtl/>
        </w:rPr>
        <w:t>البحار</w:t>
      </w:r>
      <w:r w:rsidRPr="00132E65">
        <w:rPr>
          <w:rtl/>
        </w:rPr>
        <w:t xml:space="preserve"> ، ج 44 ، ص 162 ، ذيل ح 31.</w:t>
      </w:r>
    </w:p>
    <w:p w:rsidR="000C39D1" w:rsidRPr="00132E65" w:rsidRDefault="000C39D1" w:rsidP="000C39D1">
      <w:pPr>
        <w:pStyle w:val="libFootnote0"/>
        <w:rPr>
          <w:rtl/>
          <w:lang w:bidi="fa-IR"/>
        </w:rPr>
      </w:pPr>
      <w:r>
        <w:rPr>
          <w:rtl/>
        </w:rPr>
        <w:t>(6).</w:t>
      </w:r>
      <w:r w:rsidRPr="00132E65">
        <w:rPr>
          <w:rtl/>
        </w:rPr>
        <w:t xml:space="preserve"> في الوسائل </w:t>
      </w:r>
      <w:r>
        <w:rPr>
          <w:rtl/>
        </w:rPr>
        <w:t xml:space="preserve">: - </w:t>
      </w:r>
      <w:r w:rsidRPr="00132E65">
        <w:rPr>
          <w:rtl/>
        </w:rPr>
        <w:t>« عن عليّ بن مهزيار »</w:t>
      </w:r>
      <w:r>
        <w:rPr>
          <w:rtl/>
        </w:rPr>
        <w:t>.</w:t>
      </w:r>
      <w:r w:rsidRPr="00132E65">
        <w:rPr>
          <w:rtl/>
        </w:rPr>
        <w:t xml:space="preserve"> وهو سهو ظاهراً ؛ فإنّه لم يثبت رواية الحسين بن إسحاق ، عن‌الحسين بن سعيد مباشرةً في موضع ، والمتكرّر في الأسناد رواية الحسين بن إسحاق [ التاجر ] عن عليّ بن مهزيار عن الحسين بن سعيد. ا</w:t>
      </w:r>
      <w:r w:rsidR="00EA6CF2">
        <w:rPr>
          <w:rFonts w:hint="cs"/>
          <w:rtl/>
        </w:rPr>
        <w:t>ُ</w:t>
      </w:r>
      <w:r w:rsidRPr="00132E65">
        <w:rPr>
          <w:rtl/>
        </w:rPr>
        <w:t xml:space="preserve">نظر : </w:t>
      </w:r>
      <w:r w:rsidRPr="000577A7">
        <w:rPr>
          <w:rStyle w:val="libFootnoteBoldChar"/>
          <w:rtl/>
        </w:rPr>
        <w:t>الكافي</w:t>
      </w:r>
      <w:r w:rsidRPr="00132E65">
        <w:rPr>
          <w:rtl/>
        </w:rPr>
        <w:t xml:space="preserve"> ، ح 2868 ؛ </w:t>
      </w:r>
      <w:r w:rsidRPr="00381013">
        <w:rPr>
          <w:rtl/>
        </w:rPr>
        <w:t>الأمالي</w:t>
      </w:r>
      <w:r w:rsidRPr="00132E65">
        <w:rPr>
          <w:rtl/>
        </w:rPr>
        <w:t xml:space="preserve"> للصدوق ، ص 508 ، المجلس 76 ، ح 5 ؛ </w:t>
      </w:r>
      <w:r w:rsidRPr="00381013">
        <w:rPr>
          <w:rtl/>
        </w:rPr>
        <w:t>ثواب الأعمال</w:t>
      </w:r>
      <w:r w:rsidRPr="00132E65">
        <w:rPr>
          <w:rtl/>
        </w:rPr>
        <w:t xml:space="preserve"> ، ص 162 ، ح 1 ؛ </w:t>
      </w:r>
      <w:r w:rsidRPr="00381013">
        <w:rPr>
          <w:rtl/>
        </w:rPr>
        <w:t>الخصال</w:t>
      </w:r>
      <w:r w:rsidRPr="00132E65">
        <w:rPr>
          <w:rtl/>
        </w:rPr>
        <w:t xml:space="preserve"> ، ص 39 ، ح 25 ؛ </w:t>
      </w:r>
      <w:r w:rsidRPr="00381013">
        <w:rPr>
          <w:rtl/>
        </w:rPr>
        <w:t>علل الشرائع</w:t>
      </w:r>
      <w:r w:rsidRPr="00132E65">
        <w:rPr>
          <w:rtl/>
        </w:rPr>
        <w:t xml:space="preserve"> ، ص 418 ، ح 5.</w:t>
      </w:r>
    </w:p>
    <w:p w:rsidR="000C39D1" w:rsidRPr="00132E65" w:rsidRDefault="000C39D1" w:rsidP="000C39D1">
      <w:pPr>
        <w:pStyle w:val="libFootnote0"/>
        <w:rPr>
          <w:rtl/>
          <w:lang w:bidi="fa-IR"/>
        </w:rPr>
      </w:pPr>
      <w:r>
        <w:rPr>
          <w:rtl/>
        </w:rPr>
        <w:t>(7).</w:t>
      </w:r>
      <w:r w:rsidRPr="00132E65">
        <w:rPr>
          <w:rtl/>
        </w:rPr>
        <w:t xml:space="preserve"> في « ف »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(8).</w:t>
      </w:r>
      <w:r w:rsidRPr="00132E65">
        <w:rPr>
          <w:rtl/>
        </w:rPr>
        <w:t xml:space="preserve"> في الزهد :</w:t>
      </w:r>
      <w:r>
        <w:rPr>
          <w:rtl/>
        </w:rPr>
        <w:t xml:space="preserve"> + </w:t>
      </w:r>
      <w:r w:rsidRPr="00132E65">
        <w:rPr>
          <w:rtl/>
        </w:rPr>
        <w:t>« بنت »</w:t>
      </w:r>
      <w:r>
        <w:rPr>
          <w:rtl/>
        </w:rPr>
        <w:t>.</w:t>
      </w:r>
    </w:p>
    <w:tbl>
      <w:tblPr>
        <w:tblStyle w:val="TableGrid"/>
        <w:bidiVisual/>
        <w:tblW w:w="0" w:type="auto"/>
        <w:tblLook w:val="04A0" w:firstRow="1" w:lastRow="0" w:firstColumn="1" w:lastColumn="0" w:noHBand="0" w:noVBand="1"/>
      </w:tblPr>
      <w:tblGrid>
        <w:gridCol w:w="4261"/>
        <w:gridCol w:w="4262"/>
      </w:tblGrid>
      <w:tr w:rsidR="00EA6CF2" w:rsidTr="00EA6CF2">
        <w:tc>
          <w:tcPr>
            <w:tcW w:w="4261" w:type="dxa"/>
          </w:tcPr>
          <w:p w:rsidR="00EA6CF2" w:rsidRDefault="00EA6CF2" w:rsidP="000C39D1">
            <w:pPr>
              <w:pStyle w:val="libFootnote0"/>
              <w:rPr>
                <w:rtl/>
              </w:rPr>
            </w:pPr>
            <w:r>
              <w:rPr>
                <w:rtl/>
              </w:rPr>
              <w:t>(9). في الزهد : « أ</w:t>
            </w:r>
            <w:r w:rsidRPr="00132E65">
              <w:rPr>
                <w:rtl/>
              </w:rPr>
              <w:t>تبكي »</w:t>
            </w:r>
            <w:r>
              <w:rPr>
                <w:rtl/>
              </w:rPr>
              <w:t>.</w:t>
            </w:r>
          </w:p>
        </w:tc>
        <w:tc>
          <w:tcPr>
            <w:tcW w:w="4262" w:type="dxa"/>
          </w:tcPr>
          <w:p w:rsidR="00EA6CF2" w:rsidRDefault="00EA6CF2" w:rsidP="000C39D1">
            <w:pPr>
              <w:pStyle w:val="libFootnote0"/>
              <w:rPr>
                <w:rtl/>
              </w:rPr>
            </w:pPr>
            <w:r>
              <w:rPr>
                <w:rtl/>
              </w:rPr>
              <w:t>(10).</w:t>
            </w:r>
            <w:r w:rsidRPr="00132E65">
              <w:rPr>
                <w:rtl/>
              </w:rPr>
              <w:t xml:space="preserve"> في الزهد :</w:t>
            </w:r>
            <w:r>
              <w:rPr>
                <w:rtl/>
              </w:rPr>
              <w:t xml:space="preserve"> + </w:t>
            </w:r>
            <w:r w:rsidRPr="00132E65">
              <w:rPr>
                <w:rtl/>
              </w:rPr>
              <w:t>« مكانك »</w:t>
            </w:r>
            <w:r>
              <w:rPr>
                <w:rtl/>
              </w:rPr>
              <w:t>.</w:t>
            </w:r>
          </w:p>
        </w:tc>
      </w:tr>
      <w:tr w:rsidR="00EA6CF2" w:rsidTr="00EA6CF2">
        <w:tc>
          <w:tcPr>
            <w:tcW w:w="4261" w:type="dxa"/>
          </w:tcPr>
          <w:p w:rsidR="00EA6CF2" w:rsidRDefault="00EA6CF2" w:rsidP="000C39D1">
            <w:pPr>
              <w:pStyle w:val="libFootnote0"/>
              <w:rPr>
                <w:rtl/>
              </w:rPr>
            </w:pPr>
            <w:r>
              <w:rPr>
                <w:rtl/>
              </w:rPr>
              <w:t>(11).</w:t>
            </w:r>
            <w:r w:rsidRPr="00132E65">
              <w:rPr>
                <w:rtl/>
              </w:rPr>
              <w:t xml:space="preserve"> في « ف » والزهد : « فيه »</w:t>
            </w:r>
            <w:r>
              <w:rPr>
                <w:rtl/>
              </w:rPr>
              <w:t>.</w:t>
            </w:r>
          </w:p>
        </w:tc>
        <w:tc>
          <w:tcPr>
            <w:tcW w:w="4262" w:type="dxa"/>
          </w:tcPr>
          <w:p w:rsidR="00EA6CF2" w:rsidRDefault="00EA6CF2" w:rsidP="000C39D1">
            <w:pPr>
              <w:pStyle w:val="libFootnote0"/>
              <w:rPr>
                <w:rtl/>
              </w:rPr>
            </w:pPr>
            <w:r>
              <w:rPr>
                <w:rtl/>
              </w:rPr>
              <w:t>(12).</w:t>
            </w:r>
            <w:r w:rsidRPr="00132E65">
              <w:rPr>
                <w:rtl/>
              </w:rPr>
              <w:t xml:space="preserve"> في الزهد :</w:t>
            </w:r>
            <w:r>
              <w:rPr>
                <w:rtl/>
              </w:rPr>
              <w:t xml:space="preserve"> + </w:t>
            </w:r>
            <w:r w:rsidRPr="00132E65">
              <w:rPr>
                <w:rtl/>
              </w:rPr>
              <w:t xml:space="preserve">« رسول الله </w:t>
            </w:r>
            <w:r w:rsidRPr="00EA6CF2">
              <w:rPr>
                <w:rStyle w:val="libFootnoteAlaemChar"/>
                <w:rFonts w:eastAsiaTheme="minorHAnsi"/>
                <w:rtl/>
              </w:rPr>
              <w:t>صلى‌الله‌عليه‌وآله</w:t>
            </w:r>
            <w:r w:rsidRPr="00132E65">
              <w:rPr>
                <w:rtl/>
                <w:lang w:bidi="fa-IR"/>
              </w:rPr>
              <w:t xml:space="preserve"> </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مَا قَالَ ، وقَدْ حَجَجْتَ عِشْرِينَ حَجَّةً مَاشِياً </w:t>
      </w:r>
      <w:r>
        <w:rPr>
          <w:rStyle w:val="libFootnotenumChar"/>
          <w:rtl/>
        </w:rPr>
        <w:t>(1)</w:t>
      </w:r>
      <w:r w:rsidRPr="00132E65">
        <w:rPr>
          <w:rtl/>
          <w:lang w:bidi="fa-IR"/>
        </w:rPr>
        <w:t xml:space="preserve"> ، وقَدْ قَاسَمْتَ </w:t>
      </w:r>
      <w:r>
        <w:rPr>
          <w:rStyle w:val="libFootnotenumChar"/>
          <w:rtl/>
        </w:rPr>
        <w:t>(2)</w:t>
      </w:r>
      <w:r w:rsidRPr="00132E65">
        <w:rPr>
          <w:rtl/>
          <w:lang w:bidi="fa-IR"/>
        </w:rPr>
        <w:t xml:space="preserve"> مَالَكَ ثَلَاثَ مَرَّاتٍ حَتّى النَّعْلَ بِالنَّعْلِ</w:t>
      </w:r>
      <w:r>
        <w:rPr>
          <w:rStyle w:val="libFootnotenumChar"/>
          <w:rtl/>
        </w:rPr>
        <w:t>(3)</w:t>
      </w:r>
      <w:r>
        <w:rPr>
          <w:rtl/>
          <w:lang w:bidi="fa-IR"/>
        </w:rPr>
        <w:t>؟</w:t>
      </w:r>
    </w:p>
    <w:p w:rsidR="000C39D1" w:rsidRPr="00132E65" w:rsidRDefault="000C39D1" w:rsidP="000C39D1">
      <w:pPr>
        <w:pStyle w:val="libNormal"/>
        <w:rPr>
          <w:rtl/>
          <w:lang w:bidi="fa-IR"/>
        </w:rPr>
      </w:pPr>
      <w:r w:rsidRPr="00132E65">
        <w:rPr>
          <w:rtl/>
          <w:lang w:bidi="fa-IR"/>
        </w:rPr>
        <w:t xml:space="preserve">فَقَالَ : إِنَّمَا أَبْكِي </w:t>
      </w:r>
      <w:r>
        <w:rPr>
          <w:rStyle w:val="libFootnotenumChar"/>
          <w:rtl/>
        </w:rPr>
        <w:t>(4)</w:t>
      </w:r>
      <w:r w:rsidRPr="00132E65">
        <w:rPr>
          <w:rtl/>
          <w:lang w:bidi="fa-IR"/>
        </w:rPr>
        <w:t xml:space="preserve"> لِخَصْلَتَيْنِ : لِهَوْلِ </w:t>
      </w:r>
      <w:r>
        <w:rPr>
          <w:rStyle w:val="libFootnotenumChar"/>
          <w:rtl/>
        </w:rPr>
        <w:t>(5)</w:t>
      </w:r>
      <w:r w:rsidRPr="00132E65">
        <w:rPr>
          <w:rtl/>
          <w:lang w:bidi="fa-IR"/>
        </w:rPr>
        <w:t xml:space="preserve"> الْمُطَّلَعِ </w:t>
      </w:r>
      <w:r>
        <w:rPr>
          <w:rStyle w:val="libFootnotenumChar"/>
          <w:rtl/>
        </w:rPr>
        <w:t>(6)</w:t>
      </w:r>
      <w:r w:rsidRPr="00132E65">
        <w:rPr>
          <w:rtl/>
          <w:lang w:bidi="fa-IR"/>
        </w:rPr>
        <w:t xml:space="preserve"> ، وفِرَاقِ الْأَحِبَّةِ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381013">
        <w:rPr>
          <w:rtl/>
        </w:rPr>
        <w:t>1255</w:t>
      </w:r>
      <w:r w:rsidRPr="004325D8">
        <w:rPr>
          <w:rStyle w:val="libBold2Char"/>
          <w:rtl/>
        </w:rPr>
        <w:t xml:space="preserve"> / 2.</w:t>
      </w:r>
      <w:r w:rsidRPr="00132E65">
        <w:rPr>
          <w:rtl/>
          <w:lang w:bidi="fa-IR"/>
        </w:rPr>
        <w:t xml:space="preserve"> سَعْدُ بْنُ عَبْدِ اللهِ وعَبْدُ اللهِ بْنُ جَعْفَرٍ ، عَنْ إِبْرَاهِيمَ بْنِ مَهْزِيَارَ ، عَنْ أَخِيهِ عَلِيٍّ </w:t>
      </w:r>
      <w:r>
        <w:rPr>
          <w:rStyle w:val="libFootnotenumChar"/>
          <w:rtl/>
        </w:rPr>
        <w:t>(8)</w:t>
      </w:r>
      <w:r w:rsidRPr="00132E65">
        <w:rPr>
          <w:rtl/>
          <w:lang w:bidi="fa-IR"/>
        </w:rPr>
        <w:t xml:space="preserve"> ، عَنِ الْحُسَيْنِ بْنِ سَعِيدٍ </w:t>
      </w:r>
      <w:r>
        <w:rPr>
          <w:rStyle w:val="libFootnotenumChar"/>
          <w:rtl/>
        </w:rPr>
        <w:t>(9)</w:t>
      </w:r>
      <w:r w:rsidRPr="00132E65">
        <w:rPr>
          <w:rtl/>
          <w:lang w:bidi="fa-IR"/>
        </w:rPr>
        <w:t xml:space="preserve"> ، عَنْ مُحَمَّدِ بْنِ سِنَانٍ ، عَنِ ابْنِ مُسْكَانَ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قُبِضَ الْحَسَنُ بْنُ عَلِيٍّ </w:t>
      </w:r>
      <w:r w:rsidRPr="00071CF9">
        <w:rPr>
          <w:rStyle w:val="libAlaemChar"/>
          <w:rtl/>
        </w:rPr>
        <w:t>عليهما‌السلام</w:t>
      </w:r>
      <w:r w:rsidRPr="00132E65">
        <w:rPr>
          <w:rtl/>
          <w:lang w:bidi="fa-IR"/>
        </w:rPr>
        <w:t xml:space="preserve"> وهُوَ ابْنُ سَبْعٍ وأَرْبَعِينَ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الزهد : « وقد حججتَ عشرين حجّة راكباً وعشرين حجّة ماشياً »</w:t>
      </w:r>
      <w:r>
        <w:rPr>
          <w:rtl/>
        </w:rPr>
        <w:t>.</w:t>
      </w:r>
    </w:p>
    <w:tbl>
      <w:tblPr>
        <w:tblStyle w:val="TableGrid"/>
        <w:bidiVisual/>
        <w:tblW w:w="0" w:type="auto"/>
        <w:tblLook w:val="04A0" w:firstRow="1" w:lastRow="0" w:firstColumn="1" w:lastColumn="0" w:noHBand="0" w:noVBand="1"/>
      </w:tblPr>
      <w:tblGrid>
        <w:gridCol w:w="4261"/>
        <w:gridCol w:w="4262"/>
      </w:tblGrid>
      <w:tr w:rsidR="00C753E0" w:rsidTr="00C753E0">
        <w:tc>
          <w:tcPr>
            <w:tcW w:w="4261" w:type="dxa"/>
          </w:tcPr>
          <w:p w:rsidR="00C753E0" w:rsidRDefault="00C753E0" w:rsidP="000C39D1">
            <w:pPr>
              <w:pStyle w:val="libFootnote0"/>
              <w:rPr>
                <w:rtl/>
              </w:rPr>
            </w:pPr>
            <w:r>
              <w:rPr>
                <w:rtl/>
              </w:rPr>
              <w:t>(2).</w:t>
            </w:r>
            <w:r w:rsidRPr="00132E65">
              <w:rPr>
                <w:rtl/>
              </w:rPr>
              <w:t xml:space="preserve"> في الزهد :</w:t>
            </w:r>
            <w:r>
              <w:rPr>
                <w:rtl/>
              </w:rPr>
              <w:t xml:space="preserve"> + </w:t>
            </w:r>
            <w:r w:rsidRPr="00132E65">
              <w:rPr>
                <w:rtl/>
              </w:rPr>
              <w:t>« ربّك »</w:t>
            </w:r>
            <w:r>
              <w:rPr>
                <w:rtl/>
              </w:rPr>
              <w:t>.</w:t>
            </w:r>
          </w:p>
        </w:tc>
        <w:tc>
          <w:tcPr>
            <w:tcW w:w="4262" w:type="dxa"/>
          </w:tcPr>
          <w:p w:rsidR="00C753E0" w:rsidRDefault="00C753E0" w:rsidP="000C39D1">
            <w:pPr>
              <w:pStyle w:val="libFootnote0"/>
              <w:rPr>
                <w:rtl/>
              </w:rPr>
            </w:pPr>
            <w:r>
              <w:rPr>
                <w:rtl/>
              </w:rPr>
              <w:t>(3).</w:t>
            </w:r>
            <w:r w:rsidRPr="00132E65">
              <w:rPr>
                <w:rtl/>
              </w:rPr>
              <w:t xml:space="preserve"> في الزهد </w:t>
            </w:r>
            <w:r>
              <w:rPr>
                <w:rtl/>
              </w:rPr>
              <w:t xml:space="preserve">: - </w:t>
            </w:r>
            <w:r w:rsidRPr="00132E65">
              <w:rPr>
                <w:rtl/>
              </w:rPr>
              <w:t>« بالنعل »</w:t>
            </w:r>
            <w:r>
              <w:rPr>
                <w:rtl/>
              </w:rPr>
              <w:t>.</w:t>
            </w:r>
          </w:p>
        </w:tc>
      </w:tr>
      <w:tr w:rsidR="00C753E0" w:rsidTr="00C753E0">
        <w:tc>
          <w:tcPr>
            <w:tcW w:w="4261" w:type="dxa"/>
          </w:tcPr>
          <w:p w:rsidR="00C753E0" w:rsidRDefault="00C753E0" w:rsidP="000C39D1">
            <w:pPr>
              <w:pStyle w:val="libFootnote0"/>
              <w:rPr>
                <w:rtl/>
              </w:rPr>
            </w:pPr>
            <w:r>
              <w:rPr>
                <w:rtl/>
              </w:rPr>
              <w:t>(4).</w:t>
            </w:r>
            <w:r w:rsidRPr="00132E65">
              <w:rPr>
                <w:rtl/>
              </w:rPr>
              <w:t xml:space="preserve"> في « ف » : « نبكي »</w:t>
            </w:r>
            <w:r>
              <w:rPr>
                <w:rtl/>
              </w:rPr>
              <w:t>.</w:t>
            </w:r>
          </w:p>
        </w:tc>
        <w:tc>
          <w:tcPr>
            <w:tcW w:w="4262" w:type="dxa"/>
          </w:tcPr>
          <w:p w:rsidR="00C753E0" w:rsidRDefault="00C753E0" w:rsidP="000C39D1">
            <w:pPr>
              <w:pStyle w:val="libFootnote0"/>
              <w:rPr>
                <w:rtl/>
              </w:rPr>
            </w:pPr>
            <w:r>
              <w:rPr>
                <w:rtl/>
              </w:rPr>
              <w:t>(5).</w:t>
            </w:r>
            <w:r w:rsidRPr="00132E65">
              <w:rPr>
                <w:rtl/>
              </w:rPr>
              <w:t xml:space="preserve"> في الزهد : « هول »</w:t>
            </w:r>
            <w:r>
              <w:rPr>
                <w:rtl/>
              </w:rPr>
              <w:t>.</w:t>
            </w:r>
          </w:p>
        </w:tc>
      </w:tr>
    </w:tbl>
    <w:p w:rsidR="000C39D1" w:rsidRPr="00132E65" w:rsidRDefault="000C39D1" w:rsidP="000C39D1">
      <w:pPr>
        <w:pStyle w:val="libFootnote0"/>
        <w:rPr>
          <w:rtl/>
          <w:lang w:bidi="fa-IR"/>
        </w:rPr>
      </w:pPr>
      <w:r>
        <w:rPr>
          <w:rtl/>
        </w:rPr>
        <w:t>(6).</w:t>
      </w:r>
      <w:r w:rsidRPr="00132E65">
        <w:rPr>
          <w:rtl/>
        </w:rPr>
        <w:t xml:space="preserve"> « ال</w:t>
      </w:r>
      <w:r w:rsidR="00C753E0">
        <w:rPr>
          <w:rFonts w:hint="cs"/>
          <w:rtl/>
        </w:rPr>
        <w:t>ـ</w:t>
      </w:r>
      <w:r w:rsidRPr="00132E65">
        <w:rPr>
          <w:rtl/>
        </w:rPr>
        <w:t>مُطَّلَعُ » : مكان الاطّلاع من موضع عال. يقال : مُطَّلَعُ هذا الجبل من مكان كذا ، أي مأتاه ومَصْعَدُهُ. والمراد به هنا ال</w:t>
      </w:r>
      <w:r w:rsidR="00C753E0">
        <w:rPr>
          <w:rFonts w:hint="cs"/>
          <w:rtl/>
        </w:rPr>
        <w:t>ـ</w:t>
      </w:r>
      <w:r w:rsidRPr="00132E65">
        <w:rPr>
          <w:rtl/>
        </w:rPr>
        <w:t>مَوْقِف يوم القيامة ، أو ما يُشْرِف عليه من أمر الآخرة عقيب الموت ، فشبّهه بال</w:t>
      </w:r>
      <w:r w:rsidR="00B45894">
        <w:rPr>
          <w:rFonts w:hint="cs"/>
          <w:rtl/>
        </w:rPr>
        <w:t>ـ</w:t>
      </w:r>
      <w:r w:rsidRPr="00132E65">
        <w:rPr>
          <w:rtl/>
        </w:rPr>
        <w:t xml:space="preserve">مُطَّلَع الذي يُشْرَف عليه من موضع عالٍ. راجع : </w:t>
      </w:r>
      <w:r w:rsidRPr="00381013">
        <w:rPr>
          <w:rtl/>
        </w:rPr>
        <w:t>النهاية</w:t>
      </w:r>
      <w:r w:rsidRPr="00132E65">
        <w:rPr>
          <w:rtl/>
        </w:rPr>
        <w:t xml:space="preserve"> ، ج 3 ، ص 132</w:t>
      </w:r>
      <w:r>
        <w:rPr>
          <w:rtl/>
        </w:rPr>
        <w:t xml:space="preserve"> - </w:t>
      </w:r>
      <w:r w:rsidRPr="00132E65">
        <w:rPr>
          <w:rtl/>
        </w:rPr>
        <w:t xml:space="preserve">133 ( طلع ) ؛ </w:t>
      </w:r>
      <w:r w:rsidRPr="00381013">
        <w:rPr>
          <w:rtl/>
        </w:rPr>
        <w:t>شرح المازندراني</w:t>
      </w:r>
      <w:r w:rsidRPr="00132E65">
        <w:rPr>
          <w:rtl/>
        </w:rPr>
        <w:t xml:space="preserve"> ، ج 7 ، ص 221 ؛ </w:t>
      </w:r>
      <w:r w:rsidRPr="009D1ACE">
        <w:rPr>
          <w:rStyle w:val="libFootnoteBoldChar"/>
          <w:rtl/>
        </w:rPr>
        <w:t>مرآة العقول</w:t>
      </w:r>
      <w:r w:rsidRPr="00132E65">
        <w:rPr>
          <w:rtl/>
        </w:rPr>
        <w:t xml:space="preserve"> ، ج 5 ، ص 353.</w:t>
      </w:r>
    </w:p>
    <w:p w:rsidR="000C39D1" w:rsidRPr="00132E65" w:rsidRDefault="000C39D1" w:rsidP="00D0638F">
      <w:pPr>
        <w:pStyle w:val="libFootnote0"/>
        <w:rPr>
          <w:rtl/>
          <w:lang w:bidi="fa-IR"/>
        </w:rPr>
      </w:pPr>
      <w:r>
        <w:rPr>
          <w:rtl/>
        </w:rPr>
        <w:t>(7).</w:t>
      </w:r>
      <w:r w:rsidRPr="00132E65">
        <w:rPr>
          <w:rtl/>
        </w:rPr>
        <w:t xml:space="preserve"> </w:t>
      </w:r>
      <w:r w:rsidRPr="00381013">
        <w:rPr>
          <w:rtl/>
        </w:rPr>
        <w:t>الزهد</w:t>
      </w:r>
      <w:r w:rsidRPr="00132E65">
        <w:rPr>
          <w:rtl/>
        </w:rPr>
        <w:t xml:space="preserve"> ، ص 150 ، ح 217 وفي </w:t>
      </w:r>
      <w:r w:rsidRPr="00381013">
        <w:rPr>
          <w:rtl/>
        </w:rPr>
        <w:t>الأمالي</w:t>
      </w:r>
      <w:r w:rsidRPr="00132E65">
        <w:rPr>
          <w:rtl/>
        </w:rPr>
        <w:t xml:space="preserve"> للصدوق ، ص 222 ، المجلس 39 ، ح 9 ؛ و</w:t>
      </w:r>
      <w:r w:rsidRPr="00381013">
        <w:rPr>
          <w:rtl/>
        </w:rPr>
        <w:t>عيون الأخبار</w:t>
      </w:r>
      <w:r w:rsidRPr="00132E65">
        <w:rPr>
          <w:rtl/>
        </w:rPr>
        <w:t xml:space="preserve"> ، ج 1 ، ص 303 ، ح 62 ، بسند آخر عن الرضا ، عن آبائه ، عن الحسين بن عليّ </w:t>
      </w:r>
      <w:r w:rsidRPr="00D0638F">
        <w:rPr>
          <w:rStyle w:val="libFootnoteAlaemChar"/>
          <w:rtl/>
        </w:rPr>
        <w:t>عليهم‌السلام</w:t>
      </w:r>
      <w:r w:rsidRPr="00132E65">
        <w:rPr>
          <w:rtl/>
        </w:rPr>
        <w:t xml:space="preserve">. </w:t>
      </w:r>
      <w:r w:rsidRPr="00381013">
        <w:rPr>
          <w:rtl/>
        </w:rPr>
        <w:t>كفاية الأثر</w:t>
      </w:r>
      <w:r w:rsidRPr="00132E65">
        <w:rPr>
          <w:rtl/>
        </w:rPr>
        <w:t xml:space="preserve"> ، ص 20</w:t>
      </w:r>
      <w:r w:rsidR="00D0638F">
        <w:rPr>
          <w:rFonts w:hint="cs"/>
          <w:rtl/>
        </w:rPr>
        <w:t>.</w:t>
      </w:r>
      <w:r w:rsidRPr="009D1ACE">
        <w:rPr>
          <w:rStyle w:val="libFootnoteBoldChar"/>
          <w:rtl/>
        </w:rPr>
        <w:t>الوافي</w:t>
      </w:r>
      <w:r w:rsidRPr="00132E65">
        <w:rPr>
          <w:rtl/>
        </w:rPr>
        <w:t xml:space="preserve"> ، ج 3 ، ص 753 ، ح 1372 ؛ </w:t>
      </w:r>
      <w:r w:rsidRPr="00381013">
        <w:rPr>
          <w:rtl/>
        </w:rPr>
        <w:t>الوسائل</w:t>
      </w:r>
      <w:r w:rsidRPr="00132E65">
        <w:rPr>
          <w:rtl/>
        </w:rPr>
        <w:t xml:space="preserve"> ، ج 11 ، ص 131 ، ذيل ح 14444.</w:t>
      </w:r>
    </w:p>
    <w:p w:rsidR="000C39D1" w:rsidRPr="00132E65" w:rsidRDefault="000C39D1" w:rsidP="000C39D1">
      <w:pPr>
        <w:pStyle w:val="libFootnote0"/>
        <w:rPr>
          <w:rtl/>
          <w:lang w:bidi="fa-IR"/>
        </w:rPr>
      </w:pPr>
      <w:r>
        <w:rPr>
          <w:rtl/>
        </w:rPr>
        <w:t>(8).</w:t>
      </w:r>
      <w:r w:rsidRPr="00132E65">
        <w:rPr>
          <w:rtl/>
        </w:rPr>
        <w:t xml:space="preserve"> هكذا في النسخ ، وفي المطبوع : « عن أخيه عليّ [ بن مهزيار ] »</w:t>
      </w:r>
      <w:r>
        <w:rPr>
          <w:rtl/>
        </w:rPr>
        <w:t>.</w:t>
      </w:r>
    </w:p>
    <w:p w:rsidR="000C39D1" w:rsidRPr="00132E65" w:rsidRDefault="000C39D1" w:rsidP="000C39D1">
      <w:pPr>
        <w:pStyle w:val="libFootnote0"/>
        <w:rPr>
          <w:rtl/>
          <w:lang w:bidi="fa-IR"/>
        </w:rPr>
      </w:pPr>
      <w:r>
        <w:rPr>
          <w:rtl/>
        </w:rPr>
        <w:t>(9).</w:t>
      </w:r>
      <w:r w:rsidRPr="00132E65">
        <w:rPr>
          <w:rtl/>
        </w:rPr>
        <w:t xml:space="preserve"> هكذا في « ظ ، ف »</w:t>
      </w:r>
      <w:r>
        <w:rPr>
          <w:rtl/>
        </w:rPr>
        <w:t>.</w:t>
      </w:r>
      <w:r w:rsidRPr="00132E65">
        <w:rPr>
          <w:rtl/>
        </w:rPr>
        <w:t xml:space="preserve"> وفي « ب ، ج ، ض ، بح ، بر ، بس ، بف » والمطبوع : « الحسن بن سعيد »</w:t>
      </w:r>
      <w:r>
        <w:rPr>
          <w:rtl/>
        </w:rPr>
        <w:t>.</w:t>
      </w:r>
    </w:p>
    <w:p w:rsidR="000C39D1" w:rsidRPr="00132E65" w:rsidRDefault="000C39D1" w:rsidP="000C39D1">
      <w:pPr>
        <w:pStyle w:val="libFootnote0"/>
        <w:rPr>
          <w:rtl/>
          <w:lang w:bidi="fa-IR"/>
        </w:rPr>
      </w:pPr>
      <w:r w:rsidRPr="00E55206">
        <w:rPr>
          <w:rtl/>
        </w:rPr>
        <w:t xml:space="preserve">والظاهر أنّ هذا الخبر قطعة من خبر طويلٍ ورد في وفيات الأئمّة </w:t>
      </w:r>
      <w:r w:rsidRPr="00D0638F">
        <w:rPr>
          <w:rStyle w:val="libFootnoteAlaemChar"/>
          <w:rtl/>
        </w:rPr>
        <w:t>عليهم‌السلام</w:t>
      </w:r>
      <w:r w:rsidRPr="00E55206">
        <w:rPr>
          <w:rtl/>
        </w:rPr>
        <w:t xml:space="preserve"> ، وقد ورد بعض قطعاته الا</w:t>
      </w:r>
      <w:r w:rsidR="00D0638F" w:rsidRPr="00E55206">
        <w:rPr>
          <w:rFonts w:hint="cs"/>
          <w:rtl/>
        </w:rPr>
        <w:t>ُ</w:t>
      </w:r>
      <w:r w:rsidRPr="00E55206">
        <w:rPr>
          <w:rtl/>
        </w:rPr>
        <w:t xml:space="preserve">خرى في </w:t>
      </w:r>
      <w:r w:rsidRPr="000577A7">
        <w:rPr>
          <w:rStyle w:val="libFootnoteBoldChar"/>
          <w:rtl/>
        </w:rPr>
        <w:t>الكافي</w:t>
      </w:r>
      <w:r w:rsidRPr="00E55206">
        <w:rPr>
          <w:rtl/>
        </w:rPr>
        <w:t xml:space="preserve"> ، ح 1260 و 1274 و 1280 و 1287 و 1297 و 1308 و 1320. والمذكور في أكثر هذه المواضع هو « الحسين بن سعيد » ؛ فإنّ المذكور في المطبوع وجميع النسخ التي قوبلت ، في ح 1260 و 1274 و 1280 و 1287 و 1308 ، هو </w:t>
      </w:r>
      <w:r w:rsidR="00D626B2" w:rsidRPr="00E55206">
        <w:rPr>
          <w:rtl/>
        </w:rPr>
        <w:t>الحسين ». وهكذا في ص ح 1297 إل</w:t>
      </w:r>
      <w:r w:rsidR="00D626B2" w:rsidRPr="00E55206">
        <w:rPr>
          <w:rFonts w:hint="cs"/>
          <w:rtl/>
        </w:rPr>
        <w:t>ّ</w:t>
      </w:r>
      <w:r w:rsidR="00D626B2" w:rsidRPr="00E55206">
        <w:rPr>
          <w:rtl/>
        </w:rPr>
        <w:t>ا</w:t>
      </w:r>
      <w:r w:rsidRPr="00E55206">
        <w:rPr>
          <w:rtl/>
        </w:rPr>
        <w:t xml:space="preserve"> في نسخه واحدة. والمذكور في أكثر النسخ ، في ح 1320 هو « الحسن ».</w:t>
      </w:r>
    </w:p>
    <w:p w:rsidR="000C39D1" w:rsidRPr="00132E65" w:rsidRDefault="000C39D1" w:rsidP="000C39D1">
      <w:pPr>
        <w:pStyle w:val="libFootnote0"/>
        <w:rPr>
          <w:rtl/>
          <w:lang w:bidi="fa-IR"/>
        </w:rPr>
      </w:pPr>
      <w:r w:rsidRPr="00E55206">
        <w:rPr>
          <w:rtl/>
        </w:rPr>
        <w:t>يؤيّد ذلك أنّه لم يُعهد رواية الحسن بن سعيد عن [ محمّد ] بن سنان عن [ عبد الله ] بن مسكا</w:t>
      </w:r>
      <w:r w:rsidR="004D1418" w:rsidRPr="00E55206">
        <w:rPr>
          <w:rtl/>
        </w:rPr>
        <w:t>ن إل</w:t>
      </w:r>
      <w:r w:rsidR="004D1418" w:rsidRPr="00E55206">
        <w:rPr>
          <w:rFonts w:hint="cs"/>
          <w:rtl/>
        </w:rPr>
        <w:t>ّ</w:t>
      </w:r>
      <w:r w:rsidR="004D1418" w:rsidRPr="00E55206">
        <w:rPr>
          <w:rtl/>
        </w:rPr>
        <w:t>ا</w:t>
      </w:r>
      <w:r w:rsidRPr="00E55206">
        <w:rPr>
          <w:rtl/>
        </w:rPr>
        <w:t xml:space="preserve"> في </w:t>
      </w:r>
      <w:r w:rsidRPr="00381013">
        <w:rPr>
          <w:rtl/>
        </w:rPr>
        <w:t>التهذيب</w:t>
      </w:r>
      <w:r w:rsidRPr="00E55206">
        <w:rPr>
          <w:rtl/>
        </w:rPr>
        <w:t xml:space="preserve"> ، ج 2 ، ص 164 ، ح 648 ؛ و</w:t>
      </w:r>
      <w:r w:rsidRPr="007A1104">
        <w:rPr>
          <w:rStyle w:val="libFootnoteBoldChar"/>
          <w:rtl/>
        </w:rPr>
        <w:t>الاستبصار</w:t>
      </w:r>
      <w:r w:rsidRPr="00E55206">
        <w:rPr>
          <w:rtl/>
        </w:rPr>
        <w:t xml:space="preserve"> ، ج 1 ، ص 292 ، ح 1073 ، والخبر في الموضعين واحد ، والمعهود المتكرّر وقوع الحسين بن سعيد في هذا الطريق ، سواء كان في أسناد الكتب الأربعة أو في غيرها. ا</w:t>
      </w:r>
      <w:r w:rsidR="004D1418" w:rsidRPr="00E55206">
        <w:rPr>
          <w:rFonts w:hint="cs"/>
          <w:rtl/>
        </w:rPr>
        <w:t>ُ</w:t>
      </w:r>
      <w:r w:rsidRPr="00E55206">
        <w:rPr>
          <w:rtl/>
        </w:rPr>
        <w:t xml:space="preserve">نظر على سبيل المثال : </w:t>
      </w:r>
      <w:r w:rsidRPr="00381013">
        <w:rPr>
          <w:rtl/>
        </w:rPr>
        <w:t>معجم رجال الحديث</w:t>
      </w:r>
      <w:r w:rsidRPr="00E55206">
        <w:rPr>
          <w:rtl/>
        </w:rPr>
        <w:t xml:space="preserve"> ، ج 16 ، ص 388 - 389 ، وص 400.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سَنَةً ، فِي عَامِ </w:t>
      </w:r>
      <w:r>
        <w:rPr>
          <w:rStyle w:val="libFootnotenumChar"/>
          <w:rtl/>
        </w:rPr>
        <w:t>(1)</w:t>
      </w:r>
      <w:r w:rsidRPr="00132E65">
        <w:rPr>
          <w:rtl/>
          <w:lang w:bidi="fa-IR"/>
        </w:rPr>
        <w:t xml:space="preserve"> خَمْسِينَ سَنَةً </w:t>
      </w:r>
      <w:r>
        <w:rPr>
          <w:rStyle w:val="libFootnotenumChar"/>
          <w:rtl/>
        </w:rPr>
        <w:t>(2)</w:t>
      </w:r>
      <w:r w:rsidRPr="00132E65">
        <w:rPr>
          <w:rtl/>
          <w:lang w:bidi="fa-IR"/>
        </w:rPr>
        <w:t xml:space="preserve"> ؛ عَاشَ بَعْدَ رَسُولِ اللهِ </w:t>
      </w:r>
      <w:r w:rsidRPr="0093484F">
        <w:rPr>
          <w:rStyle w:val="libAlaemChar"/>
          <w:rFonts w:eastAsiaTheme="minorHAnsi"/>
          <w:rtl/>
        </w:rPr>
        <w:t>صلى‌الله‌عليه‌وآله</w:t>
      </w:r>
      <w:r w:rsidRPr="00132E65">
        <w:rPr>
          <w:rtl/>
          <w:lang w:bidi="fa-IR"/>
        </w:rPr>
        <w:t xml:space="preserve"> أَرْبَعِينَ سَنَةً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381013">
        <w:rPr>
          <w:rtl/>
        </w:rPr>
        <w:t>1256</w:t>
      </w:r>
      <w:r w:rsidRPr="004325D8">
        <w:rPr>
          <w:rStyle w:val="libBold2Char"/>
          <w:rtl/>
        </w:rPr>
        <w:t xml:space="preserve"> / 3.</w:t>
      </w:r>
      <w:r w:rsidRPr="00132E65">
        <w:rPr>
          <w:rtl/>
          <w:lang w:bidi="fa-IR"/>
        </w:rPr>
        <w:t xml:space="preserve"> عِدَّةٌ مِنْ أَصْحَابِنَا ، عَنْ أَحْمَدَ بْنِ مُحَمَّدٍ ، عَنْ عَلِيِّ بْنِ النُّعْمَانِ ، عَنْ سَيْفِ بْنِ عَمِيرَةَ ، عَنْ أَبِي بَكْرٍ الْحَضْرَمِيِّ ، قَالَ :</w:t>
      </w:r>
    </w:p>
    <w:p w:rsidR="000C39D1" w:rsidRPr="00132E65" w:rsidRDefault="000C39D1" w:rsidP="000C39D1">
      <w:pPr>
        <w:pStyle w:val="libNormal"/>
        <w:rPr>
          <w:rtl/>
          <w:lang w:bidi="fa-IR"/>
        </w:rPr>
      </w:pPr>
      <w:r w:rsidRPr="00132E65">
        <w:rPr>
          <w:rtl/>
          <w:lang w:bidi="fa-IR"/>
        </w:rPr>
        <w:t xml:space="preserve">إِنَّ جَعْدَةَ بِنْتَ الْأَشْعَثِ </w:t>
      </w:r>
      <w:r>
        <w:rPr>
          <w:rStyle w:val="libFootnotenumChar"/>
          <w:rtl/>
        </w:rPr>
        <w:t>(4)</w:t>
      </w:r>
      <w:r w:rsidRPr="00132E65">
        <w:rPr>
          <w:rtl/>
          <w:lang w:bidi="fa-IR"/>
        </w:rPr>
        <w:t xml:space="preserve"> بْنِ قَيْسٍ الْكِنْدِيِّ سَمَّتِ الْحَسَنَ بْنَ عَلِيٍّ </w:t>
      </w:r>
      <w:r w:rsidRPr="00071CF9">
        <w:rPr>
          <w:rStyle w:val="libAlaemChar"/>
          <w:rtl/>
        </w:rPr>
        <w:t>عليه‌السلام</w:t>
      </w:r>
      <w:r w:rsidRPr="00132E65">
        <w:rPr>
          <w:rtl/>
          <w:lang w:bidi="fa-IR"/>
        </w:rPr>
        <w:t xml:space="preserve"> ، و</w:t>
      </w:r>
      <w:r w:rsidR="004D1418">
        <w:rPr>
          <w:rFonts w:hint="cs"/>
          <w:rtl/>
          <w:lang w:bidi="fa-IR"/>
        </w:rPr>
        <w:t xml:space="preserve">َ </w:t>
      </w:r>
      <w:r w:rsidRPr="00132E65">
        <w:rPr>
          <w:rtl/>
          <w:lang w:bidi="fa-IR"/>
        </w:rPr>
        <w:t>سَمَّتْ مَوْلَاةً لَهُ ، فَأَمَّا مَوْلَاتُهُ فَقَاءَتِ السَّمَّ ؛ و</w:t>
      </w:r>
      <w:r w:rsidR="004D1418">
        <w:rPr>
          <w:rFonts w:hint="cs"/>
          <w:rtl/>
          <w:lang w:bidi="fa-IR"/>
        </w:rPr>
        <w:t xml:space="preserve">َ </w:t>
      </w:r>
      <w:r w:rsidRPr="00132E65">
        <w:rPr>
          <w:rtl/>
          <w:lang w:bidi="fa-IR"/>
        </w:rPr>
        <w:t xml:space="preserve">أَمَّا الْحَسَنُ فَاسْتَمْسَكَ فِي بَطْنِهِ ، ثُمَّ انْتَفَطَ </w:t>
      </w:r>
      <w:r>
        <w:rPr>
          <w:rStyle w:val="libFootnotenumChar"/>
          <w:rtl/>
        </w:rPr>
        <w:t>(5)</w:t>
      </w:r>
      <w:r w:rsidRPr="00132E65">
        <w:rPr>
          <w:rtl/>
          <w:lang w:bidi="fa-IR"/>
        </w:rPr>
        <w:t xml:space="preserve"> بِهِ ، فَمَاتَ.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381013">
        <w:rPr>
          <w:rtl/>
        </w:rPr>
        <w:t>1257</w:t>
      </w:r>
      <w:r w:rsidRPr="004325D8">
        <w:rPr>
          <w:rStyle w:val="libBold2Char"/>
          <w:rtl/>
        </w:rPr>
        <w:t xml:space="preserve"> / 4.</w:t>
      </w:r>
      <w:r w:rsidRPr="00132E65">
        <w:rPr>
          <w:rtl/>
          <w:lang w:bidi="fa-IR"/>
        </w:rPr>
        <w:t xml:space="preserve"> مُحَمَّدُ بْنُ يَحْيى و</w:t>
      </w:r>
      <w:r w:rsidR="004D1418">
        <w:rPr>
          <w:rFonts w:hint="cs"/>
          <w:rtl/>
          <w:lang w:bidi="fa-IR"/>
        </w:rPr>
        <w:t xml:space="preserve">َ </w:t>
      </w:r>
      <w:r w:rsidRPr="00132E65">
        <w:rPr>
          <w:rtl/>
          <w:lang w:bidi="fa-IR"/>
        </w:rPr>
        <w:t xml:space="preserve">أَحْمَدُ بْنُ مُحَمَّدٍ ، عَنْ مُحَمَّدِ بْنِ الْحَسَنِ ، عَنِ الْقَاسِمِ النَّهْدِيِّ </w:t>
      </w:r>
      <w:r>
        <w:rPr>
          <w:rStyle w:val="libFootnotenumChar"/>
          <w:rtl/>
        </w:rPr>
        <w:t>(7)</w:t>
      </w:r>
      <w:r w:rsidRPr="00132E65">
        <w:rPr>
          <w:rtl/>
          <w:lang w:bidi="fa-IR"/>
        </w:rPr>
        <w:t xml:space="preserve"> ، عَنْ إِسْمَاعِيلَ بْنِ مِهْرَانَ ، عَنِ الْكُنَاسِيِّ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خَرَجَ الْحَسَنُ بْنُ عَلِيٍّ </w:t>
      </w:r>
      <w:r w:rsidRPr="00071CF9">
        <w:rPr>
          <w:rStyle w:val="libAlaemChar"/>
          <w:rtl/>
        </w:rPr>
        <w:t>عليهما‌السلام</w:t>
      </w:r>
      <w:r w:rsidRPr="00132E65">
        <w:rPr>
          <w:rtl/>
          <w:lang w:bidi="fa-IR"/>
        </w:rPr>
        <w:t xml:space="preserve"> فِي بَعْضِ عُمَرِهِ </w:t>
      </w:r>
      <w:r>
        <w:rPr>
          <w:rStyle w:val="libFootnotenumChar"/>
          <w:rtl/>
        </w:rPr>
        <w:t>(8)</w:t>
      </w:r>
      <w:r>
        <w:rPr>
          <w:rtl/>
          <w:lang w:bidi="fa-IR"/>
        </w:rPr>
        <w:t xml:space="preserve"> </w:t>
      </w:r>
      <w:r w:rsidR="004D1418">
        <w:rPr>
          <w:rtl/>
          <w:lang w:bidi="fa-IR"/>
        </w:rPr>
        <w:t>–</w:t>
      </w:r>
      <w:r>
        <w:rPr>
          <w:rtl/>
          <w:lang w:bidi="fa-IR"/>
        </w:rPr>
        <w:t xml:space="preserve"> </w:t>
      </w:r>
      <w:r w:rsidRPr="00132E65">
        <w:rPr>
          <w:rtl/>
          <w:lang w:bidi="fa-IR"/>
        </w:rPr>
        <w:t>و</w:t>
      </w:r>
      <w:r w:rsidR="004D1418">
        <w:rPr>
          <w:rFonts w:hint="cs"/>
          <w:rtl/>
          <w:lang w:bidi="fa-IR"/>
        </w:rPr>
        <w:t xml:space="preserve">َ </w:t>
      </w:r>
      <w:r w:rsidRPr="00132E65">
        <w:rPr>
          <w:rtl/>
          <w:lang w:bidi="fa-IR"/>
        </w:rPr>
        <w:t>مَعَهُ‌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ج » : « سنة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بح ، بر ، بس ، بف »</w:t>
      </w:r>
      <w:r>
        <w:rPr>
          <w:rtl/>
        </w:rPr>
        <w:t>.</w:t>
      </w:r>
      <w:r w:rsidRPr="00132E65">
        <w:rPr>
          <w:rtl/>
        </w:rPr>
        <w:t xml:space="preserve"> وفي المطبوع </w:t>
      </w:r>
      <w:r>
        <w:rPr>
          <w:rtl/>
        </w:rPr>
        <w:t xml:space="preserve">: - </w:t>
      </w:r>
      <w:r w:rsidRPr="00132E65">
        <w:rPr>
          <w:rtl/>
        </w:rPr>
        <w:t>« سنة »</w:t>
      </w:r>
      <w:r>
        <w:rPr>
          <w:rtl/>
        </w:rPr>
        <w:t>.</w:t>
      </w:r>
    </w:p>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3 ، ص 754 ، ح 1374 ؛ </w:t>
      </w:r>
      <w:r w:rsidRPr="00381013">
        <w:rPr>
          <w:rtl/>
        </w:rPr>
        <w:t>البحار</w:t>
      </w:r>
      <w:r w:rsidRPr="00132E65">
        <w:rPr>
          <w:rtl/>
        </w:rPr>
        <w:t xml:space="preserve"> ، ج 44 ، ص 144 ، ح 10.</w:t>
      </w:r>
    </w:p>
    <w:p w:rsidR="000C39D1" w:rsidRPr="00132E65" w:rsidRDefault="000C39D1" w:rsidP="000C39D1">
      <w:pPr>
        <w:pStyle w:val="libFootnote0"/>
        <w:rPr>
          <w:rtl/>
          <w:lang w:bidi="fa-IR"/>
        </w:rPr>
      </w:pPr>
      <w:r>
        <w:rPr>
          <w:rtl/>
        </w:rPr>
        <w:t>(4).</w:t>
      </w:r>
      <w:r w:rsidRPr="00132E65">
        <w:rPr>
          <w:rtl/>
        </w:rPr>
        <w:t xml:space="preserve"> هكذا في النسخ. وفي المطبوع : « أشعث »</w:t>
      </w:r>
      <w:r>
        <w:rPr>
          <w:rtl/>
        </w:rPr>
        <w:t>.</w:t>
      </w:r>
    </w:p>
    <w:p w:rsidR="000C39D1" w:rsidRPr="00132E65" w:rsidRDefault="000C39D1" w:rsidP="000C39D1">
      <w:pPr>
        <w:pStyle w:val="libFootnote0"/>
        <w:rPr>
          <w:rtl/>
          <w:lang w:bidi="fa-IR"/>
        </w:rPr>
      </w:pPr>
      <w:r>
        <w:rPr>
          <w:rtl/>
        </w:rPr>
        <w:t>(5).</w:t>
      </w:r>
      <w:r w:rsidRPr="00132E65">
        <w:rPr>
          <w:rtl/>
        </w:rPr>
        <w:t xml:space="preserve"> في « بح » وحاشية « ض ، بس ، بف » : « انتقض »</w:t>
      </w:r>
      <w:r>
        <w:rPr>
          <w:rtl/>
        </w:rPr>
        <w:t>.</w:t>
      </w:r>
      <w:r w:rsidRPr="00132E65">
        <w:rPr>
          <w:rtl/>
        </w:rPr>
        <w:t xml:space="preserve"> قال في </w:t>
      </w:r>
      <w:r w:rsidRPr="009D1ACE">
        <w:rPr>
          <w:rStyle w:val="libFootnoteBoldChar"/>
          <w:rtl/>
        </w:rPr>
        <w:t>مرآة العقول</w:t>
      </w:r>
      <w:r w:rsidRPr="00132E65">
        <w:rPr>
          <w:rtl/>
        </w:rPr>
        <w:t xml:space="preserve"> : « وفي بعض النسخ : فانتقض به ، بالقاف ، أي كسره. وفي بعضها بالفاء ، أي تفرّق بعض أحشائه »</w:t>
      </w:r>
      <w:r>
        <w:rPr>
          <w:rtl/>
        </w:rPr>
        <w:t>.</w:t>
      </w:r>
    </w:p>
    <w:p w:rsidR="000C39D1" w:rsidRPr="00132E65" w:rsidRDefault="000C39D1" w:rsidP="000C39D1">
      <w:pPr>
        <w:pStyle w:val="libFootnote0"/>
        <w:rPr>
          <w:rtl/>
          <w:lang w:bidi="fa-IR"/>
        </w:rPr>
      </w:pPr>
      <w:r w:rsidRPr="00E55206">
        <w:rPr>
          <w:rtl/>
        </w:rPr>
        <w:t xml:space="preserve">ومعنى قوله : « انتفط » : تورّم ، أو غلى ، يقال : نَفِطَتْ يده وتنفّطت ، أي قَرِحَت من العمل ، أو هو ما يصيبها بين الجلد واللحم من الماء. ويقال لها بالفارسيّة : « تاول » و « آبله ». راجع : </w:t>
      </w:r>
      <w:r w:rsidRPr="009D1ACE">
        <w:rPr>
          <w:rStyle w:val="libFootnoteBoldChar"/>
          <w:rtl/>
        </w:rPr>
        <w:t>لسان العرب</w:t>
      </w:r>
      <w:r w:rsidRPr="00E55206">
        <w:rPr>
          <w:rtl/>
        </w:rPr>
        <w:t xml:space="preserve"> ، ج 7 ، ص 416 ؛ </w:t>
      </w:r>
      <w:r w:rsidRPr="00381013">
        <w:rPr>
          <w:rtl/>
        </w:rPr>
        <w:t>المصباح المنير</w:t>
      </w:r>
      <w:r w:rsidRPr="00E55206">
        <w:rPr>
          <w:rtl/>
        </w:rPr>
        <w:t xml:space="preserve"> ، ص 618 ( نفط ).</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753 ، ح 1371 ؛ </w:t>
      </w:r>
      <w:r w:rsidRPr="00381013">
        <w:rPr>
          <w:rtl/>
        </w:rPr>
        <w:t>البحار</w:t>
      </w:r>
      <w:r w:rsidRPr="00132E65">
        <w:rPr>
          <w:rtl/>
        </w:rPr>
        <w:t xml:space="preserve"> ، ج 44 ، ص 144 ، ح 12.</w:t>
      </w:r>
    </w:p>
    <w:p w:rsidR="000C39D1" w:rsidRPr="00132E65" w:rsidRDefault="000C39D1" w:rsidP="000C39D1">
      <w:pPr>
        <w:pStyle w:val="libFootnote0"/>
        <w:rPr>
          <w:rtl/>
          <w:lang w:bidi="fa-IR"/>
        </w:rPr>
      </w:pPr>
      <w:r>
        <w:rPr>
          <w:rtl/>
        </w:rPr>
        <w:t>(7).</w:t>
      </w:r>
      <w:r w:rsidRPr="00132E65">
        <w:rPr>
          <w:rtl/>
        </w:rPr>
        <w:t xml:space="preserve"> الخبر رواه الصفّار في </w:t>
      </w:r>
      <w:r w:rsidRPr="007A1104">
        <w:rPr>
          <w:rStyle w:val="libFootnoteBoldChar"/>
          <w:rtl/>
        </w:rPr>
        <w:t>بصائر الدرجات</w:t>
      </w:r>
      <w:r w:rsidRPr="00132E65">
        <w:rPr>
          <w:rtl/>
        </w:rPr>
        <w:t xml:space="preserve"> ، ص 256 ، ح 10 : عن الهيثم النهدي عن إسماعيل بن مروان</w:t>
      </w:r>
      <w:r>
        <w:rPr>
          <w:rtl/>
        </w:rPr>
        <w:t xml:space="preserve"> - </w:t>
      </w:r>
      <w:r w:rsidRPr="00132E65">
        <w:rPr>
          <w:rtl/>
        </w:rPr>
        <w:t xml:space="preserve">والصواب إسماعيل بن مهران ، كما في </w:t>
      </w:r>
      <w:r w:rsidRPr="00381013">
        <w:rPr>
          <w:rtl/>
        </w:rPr>
        <w:t>البحار</w:t>
      </w:r>
      <w:r w:rsidRPr="00132E65">
        <w:rPr>
          <w:rtl/>
        </w:rPr>
        <w:t xml:space="preserve"> ، ج 43 ، ص 323 ، ح 1 وبعض المخطوطات البصائر</w:t>
      </w:r>
      <w:r>
        <w:rPr>
          <w:rtl/>
        </w:rPr>
        <w:t xml:space="preserve"> - </w:t>
      </w:r>
      <w:r w:rsidRPr="00132E65">
        <w:rPr>
          <w:rtl/>
        </w:rPr>
        <w:t xml:space="preserve">فقد روى الهيثم النهدي عن إسماعيل بن مهران في </w:t>
      </w:r>
      <w:r w:rsidRPr="007A1104">
        <w:rPr>
          <w:rStyle w:val="libFootnoteBoldChar"/>
          <w:rtl/>
        </w:rPr>
        <w:t>بصائر الدرجات</w:t>
      </w:r>
      <w:r w:rsidRPr="00132E65">
        <w:rPr>
          <w:rtl/>
        </w:rPr>
        <w:t xml:space="preserve"> ، ص 443 ، ح 9 ، وروى عنه بعنوان الهيثم بن أبي مسروق النهدي في </w:t>
      </w:r>
      <w:r w:rsidRPr="00381013">
        <w:rPr>
          <w:rtl/>
        </w:rPr>
        <w:t>الأمالي</w:t>
      </w:r>
      <w:r w:rsidRPr="00132E65">
        <w:rPr>
          <w:rtl/>
        </w:rPr>
        <w:t xml:space="preserve"> للصدوق ، ص 435 ، المجلس 81 ، ح 1 ؛ و</w:t>
      </w:r>
      <w:r w:rsidRPr="00381013">
        <w:rPr>
          <w:rtl/>
        </w:rPr>
        <w:t>فضائل الأشهر الثلاثة</w:t>
      </w:r>
      <w:r w:rsidRPr="00132E65">
        <w:rPr>
          <w:rtl/>
        </w:rPr>
        <w:t xml:space="preserve"> ، ص 37 ، ح 15 و</w:t>
      </w:r>
      <w:r w:rsidRPr="00381013">
        <w:rPr>
          <w:rtl/>
        </w:rPr>
        <w:t xml:space="preserve">الاختصاص </w:t>
      </w:r>
      <w:r w:rsidRPr="00132E65">
        <w:rPr>
          <w:rtl/>
        </w:rPr>
        <w:t>، ص 328.</w:t>
      </w:r>
    </w:p>
    <w:p w:rsidR="000C39D1" w:rsidRPr="00132E65" w:rsidRDefault="000C39D1" w:rsidP="004D1418">
      <w:pPr>
        <w:pStyle w:val="libFootnote0"/>
        <w:rPr>
          <w:rtl/>
          <w:lang w:bidi="fa-IR"/>
        </w:rPr>
      </w:pPr>
      <w:r w:rsidRPr="0046781C">
        <w:rPr>
          <w:rtl/>
        </w:rPr>
        <w:t>فعليه ، الظاهر وقوع التصحيف في عنوان « القاسم النهدي » وأنّ الصواب « الهيثم النهدي »</w:t>
      </w:r>
      <w:r>
        <w:rPr>
          <w:rtl/>
        </w:rPr>
        <w:t>.</w:t>
      </w:r>
    </w:p>
    <w:p w:rsidR="000C39D1" w:rsidRPr="00132E65" w:rsidRDefault="000C39D1" w:rsidP="000C39D1">
      <w:pPr>
        <w:pStyle w:val="libFootnote0"/>
        <w:rPr>
          <w:rtl/>
          <w:lang w:bidi="fa-IR"/>
        </w:rPr>
      </w:pPr>
      <w:r>
        <w:rPr>
          <w:rtl/>
        </w:rPr>
        <w:t>(8).</w:t>
      </w:r>
      <w:r w:rsidRPr="00132E65">
        <w:rPr>
          <w:rtl/>
        </w:rPr>
        <w:t xml:space="preserve"> في البصائر : « عمرة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رَجُلٌ مِنْ و</w:t>
      </w:r>
      <w:r w:rsidR="004D1418">
        <w:rPr>
          <w:rFonts w:hint="cs"/>
          <w:rtl/>
          <w:lang w:bidi="fa-IR"/>
        </w:rPr>
        <w:t>ُ</w:t>
      </w:r>
      <w:r w:rsidRPr="00132E65">
        <w:rPr>
          <w:rtl/>
          <w:lang w:bidi="fa-IR"/>
        </w:rPr>
        <w:t xml:space="preserve">لْدِ الزُّبَيْرِ كَانَ يَقُولُ بِإِمَامَتِهِ </w:t>
      </w:r>
      <w:r>
        <w:rPr>
          <w:rStyle w:val="libFootnotenumChar"/>
          <w:rtl/>
        </w:rPr>
        <w:t>(1)</w:t>
      </w:r>
      <w:r>
        <w:rPr>
          <w:rtl/>
          <w:lang w:bidi="fa-IR"/>
        </w:rPr>
        <w:t xml:space="preserve"> - </w:t>
      </w:r>
      <w:r w:rsidRPr="00132E65">
        <w:rPr>
          <w:rtl/>
          <w:lang w:bidi="fa-IR"/>
        </w:rPr>
        <w:t xml:space="preserve">فَنَزَلُوا فِي مَنْهَلٍ </w:t>
      </w:r>
      <w:r>
        <w:rPr>
          <w:rStyle w:val="libFootnotenumChar"/>
          <w:rtl/>
        </w:rPr>
        <w:t>(2)</w:t>
      </w:r>
      <w:r w:rsidRPr="00132E65">
        <w:rPr>
          <w:rtl/>
          <w:lang w:bidi="fa-IR"/>
        </w:rPr>
        <w:t xml:space="preserve"> مِنْ تِلْكَ الْمَنَاهِلِ </w:t>
      </w:r>
      <w:r>
        <w:rPr>
          <w:rStyle w:val="libFootnotenumChar"/>
          <w:rtl/>
        </w:rPr>
        <w:t>(3)</w:t>
      </w:r>
      <w:r w:rsidRPr="00132E65">
        <w:rPr>
          <w:rtl/>
          <w:lang w:bidi="fa-IR"/>
        </w:rPr>
        <w:t xml:space="preserve"> تَحْتَ نَخْلٍ يَابِسٍ قَدْ يَبِسَ مِنَ الْعَطَشِ </w:t>
      </w:r>
      <w:r>
        <w:rPr>
          <w:rStyle w:val="libFootnotenumChar"/>
          <w:rtl/>
        </w:rPr>
        <w:t>(4)</w:t>
      </w:r>
      <w:r w:rsidRPr="00132E65">
        <w:rPr>
          <w:rtl/>
          <w:lang w:bidi="fa-IR"/>
        </w:rPr>
        <w:t xml:space="preserve"> ، فَفُرِشَ لِلْحَسَنِ </w:t>
      </w:r>
      <w:r w:rsidRPr="00071CF9">
        <w:rPr>
          <w:rStyle w:val="libAlaemChar"/>
          <w:rtl/>
        </w:rPr>
        <w:t>عليه‌السلام</w:t>
      </w:r>
      <w:r w:rsidRPr="00132E65">
        <w:rPr>
          <w:rtl/>
          <w:lang w:bidi="fa-IR"/>
        </w:rPr>
        <w:t xml:space="preserve"> تَحْتَ نَخْلَةٍ ، و</w:t>
      </w:r>
      <w:r w:rsidR="006B1E32">
        <w:rPr>
          <w:rFonts w:hint="cs"/>
          <w:rtl/>
          <w:lang w:bidi="fa-IR"/>
        </w:rPr>
        <w:t xml:space="preserve">َ </w:t>
      </w:r>
      <w:r w:rsidRPr="00132E65">
        <w:rPr>
          <w:rtl/>
          <w:lang w:bidi="fa-IR"/>
        </w:rPr>
        <w:t xml:space="preserve">فُرِشَ لِلزُّبَيْرِيِّ بِحِذَاهُ </w:t>
      </w:r>
      <w:r>
        <w:rPr>
          <w:rStyle w:val="libFootnotenumChar"/>
          <w:rtl/>
        </w:rPr>
        <w:t>(5)</w:t>
      </w:r>
      <w:r w:rsidRPr="00132E65">
        <w:rPr>
          <w:rtl/>
          <w:lang w:bidi="fa-IR"/>
        </w:rPr>
        <w:t xml:space="preserve"> تَحْتَ نَخْلَةٍ أُخْرى »</w:t>
      </w:r>
      <w:r>
        <w:rPr>
          <w:rtl/>
          <w:lang w:bidi="fa-IR"/>
        </w:rPr>
        <w:t>.</w:t>
      </w:r>
    </w:p>
    <w:p w:rsidR="000C39D1" w:rsidRPr="00132E65" w:rsidRDefault="000C39D1" w:rsidP="000C39D1">
      <w:pPr>
        <w:pStyle w:val="libNormal"/>
        <w:rPr>
          <w:rtl/>
          <w:lang w:bidi="fa-IR"/>
        </w:rPr>
      </w:pPr>
      <w:r w:rsidRPr="00132E65">
        <w:rPr>
          <w:rtl/>
          <w:lang w:bidi="fa-IR"/>
        </w:rPr>
        <w:t>قَالَ : « فَقَالَ الزُّبَيْرِيُّ</w:t>
      </w:r>
      <w:r>
        <w:rPr>
          <w:rtl/>
          <w:lang w:bidi="fa-IR"/>
        </w:rPr>
        <w:t xml:space="preserve"> - </w:t>
      </w:r>
      <w:r w:rsidRPr="00132E65">
        <w:rPr>
          <w:rtl/>
          <w:lang w:bidi="fa-IR"/>
        </w:rPr>
        <w:t>و</w:t>
      </w:r>
      <w:r w:rsidR="006B1E32">
        <w:rPr>
          <w:rFonts w:hint="cs"/>
          <w:rtl/>
          <w:lang w:bidi="fa-IR"/>
        </w:rPr>
        <w:t>َ</w:t>
      </w:r>
      <w:r w:rsidRPr="00132E65">
        <w:rPr>
          <w:rtl/>
          <w:lang w:bidi="fa-IR"/>
        </w:rPr>
        <w:t>رَفَعَ رَأْسَهُ</w:t>
      </w:r>
      <w:r>
        <w:rPr>
          <w:rtl/>
          <w:lang w:bidi="fa-IR"/>
        </w:rPr>
        <w:t xml:space="preserve"> - </w:t>
      </w:r>
      <w:r w:rsidRPr="00132E65">
        <w:rPr>
          <w:rtl/>
          <w:lang w:bidi="fa-IR"/>
        </w:rPr>
        <w:t xml:space="preserve">: لَوْ كَانَ فِي هذَا النَّخْلِ رُطَبٌ لَأَكَلْنَا مِنْهُ </w:t>
      </w:r>
      <w:r>
        <w:rPr>
          <w:rStyle w:val="libFootnotenumChar"/>
          <w:rtl/>
        </w:rPr>
        <w:t>(6)</w:t>
      </w:r>
      <w:r w:rsidRPr="00132E65">
        <w:rPr>
          <w:rtl/>
          <w:lang w:bidi="fa-IR"/>
        </w:rPr>
        <w:t xml:space="preserve"> ، فَقَالَ لَهُ الْحَسَنُ </w:t>
      </w:r>
      <w:r w:rsidRPr="00071CF9">
        <w:rPr>
          <w:rStyle w:val="libAlaemChar"/>
          <w:rtl/>
        </w:rPr>
        <w:t>عليه‌السلام</w:t>
      </w:r>
      <w:r w:rsidRPr="00132E65">
        <w:rPr>
          <w:rtl/>
          <w:lang w:bidi="fa-IR"/>
        </w:rPr>
        <w:t xml:space="preserve"> : و</w:t>
      </w:r>
      <w:r w:rsidR="006B1E32">
        <w:rPr>
          <w:rFonts w:hint="cs"/>
          <w:rtl/>
          <w:lang w:bidi="fa-IR"/>
        </w:rPr>
        <w:t xml:space="preserve">َ </w:t>
      </w:r>
      <w:r w:rsidRPr="00132E65">
        <w:rPr>
          <w:rtl/>
          <w:lang w:bidi="fa-IR"/>
        </w:rPr>
        <w:t>إِنَّكَ لَتَشْتَهِي الرُّطَبَ</w:t>
      </w:r>
      <w:r>
        <w:rPr>
          <w:rtl/>
          <w:lang w:bidi="fa-IR"/>
        </w:rPr>
        <w:t>؟</w:t>
      </w:r>
      <w:r w:rsidRPr="00132E65">
        <w:rPr>
          <w:rtl/>
          <w:lang w:bidi="fa-IR"/>
        </w:rPr>
        <w:t xml:space="preserve"> فَقَالَ الزُّبَيْرِيُّ : نَعَمْ »</w:t>
      </w:r>
      <w:r>
        <w:rPr>
          <w:rtl/>
          <w:lang w:bidi="fa-IR"/>
        </w:rPr>
        <w:t>.</w:t>
      </w:r>
    </w:p>
    <w:p w:rsidR="000C39D1" w:rsidRPr="00132E65" w:rsidRDefault="000C39D1" w:rsidP="000C39D1">
      <w:pPr>
        <w:pStyle w:val="libNormal"/>
        <w:rPr>
          <w:rtl/>
          <w:lang w:bidi="fa-IR"/>
        </w:rPr>
      </w:pPr>
      <w:r w:rsidRPr="00132E65">
        <w:rPr>
          <w:rtl/>
          <w:lang w:bidi="fa-IR"/>
        </w:rPr>
        <w:t xml:space="preserve">قَالَ : « فَرَفَعَ </w:t>
      </w:r>
      <w:r>
        <w:rPr>
          <w:rStyle w:val="libFootnotenumChar"/>
          <w:rtl/>
        </w:rPr>
        <w:t>(7)</w:t>
      </w:r>
      <w:r w:rsidRPr="00132E65">
        <w:rPr>
          <w:rtl/>
          <w:lang w:bidi="fa-IR"/>
        </w:rPr>
        <w:t xml:space="preserve"> يَدَهُ إِلَى السَّمَاءِ ، فَدَعَا بِكَلَامٍ لَمْ أَفْهَمْهُ </w:t>
      </w:r>
      <w:r>
        <w:rPr>
          <w:rStyle w:val="libFootnotenumChar"/>
          <w:rtl/>
        </w:rPr>
        <w:t>(8)</w:t>
      </w:r>
      <w:r w:rsidRPr="00132E65">
        <w:rPr>
          <w:rtl/>
          <w:lang w:bidi="fa-IR"/>
        </w:rPr>
        <w:t xml:space="preserve"> ، فَاخْضَرَّتِ النَّخْلَةُ ، ثُمَّ صَارَتْ إِلى حَالِهَا ، فَأَوْرَقَتْ ، و</w:t>
      </w:r>
      <w:r w:rsidR="006B1E32">
        <w:rPr>
          <w:rFonts w:hint="cs"/>
          <w:rtl/>
          <w:lang w:bidi="fa-IR"/>
        </w:rPr>
        <w:t xml:space="preserve">َ </w:t>
      </w:r>
      <w:r w:rsidRPr="00132E65">
        <w:rPr>
          <w:rtl/>
          <w:lang w:bidi="fa-IR"/>
        </w:rPr>
        <w:t xml:space="preserve">حَمَلَتْ رُطَباً ، فَقَالَ </w:t>
      </w:r>
      <w:r>
        <w:rPr>
          <w:rStyle w:val="libFootnotenumChar"/>
          <w:rtl/>
        </w:rPr>
        <w:t>(9)</w:t>
      </w:r>
      <w:r w:rsidRPr="00132E65">
        <w:rPr>
          <w:rtl/>
          <w:lang w:bidi="fa-IR"/>
        </w:rPr>
        <w:t xml:space="preserve"> الْجَمَّالُ الَّذِي اكْتَرَوْا مِنْهُ : سِحْرٌ </w:t>
      </w:r>
      <w:r>
        <w:rPr>
          <w:rStyle w:val="libFootnotenumChar"/>
          <w:rtl/>
        </w:rPr>
        <w:t>(10)</w:t>
      </w:r>
      <w:r w:rsidRPr="00132E65">
        <w:rPr>
          <w:rtl/>
          <w:lang w:bidi="fa-IR"/>
        </w:rPr>
        <w:t xml:space="preserve"> وَ</w:t>
      </w:r>
      <w:r w:rsidR="006B1E32">
        <w:rPr>
          <w:rFonts w:hint="cs"/>
          <w:rtl/>
          <w:lang w:bidi="fa-IR"/>
        </w:rPr>
        <w:t xml:space="preserve"> </w:t>
      </w:r>
      <w:r w:rsidRPr="00132E65">
        <w:rPr>
          <w:rtl/>
          <w:lang w:bidi="fa-IR"/>
        </w:rPr>
        <w:t>اللهِ »</w:t>
      </w:r>
      <w:r>
        <w:rPr>
          <w:rtl/>
          <w:lang w:bidi="fa-IR"/>
        </w:rPr>
        <w:t>.</w:t>
      </w:r>
    </w:p>
    <w:p w:rsidR="000C39D1" w:rsidRPr="00132E65" w:rsidRDefault="000C39D1" w:rsidP="000C39D1">
      <w:pPr>
        <w:pStyle w:val="libNormal"/>
        <w:rPr>
          <w:rtl/>
          <w:lang w:bidi="fa-IR"/>
        </w:rPr>
      </w:pPr>
      <w:r w:rsidRPr="00132E65">
        <w:rPr>
          <w:rtl/>
          <w:lang w:bidi="fa-IR"/>
        </w:rPr>
        <w:t xml:space="preserve">قَالَ : « فَقَالَ </w:t>
      </w:r>
      <w:r>
        <w:rPr>
          <w:rStyle w:val="libFootnotenumChar"/>
          <w:rtl/>
        </w:rPr>
        <w:t>(11)</w:t>
      </w:r>
      <w:r w:rsidRPr="00132E65">
        <w:rPr>
          <w:rtl/>
          <w:lang w:bidi="fa-IR"/>
        </w:rPr>
        <w:t xml:space="preserve"> الْحَسَنُ </w:t>
      </w:r>
      <w:r w:rsidRPr="00071CF9">
        <w:rPr>
          <w:rStyle w:val="libAlaemChar"/>
          <w:rtl/>
        </w:rPr>
        <w:t>عليه‌السلام</w:t>
      </w:r>
      <w:r w:rsidRPr="00132E65">
        <w:rPr>
          <w:rtl/>
          <w:lang w:bidi="fa-IR"/>
        </w:rPr>
        <w:t xml:space="preserve"> : و</w:t>
      </w:r>
      <w:r w:rsidR="006B1E32">
        <w:rPr>
          <w:rFonts w:hint="cs"/>
          <w:rtl/>
          <w:lang w:bidi="fa-IR"/>
        </w:rPr>
        <w:t>َ</w:t>
      </w:r>
      <w:r w:rsidRPr="00132E65">
        <w:rPr>
          <w:rtl/>
          <w:lang w:bidi="fa-IR"/>
        </w:rPr>
        <w:t>يْلَكَ ، لَيْسَ بِسِحْرٍ ، و</w:t>
      </w:r>
      <w:r w:rsidR="006B1E32">
        <w:rPr>
          <w:rFonts w:hint="cs"/>
          <w:rtl/>
          <w:lang w:bidi="fa-IR"/>
        </w:rPr>
        <w:t xml:space="preserve">َ </w:t>
      </w:r>
      <w:r w:rsidRPr="00132E65">
        <w:rPr>
          <w:rtl/>
          <w:lang w:bidi="fa-IR"/>
        </w:rPr>
        <w:t xml:space="preserve">لكِنْ دَعْوَةُ ابْنِ نَبِيٍّ مُسْتَجَابَةٌ </w:t>
      </w:r>
      <w:r>
        <w:rPr>
          <w:rStyle w:val="libFootnotenumChar"/>
          <w:rtl/>
        </w:rPr>
        <w:t>(12)</w:t>
      </w:r>
      <w:r w:rsidRPr="00132E65">
        <w:rPr>
          <w:rtl/>
          <w:lang w:bidi="fa-IR"/>
        </w:rPr>
        <w:t xml:space="preserve"> »</w:t>
      </w:r>
      <w:r>
        <w:rPr>
          <w:rtl/>
          <w:lang w:bidi="fa-IR"/>
        </w:rPr>
        <w:t>.</w:t>
      </w:r>
    </w:p>
    <w:p w:rsidR="000C39D1" w:rsidRPr="00132E65" w:rsidRDefault="000C39D1" w:rsidP="006B1E32">
      <w:pPr>
        <w:pStyle w:val="libNormal"/>
        <w:rPr>
          <w:rtl/>
          <w:lang w:bidi="fa-IR"/>
        </w:rPr>
      </w:pPr>
      <w:r w:rsidRPr="00132E65">
        <w:rPr>
          <w:rtl/>
          <w:lang w:bidi="fa-IR"/>
        </w:rPr>
        <w:t xml:space="preserve">قَالَ : « فَصَعِدُوا إِلَى </w:t>
      </w:r>
      <w:r w:rsidRPr="00F543F1">
        <w:rPr>
          <w:rStyle w:val="libFootnotenumChar"/>
          <w:rtl/>
        </w:rPr>
        <w:t>(13)</w:t>
      </w:r>
      <w:r w:rsidRPr="00132E65">
        <w:rPr>
          <w:rtl/>
          <w:lang w:bidi="fa-IR"/>
        </w:rPr>
        <w:t xml:space="preserve"> النَّخْلَةِ ، فَصَرَمُوا </w:t>
      </w:r>
      <w:r w:rsidRPr="00F543F1">
        <w:rPr>
          <w:rStyle w:val="libFootnotenumChar"/>
          <w:rtl/>
        </w:rPr>
        <w:t>(14)</w:t>
      </w:r>
      <w:r w:rsidRPr="00132E65">
        <w:rPr>
          <w:rtl/>
          <w:lang w:bidi="fa-IR"/>
        </w:rPr>
        <w:t xml:space="preserve"> مَا كَانَ فِيهَا </w:t>
      </w:r>
      <w:r w:rsidRPr="00F543F1">
        <w:rPr>
          <w:rStyle w:val="libFootnotenumChar"/>
          <w:rtl/>
        </w:rPr>
        <w:t>(15)</w:t>
      </w:r>
      <w:r w:rsidRPr="00132E65">
        <w:rPr>
          <w:rtl/>
          <w:lang w:bidi="fa-IR"/>
        </w:rPr>
        <w:t>،</w:t>
      </w:r>
      <w:r w:rsidR="006B1E32">
        <w:rPr>
          <w:rFonts w:hint="cs"/>
          <w:rtl/>
          <w:lang w:bidi="fa-IR"/>
        </w:rPr>
        <w:t xml:space="preserve"> ........................</w:t>
      </w:r>
      <w:r w:rsidR="006B1E32">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w:t>
      </w:r>
      <w:r>
        <w:rPr>
          <w:rtl/>
        </w:rPr>
        <w:t xml:space="preserve"> + </w:t>
      </w:r>
      <w:r w:rsidRPr="00132E65">
        <w:rPr>
          <w:rtl/>
        </w:rPr>
        <w:t>« قال »</w:t>
      </w:r>
      <w:r>
        <w:rPr>
          <w:rtl/>
        </w:rPr>
        <w:t>.</w:t>
      </w:r>
    </w:p>
    <w:p w:rsidR="000C39D1" w:rsidRPr="00132E65" w:rsidRDefault="000C39D1" w:rsidP="006B1E32">
      <w:pPr>
        <w:pStyle w:val="libFootnote0"/>
        <w:rPr>
          <w:rtl/>
          <w:lang w:bidi="fa-IR"/>
        </w:rPr>
      </w:pPr>
      <w:r>
        <w:rPr>
          <w:rtl/>
        </w:rPr>
        <w:t>(2).</w:t>
      </w:r>
      <w:r w:rsidRPr="00132E65">
        <w:rPr>
          <w:rtl/>
        </w:rPr>
        <w:t xml:space="preserve"> قال الجوهري : « الم</w:t>
      </w:r>
      <w:r w:rsidR="006B1E32">
        <w:rPr>
          <w:rFonts w:hint="cs"/>
          <w:rtl/>
        </w:rPr>
        <w:t>ـ</w:t>
      </w:r>
      <w:r w:rsidR="006B1E32" w:rsidRPr="00132E65">
        <w:rPr>
          <w:rtl/>
        </w:rPr>
        <w:t>َ</w:t>
      </w:r>
      <w:r w:rsidRPr="00132E65">
        <w:rPr>
          <w:rtl/>
        </w:rPr>
        <w:t>نْهَلُ : المَوْرِدُ ، وهو عين ماء ترده الإبلُ في المراعي. وتسمّى المنازل التي في المفاوز على طرق السُفّار : مناهلَ ؛ لأنّ فيها ماءً »</w:t>
      </w:r>
      <w:r>
        <w:rPr>
          <w:rtl/>
        </w:rPr>
        <w:t>.</w:t>
      </w:r>
      <w:r w:rsidRPr="00132E65">
        <w:rPr>
          <w:rtl/>
        </w:rPr>
        <w:t xml:space="preserve"> وقال ابن الأثير : « </w:t>
      </w:r>
      <w:r w:rsidR="006B1E32" w:rsidRPr="00132E65">
        <w:rPr>
          <w:rtl/>
        </w:rPr>
        <w:t>الم</w:t>
      </w:r>
      <w:r w:rsidR="006B1E32">
        <w:rPr>
          <w:rFonts w:hint="cs"/>
          <w:rtl/>
        </w:rPr>
        <w:t>ـ</w:t>
      </w:r>
      <w:r w:rsidR="006B1E32" w:rsidRPr="00132E65">
        <w:rPr>
          <w:rtl/>
        </w:rPr>
        <w:t xml:space="preserve">َنْهَلُ </w:t>
      </w:r>
      <w:r w:rsidRPr="00132E65">
        <w:rPr>
          <w:rtl/>
        </w:rPr>
        <w:t>من المياه : كلّ ما يطؤه الطريق. وما كان على غير الطريق لا يدعى منهلاً ، ولكن يضاف إلى موضعه ، أو إلى من هو مختصّ به ، فيقال : مَنْهَلُ بني فلان ، أي مشربهم. وموضع نَهَلِهم ، أي شربهم »</w:t>
      </w:r>
      <w:r>
        <w:rPr>
          <w:rtl/>
        </w:rPr>
        <w:t>.</w:t>
      </w:r>
      <w:r w:rsidRPr="00132E65">
        <w:rPr>
          <w:rtl/>
        </w:rPr>
        <w:t xml:space="preserve"> راجع : </w:t>
      </w:r>
      <w:r w:rsidRPr="00381013">
        <w:rPr>
          <w:rtl/>
        </w:rPr>
        <w:t>الصحاح</w:t>
      </w:r>
      <w:r w:rsidRPr="00132E65">
        <w:rPr>
          <w:rtl/>
        </w:rPr>
        <w:t xml:space="preserve"> ، ج 5 ، ص 1837 ؛ </w:t>
      </w:r>
      <w:r w:rsidRPr="00381013">
        <w:rPr>
          <w:rtl/>
        </w:rPr>
        <w:t>النهاية</w:t>
      </w:r>
      <w:r w:rsidRPr="00132E65">
        <w:rPr>
          <w:rtl/>
        </w:rPr>
        <w:t xml:space="preserve"> ، ج 5 ، ص 138 ( نهل )</w:t>
      </w:r>
      <w:r>
        <w:rPr>
          <w:rtl/>
        </w:rPr>
        <w:t>.</w:t>
      </w:r>
    </w:p>
    <w:tbl>
      <w:tblPr>
        <w:tblStyle w:val="TableGrid"/>
        <w:bidiVisual/>
        <w:tblW w:w="0" w:type="auto"/>
        <w:tblLook w:val="04A0" w:firstRow="1" w:lastRow="0" w:firstColumn="1" w:lastColumn="0" w:noHBand="0" w:noVBand="1"/>
      </w:tblPr>
      <w:tblGrid>
        <w:gridCol w:w="4261"/>
        <w:gridCol w:w="4262"/>
      </w:tblGrid>
      <w:tr w:rsidR="006B1E32" w:rsidTr="006B1E32">
        <w:tc>
          <w:tcPr>
            <w:tcW w:w="4261" w:type="dxa"/>
          </w:tcPr>
          <w:p w:rsidR="006B1E32" w:rsidRDefault="006B1E32" w:rsidP="000C39D1">
            <w:pPr>
              <w:pStyle w:val="libFootnote0"/>
              <w:rPr>
                <w:rtl/>
                <w:lang w:bidi="fa-IR"/>
              </w:rPr>
            </w:pPr>
            <w:r>
              <w:rPr>
                <w:rtl/>
              </w:rPr>
              <w:t>(3).</w:t>
            </w:r>
            <w:r w:rsidRPr="00132E65">
              <w:rPr>
                <w:rtl/>
              </w:rPr>
              <w:t xml:space="preserve"> في البصائر :</w:t>
            </w:r>
            <w:r>
              <w:rPr>
                <w:rtl/>
              </w:rPr>
              <w:t xml:space="preserve"> + </w:t>
            </w:r>
            <w:r w:rsidRPr="00132E65">
              <w:rPr>
                <w:rtl/>
              </w:rPr>
              <w:t>« قال : نزلوا »</w:t>
            </w:r>
            <w:r>
              <w:rPr>
                <w:rtl/>
              </w:rPr>
              <w:t>.</w:t>
            </w:r>
          </w:p>
        </w:tc>
        <w:tc>
          <w:tcPr>
            <w:tcW w:w="4262" w:type="dxa"/>
          </w:tcPr>
          <w:p w:rsidR="006B1E32" w:rsidRDefault="006B1E32" w:rsidP="000C39D1">
            <w:pPr>
              <w:pStyle w:val="libFootnote0"/>
              <w:rPr>
                <w:rtl/>
                <w:lang w:bidi="fa-IR"/>
              </w:rPr>
            </w:pPr>
            <w:r>
              <w:rPr>
                <w:rtl/>
              </w:rPr>
              <w:t>(4).</w:t>
            </w:r>
            <w:r w:rsidRPr="00132E65">
              <w:rPr>
                <w:rtl/>
              </w:rPr>
              <w:t xml:space="preserve"> في البصائر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(5).</w:t>
      </w:r>
      <w:r w:rsidRPr="00132E65">
        <w:rPr>
          <w:rtl/>
        </w:rPr>
        <w:t xml:space="preserve"> هو من تخفيف الهمزة بحذفها. وفي البصائر : « بحذائه »</w:t>
      </w:r>
      <w:r>
        <w:rPr>
          <w:rtl/>
        </w:rPr>
        <w:t>.</w:t>
      </w:r>
    </w:p>
    <w:p w:rsidR="000C39D1" w:rsidRPr="00132E65" w:rsidRDefault="000C39D1" w:rsidP="000C39D1">
      <w:pPr>
        <w:pStyle w:val="libFootnote0"/>
        <w:rPr>
          <w:rtl/>
          <w:lang w:bidi="fa-IR"/>
        </w:rPr>
      </w:pPr>
      <w:r>
        <w:rPr>
          <w:rtl/>
        </w:rPr>
        <w:t>(6).</w:t>
      </w:r>
      <w:r w:rsidRPr="00132E65">
        <w:rPr>
          <w:rtl/>
        </w:rPr>
        <w:t xml:space="preserve"> في البصائر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(7).</w:t>
      </w:r>
      <w:r w:rsidRPr="00132E65">
        <w:rPr>
          <w:rtl/>
        </w:rPr>
        <w:t xml:space="preserve"> في « ج » : « فقال رفع »</w:t>
      </w:r>
      <w:r>
        <w:rPr>
          <w:rtl/>
        </w:rPr>
        <w:t>.</w:t>
      </w:r>
      <w:r w:rsidRPr="00132E65">
        <w:rPr>
          <w:rtl/>
        </w:rPr>
        <w:t xml:space="preserve"> وفي البصائر : « قال : نعم ، فرفع الحسن </w:t>
      </w:r>
      <w:r w:rsidRPr="006B1E32">
        <w:rPr>
          <w:rStyle w:val="libFootnoteAlaemChar"/>
          <w:rtl/>
        </w:rPr>
        <w:t>عليه‌السلام</w:t>
      </w:r>
      <w:r w:rsidRPr="00132E65">
        <w:rPr>
          <w:rtl/>
        </w:rPr>
        <w:t xml:space="preserve"> » بدل « فقال الزبيري : نعم. قال : </w:t>
      </w:r>
      <w:r w:rsidR="003915A6">
        <w:rPr>
          <w:rtl/>
        </w:rPr>
        <w:t>فرفع</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6B1E32" w:rsidTr="006B1E32">
        <w:tc>
          <w:tcPr>
            <w:tcW w:w="4261" w:type="dxa"/>
          </w:tcPr>
          <w:p w:rsidR="006B1E32" w:rsidRDefault="006B1E32" w:rsidP="006B1E32">
            <w:pPr>
              <w:pStyle w:val="libFootnote0"/>
              <w:rPr>
                <w:rtl/>
              </w:rPr>
            </w:pPr>
            <w:r>
              <w:rPr>
                <w:rtl/>
              </w:rPr>
              <w:t>(8).</w:t>
            </w:r>
            <w:r w:rsidRPr="00132E65">
              <w:rPr>
                <w:rtl/>
              </w:rPr>
              <w:t>في«بس»:«لم يفهم»</w:t>
            </w:r>
            <w:r>
              <w:rPr>
                <w:rtl/>
              </w:rPr>
              <w:t>.</w:t>
            </w:r>
            <w:r w:rsidRPr="00132E65">
              <w:rPr>
                <w:rtl/>
              </w:rPr>
              <w:t>وفي البصائر:«لم يفهمه الزبيري»</w:t>
            </w:r>
            <w:r>
              <w:rPr>
                <w:rtl/>
              </w:rPr>
              <w:t>.</w:t>
            </w:r>
          </w:p>
        </w:tc>
        <w:tc>
          <w:tcPr>
            <w:tcW w:w="4262" w:type="dxa"/>
          </w:tcPr>
          <w:p w:rsidR="006B1E32" w:rsidRDefault="006B1E32" w:rsidP="006B1E32">
            <w:pPr>
              <w:pStyle w:val="libFootnote0"/>
              <w:rPr>
                <w:rtl/>
              </w:rPr>
            </w:pPr>
            <w:r>
              <w:rPr>
                <w:rtl/>
              </w:rPr>
              <w:t>(9).</w:t>
            </w:r>
            <w:r w:rsidRPr="00132E65">
              <w:rPr>
                <w:rtl/>
              </w:rPr>
              <w:t>في البصائر:«قال:فقال له»</w:t>
            </w:r>
            <w:r>
              <w:rPr>
                <w:rtl/>
              </w:rPr>
              <w:t>.</w:t>
            </w:r>
          </w:p>
        </w:tc>
      </w:tr>
    </w:tbl>
    <w:p w:rsidR="000C39D1" w:rsidRPr="00132E65" w:rsidRDefault="000C39D1" w:rsidP="000C39D1">
      <w:pPr>
        <w:pStyle w:val="libFootnote0"/>
        <w:rPr>
          <w:rtl/>
          <w:lang w:bidi="fa-IR"/>
        </w:rPr>
      </w:pPr>
      <w:r>
        <w:rPr>
          <w:rtl/>
        </w:rPr>
        <w:t>(10).</w:t>
      </w:r>
      <w:r w:rsidRPr="00132E65">
        <w:rPr>
          <w:rtl/>
        </w:rPr>
        <w:t xml:space="preserve"> « سِحْرٌ » ، خبر مبتدأ م</w:t>
      </w:r>
      <w:r w:rsidR="00415A68">
        <w:rPr>
          <w:rtl/>
        </w:rPr>
        <w:t>حذوف ، أي هذا سحر. واحتمل العل</w:t>
      </w:r>
      <w:r w:rsidR="00415A68">
        <w:rPr>
          <w:rFonts w:hint="cs"/>
          <w:rtl/>
        </w:rPr>
        <w:t>ّ</w:t>
      </w:r>
      <w:r w:rsidR="00415A68">
        <w:rPr>
          <w:rtl/>
        </w:rPr>
        <w:t>ا</w:t>
      </w:r>
      <w:r w:rsidRPr="00132E65">
        <w:rPr>
          <w:rtl/>
        </w:rPr>
        <w:t>مة المازندراني والمجلسي كونه فعلاً.</w:t>
      </w:r>
    </w:p>
    <w:tbl>
      <w:tblPr>
        <w:tblStyle w:val="TableGrid"/>
        <w:bidiVisual/>
        <w:tblW w:w="0" w:type="auto"/>
        <w:tblLook w:val="04A0" w:firstRow="1" w:lastRow="0" w:firstColumn="1" w:lastColumn="0" w:noHBand="0" w:noVBand="1"/>
      </w:tblPr>
      <w:tblGrid>
        <w:gridCol w:w="4261"/>
        <w:gridCol w:w="4262"/>
      </w:tblGrid>
      <w:tr w:rsidR="00415A68" w:rsidTr="00415A68">
        <w:tc>
          <w:tcPr>
            <w:tcW w:w="4261" w:type="dxa"/>
          </w:tcPr>
          <w:p w:rsidR="00415A68" w:rsidRDefault="00415A68" w:rsidP="000C39D1">
            <w:pPr>
              <w:pStyle w:val="libFootnote0"/>
              <w:rPr>
                <w:rtl/>
                <w:lang w:bidi="fa-IR"/>
              </w:rPr>
            </w:pPr>
            <w:r>
              <w:rPr>
                <w:rtl/>
              </w:rPr>
              <w:t>(11).</w:t>
            </w:r>
            <w:r w:rsidRPr="00132E65">
              <w:rPr>
                <w:rtl/>
              </w:rPr>
              <w:t xml:space="preserve"> في البصائر :</w:t>
            </w:r>
            <w:r>
              <w:rPr>
                <w:rtl/>
              </w:rPr>
              <w:t xml:space="preserve"> + </w:t>
            </w:r>
            <w:r w:rsidRPr="00132E65">
              <w:rPr>
                <w:rtl/>
              </w:rPr>
              <w:t>« له »</w:t>
            </w:r>
            <w:r>
              <w:rPr>
                <w:rtl/>
              </w:rPr>
              <w:t>.</w:t>
            </w:r>
          </w:p>
        </w:tc>
        <w:tc>
          <w:tcPr>
            <w:tcW w:w="4262" w:type="dxa"/>
          </w:tcPr>
          <w:p w:rsidR="00415A68" w:rsidRDefault="00415A68" w:rsidP="000C39D1">
            <w:pPr>
              <w:pStyle w:val="libFootnote0"/>
              <w:rPr>
                <w:rtl/>
                <w:lang w:bidi="fa-IR"/>
              </w:rPr>
            </w:pPr>
            <w:r>
              <w:rPr>
                <w:rtl/>
              </w:rPr>
              <w:t>(12).</w:t>
            </w:r>
            <w:r w:rsidRPr="00132E65">
              <w:rPr>
                <w:rtl/>
              </w:rPr>
              <w:t xml:space="preserve"> في البصائر : « مجابة »</w:t>
            </w:r>
            <w:r>
              <w:rPr>
                <w:rtl/>
              </w:rPr>
              <w:t>.</w:t>
            </w:r>
          </w:p>
        </w:tc>
      </w:tr>
    </w:tbl>
    <w:p w:rsidR="000C39D1" w:rsidRPr="00132E65" w:rsidRDefault="000C39D1" w:rsidP="000C39D1">
      <w:pPr>
        <w:pStyle w:val="libFootnote0"/>
        <w:rPr>
          <w:rtl/>
          <w:lang w:bidi="fa-IR"/>
        </w:rPr>
      </w:pPr>
      <w:r>
        <w:rPr>
          <w:rtl/>
        </w:rPr>
        <w:t>(13)</w:t>
      </w:r>
      <w:r w:rsidRPr="00132E65">
        <w:rPr>
          <w:rtl/>
        </w:rPr>
        <w:t xml:space="preserve"> في « ف » </w:t>
      </w:r>
      <w:r>
        <w:rPr>
          <w:rtl/>
        </w:rPr>
        <w:t xml:space="preserve">: - </w:t>
      </w:r>
      <w:r w:rsidRPr="00132E65">
        <w:rPr>
          <w:rtl/>
        </w:rPr>
        <w:t>« إلى »</w:t>
      </w:r>
      <w:r>
        <w:rPr>
          <w:rtl/>
        </w:rPr>
        <w:t>.</w:t>
      </w:r>
    </w:p>
    <w:p w:rsidR="000C39D1" w:rsidRPr="00132E65" w:rsidRDefault="000C39D1" w:rsidP="000C39D1">
      <w:pPr>
        <w:pStyle w:val="libFootnote0"/>
        <w:rPr>
          <w:rtl/>
          <w:lang w:bidi="fa-IR"/>
        </w:rPr>
      </w:pPr>
      <w:r>
        <w:rPr>
          <w:rtl/>
        </w:rPr>
        <w:t>(14)</w:t>
      </w:r>
      <w:r w:rsidRPr="00132E65">
        <w:rPr>
          <w:rtl/>
        </w:rPr>
        <w:t xml:space="preserve"> « فَصَرَمُوا » ، أي قطعوا ثمرها ؛ من الصِرام ، وهو قطع الثمرة واجتناؤها من النخلة. راجع : </w:t>
      </w:r>
      <w:r w:rsidRPr="00381013">
        <w:rPr>
          <w:rtl/>
        </w:rPr>
        <w:t>النهاية</w:t>
      </w:r>
      <w:r w:rsidRPr="00132E65">
        <w:rPr>
          <w:rtl/>
        </w:rPr>
        <w:t xml:space="preserve"> ، ج 3 ، ص 26 ( صرم )</w:t>
      </w:r>
      <w:r>
        <w:rPr>
          <w:rtl/>
        </w:rPr>
        <w:t>.</w:t>
      </w:r>
    </w:p>
    <w:p w:rsidR="000C39D1" w:rsidRPr="00132E65" w:rsidRDefault="000C39D1" w:rsidP="000C39D1">
      <w:pPr>
        <w:pStyle w:val="libFootnote0"/>
        <w:rPr>
          <w:rtl/>
          <w:lang w:bidi="fa-IR"/>
        </w:rPr>
      </w:pPr>
      <w:r>
        <w:rPr>
          <w:rtl/>
        </w:rPr>
        <w:t>(15)</w:t>
      </w:r>
      <w:r w:rsidRPr="00132E65">
        <w:rPr>
          <w:rtl/>
        </w:rPr>
        <w:t xml:space="preserve"> هكذا في « ب ، ج ، ض ، ف ، بر ، بس ، بف » و</w:t>
      </w:r>
      <w:r w:rsidRPr="009D1ACE">
        <w:rPr>
          <w:rStyle w:val="libFootnoteBoldChar"/>
          <w:rtl/>
        </w:rPr>
        <w:t>الوافي</w:t>
      </w:r>
      <w:r w:rsidRPr="00132E65">
        <w:rPr>
          <w:rtl/>
        </w:rPr>
        <w:t>. وفي « بح » والمطبوع : « فيه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فَكَفَاهُمْ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381013">
        <w:rPr>
          <w:rtl/>
        </w:rPr>
        <w:t>1258</w:t>
      </w:r>
      <w:r w:rsidRPr="004325D8">
        <w:rPr>
          <w:rStyle w:val="libBold2Char"/>
          <w:rtl/>
        </w:rPr>
        <w:t xml:space="preserve"> / 5.</w:t>
      </w:r>
      <w:r w:rsidRPr="00132E65">
        <w:rPr>
          <w:rtl/>
          <w:lang w:bidi="fa-IR"/>
        </w:rPr>
        <w:t xml:space="preserve"> أَحْمَدُ بْنُ مُحَمَّدٍ و</w:t>
      </w:r>
      <w:r w:rsidR="00F47F7E">
        <w:rPr>
          <w:rFonts w:hint="cs"/>
          <w:rtl/>
          <w:lang w:bidi="fa-IR"/>
        </w:rPr>
        <w:t xml:space="preserve">َ </w:t>
      </w:r>
      <w:r w:rsidRPr="00132E65">
        <w:rPr>
          <w:rtl/>
          <w:lang w:bidi="fa-IR"/>
        </w:rPr>
        <w:t>مُحَمَّدُ بْنُ يَحْيى ، عَنْ مُحَمَّدِ بْنِ الْحَسَنِ ، عَنْ يَعْقُوبَ بْنِ يَزِيدَ ، عَنِ ابْنِ أَبِي عُمَيْرٍ ، عَنْ رِجَالِهِ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الْحَسَنَ </w:t>
      </w:r>
      <w:r>
        <w:rPr>
          <w:rStyle w:val="libFootnotenumChar"/>
          <w:rtl/>
        </w:rPr>
        <w:t>(3)</w:t>
      </w:r>
      <w:r w:rsidRPr="00132E65">
        <w:rPr>
          <w:rtl/>
          <w:lang w:bidi="fa-IR"/>
        </w:rPr>
        <w:t xml:space="preserve"> </w:t>
      </w:r>
      <w:r w:rsidRPr="00071CF9">
        <w:rPr>
          <w:rStyle w:val="libAlaemChar"/>
          <w:rtl/>
        </w:rPr>
        <w:t>عليه‌السلام</w:t>
      </w:r>
      <w:r w:rsidRPr="00132E65">
        <w:rPr>
          <w:rtl/>
          <w:lang w:bidi="fa-IR"/>
        </w:rPr>
        <w:t xml:space="preserve"> قَالَ : إِنَّ لِلّهِ مَدِينَتَيْنِ : إِحْدَاهُمَا بِالْمَشْرِقِ ، و</w:t>
      </w:r>
      <w:r w:rsidR="00F47F7E">
        <w:rPr>
          <w:rFonts w:hint="cs"/>
          <w:rtl/>
          <w:lang w:bidi="fa-IR"/>
        </w:rPr>
        <w:t xml:space="preserve">َ </w:t>
      </w:r>
      <w:r w:rsidRPr="00132E65">
        <w:rPr>
          <w:rtl/>
          <w:lang w:bidi="fa-IR"/>
        </w:rPr>
        <w:t xml:space="preserve">الْأُخْرى بِالْمَغْرِبِ ، عَلَيْهِمَا سُورٌ </w:t>
      </w:r>
      <w:r>
        <w:rPr>
          <w:rStyle w:val="libFootnotenumChar"/>
          <w:rtl/>
        </w:rPr>
        <w:t>(4)</w:t>
      </w:r>
      <w:r w:rsidRPr="00132E65">
        <w:rPr>
          <w:rtl/>
          <w:lang w:bidi="fa-IR"/>
        </w:rPr>
        <w:t xml:space="preserve"> مِنْ حَدِيدٍ ، و</w:t>
      </w:r>
      <w:r w:rsidR="00F47F7E">
        <w:rPr>
          <w:rFonts w:hint="cs"/>
          <w:rtl/>
          <w:lang w:bidi="fa-IR"/>
        </w:rPr>
        <w:t xml:space="preserve">َ </w:t>
      </w:r>
      <w:r w:rsidRPr="00132E65">
        <w:rPr>
          <w:rtl/>
          <w:lang w:bidi="fa-IR"/>
        </w:rPr>
        <w:t>عَلى كُلِّ و</w:t>
      </w:r>
      <w:r w:rsidR="00F47F7E">
        <w:rPr>
          <w:rFonts w:hint="cs"/>
          <w:rtl/>
          <w:lang w:bidi="fa-IR"/>
        </w:rPr>
        <w:t>َ</w:t>
      </w:r>
      <w:r w:rsidRPr="00132E65">
        <w:rPr>
          <w:rtl/>
          <w:lang w:bidi="fa-IR"/>
        </w:rPr>
        <w:t xml:space="preserve">احِدٍ </w:t>
      </w:r>
      <w:r>
        <w:rPr>
          <w:rStyle w:val="libFootnotenumChar"/>
          <w:rtl/>
        </w:rPr>
        <w:t>(5)</w:t>
      </w:r>
      <w:r w:rsidRPr="00132E65">
        <w:rPr>
          <w:rtl/>
          <w:lang w:bidi="fa-IR"/>
        </w:rPr>
        <w:t xml:space="preserve"> مِنْهُمَا </w:t>
      </w:r>
      <w:r>
        <w:rPr>
          <w:rStyle w:val="libFootnotenumChar"/>
          <w:rtl/>
        </w:rPr>
        <w:t>(6)</w:t>
      </w:r>
      <w:r w:rsidRPr="00132E65">
        <w:rPr>
          <w:rtl/>
          <w:lang w:bidi="fa-IR"/>
        </w:rPr>
        <w:t xml:space="preserve"> أَلْفُ أَلْفِ مِصْرَاعٍ </w:t>
      </w:r>
      <w:r>
        <w:rPr>
          <w:rStyle w:val="libFootnotenumChar"/>
          <w:rtl/>
        </w:rPr>
        <w:t>(7)</w:t>
      </w:r>
      <w:r w:rsidRPr="00132E65">
        <w:rPr>
          <w:rtl/>
          <w:lang w:bidi="fa-IR"/>
        </w:rPr>
        <w:t xml:space="preserve"> ، و</w:t>
      </w:r>
      <w:r w:rsidR="00F47F7E">
        <w:rPr>
          <w:rFonts w:hint="cs"/>
          <w:rtl/>
          <w:lang w:bidi="fa-IR"/>
        </w:rPr>
        <w:t xml:space="preserve">َ </w:t>
      </w:r>
      <w:r w:rsidRPr="00132E65">
        <w:rPr>
          <w:rtl/>
          <w:lang w:bidi="fa-IR"/>
        </w:rPr>
        <w:t xml:space="preserve">فِيهَا </w:t>
      </w:r>
      <w:r>
        <w:rPr>
          <w:rStyle w:val="libFootnotenumChar"/>
          <w:rtl/>
        </w:rPr>
        <w:t>(8)</w:t>
      </w:r>
      <w:r w:rsidRPr="00132E65">
        <w:rPr>
          <w:rtl/>
          <w:lang w:bidi="fa-IR"/>
        </w:rPr>
        <w:t xml:space="preserve"> سَبْعُونَ أَلْفَ أَلْفِ لُغَةٍ ، يَتَكَلَّمُ </w:t>
      </w:r>
      <w:r>
        <w:rPr>
          <w:rStyle w:val="libFootnotenumChar"/>
          <w:rtl/>
        </w:rPr>
        <w:t>(9)</w:t>
      </w:r>
      <w:r w:rsidRPr="00132E65">
        <w:rPr>
          <w:rtl/>
          <w:lang w:bidi="fa-IR"/>
        </w:rPr>
        <w:t xml:space="preserve"> كُلُّ لُغَةٍ بِخِلَافِ لُغَةِ </w:t>
      </w:r>
      <w:r>
        <w:rPr>
          <w:rStyle w:val="libFootnotenumChar"/>
          <w:rtl/>
        </w:rPr>
        <w:t>(10)</w:t>
      </w:r>
      <w:r w:rsidRPr="00132E65">
        <w:rPr>
          <w:rtl/>
          <w:lang w:bidi="fa-IR"/>
        </w:rPr>
        <w:t xml:space="preserve"> صَاحِبِهَا </w:t>
      </w:r>
      <w:r>
        <w:rPr>
          <w:rStyle w:val="libFootnotenumChar"/>
          <w:rtl/>
        </w:rPr>
        <w:t>(11)</w:t>
      </w:r>
      <w:r w:rsidRPr="00132E65">
        <w:rPr>
          <w:rtl/>
          <w:lang w:bidi="fa-IR"/>
        </w:rPr>
        <w:t xml:space="preserve"> ، وَأَنَا أَعْرِفُ جَمِيعَ اللُّغَاتِ و</w:t>
      </w:r>
      <w:r w:rsidR="009A392C">
        <w:rPr>
          <w:rFonts w:hint="cs"/>
          <w:rtl/>
          <w:lang w:bidi="fa-IR"/>
        </w:rPr>
        <w:t xml:space="preserve">َ </w:t>
      </w:r>
      <w:r w:rsidRPr="00132E65">
        <w:rPr>
          <w:rtl/>
          <w:lang w:bidi="fa-IR"/>
        </w:rPr>
        <w:t>مَا فِيهِمَا و</w:t>
      </w:r>
      <w:r w:rsidR="009A392C">
        <w:rPr>
          <w:rFonts w:hint="cs"/>
          <w:rtl/>
          <w:lang w:bidi="fa-IR"/>
        </w:rPr>
        <w:t xml:space="preserve">َ </w:t>
      </w:r>
      <w:r w:rsidRPr="00132E65">
        <w:rPr>
          <w:rtl/>
          <w:lang w:bidi="fa-IR"/>
        </w:rPr>
        <w:t>مَا بَيْنَهُمَا ؛ و</w:t>
      </w:r>
      <w:r w:rsidR="009A392C">
        <w:rPr>
          <w:rFonts w:hint="cs"/>
          <w:rtl/>
          <w:lang w:bidi="fa-IR"/>
        </w:rPr>
        <w:t xml:space="preserve">َ </w:t>
      </w:r>
      <w:r w:rsidRPr="00132E65">
        <w:rPr>
          <w:rtl/>
          <w:lang w:bidi="fa-IR"/>
        </w:rPr>
        <w:t xml:space="preserve">مَا عَلَيْهِمَا </w:t>
      </w:r>
      <w:r>
        <w:rPr>
          <w:rStyle w:val="libFootnotenumChar"/>
          <w:rtl/>
        </w:rPr>
        <w:t>(12)</w:t>
      </w:r>
      <w:r w:rsidRPr="00132E65">
        <w:rPr>
          <w:rtl/>
          <w:lang w:bidi="fa-IR"/>
        </w:rPr>
        <w:t xml:space="preserve"> حُجَّةٌ غَيْرِي و</w:t>
      </w:r>
      <w:r w:rsidR="009A392C">
        <w:rPr>
          <w:rFonts w:hint="cs"/>
          <w:rtl/>
          <w:lang w:bidi="fa-IR"/>
        </w:rPr>
        <w:t xml:space="preserve">َ </w:t>
      </w:r>
      <w:r w:rsidRPr="00132E65">
        <w:rPr>
          <w:rtl/>
          <w:lang w:bidi="fa-IR"/>
        </w:rPr>
        <w:t xml:space="preserve">غَيْرُ </w:t>
      </w:r>
      <w:r w:rsidRPr="00F543F1">
        <w:rPr>
          <w:rStyle w:val="libFootnotenumChar"/>
          <w:rtl/>
        </w:rPr>
        <w:t>(13)</w:t>
      </w:r>
      <w:r w:rsidRPr="00132E65">
        <w:rPr>
          <w:rtl/>
          <w:lang w:bidi="fa-IR"/>
        </w:rPr>
        <w:t xml:space="preserve"> الْحُسَيْنِ أَخِي </w:t>
      </w:r>
      <w:r w:rsidRPr="00F543F1">
        <w:rPr>
          <w:rStyle w:val="libFootnotenumChar"/>
          <w:rtl/>
        </w:rPr>
        <w:t>(14)</w:t>
      </w:r>
      <w:r w:rsidRPr="00132E65">
        <w:rPr>
          <w:rtl/>
          <w:lang w:bidi="fa-IR"/>
        </w:rPr>
        <w:t xml:space="preserve"> »</w:t>
      </w:r>
      <w:r>
        <w:rPr>
          <w:rtl/>
          <w:lang w:bidi="fa-IR"/>
        </w:rPr>
        <w:t>.</w:t>
      </w:r>
      <w:r w:rsidRPr="00132E65">
        <w:rPr>
          <w:rtl/>
          <w:lang w:bidi="fa-IR"/>
        </w:rPr>
        <w:t xml:space="preserve">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 « حتّى يصرموا ممّا كان فيها فأكفاهم » بدل « فصرموا ما كان فيه فكفاهم »</w:t>
      </w:r>
      <w:r>
        <w:rPr>
          <w:rtl/>
        </w:rPr>
        <w:t>.</w:t>
      </w:r>
    </w:p>
    <w:p w:rsidR="000C39D1" w:rsidRPr="00132E65" w:rsidRDefault="000C39D1" w:rsidP="009A392C">
      <w:pPr>
        <w:pStyle w:val="libFootnote0"/>
        <w:rPr>
          <w:rtl/>
          <w:lang w:bidi="fa-IR"/>
        </w:rPr>
      </w:pPr>
      <w:r>
        <w:rPr>
          <w:rtl/>
        </w:rPr>
        <w:t>(2).</w:t>
      </w:r>
      <w:r w:rsidRPr="00132E65">
        <w:rPr>
          <w:rtl/>
        </w:rPr>
        <w:t xml:space="preserve"> </w:t>
      </w:r>
      <w:r w:rsidRPr="007A1104">
        <w:rPr>
          <w:rStyle w:val="libFootnoteBoldChar"/>
          <w:rtl/>
        </w:rPr>
        <w:t>بصائر الدرجات</w:t>
      </w:r>
      <w:r w:rsidRPr="00132E65">
        <w:rPr>
          <w:rtl/>
        </w:rPr>
        <w:t xml:space="preserve"> ، ص 256 ، ح 10 ، عن الهيثم النهدي ، عن إسماعيل بن مروان ، عن عبد الله الكناسي</w:t>
      </w:r>
      <w:r w:rsidR="009A392C">
        <w:rPr>
          <w:rFonts w:hint="cs"/>
          <w:rtl/>
        </w:rPr>
        <w:t>.</w:t>
      </w:r>
      <w:r w:rsidRPr="009D1ACE">
        <w:rPr>
          <w:rStyle w:val="libFootnoteBoldChar"/>
          <w:rtl/>
        </w:rPr>
        <w:t>الوافي</w:t>
      </w:r>
      <w:r w:rsidRPr="00132E65">
        <w:rPr>
          <w:rtl/>
        </w:rPr>
        <w:t xml:space="preserve"> ، ج 3 ، ص 751 ، ح 1368.</w:t>
      </w:r>
      <w:r w:rsidR="009A392C">
        <w:rPr>
          <w:rFonts w:hint="cs"/>
          <w:rtl/>
        </w:rPr>
        <w:t xml:space="preserve">                       </w:t>
      </w:r>
      <w:r>
        <w:rPr>
          <w:rtl/>
        </w:rPr>
        <w:t>(3).</w:t>
      </w:r>
      <w:r w:rsidRPr="00132E65">
        <w:rPr>
          <w:rtl/>
        </w:rPr>
        <w:t xml:space="preserve"> في حاشية « ج » :</w:t>
      </w:r>
      <w:r>
        <w:rPr>
          <w:rtl/>
        </w:rPr>
        <w:t xml:space="preserve"> + </w:t>
      </w:r>
      <w:r w:rsidRPr="00132E65">
        <w:rPr>
          <w:rtl/>
        </w:rPr>
        <w:t>« بن عليّ »</w:t>
      </w:r>
      <w:r>
        <w:rPr>
          <w:rtl/>
        </w:rPr>
        <w:t>.</w:t>
      </w:r>
    </w:p>
    <w:p w:rsidR="000C39D1" w:rsidRPr="00132E65" w:rsidRDefault="000C39D1" w:rsidP="009A392C">
      <w:pPr>
        <w:pStyle w:val="libFootnote0"/>
        <w:rPr>
          <w:rtl/>
          <w:lang w:bidi="fa-IR"/>
        </w:rPr>
      </w:pPr>
      <w:r>
        <w:rPr>
          <w:rtl/>
        </w:rPr>
        <w:t>(4).</w:t>
      </w:r>
      <w:r w:rsidRPr="00132E65">
        <w:rPr>
          <w:rtl/>
        </w:rPr>
        <w:t xml:space="preserve"> في البصائر ، ص 338 : « سوران »</w:t>
      </w:r>
      <w:r>
        <w:rPr>
          <w:rtl/>
        </w:rPr>
        <w:t>.</w:t>
      </w:r>
      <w:r w:rsidRPr="00132E65">
        <w:rPr>
          <w:rtl/>
        </w:rPr>
        <w:t xml:space="preserve"> وهو مقتضى قوله : « منهما » ؛ لرجوع</w:t>
      </w:r>
      <w:r w:rsidR="009A392C">
        <w:rPr>
          <w:rtl/>
        </w:rPr>
        <w:t xml:space="preserve"> الضمير إليه دون المدينة ، وإل</w:t>
      </w:r>
      <w:r w:rsidR="009A392C">
        <w:rPr>
          <w:rFonts w:hint="cs"/>
          <w:rtl/>
        </w:rPr>
        <w:t>ّ</w:t>
      </w:r>
      <w:r w:rsidR="009A392C">
        <w:rPr>
          <w:rtl/>
        </w:rPr>
        <w:t>ا</w:t>
      </w:r>
      <w:r w:rsidRPr="00132E65">
        <w:rPr>
          <w:rtl/>
        </w:rPr>
        <w:t xml:space="preserve"> لقال : « على كلّ واحدة »</w:t>
      </w:r>
      <w:r>
        <w:rPr>
          <w:rtl/>
        </w:rPr>
        <w:t>.</w:t>
      </w:r>
      <w:r w:rsidR="009A392C">
        <w:rPr>
          <w:rFonts w:hint="cs"/>
          <w:rtl/>
        </w:rPr>
        <w:t xml:space="preserve">                                    </w:t>
      </w:r>
      <w:r>
        <w:rPr>
          <w:rtl/>
        </w:rPr>
        <w:t>(5).</w:t>
      </w:r>
      <w:r w:rsidRPr="00132E65">
        <w:rPr>
          <w:rtl/>
        </w:rPr>
        <w:t>في البصائر،ص493:«مدينة»بدل«واحد»</w:t>
      </w:r>
      <w:r>
        <w:rPr>
          <w:rtl/>
        </w:rPr>
        <w:t>.</w:t>
      </w:r>
    </w:p>
    <w:p w:rsidR="000C39D1" w:rsidRPr="00132E65" w:rsidRDefault="000C39D1" w:rsidP="000C39D1">
      <w:pPr>
        <w:pStyle w:val="libFootnote0"/>
        <w:rPr>
          <w:rtl/>
          <w:lang w:bidi="fa-IR"/>
        </w:rPr>
      </w:pPr>
      <w:r>
        <w:rPr>
          <w:rtl/>
        </w:rPr>
        <w:t>(6).</w:t>
      </w:r>
      <w:r w:rsidRPr="00132E65">
        <w:rPr>
          <w:rtl/>
        </w:rPr>
        <w:t xml:space="preserve"> في « ب » </w:t>
      </w:r>
      <w:r>
        <w:rPr>
          <w:rtl/>
        </w:rPr>
        <w:t xml:space="preserve">: - </w:t>
      </w:r>
      <w:r w:rsidRPr="00132E65">
        <w:rPr>
          <w:rtl/>
        </w:rPr>
        <w:t>« منهما »</w:t>
      </w:r>
      <w:r>
        <w:rPr>
          <w:rtl/>
        </w:rPr>
        <w:t>.</w:t>
      </w:r>
      <w:r w:rsidRPr="00132E65">
        <w:rPr>
          <w:rtl/>
        </w:rPr>
        <w:t xml:space="preserve"> وفي البصائر ، ص 338 ، والاختصاص : « كلّ مدينة »</w:t>
      </w:r>
      <w:r>
        <w:rPr>
          <w:rtl/>
        </w:rPr>
        <w:t>.</w:t>
      </w:r>
      <w:r w:rsidRPr="00132E65">
        <w:rPr>
          <w:rtl/>
        </w:rPr>
        <w:t xml:space="preserve"> وفي البصائر ص 493 :</w:t>
      </w:r>
      <w:r>
        <w:rPr>
          <w:rtl/>
        </w:rPr>
        <w:t xml:space="preserve"> + </w:t>
      </w:r>
      <w:r w:rsidRPr="00132E65">
        <w:rPr>
          <w:rtl/>
        </w:rPr>
        <w:t>« سبعون »</w:t>
      </w:r>
      <w:r>
        <w:rPr>
          <w:rtl/>
        </w:rPr>
        <w:t>.</w:t>
      </w:r>
    </w:p>
    <w:p w:rsidR="000C39D1" w:rsidRPr="00132E65" w:rsidRDefault="000C39D1" w:rsidP="000C39D1">
      <w:pPr>
        <w:pStyle w:val="libFootnote0"/>
        <w:rPr>
          <w:rtl/>
          <w:lang w:bidi="fa-IR"/>
        </w:rPr>
      </w:pPr>
      <w:r>
        <w:rPr>
          <w:rtl/>
        </w:rPr>
        <w:t>(7).</w:t>
      </w:r>
      <w:r w:rsidRPr="00132E65">
        <w:rPr>
          <w:rtl/>
        </w:rPr>
        <w:t xml:space="preserve"> في البصائر ، ص 338 </w:t>
      </w:r>
      <w:r>
        <w:rPr>
          <w:rtl/>
        </w:rPr>
        <w:t>و 4</w:t>
      </w:r>
      <w:r w:rsidRPr="00132E65">
        <w:rPr>
          <w:rtl/>
        </w:rPr>
        <w:t>93 :</w:t>
      </w:r>
      <w:r>
        <w:rPr>
          <w:rtl/>
        </w:rPr>
        <w:t xml:space="preserve"> + </w:t>
      </w:r>
      <w:r w:rsidRPr="00132E65">
        <w:rPr>
          <w:rtl/>
        </w:rPr>
        <w:t>« من ذهب »</w:t>
      </w:r>
      <w:r>
        <w:rPr>
          <w:rtl/>
        </w:rPr>
        <w:t>.</w:t>
      </w:r>
      <w:r w:rsidRPr="00132E65">
        <w:rPr>
          <w:rtl/>
        </w:rPr>
        <w:t xml:space="preserve"> </w:t>
      </w:r>
      <w:r>
        <w:rPr>
          <w:rtl/>
        </w:rPr>
        <w:t>و «</w:t>
      </w:r>
      <w:r w:rsidRPr="00132E65">
        <w:rPr>
          <w:rtl/>
        </w:rPr>
        <w:t xml:space="preserve"> المصراع » : واحد مصراعَي الباب ، وهما بابان منصوبان‌</w:t>
      </w:r>
      <w:r w:rsidR="009A392C">
        <w:rPr>
          <w:rFonts w:hint="cs"/>
          <w:rtl/>
        </w:rPr>
        <w:t xml:space="preserve"> </w:t>
      </w:r>
      <w:r w:rsidRPr="00132E65">
        <w:rPr>
          <w:rtl/>
        </w:rPr>
        <w:t xml:space="preserve">ينضمّان جميعاً مدخلهما في الوسط من المصراعين. </w:t>
      </w:r>
      <w:r w:rsidRPr="009D1ACE">
        <w:rPr>
          <w:rStyle w:val="libFootnoteBoldChar"/>
          <w:rtl/>
        </w:rPr>
        <w:t>لسان العرب</w:t>
      </w:r>
      <w:r w:rsidRPr="00132E65">
        <w:rPr>
          <w:rtl/>
        </w:rPr>
        <w:t xml:space="preserve"> ، ج 8 ، ص 199 ( صرع )</w:t>
      </w:r>
      <w:r>
        <w:rPr>
          <w:rtl/>
        </w:rPr>
        <w:t>.</w:t>
      </w:r>
    </w:p>
    <w:p w:rsidR="000C39D1" w:rsidRPr="00132E65" w:rsidRDefault="000C39D1" w:rsidP="000C39D1">
      <w:pPr>
        <w:pStyle w:val="libFootnote0"/>
        <w:rPr>
          <w:rtl/>
          <w:lang w:bidi="fa-IR"/>
        </w:rPr>
      </w:pPr>
      <w:r>
        <w:rPr>
          <w:rtl/>
        </w:rPr>
        <w:t>(8).</w:t>
      </w:r>
      <w:r w:rsidRPr="00132E65">
        <w:rPr>
          <w:rtl/>
        </w:rPr>
        <w:t xml:space="preserve"> أي في كلّ مدينة. وفي « ض » : « فيهما »</w:t>
      </w:r>
      <w:r>
        <w:rPr>
          <w:rtl/>
        </w:rPr>
        <w:t>.</w:t>
      </w:r>
      <w:r w:rsidRPr="00132E65">
        <w:rPr>
          <w:rtl/>
        </w:rPr>
        <w:t xml:space="preserve"> وهو الأنسب. وفي الاختصاص : « مصراعين من ذهب وفيهما »</w:t>
      </w:r>
      <w:r>
        <w:rPr>
          <w:rtl/>
        </w:rPr>
        <w:t>.</w:t>
      </w:r>
    </w:p>
    <w:tbl>
      <w:tblPr>
        <w:tblStyle w:val="TableGrid"/>
        <w:bidiVisual/>
        <w:tblW w:w="0" w:type="auto"/>
        <w:tblLook w:val="04A0" w:firstRow="1" w:lastRow="0" w:firstColumn="1" w:lastColumn="0" w:noHBand="0" w:noVBand="1"/>
      </w:tblPr>
      <w:tblGrid>
        <w:gridCol w:w="4261"/>
        <w:gridCol w:w="4262"/>
      </w:tblGrid>
      <w:tr w:rsidR="009A392C" w:rsidTr="009A392C">
        <w:tc>
          <w:tcPr>
            <w:tcW w:w="4261" w:type="dxa"/>
          </w:tcPr>
          <w:p w:rsidR="009A392C" w:rsidRDefault="009A392C" w:rsidP="009A392C">
            <w:pPr>
              <w:pStyle w:val="libFootnote0"/>
              <w:rPr>
                <w:rtl/>
              </w:rPr>
            </w:pPr>
            <w:r>
              <w:rPr>
                <w:rtl/>
              </w:rPr>
              <w:t>(9).</w:t>
            </w:r>
            <w:r w:rsidRPr="00132E65">
              <w:rPr>
                <w:rtl/>
              </w:rPr>
              <w:t>في«بح»:«تتكلّم»</w:t>
            </w:r>
            <w:r>
              <w:rPr>
                <w:rtl/>
              </w:rPr>
              <w:t>.</w:t>
            </w:r>
          </w:p>
        </w:tc>
        <w:tc>
          <w:tcPr>
            <w:tcW w:w="4262" w:type="dxa"/>
          </w:tcPr>
          <w:p w:rsidR="009A392C" w:rsidRDefault="009A392C" w:rsidP="009A392C">
            <w:pPr>
              <w:pStyle w:val="libFootnote0"/>
              <w:rPr>
                <w:rtl/>
              </w:rPr>
            </w:pPr>
            <w:r>
              <w:rPr>
                <w:rtl/>
              </w:rPr>
              <w:t>(10).</w:t>
            </w:r>
            <w:r w:rsidRPr="00132E65">
              <w:rPr>
                <w:rtl/>
              </w:rPr>
              <w:t>في«ب»</w:t>
            </w:r>
            <w:r>
              <w:rPr>
                <w:rtl/>
              </w:rPr>
              <w:t>:-</w:t>
            </w:r>
            <w:r w:rsidRPr="00132E65">
              <w:rPr>
                <w:rtl/>
              </w:rPr>
              <w:t>«لغة»</w:t>
            </w:r>
            <w:r>
              <w:rPr>
                <w:rtl/>
              </w:rPr>
              <w:t>.</w:t>
            </w:r>
            <w:r w:rsidRPr="00132E65">
              <w:rPr>
                <w:rtl/>
              </w:rPr>
              <w:t>وفي حاشية«ج»:«كلام»</w:t>
            </w:r>
            <w:r>
              <w:rPr>
                <w:rtl/>
              </w:rPr>
              <w:t>.</w:t>
            </w:r>
          </w:p>
        </w:tc>
      </w:tr>
    </w:tbl>
    <w:p w:rsidR="000C39D1" w:rsidRPr="00132E65" w:rsidRDefault="000C39D1" w:rsidP="000C39D1">
      <w:pPr>
        <w:pStyle w:val="libFootnote0"/>
        <w:rPr>
          <w:rtl/>
          <w:lang w:bidi="fa-IR"/>
        </w:rPr>
      </w:pPr>
      <w:r>
        <w:rPr>
          <w:rtl/>
        </w:rPr>
        <w:t>(11).</w:t>
      </w:r>
      <w:r w:rsidRPr="00132E65">
        <w:rPr>
          <w:rtl/>
        </w:rPr>
        <w:t xml:space="preserve"> في « ب » والبصائر ص 338 </w:t>
      </w:r>
      <w:r>
        <w:rPr>
          <w:rtl/>
        </w:rPr>
        <w:t>و 4</w:t>
      </w:r>
      <w:r w:rsidRPr="00132E65">
        <w:rPr>
          <w:rtl/>
        </w:rPr>
        <w:t>93 : « صاحبه »</w:t>
      </w:r>
      <w:r>
        <w:rPr>
          <w:rtl/>
        </w:rPr>
        <w:t>.</w:t>
      </w:r>
    </w:p>
    <w:tbl>
      <w:tblPr>
        <w:tblStyle w:val="TableGrid"/>
        <w:bidiVisual/>
        <w:tblW w:w="0" w:type="auto"/>
        <w:tblLook w:val="04A0" w:firstRow="1" w:lastRow="0" w:firstColumn="1" w:lastColumn="0" w:noHBand="0" w:noVBand="1"/>
      </w:tblPr>
      <w:tblGrid>
        <w:gridCol w:w="4261"/>
        <w:gridCol w:w="4262"/>
      </w:tblGrid>
      <w:tr w:rsidR="00652660" w:rsidTr="00652660">
        <w:tc>
          <w:tcPr>
            <w:tcW w:w="4261" w:type="dxa"/>
          </w:tcPr>
          <w:p w:rsidR="00652660" w:rsidRDefault="00652660" w:rsidP="000C39D1">
            <w:pPr>
              <w:pStyle w:val="libFootnote0"/>
              <w:rPr>
                <w:rtl/>
                <w:lang w:bidi="fa-IR"/>
              </w:rPr>
            </w:pPr>
            <w:r>
              <w:rPr>
                <w:rtl/>
              </w:rPr>
              <w:t>(12).</w:t>
            </w:r>
            <w:r w:rsidRPr="00132E65">
              <w:rPr>
                <w:rtl/>
              </w:rPr>
              <w:t>في البصائر،ص 338:«عليها»</w:t>
            </w:r>
            <w:r>
              <w:rPr>
                <w:rtl/>
              </w:rPr>
              <w:t>.</w:t>
            </w:r>
          </w:p>
        </w:tc>
        <w:tc>
          <w:tcPr>
            <w:tcW w:w="4262" w:type="dxa"/>
          </w:tcPr>
          <w:p w:rsidR="00652660" w:rsidRDefault="00652660" w:rsidP="000C39D1">
            <w:pPr>
              <w:pStyle w:val="libFootnote0"/>
              <w:rPr>
                <w:rtl/>
                <w:lang w:bidi="fa-IR"/>
              </w:rPr>
            </w:pPr>
            <w:r>
              <w:rPr>
                <w:rtl/>
              </w:rPr>
              <w:t>(13)</w:t>
            </w:r>
            <w:r>
              <w:rPr>
                <w:rFonts w:hint="cs"/>
                <w:rtl/>
              </w:rPr>
              <w:t>.</w:t>
            </w:r>
            <w:r w:rsidRPr="00132E65">
              <w:rPr>
                <w:rtl/>
              </w:rPr>
              <w:t>في البصائر،ص338</w:t>
            </w:r>
            <w:r>
              <w:rPr>
                <w:rtl/>
              </w:rPr>
              <w:t>:-</w:t>
            </w:r>
            <w:r w:rsidRPr="00132E65">
              <w:rPr>
                <w:rtl/>
              </w:rPr>
              <w:t>«غير»</w:t>
            </w:r>
            <w:r>
              <w:rPr>
                <w:rtl/>
              </w:rPr>
              <w:t>.</w:t>
            </w:r>
          </w:p>
        </w:tc>
      </w:tr>
    </w:tbl>
    <w:p w:rsidR="000C39D1" w:rsidRPr="00132E65" w:rsidRDefault="000C39D1" w:rsidP="000C39D1">
      <w:pPr>
        <w:pStyle w:val="libFootnote0"/>
        <w:rPr>
          <w:rtl/>
          <w:lang w:bidi="fa-IR"/>
        </w:rPr>
      </w:pPr>
      <w:r>
        <w:rPr>
          <w:rtl/>
        </w:rPr>
        <w:t>(14)</w:t>
      </w:r>
      <w:r w:rsidR="00652660">
        <w:rPr>
          <w:rFonts w:hint="cs"/>
          <w:rtl/>
        </w:rPr>
        <w:t>.</w:t>
      </w:r>
      <w:r w:rsidRPr="00132E65">
        <w:rPr>
          <w:rtl/>
        </w:rPr>
        <w:t xml:space="preserve"> في </w:t>
      </w:r>
      <w:r w:rsidRPr="009D1ACE">
        <w:rPr>
          <w:rStyle w:val="libFootnoteBoldChar"/>
          <w:rtl/>
        </w:rPr>
        <w:t>الوافي</w:t>
      </w:r>
      <w:r w:rsidRPr="00132E65">
        <w:rPr>
          <w:rtl/>
        </w:rPr>
        <w:t xml:space="preserve"> : « كأنّ المدينتين كنايتان عن عالمي المثال المتقدّم إحداهما على الدنيا ، هو المشرقي ، والمتأخّر آخر عنها ، وهو المغربي. وكون سورهما من حديد كنايةٌ عن صلا</w:t>
      </w:r>
      <w:r w:rsidR="00542F8E">
        <w:rPr>
          <w:rtl/>
        </w:rPr>
        <w:t>بته وعدم إمكان الدخول فيهما إل</w:t>
      </w:r>
      <w:r w:rsidR="00542F8E">
        <w:rPr>
          <w:rFonts w:hint="cs"/>
          <w:rtl/>
        </w:rPr>
        <w:t>ّ</w:t>
      </w:r>
      <w:r w:rsidR="00542F8E">
        <w:rPr>
          <w:rtl/>
        </w:rPr>
        <w:t>ا</w:t>
      </w:r>
      <w:r w:rsidRPr="00132E65">
        <w:rPr>
          <w:rtl/>
        </w:rPr>
        <w:t xml:space="preserve"> عن أبوابهما. وكثرة اللغات كنايةٌ عن اختلاف الخلائق في السلائق والألسن اختلافاً لايحصى. وحجيّته وحجيّة أخيه في زمانهما ظاهرة </w:t>
      </w:r>
      <w:r w:rsidR="003915A6">
        <w:rPr>
          <w:rtl/>
        </w:rPr>
        <w:t>؛ فإنّها كانت عامّة لجميع الخلق</w:t>
      </w:r>
      <w:r w:rsidRPr="00132E65">
        <w:rPr>
          <w:rtl/>
        </w:rPr>
        <w:t>»</w:t>
      </w:r>
      <w:r>
        <w:rPr>
          <w:rtl/>
        </w:rPr>
        <w:t>.</w:t>
      </w:r>
    </w:p>
    <w:p w:rsidR="000C39D1" w:rsidRPr="00132E65" w:rsidRDefault="000C39D1" w:rsidP="000C39D1">
      <w:pPr>
        <w:pStyle w:val="libFootnote0"/>
        <w:rPr>
          <w:rtl/>
          <w:lang w:bidi="fa-IR"/>
        </w:rPr>
      </w:pPr>
      <w:r>
        <w:rPr>
          <w:rtl/>
        </w:rPr>
        <w:t>(15)</w:t>
      </w:r>
      <w:r w:rsidR="00542F8E">
        <w:rPr>
          <w:rFonts w:hint="cs"/>
          <w:rtl/>
        </w:rPr>
        <w:t>.</w:t>
      </w:r>
      <w:r w:rsidRPr="00132E65">
        <w:rPr>
          <w:rtl/>
        </w:rPr>
        <w:t xml:space="preserve"> </w:t>
      </w:r>
      <w:r w:rsidRPr="007A1104">
        <w:rPr>
          <w:rStyle w:val="libFootnoteBoldChar"/>
          <w:rtl/>
        </w:rPr>
        <w:t>بصائر الدرجات</w:t>
      </w:r>
      <w:r w:rsidRPr="00132E65">
        <w:rPr>
          <w:rtl/>
        </w:rPr>
        <w:t xml:space="preserve"> ، ص 338 ، ذيل ح 4 ؛ وص 493 ، ح 11. </w:t>
      </w:r>
      <w:r w:rsidRPr="00381013">
        <w:rPr>
          <w:rtl/>
        </w:rPr>
        <w:t>الاختصاص</w:t>
      </w:r>
      <w:r w:rsidR="00542F8E">
        <w:rPr>
          <w:rtl/>
        </w:rPr>
        <w:t xml:space="preserve"> ، ص 291 ، عن يعقوب بن يزيد</w:t>
      </w:r>
      <w:r w:rsidR="00542F8E">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81013">
        <w:rPr>
          <w:rtl/>
        </w:rPr>
        <w:t>1259</w:t>
      </w:r>
      <w:r w:rsidRPr="004325D8">
        <w:rPr>
          <w:rStyle w:val="libBold2Char"/>
          <w:rtl/>
        </w:rPr>
        <w:t xml:space="preserve"> / 6.</w:t>
      </w:r>
      <w:r w:rsidRPr="00132E65">
        <w:rPr>
          <w:rtl/>
          <w:lang w:bidi="fa-IR"/>
        </w:rPr>
        <w:t xml:space="preserve"> الْحُسَيْنُ بْنُ مُحَمَّدٍ ، عَنْ مُعَلَّى بْنِ مُحَمَّدٍ ، عَنْ أَحْمَدَ بْنِ مُحَمَّدٍ ، عَنْ مُحَمَّدِ بْنِ عَلِيِّ بْنِ النُّعْمَانِ ، عَنْ صَنْدَلٍ </w:t>
      </w:r>
      <w:r>
        <w:rPr>
          <w:rStyle w:val="libFootnotenumChar"/>
          <w:rtl/>
        </w:rPr>
        <w:t>(1)</w:t>
      </w:r>
      <w:r w:rsidRPr="00132E65">
        <w:rPr>
          <w:rtl/>
          <w:lang w:bidi="fa-IR"/>
        </w:rPr>
        <w:t xml:space="preserve"> ، عَنْ أَبِي أُسَامَةَ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خَرَجَ الْحَسَنُ بْنُ عَلِيٍّ </w:t>
      </w:r>
      <w:r w:rsidRPr="00071CF9">
        <w:rPr>
          <w:rStyle w:val="libAlaemChar"/>
          <w:rtl/>
        </w:rPr>
        <w:t>عليه‌السلام</w:t>
      </w:r>
      <w:r w:rsidRPr="00132E65">
        <w:rPr>
          <w:rtl/>
          <w:lang w:bidi="fa-IR"/>
        </w:rPr>
        <w:t xml:space="preserve"> إِلى مَكَّةَ سَنَةً مَاشِياً ، فَوَرِمَتْ قَدَمَاهُ ، فَقَالَ لَهُ بَعْضُ مَوَالِيهِ : لَوْ رَكِبْتَ لَسَكَنَ عَنْكَ ه</w:t>
      </w:r>
      <w:r w:rsidR="000644E6">
        <w:rPr>
          <w:rtl/>
          <w:lang w:bidi="fa-IR"/>
        </w:rPr>
        <w:t>ذَا الْوَرَمُ ، فَقَالَ : كَل</w:t>
      </w:r>
      <w:r w:rsidR="000644E6">
        <w:rPr>
          <w:rFonts w:hint="cs"/>
          <w:rtl/>
          <w:lang w:bidi="fa-IR"/>
        </w:rPr>
        <w:t>َّ</w:t>
      </w:r>
      <w:r w:rsidR="000644E6">
        <w:rPr>
          <w:rtl/>
          <w:lang w:bidi="fa-IR"/>
        </w:rPr>
        <w:t>ا</w:t>
      </w:r>
      <w:r w:rsidRPr="00132E65">
        <w:rPr>
          <w:rtl/>
          <w:lang w:bidi="fa-IR"/>
        </w:rPr>
        <w:t xml:space="preserve"> ، إِذَا أَتَيْنَا هذَا الْمَنْزِلَ ، فَإِنَّهُ يَسْتَقْبِلُكَ أَسْوَدُ و</w:t>
      </w:r>
      <w:r w:rsidR="00E60BCB">
        <w:rPr>
          <w:rFonts w:hint="cs"/>
          <w:rtl/>
          <w:lang w:bidi="fa-IR"/>
        </w:rPr>
        <w:t>َ</w:t>
      </w:r>
      <w:r>
        <w:rPr>
          <w:rFonts w:hint="cs"/>
          <w:rtl/>
          <w:lang w:bidi="fa-IR"/>
        </w:rPr>
        <w:t xml:space="preserve"> </w:t>
      </w:r>
      <w:r>
        <w:rPr>
          <w:rStyle w:val="libFootnotenumChar"/>
          <w:rtl/>
        </w:rPr>
        <w:t>(2)</w:t>
      </w:r>
      <w:r w:rsidRPr="00132E65">
        <w:rPr>
          <w:rtl/>
          <w:lang w:bidi="fa-IR"/>
        </w:rPr>
        <w:t xml:space="preserve"> مَعَهُ دُهْنٌ ، فَاشْتَرِ مِنْهُ ، و</w:t>
      </w:r>
      <w:r w:rsidR="00E60BCB">
        <w:rPr>
          <w:rFonts w:hint="cs"/>
          <w:rtl/>
          <w:lang w:bidi="fa-IR"/>
        </w:rPr>
        <w:t xml:space="preserve">َ </w:t>
      </w:r>
      <w:r w:rsidRPr="00132E65">
        <w:rPr>
          <w:rtl/>
          <w:lang w:bidi="fa-IR"/>
        </w:rPr>
        <w:t>لَا تُمَاكِسْهُ.</w:t>
      </w:r>
    </w:p>
    <w:p w:rsidR="000C39D1" w:rsidRDefault="000C39D1" w:rsidP="000C39D1">
      <w:pPr>
        <w:pStyle w:val="libNormal"/>
        <w:rPr>
          <w:rtl/>
          <w:lang w:bidi="fa-IR"/>
        </w:rPr>
      </w:pPr>
      <w:r w:rsidRPr="00132E65">
        <w:rPr>
          <w:rtl/>
          <w:lang w:bidi="fa-IR"/>
        </w:rPr>
        <w:t>فَقَالَ لَهُ مَوْلَاهُ : بِأَبِي أَنْتَ و</w:t>
      </w:r>
      <w:r w:rsidR="00E60BCB">
        <w:rPr>
          <w:rFonts w:hint="cs"/>
          <w:rtl/>
          <w:lang w:bidi="fa-IR"/>
        </w:rPr>
        <w:t xml:space="preserve">َ </w:t>
      </w:r>
      <w:r w:rsidRPr="00132E65">
        <w:rPr>
          <w:rtl/>
          <w:lang w:bidi="fa-IR"/>
        </w:rPr>
        <w:t xml:space="preserve">أُمِّي ، مَا قَدِمْنَا مَنْزِلاً فِيهِ أَحَدٌ يَبِيعُ هذَا الدَّوَاءَ ، فَقَالَ </w:t>
      </w:r>
      <w:r>
        <w:rPr>
          <w:rStyle w:val="libFootnotenumChar"/>
          <w:rtl/>
        </w:rPr>
        <w:t>(3)</w:t>
      </w:r>
      <w:r w:rsidRPr="00132E65">
        <w:rPr>
          <w:rtl/>
          <w:lang w:bidi="fa-IR"/>
        </w:rPr>
        <w:t xml:space="preserve"> : بَلى إِنَّهُ أَمَامَكَ دُونَ الْمَنْزِلِ ، فَسَارَا مِيلاً ، فَإِذَا هُوَ بِالْأَسْوَدِ ، فَقَالَ الْحَسَنُ </w:t>
      </w:r>
      <w:r>
        <w:rPr>
          <w:rStyle w:val="libFootnotenumChar"/>
          <w:rtl/>
        </w:rPr>
        <w:t>(4)</w:t>
      </w:r>
      <w:r w:rsidRPr="00132E65">
        <w:rPr>
          <w:rtl/>
          <w:lang w:bidi="fa-IR"/>
        </w:rPr>
        <w:t xml:space="preserve"> </w:t>
      </w:r>
      <w:r w:rsidRPr="00071CF9">
        <w:rPr>
          <w:rStyle w:val="libAlaemChar"/>
          <w:rtl/>
        </w:rPr>
        <w:t>عليه‌السلام</w:t>
      </w:r>
      <w:r w:rsidRPr="00132E65">
        <w:rPr>
          <w:rtl/>
          <w:lang w:bidi="fa-IR"/>
        </w:rPr>
        <w:t xml:space="preserve"> لِمَوْلَاهُ : دُونَكَ الرَّجُلَ ، فَخُذْ مِنْهُ الدُّهْنَ ، و</w:t>
      </w:r>
      <w:r w:rsidR="00E60BCB">
        <w:rPr>
          <w:rFonts w:hint="cs"/>
          <w:rtl/>
          <w:lang w:bidi="fa-IR"/>
        </w:rPr>
        <w:t xml:space="preserve">َ </w:t>
      </w:r>
      <w:r w:rsidRPr="00132E65">
        <w:rPr>
          <w:rtl/>
          <w:lang w:bidi="fa-IR"/>
        </w:rPr>
        <w:t>أَعْطِهِ الثَّمَنَ ، فَقَالَ الْأَسْوَدُ : يَا غُلَامُ ، لِمَنْ أَرَدْتَ هذَا الدُّهْنَ</w:t>
      </w:r>
      <w:r>
        <w:rPr>
          <w:rtl/>
          <w:lang w:bidi="fa-IR"/>
        </w:rPr>
        <w:t>؟</w:t>
      </w:r>
      <w:r w:rsidRPr="00132E65">
        <w:rPr>
          <w:rtl/>
          <w:lang w:bidi="fa-IR"/>
        </w:rPr>
        <w:t xml:space="preserve"> فَقَالَ : لِلْحَسَنِ بْنِ عَلِيٍّ </w:t>
      </w:r>
      <w:r w:rsidRPr="00071CF9">
        <w:rPr>
          <w:rStyle w:val="libAlaemChar"/>
          <w:rtl/>
        </w:rPr>
        <w:t>عليهما‌السلام</w:t>
      </w:r>
      <w:r w:rsidRPr="00132E65">
        <w:rPr>
          <w:rtl/>
          <w:lang w:bidi="fa-IR"/>
        </w:rPr>
        <w:t xml:space="preserve"> ، فَقَالَ : انْطَلِقْ بِي إِلَيْهِ ، فَانْطَلَقَ فَأَدْخَلَهُ </w:t>
      </w:r>
      <w:r>
        <w:rPr>
          <w:rStyle w:val="libFootnotenumChar"/>
          <w:rtl/>
        </w:rPr>
        <w:t>(5)</w:t>
      </w:r>
      <w:r w:rsidRPr="00132E65">
        <w:rPr>
          <w:rtl/>
          <w:lang w:bidi="fa-IR"/>
        </w:rPr>
        <w:t xml:space="preserve"> إِلَيْهِ ، فَقَالَ لَهُ : بِأَبِي أَنْتَ و</w:t>
      </w:r>
      <w:r w:rsidR="00E60BCB">
        <w:rPr>
          <w:rFonts w:hint="cs"/>
          <w:rtl/>
          <w:lang w:bidi="fa-IR"/>
        </w:rPr>
        <w:t xml:space="preserve">َ </w:t>
      </w:r>
      <w:r w:rsidRPr="00132E65">
        <w:rPr>
          <w:rtl/>
          <w:lang w:bidi="fa-IR"/>
        </w:rPr>
        <w:t>أُمِّي ، لَمْ أَعْلَمْ أ</w:t>
      </w:r>
      <w:r>
        <w:rPr>
          <w:rtl/>
          <w:lang w:bidi="fa-IR"/>
        </w:rPr>
        <w:t>َنَّكَ تَحْتَاجُ إِلى هذَا ، أَ</w:t>
      </w:r>
      <w:r w:rsidR="00E60BCB">
        <w:rPr>
          <w:rFonts w:hint="cs"/>
          <w:rtl/>
          <w:lang w:bidi="fa-IR"/>
        </w:rPr>
        <w:t xml:space="preserve"> </w:t>
      </w:r>
      <w:r w:rsidRPr="00132E65">
        <w:rPr>
          <w:rtl/>
          <w:lang w:bidi="fa-IR"/>
        </w:rPr>
        <w:t>و</w:t>
      </w:r>
      <w:r w:rsidR="00E60BCB">
        <w:rPr>
          <w:rFonts w:hint="cs"/>
          <w:rtl/>
          <w:lang w:bidi="fa-IR"/>
        </w:rPr>
        <w:t xml:space="preserve">َ </w:t>
      </w:r>
      <w:r w:rsidRPr="00132E65">
        <w:rPr>
          <w:rtl/>
          <w:lang w:bidi="fa-IR"/>
        </w:rPr>
        <w:t>تَرى ذلِكَ ، و</w:t>
      </w:r>
      <w:r w:rsidR="00E60BCB">
        <w:rPr>
          <w:rFonts w:hint="cs"/>
          <w:rtl/>
          <w:lang w:bidi="fa-IR"/>
        </w:rPr>
        <w:t>َ</w:t>
      </w:r>
      <w:r w:rsidRPr="00132E65">
        <w:rPr>
          <w:rtl/>
          <w:lang w:bidi="fa-IR"/>
        </w:rPr>
        <w:t>لَسْتُ آخُذُ لَهُ ثَمَناً ، إِنَّمَا أَنَا مَوْلَاكَ ، و</w:t>
      </w:r>
      <w:r w:rsidR="009F1DF6">
        <w:rPr>
          <w:rFonts w:hint="cs"/>
          <w:rtl/>
          <w:lang w:bidi="fa-IR"/>
        </w:rPr>
        <w:t xml:space="preserve">َ </w:t>
      </w:r>
      <w:r w:rsidRPr="00132E65">
        <w:rPr>
          <w:rtl/>
          <w:lang w:bidi="fa-IR"/>
        </w:rPr>
        <w:t xml:space="preserve">لكِنِ ادْعُ اللهَ أَنْ يَرْزُقَنِي ذَكَراً سَوِيّاً يُحِبُّكُمْ أَهْلَ الْبَيْتِ ؛ فَإِنِّي خَلَّفْتُ أَهْلِي تَمْخَضُ </w:t>
      </w:r>
      <w:r>
        <w:rPr>
          <w:rStyle w:val="libFootnotenumChar"/>
          <w:rtl/>
        </w:rPr>
        <w:t>(6)</w:t>
      </w:r>
      <w:r w:rsidRPr="00132E65">
        <w:rPr>
          <w:rtl/>
          <w:lang w:bidi="fa-IR"/>
        </w:rPr>
        <w:t xml:space="preserve"> ، فَقَالَ : انْطَلِقْ إِلى مَنْزِلِكَ ، فَقَدْ و</w:t>
      </w:r>
      <w:r w:rsidR="00925CBE">
        <w:rPr>
          <w:rFonts w:hint="cs"/>
          <w:rtl/>
          <w:lang w:bidi="fa-IR"/>
        </w:rPr>
        <w:t>َ</w:t>
      </w:r>
      <w:r w:rsidRPr="00132E65">
        <w:rPr>
          <w:rtl/>
          <w:lang w:bidi="fa-IR"/>
        </w:rPr>
        <w:t>هَبَ اللهُ لَكَ ذَكَراً سَوِيّاً ، وَهُوَ مِنْ شِيعَتِنَا »</w:t>
      </w:r>
      <w:r>
        <w:rPr>
          <w:rtl/>
          <w:lang w:bidi="fa-IR"/>
        </w:rPr>
        <w:t>.</w:t>
      </w:r>
      <w:r w:rsidRPr="00132E65">
        <w:rPr>
          <w:rtl/>
          <w:lang w:bidi="fa-IR"/>
        </w:rPr>
        <w:t xml:space="preserve"> </w:t>
      </w:r>
      <w:r>
        <w:rPr>
          <w:rStyle w:val="libFootnotenumChar"/>
          <w:rtl/>
        </w:rPr>
        <w:t>(7)</w:t>
      </w:r>
    </w:p>
    <w:p w:rsidR="000C39D1" w:rsidRPr="00132E65" w:rsidRDefault="000C39D1" w:rsidP="000C39D1">
      <w:pPr>
        <w:pStyle w:val="libLine"/>
        <w:rPr>
          <w:rtl/>
          <w:lang w:bidi="fa-IR"/>
        </w:rPr>
      </w:pPr>
      <w:r w:rsidRPr="00132E65">
        <w:rPr>
          <w:rtl/>
          <w:lang w:bidi="fa-IR"/>
        </w:rPr>
        <w:t>__________________</w:t>
      </w:r>
    </w:p>
    <w:p w:rsidR="000C39D1" w:rsidRPr="00132E65" w:rsidRDefault="00925CBE" w:rsidP="00925CBE">
      <w:pPr>
        <w:pStyle w:val="libFootnote0"/>
        <w:rPr>
          <w:rtl/>
          <w:lang w:bidi="fa-IR"/>
        </w:rPr>
      </w:pPr>
      <w:r w:rsidRPr="00925CBE">
        <w:rPr>
          <w:rFonts w:hint="cs"/>
          <w:rtl/>
        </w:rPr>
        <w:t>=</w:t>
      </w:r>
      <w:r>
        <w:rPr>
          <w:rFonts w:hint="cs"/>
          <w:rtl/>
        </w:rPr>
        <w:t xml:space="preserve"> </w:t>
      </w:r>
      <w:r w:rsidR="000C39D1" w:rsidRPr="009D1ACE">
        <w:rPr>
          <w:rStyle w:val="libFootnoteBoldChar"/>
          <w:rtl/>
        </w:rPr>
        <w:t>الوافي</w:t>
      </w:r>
      <w:r w:rsidR="000C39D1" w:rsidRPr="00132E65">
        <w:rPr>
          <w:rtl/>
        </w:rPr>
        <w:t xml:space="preserve"> ، ج 3 ، ص 752 ، ح 1370.</w:t>
      </w:r>
    </w:p>
    <w:p w:rsidR="000C39D1" w:rsidRPr="00132E65" w:rsidRDefault="000C39D1" w:rsidP="000C39D1">
      <w:pPr>
        <w:pStyle w:val="libFootnote0"/>
        <w:rPr>
          <w:rtl/>
          <w:lang w:bidi="fa-IR"/>
        </w:rPr>
      </w:pPr>
      <w:r>
        <w:rPr>
          <w:rtl/>
        </w:rPr>
        <w:t>(1).</w:t>
      </w:r>
      <w:r w:rsidRPr="00132E65">
        <w:rPr>
          <w:rtl/>
        </w:rPr>
        <w:t xml:space="preserve"> في « بح ، بف » وحاشية « ج ، ض ، ف ، بر » : « مندل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(3).</w:t>
      </w:r>
      <w:r w:rsidRPr="00132E65">
        <w:rPr>
          <w:rtl/>
        </w:rPr>
        <w:t xml:space="preserve"> هكذا في « ب ، ج ، ض ، ف ، بح ، بر ، بس ، بف » و</w:t>
      </w:r>
      <w:r w:rsidRPr="009D1ACE">
        <w:rPr>
          <w:rStyle w:val="libFootnoteBoldChar"/>
          <w:rtl/>
        </w:rPr>
        <w:t>الوافي</w:t>
      </w:r>
      <w:r w:rsidRPr="00132E65">
        <w:rPr>
          <w:rtl/>
        </w:rPr>
        <w:t>. وفي المطبوع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في « ب »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(5).</w:t>
      </w:r>
      <w:r w:rsidRPr="00132E65">
        <w:rPr>
          <w:rtl/>
        </w:rPr>
        <w:t xml:space="preserve"> في « ض » : « وأدخله »</w:t>
      </w:r>
      <w:r>
        <w:rPr>
          <w:rtl/>
        </w:rPr>
        <w:t>.</w:t>
      </w:r>
    </w:p>
    <w:p w:rsidR="000C39D1" w:rsidRPr="00132E65" w:rsidRDefault="000C39D1" w:rsidP="000C39D1">
      <w:pPr>
        <w:pStyle w:val="libFootnote0"/>
        <w:rPr>
          <w:rtl/>
          <w:lang w:bidi="fa-IR"/>
        </w:rPr>
      </w:pPr>
      <w:r>
        <w:rPr>
          <w:rtl/>
        </w:rPr>
        <w:t>(6).</w:t>
      </w:r>
      <w:r w:rsidRPr="00132E65">
        <w:rPr>
          <w:rtl/>
        </w:rPr>
        <w:t xml:space="preserve"> « تَمْخَضُ » ، أي أخذها المخاض ، أي وجع الولادة وهو الطَلْقُ. راجع : </w:t>
      </w:r>
      <w:r w:rsidRPr="009D1ACE">
        <w:rPr>
          <w:rStyle w:val="libFootnoteBoldChar"/>
          <w:rtl/>
        </w:rPr>
        <w:t>لسان العرب</w:t>
      </w:r>
      <w:r w:rsidRPr="00132E65">
        <w:rPr>
          <w:rtl/>
        </w:rPr>
        <w:t xml:space="preserve"> ، ج 7 ، ص 228 ( مخض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751 ، ح 1369 ؛ </w:t>
      </w:r>
      <w:r w:rsidRPr="00381013">
        <w:rPr>
          <w:rtl/>
        </w:rPr>
        <w:t>الوسائل</w:t>
      </w:r>
      <w:r w:rsidRPr="00132E65">
        <w:rPr>
          <w:rtl/>
        </w:rPr>
        <w:t xml:space="preserve"> ، ج 11 ، ص 80 ، ح 14291.</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64" w:name="_Toc459459158"/>
      <w:bookmarkStart w:id="165" w:name="_Toc34663127"/>
      <w:r w:rsidRPr="00132E65">
        <w:rPr>
          <w:rtl/>
          <w:lang w:bidi="fa-IR"/>
        </w:rPr>
        <w:t>116</w:t>
      </w:r>
      <w:r>
        <w:rPr>
          <w:rtl/>
          <w:lang w:bidi="fa-IR"/>
        </w:rPr>
        <w:t xml:space="preserve"> - </w:t>
      </w:r>
      <w:r w:rsidRPr="00132E65">
        <w:rPr>
          <w:rtl/>
          <w:lang w:bidi="fa-IR"/>
        </w:rPr>
        <w:t xml:space="preserve">بَابُ </w:t>
      </w:r>
      <w:r>
        <w:rPr>
          <w:rStyle w:val="libFootnotenumChar"/>
          <w:rtl/>
        </w:rPr>
        <w:t>(1)</w:t>
      </w:r>
      <w:r>
        <w:rPr>
          <w:rtl/>
          <w:lang w:bidi="fa-IR"/>
        </w:rPr>
        <w:t xml:space="preserve"> </w:t>
      </w:r>
      <w:r w:rsidRPr="00132E65">
        <w:rPr>
          <w:rtl/>
          <w:lang w:bidi="fa-IR"/>
        </w:rPr>
        <w:t xml:space="preserve">مَوْلِدِ الْحُسَيْنِ بْنِ عَلِيٍّ </w:t>
      </w:r>
      <w:r w:rsidRPr="00071CF9">
        <w:rPr>
          <w:rStyle w:val="libAlaemChar"/>
          <w:rtl/>
        </w:rPr>
        <w:t>عليهما‌السلام</w:t>
      </w:r>
      <w:r w:rsidRPr="00132E65">
        <w:rPr>
          <w:rtl/>
          <w:lang w:bidi="fa-IR"/>
        </w:rPr>
        <w:t>‌</w:t>
      </w:r>
      <w:bookmarkEnd w:id="164"/>
      <w:bookmarkEnd w:id="165"/>
    </w:p>
    <w:p w:rsidR="000C39D1" w:rsidRPr="00132E65" w:rsidRDefault="000C39D1" w:rsidP="000C39D1">
      <w:pPr>
        <w:pStyle w:val="libNormal0"/>
        <w:tabs>
          <w:tab w:val="left" w:pos="3968"/>
        </w:tabs>
        <w:rPr>
          <w:rtl/>
          <w:lang w:bidi="fa-IR"/>
        </w:rPr>
      </w:pPr>
      <w:r w:rsidRPr="00132E65">
        <w:rPr>
          <w:rtl/>
          <w:lang w:bidi="fa-IR"/>
        </w:rPr>
        <w:t xml:space="preserve">وُلِدَ الْحُسَيْنُ بْنُ عَلِيٍّ </w:t>
      </w:r>
      <w:r w:rsidRPr="00071CF9">
        <w:rPr>
          <w:rStyle w:val="libAlaemChar"/>
          <w:rtl/>
        </w:rPr>
        <w:t>عليهما‌السلام</w:t>
      </w:r>
      <w:r w:rsidRPr="00132E65">
        <w:rPr>
          <w:rtl/>
          <w:lang w:bidi="fa-IR"/>
        </w:rPr>
        <w:t xml:space="preserve"> </w:t>
      </w:r>
      <w:r>
        <w:rPr>
          <w:rStyle w:val="libFootnotenumChar"/>
          <w:rtl/>
        </w:rPr>
        <w:t>(2)</w:t>
      </w:r>
      <w:r w:rsidRPr="00132E65">
        <w:rPr>
          <w:rtl/>
          <w:lang w:bidi="fa-IR"/>
        </w:rPr>
        <w:t xml:space="preserve"> فِي سَنَةِ ثَلَاثٍ ؛ و</w:t>
      </w:r>
      <w:r w:rsidR="00925CBE">
        <w:rPr>
          <w:rFonts w:hint="cs"/>
          <w:rtl/>
          <w:lang w:bidi="fa-IR"/>
        </w:rPr>
        <w:t xml:space="preserve">َ </w:t>
      </w:r>
      <w:r w:rsidRPr="00132E65">
        <w:rPr>
          <w:rtl/>
          <w:lang w:bidi="fa-IR"/>
        </w:rPr>
        <w:t xml:space="preserve">قُبِضَ </w:t>
      </w:r>
      <w:r w:rsidRPr="00071CF9">
        <w:rPr>
          <w:rStyle w:val="libAlaemChar"/>
          <w:rtl/>
        </w:rPr>
        <w:t>عليه‌السلام</w:t>
      </w:r>
      <w:r w:rsidRPr="00132E65">
        <w:rPr>
          <w:rtl/>
          <w:lang w:bidi="fa-IR"/>
        </w:rPr>
        <w:t xml:space="preserve"> فِي شَهْرِ الْمُحَرَّمِ </w:t>
      </w:r>
      <w:r>
        <w:rPr>
          <w:rStyle w:val="libFootnotenumChar"/>
          <w:rtl/>
        </w:rPr>
        <w:t>(3)</w:t>
      </w:r>
      <w:r w:rsidRPr="00132E65">
        <w:rPr>
          <w:rtl/>
          <w:lang w:bidi="fa-IR"/>
        </w:rPr>
        <w:t xml:space="preserve"> مِنْ سَنَةِ إِحْدى و</w:t>
      </w:r>
      <w:r w:rsidR="00925CBE">
        <w:rPr>
          <w:rFonts w:hint="cs"/>
          <w:rtl/>
          <w:lang w:bidi="fa-IR"/>
        </w:rPr>
        <w:t xml:space="preserve">َ </w:t>
      </w:r>
      <w:r w:rsidRPr="00132E65">
        <w:rPr>
          <w:rtl/>
          <w:lang w:bidi="fa-IR"/>
        </w:rPr>
        <w:t>سِتِّينَ مِنَ الْهِجْرَةِ ، و</w:t>
      </w:r>
      <w:r w:rsidR="00925CBE">
        <w:rPr>
          <w:rFonts w:hint="cs"/>
          <w:rtl/>
          <w:lang w:bidi="fa-IR"/>
        </w:rPr>
        <w:t xml:space="preserve">َ </w:t>
      </w:r>
      <w:r w:rsidRPr="00132E65">
        <w:rPr>
          <w:rtl/>
          <w:lang w:bidi="fa-IR"/>
        </w:rPr>
        <w:t>لَهُ سَبْعٌ و</w:t>
      </w:r>
      <w:r w:rsidR="00925CBE">
        <w:rPr>
          <w:rFonts w:hint="cs"/>
          <w:rtl/>
          <w:lang w:bidi="fa-IR"/>
        </w:rPr>
        <w:t xml:space="preserve">َ </w:t>
      </w:r>
      <w:r w:rsidRPr="00132E65">
        <w:rPr>
          <w:rtl/>
          <w:lang w:bidi="fa-IR"/>
        </w:rPr>
        <w:t>خَمْسُونَ سَنَةً و</w:t>
      </w:r>
      <w:r w:rsidR="00925CBE">
        <w:rPr>
          <w:rFonts w:hint="cs"/>
          <w:rtl/>
          <w:lang w:bidi="fa-IR"/>
        </w:rPr>
        <w:t xml:space="preserve">َ </w:t>
      </w:r>
      <w:r w:rsidRPr="00132E65">
        <w:rPr>
          <w:rtl/>
          <w:lang w:bidi="fa-IR"/>
        </w:rPr>
        <w:t>أَشْهُرٌ ؛ قَتَلَهُ عُبَيْدُ اللهِ بْنُ زِيَادٍ</w:t>
      </w:r>
      <w:r>
        <w:rPr>
          <w:rtl/>
          <w:lang w:bidi="fa-IR"/>
        </w:rPr>
        <w:t xml:space="preserve"> - </w:t>
      </w:r>
      <w:r w:rsidRPr="00132E65">
        <w:rPr>
          <w:rtl/>
          <w:lang w:bidi="fa-IR"/>
        </w:rPr>
        <w:t xml:space="preserve">لَعَنَهُ اللهُ </w:t>
      </w:r>
      <w:r>
        <w:rPr>
          <w:rStyle w:val="libFootnotenumChar"/>
          <w:rtl/>
        </w:rPr>
        <w:t>(4)</w:t>
      </w:r>
      <w:r>
        <w:rPr>
          <w:rtl/>
          <w:lang w:bidi="fa-IR"/>
        </w:rPr>
        <w:t xml:space="preserve"> - </w:t>
      </w:r>
      <w:r w:rsidRPr="00132E65">
        <w:rPr>
          <w:rtl/>
          <w:lang w:bidi="fa-IR"/>
        </w:rPr>
        <w:t>فِي خِلَافَةِ يَزِيدَ بْنِ مُعَاوِيَةَ</w:t>
      </w:r>
      <w:r>
        <w:rPr>
          <w:rtl/>
          <w:lang w:bidi="fa-IR"/>
        </w:rPr>
        <w:t xml:space="preserve"> - </w:t>
      </w:r>
      <w:r w:rsidRPr="00132E65">
        <w:rPr>
          <w:rtl/>
          <w:lang w:bidi="fa-IR"/>
        </w:rPr>
        <w:t>لَعَنَهُ اللهُ</w:t>
      </w:r>
      <w:r>
        <w:rPr>
          <w:rtl/>
          <w:lang w:bidi="fa-IR"/>
        </w:rPr>
        <w:t xml:space="preserve"> </w:t>
      </w:r>
      <w:r w:rsidR="00925CBE">
        <w:rPr>
          <w:rtl/>
          <w:lang w:bidi="fa-IR"/>
        </w:rPr>
        <w:t>–</w:t>
      </w:r>
      <w:r>
        <w:rPr>
          <w:rtl/>
          <w:lang w:bidi="fa-IR"/>
        </w:rPr>
        <w:t xml:space="preserve"> </w:t>
      </w:r>
      <w:r w:rsidRPr="00132E65">
        <w:rPr>
          <w:rtl/>
          <w:lang w:bidi="fa-IR"/>
        </w:rPr>
        <w:t>و</w:t>
      </w:r>
      <w:r w:rsidR="00925CBE">
        <w:rPr>
          <w:rFonts w:hint="cs"/>
          <w:rtl/>
          <w:lang w:bidi="fa-IR"/>
        </w:rPr>
        <w:t xml:space="preserve">َ </w:t>
      </w:r>
      <w:r w:rsidRPr="00132E65">
        <w:rPr>
          <w:rtl/>
          <w:lang w:bidi="fa-IR"/>
        </w:rPr>
        <w:t>هُوَ عَلَى الْكُوفَةِ ؛ و</w:t>
      </w:r>
      <w:r w:rsidR="00417389">
        <w:rPr>
          <w:rFonts w:hint="cs"/>
          <w:rtl/>
          <w:lang w:bidi="fa-IR"/>
        </w:rPr>
        <w:t xml:space="preserve">َ </w:t>
      </w:r>
      <w:r w:rsidRPr="00132E65">
        <w:rPr>
          <w:rtl/>
          <w:lang w:bidi="fa-IR"/>
        </w:rPr>
        <w:t>كَانَ عَلَى الْخَيْلِ الَّتِي حَارَبَتْهُ و</w:t>
      </w:r>
      <w:r w:rsidR="00417389">
        <w:rPr>
          <w:rFonts w:hint="cs"/>
          <w:rtl/>
          <w:lang w:bidi="fa-IR"/>
        </w:rPr>
        <w:t xml:space="preserve">َ </w:t>
      </w:r>
      <w:r w:rsidRPr="00132E65">
        <w:rPr>
          <w:rtl/>
          <w:lang w:bidi="fa-IR"/>
        </w:rPr>
        <w:t>قَتَلَتْهُ عُمَرُ بْنُ سَعْدٍ</w:t>
      </w:r>
      <w:r>
        <w:rPr>
          <w:rtl/>
          <w:lang w:bidi="fa-IR"/>
        </w:rPr>
        <w:t xml:space="preserve"> - </w:t>
      </w:r>
      <w:r w:rsidRPr="00132E65">
        <w:rPr>
          <w:rtl/>
          <w:lang w:bidi="fa-IR"/>
        </w:rPr>
        <w:t>لَعَنَهُ اللهُ</w:t>
      </w:r>
      <w:r>
        <w:rPr>
          <w:rtl/>
          <w:lang w:bidi="fa-IR"/>
        </w:rPr>
        <w:t xml:space="preserve"> - </w:t>
      </w:r>
      <w:r w:rsidRPr="00132E65">
        <w:rPr>
          <w:rtl/>
          <w:lang w:bidi="fa-IR"/>
        </w:rPr>
        <w:t>بِكَرْبَلَاءَ يَوْمَ الْإِثْنَيْنِ لِعَشْرٍ خَلَوْنَ مِنَ الْمُحَرَّمِ. و</w:t>
      </w:r>
      <w:r w:rsidR="00417389">
        <w:rPr>
          <w:rFonts w:hint="cs"/>
          <w:rtl/>
          <w:lang w:bidi="fa-IR"/>
        </w:rPr>
        <w:t xml:space="preserve">َ </w:t>
      </w:r>
      <w:r w:rsidRPr="00132E65">
        <w:rPr>
          <w:rtl/>
          <w:lang w:bidi="fa-IR"/>
        </w:rPr>
        <w:t xml:space="preserve">أُمُّهُ فَاطِمَةُ بِنْتُ </w:t>
      </w:r>
      <w:r>
        <w:rPr>
          <w:rStyle w:val="libFootnotenumChar"/>
          <w:rtl/>
        </w:rPr>
        <w:t>(5)</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381013">
        <w:rPr>
          <w:rtl/>
        </w:rPr>
        <w:t>1260</w:t>
      </w:r>
      <w:r w:rsidRPr="004325D8">
        <w:rPr>
          <w:rStyle w:val="libBold2Char"/>
          <w:rtl/>
        </w:rPr>
        <w:t xml:space="preserve"> / 1.</w:t>
      </w:r>
      <w:r w:rsidRPr="00132E65">
        <w:rPr>
          <w:rtl/>
          <w:lang w:bidi="fa-IR"/>
        </w:rPr>
        <w:t xml:space="preserve"> سَعْدٌ و</w:t>
      </w:r>
      <w:r w:rsidR="00417389">
        <w:rPr>
          <w:rFonts w:hint="cs"/>
          <w:rtl/>
          <w:lang w:bidi="fa-IR"/>
        </w:rPr>
        <w:t xml:space="preserve">َ </w:t>
      </w:r>
      <w:r w:rsidRPr="00132E65">
        <w:rPr>
          <w:rtl/>
          <w:lang w:bidi="fa-IR"/>
        </w:rPr>
        <w:t xml:space="preserve">أَحْمَدُ بْنُ مُحَمَّدٍ </w:t>
      </w:r>
      <w:r>
        <w:rPr>
          <w:rStyle w:val="libFootnotenumChar"/>
          <w:rtl/>
        </w:rPr>
        <w:t>(7)</w:t>
      </w:r>
      <w:r w:rsidRPr="00132E65">
        <w:rPr>
          <w:rtl/>
          <w:lang w:bidi="fa-IR"/>
        </w:rPr>
        <w:t xml:space="preserve"> جَمِيعاً ، عَنْ إِبْرَاهِيمَ بْنِ مَهْزِيَارَ ، عَنْ أَخِيهِ عَلِيِّ بْنِ مَهْزِيَارَ ، عَنِ الْحُسَيْنِ بْنِ سَعِيدٍ ، عَنْ مُحَمَّدِ بْنِ سِنَانٍ ، عَنِ ابْنِ مُسْكَانَ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قُبِضَ الْحُسَيْنُ بْنُ عَلِيٍّ </w:t>
      </w:r>
      <w:r w:rsidRPr="00071CF9">
        <w:rPr>
          <w:rStyle w:val="libAlaemChar"/>
          <w:rtl/>
        </w:rPr>
        <w:t>عليهما‌السلام</w:t>
      </w:r>
      <w:r w:rsidRPr="00132E65">
        <w:rPr>
          <w:rtl/>
          <w:lang w:bidi="fa-IR"/>
        </w:rPr>
        <w:t xml:space="preserve"> يَوْمَ عَاشُورَاءَ و</w:t>
      </w:r>
      <w:r w:rsidR="00417389">
        <w:rPr>
          <w:rFonts w:hint="cs"/>
          <w:rtl/>
          <w:lang w:bidi="fa-IR"/>
        </w:rPr>
        <w:t xml:space="preserve">َ </w:t>
      </w:r>
      <w:r w:rsidRPr="00132E65">
        <w:rPr>
          <w:rtl/>
          <w:lang w:bidi="fa-IR"/>
        </w:rPr>
        <w:t>هُوَ ابْنُ سَبْعٍ وَخَمْسِينَ سَنَةً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381013">
        <w:rPr>
          <w:rtl/>
        </w:rPr>
        <w:t>1261</w:t>
      </w:r>
      <w:r w:rsidRPr="004325D8">
        <w:rPr>
          <w:rStyle w:val="libBold2Char"/>
          <w:rtl/>
        </w:rPr>
        <w:t xml:space="preserve"> / 2.</w:t>
      </w:r>
      <w:r w:rsidRPr="00132E65">
        <w:rPr>
          <w:rtl/>
          <w:lang w:bidi="fa-IR"/>
        </w:rPr>
        <w:t xml:space="preserve"> عِدَّةٌ مِنْ أَصْحَابِنَا ، عَنْ أَحْمَدَ بْنِ مُحَمَّدٍ ، عَنْ عَلِيِّ بْنِ الْحَكَمِ ، عَنْ عَبْدِ الرَّحْمنِ الْعَرْزَمِيِّ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كَانَ </w:t>
      </w:r>
      <w:r>
        <w:rPr>
          <w:rStyle w:val="libFootnotenumChar"/>
          <w:rtl/>
        </w:rPr>
        <w:t>(9)</w:t>
      </w:r>
      <w:r w:rsidRPr="00132E65">
        <w:rPr>
          <w:rtl/>
          <w:lang w:bidi="fa-IR"/>
        </w:rPr>
        <w:t xml:space="preserve"> بَيْنَ الْحَسَنِ والْحُسَيْنِ </w:t>
      </w:r>
      <w:r w:rsidRPr="00071CF9">
        <w:rPr>
          <w:rStyle w:val="libAlaemChar"/>
          <w:rtl/>
        </w:rPr>
        <w:t>عليهما‌السلام</w:t>
      </w:r>
      <w:r w:rsidRPr="00132E65">
        <w:rPr>
          <w:rtl/>
          <w:lang w:bidi="fa-IR"/>
        </w:rPr>
        <w:t xml:space="preserve"> طُهْرٌ </w:t>
      </w:r>
      <w:r>
        <w:rPr>
          <w:rStyle w:val="libFootnotenumChar"/>
          <w:rtl/>
        </w:rPr>
        <w:t>(10)</w:t>
      </w:r>
      <w:r w:rsidRPr="00132E65">
        <w:rPr>
          <w:rtl/>
          <w:lang w:bidi="fa-IR"/>
        </w:rPr>
        <w:t xml:space="preserve"> ، و</w:t>
      </w:r>
      <w:r w:rsidR="00417389">
        <w:rPr>
          <w:rFonts w:hint="cs"/>
          <w:rtl/>
          <w:lang w:bidi="fa-IR"/>
        </w:rPr>
        <w:t xml:space="preserve">َ </w:t>
      </w:r>
      <w:r w:rsidRPr="00132E65">
        <w:rPr>
          <w:rtl/>
          <w:lang w:bidi="fa-IR"/>
        </w:rPr>
        <w:t>كَانَ بَيْنَهُمَا‌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ض ، ف ، بح ، بر ، بس ، بف » </w:t>
      </w:r>
      <w:r>
        <w:rPr>
          <w:rtl/>
        </w:rPr>
        <w:t xml:space="preserve">: - </w:t>
      </w:r>
      <w:r w:rsidRPr="00132E65">
        <w:rPr>
          <w:rtl/>
        </w:rPr>
        <w:t>« باب »</w:t>
      </w:r>
      <w:r>
        <w:rPr>
          <w:rtl/>
        </w:rPr>
        <w:t>.</w:t>
      </w:r>
    </w:p>
    <w:tbl>
      <w:tblPr>
        <w:tblStyle w:val="TableGrid"/>
        <w:bidiVisual/>
        <w:tblW w:w="0" w:type="auto"/>
        <w:tblLook w:val="04A0" w:firstRow="1" w:lastRow="0" w:firstColumn="1" w:lastColumn="0" w:noHBand="0" w:noVBand="1"/>
      </w:tblPr>
      <w:tblGrid>
        <w:gridCol w:w="4261"/>
        <w:gridCol w:w="4262"/>
      </w:tblGrid>
      <w:tr w:rsidR="00417389" w:rsidTr="00417389">
        <w:tc>
          <w:tcPr>
            <w:tcW w:w="4261" w:type="dxa"/>
          </w:tcPr>
          <w:p w:rsidR="00417389" w:rsidRDefault="00417389" w:rsidP="00417389">
            <w:pPr>
              <w:pStyle w:val="libFootnote0"/>
              <w:rPr>
                <w:rtl/>
              </w:rPr>
            </w:pPr>
            <w:r>
              <w:rPr>
                <w:rtl/>
              </w:rPr>
              <w:t>(2).</w:t>
            </w:r>
            <w:r w:rsidRPr="00132E65">
              <w:rPr>
                <w:rtl/>
              </w:rPr>
              <w:t>في«ج،ض،بس»</w:t>
            </w:r>
            <w:r>
              <w:rPr>
                <w:rtl/>
              </w:rPr>
              <w:t>:-</w:t>
            </w:r>
            <w:r w:rsidRPr="00132E65">
              <w:rPr>
                <w:rtl/>
              </w:rPr>
              <w:t xml:space="preserve">«الحسين بن عليّ </w:t>
            </w:r>
            <w:r w:rsidRPr="00417389">
              <w:rPr>
                <w:rStyle w:val="libFootnoteAlaemChar"/>
                <w:rtl/>
              </w:rPr>
              <w:t>عليهما‌السلام</w:t>
            </w:r>
            <w:r w:rsidRPr="00132E65">
              <w:rPr>
                <w:rtl/>
              </w:rPr>
              <w:t>»</w:t>
            </w:r>
            <w:r>
              <w:rPr>
                <w:rtl/>
              </w:rPr>
              <w:t>.</w:t>
            </w:r>
          </w:p>
        </w:tc>
        <w:tc>
          <w:tcPr>
            <w:tcW w:w="4262" w:type="dxa"/>
          </w:tcPr>
          <w:p w:rsidR="00417389" w:rsidRDefault="00417389" w:rsidP="00417389">
            <w:pPr>
              <w:pStyle w:val="libFootnote0"/>
              <w:rPr>
                <w:rtl/>
              </w:rPr>
            </w:pPr>
            <w:r>
              <w:rPr>
                <w:rtl/>
              </w:rPr>
              <w:t>(3).</w:t>
            </w:r>
            <w:r w:rsidRPr="00132E65">
              <w:rPr>
                <w:rtl/>
              </w:rPr>
              <w:t xml:space="preserve"> في « ج » : « محرّم »</w:t>
            </w:r>
            <w:r>
              <w:rPr>
                <w:rtl/>
              </w:rPr>
              <w:t>.</w:t>
            </w:r>
          </w:p>
        </w:tc>
      </w:tr>
      <w:tr w:rsidR="00417389" w:rsidTr="00417389">
        <w:tc>
          <w:tcPr>
            <w:tcW w:w="4261" w:type="dxa"/>
          </w:tcPr>
          <w:p w:rsidR="00417389" w:rsidRDefault="00417389" w:rsidP="000C39D1">
            <w:pPr>
              <w:pStyle w:val="libFootnote0"/>
              <w:rPr>
                <w:rtl/>
              </w:rPr>
            </w:pPr>
            <w:r>
              <w:rPr>
                <w:rtl/>
              </w:rPr>
              <w:t>(4).</w:t>
            </w:r>
            <w:r w:rsidRPr="00132E65">
              <w:rPr>
                <w:rtl/>
              </w:rPr>
              <w:t xml:space="preserve"> في « بح » و</w:t>
            </w:r>
            <w:r w:rsidRPr="009D1ACE">
              <w:rPr>
                <w:rStyle w:val="libFootnoteBoldChar"/>
                <w:rtl/>
              </w:rPr>
              <w:t>الوافي</w:t>
            </w:r>
            <w:r w:rsidRPr="00132E65">
              <w:rPr>
                <w:rtl/>
              </w:rPr>
              <w:t xml:space="preserve"> : « عليه اللعنة »</w:t>
            </w:r>
            <w:r>
              <w:rPr>
                <w:rtl/>
              </w:rPr>
              <w:t>.</w:t>
            </w:r>
          </w:p>
        </w:tc>
        <w:tc>
          <w:tcPr>
            <w:tcW w:w="4262" w:type="dxa"/>
          </w:tcPr>
          <w:p w:rsidR="00417389" w:rsidRDefault="00417389" w:rsidP="000C39D1">
            <w:pPr>
              <w:pStyle w:val="libFootnote0"/>
              <w:rPr>
                <w:rtl/>
              </w:rPr>
            </w:pPr>
            <w:r>
              <w:rPr>
                <w:rtl/>
              </w:rPr>
              <w:t>(5).</w:t>
            </w:r>
            <w:r w:rsidRPr="00132E65">
              <w:rPr>
                <w:rtl/>
              </w:rPr>
              <w:t xml:space="preserve"> في « ج » :</w:t>
            </w:r>
            <w:r>
              <w:rPr>
                <w:rtl/>
              </w:rPr>
              <w:t xml:space="preserve"> + </w:t>
            </w:r>
            <w:r w:rsidRPr="00132E65">
              <w:rPr>
                <w:rtl/>
              </w:rPr>
              <w:t>« محمّد »</w:t>
            </w:r>
            <w:r>
              <w:rPr>
                <w:rtl/>
              </w:rPr>
              <w:t>.</w:t>
            </w:r>
          </w:p>
        </w:tc>
      </w:tr>
    </w:tbl>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761 ، ذيل ح 1383.</w:t>
      </w:r>
    </w:p>
    <w:p w:rsidR="000C39D1" w:rsidRPr="00132E65" w:rsidRDefault="000C39D1" w:rsidP="000C39D1">
      <w:pPr>
        <w:pStyle w:val="libFootnote0"/>
        <w:rPr>
          <w:rtl/>
          <w:lang w:bidi="fa-IR"/>
        </w:rPr>
      </w:pPr>
      <w:r>
        <w:rPr>
          <w:rtl/>
        </w:rPr>
        <w:t>(7).</w:t>
      </w:r>
      <w:r w:rsidRPr="00132E65">
        <w:rPr>
          <w:rtl/>
        </w:rPr>
        <w:t xml:space="preserve"> هذا الخبر قطعة ا</w:t>
      </w:r>
      <w:r w:rsidR="00C37004">
        <w:rPr>
          <w:rFonts w:hint="cs"/>
          <w:rtl/>
        </w:rPr>
        <w:t>ُ</w:t>
      </w:r>
      <w:r w:rsidRPr="00132E65">
        <w:rPr>
          <w:rtl/>
        </w:rPr>
        <w:t xml:space="preserve">خرى من الخبر الذي تقدّم في ذيل ح 1255 ، أنّه خبر طويل في وفيات الأئمّة </w:t>
      </w:r>
      <w:r w:rsidRPr="00C37004">
        <w:rPr>
          <w:rStyle w:val="libFootnoteAlaemChar"/>
          <w:rtl/>
        </w:rPr>
        <w:t>عليهم‌السلام</w:t>
      </w:r>
      <w:r w:rsidRPr="00132E65">
        <w:rPr>
          <w:rtl/>
        </w:rPr>
        <w:t>. والمذكور في سائر القطعات عطف عبد الله بن جعفر ، أو عبد الله بن جعفر الحميري ، أو الحميري ، على سعد [ بن عبد الله ] ، ولا يبعد كون الصواب في ما نحن فيه أيضاً « الحميري » بدل « أحمد بن محمّد »</w:t>
      </w:r>
      <w:r>
        <w:rPr>
          <w:rtl/>
        </w:rPr>
        <w:t>.</w:t>
      </w:r>
      <w:r w:rsidRPr="00132E65">
        <w:rPr>
          <w:rtl/>
        </w:rPr>
        <w:t xml:space="preserve"> نبّه على ذلك الا</w:t>
      </w:r>
      <w:r w:rsidR="00C37004">
        <w:rPr>
          <w:rFonts w:hint="cs"/>
          <w:rtl/>
        </w:rPr>
        <w:t>ُ</w:t>
      </w:r>
      <w:r w:rsidRPr="00132E65">
        <w:rPr>
          <w:rtl/>
        </w:rPr>
        <w:t>ستاد السيّد محمّد جواد الشبيري</w:t>
      </w:r>
      <w:r>
        <w:rPr>
          <w:rtl/>
        </w:rPr>
        <w:t xml:space="preserve"> - </w:t>
      </w:r>
      <w:r w:rsidRPr="00132E65">
        <w:rPr>
          <w:rtl/>
        </w:rPr>
        <w:t>دام توفيقه</w:t>
      </w:r>
      <w:r>
        <w:rPr>
          <w:rtl/>
        </w:rPr>
        <w:t xml:space="preserve"> - </w:t>
      </w:r>
      <w:r w:rsidRPr="00132E65">
        <w:rPr>
          <w:rtl/>
        </w:rPr>
        <w:t>في تعليقته على السند.</w:t>
      </w:r>
    </w:p>
    <w:tbl>
      <w:tblPr>
        <w:tblStyle w:val="TableGrid"/>
        <w:bidiVisual/>
        <w:tblW w:w="0" w:type="auto"/>
        <w:tblLook w:val="04A0" w:firstRow="1" w:lastRow="0" w:firstColumn="1" w:lastColumn="0" w:noHBand="0" w:noVBand="1"/>
      </w:tblPr>
      <w:tblGrid>
        <w:gridCol w:w="4261"/>
        <w:gridCol w:w="4262"/>
      </w:tblGrid>
      <w:tr w:rsidR="00A702CA" w:rsidTr="00A702CA">
        <w:tc>
          <w:tcPr>
            <w:tcW w:w="4261" w:type="dxa"/>
          </w:tcPr>
          <w:p w:rsidR="00A702CA" w:rsidRDefault="00A702CA" w:rsidP="00A702CA">
            <w:pPr>
              <w:pStyle w:val="libFootnote0"/>
              <w:rPr>
                <w:rtl/>
              </w:rPr>
            </w:pPr>
            <w:r>
              <w:rPr>
                <w:rtl/>
              </w:rPr>
              <w:t>(8).</w:t>
            </w:r>
            <w:r w:rsidRPr="009D1ACE">
              <w:rPr>
                <w:rStyle w:val="libFootnoteBoldChar"/>
                <w:rtl/>
              </w:rPr>
              <w:t>الوافي</w:t>
            </w:r>
            <w:r w:rsidRPr="00132E65">
              <w:rPr>
                <w:rtl/>
              </w:rPr>
              <w:t>،ج3،ص761،ح1383.</w:t>
            </w:r>
          </w:p>
        </w:tc>
        <w:tc>
          <w:tcPr>
            <w:tcW w:w="4262" w:type="dxa"/>
          </w:tcPr>
          <w:p w:rsidR="00A702CA" w:rsidRDefault="00A702CA" w:rsidP="00A702CA">
            <w:pPr>
              <w:pStyle w:val="libFootnote0"/>
              <w:rPr>
                <w:rtl/>
              </w:rPr>
            </w:pPr>
            <w:r>
              <w:rPr>
                <w:rtl/>
              </w:rPr>
              <w:t>(9).</w:t>
            </w:r>
            <w:r w:rsidRPr="00132E65">
              <w:rPr>
                <w:rtl/>
              </w:rPr>
              <w:t xml:space="preserve"> في « ض » </w:t>
            </w:r>
            <w:r>
              <w:rPr>
                <w:rtl/>
              </w:rPr>
              <w:t xml:space="preserve">: - </w:t>
            </w:r>
            <w:r w:rsidRPr="00132E65">
              <w:rPr>
                <w:rtl/>
              </w:rPr>
              <w:t>« كان »</w:t>
            </w:r>
            <w:r>
              <w:rPr>
                <w:rtl/>
              </w:rPr>
              <w:t>.</w:t>
            </w:r>
          </w:p>
        </w:tc>
      </w:tr>
    </w:tbl>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الوافي</w:t>
      </w:r>
      <w:r w:rsidRPr="00132E65">
        <w:rPr>
          <w:rtl/>
        </w:rPr>
        <w:t xml:space="preserve"> : « أراد بالطهر مقدار زمان الطهر ؛ لأنّ فاطمة </w:t>
      </w:r>
      <w:r w:rsidRPr="00C37004">
        <w:rPr>
          <w:rStyle w:val="libFootnoteAlaemChar"/>
          <w:rtl/>
        </w:rPr>
        <w:t>عليها‌السلام</w:t>
      </w:r>
      <w:r w:rsidRPr="00132E65">
        <w:rPr>
          <w:rtl/>
        </w:rPr>
        <w:t xml:space="preserve"> لم تطمث ولم تَرَ دماً. ثمّ أراد به أقلّ الطهر </w:t>
      </w:r>
      <w:r w:rsidR="00EC5555">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فِي الْمِيلَادِ سِتَّةُ أَشْهُرٍ و</w:t>
      </w:r>
      <w:r w:rsidR="00791CA4">
        <w:rPr>
          <w:rFonts w:hint="cs"/>
          <w:rtl/>
          <w:lang w:bidi="fa-IR"/>
        </w:rPr>
        <w:t xml:space="preserve">َ </w:t>
      </w:r>
      <w:r w:rsidRPr="00132E65">
        <w:rPr>
          <w:rtl/>
          <w:lang w:bidi="fa-IR"/>
        </w:rPr>
        <w:t xml:space="preserve">عَشْرٌ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Default="000C39D1" w:rsidP="000C39D1">
      <w:pPr>
        <w:pStyle w:val="libNormal"/>
        <w:rPr>
          <w:rtl/>
          <w:lang w:bidi="fa-IR"/>
        </w:rPr>
      </w:pPr>
      <w:r w:rsidRPr="00381013">
        <w:rPr>
          <w:rtl/>
        </w:rPr>
        <w:t>1262</w:t>
      </w:r>
      <w:r w:rsidRPr="004325D8">
        <w:rPr>
          <w:rStyle w:val="libBold2Char"/>
          <w:rtl/>
        </w:rPr>
        <w:t xml:space="preserve"> / 3.</w:t>
      </w:r>
      <w:r w:rsidRPr="00132E65">
        <w:rPr>
          <w:rtl/>
          <w:lang w:bidi="fa-IR"/>
        </w:rPr>
        <w:t xml:space="preserve"> مُحَمَّدُ بْنُ يَحْيى ، عَنْ أَحْمَدَ بْنِ مُحَمَّدٍ ، عَنِ الْوَشَّاءِ ؛ </w:t>
      </w:r>
    </w:p>
    <w:p w:rsidR="000C39D1" w:rsidRPr="00132E65" w:rsidRDefault="000C39D1" w:rsidP="000C39D1">
      <w:pPr>
        <w:pStyle w:val="libNormal"/>
        <w:rPr>
          <w:rtl/>
          <w:lang w:bidi="fa-IR"/>
        </w:rPr>
      </w:pPr>
      <w:r w:rsidRPr="00132E65">
        <w:rPr>
          <w:rtl/>
          <w:lang w:bidi="fa-IR"/>
        </w:rPr>
        <w:t>وَ</w:t>
      </w:r>
      <w:r>
        <w:rPr>
          <w:rFonts w:hint="cs"/>
          <w:rtl/>
          <w:lang w:bidi="fa-IR"/>
        </w:rPr>
        <w:t xml:space="preserve"> </w:t>
      </w:r>
      <w:r>
        <w:rPr>
          <w:rStyle w:val="libFootnotenumChar"/>
          <w:rtl/>
        </w:rPr>
        <w:t>(3)</w:t>
      </w:r>
      <w:r w:rsidRPr="00132E65">
        <w:rPr>
          <w:rtl/>
          <w:lang w:bidi="fa-IR"/>
        </w:rPr>
        <w:t xml:space="preserve"> الْحُسَيْنُ بْنُ مُحَمَّدٍ ، عَنْ مُعَلَّى بْنِ مُحَمَّدٍ ، عَنِ الْوَشَّاءِ ، عَنْ أَحْمَدَ بْنِ عَائِذٍ ، عَنْ أَبِي خَدِيجَةَ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حَمَلَتْ </w:t>
      </w:r>
      <w:r>
        <w:rPr>
          <w:rStyle w:val="libFootnotenumChar"/>
          <w:rtl/>
        </w:rPr>
        <w:t>(4)</w:t>
      </w:r>
      <w:r w:rsidRPr="00132E65">
        <w:rPr>
          <w:rtl/>
          <w:lang w:bidi="fa-IR"/>
        </w:rPr>
        <w:t xml:space="preserve"> فَاطِمَةُ </w:t>
      </w:r>
      <w:r w:rsidRPr="00071CF9">
        <w:rPr>
          <w:rStyle w:val="libAlaemChar"/>
          <w:rtl/>
        </w:rPr>
        <w:t>عليها‌السلام</w:t>
      </w:r>
      <w:r w:rsidRPr="00132E65">
        <w:rPr>
          <w:rtl/>
          <w:lang w:bidi="fa-IR"/>
        </w:rPr>
        <w:t xml:space="preserve"> بِالْحُسَيْنِ </w:t>
      </w:r>
      <w:r w:rsidRPr="00071CF9">
        <w:rPr>
          <w:rStyle w:val="libAlaemChar"/>
          <w:rtl/>
        </w:rPr>
        <w:t>عليه‌السلام</w:t>
      </w:r>
      <w:r w:rsidRPr="00132E65">
        <w:rPr>
          <w:rtl/>
          <w:lang w:bidi="fa-IR"/>
        </w:rPr>
        <w:t xml:space="preserve"> ، جَاءَ جَبْرَئِيلُ إِلى رَسُولِ اللهِ </w:t>
      </w:r>
      <w:r w:rsidRPr="0093484F">
        <w:rPr>
          <w:rStyle w:val="libAlaemChar"/>
          <w:rFonts w:eastAsiaTheme="minorHAnsi"/>
          <w:rtl/>
        </w:rPr>
        <w:t>صلى‌الله‌عليه‌وآله</w:t>
      </w:r>
      <w:r w:rsidRPr="00132E65">
        <w:rPr>
          <w:rtl/>
          <w:lang w:bidi="fa-IR"/>
        </w:rPr>
        <w:t xml:space="preserve"> ، فَقَالَ : إِنَّ فَاطِمَةَ سَتَلِدُ غُلَاماً تَقْتُلُهُ أُمَّتُكَ مِنْ بَعْدِكَ ، فَلَمَّا حَمَلَتْ فَاطِمَةُ </w:t>
      </w:r>
      <w:r w:rsidRPr="00071CF9">
        <w:rPr>
          <w:rStyle w:val="libAlaemChar"/>
          <w:rtl/>
        </w:rPr>
        <w:t>عليها‌السلام</w:t>
      </w:r>
      <w:r w:rsidRPr="00132E65">
        <w:rPr>
          <w:rtl/>
          <w:lang w:bidi="fa-IR"/>
        </w:rPr>
        <w:t xml:space="preserve"> بِالْحُسَيْنِ </w:t>
      </w:r>
      <w:r w:rsidRPr="00071CF9">
        <w:rPr>
          <w:rStyle w:val="libAlaemChar"/>
          <w:rtl/>
        </w:rPr>
        <w:t>عليه‌السلام</w:t>
      </w:r>
      <w:r w:rsidRPr="00132E65">
        <w:rPr>
          <w:rtl/>
          <w:lang w:bidi="fa-IR"/>
        </w:rPr>
        <w:t xml:space="preserve"> كَرِهَتْ حَمْلَهُ ، و</w:t>
      </w:r>
      <w:r w:rsidR="00791CA4">
        <w:rPr>
          <w:rFonts w:hint="cs"/>
          <w:rtl/>
          <w:lang w:bidi="fa-IR"/>
        </w:rPr>
        <w:t xml:space="preserve">َ </w:t>
      </w:r>
      <w:r w:rsidRPr="00132E65">
        <w:rPr>
          <w:rtl/>
          <w:lang w:bidi="fa-IR"/>
        </w:rPr>
        <w:t>حِينَ و</w:t>
      </w:r>
      <w:r w:rsidR="00791CA4">
        <w:rPr>
          <w:rFonts w:hint="cs"/>
          <w:rtl/>
          <w:lang w:bidi="fa-IR"/>
        </w:rPr>
        <w:t xml:space="preserve">َ </w:t>
      </w:r>
      <w:r w:rsidRPr="00132E65">
        <w:rPr>
          <w:rtl/>
          <w:lang w:bidi="fa-IR"/>
        </w:rPr>
        <w:t xml:space="preserve">ضَعَتْهُ </w:t>
      </w:r>
      <w:r>
        <w:rPr>
          <w:rStyle w:val="libFootnotenumChar"/>
          <w:rtl/>
        </w:rPr>
        <w:t>(5)</w:t>
      </w:r>
      <w:r w:rsidRPr="00132E65">
        <w:rPr>
          <w:rtl/>
          <w:lang w:bidi="fa-IR"/>
        </w:rPr>
        <w:t xml:space="preserve"> كَرِهَتْ و</w:t>
      </w:r>
      <w:r w:rsidR="00791CA4">
        <w:rPr>
          <w:rFonts w:hint="cs"/>
          <w:rtl/>
          <w:lang w:bidi="fa-IR"/>
        </w:rPr>
        <w:t>َ</w:t>
      </w:r>
      <w:r w:rsidRPr="00132E65">
        <w:rPr>
          <w:rtl/>
          <w:lang w:bidi="fa-IR"/>
        </w:rPr>
        <w:t xml:space="preserve">ضْعَهُ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ثُمَّ قَالَ أَبُو عَبْدِ اللهِ </w:t>
      </w:r>
      <w:r w:rsidRPr="00071CF9">
        <w:rPr>
          <w:rStyle w:val="libAlaemChar"/>
          <w:rtl/>
        </w:rPr>
        <w:t>عليه‌السلام</w:t>
      </w:r>
      <w:r w:rsidRPr="00132E65">
        <w:rPr>
          <w:rtl/>
          <w:lang w:bidi="fa-IR"/>
        </w:rPr>
        <w:t xml:space="preserve"> : « لَمْ تُرَ فِي الدُّنْيَا أُمٌّ تَلِدُ غُلَاماً تَكْرَهُهُ </w:t>
      </w:r>
      <w:r>
        <w:rPr>
          <w:rStyle w:val="libFootnotenumChar"/>
          <w:rtl/>
        </w:rPr>
        <w:t>(7)</w:t>
      </w:r>
      <w:r w:rsidRPr="00132E65">
        <w:rPr>
          <w:rtl/>
          <w:lang w:bidi="fa-IR"/>
        </w:rPr>
        <w:t xml:space="preserve"> ، و</w:t>
      </w:r>
      <w:r w:rsidR="00791CA4">
        <w:rPr>
          <w:rFonts w:hint="cs"/>
          <w:rtl/>
          <w:lang w:bidi="fa-IR"/>
        </w:rPr>
        <w:t xml:space="preserve">َ </w:t>
      </w:r>
      <w:r w:rsidRPr="00132E65">
        <w:rPr>
          <w:rtl/>
          <w:lang w:bidi="fa-IR"/>
        </w:rPr>
        <w:t xml:space="preserve">لكِنَّهَا كَرِهَتْهُ </w:t>
      </w:r>
      <w:r>
        <w:rPr>
          <w:rStyle w:val="libFootnotenumChar"/>
          <w:rtl/>
        </w:rPr>
        <w:t>(8)</w:t>
      </w:r>
      <w:r w:rsidRPr="00132E65">
        <w:rPr>
          <w:rtl/>
          <w:lang w:bidi="fa-IR"/>
        </w:rPr>
        <w:t xml:space="preserve"> ؛ لِمَا عَلِمَتْ أَنَّهُ سَيُقْتَلُ »</w:t>
      </w:r>
      <w:r>
        <w:rPr>
          <w:rtl/>
          <w:lang w:bidi="fa-IR"/>
        </w:rPr>
        <w:t>.</w:t>
      </w:r>
    </w:p>
    <w:p w:rsidR="000C39D1" w:rsidRPr="00132E65" w:rsidRDefault="000C39D1" w:rsidP="00791CA4">
      <w:pPr>
        <w:pStyle w:val="libNormal"/>
        <w:rPr>
          <w:rtl/>
          <w:lang w:bidi="fa-IR"/>
        </w:rPr>
      </w:pPr>
      <w:r w:rsidRPr="00132E65">
        <w:rPr>
          <w:rtl/>
          <w:lang w:bidi="fa-IR"/>
        </w:rPr>
        <w:t xml:space="preserve">قَالَ : « وَفِيهِ نَزَلَتْ هذِهِ الْآيَةُ : </w:t>
      </w:r>
      <w:r w:rsidRPr="00071CF9">
        <w:rPr>
          <w:rStyle w:val="libAlaemChar"/>
          <w:rtl/>
        </w:rPr>
        <w:t>(</w:t>
      </w:r>
      <w:r w:rsidRPr="00071CF9">
        <w:rPr>
          <w:rStyle w:val="libAieChar"/>
          <w:rtl/>
        </w:rPr>
        <w:t xml:space="preserve"> وَ</w:t>
      </w:r>
      <w:r w:rsidR="00791CA4">
        <w:rPr>
          <w:rStyle w:val="libAieChar"/>
          <w:rFonts w:hint="cs"/>
          <w:rtl/>
        </w:rPr>
        <w:t xml:space="preserve"> </w:t>
      </w:r>
      <w:r w:rsidRPr="00071CF9">
        <w:rPr>
          <w:rStyle w:val="libAieChar"/>
          <w:rtl/>
        </w:rPr>
        <w:t xml:space="preserve">وَصَّيْنَا الْإِنْسانَ بِوالِدَيْهِ إِحْساناً </w:t>
      </w:r>
      <w:r>
        <w:rPr>
          <w:rStyle w:val="libFootnotenumChar"/>
          <w:rtl/>
        </w:rPr>
        <w:t>(9)</w:t>
      </w:r>
      <w:r w:rsidRPr="00071CF9">
        <w:rPr>
          <w:rStyle w:val="libAieChar"/>
          <w:rtl/>
        </w:rPr>
        <w:t xml:space="preserve"> حَمَلَتْهُ أُمُّهُ كُرْهاً وَ</w:t>
      </w:r>
      <w:r w:rsidR="00791CA4">
        <w:rPr>
          <w:rStyle w:val="libAieChar"/>
          <w:rFonts w:hint="cs"/>
          <w:rtl/>
        </w:rPr>
        <w:t xml:space="preserve"> </w:t>
      </w:r>
      <w:r w:rsidRPr="00071CF9">
        <w:rPr>
          <w:rStyle w:val="libAieChar"/>
          <w:rtl/>
        </w:rPr>
        <w:t xml:space="preserve">وَضَعَتْهُ كُرْهاً وَحَمْلُهُ وَفِصالُهُ ثَلاثُونَ شَهْراً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791CA4" w:rsidP="000C39D1">
      <w:pPr>
        <w:pStyle w:val="libFootnote0"/>
        <w:rPr>
          <w:rtl/>
          <w:lang w:bidi="fa-IR"/>
        </w:rPr>
      </w:pPr>
      <w:r>
        <w:rPr>
          <w:rFonts w:hint="cs"/>
          <w:rtl/>
        </w:rPr>
        <w:t xml:space="preserve">= </w:t>
      </w:r>
      <w:r w:rsidR="000C39D1" w:rsidRPr="00132E65">
        <w:rPr>
          <w:rtl/>
        </w:rPr>
        <w:t xml:space="preserve">وهو عشرة أيّام ، كما دلّ عليه آخر الحديث ، فإنّ مدّة حمل الحسين </w:t>
      </w:r>
      <w:r w:rsidR="000C39D1" w:rsidRPr="00535123">
        <w:rPr>
          <w:rStyle w:val="libFootnoteAlaemChar"/>
          <w:rtl/>
        </w:rPr>
        <w:t>عليه‌السلام</w:t>
      </w:r>
      <w:r w:rsidR="000C39D1" w:rsidRPr="00132E65">
        <w:rPr>
          <w:rtl/>
        </w:rPr>
        <w:t xml:space="preserve"> كانت ستّة أشهر ، كما عرف »</w:t>
      </w:r>
      <w:r w:rsidR="000C39D1">
        <w:rPr>
          <w:rtl/>
        </w:rPr>
        <w:t>.</w:t>
      </w:r>
    </w:p>
    <w:p w:rsidR="000C39D1" w:rsidRPr="00132E65" w:rsidRDefault="000C39D1" w:rsidP="000C39D1">
      <w:pPr>
        <w:pStyle w:val="libFootnote0"/>
        <w:rPr>
          <w:rtl/>
          <w:lang w:bidi="fa-IR"/>
        </w:rPr>
      </w:pPr>
      <w:r>
        <w:rPr>
          <w:rtl/>
        </w:rPr>
        <w:t>(1).</w:t>
      </w:r>
      <w:r w:rsidRPr="00132E65">
        <w:rPr>
          <w:rtl/>
        </w:rPr>
        <w:t xml:space="preserve"> هكذا في « بد ، بل » عطفاً على « ستّة » على أنّه اسم « كان »</w:t>
      </w:r>
      <w:r>
        <w:rPr>
          <w:rtl/>
        </w:rPr>
        <w:t>.</w:t>
      </w:r>
      <w:r w:rsidRPr="00132E65">
        <w:rPr>
          <w:rtl/>
        </w:rPr>
        <w:t xml:space="preserve"> وفي سائر النسخ والمطبوع : « عشراً »</w:t>
      </w:r>
      <w:r>
        <w:rPr>
          <w:rtl/>
        </w:rPr>
        <w:t>.</w:t>
      </w:r>
    </w:p>
    <w:p w:rsidR="000C39D1" w:rsidRPr="00132E65" w:rsidRDefault="000C39D1" w:rsidP="000C39D1">
      <w:pPr>
        <w:pStyle w:val="libFootnote0"/>
        <w:rPr>
          <w:rtl/>
          <w:lang w:bidi="fa-IR"/>
        </w:rPr>
      </w:pPr>
      <w:r>
        <w:rPr>
          <w:rtl/>
        </w:rPr>
        <w:t>(2).</w:t>
      </w:r>
      <w:r w:rsidRPr="00132E65">
        <w:rPr>
          <w:rtl/>
        </w:rPr>
        <w:t xml:space="preserve"> </w:t>
      </w:r>
      <w:r w:rsidRPr="00381013">
        <w:rPr>
          <w:rtl/>
        </w:rPr>
        <w:t>تفسير القمّي</w:t>
      </w:r>
      <w:r w:rsidRPr="00132E65">
        <w:rPr>
          <w:rtl/>
        </w:rPr>
        <w:t xml:space="preserve"> ، ج 2 ، ص 297 ، من دون الإسناد إلى المعصوم </w:t>
      </w:r>
      <w:r w:rsidRPr="00535123">
        <w:rPr>
          <w:rStyle w:val="libFootnoteAlaemChar"/>
          <w:rtl/>
        </w:rPr>
        <w:t>عليه‌السلام</w:t>
      </w:r>
      <w:r w:rsidRPr="00132E65">
        <w:rPr>
          <w:rtl/>
        </w:rPr>
        <w:t xml:space="preserve"> ، مع اختلاف يسير </w:t>
      </w:r>
      <w:r w:rsidR="00535123">
        <w:rPr>
          <w:rFonts w:hint="cs"/>
          <w:rtl/>
        </w:rPr>
        <w:t>.</w:t>
      </w:r>
      <w:r w:rsidRPr="009D1ACE">
        <w:rPr>
          <w:rStyle w:val="libFootnoteBoldChar"/>
          <w:rtl/>
        </w:rPr>
        <w:t>الوافي</w:t>
      </w:r>
      <w:r w:rsidRPr="00132E65">
        <w:rPr>
          <w:rtl/>
        </w:rPr>
        <w:t xml:space="preserve"> ، ج 3 ، ص 758 ، ح 1378 ؛ </w:t>
      </w:r>
      <w:r w:rsidRPr="00381013">
        <w:rPr>
          <w:rtl/>
        </w:rPr>
        <w:t>الوسائل</w:t>
      </w:r>
      <w:r w:rsidRPr="00132E65">
        <w:rPr>
          <w:rtl/>
        </w:rPr>
        <w:t xml:space="preserve"> ، ج 21 ، ص 381 ، ح 27355 ؛ </w:t>
      </w:r>
      <w:r w:rsidRPr="00381013">
        <w:rPr>
          <w:rtl/>
        </w:rPr>
        <w:t>البحار</w:t>
      </w:r>
      <w:r w:rsidRPr="00132E65">
        <w:rPr>
          <w:rtl/>
        </w:rPr>
        <w:t xml:space="preserve"> ، ج 43 ، ص 258 ، ح 46.</w:t>
      </w:r>
    </w:p>
    <w:p w:rsidR="000C39D1" w:rsidRPr="00132E65" w:rsidRDefault="000C39D1" w:rsidP="000C39D1">
      <w:pPr>
        <w:pStyle w:val="libFootnote0"/>
        <w:rPr>
          <w:rtl/>
          <w:lang w:bidi="fa-IR"/>
        </w:rPr>
      </w:pPr>
      <w:r>
        <w:rPr>
          <w:rtl/>
        </w:rPr>
        <w:t>(3).</w:t>
      </w:r>
      <w:r w:rsidRPr="00132E65">
        <w:rPr>
          <w:rtl/>
        </w:rPr>
        <w:t xml:space="preserve"> في السند تحويل بعطف « الحسين بن محمّد عن معلّى بن محمّد ، عن الوشّاء » على « محمّد بن يحيى ، عن‌أحمد بن محمّد ، عن الوشّاء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001A43A8">
        <w:rPr>
          <w:rtl/>
        </w:rPr>
        <w:t xml:space="preserve"> ، ج 5 ، ص 362 : « قوله : لم</w:t>
      </w:r>
      <w:r w:rsidR="001A43A8">
        <w:rPr>
          <w:rFonts w:hint="cs"/>
          <w:rtl/>
        </w:rPr>
        <w:t>ـّ</w:t>
      </w:r>
      <w:r w:rsidRPr="00132E65">
        <w:rPr>
          <w:rtl/>
        </w:rPr>
        <w:t>ا حملت ، لعلّ المعنى : قرب حملها ، أو المراد : جاء جبرئيل قبل‌ذلك ، أو المراد بقوله : « حملت » ، ثانياً : شعرت به. وربّما يقرأ الثاني : حُمِّلَتْ على بناء المجهول من التفعيل ، أي عدّت حاملاً »</w:t>
      </w:r>
      <w:r>
        <w:rPr>
          <w:rtl/>
        </w:rPr>
        <w:t>.</w:t>
      </w:r>
    </w:p>
    <w:p w:rsidR="000C39D1" w:rsidRPr="00132E65" w:rsidRDefault="000C39D1" w:rsidP="000C39D1">
      <w:pPr>
        <w:pStyle w:val="libFootnote0"/>
        <w:rPr>
          <w:rtl/>
          <w:lang w:bidi="fa-IR"/>
        </w:rPr>
      </w:pPr>
      <w:r>
        <w:rPr>
          <w:rtl/>
        </w:rPr>
        <w:t>(5).</w:t>
      </w:r>
      <w:r w:rsidRPr="00132E65">
        <w:rPr>
          <w:rtl/>
        </w:rPr>
        <w:t xml:space="preserve"> في « ج » : « وضعت »</w:t>
      </w:r>
      <w:r>
        <w:rPr>
          <w:rtl/>
        </w:rPr>
        <w:t>.</w:t>
      </w:r>
    </w:p>
    <w:tbl>
      <w:tblPr>
        <w:tblStyle w:val="TableGrid"/>
        <w:bidiVisual/>
        <w:tblW w:w="0" w:type="auto"/>
        <w:tblLook w:val="04A0" w:firstRow="1" w:lastRow="0" w:firstColumn="1" w:lastColumn="0" w:noHBand="0" w:noVBand="1"/>
      </w:tblPr>
      <w:tblGrid>
        <w:gridCol w:w="4261"/>
        <w:gridCol w:w="4262"/>
      </w:tblGrid>
      <w:tr w:rsidR="001A43A8" w:rsidTr="001A43A8">
        <w:tc>
          <w:tcPr>
            <w:tcW w:w="4261" w:type="dxa"/>
          </w:tcPr>
          <w:p w:rsidR="001A43A8" w:rsidRDefault="001A43A8" w:rsidP="001A43A8">
            <w:pPr>
              <w:pStyle w:val="libFootnote0"/>
              <w:rPr>
                <w:rtl/>
              </w:rPr>
            </w:pPr>
            <w:r>
              <w:rPr>
                <w:rtl/>
              </w:rPr>
              <w:t>(6).</w:t>
            </w:r>
            <w:r w:rsidRPr="00132E65">
              <w:rPr>
                <w:rtl/>
              </w:rPr>
              <w:t>في«بح،بر»:</w:t>
            </w:r>
            <w:r>
              <w:rPr>
                <w:rtl/>
              </w:rPr>
              <w:t>+</w:t>
            </w:r>
            <w:r w:rsidRPr="00132E65">
              <w:rPr>
                <w:rtl/>
              </w:rPr>
              <w:t>«لما علمت أنّه سيقتل»</w:t>
            </w:r>
            <w:r>
              <w:rPr>
                <w:rtl/>
              </w:rPr>
              <w:t>.</w:t>
            </w:r>
          </w:p>
        </w:tc>
        <w:tc>
          <w:tcPr>
            <w:tcW w:w="4262" w:type="dxa"/>
          </w:tcPr>
          <w:p w:rsidR="001A43A8" w:rsidRDefault="001A43A8" w:rsidP="001A43A8">
            <w:pPr>
              <w:pStyle w:val="libFootnote0"/>
              <w:rPr>
                <w:rtl/>
              </w:rPr>
            </w:pPr>
            <w:r>
              <w:rPr>
                <w:rtl/>
              </w:rPr>
              <w:t>(7).</w:t>
            </w:r>
            <w:r w:rsidRPr="00132E65">
              <w:rPr>
                <w:rtl/>
              </w:rPr>
              <w:t>في«بر»:«تكرّهته»</w:t>
            </w:r>
            <w:r>
              <w:rPr>
                <w:rtl/>
              </w:rPr>
              <w:t>.</w:t>
            </w:r>
            <w:r w:rsidRPr="00132E65">
              <w:rPr>
                <w:rtl/>
              </w:rPr>
              <w:t>وفي«ض»:«كرهت»</w:t>
            </w:r>
            <w:r>
              <w:rPr>
                <w:rtl/>
              </w:rPr>
              <w:t>.</w:t>
            </w:r>
          </w:p>
        </w:tc>
      </w:tr>
    </w:tbl>
    <w:p w:rsidR="000C39D1" w:rsidRPr="00132E65" w:rsidRDefault="000C39D1" w:rsidP="000C39D1">
      <w:pPr>
        <w:pStyle w:val="libFootnote0"/>
        <w:rPr>
          <w:rtl/>
          <w:lang w:bidi="fa-IR"/>
        </w:rPr>
      </w:pPr>
      <w:r>
        <w:rPr>
          <w:rtl/>
        </w:rPr>
        <w:t>(8).</w:t>
      </w:r>
      <w:r w:rsidRPr="00132E65">
        <w:rPr>
          <w:rtl/>
        </w:rPr>
        <w:t xml:space="preserve"> في « بح » : « تكرّهته »</w:t>
      </w:r>
      <w:r>
        <w:rPr>
          <w:rtl/>
        </w:rPr>
        <w:t>.</w:t>
      </w:r>
      <w:r w:rsidRPr="00132E65">
        <w:rPr>
          <w:rtl/>
        </w:rPr>
        <w:t xml:space="preserve"> وفي « بر » : « كرهت »</w:t>
      </w:r>
      <w:r>
        <w:rPr>
          <w:rtl/>
        </w:rPr>
        <w:t>.</w:t>
      </w:r>
    </w:p>
    <w:p w:rsidR="000C39D1" w:rsidRPr="00132E65" w:rsidRDefault="000C39D1" w:rsidP="000C39D1">
      <w:pPr>
        <w:pStyle w:val="libFootnote0"/>
        <w:rPr>
          <w:rtl/>
          <w:lang w:bidi="fa-IR"/>
        </w:rPr>
      </w:pPr>
      <w:r>
        <w:rPr>
          <w:rtl/>
        </w:rPr>
        <w:t>(9).</w:t>
      </w:r>
      <w:r w:rsidRPr="00132E65">
        <w:rPr>
          <w:rtl/>
        </w:rPr>
        <w:t xml:space="preserve"> هكذا في القرآن وحاشية « بف »</w:t>
      </w:r>
      <w:r>
        <w:rPr>
          <w:rtl/>
        </w:rPr>
        <w:t>.</w:t>
      </w:r>
      <w:r w:rsidRPr="00132E65">
        <w:rPr>
          <w:rtl/>
        </w:rPr>
        <w:t xml:space="preserve"> واتّفقت النسخ والمطبوع و</w:t>
      </w:r>
      <w:r w:rsidRPr="009D1ACE">
        <w:rPr>
          <w:rStyle w:val="libFootnoteBoldChar"/>
          <w:rtl/>
        </w:rPr>
        <w:t>مرآة العقول</w:t>
      </w:r>
      <w:r w:rsidRPr="00132E65">
        <w:rPr>
          <w:rtl/>
        </w:rPr>
        <w:t xml:space="preserve"> على « حُسناً »</w:t>
      </w:r>
      <w:r>
        <w:rPr>
          <w:rtl/>
        </w:rPr>
        <w:t>.</w:t>
      </w:r>
    </w:p>
    <w:p w:rsidR="000C39D1" w:rsidRPr="00132E65" w:rsidRDefault="000C39D1" w:rsidP="000C39D1">
      <w:pPr>
        <w:pStyle w:val="libFootnote0"/>
        <w:rPr>
          <w:rtl/>
          <w:lang w:bidi="fa-IR"/>
        </w:rPr>
      </w:pPr>
      <w:r>
        <w:rPr>
          <w:rtl/>
        </w:rPr>
        <w:t>(10).</w:t>
      </w:r>
      <w:r w:rsidRPr="00132E65">
        <w:rPr>
          <w:rtl/>
        </w:rPr>
        <w:t xml:space="preserve"> الأحقاف (46) : 15.</w:t>
      </w:r>
    </w:p>
    <w:p w:rsidR="000C39D1" w:rsidRPr="00132E65" w:rsidRDefault="000C39D1" w:rsidP="00426F5F">
      <w:pPr>
        <w:pStyle w:val="libFootnote0"/>
        <w:rPr>
          <w:rtl/>
          <w:lang w:bidi="fa-IR"/>
        </w:rPr>
      </w:pPr>
      <w:r>
        <w:rPr>
          <w:rtl/>
        </w:rPr>
        <w:t>(11).</w:t>
      </w:r>
      <w:r w:rsidRPr="00132E65">
        <w:rPr>
          <w:rtl/>
        </w:rPr>
        <w:t xml:space="preserve"> </w:t>
      </w:r>
      <w:r w:rsidRPr="00381013">
        <w:rPr>
          <w:rtl/>
        </w:rPr>
        <w:t>كامل الزيارات</w:t>
      </w:r>
      <w:r w:rsidRPr="00132E65">
        <w:rPr>
          <w:rtl/>
        </w:rPr>
        <w:t xml:space="preserve"> ، ص 55 ، الباب السادس عشر ، ح 2 ، بسنده عن أحمد بن محمّد بن عيسى ، عن الوشّاء، </w:t>
      </w:r>
      <w:r w:rsidR="00426F5F">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E56AEC">
        <w:rPr>
          <w:rtl/>
        </w:rPr>
        <w:t>1263</w:t>
      </w:r>
      <w:r w:rsidRPr="004325D8">
        <w:rPr>
          <w:rStyle w:val="libBold2Char"/>
          <w:rtl/>
        </w:rPr>
        <w:t xml:space="preserve"> / 4.</w:t>
      </w:r>
      <w:r w:rsidRPr="00132E65">
        <w:rPr>
          <w:rtl/>
          <w:lang w:bidi="fa-IR"/>
        </w:rPr>
        <w:t xml:space="preserve"> مُحَمَّدُ بْنُ يَحْيى ، عَنْ عَلِيِّ بْنِ إِسْمَاعِيلَ ، عَنْ مُحَمَّدِ بْنِ عَمْرٍو الزَّيَّاتِ ، عَنْ رَجُلٍ مِنْ أَصْحَابِنَا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جَبْرَئِيلَ </w:t>
      </w:r>
      <w:r w:rsidRPr="00071CF9">
        <w:rPr>
          <w:rStyle w:val="libAlaemChar"/>
          <w:rtl/>
        </w:rPr>
        <w:t>عليه‌السلام</w:t>
      </w:r>
      <w:r w:rsidRPr="00132E65">
        <w:rPr>
          <w:rtl/>
          <w:lang w:bidi="fa-IR"/>
        </w:rPr>
        <w:t xml:space="preserve"> نَزَلَ عَلى مُحَمَّدٍ </w:t>
      </w:r>
      <w:r w:rsidRPr="0093484F">
        <w:rPr>
          <w:rStyle w:val="libAlaemChar"/>
          <w:rFonts w:eastAsiaTheme="minorHAnsi"/>
          <w:rtl/>
        </w:rPr>
        <w:t>صلى‌الله‌عليه‌وآله</w:t>
      </w:r>
      <w:r w:rsidRPr="00132E65">
        <w:rPr>
          <w:rtl/>
          <w:lang w:bidi="fa-IR"/>
        </w:rPr>
        <w:t xml:space="preserve"> ، فَقَالَ لَهُ : يَا مُحَمَّدُ ، إِنَّ اللهَ يُبَشِّرُكَ بِمَوْلُودٍ يُولَدُ </w:t>
      </w:r>
      <w:r>
        <w:rPr>
          <w:rStyle w:val="libFootnotenumChar"/>
          <w:rtl/>
        </w:rPr>
        <w:t>(1)</w:t>
      </w:r>
      <w:r w:rsidRPr="00132E65">
        <w:rPr>
          <w:rtl/>
          <w:lang w:bidi="fa-IR"/>
        </w:rPr>
        <w:t xml:space="preserve"> مِنْ فَاطِمَةَ تَقْتُلُهُ </w:t>
      </w:r>
      <w:r>
        <w:rPr>
          <w:rStyle w:val="libFootnotenumChar"/>
          <w:rtl/>
        </w:rPr>
        <w:t>(2)</w:t>
      </w:r>
      <w:r w:rsidRPr="00132E65">
        <w:rPr>
          <w:rtl/>
          <w:lang w:bidi="fa-IR"/>
        </w:rPr>
        <w:t xml:space="preserve"> أُمَّتُكَ مِنْ بَعْدِكَ.</w:t>
      </w:r>
    </w:p>
    <w:p w:rsidR="000C39D1" w:rsidRPr="00132E65" w:rsidRDefault="000C39D1" w:rsidP="000C39D1">
      <w:pPr>
        <w:pStyle w:val="libNormal"/>
        <w:rPr>
          <w:rtl/>
          <w:lang w:bidi="fa-IR"/>
        </w:rPr>
      </w:pPr>
      <w:r w:rsidRPr="00132E65">
        <w:rPr>
          <w:rtl/>
          <w:lang w:bidi="fa-IR"/>
        </w:rPr>
        <w:t>فَقَالَ : يَا جَبْرَئِيلُ ، و</w:t>
      </w:r>
      <w:r w:rsidR="003438E6">
        <w:rPr>
          <w:rFonts w:hint="cs"/>
          <w:rtl/>
          <w:lang w:bidi="fa-IR"/>
        </w:rPr>
        <w:t xml:space="preserve">َ </w:t>
      </w:r>
      <w:r w:rsidRPr="00132E65">
        <w:rPr>
          <w:rtl/>
          <w:lang w:bidi="fa-IR"/>
        </w:rPr>
        <w:t>عَلى رَبِّيَ السَّلَامُ ، لَاحَاجَةَ لِي فِي مَوْلُودٍ يُولَدُ مِنْ فَاطِمَةَ تَقْتُلُهُ أُمَّتِي مِنْ بَعْدِي.</w:t>
      </w:r>
    </w:p>
    <w:p w:rsidR="000C39D1" w:rsidRPr="00132E65" w:rsidRDefault="000C39D1" w:rsidP="000C39D1">
      <w:pPr>
        <w:pStyle w:val="libNormal"/>
        <w:rPr>
          <w:rtl/>
          <w:lang w:bidi="fa-IR"/>
        </w:rPr>
      </w:pPr>
      <w:r w:rsidRPr="00132E65">
        <w:rPr>
          <w:rtl/>
          <w:lang w:bidi="fa-IR"/>
        </w:rPr>
        <w:t xml:space="preserve">فَعَرَجَ </w:t>
      </w:r>
      <w:r>
        <w:rPr>
          <w:rStyle w:val="libFootnotenumChar"/>
          <w:rtl/>
        </w:rPr>
        <w:t>(3)</w:t>
      </w:r>
      <w:r w:rsidRPr="00132E65">
        <w:rPr>
          <w:rtl/>
          <w:lang w:bidi="fa-IR"/>
        </w:rPr>
        <w:t xml:space="preserve"> ، ثُمَّ هَبَطَ </w:t>
      </w:r>
      <w:r w:rsidRPr="00071CF9">
        <w:rPr>
          <w:rStyle w:val="libAlaemChar"/>
          <w:rtl/>
        </w:rPr>
        <w:t>عليه‌السلام</w:t>
      </w:r>
      <w:r w:rsidRPr="00132E65">
        <w:rPr>
          <w:rtl/>
          <w:lang w:bidi="fa-IR"/>
        </w:rPr>
        <w:t xml:space="preserve"> ، فَقَالَ </w:t>
      </w:r>
      <w:r>
        <w:rPr>
          <w:rStyle w:val="libFootnotenumChar"/>
          <w:rtl/>
        </w:rPr>
        <w:t>(4)</w:t>
      </w:r>
      <w:r w:rsidRPr="00132E65">
        <w:rPr>
          <w:rtl/>
          <w:lang w:bidi="fa-IR"/>
        </w:rPr>
        <w:t xml:space="preserve"> لَهُ مِثْلَ ذلِكَ ، فَقَالَ : يَا جَبْرَئِيلُ ، و</w:t>
      </w:r>
      <w:r w:rsidR="003438E6">
        <w:rPr>
          <w:rFonts w:hint="cs"/>
          <w:rtl/>
          <w:lang w:bidi="fa-IR"/>
        </w:rPr>
        <w:t xml:space="preserve">َ </w:t>
      </w:r>
      <w:r w:rsidRPr="00132E65">
        <w:rPr>
          <w:rtl/>
          <w:lang w:bidi="fa-IR"/>
        </w:rPr>
        <w:t xml:space="preserve">عَلى رَبِّيَ السَّلَامُ ، لَا حَاجَةَ لِي فِي مَوْلُودٍ تَقْتُلُهُ أُمَّتِي مِنْ بَعْدِي ، فَعَرَجَ جَبْرَئِيلُ إِلَى السَّمَاءِ ، ثُمَّ هَبَطَ </w:t>
      </w:r>
      <w:r w:rsidRPr="00071CF9">
        <w:rPr>
          <w:rStyle w:val="libAlaemChar"/>
          <w:rtl/>
        </w:rPr>
        <w:t>عليه‌السلام</w:t>
      </w:r>
      <w:r w:rsidRPr="00132E65">
        <w:rPr>
          <w:rtl/>
          <w:lang w:bidi="fa-IR"/>
        </w:rPr>
        <w:t xml:space="preserve"> ، فَقَالَ </w:t>
      </w:r>
      <w:r>
        <w:rPr>
          <w:rStyle w:val="libFootnotenumChar"/>
          <w:rtl/>
        </w:rPr>
        <w:t>(5)</w:t>
      </w:r>
      <w:r w:rsidRPr="00132E65">
        <w:rPr>
          <w:rtl/>
          <w:lang w:bidi="fa-IR"/>
        </w:rPr>
        <w:t xml:space="preserve"> : يَا مُحَمَّدُ ، إِنَّ رَبَّكَ يُقْرِئُكَ السَّلَامَ ، و</w:t>
      </w:r>
      <w:r w:rsidR="003438E6">
        <w:rPr>
          <w:rFonts w:hint="cs"/>
          <w:rtl/>
          <w:lang w:bidi="fa-IR"/>
        </w:rPr>
        <w:t>َ</w:t>
      </w:r>
      <w:r w:rsidRPr="00132E65">
        <w:rPr>
          <w:rtl/>
          <w:lang w:bidi="fa-IR"/>
        </w:rPr>
        <w:t>يُبَشِّرُكَ بِأَنَّهُ جَاعِلٌ فِي ذُرِّيَّتِهِ الْإِمَامَةَ وَ</w:t>
      </w:r>
      <w:r w:rsidR="003438E6">
        <w:rPr>
          <w:rFonts w:hint="cs"/>
          <w:rtl/>
          <w:lang w:bidi="fa-IR"/>
        </w:rPr>
        <w:t xml:space="preserve"> </w:t>
      </w:r>
      <w:r w:rsidRPr="00132E65">
        <w:rPr>
          <w:rtl/>
          <w:lang w:bidi="fa-IR"/>
        </w:rPr>
        <w:t>الْوَلَايَةَ و</w:t>
      </w:r>
      <w:r w:rsidR="003438E6">
        <w:rPr>
          <w:rFonts w:hint="cs"/>
          <w:rtl/>
          <w:lang w:bidi="fa-IR"/>
        </w:rPr>
        <w:t xml:space="preserve">َ </w:t>
      </w:r>
      <w:r w:rsidRPr="00132E65">
        <w:rPr>
          <w:rtl/>
          <w:lang w:bidi="fa-IR"/>
        </w:rPr>
        <w:t xml:space="preserve">الْوَصِيَّةَ ، فَقَالَ </w:t>
      </w:r>
      <w:r>
        <w:rPr>
          <w:rStyle w:val="libFootnotenumChar"/>
          <w:rtl/>
        </w:rPr>
        <w:t>(6)</w:t>
      </w:r>
      <w:r w:rsidRPr="00132E65">
        <w:rPr>
          <w:rtl/>
          <w:lang w:bidi="fa-IR"/>
        </w:rPr>
        <w:t xml:space="preserve"> : قَدْ رَضِيتُ.</w:t>
      </w:r>
    </w:p>
    <w:p w:rsidR="000C39D1" w:rsidRPr="00132E65" w:rsidRDefault="000C39D1" w:rsidP="003438E6">
      <w:pPr>
        <w:pStyle w:val="libNormal"/>
        <w:rPr>
          <w:rtl/>
        </w:rPr>
      </w:pPr>
      <w:r w:rsidRPr="00132E65">
        <w:rPr>
          <w:rtl/>
          <w:lang w:bidi="fa-IR"/>
        </w:rPr>
        <w:t xml:space="preserve">ثُمَّ أَرْسَلَ إِلى فَاطِمَةَ : أَنَّ اللهَ يُبَشِّرُنِي بِمَوْلُودٍ يُولَدُ لَكِ تَقْتُلُهُ أُمَّتِي مِنْ بَعْدِي </w:t>
      </w:r>
      <w:r>
        <w:rPr>
          <w:rStyle w:val="libFootnotenumChar"/>
          <w:rtl/>
        </w:rPr>
        <w:t>(7)</w:t>
      </w:r>
      <w:r w:rsidRPr="00132E65">
        <w:rPr>
          <w:rtl/>
          <w:lang w:bidi="fa-IR"/>
        </w:rPr>
        <w:t xml:space="preserve"> ؛ فَأَرْسَلَتْ إِلَيْهِ : لَاحَاجَةَ </w:t>
      </w:r>
      <w:r>
        <w:rPr>
          <w:rStyle w:val="libFootnotenumChar"/>
          <w:rtl/>
        </w:rPr>
        <w:t>(8)</w:t>
      </w:r>
      <w:r w:rsidRPr="00132E65">
        <w:rPr>
          <w:rtl/>
          <w:lang w:bidi="fa-IR"/>
        </w:rPr>
        <w:t xml:space="preserve"> لِي فِي مَوْلُودٍ مِنِّي </w:t>
      </w:r>
      <w:r>
        <w:rPr>
          <w:rStyle w:val="libFootnotenumChar"/>
          <w:rtl/>
        </w:rPr>
        <w:t>(9)</w:t>
      </w:r>
      <w:r w:rsidRPr="00132E65">
        <w:rPr>
          <w:rtl/>
          <w:lang w:bidi="fa-IR"/>
        </w:rPr>
        <w:t xml:space="preserve"> تَقْتُلُهُ أُمَّتُكَ مِنْ بَعْدِكَ ؛ فَأَرْسَلَ إِلَيْهَا :</w:t>
      </w:r>
      <w:r>
        <w:rPr>
          <w:rFonts w:hint="cs"/>
          <w:rtl/>
          <w:lang w:bidi="fa-IR"/>
        </w:rPr>
        <w:t xml:space="preserve"> </w:t>
      </w:r>
      <w:r w:rsidRPr="00132E65">
        <w:rPr>
          <w:rtl/>
          <w:lang w:bidi="fa-IR"/>
        </w:rPr>
        <w:t>أَنَّ اللهَ قَدْ جَعَلَ فِي ذُرِّيَّتِهِ الْإِمَامَةَ و</w:t>
      </w:r>
      <w:r w:rsidR="003438E6">
        <w:rPr>
          <w:rFonts w:hint="cs"/>
          <w:rtl/>
          <w:lang w:bidi="fa-IR"/>
        </w:rPr>
        <w:t xml:space="preserve">َ </w:t>
      </w:r>
      <w:r w:rsidRPr="00132E65">
        <w:rPr>
          <w:rtl/>
          <w:lang w:bidi="fa-IR"/>
        </w:rPr>
        <w:t>الْوَلَايَةَ و</w:t>
      </w:r>
      <w:r w:rsidR="003438E6">
        <w:rPr>
          <w:rFonts w:hint="cs"/>
          <w:rtl/>
          <w:lang w:bidi="fa-IR"/>
        </w:rPr>
        <w:t xml:space="preserve">َ </w:t>
      </w:r>
      <w:r w:rsidRPr="00132E65">
        <w:rPr>
          <w:rtl/>
          <w:lang w:bidi="fa-IR"/>
        </w:rPr>
        <w:t>الْوَصِيَّةَ ؛ فَأَرْسَلَتْ إِلَيْهِ : أَنِّي قَدْ رَضِيتُ فَ</w:t>
      </w:r>
      <w:r w:rsidR="003438E6">
        <w:rPr>
          <w:rFonts w:hint="cs"/>
          <w:rtl/>
          <w:lang w:bidi="fa-IR"/>
        </w:rPr>
        <w:t>ـ</w:t>
      </w:r>
      <w:r w:rsidRPr="00071CF9">
        <w:rPr>
          <w:rStyle w:val="libAlaemChar"/>
          <w:rtl/>
        </w:rPr>
        <w:t>(</w:t>
      </w:r>
      <w:r w:rsidRPr="00071CF9">
        <w:rPr>
          <w:rStyle w:val="libAieChar"/>
          <w:rtl/>
        </w:rPr>
        <w:t xml:space="preserve">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فَلَوْ لَا</w:t>
      </w:r>
      <w:r>
        <w:rPr>
          <w:rFonts w:hint="cs"/>
          <w:rtl/>
          <w:lang w:bidi="fa-IR"/>
        </w:rPr>
        <w:t xml:space="preserve"> </w:t>
      </w:r>
      <w:r w:rsidRPr="00132E65">
        <w:rPr>
          <w:rtl/>
          <w:lang w:bidi="fa-IR"/>
        </w:rPr>
        <w:t xml:space="preserve">أَنَّهُ قَالَ : </w:t>
      </w:r>
      <w:r w:rsidRPr="00071CF9">
        <w:rPr>
          <w:rStyle w:val="libAlaemChar"/>
          <w:rtl/>
        </w:rPr>
        <w:t>(</w:t>
      </w:r>
      <w:r w:rsidRPr="00071CF9">
        <w:rPr>
          <w:rStyle w:val="libAieChar"/>
          <w:rtl/>
        </w:rPr>
        <w:t xml:space="preserve"> وَأَصْلِحْ لِي فِي</w:t>
      </w:r>
    </w:p>
    <w:p w:rsidR="000C39D1" w:rsidRPr="00132E65" w:rsidRDefault="000C39D1" w:rsidP="000C39D1">
      <w:pPr>
        <w:pStyle w:val="libLine"/>
        <w:rPr>
          <w:rtl/>
          <w:lang w:bidi="fa-IR"/>
        </w:rPr>
      </w:pPr>
      <w:r w:rsidRPr="00132E65">
        <w:rPr>
          <w:rtl/>
          <w:lang w:bidi="fa-IR"/>
        </w:rPr>
        <w:t>__________________</w:t>
      </w:r>
    </w:p>
    <w:p w:rsidR="000C39D1" w:rsidRPr="00132E65" w:rsidRDefault="003438E6" w:rsidP="000C39D1">
      <w:pPr>
        <w:pStyle w:val="libFootnote0"/>
        <w:rPr>
          <w:rtl/>
          <w:lang w:bidi="fa-IR"/>
        </w:rPr>
      </w:pPr>
      <w:r>
        <w:rPr>
          <w:rFonts w:hint="cs"/>
          <w:rtl/>
        </w:rPr>
        <w:t xml:space="preserve">= </w:t>
      </w:r>
      <w:r w:rsidR="000C39D1" w:rsidRPr="00132E65">
        <w:rPr>
          <w:rtl/>
        </w:rPr>
        <w:t xml:space="preserve">عن أحمد بن عائذ ، عن أبي سلمة سالم بن مكرم ، عن أبي عبد الله </w:t>
      </w:r>
      <w:r w:rsidR="000C39D1" w:rsidRPr="003438E6">
        <w:rPr>
          <w:rStyle w:val="libFootnoteAlaemChar"/>
          <w:rtl/>
        </w:rPr>
        <w:t>عليه‌السلام</w:t>
      </w:r>
      <w:r w:rsidR="000C39D1" w:rsidRPr="00132E65">
        <w:rPr>
          <w:rtl/>
        </w:rPr>
        <w:t xml:space="preserve"> </w:t>
      </w:r>
      <w:r>
        <w:rPr>
          <w:rFonts w:hint="cs"/>
          <w:rtl/>
        </w:rPr>
        <w:t>.</w:t>
      </w:r>
      <w:r w:rsidR="000C39D1" w:rsidRPr="009D1ACE">
        <w:rPr>
          <w:rStyle w:val="libFootnoteBoldChar"/>
          <w:rtl/>
        </w:rPr>
        <w:t>الوافي</w:t>
      </w:r>
      <w:r w:rsidR="000C39D1" w:rsidRPr="00132E65">
        <w:rPr>
          <w:rtl/>
        </w:rPr>
        <w:t xml:space="preserve"> ، ج 3 ، ص 756 ، ح 1375.</w:t>
      </w:r>
    </w:p>
    <w:tbl>
      <w:tblPr>
        <w:tblStyle w:val="TableGrid"/>
        <w:bidiVisual/>
        <w:tblW w:w="0" w:type="auto"/>
        <w:tblLook w:val="04A0" w:firstRow="1" w:lastRow="0" w:firstColumn="1" w:lastColumn="0" w:noHBand="0" w:noVBand="1"/>
      </w:tblPr>
      <w:tblGrid>
        <w:gridCol w:w="4261"/>
        <w:gridCol w:w="4262"/>
      </w:tblGrid>
      <w:tr w:rsidR="003438E6" w:rsidTr="003438E6">
        <w:tc>
          <w:tcPr>
            <w:tcW w:w="4261" w:type="dxa"/>
          </w:tcPr>
          <w:p w:rsidR="003438E6" w:rsidRDefault="003438E6" w:rsidP="000C39D1">
            <w:pPr>
              <w:pStyle w:val="libFootnote0"/>
              <w:rPr>
                <w:rtl/>
              </w:rPr>
            </w:pPr>
            <w:r>
              <w:rPr>
                <w:rtl/>
              </w:rPr>
              <w:t>(1).</w:t>
            </w:r>
            <w:r w:rsidRPr="00132E65">
              <w:rPr>
                <w:rtl/>
              </w:rPr>
              <w:t xml:space="preserve"> في « بر » :</w:t>
            </w:r>
            <w:r>
              <w:rPr>
                <w:rtl/>
              </w:rPr>
              <w:t xml:space="preserve"> + </w:t>
            </w:r>
            <w:r w:rsidRPr="00132E65">
              <w:rPr>
                <w:rtl/>
              </w:rPr>
              <w:t>« لك »</w:t>
            </w:r>
            <w:r>
              <w:rPr>
                <w:rtl/>
              </w:rPr>
              <w:t>.</w:t>
            </w:r>
          </w:p>
        </w:tc>
        <w:tc>
          <w:tcPr>
            <w:tcW w:w="4262" w:type="dxa"/>
          </w:tcPr>
          <w:p w:rsidR="003438E6" w:rsidRDefault="003438E6"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 « يقتله » وكذا في مابعد.</w:t>
            </w:r>
          </w:p>
        </w:tc>
      </w:tr>
      <w:tr w:rsidR="003438E6" w:rsidTr="003438E6">
        <w:tc>
          <w:tcPr>
            <w:tcW w:w="4261" w:type="dxa"/>
          </w:tcPr>
          <w:p w:rsidR="003438E6" w:rsidRDefault="003438E6" w:rsidP="000C39D1">
            <w:pPr>
              <w:pStyle w:val="libFootnote0"/>
              <w:rPr>
                <w:rtl/>
              </w:rPr>
            </w:pPr>
            <w:r>
              <w:rPr>
                <w:rtl/>
              </w:rPr>
              <w:t>(3).</w:t>
            </w:r>
            <w:r w:rsidRPr="00132E65">
              <w:rPr>
                <w:rtl/>
              </w:rPr>
              <w:t xml:space="preserve"> في « بح » :</w:t>
            </w:r>
            <w:r>
              <w:rPr>
                <w:rtl/>
              </w:rPr>
              <w:t xml:space="preserve"> + </w:t>
            </w:r>
            <w:r w:rsidRPr="00132E65">
              <w:rPr>
                <w:rtl/>
              </w:rPr>
              <w:t xml:space="preserve">« جبرئيل </w:t>
            </w:r>
            <w:r w:rsidRPr="00F57F97">
              <w:rPr>
                <w:rStyle w:val="libFootnoteAlaemChar"/>
                <w:rtl/>
              </w:rPr>
              <w:t>عليه‌السلام</w:t>
            </w:r>
            <w:r w:rsidRPr="00132E65">
              <w:rPr>
                <w:rtl/>
              </w:rPr>
              <w:t xml:space="preserve"> إلى السماء »</w:t>
            </w:r>
            <w:r>
              <w:rPr>
                <w:rtl/>
              </w:rPr>
              <w:t>.</w:t>
            </w:r>
          </w:p>
        </w:tc>
        <w:tc>
          <w:tcPr>
            <w:tcW w:w="4262" w:type="dxa"/>
          </w:tcPr>
          <w:p w:rsidR="003438E6" w:rsidRDefault="003438E6" w:rsidP="000C39D1">
            <w:pPr>
              <w:pStyle w:val="libFootnote0"/>
              <w:rPr>
                <w:rtl/>
              </w:rPr>
            </w:pPr>
            <w:r>
              <w:rPr>
                <w:rtl/>
              </w:rPr>
              <w:t>(4).</w:t>
            </w:r>
            <w:r w:rsidRPr="00132E65">
              <w:rPr>
                <w:rtl/>
              </w:rPr>
              <w:t xml:space="preserve"> في « ض » : « وقال »</w:t>
            </w:r>
            <w:r>
              <w:rPr>
                <w:rtl/>
              </w:rPr>
              <w:t>.</w:t>
            </w:r>
          </w:p>
        </w:tc>
      </w:tr>
      <w:tr w:rsidR="003438E6" w:rsidTr="003438E6">
        <w:tc>
          <w:tcPr>
            <w:tcW w:w="4261" w:type="dxa"/>
          </w:tcPr>
          <w:p w:rsidR="003438E6" w:rsidRDefault="003438E6" w:rsidP="000C39D1">
            <w:pPr>
              <w:pStyle w:val="libFootnote0"/>
              <w:rPr>
                <w:rtl/>
              </w:rPr>
            </w:pPr>
            <w:r>
              <w:rPr>
                <w:rtl/>
              </w:rPr>
              <w:t>(5).</w:t>
            </w:r>
            <w:r w:rsidRPr="00132E65">
              <w:rPr>
                <w:rtl/>
              </w:rPr>
              <w:t xml:space="preserve"> في « بر » و</w:t>
            </w:r>
            <w:r w:rsidRPr="009D1ACE">
              <w:rPr>
                <w:rStyle w:val="libFootnoteBoldChar"/>
                <w:rtl/>
              </w:rPr>
              <w:t>الوافي</w:t>
            </w:r>
            <w:r w:rsidRPr="00132E65">
              <w:rPr>
                <w:rtl/>
              </w:rPr>
              <w:t xml:space="preserve"> : « وقال »</w:t>
            </w:r>
            <w:r>
              <w:rPr>
                <w:rtl/>
              </w:rPr>
              <w:t>.</w:t>
            </w:r>
          </w:p>
        </w:tc>
        <w:tc>
          <w:tcPr>
            <w:tcW w:w="4262" w:type="dxa"/>
          </w:tcPr>
          <w:p w:rsidR="003438E6" w:rsidRDefault="003438E6" w:rsidP="000C39D1">
            <w:pPr>
              <w:pStyle w:val="libFootnote0"/>
              <w:rPr>
                <w:rtl/>
              </w:rPr>
            </w:pPr>
            <w:r>
              <w:rPr>
                <w:rtl/>
              </w:rPr>
              <w:t>(6).</w:t>
            </w:r>
            <w:r w:rsidRPr="00132E65">
              <w:rPr>
                <w:rtl/>
              </w:rPr>
              <w:t xml:space="preserve"> في حاشية « بر » : « قال : إنّي »</w:t>
            </w:r>
            <w:r>
              <w:rPr>
                <w:rtl/>
              </w:rPr>
              <w:t>.</w:t>
            </w:r>
          </w:p>
        </w:tc>
      </w:tr>
    </w:tbl>
    <w:p w:rsidR="000C39D1" w:rsidRPr="00132E65" w:rsidRDefault="000C39D1" w:rsidP="000C39D1">
      <w:pPr>
        <w:pStyle w:val="libFootnote0"/>
        <w:rPr>
          <w:rtl/>
          <w:lang w:bidi="fa-IR"/>
        </w:rPr>
      </w:pPr>
      <w:r>
        <w:rPr>
          <w:rtl/>
        </w:rPr>
        <w:t>(7).</w:t>
      </w:r>
      <w:r w:rsidRPr="00132E65">
        <w:rPr>
          <w:rtl/>
        </w:rPr>
        <w:t xml:space="preserve"> في « بر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(8).</w:t>
      </w:r>
      <w:r w:rsidRPr="00132E65">
        <w:rPr>
          <w:rtl/>
        </w:rPr>
        <w:t xml:space="preserve"> في « ب ، ض ، ف ، بح ، بس » و</w:t>
      </w:r>
      <w:r w:rsidRPr="009D1ACE">
        <w:rPr>
          <w:rStyle w:val="libFootnoteBoldChar"/>
          <w:rtl/>
        </w:rPr>
        <w:t>الوافي</w:t>
      </w:r>
      <w:r w:rsidRPr="00132E65">
        <w:rPr>
          <w:rtl/>
        </w:rPr>
        <w:t xml:space="preserve"> وكامل الزيارات : « أن لا حاجة »</w:t>
      </w:r>
      <w:r>
        <w:rPr>
          <w:rtl/>
        </w:rPr>
        <w:t>.</w:t>
      </w:r>
    </w:p>
    <w:tbl>
      <w:tblPr>
        <w:tblStyle w:val="TableGrid"/>
        <w:bidiVisual/>
        <w:tblW w:w="0" w:type="auto"/>
        <w:tblLook w:val="04A0" w:firstRow="1" w:lastRow="0" w:firstColumn="1" w:lastColumn="0" w:noHBand="0" w:noVBand="1"/>
      </w:tblPr>
      <w:tblGrid>
        <w:gridCol w:w="4261"/>
        <w:gridCol w:w="4262"/>
      </w:tblGrid>
      <w:tr w:rsidR="003438E6" w:rsidTr="003438E6">
        <w:tc>
          <w:tcPr>
            <w:tcW w:w="4261" w:type="dxa"/>
          </w:tcPr>
          <w:p w:rsidR="003438E6" w:rsidRDefault="00F57F97" w:rsidP="000C39D1">
            <w:pPr>
              <w:pStyle w:val="libFootnote0"/>
              <w:rPr>
                <w:rtl/>
              </w:rPr>
            </w:pPr>
            <w:r>
              <w:rPr>
                <w:rtl/>
              </w:rPr>
              <w:t>(9).</w:t>
            </w:r>
            <w:r w:rsidRPr="00132E65">
              <w:rPr>
                <w:rtl/>
              </w:rPr>
              <w:t xml:space="preserve"> في « ج ، بح ، بس » </w:t>
            </w:r>
            <w:r>
              <w:rPr>
                <w:rtl/>
              </w:rPr>
              <w:t xml:space="preserve">: - </w:t>
            </w:r>
            <w:r w:rsidRPr="00132E65">
              <w:rPr>
                <w:rtl/>
              </w:rPr>
              <w:t>« منّي »</w:t>
            </w:r>
            <w:r>
              <w:rPr>
                <w:rtl/>
              </w:rPr>
              <w:t>.</w:t>
            </w:r>
          </w:p>
        </w:tc>
        <w:tc>
          <w:tcPr>
            <w:tcW w:w="4262" w:type="dxa"/>
          </w:tcPr>
          <w:p w:rsidR="003438E6" w:rsidRDefault="00F57F97" w:rsidP="000C39D1">
            <w:pPr>
              <w:pStyle w:val="libFootnote0"/>
              <w:rPr>
                <w:rtl/>
              </w:rPr>
            </w:pPr>
            <w:r>
              <w:rPr>
                <w:rtl/>
              </w:rPr>
              <w:t>(10).</w:t>
            </w:r>
            <w:r w:rsidRPr="00132E65">
              <w:rPr>
                <w:rtl/>
              </w:rPr>
              <w:t xml:space="preserve"> الأحقاف (46) : 15.</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ذُرِّيَّتِي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 لَكَانَتْ ذُرِّيَّتُهُ كُلُّهُمْ أَئِمَّةً.</w:t>
      </w:r>
    </w:p>
    <w:p w:rsidR="000C39D1" w:rsidRPr="00132E65" w:rsidRDefault="000C39D1" w:rsidP="000C39D1">
      <w:pPr>
        <w:pStyle w:val="libNormal"/>
        <w:rPr>
          <w:rtl/>
          <w:lang w:bidi="fa-IR"/>
        </w:rPr>
      </w:pPr>
      <w:r w:rsidRPr="00132E65">
        <w:rPr>
          <w:rtl/>
          <w:lang w:bidi="fa-IR"/>
        </w:rPr>
        <w:t xml:space="preserve">وَلَمْ يَرْضَعِ الْحُسَيْنُ </w:t>
      </w:r>
      <w:r w:rsidRPr="00071CF9">
        <w:rPr>
          <w:rStyle w:val="libAlaemChar"/>
          <w:rtl/>
        </w:rPr>
        <w:t>عليه‌السلام</w:t>
      </w:r>
      <w:r w:rsidRPr="00132E65">
        <w:rPr>
          <w:rtl/>
          <w:lang w:bidi="fa-IR"/>
        </w:rPr>
        <w:t xml:space="preserve"> </w:t>
      </w:r>
      <w:r>
        <w:rPr>
          <w:rStyle w:val="libFootnotenumChar"/>
          <w:rtl/>
        </w:rPr>
        <w:t>(2)</w:t>
      </w:r>
      <w:r w:rsidRPr="00132E65">
        <w:rPr>
          <w:rtl/>
          <w:lang w:bidi="fa-IR"/>
        </w:rPr>
        <w:t xml:space="preserve"> مِنْ فَاطِمَةَ </w:t>
      </w:r>
      <w:r w:rsidRPr="00071CF9">
        <w:rPr>
          <w:rStyle w:val="libAlaemChar"/>
          <w:rtl/>
        </w:rPr>
        <w:t>عليها‌السلام</w:t>
      </w:r>
      <w:r w:rsidRPr="00132E65">
        <w:rPr>
          <w:rtl/>
          <w:lang w:bidi="fa-IR"/>
        </w:rPr>
        <w:t xml:space="preserve"> و</w:t>
      </w:r>
      <w:r w:rsidR="004828CC">
        <w:rPr>
          <w:rFonts w:hint="cs"/>
          <w:rtl/>
          <w:lang w:bidi="fa-IR"/>
        </w:rPr>
        <w:t xml:space="preserve">َ </w:t>
      </w:r>
      <w:r w:rsidRPr="00132E65">
        <w:rPr>
          <w:rtl/>
          <w:lang w:bidi="fa-IR"/>
        </w:rPr>
        <w:t xml:space="preserve">لَامِنْ أُنْثى ، كَانَ يُؤْتى بِهِ النَّبِيَّ </w:t>
      </w:r>
      <w:r w:rsidRPr="0093484F">
        <w:rPr>
          <w:rStyle w:val="libAlaemChar"/>
          <w:rFonts w:eastAsiaTheme="minorHAnsi"/>
          <w:rtl/>
        </w:rPr>
        <w:t>صلى‌الله‌عليه‌وآله</w:t>
      </w:r>
      <w:r w:rsidRPr="00132E65">
        <w:rPr>
          <w:rtl/>
          <w:lang w:bidi="fa-IR"/>
        </w:rPr>
        <w:t xml:space="preserve"> فَيَضَعُ إِبْهَامَهُ فِي فِيهِ ، فَيَمُصُّ مِنْهَا مَا يَكْفِيهِ </w:t>
      </w:r>
      <w:r>
        <w:rPr>
          <w:rStyle w:val="libFootnotenumChar"/>
          <w:rtl/>
        </w:rPr>
        <w:t>(3)</w:t>
      </w:r>
      <w:r w:rsidRPr="00132E65">
        <w:rPr>
          <w:rtl/>
          <w:lang w:bidi="fa-IR"/>
        </w:rPr>
        <w:t xml:space="preserve"> الْيَوْمَيْنِ و</w:t>
      </w:r>
      <w:r w:rsidR="004828CC">
        <w:rPr>
          <w:rFonts w:hint="cs"/>
          <w:rtl/>
          <w:lang w:bidi="fa-IR"/>
        </w:rPr>
        <w:t xml:space="preserve">َ </w:t>
      </w:r>
      <w:r w:rsidRPr="00132E65">
        <w:rPr>
          <w:rtl/>
          <w:lang w:bidi="fa-IR"/>
        </w:rPr>
        <w:t xml:space="preserve">الثَّلَاثَ ، فَنَبَتَ لَحْمُ الْحُسَيْنِ </w:t>
      </w:r>
      <w:r>
        <w:rPr>
          <w:rStyle w:val="libFootnotenumChar"/>
          <w:rtl/>
        </w:rPr>
        <w:t>(4)</w:t>
      </w:r>
      <w:r w:rsidRPr="00132E65">
        <w:rPr>
          <w:rtl/>
          <w:lang w:bidi="fa-IR"/>
        </w:rPr>
        <w:t xml:space="preserve"> </w:t>
      </w:r>
      <w:r w:rsidRPr="00071CF9">
        <w:rPr>
          <w:rStyle w:val="libAlaemChar"/>
          <w:rtl/>
        </w:rPr>
        <w:t>عليه‌السلام</w:t>
      </w:r>
      <w:r w:rsidRPr="00132E65">
        <w:rPr>
          <w:rtl/>
          <w:lang w:bidi="fa-IR"/>
        </w:rPr>
        <w:t xml:space="preserve"> مِنْ لَحْمِ رَسُولِ اللهِ </w:t>
      </w:r>
      <w:r w:rsidRPr="0093484F">
        <w:rPr>
          <w:rStyle w:val="libAlaemChar"/>
          <w:rFonts w:eastAsiaTheme="minorHAnsi"/>
          <w:rtl/>
        </w:rPr>
        <w:t>صلى‌الله‌عليه‌وآله</w:t>
      </w:r>
      <w:r w:rsidRPr="00132E65">
        <w:rPr>
          <w:rtl/>
          <w:lang w:bidi="fa-IR"/>
        </w:rPr>
        <w:t xml:space="preserve"> و</w:t>
      </w:r>
      <w:r w:rsidR="004828CC">
        <w:rPr>
          <w:rFonts w:hint="cs"/>
          <w:rtl/>
          <w:lang w:bidi="fa-IR"/>
        </w:rPr>
        <w:t xml:space="preserve">َ </w:t>
      </w:r>
      <w:r w:rsidRPr="00132E65">
        <w:rPr>
          <w:rtl/>
          <w:lang w:bidi="fa-IR"/>
        </w:rPr>
        <w:t>دَمِهِ ؛ و</w:t>
      </w:r>
      <w:r w:rsidR="00865615">
        <w:rPr>
          <w:rFonts w:hint="cs"/>
          <w:rtl/>
          <w:lang w:bidi="fa-IR"/>
        </w:rPr>
        <w:t xml:space="preserve">َ </w:t>
      </w:r>
      <w:r w:rsidRPr="00132E65">
        <w:rPr>
          <w:rtl/>
          <w:lang w:bidi="fa-IR"/>
        </w:rPr>
        <w:t>لَمْ يُولَدْ لِسِتَّةِ أَشْهُ</w:t>
      </w:r>
      <w:r w:rsidR="00865615">
        <w:rPr>
          <w:rtl/>
          <w:lang w:bidi="fa-IR"/>
        </w:rPr>
        <w:t>رٍ إِل</w:t>
      </w:r>
      <w:r w:rsidR="00865615">
        <w:rPr>
          <w:rFonts w:hint="cs"/>
          <w:rtl/>
          <w:lang w:bidi="fa-IR"/>
        </w:rPr>
        <w:t>َّ</w:t>
      </w:r>
      <w:r w:rsidR="00865615">
        <w:rPr>
          <w:rtl/>
          <w:lang w:bidi="fa-IR"/>
        </w:rPr>
        <w:t>ا</w:t>
      </w:r>
      <w:r w:rsidRPr="00132E65">
        <w:rPr>
          <w:rtl/>
          <w:lang w:bidi="fa-IR"/>
        </w:rPr>
        <w:t xml:space="preserve"> عِيسَى بْنُ مَرْيَمَ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و</w:t>
      </w:r>
      <w:r w:rsidR="006D1523">
        <w:rPr>
          <w:rFonts w:hint="cs"/>
          <w:rtl/>
          <w:lang w:bidi="fa-IR"/>
        </w:rPr>
        <w:t xml:space="preserve">َ </w:t>
      </w:r>
      <w:r w:rsidRPr="00132E65">
        <w:rPr>
          <w:rtl/>
          <w:lang w:bidi="fa-IR"/>
        </w:rPr>
        <w:t xml:space="preserve">الْحُسَيْنُ بْنُ عَلِيٍّ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6D1523" w:rsidP="00E9140D">
      <w:pPr>
        <w:pStyle w:val="libNormal"/>
        <w:rPr>
          <w:rtl/>
          <w:lang w:bidi="fa-IR"/>
        </w:rPr>
      </w:pPr>
      <w:r>
        <w:rPr>
          <w:rFonts w:hint="cs"/>
          <w:rtl/>
          <w:lang w:bidi="fa-IR"/>
        </w:rPr>
        <w:t xml:space="preserve">* </w:t>
      </w:r>
      <w:r w:rsidR="000C39D1" w:rsidRPr="00132E65">
        <w:rPr>
          <w:rtl/>
          <w:lang w:bidi="fa-IR"/>
        </w:rPr>
        <w:t>و</w:t>
      </w:r>
      <w:r>
        <w:rPr>
          <w:rFonts w:hint="cs"/>
          <w:rtl/>
          <w:lang w:bidi="fa-IR"/>
        </w:rPr>
        <w:t xml:space="preserve">َ </w:t>
      </w:r>
      <w:r w:rsidR="000C39D1" w:rsidRPr="00132E65">
        <w:rPr>
          <w:rtl/>
          <w:lang w:bidi="fa-IR"/>
        </w:rPr>
        <w:t xml:space="preserve">فِي رِوَايَةٍ أُخْرى ، عَنْ أَبِي الْحَسَنِ الرِّضَا </w:t>
      </w:r>
      <w:r w:rsidR="000C39D1" w:rsidRPr="00071CF9">
        <w:rPr>
          <w:rStyle w:val="libAlaemChar"/>
          <w:rtl/>
        </w:rPr>
        <w:t>عليه‌السلام</w:t>
      </w:r>
      <w:r w:rsidR="000C39D1" w:rsidRPr="00132E65">
        <w:rPr>
          <w:rtl/>
          <w:lang w:bidi="fa-IR"/>
        </w:rPr>
        <w:t xml:space="preserve"> : « أَنَّ النَّبِيَّ </w:t>
      </w:r>
      <w:r w:rsidR="000C39D1" w:rsidRPr="0093484F">
        <w:rPr>
          <w:rStyle w:val="libAlaemChar"/>
          <w:rFonts w:eastAsiaTheme="minorHAnsi"/>
          <w:rtl/>
        </w:rPr>
        <w:t>صلى‌الله‌عليه‌وآله</w:t>
      </w:r>
      <w:r w:rsidR="000C39D1" w:rsidRPr="00132E65">
        <w:rPr>
          <w:rtl/>
          <w:lang w:bidi="fa-IR"/>
        </w:rPr>
        <w:t xml:space="preserve"> كَانَ يُؤْتى بِهِ الْحُسَيْنُ ، فَيُلْقِمُهُ </w:t>
      </w:r>
      <w:r w:rsidR="000C39D1">
        <w:rPr>
          <w:rStyle w:val="libFootnotenumChar"/>
          <w:rtl/>
        </w:rPr>
        <w:t>(7)</w:t>
      </w:r>
      <w:r w:rsidR="000C39D1" w:rsidRPr="00132E65">
        <w:rPr>
          <w:rtl/>
          <w:lang w:bidi="fa-IR"/>
        </w:rPr>
        <w:t xml:space="preserve"> لِسَانَهُ ، فَيَمُصُّهُ ، فَيَجْتَزِئُ بِهِ ، و</w:t>
      </w:r>
      <w:r w:rsidR="00E9140D">
        <w:rPr>
          <w:rFonts w:hint="cs"/>
          <w:rtl/>
          <w:lang w:bidi="fa-IR"/>
        </w:rPr>
        <w:t xml:space="preserve">َ </w:t>
      </w:r>
      <w:r w:rsidR="000C39D1" w:rsidRPr="00132E65">
        <w:rPr>
          <w:rtl/>
          <w:lang w:bidi="fa-IR"/>
        </w:rPr>
        <w:t xml:space="preserve">لَمْ يَرْضَعْ </w:t>
      </w:r>
      <w:r w:rsidR="000C39D1">
        <w:rPr>
          <w:rStyle w:val="libFootnotenumChar"/>
          <w:rtl/>
        </w:rPr>
        <w:t>(8)</w:t>
      </w:r>
      <w:r w:rsidR="000C39D1" w:rsidRPr="00132E65">
        <w:rPr>
          <w:rtl/>
          <w:lang w:bidi="fa-IR"/>
        </w:rPr>
        <w:t xml:space="preserve"> مِنْ أُنْثى »</w:t>
      </w:r>
      <w:r w:rsidR="000C39D1">
        <w:rPr>
          <w:rtl/>
          <w:lang w:bidi="fa-IR"/>
        </w:rPr>
        <w:t>.</w:t>
      </w:r>
      <w:r w:rsidR="000C39D1" w:rsidRPr="00132E65">
        <w:rPr>
          <w:rtl/>
          <w:lang w:bidi="fa-IR"/>
        </w:rPr>
        <w:t xml:space="preserve"> </w:t>
      </w:r>
      <w:r w:rsidR="000C39D1">
        <w:rPr>
          <w:rStyle w:val="libFootnotenumChar"/>
          <w:rtl/>
        </w:rPr>
        <w:t>(9)</w:t>
      </w:r>
    </w:p>
    <w:p w:rsidR="000C39D1" w:rsidRPr="00132E65" w:rsidRDefault="000C39D1" w:rsidP="000C39D1">
      <w:pPr>
        <w:pStyle w:val="libNormal"/>
        <w:rPr>
          <w:rtl/>
          <w:lang w:bidi="fa-IR"/>
        </w:rPr>
      </w:pPr>
      <w:r w:rsidRPr="00E56AEC">
        <w:rPr>
          <w:rtl/>
        </w:rPr>
        <w:t>1264</w:t>
      </w:r>
      <w:r w:rsidRPr="004325D8">
        <w:rPr>
          <w:rStyle w:val="libBold2Char"/>
          <w:rtl/>
        </w:rPr>
        <w:t xml:space="preserve"> / 5.</w:t>
      </w:r>
      <w:r w:rsidRPr="00132E65">
        <w:rPr>
          <w:rtl/>
          <w:lang w:bidi="fa-IR"/>
        </w:rPr>
        <w:t xml:space="preserve"> عَلِيُّ بْنُ مُحَمَّدٍ رَفَعَهُ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قَوْلِ اللهِ عَزَّ و</w:t>
      </w:r>
      <w:r w:rsidR="000B258B">
        <w:rPr>
          <w:rFonts w:hint="cs"/>
          <w:rtl/>
          <w:lang w:bidi="fa-IR"/>
        </w:rPr>
        <w:t xml:space="preserve">َ </w:t>
      </w:r>
      <w:r w:rsidRPr="00132E65">
        <w:rPr>
          <w:rtl/>
          <w:lang w:bidi="fa-IR"/>
        </w:rPr>
        <w:t xml:space="preserve">جَلَّ : </w:t>
      </w:r>
      <w:r w:rsidRPr="00071CF9">
        <w:rPr>
          <w:rStyle w:val="libAlaemChar"/>
          <w:rtl/>
        </w:rPr>
        <w:t>(</w:t>
      </w:r>
      <w:r w:rsidRPr="00071CF9">
        <w:rPr>
          <w:rStyle w:val="libAieChar"/>
          <w:rtl/>
        </w:rPr>
        <w:t xml:space="preserve"> فَنَظَرَ نَظْرَةً فِي النُّجُومِ فَقالَ إِنِّي سَقِيمٌ </w:t>
      </w:r>
      <w:r w:rsidRPr="00071CF9">
        <w:rPr>
          <w:rStyle w:val="libAlaemChar"/>
          <w:rtl/>
        </w:rPr>
        <w:t>)</w:t>
      </w:r>
      <w:r w:rsidRPr="00132E65">
        <w:rPr>
          <w:rtl/>
          <w:lang w:bidi="fa-IR"/>
        </w:rPr>
        <w:t xml:space="preserve"> </w:t>
      </w:r>
      <w:r>
        <w:rPr>
          <w:rStyle w:val="libFootnotenumChar"/>
          <w:rtl/>
        </w:rPr>
        <w:t>(10)</w:t>
      </w:r>
      <w:r w:rsidRPr="00132E65">
        <w:rPr>
          <w:rtl/>
          <w:lang w:bidi="fa-IR"/>
        </w:rPr>
        <w:t xml:space="preserve"> قَالَ : « حَسَبَ ، فَرَأى مَا يَحُلُّ بِالْحُسَيْنِ </w:t>
      </w:r>
      <w:r w:rsidRPr="00071CF9">
        <w:rPr>
          <w:rStyle w:val="libAlaemChar"/>
          <w:rtl/>
        </w:rPr>
        <w:t>عليه‌السلام</w:t>
      </w:r>
      <w:r w:rsidRPr="00132E65">
        <w:rPr>
          <w:rtl/>
          <w:lang w:bidi="fa-IR"/>
        </w:rPr>
        <w:t xml:space="preserve"> ، فَقَالَ : إِنِّي سَقِيمٌ ؛ لِمَا يَحُلُّ بِالْحُسَيْنِ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وكامل الزيارات : « فلو أنّه قال : وأصلح لي ذرّيّتي »</w:t>
      </w:r>
      <w:r>
        <w:rPr>
          <w:rtl/>
        </w:rPr>
        <w:t>.</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xml:space="preserve">« الحسين </w:t>
      </w:r>
      <w:r w:rsidRPr="000B258B">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(3).</w:t>
      </w:r>
      <w:r w:rsidRPr="00132E65">
        <w:rPr>
          <w:rtl/>
        </w:rPr>
        <w:t xml:space="preserve"> هكذا في النسخ التي قوبلت و</w:t>
      </w:r>
      <w:r w:rsidRPr="009D1ACE">
        <w:rPr>
          <w:rStyle w:val="libFootnoteBoldChar"/>
          <w:rtl/>
        </w:rPr>
        <w:t>الوافي</w:t>
      </w:r>
      <w:r w:rsidRPr="00132E65">
        <w:rPr>
          <w:rtl/>
        </w:rPr>
        <w:t xml:space="preserve"> وكامل الزيارات والبحار. وفي المطبوع : « ما يكفيها »</w:t>
      </w:r>
      <w:r>
        <w:rPr>
          <w:rtl/>
        </w:rPr>
        <w:t>.</w:t>
      </w:r>
    </w:p>
    <w:p w:rsidR="000C39D1" w:rsidRPr="00132E65" w:rsidRDefault="000C39D1" w:rsidP="000C39D1">
      <w:pPr>
        <w:pStyle w:val="libFootnote0"/>
        <w:rPr>
          <w:rtl/>
          <w:lang w:bidi="fa-IR"/>
        </w:rPr>
      </w:pPr>
      <w:r>
        <w:rPr>
          <w:rtl/>
        </w:rPr>
        <w:t>(4).</w:t>
      </w:r>
      <w:r w:rsidRPr="00132E65">
        <w:rPr>
          <w:rtl/>
        </w:rPr>
        <w:t xml:space="preserve"> في « ب ، ج ، ض ، ف ، بح ، بس » وحاشية « ج ، بر ، بف » والبحار وحاشية بدرالدين : « لحماً للحسين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 لعلّ هذا من تصحيف الرواة أو النسّاخ ، </w:t>
      </w:r>
      <w:r w:rsidR="000B258B">
        <w:rPr>
          <w:rtl/>
        </w:rPr>
        <w:t>وفي أكثر الأخبار المعتبرة : إل</w:t>
      </w:r>
      <w:r w:rsidR="000B258B">
        <w:rPr>
          <w:rFonts w:hint="cs"/>
          <w:rtl/>
        </w:rPr>
        <w:t>ّ</w:t>
      </w:r>
      <w:r w:rsidR="000B258B">
        <w:rPr>
          <w:rtl/>
        </w:rPr>
        <w:t>ا</w:t>
      </w:r>
      <w:r w:rsidRPr="00132E65">
        <w:rPr>
          <w:rtl/>
        </w:rPr>
        <w:t xml:space="preserve">يحيى‌والحسين </w:t>
      </w:r>
      <w:r w:rsidRPr="00952C7F">
        <w:rPr>
          <w:rStyle w:val="libFootnoteAlaemChar"/>
          <w:rtl/>
        </w:rPr>
        <w:t>عليهما‌السلام</w:t>
      </w:r>
      <w:r w:rsidRPr="00132E65">
        <w:rPr>
          <w:rtl/>
        </w:rPr>
        <w:t xml:space="preserve"> »</w:t>
      </w:r>
      <w:r>
        <w:rPr>
          <w:rtl/>
        </w:rPr>
        <w:t>.</w:t>
      </w:r>
    </w:p>
    <w:p w:rsidR="000C39D1" w:rsidRPr="00132E65" w:rsidRDefault="000C39D1" w:rsidP="00F44F7D">
      <w:pPr>
        <w:pStyle w:val="libFootnote0"/>
        <w:rPr>
          <w:rtl/>
          <w:lang w:bidi="fa-IR"/>
        </w:rPr>
      </w:pPr>
      <w:r>
        <w:rPr>
          <w:rtl/>
        </w:rPr>
        <w:t>(6).</w:t>
      </w:r>
      <w:r w:rsidRPr="00132E65">
        <w:rPr>
          <w:rtl/>
        </w:rPr>
        <w:t xml:space="preserve"> </w:t>
      </w:r>
      <w:r w:rsidRPr="00E56AEC">
        <w:rPr>
          <w:rtl/>
        </w:rPr>
        <w:t>كامل الزيارات</w:t>
      </w:r>
      <w:r w:rsidRPr="00132E65">
        <w:rPr>
          <w:rtl/>
        </w:rPr>
        <w:t xml:space="preserve"> ، ص 56 ، الباب السادس عشر ، ح 4 ، بسنده عن محمّد بن عمرو بن سعيد الزيّات ، وفي آخر الحديث بسند آخر عن عليّ بن إسماعيل بن عيسى ، مثله. </w:t>
      </w:r>
      <w:r w:rsidRPr="00E56AEC">
        <w:rPr>
          <w:rtl/>
        </w:rPr>
        <w:t>وفيه</w:t>
      </w:r>
      <w:r w:rsidRPr="00132E65">
        <w:rPr>
          <w:rtl/>
        </w:rPr>
        <w:t xml:space="preserve"> ، ح 3 ، بسند آخر ، إلى قوله « وَضَعَتْهُ كُرْهًا » مع اختلاف يسير </w:t>
      </w:r>
      <w:r w:rsidR="00952C7F">
        <w:rPr>
          <w:rFonts w:hint="cs"/>
          <w:rtl/>
        </w:rPr>
        <w:t>.</w:t>
      </w:r>
      <w:r w:rsidRPr="009D1ACE">
        <w:rPr>
          <w:rStyle w:val="libFootnoteBoldChar"/>
          <w:rtl/>
        </w:rPr>
        <w:t>الوافي</w:t>
      </w:r>
      <w:r w:rsidRPr="00132E65">
        <w:rPr>
          <w:rtl/>
        </w:rPr>
        <w:t xml:space="preserve"> ، ج 3 ، ص 756 ، ح 1376 ؛ وفي </w:t>
      </w:r>
      <w:r w:rsidRPr="00E56AEC">
        <w:rPr>
          <w:rtl/>
        </w:rPr>
        <w:t>البحار</w:t>
      </w:r>
      <w:r w:rsidRPr="00132E65">
        <w:rPr>
          <w:rtl/>
        </w:rPr>
        <w:t xml:space="preserve"> ، ج 44 ، ص 198 ، ح 14 ، من قوله : « ولم يرضع الحسين </w:t>
      </w:r>
      <w:r w:rsidRPr="000B258B">
        <w:rPr>
          <w:rStyle w:val="libFootnoteAlaemChar"/>
          <w:rtl/>
        </w:rPr>
        <w:t>عليه‌السلام</w:t>
      </w:r>
      <w:r w:rsidRPr="00132E65">
        <w:rPr>
          <w:rtl/>
        </w:rPr>
        <w:t xml:space="preserve"> من فاطمة »</w:t>
      </w:r>
      <w:r>
        <w:rPr>
          <w:rtl/>
        </w:rPr>
        <w:t>.</w:t>
      </w:r>
      <w:r w:rsidR="00F44F7D">
        <w:rPr>
          <w:rFonts w:hint="cs"/>
          <w:rtl/>
        </w:rPr>
        <w:t xml:space="preserve">                                       </w:t>
      </w:r>
      <w:r>
        <w:rPr>
          <w:rtl/>
        </w:rPr>
        <w:t>(7).</w:t>
      </w:r>
      <w:r w:rsidRPr="00132E65">
        <w:rPr>
          <w:rtl/>
        </w:rPr>
        <w:t xml:space="preserve"> في « ج » : « فيلقّمه »</w:t>
      </w:r>
      <w:r>
        <w:rPr>
          <w:rtl/>
        </w:rPr>
        <w:t>.</w:t>
      </w:r>
    </w:p>
    <w:p w:rsidR="000C39D1" w:rsidRPr="00132E65" w:rsidRDefault="000C39D1" w:rsidP="000C39D1">
      <w:pPr>
        <w:pStyle w:val="libFootnote0"/>
        <w:rPr>
          <w:rtl/>
          <w:lang w:bidi="fa-IR"/>
        </w:rPr>
      </w:pPr>
      <w:r>
        <w:rPr>
          <w:rtl/>
        </w:rPr>
        <w:t>(8).</w:t>
      </w:r>
      <w:r w:rsidRPr="00132E65">
        <w:rPr>
          <w:rtl/>
        </w:rPr>
        <w:t xml:space="preserve"> هكذا في « ب ، ج ، ض ، ف ، بح ، بر ، بس ، بف » و</w:t>
      </w:r>
      <w:r w:rsidRPr="009D1ACE">
        <w:rPr>
          <w:rStyle w:val="libFootnoteBoldChar"/>
          <w:rtl/>
        </w:rPr>
        <w:t>الوافي</w:t>
      </w:r>
      <w:r w:rsidRPr="00132E65">
        <w:rPr>
          <w:rtl/>
        </w:rPr>
        <w:t xml:space="preserve"> والبحار. وفي المطبوع : « لم يرتضع »</w:t>
      </w:r>
      <w:r>
        <w:rPr>
          <w:rtl/>
        </w:rPr>
        <w:t>.</w:t>
      </w:r>
    </w:p>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3 ، ص 756 ، ح 1377 ؛ </w:t>
      </w:r>
      <w:r w:rsidRPr="00E56AEC">
        <w:rPr>
          <w:rtl/>
        </w:rPr>
        <w:t>البحار</w:t>
      </w:r>
      <w:r w:rsidRPr="00132E65">
        <w:rPr>
          <w:rtl/>
        </w:rPr>
        <w:t xml:space="preserve"> ، ج 44 ، ص 198 ، ذيل ح 14.</w:t>
      </w:r>
    </w:p>
    <w:p w:rsidR="000C39D1" w:rsidRPr="00132E65" w:rsidRDefault="000C39D1" w:rsidP="000C39D1">
      <w:pPr>
        <w:pStyle w:val="libFootnote0"/>
        <w:rPr>
          <w:rtl/>
          <w:lang w:bidi="fa-IR"/>
        </w:rPr>
      </w:pPr>
      <w:r>
        <w:rPr>
          <w:rtl/>
        </w:rPr>
        <w:t>(10).</w:t>
      </w:r>
      <w:r w:rsidRPr="00132E65">
        <w:rPr>
          <w:rtl/>
        </w:rPr>
        <w:t xml:space="preserve"> الصافّات (37) : 88 </w:t>
      </w:r>
      <w:r>
        <w:rPr>
          <w:rtl/>
        </w:rPr>
        <w:t>و 8</w:t>
      </w:r>
      <w:r w:rsidRPr="00132E65">
        <w:rPr>
          <w:rtl/>
        </w:rPr>
        <w:t>9.</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758 ، ح 1379 ؛ </w:t>
      </w:r>
      <w:r w:rsidRPr="00E56AEC">
        <w:rPr>
          <w:rtl/>
        </w:rPr>
        <w:t>البحار</w:t>
      </w:r>
      <w:r w:rsidRPr="00132E65">
        <w:rPr>
          <w:rtl/>
        </w:rPr>
        <w:t xml:space="preserve"> ، ج 44 ، ص 220 ، ح 12.</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E56AEC">
        <w:rPr>
          <w:rtl/>
        </w:rPr>
        <w:t>1265</w:t>
      </w:r>
      <w:r w:rsidRPr="004325D8">
        <w:rPr>
          <w:rStyle w:val="libBold2Char"/>
          <w:rtl/>
        </w:rPr>
        <w:t xml:space="preserve"> / 6.</w:t>
      </w:r>
      <w:r w:rsidRPr="00132E65">
        <w:rPr>
          <w:rtl/>
          <w:lang w:bidi="fa-IR"/>
        </w:rPr>
        <w:t xml:space="preserve"> أَحْمَدُ بْنُ مُحَمَّدٍ ، عَنْ مُحَمَّدِ بْنِ الْحَسَنِ ، عَنْ مُحَمَّدِ بْنِ عِيسَى بْنِ عُبَيْدٍ ، عَنْ عَلِيِّ بْنِ أَسْبَاطٍ ، عَنْ سَيْفِ بْنِ عَمِيرَةَ ، عَنْ مُحَمَّدِ بْنِ حُمْرَانَ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لَمَّا كَانَ مِنْ أَمْرِ الْحُسَيْنِ </w:t>
      </w:r>
      <w:r w:rsidRPr="00071CF9">
        <w:rPr>
          <w:rStyle w:val="libAlaemChar"/>
          <w:rtl/>
        </w:rPr>
        <w:t>عليه‌السلام</w:t>
      </w:r>
      <w:r w:rsidRPr="00132E65">
        <w:rPr>
          <w:rtl/>
          <w:lang w:bidi="fa-IR"/>
        </w:rPr>
        <w:t xml:space="preserve"> مَا كَانَ ، ضَجَّتِ الْمَلَائِكَةُ إِلَى اللهِ بِالْبُكَاءِ ، و</w:t>
      </w:r>
      <w:r w:rsidR="00F44F7D">
        <w:rPr>
          <w:rFonts w:hint="cs"/>
          <w:rtl/>
          <w:lang w:bidi="fa-IR"/>
        </w:rPr>
        <w:t xml:space="preserve">َ </w:t>
      </w:r>
      <w:r w:rsidRPr="00132E65">
        <w:rPr>
          <w:rtl/>
          <w:lang w:bidi="fa-IR"/>
        </w:rPr>
        <w:t xml:space="preserve">قَالَتْ </w:t>
      </w:r>
      <w:r>
        <w:rPr>
          <w:rStyle w:val="libFootnotenumChar"/>
          <w:rtl/>
        </w:rPr>
        <w:t>(1)</w:t>
      </w:r>
      <w:r w:rsidRPr="00132E65">
        <w:rPr>
          <w:rtl/>
          <w:lang w:bidi="fa-IR"/>
        </w:rPr>
        <w:t xml:space="preserve"> : يُفْعَلُ </w:t>
      </w:r>
      <w:r>
        <w:rPr>
          <w:rStyle w:val="libFootnotenumChar"/>
          <w:rtl/>
        </w:rPr>
        <w:t>(2)</w:t>
      </w:r>
      <w:r w:rsidRPr="00132E65">
        <w:rPr>
          <w:rtl/>
          <w:lang w:bidi="fa-IR"/>
        </w:rPr>
        <w:t xml:space="preserve"> هذَا بِالْحُسَيْنِ صَفِيِّكَ و</w:t>
      </w:r>
      <w:r w:rsidR="00F44F7D">
        <w:rPr>
          <w:rFonts w:hint="cs"/>
          <w:rtl/>
          <w:lang w:bidi="fa-IR"/>
        </w:rPr>
        <w:t xml:space="preserve">َ </w:t>
      </w:r>
      <w:r w:rsidRPr="00132E65">
        <w:rPr>
          <w:rtl/>
          <w:lang w:bidi="fa-IR"/>
        </w:rPr>
        <w:t xml:space="preserve">ابْنِ نَبِيِّكَ </w:t>
      </w:r>
      <w:r>
        <w:rPr>
          <w:rStyle w:val="libFootnotenumChar"/>
          <w:rtl/>
        </w:rPr>
        <w:t>(3)</w:t>
      </w:r>
      <w:r>
        <w:rPr>
          <w:rtl/>
          <w:lang w:bidi="fa-IR"/>
        </w:rPr>
        <w:t>؟</w:t>
      </w:r>
      <w:r w:rsidRPr="00132E65">
        <w:rPr>
          <w:rtl/>
          <w:lang w:bidi="fa-IR"/>
        </w:rPr>
        <w:t xml:space="preserve"> » قَالَ </w:t>
      </w:r>
      <w:r>
        <w:rPr>
          <w:rStyle w:val="libFootnotenumChar"/>
          <w:rtl/>
        </w:rPr>
        <w:t>(4)</w:t>
      </w:r>
      <w:r w:rsidRPr="00132E65">
        <w:rPr>
          <w:rtl/>
          <w:lang w:bidi="fa-IR"/>
        </w:rPr>
        <w:t xml:space="preserve"> : « فَأَقَامَ اللهُ لَهُمْ ظِلَّ الْقَائِمِ </w:t>
      </w:r>
      <w:r w:rsidRPr="00071CF9">
        <w:rPr>
          <w:rStyle w:val="libAlaemChar"/>
          <w:rtl/>
        </w:rPr>
        <w:t>عليه‌السلام</w:t>
      </w:r>
      <w:r w:rsidRPr="00132E65">
        <w:rPr>
          <w:rtl/>
          <w:lang w:bidi="fa-IR"/>
        </w:rPr>
        <w:t xml:space="preserve"> ، و</w:t>
      </w:r>
      <w:r w:rsidR="00F44F7D">
        <w:rPr>
          <w:rFonts w:hint="cs"/>
          <w:rtl/>
          <w:lang w:bidi="fa-IR"/>
        </w:rPr>
        <w:t xml:space="preserve">َ </w:t>
      </w:r>
      <w:r w:rsidRPr="00132E65">
        <w:rPr>
          <w:rtl/>
          <w:lang w:bidi="fa-IR"/>
        </w:rPr>
        <w:t xml:space="preserve">قَالَ : بِهذَا أَنْتَقِمُ لِهذَا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E56AEC">
        <w:rPr>
          <w:rtl/>
        </w:rPr>
        <w:t>1266</w:t>
      </w:r>
      <w:r w:rsidRPr="004325D8">
        <w:rPr>
          <w:rStyle w:val="libBold2Char"/>
          <w:rtl/>
        </w:rPr>
        <w:t xml:space="preserve"> / 7.</w:t>
      </w:r>
      <w:r w:rsidRPr="00132E65">
        <w:rPr>
          <w:rtl/>
          <w:lang w:bidi="fa-IR"/>
        </w:rPr>
        <w:t xml:space="preserve"> عِدَّةٌ مِنْ أَصْحَابِنَا ، عَنْ أَحْمَدَ بْنِ مُحَمَّدِ بْنِ عِيسى </w:t>
      </w:r>
      <w:r>
        <w:rPr>
          <w:rStyle w:val="libFootnotenumChar"/>
          <w:rtl/>
        </w:rPr>
        <w:t>(7)</w:t>
      </w:r>
      <w:r w:rsidRPr="00132E65">
        <w:rPr>
          <w:rtl/>
          <w:lang w:bidi="fa-IR"/>
        </w:rPr>
        <w:t xml:space="preserve"> ، عَنْ عَلِيِّ بْنِ الْحَكَمِ ، عَنْ سَيْفِ بْنِ عَمِيرَةَ ، عَنْ عَبْدِ الْمَلِكِ بْنِ أَعْيَنَ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نَزَلَ </w:t>
      </w:r>
      <w:r>
        <w:rPr>
          <w:rStyle w:val="libFootnotenumChar"/>
          <w:rtl/>
        </w:rPr>
        <w:t>(8)</w:t>
      </w:r>
      <w:r w:rsidRPr="00132E65">
        <w:rPr>
          <w:rtl/>
          <w:lang w:bidi="fa-IR"/>
        </w:rPr>
        <w:t xml:space="preserve"> النَّصْرُ عَلَى الْحُسَيْنِ بْنِ عَلِيٍّ </w:t>
      </w:r>
      <w:r w:rsidRPr="00071CF9">
        <w:rPr>
          <w:rStyle w:val="libAlaemChar"/>
          <w:rtl/>
        </w:rPr>
        <w:t>عليهما‌السلام</w:t>
      </w:r>
      <w:r w:rsidRPr="00132E65">
        <w:rPr>
          <w:rtl/>
          <w:lang w:bidi="fa-IR"/>
        </w:rPr>
        <w:t xml:space="preserve"> </w:t>
      </w:r>
      <w:r>
        <w:rPr>
          <w:rStyle w:val="libFootnotenumChar"/>
          <w:rtl/>
        </w:rPr>
        <w:t>(9)</w:t>
      </w:r>
      <w:r w:rsidRPr="00132E65">
        <w:rPr>
          <w:rtl/>
          <w:lang w:bidi="fa-IR"/>
        </w:rPr>
        <w:t xml:space="preserve"> حَتّى كَانَ </w:t>
      </w:r>
      <w:r>
        <w:rPr>
          <w:rStyle w:val="libFootnotenumChar"/>
          <w:rtl/>
        </w:rPr>
        <w:t>(10)</w:t>
      </w:r>
      <w:r w:rsidRPr="00132E65">
        <w:rPr>
          <w:rtl/>
          <w:lang w:bidi="fa-IR"/>
        </w:rPr>
        <w:t xml:space="preserve"> بَيْنَ السَّمَاءِ و</w:t>
      </w:r>
      <w:r w:rsidR="00F44F7D">
        <w:rPr>
          <w:rFonts w:hint="cs"/>
          <w:rtl/>
          <w:lang w:bidi="fa-IR"/>
        </w:rPr>
        <w:t xml:space="preserve">َ </w:t>
      </w:r>
      <w:r w:rsidRPr="00132E65">
        <w:rPr>
          <w:rtl/>
          <w:lang w:bidi="fa-IR"/>
        </w:rPr>
        <w:t xml:space="preserve">الْأَرْضِ ، ثُمَّ خُيِّرَ النَّصْرَ أَوْ </w:t>
      </w:r>
      <w:r>
        <w:rPr>
          <w:rStyle w:val="libFootnotenumChar"/>
          <w:rtl/>
        </w:rPr>
        <w:t>(11)</w:t>
      </w:r>
      <w:r w:rsidRPr="00132E65">
        <w:rPr>
          <w:rtl/>
          <w:lang w:bidi="fa-IR"/>
        </w:rPr>
        <w:t xml:space="preserve"> لِقَاءَ اللهِ ، فَاخْتَارَ لِقَاءَ اللهِ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E56AEC">
        <w:rPr>
          <w:rtl/>
        </w:rPr>
        <w:t>1267</w:t>
      </w:r>
      <w:r w:rsidRPr="004325D8">
        <w:rPr>
          <w:rStyle w:val="libBold2Char"/>
          <w:rtl/>
        </w:rPr>
        <w:t xml:space="preserve"> / 8.</w:t>
      </w:r>
      <w:r w:rsidRPr="00132E65">
        <w:rPr>
          <w:rtl/>
          <w:lang w:bidi="fa-IR"/>
        </w:rPr>
        <w:t xml:space="preserve"> الْحُسَيْنُ بْنُ أَحْمَدَ </w:t>
      </w:r>
      <w:r w:rsidRPr="00F543F1">
        <w:rPr>
          <w:rStyle w:val="libFootnotenumChar"/>
          <w:rtl/>
        </w:rPr>
        <w:t>(13)</w:t>
      </w:r>
      <w:r w:rsidRPr="00132E65">
        <w:rPr>
          <w:rtl/>
          <w:lang w:bidi="fa-IR"/>
        </w:rPr>
        <w:t xml:space="preserve"> ، قَالَ : حَدَّثَنِي أَبُو كُرَيْبٍ و</w:t>
      </w:r>
      <w:r w:rsidR="00F44F7D">
        <w:rPr>
          <w:rFonts w:hint="cs"/>
          <w:rtl/>
          <w:lang w:bidi="fa-IR"/>
        </w:rPr>
        <w:t xml:space="preserve">َ </w:t>
      </w:r>
      <w:r w:rsidRPr="00132E65">
        <w:rPr>
          <w:rtl/>
          <w:lang w:bidi="fa-IR"/>
        </w:rPr>
        <w:t>أَبُو سَعِيدٍ الْأَشَجُّ ، قَالَ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F44F7D" w:rsidTr="00F44F7D">
        <w:tc>
          <w:tcPr>
            <w:tcW w:w="4261" w:type="dxa"/>
          </w:tcPr>
          <w:p w:rsidR="00F44F7D" w:rsidRPr="00F44F7D" w:rsidRDefault="00F44F7D" w:rsidP="000C39D1">
            <w:pPr>
              <w:pStyle w:val="libFootnote0"/>
              <w:rPr>
                <w:rtl/>
              </w:rPr>
            </w:pPr>
            <w:r>
              <w:rPr>
                <w:rtl/>
              </w:rPr>
              <w:t>(1).</w:t>
            </w:r>
            <w:r w:rsidRPr="00132E65">
              <w:rPr>
                <w:rtl/>
              </w:rPr>
              <w:t xml:space="preserve"> في « ج » : « فقالت »</w:t>
            </w:r>
            <w:r>
              <w:rPr>
                <w:rtl/>
              </w:rPr>
              <w:t>.</w:t>
            </w:r>
          </w:p>
        </w:tc>
        <w:tc>
          <w:tcPr>
            <w:tcW w:w="4262" w:type="dxa"/>
          </w:tcPr>
          <w:p w:rsidR="00F44F7D" w:rsidRDefault="00F44F7D" w:rsidP="000C39D1">
            <w:pPr>
              <w:pStyle w:val="libFootnote0"/>
              <w:rPr>
                <w:rtl/>
              </w:rPr>
            </w:pPr>
            <w:r>
              <w:rPr>
                <w:rtl/>
              </w:rPr>
              <w:t>(2).</w:t>
            </w:r>
            <w:r w:rsidRPr="00132E65">
              <w:rPr>
                <w:rtl/>
              </w:rPr>
              <w:t xml:space="preserve"> في « ب » :</w:t>
            </w:r>
            <w:r>
              <w:rPr>
                <w:rtl/>
              </w:rPr>
              <w:t xml:space="preserve"> + </w:t>
            </w:r>
            <w:r w:rsidRPr="00132E65">
              <w:rPr>
                <w:rtl/>
              </w:rPr>
              <w:t>« يا ربّ »</w:t>
            </w:r>
            <w:r>
              <w:rPr>
                <w:rtl/>
              </w:rPr>
              <w:t>.</w:t>
            </w:r>
          </w:p>
        </w:tc>
      </w:tr>
      <w:tr w:rsidR="00F44F7D" w:rsidTr="00F44F7D">
        <w:tc>
          <w:tcPr>
            <w:tcW w:w="4261" w:type="dxa"/>
          </w:tcPr>
          <w:p w:rsidR="00F44F7D" w:rsidRDefault="00F44F7D" w:rsidP="000C39D1">
            <w:pPr>
              <w:pStyle w:val="libFootnote0"/>
              <w:rPr>
                <w:rtl/>
              </w:rPr>
            </w:pPr>
            <w:r>
              <w:rPr>
                <w:rtl/>
              </w:rPr>
              <w:t>(3).</w:t>
            </w:r>
            <w:r w:rsidRPr="00132E65">
              <w:rPr>
                <w:rtl/>
              </w:rPr>
              <w:t xml:space="preserve"> في « ف » : « وابن صفيّك »</w:t>
            </w:r>
            <w:r>
              <w:rPr>
                <w:rtl/>
              </w:rPr>
              <w:t>.</w:t>
            </w:r>
          </w:p>
        </w:tc>
        <w:tc>
          <w:tcPr>
            <w:tcW w:w="4262" w:type="dxa"/>
          </w:tcPr>
          <w:p w:rsidR="00F44F7D" w:rsidRDefault="00F44F7D" w:rsidP="000C39D1">
            <w:pPr>
              <w:pStyle w:val="libFootnote0"/>
              <w:rPr>
                <w:rtl/>
              </w:rPr>
            </w:pPr>
            <w:r>
              <w:rPr>
                <w:rtl/>
              </w:rPr>
              <w:t>(4).</w:t>
            </w:r>
            <w:r w:rsidRPr="00132E65">
              <w:rPr>
                <w:rtl/>
              </w:rPr>
              <w:t xml:space="preserve"> في « بف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(5).</w:t>
      </w:r>
      <w:r w:rsidRPr="00132E65">
        <w:rPr>
          <w:rtl/>
        </w:rPr>
        <w:t xml:space="preserve"> في الأمالي : « له من ظالميه » بدل « لهذا »</w:t>
      </w:r>
      <w:r>
        <w:rPr>
          <w:rtl/>
        </w:rPr>
        <w:t>.</w:t>
      </w:r>
    </w:p>
    <w:p w:rsidR="000C39D1" w:rsidRPr="00132E65" w:rsidRDefault="000C39D1" w:rsidP="00CE49A6">
      <w:pPr>
        <w:pStyle w:val="libFootnote0"/>
        <w:rPr>
          <w:rtl/>
          <w:lang w:bidi="fa-IR"/>
        </w:rPr>
      </w:pPr>
      <w:r>
        <w:rPr>
          <w:rtl/>
        </w:rPr>
        <w:t>(6).</w:t>
      </w:r>
      <w:r w:rsidRPr="00132E65">
        <w:rPr>
          <w:rtl/>
        </w:rPr>
        <w:t xml:space="preserve"> </w:t>
      </w:r>
      <w:r w:rsidRPr="00E56AEC">
        <w:rPr>
          <w:rtl/>
        </w:rPr>
        <w:t>الأمالي</w:t>
      </w:r>
      <w:r w:rsidRPr="00132E65">
        <w:rPr>
          <w:rtl/>
        </w:rPr>
        <w:t xml:space="preserve"> للطوسي ، ص 418 ، المجلس 14 ، ح 89 ، عن محمّد بن محمّد ، عن أحمد بن محمّد بن الحسن بن الوليد ، عن أبيه ، عن محمّد بن الحسن الصفّار ، عن محمّد بن عبيد ، عن عليّ بن أسباط. </w:t>
      </w:r>
      <w:r w:rsidRPr="00E56AEC">
        <w:rPr>
          <w:rtl/>
        </w:rPr>
        <w:t>علل الشرائع</w:t>
      </w:r>
      <w:r w:rsidRPr="00132E65">
        <w:rPr>
          <w:rtl/>
        </w:rPr>
        <w:t xml:space="preserve"> ، ص 160 ، ح 1 ، بإسناده عن محمّد بن يعقوب الكليني ، بسند آخر ، عن أبي جعفر </w:t>
      </w:r>
      <w:r w:rsidRPr="00CE49A6">
        <w:rPr>
          <w:rStyle w:val="libFootnoteAlaemChar"/>
          <w:rtl/>
        </w:rPr>
        <w:t>عليه‌السلام</w:t>
      </w:r>
      <w:r w:rsidRPr="00132E65">
        <w:rPr>
          <w:rtl/>
        </w:rPr>
        <w:t xml:space="preserve"> ، مع اختلاف يسير وزيادة في أوّله</w:t>
      </w:r>
      <w:r w:rsidR="00CE49A6">
        <w:rPr>
          <w:rFonts w:hint="cs"/>
          <w:rtl/>
        </w:rPr>
        <w:t>.</w:t>
      </w:r>
      <w:r w:rsidRPr="009D1ACE">
        <w:rPr>
          <w:rStyle w:val="libFootnoteBoldChar"/>
          <w:rtl/>
        </w:rPr>
        <w:t>الوافي</w:t>
      </w:r>
      <w:r w:rsidRPr="00132E65">
        <w:rPr>
          <w:rtl/>
        </w:rPr>
        <w:t xml:space="preserve"> ، ج 3 ، ص 759 ، ح 1380.</w:t>
      </w:r>
    </w:p>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ص 260 </w:t>
      </w:r>
      <w:r>
        <w:rPr>
          <w:rtl/>
        </w:rPr>
        <w:t xml:space="preserve">: - </w:t>
      </w:r>
      <w:r w:rsidRPr="00132E65">
        <w:rPr>
          <w:rtl/>
        </w:rPr>
        <w:t>« بن عيسى »</w:t>
      </w:r>
      <w:r>
        <w:rPr>
          <w:rtl/>
        </w:rPr>
        <w:t>.</w:t>
      </w:r>
    </w:p>
    <w:p w:rsidR="000C39D1" w:rsidRPr="00132E65" w:rsidRDefault="000C39D1" w:rsidP="00825C30">
      <w:pPr>
        <w:pStyle w:val="libFootnote0"/>
        <w:rPr>
          <w:rtl/>
          <w:lang w:bidi="fa-IR"/>
        </w:rPr>
      </w:pPr>
      <w:r>
        <w:rPr>
          <w:rtl/>
        </w:rPr>
        <w:t>(8).</w:t>
      </w:r>
      <w:r w:rsidRPr="00132E65">
        <w:rPr>
          <w:rtl/>
        </w:rPr>
        <w:t xml:space="preserve"> هكذا في « بف » وشرح المازندراني.</w:t>
      </w:r>
      <w:r w:rsidR="00721616">
        <w:rPr>
          <w:rtl/>
        </w:rPr>
        <w:t xml:space="preserve"> وفي سائر النسخ والمطبوع : « لم</w:t>
      </w:r>
      <w:r w:rsidR="00721616">
        <w:rPr>
          <w:rFonts w:hint="cs"/>
          <w:rtl/>
        </w:rPr>
        <w:t>ـّ</w:t>
      </w:r>
      <w:r w:rsidRPr="00132E65">
        <w:rPr>
          <w:rtl/>
        </w:rPr>
        <w:t>ا نزل »</w:t>
      </w:r>
      <w:r>
        <w:rPr>
          <w:rtl/>
        </w:rPr>
        <w:t>.</w:t>
      </w:r>
      <w:r w:rsidRPr="00132E65">
        <w:rPr>
          <w:rtl/>
        </w:rPr>
        <w:t xml:space="preserve"> وليس</w:t>
      </w:r>
      <w:r>
        <w:rPr>
          <w:rtl/>
        </w:rPr>
        <w:t xml:space="preserve"> ل</w:t>
      </w:r>
      <w:r w:rsidR="00825C30">
        <w:rPr>
          <w:rFonts w:hint="cs"/>
          <w:rtl/>
        </w:rPr>
        <w:t>ـ</w:t>
      </w:r>
      <w:r>
        <w:rPr>
          <w:rtl/>
        </w:rPr>
        <w:t>«</w:t>
      </w:r>
      <w:r w:rsidR="00825C30">
        <w:rPr>
          <w:rtl/>
        </w:rPr>
        <w:t xml:space="preserve"> لم</w:t>
      </w:r>
      <w:r w:rsidR="00825C30">
        <w:rPr>
          <w:rFonts w:hint="cs"/>
          <w:rtl/>
        </w:rPr>
        <w:t>ـّ</w:t>
      </w:r>
      <w:r w:rsidRPr="00132E65">
        <w:rPr>
          <w:rtl/>
        </w:rPr>
        <w:t>ا » مجال هنا. قال في‌</w:t>
      </w:r>
      <w:r w:rsidRPr="009D1ACE">
        <w:rPr>
          <w:rStyle w:val="libFootnoteBoldChar"/>
          <w:rtl/>
        </w:rPr>
        <w:t>مرآة العقول</w:t>
      </w:r>
      <w:r w:rsidRPr="00132E65">
        <w:rPr>
          <w:rtl/>
        </w:rPr>
        <w:t xml:space="preserve"> : « وقد مرّ بسند حسن</w:t>
      </w:r>
      <w:r>
        <w:rPr>
          <w:rtl/>
        </w:rPr>
        <w:t xml:space="preserve"> ..</w:t>
      </w:r>
      <w:r w:rsidR="00825C30">
        <w:rPr>
          <w:rtl/>
        </w:rPr>
        <w:t>. وليس فيه : « لم</w:t>
      </w:r>
      <w:r w:rsidR="00825C30">
        <w:rPr>
          <w:rFonts w:hint="cs"/>
          <w:rtl/>
        </w:rPr>
        <w:t>ـّ</w:t>
      </w:r>
      <w:r w:rsidRPr="00132E65">
        <w:rPr>
          <w:rtl/>
        </w:rPr>
        <w:t>ا »</w:t>
      </w:r>
      <w:r>
        <w:rPr>
          <w:rtl/>
        </w:rPr>
        <w:t xml:space="preserve"> ..</w:t>
      </w:r>
      <w:r w:rsidRPr="00132E65">
        <w:rPr>
          <w:rtl/>
        </w:rPr>
        <w:t>. وهو الصواب »</w:t>
      </w:r>
      <w:r>
        <w:rPr>
          <w:rtl/>
        </w:rPr>
        <w:t>.</w:t>
      </w:r>
      <w:r w:rsidRPr="00132E65">
        <w:rPr>
          <w:rtl/>
        </w:rPr>
        <w:t xml:space="preserve"> وفي </w:t>
      </w:r>
      <w:r w:rsidRPr="000577A7">
        <w:rPr>
          <w:rStyle w:val="libFootnoteBoldChar"/>
          <w:rtl/>
        </w:rPr>
        <w:t>الكافي</w:t>
      </w:r>
      <w:r w:rsidRPr="00132E65">
        <w:rPr>
          <w:rtl/>
        </w:rPr>
        <w:t xml:space="preserve"> ، ح 679 ، و</w:t>
      </w:r>
      <w:r w:rsidRPr="009D1ACE">
        <w:rPr>
          <w:rStyle w:val="libFootnoteBoldChar"/>
          <w:rtl/>
        </w:rPr>
        <w:t>الوافي</w:t>
      </w:r>
      <w:r w:rsidR="00825C30">
        <w:rPr>
          <w:rtl/>
        </w:rPr>
        <w:t xml:space="preserve"> : « أنزل الله تعالى » بدل « لم</w:t>
      </w:r>
      <w:r w:rsidR="00825C30">
        <w:rPr>
          <w:rFonts w:hint="cs"/>
          <w:rtl/>
        </w:rPr>
        <w:t>ـّ</w:t>
      </w:r>
      <w:r w:rsidRPr="00132E65">
        <w:rPr>
          <w:rtl/>
        </w:rPr>
        <w:t>ا نزل »</w:t>
      </w:r>
      <w:r>
        <w:rPr>
          <w:rtl/>
        </w:rPr>
        <w:t>.</w:t>
      </w:r>
      <w:r w:rsidR="00825C30">
        <w:rPr>
          <w:rFonts w:hint="cs"/>
          <w:rtl/>
        </w:rPr>
        <w:t xml:space="preserve">                             </w:t>
      </w:r>
      <w:r w:rsidR="003915A6">
        <w:rPr>
          <w:rFonts w:hint="cs"/>
          <w:rtl/>
        </w:rPr>
        <w:t xml:space="preserve">    </w:t>
      </w:r>
      <w:r w:rsidR="00825C30">
        <w:rPr>
          <w:rFonts w:hint="cs"/>
          <w:rtl/>
        </w:rPr>
        <w:t xml:space="preserve">    </w:t>
      </w:r>
      <w:r>
        <w:rPr>
          <w:rtl/>
        </w:rPr>
        <w:t>(9).</w:t>
      </w:r>
      <w:r w:rsidRPr="00132E65">
        <w:rPr>
          <w:rtl/>
        </w:rPr>
        <w:t xml:space="preserve">في </w:t>
      </w:r>
      <w:r w:rsidRPr="000577A7">
        <w:rPr>
          <w:rStyle w:val="libFootnoteBoldChar"/>
          <w:rtl/>
        </w:rPr>
        <w:t>الكافي</w:t>
      </w:r>
      <w:r w:rsidRPr="00132E65">
        <w:rPr>
          <w:rtl/>
        </w:rPr>
        <w:t>،ح679،و</w:t>
      </w:r>
      <w:r w:rsidRPr="009D1ACE">
        <w:rPr>
          <w:rStyle w:val="libFootnoteBoldChar"/>
          <w:rtl/>
        </w:rPr>
        <w:t>الوافي</w:t>
      </w:r>
      <w:r>
        <w:rPr>
          <w:rtl/>
        </w:rPr>
        <w:t>:-</w:t>
      </w:r>
      <w:r w:rsidRPr="00132E65">
        <w:rPr>
          <w:rtl/>
        </w:rPr>
        <w:t>«بن عليّ»</w:t>
      </w:r>
      <w:r>
        <w:rPr>
          <w:rtl/>
        </w:rPr>
        <w:t>.</w:t>
      </w:r>
    </w:p>
    <w:tbl>
      <w:tblPr>
        <w:tblStyle w:val="TableGrid"/>
        <w:bidiVisual/>
        <w:tblW w:w="0" w:type="auto"/>
        <w:tblLook w:val="04A0" w:firstRow="1" w:lastRow="0" w:firstColumn="1" w:lastColumn="0" w:noHBand="0" w:noVBand="1"/>
      </w:tblPr>
      <w:tblGrid>
        <w:gridCol w:w="4261"/>
        <w:gridCol w:w="4262"/>
      </w:tblGrid>
      <w:tr w:rsidR="00825C30" w:rsidTr="00825C30">
        <w:tc>
          <w:tcPr>
            <w:tcW w:w="4261" w:type="dxa"/>
          </w:tcPr>
          <w:p w:rsidR="00825C30" w:rsidRDefault="00825C30" w:rsidP="000C39D1">
            <w:pPr>
              <w:pStyle w:val="libFootnote0"/>
              <w:rPr>
                <w:rtl/>
              </w:rPr>
            </w:pPr>
            <w:r>
              <w:rPr>
                <w:rtl/>
              </w:rPr>
              <w:t>(10).</w:t>
            </w:r>
            <w:r w:rsidRPr="00132E65">
              <w:rPr>
                <w:rtl/>
              </w:rPr>
              <w:t xml:space="preserve">في </w:t>
            </w:r>
            <w:r w:rsidRPr="000577A7">
              <w:rPr>
                <w:rStyle w:val="libFootnoteBoldChar"/>
                <w:rtl/>
              </w:rPr>
              <w:t>الكافي</w:t>
            </w:r>
            <w:r w:rsidRPr="00132E65">
              <w:rPr>
                <w:rtl/>
              </w:rPr>
              <w:t>،ح679،و</w:t>
            </w:r>
            <w:r w:rsidRPr="009D1ACE">
              <w:rPr>
                <w:rStyle w:val="libFootnoteBoldChar"/>
                <w:rtl/>
              </w:rPr>
              <w:t>الوافي</w:t>
            </w:r>
            <w:r w:rsidRPr="00132E65">
              <w:rPr>
                <w:rtl/>
              </w:rPr>
              <w:t>:</w:t>
            </w:r>
            <w:r>
              <w:rPr>
                <w:rtl/>
              </w:rPr>
              <w:t>+</w:t>
            </w:r>
            <w:r w:rsidRPr="00132E65">
              <w:rPr>
                <w:rtl/>
              </w:rPr>
              <w:t>«ما»</w:t>
            </w:r>
            <w:r>
              <w:rPr>
                <w:rtl/>
              </w:rPr>
              <w:t>.</w:t>
            </w:r>
          </w:p>
        </w:tc>
        <w:tc>
          <w:tcPr>
            <w:tcW w:w="4262" w:type="dxa"/>
          </w:tcPr>
          <w:p w:rsidR="00825C30" w:rsidRDefault="00825C30" w:rsidP="000C39D1">
            <w:pPr>
              <w:pStyle w:val="libFootnote0"/>
              <w:rPr>
                <w:rtl/>
              </w:rPr>
            </w:pPr>
            <w:r>
              <w:rPr>
                <w:rtl/>
              </w:rPr>
              <w:t>(11).</w:t>
            </w:r>
            <w:r w:rsidRPr="00132E65">
              <w:rPr>
                <w:rtl/>
              </w:rPr>
              <w:t>في«ض،ف،بف»:«</w:t>
            </w:r>
            <w:r>
              <w:rPr>
                <w:rtl/>
              </w:rPr>
              <w:t>و».</w:t>
            </w:r>
          </w:p>
        </w:tc>
      </w:tr>
    </w:tbl>
    <w:p w:rsidR="000C39D1" w:rsidRPr="00132E65" w:rsidRDefault="000C39D1" w:rsidP="00A0540E">
      <w:pPr>
        <w:pStyle w:val="libFootnote0"/>
        <w:rPr>
          <w:rtl/>
          <w:lang w:bidi="fa-IR"/>
        </w:rPr>
      </w:pPr>
      <w:r>
        <w:rPr>
          <w:rtl/>
        </w:rPr>
        <w:t>(12).</w:t>
      </w:r>
      <w:r w:rsidRPr="00132E65">
        <w:rPr>
          <w:rtl/>
        </w:rPr>
        <w:t xml:space="preserve"> </w:t>
      </w:r>
      <w:r w:rsidRPr="000577A7">
        <w:rPr>
          <w:rStyle w:val="libFootnoteBoldChar"/>
          <w:rtl/>
        </w:rPr>
        <w:t>الكافي</w:t>
      </w:r>
      <w:r w:rsidRPr="00132E65">
        <w:rPr>
          <w:rtl/>
        </w:rPr>
        <w:t xml:space="preserve"> ، كتاب الحجّة ، باب أنّ الأئمّة </w:t>
      </w:r>
      <w:r w:rsidRPr="00A0540E">
        <w:rPr>
          <w:rStyle w:val="libFootnoteAlaemChar"/>
          <w:rtl/>
        </w:rPr>
        <w:t>عليهم‌السلام</w:t>
      </w:r>
      <w:r w:rsidRPr="00132E65">
        <w:rPr>
          <w:rtl/>
        </w:rPr>
        <w:t xml:space="preserve"> يعلمون متى يموتون</w:t>
      </w:r>
      <w:r>
        <w:rPr>
          <w:rtl/>
        </w:rPr>
        <w:t xml:space="preserve"> ..</w:t>
      </w:r>
      <w:r w:rsidRPr="00132E65">
        <w:rPr>
          <w:rtl/>
        </w:rPr>
        <w:t>. ، ح 679</w:t>
      </w:r>
      <w:r w:rsidR="00A0540E">
        <w:rPr>
          <w:rFonts w:hint="cs"/>
          <w:rtl/>
        </w:rPr>
        <w:t>.</w:t>
      </w:r>
      <w:r w:rsidRPr="009D1ACE">
        <w:rPr>
          <w:rStyle w:val="libFootnoteBoldChar"/>
          <w:rtl/>
        </w:rPr>
        <w:t>الوافي</w:t>
      </w:r>
      <w:r w:rsidRPr="00132E65">
        <w:rPr>
          <w:rtl/>
        </w:rPr>
        <w:t xml:space="preserve"> ، ج 3 ، ص 595 ، ح 1163.</w:t>
      </w:r>
    </w:p>
    <w:p w:rsidR="000C39D1" w:rsidRPr="0073465D" w:rsidRDefault="000C39D1" w:rsidP="000C39D1">
      <w:pPr>
        <w:pStyle w:val="libFootnote0"/>
        <w:rPr>
          <w:rtl/>
        </w:rPr>
      </w:pPr>
      <w:r>
        <w:rPr>
          <w:rtl/>
        </w:rPr>
        <w:t>(13)</w:t>
      </w:r>
      <w:r w:rsidRPr="0073465D">
        <w:rPr>
          <w:rtl/>
        </w:rPr>
        <w:t xml:space="preserve"> هكذا في « ب ، ج ، بح ، بر ، بس ، بف » والبحار. وفي « ض ، ف » والمطبوع : « الحسين بن محمّد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حَدَّثَنَا عَبْدُ اللهِ بْنُ إِدْرِيسَ </w:t>
      </w:r>
      <w:r>
        <w:rPr>
          <w:rStyle w:val="libFootnotenumChar"/>
          <w:rtl/>
        </w:rPr>
        <w:t>(1)</w:t>
      </w:r>
      <w:r w:rsidRPr="00132E65">
        <w:rPr>
          <w:rtl/>
          <w:lang w:bidi="fa-IR"/>
        </w:rPr>
        <w:t xml:space="preserve"> ، عَنْ أَبِيهِ إِدْرِيسَ بْنِ عَبْدِ اللهِ الْأَوْدِيِّ ، قَالَ :</w:t>
      </w:r>
    </w:p>
    <w:p w:rsidR="000C39D1" w:rsidRPr="00132E65" w:rsidRDefault="000C39D1" w:rsidP="000C39D1">
      <w:pPr>
        <w:pStyle w:val="libNormal"/>
        <w:rPr>
          <w:rtl/>
          <w:lang w:bidi="fa-IR"/>
        </w:rPr>
      </w:pPr>
      <w:r w:rsidRPr="00132E65">
        <w:rPr>
          <w:rtl/>
          <w:lang w:bidi="fa-IR"/>
        </w:rPr>
        <w:t xml:space="preserve">لَمَّا قُتِلَ الْحُسَيْنُ </w:t>
      </w:r>
      <w:r>
        <w:rPr>
          <w:rStyle w:val="libFootnotenumChar"/>
          <w:rtl/>
        </w:rPr>
        <w:t>(2)</w:t>
      </w:r>
      <w:r w:rsidRPr="00132E65">
        <w:rPr>
          <w:rtl/>
          <w:lang w:bidi="fa-IR"/>
        </w:rPr>
        <w:t xml:space="preserve"> </w:t>
      </w:r>
      <w:r w:rsidRPr="00071CF9">
        <w:rPr>
          <w:rStyle w:val="libAlaemChar"/>
          <w:rtl/>
        </w:rPr>
        <w:t>عليه‌السلام</w:t>
      </w:r>
      <w:r w:rsidRPr="00132E65">
        <w:rPr>
          <w:rtl/>
          <w:lang w:bidi="fa-IR"/>
        </w:rPr>
        <w:t xml:space="preserve"> ، أَرَادَ الْقَوْمُ أَنْ يُوطِئُوهُ الْخَيْلَ ، فَقَالَتْ فِضَّةُ لِزَيْنَبَ : يَا سَيِّدَتِي ، إِنَّ سَفِينَةَ </w:t>
      </w:r>
      <w:r>
        <w:rPr>
          <w:rStyle w:val="libFootnotenumChar"/>
          <w:rtl/>
        </w:rPr>
        <w:t>(3)</w:t>
      </w:r>
      <w:r w:rsidRPr="00132E65">
        <w:rPr>
          <w:rtl/>
          <w:lang w:bidi="fa-IR"/>
        </w:rPr>
        <w:t xml:space="preserve"> كُسِرَ بِهِ فِي الْبَحْرِ ، فَخَرَجَ </w:t>
      </w:r>
      <w:r>
        <w:rPr>
          <w:rStyle w:val="libFootnotenumChar"/>
          <w:rtl/>
        </w:rPr>
        <w:t>(4)</w:t>
      </w:r>
      <w:r w:rsidRPr="00132E65">
        <w:rPr>
          <w:rtl/>
          <w:lang w:bidi="fa-IR"/>
        </w:rPr>
        <w:t xml:space="preserve"> إِلى جَزِيرَةٍ ، فَإِذَا هُوَ بِأَسَدٍ ، فَقَالَ : يَا أَبَا الْحَارِثِ ، أَنَا مَوْلى رَسُولِ اللهِ </w:t>
      </w:r>
      <w:r w:rsidRPr="0093484F">
        <w:rPr>
          <w:rStyle w:val="libAlaemChar"/>
          <w:rFonts w:eastAsiaTheme="minorHAnsi"/>
          <w:rtl/>
        </w:rPr>
        <w:t>صلى‌الله‌عليه‌وآله</w:t>
      </w:r>
      <w:r w:rsidRPr="00132E65">
        <w:rPr>
          <w:rtl/>
          <w:lang w:bidi="fa-IR"/>
        </w:rPr>
        <w:t xml:space="preserve"> ، فَهَمْهَمَ </w:t>
      </w:r>
      <w:r>
        <w:rPr>
          <w:rStyle w:val="libFootnotenumChar"/>
          <w:rtl/>
        </w:rPr>
        <w:t>(5)</w:t>
      </w:r>
      <w:r w:rsidRPr="00132E65">
        <w:rPr>
          <w:rtl/>
          <w:lang w:bidi="fa-IR"/>
        </w:rPr>
        <w:t xml:space="preserve"> بَيْنَ يَدَيْهِ حَتّى و</w:t>
      </w:r>
      <w:r w:rsidR="004C257A">
        <w:rPr>
          <w:rFonts w:hint="cs"/>
          <w:rtl/>
          <w:lang w:bidi="fa-IR"/>
        </w:rPr>
        <w:t>َ</w:t>
      </w:r>
      <w:r w:rsidRPr="00132E65">
        <w:rPr>
          <w:rtl/>
          <w:lang w:bidi="fa-IR"/>
        </w:rPr>
        <w:t xml:space="preserve">قَفَهُ عَلَى الطَّرِيقِ </w:t>
      </w:r>
      <w:r>
        <w:rPr>
          <w:rStyle w:val="libFootnotenumChar"/>
          <w:rtl/>
        </w:rPr>
        <w:t>(6)</w:t>
      </w:r>
      <w:r w:rsidRPr="00132E65">
        <w:rPr>
          <w:rtl/>
          <w:lang w:bidi="fa-IR"/>
        </w:rPr>
        <w:t xml:space="preserve"> ، و</w:t>
      </w:r>
      <w:r w:rsidR="00103593">
        <w:rPr>
          <w:rFonts w:hint="cs"/>
          <w:rtl/>
          <w:lang w:bidi="fa-IR"/>
        </w:rPr>
        <w:t xml:space="preserve">َ </w:t>
      </w:r>
      <w:r w:rsidRPr="00132E65">
        <w:rPr>
          <w:rtl/>
          <w:lang w:bidi="fa-IR"/>
        </w:rPr>
        <w:t xml:space="preserve">الْأَسَدُ رَابِضٌ فِي نَاحِيَةٍ </w:t>
      </w:r>
      <w:r>
        <w:rPr>
          <w:rStyle w:val="libFootnotenumChar"/>
          <w:rtl/>
        </w:rPr>
        <w:t>(7)</w:t>
      </w:r>
      <w:r w:rsidRPr="00132E65">
        <w:rPr>
          <w:rtl/>
          <w:lang w:bidi="fa-IR"/>
        </w:rPr>
        <w:t xml:space="preserve"> ، فَدَعِينِي أَمْضِ إِلَيْهِ و</w:t>
      </w:r>
      <w:r w:rsidR="00103593">
        <w:rPr>
          <w:rFonts w:hint="cs"/>
          <w:rtl/>
          <w:lang w:bidi="fa-IR"/>
        </w:rPr>
        <w:t xml:space="preserve">َ </w:t>
      </w:r>
      <w:r w:rsidRPr="00132E65">
        <w:rPr>
          <w:rtl/>
          <w:lang w:bidi="fa-IR"/>
        </w:rPr>
        <w:t xml:space="preserve">أُعْلِمْهُ </w:t>
      </w:r>
      <w:r>
        <w:rPr>
          <w:rStyle w:val="libFootnotenumChar"/>
          <w:rtl/>
        </w:rPr>
        <w:t>(8)</w:t>
      </w:r>
      <w:r w:rsidRPr="00132E65">
        <w:rPr>
          <w:rtl/>
          <w:lang w:bidi="fa-IR"/>
        </w:rPr>
        <w:t xml:space="preserve"> ‌</w:t>
      </w:r>
      <w:r w:rsidR="00420BCA">
        <w:rPr>
          <w:rFonts w:hint="cs"/>
          <w:rtl/>
          <w:lang w:bidi="fa-IR"/>
        </w:rPr>
        <w:t>...................................................</w:t>
      </w:r>
      <w:r w:rsidR="00420BCA">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73465D" w:rsidRDefault="00270BDF" w:rsidP="000C39D1">
      <w:pPr>
        <w:pStyle w:val="libFootnote0"/>
        <w:rPr>
          <w:rtl/>
        </w:rPr>
      </w:pPr>
      <w:r>
        <w:rPr>
          <w:rFonts w:hint="cs"/>
          <w:rtl/>
        </w:rPr>
        <w:t>=</w:t>
      </w:r>
      <w:r w:rsidR="000C39D1" w:rsidRPr="0073465D">
        <w:rPr>
          <w:rtl/>
        </w:rPr>
        <w:t xml:space="preserve">والحسين بن أحمد هو الحسين بن أحمد بن عبد الله المالكي. روى في </w:t>
      </w:r>
      <w:r w:rsidR="000C39D1" w:rsidRPr="000577A7">
        <w:rPr>
          <w:rStyle w:val="libFootnoteBoldChar"/>
          <w:rtl/>
        </w:rPr>
        <w:t>الكافي</w:t>
      </w:r>
      <w:r w:rsidR="000C39D1" w:rsidRPr="0073465D">
        <w:rPr>
          <w:rtl/>
        </w:rPr>
        <w:t xml:space="preserve"> ، ح 15185 </w:t>
      </w:r>
      <w:r w:rsidR="000C39D1">
        <w:rPr>
          <w:rtl/>
        </w:rPr>
        <w:t>-</w:t>
      </w:r>
      <w:r w:rsidR="000C39D1" w:rsidRPr="0073465D">
        <w:rPr>
          <w:rtl/>
        </w:rPr>
        <w:t xml:space="preserve"> كما في بعض النسخ المعتبرة وحاشية المطبوع </w:t>
      </w:r>
      <w:r w:rsidR="000C39D1">
        <w:rPr>
          <w:rtl/>
        </w:rPr>
        <w:t>-</w:t>
      </w:r>
      <w:r w:rsidR="000C39D1" w:rsidRPr="0073465D">
        <w:rPr>
          <w:rtl/>
        </w:rPr>
        <w:t xml:space="preserve"> وح 15186 </w:t>
      </w:r>
      <w:r w:rsidR="000C39D1">
        <w:rPr>
          <w:rtl/>
        </w:rPr>
        <w:t>و 1</w:t>
      </w:r>
      <w:r w:rsidR="000C39D1" w:rsidRPr="0073465D">
        <w:rPr>
          <w:rtl/>
        </w:rPr>
        <w:t xml:space="preserve">5187 ، عن أحمد بن هلال ، بعنوان الحسين بن أحمد. وفي بعض الأسناد </w:t>
      </w:r>
    </w:p>
    <w:p w:rsidR="000C39D1" w:rsidRPr="0073465D" w:rsidRDefault="000C39D1" w:rsidP="000C39D1">
      <w:pPr>
        <w:pStyle w:val="libFootnote0"/>
        <w:rPr>
          <w:rtl/>
        </w:rPr>
      </w:pPr>
      <w:r w:rsidRPr="0073465D">
        <w:rPr>
          <w:rtl/>
        </w:rPr>
        <w:t xml:space="preserve">والطرق بعناوينه التفصيليّة. راجع : </w:t>
      </w:r>
      <w:r w:rsidRPr="00E56AEC">
        <w:rPr>
          <w:rtl/>
        </w:rPr>
        <w:t>التهذيب</w:t>
      </w:r>
      <w:r w:rsidRPr="00E55206">
        <w:rPr>
          <w:rtl/>
        </w:rPr>
        <w:t xml:space="preserve"> ، </w:t>
      </w:r>
      <w:r w:rsidRPr="0073465D">
        <w:rPr>
          <w:rtl/>
        </w:rPr>
        <w:t>ج 1 ، ص 117 ، ح 308 ؛</w:t>
      </w:r>
      <w:r w:rsidRPr="00E55206">
        <w:rPr>
          <w:rtl/>
        </w:rPr>
        <w:t xml:space="preserve"> </w:t>
      </w:r>
      <w:r w:rsidRPr="00E56AEC">
        <w:rPr>
          <w:rtl/>
        </w:rPr>
        <w:t>رجال النجاشي</w:t>
      </w:r>
      <w:r w:rsidRPr="0073465D">
        <w:rPr>
          <w:rtl/>
        </w:rPr>
        <w:t xml:space="preserve"> ، ص 371 ، الرقم 1014 ، ص 419 ، الرقم 1120 ؛ </w:t>
      </w:r>
      <w:r w:rsidRPr="00E56AEC">
        <w:rPr>
          <w:rtl/>
        </w:rPr>
        <w:t>الفهرست</w:t>
      </w:r>
      <w:r w:rsidRPr="00E55206">
        <w:rPr>
          <w:rtl/>
        </w:rPr>
        <w:t xml:space="preserve"> </w:t>
      </w:r>
      <w:r w:rsidRPr="0073465D">
        <w:rPr>
          <w:rtl/>
        </w:rPr>
        <w:t>للطوسي ، ص 270 ، الرقم 389.</w:t>
      </w:r>
    </w:p>
    <w:p w:rsidR="000C39D1" w:rsidRPr="0073465D" w:rsidRDefault="000C39D1" w:rsidP="00270BDF">
      <w:pPr>
        <w:pStyle w:val="libFootnote0"/>
        <w:rPr>
          <w:rtl/>
        </w:rPr>
      </w:pPr>
      <w:r w:rsidRPr="0073465D">
        <w:rPr>
          <w:rtl/>
        </w:rPr>
        <w:t>ثمّ إنّه لا يخفى ما في تصحيف « الحسين بن أحمد »</w:t>
      </w:r>
      <w:r>
        <w:rPr>
          <w:rtl/>
        </w:rPr>
        <w:t xml:space="preserve"> ب</w:t>
      </w:r>
      <w:r w:rsidR="00270BDF">
        <w:rPr>
          <w:rFonts w:hint="cs"/>
          <w:rtl/>
        </w:rPr>
        <w:t>ـ</w:t>
      </w:r>
      <w:r>
        <w:rPr>
          <w:rtl/>
        </w:rPr>
        <w:t>«</w:t>
      </w:r>
      <w:r w:rsidRPr="0073465D">
        <w:rPr>
          <w:rtl/>
        </w:rPr>
        <w:t xml:space="preserve"> الحسين بن محمّد » </w:t>
      </w:r>
      <w:r>
        <w:rPr>
          <w:rtl/>
        </w:rPr>
        <w:t>-</w:t>
      </w:r>
      <w:r w:rsidRPr="0073465D">
        <w:rPr>
          <w:rtl/>
        </w:rPr>
        <w:t xml:space="preserve"> وهو من مشايخ المصنّف المعروفين </w:t>
      </w:r>
      <w:r>
        <w:rPr>
          <w:rtl/>
        </w:rPr>
        <w:t>-</w:t>
      </w:r>
      <w:r w:rsidRPr="0073465D">
        <w:rPr>
          <w:rtl/>
        </w:rPr>
        <w:t xml:space="preserve"> من الا</w:t>
      </w:r>
      <w:r w:rsidR="00F77C42">
        <w:rPr>
          <w:rFonts w:hint="cs"/>
          <w:rtl/>
        </w:rPr>
        <w:t>ُ</w:t>
      </w:r>
      <w:r w:rsidRPr="0073465D">
        <w:rPr>
          <w:rtl/>
        </w:rPr>
        <w:t>نس الذهني عند النسّاخ والشباهة الكثيرة بين العنوانين في الكتابة.</w:t>
      </w:r>
    </w:p>
    <w:p w:rsidR="000C39D1" w:rsidRPr="00132E65" w:rsidRDefault="000C39D1" w:rsidP="000C39D1">
      <w:pPr>
        <w:pStyle w:val="libFootnote0"/>
        <w:rPr>
          <w:rtl/>
          <w:lang w:bidi="fa-IR"/>
        </w:rPr>
      </w:pPr>
      <w:r>
        <w:rPr>
          <w:rtl/>
        </w:rPr>
        <w:t>(1).</w:t>
      </w:r>
      <w:r w:rsidRPr="00132E65">
        <w:rPr>
          <w:rtl/>
        </w:rPr>
        <w:t xml:space="preserve"> عبد الله بن إدريس ، هذا ، هو عبد الله بن إدريس بن يزيد بن عبد الرحمن الأوْدي ، روى عن أبيه ، وروى عنه محمّد بن العلاء أبو كريب الهمداني وعبد الله بن سعيد أبو سعيد الأشجّ. راجع : </w:t>
      </w:r>
      <w:r w:rsidRPr="00E56AEC">
        <w:rPr>
          <w:rtl/>
        </w:rPr>
        <w:t>تهذيب الكمال</w:t>
      </w:r>
      <w:r w:rsidRPr="00132E65">
        <w:rPr>
          <w:rtl/>
        </w:rPr>
        <w:t xml:space="preserve"> ، ج 14 ، ص 293 ، الرقم 3159 ؛ وج 15 ، ص 27 ، الرقم 3303 ؛ وج 26 ، ص 243 ، الرقم 5529 ؛ سير أعلام النبلاء ، ج 9 ، ص 42 ، الرقم 12.</w:t>
      </w:r>
    </w:p>
    <w:p w:rsidR="000C39D1" w:rsidRPr="0073465D" w:rsidRDefault="000C39D1" w:rsidP="000C39D1">
      <w:pPr>
        <w:pStyle w:val="libFootnote0"/>
        <w:rPr>
          <w:rtl/>
        </w:rPr>
      </w:pPr>
      <w:r w:rsidRPr="0073465D">
        <w:rPr>
          <w:rtl/>
        </w:rPr>
        <w:t>والظاهر وقوع التحريف في « أبيه إدريس بن عبد الله الأودي ». والصواب « أبيه إدريس أبي عبد الله الأودي » ، فإنّ كنية إدريس والد عبد الله ، هو أبو عبد الله. راجع :</w:t>
      </w:r>
      <w:r>
        <w:rPr>
          <w:rFonts w:hint="cs"/>
          <w:rtl/>
        </w:rPr>
        <w:t xml:space="preserve"> </w:t>
      </w:r>
      <w:r w:rsidRPr="00E56AEC">
        <w:rPr>
          <w:rtl/>
        </w:rPr>
        <w:t>تهذيب الكمال</w:t>
      </w:r>
      <w:r w:rsidRPr="00E55206">
        <w:rPr>
          <w:rtl/>
        </w:rPr>
        <w:t xml:space="preserve"> </w:t>
      </w:r>
      <w:r w:rsidRPr="0073465D">
        <w:rPr>
          <w:rtl/>
        </w:rPr>
        <w:t>، ج 2 ، ص 299 ، الرقم 293.</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(3).</w:t>
      </w:r>
      <w:r w:rsidRPr="00132E65">
        <w:rPr>
          <w:rtl/>
        </w:rPr>
        <w:t xml:space="preserve"> « سفينة » ، مولى رسول الله </w:t>
      </w:r>
      <w:r w:rsidRPr="00C723F2">
        <w:rPr>
          <w:rStyle w:val="libFootnoteAlaemChar"/>
          <w:rFonts w:eastAsiaTheme="minorHAnsi"/>
          <w:rtl/>
        </w:rPr>
        <w:t>صلى‌الله‌عليه‌وآله</w:t>
      </w:r>
      <w:r w:rsidRPr="00132E65">
        <w:rPr>
          <w:rtl/>
          <w:lang w:bidi="fa-IR"/>
        </w:rPr>
        <w:t xml:space="preserve"> </w:t>
      </w:r>
      <w:r w:rsidRPr="00132E65">
        <w:rPr>
          <w:rtl/>
        </w:rPr>
        <w:t xml:space="preserve">، اسمه : مهران ، أو غير ذلك ، وكنيته : أبو عبد الرحمان أو أبو ريحانة. سمّي‌سفينة لأنّه حمل متاعاً كثيراً لرفقائه في الغزو فقال له الرسول </w:t>
      </w:r>
      <w:r w:rsidRPr="00C723F2">
        <w:rPr>
          <w:rStyle w:val="libFootnoteAlaemChar"/>
          <w:rFonts w:eastAsiaTheme="minorHAnsi"/>
          <w:rtl/>
        </w:rPr>
        <w:t>صلى‌الله‌عليه‌وآله</w:t>
      </w:r>
      <w:r w:rsidRPr="00132E65">
        <w:rPr>
          <w:rtl/>
          <w:lang w:bidi="fa-IR"/>
        </w:rPr>
        <w:t xml:space="preserve"> </w:t>
      </w:r>
      <w:r w:rsidRPr="00132E65">
        <w:rPr>
          <w:rtl/>
        </w:rPr>
        <w:t>: « أنت سفينة »</w:t>
      </w:r>
      <w:r>
        <w:rPr>
          <w:rtl/>
        </w:rPr>
        <w:t>.</w:t>
      </w:r>
      <w:r w:rsidRPr="00132E65">
        <w:rPr>
          <w:rtl/>
        </w:rPr>
        <w:t xml:space="preserve"> راجع : </w:t>
      </w:r>
      <w:r w:rsidRPr="00E56AEC">
        <w:rPr>
          <w:rtl/>
        </w:rPr>
        <w:t>شرح المازندراني</w:t>
      </w:r>
      <w:r w:rsidRPr="00132E65">
        <w:rPr>
          <w:rtl/>
        </w:rPr>
        <w:t xml:space="preserve"> ، ج 7 ، ص 229 ؛ </w:t>
      </w:r>
      <w:r w:rsidRPr="009D1ACE">
        <w:rPr>
          <w:rStyle w:val="libFootnoteBoldChar"/>
          <w:rtl/>
        </w:rPr>
        <w:t>الوافي</w:t>
      </w:r>
      <w:r w:rsidRPr="00132E65">
        <w:rPr>
          <w:rtl/>
        </w:rPr>
        <w:t xml:space="preserve"> ، ج 3 ، ص 760 ؛ </w:t>
      </w:r>
      <w:r w:rsidRPr="009D1ACE">
        <w:rPr>
          <w:rStyle w:val="libFootnoteBoldChar"/>
          <w:rtl/>
        </w:rPr>
        <w:t>مرآة العقول</w:t>
      </w:r>
      <w:r w:rsidRPr="00132E65">
        <w:rPr>
          <w:rtl/>
        </w:rPr>
        <w:t xml:space="preserve"> ، ج 5 ، ص 368.</w:t>
      </w:r>
    </w:p>
    <w:p w:rsidR="000C39D1" w:rsidRPr="00132E65" w:rsidRDefault="000C39D1" w:rsidP="000C39D1">
      <w:pPr>
        <w:pStyle w:val="libFootnote0"/>
        <w:rPr>
          <w:rtl/>
          <w:lang w:bidi="fa-IR"/>
        </w:rPr>
      </w:pPr>
      <w:r>
        <w:rPr>
          <w:rtl/>
        </w:rPr>
        <w:t>(4).</w:t>
      </w:r>
      <w:r w:rsidRPr="00132E65">
        <w:rPr>
          <w:rtl/>
        </w:rPr>
        <w:t xml:space="preserve"> في البحار : « فخرج به »</w:t>
      </w:r>
      <w:r>
        <w:rPr>
          <w:rtl/>
        </w:rPr>
        <w:t>.</w:t>
      </w:r>
    </w:p>
    <w:p w:rsidR="000C39D1" w:rsidRPr="00132E65" w:rsidRDefault="000C39D1" w:rsidP="000C39D1">
      <w:pPr>
        <w:pStyle w:val="libFootnote0"/>
        <w:rPr>
          <w:rtl/>
          <w:lang w:bidi="fa-IR"/>
        </w:rPr>
      </w:pPr>
      <w:r>
        <w:rPr>
          <w:rtl/>
        </w:rPr>
        <w:t>(5).</w:t>
      </w:r>
      <w:r w:rsidRPr="00132E65">
        <w:rPr>
          <w:rtl/>
        </w:rPr>
        <w:t xml:space="preserve"> « الهَمْهَمَةُ » : ترديد الصوت في الصدر. قاله الجوهري. أو كلام خفيّ لا يُفهَمُ. وأصل الهمهمة صوت البقر. قاله ابن الأثير. راجع : </w:t>
      </w:r>
      <w:r w:rsidRPr="00E56AEC">
        <w:rPr>
          <w:rtl/>
        </w:rPr>
        <w:t>الصحاح</w:t>
      </w:r>
      <w:r w:rsidRPr="00132E65">
        <w:rPr>
          <w:rtl/>
        </w:rPr>
        <w:t xml:space="preserve"> ، ج 5 ، ص 2062 ( همم ) ؛ </w:t>
      </w:r>
      <w:r w:rsidRPr="00E56AEC">
        <w:rPr>
          <w:rtl/>
        </w:rPr>
        <w:t>النهاية</w:t>
      </w:r>
      <w:r w:rsidRPr="00132E65">
        <w:rPr>
          <w:rtl/>
        </w:rPr>
        <w:t xml:space="preserve"> ، ج 5 ، ص 276 ( همهم )</w:t>
      </w:r>
      <w:r>
        <w:rPr>
          <w:rtl/>
        </w:rPr>
        <w:t>.</w:t>
      </w:r>
    </w:p>
    <w:p w:rsidR="000C39D1" w:rsidRPr="00132E65" w:rsidRDefault="000C39D1" w:rsidP="000C39D1">
      <w:pPr>
        <w:pStyle w:val="libFootnote0"/>
        <w:rPr>
          <w:rtl/>
          <w:lang w:bidi="fa-IR"/>
        </w:rPr>
      </w:pPr>
      <w:r>
        <w:rPr>
          <w:rtl/>
        </w:rPr>
        <w:t>(6).</w:t>
      </w:r>
      <w:r w:rsidRPr="00132E65">
        <w:rPr>
          <w:rtl/>
        </w:rPr>
        <w:t xml:space="preserve"> في « ج ، ف » : « وقّفه » بالتثقيل. وقوله : « وَقَفَهُ على الطريق » ، أي أطلعه عليه ، أي كشفه له وأظهره له. راجع : </w:t>
      </w:r>
      <w:r w:rsidRPr="00E56AEC">
        <w:rPr>
          <w:rtl/>
        </w:rPr>
        <w:t>الصحاح</w:t>
      </w:r>
      <w:r w:rsidRPr="00132E65">
        <w:rPr>
          <w:rtl/>
        </w:rPr>
        <w:t xml:space="preserve"> ، ج 4 ، ص 1440 ( وقف )</w:t>
      </w:r>
      <w:r>
        <w:rPr>
          <w:rtl/>
        </w:rPr>
        <w:t>.</w:t>
      </w:r>
    </w:p>
    <w:p w:rsidR="000C39D1" w:rsidRPr="00132E65" w:rsidRDefault="000C39D1" w:rsidP="00C723F2">
      <w:pPr>
        <w:pStyle w:val="libFootnote0"/>
        <w:rPr>
          <w:rtl/>
          <w:lang w:bidi="fa-IR"/>
        </w:rPr>
      </w:pPr>
      <w:r>
        <w:rPr>
          <w:rtl/>
        </w:rPr>
        <w:t>(7).</w:t>
      </w:r>
      <w:r w:rsidRPr="00132E65">
        <w:rPr>
          <w:rtl/>
        </w:rPr>
        <w:t xml:space="preserve"> « رابض في ناحية » ، أي مقيم فيها وملازم لها ؛ من رَبَضَ في المكان يَرْبِضُ ، إذا لصق به وأقام ملازماً له. راجع : </w:t>
      </w:r>
      <w:r w:rsidRPr="00E56AEC">
        <w:rPr>
          <w:rtl/>
        </w:rPr>
        <w:t>النهاية</w:t>
      </w:r>
      <w:r w:rsidRPr="00132E65">
        <w:rPr>
          <w:rtl/>
        </w:rPr>
        <w:t xml:space="preserve"> ، ج 2 ، ص 184 ( ربض )</w:t>
      </w:r>
      <w:r>
        <w:rPr>
          <w:rtl/>
        </w:rPr>
        <w:t>.</w:t>
      </w:r>
      <w:r w:rsidR="00C723F2">
        <w:rPr>
          <w:rFonts w:hint="cs"/>
          <w:rtl/>
        </w:rPr>
        <w:t xml:space="preserve">                           </w:t>
      </w:r>
      <w:r>
        <w:rPr>
          <w:rtl/>
        </w:rPr>
        <w:t>(8).</w:t>
      </w:r>
      <w:r w:rsidRPr="00132E65">
        <w:rPr>
          <w:rtl/>
        </w:rPr>
        <w:t>في«بح»و</w:t>
      </w:r>
      <w:r w:rsidRPr="009D1ACE">
        <w:rPr>
          <w:rStyle w:val="libFootnoteBoldChar"/>
          <w:rtl/>
        </w:rPr>
        <w:t>الوافي</w:t>
      </w:r>
      <w:r w:rsidRPr="00132E65">
        <w:rPr>
          <w:rtl/>
        </w:rPr>
        <w:t xml:space="preserve"> والبحار:«فا</w:t>
      </w:r>
      <w:r w:rsidR="00CF21AE">
        <w:rPr>
          <w:rFonts w:hint="cs"/>
          <w:rtl/>
        </w:rPr>
        <w:t>ُ</w:t>
      </w:r>
      <w:r w:rsidRPr="00132E65">
        <w:rPr>
          <w:rtl/>
        </w:rPr>
        <w:t>علمه»</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مَا هُمْ </w:t>
      </w:r>
      <w:r>
        <w:rPr>
          <w:rStyle w:val="libFootnotenumChar"/>
          <w:rtl/>
        </w:rPr>
        <w:t>(1)</w:t>
      </w:r>
      <w:r w:rsidRPr="00132E65">
        <w:rPr>
          <w:rtl/>
          <w:lang w:bidi="fa-IR"/>
        </w:rPr>
        <w:t xml:space="preserve"> صَانِعُونَ غَداً ، قَالَ </w:t>
      </w:r>
      <w:r>
        <w:rPr>
          <w:rStyle w:val="libFootnotenumChar"/>
          <w:rtl/>
        </w:rPr>
        <w:t>(2)</w:t>
      </w:r>
      <w:r w:rsidRPr="00132E65">
        <w:rPr>
          <w:rtl/>
          <w:lang w:bidi="fa-IR"/>
        </w:rPr>
        <w:t xml:space="preserve"> : فَمَضَتْ </w:t>
      </w:r>
      <w:r>
        <w:rPr>
          <w:rStyle w:val="libFootnotenumChar"/>
          <w:rtl/>
        </w:rPr>
        <w:t>(3)</w:t>
      </w:r>
      <w:r w:rsidRPr="00132E65">
        <w:rPr>
          <w:rtl/>
          <w:lang w:bidi="fa-IR"/>
        </w:rPr>
        <w:t xml:space="preserve"> إِلَيْهِ ، فَقَالَتْ </w:t>
      </w:r>
      <w:r>
        <w:rPr>
          <w:rStyle w:val="libFootnotenumChar"/>
          <w:rtl/>
        </w:rPr>
        <w:t>(4)</w:t>
      </w:r>
      <w:r w:rsidRPr="00132E65">
        <w:rPr>
          <w:rtl/>
          <w:lang w:bidi="fa-IR"/>
        </w:rPr>
        <w:t xml:space="preserve"> : يَا أَبَا الْحَارِثِ ، فَرَفَعَ رَأْسَهُ ، ثُمَّ قَالَتْ </w:t>
      </w:r>
      <w:r>
        <w:rPr>
          <w:rStyle w:val="libFootnotenumChar"/>
          <w:rtl/>
        </w:rPr>
        <w:t>(5)</w:t>
      </w:r>
      <w:r>
        <w:rPr>
          <w:rtl/>
          <w:lang w:bidi="fa-IR"/>
        </w:rPr>
        <w:t xml:space="preserve"> : أَ</w:t>
      </w:r>
      <w:r w:rsidRPr="00132E65">
        <w:rPr>
          <w:rtl/>
          <w:lang w:bidi="fa-IR"/>
        </w:rPr>
        <w:t xml:space="preserve">تَدْرِي مَا يُرِيدُونَ أَنْ يَعْمَلُوا غَداً بِأَبِي عَبْدِ اللهِ </w:t>
      </w:r>
      <w:r w:rsidRPr="00071CF9">
        <w:rPr>
          <w:rStyle w:val="libAlaemChar"/>
          <w:rtl/>
        </w:rPr>
        <w:t>عليه‌السلام</w:t>
      </w:r>
      <w:r>
        <w:rPr>
          <w:rtl/>
          <w:lang w:bidi="fa-IR"/>
        </w:rPr>
        <w:t>؟</w:t>
      </w:r>
      <w:r w:rsidRPr="00132E65">
        <w:rPr>
          <w:rtl/>
          <w:lang w:bidi="fa-IR"/>
        </w:rPr>
        <w:t xml:space="preserve"> يُرِيدُونَ أَنْ يُوطِئُوا الْخَيْلَ ظَهْرَهُ ، قَالَ : فَمَشى </w:t>
      </w:r>
      <w:r>
        <w:rPr>
          <w:rStyle w:val="libFootnotenumChar"/>
          <w:rtl/>
        </w:rPr>
        <w:t>(6)</w:t>
      </w:r>
      <w:r w:rsidRPr="00132E65">
        <w:rPr>
          <w:rtl/>
          <w:lang w:bidi="fa-IR"/>
        </w:rPr>
        <w:t xml:space="preserve"> حَتّى و</w:t>
      </w:r>
      <w:r w:rsidR="00CF21AE">
        <w:rPr>
          <w:rFonts w:hint="cs"/>
          <w:rtl/>
          <w:lang w:bidi="fa-IR"/>
        </w:rPr>
        <w:t>َ</w:t>
      </w:r>
      <w:r w:rsidRPr="00132E65">
        <w:rPr>
          <w:rtl/>
          <w:lang w:bidi="fa-IR"/>
        </w:rPr>
        <w:t xml:space="preserve">ضَعَ يَدَيْهِ عَلى جَسَدِ الْحُسَيْنِ </w:t>
      </w:r>
      <w:r w:rsidRPr="00071CF9">
        <w:rPr>
          <w:rStyle w:val="libAlaemChar"/>
          <w:rtl/>
        </w:rPr>
        <w:t>عليه‌السلام</w:t>
      </w:r>
      <w:r w:rsidRPr="00132E65">
        <w:rPr>
          <w:rtl/>
          <w:lang w:bidi="fa-IR"/>
        </w:rPr>
        <w:t xml:space="preserve"> ، فَأَقْبَلَتِ الْخَيْلُ ، فَلَمَّا نَظَرُوا إِلَيْهِ ، قَالَ لَهُمْ عُمَرُ بْنُ سَعْدٍ لَعَنَهُ اللهُ : فِتْنَةٌ لَاتُثِيرُوهَا </w:t>
      </w:r>
      <w:r>
        <w:rPr>
          <w:rStyle w:val="libFootnotenumChar"/>
          <w:rtl/>
        </w:rPr>
        <w:t>(7)</w:t>
      </w:r>
      <w:r w:rsidRPr="00132E65">
        <w:rPr>
          <w:rtl/>
          <w:lang w:bidi="fa-IR"/>
        </w:rPr>
        <w:t xml:space="preserve"> ، انْصَرِفُوا ؛ فَانْصَرَفُوا.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E56AEC">
        <w:rPr>
          <w:rtl/>
        </w:rPr>
        <w:t>1268</w:t>
      </w:r>
      <w:r w:rsidRPr="004325D8">
        <w:rPr>
          <w:rStyle w:val="libBold2Char"/>
          <w:rtl/>
        </w:rPr>
        <w:t xml:space="preserve"> / 9.</w:t>
      </w:r>
      <w:r w:rsidRPr="00132E65">
        <w:rPr>
          <w:rtl/>
          <w:lang w:bidi="fa-IR"/>
        </w:rPr>
        <w:t xml:space="preserve"> عَلِيُّ بْنُ مُحَمَّدٍ ، عَنْ سَهْلِ بْنِ زِيَادٍ ، عَنْ مُحَمَّدِ بْنِ أَحْمَدَ ، عَنِ الْحَسَنِ </w:t>
      </w:r>
      <w:r>
        <w:rPr>
          <w:rStyle w:val="libFootnotenumChar"/>
          <w:rtl/>
        </w:rPr>
        <w:t>(9)</w:t>
      </w:r>
      <w:r w:rsidRPr="00132E65">
        <w:rPr>
          <w:rtl/>
          <w:lang w:bidi="fa-IR"/>
        </w:rPr>
        <w:t xml:space="preserve"> بْنِ عَلِيٍّ ، عَنْ يُونُسَ ، عَنْ مَصْقَلَةَ الطَّحَّانِ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لَمَّا قُتِلَ الْحُسَيْنُ </w:t>
      </w:r>
      <w:r w:rsidRPr="00071CF9">
        <w:rPr>
          <w:rStyle w:val="libAlaemChar"/>
          <w:rtl/>
        </w:rPr>
        <w:t>عليه‌السلام</w:t>
      </w:r>
      <w:r w:rsidRPr="00132E65">
        <w:rPr>
          <w:rtl/>
          <w:lang w:bidi="fa-IR"/>
        </w:rPr>
        <w:t xml:space="preserve"> ، أَقَامَتِ امْرَأَتُهُ الْكَلْبِيَّةُ عَلَيْهِ مَأْتَماً ، و</w:t>
      </w:r>
      <w:r w:rsidR="008253AF">
        <w:rPr>
          <w:rFonts w:hint="cs"/>
          <w:rtl/>
          <w:lang w:bidi="fa-IR"/>
        </w:rPr>
        <w:t xml:space="preserve">َ </w:t>
      </w:r>
      <w:r w:rsidRPr="00132E65">
        <w:rPr>
          <w:rtl/>
          <w:lang w:bidi="fa-IR"/>
        </w:rPr>
        <w:t>بَكَتْ و</w:t>
      </w:r>
      <w:r w:rsidR="008253AF">
        <w:rPr>
          <w:rFonts w:hint="cs"/>
          <w:rtl/>
          <w:lang w:bidi="fa-IR"/>
        </w:rPr>
        <w:t xml:space="preserve">َ </w:t>
      </w:r>
      <w:r w:rsidRPr="00132E65">
        <w:rPr>
          <w:rtl/>
          <w:lang w:bidi="fa-IR"/>
        </w:rPr>
        <w:t>بَكَيْنَ النِّسَاءُ و</w:t>
      </w:r>
      <w:r w:rsidR="00F4227F">
        <w:rPr>
          <w:rFonts w:hint="cs"/>
          <w:rtl/>
          <w:lang w:bidi="fa-IR"/>
        </w:rPr>
        <w:t xml:space="preserve">َ </w:t>
      </w:r>
      <w:r w:rsidRPr="00132E65">
        <w:rPr>
          <w:rtl/>
          <w:lang w:bidi="fa-IR"/>
        </w:rPr>
        <w:t>الْخَدَمُ حَتّى جَفَّتْ دُمُوعُهُنَّ و</w:t>
      </w:r>
      <w:r w:rsidR="00F4227F">
        <w:rPr>
          <w:rFonts w:hint="cs"/>
          <w:rtl/>
          <w:lang w:bidi="fa-IR"/>
        </w:rPr>
        <w:t xml:space="preserve">َ </w:t>
      </w:r>
      <w:r w:rsidRPr="00132E65">
        <w:rPr>
          <w:rtl/>
          <w:lang w:bidi="fa-IR"/>
        </w:rPr>
        <w:t xml:space="preserve">ذَهَبَتْ ، فَبَيْنَا </w:t>
      </w:r>
      <w:r>
        <w:rPr>
          <w:rStyle w:val="libFootnotenumChar"/>
          <w:rtl/>
        </w:rPr>
        <w:t>(10)</w:t>
      </w:r>
      <w:r w:rsidRPr="00132E65">
        <w:rPr>
          <w:rtl/>
          <w:lang w:bidi="fa-IR"/>
        </w:rPr>
        <w:t xml:space="preserve"> هِيَ كَذلِكَ إِذَا </w:t>
      </w:r>
      <w:r>
        <w:rPr>
          <w:rStyle w:val="libFootnotenumChar"/>
          <w:rtl/>
        </w:rPr>
        <w:t>(11)</w:t>
      </w:r>
      <w:r w:rsidRPr="00132E65">
        <w:rPr>
          <w:rtl/>
          <w:lang w:bidi="fa-IR"/>
        </w:rPr>
        <w:t xml:space="preserve"> رَأَتْ جَارِيَةً مِنْ</w:t>
      </w:r>
      <w:r>
        <w:rPr>
          <w:rFonts w:hint="cs"/>
          <w:rtl/>
          <w:lang w:bidi="fa-IR"/>
        </w:rPr>
        <w:t xml:space="preserve"> </w:t>
      </w:r>
      <w:r w:rsidRPr="00132E65">
        <w:rPr>
          <w:rtl/>
          <w:lang w:bidi="fa-IR"/>
        </w:rPr>
        <w:t>جَوَارِيهَا تَبْكِي و</w:t>
      </w:r>
      <w:r w:rsidR="00F4227F">
        <w:rPr>
          <w:rFonts w:hint="cs"/>
          <w:rtl/>
          <w:lang w:bidi="fa-IR"/>
        </w:rPr>
        <w:t xml:space="preserve">َ </w:t>
      </w:r>
      <w:r w:rsidRPr="00132E65">
        <w:rPr>
          <w:rtl/>
          <w:lang w:bidi="fa-IR"/>
        </w:rPr>
        <w:t xml:space="preserve">دُمُوعُهَا تَسِيلُ ، فَدَعَتْهَا ، فَقَالَتْ لَهَا </w:t>
      </w:r>
      <w:r>
        <w:rPr>
          <w:rStyle w:val="libFootnotenumChar"/>
          <w:rtl/>
        </w:rPr>
        <w:t>(12)</w:t>
      </w:r>
      <w:r w:rsidRPr="00132E65">
        <w:rPr>
          <w:rtl/>
          <w:lang w:bidi="fa-IR"/>
        </w:rPr>
        <w:t xml:space="preserve"> : مَا لَكِ أَنْتِ مِنْ بَيْنِنَا تَسِيلُ دُمُوعُكِ</w:t>
      </w:r>
      <w:r>
        <w:rPr>
          <w:rtl/>
          <w:lang w:bidi="fa-IR"/>
        </w:rPr>
        <w:t>؟</w:t>
      </w:r>
      <w:r w:rsidRPr="00132E65">
        <w:rPr>
          <w:rtl/>
          <w:lang w:bidi="fa-IR"/>
        </w:rPr>
        <w:t xml:space="preserve"> قَالَتْ : إِنِّي لَمَّا أَصَابَنِي الْجَهْدُ شَرِبْتُ شَرْبَةَ سَوِيقٍ </w:t>
      </w:r>
      <w:r w:rsidRPr="00F543F1">
        <w:rPr>
          <w:rStyle w:val="libFootnotenumChar"/>
          <w:rtl/>
        </w:rPr>
        <w:t>(13)</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 فَأَمَرَتْ بِالطَّعَامِ و</w:t>
      </w:r>
      <w:r w:rsidR="00F4227F">
        <w:rPr>
          <w:rFonts w:hint="cs"/>
          <w:rtl/>
          <w:lang w:bidi="fa-IR"/>
        </w:rPr>
        <w:t xml:space="preserve">َ </w:t>
      </w:r>
      <w:r w:rsidRPr="00132E65">
        <w:rPr>
          <w:rtl/>
          <w:lang w:bidi="fa-IR"/>
        </w:rPr>
        <w:t>الْأَسْوِقَةِ ، فَأَكَلَتْ و</w:t>
      </w:r>
      <w:r w:rsidR="00F4227F">
        <w:rPr>
          <w:rFonts w:hint="cs"/>
          <w:rtl/>
          <w:lang w:bidi="fa-IR"/>
        </w:rPr>
        <w:t xml:space="preserve">َ </w:t>
      </w:r>
      <w:r w:rsidRPr="00132E65">
        <w:rPr>
          <w:rtl/>
          <w:lang w:bidi="fa-IR"/>
        </w:rPr>
        <w:t>شَرِبَتْ و</w:t>
      </w:r>
      <w:r w:rsidR="00F4227F">
        <w:rPr>
          <w:rFonts w:hint="cs"/>
          <w:rtl/>
          <w:lang w:bidi="fa-IR"/>
        </w:rPr>
        <w:t xml:space="preserve">َ </w:t>
      </w:r>
      <w:r w:rsidRPr="00132E65">
        <w:rPr>
          <w:rtl/>
          <w:lang w:bidi="fa-IR"/>
        </w:rPr>
        <w:t>أَطْعَمَتْ و</w:t>
      </w:r>
      <w:r w:rsidR="00F4227F">
        <w:rPr>
          <w:rFonts w:hint="cs"/>
          <w:rtl/>
          <w:lang w:bidi="fa-IR"/>
        </w:rPr>
        <w:t xml:space="preserve">َ </w:t>
      </w:r>
      <w:r w:rsidRPr="00132E65">
        <w:rPr>
          <w:rtl/>
          <w:lang w:bidi="fa-IR"/>
        </w:rPr>
        <w:t>سَقَتْ ، و</w:t>
      </w:r>
      <w:r w:rsidR="00F4227F">
        <w:rPr>
          <w:rFonts w:hint="cs"/>
          <w:rtl/>
          <w:lang w:bidi="fa-IR"/>
        </w:rPr>
        <w:t xml:space="preserve">َ </w:t>
      </w:r>
      <w:r w:rsidRPr="00132E65">
        <w:rPr>
          <w:rtl/>
          <w:lang w:bidi="fa-IR"/>
        </w:rPr>
        <w:t xml:space="preserve">قَالَتْ : إِنَّمَا نُرِيدُ </w:t>
      </w:r>
      <w:r w:rsidRPr="00F543F1">
        <w:rPr>
          <w:rStyle w:val="libFootnotenumChar"/>
          <w:rtl/>
        </w:rPr>
        <w:t>(14)</w:t>
      </w:r>
      <w:r w:rsidRPr="00132E65">
        <w:rPr>
          <w:rtl/>
          <w:lang w:bidi="fa-IR"/>
        </w:rPr>
        <w:t xml:space="preserve"> بِذلِكِ أَنْ نَتَقَوّى </w:t>
      </w:r>
      <w:r w:rsidRPr="00F543F1">
        <w:rPr>
          <w:rStyle w:val="libFootnotenumChar"/>
          <w:rtl/>
        </w:rPr>
        <w:t>(15)</w:t>
      </w:r>
      <w:r w:rsidRPr="00132E65">
        <w:rPr>
          <w:rtl/>
          <w:lang w:bidi="fa-IR"/>
        </w:rPr>
        <w:t xml:space="preserve"> عَلَى الْبُكَاءِ عَلَى الْحُسَيْنِ </w:t>
      </w:r>
      <w:r w:rsidRPr="00071CF9">
        <w:rPr>
          <w:rStyle w:val="libAlaemChar"/>
          <w:rtl/>
        </w:rPr>
        <w:t>عليه‌السلام</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ما ذا »</w:t>
      </w:r>
      <w:r>
        <w:rPr>
          <w:rtl/>
        </w:rPr>
        <w:t>.</w:t>
      </w:r>
    </w:p>
    <w:p w:rsidR="000C39D1" w:rsidRPr="00132E65" w:rsidRDefault="000C39D1" w:rsidP="000C39D1">
      <w:pPr>
        <w:pStyle w:val="libFootnote0"/>
        <w:rPr>
          <w:rtl/>
          <w:lang w:bidi="fa-IR"/>
        </w:rPr>
      </w:pPr>
      <w:r>
        <w:rPr>
          <w:rtl/>
        </w:rPr>
        <w:t>(2).</w:t>
      </w:r>
      <w:r w:rsidRPr="00132E65">
        <w:rPr>
          <w:rtl/>
        </w:rPr>
        <w:t xml:space="preserve"> في « بح » وحاشية « بف » : « قالت »</w:t>
      </w:r>
      <w:r>
        <w:rPr>
          <w:rtl/>
        </w:rPr>
        <w:t>.</w:t>
      </w:r>
    </w:p>
    <w:tbl>
      <w:tblPr>
        <w:tblStyle w:val="TableGrid"/>
        <w:bidiVisual/>
        <w:tblW w:w="0" w:type="auto"/>
        <w:tblLook w:val="04A0" w:firstRow="1" w:lastRow="0" w:firstColumn="1" w:lastColumn="0" w:noHBand="0" w:noVBand="1"/>
      </w:tblPr>
      <w:tblGrid>
        <w:gridCol w:w="4261"/>
        <w:gridCol w:w="4262"/>
      </w:tblGrid>
      <w:tr w:rsidR="00127C76" w:rsidTr="00127C76">
        <w:tc>
          <w:tcPr>
            <w:tcW w:w="4261" w:type="dxa"/>
          </w:tcPr>
          <w:p w:rsidR="00127C76" w:rsidRDefault="00127C76" w:rsidP="000C39D1">
            <w:pPr>
              <w:pStyle w:val="libFootnote0"/>
              <w:rPr>
                <w:rtl/>
              </w:rPr>
            </w:pPr>
            <w:r>
              <w:rPr>
                <w:rtl/>
              </w:rPr>
              <w:t>(3).</w:t>
            </w:r>
            <w:r w:rsidRPr="00132E65">
              <w:rPr>
                <w:rtl/>
              </w:rPr>
              <w:t>في حاشية«بف»:«</w:t>
            </w:r>
            <w:r>
              <w:rPr>
                <w:rtl/>
              </w:rPr>
              <w:t>فمضيت</w:t>
            </w:r>
            <w:r w:rsidRPr="00132E65">
              <w:rPr>
                <w:rtl/>
              </w:rPr>
              <w:t>»</w:t>
            </w:r>
            <w:r>
              <w:rPr>
                <w:rtl/>
              </w:rPr>
              <w:t>.</w:t>
            </w:r>
          </w:p>
        </w:tc>
        <w:tc>
          <w:tcPr>
            <w:tcW w:w="4262" w:type="dxa"/>
          </w:tcPr>
          <w:p w:rsidR="00127C76" w:rsidRDefault="00127C76" w:rsidP="000C39D1">
            <w:pPr>
              <w:pStyle w:val="libFootnote0"/>
              <w:rPr>
                <w:rtl/>
              </w:rPr>
            </w:pPr>
            <w:r>
              <w:rPr>
                <w:rtl/>
              </w:rPr>
              <w:t>(4).</w:t>
            </w:r>
            <w:r w:rsidRPr="00132E65">
              <w:rPr>
                <w:rtl/>
              </w:rPr>
              <w:t>في«بح»وحاشية«بف»:«فقلت»</w:t>
            </w:r>
            <w:r>
              <w:rPr>
                <w:rtl/>
              </w:rPr>
              <w:t>.</w:t>
            </w:r>
          </w:p>
        </w:tc>
      </w:tr>
    </w:tbl>
    <w:p w:rsidR="000C39D1" w:rsidRPr="00132E65" w:rsidRDefault="000C39D1" w:rsidP="000C39D1">
      <w:pPr>
        <w:pStyle w:val="libFootnote0"/>
        <w:rPr>
          <w:rtl/>
          <w:lang w:bidi="fa-IR"/>
        </w:rPr>
      </w:pPr>
      <w:r>
        <w:rPr>
          <w:rtl/>
        </w:rPr>
        <w:t>(5).</w:t>
      </w:r>
      <w:r w:rsidRPr="00132E65">
        <w:rPr>
          <w:rtl/>
        </w:rPr>
        <w:t xml:space="preserve"> في « ج » : « ثمّ قال »</w:t>
      </w:r>
      <w:r>
        <w:rPr>
          <w:rtl/>
        </w:rPr>
        <w:t>.</w:t>
      </w:r>
      <w:r w:rsidRPr="00132E65">
        <w:rPr>
          <w:rtl/>
        </w:rPr>
        <w:t xml:space="preserve"> وفي « بر » و</w:t>
      </w:r>
      <w:r w:rsidRPr="009D1ACE">
        <w:rPr>
          <w:rStyle w:val="libFootnoteBoldChar"/>
          <w:rtl/>
        </w:rPr>
        <w:t>الوافي</w:t>
      </w:r>
      <w:r w:rsidRPr="00132E65">
        <w:rPr>
          <w:rtl/>
        </w:rPr>
        <w:t xml:space="preserve"> : « فقالت »</w:t>
      </w:r>
      <w:r>
        <w:rPr>
          <w:rtl/>
        </w:rPr>
        <w:t>.</w:t>
      </w:r>
      <w:r w:rsidRPr="00132E65">
        <w:rPr>
          <w:rtl/>
        </w:rPr>
        <w:t xml:space="preserve"> وفي حاشية « بف » : « ثمّ قلت »</w:t>
      </w:r>
      <w:r>
        <w:rPr>
          <w:rtl/>
        </w:rPr>
        <w:t>.</w:t>
      </w:r>
    </w:p>
    <w:p w:rsidR="000C39D1" w:rsidRPr="00132E65" w:rsidRDefault="000C39D1" w:rsidP="000C39D1">
      <w:pPr>
        <w:pStyle w:val="libFootnote0"/>
        <w:rPr>
          <w:rtl/>
          <w:lang w:bidi="fa-IR"/>
        </w:rPr>
      </w:pPr>
      <w:r>
        <w:rPr>
          <w:rtl/>
        </w:rPr>
        <w:t>(6).</w:t>
      </w:r>
      <w:r w:rsidRPr="00132E65">
        <w:rPr>
          <w:rtl/>
        </w:rPr>
        <w:t xml:space="preserve"> في حاشية « ض » : « فمضى »</w:t>
      </w:r>
      <w:r>
        <w:rPr>
          <w:rtl/>
        </w:rPr>
        <w:t>.</w:t>
      </w:r>
    </w:p>
    <w:p w:rsidR="000C39D1" w:rsidRPr="00132E65" w:rsidRDefault="000C39D1" w:rsidP="000C39D1">
      <w:pPr>
        <w:pStyle w:val="libFootnote0"/>
        <w:rPr>
          <w:rtl/>
          <w:lang w:bidi="fa-IR"/>
        </w:rPr>
      </w:pPr>
      <w:r>
        <w:rPr>
          <w:rtl/>
        </w:rPr>
        <w:t>(7).</w:t>
      </w:r>
      <w:r w:rsidRPr="00132E65">
        <w:rPr>
          <w:rtl/>
        </w:rPr>
        <w:t xml:space="preserve"> « لا تُثيرُوها » ، أي لا تنشروها ولا تظهروها. راجع : </w:t>
      </w:r>
      <w:r w:rsidRPr="009D1ACE">
        <w:rPr>
          <w:rStyle w:val="libFootnoteBoldChar"/>
          <w:rtl/>
        </w:rPr>
        <w:t>لسان العرب</w:t>
      </w:r>
      <w:r w:rsidRPr="00132E65">
        <w:rPr>
          <w:rtl/>
        </w:rPr>
        <w:t xml:space="preserve"> ، ج 4 ، ص 108 ( ثور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759 ، ح 1381 ؛ </w:t>
      </w:r>
      <w:r w:rsidRPr="00E56AEC">
        <w:rPr>
          <w:rtl/>
        </w:rPr>
        <w:t>البحار</w:t>
      </w:r>
      <w:r w:rsidRPr="00132E65">
        <w:rPr>
          <w:rtl/>
        </w:rPr>
        <w:t xml:space="preserve"> ، ج 45 ، ص 169 ، ح 17.</w:t>
      </w:r>
    </w:p>
    <w:p w:rsidR="000C39D1" w:rsidRPr="00132E65" w:rsidRDefault="000C39D1" w:rsidP="00E03F43">
      <w:pPr>
        <w:pStyle w:val="libFootnote0"/>
        <w:rPr>
          <w:rtl/>
          <w:lang w:bidi="fa-IR"/>
        </w:rPr>
      </w:pPr>
      <w:r>
        <w:rPr>
          <w:rtl/>
        </w:rPr>
        <w:t>(9).</w:t>
      </w:r>
      <w:r w:rsidRPr="00132E65">
        <w:rPr>
          <w:rtl/>
        </w:rPr>
        <w:t xml:space="preserve"> في البحار : « الحسين »</w:t>
      </w:r>
      <w:r>
        <w:rPr>
          <w:rtl/>
        </w:rPr>
        <w:t>.</w:t>
      </w:r>
      <w:r w:rsidRPr="00132E65">
        <w:rPr>
          <w:rtl/>
        </w:rPr>
        <w:t xml:space="preserve"> واحتمال كون المراد من ابن عليّ هو الحسن بن على بن يقطين الراوي عن يونس بن‌عبدالرحمن في بعض الأسناد ، قويّ.</w:t>
      </w:r>
      <w:r w:rsidR="00E03F43">
        <w:rPr>
          <w:rFonts w:hint="cs"/>
          <w:rtl/>
        </w:rPr>
        <w:t xml:space="preserve">                                      </w:t>
      </w:r>
      <w:r>
        <w:rPr>
          <w:rtl/>
        </w:rPr>
        <w:t>(10).</w:t>
      </w:r>
      <w:r w:rsidRPr="00132E65">
        <w:rPr>
          <w:rtl/>
        </w:rPr>
        <w:t>في«بح،بف»وحاشية«ض،بر»و</w:t>
      </w:r>
      <w:r w:rsidRPr="009D1ACE">
        <w:rPr>
          <w:rStyle w:val="libFootnoteBoldChar"/>
          <w:rtl/>
        </w:rPr>
        <w:t>الوافي</w:t>
      </w:r>
      <w:r w:rsidRPr="00132E65">
        <w:rPr>
          <w:rtl/>
        </w:rPr>
        <w:t>:«فبينما»</w:t>
      </w:r>
      <w:r>
        <w:rPr>
          <w:rtl/>
        </w:rPr>
        <w:t>.</w:t>
      </w:r>
    </w:p>
    <w:tbl>
      <w:tblPr>
        <w:tblStyle w:val="TableGrid"/>
        <w:bidiVisual/>
        <w:tblW w:w="0" w:type="auto"/>
        <w:tblLook w:val="04A0" w:firstRow="1" w:lastRow="0" w:firstColumn="1" w:lastColumn="0" w:noHBand="0" w:noVBand="1"/>
      </w:tblPr>
      <w:tblGrid>
        <w:gridCol w:w="4261"/>
        <w:gridCol w:w="4262"/>
      </w:tblGrid>
      <w:tr w:rsidR="00F93AE4" w:rsidTr="00F93AE4">
        <w:tc>
          <w:tcPr>
            <w:tcW w:w="4261" w:type="dxa"/>
          </w:tcPr>
          <w:p w:rsidR="00F93AE4" w:rsidRDefault="00F93AE4" w:rsidP="00F93AE4">
            <w:pPr>
              <w:pStyle w:val="libFootnote0"/>
              <w:rPr>
                <w:rtl/>
              </w:rPr>
            </w:pPr>
            <w:r>
              <w:rPr>
                <w:rtl/>
              </w:rPr>
              <w:t>(11).</w:t>
            </w:r>
            <w:r w:rsidRPr="00132E65">
              <w:rPr>
                <w:rtl/>
              </w:rPr>
              <w:t>في«ف،بح،بس،بف»و</w:t>
            </w:r>
            <w:r w:rsidRPr="009D1ACE">
              <w:rPr>
                <w:rStyle w:val="libFootnoteBoldChar"/>
                <w:rtl/>
              </w:rPr>
              <w:t>الوافي</w:t>
            </w:r>
            <w:r w:rsidRPr="00132E65">
              <w:rPr>
                <w:rtl/>
              </w:rPr>
              <w:t>:«إذ»</w:t>
            </w:r>
            <w:r>
              <w:rPr>
                <w:rtl/>
              </w:rPr>
              <w:t>.</w:t>
            </w:r>
          </w:p>
        </w:tc>
        <w:tc>
          <w:tcPr>
            <w:tcW w:w="4262" w:type="dxa"/>
          </w:tcPr>
          <w:p w:rsidR="00F93AE4" w:rsidRDefault="00F93AE4" w:rsidP="00F93AE4">
            <w:pPr>
              <w:pStyle w:val="libFootnote0"/>
              <w:rPr>
                <w:rtl/>
              </w:rPr>
            </w:pPr>
            <w:r>
              <w:rPr>
                <w:rtl/>
              </w:rPr>
              <w:t>(12).</w:t>
            </w:r>
            <w:r w:rsidRPr="00132E65">
              <w:rPr>
                <w:rtl/>
              </w:rPr>
              <w:t>في«ض»</w:t>
            </w:r>
            <w:r>
              <w:rPr>
                <w:rtl/>
              </w:rPr>
              <w:t>:-</w:t>
            </w:r>
            <w:r w:rsidRPr="00132E65">
              <w:rPr>
                <w:rtl/>
              </w:rPr>
              <w:t>«لها»</w:t>
            </w:r>
            <w:r>
              <w:rPr>
                <w:rtl/>
              </w:rPr>
              <w:t>.</w:t>
            </w:r>
          </w:p>
        </w:tc>
      </w:tr>
    </w:tbl>
    <w:p w:rsidR="000C39D1" w:rsidRPr="00132E65" w:rsidRDefault="000C39D1" w:rsidP="000C39D1">
      <w:pPr>
        <w:pStyle w:val="libFootnote0"/>
        <w:rPr>
          <w:rtl/>
          <w:lang w:bidi="fa-IR"/>
        </w:rPr>
      </w:pPr>
      <w:r>
        <w:rPr>
          <w:rtl/>
        </w:rPr>
        <w:t>(13)</w:t>
      </w:r>
      <w:r w:rsidRPr="00132E65">
        <w:rPr>
          <w:rtl/>
        </w:rPr>
        <w:t xml:space="preserve"> « السَوِيق » : دقيق مقلوّ يعمل من الحنطة المشويّة ، أو الشعير. راجع : </w:t>
      </w:r>
      <w:r w:rsidRPr="00E56AEC">
        <w:rPr>
          <w:rtl/>
        </w:rPr>
        <w:t>مجمع البحرين</w:t>
      </w:r>
      <w:r w:rsidRPr="00132E65">
        <w:rPr>
          <w:rtl/>
        </w:rPr>
        <w:t xml:space="preserve"> ، ج 5 ، ص 189 ( سوق )</w:t>
      </w:r>
      <w:r>
        <w:rPr>
          <w:rtl/>
        </w:rPr>
        <w:t>.</w:t>
      </w:r>
    </w:p>
    <w:tbl>
      <w:tblPr>
        <w:tblStyle w:val="TableGrid"/>
        <w:bidiVisual/>
        <w:tblW w:w="0" w:type="auto"/>
        <w:tblLook w:val="04A0" w:firstRow="1" w:lastRow="0" w:firstColumn="1" w:lastColumn="0" w:noHBand="0" w:noVBand="1"/>
      </w:tblPr>
      <w:tblGrid>
        <w:gridCol w:w="4261"/>
        <w:gridCol w:w="4262"/>
      </w:tblGrid>
      <w:tr w:rsidR="00F93AE4" w:rsidTr="00F93AE4">
        <w:tc>
          <w:tcPr>
            <w:tcW w:w="4261" w:type="dxa"/>
          </w:tcPr>
          <w:p w:rsidR="00F93AE4" w:rsidRDefault="00F93AE4" w:rsidP="000C39D1">
            <w:pPr>
              <w:pStyle w:val="libFootnote0"/>
              <w:rPr>
                <w:rtl/>
                <w:lang w:bidi="fa-IR"/>
              </w:rPr>
            </w:pPr>
            <w:r>
              <w:rPr>
                <w:rtl/>
              </w:rPr>
              <w:t>(14)</w:t>
            </w:r>
            <w:r w:rsidRPr="00132E65">
              <w:rPr>
                <w:rtl/>
              </w:rPr>
              <w:t xml:space="preserve"> في « بس » : « تريد »</w:t>
            </w:r>
            <w:r>
              <w:rPr>
                <w:rtl/>
              </w:rPr>
              <w:t>.</w:t>
            </w:r>
          </w:p>
        </w:tc>
        <w:tc>
          <w:tcPr>
            <w:tcW w:w="4262" w:type="dxa"/>
          </w:tcPr>
          <w:p w:rsidR="00F93AE4" w:rsidRDefault="00F93AE4" w:rsidP="000C39D1">
            <w:pPr>
              <w:pStyle w:val="libFootnote0"/>
              <w:rPr>
                <w:rtl/>
                <w:lang w:bidi="fa-IR"/>
              </w:rPr>
            </w:pPr>
            <w:r>
              <w:rPr>
                <w:rtl/>
              </w:rPr>
              <w:t>(15)</w:t>
            </w:r>
            <w:r w:rsidRPr="00132E65">
              <w:rPr>
                <w:rtl/>
              </w:rPr>
              <w:t xml:space="preserve"> في « بس » : « تتقوّى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قَالَ : « وَ</w:t>
      </w:r>
      <w:r>
        <w:rPr>
          <w:rFonts w:hint="cs"/>
          <w:rtl/>
          <w:lang w:bidi="fa-IR"/>
        </w:rPr>
        <w:t xml:space="preserve"> </w:t>
      </w:r>
      <w:r>
        <w:rPr>
          <w:rStyle w:val="libFootnotenumChar"/>
          <w:rtl/>
        </w:rPr>
        <w:t>(1)</w:t>
      </w:r>
      <w:r w:rsidRPr="00132E65">
        <w:rPr>
          <w:rtl/>
          <w:lang w:bidi="fa-IR"/>
        </w:rPr>
        <w:t xml:space="preserve"> أُهْدِيَ </w:t>
      </w:r>
      <w:r>
        <w:rPr>
          <w:rStyle w:val="libFootnotenumChar"/>
          <w:rtl/>
        </w:rPr>
        <w:t>(2)</w:t>
      </w:r>
      <w:r w:rsidRPr="00132E65">
        <w:rPr>
          <w:rtl/>
          <w:lang w:bidi="fa-IR"/>
        </w:rPr>
        <w:t xml:space="preserve"> إِلَى الْكَلْبِيَّةِ </w:t>
      </w:r>
      <w:r>
        <w:rPr>
          <w:rStyle w:val="libFootnotenumChar"/>
          <w:rtl/>
        </w:rPr>
        <w:t>(3)</w:t>
      </w:r>
      <w:r w:rsidRPr="00132E65">
        <w:rPr>
          <w:rtl/>
          <w:lang w:bidi="fa-IR"/>
        </w:rPr>
        <w:t xml:space="preserve"> جُوَنٌ </w:t>
      </w:r>
      <w:r>
        <w:rPr>
          <w:rStyle w:val="libFootnotenumChar"/>
          <w:rtl/>
        </w:rPr>
        <w:t>(4)</w:t>
      </w:r>
      <w:r w:rsidRPr="00132E65">
        <w:rPr>
          <w:rtl/>
          <w:lang w:bidi="fa-IR"/>
        </w:rPr>
        <w:t xml:space="preserve"> لِتَسْتَعِينَ بِهَا عَلى مَأْتَمِ الْحُسَيْنِ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فَلَمَّا رَأَتِ الْجُوَنَ قَالَتْ : مَا هذِهِ</w:t>
      </w:r>
      <w:r>
        <w:rPr>
          <w:rtl/>
          <w:lang w:bidi="fa-IR"/>
        </w:rPr>
        <w:t>؟</w:t>
      </w:r>
      <w:r w:rsidRPr="00132E65">
        <w:rPr>
          <w:rtl/>
          <w:lang w:bidi="fa-IR"/>
        </w:rPr>
        <w:t xml:space="preserve"> قَالُوا : هَدِيَّةٌ أَهْدَاهَا فُلَانٌ لِتَسْتَعِينِي </w:t>
      </w:r>
      <w:r>
        <w:rPr>
          <w:rStyle w:val="libFootnotenumChar"/>
          <w:rtl/>
        </w:rPr>
        <w:t>(6)</w:t>
      </w:r>
      <w:r w:rsidRPr="00132E65">
        <w:rPr>
          <w:rtl/>
          <w:lang w:bidi="fa-IR"/>
        </w:rPr>
        <w:t xml:space="preserve"> عَلى مَأْتَمِ الْحُسَيْنِ </w:t>
      </w:r>
      <w:r w:rsidRPr="00071CF9">
        <w:rPr>
          <w:rStyle w:val="libAlaemChar"/>
          <w:rtl/>
        </w:rPr>
        <w:t>عليه‌السلام</w:t>
      </w:r>
      <w:r w:rsidRPr="00132E65">
        <w:rPr>
          <w:rtl/>
          <w:lang w:bidi="fa-IR"/>
        </w:rPr>
        <w:t xml:space="preserve"> ، فَقَالَتْ : لَسْنَا فِي عُرْسٍ ، فَمَا نَصْنَعُ بِهَا ، ثُمَّ أَمَرَتْ بِهِنَّ ، فَأُخْرِجْنَ مِنَ الدَّارِ ، فَلَمَّا أُخْرِجْنَ مِنَ الدَّارِ ، لَمْ يُحَسَّ لَهَا حِسٌّ كَأَنَّمَا طِرْنَ بَيْنَ السَّمَاءِ و</w:t>
      </w:r>
      <w:r w:rsidR="001566C4">
        <w:rPr>
          <w:rFonts w:hint="cs"/>
          <w:rtl/>
          <w:lang w:bidi="fa-IR"/>
        </w:rPr>
        <w:t xml:space="preserve">َ </w:t>
      </w:r>
      <w:r w:rsidRPr="00132E65">
        <w:rPr>
          <w:rtl/>
          <w:lang w:bidi="fa-IR"/>
        </w:rPr>
        <w:t xml:space="preserve">الْأَرْضِ ، وَلَمْ يُرَ لَهُنَّ بِهَا </w:t>
      </w:r>
      <w:r>
        <w:rPr>
          <w:rStyle w:val="libFootnotenumChar"/>
          <w:rtl/>
        </w:rPr>
        <w:t>(7)</w:t>
      </w:r>
      <w:r w:rsidRPr="00132E65">
        <w:rPr>
          <w:rtl/>
          <w:lang w:bidi="fa-IR"/>
        </w:rPr>
        <w:t xml:space="preserve"> بَعْدَ خُرُوجِهِنَّ مِنَ الدَّارِ أَثَرٌ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Heading2Center"/>
        <w:rPr>
          <w:rtl/>
          <w:lang w:bidi="fa-IR"/>
        </w:rPr>
      </w:pPr>
      <w:bookmarkStart w:id="166" w:name="_Toc459459159"/>
      <w:bookmarkStart w:id="167" w:name="_Toc34663128"/>
      <w:r w:rsidRPr="00132E65">
        <w:rPr>
          <w:rtl/>
          <w:lang w:bidi="fa-IR"/>
        </w:rPr>
        <w:t>117</w:t>
      </w:r>
      <w:r>
        <w:rPr>
          <w:rtl/>
          <w:lang w:bidi="fa-IR"/>
        </w:rPr>
        <w:t xml:space="preserve"> - </w:t>
      </w:r>
      <w:r w:rsidRPr="00132E65">
        <w:rPr>
          <w:rtl/>
          <w:lang w:bidi="fa-IR"/>
        </w:rPr>
        <w:t xml:space="preserve">بَابُ </w:t>
      </w:r>
      <w:r>
        <w:rPr>
          <w:rStyle w:val="libFootnotenumChar"/>
          <w:rtl/>
        </w:rPr>
        <w:t>(9)</w:t>
      </w:r>
      <w:r>
        <w:rPr>
          <w:rtl/>
          <w:lang w:bidi="fa-IR"/>
        </w:rPr>
        <w:t xml:space="preserve"> </w:t>
      </w:r>
      <w:r w:rsidRPr="00132E65">
        <w:rPr>
          <w:rtl/>
          <w:lang w:bidi="fa-IR"/>
        </w:rPr>
        <w:t xml:space="preserve">مَوْلِدِ عَلِيِّ بْنِ الْحُسَيْنِ </w:t>
      </w:r>
      <w:r w:rsidRPr="00071CF9">
        <w:rPr>
          <w:rStyle w:val="libAlaemChar"/>
          <w:rtl/>
        </w:rPr>
        <w:t>عليهما‌السلام</w:t>
      </w:r>
      <w:r w:rsidRPr="00132E65">
        <w:rPr>
          <w:rtl/>
          <w:lang w:bidi="fa-IR"/>
        </w:rPr>
        <w:t>‌</w:t>
      </w:r>
      <w:bookmarkEnd w:id="166"/>
      <w:bookmarkEnd w:id="167"/>
    </w:p>
    <w:p w:rsidR="000C39D1" w:rsidRPr="00132E65" w:rsidRDefault="000C39D1" w:rsidP="000C39D1">
      <w:pPr>
        <w:pStyle w:val="libNormal0"/>
        <w:tabs>
          <w:tab w:val="left" w:pos="3968"/>
        </w:tabs>
        <w:rPr>
          <w:rtl/>
          <w:lang w:bidi="fa-IR"/>
        </w:rPr>
      </w:pPr>
      <w:r w:rsidRPr="00132E65">
        <w:rPr>
          <w:rtl/>
          <w:lang w:bidi="fa-IR"/>
        </w:rPr>
        <w:t xml:space="preserve">وُلِدَ عَلِيُّ بْنُ الْحُسَيْنِ </w:t>
      </w:r>
      <w:r w:rsidRPr="00071CF9">
        <w:rPr>
          <w:rStyle w:val="libAlaemChar"/>
          <w:rtl/>
        </w:rPr>
        <w:t>عليه‌السلام</w:t>
      </w:r>
      <w:r w:rsidRPr="00132E65">
        <w:rPr>
          <w:rtl/>
          <w:lang w:bidi="fa-IR"/>
        </w:rPr>
        <w:t xml:space="preserve"> </w:t>
      </w:r>
      <w:r>
        <w:rPr>
          <w:rStyle w:val="libFootnotenumChar"/>
          <w:rtl/>
        </w:rPr>
        <w:t>(10)</w:t>
      </w:r>
      <w:r w:rsidRPr="00132E65">
        <w:rPr>
          <w:rtl/>
          <w:lang w:bidi="fa-IR"/>
        </w:rPr>
        <w:t xml:space="preserve"> فِي سَنَةِ ثَمَانٍ و</w:t>
      </w:r>
      <w:r w:rsidR="000916F6">
        <w:rPr>
          <w:rFonts w:hint="cs"/>
          <w:rtl/>
          <w:lang w:bidi="fa-IR"/>
        </w:rPr>
        <w:t xml:space="preserve">َ </w:t>
      </w:r>
      <w:r w:rsidRPr="00132E65">
        <w:rPr>
          <w:rtl/>
          <w:lang w:bidi="fa-IR"/>
        </w:rPr>
        <w:t>ثَلَاثِينَ ؛ و</w:t>
      </w:r>
      <w:r w:rsidR="000916F6">
        <w:rPr>
          <w:rFonts w:hint="cs"/>
          <w:rtl/>
          <w:lang w:bidi="fa-IR"/>
        </w:rPr>
        <w:t xml:space="preserve">َ </w:t>
      </w:r>
      <w:r w:rsidRPr="00132E65">
        <w:rPr>
          <w:rtl/>
          <w:lang w:bidi="fa-IR"/>
        </w:rPr>
        <w:t>قُبِضَ فِي سَنَةِ خَمْسٍ و</w:t>
      </w:r>
      <w:r w:rsidR="000916F6">
        <w:rPr>
          <w:rFonts w:hint="cs"/>
          <w:rtl/>
          <w:lang w:bidi="fa-IR"/>
        </w:rPr>
        <w:t xml:space="preserve">َ </w:t>
      </w:r>
      <w:r w:rsidRPr="00132E65">
        <w:rPr>
          <w:rtl/>
          <w:lang w:bidi="fa-IR"/>
        </w:rPr>
        <w:t>تِسْعِينَ وَلَهُ سَبْعٌ و</w:t>
      </w:r>
      <w:r w:rsidR="000916F6">
        <w:rPr>
          <w:rFonts w:hint="cs"/>
          <w:rtl/>
          <w:lang w:bidi="fa-IR"/>
        </w:rPr>
        <w:t xml:space="preserve">َ </w:t>
      </w:r>
      <w:r w:rsidRPr="00132E65">
        <w:rPr>
          <w:rtl/>
          <w:lang w:bidi="fa-IR"/>
        </w:rPr>
        <w:t>خَمْسُونَ سَنَةً. و</w:t>
      </w:r>
      <w:r w:rsidR="000916F6">
        <w:rPr>
          <w:rFonts w:hint="cs"/>
          <w:rtl/>
          <w:lang w:bidi="fa-IR"/>
        </w:rPr>
        <w:t xml:space="preserve">َ </w:t>
      </w:r>
      <w:r w:rsidRPr="00132E65">
        <w:rPr>
          <w:rtl/>
          <w:lang w:bidi="fa-IR"/>
        </w:rPr>
        <w:t xml:space="preserve">أُمُّهُ سَلَامَةُ </w:t>
      </w:r>
      <w:r>
        <w:rPr>
          <w:rStyle w:val="libFootnotenumChar"/>
          <w:rtl/>
        </w:rPr>
        <w:t>(11)</w:t>
      </w:r>
      <w:r w:rsidRPr="00132E65">
        <w:rPr>
          <w:rtl/>
          <w:lang w:bidi="fa-IR"/>
        </w:rPr>
        <w:t xml:space="preserve"> بِنْتُ يَزْدَجَرْدَ بْنِ شَهْرِيَارَ بْنِ شِيرَوَيْهِ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البحار : « وقال »</w:t>
      </w:r>
      <w:r>
        <w:rPr>
          <w:rtl/>
        </w:rPr>
        <w:t>.</w:t>
      </w:r>
    </w:p>
    <w:p w:rsidR="000C39D1" w:rsidRPr="00132E65" w:rsidRDefault="000C39D1" w:rsidP="000C39D1">
      <w:pPr>
        <w:pStyle w:val="libFootnote0"/>
        <w:rPr>
          <w:rtl/>
          <w:lang w:bidi="fa-IR"/>
        </w:rPr>
      </w:pPr>
      <w:r>
        <w:rPr>
          <w:rtl/>
        </w:rPr>
        <w:t>(2).</w:t>
      </w:r>
      <w:r w:rsidRPr="00132E65">
        <w:rPr>
          <w:rtl/>
        </w:rPr>
        <w:t xml:space="preserve"> هكذا في بعض النسخ ، ولكنّها اتّفقت على نصب « جوناً »</w:t>
      </w:r>
      <w:r>
        <w:rPr>
          <w:rtl/>
        </w:rPr>
        <w:t>.</w:t>
      </w:r>
      <w:r w:rsidRPr="00132E65">
        <w:rPr>
          <w:rtl/>
        </w:rPr>
        <w:t xml:space="preserve"> وهما لا يجتمعان. فإمّا يكون « أهدى » على المعلوم وفاعله محذوفاً ، وإمّا كون « جونٍ » مرفوعاً كما في حاشية « بح » واستصوبه المجلسي في </w:t>
      </w:r>
      <w:r w:rsidRPr="009D1ACE">
        <w:rPr>
          <w:rStyle w:val="libFootnoteBoldChar"/>
          <w:rtl/>
        </w:rPr>
        <w:t>مرآة العقول</w:t>
      </w:r>
      <w:r w:rsidRPr="00132E65">
        <w:rPr>
          <w:rtl/>
        </w:rPr>
        <w:t xml:space="preserve"> ؛ وقال المازندراني في شرحه : « ولو قرئ على البناء للمفعول لم يظهر وجه لنصب جوناً »</w:t>
      </w:r>
      <w:r>
        <w:rPr>
          <w:rtl/>
        </w:rPr>
        <w:t>.</w:t>
      </w:r>
    </w:p>
    <w:p w:rsidR="000C39D1" w:rsidRPr="00132E65" w:rsidRDefault="000C39D1" w:rsidP="000C39D1">
      <w:pPr>
        <w:pStyle w:val="libFootnote0"/>
        <w:rPr>
          <w:rtl/>
          <w:lang w:bidi="fa-IR"/>
        </w:rPr>
      </w:pPr>
      <w:r>
        <w:rPr>
          <w:rtl/>
        </w:rPr>
        <w:t>(3).</w:t>
      </w:r>
      <w:r w:rsidRPr="00132E65">
        <w:rPr>
          <w:rtl/>
        </w:rPr>
        <w:t xml:space="preserve"> في « ب » و</w:t>
      </w:r>
      <w:r w:rsidRPr="009D1ACE">
        <w:rPr>
          <w:rStyle w:val="libFootnoteBoldChar"/>
          <w:rtl/>
        </w:rPr>
        <w:t>الوافي</w:t>
      </w:r>
      <w:r w:rsidRPr="00132E65">
        <w:rPr>
          <w:rtl/>
        </w:rPr>
        <w:t xml:space="preserve"> : « ا</w:t>
      </w:r>
      <w:r w:rsidR="000916F6">
        <w:rPr>
          <w:rFonts w:hint="cs"/>
          <w:rtl/>
        </w:rPr>
        <w:t>ُ</w:t>
      </w:r>
      <w:r w:rsidRPr="00132E65">
        <w:rPr>
          <w:rtl/>
        </w:rPr>
        <w:t>هدِي للكلبيّة »</w:t>
      </w:r>
      <w:r>
        <w:rPr>
          <w:rtl/>
        </w:rPr>
        <w:t>.</w:t>
      </w:r>
    </w:p>
    <w:p w:rsidR="000C39D1" w:rsidRPr="00132E65" w:rsidRDefault="000C39D1" w:rsidP="000C39D1">
      <w:pPr>
        <w:pStyle w:val="libFootnote0"/>
        <w:rPr>
          <w:rtl/>
          <w:lang w:bidi="fa-IR"/>
        </w:rPr>
      </w:pPr>
      <w:r>
        <w:rPr>
          <w:rtl/>
        </w:rPr>
        <w:t>(4).</w:t>
      </w:r>
      <w:r w:rsidRPr="00132E65">
        <w:rPr>
          <w:rtl/>
        </w:rPr>
        <w:t xml:space="preserve"> هكذا في حاشية « بح »</w:t>
      </w:r>
      <w:r>
        <w:rPr>
          <w:rtl/>
        </w:rPr>
        <w:t>.</w:t>
      </w:r>
      <w:r w:rsidRPr="00132E65">
        <w:rPr>
          <w:rtl/>
        </w:rPr>
        <w:t xml:space="preserve"> وفي المطبوع وسائر النسخ : « جوناً »</w:t>
      </w:r>
      <w:r>
        <w:rPr>
          <w:rtl/>
        </w:rPr>
        <w:t>.</w:t>
      </w:r>
      <w:r w:rsidRPr="00132E65">
        <w:rPr>
          <w:rtl/>
        </w:rPr>
        <w:t xml:space="preserve"> </w:t>
      </w:r>
      <w:r>
        <w:rPr>
          <w:rtl/>
        </w:rPr>
        <w:t>و «</w:t>
      </w:r>
      <w:r w:rsidRPr="00132E65">
        <w:rPr>
          <w:rtl/>
        </w:rPr>
        <w:t xml:space="preserve"> الجُوَنُ » : جمع الجُونِيّ ، وهو ضرب من القطا أسود البطون والأجنحة. قاله المازندراني ، واختاره المحقّق الشعراني ؛ حيث قال : « هو الصحيح المتعيّن في معنى الخبر لا يحتمل غيره »</w:t>
      </w:r>
      <w:r>
        <w:rPr>
          <w:rtl/>
        </w:rPr>
        <w:t>.</w:t>
      </w:r>
      <w:r w:rsidRPr="00132E65">
        <w:rPr>
          <w:rtl/>
        </w:rPr>
        <w:t xml:space="preserve"> أو جمع الجُونَة ، وهي التي يُعَدُّ فيها الطيب ويُحْرَزُ. قاله الفيض. أو هو الجُونُ : جمع الجَوْنُ ، وهو الأبيض والأسود ، من الأضداد ، صفةُ محذوفٍ ، أي طيوراً جُوناً ؛ يعني بيضاً أو سوداً. احتمله المجلسي. راجع : </w:t>
      </w:r>
      <w:r w:rsidRPr="00E56AEC">
        <w:rPr>
          <w:rtl/>
        </w:rPr>
        <w:t>الصحاح</w:t>
      </w:r>
      <w:r w:rsidRPr="00132E65">
        <w:rPr>
          <w:rtl/>
        </w:rPr>
        <w:t xml:space="preserve"> ، ج 5 ، ص 2095</w:t>
      </w:r>
      <w:r>
        <w:rPr>
          <w:rtl/>
        </w:rPr>
        <w:t xml:space="preserve"> - </w:t>
      </w:r>
      <w:r w:rsidRPr="00132E65">
        <w:rPr>
          <w:rtl/>
        </w:rPr>
        <w:t>2096 ؛ النهاية ، ج 1 ، ص 318 ( جون )</w:t>
      </w:r>
      <w:r>
        <w:rPr>
          <w:rtl/>
        </w:rPr>
        <w:t>.</w:t>
      </w:r>
    </w:p>
    <w:p w:rsidR="000C39D1" w:rsidRPr="00132E65" w:rsidRDefault="000C39D1" w:rsidP="000C39D1">
      <w:pPr>
        <w:pStyle w:val="libFootnote0"/>
        <w:rPr>
          <w:rtl/>
          <w:lang w:bidi="fa-IR"/>
        </w:rPr>
      </w:pPr>
      <w:r>
        <w:rPr>
          <w:rtl/>
        </w:rPr>
        <w:t>(5).</w:t>
      </w:r>
      <w:r w:rsidRPr="00132E65">
        <w:rPr>
          <w:rtl/>
        </w:rPr>
        <w:t xml:space="preserve"> في « بح » </w:t>
      </w:r>
      <w:r>
        <w:rPr>
          <w:rtl/>
        </w:rPr>
        <w:t xml:space="preserve">: - </w:t>
      </w:r>
      <w:r w:rsidRPr="00132E65">
        <w:rPr>
          <w:rtl/>
        </w:rPr>
        <w:t xml:space="preserve">« لتستعين بها على مأتم الحسين </w:t>
      </w:r>
      <w:r w:rsidRPr="00B5198C">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(6).</w:t>
      </w:r>
      <w:r w:rsidRPr="00132E65">
        <w:rPr>
          <w:rtl/>
        </w:rPr>
        <w:t xml:space="preserve"> في « ب ، بس ، بف » و</w:t>
      </w:r>
      <w:r w:rsidRPr="009D1ACE">
        <w:rPr>
          <w:rStyle w:val="libFootnoteBoldChar"/>
          <w:rtl/>
        </w:rPr>
        <w:t>الوافي</w:t>
      </w:r>
      <w:r w:rsidRPr="00132E65">
        <w:rPr>
          <w:rtl/>
        </w:rPr>
        <w:t xml:space="preserve"> والبحار :</w:t>
      </w:r>
      <w:r>
        <w:rPr>
          <w:rtl/>
        </w:rPr>
        <w:t xml:space="preserve"> + </w:t>
      </w:r>
      <w:r w:rsidRPr="00132E65">
        <w:rPr>
          <w:rtl/>
        </w:rPr>
        <w:t>« بها »</w:t>
      </w:r>
      <w:r>
        <w:rPr>
          <w:rtl/>
        </w:rPr>
        <w:t>.</w:t>
      </w:r>
    </w:p>
    <w:p w:rsidR="000C39D1" w:rsidRPr="00132E65" w:rsidRDefault="000C39D1" w:rsidP="000C39D1">
      <w:pPr>
        <w:pStyle w:val="libFootnote0"/>
        <w:rPr>
          <w:rtl/>
          <w:lang w:bidi="fa-IR"/>
        </w:rPr>
      </w:pPr>
      <w:r>
        <w:rPr>
          <w:rtl/>
        </w:rPr>
        <w:t>(7).</w:t>
      </w:r>
      <w:r w:rsidRPr="00132E65">
        <w:rPr>
          <w:rtl/>
        </w:rPr>
        <w:t xml:space="preserve"> في « ب ، ج ، ض ، ف ، بح ، بر » و</w:t>
      </w:r>
      <w:r w:rsidRPr="009D1ACE">
        <w:rPr>
          <w:rStyle w:val="libFootnoteBoldChar"/>
          <w:rtl/>
        </w:rPr>
        <w:t>الوافي</w:t>
      </w:r>
      <w:r w:rsidRPr="00132E65">
        <w:rPr>
          <w:rtl/>
        </w:rPr>
        <w:t xml:space="preserve"> والبحار </w:t>
      </w:r>
      <w:r>
        <w:rPr>
          <w:rtl/>
        </w:rPr>
        <w:t xml:space="preserve">: - </w:t>
      </w:r>
      <w:r w:rsidRPr="00132E65">
        <w:rPr>
          <w:rtl/>
        </w:rPr>
        <w:t>« بها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760 ، ح 1382 ؛ </w:t>
      </w:r>
      <w:r w:rsidRPr="00E56AEC">
        <w:rPr>
          <w:rtl/>
        </w:rPr>
        <w:t>البحار</w:t>
      </w:r>
      <w:r w:rsidRPr="00132E65">
        <w:rPr>
          <w:rtl/>
        </w:rPr>
        <w:t xml:space="preserve"> ، ج 45 ، ص 170 ، ح 18.</w:t>
      </w:r>
    </w:p>
    <w:p w:rsidR="000C39D1" w:rsidRPr="00132E65" w:rsidRDefault="000C39D1" w:rsidP="000C39D1">
      <w:pPr>
        <w:pStyle w:val="libFootnote0"/>
        <w:rPr>
          <w:rtl/>
          <w:lang w:bidi="fa-IR"/>
        </w:rPr>
      </w:pPr>
      <w:r>
        <w:rPr>
          <w:rtl/>
        </w:rPr>
        <w:t>(9).</w:t>
      </w:r>
      <w:r w:rsidRPr="00132E65">
        <w:rPr>
          <w:rtl/>
        </w:rPr>
        <w:t xml:space="preserve"> في « ب ، ج ، ض ، ف ، بر ، بس ، بف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(10).</w:t>
      </w:r>
      <w:r w:rsidRPr="00132E65">
        <w:rPr>
          <w:rtl/>
        </w:rPr>
        <w:t xml:space="preserve"> في « ج » </w:t>
      </w:r>
      <w:r>
        <w:rPr>
          <w:rtl/>
        </w:rPr>
        <w:t xml:space="preserve">: - </w:t>
      </w:r>
      <w:r w:rsidRPr="00132E65">
        <w:rPr>
          <w:rtl/>
        </w:rPr>
        <w:t xml:space="preserve">« ولد عليّ بن الحسين </w:t>
      </w:r>
      <w:r w:rsidRPr="00B5198C">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(11).</w:t>
      </w:r>
      <w:r w:rsidRPr="00132E65">
        <w:rPr>
          <w:rtl/>
        </w:rPr>
        <w:t xml:space="preserve"> في حاشية « ج » و</w:t>
      </w:r>
      <w:r w:rsidRPr="009D1ACE">
        <w:rPr>
          <w:rStyle w:val="libFootnoteBoldChar"/>
          <w:rtl/>
        </w:rPr>
        <w:t>الوافي</w:t>
      </w:r>
      <w:r w:rsidRPr="00132E65">
        <w:rPr>
          <w:rtl/>
        </w:rPr>
        <w:t xml:space="preserve"> : « شهربانو »</w:t>
      </w:r>
      <w:r>
        <w:rPr>
          <w:rtl/>
        </w:rPr>
        <w:t>.</w:t>
      </w:r>
      <w:r w:rsidRPr="00132E65">
        <w:rPr>
          <w:rtl/>
        </w:rPr>
        <w:t xml:space="preserve"> وفي « بر ، بف » وشرح المازندراني : « شهربانويه »</w:t>
      </w:r>
      <w:r>
        <w:rPr>
          <w:rtl/>
        </w:rPr>
        <w:t>.</w:t>
      </w:r>
      <w:r w:rsidRPr="00132E65">
        <w:rPr>
          <w:rtl/>
        </w:rPr>
        <w:t xml:space="preserve"> وفيه عن بعض </w:t>
      </w:r>
      <w:r w:rsidR="00B5198C">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كِسْرى أَبَرْوِيزَ </w:t>
      </w:r>
      <w:r>
        <w:rPr>
          <w:rStyle w:val="libFootnotenumChar"/>
          <w:rtl/>
        </w:rPr>
        <w:t>(1)</w:t>
      </w:r>
      <w:r w:rsidRPr="00132E65">
        <w:rPr>
          <w:rtl/>
          <w:lang w:bidi="fa-IR"/>
        </w:rPr>
        <w:t xml:space="preserve"> ، وكَانَ يَزْدَجَرْدُ آخِرَ مُلُوكِ الْفُرْسِ </w:t>
      </w:r>
      <w:r>
        <w:rPr>
          <w:rStyle w:val="libFootnotenumChar"/>
          <w:rtl/>
        </w:rPr>
        <w:t>(2)</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E56AEC">
        <w:rPr>
          <w:rtl/>
        </w:rPr>
        <w:t>1269</w:t>
      </w:r>
      <w:r w:rsidRPr="004325D8">
        <w:rPr>
          <w:rStyle w:val="libBold2Char"/>
          <w:rtl/>
        </w:rPr>
        <w:t xml:space="preserve"> / 1.</w:t>
      </w:r>
      <w:r w:rsidRPr="00132E65">
        <w:rPr>
          <w:rtl/>
          <w:lang w:bidi="fa-IR"/>
        </w:rPr>
        <w:t xml:space="preserve"> الْحُسَيْنُ بْنُ الْحَسَنِ الْحَسَنِيُّ </w:t>
      </w:r>
      <w:r>
        <w:rPr>
          <w:rStyle w:val="libFootnotenumChar"/>
          <w:rtl/>
        </w:rPr>
        <w:t>(4)</w:t>
      </w:r>
      <w:r>
        <w:rPr>
          <w:rtl/>
          <w:lang w:bidi="fa-IR"/>
        </w:rPr>
        <w:t xml:space="preserve"> - </w:t>
      </w:r>
      <w:r w:rsidRPr="00132E65">
        <w:rPr>
          <w:rtl/>
          <w:lang w:bidi="fa-IR"/>
        </w:rPr>
        <w:t>رَحِمَهُ اللهُ</w:t>
      </w:r>
      <w:r>
        <w:rPr>
          <w:rtl/>
          <w:lang w:bidi="fa-IR"/>
        </w:rPr>
        <w:t xml:space="preserve"> - </w:t>
      </w:r>
      <w:r w:rsidRPr="00132E65">
        <w:rPr>
          <w:rtl/>
          <w:lang w:bidi="fa-IR"/>
        </w:rPr>
        <w:t>وعَلِيُّ بْنُ مُحَمَّدِ بْنِ عَبْدِ اللهِ جَمِيعاً ، عَنْ إِبْرَاهِيمَ بْنِ إِسْحَاقَ الْأَحْمَرِ ، عَنْ عَبْدِ الرَّحْمنِ بْنِ عَبْدِ اللهِ الْخُزَاعِيِّ ، عَنْ نَصْرِ بْنِ مُزَاحِمٍ ، عَنْ عَمْرِو بْنِ شِمْرٍ ، عَنْ جَابِرٍ :</w:t>
      </w:r>
    </w:p>
    <w:p w:rsidR="000C39D1" w:rsidRPr="00132E65" w:rsidRDefault="000C39D1" w:rsidP="003839E2">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لَمَّا أُقْدِمَتْ بِنْتُ يَزْدَجَرْدَ عَلى عُمَرَ ، أَشْرَفَ لَهَا </w:t>
      </w:r>
      <w:r>
        <w:rPr>
          <w:rStyle w:val="libFootnotenumChar"/>
          <w:rtl/>
        </w:rPr>
        <w:t>(5)</w:t>
      </w:r>
      <w:r w:rsidRPr="00132E65">
        <w:rPr>
          <w:rtl/>
          <w:lang w:bidi="fa-IR"/>
        </w:rPr>
        <w:t xml:space="preserve"> عَذَارَى </w:t>
      </w:r>
      <w:r>
        <w:rPr>
          <w:rStyle w:val="libFootnotenumChar"/>
          <w:rtl/>
        </w:rPr>
        <w:t>(6)</w:t>
      </w:r>
      <w:r w:rsidRPr="00132E65">
        <w:rPr>
          <w:rtl/>
          <w:lang w:bidi="fa-IR"/>
        </w:rPr>
        <w:t xml:space="preserve"> الْمَدِينَةِ ، وأَشْرَقَ الْمَسْجِدُ بِضَوْئِهَا لَمَّا دَخَلَتْهُ ، فَلَمَّا نَظَرَ إِلَيْهَا عُمَرُ ، غَطَّتْ وجْهَهَا ، وَقَالَتْ : أُفٍّ بِيرُوجْ </w:t>
      </w:r>
      <w:r>
        <w:rPr>
          <w:rStyle w:val="libFootnotenumChar"/>
          <w:rtl/>
        </w:rPr>
        <w:t>(7)</w:t>
      </w:r>
      <w:r w:rsidRPr="00132E65">
        <w:rPr>
          <w:rtl/>
          <w:lang w:bidi="fa-IR"/>
        </w:rPr>
        <w:t xml:space="preserve"> بَادَا </w:t>
      </w:r>
      <w:r>
        <w:rPr>
          <w:rStyle w:val="libFootnotenumChar"/>
          <w:rtl/>
        </w:rPr>
        <w:t>(8)</w:t>
      </w:r>
      <w:r>
        <w:rPr>
          <w:rtl/>
          <w:lang w:bidi="fa-IR"/>
        </w:rPr>
        <w:t xml:space="preserve"> هُرْمُزْ ، فَقَالَ عُمَرُ : أَ</w:t>
      </w:r>
      <w:r w:rsidRPr="00132E65">
        <w:rPr>
          <w:rtl/>
          <w:lang w:bidi="fa-IR"/>
        </w:rPr>
        <w:t>تَشْتِمُنِي هذِهِ</w:t>
      </w:r>
      <w:r>
        <w:rPr>
          <w:rtl/>
          <w:lang w:bidi="fa-IR"/>
        </w:rPr>
        <w:t>؟</w:t>
      </w:r>
      <w:r w:rsidRPr="00132E65">
        <w:rPr>
          <w:rtl/>
          <w:lang w:bidi="fa-IR"/>
        </w:rPr>
        <w:t xml:space="preserve"> وهَمَّ بِهَا ، فَقَالَ لَهُ أَمِيرُ الْمُؤْمِنِينَ </w:t>
      </w:r>
      <w:r w:rsidRPr="00071CF9">
        <w:rPr>
          <w:rStyle w:val="libAlaemChar"/>
          <w:rtl/>
        </w:rPr>
        <w:t>عليه‌السلام</w:t>
      </w:r>
      <w:r w:rsidRPr="00132E65">
        <w:rPr>
          <w:rtl/>
          <w:lang w:bidi="fa-IR"/>
        </w:rPr>
        <w:t xml:space="preserve"> : لَيْسَ ذلِكَ لَكَ ، خَيِّرْهَا رَجُلاً مِنَ الْمُسْلِمِينَ واحْسُبْهَا بِفَيْئِهِ </w:t>
      </w:r>
      <w:r>
        <w:rPr>
          <w:rStyle w:val="libFootnotenumChar"/>
          <w:rtl/>
        </w:rPr>
        <w:t>(9)</w:t>
      </w:r>
      <w:r w:rsidRPr="00132E65">
        <w:rPr>
          <w:rtl/>
          <w:lang w:bidi="fa-IR"/>
        </w:rPr>
        <w:t xml:space="preserve"> ، فَخَيَّرَهَا ، فَجَاءَتْ حَتّى وضَعَتْ يَدَهَا عَلى رَأْسِ الْحُسَيْنِ </w:t>
      </w:r>
      <w:r w:rsidRPr="00071CF9">
        <w:rPr>
          <w:rStyle w:val="libAlaemChar"/>
          <w:rtl/>
        </w:rPr>
        <w:t>عليه‌السلام</w:t>
      </w:r>
      <w:r w:rsidRPr="00132E65">
        <w:rPr>
          <w:rtl/>
          <w:lang w:bidi="fa-IR"/>
        </w:rPr>
        <w:t xml:space="preserve"> ، فَقَالَ لَهَا أَمِيرُ الْمُؤْمِنِينَ </w:t>
      </w:r>
      <w:r w:rsidR="003839E2" w:rsidRPr="00071CF9">
        <w:rPr>
          <w:rStyle w:val="libAlaemChar"/>
          <w:rtl/>
        </w:rPr>
        <w:t>عليه‌السلام</w:t>
      </w:r>
      <w:r w:rsidRPr="00132E65">
        <w:rPr>
          <w:rtl/>
          <w:lang w:bidi="fa-IR"/>
        </w:rPr>
        <w:t>: مَا اسْمُكِ</w:t>
      </w:r>
      <w:r>
        <w:rPr>
          <w:rtl/>
          <w:lang w:bidi="fa-IR"/>
        </w:rPr>
        <w:t>؟</w:t>
      </w:r>
      <w:r w:rsidRPr="00132E65">
        <w:rPr>
          <w:rtl/>
          <w:lang w:bidi="fa-IR"/>
        </w:rPr>
        <w:t xml:space="preserve"> فَقَالَتْ </w:t>
      </w:r>
      <w:r>
        <w:rPr>
          <w:rStyle w:val="libFootnotenumChar"/>
          <w:rtl/>
        </w:rPr>
        <w:t>(10)</w:t>
      </w:r>
      <w:r w:rsidRPr="00132E65">
        <w:rPr>
          <w:rtl/>
          <w:lang w:bidi="fa-IR"/>
        </w:rPr>
        <w:t xml:space="preserve"> : جَهَانْ شَاهُ ، فَقَالَ لَهَا أَمِيرُ الْمُؤْمِنِينَ </w:t>
      </w:r>
      <w:r w:rsidRPr="00071CF9">
        <w:rPr>
          <w:rStyle w:val="libAlaemChar"/>
          <w:rtl/>
        </w:rPr>
        <w:t>عليه‌السلام</w:t>
      </w:r>
      <w:r w:rsidRPr="00132E65">
        <w:rPr>
          <w:rtl/>
          <w:lang w:bidi="fa-IR"/>
        </w:rPr>
        <w:t xml:space="preserve"> : بَلْ شَهْرَبَانُوَيْهِ ، ثُمَّ قَالَ‌</w:t>
      </w:r>
    </w:p>
    <w:p w:rsidR="000C39D1" w:rsidRPr="00132E65" w:rsidRDefault="000C39D1" w:rsidP="000C39D1">
      <w:pPr>
        <w:pStyle w:val="libLine"/>
        <w:rPr>
          <w:rtl/>
          <w:lang w:bidi="fa-IR"/>
        </w:rPr>
      </w:pPr>
      <w:r w:rsidRPr="00132E65">
        <w:rPr>
          <w:rtl/>
          <w:lang w:bidi="fa-IR"/>
        </w:rPr>
        <w:t>__________________</w:t>
      </w:r>
    </w:p>
    <w:p w:rsidR="000C39D1" w:rsidRPr="00132E65" w:rsidRDefault="003839E2" w:rsidP="000C39D1">
      <w:pPr>
        <w:pStyle w:val="libFootnote0"/>
        <w:rPr>
          <w:rtl/>
          <w:lang w:bidi="fa-IR"/>
        </w:rPr>
      </w:pPr>
      <w:r>
        <w:rPr>
          <w:rFonts w:hint="cs"/>
          <w:rtl/>
        </w:rPr>
        <w:t xml:space="preserve">= </w:t>
      </w:r>
      <w:r w:rsidR="000C39D1" w:rsidRPr="00132E65">
        <w:rPr>
          <w:rtl/>
        </w:rPr>
        <w:t>النسخ : « شاه زنان »</w:t>
      </w:r>
      <w:r w:rsidR="000C39D1">
        <w:rPr>
          <w:rtl/>
        </w:rPr>
        <w:t>.</w:t>
      </w:r>
    </w:p>
    <w:p w:rsidR="000C39D1" w:rsidRPr="00132E65" w:rsidRDefault="000C39D1" w:rsidP="000C39D1">
      <w:pPr>
        <w:pStyle w:val="libFootnote0"/>
        <w:rPr>
          <w:rtl/>
          <w:lang w:bidi="fa-IR"/>
        </w:rPr>
      </w:pPr>
      <w:r>
        <w:rPr>
          <w:rtl/>
        </w:rPr>
        <w:t>(1).</w:t>
      </w:r>
      <w:r w:rsidRPr="00132E65">
        <w:rPr>
          <w:rtl/>
        </w:rPr>
        <w:t xml:space="preserve"> في « ض ، بر » : « أپرويز »</w:t>
      </w:r>
      <w:r>
        <w:rPr>
          <w:rtl/>
        </w:rPr>
        <w:t>.</w:t>
      </w:r>
      <w:r w:rsidRPr="00132E65">
        <w:rPr>
          <w:rtl/>
        </w:rPr>
        <w:t xml:space="preserve"> وفي « بح » : « أبروزير »</w:t>
      </w:r>
      <w:r>
        <w:rPr>
          <w:rtl/>
        </w:rPr>
        <w:t>.</w:t>
      </w:r>
      <w:r w:rsidRPr="00132E65">
        <w:rPr>
          <w:rtl/>
        </w:rPr>
        <w:t xml:space="preserve"> وفي « بس » : « أبروَيز »</w:t>
      </w:r>
      <w:r>
        <w:rPr>
          <w:rtl/>
        </w:rPr>
        <w:t>.</w:t>
      </w:r>
    </w:p>
    <w:p w:rsidR="000C39D1" w:rsidRPr="00132E65" w:rsidRDefault="000C39D1" w:rsidP="000C39D1">
      <w:pPr>
        <w:pStyle w:val="libFootnote0"/>
        <w:rPr>
          <w:rtl/>
          <w:lang w:bidi="fa-IR"/>
        </w:rPr>
      </w:pPr>
      <w:r>
        <w:rPr>
          <w:rtl/>
        </w:rPr>
        <w:t>(2).</w:t>
      </w:r>
      <w:r w:rsidRPr="00132E65">
        <w:rPr>
          <w:rtl/>
        </w:rPr>
        <w:t xml:space="preserve"> في البحار </w:t>
      </w:r>
      <w:r>
        <w:rPr>
          <w:rtl/>
        </w:rPr>
        <w:t xml:space="preserve">: - </w:t>
      </w:r>
      <w:r w:rsidRPr="00132E65">
        <w:rPr>
          <w:rtl/>
        </w:rPr>
        <w:t>« وكان يزدجرد آخر ملوك الفُرس »</w:t>
      </w:r>
      <w:r>
        <w:rPr>
          <w:rtl/>
        </w:rPr>
        <w:t>.</w:t>
      </w:r>
    </w:p>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3 ، ص 767 ، ذيل ح 1391 ؛ </w:t>
      </w:r>
      <w:r w:rsidRPr="00E56AEC">
        <w:rPr>
          <w:rtl/>
        </w:rPr>
        <w:t>البحار</w:t>
      </w:r>
      <w:r w:rsidRPr="00132E65">
        <w:rPr>
          <w:rtl/>
        </w:rPr>
        <w:t xml:space="preserve"> ، ج 46 ، ص 13 ، ح 25.</w:t>
      </w:r>
    </w:p>
    <w:p w:rsidR="000C39D1" w:rsidRPr="00132E65" w:rsidRDefault="000C39D1" w:rsidP="000C39D1">
      <w:pPr>
        <w:pStyle w:val="libFootnote0"/>
        <w:rPr>
          <w:rtl/>
          <w:lang w:bidi="fa-IR"/>
        </w:rPr>
      </w:pPr>
      <w:r>
        <w:rPr>
          <w:rtl/>
        </w:rPr>
        <w:t>(4).</w:t>
      </w:r>
      <w:r w:rsidRPr="00132E65">
        <w:rPr>
          <w:rtl/>
        </w:rPr>
        <w:t xml:space="preserve"> في « ض » : « الحسيني »</w:t>
      </w:r>
      <w:r>
        <w:rPr>
          <w:rtl/>
        </w:rPr>
        <w:t>.</w:t>
      </w:r>
      <w:r w:rsidRPr="00132E65">
        <w:rPr>
          <w:rtl/>
        </w:rPr>
        <w:t xml:space="preserve"> وفي « بح » </w:t>
      </w:r>
      <w:r>
        <w:rPr>
          <w:rtl/>
        </w:rPr>
        <w:t xml:space="preserve">: - </w:t>
      </w:r>
      <w:r w:rsidRPr="00132E65">
        <w:rPr>
          <w:rtl/>
        </w:rPr>
        <w:t>« الحسني »</w:t>
      </w:r>
      <w:r>
        <w:rPr>
          <w:rtl/>
        </w:rPr>
        <w:t>.</w:t>
      </w:r>
    </w:p>
    <w:p w:rsidR="000C39D1" w:rsidRPr="00132E65" w:rsidRDefault="000C39D1" w:rsidP="000C39D1">
      <w:pPr>
        <w:pStyle w:val="libFootnote0"/>
        <w:rPr>
          <w:rtl/>
          <w:lang w:bidi="fa-IR"/>
        </w:rPr>
      </w:pPr>
      <w:r>
        <w:rPr>
          <w:rtl/>
        </w:rPr>
        <w:t>(5).</w:t>
      </w:r>
      <w:r w:rsidRPr="00132E65">
        <w:rPr>
          <w:rtl/>
        </w:rPr>
        <w:t xml:space="preserve"> قال الجوهري : « أشرفت عليه ، أي اطّلعت عليه من فوق »</w:t>
      </w:r>
      <w:r>
        <w:rPr>
          <w:rtl/>
        </w:rPr>
        <w:t>.</w:t>
      </w:r>
      <w:r w:rsidRPr="00132E65">
        <w:rPr>
          <w:rtl/>
        </w:rPr>
        <w:t xml:space="preserve"> </w:t>
      </w:r>
      <w:r w:rsidRPr="00E56AEC">
        <w:rPr>
          <w:rtl/>
        </w:rPr>
        <w:t>الصحاح</w:t>
      </w:r>
      <w:r w:rsidRPr="00132E65">
        <w:rPr>
          <w:rtl/>
        </w:rPr>
        <w:t xml:space="preserve"> ، ج 4 ، ص 1380 ( شرف )</w:t>
      </w:r>
      <w:r>
        <w:rPr>
          <w:rtl/>
        </w:rPr>
        <w:t>.</w:t>
      </w:r>
    </w:p>
    <w:p w:rsidR="000C39D1" w:rsidRPr="00132E65" w:rsidRDefault="000C39D1" w:rsidP="000C39D1">
      <w:pPr>
        <w:pStyle w:val="libFootnote0"/>
        <w:rPr>
          <w:rtl/>
          <w:lang w:bidi="fa-IR"/>
        </w:rPr>
      </w:pPr>
      <w:r>
        <w:rPr>
          <w:rtl/>
        </w:rPr>
        <w:t>(6).</w:t>
      </w:r>
      <w:r w:rsidRPr="00132E65">
        <w:rPr>
          <w:rtl/>
        </w:rPr>
        <w:t xml:space="preserve"> « العَذارى » : جمع العَذْراء ، وهي الجارية التي لم يمسّها رجل ، وهي البِكْر. </w:t>
      </w:r>
      <w:r w:rsidRPr="00E56AEC">
        <w:rPr>
          <w:rtl/>
        </w:rPr>
        <w:t>النهاية</w:t>
      </w:r>
      <w:r w:rsidRPr="00132E65">
        <w:rPr>
          <w:rtl/>
        </w:rPr>
        <w:t xml:space="preserve"> ، ج 3 ، ص 196 ( عذر )</w:t>
      </w:r>
      <w:r>
        <w:rPr>
          <w:rtl/>
        </w:rPr>
        <w:t>.</w:t>
      </w:r>
    </w:p>
    <w:p w:rsidR="000C39D1" w:rsidRPr="00132E65" w:rsidRDefault="000C39D1" w:rsidP="000C39D1">
      <w:pPr>
        <w:pStyle w:val="libFootnote0"/>
        <w:rPr>
          <w:rtl/>
          <w:lang w:bidi="fa-IR"/>
        </w:rPr>
      </w:pPr>
      <w:r>
        <w:rPr>
          <w:rtl/>
        </w:rPr>
        <w:t>(7).</w:t>
      </w:r>
      <w:r w:rsidRPr="00132E65">
        <w:rPr>
          <w:rtl/>
        </w:rPr>
        <w:t xml:space="preserve"> في « بح ، بس » : « أفيبروج »</w:t>
      </w:r>
      <w:r>
        <w:rPr>
          <w:rtl/>
        </w:rPr>
        <w:t>.</w:t>
      </w:r>
      <w:r w:rsidRPr="00132E65">
        <w:rPr>
          <w:rtl/>
        </w:rPr>
        <w:t xml:space="preserve"> وفي البصائر : « آه بيروز »</w:t>
      </w:r>
      <w:r>
        <w:rPr>
          <w:rtl/>
        </w:rPr>
        <w:t>.</w:t>
      </w:r>
    </w:p>
    <w:p w:rsidR="000C39D1" w:rsidRPr="00132E65" w:rsidRDefault="000C39D1" w:rsidP="000C39D1">
      <w:pPr>
        <w:pStyle w:val="libFootnote0"/>
        <w:rPr>
          <w:rtl/>
          <w:lang w:bidi="fa-IR"/>
        </w:rPr>
      </w:pPr>
      <w:r>
        <w:rPr>
          <w:rtl/>
        </w:rPr>
        <w:t>(8).</w:t>
      </w:r>
      <w:r w:rsidRPr="00132E65">
        <w:rPr>
          <w:rtl/>
        </w:rPr>
        <w:t xml:space="preserve"> في « ج ، ض ، بر » وشرح المازندراني : « باذا »</w:t>
      </w:r>
      <w:r>
        <w:rPr>
          <w:rtl/>
        </w:rPr>
        <w:t>.</w:t>
      </w:r>
      <w:r w:rsidRPr="00132E65">
        <w:rPr>
          <w:rtl/>
        </w:rPr>
        <w:t xml:space="preserve"> وقال في </w:t>
      </w:r>
      <w:r w:rsidRPr="009D1ACE">
        <w:rPr>
          <w:rStyle w:val="libFootnoteBoldChar"/>
          <w:rtl/>
        </w:rPr>
        <w:t>الوافي</w:t>
      </w:r>
      <w:r w:rsidRPr="00132E65">
        <w:rPr>
          <w:rtl/>
        </w:rPr>
        <w:t xml:space="preserve"> : « هذا كلام فارسي مشتمل على تأفيف ودعاء على أبيها هرمز ، تعني لا كان لهرمز يوم ، فإنّ ابنته ا</w:t>
      </w:r>
      <w:r w:rsidR="003839E2">
        <w:rPr>
          <w:rFonts w:hint="cs"/>
          <w:rtl/>
        </w:rPr>
        <w:t>ُ</w:t>
      </w:r>
      <w:r w:rsidRPr="00132E65">
        <w:rPr>
          <w:rtl/>
        </w:rPr>
        <w:t>سرت بصغر ونظر إليها الرجال. والهرمز يقال للكبير من ملوك العجم »</w:t>
      </w:r>
      <w:r>
        <w:rPr>
          <w:rtl/>
        </w:rPr>
        <w:t>.</w:t>
      </w:r>
      <w:r w:rsidRPr="00132E65">
        <w:rPr>
          <w:rtl/>
        </w:rPr>
        <w:t xml:space="preserve"> وقال السيّد بدرالدين في حاشيته على </w:t>
      </w:r>
      <w:r w:rsidRPr="000577A7">
        <w:rPr>
          <w:rStyle w:val="libFootnoteBoldChar"/>
          <w:rtl/>
        </w:rPr>
        <w:t>الكافي</w:t>
      </w:r>
      <w:r w:rsidRPr="00132E65">
        <w:rPr>
          <w:rtl/>
        </w:rPr>
        <w:t xml:space="preserve"> ، ص 271 : « لاشكّ أنّ هذه ألفاظ فارسيّة ، وكأنّها معرّبة من قولهم : « ا</w:t>
      </w:r>
      <w:r w:rsidR="003839E2">
        <w:rPr>
          <w:rFonts w:hint="cs"/>
          <w:rtl/>
        </w:rPr>
        <w:t>ُ</w:t>
      </w:r>
      <w:r w:rsidRPr="00132E65">
        <w:rPr>
          <w:rtl/>
        </w:rPr>
        <w:t>فّ بي روي باد هرمز » ، أي لاتزل مسلوب الحياء يا أيّها الملك الكبير ، وهو دعاء منها على عمر حين واجهته ؛ ولهذا قال : تشتمني »</w:t>
      </w:r>
      <w:r>
        <w:rPr>
          <w:rtl/>
        </w:rPr>
        <w:t>.</w:t>
      </w:r>
    </w:p>
    <w:p w:rsidR="000C39D1" w:rsidRPr="00132E65" w:rsidRDefault="000C39D1" w:rsidP="003839E2">
      <w:pPr>
        <w:pStyle w:val="libFootnote0"/>
        <w:rPr>
          <w:rtl/>
          <w:lang w:bidi="fa-IR"/>
        </w:rPr>
      </w:pPr>
      <w:r>
        <w:rPr>
          <w:rtl/>
        </w:rPr>
        <w:t>(9).</w:t>
      </w:r>
      <w:r w:rsidRPr="00132E65">
        <w:rPr>
          <w:rtl/>
        </w:rPr>
        <w:t xml:space="preserve"> « الفي‌ء » : هو ما حصل للمسلمين من أموال الكفّار. وأصل الفي‌ء : الرجوع ، كأنّه كان في الأصل لهم فرجع‌إليهم. </w:t>
      </w:r>
      <w:r w:rsidRPr="00E56AEC">
        <w:rPr>
          <w:rtl/>
        </w:rPr>
        <w:t>النهاية</w:t>
      </w:r>
      <w:r w:rsidRPr="00132E65">
        <w:rPr>
          <w:rtl/>
        </w:rPr>
        <w:t xml:space="preserve"> ، ج 3 ، ص 482 ( فيأ )</w:t>
      </w:r>
      <w:r>
        <w:rPr>
          <w:rtl/>
        </w:rPr>
        <w:t>.</w:t>
      </w:r>
      <w:r w:rsidR="003839E2">
        <w:rPr>
          <w:rFonts w:hint="cs"/>
          <w:rtl/>
        </w:rPr>
        <w:t xml:space="preserve">                        </w:t>
      </w:r>
      <w:r>
        <w:rPr>
          <w:rtl/>
        </w:rPr>
        <w:t>(10).</w:t>
      </w:r>
      <w:r w:rsidRPr="00132E65">
        <w:rPr>
          <w:rtl/>
        </w:rPr>
        <w:t xml:space="preserve"> في </w:t>
      </w:r>
      <w:r w:rsidRPr="009D1ACE">
        <w:rPr>
          <w:rStyle w:val="libFootnoteBoldChar"/>
          <w:rtl/>
        </w:rPr>
        <w:t>الوافي</w:t>
      </w:r>
      <w:r w:rsidRPr="00132E65">
        <w:rPr>
          <w:rtl/>
        </w:rPr>
        <w:t xml:space="preserve"> والبصائر : « قالت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لِلْحُسَيْنِ </w:t>
      </w:r>
      <w:r w:rsidRPr="00071CF9">
        <w:rPr>
          <w:rStyle w:val="libAlaemChar"/>
          <w:rtl/>
        </w:rPr>
        <w:t>عليه‌السلام</w:t>
      </w:r>
      <w:r w:rsidRPr="00132E65">
        <w:rPr>
          <w:rtl/>
          <w:lang w:bidi="fa-IR"/>
        </w:rPr>
        <w:t xml:space="preserve"> : يَا أَبَا عَبْدِ اللهِ ، لَتَلِدَنَّ </w:t>
      </w:r>
      <w:r>
        <w:rPr>
          <w:rStyle w:val="libFootnotenumChar"/>
          <w:rtl/>
        </w:rPr>
        <w:t>(1)</w:t>
      </w:r>
      <w:r w:rsidRPr="00132E65">
        <w:rPr>
          <w:rtl/>
          <w:lang w:bidi="fa-IR"/>
        </w:rPr>
        <w:t xml:space="preserve"> لَكَ مِنْهَا خَيْرَ أَهْلِ الْأَرْضِ ، فَوَلَدَتْ عَلِيَّ بْنَ الْحُسَيْنِ </w:t>
      </w:r>
      <w:r w:rsidRPr="00071CF9">
        <w:rPr>
          <w:rStyle w:val="libAlaemChar"/>
          <w:rtl/>
        </w:rPr>
        <w:t>عليه‌السلام</w:t>
      </w:r>
      <w:r w:rsidRPr="00132E65">
        <w:rPr>
          <w:rtl/>
          <w:lang w:bidi="fa-IR"/>
        </w:rPr>
        <w:t xml:space="preserve"> ، و</w:t>
      </w:r>
      <w:r w:rsidR="003839E2">
        <w:rPr>
          <w:rFonts w:hint="cs"/>
          <w:rtl/>
          <w:lang w:bidi="fa-IR"/>
        </w:rPr>
        <w:t xml:space="preserve">َ </w:t>
      </w:r>
      <w:r w:rsidRPr="00132E65">
        <w:rPr>
          <w:rtl/>
          <w:lang w:bidi="fa-IR"/>
        </w:rPr>
        <w:t xml:space="preserve">كَانَ يُقَالُ لِعَلِيِّ بْنِ الْحُسَيْنِ </w:t>
      </w:r>
      <w:r w:rsidRPr="00071CF9">
        <w:rPr>
          <w:rStyle w:val="libAlaemChar"/>
          <w:rtl/>
        </w:rPr>
        <w:t>عليه‌السلام</w:t>
      </w:r>
      <w:r w:rsidRPr="00132E65">
        <w:rPr>
          <w:rtl/>
          <w:lang w:bidi="fa-IR"/>
        </w:rPr>
        <w:t xml:space="preserve"> : ابْنُ الْخِيَرَتَيْنِ ، فَخِيَرَةُ اللهِ مِنَ الْعَرَبِ هَاشِمٌ ، و</w:t>
      </w:r>
      <w:r w:rsidR="003839E2">
        <w:rPr>
          <w:rFonts w:hint="cs"/>
          <w:rtl/>
          <w:lang w:bidi="fa-IR"/>
        </w:rPr>
        <w:t xml:space="preserve">َ </w:t>
      </w:r>
      <w:r w:rsidRPr="00132E65">
        <w:rPr>
          <w:rtl/>
          <w:lang w:bidi="fa-IR"/>
        </w:rPr>
        <w:t xml:space="preserve">مِنَ الْعَجَمِ فَارِسُ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Default="003736AD" w:rsidP="000C39D1">
      <w:pPr>
        <w:pStyle w:val="libNormal"/>
        <w:rPr>
          <w:rtl/>
          <w:lang w:bidi="fa-IR"/>
        </w:rPr>
      </w:pPr>
      <w:r>
        <w:rPr>
          <w:rFonts w:hint="cs"/>
          <w:rtl/>
          <w:lang w:bidi="fa-IR"/>
        </w:rPr>
        <w:t xml:space="preserve">* </w:t>
      </w:r>
      <w:r w:rsidR="000C39D1" w:rsidRPr="00132E65">
        <w:rPr>
          <w:rtl/>
          <w:lang w:bidi="fa-IR"/>
        </w:rPr>
        <w:t>و</w:t>
      </w:r>
      <w:r>
        <w:rPr>
          <w:rFonts w:hint="cs"/>
          <w:rtl/>
          <w:lang w:bidi="fa-IR"/>
        </w:rPr>
        <w:t xml:space="preserve">َ </w:t>
      </w:r>
      <w:r w:rsidR="000C39D1" w:rsidRPr="00132E65">
        <w:rPr>
          <w:rtl/>
          <w:lang w:bidi="fa-IR"/>
        </w:rPr>
        <w:t>رُوِيَ : أَنَّ أَبَا الْأَسْوَدِ الدُّؤَلِيَّ قَالَ فِيهِ :</w:t>
      </w:r>
    </w:p>
    <w:tbl>
      <w:tblPr>
        <w:tblStyle w:val="TableGrid"/>
        <w:bidiVisual/>
        <w:tblW w:w="4562" w:type="pct"/>
        <w:tblInd w:w="384" w:type="dxa"/>
        <w:tblLook w:val="01E0" w:firstRow="1" w:lastRow="1" w:firstColumn="1" w:lastColumn="1" w:noHBand="0" w:noVBand="0"/>
      </w:tblPr>
      <w:tblGrid>
        <w:gridCol w:w="4797"/>
        <w:gridCol w:w="341"/>
        <w:gridCol w:w="4749"/>
      </w:tblGrid>
      <w:tr w:rsidR="003736AD" w:rsidTr="005C1D7A">
        <w:trPr>
          <w:trHeight w:val="350"/>
        </w:trPr>
        <w:tc>
          <w:tcPr>
            <w:tcW w:w="3920" w:type="dxa"/>
            <w:shd w:val="clear" w:color="auto" w:fill="auto"/>
          </w:tcPr>
          <w:p w:rsidR="003736AD" w:rsidRDefault="003736AD" w:rsidP="005C1D7A">
            <w:pPr>
              <w:pStyle w:val="libPoem"/>
            </w:pPr>
            <w:r>
              <w:rPr>
                <w:rtl/>
                <w:lang w:bidi="fa-IR"/>
              </w:rPr>
              <w:t>وَ</w:t>
            </w:r>
            <w:r w:rsidRPr="00132E65">
              <w:rPr>
                <w:rtl/>
                <w:lang w:bidi="fa-IR"/>
              </w:rPr>
              <w:t xml:space="preserve">إِنَّ غُلَاماً بَيْنَ كِسْرى </w:t>
            </w:r>
            <w:r>
              <w:rPr>
                <w:rStyle w:val="libFootnotenumChar"/>
                <w:rtl/>
              </w:rPr>
              <w:t>(4)</w:t>
            </w:r>
            <w:r w:rsidRPr="00132E65">
              <w:rPr>
                <w:rtl/>
                <w:lang w:bidi="fa-IR"/>
              </w:rPr>
              <w:t xml:space="preserve"> و</w:t>
            </w:r>
            <w:r w:rsidR="004355B4">
              <w:rPr>
                <w:rFonts w:hint="cs"/>
                <w:rtl/>
                <w:lang w:bidi="fa-IR"/>
              </w:rPr>
              <w:t xml:space="preserve">َ </w:t>
            </w:r>
            <w:r w:rsidRPr="00132E65">
              <w:rPr>
                <w:rtl/>
                <w:lang w:bidi="fa-IR"/>
              </w:rPr>
              <w:t>هَاشِمٍ</w:t>
            </w:r>
            <w:r w:rsidRPr="00725071">
              <w:rPr>
                <w:rStyle w:val="libPoemTiniChar0"/>
                <w:rtl/>
              </w:rPr>
              <w:br/>
              <w:t> </w:t>
            </w:r>
          </w:p>
        </w:tc>
        <w:tc>
          <w:tcPr>
            <w:tcW w:w="279" w:type="dxa"/>
            <w:shd w:val="clear" w:color="auto" w:fill="auto"/>
          </w:tcPr>
          <w:p w:rsidR="003736AD" w:rsidRDefault="003736AD" w:rsidP="005C1D7A">
            <w:pPr>
              <w:pStyle w:val="libPoem"/>
              <w:rPr>
                <w:rtl/>
              </w:rPr>
            </w:pPr>
          </w:p>
        </w:tc>
        <w:tc>
          <w:tcPr>
            <w:tcW w:w="3881" w:type="dxa"/>
            <w:shd w:val="clear" w:color="auto" w:fill="auto"/>
          </w:tcPr>
          <w:p w:rsidR="003736AD" w:rsidRDefault="003736AD" w:rsidP="005C1D7A">
            <w:pPr>
              <w:pStyle w:val="libPoem"/>
            </w:pPr>
            <w:r w:rsidRPr="00132E65">
              <w:rPr>
                <w:rtl/>
                <w:lang w:bidi="fa-IR"/>
              </w:rPr>
              <w:t xml:space="preserve">لَأَكْرَمُ مَنْ نِيطَتْ </w:t>
            </w:r>
            <w:r>
              <w:rPr>
                <w:rStyle w:val="libFootnotenumChar"/>
                <w:rtl/>
              </w:rPr>
              <w:t>(5)</w:t>
            </w:r>
            <w:r w:rsidRPr="00132E65">
              <w:rPr>
                <w:rtl/>
                <w:lang w:bidi="fa-IR"/>
              </w:rPr>
              <w:t xml:space="preserve"> عَلَيْهِ التَّمَائِمُ </w:t>
            </w:r>
            <w:r>
              <w:rPr>
                <w:rStyle w:val="libFootnotenumChar"/>
                <w:rtl/>
              </w:rPr>
              <w:t>(6)</w:t>
            </w:r>
            <w:r w:rsidRPr="00725071">
              <w:rPr>
                <w:rStyle w:val="libPoemTiniChar0"/>
                <w:rtl/>
              </w:rPr>
              <w:br/>
              <w:t> </w:t>
            </w:r>
          </w:p>
        </w:tc>
      </w:tr>
    </w:tbl>
    <w:p w:rsidR="000C39D1" w:rsidRPr="00132E65" w:rsidRDefault="000C39D1" w:rsidP="000C39D1">
      <w:pPr>
        <w:pStyle w:val="libNormal"/>
        <w:rPr>
          <w:rtl/>
          <w:lang w:bidi="fa-IR"/>
        </w:rPr>
      </w:pPr>
      <w:r w:rsidRPr="00E56AEC">
        <w:rPr>
          <w:rtl/>
        </w:rPr>
        <w:t>1270</w:t>
      </w:r>
      <w:r w:rsidRPr="004325D8">
        <w:rPr>
          <w:rStyle w:val="libBold2Char"/>
          <w:rtl/>
        </w:rPr>
        <w:t xml:space="preserve"> / 2.</w:t>
      </w:r>
      <w:r w:rsidRPr="00132E65">
        <w:rPr>
          <w:rtl/>
          <w:lang w:bidi="fa-IR"/>
        </w:rPr>
        <w:t xml:space="preserve"> عِدَّةٌ مِنْ أَصْحَابِنَا ، عَنْ أَحْمَدَ بْنِ مُحَمَّدٍ ، عَنِ ابْنِ فَضَّالٍ </w:t>
      </w:r>
      <w:r>
        <w:rPr>
          <w:rStyle w:val="libFootnotenumChar"/>
          <w:rtl/>
        </w:rPr>
        <w:t>(7)</w:t>
      </w:r>
      <w:r w:rsidRPr="00132E65">
        <w:rPr>
          <w:rtl/>
          <w:lang w:bidi="fa-IR"/>
        </w:rPr>
        <w:t xml:space="preserve"> ، عَنِ ابْنِ بُكَيْرٍ ، عَنْ‌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ض ، ف ، بر ، بف » و</w:t>
      </w:r>
      <w:r w:rsidRPr="009D1ACE">
        <w:rPr>
          <w:rStyle w:val="libFootnoteBoldChar"/>
          <w:rtl/>
        </w:rPr>
        <w:t>الوافي</w:t>
      </w:r>
      <w:r w:rsidRPr="00132E65">
        <w:rPr>
          <w:rtl/>
        </w:rPr>
        <w:t xml:space="preserve"> والبصائر : « ليلدنّ » ، ولكن ما جاء « ولد » لازماً بهذا المعنى ، </w:t>
      </w:r>
      <w:r>
        <w:rPr>
          <w:rtl/>
        </w:rPr>
        <w:t>و «</w:t>
      </w:r>
      <w:r w:rsidRPr="00132E65">
        <w:rPr>
          <w:rtl/>
        </w:rPr>
        <w:t xml:space="preserve"> تلدنّ » أيضاً لا يناسب قوله : « لك منها »</w:t>
      </w:r>
      <w:r>
        <w:rPr>
          <w:rtl/>
        </w:rPr>
        <w:t>.</w:t>
      </w:r>
      <w:r w:rsidRPr="00132E65">
        <w:rPr>
          <w:rtl/>
        </w:rPr>
        <w:t xml:space="preserve"> فالصحيح</w:t>
      </w:r>
      <w:r>
        <w:rPr>
          <w:rtl/>
        </w:rPr>
        <w:t xml:space="preserve"> - </w:t>
      </w:r>
      <w:r w:rsidRPr="00132E65">
        <w:rPr>
          <w:rtl/>
        </w:rPr>
        <w:t xml:space="preserve">كما في </w:t>
      </w:r>
      <w:r w:rsidRPr="00E56AEC">
        <w:rPr>
          <w:rtl/>
        </w:rPr>
        <w:t>البصائر</w:t>
      </w:r>
      <w:r>
        <w:rPr>
          <w:rtl/>
        </w:rPr>
        <w:t xml:space="preserve"> - </w:t>
      </w:r>
      <w:r w:rsidRPr="00132E65">
        <w:rPr>
          <w:rtl/>
        </w:rPr>
        <w:t xml:space="preserve">: « ليولَدَنّ » أو ما يأتي. قال في </w:t>
      </w:r>
      <w:r w:rsidRPr="009D1ACE">
        <w:rPr>
          <w:rStyle w:val="libFootnoteBoldChar"/>
          <w:rtl/>
        </w:rPr>
        <w:t>مرآة العقول</w:t>
      </w:r>
      <w:r w:rsidRPr="00132E65">
        <w:rPr>
          <w:rtl/>
        </w:rPr>
        <w:t xml:space="preserve"> ، ج 6 ، ص 5 : « لتلدنّ لك ، كأنّه تمّ الكلام ، وقوله : « منها خير أهل الأرض » جملة ا</w:t>
      </w:r>
      <w:r w:rsidR="004355B4">
        <w:rPr>
          <w:rFonts w:hint="cs"/>
          <w:rtl/>
        </w:rPr>
        <w:t>ُ</w:t>
      </w:r>
      <w:r w:rsidRPr="00132E65">
        <w:rPr>
          <w:rtl/>
        </w:rPr>
        <w:t>خرى. ولم يذكر المفعول به في الا</w:t>
      </w:r>
      <w:r w:rsidR="004355B4">
        <w:rPr>
          <w:rFonts w:hint="cs"/>
          <w:rtl/>
        </w:rPr>
        <w:t>ُ</w:t>
      </w:r>
      <w:r w:rsidRPr="00132E65">
        <w:rPr>
          <w:rtl/>
        </w:rPr>
        <w:t>ولى ؛ لدلالة الجملة الثانية عليه »</w:t>
      </w:r>
      <w:r>
        <w:rPr>
          <w:rtl/>
        </w:rPr>
        <w:t>.</w:t>
      </w:r>
      <w:r w:rsidRPr="00132E65">
        <w:rPr>
          <w:rtl/>
        </w:rPr>
        <w:t xml:space="preserve"> ويحتمل كون « تلدنّ » مخاطباً لا مغايبة </w:t>
      </w:r>
      <w:r>
        <w:rPr>
          <w:rtl/>
        </w:rPr>
        <w:t>و «</w:t>
      </w:r>
      <w:r w:rsidRPr="00132E65">
        <w:rPr>
          <w:rtl/>
        </w:rPr>
        <w:t xml:space="preserve"> خير » منصوباً. وإسناد الولادة إلى الرجل صحيح كما يقال : والد ووالدة.</w:t>
      </w:r>
    </w:p>
    <w:p w:rsidR="000C39D1" w:rsidRPr="00132E65" w:rsidRDefault="000C39D1" w:rsidP="000C39D1">
      <w:pPr>
        <w:pStyle w:val="libFootnote0"/>
        <w:rPr>
          <w:rtl/>
          <w:lang w:bidi="fa-IR"/>
        </w:rPr>
      </w:pPr>
      <w:r>
        <w:rPr>
          <w:rtl/>
        </w:rPr>
        <w:t>(2).</w:t>
      </w:r>
      <w:r w:rsidRPr="00132E65">
        <w:rPr>
          <w:rtl/>
        </w:rPr>
        <w:t xml:space="preserve"> في </w:t>
      </w:r>
      <w:r w:rsidRPr="00E56AEC">
        <w:rPr>
          <w:rtl/>
        </w:rPr>
        <w:t>شرح المازندراني</w:t>
      </w:r>
      <w:r w:rsidRPr="00132E65">
        <w:rPr>
          <w:rtl/>
        </w:rPr>
        <w:t xml:space="preserve"> ، ج 7 ، ص 232 : « قوله : ومن العجم فارس ، ضبط بكسر الراء وفسّر بفارس بن فهلو »</w:t>
      </w:r>
      <w:r>
        <w:rPr>
          <w:rtl/>
        </w:rPr>
        <w:t>.</w:t>
      </w:r>
    </w:p>
    <w:p w:rsidR="000C39D1" w:rsidRPr="00132E65" w:rsidRDefault="000C39D1" w:rsidP="004355B4">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335 ، ح 8 ، عن إبراهيم بن إسحاق ، عن عبد الله بن أحمد ، عن عبد الرحمن بن أبي عبد الله الخزاعي</w:t>
      </w:r>
      <w:r w:rsidR="004355B4">
        <w:rPr>
          <w:rFonts w:hint="cs"/>
          <w:rtl/>
        </w:rPr>
        <w:t>.</w:t>
      </w:r>
      <w:r w:rsidRPr="009D1ACE">
        <w:rPr>
          <w:rStyle w:val="libFootnoteBoldChar"/>
          <w:rtl/>
        </w:rPr>
        <w:t>الوافي</w:t>
      </w:r>
      <w:r w:rsidRPr="00132E65">
        <w:rPr>
          <w:rtl/>
        </w:rPr>
        <w:t xml:space="preserve"> ، ج 3 ، ص 762 ، ح 1384.</w:t>
      </w:r>
    </w:p>
    <w:p w:rsidR="000C39D1" w:rsidRPr="00132E65" w:rsidRDefault="000C39D1" w:rsidP="000C39D1">
      <w:pPr>
        <w:pStyle w:val="libFootnote0"/>
        <w:rPr>
          <w:rtl/>
          <w:lang w:bidi="fa-IR"/>
        </w:rPr>
      </w:pPr>
      <w:r>
        <w:rPr>
          <w:rtl/>
        </w:rPr>
        <w:t>(4).</w:t>
      </w:r>
      <w:r w:rsidRPr="00132E65">
        <w:rPr>
          <w:rtl/>
        </w:rPr>
        <w:t xml:space="preserve"> « كسرى »</w:t>
      </w:r>
      <w:r>
        <w:rPr>
          <w:rtl/>
        </w:rPr>
        <w:t xml:space="preserve"> - </w:t>
      </w:r>
      <w:r w:rsidRPr="00132E65">
        <w:rPr>
          <w:rtl/>
        </w:rPr>
        <w:t>بفتح الكاف وكسرها</w:t>
      </w:r>
      <w:r>
        <w:rPr>
          <w:rtl/>
        </w:rPr>
        <w:t xml:space="preserve"> - </w:t>
      </w:r>
      <w:r w:rsidRPr="00132E65">
        <w:rPr>
          <w:rtl/>
        </w:rPr>
        <w:t xml:space="preserve">: لقب ملوك الفرس ، وهو معرّب خُسْرَوْ. </w:t>
      </w:r>
      <w:r w:rsidRPr="00E56AEC">
        <w:rPr>
          <w:rtl/>
        </w:rPr>
        <w:t>الصحاح</w:t>
      </w:r>
      <w:r w:rsidR="003915A6">
        <w:rPr>
          <w:rtl/>
        </w:rPr>
        <w:t xml:space="preserve"> ، ج 2 ، ص 806 (كسر</w:t>
      </w:r>
      <w:r w:rsidRPr="00132E65">
        <w:rPr>
          <w:rtl/>
        </w:rPr>
        <w:t>)</w:t>
      </w:r>
      <w:r>
        <w:rPr>
          <w:rtl/>
        </w:rPr>
        <w:t>.</w:t>
      </w:r>
    </w:p>
    <w:p w:rsidR="000C39D1" w:rsidRPr="00132E65" w:rsidRDefault="000C39D1" w:rsidP="000C39D1">
      <w:pPr>
        <w:pStyle w:val="libFootnote0"/>
        <w:rPr>
          <w:rtl/>
          <w:lang w:bidi="fa-IR"/>
        </w:rPr>
      </w:pPr>
      <w:r>
        <w:rPr>
          <w:rtl/>
        </w:rPr>
        <w:t>(5).</w:t>
      </w:r>
      <w:r w:rsidRPr="00132E65">
        <w:rPr>
          <w:rtl/>
        </w:rPr>
        <w:t xml:space="preserve"> « نِيطَتْ » ، أي عُلِّقت. راجع : </w:t>
      </w:r>
      <w:r w:rsidRPr="00E56AEC">
        <w:rPr>
          <w:rtl/>
        </w:rPr>
        <w:t>الصحاح</w:t>
      </w:r>
      <w:r w:rsidRPr="00132E65">
        <w:rPr>
          <w:rtl/>
        </w:rPr>
        <w:t xml:space="preserve"> ، ج 3 ، ص 1165 ( نوط )</w:t>
      </w:r>
      <w:r>
        <w:rPr>
          <w:rtl/>
        </w:rPr>
        <w:t>.</w:t>
      </w:r>
    </w:p>
    <w:p w:rsidR="000C39D1" w:rsidRPr="00132E65" w:rsidRDefault="000C39D1" w:rsidP="000C39D1">
      <w:pPr>
        <w:pStyle w:val="libFootnote0"/>
        <w:rPr>
          <w:rtl/>
          <w:lang w:bidi="fa-IR"/>
        </w:rPr>
      </w:pPr>
      <w:r>
        <w:rPr>
          <w:rtl/>
        </w:rPr>
        <w:t>(6).</w:t>
      </w:r>
      <w:r w:rsidRPr="00132E65">
        <w:rPr>
          <w:rtl/>
        </w:rPr>
        <w:t xml:space="preserve"> « التَمائمُ » : جمع تَمِيمَةٍ ، وهي خَرَزاتٌ</w:t>
      </w:r>
      <w:r>
        <w:rPr>
          <w:rtl/>
        </w:rPr>
        <w:t xml:space="preserve"> - </w:t>
      </w:r>
      <w:r w:rsidRPr="00132E65">
        <w:rPr>
          <w:rtl/>
        </w:rPr>
        <w:t>جمع خَرَزَة ، وهو ما ينظم في السِلْك</w:t>
      </w:r>
      <w:r>
        <w:rPr>
          <w:rtl/>
        </w:rPr>
        <w:t xml:space="preserve"> - </w:t>
      </w:r>
      <w:r w:rsidRPr="00132E65">
        <w:rPr>
          <w:rtl/>
        </w:rPr>
        <w:t xml:space="preserve">كانت العرب تعلقّها على أولادهم يتّقون بها العين في زعمهم ، فأبطلها الإسلام. </w:t>
      </w:r>
      <w:r w:rsidRPr="00E56AEC">
        <w:rPr>
          <w:rtl/>
        </w:rPr>
        <w:t>النهاية</w:t>
      </w:r>
      <w:r w:rsidRPr="00132E65">
        <w:rPr>
          <w:rtl/>
        </w:rPr>
        <w:t xml:space="preserve"> ، ج 11 ، ص 197 ( تمم )</w:t>
      </w:r>
      <w:r>
        <w:rPr>
          <w:rtl/>
        </w:rPr>
        <w:t>.</w:t>
      </w:r>
    </w:p>
    <w:p w:rsidR="000C39D1" w:rsidRPr="0073465D" w:rsidRDefault="000C39D1" w:rsidP="00A67B26">
      <w:pPr>
        <w:pStyle w:val="libFootnote0"/>
        <w:rPr>
          <w:rtl/>
        </w:rPr>
      </w:pPr>
      <w:r w:rsidRPr="0073465D">
        <w:rPr>
          <w:rtl/>
        </w:rPr>
        <w:t xml:space="preserve">الوزن : بحر طويل. والقائل : أبوالأسود الدؤلي ، واسمه ظالم بن عمرو بن سفيان بن جندل الدؤلي الكناني ؛ من التابعين ، رسم له أميرالمؤمنين </w:t>
      </w:r>
      <w:r w:rsidRPr="000C5B47">
        <w:rPr>
          <w:rStyle w:val="libFootnoteAlaemChar"/>
          <w:rtl/>
        </w:rPr>
        <w:t>عليه‌السلام</w:t>
      </w:r>
      <w:r w:rsidRPr="0073465D">
        <w:rPr>
          <w:rtl/>
        </w:rPr>
        <w:t xml:space="preserve"> شيئاً من ا</w:t>
      </w:r>
      <w:r w:rsidR="000C5B47">
        <w:rPr>
          <w:rFonts w:hint="cs"/>
          <w:rtl/>
        </w:rPr>
        <w:t>ُ</w:t>
      </w:r>
      <w:r w:rsidRPr="0073465D">
        <w:rPr>
          <w:rtl/>
        </w:rPr>
        <w:t xml:space="preserve">صول النحو ، فكتب فيه أبوالأسود وأخذه عنه جماعة ، سكن البصرة في أيّام عمر ، وولي إمارتها في خلافة أمير المؤمنين </w:t>
      </w:r>
      <w:r w:rsidR="00A67B26" w:rsidRPr="000C5B47">
        <w:rPr>
          <w:rStyle w:val="libFootnoteAlaemChar"/>
          <w:rtl/>
        </w:rPr>
        <w:t>عليه‌السلام</w:t>
      </w:r>
      <w:r w:rsidR="00A67B26" w:rsidRPr="0073465D">
        <w:rPr>
          <w:rtl/>
        </w:rPr>
        <w:t xml:space="preserve"> </w:t>
      </w:r>
      <w:r w:rsidRPr="0073465D">
        <w:rPr>
          <w:rtl/>
        </w:rPr>
        <w:t>وشهد معه صفّين. وهو أوّل من نقّط المصحف نُقَط الإعراب ، وتوفّي سنة 69 ه‍ ، وله ديوان مطبوع ، ولم يوجد</w:t>
      </w:r>
      <w:r w:rsidR="009809A8">
        <w:rPr>
          <w:rtl/>
        </w:rPr>
        <w:t xml:space="preserve"> البيت في ديوانه الذي جمع العل</w:t>
      </w:r>
      <w:r w:rsidR="009809A8">
        <w:rPr>
          <w:rFonts w:hint="cs"/>
          <w:rtl/>
        </w:rPr>
        <w:t>ّ</w:t>
      </w:r>
      <w:r w:rsidR="009809A8">
        <w:rPr>
          <w:rtl/>
        </w:rPr>
        <w:t>ا</w:t>
      </w:r>
      <w:r w:rsidRPr="0073465D">
        <w:rPr>
          <w:rtl/>
        </w:rPr>
        <w:t xml:space="preserve">مة الشيخ محمّد حسين آل يس ، ولا في ديوانه الآخر ، جمع عبدالكريم الدجيلي. المناقب لابن شهر آشوب ، ج 4 ، ص 167 ؛ تهذيب تاريخ ابن عساكر ، لعبد القادر بدران ، ج 7 ، ص 104 ؛ </w:t>
      </w:r>
      <w:r w:rsidRPr="00661890">
        <w:rPr>
          <w:rtl/>
        </w:rPr>
        <w:t>خزانة الأدب</w:t>
      </w:r>
      <w:r w:rsidRPr="0073465D">
        <w:rPr>
          <w:rtl/>
        </w:rPr>
        <w:t xml:space="preserve"> ، ج 1 ، ص 136 ؛ </w:t>
      </w:r>
      <w:r w:rsidRPr="00661890">
        <w:rPr>
          <w:rtl/>
        </w:rPr>
        <w:t>الأعلام للزركلي</w:t>
      </w:r>
      <w:r w:rsidRPr="0073465D">
        <w:rPr>
          <w:rtl/>
        </w:rPr>
        <w:t xml:space="preserve"> ، ج 3 ، ص 236 ؛ </w:t>
      </w:r>
      <w:r w:rsidRPr="00661890">
        <w:rPr>
          <w:rtl/>
        </w:rPr>
        <w:t>دائرة المعارف الإسلاميّة ،</w:t>
      </w:r>
      <w:r w:rsidRPr="0073465D">
        <w:rPr>
          <w:rtl/>
        </w:rPr>
        <w:t xml:space="preserve"> ج 1 ، ص 307.</w:t>
      </w:r>
    </w:p>
    <w:p w:rsidR="000C39D1" w:rsidRPr="00132E65" w:rsidRDefault="000C39D1" w:rsidP="000C39D1">
      <w:pPr>
        <w:pStyle w:val="libFootnote0"/>
        <w:rPr>
          <w:rtl/>
          <w:lang w:bidi="fa-IR"/>
        </w:rPr>
      </w:pPr>
      <w:r>
        <w:rPr>
          <w:rtl/>
        </w:rPr>
        <w:t>(7).</w:t>
      </w:r>
      <w:r w:rsidRPr="00132E65">
        <w:rPr>
          <w:rtl/>
        </w:rPr>
        <w:t xml:space="preserve"> ورد الخبر في </w:t>
      </w:r>
      <w:r w:rsidRPr="007A1104">
        <w:rPr>
          <w:rStyle w:val="libFootnoteBoldChar"/>
          <w:rtl/>
        </w:rPr>
        <w:t>بصائر الدرجات</w:t>
      </w:r>
      <w:r w:rsidRPr="00132E65">
        <w:rPr>
          <w:rtl/>
        </w:rPr>
        <w:t xml:space="preserve"> ، ص 353 ، ح 15 ، عن أحمد بن الحسن بن عليّ بن فضّال ، عن عبدالله بن</w:t>
      </w:r>
      <w:r w:rsidR="009809A8">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زُرَارَةَ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كَانَ لِعَلِيِّ بْنِ الْحُسَيْنِ </w:t>
      </w:r>
      <w:r w:rsidRPr="00071CF9">
        <w:rPr>
          <w:rStyle w:val="libAlaemChar"/>
          <w:rtl/>
        </w:rPr>
        <w:t>عليه‌السلام</w:t>
      </w:r>
      <w:r w:rsidRPr="00132E65">
        <w:rPr>
          <w:rtl/>
          <w:lang w:bidi="fa-IR"/>
        </w:rPr>
        <w:t xml:space="preserve"> نَاقَةٌ حَجَّ </w:t>
      </w:r>
      <w:r>
        <w:rPr>
          <w:rStyle w:val="libFootnotenumChar"/>
          <w:rtl/>
        </w:rPr>
        <w:t>(1)</w:t>
      </w:r>
      <w:r w:rsidRPr="00132E65">
        <w:rPr>
          <w:rtl/>
          <w:lang w:bidi="fa-IR"/>
        </w:rPr>
        <w:t xml:space="preserve"> عَلَيْهَا اثْنَتَيْنِ وَ</w:t>
      </w:r>
      <w:r w:rsidR="001029E1">
        <w:rPr>
          <w:rFonts w:hint="cs"/>
          <w:rtl/>
          <w:lang w:bidi="fa-IR"/>
        </w:rPr>
        <w:t xml:space="preserve"> </w:t>
      </w:r>
      <w:r w:rsidRPr="00132E65">
        <w:rPr>
          <w:rtl/>
          <w:lang w:bidi="fa-IR"/>
        </w:rPr>
        <w:t xml:space="preserve">عِشْرِينَ حَجَّةً مَا قَرَعَهَا </w:t>
      </w:r>
      <w:r>
        <w:rPr>
          <w:rStyle w:val="libFootnotenumChar"/>
          <w:rtl/>
        </w:rPr>
        <w:t>(2)</w:t>
      </w:r>
      <w:r w:rsidRPr="00132E65">
        <w:rPr>
          <w:rtl/>
          <w:lang w:bidi="fa-IR"/>
        </w:rPr>
        <w:t xml:space="preserve"> قَرْعَةً قَطُّ »</w:t>
      </w:r>
      <w:r>
        <w:rPr>
          <w:rtl/>
          <w:lang w:bidi="fa-IR"/>
        </w:rPr>
        <w:t>.</w:t>
      </w:r>
    </w:p>
    <w:p w:rsidR="000C39D1" w:rsidRPr="00132E65" w:rsidRDefault="000C39D1" w:rsidP="000C39D1">
      <w:pPr>
        <w:pStyle w:val="libNormal"/>
        <w:rPr>
          <w:rtl/>
          <w:lang w:bidi="fa-IR"/>
        </w:rPr>
      </w:pPr>
      <w:r w:rsidRPr="00132E65">
        <w:rPr>
          <w:rtl/>
          <w:lang w:bidi="fa-IR"/>
        </w:rPr>
        <w:t>قَالَ : « فَجَاءَتْ بَعْدَ مَوْتِهِ و</w:t>
      </w:r>
      <w:r w:rsidR="001029E1">
        <w:rPr>
          <w:rFonts w:hint="cs"/>
          <w:rtl/>
          <w:lang w:bidi="fa-IR"/>
        </w:rPr>
        <w:t xml:space="preserve">َ </w:t>
      </w:r>
      <w:r w:rsidR="001029E1">
        <w:rPr>
          <w:rtl/>
          <w:lang w:bidi="fa-IR"/>
        </w:rPr>
        <w:t>مَا شَعَرْنَا بِهَا إِل</w:t>
      </w:r>
      <w:r w:rsidR="001029E1">
        <w:rPr>
          <w:rFonts w:hint="cs"/>
          <w:rtl/>
          <w:lang w:bidi="fa-IR"/>
        </w:rPr>
        <w:t>َّ</w:t>
      </w:r>
      <w:r w:rsidR="001029E1">
        <w:rPr>
          <w:rtl/>
          <w:lang w:bidi="fa-IR"/>
        </w:rPr>
        <w:t>ا</w:t>
      </w:r>
      <w:r w:rsidRPr="00132E65">
        <w:rPr>
          <w:rtl/>
          <w:lang w:bidi="fa-IR"/>
        </w:rPr>
        <w:t xml:space="preserve"> و</w:t>
      </w:r>
      <w:r w:rsidR="00FE6B84">
        <w:rPr>
          <w:rFonts w:hint="cs"/>
          <w:rtl/>
          <w:lang w:bidi="fa-IR"/>
        </w:rPr>
        <w:t xml:space="preserve">َ </w:t>
      </w:r>
      <w:r w:rsidRPr="00132E65">
        <w:rPr>
          <w:rtl/>
          <w:lang w:bidi="fa-IR"/>
        </w:rPr>
        <w:t xml:space="preserve">قَدْ جَاءَنِي بَعْضُ خَدَمِنَا أَوْ بَعْضُ الْمَوَالِي </w:t>
      </w:r>
      <w:r>
        <w:rPr>
          <w:rStyle w:val="libFootnotenumChar"/>
          <w:rtl/>
        </w:rPr>
        <w:t>(3)</w:t>
      </w:r>
      <w:r w:rsidRPr="00132E65">
        <w:rPr>
          <w:rtl/>
          <w:lang w:bidi="fa-IR"/>
        </w:rPr>
        <w:t xml:space="preserve"> ، فَقَالَ : إِنَّ النَّاقَةَ قَدْ خَرَجَتْ ، فَأَتَتْ قَبْرَ عَلِيِّ بْنِ الْحُسَيْنِ </w:t>
      </w:r>
      <w:r w:rsidRPr="00071CF9">
        <w:rPr>
          <w:rStyle w:val="libAlaemChar"/>
          <w:rtl/>
        </w:rPr>
        <w:t>عليه‌السلام</w:t>
      </w:r>
      <w:r w:rsidRPr="00132E65">
        <w:rPr>
          <w:rtl/>
          <w:lang w:bidi="fa-IR"/>
        </w:rPr>
        <w:t xml:space="preserve"> فَابْتَرَكَتْ </w:t>
      </w:r>
      <w:r>
        <w:rPr>
          <w:rStyle w:val="libFootnotenumChar"/>
          <w:rtl/>
        </w:rPr>
        <w:t>(4)</w:t>
      </w:r>
      <w:r w:rsidRPr="00132E65">
        <w:rPr>
          <w:rtl/>
          <w:lang w:bidi="fa-IR"/>
        </w:rPr>
        <w:t xml:space="preserve"> عَلَيْهِ ، فَدَلَكَتْ بِجِرَانِهَا </w:t>
      </w:r>
      <w:r>
        <w:rPr>
          <w:rStyle w:val="libFootnotenumChar"/>
          <w:rtl/>
        </w:rPr>
        <w:t>(5)</w:t>
      </w:r>
      <w:r w:rsidRPr="00132E65">
        <w:rPr>
          <w:rtl/>
          <w:lang w:bidi="fa-IR"/>
        </w:rPr>
        <w:t xml:space="preserve"> الْقَبْرَ و</w:t>
      </w:r>
      <w:r w:rsidR="00FE6B84">
        <w:rPr>
          <w:rFonts w:hint="cs"/>
          <w:rtl/>
          <w:lang w:bidi="fa-IR"/>
        </w:rPr>
        <w:t xml:space="preserve">َ </w:t>
      </w:r>
      <w:r w:rsidRPr="00132E65">
        <w:rPr>
          <w:rtl/>
          <w:lang w:bidi="fa-IR"/>
        </w:rPr>
        <w:t xml:space="preserve">هِيَ تَرْغُو </w:t>
      </w:r>
      <w:r>
        <w:rPr>
          <w:rStyle w:val="libFootnotenumChar"/>
          <w:rtl/>
        </w:rPr>
        <w:t>(6)</w:t>
      </w:r>
      <w:r w:rsidRPr="00132E65">
        <w:rPr>
          <w:rtl/>
          <w:lang w:bidi="fa-IR"/>
        </w:rPr>
        <w:t xml:space="preserve"> ، فَقُلْتُ : أَدْرِكُوهَا أَدْرِكُوهَا </w:t>
      </w:r>
      <w:r>
        <w:rPr>
          <w:rStyle w:val="libFootnotenumChar"/>
          <w:rtl/>
        </w:rPr>
        <w:t>(7)</w:t>
      </w:r>
      <w:r w:rsidRPr="00132E65">
        <w:rPr>
          <w:rtl/>
          <w:lang w:bidi="fa-IR"/>
        </w:rPr>
        <w:t xml:space="preserve"> ، و</w:t>
      </w:r>
      <w:r w:rsidR="00FE6B84">
        <w:rPr>
          <w:rFonts w:hint="cs"/>
          <w:rtl/>
          <w:lang w:bidi="fa-IR"/>
        </w:rPr>
        <w:t xml:space="preserve">َ </w:t>
      </w:r>
      <w:r w:rsidRPr="00132E65">
        <w:rPr>
          <w:rtl/>
          <w:lang w:bidi="fa-IR"/>
        </w:rPr>
        <w:t xml:space="preserve">جِيئُونِي بِهَا قَبْلَ أَنْ يَعْلَمُوا </w:t>
      </w:r>
      <w:r>
        <w:rPr>
          <w:rStyle w:val="libFootnotenumChar"/>
          <w:rtl/>
        </w:rPr>
        <w:t>(8)</w:t>
      </w:r>
      <w:r w:rsidRPr="00132E65">
        <w:rPr>
          <w:rtl/>
          <w:lang w:bidi="fa-IR"/>
        </w:rPr>
        <w:t xml:space="preserve"> بِهَا أَوْ يَرَوْهَا </w:t>
      </w:r>
      <w:r>
        <w:rPr>
          <w:rStyle w:val="libFootnotenumChar"/>
          <w:rtl/>
        </w:rPr>
        <w:t>(9)</w:t>
      </w:r>
      <w:r w:rsidRPr="00132E65">
        <w:rPr>
          <w:rtl/>
          <w:lang w:bidi="fa-IR"/>
        </w:rPr>
        <w:t xml:space="preserve"> »</w:t>
      </w:r>
      <w:r>
        <w:rPr>
          <w:rtl/>
          <w:lang w:bidi="fa-IR"/>
        </w:rPr>
        <w:t>.</w:t>
      </w:r>
      <w:r w:rsidRPr="00132E65">
        <w:rPr>
          <w:rtl/>
          <w:lang w:bidi="fa-IR"/>
        </w:rPr>
        <w:t xml:space="preserve"> قَالَ : « وَمَا كَانَتْ رَأَتِ الْقَبْرَ قَطُّ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sidRPr="00132E65">
        <w:rPr>
          <w:rtl/>
        </w:rPr>
        <w:t>‌</w:t>
      </w:r>
      <w:r w:rsidR="00FE6B84">
        <w:rPr>
          <w:rFonts w:hint="cs"/>
          <w:rtl/>
        </w:rPr>
        <w:t xml:space="preserve">= </w:t>
      </w:r>
      <w:r w:rsidRPr="00132E65">
        <w:rPr>
          <w:rtl/>
        </w:rPr>
        <w:t xml:space="preserve">بكير. والمذكور في بعض مخطوطاته « أحمد بن الحسن بن عليّ بن فضّال وأحمد بن محمّد جميعاً عن الحسن بن عليّ بن فضّال ، عن عبدالله بن بكير » وهو الصواب ؛ فقد روى الحسن بن عليّ بن فضّال كتاب عبدالله بن بكير وتكرّرت روايته عنه في الأسناد. راجع : </w:t>
      </w:r>
      <w:r w:rsidRPr="007B7388">
        <w:rPr>
          <w:rtl/>
        </w:rPr>
        <w:t>الفهرست</w:t>
      </w:r>
      <w:r w:rsidRPr="00132E65">
        <w:rPr>
          <w:rtl/>
        </w:rPr>
        <w:t xml:space="preserve"> للطوسي ، ص 304 ، الرقم 464 ؛ </w:t>
      </w:r>
      <w:r w:rsidRPr="007B7388">
        <w:rPr>
          <w:rtl/>
        </w:rPr>
        <w:t>معجم رجال الحديث</w:t>
      </w:r>
      <w:r w:rsidRPr="00132E65">
        <w:rPr>
          <w:rtl/>
        </w:rPr>
        <w:t xml:space="preserve"> ، ج 5 ، ص 304</w:t>
      </w:r>
      <w:r>
        <w:rPr>
          <w:rtl/>
        </w:rPr>
        <w:t xml:space="preserve"> - </w:t>
      </w:r>
      <w:r w:rsidRPr="00132E65">
        <w:rPr>
          <w:rtl/>
        </w:rPr>
        <w:t>305 ، ص 308</w:t>
      </w:r>
      <w:r>
        <w:rPr>
          <w:rtl/>
        </w:rPr>
        <w:t xml:space="preserve"> - </w:t>
      </w:r>
      <w:r w:rsidRPr="00132E65">
        <w:rPr>
          <w:rtl/>
        </w:rPr>
        <w:t>309.</w:t>
      </w:r>
    </w:p>
    <w:p w:rsidR="000C39D1" w:rsidRPr="00132E65" w:rsidRDefault="000C39D1" w:rsidP="000C39D1">
      <w:pPr>
        <w:pStyle w:val="libFootnote0"/>
        <w:rPr>
          <w:rtl/>
          <w:lang w:bidi="fa-IR"/>
        </w:rPr>
      </w:pPr>
      <w:r>
        <w:rPr>
          <w:rtl/>
        </w:rPr>
        <w:t>(1).</w:t>
      </w:r>
      <w:r w:rsidRPr="00132E65">
        <w:rPr>
          <w:rtl/>
        </w:rPr>
        <w:t xml:space="preserve"> في « ض » والبصائر والاختصاص والوسائل : « قد حجّ »</w:t>
      </w:r>
      <w:r>
        <w:rPr>
          <w:rtl/>
        </w:rPr>
        <w:t>.</w:t>
      </w:r>
    </w:p>
    <w:p w:rsidR="000C39D1" w:rsidRPr="00132E65" w:rsidRDefault="000C39D1" w:rsidP="000C39D1">
      <w:pPr>
        <w:pStyle w:val="libFootnote0"/>
        <w:rPr>
          <w:rtl/>
          <w:lang w:bidi="fa-IR"/>
        </w:rPr>
      </w:pPr>
      <w:r>
        <w:rPr>
          <w:rtl/>
        </w:rPr>
        <w:t>(2).</w:t>
      </w:r>
      <w:r w:rsidRPr="00132E65">
        <w:rPr>
          <w:rtl/>
        </w:rPr>
        <w:t xml:space="preserve"> « ما قرعها » ، أي ما ضربها ؛ من القَرْع ، وهو ضرب شي‌ء على شي‌ء. راجع : </w:t>
      </w:r>
      <w:r w:rsidRPr="007B7388">
        <w:rPr>
          <w:rtl/>
        </w:rPr>
        <w:t>المفردات</w:t>
      </w:r>
      <w:r w:rsidRPr="00132E65">
        <w:rPr>
          <w:rtl/>
        </w:rPr>
        <w:t xml:space="preserve"> للراغب ، ص 666 ( قرع )</w:t>
      </w:r>
      <w:r>
        <w:rPr>
          <w:rtl/>
        </w:rPr>
        <w:t>.</w:t>
      </w:r>
    </w:p>
    <w:p w:rsidR="000C39D1" w:rsidRPr="00132E65" w:rsidRDefault="000C39D1" w:rsidP="000C39D1">
      <w:pPr>
        <w:pStyle w:val="libFootnote0"/>
        <w:rPr>
          <w:rtl/>
          <w:lang w:bidi="fa-IR"/>
        </w:rPr>
      </w:pPr>
      <w:r>
        <w:rPr>
          <w:rtl/>
        </w:rPr>
        <w:t>(3).</w:t>
      </w:r>
      <w:r w:rsidRPr="00132E65">
        <w:rPr>
          <w:rtl/>
        </w:rPr>
        <w:t xml:space="preserve"> الترديد والشكّ من الراوي. راجع : </w:t>
      </w:r>
      <w:r w:rsidRPr="007B7388">
        <w:rPr>
          <w:rtl/>
        </w:rPr>
        <w:t>شرح المازندراني</w:t>
      </w:r>
      <w:r w:rsidRPr="00132E65">
        <w:rPr>
          <w:rtl/>
        </w:rPr>
        <w:t xml:space="preserve"> ، ج 7 ، ص 232 ؛ </w:t>
      </w:r>
      <w:r w:rsidRPr="009D1ACE">
        <w:rPr>
          <w:rStyle w:val="libFootnoteBoldChar"/>
          <w:rtl/>
        </w:rPr>
        <w:t>مرآة العقول</w:t>
      </w:r>
      <w:r w:rsidRPr="00132E65">
        <w:rPr>
          <w:rtl/>
        </w:rPr>
        <w:t xml:space="preserve"> ، ج 6 ، ص 8.</w:t>
      </w:r>
    </w:p>
    <w:p w:rsidR="000C39D1" w:rsidRPr="00132E65" w:rsidRDefault="000C39D1" w:rsidP="000C39D1">
      <w:pPr>
        <w:pStyle w:val="libFootnote0"/>
        <w:rPr>
          <w:rtl/>
          <w:lang w:bidi="fa-IR"/>
        </w:rPr>
      </w:pPr>
      <w:r>
        <w:rPr>
          <w:rtl/>
        </w:rPr>
        <w:t>(4).</w:t>
      </w:r>
      <w:r w:rsidRPr="00132E65">
        <w:rPr>
          <w:rtl/>
        </w:rPr>
        <w:t xml:space="preserve"> هكذا في « ض ، بح ، بر ، بس »</w:t>
      </w:r>
      <w:r>
        <w:rPr>
          <w:rtl/>
        </w:rPr>
        <w:t>.</w:t>
      </w:r>
      <w:r w:rsidRPr="00132E65">
        <w:rPr>
          <w:rtl/>
        </w:rPr>
        <w:t xml:space="preserve"> وفي سائر النسخ والمطبوع : « فانبركت »</w:t>
      </w:r>
      <w:r>
        <w:rPr>
          <w:rtl/>
        </w:rPr>
        <w:t>.</w:t>
      </w:r>
      <w:r w:rsidRPr="00132E65">
        <w:rPr>
          <w:rtl/>
        </w:rPr>
        <w:t xml:space="preserve"> ولم يُر الانفعال من « برك »</w:t>
      </w:r>
      <w:r>
        <w:rPr>
          <w:rtl/>
        </w:rPr>
        <w:t>.</w:t>
      </w:r>
      <w:r w:rsidRPr="00132E65">
        <w:rPr>
          <w:rtl/>
        </w:rPr>
        <w:t xml:space="preserve"> وفي البصائر : « فبركت »</w:t>
      </w:r>
      <w:r>
        <w:rPr>
          <w:rtl/>
        </w:rPr>
        <w:t>.</w:t>
      </w:r>
      <w:r w:rsidRPr="00132E65">
        <w:rPr>
          <w:rtl/>
        </w:rPr>
        <w:t xml:space="preserve"> وقال في </w:t>
      </w:r>
      <w:r w:rsidRPr="009D1ACE">
        <w:rPr>
          <w:rStyle w:val="libFootnoteBoldChar"/>
          <w:rtl/>
        </w:rPr>
        <w:t>مرآة العقول</w:t>
      </w:r>
      <w:r w:rsidRPr="00132E65">
        <w:rPr>
          <w:rtl/>
        </w:rPr>
        <w:t xml:space="preserve"> : « والإبراك هنا : البروك. وفي البصائر : فبركت عليه ، وهو أظهر »</w:t>
      </w:r>
      <w:r>
        <w:rPr>
          <w:rtl/>
        </w:rPr>
        <w:t>.</w:t>
      </w:r>
      <w:r w:rsidRPr="00132E65">
        <w:rPr>
          <w:rtl/>
        </w:rPr>
        <w:t xml:space="preserve"> وبروك البعير : استناخه ، وهو أن يلصق صدره بالأرض. يقال : برك ، أي ألقى بَرْكَه بالأرض ، وهو صدره. راجع : </w:t>
      </w:r>
      <w:r w:rsidRPr="009D1ACE">
        <w:rPr>
          <w:rStyle w:val="libFootnoteBoldChar"/>
          <w:rtl/>
        </w:rPr>
        <w:t>لسان العرب</w:t>
      </w:r>
      <w:r w:rsidRPr="00132E65">
        <w:rPr>
          <w:rtl/>
        </w:rPr>
        <w:t xml:space="preserve"> ، ج 10 ، ص 396 ( برك )</w:t>
      </w:r>
      <w:r>
        <w:rPr>
          <w:rtl/>
        </w:rPr>
        <w:t>.</w:t>
      </w:r>
    </w:p>
    <w:p w:rsidR="000C39D1" w:rsidRPr="00132E65" w:rsidRDefault="000C39D1" w:rsidP="000C39D1">
      <w:pPr>
        <w:pStyle w:val="libFootnote0"/>
        <w:rPr>
          <w:rtl/>
          <w:lang w:bidi="fa-IR"/>
        </w:rPr>
      </w:pPr>
      <w:r>
        <w:rPr>
          <w:rtl/>
        </w:rPr>
        <w:t>(5).</w:t>
      </w:r>
      <w:r w:rsidRPr="00132E65">
        <w:rPr>
          <w:rtl/>
        </w:rPr>
        <w:t xml:space="preserve"> جِرانُ البعير : مقدَّم عنقه من مَذبَحه إلى منحره ، والجمع : جُرُن. وكذلك من الفرس. </w:t>
      </w:r>
      <w:r w:rsidRPr="007B7388">
        <w:rPr>
          <w:rtl/>
        </w:rPr>
        <w:t>الصحاح</w:t>
      </w:r>
      <w:r w:rsidRPr="00132E65">
        <w:rPr>
          <w:rtl/>
        </w:rPr>
        <w:t xml:space="preserve"> ، ج 5 ، ص 209 ( جرن )</w:t>
      </w:r>
      <w:r>
        <w:rPr>
          <w:rtl/>
        </w:rPr>
        <w:t>.</w:t>
      </w:r>
    </w:p>
    <w:p w:rsidR="000C39D1" w:rsidRPr="00132E65" w:rsidRDefault="000C39D1" w:rsidP="00FE6B84">
      <w:pPr>
        <w:pStyle w:val="libFootnote0"/>
        <w:rPr>
          <w:rtl/>
          <w:lang w:bidi="fa-IR"/>
        </w:rPr>
      </w:pPr>
      <w:r>
        <w:rPr>
          <w:rtl/>
        </w:rPr>
        <w:t>(6).</w:t>
      </w:r>
      <w:r w:rsidRPr="00132E65">
        <w:rPr>
          <w:rtl/>
        </w:rPr>
        <w:t xml:space="preserve"> « تَرْغُو » ، أي تصوّت وتضجّ ؛ من الرُغاء ، وهو صوت ذوات الخفّ ، أو صوت الإبل. راجع : </w:t>
      </w:r>
      <w:r w:rsidRPr="009D1ACE">
        <w:rPr>
          <w:rStyle w:val="libFootnoteBoldChar"/>
          <w:rtl/>
        </w:rPr>
        <w:t>لسان العرب</w:t>
      </w:r>
      <w:r w:rsidRPr="00132E65">
        <w:rPr>
          <w:rtl/>
        </w:rPr>
        <w:t xml:space="preserve"> ، ج 14 ، ص 329 ( رغا )</w:t>
      </w:r>
      <w:r>
        <w:rPr>
          <w:rtl/>
        </w:rPr>
        <w:t>.</w:t>
      </w:r>
      <w:r w:rsidR="00FE6B84">
        <w:rPr>
          <w:rFonts w:hint="cs"/>
          <w:rtl/>
        </w:rPr>
        <w:t xml:space="preserve">                               </w:t>
      </w:r>
      <w:r>
        <w:rPr>
          <w:rtl/>
        </w:rPr>
        <w:t>(7).</w:t>
      </w:r>
      <w:r w:rsidRPr="00132E65">
        <w:rPr>
          <w:rtl/>
        </w:rPr>
        <w:t xml:space="preserve"> في « ض » </w:t>
      </w:r>
      <w:r>
        <w:rPr>
          <w:rtl/>
        </w:rPr>
        <w:t xml:space="preserve">: - </w:t>
      </w:r>
      <w:r w:rsidRPr="00132E65">
        <w:rPr>
          <w:rtl/>
        </w:rPr>
        <w:t>« أدركوها » الثاني.</w:t>
      </w:r>
    </w:p>
    <w:p w:rsidR="000C39D1" w:rsidRPr="00132E65" w:rsidRDefault="000C39D1" w:rsidP="000C39D1">
      <w:pPr>
        <w:pStyle w:val="libFootnote0"/>
        <w:rPr>
          <w:rtl/>
          <w:lang w:bidi="fa-IR"/>
        </w:rPr>
      </w:pPr>
      <w:r>
        <w:rPr>
          <w:rtl/>
        </w:rPr>
        <w:t>(8).</w:t>
      </w:r>
      <w:r w:rsidRPr="00132E65">
        <w:rPr>
          <w:rtl/>
        </w:rPr>
        <w:t xml:space="preserve"> في « ف » : « أن يعملوا »</w:t>
      </w:r>
      <w:r>
        <w:rPr>
          <w:rtl/>
        </w:rPr>
        <w:t>.</w:t>
      </w:r>
    </w:p>
    <w:p w:rsidR="000C39D1" w:rsidRPr="00132E65" w:rsidRDefault="000C39D1" w:rsidP="000C39D1">
      <w:pPr>
        <w:pStyle w:val="libFootnote0"/>
        <w:rPr>
          <w:rtl/>
          <w:lang w:bidi="fa-IR"/>
        </w:rPr>
      </w:pPr>
      <w:r>
        <w:rPr>
          <w:rtl/>
        </w:rPr>
        <w:t>(9).</w:t>
      </w:r>
      <w:r w:rsidR="00520630">
        <w:rPr>
          <w:rtl/>
        </w:rPr>
        <w:t xml:space="preserve"> قال العل</w:t>
      </w:r>
      <w:r w:rsidR="00520630">
        <w:rPr>
          <w:rFonts w:hint="cs"/>
          <w:rtl/>
        </w:rPr>
        <w:t>ّ</w:t>
      </w:r>
      <w:r w:rsidR="00520630">
        <w:rPr>
          <w:rtl/>
        </w:rPr>
        <w:t>ا</w:t>
      </w:r>
      <w:r w:rsidRPr="00132E65">
        <w:rPr>
          <w:rtl/>
        </w:rPr>
        <w:t>مة المازندراني : « قوله : أو يروها ، يحتمل الجمع. والترديد من الراوي »</w:t>
      </w:r>
      <w:r>
        <w:rPr>
          <w:rtl/>
        </w:rPr>
        <w:t>.</w:t>
      </w:r>
      <w:r w:rsidR="00520630">
        <w:rPr>
          <w:rtl/>
        </w:rPr>
        <w:t xml:space="preserve"> وقال العل</w:t>
      </w:r>
      <w:r w:rsidR="00520630">
        <w:rPr>
          <w:rFonts w:hint="cs"/>
          <w:rtl/>
        </w:rPr>
        <w:t>ّ</w:t>
      </w:r>
      <w:r w:rsidR="00520630">
        <w:rPr>
          <w:rtl/>
        </w:rPr>
        <w:t>ا</w:t>
      </w:r>
      <w:r w:rsidRPr="00132E65">
        <w:rPr>
          <w:rtl/>
        </w:rPr>
        <w:t xml:space="preserve">مة المجلسي : « قوله </w:t>
      </w:r>
      <w:r w:rsidRPr="00807948">
        <w:rPr>
          <w:rStyle w:val="libFootnoteAlaemChar"/>
          <w:rtl/>
        </w:rPr>
        <w:t>عليه‌السلام</w:t>
      </w:r>
      <w:r w:rsidRPr="00132E65">
        <w:rPr>
          <w:rtl/>
        </w:rPr>
        <w:t xml:space="preserve"> : أو يروها ، للترديد ، وشكّ الراوي بعيد »</w:t>
      </w:r>
      <w:r>
        <w:rPr>
          <w:rtl/>
        </w:rPr>
        <w:t>.</w:t>
      </w:r>
    </w:p>
    <w:p w:rsidR="000C39D1" w:rsidRPr="00132E65" w:rsidRDefault="000C39D1" w:rsidP="000C39D1">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353 ، ح 15 ، عن أحمد بن الحسن بن عليّ بن فضّال. </w:t>
      </w:r>
      <w:r w:rsidRPr="007B7388">
        <w:rPr>
          <w:rtl/>
        </w:rPr>
        <w:t>الاختصاص</w:t>
      </w:r>
      <w:r w:rsidRPr="00132E65">
        <w:rPr>
          <w:rtl/>
        </w:rPr>
        <w:t xml:space="preserve"> ، ص 300 ، عن </w:t>
      </w:r>
      <w:r w:rsidR="00807948">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CE3618">
        <w:rPr>
          <w:rtl/>
        </w:rPr>
        <w:t>1271</w:t>
      </w:r>
      <w:r w:rsidRPr="004325D8">
        <w:rPr>
          <w:rStyle w:val="libBold2Char"/>
          <w:rtl/>
        </w:rPr>
        <w:t xml:space="preserve"> / 3.</w:t>
      </w:r>
      <w:r w:rsidRPr="00132E65">
        <w:rPr>
          <w:rtl/>
          <w:lang w:bidi="fa-IR"/>
        </w:rPr>
        <w:t xml:space="preserve"> عَلِيُّ بْنُ إِبْرَاهِيمَ بْنِ هَاشِمٍ ، عَنْ أَبِيهِ ، عَنْ مُحَمَّدِ بْنِ عِيسى </w:t>
      </w:r>
      <w:r>
        <w:rPr>
          <w:rStyle w:val="libFootnotenumChar"/>
          <w:rtl/>
        </w:rPr>
        <w:t>(1)</w:t>
      </w:r>
      <w:r w:rsidRPr="00132E65">
        <w:rPr>
          <w:rtl/>
          <w:lang w:bidi="fa-IR"/>
        </w:rPr>
        <w:t xml:space="preserve"> ، عَنْ حَفْصِ بْنِ الْبَخْتَرِيِّ ، عَمَّنْ ذَكَرَهُ :</w:t>
      </w:r>
    </w:p>
    <w:p w:rsidR="000C39D1" w:rsidRDefault="000C39D1" w:rsidP="003915A6">
      <w:pPr>
        <w:pStyle w:val="libNormal"/>
        <w:rPr>
          <w:rtl/>
          <w:lang w:bidi="fa-IR"/>
        </w:rPr>
      </w:pPr>
      <w:r w:rsidRPr="00132E65">
        <w:rPr>
          <w:rtl/>
          <w:lang w:bidi="fa-IR"/>
        </w:rPr>
        <w:t xml:space="preserve">عَنْ أَبِي جَعْفَرٍ </w:t>
      </w:r>
      <w:r w:rsidR="003915A6" w:rsidRPr="00071CF9">
        <w:rPr>
          <w:rStyle w:val="libAlaemChar"/>
          <w:rtl/>
        </w:rPr>
        <w:t>عليه‌السلام</w:t>
      </w:r>
      <w:r w:rsidR="003915A6" w:rsidRPr="00132E65">
        <w:rPr>
          <w:rtl/>
          <w:lang w:bidi="fa-IR"/>
        </w:rPr>
        <w:t xml:space="preserve"> </w:t>
      </w:r>
      <w:r w:rsidRPr="00132E65">
        <w:rPr>
          <w:rtl/>
          <w:lang w:bidi="fa-IR"/>
        </w:rPr>
        <w:t xml:space="preserve">، قَالَ : « لَمَّا مَاتَ أَبِي عَلِيُّ بْنُ الْحُسَيْنِ </w:t>
      </w:r>
      <w:r w:rsidRPr="00071CF9">
        <w:rPr>
          <w:rStyle w:val="libAlaemChar"/>
          <w:rtl/>
        </w:rPr>
        <w:t>عليه‌السلام</w:t>
      </w:r>
      <w:r w:rsidRPr="00132E65">
        <w:rPr>
          <w:rtl/>
          <w:lang w:bidi="fa-IR"/>
        </w:rPr>
        <w:t xml:space="preserve"> ، جَاءَتْ نَاقَةٌ لَهُ مِنَ الرَّعْيِ حَتّى ضَرَبَتْ بِجِرَانِهَا عَلَى الْقَبْرِ ، و</w:t>
      </w:r>
      <w:r w:rsidR="00F83122">
        <w:rPr>
          <w:rFonts w:hint="cs"/>
          <w:rtl/>
          <w:lang w:bidi="fa-IR"/>
        </w:rPr>
        <w:t xml:space="preserve">َ </w:t>
      </w:r>
      <w:r w:rsidRPr="00132E65">
        <w:rPr>
          <w:rtl/>
          <w:lang w:bidi="fa-IR"/>
        </w:rPr>
        <w:t xml:space="preserve">تَمَرَّغَتْ </w:t>
      </w:r>
      <w:r>
        <w:rPr>
          <w:rStyle w:val="libFootnotenumChar"/>
          <w:rtl/>
        </w:rPr>
        <w:t>(2)</w:t>
      </w:r>
      <w:r w:rsidRPr="00132E65">
        <w:rPr>
          <w:rtl/>
          <w:lang w:bidi="fa-IR"/>
        </w:rPr>
        <w:t xml:space="preserve"> عَلَيْهِ ، فَأَمَرْتُ بِهَا ، فَرُدَّتْ إِلى مَرْعَاهَا ؛ و</w:t>
      </w:r>
      <w:r w:rsidR="002F01C5">
        <w:rPr>
          <w:rFonts w:hint="cs"/>
          <w:rtl/>
          <w:lang w:bidi="fa-IR"/>
        </w:rPr>
        <w:t xml:space="preserve">َ </w:t>
      </w:r>
      <w:r w:rsidRPr="00132E65">
        <w:rPr>
          <w:rtl/>
          <w:lang w:bidi="fa-IR"/>
        </w:rPr>
        <w:t xml:space="preserve">إِنَّ أَبِي </w:t>
      </w:r>
      <w:r w:rsidR="003915A6" w:rsidRPr="00071CF9">
        <w:rPr>
          <w:rStyle w:val="libAlaemChar"/>
          <w:rtl/>
        </w:rPr>
        <w:t>عليه‌السلام</w:t>
      </w:r>
      <w:r w:rsidR="003915A6" w:rsidRPr="00132E65">
        <w:rPr>
          <w:rtl/>
          <w:lang w:bidi="fa-IR"/>
        </w:rPr>
        <w:t xml:space="preserve"> </w:t>
      </w:r>
      <w:r w:rsidRPr="00132E65">
        <w:rPr>
          <w:rtl/>
          <w:lang w:bidi="fa-IR"/>
        </w:rPr>
        <w:t>كَانَ يَحُجُّ عَلَيْهَا و</w:t>
      </w:r>
      <w:r w:rsidR="002F01C5">
        <w:rPr>
          <w:rFonts w:hint="cs"/>
          <w:rtl/>
          <w:lang w:bidi="fa-IR"/>
        </w:rPr>
        <w:t xml:space="preserve">َ </w:t>
      </w:r>
      <w:r w:rsidRPr="00132E65">
        <w:rPr>
          <w:rtl/>
          <w:lang w:bidi="fa-IR"/>
        </w:rPr>
        <w:t>يَعْتَمِرُ و</w:t>
      </w:r>
      <w:r w:rsidR="002F01C5">
        <w:rPr>
          <w:rFonts w:hint="cs"/>
          <w:rtl/>
          <w:lang w:bidi="fa-IR"/>
        </w:rPr>
        <w:t xml:space="preserve">َ </w:t>
      </w:r>
      <w:r w:rsidRPr="00132E65">
        <w:rPr>
          <w:rtl/>
          <w:lang w:bidi="fa-IR"/>
        </w:rPr>
        <w:t>لَمْ يَقْرَعْهَا قَرْعَةً قَطُّ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ابْنُ بَابَوَيْهِ. </w:t>
      </w:r>
      <w:r>
        <w:rPr>
          <w:rStyle w:val="libFootnotenumChar"/>
          <w:rtl/>
        </w:rPr>
        <w:t>(4)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2F01C5" w:rsidP="000C39D1">
      <w:pPr>
        <w:pStyle w:val="libFootnote0"/>
        <w:rPr>
          <w:rtl/>
          <w:lang w:bidi="fa-IR"/>
        </w:rPr>
      </w:pPr>
      <w:r>
        <w:rPr>
          <w:rFonts w:hint="cs"/>
          <w:rtl/>
        </w:rPr>
        <w:t xml:space="preserve">= </w:t>
      </w:r>
      <w:r w:rsidR="000C39D1" w:rsidRPr="00132E65">
        <w:rPr>
          <w:rtl/>
        </w:rPr>
        <w:t xml:space="preserve">أحمد بن محمّد بن عيسى وابن فضّال ، عن ابن بكير </w:t>
      </w:r>
      <w:r w:rsidR="004424AD">
        <w:rPr>
          <w:rFonts w:hint="cs"/>
          <w:rtl/>
        </w:rPr>
        <w:t>.</w:t>
      </w:r>
      <w:r w:rsidR="000C39D1" w:rsidRPr="009D1ACE">
        <w:rPr>
          <w:rStyle w:val="libFootnoteBoldChar"/>
          <w:rtl/>
        </w:rPr>
        <w:t>الوافي</w:t>
      </w:r>
      <w:r w:rsidR="000C39D1" w:rsidRPr="00132E65">
        <w:rPr>
          <w:rtl/>
        </w:rPr>
        <w:t xml:space="preserve"> ، ج 3 ، ص 763 ، ح 1386 ؛ </w:t>
      </w:r>
      <w:r w:rsidR="000C39D1" w:rsidRPr="007B7388">
        <w:rPr>
          <w:rtl/>
        </w:rPr>
        <w:t>الوسائل</w:t>
      </w:r>
      <w:r w:rsidR="000C39D1" w:rsidRPr="00132E65">
        <w:rPr>
          <w:rtl/>
        </w:rPr>
        <w:t xml:space="preserve"> ، ج 11 ، ص 125 ، ح 14420 ، وفيه إلى قوله : « ما قرعها قرعة قطّ »</w:t>
      </w:r>
      <w:r w:rsidR="000C39D1">
        <w:rPr>
          <w:rtl/>
        </w:rPr>
        <w:t>.</w:t>
      </w:r>
    </w:p>
    <w:p w:rsidR="000C39D1" w:rsidRPr="00132E65" w:rsidRDefault="000C39D1" w:rsidP="000C39D1">
      <w:pPr>
        <w:pStyle w:val="libFootnote0"/>
        <w:rPr>
          <w:rtl/>
          <w:lang w:bidi="fa-IR"/>
        </w:rPr>
      </w:pPr>
      <w:r>
        <w:rPr>
          <w:rtl/>
        </w:rPr>
        <w:t>(1).</w:t>
      </w:r>
      <w:r w:rsidRPr="00132E65">
        <w:rPr>
          <w:rtl/>
        </w:rPr>
        <w:t xml:space="preserve"> لم نجد رواية محمّد بن عيسى عن حفص بن البختري في غير هذا المورد ، كما أنّه لم يثبت رواية عليّ بن‌إبراهيم عن محمّد بن عيسى بواسطة أبيه ، وقد أكثر عليّ بن إبراهيم عن أبيه ، عن ابن أبي عمير من الرواية عن حفص بن البختري. والخبر رواه الصفّار في </w:t>
      </w:r>
      <w:r w:rsidRPr="007A1104">
        <w:rPr>
          <w:rStyle w:val="libFootnoteBoldChar"/>
          <w:rtl/>
        </w:rPr>
        <w:t>بصائر الدرجات</w:t>
      </w:r>
      <w:r w:rsidRPr="00132E65">
        <w:rPr>
          <w:rtl/>
        </w:rPr>
        <w:t xml:space="preserve"> ، ص 353 ، ح 16 ، بطريقين عن ابن أبي عمير عن حفص بن البختري. فالظاهر أنّ سندنا هذا لا يخلو من خلل.</w:t>
      </w:r>
    </w:p>
    <w:p w:rsidR="000C39D1" w:rsidRPr="00132E65" w:rsidRDefault="000C39D1" w:rsidP="000C39D1">
      <w:pPr>
        <w:pStyle w:val="libFootnote0"/>
        <w:rPr>
          <w:rtl/>
          <w:lang w:bidi="fa-IR"/>
        </w:rPr>
      </w:pPr>
      <w:r>
        <w:rPr>
          <w:rtl/>
        </w:rPr>
        <w:t>(2).</w:t>
      </w:r>
      <w:r w:rsidRPr="00132E65">
        <w:rPr>
          <w:rtl/>
        </w:rPr>
        <w:t xml:space="preserve"> « تمرّغت » ، أي تقلّبت ؛ من التمرّغ ، وهو التقلّب في التراب. راجع : </w:t>
      </w:r>
      <w:r w:rsidRPr="00CE3618">
        <w:rPr>
          <w:rtl/>
        </w:rPr>
        <w:t>النهاية</w:t>
      </w:r>
      <w:r w:rsidRPr="00132E65">
        <w:rPr>
          <w:rtl/>
        </w:rPr>
        <w:t xml:space="preserve"> ، ج 4 ، ص 320 ( مرغ )</w:t>
      </w:r>
      <w:r>
        <w:rPr>
          <w:rtl/>
        </w:rPr>
        <w:t>.</w:t>
      </w:r>
    </w:p>
    <w:p w:rsidR="000C39D1" w:rsidRPr="00132E65" w:rsidRDefault="000C39D1" w:rsidP="000C39D1">
      <w:pPr>
        <w:pStyle w:val="libFootnote0"/>
        <w:rPr>
          <w:rtl/>
          <w:lang w:bidi="fa-IR"/>
        </w:rPr>
      </w:pPr>
      <w:r>
        <w:rPr>
          <w:rtl/>
        </w:rPr>
        <w:t>(3).</w:t>
      </w:r>
      <w:r w:rsidRPr="00132E65">
        <w:rPr>
          <w:rtl/>
        </w:rPr>
        <w:t xml:space="preserve"> </w:t>
      </w:r>
      <w:r w:rsidRPr="007A1104">
        <w:rPr>
          <w:rStyle w:val="libFootnoteBoldChar"/>
          <w:rtl/>
        </w:rPr>
        <w:t>بصائر الدرجات</w:t>
      </w:r>
      <w:r w:rsidRPr="00132E65">
        <w:rPr>
          <w:rtl/>
        </w:rPr>
        <w:t xml:space="preserve"> ، ص 353 ، ح 16 ، عن أحمد بن محمّد ، عن البرقي ، عن ابن عمير وعن إبراهيم بن هاشم ، عن ابن عمير ، عن حفص بن البختري ، عمّن ذكره. </w:t>
      </w:r>
      <w:r w:rsidRPr="00CE3618">
        <w:rPr>
          <w:rtl/>
        </w:rPr>
        <w:t>الاختصاص</w:t>
      </w:r>
      <w:r w:rsidRPr="00132E65">
        <w:rPr>
          <w:rtl/>
        </w:rPr>
        <w:t xml:space="preserve"> ، ص 301 ، بسنده عن حفص بن البختري ، وفيهما مع اختلاف يسير </w:t>
      </w:r>
      <w:r w:rsidR="004424AD">
        <w:rPr>
          <w:rFonts w:hint="cs"/>
          <w:rtl/>
        </w:rPr>
        <w:t>.</w:t>
      </w:r>
      <w:r w:rsidRPr="009D1ACE">
        <w:rPr>
          <w:rStyle w:val="libFootnoteBoldChar"/>
          <w:rtl/>
        </w:rPr>
        <w:t>الوافي</w:t>
      </w:r>
      <w:r w:rsidRPr="00132E65">
        <w:rPr>
          <w:rtl/>
        </w:rPr>
        <w:t xml:space="preserve"> ، ج 3 ، ص 764 ، ح 1387.</w:t>
      </w:r>
    </w:p>
    <w:p w:rsidR="000C39D1" w:rsidRPr="00132E65" w:rsidRDefault="000C39D1" w:rsidP="000C39D1">
      <w:pPr>
        <w:pStyle w:val="libFootnote0"/>
        <w:rPr>
          <w:rtl/>
          <w:lang w:bidi="fa-IR"/>
        </w:rPr>
      </w:pPr>
      <w:r>
        <w:rPr>
          <w:rtl/>
        </w:rPr>
        <w:t>(4).</w:t>
      </w:r>
      <w:r w:rsidRPr="00132E65">
        <w:rPr>
          <w:rtl/>
        </w:rPr>
        <w:t xml:space="preserve"> كلمة « ابن بابويه » هاهنا غير</w:t>
      </w:r>
      <w:r w:rsidR="008E18D4">
        <w:rPr>
          <w:rtl/>
        </w:rPr>
        <w:t xml:space="preserve"> واضحة وغير معهودة ؛ اللهمّ إل</w:t>
      </w:r>
      <w:r w:rsidR="008E18D4">
        <w:rPr>
          <w:rFonts w:hint="cs"/>
          <w:rtl/>
        </w:rPr>
        <w:t>ّ</w:t>
      </w:r>
      <w:r w:rsidR="008E18D4">
        <w:rPr>
          <w:rtl/>
        </w:rPr>
        <w:t>ا</w:t>
      </w:r>
      <w:r>
        <w:rPr>
          <w:rFonts w:hint="cs"/>
          <w:rtl/>
        </w:rPr>
        <w:t xml:space="preserve"> </w:t>
      </w:r>
      <w:r w:rsidRPr="00132E65">
        <w:rPr>
          <w:rtl/>
        </w:rPr>
        <w:t>أن يؤوّل بوجوه ، فنقول : إنّها إمّا متعلّقة بالحديث السابق ، وإمّا متعلّقة بالحديث الآتي.</w:t>
      </w:r>
    </w:p>
    <w:p w:rsidR="000C39D1" w:rsidRPr="00276B8D" w:rsidRDefault="000C39D1" w:rsidP="008E18D4">
      <w:pPr>
        <w:pStyle w:val="libFootnote0"/>
        <w:rPr>
          <w:rtl/>
          <w:lang w:bidi="fa-IR"/>
        </w:rPr>
      </w:pPr>
      <w:r w:rsidRPr="00276B8D">
        <w:rPr>
          <w:rtl/>
        </w:rPr>
        <w:t>وعلى الأوّل ففيه وجهان :</w:t>
      </w:r>
    </w:p>
    <w:p w:rsidR="000C39D1" w:rsidRPr="00276B8D" w:rsidRDefault="000C39D1" w:rsidP="008E18D4">
      <w:pPr>
        <w:pStyle w:val="libFootnote0"/>
        <w:rPr>
          <w:rtl/>
        </w:rPr>
      </w:pPr>
      <w:r w:rsidRPr="00276B8D">
        <w:rPr>
          <w:rtl/>
        </w:rPr>
        <w:t xml:space="preserve">الوجه الأوّل : ما احتمله الفيض من كونه : « أين أبويه » ، حيث قال : « وعلى تقدير تعلّقه بالحديث السابق يحتمل أن يكون « أين » بمعنى المكان ، </w:t>
      </w:r>
      <w:r>
        <w:rPr>
          <w:rtl/>
        </w:rPr>
        <w:t>و «</w:t>
      </w:r>
      <w:r w:rsidRPr="00276B8D">
        <w:rPr>
          <w:rtl/>
        </w:rPr>
        <w:t xml:space="preserve"> أبويه » بمعنى والديه ؛ يعني أنّى لأحد بمثل أبويه ، فيكون المراد بها أنّه لا يوجد مثل أبويه في الشرف ، ولهذا كان كذلك ».</w:t>
      </w:r>
    </w:p>
    <w:p w:rsidR="000C39D1" w:rsidRPr="00276B8D" w:rsidRDefault="000C39D1" w:rsidP="00563B89">
      <w:pPr>
        <w:pStyle w:val="libFootnote0"/>
        <w:rPr>
          <w:rtl/>
        </w:rPr>
      </w:pPr>
      <w:r w:rsidRPr="00276B8D">
        <w:rPr>
          <w:rtl/>
        </w:rPr>
        <w:t xml:space="preserve">الوجه الثاني : كون الكلمة « ابن بانُوْيه » على ما نقله المجلسي عن بعض الأفاضل من معاصريه أنّه قال : « ابن بانويه </w:t>
      </w:r>
      <w:r>
        <w:rPr>
          <w:rtl/>
        </w:rPr>
        <w:t>-</w:t>
      </w:r>
      <w:r w:rsidRPr="00276B8D">
        <w:rPr>
          <w:rtl/>
        </w:rPr>
        <w:t xml:space="preserve"> بضمّ النون وسكون الواو </w:t>
      </w:r>
      <w:r>
        <w:rPr>
          <w:rtl/>
        </w:rPr>
        <w:t>-</w:t>
      </w:r>
      <w:r w:rsidRPr="00276B8D">
        <w:rPr>
          <w:rtl/>
        </w:rPr>
        <w:t xml:space="preserve"> منصوب بالاختصاص ، أو مرفوع فاعل « ويقرعها » ، وبانويه لقب سلامة ».وعلى الثاني أيضاً ففيه وجهان :</w:t>
      </w:r>
    </w:p>
    <w:p w:rsidR="000C39D1" w:rsidRPr="00727B55" w:rsidRDefault="000C39D1" w:rsidP="008E18D4">
      <w:pPr>
        <w:pStyle w:val="libFootnote0"/>
        <w:rPr>
          <w:rtl/>
          <w:lang w:bidi="ar-IQ"/>
        </w:rPr>
      </w:pPr>
      <w:r w:rsidRPr="00276B8D">
        <w:rPr>
          <w:rtl/>
        </w:rPr>
        <w:t xml:space="preserve">الوجه الأوّل : المراد به عليّ بن الحسين والد الصدوق ؛ لكونه معاصراً للمصنّف ، لا الصدوق ؛ لتأخّره عنه ، فهو إشارة إلى كون هذا الحديث في كتاب ابن بابويه ، كما قال المازندراني ، واحتمله الفيض على فرض صحّة </w:t>
      </w:r>
      <w:r>
        <w:rPr>
          <w:rFonts w:hint="cs"/>
          <w:rtl/>
          <w:lang w:bidi="ar-IQ"/>
        </w:rPr>
        <w:t>ما</w:t>
      </w:r>
      <w:r w:rsidR="00563B89">
        <w:rPr>
          <w:rFonts w:hint="cs"/>
          <w:rtl/>
          <w:lang w:bidi="ar-IQ"/>
        </w:rPr>
        <w:t xml:space="preserve"> =</w:t>
      </w:r>
    </w:p>
    <w:p w:rsidR="000C39D1" w:rsidRDefault="000C39D1" w:rsidP="000C39D1">
      <w:pPr>
        <w:pStyle w:val="libNormal"/>
        <w:rPr>
          <w:rtl/>
        </w:rPr>
      </w:pPr>
      <w:r>
        <w:rPr>
          <w:rtl/>
        </w:rPr>
        <w:br w:type="page"/>
      </w:r>
    </w:p>
    <w:p w:rsidR="000C39D1" w:rsidRPr="00132E65" w:rsidRDefault="000C39D1" w:rsidP="000C39D1">
      <w:pPr>
        <w:pStyle w:val="libNormal"/>
        <w:rPr>
          <w:rtl/>
          <w:lang w:bidi="fa-IR"/>
        </w:rPr>
      </w:pPr>
      <w:r w:rsidRPr="00CE3618">
        <w:rPr>
          <w:rtl/>
        </w:rPr>
        <w:t>1272</w:t>
      </w:r>
      <w:r w:rsidRPr="004325D8">
        <w:rPr>
          <w:rStyle w:val="libBold2Char"/>
          <w:rtl/>
        </w:rPr>
        <w:t xml:space="preserve"> / 4.</w:t>
      </w:r>
      <w:r w:rsidRPr="00132E65">
        <w:rPr>
          <w:rtl/>
          <w:lang w:bidi="fa-IR"/>
        </w:rPr>
        <w:t xml:space="preserve"> الْحُسَيْنُ بْنُ مُحَمَّدِ بْنِ عَامِرٍ ، عَنْ أَحْمَدَ بْنِ إِسْحَاقَ بْنِ سَعْدٍ ، عَنْ سَعْدَانَ بْنِ مُسْلِمٍ ، عَنْ أَبِي عُمَارَةَ ، عَنْ رَجُلٍ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لَمَّا كَانَ فِي اللَّيْلَةِ الَّتِي و</w:t>
      </w:r>
      <w:r w:rsidR="005D3F2E">
        <w:rPr>
          <w:rFonts w:hint="cs"/>
          <w:rtl/>
          <w:lang w:bidi="fa-IR"/>
        </w:rPr>
        <w:t>ُ</w:t>
      </w:r>
      <w:r w:rsidRPr="00132E65">
        <w:rPr>
          <w:rtl/>
          <w:lang w:bidi="fa-IR"/>
        </w:rPr>
        <w:t xml:space="preserve">عِدَ فِيهَا عَلِيُّ بْنُ الْحُسَيْنِ </w:t>
      </w:r>
      <w:r w:rsidRPr="00071CF9">
        <w:rPr>
          <w:rStyle w:val="libAlaemChar"/>
          <w:rtl/>
        </w:rPr>
        <w:t>عليهما‌السلام</w:t>
      </w:r>
      <w:r w:rsidRPr="00132E65">
        <w:rPr>
          <w:rtl/>
          <w:lang w:bidi="fa-IR"/>
        </w:rPr>
        <w:t xml:space="preserve"> ، قَالَ لِمُحَمَّدٍ </w:t>
      </w:r>
      <w:r w:rsidRPr="00071CF9">
        <w:rPr>
          <w:rStyle w:val="libAlaemChar"/>
          <w:rtl/>
        </w:rPr>
        <w:t>عليه‌السلام</w:t>
      </w:r>
      <w:r w:rsidRPr="00132E65">
        <w:rPr>
          <w:rtl/>
          <w:lang w:bidi="fa-IR"/>
        </w:rPr>
        <w:t xml:space="preserve"> : يَا بُنَيَّ ، أَبْغِنِي </w:t>
      </w:r>
      <w:r>
        <w:rPr>
          <w:rStyle w:val="libFootnotenumChar"/>
          <w:rtl/>
        </w:rPr>
        <w:t>(1)</w:t>
      </w:r>
      <w:r w:rsidRPr="00132E65">
        <w:rPr>
          <w:rtl/>
          <w:lang w:bidi="fa-IR"/>
        </w:rPr>
        <w:t xml:space="preserve"> و</w:t>
      </w:r>
      <w:r w:rsidR="005D3F2E">
        <w:rPr>
          <w:rFonts w:hint="cs"/>
          <w:rtl/>
          <w:lang w:bidi="fa-IR"/>
        </w:rPr>
        <w:t>َ</w:t>
      </w:r>
      <w:r w:rsidRPr="00132E65">
        <w:rPr>
          <w:rtl/>
          <w:lang w:bidi="fa-IR"/>
        </w:rPr>
        <w:t xml:space="preserve">ضُوءاً </w:t>
      </w:r>
      <w:r>
        <w:rPr>
          <w:rStyle w:val="libFootnotenumChar"/>
          <w:rtl/>
        </w:rPr>
        <w:t>(2)</w:t>
      </w:r>
      <w:r w:rsidRPr="00132E65">
        <w:rPr>
          <w:rtl/>
          <w:lang w:bidi="fa-IR"/>
        </w:rPr>
        <w:t xml:space="preserve"> ، قَالَ </w:t>
      </w:r>
      <w:r>
        <w:rPr>
          <w:rStyle w:val="libFootnotenumChar"/>
          <w:rtl/>
        </w:rPr>
        <w:t>(3)</w:t>
      </w:r>
      <w:r w:rsidRPr="00132E65">
        <w:rPr>
          <w:rtl/>
          <w:lang w:bidi="fa-IR"/>
        </w:rPr>
        <w:t xml:space="preserve"> : فَقُمْتُ فَجِئْتُهُ </w:t>
      </w:r>
      <w:r>
        <w:rPr>
          <w:rStyle w:val="libFootnotenumChar"/>
          <w:rtl/>
        </w:rPr>
        <w:t>(4)</w:t>
      </w:r>
      <w:r w:rsidRPr="00132E65">
        <w:rPr>
          <w:rtl/>
          <w:lang w:bidi="fa-IR"/>
        </w:rPr>
        <w:t xml:space="preserve"> بِوَضُوءٍ ، قَالَ : لَا</w:t>
      </w:r>
      <w:r>
        <w:rPr>
          <w:rFonts w:hint="cs"/>
          <w:rtl/>
          <w:lang w:bidi="fa-IR"/>
        </w:rPr>
        <w:t xml:space="preserve"> </w:t>
      </w:r>
      <w:r w:rsidRPr="00132E65">
        <w:rPr>
          <w:rtl/>
          <w:lang w:bidi="fa-IR"/>
        </w:rPr>
        <w:t>أَبْغِي هذَا ؛ فَإِنَّ فِيهِ شَيْئاً مَيِّتاً ، قَالَ : فَخَرَجْتُ فَجِئْتُ بِالْمِصْبَاحِ ، فَإِذَا فِيهِ فَأْرَةٌ مَيْتَةٌ ، فَجِئْتُهُ بِوَضُوءٍ غَيْرِهِ ، فَقَالَ : يَا بُنَيَّ ، هذِهِ اللَّيْلَةُ الَّتِي و</w:t>
      </w:r>
      <w:r w:rsidR="005D3F2E">
        <w:rPr>
          <w:rFonts w:hint="cs"/>
          <w:rtl/>
          <w:lang w:bidi="fa-IR"/>
        </w:rPr>
        <w:t>ُ</w:t>
      </w:r>
      <w:r w:rsidRPr="00132E65">
        <w:rPr>
          <w:rtl/>
          <w:lang w:bidi="fa-IR"/>
        </w:rPr>
        <w:t xml:space="preserve">عِدْتُهَا ، فَأَوْصى بِنَاقَتِهِ أَنْ يُحْظَرَ </w:t>
      </w:r>
      <w:r>
        <w:rPr>
          <w:rStyle w:val="libFootnotenumChar"/>
          <w:rtl/>
        </w:rPr>
        <w:t>(5)</w:t>
      </w:r>
      <w:r w:rsidRPr="00132E65">
        <w:rPr>
          <w:rtl/>
          <w:lang w:bidi="fa-IR"/>
        </w:rPr>
        <w:t xml:space="preserve"> لَهَا حِظَارٌ </w:t>
      </w:r>
      <w:r>
        <w:rPr>
          <w:rStyle w:val="libFootnotenumChar"/>
          <w:rtl/>
        </w:rPr>
        <w:t>(6)</w:t>
      </w:r>
      <w:r w:rsidRPr="00132E65">
        <w:rPr>
          <w:rtl/>
          <w:lang w:bidi="fa-IR"/>
        </w:rPr>
        <w:t xml:space="preserve"> ، و</w:t>
      </w:r>
      <w:r w:rsidR="005D3F2E">
        <w:rPr>
          <w:rFonts w:hint="cs"/>
          <w:rtl/>
          <w:lang w:bidi="fa-IR"/>
        </w:rPr>
        <w:t xml:space="preserve">َ </w:t>
      </w:r>
      <w:r w:rsidRPr="00132E65">
        <w:rPr>
          <w:rtl/>
          <w:lang w:bidi="fa-IR"/>
        </w:rPr>
        <w:t>أَنْ يُقَامَ لَهَا عَلَفٌ ، فَجُعِلَتْ فِيهِ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Default="005D3F2E" w:rsidP="005D3F2E">
      <w:pPr>
        <w:pStyle w:val="libFootnote0"/>
        <w:rPr>
          <w:rtl/>
          <w:lang w:bidi="ar-IQ"/>
        </w:rPr>
      </w:pPr>
      <w:r>
        <w:rPr>
          <w:rFonts w:hint="cs"/>
          <w:rtl/>
        </w:rPr>
        <w:t xml:space="preserve">= </w:t>
      </w:r>
      <w:r w:rsidR="000C39D1" w:rsidRPr="00276B8D">
        <w:rPr>
          <w:rtl/>
        </w:rPr>
        <w:t xml:space="preserve">نقله عن بعض النسخ من إثبات « عن » بعد « ابن بابويه ». نعم ردّ هذا الوجه </w:t>
      </w:r>
      <w:r w:rsidR="000C39D1">
        <w:rPr>
          <w:rtl/>
        </w:rPr>
        <w:t>-</w:t>
      </w:r>
      <w:r w:rsidR="000C39D1" w:rsidRPr="00276B8D">
        <w:rPr>
          <w:rtl/>
        </w:rPr>
        <w:t xml:space="preserve"> المجلسيُّ حيث قال : « رواية الكليني عنه في غاية البعد » والمحقّقُ الشعرانيُّ حيث قال : « رواية الكليني عن ابن بابويه هذا </w:t>
      </w:r>
      <w:r w:rsidR="000C39D1">
        <w:rPr>
          <w:rtl/>
        </w:rPr>
        <w:t>-</w:t>
      </w:r>
      <w:r w:rsidR="000C39D1" w:rsidRPr="00276B8D">
        <w:rPr>
          <w:rtl/>
        </w:rPr>
        <w:t xml:space="preserve"> أي الوالد </w:t>
      </w:r>
      <w:r w:rsidR="000C39D1">
        <w:rPr>
          <w:rtl/>
        </w:rPr>
        <w:t>-</w:t>
      </w:r>
      <w:r w:rsidR="000C39D1" w:rsidRPr="00276B8D">
        <w:rPr>
          <w:rtl/>
        </w:rPr>
        <w:t xml:space="preserve"> غير معهودة وإن كان في عصره ».</w:t>
      </w:r>
    </w:p>
    <w:p w:rsidR="000C39D1" w:rsidRPr="00132E65" w:rsidRDefault="000C39D1" w:rsidP="00176614">
      <w:pPr>
        <w:pStyle w:val="libFootnote0"/>
        <w:rPr>
          <w:rtl/>
          <w:lang w:bidi="fa-IR"/>
        </w:rPr>
      </w:pPr>
      <w:r w:rsidRPr="003F06DC">
        <w:rPr>
          <w:rtl/>
        </w:rPr>
        <w:t>الوجه الثاني : ما نقله المجلسي عن والده من أنّ المراد به الشيخ الصدوق محمّد بن بابويه وهو إشارة إلى أنّ الحديث الآتي كان في نسخته ، كما يقال : في نسخة الصفواني كذا ، فإنّه كان للكافي نسخ متعدّدة رواها تلامذة المصنّف عنه بواسطة وبدونها ، وقد يتّفق اختلاف في نسخة فيصرّح الراوي بأنّ هذا من أيّة نسخة ، وقد نرى في أوائل الكتاب سلسلة أسناد قبل صاحب الكتاب لتعيين النسخة المنقولة عنها. ولعلّه كانت من تلك النسخ نسخة الصدوق ؛</w:t>
      </w:r>
      <w:r w:rsidR="00176614">
        <w:rPr>
          <w:rFonts w:hint="cs"/>
          <w:rtl/>
        </w:rPr>
        <w:t xml:space="preserve"> فإنّه كان في عصر المصنّف ولم يكن في سا</w:t>
      </w:r>
      <w:r w:rsidR="00176614">
        <w:rPr>
          <w:rFonts w:hint="cs"/>
          <w:rtl/>
          <w:lang w:bidi="fa-IR"/>
        </w:rPr>
        <w:t>ئ</w:t>
      </w:r>
      <w:r w:rsidR="00176614">
        <w:rPr>
          <w:rFonts w:hint="cs"/>
          <w:rtl/>
        </w:rPr>
        <w:t>ر الروايات. وه</w:t>
      </w:r>
      <w:r w:rsidR="00176614">
        <w:rPr>
          <w:rFonts w:hint="cs"/>
          <w:rtl/>
          <w:lang w:bidi="fa-IR"/>
        </w:rPr>
        <w:t>ذا الوجه أظهر الوجوه عند المجلس وأوضحا عند المحق</w:t>
      </w:r>
      <w:r w:rsidR="00176614">
        <w:rPr>
          <w:rFonts w:hint="cs"/>
          <w:rtl/>
        </w:rPr>
        <w:t xml:space="preserve">ّق الشعراني. </w:t>
      </w:r>
      <w:r w:rsidRPr="00661890">
        <w:rPr>
          <w:rtl/>
        </w:rPr>
        <w:t xml:space="preserve">واستبعده الفيض حيث قال : « وعلى هذا يكون </w:t>
      </w:r>
      <w:r>
        <w:rPr>
          <w:rtl/>
        </w:rPr>
        <w:t>-</w:t>
      </w:r>
      <w:r w:rsidRPr="00661890">
        <w:rPr>
          <w:rtl/>
        </w:rPr>
        <w:t xml:space="preserve"> أي « ابن بابويه » </w:t>
      </w:r>
      <w:r>
        <w:rPr>
          <w:rtl/>
        </w:rPr>
        <w:t>-</w:t>
      </w:r>
      <w:r w:rsidRPr="00661890">
        <w:rPr>
          <w:rtl/>
        </w:rPr>
        <w:t xml:space="preserve"> من كلام من تأخّر عن المصنّف وعن الصدوق ، فزيد في الأصل ؛ وهو بعيد جدّاً ». انظر :</w:t>
      </w:r>
      <w:r>
        <w:rPr>
          <w:rFonts w:hint="cs"/>
          <w:rtl/>
        </w:rPr>
        <w:t xml:space="preserve"> </w:t>
      </w:r>
      <w:r w:rsidRPr="00CE3618">
        <w:rPr>
          <w:rtl/>
        </w:rPr>
        <w:t>شرح المازندراني</w:t>
      </w:r>
      <w:r w:rsidRPr="00E55206">
        <w:rPr>
          <w:rtl/>
        </w:rPr>
        <w:t xml:space="preserve"> ،</w:t>
      </w:r>
      <w:r w:rsidRPr="00E55206">
        <w:rPr>
          <w:rFonts w:hint="cs"/>
          <w:rtl/>
        </w:rPr>
        <w:t xml:space="preserve"> </w:t>
      </w:r>
      <w:r w:rsidRPr="00661890">
        <w:rPr>
          <w:rtl/>
        </w:rPr>
        <w:t>ج 7 ، ص 233 ؛</w:t>
      </w:r>
      <w:r>
        <w:rPr>
          <w:rFonts w:hint="cs"/>
          <w:rtl/>
        </w:rPr>
        <w:t xml:space="preserve"> </w:t>
      </w:r>
      <w:r w:rsidRPr="009D1ACE">
        <w:rPr>
          <w:rStyle w:val="libFootnoteBoldChar"/>
          <w:rtl/>
        </w:rPr>
        <w:t>الوافي</w:t>
      </w:r>
      <w:r w:rsidRPr="00E55206">
        <w:rPr>
          <w:rtl/>
        </w:rPr>
        <w:t xml:space="preserve"> ، ج 2 ، ص 764 - 765 ؛ </w:t>
      </w:r>
      <w:r w:rsidRPr="009D1ACE">
        <w:rPr>
          <w:rStyle w:val="libFootnoteBoldChar"/>
          <w:rtl/>
        </w:rPr>
        <w:t>مرآة العقول</w:t>
      </w:r>
      <w:r w:rsidRPr="00E55206">
        <w:rPr>
          <w:rtl/>
        </w:rPr>
        <w:t xml:space="preserve"> ، ج 6 ، ص 9 - 10.</w:t>
      </w:r>
    </w:p>
    <w:p w:rsidR="000C39D1" w:rsidRPr="00132E65" w:rsidRDefault="000C39D1" w:rsidP="000C39D1">
      <w:pPr>
        <w:pStyle w:val="libFootnote0"/>
        <w:rPr>
          <w:rtl/>
          <w:lang w:bidi="fa-IR"/>
        </w:rPr>
      </w:pPr>
      <w:r>
        <w:rPr>
          <w:rtl/>
        </w:rPr>
        <w:t>(1).</w:t>
      </w:r>
      <w:r w:rsidRPr="00132E65">
        <w:rPr>
          <w:rtl/>
        </w:rPr>
        <w:t xml:space="preserve"> يقال : ابغني كذا بهمزة الوصل ، أي اطلب لي. وأبغني ، بهمزة القطع ، أي أعنيّ على الطلب. وكلاهما محتمل‌هنا. راجع : </w:t>
      </w:r>
      <w:r w:rsidRPr="00CE3618">
        <w:rPr>
          <w:rtl/>
        </w:rPr>
        <w:t>النهاية</w:t>
      </w:r>
      <w:r w:rsidRPr="00132E65">
        <w:rPr>
          <w:rtl/>
        </w:rPr>
        <w:t xml:space="preserve"> ، ج 1 ، ص 143 ( بقي )</w:t>
      </w:r>
      <w:r>
        <w:rPr>
          <w:rtl/>
        </w:rPr>
        <w:t>.</w:t>
      </w:r>
    </w:p>
    <w:p w:rsidR="000C39D1" w:rsidRPr="00132E65" w:rsidRDefault="000C39D1" w:rsidP="000C39D1">
      <w:pPr>
        <w:pStyle w:val="libFootnote0"/>
        <w:rPr>
          <w:rtl/>
          <w:lang w:bidi="fa-IR"/>
        </w:rPr>
      </w:pPr>
      <w:r>
        <w:rPr>
          <w:rtl/>
        </w:rPr>
        <w:t>(2).</w:t>
      </w:r>
      <w:r w:rsidRPr="00132E65">
        <w:rPr>
          <w:rtl/>
        </w:rPr>
        <w:t xml:space="preserve"> « الوَضوء » : الماء الذي يُتوضَّأ به. </w:t>
      </w:r>
      <w:r w:rsidRPr="00CE3618">
        <w:rPr>
          <w:rtl/>
        </w:rPr>
        <w:t>النهاية</w:t>
      </w:r>
      <w:r w:rsidRPr="00132E65">
        <w:rPr>
          <w:rtl/>
        </w:rPr>
        <w:t xml:space="preserve"> ، ج 5 ، ص 195 ( وضأ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في « ف » : « وجئتُه »</w:t>
      </w:r>
      <w:r>
        <w:rPr>
          <w:rtl/>
        </w:rPr>
        <w:t>.</w:t>
      </w:r>
      <w:r w:rsidRPr="00132E65">
        <w:rPr>
          <w:rtl/>
        </w:rPr>
        <w:t xml:space="preserve"> وفي </w:t>
      </w:r>
      <w:r w:rsidRPr="009D1ACE">
        <w:rPr>
          <w:rStyle w:val="libFootnoteBoldChar"/>
          <w:rtl/>
        </w:rPr>
        <w:t>الوافي</w:t>
      </w:r>
      <w:r w:rsidRPr="00132E65">
        <w:rPr>
          <w:rtl/>
        </w:rPr>
        <w:t xml:space="preserve"> : « فجئتُ »</w:t>
      </w:r>
      <w:r>
        <w:rPr>
          <w:rtl/>
        </w:rPr>
        <w:t>.</w:t>
      </w:r>
    </w:p>
    <w:p w:rsidR="000C39D1" w:rsidRPr="00132E65" w:rsidRDefault="000C39D1" w:rsidP="000C39D1">
      <w:pPr>
        <w:pStyle w:val="libFootnote0"/>
        <w:rPr>
          <w:rtl/>
          <w:lang w:bidi="fa-IR"/>
        </w:rPr>
      </w:pPr>
      <w:r>
        <w:rPr>
          <w:rtl/>
        </w:rPr>
        <w:t>(5).</w:t>
      </w:r>
      <w:r w:rsidRPr="00132E65">
        <w:rPr>
          <w:rtl/>
        </w:rPr>
        <w:t xml:space="preserve"> في « بح » : « يحضرها »</w:t>
      </w:r>
      <w:r>
        <w:rPr>
          <w:rtl/>
        </w:rPr>
        <w:t>.</w:t>
      </w:r>
      <w:r w:rsidRPr="00132E65">
        <w:rPr>
          <w:rtl/>
        </w:rPr>
        <w:t xml:space="preserve"> وقال المازندراني في شرحه : « وفي أكثر النسخ : أن يحضر ، بالضاد »</w:t>
      </w:r>
      <w:r>
        <w:rPr>
          <w:rtl/>
        </w:rPr>
        <w:t>.</w:t>
      </w:r>
    </w:p>
    <w:p w:rsidR="000C39D1" w:rsidRPr="00132E65" w:rsidRDefault="000C39D1" w:rsidP="000C39D1">
      <w:pPr>
        <w:pStyle w:val="libFootnote0"/>
        <w:rPr>
          <w:rtl/>
          <w:lang w:bidi="fa-IR"/>
        </w:rPr>
      </w:pPr>
      <w:r>
        <w:rPr>
          <w:rtl/>
        </w:rPr>
        <w:t>(6).</w:t>
      </w:r>
      <w:r w:rsidRPr="00132E65">
        <w:rPr>
          <w:rtl/>
        </w:rPr>
        <w:t xml:space="preserve"> « أن يحظر لها حظار » ، أي يُتّخذ لها حظار ، وهو بفتح الحاء وكسرها : الحائط وما يعمل للإبل من شجر ليقيها البردَ. راجع : </w:t>
      </w:r>
      <w:r w:rsidRPr="00CE3618">
        <w:rPr>
          <w:rtl/>
        </w:rPr>
        <w:t>القاموس المحيط</w:t>
      </w:r>
      <w:r w:rsidRPr="00132E65">
        <w:rPr>
          <w:rtl/>
        </w:rPr>
        <w:t xml:space="preserve"> ، ج 1 ، ص 539 ( حظر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w:t>
      </w:r>
      <w:r>
        <w:rPr>
          <w:rStyle w:val="libFootnotenumChar"/>
          <w:rtl/>
        </w:rPr>
        <w:t>(1)</w:t>
      </w:r>
      <w:r w:rsidRPr="00132E65">
        <w:rPr>
          <w:rtl/>
          <w:lang w:bidi="fa-IR"/>
        </w:rPr>
        <w:t xml:space="preserve"> : « فَلَمْ تَلْبَثْ </w:t>
      </w:r>
      <w:r>
        <w:rPr>
          <w:rStyle w:val="libFootnotenumChar"/>
          <w:rtl/>
        </w:rPr>
        <w:t>(2)</w:t>
      </w:r>
      <w:r w:rsidRPr="00132E65">
        <w:rPr>
          <w:rtl/>
          <w:lang w:bidi="fa-IR"/>
        </w:rPr>
        <w:t xml:space="preserve"> أَنْ خَرَجَتْ حَتّى أَتَتِ الْقَبْرَ ، فَضَرَبَتْ بِجِرَانِهَا ، و</w:t>
      </w:r>
      <w:r w:rsidR="00F23EA8">
        <w:rPr>
          <w:rFonts w:hint="cs"/>
          <w:rtl/>
          <w:lang w:bidi="fa-IR"/>
        </w:rPr>
        <w:t xml:space="preserve">َ </w:t>
      </w:r>
      <w:r w:rsidRPr="00132E65">
        <w:rPr>
          <w:rtl/>
          <w:lang w:bidi="fa-IR"/>
        </w:rPr>
        <w:t>رَغَتْ ، وَ</w:t>
      </w:r>
      <w:r w:rsidR="00F23EA8">
        <w:rPr>
          <w:rFonts w:hint="cs"/>
          <w:rtl/>
          <w:lang w:bidi="fa-IR"/>
        </w:rPr>
        <w:t xml:space="preserve"> </w:t>
      </w:r>
      <w:r w:rsidRPr="00132E65">
        <w:rPr>
          <w:rtl/>
          <w:lang w:bidi="fa-IR"/>
        </w:rPr>
        <w:t xml:space="preserve">هَمَلَتْ </w:t>
      </w:r>
      <w:r>
        <w:rPr>
          <w:rStyle w:val="libFootnotenumChar"/>
          <w:rtl/>
        </w:rPr>
        <w:t>(3)</w:t>
      </w:r>
      <w:r w:rsidRPr="00132E65">
        <w:rPr>
          <w:rtl/>
          <w:lang w:bidi="fa-IR"/>
        </w:rPr>
        <w:t xml:space="preserve"> عَيْنَاهَا ، فَأُتِيَ مُحَمَّدُ بْنُ عَلِيٍّ </w:t>
      </w:r>
      <w:r w:rsidRPr="00071CF9">
        <w:rPr>
          <w:rStyle w:val="libAlaemChar"/>
          <w:rtl/>
        </w:rPr>
        <w:t>عليهما‌السلام</w:t>
      </w:r>
      <w:r w:rsidRPr="00132E65">
        <w:rPr>
          <w:rtl/>
          <w:lang w:bidi="fa-IR"/>
        </w:rPr>
        <w:t xml:space="preserve"> ، فَقِيلَ لَهُ : إِنَّ النَّاقَةَ قَدْ خَرَجَتْ ، فَأَتَاهَا ، فَقَالَ : صَهِ الْآنَ ، قُومِي ، بَارَكِ اللهُ فِيكِ ، فَلَمْ تَفْعَلْ ، فَقَالَ : و</w:t>
      </w:r>
      <w:r w:rsidR="00F23EA8">
        <w:rPr>
          <w:rFonts w:hint="cs"/>
          <w:rtl/>
          <w:lang w:bidi="fa-IR"/>
        </w:rPr>
        <w:t>َ</w:t>
      </w:r>
      <w:r w:rsidRPr="00132E65">
        <w:rPr>
          <w:rtl/>
          <w:lang w:bidi="fa-IR"/>
        </w:rPr>
        <w:t xml:space="preserve">إِنْ </w:t>
      </w:r>
      <w:r>
        <w:rPr>
          <w:rStyle w:val="libFootnotenumChar"/>
          <w:rtl/>
        </w:rPr>
        <w:t>(4)</w:t>
      </w:r>
      <w:r w:rsidRPr="00132E65">
        <w:rPr>
          <w:rtl/>
          <w:lang w:bidi="fa-IR"/>
        </w:rPr>
        <w:t xml:space="preserve"> كَانَ لَيَخْرُجُ عَلَيْهَا إِلى مَكَّةَ ، فَيُعَلِّقُ السَّوْطَ عَلَى الرَّحْلِ ، فَمَا يَقْرَعُهَا حَتّى يَدْخُلَ </w:t>
      </w:r>
      <w:r>
        <w:rPr>
          <w:rStyle w:val="libFootnotenumChar"/>
          <w:rtl/>
        </w:rPr>
        <w:t>(5)</w:t>
      </w:r>
      <w:r w:rsidRPr="00132E65">
        <w:rPr>
          <w:rtl/>
          <w:lang w:bidi="fa-IR"/>
        </w:rPr>
        <w:t xml:space="preserve"> الْمَدِينَةَ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(7)</w:t>
      </w:r>
      <w:r w:rsidRPr="00132E65">
        <w:rPr>
          <w:rtl/>
          <w:lang w:bidi="fa-IR"/>
        </w:rPr>
        <w:t xml:space="preserve"> : « وَكَانَ عَلِيُّ بْنُ الْحُسَيْنِ </w:t>
      </w:r>
      <w:r w:rsidRPr="00071CF9">
        <w:rPr>
          <w:rStyle w:val="libAlaemChar"/>
          <w:rtl/>
        </w:rPr>
        <w:t>عليهما‌السلام</w:t>
      </w:r>
      <w:r w:rsidRPr="00132E65">
        <w:rPr>
          <w:rtl/>
          <w:lang w:bidi="fa-IR"/>
        </w:rPr>
        <w:t xml:space="preserve"> يَخْرُجُ فِي اللَّيْلَةِ الظَّلْمَاءِ ، فَيَحْمِلُ الْجِرَابَ </w:t>
      </w:r>
      <w:r>
        <w:rPr>
          <w:rStyle w:val="libFootnotenumChar"/>
          <w:rtl/>
        </w:rPr>
        <w:t>(8)</w:t>
      </w:r>
      <w:r w:rsidRPr="00132E65">
        <w:rPr>
          <w:rtl/>
          <w:lang w:bidi="fa-IR"/>
        </w:rPr>
        <w:t xml:space="preserve"> فِيهِ الصُّرَرُ </w:t>
      </w:r>
      <w:r>
        <w:rPr>
          <w:rStyle w:val="libFootnotenumChar"/>
          <w:rtl/>
        </w:rPr>
        <w:t>(9)</w:t>
      </w:r>
      <w:r w:rsidRPr="00132E65">
        <w:rPr>
          <w:rtl/>
          <w:lang w:bidi="fa-IR"/>
        </w:rPr>
        <w:t xml:space="preserve"> مِنَ الدَّنَانِيرِ و</w:t>
      </w:r>
      <w:r w:rsidR="00F23EA8">
        <w:rPr>
          <w:rFonts w:hint="cs"/>
          <w:rtl/>
          <w:lang w:bidi="fa-IR"/>
        </w:rPr>
        <w:t xml:space="preserve">َ </w:t>
      </w:r>
      <w:r w:rsidRPr="00132E65">
        <w:rPr>
          <w:rtl/>
          <w:lang w:bidi="fa-IR"/>
        </w:rPr>
        <w:t xml:space="preserve">الدَّرَاهِمِ حَتّى يَأْتِيَ </w:t>
      </w:r>
      <w:r>
        <w:rPr>
          <w:rStyle w:val="libFootnotenumChar"/>
          <w:rtl/>
        </w:rPr>
        <w:t>(10)</w:t>
      </w:r>
      <w:r w:rsidRPr="00132E65">
        <w:rPr>
          <w:rtl/>
          <w:lang w:bidi="fa-IR"/>
        </w:rPr>
        <w:t xml:space="preserve"> بَاباً بَاباً </w:t>
      </w:r>
      <w:r>
        <w:rPr>
          <w:rStyle w:val="libFootnotenumChar"/>
          <w:rtl/>
        </w:rPr>
        <w:t>(11)</w:t>
      </w:r>
      <w:r w:rsidRPr="00132E65">
        <w:rPr>
          <w:rtl/>
          <w:lang w:bidi="fa-IR"/>
        </w:rPr>
        <w:t xml:space="preserve"> ، فَيَقْرَعُهُ ، ثُمَّ يُنِيلُ مَنْ يَخْرُجُ إِلَيْهِ ، فَلَمَّا مَاتَ عَلِيُّ بْنُ الْحُسَيْنِ </w:t>
      </w:r>
      <w:r w:rsidRPr="00071CF9">
        <w:rPr>
          <w:rStyle w:val="libAlaemChar"/>
          <w:rtl/>
        </w:rPr>
        <w:t>عليهما‌السلام</w:t>
      </w:r>
      <w:r w:rsidRPr="00132E65">
        <w:rPr>
          <w:rtl/>
          <w:lang w:bidi="fa-IR"/>
        </w:rPr>
        <w:t xml:space="preserve"> فَقَدُوا ذَاكَ </w:t>
      </w:r>
      <w:r>
        <w:rPr>
          <w:rStyle w:val="libFootnotenumChar"/>
          <w:rtl/>
        </w:rPr>
        <w:t>(12)</w:t>
      </w:r>
      <w:r w:rsidRPr="00132E65">
        <w:rPr>
          <w:rtl/>
          <w:lang w:bidi="fa-IR"/>
        </w:rPr>
        <w:t xml:space="preserve"> ، فَعَلِمُوا أَنَّ عَلِيّاً </w:t>
      </w:r>
      <w:r w:rsidRPr="00071CF9">
        <w:rPr>
          <w:rStyle w:val="libAlaemChar"/>
          <w:rtl/>
        </w:rPr>
        <w:t>عليه‌السلام</w:t>
      </w:r>
      <w:r w:rsidRPr="00132E65">
        <w:rPr>
          <w:rtl/>
          <w:lang w:bidi="fa-IR"/>
        </w:rPr>
        <w:t xml:space="preserve"> </w:t>
      </w:r>
      <w:r w:rsidRPr="00F543F1">
        <w:rPr>
          <w:rStyle w:val="libFootnotenumChar"/>
          <w:rtl/>
        </w:rPr>
        <w:t>(13)</w:t>
      </w:r>
      <w:r w:rsidRPr="00132E65">
        <w:rPr>
          <w:rtl/>
          <w:lang w:bidi="fa-IR"/>
        </w:rPr>
        <w:t xml:space="preserve"> كَانَ يَفْعَلُهُ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CE3618">
        <w:rPr>
          <w:rtl/>
        </w:rPr>
        <w:t>1273</w:t>
      </w:r>
      <w:r w:rsidRPr="004325D8">
        <w:rPr>
          <w:rStyle w:val="libBold2Char"/>
          <w:rtl/>
        </w:rPr>
        <w:t xml:space="preserve"> / 5.</w:t>
      </w:r>
      <w:r w:rsidRPr="00132E65">
        <w:rPr>
          <w:rtl/>
          <w:lang w:bidi="fa-IR"/>
        </w:rPr>
        <w:t xml:space="preserve"> مُحَمَّدُ بْنُ أَحْمَدَ ، عَنْ عَمِّهِ عَبْدِ اللهِ بْنِ الصَّلْتِ ، عَنِ الْحَسَنِ بْنِ عَلِيٍّ ابْنِ بِنْتِ إِلْيَاسَ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FF61C5" w:rsidTr="00FF61C5">
        <w:tc>
          <w:tcPr>
            <w:tcW w:w="4261" w:type="dxa"/>
          </w:tcPr>
          <w:p w:rsidR="00FF61C5" w:rsidRDefault="00FF61C5" w:rsidP="000C39D1">
            <w:pPr>
              <w:pStyle w:val="libFootnote0"/>
              <w:rPr>
                <w:rtl/>
              </w:rPr>
            </w:pPr>
            <w:r>
              <w:rPr>
                <w:rtl/>
              </w:rPr>
              <w:t>(1).</w:t>
            </w:r>
            <w:r w:rsidRPr="00132E65">
              <w:rPr>
                <w:rtl/>
              </w:rPr>
              <w:t xml:space="preserve"> في « ض » : « فقال »</w:t>
            </w:r>
            <w:r>
              <w:rPr>
                <w:rtl/>
              </w:rPr>
              <w:t>.</w:t>
            </w:r>
          </w:p>
        </w:tc>
        <w:tc>
          <w:tcPr>
            <w:tcW w:w="4262" w:type="dxa"/>
          </w:tcPr>
          <w:p w:rsidR="00FF61C5" w:rsidRDefault="00FF61C5"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 « فلم يلبث »</w:t>
            </w:r>
            <w:r>
              <w:rPr>
                <w:rtl/>
              </w:rPr>
              <w:t>.</w:t>
            </w:r>
          </w:p>
        </w:tc>
      </w:tr>
    </w:tbl>
    <w:p w:rsidR="000C39D1" w:rsidRPr="00132E65" w:rsidRDefault="000C39D1" w:rsidP="000C39D1">
      <w:pPr>
        <w:pStyle w:val="libFootnote0"/>
        <w:rPr>
          <w:rtl/>
          <w:lang w:bidi="fa-IR"/>
        </w:rPr>
      </w:pPr>
      <w:r>
        <w:rPr>
          <w:rtl/>
        </w:rPr>
        <w:t>(3).</w:t>
      </w:r>
      <w:r w:rsidRPr="00132E65">
        <w:rPr>
          <w:rtl/>
        </w:rPr>
        <w:t xml:space="preserve"> « هملت » ، أي فاضت وسالت. راجع : </w:t>
      </w:r>
      <w:r w:rsidRPr="009D1ACE">
        <w:rPr>
          <w:rStyle w:val="libFootnoteBoldChar"/>
          <w:rtl/>
        </w:rPr>
        <w:t>لسان العرب</w:t>
      </w:r>
      <w:r w:rsidRPr="00132E65">
        <w:rPr>
          <w:rtl/>
        </w:rPr>
        <w:t xml:space="preserve"> ، ج 11 ، ص 710 ( همل )</w:t>
      </w:r>
      <w:r>
        <w:rPr>
          <w:rtl/>
        </w:rPr>
        <w:t>.</w:t>
      </w:r>
    </w:p>
    <w:p w:rsidR="000C39D1" w:rsidRPr="00132E65" w:rsidRDefault="000C39D1" w:rsidP="000C39D1">
      <w:pPr>
        <w:pStyle w:val="libFootnote0"/>
        <w:rPr>
          <w:rtl/>
          <w:lang w:bidi="fa-IR"/>
        </w:rPr>
      </w:pPr>
      <w:r>
        <w:rPr>
          <w:rtl/>
        </w:rPr>
        <w:t>(4).</w:t>
      </w:r>
      <w:r w:rsidRPr="00132E65">
        <w:rPr>
          <w:rtl/>
        </w:rPr>
        <w:t xml:space="preserve"> في « ض » :</w:t>
      </w:r>
      <w:r>
        <w:rPr>
          <w:rtl/>
        </w:rPr>
        <w:t xml:space="preserve"> + </w:t>
      </w:r>
      <w:r w:rsidRPr="00132E65">
        <w:rPr>
          <w:rtl/>
        </w:rPr>
        <w:t>« أبي »</w:t>
      </w:r>
      <w:r>
        <w:rPr>
          <w:rtl/>
        </w:rPr>
        <w:t>.</w:t>
      </w:r>
      <w:r w:rsidRPr="00132E65">
        <w:rPr>
          <w:rtl/>
        </w:rPr>
        <w:t xml:space="preserve"> </w:t>
      </w:r>
      <w:r>
        <w:rPr>
          <w:rtl/>
        </w:rPr>
        <w:t>و «</w:t>
      </w:r>
      <w:r w:rsidRPr="00132E65">
        <w:rPr>
          <w:rtl/>
        </w:rPr>
        <w:t xml:space="preserve"> إن » مخفّفة من المثقّلة ، وضميرالشأن محذوف.</w:t>
      </w:r>
    </w:p>
    <w:tbl>
      <w:tblPr>
        <w:tblStyle w:val="TableGrid"/>
        <w:bidiVisual/>
        <w:tblW w:w="0" w:type="auto"/>
        <w:tblLook w:val="04A0" w:firstRow="1" w:lastRow="0" w:firstColumn="1" w:lastColumn="0" w:noHBand="0" w:noVBand="1"/>
      </w:tblPr>
      <w:tblGrid>
        <w:gridCol w:w="4261"/>
        <w:gridCol w:w="4262"/>
      </w:tblGrid>
      <w:tr w:rsidR="00FF61C5" w:rsidTr="00FF61C5">
        <w:tc>
          <w:tcPr>
            <w:tcW w:w="4261" w:type="dxa"/>
          </w:tcPr>
          <w:p w:rsidR="00FF61C5" w:rsidRDefault="00FF61C5" w:rsidP="000C39D1">
            <w:pPr>
              <w:pStyle w:val="libFootnote0"/>
              <w:rPr>
                <w:rtl/>
              </w:rPr>
            </w:pPr>
            <w:r>
              <w:rPr>
                <w:rtl/>
              </w:rPr>
              <w:t>(5).</w:t>
            </w:r>
            <w:r w:rsidRPr="00132E65">
              <w:rPr>
                <w:rtl/>
              </w:rPr>
              <w:t xml:space="preserve"> في « ب ، ف ، بر ، بف » : « حتّى تدخل »</w:t>
            </w:r>
            <w:r>
              <w:rPr>
                <w:rtl/>
              </w:rPr>
              <w:t>.</w:t>
            </w:r>
          </w:p>
        </w:tc>
        <w:tc>
          <w:tcPr>
            <w:tcW w:w="4262" w:type="dxa"/>
          </w:tcPr>
          <w:p w:rsidR="00FF61C5" w:rsidRDefault="00FF61C5" w:rsidP="000C39D1">
            <w:pPr>
              <w:pStyle w:val="libFootnote0"/>
              <w:rPr>
                <w:rtl/>
              </w:rPr>
            </w:pPr>
            <w:r>
              <w:rPr>
                <w:rtl/>
              </w:rPr>
              <w:t>(6).</w:t>
            </w:r>
            <w:r w:rsidRPr="00132E65">
              <w:rPr>
                <w:rtl/>
              </w:rPr>
              <w:t xml:space="preserve"> في « بر » : « بالمدينة »</w:t>
            </w:r>
            <w:r>
              <w:rPr>
                <w:rtl/>
              </w:rPr>
              <w:t>.</w:t>
            </w:r>
          </w:p>
        </w:tc>
      </w:tr>
    </w:tbl>
    <w:p w:rsidR="000C39D1" w:rsidRPr="00132E65" w:rsidRDefault="000C39D1" w:rsidP="000C39D1">
      <w:pPr>
        <w:pStyle w:val="libFootnote0"/>
        <w:rPr>
          <w:rtl/>
          <w:lang w:bidi="fa-IR"/>
        </w:rPr>
      </w:pPr>
      <w:r>
        <w:rPr>
          <w:rtl/>
        </w:rPr>
        <w:t>(7).</w:t>
      </w:r>
      <w:r w:rsidRPr="00132E65">
        <w:rPr>
          <w:rtl/>
        </w:rPr>
        <w:t xml:space="preserve"> في « بح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(8).</w:t>
      </w:r>
      <w:r w:rsidRPr="00132E65">
        <w:rPr>
          <w:rtl/>
        </w:rPr>
        <w:t xml:space="preserve"> « الجِراب » : وعاء يوعى فيه الشي‌ءُ ، أي يُجْمع ويُحفَظ ، وهو من إهاب الشاء ، أي من جلدها. راجع : </w:t>
      </w:r>
      <w:r w:rsidRPr="00CE3618">
        <w:rPr>
          <w:rtl/>
        </w:rPr>
        <w:t>ترتيب كتاب العين</w:t>
      </w:r>
      <w:r w:rsidRPr="00132E65">
        <w:rPr>
          <w:rtl/>
        </w:rPr>
        <w:t xml:space="preserve"> ، ج 1 ، ص 275 ( جرب )</w:t>
      </w:r>
      <w:r>
        <w:rPr>
          <w:rtl/>
        </w:rPr>
        <w:t>.</w:t>
      </w:r>
    </w:p>
    <w:p w:rsidR="000C39D1" w:rsidRPr="00132E65" w:rsidRDefault="000C39D1" w:rsidP="00FF61C5">
      <w:pPr>
        <w:pStyle w:val="libFootnote0"/>
        <w:rPr>
          <w:rtl/>
          <w:lang w:bidi="fa-IR"/>
        </w:rPr>
      </w:pPr>
      <w:r>
        <w:rPr>
          <w:rtl/>
        </w:rPr>
        <w:t>(9).</w:t>
      </w:r>
      <w:r w:rsidRPr="00132E65">
        <w:rPr>
          <w:rtl/>
        </w:rPr>
        <w:t xml:space="preserve"> « الصُرَر » : جمع الصرّة ، وهي ما يُصَرُّ فيه ، أي يجمع فيه. وصُرّة الدراهم معروفة. راجع : </w:t>
      </w:r>
      <w:r w:rsidRPr="009D1ACE">
        <w:rPr>
          <w:rStyle w:val="libFootnoteBoldChar"/>
          <w:rtl/>
        </w:rPr>
        <w:t>لسان العرب</w:t>
      </w:r>
      <w:r w:rsidRPr="00132E65">
        <w:rPr>
          <w:rtl/>
        </w:rPr>
        <w:t xml:space="preserve"> ، ج 4 ، ص 451</w:t>
      </w:r>
      <w:r>
        <w:rPr>
          <w:rtl/>
        </w:rPr>
        <w:t xml:space="preserve"> - </w:t>
      </w:r>
      <w:r w:rsidRPr="00132E65">
        <w:rPr>
          <w:rtl/>
        </w:rPr>
        <w:t>452 ( صرر )</w:t>
      </w:r>
      <w:r>
        <w:rPr>
          <w:rtl/>
        </w:rPr>
        <w:t>.</w:t>
      </w:r>
      <w:r w:rsidR="00FF61C5">
        <w:rPr>
          <w:rFonts w:hint="cs"/>
          <w:rtl/>
        </w:rPr>
        <w:t xml:space="preserve">                                    </w:t>
      </w:r>
      <w:r>
        <w:rPr>
          <w:rtl/>
        </w:rPr>
        <w:t>(10).</w:t>
      </w:r>
      <w:r w:rsidRPr="00132E65">
        <w:rPr>
          <w:rtl/>
        </w:rPr>
        <w:t xml:space="preserve"> في « ب » : « حتّى يدخل »</w:t>
      </w:r>
      <w:r>
        <w:rPr>
          <w:rtl/>
        </w:rPr>
        <w:t>.</w:t>
      </w:r>
    </w:p>
    <w:tbl>
      <w:tblPr>
        <w:tblStyle w:val="TableGrid"/>
        <w:bidiVisual/>
        <w:tblW w:w="0" w:type="auto"/>
        <w:tblLook w:val="04A0" w:firstRow="1" w:lastRow="0" w:firstColumn="1" w:lastColumn="0" w:noHBand="0" w:noVBand="1"/>
      </w:tblPr>
      <w:tblGrid>
        <w:gridCol w:w="4261"/>
        <w:gridCol w:w="4262"/>
      </w:tblGrid>
      <w:tr w:rsidR="00854B2B" w:rsidTr="00854B2B">
        <w:tc>
          <w:tcPr>
            <w:tcW w:w="4261" w:type="dxa"/>
          </w:tcPr>
          <w:p w:rsidR="00854B2B" w:rsidRDefault="00854B2B" w:rsidP="000C39D1">
            <w:pPr>
              <w:pStyle w:val="libFootnote0"/>
              <w:rPr>
                <w:rtl/>
              </w:rPr>
            </w:pPr>
            <w:r>
              <w:rPr>
                <w:rtl/>
              </w:rPr>
              <w:t>(11).</w:t>
            </w:r>
            <w:r w:rsidRPr="00132E65">
              <w:rPr>
                <w:rtl/>
              </w:rPr>
              <w:t xml:space="preserve"> في « بح » </w:t>
            </w:r>
            <w:r>
              <w:rPr>
                <w:rtl/>
              </w:rPr>
              <w:t xml:space="preserve">: - </w:t>
            </w:r>
            <w:r w:rsidRPr="00132E65">
              <w:rPr>
                <w:rtl/>
              </w:rPr>
              <w:t>« باباً » الثاني.</w:t>
            </w:r>
          </w:p>
        </w:tc>
        <w:tc>
          <w:tcPr>
            <w:tcW w:w="4262" w:type="dxa"/>
          </w:tcPr>
          <w:p w:rsidR="00854B2B" w:rsidRDefault="00854B2B" w:rsidP="000C39D1">
            <w:pPr>
              <w:pStyle w:val="libFootnote0"/>
              <w:rPr>
                <w:rtl/>
              </w:rPr>
            </w:pPr>
            <w:r>
              <w:rPr>
                <w:rtl/>
              </w:rPr>
              <w:t>(12).</w:t>
            </w:r>
            <w:r w:rsidRPr="00132E65">
              <w:rPr>
                <w:rtl/>
              </w:rPr>
              <w:t xml:space="preserve"> في « بر » و</w:t>
            </w:r>
            <w:r w:rsidRPr="009D1ACE">
              <w:rPr>
                <w:rStyle w:val="libFootnoteBoldChar"/>
                <w:rtl/>
              </w:rPr>
              <w:t>الوافي</w:t>
            </w:r>
            <w:r w:rsidRPr="00132E65">
              <w:rPr>
                <w:rtl/>
              </w:rPr>
              <w:t xml:space="preserve"> : « ذلك »</w:t>
            </w:r>
            <w:r>
              <w:rPr>
                <w:rtl/>
              </w:rPr>
              <w:t>.</w:t>
            </w:r>
          </w:p>
        </w:tc>
      </w:tr>
    </w:tbl>
    <w:p w:rsidR="000C39D1" w:rsidRPr="00132E65" w:rsidRDefault="000C39D1" w:rsidP="000C39D1">
      <w:pPr>
        <w:pStyle w:val="libFootnote0"/>
        <w:rPr>
          <w:rtl/>
          <w:lang w:bidi="fa-IR"/>
        </w:rPr>
      </w:pPr>
      <w:r>
        <w:rPr>
          <w:rtl/>
        </w:rPr>
        <w:t>(13)</w:t>
      </w:r>
      <w:r w:rsidR="009976EB">
        <w:rPr>
          <w:rFonts w:hint="cs"/>
          <w:rtl/>
        </w:rPr>
        <w:t>.</w:t>
      </w:r>
      <w:r w:rsidRPr="00132E65">
        <w:rPr>
          <w:rtl/>
        </w:rPr>
        <w:t xml:space="preserve"> في « ف » : « عليّ بن الحسين </w:t>
      </w:r>
      <w:r w:rsidRPr="00E05BE6">
        <w:rPr>
          <w:rStyle w:val="libFootnoteAlaemChar"/>
          <w:rtl/>
        </w:rPr>
        <w:t>عليهما‌السلام</w:t>
      </w:r>
      <w:r w:rsidRPr="00132E65">
        <w:rPr>
          <w:rtl/>
        </w:rPr>
        <w:t xml:space="preserve"> »</w:t>
      </w:r>
      <w:r>
        <w:rPr>
          <w:rtl/>
        </w:rPr>
        <w:t>.</w:t>
      </w:r>
    </w:p>
    <w:p w:rsidR="000C39D1" w:rsidRPr="00132E65" w:rsidRDefault="000C39D1" w:rsidP="00E05BE6">
      <w:pPr>
        <w:pStyle w:val="libFootnote0"/>
        <w:rPr>
          <w:rtl/>
          <w:lang w:bidi="fa-IR"/>
        </w:rPr>
      </w:pPr>
      <w:r>
        <w:rPr>
          <w:rtl/>
        </w:rPr>
        <w:t>(14)</w:t>
      </w:r>
      <w:r w:rsidR="009976EB">
        <w:rPr>
          <w:rFonts w:hint="cs"/>
          <w:rtl/>
        </w:rPr>
        <w:t>.</w:t>
      </w:r>
      <w:r w:rsidRPr="00132E65">
        <w:rPr>
          <w:rtl/>
        </w:rPr>
        <w:t xml:space="preserve"> </w:t>
      </w:r>
      <w:r w:rsidRPr="007A1104">
        <w:rPr>
          <w:rStyle w:val="libFootnoteBoldChar"/>
          <w:rtl/>
        </w:rPr>
        <w:t>بصائر الدرجات</w:t>
      </w:r>
      <w:r w:rsidRPr="00132E65">
        <w:rPr>
          <w:rtl/>
        </w:rPr>
        <w:t xml:space="preserve"> ، ص 483 ، ح 11 ، بسنده عن سعدان بن مسلم ، عن أبي عمران ، عن رجل ، عن أبي عبد الله </w:t>
      </w:r>
      <w:r w:rsidRPr="00E05BE6">
        <w:rPr>
          <w:rStyle w:val="libFootnoteAlaemChar"/>
          <w:rtl/>
        </w:rPr>
        <w:t>عليه‌السلام</w:t>
      </w:r>
      <w:r w:rsidRPr="00132E65">
        <w:rPr>
          <w:rtl/>
        </w:rPr>
        <w:t xml:space="preserve"> ، إلى قوله : « حتّى يدخل المدينة » ، مع اختلاف يسير. راجع : </w:t>
      </w:r>
      <w:r w:rsidRPr="00CE3618">
        <w:rPr>
          <w:rtl/>
        </w:rPr>
        <w:t>الخصال</w:t>
      </w:r>
      <w:r w:rsidRPr="00132E65">
        <w:rPr>
          <w:rtl/>
        </w:rPr>
        <w:t xml:space="preserve"> ، ص 517 ، أبواب العشرين وما فوقه ، ح 4 ؛ و</w:t>
      </w:r>
      <w:r w:rsidRPr="00CE3618">
        <w:rPr>
          <w:rtl/>
        </w:rPr>
        <w:t xml:space="preserve">علل الشرائع </w:t>
      </w:r>
      <w:r w:rsidRPr="00132E65">
        <w:rPr>
          <w:rtl/>
        </w:rPr>
        <w:t>، ص 231 ، ح 8</w:t>
      </w:r>
      <w:r w:rsidR="00E05BE6">
        <w:rPr>
          <w:rFonts w:hint="cs"/>
          <w:rtl/>
        </w:rPr>
        <w:t>.</w:t>
      </w:r>
      <w:r w:rsidRPr="009D1ACE">
        <w:rPr>
          <w:rStyle w:val="libFootnoteBoldChar"/>
          <w:rtl/>
        </w:rPr>
        <w:t>الوافي</w:t>
      </w:r>
      <w:r w:rsidRPr="00132E65">
        <w:rPr>
          <w:rtl/>
        </w:rPr>
        <w:t xml:space="preserve"> ، ج 3 ، ص 765 ، ح 1388 ؛ </w:t>
      </w:r>
      <w:r w:rsidRPr="00CE3618">
        <w:rPr>
          <w:rtl/>
        </w:rPr>
        <w:t>الوسائل</w:t>
      </w:r>
      <w:r w:rsidRPr="00132E65">
        <w:rPr>
          <w:rtl/>
        </w:rPr>
        <w:t xml:space="preserve"> ، ج 1 ، ص 156 ، ذيل ح 389.</w:t>
      </w:r>
    </w:p>
    <w:p w:rsidR="000C39D1" w:rsidRPr="00132E65" w:rsidRDefault="000C39D1" w:rsidP="00DD1395">
      <w:pPr>
        <w:pStyle w:val="libFootnote0"/>
        <w:rPr>
          <w:rtl/>
          <w:lang w:bidi="ar-IQ"/>
        </w:rPr>
      </w:pPr>
      <w:r>
        <w:rPr>
          <w:rtl/>
        </w:rPr>
        <w:t>(15)</w:t>
      </w:r>
      <w:r w:rsidR="009976EB">
        <w:rPr>
          <w:rFonts w:hint="cs"/>
          <w:rtl/>
        </w:rPr>
        <w:t>.</w:t>
      </w:r>
      <w:r w:rsidRPr="00132E65">
        <w:rPr>
          <w:rtl/>
        </w:rPr>
        <w:t xml:space="preserve"> الحسن بن عليّ هذا ، هو الحسن بن عليّ الوشّاء. وابن بنت إلياس وصف للحسن نفسه ، كما يعلم من مصادر</w:t>
      </w:r>
      <w:r w:rsidR="00DD1395">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BE5574">
      <w:pPr>
        <w:pStyle w:val="libNormal"/>
        <w:rPr>
          <w:rtl/>
          <w:lang w:bidi="fa-IR"/>
        </w:rPr>
      </w:pPr>
      <w:r w:rsidRPr="00132E65">
        <w:rPr>
          <w:rtl/>
          <w:lang w:bidi="fa-IR"/>
        </w:rPr>
        <w:t xml:space="preserve">عَنْ أَبِي الْحَسَنِ </w:t>
      </w:r>
      <w:r w:rsidRPr="00071CF9">
        <w:rPr>
          <w:rStyle w:val="libAlaemChar"/>
          <w:rtl/>
        </w:rPr>
        <w:t>عليه‌السلام</w:t>
      </w:r>
      <w:r w:rsidRPr="00132E65">
        <w:rPr>
          <w:rtl/>
          <w:lang w:bidi="fa-IR"/>
        </w:rPr>
        <w:t xml:space="preserve"> ، قَالَ : سَمِعْتُهُ يَقُولُ : « إِنَّ عَلِيَّ بْنَ الْحُسَيْنِ </w:t>
      </w:r>
      <w:r w:rsidRPr="00071CF9">
        <w:rPr>
          <w:rStyle w:val="libAlaemChar"/>
          <w:rtl/>
        </w:rPr>
        <w:t>عليهما‌السلام</w:t>
      </w:r>
      <w:r w:rsidRPr="00132E65">
        <w:rPr>
          <w:rtl/>
          <w:lang w:bidi="fa-IR"/>
        </w:rPr>
        <w:t xml:space="preserve"> لَمَّا حَضَرَتْهُ الْوَفَاةُ أُغْمِيَ عَلَيْهِ ، ثُمَّ فَتَحَ عَيْنَيْهِ ، و</w:t>
      </w:r>
      <w:r w:rsidR="00BE5574">
        <w:rPr>
          <w:rFonts w:hint="cs"/>
          <w:rtl/>
          <w:lang w:bidi="fa-IR"/>
        </w:rPr>
        <w:t xml:space="preserve">َ </w:t>
      </w:r>
      <w:r w:rsidRPr="00132E65">
        <w:rPr>
          <w:rtl/>
          <w:lang w:bidi="fa-IR"/>
        </w:rPr>
        <w:t xml:space="preserve">قَرَأَ </w:t>
      </w:r>
      <w:r w:rsidR="00BE5574" w:rsidRPr="00BE5574">
        <w:rPr>
          <w:rStyle w:val="libAlaemChar"/>
          <w:rFonts w:hint="cs"/>
          <w:rtl/>
        </w:rPr>
        <w:t>(</w:t>
      </w:r>
      <w:r w:rsidRPr="00BE5574">
        <w:rPr>
          <w:rStyle w:val="libAieChar"/>
          <w:rtl/>
        </w:rPr>
        <w:t xml:space="preserve"> إِذ</w:t>
      </w:r>
      <w:r w:rsidR="0096485F">
        <w:rPr>
          <w:rStyle w:val="libAieChar"/>
          <w:rFonts w:hint="cs"/>
          <w:rtl/>
        </w:rPr>
        <w:t>َ</w:t>
      </w:r>
      <w:r w:rsidRPr="00BE5574">
        <w:rPr>
          <w:rStyle w:val="libAieChar"/>
          <w:rtl/>
        </w:rPr>
        <w:t>ا وَقَعَتِ الْو</w:t>
      </w:r>
      <w:r w:rsidR="0096485F">
        <w:rPr>
          <w:rStyle w:val="libAieChar"/>
          <w:rFonts w:hint="cs"/>
          <w:rtl/>
        </w:rPr>
        <w:t>َ</w:t>
      </w:r>
      <w:r w:rsidRPr="00BE5574">
        <w:rPr>
          <w:rStyle w:val="libAieChar"/>
          <w:rtl/>
        </w:rPr>
        <w:t>اقِعَةُ</w:t>
      </w:r>
      <w:r w:rsidRPr="00132E65">
        <w:rPr>
          <w:rtl/>
          <w:lang w:bidi="fa-IR"/>
        </w:rPr>
        <w:t xml:space="preserve"> </w:t>
      </w:r>
      <w:r w:rsidR="00BE5574" w:rsidRPr="00BE5574">
        <w:rPr>
          <w:rStyle w:val="libAlaemChar"/>
          <w:rFonts w:hint="cs"/>
          <w:rtl/>
        </w:rPr>
        <w:t>)</w:t>
      </w:r>
      <w:r w:rsidRPr="00132E65">
        <w:rPr>
          <w:rtl/>
          <w:lang w:bidi="fa-IR"/>
        </w:rPr>
        <w:t xml:space="preserve"> </w:t>
      </w:r>
      <w:r>
        <w:rPr>
          <w:rStyle w:val="libFootnotenumChar"/>
          <w:rtl/>
        </w:rPr>
        <w:t>(1)</w:t>
      </w:r>
      <w:r w:rsidRPr="00132E65">
        <w:rPr>
          <w:rtl/>
          <w:lang w:bidi="fa-IR"/>
        </w:rPr>
        <w:t xml:space="preserve"> </w:t>
      </w:r>
      <w:r>
        <w:rPr>
          <w:rtl/>
          <w:lang w:bidi="fa-IR"/>
        </w:rPr>
        <w:t>و</w:t>
      </w:r>
      <w:r w:rsidR="00BE5574">
        <w:rPr>
          <w:rFonts w:hint="cs"/>
          <w:rtl/>
          <w:lang w:bidi="fa-IR"/>
        </w:rPr>
        <w:t>َ</w:t>
      </w:r>
      <w:r>
        <w:rPr>
          <w:rtl/>
          <w:lang w:bidi="fa-IR"/>
        </w:rPr>
        <w:t xml:space="preserve"> </w:t>
      </w:r>
      <w:r w:rsidR="00BE5574" w:rsidRPr="00BE5574">
        <w:rPr>
          <w:rStyle w:val="libAlaemChar"/>
          <w:rFonts w:hint="cs"/>
          <w:rtl/>
        </w:rPr>
        <w:t>(</w:t>
      </w:r>
      <w:r w:rsidRPr="00BE5574">
        <w:rPr>
          <w:rStyle w:val="libAieChar"/>
          <w:rtl/>
        </w:rPr>
        <w:t>إِنّ</w:t>
      </w:r>
      <w:r w:rsidR="0096485F">
        <w:rPr>
          <w:rStyle w:val="libAieChar"/>
          <w:rFonts w:hint="cs"/>
          <w:rtl/>
        </w:rPr>
        <w:t>َ</w:t>
      </w:r>
      <w:r w:rsidRPr="00BE5574">
        <w:rPr>
          <w:rStyle w:val="libAieChar"/>
          <w:rtl/>
        </w:rPr>
        <w:t>ا فَتَحْن</w:t>
      </w:r>
      <w:r w:rsidR="0096485F">
        <w:rPr>
          <w:rStyle w:val="libAieChar"/>
          <w:rFonts w:hint="cs"/>
          <w:rtl/>
        </w:rPr>
        <w:t>َ</w:t>
      </w:r>
      <w:r w:rsidRPr="00BE5574">
        <w:rPr>
          <w:rStyle w:val="libAieChar"/>
          <w:rtl/>
        </w:rPr>
        <w:t>ا لَكَ</w:t>
      </w:r>
      <w:r w:rsidRPr="00132E65">
        <w:rPr>
          <w:rtl/>
          <w:lang w:bidi="fa-IR"/>
        </w:rPr>
        <w:t xml:space="preserve"> </w:t>
      </w:r>
      <w:r w:rsidR="00BE5574" w:rsidRPr="00BE5574">
        <w:rPr>
          <w:rStyle w:val="libAlaemChar"/>
          <w:rFonts w:hint="cs"/>
          <w:rtl/>
        </w:rPr>
        <w:t>)</w:t>
      </w:r>
      <w:r w:rsidR="00BE5574">
        <w:rPr>
          <w:rStyle w:val="libFootnotenumChar"/>
          <w:rtl/>
        </w:rPr>
        <w:t xml:space="preserve"> </w:t>
      </w:r>
      <w:r>
        <w:rPr>
          <w:rStyle w:val="libFootnotenumChar"/>
          <w:rtl/>
        </w:rPr>
        <w:t>(2)</w:t>
      </w:r>
      <w:r w:rsidRPr="00132E65">
        <w:rPr>
          <w:rtl/>
          <w:lang w:bidi="fa-IR"/>
        </w:rPr>
        <w:t xml:space="preserve"> و</w:t>
      </w:r>
      <w:r w:rsidR="0096485F">
        <w:rPr>
          <w:rFonts w:hint="cs"/>
          <w:rtl/>
          <w:lang w:bidi="fa-IR"/>
        </w:rPr>
        <w:t xml:space="preserve">َ </w:t>
      </w:r>
      <w:r w:rsidRPr="00132E65">
        <w:rPr>
          <w:rtl/>
          <w:lang w:bidi="fa-IR"/>
        </w:rPr>
        <w:t xml:space="preserve">قَالَ </w:t>
      </w:r>
      <w:r>
        <w:rPr>
          <w:rStyle w:val="libFootnotenumChar"/>
          <w:rtl/>
        </w:rPr>
        <w:t>(3)</w:t>
      </w:r>
      <w:r w:rsidRPr="00132E65">
        <w:rPr>
          <w:rtl/>
          <w:lang w:bidi="fa-IR"/>
        </w:rPr>
        <w:t xml:space="preserve"> :</w:t>
      </w:r>
    </w:p>
    <w:p w:rsidR="000C39D1" w:rsidRPr="00132E65" w:rsidRDefault="000C39D1" w:rsidP="0096485F">
      <w:pPr>
        <w:pStyle w:val="libNormal"/>
        <w:rPr>
          <w:rtl/>
          <w:lang w:bidi="fa-IR"/>
        </w:rPr>
      </w:pPr>
      <w:r w:rsidRPr="00071CF9">
        <w:rPr>
          <w:rStyle w:val="libAlaemChar"/>
          <w:rtl/>
        </w:rPr>
        <w:t>(</w:t>
      </w:r>
      <w:r w:rsidRPr="00071CF9">
        <w:rPr>
          <w:rStyle w:val="libAieChar"/>
          <w:rtl/>
        </w:rPr>
        <w:t xml:space="preserve"> الْحَمْدُ لِلّهِ</w:t>
      </w:r>
      <w:r w:rsidR="0096485F">
        <w:rPr>
          <w:rStyle w:val="libAieChar"/>
          <w:rFonts w:hint="cs"/>
          <w:rtl/>
        </w:rPr>
        <w:t>ِ</w:t>
      </w:r>
      <w:r w:rsidRPr="00071CF9">
        <w:rPr>
          <w:rStyle w:val="libAieChar"/>
          <w:rtl/>
        </w:rPr>
        <w:t xml:space="preserve"> الَّذِي صَدَقَنا وَعْدَهُ وَأَوْرَثَنَا الْأَرْضَ نَتَبَوَّأُ </w:t>
      </w:r>
      <w:r>
        <w:rPr>
          <w:rStyle w:val="libFootnotenumChar"/>
          <w:rtl/>
        </w:rPr>
        <w:t>(4)</w:t>
      </w:r>
      <w:r w:rsidRPr="00071CF9">
        <w:rPr>
          <w:rStyle w:val="libAieChar"/>
          <w:rtl/>
        </w:rPr>
        <w:t xml:space="preserve"> مِنَ الْجَنَّةِ حَيْثُ نَشاءُ فَنِعْمَ أَجْرُ الْعامِلِينَ</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 ثُمَّ قُبِضَ مِنْ سَاعَتِهِ و</w:t>
      </w:r>
      <w:r w:rsidR="0096485F">
        <w:rPr>
          <w:rFonts w:hint="cs"/>
          <w:rtl/>
          <w:lang w:bidi="fa-IR"/>
        </w:rPr>
        <w:t xml:space="preserve">َ </w:t>
      </w:r>
      <w:r w:rsidRPr="00132E65">
        <w:rPr>
          <w:rtl/>
          <w:lang w:bidi="fa-IR"/>
        </w:rPr>
        <w:t>لَمْ يَقُلْ شَيْئاً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CE3618">
        <w:rPr>
          <w:rtl/>
        </w:rPr>
        <w:t>1274</w:t>
      </w:r>
      <w:r w:rsidRPr="004325D8">
        <w:rPr>
          <w:rStyle w:val="libBold2Char"/>
          <w:rtl/>
        </w:rPr>
        <w:t xml:space="preserve"> / 6.</w:t>
      </w:r>
      <w:r w:rsidRPr="00132E65">
        <w:rPr>
          <w:rtl/>
          <w:lang w:bidi="fa-IR"/>
        </w:rPr>
        <w:t xml:space="preserve"> سَعْدُ بْنُ عَبْدِ اللهِ و</w:t>
      </w:r>
      <w:r w:rsidR="0096485F">
        <w:rPr>
          <w:rFonts w:hint="cs"/>
          <w:rtl/>
          <w:lang w:bidi="fa-IR"/>
        </w:rPr>
        <w:t xml:space="preserve">َ </w:t>
      </w:r>
      <w:r w:rsidRPr="00132E65">
        <w:rPr>
          <w:rtl/>
          <w:lang w:bidi="fa-IR"/>
        </w:rPr>
        <w:t xml:space="preserve">عَبْدُ اللهِ بْنُ جَعْفَرٍ الْحِمْيَرِيُّ ، عَنْ إِبْرَاهِيمَ بْنِ مَهْزِيَارَ ، عَنْ أَخِيهِ عَلِيِّ بْنِ مَهْزِيَارَ </w:t>
      </w:r>
      <w:r>
        <w:rPr>
          <w:rStyle w:val="libFootnotenumChar"/>
          <w:rtl/>
        </w:rPr>
        <w:t>(7)</w:t>
      </w:r>
      <w:r w:rsidRPr="00132E65">
        <w:rPr>
          <w:rtl/>
          <w:lang w:bidi="fa-IR"/>
        </w:rPr>
        <w:t xml:space="preserve"> ، عَنِ الْحُسَيْنِ بْنِ سَعِيدٍ ، عَنْ مُحَمَّدِ بْنِ سِنَانٍ ، عَنِ ابْنِ مُسْكَانَ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قُبِضَ عَلِيُّ بْنُ الْحُسَيْنِ </w:t>
      </w:r>
      <w:r w:rsidRPr="00071CF9">
        <w:rPr>
          <w:rStyle w:val="libAlaemChar"/>
          <w:rtl/>
        </w:rPr>
        <w:t>عليهما‌السلام</w:t>
      </w:r>
      <w:r w:rsidRPr="00132E65">
        <w:rPr>
          <w:rtl/>
          <w:lang w:bidi="fa-IR"/>
        </w:rPr>
        <w:t xml:space="preserve"> و</w:t>
      </w:r>
      <w:r w:rsidR="0096485F">
        <w:rPr>
          <w:rFonts w:hint="cs"/>
          <w:rtl/>
          <w:lang w:bidi="fa-IR"/>
        </w:rPr>
        <w:t xml:space="preserve">َ </w:t>
      </w:r>
      <w:r w:rsidRPr="00132E65">
        <w:rPr>
          <w:rtl/>
          <w:lang w:bidi="fa-IR"/>
        </w:rPr>
        <w:t>هُوَ ابْنُ سَبْعٍ و</w:t>
      </w:r>
      <w:r w:rsidR="0096485F">
        <w:rPr>
          <w:rFonts w:hint="cs"/>
          <w:rtl/>
          <w:lang w:bidi="fa-IR"/>
        </w:rPr>
        <w:t xml:space="preserve">َ </w:t>
      </w:r>
      <w:r w:rsidRPr="00132E65">
        <w:rPr>
          <w:rtl/>
          <w:lang w:bidi="fa-IR"/>
        </w:rPr>
        <w:t>خَمْسِينَ سَنَةً فِي عَامِ خَمْسٍ و</w:t>
      </w:r>
      <w:r w:rsidR="0096485F">
        <w:rPr>
          <w:rFonts w:hint="cs"/>
          <w:rtl/>
          <w:lang w:bidi="fa-IR"/>
        </w:rPr>
        <w:t xml:space="preserve">َ </w:t>
      </w:r>
      <w:r w:rsidRPr="00132E65">
        <w:rPr>
          <w:rtl/>
          <w:lang w:bidi="fa-IR"/>
        </w:rPr>
        <w:t xml:space="preserve">تِسْعِينَ </w:t>
      </w:r>
      <w:r>
        <w:rPr>
          <w:rStyle w:val="libFootnotenumChar"/>
          <w:rtl/>
        </w:rPr>
        <w:t>(8)</w:t>
      </w:r>
      <w:r w:rsidRPr="00132E65">
        <w:rPr>
          <w:rtl/>
          <w:lang w:bidi="fa-IR"/>
        </w:rPr>
        <w:t xml:space="preserve"> ؛ عَاشَ بَعْدَ الْحُسَيْنِ </w:t>
      </w:r>
      <w:r w:rsidRPr="00071CF9">
        <w:rPr>
          <w:rStyle w:val="libAlaemChar"/>
          <w:rtl/>
        </w:rPr>
        <w:t>عليه‌السلام</w:t>
      </w:r>
      <w:r w:rsidRPr="00132E65">
        <w:rPr>
          <w:rtl/>
          <w:lang w:bidi="fa-IR"/>
        </w:rPr>
        <w:t xml:space="preserve"> خَمْساً و</w:t>
      </w:r>
      <w:r w:rsidR="0096485F">
        <w:rPr>
          <w:rFonts w:hint="cs"/>
          <w:rtl/>
          <w:lang w:bidi="fa-IR"/>
        </w:rPr>
        <w:t xml:space="preserve">َ </w:t>
      </w:r>
      <w:r w:rsidRPr="00132E65">
        <w:rPr>
          <w:rtl/>
          <w:lang w:bidi="fa-IR"/>
        </w:rPr>
        <w:t>ثَلَاثِينَ سَنَةً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624D2C" w:rsidP="002F0CE4">
      <w:pPr>
        <w:pStyle w:val="libFootnote0"/>
        <w:rPr>
          <w:rtl/>
          <w:lang w:bidi="fa-IR"/>
        </w:rPr>
      </w:pPr>
      <w:r>
        <w:rPr>
          <w:rFonts w:hint="cs"/>
          <w:rtl/>
        </w:rPr>
        <w:t>=</w:t>
      </w:r>
      <w:r w:rsidR="000C39D1" w:rsidRPr="00132E65">
        <w:rPr>
          <w:rtl/>
        </w:rPr>
        <w:t>ترجمته. فليُكتَبِ العنوان هكذا : « الحسن بن عليّ ابن بنت إلياس »</w:t>
      </w:r>
      <w:r w:rsidR="000C39D1">
        <w:rPr>
          <w:rtl/>
        </w:rPr>
        <w:t>.</w:t>
      </w:r>
      <w:r w:rsidR="000C39D1" w:rsidRPr="00132E65">
        <w:rPr>
          <w:rtl/>
        </w:rPr>
        <w:t xml:space="preserve"> ولا يكتب « الحسن بن عليّ بن بنت إلياس » كما في المطبوع. راجع : </w:t>
      </w:r>
      <w:r w:rsidR="000C39D1" w:rsidRPr="00CE3618">
        <w:rPr>
          <w:rtl/>
        </w:rPr>
        <w:t>رجال النجاشي</w:t>
      </w:r>
      <w:r w:rsidR="000C39D1" w:rsidRPr="00132E65">
        <w:rPr>
          <w:rtl/>
        </w:rPr>
        <w:t xml:space="preserve"> ، ص 39 ، الرقم 80 ؛ </w:t>
      </w:r>
      <w:r w:rsidR="000C39D1" w:rsidRPr="00CE3618">
        <w:rPr>
          <w:rtl/>
        </w:rPr>
        <w:t>الفهرست</w:t>
      </w:r>
      <w:r w:rsidR="000C39D1" w:rsidRPr="00132E65">
        <w:rPr>
          <w:rtl/>
        </w:rPr>
        <w:t xml:space="preserve"> للطوسي ، ص 138 ، الرقم 202 ؛ </w:t>
      </w:r>
      <w:r w:rsidR="000C39D1" w:rsidRPr="00CE3618">
        <w:rPr>
          <w:rtl/>
        </w:rPr>
        <w:t>رجال الطوسي</w:t>
      </w:r>
      <w:r w:rsidR="000C39D1" w:rsidRPr="00132E65">
        <w:rPr>
          <w:rtl/>
        </w:rPr>
        <w:t xml:space="preserve"> ، ص 354 ، الرقم 5244 ، وص 385 ، الرقم 5665.</w:t>
      </w:r>
    </w:p>
    <w:tbl>
      <w:tblPr>
        <w:tblStyle w:val="TableGrid"/>
        <w:bidiVisual/>
        <w:tblW w:w="0" w:type="auto"/>
        <w:tblLook w:val="04A0" w:firstRow="1" w:lastRow="0" w:firstColumn="1" w:lastColumn="0" w:noHBand="0" w:noVBand="1"/>
      </w:tblPr>
      <w:tblGrid>
        <w:gridCol w:w="4261"/>
        <w:gridCol w:w="4262"/>
      </w:tblGrid>
      <w:tr w:rsidR="002F0CE4" w:rsidTr="002F0CE4">
        <w:tc>
          <w:tcPr>
            <w:tcW w:w="4261" w:type="dxa"/>
          </w:tcPr>
          <w:p w:rsidR="002F0CE4" w:rsidRDefault="002F0CE4" w:rsidP="000C39D1">
            <w:pPr>
              <w:pStyle w:val="libFootnote0"/>
              <w:rPr>
                <w:rtl/>
              </w:rPr>
            </w:pPr>
            <w:r>
              <w:rPr>
                <w:rtl/>
              </w:rPr>
              <w:t>(1).</w:t>
            </w:r>
            <w:r w:rsidRPr="00132E65">
              <w:rPr>
                <w:rtl/>
              </w:rPr>
              <w:t xml:space="preserve"> هي سورة الواقعة (56)</w:t>
            </w:r>
            <w:r>
              <w:rPr>
                <w:rtl/>
              </w:rPr>
              <w:t>.</w:t>
            </w:r>
          </w:p>
        </w:tc>
        <w:tc>
          <w:tcPr>
            <w:tcW w:w="4262" w:type="dxa"/>
          </w:tcPr>
          <w:p w:rsidR="002F0CE4" w:rsidRDefault="002F0CE4" w:rsidP="000C39D1">
            <w:pPr>
              <w:pStyle w:val="libFootnote0"/>
              <w:rPr>
                <w:rtl/>
              </w:rPr>
            </w:pPr>
            <w:r>
              <w:rPr>
                <w:rtl/>
              </w:rPr>
              <w:t>(2).</w:t>
            </w:r>
            <w:r w:rsidRPr="00132E65">
              <w:rPr>
                <w:rtl/>
              </w:rPr>
              <w:t>في«ف»:</w:t>
            </w:r>
            <w:r>
              <w:rPr>
                <w:rtl/>
              </w:rPr>
              <w:t>+</w:t>
            </w:r>
            <w:r w:rsidRPr="00132E65">
              <w:rPr>
                <w:rtl/>
              </w:rPr>
              <w:t>«فَتْحَاً»</w:t>
            </w:r>
            <w:r>
              <w:rPr>
                <w:rtl/>
              </w:rPr>
              <w:t>.</w:t>
            </w:r>
            <w:r w:rsidRPr="00132E65">
              <w:rPr>
                <w:rtl/>
              </w:rPr>
              <w:t>وهي سورة الفتح</w:t>
            </w:r>
            <w:r>
              <w:t xml:space="preserve"> </w:t>
            </w:r>
            <w:r w:rsidRPr="00132E65">
              <w:rPr>
                <w:rtl/>
              </w:rPr>
              <w:t>(48)</w:t>
            </w:r>
            <w:r>
              <w:rPr>
                <w:rtl/>
              </w:rPr>
              <w:t>.</w:t>
            </w:r>
          </w:p>
        </w:tc>
      </w:tr>
    </w:tbl>
    <w:p w:rsidR="000C39D1" w:rsidRPr="00132E65" w:rsidRDefault="000C39D1" w:rsidP="000C39D1">
      <w:pPr>
        <w:pStyle w:val="libFootnote0"/>
        <w:rPr>
          <w:rtl/>
          <w:lang w:bidi="fa-IR"/>
        </w:rPr>
      </w:pPr>
      <w:r>
        <w:rPr>
          <w:rtl/>
        </w:rPr>
        <w:t>(3).</w:t>
      </w:r>
      <w:r w:rsidRPr="00132E65">
        <w:rPr>
          <w:rtl/>
        </w:rPr>
        <w:t xml:space="preserve"> في « بح » : « فقال »</w:t>
      </w:r>
      <w:r>
        <w:rPr>
          <w:rtl/>
        </w:rPr>
        <w:t>.</w:t>
      </w:r>
    </w:p>
    <w:p w:rsidR="000C39D1" w:rsidRPr="00132E65" w:rsidRDefault="000C39D1" w:rsidP="002F0CE4">
      <w:pPr>
        <w:pStyle w:val="libFootnote0"/>
        <w:rPr>
          <w:rtl/>
          <w:lang w:bidi="fa-IR"/>
        </w:rPr>
      </w:pPr>
      <w:r>
        <w:rPr>
          <w:rtl/>
        </w:rPr>
        <w:t>(4).</w:t>
      </w:r>
      <w:r w:rsidRPr="00132E65">
        <w:rPr>
          <w:rtl/>
        </w:rPr>
        <w:t xml:space="preserve"> « نتبوَّا</w:t>
      </w:r>
      <w:r w:rsidR="002F0CE4">
        <w:rPr>
          <w:rFonts w:hint="cs"/>
          <w:rtl/>
        </w:rPr>
        <w:t>ُ</w:t>
      </w:r>
      <w:r w:rsidRPr="00132E65">
        <w:rPr>
          <w:rtl/>
        </w:rPr>
        <w:t xml:space="preserve"> » ، أي ننزل منازلها حيث نهوى. يقال : تبوّأت منزلاً ، أي نزلته. راجع : </w:t>
      </w:r>
      <w:r w:rsidRPr="00CE3618">
        <w:rPr>
          <w:rtl/>
        </w:rPr>
        <w:t>الصحاح</w:t>
      </w:r>
      <w:r w:rsidRPr="00132E65">
        <w:rPr>
          <w:rtl/>
        </w:rPr>
        <w:t xml:space="preserve"> ، ج 1 ، ص 37 ؛ </w:t>
      </w:r>
      <w:r w:rsidRPr="00CE3618">
        <w:rPr>
          <w:rtl/>
        </w:rPr>
        <w:t>مجمع‌البحرين ، ج</w:t>
      </w:r>
      <w:r w:rsidRPr="00132E65">
        <w:rPr>
          <w:rtl/>
        </w:rPr>
        <w:t xml:space="preserve"> 1 ، ص 67 ( بوأ )</w:t>
      </w:r>
      <w:r>
        <w:rPr>
          <w:rtl/>
        </w:rPr>
        <w:t>.</w:t>
      </w:r>
      <w:r w:rsidR="002F0CE4">
        <w:rPr>
          <w:rFonts w:hint="cs"/>
          <w:rtl/>
        </w:rPr>
        <w:t xml:space="preserve">                       </w:t>
      </w:r>
      <w:r>
        <w:rPr>
          <w:rtl/>
        </w:rPr>
        <w:t>(5).</w:t>
      </w:r>
      <w:r w:rsidRPr="00132E65">
        <w:rPr>
          <w:rtl/>
        </w:rPr>
        <w:t xml:space="preserve"> الزمر (39) : 74.</w:t>
      </w:r>
    </w:p>
    <w:p w:rsidR="000C39D1" w:rsidRPr="00132E65" w:rsidRDefault="000C39D1" w:rsidP="000C39D1">
      <w:pPr>
        <w:pStyle w:val="libFootnote0"/>
        <w:rPr>
          <w:rtl/>
          <w:lang w:bidi="fa-IR"/>
        </w:rPr>
      </w:pPr>
      <w:r>
        <w:rPr>
          <w:rtl/>
        </w:rPr>
        <w:t>(6).</w:t>
      </w:r>
      <w:r w:rsidRPr="00132E65">
        <w:rPr>
          <w:rtl/>
        </w:rPr>
        <w:t xml:space="preserve"> </w:t>
      </w:r>
      <w:r w:rsidRPr="00CE3618">
        <w:rPr>
          <w:rtl/>
        </w:rPr>
        <w:t>تفسير القمّي</w:t>
      </w:r>
      <w:r w:rsidRPr="00132E65">
        <w:rPr>
          <w:rtl/>
        </w:rPr>
        <w:t xml:space="preserve"> ، ج 2 ، ص 254 بسند آخر ؛ </w:t>
      </w:r>
      <w:r w:rsidRPr="00CE3618">
        <w:rPr>
          <w:rtl/>
        </w:rPr>
        <w:t>التهذيب</w:t>
      </w:r>
      <w:r w:rsidRPr="00132E65">
        <w:rPr>
          <w:rtl/>
        </w:rPr>
        <w:t xml:space="preserve"> ، ج 1 ، ص 451 ، ح 1469 ، بسند آخر عن أبي عبد الله </w:t>
      </w:r>
      <w:r w:rsidRPr="00FE5E1F">
        <w:rPr>
          <w:rStyle w:val="libFootnoteAlaemChar"/>
          <w:rtl/>
        </w:rPr>
        <w:t>عليه‌السلام</w:t>
      </w:r>
      <w:r w:rsidRPr="00132E65">
        <w:rPr>
          <w:rtl/>
        </w:rPr>
        <w:t xml:space="preserve"> ، مع زيادة في أوّله واختلاف. وفي </w:t>
      </w:r>
      <w:r w:rsidRPr="000577A7">
        <w:rPr>
          <w:rStyle w:val="libFootnoteBoldChar"/>
          <w:rtl/>
        </w:rPr>
        <w:t>الكافي</w:t>
      </w:r>
      <w:r w:rsidRPr="00132E65">
        <w:rPr>
          <w:rtl/>
        </w:rPr>
        <w:t xml:space="preserve"> ، كتاب الجنائز ، باب حدّ حفر القبر واللحد</w:t>
      </w:r>
      <w:r>
        <w:rPr>
          <w:rtl/>
        </w:rPr>
        <w:t xml:space="preserve"> ..</w:t>
      </w:r>
      <w:r w:rsidRPr="00132E65">
        <w:rPr>
          <w:rtl/>
        </w:rPr>
        <w:t xml:space="preserve">. ، ح 4434 عن سهل بن زياد من دون الإسناد إلى المعصوم </w:t>
      </w:r>
      <w:r w:rsidRPr="00FE5E1F">
        <w:rPr>
          <w:rStyle w:val="libFootnoteAlaemChar"/>
          <w:rtl/>
        </w:rPr>
        <w:t>عليه‌السلام</w:t>
      </w:r>
      <w:r w:rsidRPr="00132E65">
        <w:rPr>
          <w:rtl/>
        </w:rPr>
        <w:t xml:space="preserve"> ، مع زيادة في أوّله واختلاف </w:t>
      </w:r>
      <w:r w:rsidR="00FF4426">
        <w:rPr>
          <w:rFonts w:hint="cs"/>
          <w:rtl/>
        </w:rPr>
        <w:t>.</w:t>
      </w:r>
      <w:r w:rsidRPr="009D1ACE">
        <w:rPr>
          <w:rStyle w:val="libFootnoteBoldChar"/>
          <w:rtl/>
        </w:rPr>
        <w:t>الوافي</w:t>
      </w:r>
      <w:r w:rsidRPr="00132E65">
        <w:rPr>
          <w:rtl/>
        </w:rPr>
        <w:t xml:space="preserve"> ، ج 3 ، ص 766 ، ح 1390 ؛ </w:t>
      </w:r>
      <w:r w:rsidRPr="00CE3618">
        <w:rPr>
          <w:rtl/>
        </w:rPr>
        <w:t>البحار</w:t>
      </w:r>
      <w:r w:rsidRPr="00132E65">
        <w:rPr>
          <w:rtl/>
        </w:rPr>
        <w:t xml:space="preserve"> ، ج 46 ، ص 152 ، ح 13.</w:t>
      </w:r>
    </w:p>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عن أخيه عليّ بن مهزيار »</w:t>
      </w:r>
      <w:r>
        <w:rPr>
          <w:rtl/>
        </w:rPr>
        <w:t>.</w:t>
      </w:r>
      <w:r w:rsidRPr="00132E65">
        <w:rPr>
          <w:rtl/>
        </w:rPr>
        <w:t xml:space="preserve"> وهو سهو ناشٍ من جواز النظر من « مهزيار » في « إبراهيم بن‌مهزيار » إلى « مهزيار » في « عليّ بن مهزيار » فوقع السقط. يشهد لذلك ما تقدّم وما يأتي من فقرات الخبر المختلفة ، عن إبراهيم بن مهزيار ، عن أخيه عليّ بن مهزيار ، عن الحسين بن سعيد ، لاحظ </w:t>
      </w:r>
      <w:r w:rsidRPr="000577A7">
        <w:rPr>
          <w:rStyle w:val="libFootnoteBoldChar"/>
          <w:rtl/>
        </w:rPr>
        <w:t>الكافي</w:t>
      </w:r>
      <w:r w:rsidRPr="00132E65">
        <w:rPr>
          <w:rtl/>
        </w:rPr>
        <w:t xml:space="preserve"> ، ح 1255 </w:t>
      </w:r>
      <w:r>
        <w:rPr>
          <w:rtl/>
        </w:rPr>
        <w:t>و 1</w:t>
      </w:r>
      <w:r w:rsidRPr="00132E65">
        <w:rPr>
          <w:rtl/>
        </w:rPr>
        <w:t xml:space="preserve">260 </w:t>
      </w:r>
      <w:r>
        <w:rPr>
          <w:rtl/>
        </w:rPr>
        <w:t>و 1</w:t>
      </w:r>
      <w:r w:rsidRPr="00132E65">
        <w:rPr>
          <w:rtl/>
        </w:rPr>
        <w:t xml:space="preserve">280 </w:t>
      </w:r>
      <w:r>
        <w:rPr>
          <w:rtl/>
        </w:rPr>
        <w:t>و 1</w:t>
      </w:r>
      <w:r w:rsidRPr="00132E65">
        <w:rPr>
          <w:rtl/>
        </w:rPr>
        <w:t xml:space="preserve">287 </w:t>
      </w:r>
      <w:r>
        <w:rPr>
          <w:rtl/>
        </w:rPr>
        <w:t>و 1</w:t>
      </w:r>
      <w:r w:rsidRPr="00132E65">
        <w:rPr>
          <w:rtl/>
        </w:rPr>
        <w:t xml:space="preserve">297 </w:t>
      </w:r>
      <w:r>
        <w:rPr>
          <w:rtl/>
        </w:rPr>
        <w:t>و 1</w:t>
      </w:r>
      <w:r w:rsidRPr="00132E65">
        <w:rPr>
          <w:rtl/>
        </w:rPr>
        <w:t>308.</w:t>
      </w:r>
    </w:p>
    <w:p w:rsidR="000C39D1" w:rsidRPr="00132E65" w:rsidRDefault="000C39D1" w:rsidP="000C39D1">
      <w:pPr>
        <w:pStyle w:val="libFootnote0"/>
        <w:rPr>
          <w:rtl/>
          <w:lang w:bidi="fa-IR"/>
        </w:rPr>
      </w:pPr>
      <w:r>
        <w:rPr>
          <w:rtl/>
        </w:rPr>
        <w:t>(8).</w:t>
      </w:r>
      <w:r w:rsidRPr="00132E65">
        <w:rPr>
          <w:rtl/>
        </w:rPr>
        <w:t xml:space="preserve"> في « ج ، ض ، بح ، بف » وحاشية بدرالدين : « سبعين »</w:t>
      </w:r>
      <w:r>
        <w:rPr>
          <w:rtl/>
        </w:rPr>
        <w:t>.</w:t>
      </w:r>
      <w:r w:rsidRPr="00132E65">
        <w:rPr>
          <w:rtl/>
        </w:rPr>
        <w:t xml:space="preserve"> وفي « ف » :</w:t>
      </w:r>
      <w:r>
        <w:rPr>
          <w:rtl/>
        </w:rPr>
        <w:t xml:space="preserve"> + </w:t>
      </w:r>
      <w:r w:rsidRPr="00132E65">
        <w:rPr>
          <w:rtl/>
        </w:rPr>
        <w:t>«</w:t>
      </w:r>
      <w:r>
        <w:rPr>
          <w:rtl/>
        </w:rPr>
        <w:t xml:space="preserve"> و ».</w:t>
      </w:r>
      <w:r w:rsidRPr="00132E65">
        <w:rPr>
          <w:rtl/>
        </w:rPr>
        <w:t xml:space="preserve"> وفي البحار :</w:t>
      </w:r>
      <w:r>
        <w:rPr>
          <w:rtl/>
        </w:rPr>
        <w:t xml:space="preserve"> + </w:t>
      </w:r>
      <w:r w:rsidRPr="00132E65">
        <w:rPr>
          <w:rtl/>
        </w:rPr>
        <w:t>« سنة</w:t>
      </w:r>
      <w:r>
        <w:rPr>
          <w:rtl/>
        </w:rPr>
        <w:t xml:space="preserve"> و ».</w:t>
      </w:r>
    </w:p>
    <w:p w:rsidR="000C39D1" w:rsidRPr="00132E65" w:rsidRDefault="000C39D1" w:rsidP="000C39D1">
      <w:pPr>
        <w:pStyle w:val="libFootnote0"/>
        <w:rPr>
          <w:rtl/>
          <w:lang w:bidi="fa-IR"/>
        </w:rPr>
      </w:pPr>
      <w:r>
        <w:rPr>
          <w:rtl/>
        </w:rPr>
        <w:t>(9).</w:t>
      </w:r>
      <w:r w:rsidRPr="00132E65">
        <w:rPr>
          <w:rtl/>
        </w:rPr>
        <w:t xml:space="preserve"> </w:t>
      </w:r>
      <w:r w:rsidRPr="009D1ACE">
        <w:rPr>
          <w:rStyle w:val="libFootnoteBoldChar"/>
          <w:rtl/>
        </w:rPr>
        <w:t>الوافي</w:t>
      </w:r>
      <w:r w:rsidRPr="00132E65">
        <w:rPr>
          <w:rtl/>
        </w:rPr>
        <w:t xml:space="preserve"> ، ج 3 ، ص 766 ، ح 1391 ؛ </w:t>
      </w:r>
      <w:r w:rsidRPr="00CE3618">
        <w:rPr>
          <w:rtl/>
        </w:rPr>
        <w:t>البحار</w:t>
      </w:r>
      <w:r w:rsidRPr="00132E65">
        <w:rPr>
          <w:rtl/>
        </w:rPr>
        <w:t xml:space="preserve"> ، ج 46 ، ص 152 ، ح 14.</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68" w:name="_Toc459459160"/>
      <w:bookmarkStart w:id="169" w:name="_Toc34663129"/>
      <w:r w:rsidRPr="00132E65">
        <w:rPr>
          <w:rtl/>
          <w:lang w:bidi="fa-IR"/>
        </w:rPr>
        <w:t>118</w:t>
      </w:r>
      <w:r>
        <w:rPr>
          <w:rtl/>
          <w:lang w:bidi="fa-IR"/>
        </w:rPr>
        <w:t xml:space="preserve"> - </w:t>
      </w:r>
      <w:r w:rsidRPr="00132E65">
        <w:rPr>
          <w:rtl/>
          <w:lang w:bidi="fa-IR"/>
        </w:rPr>
        <w:t xml:space="preserve">بَابُ </w:t>
      </w:r>
      <w:r>
        <w:rPr>
          <w:rStyle w:val="libFootnotenumChar"/>
          <w:rtl/>
        </w:rPr>
        <w:t>(1)</w:t>
      </w:r>
      <w:r>
        <w:rPr>
          <w:rtl/>
          <w:lang w:bidi="fa-IR"/>
        </w:rPr>
        <w:t xml:space="preserve"> </w:t>
      </w:r>
      <w:r w:rsidRPr="00132E65">
        <w:rPr>
          <w:rtl/>
          <w:lang w:bidi="fa-IR"/>
        </w:rPr>
        <w:t xml:space="preserve">مَوْلِدِ أَبِي جَعْفَرٍ مُحَمَّدِ بْنِ عَلِيٍّ </w:t>
      </w:r>
      <w:r w:rsidRPr="00071CF9">
        <w:rPr>
          <w:rStyle w:val="libAlaemChar"/>
          <w:rtl/>
        </w:rPr>
        <w:t>عليه‌السلام</w:t>
      </w:r>
      <w:r w:rsidRPr="00132E65">
        <w:rPr>
          <w:rtl/>
          <w:lang w:bidi="fa-IR"/>
        </w:rPr>
        <w:t>‌</w:t>
      </w:r>
      <w:bookmarkEnd w:id="168"/>
      <w:bookmarkEnd w:id="169"/>
    </w:p>
    <w:p w:rsidR="000C39D1" w:rsidRPr="00132E65" w:rsidRDefault="000C39D1" w:rsidP="005C1D7A">
      <w:pPr>
        <w:pStyle w:val="libNormal0"/>
        <w:tabs>
          <w:tab w:val="left" w:pos="3968"/>
        </w:tabs>
        <w:rPr>
          <w:rtl/>
          <w:lang w:bidi="fa-IR"/>
        </w:rPr>
      </w:pPr>
      <w:r w:rsidRPr="00132E65">
        <w:rPr>
          <w:rtl/>
          <w:lang w:bidi="fa-IR"/>
        </w:rPr>
        <w:t xml:space="preserve">وُلِدَ أَبُو جَعْفَرٍ </w:t>
      </w:r>
      <w:r w:rsidRPr="00071CF9">
        <w:rPr>
          <w:rStyle w:val="libAlaemChar"/>
          <w:rtl/>
        </w:rPr>
        <w:t>عليه‌السلام</w:t>
      </w:r>
      <w:r w:rsidRPr="00132E65">
        <w:rPr>
          <w:rtl/>
          <w:lang w:bidi="fa-IR"/>
        </w:rPr>
        <w:t xml:space="preserve"> سَنَةَ سَبْعٍ و</w:t>
      </w:r>
      <w:r w:rsidR="005C1D7A">
        <w:rPr>
          <w:rFonts w:hint="cs"/>
          <w:rtl/>
          <w:lang w:bidi="fa-IR"/>
        </w:rPr>
        <w:t xml:space="preserve">َ </w:t>
      </w:r>
      <w:r w:rsidRPr="00132E65">
        <w:rPr>
          <w:rtl/>
          <w:lang w:bidi="fa-IR"/>
        </w:rPr>
        <w:t>خَمْسِينَ ؛ و</w:t>
      </w:r>
      <w:r w:rsidR="005C1D7A">
        <w:rPr>
          <w:rFonts w:hint="cs"/>
          <w:rtl/>
          <w:lang w:bidi="fa-IR"/>
        </w:rPr>
        <w:t xml:space="preserve">َ </w:t>
      </w:r>
      <w:r w:rsidRPr="00132E65">
        <w:rPr>
          <w:rtl/>
          <w:lang w:bidi="fa-IR"/>
        </w:rPr>
        <w:t xml:space="preserve">قُبِضَ </w:t>
      </w:r>
      <w:r w:rsidRPr="00071CF9">
        <w:rPr>
          <w:rStyle w:val="libAlaemChar"/>
          <w:rtl/>
        </w:rPr>
        <w:t>عليه‌السلام</w:t>
      </w:r>
      <w:r w:rsidRPr="00132E65">
        <w:rPr>
          <w:rtl/>
          <w:lang w:bidi="fa-IR"/>
        </w:rPr>
        <w:t xml:space="preserve"> سَنَةَ أَرْبَعَ عَشْرَةَ و</w:t>
      </w:r>
      <w:r w:rsidR="005C1D7A">
        <w:rPr>
          <w:rFonts w:hint="cs"/>
          <w:rtl/>
          <w:lang w:bidi="fa-IR"/>
        </w:rPr>
        <w:t xml:space="preserve">َ </w:t>
      </w:r>
      <w:r w:rsidRPr="00132E65">
        <w:rPr>
          <w:rtl/>
          <w:lang w:bidi="fa-IR"/>
        </w:rPr>
        <w:t>مِائَةٍ و</w:t>
      </w:r>
      <w:r w:rsidR="005C1D7A">
        <w:rPr>
          <w:rFonts w:hint="cs"/>
          <w:rtl/>
          <w:lang w:bidi="fa-IR"/>
        </w:rPr>
        <w:t xml:space="preserve">َ </w:t>
      </w:r>
      <w:r w:rsidRPr="00132E65">
        <w:rPr>
          <w:rtl/>
          <w:lang w:bidi="fa-IR"/>
        </w:rPr>
        <w:t>لَهُ سَبْعٌ وَخَمْسُونَ سَنَةً ؛ و</w:t>
      </w:r>
      <w:r w:rsidR="005C1D7A">
        <w:rPr>
          <w:rFonts w:hint="cs"/>
          <w:rtl/>
          <w:lang w:bidi="fa-IR"/>
        </w:rPr>
        <w:t xml:space="preserve">َ </w:t>
      </w:r>
      <w:r w:rsidRPr="00132E65">
        <w:rPr>
          <w:rtl/>
          <w:lang w:bidi="fa-IR"/>
        </w:rPr>
        <w:t xml:space="preserve">دُفِنَ بِالْبَقِيعِ بِالْمَدِينَةِ </w:t>
      </w:r>
      <w:r>
        <w:rPr>
          <w:rStyle w:val="libFootnotenumChar"/>
          <w:rtl/>
        </w:rPr>
        <w:t>(2)</w:t>
      </w:r>
      <w:r w:rsidRPr="00132E65">
        <w:rPr>
          <w:rtl/>
          <w:lang w:bidi="fa-IR"/>
        </w:rPr>
        <w:t xml:space="preserve"> فِي الْقَبْرِ </w:t>
      </w:r>
      <w:r>
        <w:rPr>
          <w:rStyle w:val="libFootnotenumChar"/>
          <w:rtl/>
        </w:rPr>
        <w:t>(3)</w:t>
      </w:r>
      <w:r w:rsidRPr="00132E65">
        <w:rPr>
          <w:rtl/>
          <w:lang w:bidi="fa-IR"/>
        </w:rPr>
        <w:t xml:space="preserve"> الَّذِي دُفِنَ فِيهِ أَبُوهُ عَلِيُّ بْنُ الْحُسَيْنِ </w:t>
      </w:r>
      <w:r w:rsidRPr="00071CF9">
        <w:rPr>
          <w:rStyle w:val="libAlaemChar"/>
          <w:rtl/>
        </w:rPr>
        <w:t>عليهما‌السلام</w:t>
      </w:r>
      <w:r w:rsidRPr="00132E65">
        <w:rPr>
          <w:rtl/>
          <w:lang w:bidi="fa-IR"/>
        </w:rPr>
        <w:t xml:space="preserve"> ؛ و</w:t>
      </w:r>
      <w:r w:rsidR="005C1D7A">
        <w:rPr>
          <w:rFonts w:hint="cs"/>
          <w:rtl/>
          <w:lang w:bidi="fa-IR"/>
        </w:rPr>
        <w:t xml:space="preserve">َ </w:t>
      </w:r>
      <w:r w:rsidRPr="00132E65">
        <w:rPr>
          <w:rtl/>
          <w:lang w:bidi="fa-IR"/>
        </w:rPr>
        <w:t xml:space="preserve">كَانَتْ أُمُّهُ </w:t>
      </w:r>
      <w:r>
        <w:rPr>
          <w:rStyle w:val="libFootnotenumChar"/>
          <w:rtl/>
        </w:rPr>
        <w:t>(4)</w:t>
      </w:r>
      <w:r w:rsidRPr="00132E65">
        <w:rPr>
          <w:rtl/>
          <w:lang w:bidi="fa-IR"/>
        </w:rPr>
        <w:t xml:space="preserve"> أُمَّ عَبْدِ اللهِ </w:t>
      </w:r>
      <w:r>
        <w:rPr>
          <w:rStyle w:val="libFootnotenumChar"/>
          <w:rtl/>
        </w:rPr>
        <w:t>(5)</w:t>
      </w:r>
      <w:r w:rsidRPr="00132E65">
        <w:rPr>
          <w:rtl/>
          <w:lang w:bidi="fa-IR"/>
        </w:rPr>
        <w:t xml:space="preserve"> بِنْتَ الْحَسَنِ بْنِ عَلِيِّ بْنِ أَبِي طَالِبٍ </w:t>
      </w:r>
      <w:r w:rsidR="00342998">
        <w:rPr>
          <w:rFonts w:hint="cs"/>
          <w:rtl/>
          <w:lang w:bidi="fa-IR"/>
        </w:rPr>
        <w:t xml:space="preserve">عَلّيْهِمُ السَّلَامُ </w:t>
      </w:r>
      <w:r w:rsidRPr="00132E65">
        <w:rPr>
          <w:rtl/>
          <w:lang w:bidi="fa-IR"/>
        </w:rPr>
        <w:t>و</w:t>
      </w:r>
      <w:r w:rsidR="00342998">
        <w:rPr>
          <w:rFonts w:hint="cs"/>
          <w:rtl/>
          <w:lang w:bidi="fa-IR"/>
        </w:rPr>
        <w:t xml:space="preserve">َ </w:t>
      </w:r>
      <w:r w:rsidRPr="00132E65">
        <w:rPr>
          <w:rtl/>
          <w:lang w:bidi="fa-IR"/>
        </w:rPr>
        <w:t xml:space="preserve">عَلى ذُرِّيَّتِهِمُ </w:t>
      </w:r>
      <w:r>
        <w:rPr>
          <w:rStyle w:val="libFootnotenumChar"/>
          <w:rtl/>
        </w:rPr>
        <w:t>(6)</w:t>
      </w:r>
      <w:r w:rsidRPr="00132E65">
        <w:rPr>
          <w:rtl/>
          <w:lang w:bidi="fa-IR"/>
        </w:rPr>
        <w:t xml:space="preserve"> الْهَادِيَةِ.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CE3618">
        <w:rPr>
          <w:rtl/>
        </w:rPr>
        <w:t>1275</w:t>
      </w:r>
      <w:r w:rsidRPr="004325D8">
        <w:rPr>
          <w:rStyle w:val="libBold2Char"/>
          <w:rtl/>
        </w:rPr>
        <w:t xml:space="preserve"> / 1.</w:t>
      </w:r>
      <w:r w:rsidRPr="00132E65">
        <w:rPr>
          <w:rtl/>
          <w:lang w:bidi="fa-IR"/>
        </w:rPr>
        <w:t xml:space="preserve"> مُحَمَّدُ بْنُ يَحْيى ، عَنْ مُحَمَّدِ بْنِ أَحْمَدَ ، عَنْ عَبْدِ اللهِ بْنِ أَحْمَدَ ، عَنْ صَالِحِ بْنِ مَزْيَدٍ </w:t>
      </w:r>
      <w:r>
        <w:rPr>
          <w:rStyle w:val="libFootnotenumChar"/>
          <w:rtl/>
        </w:rPr>
        <w:t>(8)</w:t>
      </w:r>
      <w:r w:rsidRPr="00132E65">
        <w:rPr>
          <w:rtl/>
          <w:lang w:bidi="fa-IR"/>
        </w:rPr>
        <w:t xml:space="preserve"> ، عَنْ عَبْدِ اللهِ بْنِ الْمُغِيرَةِ ، عَنْ أَبِي الصَّبَّاحِ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كَانَتْ أُمِّي قَاعِدَةً عِنْدَ جِدَارٍ ، فَتَصَدَّعَ </w:t>
      </w:r>
      <w:r>
        <w:rPr>
          <w:rStyle w:val="libFootnotenumChar"/>
          <w:rtl/>
        </w:rPr>
        <w:t>(9)</w:t>
      </w:r>
      <w:r w:rsidRPr="00132E65">
        <w:rPr>
          <w:rtl/>
          <w:lang w:bidi="fa-IR"/>
        </w:rPr>
        <w:t xml:space="preserve"> الْجِدَارُ ، و</w:t>
      </w:r>
      <w:r w:rsidR="00342998">
        <w:rPr>
          <w:rFonts w:hint="cs"/>
          <w:rtl/>
          <w:lang w:bidi="fa-IR"/>
        </w:rPr>
        <w:t xml:space="preserve">َ </w:t>
      </w:r>
      <w:r w:rsidRPr="00132E65">
        <w:rPr>
          <w:rtl/>
          <w:lang w:bidi="fa-IR"/>
        </w:rPr>
        <w:t xml:space="preserve">سَمِعْنَا هَدَّةً </w:t>
      </w:r>
      <w:r>
        <w:rPr>
          <w:rStyle w:val="libFootnotenumChar"/>
          <w:rtl/>
        </w:rPr>
        <w:t>(10)</w:t>
      </w:r>
      <w:r w:rsidRPr="00132E65">
        <w:rPr>
          <w:rtl/>
          <w:lang w:bidi="fa-IR"/>
        </w:rPr>
        <w:t xml:space="preserve"> شَدِيدَةً ، فَقَالَتْ بِيَدِهَا : لَا ، و</w:t>
      </w:r>
      <w:r w:rsidR="00342998">
        <w:rPr>
          <w:rFonts w:hint="cs"/>
          <w:rtl/>
          <w:lang w:bidi="fa-IR"/>
        </w:rPr>
        <w:t xml:space="preserve">َ </w:t>
      </w:r>
      <w:r w:rsidRPr="00132E65">
        <w:rPr>
          <w:rtl/>
          <w:lang w:bidi="fa-IR"/>
        </w:rPr>
        <w:t xml:space="preserve">حَقِّ الْمُصْطَفى ، مَا أَذِنَ اللهُ لَكَ فِي السُّقُوطِ ، فَبَقِيَ مُعَلَّقاً فِي الْجَوِّ حَتّى جَازَتْهُ ، فَتَصَدَّقَ أَبِي عَنْهَا </w:t>
      </w:r>
      <w:r>
        <w:rPr>
          <w:rStyle w:val="libFootnotenumChar"/>
          <w:rtl/>
        </w:rPr>
        <w:t>(11)</w:t>
      </w:r>
      <w:r w:rsidRPr="00132E65">
        <w:rPr>
          <w:rtl/>
          <w:lang w:bidi="fa-IR"/>
        </w:rPr>
        <w:t xml:space="preserve"> بِمِائَةِ دِينَارٍ »</w:t>
      </w:r>
      <w:r>
        <w:rPr>
          <w:rtl/>
          <w:lang w:bidi="fa-IR"/>
        </w:rPr>
        <w:t>.</w:t>
      </w:r>
    </w:p>
    <w:p w:rsidR="000C39D1" w:rsidRPr="00132E65" w:rsidRDefault="000C39D1" w:rsidP="000C39D1">
      <w:pPr>
        <w:pStyle w:val="libNormal"/>
        <w:rPr>
          <w:rtl/>
          <w:lang w:bidi="fa-IR"/>
        </w:rPr>
      </w:pPr>
      <w:r w:rsidRPr="00132E65">
        <w:rPr>
          <w:rtl/>
          <w:lang w:bidi="fa-IR"/>
        </w:rPr>
        <w:t xml:space="preserve">قَالَ أَبُو الصَّبَّاحِ </w:t>
      </w:r>
      <w:r>
        <w:rPr>
          <w:rStyle w:val="libFootnotenumChar"/>
          <w:rtl/>
        </w:rPr>
        <w:t>(12)</w:t>
      </w:r>
      <w:r w:rsidRPr="00132E65">
        <w:rPr>
          <w:rtl/>
          <w:lang w:bidi="fa-IR"/>
        </w:rPr>
        <w:t xml:space="preserve"> : و</w:t>
      </w:r>
      <w:r w:rsidR="00342998">
        <w:rPr>
          <w:rFonts w:hint="cs"/>
          <w:rtl/>
          <w:lang w:bidi="fa-IR"/>
        </w:rPr>
        <w:t xml:space="preserve">َ </w:t>
      </w:r>
      <w:r w:rsidRPr="00132E65">
        <w:rPr>
          <w:rtl/>
          <w:lang w:bidi="fa-IR"/>
        </w:rPr>
        <w:t xml:space="preserve">ذَكَرَ أَبُو عَبْدِ اللهِ </w:t>
      </w:r>
      <w:r w:rsidRPr="00071CF9">
        <w:rPr>
          <w:rStyle w:val="libAlaemChar"/>
          <w:rtl/>
        </w:rPr>
        <w:t>عليه‌السلام</w:t>
      </w:r>
      <w:r w:rsidRPr="00132E65">
        <w:rPr>
          <w:rtl/>
          <w:lang w:bidi="fa-IR"/>
        </w:rPr>
        <w:t xml:space="preserve"> جَدَّتَهُ</w:t>
      </w:r>
      <w:r>
        <w:rPr>
          <w:rtl/>
          <w:lang w:bidi="fa-IR"/>
        </w:rPr>
        <w:t xml:space="preserve"> - </w:t>
      </w:r>
      <w:r w:rsidRPr="00132E65">
        <w:rPr>
          <w:rtl/>
          <w:lang w:bidi="fa-IR"/>
        </w:rPr>
        <w:t xml:space="preserve">أُمَّ أَبِيهِ </w:t>
      </w:r>
      <w:r w:rsidRPr="00F543F1">
        <w:rPr>
          <w:rStyle w:val="libFootnotenumChar"/>
          <w:rtl/>
        </w:rPr>
        <w:t>(13)</w:t>
      </w:r>
      <w:r>
        <w:rPr>
          <w:rtl/>
          <w:lang w:bidi="fa-IR"/>
        </w:rPr>
        <w:t xml:space="preserve"> - </w:t>
      </w:r>
      <w:r w:rsidRPr="00132E65">
        <w:rPr>
          <w:rtl/>
          <w:lang w:bidi="fa-IR"/>
        </w:rPr>
        <w:t>يَوْماً ، فَقَالَ : « كَانَتْ‌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ض ، ف ، بح ، بر ، بس ، بف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(2).</w:t>
      </w:r>
      <w:r w:rsidRPr="00132E65">
        <w:rPr>
          <w:rtl/>
        </w:rPr>
        <w:t xml:space="preserve"> في « ب ، ج ، ف ، بر ، بف » و</w:t>
      </w:r>
      <w:r w:rsidRPr="009D1ACE">
        <w:rPr>
          <w:rStyle w:val="libFootnoteBoldChar"/>
          <w:rtl/>
        </w:rPr>
        <w:t>الوافي</w:t>
      </w:r>
      <w:r w:rsidRPr="00132E65">
        <w:rPr>
          <w:rtl/>
        </w:rPr>
        <w:t xml:space="preserve"> : « بالمدينة بالبقيع »</w:t>
      </w:r>
      <w:r>
        <w:rPr>
          <w:rtl/>
        </w:rPr>
        <w:t>.</w:t>
      </w:r>
      <w:r w:rsidRPr="00132E65">
        <w:rPr>
          <w:rtl/>
        </w:rPr>
        <w:t xml:space="preserve"> وفي « بح » : « في المدينة بالبقيع »</w:t>
      </w:r>
      <w:r>
        <w:rPr>
          <w:rtl/>
        </w:rPr>
        <w:t>.</w:t>
      </w:r>
    </w:p>
    <w:p w:rsidR="000C39D1" w:rsidRPr="00132E65" w:rsidRDefault="000C39D1" w:rsidP="000C39D1">
      <w:pPr>
        <w:pStyle w:val="libFootnote0"/>
        <w:rPr>
          <w:rtl/>
          <w:lang w:bidi="fa-IR"/>
        </w:rPr>
      </w:pPr>
      <w:r>
        <w:rPr>
          <w:rtl/>
        </w:rPr>
        <w:t>(3).</w:t>
      </w:r>
      <w:r w:rsidRPr="00132E65">
        <w:rPr>
          <w:rtl/>
        </w:rPr>
        <w:t xml:space="preserve"> في « ب » : « بالقبر »</w:t>
      </w:r>
      <w:r>
        <w:rPr>
          <w:rtl/>
        </w:rPr>
        <w:t>.</w:t>
      </w:r>
    </w:p>
    <w:p w:rsidR="000C39D1" w:rsidRPr="00132E65" w:rsidRDefault="000C39D1" w:rsidP="000C39D1">
      <w:pPr>
        <w:pStyle w:val="libFootnote0"/>
        <w:rPr>
          <w:rtl/>
          <w:lang w:bidi="fa-IR"/>
        </w:rPr>
      </w:pPr>
      <w:r>
        <w:rPr>
          <w:rtl/>
        </w:rPr>
        <w:t>(4).</w:t>
      </w:r>
      <w:r w:rsidRPr="00132E65">
        <w:rPr>
          <w:rtl/>
        </w:rPr>
        <w:t xml:space="preserve"> في حاشية « ج » :</w:t>
      </w:r>
      <w:r>
        <w:rPr>
          <w:rtl/>
        </w:rPr>
        <w:t xml:space="preserve"> + </w:t>
      </w:r>
      <w:r w:rsidRPr="00132E65">
        <w:rPr>
          <w:rtl/>
        </w:rPr>
        <w:t>« فاطمة »</w:t>
      </w:r>
      <w:r>
        <w:rPr>
          <w:rtl/>
        </w:rPr>
        <w:t>.</w:t>
      </w:r>
    </w:p>
    <w:tbl>
      <w:tblPr>
        <w:tblStyle w:val="TableGrid"/>
        <w:bidiVisual/>
        <w:tblW w:w="0" w:type="auto"/>
        <w:tblLook w:val="04A0" w:firstRow="1" w:lastRow="0" w:firstColumn="1" w:lastColumn="0" w:noHBand="0" w:noVBand="1"/>
      </w:tblPr>
      <w:tblGrid>
        <w:gridCol w:w="4261"/>
        <w:gridCol w:w="4262"/>
      </w:tblGrid>
      <w:tr w:rsidR="00A57824" w:rsidTr="00A57824">
        <w:tc>
          <w:tcPr>
            <w:tcW w:w="4261" w:type="dxa"/>
          </w:tcPr>
          <w:p w:rsidR="00A57824" w:rsidRDefault="00A57824" w:rsidP="00342998">
            <w:pPr>
              <w:pStyle w:val="libFootnote0"/>
              <w:rPr>
                <w:rtl/>
              </w:rPr>
            </w:pPr>
            <w:r>
              <w:rPr>
                <w:rtl/>
              </w:rPr>
              <w:t>(5).</w:t>
            </w:r>
            <w:r w:rsidRPr="00132E65">
              <w:rPr>
                <w:rtl/>
              </w:rPr>
              <w:t>في</w:t>
            </w:r>
            <w:r>
              <w:rPr>
                <w:rFonts w:hint="cs"/>
                <w:rtl/>
              </w:rPr>
              <w:t xml:space="preserve"> </w:t>
            </w:r>
            <w:r w:rsidRPr="00132E65">
              <w:rPr>
                <w:rtl/>
              </w:rPr>
              <w:t>التهذيب:«عَبْدَة»بدل«عبد الله»</w:t>
            </w:r>
            <w:r>
              <w:rPr>
                <w:rtl/>
              </w:rPr>
              <w:t>.</w:t>
            </w:r>
          </w:p>
        </w:tc>
        <w:tc>
          <w:tcPr>
            <w:tcW w:w="4262" w:type="dxa"/>
          </w:tcPr>
          <w:p w:rsidR="00A57824" w:rsidRDefault="00A57824" w:rsidP="00A57824">
            <w:pPr>
              <w:pStyle w:val="libFootnote0"/>
              <w:rPr>
                <w:rtl/>
              </w:rPr>
            </w:pPr>
            <w:r>
              <w:rPr>
                <w:rtl/>
              </w:rPr>
              <w:t>(6).</w:t>
            </w:r>
            <w:r w:rsidRPr="00132E65">
              <w:rPr>
                <w:rtl/>
              </w:rPr>
              <w:t>في«بس»:«</w:t>
            </w:r>
            <w:r>
              <w:rPr>
                <w:rFonts w:hint="cs"/>
                <w:rtl/>
              </w:rPr>
              <w:t>عليهما السلام</w:t>
            </w:r>
            <w:r w:rsidRPr="00132E65">
              <w:rPr>
                <w:rtl/>
              </w:rPr>
              <w:t xml:space="preserve"> وعلى ذرّيّتهما»</w:t>
            </w:r>
            <w:r>
              <w:rPr>
                <w:rtl/>
              </w:rPr>
              <w:t>.</w:t>
            </w:r>
          </w:p>
        </w:tc>
      </w:tr>
    </w:tbl>
    <w:p w:rsidR="000C39D1" w:rsidRPr="00132E65" w:rsidRDefault="000C39D1" w:rsidP="00586024">
      <w:pPr>
        <w:pStyle w:val="libFootnote0"/>
        <w:rPr>
          <w:rtl/>
          <w:lang w:bidi="fa-IR"/>
        </w:rPr>
      </w:pPr>
      <w:r>
        <w:rPr>
          <w:rtl/>
        </w:rPr>
        <w:t>(7).</w:t>
      </w:r>
      <w:r w:rsidRPr="00132E65">
        <w:rPr>
          <w:rtl/>
        </w:rPr>
        <w:t xml:space="preserve"> </w:t>
      </w:r>
      <w:r w:rsidRPr="00CE3618">
        <w:rPr>
          <w:rtl/>
        </w:rPr>
        <w:t>التهذيب</w:t>
      </w:r>
      <w:r w:rsidRPr="00132E65">
        <w:rPr>
          <w:rtl/>
        </w:rPr>
        <w:t xml:space="preserve"> ، ج 6 ، ص 77 ؛ </w:t>
      </w:r>
      <w:r w:rsidRPr="00CE3618">
        <w:rPr>
          <w:rtl/>
        </w:rPr>
        <w:t>المقنعة</w:t>
      </w:r>
      <w:r w:rsidRPr="00132E65">
        <w:rPr>
          <w:rtl/>
        </w:rPr>
        <w:t xml:space="preserve"> ، ص 472</w:t>
      </w:r>
      <w:r w:rsidR="00A57824">
        <w:rPr>
          <w:rFonts w:hint="cs"/>
          <w:rtl/>
        </w:rPr>
        <w:t>.</w:t>
      </w:r>
      <w:r w:rsidRPr="009D1ACE">
        <w:rPr>
          <w:rStyle w:val="libFootnoteBoldChar"/>
          <w:rtl/>
        </w:rPr>
        <w:t>الوافي</w:t>
      </w:r>
      <w:r w:rsidRPr="00132E65">
        <w:rPr>
          <w:rtl/>
        </w:rPr>
        <w:t xml:space="preserve"> ، ج 3 ، ص 788 ؛ </w:t>
      </w:r>
      <w:r w:rsidRPr="00CE3618">
        <w:rPr>
          <w:rtl/>
        </w:rPr>
        <w:t>البحار</w:t>
      </w:r>
      <w:r w:rsidRPr="00132E65">
        <w:rPr>
          <w:rtl/>
        </w:rPr>
        <w:t xml:space="preserve"> ، ج 46 ، ص 217 ، ح 17 وفيه إلى قوله : « وخمسون سنة »</w:t>
      </w:r>
      <w:r>
        <w:rPr>
          <w:rtl/>
        </w:rPr>
        <w:t>.</w:t>
      </w:r>
      <w:r w:rsidR="00586024">
        <w:rPr>
          <w:rFonts w:hint="cs"/>
          <w:rtl/>
        </w:rPr>
        <w:t xml:space="preserve">                            </w:t>
      </w:r>
      <w:r>
        <w:rPr>
          <w:rtl/>
        </w:rPr>
        <w:t>(8).</w:t>
      </w:r>
      <w:r w:rsidRPr="00132E65">
        <w:rPr>
          <w:rtl/>
        </w:rPr>
        <w:t>في«ب،بف»وحاشية«ف»:«يزيد»</w:t>
      </w:r>
      <w:r>
        <w:rPr>
          <w:rtl/>
        </w:rPr>
        <w:t>.</w:t>
      </w:r>
    </w:p>
    <w:p w:rsidR="000C39D1" w:rsidRPr="00132E65" w:rsidRDefault="000C39D1" w:rsidP="000C39D1">
      <w:pPr>
        <w:pStyle w:val="libFootnote0"/>
        <w:rPr>
          <w:rtl/>
          <w:lang w:bidi="fa-IR"/>
        </w:rPr>
      </w:pPr>
      <w:r>
        <w:rPr>
          <w:rtl/>
        </w:rPr>
        <w:t>(9).</w:t>
      </w:r>
      <w:r w:rsidRPr="00132E65">
        <w:rPr>
          <w:rtl/>
        </w:rPr>
        <w:t xml:space="preserve"> « فتصدّع » ، أي فتشقّق ؛ من الصَدْع ، وهو الشقّ في الشي‌ء الصلب. راجع : </w:t>
      </w:r>
      <w:r w:rsidRPr="009D1ACE">
        <w:rPr>
          <w:rStyle w:val="libFootnoteBoldChar"/>
          <w:rtl/>
        </w:rPr>
        <w:t>لسان العرب</w:t>
      </w:r>
      <w:r w:rsidRPr="00132E65">
        <w:rPr>
          <w:rtl/>
        </w:rPr>
        <w:t xml:space="preserve"> ، ج 8 ، ص 194 ( صدع )</w:t>
      </w:r>
      <w:r>
        <w:rPr>
          <w:rtl/>
        </w:rPr>
        <w:t>.</w:t>
      </w:r>
    </w:p>
    <w:p w:rsidR="000C39D1" w:rsidRPr="00132E65" w:rsidRDefault="000C39D1" w:rsidP="000C39D1">
      <w:pPr>
        <w:pStyle w:val="libFootnote0"/>
        <w:rPr>
          <w:rtl/>
          <w:lang w:bidi="fa-IR"/>
        </w:rPr>
      </w:pPr>
      <w:r>
        <w:rPr>
          <w:rtl/>
        </w:rPr>
        <w:t>(10).</w:t>
      </w:r>
      <w:r w:rsidRPr="00132E65">
        <w:rPr>
          <w:rtl/>
        </w:rPr>
        <w:t xml:space="preserve"> قال الجوهري : « الهَدَّةُ : صوت و</w:t>
      </w:r>
      <w:r w:rsidR="00F96410">
        <w:rPr>
          <w:rFonts w:hint="cs"/>
          <w:rtl/>
        </w:rPr>
        <w:t>َ</w:t>
      </w:r>
      <w:r w:rsidRPr="00132E65">
        <w:rPr>
          <w:rtl/>
        </w:rPr>
        <w:t>قْع الحائط ونحوه »</w:t>
      </w:r>
      <w:r>
        <w:rPr>
          <w:rtl/>
        </w:rPr>
        <w:t>.</w:t>
      </w:r>
      <w:r w:rsidRPr="00132E65">
        <w:rPr>
          <w:rtl/>
        </w:rPr>
        <w:t xml:space="preserve"> </w:t>
      </w:r>
      <w:r w:rsidRPr="00CE3618">
        <w:rPr>
          <w:rtl/>
        </w:rPr>
        <w:t>الصحاح</w:t>
      </w:r>
      <w:r w:rsidRPr="00132E65">
        <w:rPr>
          <w:rtl/>
        </w:rPr>
        <w:t xml:space="preserve"> ، ج 2 ، ص 555.</w:t>
      </w:r>
    </w:p>
    <w:p w:rsidR="000C39D1" w:rsidRPr="00132E65" w:rsidRDefault="000C39D1" w:rsidP="000C39D1">
      <w:pPr>
        <w:pStyle w:val="libFootnote0"/>
        <w:rPr>
          <w:rtl/>
          <w:lang w:bidi="fa-IR"/>
        </w:rPr>
      </w:pPr>
      <w:r>
        <w:rPr>
          <w:rtl/>
        </w:rPr>
        <w:t>(11).</w:t>
      </w:r>
      <w:r w:rsidRPr="00132E65">
        <w:rPr>
          <w:rtl/>
        </w:rPr>
        <w:t xml:space="preserve"> في « ب ، ف ، بر » و</w:t>
      </w:r>
      <w:r w:rsidRPr="009D1ACE">
        <w:rPr>
          <w:rStyle w:val="libFootnoteBoldChar"/>
          <w:rtl/>
        </w:rPr>
        <w:t>الوافي</w:t>
      </w:r>
      <w:r w:rsidRPr="00132E65">
        <w:rPr>
          <w:rtl/>
        </w:rPr>
        <w:t xml:space="preserve"> : « عنها أبي »</w:t>
      </w:r>
      <w:r>
        <w:rPr>
          <w:rtl/>
        </w:rPr>
        <w:t>.</w:t>
      </w:r>
      <w:r w:rsidRPr="00132E65">
        <w:rPr>
          <w:rtl/>
        </w:rPr>
        <w:t xml:space="preserve"> وفي « ج » : « عنها أبي </w:t>
      </w:r>
      <w:r w:rsidRPr="00F96410">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(12).</w:t>
      </w:r>
      <w:r w:rsidRPr="00132E65">
        <w:rPr>
          <w:rtl/>
        </w:rPr>
        <w:t xml:space="preserve"> معلّق على السند المذكور في صدر الخبر.</w:t>
      </w:r>
    </w:p>
    <w:p w:rsidR="000C39D1" w:rsidRPr="00132E65" w:rsidRDefault="000C39D1" w:rsidP="000C39D1">
      <w:pPr>
        <w:pStyle w:val="libFootnote0"/>
        <w:rPr>
          <w:rtl/>
          <w:lang w:bidi="fa-IR"/>
        </w:rPr>
      </w:pPr>
      <w:r>
        <w:rPr>
          <w:rtl/>
        </w:rPr>
        <w:t>(13)</w:t>
      </w:r>
      <w:r w:rsidRPr="00132E65">
        <w:rPr>
          <w:rtl/>
        </w:rPr>
        <w:t xml:space="preserve"> في « ف » : « المربّية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صِدِّيقَةً ، لَمْ تُدْرَكْ </w:t>
      </w:r>
      <w:r>
        <w:rPr>
          <w:rStyle w:val="libFootnotenumChar"/>
          <w:rtl/>
        </w:rPr>
        <w:t>(1)</w:t>
      </w:r>
      <w:r w:rsidRPr="00132E65">
        <w:rPr>
          <w:rtl/>
          <w:lang w:bidi="fa-IR"/>
        </w:rPr>
        <w:t xml:space="preserve"> فِي آلِ الْحَسَنِ امْرَأَةٌ مِثْلُهَا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F96410" w:rsidP="000C39D1">
      <w:pPr>
        <w:pStyle w:val="libNormal"/>
        <w:rPr>
          <w:rtl/>
          <w:lang w:bidi="fa-IR"/>
        </w:rPr>
      </w:pPr>
      <w:r>
        <w:rPr>
          <w:rFonts w:hint="cs"/>
          <w:rtl/>
          <w:lang w:bidi="fa-IR"/>
        </w:rPr>
        <w:t xml:space="preserve">* </w:t>
      </w:r>
      <w:r w:rsidR="000C39D1" w:rsidRPr="00132E65">
        <w:rPr>
          <w:rtl/>
          <w:lang w:bidi="fa-IR"/>
        </w:rPr>
        <w:t>مُحَمَّدُ بْنُ الْحَسَنِ ، عَنْ عَبْدِ اللهِ بْنِ أَحْمَدَ ، مِثْلَهُ.</w:t>
      </w:r>
    </w:p>
    <w:p w:rsidR="000C39D1" w:rsidRPr="00132E65" w:rsidRDefault="000C39D1" w:rsidP="000C39D1">
      <w:pPr>
        <w:pStyle w:val="libNormal"/>
        <w:rPr>
          <w:rtl/>
          <w:lang w:bidi="fa-IR"/>
        </w:rPr>
      </w:pPr>
      <w:r w:rsidRPr="00CE3618">
        <w:rPr>
          <w:rtl/>
        </w:rPr>
        <w:t>1276</w:t>
      </w:r>
      <w:r w:rsidRPr="004325D8">
        <w:rPr>
          <w:rStyle w:val="libBold2Char"/>
          <w:rtl/>
        </w:rPr>
        <w:t xml:space="preserve"> / 2.</w:t>
      </w:r>
      <w:r w:rsidRPr="00132E65">
        <w:rPr>
          <w:rtl/>
          <w:lang w:bidi="fa-IR"/>
        </w:rPr>
        <w:t xml:space="preserve"> عِدَّةٌ مِنْ أَصْحَابِنَا ، عَنْ أَحْمَدَ بْنِ مُحَمَّدٍ ، عَنْ مُحَمَّدِ بْنِ سِنَانٍ </w:t>
      </w:r>
      <w:r>
        <w:rPr>
          <w:rStyle w:val="libFootnotenumChar"/>
          <w:rtl/>
        </w:rPr>
        <w:t>(3)</w:t>
      </w:r>
      <w:r w:rsidR="003915A6">
        <w:rPr>
          <w:rtl/>
          <w:lang w:bidi="fa-IR"/>
        </w:rPr>
        <w:t xml:space="preserve"> ، عَنْ أَبَانِ بْنِ تَغْلِبَ</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إِنَّ جَابِرَ بْنَ عَبْدِ اللهِ الْأَنْصَارِيَّ كَانَ آخِرَ مَنْ بَقِيَ مِنْ أَصْحَابِ رَسُولِ اللهِ </w:t>
      </w:r>
      <w:r w:rsidRPr="0093484F">
        <w:rPr>
          <w:rStyle w:val="libAlaemChar"/>
          <w:rFonts w:eastAsiaTheme="minorHAnsi"/>
          <w:rtl/>
        </w:rPr>
        <w:t>صلى‌الله‌عليه‌وآله</w:t>
      </w:r>
      <w:r w:rsidRPr="00132E65">
        <w:rPr>
          <w:rtl/>
          <w:lang w:bidi="fa-IR"/>
        </w:rPr>
        <w:t xml:space="preserve"> ، و</w:t>
      </w:r>
      <w:r w:rsidR="00F96410">
        <w:rPr>
          <w:rFonts w:hint="cs"/>
          <w:rtl/>
          <w:lang w:bidi="fa-IR"/>
        </w:rPr>
        <w:t xml:space="preserve">َ </w:t>
      </w:r>
      <w:r w:rsidRPr="00132E65">
        <w:rPr>
          <w:rtl/>
          <w:lang w:bidi="fa-IR"/>
        </w:rPr>
        <w:t>كَانَ رَجُلاً مُنْقَطِعاً إِلَيْنَا أَهْلَ الْبَيْتِ ، و</w:t>
      </w:r>
      <w:r w:rsidR="00F96410">
        <w:rPr>
          <w:rFonts w:hint="cs"/>
          <w:rtl/>
          <w:lang w:bidi="fa-IR"/>
        </w:rPr>
        <w:t xml:space="preserve">َ </w:t>
      </w:r>
      <w:r w:rsidRPr="00132E65">
        <w:rPr>
          <w:rtl/>
          <w:lang w:bidi="fa-IR"/>
        </w:rPr>
        <w:t xml:space="preserve">كَانَ </w:t>
      </w:r>
      <w:r>
        <w:rPr>
          <w:rStyle w:val="libFootnotenumChar"/>
          <w:rtl/>
        </w:rPr>
        <w:t>(4)</w:t>
      </w:r>
      <w:r w:rsidRPr="00132E65">
        <w:rPr>
          <w:rtl/>
          <w:lang w:bidi="fa-IR"/>
        </w:rPr>
        <w:t xml:space="preserve"> يَقْعُدُ فِي مَسْجِدِ رَسُولِ اللهِ </w:t>
      </w:r>
      <w:r w:rsidRPr="0093484F">
        <w:rPr>
          <w:rStyle w:val="libAlaemChar"/>
          <w:rFonts w:eastAsiaTheme="minorHAnsi"/>
          <w:rtl/>
        </w:rPr>
        <w:t>صلى‌الله‌عليه‌وآله</w:t>
      </w:r>
      <w:r w:rsidRPr="00132E65">
        <w:rPr>
          <w:rtl/>
          <w:lang w:bidi="fa-IR"/>
        </w:rPr>
        <w:t xml:space="preserve"> و</w:t>
      </w:r>
      <w:r w:rsidR="00F96410">
        <w:rPr>
          <w:rFonts w:hint="cs"/>
          <w:rtl/>
          <w:lang w:bidi="fa-IR"/>
        </w:rPr>
        <w:t xml:space="preserve">َ </w:t>
      </w:r>
      <w:r w:rsidRPr="00132E65">
        <w:rPr>
          <w:rtl/>
          <w:lang w:bidi="fa-IR"/>
        </w:rPr>
        <w:t xml:space="preserve">هُوَ مُعْتَجِرٌ </w:t>
      </w:r>
      <w:r>
        <w:rPr>
          <w:rStyle w:val="libFootnotenumChar"/>
          <w:rtl/>
        </w:rPr>
        <w:t>(5)</w:t>
      </w:r>
      <w:r w:rsidRPr="00132E65">
        <w:rPr>
          <w:rtl/>
          <w:lang w:bidi="fa-IR"/>
        </w:rPr>
        <w:t xml:space="preserve"> بِعِمَامَةٍ سَوْدَاءَ ، و</w:t>
      </w:r>
      <w:r w:rsidR="00F96410">
        <w:rPr>
          <w:rFonts w:hint="cs"/>
          <w:rtl/>
          <w:lang w:bidi="fa-IR"/>
        </w:rPr>
        <w:t xml:space="preserve">َ </w:t>
      </w:r>
      <w:r w:rsidRPr="00132E65">
        <w:rPr>
          <w:rtl/>
          <w:lang w:bidi="fa-IR"/>
        </w:rPr>
        <w:t xml:space="preserve">كَانَ يُنَادِي : يَا بَاقِرَ الْعِلْمِ ، يَا بَاقِرَ الْعِلْمِ </w:t>
      </w:r>
      <w:r>
        <w:rPr>
          <w:rStyle w:val="libFootnotenumChar"/>
          <w:rtl/>
        </w:rPr>
        <w:t>(6)</w:t>
      </w:r>
      <w:r w:rsidRPr="00132E65">
        <w:rPr>
          <w:rtl/>
          <w:lang w:bidi="fa-IR"/>
        </w:rPr>
        <w:t xml:space="preserve"> ، فَكَانَ أَهْلُ الْمَدِينَةِ يَقُولُونَ : جَابِرٌ يَهْجُرُ </w:t>
      </w:r>
      <w:r>
        <w:rPr>
          <w:rStyle w:val="libFootnotenumChar"/>
          <w:rtl/>
        </w:rPr>
        <w:t>(7)</w:t>
      </w:r>
      <w:r w:rsidRPr="00132E65">
        <w:rPr>
          <w:rtl/>
          <w:lang w:bidi="fa-IR"/>
        </w:rPr>
        <w:t xml:space="preserve"> ، فَكَانَ يَقُولُ : لَا</w:t>
      </w:r>
      <w:r w:rsidR="00F96410">
        <w:rPr>
          <w:rFonts w:hint="cs"/>
          <w:rtl/>
          <w:lang w:bidi="fa-IR"/>
        </w:rPr>
        <w:t xml:space="preserve"> </w:t>
      </w:r>
      <w:r w:rsidRPr="00132E65">
        <w:rPr>
          <w:rtl/>
          <w:lang w:bidi="fa-IR"/>
        </w:rPr>
        <w:t>وَ اللهِ ، مَا أَهْجُرُ ، و</w:t>
      </w:r>
      <w:r w:rsidR="00F96410">
        <w:rPr>
          <w:rFonts w:hint="cs"/>
          <w:rtl/>
          <w:lang w:bidi="fa-IR"/>
        </w:rPr>
        <w:t xml:space="preserve">َ </w:t>
      </w:r>
      <w:r w:rsidRPr="00132E65">
        <w:rPr>
          <w:rtl/>
          <w:lang w:bidi="fa-IR"/>
        </w:rPr>
        <w:t xml:space="preserve">لكِنِّي سَمِعْتُ رَسُولَ اللهِ </w:t>
      </w:r>
      <w:r w:rsidRPr="0093484F">
        <w:rPr>
          <w:rStyle w:val="libAlaemChar"/>
          <w:rFonts w:eastAsiaTheme="minorHAnsi"/>
          <w:rtl/>
        </w:rPr>
        <w:t>صلى‌الله‌عليه‌وآله</w:t>
      </w:r>
      <w:r w:rsidRPr="00132E65">
        <w:rPr>
          <w:rtl/>
          <w:lang w:bidi="fa-IR"/>
        </w:rPr>
        <w:t xml:space="preserve"> يَقُولُ : إِنَّكَ سَتُدْرِكُ رَجُلاً مِنِّي اسْمُهُ اسْمِي ، و</w:t>
      </w:r>
      <w:r w:rsidR="00F96410">
        <w:rPr>
          <w:rFonts w:hint="cs"/>
          <w:rtl/>
          <w:lang w:bidi="fa-IR"/>
        </w:rPr>
        <w:t xml:space="preserve">َ </w:t>
      </w:r>
      <w:r w:rsidRPr="00132E65">
        <w:rPr>
          <w:rtl/>
          <w:lang w:bidi="fa-IR"/>
        </w:rPr>
        <w:t xml:space="preserve">شَمَائِلُهُ </w:t>
      </w:r>
      <w:r>
        <w:rPr>
          <w:rStyle w:val="libFootnotenumChar"/>
          <w:rtl/>
        </w:rPr>
        <w:t>(8)</w:t>
      </w:r>
      <w:r w:rsidRPr="00132E65">
        <w:rPr>
          <w:rtl/>
          <w:lang w:bidi="fa-IR"/>
        </w:rPr>
        <w:t xml:space="preserve"> شَمَائِلِي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بس » : « لم يدرك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768 ، ح 1392 ؛ </w:t>
      </w:r>
      <w:r w:rsidRPr="00CE3618">
        <w:rPr>
          <w:rtl/>
        </w:rPr>
        <w:t>البحار</w:t>
      </w:r>
      <w:r w:rsidRPr="00132E65">
        <w:rPr>
          <w:rtl/>
        </w:rPr>
        <w:t xml:space="preserve"> ، ج 46 ، ص 36 ، ح 7.</w:t>
      </w:r>
    </w:p>
    <w:p w:rsidR="000C39D1" w:rsidRPr="00132E65" w:rsidRDefault="000C39D1" w:rsidP="000C39D1">
      <w:pPr>
        <w:pStyle w:val="libFootnote0"/>
        <w:rPr>
          <w:rtl/>
          <w:lang w:bidi="fa-IR"/>
        </w:rPr>
      </w:pPr>
      <w:r>
        <w:rPr>
          <w:rtl/>
        </w:rPr>
        <w:t>(3).</w:t>
      </w:r>
      <w:r w:rsidRPr="00132E65">
        <w:rPr>
          <w:rtl/>
        </w:rPr>
        <w:t xml:space="preserve"> الخبر أورده الكشّي في رجاله ، ص 41 ، الرقم 88 ، بسنده عن محمّد بن سنان ، عن حريز ، عن أبان بن تغلب ، وهو الظاهر ؛ فقد مات محمّد بن سنان سنة عشرين ومائتين ، وأبان بن تغلب مات في حياة أبي عبد الله </w:t>
      </w:r>
      <w:r w:rsidRPr="00F96410">
        <w:rPr>
          <w:rStyle w:val="libFootnoteAlaemChar"/>
          <w:rtl/>
        </w:rPr>
        <w:t>عليه‌السلام</w:t>
      </w:r>
      <w:r w:rsidRPr="00132E65">
        <w:rPr>
          <w:rtl/>
        </w:rPr>
        <w:t xml:space="preserve"> ، سنة إحدى وأربعين ومائة ، أو أربعين ومائة ، فلا تستقيم رواية محمّد بن سنان عن أبان هذا مباشرةً. راجع : </w:t>
      </w:r>
      <w:r w:rsidRPr="00CE3618">
        <w:rPr>
          <w:rtl/>
        </w:rPr>
        <w:t>رجال النجاشي</w:t>
      </w:r>
      <w:r w:rsidRPr="00132E65">
        <w:rPr>
          <w:rtl/>
        </w:rPr>
        <w:t xml:space="preserve"> ، ص 10</w:t>
      </w:r>
      <w:r>
        <w:rPr>
          <w:rtl/>
        </w:rPr>
        <w:t xml:space="preserve"> - </w:t>
      </w:r>
      <w:r w:rsidRPr="00132E65">
        <w:rPr>
          <w:rtl/>
        </w:rPr>
        <w:t xml:space="preserve">13 ، الرقم 7 ، وص 328 ، الرقم 888 ؛ </w:t>
      </w:r>
      <w:r w:rsidRPr="00CE3618">
        <w:rPr>
          <w:rtl/>
        </w:rPr>
        <w:t>الفهرست</w:t>
      </w:r>
      <w:r w:rsidRPr="00132E65">
        <w:rPr>
          <w:rtl/>
        </w:rPr>
        <w:t xml:space="preserve"> للطوسي ، ص 44</w:t>
      </w:r>
      <w:r>
        <w:rPr>
          <w:rtl/>
        </w:rPr>
        <w:t xml:space="preserve"> - </w:t>
      </w:r>
      <w:r w:rsidRPr="00132E65">
        <w:rPr>
          <w:rtl/>
        </w:rPr>
        <w:t xml:space="preserve">46 ، الرقم 61 ؛ </w:t>
      </w:r>
      <w:r w:rsidRPr="00CE3618">
        <w:rPr>
          <w:rtl/>
        </w:rPr>
        <w:t>رجال الطوسي</w:t>
      </w:r>
      <w:r w:rsidRPr="00132E65">
        <w:rPr>
          <w:rtl/>
        </w:rPr>
        <w:t xml:space="preserve"> ، ص 109 ، الرقم 1066 ؛ </w:t>
      </w:r>
      <w:r w:rsidRPr="00CE3618">
        <w:rPr>
          <w:rtl/>
        </w:rPr>
        <w:t>تهذيب الكمال</w:t>
      </w:r>
      <w:r w:rsidRPr="00132E65">
        <w:rPr>
          <w:rtl/>
        </w:rPr>
        <w:t xml:space="preserve"> ، ج 2 ، ص 6</w:t>
      </w:r>
      <w:r>
        <w:rPr>
          <w:rtl/>
        </w:rPr>
        <w:t xml:space="preserve"> - </w:t>
      </w:r>
      <w:r w:rsidRPr="00132E65">
        <w:rPr>
          <w:rtl/>
        </w:rPr>
        <w:t xml:space="preserve">8 ، الرقم 135 ؛ </w:t>
      </w:r>
      <w:r w:rsidRPr="00CE3618">
        <w:rPr>
          <w:rtl/>
        </w:rPr>
        <w:t>تاريخ الإسلام</w:t>
      </w:r>
      <w:r w:rsidRPr="00132E65">
        <w:rPr>
          <w:rtl/>
        </w:rPr>
        <w:t xml:space="preserve"> للذهبي ، ج 9 ، ص 55.</w:t>
      </w:r>
    </w:p>
    <w:p w:rsidR="000C39D1" w:rsidRPr="00132E65" w:rsidRDefault="000C39D1" w:rsidP="000C39D1">
      <w:pPr>
        <w:pStyle w:val="libFootnote0"/>
        <w:rPr>
          <w:rtl/>
          <w:lang w:bidi="fa-IR"/>
        </w:rPr>
      </w:pPr>
      <w:r>
        <w:rPr>
          <w:rtl/>
        </w:rPr>
        <w:t>(4).</w:t>
      </w:r>
      <w:r w:rsidRPr="00132E65">
        <w:rPr>
          <w:rtl/>
        </w:rPr>
        <w:t xml:space="preserve"> في « ض ، ف ، بس ، بف » : « فكان »</w:t>
      </w:r>
      <w:r>
        <w:rPr>
          <w:rtl/>
        </w:rPr>
        <w:t>.</w:t>
      </w:r>
    </w:p>
    <w:p w:rsidR="000C39D1" w:rsidRPr="00132E65" w:rsidRDefault="000C39D1" w:rsidP="000C39D1">
      <w:pPr>
        <w:pStyle w:val="libFootnote0"/>
        <w:rPr>
          <w:rtl/>
          <w:lang w:bidi="fa-IR"/>
        </w:rPr>
      </w:pPr>
      <w:r>
        <w:rPr>
          <w:rtl/>
        </w:rPr>
        <w:t>(5).</w:t>
      </w:r>
      <w:r w:rsidRPr="00132E65">
        <w:rPr>
          <w:rtl/>
        </w:rPr>
        <w:t xml:space="preserve"> في حاشية « ج ، بح ، بف » والاختصاص ورجال الكشّي : « معتمّ »</w:t>
      </w:r>
      <w:r>
        <w:rPr>
          <w:rtl/>
        </w:rPr>
        <w:t>.</w:t>
      </w:r>
      <w:r w:rsidRPr="00132E65">
        <w:rPr>
          <w:rtl/>
        </w:rPr>
        <w:t xml:space="preserve"> والاعتجار بالعمامة : هو أن يَلُفَّها على رأسه‌</w:t>
      </w:r>
      <w:r w:rsidR="00F96410">
        <w:rPr>
          <w:rFonts w:hint="cs"/>
          <w:rtl/>
        </w:rPr>
        <w:t xml:space="preserve"> </w:t>
      </w:r>
      <w:r w:rsidRPr="00132E65">
        <w:rPr>
          <w:rtl/>
        </w:rPr>
        <w:t xml:space="preserve">ويَرُدَّ طرفها على وجهه ، ولا يعمل منها شيئاً تحت ذقنه. </w:t>
      </w:r>
      <w:r w:rsidRPr="00CE3618">
        <w:rPr>
          <w:rtl/>
        </w:rPr>
        <w:t>النهاية</w:t>
      </w:r>
      <w:r w:rsidRPr="00132E65">
        <w:rPr>
          <w:rtl/>
        </w:rPr>
        <w:t xml:space="preserve"> ، ج 3 ، ص 185 ( عجر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يا باقر العلم » الثاني.</w:t>
      </w:r>
    </w:p>
    <w:p w:rsidR="000C39D1" w:rsidRPr="00132E65" w:rsidRDefault="000C39D1" w:rsidP="000C39D1">
      <w:pPr>
        <w:pStyle w:val="libFootnote0"/>
        <w:rPr>
          <w:rtl/>
          <w:lang w:bidi="fa-IR"/>
        </w:rPr>
      </w:pPr>
      <w:r>
        <w:rPr>
          <w:rtl/>
        </w:rPr>
        <w:t>(7).</w:t>
      </w:r>
      <w:r w:rsidRPr="00132E65">
        <w:rPr>
          <w:rtl/>
        </w:rPr>
        <w:t xml:space="preserve"> في « ض » : « هجر »</w:t>
      </w:r>
      <w:r>
        <w:rPr>
          <w:rtl/>
        </w:rPr>
        <w:t>.</w:t>
      </w:r>
      <w:r w:rsidRPr="00132E65">
        <w:rPr>
          <w:rtl/>
        </w:rPr>
        <w:t xml:space="preserve"> ويقال : أهجر في منطقه يُهجر إهجاراً ، إذا أفحش ، وكذلك إذا أكثر الكلام في ما لا ينبغي. والاسم الهُجْر. وهَجَرَ يَهْجُرُ هَجْراً ، إذا خلط في كلامه وإذا هذى. وكلاهما جائز هاهنا. راجع : </w:t>
      </w:r>
      <w:r w:rsidRPr="00CE3618">
        <w:rPr>
          <w:rtl/>
        </w:rPr>
        <w:t>النهاية</w:t>
      </w:r>
      <w:r w:rsidRPr="00132E65">
        <w:rPr>
          <w:rtl/>
        </w:rPr>
        <w:t xml:space="preserve"> ، ج 5 ، ص 245 ( هجر ) ؛ </w:t>
      </w:r>
      <w:r w:rsidRPr="00CE3618">
        <w:rPr>
          <w:rtl/>
        </w:rPr>
        <w:t>شرح المازندراني</w:t>
      </w:r>
      <w:r w:rsidRPr="00132E65">
        <w:rPr>
          <w:rtl/>
        </w:rPr>
        <w:t xml:space="preserve"> ، ج 7 ، ص 235.</w:t>
      </w:r>
    </w:p>
    <w:p w:rsidR="000C39D1" w:rsidRPr="00132E65" w:rsidRDefault="000C39D1" w:rsidP="000C39D1">
      <w:pPr>
        <w:pStyle w:val="libFootnote0"/>
        <w:rPr>
          <w:rtl/>
          <w:lang w:bidi="fa-IR"/>
        </w:rPr>
      </w:pPr>
      <w:r>
        <w:rPr>
          <w:rtl/>
        </w:rPr>
        <w:t>(8).</w:t>
      </w:r>
      <w:r w:rsidRPr="00132E65">
        <w:rPr>
          <w:rtl/>
        </w:rPr>
        <w:t xml:space="preserve"> « الشَمائلُ » : جمع الشِمال ، وهو الطبع والخُلُق. </w:t>
      </w:r>
      <w:r w:rsidRPr="009D1ACE">
        <w:rPr>
          <w:rStyle w:val="libFootnoteBoldChar"/>
          <w:rtl/>
        </w:rPr>
        <w:t>لسان العرب</w:t>
      </w:r>
      <w:r w:rsidRPr="00132E65">
        <w:rPr>
          <w:rtl/>
        </w:rPr>
        <w:t xml:space="preserve"> ، ج 11 ، ص 365 ( شمل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يَبْقُرُ </w:t>
      </w:r>
      <w:r>
        <w:rPr>
          <w:rStyle w:val="libFootnotenumChar"/>
          <w:rtl/>
        </w:rPr>
        <w:t>(1)</w:t>
      </w:r>
      <w:r w:rsidRPr="00132E65">
        <w:rPr>
          <w:rtl/>
          <w:lang w:bidi="fa-IR"/>
        </w:rPr>
        <w:t xml:space="preserve"> الْعِلْمَ بَقْراً ، فَذَاكَ الَّذِي دَعَانِي إِلى مَا أَقُولُ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(2)</w:t>
      </w:r>
      <w:r w:rsidRPr="00132E65">
        <w:rPr>
          <w:rtl/>
          <w:lang w:bidi="fa-IR"/>
        </w:rPr>
        <w:t xml:space="preserve"> : « فَبَيْنَا جَابِرٌ يَتَرَدَّدُ ذَاتَ يَوْمٍ فِي بَعْضِ طُرُقِ الْمَدِينَةِ إِذْ مَرَّ بِطَرِيقٍ ، و</w:t>
      </w:r>
      <w:r w:rsidR="00F96410">
        <w:rPr>
          <w:rFonts w:hint="cs"/>
          <w:rtl/>
          <w:lang w:bidi="fa-IR"/>
        </w:rPr>
        <w:t>َ</w:t>
      </w:r>
      <w:r w:rsidRPr="00132E65">
        <w:rPr>
          <w:rtl/>
          <w:lang w:bidi="fa-IR"/>
        </w:rPr>
        <w:t xml:space="preserve">فِي </w:t>
      </w:r>
      <w:r>
        <w:rPr>
          <w:rStyle w:val="libFootnotenumChar"/>
          <w:rtl/>
        </w:rPr>
        <w:t>(3)</w:t>
      </w:r>
      <w:r w:rsidRPr="00132E65">
        <w:rPr>
          <w:rtl/>
          <w:lang w:bidi="fa-IR"/>
        </w:rPr>
        <w:t xml:space="preserve"> ذَاكَ </w:t>
      </w:r>
      <w:r>
        <w:rPr>
          <w:rStyle w:val="libFootnotenumChar"/>
          <w:rtl/>
        </w:rPr>
        <w:t>(4)</w:t>
      </w:r>
      <w:r w:rsidRPr="00132E65">
        <w:rPr>
          <w:rtl/>
          <w:lang w:bidi="fa-IR"/>
        </w:rPr>
        <w:t xml:space="preserve"> الطَّرِيقِ كُتَّابٌ </w:t>
      </w:r>
      <w:r>
        <w:rPr>
          <w:rStyle w:val="libFootnotenumChar"/>
          <w:rtl/>
        </w:rPr>
        <w:t>(5)</w:t>
      </w:r>
      <w:r w:rsidRPr="00132E65">
        <w:rPr>
          <w:rtl/>
          <w:lang w:bidi="fa-IR"/>
        </w:rPr>
        <w:t xml:space="preserve"> فِيهِ مُحَمَّدُ بْنُ عَلِيٍّ </w:t>
      </w:r>
      <w:r w:rsidRPr="00071CF9">
        <w:rPr>
          <w:rStyle w:val="libAlaemChar"/>
          <w:rtl/>
        </w:rPr>
        <w:t>عليهما‌السلام</w:t>
      </w:r>
      <w:r w:rsidRPr="00132E65">
        <w:rPr>
          <w:rtl/>
          <w:lang w:bidi="fa-IR"/>
        </w:rPr>
        <w:t xml:space="preserve"> ، فَلَمَّا نَظَرَ إِلَيْهِ ، قَالَ : يَا غُلَامُ ، أَقْبِلْ ، فَأَقْبَلَ ؛ ثُمَّ قَالَ لَهُ </w:t>
      </w:r>
      <w:r>
        <w:rPr>
          <w:rStyle w:val="libFootnotenumChar"/>
          <w:rtl/>
        </w:rPr>
        <w:t>(6)</w:t>
      </w:r>
      <w:r w:rsidRPr="00132E65">
        <w:rPr>
          <w:rtl/>
          <w:lang w:bidi="fa-IR"/>
        </w:rPr>
        <w:t xml:space="preserve"> : أَدْبِرْ ، فَأَدْبَرَ ؛ ثُمَّ قَالَ </w:t>
      </w:r>
      <w:r>
        <w:rPr>
          <w:rStyle w:val="libFootnotenumChar"/>
          <w:rtl/>
        </w:rPr>
        <w:t>(7)</w:t>
      </w:r>
      <w:r w:rsidRPr="00132E65">
        <w:rPr>
          <w:rtl/>
          <w:lang w:bidi="fa-IR"/>
        </w:rPr>
        <w:t xml:space="preserve"> : شَمَائِلُ رَسُولِ اللهِ </w:t>
      </w:r>
      <w:r w:rsidRPr="0093484F">
        <w:rPr>
          <w:rStyle w:val="libAlaemChar"/>
          <w:rFonts w:eastAsiaTheme="minorHAnsi"/>
          <w:rtl/>
        </w:rPr>
        <w:t>صلى‌الله‌عليه‌وآله</w:t>
      </w:r>
      <w:r w:rsidRPr="00132E65">
        <w:rPr>
          <w:rtl/>
          <w:lang w:bidi="fa-IR"/>
        </w:rPr>
        <w:t xml:space="preserve"> و</w:t>
      </w:r>
      <w:r w:rsidR="00F96410">
        <w:rPr>
          <w:rFonts w:hint="cs"/>
          <w:rtl/>
          <w:lang w:bidi="fa-IR"/>
        </w:rPr>
        <w:t xml:space="preserve">َ </w:t>
      </w:r>
      <w:r w:rsidRPr="00132E65">
        <w:rPr>
          <w:rtl/>
          <w:lang w:bidi="fa-IR"/>
        </w:rPr>
        <w:t>الَّذِي نَفْسِي بِيَدِهِ ؛ يَا غُلَامُ ، مَا اسْمُكَ</w:t>
      </w:r>
      <w:r>
        <w:rPr>
          <w:rtl/>
          <w:lang w:bidi="fa-IR"/>
        </w:rPr>
        <w:t>؟</w:t>
      </w:r>
      <w:r w:rsidRPr="00132E65">
        <w:rPr>
          <w:rtl/>
          <w:lang w:bidi="fa-IR"/>
        </w:rPr>
        <w:t xml:space="preserve"> قَالَ : اسْمِي مُحَمَّدُ بْنُ عَلِيِّ بْنِ الْحُسَيْنِ ، فَأَقْبَلَ عَلَيْهِ يُقَبِّلُ </w:t>
      </w:r>
      <w:r>
        <w:rPr>
          <w:rStyle w:val="libFootnotenumChar"/>
          <w:rtl/>
        </w:rPr>
        <w:t>(8)</w:t>
      </w:r>
      <w:r w:rsidRPr="00132E65">
        <w:rPr>
          <w:rtl/>
          <w:lang w:bidi="fa-IR"/>
        </w:rPr>
        <w:t xml:space="preserve"> رَأْسَهُ و</w:t>
      </w:r>
      <w:r w:rsidR="00F96410">
        <w:rPr>
          <w:rFonts w:hint="cs"/>
          <w:rtl/>
          <w:lang w:bidi="fa-IR"/>
        </w:rPr>
        <w:t xml:space="preserve">َ </w:t>
      </w:r>
      <w:r w:rsidRPr="00132E65">
        <w:rPr>
          <w:rtl/>
          <w:lang w:bidi="fa-IR"/>
        </w:rPr>
        <w:t>يَقُولُ : بِأَبِي أَنْتَ و</w:t>
      </w:r>
      <w:r w:rsidR="00F96410">
        <w:rPr>
          <w:rFonts w:hint="cs"/>
          <w:rtl/>
          <w:lang w:bidi="fa-IR"/>
        </w:rPr>
        <w:t xml:space="preserve">َ </w:t>
      </w:r>
      <w:r w:rsidRPr="00132E65">
        <w:rPr>
          <w:rtl/>
          <w:lang w:bidi="fa-IR"/>
        </w:rPr>
        <w:t xml:space="preserve">أُمِّي ، أَبُوكَ رَسُولُ اللهِ </w:t>
      </w:r>
      <w:r w:rsidRPr="0093484F">
        <w:rPr>
          <w:rStyle w:val="libAlaemChar"/>
          <w:rFonts w:eastAsiaTheme="minorHAnsi"/>
          <w:rtl/>
        </w:rPr>
        <w:t>صلى‌الله‌عليه‌وآله</w:t>
      </w:r>
      <w:r w:rsidRPr="00132E65">
        <w:rPr>
          <w:rtl/>
          <w:lang w:bidi="fa-IR"/>
        </w:rPr>
        <w:t xml:space="preserve"> يُقْرِئُكَ السَّلَامَ ، و</w:t>
      </w:r>
      <w:r w:rsidR="00F96410">
        <w:rPr>
          <w:rFonts w:hint="cs"/>
          <w:rtl/>
          <w:lang w:bidi="fa-IR"/>
        </w:rPr>
        <w:t xml:space="preserve">َ </w:t>
      </w:r>
      <w:r w:rsidRPr="00132E65">
        <w:rPr>
          <w:rtl/>
          <w:lang w:bidi="fa-IR"/>
        </w:rPr>
        <w:t>يَقُولُ ذلِكَ »</w:t>
      </w:r>
      <w:r>
        <w:rPr>
          <w:rtl/>
          <w:lang w:bidi="fa-IR"/>
        </w:rPr>
        <w:t>.</w:t>
      </w:r>
    </w:p>
    <w:p w:rsidR="000C39D1" w:rsidRPr="00132E65" w:rsidRDefault="000C39D1" w:rsidP="000C39D1">
      <w:pPr>
        <w:pStyle w:val="libNormal"/>
        <w:rPr>
          <w:rtl/>
          <w:lang w:bidi="fa-IR"/>
        </w:rPr>
      </w:pPr>
      <w:r w:rsidRPr="00132E65">
        <w:rPr>
          <w:rtl/>
          <w:lang w:bidi="fa-IR"/>
        </w:rPr>
        <w:t>قَالَ : « فَرَجَعَ مُحَمَّدُ بْنُ عَلِيِّ بْنِ الْحُسَيْنِ إِلى أَبِيهِ و</w:t>
      </w:r>
      <w:r w:rsidR="00F96410">
        <w:rPr>
          <w:rFonts w:hint="cs"/>
          <w:rtl/>
          <w:lang w:bidi="fa-IR"/>
        </w:rPr>
        <w:t xml:space="preserve">َ </w:t>
      </w:r>
      <w:r w:rsidRPr="00132E65">
        <w:rPr>
          <w:rtl/>
          <w:lang w:bidi="fa-IR"/>
        </w:rPr>
        <w:t xml:space="preserve">هُوَ ذَعِرٌ </w:t>
      </w:r>
      <w:r>
        <w:rPr>
          <w:rStyle w:val="libFootnotenumChar"/>
          <w:rtl/>
        </w:rPr>
        <w:t>(9)</w:t>
      </w:r>
      <w:r w:rsidRPr="00132E65">
        <w:rPr>
          <w:rtl/>
          <w:lang w:bidi="fa-IR"/>
        </w:rPr>
        <w:t xml:space="preserve"> ، فَأَخْبَرَهُ الْخَبَرَ ، فَقَالَ لَهُ : يَا بُنَيَّ ، و</w:t>
      </w:r>
      <w:r w:rsidR="00F96410">
        <w:rPr>
          <w:rFonts w:hint="cs"/>
          <w:rtl/>
          <w:lang w:bidi="fa-IR"/>
        </w:rPr>
        <w:t xml:space="preserve">َ </w:t>
      </w:r>
      <w:r w:rsidRPr="00132E65">
        <w:rPr>
          <w:rtl/>
          <w:lang w:bidi="fa-IR"/>
        </w:rPr>
        <w:t>قَدْ فَعَلَهَا جَابِرٌ</w:t>
      </w:r>
      <w:r>
        <w:rPr>
          <w:rtl/>
          <w:lang w:bidi="fa-IR"/>
        </w:rPr>
        <w:t>؟</w:t>
      </w:r>
      <w:r w:rsidRPr="00132E65">
        <w:rPr>
          <w:rtl/>
          <w:lang w:bidi="fa-IR"/>
        </w:rPr>
        <w:t xml:space="preserve"> قَالَ : نَعَمْ ، قَالَ : الْزَمْ بَيْتَكَ يَا بُنَيَّ ؛ فَكَانَ </w:t>
      </w:r>
      <w:r>
        <w:rPr>
          <w:rStyle w:val="libFootnotenumChar"/>
          <w:rtl/>
        </w:rPr>
        <w:t>(10)</w:t>
      </w:r>
      <w:r w:rsidRPr="00132E65">
        <w:rPr>
          <w:rtl/>
          <w:lang w:bidi="fa-IR"/>
        </w:rPr>
        <w:t xml:space="preserve"> جَابِرٌ يَأْتِيهِ طَرَفَيِ النَّهَارِ ، و</w:t>
      </w:r>
      <w:r w:rsidR="00F96410">
        <w:rPr>
          <w:rFonts w:hint="cs"/>
          <w:rtl/>
          <w:lang w:bidi="fa-IR"/>
        </w:rPr>
        <w:t xml:space="preserve">َ </w:t>
      </w:r>
      <w:r w:rsidRPr="00132E65">
        <w:rPr>
          <w:rtl/>
          <w:lang w:bidi="fa-IR"/>
        </w:rPr>
        <w:t>كَانَ أَهْلُ الْمَدِينَةِ يَقُولُونَ : و</w:t>
      </w:r>
      <w:r w:rsidR="00F96410">
        <w:rPr>
          <w:rFonts w:hint="cs"/>
          <w:rtl/>
          <w:lang w:bidi="fa-IR"/>
        </w:rPr>
        <w:t>َ</w:t>
      </w:r>
      <w:r w:rsidRPr="00132E65">
        <w:rPr>
          <w:rtl/>
          <w:lang w:bidi="fa-IR"/>
        </w:rPr>
        <w:t xml:space="preserve">ا عَجَبَاهْ </w:t>
      </w:r>
      <w:r>
        <w:rPr>
          <w:rStyle w:val="libFootnotenumChar"/>
          <w:rtl/>
        </w:rPr>
        <w:t>(11)</w:t>
      </w:r>
      <w:r w:rsidRPr="00132E65">
        <w:rPr>
          <w:rtl/>
          <w:lang w:bidi="fa-IR"/>
        </w:rPr>
        <w:t xml:space="preserve"> لِجَابِرٍ يَأْتِي هذَا الْغُلَامَ طَرَفَيِ النَّهَارِ و</w:t>
      </w:r>
      <w:r w:rsidR="00F96410">
        <w:rPr>
          <w:rFonts w:hint="cs"/>
          <w:rtl/>
          <w:lang w:bidi="fa-IR"/>
        </w:rPr>
        <w:t xml:space="preserve">َ </w:t>
      </w:r>
      <w:r w:rsidRPr="00132E65">
        <w:rPr>
          <w:rtl/>
          <w:lang w:bidi="fa-IR"/>
        </w:rPr>
        <w:t xml:space="preserve">هُوَ آخِرُ مَنْ بَقِيَ مِنْ أَصْحَابِ رَسُولِ اللهِ </w:t>
      </w:r>
      <w:r>
        <w:rPr>
          <w:rStyle w:val="libFootnotenumChar"/>
          <w:rtl/>
        </w:rPr>
        <w:t>(12)</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فَلَمْ يَلْبَثْ أَنْ مَضى عَلِيُّ بْنُ الْحُسَيْنِ </w:t>
      </w:r>
      <w:r w:rsidRPr="00071CF9">
        <w:rPr>
          <w:rStyle w:val="libAlaemChar"/>
          <w:rtl/>
        </w:rPr>
        <w:t>عليهما‌السلام</w:t>
      </w:r>
      <w:r w:rsidRPr="00132E65">
        <w:rPr>
          <w:rtl/>
          <w:lang w:bidi="fa-IR"/>
        </w:rPr>
        <w:t xml:space="preserve"> ، فَكَانَ مُحَمَّدُ بْنُ عَلِيٍّ يَأْتِيهِ عَلى و</w:t>
      </w:r>
      <w:r w:rsidR="00F96410">
        <w:rPr>
          <w:rFonts w:hint="cs"/>
          <w:rtl/>
          <w:lang w:bidi="fa-IR"/>
        </w:rPr>
        <w:t>َ</w:t>
      </w:r>
      <w:r w:rsidRPr="00132E65">
        <w:rPr>
          <w:rtl/>
          <w:lang w:bidi="fa-IR"/>
        </w:rPr>
        <w:t>جْهِ الْكَرَامَةِ لِصُحْبَتِهِ‌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يبقر العلم » ، أي يشقّه ويفتحه ويسعه ، من البقر ، وهو في الأصل : الشقّ والفتح والتوسعة. والتبقّر : التوسّع في العلم والمال. قال ابن منظور : « وكان يقال لمحمّد بن عليّ بن الحسين بن عليّ : الباقر ، رضوان الله عليهم ؛ لأنّه بقر العلم وعرف أصله واستنبط فرعه وتبقّر في العلم »</w:t>
      </w:r>
      <w:r>
        <w:rPr>
          <w:rtl/>
        </w:rPr>
        <w:t>.</w:t>
      </w:r>
      <w:r w:rsidRPr="00132E65">
        <w:rPr>
          <w:rtl/>
        </w:rPr>
        <w:t xml:space="preserve"> راجع : </w:t>
      </w:r>
      <w:r w:rsidRPr="009D1ACE">
        <w:rPr>
          <w:rStyle w:val="libFootnoteBoldChar"/>
          <w:rtl/>
        </w:rPr>
        <w:t>لسان العرب</w:t>
      </w:r>
      <w:r w:rsidRPr="00132E65">
        <w:rPr>
          <w:rtl/>
        </w:rPr>
        <w:t xml:space="preserve"> ، ج 4 ، ص 74 ( بقر )</w:t>
      </w:r>
      <w:r>
        <w:rPr>
          <w:rtl/>
        </w:rPr>
        <w:t>.</w:t>
      </w:r>
    </w:p>
    <w:p w:rsidR="000C39D1" w:rsidRPr="00132E65" w:rsidRDefault="000C39D1" w:rsidP="000C39D1">
      <w:pPr>
        <w:pStyle w:val="libFootnote0"/>
        <w:rPr>
          <w:rtl/>
          <w:lang w:bidi="fa-IR"/>
        </w:rPr>
      </w:pPr>
      <w:r>
        <w:rPr>
          <w:rtl/>
        </w:rPr>
        <w:t>(2).</w:t>
      </w:r>
      <w:r w:rsidRPr="00132E65">
        <w:rPr>
          <w:rtl/>
        </w:rPr>
        <w:t xml:space="preserve"> في « بح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(3).</w:t>
      </w:r>
      <w:r w:rsidRPr="00132E65">
        <w:rPr>
          <w:rtl/>
        </w:rPr>
        <w:t xml:space="preserve"> هكذا في « ض ، بر ، بف » وحاشية « ج » و</w:t>
      </w:r>
      <w:r w:rsidRPr="009D1ACE">
        <w:rPr>
          <w:rStyle w:val="libFootnoteBoldChar"/>
          <w:rtl/>
        </w:rPr>
        <w:t>الوافي</w:t>
      </w:r>
      <w:r w:rsidRPr="00132E65">
        <w:rPr>
          <w:rtl/>
        </w:rPr>
        <w:t>. وفي سائر النسخ والمطبوع : « في » بدون الواو.</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ذلك »</w:t>
      </w:r>
      <w:r>
        <w:rPr>
          <w:rtl/>
        </w:rPr>
        <w:t>.</w:t>
      </w:r>
    </w:p>
    <w:p w:rsidR="000C39D1" w:rsidRPr="00132E65" w:rsidRDefault="000C39D1" w:rsidP="000C39D1">
      <w:pPr>
        <w:pStyle w:val="libFootnote0"/>
        <w:rPr>
          <w:rtl/>
          <w:lang w:bidi="fa-IR"/>
        </w:rPr>
      </w:pPr>
      <w:r>
        <w:rPr>
          <w:rtl/>
        </w:rPr>
        <w:t>(5).</w:t>
      </w:r>
      <w:r w:rsidR="000127ED">
        <w:rPr>
          <w:rtl/>
        </w:rPr>
        <w:t xml:space="preserve"> « الكتّاب » : الم</w:t>
      </w:r>
      <w:r w:rsidR="000127ED">
        <w:rPr>
          <w:rFonts w:hint="cs"/>
          <w:rtl/>
        </w:rPr>
        <w:t>ـَ</w:t>
      </w:r>
      <w:r w:rsidRPr="00132E65">
        <w:rPr>
          <w:rtl/>
        </w:rPr>
        <w:t xml:space="preserve">كْتَبُ ، وهو موضع تعليم الكُتّاب. والجمع : الكتاتيب ، قاله الجوهري وابن منظور. راجع : </w:t>
      </w:r>
      <w:r w:rsidRPr="00CE3618">
        <w:rPr>
          <w:rtl/>
        </w:rPr>
        <w:t>الصحاح</w:t>
      </w:r>
      <w:r w:rsidRPr="00132E65">
        <w:rPr>
          <w:rtl/>
        </w:rPr>
        <w:t xml:space="preserve"> ، ج 1 ، ص 208 ؛ </w:t>
      </w:r>
      <w:r w:rsidRPr="009D1ACE">
        <w:rPr>
          <w:rStyle w:val="libFootnoteBoldChar"/>
          <w:rtl/>
        </w:rPr>
        <w:t>لسان العرب</w:t>
      </w:r>
      <w:r w:rsidRPr="00132E65">
        <w:rPr>
          <w:rtl/>
        </w:rPr>
        <w:t xml:space="preserve"> ، ج 1 ، ص 699 ( كتب )</w:t>
      </w:r>
      <w:r>
        <w:rPr>
          <w:rtl/>
        </w:rPr>
        <w:t>.</w:t>
      </w:r>
    </w:p>
    <w:tbl>
      <w:tblPr>
        <w:tblStyle w:val="TableGrid"/>
        <w:bidiVisual/>
        <w:tblW w:w="0" w:type="auto"/>
        <w:tblLook w:val="04A0" w:firstRow="1" w:lastRow="0" w:firstColumn="1" w:lastColumn="0" w:noHBand="0" w:noVBand="1"/>
      </w:tblPr>
      <w:tblGrid>
        <w:gridCol w:w="4261"/>
        <w:gridCol w:w="4262"/>
      </w:tblGrid>
      <w:tr w:rsidR="00E52A22" w:rsidTr="00E52A22">
        <w:tc>
          <w:tcPr>
            <w:tcW w:w="4261" w:type="dxa"/>
          </w:tcPr>
          <w:p w:rsidR="00E52A22" w:rsidRDefault="00E52A22"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له »</w:t>
            </w:r>
            <w:r>
              <w:rPr>
                <w:rtl/>
              </w:rPr>
              <w:t>.</w:t>
            </w:r>
          </w:p>
        </w:tc>
        <w:tc>
          <w:tcPr>
            <w:tcW w:w="4262" w:type="dxa"/>
          </w:tcPr>
          <w:p w:rsidR="00E52A22" w:rsidRDefault="00E52A22" w:rsidP="000C39D1">
            <w:pPr>
              <w:pStyle w:val="libFootnote0"/>
              <w:rPr>
                <w:rtl/>
                <w:lang w:bidi="fa-IR"/>
              </w:rPr>
            </w:pPr>
            <w:r>
              <w:rPr>
                <w:rtl/>
              </w:rPr>
              <w:t>(7).</w:t>
            </w:r>
            <w:r w:rsidRPr="00132E65">
              <w:rPr>
                <w:rtl/>
              </w:rPr>
              <w:t xml:space="preserve"> في حاشية « ف » :</w:t>
            </w:r>
            <w:r>
              <w:rPr>
                <w:rtl/>
              </w:rPr>
              <w:t xml:space="preserve"> + </w:t>
            </w:r>
            <w:r w:rsidRPr="00132E65">
              <w:rPr>
                <w:rtl/>
              </w:rPr>
              <w:t>« هذا »</w:t>
            </w:r>
            <w:r>
              <w:rPr>
                <w:rtl/>
              </w:rPr>
              <w:t>.</w:t>
            </w:r>
          </w:p>
        </w:tc>
      </w:tr>
    </w:tbl>
    <w:p w:rsidR="000C39D1" w:rsidRPr="00132E65" w:rsidRDefault="000C39D1" w:rsidP="000C39D1">
      <w:pPr>
        <w:pStyle w:val="libFootnote0"/>
        <w:rPr>
          <w:rtl/>
          <w:lang w:bidi="fa-IR"/>
        </w:rPr>
      </w:pPr>
      <w:r>
        <w:rPr>
          <w:rtl/>
        </w:rPr>
        <w:t>(8).</w:t>
      </w:r>
      <w:r w:rsidRPr="00132E65">
        <w:rPr>
          <w:rtl/>
        </w:rPr>
        <w:t xml:space="preserve"> في « ف » : « فقبّل »</w:t>
      </w:r>
      <w:r>
        <w:rPr>
          <w:rtl/>
        </w:rPr>
        <w:t>.</w:t>
      </w:r>
    </w:p>
    <w:p w:rsidR="000C39D1" w:rsidRPr="00132E65" w:rsidRDefault="000C39D1" w:rsidP="000C39D1">
      <w:pPr>
        <w:pStyle w:val="libFootnote0"/>
        <w:rPr>
          <w:rtl/>
          <w:lang w:bidi="fa-IR"/>
        </w:rPr>
      </w:pPr>
      <w:r>
        <w:rPr>
          <w:rtl/>
        </w:rPr>
        <w:t>(9).</w:t>
      </w:r>
      <w:r w:rsidRPr="00132E65">
        <w:rPr>
          <w:rtl/>
        </w:rPr>
        <w:t xml:space="preserve"> « ذعر » : خائف ؛ من الذُعْر ، وهو الخوف والفزع ، وهو الاسم. راجع : </w:t>
      </w:r>
      <w:r w:rsidRPr="009D1ACE">
        <w:rPr>
          <w:rStyle w:val="libFootnoteBoldChar"/>
          <w:rtl/>
        </w:rPr>
        <w:t>لسان العرب</w:t>
      </w:r>
      <w:r w:rsidRPr="00132E65">
        <w:rPr>
          <w:rtl/>
        </w:rPr>
        <w:t xml:space="preserve"> ، ج 4 ، ص 306 ( ذعر )</w:t>
      </w:r>
      <w:r>
        <w:rPr>
          <w:rtl/>
        </w:rPr>
        <w:t>.</w:t>
      </w:r>
    </w:p>
    <w:p w:rsidR="000C39D1" w:rsidRPr="00132E65" w:rsidRDefault="000C39D1" w:rsidP="000C39D1">
      <w:pPr>
        <w:pStyle w:val="libFootnote0"/>
        <w:rPr>
          <w:rtl/>
          <w:lang w:bidi="fa-IR"/>
        </w:rPr>
      </w:pPr>
      <w:r>
        <w:rPr>
          <w:rtl/>
        </w:rPr>
        <w:t>(10).</w:t>
      </w:r>
      <w:r w:rsidRPr="00132E65">
        <w:rPr>
          <w:rtl/>
        </w:rPr>
        <w:t xml:space="preserve"> في « بر ، بف » و</w:t>
      </w:r>
      <w:r w:rsidRPr="009D1ACE">
        <w:rPr>
          <w:rStyle w:val="libFootnoteBoldChar"/>
          <w:rtl/>
        </w:rPr>
        <w:t>الوافي</w:t>
      </w:r>
      <w:r w:rsidRPr="00132E65">
        <w:rPr>
          <w:rtl/>
        </w:rPr>
        <w:t xml:space="preserve"> والاختصاص : « وكان »</w:t>
      </w:r>
      <w:r>
        <w:rPr>
          <w:rtl/>
        </w:rPr>
        <w:t>.</w:t>
      </w:r>
    </w:p>
    <w:p w:rsidR="000C39D1" w:rsidRPr="00132E65" w:rsidRDefault="000C39D1" w:rsidP="000C39D1">
      <w:pPr>
        <w:pStyle w:val="libFootnote0"/>
        <w:rPr>
          <w:rtl/>
          <w:lang w:bidi="fa-IR"/>
        </w:rPr>
      </w:pPr>
      <w:r>
        <w:rPr>
          <w:rtl/>
        </w:rPr>
        <w:t>(11).</w:t>
      </w:r>
      <w:r w:rsidRPr="00132E65">
        <w:rPr>
          <w:rtl/>
        </w:rPr>
        <w:t xml:space="preserve"> في « ب » : « وا عجبا »</w:t>
      </w:r>
      <w:r>
        <w:rPr>
          <w:rtl/>
        </w:rPr>
        <w:t>.</w:t>
      </w:r>
    </w:p>
    <w:p w:rsidR="000C39D1" w:rsidRPr="00132E65" w:rsidRDefault="000C39D1" w:rsidP="000C39D1">
      <w:pPr>
        <w:pStyle w:val="libFootnote0"/>
        <w:rPr>
          <w:rtl/>
          <w:lang w:bidi="fa-IR"/>
        </w:rPr>
      </w:pPr>
      <w:r>
        <w:rPr>
          <w:rtl/>
        </w:rPr>
        <w:t>(12).</w:t>
      </w:r>
      <w:r w:rsidRPr="00132E65">
        <w:rPr>
          <w:rtl/>
        </w:rPr>
        <w:t xml:space="preserve"> في « ب ، ج ، ف ، بح ، بر ، بف » : « من أصحاب محمّد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لِرَسُولِ اللهِ </w:t>
      </w:r>
      <w:r w:rsidRPr="0093484F">
        <w:rPr>
          <w:rStyle w:val="libAlaemChar"/>
          <w:rFonts w:eastAsiaTheme="minorHAnsi"/>
          <w:rtl/>
        </w:rPr>
        <w:t>صلى‌الله‌عليه‌وآله</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 فَجَلَسَ </w:t>
      </w:r>
      <w:r w:rsidRPr="00071CF9">
        <w:rPr>
          <w:rStyle w:val="libAlaemChar"/>
          <w:rtl/>
        </w:rPr>
        <w:t>عليه‌السلام</w:t>
      </w:r>
      <w:r w:rsidRPr="00132E65">
        <w:rPr>
          <w:rtl/>
          <w:lang w:bidi="fa-IR"/>
        </w:rPr>
        <w:t xml:space="preserve"> يُحَدِّثُهُمْ عَنِ اللهِ تَبَارَكَ و</w:t>
      </w:r>
      <w:r w:rsidR="0067748C">
        <w:rPr>
          <w:rFonts w:hint="cs"/>
          <w:rtl/>
          <w:lang w:bidi="fa-IR"/>
        </w:rPr>
        <w:t xml:space="preserve">َ </w:t>
      </w:r>
      <w:r w:rsidRPr="00132E65">
        <w:rPr>
          <w:rtl/>
          <w:lang w:bidi="fa-IR"/>
        </w:rPr>
        <w:t xml:space="preserve">تَعَالى ، فَقَالَ أَهْلُ الْمَدِينَةِ : مَا رَأَيْنَا أَحَداً أَجْرَأَ </w:t>
      </w:r>
      <w:r>
        <w:rPr>
          <w:rStyle w:val="libFootnotenumChar"/>
          <w:rtl/>
        </w:rPr>
        <w:t>(1)</w:t>
      </w:r>
      <w:r w:rsidRPr="00132E65">
        <w:rPr>
          <w:rtl/>
          <w:lang w:bidi="fa-IR"/>
        </w:rPr>
        <w:t xml:space="preserve"> مِنْ هذَا ، فَلَمَّا رَأى مَا يَقُولُونَ حَدَّثَهُمْ عَنْ رَسُولِ اللهِ </w:t>
      </w:r>
      <w:r w:rsidRPr="0093484F">
        <w:rPr>
          <w:rStyle w:val="libAlaemChar"/>
          <w:rFonts w:eastAsiaTheme="minorHAnsi"/>
          <w:rtl/>
        </w:rPr>
        <w:t>صلى‌الله‌عليه‌وآله</w:t>
      </w:r>
      <w:r w:rsidRPr="00132E65">
        <w:rPr>
          <w:rtl/>
          <w:lang w:bidi="fa-IR"/>
        </w:rPr>
        <w:t xml:space="preserve"> ، فَقَالَ أَهْلُ الْمَدِينَةِ : مَا رَأَيْنَا أَحَداً قَطُّ </w:t>
      </w:r>
      <w:r>
        <w:rPr>
          <w:rStyle w:val="libFootnotenumChar"/>
          <w:rtl/>
        </w:rPr>
        <w:t>(2)</w:t>
      </w:r>
      <w:r w:rsidRPr="00132E65">
        <w:rPr>
          <w:rtl/>
          <w:lang w:bidi="fa-IR"/>
        </w:rPr>
        <w:t xml:space="preserve"> أَكْذَبَ مِنْ هذَا ، يُحَدِّثُنَا </w:t>
      </w:r>
      <w:r>
        <w:rPr>
          <w:rStyle w:val="libFootnotenumChar"/>
          <w:rtl/>
        </w:rPr>
        <w:t>(3)</w:t>
      </w:r>
      <w:r w:rsidRPr="00132E65">
        <w:rPr>
          <w:rtl/>
          <w:lang w:bidi="fa-IR"/>
        </w:rPr>
        <w:t xml:space="preserve"> عَمَّنْ لَمْ يَرَهُ ، فَلَمَّا رَأى مَا يَقُولُونَ حَدَّثَهُمْ عَنْ جَابِرِ بْنِ عَبْدِ اللهِ </w:t>
      </w:r>
      <w:r>
        <w:rPr>
          <w:rStyle w:val="libFootnotenumChar"/>
          <w:rtl/>
        </w:rPr>
        <w:t>(4)</w:t>
      </w:r>
      <w:r w:rsidRPr="00132E65">
        <w:rPr>
          <w:rtl/>
          <w:lang w:bidi="fa-IR"/>
        </w:rPr>
        <w:t xml:space="preserve"> »</w:t>
      </w:r>
      <w:r>
        <w:rPr>
          <w:rtl/>
          <w:lang w:bidi="fa-IR"/>
        </w:rPr>
        <w:t>.</w:t>
      </w:r>
      <w:r w:rsidRPr="00132E65">
        <w:rPr>
          <w:rtl/>
          <w:lang w:bidi="fa-IR"/>
        </w:rPr>
        <w:t xml:space="preserve"> قَالَ : « فَصَدَّقُوهُ </w:t>
      </w:r>
      <w:r>
        <w:rPr>
          <w:rStyle w:val="libFootnotenumChar"/>
          <w:rtl/>
        </w:rPr>
        <w:t>(5)</w:t>
      </w:r>
      <w:r w:rsidRPr="00132E65">
        <w:rPr>
          <w:rtl/>
          <w:lang w:bidi="fa-IR"/>
        </w:rPr>
        <w:t xml:space="preserve"> ، و</w:t>
      </w:r>
      <w:r w:rsidR="00A260C9">
        <w:rPr>
          <w:rFonts w:hint="cs"/>
          <w:rtl/>
          <w:lang w:bidi="fa-IR"/>
        </w:rPr>
        <w:t xml:space="preserve">َ </w:t>
      </w:r>
      <w:r w:rsidRPr="00132E65">
        <w:rPr>
          <w:rtl/>
          <w:lang w:bidi="fa-IR"/>
        </w:rPr>
        <w:t xml:space="preserve">كَانَ جَابِرُ بْنُ عَبْدِ اللهِ يَأْتِيهِ ، فَيَتَعَلَّمُ </w:t>
      </w:r>
      <w:r>
        <w:rPr>
          <w:rStyle w:val="libFootnotenumChar"/>
          <w:rtl/>
        </w:rPr>
        <w:t>(6)</w:t>
      </w:r>
      <w:r w:rsidRPr="00132E65">
        <w:rPr>
          <w:rtl/>
          <w:lang w:bidi="fa-IR"/>
        </w:rPr>
        <w:t xml:space="preserve"> مِنْهُ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C94E04">
      <w:pPr>
        <w:pStyle w:val="libNormal"/>
        <w:rPr>
          <w:rtl/>
          <w:lang w:bidi="fa-IR"/>
        </w:rPr>
      </w:pPr>
      <w:r w:rsidRPr="00490A70">
        <w:rPr>
          <w:rtl/>
        </w:rPr>
        <w:t>1277</w:t>
      </w:r>
      <w:r w:rsidRPr="004325D8">
        <w:rPr>
          <w:rStyle w:val="libBold2Char"/>
          <w:rtl/>
        </w:rPr>
        <w:t xml:space="preserve"> / 3.</w:t>
      </w:r>
      <w:r w:rsidRPr="00132E65">
        <w:rPr>
          <w:rtl/>
          <w:lang w:bidi="fa-IR"/>
        </w:rPr>
        <w:t xml:space="preserve"> عِدَّةٌ مِنْ أَصْحَابِنَا ، عَنْ</w:t>
      </w:r>
      <w:r w:rsidR="00C94E04">
        <w:rPr>
          <w:rFonts w:hint="cs"/>
          <w:rtl/>
          <w:lang w:bidi="fa-IR"/>
        </w:rPr>
        <w:t xml:space="preserve"> </w:t>
      </w:r>
      <w:r w:rsidRPr="00132E65">
        <w:rPr>
          <w:rtl/>
          <w:lang w:bidi="fa-IR"/>
        </w:rPr>
        <w:t>أَحْمَدَ بْنِ مُحَمَّدٍ ، عَنْ عَلِيِّ بْنِ الْحَكَمِ ، عَنْ مُثَنًّى الْحَنَّاطِ ، عَنْ أَبِي بَصِيرٍ ، قَالَ :</w:t>
      </w:r>
    </w:p>
    <w:p w:rsidR="000C39D1" w:rsidRPr="00132E65" w:rsidRDefault="000C39D1" w:rsidP="000C39D1">
      <w:pPr>
        <w:pStyle w:val="libNormal"/>
        <w:rPr>
          <w:rtl/>
          <w:lang w:bidi="fa-IR"/>
        </w:rPr>
      </w:pPr>
      <w:r w:rsidRPr="00132E65">
        <w:rPr>
          <w:rtl/>
          <w:lang w:bidi="fa-IR"/>
        </w:rPr>
        <w:t xml:space="preserve">دَخَلْتُ عَلى أَبِي جَعْفَرٍ </w:t>
      </w:r>
      <w:r w:rsidRPr="00071CF9">
        <w:rPr>
          <w:rStyle w:val="libAlaemChar"/>
          <w:rtl/>
        </w:rPr>
        <w:t>عليه‌السلام</w:t>
      </w:r>
      <w:r w:rsidRPr="00132E65">
        <w:rPr>
          <w:rtl/>
          <w:lang w:bidi="fa-IR"/>
        </w:rPr>
        <w:t xml:space="preserve"> ، فَقُلْتُ لَهُ : أَنْتُمْ </w:t>
      </w:r>
      <w:r>
        <w:rPr>
          <w:rStyle w:val="libFootnotenumChar"/>
          <w:rtl/>
        </w:rPr>
        <w:t>(8)</w:t>
      </w:r>
      <w:r w:rsidRPr="00132E65">
        <w:rPr>
          <w:rtl/>
          <w:lang w:bidi="fa-IR"/>
        </w:rPr>
        <w:t xml:space="preserve"> و</w:t>
      </w:r>
      <w:r w:rsidR="00C94E04">
        <w:rPr>
          <w:rFonts w:hint="cs"/>
          <w:rtl/>
          <w:lang w:bidi="fa-IR"/>
        </w:rPr>
        <w:t>َ</w:t>
      </w:r>
      <w:r w:rsidRPr="00132E65">
        <w:rPr>
          <w:rtl/>
          <w:lang w:bidi="fa-IR"/>
        </w:rPr>
        <w:t xml:space="preserve">رَثَةُ رَسُولِ اللهِ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قَالَ : « نَعَمْ »</w:t>
      </w:r>
      <w:r>
        <w:rPr>
          <w:rtl/>
          <w:lang w:bidi="fa-IR"/>
        </w:rPr>
        <w:t>.</w:t>
      </w:r>
    </w:p>
    <w:p w:rsidR="000C39D1" w:rsidRPr="00132E65" w:rsidRDefault="000C39D1" w:rsidP="000C39D1">
      <w:pPr>
        <w:pStyle w:val="libNormal"/>
        <w:rPr>
          <w:rtl/>
          <w:lang w:bidi="fa-IR"/>
        </w:rPr>
      </w:pPr>
      <w:r w:rsidRPr="00132E65">
        <w:rPr>
          <w:rtl/>
          <w:lang w:bidi="fa-IR"/>
        </w:rPr>
        <w:t xml:space="preserve">قُلْتُ : رَسُولُ اللهِ </w:t>
      </w:r>
      <w:r>
        <w:rPr>
          <w:rStyle w:val="libFootnotenumChar"/>
          <w:rtl/>
        </w:rPr>
        <w:t>(9)</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وارِثُ الْأَنْبِيَاءِ ، عَلِمَ كُلَّ مَا عَلِمُوا</w:t>
      </w:r>
      <w:r>
        <w:rPr>
          <w:rtl/>
          <w:lang w:bidi="fa-IR"/>
        </w:rPr>
        <w:t>؟</w:t>
      </w:r>
      <w:r w:rsidRPr="00132E65">
        <w:rPr>
          <w:rtl/>
          <w:lang w:bidi="fa-IR"/>
        </w:rPr>
        <w:t xml:space="preserve"> قَالَ </w:t>
      </w:r>
      <w:r>
        <w:rPr>
          <w:rStyle w:val="libFootnotenumChar"/>
          <w:rtl/>
        </w:rPr>
        <w:t>(10)</w:t>
      </w:r>
      <w:r w:rsidRPr="00132E65">
        <w:rPr>
          <w:rtl/>
          <w:lang w:bidi="fa-IR"/>
        </w:rPr>
        <w:t xml:space="preserve"> : « نَعَمْ »</w:t>
      </w:r>
      <w:r>
        <w:rPr>
          <w:rtl/>
          <w:lang w:bidi="fa-IR"/>
        </w:rPr>
        <w:t>.</w:t>
      </w:r>
    </w:p>
    <w:p w:rsidR="000C39D1" w:rsidRPr="00132E65" w:rsidRDefault="000C39D1" w:rsidP="000C39D1">
      <w:pPr>
        <w:pStyle w:val="libNormal"/>
        <w:rPr>
          <w:rtl/>
          <w:lang w:bidi="fa-IR"/>
        </w:rPr>
      </w:pPr>
      <w:r w:rsidRPr="00132E65">
        <w:rPr>
          <w:rtl/>
          <w:lang w:bidi="fa-IR"/>
        </w:rPr>
        <w:t xml:space="preserve">قُلْتُ : فَأَنْتُمْ </w:t>
      </w:r>
      <w:r>
        <w:rPr>
          <w:rStyle w:val="libFootnotenumChar"/>
          <w:rtl/>
        </w:rPr>
        <w:t>(11)</w:t>
      </w:r>
      <w:r w:rsidRPr="00132E65">
        <w:rPr>
          <w:rtl/>
          <w:lang w:bidi="fa-IR"/>
        </w:rPr>
        <w:t xml:space="preserve"> تَقْدِرُونَ عَلى أَنْ تُحْيُوا الْمَوْتى ، وتُبْرِئُوا الْأَكْمَهَ </w:t>
      </w:r>
      <w:r>
        <w:rPr>
          <w:rStyle w:val="libFootnotenumChar"/>
          <w:rtl/>
        </w:rPr>
        <w:t>(12)</w:t>
      </w:r>
      <w:r w:rsidRPr="00132E65">
        <w:rPr>
          <w:rtl/>
          <w:lang w:bidi="fa-IR"/>
        </w:rPr>
        <w:t xml:space="preserve"> والْأَبْرَصَ</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بس ، بف » : « أجرى » بقلب الهمزة ياءً.</w:t>
      </w:r>
    </w:p>
    <w:tbl>
      <w:tblPr>
        <w:tblStyle w:val="TableGrid"/>
        <w:bidiVisual/>
        <w:tblW w:w="0" w:type="auto"/>
        <w:tblLook w:val="04A0" w:firstRow="1" w:lastRow="0" w:firstColumn="1" w:lastColumn="0" w:noHBand="0" w:noVBand="1"/>
      </w:tblPr>
      <w:tblGrid>
        <w:gridCol w:w="4261"/>
        <w:gridCol w:w="4262"/>
      </w:tblGrid>
      <w:tr w:rsidR="00C94E04" w:rsidTr="00C94E04">
        <w:tc>
          <w:tcPr>
            <w:tcW w:w="4261" w:type="dxa"/>
          </w:tcPr>
          <w:p w:rsidR="00C94E04" w:rsidRDefault="00C94E04"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قطّ »</w:t>
            </w:r>
            <w:r>
              <w:rPr>
                <w:rtl/>
              </w:rPr>
              <w:t>.</w:t>
            </w:r>
          </w:p>
        </w:tc>
        <w:tc>
          <w:tcPr>
            <w:tcW w:w="4262" w:type="dxa"/>
          </w:tcPr>
          <w:p w:rsidR="00C94E04" w:rsidRDefault="00C94E04" w:rsidP="000C39D1">
            <w:pPr>
              <w:pStyle w:val="libFootnote0"/>
              <w:rPr>
                <w:rtl/>
              </w:rPr>
            </w:pPr>
            <w:r>
              <w:rPr>
                <w:rtl/>
              </w:rPr>
              <w:t>(3).</w:t>
            </w:r>
            <w:r w:rsidRPr="00132E65">
              <w:rPr>
                <w:rtl/>
              </w:rPr>
              <w:t xml:space="preserve"> في « ب » : « حدّثنا »</w:t>
            </w:r>
            <w:r>
              <w:rPr>
                <w:rtl/>
              </w:rPr>
              <w:t>.</w:t>
            </w:r>
          </w:p>
        </w:tc>
      </w:tr>
      <w:tr w:rsidR="00C94E04" w:rsidTr="00C94E04">
        <w:tc>
          <w:tcPr>
            <w:tcW w:w="4261" w:type="dxa"/>
          </w:tcPr>
          <w:p w:rsidR="00C94E04" w:rsidRDefault="00C94E04" w:rsidP="000C39D1">
            <w:pPr>
              <w:pStyle w:val="libFootnote0"/>
              <w:rPr>
                <w:rtl/>
              </w:rPr>
            </w:pPr>
            <w:r>
              <w:rPr>
                <w:rtl/>
              </w:rPr>
              <w:t>(4).</w:t>
            </w:r>
            <w:r w:rsidRPr="00132E65">
              <w:rPr>
                <w:rtl/>
              </w:rPr>
              <w:t xml:space="preserve"> في الاختصاص :</w:t>
            </w:r>
            <w:r>
              <w:rPr>
                <w:rtl/>
              </w:rPr>
              <w:t xml:space="preserve"> + </w:t>
            </w:r>
            <w:r w:rsidRPr="00132E65">
              <w:rPr>
                <w:rtl/>
              </w:rPr>
              <w:t xml:space="preserve">« عن رسول الله </w:t>
            </w:r>
            <w:r w:rsidRPr="00C94E04">
              <w:rPr>
                <w:rStyle w:val="libFootnoteAlaemChar"/>
                <w:rFonts w:eastAsiaTheme="minorHAnsi"/>
                <w:rtl/>
              </w:rPr>
              <w:t>صلى‌الله‌عليه‌وآله</w:t>
            </w:r>
            <w:r w:rsidRPr="00132E65">
              <w:rPr>
                <w:rtl/>
                <w:lang w:bidi="fa-IR"/>
              </w:rPr>
              <w:t xml:space="preserve"> </w:t>
            </w:r>
            <w:r w:rsidRPr="00132E65">
              <w:rPr>
                <w:rtl/>
              </w:rPr>
              <w:t>»</w:t>
            </w:r>
            <w:r>
              <w:rPr>
                <w:rtl/>
              </w:rPr>
              <w:t>.</w:t>
            </w:r>
          </w:p>
        </w:tc>
        <w:tc>
          <w:tcPr>
            <w:tcW w:w="4262" w:type="dxa"/>
          </w:tcPr>
          <w:p w:rsidR="00C94E04" w:rsidRDefault="00C94E04" w:rsidP="000C39D1">
            <w:pPr>
              <w:pStyle w:val="libFootnote0"/>
              <w:rPr>
                <w:rtl/>
              </w:rPr>
            </w:pPr>
            <w:r>
              <w:rPr>
                <w:rtl/>
              </w:rPr>
              <w:t>(5).</w:t>
            </w:r>
            <w:r w:rsidRPr="00132E65">
              <w:rPr>
                <w:rtl/>
              </w:rPr>
              <w:t xml:space="preserve"> في « بس » : « صدّقوه »</w:t>
            </w:r>
            <w:r>
              <w:rPr>
                <w:rtl/>
              </w:rPr>
              <w:t>.</w:t>
            </w:r>
          </w:p>
        </w:tc>
      </w:tr>
    </w:tbl>
    <w:p w:rsidR="000C39D1" w:rsidRPr="00132E65" w:rsidRDefault="000C39D1" w:rsidP="000C39D1">
      <w:pPr>
        <w:pStyle w:val="libFootnote0"/>
        <w:rPr>
          <w:rtl/>
          <w:lang w:bidi="fa-IR"/>
        </w:rPr>
      </w:pPr>
      <w:r>
        <w:rPr>
          <w:rtl/>
        </w:rPr>
        <w:t>(6).</w:t>
      </w:r>
      <w:r w:rsidRPr="00132E65">
        <w:rPr>
          <w:rtl/>
        </w:rPr>
        <w:t xml:space="preserve"> في « ب » : « يتعلّم »</w:t>
      </w:r>
      <w:r>
        <w:rPr>
          <w:rtl/>
        </w:rPr>
        <w:t>.</w:t>
      </w:r>
      <w:r w:rsidRPr="00132E65">
        <w:rPr>
          <w:rtl/>
        </w:rPr>
        <w:t xml:space="preserve"> وفي </w:t>
      </w:r>
      <w:r w:rsidRPr="00C94E04">
        <w:rPr>
          <w:rtl/>
        </w:rPr>
        <w:t>الوافي</w:t>
      </w:r>
      <w:r w:rsidRPr="00132E65">
        <w:rPr>
          <w:rtl/>
        </w:rPr>
        <w:t xml:space="preserve"> والاختصاص : « ويتعلّم »</w:t>
      </w:r>
      <w:r>
        <w:rPr>
          <w:rtl/>
        </w:rPr>
        <w:t>.</w:t>
      </w:r>
    </w:p>
    <w:p w:rsidR="000C39D1" w:rsidRPr="00132E65" w:rsidRDefault="000C39D1" w:rsidP="000C39D1">
      <w:pPr>
        <w:pStyle w:val="libFootnote0"/>
        <w:rPr>
          <w:rtl/>
          <w:lang w:bidi="fa-IR"/>
        </w:rPr>
      </w:pPr>
      <w:r>
        <w:rPr>
          <w:rtl/>
        </w:rPr>
        <w:t>(7).</w:t>
      </w:r>
      <w:r w:rsidRPr="00132E65">
        <w:rPr>
          <w:rtl/>
        </w:rPr>
        <w:t xml:space="preserve"> </w:t>
      </w:r>
      <w:r w:rsidRPr="00C94E04">
        <w:rPr>
          <w:rStyle w:val="libFootnoteBoldChar"/>
          <w:rtl/>
        </w:rPr>
        <w:t>الاختصاص</w:t>
      </w:r>
      <w:r w:rsidRPr="00132E65">
        <w:rPr>
          <w:rtl/>
        </w:rPr>
        <w:t xml:space="preserve"> ، ص 62 ، بسنده عن أبان بن تغلب ؛ </w:t>
      </w:r>
      <w:r w:rsidRPr="00C94E04">
        <w:rPr>
          <w:rStyle w:val="libFootnoteBoldChar"/>
          <w:rtl/>
        </w:rPr>
        <w:t>رجال الكشّي</w:t>
      </w:r>
      <w:r w:rsidRPr="00132E65">
        <w:rPr>
          <w:rtl/>
        </w:rPr>
        <w:t xml:space="preserve"> ، ص 41 ، ح 88 ، بسنده عن محمّد بن سنان ، عن حريز ، عن أبان بن تغلب. وراجع : </w:t>
      </w:r>
      <w:r w:rsidRPr="000577A7">
        <w:rPr>
          <w:rStyle w:val="libFootnoteBoldChar"/>
          <w:rtl/>
        </w:rPr>
        <w:t>الكافي</w:t>
      </w:r>
      <w:r w:rsidRPr="00132E65">
        <w:rPr>
          <w:rtl/>
        </w:rPr>
        <w:t xml:space="preserve"> ، كتاب الحجّة ، باب الإشارة والنصّ على عليّ بن الحسين </w:t>
      </w:r>
      <w:r w:rsidRPr="00C94E04">
        <w:rPr>
          <w:rStyle w:val="libFootnoteAlaemChar"/>
          <w:rtl/>
        </w:rPr>
        <w:t>عليه‌السلام</w:t>
      </w:r>
      <w:r w:rsidRPr="00132E65">
        <w:rPr>
          <w:rtl/>
        </w:rPr>
        <w:t xml:space="preserve"> ، ح 788 ؛ </w:t>
      </w:r>
      <w:r w:rsidRPr="00C94E04">
        <w:rPr>
          <w:rStyle w:val="libFootnoteBoldChar"/>
          <w:rtl/>
        </w:rPr>
        <w:t>والأمالي</w:t>
      </w:r>
      <w:r w:rsidRPr="00132E65">
        <w:rPr>
          <w:rtl/>
        </w:rPr>
        <w:t xml:space="preserve"> للصدوق ، ص 353 ، المجلس 56 ، ح 9 ؛ </w:t>
      </w:r>
      <w:r w:rsidRPr="00C94E04">
        <w:rPr>
          <w:rStyle w:val="libFootnoteBoldChar"/>
          <w:rtl/>
        </w:rPr>
        <w:t>وعلل الشرائع</w:t>
      </w:r>
      <w:r w:rsidRPr="00132E65">
        <w:rPr>
          <w:rtl/>
        </w:rPr>
        <w:t xml:space="preserve"> ، ص 233 ، ح 1 ؛ </w:t>
      </w:r>
      <w:r w:rsidRPr="00C94E04">
        <w:rPr>
          <w:rStyle w:val="libFootnoteBoldChar"/>
          <w:rtl/>
        </w:rPr>
        <w:t>والإرشاد</w:t>
      </w:r>
      <w:r w:rsidRPr="00132E65">
        <w:rPr>
          <w:rtl/>
        </w:rPr>
        <w:t xml:space="preserve"> ، ج 2 ، ص 158</w:t>
      </w:r>
      <w:r>
        <w:rPr>
          <w:rtl/>
        </w:rPr>
        <w:t xml:space="preserve"> - </w:t>
      </w:r>
      <w:r w:rsidRPr="00132E65">
        <w:rPr>
          <w:rtl/>
        </w:rPr>
        <w:t xml:space="preserve">159 </w:t>
      </w:r>
      <w:r w:rsidR="00C94E04">
        <w:rPr>
          <w:rFonts w:hint="cs"/>
          <w:rtl/>
        </w:rPr>
        <w:t>.</w:t>
      </w:r>
      <w:r w:rsidRPr="009D1ACE">
        <w:rPr>
          <w:rStyle w:val="libFootnoteBoldChar"/>
          <w:rtl/>
        </w:rPr>
        <w:t>الوافي</w:t>
      </w:r>
      <w:r w:rsidRPr="00132E65">
        <w:rPr>
          <w:rtl/>
        </w:rPr>
        <w:t xml:space="preserve"> ، ج 3 ، ص 768 ، ح 1393.</w:t>
      </w:r>
    </w:p>
    <w:p w:rsidR="000C39D1" w:rsidRPr="00132E65" w:rsidRDefault="000C39D1" w:rsidP="00C94E04">
      <w:pPr>
        <w:pStyle w:val="libFootnote0"/>
        <w:rPr>
          <w:rtl/>
          <w:lang w:bidi="fa-IR"/>
        </w:rPr>
      </w:pPr>
      <w:r>
        <w:rPr>
          <w:rtl/>
        </w:rPr>
        <w:t>(8).</w:t>
      </w:r>
      <w:r w:rsidRPr="00132E65">
        <w:rPr>
          <w:rtl/>
        </w:rPr>
        <w:t xml:space="preserve"> في البصائر : « دخلت على أبي عبد الله </w:t>
      </w:r>
      <w:r w:rsidRPr="00C94E04">
        <w:rPr>
          <w:rStyle w:val="libFootnoteAlaemChar"/>
          <w:rtl/>
        </w:rPr>
        <w:t>عليه‌السلام</w:t>
      </w:r>
      <w:r w:rsidRPr="00132E65">
        <w:rPr>
          <w:rtl/>
        </w:rPr>
        <w:t xml:space="preserve"> وأبي جعفر </w:t>
      </w:r>
      <w:r w:rsidRPr="00C94E04">
        <w:rPr>
          <w:rStyle w:val="libFootnoteAlaemChar"/>
          <w:rtl/>
        </w:rPr>
        <w:t>عليه‌السلام</w:t>
      </w:r>
      <w:r w:rsidRPr="00132E65">
        <w:rPr>
          <w:rtl/>
        </w:rPr>
        <w:t xml:space="preserve"> وقلت لهما : أنتما » بدل « دخلت على أبي جعفر </w:t>
      </w:r>
      <w:r w:rsidRPr="00C94E04">
        <w:rPr>
          <w:rStyle w:val="libFootnoteAlaemChar"/>
          <w:rtl/>
        </w:rPr>
        <w:t>عليه‌السلام</w:t>
      </w:r>
      <w:r w:rsidRPr="00132E65">
        <w:rPr>
          <w:rtl/>
        </w:rPr>
        <w:t xml:space="preserve"> فقلت له : أنتم »</w:t>
      </w:r>
      <w:r>
        <w:rPr>
          <w:rtl/>
        </w:rPr>
        <w:t>.</w:t>
      </w:r>
      <w:r w:rsidR="00C94E04">
        <w:rPr>
          <w:rFonts w:hint="cs"/>
          <w:rtl/>
        </w:rPr>
        <w:t xml:space="preserve">                                    </w:t>
      </w:r>
      <w:r>
        <w:rPr>
          <w:rtl/>
        </w:rPr>
        <w:t>(9).</w:t>
      </w:r>
      <w:r w:rsidRPr="00132E65">
        <w:rPr>
          <w:rtl/>
        </w:rPr>
        <w:t xml:space="preserve"> في البصائر : « فرسول الله »</w:t>
      </w:r>
      <w:r>
        <w:rPr>
          <w:rtl/>
        </w:rPr>
        <w:t>.</w:t>
      </w:r>
    </w:p>
    <w:p w:rsidR="000C39D1" w:rsidRPr="00132E65" w:rsidRDefault="000C39D1" w:rsidP="000C39D1">
      <w:pPr>
        <w:pStyle w:val="libFootnote0"/>
        <w:rPr>
          <w:rtl/>
          <w:lang w:bidi="fa-IR"/>
        </w:rPr>
      </w:pPr>
      <w:r>
        <w:rPr>
          <w:rtl/>
        </w:rPr>
        <w:t>(10).</w:t>
      </w:r>
      <w:r w:rsidRPr="00132E65">
        <w:rPr>
          <w:rtl/>
        </w:rPr>
        <w:t xml:space="preserve"> هكذا في « ب ، ج ، ض ، ف ، بح ، بر ، بس ، بف » </w:t>
      </w:r>
      <w:r w:rsidRPr="00C94E04">
        <w:rPr>
          <w:rtl/>
        </w:rPr>
        <w:t>والوافي</w:t>
      </w:r>
      <w:r w:rsidRPr="00132E65">
        <w:rPr>
          <w:rtl/>
        </w:rPr>
        <w:t>. وفي المطبوع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(11).</w:t>
      </w:r>
      <w:r w:rsidRPr="00132E65">
        <w:rPr>
          <w:rtl/>
        </w:rPr>
        <w:t xml:space="preserve"> في « بر » : « وأنتم »</w:t>
      </w:r>
      <w:r>
        <w:rPr>
          <w:rtl/>
        </w:rPr>
        <w:t>.</w:t>
      </w:r>
    </w:p>
    <w:p w:rsidR="000C39D1" w:rsidRPr="00132E65" w:rsidRDefault="000C39D1" w:rsidP="000C39D1">
      <w:pPr>
        <w:pStyle w:val="libFootnote0"/>
        <w:rPr>
          <w:rtl/>
          <w:lang w:bidi="fa-IR"/>
        </w:rPr>
      </w:pPr>
      <w:r>
        <w:rPr>
          <w:rtl/>
        </w:rPr>
        <w:t>(12).</w:t>
      </w:r>
      <w:r w:rsidRPr="00132E65">
        <w:rPr>
          <w:rtl/>
        </w:rPr>
        <w:t xml:space="preserve"> « الأكْمه » : هو الذي يولَد مطموس العين ، أي الذاهب البصر. وقد يقال لمن تذهب عينه. </w:t>
      </w:r>
      <w:r w:rsidRPr="00C94E04">
        <w:rPr>
          <w:rStyle w:val="libFootnoteBoldChar"/>
          <w:rtl/>
        </w:rPr>
        <w:t>المفردات</w:t>
      </w:r>
      <w:r w:rsidRPr="00132E65">
        <w:rPr>
          <w:rtl/>
        </w:rPr>
        <w:t xml:space="preserve"> للراغب ، ص 726 ( كمه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قَالَ </w:t>
      </w:r>
      <w:r>
        <w:rPr>
          <w:rStyle w:val="libFootnotenumChar"/>
          <w:rtl/>
        </w:rPr>
        <w:t>(1)</w:t>
      </w:r>
      <w:r w:rsidRPr="00132E65">
        <w:rPr>
          <w:rtl/>
          <w:lang w:bidi="fa-IR"/>
        </w:rPr>
        <w:t xml:space="preserve"> : « نَعَمْ بِإِذْنِ اللهِ »</w:t>
      </w:r>
      <w:r>
        <w:rPr>
          <w:rtl/>
          <w:lang w:bidi="fa-IR"/>
        </w:rPr>
        <w:t>.</w:t>
      </w:r>
    </w:p>
    <w:p w:rsidR="000C39D1" w:rsidRPr="00132E65" w:rsidRDefault="000C39D1" w:rsidP="000C39D1">
      <w:pPr>
        <w:pStyle w:val="libNormal"/>
        <w:rPr>
          <w:rtl/>
          <w:lang w:bidi="fa-IR"/>
        </w:rPr>
      </w:pPr>
      <w:r w:rsidRPr="00132E65">
        <w:rPr>
          <w:rtl/>
          <w:lang w:bidi="fa-IR"/>
        </w:rPr>
        <w:t xml:space="preserve">ثُمَّ قَالَ لِيَ </w:t>
      </w:r>
      <w:r>
        <w:rPr>
          <w:rStyle w:val="libFootnotenumChar"/>
          <w:rtl/>
        </w:rPr>
        <w:t>(2)</w:t>
      </w:r>
      <w:r w:rsidRPr="00132E65">
        <w:rPr>
          <w:rtl/>
          <w:lang w:bidi="fa-IR"/>
        </w:rPr>
        <w:t xml:space="preserve"> : « ادْنُ مِنِّي يَا أَبَا مُحَمَّدٍ » فَدَنَوْتُ مِنْهُ ، فَمَسَحَ عَلى و</w:t>
      </w:r>
      <w:r w:rsidR="00C94E04">
        <w:rPr>
          <w:rFonts w:hint="cs"/>
          <w:rtl/>
          <w:lang w:bidi="fa-IR"/>
        </w:rPr>
        <w:t>َ</w:t>
      </w:r>
      <w:r w:rsidRPr="00132E65">
        <w:rPr>
          <w:rtl/>
          <w:lang w:bidi="fa-IR"/>
        </w:rPr>
        <w:t>جْهِي و</w:t>
      </w:r>
      <w:r w:rsidR="00C94E04">
        <w:rPr>
          <w:rFonts w:hint="cs"/>
          <w:rtl/>
          <w:lang w:bidi="fa-IR"/>
        </w:rPr>
        <w:t>َ</w:t>
      </w:r>
      <w:r w:rsidRPr="00132E65">
        <w:rPr>
          <w:rtl/>
          <w:lang w:bidi="fa-IR"/>
        </w:rPr>
        <w:t>عَلى عَيْنَيَّ ، فَأَبْصَرْتُ الشَّمْسَ والسَّمَاءَ والْأَرْضَ و</w:t>
      </w:r>
      <w:r w:rsidR="00C94E04">
        <w:rPr>
          <w:rFonts w:hint="cs"/>
          <w:rtl/>
          <w:lang w:bidi="fa-IR"/>
        </w:rPr>
        <w:t>َ</w:t>
      </w:r>
      <w:r w:rsidRPr="00132E65">
        <w:rPr>
          <w:rtl/>
          <w:lang w:bidi="fa-IR"/>
        </w:rPr>
        <w:t xml:space="preserve">الْبُيُوتَ وكُلَّ شَيْ‌ءٍ </w:t>
      </w:r>
      <w:r>
        <w:rPr>
          <w:rStyle w:val="libFootnotenumChar"/>
          <w:rtl/>
        </w:rPr>
        <w:t>(3)</w:t>
      </w:r>
      <w:r w:rsidRPr="00132E65">
        <w:rPr>
          <w:rtl/>
          <w:lang w:bidi="fa-IR"/>
        </w:rPr>
        <w:t xml:space="preserve"> فِي الْبَلَدِ </w:t>
      </w:r>
      <w:r>
        <w:rPr>
          <w:rStyle w:val="libFootnotenumChar"/>
          <w:rtl/>
        </w:rPr>
        <w:t>(4)</w:t>
      </w:r>
      <w:r>
        <w:rPr>
          <w:rtl/>
          <w:lang w:bidi="fa-IR"/>
        </w:rPr>
        <w:t xml:space="preserve"> ، ثُمَّ قَالَ لِي : « أَ</w:t>
      </w:r>
      <w:r w:rsidRPr="00132E65">
        <w:rPr>
          <w:rtl/>
          <w:lang w:bidi="fa-IR"/>
        </w:rPr>
        <w:t>تُحِبُّ أَنْ تَكُونَ هكَذَا ولَكَ مَا لِلنَّاسِ و</w:t>
      </w:r>
      <w:r w:rsidR="00C94E04">
        <w:rPr>
          <w:rFonts w:hint="cs"/>
          <w:rtl/>
          <w:lang w:bidi="fa-IR"/>
        </w:rPr>
        <w:t>َ</w:t>
      </w:r>
      <w:r w:rsidRPr="00132E65">
        <w:rPr>
          <w:rtl/>
          <w:lang w:bidi="fa-IR"/>
        </w:rPr>
        <w:t>عَلَيْكَ مَا عَلَيْهِمْ يَوْمَ الْقِيَامَةِ ، أَوْ تَعُودَ كَمَا كُنْتَ و</w:t>
      </w:r>
      <w:r w:rsidR="00C94E04">
        <w:rPr>
          <w:rFonts w:hint="cs"/>
          <w:rtl/>
          <w:lang w:bidi="fa-IR"/>
        </w:rPr>
        <w:t>َ</w:t>
      </w:r>
      <w:r w:rsidRPr="00132E65">
        <w:rPr>
          <w:rtl/>
          <w:lang w:bidi="fa-IR"/>
        </w:rPr>
        <w:t>لَكَ الْجَنَّةُ خَالِصاً</w:t>
      </w:r>
      <w:r>
        <w:rPr>
          <w:rtl/>
          <w:lang w:bidi="fa-IR"/>
        </w:rPr>
        <w:t>؟</w:t>
      </w:r>
      <w:r w:rsidR="00C63BD7">
        <w:rPr>
          <w:rtl/>
          <w:lang w:bidi="fa-IR"/>
        </w:rPr>
        <w:t xml:space="preserve"> »</w:t>
      </w:r>
    </w:p>
    <w:p w:rsidR="000C39D1" w:rsidRPr="00132E65" w:rsidRDefault="000C39D1" w:rsidP="000C39D1">
      <w:pPr>
        <w:pStyle w:val="libNormal"/>
        <w:rPr>
          <w:rtl/>
          <w:lang w:bidi="fa-IR"/>
        </w:rPr>
      </w:pPr>
      <w:r w:rsidRPr="00132E65">
        <w:rPr>
          <w:rtl/>
          <w:lang w:bidi="fa-IR"/>
        </w:rPr>
        <w:t>قُلْتُ : أَعُودُ كَمَا كُنْتُ ، فَمَسَحَ عَلى عَيْنَيَّ ، فَعُدْتُ كَمَا كُنْتُ.</w:t>
      </w:r>
    </w:p>
    <w:p w:rsidR="000C39D1" w:rsidRPr="00132E65" w:rsidRDefault="000C39D1" w:rsidP="000C39D1">
      <w:pPr>
        <w:pStyle w:val="libNormal"/>
        <w:rPr>
          <w:rtl/>
          <w:lang w:bidi="fa-IR"/>
        </w:rPr>
      </w:pPr>
      <w:r w:rsidRPr="00132E65">
        <w:rPr>
          <w:rtl/>
          <w:lang w:bidi="fa-IR"/>
        </w:rPr>
        <w:t xml:space="preserve">قَالَ </w:t>
      </w:r>
      <w:r>
        <w:rPr>
          <w:rStyle w:val="libFootnotenumChar"/>
          <w:rtl/>
        </w:rPr>
        <w:t>(5)</w:t>
      </w:r>
      <w:r w:rsidRPr="00132E65">
        <w:rPr>
          <w:rtl/>
          <w:lang w:bidi="fa-IR"/>
        </w:rPr>
        <w:t xml:space="preserve"> : فَحَدَّثْتُ ابْنَ </w:t>
      </w:r>
      <w:r>
        <w:rPr>
          <w:rStyle w:val="libFootnotenumChar"/>
          <w:rtl/>
        </w:rPr>
        <w:t>(6)</w:t>
      </w:r>
      <w:r w:rsidRPr="00132E65">
        <w:rPr>
          <w:rtl/>
          <w:lang w:bidi="fa-IR"/>
        </w:rPr>
        <w:t xml:space="preserve"> أَبِي عُمَيْرٍ بِهذَا ، فَقَالَ : أَشْهَدُ أَنَّ هذَا حَقٌّ كَمَا أَنَّ النَّهَارَ حَقٌّ.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490A70">
        <w:rPr>
          <w:rtl/>
        </w:rPr>
        <w:t>1278</w:t>
      </w:r>
      <w:r w:rsidRPr="004325D8">
        <w:rPr>
          <w:rStyle w:val="libBold2Char"/>
          <w:rtl/>
        </w:rPr>
        <w:t xml:space="preserve"> / 4.</w:t>
      </w:r>
      <w:r w:rsidRPr="00132E65">
        <w:rPr>
          <w:rtl/>
          <w:lang w:bidi="fa-IR"/>
        </w:rPr>
        <w:t xml:space="preserve"> مُحَمَّدُ بْنُ يَحْيى ، عَنْ مُحَمَّدِ بْنِ أَحْمَدَ ، عَنْ مُحَمَّدِ بْنِ الْحُسَيْنِ ، عَنْ مُحَمَّدِ بْنِ عَلِيٍّ </w:t>
      </w:r>
      <w:r>
        <w:rPr>
          <w:rStyle w:val="libFootnotenumChar"/>
          <w:rtl/>
        </w:rPr>
        <w:t>(8)</w:t>
      </w:r>
      <w:r w:rsidRPr="00132E65">
        <w:rPr>
          <w:rtl/>
          <w:lang w:bidi="fa-IR"/>
        </w:rPr>
        <w:t xml:space="preserve"> ، عَنْ عَاصِمِ بْنِ حُمَيْدٍ ، عَنْ مُحَمَّدِ بْنِ مُسْلِمٍ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كُنْتُ عِنْدَهُ يَوْماً إِذْ وقَعَ زَوْجُ </w:t>
      </w:r>
      <w:r>
        <w:rPr>
          <w:rStyle w:val="libFootnotenumChar"/>
          <w:rtl/>
        </w:rPr>
        <w:t>(9)</w:t>
      </w:r>
      <w:r w:rsidRPr="00132E65">
        <w:rPr>
          <w:rtl/>
          <w:lang w:bidi="fa-IR"/>
        </w:rPr>
        <w:t xml:space="preserve"> و</w:t>
      </w:r>
      <w:r w:rsidR="00C63BD7">
        <w:rPr>
          <w:rFonts w:hint="cs"/>
          <w:rtl/>
          <w:lang w:bidi="fa-IR"/>
        </w:rPr>
        <w:t>َ</w:t>
      </w:r>
      <w:r w:rsidRPr="00132E65">
        <w:rPr>
          <w:rtl/>
          <w:lang w:bidi="fa-IR"/>
        </w:rPr>
        <w:t xml:space="preserve">رَشَانَ </w:t>
      </w:r>
      <w:r>
        <w:rPr>
          <w:rStyle w:val="libFootnotenumChar"/>
          <w:rtl/>
        </w:rPr>
        <w:t>(10)</w:t>
      </w:r>
      <w:r w:rsidRPr="00132E65">
        <w:rPr>
          <w:rtl/>
          <w:lang w:bidi="fa-IR"/>
        </w:rPr>
        <w:t xml:space="preserve"> عَلَى الْحَائِطِ‌</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ف ، بر ، بف » </w:t>
      </w:r>
      <w:r w:rsidRPr="00C63BD7">
        <w:rPr>
          <w:rtl/>
        </w:rPr>
        <w:t>والوافي</w:t>
      </w:r>
      <w:r w:rsidRPr="00132E65">
        <w:rPr>
          <w:rtl/>
        </w:rPr>
        <w:t xml:space="preserve"> والبصائر : « فقال »</w:t>
      </w:r>
      <w:r>
        <w:rPr>
          <w:rtl/>
        </w:rPr>
        <w:t>.</w:t>
      </w:r>
      <w:r w:rsidRPr="00132E65">
        <w:rPr>
          <w:rtl/>
        </w:rPr>
        <w:t xml:space="preserve"> وفي « ب ، ج ، ض ، ف ، بس ، بف » :</w:t>
      </w:r>
      <w:r>
        <w:rPr>
          <w:rtl/>
        </w:rPr>
        <w:t xml:space="preserve"> + </w:t>
      </w:r>
      <w:r w:rsidRPr="00132E65">
        <w:rPr>
          <w:rtl/>
        </w:rPr>
        <w:t>« لي »</w:t>
      </w:r>
      <w:r>
        <w:rPr>
          <w:rtl/>
        </w:rPr>
        <w:t>.</w:t>
      </w:r>
    </w:p>
    <w:tbl>
      <w:tblPr>
        <w:tblStyle w:val="TableGrid"/>
        <w:bidiVisual/>
        <w:tblW w:w="0" w:type="auto"/>
        <w:tblLook w:val="04A0" w:firstRow="1" w:lastRow="0" w:firstColumn="1" w:lastColumn="0" w:noHBand="0" w:noVBand="1"/>
      </w:tblPr>
      <w:tblGrid>
        <w:gridCol w:w="4261"/>
        <w:gridCol w:w="4262"/>
      </w:tblGrid>
      <w:tr w:rsidR="00C63BD7" w:rsidTr="00C63BD7">
        <w:tc>
          <w:tcPr>
            <w:tcW w:w="4261" w:type="dxa"/>
          </w:tcPr>
          <w:p w:rsidR="00C63BD7" w:rsidRDefault="00C63BD7" w:rsidP="000C39D1">
            <w:pPr>
              <w:pStyle w:val="libFootnote0"/>
              <w:rPr>
                <w:rtl/>
              </w:rPr>
            </w:pPr>
            <w:r>
              <w:rPr>
                <w:rtl/>
              </w:rPr>
              <w:t>(2).</w:t>
            </w:r>
            <w:r w:rsidRPr="00132E65">
              <w:rPr>
                <w:rtl/>
              </w:rPr>
              <w:t xml:space="preserve"> في </w:t>
            </w:r>
            <w:r w:rsidRPr="00C63BD7">
              <w:rPr>
                <w:rtl/>
              </w:rPr>
              <w:t>الوافي</w:t>
            </w:r>
            <w:r w:rsidRPr="00132E65">
              <w:rPr>
                <w:rtl/>
              </w:rPr>
              <w:t xml:space="preserve"> والبصائر </w:t>
            </w:r>
            <w:r>
              <w:rPr>
                <w:rtl/>
              </w:rPr>
              <w:t xml:space="preserve">: - </w:t>
            </w:r>
            <w:r w:rsidRPr="00132E65">
              <w:rPr>
                <w:rtl/>
              </w:rPr>
              <w:t>« لي »</w:t>
            </w:r>
            <w:r>
              <w:rPr>
                <w:rtl/>
              </w:rPr>
              <w:t>.</w:t>
            </w:r>
          </w:p>
        </w:tc>
        <w:tc>
          <w:tcPr>
            <w:tcW w:w="4262" w:type="dxa"/>
          </w:tcPr>
          <w:p w:rsidR="00C63BD7" w:rsidRDefault="00C63BD7" w:rsidP="000C39D1">
            <w:pPr>
              <w:pStyle w:val="libFootnote0"/>
              <w:rPr>
                <w:rtl/>
              </w:rPr>
            </w:pPr>
            <w:r>
              <w:rPr>
                <w:rtl/>
              </w:rPr>
              <w:t>(3).</w:t>
            </w:r>
            <w:r w:rsidRPr="00132E65">
              <w:rPr>
                <w:rtl/>
              </w:rPr>
              <w:t xml:space="preserve"> في « بف » :</w:t>
            </w:r>
            <w:r>
              <w:rPr>
                <w:rtl/>
              </w:rPr>
              <w:t xml:space="preserve"> + </w:t>
            </w:r>
            <w:r w:rsidRPr="00132E65">
              <w:rPr>
                <w:rtl/>
              </w:rPr>
              <w:t>« كان »</w:t>
            </w:r>
            <w:r>
              <w:rPr>
                <w:rtl/>
              </w:rPr>
              <w:t>.</w:t>
            </w:r>
          </w:p>
        </w:tc>
      </w:tr>
    </w:tbl>
    <w:p w:rsidR="000C39D1" w:rsidRPr="00132E65" w:rsidRDefault="000C39D1" w:rsidP="000C39D1">
      <w:pPr>
        <w:pStyle w:val="libFootnote0"/>
        <w:rPr>
          <w:rtl/>
          <w:lang w:bidi="fa-IR"/>
        </w:rPr>
      </w:pPr>
      <w:r>
        <w:rPr>
          <w:rtl/>
        </w:rPr>
        <w:t>(4).</w:t>
      </w:r>
      <w:r w:rsidRPr="00132E65">
        <w:rPr>
          <w:rtl/>
        </w:rPr>
        <w:t xml:space="preserve"> في حاشية « ج ، ض ، بح ، بس » والبصائر : « الدار »</w:t>
      </w:r>
      <w:r>
        <w:rPr>
          <w:rtl/>
        </w:rPr>
        <w:t>.</w:t>
      </w:r>
    </w:p>
    <w:p w:rsidR="000C39D1" w:rsidRPr="00132E65" w:rsidRDefault="000C39D1" w:rsidP="000C39D1">
      <w:pPr>
        <w:pStyle w:val="libFootnote0"/>
        <w:rPr>
          <w:rtl/>
          <w:lang w:bidi="fa-IR"/>
        </w:rPr>
      </w:pPr>
      <w:r>
        <w:rPr>
          <w:rtl/>
        </w:rPr>
        <w:t>(5).</w:t>
      </w:r>
      <w:r w:rsidRPr="00132E65">
        <w:rPr>
          <w:rtl/>
        </w:rPr>
        <w:t xml:space="preserve"> الضمير المستتر في « قال » راجع إلى عليّ بن الحكم ، كما صرّح به في </w:t>
      </w:r>
      <w:r w:rsidRPr="007A1104">
        <w:rPr>
          <w:rStyle w:val="libFootnoteBoldChar"/>
          <w:rtl/>
        </w:rPr>
        <w:t>بصائر الدرجات</w:t>
      </w:r>
      <w:r w:rsidRPr="00132E65">
        <w:rPr>
          <w:rtl/>
        </w:rPr>
        <w:t xml:space="preserve"> ، ص 269 ، ح 1. فيكون السند معلّقاً على السند المذكور في صدر الخبر. وفي « ب ، ض ، بس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(6).</w:t>
      </w:r>
      <w:r w:rsidRPr="00132E65">
        <w:rPr>
          <w:rtl/>
        </w:rPr>
        <w:t xml:space="preserve"> في « ف » : « بابن »</w:t>
      </w:r>
      <w:r>
        <w:rPr>
          <w:rtl/>
        </w:rPr>
        <w:t>.</w:t>
      </w:r>
    </w:p>
    <w:p w:rsidR="000C39D1" w:rsidRPr="00132E65" w:rsidRDefault="000C39D1" w:rsidP="000C39D1">
      <w:pPr>
        <w:pStyle w:val="libFootnote0"/>
        <w:rPr>
          <w:rtl/>
          <w:lang w:bidi="fa-IR"/>
        </w:rPr>
      </w:pPr>
      <w:r>
        <w:rPr>
          <w:rtl/>
        </w:rPr>
        <w:t>(7).</w:t>
      </w:r>
      <w:r w:rsidRPr="00132E65">
        <w:rPr>
          <w:rtl/>
        </w:rPr>
        <w:t xml:space="preserve"> </w:t>
      </w:r>
      <w:r w:rsidRPr="007A1104">
        <w:rPr>
          <w:rStyle w:val="libFootnoteBoldChar"/>
          <w:rtl/>
        </w:rPr>
        <w:t>بصائر الدرجات</w:t>
      </w:r>
      <w:r w:rsidRPr="00132E65">
        <w:rPr>
          <w:rtl/>
        </w:rPr>
        <w:t xml:space="preserve"> ، ص 269 ، ح 1 ، عن أحمد بن محمّد ؛ </w:t>
      </w:r>
      <w:r w:rsidRPr="00C63BD7">
        <w:rPr>
          <w:rStyle w:val="libFootnoteBoldChar"/>
          <w:rtl/>
        </w:rPr>
        <w:t>رجال الكشّي</w:t>
      </w:r>
      <w:r w:rsidRPr="00132E65">
        <w:rPr>
          <w:rtl/>
        </w:rPr>
        <w:t xml:space="preserve"> ، ص 174 ، ح 298 ، بسنده عن عليّ بن الحكم ، إلى قوله : « فعُدت كما كنت » </w:t>
      </w:r>
      <w:r w:rsidR="00C63BD7">
        <w:rPr>
          <w:rFonts w:hint="cs"/>
          <w:rtl/>
        </w:rPr>
        <w:t>.</w:t>
      </w:r>
      <w:r w:rsidRPr="009D1ACE">
        <w:rPr>
          <w:rStyle w:val="libFootnoteBoldChar"/>
          <w:rtl/>
        </w:rPr>
        <w:t>الوافي</w:t>
      </w:r>
      <w:r w:rsidRPr="00132E65">
        <w:rPr>
          <w:rtl/>
        </w:rPr>
        <w:t xml:space="preserve"> ، ج 3 ، ص 770 ، ح 1394.</w:t>
      </w:r>
    </w:p>
    <w:p w:rsidR="000C39D1" w:rsidRPr="00132E65" w:rsidRDefault="000C39D1" w:rsidP="000C39D1">
      <w:pPr>
        <w:pStyle w:val="libFootnote0"/>
        <w:rPr>
          <w:rtl/>
          <w:lang w:bidi="fa-IR"/>
        </w:rPr>
      </w:pPr>
      <w:r>
        <w:rPr>
          <w:rtl/>
        </w:rPr>
        <w:t>(8).</w:t>
      </w:r>
      <w:r w:rsidRPr="00132E65">
        <w:rPr>
          <w:rtl/>
        </w:rPr>
        <w:t xml:space="preserve"> لم نجد رواية محمّد بن عليّ</w:t>
      </w:r>
      <w:r>
        <w:rPr>
          <w:rtl/>
        </w:rPr>
        <w:t xml:space="preserve"> - </w:t>
      </w:r>
      <w:r w:rsidRPr="00132E65">
        <w:rPr>
          <w:rtl/>
        </w:rPr>
        <w:t>وهو أبو سمينة الصيرفي</w:t>
      </w:r>
      <w:r>
        <w:rPr>
          <w:rtl/>
        </w:rPr>
        <w:t xml:space="preserve"> - </w:t>
      </w:r>
      <w:r w:rsidRPr="00132E65">
        <w:rPr>
          <w:rtl/>
        </w:rPr>
        <w:t>عن عاصم بن حميد في موضع ، بل روى محمّد بن عليّ بتوسّط ابن أبي نجران وصفوان بن يحيى</w:t>
      </w:r>
      <w:r>
        <w:rPr>
          <w:rtl/>
        </w:rPr>
        <w:t xml:space="preserve"> - </w:t>
      </w:r>
      <w:r w:rsidRPr="00132E65">
        <w:rPr>
          <w:rtl/>
        </w:rPr>
        <w:t>وكلاهما من رواة عاصم بن حميد</w:t>
      </w:r>
      <w:r>
        <w:rPr>
          <w:rtl/>
        </w:rPr>
        <w:t xml:space="preserve"> - </w:t>
      </w:r>
      <w:r w:rsidRPr="00132E65">
        <w:rPr>
          <w:rtl/>
        </w:rPr>
        <w:t xml:space="preserve">عن عاصم [ بن حميد ] في </w:t>
      </w:r>
      <w:r w:rsidRPr="00C63BD7">
        <w:rPr>
          <w:rStyle w:val="libFootnoteBoldChar"/>
          <w:rtl/>
        </w:rPr>
        <w:t>المحاسن</w:t>
      </w:r>
      <w:r w:rsidRPr="00132E65">
        <w:rPr>
          <w:rtl/>
        </w:rPr>
        <w:t xml:space="preserve"> ، ص 91 ، ح 43 ، وص 105 ، ح 8 ، كما روى عنه بواسطتين في </w:t>
      </w:r>
      <w:r w:rsidRPr="000577A7">
        <w:rPr>
          <w:rStyle w:val="libFootnoteBoldChar"/>
          <w:rtl/>
        </w:rPr>
        <w:t>الكافي</w:t>
      </w:r>
      <w:r w:rsidRPr="00132E65">
        <w:rPr>
          <w:rtl/>
        </w:rPr>
        <w:t xml:space="preserve"> ، ح 9467. فلا يبعد صحّة ما ورد في </w:t>
      </w:r>
      <w:r w:rsidRPr="007A1104">
        <w:rPr>
          <w:rStyle w:val="libFootnoteBoldChar"/>
          <w:rtl/>
        </w:rPr>
        <w:t>بصائر الدرجات</w:t>
      </w:r>
      <w:r w:rsidRPr="00132E65">
        <w:rPr>
          <w:rtl/>
        </w:rPr>
        <w:t xml:space="preserve"> ، ص 342 ، ح 5 من توسّط عليّ بن محمّد الحنّاط بينهما.</w:t>
      </w:r>
    </w:p>
    <w:p w:rsidR="000C39D1" w:rsidRPr="00132E65" w:rsidRDefault="000C39D1" w:rsidP="000C39D1">
      <w:pPr>
        <w:pStyle w:val="libFootnote0"/>
        <w:rPr>
          <w:rtl/>
          <w:lang w:bidi="fa-IR"/>
        </w:rPr>
      </w:pPr>
      <w:r>
        <w:rPr>
          <w:rtl/>
        </w:rPr>
        <w:t>(9).</w:t>
      </w:r>
      <w:r w:rsidRPr="00132E65">
        <w:rPr>
          <w:rtl/>
        </w:rPr>
        <w:t xml:space="preserve"> « الزوج » هنا مقابل الفرد ، مركّب من الذكر والا</w:t>
      </w:r>
      <w:r w:rsidR="00C63BD7">
        <w:rPr>
          <w:rFonts w:hint="cs"/>
          <w:rtl/>
        </w:rPr>
        <w:t>ُ</w:t>
      </w:r>
      <w:r w:rsidRPr="00132E65">
        <w:rPr>
          <w:rtl/>
        </w:rPr>
        <w:t>نثى.</w:t>
      </w:r>
    </w:p>
    <w:p w:rsidR="000C39D1" w:rsidRPr="00132E65" w:rsidRDefault="000C39D1" w:rsidP="000C39D1">
      <w:pPr>
        <w:pStyle w:val="libFootnote0"/>
        <w:rPr>
          <w:rtl/>
          <w:lang w:bidi="fa-IR"/>
        </w:rPr>
      </w:pPr>
      <w:r>
        <w:rPr>
          <w:rtl/>
        </w:rPr>
        <w:t>(10).</w:t>
      </w:r>
      <w:r w:rsidRPr="00132E65">
        <w:rPr>
          <w:rtl/>
        </w:rPr>
        <w:t xml:space="preserve"> « الوَرَشان » : طائر شبه الحمامة ، جمعه و</w:t>
      </w:r>
      <w:r w:rsidR="00C63BD7">
        <w:rPr>
          <w:rFonts w:hint="cs"/>
          <w:rtl/>
        </w:rPr>
        <w:t>ِ</w:t>
      </w:r>
      <w:r w:rsidRPr="00132E65">
        <w:rPr>
          <w:rtl/>
        </w:rPr>
        <w:t xml:space="preserve">رْشان ، وهو ساقُ حُرّ ، أي الذكر من القَماريّ ، سمّي بصوته. راجع : </w:t>
      </w:r>
      <w:r w:rsidRPr="009D1ACE">
        <w:rPr>
          <w:rStyle w:val="libFootnoteBoldChar"/>
          <w:rtl/>
        </w:rPr>
        <w:t>لسان العرب</w:t>
      </w:r>
      <w:r w:rsidRPr="00132E65">
        <w:rPr>
          <w:rtl/>
        </w:rPr>
        <w:t xml:space="preserve"> ، ج 6 ، ص 372 ( ورش ) ؛ وج 10 ، ص 170 ( سوق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وَهَدَلَا هَدِيلَهُمَا </w:t>
      </w:r>
      <w:r>
        <w:rPr>
          <w:rStyle w:val="libFootnotenumChar"/>
          <w:rtl/>
        </w:rPr>
        <w:t>(1)</w:t>
      </w:r>
      <w:r w:rsidRPr="00132E65">
        <w:rPr>
          <w:rtl/>
          <w:lang w:bidi="fa-IR"/>
        </w:rPr>
        <w:t xml:space="preserve"> ، فَرَدَّ أَبُو جَعْفَرٍ </w:t>
      </w:r>
      <w:r w:rsidRPr="00071CF9">
        <w:rPr>
          <w:rStyle w:val="libAlaemChar"/>
          <w:rtl/>
        </w:rPr>
        <w:t>عليه‌السلام</w:t>
      </w:r>
      <w:r w:rsidRPr="00132E65">
        <w:rPr>
          <w:rtl/>
          <w:lang w:bidi="fa-IR"/>
        </w:rPr>
        <w:t xml:space="preserve"> عَلَيْهِمَا </w:t>
      </w:r>
      <w:r>
        <w:rPr>
          <w:rStyle w:val="libFootnotenumChar"/>
          <w:rtl/>
        </w:rPr>
        <w:t>(2)</w:t>
      </w:r>
      <w:r w:rsidRPr="00132E65">
        <w:rPr>
          <w:rtl/>
          <w:lang w:bidi="fa-IR"/>
        </w:rPr>
        <w:t xml:space="preserve"> كَلَامَهُمَا سَاعَةً ، ثُمَّ نَهَضَا ، فَلَمَّا طَارَا </w:t>
      </w:r>
      <w:r>
        <w:rPr>
          <w:rStyle w:val="libFootnotenumChar"/>
          <w:rtl/>
        </w:rPr>
        <w:t>(3)</w:t>
      </w:r>
      <w:r w:rsidRPr="00132E65">
        <w:rPr>
          <w:rtl/>
          <w:lang w:bidi="fa-IR"/>
        </w:rPr>
        <w:t xml:space="preserve"> عَلَى الْحَائِطِ ، هَدَلَ </w:t>
      </w:r>
      <w:r>
        <w:rPr>
          <w:rStyle w:val="libFootnotenumChar"/>
          <w:rtl/>
        </w:rPr>
        <w:t>(4)</w:t>
      </w:r>
      <w:r w:rsidRPr="00132E65">
        <w:rPr>
          <w:rtl/>
          <w:lang w:bidi="fa-IR"/>
        </w:rPr>
        <w:t xml:space="preserve"> الذَّكَرُ عَلَى الْأُنْثى سَاعَةً ، ثُمَّ نَهَضَا ، فَقُلْتُ : جُعِلْتُ فِدَاكَ ، مَا هذَا </w:t>
      </w:r>
      <w:r>
        <w:rPr>
          <w:rStyle w:val="libFootnotenumChar"/>
          <w:rtl/>
        </w:rPr>
        <w:t>(5)</w:t>
      </w:r>
      <w:r w:rsidRPr="00132E65">
        <w:rPr>
          <w:rtl/>
          <w:lang w:bidi="fa-IR"/>
        </w:rPr>
        <w:t xml:space="preserve"> الطَّيْرُ </w:t>
      </w:r>
      <w:r>
        <w:rPr>
          <w:rStyle w:val="libFootnotenumChar"/>
          <w:rtl/>
        </w:rPr>
        <w:t>(6)</w:t>
      </w:r>
      <w:r>
        <w:rPr>
          <w:rtl/>
          <w:lang w:bidi="fa-IR"/>
        </w:rPr>
        <w:t>؟</w:t>
      </w:r>
    </w:p>
    <w:p w:rsidR="000C39D1" w:rsidRPr="00132E65" w:rsidRDefault="000C39D1" w:rsidP="000C39D1">
      <w:pPr>
        <w:pStyle w:val="libNormal"/>
        <w:rPr>
          <w:rtl/>
          <w:lang w:bidi="fa-IR"/>
        </w:rPr>
      </w:pPr>
      <w:r w:rsidRPr="00132E65">
        <w:rPr>
          <w:rtl/>
          <w:lang w:bidi="fa-IR"/>
        </w:rPr>
        <w:t>قَالَ : « يَا ابْنَ مُسْلِمٍ ، كُلُّ شَيْ‌ءٍ خَلَقَهُ اللهُ</w:t>
      </w:r>
      <w:r>
        <w:rPr>
          <w:rtl/>
          <w:lang w:bidi="fa-IR"/>
        </w:rPr>
        <w:t xml:space="preserve"> - </w:t>
      </w:r>
      <w:r w:rsidRPr="00132E65">
        <w:rPr>
          <w:rtl/>
          <w:lang w:bidi="fa-IR"/>
        </w:rPr>
        <w:t>مِنْ طَيْرٍ أَوْ بَهِيمَةٍ أَوْ شَيْ‌ءٍ فِيهِ رُوحٌ</w:t>
      </w:r>
      <w:r>
        <w:rPr>
          <w:rtl/>
          <w:lang w:bidi="fa-IR"/>
        </w:rPr>
        <w:t xml:space="preserve"> - </w:t>
      </w:r>
      <w:r w:rsidRPr="00132E65">
        <w:rPr>
          <w:rtl/>
          <w:lang w:bidi="fa-IR"/>
        </w:rPr>
        <w:t>فَهُوَ أَسْمَعُ لَنَا و</w:t>
      </w:r>
      <w:r w:rsidR="00C63BD7">
        <w:rPr>
          <w:rFonts w:hint="cs"/>
          <w:rtl/>
          <w:lang w:bidi="fa-IR"/>
        </w:rPr>
        <w:t>َ</w:t>
      </w:r>
      <w:r w:rsidRPr="00132E65">
        <w:rPr>
          <w:rtl/>
          <w:lang w:bidi="fa-IR"/>
        </w:rPr>
        <w:t xml:space="preserve">أَطْوَعُ مِنِ ابْنِ </w:t>
      </w:r>
      <w:r>
        <w:rPr>
          <w:rStyle w:val="libFootnotenumChar"/>
          <w:rtl/>
        </w:rPr>
        <w:t>(7)</w:t>
      </w:r>
      <w:r w:rsidRPr="00132E65">
        <w:rPr>
          <w:rtl/>
          <w:lang w:bidi="fa-IR"/>
        </w:rPr>
        <w:t xml:space="preserve"> آدَمَ ، إِنَّ هذَا الْوَرَشَانَ ظَنَّ بِامْرَأَتِهِ </w:t>
      </w:r>
      <w:r>
        <w:rPr>
          <w:rStyle w:val="libFootnotenumChar"/>
          <w:rtl/>
        </w:rPr>
        <w:t>(8)</w:t>
      </w:r>
      <w:r w:rsidRPr="00132E65">
        <w:rPr>
          <w:rtl/>
          <w:lang w:bidi="fa-IR"/>
        </w:rPr>
        <w:t xml:space="preserve"> ، فَحَلَفَتْ لَهُ : مَا فَعَلْتُ ، فَقَالَتْ </w:t>
      </w:r>
      <w:r>
        <w:rPr>
          <w:rStyle w:val="libFootnotenumChar"/>
          <w:rtl/>
        </w:rPr>
        <w:t>(9)</w:t>
      </w:r>
      <w:r w:rsidRPr="00132E65">
        <w:rPr>
          <w:rtl/>
          <w:lang w:bidi="fa-IR"/>
        </w:rPr>
        <w:t xml:space="preserve"> : تَرْضى بِمُحَمَّدِ بْنِ عَلِيٍّ</w:t>
      </w:r>
      <w:r>
        <w:rPr>
          <w:rtl/>
          <w:lang w:bidi="fa-IR"/>
        </w:rPr>
        <w:t>؟</w:t>
      </w:r>
      <w:r w:rsidRPr="00132E65">
        <w:rPr>
          <w:rtl/>
          <w:lang w:bidi="fa-IR"/>
        </w:rPr>
        <w:t xml:space="preserve"> فَرَضِيَا بِي ، فَأَخْبَرْتُهُ أَنَّهُ لَهَا ظَالِمٌ ، فَصَدَّقَهَا »</w:t>
      </w:r>
      <w:r>
        <w:rPr>
          <w:rtl/>
          <w:lang w:bidi="fa-IR"/>
        </w:rPr>
        <w:t>.</w:t>
      </w:r>
      <w:r w:rsidRPr="00132E65">
        <w:rPr>
          <w:rtl/>
          <w:lang w:bidi="fa-IR"/>
        </w:rPr>
        <w:t xml:space="preserve">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490A70">
        <w:rPr>
          <w:rtl/>
        </w:rPr>
        <w:t>1279</w:t>
      </w:r>
      <w:r w:rsidRPr="004325D8">
        <w:rPr>
          <w:rStyle w:val="libBold2Char"/>
          <w:rtl/>
        </w:rPr>
        <w:t xml:space="preserve"> / 5.</w:t>
      </w:r>
      <w:r w:rsidRPr="00132E65">
        <w:rPr>
          <w:rtl/>
          <w:lang w:bidi="fa-IR"/>
        </w:rPr>
        <w:t xml:space="preserve"> الْحُسَيْنُ بْنُ مُحَمَّدٍ ، عَنْ مُعَلَّى بْنِ مُحَمَّدٍ ، عَنْ عَلِيِّ بْنِ أَسْبَاطٍ ، عَنْ صَالِحِ بْنِ حَمْزَةَ ، عَنْ أَبِيهِ ، عَنْ أَبِي بَكْرٍ الْحَضْرَمِيِّ ، قَالَ :</w:t>
      </w:r>
    </w:p>
    <w:p w:rsidR="000C39D1" w:rsidRPr="00132E65" w:rsidRDefault="000C39D1" w:rsidP="000C39D1">
      <w:pPr>
        <w:pStyle w:val="libNormal"/>
        <w:rPr>
          <w:rtl/>
          <w:lang w:bidi="fa-IR"/>
        </w:rPr>
      </w:pPr>
      <w:r w:rsidRPr="00132E65">
        <w:rPr>
          <w:rtl/>
          <w:lang w:bidi="fa-IR"/>
        </w:rPr>
        <w:t xml:space="preserve">لَمَّا حُمِلَ أَبُو جَعْفَرٍ </w:t>
      </w:r>
      <w:r w:rsidRPr="00071CF9">
        <w:rPr>
          <w:rStyle w:val="libAlaemChar"/>
          <w:rtl/>
        </w:rPr>
        <w:t>عليه‌السلام</w:t>
      </w:r>
      <w:r w:rsidRPr="00132E65">
        <w:rPr>
          <w:rtl/>
          <w:lang w:bidi="fa-IR"/>
        </w:rPr>
        <w:t xml:space="preserve"> إِلَى الشَّامِ إِلى هِشَامِ بْنِ عَبْدِ الْمَلِكِ و</w:t>
      </w:r>
      <w:r w:rsidR="00785F5D">
        <w:rPr>
          <w:rFonts w:hint="cs"/>
          <w:rtl/>
          <w:lang w:bidi="fa-IR"/>
        </w:rPr>
        <w:t>َ</w:t>
      </w:r>
      <w:r w:rsidRPr="00132E65">
        <w:rPr>
          <w:rtl/>
          <w:lang w:bidi="fa-IR"/>
        </w:rPr>
        <w:t xml:space="preserve">صَارَ </w:t>
      </w:r>
      <w:r>
        <w:rPr>
          <w:rStyle w:val="libFootnotenumChar"/>
          <w:rtl/>
        </w:rPr>
        <w:t>(11)</w:t>
      </w:r>
      <w:r w:rsidRPr="00132E65">
        <w:rPr>
          <w:rtl/>
          <w:lang w:bidi="fa-IR"/>
        </w:rPr>
        <w:t xml:space="preserve"> بِبَابِهِ ، قَالَ لِأَصْحَابِهِ و</w:t>
      </w:r>
      <w:r w:rsidR="00785F5D">
        <w:rPr>
          <w:rFonts w:hint="cs"/>
          <w:rtl/>
          <w:lang w:bidi="fa-IR"/>
        </w:rPr>
        <w:t>َ</w:t>
      </w:r>
      <w:r w:rsidRPr="00132E65">
        <w:rPr>
          <w:rtl/>
          <w:lang w:bidi="fa-IR"/>
        </w:rPr>
        <w:t xml:space="preserve">مَنْ كَانَ بِحَضْرَتِهِ مِنْ بَنِي أُمَيَّةَ </w:t>
      </w:r>
      <w:r>
        <w:rPr>
          <w:rStyle w:val="libFootnotenumChar"/>
          <w:rtl/>
        </w:rPr>
        <w:t>(12)</w:t>
      </w:r>
      <w:r w:rsidRPr="00132E65">
        <w:rPr>
          <w:rtl/>
          <w:lang w:bidi="fa-IR"/>
        </w:rPr>
        <w:t xml:space="preserve"> : إِذَا رَأَيْتُمُونِي قَدْ و</w:t>
      </w:r>
      <w:r w:rsidR="00785F5D">
        <w:rPr>
          <w:rFonts w:hint="cs"/>
          <w:rtl/>
          <w:lang w:bidi="fa-IR"/>
        </w:rPr>
        <w:t>َ</w:t>
      </w:r>
      <w:r w:rsidRPr="00132E65">
        <w:rPr>
          <w:rtl/>
          <w:lang w:bidi="fa-IR"/>
        </w:rPr>
        <w:t>بَّخْتُ مُحَمَّدَ بْنَ عَلِيٍّ ، ثُمَّ رَأَيْتُمُونِي قَدْ سَكَتُّ ، فَلْيُقْبِلْ عَلَيْهِ كُلُّ رَجُلٍ مِنْكُمْ فَلْيُوَبِّخْهُ ، ثُمَّ أَمَرَ أَنْ يُؤْذَنَ 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الهَديلُ » : صوت الحمام. وخصّ بعضهم به وحشيّها كالدَباسيّ والقَماريّ ونحوها. يقال : هَدَلَ القُمريّ‌</w:t>
      </w:r>
      <w:r w:rsidR="00785F5D">
        <w:rPr>
          <w:rFonts w:hint="cs"/>
          <w:rtl/>
        </w:rPr>
        <w:t xml:space="preserve"> </w:t>
      </w:r>
      <w:r w:rsidRPr="00132E65">
        <w:rPr>
          <w:rtl/>
        </w:rPr>
        <w:t xml:space="preserve">يَهْدِلُ هَدِيلاً. وقال المازندراني : « ولعلّ هديلهما كان من بعد نزولهما من الحائط إلى مجلس أبي جعفر </w:t>
      </w:r>
      <w:r w:rsidRPr="00785F5D">
        <w:rPr>
          <w:rStyle w:val="libFootnoteAlaemChar"/>
          <w:rtl/>
        </w:rPr>
        <w:t>عليه‌السلام</w:t>
      </w:r>
      <w:r w:rsidRPr="00132E65">
        <w:rPr>
          <w:rtl/>
        </w:rPr>
        <w:t xml:space="preserve"> بقرينة قوله : فلمّا طارا على الحائط ، مع احتمال أن يراد بهذا الحائط حائط آخر »</w:t>
      </w:r>
      <w:r>
        <w:rPr>
          <w:rtl/>
        </w:rPr>
        <w:t>.</w:t>
      </w:r>
      <w:r w:rsidRPr="00132E65">
        <w:rPr>
          <w:rtl/>
        </w:rPr>
        <w:t xml:space="preserve"> وأمّا المجلسيّ فإنّه بعد ما استظهر ما في البصائر من كون « فهدلا » بدلَ « على الحائط وهدلا » ، قال : « وقيل : وقع ، أي على الأرض ، وقوله : على الحائط ظرف مستقرّ نعت زوج ، أي كان على الحائط. وفي الثاني ظرف لغو متعلّق بطارا بتضمين معنى وقعا »</w:t>
      </w:r>
      <w:r>
        <w:rPr>
          <w:rtl/>
        </w:rPr>
        <w:t>.</w:t>
      </w:r>
      <w:r w:rsidRPr="00132E65">
        <w:rPr>
          <w:rtl/>
        </w:rPr>
        <w:t xml:space="preserve"> راجع : </w:t>
      </w:r>
      <w:r w:rsidRPr="009D1ACE">
        <w:rPr>
          <w:rStyle w:val="libFootnoteBoldChar"/>
          <w:rtl/>
        </w:rPr>
        <w:t>لسان العرب</w:t>
      </w:r>
      <w:r w:rsidR="003915A6">
        <w:rPr>
          <w:rtl/>
        </w:rPr>
        <w:t xml:space="preserve"> ، ج 11 ، ص 691 (هدل</w:t>
      </w:r>
      <w:r w:rsidRPr="00132E65">
        <w:rPr>
          <w:rtl/>
        </w:rPr>
        <w:t xml:space="preserve">) ؛ </w:t>
      </w:r>
      <w:r w:rsidRPr="00785F5D">
        <w:rPr>
          <w:rStyle w:val="libFootnoteBoldChar"/>
          <w:rtl/>
        </w:rPr>
        <w:t>شرح المازندراني</w:t>
      </w:r>
      <w:r w:rsidRPr="00132E65">
        <w:rPr>
          <w:rtl/>
        </w:rPr>
        <w:t xml:space="preserve"> ، ج 7 ، ص 237 ؛ </w:t>
      </w:r>
      <w:r w:rsidRPr="009D1ACE">
        <w:rPr>
          <w:rStyle w:val="libFootnoteBoldChar"/>
          <w:rtl/>
        </w:rPr>
        <w:t>مرآة العقول</w:t>
      </w:r>
      <w:r w:rsidRPr="00132E65">
        <w:rPr>
          <w:rtl/>
        </w:rPr>
        <w:t xml:space="preserve"> ، ج 6 ، ص 20.</w:t>
      </w:r>
    </w:p>
    <w:p w:rsidR="000C39D1" w:rsidRPr="00132E65" w:rsidRDefault="000C39D1" w:rsidP="000C39D1">
      <w:pPr>
        <w:pStyle w:val="libFootnote0"/>
        <w:rPr>
          <w:rtl/>
          <w:lang w:bidi="fa-IR"/>
        </w:rPr>
      </w:pPr>
      <w:r>
        <w:rPr>
          <w:rtl/>
        </w:rPr>
        <w:t>(2).</w:t>
      </w:r>
      <w:r w:rsidRPr="00132E65">
        <w:rPr>
          <w:rtl/>
        </w:rPr>
        <w:t xml:space="preserve"> في « بس » </w:t>
      </w:r>
      <w:r>
        <w:rPr>
          <w:rtl/>
        </w:rPr>
        <w:t xml:space="preserve">: - </w:t>
      </w:r>
      <w:r w:rsidRPr="00132E65">
        <w:rPr>
          <w:rtl/>
        </w:rPr>
        <w:t>« عليهما »</w:t>
      </w:r>
      <w:r>
        <w:rPr>
          <w:rtl/>
        </w:rPr>
        <w:t>.</w:t>
      </w:r>
    </w:p>
    <w:tbl>
      <w:tblPr>
        <w:tblStyle w:val="TableGrid"/>
        <w:bidiVisual/>
        <w:tblW w:w="0" w:type="auto"/>
        <w:tblLook w:val="04A0" w:firstRow="1" w:lastRow="0" w:firstColumn="1" w:lastColumn="0" w:noHBand="0" w:noVBand="1"/>
      </w:tblPr>
      <w:tblGrid>
        <w:gridCol w:w="4261"/>
        <w:gridCol w:w="4262"/>
      </w:tblGrid>
      <w:tr w:rsidR="00785F5D" w:rsidTr="00785F5D">
        <w:tc>
          <w:tcPr>
            <w:tcW w:w="4261" w:type="dxa"/>
          </w:tcPr>
          <w:p w:rsidR="00785F5D" w:rsidRDefault="00785F5D" w:rsidP="000C39D1">
            <w:pPr>
              <w:pStyle w:val="libFootnote0"/>
              <w:rPr>
                <w:rtl/>
              </w:rPr>
            </w:pPr>
            <w:r>
              <w:rPr>
                <w:rtl/>
              </w:rPr>
              <w:t>(3).</w:t>
            </w:r>
            <w:r w:rsidRPr="00132E65">
              <w:rPr>
                <w:rtl/>
              </w:rPr>
              <w:t xml:space="preserve"> في البصائر : « صارا »</w:t>
            </w:r>
            <w:r>
              <w:rPr>
                <w:rtl/>
              </w:rPr>
              <w:t>.</w:t>
            </w:r>
          </w:p>
        </w:tc>
        <w:tc>
          <w:tcPr>
            <w:tcW w:w="4262" w:type="dxa"/>
          </w:tcPr>
          <w:p w:rsidR="00785F5D" w:rsidRDefault="00785F5D" w:rsidP="000C39D1">
            <w:pPr>
              <w:pStyle w:val="libFootnote0"/>
              <w:rPr>
                <w:rtl/>
              </w:rPr>
            </w:pPr>
            <w:r>
              <w:rPr>
                <w:rtl/>
              </w:rPr>
              <w:t>(4).</w:t>
            </w:r>
            <w:r w:rsidRPr="00132E65">
              <w:rPr>
                <w:rtl/>
              </w:rPr>
              <w:t xml:space="preserve"> في البصائر : « هدد »</w:t>
            </w:r>
            <w:r>
              <w:rPr>
                <w:rtl/>
              </w:rPr>
              <w:t>.</w:t>
            </w:r>
          </w:p>
        </w:tc>
      </w:tr>
      <w:tr w:rsidR="00785F5D" w:rsidTr="00785F5D">
        <w:tc>
          <w:tcPr>
            <w:tcW w:w="4261" w:type="dxa"/>
          </w:tcPr>
          <w:p w:rsidR="00785F5D" w:rsidRDefault="00785F5D" w:rsidP="000C39D1">
            <w:pPr>
              <w:pStyle w:val="libFootnote0"/>
              <w:rPr>
                <w:rtl/>
              </w:rPr>
            </w:pPr>
            <w:r>
              <w:rPr>
                <w:rtl/>
              </w:rPr>
              <w:t>(5).</w:t>
            </w:r>
            <w:r w:rsidRPr="00132E65">
              <w:rPr>
                <w:rtl/>
              </w:rPr>
              <w:t xml:space="preserve"> في البصائر : « ما حال »</w:t>
            </w:r>
            <w:r>
              <w:rPr>
                <w:rtl/>
              </w:rPr>
              <w:t>.</w:t>
            </w:r>
          </w:p>
        </w:tc>
        <w:tc>
          <w:tcPr>
            <w:tcW w:w="4262" w:type="dxa"/>
          </w:tcPr>
          <w:p w:rsidR="00785F5D" w:rsidRDefault="00785F5D" w:rsidP="000C39D1">
            <w:pPr>
              <w:pStyle w:val="libFootnote0"/>
              <w:rPr>
                <w:rtl/>
              </w:rPr>
            </w:pPr>
            <w:r>
              <w:rPr>
                <w:rtl/>
              </w:rPr>
              <w:t>(6).</w:t>
            </w:r>
            <w:r w:rsidRPr="00132E65">
              <w:rPr>
                <w:rtl/>
              </w:rPr>
              <w:t xml:space="preserve"> في « ب ، ف ، بر » و</w:t>
            </w:r>
            <w:r w:rsidRPr="009D1ACE">
              <w:rPr>
                <w:rStyle w:val="libFootnoteBoldChar"/>
                <w:rtl/>
              </w:rPr>
              <w:t>الوافي</w:t>
            </w:r>
            <w:r w:rsidRPr="00132E65">
              <w:rPr>
                <w:rtl/>
              </w:rPr>
              <w:t xml:space="preserve"> : « الطائر »</w:t>
            </w:r>
            <w:r>
              <w:rPr>
                <w:rtl/>
              </w:rPr>
              <w:t>.</w:t>
            </w:r>
          </w:p>
        </w:tc>
      </w:tr>
      <w:tr w:rsidR="00785F5D" w:rsidTr="00785F5D">
        <w:tc>
          <w:tcPr>
            <w:tcW w:w="4261" w:type="dxa"/>
          </w:tcPr>
          <w:p w:rsidR="00785F5D" w:rsidRDefault="00785F5D" w:rsidP="000C39D1">
            <w:pPr>
              <w:pStyle w:val="libFootnote0"/>
              <w:rPr>
                <w:rtl/>
              </w:rPr>
            </w:pPr>
            <w:r>
              <w:rPr>
                <w:rtl/>
              </w:rPr>
              <w:t>(7).</w:t>
            </w:r>
            <w:r w:rsidRPr="00132E65">
              <w:rPr>
                <w:rtl/>
              </w:rPr>
              <w:t xml:space="preserve"> في « بر ، بف » : « بني »</w:t>
            </w:r>
            <w:r>
              <w:rPr>
                <w:rtl/>
              </w:rPr>
              <w:t>.</w:t>
            </w:r>
          </w:p>
        </w:tc>
        <w:tc>
          <w:tcPr>
            <w:tcW w:w="4262" w:type="dxa"/>
          </w:tcPr>
          <w:p w:rsidR="00785F5D" w:rsidRDefault="00785F5D" w:rsidP="000C39D1">
            <w:pPr>
              <w:pStyle w:val="libFootnote0"/>
              <w:rPr>
                <w:rtl/>
              </w:rPr>
            </w:pPr>
            <w:r>
              <w:rPr>
                <w:rtl/>
              </w:rPr>
              <w:t>(8).</w:t>
            </w:r>
            <w:r w:rsidR="00F04C89">
              <w:rPr>
                <w:rtl/>
              </w:rPr>
              <w:t xml:space="preserve"> في البصائر :«</w:t>
            </w:r>
            <w:r w:rsidRPr="00132E65">
              <w:rPr>
                <w:rtl/>
              </w:rPr>
              <w:t>أساء</w:t>
            </w:r>
            <w:r w:rsidR="00F04C89">
              <w:rPr>
                <w:rtl/>
              </w:rPr>
              <w:t>ه ظنّ السوء » بدل «ظنّ بامرأته</w:t>
            </w:r>
            <w:r w:rsidRPr="00132E65">
              <w:rPr>
                <w:rtl/>
              </w:rPr>
              <w:t>»</w:t>
            </w:r>
            <w:r>
              <w:rPr>
                <w:rtl/>
              </w:rPr>
              <w:t>.</w:t>
            </w:r>
          </w:p>
        </w:tc>
      </w:tr>
    </w:tbl>
    <w:p w:rsidR="000C39D1" w:rsidRPr="00132E65" w:rsidRDefault="000C39D1" w:rsidP="000C39D1">
      <w:pPr>
        <w:pStyle w:val="libFootnote0"/>
        <w:rPr>
          <w:rtl/>
          <w:lang w:bidi="fa-IR"/>
        </w:rPr>
      </w:pPr>
      <w:r>
        <w:rPr>
          <w:rtl/>
        </w:rPr>
        <w:t>(9).</w:t>
      </w:r>
      <w:r w:rsidRPr="00132E65">
        <w:rPr>
          <w:rtl/>
        </w:rPr>
        <w:t xml:space="preserve"> في « ج » : « فقال »</w:t>
      </w:r>
      <w:r>
        <w:rPr>
          <w:rtl/>
        </w:rPr>
        <w:t>.</w:t>
      </w:r>
    </w:p>
    <w:p w:rsidR="000C39D1" w:rsidRPr="00132E65" w:rsidRDefault="000C39D1" w:rsidP="000C39D1">
      <w:pPr>
        <w:pStyle w:val="libFootnote0"/>
        <w:rPr>
          <w:rtl/>
          <w:lang w:bidi="fa-IR"/>
        </w:rPr>
      </w:pPr>
      <w:r>
        <w:rPr>
          <w:rtl/>
        </w:rPr>
        <w:t>(10).</w:t>
      </w:r>
      <w:r w:rsidRPr="00132E65">
        <w:rPr>
          <w:rtl/>
        </w:rPr>
        <w:t xml:space="preserve"> </w:t>
      </w:r>
      <w:r w:rsidRPr="007A1104">
        <w:rPr>
          <w:rStyle w:val="libFootnoteBoldChar"/>
          <w:rtl/>
        </w:rPr>
        <w:t>بصائر الدرجات</w:t>
      </w:r>
      <w:r w:rsidRPr="00132E65">
        <w:rPr>
          <w:rtl/>
        </w:rPr>
        <w:t xml:space="preserve"> ، ص 342 ، ح 5 ، عن أحمد بن محمّد ، عن محمّد بن الحسين ، عن محمّد بن عليّ ، عن عليّ بن محمّد الحنّاط ، عن عاصم ، عن محمّد بن مسلم </w:t>
      </w:r>
      <w:r w:rsidR="00F04C89">
        <w:rPr>
          <w:rFonts w:hint="cs"/>
          <w:rtl/>
        </w:rPr>
        <w:t>.</w:t>
      </w:r>
      <w:r w:rsidRPr="009D1ACE">
        <w:rPr>
          <w:rStyle w:val="libFootnoteBoldChar"/>
          <w:rtl/>
        </w:rPr>
        <w:t>الوافي</w:t>
      </w:r>
      <w:r w:rsidRPr="00132E65">
        <w:rPr>
          <w:rtl/>
        </w:rPr>
        <w:t xml:space="preserve"> ، ج 3 ، ص 770 ، ح 1395.</w:t>
      </w:r>
    </w:p>
    <w:tbl>
      <w:tblPr>
        <w:tblStyle w:val="TableGrid"/>
        <w:bidiVisual/>
        <w:tblW w:w="0" w:type="auto"/>
        <w:tblLook w:val="04A0" w:firstRow="1" w:lastRow="0" w:firstColumn="1" w:lastColumn="0" w:noHBand="0" w:noVBand="1"/>
      </w:tblPr>
      <w:tblGrid>
        <w:gridCol w:w="4261"/>
        <w:gridCol w:w="4262"/>
      </w:tblGrid>
      <w:tr w:rsidR="00F04C89" w:rsidTr="00F04C89">
        <w:tc>
          <w:tcPr>
            <w:tcW w:w="4261" w:type="dxa"/>
          </w:tcPr>
          <w:p w:rsidR="00F04C89" w:rsidRDefault="00F04C89" w:rsidP="000C39D1">
            <w:pPr>
              <w:pStyle w:val="libFootnote0"/>
              <w:rPr>
                <w:rtl/>
              </w:rPr>
            </w:pPr>
            <w:r>
              <w:rPr>
                <w:rtl/>
              </w:rPr>
              <w:t>(11).</w:t>
            </w:r>
            <w:r w:rsidRPr="00132E65">
              <w:rPr>
                <w:rtl/>
              </w:rPr>
              <w:t xml:space="preserve"> في « ج » : « فصار »</w:t>
            </w:r>
            <w:r>
              <w:rPr>
                <w:rtl/>
              </w:rPr>
              <w:t>.</w:t>
            </w:r>
          </w:p>
        </w:tc>
        <w:tc>
          <w:tcPr>
            <w:tcW w:w="4262" w:type="dxa"/>
          </w:tcPr>
          <w:p w:rsidR="00F04C89" w:rsidRDefault="00F04C89" w:rsidP="000C39D1">
            <w:pPr>
              <w:pStyle w:val="libFootnote0"/>
              <w:rPr>
                <w:rtl/>
              </w:rPr>
            </w:pPr>
            <w:r>
              <w:rPr>
                <w:rtl/>
              </w:rPr>
              <w:t>(12).</w:t>
            </w:r>
            <w:r w:rsidRPr="00132E65">
              <w:rPr>
                <w:rtl/>
              </w:rPr>
              <w:t xml:space="preserve"> في « ض » :</w:t>
            </w:r>
            <w:r>
              <w:rPr>
                <w:rtl/>
              </w:rPr>
              <w:t xml:space="preserve"> + </w:t>
            </w:r>
            <w:r w:rsidRPr="00132E65">
              <w:rPr>
                <w:rtl/>
              </w:rPr>
              <w:t>« وغيرهم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فَلَمَّا دَخَلَ عَلَيْهِ أَبُو جَعْفَرٍ </w:t>
      </w:r>
      <w:r>
        <w:rPr>
          <w:rStyle w:val="libFootnotenumChar"/>
          <w:rtl/>
        </w:rPr>
        <w:t>(1)</w:t>
      </w:r>
      <w:r w:rsidRPr="00132E65">
        <w:rPr>
          <w:rtl/>
          <w:lang w:bidi="fa-IR"/>
        </w:rPr>
        <w:t xml:space="preserve"> </w:t>
      </w:r>
      <w:r w:rsidRPr="00071CF9">
        <w:rPr>
          <w:rStyle w:val="libAlaemChar"/>
          <w:rtl/>
        </w:rPr>
        <w:t>عليه‌السلام</w:t>
      </w:r>
      <w:r w:rsidRPr="00132E65">
        <w:rPr>
          <w:rtl/>
          <w:lang w:bidi="fa-IR"/>
        </w:rPr>
        <w:t xml:space="preserve"> ، قَالَ بِيَدِهِ : « السَّلَامُ عَلَيْكُمْ » فَعَمَّهُمْ جَمِيعاً بِالسَّلَامِ ، ثُمَّ جَلَسَ ، فَازْدَادَ هِشَامٌ عَلَيْهِ حَنَقاً </w:t>
      </w:r>
      <w:r>
        <w:rPr>
          <w:rStyle w:val="libFootnotenumChar"/>
          <w:rtl/>
        </w:rPr>
        <w:t>(2)</w:t>
      </w:r>
      <w:r w:rsidRPr="00132E65">
        <w:rPr>
          <w:rtl/>
          <w:lang w:bidi="fa-IR"/>
        </w:rPr>
        <w:t xml:space="preserve"> بِتَرْكِهِ السَّلَامَ عَلَيْهِ بِالْخِلَافَةِ ، و</w:t>
      </w:r>
      <w:r w:rsidR="00F04C89">
        <w:rPr>
          <w:rFonts w:hint="cs"/>
          <w:rtl/>
          <w:lang w:bidi="fa-IR"/>
        </w:rPr>
        <w:t>َ</w:t>
      </w:r>
      <w:r w:rsidRPr="00132E65">
        <w:rPr>
          <w:rtl/>
          <w:lang w:bidi="fa-IR"/>
        </w:rPr>
        <w:t>جُلُوسِهِ بِغَيْرِ إِذْنٍ ، فَأَقْبَلَ يُوَبِّخُهُ ، و</w:t>
      </w:r>
      <w:r w:rsidR="00F04C89">
        <w:rPr>
          <w:rFonts w:hint="cs"/>
          <w:rtl/>
          <w:lang w:bidi="fa-IR"/>
        </w:rPr>
        <w:t>َ</w:t>
      </w:r>
      <w:r w:rsidRPr="00132E65">
        <w:rPr>
          <w:rtl/>
          <w:lang w:bidi="fa-IR"/>
        </w:rPr>
        <w:t>يَقُولُ</w:t>
      </w:r>
      <w:r>
        <w:rPr>
          <w:rtl/>
          <w:lang w:bidi="fa-IR"/>
        </w:rPr>
        <w:t xml:space="preserve"> - </w:t>
      </w:r>
      <w:r w:rsidRPr="00132E65">
        <w:rPr>
          <w:rtl/>
          <w:lang w:bidi="fa-IR"/>
        </w:rPr>
        <w:t xml:space="preserve">فِيمَا يَقُولُ لَهُ </w:t>
      </w:r>
      <w:r>
        <w:rPr>
          <w:rStyle w:val="libFootnotenumChar"/>
          <w:rtl/>
        </w:rPr>
        <w:t>(3)</w:t>
      </w:r>
      <w:r>
        <w:rPr>
          <w:rtl/>
          <w:lang w:bidi="fa-IR"/>
        </w:rPr>
        <w:t xml:space="preserve"> - </w:t>
      </w:r>
      <w:r w:rsidRPr="00132E65">
        <w:rPr>
          <w:rtl/>
          <w:lang w:bidi="fa-IR"/>
        </w:rPr>
        <w:t xml:space="preserve">: يَا مُحَمَّدَ بْنَ عَلِيٍّ ، لَايَزَالُ الرَّجُلُ مِنْكُمْ قَدْ شَقَّ عَصَا الْمُسْلِمِينَ </w:t>
      </w:r>
      <w:r>
        <w:rPr>
          <w:rStyle w:val="libFootnotenumChar"/>
          <w:rtl/>
        </w:rPr>
        <w:t>(4)</w:t>
      </w:r>
      <w:r w:rsidRPr="00132E65">
        <w:rPr>
          <w:rtl/>
          <w:lang w:bidi="fa-IR"/>
        </w:rPr>
        <w:t xml:space="preserve"> ، و</w:t>
      </w:r>
      <w:r w:rsidR="00F04C89">
        <w:rPr>
          <w:rFonts w:hint="cs"/>
          <w:rtl/>
          <w:lang w:bidi="fa-IR"/>
        </w:rPr>
        <w:t>َ</w:t>
      </w:r>
      <w:r w:rsidRPr="00132E65">
        <w:rPr>
          <w:rtl/>
          <w:lang w:bidi="fa-IR"/>
        </w:rPr>
        <w:t>دَعَا إِلى نَفْسِهِ ، وزَعَمَ أَنَّهُ الْإِمَامُ سَفَهاً وقِلَّةَ عِلْمٍ ، وَ</w:t>
      </w:r>
      <w:r w:rsidR="00F04C89">
        <w:rPr>
          <w:rFonts w:hint="cs"/>
          <w:rtl/>
          <w:lang w:bidi="fa-IR"/>
        </w:rPr>
        <w:t xml:space="preserve"> </w:t>
      </w:r>
      <w:r w:rsidRPr="00132E65">
        <w:rPr>
          <w:rtl/>
          <w:lang w:bidi="fa-IR"/>
        </w:rPr>
        <w:t>و</w:t>
      </w:r>
      <w:r w:rsidR="00F04C89">
        <w:rPr>
          <w:rFonts w:hint="cs"/>
          <w:rtl/>
          <w:lang w:bidi="fa-IR"/>
        </w:rPr>
        <w:t>َ</w:t>
      </w:r>
      <w:r w:rsidRPr="00132E65">
        <w:rPr>
          <w:rtl/>
          <w:lang w:bidi="fa-IR"/>
        </w:rPr>
        <w:t xml:space="preserve">بَّخَهُ بِمَا أَرَادَ أَنْ يُوَبِّخَهُ ، فَلَمَّا سَكَتَ أَقْبَلَ عَلَيْهِ الْقَوْمُ رَجُلٌ بَعْدَ رَجُلٍ يُوَبِّخُهُ حَتَّى انْقَضى آخِرُهُمْ ، فَلَمَّا سَكَتَ الْقَوْمُ نَهَضَ </w:t>
      </w:r>
      <w:r w:rsidRPr="00071CF9">
        <w:rPr>
          <w:rStyle w:val="libAlaemChar"/>
          <w:rtl/>
        </w:rPr>
        <w:t>عليه‌السلام</w:t>
      </w:r>
      <w:r w:rsidRPr="00132E65">
        <w:rPr>
          <w:rtl/>
          <w:lang w:bidi="fa-IR"/>
        </w:rPr>
        <w:t xml:space="preserve"> قَائِماً ، ثُمَّ قَالَ : « أَيُّهَا النَّاسُ ، أَيْنَ تَذْهَبُونَ</w:t>
      </w:r>
      <w:r>
        <w:rPr>
          <w:rtl/>
          <w:lang w:bidi="fa-IR"/>
        </w:rPr>
        <w:t>؟</w:t>
      </w:r>
      <w:r>
        <w:rPr>
          <w:rFonts w:hint="cs"/>
          <w:rtl/>
          <w:lang w:bidi="fa-IR"/>
        </w:rPr>
        <w:t xml:space="preserve"> </w:t>
      </w:r>
      <w:r w:rsidRPr="00132E65">
        <w:rPr>
          <w:rtl/>
          <w:lang w:bidi="fa-IR"/>
        </w:rPr>
        <w:t>وَأَيْنَ يُرَادُ بِكُمْ</w:t>
      </w:r>
      <w:r>
        <w:rPr>
          <w:rtl/>
          <w:lang w:bidi="fa-IR"/>
        </w:rPr>
        <w:t>؟</w:t>
      </w:r>
      <w:r w:rsidRPr="00132E65">
        <w:rPr>
          <w:rtl/>
          <w:lang w:bidi="fa-IR"/>
        </w:rPr>
        <w:t xml:space="preserve"> بِنَا هَدَى اللهُ أَوَّلَكُمْ ، وبِنَا يَخْتِمُ آخِرَكُمْ ، فَإِنْ يَكُنْ لَكُمْ مُلْكٌ مُعَجَّلٌ ، فَإِنَّ لَنَا مُلْكاً مُؤَجَّلاً ، و</w:t>
      </w:r>
      <w:r w:rsidR="00F04C89">
        <w:rPr>
          <w:rFonts w:hint="cs"/>
          <w:rtl/>
          <w:lang w:bidi="fa-IR"/>
        </w:rPr>
        <w:t>َ</w:t>
      </w:r>
      <w:r w:rsidRPr="00132E65">
        <w:rPr>
          <w:rtl/>
          <w:lang w:bidi="fa-IR"/>
        </w:rPr>
        <w:t>لَيْسَ بَعْدَ مُلْكِنَا مُلْكٌ ؛ لِأَنَّا أَهْلُ الْعَاقِبَةِ ؛ يَقُولُ اللهُ عَزَّ وجَلَّ :</w:t>
      </w:r>
      <w:r>
        <w:rPr>
          <w:rFonts w:hint="cs"/>
          <w:rtl/>
          <w:lang w:bidi="fa-IR"/>
        </w:rPr>
        <w:t xml:space="preserve"> </w:t>
      </w:r>
      <w:r w:rsidRPr="00071CF9">
        <w:rPr>
          <w:rStyle w:val="libAlaemChar"/>
          <w:rtl/>
        </w:rPr>
        <w:t>(</w:t>
      </w:r>
      <w:r w:rsidRPr="00071CF9">
        <w:rPr>
          <w:rStyle w:val="libAieChar"/>
          <w:rtl/>
        </w:rPr>
        <w:t xml:space="preserve"> وَالْعاقِبَةُ لِلْمُتَّقِينَ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فَأَمَرَ بِهِ إِلَى الْحَبْسِ ، فَلَمَّا صَارَ إِلَى </w:t>
      </w:r>
      <w:r>
        <w:rPr>
          <w:rStyle w:val="libFootnotenumChar"/>
          <w:rtl/>
        </w:rPr>
        <w:t>(6)</w:t>
      </w:r>
      <w:r w:rsidRPr="00132E65">
        <w:rPr>
          <w:rtl/>
          <w:lang w:bidi="fa-IR"/>
        </w:rPr>
        <w:t xml:space="preserve"> الْحَبْسِ تَكَلَّمَ ، فَلَمْ يَ</w:t>
      </w:r>
      <w:r w:rsidR="00F04C89">
        <w:rPr>
          <w:rtl/>
          <w:lang w:bidi="fa-IR"/>
        </w:rPr>
        <w:t>بْقَ فِي الْحَبْسِ رَجُلٌ إِل</w:t>
      </w:r>
      <w:r w:rsidR="00F04C89">
        <w:rPr>
          <w:rFonts w:hint="cs"/>
          <w:rtl/>
          <w:lang w:bidi="fa-IR"/>
        </w:rPr>
        <w:t>َّ</w:t>
      </w:r>
      <w:r w:rsidR="00F04C89">
        <w:rPr>
          <w:rtl/>
          <w:lang w:bidi="fa-IR"/>
        </w:rPr>
        <w:t>ا</w:t>
      </w:r>
      <w:r w:rsidRPr="00132E65">
        <w:rPr>
          <w:rtl/>
          <w:lang w:bidi="fa-IR"/>
        </w:rPr>
        <w:t xml:space="preserve"> تَرَشَّفَهُ </w:t>
      </w:r>
      <w:r>
        <w:rPr>
          <w:rStyle w:val="libFootnotenumChar"/>
          <w:rtl/>
        </w:rPr>
        <w:t>(7)</w:t>
      </w:r>
      <w:r w:rsidRPr="00132E65">
        <w:rPr>
          <w:rtl/>
          <w:lang w:bidi="fa-IR"/>
        </w:rPr>
        <w:t xml:space="preserve"> و</w:t>
      </w:r>
      <w:r w:rsidR="00F04C89">
        <w:rPr>
          <w:rFonts w:hint="cs"/>
          <w:rtl/>
          <w:lang w:bidi="fa-IR"/>
        </w:rPr>
        <w:t>َ</w:t>
      </w:r>
      <w:r w:rsidRPr="00132E65">
        <w:rPr>
          <w:rtl/>
          <w:lang w:bidi="fa-IR"/>
        </w:rPr>
        <w:t xml:space="preserve">حَنَّ إِلَيْهِ </w:t>
      </w:r>
      <w:r>
        <w:rPr>
          <w:rStyle w:val="libFootnotenumChar"/>
          <w:rtl/>
        </w:rPr>
        <w:t>(8)</w:t>
      </w:r>
      <w:r w:rsidRPr="00132E65">
        <w:rPr>
          <w:rtl/>
          <w:lang w:bidi="fa-IR"/>
        </w:rPr>
        <w:t xml:space="preserve"> ، فَجَاءَ صَاحِبُ الْحَبْسِ إِلى هِشَامٍ ، فَقَالَ يَا أَمِيرَ الْمُؤْمِنِينَ ، إِنِّي خَائِفٌ عَلَيْكَ مِنْ أَهْلِ الشَّامِ أَنْ يَحُولُوا </w:t>
      </w:r>
      <w:r>
        <w:rPr>
          <w:rStyle w:val="libFootnotenumChar"/>
          <w:rtl/>
        </w:rPr>
        <w:t>(9)</w:t>
      </w:r>
      <w:r w:rsidRPr="00132E65">
        <w:rPr>
          <w:rtl/>
          <w:lang w:bidi="fa-IR"/>
        </w:rPr>
        <w:t xml:space="preserve"> بَيْنَكَ و</w:t>
      </w:r>
      <w:r w:rsidR="00F04C89">
        <w:rPr>
          <w:rFonts w:hint="cs"/>
          <w:rtl/>
          <w:lang w:bidi="fa-IR"/>
        </w:rPr>
        <w:t>َ</w:t>
      </w:r>
      <w:r w:rsidRPr="00132E65">
        <w:rPr>
          <w:rtl/>
          <w:lang w:bidi="fa-IR"/>
        </w:rPr>
        <w:t>بَيْنَ مَجْلِسِكَ هذَا ، ثُمَّ أَخْبَرَهُ بِخَبَرِهِ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أبو جعفر »</w:t>
      </w:r>
      <w:r>
        <w:rPr>
          <w:rtl/>
        </w:rPr>
        <w:t>.</w:t>
      </w:r>
    </w:p>
    <w:p w:rsidR="000C39D1" w:rsidRPr="00132E65" w:rsidRDefault="000C39D1" w:rsidP="000C39D1">
      <w:pPr>
        <w:pStyle w:val="libFootnote0"/>
        <w:rPr>
          <w:rtl/>
          <w:lang w:bidi="fa-IR"/>
        </w:rPr>
      </w:pPr>
      <w:r>
        <w:rPr>
          <w:rtl/>
        </w:rPr>
        <w:t>(2).</w:t>
      </w:r>
      <w:r w:rsidRPr="00132E65">
        <w:rPr>
          <w:rtl/>
        </w:rPr>
        <w:t xml:space="preserve"> « الحَنَق » : الغيظ أو شدّته. والجمع : حِناق. </w:t>
      </w:r>
      <w:r w:rsidRPr="00F04C89">
        <w:rPr>
          <w:rStyle w:val="libFootnoteBoldChar"/>
          <w:rtl/>
        </w:rPr>
        <w:t>القاموس</w:t>
      </w:r>
      <w:r w:rsidRPr="00E63D08">
        <w:rPr>
          <w:rtl/>
        </w:rPr>
        <w:t xml:space="preserve"> </w:t>
      </w:r>
      <w:r w:rsidRPr="00F04C89">
        <w:rPr>
          <w:rStyle w:val="libFootnoteBoldChar"/>
          <w:rtl/>
        </w:rPr>
        <w:t>المحيط</w:t>
      </w:r>
      <w:r w:rsidRPr="00132E65">
        <w:rPr>
          <w:rtl/>
        </w:rPr>
        <w:t xml:space="preserve"> ، ج 2 ، ص 1165 ( حنق )</w:t>
      </w:r>
      <w:r>
        <w:rPr>
          <w:rtl/>
        </w:rPr>
        <w:t>.</w:t>
      </w:r>
    </w:p>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 قد شقّ عصا المسلمين » : فرّق جماعتهم وأوقع الخلاف بينهم وشوّش ائتلافهم والتيامهم واجتماعهم‌</w:t>
      </w:r>
      <w:r w:rsidR="00F04C89">
        <w:rPr>
          <w:rFonts w:hint="cs"/>
          <w:rtl/>
        </w:rPr>
        <w:t xml:space="preserve"> </w:t>
      </w:r>
      <w:r w:rsidRPr="00132E65">
        <w:rPr>
          <w:rtl/>
        </w:rPr>
        <w:t xml:space="preserve">ومنعهم منها. وأصل العصا الاجتماع والائتلاف. وقد يراد بالعصا الجماعة ؛ لأنّ المسلمين بمنزلة العصا للإسلام ، فالإضافة بيانيّة. راجع : </w:t>
      </w:r>
      <w:r w:rsidRPr="009D1ACE">
        <w:rPr>
          <w:rStyle w:val="libFootnoteBoldChar"/>
          <w:rtl/>
        </w:rPr>
        <w:t>لسان العرب</w:t>
      </w:r>
      <w:r w:rsidRPr="00132E65">
        <w:rPr>
          <w:rtl/>
        </w:rPr>
        <w:t xml:space="preserve"> ، ج 15 ، ص 66 ( عصا )</w:t>
      </w:r>
      <w:r>
        <w:rPr>
          <w:rtl/>
        </w:rPr>
        <w:t>.</w:t>
      </w:r>
    </w:p>
    <w:tbl>
      <w:tblPr>
        <w:tblStyle w:val="TableGrid"/>
        <w:bidiVisual/>
        <w:tblW w:w="0" w:type="auto"/>
        <w:tblLook w:val="04A0" w:firstRow="1" w:lastRow="0" w:firstColumn="1" w:lastColumn="0" w:noHBand="0" w:noVBand="1"/>
      </w:tblPr>
      <w:tblGrid>
        <w:gridCol w:w="4261"/>
        <w:gridCol w:w="4262"/>
      </w:tblGrid>
      <w:tr w:rsidR="00093519" w:rsidTr="00093519">
        <w:tc>
          <w:tcPr>
            <w:tcW w:w="4261" w:type="dxa"/>
          </w:tcPr>
          <w:p w:rsidR="00093519" w:rsidRDefault="00093519" w:rsidP="000C39D1">
            <w:pPr>
              <w:pStyle w:val="libFootnote0"/>
              <w:rPr>
                <w:rtl/>
              </w:rPr>
            </w:pPr>
            <w:r>
              <w:rPr>
                <w:rtl/>
              </w:rPr>
              <w:t>(5).</w:t>
            </w:r>
            <w:r w:rsidRPr="00132E65">
              <w:rPr>
                <w:rtl/>
              </w:rPr>
              <w:t xml:space="preserve"> الأعراف </w:t>
            </w:r>
            <w:r>
              <w:rPr>
                <w:rtl/>
              </w:rPr>
              <w:t>(7)</w:t>
            </w:r>
            <w:r w:rsidRPr="00132E65">
              <w:rPr>
                <w:rtl/>
              </w:rPr>
              <w:t xml:space="preserve"> : 128 ؛ القصص (28) : 83.</w:t>
            </w:r>
          </w:p>
        </w:tc>
        <w:tc>
          <w:tcPr>
            <w:tcW w:w="4262" w:type="dxa"/>
          </w:tcPr>
          <w:p w:rsidR="00093519" w:rsidRDefault="00093519" w:rsidP="000C39D1">
            <w:pPr>
              <w:pStyle w:val="libFootnote0"/>
              <w:rPr>
                <w:rtl/>
              </w:rPr>
            </w:pPr>
            <w:r>
              <w:rPr>
                <w:rtl/>
              </w:rPr>
              <w:t>(6).</w:t>
            </w:r>
            <w:r w:rsidRPr="00132E65">
              <w:rPr>
                <w:rtl/>
              </w:rPr>
              <w:t xml:space="preserve"> في « ب ، بف » : « في »</w:t>
            </w:r>
            <w:r>
              <w:rPr>
                <w:rtl/>
              </w:rPr>
              <w:t>.</w:t>
            </w:r>
          </w:p>
        </w:tc>
      </w:tr>
    </w:tbl>
    <w:p w:rsidR="000C39D1" w:rsidRPr="00132E65" w:rsidRDefault="000C39D1" w:rsidP="000C39D1">
      <w:pPr>
        <w:pStyle w:val="libFootnote0"/>
        <w:rPr>
          <w:rtl/>
          <w:lang w:bidi="fa-IR"/>
        </w:rPr>
      </w:pPr>
      <w:r>
        <w:rPr>
          <w:rtl/>
        </w:rPr>
        <w:t>(7).</w:t>
      </w:r>
      <w:r w:rsidRPr="00132E65">
        <w:rPr>
          <w:rtl/>
        </w:rPr>
        <w:t xml:space="preserve"> في « بح » : « يرشفه »</w:t>
      </w:r>
      <w:r>
        <w:rPr>
          <w:rtl/>
        </w:rPr>
        <w:t>.</w:t>
      </w:r>
      <w:r w:rsidRPr="00132E65">
        <w:rPr>
          <w:rtl/>
        </w:rPr>
        <w:t xml:space="preserve"> </w:t>
      </w:r>
      <w:r>
        <w:rPr>
          <w:rtl/>
        </w:rPr>
        <w:t>و «</w:t>
      </w:r>
      <w:r w:rsidRPr="00132E65">
        <w:rPr>
          <w:rtl/>
        </w:rPr>
        <w:t xml:space="preserve"> تَرَشَّفَهُ » : أي مصّه. هذا في اللغة. وأمّا المراد هنا ، فالمعنى : مسّه تبرّكاً ، أو قبّل يديه‌</w:t>
      </w:r>
      <w:r w:rsidR="00093519">
        <w:rPr>
          <w:rFonts w:hint="cs"/>
          <w:rtl/>
        </w:rPr>
        <w:t xml:space="preserve"> </w:t>
      </w:r>
      <w:r w:rsidRPr="00132E65">
        <w:rPr>
          <w:rtl/>
        </w:rPr>
        <w:t xml:space="preserve">ورجليه ، قاله المازندراني. أو هو كناية عن المبالغة في أخذ العلم عنه </w:t>
      </w:r>
      <w:r w:rsidRPr="00093519">
        <w:rPr>
          <w:rStyle w:val="libFootnoteAlaemChar"/>
          <w:rtl/>
        </w:rPr>
        <w:t>عليه‌السلام</w:t>
      </w:r>
      <w:r w:rsidRPr="00132E65">
        <w:rPr>
          <w:rtl/>
        </w:rPr>
        <w:t xml:space="preserve"> ؛ قاله المجلسي. أو هو كناية عن شدّة الحبّ لو كان بمعنى المصّ بحيث يدخل الريق في الفم ؛ وقال الفيض : « وظنّي أنّه بالسين المهملة ؛ يعني مشى إليه مشي المقيّد يتحامل برجله مع القيد »</w:t>
      </w:r>
      <w:r>
        <w:rPr>
          <w:rtl/>
        </w:rPr>
        <w:t>.</w:t>
      </w:r>
      <w:r w:rsidRPr="00132E65">
        <w:rPr>
          <w:rtl/>
        </w:rPr>
        <w:t xml:space="preserve"> راجع : </w:t>
      </w:r>
      <w:r w:rsidRPr="00093519">
        <w:rPr>
          <w:rStyle w:val="libFootnoteBoldChar"/>
          <w:rtl/>
        </w:rPr>
        <w:t>القاموس المحيط</w:t>
      </w:r>
      <w:r w:rsidRPr="00132E65">
        <w:rPr>
          <w:rtl/>
        </w:rPr>
        <w:t xml:space="preserve"> ، ج 2 ، ص 1084 ( رشف )</w:t>
      </w:r>
      <w:r>
        <w:rPr>
          <w:rtl/>
        </w:rPr>
        <w:t>.</w:t>
      </w:r>
    </w:p>
    <w:p w:rsidR="000C39D1" w:rsidRPr="00132E65" w:rsidRDefault="000C39D1" w:rsidP="00093519">
      <w:pPr>
        <w:pStyle w:val="libFootnote0"/>
        <w:rPr>
          <w:rtl/>
          <w:lang w:bidi="fa-IR"/>
        </w:rPr>
      </w:pPr>
      <w:r>
        <w:rPr>
          <w:rtl/>
        </w:rPr>
        <w:t>(8).</w:t>
      </w:r>
      <w:r w:rsidRPr="00132E65">
        <w:rPr>
          <w:rtl/>
        </w:rPr>
        <w:t xml:space="preserve"> « حنّ إليه » ، أي ترع واشتاق. وأصل الحنين : ترجيع الناقة صوتها إثْر ولدها. راجع : </w:t>
      </w:r>
      <w:r w:rsidRPr="00093519">
        <w:rPr>
          <w:rStyle w:val="libFootnoteBoldChar"/>
          <w:rtl/>
        </w:rPr>
        <w:t>النهاية</w:t>
      </w:r>
      <w:r w:rsidRPr="00132E65">
        <w:rPr>
          <w:rtl/>
        </w:rPr>
        <w:t xml:space="preserve"> ، ج 1 ، ص 452 ( حنن )</w:t>
      </w:r>
      <w:r>
        <w:rPr>
          <w:rtl/>
        </w:rPr>
        <w:t>.</w:t>
      </w:r>
      <w:r w:rsidR="00093519">
        <w:rPr>
          <w:rFonts w:hint="cs"/>
          <w:rtl/>
        </w:rPr>
        <w:t xml:space="preserve">                                                   </w:t>
      </w:r>
      <w:r>
        <w:rPr>
          <w:rtl/>
        </w:rPr>
        <w:t>(9).</w:t>
      </w:r>
      <w:r w:rsidRPr="00132E65">
        <w:rPr>
          <w:rtl/>
        </w:rPr>
        <w:t xml:space="preserve"> في « بح » : « أن يكونوا »</w:t>
      </w:r>
      <w:r>
        <w:rPr>
          <w:rtl/>
        </w:rPr>
        <w:t>.</w:t>
      </w:r>
    </w:p>
    <w:p w:rsidR="000C39D1" w:rsidRDefault="000C39D1" w:rsidP="000C39D1">
      <w:pPr>
        <w:pStyle w:val="libNormal0"/>
        <w:tabs>
          <w:tab w:val="left" w:pos="3968"/>
        </w:tabs>
        <w:rPr>
          <w:rtl/>
          <w:lang w:bidi="fa-IR"/>
        </w:rPr>
      </w:pPr>
      <w:r>
        <w:rPr>
          <w:rtl/>
          <w:lang w:bidi="fa-IR"/>
        </w:rPr>
        <w:br w:type="page"/>
      </w:r>
    </w:p>
    <w:p w:rsidR="000C39D1" w:rsidRPr="004F239A" w:rsidRDefault="000C39D1" w:rsidP="000C39D1">
      <w:pPr>
        <w:pStyle w:val="libNormal0"/>
        <w:tabs>
          <w:tab w:val="left" w:pos="3968"/>
        </w:tabs>
        <w:rPr>
          <w:rtl/>
        </w:rPr>
      </w:pPr>
      <w:r w:rsidRPr="00132E65">
        <w:rPr>
          <w:rtl/>
          <w:lang w:bidi="fa-IR"/>
        </w:rPr>
        <w:t xml:space="preserve">فَأَمَرَ بِهِ ، فَحُمِلَ عَلَى الْبَرِيدِ </w:t>
      </w:r>
      <w:r>
        <w:rPr>
          <w:rStyle w:val="libFootnotenumChar"/>
          <w:rtl/>
        </w:rPr>
        <w:t>(1)</w:t>
      </w:r>
      <w:r w:rsidRPr="00132E65">
        <w:rPr>
          <w:rtl/>
          <w:lang w:bidi="fa-IR"/>
        </w:rPr>
        <w:t xml:space="preserve"> هُوَ و</w:t>
      </w:r>
      <w:r w:rsidR="00093519">
        <w:rPr>
          <w:rFonts w:hint="cs"/>
          <w:rtl/>
          <w:lang w:bidi="fa-IR"/>
        </w:rPr>
        <w:t>َ</w:t>
      </w:r>
      <w:r w:rsidRPr="00132E65">
        <w:rPr>
          <w:rtl/>
          <w:lang w:bidi="fa-IR"/>
        </w:rPr>
        <w:t>أَصْحَابُهُ لِيُرَدُّوا إِلَى الْمَدِينَةِ ، و</w:t>
      </w:r>
      <w:r w:rsidR="00093519">
        <w:rPr>
          <w:rFonts w:hint="cs"/>
          <w:rtl/>
          <w:lang w:bidi="fa-IR"/>
        </w:rPr>
        <w:t>َ</w:t>
      </w:r>
      <w:r w:rsidRPr="00132E65">
        <w:rPr>
          <w:rtl/>
          <w:lang w:bidi="fa-IR"/>
        </w:rPr>
        <w:t xml:space="preserve">أَمَرَ أَنْ لَايُخْرَجَ </w:t>
      </w:r>
      <w:r>
        <w:rPr>
          <w:rStyle w:val="libFootnotenumChar"/>
          <w:rtl/>
        </w:rPr>
        <w:t>(2)</w:t>
      </w:r>
      <w:r w:rsidRPr="00132E65">
        <w:rPr>
          <w:rtl/>
          <w:lang w:bidi="fa-IR"/>
        </w:rPr>
        <w:t xml:space="preserve"> لَهُمُ الْأَسْوَاقُ ، و</w:t>
      </w:r>
      <w:r w:rsidR="00093519">
        <w:rPr>
          <w:rFonts w:hint="cs"/>
          <w:rtl/>
          <w:lang w:bidi="fa-IR"/>
        </w:rPr>
        <w:t>َ</w:t>
      </w:r>
      <w:r w:rsidRPr="00132E65">
        <w:rPr>
          <w:rtl/>
          <w:lang w:bidi="fa-IR"/>
        </w:rPr>
        <w:t>حَالَ بَيْنَهُمْ و</w:t>
      </w:r>
      <w:r w:rsidR="00093519">
        <w:rPr>
          <w:rFonts w:hint="cs"/>
          <w:rtl/>
          <w:lang w:bidi="fa-IR"/>
        </w:rPr>
        <w:t>َ</w:t>
      </w:r>
      <w:r w:rsidRPr="00132E65">
        <w:rPr>
          <w:rtl/>
          <w:lang w:bidi="fa-IR"/>
        </w:rPr>
        <w:t>بَيْنَ الطَّعَامِ و</w:t>
      </w:r>
      <w:r w:rsidR="00093519">
        <w:rPr>
          <w:rFonts w:hint="cs"/>
          <w:rtl/>
          <w:lang w:bidi="fa-IR"/>
        </w:rPr>
        <w:t>َ</w:t>
      </w:r>
      <w:r w:rsidRPr="00132E65">
        <w:rPr>
          <w:rtl/>
          <w:lang w:bidi="fa-IR"/>
        </w:rPr>
        <w:t xml:space="preserve">الشَّرَابِ </w:t>
      </w:r>
      <w:r>
        <w:rPr>
          <w:rStyle w:val="libFootnotenumChar"/>
          <w:rtl/>
        </w:rPr>
        <w:t>(3)</w:t>
      </w:r>
      <w:r w:rsidRPr="00132E65">
        <w:rPr>
          <w:rtl/>
          <w:lang w:bidi="fa-IR"/>
        </w:rPr>
        <w:t xml:space="preserve"> ، فَسَارُوا ثَلَاثاً لَايَجِدُونَ طَعَاماً وَلَاشَرَاباً حَتّى انْتَهَوْا إِلى مَدْيَنَ ، فَأُغْلِقَ </w:t>
      </w:r>
      <w:r>
        <w:rPr>
          <w:rStyle w:val="libFootnotenumChar"/>
          <w:rtl/>
        </w:rPr>
        <w:t>(4)</w:t>
      </w:r>
      <w:r w:rsidRPr="00132E65">
        <w:rPr>
          <w:rtl/>
          <w:lang w:bidi="fa-IR"/>
        </w:rPr>
        <w:t xml:space="preserve"> بَابُ الْمَدِينَةِ دُونَهُمْ ، فَشَكَا أَصْحَابُهُ الْجُوعَ وَالْعَطَشَ.</w:t>
      </w:r>
    </w:p>
    <w:p w:rsidR="000C39D1" w:rsidRPr="00132E65" w:rsidRDefault="000C39D1" w:rsidP="000C39D1">
      <w:pPr>
        <w:pStyle w:val="libNormal"/>
        <w:rPr>
          <w:rtl/>
          <w:lang w:bidi="fa-IR"/>
        </w:rPr>
      </w:pPr>
      <w:r w:rsidRPr="00132E65">
        <w:rPr>
          <w:rtl/>
          <w:lang w:bidi="fa-IR"/>
        </w:rPr>
        <w:t xml:space="preserve">قَالَ : فَصَعِدَ جَبَلاً لِيُشْرِفَ </w:t>
      </w:r>
      <w:r>
        <w:rPr>
          <w:rStyle w:val="libFootnotenumChar"/>
          <w:rtl/>
        </w:rPr>
        <w:t>(5)</w:t>
      </w:r>
      <w:r w:rsidRPr="00132E65">
        <w:rPr>
          <w:rtl/>
          <w:lang w:bidi="fa-IR"/>
        </w:rPr>
        <w:t xml:space="preserve"> عَلَيْهِمْ ، فَقَالَ</w:t>
      </w:r>
      <w:r>
        <w:rPr>
          <w:rtl/>
          <w:lang w:bidi="fa-IR"/>
        </w:rPr>
        <w:t xml:space="preserve"> - </w:t>
      </w:r>
      <w:r w:rsidRPr="00132E65">
        <w:rPr>
          <w:rtl/>
          <w:lang w:bidi="fa-IR"/>
        </w:rPr>
        <w:t>بِأَعْلى صَوْتِهِ</w:t>
      </w:r>
      <w:r>
        <w:rPr>
          <w:rtl/>
          <w:lang w:bidi="fa-IR"/>
        </w:rPr>
        <w:t xml:space="preserve"> - </w:t>
      </w:r>
      <w:r w:rsidRPr="00132E65">
        <w:rPr>
          <w:rtl/>
          <w:lang w:bidi="fa-IR"/>
        </w:rPr>
        <w:t xml:space="preserve">: « يَا أَهْلَ الْمَدِينَةِ الظَّالِمِ أَهْلُهَا ، أَنَا بَقِيَّةُ اللهِ ، يَقُولُ اللهُ : </w:t>
      </w:r>
      <w:r w:rsidRPr="00071CF9">
        <w:rPr>
          <w:rStyle w:val="libAlaemChar"/>
          <w:rtl/>
        </w:rPr>
        <w:t>(</w:t>
      </w:r>
      <w:r w:rsidRPr="00071CF9">
        <w:rPr>
          <w:rStyle w:val="libAieChar"/>
          <w:rtl/>
        </w:rPr>
        <w:t xml:space="preserve"> بَقِيَّتُ اللهِ خَيْرٌ لَكُمْ إِنْ كُنْتُمْ مُؤْمِنِينَ وَما أَنَا عَلَيْكُمْ بِحَفِيظٍ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قَالَ : و</w:t>
      </w:r>
      <w:r w:rsidR="00093519">
        <w:rPr>
          <w:rFonts w:hint="cs"/>
          <w:rtl/>
          <w:lang w:bidi="fa-IR"/>
        </w:rPr>
        <w:t>َ</w:t>
      </w:r>
      <w:r w:rsidRPr="00132E65">
        <w:rPr>
          <w:rtl/>
          <w:lang w:bidi="fa-IR"/>
        </w:rPr>
        <w:t>كَانَ فِيهِمْ شَيْخٌ كَبِيرٌ ، فَأَتَاهُمْ ، فَقَالَ لَهُمْ : يَا قَوْمِ ، هذِهِ</w:t>
      </w:r>
      <w:r>
        <w:rPr>
          <w:rtl/>
          <w:lang w:bidi="fa-IR"/>
        </w:rPr>
        <w:t xml:space="preserve"> - </w:t>
      </w:r>
      <w:r w:rsidRPr="00132E65">
        <w:rPr>
          <w:rtl/>
          <w:lang w:bidi="fa-IR"/>
        </w:rPr>
        <w:t>و</w:t>
      </w:r>
      <w:r w:rsidR="00093519">
        <w:rPr>
          <w:rFonts w:hint="cs"/>
          <w:rtl/>
          <w:lang w:bidi="fa-IR"/>
        </w:rPr>
        <w:t>َ</w:t>
      </w:r>
      <w:r w:rsidRPr="00132E65">
        <w:rPr>
          <w:rtl/>
          <w:lang w:bidi="fa-IR"/>
        </w:rPr>
        <w:t>اللهِ</w:t>
      </w:r>
      <w:r>
        <w:rPr>
          <w:rtl/>
          <w:lang w:bidi="fa-IR"/>
        </w:rPr>
        <w:t xml:space="preserve"> - </w:t>
      </w:r>
      <w:r w:rsidRPr="00132E65">
        <w:rPr>
          <w:rtl/>
          <w:lang w:bidi="fa-IR"/>
        </w:rPr>
        <w:t>دَعْوَةُ شُعَيْبٍ النَّبِيِّ ، و</w:t>
      </w:r>
      <w:r w:rsidR="00A37D85">
        <w:rPr>
          <w:rFonts w:hint="cs"/>
          <w:rtl/>
          <w:lang w:bidi="fa-IR"/>
        </w:rPr>
        <w:t>َ</w:t>
      </w:r>
      <w:r w:rsidRPr="00132E65">
        <w:rPr>
          <w:rtl/>
          <w:lang w:bidi="fa-IR"/>
        </w:rPr>
        <w:t>اللهِ ، لَئِنْ لَمْ تُخْرِجُوا إِلى هذَا الرَّجُلِ بِالْأَسْوَاقِ ، لَتُؤْخَذُنَّ مِنْ فَوْقِكُمْ ، وَمِنْ تَحْتِ أَرْجُلِكُمْ ، فَصَدِّقُونِي فِي هذِهِ الْمَرَّةِ و</w:t>
      </w:r>
      <w:r w:rsidR="00A37D85">
        <w:rPr>
          <w:rFonts w:hint="cs"/>
          <w:rtl/>
          <w:lang w:bidi="fa-IR"/>
        </w:rPr>
        <w:t>َ</w:t>
      </w:r>
      <w:r w:rsidRPr="00132E65">
        <w:rPr>
          <w:rtl/>
          <w:lang w:bidi="fa-IR"/>
        </w:rPr>
        <w:t>أَطِيعُونِي ، و</w:t>
      </w:r>
      <w:r w:rsidR="00A37D85">
        <w:rPr>
          <w:rFonts w:hint="cs"/>
          <w:rtl/>
          <w:lang w:bidi="fa-IR"/>
        </w:rPr>
        <w:t>َ</w:t>
      </w:r>
      <w:r w:rsidRPr="00132E65">
        <w:rPr>
          <w:rtl/>
          <w:lang w:bidi="fa-IR"/>
        </w:rPr>
        <w:t xml:space="preserve">كَذِّبُونِي فِيمَا تَسْتَأْنِفُونَ ؛ فَإِنِّي نَاصِحٌ لَكُمْ </w:t>
      </w:r>
      <w:r>
        <w:rPr>
          <w:rStyle w:val="libFootnotenumChar"/>
          <w:rtl/>
        </w:rPr>
        <w:t>(7)</w:t>
      </w:r>
    </w:p>
    <w:p w:rsidR="000C39D1" w:rsidRDefault="000C39D1" w:rsidP="000C39D1">
      <w:pPr>
        <w:pStyle w:val="libNormal0"/>
        <w:tabs>
          <w:tab w:val="left" w:pos="3968"/>
        </w:tabs>
        <w:rPr>
          <w:rtl/>
          <w:lang w:bidi="fa-IR"/>
        </w:rPr>
      </w:pPr>
      <w:r w:rsidRPr="00132E65">
        <w:rPr>
          <w:rtl/>
          <w:lang w:bidi="fa-IR"/>
        </w:rPr>
        <w:t>قَالَ : فَبَادَرُوا ، فَأَخْرَجُوا إِلى مُحَمَّدِ بْنِ عَلِيٍّ و</w:t>
      </w:r>
      <w:r w:rsidR="00A37D85">
        <w:rPr>
          <w:rFonts w:hint="cs"/>
          <w:rtl/>
          <w:lang w:bidi="fa-IR"/>
        </w:rPr>
        <w:t>َ</w:t>
      </w:r>
      <w:r w:rsidRPr="00132E65">
        <w:rPr>
          <w:rtl/>
          <w:lang w:bidi="fa-IR"/>
        </w:rPr>
        <w:t xml:space="preserve">أَصْحَابِهِ بِالْأَسْوَاقِ ، فَبَلَغَ </w:t>
      </w:r>
      <w:r>
        <w:rPr>
          <w:rStyle w:val="libFootnotenumChar"/>
          <w:rtl/>
        </w:rPr>
        <w:t>(8)</w:t>
      </w:r>
      <w:r w:rsidRPr="00132E65">
        <w:rPr>
          <w:rtl/>
          <w:lang w:bidi="fa-IR"/>
        </w:rPr>
        <w:t xml:space="preserve"> هِشَامَ بْنَ‌</w:t>
      </w:r>
      <w:r>
        <w:rPr>
          <w:rFonts w:hint="cs"/>
          <w:rtl/>
          <w:lang w:bidi="fa-IR"/>
        </w:rPr>
        <w:t xml:space="preserve"> </w:t>
      </w:r>
      <w:r w:rsidRPr="00132E65">
        <w:rPr>
          <w:rtl/>
          <w:lang w:bidi="fa-IR"/>
        </w:rPr>
        <w:t xml:space="preserve">عَبْدِ الْمَلِكِ خَبَرُ الشَّيْخِ ، فَبَعَثَ إِلَيْهِ ، فَحَمَلَهُ ، فَلَمْ يُدْرَ </w:t>
      </w:r>
      <w:r>
        <w:rPr>
          <w:rStyle w:val="libFootnotenumChar"/>
          <w:rtl/>
        </w:rPr>
        <w:t>(9)</w:t>
      </w:r>
      <w:r w:rsidRPr="00132E65">
        <w:rPr>
          <w:rtl/>
          <w:lang w:bidi="fa-IR"/>
        </w:rPr>
        <w:t xml:space="preserve"> مَا صَنَعَ </w:t>
      </w:r>
      <w:r>
        <w:rPr>
          <w:rStyle w:val="libFootnotenumChar"/>
          <w:rtl/>
        </w:rPr>
        <w:t>(10)</w:t>
      </w:r>
      <w:r w:rsidRPr="00132E65">
        <w:rPr>
          <w:rtl/>
          <w:lang w:bidi="fa-IR"/>
        </w:rPr>
        <w:t xml:space="preserve"> بِهِ. </w:t>
      </w:r>
      <w:r>
        <w:rPr>
          <w:rStyle w:val="libFootnotenumChar"/>
          <w:rtl/>
        </w:rPr>
        <w:t>(11)</w:t>
      </w:r>
      <w:r w:rsidRPr="00132E65">
        <w:rPr>
          <w:rtl/>
          <w:lang w:bidi="fa-IR"/>
        </w:rPr>
        <w:t>‌</w:t>
      </w:r>
    </w:p>
    <w:p w:rsidR="000C39D1" w:rsidRPr="00132E65" w:rsidRDefault="000C39D1" w:rsidP="000C39D1">
      <w:pPr>
        <w:pStyle w:val="libNormal0"/>
        <w:tabs>
          <w:tab w:val="left" w:pos="3968"/>
        </w:tabs>
        <w:rPr>
          <w:rtl/>
          <w:lang w:bidi="fa-IR"/>
        </w:rPr>
      </w:pPr>
      <w:r w:rsidRPr="00E63D08">
        <w:rPr>
          <w:rtl/>
        </w:rPr>
        <w:t>1280</w:t>
      </w:r>
      <w:r w:rsidRPr="004325D8">
        <w:rPr>
          <w:rStyle w:val="libBold2Char"/>
          <w:rtl/>
        </w:rPr>
        <w:t xml:space="preserve"> / 6.</w:t>
      </w:r>
      <w:r w:rsidRPr="00132E65">
        <w:rPr>
          <w:rtl/>
          <w:lang w:bidi="fa-IR"/>
        </w:rPr>
        <w:t xml:space="preserve"> سَعْدُ بْنُ عَبْدِ اللهِ و</w:t>
      </w:r>
      <w:r w:rsidR="00A37D85">
        <w:rPr>
          <w:rFonts w:hint="cs"/>
          <w:rtl/>
          <w:lang w:bidi="fa-IR"/>
        </w:rPr>
        <w:t xml:space="preserve">َ </w:t>
      </w:r>
      <w:r w:rsidRPr="00132E65">
        <w:rPr>
          <w:rtl/>
          <w:lang w:bidi="fa-IR"/>
        </w:rPr>
        <w:t>الْحِمْيَرِيُّ جَمِيعاً ، عَنْ إِبْرَاهِيمَ بْنِ مَهْزِيَارَ ، عَنْ أَخِيهِ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قال ابن الأثير : « البريد كلمة فارسيّة يراد بها في الأصل البغل ، وأصلها « بُرِيدَه دُمْ » ، أي محذوفة الذَنَب ؛ لأنّ</w:t>
      </w:r>
      <w:r w:rsidR="00A37D85">
        <w:rPr>
          <w:rFonts w:hint="cs"/>
          <w:rtl/>
        </w:rPr>
        <w:t xml:space="preserve"> </w:t>
      </w:r>
      <w:r w:rsidRPr="00132E65">
        <w:rPr>
          <w:rtl/>
        </w:rPr>
        <w:t>‌بغال البريد كانت محذوفة الأذناب كالعلامة لها ، فا</w:t>
      </w:r>
      <w:r w:rsidR="00A37D85">
        <w:rPr>
          <w:rFonts w:hint="cs"/>
          <w:rtl/>
        </w:rPr>
        <w:t>ُ</w:t>
      </w:r>
      <w:r w:rsidRPr="00132E65">
        <w:rPr>
          <w:rtl/>
        </w:rPr>
        <w:t>عربت وخفّفت. ثمّ سمّي الرسول الذي يركبه بريداً ، وا</w:t>
      </w:r>
      <w:r w:rsidR="00A37D85">
        <w:rPr>
          <w:rtl/>
        </w:rPr>
        <w:t>لمسافة التي بين السكّتين بريداً</w:t>
      </w:r>
      <w:r w:rsidRPr="00132E65">
        <w:rPr>
          <w:rtl/>
        </w:rPr>
        <w:t>»</w:t>
      </w:r>
      <w:r>
        <w:rPr>
          <w:rtl/>
        </w:rPr>
        <w:t>.</w:t>
      </w:r>
      <w:r w:rsidRPr="00132E65">
        <w:rPr>
          <w:rtl/>
        </w:rPr>
        <w:t xml:space="preserve"> </w:t>
      </w:r>
      <w:r w:rsidRPr="00A37D85">
        <w:rPr>
          <w:rStyle w:val="libFootnoteBoldChar"/>
          <w:rtl/>
        </w:rPr>
        <w:t>النهاية</w:t>
      </w:r>
      <w:r w:rsidRPr="00132E65">
        <w:rPr>
          <w:rtl/>
        </w:rPr>
        <w:t xml:space="preserve"> ، ج 1 ، ص 116 ( برد )</w:t>
      </w:r>
      <w:r>
        <w:rPr>
          <w:rtl/>
        </w:rPr>
        <w:t>.</w:t>
      </w:r>
    </w:p>
    <w:tbl>
      <w:tblPr>
        <w:tblStyle w:val="TableGrid"/>
        <w:bidiVisual/>
        <w:tblW w:w="0" w:type="auto"/>
        <w:tblLook w:val="04A0" w:firstRow="1" w:lastRow="0" w:firstColumn="1" w:lastColumn="0" w:noHBand="0" w:noVBand="1"/>
      </w:tblPr>
      <w:tblGrid>
        <w:gridCol w:w="4261"/>
        <w:gridCol w:w="4262"/>
      </w:tblGrid>
      <w:tr w:rsidR="00A37D85" w:rsidTr="00A37D85">
        <w:tc>
          <w:tcPr>
            <w:tcW w:w="4261" w:type="dxa"/>
          </w:tcPr>
          <w:p w:rsidR="00A37D85" w:rsidRDefault="00A37D85" w:rsidP="000C39D1">
            <w:pPr>
              <w:pStyle w:val="libFootnote0"/>
              <w:rPr>
                <w:rtl/>
              </w:rPr>
            </w:pPr>
            <w:r>
              <w:rPr>
                <w:rtl/>
              </w:rPr>
              <w:t>(2).</w:t>
            </w:r>
            <w:r w:rsidRPr="00132E65">
              <w:rPr>
                <w:rtl/>
              </w:rPr>
              <w:t xml:space="preserve"> في « ب ، بف » : « لا تخرج »</w:t>
            </w:r>
            <w:r>
              <w:rPr>
                <w:rtl/>
              </w:rPr>
              <w:t>.</w:t>
            </w:r>
          </w:p>
        </w:tc>
        <w:tc>
          <w:tcPr>
            <w:tcW w:w="4262" w:type="dxa"/>
          </w:tcPr>
          <w:p w:rsidR="00A37D85" w:rsidRDefault="00A37D85" w:rsidP="000C39D1">
            <w:pPr>
              <w:pStyle w:val="libFootnote0"/>
              <w:rPr>
                <w:rtl/>
              </w:rPr>
            </w:pPr>
            <w:r>
              <w:rPr>
                <w:rtl/>
              </w:rPr>
              <w:t>(3).</w:t>
            </w:r>
            <w:r w:rsidRPr="00132E65">
              <w:rPr>
                <w:rtl/>
              </w:rPr>
              <w:t xml:space="preserve"> في « بح » : « الشراب والطعام »</w:t>
            </w:r>
            <w:r>
              <w:rPr>
                <w:rtl/>
              </w:rPr>
              <w:t>.</w:t>
            </w:r>
          </w:p>
        </w:tc>
      </w:tr>
      <w:tr w:rsidR="00A37D85" w:rsidTr="00A37D85">
        <w:tc>
          <w:tcPr>
            <w:tcW w:w="4261" w:type="dxa"/>
          </w:tcPr>
          <w:p w:rsidR="00A37D85" w:rsidRDefault="00A37D85" w:rsidP="000C39D1">
            <w:pPr>
              <w:pStyle w:val="libFootnote0"/>
              <w:rPr>
                <w:rtl/>
              </w:rPr>
            </w:pPr>
            <w:r>
              <w:rPr>
                <w:rtl/>
              </w:rPr>
              <w:t>(4).</w:t>
            </w:r>
            <w:r w:rsidRPr="00132E65">
              <w:rPr>
                <w:rtl/>
              </w:rPr>
              <w:t xml:space="preserve"> في « ج » : « وا</w:t>
            </w:r>
            <w:r>
              <w:rPr>
                <w:rFonts w:hint="cs"/>
                <w:rtl/>
              </w:rPr>
              <w:t>ُ</w:t>
            </w:r>
            <w:r w:rsidRPr="00132E65">
              <w:rPr>
                <w:rtl/>
              </w:rPr>
              <w:t>غلق »</w:t>
            </w:r>
            <w:r>
              <w:rPr>
                <w:rtl/>
              </w:rPr>
              <w:t>.</w:t>
            </w:r>
          </w:p>
        </w:tc>
        <w:tc>
          <w:tcPr>
            <w:tcW w:w="4262" w:type="dxa"/>
          </w:tcPr>
          <w:p w:rsidR="00A37D85" w:rsidRDefault="00A37D85" w:rsidP="00A37D85">
            <w:pPr>
              <w:pStyle w:val="libFootnote0"/>
              <w:rPr>
                <w:rtl/>
              </w:rPr>
            </w:pPr>
            <w:r>
              <w:rPr>
                <w:rtl/>
              </w:rPr>
              <w:t>(5).</w:t>
            </w:r>
            <w:r w:rsidRPr="00132E65">
              <w:rPr>
                <w:rtl/>
              </w:rPr>
              <w:t xml:space="preserve"> في «</w:t>
            </w:r>
            <w:r>
              <w:rPr>
                <w:rtl/>
              </w:rPr>
              <w:t>ب ،ج ،ض ،ف ،بر، بس</w:t>
            </w:r>
            <w:r w:rsidRPr="00132E65">
              <w:rPr>
                <w:rtl/>
              </w:rPr>
              <w:t xml:space="preserve">» </w:t>
            </w:r>
            <w:r w:rsidRPr="00A37D85">
              <w:rPr>
                <w:rtl/>
              </w:rPr>
              <w:t>والوافي</w:t>
            </w:r>
            <w:r>
              <w:rPr>
                <w:rtl/>
              </w:rPr>
              <w:t xml:space="preserve"> : «يشرف</w:t>
            </w:r>
            <w:r w:rsidRPr="00132E65">
              <w:rPr>
                <w:rtl/>
              </w:rPr>
              <w:t>»</w:t>
            </w:r>
            <w:r>
              <w:rPr>
                <w:rtl/>
              </w:rPr>
              <w:t>.</w:t>
            </w:r>
          </w:p>
        </w:tc>
      </w:tr>
    </w:tbl>
    <w:p w:rsidR="000C39D1" w:rsidRPr="00132E65" w:rsidRDefault="000C39D1" w:rsidP="000C39D1">
      <w:pPr>
        <w:pStyle w:val="libFootnote0"/>
        <w:rPr>
          <w:rtl/>
          <w:lang w:bidi="fa-IR"/>
        </w:rPr>
      </w:pPr>
      <w:r>
        <w:rPr>
          <w:rtl/>
        </w:rPr>
        <w:t>(6).</w:t>
      </w:r>
      <w:r w:rsidRPr="00132E65">
        <w:rPr>
          <w:rtl/>
        </w:rPr>
        <w:t xml:space="preserve"> هود </w:t>
      </w:r>
      <w:r w:rsidR="00A37D85">
        <w:rPr>
          <w:rtl/>
        </w:rPr>
        <w:t>(11)</w:t>
      </w:r>
      <w:r w:rsidRPr="00132E65">
        <w:rPr>
          <w:rtl/>
        </w:rPr>
        <w:t xml:space="preserve"> : 86.</w:t>
      </w:r>
    </w:p>
    <w:p w:rsidR="000C39D1" w:rsidRPr="00132E65" w:rsidRDefault="000C39D1" w:rsidP="000C39D1">
      <w:pPr>
        <w:pStyle w:val="libFootnote0"/>
        <w:rPr>
          <w:rtl/>
          <w:lang w:bidi="fa-IR"/>
        </w:rPr>
      </w:pPr>
      <w:r>
        <w:rPr>
          <w:rtl/>
        </w:rPr>
        <w:t>(7).</w:t>
      </w:r>
      <w:r w:rsidRPr="00132E65">
        <w:rPr>
          <w:rtl/>
        </w:rPr>
        <w:t xml:space="preserve"> هكذا في « ف ، بح ، بر ، بس ، بف » </w:t>
      </w:r>
      <w:r w:rsidRPr="00A37D85">
        <w:rPr>
          <w:rtl/>
        </w:rPr>
        <w:t>والوافي</w:t>
      </w:r>
      <w:r w:rsidRPr="00132E65">
        <w:rPr>
          <w:rtl/>
        </w:rPr>
        <w:t>. وفي سائر النسخ والمطبوع : « لكم ناصح »</w:t>
      </w:r>
      <w:r>
        <w:rPr>
          <w:rtl/>
        </w:rPr>
        <w:t>.</w:t>
      </w:r>
    </w:p>
    <w:tbl>
      <w:tblPr>
        <w:tblStyle w:val="TableGrid"/>
        <w:bidiVisual/>
        <w:tblW w:w="0" w:type="auto"/>
        <w:tblLook w:val="04A0" w:firstRow="1" w:lastRow="0" w:firstColumn="1" w:lastColumn="0" w:noHBand="0" w:noVBand="1"/>
      </w:tblPr>
      <w:tblGrid>
        <w:gridCol w:w="4261"/>
        <w:gridCol w:w="4262"/>
      </w:tblGrid>
      <w:tr w:rsidR="00A37D85" w:rsidTr="00A37D85">
        <w:tc>
          <w:tcPr>
            <w:tcW w:w="4261" w:type="dxa"/>
          </w:tcPr>
          <w:p w:rsidR="00A37D85" w:rsidRDefault="00A37D85" w:rsidP="000C39D1">
            <w:pPr>
              <w:pStyle w:val="libFootnote0"/>
              <w:rPr>
                <w:rtl/>
              </w:rPr>
            </w:pPr>
            <w:r>
              <w:rPr>
                <w:rtl/>
              </w:rPr>
              <w:t>(8).</w:t>
            </w:r>
            <w:r w:rsidRPr="00132E65">
              <w:rPr>
                <w:rtl/>
              </w:rPr>
              <w:t xml:space="preserve"> في « ب ، بر ، بف » </w:t>
            </w:r>
            <w:r w:rsidRPr="00A37D85">
              <w:rPr>
                <w:rtl/>
              </w:rPr>
              <w:t>والوافي</w:t>
            </w:r>
            <w:r w:rsidRPr="00132E65">
              <w:rPr>
                <w:rtl/>
              </w:rPr>
              <w:t xml:space="preserve"> : « فأخبر »</w:t>
            </w:r>
            <w:r>
              <w:rPr>
                <w:rtl/>
              </w:rPr>
              <w:t>.</w:t>
            </w:r>
          </w:p>
        </w:tc>
        <w:tc>
          <w:tcPr>
            <w:tcW w:w="4262" w:type="dxa"/>
          </w:tcPr>
          <w:p w:rsidR="00A37D85" w:rsidRDefault="00A37D85" w:rsidP="000C39D1">
            <w:pPr>
              <w:pStyle w:val="libFootnote0"/>
              <w:rPr>
                <w:rtl/>
              </w:rPr>
            </w:pPr>
            <w:r>
              <w:rPr>
                <w:rtl/>
              </w:rPr>
              <w:t>(9).</w:t>
            </w:r>
            <w:r w:rsidRPr="00132E65">
              <w:rPr>
                <w:rtl/>
              </w:rPr>
              <w:t xml:space="preserve"> في « ب ، ج » : « ولم يدر »</w:t>
            </w:r>
            <w:r>
              <w:rPr>
                <w:rtl/>
              </w:rPr>
              <w:t>.</w:t>
            </w:r>
          </w:p>
        </w:tc>
      </w:tr>
    </w:tbl>
    <w:p w:rsidR="000C39D1" w:rsidRPr="00132E65" w:rsidRDefault="000C39D1" w:rsidP="000C39D1">
      <w:pPr>
        <w:pStyle w:val="libFootnote0"/>
        <w:rPr>
          <w:rtl/>
          <w:lang w:bidi="fa-IR"/>
        </w:rPr>
      </w:pPr>
      <w:r>
        <w:rPr>
          <w:rtl/>
        </w:rPr>
        <w:t>(10).</w:t>
      </w:r>
      <w:r w:rsidRPr="00132E65">
        <w:rPr>
          <w:rtl/>
        </w:rPr>
        <w:t xml:space="preserve"> يجوز فيه المبنيّ للمفعول. وفي « ف » : « صنعوا »</w:t>
      </w:r>
      <w:r>
        <w:rPr>
          <w:rtl/>
        </w:rPr>
        <w:t>.</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771 ، ح 1396.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عَلِيِّ بْنِ مَهْزِيَارَ ، عَنِ الْحُسَيْنِ بْنِ سَعِيدٍ ، عَنْ مُحَمَّدِ بْنِ سِنَانٍ ، عَنِ ابْنِ مُسْكَانَ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قُبِضَ مُحَمَّدُ بْنُ عَلِيٍّ الْبَاقِرُ </w:t>
      </w:r>
      <w:r w:rsidRPr="00071CF9">
        <w:rPr>
          <w:rStyle w:val="libAlaemChar"/>
          <w:rtl/>
        </w:rPr>
        <w:t>عليه‌السلام</w:t>
      </w:r>
      <w:r w:rsidRPr="00132E65">
        <w:rPr>
          <w:rtl/>
          <w:lang w:bidi="fa-IR"/>
        </w:rPr>
        <w:t xml:space="preserve"> و</w:t>
      </w:r>
      <w:r w:rsidR="00A37D85">
        <w:rPr>
          <w:rFonts w:hint="cs"/>
          <w:rtl/>
          <w:lang w:bidi="fa-IR"/>
        </w:rPr>
        <w:t>َ</w:t>
      </w:r>
      <w:r w:rsidRPr="00132E65">
        <w:rPr>
          <w:rtl/>
          <w:lang w:bidi="fa-IR"/>
        </w:rPr>
        <w:t xml:space="preserve">هُوَ ابْنُ سَبْعٍ وَخَمْسِينَ سَنَةً فِي عَامِ أَرْبَعَ عَشْرَةَ </w:t>
      </w:r>
      <w:r>
        <w:rPr>
          <w:rStyle w:val="libFootnotenumChar"/>
          <w:rtl/>
        </w:rPr>
        <w:t>(1)</w:t>
      </w:r>
      <w:r w:rsidRPr="00132E65">
        <w:rPr>
          <w:rtl/>
          <w:lang w:bidi="fa-IR"/>
        </w:rPr>
        <w:t xml:space="preserve"> و</w:t>
      </w:r>
      <w:r w:rsidR="00A37D85">
        <w:rPr>
          <w:rFonts w:hint="cs"/>
          <w:rtl/>
          <w:lang w:bidi="fa-IR"/>
        </w:rPr>
        <w:t>َ</w:t>
      </w:r>
      <w:r w:rsidRPr="00132E65">
        <w:rPr>
          <w:rtl/>
          <w:lang w:bidi="fa-IR"/>
        </w:rPr>
        <w:t xml:space="preserve">مِائَةٍ ؛ عَاشَ </w:t>
      </w:r>
      <w:r>
        <w:rPr>
          <w:rStyle w:val="libFootnotenumChar"/>
          <w:rtl/>
        </w:rPr>
        <w:t>(2)</w:t>
      </w:r>
      <w:r w:rsidRPr="00132E65">
        <w:rPr>
          <w:rtl/>
          <w:lang w:bidi="fa-IR"/>
        </w:rPr>
        <w:t xml:space="preserve"> بَعْدَ عَلِيِّ بْنِ الْحُسَيْنِ </w:t>
      </w:r>
      <w:r w:rsidRPr="00071CF9">
        <w:rPr>
          <w:rStyle w:val="libAlaemChar"/>
          <w:rtl/>
        </w:rPr>
        <w:t>عليهما‌السلام</w:t>
      </w:r>
      <w:r w:rsidRPr="00132E65">
        <w:rPr>
          <w:rtl/>
          <w:lang w:bidi="fa-IR"/>
        </w:rPr>
        <w:t xml:space="preserve"> تِسْعَ عَشْرَةَ سَنَةً وشَهْرَيْنِ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Heading2Center"/>
        <w:rPr>
          <w:rtl/>
          <w:lang w:bidi="fa-IR"/>
        </w:rPr>
      </w:pPr>
      <w:bookmarkStart w:id="170" w:name="_Toc459459161"/>
      <w:bookmarkStart w:id="171" w:name="_Toc34663130"/>
      <w:r w:rsidRPr="00132E65">
        <w:rPr>
          <w:rtl/>
          <w:lang w:bidi="fa-IR"/>
        </w:rPr>
        <w:t>119</w:t>
      </w:r>
      <w:r>
        <w:rPr>
          <w:rtl/>
          <w:lang w:bidi="fa-IR"/>
        </w:rPr>
        <w:t xml:space="preserve"> - </w:t>
      </w:r>
      <w:r w:rsidRPr="00132E65">
        <w:rPr>
          <w:rtl/>
          <w:lang w:bidi="fa-IR"/>
        </w:rPr>
        <w:t xml:space="preserve">بَابُ </w:t>
      </w:r>
      <w:r>
        <w:rPr>
          <w:rStyle w:val="libFootnotenumChar"/>
          <w:rtl/>
        </w:rPr>
        <w:t>(4)</w:t>
      </w:r>
      <w:r>
        <w:rPr>
          <w:rtl/>
          <w:lang w:bidi="fa-IR"/>
        </w:rPr>
        <w:t xml:space="preserve"> </w:t>
      </w:r>
      <w:r w:rsidRPr="00132E65">
        <w:rPr>
          <w:rtl/>
          <w:lang w:bidi="fa-IR"/>
        </w:rPr>
        <w:t xml:space="preserve">مَوْلِدِ أَبِي عَبْدِ اللهِ جَعْفَرِ بْنِ مُحَمَّدٍ </w:t>
      </w:r>
      <w:r>
        <w:rPr>
          <w:rStyle w:val="libFootnotenumChar"/>
          <w:rtl/>
        </w:rPr>
        <w:t>(5)</w:t>
      </w:r>
      <w:r>
        <w:rPr>
          <w:rtl/>
          <w:lang w:bidi="fa-IR"/>
        </w:rPr>
        <w:t xml:space="preserve"> </w:t>
      </w:r>
      <w:r w:rsidRPr="00071CF9">
        <w:rPr>
          <w:rStyle w:val="libAlaemChar"/>
          <w:rtl/>
        </w:rPr>
        <w:t>عليه‌السلام</w:t>
      </w:r>
      <w:r w:rsidRPr="00132E65">
        <w:rPr>
          <w:rtl/>
          <w:lang w:bidi="fa-IR"/>
        </w:rPr>
        <w:t>‌</w:t>
      </w:r>
      <w:bookmarkEnd w:id="170"/>
      <w:bookmarkEnd w:id="171"/>
    </w:p>
    <w:p w:rsidR="000C39D1" w:rsidRPr="00132E65" w:rsidRDefault="000C39D1" w:rsidP="000C39D1">
      <w:pPr>
        <w:pStyle w:val="libNormal0"/>
        <w:tabs>
          <w:tab w:val="left" w:pos="3968"/>
        </w:tabs>
        <w:rPr>
          <w:rtl/>
          <w:lang w:bidi="fa-IR"/>
        </w:rPr>
      </w:pPr>
      <w:r w:rsidRPr="00132E65">
        <w:rPr>
          <w:rtl/>
          <w:lang w:bidi="fa-IR"/>
        </w:rPr>
        <w:t xml:space="preserve">وُلِدَ أَبُو عَبْدِ اللهِ </w:t>
      </w:r>
      <w:r w:rsidRPr="00071CF9">
        <w:rPr>
          <w:rStyle w:val="libAlaemChar"/>
          <w:rtl/>
        </w:rPr>
        <w:t>عليه‌السلام</w:t>
      </w:r>
      <w:r w:rsidRPr="00132E65">
        <w:rPr>
          <w:rtl/>
          <w:lang w:bidi="fa-IR"/>
        </w:rPr>
        <w:t xml:space="preserve"> سَنَةَ ثَلَاثٍ و</w:t>
      </w:r>
      <w:r w:rsidR="00A37D85">
        <w:rPr>
          <w:rFonts w:hint="cs"/>
          <w:rtl/>
          <w:lang w:bidi="fa-IR"/>
        </w:rPr>
        <w:t>َ</w:t>
      </w:r>
      <w:r w:rsidRPr="00132E65">
        <w:rPr>
          <w:rtl/>
          <w:lang w:bidi="fa-IR"/>
        </w:rPr>
        <w:t>ثَمَانِينَ ؛ و</w:t>
      </w:r>
      <w:r w:rsidR="00A37D85">
        <w:rPr>
          <w:rFonts w:hint="cs"/>
          <w:rtl/>
          <w:lang w:bidi="fa-IR"/>
        </w:rPr>
        <w:t>َ</w:t>
      </w:r>
      <w:r w:rsidRPr="00132E65">
        <w:rPr>
          <w:rtl/>
          <w:lang w:bidi="fa-IR"/>
        </w:rPr>
        <w:t xml:space="preserve">مَضى </w:t>
      </w:r>
      <w:r>
        <w:rPr>
          <w:rStyle w:val="libFootnotenumChar"/>
          <w:rtl/>
        </w:rPr>
        <w:t>(6)</w:t>
      </w:r>
      <w:r w:rsidRPr="00132E65">
        <w:rPr>
          <w:rtl/>
          <w:lang w:bidi="fa-IR"/>
        </w:rPr>
        <w:t xml:space="preserve"> فِي شَوَّالٍ مِنْ سَنَةِ ثَمَانٍ و</w:t>
      </w:r>
      <w:r w:rsidR="00A37D85">
        <w:rPr>
          <w:rFonts w:hint="cs"/>
          <w:rtl/>
          <w:lang w:bidi="fa-IR"/>
        </w:rPr>
        <w:t>َ</w:t>
      </w:r>
      <w:r w:rsidRPr="00132E65">
        <w:rPr>
          <w:rtl/>
          <w:lang w:bidi="fa-IR"/>
        </w:rPr>
        <w:t>أَرْبَعِينَ وَمِائَةٍ ، و</w:t>
      </w:r>
      <w:r w:rsidR="00A37D85">
        <w:rPr>
          <w:rFonts w:hint="cs"/>
          <w:rtl/>
          <w:lang w:bidi="fa-IR"/>
        </w:rPr>
        <w:t>َ</w:t>
      </w:r>
      <w:r w:rsidRPr="00132E65">
        <w:rPr>
          <w:rtl/>
          <w:lang w:bidi="fa-IR"/>
        </w:rPr>
        <w:t>لَهُ خَمْسٌ و</w:t>
      </w:r>
      <w:r w:rsidR="00A37D85">
        <w:rPr>
          <w:rFonts w:hint="cs"/>
          <w:rtl/>
          <w:lang w:bidi="fa-IR"/>
        </w:rPr>
        <w:t>َ</w:t>
      </w:r>
      <w:r w:rsidRPr="00132E65">
        <w:rPr>
          <w:rtl/>
          <w:lang w:bidi="fa-IR"/>
        </w:rPr>
        <w:t>سِتُّونَ سَنَةً ؛ و</w:t>
      </w:r>
      <w:r w:rsidR="00A37D85">
        <w:rPr>
          <w:rFonts w:hint="cs"/>
          <w:rtl/>
          <w:lang w:bidi="fa-IR"/>
        </w:rPr>
        <w:t>َ</w:t>
      </w:r>
      <w:r w:rsidRPr="00132E65">
        <w:rPr>
          <w:rtl/>
          <w:lang w:bidi="fa-IR"/>
        </w:rPr>
        <w:t>دُفِنَ بِالْبَقِيعِ فِي الْقَبْرِ الَّذِي دُفِنَ فِيهِ أَبُوهُ و</w:t>
      </w:r>
      <w:r w:rsidR="00A37D85">
        <w:rPr>
          <w:rFonts w:hint="cs"/>
          <w:rtl/>
          <w:lang w:bidi="fa-IR"/>
        </w:rPr>
        <w:t>َ</w:t>
      </w:r>
      <w:r w:rsidRPr="00132E65">
        <w:rPr>
          <w:rtl/>
          <w:lang w:bidi="fa-IR"/>
        </w:rPr>
        <w:t xml:space="preserve">جَدُّهُ وَالْحَسَنُ بْنُ عَلِيٍّ </w:t>
      </w:r>
      <w:r w:rsidRPr="00071CF9">
        <w:rPr>
          <w:rStyle w:val="libAlaemChar"/>
          <w:rtl/>
        </w:rPr>
        <w:t>عليهم‌السلام</w:t>
      </w:r>
      <w:r w:rsidRPr="00132E65">
        <w:rPr>
          <w:rtl/>
          <w:lang w:bidi="fa-IR"/>
        </w:rPr>
        <w:t xml:space="preserve"> </w:t>
      </w:r>
      <w:r>
        <w:rPr>
          <w:rStyle w:val="libFootnotenumChar"/>
          <w:rtl/>
        </w:rPr>
        <w:t>(7)</w:t>
      </w:r>
      <w:r w:rsidRPr="00132E65">
        <w:rPr>
          <w:rtl/>
          <w:lang w:bidi="fa-IR"/>
        </w:rPr>
        <w:t xml:space="preserve"> ؛ و</w:t>
      </w:r>
      <w:r w:rsidR="00A37D85">
        <w:rPr>
          <w:rFonts w:hint="cs"/>
          <w:rtl/>
          <w:lang w:bidi="fa-IR"/>
        </w:rPr>
        <w:t>َ</w:t>
      </w:r>
      <w:r w:rsidRPr="00132E65">
        <w:rPr>
          <w:rtl/>
          <w:lang w:bidi="fa-IR"/>
        </w:rPr>
        <w:t>أُمُّهُ أُمُّ فَرْوَةَ بِنْتُ الْقَاسِمِ بْنِ مُحَمَّدِ بْنِ أَبِي بَكْرٍ ، و</w:t>
      </w:r>
      <w:r w:rsidR="00A37D85">
        <w:rPr>
          <w:rFonts w:hint="cs"/>
          <w:rtl/>
          <w:lang w:bidi="fa-IR"/>
        </w:rPr>
        <w:t>َ</w:t>
      </w:r>
      <w:r w:rsidRPr="00132E65">
        <w:rPr>
          <w:rtl/>
          <w:lang w:bidi="fa-IR"/>
        </w:rPr>
        <w:t xml:space="preserve">أُمُّهَا أَسْمَاءُ بِنْتُ عَبْدِ الرَّحْمنِ بْنِ أَبِي بَكْرٍ </w:t>
      </w:r>
      <w:r>
        <w:rPr>
          <w:rStyle w:val="libFootnotenumChar"/>
          <w:rtl/>
        </w:rPr>
        <w:t>(8)</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E63D08">
        <w:rPr>
          <w:rtl/>
        </w:rPr>
        <w:t>1281</w:t>
      </w:r>
      <w:r w:rsidRPr="004325D8">
        <w:rPr>
          <w:rStyle w:val="libBold2Char"/>
          <w:rtl/>
        </w:rPr>
        <w:t xml:space="preserve"> / 1.</w:t>
      </w:r>
      <w:r w:rsidRPr="00132E65">
        <w:rPr>
          <w:rtl/>
          <w:lang w:bidi="fa-IR"/>
        </w:rPr>
        <w:t xml:space="preserve"> مُحَمَّدُ بْنُ يَحْيى ، عَنْ أَحْمَدَ بْنِ مُحَمَّدٍ </w:t>
      </w:r>
      <w:r>
        <w:rPr>
          <w:rStyle w:val="libFootnotenumChar"/>
          <w:rtl/>
        </w:rPr>
        <w:t>(10)</w:t>
      </w:r>
      <w:r w:rsidRPr="00132E65">
        <w:rPr>
          <w:rtl/>
          <w:lang w:bidi="fa-IR"/>
        </w:rPr>
        <w:t xml:space="preserve"> ، عَنْ عَبْدِ اللهِ بْنِ أَحْمَدَ ، عَنْ إِبْرَاهِيمَ بْنِ الْحَسَنِ ، قَالَ : حَدَّثَنِي و</w:t>
      </w:r>
      <w:r w:rsidR="00A37D85">
        <w:rPr>
          <w:rFonts w:hint="cs"/>
          <w:rtl/>
          <w:lang w:bidi="fa-IR"/>
        </w:rPr>
        <w:t>ُ</w:t>
      </w:r>
      <w:r w:rsidRPr="00132E65">
        <w:rPr>
          <w:rtl/>
          <w:lang w:bidi="fa-IR"/>
        </w:rPr>
        <w:t xml:space="preserve">هَيْبُ </w:t>
      </w:r>
      <w:r>
        <w:rPr>
          <w:rStyle w:val="libFootnotenumChar"/>
          <w:rtl/>
        </w:rPr>
        <w:t>(11)</w:t>
      </w:r>
      <w:r w:rsidRPr="00132E65">
        <w:rPr>
          <w:rtl/>
          <w:lang w:bidi="fa-IR"/>
        </w:rPr>
        <w:t xml:space="preserve"> بْنُ حَفْصٍ ، عَنْ إِسْحَاقَ بْنِ جَرِيرٍ ، قَالَ :</w:t>
      </w:r>
    </w:p>
    <w:p w:rsidR="000C39D1"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A37D85" w:rsidTr="00A37D85">
        <w:tc>
          <w:tcPr>
            <w:tcW w:w="4261" w:type="dxa"/>
          </w:tcPr>
          <w:p w:rsidR="00A37D85" w:rsidRDefault="00A37D85" w:rsidP="000C39D1">
            <w:pPr>
              <w:pStyle w:val="libFootnote0"/>
              <w:rPr>
                <w:rtl/>
              </w:rPr>
            </w:pPr>
            <w:r>
              <w:rPr>
                <w:rtl/>
              </w:rPr>
              <w:t>(1).</w:t>
            </w:r>
            <w:r w:rsidRPr="00132E65">
              <w:rPr>
                <w:rtl/>
              </w:rPr>
              <w:t xml:space="preserve"> في البحار : « أربعة عشر »</w:t>
            </w:r>
            <w:r>
              <w:rPr>
                <w:rtl/>
              </w:rPr>
              <w:t>.</w:t>
            </w:r>
          </w:p>
        </w:tc>
        <w:tc>
          <w:tcPr>
            <w:tcW w:w="4262" w:type="dxa"/>
          </w:tcPr>
          <w:p w:rsidR="00A37D85" w:rsidRDefault="00A37D85" w:rsidP="000C39D1">
            <w:pPr>
              <w:pStyle w:val="libFootnote0"/>
              <w:rPr>
                <w:rtl/>
              </w:rPr>
            </w:pPr>
            <w:r>
              <w:rPr>
                <w:rtl/>
              </w:rPr>
              <w:t>(2).</w:t>
            </w:r>
            <w:r w:rsidRPr="00132E65">
              <w:rPr>
                <w:rtl/>
              </w:rPr>
              <w:t xml:space="preserve"> في « ب ، ف ، بح » : « وعاش »</w:t>
            </w:r>
            <w:r>
              <w:rPr>
                <w:rtl/>
              </w:rPr>
              <w:t>.</w:t>
            </w:r>
          </w:p>
        </w:tc>
      </w:tr>
    </w:tbl>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3 ، ص 788 ، ح 1400 ؛ </w:t>
      </w:r>
      <w:r w:rsidRPr="00A37D85">
        <w:rPr>
          <w:rStyle w:val="libFootnoteBoldChar"/>
          <w:rtl/>
        </w:rPr>
        <w:t>البحار</w:t>
      </w:r>
      <w:r w:rsidRPr="00132E65">
        <w:rPr>
          <w:rtl/>
        </w:rPr>
        <w:t xml:space="preserve"> ، ج 46 ، ص 21 ، ح 18.</w:t>
      </w:r>
    </w:p>
    <w:p w:rsidR="000C39D1" w:rsidRPr="00132E65" w:rsidRDefault="000C39D1" w:rsidP="000C39D1">
      <w:pPr>
        <w:pStyle w:val="libFootnote0"/>
        <w:rPr>
          <w:rtl/>
          <w:lang w:bidi="fa-IR"/>
        </w:rPr>
      </w:pPr>
      <w:r>
        <w:rPr>
          <w:rtl/>
        </w:rPr>
        <w:t>(4).</w:t>
      </w:r>
      <w:r w:rsidRPr="00132E65">
        <w:rPr>
          <w:rtl/>
        </w:rPr>
        <w:t xml:space="preserve"> في « ب ، ج ، ض ، ف ، بر ، بس ، بف » </w:t>
      </w:r>
      <w:r>
        <w:rPr>
          <w:rtl/>
        </w:rPr>
        <w:t xml:space="preserve">: - </w:t>
      </w:r>
      <w:r w:rsidRPr="00132E65">
        <w:rPr>
          <w:rtl/>
        </w:rPr>
        <w:t>« باب »</w:t>
      </w:r>
      <w:r>
        <w:rPr>
          <w:rtl/>
        </w:rPr>
        <w:t>.</w:t>
      </w:r>
    </w:p>
    <w:tbl>
      <w:tblPr>
        <w:tblStyle w:val="TableGrid"/>
        <w:bidiVisual/>
        <w:tblW w:w="0" w:type="auto"/>
        <w:tblLook w:val="04A0" w:firstRow="1" w:lastRow="0" w:firstColumn="1" w:lastColumn="0" w:noHBand="0" w:noVBand="1"/>
      </w:tblPr>
      <w:tblGrid>
        <w:gridCol w:w="4261"/>
        <w:gridCol w:w="4262"/>
      </w:tblGrid>
      <w:tr w:rsidR="00A37D85" w:rsidTr="00A37D85">
        <w:tc>
          <w:tcPr>
            <w:tcW w:w="4261" w:type="dxa"/>
          </w:tcPr>
          <w:p w:rsidR="00A37D85" w:rsidRDefault="00A37D85" w:rsidP="000C39D1">
            <w:pPr>
              <w:pStyle w:val="libFootnote0"/>
              <w:rPr>
                <w:rtl/>
              </w:rPr>
            </w:pPr>
            <w:r>
              <w:rPr>
                <w:rtl/>
              </w:rPr>
              <w:t>(5).</w:t>
            </w:r>
            <w:r w:rsidRPr="00132E65">
              <w:rPr>
                <w:rtl/>
              </w:rPr>
              <w:t xml:space="preserve"> في « ف » :</w:t>
            </w:r>
            <w:r>
              <w:rPr>
                <w:rtl/>
              </w:rPr>
              <w:t xml:space="preserve"> + </w:t>
            </w:r>
            <w:r w:rsidRPr="00132E65">
              <w:rPr>
                <w:rtl/>
              </w:rPr>
              <w:t>« الصادق »</w:t>
            </w:r>
            <w:r>
              <w:rPr>
                <w:rtl/>
              </w:rPr>
              <w:t>.</w:t>
            </w:r>
          </w:p>
        </w:tc>
        <w:tc>
          <w:tcPr>
            <w:tcW w:w="4262" w:type="dxa"/>
          </w:tcPr>
          <w:p w:rsidR="00A37D85" w:rsidRDefault="00A37D85" w:rsidP="000C39D1">
            <w:pPr>
              <w:pStyle w:val="libFootnote0"/>
              <w:rPr>
                <w:rtl/>
              </w:rPr>
            </w:pPr>
            <w:r>
              <w:rPr>
                <w:rtl/>
              </w:rPr>
              <w:t>(6).</w:t>
            </w:r>
            <w:r w:rsidRPr="00132E65">
              <w:rPr>
                <w:rtl/>
              </w:rPr>
              <w:t xml:space="preserve"> في « ف » : « وقبض »</w:t>
            </w:r>
            <w:r>
              <w:rPr>
                <w:rtl/>
              </w:rPr>
              <w:t>.</w:t>
            </w:r>
          </w:p>
        </w:tc>
      </w:tr>
    </w:tbl>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في القبر</w:t>
      </w:r>
      <w:r>
        <w:rPr>
          <w:rtl/>
        </w:rPr>
        <w:t xml:space="preserve"> - </w:t>
      </w:r>
      <w:r w:rsidRPr="00132E65">
        <w:rPr>
          <w:rtl/>
        </w:rPr>
        <w:t>إلى</w:t>
      </w:r>
      <w:r>
        <w:rPr>
          <w:rtl/>
        </w:rPr>
        <w:t xml:space="preserve"> - </w:t>
      </w:r>
      <w:r w:rsidRPr="00132E65">
        <w:rPr>
          <w:rtl/>
        </w:rPr>
        <w:t xml:space="preserve">والحسن بن عليّ </w:t>
      </w:r>
      <w:r w:rsidRPr="00315180">
        <w:rPr>
          <w:rStyle w:val="libFootnoteAlaemChar"/>
          <w:rtl/>
        </w:rPr>
        <w:t>عليهم‌السلام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261"/>
        <w:gridCol w:w="4262"/>
      </w:tblGrid>
      <w:tr w:rsidR="00315180" w:rsidTr="00315180">
        <w:tc>
          <w:tcPr>
            <w:tcW w:w="4261" w:type="dxa"/>
          </w:tcPr>
          <w:p w:rsidR="00315180" w:rsidRDefault="00315180" w:rsidP="000C39D1">
            <w:pPr>
              <w:pStyle w:val="libFootnote0"/>
              <w:rPr>
                <w:rtl/>
                <w:lang w:bidi="fa-IR"/>
              </w:rPr>
            </w:pPr>
            <w:r>
              <w:rPr>
                <w:rtl/>
              </w:rPr>
              <w:t>(8).</w:t>
            </w:r>
            <w:r w:rsidRPr="00132E65">
              <w:rPr>
                <w:rtl/>
              </w:rPr>
              <w:t xml:space="preserve"> في « ج » </w:t>
            </w:r>
            <w:r>
              <w:rPr>
                <w:rtl/>
              </w:rPr>
              <w:t xml:space="preserve">: - </w:t>
            </w:r>
            <w:r w:rsidRPr="00132E65">
              <w:rPr>
                <w:rtl/>
              </w:rPr>
              <w:t>« وا</w:t>
            </w:r>
            <w:r>
              <w:rPr>
                <w:rFonts w:hint="cs"/>
                <w:rtl/>
              </w:rPr>
              <w:t>ُ</w:t>
            </w:r>
            <w:r w:rsidRPr="00132E65">
              <w:rPr>
                <w:rtl/>
              </w:rPr>
              <w:t>مّها</w:t>
            </w:r>
            <w:r>
              <w:rPr>
                <w:rtl/>
              </w:rPr>
              <w:t xml:space="preserve"> - </w:t>
            </w:r>
            <w:r w:rsidRPr="00132E65">
              <w:rPr>
                <w:rtl/>
              </w:rPr>
              <w:t>إلى</w:t>
            </w:r>
            <w:r>
              <w:rPr>
                <w:rtl/>
              </w:rPr>
              <w:t xml:space="preserve"> - </w:t>
            </w:r>
            <w:r w:rsidRPr="00132E65">
              <w:rPr>
                <w:rtl/>
              </w:rPr>
              <w:t>أبي بكر »</w:t>
            </w:r>
            <w:r>
              <w:rPr>
                <w:rtl/>
              </w:rPr>
              <w:t>.</w:t>
            </w:r>
          </w:p>
        </w:tc>
        <w:tc>
          <w:tcPr>
            <w:tcW w:w="4262" w:type="dxa"/>
          </w:tcPr>
          <w:p w:rsidR="00315180" w:rsidRDefault="00315180" w:rsidP="000C39D1">
            <w:pPr>
              <w:pStyle w:val="libFootnote0"/>
              <w:rPr>
                <w:rtl/>
                <w:lang w:bidi="fa-IR"/>
              </w:rPr>
            </w:pPr>
            <w:r>
              <w:rPr>
                <w:rtl/>
              </w:rPr>
              <w:t>(9).</w:t>
            </w:r>
            <w:r w:rsidRPr="009D1ACE">
              <w:rPr>
                <w:rStyle w:val="libFootnoteBoldChar"/>
                <w:rtl/>
              </w:rPr>
              <w:t>الوافي</w:t>
            </w:r>
            <w:r>
              <w:rPr>
                <w:rtl/>
              </w:rPr>
              <w:t>،</w:t>
            </w:r>
            <w:r w:rsidRPr="00132E65">
              <w:rPr>
                <w:rtl/>
              </w:rPr>
              <w:t>ج 3، ص 796 ؛</w:t>
            </w:r>
            <w:r w:rsidRPr="00315180">
              <w:rPr>
                <w:rStyle w:val="libFootnoteBoldChar"/>
                <w:rtl/>
              </w:rPr>
              <w:t>البحار</w:t>
            </w:r>
            <w:r>
              <w:rPr>
                <w:rtl/>
              </w:rPr>
              <w:t>،ج 47،</w:t>
            </w:r>
            <w:r w:rsidRPr="00132E65">
              <w:rPr>
                <w:rtl/>
              </w:rPr>
              <w:t>ص 1</w:t>
            </w:r>
            <w:r>
              <w:rPr>
                <w:rtl/>
              </w:rPr>
              <w:t xml:space="preserve"> ،</w:t>
            </w:r>
            <w:r w:rsidRPr="00132E65">
              <w:rPr>
                <w:rtl/>
              </w:rPr>
              <w:t>ح 1.</w:t>
            </w:r>
          </w:p>
        </w:tc>
      </w:tr>
    </w:tbl>
    <w:p w:rsidR="000C39D1" w:rsidRPr="00132E65" w:rsidRDefault="000C39D1" w:rsidP="000C39D1">
      <w:pPr>
        <w:pStyle w:val="libFootnote0"/>
        <w:rPr>
          <w:rtl/>
          <w:lang w:bidi="fa-IR"/>
        </w:rPr>
      </w:pPr>
      <w:r>
        <w:rPr>
          <w:rtl/>
        </w:rPr>
        <w:t>(10).</w:t>
      </w:r>
      <w:r w:rsidRPr="00132E65">
        <w:rPr>
          <w:rtl/>
        </w:rPr>
        <w:t xml:space="preserve"> لم يثبت رواية أحمد بن محمّد</w:t>
      </w:r>
      <w:r>
        <w:rPr>
          <w:rtl/>
        </w:rPr>
        <w:t xml:space="preserve"> - </w:t>
      </w:r>
      <w:r w:rsidRPr="00132E65">
        <w:rPr>
          <w:rtl/>
        </w:rPr>
        <w:t>وهو ابن عيسى بقرينة رواية محمّد بن يحيى عنه</w:t>
      </w:r>
      <w:r>
        <w:rPr>
          <w:rtl/>
        </w:rPr>
        <w:t xml:space="preserve"> - </w:t>
      </w:r>
      <w:r w:rsidRPr="00132E65">
        <w:rPr>
          <w:rtl/>
        </w:rPr>
        <w:t>عن عبد الله بن أحمد ، بل</w:t>
      </w:r>
      <w:r w:rsidR="00315180">
        <w:rPr>
          <w:rFonts w:hint="cs"/>
          <w:rtl/>
        </w:rPr>
        <w:t xml:space="preserve"> </w:t>
      </w:r>
      <w:r w:rsidRPr="00132E65">
        <w:rPr>
          <w:rtl/>
        </w:rPr>
        <w:t xml:space="preserve">‌ورد في </w:t>
      </w:r>
      <w:r w:rsidRPr="000577A7">
        <w:rPr>
          <w:rStyle w:val="libFootnoteBoldChar"/>
          <w:rtl/>
        </w:rPr>
        <w:t>الكافي</w:t>
      </w:r>
      <w:r w:rsidRPr="00132E65">
        <w:rPr>
          <w:rtl/>
        </w:rPr>
        <w:t xml:space="preserve"> ، ح 1275 </w:t>
      </w:r>
      <w:r>
        <w:rPr>
          <w:rtl/>
        </w:rPr>
        <w:t>و 1</w:t>
      </w:r>
      <w:r w:rsidRPr="00132E65">
        <w:rPr>
          <w:rtl/>
        </w:rPr>
        <w:t>290 ، رواية محمّد بن يحيى عن محمّد بن أحمد ، عن عبد الله بن أحمد.</w:t>
      </w:r>
    </w:p>
    <w:p w:rsidR="000C39D1" w:rsidRPr="00661890" w:rsidRDefault="000C39D1" w:rsidP="000C39D1">
      <w:pPr>
        <w:pStyle w:val="libFootnote0"/>
        <w:rPr>
          <w:rtl/>
        </w:rPr>
      </w:pPr>
      <w:r w:rsidRPr="00661890">
        <w:rPr>
          <w:rtl/>
        </w:rPr>
        <w:t xml:space="preserve">والظاهر أنّ عبد الله هذا ، هو عبد الله بن أحمد الرازي الذي استثنى ابن الوليد رواياته من رجال </w:t>
      </w:r>
      <w:r w:rsidRPr="00315180">
        <w:rPr>
          <w:rStyle w:val="libFootnoteBoldChar"/>
          <w:rtl/>
        </w:rPr>
        <w:t>نوادر الحكمة</w:t>
      </w:r>
      <w:r w:rsidRPr="00661890">
        <w:rPr>
          <w:rtl/>
        </w:rPr>
        <w:t xml:space="preserve">. راجع : </w:t>
      </w:r>
      <w:r w:rsidRPr="00315180">
        <w:rPr>
          <w:rStyle w:val="libFootnoteBoldChar"/>
          <w:rtl/>
        </w:rPr>
        <w:t>التهذيب</w:t>
      </w:r>
      <w:r w:rsidRPr="00E55206">
        <w:rPr>
          <w:rtl/>
        </w:rPr>
        <w:t xml:space="preserve"> ،</w:t>
      </w:r>
      <w:r w:rsidRPr="00E55206">
        <w:rPr>
          <w:rFonts w:hint="cs"/>
          <w:rtl/>
        </w:rPr>
        <w:t xml:space="preserve"> </w:t>
      </w:r>
      <w:r w:rsidRPr="00661890">
        <w:rPr>
          <w:rtl/>
        </w:rPr>
        <w:t xml:space="preserve">ج 6 ، ص 291 ، ح 806 ؛ </w:t>
      </w:r>
      <w:r w:rsidRPr="00315180">
        <w:rPr>
          <w:rStyle w:val="libFootnoteBoldChar"/>
          <w:rtl/>
        </w:rPr>
        <w:t>رجال النجاشي</w:t>
      </w:r>
      <w:r>
        <w:rPr>
          <w:rFonts w:hint="cs"/>
          <w:rtl/>
        </w:rPr>
        <w:t xml:space="preserve"> </w:t>
      </w:r>
      <w:r w:rsidRPr="00661890">
        <w:rPr>
          <w:rtl/>
        </w:rPr>
        <w:t>، ص 348 ، الرقم 939 ؛</w:t>
      </w:r>
      <w:r>
        <w:rPr>
          <w:rFonts w:hint="cs"/>
          <w:rtl/>
        </w:rPr>
        <w:t xml:space="preserve"> </w:t>
      </w:r>
      <w:r w:rsidRPr="00315180">
        <w:rPr>
          <w:rStyle w:val="libFootnoteBoldChar"/>
          <w:rtl/>
        </w:rPr>
        <w:t>الفهرست للطوسي</w:t>
      </w:r>
      <w:r w:rsidRPr="00661890">
        <w:rPr>
          <w:rtl/>
        </w:rPr>
        <w:t xml:space="preserve"> ، ص 410 ، الرقم 623. فعليه لا يبعد وقوع التحريف في ما نحن فيه ، وأن يكون الصواب « محمّد بن أحمد ».</w:t>
      </w:r>
    </w:p>
    <w:p w:rsidR="000C39D1" w:rsidRPr="00132E65" w:rsidRDefault="000C39D1" w:rsidP="000C39D1">
      <w:pPr>
        <w:pStyle w:val="libFootnote0"/>
        <w:rPr>
          <w:rtl/>
          <w:lang w:bidi="ar-IQ"/>
        </w:rPr>
      </w:pPr>
      <w:r>
        <w:rPr>
          <w:rtl/>
        </w:rPr>
        <w:t>(11).</w:t>
      </w:r>
      <w:r w:rsidRPr="00132E65">
        <w:rPr>
          <w:rtl/>
        </w:rPr>
        <w:t xml:space="preserve"> هكذا في « بح »</w:t>
      </w:r>
      <w:r>
        <w:rPr>
          <w:rtl/>
        </w:rPr>
        <w:t>.</w:t>
      </w:r>
      <w:r w:rsidRPr="00132E65">
        <w:rPr>
          <w:rtl/>
        </w:rPr>
        <w:t xml:space="preserve"> وفي سائر النسخ والمطبوع : « وهب »</w:t>
      </w:r>
      <w:r>
        <w:rPr>
          <w:rtl/>
        </w:rPr>
        <w:t>.</w:t>
      </w:r>
      <w:r w:rsidRPr="00132E65">
        <w:rPr>
          <w:rtl/>
        </w:rPr>
        <w:t xml:space="preserve"> والصواب ما أثبتناه. راجع : </w:t>
      </w:r>
      <w:r w:rsidRPr="00315180">
        <w:rPr>
          <w:rStyle w:val="libFootnoteBoldChar"/>
          <w:rtl/>
        </w:rPr>
        <w:t>رجال النجاشي</w:t>
      </w:r>
      <w:r w:rsidR="00315180">
        <w:rPr>
          <w:rtl/>
        </w:rPr>
        <w:t xml:space="preserve"> ،</w:t>
      </w:r>
      <w:r w:rsidR="00315180">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كَانَ سَعِيدُ بْنُ الْمُسَيَّبِ و</w:t>
      </w:r>
      <w:r w:rsidR="00315180">
        <w:rPr>
          <w:rFonts w:hint="cs"/>
          <w:rtl/>
          <w:lang w:bidi="fa-IR"/>
        </w:rPr>
        <w:t>َ</w:t>
      </w:r>
      <w:r w:rsidRPr="00132E65">
        <w:rPr>
          <w:rtl/>
          <w:lang w:bidi="fa-IR"/>
        </w:rPr>
        <w:t>الْقَاسِمُ بْنُ مُحَمَّدِ بْنِ أَبِي بَكْرٍ و</w:t>
      </w:r>
      <w:r w:rsidR="00315180">
        <w:rPr>
          <w:rFonts w:hint="cs"/>
          <w:rtl/>
          <w:lang w:bidi="fa-IR"/>
        </w:rPr>
        <w:t>َ</w:t>
      </w:r>
      <w:r w:rsidRPr="00132E65">
        <w:rPr>
          <w:rtl/>
          <w:lang w:bidi="fa-IR"/>
        </w:rPr>
        <w:t xml:space="preserve">أَبُو خَالِدٍ الْكَابُلِيُّ مِنْ ثِقَاتِ عَلِيِّ بْنِ الْحُسَيْنِ </w:t>
      </w:r>
      <w:r w:rsidRPr="00071CF9">
        <w:rPr>
          <w:rStyle w:val="libAlaemChar"/>
          <w:rtl/>
        </w:rPr>
        <w:t>عليهما‌السلام</w:t>
      </w:r>
      <w:r w:rsidRPr="00132E65">
        <w:rPr>
          <w:rtl/>
          <w:lang w:bidi="fa-IR"/>
        </w:rPr>
        <w:t xml:space="preserve"> »</w:t>
      </w:r>
      <w:r>
        <w:rPr>
          <w:rtl/>
          <w:lang w:bidi="fa-IR"/>
        </w:rPr>
        <w:t>.</w:t>
      </w:r>
      <w:r w:rsidRPr="00132E65">
        <w:rPr>
          <w:rtl/>
          <w:lang w:bidi="fa-IR"/>
        </w:rPr>
        <w:t xml:space="preserve"> ثُمَّ </w:t>
      </w:r>
      <w:r>
        <w:rPr>
          <w:rStyle w:val="libFootnotenumChar"/>
          <w:rtl/>
        </w:rPr>
        <w:t>(1)</w:t>
      </w:r>
      <w:r w:rsidRPr="00132E65">
        <w:rPr>
          <w:rtl/>
          <w:lang w:bidi="fa-IR"/>
        </w:rPr>
        <w:t xml:space="preserve"> قَالَ : « وَكَانَتْ أُمِّي مِمَّنْ آمَنَتْ </w:t>
      </w:r>
      <w:r>
        <w:rPr>
          <w:rStyle w:val="libFootnotenumChar"/>
          <w:rtl/>
        </w:rPr>
        <w:t>(2)</w:t>
      </w:r>
      <w:r w:rsidRPr="00132E65">
        <w:rPr>
          <w:rtl/>
          <w:lang w:bidi="fa-IR"/>
        </w:rPr>
        <w:t xml:space="preserve"> وَاتَّقَتْ و</w:t>
      </w:r>
      <w:r w:rsidR="00315180">
        <w:rPr>
          <w:rFonts w:hint="cs"/>
          <w:rtl/>
          <w:lang w:bidi="fa-IR"/>
        </w:rPr>
        <w:t>َ</w:t>
      </w:r>
      <w:r w:rsidRPr="00132E65">
        <w:rPr>
          <w:rtl/>
          <w:lang w:bidi="fa-IR"/>
        </w:rPr>
        <w:t>أَحْسَنَتْ</w:t>
      </w:r>
      <w:r>
        <w:rPr>
          <w:rFonts w:hint="cs"/>
          <w:rtl/>
          <w:lang w:bidi="fa-IR"/>
        </w:rPr>
        <w:t xml:space="preserve"> </w:t>
      </w:r>
      <w:r w:rsidRPr="00071CF9">
        <w:rPr>
          <w:rStyle w:val="libAlaemChar"/>
          <w:rtl/>
        </w:rPr>
        <w:t>(</w:t>
      </w:r>
      <w:r w:rsidRPr="00071CF9">
        <w:rPr>
          <w:rStyle w:val="libAieChar"/>
          <w:rtl/>
        </w:rPr>
        <w:t xml:space="preserve"> وَاللهُ يُحِبُّ الْمُحْسِنِينَ </w:t>
      </w:r>
      <w:r w:rsidRPr="00071CF9">
        <w:rPr>
          <w:rStyle w:val="libAlaemChar"/>
          <w:rtl/>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132E65">
        <w:rPr>
          <w:rtl/>
          <w:lang w:bidi="fa-IR"/>
        </w:rPr>
        <w:t xml:space="preserve">قَالَ : « وَقَالَتْ أُمِّي : قَالَ أَبِي : يَا أُمَّ فَرْوَةَ ، إِنِّي لَأَدْعُو اللهَ لِمُذْنِبِي شِيعَتِنَا فِي الْيَوْمِ وَاللَّيْلَةِ أَلْفَ مَرَّةٍ ؛ لِأَنَّا نَحْنُ فِيمَا يَنُوبُنَا </w:t>
      </w:r>
      <w:r>
        <w:rPr>
          <w:rStyle w:val="libFootnotenumChar"/>
          <w:rtl/>
        </w:rPr>
        <w:t>(4)</w:t>
      </w:r>
      <w:r w:rsidRPr="00132E65">
        <w:rPr>
          <w:rtl/>
          <w:lang w:bidi="fa-IR"/>
        </w:rPr>
        <w:t xml:space="preserve"> مِنَ الرَّزَايَا </w:t>
      </w:r>
      <w:r>
        <w:rPr>
          <w:rStyle w:val="libFootnotenumChar"/>
          <w:rtl/>
        </w:rPr>
        <w:t>(5)</w:t>
      </w:r>
      <w:r w:rsidRPr="00132E65">
        <w:rPr>
          <w:rtl/>
          <w:lang w:bidi="fa-IR"/>
        </w:rPr>
        <w:t xml:space="preserve"> نَصْبِرُ عَلى مَا نَعْلَمُ مِنَ الثَّوَابِ ، وَهُمْ يَصْ</w:t>
      </w:r>
      <w:r w:rsidR="00315180">
        <w:rPr>
          <w:rtl/>
          <w:lang w:bidi="fa-IR"/>
        </w:rPr>
        <w:t>بِرُونَ عَلى مَا لَايَعْلَمُونَ</w:t>
      </w:r>
      <w:r w:rsidRPr="00132E65">
        <w:rPr>
          <w:rtl/>
          <w:lang w:bidi="fa-IR"/>
        </w:rPr>
        <w:t>»</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343EDA">
        <w:rPr>
          <w:rtl/>
        </w:rPr>
        <w:t>1282</w:t>
      </w:r>
      <w:r w:rsidRPr="004325D8">
        <w:rPr>
          <w:rStyle w:val="libBold2Char"/>
          <w:rtl/>
        </w:rPr>
        <w:t xml:space="preserve"> / 2.</w:t>
      </w:r>
      <w:r w:rsidRPr="00132E65">
        <w:rPr>
          <w:rtl/>
          <w:lang w:bidi="fa-IR"/>
        </w:rPr>
        <w:t xml:space="preserve"> بَعْضُ أَصْحَابِنَا ، عَنِ ابْنِ جُمْهُورٍ ، عَنْ أَبِيهِ ، عَنْ سُلَيْمَانَ بْنِ سَمَاعَةَ ، عَنْ عَبْدِ اللهِ بْنِ الْقَاسِمِ ، عَنِ الْمُفَضَّلِ بْنِ عُمَرَ ، قَالَ :</w:t>
      </w:r>
    </w:p>
    <w:p w:rsidR="000C39D1" w:rsidRPr="00132E65" w:rsidRDefault="000C39D1" w:rsidP="00315180">
      <w:pPr>
        <w:pStyle w:val="libNormal"/>
        <w:rPr>
          <w:rtl/>
          <w:lang w:bidi="fa-IR"/>
        </w:rPr>
      </w:pPr>
      <w:r w:rsidRPr="00132E65">
        <w:rPr>
          <w:rtl/>
          <w:lang w:bidi="fa-IR"/>
        </w:rPr>
        <w:t>وَجَّهَ أَبُو جَعْفَرٍ الْمَنْصُورُ إِلَى الْحَسَنِ بْنِ زَيْدٍ</w:t>
      </w:r>
      <w:r>
        <w:rPr>
          <w:rtl/>
          <w:lang w:bidi="fa-IR"/>
        </w:rPr>
        <w:t xml:space="preserve"> - </w:t>
      </w:r>
      <w:r w:rsidRPr="00132E65">
        <w:rPr>
          <w:rtl/>
          <w:lang w:bidi="fa-IR"/>
        </w:rPr>
        <w:t>و</w:t>
      </w:r>
      <w:r w:rsidR="00315180">
        <w:rPr>
          <w:rFonts w:hint="cs"/>
          <w:rtl/>
          <w:lang w:bidi="fa-IR"/>
        </w:rPr>
        <w:t>َ</w:t>
      </w:r>
      <w:r w:rsidRPr="00132E65">
        <w:rPr>
          <w:rtl/>
          <w:lang w:bidi="fa-IR"/>
        </w:rPr>
        <w:t>هُوَ و</w:t>
      </w:r>
      <w:r w:rsidR="00315180">
        <w:rPr>
          <w:rFonts w:hint="cs"/>
          <w:rtl/>
          <w:lang w:bidi="fa-IR"/>
        </w:rPr>
        <w:t>َ</w:t>
      </w:r>
      <w:r w:rsidRPr="00132E65">
        <w:rPr>
          <w:rtl/>
          <w:lang w:bidi="fa-IR"/>
        </w:rPr>
        <w:t xml:space="preserve">الِيهِ عَلَى الْحَرَمَيْنِ : أَنْ أَحْرِقْ عَلى جَعْفَرِ بْنِ مُحَمَّدٍ دَارَهُ ، فَأَلْقَى النَّارَ فِي دَارِ أَبِي عَبْدِ اللهِ </w:t>
      </w:r>
      <w:r w:rsidRPr="00071CF9">
        <w:rPr>
          <w:rStyle w:val="libAlaemChar"/>
          <w:rtl/>
        </w:rPr>
        <w:t>عليه‌السلام</w:t>
      </w:r>
      <w:r w:rsidRPr="00132E65">
        <w:rPr>
          <w:rtl/>
          <w:lang w:bidi="fa-IR"/>
        </w:rPr>
        <w:t xml:space="preserve"> ، فَأَخَذَتِ النَّارُ فِي الْبَابِ وَالدِّهْلِيزِ ، فَخَرَجَ أَبُو عَبْدِ اللهِ </w:t>
      </w:r>
      <w:r w:rsidRPr="00071CF9">
        <w:rPr>
          <w:rStyle w:val="libAlaemChar"/>
          <w:rtl/>
        </w:rPr>
        <w:t>عليه‌السلام</w:t>
      </w:r>
      <w:r w:rsidRPr="00132E65">
        <w:rPr>
          <w:rtl/>
          <w:lang w:bidi="fa-IR"/>
        </w:rPr>
        <w:t xml:space="preserve"> يَتَخَطَّى النَّارَ </w:t>
      </w:r>
      <w:r>
        <w:rPr>
          <w:rStyle w:val="libFootnotenumChar"/>
          <w:rtl/>
        </w:rPr>
        <w:t>(7)</w:t>
      </w:r>
      <w:r w:rsidRPr="00132E65">
        <w:rPr>
          <w:rtl/>
          <w:lang w:bidi="fa-IR"/>
        </w:rPr>
        <w:t xml:space="preserve"> و</w:t>
      </w:r>
      <w:r w:rsidR="00315180">
        <w:rPr>
          <w:rFonts w:hint="cs"/>
          <w:rtl/>
          <w:lang w:bidi="fa-IR"/>
        </w:rPr>
        <w:t>َ</w:t>
      </w:r>
      <w:r w:rsidRPr="00132E65">
        <w:rPr>
          <w:rtl/>
          <w:lang w:bidi="fa-IR"/>
        </w:rPr>
        <w:t>يَمْشِي فِيهَا ، و</w:t>
      </w:r>
      <w:r w:rsidR="00315180">
        <w:rPr>
          <w:rFonts w:hint="cs"/>
          <w:rtl/>
          <w:lang w:bidi="fa-IR"/>
        </w:rPr>
        <w:t>َ</w:t>
      </w:r>
      <w:r w:rsidRPr="00132E65">
        <w:rPr>
          <w:rtl/>
          <w:lang w:bidi="fa-IR"/>
        </w:rPr>
        <w:t xml:space="preserve">يَقُولُ : « أَنَا ابْنُ أَعْرَاقِ الثَّرى </w:t>
      </w:r>
      <w:r>
        <w:rPr>
          <w:rStyle w:val="libFootnotenumChar"/>
          <w:rtl/>
        </w:rPr>
        <w:t>(8)</w:t>
      </w:r>
      <w:r w:rsidRPr="00132E65">
        <w:rPr>
          <w:rtl/>
          <w:lang w:bidi="fa-IR"/>
        </w:rPr>
        <w:t xml:space="preserve"> ، أَنَا ابْنُ إِبْرَاهِيمَ‌</w:t>
      </w:r>
      <w:r w:rsidR="00315180">
        <w:rPr>
          <w:rFonts w:hint="cs"/>
          <w:rtl/>
          <w:lang w:bidi="fa-IR"/>
        </w:rPr>
        <w:t>.....</w:t>
      </w:r>
      <w:r w:rsidR="00315180">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315180" w:rsidP="000C39D1">
      <w:pPr>
        <w:pStyle w:val="libFootnote0"/>
        <w:rPr>
          <w:rtl/>
          <w:lang w:bidi="fa-IR"/>
        </w:rPr>
      </w:pPr>
      <w:r>
        <w:rPr>
          <w:rFonts w:hint="cs"/>
          <w:rtl/>
        </w:rPr>
        <w:t>=</w:t>
      </w:r>
      <w:r w:rsidR="000C39D1" w:rsidRPr="00132E65">
        <w:rPr>
          <w:rtl/>
        </w:rPr>
        <w:t xml:space="preserve">ص 431 ، الرقم 1159 ؛ </w:t>
      </w:r>
      <w:r w:rsidR="000C39D1" w:rsidRPr="00E63D08">
        <w:rPr>
          <w:rtl/>
        </w:rPr>
        <w:t>الفهرست</w:t>
      </w:r>
      <w:r w:rsidR="000C39D1" w:rsidRPr="00132E65">
        <w:rPr>
          <w:rtl/>
        </w:rPr>
        <w:t xml:space="preserve"> للطوسي ، ص 489 ، الرقم 780 ؛ </w:t>
      </w:r>
      <w:r w:rsidR="000C39D1" w:rsidRPr="00315180">
        <w:rPr>
          <w:rStyle w:val="libFootnoteBoldChar"/>
          <w:rtl/>
        </w:rPr>
        <w:t>رجال الطوسي</w:t>
      </w:r>
      <w:r w:rsidR="000C39D1" w:rsidRPr="00132E65">
        <w:rPr>
          <w:rtl/>
        </w:rPr>
        <w:t xml:space="preserve"> ، ص 317 ، الرقم 4732.</w:t>
      </w:r>
    </w:p>
    <w:p w:rsidR="000C39D1" w:rsidRPr="00132E65" w:rsidRDefault="000C39D1" w:rsidP="000C39D1">
      <w:pPr>
        <w:pStyle w:val="libFootnote0"/>
        <w:rPr>
          <w:rtl/>
          <w:lang w:bidi="fa-IR"/>
        </w:rPr>
      </w:pPr>
      <w:r>
        <w:rPr>
          <w:rtl/>
        </w:rPr>
        <w:t>(1).</w:t>
      </w:r>
      <w:r w:rsidRPr="00132E65">
        <w:rPr>
          <w:rtl/>
        </w:rPr>
        <w:t xml:space="preserve"> هكذا في النسخ التي قوبلت </w:t>
      </w:r>
      <w:r w:rsidRPr="00315180">
        <w:rPr>
          <w:rtl/>
        </w:rPr>
        <w:t>والوافي</w:t>
      </w:r>
      <w:r w:rsidRPr="00132E65">
        <w:rPr>
          <w:rtl/>
        </w:rPr>
        <w:t xml:space="preserve"> والبحار. وفي المطبوع </w:t>
      </w:r>
      <w:r>
        <w:rPr>
          <w:rtl/>
        </w:rPr>
        <w:t xml:space="preserve">: - </w:t>
      </w:r>
      <w:r w:rsidRPr="00132E65">
        <w:rPr>
          <w:rtl/>
        </w:rPr>
        <w:t>« ثمّ »</w:t>
      </w:r>
      <w:r>
        <w:rPr>
          <w:rtl/>
        </w:rPr>
        <w:t>.</w:t>
      </w:r>
    </w:p>
    <w:tbl>
      <w:tblPr>
        <w:tblStyle w:val="TableGrid"/>
        <w:bidiVisual/>
        <w:tblW w:w="0" w:type="auto"/>
        <w:tblLook w:val="04A0" w:firstRow="1" w:lastRow="0" w:firstColumn="1" w:lastColumn="0" w:noHBand="0" w:noVBand="1"/>
      </w:tblPr>
      <w:tblGrid>
        <w:gridCol w:w="4261"/>
        <w:gridCol w:w="4262"/>
      </w:tblGrid>
      <w:tr w:rsidR="00315180" w:rsidTr="00315180">
        <w:tc>
          <w:tcPr>
            <w:tcW w:w="4261" w:type="dxa"/>
          </w:tcPr>
          <w:p w:rsidR="00315180" w:rsidRDefault="00315180" w:rsidP="000C39D1">
            <w:pPr>
              <w:pStyle w:val="libFootnote0"/>
              <w:rPr>
                <w:rtl/>
              </w:rPr>
            </w:pPr>
            <w:r>
              <w:rPr>
                <w:rtl/>
              </w:rPr>
              <w:t>(2).</w:t>
            </w:r>
            <w:r w:rsidRPr="00132E65">
              <w:rPr>
                <w:rtl/>
              </w:rPr>
              <w:t xml:space="preserve"> في « ف » :</w:t>
            </w:r>
            <w:r>
              <w:rPr>
                <w:rtl/>
              </w:rPr>
              <w:t xml:space="preserve"> + </w:t>
            </w:r>
            <w:r w:rsidRPr="00132E65">
              <w:rPr>
                <w:rtl/>
              </w:rPr>
              <w:t>« بالله »</w:t>
            </w:r>
            <w:r>
              <w:rPr>
                <w:rtl/>
              </w:rPr>
              <w:t>.</w:t>
            </w:r>
          </w:p>
        </w:tc>
        <w:tc>
          <w:tcPr>
            <w:tcW w:w="4262" w:type="dxa"/>
          </w:tcPr>
          <w:p w:rsidR="00315180" w:rsidRDefault="00315180" w:rsidP="000C39D1">
            <w:pPr>
              <w:pStyle w:val="libFootnote0"/>
              <w:rPr>
                <w:rtl/>
              </w:rPr>
            </w:pPr>
            <w:r>
              <w:rPr>
                <w:rtl/>
              </w:rPr>
              <w:t>(3).</w:t>
            </w:r>
            <w:r w:rsidRPr="00132E65">
              <w:rPr>
                <w:rtl/>
              </w:rPr>
              <w:t xml:space="preserve"> آل عمران </w:t>
            </w:r>
            <w:r>
              <w:rPr>
                <w:rtl/>
              </w:rPr>
              <w:t>(3)</w:t>
            </w:r>
            <w:r w:rsidRPr="00132E65">
              <w:rPr>
                <w:rtl/>
              </w:rPr>
              <w:t xml:space="preserve"> : 134 </w:t>
            </w:r>
            <w:r>
              <w:rPr>
                <w:rtl/>
              </w:rPr>
              <w:t>و 1</w:t>
            </w:r>
            <w:r w:rsidRPr="00132E65">
              <w:rPr>
                <w:rtl/>
              </w:rPr>
              <w:t xml:space="preserve">48 ؛ المائدة </w:t>
            </w:r>
            <w:r>
              <w:rPr>
                <w:rtl/>
              </w:rPr>
              <w:t>(5)</w:t>
            </w:r>
            <w:r w:rsidRPr="00132E65">
              <w:rPr>
                <w:rtl/>
              </w:rPr>
              <w:t xml:space="preserve"> : 93.</w:t>
            </w:r>
          </w:p>
        </w:tc>
      </w:tr>
    </w:tbl>
    <w:p w:rsidR="000C39D1" w:rsidRPr="00132E65" w:rsidRDefault="000C39D1" w:rsidP="000C39D1">
      <w:pPr>
        <w:pStyle w:val="libFootnote0"/>
        <w:rPr>
          <w:rtl/>
          <w:lang w:bidi="fa-IR"/>
        </w:rPr>
      </w:pPr>
      <w:r>
        <w:rPr>
          <w:rtl/>
        </w:rPr>
        <w:t>(4).</w:t>
      </w:r>
      <w:r w:rsidRPr="00132E65">
        <w:rPr>
          <w:rtl/>
        </w:rPr>
        <w:t xml:space="preserve"> « ينوبنا » ، أي ينزل بنا. راجع : </w:t>
      </w:r>
      <w:r w:rsidRPr="00315180">
        <w:rPr>
          <w:rStyle w:val="libFootnoteBoldChar"/>
          <w:rtl/>
        </w:rPr>
        <w:t>النهاية</w:t>
      </w:r>
      <w:r w:rsidRPr="00132E65">
        <w:rPr>
          <w:rtl/>
        </w:rPr>
        <w:t xml:space="preserve"> ، ج 5 ، ص 123 ( نوب )</w:t>
      </w:r>
      <w:r>
        <w:rPr>
          <w:rtl/>
        </w:rPr>
        <w:t>.</w:t>
      </w:r>
    </w:p>
    <w:p w:rsidR="000C39D1" w:rsidRPr="00132E65" w:rsidRDefault="000C39D1" w:rsidP="000C39D1">
      <w:pPr>
        <w:pStyle w:val="libFootnote0"/>
        <w:rPr>
          <w:rtl/>
          <w:lang w:bidi="fa-IR"/>
        </w:rPr>
      </w:pPr>
      <w:r>
        <w:rPr>
          <w:rtl/>
        </w:rPr>
        <w:t>(5).</w:t>
      </w:r>
      <w:r w:rsidRPr="00132E65">
        <w:rPr>
          <w:rtl/>
        </w:rPr>
        <w:t xml:space="preserve"> « الرَزايا » : جمع الرَزِيّة ، وهي المصيبة. وأصلها الهمز ، يقال : رَزَأْتُهُ. </w:t>
      </w:r>
      <w:r w:rsidRPr="00315180">
        <w:rPr>
          <w:rStyle w:val="libFootnoteBoldChar"/>
          <w:rtl/>
        </w:rPr>
        <w:t>المصباح المنير</w:t>
      </w:r>
      <w:r w:rsidRPr="00132E65">
        <w:rPr>
          <w:rtl/>
        </w:rPr>
        <w:t xml:space="preserve"> ، ص 226 ( رزى )</w:t>
      </w:r>
      <w:r>
        <w:rPr>
          <w:rtl/>
        </w:rPr>
        <w:t>.</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789 ، ح 1401 ؛ </w:t>
      </w:r>
      <w:r w:rsidRPr="00315180">
        <w:rPr>
          <w:rStyle w:val="libFootnoteBoldChar"/>
          <w:rtl/>
        </w:rPr>
        <w:t>البحار</w:t>
      </w:r>
      <w:r w:rsidRPr="00132E65">
        <w:rPr>
          <w:rtl/>
        </w:rPr>
        <w:t xml:space="preserve"> ، ج 47 ، ص 7 ، ح 21 ، وفيه إ</w:t>
      </w:r>
      <w:r w:rsidR="00315180">
        <w:rPr>
          <w:rtl/>
        </w:rPr>
        <w:t>لى قوله : « والله يحبّ المحسنين</w:t>
      </w:r>
      <w:r w:rsidRPr="00132E65">
        <w:rPr>
          <w:rtl/>
        </w:rPr>
        <w:t>»</w:t>
      </w:r>
      <w:r>
        <w:rPr>
          <w:rtl/>
        </w:rPr>
        <w:t>.</w:t>
      </w:r>
    </w:p>
    <w:p w:rsidR="000C39D1" w:rsidRPr="00132E65" w:rsidRDefault="000C39D1" w:rsidP="000C39D1">
      <w:pPr>
        <w:pStyle w:val="libFootnote0"/>
        <w:rPr>
          <w:rtl/>
          <w:lang w:bidi="fa-IR"/>
        </w:rPr>
      </w:pPr>
      <w:r>
        <w:rPr>
          <w:rtl/>
        </w:rPr>
        <w:t>(7).</w:t>
      </w:r>
      <w:r w:rsidRPr="00132E65">
        <w:rPr>
          <w:rtl/>
        </w:rPr>
        <w:t xml:space="preserve"> « يتخطّى النارَ » ، أي يخطو ويمشي فيها خطوةً خطوةً ، وهو ما بين القدمين ، أو يركبها ويجاوزها. راجع : </w:t>
      </w:r>
      <w:r w:rsidRPr="00315180">
        <w:rPr>
          <w:rStyle w:val="libFootnoteBoldChar"/>
          <w:rtl/>
        </w:rPr>
        <w:t>لسان</w:t>
      </w:r>
      <w:r w:rsidR="00315180" w:rsidRPr="00315180">
        <w:rPr>
          <w:rStyle w:val="libFootnoteBoldChar"/>
          <w:rFonts w:hint="cs"/>
          <w:rtl/>
        </w:rPr>
        <w:t xml:space="preserve"> </w:t>
      </w:r>
      <w:r w:rsidRPr="00315180">
        <w:rPr>
          <w:rStyle w:val="libFootnoteBoldChar"/>
          <w:rtl/>
        </w:rPr>
        <w:t>‌العرب</w:t>
      </w:r>
      <w:r w:rsidRPr="00132E65">
        <w:rPr>
          <w:rtl/>
        </w:rPr>
        <w:t xml:space="preserve"> ، ج 14 ، ص 232 ( خطا )</w:t>
      </w:r>
      <w:r>
        <w:rPr>
          <w:rtl/>
        </w:rPr>
        <w:t>.</w:t>
      </w:r>
    </w:p>
    <w:p w:rsidR="000C39D1" w:rsidRPr="00132E65" w:rsidRDefault="000C39D1" w:rsidP="00315180">
      <w:pPr>
        <w:pStyle w:val="libFootnote0"/>
        <w:rPr>
          <w:rtl/>
          <w:lang w:bidi="fa-IR"/>
        </w:rPr>
      </w:pPr>
      <w:r>
        <w:rPr>
          <w:rtl/>
        </w:rPr>
        <w:t>(8).</w:t>
      </w:r>
      <w:r w:rsidRPr="00132E65">
        <w:rPr>
          <w:rtl/>
        </w:rPr>
        <w:t xml:space="preserve"> « الأعراق » : جمع العِرْق ، وعِرْق كلّ شي‌ء : أصله. والثَرى : التراب النديّ ، أو هو التراب الذي إذا بُلَّ لم يصرطيناً لازباً. والمراد منه هاهنا الأرض.</w:t>
      </w:r>
      <w:r>
        <w:rPr>
          <w:rtl/>
        </w:rPr>
        <w:t xml:space="preserve"> ف</w:t>
      </w:r>
      <w:r w:rsidR="00315180">
        <w:rPr>
          <w:rFonts w:hint="cs"/>
          <w:rtl/>
        </w:rPr>
        <w:t>ـ</w:t>
      </w:r>
      <w:r>
        <w:rPr>
          <w:rtl/>
        </w:rPr>
        <w:t xml:space="preserve"> «</w:t>
      </w:r>
      <w:r w:rsidRPr="00132E65">
        <w:rPr>
          <w:rtl/>
        </w:rPr>
        <w:t xml:space="preserve"> أعراق الثرى » ، أي ا</w:t>
      </w:r>
      <w:r w:rsidR="00315180">
        <w:rPr>
          <w:rFonts w:hint="cs"/>
          <w:rtl/>
        </w:rPr>
        <w:t>ُ</w:t>
      </w:r>
      <w:r w:rsidRPr="00132E65">
        <w:rPr>
          <w:rtl/>
        </w:rPr>
        <w:t xml:space="preserve">صول الأرض ، أي الأنبياء </w:t>
      </w:r>
      <w:r w:rsidRPr="00315180">
        <w:rPr>
          <w:rStyle w:val="libFootnoteAlaemChar"/>
          <w:rtl/>
        </w:rPr>
        <w:t>عليهم‌السلام</w:t>
      </w:r>
      <w:r w:rsidRPr="00132E65">
        <w:rPr>
          <w:rtl/>
        </w:rPr>
        <w:t xml:space="preserve">. وقيل : « أعراق الثرى » لقب إسماعيل </w:t>
      </w:r>
      <w:r w:rsidRPr="00315180">
        <w:rPr>
          <w:rStyle w:val="libFootnoteAlaemChar"/>
          <w:rtl/>
        </w:rPr>
        <w:t>عليه‌السلام</w:t>
      </w:r>
      <w:r w:rsidRPr="00132E65">
        <w:rPr>
          <w:rtl/>
        </w:rPr>
        <w:t xml:space="preserve">. ولكن لقبه </w:t>
      </w:r>
      <w:r w:rsidRPr="00315180">
        <w:rPr>
          <w:rStyle w:val="libFootnoteAlaemChar"/>
          <w:rtl/>
        </w:rPr>
        <w:t>عليه‌السلام</w:t>
      </w:r>
      <w:r w:rsidRPr="00132E65">
        <w:rPr>
          <w:rtl/>
        </w:rPr>
        <w:t xml:space="preserve"> : عِرْق الثرى ، كما في </w:t>
      </w:r>
      <w:r w:rsidRPr="00315180">
        <w:rPr>
          <w:rStyle w:val="libFootnoteBoldChar"/>
          <w:rtl/>
        </w:rPr>
        <w:t>اللسان</w:t>
      </w:r>
      <w:r w:rsidRPr="00132E65">
        <w:rPr>
          <w:rtl/>
        </w:rPr>
        <w:t xml:space="preserve">. راجع : </w:t>
      </w:r>
      <w:r w:rsidRPr="009D1ACE">
        <w:rPr>
          <w:rStyle w:val="libFootnoteBoldChar"/>
          <w:rtl/>
        </w:rPr>
        <w:t>لسان العرب</w:t>
      </w:r>
      <w:r w:rsidRPr="00132E65">
        <w:rPr>
          <w:rtl/>
        </w:rPr>
        <w:t xml:space="preserve"> ، ج 10 ، ص 241 </w:t>
      </w:r>
      <w:r w:rsidR="00315180">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خَلِيلِ اللهِ </w:t>
      </w:r>
      <w:r w:rsidRPr="0093484F">
        <w:rPr>
          <w:rStyle w:val="libAlaemChar"/>
          <w:rFonts w:eastAsiaTheme="minorHAnsi"/>
          <w:rtl/>
        </w:rPr>
        <w:t>صلى‌الله‌عليه‌وآله</w:t>
      </w:r>
      <w:r w:rsidRPr="00132E65">
        <w:rPr>
          <w:rtl/>
          <w:lang w:bidi="fa-IR"/>
        </w:rPr>
        <w:t xml:space="preserve"> </w:t>
      </w:r>
      <w:r>
        <w:rPr>
          <w:rStyle w:val="libFootnotenumChar"/>
          <w:rtl/>
        </w:rPr>
        <w:t>(1)</w:t>
      </w:r>
      <w:r w:rsidRPr="00132E65">
        <w:rPr>
          <w:rtl/>
          <w:lang w:bidi="fa-IR"/>
        </w:rPr>
        <w:t xml:space="preserve">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343EDA">
        <w:rPr>
          <w:rtl/>
        </w:rPr>
        <w:t>1283</w:t>
      </w:r>
      <w:r w:rsidRPr="004325D8">
        <w:rPr>
          <w:rStyle w:val="libBold2Char"/>
          <w:rtl/>
        </w:rPr>
        <w:t xml:space="preserve"> / 3.</w:t>
      </w:r>
      <w:r w:rsidRPr="00132E65">
        <w:rPr>
          <w:rtl/>
          <w:lang w:bidi="fa-IR"/>
        </w:rPr>
        <w:t xml:space="preserve"> الْحُسَيْنُ بْنُ مُحَمَّدٍ ، عَنْ مُعَلَّى بْنِ مُحَمَّدٍ ، عَنِ الْبَرْقِيِّ ، عَنْ أَبِيهِ ، عَمَّنْ ذَكَرَهُ ، عَنْ رُفَيْدٍ مَوْلى يَزِيدَ بْنِ عُمَرَ بْنِ هُبَيْرَةَ </w:t>
      </w:r>
      <w:r>
        <w:rPr>
          <w:rStyle w:val="libFootnotenumChar"/>
          <w:rtl/>
        </w:rPr>
        <w:t>(3)</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سَخِطَ عَلَيَّ ابْنُ هُبَيْرَةَ ، و</w:t>
      </w:r>
      <w:r w:rsidR="00315180">
        <w:rPr>
          <w:rFonts w:hint="cs"/>
          <w:rtl/>
          <w:lang w:bidi="fa-IR"/>
        </w:rPr>
        <w:t>َ</w:t>
      </w:r>
      <w:r w:rsidRPr="00132E65">
        <w:rPr>
          <w:rtl/>
          <w:lang w:bidi="fa-IR"/>
        </w:rPr>
        <w:t xml:space="preserve">حَلَفَ عَلَيَّ لَيَقْتُلُنِي </w:t>
      </w:r>
      <w:r>
        <w:rPr>
          <w:rStyle w:val="libFootnotenumChar"/>
          <w:rtl/>
        </w:rPr>
        <w:t>(4)</w:t>
      </w:r>
      <w:r w:rsidRPr="00132E65">
        <w:rPr>
          <w:rtl/>
          <w:lang w:bidi="fa-IR"/>
        </w:rPr>
        <w:t xml:space="preserve"> ، فَهَرَبْتُ مِنْهُ ، و</w:t>
      </w:r>
      <w:r w:rsidR="00315180">
        <w:rPr>
          <w:rFonts w:hint="cs"/>
          <w:rtl/>
          <w:lang w:bidi="fa-IR"/>
        </w:rPr>
        <w:t>َ</w:t>
      </w:r>
      <w:r w:rsidRPr="00132E65">
        <w:rPr>
          <w:rtl/>
          <w:lang w:bidi="fa-IR"/>
        </w:rPr>
        <w:t xml:space="preserve">عُذْتُ بِأَبِي عَبْدِ اللهِ </w:t>
      </w:r>
      <w:r w:rsidRPr="00071CF9">
        <w:rPr>
          <w:rStyle w:val="libAlaemChar"/>
          <w:rtl/>
        </w:rPr>
        <w:t>عليه‌السلام</w:t>
      </w:r>
      <w:r w:rsidRPr="00132E65">
        <w:rPr>
          <w:rtl/>
          <w:lang w:bidi="fa-IR"/>
        </w:rPr>
        <w:t xml:space="preserve"> ، فَأَعْلَمْتُهُ خَبَرِي ، فَقَالَ لِيَ : « انْصَرِفْ إِلَيْهِ </w:t>
      </w:r>
      <w:r>
        <w:rPr>
          <w:rStyle w:val="libFootnotenumChar"/>
          <w:rtl/>
        </w:rPr>
        <w:t>(5)</w:t>
      </w:r>
      <w:r w:rsidRPr="00132E65">
        <w:rPr>
          <w:rtl/>
          <w:lang w:bidi="fa-IR"/>
        </w:rPr>
        <w:t xml:space="preserve"> ، و</w:t>
      </w:r>
      <w:r w:rsidR="00315180">
        <w:rPr>
          <w:rFonts w:hint="cs"/>
          <w:rtl/>
          <w:lang w:bidi="fa-IR"/>
        </w:rPr>
        <w:t>َ</w:t>
      </w:r>
      <w:r w:rsidRPr="00132E65">
        <w:rPr>
          <w:rtl/>
          <w:lang w:bidi="fa-IR"/>
        </w:rPr>
        <w:t>أَقْرِئْهُ مِنِّي السَّلَامَ ، و</w:t>
      </w:r>
      <w:r w:rsidR="00785086">
        <w:rPr>
          <w:rFonts w:hint="cs"/>
          <w:rtl/>
          <w:lang w:bidi="fa-IR"/>
        </w:rPr>
        <w:t>َ</w:t>
      </w:r>
      <w:r w:rsidRPr="00132E65">
        <w:rPr>
          <w:rtl/>
          <w:lang w:bidi="fa-IR"/>
        </w:rPr>
        <w:t xml:space="preserve">قُلْ لَهُ : إِنِّي قَدْ أَجَرْتُ </w:t>
      </w:r>
      <w:r>
        <w:rPr>
          <w:rStyle w:val="libFootnotenumChar"/>
          <w:rtl/>
        </w:rPr>
        <w:t>(6)</w:t>
      </w:r>
      <w:r w:rsidRPr="00132E65">
        <w:rPr>
          <w:rtl/>
          <w:lang w:bidi="fa-IR"/>
        </w:rPr>
        <w:t xml:space="preserve"> عَلَيْكَ مَوْلَاكَ رُفَيْداً ، فَلَا تَهِجْهُ </w:t>
      </w:r>
      <w:r>
        <w:rPr>
          <w:rStyle w:val="libFootnotenumChar"/>
          <w:rtl/>
        </w:rPr>
        <w:t>(7)</w:t>
      </w:r>
      <w:r w:rsidRPr="00132E65">
        <w:rPr>
          <w:rtl/>
          <w:lang w:bidi="fa-IR"/>
        </w:rPr>
        <w:t xml:space="preserve"> بِسُوءٍ »</w:t>
      </w:r>
      <w:r>
        <w:rPr>
          <w:rtl/>
          <w:lang w:bidi="fa-IR"/>
        </w:rPr>
        <w:t>.</w:t>
      </w:r>
    </w:p>
    <w:p w:rsidR="000C39D1" w:rsidRPr="00132E65" w:rsidRDefault="000C39D1" w:rsidP="000C39D1">
      <w:pPr>
        <w:pStyle w:val="libNormal"/>
        <w:rPr>
          <w:rtl/>
          <w:lang w:bidi="fa-IR"/>
        </w:rPr>
      </w:pPr>
      <w:r w:rsidRPr="00132E65">
        <w:rPr>
          <w:rtl/>
          <w:lang w:bidi="fa-IR"/>
        </w:rPr>
        <w:t>فَقُلْتُ لَهُ : جُعِلْتُ فِدَاكَ ، شَامِيٌّ ، خَبِيثُ الرَّأْيِ ، فَقَالَ : « اذْهَبْ إِلَيْهِ كَمَا أَقُولُ لَكَ »</w:t>
      </w:r>
      <w:r>
        <w:rPr>
          <w:rtl/>
          <w:lang w:bidi="fa-IR"/>
        </w:rPr>
        <w:t>.</w:t>
      </w:r>
      <w:r w:rsidRPr="00132E65">
        <w:rPr>
          <w:rtl/>
          <w:lang w:bidi="fa-IR"/>
        </w:rPr>
        <w:t>فَأَقْبَلْتُ ، فَلَمَّا كُنْتُ فِي بَعْضِ الْبَوَادِي ، اسْتَقْبَلَنِي أَعْرَابِيٌّ ، فَقَالَ : أَيْنَ تَذْهَبُ</w:t>
      </w:r>
      <w:r>
        <w:rPr>
          <w:rtl/>
          <w:lang w:bidi="fa-IR"/>
        </w:rPr>
        <w:t>؟</w:t>
      </w:r>
      <w:r w:rsidRPr="00132E65">
        <w:rPr>
          <w:rtl/>
          <w:lang w:bidi="fa-IR"/>
        </w:rPr>
        <w:t xml:space="preserve"> إِنِّي أَرى‌</w:t>
      </w:r>
    </w:p>
    <w:p w:rsidR="000C39D1" w:rsidRPr="00132E65" w:rsidRDefault="000C39D1" w:rsidP="000C39D1">
      <w:pPr>
        <w:pStyle w:val="libLine"/>
        <w:rPr>
          <w:rtl/>
          <w:lang w:bidi="fa-IR"/>
        </w:rPr>
      </w:pPr>
      <w:r w:rsidRPr="00132E65">
        <w:rPr>
          <w:rtl/>
          <w:lang w:bidi="fa-IR"/>
        </w:rPr>
        <w:t>__________________</w:t>
      </w:r>
    </w:p>
    <w:p w:rsidR="000C39D1" w:rsidRPr="00132E65" w:rsidRDefault="00785086" w:rsidP="000C39D1">
      <w:pPr>
        <w:pStyle w:val="libFootnote0"/>
        <w:rPr>
          <w:rtl/>
          <w:lang w:bidi="fa-IR"/>
        </w:rPr>
      </w:pPr>
      <w:r>
        <w:rPr>
          <w:rFonts w:hint="cs"/>
          <w:rtl/>
        </w:rPr>
        <w:t>=</w:t>
      </w:r>
      <w:r w:rsidR="000C39D1">
        <w:rPr>
          <w:rtl/>
        </w:rPr>
        <w:t>و 2</w:t>
      </w:r>
      <w:r w:rsidR="000C39D1" w:rsidRPr="00132E65">
        <w:rPr>
          <w:rtl/>
        </w:rPr>
        <w:t xml:space="preserve">43 ( عرق ) ؛ وج 14 ، ص 111 ( ثرى ) ؛ </w:t>
      </w:r>
      <w:r w:rsidR="000C39D1" w:rsidRPr="00785086">
        <w:rPr>
          <w:rStyle w:val="libFootnoteBoldChar"/>
          <w:rtl/>
        </w:rPr>
        <w:t>شرح المازندراني</w:t>
      </w:r>
      <w:r w:rsidR="000C39D1" w:rsidRPr="00132E65">
        <w:rPr>
          <w:rtl/>
        </w:rPr>
        <w:t xml:space="preserve"> ، ج 7 ، ص 241 ؛ </w:t>
      </w:r>
      <w:r w:rsidR="000C39D1" w:rsidRPr="009D1ACE">
        <w:rPr>
          <w:rStyle w:val="libFootnoteBoldChar"/>
          <w:rtl/>
        </w:rPr>
        <w:t>الوافي</w:t>
      </w:r>
      <w:r w:rsidR="000C39D1" w:rsidRPr="00132E65">
        <w:rPr>
          <w:rtl/>
        </w:rPr>
        <w:t xml:space="preserve"> ، ج 3 ، ص 790 ؛ </w:t>
      </w:r>
      <w:r w:rsidR="000C39D1" w:rsidRPr="009D1ACE">
        <w:rPr>
          <w:rStyle w:val="libFootnoteBoldChar"/>
          <w:rtl/>
        </w:rPr>
        <w:t>مرآة العقول</w:t>
      </w:r>
      <w:r w:rsidR="000C39D1" w:rsidRPr="00132E65">
        <w:rPr>
          <w:rtl/>
        </w:rPr>
        <w:t xml:space="preserve"> ، ج 6 ، ص 28.</w:t>
      </w:r>
    </w:p>
    <w:p w:rsidR="000C39D1" w:rsidRPr="00132E65" w:rsidRDefault="000C39D1" w:rsidP="000C39D1">
      <w:pPr>
        <w:pStyle w:val="libFootnote0"/>
        <w:rPr>
          <w:rtl/>
          <w:lang w:bidi="fa-IR"/>
        </w:rPr>
      </w:pPr>
      <w:r>
        <w:rPr>
          <w:rtl/>
        </w:rPr>
        <w:t>(1).</w:t>
      </w:r>
      <w:r w:rsidRPr="00132E65">
        <w:rPr>
          <w:rtl/>
        </w:rPr>
        <w:t xml:space="preserve"> هكذا في « ب ، ج ، ض ، بر ، بس »</w:t>
      </w:r>
      <w:r>
        <w:rPr>
          <w:rtl/>
        </w:rPr>
        <w:t>.</w:t>
      </w:r>
      <w:r w:rsidRPr="00132E65">
        <w:rPr>
          <w:rtl/>
        </w:rPr>
        <w:t xml:space="preserve"> وفي « بف » : « صلّى الله عليه »</w:t>
      </w:r>
      <w:r>
        <w:rPr>
          <w:rtl/>
        </w:rPr>
        <w:t>.</w:t>
      </w:r>
      <w:r w:rsidRPr="00132E65">
        <w:rPr>
          <w:rtl/>
        </w:rPr>
        <w:t xml:space="preserve"> وفي « ف ، بح » : « </w:t>
      </w:r>
      <w:r w:rsidRPr="00785086">
        <w:rPr>
          <w:rFonts w:eastAsiaTheme="minorHAnsi"/>
          <w:rtl/>
        </w:rPr>
        <w:t>صلى‌</w:t>
      </w:r>
      <w:r w:rsidR="00785086">
        <w:rPr>
          <w:rFonts w:eastAsiaTheme="minorHAnsi" w:hint="cs"/>
          <w:rtl/>
        </w:rPr>
        <w:t xml:space="preserve"> </w:t>
      </w:r>
      <w:r w:rsidRPr="00785086">
        <w:rPr>
          <w:rFonts w:eastAsiaTheme="minorHAnsi"/>
          <w:rtl/>
        </w:rPr>
        <w:t>الله‌</w:t>
      </w:r>
      <w:r w:rsidR="00785086">
        <w:rPr>
          <w:rFonts w:eastAsiaTheme="minorHAnsi" w:hint="cs"/>
          <w:rtl/>
        </w:rPr>
        <w:t xml:space="preserve"> </w:t>
      </w:r>
      <w:r w:rsidRPr="00785086">
        <w:rPr>
          <w:rFonts w:eastAsiaTheme="minorHAnsi"/>
          <w:rtl/>
        </w:rPr>
        <w:t>عليه‌</w:t>
      </w:r>
      <w:r w:rsidR="00785086">
        <w:rPr>
          <w:rFonts w:eastAsiaTheme="minorHAnsi" w:hint="cs"/>
          <w:rtl/>
        </w:rPr>
        <w:t xml:space="preserve"> </w:t>
      </w:r>
      <w:r w:rsidRPr="00785086">
        <w:rPr>
          <w:rFonts w:eastAsiaTheme="minorHAnsi"/>
          <w:rtl/>
        </w:rPr>
        <w:t>وآله</w:t>
      </w:r>
      <w:r w:rsidRPr="00132E65">
        <w:rPr>
          <w:rtl/>
          <w:lang w:bidi="fa-IR"/>
        </w:rPr>
        <w:t xml:space="preserve"> </w:t>
      </w:r>
      <w:r w:rsidR="00785086">
        <w:rPr>
          <w:rFonts w:hint="cs"/>
          <w:rtl/>
          <w:lang w:bidi="fa-IR"/>
        </w:rPr>
        <w:t xml:space="preserve">وسلّم </w:t>
      </w:r>
      <w:r w:rsidRPr="00132E65">
        <w:rPr>
          <w:rtl/>
        </w:rPr>
        <w:t>»</w:t>
      </w:r>
      <w:r>
        <w:rPr>
          <w:rtl/>
        </w:rPr>
        <w:t>.</w:t>
      </w:r>
      <w:r w:rsidRPr="00132E65">
        <w:rPr>
          <w:rtl/>
        </w:rPr>
        <w:t xml:space="preserve"> وفي المطبوع : « </w:t>
      </w:r>
      <w:r w:rsidRPr="00785086">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789 ، ح 1402.</w:t>
      </w:r>
    </w:p>
    <w:p w:rsidR="00785086" w:rsidRDefault="000C39D1" w:rsidP="000C39D1">
      <w:pPr>
        <w:pStyle w:val="libFootnote0"/>
        <w:rPr>
          <w:rtl/>
        </w:rPr>
      </w:pPr>
      <w:r>
        <w:rPr>
          <w:rtl/>
        </w:rPr>
        <w:t>(3).</w:t>
      </w:r>
      <w:r w:rsidRPr="00132E65">
        <w:rPr>
          <w:rtl/>
        </w:rPr>
        <w:t xml:space="preserve"> هكذا في « ب ، بف »</w:t>
      </w:r>
      <w:r>
        <w:rPr>
          <w:rtl/>
        </w:rPr>
        <w:t>.</w:t>
      </w:r>
      <w:r w:rsidRPr="00132E65">
        <w:rPr>
          <w:rtl/>
        </w:rPr>
        <w:t xml:space="preserve"> وفي « ج ، ض ، ف ، بح ، بس » : « رفيد مولى ابن يزيد بن عمر بن هبيرة »</w:t>
      </w:r>
      <w:r>
        <w:rPr>
          <w:rtl/>
        </w:rPr>
        <w:t>.</w:t>
      </w:r>
      <w:r w:rsidRPr="00132E65">
        <w:rPr>
          <w:rtl/>
        </w:rPr>
        <w:t xml:space="preserve"> وفي « بر » والمطبوع : « رفيد مولى يزيد بن عمرو بن هبيرة »</w:t>
      </w:r>
      <w:r>
        <w:rPr>
          <w:rtl/>
        </w:rPr>
        <w:t>.</w:t>
      </w:r>
    </w:p>
    <w:p w:rsidR="000C39D1" w:rsidRPr="00132E65" w:rsidRDefault="000C39D1" w:rsidP="000C39D1">
      <w:pPr>
        <w:pStyle w:val="libFootnote0"/>
        <w:rPr>
          <w:rtl/>
          <w:lang w:bidi="fa-IR"/>
        </w:rPr>
      </w:pPr>
      <w:r w:rsidRPr="00661890">
        <w:rPr>
          <w:rtl/>
        </w:rPr>
        <w:t xml:space="preserve">والصواب ما أثبتناه ؛ فإنّ ابن هبيرة هذا ، هو يزيد بن عُمَرَ بن هبيرة الأمير ، كما يظهر من الخبر نفسه. وورد في </w:t>
      </w:r>
      <w:r w:rsidRPr="00785086">
        <w:rPr>
          <w:rStyle w:val="libFootnoteBoldChar"/>
          <w:rtl/>
        </w:rPr>
        <w:t>تهذيب الكمال</w:t>
      </w:r>
      <w:r w:rsidRPr="00E55206">
        <w:rPr>
          <w:rtl/>
        </w:rPr>
        <w:t xml:space="preserve"> ، ج 8 ، ص 199 ، الرقم 1664 ، في ترجمة خالد بن يزيد بن عمر بن هبيرة ؛ أنّ أباه وجدّه من الا</w:t>
      </w:r>
      <w:r w:rsidR="00785086" w:rsidRPr="00E55206">
        <w:rPr>
          <w:rFonts w:hint="cs"/>
          <w:rtl/>
        </w:rPr>
        <w:t>ُ</w:t>
      </w:r>
      <w:r w:rsidRPr="00E55206">
        <w:rPr>
          <w:rtl/>
        </w:rPr>
        <w:t xml:space="preserve">مراء المشهورين بالعراق. لاحظ أيضاً : </w:t>
      </w:r>
      <w:r w:rsidRPr="00343EDA">
        <w:rPr>
          <w:rtl/>
        </w:rPr>
        <w:t>الأغاني</w:t>
      </w:r>
      <w:r w:rsidRPr="00E55206">
        <w:rPr>
          <w:rtl/>
        </w:rPr>
        <w:t xml:space="preserve"> ، ج 2 ، ص 614 - 615 ؛ وج 10 ، ص 300 ؛ وج 17 ، ص 212 ؛ وج 21 ، ص 76 ؛ و</w:t>
      </w:r>
      <w:r w:rsidRPr="00343EDA">
        <w:rPr>
          <w:rtl/>
        </w:rPr>
        <w:t>فيات الأعيان</w:t>
      </w:r>
      <w:r w:rsidRPr="00E55206">
        <w:rPr>
          <w:rtl/>
        </w:rPr>
        <w:t xml:space="preserve"> ، ج 6 ، ص 313 - 321 ؛ </w:t>
      </w:r>
      <w:r w:rsidRPr="00785086">
        <w:rPr>
          <w:rStyle w:val="libFootnoteBoldChar"/>
          <w:rtl/>
        </w:rPr>
        <w:t>تاريخ الإسلام للذهبي</w:t>
      </w:r>
      <w:r w:rsidRPr="00E55206">
        <w:rPr>
          <w:rtl/>
        </w:rPr>
        <w:t xml:space="preserve"> ، ج 8 ، ص 567 ؛ </w:t>
      </w:r>
      <w:r w:rsidRPr="00343EDA">
        <w:rPr>
          <w:rtl/>
        </w:rPr>
        <w:t xml:space="preserve">سير </w:t>
      </w:r>
      <w:r w:rsidRPr="00785086">
        <w:rPr>
          <w:rStyle w:val="libFootnoteBoldChar"/>
          <w:rtl/>
        </w:rPr>
        <w:t>أعلام النبلاء</w:t>
      </w:r>
      <w:r w:rsidRPr="00E55206">
        <w:rPr>
          <w:rtl/>
        </w:rPr>
        <w:t xml:space="preserve"> ، ج 6 ، ص 207 ، الرقم 103.</w:t>
      </w:r>
    </w:p>
    <w:p w:rsidR="000C39D1" w:rsidRPr="00132E65" w:rsidRDefault="000C39D1" w:rsidP="000C39D1">
      <w:pPr>
        <w:pStyle w:val="libFootnote0"/>
        <w:rPr>
          <w:rtl/>
          <w:lang w:bidi="fa-IR"/>
        </w:rPr>
      </w:pPr>
      <w:r>
        <w:rPr>
          <w:rtl/>
        </w:rPr>
        <w:t>(4).</w:t>
      </w:r>
      <w:r w:rsidRPr="00132E65">
        <w:rPr>
          <w:rtl/>
        </w:rPr>
        <w:t xml:space="preserve"> في « ف » : « أن يقتلني »</w:t>
      </w:r>
      <w:r>
        <w:rPr>
          <w:rtl/>
        </w:rPr>
        <w:t>.</w:t>
      </w:r>
      <w:r w:rsidRPr="00132E65">
        <w:rPr>
          <w:rtl/>
        </w:rPr>
        <w:t xml:space="preserve"> وفي </w:t>
      </w:r>
      <w:r w:rsidRPr="009D1ACE">
        <w:rPr>
          <w:rStyle w:val="libFootnoteBoldChar"/>
          <w:rtl/>
        </w:rPr>
        <w:t>مرآة العقول</w:t>
      </w:r>
      <w:r w:rsidRPr="00132E65">
        <w:rPr>
          <w:rtl/>
        </w:rPr>
        <w:t xml:space="preserve"> : « ليقتلني ، بفتح اللام وكسرها »</w:t>
      </w:r>
      <w:r>
        <w:rPr>
          <w:rtl/>
        </w:rPr>
        <w:t>.</w:t>
      </w:r>
    </w:p>
    <w:p w:rsidR="000C39D1" w:rsidRPr="00132E65" w:rsidRDefault="000C39D1" w:rsidP="000C39D1">
      <w:pPr>
        <w:pStyle w:val="libFootnote0"/>
        <w:rPr>
          <w:rtl/>
          <w:lang w:bidi="fa-IR"/>
        </w:rPr>
      </w:pPr>
      <w:r>
        <w:rPr>
          <w:rtl/>
        </w:rPr>
        <w:t>(5).</w:t>
      </w:r>
      <w:r w:rsidRPr="00132E65">
        <w:rPr>
          <w:rtl/>
        </w:rPr>
        <w:t xml:space="preserve"> هكذا في النسخ التي قوبلت و</w:t>
      </w:r>
      <w:r w:rsidRPr="009D1ACE">
        <w:rPr>
          <w:rStyle w:val="libFootnoteBoldChar"/>
          <w:rtl/>
        </w:rPr>
        <w:t>الوافي</w:t>
      </w:r>
      <w:r w:rsidRPr="00132E65">
        <w:rPr>
          <w:rtl/>
        </w:rPr>
        <w:t xml:space="preserve">. وفي المطبوع </w:t>
      </w:r>
      <w:r>
        <w:rPr>
          <w:rtl/>
        </w:rPr>
        <w:t xml:space="preserve">: - </w:t>
      </w:r>
      <w:r w:rsidRPr="00132E65">
        <w:rPr>
          <w:rtl/>
        </w:rPr>
        <w:t>« إليه »</w:t>
      </w:r>
      <w:r>
        <w:rPr>
          <w:rtl/>
        </w:rPr>
        <w:t>.</w:t>
      </w:r>
    </w:p>
    <w:p w:rsidR="000C39D1" w:rsidRPr="00132E65" w:rsidRDefault="000C39D1" w:rsidP="000C39D1">
      <w:pPr>
        <w:pStyle w:val="libFootnote0"/>
        <w:rPr>
          <w:rtl/>
          <w:lang w:bidi="fa-IR"/>
        </w:rPr>
      </w:pPr>
      <w:r>
        <w:rPr>
          <w:rtl/>
        </w:rPr>
        <w:t>(6).</w:t>
      </w:r>
      <w:r w:rsidRPr="00132E65">
        <w:rPr>
          <w:rtl/>
        </w:rPr>
        <w:t xml:space="preserve"> هكذا في « ض ، ف ، بر » و</w:t>
      </w:r>
      <w:r w:rsidRPr="009D1ACE">
        <w:rPr>
          <w:rStyle w:val="libFootnoteBoldChar"/>
          <w:rtl/>
        </w:rPr>
        <w:t>مرآة العقول</w:t>
      </w:r>
      <w:r w:rsidRPr="00132E65">
        <w:rPr>
          <w:rtl/>
        </w:rPr>
        <w:t>. وهو الصحيح ، أصله من « الجوار »</w:t>
      </w:r>
      <w:r>
        <w:rPr>
          <w:rtl/>
        </w:rPr>
        <w:t>.</w:t>
      </w:r>
      <w:r w:rsidRPr="00132E65">
        <w:rPr>
          <w:rtl/>
        </w:rPr>
        <w:t xml:space="preserve"> وفي المطبوع : « آجرت » من « أجر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لا تهجه ، من باب ضرب ، أو باب الإفعال »</w:t>
      </w:r>
      <w:r>
        <w:rPr>
          <w:rtl/>
        </w:rPr>
        <w:t>.</w:t>
      </w:r>
      <w:r w:rsidRPr="00132E65">
        <w:rPr>
          <w:rtl/>
        </w:rPr>
        <w:t xml:space="preserve"> ويقال : هاج الشي‌ء يَهيجُ ، واهتاج وتهيّج : ثار لمشقّة أو ضرر. وهاجه غيره وهيّجه يتعدّى ولا يتعدّى. </w:t>
      </w:r>
      <w:r w:rsidRPr="009D1ACE">
        <w:rPr>
          <w:rStyle w:val="libFootnoteBoldChar"/>
          <w:rtl/>
        </w:rPr>
        <w:t>لسان العرب</w:t>
      </w:r>
      <w:r w:rsidRPr="00132E65">
        <w:rPr>
          <w:rtl/>
        </w:rPr>
        <w:t xml:space="preserve"> ، ج 2 ، ص 394 ( هيج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وَجْهَ مَقْتُولٍ ، ثُمَّ قَالَ لِي </w:t>
      </w:r>
      <w:r>
        <w:rPr>
          <w:rStyle w:val="libFootnotenumChar"/>
          <w:rtl/>
        </w:rPr>
        <w:t>(1)</w:t>
      </w:r>
      <w:r w:rsidRPr="00132E65">
        <w:rPr>
          <w:rtl/>
          <w:lang w:bidi="fa-IR"/>
        </w:rPr>
        <w:t xml:space="preserve"> : أَخْرِجْ يَدَكَ </w:t>
      </w:r>
      <w:r>
        <w:rPr>
          <w:rStyle w:val="libFootnotenumChar"/>
          <w:rtl/>
        </w:rPr>
        <w:t>(2)</w:t>
      </w:r>
      <w:r w:rsidRPr="00132E65">
        <w:rPr>
          <w:rtl/>
          <w:lang w:bidi="fa-IR"/>
        </w:rPr>
        <w:t xml:space="preserve"> ، فَفَعَلْتُ ، فَقَالَ : يَدُ مَقْتُولٍ ؛ ثُمَّ </w:t>
      </w:r>
      <w:r>
        <w:rPr>
          <w:rStyle w:val="libFootnotenumChar"/>
          <w:rtl/>
        </w:rPr>
        <w:t>(3)</w:t>
      </w:r>
      <w:r w:rsidRPr="00132E65">
        <w:rPr>
          <w:rtl/>
          <w:lang w:bidi="fa-IR"/>
        </w:rPr>
        <w:t xml:space="preserve"> قَالَ لِي </w:t>
      </w:r>
      <w:r>
        <w:rPr>
          <w:rStyle w:val="libFootnotenumChar"/>
          <w:rtl/>
        </w:rPr>
        <w:t>(4)</w:t>
      </w:r>
      <w:r w:rsidRPr="00132E65">
        <w:rPr>
          <w:rtl/>
          <w:lang w:bidi="fa-IR"/>
        </w:rPr>
        <w:t xml:space="preserve"> : أَبْرِزْ رِجْلَكَ ، فَأَبْرَزْتُ رِجْلِي ، فَقَالَ : رِجْلُ مَقْتُولٍ ؛ ثُمَّ قَالَ لِي </w:t>
      </w:r>
      <w:r>
        <w:rPr>
          <w:rStyle w:val="libFootnotenumChar"/>
          <w:rtl/>
        </w:rPr>
        <w:t>(5)</w:t>
      </w:r>
      <w:r w:rsidRPr="00132E65">
        <w:rPr>
          <w:rtl/>
          <w:lang w:bidi="fa-IR"/>
        </w:rPr>
        <w:t xml:space="preserve"> ، أَبْرِزْ جَسَدَكَ ، فَفَعَلْتُ ، فَقَالَ :</w:t>
      </w:r>
      <w:r>
        <w:rPr>
          <w:rFonts w:hint="cs"/>
          <w:rtl/>
          <w:lang w:bidi="fa-IR"/>
        </w:rPr>
        <w:t xml:space="preserve"> </w:t>
      </w:r>
      <w:r w:rsidRPr="00132E65">
        <w:rPr>
          <w:rtl/>
          <w:lang w:bidi="fa-IR"/>
        </w:rPr>
        <w:t xml:space="preserve">جَسَدُ مَقْتُولٍ ؛ ثُمَّ قَالَ لِي </w:t>
      </w:r>
      <w:r>
        <w:rPr>
          <w:rStyle w:val="libFootnotenumChar"/>
          <w:rtl/>
        </w:rPr>
        <w:t>(6)</w:t>
      </w:r>
      <w:r w:rsidRPr="00132E65">
        <w:rPr>
          <w:rtl/>
          <w:lang w:bidi="fa-IR"/>
        </w:rPr>
        <w:t xml:space="preserve"> : أَخْرِجْ لِسَانَكَ ، فَفَعَلْتُ ، فَقَالَ لِيَ </w:t>
      </w:r>
      <w:r>
        <w:rPr>
          <w:rStyle w:val="libFootnotenumChar"/>
          <w:rtl/>
        </w:rPr>
        <w:t>(7)</w:t>
      </w:r>
      <w:r w:rsidRPr="00132E65">
        <w:rPr>
          <w:rtl/>
          <w:lang w:bidi="fa-IR"/>
        </w:rPr>
        <w:t xml:space="preserve"> : امْضِ ؛ فَلَا بَأْسَ عَلَيْكَ ؛ فَإِنَّ فِي لِسَانِكَ رِسَالَةً لَوْ أَتَيْتَ بِهَا الْجِبَالَ الرَّوَاسِيَ </w:t>
      </w:r>
      <w:r>
        <w:rPr>
          <w:rStyle w:val="libFootnotenumChar"/>
          <w:rtl/>
        </w:rPr>
        <w:t>(8)</w:t>
      </w:r>
      <w:r w:rsidRPr="00132E65">
        <w:rPr>
          <w:rtl/>
          <w:lang w:bidi="fa-IR"/>
        </w:rPr>
        <w:t xml:space="preserve"> لَانْقَادَتْ لَكَ </w:t>
      </w:r>
      <w:r>
        <w:rPr>
          <w:rStyle w:val="libFootnotenumChar"/>
          <w:rtl/>
        </w:rPr>
        <w:t>(9)</w:t>
      </w:r>
    </w:p>
    <w:p w:rsidR="000C39D1" w:rsidRPr="00132E65" w:rsidRDefault="000C39D1" w:rsidP="000C39D1">
      <w:pPr>
        <w:pStyle w:val="libNormal"/>
        <w:rPr>
          <w:rtl/>
          <w:lang w:bidi="fa-IR"/>
        </w:rPr>
      </w:pPr>
      <w:r w:rsidRPr="00132E65">
        <w:rPr>
          <w:rtl/>
          <w:lang w:bidi="fa-IR"/>
        </w:rPr>
        <w:t xml:space="preserve">قَالَ </w:t>
      </w:r>
      <w:r>
        <w:rPr>
          <w:rStyle w:val="libFootnotenumChar"/>
          <w:rtl/>
        </w:rPr>
        <w:t>(10)</w:t>
      </w:r>
      <w:r w:rsidRPr="00132E65">
        <w:rPr>
          <w:rtl/>
          <w:lang w:bidi="fa-IR"/>
        </w:rPr>
        <w:t xml:space="preserve"> : فَجِئْتُ حَتّى وقَفْتُ عَلى بَابِ ابْنِ هُبَيْرَةَ ، فَاسْتَأْذَنْتُ ، فَلَمَّا دَخَلْتُ عَلَيْهِ قَالَ : أَتَتْكَ بِخَائِنٍ </w:t>
      </w:r>
      <w:r>
        <w:rPr>
          <w:rStyle w:val="libFootnotenumChar"/>
          <w:rtl/>
        </w:rPr>
        <w:t>(11)</w:t>
      </w:r>
      <w:r w:rsidRPr="00132E65">
        <w:rPr>
          <w:rtl/>
          <w:lang w:bidi="fa-IR"/>
        </w:rPr>
        <w:t xml:space="preserve"> رِجْلَاهُ ؛ يَا غُلَامُ ، النَّطْعَ </w:t>
      </w:r>
      <w:r>
        <w:rPr>
          <w:rStyle w:val="libFootnotenumChar"/>
          <w:rtl/>
        </w:rPr>
        <w:t>(12)</w:t>
      </w:r>
      <w:r w:rsidRPr="00132E65">
        <w:rPr>
          <w:rtl/>
          <w:lang w:bidi="fa-IR"/>
        </w:rPr>
        <w:t xml:space="preserve"> و</w:t>
      </w:r>
      <w:r w:rsidR="00785086">
        <w:rPr>
          <w:rFonts w:hint="cs"/>
          <w:rtl/>
          <w:lang w:bidi="fa-IR"/>
        </w:rPr>
        <w:t>َ</w:t>
      </w:r>
      <w:r w:rsidRPr="00132E65">
        <w:rPr>
          <w:rtl/>
          <w:lang w:bidi="fa-IR"/>
        </w:rPr>
        <w:t xml:space="preserve">السَّيْفَ. ثُمَّ أَمَرَ بِي ، فَكُتِّفْتُ </w:t>
      </w:r>
      <w:r w:rsidRPr="00F543F1">
        <w:rPr>
          <w:rStyle w:val="libFootnotenumChar"/>
          <w:rtl/>
        </w:rPr>
        <w:t>(13)</w:t>
      </w:r>
      <w:r w:rsidRPr="00132E65">
        <w:rPr>
          <w:rtl/>
          <w:lang w:bidi="fa-IR"/>
        </w:rPr>
        <w:t xml:space="preserve"> ، وَشُدَّ </w:t>
      </w:r>
      <w:r w:rsidRPr="00F543F1">
        <w:rPr>
          <w:rStyle w:val="libFootnotenumChar"/>
          <w:rtl/>
        </w:rPr>
        <w:t>(14)</w:t>
      </w:r>
      <w:r w:rsidRPr="00132E65">
        <w:rPr>
          <w:rtl/>
          <w:lang w:bidi="fa-IR"/>
        </w:rPr>
        <w:t xml:space="preserve"> رَأْسِي ، و</w:t>
      </w:r>
      <w:r w:rsidR="00785086">
        <w:rPr>
          <w:rFonts w:hint="cs"/>
          <w:rtl/>
          <w:lang w:bidi="fa-IR"/>
        </w:rPr>
        <w:t>َ</w:t>
      </w:r>
      <w:r w:rsidRPr="00132E65">
        <w:rPr>
          <w:rtl/>
          <w:lang w:bidi="fa-IR"/>
        </w:rPr>
        <w:t>قَامَ عَلَيَّ السَّيَّافُ لِيَضْرِبَ عُنُقِي.</w:t>
      </w:r>
    </w:p>
    <w:p w:rsidR="000C39D1" w:rsidRPr="00132E65" w:rsidRDefault="000C39D1" w:rsidP="000C39D1">
      <w:pPr>
        <w:pStyle w:val="libNormal"/>
        <w:rPr>
          <w:rtl/>
          <w:lang w:bidi="fa-IR"/>
        </w:rPr>
      </w:pPr>
      <w:r w:rsidRPr="00132E65">
        <w:rPr>
          <w:rtl/>
          <w:lang w:bidi="fa-IR"/>
        </w:rPr>
        <w:t xml:space="preserve">فَقُلْتُ : أَيُّهَا الْأَمِيرُ ، لَمْ تَظْفَرْ بِي عَنْوَةً </w:t>
      </w:r>
      <w:r w:rsidRPr="00F543F1">
        <w:rPr>
          <w:rStyle w:val="libFootnotenumChar"/>
          <w:rtl/>
        </w:rPr>
        <w:t>(15)</w:t>
      </w:r>
      <w:r w:rsidRPr="00132E65">
        <w:rPr>
          <w:rtl/>
          <w:lang w:bidi="fa-IR"/>
        </w:rPr>
        <w:t xml:space="preserve"> ، و</w:t>
      </w:r>
      <w:r w:rsidR="00785086">
        <w:rPr>
          <w:rFonts w:hint="cs"/>
          <w:rtl/>
          <w:lang w:bidi="fa-IR"/>
        </w:rPr>
        <w:t>َ</w:t>
      </w:r>
      <w:r w:rsidRPr="00132E65">
        <w:rPr>
          <w:rtl/>
          <w:lang w:bidi="fa-IR"/>
        </w:rPr>
        <w:t>إِنَّمَا جِئْتُكَ مِنْ ذَاتِ نَفْسِي ، و</w:t>
      </w:r>
      <w:r w:rsidR="00785086">
        <w:rPr>
          <w:rFonts w:hint="cs"/>
          <w:rtl/>
          <w:lang w:bidi="fa-IR"/>
        </w:rPr>
        <w:t xml:space="preserve">َ </w:t>
      </w:r>
      <w:r w:rsidRPr="00132E65">
        <w:rPr>
          <w:rtl/>
          <w:lang w:bidi="fa-IR"/>
        </w:rPr>
        <w:t>هَاهُنَا‌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785086" w:rsidTr="00785086">
        <w:tc>
          <w:tcPr>
            <w:tcW w:w="4261" w:type="dxa"/>
          </w:tcPr>
          <w:p w:rsidR="00785086" w:rsidRDefault="00785086" w:rsidP="000C39D1">
            <w:pPr>
              <w:pStyle w:val="libFootnote0"/>
              <w:rPr>
                <w:rtl/>
              </w:rPr>
            </w:pPr>
            <w:r>
              <w:rPr>
                <w:rtl/>
              </w:rPr>
              <w:t>(1).</w:t>
            </w:r>
            <w:r w:rsidRPr="00132E65">
              <w:rPr>
                <w:rtl/>
              </w:rPr>
              <w:t xml:space="preserve"> في « ف » </w:t>
            </w:r>
            <w:r>
              <w:rPr>
                <w:rtl/>
              </w:rPr>
              <w:t xml:space="preserve">: - </w:t>
            </w:r>
            <w:r w:rsidRPr="00132E65">
              <w:rPr>
                <w:rtl/>
              </w:rPr>
              <w:t>« لي »</w:t>
            </w:r>
            <w:r>
              <w:rPr>
                <w:rtl/>
              </w:rPr>
              <w:t>.</w:t>
            </w:r>
          </w:p>
        </w:tc>
        <w:tc>
          <w:tcPr>
            <w:tcW w:w="4262" w:type="dxa"/>
          </w:tcPr>
          <w:p w:rsidR="00785086" w:rsidRDefault="00785086" w:rsidP="000C39D1">
            <w:pPr>
              <w:pStyle w:val="libFootnote0"/>
              <w:rPr>
                <w:rtl/>
              </w:rPr>
            </w:pPr>
            <w:r>
              <w:rPr>
                <w:rtl/>
              </w:rPr>
              <w:t>(2).</w:t>
            </w:r>
            <w:r w:rsidRPr="00132E65">
              <w:rPr>
                <w:rtl/>
              </w:rPr>
              <w:t xml:space="preserve"> في « ف » : « يديك »</w:t>
            </w:r>
            <w:r>
              <w:rPr>
                <w:rtl/>
              </w:rPr>
              <w:t>.</w:t>
            </w:r>
          </w:p>
        </w:tc>
      </w:tr>
    </w:tbl>
    <w:p w:rsidR="000C39D1" w:rsidRPr="00132E65" w:rsidRDefault="000C39D1" w:rsidP="000C39D1">
      <w:pPr>
        <w:pStyle w:val="libFootnote0"/>
        <w:rPr>
          <w:rtl/>
          <w:lang w:bidi="fa-IR"/>
        </w:rPr>
      </w:pPr>
      <w:r>
        <w:rPr>
          <w:rtl/>
        </w:rPr>
        <w:t>(3).</w:t>
      </w:r>
      <w:r w:rsidRPr="00132E65">
        <w:rPr>
          <w:rtl/>
        </w:rPr>
        <w:t xml:space="preserve"> في « بس » </w:t>
      </w:r>
      <w:r>
        <w:rPr>
          <w:rtl/>
        </w:rPr>
        <w:t xml:space="preserve">: - </w:t>
      </w:r>
      <w:r w:rsidRPr="00132E65">
        <w:rPr>
          <w:rtl/>
        </w:rPr>
        <w:t>« ثمّ »</w:t>
      </w:r>
      <w:r>
        <w:rPr>
          <w:rtl/>
        </w:rPr>
        <w:t>.</w:t>
      </w:r>
    </w:p>
    <w:p w:rsidR="000C39D1" w:rsidRPr="00132E65" w:rsidRDefault="000C39D1" w:rsidP="000C39D1">
      <w:pPr>
        <w:pStyle w:val="libFootnote0"/>
        <w:rPr>
          <w:rtl/>
          <w:lang w:bidi="fa-IR"/>
        </w:rPr>
      </w:pPr>
      <w:r>
        <w:rPr>
          <w:rtl/>
        </w:rPr>
        <w:t>(4).</w:t>
      </w:r>
      <w:r w:rsidRPr="00132E65">
        <w:rPr>
          <w:rtl/>
        </w:rPr>
        <w:t xml:space="preserve"> في « ج » </w:t>
      </w:r>
      <w:r>
        <w:rPr>
          <w:rtl/>
        </w:rPr>
        <w:t xml:space="preserve">: - </w:t>
      </w:r>
      <w:r w:rsidRPr="00132E65">
        <w:rPr>
          <w:rtl/>
        </w:rPr>
        <w:t>« قال لي »</w:t>
      </w:r>
      <w:r>
        <w:rPr>
          <w:rtl/>
        </w:rPr>
        <w:t>.</w:t>
      </w:r>
      <w:r w:rsidRPr="00132E65">
        <w:rPr>
          <w:rtl/>
        </w:rPr>
        <w:t xml:space="preserve"> وفي « بس » : « فقال لي »</w:t>
      </w:r>
      <w:r>
        <w:rPr>
          <w:rtl/>
        </w:rPr>
        <w:t>.</w:t>
      </w:r>
      <w:r w:rsidRPr="00132E65">
        <w:rPr>
          <w:rtl/>
        </w:rPr>
        <w:t xml:space="preserve"> وفي « بف » </w:t>
      </w:r>
      <w:r w:rsidRPr="00C3331B">
        <w:rPr>
          <w:rtl/>
        </w:rPr>
        <w:t>والوافي</w:t>
      </w:r>
      <w:r w:rsidRPr="00132E65">
        <w:rPr>
          <w:rtl/>
        </w:rPr>
        <w:t xml:space="preserve">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(5).</w:t>
      </w:r>
      <w:r w:rsidRPr="00132E65">
        <w:rPr>
          <w:rtl/>
        </w:rPr>
        <w:t xml:space="preserve"> في « ج » </w:t>
      </w:r>
      <w:r>
        <w:rPr>
          <w:rtl/>
        </w:rPr>
        <w:t xml:space="preserve">: - </w:t>
      </w:r>
      <w:r w:rsidRPr="00132E65">
        <w:rPr>
          <w:rtl/>
        </w:rPr>
        <w:t>« قال لي »</w:t>
      </w:r>
      <w:r>
        <w:rPr>
          <w:rtl/>
        </w:rPr>
        <w:t>.</w:t>
      </w:r>
      <w:r w:rsidRPr="00132E65">
        <w:rPr>
          <w:rtl/>
        </w:rPr>
        <w:t xml:space="preserve"> وفي « ض ، ف ، بف » </w:t>
      </w:r>
      <w:r w:rsidRPr="00C3331B">
        <w:rPr>
          <w:rtl/>
        </w:rPr>
        <w:t>والوافي</w:t>
      </w:r>
      <w:r w:rsidRPr="00132E65">
        <w:rPr>
          <w:rtl/>
        </w:rPr>
        <w:t xml:space="preserve"> </w:t>
      </w:r>
      <w:r>
        <w:rPr>
          <w:rtl/>
        </w:rPr>
        <w:t xml:space="preserve">: - </w:t>
      </w:r>
      <w:r w:rsidRPr="00132E65">
        <w:rPr>
          <w:rtl/>
        </w:rPr>
        <w:t>« لي »</w:t>
      </w:r>
      <w:r>
        <w:rPr>
          <w:rtl/>
        </w:rPr>
        <w:t>.</w:t>
      </w:r>
    </w:p>
    <w:tbl>
      <w:tblPr>
        <w:tblStyle w:val="TableGrid"/>
        <w:bidiVisual/>
        <w:tblW w:w="0" w:type="auto"/>
        <w:tblLook w:val="04A0" w:firstRow="1" w:lastRow="0" w:firstColumn="1" w:lastColumn="0" w:noHBand="0" w:noVBand="1"/>
      </w:tblPr>
      <w:tblGrid>
        <w:gridCol w:w="4261"/>
        <w:gridCol w:w="4262"/>
      </w:tblGrid>
      <w:tr w:rsidR="00C3331B" w:rsidTr="00C3331B">
        <w:tc>
          <w:tcPr>
            <w:tcW w:w="4261" w:type="dxa"/>
          </w:tcPr>
          <w:p w:rsidR="00C3331B" w:rsidRDefault="00C3331B" w:rsidP="000C39D1">
            <w:pPr>
              <w:pStyle w:val="libFootnote0"/>
              <w:rPr>
                <w:rtl/>
              </w:rPr>
            </w:pPr>
            <w:r>
              <w:rPr>
                <w:rtl/>
              </w:rPr>
              <w:t>(6).</w:t>
            </w:r>
            <w:r w:rsidRPr="00132E65">
              <w:rPr>
                <w:rtl/>
              </w:rPr>
              <w:t xml:space="preserve"> في « بف » </w:t>
            </w:r>
            <w:r w:rsidRPr="00C3331B">
              <w:rPr>
                <w:rtl/>
              </w:rPr>
              <w:t>والوافي</w:t>
            </w:r>
            <w:r w:rsidRPr="00132E65">
              <w:rPr>
                <w:rtl/>
              </w:rPr>
              <w:t xml:space="preserve"> </w:t>
            </w:r>
            <w:r>
              <w:rPr>
                <w:rtl/>
              </w:rPr>
              <w:t xml:space="preserve">: - </w:t>
            </w:r>
            <w:r w:rsidRPr="00132E65">
              <w:rPr>
                <w:rtl/>
              </w:rPr>
              <w:t>« لي »</w:t>
            </w:r>
            <w:r>
              <w:rPr>
                <w:rtl/>
              </w:rPr>
              <w:t>.</w:t>
            </w:r>
          </w:p>
        </w:tc>
        <w:tc>
          <w:tcPr>
            <w:tcW w:w="4262" w:type="dxa"/>
          </w:tcPr>
          <w:p w:rsidR="00C3331B" w:rsidRDefault="00C3331B" w:rsidP="000C39D1">
            <w:pPr>
              <w:pStyle w:val="libFootnote0"/>
              <w:rPr>
                <w:rtl/>
              </w:rPr>
            </w:pPr>
            <w:r>
              <w:rPr>
                <w:rtl/>
              </w:rPr>
              <w:t>(7).</w:t>
            </w:r>
            <w:r w:rsidRPr="00132E65">
              <w:rPr>
                <w:rtl/>
              </w:rPr>
              <w:t xml:space="preserve"> في « ب ، ج ، بح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(8).</w:t>
      </w:r>
      <w:r w:rsidRPr="00132E65">
        <w:rPr>
          <w:rtl/>
        </w:rPr>
        <w:t xml:space="preserve"> « الرواسي » : الثوابت. من رسا الشي‌ءُ يرسو ، أي ثبت. راجع : </w:t>
      </w:r>
      <w:r w:rsidRPr="00C3331B">
        <w:rPr>
          <w:rStyle w:val="libFootnoteBoldChar"/>
          <w:rtl/>
        </w:rPr>
        <w:t>الصحاح</w:t>
      </w:r>
      <w:r w:rsidRPr="00132E65">
        <w:rPr>
          <w:rtl/>
        </w:rPr>
        <w:t xml:space="preserve"> ، ج 6 ، ص 2356 ( رسا )</w:t>
      </w:r>
      <w:r>
        <w:rPr>
          <w:rtl/>
        </w:rPr>
        <w:t>.</w:t>
      </w:r>
    </w:p>
    <w:tbl>
      <w:tblPr>
        <w:tblStyle w:val="TableGrid"/>
        <w:bidiVisual/>
        <w:tblW w:w="0" w:type="auto"/>
        <w:tblLook w:val="04A0" w:firstRow="1" w:lastRow="0" w:firstColumn="1" w:lastColumn="0" w:noHBand="0" w:noVBand="1"/>
      </w:tblPr>
      <w:tblGrid>
        <w:gridCol w:w="4261"/>
        <w:gridCol w:w="4262"/>
      </w:tblGrid>
      <w:tr w:rsidR="00C3331B" w:rsidTr="00C3331B">
        <w:tc>
          <w:tcPr>
            <w:tcW w:w="4261" w:type="dxa"/>
          </w:tcPr>
          <w:p w:rsidR="00C3331B" w:rsidRDefault="00C3331B" w:rsidP="000C39D1">
            <w:pPr>
              <w:pStyle w:val="libFootnote0"/>
              <w:rPr>
                <w:rtl/>
              </w:rPr>
            </w:pPr>
            <w:r>
              <w:rPr>
                <w:rtl/>
              </w:rPr>
              <w:t>(9).</w:t>
            </w:r>
            <w:r w:rsidRPr="00132E65">
              <w:rPr>
                <w:rtl/>
              </w:rPr>
              <w:t xml:space="preserve"> في « بر » : « إليك »</w:t>
            </w:r>
            <w:r>
              <w:rPr>
                <w:rtl/>
              </w:rPr>
              <w:t>.</w:t>
            </w:r>
          </w:p>
        </w:tc>
        <w:tc>
          <w:tcPr>
            <w:tcW w:w="4262" w:type="dxa"/>
          </w:tcPr>
          <w:p w:rsidR="00C3331B" w:rsidRDefault="00C3331B" w:rsidP="000C39D1">
            <w:pPr>
              <w:pStyle w:val="libFootnote0"/>
              <w:rPr>
                <w:rtl/>
              </w:rPr>
            </w:pPr>
            <w:r>
              <w:rPr>
                <w:rtl/>
              </w:rPr>
              <w:t>(10).</w:t>
            </w:r>
            <w:r w:rsidRPr="00132E65">
              <w:rPr>
                <w:rtl/>
              </w:rPr>
              <w:t xml:space="preserve"> في « ب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(11).</w:t>
      </w:r>
      <w:r w:rsidRPr="00132E65">
        <w:rPr>
          <w:rtl/>
        </w:rPr>
        <w:t xml:space="preserve"> هكذا في « ب ، ج ، ض ، بح ، بر ، بس ، بف » وشرح المازندراني </w:t>
      </w:r>
      <w:r w:rsidRPr="00C3331B">
        <w:rPr>
          <w:rtl/>
        </w:rPr>
        <w:t>والوافي</w:t>
      </w:r>
      <w:r w:rsidRPr="00132E65">
        <w:rPr>
          <w:rtl/>
        </w:rPr>
        <w:t xml:space="preserve">. وفي بعض النسخ والمطبوع : « بحائن » بالحاء المهملة : وهو مَثَل منقول بالحاء المهملة والمعجمة كلتيهما. </w:t>
      </w:r>
      <w:r>
        <w:rPr>
          <w:rtl/>
        </w:rPr>
        <w:t>و «</w:t>
      </w:r>
      <w:r w:rsidRPr="00132E65">
        <w:rPr>
          <w:rtl/>
        </w:rPr>
        <w:t xml:space="preserve"> الحائن » بالمهملة ، من قرب أجله ، والباء للتعديّه ، </w:t>
      </w:r>
      <w:r>
        <w:rPr>
          <w:rtl/>
        </w:rPr>
        <w:t>و «</w:t>
      </w:r>
      <w:r w:rsidRPr="00132E65">
        <w:rPr>
          <w:rtl/>
        </w:rPr>
        <w:t xml:space="preserve"> رجلاه » فاعل « أتت »</w:t>
      </w:r>
      <w:r>
        <w:rPr>
          <w:rtl/>
        </w:rPr>
        <w:t>.</w:t>
      </w:r>
      <w:r w:rsidRPr="00132E65">
        <w:rPr>
          <w:rtl/>
        </w:rPr>
        <w:t xml:space="preserve"> وفي </w:t>
      </w:r>
      <w:r w:rsidRPr="009D1ACE">
        <w:rPr>
          <w:rStyle w:val="libFootnoteBoldChar"/>
          <w:rtl/>
        </w:rPr>
        <w:t>مرآة العقول</w:t>
      </w:r>
      <w:r w:rsidRPr="00132E65">
        <w:rPr>
          <w:rtl/>
        </w:rPr>
        <w:t xml:space="preserve"> : « وهو مثل يضرب لمن أعان على نفسه بعد خيانته »</w:t>
      </w:r>
      <w:r>
        <w:rPr>
          <w:rtl/>
        </w:rPr>
        <w:t>.</w:t>
      </w:r>
    </w:p>
    <w:p w:rsidR="000C39D1" w:rsidRPr="00132E65" w:rsidRDefault="000C39D1" w:rsidP="000C39D1">
      <w:pPr>
        <w:pStyle w:val="libFootnote0"/>
        <w:rPr>
          <w:rtl/>
          <w:lang w:bidi="fa-IR"/>
        </w:rPr>
      </w:pPr>
      <w:r>
        <w:rPr>
          <w:rtl/>
        </w:rPr>
        <w:t>(12).</w:t>
      </w:r>
      <w:r w:rsidRPr="00132E65">
        <w:rPr>
          <w:rtl/>
        </w:rPr>
        <w:t xml:space="preserve"> « النطع » بالكسر والفتح وبالتحريك ، وكعنب : بساط من الأديم ، وهو الجلد المدبوغ. راجع : </w:t>
      </w:r>
      <w:r w:rsidRPr="00C3331B">
        <w:rPr>
          <w:rStyle w:val="libFootnoteBoldChar"/>
          <w:rtl/>
        </w:rPr>
        <w:t>القاموس المحيط</w:t>
      </w:r>
      <w:r w:rsidRPr="00132E65">
        <w:rPr>
          <w:rtl/>
        </w:rPr>
        <w:t xml:space="preserve"> ، ج 2 ، ص 1026.</w:t>
      </w:r>
    </w:p>
    <w:p w:rsidR="000C39D1" w:rsidRPr="00132E65" w:rsidRDefault="000C39D1" w:rsidP="000C39D1">
      <w:pPr>
        <w:pStyle w:val="libFootnote0"/>
        <w:rPr>
          <w:rtl/>
          <w:lang w:bidi="fa-IR"/>
        </w:rPr>
      </w:pPr>
      <w:r>
        <w:rPr>
          <w:rtl/>
        </w:rPr>
        <w:t>(13)</w:t>
      </w:r>
      <w:r w:rsidRPr="00132E65">
        <w:rPr>
          <w:rtl/>
        </w:rPr>
        <w:t xml:space="preserve"> في حاشية « بس » : « فكشفت »</w:t>
      </w:r>
      <w:r>
        <w:rPr>
          <w:rtl/>
        </w:rPr>
        <w:t>.</w:t>
      </w:r>
      <w:r w:rsidRPr="00132E65">
        <w:rPr>
          <w:rtl/>
        </w:rPr>
        <w:t xml:space="preserve"> وقوله : « فكتفت » من الكَتْف ، وهو شدّ اليدين من خلف بالكِتاف ، والكِتاف : حبل يشدّ به. هكذا في اللغة والشروح. راجع : </w:t>
      </w:r>
      <w:r w:rsidRPr="009D1ACE">
        <w:rPr>
          <w:rStyle w:val="libFootnoteBoldChar"/>
          <w:rtl/>
        </w:rPr>
        <w:t>لسان العرب</w:t>
      </w:r>
      <w:r w:rsidRPr="00132E65">
        <w:rPr>
          <w:rtl/>
        </w:rPr>
        <w:t xml:space="preserve"> ، ج 9 ، ص 295 ( كتف )</w:t>
      </w:r>
      <w:r>
        <w:rPr>
          <w:rtl/>
        </w:rPr>
        <w:t>.</w:t>
      </w:r>
    </w:p>
    <w:p w:rsidR="000C39D1" w:rsidRPr="00132E65" w:rsidRDefault="000C39D1" w:rsidP="000C39D1">
      <w:pPr>
        <w:pStyle w:val="libFootnote0"/>
        <w:rPr>
          <w:rtl/>
          <w:lang w:bidi="fa-IR"/>
        </w:rPr>
      </w:pPr>
      <w:r>
        <w:rPr>
          <w:rtl/>
        </w:rPr>
        <w:t>(14)</w:t>
      </w:r>
      <w:r w:rsidRPr="00132E65">
        <w:rPr>
          <w:rtl/>
        </w:rPr>
        <w:t xml:space="preserve"> في « ب » : « فشدّ »</w:t>
      </w:r>
      <w:r>
        <w:rPr>
          <w:rtl/>
        </w:rPr>
        <w:t>.</w:t>
      </w:r>
    </w:p>
    <w:p w:rsidR="000C39D1" w:rsidRPr="00132E65" w:rsidRDefault="000C39D1" w:rsidP="000C39D1">
      <w:pPr>
        <w:pStyle w:val="libFootnote0"/>
        <w:rPr>
          <w:rtl/>
          <w:lang w:bidi="fa-IR"/>
        </w:rPr>
      </w:pPr>
      <w:r>
        <w:rPr>
          <w:rtl/>
        </w:rPr>
        <w:t>(15)</w:t>
      </w:r>
      <w:r w:rsidRPr="00132E65">
        <w:rPr>
          <w:rtl/>
        </w:rPr>
        <w:t xml:space="preserve"> « عَنْوَةً » ، أي قهراً وغلبةً. وهو من عنا يعنو ، إذا ذلّ وخضع. والعنوة : المرّة الواحدة منه ، كأنّ المأخوذ بها</w:t>
      </w:r>
      <w:r w:rsidR="00C3331B">
        <w:rPr>
          <w:rFonts w:hint="cs"/>
          <w:rtl/>
        </w:rPr>
        <w:t xml:space="preserve"> </w:t>
      </w:r>
      <w:r w:rsidRPr="00132E65">
        <w:rPr>
          <w:rtl/>
        </w:rPr>
        <w:t xml:space="preserve">يخضع ويذلّ. </w:t>
      </w:r>
      <w:r w:rsidRPr="00C3331B">
        <w:rPr>
          <w:rStyle w:val="libFootnoteBoldChar"/>
          <w:rtl/>
        </w:rPr>
        <w:t>النهاية</w:t>
      </w:r>
      <w:r w:rsidRPr="00132E65">
        <w:rPr>
          <w:rtl/>
        </w:rPr>
        <w:t xml:space="preserve"> ، ج 3 ، ص 315 ( عنا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أَمْرٌ أَذْكُرُهُ لَكَ ، ثُمَّ أَنْتَ و</w:t>
      </w:r>
      <w:r w:rsidR="00C3331B">
        <w:rPr>
          <w:rFonts w:hint="cs"/>
          <w:rtl/>
          <w:lang w:bidi="fa-IR"/>
        </w:rPr>
        <w:t>َ</w:t>
      </w:r>
      <w:r w:rsidRPr="00132E65">
        <w:rPr>
          <w:rtl/>
          <w:lang w:bidi="fa-IR"/>
        </w:rPr>
        <w:t xml:space="preserve">شَأْنَكَ ، فَقَالَ : قُلْ ، فَقُلْتُ </w:t>
      </w:r>
      <w:r>
        <w:rPr>
          <w:rStyle w:val="libFootnotenumChar"/>
          <w:rtl/>
        </w:rPr>
        <w:t>(1)</w:t>
      </w:r>
      <w:r w:rsidRPr="00132E65">
        <w:rPr>
          <w:rtl/>
          <w:lang w:bidi="fa-IR"/>
        </w:rPr>
        <w:t xml:space="preserve"> : أَخْلِنِي </w:t>
      </w:r>
      <w:r>
        <w:rPr>
          <w:rStyle w:val="libFootnotenumChar"/>
          <w:rtl/>
        </w:rPr>
        <w:t>(2)</w:t>
      </w:r>
      <w:r w:rsidRPr="00132E65">
        <w:rPr>
          <w:rtl/>
          <w:lang w:bidi="fa-IR"/>
        </w:rPr>
        <w:t xml:space="preserve"> ، فَأَمَرَ مَنْ حَضَرَ ، فَخَرَجُوا.</w:t>
      </w:r>
    </w:p>
    <w:p w:rsidR="000C39D1" w:rsidRPr="00132E65" w:rsidRDefault="000C39D1" w:rsidP="000C39D1">
      <w:pPr>
        <w:pStyle w:val="libNormal"/>
        <w:rPr>
          <w:rtl/>
          <w:lang w:bidi="fa-IR"/>
        </w:rPr>
      </w:pPr>
      <w:r w:rsidRPr="00132E65">
        <w:rPr>
          <w:rtl/>
          <w:lang w:bidi="fa-IR"/>
        </w:rPr>
        <w:t xml:space="preserve">فَقُلْتُ لَهُ </w:t>
      </w:r>
      <w:r>
        <w:rPr>
          <w:rStyle w:val="libFootnotenumChar"/>
          <w:rtl/>
        </w:rPr>
        <w:t>(3)</w:t>
      </w:r>
      <w:r w:rsidRPr="00132E65">
        <w:rPr>
          <w:rtl/>
          <w:lang w:bidi="fa-IR"/>
        </w:rPr>
        <w:t xml:space="preserve"> : جَعْفَرُ بْنُ مُحَمَّدٍ يُقْرِئُكَ السَّلَامَ ، ويَقُولُ لَكَ : « قَدْ أَجَرْتُ </w:t>
      </w:r>
      <w:r>
        <w:rPr>
          <w:rStyle w:val="libFootnotenumChar"/>
          <w:rtl/>
        </w:rPr>
        <w:t>(4)</w:t>
      </w:r>
      <w:r w:rsidRPr="00132E65">
        <w:rPr>
          <w:rtl/>
          <w:lang w:bidi="fa-IR"/>
        </w:rPr>
        <w:t xml:space="preserve"> عَلَيْكَ مَوْلَاكَ رُفَيْداً فَلَا تَهِجْهُ بِسُوءٍ »</w:t>
      </w:r>
      <w:r>
        <w:rPr>
          <w:rtl/>
          <w:lang w:bidi="fa-IR"/>
        </w:rPr>
        <w:t>.</w:t>
      </w:r>
    </w:p>
    <w:p w:rsidR="000C39D1" w:rsidRPr="00132E65" w:rsidRDefault="000C39D1" w:rsidP="000C39D1">
      <w:pPr>
        <w:pStyle w:val="libNormal"/>
        <w:rPr>
          <w:rtl/>
          <w:lang w:bidi="fa-IR"/>
        </w:rPr>
      </w:pPr>
      <w:r w:rsidRPr="00132E65">
        <w:rPr>
          <w:rtl/>
          <w:lang w:bidi="fa-IR"/>
        </w:rPr>
        <w:t>فَقَالَ : و</w:t>
      </w:r>
      <w:r w:rsidR="008669B7">
        <w:rPr>
          <w:rFonts w:hint="cs"/>
          <w:rtl/>
          <w:lang w:bidi="fa-IR"/>
        </w:rPr>
        <w:t>َ</w:t>
      </w:r>
      <w:r w:rsidRPr="00132E65">
        <w:rPr>
          <w:rtl/>
          <w:lang w:bidi="fa-IR"/>
        </w:rPr>
        <w:t xml:space="preserve">اللهِ </w:t>
      </w:r>
      <w:r>
        <w:rPr>
          <w:rStyle w:val="libFootnotenumChar"/>
          <w:rtl/>
        </w:rPr>
        <w:t>(5)</w:t>
      </w:r>
      <w:r w:rsidRPr="00132E65">
        <w:rPr>
          <w:rtl/>
          <w:lang w:bidi="fa-IR"/>
        </w:rPr>
        <w:t xml:space="preserve"> ، لَقَدْ قَالَ لَكَ جَعْفَرٌ </w:t>
      </w:r>
      <w:r>
        <w:rPr>
          <w:rStyle w:val="libFootnotenumChar"/>
          <w:rtl/>
        </w:rPr>
        <w:t>(6)</w:t>
      </w:r>
      <w:r w:rsidRPr="00132E65">
        <w:rPr>
          <w:rtl/>
          <w:lang w:bidi="fa-IR"/>
        </w:rPr>
        <w:t xml:space="preserve"> هذِهِ الْمَقَالَةَ ، و</w:t>
      </w:r>
      <w:r w:rsidR="008669B7">
        <w:rPr>
          <w:rFonts w:hint="cs"/>
          <w:rtl/>
          <w:lang w:bidi="fa-IR"/>
        </w:rPr>
        <w:t>َ</w:t>
      </w:r>
      <w:r w:rsidRPr="00132E65">
        <w:rPr>
          <w:rtl/>
          <w:lang w:bidi="fa-IR"/>
        </w:rPr>
        <w:t>أَقْرَأَنِي السَّلَامَ</w:t>
      </w:r>
      <w:r>
        <w:rPr>
          <w:rtl/>
          <w:lang w:bidi="fa-IR"/>
        </w:rPr>
        <w:t>؟!</w:t>
      </w:r>
      <w:r w:rsidRPr="00132E65">
        <w:rPr>
          <w:rtl/>
          <w:lang w:bidi="fa-IR"/>
        </w:rPr>
        <w:t xml:space="preserve"> فَحَلَفْتُ لَهُ </w:t>
      </w:r>
      <w:r>
        <w:rPr>
          <w:rStyle w:val="libFootnotenumChar"/>
          <w:rtl/>
        </w:rPr>
        <w:t>(7)</w:t>
      </w:r>
      <w:r w:rsidRPr="00132E65">
        <w:rPr>
          <w:rtl/>
          <w:lang w:bidi="fa-IR"/>
        </w:rPr>
        <w:t xml:space="preserve"> ، فَرَدَّهَا عَلَيَّ ثَلَاثاً ، ثُمَّ حَلَّ أَكْتَافِي ، ثُمَّ قَالَ : لَايُقْنِعُنِي مِنْكَ حَتّى تَفْعَلَ بِي </w:t>
      </w:r>
      <w:r>
        <w:rPr>
          <w:rStyle w:val="libFootnotenumChar"/>
          <w:rtl/>
        </w:rPr>
        <w:t>(8)</w:t>
      </w:r>
      <w:r w:rsidRPr="00132E65">
        <w:rPr>
          <w:rtl/>
          <w:lang w:bidi="fa-IR"/>
        </w:rPr>
        <w:t xml:space="preserve"> مَا فَعَلْتُ بِكَ ، قُلْتُ : مَا تَنْطَلِقُ </w:t>
      </w:r>
      <w:r>
        <w:rPr>
          <w:rStyle w:val="libFootnotenumChar"/>
          <w:rtl/>
        </w:rPr>
        <w:t>(9)</w:t>
      </w:r>
      <w:r w:rsidRPr="00132E65">
        <w:rPr>
          <w:rtl/>
          <w:lang w:bidi="fa-IR"/>
        </w:rPr>
        <w:t xml:space="preserve"> يَدِي بِذَاكَ ، ولَاتَطِيبُ بِهِ </w:t>
      </w:r>
      <w:r>
        <w:rPr>
          <w:rStyle w:val="libFootnotenumChar"/>
          <w:rtl/>
        </w:rPr>
        <w:t>(10)</w:t>
      </w:r>
      <w:r w:rsidRPr="00132E65">
        <w:rPr>
          <w:rtl/>
          <w:lang w:bidi="fa-IR"/>
        </w:rPr>
        <w:t xml:space="preserve"> نَفْسِي ، فَقَالَ : و</w:t>
      </w:r>
      <w:r w:rsidR="008669B7">
        <w:rPr>
          <w:rFonts w:hint="cs"/>
          <w:rtl/>
          <w:lang w:bidi="fa-IR"/>
        </w:rPr>
        <w:t>َ</w:t>
      </w:r>
      <w:r w:rsidR="008669B7">
        <w:rPr>
          <w:rtl/>
          <w:lang w:bidi="fa-IR"/>
        </w:rPr>
        <w:t>اللهِ ، مَا يُقْنِعُنِي إِل</w:t>
      </w:r>
      <w:r w:rsidR="008669B7">
        <w:rPr>
          <w:rFonts w:hint="cs"/>
          <w:rtl/>
          <w:lang w:bidi="fa-IR"/>
        </w:rPr>
        <w:t>َّ</w:t>
      </w:r>
      <w:r w:rsidR="008669B7">
        <w:rPr>
          <w:rtl/>
          <w:lang w:bidi="fa-IR"/>
        </w:rPr>
        <w:t>ا</w:t>
      </w:r>
      <w:r w:rsidRPr="00132E65">
        <w:rPr>
          <w:rtl/>
          <w:lang w:bidi="fa-IR"/>
        </w:rPr>
        <w:t xml:space="preserve"> ذَاكَ </w:t>
      </w:r>
      <w:r>
        <w:rPr>
          <w:rStyle w:val="libFootnotenumChar"/>
          <w:rtl/>
        </w:rPr>
        <w:t>(11)</w:t>
      </w:r>
      <w:r w:rsidRPr="00132E65">
        <w:rPr>
          <w:rtl/>
          <w:lang w:bidi="fa-IR"/>
        </w:rPr>
        <w:t xml:space="preserve"> ، فَفَعَلْتُ بِهِ كَمَا </w:t>
      </w:r>
      <w:r>
        <w:rPr>
          <w:rStyle w:val="libFootnotenumChar"/>
          <w:rtl/>
        </w:rPr>
        <w:t>(12)</w:t>
      </w:r>
      <w:r w:rsidRPr="00132E65">
        <w:rPr>
          <w:rtl/>
          <w:lang w:bidi="fa-IR"/>
        </w:rPr>
        <w:t xml:space="preserve"> فَعَلَ بِي ، و</w:t>
      </w:r>
      <w:r w:rsidR="008669B7">
        <w:rPr>
          <w:rFonts w:hint="cs"/>
          <w:rtl/>
          <w:lang w:bidi="fa-IR"/>
        </w:rPr>
        <w:t>َ</w:t>
      </w:r>
      <w:r w:rsidRPr="00132E65">
        <w:rPr>
          <w:rtl/>
          <w:lang w:bidi="fa-IR"/>
        </w:rPr>
        <w:t xml:space="preserve">أَطْلَقْتُهُ </w:t>
      </w:r>
      <w:r w:rsidRPr="00F543F1">
        <w:rPr>
          <w:rStyle w:val="libFootnotenumChar"/>
          <w:rtl/>
        </w:rPr>
        <w:t>(13)</w:t>
      </w:r>
      <w:r w:rsidRPr="00132E65">
        <w:rPr>
          <w:rtl/>
          <w:lang w:bidi="fa-IR"/>
        </w:rPr>
        <w:t xml:space="preserve"> ، فَنَاوَلَنِي خَاتَمَهُ ، و</w:t>
      </w:r>
      <w:r w:rsidR="008669B7">
        <w:rPr>
          <w:rFonts w:hint="cs"/>
          <w:rtl/>
          <w:lang w:bidi="fa-IR"/>
        </w:rPr>
        <w:t>َ</w:t>
      </w:r>
      <w:r w:rsidRPr="00132E65">
        <w:rPr>
          <w:rtl/>
          <w:lang w:bidi="fa-IR"/>
        </w:rPr>
        <w:t xml:space="preserve">قَالَ : أُمُورِي فِي يَدِكَ ، فَدَبِّرْ فِيهَا مَا شِئْتَ.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343EDA">
        <w:rPr>
          <w:rtl/>
        </w:rPr>
        <w:t>1284</w:t>
      </w:r>
      <w:r w:rsidRPr="004325D8">
        <w:rPr>
          <w:rStyle w:val="libBold2Char"/>
          <w:rtl/>
        </w:rPr>
        <w:t xml:space="preserve"> / 4.</w:t>
      </w:r>
      <w:r w:rsidRPr="00132E65">
        <w:rPr>
          <w:rtl/>
          <w:lang w:bidi="fa-IR"/>
        </w:rPr>
        <w:t xml:space="preserve"> مُحَمَّدُ بْنُ يَحْيى ، عَنْ أَحْمَدَ بْنِ مُحَمَّدٍ ، عَنْ عُمَرَ بْنِ عَبْدِ الْعَزِيزِ ، عَنِ الْخَيْبَرِيِّ </w:t>
      </w:r>
      <w:r w:rsidRPr="00F543F1">
        <w:rPr>
          <w:rStyle w:val="libFootnotenumChar"/>
          <w:rtl/>
        </w:rPr>
        <w:t>(15)</w:t>
      </w:r>
      <w:r w:rsidRPr="00132E65">
        <w:rPr>
          <w:rtl/>
          <w:lang w:bidi="fa-IR"/>
        </w:rPr>
        <w:t xml:space="preserve"> ، عَنْ يُونُسَ بْنِ ظَبْيَانَ و</w:t>
      </w:r>
      <w:r w:rsidR="008669B7">
        <w:rPr>
          <w:rFonts w:hint="cs"/>
          <w:rtl/>
          <w:lang w:bidi="fa-IR"/>
        </w:rPr>
        <w:t>َ</w:t>
      </w:r>
      <w:r w:rsidRPr="00132E65">
        <w:rPr>
          <w:rtl/>
          <w:lang w:bidi="fa-IR"/>
        </w:rPr>
        <w:t>مُفَضَّلِ بْنِ عُمَرَ وأَبِي سَلَمَةَ السَّرَّاجِ والْحُسَيْنِ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ف ، بس ، بف » : « قلت »</w:t>
      </w:r>
      <w:r>
        <w:rPr>
          <w:rtl/>
        </w:rPr>
        <w:t>.</w:t>
      </w:r>
    </w:p>
    <w:p w:rsidR="000C39D1" w:rsidRPr="00132E65" w:rsidRDefault="000C39D1" w:rsidP="000C39D1">
      <w:pPr>
        <w:pStyle w:val="libFootnote0"/>
        <w:rPr>
          <w:rtl/>
          <w:lang w:bidi="fa-IR"/>
        </w:rPr>
      </w:pPr>
      <w:r>
        <w:rPr>
          <w:rtl/>
        </w:rPr>
        <w:t>(2).</w:t>
      </w:r>
      <w:r w:rsidRPr="00132E65">
        <w:rPr>
          <w:rtl/>
        </w:rPr>
        <w:t xml:space="preserve"> « أخلني » ، أي اجتمعْ بي في خلوة ؛ من الإخلاء. راجع : </w:t>
      </w:r>
      <w:r w:rsidRPr="009D1ACE">
        <w:rPr>
          <w:rStyle w:val="libFootnoteBoldChar"/>
          <w:rtl/>
        </w:rPr>
        <w:t>لسان العرب</w:t>
      </w:r>
      <w:r w:rsidRPr="00132E65">
        <w:rPr>
          <w:rtl/>
        </w:rPr>
        <w:t xml:space="preserve"> ، ج 14 ، ص 238 ( خلو )</w:t>
      </w:r>
      <w:r>
        <w:rPr>
          <w:rtl/>
        </w:rPr>
        <w:t>.</w:t>
      </w:r>
    </w:p>
    <w:p w:rsidR="000C39D1" w:rsidRPr="00132E65" w:rsidRDefault="000C39D1" w:rsidP="000C39D1">
      <w:pPr>
        <w:pStyle w:val="libFootnote0"/>
        <w:rPr>
          <w:rtl/>
          <w:lang w:bidi="fa-IR"/>
        </w:rPr>
      </w:pPr>
      <w:r>
        <w:rPr>
          <w:rtl/>
        </w:rPr>
        <w:t>(3).</w:t>
      </w:r>
      <w:r w:rsidRPr="00132E65">
        <w:rPr>
          <w:rtl/>
        </w:rPr>
        <w:t xml:space="preserve"> في « ج » :</w:t>
      </w:r>
      <w:r>
        <w:rPr>
          <w:rtl/>
        </w:rPr>
        <w:t xml:space="preserve"> + </w:t>
      </w:r>
      <w:r w:rsidRPr="00132E65">
        <w:rPr>
          <w:rtl/>
        </w:rPr>
        <w:t>« مولاك »</w:t>
      </w:r>
      <w:r>
        <w:rPr>
          <w:rtl/>
        </w:rPr>
        <w:t>.</w:t>
      </w:r>
      <w:r w:rsidRPr="00132E65">
        <w:rPr>
          <w:rtl/>
        </w:rPr>
        <w:t xml:space="preserve"> وفي « ف »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(4).</w:t>
      </w:r>
      <w:r w:rsidRPr="00132E65">
        <w:rPr>
          <w:rtl/>
        </w:rPr>
        <w:t xml:space="preserve"> ما أثبتناه هو الصحيح ، وهو من الجوار. وفي المطبوع : « آجرتُ » من أجر.</w:t>
      </w:r>
    </w:p>
    <w:p w:rsidR="000C39D1" w:rsidRPr="00132E65" w:rsidRDefault="000C39D1" w:rsidP="000C39D1">
      <w:pPr>
        <w:pStyle w:val="libFootnote0"/>
        <w:rPr>
          <w:rtl/>
          <w:lang w:bidi="fa-IR"/>
        </w:rPr>
      </w:pPr>
      <w:r>
        <w:rPr>
          <w:rtl/>
        </w:rPr>
        <w:t>(5).</w:t>
      </w:r>
      <w:r w:rsidRPr="00132E65">
        <w:rPr>
          <w:rtl/>
        </w:rPr>
        <w:t xml:space="preserve"> في « ب ، ض ، ف ، بس ، بف » : « الله » بدون الواو. وفي « بح ، بر » و</w:t>
      </w:r>
      <w:r w:rsidRPr="009D1ACE">
        <w:rPr>
          <w:rStyle w:val="libFootnoteBoldChar"/>
          <w:rtl/>
        </w:rPr>
        <w:t>الوافي</w:t>
      </w:r>
      <w:r w:rsidRPr="00132E65">
        <w:rPr>
          <w:rtl/>
        </w:rPr>
        <w:t xml:space="preserve"> : « الله أكبر » بدل « والله »</w:t>
      </w:r>
      <w:r>
        <w:rPr>
          <w:rtl/>
        </w:rPr>
        <w:t>.</w:t>
      </w:r>
    </w:p>
    <w:p w:rsidR="000C39D1" w:rsidRPr="00132E65" w:rsidRDefault="000C39D1" w:rsidP="000C39D1">
      <w:pPr>
        <w:pStyle w:val="libFootnote0"/>
        <w:rPr>
          <w:rtl/>
          <w:lang w:bidi="fa-IR"/>
        </w:rPr>
      </w:pPr>
      <w:r>
        <w:rPr>
          <w:rtl/>
        </w:rPr>
        <w:t>(6).</w:t>
      </w:r>
      <w:r w:rsidRPr="00132E65">
        <w:rPr>
          <w:rtl/>
        </w:rPr>
        <w:t xml:space="preserve"> هكذا في النسخ التي قوبلت و</w:t>
      </w:r>
      <w:r w:rsidRPr="009D1ACE">
        <w:rPr>
          <w:rStyle w:val="libFootnoteBoldChar"/>
          <w:rtl/>
        </w:rPr>
        <w:t>الوافي</w:t>
      </w:r>
      <w:r w:rsidRPr="00132E65">
        <w:rPr>
          <w:rtl/>
        </w:rPr>
        <w:t>. وفي المطبوع :</w:t>
      </w:r>
      <w:r>
        <w:rPr>
          <w:rtl/>
        </w:rPr>
        <w:t xml:space="preserve"> + </w:t>
      </w:r>
      <w:r w:rsidRPr="00132E65">
        <w:rPr>
          <w:rtl/>
        </w:rPr>
        <w:t>« [ بن محمّد ] »</w:t>
      </w:r>
      <w:r>
        <w:rPr>
          <w:rtl/>
        </w:rPr>
        <w:t>.</w:t>
      </w:r>
    </w:p>
    <w:p w:rsidR="000C39D1" w:rsidRPr="00132E65" w:rsidRDefault="000C39D1" w:rsidP="000C39D1">
      <w:pPr>
        <w:pStyle w:val="libFootnote0"/>
        <w:rPr>
          <w:rtl/>
          <w:lang w:bidi="fa-IR"/>
        </w:rPr>
      </w:pPr>
      <w:r>
        <w:rPr>
          <w:rtl/>
        </w:rPr>
        <w:t>(7).</w:t>
      </w:r>
      <w:r w:rsidRPr="00132E65">
        <w:rPr>
          <w:rtl/>
        </w:rPr>
        <w:t xml:space="preserve"> في « بح ، بس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(8).</w:t>
      </w:r>
      <w:r w:rsidRPr="00132E65">
        <w:rPr>
          <w:rtl/>
        </w:rPr>
        <w:t xml:space="preserve"> هكذا في « ب ، ض ، ف ، بح ، بر ، بس ، بف »</w:t>
      </w:r>
      <w:r>
        <w:rPr>
          <w:rtl/>
        </w:rPr>
        <w:t>.</w:t>
      </w:r>
      <w:r w:rsidRPr="00132E65">
        <w:rPr>
          <w:rtl/>
        </w:rPr>
        <w:t xml:space="preserve"> وفي المطبوع : « لي »</w:t>
      </w:r>
      <w:r>
        <w:rPr>
          <w:rtl/>
        </w:rPr>
        <w:t>.</w:t>
      </w:r>
    </w:p>
    <w:tbl>
      <w:tblPr>
        <w:tblStyle w:val="TableGrid"/>
        <w:bidiVisual/>
        <w:tblW w:w="0" w:type="auto"/>
        <w:tblLook w:val="04A0" w:firstRow="1" w:lastRow="0" w:firstColumn="1" w:lastColumn="0" w:noHBand="0" w:noVBand="1"/>
      </w:tblPr>
      <w:tblGrid>
        <w:gridCol w:w="4261"/>
        <w:gridCol w:w="4262"/>
      </w:tblGrid>
      <w:tr w:rsidR="008669B7" w:rsidTr="008669B7">
        <w:tc>
          <w:tcPr>
            <w:tcW w:w="4261" w:type="dxa"/>
          </w:tcPr>
          <w:p w:rsidR="008669B7" w:rsidRDefault="008669B7" w:rsidP="000C39D1">
            <w:pPr>
              <w:pStyle w:val="libFootnote0"/>
              <w:rPr>
                <w:rtl/>
              </w:rPr>
            </w:pPr>
            <w:r>
              <w:rPr>
                <w:rtl/>
              </w:rPr>
              <w:t>(9).</w:t>
            </w:r>
            <w:r w:rsidRPr="00132E65">
              <w:rPr>
                <w:rtl/>
              </w:rPr>
              <w:t xml:space="preserve"> في « بح » : « ما ينطلق »</w:t>
            </w:r>
            <w:r>
              <w:rPr>
                <w:rtl/>
              </w:rPr>
              <w:t>.</w:t>
            </w:r>
          </w:p>
        </w:tc>
        <w:tc>
          <w:tcPr>
            <w:tcW w:w="4262" w:type="dxa"/>
          </w:tcPr>
          <w:p w:rsidR="008669B7" w:rsidRDefault="008669B7" w:rsidP="000C39D1">
            <w:pPr>
              <w:pStyle w:val="libFootnote0"/>
              <w:rPr>
                <w:rtl/>
              </w:rPr>
            </w:pPr>
            <w:r>
              <w:rPr>
                <w:rtl/>
              </w:rPr>
              <w:t>(10).</w:t>
            </w:r>
            <w:r w:rsidRPr="00132E65">
              <w:rPr>
                <w:rtl/>
              </w:rPr>
              <w:t xml:space="preserve"> في « ج » </w:t>
            </w:r>
            <w:r>
              <w:rPr>
                <w:rtl/>
              </w:rPr>
              <w:t xml:space="preserve">: - </w:t>
            </w:r>
            <w:r w:rsidRPr="00132E65">
              <w:rPr>
                <w:rtl/>
              </w:rPr>
              <w:t>« به »</w:t>
            </w:r>
            <w:r>
              <w:rPr>
                <w:rtl/>
              </w:rPr>
              <w:t>.</w:t>
            </w:r>
          </w:p>
        </w:tc>
      </w:tr>
      <w:tr w:rsidR="008669B7" w:rsidTr="008669B7">
        <w:tc>
          <w:tcPr>
            <w:tcW w:w="4261" w:type="dxa"/>
          </w:tcPr>
          <w:p w:rsidR="008669B7" w:rsidRDefault="008669B7" w:rsidP="000C39D1">
            <w:pPr>
              <w:pStyle w:val="libFootnote0"/>
              <w:rPr>
                <w:rtl/>
              </w:rPr>
            </w:pPr>
            <w:r>
              <w:rPr>
                <w:rtl/>
              </w:rPr>
              <w:t>(11).</w:t>
            </w:r>
            <w:r w:rsidRPr="00132E65">
              <w:rPr>
                <w:rtl/>
              </w:rPr>
              <w:t xml:space="preserve"> في « ب » : « ذلك »</w:t>
            </w:r>
            <w:r>
              <w:rPr>
                <w:rtl/>
              </w:rPr>
              <w:t>.</w:t>
            </w:r>
          </w:p>
        </w:tc>
        <w:tc>
          <w:tcPr>
            <w:tcW w:w="4262" w:type="dxa"/>
          </w:tcPr>
          <w:p w:rsidR="008669B7" w:rsidRDefault="008669B7" w:rsidP="000C39D1">
            <w:pPr>
              <w:pStyle w:val="libFootnote0"/>
              <w:rPr>
                <w:rtl/>
              </w:rPr>
            </w:pPr>
            <w:r>
              <w:rPr>
                <w:rtl/>
              </w:rPr>
              <w:t>(12).</w:t>
            </w:r>
            <w:r w:rsidRPr="00132E65">
              <w:rPr>
                <w:rtl/>
              </w:rPr>
              <w:t xml:space="preserve"> في « ج » : « ما »</w:t>
            </w:r>
            <w:r>
              <w:rPr>
                <w:rtl/>
              </w:rPr>
              <w:t>.</w:t>
            </w:r>
          </w:p>
        </w:tc>
      </w:tr>
      <w:tr w:rsidR="008669B7" w:rsidTr="008669B7">
        <w:tc>
          <w:tcPr>
            <w:tcW w:w="4261" w:type="dxa"/>
          </w:tcPr>
          <w:p w:rsidR="008669B7" w:rsidRDefault="008669B7" w:rsidP="000C39D1">
            <w:pPr>
              <w:pStyle w:val="libFootnote0"/>
              <w:rPr>
                <w:rtl/>
              </w:rPr>
            </w:pPr>
            <w:r>
              <w:rPr>
                <w:rtl/>
              </w:rPr>
              <w:t>(13)</w:t>
            </w:r>
            <w:r w:rsidRPr="00132E65">
              <w:rPr>
                <w:rtl/>
              </w:rPr>
              <w:t xml:space="preserve"> في « ج » : « فأطلقته »</w:t>
            </w:r>
            <w:r>
              <w:rPr>
                <w:rtl/>
              </w:rPr>
              <w:t>.</w:t>
            </w:r>
          </w:p>
        </w:tc>
        <w:tc>
          <w:tcPr>
            <w:tcW w:w="4262" w:type="dxa"/>
          </w:tcPr>
          <w:p w:rsidR="008669B7" w:rsidRDefault="008669B7" w:rsidP="000C39D1">
            <w:pPr>
              <w:pStyle w:val="libFootnote0"/>
              <w:rPr>
                <w:rtl/>
              </w:rPr>
            </w:pPr>
            <w:r>
              <w:rPr>
                <w:rtl/>
              </w:rPr>
              <w:t>(14)</w:t>
            </w:r>
            <w:r w:rsidRPr="00132E65">
              <w:rPr>
                <w:rtl/>
              </w:rPr>
              <w:t xml:space="preserve"> </w:t>
            </w:r>
            <w:r w:rsidRPr="009D1ACE">
              <w:rPr>
                <w:rStyle w:val="libFootnoteBoldChar"/>
                <w:rtl/>
              </w:rPr>
              <w:t>الوافي</w:t>
            </w:r>
            <w:r w:rsidRPr="00132E65">
              <w:rPr>
                <w:rtl/>
              </w:rPr>
              <w:t xml:space="preserve"> ، ج 3 ، ص 790 ، ح 1403.</w:t>
            </w:r>
          </w:p>
        </w:tc>
      </w:tr>
    </w:tbl>
    <w:p w:rsidR="000C39D1" w:rsidRPr="00132E65" w:rsidRDefault="000C39D1" w:rsidP="000C39D1">
      <w:pPr>
        <w:pStyle w:val="libFootnote0"/>
        <w:rPr>
          <w:rtl/>
          <w:lang w:bidi="fa-IR"/>
        </w:rPr>
      </w:pPr>
      <w:r>
        <w:rPr>
          <w:rtl/>
        </w:rPr>
        <w:t>(15)</w:t>
      </w:r>
      <w:r w:rsidRPr="00132E65">
        <w:rPr>
          <w:rtl/>
        </w:rPr>
        <w:t xml:space="preserve"> ورد الخبر في </w:t>
      </w:r>
      <w:r w:rsidRPr="007A1104">
        <w:rPr>
          <w:rStyle w:val="libFootnoteBoldChar"/>
          <w:rtl/>
        </w:rPr>
        <w:t>بصائر الدرجات</w:t>
      </w:r>
      <w:r w:rsidRPr="00132E65">
        <w:rPr>
          <w:rtl/>
        </w:rPr>
        <w:t xml:space="preserve"> ، ص 374 ، ح 1 ، عن أحمد بن محمّد ، عن عمر بن عبدالعزيز ، عن الحميري ، وفي </w:t>
      </w:r>
      <w:r w:rsidRPr="00343EDA">
        <w:rPr>
          <w:rtl/>
        </w:rPr>
        <w:t>الاختصاص</w:t>
      </w:r>
      <w:r w:rsidRPr="00132E65">
        <w:rPr>
          <w:rtl/>
        </w:rPr>
        <w:t xml:space="preserve"> ، ص 269 ، عن أحمد بن محمّد بن عيسى ، عن عمر بن عبدالعزيز ، عن رجل ، عن الحسين </w:t>
      </w:r>
      <w:r w:rsidR="008669B7">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ثُوَيْرِ بْنِ أَبِي فَاخِتَةَ ، قَالُوا :</w:t>
      </w:r>
    </w:p>
    <w:p w:rsidR="000C39D1" w:rsidRPr="00132E65" w:rsidRDefault="000C39D1" w:rsidP="000C39D1">
      <w:pPr>
        <w:pStyle w:val="libNormal"/>
        <w:rPr>
          <w:rtl/>
          <w:lang w:bidi="fa-IR"/>
        </w:rPr>
      </w:pPr>
      <w:r w:rsidRPr="00132E65">
        <w:rPr>
          <w:rtl/>
          <w:lang w:bidi="fa-IR"/>
        </w:rPr>
        <w:t xml:space="preserve">كُنَّا عِنْدَ أَبِي عَبْدِ اللهِ </w:t>
      </w:r>
      <w:r w:rsidRPr="00071CF9">
        <w:rPr>
          <w:rStyle w:val="libAlaemChar"/>
          <w:rtl/>
        </w:rPr>
        <w:t>عليه‌السلام</w:t>
      </w:r>
      <w:r w:rsidRPr="00132E65">
        <w:rPr>
          <w:rtl/>
          <w:lang w:bidi="fa-IR"/>
        </w:rPr>
        <w:t xml:space="preserve"> ، فَقَالَ : « عِنْدَنَا </w:t>
      </w:r>
      <w:r>
        <w:rPr>
          <w:rStyle w:val="libFootnotenumChar"/>
          <w:rtl/>
        </w:rPr>
        <w:t>(1)</w:t>
      </w:r>
      <w:r w:rsidRPr="00132E65">
        <w:rPr>
          <w:rtl/>
          <w:lang w:bidi="fa-IR"/>
        </w:rPr>
        <w:t xml:space="preserve"> خَزَائِنُ الْأَرْضِ و</w:t>
      </w:r>
      <w:r w:rsidR="008669B7">
        <w:rPr>
          <w:rFonts w:hint="cs"/>
          <w:rtl/>
          <w:lang w:bidi="fa-IR"/>
        </w:rPr>
        <w:t>َ</w:t>
      </w:r>
      <w:r w:rsidRPr="00132E65">
        <w:rPr>
          <w:rtl/>
          <w:lang w:bidi="fa-IR"/>
        </w:rPr>
        <w:t>مَفَاتِيحُهَا ، و</w:t>
      </w:r>
      <w:r w:rsidR="008669B7">
        <w:rPr>
          <w:rFonts w:hint="cs"/>
          <w:rtl/>
          <w:lang w:bidi="fa-IR"/>
        </w:rPr>
        <w:t>َ</w:t>
      </w:r>
      <w:r w:rsidRPr="00132E65">
        <w:rPr>
          <w:rtl/>
          <w:lang w:bidi="fa-IR"/>
        </w:rPr>
        <w:t xml:space="preserve">لَوْ شِئْتُ أَنْ أَقُولَ </w:t>
      </w:r>
      <w:r>
        <w:rPr>
          <w:rStyle w:val="libFootnotenumChar"/>
          <w:rtl/>
        </w:rPr>
        <w:t>(2)</w:t>
      </w:r>
      <w:r w:rsidRPr="00132E65">
        <w:rPr>
          <w:rtl/>
          <w:lang w:bidi="fa-IR"/>
        </w:rPr>
        <w:t xml:space="preserve"> بِإِحْدى رِجْلَيَّ : أَخْرِجِي مَا فِيكِ مِنَ الذَّهَبِ ، لَأَخْرَجَتْ »</w:t>
      </w:r>
      <w:r>
        <w:rPr>
          <w:rtl/>
          <w:lang w:bidi="fa-IR"/>
        </w:rPr>
        <w:t>.</w:t>
      </w:r>
      <w:r w:rsidRPr="00132E65">
        <w:rPr>
          <w:rtl/>
          <w:lang w:bidi="fa-IR"/>
        </w:rPr>
        <w:t xml:space="preserve"> قَالَ : ثُمَّ قَالَ بِإِحْدى رِجْلَيْهِ ، فَخَطَّهَا فِي الْأَرْضِ خَطّاً ، فَانْفَرَجَتِ </w:t>
      </w:r>
      <w:r>
        <w:rPr>
          <w:rStyle w:val="libFootnotenumChar"/>
          <w:rtl/>
        </w:rPr>
        <w:t>(3)</w:t>
      </w:r>
      <w:r w:rsidRPr="00132E65">
        <w:rPr>
          <w:rtl/>
          <w:lang w:bidi="fa-IR"/>
        </w:rPr>
        <w:t xml:space="preserve"> الْأَرْضُ ، ثُمَّ قَالَ بِيَدِهِ ، فَأَخْرَجَ سَبِيكَةَ ذَهَبٍ قَدْرَ شِبْرٍ </w:t>
      </w:r>
      <w:r>
        <w:rPr>
          <w:rStyle w:val="libFootnotenumChar"/>
          <w:rtl/>
        </w:rPr>
        <w:t>(4)</w:t>
      </w:r>
      <w:r w:rsidRPr="00132E65">
        <w:rPr>
          <w:rtl/>
          <w:lang w:bidi="fa-IR"/>
        </w:rPr>
        <w:t xml:space="preserve"> ، ثُمَّ قَالَ : « انْظُرُوا حَسَناً »</w:t>
      </w:r>
      <w:r>
        <w:rPr>
          <w:rtl/>
          <w:lang w:bidi="fa-IR"/>
        </w:rPr>
        <w:t>.</w:t>
      </w:r>
      <w:r w:rsidRPr="00132E65">
        <w:rPr>
          <w:rtl/>
          <w:lang w:bidi="fa-IR"/>
        </w:rPr>
        <w:t xml:space="preserve"> فَنَظَرْنَا </w:t>
      </w:r>
      <w:r>
        <w:rPr>
          <w:rStyle w:val="libFootnotenumChar"/>
          <w:rtl/>
        </w:rPr>
        <w:t>(5)</w:t>
      </w:r>
      <w:r w:rsidRPr="00132E65">
        <w:rPr>
          <w:rtl/>
          <w:lang w:bidi="fa-IR"/>
        </w:rPr>
        <w:t xml:space="preserve"> فَإِذَا سَبَائِكِ </w:t>
      </w:r>
      <w:r>
        <w:rPr>
          <w:rStyle w:val="libFootnotenumChar"/>
          <w:rtl/>
        </w:rPr>
        <w:t>(6)</w:t>
      </w:r>
      <w:r w:rsidRPr="00132E65">
        <w:rPr>
          <w:rtl/>
          <w:lang w:bidi="fa-IR"/>
        </w:rPr>
        <w:t xml:space="preserve"> كَثِيرَةٌ بَعْضُهَا عَلى بَعْضٍ يَتَلَأْلَأُ </w:t>
      </w:r>
      <w:r>
        <w:rPr>
          <w:rStyle w:val="libFootnotenumChar"/>
          <w:rtl/>
        </w:rPr>
        <w:t>(7)</w:t>
      </w:r>
      <w:r w:rsidRPr="00132E65">
        <w:rPr>
          <w:rtl/>
          <w:lang w:bidi="fa-IR"/>
        </w:rPr>
        <w:t xml:space="preserve"> ، فَقَالَ لَهُ </w:t>
      </w:r>
      <w:r>
        <w:rPr>
          <w:rStyle w:val="libFootnotenumChar"/>
          <w:rtl/>
        </w:rPr>
        <w:t>(8)</w:t>
      </w:r>
      <w:r w:rsidRPr="00132E65">
        <w:rPr>
          <w:rtl/>
          <w:lang w:bidi="fa-IR"/>
        </w:rPr>
        <w:t xml:space="preserve"> بَعْضُنَا : جُعِلْتُ فِدَاكَ ، أُعْطِيتُمْ مَا أُعْطِيتُمْ </w:t>
      </w:r>
      <w:r>
        <w:rPr>
          <w:rStyle w:val="libFootnotenumChar"/>
          <w:rtl/>
        </w:rPr>
        <w:t>(9)</w:t>
      </w:r>
      <w:r w:rsidRPr="00132E65">
        <w:rPr>
          <w:rtl/>
          <w:lang w:bidi="fa-IR"/>
        </w:rPr>
        <w:t xml:space="preserve"> وشِيعَتُكُمْ مُحْتَاجُونَ </w:t>
      </w:r>
      <w:r>
        <w:rPr>
          <w:rStyle w:val="libFootnotenumChar"/>
          <w:rtl/>
        </w:rPr>
        <w:t>(10)</w:t>
      </w:r>
      <w:r>
        <w:rPr>
          <w:rtl/>
          <w:lang w:bidi="fa-IR"/>
        </w:rPr>
        <w:t>؟</w:t>
      </w:r>
      <w:r>
        <w:rPr>
          <w:rFonts w:hint="cs"/>
          <w:rtl/>
          <w:lang w:bidi="fa-IR"/>
        </w:rPr>
        <w:t xml:space="preserve"> </w:t>
      </w:r>
      <w:r w:rsidRPr="00132E65">
        <w:rPr>
          <w:rtl/>
          <w:lang w:bidi="fa-IR"/>
        </w:rPr>
        <w:t xml:space="preserve">قَالَ </w:t>
      </w:r>
      <w:r>
        <w:rPr>
          <w:rStyle w:val="libFootnotenumChar"/>
          <w:rtl/>
        </w:rPr>
        <w:t>(11)</w:t>
      </w:r>
      <w:r w:rsidRPr="00132E65">
        <w:rPr>
          <w:rtl/>
          <w:lang w:bidi="fa-IR"/>
        </w:rPr>
        <w:t xml:space="preserve"> : فَقَالَ : « إِنَّ اللهَ سَيَجْمَعُ لَنَا و</w:t>
      </w:r>
      <w:r w:rsidR="008669B7">
        <w:rPr>
          <w:rFonts w:hint="cs"/>
          <w:rtl/>
          <w:lang w:bidi="fa-IR"/>
        </w:rPr>
        <w:t>َ</w:t>
      </w:r>
      <w:r w:rsidRPr="00132E65">
        <w:rPr>
          <w:rtl/>
          <w:lang w:bidi="fa-IR"/>
        </w:rPr>
        <w:t>لِشِيعَتِنَا الدُّنْيَا والْآخِرَةَ ، و</w:t>
      </w:r>
      <w:r w:rsidR="008669B7">
        <w:rPr>
          <w:rFonts w:hint="cs"/>
          <w:rtl/>
          <w:lang w:bidi="fa-IR"/>
        </w:rPr>
        <w:t>َ</w:t>
      </w:r>
      <w:r w:rsidRPr="00132E65">
        <w:rPr>
          <w:rtl/>
          <w:lang w:bidi="fa-IR"/>
        </w:rPr>
        <w:t>يُدْخِلُهُمْ جَنَّاتِ‌</w:t>
      </w:r>
    </w:p>
    <w:p w:rsidR="000C39D1" w:rsidRPr="00132E65" w:rsidRDefault="000C39D1" w:rsidP="000C39D1">
      <w:pPr>
        <w:pStyle w:val="libLine"/>
        <w:rPr>
          <w:rtl/>
          <w:lang w:bidi="fa-IR"/>
        </w:rPr>
      </w:pPr>
      <w:r w:rsidRPr="00132E65">
        <w:rPr>
          <w:rtl/>
          <w:lang w:bidi="fa-IR"/>
        </w:rPr>
        <w:t>__________________</w:t>
      </w:r>
    </w:p>
    <w:p w:rsidR="000C39D1" w:rsidRPr="00132E65" w:rsidRDefault="008669B7" w:rsidP="000C39D1">
      <w:pPr>
        <w:pStyle w:val="libFootnote0"/>
        <w:rPr>
          <w:rtl/>
          <w:lang w:bidi="fa-IR"/>
        </w:rPr>
      </w:pPr>
      <w:r>
        <w:rPr>
          <w:rFonts w:hint="cs"/>
          <w:rtl/>
        </w:rPr>
        <w:t>=</w:t>
      </w:r>
      <w:r w:rsidR="000C39D1" w:rsidRPr="00132E65">
        <w:rPr>
          <w:rtl/>
        </w:rPr>
        <w:t>بن أحمد الخيبري.</w:t>
      </w:r>
    </w:p>
    <w:p w:rsidR="000C39D1" w:rsidRPr="00D60893" w:rsidRDefault="000C39D1" w:rsidP="00E55206">
      <w:pPr>
        <w:pStyle w:val="libFootnote0"/>
        <w:rPr>
          <w:rtl/>
          <w:lang w:bidi="ar-IQ"/>
        </w:rPr>
      </w:pPr>
      <w:r w:rsidRPr="00F543F1">
        <w:rPr>
          <w:rtl/>
        </w:rPr>
        <w:t xml:space="preserve">والصواب في العنوان هو الخيبري ، وهو خيبري بن عليّ الطحّان الذي روى عن الحسين بن ثوير ، وكان يصحب يونس بن ظبيان ويكثر الرواية عنه. راجع : </w:t>
      </w:r>
      <w:r w:rsidRPr="008669B7">
        <w:rPr>
          <w:rStyle w:val="libFootnoteBoldChar"/>
          <w:rtl/>
        </w:rPr>
        <w:t>رجال النجاشي</w:t>
      </w:r>
      <w:r w:rsidRPr="00F543F1">
        <w:rPr>
          <w:rtl/>
        </w:rPr>
        <w:t xml:space="preserve"> ،</w:t>
      </w:r>
      <w:r w:rsidRPr="00F543F1">
        <w:rPr>
          <w:rFonts w:hint="cs"/>
          <w:rtl/>
        </w:rPr>
        <w:t xml:space="preserve"> </w:t>
      </w:r>
      <w:r w:rsidRPr="00F543F1">
        <w:rPr>
          <w:rtl/>
        </w:rPr>
        <w:t xml:space="preserve">ص 154 ، الرقم 408 ؛ </w:t>
      </w:r>
      <w:r w:rsidRPr="00D60893">
        <w:rPr>
          <w:rtl/>
        </w:rPr>
        <w:t>الرجال لابن الغضائري ، ص 56 ، الرقم 43.</w:t>
      </w:r>
    </w:p>
    <w:p w:rsidR="000C39D1" w:rsidRPr="00E55206" w:rsidRDefault="000C39D1" w:rsidP="00E55206">
      <w:pPr>
        <w:pStyle w:val="libFootnote0"/>
        <w:rPr>
          <w:rtl/>
        </w:rPr>
      </w:pPr>
      <w:r w:rsidRPr="00D60893">
        <w:rPr>
          <w:rtl/>
        </w:rPr>
        <w:t>ثمّ إنّ عمر بن عبدالعزيز يلقّب بزُحَل فلا يبعد أن يكون « عمر بن عبدالعزيز عن رجل » في سند الاختصاص محرّفاً من « عمر بن عبدالعزيز زحل ». راجع :</w:t>
      </w:r>
      <w:r>
        <w:rPr>
          <w:rFonts w:hint="cs"/>
          <w:rtl/>
        </w:rPr>
        <w:t xml:space="preserve"> </w:t>
      </w:r>
      <w:r w:rsidRPr="008669B7">
        <w:rPr>
          <w:rStyle w:val="libFootnoteBoldChar"/>
          <w:rtl/>
        </w:rPr>
        <w:t>الفهرست</w:t>
      </w:r>
      <w:r w:rsidRPr="008669B7">
        <w:rPr>
          <w:rStyle w:val="libFootnoteBoldChar"/>
          <w:rFonts w:hint="cs"/>
          <w:rtl/>
        </w:rPr>
        <w:t xml:space="preserve"> </w:t>
      </w:r>
      <w:r w:rsidRPr="008669B7">
        <w:rPr>
          <w:rStyle w:val="libFootnoteBoldChar"/>
          <w:rtl/>
        </w:rPr>
        <w:t>للطوسي</w:t>
      </w:r>
      <w:r w:rsidRPr="00E55206">
        <w:rPr>
          <w:rtl/>
        </w:rPr>
        <w:t xml:space="preserve"> ، ص 329 ، الرقم 513 ؛</w:t>
      </w:r>
      <w:r w:rsidRPr="00E55206">
        <w:rPr>
          <w:rFonts w:hint="cs"/>
          <w:rtl/>
        </w:rPr>
        <w:t xml:space="preserve"> </w:t>
      </w:r>
      <w:r w:rsidRPr="008669B7">
        <w:rPr>
          <w:rStyle w:val="libFootnoteBoldChar"/>
          <w:rtl/>
        </w:rPr>
        <w:t>رجال الطوسي</w:t>
      </w:r>
      <w:r w:rsidRPr="00E55206">
        <w:rPr>
          <w:rtl/>
        </w:rPr>
        <w:t xml:space="preserve"> ، ص 434 ، الرقم 6220.</w:t>
      </w:r>
    </w:p>
    <w:p w:rsidR="000C39D1" w:rsidRPr="00132E65" w:rsidRDefault="000C39D1" w:rsidP="000C39D1">
      <w:pPr>
        <w:pStyle w:val="libFootnote0"/>
        <w:rPr>
          <w:rtl/>
          <w:lang w:bidi="fa-IR"/>
        </w:rPr>
      </w:pPr>
      <w:r>
        <w:rPr>
          <w:rtl/>
        </w:rPr>
        <w:t>(1).</w:t>
      </w:r>
      <w:r w:rsidRPr="00132E65">
        <w:rPr>
          <w:rtl/>
        </w:rPr>
        <w:t xml:space="preserve"> في البصائر والاختصاص : « لنا »</w:t>
      </w:r>
      <w:r>
        <w:rPr>
          <w:rtl/>
        </w:rPr>
        <w:t>.</w:t>
      </w:r>
    </w:p>
    <w:p w:rsidR="000C39D1" w:rsidRPr="00132E65" w:rsidRDefault="000C39D1" w:rsidP="000C39D1">
      <w:pPr>
        <w:pStyle w:val="libFootnote0"/>
        <w:rPr>
          <w:rtl/>
          <w:lang w:bidi="fa-IR"/>
        </w:rPr>
      </w:pPr>
      <w:r>
        <w:rPr>
          <w:rtl/>
        </w:rPr>
        <w:t>(2).</w:t>
      </w:r>
      <w:r w:rsidRPr="00132E65">
        <w:rPr>
          <w:rtl/>
        </w:rPr>
        <w:t xml:space="preserve"> « أن أقول » ، أي أن أضرب ، أو ا</w:t>
      </w:r>
      <w:r w:rsidR="008669B7">
        <w:rPr>
          <w:rFonts w:hint="cs"/>
          <w:rtl/>
        </w:rPr>
        <w:t>ُ</w:t>
      </w:r>
      <w:r w:rsidRPr="00132E65">
        <w:rPr>
          <w:rtl/>
        </w:rPr>
        <w:t>ومئ. قال ابن الأثير : « العرب تجعل القول عبارة عن جميع الأفعال وتطلقه</w:t>
      </w:r>
      <w:r w:rsidR="008669B7">
        <w:rPr>
          <w:rFonts w:hint="cs"/>
          <w:rtl/>
        </w:rPr>
        <w:t xml:space="preserve"> </w:t>
      </w:r>
      <w:r w:rsidRPr="00132E65">
        <w:rPr>
          <w:rtl/>
        </w:rPr>
        <w:t>‌على غير الكلام واللسان فتقول : قال بيده ، أي أخذ. وقال برجله ، أي مشى. وقال بالماء على يده ، أي قلب. وقال بثوبه ، أي رفعه. ويقال : قال بمعنى أقبل ، وبمعنى مال واستراح وضرب وغير ذلك. وكلّ ذلك على المجاز والاتّساع »</w:t>
      </w:r>
      <w:r>
        <w:rPr>
          <w:rtl/>
        </w:rPr>
        <w:t>.</w:t>
      </w:r>
      <w:r w:rsidRPr="00132E65">
        <w:rPr>
          <w:rtl/>
        </w:rPr>
        <w:t xml:space="preserve"> راجع : </w:t>
      </w:r>
      <w:r w:rsidRPr="008669B7">
        <w:rPr>
          <w:rStyle w:val="libFootnoteBoldChar"/>
          <w:rtl/>
        </w:rPr>
        <w:t>النهاية</w:t>
      </w:r>
      <w:r w:rsidRPr="00132E65">
        <w:rPr>
          <w:rtl/>
        </w:rPr>
        <w:t xml:space="preserve"> ، ج 4 ، ص 124 ( قول )</w:t>
      </w:r>
      <w:r>
        <w:rPr>
          <w:rtl/>
        </w:rPr>
        <w:t>.</w:t>
      </w:r>
    </w:p>
    <w:p w:rsidR="000C39D1" w:rsidRPr="00132E65" w:rsidRDefault="000C39D1" w:rsidP="000C39D1">
      <w:pPr>
        <w:pStyle w:val="libFootnote0"/>
        <w:rPr>
          <w:rtl/>
          <w:lang w:bidi="fa-IR"/>
        </w:rPr>
      </w:pPr>
      <w:r>
        <w:rPr>
          <w:rtl/>
        </w:rPr>
        <w:t>(3).</w:t>
      </w:r>
      <w:r w:rsidRPr="00132E65">
        <w:rPr>
          <w:rtl/>
        </w:rPr>
        <w:t xml:space="preserve"> في « ج ، ض ، ف ، بر ، بس ، بف » </w:t>
      </w:r>
      <w:r w:rsidRPr="008669B7">
        <w:rPr>
          <w:rtl/>
        </w:rPr>
        <w:t>والوافي</w:t>
      </w:r>
      <w:r w:rsidRPr="00132E65">
        <w:rPr>
          <w:rtl/>
        </w:rPr>
        <w:t xml:space="preserve"> والبصائر : « فانفجرت »</w:t>
      </w:r>
      <w:r>
        <w:rPr>
          <w:rtl/>
        </w:rPr>
        <w:t>.</w:t>
      </w:r>
    </w:p>
    <w:p w:rsidR="000C39D1" w:rsidRPr="00132E65" w:rsidRDefault="000C39D1" w:rsidP="000C39D1">
      <w:pPr>
        <w:pStyle w:val="libFootnote0"/>
        <w:rPr>
          <w:rtl/>
          <w:lang w:bidi="fa-IR"/>
        </w:rPr>
      </w:pPr>
      <w:r>
        <w:rPr>
          <w:rtl/>
        </w:rPr>
        <w:t>(4).</w:t>
      </w:r>
      <w:r w:rsidRPr="00132E65">
        <w:rPr>
          <w:rtl/>
        </w:rPr>
        <w:t xml:space="preserve"> في « ج » </w:t>
      </w:r>
      <w:r>
        <w:rPr>
          <w:rtl/>
        </w:rPr>
        <w:t xml:space="preserve">: - </w:t>
      </w:r>
      <w:r w:rsidRPr="00132E65">
        <w:rPr>
          <w:rtl/>
        </w:rPr>
        <w:t>« قدر شبر »</w:t>
      </w:r>
      <w:r>
        <w:rPr>
          <w:rtl/>
        </w:rPr>
        <w:t>.</w:t>
      </w:r>
      <w:r w:rsidRPr="00132E65">
        <w:rPr>
          <w:rtl/>
        </w:rPr>
        <w:t xml:space="preserve"> وفي البصائر والاختصاص :</w:t>
      </w:r>
      <w:r>
        <w:rPr>
          <w:rtl/>
        </w:rPr>
        <w:t xml:space="preserve"> + </w:t>
      </w:r>
      <w:r w:rsidRPr="00132E65">
        <w:rPr>
          <w:rtl/>
        </w:rPr>
        <w:t>« فتناولها »</w:t>
      </w:r>
      <w:r>
        <w:rPr>
          <w:rtl/>
        </w:rPr>
        <w:t>.</w:t>
      </w:r>
    </w:p>
    <w:p w:rsidR="000C39D1" w:rsidRPr="00132E65" w:rsidRDefault="000C39D1" w:rsidP="000C39D1">
      <w:pPr>
        <w:pStyle w:val="libFootnote0"/>
        <w:rPr>
          <w:rtl/>
          <w:lang w:bidi="fa-IR"/>
        </w:rPr>
      </w:pPr>
      <w:r>
        <w:rPr>
          <w:rtl/>
        </w:rPr>
        <w:t>(5).</w:t>
      </w:r>
      <w:r w:rsidRPr="00132E65">
        <w:rPr>
          <w:rtl/>
        </w:rPr>
        <w:t xml:space="preserve"> في « ب » : « فنظر »</w:t>
      </w:r>
      <w:r>
        <w:rPr>
          <w:rtl/>
        </w:rPr>
        <w:t>.</w:t>
      </w:r>
      <w:r w:rsidRPr="00132E65">
        <w:rPr>
          <w:rtl/>
        </w:rPr>
        <w:t xml:space="preserve"> وفي « ج » </w:t>
      </w:r>
      <w:r>
        <w:rPr>
          <w:rtl/>
        </w:rPr>
        <w:t xml:space="preserve">: - </w:t>
      </w:r>
      <w:r w:rsidRPr="00132E65">
        <w:rPr>
          <w:rtl/>
        </w:rPr>
        <w:t>« فنظرنا »</w:t>
      </w:r>
      <w:r>
        <w:rPr>
          <w:rtl/>
        </w:rPr>
        <w:t>.</w:t>
      </w:r>
      <w:r w:rsidRPr="00132E65">
        <w:rPr>
          <w:rtl/>
        </w:rPr>
        <w:t xml:space="preserve"> وفي البصائر والاختصاص : « انظروا فيها حسناً حسناً لا تشكّوا. [ في الاختصاص : حتّى لا تشكّون ] ثمّ قال : انظروا في الأرض » بدل « انظروا حسناً فنظرنا »</w:t>
      </w:r>
      <w:r>
        <w:rPr>
          <w:rtl/>
        </w:rPr>
        <w:t>.</w:t>
      </w:r>
    </w:p>
    <w:p w:rsidR="000C39D1" w:rsidRPr="00132E65" w:rsidRDefault="000C39D1" w:rsidP="000C39D1">
      <w:pPr>
        <w:pStyle w:val="libFootnote0"/>
        <w:rPr>
          <w:rtl/>
          <w:lang w:bidi="fa-IR"/>
        </w:rPr>
      </w:pPr>
      <w:r>
        <w:rPr>
          <w:rtl/>
        </w:rPr>
        <w:t>(6).</w:t>
      </w:r>
      <w:r w:rsidRPr="00132E65">
        <w:rPr>
          <w:rtl/>
        </w:rPr>
        <w:t xml:space="preserve"> في البصائر :</w:t>
      </w:r>
      <w:r>
        <w:rPr>
          <w:rtl/>
        </w:rPr>
        <w:t xml:space="preserve"> + </w:t>
      </w:r>
      <w:r w:rsidRPr="00132E65">
        <w:rPr>
          <w:rtl/>
        </w:rPr>
        <w:t>« في الأرض »</w:t>
      </w:r>
      <w:r>
        <w:rPr>
          <w:rtl/>
        </w:rPr>
        <w:t>.</w:t>
      </w:r>
    </w:p>
    <w:tbl>
      <w:tblPr>
        <w:tblStyle w:val="TableGrid"/>
        <w:bidiVisual/>
        <w:tblW w:w="0" w:type="auto"/>
        <w:tblLook w:val="04A0" w:firstRow="1" w:lastRow="0" w:firstColumn="1" w:lastColumn="0" w:noHBand="0" w:noVBand="1"/>
      </w:tblPr>
      <w:tblGrid>
        <w:gridCol w:w="4261"/>
        <w:gridCol w:w="4262"/>
      </w:tblGrid>
      <w:tr w:rsidR="008669B7" w:rsidTr="008669B7">
        <w:tc>
          <w:tcPr>
            <w:tcW w:w="4261" w:type="dxa"/>
          </w:tcPr>
          <w:p w:rsidR="008669B7" w:rsidRDefault="008669B7" w:rsidP="000C39D1">
            <w:pPr>
              <w:pStyle w:val="libFootnote0"/>
              <w:rPr>
                <w:rtl/>
              </w:rPr>
            </w:pPr>
            <w:r>
              <w:rPr>
                <w:rtl/>
              </w:rPr>
              <w:t>(7).</w:t>
            </w:r>
            <w:r w:rsidRPr="00132E65">
              <w:rPr>
                <w:rtl/>
              </w:rPr>
              <w:t xml:space="preserve"> في « ب ، ض ، بف » والاختصاص : « تتلألأ »</w:t>
            </w:r>
            <w:r>
              <w:rPr>
                <w:rtl/>
              </w:rPr>
              <w:t>.</w:t>
            </w:r>
          </w:p>
        </w:tc>
        <w:tc>
          <w:tcPr>
            <w:tcW w:w="4262" w:type="dxa"/>
          </w:tcPr>
          <w:p w:rsidR="008669B7" w:rsidRDefault="008669B7" w:rsidP="000C39D1">
            <w:pPr>
              <w:pStyle w:val="libFootnote0"/>
              <w:rPr>
                <w:rtl/>
              </w:rPr>
            </w:pPr>
            <w:r>
              <w:rPr>
                <w:rtl/>
              </w:rPr>
              <w:t>(8).</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له »</w:t>
            </w:r>
            <w:r>
              <w:rPr>
                <w:rtl/>
              </w:rPr>
              <w:t>.</w:t>
            </w:r>
          </w:p>
        </w:tc>
      </w:tr>
      <w:tr w:rsidR="008669B7" w:rsidTr="008669B7">
        <w:tc>
          <w:tcPr>
            <w:tcW w:w="4261" w:type="dxa"/>
          </w:tcPr>
          <w:p w:rsidR="008669B7" w:rsidRDefault="008669B7" w:rsidP="000C39D1">
            <w:pPr>
              <w:pStyle w:val="libFootnote0"/>
              <w:rPr>
                <w:rtl/>
              </w:rPr>
            </w:pPr>
            <w:r>
              <w:rPr>
                <w:rtl/>
              </w:rPr>
              <w:t>(9).</w:t>
            </w:r>
            <w:r w:rsidRPr="00132E65">
              <w:rPr>
                <w:rtl/>
              </w:rPr>
              <w:t xml:space="preserve"> في البصائر : « كلّ هذا » بدل « ما ا</w:t>
            </w:r>
            <w:r>
              <w:rPr>
                <w:rFonts w:hint="cs"/>
                <w:rtl/>
              </w:rPr>
              <w:t>ُ</w:t>
            </w:r>
            <w:r w:rsidRPr="00132E65">
              <w:rPr>
                <w:rtl/>
              </w:rPr>
              <w:t>عطيتم »</w:t>
            </w:r>
            <w:r>
              <w:rPr>
                <w:rtl/>
              </w:rPr>
              <w:t>.</w:t>
            </w:r>
          </w:p>
        </w:tc>
        <w:tc>
          <w:tcPr>
            <w:tcW w:w="4262" w:type="dxa"/>
          </w:tcPr>
          <w:p w:rsidR="008669B7" w:rsidRDefault="008669B7" w:rsidP="000C39D1">
            <w:pPr>
              <w:pStyle w:val="libFootnote0"/>
              <w:rPr>
                <w:rtl/>
              </w:rPr>
            </w:pPr>
            <w:r>
              <w:rPr>
                <w:rtl/>
              </w:rPr>
              <w:t>(10).</w:t>
            </w:r>
            <w:r w:rsidRPr="00132E65">
              <w:rPr>
                <w:rtl/>
              </w:rPr>
              <w:t xml:space="preserve"> في « ف » : « تحتاجون »</w:t>
            </w:r>
            <w:r>
              <w:rPr>
                <w:rtl/>
              </w:rPr>
              <w:t>.</w:t>
            </w:r>
          </w:p>
        </w:tc>
      </w:tr>
    </w:tbl>
    <w:p w:rsidR="000C39D1" w:rsidRPr="00132E65" w:rsidRDefault="000C39D1" w:rsidP="000C39D1">
      <w:pPr>
        <w:pStyle w:val="libFootnote0"/>
        <w:rPr>
          <w:rtl/>
          <w:lang w:bidi="fa-IR"/>
        </w:rPr>
      </w:pPr>
      <w:r>
        <w:rPr>
          <w:rtl/>
        </w:rPr>
        <w:t>(11).</w:t>
      </w:r>
      <w:r w:rsidRPr="00132E65">
        <w:rPr>
          <w:rtl/>
        </w:rPr>
        <w:t xml:space="preserve"> في « بح » والبصائر والاختصاص </w:t>
      </w:r>
      <w:r>
        <w:rPr>
          <w:rtl/>
        </w:rPr>
        <w:t xml:space="preserve">: - </w:t>
      </w:r>
      <w:r w:rsidRPr="00132E65">
        <w:rPr>
          <w:rtl/>
        </w:rPr>
        <w:t>« قال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النَّعِيمِ ، و</w:t>
      </w:r>
      <w:r w:rsidR="008669B7">
        <w:rPr>
          <w:rFonts w:hint="cs"/>
          <w:rtl/>
          <w:lang w:bidi="fa-IR"/>
        </w:rPr>
        <w:t>َ</w:t>
      </w:r>
      <w:r w:rsidRPr="00132E65">
        <w:rPr>
          <w:rtl/>
          <w:lang w:bidi="fa-IR"/>
        </w:rPr>
        <w:t>يُدْخِلُ عَدُوَّنَا الْجَحِيمَ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343EDA">
        <w:rPr>
          <w:rtl/>
        </w:rPr>
        <w:t>1285</w:t>
      </w:r>
      <w:r w:rsidRPr="004325D8">
        <w:rPr>
          <w:rStyle w:val="libBold2Char"/>
          <w:rtl/>
        </w:rPr>
        <w:t xml:space="preserve"> / 5.</w:t>
      </w:r>
      <w:r w:rsidRPr="00132E65">
        <w:rPr>
          <w:rtl/>
          <w:lang w:bidi="fa-IR"/>
        </w:rPr>
        <w:t xml:space="preserve"> الْحُسَيْنُ بْنُ مُحَمَّدٍ ، عَنِ الْمُعَلَّى بْنِ مُحَمَّدٍ ، عَنْ بَعْضِ أَصْحَابِهِ ، عَنْ أَبِي بَصِيرٍ ، قَالَ :</w:t>
      </w:r>
    </w:p>
    <w:p w:rsidR="000C39D1" w:rsidRPr="00132E65" w:rsidRDefault="000C39D1" w:rsidP="000C39D1">
      <w:pPr>
        <w:pStyle w:val="libNormal"/>
        <w:rPr>
          <w:rtl/>
          <w:lang w:bidi="fa-IR"/>
        </w:rPr>
      </w:pPr>
      <w:r w:rsidRPr="00132E65">
        <w:rPr>
          <w:rtl/>
          <w:lang w:bidi="fa-IR"/>
        </w:rPr>
        <w:t xml:space="preserve">كَانَ لِي جَارٌ يَتَّبِعُ </w:t>
      </w:r>
      <w:r>
        <w:rPr>
          <w:rStyle w:val="libFootnotenumChar"/>
          <w:rtl/>
        </w:rPr>
        <w:t>(2)</w:t>
      </w:r>
      <w:r w:rsidRPr="00132E65">
        <w:rPr>
          <w:rtl/>
          <w:lang w:bidi="fa-IR"/>
        </w:rPr>
        <w:t xml:space="preserve"> السُّلْطَانَ ، فَأَصَابَ مَالاً ، فَأَعَدَّ قِيَاناً </w:t>
      </w:r>
      <w:r>
        <w:rPr>
          <w:rStyle w:val="libFootnotenumChar"/>
          <w:rtl/>
        </w:rPr>
        <w:t>(3)</w:t>
      </w:r>
      <w:r w:rsidRPr="00132E65">
        <w:rPr>
          <w:rtl/>
          <w:lang w:bidi="fa-IR"/>
        </w:rPr>
        <w:t xml:space="preserve"> ، و</w:t>
      </w:r>
      <w:r w:rsidR="008669B7">
        <w:rPr>
          <w:rFonts w:hint="cs"/>
          <w:rtl/>
          <w:lang w:bidi="fa-IR"/>
        </w:rPr>
        <w:t>َ</w:t>
      </w:r>
      <w:r w:rsidRPr="00132E65">
        <w:rPr>
          <w:rtl/>
          <w:lang w:bidi="fa-IR"/>
        </w:rPr>
        <w:t xml:space="preserve">كَانَ </w:t>
      </w:r>
      <w:r>
        <w:rPr>
          <w:rStyle w:val="libFootnotenumChar"/>
          <w:rtl/>
        </w:rPr>
        <w:t>(4)</w:t>
      </w:r>
      <w:r w:rsidRPr="00132E65">
        <w:rPr>
          <w:rtl/>
          <w:lang w:bidi="fa-IR"/>
        </w:rPr>
        <w:t xml:space="preserve"> يَجْمَعُ </w:t>
      </w:r>
      <w:r>
        <w:rPr>
          <w:rStyle w:val="libFootnotenumChar"/>
          <w:rtl/>
        </w:rPr>
        <w:t>(5)</w:t>
      </w:r>
      <w:r w:rsidRPr="00132E65">
        <w:rPr>
          <w:rtl/>
          <w:lang w:bidi="fa-IR"/>
        </w:rPr>
        <w:t xml:space="preserve"> الْجَمِيعَ </w:t>
      </w:r>
      <w:r>
        <w:rPr>
          <w:rStyle w:val="libFootnotenumChar"/>
          <w:rtl/>
        </w:rPr>
        <w:t>(6)</w:t>
      </w:r>
      <w:r w:rsidRPr="00132E65">
        <w:rPr>
          <w:rtl/>
          <w:lang w:bidi="fa-IR"/>
        </w:rPr>
        <w:t xml:space="preserve"> إِلَيْهِ ، و</w:t>
      </w:r>
      <w:r w:rsidR="008669B7">
        <w:rPr>
          <w:rFonts w:hint="cs"/>
          <w:rtl/>
          <w:lang w:bidi="fa-IR"/>
        </w:rPr>
        <w:t>َ</w:t>
      </w:r>
      <w:r w:rsidRPr="00132E65">
        <w:rPr>
          <w:rtl/>
          <w:lang w:bidi="fa-IR"/>
        </w:rPr>
        <w:t xml:space="preserve">يَشْرَبُ الْمُسْكِرَ ، ويُؤْذِينِي ، فَشَكَوْتُهُ إِلى نَفْسِهِ غَيْرَ مَرَّةٍ ، فَلَمْ يَنْتَهِ </w:t>
      </w:r>
      <w:r>
        <w:rPr>
          <w:rStyle w:val="libFootnotenumChar"/>
          <w:rtl/>
        </w:rPr>
        <w:t>(7)</w:t>
      </w:r>
      <w:r w:rsidRPr="00132E65">
        <w:rPr>
          <w:rtl/>
          <w:lang w:bidi="fa-IR"/>
        </w:rPr>
        <w:t xml:space="preserve"> ، فَلَمَّا أَنْ </w:t>
      </w:r>
      <w:r>
        <w:rPr>
          <w:rStyle w:val="libFootnotenumChar"/>
          <w:rtl/>
        </w:rPr>
        <w:t>(8)</w:t>
      </w:r>
      <w:r w:rsidRPr="00132E65">
        <w:rPr>
          <w:rtl/>
          <w:lang w:bidi="fa-IR"/>
        </w:rPr>
        <w:t xml:space="preserve"> أَلْحَحْتُ عَلَيْهِ فَقَالَ </w:t>
      </w:r>
      <w:r>
        <w:rPr>
          <w:rStyle w:val="libFootnotenumChar"/>
          <w:rtl/>
        </w:rPr>
        <w:t>(9)</w:t>
      </w:r>
      <w:r w:rsidRPr="00132E65">
        <w:rPr>
          <w:rtl/>
          <w:lang w:bidi="fa-IR"/>
        </w:rPr>
        <w:t xml:space="preserve"> لِي : يَا هذَا ، أَنَا رَجُلٌ مُبْتَلًى ، و</w:t>
      </w:r>
      <w:r w:rsidR="008669B7">
        <w:rPr>
          <w:rFonts w:hint="cs"/>
          <w:rtl/>
          <w:lang w:bidi="fa-IR"/>
        </w:rPr>
        <w:t>َ</w:t>
      </w:r>
      <w:r w:rsidRPr="00132E65">
        <w:rPr>
          <w:rtl/>
          <w:lang w:bidi="fa-IR"/>
        </w:rPr>
        <w:t xml:space="preserve">أَنْتَ رَجُلٌ مُعَافًى ، فَلَوْ عَرَضْتَنِي </w:t>
      </w:r>
      <w:r>
        <w:rPr>
          <w:rStyle w:val="libFootnotenumChar"/>
          <w:rtl/>
        </w:rPr>
        <w:t>(10)</w:t>
      </w:r>
      <w:r w:rsidRPr="00132E65">
        <w:rPr>
          <w:rtl/>
          <w:lang w:bidi="fa-IR"/>
        </w:rPr>
        <w:t xml:space="preserve"> لِصَاحِبِكَ رَجَوْتُ أَنْ يُنْقِذَنِيَ اللهُ بِكَ ، فَوَقَعَ ذلِكَ لَهُ </w:t>
      </w:r>
      <w:r>
        <w:rPr>
          <w:rStyle w:val="libFootnotenumChar"/>
          <w:rtl/>
        </w:rPr>
        <w:t>(11)</w:t>
      </w:r>
      <w:r w:rsidRPr="00132E65">
        <w:rPr>
          <w:rtl/>
          <w:lang w:bidi="fa-IR"/>
        </w:rPr>
        <w:t xml:space="preserve"> فِي قَلْبِي ، فَلَمَّا صِرْتُ إِلى أَبِي عَبْدِ اللهِ </w:t>
      </w:r>
      <w:r w:rsidRPr="00071CF9">
        <w:rPr>
          <w:rStyle w:val="libAlaemChar"/>
          <w:rtl/>
        </w:rPr>
        <w:t>عليه‌السلام</w:t>
      </w:r>
      <w:r w:rsidRPr="00132E65">
        <w:rPr>
          <w:rtl/>
          <w:lang w:bidi="fa-IR"/>
        </w:rPr>
        <w:t xml:space="preserve"> ذَكَرْتُ لَهُ حَالَهُ ، فَقَالَ لِي : « إِذَا رَجَعْتَ إِلَى الْكُوفَةِ سَيَأْتِيكَ ، فَقُلْ لَهُ : يَقُولُ لَكَ جَعْفَرُ بْنُ مُحَمَّدٍ : دَعْ مَا أَنْتَ عَلَيْهِ ، و</w:t>
      </w:r>
      <w:r w:rsidR="008669B7">
        <w:rPr>
          <w:rFonts w:hint="cs"/>
          <w:rtl/>
          <w:lang w:bidi="fa-IR"/>
        </w:rPr>
        <w:t>َ</w:t>
      </w:r>
      <w:r w:rsidRPr="00132E65">
        <w:rPr>
          <w:rtl/>
          <w:lang w:bidi="fa-IR"/>
        </w:rPr>
        <w:t xml:space="preserve">أَضْمَنُ </w:t>
      </w:r>
      <w:r>
        <w:rPr>
          <w:rStyle w:val="libFootnotenumChar"/>
          <w:rtl/>
        </w:rPr>
        <w:t>(12)</w:t>
      </w:r>
      <w:r w:rsidRPr="00132E65">
        <w:rPr>
          <w:rtl/>
          <w:lang w:bidi="fa-IR"/>
        </w:rPr>
        <w:t xml:space="preserve"> لَكَ عَلَى اللهِ الْجَنَّةَ »</w:t>
      </w:r>
      <w:r>
        <w:rPr>
          <w:rtl/>
          <w:lang w:bidi="fa-IR"/>
        </w:rPr>
        <w:t>.</w:t>
      </w:r>
    </w:p>
    <w:p w:rsidR="000C39D1" w:rsidRPr="00132E65" w:rsidRDefault="000C39D1" w:rsidP="000C39D1">
      <w:pPr>
        <w:pStyle w:val="libNormal"/>
        <w:rPr>
          <w:rtl/>
          <w:lang w:bidi="fa-IR"/>
        </w:rPr>
      </w:pPr>
      <w:r w:rsidRPr="00132E65">
        <w:rPr>
          <w:rtl/>
          <w:lang w:bidi="fa-IR"/>
        </w:rPr>
        <w:t xml:space="preserve">فَلَمَّا رَجَعْتُ إِلَى الْكُوفَةِ ، أَتَانِي فِيمَنْ أَتى ، فَاحْتَبَسْتُهُ عِنْدِي </w:t>
      </w:r>
      <w:r w:rsidRPr="00F543F1">
        <w:rPr>
          <w:rStyle w:val="libFootnotenumChar"/>
          <w:rtl/>
        </w:rPr>
        <w:t>(13)</w:t>
      </w:r>
      <w:r w:rsidRPr="00132E65">
        <w:rPr>
          <w:rtl/>
          <w:lang w:bidi="fa-IR"/>
        </w:rPr>
        <w:t xml:space="preserve"> حَتّى خَلَا مَنْزِلِي ، ثُمَّ قُلْتُ لَهُ : يَا هذَا ، إِنِّي ذَكَرْتُكَ لِأَبِي عَبْدِ اللهِ جَعْفَرِ بْنِ مُحَمَّدٍ الصَّادِقِ </w:t>
      </w:r>
      <w:r w:rsidRPr="00F543F1">
        <w:rPr>
          <w:rStyle w:val="libFootnotenumChar"/>
          <w:rtl/>
        </w:rPr>
        <w:t>(14)</w:t>
      </w:r>
      <w:r w:rsidRPr="00132E65">
        <w:rPr>
          <w:rtl/>
          <w:lang w:bidi="fa-IR"/>
        </w:rPr>
        <w:t xml:space="preserve"> </w:t>
      </w:r>
      <w:r w:rsidRPr="00071CF9">
        <w:rPr>
          <w:rStyle w:val="libAlaemChar"/>
          <w:rtl/>
        </w:rPr>
        <w:t>عليهما‌السلام</w:t>
      </w:r>
      <w:r w:rsidRPr="00132E65">
        <w:rPr>
          <w:rtl/>
          <w:lang w:bidi="fa-IR"/>
        </w:rPr>
        <w:t xml:space="preserve"> ، فَقَالَ لِي :</w:t>
      </w:r>
      <w:r>
        <w:rPr>
          <w:rFonts w:hint="cs"/>
          <w:rtl/>
          <w:lang w:bidi="fa-IR"/>
        </w:rPr>
        <w:t xml:space="preserve"> </w:t>
      </w:r>
      <w:r w:rsidRPr="00132E65">
        <w:rPr>
          <w:rtl/>
          <w:lang w:bidi="fa-IR"/>
        </w:rPr>
        <w:t>« إِذَا رَجَعْتَ إِلَى الْكُوفَةِ سَيَأْتِيكَ ، فَقُلْ لَهُ : يَقُولُ لَكَ جَعْفَرُ بْنُ مُحَمَّدٍ : دَعْ مَا أَنْتَ عَلَيْهِ ، وَأَضْم</w:t>
      </w:r>
      <w:r w:rsidR="008669B7">
        <w:rPr>
          <w:rtl/>
          <w:lang w:bidi="fa-IR"/>
        </w:rPr>
        <w:t>َنُ لَكَ عَلَى اللهِ الْجَنَّةَ</w:t>
      </w:r>
      <w:r w:rsidRPr="00132E65">
        <w:rPr>
          <w:rtl/>
          <w:lang w:bidi="fa-IR"/>
        </w:rPr>
        <w:t>»</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7A1104">
        <w:rPr>
          <w:rStyle w:val="libFootnoteBoldChar"/>
          <w:rtl/>
        </w:rPr>
        <w:t>بصائر الدرجات</w:t>
      </w:r>
      <w:r w:rsidRPr="00132E65">
        <w:rPr>
          <w:rtl/>
        </w:rPr>
        <w:t xml:space="preserve"> ، ص 374 ، ح 1 ، عن أحمد بن محمّد ؛ </w:t>
      </w:r>
      <w:r w:rsidRPr="008669B7">
        <w:rPr>
          <w:rStyle w:val="libFootnoteBoldChar"/>
          <w:rtl/>
        </w:rPr>
        <w:t>الاختصاص</w:t>
      </w:r>
      <w:r w:rsidRPr="00132E65">
        <w:rPr>
          <w:rtl/>
        </w:rPr>
        <w:t xml:space="preserve"> ، ص 269 ، عن أحمد بن محمّد بن عيسى ، عن عمر بن عبد العزيز ، عن رجل ، عن الحسين بن أحمد الخيبري </w:t>
      </w:r>
      <w:r w:rsidR="008669B7">
        <w:rPr>
          <w:rFonts w:hint="cs"/>
          <w:rtl/>
        </w:rPr>
        <w:t>.</w:t>
      </w:r>
      <w:r w:rsidRPr="009D1ACE">
        <w:rPr>
          <w:rStyle w:val="libFootnoteBoldChar"/>
          <w:rtl/>
        </w:rPr>
        <w:t>الوافي</w:t>
      </w:r>
      <w:r w:rsidRPr="00132E65">
        <w:rPr>
          <w:rtl/>
        </w:rPr>
        <w:t xml:space="preserve"> ، ج 3 ، ص 791 ، ح 1404.</w:t>
      </w:r>
    </w:p>
    <w:p w:rsidR="000C39D1" w:rsidRPr="00132E65" w:rsidRDefault="000C39D1" w:rsidP="000C39D1">
      <w:pPr>
        <w:pStyle w:val="libFootnote0"/>
        <w:rPr>
          <w:rtl/>
          <w:lang w:bidi="fa-IR"/>
        </w:rPr>
      </w:pPr>
      <w:r>
        <w:rPr>
          <w:rtl/>
        </w:rPr>
        <w:t>(2).</w:t>
      </w:r>
      <w:r w:rsidRPr="00132E65">
        <w:rPr>
          <w:rtl/>
        </w:rPr>
        <w:t xml:space="preserve"> يجوز في الكلمة المجرّد والافتعال.</w:t>
      </w:r>
    </w:p>
    <w:p w:rsidR="000C39D1" w:rsidRPr="00132E65" w:rsidRDefault="000C39D1" w:rsidP="000C39D1">
      <w:pPr>
        <w:pStyle w:val="libFootnote0"/>
        <w:rPr>
          <w:rtl/>
          <w:lang w:bidi="fa-IR"/>
        </w:rPr>
      </w:pPr>
      <w:r>
        <w:rPr>
          <w:rtl/>
        </w:rPr>
        <w:t>(3).</w:t>
      </w:r>
      <w:r w:rsidRPr="00132E65">
        <w:rPr>
          <w:rtl/>
        </w:rPr>
        <w:t xml:space="preserve"> في حاشية « ج » : « فتياناً »</w:t>
      </w:r>
      <w:r>
        <w:rPr>
          <w:rtl/>
        </w:rPr>
        <w:t>.</w:t>
      </w:r>
      <w:r w:rsidRPr="00132E65">
        <w:rPr>
          <w:rtl/>
        </w:rPr>
        <w:t xml:space="preserve"> وفي حاشية « ض » : « فتاةً »</w:t>
      </w:r>
      <w:r>
        <w:rPr>
          <w:rtl/>
        </w:rPr>
        <w:t>.</w:t>
      </w:r>
      <w:r w:rsidRPr="00132E65">
        <w:rPr>
          <w:rtl/>
        </w:rPr>
        <w:t xml:space="preserve"> وقوله : « القِيانُ » : جمع القَيْنَة ، وهي الأمة غنّت أو لم تُغَنّ ، والماشطة. وكثيراً ما تطلق على المغنّية من الإماء. </w:t>
      </w:r>
      <w:r w:rsidRPr="008669B7">
        <w:rPr>
          <w:rStyle w:val="libFootnoteBoldChar"/>
          <w:rtl/>
        </w:rPr>
        <w:t>النهاية</w:t>
      </w:r>
      <w:r w:rsidRPr="00132E65">
        <w:rPr>
          <w:rtl/>
        </w:rPr>
        <w:t xml:space="preserve"> ، ج 4 ، ص 135 ( قين )</w:t>
      </w:r>
      <w:r>
        <w:rPr>
          <w:rtl/>
        </w:rPr>
        <w:t>.</w:t>
      </w:r>
    </w:p>
    <w:tbl>
      <w:tblPr>
        <w:tblStyle w:val="TableGrid"/>
        <w:bidiVisual/>
        <w:tblW w:w="0" w:type="auto"/>
        <w:tblLook w:val="04A0" w:firstRow="1" w:lastRow="0" w:firstColumn="1" w:lastColumn="0" w:noHBand="0" w:noVBand="1"/>
      </w:tblPr>
      <w:tblGrid>
        <w:gridCol w:w="4261"/>
        <w:gridCol w:w="4262"/>
      </w:tblGrid>
      <w:tr w:rsidR="008669B7" w:rsidTr="008669B7">
        <w:tc>
          <w:tcPr>
            <w:tcW w:w="4261" w:type="dxa"/>
          </w:tcPr>
          <w:p w:rsidR="008669B7" w:rsidRDefault="008669B7" w:rsidP="000C39D1">
            <w:pPr>
              <w:pStyle w:val="libFootnote0"/>
              <w:rPr>
                <w:rtl/>
              </w:rPr>
            </w:pPr>
            <w:r>
              <w:rPr>
                <w:rtl/>
              </w:rPr>
              <w:t>(4).</w:t>
            </w:r>
            <w:r w:rsidRPr="00132E65">
              <w:rPr>
                <w:rtl/>
              </w:rPr>
              <w:t xml:space="preserve"> في « ف » و</w:t>
            </w:r>
            <w:r w:rsidRPr="009D1ACE">
              <w:rPr>
                <w:rStyle w:val="libFootnoteBoldChar"/>
                <w:rtl/>
              </w:rPr>
              <w:t>الوافي</w:t>
            </w:r>
            <w:r w:rsidRPr="00132E65">
              <w:rPr>
                <w:rtl/>
              </w:rPr>
              <w:t xml:space="preserve"> : « فكان »</w:t>
            </w:r>
            <w:r>
              <w:rPr>
                <w:rtl/>
              </w:rPr>
              <w:t>.</w:t>
            </w:r>
          </w:p>
        </w:tc>
        <w:tc>
          <w:tcPr>
            <w:tcW w:w="4262" w:type="dxa"/>
          </w:tcPr>
          <w:p w:rsidR="008669B7" w:rsidRDefault="008669B7" w:rsidP="000C39D1">
            <w:pPr>
              <w:pStyle w:val="libFootnote0"/>
              <w:rPr>
                <w:rtl/>
              </w:rPr>
            </w:pPr>
            <w:r>
              <w:rPr>
                <w:rtl/>
              </w:rPr>
              <w:t>(5).</w:t>
            </w:r>
            <w:r w:rsidRPr="00132E65">
              <w:rPr>
                <w:rtl/>
              </w:rPr>
              <w:t xml:space="preserve"> في « ض » : « يجمّع »</w:t>
            </w:r>
            <w:r>
              <w:rPr>
                <w:rtl/>
              </w:rPr>
              <w:t>.</w:t>
            </w:r>
          </w:p>
        </w:tc>
      </w:tr>
    </w:tbl>
    <w:p w:rsidR="000C39D1" w:rsidRPr="00132E65" w:rsidRDefault="000C39D1" w:rsidP="000C39D1">
      <w:pPr>
        <w:pStyle w:val="libFootnote0"/>
        <w:rPr>
          <w:rtl/>
          <w:lang w:bidi="fa-IR"/>
        </w:rPr>
      </w:pPr>
      <w:r>
        <w:rPr>
          <w:rtl/>
        </w:rPr>
        <w:t>(6).</w:t>
      </w:r>
      <w:r w:rsidRPr="00132E65">
        <w:rPr>
          <w:rtl/>
        </w:rPr>
        <w:t xml:space="preserve"> في « ب ، ف ، بح ، بر » وحاشية « ج ، ض » </w:t>
      </w:r>
      <w:r w:rsidRPr="008669B7">
        <w:rPr>
          <w:rtl/>
        </w:rPr>
        <w:t>والوافي</w:t>
      </w:r>
      <w:r w:rsidRPr="00132E65">
        <w:rPr>
          <w:rtl/>
        </w:rPr>
        <w:t xml:space="preserve"> : « الجموع »</w:t>
      </w:r>
      <w:r>
        <w:rPr>
          <w:rtl/>
        </w:rPr>
        <w:t>.</w:t>
      </w:r>
    </w:p>
    <w:tbl>
      <w:tblPr>
        <w:tblStyle w:val="TableGrid"/>
        <w:bidiVisual/>
        <w:tblW w:w="0" w:type="auto"/>
        <w:tblLook w:val="04A0" w:firstRow="1" w:lastRow="0" w:firstColumn="1" w:lastColumn="0" w:noHBand="0" w:noVBand="1"/>
      </w:tblPr>
      <w:tblGrid>
        <w:gridCol w:w="4261"/>
        <w:gridCol w:w="4262"/>
      </w:tblGrid>
      <w:tr w:rsidR="008669B7" w:rsidTr="008669B7">
        <w:tc>
          <w:tcPr>
            <w:tcW w:w="4261" w:type="dxa"/>
          </w:tcPr>
          <w:p w:rsidR="008669B7" w:rsidRDefault="008669B7" w:rsidP="000C39D1">
            <w:pPr>
              <w:pStyle w:val="libFootnote0"/>
              <w:rPr>
                <w:rtl/>
              </w:rPr>
            </w:pPr>
            <w:r>
              <w:rPr>
                <w:rtl/>
              </w:rPr>
              <w:t>(7).</w:t>
            </w:r>
            <w:r w:rsidRPr="00132E65">
              <w:rPr>
                <w:rtl/>
              </w:rPr>
              <w:t xml:space="preserve"> في « ف » : « فلم يتنبّه »</w:t>
            </w:r>
            <w:r>
              <w:rPr>
                <w:rtl/>
              </w:rPr>
              <w:t>.</w:t>
            </w:r>
          </w:p>
        </w:tc>
        <w:tc>
          <w:tcPr>
            <w:tcW w:w="4262" w:type="dxa"/>
          </w:tcPr>
          <w:p w:rsidR="008669B7" w:rsidRDefault="008669B7" w:rsidP="000C39D1">
            <w:pPr>
              <w:pStyle w:val="libFootnote0"/>
              <w:rPr>
                <w:rtl/>
              </w:rPr>
            </w:pPr>
            <w:r>
              <w:rPr>
                <w:rtl/>
              </w:rPr>
              <w:t>(8).</w:t>
            </w:r>
            <w:r w:rsidRPr="00132E65">
              <w:rPr>
                <w:rtl/>
              </w:rPr>
              <w:t xml:space="preserve"> في « بح » </w:t>
            </w:r>
            <w:r>
              <w:rPr>
                <w:rtl/>
              </w:rPr>
              <w:t xml:space="preserve">: - </w:t>
            </w:r>
            <w:r w:rsidRPr="00132E65">
              <w:rPr>
                <w:rtl/>
              </w:rPr>
              <w:t>« أن »</w:t>
            </w:r>
            <w:r>
              <w:rPr>
                <w:rtl/>
              </w:rPr>
              <w:t>.</w:t>
            </w:r>
          </w:p>
        </w:tc>
      </w:tr>
      <w:tr w:rsidR="008669B7" w:rsidTr="008669B7">
        <w:tc>
          <w:tcPr>
            <w:tcW w:w="4261" w:type="dxa"/>
          </w:tcPr>
          <w:p w:rsidR="008669B7" w:rsidRDefault="008669B7" w:rsidP="000C39D1">
            <w:pPr>
              <w:pStyle w:val="libFootnote0"/>
              <w:rPr>
                <w:rtl/>
              </w:rPr>
            </w:pPr>
            <w:r>
              <w:rPr>
                <w:rtl/>
              </w:rPr>
              <w:t>(9).</w:t>
            </w:r>
            <w:r w:rsidRPr="00132E65">
              <w:rPr>
                <w:rtl/>
              </w:rPr>
              <w:t xml:space="preserve"> في « ب ، ج ، ف ، بس » : « قال »</w:t>
            </w:r>
            <w:r>
              <w:rPr>
                <w:rtl/>
              </w:rPr>
              <w:t>.</w:t>
            </w:r>
          </w:p>
        </w:tc>
        <w:tc>
          <w:tcPr>
            <w:tcW w:w="4262" w:type="dxa"/>
          </w:tcPr>
          <w:p w:rsidR="008669B7" w:rsidRDefault="008669B7" w:rsidP="000C39D1">
            <w:pPr>
              <w:pStyle w:val="libFootnote0"/>
              <w:rPr>
                <w:rtl/>
              </w:rPr>
            </w:pPr>
            <w:r>
              <w:rPr>
                <w:rtl/>
              </w:rPr>
              <w:t>(10).</w:t>
            </w:r>
            <w:r w:rsidRPr="00132E65">
              <w:rPr>
                <w:rtl/>
              </w:rPr>
              <w:t xml:space="preserve"> في « ب ، ج » : « عرّضتني » بالتضعيف.</w:t>
            </w:r>
          </w:p>
        </w:tc>
      </w:tr>
      <w:tr w:rsidR="008669B7" w:rsidTr="008669B7">
        <w:tc>
          <w:tcPr>
            <w:tcW w:w="4261" w:type="dxa"/>
          </w:tcPr>
          <w:p w:rsidR="008669B7" w:rsidRDefault="008669B7" w:rsidP="000C39D1">
            <w:pPr>
              <w:pStyle w:val="libFootnote0"/>
              <w:rPr>
                <w:rtl/>
              </w:rPr>
            </w:pPr>
            <w:r>
              <w:rPr>
                <w:rtl/>
              </w:rPr>
              <w:t>(11).</w:t>
            </w:r>
            <w:r w:rsidRPr="00132E65">
              <w:rPr>
                <w:rtl/>
              </w:rPr>
              <w:t xml:space="preserve"> في « ف » </w:t>
            </w:r>
            <w:r>
              <w:rPr>
                <w:rtl/>
              </w:rPr>
              <w:t xml:space="preserve">: - </w:t>
            </w:r>
            <w:r w:rsidRPr="00132E65">
              <w:rPr>
                <w:rtl/>
              </w:rPr>
              <w:t>« له »</w:t>
            </w:r>
            <w:r>
              <w:rPr>
                <w:rtl/>
              </w:rPr>
              <w:t>.</w:t>
            </w:r>
          </w:p>
        </w:tc>
        <w:tc>
          <w:tcPr>
            <w:tcW w:w="4262" w:type="dxa"/>
          </w:tcPr>
          <w:p w:rsidR="008669B7" w:rsidRDefault="008669B7" w:rsidP="000C39D1">
            <w:pPr>
              <w:pStyle w:val="libFootnote0"/>
              <w:rPr>
                <w:rtl/>
              </w:rPr>
            </w:pPr>
            <w:r>
              <w:rPr>
                <w:rtl/>
              </w:rPr>
              <w:t>(12).</w:t>
            </w:r>
            <w:r w:rsidRPr="00132E65">
              <w:rPr>
                <w:rtl/>
              </w:rPr>
              <w:t xml:space="preserve"> يجوز فيه النصب أيضاً.</w:t>
            </w:r>
          </w:p>
        </w:tc>
      </w:tr>
      <w:tr w:rsidR="008669B7" w:rsidTr="008669B7">
        <w:tc>
          <w:tcPr>
            <w:tcW w:w="4261" w:type="dxa"/>
          </w:tcPr>
          <w:p w:rsidR="008669B7" w:rsidRDefault="008669B7" w:rsidP="000C39D1">
            <w:pPr>
              <w:pStyle w:val="libFootnote0"/>
              <w:rPr>
                <w:rtl/>
              </w:rPr>
            </w:pPr>
            <w:r>
              <w:rPr>
                <w:rtl/>
              </w:rPr>
              <w:t>(13)</w:t>
            </w:r>
            <w:r w:rsidRPr="00132E65">
              <w:rPr>
                <w:rtl/>
              </w:rPr>
              <w:t xml:space="preserve"> في « ب ، ج ، ض ، ف ، بس » </w:t>
            </w:r>
            <w:r>
              <w:rPr>
                <w:rtl/>
              </w:rPr>
              <w:t xml:space="preserve">: - </w:t>
            </w:r>
            <w:r w:rsidRPr="00132E65">
              <w:rPr>
                <w:rtl/>
              </w:rPr>
              <w:t>« عندي »</w:t>
            </w:r>
            <w:r>
              <w:rPr>
                <w:rtl/>
              </w:rPr>
              <w:t>.</w:t>
            </w:r>
          </w:p>
        </w:tc>
        <w:tc>
          <w:tcPr>
            <w:tcW w:w="4262" w:type="dxa"/>
          </w:tcPr>
          <w:p w:rsidR="008669B7" w:rsidRDefault="008669B7" w:rsidP="000C39D1">
            <w:pPr>
              <w:pStyle w:val="libFootnote0"/>
              <w:rPr>
                <w:rtl/>
              </w:rPr>
            </w:pPr>
            <w:r>
              <w:rPr>
                <w:rtl/>
              </w:rPr>
              <w:t>(14) في «ض ، بر ، بس ، بف</w:t>
            </w:r>
            <w:r w:rsidRPr="00132E65">
              <w:rPr>
                <w:rtl/>
              </w:rPr>
              <w:t xml:space="preserve">» </w:t>
            </w:r>
            <w:r w:rsidRPr="00D06318">
              <w:rPr>
                <w:rtl/>
              </w:rPr>
              <w:t>والوافي</w:t>
            </w:r>
            <w:r w:rsidRPr="00132E65">
              <w:rPr>
                <w:rtl/>
              </w:rPr>
              <w:t xml:space="preserve"> </w:t>
            </w:r>
            <w:r>
              <w:rPr>
                <w:rtl/>
              </w:rPr>
              <w:t>: - «الصادق</w:t>
            </w:r>
            <w:r w:rsidRPr="00132E65">
              <w:rPr>
                <w:rtl/>
              </w:rPr>
              <w:t>»</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فَبَكى ، ثُمَّ قَالَ لِيَ : اللهِ </w:t>
      </w:r>
      <w:r>
        <w:rPr>
          <w:rStyle w:val="libFootnotenumChar"/>
          <w:rtl/>
        </w:rPr>
        <w:t>(1)</w:t>
      </w:r>
      <w:r w:rsidRPr="00132E65">
        <w:rPr>
          <w:rtl/>
          <w:lang w:bidi="fa-IR"/>
        </w:rPr>
        <w:t xml:space="preserve"> ، لَقَدْ قَالَ لَكَ أَبُو عَبْدِ اللهِ هذَا</w:t>
      </w:r>
      <w:r>
        <w:rPr>
          <w:rtl/>
          <w:lang w:bidi="fa-IR"/>
        </w:rPr>
        <w:t>؟!</w:t>
      </w:r>
      <w:r w:rsidRPr="00132E65">
        <w:rPr>
          <w:rtl/>
          <w:lang w:bidi="fa-IR"/>
        </w:rPr>
        <w:t xml:space="preserve"> قَالَ </w:t>
      </w:r>
      <w:r>
        <w:rPr>
          <w:rStyle w:val="libFootnotenumChar"/>
          <w:rtl/>
        </w:rPr>
        <w:t>(2)</w:t>
      </w:r>
      <w:r w:rsidRPr="00132E65">
        <w:rPr>
          <w:rtl/>
          <w:lang w:bidi="fa-IR"/>
        </w:rPr>
        <w:t xml:space="preserve"> : فَحَلَفْتُ لَهُ أَنَّهُ قَدْ قَالَ لِي مَا قُلْتُ </w:t>
      </w:r>
      <w:r>
        <w:rPr>
          <w:rStyle w:val="libFootnotenumChar"/>
          <w:rtl/>
        </w:rPr>
        <w:t>(3)</w:t>
      </w:r>
      <w:r w:rsidRPr="00132E65">
        <w:rPr>
          <w:rtl/>
          <w:lang w:bidi="fa-IR"/>
        </w:rPr>
        <w:t xml:space="preserve"> ، فَقَالَ لِي </w:t>
      </w:r>
      <w:r>
        <w:rPr>
          <w:rStyle w:val="libFootnotenumChar"/>
          <w:rtl/>
        </w:rPr>
        <w:t>(4)</w:t>
      </w:r>
      <w:r w:rsidRPr="00132E65">
        <w:rPr>
          <w:rtl/>
          <w:lang w:bidi="fa-IR"/>
        </w:rPr>
        <w:t xml:space="preserve"> : حَسْبُكَ </w:t>
      </w:r>
      <w:r>
        <w:rPr>
          <w:rStyle w:val="libFootnotenumChar"/>
          <w:rtl/>
        </w:rPr>
        <w:t>(5)</w:t>
      </w:r>
      <w:r w:rsidRPr="00132E65">
        <w:rPr>
          <w:rtl/>
          <w:lang w:bidi="fa-IR"/>
        </w:rPr>
        <w:t xml:space="preserve"> ، و</w:t>
      </w:r>
      <w:r w:rsidR="00D06318">
        <w:rPr>
          <w:rFonts w:hint="cs"/>
          <w:rtl/>
          <w:lang w:bidi="fa-IR"/>
        </w:rPr>
        <w:t>َ</w:t>
      </w:r>
      <w:r w:rsidRPr="00132E65">
        <w:rPr>
          <w:rtl/>
          <w:lang w:bidi="fa-IR"/>
        </w:rPr>
        <w:t>مَضى ، فَلَمَّا كَانَ بَعْدَ أَيَّامٍ بَعَثَ إِلَيَّ ، فَدَعَانِي و</w:t>
      </w:r>
      <w:r w:rsidR="00D06318">
        <w:rPr>
          <w:rFonts w:hint="cs"/>
          <w:rtl/>
          <w:lang w:bidi="fa-IR"/>
        </w:rPr>
        <w:t>َ</w:t>
      </w:r>
      <w:r w:rsidRPr="00132E65">
        <w:rPr>
          <w:rtl/>
          <w:lang w:bidi="fa-IR"/>
        </w:rPr>
        <w:t xml:space="preserve">إِذَا </w:t>
      </w:r>
      <w:r>
        <w:rPr>
          <w:rStyle w:val="libFootnotenumChar"/>
          <w:rtl/>
        </w:rPr>
        <w:t>(6)</w:t>
      </w:r>
      <w:r w:rsidRPr="00132E65">
        <w:rPr>
          <w:rtl/>
          <w:lang w:bidi="fa-IR"/>
        </w:rPr>
        <w:t xml:space="preserve"> هُوَ خَلْفَ دَارِهِ عُرْيَانٌ ، فَقَالَ لِي : يَا أَبَا بَصِيرٍ ، لَاوَ اللهِ ، مَا بَق</w:t>
      </w:r>
      <w:r w:rsidR="00D06318">
        <w:rPr>
          <w:rtl/>
          <w:lang w:bidi="fa-IR"/>
        </w:rPr>
        <w:t>ِيَ فِي مَنْزِلِي شَيْ‌ءٌ إِل</w:t>
      </w:r>
      <w:r w:rsidR="00D06318">
        <w:rPr>
          <w:rFonts w:hint="cs"/>
          <w:rtl/>
          <w:lang w:bidi="fa-IR"/>
        </w:rPr>
        <w:t>َّ</w:t>
      </w:r>
      <w:r w:rsidR="00D06318">
        <w:rPr>
          <w:rtl/>
          <w:lang w:bidi="fa-IR"/>
        </w:rPr>
        <w:t>ا</w:t>
      </w:r>
      <w:r w:rsidRPr="00132E65">
        <w:rPr>
          <w:rtl/>
          <w:lang w:bidi="fa-IR"/>
        </w:rPr>
        <w:t xml:space="preserve"> و</w:t>
      </w:r>
      <w:r w:rsidR="00D06318">
        <w:rPr>
          <w:rFonts w:hint="cs"/>
          <w:rtl/>
          <w:lang w:bidi="fa-IR"/>
        </w:rPr>
        <w:t>َ</w:t>
      </w:r>
      <w:r w:rsidRPr="00132E65">
        <w:rPr>
          <w:rtl/>
          <w:lang w:bidi="fa-IR"/>
        </w:rPr>
        <w:t>قَدْ أَخْرَجْتُهُ ، و</w:t>
      </w:r>
      <w:r w:rsidR="00D06318">
        <w:rPr>
          <w:rFonts w:hint="cs"/>
          <w:rtl/>
          <w:lang w:bidi="fa-IR"/>
        </w:rPr>
        <w:t>َ</w:t>
      </w:r>
      <w:r w:rsidRPr="00132E65">
        <w:rPr>
          <w:rtl/>
          <w:lang w:bidi="fa-IR"/>
        </w:rPr>
        <w:t xml:space="preserve">أَنَا </w:t>
      </w:r>
      <w:r>
        <w:rPr>
          <w:rStyle w:val="libFootnotenumChar"/>
          <w:rtl/>
        </w:rPr>
        <w:t>(7)</w:t>
      </w:r>
      <w:r w:rsidRPr="00132E65">
        <w:rPr>
          <w:rtl/>
          <w:lang w:bidi="fa-IR"/>
        </w:rPr>
        <w:t xml:space="preserve"> كَمَا تَرى </w:t>
      </w:r>
      <w:r>
        <w:rPr>
          <w:rStyle w:val="libFootnotenumChar"/>
          <w:rtl/>
        </w:rPr>
        <w:t>(8)</w:t>
      </w:r>
      <w:r w:rsidR="00D06318" w:rsidRPr="00D06318">
        <w:rPr>
          <w:rFonts w:hint="cs"/>
          <w:rtl/>
        </w:rPr>
        <w:t>.</w:t>
      </w:r>
    </w:p>
    <w:p w:rsidR="000C39D1" w:rsidRPr="00132E65" w:rsidRDefault="000C39D1" w:rsidP="000C39D1">
      <w:pPr>
        <w:pStyle w:val="libNormal"/>
        <w:rPr>
          <w:rtl/>
          <w:lang w:bidi="fa-IR"/>
        </w:rPr>
      </w:pPr>
      <w:r w:rsidRPr="00132E65">
        <w:rPr>
          <w:rtl/>
          <w:lang w:bidi="fa-IR"/>
        </w:rPr>
        <w:t xml:space="preserve">قَالَ : فَمَضَيْتُ إِلى إِخْوَانِنَا ، فَجَمَعْتُ لَهُ مَا كَسَوْتُهُ بِهِ ، ثُمَّ لَمْ تَأْتِ </w:t>
      </w:r>
      <w:r>
        <w:rPr>
          <w:rStyle w:val="libFootnotenumChar"/>
          <w:rtl/>
        </w:rPr>
        <w:t>(9)</w:t>
      </w:r>
      <w:r w:rsidRPr="00132E65">
        <w:rPr>
          <w:rtl/>
          <w:lang w:bidi="fa-IR"/>
        </w:rPr>
        <w:t xml:space="preserve"> عَلَيْهِ أَيَّامٌ يَسِيرَةٌ حَتّى بَعَثَ إِلَيَّ : أَنِّي عَلِيلٌ فَأْتِنِي ، فَجَعَلْتُ أَخْتَلِفُ إِلَيْهِ </w:t>
      </w:r>
      <w:r>
        <w:rPr>
          <w:rStyle w:val="libFootnotenumChar"/>
          <w:rtl/>
        </w:rPr>
        <w:t>(10)</w:t>
      </w:r>
      <w:r w:rsidRPr="00132E65">
        <w:rPr>
          <w:rtl/>
          <w:lang w:bidi="fa-IR"/>
        </w:rPr>
        <w:t xml:space="preserve"> وأُعَالِجُهُ حَتّى نَزَلَ بِهِ الْمَوْتُ ، فَكُنْتُ عِنْدَهُ جَالِساً و</w:t>
      </w:r>
      <w:r w:rsidR="00D06318">
        <w:rPr>
          <w:rFonts w:hint="cs"/>
          <w:rtl/>
          <w:lang w:bidi="fa-IR"/>
        </w:rPr>
        <w:t>َ</w:t>
      </w:r>
      <w:r w:rsidRPr="00132E65">
        <w:rPr>
          <w:rtl/>
          <w:lang w:bidi="fa-IR"/>
        </w:rPr>
        <w:t xml:space="preserve">هُوَ يَجُودُ بِنَفْسِهِ </w:t>
      </w:r>
      <w:r>
        <w:rPr>
          <w:rStyle w:val="libFootnotenumChar"/>
          <w:rtl/>
        </w:rPr>
        <w:t>(11)</w:t>
      </w:r>
      <w:r w:rsidRPr="00132E65">
        <w:rPr>
          <w:rtl/>
          <w:lang w:bidi="fa-IR"/>
        </w:rPr>
        <w:t xml:space="preserve"> ، فَغُشِيَ عَلَيْهِ غَشْيَةً ، ثُمَّ أَفَاقَ ، فَقَالَ لِي :</w:t>
      </w:r>
      <w:r>
        <w:rPr>
          <w:rFonts w:hint="cs"/>
          <w:rtl/>
          <w:lang w:bidi="fa-IR"/>
        </w:rPr>
        <w:t xml:space="preserve"> </w:t>
      </w:r>
      <w:r w:rsidRPr="00132E65">
        <w:rPr>
          <w:rtl/>
          <w:lang w:bidi="fa-IR"/>
        </w:rPr>
        <w:t>يَا أَبَا بَصِيرٍ ، قَدْ و</w:t>
      </w:r>
      <w:r w:rsidR="00D06318">
        <w:rPr>
          <w:rFonts w:hint="cs"/>
          <w:rtl/>
          <w:lang w:bidi="fa-IR"/>
        </w:rPr>
        <w:t>َ</w:t>
      </w:r>
      <w:r w:rsidRPr="00132E65">
        <w:rPr>
          <w:rtl/>
          <w:lang w:bidi="fa-IR"/>
        </w:rPr>
        <w:t xml:space="preserve">فى صَاحِبُكَ لَنَا ، ثُمَّ قُبِضَ رَحْمَةُ اللهِ عَلَيْهِ </w:t>
      </w:r>
      <w:r>
        <w:rPr>
          <w:rStyle w:val="libFootnotenumChar"/>
          <w:rtl/>
        </w:rPr>
        <w:t>(12)</w:t>
      </w:r>
    </w:p>
    <w:p w:rsidR="000C39D1" w:rsidRPr="00132E65" w:rsidRDefault="000C39D1" w:rsidP="000C39D1">
      <w:pPr>
        <w:pStyle w:val="libNormal"/>
        <w:rPr>
          <w:rtl/>
          <w:lang w:bidi="fa-IR"/>
        </w:rPr>
      </w:pPr>
      <w:r w:rsidRPr="00132E65">
        <w:rPr>
          <w:rtl/>
          <w:lang w:bidi="fa-IR"/>
        </w:rPr>
        <w:t xml:space="preserve">فَلَمَّا حَجَجْتُ أَتَيْتُ أَبَا عَبْدِ اللهِ </w:t>
      </w:r>
      <w:r w:rsidRPr="00071CF9">
        <w:rPr>
          <w:rStyle w:val="libAlaemChar"/>
          <w:rtl/>
        </w:rPr>
        <w:t>عليه‌السلام</w:t>
      </w:r>
      <w:r w:rsidRPr="00132E65">
        <w:rPr>
          <w:rtl/>
          <w:lang w:bidi="fa-IR"/>
        </w:rPr>
        <w:t xml:space="preserve"> ، فَاسْتَأْذَنْتُ عَلَيْهِ ، فَلَمَّا دَخَلْتُ قَالَ لِيَ ابْتِدَاءً مِنْ دَاخِلِ الْبَيْتِ</w:t>
      </w:r>
      <w:r>
        <w:rPr>
          <w:rtl/>
          <w:lang w:bidi="fa-IR"/>
        </w:rPr>
        <w:t xml:space="preserve"> - </w:t>
      </w:r>
      <w:r w:rsidRPr="00132E65">
        <w:rPr>
          <w:rtl/>
          <w:lang w:bidi="fa-IR"/>
        </w:rPr>
        <w:t>و</w:t>
      </w:r>
      <w:r w:rsidR="00D06318">
        <w:rPr>
          <w:rFonts w:hint="cs"/>
          <w:rtl/>
          <w:lang w:bidi="fa-IR"/>
        </w:rPr>
        <w:t>َ</w:t>
      </w:r>
      <w:r w:rsidRPr="00132E65">
        <w:rPr>
          <w:rtl/>
          <w:lang w:bidi="fa-IR"/>
        </w:rPr>
        <w:t xml:space="preserve">إِحْدى رِجْلَيَّ فِي الصَّحْنِ </w:t>
      </w:r>
      <w:r w:rsidRPr="00F543F1">
        <w:rPr>
          <w:rStyle w:val="libFootnotenumChar"/>
          <w:rtl/>
        </w:rPr>
        <w:t>(13)</w:t>
      </w:r>
      <w:r w:rsidRPr="00132E65">
        <w:rPr>
          <w:rtl/>
          <w:lang w:bidi="fa-IR"/>
        </w:rPr>
        <w:t xml:space="preserve"> ، و</w:t>
      </w:r>
      <w:r w:rsidR="00D06318">
        <w:rPr>
          <w:rFonts w:hint="cs"/>
          <w:rtl/>
          <w:lang w:bidi="fa-IR"/>
        </w:rPr>
        <w:t>َ</w:t>
      </w:r>
      <w:r w:rsidRPr="00132E65">
        <w:rPr>
          <w:rtl/>
          <w:lang w:bidi="fa-IR"/>
        </w:rPr>
        <w:t xml:space="preserve">الْأُخْرى فِي دِهْلِيزِ دَارِهِ </w:t>
      </w:r>
      <w:r>
        <w:rPr>
          <w:rtl/>
          <w:lang w:bidi="fa-IR"/>
        </w:rPr>
        <w:t>- :</w:t>
      </w:r>
      <w:r>
        <w:rPr>
          <w:rFonts w:hint="cs"/>
          <w:rtl/>
          <w:lang w:bidi="fa-IR"/>
        </w:rPr>
        <w:t xml:space="preserve"> </w:t>
      </w:r>
      <w:r w:rsidRPr="00132E65">
        <w:rPr>
          <w:rtl/>
          <w:lang w:bidi="fa-IR"/>
        </w:rPr>
        <w:t>« يَا أَبَا بَصِيرٍ ، قَدْ و</w:t>
      </w:r>
      <w:r w:rsidR="00D06318">
        <w:rPr>
          <w:rFonts w:hint="cs"/>
          <w:rtl/>
          <w:lang w:bidi="fa-IR"/>
        </w:rPr>
        <w:t>َ</w:t>
      </w:r>
      <w:r w:rsidRPr="00132E65">
        <w:rPr>
          <w:rtl/>
          <w:lang w:bidi="fa-IR"/>
        </w:rPr>
        <w:t>فَيْنَا لِصَاحِبِكَ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والله »</w:t>
      </w:r>
      <w:r>
        <w:rPr>
          <w:rtl/>
        </w:rPr>
        <w:t>.</w:t>
      </w:r>
      <w:r w:rsidRPr="00132E65">
        <w:rPr>
          <w:rtl/>
        </w:rPr>
        <w:t xml:space="preserve"> وفي </w:t>
      </w:r>
      <w:r w:rsidRPr="009D1ACE">
        <w:rPr>
          <w:rStyle w:val="libFootnoteBoldChar"/>
          <w:rtl/>
        </w:rPr>
        <w:t>مرآة العقول</w:t>
      </w:r>
      <w:r w:rsidRPr="00132E65">
        <w:rPr>
          <w:rtl/>
        </w:rPr>
        <w:t xml:space="preserve"> : « الله ، بالجرّ بتقدير حرف القسم. وقيل منصوب بتقدير : أذكر »</w:t>
      </w:r>
      <w:r>
        <w:rPr>
          <w:rtl/>
        </w:rPr>
        <w:t>.</w:t>
      </w:r>
    </w:p>
    <w:tbl>
      <w:tblPr>
        <w:tblStyle w:val="TableGrid"/>
        <w:bidiVisual/>
        <w:tblW w:w="0" w:type="auto"/>
        <w:tblLook w:val="04A0" w:firstRow="1" w:lastRow="0" w:firstColumn="1" w:lastColumn="0" w:noHBand="0" w:noVBand="1"/>
      </w:tblPr>
      <w:tblGrid>
        <w:gridCol w:w="4261"/>
        <w:gridCol w:w="4262"/>
      </w:tblGrid>
      <w:tr w:rsidR="00D06318" w:rsidTr="00D06318">
        <w:tc>
          <w:tcPr>
            <w:tcW w:w="4261" w:type="dxa"/>
          </w:tcPr>
          <w:p w:rsidR="00D06318" w:rsidRDefault="00D06318" w:rsidP="000C39D1">
            <w:pPr>
              <w:pStyle w:val="libFootnote0"/>
              <w:rPr>
                <w:rtl/>
              </w:rPr>
            </w:pPr>
            <w:r>
              <w:rPr>
                <w:rtl/>
              </w:rPr>
              <w:t>(2).</w:t>
            </w:r>
            <w:r w:rsidRPr="00132E65">
              <w:rPr>
                <w:rtl/>
              </w:rPr>
              <w:t xml:space="preserve"> في « ف » </w:t>
            </w:r>
            <w:r>
              <w:rPr>
                <w:rtl/>
              </w:rPr>
              <w:t xml:space="preserve">: - </w:t>
            </w:r>
            <w:r w:rsidRPr="00132E65">
              <w:rPr>
                <w:rtl/>
              </w:rPr>
              <w:t>« قال »</w:t>
            </w:r>
            <w:r>
              <w:rPr>
                <w:rtl/>
              </w:rPr>
              <w:t>.</w:t>
            </w:r>
          </w:p>
        </w:tc>
        <w:tc>
          <w:tcPr>
            <w:tcW w:w="4262" w:type="dxa"/>
          </w:tcPr>
          <w:p w:rsidR="00D06318" w:rsidRDefault="00D06318" w:rsidP="000C39D1">
            <w:pPr>
              <w:pStyle w:val="libFootnote0"/>
              <w:rPr>
                <w:rtl/>
              </w:rPr>
            </w:pPr>
            <w:r>
              <w:rPr>
                <w:rtl/>
              </w:rPr>
              <w:t>(3).</w:t>
            </w:r>
            <w:r w:rsidRPr="00132E65">
              <w:rPr>
                <w:rtl/>
              </w:rPr>
              <w:t xml:space="preserve"> في « ف » :</w:t>
            </w:r>
            <w:r>
              <w:rPr>
                <w:rtl/>
              </w:rPr>
              <w:t xml:space="preserve"> + </w:t>
            </w:r>
            <w:r w:rsidRPr="00132E65">
              <w:rPr>
                <w:rtl/>
              </w:rPr>
              <w:t>« لك »</w:t>
            </w:r>
            <w:r>
              <w:rPr>
                <w:rtl/>
              </w:rPr>
              <w:t>.</w:t>
            </w:r>
          </w:p>
        </w:tc>
      </w:tr>
    </w:tbl>
    <w:p w:rsidR="000C39D1" w:rsidRPr="00132E65" w:rsidRDefault="000C39D1" w:rsidP="000C39D1">
      <w:pPr>
        <w:pStyle w:val="libFootnote0"/>
        <w:rPr>
          <w:rtl/>
          <w:lang w:bidi="fa-IR"/>
        </w:rPr>
      </w:pPr>
      <w:r>
        <w:rPr>
          <w:rtl/>
        </w:rPr>
        <w:t>(4).</w:t>
      </w:r>
      <w:r w:rsidRPr="00132E65">
        <w:rPr>
          <w:rtl/>
        </w:rPr>
        <w:t xml:space="preserve"> في « ب » :</w:t>
      </w:r>
      <w:r>
        <w:rPr>
          <w:rtl/>
        </w:rPr>
        <w:t xml:space="preserve"> + </w:t>
      </w:r>
      <w:r w:rsidRPr="00132E65">
        <w:rPr>
          <w:rtl/>
        </w:rPr>
        <w:t>« ما »</w:t>
      </w:r>
      <w:r>
        <w:rPr>
          <w:rtl/>
        </w:rPr>
        <w:t>.</w:t>
      </w:r>
    </w:p>
    <w:p w:rsidR="000C39D1" w:rsidRPr="00132E65" w:rsidRDefault="000C39D1" w:rsidP="000C39D1">
      <w:pPr>
        <w:pStyle w:val="libFootnote0"/>
        <w:rPr>
          <w:rtl/>
          <w:lang w:bidi="fa-IR"/>
        </w:rPr>
      </w:pPr>
      <w:r>
        <w:rPr>
          <w:rtl/>
        </w:rPr>
        <w:t>(5).</w:t>
      </w:r>
      <w:r w:rsidRPr="00132E65">
        <w:rPr>
          <w:rtl/>
        </w:rPr>
        <w:t xml:space="preserve"> استظهر المازندراني ما في المتن ، أي فتح الحاء وسكون السين خبراً لمبتدأ محذوف ، بعد ما جوّز أن يقرأ بفتح الحاء والسين بمعنى الفعال الحسن ، فاعلاً لفعل محذوف ، أو خبراً لمبتدأ محذوف. أو يقرأ بكسر الحاء وفتح السين جمع الحِسْبَة وهو الأجر ، مبتدأ خبره محذوف. راجع : </w:t>
      </w:r>
      <w:r w:rsidRPr="00D06318">
        <w:rPr>
          <w:rStyle w:val="libFootnoteBoldChar"/>
          <w:rtl/>
        </w:rPr>
        <w:t>شرح المازندراني</w:t>
      </w:r>
      <w:r w:rsidRPr="00132E65">
        <w:rPr>
          <w:rtl/>
        </w:rPr>
        <w:t xml:space="preserve"> ، ج 7 ، ص 244.</w:t>
      </w:r>
    </w:p>
    <w:tbl>
      <w:tblPr>
        <w:tblStyle w:val="TableGrid"/>
        <w:bidiVisual/>
        <w:tblW w:w="0" w:type="auto"/>
        <w:tblLook w:val="04A0" w:firstRow="1" w:lastRow="0" w:firstColumn="1" w:lastColumn="0" w:noHBand="0" w:noVBand="1"/>
      </w:tblPr>
      <w:tblGrid>
        <w:gridCol w:w="4261"/>
        <w:gridCol w:w="4262"/>
      </w:tblGrid>
      <w:tr w:rsidR="00D06318" w:rsidTr="00D06318">
        <w:tc>
          <w:tcPr>
            <w:tcW w:w="4261" w:type="dxa"/>
          </w:tcPr>
          <w:p w:rsidR="00D06318" w:rsidRDefault="00D06318" w:rsidP="000C39D1">
            <w:pPr>
              <w:pStyle w:val="libFootnote0"/>
              <w:rPr>
                <w:rtl/>
              </w:rPr>
            </w:pPr>
            <w:r>
              <w:rPr>
                <w:rtl/>
              </w:rPr>
              <w:t>(6).</w:t>
            </w:r>
            <w:r w:rsidRPr="00132E65">
              <w:rPr>
                <w:rtl/>
              </w:rPr>
              <w:t xml:space="preserve"> في « ج » : « فإذا »</w:t>
            </w:r>
            <w:r>
              <w:rPr>
                <w:rtl/>
              </w:rPr>
              <w:t>.</w:t>
            </w:r>
          </w:p>
        </w:tc>
        <w:tc>
          <w:tcPr>
            <w:tcW w:w="4262" w:type="dxa"/>
          </w:tcPr>
          <w:p w:rsidR="00D06318" w:rsidRDefault="00D06318" w:rsidP="000C39D1">
            <w:pPr>
              <w:pStyle w:val="libFootnote0"/>
              <w:rPr>
                <w:rtl/>
              </w:rPr>
            </w:pPr>
            <w:r>
              <w:rPr>
                <w:rtl/>
              </w:rPr>
              <w:t>(7).</w:t>
            </w:r>
            <w:r w:rsidRPr="00132E65">
              <w:rPr>
                <w:rtl/>
              </w:rPr>
              <w:t xml:space="preserve"> في حاشية « ف » : « وإنّي »</w:t>
            </w:r>
            <w:r>
              <w:rPr>
                <w:rtl/>
              </w:rPr>
              <w:t>.</w:t>
            </w:r>
          </w:p>
        </w:tc>
      </w:tr>
      <w:tr w:rsidR="00D06318" w:rsidTr="00D06318">
        <w:tc>
          <w:tcPr>
            <w:tcW w:w="4261" w:type="dxa"/>
          </w:tcPr>
          <w:p w:rsidR="00D06318" w:rsidRDefault="00D06318" w:rsidP="000C39D1">
            <w:pPr>
              <w:pStyle w:val="libFootnote0"/>
              <w:rPr>
                <w:rtl/>
              </w:rPr>
            </w:pPr>
            <w:r>
              <w:rPr>
                <w:rtl/>
              </w:rPr>
              <w:t>(8).</w:t>
            </w:r>
            <w:r w:rsidRPr="00132E65">
              <w:rPr>
                <w:rtl/>
              </w:rPr>
              <w:t xml:space="preserve"> في « ف » :</w:t>
            </w:r>
            <w:r>
              <w:rPr>
                <w:rtl/>
              </w:rPr>
              <w:t xml:space="preserve"> + </w:t>
            </w:r>
            <w:r w:rsidRPr="00132E65">
              <w:rPr>
                <w:rtl/>
              </w:rPr>
              <w:t>« عريان »</w:t>
            </w:r>
            <w:r>
              <w:rPr>
                <w:rtl/>
              </w:rPr>
              <w:t>.</w:t>
            </w:r>
          </w:p>
        </w:tc>
        <w:tc>
          <w:tcPr>
            <w:tcW w:w="4262" w:type="dxa"/>
          </w:tcPr>
          <w:p w:rsidR="00D06318" w:rsidRDefault="00D06318" w:rsidP="000C39D1">
            <w:pPr>
              <w:pStyle w:val="libFootnote0"/>
              <w:rPr>
                <w:rtl/>
              </w:rPr>
            </w:pPr>
            <w:r>
              <w:rPr>
                <w:rtl/>
              </w:rPr>
              <w:t>(9).</w:t>
            </w:r>
            <w:r w:rsidRPr="00132E65">
              <w:rPr>
                <w:rtl/>
              </w:rPr>
              <w:t xml:space="preserve"> في « ف ، بس » : « لم يأت »</w:t>
            </w:r>
            <w:r>
              <w:rPr>
                <w:rtl/>
              </w:rPr>
              <w:t>.</w:t>
            </w:r>
          </w:p>
        </w:tc>
      </w:tr>
    </w:tbl>
    <w:p w:rsidR="000C39D1" w:rsidRPr="00132E65" w:rsidRDefault="000C39D1" w:rsidP="000C39D1">
      <w:pPr>
        <w:pStyle w:val="libFootnote0"/>
        <w:rPr>
          <w:rtl/>
          <w:lang w:bidi="fa-IR"/>
        </w:rPr>
      </w:pPr>
      <w:r>
        <w:rPr>
          <w:rtl/>
        </w:rPr>
        <w:t>(10).</w:t>
      </w:r>
      <w:r w:rsidRPr="00132E65">
        <w:rPr>
          <w:rtl/>
        </w:rPr>
        <w:t xml:space="preserve"> في « ج » : « عليه »</w:t>
      </w:r>
      <w:r>
        <w:rPr>
          <w:rtl/>
        </w:rPr>
        <w:t>.</w:t>
      </w:r>
    </w:p>
    <w:p w:rsidR="000C39D1" w:rsidRPr="00132E65" w:rsidRDefault="000C39D1" w:rsidP="000C39D1">
      <w:pPr>
        <w:pStyle w:val="libFootnote0"/>
        <w:rPr>
          <w:rtl/>
          <w:lang w:bidi="fa-IR"/>
        </w:rPr>
      </w:pPr>
      <w:r>
        <w:rPr>
          <w:rtl/>
        </w:rPr>
        <w:t>(11).</w:t>
      </w:r>
      <w:r w:rsidRPr="00132E65">
        <w:rPr>
          <w:rtl/>
        </w:rPr>
        <w:t xml:space="preserve"> « يجود بنفسه » ، أي يُخرجها ويَدفعها كما يدفع الإنسان ما له يَجُودُ به ، والجُود : الكرم. يريد أنّه كان في النزع‌</w:t>
      </w:r>
      <w:r w:rsidR="00D06318">
        <w:rPr>
          <w:rFonts w:hint="cs"/>
          <w:rtl/>
        </w:rPr>
        <w:t xml:space="preserve"> </w:t>
      </w:r>
      <w:r w:rsidRPr="00132E65">
        <w:rPr>
          <w:rtl/>
        </w:rPr>
        <w:t xml:space="preserve">وسياق الموت. </w:t>
      </w:r>
      <w:r w:rsidRPr="00D06318">
        <w:rPr>
          <w:rStyle w:val="libFootnoteBoldChar"/>
          <w:rtl/>
        </w:rPr>
        <w:t>النهاية</w:t>
      </w:r>
      <w:r w:rsidRPr="00132E65">
        <w:rPr>
          <w:rtl/>
        </w:rPr>
        <w:t xml:space="preserve"> ، ج 1 ، ص 312 ( جود )</w:t>
      </w:r>
      <w:r>
        <w:rPr>
          <w:rtl/>
        </w:rPr>
        <w:t>.</w:t>
      </w:r>
    </w:p>
    <w:tbl>
      <w:tblPr>
        <w:tblStyle w:val="TableGrid"/>
        <w:bidiVisual/>
        <w:tblW w:w="0" w:type="auto"/>
        <w:tblLook w:val="04A0" w:firstRow="1" w:lastRow="0" w:firstColumn="1" w:lastColumn="0" w:noHBand="0" w:noVBand="1"/>
      </w:tblPr>
      <w:tblGrid>
        <w:gridCol w:w="4261"/>
        <w:gridCol w:w="4262"/>
      </w:tblGrid>
      <w:tr w:rsidR="00D06318" w:rsidTr="00D06318">
        <w:tc>
          <w:tcPr>
            <w:tcW w:w="4261" w:type="dxa"/>
          </w:tcPr>
          <w:p w:rsidR="00D06318" w:rsidRDefault="00D06318" w:rsidP="000C39D1">
            <w:pPr>
              <w:pStyle w:val="libFootnote0"/>
              <w:rPr>
                <w:rtl/>
              </w:rPr>
            </w:pPr>
            <w:r>
              <w:rPr>
                <w:rtl/>
              </w:rPr>
              <w:t>(12).</w:t>
            </w:r>
            <w:r w:rsidRPr="00132E65">
              <w:rPr>
                <w:rtl/>
              </w:rPr>
              <w:t xml:space="preserve"> في « ف » :</w:t>
            </w:r>
            <w:r>
              <w:rPr>
                <w:rtl/>
              </w:rPr>
              <w:t xml:space="preserve"> + </w:t>
            </w:r>
            <w:r w:rsidRPr="00132E65">
              <w:rPr>
                <w:rtl/>
              </w:rPr>
              <w:t>« قال »</w:t>
            </w:r>
            <w:r>
              <w:rPr>
                <w:rtl/>
              </w:rPr>
              <w:t>.</w:t>
            </w:r>
            <w:r w:rsidRPr="00132E65">
              <w:rPr>
                <w:rtl/>
              </w:rPr>
              <w:t xml:space="preserve"> وفي </w:t>
            </w:r>
            <w:r w:rsidRPr="00D06318">
              <w:rPr>
                <w:rtl/>
              </w:rPr>
              <w:t>الوافي</w:t>
            </w:r>
            <w:r w:rsidRPr="00132E65">
              <w:rPr>
                <w:rtl/>
              </w:rPr>
              <w:t xml:space="preserve"> </w:t>
            </w:r>
            <w:r>
              <w:rPr>
                <w:rtl/>
              </w:rPr>
              <w:t xml:space="preserve">: - </w:t>
            </w:r>
            <w:r w:rsidRPr="00132E65">
              <w:rPr>
                <w:rtl/>
              </w:rPr>
              <w:t>« عليه »</w:t>
            </w:r>
            <w:r>
              <w:rPr>
                <w:rtl/>
              </w:rPr>
              <w:t>.</w:t>
            </w:r>
          </w:p>
        </w:tc>
        <w:tc>
          <w:tcPr>
            <w:tcW w:w="4262" w:type="dxa"/>
          </w:tcPr>
          <w:p w:rsidR="00D06318" w:rsidRDefault="00D06318" w:rsidP="000C39D1">
            <w:pPr>
              <w:pStyle w:val="libFootnote0"/>
              <w:rPr>
                <w:rtl/>
              </w:rPr>
            </w:pPr>
            <w:r>
              <w:rPr>
                <w:rtl/>
              </w:rPr>
              <w:t>(13)</w:t>
            </w:r>
            <w:r w:rsidRPr="00132E65">
              <w:rPr>
                <w:rtl/>
              </w:rPr>
              <w:t xml:space="preserve"> في « ب » : « الصخر »</w:t>
            </w:r>
            <w:r>
              <w:rPr>
                <w:rtl/>
              </w:rPr>
              <w:t>.</w:t>
            </w:r>
          </w:p>
        </w:tc>
      </w:tr>
    </w:tbl>
    <w:p w:rsidR="000C39D1" w:rsidRPr="00132E65" w:rsidRDefault="000C39D1" w:rsidP="000C39D1">
      <w:pPr>
        <w:pStyle w:val="libFootnote0"/>
        <w:rPr>
          <w:rtl/>
          <w:lang w:bidi="fa-IR"/>
        </w:rPr>
      </w:pPr>
      <w:r>
        <w:rPr>
          <w:rtl/>
        </w:rPr>
        <w:t>(14)</w:t>
      </w:r>
      <w:r w:rsidRPr="00132E65">
        <w:rPr>
          <w:rtl/>
        </w:rPr>
        <w:t xml:space="preserve"> </w:t>
      </w:r>
      <w:r w:rsidRPr="009D1ACE">
        <w:rPr>
          <w:rStyle w:val="libFootnoteBoldChar"/>
          <w:rtl/>
        </w:rPr>
        <w:t>الوافي</w:t>
      </w:r>
      <w:r w:rsidRPr="00132E65">
        <w:rPr>
          <w:rtl/>
        </w:rPr>
        <w:t xml:space="preserve"> ، ج 3 ، ص 792 ، ح 1405.</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343EDA">
        <w:rPr>
          <w:rtl/>
        </w:rPr>
        <w:t>1286</w:t>
      </w:r>
      <w:r w:rsidRPr="004325D8">
        <w:rPr>
          <w:rStyle w:val="libBold2Char"/>
          <w:rtl/>
        </w:rPr>
        <w:t xml:space="preserve"> / 6.</w:t>
      </w:r>
      <w:r w:rsidRPr="00132E65">
        <w:rPr>
          <w:rtl/>
          <w:lang w:bidi="fa-IR"/>
        </w:rPr>
        <w:t xml:space="preserve"> أَبُو عَلِيٍّ الْأَشْعَرِيُّ ، عَنْ مُحَمَّدِ بْنِ عَبْدِ الْجَبَّارِ ، عَنْ صَفْوَانَ بْنِ يَحْيى ، عَنْ جَعْفَرِ بْنِ مُحَمَّدِ بْنِ الْأَشْعَثِ ، قَالَ :</w:t>
      </w:r>
    </w:p>
    <w:p w:rsidR="000C39D1" w:rsidRPr="00132E65" w:rsidRDefault="000C39D1" w:rsidP="000C39D1">
      <w:pPr>
        <w:pStyle w:val="libNormal"/>
        <w:rPr>
          <w:rtl/>
          <w:lang w:bidi="fa-IR"/>
        </w:rPr>
      </w:pPr>
      <w:r w:rsidRPr="00132E65">
        <w:rPr>
          <w:rtl/>
          <w:lang w:bidi="fa-IR"/>
        </w:rPr>
        <w:t xml:space="preserve">قَالَ لِي </w:t>
      </w:r>
      <w:r>
        <w:rPr>
          <w:rStyle w:val="libFootnotenumChar"/>
          <w:rtl/>
        </w:rPr>
        <w:t>(1)</w:t>
      </w:r>
      <w:r>
        <w:rPr>
          <w:rtl/>
          <w:lang w:bidi="fa-IR"/>
        </w:rPr>
        <w:t xml:space="preserve"> : أَ</w:t>
      </w:r>
      <w:r w:rsidRPr="00132E65">
        <w:rPr>
          <w:rtl/>
          <w:lang w:bidi="fa-IR"/>
        </w:rPr>
        <w:t xml:space="preserve">تَدْرِي </w:t>
      </w:r>
      <w:r>
        <w:rPr>
          <w:rStyle w:val="libFootnotenumChar"/>
          <w:rtl/>
        </w:rPr>
        <w:t>(2)</w:t>
      </w:r>
      <w:r w:rsidRPr="00132E65">
        <w:rPr>
          <w:rtl/>
          <w:lang w:bidi="fa-IR"/>
        </w:rPr>
        <w:t xml:space="preserve"> مَا كَانَ سَبَبُ دُخُولِنَا فِي هذَا الْأَمْرِ و</w:t>
      </w:r>
      <w:r w:rsidR="00D06318">
        <w:rPr>
          <w:rFonts w:hint="cs"/>
          <w:rtl/>
          <w:lang w:bidi="fa-IR"/>
        </w:rPr>
        <w:t>َ</w:t>
      </w:r>
      <w:r w:rsidRPr="00132E65">
        <w:rPr>
          <w:rtl/>
          <w:lang w:bidi="fa-IR"/>
        </w:rPr>
        <w:t>مَعْرِفَتِنَا بِهِ ، و</w:t>
      </w:r>
      <w:r w:rsidR="00D06318">
        <w:rPr>
          <w:rFonts w:hint="cs"/>
          <w:rtl/>
          <w:lang w:bidi="fa-IR"/>
        </w:rPr>
        <w:t>َ</w:t>
      </w:r>
      <w:r w:rsidRPr="00132E65">
        <w:rPr>
          <w:rtl/>
          <w:lang w:bidi="fa-IR"/>
        </w:rPr>
        <w:t>مَا كَانَ عِنْدَنَا مِنْهُ ذِكْرٌ و</w:t>
      </w:r>
      <w:r w:rsidR="00D06318">
        <w:rPr>
          <w:rFonts w:hint="cs"/>
          <w:rtl/>
          <w:lang w:bidi="fa-IR"/>
        </w:rPr>
        <w:t>َ</w:t>
      </w:r>
      <w:r w:rsidRPr="00132E65">
        <w:rPr>
          <w:rtl/>
          <w:lang w:bidi="fa-IR"/>
        </w:rPr>
        <w:t>لَامَعْرِفَةُ شَيْ‌ءٍ مِمَّا عِنْدَ النَّاسِ</w:t>
      </w:r>
      <w:r>
        <w:rPr>
          <w:rtl/>
          <w:lang w:bidi="fa-IR"/>
        </w:rPr>
        <w:t>؟</w:t>
      </w:r>
    </w:p>
    <w:p w:rsidR="000C39D1" w:rsidRPr="00132E65" w:rsidRDefault="000C39D1" w:rsidP="000C39D1">
      <w:pPr>
        <w:pStyle w:val="libNormal"/>
        <w:rPr>
          <w:rtl/>
          <w:lang w:bidi="fa-IR"/>
        </w:rPr>
      </w:pPr>
      <w:r w:rsidRPr="00132E65">
        <w:rPr>
          <w:rtl/>
          <w:lang w:bidi="fa-IR"/>
        </w:rPr>
        <w:t xml:space="preserve">قَالَ : قُلْتُ لَهُ : مَا </w:t>
      </w:r>
      <w:r>
        <w:rPr>
          <w:rStyle w:val="libFootnotenumChar"/>
          <w:rtl/>
        </w:rPr>
        <w:t>(3)</w:t>
      </w:r>
      <w:r w:rsidRPr="00132E65">
        <w:rPr>
          <w:rtl/>
          <w:lang w:bidi="fa-IR"/>
        </w:rPr>
        <w:t xml:space="preserve"> ذَاكَ</w:t>
      </w:r>
      <w:r>
        <w:rPr>
          <w:rtl/>
          <w:lang w:bidi="fa-IR"/>
        </w:rPr>
        <w:t>؟</w:t>
      </w:r>
    </w:p>
    <w:p w:rsidR="000C39D1" w:rsidRPr="00132E65" w:rsidRDefault="000C39D1" w:rsidP="000C39D1">
      <w:pPr>
        <w:pStyle w:val="libNormal"/>
        <w:rPr>
          <w:rtl/>
          <w:lang w:bidi="fa-IR"/>
        </w:rPr>
      </w:pPr>
      <w:r w:rsidRPr="00132E65">
        <w:rPr>
          <w:rtl/>
          <w:lang w:bidi="fa-IR"/>
        </w:rPr>
        <w:t xml:space="preserve">قَالَ : إِنَّ </w:t>
      </w:r>
      <w:r>
        <w:rPr>
          <w:rStyle w:val="libFootnotenumChar"/>
          <w:rtl/>
        </w:rPr>
        <w:t>(4)</w:t>
      </w:r>
      <w:r w:rsidRPr="00132E65">
        <w:rPr>
          <w:rtl/>
          <w:lang w:bidi="fa-IR"/>
        </w:rPr>
        <w:t xml:space="preserve"> أَبَا جَعْفَرٍ</w:t>
      </w:r>
      <w:r>
        <w:rPr>
          <w:rtl/>
          <w:lang w:bidi="fa-IR"/>
        </w:rPr>
        <w:t xml:space="preserve"> - </w:t>
      </w:r>
      <w:r w:rsidRPr="00132E65">
        <w:rPr>
          <w:rtl/>
          <w:lang w:bidi="fa-IR"/>
        </w:rPr>
        <w:t xml:space="preserve">يَعْنِي أَبَا الدَّوَانِيقِ </w:t>
      </w:r>
      <w:r>
        <w:rPr>
          <w:rStyle w:val="libFootnotenumChar"/>
          <w:rtl/>
        </w:rPr>
        <w:t>(5)</w:t>
      </w:r>
      <w:r>
        <w:rPr>
          <w:rtl/>
          <w:lang w:bidi="fa-IR"/>
        </w:rPr>
        <w:t xml:space="preserve"> - </w:t>
      </w:r>
      <w:r w:rsidRPr="00132E65">
        <w:rPr>
          <w:rtl/>
          <w:lang w:bidi="fa-IR"/>
        </w:rPr>
        <w:t xml:space="preserve">قَالَ لِأَبِي مُحَمَّدِ بْنِ الْأَشْعَثِ : يَا مُحَمَّدُ ، ابْغِ لِي رَجُلاً لَهُ عَقْلٌ يُؤَدِّي عَنِّي ، فَقَالَ لَهُ </w:t>
      </w:r>
      <w:r>
        <w:rPr>
          <w:rStyle w:val="libFootnotenumChar"/>
          <w:rtl/>
        </w:rPr>
        <w:t>(6)</w:t>
      </w:r>
      <w:r w:rsidRPr="00132E65">
        <w:rPr>
          <w:rtl/>
          <w:lang w:bidi="fa-IR"/>
        </w:rPr>
        <w:t xml:space="preserve"> أَبِي </w:t>
      </w:r>
      <w:r>
        <w:rPr>
          <w:rStyle w:val="libFootnotenumChar"/>
          <w:rtl/>
        </w:rPr>
        <w:t>(7)</w:t>
      </w:r>
      <w:r w:rsidRPr="00132E65">
        <w:rPr>
          <w:rtl/>
          <w:lang w:bidi="fa-IR"/>
        </w:rPr>
        <w:t xml:space="preserve"> : قَدْ أَصَبْتُهُ </w:t>
      </w:r>
      <w:r>
        <w:rPr>
          <w:rStyle w:val="libFootnotenumChar"/>
          <w:rtl/>
        </w:rPr>
        <w:t>(8)</w:t>
      </w:r>
      <w:r w:rsidRPr="00132E65">
        <w:rPr>
          <w:rtl/>
          <w:lang w:bidi="fa-IR"/>
        </w:rPr>
        <w:t xml:space="preserve"> لَكَ ، هذَا فُلَانُ بْنُ مُهَاجِرٍ خَالِي ، قَالَ : فَأْتِنِي بِهِ ، قَالَ : فَأَتَيْتُهُ بِخَالِي ، فَقَالَ لَهُ أَبُو جَعْفَرٍ : يَا ابْنَ مُهَاجِرٍ ، خُذْ هذَا الْمَالَ </w:t>
      </w:r>
      <w:r>
        <w:rPr>
          <w:rStyle w:val="libFootnotenumChar"/>
          <w:rtl/>
        </w:rPr>
        <w:t>(9)</w:t>
      </w:r>
      <w:r w:rsidRPr="00132E65">
        <w:rPr>
          <w:rtl/>
          <w:lang w:bidi="fa-IR"/>
        </w:rPr>
        <w:t xml:space="preserve"> ، وأْتِ الْمَدِينَةَ ، وأْتِ عَبْدَ اللهِ بْنَ الْحَسَنِ بْنِ الْحَسَنِ و</w:t>
      </w:r>
      <w:r w:rsidR="00292898">
        <w:rPr>
          <w:rFonts w:hint="cs"/>
          <w:rtl/>
          <w:lang w:bidi="fa-IR"/>
        </w:rPr>
        <w:t>َ</w:t>
      </w:r>
      <w:r w:rsidRPr="00132E65">
        <w:rPr>
          <w:rtl/>
          <w:lang w:bidi="fa-IR"/>
        </w:rPr>
        <w:t>عِدَّةً مِنْ أَهْلِ بَيْتِهِ فِيهِمْ جَعْفَرُ بْنُ مُحَمَّدٍ ، فَقُلْ لَهُمْ : إِنِّي رَجُلٌ غَرِيبٌ مِنْ أَهْلِ خُرَاسَانَ ، و</w:t>
      </w:r>
      <w:r w:rsidR="00292898">
        <w:rPr>
          <w:rFonts w:hint="cs"/>
          <w:rtl/>
          <w:lang w:bidi="fa-IR"/>
        </w:rPr>
        <w:t>َ</w:t>
      </w:r>
      <w:r w:rsidRPr="00132E65">
        <w:rPr>
          <w:rtl/>
          <w:lang w:bidi="fa-IR"/>
        </w:rPr>
        <w:t>بِهَا شِيعَةٌ مِنْ شِيعَتِكُمْ ، و</w:t>
      </w:r>
      <w:r w:rsidR="00292898">
        <w:rPr>
          <w:rFonts w:hint="cs"/>
          <w:rtl/>
          <w:lang w:bidi="fa-IR"/>
        </w:rPr>
        <w:t>َ</w:t>
      </w:r>
      <w:r w:rsidRPr="00132E65">
        <w:rPr>
          <w:rtl/>
          <w:lang w:bidi="fa-IR"/>
        </w:rPr>
        <w:t>جَّهُوا إِلَيْكُمْ بِهذَا الْمَالِ ، و</w:t>
      </w:r>
      <w:r w:rsidR="00292898">
        <w:rPr>
          <w:rFonts w:hint="cs"/>
          <w:rtl/>
          <w:lang w:bidi="fa-IR"/>
        </w:rPr>
        <w:t>َ</w:t>
      </w:r>
      <w:r w:rsidRPr="00132E65">
        <w:rPr>
          <w:rtl/>
          <w:lang w:bidi="fa-IR"/>
        </w:rPr>
        <w:t>ادْفَعْ إِلى كُلِّ و</w:t>
      </w:r>
      <w:r w:rsidR="00292898">
        <w:rPr>
          <w:rFonts w:hint="cs"/>
          <w:rtl/>
          <w:lang w:bidi="fa-IR"/>
        </w:rPr>
        <w:t>َ</w:t>
      </w:r>
      <w:r w:rsidRPr="00132E65">
        <w:rPr>
          <w:rtl/>
          <w:lang w:bidi="fa-IR"/>
        </w:rPr>
        <w:t>احِدٍ مِنْهُمْ عَلى شَرْطِ كَذَا و</w:t>
      </w:r>
      <w:r w:rsidR="00292898">
        <w:rPr>
          <w:rFonts w:hint="cs"/>
          <w:rtl/>
          <w:lang w:bidi="fa-IR"/>
        </w:rPr>
        <w:t>َ</w:t>
      </w:r>
      <w:r w:rsidRPr="00132E65">
        <w:rPr>
          <w:rtl/>
          <w:lang w:bidi="fa-IR"/>
        </w:rPr>
        <w:t>كَذَا ، فَإِذَا قَبَضُوا الْمَالَ فَقُلْ : إِنِّي رَسُولٌ ، و</w:t>
      </w:r>
      <w:r w:rsidR="00292898">
        <w:rPr>
          <w:rFonts w:hint="cs"/>
          <w:rtl/>
          <w:lang w:bidi="fa-IR"/>
        </w:rPr>
        <w:t>َ</w:t>
      </w:r>
      <w:r w:rsidRPr="00132E65">
        <w:rPr>
          <w:rtl/>
          <w:lang w:bidi="fa-IR"/>
        </w:rPr>
        <w:t>أُحِبُّ أَنْ يَكُونَ مَعِي خُطُوطُكُمْ بِقَبْضِكُمْ مَا قَبَضْتُمْ.</w:t>
      </w:r>
    </w:p>
    <w:p w:rsidR="000C39D1" w:rsidRPr="00132E65" w:rsidRDefault="000C39D1" w:rsidP="000C39D1">
      <w:pPr>
        <w:pStyle w:val="libNormal"/>
        <w:rPr>
          <w:rtl/>
          <w:lang w:bidi="fa-IR"/>
        </w:rPr>
      </w:pPr>
      <w:r w:rsidRPr="00132E65">
        <w:rPr>
          <w:rtl/>
          <w:lang w:bidi="fa-IR"/>
        </w:rPr>
        <w:t>فَأَخَذَ الْمَالَ وأَتَى الْمَدِينَةَ ، فَرَجَعَ إِلى أَبِي الدَّوَانِيقِ ومُحَمَّدُ بْنُ الْأَشْعَثِ عِنْدَهُ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(2).</w:t>
      </w:r>
      <w:r w:rsidRPr="00132E65">
        <w:rPr>
          <w:rtl/>
        </w:rPr>
        <w:t xml:space="preserve"> في « ج ، ف ، بح ، بر ، بس ، بف » : « تدري » بدون الهمزة.</w:t>
      </w:r>
    </w:p>
    <w:tbl>
      <w:tblPr>
        <w:tblStyle w:val="TableGrid"/>
        <w:bidiVisual/>
        <w:tblW w:w="0" w:type="auto"/>
        <w:tblLook w:val="04A0" w:firstRow="1" w:lastRow="0" w:firstColumn="1" w:lastColumn="0" w:noHBand="0" w:noVBand="1"/>
      </w:tblPr>
      <w:tblGrid>
        <w:gridCol w:w="4261"/>
        <w:gridCol w:w="4262"/>
      </w:tblGrid>
      <w:tr w:rsidR="00292898" w:rsidTr="00292898">
        <w:tc>
          <w:tcPr>
            <w:tcW w:w="4261" w:type="dxa"/>
          </w:tcPr>
          <w:p w:rsidR="00292898" w:rsidRDefault="00292898" w:rsidP="000C39D1">
            <w:pPr>
              <w:pStyle w:val="libFootnote0"/>
              <w:rPr>
                <w:rtl/>
              </w:rPr>
            </w:pPr>
            <w:r>
              <w:rPr>
                <w:rtl/>
              </w:rPr>
              <w:t>(3).</w:t>
            </w:r>
            <w:r w:rsidRPr="00132E65">
              <w:rPr>
                <w:rtl/>
              </w:rPr>
              <w:t xml:space="preserve"> في « ض » : « وما »</w:t>
            </w:r>
            <w:r>
              <w:rPr>
                <w:rtl/>
              </w:rPr>
              <w:t>.</w:t>
            </w:r>
          </w:p>
        </w:tc>
        <w:tc>
          <w:tcPr>
            <w:tcW w:w="4262" w:type="dxa"/>
          </w:tcPr>
          <w:p w:rsidR="00292898" w:rsidRDefault="00292898" w:rsidP="000C39D1">
            <w:pPr>
              <w:pStyle w:val="libFootnote0"/>
              <w:rPr>
                <w:rtl/>
              </w:rPr>
            </w:pPr>
            <w:r>
              <w:rPr>
                <w:rtl/>
              </w:rPr>
              <w:t>(4).</w:t>
            </w:r>
            <w:r w:rsidRPr="00132E65">
              <w:rPr>
                <w:rtl/>
              </w:rPr>
              <w:t xml:space="preserve"> في « ج » </w:t>
            </w:r>
            <w:r>
              <w:rPr>
                <w:rtl/>
              </w:rPr>
              <w:t xml:space="preserve">: - </w:t>
            </w:r>
            <w:r w:rsidRPr="00132E65">
              <w:rPr>
                <w:rtl/>
              </w:rPr>
              <w:t>« إنّ »</w:t>
            </w:r>
            <w:r>
              <w:rPr>
                <w:rtl/>
              </w:rPr>
              <w:t>.</w:t>
            </w:r>
          </w:p>
        </w:tc>
      </w:tr>
    </w:tbl>
    <w:p w:rsidR="000C39D1" w:rsidRPr="00132E65" w:rsidRDefault="000C39D1" w:rsidP="000C39D1">
      <w:pPr>
        <w:pStyle w:val="libFootnote0"/>
        <w:rPr>
          <w:rtl/>
          <w:lang w:bidi="fa-IR"/>
        </w:rPr>
      </w:pPr>
      <w:r>
        <w:rPr>
          <w:rtl/>
        </w:rPr>
        <w:t>(5).</w:t>
      </w:r>
      <w:r w:rsidRPr="00132E65">
        <w:rPr>
          <w:rtl/>
        </w:rPr>
        <w:t xml:space="preserve"> « الدَوانيق » : جمع الدانِق والدانَق. قيل : هو جمع دانَق ، وجمع الدانِق : داونِق. والدانق من الأوزان. لُقِّب به لأن</w:t>
      </w:r>
      <w:r w:rsidR="00292898">
        <w:rPr>
          <w:rtl/>
        </w:rPr>
        <w:t>ّه لم</w:t>
      </w:r>
      <w:r w:rsidR="00292898">
        <w:rPr>
          <w:rFonts w:hint="cs"/>
          <w:rtl/>
        </w:rPr>
        <w:t>ـّ</w:t>
      </w:r>
      <w:r w:rsidRPr="00132E65">
        <w:rPr>
          <w:rtl/>
        </w:rPr>
        <w:t xml:space="preserve">ا أراد حفر الخندق بالكوفة قسط على كلّ واحد منهم دانق فضّة وأخذه وصرفه في الخندق. راجع : </w:t>
      </w:r>
      <w:r w:rsidRPr="00292898">
        <w:rPr>
          <w:rStyle w:val="libFootnoteBoldChar"/>
          <w:rtl/>
        </w:rPr>
        <w:t>المغرب</w:t>
      </w:r>
      <w:r w:rsidRPr="00132E65">
        <w:rPr>
          <w:rtl/>
        </w:rPr>
        <w:t xml:space="preserve"> ، ص 169 ؛ </w:t>
      </w:r>
      <w:r w:rsidRPr="009D1ACE">
        <w:rPr>
          <w:rStyle w:val="libFootnoteBoldChar"/>
          <w:rtl/>
        </w:rPr>
        <w:t>لسان العرب</w:t>
      </w:r>
      <w:r w:rsidRPr="00132E65">
        <w:rPr>
          <w:rtl/>
        </w:rPr>
        <w:t xml:space="preserve"> ، ج 10 ، ص 105 ( دنق )</w:t>
      </w:r>
      <w:r>
        <w:rPr>
          <w:rtl/>
        </w:rPr>
        <w:t>.</w:t>
      </w:r>
    </w:p>
    <w:tbl>
      <w:tblPr>
        <w:tblStyle w:val="TableGrid"/>
        <w:bidiVisual/>
        <w:tblW w:w="0" w:type="auto"/>
        <w:tblLook w:val="04A0" w:firstRow="1" w:lastRow="0" w:firstColumn="1" w:lastColumn="0" w:noHBand="0" w:noVBand="1"/>
      </w:tblPr>
      <w:tblGrid>
        <w:gridCol w:w="4261"/>
        <w:gridCol w:w="4262"/>
      </w:tblGrid>
      <w:tr w:rsidR="00292898" w:rsidTr="00292898">
        <w:tc>
          <w:tcPr>
            <w:tcW w:w="4261" w:type="dxa"/>
          </w:tcPr>
          <w:p w:rsidR="00292898" w:rsidRDefault="00292898" w:rsidP="000C39D1">
            <w:pPr>
              <w:pStyle w:val="libFootnote0"/>
              <w:rPr>
                <w:rtl/>
              </w:rPr>
            </w:pPr>
            <w:r>
              <w:rPr>
                <w:rtl/>
              </w:rPr>
              <w:t>(6).</w:t>
            </w:r>
            <w:r w:rsidRPr="00132E65">
              <w:rPr>
                <w:rtl/>
              </w:rPr>
              <w:t xml:space="preserve"> في « بس » </w:t>
            </w:r>
            <w:r>
              <w:rPr>
                <w:rtl/>
              </w:rPr>
              <w:t xml:space="preserve">: - </w:t>
            </w:r>
            <w:r w:rsidRPr="00132E65">
              <w:rPr>
                <w:rtl/>
              </w:rPr>
              <w:t>« له »</w:t>
            </w:r>
            <w:r>
              <w:rPr>
                <w:rtl/>
              </w:rPr>
              <w:t>.</w:t>
            </w:r>
          </w:p>
        </w:tc>
        <w:tc>
          <w:tcPr>
            <w:tcW w:w="4262" w:type="dxa"/>
          </w:tcPr>
          <w:p w:rsidR="00292898" w:rsidRDefault="00292898" w:rsidP="000C39D1">
            <w:pPr>
              <w:pStyle w:val="libFootnote0"/>
              <w:rPr>
                <w:rtl/>
              </w:rPr>
            </w:pPr>
            <w:r>
              <w:rPr>
                <w:rtl/>
              </w:rPr>
              <w:t>(7).</w:t>
            </w:r>
            <w:r w:rsidRPr="00132E65">
              <w:rPr>
                <w:rtl/>
              </w:rPr>
              <w:t xml:space="preserve"> في « ج ، ف ، بح » والبصائر : « إنّي »</w:t>
            </w:r>
            <w:r>
              <w:rPr>
                <w:rtl/>
              </w:rPr>
              <w:t>.</w:t>
            </w:r>
          </w:p>
        </w:tc>
      </w:tr>
    </w:tbl>
    <w:p w:rsidR="000C39D1" w:rsidRPr="00132E65" w:rsidRDefault="000C39D1" w:rsidP="000C39D1">
      <w:pPr>
        <w:pStyle w:val="libFootnote0"/>
        <w:rPr>
          <w:rtl/>
          <w:lang w:bidi="fa-IR"/>
        </w:rPr>
      </w:pPr>
      <w:r>
        <w:rPr>
          <w:rtl/>
        </w:rPr>
        <w:t>(8).</w:t>
      </w:r>
      <w:r w:rsidRPr="00132E65">
        <w:rPr>
          <w:rtl/>
        </w:rPr>
        <w:t xml:space="preserve"> في « ب » : « أصبتُ »</w:t>
      </w:r>
      <w:r>
        <w:rPr>
          <w:rtl/>
        </w:rPr>
        <w:t>.</w:t>
      </w:r>
    </w:p>
    <w:p w:rsidR="000C39D1" w:rsidRPr="00132E65" w:rsidRDefault="000C39D1" w:rsidP="000C39D1">
      <w:pPr>
        <w:pStyle w:val="libFootnote0"/>
        <w:rPr>
          <w:rtl/>
          <w:lang w:bidi="fa-IR"/>
        </w:rPr>
      </w:pPr>
      <w:r>
        <w:rPr>
          <w:rtl/>
        </w:rPr>
        <w:t>(9).</w:t>
      </w:r>
      <w:r w:rsidRPr="00132E65">
        <w:rPr>
          <w:rtl/>
        </w:rPr>
        <w:t xml:space="preserve"> في البصائر :</w:t>
      </w:r>
      <w:r>
        <w:rPr>
          <w:rtl/>
        </w:rPr>
        <w:t xml:space="preserve"> + </w:t>
      </w:r>
      <w:r w:rsidRPr="00132E65">
        <w:rPr>
          <w:rtl/>
        </w:rPr>
        <w:t>« فأعطاه الوف دنانير أو ما شاء الله من ذلك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فَقَالَ لَهُ أَبُو الدَّوَانِيقِ : مَا و</w:t>
      </w:r>
      <w:r w:rsidR="00292898">
        <w:rPr>
          <w:rFonts w:hint="cs"/>
          <w:rtl/>
          <w:lang w:bidi="fa-IR"/>
        </w:rPr>
        <w:t>َ</w:t>
      </w:r>
      <w:r w:rsidRPr="00132E65">
        <w:rPr>
          <w:rtl/>
          <w:lang w:bidi="fa-IR"/>
        </w:rPr>
        <w:t xml:space="preserve">رَاءَكَ </w:t>
      </w:r>
      <w:r>
        <w:rPr>
          <w:rStyle w:val="libFootnotenumChar"/>
          <w:rtl/>
        </w:rPr>
        <w:t>(1)</w:t>
      </w:r>
      <w:r>
        <w:rPr>
          <w:rtl/>
          <w:lang w:bidi="fa-IR"/>
        </w:rPr>
        <w:t>؟</w:t>
      </w:r>
      <w:r w:rsidRPr="00132E65">
        <w:rPr>
          <w:rtl/>
          <w:lang w:bidi="fa-IR"/>
        </w:rPr>
        <w:t xml:space="preserve"> قَالَ : أَتَيْتُ الْقَوْمَ </w:t>
      </w:r>
      <w:r>
        <w:rPr>
          <w:rStyle w:val="libFootnotenumChar"/>
          <w:rtl/>
        </w:rPr>
        <w:t>(2)</w:t>
      </w:r>
      <w:r w:rsidRPr="00132E65">
        <w:rPr>
          <w:rtl/>
          <w:lang w:bidi="fa-IR"/>
        </w:rPr>
        <w:t xml:space="preserve"> و</w:t>
      </w:r>
      <w:r w:rsidR="00292898">
        <w:rPr>
          <w:rFonts w:hint="cs"/>
          <w:rtl/>
          <w:lang w:bidi="fa-IR"/>
        </w:rPr>
        <w:t>َ</w:t>
      </w:r>
      <w:r w:rsidRPr="00132E65">
        <w:rPr>
          <w:rtl/>
          <w:lang w:bidi="fa-IR"/>
        </w:rPr>
        <w:t>هذِهِ خُطُوطُهُمْ بِقَبْضِهِمُ الْمَالَ خَلَا جَعْفَرَ بْنَ مُحَمَّدٍ ؛ فَإِنِّي أَتَيْتُهُ</w:t>
      </w:r>
      <w:r>
        <w:rPr>
          <w:rtl/>
          <w:lang w:bidi="fa-IR"/>
        </w:rPr>
        <w:t xml:space="preserve"> - </w:t>
      </w:r>
      <w:r w:rsidRPr="00132E65">
        <w:rPr>
          <w:rtl/>
          <w:lang w:bidi="fa-IR"/>
        </w:rPr>
        <w:t>و</w:t>
      </w:r>
      <w:r w:rsidR="00292898">
        <w:rPr>
          <w:rFonts w:hint="cs"/>
          <w:rtl/>
          <w:lang w:bidi="fa-IR"/>
        </w:rPr>
        <w:t>َ</w:t>
      </w:r>
      <w:r w:rsidRPr="00132E65">
        <w:rPr>
          <w:rtl/>
          <w:lang w:bidi="fa-IR"/>
        </w:rPr>
        <w:t xml:space="preserve">هُوَ يُصَلِّي فِي مَسْجِدِ الرَّسُولِ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 xml:space="preserve">فَجَلَسْتُ خَلْفَهُ ، وَقُلْتُ </w:t>
      </w:r>
      <w:r>
        <w:rPr>
          <w:rStyle w:val="libFootnotenumChar"/>
          <w:rtl/>
        </w:rPr>
        <w:t>(3)</w:t>
      </w:r>
      <w:r w:rsidRPr="00132E65">
        <w:rPr>
          <w:rtl/>
          <w:lang w:bidi="fa-IR"/>
        </w:rPr>
        <w:t xml:space="preserve"> : حَتّى </w:t>
      </w:r>
      <w:r>
        <w:rPr>
          <w:rStyle w:val="libFootnotenumChar"/>
          <w:rtl/>
        </w:rPr>
        <w:t>(4)</w:t>
      </w:r>
      <w:r w:rsidRPr="00132E65">
        <w:rPr>
          <w:rtl/>
          <w:lang w:bidi="fa-IR"/>
        </w:rPr>
        <w:t xml:space="preserve"> يَنْصَرِفَ ، فَأَذْكُرَ لَهُ مَا ذَكَرْتُ لِأَصْحَابِهِ ، فَعَجَّلَ و</w:t>
      </w:r>
      <w:r w:rsidR="00292898">
        <w:rPr>
          <w:rFonts w:hint="cs"/>
          <w:rtl/>
          <w:lang w:bidi="fa-IR"/>
        </w:rPr>
        <w:t>َ</w:t>
      </w:r>
      <w:r w:rsidRPr="00132E65">
        <w:rPr>
          <w:rtl/>
          <w:lang w:bidi="fa-IR"/>
        </w:rPr>
        <w:t>انْصَرَفَ ، ثُمَّ الْتَفَتَ إِلَيَّ ، فَقَالَ : « يَا هذَا ، اتَّقِ اللهَ ، و</w:t>
      </w:r>
      <w:r w:rsidR="00292898">
        <w:rPr>
          <w:rFonts w:hint="cs"/>
          <w:rtl/>
          <w:lang w:bidi="fa-IR"/>
        </w:rPr>
        <w:t>َ</w:t>
      </w:r>
      <w:r w:rsidRPr="00132E65">
        <w:rPr>
          <w:rtl/>
          <w:lang w:bidi="fa-IR"/>
        </w:rPr>
        <w:t xml:space="preserve">لَاتَغُرَّ </w:t>
      </w:r>
      <w:r>
        <w:rPr>
          <w:rStyle w:val="libFootnotenumChar"/>
          <w:rtl/>
        </w:rPr>
        <w:t>(5)</w:t>
      </w:r>
      <w:r w:rsidRPr="00132E65">
        <w:rPr>
          <w:rtl/>
          <w:lang w:bidi="fa-IR"/>
        </w:rPr>
        <w:t xml:space="preserve"> أَهْلَ بَيْتِ مُحَمَّدٍ </w:t>
      </w:r>
      <w:r w:rsidRPr="0093484F">
        <w:rPr>
          <w:rStyle w:val="libAlaemChar"/>
          <w:rFonts w:eastAsiaTheme="minorHAnsi"/>
          <w:rtl/>
        </w:rPr>
        <w:t>صلى‌الله‌عليه‌وآله</w:t>
      </w:r>
      <w:r w:rsidRPr="00132E65">
        <w:rPr>
          <w:rtl/>
          <w:lang w:bidi="fa-IR"/>
        </w:rPr>
        <w:t xml:space="preserve"> </w:t>
      </w:r>
      <w:r>
        <w:rPr>
          <w:rStyle w:val="libFootnotenumChar"/>
          <w:rtl/>
        </w:rPr>
        <w:t>(6)</w:t>
      </w:r>
      <w:r w:rsidRPr="00132E65">
        <w:rPr>
          <w:rtl/>
          <w:lang w:bidi="fa-IR"/>
        </w:rPr>
        <w:t xml:space="preserve"> ؛ فَإِنَّهُمْ قَرِيبُو الْعَهْدِ بِدَوْلَةِ </w:t>
      </w:r>
      <w:r>
        <w:rPr>
          <w:rStyle w:val="libFootnotenumChar"/>
          <w:rtl/>
        </w:rPr>
        <w:t>(7)</w:t>
      </w:r>
      <w:r w:rsidRPr="00132E65">
        <w:rPr>
          <w:rtl/>
          <w:lang w:bidi="fa-IR"/>
        </w:rPr>
        <w:t xml:space="preserve"> بَنِي مَرْوَانَ و</w:t>
      </w:r>
      <w:r w:rsidR="00292898">
        <w:rPr>
          <w:rFonts w:hint="cs"/>
          <w:rtl/>
          <w:lang w:bidi="fa-IR"/>
        </w:rPr>
        <w:t>َ</w:t>
      </w:r>
      <w:r w:rsidRPr="00132E65">
        <w:rPr>
          <w:rtl/>
          <w:lang w:bidi="fa-IR"/>
        </w:rPr>
        <w:t>كُلُّهُمْ مُحْتَاجٌ »</w:t>
      </w:r>
      <w:r>
        <w:rPr>
          <w:rtl/>
          <w:lang w:bidi="fa-IR"/>
        </w:rPr>
        <w:t>.</w:t>
      </w:r>
      <w:r w:rsidRPr="00132E65">
        <w:rPr>
          <w:rtl/>
          <w:lang w:bidi="fa-IR"/>
        </w:rPr>
        <w:t xml:space="preserve"> فَقُلْتُ : و</w:t>
      </w:r>
      <w:r w:rsidR="00292898">
        <w:rPr>
          <w:rFonts w:hint="cs"/>
          <w:rtl/>
          <w:lang w:bidi="fa-IR"/>
        </w:rPr>
        <w:t>َ</w:t>
      </w:r>
      <w:r w:rsidRPr="00132E65">
        <w:rPr>
          <w:rtl/>
          <w:lang w:bidi="fa-IR"/>
        </w:rPr>
        <w:t>مَا ذَاكَ ، أَصْلَحَكَ اللهُ</w:t>
      </w:r>
      <w:r>
        <w:rPr>
          <w:rtl/>
          <w:lang w:bidi="fa-IR"/>
        </w:rPr>
        <w:t>؟</w:t>
      </w:r>
      <w:r w:rsidRPr="00132E65">
        <w:rPr>
          <w:rtl/>
          <w:lang w:bidi="fa-IR"/>
        </w:rPr>
        <w:t xml:space="preserve"> قَالَ : فَأَدْنى رَأْسَهُ مِنِّي ، وَأَخْبَرَنِي بِجَمِيعِ مَا جَرى بَيْنِي وبَيْنَكَ حَتّى كَأَنَّهُ كَانَ ثَالِثَنَا </w:t>
      </w:r>
      <w:r>
        <w:rPr>
          <w:rStyle w:val="libFootnotenumChar"/>
          <w:rtl/>
        </w:rPr>
        <w:t>(8)</w:t>
      </w:r>
    </w:p>
    <w:p w:rsidR="000C39D1" w:rsidRPr="00132E65" w:rsidRDefault="000C39D1" w:rsidP="000C39D1">
      <w:pPr>
        <w:pStyle w:val="libNormal"/>
        <w:rPr>
          <w:rtl/>
          <w:lang w:bidi="fa-IR"/>
        </w:rPr>
      </w:pPr>
      <w:r w:rsidRPr="00132E65">
        <w:rPr>
          <w:rtl/>
          <w:lang w:bidi="fa-IR"/>
        </w:rPr>
        <w:t xml:space="preserve">قَالَ </w:t>
      </w:r>
      <w:r>
        <w:rPr>
          <w:rStyle w:val="libFootnotenumChar"/>
          <w:rtl/>
        </w:rPr>
        <w:t>(9)</w:t>
      </w:r>
      <w:r w:rsidRPr="00132E65">
        <w:rPr>
          <w:rtl/>
          <w:lang w:bidi="fa-IR"/>
        </w:rPr>
        <w:t xml:space="preserve"> : فَقَالَ لَهُ أَبُو جَعْفَرٍ : يَا ابْنَ مُهَاجِرٍ ، اعْلَمْ أَنَّهُ لَيْسَ مِن</w:t>
      </w:r>
      <w:r w:rsidR="00292898">
        <w:rPr>
          <w:rtl/>
          <w:lang w:bidi="fa-IR"/>
        </w:rPr>
        <w:t>ْ أَهْلِ بَيْتِ نُبُوَّةٍ إِل</w:t>
      </w:r>
      <w:r w:rsidR="00292898">
        <w:rPr>
          <w:rFonts w:hint="cs"/>
          <w:rtl/>
          <w:lang w:bidi="fa-IR"/>
        </w:rPr>
        <w:t>َّ</w:t>
      </w:r>
      <w:r w:rsidR="00292898">
        <w:rPr>
          <w:rtl/>
          <w:lang w:bidi="fa-IR"/>
        </w:rPr>
        <w:t>ا</w:t>
      </w:r>
      <w:r w:rsidRPr="00132E65">
        <w:rPr>
          <w:rtl/>
          <w:lang w:bidi="fa-IR"/>
        </w:rPr>
        <w:t xml:space="preserve"> و</w:t>
      </w:r>
      <w:r w:rsidR="00292898">
        <w:rPr>
          <w:rFonts w:hint="cs"/>
          <w:rtl/>
          <w:lang w:bidi="fa-IR"/>
        </w:rPr>
        <w:t>َ</w:t>
      </w:r>
      <w:r w:rsidRPr="00132E65">
        <w:rPr>
          <w:rtl/>
          <w:lang w:bidi="fa-IR"/>
        </w:rPr>
        <w:t>فِيهِ مُحَدَّثٌ ، وإِنَّ جَعْفَرَ بْنَ مُحَمَّدٍ مُحَدَّثُنَا الْيَوْمَ ، و</w:t>
      </w:r>
      <w:r w:rsidR="00FE4BDC">
        <w:rPr>
          <w:rFonts w:hint="cs"/>
          <w:rtl/>
          <w:lang w:bidi="fa-IR"/>
        </w:rPr>
        <w:t>َ</w:t>
      </w:r>
      <w:r w:rsidRPr="00132E65">
        <w:rPr>
          <w:rtl/>
          <w:lang w:bidi="fa-IR"/>
        </w:rPr>
        <w:t xml:space="preserve">كَانَتْ </w:t>
      </w:r>
      <w:r>
        <w:rPr>
          <w:rStyle w:val="libFootnotenumChar"/>
          <w:rtl/>
        </w:rPr>
        <w:t>(10)</w:t>
      </w:r>
      <w:r w:rsidRPr="00132E65">
        <w:rPr>
          <w:rtl/>
          <w:lang w:bidi="fa-IR"/>
        </w:rPr>
        <w:t xml:space="preserve"> هذِهِ الدَّلَالَةُ سَبَبَ قَوْلِنَا بِهذِهِ الْمَقَالَةِ.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343EDA">
        <w:rPr>
          <w:rtl/>
        </w:rPr>
        <w:t>1287</w:t>
      </w:r>
      <w:r w:rsidRPr="004325D8">
        <w:rPr>
          <w:rStyle w:val="libBold2Char"/>
          <w:rtl/>
        </w:rPr>
        <w:t xml:space="preserve"> / 7.</w:t>
      </w:r>
      <w:r w:rsidRPr="00132E65">
        <w:rPr>
          <w:rtl/>
          <w:lang w:bidi="fa-IR"/>
        </w:rPr>
        <w:t xml:space="preserve"> سَعْدُ بْنُ عَبْدِ اللهِ وعَبْدُ اللهِ بْنُ جَعْفَرٍ جَمِيعاً ، عَنْ إِبْرَاهِيمَ بْنِ مَهْزِيَارَ ، عَنْ أَخِيهِ عَلِيِّ بْنِ مَهْزِيَارَ ، عَنِ الْحُسَيْنِ بْنِ سَعِيدٍ ، عَنْ مُحَمَّدِ بْنِ سِنَانٍ ، عَنِ ابْنِ مُسْكَانَ ، عَنْ أَبِي بَصِيرٍ ، قَالَ :</w:t>
      </w:r>
    </w:p>
    <w:p w:rsidR="000C39D1" w:rsidRPr="00132E65" w:rsidRDefault="000C39D1" w:rsidP="000C39D1">
      <w:pPr>
        <w:pStyle w:val="libNormal"/>
        <w:rPr>
          <w:rtl/>
          <w:lang w:bidi="fa-IR"/>
        </w:rPr>
      </w:pPr>
      <w:r w:rsidRPr="00132E65">
        <w:rPr>
          <w:rtl/>
          <w:lang w:bidi="fa-IR"/>
        </w:rPr>
        <w:t xml:space="preserve">قُبِضَ أَبُو عَبْدِ اللهِ جَعْفَرُ بْنُ مُحَمَّدٍ </w:t>
      </w:r>
      <w:r w:rsidRPr="00071CF9">
        <w:rPr>
          <w:rStyle w:val="libAlaemChar"/>
          <w:rtl/>
        </w:rPr>
        <w:t>عليهما‌السلام</w:t>
      </w:r>
      <w:r w:rsidRPr="00132E65">
        <w:rPr>
          <w:rtl/>
          <w:lang w:bidi="fa-IR"/>
        </w:rPr>
        <w:t xml:space="preserve"> و</w:t>
      </w:r>
      <w:r w:rsidR="00FE4BDC">
        <w:rPr>
          <w:rFonts w:hint="cs"/>
          <w:rtl/>
          <w:lang w:bidi="fa-IR"/>
        </w:rPr>
        <w:t>َ</w:t>
      </w:r>
      <w:r w:rsidRPr="00132E65">
        <w:rPr>
          <w:rtl/>
          <w:lang w:bidi="fa-IR"/>
        </w:rPr>
        <w:t>هُوَ ابْنُ خَمْسٍ و</w:t>
      </w:r>
      <w:r w:rsidR="00FE4BDC">
        <w:rPr>
          <w:rFonts w:hint="cs"/>
          <w:rtl/>
          <w:lang w:bidi="fa-IR"/>
        </w:rPr>
        <w:t>َ</w:t>
      </w:r>
      <w:r w:rsidRPr="00132E65">
        <w:rPr>
          <w:rtl/>
          <w:lang w:bidi="fa-IR"/>
        </w:rPr>
        <w:t>سِتِّينَ سَنَةً فِي عَامِ ثَمَانٍ و</w:t>
      </w:r>
      <w:r w:rsidR="00FE4BDC">
        <w:rPr>
          <w:rFonts w:hint="cs"/>
          <w:rtl/>
          <w:lang w:bidi="fa-IR"/>
        </w:rPr>
        <w:t>َ</w:t>
      </w:r>
      <w:r w:rsidRPr="00132E65">
        <w:rPr>
          <w:rtl/>
          <w:lang w:bidi="fa-IR"/>
        </w:rPr>
        <w:t>أَرْبَعِينَ و</w:t>
      </w:r>
      <w:r w:rsidR="00FE4BDC">
        <w:rPr>
          <w:rFonts w:hint="cs"/>
          <w:rtl/>
          <w:lang w:bidi="fa-IR"/>
        </w:rPr>
        <w:t>َ</w:t>
      </w:r>
      <w:r w:rsidRPr="00132E65">
        <w:rPr>
          <w:rtl/>
          <w:lang w:bidi="fa-IR"/>
        </w:rPr>
        <w:t>مِائَةٍ ؛ و</w:t>
      </w:r>
      <w:r w:rsidR="00FE4BDC">
        <w:rPr>
          <w:rFonts w:hint="cs"/>
          <w:rtl/>
          <w:lang w:bidi="fa-IR"/>
        </w:rPr>
        <w:t>َ</w:t>
      </w:r>
      <w:r>
        <w:rPr>
          <w:rFonts w:hint="cs"/>
          <w:rtl/>
          <w:lang w:bidi="fa-IR"/>
        </w:rPr>
        <w:t xml:space="preserve"> </w:t>
      </w:r>
      <w:r>
        <w:rPr>
          <w:rStyle w:val="libFootnotenumChar"/>
          <w:rtl/>
        </w:rPr>
        <w:t>(12)</w:t>
      </w:r>
      <w:r w:rsidRPr="00132E65">
        <w:rPr>
          <w:rtl/>
          <w:lang w:bidi="fa-IR"/>
        </w:rPr>
        <w:t xml:space="preserve"> عَاشَ بَعْدَ أَبِي جَعْفَرٍ </w:t>
      </w:r>
      <w:r w:rsidRPr="00071CF9">
        <w:rPr>
          <w:rStyle w:val="libAlaemChar"/>
          <w:rtl/>
        </w:rPr>
        <w:t>عليه‌السلام</w:t>
      </w:r>
      <w:r w:rsidRPr="00132E65">
        <w:rPr>
          <w:rtl/>
          <w:lang w:bidi="fa-IR"/>
        </w:rPr>
        <w:t xml:space="preserve"> أَرْبَعاً‌</w:t>
      </w:r>
      <w:r w:rsidR="00FE4BDC">
        <w:rPr>
          <w:rFonts w:hint="cs"/>
          <w:rtl/>
          <w:lang w:bidi="fa-IR"/>
        </w:rPr>
        <w:t>....................................................</w:t>
      </w:r>
      <w:r w:rsidR="00FE4BDC">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بس ، بف » : « وراك » من تخفيف الهمزة بحذفها.</w:t>
      </w:r>
    </w:p>
    <w:tbl>
      <w:tblPr>
        <w:tblStyle w:val="TableGrid"/>
        <w:bidiVisual/>
        <w:tblW w:w="0" w:type="auto"/>
        <w:tblLook w:val="04A0" w:firstRow="1" w:lastRow="0" w:firstColumn="1" w:lastColumn="0" w:noHBand="0" w:noVBand="1"/>
      </w:tblPr>
      <w:tblGrid>
        <w:gridCol w:w="4261"/>
        <w:gridCol w:w="4262"/>
      </w:tblGrid>
      <w:tr w:rsidR="00FE4BDC" w:rsidTr="00FE4BDC">
        <w:tc>
          <w:tcPr>
            <w:tcW w:w="4261" w:type="dxa"/>
          </w:tcPr>
          <w:p w:rsidR="00FE4BDC" w:rsidRDefault="00FE4BDC" w:rsidP="000C39D1">
            <w:pPr>
              <w:pStyle w:val="libFootnote0"/>
              <w:rPr>
                <w:rtl/>
              </w:rPr>
            </w:pPr>
            <w:r>
              <w:rPr>
                <w:rtl/>
              </w:rPr>
              <w:t>(2).</w:t>
            </w:r>
            <w:r w:rsidRPr="00132E65">
              <w:rPr>
                <w:rtl/>
              </w:rPr>
              <w:t xml:space="preserve"> في البصائر :</w:t>
            </w:r>
            <w:r>
              <w:rPr>
                <w:rtl/>
              </w:rPr>
              <w:t xml:space="preserve"> + </w:t>
            </w:r>
            <w:r w:rsidRPr="00132E65">
              <w:rPr>
                <w:rtl/>
              </w:rPr>
              <w:t>« وفعلت ما أمرتني به »</w:t>
            </w:r>
            <w:r>
              <w:rPr>
                <w:rtl/>
              </w:rPr>
              <w:t>.</w:t>
            </w:r>
          </w:p>
        </w:tc>
        <w:tc>
          <w:tcPr>
            <w:tcW w:w="4262" w:type="dxa"/>
          </w:tcPr>
          <w:p w:rsidR="00FE4BDC" w:rsidRDefault="00FE4BDC" w:rsidP="000C39D1">
            <w:pPr>
              <w:pStyle w:val="libFootnote0"/>
              <w:rPr>
                <w:rtl/>
              </w:rPr>
            </w:pPr>
            <w:r>
              <w:rPr>
                <w:rtl/>
              </w:rPr>
              <w:t>(3).</w:t>
            </w:r>
            <w:r w:rsidRPr="00132E65">
              <w:rPr>
                <w:rtl/>
              </w:rPr>
              <w:t xml:space="preserve"> في « بر » : « فقلت »</w:t>
            </w:r>
            <w:r>
              <w:rPr>
                <w:rtl/>
              </w:rPr>
              <w:t>.</w:t>
            </w:r>
          </w:p>
        </w:tc>
      </w:tr>
    </w:tbl>
    <w:p w:rsidR="000C39D1" w:rsidRPr="00132E65" w:rsidRDefault="000C39D1" w:rsidP="000C39D1">
      <w:pPr>
        <w:pStyle w:val="libFootnote0"/>
        <w:rPr>
          <w:rtl/>
          <w:lang w:bidi="fa-IR"/>
        </w:rPr>
      </w:pPr>
      <w:r>
        <w:rPr>
          <w:rtl/>
        </w:rPr>
        <w:t>(4).</w:t>
      </w:r>
      <w:r w:rsidRPr="00132E65">
        <w:rPr>
          <w:rtl/>
        </w:rPr>
        <w:t xml:space="preserve"> في « ج ، ف ، بح ، بر ، بس ، بف » </w:t>
      </w:r>
      <w:r w:rsidRPr="00FE4BDC">
        <w:rPr>
          <w:rtl/>
        </w:rPr>
        <w:t>والوافي</w:t>
      </w:r>
      <w:r w:rsidRPr="00132E65">
        <w:rPr>
          <w:rtl/>
        </w:rPr>
        <w:t xml:space="preserve"> </w:t>
      </w:r>
      <w:r>
        <w:rPr>
          <w:rtl/>
        </w:rPr>
        <w:t xml:space="preserve">: - </w:t>
      </w:r>
      <w:r w:rsidRPr="00132E65">
        <w:rPr>
          <w:rtl/>
        </w:rPr>
        <w:t>« حتّى »</w:t>
      </w:r>
      <w:r>
        <w:rPr>
          <w:rtl/>
        </w:rPr>
        <w:t>.</w:t>
      </w:r>
    </w:p>
    <w:p w:rsidR="000C39D1" w:rsidRPr="00132E65" w:rsidRDefault="000C39D1" w:rsidP="000C39D1">
      <w:pPr>
        <w:pStyle w:val="libFootnote0"/>
        <w:rPr>
          <w:rtl/>
          <w:lang w:bidi="fa-IR"/>
        </w:rPr>
      </w:pPr>
      <w:r>
        <w:rPr>
          <w:rtl/>
        </w:rPr>
        <w:t>(5).</w:t>
      </w:r>
      <w:r w:rsidRPr="00132E65">
        <w:rPr>
          <w:rtl/>
        </w:rPr>
        <w:t xml:space="preserve"> في البصائر : « ولا تغترّنّ »</w:t>
      </w:r>
      <w:r>
        <w:rPr>
          <w:rtl/>
        </w:rPr>
        <w:t>.</w:t>
      </w:r>
      <w:r w:rsidRPr="00132E65">
        <w:rPr>
          <w:rtl/>
        </w:rPr>
        <w:t xml:space="preserve"> وقوله : « لا تَغُرَّ » ، أي لا تخدع. راجع : </w:t>
      </w:r>
      <w:r w:rsidRPr="00FE4BDC">
        <w:rPr>
          <w:rStyle w:val="libFootnoteBoldChar"/>
          <w:rtl/>
        </w:rPr>
        <w:t>الصحاح</w:t>
      </w:r>
      <w:r w:rsidRPr="00132E65">
        <w:rPr>
          <w:rtl/>
        </w:rPr>
        <w:t xml:space="preserve"> ، ج 2 ، ص 769 ( غرر )</w:t>
      </w:r>
      <w:r>
        <w:rPr>
          <w:rtl/>
        </w:rPr>
        <w:t>.</w:t>
      </w:r>
    </w:p>
    <w:p w:rsidR="000C39D1" w:rsidRPr="00132E65" w:rsidRDefault="000C39D1" w:rsidP="000C39D1">
      <w:pPr>
        <w:pStyle w:val="libFootnote0"/>
        <w:rPr>
          <w:rtl/>
          <w:lang w:bidi="fa-IR"/>
        </w:rPr>
      </w:pPr>
      <w:r>
        <w:rPr>
          <w:rtl/>
        </w:rPr>
        <w:t>(6).</w:t>
      </w:r>
      <w:r w:rsidRPr="00132E65">
        <w:rPr>
          <w:rtl/>
        </w:rPr>
        <w:t xml:space="preserve"> في البصائر :</w:t>
      </w:r>
      <w:r>
        <w:rPr>
          <w:rtl/>
        </w:rPr>
        <w:t xml:space="preserve"> + </w:t>
      </w:r>
      <w:r w:rsidRPr="00132E65">
        <w:rPr>
          <w:rtl/>
        </w:rPr>
        <w:t xml:space="preserve">« وقل لصاحبك : اتّق الله ، ولا تغترّنّ أهل بيت محمّد </w:t>
      </w:r>
      <w:r w:rsidRPr="00FE4BDC">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Pr="00132E65" w:rsidRDefault="000C39D1" w:rsidP="000C39D1">
      <w:pPr>
        <w:pStyle w:val="libFootnote0"/>
        <w:rPr>
          <w:rtl/>
          <w:lang w:bidi="fa-IR"/>
        </w:rPr>
      </w:pPr>
      <w:r>
        <w:rPr>
          <w:rtl/>
        </w:rPr>
        <w:t>(7).</w:t>
      </w:r>
      <w:r w:rsidRPr="00132E65">
        <w:rPr>
          <w:rtl/>
        </w:rPr>
        <w:t xml:space="preserve"> في « ج ، ض ، بس » وحاشية « ف ، بح ، بر » و</w:t>
      </w:r>
      <w:r w:rsidRPr="009D1ACE">
        <w:rPr>
          <w:rStyle w:val="libFootnoteBoldChar"/>
          <w:rtl/>
        </w:rPr>
        <w:t>الوافي</w:t>
      </w:r>
      <w:r w:rsidRPr="00132E65">
        <w:rPr>
          <w:rtl/>
        </w:rPr>
        <w:t xml:space="preserve"> : « من دولة »</w:t>
      </w:r>
      <w:r>
        <w:rPr>
          <w:rtl/>
        </w:rPr>
        <w:t>.</w:t>
      </w:r>
    </w:p>
    <w:tbl>
      <w:tblPr>
        <w:tblStyle w:val="TableGrid"/>
        <w:bidiVisual/>
        <w:tblW w:w="0" w:type="auto"/>
        <w:tblLook w:val="04A0" w:firstRow="1" w:lastRow="0" w:firstColumn="1" w:lastColumn="0" w:noHBand="0" w:noVBand="1"/>
      </w:tblPr>
      <w:tblGrid>
        <w:gridCol w:w="4261"/>
        <w:gridCol w:w="4262"/>
      </w:tblGrid>
      <w:tr w:rsidR="00FE4BDC" w:rsidTr="00FE4BDC">
        <w:tc>
          <w:tcPr>
            <w:tcW w:w="4261" w:type="dxa"/>
          </w:tcPr>
          <w:p w:rsidR="00FE4BDC" w:rsidRDefault="00FE4BDC" w:rsidP="000C39D1">
            <w:pPr>
              <w:pStyle w:val="libFootnote0"/>
              <w:rPr>
                <w:rtl/>
              </w:rPr>
            </w:pPr>
            <w:r>
              <w:rPr>
                <w:rtl/>
              </w:rPr>
              <w:t>(8).</w:t>
            </w:r>
            <w:r w:rsidRPr="00132E65">
              <w:rPr>
                <w:rtl/>
              </w:rPr>
              <w:t xml:space="preserve"> في « ج ، ف » : « ثالثاً »</w:t>
            </w:r>
            <w:r>
              <w:rPr>
                <w:rtl/>
              </w:rPr>
              <w:t>.</w:t>
            </w:r>
          </w:p>
        </w:tc>
        <w:tc>
          <w:tcPr>
            <w:tcW w:w="4262" w:type="dxa"/>
          </w:tcPr>
          <w:p w:rsidR="00FE4BDC" w:rsidRDefault="00FE4BDC" w:rsidP="000C39D1">
            <w:pPr>
              <w:pStyle w:val="libFootnote0"/>
              <w:rPr>
                <w:rtl/>
              </w:rPr>
            </w:pPr>
            <w:r>
              <w:rPr>
                <w:rtl/>
              </w:rPr>
              <w:t>(9).</w:t>
            </w:r>
            <w:r w:rsidRPr="00132E65">
              <w:rPr>
                <w:rtl/>
              </w:rPr>
              <w:t xml:space="preserve"> في « ض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(10).</w:t>
      </w:r>
      <w:r w:rsidRPr="00132E65">
        <w:rPr>
          <w:rtl/>
        </w:rPr>
        <w:t xml:space="preserve"> في « ب » : « وكان »</w:t>
      </w:r>
      <w:r>
        <w:rPr>
          <w:rtl/>
        </w:rPr>
        <w:t>.</w:t>
      </w:r>
      <w:r w:rsidRPr="00132E65">
        <w:rPr>
          <w:rtl/>
        </w:rPr>
        <w:t xml:space="preserve"> وفي « ض ، ف ، بس » و</w:t>
      </w:r>
      <w:r w:rsidRPr="009D1ACE">
        <w:rPr>
          <w:rStyle w:val="libFootnoteBoldChar"/>
          <w:rtl/>
        </w:rPr>
        <w:t>الوافي</w:t>
      </w:r>
      <w:r w:rsidRPr="00132E65">
        <w:rPr>
          <w:rtl/>
        </w:rPr>
        <w:t xml:space="preserve"> : « فكانت »</w:t>
      </w:r>
      <w:r>
        <w:rPr>
          <w:rtl/>
        </w:rPr>
        <w:t>.</w:t>
      </w:r>
    </w:p>
    <w:p w:rsidR="000C39D1" w:rsidRPr="00132E65" w:rsidRDefault="000C39D1" w:rsidP="000C39D1">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245 ، ح 7 ، بسنده عن صفوان بن يحيى </w:t>
      </w:r>
      <w:r w:rsidR="00FE4BDC">
        <w:rPr>
          <w:rFonts w:hint="cs"/>
          <w:rtl/>
        </w:rPr>
        <w:t>.</w:t>
      </w:r>
      <w:r w:rsidRPr="009D1ACE">
        <w:rPr>
          <w:rStyle w:val="libFootnoteBoldChar"/>
          <w:rtl/>
        </w:rPr>
        <w:t>الوافي</w:t>
      </w:r>
      <w:r w:rsidRPr="00132E65">
        <w:rPr>
          <w:rtl/>
        </w:rPr>
        <w:t xml:space="preserve"> ، ج 3 ، ص 793 ، ح 1406.</w:t>
      </w:r>
    </w:p>
    <w:p w:rsidR="000C39D1" w:rsidRPr="00132E65" w:rsidRDefault="000C39D1" w:rsidP="000C39D1">
      <w:pPr>
        <w:pStyle w:val="libFootnote0"/>
        <w:rPr>
          <w:rtl/>
          <w:lang w:bidi="fa-IR"/>
        </w:rPr>
      </w:pPr>
      <w:r>
        <w:rPr>
          <w:rtl/>
        </w:rPr>
        <w:t>(12).</w:t>
      </w:r>
      <w:r w:rsidRPr="00132E65">
        <w:rPr>
          <w:rtl/>
        </w:rPr>
        <w:t xml:space="preserve"> في « ج ، ض ، بر ، بف » </w:t>
      </w:r>
      <w:r>
        <w:rPr>
          <w:rtl/>
        </w:rPr>
        <w:t xml:space="preserve">: - </w:t>
      </w:r>
      <w:r w:rsidRPr="00132E65">
        <w:rPr>
          <w:rtl/>
        </w:rPr>
        <w:t>«</w:t>
      </w:r>
      <w:r>
        <w:rPr>
          <w:rtl/>
        </w:rPr>
        <w:t xml:space="preserve"> و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وَثَلَاثِينَ سَنَةً.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343EDA">
        <w:rPr>
          <w:rtl/>
        </w:rPr>
        <w:t>1288</w:t>
      </w:r>
      <w:r w:rsidRPr="004325D8">
        <w:rPr>
          <w:rStyle w:val="libBold2Char"/>
          <w:rtl/>
        </w:rPr>
        <w:t xml:space="preserve"> / 8.</w:t>
      </w:r>
      <w:r w:rsidRPr="00132E65">
        <w:rPr>
          <w:rtl/>
          <w:lang w:bidi="fa-IR"/>
        </w:rPr>
        <w:t xml:space="preserve"> سَعْدُ بْنُ عَبْدِ اللهِ ، عَنْ أَبِي جَعْفَرٍ ، عَنْ مُحَمَّدِ بْنِ عَمْرِو بْنِ سَعِيدٍ </w:t>
      </w:r>
      <w:r>
        <w:rPr>
          <w:rStyle w:val="libFootnotenumChar"/>
          <w:rtl/>
        </w:rPr>
        <w:t>(2)</w:t>
      </w:r>
      <w:r w:rsidRPr="00132E65">
        <w:rPr>
          <w:rtl/>
          <w:lang w:bidi="fa-IR"/>
        </w:rPr>
        <w:t xml:space="preserve"> ، عَنْ يُونُسَ بْنِ يَعْقُوبَ :</w:t>
      </w:r>
    </w:p>
    <w:p w:rsidR="000C39D1" w:rsidRPr="00132E65" w:rsidRDefault="000C39D1" w:rsidP="000C39D1">
      <w:pPr>
        <w:pStyle w:val="libNormal"/>
        <w:rPr>
          <w:rtl/>
          <w:lang w:bidi="fa-IR"/>
        </w:rPr>
      </w:pPr>
      <w:r w:rsidRPr="00132E65">
        <w:rPr>
          <w:rtl/>
          <w:lang w:bidi="fa-IR"/>
        </w:rPr>
        <w:t xml:space="preserve">عَنْ أَبِي الْحَسَنِ الْأَوَّلِ </w:t>
      </w:r>
      <w:r w:rsidRPr="00071CF9">
        <w:rPr>
          <w:rStyle w:val="libAlaemChar"/>
          <w:rtl/>
        </w:rPr>
        <w:t>عليه‌السلام</w:t>
      </w:r>
      <w:r w:rsidRPr="00132E65">
        <w:rPr>
          <w:rtl/>
          <w:lang w:bidi="fa-IR"/>
        </w:rPr>
        <w:t xml:space="preserve"> ، قَالَ : سَمِعْتُهُ يَقُولُ : « أَنَا </w:t>
      </w:r>
      <w:r>
        <w:rPr>
          <w:rStyle w:val="libFootnotenumChar"/>
          <w:rtl/>
        </w:rPr>
        <w:t>(3)</w:t>
      </w:r>
      <w:r w:rsidRPr="00132E65">
        <w:rPr>
          <w:rtl/>
          <w:lang w:bidi="fa-IR"/>
        </w:rPr>
        <w:t xml:space="preserve"> كَفَّنْتُ أَبِي فِي ثَوْبَيْنِ شَطَوِيَّيْنِ </w:t>
      </w:r>
      <w:r>
        <w:rPr>
          <w:rStyle w:val="libFootnotenumChar"/>
          <w:rtl/>
        </w:rPr>
        <w:t>(4)</w:t>
      </w:r>
      <w:r w:rsidRPr="00132E65">
        <w:rPr>
          <w:rtl/>
          <w:lang w:bidi="fa-IR"/>
        </w:rPr>
        <w:t xml:space="preserve"> كَانَ يُحْرِمُ فِيهِمَا ، و</w:t>
      </w:r>
      <w:r w:rsidR="00FE4BDC">
        <w:rPr>
          <w:rFonts w:hint="cs"/>
          <w:rtl/>
          <w:lang w:bidi="fa-IR"/>
        </w:rPr>
        <w:t>َ</w:t>
      </w:r>
      <w:r w:rsidRPr="00132E65">
        <w:rPr>
          <w:rtl/>
          <w:lang w:bidi="fa-IR"/>
        </w:rPr>
        <w:t>فِي قَمِيصٍ مِنْ قُمُصِهِ ، و</w:t>
      </w:r>
      <w:r w:rsidR="00FE4BDC">
        <w:rPr>
          <w:rFonts w:hint="cs"/>
          <w:rtl/>
          <w:lang w:bidi="fa-IR"/>
        </w:rPr>
        <w:t>َ</w:t>
      </w:r>
      <w:r w:rsidRPr="00132E65">
        <w:rPr>
          <w:rtl/>
          <w:lang w:bidi="fa-IR"/>
        </w:rPr>
        <w:t xml:space="preserve">فِي </w:t>
      </w:r>
      <w:r>
        <w:rPr>
          <w:rStyle w:val="libFootnotenumChar"/>
          <w:rtl/>
        </w:rPr>
        <w:t>(5)</w:t>
      </w:r>
      <w:r w:rsidRPr="00132E65">
        <w:rPr>
          <w:rtl/>
          <w:lang w:bidi="fa-IR"/>
        </w:rPr>
        <w:t xml:space="preserve"> عِمَامَةٍ كَانَتْ لِعَلِيِّ بْنِ الْحُسَيْنِ </w:t>
      </w:r>
      <w:r w:rsidRPr="00071CF9">
        <w:rPr>
          <w:rStyle w:val="libAlaemChar"/>
          <w:rtl/>
        </w:rPr>
        <w:t>عليهما‌السلام</w:t>
      </w:r>
      <w:r w:rsidRPr="00132E65">
        <w:rPr>
          <w:rtl/>
          <w:lang w:bidi="fa-IR"/>
        </w:rPr>
        <w:t xml:space="preserve"> ، وفِي بُرْدٍ اشْتَرَاهُ </w:t>
      </w:r>
      <w:r>
        <w:rPr>
          <w:rStyle w:val="libFootnotenumChar"/>
          <w:rtl/>
        </w:rPr>
        <w:t>(6)</w:t>
      </w:r>
      <w:r w:rsidRPr="00132E65">
        <w:rPr>
          <w:rtl/>
          <w:lang w:bidi="fa-IR"/>
        </w:rPr>
        <w:t xml:space="preserve"> بِأَرْبَعِينَ دِينَاراً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9D1ACE">
        <w:rPr>
          <w:rStyle w:val="libFootnoteBoldChar"/>
          <w:rtl/>
        </w:rPr>
        <w:t>الوافي</w:t>
      </w:r>
      <w:r w:rsidRPr="00132E65">
        <w:rPr>
          <w:rtl/>
        </w:rPr>
        <w:t xml:space="preserve"> ، ج 3 ، ص 796 ، ح 1410 ؛ </w:t>
      </w:r>
      <w:r w:rsidRPr="00343EDA">
        <w:rPr>
          <w:rtl/>
        </w:rPr>
        <w:t>البحار</w:t>
      </w:r>
      <w:r w:rsidRPr="00132E65">
        <w:rPr>
          <w:rtl/>
        </w:rPr>
        <w:t xml:space="preserve"> ، ج 47 ، ص 6 ، ح 18.</w:t>
      </w:r>
    </w:p>
    <w:p w:rsidR="000C39D1" w:rsidRPr="00132E65" w:rsidRDefault="000C39D1" w:rsidP="000C39D1">
      <w:pPr>
        <w:pStyle w:val="libFootnote0"/>
        <w:rPr>
          <w:rtl/>
          <w:lang w:bidi="fa-IR"/>
        </w:rPr>
      </w:pPr>
      <w:r>
        <w:rPr>
          <w:rtl/>
        </w:rPr>
        <w:t>(2).</w:t>
      </w:r>
      <w:r w:rsidRPr="00132E65">
        <w:rPr>
          <w:rtl/>
        </w:rPr>
        <w:t xml:space="preserve"> هكذا في وسائل الشيعة ، ج 3 ، ص 11 ، ذيل ح 2881. وفي النسخ والمطبوع : </w:t>
      </w:r>
      <w:r w:rsidR="00FE4BDC">
        <w:rPr>
          <w:rtl/>
        </w:rPr>
        <w:t>« أبي جعفر محمّد بن عمر بن‌سعيد</w:t>
      </w:r>
      <w:r w:rsidRPr="00132E65">
        <w:rPr>
          <w:rtl/>
        </w:rPr>
        <w:t>»</w:t>
      </w:r>
      <w:r>
        <w:rPr>
          <w:rtl/>
        </w:rPr>
        <w:t>.</w:t>
      </w:r>
    </w:p>
    <w:p w:rsidR="000C39D1" w:rsidRPr="00132E65" w:rsidRDefault="000C39D1" w:rsidP="000C39D1">
      <w:pPr>
        <w:pStyle w:val="libFootnote0"/>
        <w:rPr>
          <w:rtl/>
          <w:lang w:bidi="fa-IR"/>
        </w:rPr>
      </w:pPr>
      <w:r w:rsidRPr="00661890">
        <w:rPr>
          <w:rtl/>
        </w:rPr>
        <w:t>والصواب ما أثبتناه ؛ فقد ورد الخبر في</w:t>
      </w:r>
      <w:r>
        <w:rPr>
          <w:rFonts w:hint="cs"/>
          <w:rtl/>
        </w:rPr>
        <w:t xml:space="preserve"> </w:t>
      </w:r>
      <w:r w:rsidRPr="000577A7">
        <w:rPr>
          <w:rStyle w:val="libFootnoteBoldChar"/>
          <w:rtl/>
        </w:rPr>
        <w:t>الكافي</w:t>
      </w:r>
      <w:r w:rsidRPr="00E55206">
        <w:rPr>
          <w:rtl/>
        </w:rPr>
        <w:t xml:space="preserve"> ، ح 4368 ؛ </w:t>
      </w:r>
      <w:r w:rsidRPr="00FE4BDC">
        <w:rPr>
          <w:rStyle w:val="libFootnoteBoldChar"/>
          <w:rtl/>
        </w:rPr>
        <w:t>والتهذيب</w:t>
      </w:r>
      <w:r w:rsidRPr="00343EDA">
        <w:rPr>
          <w:rtl/>
        </w:rPr>
        <w:t xml:space="preserve"> </w:t>
      </w:r>
      <w:r w:rsidRPr="00661890">
        <w:rPr>
          <w:rtl/>
        </w:rPr>
        <w:t>، ج 1 ، ص 434 ، ح 1303 ؛ و</w:t>
      </w:r>
      <w:r w:rsidRPr="007A1104">
        <w:rPr>
          <w:rStyle w:val="libFootnoteBoldChar"/>
          <w:rtl/>
        </w:rPr>
        <w:t>الاستبصار</w:t>
      </w:r>
      <w:r w:rsidRPr="00661890">
        <w:rPr>
          <w:rtl/>
        </w:rPr>
        <w:t xml:space="preserve"> ، ج 1 ، ص 110 ، ح 742 </w:t>
      </w:r>
      <w:r>
        <w:rPr>
          <w:rtl/>
        </w:rPr>
        <w:t>-</w:t>
      </w:r>
      <w:r w:rsidRPr="00661890">
        <w:rPr>
          <w:rtl/>
        </w:rPr>
        <w:t xml:space="preserve"> مع زيادة يسيرة </w:t>
      </w:r>
      <w:r>
        <w:rPr>
          <w:rtl/>
        </w:rPr>
        <w:t>-</w:t>
      </w:r>
      <w:r w:rsidRPr="00661890">
        <w:rPr>
          <w:rtl/>
        </w:rPr>
        <w:t xml:space="preserve"> عن سهل بن زياد عن محمّد بن عمرو بن سعيد ، عن يونس بن يعقوب.</w:t>
      </w:r>
    </w:p>
    <w:p w:rsidR="000C39D1" w:rsidRPr="00132E65" w:rsidRDefault="000C39D1" w:rsidP="000C39D1">
      <w:pPr>
        <w:pStyle w:val="libFootnote0"/>
        <w:rPr>
          <w:rtl/>
          <w:lang w:bidi="fa-IR"/>
        </w:rPr>
      </w:pPr>
      <w:r w:rsidRPr="00661890">
        <w:rPr>
          <w:rtl/>
        </w:rPr>
        <w:t xml:space="preserve">ثمّ إنّه وردت رواية سعد بن عبد الله عن أحمد بن محمّد ، عن محمّد بن عمرو بن سعيد الزيّات ، عن يونس بن يعقوب في </w:t>
      </w:r>
      <w:r w:rsidRPr="00FE4BDC">
        <w:rPr>
          <w:rStyle w:val="libFootnoteBoldChar"/>
          <w:rtl/>
        </w:rPr>
        <w:t>التهذيب</w:t>
      </w:r>
      <w:r w:rsidRPr="00661890">
        <w:rPr>
          <w:rtl/>
        </w:rPr>
        <w:t xml:space="preserve"> ، ج 1 ، ص 402 ، ح 1259 ؛ و</w:t>
      </w:r>
      <w:r w:rsidRPr="007A1104">
        <w:rPr>
          <w:rStyle w:val="libFootnoteBoldChar"/>
          <w:rtl/>
        </w:rPr>
        <w:t>الاستبصار</w:t>
      </w:r>
      <w:r w:rsidRPr="00661890">
        <w:rPr>
          <w:rtl/>
        </w:rPr>
        <w:t xml:space="preserve"> ، ج 1 ، ص 149 ، ح 516 ، كما وردت رواية سعد بن عبد الله عن أحمد بن محمّد بن عيسى ، عن محمّد بن عمرو ، عن يونس في </w:t>
      </w:r>
      <w:r w:rsidRPr="002C7CFD">
        <w:rPr>
          <w:rStyle w:val="libFootnoteBoldChar"/>
          <w:rtl/>
        </w:rPr>
        <w:t>التهذيب</w:t>
      </w:r>
      <w:r w:rsidRPr="00661890">
        <w:rPr>
          <w:rtl/>
        </w:rPr>
        <w:t xml:space="preserve"> ، ج 1 ، ص 175 ، ح 502 ؛ و</w:t>
      </w:r>
      <w:r w:rsidRPr="007A1104">
        <w:rPr>
          <w:rStyle w:val="libFootnoteBoldChar"/>
          <w:rtl/>
        </w:rPr>
        <w:t>الاستبصار</w:t>
      </w:r>
      <w:r w:rsidRPr="00661890">
        <w:rPr>
          <w:rtl/>
        </w:rPr>
        <w:t xml:space="preserve"> ، ج 1 ، ص 151 ، ح 522. والمراد بأبي جعفر في مشايخ سعد بن عبد الله هو أحمد بن محمّد بن عيسى ، كما ثبت في محلّه.</w:t>
      </w:r>
    </w:p>
    <w:p w:rsidR="000C39D1" w:rsidRPr="00132E65" w:rsidRDefault="000C39D1" w:rsidP="002C7CFD">
      <w:pPr>
        <w:pStyle w:val="libFootnote0"/>
        <w:rPr>
          <w:rtl/>
          <w:lang w:bidi="fa-IR"/>
        </w:rPr>
      </w:pPr>
      <w:r w:rsidRPr="00661890">
        <w:rPr>
          <w:rtl/>
        </w:rPr>
        <w:t xml:space="preserve">أضف إلى ذلك كلّه ، أنّ طبقة رواة محمّد بن عمرو بن سعيد ، متقدّمة على طبقة سعد بن عبد الله. راجع : </w:t>
      </w:r>
      <w:r w:rsidRPr="002C7CFD">
        <w:rPr>
          <w:rStyle w:val="libFootnoteBoldChar"/>
          <w:rtl/>
        </w:rPr>
        <w:t>رجال النجاشي</w:t>
      </w:r>
      <w:r w:rsidRPr="00661890">
        <w:rPr>
          <w:rtl/>
        </w:rPr>
        <w:t xml:space="preserve"> ، ص 369 ، الرقم 1001 ؛ </w:t>
      </w:r>
      <w:r w:rsidRPr="002C7CFD">
        <w:rPr>
          <w:rStyle w:val="libFootnoteBoldChar"/>
          <w:rtl/>
        </w:rPr>
        <w:t>الفهرست للطوسي</w:t>
      </w:r>
      <w:r w:rsidRPr="00661890">
        <w:rPr>
          <w:rtl/>
        </w:rPr>
        <w:t xml:space="preserve"> ، ص 388 ، الرقم 594 ؛ </w:t>
      </w:r>
      <w:r w:rsidRPr="002C7CFD">
        <w:rPr>
          <w:rStyle w:val="libFootnoteBoldChar"/>
          <w:rtl/>
        </w:rPr>
        <w:t>معجم رجال الحديث</w:t>
      </w:r>
      <w:r w:rsidRPr="00661890">
        <w:rPr>
          <w:rtl/>
        </w:rPr>
        <w:t xml:space="preserve"> ، ج 17 ، ص 76 </w:t>
      </w:r>
      <w:r>
        <w:rPr>
          <w:rtl/>
        </w:rPr>
        <w:t>-</w:t>
      </w:r>
      <w:r w:rsidRPr="00661890">
        <w:rPr>
          <w:rtl/>
        </w:rPr>
        <w:t xml:space="preserve"> 79.</w:t>
      </w:r>
      <w:r w:rsidR="002C7CFD">
        <w:rPr>
          <w:rFonts w:hint="cs"/>
          <w:rtl/>
        </w:rPr>
        <w:t xml:space="preserve">                                                </w:t>
      </w:r>
      <w:r>
        <w:rPr>
          <w:rtl/>
        </w:rPr>
        <w:t>(3).</w:t>
      </w:r>
      <w:r w:rsidRPr="00132E65">
        <w:rPr>
          <w:rtl/>
        </w:rPr>
        <w:t xml:space="preserve"> في </w:t>
      </w:r>
      <w:r w:rsidRPr="000577A7">
        <w:rPr>
          <w:rStyle w:val="libFootnoteBoldChar"/>
          <w:rtl/>
        </w:rPr>
        <w:t>الكافي</w:t>
      </w:r>
      <w:r w:rsidRPr="00132E65">
        <w:rPr>
          <w:rtl/>
        </w:rPr>
        <w:t xml:space="preserve"> ، ح 4368 : « إنّي »</w:t>
      </w:r>
      <w:r>
        <w:rPr>
          <w:rtl/>
        </w:rPr>
        <w:t>.</w:t>
      </w:r>
    </w:p>
    <w:p w:rsidR="000C39D1" w:rsidRPr="00132E65" w:rsidRDefault="000C39D1" w:rsidP="000C39D1">
      <w:pPr>
        <w:pStyle w:val="libFootnote0"/>
        <w:rPr>
          <w:rtl/>
          <w:lang w:bidi="fa-IR"/>
        </w:rPr>
      </w:pPr>
      <w:r>
        <w:rPr>
          <w:rtl/>
        </w:rPr>
        <w:t>(4).</w:t>
      </w:r>
      <w:r w:rsidRPr="00132E65">
        <w:rPr>
          <w:rtl/>
        </w:rPr>
        <w:t xml:space="preserve"> قال الجوهري : « شطا : اسم قرية بناحية مصر تنسب إليها الثياب الشطويّة »</w:t>
      </w:r>
      <w:r>
        <w:rPr>
          <w:rtl/>
        </w:rPr>
        <w:t>.</w:t>
      </w:r>
      <w:r w:rsidRPr="00132E65">
        <w:rPr>
          <w:rtl/>
        </w:rPr>
        <w:t xml:space="preserve"> </w:t>
      </w:r>
      <w:r w:rsidRPr="002C7CFD">
        <w:rPr>
          <w:rStyle w:val="libFootnoteBoldChar"/>
          <w:rtl/>
        </w:rPr>
        <w:t>الصحاح</w:t>
      </w:r>
      <w:r w:rsidRPr="00132E65">
        <w:rPr>
          <w:rtl/>
        </w:rPr>
        <w:t xml:space="preserve"> </w:t>
      </w:r>
      <w:r w:rsidR="002C7CFD">
        <w:rPr>
          <w:rtl/>
        </w:rPr>
        <w:t>، ج 6 ، ص 2392 (شطا</w:t>
      </w:r>
      <w:r w:rsidRPr="00132E65">
        <w:rPr>
          <w:rtl/>
        </w:rPr>
        <w:t>)</w:t>
      </w:r>
      <w:r>
        <w:rPr>
          <w:rtl/>
        </w:rPr>
        <w:t>.</w:t>
      </w:r>
    </w:p>
    <w:p w:rsidR="000C39D1" w:rsidRPr="00132E65" w:rsidRDefault="000C39D1" w:rsidP="000C39D1">
      <w:pPr>
        <w:pStyle w:val="libFootnote0"/>
        <w:rPr>
          <w:rtl/>
          <w:lang w:bidi="fa-IR"/>
        </w:rPr>
      </w:pPr>
      <w:r>
        <w:rPr>
          <w:rtl/>
        </w:rPr>
        <w:t>(5).</w:t>
      </w:r>
      <w:r w:rsidRPr="00132E65">
        <w:rPr>
          <w:rtl/>
        </w:rPr>
        <w:t xml:space="preserve"> في </w:t>
      </w:r>
      <w:r w:rsidRPr="000577A7">
        <w:rPr>
          <w:rStyle w:val="libFootnoteBoldChar"/>
          <w:rtl/>
        </w:rPr>
        <w:t>الكافي</w:t>
      </w:r>
      <w:r w:rsidRPr="00132E65">
        <w:rPr>
          <w:rtl/>
        </w:rPr>
        <w:t xml:space="preserve"> ، ح 4368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0577A7">
        <w:rPr>
          <w:rStyle w:val="libFootnoteBoldChar"/>
          <w:rtl/>
        </w:rPr>
        <w:t>الكافي</w:t>
      </w:r>
      <w:r w:rsidRPr="00132E65">
        <w:rPr>
          <w:rtl/>
        </w:rPr>
        <w:t xml:space="preserve"> ، ح 4368 ، </w:t>
      </w:r>
      <w:r w:rsidRPr="002C7CFD">
        <w:rPr>
          <w:rStyle w:val="libFootnoteBoldChar"/>
          <w:rtl/>
        </w:rPr>
        <w:t>والتهذيب والاستبصار</w:t>
      </w:r>
      <w:r w:rsidRPr="00132E65">
        <w:rPr>
          <w:rtl/>
        </w:rPr>
        <w:t xml:space="preserve"> والبحار : « اشتريته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ح 4368 ، </w:t>
      </w:r>
      <w:r w:rsidRPr="002C7CFD">
        <w:rPr>
          <w:rStyle w:val="libFootnoteBoldChar"/>
          <w:rtl/>
        </w:rPr>
        <w:t>والتهذيب والاستبصار</w:t>
      </w:r>
      <w:r w:rsidRPr="00132E65">
        <w:rPr>
          <w:rtl/>
        </w:rPr>
        <w:t xml:space="preserve"> :</w:t>
      </w:r>
      <w:r>
        <w:rPr>
          <w:rtl/>
        </w:rPr>
        <w:t xml:space="preserve"> + </w:t>
      </w:r>
      <w:r w:rsidRPr="00132E65">
        <w:rPr>
          <w:rtl/>
        </w:rPr>
        <w:t>« لو كان اليوم لساوى أربعمائة دينار »</w:t>
      </w:r>
      <w:r>
        <w:rPr>
          <w:rtl/>
        </w:rPr>
        <w:t>.</w:t>
      </w:r>
    </w:p>
    <w:p w:rsidR="000C39D1" w:rsidRPr="00132E65" w:rsidRDefault="000C39D1" w:rsidP="000C39D1">
      <w:pPr>
        <w:pStyle w:val="libFootnote0"/>
        <w:rPr>
          <w:rtl/>
          <w:lang w:bidi="fa-IR"/>
        </w:rPr>
      </w:pPr>
      <w:r>
        <w:rPr>
          <w:rtl/>
        </w:rPr>
        <w:t>(8).</w:t>
      </w:r>
      <w:r w:rsidRPr="00132E65">
        <w:rPr>
          <w:rtl/>
        </w:rPr>
        <w:t xml:space="preserve"> </w:t>
      </w:r>
      <w:r w:rsidRPr="000577A7">
        <w:rPr>
          <w:rStyle w:val="libFootnoteBoldChar"/>
          <w:rtl/>
        </w:rPr>
        <w:t>الكافي</w:t>
      </w:r>
      <w:r w:rsidRPr="00132E65">
        <w:rPr>
          <w:rtl/>
        </w:rPr>
        <w:t xml:space="preserve"> ، كتاب الجنائز ، باب ما يستحبّ من الثياب للكفن وما يكره ، ح 4368 ؛ و</w:t>
      </w:r>
      <w:r w:rsidRPr="007A1104">
        <w:rPr>
          <w:rStyle w:val="libFootnoteBoldChar"/>
          <w:rtl/>
        </w:rPr>
        <w:t>الاستبصار</w:t>
      </w:r>
      <w:r w:rsidRPr="00132E65">
        <w:rPr>
          <w:rtl/>
        </w:rPr>
        <w:t xml:space="preserve"> ، ج 1 ، ص 210 ، ح 742 ؛ </w:t>
      </w:r>
      <w:r w:rsidRPr="002C7CFD">
        <w:rPr>
          <w:rStyle w:val="libFootnoteBoldChar"/>
          <w:rtl/>
        </w:rPr>
        <w:t>والتهذيب</w:t>
      </w:r>
      <w:r w:rsidRPr="00132E65">
        <w:rPr>
          <w:rtl/>
        </w:rPr>
        <w:t xml:space="preserve"> ، ج 1 ، ص 434 ، ح 1393 ، بسند آخر عن محمّد بن عمرو بن سعيد </w:t>
      </w:r>
      <w:r w:rsidR="002C7CFD">
        <w:rPr>
          <w:rFonts w:hint="cs"/>
          <w:rtl/>
        </w:rPr>
        <w:t>.</w:t>
      </w:r>
      <w:r w:rsidRPr="009D1ACE">
        <w:rPr>
          <w:rStyle w:val="libFootnoteBoldChar"/>
          <w:rtl/>
        </w:rPr>
        <w:t>الوافي</w:t>
      </w:r>
      <w:r w:rsidR="002C7CFD">
        <w:rPr>
          <w:rtl/>
        </w:rPr>
        <w:t xml:space="preserve"> ، ج 24 ،</w:t>
      </w:r>
      <w:r w:rsidR="002C7CFD">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72" w:name="_Toc459459162"/>
      <w:bookmarkStart w:id="173" w:name="_Toc34663131"/>
      <w:r w:rsidRPr="00132E65">
        <w:rPr>
          <w:rtl/>
          <w:lang w:bidi="fa-IR"/>
        </w:rPr>
        <w:t>120</w:t>
      </w:r>
      <w:r>
        <w:rPr>
          <w:rtl/>
          <w:lang w:bidi="fa-IR"/>
        </w:rPr>
        <w:t xml:space="preserve"> - </w:t>
      </w:r>
      <w:r w:rsidRPr="00132E65">
        <w:rPr>
          <w:rtl/>
          <w:lang w:bidi="fa-IR"/>
        </w:rPr>
        <w:t xml:space="preserve">بَابُ </w:t>
      </w:r>
      <w:r>
        <w:rPr>
          <w:rStyle w:val="libFootnotenumChar"/>
          <w:rtl/>
        </w:rPr>
        <w:t>(1)</w:t>
      </w:r>
      <w:r>
        <w:rPr>
          <w:rtl/>
          <w:lang w:bidi="fa-IR"/>
        </w:rPr>
        <w:t xml:space="preserve"> </w:t>
      </w:r>
      <w:r w:rsidRPr="00132E65">
        <w:rPr>
          <w:rtl/>
          <w:lang w:bidi="fa-IR"/>
        </w:rPr>
        <w:t xml:space="preserve">مَوْلِدِ أَبِي الْحَسَنِ مُوسَى بْنِ جَعْفَرٍ </w:t>
      </w:r>
      <w:r>
        <w:rPr>
          <w:rStyle w:val="libFootnotenumChar"/>
          <w:rtl/>
        </w:rPr>
        <w:t>(2)</w:t>
      </w:r>
      <w:r>
        <w:rPr>
          <w:rtl/>
          <w:lang w:bidi="fa-IR"/>
        </w:rPr>
        <w:t xml:space="preserve"> </w:t>
      </w:r>
      <w:r w:rsidRPr="00071CF9">
        <w:rPr>
          <w:rStyle w:val="libAlaemChar"/>
          <w:rtl/>
        </w:rPr>
        <w:t>عليهما‌السلام</w:t>
      </w:r>
      <w:r w:rsidRPr="00132E65">
        <w:rPr>
          <w:rtl/>
          <w:lang w:bidi="fa-IR"/>
        </w:rPr>
        <w:t>‌</w:t>
      </w:r>
      <w:bookmarkEnd w:id="172"/>
      <w:bookmarkEnd w:id="173"/>
    </w:p>
    <w:p w:rsidR="000C39D1" w:rsidRPr="00132E65" w:rsidRDefault="000C39D1" w:rsidP="000C39D1">
      <w:pPr>
        <w:pStyle w:val="libNormal0"/>
        <w:tabs>
          <w:tab w:val="left" w:pos="3968"/>
        </w:tabs>
        <w:rPr>
          <w:rtl/>
          <w:lang w:bidi="fa-IR"/>
        </w:rPr>
      </w:pPr>
      <w:r w:rsidRPr="00132E65">
        <w:rPr>
          <w:rtl/>
          <w:lang w:bidi="fa-IR"/>
        </w:rPr>
        <w:t xml:space="preserve">وُلِدَ أَبُو الْحَسَنِ مُوسى </w:t>
      </w:r>
      <w:r w:rsidRPr="00071CF9">
        <w:rPr>
          <w:rStyle w:val="libAlaemChar"/>
          <w:rtl/>
        </w:rPr>
        <w:t>عليه‌السلام</w:t>
      </w:r>
      <w:r w:rsidRPr="00132E65">
        <w:rPr>
          <w:rtl/>
          <w:lang w:bidi="fa-IR"/>
        </w:rPr>
        <w:t xml:space="preserve"> بِالْأَبْوَاءِ </w:t>
      </w:r>
      <w:r>
        <w:rPr>
          <w:rStyle w:val="libFootnotenumChar"/>
          <w:rtl/>
        </w:rPr>
        <w:t>(3)</w:t>
      </w:r>
      <w:r w:rsidRPr="00132E65">
        <w:rPr>
          <w:rtl/>
          <w:lang w:bidi="fa-IR"/>
        </w:rPr>
        <w:t xml:space="preserve"> سَنَةَ ثَمَانٍ و</w:t>
      </w:r>
      <w:r w:rsidR="002C7CFD">
        <w:rPr>
          <w:rFonts w:hint="cs"/>
          <w:rtl/>
          <w:lang w:bidi="fa-IR"/>
        </w:rPr>
        <w:t>َ</w:t>
      </w:r>
      <w:r w:rsidRPr="00132E65">
        <w:rPr>
          <w:rtl/>
          <w:lang w:bidi="fa-IR"/>
        </w:rPr>
        <w:t xml:space="preserve">عِشْرِينَ ومِائَةٍ </w:t>
      </w:r>
      <w:r>
        <w:rPr>
          <w:rStyle w:val="libFootnotenumChar"/>
          <w:rtl/>
        </w:rPr>
        <w:t>(4)</w:t>
      </w:r>
      <w:r w:rsidRPr="00132E65">
        <w:rPr>
          <w:rtl/>
          <w:lang w:bidi="fa-IR"/>
        </w:rPr>
        <w:t xml:space="preserve"> ، و</w:t>
      </w:r>
      <w:r w:rsidR="002C7CFD">
        <w:rPr>
          <w:rFonts w:hint="cs"/>
          <w:rtl/>
          <w:lang w:bidi="fa-IR"/>
        </w:rPr>
        <w:t>َ</w:t>
      </w:r>
      <w:r w:rsidRPr="00132E65">
        <w:rPr>
          <w:rtl/>
          <w:lang w:bidi="fa-IR"/>
        </w:rPr>
        <w:t xml:space="preserve">قَالَ بَعْضُهُمْ </w:t>
      </w:r>
      <w:r>
        <w:rPr>
          <w:rStyle w:val="libFootnotenumChar"/>
          <w:rtl/>
        </w:rPr>
        <w:t>(5)</w:t>
      </w:r>
      <w:r w:rsidRPr="00132E65">
        <w:rPr>
          <w:rtl/>
          <w:lang w:bidi="fa-IR"/>
        </w:rPr>
        <w:t xml:space="preserve"> : تِسْعٍ وَعِشْرِينَ و</w:t>
      </w:r>
      <w:r w:rsidR="002C7CFD">
        <w:rPr>
          <w:rFonts w:hint="cs"/>
          <w:rtl/>
          <w:lang w:bidi="fa-IR"/>
        </w:rPr>
        <w:t>َ</w:t>
      </w:r>
      <w:r w:rsidRPr="00132E65">
        <w:rPr>
          <w:rtl/>
          <w:lang w:bidi="fa-IR"/>
        </w:rPr>
        <w:t xml:space="preserve">مِائَةٍ ؛ وقُبِضَ </w:t>
      </w:r>
      <w:r w:rsidRPr="00071CF9">
        <w:rPr>
          <w:rStyle w:val="libAlaemChar"/>
          <w:rtl/>
        </w:rPr>
        <w:t>عليه‌السلام</w:t>
      </w:r>
      <w:r w:rsidRPr="00132E65">
        <w:rPr>
          <w:rtl/>
          <w:lang w:bidi="fa-IR"/>
        </w:rPr>
        <w:t xml:space="preserve"> لِسِتٍّ خَلَوْنَ مِنْ رَجَبٍ مِنْ سَنَةِ ثَلَاثٍ و</w:t>
      </w:r>
      <w:r w:rsidR="002C7CFD">
        <w:rPr>
          <w:rFonts w:hint="cs"/>
          <w:rtl/>
          <w:lang w:bidi="fa-IR"/>
        </w:rPr>
        <w:t>َ</w:t>
      </w:r>
      <w:r w:rsidRPr="00132E65">
        <w:rPr>
          <w:rtl/>
          <w:lang w:bidi="fa-IR"/>
        </w:rPr>
        <w:t>ثَمَانِينَ و</w:t>
      </w:r>
      <w:r w:rsidR="002C7CFD">
        <w:rPr>
          <w:rFonts w:hint="cs"/>
          <w:rtl/>
          <w:lang w:bidi="fa-IR"/>
        </w:rPr>
        <w:t>َ</w:t>
      </w:r>
      <w:r w:rsidRPr="00132E65">
        <w:rPr>
          <w:rtl/>
          <w:lang w:bidi="fa-IR"/>
        </w:rPr>
        <w:t>مِائَةٍ ، وَهُوَ ابْنُ أَرْبَعٍ أَوْ خَمْسٍ و</w:t>
      </w:r>
      <w:r w:rsidR="002C7CFD">
        <w:rPr>
          <w:rFonts w:hint="cs"/>
          <w:rtl/>
          <w:lang w:bidi="fa-IR"/>
        </w:rPr>
        <w:t>َ</w:t>
      </w:r>
      <w:r w:rsidRPr="00132E65">
        <w:rPr>
          <w:rtl/>
          <w:lang w:bidi="fa-IR"/>
        </w:rPr>
        <w:t>خَمْسِينَ سَنَةً ؛ و</w:t>
      </w:r>
      <w:r w:rsidR="002C7CFD">
        <w:rPr>
          <w:rFonts w:hint="cs"/>
          <w:rtl/>
          <w:lang w:bidi="fa-IR"/>
        </w:rPr>
        <w:t>َ</w:t>
      </w:r>
      <w:r w:rsidRPr="00132E65">
        <w:rPr>
          <w:rtl/>
          <w:lang w:bidi="fa-IR"/>
        </w:rPr>
        <w:t xml:space="preserve">قُبِضَ </w:t>
      </w:r>
      <w:r w:rsidRPr="00071CF9">
        <w:rPr>
          <w:rStyle w:val="libAlaemChar"/>
          <w:rtl/>
        </w:rPr>
        <w:t>عليه‌السلام</w:t>
      </w:r>
      <w:r w:rsidRPr="00132E65">
        <w:rPr>
          <w:rtl/>
          <w:lang w:bidi="fa-IR"/>
        </w:rPr>
        <w:t xml:space="preserve"> بِبَغْدَادَ فِي حَبْسِ السِّنْدِيِّ بْنِ شَاهَكَ.</w:t>
      </w:r>
    </w:p>
    <w:p w:rsidR="000C39D1" w:rsidRPr="00132E65" w:rsidRDefault="000C39D1" w:rsidP="002B69F2">
      <w:pPr>
        <w:pStyle w:val="libNormal0"/>
        <w:tabs>
          <w:tab w:val="left" w:pos="3968"/>
        </w:tabs>
        <w:rPr>
          <w:rtl/>
          <w:lang w:bidi="fa-IR"/>
        </w:rPr>
      </w:pPr>
      <w:r w:rsidRPr="00132E65">
        <w:rPr>
          <w:rtl/>
          <w:lang w:bidi="fa-IR"/>
        </w:rPr>
        <w:t>وَكَانَ هَارُونُ حَمَلَهُ مِنَ الْمَدِينَةِ لِعَشْرِ لَيَالٍ بَقِينَ مِنْ شَوَّالٍ سَنَةَ تِسْعٍ و</w:t>
      </w:r>
      <w:r w:rsidR="002C7CFD">
        <w:rPr>
          <w:rFonts w:hint="cs"/>
          <w:rtl/>
          <w:lang w:bidi="fa-IR"/>
        </w:rPr>
        <w:t>َ</w:t>
      </w:r>
      <w:r w:rsidRPr="00132E65">
        <w:rPr>
          <w:rtl/>
          <w:lang w:bidi="fa-IR"/>
        </w:rPr>
        <w:t>سَبْعِينَ و</w:t>
      </w:r>
      <w:r w:rsidR="002C7CFD">
        <w:rPr>
          <w:rFonts w:hint="cs"/>
          <w:rtl/>
          <w:lang w:bidi="fa-IR"/>
        </w:rPr>
        <w:t>َ</w:t>
      </w:r>
      <w:r w:rsidRPr="00132E65">
        <w:rPr>
          <w:rtl/>
          <w:lang w:bidi="fa-IR"/>
        </w:rPr>
        <w:t xml:space="preserve">مِائَةٍ ، وَقَدْ قَدِمَ هَارُونُ الْمَدِينَةَ مُنْصَرَفَهُ مِنْ عُمْرَةِ شَهْرِ رَمَضَانَ ، ثُمَّ شَخَصَ </w:t>
      </w:r>
      <w:r>
        <w:rPr>
          <w:rStyle w:val="libFootnotenumChar"/>
          <w:rtl/>
        </w:rPr>
        <w:t>(6)</w:t>
      </w:r>
      <w:r w:rsidRPr="00132E65">
        <w:rPr>
          <w:rtl/>
          <w:lang w:bidi="fa-IR"/>
        </w:rPr>
        <w:t xml:space="preserve"> هَارُونُ إِلَى الْحَجِّ وحَمَلَهُ مَعَهُ ، ثُمَّ انْصَرَفَ عَلى طَرِيقِ الْبَصْرَةِ ، فَحَبَسَهُ عِنْدَ عِيسَى بْنِ جَعْفَرٍ ، ثُمَّ أَشْخَصَهُ إِلى بَغْدَادَ ، فَحَبَسَهُ عِنْدَ السِّنْدِيِّ بْنِ شَاهَكَ ، فَتُوُفِّيَ </w:t>
      </w:r>
      <w:r w:rsidRPr="00071CF9">
        <w:rPr>
          <w:rStyle w:val="libAlaemChar"/>
          <w:rtl/>
        </w:rPr>
        <w:t>عليه‌السلام</w:t>
      </w:r>
      <w:r w:rsidRPr="00132E65">
        <w:rPr>
          <w:rtl/>
          <w:lang w:bidi="fa-IR"/>
        </w:rPr>
        <w:t xml:space="preserve"> فِي حَبْسِهِ ، و</w:t>
      </w:r>
      <w:r w:rsidR="002C7CFD">
        <w:rPr>
          <w:rFonts w:hint="cs"/>
          <w:rtl/>
          <w:lang w:bidi="fa-IR"/>
        </w:rPr>
        <w:t>َ</w:t>
      </w:r>
      <w:r w:rsidRPr="00132E65">
        <w:rPr>
          <w:rtl/>
          <w:lang w:bidi="fa-IR"/>
        </w:rPr>
        <w:t>دُفِنَ بِبَغْدَادَ فِي مَقْبَرَةِ قُرَيْشٍ ؛ و</w:t>
      </w:r>
      <w:r w:rsidR="002B69F2">
        <w:rPr>
          <w:rFonts w:hint="cs"/>
          <w:rtl/>
          <w:lang w:bidi="fa-IR"/>
        </w:rPr>
        <w:t>َ</w:t>
      </w:r>
      <w:r w:rsidRPr="00132E65">
        <w:rPr>
          <w:rtl/>
          <w:lang w:bidi="fa-IR"/>
        </w:rPr>
        <w:t>أُمُّهُ أُمُّ و</w:t>
      </w:r>
      <w:r w:rsidR="002B69F2">
        <w:rPr>
          <w:rFonts w:hint="cs"/>
          <w:rtl/>
          <w:lang w:bidi="fa-IR"/>
        </w:rPr>
        <w:t>َ</w:t>
      </w:r>
      <w:r w:rsidRPr="00132E65">
        <w:rPr>
          <w:rtl/>
          <w:lang w:bidi="fa-IR"/>
        </w:rPr>
        <w:t xml:space="preserve">لَدٍ يُقَالُ لَهَا : حَمِيدَةُ </w:t>
      </w:r>
      <w:r>
        <w:rPr>
          <w:rStyle w:val="libFootnotenumChar"/>
          <w:rtl/>
        </w:rPr>
        <w:t>(7)</w:t>
      </w:r>
      <w:r w:rsidR="002B69F2">
        <w:rPr>
          <w:rFonts w:hint="cs"/>
          <w:rtl/>
          <w:lang w:bidi="fa-IR"/>
        </w:rPr>
        <w:t>.</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6348D1">
        <w:rPr>
          <w:rtl/>
        </w:rPr>
        <w:t>1289</w:t>
      </w:r>
      <w:r w:rsidRPr="004325D8">
        <w:rPr>
          <w:rStyle w:val="libBold2Char"/>
          <w:rtl/>
        </w:rPr>
        <w:t xml:space="preserve"> / 1.</w:t>
      </w:r>
      <w:r w:rsidRPr="00132E65">
        <w:rPr>
          <w:rtl/>
          <w:lang w:bidi="fa-IR"/>
        </w:rPr>
        <w:t xml:space="preserve"> الْحُسَيْنُ بْنُ مُحَمَّدٍ الْأَشْعَرِيُّ ، عَنْ مُعَلَّى بْنِ مُحَمَّدٍ ، عَنْ عَلِيِّ بْنِ السِّنْدِيِّ‌</w:t>
      </w:r>
    </w:p>
    <w:p w:rsidR="000C39D1" w:rsidRPr="00132E65" w:rsidRDefault="000C39D1" w:rsidP="000C39D1">
      <w:pPr>
        <w:pStyle w:val="libLine"/>
        <w:rPr>
          <w:rtl/>
          <w:lang w:bidi="fa-IR"/>
        </w:rPr>
      </w:pPr>
      <w:r w:rsidRPr="00132E65">
        <w:rPr>
          <w:rtl/>
          <w:lang w:bidi="fa-IR"/>
        </w:rPr>
        <w:t>__________________</w:t>
      </w:r>
    </w:p>
    <w:p w:rsidR="000C39D1" w:rsidRPr="00132E65" w:rsidRDefault="002B69F2" w:rsidP="000C39D1">
      <w:pPr>
        <w:pStyle w:val="libFootnote0"/>
        <w:rPr>
          <w:rtl/>
          <w:lang w:bidi="fa-IR"/>
        </w:rPr>
      </w:pPr>
      <w:r>
        <w:rPr>
          <w:rFonts w:hint="cs"/>
          <w:rtl/>
        </w:rPr>
        <w:t>=</w:t>
      </w:r>
      <w:r w:rsidR="000C39D1" w:rsidRPr="00132E65">
        <w:rPr>
          <w:rtl/>
        </w:rPr>
        <w:t xml:space="preserve">ص 375 ، ح 24249 ؛ </w:t>
      </w:r>
      <w:r w:rsidR="000C39D1" w:rsidRPr="002B69F2">
        <w:rPr>
          <w:rStyle w:val="libFootnoteBoldChar"/>
          <w:rtl/>
        </w:rPr>
        <w:t>الوسائل</w:t>
      </w:r>
      <w:r w:rsidR="000C39D1" w:rsidRPr="00132E65">
        <w:rPr>
          <w:rtl/>
        </w:rPr>
        <w:t xml:space="preserve"> ، ج 3 ، ص 10 ، ح 2881 ؛ وص 16 ، ح 2903 ، وفيه إلى قوله : « وفي قميص من قمصه » ؛ وص 40 ، ح 2973 ؛ </w:t>
      </w:r>
      <w:r w:rsidR="000C39D1" w:rsidRPr="006348D1">
        <w:rPr>
          <w:rtl/>
        </w:rPr>
        <w:t>البحار</w:t>
      </w:r>
      <w:r w:rsidR="000C39D1" w:rsidRPr="00132E65">
        <w:rPr>
          <w:rtl/>
        </w:rPr>
        <w:t xml:space="preserve"> ، ج 47 ، ص 7 ، ح 19.</w:t>
      </w:r>
    </w:p>
    <w:p w:rsidR="000C39D1" w:rsidRPr="00132E65" w:rsidRDefault="000C39D1" w:rsidP="000C39D1">
      <w:pPr>
        <w:pStyle w:val="libFootnote0"/>
        <w:rPr>
          <w:rtl/>
          <w:lang w:bidi="fa-IR"/>
        </w:rPr>
      </w:pPr>
      <w:r>
        <w:rPr>
          <w:rtl/>
        </w:rPr>
        <w:t>(1).</w:t>
      </w:r>
      <w:r w:rsidRPr="00132E65">
        <w:rPr>
          <w:rtl/>
        </w:rPr>
        <w:t xml:space="preserve"> في « ب ، ج ، ض ، ف ، بح ، بر ، بس ، بف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(2).</w:t>
      </w:r>
      <w:r w:rsidRPr="00132E65">
        <w:rPr>
          <w:rtl/>
        </w:rPr>
        <w:t xml:space="preserve"> في « ب ، ج ، ض ، بح ، بر ، بس ، بف » و</w:t>
      </w:r>
      <w:r w:rsidRPr="009D1ACE">
        <w:rPr>
          <w:rStyle w:val="libFootnoteBoldChar"/>
          <w:rtl/>
        </w:rPr>
        <w:t>مرآة العقول</w:t>
      </w:r>
      <w:r w:rsidRPr="00132E65">
        <w:rPr>
          <w:rtl/>
        </w:rPr>
        <w:t xml:space="preserve"> </w:t>
      </w:r>
      <w:r>
        <w:rPr>
          <w:rtl/>
        </w:rPr>
        <w:t xml:space="preserve">: - </w:t>
      </w:r>
      <w:r w:rsidRPr="00132E65">
        <w:rPr>
          <w:rtl/>
        </w:rPr>
        <w:t>« بن جعفر »</w:t>
      </w:r>
      <w:r>
        <w:rPr>
          <w:rtl/>
        </w:rPr>
        <w:t>.</w:t>
      </w:r>
    </w:p>
    <w:p w:rsidR="000C39D1" w:rsidRPr="00132E65" w:rsidRDefault="000C39D1" w:rsidP="000C39D1">
      <w:pPr>
        <w:pStyle w:val="libFootnote0"/>
        <w:rPr>
          <w:rtl/>
          <w:lang w:bidi="fa-IR"/>
        </w:rPr>
      </w:pPr>
      <w:r>
        <w:rPr>
          <w:rtl/>
        </w:rPr>
        <w:t>(3).</w:t>
      </w:r>
      <w:r w:rsidRPr="00132E65">
        <w:rPr>
          <w:rtl/>
        </w:rPr>
        <w:t xml:space="preserve"> قال ابن الأثير : « الأبْواء هو</w:t>
      </w:r>
      <w:r>
        <w:rPr>
          <w:rtl/>
        </w:rPr>
        <w:t xml:space="preserve"> - </w:t>
      </w:r>
      <w:r w:rsidRPr="00132E65">
        <w:rPr>
          <w:rtl/>
        </w:rPr>
        <w:t>بفتح الهمزة وسكون الباء والمدّ</w:t>
      </w:r>
      <w:r>
        <w:rPr>
          <w:rtl/>
        </w:rPr>
        <w:t xml:space="preserve"> - </w:t>
      </w:r>
      <w:r w:rsidRPr="00132E65">
        <w:rPr>
          <w:rtl/>
        </w:rPr>
        <w:t>: جبل بين مكّة والمدينة ، وعنده بلد ينسب‌إليه »</w:t>
      </w:r>
      <w:r>
        <w:rPr>
          <w:rtl/>
        </w:rPr>
        <w:t>.</w:t>
      </w:r>
      <w:r w:rsidRPr="00132E65">
        <w:rPr>
          <w:rtl/>
        </w:rPr>
        <w:t xml:space="preserve"> وقال الفيّومي : « الأبواء</w:t>
      </w:r>
      <w:r>
        <w:rPr>
          <w:rtl/>
        </w:rPr>
        <w:t xml:space="preserve"> - </w:t>
      </w:r>
      <w:r w:rsidRPr="00132E65">
        <w:rPr>
          <w:rtl/>
        </w:rPr>
        <w:t>وزان أفعال</w:t>
      </w:r>
      <w:r>
        <w:rPr>
          <w:rtl/>
        </w:rPr>
        <w:t xml:space="preserve"> - </w:t>
      </w:r>
      <w:r w:rsidRPr="00132E65">
        <w:rPr>
          <w:rtl/>
        </w:rPr>
        <w:t>: موضع بين مكّة والمدينة ، ويقال له : ودّانٌ »</w:t>
      </w:r>
      <w:r>
        <w:rPr>
          <w:rtl/>
        </w:rPr>
        <w:t>.</w:t>
      </w:r>
      <w:r w:rsidRPr="00132E65">
        <w:rPr>
          <w:rtl/>
        </w:rPr>
        <w:t xml:space="preserve"> راجع : </w:t>
      </w:r>
      <w:r w:rsidRPr="002B69F2">
        <w:rPr>
          <w:rStyle w:val="libFootnoteBoldChar"/>
          <w:rtl/>
        </w:rPr>
        <w:t>النهاية</w:t>
      </w:r>
      <w:r w:rsidRPr="00132E65">
        <w:rPr>
          <w:rtl/>
        </w:rPr>
        <w:t xml:space="preserve"> ، ج 1 ، ص 20 ؛ </w:t>
      </w:r>
      <w:r w:rsidRPr="002B69F2">
        <w:rPr>
          <w:rStyle w:val="libFootnoteBoldChar"/>
          <w:rtl/>
        </w:rPr>
        <w:t>المصباح المنير</w:t>
      </w:r>
      <w:r w:rsidRPr="00132E65">
        <w:rPr>
          <w:rtl/>
        </w:rPr>
        <w:t xml:space="preserve"> ، ص 3 ( أبو )</w:t>
      </w:r>
      <w:r>
        <w:rPr>
          <w:rtl/>
        </w:rPr>
        <w:t>.</w:t>
      </w:r>
    </w:p>
    <w:p w:rsidR="000C39D1" w:rsidRPr="00132E65" w:rsidRDefault="000C39D1" w:rsidP="000C39D1">
      <w:pPr>
        <w:pStyle w:val="libFootnote0"/>
        <w:rPr>
          <w:rtl/>
          <w:lang w:bidi="fa-IR"/>
        </w:rPr>
      </w:pPr>
      <w:r>
        <w:rPr>
          <w:rtl/>
        </w:rPr>
        <w:t>(4).</w:t>
      </w:r>
      <w:r w:rsidRPr="00132E65">
        <w:rPr>
          <w:rtl/>
        </w:rPr>
        <w:t xml:space="preserve"> في « ج ، ض ، ف ، بح ، بر ، بس ، بف » </w:t>
      </w:r>
      <w:r w:rsidRPr="002B69F2">
        <w:rPr>
          <w:rtl/>
        </w:rPr>
        <w:t>والوافي</w:t>
      </w:r>
      <w:r w:rsidRPr="00132E65">
        <w:rPr>
          <w:rtl/>
        </w:rPr>
        <w:t xml:space="preserve"> </w:t>
      </w:r>
      <w:r>
        <w:rPr>
          <w:rtl/>
        </w:rPr>
        <w:t xml:space="preserve">: - </w:t>
      </w:r>
      <w:r w:rsidRPr="00132E65">
        <w:rPr>
          <w:rtl/>
        </w:rPr>
        <w:t>« وعشرين ومائة »</w:t>
      </w:r>
      <w:r>
        <w:rPr>
          <w:rtl/>
        </w:rPr>
        <w:t>.</w:t>
      </w:r>
    </w:p>
    <w:p w:rsidR="000C39D1" w:rsidRPr="00132E65" w:rsidRDefault="000C39D1" w:rsidP="000C39D1">
      <w:pPr>
        <w:pStyle w:val="libFootnote0"/>
        <w:rPr>
          <w:rtl/>
          <w:lang w:bidi="fa-IR"/>
        </w:rPr>
      </w:pPr>
      <w:r>
        <w:rPr>
          <w:rtl/>
        </w:rPr>
        <w:t>(5).</w:t>
      </w:r>
      <w:r w:rsidRPr="00132E65">
        <w:rPr>
          <w:rtl/>
        </w:rPr>
        <w:t xml:space="preserve"> في « ب » :</w:t>
      </w:r>
      <w:r>
        <w:rPr>
          <w:rtl/>
        </w:rPr>
        <w:t xml:space="preserve"> + </w:t>
      </w:r>
      <w:r w:rsidRPr="00132E65">
        <w:rPr>
          <w:rtl/>
        </w:rPr>
        <w:t>« سنة »</w:t>
      </w:r>
      <w:r>
        <w:rPr>
          <w:rtl/>
        </w:rPr>
        <w:t>.</w:t>
      </w:r>
    </w:p>
    <w:p w:rsidR="000C39D1" w:rsidRPr="00132E65" w:rsidRDefault="000C39D1" w:rsidP="000C39D1">
      <w:pPr>
        <w:pStyle w:val="libFootnote0"/>
        <w:rPr>
          <w:rtl/>
          <w:lang w:bidi="fa-IR"/>
        </w:rPr>
      </w:pPr>
      <w:r>
        <w:rPr>
          <w:rtl/>
        </w:rPr>
        <w:t>(6).</w:t>
      </w:r>
      <w:r w:rsidRPr="00132E65">
        <w:rPr>
          <w:rtl/>
        </w:rPr>
        <w:t xml:space="preserve"> « شَخَصَ » ، أي ذهب. والشخوص : السير من بلد إلى بلد. وشخوص المسافر : خروجه من منزله. راجع : </w:t>
      </w:r>
      <w:r w:rsidRPr="009D1ACE">
        <w:rPr>
          <w:rStyle w:val="libFootnoteBoldChar"/>
          <w:rtl/>
        </w:rPr>
        <w:t>لسان العرب</w:t>
      </w:r>
      <w:r w:rsidRPr="00132E65">
        <w:rPr>
          <w:rtl/>
        </w:rPr>
        <w:t xml:space="preserve"> ، ج 7 ، ص 46 ؛ </w:t>
      </w:r>
      <w:r w:rsidRPr="002B69F2">
        <w:rPr>
          <w:rStyle w:val="libFootnoteBoldChar"/>
          <w:rtl/>
        </w:rPr>
        <w:t>القاموس المحيط</w:t>
      </w:r>
      <w:r w:rsidRPr="00132E65">
        <w:rPr>
          <w:rtl/>
        </w:rPr>
        <w:t xml:space="preserve"> ، ج 1 ، ص 844 ( شخص )</w:t>
      </w:r>
      <w:r>
        <w:rPr>
          <w:rtl/>
        </w:rPr>
        <w:t>.</w:t>
      </w:r>
    </w:p>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وا</w:t>
      </w:r>
      <w:r w:rsidR="002B69F2">
        <w:rPr>
          <w:rFonts w:hint="cs"/>
          <w:rtl/>
        </w:rPr>
        <w:t>ُ</w:t>
      </w:r>
      <w:r w:rsidRPr="00132E65">
        <w:rPr>
          <w:rtl/>
        </w:rPr>
        <w:t>مّه امّ ولد يقال لها : حميدة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813 ، ذيل ح 1420 ؛ </w:t>
      </w:r>
      <w:r w:rsidRPr="002B69F2">
        <w:rPr>
          <w:rStyle w:val="libFootnoteBoldChar"/>
          <w:rtl/>
        </w:rPr>
        <w:t>البحار</w:t>
      </w:r>
      <w:r w:rsidRPr="00132E65">
        <w:rPr>
          <w:rtl/>
        </w:rPr>
        <w:t xml:space="preserve"> ، ج 48 ، ص 9 ، ح 13 ، وفيه قطعة ؛ وص 206 ، ح 2.</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6348D1">
        <w:rPr>
          <w:rtl/>
        </w:rPr>
        <w:t>الْقُمِّيِّ</w:t>
      </w:r>
      <w:r w:rsidRPr="00132E65">
        <w:rPr>
          <w:rtl/>
          <w:lang w:bidi="fa-IR"/>
        </w:rPr>
        <w:t xml:space="preserve"> ، قَالَ : حَدَّثَنَا عِيسَى بْنُ عَبْدِ الرَّحْمنِ ، عَنْ أَبِيهِ ، قَالَ :</w:t>
      </w:r>
    </w:p>
    <w:p w:rsidR="000C39D1" w:rsidRPr="00132E65" w:rsidRDefault="000C39D1" w:rsidP="000C39D1">
      <w:pPr>
        <w:pStyle w:val="libNormal"/>
        <w:rPr>
          <w:rtl/>
          <w:lang w:bidi="fa-IR"/>
        </w:rPr>
      </w:pPr>
      <w:r w:rsidRPr="00132E65">
        <w:rPr>
          <w:rtl/>
          <w:lang w:bidi="fa-IR"/>
        </w:rPr>
        <w:t xml:space="preserve">دَخَلَ ابْنُ </w:t>
      </w:r>
      <w:r>
        <w:rPr>
          <w:rStyle w:val="libFootnotenumChar"/>
          <w:rtl/>
        </w:rPr>
        <w:t>(1)</w:t>
      </w:r>
      <w:r w:rsidRPr="00132E65">
        <w:rPr>
          <w:rtl/>
          <w:lang w:bidi="fa-IR"/>
        </w:rPr>
        <w:t xml:space="preserve"> عُكَّاشَةَ بْنِ مِحْصَنٍ الْأَسَدِيُّ </w:t>
      </w:r>
      <w:r>
        <w:rPr>
          <w:rStyle w:val="libFootnotenumChar"/>
          <w:rtl/>
        </w:rPr>
        <w:t>(2)</w:t>
      </w:r>
      <w:r w:rsidRPr="00132E65">
        <w:rPr>
          <w:rtl/>
          <w:lang w:bidi="fa-IR"/>
        </w:rPr>
        <w:t xml:space="preserve"> عَلى أَبِي جَعْفَرٍ </w:t>
      </w:r>
      <w:r w:rsidRPr="00071CF9">
        <w:rPr>
          <w:rStyle w:val="libAlaemChar"/>
          <w:rtl/>
        </w:rPr>
        <w:t>عليه‌السلام</w:t>
      </w:r>
      <w:r>
        <w:rPr>
          <w:rtl/>
          <w:lang w:bidi="fa-IR"/>
        </w:rPr>
        <w:t xml:space="preserve"> - </w:t>
      </w:r>
      <w:r w:rsidRPr="00132E65">
        <w:rPr>
          <w:rtl/>
          <w:lang w:bidi="fa-IR"/>
        </w:rPr>
        <w:t>و</w:t>
      </w:r>
      <w:r w:rsidR="002B69F2">
        <w:rPr>
          <w:rFonts w:hint="cs"/>
          <w:rtl/>
          <w:lang w:bidi="fa-IR"/>
        </w:rPr>
        <w:t>َ</w:t>
      </w:r>
      <w:r w:rsidRPr="00132E65">
        <w:rPr>
          <w:rtl/>
          <w:lang w:bidi="fa-IR"/>
        </w:rPr>
        <w:t xml:space="preserve">كَانَ </w:t>
      </w:r>
      <w:r>
        <w:rPr>
          <w:rStyle w:val="libFootnotenumChar"/>
          <w:rtl/>
        </w:rPr>
        <w:t>(3)</w:t>
      </w:r>
      <w:r w:rsidRPr="00132E65">
        <w:rPr>
          <w:rtl/>
          <w:lang w:bidi="fa-IR"/>
        </w:rPr>
        <w:t xml:space="preserve"> أَبُو عَبْدِ اللهِ </w:t>
      </w:r>
      <w:r w:rsidRPr="00071CF9">
        <w:rPr>
          <w:rStyle w:val="libAlaemChar"/>
          <w:rtl/>
        </w:rPr>
        <w:t>عليه‌السلام</w:t>
      </w:r>
      <w:r w:rsidRPr="00132E65">
        <w:rPr>
          <w:rtl/>
          <w:lang w:bidi="fa-IR"/>
        </w:rPr>
        <w:t xml:space="preserve"> قَائِماً عِنْدَهُ </w:t>
      </w:r>
      <w:r>
        <w:rPr>
          <w:rStyle w:val="libFootnotenumChar"/>
          <w:rtl/>
        </w:rPr>
        <w:t>(4)</w:t>
      </w:r>
      <w:r>
        <w:rPr>
          <w:rtl/>
          <w:lang w:bidi="fa-IR"/>
        </w:rPr>
        <w:t xml:space="preserve"> - </w:t>
      </w:r>
      <w:r w:rsidRPr="00132E65">
        <w:rPr>
          <w:rtl/>
          <w:lang w:bidi="fa-IR"/>
        </w:rPr>
        <w:t xml:space="preserve">فَقَدَّمَ إِلَيْهِ عِنَباً ، فَقَالَ </w:t>
      </w:r>
      <w:r>
        <w:rPr>
          <w:rStyle w:val="libFootnotenumChar"/>
          <w:rtl/>
        </w:rPr>
        <w:t>(5)</w:t>
      </w:r>
      <w:r w:rsidRPr="00132E65">
        <w:rPr>
          <w:rtl/>
          <w:lang w:bidi="fa-IR"/>
        </w:rPr>
        <w:t xml:space="preserve"> : « حَبَّةً حَبَّةً يَأْكُلُهُ </w:t>
      </w:r>
      <w:r>
        <w:rPr>
          <w:rStyle w:val="libFootnotenumChar"/>
          <w:rtl/>
        </w:rPr>
        <w:t>(6)</w:t>
      </w:r>
      <w:r w:rsidRPr="00132E65">
        <w:rPr>
          <w:rtl/>
          <w:lang w:bidi="fa-IR"/>
        </w:rPr>
        <w:t xml:space="preserve"> الشَّيْخُ الْكَبِيرُ و</w:t>
      </w:r>
      <w:r>
        <w:rPr>
          <w:rFonts w:hint="cs"/>
          <w:rtl/>
          <w:lang w:bidi="fa-IR"/>
        </w:rPr>
        <w:t xml:space="preserve"> </w:t>
      </w:r>
      <w:r>
        <w:rPr>
          <w:rStyle w:val="libFootnotenumChar"/>
          <w:rtl/>
        </w:rPr>
        <w:t>(7)</w:t>
      </w:r>
      <w:r w:rsidRPr="00132E65">
        <w:rPr>
          <w:rtl/>
          <w:lang w:bidi="fa-IR"/>
        </w:rPr>
        <w:t xml:space="preserve"> الصَّبِيُّ الصَّغِيرُ ، و</w:t>
      </w:r>
      <w:r w:rsidR="002B69F2">
        <w:rPr>
          <w:rFonts w:hint="cs"/>
          <w:rtl/>
          <w:lang w:bidi="fa-IR"/>
        </w:rPr>
        <w:t>َ</w:t>
      </w:r>
      <w:r w:rsidRPr="00132E65">
        <w:rPr>
          <w:rtl/>
          <w:lang w:bidi="fa-IR"/>
        </w:rPr>
        <w:t>ثَلَاثَةً و</w:t>
      </w:r>
      <w:r w:rsidR="002B69F2">
        <w:rPr>
          <w:rFonts w:hint="cs"/>
          <w:rtl/>
          <w:lang w:bidi="fa-IR"/>
        </w:rPr>
        <w:t>َ</w:t>
      </w:r>
      <w:r w:rsidRPr="00132E65">
        <w:rPr>
          <w:rtl/>
          <w:lang w:bidi="fa-IR"/>
        </w:rPr>
        <w:t xml:space="preserve">أَرْبَعَةً يَأْكُلُهُ </w:t>
      </w:r>
      <w:r>
        <w:rPr>
          <w:rStyle w:val="libFootnotenumChar"/>
          <w:rtl/>
        </w:rPr>
        <w:t>(8)</w:t>
      </w:r>
      <w:r w:rsidRPr="00132E65">
        <w:rPr>
          <w:rtl/>
          <w:lang w:bidi="fa-IR"/>
        </w:rPr>
        <w:t xml:space="preserve"> مَنْ يَظُنُّ أَنَّهُ لَايَشْبَعُ ، و</w:t>
      </w:r>
      <w:r w:rsidR="002B69F2">
        <w:rPr>
          <w:rFonts w:hint="cs"/>
          <w:rtl/>
          <w:lang w:bidi="fa-IR"/>
        </w:rPr>
        <w:t>َ</w:t>
      </w:r>
      <w:r w:rsidRPr="00132E65">
        <w:rPr>
          <w:rtl/>
          <w:lang w:bidi="fa-IR"/>
        </w:rPr>
        <w:t xml:space="preserve">كُلْهُ </w:t>
      </w:r>
      <w:r>
        <w:rPr>
          <w:rStyle w:val="libFootnotenumChar"/>
          <w:rtl/>
        </w:rPr>
        <w:t>(9)</w:t>
      </w:r>
      <w:r w:rsidRPr="00132E65">
        <w:rPr>
          <w:rtl/>
          <w:lang w:bidi="fa-IR"/>
        </w:rPr>
        <w:t xml:space="preserve"> حَبَّتَيْنِ حَبَّتَيْنِ ؛ فَإِنَّهُ يُسْتَحَبُّ </w:t>
      </w:r>
      <w:r>
        <w:rPr>
          <w:rStyle w:val="libFootnotenumChar"/>
          <w:rtl/>
        </w:rPr>
        <w:t>(10)</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فَقَالَ لِأَبِي جَعْفَرٍ </w:t>
      </w:r>
      <w:r w:rsidRPr="00071CF9">
        <w:rPr>
          <w:rStyle w:val="libAlaemChar"/>
          <w:rtl/>
        </w:rPr>
        <w:t>عليه‌السلام</w:t>
      </w:r>
      <w:r w:rsidRPr="00132E65">
        <w:rPr>
          <w:rtl/>
          <w:lang w:bidi="fa-IR"/>
        </w:rPr>
        <w:t xml:space="preserve"> : لِأَيِّ شَيْ‌ءٍ لَاتُزَوِّجُ أَبَا عَبْدِ اللهِ ، فَقَدْ أَدْرَكَ التَّزْوِيجَ</w:t>
      </w:r>
      <w:r>
        <w:rPr>
          <w:rtl/>
          <w:lang w:bidi="fa-IR"/>
        </w:rPr>
        <w:t>؟</w:t>
      </w:r>
      <w:r w:rsidRPr="00132E65">
        <w:rPr>
          <w:rtl/>
          <w:lang w:bidi="fa-IR"/>
        </w:rPr>
        <w:t xml:space="preserve"> قَالَ : و</w:t>
      </w:r>
      <w:r w:rsidR="002B69F2">
        <w:rPr>
          <w:rFonts w:hint="cs"/>
          <w:rtl/>
          <w:lang w:bidi="fa-IR"/>
        </w:rPr>
        <w:t>َ</w:t>
      </w:r>
      <w:r>
        <w:rPr>
          <w:rFonts w:hint="cs"/>
          <w:rtl/>
          <w:lang w:bidi="fa-IR"/>
        </w:rPr>
        <w:t xml:space="preserve"> </w:t>
      </w:r>
      <w:r>
        <w:rPr>
          <w:rStyle w:val="libFootnotenumChar"/>
          <w:rtl/>
        </w:rPr>
        <w:t>(11)</w:t>
      </w:r>
      <w:r w:rsidRPr="00132E65">
        <w:rPr>
          <w:rtl/>
          <w:lang w:bidi="fa-IR"/>
        </w:rPr>
        <w:t xml:space="preserve"> بَيْنَ يَدَيْهِ صُرَّةٌ </w:t>
      </w:r>
      <w:r>
        <w:rPr>
          <w:rStyle w:val="libFootnotenumChar"/>
          <w:rtl/>
        </w:rPr>
        <w:t>(12)</w:t>
      </w:r>
      <w:r w:rsidRPr="00132E65">
        <w:rPr>
          <w:rtl/>
          <w:lang w:bidi="fa-IR"/>
        </w:rPr>
        <w:t xml:space="preserve"> مَخْتُومَةٌ ، فَقَالَ : « أَمَا إِنَّهُ سَيَجِي‌ءُ نَخَّاسٌ </w:t>
      </w:r>
      <w:r w:rsidRPr="00F543F1">
        <w:rPr>
          <w:rStyle w:val="libFootnotenumChar"/>
          <w:rtl/>
        </w:rPr>
        <w:t>(13)</w:t>
      </w:r>
      <w:r w:rsidRPr="00132E65">
        <w:rPr>
          <w:rtl/>
          <w:lang w:bidi="fa-IR"/>
        </w:rPr>
        <w:t xml:space="preserve"> مِنْ أَهْلِ بَرْبَرَ </w:t>
      </w:r>
      <w:r w:rsidRPr="00F543F1">
        <w:rPr>
          <w:rStyle w:val="libFootnotenumChar"/>
          <w:rtl/>
        </w:rPr>
        <w:t>(14)</w:t>
      </w:r>
      <w:r w:rsidRPr="00132E65">
        <w:rPr>
          <w:rtl/>
          <w:lang w:bidi="fa-IR"/>
        </w:rPr>
        <w:t xml:space="preserve"> ، فَيَنْزِلُ دَارَ‌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يأتي صدر الخبر في </w:t>
      </w:r>
      <w:r w:rsidRPr="000577A7">
        <w:rPr>
          <w:rStyle w:val="libFootnoteBoldChar"/>
          <w:rtl/>
        </w:rPr>
        <w:t>الكافي</w:t>
      </w:r>
      <w:r w:rsidRPr="00132E65">
        <w:rPr>
          <w:rtl/>
        </w:rPr>
        <w:t xml:space="preserve"> ، ح 12002 ، عن الحسين بن محمّد ، عن معلّى بن محمّد ، عن عليّ بن السندي ، قال حدّثني عيسى بن أبي عبد الرحمن ، عن أبيه ، عن جدّه قال : دخل أبو عكاشة بن محصن الأسدي ؛ وكذا في الوسائل والبحار « أبو عكّاشة »</w:t>
      </w:r>
      <w:r>
        <w:rPr>
          <w:rtl/>
        </w:rPr>
        <w:t>.</w:t>
      </w:r>
      <w:r w:rsidRPr="00132E65">
        <w:rPr>
          <w:rtl/>
        </w:rPr>
        <w:t xml:space="preserve"> لكنّ الظاهر صحّة ما نحن فيه ؛ فإنّ عكّاشة بن مِحْصَن الأسدي كان من أصحاب رسول الله </w:t>
      </w:r>
      <w:r w:rsidRPr="002B69F2">
        <w:rPr>
          <w:rStyle w:val="libFootnoteAlaemChar"/>
          <w:rFonts w:eastAsiaTheme="minorHAnsi"/>
          <w:rtl/>
        </w:rPr>
        <w:t>صلى‌الله‌عليه‌وآله</w:t>
      </w:r>
      <w:r w:rsidRPr="00132E65">
        <w:rPr>
          <w:rtl/>
          <w:lang w:bidi="fa-IR"/>
        </w:rPr>
        <w:t xml:space="preserve"> </w:t>
      </w:r>
      <w:r w:rsidRPr="00132E65">
        <w:rPr>
          <w:rtl/>
        </w:rPr>
        <w:t xml:space="preserve">، وتوفّي في خلافة أبي بكر. راجع : </w:t>
      </w:r>
      <w:r w:rsidRPr="002B69F2">
        <w:rPr>
          <w:rStyle w:val="libFootnoteBoldChar"/>
          <w:rtl/>
        </w:rPr>
        <w:t>الجرح والتعديل</w:t>
      </w:r>
      <w:r w:rsidRPr="00132E65">
        <w:rPr>
          <w:rtl/>
        </w:rPr>
        <w:t xml:space="preserve"> ، ج 7 ، ص 39 ، الرقم 210 ؛ </w:t>
      </w:r>
      <w:r w:rsidRPr="006348D1">
        <w:rPr>
          <w:rtl/>
        </w:rPr>
        <w:t>الثقات</w:t>
      </w:r>
      <w:r w:rsidRPr="00132E65">
        <w:rPr>
          <w:rtl/>
        </w:rPr>
        <w:t xml:space="preserve"> لابن حبّان ، ج 3 ، ص 321 ؛ </w:t>
      </w:r>
      <w:r w:rsidRPr="002B69F2">
        <w:rPr>
          <w:rStyle w:val="libFootnoteBoldChar"/>
          <w:rtl/>
        </w:rPr>
        <w:t>سير أعلام النبلاء</w:t>
      </w:r>
      <w:r w:rsidRPr="00132E65">
        <w:rPr>
          <w:rtl/>
        </w:rPr>
        <w:t xml:space="preserve"> ، ج 1 ، ص 307 ، الرقم 60 ؛ </w:t>
      </w:r>
      <w:r w:rsidRPr="006348D1">
        <w:rPr>
          <w:rtl/>
        </w:rPr>
        <w:t>تاريخ الإسلام</w:t>
      </w:r>
      <w:r w:rsidRPr="00132E65">
        <w:rPr>
          <w:rtl/>
        </w:rPr>
        <w:t xml:space="preserve"> للذهبي ، ج 3 ، ص 50 ، ولم نجد في ما تتبّعنا من كتب الرجال والتراجم ، من يكنّى بأبي عكّاشة.</w:t>
      </w:r>
    </w:p>
    <w:p w:rsidR="000C39D1" w:rsidRPr="00132E65" w:rsidRDefault="000C39D1" w:rsidP="000C39D1">
      <w:pPr>
        <w:pStyle w:val="libFootnote0"/>
        <w:rPr>
          <w:rtl/>
          <w:lang w:bidi="fa-IR"/>
        </w:rPr>
      </w:pPr>
      <w:r w:rsidRPr="00661890">
        <w:rPr>
          <w:rtl/>
        </w:rPr>
        <w:t xml:space="preserve">فعليه ، الظاهر أنّ من دخل على أبي جعفر </w:t>
      </w:r>
      <w:r w:rsidRPr="00B10FB3">
        <w:rPr>
          <w:rStyle w:val="libFootnoteAlaemChar"/>
          <w:rtl/>
        </w:rPr>
        <w:t>عليه‌السلام</w:t>
      </w:r>
      <w:r w:rsidRPr="00661890">
        <w:rPr>
          <w:rtl/>
        </w:rPr>
        <w:t xml:space="preserve"> ، كان ابن عكّاشة أو حفيده المنسوب إلى جدّه.</w:t>
      </w:r>
    </w:p>
    <w:tbl>
      <w:tblPr>
        <w:tblStyle w:val="TableGrid"/>
        <w:bidiVisual/>
        <w:tblW w:w="0" w:type="auto"/>
        <w:tblLook w:val="04A0" w:firstRow="1" w:lastRow="0" w:firstColumn="1" w:lastColumn="0" w:noHBand="0" w:noVBand="1"/>
      </w:tblPr>
      <w:tblGrid>
        <w:gridCol w:w="4261"/>
        <w:gridCol w:w="4262"/>
      </w:tblGrid>
      <w:tr w:rsidR="00B10FB3" w:rsidTr="00B10FB3">
        <w:tc>
          <w:tcPr>
            <w:tcW w:w="4261" w:type="dxa"/>
          </w:tcPr>
          <w:p w:rsidR="00B10FB3" w:rsidRDefault="00B10FB3" w:rsidP="000C39D1">
            <w:pPr>
              <w:pStyle w:val="libFootnote0"/>
              <w:rPr>
                <w:rtl/>
              </w:rPr>
            </w:pPr>
            <w:r>
              <w:rPr>
                <w:rtl/>
              </w:rPr>
              <w:t>(2).</w:t>
            </w:r>
            <w:r w:rsidRPr="00132E65">
              <w:rPr>
                <w:rtl/>
              </w:rPr>
              <w:t xml:space="preserve"> في الوسائل </w:t>
            </w:r>
            <w:r>
              <w:rPr>
                <w:rtl/>
              </w:rPr>
              <w:t xml:space="preserve">: - </w:t>
            </w:r>
            <w:r w:rsidRPr="00132E65">
              <w:rPr>
                <w:rtl/>
              </w:rPr>
              <w:t>« الأسدي »</w:t>
            </w:r>
            <w:r>
              <w:rPr>
                <w:rtl/>
              </w:rPr>
              <w:t>.</w:t>
            </w:r>
          </w:p>
        </w:tc>
        <w:tc>
          <w:tcPr>
            <w:tcW w:w="4262" w:type="dxa"/>
          </w:tcPr>
          <w:p w:rsidR="00B10FB3" w:rsidRDefault="00B10FB3" w:rsidP="000C39D1">
            <w:pPr>
              <w:pStyle w:val="libFootnote0"/>
              <w:rPr>
                <w:rtl/>
              </w:rPr>
            </w:pPr>
            <w:r>
              <w:rPr>
                <w:rtl/>
              </w:rPr>
              <w:t>(3).</w:t>
            </w:r>
            <w:r w:rsidRPr="00132E65">
              <w:rPr>
                <w:rtl/>
              </w:rPr>
              <w:t xml:space="preserve"> في البحار : « فكان »</w:t>
            </w:r>
            <w:r>
              <w:rPr>
                <w:rtl/>
              </w:rPr>
              <w:t>.</w:t>
            </w:r>
          </w:p>
        </w:tc>
      </w:tr>
    </w:tbl>
    <w:p w:rsidR="000C39D1" w:rsidRPr="00132E65" w:rsidRDefault="000C39D1" w:rsidP="000C39D1">
      <w:pPr>
        <w:pStyle w:val="libFootnote0"/>
        <w:rPr>
          <w:rtl/>
          <w:lang w:bidi="fa-IR"/>
        </w:rPr>
      </w:pPr>
      <w:r>
        <w:rPr>
          <w:rtl/>
        </w:rPr>
        <w:t>(4).</w:t>
      </w:r>
      <w:r w:rsidRPr="00132E65">
        <w:rPr>
          <w:rtl/>
        </w:rPr>
        <w:t xml:space="preserve"> في </w:t>
      </w:r>
      <w:r w:rsidRPr="000577A7">
        <w:rPr>
          <w:rStyle w:val="libFootnoteBoldChar"/>
          <w:rtl/>
        </w:rPr>
        <w:t>الكافي</w:t>
      </w:r>
      <w:r w:rsidRPr="00132E65">
        <w:rPr>
          <w:rtl/>
        </w:rPr>
        <w:t xml:space="preserve"> ، ح 12002 ، والوسائل </w:t>
      </w:r>
      <w:r>
        <w:rPr>
          <w:rtl/>
        </w:rPr>
        <w:t xml:space="preserve">: - </w:t>
      </w:r>
      <w:r w:rsidRPr="00132E65">
        <w:rPr>
          <w:rtl/>
        </w:rPr>
        <w:t xml:space="preserve">« وكان أبو عبد الله </w:t>
      </w:r>
      <w:r w:rsidRPr="00B10FB3">
        <w:rPr>
          <w:rStyle w:val="libFootnoteAlaemChar"/>
          <w:rtl/>
        </w:rPr>
        <w:t>عليه‌السلام</w:t>
      </w:r>
      <w:r w:rsidRPr="00132E65">
        <w:rPr>
          <w:rtl/>
        </w:rPr>
        <w:t xml:space="preserve"> قائماً عنده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0577A7">
        <w:rPr>
          <w:rStyle w:val="libFootnoteBoldChar"/>
          <w:rtl/>
        </w:rPr>
        <w:t>الكافي</w:t>
      </w:r>
      <w:r w:rsidRPr="00132E65">
        <w:rPr>
          <w:rtl/>
        </w:rPr>
        <w:t xml:space="preserve"> ، ح 12002 : « وقال له »</w:t>
      </w:r>
      <w:r>
        <w:rPr>
          <w:rtl/>
        </w:rPr>
        <w:t>.</w:t>
      </w:r>
      <w:r w:rsidRPr="00132E65">
        <w:rPr>
          <w:rtl/>
        </w:rPr>
        <w:t xml:space="preserve"> وفي الوسائل : « فقال له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0577A7">
        <w:rPr>
          <w:rStyle w:val="libFootnoteBoldChar"/>
          <w:rtl/>
        </w:rPr>
        <w:t>الكافي</w:t>
      </w:r>
      <w:r w:rsidRPr="00132E65">
        <w:rPr>
          <w:rtl/>
        </w:rPr>
        <w:t xml:space="preserve"> ، ح 12002 ، والوسائل والبحار : « يأكل »</w:t>
      </w:r>
      <w:r>
        <w:rPr>
          <w:rtl/>
        </w:rPr>
        <w:t>.</w:t>
      </w:r>
    </w:p>
    <w:p w:rsidR="000C39D1" w:rsidRPr="00132E65" w:rsidRDefault="000C39D1" w:rsidP="000C39D1">
      <w:pPr>
        <w:pStyle w:val="libFootnote0"/>
        <w:rPr>
          <w:rtl/>
          <w:lang w:bidi="fa-IR"/>
        </w:rPr>
      </w:pPr>
      <w:r>
        <w:rPr>
          <w:rtl/>
        </w:rPr>
        <w:t>(7).</w:t>
      </w:r>
      <w:r w:rsidRPr="00132E65">
        <w:rPr>
          <w:rtl/>
        </w:rPr>
        <w:t xml:space="preserve"> في « ج ، ض ، ف ، بح ، بر ، بس ، بف » </w:t>
      </w:r>
      <w:r w:rsidRPr="00B10FB3">
        <w:rPr>
          <w:rtl/>
        </w:rPr>
        <w:t>والوافي</w:t>
      </w:r>
      <w:r w:rsidRPr="00132E65">
        <w:rPr>
          <w:rtl/>
        </w:rPr>
        <w:t xml:space="preserve"> والبحار : « أو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 ح 12002 : « يأكل »</w:t>
      </w:r>
      <w:r>
        <w:rPr>
          <w:rtl/>
        </w:rPr>
        <w:t>.</w:t>
      </w:r>
      <w:r w:rsidRPr="00132E65">
        <w:rPr>
          <w:rtl/>
        </w:rPr>
        <w:t xml:space="preserve"> وفي الوسائل والبحار </w:t>
      </w:r>
      <w:r>
        <w:rPr>
          <w:rtl/>
        </w:rPr>
        <w:t xml:space="preserve">: - </w:t>
      </w:r>
      <w:r w:rsidRPr="00132E65">
        <w:rPr>
          <w:rtl/>
        </w:rPr>
        <w:t>« يأكله »</w:t>
      </w:r>
      <w:r>
        <w:rPr>
          <w:rtl/>
        </w:rPr>
        <w:t>.</w:t>
      </w:r>
    </w:p>
    <w:tbl>
      <w:tblPr>
        <w:tblStyle w:val="TableGrid"/>
        <w:bidiVisual/>
        <w:tblW w:w="0" w:type="auto"/>
        <w:tblLook w:val="04A0" w:firstRow="1" w:lastRow="0" w:firstColumn="1" w:lastColumn="0" w:noHBand="0" w:noVBand="1"/>
      </w:tblPr>
      <w:tblGrid>
        <w:gridCol w:w="4261"/>
        <w:gridCol w:w="4262"/>
      </w:tblGrid>
      <w:tr w:rsidR="00B10FB3" w:rsidTr="00B10FB3">
        <w:tc>
          <w:tcPr>
            <w:tcW w:w="4261" w:type="dxa"/>
          </w:tcPr>
          <w:p w:rsidR="00B10FB3" w:rsidRDefault="00B10FB3" w:rsidP="000C39D1">
            <w:pPr>
              <w:pStyle w:val="libFootnote0"/>
              <w:rPr>
                <w:rtl/>
              </w:rPr>
            </w:pPr>
            <w:r>
              <w:rPr>
                <w:rtl/>
              </w:rPr>
              <w:t>(9).</w:t>
            </w:r>
            <w:r w:rsidRPr="00132E65">
              <w:rPr>
                <w:rtl/>
              </w:rPr>
              <w:t xml:space="preserve"> في البحار : « فكله »</w:t>
            </w:r>
            <w:r>
              <w:rPr>
                <w:rtl/>
              </w:rPr>
              <w:t>.</w:t>
            </w:r>
          </w:p>
        </w:tc>
        <w:tc>
          <w:tcPr>
            <w:tcW w:w="4262" w:type="dxa"/>
          </w:tcPr>
          <w:p w:rsidR="00B10FB3" w:rsidRDefault="00B10FB3" w:rsidP="000C39D1">
            <w:pPr>
              <w:pStyle w:val="libFootnote0"/>
              <w:rPr>
                <w:rtl/>
              </w:rPr>
            </w:pPr>
            <w:r>
              <w:rPr>
                <w:rtl/>
              </w:rPr>
              <w:t>(10).</w:t>
            </w:r>
            <w:r w:rsidRPr="00132E65">
              <w:rPr>
                <w:rtl/>
              </w:rPr>
              <w:t xml:space="preserve"> في </w:t>
            </w:r>
            <w:r w:rsidRPr="000577A7">
              <w:rPr>
                <w:rStyle w:val="libFootnoteBoldChar"/>
                <w:rtl/>
              </w:rPr>
              <w:t>الكافي</w:t>
            </w:r>
            <w:r w:rsidRPr="00132E65">
              <w:rPr>
                <w:rtl/>
              </w:rPr>
              <w:t xml:space="preserve"> ، ح 12002 : « مستحبّ »</w:t>
            </w:r>
            <w:r>
              <w:rPr>
                <w:rtl/>
              </w:rPr>
              <w:t>.</w:t>
            </w:r>
          </w:p>
        </w:tc>
      </w:tr>
    </w:tbl>
    <w:p w:rsidR="000C39D1" w:rsidRPr="00132E65" w:rsidRDefault="000C39D1" w:rsidP="000C39D1">
      <w:pPr>
        <w:pStyle w:val="libFootnote0"/>
        <w:rPr>
          <w:rtl/>
          <w:lang w:bidi="fa-IR"/>
        </w:rPr>
      </w:pPr>
      <w:r>
        <w:rPr>
          <w:rtl/>
        </w:rPr>
        <w:t>(11).</w:t>
      </w:r>
      <w:r w:rsidRPr="00132E65">
        <w:rPr>
          <w:rtl/>
        </w:rPr>
        <w:t xml:space="preserve"> في « بح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(12).</w:t>
      </w:r>
      <w:r w:rsidRPr="00132E65">
        <w:rPr>
          <w:rtl/>
        </w:rPr>
        <w:t xml:space="preserve"> « الصُرَّة » : هي ما يُصَرُّ فيه ، أي يُجْمَع فيه ، وصُرَّة الدراهم معروفة. راجع : </w:t>
      </w:r>
      <w:r w:rsidRPr="009D1ACE">
        <w:rPr>
          <w:rStyle w:val="libFootnoteBoldChar"/>
          <w:rtl/>
        </w:rPr>
        <w:t>لسان العرب</w:t>
      </w:r>
      <w:r w:rsidRPr="00132E65">
        <w:rPr>
          <w:rtl/>
        </w:rPr>
        <w:t xml:space="preserve"> ، ج 4 ، ص 451</w:t>
      </w:r>
      <w:r>
        <w:rPr>
          <w:rtl/>
        </w:rPr>
        <w:t xml:space="preserve"> - </w:t>
      </w:r>
      <w:r w:rsidRPr="00132E65">
        <w:rPr>
          <w:rtl/>
        </w:rPr>
        <w:t>452 ( صرر )</w:t>
      </w:r>
      <w:r>
        <w:rPr>
          <w:rtl/>
        </w:rPr>
        <w:t>.</w:t>
      </w:r>
    </w:p>
    <w:p w:rsidR="000C39D1" w:rsidRPr="00132E65" w:rsidRDefault="000C39D1" w:rsidP="000C39D1">
      <w:pPr>
        <w:pStyle w:val="libFootnote0"/>
        <w:rPr>
          <w:rtl/>
          <w:lang w:bidi="fa-IR"/>
        </w:rPr>
      </w:pPr>
      <w:r>
        <w:rPr>
          <w:rtl/>
        </w:rPr>
        <w:t>(13)</w:t>
      </w:r>
      <w:r w:rsidRPr="00132E65">
        <w:rPr>
          <w:rtl/>
        </w:rPr>
        <w:t xml:space="preserve"> « النَخّاس » : بائع الدوابّ ، سمّي بذلك لنخسه إيّاها حتّى تَنْشَط. ونَخْسُ الدابّة : غَرْزُ جنبها أو مؤخّرها بعود أو نحوه. وقد يسمّى بائع الرقيق نَخّاساً ، والأوّل هو الأصل. راجع : </w:t>
      </w:r>
      <w:r w:rsidRPr="009D1ACE">
        <w:rPr>
          <w:rStyle w:val="libFootnoteBoldChar"/>
          <w:rtl/>
        </w:rPr>
        <w:t>لسان العرب</w:t>
      </w:r>
      <w:r w:rsidRPr="00132E65">
        <w:rPr>
          <w:rtl/>
        </w:rPr>
        <w:t xml:space="preserve"> ، ج 6 ، ص 228 ( نخس )</w:t>
      </w:r>
      <w:r>
        <w:rPr>
          <w:rtl/>
        </w:rPr>
        <w:t>.</w:t>
      </w:r>
    </w:p>
    <w:p w:rsidR="000C39D1" w:rsidRPr="00132E65" w:rsidRDefault="000C39D1" w:rsidP="000C39D1">
      <w:pPr>
        <w:pStyle w:val="libFootnote0"/>
        <w:rPr>
          <w:rtl/>
          <w:lang w:bidi="fa-IR"/>
        </w:rPr>
      </w:pPr>
      <w:r>
        <w:rPr>
          <w:rtl/>
        </w:rPr>
        <w:t>(14)</w:t>
      </w:r>
      <w:r w:rsidRPr="00132E65">
        <w:rPr>
          <w:rtl/>
        </w:rPr>
        <w:t xml:space="preserve"> في « بف » : « بربرة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مَيْمُونٍ ، فَنَشْتَرِي </w:t>
      </w:r>
      <w:r>
        <w:rPr>
          <w:rStyle w:val="libFootnotenumChar"/>
          <w:rtl/>
        </w:rPr>
        <w:t>(1)</w:t>
      </w:r>
      <w:r w:rsidRPr="00132E65">
        <w:rPr>
          <w:rtl/>
          <w:lang w:bidi="fa-IR"/>
        </w:rPr>
        <w:t xml:space="preserve"> لَهُ </w:t>
      </w:r>
      <w:r>
        <w:rPr>
          <w:rStyle w:val="libFootnotenumChar"/>
          <w:rtl/>
        </w:rPr>
        <w:t>(2)</w:t>
      </w:r>
      <w:r w:rsidRPr="00132E65">
        <w:rPr>
          <w:rtl/>
          <w:lang w:bidi="fa-IR"/>
        </w:rPr>
        <w:t xml:space="preserve"> بِهذِهِ الصُّرَّةِ جَارِيَةً »</w:t>
      </w:r>
      <w:r>
        <w:rPr>
          <w:rtl/>
          <w:lang w:bidi="fa-IR"/>
        </w:rPr>
        <w:t>.</w:t>
      </w:r>
    </w:p>
    <w:p w:rsidR="000C39D1" w:rsidRPr="00132E65" w:rsidRDefault="000C39D1" w:rsidP="000C39D1">
      <w:pPr>
        <w:pStyle w:val="libNormal"/>
        <w:rPr>
          <w:rtl/>
          <w:lang w:bidi="fa-IR"/>
        </w:rPr>
      </w:pPr>
      <w:r w:rsidRPr="00132E65">
        <w:rPr>
          <w:rtl/>
          <w:lang w:bidi="fa-IR"/>
        </w:rPr>
        <w:t xml:space="preserve">قَالَ : فَأَتى لِذلِكَ مَا أَتى ، فَدَخَلْنَا يَوْماً عَلى أَبِي جَعْفَرٍ </w:t>
      </w:r>
      <w:r w:rsidRPr="00071CF9">
        <w:rPr>
          <w:rStyle w:val="libAlaemChar"/>
          <w:rtl/>
        </w:rPr>
        <w:t>عليه‌السلام</w:t>
      </w:r>
      <w:r>
        <w:rPr>
          <w:rtl/>
          <w:lang w:bidi="fa-IR"/>
        </w:rPr>
        <w:t xml:space="preserve"> ، فَقَالَ : « أَ</w:t>
      </w:r>
      <w:r w:rsidRPr="00132E65">
        <w:rPr>
          <w:rtl/>
          <w:lang w:bidi="fa-IR"/>
        </w:rPr>
        <w:t>لَا</w:t>
      </w:r>
      <w:r>
        <w:rPr>
          <w:rFonts w:hint="cs"/>
          <w:rtl/>
          <w:lang w:bidi="fa-IR"/>
        </w:rPr>
        <w:t xml:space="preserve"> </w:t>
      </w:r>
      <w:r w:rsidRPr="00132E65">
        <w:rPr>
          <w:rtl/>
          <w:lang w:bidi="fa-IR"/>
        </w:rPr>
        <w:t>أُخْبِرُكُمْ عَنِ النَّخَّاسِ الَّذِي ذَكَرْتُهُ لَكُمْ قَدْ قَدِمَ ، فَاذْهَبُوا ، فَاشْتَرُوا بِهذِهِ الصُّرَّةِ مِنْهُ جَارِيَةً »</w:t>
      </w:r>
      <w:r>
        <w:rPr>
          <w:rtl/>
          <w:lang w:bidi="fa-IR"/>
        </w:rPr>
        <w:t>.</w:t>
      </w:r>
    </w:p>
    <w:p w:rsidR="000C39D1" w:rsidRPr="00132E65" w:rsidRDefault="000C39D1" w:rsidP="000C39D1">
      <w:pPr>
        <w:pStyle w:val="libNormal"/>
        <w:rPr>
          <w:rtl/>
          <w:lang w:bidi="fa-IR"/>
        </w:rPr>
      </w:pPr>
      <w:r w:rsidRPr="00132E65">
        <w:rPr>
          <w:rtl/>
          <w:lang w:bidi="fa-IR"/>
        </w:rPr>
        <w:t>قَالَ : فَأَتَيْنَا النَّخَّاسَ ، فَقَالَ : قَدْ بِعْتُ مَا كَانَ ع</w:t>
      </w:r>
      <w:r w:rsidR="00B10FB3">
        <w:rPr>
          <w:rtl/>
          <w:lang w:bidi="fa-IR"/>
        </w:rPr>
        <w:t>ِنْدِي إِل</w:t>
      </w:r>
      <w:r w:rsidR="00B10FB3">
        <w:rPr>
          <w:rFonts w:hint="cs"/>
          <w:rtl/>
          <w:lang w:bidi="fa-IR"/>
        </w:rPr>
        <w:t>َّ</w:t>
      </w:r>
      <w:r w:rsidR="00B10FB3">
        <w:rPr>
          <w:rtl/>
          <w:lang w:bidi="fa-IR"/>
        </w:rPr>
        <w:t>ا</w:t>
      </w:r>
      <w:r w:rsidRPr="00132E65">
        <w:rPr>
          <w:rtl/>
          <w:lang w:bidi="fa-IR"/>
        </w:rPr>
        <w:t xml:space="preserve"> جَارِيَتَيْنِ مَرِيضَتَيْنِ إِحْدَاهُمَا أَمْثَلُ </w:t>
      </w:r>
      <w:r>
        <w:rPr>
          <w:rStyle w:val="libFootnotenumChar"/>
          <w:rtl/>
        </w:rPr>
        <w:t>(3)</w:t>
      </w:r>
      <w:r w:rsidRPr="00132E65">
        <w:rPr>
          <w:rtl/>
          <w:lang w:bidi="fa-IR"/>
        </w:rPr>
        <w:t xml:space="preserve"> مِنَ الْأُخْرى ، قُلْنَا : فَأَخْرِجْهُمَا حَتّى نَنْظُرَ </w:t>
      </w:r>
      <w:r>
        <w:rPr>
          <w:rStyle w:val="libFootnotenumChar"/>
          <w:rtl/>
        </w:rPr>
        <w:t>(4)</w:t>
      </w:r>
      <w:r w:rsidRPr="00132E65">
        <w:rPr>
          <w:rtl/>
          <w:lang w:bidi="fa-IR"/>
        </w:rPr>
        <w:t xml:space="preserve"> إِلَيْهِمَا ، فَأَخْرَجَهُمَا ، فَقُلْنَا : بِكَمْ تَبِيعُنَا هذِهِ الْمُتَمَاثِلَةَ </w:t>
      </w:r>
      <w:r>
        <w:rPr>
          <w:rStyle w:val="libFootnotenumChar"/>
          <w:rtl/>
        </w:rPr>
        <w:t>(5)</w:t>
      </w:r>
      <w:r>
        <w:rPr>
          <w:rtl/>
          <w:lang w:bidi="fa-IR"/>
        </w:rPr>
        <w:t>؟</w:t>
      </w:r>
      <w:r w:rsidRPr="00132E65">
        <w:rPr>
          <w:rtl/>
          <w:lang w:bidi="fa-IR"/>
        </w:rPr>
        <w:t xml:space="preserve"> قَالَ : بِسَبْعِينَ دِينَاراً قُلْنَا : أَحْسِنْ </w:t>
      </w:r>
      <w:r>
        <w:rPr>
          <w:rStyle w:val="libFootnotenumChar"/>
          <w:rtl/>
        </w:rPr>
        <w:t>(6)</w:t>
      </w:r>
      <w:r w:rsidRPr="00132E65">
        <w:rPr>
          <w:rtl/>
          <w:lang w:bidi="fa-IR"/>
        </w:rPr>
        <w:t xml:space="preserve"> ، قَالَ : لَا</w:t>
      </w:r>
      <w:r>
        <w:rPr>
          <w:rFonts w:hint="cs"/>
          <w:rtl/>
          <w:lang w:bidi="fa-IR"/>
        </w:rPr>
        <w:t xml:space="preserve"> </w:t>
      </w:r>
      <w:r w:rsidRPr="00132E65">
        <w:rPr>
          <w:rtl/>
          <w:lang w:bidi="fa-IR"/>
        </w:rPr>
        <w:t>أَنْقُصُ مِنْ سَبْعِينَ دِينَاراً ، قُلْنَا لَهُ : نَشْتَرِيهَا مِنْكَ بِهذِهِ الصُّرَّةِ مَا بَلَغَتْ ، ولَانَدْرِي مَا فِيهَا ، وكَانَ عِنْدَهُ رَجُلٌ أَبْيَضُ الرَّأْسِ واللِّحْيَةِ ، قَالَ : فُكُّوا ، و</w:t>
      </w:r>
      <w:r w:rsidR="00B10FB3">
        <w:rPr>
          <w:rFonts w:hint="cs"/>
          <w:rtl/>
          <w:lang w:bidi="fa-IR"/>
        </w:rPr>
        <w:t>َ</w:t>
      </w:r>
      <w:r w:rsidRPr="00132E65">
        <w:rPr>
          <w:rtl/>
          <w:lang w:bidi="fa-IR"/>
        </w:rPr>
        <w:t xml:space="preserve">زِنُوا ، فَقَالَ النَّخَّاسُ : لَاتَفُكُّوا ؛ فَإِنَّهَا إِنْ نَقَصَتْ حَبَّةً مِنْ سَبْعِينَ دِينَاراً لَمْ أُبَايِعْكُمْ ، فَقَالَ الشَّيْخُ : ادْنُوا </w:t>
      </w:r>
      <w:r>
        <w:rPr>
          <w:rStyle w:val="libFootnotenumChar"/>
          <w:rtl/>
        </w:rPr>
        <w:t>(7)</w:t>
      </w:r>
      <w:r w:rsidRPr="00132E65">
        <w:rPr>
          <w:rtl/>
          <w:lang w:bidi="fa-IR"/>
        </w:rPr>
        <w:t xml:space="preserve"> ، فَدَنَوْنَا ، و</w:t>
      </w:r>
      <w:r w:rsidR="00B10FB3">
        <w:rPr>
          <w:rFonts w:hint="cs"/>
          <w:rtl/>
          <w:lang w:bidi="fa-IR"/>
        </w:rPr>
        <w:t>َ</w:t>
      </w:r>
      <w:r w:rsidRPr="00132E65">
        <w:rPr>
          <w:rtl/>
          <w:lang w:bidi="fa-IR"/>
        </w:rPr>
        <w:t>فَكَكْنَا الْخَاتَمَ ، و</w:t>
      </w:r>
      <w:r w:rsidR="00B10FB3">
        <w:rPr>
          <w:rFonts w:hint="cs"/>
          <w:rtl/>
          <w:lang w:bidi="fa-IR"/>
        </w:rPr>
        <w:t xml:space="preserve">َ </w:t>
      </w:r>
      <w:r w:rsidR="00B10FB3">
        <w:rPr>
          <w:rtl/>
          <w:lang w:bidi="fa-IR"/>
        </w:rPr>
        <w:t>و</w:t>
      </w:r>
      <w:r w:rsidR="00B10FB3">
        <w:rPr>
          <w:rFonts w:hint="cs"/>
          <w:rtl/>
          <w:lang w:bidi="fa-IR"/>
        </w:rPr>
        <w:t>َ</w:t>
      </w:r>
      <w:r w:rsidRPr="00132E65">
        <w:rPr>
          <w:rtl/>
          <w:lang w:bidi="fa-IR"/>
        </w:rPr>
        <w:t xml:space="preserve">زَنَّا الدَّنَانِيرَ ، فَإِذَا </w:t>
      </w:r>
      <w:r>
        <w:rPr>
          <w:rStyle w:val="libFootnotenumChar"/>
          <w:rtl/>
        </w:rPr>
        <w:t>(8)</w:t>
      </w:r>
      <w:r w:rsidRPr="00132E65">
        <w:rPr>
          <w:rtl/>
          <w:lang w:bidi="fa-IR"/>
        </w:rPr>
        <w:t xml:space="preserve"> هِيَ سَبْعُونَ دِينَاراً لَاتَزِيدُ ولَاتَنْقُصُ.</w:t>
      </w:r>
    </w:p>
    <w:p w:rsidR="000C39D1" w:rsidRPr="00132E65" w:rsidRDefault="000C39D1" w:rsidP="000C39D1">
      <w:pPr>
        <w:pStyle w:val="libNormal"/>
        <w:rPr>
          <w:rtl/>
          <w:lang w:bidi="fa-IR"/>
        </w:rPr>
      </w:pPr>
      <w:r w:rsidRPr="00132E65">
        <w:rPr>
          <w:rtl/>
          <w:lang w:bidi="fa-IR"/>
        </w:rPr>
        <w:t xml:space="preserve">فَأَخَذْنَا الْجَارِيَةَ ، فَأَدْخَلْنَاهَا عَلى أَبِي جَعْفَرٍ </w:t>
      </w:r>
      <w:r w:rsidRPr="00071CF9">
        <w:rPr>
          <w:rStyle w:val="libAlaemChar"/>
          <w:rtl/>
        </w:rPr>
        <w:t>عليه‌السلام</w:t>
      </w:r>
      <w:r>
        <w:rPr>
          <w:rtl/>
          <w:lang w:bidi="fa-IR"/>
        </w:rPr>
        <w:t xml:space="preserve"> - </w:t>
      </w:r>
      <w:r w:rsidRPr="00132E65">
        <w:rPr>
          <w:rtl/>
          <w:lang w:bidi="fa-IR"/>
        </w:rPr>
        <w:t>و</w:t>
      </w:r>
      <w:r w:rsidR="00B10FB3">
        <w:rPr>
          <w:rFonts w:hint="cs"/>
          <w:rtl/>
          <w:lang w:bidi="fa-IR"/>
        </w:rPr>
        <w:t>َ</w:t>
      </w:r>
      <w:r w:rsidRPr="00132E65">
        <w:rPr>
          <w:rtl/>
          <w:lang w:bidi="fa-IR"/>
        </w:rPr>
        <w:t>جَعْفَرٌ قَائِمٌ عِنْدَهُ</w:t>
      </w:r>
      <w:r>
        <w:rPr>
          <w:rtl/>
          <w:lang w:bidi="fa-IR"/>
        </w:rPr>
        <w:t xml:space="preserve"> - </w:t>
      </w:r>
      <w:r w:rsidRPr="00132E65">
        <w:rPr>
          <w:rtl/>
          <w:lang w:bidi="fa-IR"/>
        </w:rPr>
        <w:t>فَأَخْبَرْنَا أَبَا جَعْفَرٍ بِمَا كَانَ ، فَحَمِدَ اللهَ و</w:t>
      </w:r>
      <w:r w:rsidR="00B10FB3">
        <w:rPr>
          <w:rFonts w:hint="cs"/>
          <w:rtl/>
          <w:lang w:bidi="fa-IR"/>
        </w:rPr>
        <w:t>َ</w:t>
      </w:r>
      <w:r w:rsidRPr="00132E65">
        <w:rPr>
          <w:rtl/>
          <w:lang w:bidi="fa-IR"/>
        </w:rPr>
        <w:t>أَثْنى عَلَيْهِ ، ثُمَّ قَالَ لَهَا : « مَا اسْمُكِ</w:t>
      </w:r>
      <w:r>
        <w:rPr>
          <w:rtl/>
          <w:lang w:bidi="fa-IR"/>
        </w:rPr>
        <w:t>؟</w:t>
      </w:r>
      <w:r w:rsidRPr="00132E65">
        <w:rPr>
          <w:rtl/>
          <w:lang w:bidi="fa-IR"/>
        </w:rPr>
        <w:t xml:space="preserve"> » قَالَتْ : حَمِيدَةُ ، فَقَالَ : « حَمِيدَةٌ فِي الدُّنْيَا ، مَحْمُودَةٌ فِي الْآخِ</w:t>
      </w:r>
      <w:r>
        <w:rPr>
          <w:rtl/>
          <w:lang w:bidi="fa-IR"/>
        </w:rPr>
        <w:t>رَةِ ، أَخْبِرِينِي عَنْكِ : أَ</w:t>
      </w:r>
      <w:r w:rsidRPr="00132E65">
        <w:rPr>
          <w:rtl/>
          <w:lang w:bidi="fa-IR"/>
        </w:rPr>
        <w:t>بِكْرٌ أَنْتِ أَمْ ثَيِّبٌ</w:t>
      </w:r>
      <w:r>
        <w:rPr>
          <w:rtl/>
          <w:lang w:bidi="fa-IR"/>
        </w:rPr>
        <w:t>؟</w:t>
      </w:r>
      <w:r w:rsidRPr="00132E65">
        <w:rPr>
          <w:rtl/>
          <w:lang w:bidi="fa-IR"/>
        </w:rPr>
        <w:t xml:space="preserve"> » قَالَتْ </w:t>
      </w:r>
      <w:r>
        <w:rPr>
          <w:rStyle w:val="libFootnotenumChar"/>
          <w:rtl/>
        </w:rPr>
        <w:t>(9)</w:t>
      </w:r>
      <w:r w:rsidRPr="00132E65">
        <w:rPr>
          <w:rtl/>
          <w:lang w:bidi="fa-IR"/>
        </w:rPr>
        <w:t xml:space="preserve"> : بِكْرٌ ، قَالَ : « وَكَيْفَ و</w:t>
      </w:r>
      <w:r w:rsidR="00B10FB3">
        <w:rPr>
          <w:rFonts w:hint="cs"/>
          <w:rtl/>
          <w:lang w:bidi="fa-IR"/>
        </w:rPr>
        <w:t>َ</w:t>
      </w:r>
      <w:r w:rsidRPr="00132E65">
        <w:rPr>
          <w:rtl/>
          <w:lang w:bidi="fa-IR"/>
        </w:rPr>
        <w:t xml:space="preserve">لَايَقَعُ فِي أَيْدِي </w:t>
      </w:r>
      <w:r>
        <w:rPr>
          <w:rStyle w:val="libFootnotenumChar"/>
          <w:rtl/>
        </w:rPr>
        <w:t>(10)</w:t>
      </w:r>
      <w:r w:rsidR="00B10FB3">
        <w:rPr>
          <w:rtl/>
          <w:lang w:bidi="fa-IR"/>
        </w:rPr>
        <w:t xml:space="preserve"> النَّخَّاسِينَ شَيْ‌ءٌ إِل</w:t>
      </w:r>
      <w:r w:rsidR="00B10FB3">
        <w:rPr>
          <w:rFonts w:hint="cs"/>
          <w:rtl/>
          <w:lang w:bidi="fa-IR"/>
        </w:rPr>
        <w:t>َّ</w:t>
      </w:r>
      <w:r w:rsidR="00B10FB3">
        <w:rPr>
          <w:rtl/>
          <w:lang w:bidi="fa-IR"/>
        </w:rPr>
        <w:t>ا</w:t>
      </w:r>
      <w:r w:rsidRPr="00132E65">
        <w:rPr>
          <w:rtl/>
          <w:lang w:bidi="fa-IR"/>
        </w:rPr>
        <w:t xml:space="preserve"> أَفْسَدُوهُ</w:t>
      </w:r>
      <w:r>
        <w:rPr>
          <w:rtl/>
          <w:lang w:bidi="fa-IR"/>
        </w:rPr>
        <w:t>؟!</w:t>
      </w:r>
      <w:r w:rsidRPr="00132E65">
        <w:rPr>
          <w:rtl/>
          <w:lang w:bidi="fa-IR"/>
        </w:rPr>
        <w:t xml:space="preserve"> » فَقَالَتْ :</w:t>
      </w:r>
      <w:r>
        <w:rPr>
          <w:rFonts w:hint="cs"/>
          <w:rtl/>
          <w:lang w:bidi="fa-IR"/>
        </w:rPr>
        <w:t xml:space="preserve"> </w:t>
      </w:r>
      <w:r w:rsidRPr="00132E65">
        <w:rPr>
          <w:rtl/>
          <w:lang w:bidi="fa-IR"/>
        </w:rPr>
        <w:t xml:space="preserve">قَدْ </w:t>
      </w:r>
      <w:r>
        <w:rPr>
          <w:rStyle w:val="libFootnotenumChar"/>
          <w:rtl/>
        </w:rPr>
        <w:t>(11)</w:t>
      </w:r>
      <w:r w:rsidRPr="00132E65">
        <w:rPr>
          <w:rtl/>
          <w:lang w:bidi="fa-IR"/>
        </w:rPr>
        <w:t xml:space="preserve"> كَانَ يَجِيئُنِي ، فَيَقْعُدُ مِنِّي مَقْعَدَ الرَّجُلِ مِنَ الْمَرْأَةِ ، فَيُسَلِّطُ اللهُ عَلَيْهِ رَجُلاً أَبْيَضَ‌</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B10FB3" w:rsidTr="00B10FB3">
        <w:tc>
          <w:tcPr>
            <w:tcW w:w="4261" w:type="dxa"/>
          </w:tcPr>
          <w:p w:rsidR="00B10FB3" w:rsidRDefault="00B10FB3" w:rsidP="000C39D1">
            <w:pPr>
              <w:pStyle w:val="libFootnote0"/>
              <w:rPr>
                <w:rtl/>
              </w:rPr>
            </w:pPr>
            <w:r>
              <w:rPr>
                <w:rtl/>
              </w:rPr>
              <w:t>(1).</w:t>
            </w:r>
            <w:r w:rsidRPr="00132E65">
              <w:rPr>
                <w:rtl/>
              </w:rPr>
              <w:t xml:space="preserve"> في « بس ، بف » : « فيشتري »</w:t>
            </w:r>
            <w:r>
              <w:rPr>
                <w:rtl/>
              </w:rPr>
              <w:t>.</w:t>
            </w:r>
          </w:p>
        </w:tc>
        <w:tc>
          <w:tcPr>
            <w:tcW w:w="4262" w:type="dxa"/>
          </w:tcPr>
          <w:p w:rsidR="00B10FB3" w:rsidRDefault="00B10FB3" w:rsidP="000C39D1">
            <w:pPr>
              <w:pStyle w:val="libFootnote0"/>
              <w:rPr>
                <w:rtl/>
              </w:rPr>
            </w:pPr>
            <w:r>
              <w:rPr>
                <w:rtl/>
              </w:rPr>
              <w:t>(2).</w:t>
            </w:r>
            <w:r w:rsidRPr="00132E65">
              <w:rPr>
                <w:rtl/>
              </w:rPr>
              <w:t xml:space="preserve"> في « بس » وحاشية « ج ، ض ، بح » : « لي »</w:t>
            </w:r>
            <w:r>
              <w:rPr>
                <w:rtl/>
              </w:rPr>
              <w:t>.</w:t>
            </w:r>
          </w:p>
        </w:tc>
      </w:tr>
    </w:tbl>
    <w:p w:rsidR="000C39D1" w:rsidRPr="00132E65" w:rsidRDefault="000C39D1" w:rsidP="00B10FB3">
      <w:pPr>
        <w:pStyle w:val="libFootnote0"/>
        <w:rPr>
          <w:rtl/>
          <w:lang w:bidi="fa-IR"/>
        </w:rPr>
      </w:pPr>
      <w:r>
        <w:rPr>
          <w:rtl/>
        </w:rPr>
        <w:t>(3).</w:t>
      </w:r>
      <w:r w:rsidRPr="00132E65">
        <w:rPr>
          <w:rtl/>
        </w:rPr>
        <w:t xml:space="preserve"> في حاشية « ض » : « أحسن »</w:t>
      </w:r>
      <w:r>
        <w:rPr>
          <w:rtl/>
        </w:rPr>
        <w:t>.</w:t>
      </w:r>
      <w:r w:rsidRPr="00132E65">
        <w:rPr>
          <w:rtl/>
        </w:rPr>
        <w:t xml:space="preserve"> ويقال : هذا أمثل من هذا ، أي أفضل وأدنى إلى الخير. وأماثِل الناس : خيارهم. راجع : </w:t>
      </w:r>
      <w:r w:rsidRPr="00B10FB3">
        <w:rPr>
          <w:rStyle w:val="libFootnoteBoldChar"/>
          <w:rtl/>
        </w:rPr>
        <w:t>النهاية</w:t>
      </w:r>
      <w:r w:rsidRPr="00132E65">
        <w:rPr>
          <w:rtl/>
        </w:rPr>
        <w:t xml:space="preserve"> ، ج 4 ، ص 296 ( مثل )</w:t>
      </w:r>
      <w:r>
        <w:rPr>
          <w:rtl/>
        </w:rPr>
        <w:t>.</w:t>
      </w:r>
      <w:r w:rsidR="00B10FB3">
        <w:rPr>
          <w:rFonts w:hint="cs"/>
          <w:rtl/>
        </w:rPr>
        <w:t xml:space="preserve">                  </w:t>
      </w:r>
      <w:r>
        <w:rPr>
          <w:rtl/>
        </w:rPr>
        <w:t>(4).</w:t>
      </w:r>
      <w:r w:rsidRPr="00132E65">
        <w:rPr>
          <w:rtl/>
        </w:rPr>
        <w:t xml:space="preserve"> في « بح » : « ينظر »</w:t>
      </w:r>
      <w:r>
        <w:rPr>
          <w:rtl/>
        </w:rPr>
        <w:t>.</w:t>
      </w:r>
    </w:p>
    <w:p w:rsidR="000C39D1" w:rsidRPr="00132E65" w:rsidRDefault="000C39D1" w:rsidP="000C39D1">
      <w:pPr>
        <w:pStyle w:val="libFootnote0"/>
        <w:rPr>
          <w:rtl/>
          <w:lang w:bidi="fa-IR"/>
        </w:rPr>
      </w:pPr>
      <w:r>
        <w:rPr>
          <w:rtl/>
        </w:rPr>
        <w:t>(5).</w:t>
      </w:r>
      <w:r w:rsidRPr="00132E65">
        <w:rPr>
          <w:rtl/>
        </w:rPr>
        <w:t xml:space="preserve"> في حاشية « بر » : « المماثلة »</w:t>
      </w:r>
      <w:r>
        <w:rPr>
          <w:rtl/>
        </w:rPr>
        <w:t>.</w:t>
      </w:r>
    </w:p>
    <w:p w:rsidR="000C39D1" w:rsidRPr="00132E65" w:rsidRDefault="000C39D1" w:rsidP="00B10FB3">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ج 6 ، ص 39 : « قلنا : أحسن ، أمر ، أي انقص شيئاً. وقيل : أفعل التفضيل بتقدير : قل أحْسَنَ ممّا قلت »</w:t>
      </w:r>
      <w:r>
        <w:rPr>
          <w:rtl/>
        </w:rPr>
        <w:t>.</w:t>
      </w:r>
      <w:r w:rsidR="00B10FB3">
        <w:rPr>
          <w:rFonts w:hint="cs"/>
          <w:rtl/>
        </w:rPr>
        <w:t xml:space="preserve">                                                   </w:t>
      </w:r>
      <w:r>
        <w:rPr>
          <w:rtl/>
        </w:rPr>
        <w:t>(7).</w:t>
      </w:r>
      <w:r w:rsidRPr="00132E65">
        <w:rPr>
          <w:rtl/>
        </w:rPr>
        <w:t xml:space="preserve"> في « ف »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261"/>
        <w:gridCol w:w="4262"/>
      </w:tblGrid>
      <w:tr w:rsidR="00B10FB3" w:rsidTr="00B10FB3">
        <w:tc>
          <w:tcPr>
            <w:tcW w:w="4261" w:type="dxa"/>
          </w:tcPr>
          <w:p w:rsidR="00B10FB3" w:rsidRDefault="00B10FB3" w:rsidP="000C39D1">
            <w:pPr>
              <w:pStyle w:val="libFootnote0"/>
              <w:rPr>
                <w:rtl/>
              </w:rPr>
            </w:pPr>
            <w:r>
              <w:rPr>
                <w:rtl/>
              </w:rPr>
              <w:t>(8).</w:t>
            </w:r>
            <w:r w:rsidRPr="00132E65">
              <w:rPr>
                <w:rtl/>
              </w:rPr>
              <w:t xml:space="preserve"> في « ف » : « فإذاً »</w:t>
            </w:r>
            <w:r>
              <w:rPr>
                <w:rtl/>
              </w:rPr>
              <w:t>.</w:t>
            </w:r>
          </w:p>
        </w:tc>
        <w:tc>
          <w:tcPr>
            <w:tcW w:w="4262" w:type="dxa"/>
          </w:tcPr>
          <w:p w:rsidR="00B10FB3" w:rsidRDefault="00B10FB3" w:rsidP="000C39D1">
            <w:pPr>
              <w:pStyle w:val="libFootnote0"/>
              <w:rPr>
                <w:rtl/>
              </w:rPr>
            </w:pPr>
            <w:r>
              <w:rPr>
                <w:rtl/>
              </w:rPr>
              <w:t>(9).</w:t>
            </w:r>
            <w:r w:rsidRPr="00132E65">
              <w:rPr>
                <w:rtl/>
              </w:rPr>
              <w:t xml:space="preserve"> في « بر » </w:t>
            </w:r>
            <w:r w:rsidRPr="00B10FB3">
              <w:rPr>
                <w:rtl/>
              </w:rPr>
              <w:t>والوافي</w:t>
            </w:r>
            <w:r w:rsidRPr="00132E65">
              <w:rPr>
                <w:rtl/>
              </w:rPr>
              <w:t xml:space="preserve"> : « فقالت »</w:t>
            </w:r>
            <w:r>
              <w:rPr>
                <w:rtl/>
              </w:rPr>
              <w:t>.</w:t>
            </w:r>
          </w:p>
        </w:tc>
      </w:tr>
      <w:tr w:rsidR="00B10FB3" w:rsidTr="00B10FB3">
        <w:tc>
          <w:tcPr>
            <w:tcW w:w="4261" w:type="dxa"/>
          </w:tcPr>
          <w:p w:rsidR="00B10FB3" w:rsidRDefault="00B10FB3" w:rsidP="000C39D1">
            <w:pPr>
              <w:pStyle w:val="libFootnote0"/>
              <w:rPr>
                <w:rtl/>
              </w:rPr>
            </w:pPr>
            <w:r>
              <w:rPr>
                <w:rtl/>
              </w:rPr>
              <w:t>(10).</w:t>
            </w:r>
            <w:r w:rsidRPr="00132E65">
              <w:rPr>
                <w:rtl/>
              </w:rPr>
              <w:t xml:space="preserve"> في « بس » : « يدي »</w:t>
            </w:r>
            <w:r>
              <w:rPr>
                <w:rtl/>
              </w:rPr>
              <w:t>.</w:t>
            </w:r>
          </w:p>
        </w:tc>
        <w:tc>
          <w:tcPr>
            <w:tcW w:w="4262" w:type="dxa"/>
          </w:tcPr>
          <w:p w:rsidR="00B10FB3" w:rsidRDefault="00B10FB3" w:rsidP="000C39D1">
            <w:pPr>
              <w:pStyle w:val="libFootnote0"/>
              <w:rPr>
                <w:rtl/>
              </w:rPr>
            </w:pPr>
            <w:r>
              <w:rPr>
                <w:rtl/>
              </w:rPr>
              <w:t>(11).</w:t>
            </w:r>
            <w:r w:rsidRPr="00132E65">
              <w:rPr>
                <w:rtl/>
              </w:rPr>
              <w:t xml:space="preserve"> في « ج ، ف ، بس ، بف » </w:t>
            </w:r>
            <w:r>
              <w:rPr>
                <w:rtl/>
              </w:rPr>
              <w:t xml:space="preserve">: - </w:t>
            </w:r>
            <w:r w:rsidRPr="00132E65">
              <w:rPr>
                <w:rtl/>
              </w:rPr>
              <w:t>« قد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الرَّأْسِ واللِّحْيَةِ ، فَلَا يَزَالُ يَلْطِمُهُ حَتّى يَقُومَ عَنِّي ، فَفَعَلَ بِي مِرَاراً ، و</w:t>
      </w:r>
      <w:r w:rsidR="00B10FB3">
        <w:rPr>
          <w:rFonts w:hint="cs"/>
          <w:rtl/>
          <w:lang w:bidi="fa-IR"/>
        </w:rPr>
        <w:t xml:space="preserve">َ </w:t>
      </w:r>
      <w:r w:rsidRPr="00132E65">
        <w:rPr>
          <w:rtl/>
          <w:lang w:bidi="fa-IR"/>
        </w:rPr>
        <w:t xml:space="preserve">فَعَلَ الشَّيْخُ بِهِ </w:t>
      </w:r>
      <w:r>
        <w:rPr>
          <w:rStyle w:val="libFootnotenumChar"/>
          <w:rtl/>
        </w:rPr>
        <w:t>(1)</w:t>
      </w:r>
      <w:r w:rsidRPr="00132E65">
        <w:rPr>
          <w:rtl/>
          <w:lang w:bidi="fa-IR"/>
        </w:rPr>
        <w:t xml:space="preserve"> مِرَاراً ، فَقَالَ : « يَا جَعْفَرُ ، خُذْهَا إِلَيْكَ »</w:t>
      </w:r>
      <w:r>
        <w:rPr>
          <w:rtl/>
          <w:lang w:bidi="fa-IR"/>
        </w:rPr>
        <w:t>.</w:t>
      </w:r>
      <w:r w:rsidRPr="00132E65">
        <w:rPr>
          <w:rtl/>
          <w:lang w:bidi="fa-IR"/>
        </w:rPr>
        <w:t xml:space="preserve"> فَوَلَدَتْ خَيْرَ أَهْلِ الْأَرْضِ مُوسَى بْنَ جَعْفَرٍ </w:t>
      </w:r>
      <w:r w:rsidRPr="00071CF9">
        <w:rPr>
          <w:rStyle w:val="libAlaemChar"/>
          <w:rtl/>
        </w:rPr>
        <w:t>عليهما‌السلام</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650561">
        <w:rPr>
          <w:rtl/>
        </w:rPr>
        <w:t>1290</w:t>
      </w:r>
      <w:r w:rsidRPr="004325D8">
        <w:rPr>
          <w:rStyle w:val="libBold2Char"/>
          <w:rtl/>
        </w:rPr>
        <w:t xml:space="preserve"> / 2.</w:t>
      </w:r>
      <w:r w:rsidRPr="00132E65">
        <w:rPr>
          <w:rtl/>
          <w:lang w:bidi="fa-IR"/>
        </w:rPr>
        <w:t xml:space="preserve"> مُحَمَّدُ بْنُ يَحْيى ، عَنْ مُحَمَّدِ بْنِ أَحْمَدَ ، عَنْ عَبْدِ اللهِ بْنِ أَحْمَدَ ، عَنْ عَلِيِّ بْنِ الْحُسَيْنِ ، عَنِ ابْنِ سِنَانٍ ، عَنْ سَابِقِ بْنِ الْوَلِيدِ ، عَنِ الْمُعَلَّى بْنِ خُنَيْسٍ :</w:t>
      </w:r>
    </w:p>
    <w:p w:rsidR="000C39D1" w:rsidRPr="00132E65" w:rsidRDefault="000C39D1" w:rsidP="000C39D1">
      <w:pPr>
        <w:pStyle w:val="libNormal"/>
        <w:rPr>
          <w:rtl/>
          <w:lang w:bidi="fa-IR"/>
        </w:rPr>
      </w:pPr>
      <w:r w:rsidRPr="00132E65">
        <w:rPr>
          <w:rtl/>
          <w:lang w:bidi="fa-IR"/>
        </w:rPr>
        <w:t xml:space="preserve">أَنَّ أَبَا عَبْدِ اللهِ </w:t>
      </w:r>
      <w:r w:rsidRPr="00071CF9">
        <w:rPr>
          <w:rStyle w:val="libAlaemChar"/>
          <w:rtl/>
        </w:rPr>
        <w:t>عليه‌السلام</w:t>
      </w:r>
      <w:r w:rsidRPr="00132E65">
        <w:rPr>
          <w:rtl/>
          <w:lang w:bidi="fa-IR"/>
        </w:rPr>
        <w:t xml:space="preserve"> قَالَ </w:t>
      </w:r>
      <w:r>
        <w:rPr>
          <w:rStyle w:val="libFootnotenumChar"/>
          <w:rtl/>
        </w:rPr>
        <w:t>(3)</w:t>
      </w:r>
      <w:r w:rsidRPr="00132E65">
        <w:rPr>
          <w:rtl/>
          <w:lang w:bidi="fa-IR"/>
        </w:rPr>
        <w:t xml:space="preserve"> : « حَمِيدَةُ مُصَفَّاةٌ مِنَ الْأَدْنَاسِ </w:t>
      </w:r>
      <w:r>
        <w:rPr>
          <w:rStyle w:val="libFootnotenumChar"/>
          <w:rtl/>
        </w:rPr>
        <w:t>(4)</w:t>
      </w:r>
      <w:r w:rsidRPr="00132E65">
        <w:rPr>
          <w:rtl/>
          <w:lang w:bidi="fa-IR"/>
        </w:rPr>
        <w:t xml:space="preserve"> كَسَبِيكَةِ الذَّهَبِ ، مَا زَالَتِ الْأَمْلَاكُ </w:t>
      </w:r>
      <w:r>
        <w:rPr>
          <w:rStyle w:val="libFootnotenumChar"/>
          <w:rtl/>
        </w:rPr>
        <w:t>(5)</w:t>
      </w:r>
      <w:r w:rsidRPr="00132E65">
        <w:rPr>
          <w:rtl/>
          <w:lang w:bidi="fa-IR"/>
        </w:rPr>
        <w:t xml:space="preserve"> تَحْرُسُهَا </w:t>
      </w:r>
      <w:r>
        <w:rPr>
          <w:rStyle w:val="libFootnotenumChar"/>
          <w:rtl/>
        </w:rPr>
        <w:t>(6)</w:t>
      </w:r>
      <w:r w:rsidRPr="00132E65">
        <w:rPr>
          <w:rtl/>
          <w:lang w:bidi="fa-IR"/>
        </w:rPr>
        <w:t xml:space="preserve"> حَتّى أُدِّيَتْ إِلَيَّ ؛ كَرَامَةً مِنَ اللهِ لِي و</w:t>
      </w:r>
      <w:r w:rsidR="00B10FB3">
        <w:rPr>
          <w:rFonts w:hint="cs"/>
          <w:rtl/>
          <w:lang w:bidi="fa-IR"/>
        </w:rPr>
        <w:t xml:space="preserve">َ </w:t>
      </w:r>
      <w:r w:rsidRPr="00132E65">
        <w:rPr>
          <w:rtl/>
          <w:lang w:bidi="fa-IR"/>
        </w:rPr>
        <w:t>الْحُجَّةِ مِنْ بَعْدِي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Default="000C39D1" w:rsidP="000C39D1">
      <w:pPr>
        <w:pStyle w:val="libNormal"/>
        <w:rPr>
          <w:rtl/>
          <w:lang w:bidi="fa-IR"/>
        </w:rPr>
      </w:pPr>
      <w:r w:rsidRPr="00650561">
        <w:rPr>
          <w:rtl/>
        </w:rPr>
        <w:t>1291</w:t>
      </w:r>
      <w:r w:rsidRPr="004325D8">
        <w:rPr>
          <w:rStyle w:val="libBold2Char"/>
          <w:rtl/>
        </w:rPr>
        <w:t xml:space="preserve"> / 3.</w:t>
      </w:r>
      <w:r w:rsidRPr="00132E65">
        <w:rPr>
          <w:rtl/>
          <w:lang w:bidi="fa-IR"/>
        </w:rPr>
        <w:t xml:space="preserve"> عِدَّةٌ مِنْ أَصْحَابِنَا ، عَنْ أَحْمَدَ بْنِ مُحَمَّدٍ ؛</w:t>
      </w:r>
    </w:p>
    <w:p w:rsidR="000C39D1" w:rsidRPr="00132E65" w:rsidRDefault="00B10FB3" w:rsidP="000C39D1">
      <w:pPr>
        <w:pStyle w:val="libNormal"/>
        <w:rPr>
          <w:rtl/>
          <w:lang w:bidi="fa-IR"/>
        </w:rPr>
      </w:pPr>
      <w:r>
        <w:rPr>
          <w:rFonts w:hint="cs"/>
          <w:rtl/>
          <w:lang w:bidi="fa-IR"/>
        </w:rPr>
        <w:t xml:space="preserve">             </w:t>
      </w:r>
      <w:r w:rsidR="000C39D1" w:rsidRPr="00132E65">
        <w:rPr>
          <w:rtl/>
          <w:lang w:bidi="fa-IR"/>
        </w:rPr>
        <w:t>وَعَلِيُّ بْنُ إِبْرَاهِيمَ ، عَنْ أَبِيهِ جَمِيعاً ، عَنْ أَبِي قَتَادَةَ الْقُمِّيِّ ، عَنْ أَبِي خَالِدٍ الزُّبَالِيِّ ، قَالَ :</w:t>
      </w:r>
    </w:p>
    <w:p w:rsidR="000C39D1" w:rsidRPr="00132E65" w:rsidRDefault="000C39D1" w:rsidP="000C39D1">
      <w:pPr>
        <w:pStyle w:val="libNormal"/>
        <w:rPr>
          <w:rtl/>
          <w:lang w:bidi="fa-IR"/>
        </w:rPr>
      </w:pPr>
      <w:r w:rsidRPr="00132E65">
        <w:rPr>
          <w:rtl/>
          <w:lang w:bidi="fa-IR"/>
        </w:rPr>
        <w:t xml:space="preserve">لَمَّا أُقْدِمَ بِأَبِي الْحَسَنِ مُوسى </w:t>
      </w:r>
      <w:r w:rsidRPr="00071CF9">
        <w:rPr>
          <w:rStyle w:val="libAlaemChar"/>
          <w:rtl/>
        </w:rPr>
        <w:t>عليه‌السلام</w:t>
      </w:r>
      <w:r w:rsidRPr="00132E65">
        <w:rPr>
          <w:rtl/>
          <w:lang w:bidi="fa-IR"/>
        </w:rPr>
        <w:t xml:space="preserve"> عَلَى الْمَهْدِيِّ</w:t>
      </w:r>
      <w:r>
        <w:rPr>
          <w:rtl/>
          <w:lang w:bidi="fa-IR"/>
        </w:rPr>
        <w:t xml:space="preserve"> - </w:t>
      </w:r>
      <w:r w:rsidRPr="00132E65">
        <w:rPr>
          <w:rtl/>
          <w:lang w:bidi="fa-IR"/>
        </w:rPr>
        <w:t>الْقُدْمَةَ الْأُولى</w:t>
      </w:r>
      <w:r>
        <w:rPr>
          <w:rtl/>
          <w:lang w:bidi="fa-IR"/>
        </w:rPr>
        <w:t xml:space="preserve"> - </w:t>
      </w:r>
      <w:r w:rsidRPr="00132E65">
        <w:rPr>
          <w:rtl/>
          <w:lang w:bidi="fa-IR"/>
        </w:rPr>
        <w:t xml:space="preserve">نَزَلَ </w:t>
      </w:r>
      <w:r>
        <w:rPr>
          <w:rStyle w:val="libFootnotenumChar"/>
          <w:rtl/>
        </w:rPr>
        <w:t>(8)</w:t>
      </w:r>
      <w:r w:rsidRPr="00132E65">
        <w:rPr>
          <w:rtl/>
          <w:lang w:bidi="fa-IR"/>
        </w:rPr>
        <w:t xml:space="preserve"> زُبَالَةَ ، فَكُنْتُ أُحَدِّثُهُ ، فَرَآنِي مَغْمُوماً ، فَقَالَ لِي </w:t>
      </w:r>
      <w:r>
        <w:rPr>
          <w:rStyle w:val="libFootnotenumChar"/>
          <w:rtl/>
        </w:rPr>
        <w:t>(9)</w:t>
      </w:r>
      <w:r w:rsidRPr="00132E65">
        <w:rPr>
          <w:rtl/>
          <w:lang w:bidi="fa-IR"/>
        </w:rPr>
        <w:t xml:space="preserve"> : « يَا أَبَا خَالِدٍ ، مَا لِي أَرَاكَ مَغْمُوماً</w:t>
      </w:r>
      <w:r>
        <w:rPr>
          <w:rtl/>
          <w:lang w:bidi="fa-IR"/>
        </w:rPr>
        <w:t>؟</w:t>
      </w:r>
      <w:r w:rsidRPr="00132E65">
        <w:rPr>
          <w:rtl/>
          <w:lang w:bidi="fa-IR"/>
        </w:rPr>
        <w:t xml:space="preserve"> » فَقُلْتُ : و</w:t>
      </w:r>
      <w:r w:rsidR="00EB3AD7">
        <w:rPr>
          <w:rFonts w:hint="cs"/>
          <w:rtl/>
          <w:lang w:bidi="fa-IR"/>
        </w:rPr>
        <w:t>َ</w:t>
      </w:r>
      <w:r w:rsidRPr="00132E65">
        <w:rPr>
          <w:rtl/>
          <w:lang w:bidi="fa-IR"/>
        </w:rPr>
        <w:t>كَيْفَ لَا أَغْتَمُّ و</w:t>
      </w:r>
      <w:r w:rsidR="00EB3AD7">
        <w:rPr>
          <w:rFonts w:hint="cs"/>
          <w:rtl/>
          <w:lang w:bidi="fa-IR"/>
        </w:rPr>
        <w:t>َ</w:t>
      </w:r>
      <w:r w:rsidRPr="00132E65">
        <w:rPr>
          <w:rtl/>
          <w:lang w:bidi="fa-IR"/>
        </w:rPr>
        <w:t xml:space="preserve">أَنْتَ تُحْمَلُ إِلى هذِهِ </w:t>
      </w:r>
      <w:r>
        <w:rPr>
          <w:rStyle w:val="libFootnotenumChar"/>
          <w:rtl/>
        </w:rPr>
        <w:t>(10)</w:t>
      </w:r>
      <w:r w:rsidRPr="00132E65">
        <w:rPr>
          <w:rtl/>
          <w:lang w:bidi="fa-IR"/>
        </w:rPr>
        <w:t xml:space="preserve"> الطَّاغِيَةِ ، و</w:t>
      </w:r>
      <w:r w:rsidR="00EB3AD7">
        <w:rPr>
          <w:rFonts w:hint="cs"/>
          <w:rtl/>
          <w:lang w:bidi="fa-IR"/>
        </w:rPr>
        <w:t>َ</w:t>
      </w:r>
      <w:r w:rsidRPr="00132E65">
        <w:rPr>
          <w:rtl/>
          <w:lang w:bidi="fa-IR"/>
        </w:rPr>
        <w:t>لَا</w:t>
      </w:r>
      <w:r>
        <w:rPr>
          <w:rFonts w:hint="cs"/>
          <w:rtl/>
          <w:lang w:bidi="fa-IR"/>
        </w:rPr>
        <w:t xml:space="preserve"> </w:t>
      </w:r>
      <w:r w:rsidRPr="00132E65">
        <w:rPr>
          <w:rtl/>
          <w:lang w:bidi="fa-IR"/>
        </w:rPr>
        <w:t>أَدْرِي مَا يُحْدِثُ فِيكَ</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بس ، بف »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(2).</w:t>
      </w:r>
      <w:r w:rsidRPr="00132E65">
        <w:rPr>
          <w:rtl/>
        </w:rPr>
        <w:t xml:space="preserve"> </w:t>
      </w:r>
      <w:r w:rsidRPr="000577A7">
        <w:rPr>
          <w:rStyle w:val="libFootnoteBoldChar"/>
          <w:rtl/>
        </w:rPr>
        <w:t>الكافي</w:t>
      </w:r>
      <w:r w:rsidRPr="00132E65">
        <w:rPr>
          <w:rtl/>
        </w:rPr>
        <w:t xml:space="preserve"> ، كتاب الأطعمة ، باب العنب ، ح 12002 ، وفيه إلى قوله : « وكُلْه حبّتين حبّتين ، فإنّه يستحبّ » </w:t>
      </w:r>
      <w:r w:rsidR="00EB3AD7">
        <w:rPr>
          <w:rFonts w:hint="cs"/>
          <w:rtl/>
        </w:rPr>
        <w:t>.</w:t>
      </w:r>
      <w:r w:rsidRPr="009D1ACE">
        <w:rPr>
          <w:rStyle w:val="libFootnoteBoldChar"/>
          <w:rtl/>
        </w:rPr>
        <w:t>الوافي</w:t>
      </w:r>
      <w:r w:rsidRPr="00132E65">
        <w:rPr>
          <w:rtl/>
        </w:rPr>
        <w:t xml:space="preserve"> ، ج 3 ، ص 797 ، ح 1411 ؛ </w:t>
      </w:r>
      <w:r w:rsidRPr="004B4E41">
        <w:rPr>
          <w:rStyle w:val="libFootnoteBoldChar"/>
          <w:rtl/>
        </w:rPr>
        <w:t>الوسائل</w:t>
      </w:r>
      <w:r w:rsidRPr="00132E65">
        <w:rPr>
          <w:rtl/>
        </w:rPr>
        <w:t xml:space="preserve"> ، ج 24 ، ص 409 ، ح 30914.</w:t>
      </w:r>
    </w:p>
    <w:p w:rsidR="000C39D1" w:rsidRPr="00132E65" w:rsidRDefault="000C39D1" w:rsidP="000C39D1">
      <w:pPr>
        <w:pStyle w:val="libFootnote0"/>
        <w:rPr>
          <w:rtl/>
          <w:lang w:bidi="fa-IR"/>
        </w:rPr>
      </w:pPr>
      <w:r>
        <w:rPr>
          <w:rtl/>
        </w:rPr>
        <w:t>(3).</w:t>
      </w:r>
      <w:r w:rsidRPr="00132E65">
        <w:rPr>
          <w:rtl/>
        </w:rPr>
        <w:t xml:space="preserve"> في « بس »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(4).</w:t>
      </w:r>
      <w:r w:rsidRPr="00132E65">
        <w:rPr>
          <w:rtl/>
        </w:rPr>
        <w:t xml:space="preserve"> « الأدناس » : جمع الدَنَس ، وهو في الأصل الوَسَخُ. والمراد هنا : العيوب وذمائم الأخلاق. راجع : </w:t>
      </w:r>
      <w:r w:rsidRPr="009D1ACE">
        <w:rPr>
          <w:rStyle w:val="libFootnoteBoldChar"/>
          <w:rtl/>
        </w:rPr>
        <w:t>لسان العرب</w:t>
      </w:r>
      <w:r w:rsidRPr="00132E65">
        <w:rPr>
          <w:rtl/>
        </w:rPr>
        <w:t xml:space="preserve"> ، ج 6 ، ص 88 ( دنس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004B4E41">
        <w:rPr>
          <w:rtl/>
        </w:rPr>
        <w:t xml:space="preserve"> : « والأملاك : جمع الم</w:t>
      </w:r>
      <w:r w:rsidR="004B4E41">
        <w:rPr>
          <w:rFonts w:hint="cs"/>
          <w:rtl/>
        </w:rPr>
        <w:t>ـَ</w:t>
      </w:r>
      <w:r w:rsidR="004B4E41">
        <w:rPr>
          <w:rtl/>
        </w:rPr>
        <w:t>لَك ، والمشهور في جمعه : الم</w:t>
      </w:r>
      <w:r w:rsidR="004B4E41">
        <w:rPr>
          <w:rFonts w:hint="cs"/>
          <w:rtl/>
        </w:rPr>
        <w:t>ـَ</w:t>
      </w:r>
      <w:r w:rsidR="004B4E41">
        <w:rPr>
          <w:rtl/>
        </w:rPr>
        <w:t>لائك والم</w:t>
      </w:r>
      <w:r w:rsidR="004B4E41">
        <w:rPr>
          <w:rFonts w:hint="cs"/>
          <w:rtl/>
        </w:rPr>
        <w:t>ـَ</w:t>
      </w:r>
      <w:r w:rsidRPr="00132E65">
        <w:rPr>
          <w:rtl/>
        </w:rPr>
        <w:t>لائكة »</w:t>
      </w:r>
      <w:r>
        <w:rPr>
          <w:rtl/>
        </w:rPr>
        <w:t>.</w:t>
      </w:r>
    </w:p>
    <w:p w:rsidR="000C39D1" w:rsidRPr="00132E65" w:rsidRDefault="000C39D1" w:rsidP="000C39D1">
      <w:pPr>
        <w:pStyle w:val="libFootnote0"/>
        <w:rPr>
          <w:rtl/>
          <w:lang w:bidi="fa-IR"/>
        </w:rPr>
      </w:pPr>
      <w:r>
        <w:rPr>
          <w:rtl/>
        </w:rPr>
        <w:t>(6).</w:t>
      </w:r>
      <w:r w:rsidRPr="00132E65">
        <w:rPr>
          <w:rtl/>
        </w:rPr>
        <w:t xml:space="preserve"> في « ض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(7).</w:t>
      </w:r>
      <w:r w:rsidRPr="00132E65">
        <w:rPr>
          <w:rtl/>
        </w:rPr>
        <w:t xml:space="preserve"> </w:t>
      </w:r>
      <w:r w:rsidRPr="00650561">
        <w:rPr>
          <w:rtl/>
        </w:rPr>
        <w:t>دلائل الإمامة</w:t>
      </w:r>
      <w:r w:rsidRPr="00132E65">
        <w:rPr>
          <w:rtl/>
        </w:rPr>
        <w:t xml:space="preserve"> للطبري ، ص 148 ، بسند آخر مع زيادة واختلاف يسير. </w:t>
      </w:r>
      <w:r w:rsidRPr="009D1ACE">
        <w:rPr>
          <w:rStyle w:val="libFootnoteBoldChar"/>
          <w:rtl/>
        </w:rPr>
        <w:t>الوافي</w:t>
      </w:r>
      <w:r w:rsidRPr="00132E65">
        <w:rPr>
          <w:rtl/>
        </w:rPr>
        <w:t xml:space="preserve"> ، ج 3 ، ص 798 ، ح 1412 ؛ </w:t>
      </w:r>
      <w:r w:rsidRPr="004B4E41">
        <w:rPr>
          <w:rStyle w:val="libFootnoteBoldChar"/>
          <w:rtl/>
        </w:rPr>
        <w:t>البحار</w:t>
      </w:r>
      <w:r w:rsidRPr="00132E65">
        <w:rPr>
          <w:rtl/>
        </w:rPr>
        <w:t xml:space="preserve"> ، ج 48 ، ص 6 ، ح 7.</w:t>
      </w:r>
    </w:p>
    <w:p w:rsidR="000C39D1" w:rsidRPr="00132E65" w:rsidRDefault="000C39D1" w:rsidP="000C39D1">
      <w:pPr>
        <w:pStyle w:val="libFootnote0"/>
        <w:rPr>
          <w:rtl/>
          <w:lang w:bidi="fa-IR"/>
        </w:rPr>
      </w:pPr>
      <w:r>
        <w:rPr>
          <w:rtl/>
        </w:rPr>
        <w:t>(8).</w:t>
      </w:r>
      <w:r w:rsidRPr="00132E65">
        <w:rPr>
          <w:rtl/>
        </w:rPr>
        <w:t xml:space="preserve"> في </w:t>
      </w:r>
      <w:r w:rsidRPr="004B4E41">
        <w:rPr>
          <w:rtl/>
        </w:rPr>
        <w:t>الوافي</w:t>
      </w:r>
      <w:r w:rsidRPr="00132E65">
        <w:rPr>
          <w:rtl/>
        </w:rPr>
        <w:t xml:space="preserve"> : « ا</w:t>
      </w:r>
      <w:r w:rsidR="004B4E41">
        <w:rPr>
          <w:rFonts w:hint="cs"/>
          <w:rtl/>
        </w:rPr>
        <w:t>ُ</w:t>
      </w:r>
      <w:r w:rsidRPr="00132E65">
        <w:rPr>
          <w:rtl/>
        </w:rPr>
        <w:t>نزل »</w:t>
      </w:r>
      <w:r>
        <w:rPr>
          <w:rtl/>
        </w:rPr>
        <w:t>.</w:t>
      </w:r>
      <w:r w:rsidRPr="00132E65">
        <w:rPr>
          <w:rtl/>
        </w:rPr>
        <w:t xml:space="preserve"> </w:t>
      </w:r>
      <w:r>
        <w:rPr>
          <w:rtl/>
        </w:rPr>
        <w:t>و «</w:t>
      </w:r>
      <w:r w:rsidRPr="00132E65">
        <w:rPr>
          <w:rtl/>
        </w:rPr>
        <w:t xml:space="preserve"> زَبالة » بالفتح ، قرية من قرى المدينة. </w:t>
      </w:r>
      <w:r w:rsidRPr="004B4E41">
        <w:rPr>
          <w:rStyle w:val="libFootnoteBoldChar"/>
          <w:rtl/>
        </w:rPr>
        <w:t>القاموس المحيط</w:t>
      </w:r>
      <w:r w:rsidRPr="00132E65">
        <w:rPr>
          <w:rtl/>
        </w:rPr>
        <w:t xml:space="preserve"> ، ج 2 ، ص 1333 ( زبل )</w:t>
      </w:r>
      <w:r>
        <w:rPr>
          <w:rtl/>
        </w:rPr>
        <w:t>.</w:t>
      </w:r>
    </w:p>
    <w:tbl>
      <w:tblPr>
        <w:tblStyle w:val="TableGrid"/>
        <w:bidiVisual/>
        <w:tblW w:w="0" w:type="auto"/>
        <w:tblLook w:val="04A0" w:firstRow="1" w:lastRow="0" w:firstColumn="1" w:lastColumn="0" w:noHBand="0" w:noVBand="1"/>
      </w:tblPr>
      <w:tblGrid>
        <w:gridCol w:w="4261"/>
        <w:gridCol w:w="4262"/>
      </w:tblGrid>
      <w:tr w:rsidR="004B4E41" w:rsidTr="004B4E41">
        <w:tc>
          <w:tcPr>
            <w:tcW w:w="4261" w:type="dxa"/>
          </w:tcPr>
          <w:p w:rsidR="004B4E41" w:rsidRDefault="004B4E41" w:rsidP="000C39D1">
            <w:pPr>
              <w:pStyle w:val="libFootnote0"/>
              <w:rPr>
                <w:rtl/>
              </w:rPr>
            </w:pPr>
            <w:r>
              <w:rPr>
                <w:rtl/>
              </w:rPr>
              <w:t>(9).</w:t>
            </w:r>
            <w:r w:rsidRPr="00132E65">
              <w:rPr>
                <w:rtl/>
              </w:rPr>
              <w:t xml:space="preserve"> في « بس » </w:t>
            </w:r>
            <w:r>
              <w:rPr>
                <w:rtl/>
              </w:rPr>
              <w:t xml:space="preserve">: - </w:t>
            </w:r>
            <w:r w:rsidRPr="00132E65">
              <w:rPr>
                <w:rtl/>
              </w:rPr>
              <w:t>« لي »</w:t>
            </w:r>
            <w:r>
              <w:rPr>
                <w:rtl/>
              </w:rPr>
              <w:t>.</w:t>
            </w:r>
          </w:p>
        </w:tc>
        <w:tc>
          <w:tcPr>
            <w:tcW w:w="4262" w:type="dxa"/>
          </w:tcPr>
          <w:p w:rsidR="004B4E41" w:rsidRDefault="004B4E41" w:rsidP="000C39D1">
            <w:pPr>
              <w:pStyle w:val="libFootnote0"/>
              <w:rPr>
                <w:rtl/>
              </w:rPr>
            </w:pPr>
            <w:r>
              <w:rPr>
                <w:rtl/>
              </w:rPr>
              <w:t>(10).</w:t>
            </w:r>
            <w:r w:rsidRPr="00132E65">
              <w:rPr>
                <w:rtl/>
              </w:rPr>
              <w:t xml:space="preserve"> في « بح » : « هذا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فَقَالَ : « لَيْسَ عَلَيَّ بَأْسٌ ، إِذَا كَانَ شَهْرُ كَذَا و</w:t>
      </w:r>
      <w:r w:rsidR="004B4E41">
        <w:rPr>
          <w:rFonts w:hint="cs"/>
          <w:rtl/>
          <w:lang w:bidi="fa-IR"/>
        </w:rPr>
        <w:t>َ</w:t>
      </w:r>
      <w:r w:rsidRPr="00132E65">
        <w:rPr>
          <w:rtl/>
          <w:lang w:bidi="fa-IR"/>
        </w:rPr>
        <w:t xml:space="preserve">كَذَا </w:t>
      </w:r>
      <w:r>
        <w:rPr>
          <w:rStyle w:val="libFootnotenumChar"/>
          <w:rtl/>
        </w:rPr>
        <w:t>(1)</w:t>
      </w:r>
      <w:r w:rsidRPr="00132E65">
        <w:rPr>
          <w:rtl/>
          <w:lang w:bidi="fa-IR"/>
        </w:rPr>
        <w:t xml:space="preserve"> و</w:t>
      </w:r>
      <w:r w:rsidR="004B4E41">
        <w:rPr>
          <w:rFonts w:hint="cs"/>
          <w:rtl/>
          <w:lang w:bidi="fa-IR"/>
        </w:rPr>
        <w:t>َ</w:t>
      </w:r>
      <w:r>
        <w:rPr>
          <w:rFonts w:hint="cs"/>
          <w:rtl/>
          <w:lang w:bidi="fa-IR"/>
        </w:rPr>
        <w:t xml:space="preserve"> </w:t>
      </w:r>
      <w:r>
        <w:rPr>
          <w:rStyle w:val="libFootnotenumChar"/>
          <w:rtl/>
        </w:rPr>
        <w:t>(2)</w:t>
      </w:r>
      <w:r w:rsidRPr="00132E65">
        <w:rPr>
          <w:rtl/>
          <w:lang w:bidi="fa-IR"/>
        </w:rPr>
        <w:t xml:space="preserve"> يَوْمُ كَذَا </w:t>
      </w:r>
      <w:r>
        <w:rPr>
          <w:rStyle w:val="libFootnotenumChar"/>
          <w:rtl/>
        </w:rPr>
        <w:t>(3)</w:t>
      </w:r>
      <w:r w:rsidRPr="00132E65">
        <w:rPr>
          <w:rtl/>
          <w:lang w:bidi="fa-IR"/>
        </w:rPr>
        <w:t xml:space="preserve"> ، فَوَافِنِي فِي أَوَّلِ الْمِيلِ »</w:t>
      </w:r>
      <w:r>
        <w:rPr>
          <w:rtl/>
          <w:lang w:bidi="fa-IR"/>
        </w:rPr>
        <w:t>.</w:t>
      </w:r>
    </w:p>
    <w:p w:rsidR="000C39D1" w:rsidRPr="00132E65" w:rsidRDefault="004B4E41" w:rsidP="000C39D1">
      <w:pPr>
        <w:pStyle w:val="libNormal"/>
        <w:rPr>
          <w:rtl/>
          <w:lang w:bidi="fa-IR"/>
        </w:rPr>
      </w:pPr>
      <w:r>
        <w:rPr>
          <w:rtl/>
          <w:lang w:bidi="fa-IR"/>
        </w:rPr>
        <w:t>فَمَا كَانَ لِي هَمٌّ إِل</w:t>
      </w:r>
      <w:r>
        <w:rPr>
          <w:rFonts w:hint="cs"/>
          <w:rtl/>
          <w:lang w:bidi="fa-IR"/>
        </w:rPr>
        <w:t>َّ</w:t>
      </w:r>
      <w:r>
        <w:rPr>
          <w:rtl/>
          <w:lang w:bidi="fa-IR"/>
        </w:rPr>
        <w:t>ا</w:t>
      </w:r>
      <w:r w:rsidR="000C39D1" w:rsidRPr="00132E65">
        <w:rPr>
          <w:rtl/>
          <w:lang w:bidi="fa-IR"/>
        </w:rPr>
        <w:t xml:space="preserve"> إِحْصَاءَ الشُّهُورِ و</w:t>
      </w:r>
      <w:r>
        <w:rPr>
          <w:rFonts w:hint="cs"/>
          <w:rtl/>
          <w:lang w:bidi="fa-IR"/>
        </w:rPr>
        <w:t>َ</w:t>
      </w:r>
      <w:r w:rsidR="000C39D1" w:rsidRPr="00132E65">
        <w:rPr>
          <w:rtl/>
          <w:lang w:bidi="fa-IR"/>
        </w:rPr>
        <w:t>الْأَيَّامِ حَتّى كَانَ ذلِكَ الْيَوْمُ ، فَوَافَيْتُ الْمِيلَ ، فَمَا زِلْتُ عِنْدَهُ حَتّى كَادَتِ ال</w:t>
      </w:r>
      <w:r>
        <w:rPr>
          <w:rtl/>
          <w:lang w:bidi="fa-IR"/>
        </w:rPr>
        <w:t>شَّمْسُ أَنْ تَغِيبَ ، و</w:t>
      </w:r>
      <w:r>
        <w:rPr>
          <w:rFonts w:hint="cs"/>
          <w:rtl/>
          <w:lang w:bidi="fa-IR"/>
        </w:rPr>
        <w:t xml:space="preserve">َ </w:t>
      </w:r>
      <w:r>
        <w:rPr>
          <w:rtl/>
          <w:lang w:bidi="fa-IR"/>
        </w:rPr>
        <w:t>و</w:t>
      </w:r>
      <w:r>
        <w:rPr>
          <w:rFonts w:hint="cs"/>
          <w:rtl/>
          <w:lang w:bidi="fa-IR"/>
        </w:rPr>
        <w:t>َ</w:t>
      </w:r>
      <w:r w:rsidR="000C39D1" w:rsidRPr="00132E65">
        <w:rPr>
          <w:rtl/>
          <w:lang w:bidi="fa-IR"/>
        </w:rPr>
        <w:t xml:space="preserve">سْوَسَ </w:t>
      </w:r>
      <w:r w:rsidR="000C39D1">
        <w:rPr>
          <w:rStyle w:val="libFootnotenumChar"/>
          <w:rtl/>
        </w:rPr>
        <w:t>(4)</w:t>
      </w:r>
      <w:r w:rsidR="000C39D1" w:rsidRPr="00132E65">
        <w:rPr>
          <w:rtl/>
          <w:lang w:bidi="fa-IR"/>
        </w:rPr>
        <w:t xml:space="preserve"> الشَّيْطَانُ فِي صَدْرِي ، وَتَخَوَّفْتُ أَنْ أَشُكَّ فِيمَا قَالَ ، فَبَيْنَا</w:t>
      </w:r>
      <w:r w:rsidR="000C39D1">
        <w:rPr>
          <w:rStyle w:val="libFootnotenumChar"/>
          <w:rtl/>
        </w:rPr>
        <w:t>(5)</w:t>
      </w:r>
      <w:r w:rsidR="000C39D1" w:rsidRPr="00132E65">
        <w:rPr>
          <w:rtl/>
          <w:lang w:bidi="fa-IR"/>
        </w:rPr>
        <w:t xml:space="preserve"> أَنَا كَذلِكَ إِذْ </w:t>
      </w:r>
      <w:r w:rsidR="000C39D1">
        <w:rPr>
          <w:rStyle w:val="libFootnotenumChar"/>
          <w:rtl/>
        </w:rPr>
        <w:t>(6)</w:t>
      </w:r>
      <w:r w:rsidR="000C39D1" w:rsidRPr="00132E65">
        <w:rPr>
          <w:rtl/>
          <w:lang w:bidi="fa-IR"/>
        </w:rPr>
        <w:t xml:space="preserve"> نَظَرْتُ إِلى سَوَادٍ قَدْ أَقْبَلَ مِنْ نَاحِيَةِ الْعِرَاقِ ، فَاسْتَقْبَلْتُهُمْ ، فَإِذَا </w:t>
      </w:r>
      <w:r w:rsidR="000C39D1">
        <w:rPr>
          <w:rStyle w:val="libFootnotenumChar"/>
          <w:rtl/>
        </w:rPr>
        <w:t>(7)</w:t>
      </w:r>
      <w:r w:rsidR="000C39D1" w:rsidRPr="00132E65">
        <w:rPr>
          <w:rtl/>
          <w:lang w:bidi="fa-IR"/>
        </w:rPr>
        <w:t xml:space="preserve"> أَبُوالْحَسَنِ </w:t>
      </w:r>
      <w:r w:rsidR="000C39D1" w:rsidRPr="00071CF9">
        <w:rPr>
          <w:rStyle w:val="libAlaemChar"/>
          <w:rtl/>
        </w:rPr>
        <w:t>عليه‌السلام</w:t>
      </w:r>
      <w:r w:rsidR="000C39D1" w:rsidRPr="00132E65">
        <w:rPr>
          <w:rtl/>
          <w:lang w:bidi="fa-IR"/>
        </w:rPr>
        <w:t xml:space="preserve"> أَمَامَ الْقِطَارِ </w:t>
      </w:r>
      <w:r w:rsidR="000C39D1">
        <w:rPr>
          <w:rStyle w:val="libFootnotenumChar"/>
          <w:rtl/>
        </w:rPr>
        <w:t>(8)</w:t>
      </w:r>
      <w:r w:rsidR="000C39D1" w:rsidRPr="00132E65">
        <w:rPr>
          <w:rtl/>
          <w:lang w:bidi="fa-IR"/>
        </w:rPr>
        <w:t xml:space="preserve"> عَلى بَغْلَةٍ ، فَقَالَ : « إِيهٍ </w:t>
      </w:r>
      <w:r w:rsidR="000C39D1">
        <w:rPr>
          <w:rStyle w:val="libFootnotenumChar"/>
          <w:rtl/>
        </w:rPr>
        <w:t>(9)</w:t>
      </w:r>
      <w:r w:rsidR="000C39D1" w:rsidRPr="00132E65">
        <w:rPr>
          <w:rtl/>
          <w:lang w:bidi="fa-IR"/>
        </w:rPr>
        <w:t xml:space="preserve"> يَا أَبَا خَالِدٍ »</w:t>
      </w:r>
      <w:r w:rsidR="000C39D1">
        <w:rPr>
          <w:rtl/>
          <w:lang w:bidi="fa-IR"/>
        </w:rPr>
        <w:t>.</w:t>
      </w:r>
      <w:r w:rsidR="000C39D1" w:rsidRPr="00132E65">
        <w:rPr>
          <w:rtl/>
          <w:lang w:bidi="fa-IR"/>
        </w:rPr>
        <w:t xml:space="preserve"> قُلْتُ : لَبَّيْكَ ، يَا ابْنَ رَسُولِ اللهِ ، فَقَالَ : « لَا تَشُكَّنَّ ، و</w:t>
      </w:r>
      <w:r>
        <w:rPr>
          <w:rFonts w:hint="cs"/>
          <w:rtl/>
          <w:lang w:bidi="fa-IR"/>
        </w:rPr>
        <w:t>َ</w:t>
      </w:r>
      <w:r w:rsidR="000C39D1" w:rsidRPr="00132E65">
        <w:rPr>
          <w:rtl/>
          <w:lang w:bidi="fa-IR"/>
        </w:rPr>
        <w:t>دَّ الشَّيْطَانُ أَنَّكَ شَكَكْتَ »</w:t>
      </w:r>
      <w:r w:rsidR="000C39D1">
        <w:rPr>
          <w:rtl/>
          <w:lang w:bidi="fa-IR"/>
        </w:rPr>
        <w:t>.</w:t>
      </w:r>
      <w:r w:rsidR="000C39D1">
        <w:rPr>
          <w:rFonts w:hint="cs"/>
          <w:rtl/>
          <w:lang w:bidi="fa-IR"/>
        </w:rPr>
        <w:t xml:space="preserve"> </w:t>
      </w:r>
      <w:r w:rsidR="000C39D1" w:rsidRPr="00132E65">
        <w:rPr>
          <w:rtl/>
          <w:lang w:bidi="fa-IR"/>
        </w:rPr>
        <w:t>فَقُلْتُ : الْحَمْدُ لِلّهِ الَّذِي خَلَّصَكَ مِنْهُمْ ، فَقَالَ : « إِنَّ لِي إِلَيْهِمْ عَوْدَةً لَا</w:t>
      </w:r>
      <w:r w:rsidR="000C39D1">
        <w:rPr>
          <w:rFonts w:hint="cs"/>
          <w:rtl/>
          <w:lang w:bidi="fa-IR"/>
        </w:rPr>
        <w:t xml:space="preserve"> </w:t>
      </w:r>
      <w:r w:rsidR="000C39D1" w:rsidRPr="00132E65">
        <w:rPr>
          <w:rtl/>
          <w:lang w:bidi="fa-IR"/>
        </w:rPr>
        <w:t>أَتَخَلَّصُ مِنْهُمْ »</w:t>
      </w:r>
      <w:r w:rsidR="000C39D1">
        <w:rPr>
          <w:rtl/>
          <w:lang w:bidi="fa-IR"/>
        </w:rPr>
        <w:t>.</w:t>
      </w:r>
      <w:r w:rsidR="000C39D1" w:rsidRPr="00132E65">
        <w:rPr>
          <w:rtl/>
          <w:lang w:bidi="fa-IR"/>
        </w:rPr>
        <w:t xml:space="preserve"> </w:t>
      </w:r>
      <w:r w:rsidR="000C39D1">
        <w:rPr>
          <w:rStyle w:val="libFootnotenumChar"/>
          <w:rtl/>
        </w:rPr>
        <w:t>(10)</w:t>
      </w:r>
      <w:r w:rsidR="000C39D1" w:rsidRPr="00132E65">
        <w:rPr>
          <w:rtl/>
          <w:lang w:bidi="fa-IR"/>
        </w:rPr>
        <w:t xml:space="preserve"> ‌</w:t>
      </w:r>
    </w:p>
    <w:p w:rsidR="000C39D1" w:rsidRPr="00132E65" w:rsidRDefault="000C39D1" w:rsidP="000C39D1">
      <w:pPr>
        <w:pStyle w:val="libNormal"/>
        <w:rPr>
          <w:rtl/>
          <w:lang w:bidi="fa-IR"/>
        </w:rPr>
      </w:pPr>
      <w:r w:rsidRPr="00650561">
        <w:rPr>
          <w:rtl/>
        </w:rPr>
        <w:t>1292</w:t>
      </w:r>
      <w:r w:rsidRPr="004325D8">
        <w:rPr>
          <w:rStyle w:val="libBold2Char"/>
          <w:rtl/>
        </w:rPr>
        <w:t xml:space="preserve"> / 4.</w:t>
      </w:r>
      <w:r w:rsidRPr="00132E65">
        <w:rPr>
          <w:rtl/>
          <w:lang w:bidi="fa-IR"/>
        </w:rPr>
        <w:t xml:space="preserve"> أَحْمَدُ بْنُ مِهْرَانَ وعَلِيُّ بْنُ إِبْرَاهِيمَ جَمِيعاً ، عَنْ مُحَمَّدِ بْنِ عَلِيٍّ ، عَنِ الْحَسَنِ بْنِ رَاشِدٍ ، عَنْ يَعْقُوبَ بْنِ جَعْفَرِ بْنِ إِبْرَاهِيمَ ، قَالَ :</w:t>
      </w:r>
    </w:p>
    <w:p w:rsidR="000C39D1" w:rsidRPr="00132E65" w:rsidRDefault="000C39D1" w:rsidP="000C39D1">
      <w:pPr>
        <w:pStyle w:val="libNormal"/>
        <w:rPr>
          <w:rtl/>
          <w:lang w:bidi="fa-IR"/>
        </w:rPr>
      </w:pPr>
      <w:r w:rsidRPr="00132E65">
        <w:rPr>
          <w:rtl/>
          <w:lang w:bidi="fa-IR"/>
        </w:rPr>
        <w:t xml:space="preserve">كُنْتُ عِنْدَ أَبِي الْحَسَنِ مُوسى </w:t>
      </w:r>
      <w:r w:rsidRPr="00071CF9">
        <w:rPr>
          <w:rStyle w:val="libAlaemChar"/>
          <w:rtl/>
        </w:rPr>
        <w:t>عليه‌السلام</w:t>
      </w:r>
      <w:r w:rsidRPr="00132E65">
        <w:rPr>
          <w:rtl/>
          <w:lang w:bidi="fa-IR"/>
        </w:rPr>
        <w:t xml:space="preserve"> إِذْ أَتَاهُ رَجُلٌ نَصْرَانِيٌّ</w:t>
      </w:r>
      <w:r>
        <w:rPr>
          <w:rtl/>
          <w:lang w:bidi="fa-IR"/>
        </w:rPr>
        <w:t xml:space="preserve"> - </w:t>
      </w:r>
      <w:r w:rsidRPr="00132E65">
        <w:rPr>
          <w:rtl/>
          <w:lang w:bidi="fa-IR"/>
        </w:rPr>
        <w:t>و</w:t>
      </w:r>
      <w:r w:rsidR="004B4E41">
        <w:rPr>
          <w:rFonts w:hint="cs"/>
          <w:rtl/>
          <w:lang w:bidi="fa-IR"/>
        </w:rPr>
        <w:t>َ</w:t>
      </w:r>
      <w:r w:rsidRPr="00132E65">
        <w:rPr>
          <w:rtl/>
          <w:lang w:bidi="fa-IR"/>
        </w:rPr>
        <w:t xml:space="preserve">نَحْنُ مَعَهُ بِالْعُرَيْضِ </w:t>
      </w:r>
      <w:r>
        <w:rPr>
          <w:rStyle w:val="libFootnotenumChar"/>
          <w:rtl/>
        </w:rPr>
        <w:t>(11)</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4B4E41" w:rsidTr="004B4E41">
        <w:tc>
          <w:tcPr>
            <w:tcW w:w="4261" w:type="dxa"/>
          </w:tcPr>
          <w:p w:rsidR="004B4E41" w:rsidRDefault="004B4E41" w:rsidP="000C39D1">
            <w:pPr>
              <w:pStyle w:val="libFootnote0"/>
              <w:rPr>
                <w:rtl/>
              </w:rPr>
            </w:pPr>
            <w:r>
              <w:rPr>
                <w:rtl/>
              </w:rPr>
              <w:t>(1).</w:t>
            </w:r>
            <w:r w:rsidRPr="00132E65">
              <w:rPr>
                <w:rtl/>
              </w:rPr>
              <w:t xml:space="preserve"> في « ب » </w:t>
            </w:r>
            <w:r>
              <w:rPr>
                <w:rtl/>
              </w:rPr>
              <w:t xml:space="preserve">: - </w:t>
            </w:r>
            <w:r w:rsidRPr="00132E65">
              <w:rPr>
                <w:rtl/>
              </w:rPr>
              <w:t>« وكذا »</w:t>
            </w:r>
            <w:r>
              <w:rPr>
                <w:rtl/>
              </w:rPr>
              <w:t>.</w:t>
            </w:r>
          </w:p>
        </w:tc>
        <w:tc>
          <w:tcPr>
            <w:tcW w:w="4262" w:type="dxa"/>
          </w:tcPr>
          <w:p w:rsidR="004B4E41" w:rsidRDefault="004B4E41" w:rsidP="000C39D1">
            <w:pPr>
              <w:pStyle w:val="libFootnote0"/>
              <w:rPr>
                <w:rtl/>
              </w:rPr>
            </w:pPr>
            <w:r>
              <w:rPr>
                <w:rtl/>
              </w:rPr>
              <w:t>(2).</w:t>
            </w:r>
            <w:r w:rsidRPr="00132E65">
              <w:rPr>
                <w:rtl/>
              </w:rPr>
              <w:t xml:space="preserve"> في « ض ، بح ، بس ، بف » </w:t>
            </w:r>
            <w:r>
              <w:rPr>
                <w:rtl/>
              </w:rPr>
              <w:t xml:space="preserve">: - </w:t>
            </w:r>
            <w:r w:rsidRPr="00132E65">
              <w:rPr>
                <w:rtl/>
              </w:rPr>
              <w:t>«</w:t>
            </w:r>
            <w:r>
              <w:rPr>
                <w:rtl/>
              </w:rPr>
              <w:t xml:space="preserve"> و ».</w:t>
            </w:r>
          </w:p>
        </w:tc>
      </w:tr>
      <w:tr w:rsidR="004B4E41" w:rsidTr="004B4E41">
        <w:tc>
          <w:tcPr>
            <w:tcW w:w="4261" w:type="dxa"/>
          </w:tcPr>
          <w:p w:rsidR="004B4E41" w:rsidRDefault="004B4E41" w:rsidP="000C39D1">
            <w:pPr>
              <w:pStyle w:val="libFootnote0"/>
              <w:rPr>
                <w:rtl/>
              </w:rPr>
            </w:pPr>
            <w:r>
              <w:rPr>
                <w:rtl/>
              </w:rPr>
              <w:t>(3).</w:t>
            </w:r>
            <w:r w:rsidRPr="00132E65">
              <w:rPr>
                <w:rtl/>
              </w:rPr>
              <w:t xml:space="preserve"> في « ف » :</w:t>
            </w:r>
            <w:r>
              <w:rPr>
                <w:rtl/>
              </w:rPr>
              <w:t xml:space="preserve"> + </w:t>
            </w:r>
            <w:r w:rsidRPr="00132E65">
              <w:rPr>
                <w:rtl/>
              </w:rPr>
              <w:t>« وكذا »</w:t>
            </w:r>
            <w:r>
              <w:rPr>
                <w:rtl/>
              </w:rPr>
              <w:t>.</w:t>
            </w:r>
          </w:p>
        </w:tc>
        <w:tc>
          <w:tcPr>
            <w:tcW w:w="4262" w:type="dxa"/>
          </w:tcPr>
          <w:p w:rsidR="004B4E41" w:rsidRDefault="004B4E41" w:rsidP="000C39D1">
            <w:pPr>
              <w:pStyle w:val="libFootnote0"/>
              <w:rPr>
                <w:rtl/>
              </w:rPr>
            </w:pPr>
            <w:r>
              <w:rPr>
                <w:rtl/>
              </w:rPr>
              <w:t>(4).</w:t>
            </w:r>
            <w:r w:rsidRPr="00132E65">
              <w:rPr>
                <w:rtl/>
              </w:rPr>
              <w:t xml:space="preserve"> في « ب » : « فوسوس »</w:t>
            </w:r>
            <w:r>
              <w:rPr>
                <w:rtl/>
              </w:rPr>
              <w:t>.</w:t>
            </w:r>
          </w:p>
        </w:tc>
      </w:tr>
    </w:tbl>
    <w:p w:rsidR="000C39D1" w:rsidRPr="00132E65" w:rsidRDefault="000C39D1" w:rsidP="000C39D1">
      <w:pPr>
        <w:pStyle w:val="libFootnote0"/>
        <w:rPr>
          <w:rtl/>
          <w:lang w:bidi="fa-IR"/>
        </w:rPr>
      </w:pPr>
      <w:r>
        <w:rPr>
          <w:rtl/>
        </w:rPr>
        <w:t>(5).</w:t>
      </w:r>
      <w:r w:rsidRPr="00132E65">
        <w:rPr>
          <w:rtl/>
        </w:rPr>
        <w:t xml:space="preserve"> في « بر » : « فبينما »</w:t>
      </w:r>
      <w:r>
        <w:rPr>
          <w:rtl/>
        </w:rPr>
        <w:t>.</w:t>
      </w:r>
    </w:p>
    <w:p w:rsidR="000C39D1" w:rsidRPr="00132E65" w:rsidRDefault="000C39D1" w:rsidP="000C39D1">
      <w:pPr>
        <w:pStyle w:val="libFootnote0"/>
        <w:rPr>
          <w:rtl/>
          <w:lang w:bidi="fa-IR"/>
        </w:rPr>
      </w:pPr>
      <w:r>
        <w:rPr>
          <w:rtl/>
        </w:rPr>
        <w:t>(6).</w:t>
      </w:r>
      <w:r w:rsidRPr="00132E65">
        <w:rPr>
          <w:rtl/>
        </w:rPr>
        <w:t xml:space="preserve"> هكذا في « ج ، ض ، ف ، بح ، بس ، بف » </w:t>
      </w:r>
      <w:r w:rsidRPr="004B4E41">
        <w:rPr>
          <w:rtl/>
        </w:rPr>
        <w:t>والوافي</w:t>
      </w:r>
      <w:r w:rsidRPr="00132E65">
        <w:rPr>
          <w:rtl/>
        </w:rPr>
        <w:t>. وفي بعض النسخ والمطبوع : « إذا »</w:t>
      </w:r>
      <w:r>
        <w:rPr>
          <w:rtl/>
        </w:rPr>
        <w:t>.</w:t>
      </w:r>
    </w:p>
    <w:p w:rsidR="000C39D1" w:rsidRPr="00132E65" w:rsidRDefault="000C39D1" w:rsidP="000C39D1">
      <w:pPr>
        <w:pStyle w:val="libFootnote0"/>
        <w:rPr>
          <w:rtl/>
          <w:lang w:bidi="fa-IR"/>
        </w:rPr>
      </w:pPr>
      <w:r>
        <w:rPr>
          <w:rtl/>
        </w:rPr>
        <w:t>(7).</w:t>
      </w:r>
      <w:r w:rsidRPr="00132E65">
        <w:rPr>
          <w:rtl/>
        </w:rPr>
        <w:t xml:space="preserve"> في « بح »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(8).</w:t>
      </w:r>
      <w:r w:rsidRPr="00132E65">
        <w:rPr>
          <w:rtl/>
        </w:rPr>
        <w:t xml:space="preserve"> قال ابن الأثير : « القِطارَةُ والقِطار : أن تُشَدَّ الإبلُ على نَسَقٍ واحداً خلف واحد »</w:t>
      </w:r>
      <w:r>
        <w:rPr>
          <w:rtl/>
        </w:rPr>
        <w:t>.</w:t>
      </w:r>
      <w:r w:rsidRPr="00132E65">
        <w:rPr>
          <w:rtl/>
        </w:rPr>
        <w:t xml:space="preserve"> </w:t>
      </w:r>
      <w:r w:rsidRPr="000F6AF9">
        <w:rPr>
          <w:rStyle w:val="libFootnoteBoldChar"/>
          <w:rtl/>
        </w:rPr>
        <w:t>النهاية</w:t>
      </w:r>
      <w:r w:rsidRPr="00132E65">
        <w:rPr>
          <w:rtl/>
        </w:rPr>
        <w:t xml:space="preserve"> </w:t>
      </w:r>
      <w:r w:rsidR="000F6AF9">
        <w:rPr>
          <w:rtl/>
        </w:rPr>
        <w:t>، ج 4 ، ص 80 ( قطر</w:t>
      </w:r>
      <w:r w:rsidRPr="00132E65">
        <w:rPr>
          <w:rtl/>
        </w:rPr>
        <w:t>)</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إيهن »</w:t>
      </w:r>
      <w:r>
        <w:rPr>
          <w:rtl/>
        </w:rPr>
        <w:t>.</w:t>
      </w:r>
      <w:r w:rsidRPr="00132E65">
        <w:rPr>
          <w:rtl/>
        </w:rPr>
        <w:t xml:space="preserve"> وقال ابن الأثير : « إيه ، هذه كلمة يراد بها الاستزادة ، وهي مبنيّة على الكسر ، فإذا وصلت نوّنت فقلت : إيهٍ حدّثْنا ، وإذا قلت : إيهاً بالنصب فإنّما تأمره بالسكوت</w:t>
      </w:r>
      <w:r>
        <w:rPr>
          <w:rtl/>
        </w:rPr>
        <w:t xml:space="preserve"> ..</w:t>
      </w:r>
      <w:r w:rsidRPr="00132E65">
        <w:rPr>
          <w:rtl/>
        </w:rPr>
        <w:t>. وقد ترد المنصوبة بمعنى التصديق والرضى بالشي‌ء »</w:t>
      </w:r>
      <w:r>
        <w:rPr>
          <w:rtl/>
        </w:rPr>
        <w:t>.</w:t>
      </w:r>
      <w:r w:rsidR="000F6AF9">
        <w:rPr>
          <w:rtl/>
        </w:rPr>
        <w:t xml:space="preserve"> وقال العل</w:t>
      </w:r>
      <w:r w:rsidR="000F6AF9">
        <w:rPr>
          <w:rFonts w:hint="cs"/>
          <w:rtl/>
        </w:rPr>
        <w:t>ّ</w:t>
      </w:r>
      <w:r w:rsidR="000F6AF9">
        <w:rPr>
          <w:rtl/>
        </w:rPr>
        <w:t>ا</w:t>
      </w:r>
      <w:r w:rsidRPr="00132E65">
        <w:rPr>
          <w:rtl/>
        </w:rPr>
        <w:t>مة المجلسي : « إيه بالتنوين كلمة استزادة واستنطاق</w:t>
      </w:r>
      <w:r>
        <w:rPr>
          <w:rtl/>
        </w:rPr>
        <w:t xml:space="preserve"> ..</w:t>
      </w:r>
      <w:r w:rsidRPr="00132E65">
        <w:rPr>
          <w:rtl/>
        </w:rPr>
        <w:t>. وفي أكثر نسخ الكتاب كتب بالنون على خلاف الرسم فتوهّم بعضهم أنّه بفتح الهمزة والهاء ، حالاً عن ضمير قال ، أي طيب النفس ، أو أمر باب الإفعال ، أي كنّ طيب النفس. ولا يخفى بُعدهما »</w:t>
      </w:r>
      <w:r>
        <w:rPr>
          <w:rtl/>
        </w:rPr>
        <w:t>.</w:t>
      </w:r>
      <w:r w:rsidRPr="00132E65">
        <w:rPr>
          <w:rtl/>
        </w:rPr>
        <w:t xml:space="preserve"> راجع : </w:t>
      </w:r>
      <w:r w:rsidRPr="000F6AF9">
        <w:rPr>
          <w:rStyle w:val="libFootnoteBoldChar"/>
          <w:rtl/>
        </w:rPr>
        <w:t>النهاية</w:t>
      </w:r>
      <w:r w:rsidRPr="00132E65">
        <w:rPr>
          <w:rtl/>
        </w:rPr>
        <w:t xml:space="preserve"> ، ج 1 ، ص 87 ( إيه )</w:t>
      </w:r>
      <w:r>
        <w:rPr>
          <w:rtl/>
        </w:rPr>
        <w:t>.</w:t>
      </w:r>
    </w:p>
    <w:p w:rsidR="000C39D1" w:rsidRPr="00132E65" w:rsidRDefault="000C39D1" w:rsidP="000C39D1">
      <w:pPr>
        <w:pStyle w:val="libFootnote0"/>
        <w:rPr>
          <w:rtl/>
          <w:lang w:bidi="fa-IR"/>
        </w:rPr>
      </w:pPr>
      <w:r>
        <w:rPr>
          <w:rtl/>
        </w:rPr>
        <w:t>(10).</w:t>
      </w:r>
      <w:r w:rsidRPr="00132E65">
        <w:rPr>
          <w:rtl/>
        </w:rPr>
        <w:t xml:space="preserve"> </w:t>
      </w:r>
      <w:r w:rsidRPr="000F6AF9">
        <w:rPr>
          <w:rStyle w:val="libFootnoteBoldChar"/>
          <w:rtl/>
        </w:rPr>
        <w:t>قرب الإسناد</w:t>
      </w:r>
      <w:r w:rsidRPr="00132E65">
        <w:rPr>
          <w:rtl/>
        </w:rPr>
        <w:t xml:space="preserve"> ، ص 330 ، ح 1229 ، عن أحمد بن محمّد ، عن أبي قتادة ، عن أبي خالد الزبالي ، مع اختلاف يسير </w:t>
      </w:r>
      <w:r w:rsidR="000F6AF9">
        <w:rPr>
          <w:rFonts w:hint="cs"/>
          <w:rtl/>
        </w:rPr>
        <w:t>.</w:t>
      </w:r>
      <w:r w:rsidRPr="009D1ACE">
        <w:rPr>
          <w:rStyle w:val="libFootnoteBoldChar"/>
          <w:rtl/>
        </w:rPr>
        <w:t>الوافي</w:t>
      </w:r>
      <w:r w:rsidRPr="00132E65">
        <w:rPr>
          <w:rtl/>
        </w:rPr>
        <w:t xml:space="preserve"> ، ج 3 ، ص 798 ، ح 1413.</w:t>
      </w:r>
    </w:p>
    <w:p w:rsidR="000C39D1" w:rsidRPr="00132E65" w:rsidRDefault="000C39D1" w:rsidP="000C39D1">
      <w:pPr>
        <w:pStyle w:val="libFootnote0"/>
        <w:rPr>
          <w:rtl/>
          <w:lang w:bidi="fa-IR"/>
        </w:rPr>
      </w:pPr>
      <w:r>
        <w:rPr>
          <w:rtl/>
        </w:rPr>
        <w:t>(11).</w:t>
      </w:r>
      <w:r w:rsidRPr="00132E65">
        <w:rPr>
          <w:rtl/>
        </w:rPr>
        <w:t xml:space="preserve"> « العُرَيض » : واد بالمدينة. </w:t>
      </w:r>
      <w:r w:rsidRPr="000F6AF9">
        <w:rPr>
          <w:rStyle w:val="libFootnoteBoldChar"/>
          <w:rtl/>
        </w:rPr>
        <w:t>النهاية</w:t>
      </w:r>
      <w:r w:rsidRPr="00132E65">
        <w:rPr>
          <w:rtl/>
        </w:rPr>
        <w:t xml:space="preserve"> ، ج 3 ، ص 214 ( عرض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فَقَالَ لَهُ النَّصْرَانِيُّ : إِنِّي </w:t>
      </w:r>
      <w:r>
        <w:rPr>
          <w:rStyle w:val="libFootnotenumChar"/>
          <w:rtl/>
        </w:rPr>
        <w:t>(1)</w:t>
      </w:r>
      <w:r w:rsidRPr="00132E65">
        <w:rPr>
          <w:rtl/>
          <w:lang w:bidi="fa-IR"/>
        </w:rPr>
        <w:t xml:space="preserve"> أَتَيْتُكَ مِنْ بَلَدٍ بَعِيدٍ ، و</w:t>
      </w:r>
      <w:r w:rsidR="000F6AF9">
        <w:rPr>
          <w:rFonts w:hint="cs"/>
          <w:rtl/>
          <w:lang w:bidi="fa-IR"/>
        </w:rPr>
        <w:t>َ</w:t>
      </w:r>
      <w:r w:rsidRPr="00132E65">
        <w:rPr>
          <w:rtl/>
          <w:lang w:bidi="fa-IR"/>
        </w:rPr>
        <w:t>سَفَرٍ شَاقٍّ ، و</w:t>
      </w:r>
      <w:r w:rsidR="000F6AF9">
        <w:rPr>
          <w:rFonts w:hint="cs"/>
          <w:rtl/>
          <w:lang w:bidi="fa-IR"/>
        </w:rPr>
        <w:t>َ</w:t>
      </w:r>
      <w:r w:rsidRPr="00132E65">
        <w:rPr>
          <w:rtl/>
          <w:lang w:bidi="fa-IR"/>
        </w:rPr>
        <w:t xml:space="preserve">سَأَلْتُ </w:t>
      </w:r>
      <w:r>
        <w:rPr>
          <w:rStyle w:val="libFootnotenumChar"/>
          <w:rtl/>
        </w:rPr>
        <w:t>(2)</w:t>
      </w:r>
      <w:r w:rsidRPr="00132E65">
        <w:rPr>
          <w:rtl/>
          <w:lang w:bidi="fa-IR"/>
        </w:rPr>
        <w:t xml:space="preserve"> رَبِّي مُنْذُ ثَلَاثِينَ سَنَةً أَنْ يُرْشِدَنِي إِلى خَيْرِ الْأَدْيَانِ ، و</w:t>
      </w:r>
      <w:r w:rsidR="000F6AF9">
        <w:rPr>
          <w:rFonts w:hint="cs"/>
          <w:rtl/>
          <w:lang w:bidi="fa-IR"/>
        </w:rPr>
        <w:t xml:space="preserve">َ </w:t>
      </w:r>
      <w:r w:rsidRPr="00132E65">
        <w:rPr>
          <w:rtl/>
          <w:lang w:bidi="fa-IR"/>
        </w:rPr>
        <w:t>إِلى خَيْرِ الْعِبَادِ و</w:t>
      </w:r>
      <w:r w:rsidR="000F6AF9">
        <w:rPr>
          <w:rFonts w:hint="cs"/>
          <w:rtl/>
          <w:lang w:bidi="fa-IR"/>
        </w:rPr>
        <w:t xml:space="preserve">َ </w:t>
      </w:r>
      <w:r w:rsidRPr="00132E65">
        <w:rPr>
          <w:rtl/>
          <w:lang w:bidi="fa-IR"/>
        </w:rPr>
        <w:t>أَعْلَمِهِمْ ، و</w:t>
      </w:r>
      <w:r w:rsidR="000F6AF9">
        <w:rPr>
          <w:rFonts w:hint="cs"/>
          <w:rtl/>
          <w:lang w:bidi="fa-IR"/>
        </w:rPr>
        <w:t>َ</w:t>
      </w:r>
      <w:r w:rsidRPr="00132E65">
        <w:rPr>
          <w:rtl/>
          <w:lang w:bidi="fa-IR"/>
        </w:rPr>
        <w:t xml:space="preserve">أَتَانِي </w:t>
      </w:r>
      <w:r>
        <w:rPr>
          <w:rStyle w:val="libFootnotenumChar"/>
          <w:rtl/>
        </w:rPr>
        <w:t>(3)</w:t>
      </w:r>
      <w:r w:rsidRPr="00132E65">
        <w:rPr>
          <w:rtl/>
          <w:lang w:bidi="fa-IR"/>
        </w:rPr>
        <w:t xml:space="preserve"> آتٍ فِي النَّوْمِ ، فَوَصَفَ لِي رَجُلاً بِعُلْيَا </w:t>
      </w:r>
      <w:r>
        <w:rPr>
          <w:rStyle w:val="libFootnotenumChar"/>
          <w:rtl/>
        </w:rPr>
        <w:t>(4)</w:t>
      </w:r>
      <w:r w:rsidRPr="00132E65">
        <w:rPr>
          <w:rtl/>
          <w:lang w:bidi="fa-IR"/>
        </w:rPr>
        <w:t xml:space="preserve"> دِمَشْقَ ، فَانْطَلَقْتُ حَتّى أَتَيْتُهُ ، فَكَلَّمْتُهُ ، فَقَالَ : أَنَا أَعْلَمُ أَهْلِ دِينِي ، و</w:t>
      </w:r>
      <w:r w:rsidR="000F6AF9">
        <w:rPr>
          <w:rFonts w:hint="cs"/>
          <w:rtl/>
          <w:lang w:bidi="fa-IR"/>
        </w:rPr>
        <w:t>َ</w:t>
      </w:r>
      <w:r w:rsidRPr="00132E65">
        <w:rPr>
          <w:rtl/>
          <w:lang w:bidi="fa-IR"/>
        </w:rPr>
        <w:t>غَيْرِي أَعْلَمُ مِنِّي ، فَقُلْتُ : أَرْشِدْنِي إِلى مَنْ هُوَ أَعْلَمُ مِنْكَ ؛ فَإِنِّي لَا أَسْتَعْظِمُ السَّفَرَ ، و</w:t>
      </w:r>
      <w:r w:rsidR="000F6AF9">
        <w:rPr>
          <w:rFonts w:hint="cs"/>
          <w:rtl/>
          <w:lang w:bidi="fa-IR"/>
        </w:rPr>
        <w:t>َ</w:t>
      </w:r>
      <w:r w:rsidRPr="00132E65">
        <w:rPr>
          <w:rtl/>
          <w:lang w:bidi="fa-IR"/>
        </w:rPr>
        <w:t xml:space="preserve">لَاتَبْعُدُ عَلَيَّ الشُّقَّةُ </w:t>
      </w:r>
      <w:r>
        <w:rPr>
          <w:rStyle w:val="libFootnotenumChar"/>
          <w:rtl/>
        </w:rPr>
        <w:t>(5)</w:t>
      </w:r>
      <w:r w:rsidRPr="00132E65">
        <w:rPr>
          <w:rtl/>
          <w:lang w:bidi="fa-IR"/>
        </w:rPr>
        <w:t xml:space="preserve"> ، و</w:t>
      </w:r>
      <w:r w:rsidR="000F6AF9">
        <w:rPr>
          <w:rFonts w:hint="cs"/>
          <w:rtl/>
          <w:lang w:bidi="fa-IR"/>
        </w:rPr>
        <w:t>َ</w:t>
      </w:r>
      <w:r w:rsidRPr="00132E65">
        <w:rPr>
          <w:rtl/>
          <w:lang w:bidi="fa-IR"/>
        </w:rPr>
        <w:t>لَقَدْ قَرَأْتُ الْإِنْجِيلَ كُلَّهَا و</w:t>
      </w:r>
      <w:r w:rsidR="000F6AF9">
        <w:rPr>
          <w:rFonts w:hint="cs"/>
          <w:rtl/>
          <w:lang w:bidi="fa-IR"/>
        </w:rPr>
        <w:t>َ</w:t>
      </w:r>
      <w:r w:rsidRPr="00132E65">
        <w:rPr>
          <w:rtl/>
          <w:lang w:bidi="fa-IR"/>
        </w:rPr>
        <w:t xml:space="preserve">مَزَامِيرَ </w:t>
      </w:r>
      <w:r>
        <w:rPr>
          <w:rStyle w:val="libFootnotenumChar"/>
          <w:rtl/>
        </w:rPr>
        <w:t>(6)</w:t>
      </w:r>
      <w:r w:rsidRPr="00132E65">
        <w:rPr>
          <w:rtl/>
          <w:lang w:bidi="fa-IR"/>
        </w:rPr>
        <w:t xml:space="preserve"> دَاوُدَ ، وَقَرَأْتُ أَرْبَعَةَ أَسْفَارٍ مِنَ التَّوْرَاةِ ، وقَرَأْتُ ظَاهِرَ الْقُرْآنِ حَتَّى اسْتَوْعَبْتُهُ </w:t>
      </w:r>
      <w:r>
        <w:rPr>
          <w:rStyle w:val="libFootnotenumChar"/>
          <w:rtl/>
        </w:rPr>
        <w:t>(7)</w:t>
      </w:r>
      <w:r w:rsidRPr="00132E65">
        <w:rPr>
          <w:rtl/>
          <w:lang w:bidi="fa-IR"/>
        </w:rPr>
        <w:t xml:space="preserve"> كُلَّهُ ، فَقَالَ لِيَ الْعَالِمُ : إِنْ كُنْتَ تُرِيدُ عِلْمَ النَّصْرَانِيَّةِ ، فَأَنَا أَعْلَمُ الْعَرَبِ والْعَجَمِ بِهَا ، وإِنْ كُنْتَ تُرِيدُ عِلْمَ الْيَهُودِ ، فَبَاطِي بْنُ شُرَحْبِيلَ </w:t>
      </w:r>
      <w:r>
        <w:rPr>
          <w:rStyle w:val="libFootnotenumChar"/>
          <w:rtl/>
        </w:rPr>
        <w:t>(8)</w:t>
      </w:r>
      <w:r w:rsidRPr="00132E65">
        <w:rPr>
          <w:rtl/>
          <w:lang w:bidi="fa-IR"/>
        </w:rPr>
        <w:t xml:space="preserve"> السَّامِرِيُّ </w:t>
      </w:r>
      <w:r>
        <w:rPr>
          <w:rStyle w:val="libFootnotenumChar"/>
          <w:rtl/>
        </w:rPr>
        <w:t>(9)</w:t>
      </w:r>
      <w:r w:rsidRPr="00132E65">
        <w:rPr>
          <w:rtl/>
          <w:lang w:bidi="fa-IR"/>
        </w:rPr>
        <w:t xml:space="preserve"> أَعْلَمُ النَّاسِ بِهَا الْيَوْمَ ، وإِنْ كُنْتَ تُرِيدُ عِلْمَ‌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w:t>
      </w:r>
      <w:r w:rsidRPr="000F6AF9">
        <w:rPr>
          <w:rtl/>
        </w:rPr>
        <w:t>والوافي</w:t>
      </w:r>
      <w:r w:rsidRPr="00132E65">
        <w:rPr>
          <w:rtl/>
        </w:rPr>
        <w:t xml:space="preserve"> والبحار ، ج 48. وفي المطبوع </w:t>
      </w:r>
      <w:r>
        <w:rPr>
          <w:rtl/>
        </w:rPr>
        <w:t xml:space="preserve">: - </w:t>
      </w:r>
      <w:r w:rsidRPr="00132E65">
        <w:rPr>
          <w:rtl/>
        </w:rPr>
        <w:t>« إنّي »</w:t>
      </w:r>
      <w:r>
        <w:rPr>
          <w:rtl/>
        </w:rPr>
        <w:t>.</w:t>
      </w:r>
    </w:p>
    <w:p w:rsidR="000C39D1" w:rsidRPr="00132E65" w:rsidRDefault="000C39D1" w:rsidP="000C39D1">
      <w:pPr>
        <w:pStyle w:val="libFootnote0"/>
        <w:rPr>
          <w:rtl/>
          <w:lang w:bidi="fa-IR"/>
        </w:rPr>
      </w:pPr>
      <w:r>
        <w:rPr>
          <w:rtl/>
        </w:rPr>
        <w:t>(2).</w:t>
      </w:r>
      <w:r w:rsidRPr="00132E65">
        <w:rPr>
          <w:rtl/>
        </w:rPr>
        <w:t xml:space="preserve"> في « بس » : « ساءلت »</w:t>
      </w:r>
      <w:r>
        <w:rPr>
          <w:rtl/>
        </w:rPr>
        <w:t>.</w:t>
      </w:r>
    </w:p>
    <w:p w:rsidR="000C39D1" w:rsidRPr="00132E65" w:rsidRDefault="000C39D1" w:rsidP="000C39D1">
      <w:pPr>
        <w:pStyle w:val="libFootnote0"/>
        <w:rPr>
          <w:rtl/>
          <w:lang w:bidi="fa-IR"/>
        </w:rPr>
      </w:pPr>
      <w:r>
        <w:rPr>
          <w:rtl/>
        </w:rPr>
        <w:t>(3).</w:t>
      </w:r>
      <w:r w:rsidRPr="00132E65">
        <w:rPr>
          <w:rtl/>
        </w:rPr>
        <w:t xml:space="preserve"> في « ف » : « فأتاني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0F6AF9">
        <w:rPr>
          <w:rtl/>
        </w:rPr>
        <w:t>الوافي</w:t>
      </w:r>
      <w:r w:rsidRPr="00132E65">
        <w:rPr>
          <w:rtl/>
        </w:rPr>
        <w:t xml:space="preserve"> : « بعلياء »</w:t>
      </w:r>
      <w:r>
        <w:rPr>
          <w:rtl/>
        </w:rPr>
        <w:t>.</w:t>
      </w:r>
    </w:p>
    <w:p w:rsidR="000C39D1" w:rsidRPr="00132E65" w:rsidRDefault="000C39D1" w:rsidP="000C39D1">
      <w:pPr>
        <w:pStyle w:val="libFootnote0"/>
        <w:rPr>
          <w:rtl/>
          <w:lang w:bidi="fa-IR"/>
        </w:rPr>
      </w:pPr>
      <w:r>
        <w:rPr>
          <w:rtl/>
        </w:rPr>
        <w:t>(5).</w:t>
      </w:r>
      <w:r w:rsidRPr="00132E65">
        <w:rPr>
          <w:rtl/>
        </w:rPr>
        <w:t xml:space="preserve"> في حاشية « ج » : « المشقّة »</w:t>
      </w:r>
      <w:r>
        <w:rPr>
          <w:rtl/>
        </w:rPr>
        <w:t>.</w:t>
      </w:r>
      <w:r w:rsidRPr="00132E65">
        <w:rPr>
          <w:rtl/>
        </w:rPr>
        <w:t xml:space="preserve"> </w:t>
      </w:r>
      <w:r>
        <w:rPr>
          <w:rtl/>
        </w:rPr>
        <w:t>و «</w:t>
      </w:r>
      <w:r w:rsidRPr="00132E65">
        <w:rPr>
          <w:rtl/>
        </w:rPr>
        <w:t xml:space="preserve"> الشُقَّةُ » </w:t>
      </w:r>
      <w:r>
        <w:rPr>
          <w:rtl/>
        </w:rPr>
        <w:t>و «</w:t>
      </w:r>
      <w:r w:rsidRPr="00132E65">
        <w:rPr>
          <w:rtl/>
        </w:rPr>
        <w:t xml:space="preserve"> الشِقَّةُ » : الناحيةُ التي تلحقك المشقّة في الوصول إليها. والطريقُ يشقّ‌</w:t>
      </w:r>
      <w:r w:rsidR="000F6AF9">
        <w:rPr>
          <w:rFonts w:hint="cs"/>
          <w:rtl/>
        </w:rPr>
        <w:t xml:space="preserve"> </w:t>
      </w:r>
      <w:r w:rsidRPr="00132E65">
        <w:rPr>
          <w:rtl/>
        </w:rPr>
        <w:t xml:space="preserve">على سالكه قطعه ، أي يشتدّ عليه. والمسافةُ البعيدة. والسفرُ البعيد والطويل. راجع : </w:t>
      </w:r>
      <w:r w:rsidRPr="000F6AF9">
        <w:rPr>
          <w:rStyle w:val="libFootnoteBoldChar"/>
          <w:rtl/>
        </w:rPr>
        <w:t>المفردات</w:t>
      </w:r>
      <w:r w:rsidRPr="00132E65">
        <w:rPr>
          <w:rtl/>
        </w:rPr>
        <w:t xml:space="preserve"> للراغب ، ص 459 ؛ </w:t>
      </w:r>
      <w:r w:rsidRPr="00650561">
        <w:rPr>
          <w:rtl/>
        </w:rPr>
        <w:t>المغرب</w:t>
      </w:r>
      <w:r w:rsidRPr="00132E65">
        <w:rPr>
          <w:rtl/>
        </w:rPr>
        <w:t xml:space="preserve"> ، ص 255 ؛ </w:t>
      </w:r>
      <w:r w:rsidRPr="009D1ACE">
        <w:rPr>
          <w:rStyle w:val="libFootnoteBoldChar"/>
          <w:rtl/>
        </w:rPr>
        <w:t>لسان العرب</w:t>
      </w:r>
      <w:r w:rsidRPr="00132E65">
        <w:rPr>
          <w:rtl/>
        </w:rPr>
        <w:t xml:space="preserve"> ، ج 10 ، ص 184 ( شقق )</w:t>
      </w:r>
      <w:r>
        <w:rPr>
          <w:rtl/>
        </w:rPr>
        <w:t>.</w:t>
      </w:r>
    </w:p>
    <w:p w:rsidR="000C39D1" w:rsidRPr="00132E65" w:rsidRDefault="000C39D1" w:rsidP="00B45EEC">
      <w:pPr>
        <w:pStyle w:val="libFootnote0"/>
        <w:rPr>
          <w:rtl/>
          <w:lang w:bidi="fa-IR"/>
        </w:rPr>
      </w:pPr>
      <w:r>
        <w:rPr>
          <w:rtl/>
        </w:rPr>
        <w:t>(6).</w:t>
      </w:r>
      <w:r w:rsidRPr="00132E65">
        <w:rPr>
          <w:rtl/>
        </w:rPr>
        <w:t xml:space="preserve"> في « ج ، ف » وحاشة « ب » وشرح المازندراني : « مزابير »</w:t>
      </w:r>
      <w:r>
        <w:rPr>
          <w:rtl/>
        </w:rPr>
        <w:t>.</w:t>
      </w:r>
      <w:r w:rsidRPr="00132E65">
        <w:rPr>
          <w:rtl/>
        </w:rPr>
        <w:t xml:space="preserve"> قال المازندراني : « المزابير : جمع المزبور ، وهو العلم. والمراد به كتاب داود </w:t>
      </w:r>
      <w:r w:rsidRPr="00B45EEC">
        <w:rPr>
          <w:rStyle w:val="libFootnoteAlaemChar"/>
          <w:rtl/>
        </w:rPr>
        <w:t>عليه‌السلام</w:t>
      </w:r>
      <w:r w:rsidRPr="00132E65">
        <w:rPr>
          <w:rtl/>
        </w:rPr>
        <w:t>. أو جمع الم</w:t>
      </w:r>
      <w:r w:rsidR="00B45EEC">
        <w:rPr>
          <w:rFonts w:hint="cs"/>
          <w:rtl/>
        </w:rPr>
        <w:t>ـِ</w:t>
      </w:r>
      <w:r w:rsidRPr="00132E65">
        <w:rPr>
          <w:rtl/>
        </w:rPr>
        <w:t>زْبَرة ، وهو مفعل من زبر الكتاب زَبْراً وزِبارة ، وهو إتقان الكتاب. والزِبْر بلسان اليمن الكتاب ، والمراد به أيضاً ما ذكر »</w:t>
      </w:r>
      <w:r>
        <w:rPr>
          <w:rtl/>
        </w:rPr>
        <w:t>.</w:t>
      </w:r>
      <w:r w:rsidRPr="00132E65">
        <w:rPr>
          <w:rtl/>
        </w:rPr>
        <w:t xml:space="preserve"> وقوله : « المَزامِيرُ »</w:t>
      </w:r>
      <w:r>
        <w:rPr>
          <w:rtl/>
        </w:rPr>
        <w:t>.</w:t>
      </w:r>
      <w:r w:rsidRPr="00132E65">
        <w:rPr>
          <w:rtl/>
        </w:rPr>
        <w:t xml:space="preserve"> جمع ال</w:t>
      </w:r>
      <w:r w:rsidR="00B45EEC">
        <w:rPr>
          <w:rtl/>
        </w:rPr>
        <w:t>م</w:t>
      </w:r>
      <w:r w:rsidR="00B45EEC">
        <w:rPr>
          <w:rFonts w:hint="cs"/>
          <w:rtl/>
        </w:rPr>
        <w:t>ـِ</w:t>
      </w:r>
      <w:r w:rsidRPr="00132E65">
        <w:rPr>
          <w:rtl/>
        </w:rPr>
        <w:t>زْمار والمزمُور</w:t>
      </w:r>
      <w:r>
        <w:rPr>
          <w:rtl/>
        </w:rPr>
        <w:t xml:space="preserve"> - </w:t>
      </w:r>
      <w:r w:rsidRPr="00132E65">
        <w:rPr>
          <w:rtl/>
        </w:rPr>
        <w:t>بفتح الميم وضمّها</w:t>
      </w:r>
      <w:r>
        <w:rPr>
          <w:rtl/>
        </w:rPr>
        <w:t xml:space="preserve"> - </w:t>
      </w:r>
      <w:r w:rsidRPr="00132E65">
        <w:rPr>
          <w:rtl/>
        </w:rPr>
        <w:t xml:space="preserve">وهي الآلة التي يُزْمَرُ بها ؛ من الزَمْر ، وهو التغنية بالنفخ في القصب ونحوه. ومزامير داود </w:t>
      </w:r>
      <w:r w:rsidRPr="00B45EEC">
        <w:rPr>
          <w:rStyle w:val="libFootnoteAlaemChar"/>
          <w:rtl/>
        </w:rPr>
        <w:t>عليه‌السلام</w:t>
      </w:r>
      <w:r w:rsidRPr="00132E65">
        <w:rPr>
          <w:rtl/>
        </w:rPr>
        <w:t xml:space="preserve"> : ما كان يتغنىّ به من الزَبُور وضروب الدعاء ، ضرب المزامير مثلاً لحسن صوته وحلاوة نغمته. وشبّها بصوت الم</w:t>
      </w:r>
      <w:r w:rsidR="00B45EEC">
        <w:rPr>
          <w:rFonts w:hint="cs"/>
          <w:rtl/>
        </w:rPr>
        <w:t>ـِ</w:t>
      </w:r>
      <w:r w:rsidRPr="00132E65">
        <w:rPr>
          <w:rtl/>
        </w:rPr>
        <w:t xml:space="preserve">زْمار كأنّ في حلقه مزامير يَزْمَرُ بها. راجع : </w:t>
      </w:r>
      <w:r w:rsidRPr="00B45EEC">
        <w:rPr>
          <w:rStyle w:val="libFootnoteBoldChar"/>
          <w:rtl/>
        </w:rPr>
        <w:t>الفائق</w:t>
      </w:r>
      <w:r w:rsidRPr="00132E65">
        <w:rPr>
          <w:rtl/>
        </w:rPr>
        <w:t xml:space="preserve"> ، ج 2 ، ص 123 ؛ </w:t>
      </w:r>
      <w:r w:rsidRPr="00B45EEC">
        <w:rPr>
          <w:rStyle w:val="libFootnoteBoldChar"/>
          <w:rtl/>
        </w:rPr>
        <w:t>النهاية</w:t>
      </w:r>
      <w:r w:rsidRPr="00132E65">
        <w:rPr>
          <w:rtl/>
        </w:rPr>
        <w:t xml:space="preserve"> ، ج 2 ، ص 312 ؛ </w:t>
      </w:r>
      <w:r w:rsidRPr="009D1ACE">
        <w:rPr>
          <w:rStyle w:val="libFootnoteBoldChar"/>
          <w:rtl/>
        </w:rPr>
        <w:t>لسان العرب</w:t>
      </w:r>
      <w:r w:rsidRPr="00132E65">
        <w:rPr>
          <w:rtl/>
        </w:rPr>
        <w:t xml:space="preserve"> ، ج 4 ، ص 327 ( زمر )</w:t>
      </w:r>
      <w:r>
        <w:rPr>
          <w:rtl/>
        </w:rPr>
        <w:t>.</w:t>
      </w:r>
      <w:r w:rsidR="00B45EEC">
        <w:rPr>
          <w:rFonts w:hint="cs"/>
          <w:rtl/>
        </w:rPr>
        <w:t xml:space="preserve">            </w:t>
      </w:r>
      <w:r>
        <w:rPr>
          <w:rtl/>
        </w:rPr>
        <w:t>(7).</w:t>
      </w:r>
      <w:r w:rsidRPr="00132E65">
        <w:rPr>
          <w:rtl/>
        </w:rPr>
        <w:t xml:space="preserve"> في « ج ، بح » : « استوعيته »</w:t>
      </w:r>
      <w:r>
        <w:rPr>
          <w:rtl/>
        </w:rPr>
        <w:t>.</w:t>
      </w:r>
    </w:p>
    <w:p w:rsidR="000C39D1" w:rsidRPr="00132E65" w:rsidRDefault="000C39D1" w:rsidP="000C39D1">
      <w:pPr>
        <w:pStyle w:val="libFootnote0"/>
        <w:rPr>
          <w:rtl/>
          <w:lang w:bidi="fa-IR"/>
        </w:rPr>
      </w:pPr>
      <w:r>
        <w:rPr>
          <w:rtl/>
        </w:rPr>
        <w:t>(8).</w:t>
      </w:r>
      <w:r w:rsidRPr="00132E65">
        <w:rPr>
          <w:rtl/>
        </w:rPr>
        <w:t xml:space="preserve"> في شرح المازندراني : « شرجيل »</w:t>
      </w:r>
      <w:r>
        <w:rPr>
          <w:rtl/>
        </w:rPr>
        <w:t>.</w:t>
      </w:r>
      <w:r w:rsidRPr="00132E65">
        <w:rPr>
          <w:rtl/>
        </w:rPr>
        <w:t xml:space="preserve"> وفي البحار ، ج 48 : « شراحيل »</w:t>
      </w:r>
      <w:r>
        <w:rPr>
          <w:rtl/>
        </w:rPr>
        <w:t>.</w:t>
      </w:r>
    </w:p>
    <w:p w:rsidR="000C39D1" w:rsidRPr="00132E65" w:rsidRDefault="000C39D1" w:rsidP="000C39D1">
      <w:pPr>
        <w:pStyle w:val="libFootnote0"/>
        <w:rPr>
          <w:rtl/>
          <w:lang w:bidi="fa-IR"/>
        </w:rPr>
      </w:pPr>
      <w:r>
        <w:rPr>
          <w:rtl/>
        </w:rPr>
        <w:t>(9).</w:t>
      </w:r>
      <w:r w:rsidRPr="00132E65">
        <w:rPr>
          <w:rtl/>
        </w:rPr>
        <w:t xml:space="preserve"> « السامريّ » : نسبة إلى السامرة ، وهي بلدة بين الحرمين ، أو فرقة من اليهود تخالفهم في أكثر الأحكام. وقيل : نسبة إلى قبيلة من بني إسرائيل يقال لها : سامر. راجع : </w:t>
      </w:r>
      <w:r w:rsidRPr="00B45EEC">
        <w:rPr>
          <w:rStyle w:val="libFootnoteBoldChar"/>
          <w:rtl/>
        </w:rPr>
        <w:t>المصباح المنير</w:t>
      </w:r>
      <w:r w:rsidRPr="00132E65">
        <w:rPr>
          <w:rtl/>
        </w:rPr>
        <w:t xml:space="preserve"> ، ص 288 ؛ </w:t>
      </w:r>
      <w:r w:rsidRPr="00B45EEC">
        <w:rPr>
          <w:rStyle w:val="libFootnoteBoldChar"/>
          <w:rtl/>
        </w:rPr>
        <w:t>القاموس المحيط</w:t>
      </w:r>
      <w:r w:rsidRPr="00132E65">
        <w:rPr>
          <w:rtl/>
        </w:rPr>
        <w:t xml:space="preserve"> ، ج 1 ، ص 577 ( سمر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الْإِسْلَامِ و</w:t>
      </w:r>
      <w:r w:rsidR="00B45EEC">
        <w:rPr>
          <w:rFonts w:hint="cs"/>
          <w:rtl/>
          <w:lang w:bidi="fa-IR"/>
        </w:rPr>
        <w:t>َ</w:t>
      </w:r>
      <w:r w:rsidRPr="00132E65">
        <w:rPr>
          <w:rtl/>
          <w:lang w:bidi="fa-IR"/>
        </w:rPr>
        <w:t>عِلْمَ التَّوْرَاةِ و</w:t>
      </w:r>
      <w:r w:rsidR="00B45EEC">
        <w:rPr>
          <w:rFonts w:hint="cs"/>
          <w:rtl/>
          <w:lang w:bidi="fa-IR"/>
        </w:rPr>
        <w:t>َ</w:t>
      </w:r>
      <w:r w:rsidRPr="00132E65">
        <w:rPr>
          <w:rtl/>
          <w:lang w:bidi="fa-IR"/>
        </w:rPr>
        <w:t>عِلْمَ الْإِنْجِيلِ و</w:t>
      </w:r>
      <w:r w:rsidR="00B45EEC">
        <w:rPr>
          <w:rFonts w:hint="cs"/>
          <w:rtl/>
          <w:lang w:bidi="fa-IR"/>
        </w:rPr>
        <w:t>َ</w:t>
      </w:r>
      <w:r>
        <w:rPr>
          <w:rFonts w:hint="cs"/>
          <w:rtl/>
          <w:lang w:bidi="fa-IR"/>
        </w:rPr>
        <w:t xml:space="preserve"> </w:t>
      </w:r>
      <w:r>
        <w:rPr>
          <w:rStyle w:val="libFootnotenumChar"/>
          <w:rtl/>
        </w:rPr>
        <w:t>(1)</w:t>
      </w:r>
      <w:r w:rsidRPr="00132E65">
        <w:rPr>
          <w:rtl/>
          <w:lang w:bidi="fa-IR"/>
        </w:rPr>
        <w:t xml:space="preserve"> الزَّبُورِ و</w:t>
      </w:r>
      <w:r w:rsidR="00B45EEC">
        <w:rPr>
          <w:rFonts w:hint="cs"/>
          <w:rtl/>
          <w:lang w:bidi="fa-IR"/>
        </w:rPr>
        <w:t xml:space="preserve">َ </w:t>
      </w:r>
      <w:r w:rsidRPr="00132E65">
        <w:rPr>
          <w:rtl/>
          <w:lang w:bidi="fa-IR"/>
        </w:rPr>
        <w:t>كِتَابَ هُودٍ ، و</w:t>
      </w:r>
      <w:r w:rsidR="00B45EEC">
        <w:rPr>
          <w:rFonts w:hint="cs"/>
          <w:rtl/>
          <w:lang w:bidi="fa-IR"/>
        </w:rPr>
        <w:t xml:space="preserve">َ </w:t>
      </w:r>
      <w:r w:rsidRPr="00132E65">
        <w:rPr>
          <w:rtl/>
          <w:lang w:bidi="fa-IR"/>
        </w:rPr>
        <w:t xml:space="preserve">كُلَّ مَا أُنْزِلَ </w:t>
      </w:r>
      <w:r>
        <w:rPr>
          <w:rStyle w:val="libFootnotenumChar"/>
          <w:rtl/>
        </w:rPr>
        <w:t>(2)</w:t>
      </w:r>
      <w:r w:rsidRPr="00132E65">
        <w:rPr>
          <w:rtl/>
          <w:lang w:bidi="fa-IR"/>
        </w:rPr>
        <w:t xml:space="preserve"> عَلى نَبِيٍّ مِنَ الْأَنْبِيَاءِ فِي دَهْرِكَ ودَهْرِ غَيْرِكَ ، و</w:t>
      </w:r>
      <w:r w:rsidR="00B45EEC">
        <w:rPr>
          <w:rFonts w:hint="cs"/>
          <w:rtl/>
          <w:lang w:bidi="fa-IR"/>
        </w:rPr>
        <w:t>َ</w:t>
      </w:r>
      <w:r w:rsidRPr="00132E65">
        <w:rPr>
          <w:rtl/>
          <w:lang w:bidi="fa-IR"/>
        </w:rPr>
        <w:t xml:space="preserve">مَا أُنْزِلَ </w:t>
      </w:r>
      <w:r>
        <w:rPr>
          <w:rStyle w:val="libFootnotenumChar"/>
          <w:rtl/>
        </w:rPr>
        <w:t>(3)</w:t>
      </w:r>
      <w:r w:rsidRPr="00132E65">
        <w:rPr>
          <w:rtl/>
          <w:lang w:bidi="fa-IR"/>
        </w:rPr>
        <w:t xml:space="preserve"> مِنَ السَّمَاءِ مِنْ خَبَرٍ </w:t>
      </w:r>
      <w:r>
        <w:rPr>
          <w:rStyle w:val="libFootnotenumChar"/>
          <w:rtl/>
        </w:rPr>
        <w:t>(4)</w:t>
      </w:r>
      <w:r>
        <w:rPr>
          <w:rtl/>
          <w:lang w:bidi="fa-IR"/>
        </w:rPr>
        <w:t xml:space="preserve"> - </w:t>
      </w:r>
      <w:r w:rsidRPr="00132E65">
        <w:rPr>
          <w:rtl/>
          <w:lang w:bidi="fa-IR"/>
        </w:rPr>
        <w:t xml:space="preserve">فَعَلِمَهُ أَحَدٌ أَوْ لَمْ يَعْلَمْ بِهِ </w:t>
      </w:r>
      <w:r>
        <w:rPr>
          <w:rStyle w:val="libFootnotenumChar"/>
          <w:rtl/>
        </w:rPr>
        <w:t>(5)</w:t>
      </w:r>
      <w:r w:rsidRPr="00132E65">
        <w:rPr>
          <w:rtl/>
          <w:lang w:bidi="fa-IR"/>
        </w:rPr>
        <w:t xml:space="preserve"> أَحَدٌ</w:t>
      </w:r>
      <w:r>
        <w:rPr>
          <w:rtl/>
          <w:lang w:bidi="fa-IR"/>
        </w:rPr>
        <w:t xml:space="preserve"> - </w:t>
      </w:r>
      <w:r w:rsidRPr="00132E65">
        <w:rPr>
          <w:rtl/>
          <w:lang w:bidi="fa-IR"/>
        </w:rPr>
        <w:t>فِيهِ تِبْيَانُ كُلِّ شَيْ‌ءٍ ، و</w:t>
      </w:r>
      <w:r w:rsidR="00B45EEC">
        <w:rPr>
          <w:rFonts w:hint="cs"/>
          <w:rtl/>
          <w:lang w:bidi="fa-IR"/>
        </w:rPr>
        <w:t>َ</w:t>
      </w:r>
      <w:r w:rsidRPr="00132E65">
        <w:rPr>
          <w:rtl/>
          <w:lang w:bidi="fa-IR"/>
        </w:rPr>
        <w:t>شِفَاءٌ لِلْعَالَمِينَ ، و</w:t>
      </w:r>
      <w:r w:rsidR="00B45EEC">
        <w:rPr>
          <w:rFonts w:hint="cs"/>
          <w:rtl/>
          <w:lang w:bidi="fa-IR"/>
        </w:rPr>
        <w:t>َ</w:t>
      </w:r>
      <w:r w:rsidRPr="00132E65">
        <w:rPr>
          <w:rtl/>
          <w:lang w:bidi="fa-IR"/>
        </w:rPr>
        <w:t xml:space="preserve">رَوْحٌ لِمَنِ اسْتَرْوَحَ </w:t>
      </w:r>
      <w:r>
        <w:rPr>
          <w:rStyle w:val="libFootnotenumChar"/>
          <w:rtl/>
        </w:rPr>
        <w:t>(6)</w:t>
      </w:r>
      <w:r w:rsidRPr="00132E65">
        <w:rPr>
          <w:rtl/>
          <w:lang w:bidi="fa-IR"/>
        </w:rPr>
        <w:t xml:space="preserve"> إِلَيْهِ ، وَبَصِيرَةٌ لِمَنْ أَرَادَ اللهُ بِهِ خَيْراً ، و</w:t>
      </w:r>
      <w:r w:rsidR="00B45EEC">
        <w:rPr>
          <w:rFonts w:hint="cs"/>
          <w:rtl/>
          <w:lang w:bidi="fa-IR"/>
        </w:rPr>
        <w:t>َ</w:t>
      </w:r>
      <w:r w:rsidRPr="00132E65">
        <w:rPr>
          <w:rtl/>
          <w:lang w:bidi="fa-IR"/>
        </w:rPr>
        <w:t xml:space="preserve">أَنِسَ </w:t>
      </w:r>
      <w:r>
        <w:rPr>
          <w:rStyle w:val="libFootnotenumChar"/>
          <w:rtl/>
        </w:rPr>
        <w:t>(7)</w:t>
      </w:r>
      <w:r w:rsidRPr="00132E65">
        <w:rPr>
          <w:rtl/>
          <w:lang w:bidi="fa-IR"/>
        </w:rPr>
        <w:t xml:space="preserve"> إِلَى الْحَقِّ فَأُرْشِدُكَ إِلَيْهِ ، فَأْتِهِ و</w:t>
      </w:r>
      <w:r w:rsidR="00B45EEC">
        <w:rPr>
          <w:rFonts w:hint="cs"/>
          <w:rtl/>
          <w:lang w:bidi="fa-IR"/>
        </w:rPr>
        <w:t>َ</w:t>
      </w:r>
      <w:r w:rsidRPr="00132E65">
        <w:rPr>
          <w:rtl/>
          <w:lang w:bidi="fa-IR"/>
        </w:rPr>
        <w:t xml:space="preserve">لَوْ مَشْياً </w:t>
      </w:r>
      <w:r>
        <w:rPr>
          <w:rStyle w:val="libFootnotenumChar"/>
          <w:rtl/>
        </w:rPr>
        <w:t>(8)</w:t>
      </w:r>
      <w:r w:rsidRPr="00132E65">
        <w:rPr>
          <w:rtl/>
          <w:lang w:bidi="fa-IR"/>
        </w:rPr>
        <w:t xml:space="preserve"> عَلى رِجْلَيْكَ ، فَإِنْ لَمْ تَقْدِرْ فَحَبْواً </w:t>
      </w:r>
      <w:r>
        <w:rPr>
          <w:rStyle w:val="libFootnotenumChar"/>
          <w:rtl/>
        </w:rPr>
        <w:t>(9)</w:t>
      </w:r>
      <w:r w:rsidRPr="00132E65">
        <w:rPr>
          <w:rtl/>
          <w:lang w:bidi="fa-IR"/>
        </w:rPr>
        <w:t xml:space="preserve"> عَلى رُكْبَتَيْكَ ، فَإِنْ لَمْ تَقْدِرْ فَزَحْفاً عَلَى اسْتِكَ </w:t>
      </w:r>
      <w:r>
        <w:rPr>
          <w:rStyle w:val="libFootnotenumChar"/>
          <w:rtl/>
        </w:rPr>
        <w:t>(10)</w:t>
      </w:r>
      <w:r w:rsidRPr="00132E65">
        <w:rPr>
          <w:rtl/>
          <w:lang w:bidi="fa-IR"/>
        </w:rPr>
        <w:t xml:space="preserve"> ، فَإِنْ لَمْ تَقْدِرْ فَعَلى و</w:t>
      </w:r>
      <w:r w:rsidR="00B45EEC">
        <w:rPr>
          <w:rFonts w:hint="cs"/>
          <w:rtl/>
          <w:lang w:bidi="fa-IR"/>
        </w:rPr>
        <w:t>َ</w:t>
      </w:r>
      <w:r w:rsidRPr="00132E65">
        <w:rPr>
          <w:rtl/>
          <w:lang w:bidi="fa-IR"/>
        </w:rPr>
        <w:t>جْهِكَ.</w:t>
      </w:r>
    </w:p>
    <w:p w:rsidR="000C39D1" w:rsidRPr="00132E65" w:rsidRDefault="000C39D1" w:rsidP="000C39D1">
      <w:pPr>
        <w:pStyle w:val="libNormal"/>
        <w:rPr>
          <w:rtl/>
          <w:lang w:bidi="fa-IR"/>
        </w:rPr>
      </w:pPr>
      <w:r w:rsidRPr="00132E65">
        <w:rPr>
          <w:rtl/>
          <w:lang w:bidi="fa-IR"/>
        </w:rPr>
        <w:t>فَقُلْتُ : لَا ، بَلْ أَنَا أَقْدِرُ عَلَى الْمَسِيرِ فِي الْبَدَنِ و</w:t>
      </w:r>
      <w:r w:rsidR="00B45EEC">
        <w:rPr>
          <w:rFonts w:hint="cs"/>
          <w:rtl/>
          <w:lang w:bidi="fa-IR"/>
        </w:rPr>
        <w:t>َ</w:t>
      </w:r>
      <w:r w:rsidRPr="00132E65">
        <w:rPr>
          <w:rtl/>
          <w:lang w:bidi="fa-IR"/>
        </w:rPr>
        <w:t xml:space="preserve">الْمَالِ ، قَالَ : فَانْطَلِقْ مِنْ فَوْرِكَ حَتّى تَأْتِيَ </w:t>
      </w:r>
      <w:r>
        <w:rPr>
          <w:rStyle w:val="libFootnotenumChar"/>
          <w:rtl/>
        </w:rPr>
        <w:t>(11)</w:t>
      </w:r>
      <w:r w:rsidRPr="00132E65">
        <w:rPr>
          <w:rtl/>
          <w:lang w:bidi="fa-IR"/>
        </w:rPr>
        <w:t xml:space="preserve"> يَثْرِبَ ، فَقُلْتُ : لَا</w:t>
      </w:r>
      <w:r>
        <w:rPr>
          <w:rFonts w:hint="cs"/>
          <w:rtl/>
          <w:lang w:bidi="fa-IR"/>
        </w:rPr>
        <w:t xml:space="preserve"> </w:t>
      </w:r>
      <w:r w:rsidRPr="00132E65">
        <w:rPr>
          <w:rtl/>
          <w:lang w:bidi="fa-IR"/>
        </w:rPr>
        <w:t xml:space="preserve">أَعْرِفُ يَثْرِبَ ، قَالَ : فَانْطَلِقْ حَتّى تَأْتِيَ مَدِينَةَ النَّبِيِّ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الَّذِي بُعِثَ فِي الْعَرَبِ و</w:t>
      </w:r>
      <w:r w:rsidR="00B45EEC">
        <w:rPr>
          <w:rFonts w:hint="cs"/>
          <w:rtl/>
          <w:lang w:bidi="fa-IR"/>
        </w:rPr>
        <w:t xml:space="preserve">َ </w:t>
      </w:r>
      <w:r w:rsidRPr="00132E65">
        <w:rPr>
          <w:rtl/>
          <w:lang w:bidi="fa-IR"/>
        </w:rPr>
        <w:t>هُوَ النَّبِيُّ الْعَرَبِيُّ الْهَاشِمِيُّ</w:t>
      </w:r>
      <w:r>
        <w:rPr>
          <w:rtl/>
          <w:lang w:bidi="fa-IR"/>
        </w:rPr>
        <w:t xml:space="preserve"> - </w:t>
      </w:r>
      <w:r w:rsidRPr="00132E65">
        <w:rPr>
          <w:rtl/>
          <w:lang w:bidi="fa-IR"/>
        </w:rPr>
        <w:t xml:space="preserve">فَإِذَا </w:t>
      </w:r>
      <w:r>
        <w:rPr>
          <w:rStyle w:val="libFootnotenumChar"/>
          <w:rtl/>
        </w:rPr>
        <w:t>(12)</w:t>
      </w:r>
      <w:r w:rsidRPr="00132E65">
        <w:rPr>
          <w:rtl/>
          <w:lang w:bidi="fa-IR"/>
        </w:rPr>
        <w:t xml:space="preserve"> دَخَلْتَهَا ، فَسَلْ عَنْ بَنِي غَنْمِ </w:t>
      </w:r>
      <w:r w:rsidRPr="00F543F1">
        <w:rPr>
          <w:rStyle w:val="libFootnotenumChar"/>
          <w:rtl/>
        </w:rPr>
        <w:t>(13)</w:t>
      </w:r>
      <w:r w:rsidRPr="00132E65">
        <w:rPr>
          <w:rtl/>
          <w:lang w:bidi="fa-IR"/>
        </w:rPr>
        <w:t xml:space="preserve"> بْنِ مَالِكِ بْنِ النَّجَّارِ و</w:t>
      </w:r>
      <w:r w:rsidR="00B45EEC">
        <w:rPr>
          <w:rFonts w:hint="cs"/>
          <w:rtl/>
          <w:lang w:bidi="fa-IR"/>
        </w:rPr>
        <w:t>َ</w:t>
      </w:r>
      <w:r w:rsidRPr="00132E65">
        <w:rPr>
          <w:rtl/>
          <w:lang w:bidi="fa-IR"/>
        </w:rPr>
        <w:t>هُوَ عِنْدَ بَابِ مَسْجِدِهَا ، و</w:t>
      </w:r>
      <w:r w:rsidR="00B45EEC">
        <w:rPr>
          <w:rFonts w:hint="cs"/>
          <w:rtl/>
          <w:lang w:bidi="fa-IR"/>
        </w:rPr>
        <w:t>َ</w:t>
      </w:r>
      <w:r w:rsidRPr="00132E65">
        <w:rPr>
          <w:rtl/>
          <w:lang w:bidi="fa-IR"/>
        </w:rPr>
        <w:t xml:space="preserve">أَظْهِرْ </w:t>
      </w:r>
      <w:r w:rsidRPr="00F543F1">
        <w:rPr>
          <w:rStyle w:val="libFootnotenumChar"/>
          <w:rtl/>
        </w:rPr>
        <w:t>(14)</w:t>
      </w:r>
      <w:r w:rsidRPr="00132E65">
        <w:rPr>
          <w:rtl/>
          <w:lang w:bidi="fa-IR"/>
        </w:rPr>
        <w:t xml:space="preserve"> بِزَّةَ </w:t>
      </w:r>
      <w:r w:rsidRPr="00F543F1">
        <w:rPr>
          <w:rStyle w:val="libFootnotenumChar"/>
          <w:rtl/>
        </w:rPr>
        <w:t>(15)</w:t>
      </w:r>
      <w:r w:rsidRPr="00132E65">
        <w:rPr>
          <w:rtl/>
          <w:lang w:bidi="fa-IR"/>
        </w:rPr>
        <w:t xml:space="preserve"> النَّصْرَانِيَّةِ‌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w:t>
      </w:r>
      <w:r w:rsidRPr="00B45EEC">
        <w:rPr>
          <w:rtl/>
        </w:rPr>
        <w:t>والوافي</w:t>
      </w:r>
      <w:r w:rsidRPr="00132E65">
        <w:rPr>
          <w:rtl/>
        </w:rPr>
        <w:t xml:space="preserve"> والبحار ، ج 48. وفي المطبوع :</w:t>
      </w:r>
      <w:r>
        <w:rPr>
          <w:rtl/>
        </w:rPr>
        <w:t xml:space="preserve"> + </w:t>
      </w:r>
      <w:r w:rsidRPr="00132E65">
        <w:rPr>
          <w:rtl/>
        </w:rPr>
        <w:t>« علم »</w:t>
      </w:r>
      <w:r>
        <w:rPr>
          <w:rtl/>
        </w:rPr>
        <w:t>.</w:t>
      </w:r>
    </w:p>
    <w:p w:rsidR="000C39D1" w:rsidRPr="00132E65" w:rsidRDefault="000C39D1" w:rsidP="000C39D1">
      <w:pPr>
        <w:pStyle w:val="libFootnote0"/>
        <w:rPr>
          <w:rtl/>
          <w:lang w:bidi="fa-IR"/>
        </w:rPr>
      </w:pPr>
      <w:r>
        <w:rPr>
          <w:rtl/>
        </w:rPr>
        <w:t>(2).</w:t>
      </w:r>
      <w:r w:rsidRPr="00132E65">
        <w:rPr>
          <w:rtl/>
        </w:rPr>
        <w:t xml:space="preserve"> في حاشية « ف » : « نزل »</w:t>
      </w:r>
      <w:r>
        <w:rPr>
          <w:rtl/>
        </w:rPr>
        <w:t>.</w:t>
      </w:r>
    </w:p>
    <w:p w:rsidR="000C39D1" w:rsidRPr="00132E65" w:rsidRDefault="000C39D1" w:rsidP="000C39D1">
      <w:pPr>
        <w:pStyle w:val="libFootnote0"/>
        <w:rPr>
          <w:rtl/>
          <w:lang w:bidi="fa-IR"/>
        </w:rPr>
      </w:pPr>
      <w:r>
        <w:rPr>
          <w:rtl/>
        </w:rPr>
        <w:t>(3).</w:t>
      </w:r>
      <w:r w:rsidRPr="00132E65">
        <w:rPr>
          <w:rtl/>
        </w:rPr>
        <w:t xml:space="preserve"> في « ب ، ج ، ض ، ف ، بح ، بر » </w:t>
      </w:r>
      <w:r w:rsidRPr="00B45EEC">
        <w:rPr>
          <w:rtl/>
        </w:rPr>
        <w:t>والوافي</w:t>
      </w:r>
      <w:r w:rsidRPr="00132E65">
        <w:rPr>
          <w:rtl/>
        </w:rPr>
        <w:t xml:space="preserve"> والبحار ، ج 48 : « ومانزل »</w:t>
      </w:r>
      <w:r>
        <w:rPr>
          <w:rtl/>
        </w:rPr>
        <w:t>.</w:t>
      </w:r>
    </w:p>
    <w:p w:rsidR="000C39D1" w:rsidRPr="00132E65" w:rsidRDefault="000C39D1" w:rsidP="000C39D1">
      <w:pPr>
        <w:pStyle w:val="libFootnote0"/>
        <w:rPr>
          <w:rtl/>
          <w:lang w:bidi="fa-IR"/>
        </w:rPr>
      </w:pPr>
      <w:r>
        <w:rPr>
          <w:rtl/>
        </w:rPr>
        <w:t>(4).</w:t>
      </w:r>
      <w:r w:rsidRPr="00132E65">
        <w:rPr>
          <w:rtl/>
        </w:rPr>
        <w:t xml:space="preserve"> في « ب ، ض ، ف ، بس » والبحار ، ج 48 : « خير »</w:t>
      </w:r>
      <w:r>
        <w:rPr>
          <w:rtl/>
        </w:rPr>
        <w:t>.</w:t>
      </w:r>
    </w:p>
    <w:tbl>
      <w:tblPr>
        <w:tblStyle w:val="TableGrid"/>
        <w:bidiVisual/>
        <w:tblW w:w="0" w:type="auto"/>
        <w:tblLook w:val="04A0" w:firstRow="1" w:lastRow="0" w:firstColumn="1" w:lastColumn="0" w:noHBand="0" w:noVBand="1"/>
      </w:tblPr>
      <w:tblGrid>
        <w:gridCol w:w="4261"/>
        <w:gridCol w:w="4262"/>
      </w:tblGrid>
      <w:tr w:rsidR="00B45EEC" w:rsidTr="00B45EEC">
        <w:tc>
          <w:tcPr>
            <w:tcW w:w="4261" w:type="dxa"/>
          </w:tcPr>
          <w:p w:rsidR="00B45EEC" w:rsidRDefault="00B45EEC" w:rsidP="000C39D1">
            <w:pPr>
              <w:pStyle w:val="libFootnote0"/>
              <w:rPr>
                <w:rtl/>
              </w:rPr>
            </w:pPr>
            <w:r>
              <w:rPr>
                <w:rtl/>
              </w:rPr>
              <w:t>(5).</w:t>
            </w:r>
            <w:r w:rsidRPr="00132E65">
              <w:rPr>
                <w:rtl/>
              </w:rPr>
              <w:t xml:space="preserve"> في </w:t>
            </w:r>
            <w:r w:rsidRPr="00B45EEC">
              <w:rPr>
                <w:rtl/>
              </w:rPr>
              <w:t>الوافي</w:t>
            </w:r>
            <w:r w:rsidRPr="00132E65">
              <w:rPr>
                <w:rtl/>
              </w:rPr>
              <w:t xml:space="preserve"> : « لم يعلمه »</w:t>
            </w:r>
            <w:r>
              <w:rPr>
                <w:rtl/>
              </w:rPr>
              <w:t>.</w:t>
            </w:r>
          </w:p>
        </w:tc>
        <w:tc>
          <w:tcPr>
            <w:tcW w:w="4262" w:type="dxa"/>
          </w:tcPr>
          <w:p w:rsidR="00B45EEC" w:rsidRDefault="00B45EEC" w:rsidP="000C39D1">
            <w:pPr>
              <w:pStyle w:val="libFootnote0"/>
              <w:rPr>
                <w:rtl/>
              </w:rPr>
            </w:pPr>
            <w:r>
              <w:rPr>
                <w:rtl/>
              </w:rPr>
              <w:t>(6).</w:t>
            </w:r>
            <w:r w:rsidRPr="00132E65">
              <w:rPr>
                <w:rtl/>
              </w:rPr>
              <w:t xml:space="preserve"> في « بف » : « استراح »</w:t>
            </w:r>
            <w:r>
              <w:rPr>
                <w:rtl/>
              </w:rPr>
              <w:t>.</w:t>
            </w:r>
          </w:p>
        </w:tc>
      </w:tr>
    </w:tbl>
    <w:p w:rsidR="000C39D1" w:rsidRPr="00132E65" w:rsidRDefault="000C39D1" w:rsidP="00B45EEC">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وأنس ، كنصر وعلم وحسن ، وتعديته</w:t>
      </w:r>
      <w:r>
        <w:rPr>
          <w:rtl/>
        </w:rPr>
        <w:t xml:space="preserve"> ب</w:t>
      </w:r>
      <w:r w:rsidR="00B45EEC">
        <w:rPr>
          <w:rFonts w:hint="cs"/>
          <w:rtl/>
        </w:rPr>
        <w:t>ـ</w:t>
      </w:r>
      <w:r>
        <w:rPr>
          <w:rtl/>
        </w:rPr>
        <w:t xml:space="preserve"> «</w:t>
      </w:r>
      <w:r w:rsidRPr="00132E65">
        <w:rPr>
          <w:rtl/>
        </w:rPr>
        <w:t xml:space="preserve"> إلى » بتضمين معنى الركون »</w:t>
      </w:r>
      <w:r>
        <w:rPr>
          <w:rtl/>
        </w:rPr>
        <w:t>.</w:t>
      </w:r>
    </w:p>
    <w:p w:rsidR="000C39D1" w:rsidRPr="00132E65" w:rsidRDefault="000C39D1" w:rsidP="000C39D1">
      <w:pPr>
        <w:pStyle w:val="libFootnote0"/>
        <w:rPr>
          <w:rtl/>
          <w:lang w:bidi="fa-IR"/>
        </w:rPr>
      </w:pPr>
      <w:r>
        <w:rPr>
          <w:rtl/>
        </w:rPr>
        <w:t>(8).</w:t>
      </w:r>
      <w:r w:rsidRPr="00132E65">
        <w:rPr>
          <w:rtl/>
        </w:rPr>
        <w:t xml:space="preserve"> في « ض ، بس » : « ماشياً »</w:t>
      </w:r>
      <w:r>
        <w:rPr>
          <w:rtl/>
        </w:rPr>
        <w:t>.</w:t>
      </w:r>
    </w:p>
    <w:p w:rsidR="000C39D1" w:rsidRPr="00132E65" w:rsidRDefault="000C39D1" w:rsidP="000C39D1">
      <w:pPr>
        <w:pStyle w:val="libFootnote0"/>
        <w:rPr>
          <w:rtl/>
          <w:lang w:bidi="fa-IR"/>
        </w:rPr>
      </w:pPr>
      <w:r>
        <w:rPr>
          <w:rtl/>
        </w:rPr>
        <w:t>(9).</w:t>
      </w:r>
      <w:r w:rsidRPr="00132E65">
        <w:rPr>
          <w:rtl/>
        </w:rPr>
        <w:t xml:space="preserve"> في « ج ، بس » : « فجثوّاً »</w:t>
      </w:r>
      <w:r>
        <w:rPr>
          <w:rtl/>
        </w:rPr>
        <w:t>.</w:t>
      </w:r>
      <w:r w:rsidRPr="00132E65">
        <w:rPr>
          <w:rtl/>
        </w:rPr>
        <w:t xml:space="preserve"> وفي شرح المازندراني عن بعض النسخ : « ولو جثواً »</w:t>
      </w:r>
      <w:r>
        <w:rPr>
          <w:rtl/>
        </w:rPr>
        <w:t>.</w:t>
      </w:r>
      <w:r w:rsidRPr="00132E65">
        <w:rPr>
          <w:rtl/>
        </w:rPr>
        <w:t xml:space="preserve"> </w:t>
      </w:r>
      <w:r>
        <w:rPr>
          <w:rtl/>
        </w:rPr>
        <w:t>و «</w:t>
      </w:r>
      <w:r w:rsidRPr="00132E65">
        <w:rPr>
          <w:rtl/>
        </w:rPr>
        <w:t xml:space="preserve"> الحَبْو » : أن يمشي على</w:t>
      </w:r>
      <w:r w:rsidR="00B45EEC">
        <w:rPr>
          <w:rFonts w:hint="cs"/>
          <w:rtl/>
        </w:rPr>
        <w:t xml:space="preserve"> </w:t>
      </w:r>
      <w:r w:rsidRPr="00132E65">
        <w:rPr>
          <w:rtl/>
        </w:rPr>
        <w:t xml:space="preserve">‌يديه ورُكبتيه ، أو على يديه وبطنه ، أو على استه. راجع : </w:t>
      </w:r>
      <w:r w:rsidRPr="0097228D">
        <w:rPr>
          <w:rStyle w:val="libFootnoteBoldChar"/>
          <w:rtl/>
        </w:rPr>
        <w:t>النهاية</w:t>
      </w:r>
      <w:r w:rsidRPr="00132E65">
        <w:rPr>
          <w:rtl/>
        </w:rPr>
        <w:t xml:space="preserve"> ، ج 1 ، ص 336 ؛ </w:t>
      </w:r>
      <w:r w:rsidRPr="009D1ACE">
        <w:rPr>
          <w:rStyle w:val="libFootnoteBoldChar"/>
          <w:rtl/>
        </w:rPr>
        <w:t>لسان العرب</w:t>
      </w:r>
      <w:r w:rsidRPr="00132E65">
        <w:rPr>
          <w:rtl/>
        </w:rPr>
        <w:t xml:space="preserve"> ، ج 14 ، ص 161 ( حبا )</w:t>
      </w:r>
      <w:r>
        <w:rPr>
          <w:rtl/>
        </w:rPr>
        <w:t>.</w:t>
      </w:r>
    </w:p>
    <w:p w:rsidR="000C39D1" w:rsidRPr="00132E65" w:rsidRDefault="000C39D1" w:rsidP="000C39D1">
      <w:pPr>
        <w:pStyle w:val="libFootnote0"/>
        <w:rPr>
          <w:rtl/>
          <w:lang w:bidi="fa-IR"/>
        </w:rPr>
      </w:pPr>
      <w:r>
        <w:rPr>
          <w:rtl/>
        </w:rPr>
        <w:t>(10).</w:t>
      </w:r>
      <w:r w:rsidRPr="00132E65">
        <w:rPr>
          <w:rtl/>
        </w:rPr>
        <w:t xml:space="preserve"> « فزحفاً على استك » ، أي مَشْياً عليها ، تشبيهاً بزحف الصبيّ ، وهو أن يزحف على استه قبل أن يقوم ، وإذا فعل ذلك على بطنه قيل : قد حبا. راجع : </w:t>
      </w:r>
      <w:r w:rsidRPr="009D1ACE">
        <w:rPr>
          <w:rStyle w:val="libFootnoteBoldChar"/>
          <w:rtl/>
        </w:rPr>
        <w:t>لسان العرب</w:t>
      </w:r>
      <w:r w:rsidRPr="00132E65">
        <w:rPr>
          <w:rtl/>
        </w:rPr>
        <w:t xml:space="preserve"> ، ج 9 ، ص 129 ( زحف )</w:t>
      </w:r>
      <w:r>
        <w:rPr>
          <w:rtl/>
        </w:rPr>
        <w:t>.</w:t>
      </w:r>
    </w:p>
    <w:tbl>
      <w:tblPr>
        <w:tblStyle w:val="TableGrid"/>
        <w:bidiVisual/>
        <w:tblW w:w="0" w:type="auto"/>
        <w:tblLook w:val="04A0" w:firstRow="1" w:lastRow="0" w:firstColumn="1" w:lastColumn="0" w:noHBand="0" w:noVBand="1"/>
      </w:tblPr>
      <w:tblGrid>
        <w:gridCol w:w="4261"/>
        <w:gridCol w:w="4262"/>
      </w:tblGrid>
      <w:tr w:rsidR="0097228D" w:rsidTr="0097228D">
        <w:tc>
          <w:tcPr>
            <w:tcW w:w="4261" w:type="dxa"/>
          </w:tcPr>
          <w:p w:rsidR="0097228D" w:rsidRDefault="0097228D" w:rsidP="000C39D1">
            <w:pPr>
              <w:pStyle w:val="libFootnote0"/>
              <w:rPr>
                <w:rtl/>
              </w:rPr>
            </w:pPr>
            <w:r>
              <w:rPr>
                <w:rtl/>
              </w:rPr>
              <w:t>(11).</w:t>
            </w:r>
            <w:r w:rsidRPr="00132E65">
              <w:rPr>
                <w:rtl/>
              </w:rPr>
              <w:t xml:space="preserve"> في « بس » </w:t>
            </w:r>
            <w:r>
              <w:rPr>
                <w:rtl/>
              </w:rPr>
              <w:t xml:space="preserve">: - </w:t>
            </w:r>
            <w:r w:rsidRPr="00132E65">
              <w:rPr>
                <w:rtl/>
              </w:rPr>
              <w:t>« تأتي »</w:t>
            </w:r>
            <w:r>
              <w:rPr>
                <w:rtl/>
              </w:rPr>
              <w:t>.</w:t>
            </w:r>
          </w:p>
        </w:tc>
        <w:tc>
          <w:tcPr>
            <w:tcW w:w="4262" w:type="dxa"/>
          </w:tcPr>
          <w:p w:rsidR="0097228D" w:rsidRDefault="0097228D" w:rsidP="000C39D1">
            <w:pPr>
              <w:pStyle w:val="libFootnote0"/>
              <w:rPr>
                <w:rtl/>
              </w:rPr>
            </w:pPr>
            <w:r>
              <w:rPr>
                <w:rtl/>
              </w:rPr>
              <w:t>(12).</w:t>
            </w:r>
            <w:r w:rsidRPr="00132E65">
              <w:rPr>
                <w:rtl/>
              </w:rPr>
              <w:t xml:space="preserve"> في « بر » : « وإذا »</w:t>
            </w:r>
            <w:r>
              <w:rPr>
                <w:rtl/>
              </w:rPr>
              <w:t>.</w:t>
            </w:r>
          </w:p>
        </w:tc>
      </w:tr>
      <w:tr w:rsidR="0097228D" w:rsidTr="0097228D">
        <w:tc>
          <w:tcPr>
            <w:tcW w:w="4261" w:type="dxa"/>
          </w:tcPr>
          <w:p w:rsidR="0097228D" w:rsidRDefault="0097228D" w:rsidP="000C39D1">
            <w:pPr>
              <w:pStyle w:val="libFootnote0"/>
              <w:rPr>
                <w:rtl/>
              </w:rPr>
            </w:pPr>
            <w:r>
              <w:rPr>
                <w:rtl/>
              </w:rPr>
              <w:t>(13)</w:t>
            </w:r>
            <w:r w:rsidRPr="00132E65">
              <w:rPr>
                <w:rtl/>
              </w:rPr>
              <w:t xml:space="preserve"> في « بس » : « تميم »</w:t>
            </w:r>
            <w:r>
              <w:rPr>
                <w:rtl/>
              </w:rPr>
              <w:t>.</w:t>
            </w:r>
          </w:p>
        </w:tc>
        <w:tc>
          <w:tcPr>
            <w:tcW w:w="4262" w:type="dxa"/>
          </w:tcPr>
          <w:p w:rsidR="0097228D" w:rsidRDefault="0097228D" w:rsidP="000C39D1">
            <w:pPr>
              <w:pStyle w:val="libFootnote0"/>
              <w:rPr>
                <w:rtl/>
              </w:rPr>
            </w:pPr>
            <w:r>
              <w:rPr>
                <w:rtl/>
              </w:rPr>
              <w:t>(14)</w:t>
            </w:r>
            <w:r w:rsidRPr="00132E65">
              <w:rPr>
                <w:rtl/>
              </w:rPr>
              <w:t xml:space="preserve"> في « ض » : « فأظهر »</w:t>
            </w:r>
            <w:r>
              <w:rPr>
                <w:rtl/>
              </w:rPr>
              <w:t>.</w:t>
            </w:r>
          </w:p>
        </w:tc>
      </w:tr>
    </w:tbl>
    <w:p w:rsidR="000C39D1" w:rsidRPr="00132E65" w:rsidRDefault="000C39D1" w:rsidP="000C39D1">
      <w:pPr>
        <w:pStyle w:val="libFootnote0"/>
        <w:rPr>
          <w:rtl/>
          <w:lang w:bidi="fa-IR"/>
        </w:rPr>
      </w:pPr>
      <w:r>
        <w:rPr>
          <w:rtl/>
        </w:rPr>
        <w:t>(15)</w:t>
      </w:r>
      <w:r w:rsidRPr="00132E65">
        <w:rPr>
          <w:rtl/>
        </w:rPr>
        <w:t xml:space="preserve"> « البزّة » : الهيئة والشارة واللِبْسَة. </w:t>
      </w:r>
      <w:r w:rsidRPr="009D1ACE">
        <w:rPr>
          <w:rStyle w:val="libFootnoteBoldChar"/>
          <w:rtl/>
        </w:rPr>
        <w:t>لسان العرب</w:t>
      </w:r>
      <w:r w:rsidRPr="00132E65">
        <w:rPr>
          <w:rtl/>
        </w:rPr>
        <w:t xml:space="preserve"> ، ج 5 ، ص 312 ( بزز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وَحِلْيَتَهَا </w:t>
      </w:r>
      <w:r>
        <w:rPr>
          <w:rStyle w:val="libFootnotenumChar"/>
          <w:rtl/>
        </w:rPr>
        <w:t>(1)</w:t>
      </w:r>
      <w:r w:rsidRPr="00132E65">
        <w:rPr>
          <w:rtl/>
          <w:lang w:bidi="fa-IR"/>
        </w:rPr>
        <w:t xml:space="preserve"> ؛ فَإِنَّ و</w:t>
      </w:r>
      <w:r w:rsidR="0097228D">
        <w:rPr>
          <w:rFonts w:hint="cs"/>
          <w:rtl/>
          <w:lang w:bidi="fa-IR"/>
        </w:rPr>
        <w:t>َ</w:t>
      </w:r>
      <w:r w:rsidRPr="00132E65">
        <w:rPr>
          <w:rtl/>
          <w:lang w:bidi="fa-IR"/>
        </w:rPr>
        <w:t xml:space="preserve">الِيَهَا يَتَشَدَّدُ عَلَيْهِمْ ، والْخَلِيفَةُ أَشَدُّ </w:t>
      </w:r>
      <w:r>
        <w:rPr>
          <w:rStyle w:val="libFootnotenumChar"/>
          <w:rtl/>
        </w:rPr>
        <w:t>(2)</w:t>
      </w:r>
      <w:r w:rsidRPr="00132E65">
        <w:rPr>
          <w:rtl/>
          <w:lang w:bidi="fa-IR"/>
        </w:rPr>
        <w:t xml:space="preserve"> ، ثُمَّ تَسْأَلُ عَنْ بَنِي عَمْرِو بْنِ مَبْذُولٍ و</w:t>
      </w:r>
      <w:r w:rsidR="0097228D">
        <w:rPr>
          <w:rFonts w:hint="cs"/>
          <w:rtl/>
          <w:lang w:bidi="fa-IR"/>
        </w:rPr>
        <w:t xml:space="preserve">َ </w:t>
      </w:r>
      <w:r w:rsidRPr="00132E65">
        <w:rPr>
          <w:rtl/>
          <w:lang w:bidi="fa-IR"/>
        </w:rPr>
        <w:t xml:space="preserve">هُوَ بِبَقِيعِ </w:t>
      </w:r>
      <w:r>
        <w:rPr>
          <w:rStyle w:val="libFootnotenumChar"/>
          <w:rtl/>
        </w:rPr>
        <w:t>(3)</w:t>
      </w:r>
      <w:r w:rsidRPr="00132E65">
        <w:rPr>
          <w:rtl/>
          <w:lang w:bidi="fa-IR"/>
        </w:rPr>
        <w:t xml:space="preserve"> الزُّبَيْرِ ، ثُمَّ تَسْأَلُ عَنْ مُوسَى بْنِ جَعْفَرٍ ، و</w:t>
      </w:r>
      <w:r w:rsidR="0097228D">
        <w:rPr>
          <w:rFonts w:hint="cs"/>
          <w:rtl/>
          <w:lang w:bidi="fa-IR"/>
        </w:rPr>
        <w:t>َ</w:t>
      </w:r>
      <w:r w:rsidRPr="00132E65">
        <w:rPr>
          <w:rtl/>
          <w:lang w:bidi="fa-IR"/>
        </w:rPr>
        <w:t>أَيْنَ مَنْزِلُهُ</w:t>
      </w:r>
      <w:r>
        <w:rPr>
          <w:rtl/>
          <w:lang w:bidi="fa-IR"/>
        </w:rPr>
        <w:t>؟</w:t>
      </w:r>
      <w:r w:rsidRPr="00132E65">
        <w:rPr>
          <w:rtl/>
          <w:lang w:bidi="fa-IR"/>
        </w:rPr>
        <w:t xml:space="preserve"> وأَيْنَ هُوَ</w:t>
      </w:r>
      <w:r>
        <w:rPr>
          <w:rtl/>
          <w:lang w:bidi="fa-IR"/>
        </w:rPr>
        <w:t>؟</w:t>
      </w:r>
      <w:r>
        <w:rPr>
          <w:rFonts w:hint="cs"/>
          <w:rtl/>
          <w:lang w:bidi="fa-IR"/>
        </w:rPr>
        <w:t xml:space="preserve"> </w:t>
      </w:r>
      <w:r w:rsidRPr="00132E65">
        <w:rPr>
          <w:rtl/>
          <w:lang w:bidi="fa-IR"/>
        </w:rPr>
        <w:t xml:space="preserve">مُسَافِرٌ أَمْ </w:t>
      </w:r>
      <w:r>
        <w:rPr>
          <w:rStyle w:val="libFootnotenumChar"/>
          <w:rtl/>
        </w:rPr>
        <w:t>(4)</w:t>
      </w:r>
      <w:r w:rsidRPr="00132E65">
        <w:rPr>
          <w:rtl/>
          <w:lang w:bidi="fa-IR"/>
        </w:rPr>
        <w:t xml:space="preserve"> حَاضِرٌ</w:t>
      </w:r>
      <w:r>
        <w:rPr>
          <w:rtl/>
          <w:lang w:bidi="fa-IR"/>
        </w:rPr>
        <w:t>؟</w:t>
      </w:r>
      <w:r w:rsidRPr="00132E65">
        <w:rPr>
          <w:rtl/>
          <w:lang w:bidi="fa-IR"/>
        </w:rPr>
        <w:t xml:space="preserve"> فَإِنْ كَانَ مُسَافِراً فَالْحَقْهُ ؛ فَإِنَّ سَفَرَهُ أَقْرَبُ مِمَّا ضَرَبْتَ </w:t>
      </w:r>
      <w:r>
        <w:rPr>
          <w:rStyle w:val="libFootnotenumChar"/>
          <w:rtl/>
        </w:rPr>
        <w:t>(5)</w:t>
      </w:r>
      <w:r w:rsidRPr="00132E65">
        <w:rPr>
          <w:rtl/>
          <w:lang w:bidi="fa-IR"/>
        </w:rPr>
        <w:t xml:space="preserve"> إِلَيْهِ.</w:t>
      </w:r>
    </w:p>
    <w:p w:rsidR="000C39D1" w:rsidRPr="00132E65" w:rsidRDefault="000C39D1" w:rsidP="000C39D1">
      <w:pPr>
        <w:pStyle w:val="libNormal"/>
        <w:rPr>
          <w:rtl/>
          <w:lang w:bidi="fa-IR"/>
        </w:rPr>
      </w:pPr>
      <w:r w:rsidRPr="00132E65">
        <w:rPr>
          <w:rtl/>
          <w:lang w:bidi="fa-IR"/>
        </w:rPr>
        <w:t xml:space="preserve">ثُمَّ أَعْلِمْهُ أَنَّ مَطْرَانَ </w:t>
      </w:r>
      <w:r>
        <w:rPr>
          <w:rStyle w:val="libFootnotenumChar"/>
          <w:rtl/>
        </w:rPr>
        <w:t>(6)</w:t>
      </w:r>
      <w:r w:rsidRPr="00132E65">
        <w:rPr>
          <w:rtl/>
          <w:lang w:bidi="fa-IR"/>
        </w:rPr>
        <w:t xml:space="preserve"> عُلْيَا </w:t>
      </w:r>
      <w:r>
        <w:rPr>
          <w:rStyle w:val="libFootnotenumChar"/>
          <w:rtl/>
        </w:rPr>
        <w:t>(7)</w:t>
      </w:r>
      <w:r w:rsidRPr="00132E65">
        <w:rPr>
          <w:rtl/>
          <w:lang w:bidi="fa-IR"/>
        </w:rPr>
        <w:t xml:space="preserve"> الْغُوطَةِ </w:t>
      </w:r>
      <w:r>
        <w:rPr>
          <w:rStyle w:val="libFootnotenumChar"/>
          <w:rtl/>
        </w:rPr>
        <w:t>(8)</w:t>
      </w:r>
      <w:r>
        <w:rPr>
          <w:rtl/>
          <w:lang w:bidi="fa-IR"/>
        </w:rPr>
        <w:t xml:space="preserve"> - </w:t>
      </w:r>
      <w:r w:rsidRPr="00132E65">
        <w:rPr>
          <w:rtl/>
          <w:lang w:bidi="fa-IR"/>
        </w:rPr>
        <w:t>غُوطَةِ دِمَشْقَ</w:t>
      </w:r>
      <w:r>
        <w:rPr>
          <w:rtl/>
          <w:lang w:bidi="fa-IR"/>
        </w:rPr>
        <w:t xml:space="preserve"> - </w:t>
      </w:r>
      <w:r w:rsidRPr="00132E65">
        <w:rPr>
          <w:rtl/>
          <w:lang w:bidi="fa-IR"/>
        </w:rPr>
        <w:t>هُوَ الَّذِي أَرْشَدَنِي إِلَيْكَ ، و</w:t>
      </w:r>
      <w:r w:rsidR="0097228D">
        <w:rPr>
          <w:rFonts w:hint="cs"/>
          <w:rtl/>
          <w:lang w:bidi="fa-IR"/>
        </w:rPr>
        <w:t xml:space="preserve">َ </w:t>
      </w:r>
      <w:r w:rsidRPr="00132E65">
        <w:rPr>
          <w:rtl/>
          <w:lang w:bidi="fa-IR"/>
        </w:rPr>
        <w:t>هُوَ يُقْرِئُكَ السَّلَامَ كَثِيراً ، و</w:t>
      </w:r>
      <w:r w:rsidR="0097228D">
        <w:rPr>
          <w:rFonts w:hint="cs"/>
          <w:rtl/>
          <w:lang w:bidi="fa-IR"/>
        </w:rPr>
        <w:t>َ</w:t>
      </w:r>
      <w:r w:rsidRPr="00132E65">
        <w:rPr>
          <w:rtl/>
          <w:lang w:bidi="fa-IR"/>
        </w:rPr>
        <w:t>يَقُولُ لَكَ : إِنِّي لَأُكْثِرُ مُنَاجَاةَ رَبِّي أَنْ يَجْعَلَ إِسْلَامِي عَلى يَدَيْكَ.</w:t>
      </w:r>
    </w:p>
    <w:p w:rsidR="000C39D1" w:rsidRPr="00132E65" w:rsidRDefault="000C39D1" w:rsidP="000C39D1">
      <w:pPr>
        <w:pStyle w:val="libNormal"/>
        <w:rPr>
          <w:rtl/>
          <w:lang w:bidi="fa-IR"/>
        </w:rPr>
      </w:pPr>
      <w:r w:rsidRPr="00132E65">
        <w:rPr>
          <w:rtl/>
          <w:lang w:bidi="fa-IR"/>
        </w:rPr>
        <w:t>فَقَصَّ هذِهِ الْقِصَّةَ و</w:t>
      </w:r>
      <w:r w:rsidR="0097228D">
        <w:rPr>
          <w:rFonts w:hint="cs"/>
          <w:rtl/>
          <w:lang w:bidi="fa-IR"/>
        </w:rPr>
        <w:t>َ</w:t>
      </w:r>
      <w:r w:rsidRPr="00132E65">
        <w:rPr>
          <w:rtl/>
          <w:lang w:bidi="fa-IR"/>
        </w:rPr>
        <w:t xml:space="preserve">هُوَ قَائِمٌ مُعْتَمِدٌ عَلى عَصَاهُ ، ثُمَّ قَالَ : إِنْ أَذِنْتَ لِي </w:t>
      </w:r>
      <w:r>
        <w:rPr>
          <w:rStyle w:val="libFootnotenumChar"/>
          <w:rtl/>
        </w:rPr>
        <w:t>(9)</w:t>
      </w:r>
      <w:r w:rsidRPr="00132E65">
        <w:rPr>
          <w:rtl/>
          <w:lang w:bidi="fa-IR"/>
        </w:rPr>
        <w:t xml:space="preserve"> يَا سَيِّدِي كَفَّرْتُ </w:t>
      </w:r>
      <w:r>
        <w:rPr>
          <w:rStyle w:val="libFootnotenumChar"/>
          <w:rtl/>
        </w:rPr>
        <w:t>(10)</w:t>
      </w:r>
      <w:r w:rsidRPr="00132E65">
        <w:rPr>
          <w:rtl/>
          <w:lang w:bidi="fa-IR"/>
        </w:rPr>
        <w:t xml:space="preserve"> لَكَ و</w:t>
      </w:r>
      <w:r w:rsidR="0097228D">
        <w:rPr>
          <w:rFonts w:hint="cs"/>
          <w:rtl/>
          <w:lang w:bidi="fa-IR"/>
        </w:rPr>
        <w:t>َ</w:t>
      </w:r>
      <w:r w:rsidRPr="00132E65">
        <w:rPr>
          <w:rtl/>
          <w:lang w:bidi="fa-IR"/>
        </w:rPr>
        <w:t>جَلَسْتُ.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الحِلْيَةُ » : كالحَلْي ، وهو اسم لكلّ ما يتزيّن به من مصانع الذهب والفضّة. وتطلق الحلية على الصفة أيضاً ، وهو المراد هنا كما في المرآة. راجع : </w:t>
      </w:r>
      <w:r w:rsidRPr="0097228D">
        <w:rPr>
          <w:rStyle w:val="libFootnoteBoldChar"/>
          <w:rtl/>
        </w:rPr>
        <w:t>النهاية</w:t>
      </w:r>
      <w:r w:rsidRPr="00132E65">
        <w:rPr>
          <w:rtl/>
        </w:rPr>
        <w:t xml:space="preserve"> ، ج 1 ، ص 435 ؛ </w:t>
      </w:r>
      <w:r w:rsidRPr="009D1ACE">
        <w:rPr>
          <w:rStyle w:val="libFootnoteBoldChar"/>
          <w:rtl/>
        </w:rPr>
        <w:t>لسان العرب</w:t>
      </w:r>
      <w:r w:rsidRPr="00132E65">
        <w:rPr>
          <w:rtl/>
        </w:rPr>
        <w:t xml:space="preserve"> ، ج 14 ، ص 195 ( حلا )</w:t>
      </w:r>
      <w:r>
        <w:rPr>
          <w:rtl/>
        </w:rPr>
        <w:t>.</w:t>
      </w:r>
    </w:p>
    <w:p w:rsidR="000C39D1" w:rsidRPr="00132E65" w:rsidRDefault="000C39D1" w:rsidP="000C39D1">
      <w:pPr>
        <w:pStyle w:val="libFootnote0"/>
        <w:rPr>
          <w:rtl/>
          <w:lang w:bidi="fa-IR"/>
        </w:rPr>
      </w:pPr>
      <w:r>
        <w:rPr>
          <w:rtl/>
        </w:rPr>
        <w:t>(2).</w:t>
      </w:r>
      <w:r w:rsidRPr="00132E65">
        <w:rPr>
          <w:rtl/>
        </w:rPr>
        <w:t xml:space="preserve"> في حاشية « ف » : « اشتدّ »</w:t>
      </w:r>
      <w:r>
        <w:rPr>
          <w:rtl/>
        </w:rPr>
        <w:t>.</w:t>
      </w:r>
    </w:p>
    <w:p w:rsidR="000C39D1" w:rsidRPr="00132E65" w:rsidRDefault="000C39D1" w:rsidP="000C39D1">
      <w:pPr>
        <w:pStyle w:val="libFootnote0"/>
        <w:rPr>
          <w:rtl/>
          <w:lang w:bidi="fa-IR"/>
        </w:rPr>
      </w:pPr>
      <w:r>
        <w:rPr>
          <w:rtl/>
        </w:rPr>
        <w:t>(3).</w:t>
      </w:r>
      <w:r w:rsidRPr="00132E65">
        <w:rPr>
          <w:rtl/>
        </w:rPr>
        <w:t xml:space="preserve"> في « بح » وشرح المازندراني : « بنقيع »</w:t>
      </w:r>
      <w:r>
        <w:rPr>
          <w:rtl/>
        </w:rPr>
        <w:t>.</w:t>
      </w:r>
      <w:r w:rsidRPr="00132E65">
        <w:rPr>
          <w:rtl/>
        </w:rPr>
        <w:t xml:space="preserve"> قال المازندراني : « ولعلّ الباء</w:t>
      </w:r>
      <w:r>
        <w:rPr>
          <w:rtl/>
        </w:rPr>
        <w:t xml:space="preserve"> - </w:t>
      </w:r>
      <w:r w:rsidRPr="00132E65">
        <w:rPr>
          <w:rtl/>
        </w:rPr>
        <w:t>كما في بعض النسخ</w:t>
      </w:r>
      <w:r>
        <w:rPr>
          <w:rtl/>
        </w:rPr>
        <w:t xml:space="preserve"> - </w:t>
      </w:r>
      <w:r w:rsidRPr="00132E65">
        <w:rPr>
          <w:rtl/>
        </w:rPr>
        <w:t>تصحيف »</w:t>
      </w:r>
      <w:r>
        <w:rPr>
          <w:rtl/>
        </w:rPr>
        <w:t>.</w:t>
      </w:r>
      <w:r w:rsidRPr="00132E65">
        <w:rPr>
          <w:rtl/>
        </w:rPr>
        <w:t xml:space="preserve"> </w:t>
      </w:r>
      <w:r>
        <w:rPr>
          <w:rtl/>
        </w:rPr>
        <w:t>و «</w:t>
      </w:r>
      <w:r w:rsidRPr="00132E65">
        <w:rPr>
          <w:rtl/>
        </w:rPr>
        <w:t xml:space="preserve"> البَقِيعُ » : الموضع فيه ا</w:t>
      </w:r>
      <w:r w:rsidR="0097228D">
        <w:rPr>
          <w:rFonts w:hint="cs"/>
          <w:rtl/>
        </w:rPr>
        <w:t>ُ</w:t>
      </w:r>
      <w:r w:rsidRPr="00132E65">
        <w:rPr>
          <w:rtl/>
        </w:rPr>
        <w:t>رُوم الشجر ، أي ا</w:t>
      </w:r>
      <w:r w:rsidR="0097228D">
        <w:rPr>
          <w:rFonts w:hint="cs"/>
          <w:rtl/>
        </w:rPr>
        <w:t>ُ</w:t>
      </w:r>
      <w:r w:rsidRPr="00132E65">
        <w:rPr>
          <w:rtl/>
        </w:rPr>
        <w:t xml:space="preserve">صولها من ضروب شتّى. يقال لعدّة مواضع بالمدينة تتميّز بالإضافة. منها : بقيع الزبير ؛ لإقطاع رسول الله إيّاه زبير بن العوّام. راجع : </w:t>
      </w:r>
      <w:r w:rsidRPr="0097228D">
        <w:rPr>
          <w:rStyle w:val="libFootnoteBoldChar"/>
          <w:rtl/>
        </w:rPr>
        <w:t>القاموس المحيط</w:t>
      </w:r>
      <w:r w:rsidRPr="00132E65">
        <w:rPr>
          <w:rtl/>
        </w:rPr>
        <w:t xml:space="preserve"> ، ج 2 ، ص 947 ( بقع ) ؛ </w:t>
      </w:r>
      <w:r w:rsidRPr="009D1ACE">
        <w:rPr>
          <w:rStyle w:val="libFootnoteBoldChar"/>
          <w:rtl/>
        </w:rPr>
        <w:t>الوافي</w:t>
      </w:r>
      <w:r w:rsidRPr="00132E65">
        <w:rPr>
          <w:rtl/>
        </w:rPr>
        <w:t xml:space="preserve"> ، ج 3 ، ص 804 ؛ </w:t>
      </w:r>
      <w:r w:rsidRPr="009D1ACE">
        <w:rPr>
          <w:rStyle w:val="libFootnoteBoldChar"/>
          <w:rtl/>
        </w:rPr>
        <w:t>مرآة العقول</w:t>
      </w:r>
      <w:r w:rsidRPr="00132E65">
        <w:rPr>
          <w:rtl/>
        </w:rPr>
        <w:t xml:space="preserve"> ، ج 5 ، ص 266 ، وج 6 ، ص 46.</w:t>
      </w:r>
    </w:p>
    <w:p w:rsidR="000C39D1" w:rsidRPr="00132E65" w:rsidRDefault="000C39D1" w:rsidP="000C39D1">
      <w:pPr>
        <w:pStyle w:val="libFootnote0"/>
        <w:rPr>
          <w:rtl/>
          <w:lang w:bidi="fa-IR"/>
        </w:rPr>
      </w:pPr>
      <w:r>
        <w:rPr>
          <w:rtl/>
        </w:rPr>
        <w:t>(4).</w:t>
      </w:r>
      <w:r w:rsidRPr="00132E65">
        <w:rPr>
          <w:rtl/>
        </w:rPr>
        <w:t xml:space="preserve"> في حاشية « بر » : « أو »</w:t>
      </w:r>
      <w:r>
        <w:rPr>
          <w:rtl/>
        </w:rPr>
        <w:t>.</w:t>
      </w:r>
    </w:p>
    <w:p w:rsidR="000C39D1" w:rsidRPr="00132E65" w:rsidRDefault="000C39D1" w:rsidP="000C39D1">
      <w:pPr>
        <w:pStyle w:val="libFootnote0"/>
        <w:rPr>
          <w:rtl/>
          <w:lang w:bidi="fa-IR"/>
        </w:rPr>
      </w:pPr>
      <w:r>
        <w:rPr>
          <w:rtl/>
        </w:rPr>
        <w:t>(5).</w:t>
      </w:r>
      <w:r w:rsidRPr="00132E65">
        <w:rPr>
          <w:rtl/>
        </w:rPr>
        <w:t xml:space="preserve"> « ضربت » ، أي سافرت. يقال : ضَرَبْتُ في الأرض ، إذا سافرتَ تبتغي الرزق. راجع : </w:t>
      </w:r>
      <w:r w:rsidRPr="009D1ACE">
        <w:rPr>
          <w:rStyle w:val="libFootnoteBoldChar"/>
          <w:rtl/>
        </w:rPr>
        <w:t>لسان العرب</w:t>
      </w:r>
      <w:r w:rsidRPr="00132E65">
        <w:rPr>
          <w:rtl/>
        </w:rPr>
        <w:t xml:space="preserve"> ، ج 1 ، ص 545 ( ضرب )</w:t>
      </w:r>
      <w:r>
        <w:rPr>
          <w:rtl/>
        </w:rPr>
        <w:t>.</w:t>
      </w:r>
    </w:p>
    <w:p w:rsidR="000C39D1" w:rsidRPr="00132E65" w:rsidRDefault="000C39D1" w:rsidP="000C39D1">
      <w:pPr>
        <w:pStyle w:val="libFootnote0"/>
        <w:rPr>
          <w:rtl/>
          <w:lang w:bidi="fa-IR"/>
        </w:rPr>
      </w:pPr>
      <w:r>
        <w:rPr>
          <w:rtl/>
        </w:rPr>
        <w:t>(6).</w:t>
      </w:r>
      <w:r w:rsidRPr="00132E65">
        <w:rPr>
          <w:rtl/>
        </w:rPr>
        <w:t xml:space="preserve"> « مَطْران » </w:t>
      </w:r>
      <w:r>
        <w:rPr>
          <w:rtl/>
        </w:rPr>
        <w:t>و «</w:t>
      </w:r>
      <w:r w:rsidRPr="00132E65">
        <w:rPr>
          <w:rtl/>
        </w:rPr>
        <w:t xml:space="preserve"> مِطْران » : لقب كبير النصارى ، وليس بعربيّ محض. راجع : </w:t>
      </w:r>
      <w:r w:rsidRPr="0097228D">
        <w:rPr>
          <w:rStyle w:val="libFootnoteBoldChar"/>
          <w:rtl/>
        </w:rPr>
        <w:t>القاموس المحيط</w:t>
      </w:r>
      <w:r w:rsidR="0097228D">
        <w:rPr>
          <w:rtl/>
        </w:rPr>
        <w:t xml:space="preserve"> ، ج 1 ، ص 662 ( مطر</w:t>
      </w:r>
      <w:r w:rsidRPr="00132E65">
        <w:rPr>
          <w:rtl/>
        </w:rPr>
        <w:t>)</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7228D">
        <w:rPr>
          <w:rStyle w:val="libFootnoteBoldChar"/>
          <w:rtl/>
        </w:rPr>
        <w:t>شرح المازندراني</w:t>
      </w:r>
      <w:r w:rsidRPr="00132E65">
        <w:rPr>
          <w:rtl/>
        </w:rPr>
        <w:t xml:space="preserve"> : « عليا ، اسم للمكان المرتفع وليست بتأنيث الأعلى »</w:t>
      </w:r>
      <w:r>
        <w:rPr>
          <w:rtl/>
        </w:rPr>
        <w:t>.</w:t>
      </w:r>
      <w:r w:rsidRPr="00132E65">
        <w:rPr>
          <w:rtl/>
        </w:rPr>
        <w:t xml:space="preserve"> وراجع : </w:t>
      </w:r>
      <w:r w:rsidRPr="0097228D">
        <w:rPr>
          <w:rStyle w:val="libFootnoteBoldChar"/>
          <w:rtl/>
        </w:rPr>
        <w:t>المصباح المنير</w:t>
      </w:r>
      <w:r w:rsidRPr="00132E65">
        <w:rPr>
          <w:rtl/>
        </w:rPr>
        <w:t xml:space="preserve"> ، ص 427 ( علو )</w:t>
      </w:r>
      <w:r>
        <w:rPr>
          <w:rtl/>
        </w:rPr>
        <w:t>.</w:t>
      </w:r>
    </w:p>
    <w:p w:rsidR="000C39D1" w:rsidRPr="00132E65" w:rsidRDefault="000C39D1" w:rsidP="000C39D1">
      <w:pPr>
        <w:pStyle w:val="libFootnote0"/>
        <w:rPr>
          <w:rtl/>
          <w:lang w:bidi="fa-IR"/>
        </w:rPr>
      </w:pPr>
      <w:r>
        <w:rPr>
          <w:rtl/>
        </w:rPr>
        <w:t>(8).</w:t>
      </w:r>
      <w:r w:rsidRPr="00132E65">
        <w:rPr>
          <w:rtl/>
        </w:rPr>
        <w:t xml:space="preserve"> « الغُوطَةُ » : اسم البساتين والمياه التي حول دمشق ، وهي غوطتها. والغُوطة : مجتمع الماء والنبات. ومدينة دمشق تسمّى غوطة أيضاً لذلك. راجع : </w:t>
      </w:r>
      <w:r w:rsidRPr="0097228D">
        <w:rPr>
          <w:rStyle w:val="libFootnoteBoldChar"/>
          <w:rtl/>
        </w:rPr>
        <w:t>النهاية</w:t>
      </w:r>
      <w:r w:rsidRPr="00132E65">
        <w:rPr>
          <w:rtl/>
        </w:rPr>
        <w:t xml:space="preserve"> ، ج 3 ، ص 396 ؛ </w:t>
      </w:r>
      <w:r w:rsidRPr="009D1ACE">
        <w:rPr>
          <w:rStyle w:val="libFootnoteBoldChar"/>
          <w:rtl/>
        </w:rPr>
        <w:t>لسان العرب</w:t>
      </w:r>
      <w:r w:rsidRPr="00132E65">
        <w:rPr>
          <w:rtl/>
        </w:rPr>
        <w:t xml:space="preserve"> ، ج 7 ، ص 36 ( غوط )</w:t>
      </w:r>
      <w:r>
        <w:rPr>
          <w:rtl/>
        </w:rPr>
        <w:t>.</w:t>
      </w:r>
    </w:p>
    <w:p w:rsidR="000C39D1" w:rsidRPr="00132E65" w:rsidRDefault="000C39D1" w:rsidP="000C39D1">
      <w:pPr>
        <w:pStyle w:val="libFootnote0"/>
        <w:rPr>
          <w:rtl/>
          <w:lang w:bidi="fa-IR"/>
        </w:rPr>
      </w:pPr>
      <w:r>
        <w:rPr>
          <w:rtl/>
        </w:rPr>
        <w:t>(9).</w:t>
      </w:r>
      <w:r w:rsidRPr="00132E65">
        <w:rPr>
          <w:rtl/>
        </w:rPr>
        <w:t xml:space="preserve"> في « بح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(10).</w:t>
      </w:r>
      <w:r w:rsidRPr="00132E65">
        <w:rPr>
          <w:rtl/>
        </w:rPr>
        <w:t xml:space="preserve"> التكفير : هو أن يضع الإنسان يده على صدره ويتطامَن لصاحبه. أو ينحني ويُطَأْطِئُ رأسه قريباً من </w:t>
      </w:r>
      <w:r w:rsidR="0097228D">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فَقَالَ : « آذَنُ لَكَ أَنْ تَجْلِسَ ، و</w:t>
      </w:r>
      <w:r w:rsidR="0097228D">
        <w:rPr>
          <w:rFonts w:hint="cs"/>
          <w:rtl/>
          <w:lang w:bidi="fa-IR"/>
        </w:rPr>
        <w:t>َ</w:t>
      </w:r>
      <w:r w:rsidRPr="00132E65">
        <w:rPr>
          <w:rtl/>
          <w:lang w:bidi="fa-IR"/>
        </w:rPr>
        <w:t>لَا</w:t>
      </w:r>
      <w:r>
        <w:rPr>
          <w:rFonts w:hint="cs"/>
          <w:rtl/>
          <w:lang w:bidi="fa-IR"/>
        </w:rPr>
        <w:t xml:space="preserve"> </w:t>
      </w:r>
      <w:r w:rsidRPr="00132E65">
        <w:rPr>
          <w:rtl/>
          <w:lang w:bidi="fa-IR"/>
        </w:rPr>
        <w:t xml:space="preserve">آذَنُ لَكَ </w:t>
      </w:r>
      <w:r>
        <w:rPr>
          <w:rStyle w:val="libFootnotenumChar"/>
          <w:rtl/>
        </w:rPr>
        <w:t>(1)</w:t>
      </w:r>
      <w:r w:rsidRPr="00132E65">
        <w:rPr>
          <w:rtl/>
          <w:lang w:bidi="fa-IR"/>
        </w:rPr>
        <w:t xml:space="preserve"> أَنْ تُكَفِّرَ »</w:t>
      </w:r>
      <w:r>
        <w:rPr>
          <w:rtl/>
          <w:lang w:bidi="fa-IR"/>
        </w:rPr>
        <w:t>.</w:t>
      </w:r>
    </w:p>
    <w:p w:rsidR="000C39D1" w:rsidRPr="00132E65" w:rsidRDefault="000C39D1" w:rsidP="000C39D1">
      <w:pPr>
        <w:pStyle w:val="libNormal"/>
        <w:rPr>
          <w:rtl/>
          <w:lang w:bidi="fa-IR"/>
        </w:rPr>
      </w:pPr>
      <w:r w:rsidRPr="00132E65">
        <w:rPr>
          <w:rtl/>
          <w:lang w:bidi="fa-IR"/>
        </w:rPr>
        <w:t xml:space="preserve">فَجَلَسَ ، ثُمَّ أَلْقى عَنْهُ بُرْنُسَهُ </w:t>
      </w:r>
      <w:r>
        <w:rPr>
          <w:rStyle w:val="libFootnotenumChar"/>
          <w:rtl/>
        </w:rPr>
        <w:t>(2)</w:t>
      </w:r>
      <w:r w:rsidRPr="00132E65">
        <w:rPr>
          <w:rtl/>
          <w:lang w:bidi="fa-IR"/>
        </w:rPr>
        <w:t xml:space="preserve"> ، ثُمَّ قَالَ : جُعِلْتُ فِدَاكَ ، تَأْذَنُ لِي فِي الْكَلَامِ</w:t>
      </w:r>
      <w:r>
        <w:rPr>
          <w:rtl/>
          <w:lang w:bidi="fa-IR"/>
        </w:rPr>
        <w:t>؟</w:t>
      </w:r>
      <w:r w:rsidRPr="00132E65">
        <w:rPr>
          <w:rtl/>
          <w:lang w:bidi="fa-IR"/>
        </w:rPr>
        <w:t xml:space="preserve"> قَالَ :</w:t>
      </w:r>
      <w:r>
        <w:rPr>
          <w:rFonts w:hint="cs"/>
          <w:rtl/>
          <w:lang w:bidi="fa-IR"/>
        </w:rPr>
        <w:t xml:space="preserve"> </w:t>
      </w:r>
      <w:r w:rsidR="0097228D">
        <w:rPr>
          <w:rtl/>
          <w:lang w:bidi="fa-IR"/>
        </w:rPr>
        <w:t>« نَعَمْ ، مَا جِئْتَ إِل</w:t>
      </w:r>
      <w:r w:rsidR="0097228D">
        <w:rPr>
          <w:rFonts w:hint="cs"/>
          <w:rtl/>
          <w:lang w:bidi="fa-IR"/>
        </w:rPr>
        <w:t>َّ</w:t>
      </w:r>
      <w:r w:rsidR="0097228D">
        <w:rPr>
          <w:rtl/>
          <w:lang w:bidi="fa-IR"/>
        </w:rPr>
        <w:t>ا</w:t>
      </w:r>
      <w:r w:rsidRPr="00132E65">
        <w:rPr>
          <w:rtl/>
          <w:lang w:bidi="fa-IR"/>
        </w:rPr>
        <w:t xml:space="preserve"> لَهُ »</w:t>
      </w:r>
      <w:r>
        <w:rPr>
          <w:rtl/>
          <w:lang w:bidi="fa-IR"/>
        </w:rPr>
        <w:t>.</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(3)</w:t>
      </w:r>
      <w:r w:rsidRPr="00132E65">
        <w:rPr>
          <w:rtl/>
          <w:lang w:bidi="fa-IR"/>
        </w:rPr>
        <w:t xml:space="preserve"> النَّصْرَانِيُّ : ارْدُد</w:t>
      </w:r>
      <w:r>
        <w:rPr>
          <w:rtl/>
          <w:lang w:bidi="fa-IR"/>
        </w:rPr>
        <w:t>ْ عَلى صَاحِبِي السَّلَامَ ، أَ</w:t>
      </w:r>
      <w:r w:rsidRPr="00132E65">
        <w:rPr>
          <w:rtl/>
          <w:lang w:bidi="fa-IR"/>
        </w:rPr>
        <w:t>و</w:t>
      </w:r>
      <w:r>
        <w:rPr>
          <w:rFonts w:hint="cs"/>
          <w:rtl/>
          <w:lang w:bidi="fa-IR"/>
        </w:rPr>
        <w:t xml:space="preserve"> </w:t>
      </w:r>
      <w:r>
        <w:rPr>
          <w:rStyle w:val="libFootnotenumChar"/>
          <w:rtl/>
        </w:rPr>
        <w:t>(4)</w:t>
      </w:r>
      <w:r w:rsidRPr="00132E65">
        <w:rPr>
          <w:rtl/>
          <w:lang w:bidi="fa-IR"/>
        </w:rPr>
        <w:t xml:space="preserve"> مَا تَرُدُّ السَّلَامَ</w:t>
      </w:r>
      <w:r>
        <w:rPr>
          <w:rtl/>
          <w:lang w:bidi="fa-IR"/>
        </w:rPr>
        <w:t>؟</w:t>
      </w:r>
      <w:r w:rsidRPr="00132E65">
        <w:rPr>
          <w:rtl/>
          <w:lang w:bidi="fa-IR"/>
        </w:rPr>
        <w:t xml:space="preserve"> فَقَالَ </w:t>
      </w:r>
      <w:r>
        <w:rPr>
          <w:rStyle w:val="libFootnotenumChar"/>
          <w:rtl/>
        </w:rPr>
        <w:t>(5)</w:t>
      </w:r>
      <w:r w:rsidRPr="00132E65">
        <w:rPr>
          <w:rtl/>
          <w:lang w:bidi="fa-IR"/>
        </w:rPr>
        <w:t xml:space="preserve"> أَبُو الْحَسَنِ </w:t>
      </w:r>
      <w:r w:rsidRPr="00071CF9">
        <w:rPr>
          <w:rStyle w:val="libAlaemChar"/>
          <w:rtl/>
        </w:rPr>
        <w:t>عليه‌السلام</w:t>
      </w:r>
      <w:r w:rsidRPr="00132E65">
        <w:rPr>
          <w:rtl/>
          <w:lang w:bidi="fa-IR"/>
        </w:rPr>
        <w:t xml:space="preserve"> : « عَلى صَاحِبِكَ أَنْ </w:t>
      </w:r>
      <w:r>
        <w:rPr>
          <w:rStyle w:val="libFootnotenumChar"/>
          <w:rtl/>
        </w:rPr>
        <w:t>(6)</w:t>
      </w:r>
      <w:r w:rsidRPr="00132E65">
        <w:rPr>
          <w:rtl/>
          <w:lang w:bidi="fa-IR"/>
        </w:rPr>
        <w:t xml:space="preserve"> هَدَاهُ اللهُ ، فَأَمَّا التَّسْلِيمُ فَذَاكَ إِذَا صَارَ فِي دِينِنَا »</w:t>
      </w:r>
      <w:r>
        <w:rPr>
          <w:rtl/>
          <w:lang w:bidi="fa-IR"/>
        </w:rPr>
        <w:t>.</w:t>
      </w:r>
    </w:p>
    <w:p w:rsidR="000C39D1" w:rsidRPr="00132E65" w:rsidRDefault="000C39D1" w:rsidP="000C39D1">
      <w:pPr>
        <w:pStyle w:val="libNormal"/>
        <w:rPr>
          <w:rtl/>
          <w:lang w:bidi="fa-IR"/>
        </w:rPr>
      </w:pPr>
      <w:r w:rsidRPr="00132E65">
        <w:rPr>
          <w:rtl/>
          <w:lang w:bidi="fa-IR"/>
        </w:rPr>
        <w:t>فَقَالَ النَّصْرَانِيُّ : إِنِّي أَسْأَلُكَ أَصْلَحَكَ اللهُ</w:t>
      </w:r>
      <w:r>
        <w:rPr>
          <w:rtl/>
          <w:lang w:bidi="fa-IR"/>
        </w:rPr>
        <w:t>؟</w:t>
      </w:r>
      <w:r w:rsidRPr="00132E65">
        <w:rPr>
          <w:rtl/>
          <w:lang w:bidi="fa-IR"/>
        </w:rPr>
        <w:t xml:space="preserve"> قَالَ : « سَلْ »</w:t>
      </w:r>
      <w:r>
        <w:rPr>
          <w:rtl/>
          <w:lang w:bidi="fa-IR"/>
        </w:rPr>
        <w:t>.</w:t>
      </w:r>
      <w:r w:rsidRPr="00132E65">
        <w:rPr>
          <w:rtl/>
          <w:lang w:bidi="fa-IR"/>
        </w:rPr>
        <w:t xml:space="preserve"> قَالَ : أَخْبِرْنِي عَنْ كِتَابِ اللهِ الَّذِي أَنْزَلَ </w:t>
      </w:r>
      <w:r>
        <w:rPr>
          <w:rStyle w:val="libFootnotenumChar"/>
          <w:rtl/>
        </w:rPr>
        <w:t>(7)</w:t>
      </w:r>
      <w:r w:rsidRPr="00132E65">
        <w:rPr>
          <w:rtl/>
          <w:lang w:bidi="fa-IR"/>
        </w:rPr>
        <w:t xml:space="preserve"> عَلى مُحَمَّدٍ و</w:t>
      </w:r>
      <w:r w:rsidR="0097228D">
        <w:rPr>
          <w:rFonts w:hint="cs"/>
          <w:rtl/>
          <w:lang w:bidi="fa-IR"/>
        </w:rPr>
        <w:t>َ</w:t>
      </w:r>
      <w:r w:rsidRPr="00132E65">
        <w:rPr>
          <w:rtl/>
          <w:lang w:bidi="fa-IR"/>
        </w:rPr>
        <w:t>نَطَقَ بِهِ ؛ ثُمَّ و</w:t>
      </w:r>
      <w:r w:rsidR="0097228D">
        <w:rPr>
          <w:rFonts w:hint="cs"/>
          <w:rtl/>
          <w:lang w:bidi="fa-IR"/>
        </w:rPr>
        <w:t>َ</w:t>
      </w:r>
      <w:r w:rsidRPr="00132E65">
        <w:rPr>
          <w:rtl/>
          <w:lang w:bidi="fa-IR"/>
        </w:rPr>
        <w:t>صَفَهُ بِمَا و</w:t>
      </w:r>
      <w:r w:rsidR="0097228D">
        <w:rPr>
          <w:rFonts w:hint="cs"/>
          <w:rtl/>
          <w:lang w:bidi="fa-IR"/>
        </w:rPr>
        <w:t>َ</w:t>
      </w:r>
      <w:r w:rsidRPr="00132E65">
        <w:rPr>
          <w:rtl/>
          <w:lang w:bidi="fa-IR"/>
        </w:rPr>
        <w:t xml:space="preserve">صَفَهُ بِهِ </w:t>
      </w:r>
      <w:r>
        <w:rPr>
          <w:rStyle w:val="libFootnotenumChar"/>
          <w:rtl/>
        </w:rPr>
        <w:t>(8)</w:t>
      </w:r>
      <w:r w:rsidRPr="00132E65">
        <w:rPr>
          <w:rtl/>
          <w:lang w:bidi="fa-IR"/>
        </w:rPr>
        <w:t xml:space="preserve"> ، فَقَالَ : </w:t>
      </w:r>
      <w:r w:rsidRPr="00071CF9">
        <w:rPr>
          <w:rStyle w:val="libAlaemChar"/>
          <w:rtl/>
        </w:rPr>
        <w:t>(</w:t>
      </w:r>
      <w:r w:rsidRPr="00071CF9">
        <w:rPr>
          <w:rStyle w:val="libAieChar"/>
          <w:rtl/>
        </w:rPr>
        <w:t xml:space="preserve"> حم </w:t>
      </w:r>
      <w:r w:rsidR="0097228D">
        <w:rPr>
          <w:rStyle w:val="libAieChar"/>
          <w:rFonts w:hint="cs"/>
          <w:rtl/>
        </w:rPr>
        <w:t xml:space="preserve">* </w:t>
      </w:r>
      <w:r w:rsidRPr="00071CF9">
        <w:rPr>
          <w:rStyle w:val="libAieChar"/>
          <w:rtl/>
        </w:rPr>
        <w:t xml:space="preserve">وَالْكِتابِ الْمُبِينِ إِنّا أَنْزَلْناهُ فِي لَيْلَةٍ مُبارَكَةٍ إِنّا كُنّا مُنْذِرِينَ </w:t>
      </w:r>
      <w:r w:rsidR="0097228D">
        <w:rPr>
          <w:rStyle w:val="libAieChar"/>
          <w:rFonts w:hint="cs"/>
          <w:rtl/>
        </w:rPr>
        <w:t xml:space="preserve">* </w:t>
      </w:r>
      <w:r w:rsidRPr="00071CF9">
        <w:rPr>
          <w:rStyle w:val="libAieChar"/>
          <w:rtl/>
        </w:rPr>
        <w:t xml:space="preserve">فِيها يُفْرَقُ كُلُّ أَمْرٍ حَكِيمٍ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مَا تَفْسِيرُهَا فِي الْبَاطِنِ</w:t>
      </w:r>
      <w:r>
        <w:rPr>
          <w:rtl/>
          <w:lang w:bidi="fa-IR"/>
        </w:rPr>
        <w:t>؟</w:t>
      </w:r>
    </w:p>
    <w:p w:rsidR="000C39D1" w:rsidRPr="00132E65" w:rsidRDefault="000C39D1" w:rsidP="000C39D1">
      <w:pPr>
        <w:pStyle w:val="libNormal"/>
        <w:rPr>
          <w:rtl/>
          <w:lang w:bidi="fa-IR"/>
        </w:rPr>
      </w:pPr>
      <w:r w:rsidRPr="00132E65">
        <w:rPr>
          <w:rtl/>
          <w:lang w:bidi="fa-IR"/>
        </w:rPr>
        <w:t>فَقَالَ : « أَمَّا</w:t>
      </w:r>
      <w:r>
        <w:rPr>
          <w:rFonts w:hint="cs"/>
          <w:rtl/>
          <w:lang w:bidi="fa-IR"/>
        </w:rPr>
        <w:t xml:space="preserve"> </w:t>
      </w:r>
      <w:r w:rsidRPr="00071CF9">
        <w:rPr>
          <w:rStyle w:val="libAlaemChar"/>
          <w:rtl/>
        </w:rPr>
        <w:t>(</w:t>
      </w:r>
      <w:r w:rsidRPr="00071CF9">
        <w:rPr>
          <w:rStyle w:val="libAieChar"/>
          <w:rtl/>
        </w:rPr>
        <w:t xml:space="preserve"> حم </w:t>
      </w:r>
      <w:r w:rsidRPr="00071CF9">
        <w:rPr>
          <w:rStyle w:val="libAlaemChar"/>
          <w:rtl/>
        </w:rPr>
        <w:t>)</w:t>
      </w:r>
      <w:r w:rsidRPr="00132E65">
        <w:rPr>
          <w:rtl/>
          <w:lang w:bidi="fa-IR"/>
        </w:rPr>
        <w:t xml:space="preserve"> فَهُوَ مُحَمَّدٌ </w:t>
      </w:r>
      <w:r w:rsidRPr="0093484F">
        <w:rPr>
          <w:rStyle w:val="libAlaemChar"/>
          <w:rFonts w:eastAsiaTheme="minorHAnsi"/>
          <w:rtl/>
        </w:rPr>
        <w:t>صلى‌الله‌عليه‌وآله</w:t>
      </w:r>
      <w:r w:rsidRPr="00132E65">
        <w:rPr>
          <w:rtl/>
          <w:lang w:bidi="fa-IR"/>
        </w:rPr>
        <w:t xml:space="preserve"> و</w:t>
      </w:r>
      <w:r w:rsidR="0097228D">
        <w:rPr>
          <w:rFonts w:hint="cs"/>
          <w:rtl/>
          <w:lang w:bidi="fa-IR"/>
        </w:rPr>
        <w:t xml:space="preserve">َ </w:t>
      </w:r>
      <w:r w:rsidRPr="00132E65">
        <w:rPr>
          <w:rtl/>
          <w:lang w:bidi="fa-IR"/>
        </w:rPr>
        <w:t>هُوَ فِي كِتَابِ هُودٍ الَّذِي أُنْزِلَ عَلَيْهِ و</w:t>
      </w:r>
      <w:r w:rsidR="0097228D">
        <w:rPr>
          <w:rFonts w:hint="cs"/>
          <w:rtl/>
          <w:lang w:bidi="fa-IR"/>
        </w:rPr>
        <w:t xml:space="preserve">َ </w:t>
      </w:r>
      <w:r w:rsidRPr="00132E65">
        <w:rPr>
          <w:rtl/>
          <w:lang w:bidi="fa-IR"/>
        </w:rPr>
        <w:t>هُوَ مَنْقُوصُ الْحُرُوفِ. و</w:t>
      </w:r>
      <w:r w:rsidR="0097228D">
        <w:rPr>
          <w:rFonts w:hint="cs"/>
          <w:rtl/>
          <w:lang w:bidi="fa-IR"/>
        </w:rPr>
        <w:t>َ</w:t>
      </w:r>
      <w:r w:rsidRPr="00132E65">
        <w:rPr>
          <w:rtl/>
          <w:lang w:bidi="fa-IR"/>
        </w:rPr>
        <w:t>أَمَّا</w:t>
      </w:r>
      <w:r>
        <w:rPr>
          <w:rFonts w:hint="cs"/>
          <w:rtl/>
          <w:lang w:bidi="fa-IR"/>
        </w:rPr>
        <w:t xml:space="preserve"> </w:t>
      </w:r>
      <w:r w:rsidRPr="00071CF9">
        <w:rPr>
          <w:rStyle w:val="libAlaemChar"/>
          <w:rtl/>
        </w:rPr>
        <w:t>(</w:t>
      </w:r>
      <w:r w:rsidRPr="00071CF9">
        <w:rPr>
          <w:rStyle w:val="libAieChar"/>
          <w:rtl/>
        </w:rPr>
        <w:t xml:space="preserve"> الْكِتابِ الْمُبِينِ </w:t>
      </w:r>
      <w:r w:rsidRPr="00071CF9">
        <w:rPr>
          <w:rStyle w:val="libAlaemChar"/>
          <w:rtl/>
        </w:rPr>
        <w:t>)</w:t>
      </w:r>
      <w:r w:rsidRPr="00132E65">
        <w:rPr>
          <w:rtl/>
          <w:lang w:bidi="fa-IR"/>
        </w:rPr>
        <w:t xml:space="preserve"> فَهُوَ أَمِيرُ الْمُؤْمِنِينَ عَلِيٌّ </w:t>
      </w:r>
      <w:r w:rsidRPr="00071CF9">
        <w:rPr>
          <w:rStyle w:val="libAlaemChar"/>
          <w:rtl/>
        </w:rPr>
        <w:t>عليه‌السلام</w:t>
      </w:r>
      <w:r w:rsidRPr="00132E65">
        <w:rPr>
          <w:rtl/>
          <w:lang w:bidi="fa-IR"/>
        </w:rPr>
        <w:t>. و</w:t>
      </w:r>
      <w:r w:rsidR="0097228D">
        <w:rPr>
          <w:rFonts w:hint="cs"/>
          <w:rtl/>
          <w:lang w:bidi="fa-IR"/>
        </w:rPr>
        <w:t>َ</w:t>
      </w:r>
      <w:r w:rsidRPr="00132E65">
        <w:rPr>
          <w:rtl/>
          <w:lang w:bidi="fa-IR"/>
        </w:rPr>
        <w:t>أَمَّا اللَّيْلَةُ ، فَفَاطِمَةُ‌</w:t>
      </w:r>
    </w:p>
    <w:p w:rsidR="000C39D1" w:rsidRPr="00132E65" w:rsidRDefault="000C39D1" w:rsidP="000C39D1">
      <w:pPr>
        <w:pStyle w:val="libLine"/>
        <w:rPr>
          <w:rtl/>
          <w:lang w:bidi="fa-IR"/>
        </w:rPr>
      </w:pPr>
      <w:r w:rsidRPr="00132E65">
        <w:rPr>
          <w:rtl/>
          <w:lang w:bidi="fa-IR"/>
        </w:rPr>
        <w:t>__________________</w:t>
      </w:r>
    </w:p>
    <w:p w:rsidR="000C39D1" w:rsidRPr="00132E65" w:rsidRDefault="0097228D" w:rsidP="000C39D1">
      <w:pPr>
        <w:pStyle w:val="libFootnote0"/>
        <w:rPr>
          <w:rtl/>
          <w:lang w:bidi="fa-IR"/>
        </w:rPr>
      </w:pPr>
      <w:r>
        <w:rPr>
          <w:rFonts w:hint="cs"/>
          <w:rtl/>
        </w:rPr>
        <w:t xml:space="preserve">= </w:t>
      </w:r>
      <w:r w:rsidR="000C39D1" w:rsidRPr="00132E65">
        <w:rPr>
          <w:rtl/>
        </w:rPr>
        <w:t xml:space="preserve">الركوع ، كما يفعل من يريد تعظيم صاحبه. راجع : </w:t>
      </w:r>
      <w:r w:rsidR="000C39D1" w:rsidRPr="0097228D">
        <w:rPr>
          <w:rStyle w:val="libFootnoteBoldChar"/>
          <w:rtl/>
        </w:rPr>
        <w:t>الصحاح</w:t>
      </w:r>
      <w:r w:rsidR="000C39D1" w:rsidRPr="00132E65">
        <w:rPr>
          <w:rtl/>
        </w:rPr>
        <w:t xml:space="preserve"> ، ج 2 ، ص 808 ؛ </w:t>
      </w:r>
      <w:r w:rsidR="000C39D1" w:rsidRPr="0097228D">
        <w:rPr>
          <w:rStyle w:val="libFootnoteBoldChar"/>
          <w:rtl/>
        </w:rPr>
        <w:t>النهاية</w:t>
      </w:r>
      <w:r w:rsidR="000C39D1" w:rsidRPr="00132E65">
        <w:rPr>
          <w:rtl/>
        </w:rPr>
        <w:t xml:space="preserve"> ، ج 4 ، ص 188 ( كفر )</w:t>
      </w:r>
      <w:r w:rsidR="000C39D1">
        <w:rPr>
          <w:rtl/>
        </w:rPr>
        <w:t>.</w:t>
      </w:r>
    </w:p>
    <w:p w:rsidR="000C39D1" w:rsidRPr="00132E65" w:rsidRDefault="000C39D1" w:rsidP="000C39D1">
      <w:pPr>
        <w:pStyle w:val="libFootnote0"/>
        <w:rPr>
          <w:rtl/>
          <w:lang w:bidi="fa-IR"/>
        </w:rPr>
      </w:pPr>
      <w:r>
        <w:rPr>
          <w:rtl/>
        </w:rPr>
        <w:t>(1).</w:t>
      </w:r>
      <w:r w:rsidRPr="00132E65">
        <w:rPr>
          <w:rtl/>
        </w:rPr>
        <w:t xml:space="preserve"> في « بف » </w:t>
      </w:r>
      <w:r>
        <w:rPr>
          <w:rtl/>
        </w:rPr>
        <w:t xml:space="preserve">: - </w:t>
      </w:r>
      <w:r w:rsidRPr="00132E65">
        <w:rPr>
          <w:rtl/>
        </w:rPr>
        <w:t>« لك »</w:t>
      </w:r>
      <w:r>
        <w:rPr>
          <w:rtl/>
        </w:rPr>
        <w:t>.</w:t>
      </w:r>
    </w:p>
    <w:p w:rsidR="000C39D1" w:rsidRPr="00132E65" w:rsidRDefault="000C39D1" w:rsidP="000C39D1">
      <w:pPr>
        <w:pStyle w:val="libFootnote0"/>
        <w:rPr>
          <w:rtl/>
          <w:lang w:bidi="fa-IR"/>
        </w:rPr>
      </w:pPr>
      <w:r>
        <w:rPr>
          <w:rtl/>
        </w:rPr>
        <w:t>(2).</w:t>
      </w:r>
      <w:r w:rsidRPr="00132E65">
        <w:rPr>
          <w:rtl/>
        </w:rPr>
        <w:t xml:space="preserve"> قال الجوهري : « البُرْنُسُ : قلنسوة طويلة ، وكان النُسّاك يلبسونها في صدر الإسلام »</w:t>
      </w:r>
      <w:r>
        <w:rPr>
          <w:rtl/>
        </w:rPr>
        <w:t>.</w:t>
      </w:r>
      <w:r w:rsidRPr="00132E65">
        <w:rPr>
          <w:rtl/>
        </w:rPr>
        <w:t xml:space="preserve"> وقال ابن الأثير : « هو كلّ‌ثوب رأسه ملتزق به من دُرّاعة أو جُبّة أو مِمْطَر أو غيره »</w:t>
      </w:r>
      <w:r>
        <w:rPr>
          <w:rtl/>
        </w:rPr>
        <w:t>.</w:t>
      </w:r>
      <w:r w:rsidRPr="00132E65">
        <w:rPr>
          <w:rtl/>
        </w:rPr>
        <w:t xml:space="preserve"> راجع : </w:t>
      </w:r>
      <w:r w:rsidRPr="0097228D">
        <w:rPr>
          <w:rStyle w:val="libFootnoteBoldChar"/>
          <w:rtl/>
        </w:rPr>
        <w:t>الصحاح</w:t>
      </w:r>
      <w:r w:rsidRPr="00132E65">
        <w:rPr>
          <w:rtl/>
        </w:rPr>
        <w:t xml:space="preserve"> ، ج 3 ، ص 908 ؛ </w:t>
      </w:r>
      <w:r w:rsidRPr="0097228D">
        <w:rPr>
          <w:rStyle w:val="libFootnoteBoldChar"/>
          <w:rtl/>
        </w:rPr>
        <w:t>النهاية</w:t>
      </w:r>
      <w:r w:rsidRPr="00132E65">
        <w:rPr>
          <w:rtl/>
        </w:rPr>
        <w:t xml:space="preserve"> ، ج 3 ، ص 122 ( برنس )</w:t>
      </w:r>
      <w:r>
        <w:rPr>
          <w:rtl/>
        </w:rPr>
        <w:t>.</w:t>
      </w:r>
    </w:p>
    <w:p w:rsidR="000C39D1" w:rsidRPr="00132E65" w:rsidRDefault="000C39D1" w:rsidP="000C39D1">
      <w:pPr>
        <w:pStyle w:val="libFootnote0"/>
        <w:rPr>
          <w:rtl/>
          <w:lang w:bidi="fa-IR"/>
        </w:rPr>
      </w:pPr>
      <w:r>
        <w:rPr>
          <w:rtl/>
        </w:rPr>
        <w:t>(3).</w:t>
      </w:r>
      <w:r w:rsidRPr="00132E65">
        <w:rPr>
          <w:rtl/>
        </w:rPr>
        <w:t xml:space="preserve"> في « بس » </w:t>
      </w:r>
      <w:r>
        <w:rPr>
          <w:rtl/>
        </w:rPr>
        <w:t xml:space="preserve">: - </w:t>
      </w:r>
      <w:r w:rsidRPr="00132E65">
        <w:rPr>
          <w:rtl/>
        </w:rPr>
        <w:t>« له »</w:t>
      </w:r>
      <w:r>
        <w:rPr>
          <w:rtl/>
        </w:rPr>
        <w:t>.</w:t>
      </w:r>
    </w:p>
    <w:p w:rsidR="000C39D1" w:rsidRPr="00132E65" w:rsidRDefault="000C39D1" w:rsidP="0097228D">
      <w:pPr>
        <w:pStyle w:val="libFootnote0"/>
        <w:rPr>
          <w:rtl/>
          <w:lang w:bidi="fa-IR"/>
        </w:rPr>
      </w:pPr>
      <w:r>
        <w:rPr>
          <w:rtl/>
        </w:rPr>
        <w:t>(4).</w:t>
      </w:r>
      <w:r w:rsidRPr="00132E65">
        <w:rPr>
          <w:rtl/>
        </w:rPr>
        <w:t xml:space="preserve"> يجوز فيه فتح الواو وسكونها ، والنسخ أيضاً مختلفة. والترديد من الراوي. ويحتمل الجمع على أن يكون الهمزة للاستفهام الإنكاري ، والواو للعطف. قال المجلسي : « وكأنّه أظهر »</w:t>
      </w:r>
      <w:r>
        <w:rPr>
          <w:rtl/>
        </w:rPr>
        <w:t>.</w:t>
      </w:r>
      <w:r w:rsidRPr="00132E65">
        <w:rPr>
          <w:rtl/>
        </w:rPr>
        <w:t xml:space="preserve"> راجع : </w:t>
      </w:r>
      <w:r w:rsidRPr="0097228D">
        <w:rPr>
          <w:rStyle w:val="libFootnoteBoldChar"/>
          <w:rtl/>
        </w:rPr>
        <w:t>شرح المازندراني</w:t>
      </w:r>
      <w:r w:rsidRPr="00132E65">
        <w:rPr>
          <w:rtl/>
        </w:rPr>
        <w:t xml:space="preserve"> ، ج 7 ، ص 252 ؛ </w:t>
      </w:r>
      <w:r w:rsidRPr="009D1ACE">
        <w:rPr>
          <w:rStyle w:val="libFootnoteBoldChar"/>
          <w:rtl/>
        </w:rPr>
        <w:t>مرآة العقول</w:t>
      </w:r>
      <w:r w:rsidRPr="00132E65">
        <w:rPr>
          <w:rtl/>
        </w:rPr>
        <w:t xml:space="preserve"> ، ج 6 ، ص 47.</w:t>
      </w:r>
      <w:r w:rsidR="0097228D">
        <w:rPr>
          <w:rFonts w:hint="cs"/>
          <w:rtl/>
        </w:rPr>
        <w:t xml:space="preserve">                                            </w:t>
      </w:r>
      <w:r>
        <w:rPr>
          <w:rtl/>
        </w:rPr>
        <w:t>(5).</w:t>
      </w:r>
      <w:r w:rsidRPr="00132E65">
        <w:rPr>
          <w:rtl/>
        </w:rPr>
        <w:t xml:space="preserve"> في « ب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في « ج ، بف » وشرح المازندراني </w:t>
      </w:r>
      <w:r w:rsidRPr="0097228D">
        <w:rPr>
          <w:rtl/>
        </w:rPr>
        <w:t>والوافي</w:t>
      </w:r>
      <w:r w:rsidRPr="00132E65">
        <w:rPr>
          <w:rtl/>
        </w:rPr>
        <w:t xml:space="preserve"> : « أن » بفتح الهمزة. وليس في غيرها من النسخ ما ينافيه. قال المازندراني : « والقول بكسرها</w:t>
      </w:r>
      <w:r>
        <w:rPr>
          <w:rtl/>
        </w:rPr>
        <w:t xml:space="preserve"> - </w:t>
      </w:r>
      <w:r w:rsidRPr="00132E65">
        <w:rPr>
          <w:rtl/>
        </w:rPr>
        <w:t>بأنّ معناها على صاحبك السلام بشرط الهداية</w:t>
      </w:r>
      <w:r>
        <w:rPr>
          <w:rtl/>
        </w:rPr>
        <w:t xml:space="preserve"> - </w:t>
      </w:r>
      <w:r w:rsidRPr="00132E65">
        <w:rPr>
          <w:rtl/>
        </w:rPr>
        <w:t>فمع بُعده ، يأباه سياق ما بعدها »</w:t>
      </w:r>
      <w:r>
        <w:rPr>
          <w:rtl/>
        </w:rPr>
        <w:t>.</w:t>
      </w:r>
      <w:r w:rsidRPr="00132E65">
        <w:rPr>
          <w:rtl/>
        </w:rPr>
        <w:t xml:space="preserve"> واحتمله في </w:t>
      </w:r>
      <w:r w:rsidRPr="009D1ACE">
        <w:rPr>
          <w:rStyle w:val="libFootnoteBoldChar"/>
          <w:rtl/>
        </w:rPr>
        <w:t>مرآة العقول</w:t>
      </w:r>
      <w:r w:rsidRPr="00132E65">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الذي ا</w:t>
      </w:r>
      <w:r w:rsidR="0097228D">
        <w:rPr>
          <w:rFonts w:hint="cs"/>
          <w:rtl/>
        </w:rPr>
        <w:t>ُ</w:t>
      </w:r>
      <w:r w:rsidRPr="00132E65">
        <w:rPr>
          <w:rtl/>
        </w:rPr>
        <w:t>نزل ، على المجهول أو المعلوم » والسياق يرجّح الثاني.</w:t>
      </w:r>
    </w:p>
    <w:tbl>
      <w:tblPr>
        <w:tblStyle w:val="TableGrid"/>
        <w:bidiVisual/>
        <w:tblW w:w="0" w:type="auto"/>
        <w:tblLook w:val="04A0" w:firstRow="1" w:lastRow="0" w:firstColumn="1" w:lastColumn="0" w:noHBand="0" w:noVBand="1"/>
      </w:tblPr>
      <w:tblGrid>
        <w:gridCol w:w="4261"/>
        <w:gridCol w:w="4262"/>
      </w:tblGrid>
      <w:tr w:rsidR="0097228D" w:rsidTr="0097228D">
        <w:tc>
          <w:tcPr>
            <w:tcW w:w="4261" w:type="dxa"/>
          </w:tcPr>
          <w:p w:rsidR="0097228D" w:rsidRDefault="0097228D" w:rsidP="000C39D1">
            <w:pPr>
              <w:pStyle w:val="libFootnote0"/>
              <w:rPr>
                <w:rtl/>
              </w:rPr>
            </w:pPr>
            <w:r>
              <w:rPr>
                <w:rtl/>
              </w:rPr>
              <w:t>(8).</w:t>
            </w:r>
            <w:r w:rsidRPr="00132E65">
              <w:rPr>
                <w:rtl/>
              </w:rPr>
              <w:t xml:space="preserve"> في « بر ، بس » </w:t>
            </w:r>
            <w:r>
              <w:rPr>
                <w:rtl/>
              </w:rPr>
              <w:t xml:space="preserve">: - </w:t>
            </w:r>
            <w:r w:rsidRPr="00132E65">
              <w:rPr>
                <w:rtl/>
              </w:rPr>
              <w:t>« به »</w:t>
            </w:r>
            <w:r>
              <w:rPr>
                <w:rtl/>
              </w:rPr>
              <w:t>.</w:t>
            </w:r>
          </w:p>
        </w:tc>
        <w:tc>
          <w:tcPr>
            <w:tcW w:w="4262" w:type="dxa"/>
          </w:tcPr>
          <w:p w:rsidR="0097228D" w:rsidRDefault="005F56E6" w:rsidP="000C39D1">
            <w:pPr>
              <w:pStyle w:val="libFootnote0"/>
              <w:rPr>
                <w:rtl/>
              </w:rPr>
            </w:pPr>
            <w:r>
              <w:rPr>
                <w:rtl/>
              </w:rPr>
              <w:t>(9).</w:t>
            </w:r>
            <w:r w:rsidRPr="00132E65">
              <w:rPr>
                <w:rtl/>
              </w:rPr>
              <w:t xml:space="preserve"> الدخان (44) : 1</w:t>
            </w:r>
            <w:r>
              <w:rPr>
                <w:rtl/>
              </w:rPr>
              <w:t xml:space="preserve"> - </w:t>
            </w:r>
            <w:r w:rsidRPr="00132E65">
              <w:rPr>
                <w:rtl/>
              </w:rPr>
              <w:t>4.</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صَلَوَاتُ الله عَلَيْهَا. وأَمَّا قَوْلُهُ : </w:t>
      </w:r>
      <w:r w:rsidRPr="00071CF9">
        <w:rPr>
          <w:rStyle w:val="libAlaemChar"/>
          <w:rtl/>
        </w:rPr>
        <w:t>(</w:t>
      </w:r>
      <w:r w:rsidRPr="00071CF9">
        <w:rPr>
          <w:rStyle w:val="libAieChar"/>
          <w:rtl/>
        </w:rPr>
        <w:t xml:space="preserve"> فِيها يُفْرَقُ كُلُّ أَمْرٍ حَكِيمٍ </w:t>
      </w:r>
      <w:r w:rsidRPr="00071CF9">
        <w:rPr>
          <w:rStyle w:val="libAlaemChar"/>
          <w:rtl/>
        </w:rPr>
        <w:t>)</w:t>
      </w:r>
      <w:r w:rsidRPr="00132E65">
        <w:rPr>
          <w:rtl/>
          <w:lang w:bidi="fa-IR"/>
        </w:rPr>
        <w:t xml:space="preserve"> يَقُولُ : يَخْرُجُ مِنْهَا خَيْرٌ </w:t>
      </w:r>
      <w:r>
        <w:rPr>
          <w:rStyle w:val="libFootnotenumChar"/>
          <w:rtl/>
        </w:rPr>
        <w:t>(1)</w:t>
      </w:r>
      <w:r w:rsidRPr="00132E65">
        <w:rPr>
          <w:rtl/>
          <w:lang w:bidi="fa-IR"/>
        </w:rPr>
        <w:t xml:space="preserve"> كَثِيرٌ ، فَرَجُلٌ حَكِيمٌ ، و</w:t>
      </w:r>
      <w:r w:rsidR="005F56E6">
        <w:rPr>
          <w:rFonts w:hint="cs"/>
          <w:rtl/>
          <w:lang w:bidi="fa-IR"/>
        </w:rPr>
        <w:t xml:space="preserve">َ </w:t>
      </w:r>
      <w:r w:rsidRPr="00132E65">
        <w:rPr>
          <w:rtl/>
          <w:lang w:bidi="fa-IR"/>
        </w:rPr>
        <w:t>رَجُلٌ حَكِيمٌ ، و</w:t>
      </w:r>
      <w:r w:rsidR="005F56E6">
        <w:rPr>
          <w:rFonts w:hint="cs"/>
          <w:rtl/>
          <w:lang w:bidi="fa-IR"/>
        </w:rPr>
        <w:t>َ</w:t>
      </w:r>
      <w:r w:rsidRPr="00132E65">
        <w:rPr>
          <w:rtl/>
          <w:lang w:bidi="fa-IR"/>
        </w:rPr>
        <w:t>رَجُلٌ حَكِيمٌ »</w:t>
      </w:r>
      <w:r>
        <w:rPr>
          <w:rtl/>
          <w:lang w:bidi="fa-IR"/>
        </w:rPr>
        <w:t>.</w:t>
      </w:r>
    </w:p>
    <w:p w:rsidR="000C39D1" w:rsidRPr="00132E65" w:rsidRDefault="000C39D1" w:rsidP="000C39D1">
      <w:pPr>
        <w:pStyle w:val="libNormal"/>
        <w:rPr>
          <w:rtl/>
          <w:lang w:bidi="fa-IR"/>
        </w:rPr>
      </w:pPr>
      <w:r w:rsidRPr="00132E65">
        <w:rPr>
          <w:rtl/>
          <w:lang w:bidi="fa-IR"/>
        </w:rPr>
        <w:t xml:space="preserve">فَقَالَ الرَّجُلُ : صِفْ لِيَ الْأَوَّلَ والْآخِرَ مِنْ هؤُلَاءِ الرِّجَالِ ، فَقَالَ </w:t>
      </w:r>
      <w:r>
        <w:rPr>
          <w:rStyle w:val="libFootnotenumChar"/>
          <w:rtl/>
        </w:rPr>
        <w:t>(2)</w:t>
      </w:r>
      <w:r w:rsidRPr="00132E65">
        <w:rPr>
          <w:rtl/>
          <w:lang w:bidi="fa-IR"/>
        </w:rPr>
        <w:t xml:space="preserve"> : « إِنَّ الصِّفَاتِ تَشْتَبِهُ ، و</w:t>
      </w:r>
      <w:r w:rsidR="005F56E6">
        <w:rPr>
          <w:rFonts w:hint="cs"/>
          <w:rtl/>
          <w:lang w:bidi="fa-IR"/>
        </w:rPr>
        <w:t>َ</w:t>
      </w:r>
      <w:r w:rsidRPr="00132E65">
        <w:rPr>
          <w:rtl/>
          <w:lang w:bidi="fa-IR"/>
        </w:rPr>
        <w:t>لكِنَّ الثَّالِثَ مِنَ الْقَوْمِ أَصِفُ لَكَ مَا يَخْرُجُ مِنْ نَسْلِهِ ، و</w:t>
      </w:r>
      <w:r w:rsidR="005F56E6">
        <w:rPr>
          <w:rFonts w:hint="cs"/>
          <w:rtl/>
          <w:lang w:bidi="fa-IR"/>
        </w:rPr>
        <w:t>َ</w:t>
      </w:r>
      <w:r w:rsidRPr="00132E65">
        <w:rPr>
          <w:rtl/>
          <w:lang w:bidi="fa-IR"/>
        </w:rPr>
        <w:t xml:space="preserve">إِنَّهُ عِنْدَكُمْ لَفِي الْكُتُبِ الَّتِي نَزَلَتْ </w:t>
      </w:r>
      <w:r>
        <w:rPr>
          <w:rStyle w:val="libFootnotenumChar"/>
          <w:rtl/>
        </w:rPr>
        <w:t>(3)</w:t>
      </w:r>
      <w:r w:rsidRPr="00132E65">
        <w:rPr>
          <w:rtl/>
          <w:lang w:bidi="fa-IR"/>
        </w:rPr>
        <w:t xml:space="preserve"> عَلَيْكُمْ إِنْ لَمْ تُغَيِّرُوا و</w:t>
      </w:r>
      <w:r w:rsidR="005F56E6">
        <w:rPr>
          <w:rFonts w:hint="cs"/>
          <w:rtl/>
          <w:lang w:bidi="fa-IR"/>
        </w:rPr>
        <w:t>َ</w:t>
      </w:r>
      <w:r w:rsidRPr="00132E65">
        <w:rPr>
          <w:rtl/>
          <w:lang w:bidi="fa-IR"/>
        </w:rPr>
        <w:t>تُحَرِّفُوا و</w:t>
      </w:r>
      <w:r w:rsidR="005F56E6">
        <w:rPr>
          <w:rFonts w:hint="cs"/>
          <w:rtl/>
          <w:lang w:bidi="fa-IR"/>
        </w:rPr>
        <w:t>َ</w:t>
      </w:r>
      <w:r w:rsidRPr="00132E65">
        <w:rPr>
          <w:rtl/>
          <w:lang w:bidi="fa-IR"/>
        </w:rPr>
        <w:t>تُكَفِّرُوا و</w:t>
      </w:r>
      <w:r w:rsidR="005F56E6">
        <w:rPr>
          <w:rFonts w:hint="cs"/>
          <w:rtl/>
          <w:lang w:bidi="fa-IR"/>
        </w:rPr>
        <w:t>َ</w:t>
      </w:r>
      <w:r>
        <w:rPr>
          <w:rFonts w:hint="cs"/>
          <w:rtl/>
          <w:lang w:bidi="fa-IR"/>
        </w:rPr>
        <w:t xml:space="preserve"> </w:t>
      </w:r>
      <w:r>
        <w:rPr>
          <w:rStyle w:val="libFootnotenumChar"/>
          <w:rtl/>
        </w:rPr>
        <w:t>(4)</w:t>
      </w:r>
      <w:r w:rsidRPr="00132E65">
        <w:rPr>
          <w:rtl/>
          <w:lang w:bidi="fa-IR"/>
        </w:rPr>
        <w:t xml:space="preserve"> قَدِيماً مَا فَعَلْتُمْ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(5)</w:t>
      </w:r>
      <w:r w:rsidRPr="00132E65">
        <w:rPr>
          <w:rtl/>
          <w:lang w:bidi="fa-IR"/>
        </w:rPr>
        <w:t xml:space="preserve"> لَهُ </w:t>
      </w:r>
      <w:r>
        <w:rPr>
          <w:rStyle w:val="libFootnotenumChar"/>
          <w:rtl/>
        </w:rPr>
        <w:t>(6)</w:t>
      </w:r>
      <w:r w:rsidRPr="00132E65">
        <w:rPr>
          <w:rtl/>
          <w:lang w:bidi="fa-IR"/>
        </w:rPr>
        <w:t xml:space="preserve"> النَّصْرَانِيُّ : إِنِّي لَا</w:t>
      </w:r>
      <w:r>
        <w:rPr>
          <w:rFonts w:hint="cs"/>
          <w:rtl/>
          <w:lang w:bidi="fa-IR"/>
        </w:rPr>
        <w:t xml:space="preserve"> </w:t>
      </w:r>
      <w:r w:rsidRPr="00132E65">
        <w:rPr>
          <w:rtl/>
          <w:lang w:bidi="fa-IR"/>
        </w:rPr>
        <w:t>أَسْتُرُ عَنْكَ مَا عَلِمْتُ ، و</w:t>
      </w:r>
      <w:r w:rsidR="005F56E6">
        <w:rPr>
          <w:rFonts w:hint="cs"/>
          <w:rtl/>
          <w:lang w:bidi="fa-IR"/>
        </w:rPr>
        <w:t>َ</w:t>
      </w:r>
      <w:r w:rsidRPr="00132E65">
        <w:rPr>
          <w:rtl/>
          <w:lang w:bidi="fa-IR"/>
        </w:rPr>
        <w:t>لَا</w:t>
      </w:r>
      <w:r>
        <w:rPr>
          <w:rFonts w:hint="cs"/>
          <w:rtl/>
          <w:lang w:bidi="fa-IR"/>
        </w:rPr>
        <w:t xml:space="preserve"> </w:t>
      </w:r>
      <w:r w:rsidRPr="00132E65">
        <w:rPr>
          <w:rtl/>
          <w:lang w:bidi="fa-IR"/>
        </w:rPr>
        <w:t>أُكَذِّبُكَ ، و</w:t>
      </w:r>
      <w:r w:rsidR="005F56E6">
        <w:rPr>
          <w:rFonts w:hint="cs"/>
          <w:rtl/>
          <w:lang w:bidi="fa-IR"/>
        </w:rPr>
        <w:t>َ</w:t>
      </w:r>
      <w:r w:rsidRPr="00132E65">
        <w:rPr>
          <w:rtl/>
          <w:lang w:bidi="fa-IR"/>
        </w:rPr>
        <w:t xml:space="preserve">أَنْتَ تَعْلَمُ مَا أَقُولُ فِي صِدْقِ مَا أَقُولُ </w:t>
      </w:r>
      <w:r>
        <w:rPr>
          <w:rStyle w:val="libFootnotenumChar"/>
          <w:rtl/>
        </w:rPr>
        <w:t>(7)</w:t>
      </w:r>
      <w:r w:rsidRPr="00132E65">
        <w:rPr>
          <w:rtl/>
          <w:lang w:bidi="fa-IR"/>
        </w:rPr>
        <w:t xml:space="preserve"> و</w:t>
      </w:r>
      <w:r w:rsidR="005F56E6">
        <w:rPr>
          <w:rFonts w:hint="cs"/>
          <w:rtl/>
          <w:lang w:bidi="fa-IR"/>
        </w:rPr>
        <w:t>َ</w:t>
      </w:r>
      <w:r w:rsidRPr="00132E65">
        <w:rPr>
          <w:rtl/>
          <w:lang w:bidi="fa-IR"/>
        </w:rPr>
        <w:t>كَذِبِهِ ، و</w:t>
      </w:r>
      <w:r w:rsidR="005F56E6">
        <w:rPr>
          <w:rFonts w:hint="cs"/>
          <w:rtl/>
          <w:lang w:bidi="fa-IR"/>
        </w:rPr>
        <w:t>َ</w:t>
      </w:r>
      <w:r w:rsidRPr="00132E65">
        <w:rPr>
          <w:rtl/>
          <w:lang w:bidi="fa-IR"/>
        </w:rPr>
        <w:t xml:space="preserve">اللهِ لَقَدْ أَعْطَاكَ اللهُ مِنْ فَضْلِهِ ، وقَسَمَ عَلَيْكَ مِنْ نِعَمِهِ مَا لَا يَخْطُرُهُ الْخَاطِرُونَ </w:t>
      </w:r>
      <w:r>
        <w:rPr>
          <w:rStyle w:val="libFootnotenumChar"/>
          <w:rtl/>
        </w:rPr>
        <w:t>(8)</w:t>
      </w:r>
      <w:r w:rsidRPr="00132E65">
        <w:rPr>
          <w:rtl/>
          <w:lang w:bidi="fa-IR"/>
        </w:rPr>
        <w:t xml:space="preserve"> ، و</w:t>
      </w:r>
      <w:r w:rsidR="005F56E6">
        <w:rPr>
          <w:rFonts w:hint="cs"/>
          <w:rtl/>
          <w:lang w:bidi="fa-IR"/>
        </w:rPr>
        <w:t>َ</w:t>
      </w:r>
      <w:r w:rsidRPr="00132E65">
        <w:rPr>
          <w:rtl/>
          <w:lang w:bidi="fa-IR"/>
        </w:rPr>
        <w:t xml:space="preserve">لَايَسْتُرُهُ السَّاتِرُونَ ، ولَايُكَذِّبُ فِيهِ مَنْ كَذَّبَ </w:t>
      </w:r>
      <w:r>
        <w:rPr>
          <w:rStyle w:val="libFootnotenumChar"/>
          <w:rtl/>
        </w:rPr>
        <w:t>(9)</w:t>
      </w:r>
      <w:r w:rsidRPr="00132E65">
        <w:rPr>
          <w:rtl/>
          <w:lang w:bidi="fa-IR"/>
        </w:rPr>
        <w:t xml:space="preserve"> ، فَقَوْلِي لَكَ فِي ذلِكَ الْحَقُّ ، كُلُّ مَا </w:t>
      </w:r>
      <w:r>
        <w:rPr>
          <w:rStyle w:val="libFootnotenumChar"/>
          <w:rtl/>
        </w:rPr>
        <w:t>(10)</w:t>
      </w:r>
      <w:r w:rsidRPr="00132E65">
        <w:rPr>
          <w:rtl/>
          <w:lang w:bidi="fa-IR"/>
        </w:rPr>
        <w:t xml:space="preserve"> ذَكَرْتُ فَهُوَ كَمَا ذَكَرْتُ.</w:t>
      </w:r>
    </w:p>
    <w:p w:rsidR="000C39D1" w:rsidRPr="00132E65" w:rsidRDefault="000C39D1" w:rsidP="000C39D1">
      <w:pPr>
        <w:pStyle w:val="libNormal"/>
        <w:rPr>
          <w:rtl/>
          <w:lang w:bidi="fa-IR"/>
        </w:rPr>
      </w:pPr>
      <w:r w:rsidRPr="00132E65">
        <w:rPr>
          <w:rtl/>
          <w:lang w:bidi="fa-IR"/>
        </w:rPr>
        <w:t xml:space="preserve">فَقَالَ لَهُ أَبُو إِبْرَاهِيمَ </w:t>
      </w:r>
      <w:r w:rsidRPr="00071CF9">
        <w:rPr>
          <w:rStyle w:val="libAlaemChar"/>
          <w:rtl/>
        </w:rPr>
        <w:t>عليه‌السلام</w:t>
      </w:r>
      <w:r w:rsidRPr="00132E65">
        <w:rPr>
          <w:rtl/>
          <w:lang w:bidi="fa-IR"/>
        </w:rPr>
        <w:t xml:space="preserve"> : « أُعَجِّلُكَ </w:t>
      </w:r>
      <w:r>
        <w:rPr>
          <w:rStyle w:val="libFootnotenumChar"/>
          <w:rtl/>
        </w:rPr>
        <w:t>(11)</w:t>
      </w:r>
      <w:r w:rsidRPr="00132E65">
        <w:rPr>
          <w:rtl/>
          <w:lang w:bidi="fa-IR"/>
        </w:rPr>
        <w:t xml:space="preserve"> أَيْ</w:t>
      </w:r>
      <w:r w:rsidR="005F56E6">
        <w:rPr>
          <w:rtl/>
          <w:lang w:bidi="fa-IR"/>
        </w:rPr>
        <w:t>ضاً خَبَراً لَايَعْرِفُهُ إِل</w:t>
      </w:r>
      <w:r w:rsidR="005F56E6">
        <w:rPr>
          <w:rFonts w:hint="cs"/>
          <w:rtl/>
          <w:lang w:bidi="fa-IR"/>
        </w:rPr>
        <w:t>َّ</w:t>
      </w:r>
      <w:r w:rsidR="005F56E6">
        <w:rPr>
          <w:rtl/>
          <w:lang w:bidi="fa-IR"/>
        </w:rPr>
        <w:t>ا</w:t>
      </w:r>
      <w:r w:rsidRPr="00132E65">
        <w:rPr>
          <w:rtl/>
          <w:lang w:bidi="fa-IR"/>
        </w:rPr>
        <w:t xml:space="preserve"> قَلِيلٌ مِمَّنْ قَرَأَ الْكُتُبَ ، أَخْبِرْنِي مَا اسْمُ أُمِّ مَرْيَمَ</w:t>
      </w:r>
      <w:r>
        <w:rPr>
          <w:rtl/>
          <w:lang w:bidi="fa-IR"/>
        </w:rPr>
        <w:t>؟</w:t>
      </w:r>
      <w:r w:rsidRPr="00132E65">
        <w:rPr>
          <w:rtl/>
          <w:lang w:bidi="fa-IR"/>
        </w:rPr>
        <w:t xml:space="preserve"> و</w:t>
      </w:r>
      <w:r w:rsidR="005F56E6">
        <w:rPr>
          <w:rFonts w:hint="cs"/>
          <w:rtl/>
          <w:lang w:bidi="fa-IR"/>
        </w:rPr>
        <w:t>َ</w:t>
      </w:r>
      <w:r w:rsidRPr="00132E65">
        <w:rPr>
          <w:rtl/>
          <w:lang w:bidi="fa-IR"/>
        </w:rPr>
        <w:t xml:space="preserve">أَيُّ يَوْمٍ نُفِخَتْ </w:t>
      </w:r>
      <w:r>
        <w:rPr>
          <w:rStyle w:val="libFootnotenumChar"/>
          <w:rtl/>
        </w:rPr>
        <w:t>(12)</w:t>
      </w:r>
      <w:r w:rsidRPr="00132E65">
        <w:rPr>
          <w:rtl/>
          <w:lang w:bidi="fa-IR"/>
        </w:rPr>
        <w:t xml:space="preserve"> فِيهِ مَرْيَمُ</w:t>
      </w:r>
      <w:r>
        <w:rPr>
          <w:rtl/>
          <w:lang w:bidi="fa-IR"/>
        </w:rPr>
        <w:t>؟</w:t>
      </w:r>
      <w:r w:rsidRPr="00132E65">
        <w:rPr>
          <w:rtl/>
          <w:lang w:bidi="fa-IR"/>
        </w:rPr>
        <w:t xml:space="preserve"> و</w:t>
      </w:r>
      <w:r w:rsidR="005F56E6">
        <w:rPr>
          <w:rFonts w:hint="cs"/>
          <w:rtl/>
          <w:lang w:bidi="fa-IR"/>
        </w:rPr>
        <w:t>َ</w:t>
      </w:r>
      <w:r w:rsidRPr="00132E65">
        <w:rPr>
          <w:rtl/>
          <w:lang w:bidi="fa-IR"/>
        </w:rPr>
        <w:t xml:space="preserve">لِكَمْ مِنْ </w:t>
      </w:r>
      <w:r w:rsidRPr="00F543F1">
        <w:rPr>
          <w:rStyle w:val="libFootnotenumChar"/>
          <w:rtl/>
        </w:rPr>
        <w:t>(13)</w:t>
      </w:r>
      <w:r w:rsidRPr="00132E65">
        <w:rPr>
          <w:rtl/>
          <w:lang w:bidi="fa-IR"/>
        </w:rPr>
        <w:t xml:space="preserve"> سَاعَةٍ‌</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يجوز في « خير » التشديد. راجع : </w:t>
      </w:r>
      <w:r w:rsidRPr="005F56E6">
        <w:rPr>
          <w:rStyle w:val="libFootnoteBoldChar"/>
          <w:rtl/>
        </w:rPr>
        <w:t>شرح المازندراني</w:t>
      </w:r>
      <w:r w:rsidRPr="00132E65">
        <w:rPr>
          <w:rtl/>
        </w:rPr>
        <w:t xml:space="preserve"> ، ج 7 ، ص 254 ؛ </w:t>
      </w:r>
      <w:r w:rsidRPr="009D1ACE">
        <w:rPr>
          <w:rStyle w:val="libFootnoteBoldChar"/>
          <w:rtl/>
        </w:rPr>
        <w:t>مرآة العقول</w:t>
      </w:r>
      <w:r w:rsidRPr="00132E65">
        <w:rPr>
          <w:rtl/>
        </w:rPr>
        <w:t xml:space="preserve"> ، ج 6 ، ص 48.</w:t>
      </w:r>
    </w:p>
    <w:tbl>
      <w:tblPr>
        <w:tblStyle w:val="TableGrid"/>
        <w:bidiVisual/>
        <w:tblW w:w="0" w:type="auto"/>
        <w:tblLook w:val="04A0" w:firstRow="1" w:lastRow="0" w:firstColumn="1" w:lastColumn="0" w:noHBand="0" w:noVBand="1"/>
      </w:tblPr>
      <w:tblGrid>
        <w:gridCol w:w="4261"/>
        <w:gridCol w:w="4262"/>
      </w:tblGrid>
      <w:tr w:rsidR="005F56E6" w:rsidTr="005F56E6">
        <w:tc>
          <w:tcPr>
            <w:tcW w:w="4261" w:type="dxa"/>
          </w:tcPr>
          <w:p w:rsidR="005F56E6" w:rsidRDefault="005F56E6" w:rsidP="000C39D1">
            <w:pPr>
              <w:pStyle w:val="libFootnote0"/>
              <w:rPr>
                <w:rtl/>
              </w:rPr>
            </w:pPr>
            <w:r>
              <w:rPr>
                <w:rtl/>
              </w:rPr>
              <w:t>(2).</w:t>
            </w:r>
            <w:r w:rsidRPr="00132E65">
              <w:rPr>
                <w:rtl/>
              </w:rPr>
              <w:t xml:space="preserve"> في « ب ، بر » و</w:t>
            </w:r>
            <w:r w:rsidRPr="009D1ACE">
              <w:rPr>
                <w:rStyle w:val="libFootnoteBoldChar"/>
                <w:rtl/>
              </w:rPr>
              <w:t>الوافي</w:t>
            </w:r>
            <w:r w:rsidRPr="00132E65">
              <w:rPr>
                <w:rtl/>
              </w:rPr>
              <w:t xml:space="preserve"> والبحار ، ج 48 : « قال »</w:t>
            </w:r>
            <w:r>
              <w:rPr>
                <w:rtl/>
              </w:rPr>
              <w:t>.</w:t>
            </w:r>
          </w:p>
        </w:tc>
        <w:tc>
          <w:tcPr>
            <w:tcW w:w="4262" w:type="dxa"/>
          </w:tcPr>
          <w:p w:rsidR="005F56E6" w:rsidRDefault="005F56E6" w:rsidP="000C39D1">
            <w:pPr>
              <w:pStyle w:val="libFootnote0"/>
              <w:rPr>
                <w:rtl/>
              </w:rPr>
            </w:pPr>
            <w:r>
              <w:rPr>
                <w:rtl/>
              </w:rPr>
              <w:t>(3). في «ج» : « نزّلت » بالتثقيل. وفي «بف»:«</w:t>
            </w:r>
            <w:r w:rsidRPr="00132E65">
              <w:rPr>
                <w:rtl/>
              </w:rPr>
              <w:t>ا</w:t>
            </w:r>
            <w:r>
              <w:rPr>
                <w:rFonts w:hint="cs"/>
                <w:rtl/>
              </w:rPr>
              <w:t>ُ</w:t>
            </w:r>
            <w:r>
              <w:rPr>
                <w:rtl/>
              </w:rPr>
              <w:t>نزلت</w:t>
            </w:r>
            <w:r w:rsidRPr="00132E65">
              <w:rPr>
                <w:rtl/>
              </w:rPr>
              <w:t>»</w:t>
            </w:r>
            <w:r>
              <w:rPr>
                <w:rtl/>
              </w:rPr>
              <w:t>.</w:t>
            </w:r>
          </w:p>
        </w:tc>
      </w:tr>
      <w:tr w:rsidR="005F56E6" w:rsidTr="005F56E6">
        <w:tc>
          <w:tcPr>
            <w:tcW w:w="4261" w:type="dxa"/>
          </w:tcPr>
          <w:p w:rsidR="005F56E6" w:rsidRDefault="005F56E6" w:rsidP="000C39D1">
            <w:pPr>
              <w:pStyle w:val="libFootnote0"/>
              <w:rPr>
                <w:rtl/>
              </w:rPr>
            </w:pPr>
            <w:r>
              <w:rPr>
                <w:rtl/>
              </w:rPr>
              <w:t>(4).</w:t>
            </w:r>
            <w:r w:rsidRPr="00132E65">
              <w:rPr>
                <w:rtl/>
              </w:rPr>
              <w:t xml:space="preserve"> في « بف » </w:t>
            </w:r>
            <w:r>
              <w:rPr>
                <w:rtl/>
              </w:rPr>
              <w:t xml:space="preserve">: - </w:t>
            </w:r>
            <w:r w:rsidRPr="00132E65">
              <w:rPr>
                <w:rtl/>
              </w:rPr>
              <w:t>«</w:t>
            </w:r>
            <w:r>
              <w:rPr>
                <w:rtl/>
              </w:rPr>
              <w:t xml:space="preserve"> و ».</w:t>
            </w:r>
          </w:p>
        </w:tc>
        <w:tc>
          <w:tcPr>
            <w:tcW w:w="4262" w:type="dxa"/>
          </w:tcPr>
          <w:p w:rsidR="005F56E6" w:rsidRDefault="005F56E6" w:rsidP="000C39D1">
            <w:pPr>
              <w:pStyle w:val="libFootnote0"/>
              <w:rPr>
                <w:rtl/>
              </w:rPr>
            </w:pPr>
            <w:r>
              <w:rPr>
                <w:rtl/>
              </w:rPr>
              <w:t>(5).</w:t>
            </w:r>
            <w:r w:rsidRPr="00132E65">
              <w:rPr>
                <w:rtl/>
              </w:rPr>
              <w:t xml:space="preserve"> في البحار ، ج 48 : « فقال »</w:t>
            </w:r>
            <w:r>
              <w:rPr>
                <w:rtl/>
              </w:rPr>
              <w:t>.</w:t>
            </w:r>
          </w:p>
        </w:tc>
      </w:tr>
      <w:tr w:rsidR="005F56E6" w:rsidTr="005F56E6">
        <w:tc>
          <w:tcPr>
            <w:tcW w:w="4261" w:type="dxa"/>
          </w:tcPr>
          <w:p w:rsidR="005F56E6" w:rsidRDefault="005F56E6" w:rsidP="000C39D1">
            <w:pPr>
              <w:pStyle w:val="libFootnote0"/>
              <w:rPr>
                <w:rtl/>
              </w:rPr>
            </w:pPr>
            <w:r>
              <w:rPr>
                <w:rtl/>
              </w:rPr>
              <w:t>(6).</w:t>
            </w:r>
            <w:r w:rsidRPr="00132E65">
              <w:rPr>
                <w:rtl/>
              </w:rPr>
              <w:t xml:space="preserve"> في « بف » </w:t>
            </w:r>
            <w:r>
              <w:rPr>
                <w:rtl/>
              </w:rPr>
              <w:t xml:space="preserve">: - </w:t>
            </w:r>
            <w:r w:rsidRPr="00132E65">
              <w:rPr>
                <w:rtl/>
              </w:rPr>
              <w:t>« له »</w:t>
            </w:r>
            <w:r>
              <w:rPr>
                <w:rtl/>
              </w:rPr>
              <w:t>.</w:t>
            </w:r>
          </w:p>
        </w:tc>
        <w:tc>
          <w:tcPr>
            <w:tcW w:w="4262" w:type="dxa"/>
          </w:tcPr>
          <w:p w:rsidR="005F56E6" w:rsidRDefault="005F56E6" w:rsidP="000C39D1">
            <w:pPr>
              <w:pStyle w:val="libFootnote0"/>
              <w:rPr>
                <w:rtl/>
              </w:rPr>
            </w:pPr>
            <w:r>
              <w:rPr>
                <w:rtl/>
              </w:rPr>
              <w:t>(7).</w:t>
            </w:r>
            <w:r w:rsidRPr="00132E65">
              <w:rPr>
                <w:rtl/>
              </w:rPr>
              <w:t xml:space="preserve"> في البحار ، ج 48 </w:t>
            </w:r>
            <w:r>
              <w:rPr>
                <w:rtl/>
              </w:rPr>
              <w:t xml:space="preserve">: - </w:t>
            </w:r>
            <w:r w:rsidRPr="00132E65">
              <w:rPr>
                <w:rtl/>
              </w:rPr>
              <w:t>« في صدق ما أقول »</w:t>
            </w:r>
            <w:r>
              <w:rPr>
                <w:rtl/>
              </w:rPr>
              <w:t>.</w:t>
            </w:r>
          </w:p>
        </w:tc>
      </w:tr>
    </w:tbl>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فى أكثر النسخ بتقديم المعجمة على المهملة ، أي ما لا يخطر ببال أحد ، لكن في الإسناد</w:t>
      </w:r>
      <w:r w:rsidR="005F56E6">
        <w:rPr>
          <w:rFonts w:hint="cs"/>
          <w:rtl/>
        </w:rPr>
        <w:t xml:space="preserve"> </w:t>
      </w:r>
      <w:r w:rsidRPr="00132E65">
        <w:rPr>
          <w:rtl/>
        </w:rPr>
        <w:t>توسّع ؛ لأنّ الخاطر هو الذي يخطر ببال ، ولذا قرأ بعضهم بالعكس ، أي لا يمنعه المانعون »</w:t>
      </w:r>
      <w:r>
        <w:rPr>
          <w:rtl/>
        </w:rPr>
        <w:t>.</w:t>
      </w:r>
    </w:p>
    <w:p w:rsidR="000C39D1" w:rsidRPr="00132E65" w:rsidRDefault="000C39D1" w:rsidP="000C39D1">
      <w:pPr>
        <w:pStyle w:val="libFootnote0"/>
        <w:rPr>
          <w:rtl/>
          <w:lang w:bidi="fa-IR"/>
        </w:rPr>
      </w:pPr>
      <w:r>
        <w:rPr>
          <w:rtl/>
        </w:rPr>
        <w:t>(9).</w:t>
      </w:r>
      <w:r w:rsidRPr="00132E65">
        <w:rPr>
          <w:rtl/>
        </w:rPr>
        <w:t xml:space="preserve"> في العبارة احتمالات : تشديد الفعلين ، تأكيداً لما قبله ، أي لا يقدر أن يكذّبك فيما ذكرت من أراد أن يكذّبك. أو تخفيفهما ، أي لا يكذب فيه من شأنه الكذب. أو تشديد الأوّل وتخفيف الثاني ، أي لا يقدر أن يكذّبك فيما ذكرت من شأنه الكذب. أو بالعكس. وذلك لظهور صدقك وفضلك وكمالك في غاية الظهور. وأظهر الوجوه عند المجلسي ثانيها.</w:t>
      </w:r>
    </w:p>
    <w:p w:rsidR="000C39D1" w:rsidRPr="00132E65" w:rsidRDefault="000C39D1" w:rsidP="000C39D1">
      <w:pPr>
        <w:pStyle w:val="libFootnote0"/>
        <w:rPr>
          <w:rtl/>
          <w:lang w:bidi="fa-IR"/>
        </w:rPr>
      </w:pPr>
      <w:r>
        <w:rPr>
          <w:rtl/>
        </w:rPr>
        <w:t>(10).</w:t>
      </w:r>
      <w:r w:rsidRPr="00132E65">
        <w:rPr>
          <w:rtl/>
        </w:rPr>
        <w:t xml:space="preserve"> هكذا في معظم النسخ التي قوبلت. وفي « ب » : « وكلّ ما »</w:t>
      </w:r>
      <w:r>
        <w:rPr>
          <w:rtl/>
        </w:rPr>
        <w:t>.</w:t>
      </w:r>
      <w:r w:rsidRPr="00132E65">
        <w:rPr>
          <w:rtl/>
        </w:rPr>
        <w:t xml:space="preserve"> وفي المطبوع : « كما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 اعجلك ، على بناء التفعيل أو الإفعال ، أي أعطيتك بدون تراخ »</w:t>
      </w:r>
      <w:r>
        <w:rPr>
          <w:rtl/>
        </w:rPr>
        <w:t>.</w:t>
      </w:r>
    </w:p>
    <w:p w:rsidR="000C39D1" w:rsidRPr="00132E65" w:rsidRDefault="000C39D1" w:rsidP="005F56E6">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نفخت ، على بناء المجهول ، أي نُفِخَ فيها فيه. قال الجوهري : نَفَخَ فيه ونفختُه أيضاً لغة »</w:t>
      </w:r>
      <w:r>
        <w:rPr>
          <w:rtl/>
        </w:rPr>
        <w:t>.</w:t>
      </w:r>
      <w:r w:rsidRPr="00132E65">
        <w:rPr>
          <w:rtl/>
        </w:rPr>
        <w:t xml:space="preserve"> راجع : </w:t>
      </w:r>
      <w:r w:rsidRPr="005F56E6">
        <w:rPr>
          <w:rStyle w:val="libFootnoteBoldChar"/>
          <w:rtl/>
        </w:rPr>
        <w:t>الصحاح</w:t>
      </w:r>
      <w:r w:rsidRPr="00132E65">
        <w:rPr>
          <w:rtl/>
        </w:rPr>
        <w:t xml:space="preserve"> ، ج 1 ، ص 433 ( نفخ )</w:t>
      </w:r>
      <w:r>
        <w:rPr>
          <w:rtl/>
        </w:rPr>
        <w:t>.</w:t>
      </w:r>
      <w:r w:rsidR="005F56E6">
        <w:rPr>
          <w:rFonts w:hint="cs"/>
          <w:rtl/>
        </w:rPr>
        <w:t xml:space="preserve">              </w:t>
      </w:r>
      <w:r>
        <w:rPr>
          <w:rtl/>
        </w:rPr>
        <w:t>(13)</w:t>
      </w:r>
      <w:r w:rsidRPr="00132E65">
        <w:rPr>
          <w:rtl/>
        </w:rPr>
        <w:t xml:space="preserve"> في « بس » </w:t>
      </w:r>
      <w:r>
        <w:rPr>
          <w:rtl/>
        </w:rPr>
        <w:t xml:space="preserve">: - </w:t>
      </w:r>
      <w:r w:rsidRPr="00132E65">
        <w:rPr>
          <w:rtl/>
        </w:rPr>
        <w:t>« من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 </w:t>
      </w:r>
      <w:r>
        <w:rPr>
          <w:rStyle w:val="libFootnotenumChar"/>
          <w:rtl/>
        </w:rPr>
        <w:t>(1)</w:t>
      </w:r>
      <w:r w:rsidRPr="00132E65">
        <w:rPr>
          <w:rtl/>
          <w:lang w:bidi="fa-IR"/>
        </w:rPr>
        <w:t xml:space="preserve"> النَّهَارِ</w:t>
      </w:r>
      <w:r>
        <w:rPr>
          <w:rtl/>
          <w:lang w:bidi="fa-IR"/>
        </w:rPr>
        <w:t>؟</w:t>
      </w:r>
      <w:r w:rsidRPr="00132E65">
        <w:rPr>
          <w:rtl/>
          <w:lang w:bidi="fa-IR"/>
        </w:rPr>
        <w:t xml:space="preserve"> و</w:t>
      </w:r>
      <w:r w:rsidR="005F56E6">
        <w:rPr>
          <w:rFonts w:hint="cs"/>
          <w:rtl/>
          <w:lang w:bidi="fa-IR"/>
        </w:rPr>
        <w:t>َ</w:t>
      </w:r>
      <w:r w:rsidRPr="00132E65">
        <w:rPr>
          <w:rtl/>
          <w:lang w:bidi="fa-IR"/>
        </w:rPr>
        <w:t>أَيُّ يَوْمٍ و</w:t>
      </w:r>
      <w:r w:rsidR="005F56E6">
        <w:rPr>
          <w:rFonts w:hint="cs"/>
          <w:rtl/>
          <w:lang w:bidi="fa-IR"/>
        </w:rPr>
        <w:t>َ</w:t>
      </w:r>
      <w:r w:rsidRPr="00132E65">
        <w:rPr>
          <w:rtl/>
          <w:lang w:bidi="fa-IR"/>
        </w:rPr>
        <w:t xml:space="preserve">ضَعَتْ مَرْيَمُ فِيهِ عِيسى </w:t>
      </w:r>
      <w:r w:rsidRPr="00071CF9">
        <w:rPr>
          <w:rStyle w:val="libAlaemChar"/>
          <w:rtl/>
        </w:rPr>
        <w:t>عليه‌السلام</w:t>
      </w:r>
      <w:r>
        <w:rPr>
          <w:rtl/>
          <w:lang w:bidi="fa-IR"/>
        </w:rPr>
        <w:t>؟</w:t>
      </w:r>
      <w:r w:rsidRPr="00132E65">
        <w:rPr>
          <w:rtl/>
          <w:lang w:bidi="fa-IR"/>
        </w:rPr>
        <w:t xml:space="preserve"> و</w:t>
      </w:r>
      <w:r w:rsidR="005F56E6">
        <w:rPr>
          <w:rFonts w:hint="cs"/>
          <w:rtl/>
          <w:lang w:bidi="fa-IR"/>
        </w:rPr>
        <w:t>َ</w:t>
      </w:r>
      <w:r w:rsidRPr="00132E65">
        <w:rPr>
          <w:rtl/>
          <w:lang w:bidi="fa-IR"/>
        </w:rPr>
        <w:t>لِكَمْ مِنْ سَاعَةٍ مِنَ النَّهَارِ</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فَقَالَ النَّصْرَانِيُّ : لَا</w:t>
      </w:r>
      <w:r>
        <w:rPr>
          <w:rFonts w:hint="cs"/>
          <w:rtl/>
          <w:lang w:bidi="fa-IR"/>
        </w:rPr>
        <w:t xml:space="preserve"> </w:t>
      </w:r>
      <w:r w:rsidRPr="00132E65">
        <w:rPr>
          <w:rtl/>
          <w:lang w:bidi="fa-IR"/>
        </w:rPr>
        <w:t>أَدْرِي.</w:t>
      </w:r>
    </w:p>
    <w:p w:rsidR="000C39D1" w:rsidRPr="00132E65" w:rsidRDefault="000C39D1" w:rsidP="000C39D1">
      <w:pPr>
        <w:pStyle w:val="libNormal"/>
        <w:rPr>
          <w:rtl/>
          <w:lang w:bidi="fa-IR"/>
        </w:rPr>
      </w:pPr>
      <w:r w:rsidRPr="00132E65">
        <w:rPr>
          <w:rtl/>
          <w:lang w:bidi="fa-IR"/>
        </w:rPr>
        <w:t xml:space="preserve">فَقَالَ أَبُو إِبْرَاهِيمَ </w:t>
      </w:r>
      <w:r w:rsidRPr="00071CF9">
        <w:rPr>
          <w:rStyle w:val="libAlaemChar"/>
          <w:rtl/>
        </w:rPr>
        <w:t>عليه‌السلام</w:t>
      </w:r>
      <w:r w:rsidRPr="00132E65">
        <w:rPr>
          <w:rtl/>
          <w:lang w:bidi="fa-IR"/>
        </w:rPr>
        <w:t xml:space="preserve"> : « أَمَّا أُمُّ مَرْيَمَ ، فَاسْمُهَا مَرْثَا </w:t>
      </w:r>
      <w:r>
        <w:rPr>
          <w:rStyle w:val="libFootnotenumChar"/>
          <w:rtl/>
        </w:rPr>
        <w:t>(2)</w:t>
      </w:r>
      <w:r w:rsidRPr="00132E65">
        <w:rPr>
          <w:rtl/>
          <w:lang w:bidi="fa-IR"/>
        </w:rPr>
        <w:t xml:space="preserve"> ، وهِيَ و</w:t>
      </w:r>
      <w:r w:rsidR="005F56E6">
        <w:rPr>
          <w:rFonts w:hint="cs"/>
          <w:rtl/>
          <w:lang w:bidi="fa-IR"/>
        </w:rPr>
        <w:t>َ</w:t>
      </w:r>
      <w:r w:rsidRPr="00132E65">
        <w:rPr>
          <w:rtl/>
          <w:lang w:bidi="fa-IR"/>
        </w:rPr>
        <w:t xml:space="preserve">هِيبَةٌ </w:t>
      </w:r>
      <w:r>
        <w:rPr>
          <w:rStyle w:val="libFootnotenumChar"/>
          <w:rtl/>
        </w:rPr>
        <w:t>(3)</w:t>
      </w:r>
      <w:r w:rsidRPr="00132E65">
        <w:rPr>
          <w:rtl/>
          <w:lang w:bidi="fa-IR"/>
        </w:rPr>
        <w:t xml:space="preserve"> بِالْعَرَبِيَّةِ.</w:t>
      </w:r>
    </w:p>
    <w:p w:rsidR="000C39D1" w:rsidRPr="00132E65" w:rsidRDefault="000C39D1" w:rsidP="000C39D1">
      <w:pPr>
        <w:pStyle w:val="libNormal"/>
        <w:rPr>
          <w:rtl/>
          <w:lang w:bidi="fa-IR"/>
        </w:rPr>
      </w:pPr>
      <w:r w:rsidRPr="00132E65">
        <w:rPr>
          <w:rtl/>
          <w:lang w:bidi="fa-IR"/>
        </w:rPr>
        <w:t>وَأَمَّا الْيَوْمُ الَّذِي حَمَلَتْ فِيهِ مَرْيَمُ ، فَهُوَ يَوْمُ الْجُمُعَةِ لِلزَّوَالِ ، و</w:t>
      </w:r>
      <w:r w:rsidR="005F56E6">
        <w:rPr>
          <w:rFonts w:hint="cs"/>
          <w:rtl/>
          <w:lang w:bidi="fa-IR"/>
        </w:rPr>
        <w:t xml:space="preserve">َ </w:t>
      </w:r>
      <w:r w:rsidRPr="00132E65">
        <w:rPr>
          <w:rtl/>
          <w:lang w:bidi="fa-IR"/>
        </w:rPr>
        <w:t>هُوَ الْيَوْمُ الَّذِي هَبَطَ فِيهِ الرُّوحُ الْأَمِينُ ، و</w:t>
      </w:r>
      <w:r w:rsidR="005F56E6">
        <w:rPr>
          <w:rFonts w:hint="cs"/>
          <w:rtl/>
          <w:lang w:bidi="fa-IR"/>
        </w:rPr>
        <w:t xml:space="preserve">َ </w:t>
      </w:r>
      <w:r w:rsidRPr="00132E65">
        <w:rPr>
          <w:rtl/>
          <w:lang w:bidi="fa-IR"/>
        </w:rPr>
        <w:t xml:space="preserve">لَيْسَ لِلْمُسْلِمِينَ عِيدٌ كَانَ أَوْلى مِنْهُ ، عَظَّمَهُ اللهُ تَبَارَكَ وَتَعَالى ، وعَظَّمَهُ مُحَمَّدٌ </w:t>
      </w:r>
      <w:r w:rsidRPr="0093484F">
        <w:rPr>
          <w:rStyle w:val="libAlaemChar"/>
          <w:rFonts w:eastAsiaTheme="minorHAnsi"/>
          <w:rtl/>
        </w:rPr>
        <w:t>صلى‌الله‌عليه‌وآله</w:t>
      </w:r>
      <w:r w:rsidRPr="00132E65">
        <w:rPr>
          <w:rtl/>
          <w:lang w:bidi="fa-IR"/>
        </w:rPr>
        <w:t xml:space="preserve"> ، فَأَمَرَ </w:t>
      </w:r>
      <w:r>
        <w:rPr>
          <w:rStyle w:val="libFootnotenumChar"/>
          <w:rtl/>
        </w:rPr>
        <w:t>(4)</w:t>
      </w:r>
      <w:r w:rsidRPr="00132E65">
        <w:rPr>
          <w:rtl/>
          <w:lang w:bidi="fa-IR"/>
        </w:rPr>
        <w:t xml:space="preserve"> أَنْ يَجْعَلَهُ عِيداً ، فَهُوَ يَوْمُ الْجُمُعَةِ </w:t>
      </w:r>
      <w:r>
        <w:rPr>
          <w:rStyle w:val="libFootnotenumChar"/>
          <w:rtl/>
        </w:rPr>
        <w:t>(5)</w:t>
      </w:r>
    </w:p>
    <w:p w:rsidR="000C39D1" w:rsidRPr="00132E65" w:rsidRDefault="000C39D1" w:rsidP="000C39D1">
      <w:pPr>
        <w:pStyle w:val="libNormal"/>
        <w:rPr>
          <w:rtl/>
          <w:lang w:bidi="fa-IR"/>
        </w:rPr>
      </w:pPr>
      <w:r w:rsidRPr="00132E65">
        <w:rPr>
          <w:rtl/>
          <w:lang w:bidi="fa-IR"/>
        </w:rPr>
        <w:t xml:space="preserve">وَأَمَّا </w:t>
      </w:r>
      <w:r>
        <w:rPr>
          <w:rStyle w:val="libFootnotenumChar"/>
          <w:rtl/>
        </w:rPr>
        <w:t>(6)</w:t>
      </w:r>
      <w:r w:rsidRPr="00132E65">
        <w:rPr>
          <w:rtl/>
          <w:lang w:bidi="fa-IR"/>
        </w:rPr>
        <w:t xml:space="preserve"> الْيَوْمُ الَّذِي و</w:t>
      </w:r>
      <w:r w:rsidR="005F56E6">
        <w:rPr>
          <w:rFonts w:hint="cs"/>
          <w:rtl/>
          <w:lang w:bidi="fa-IR"/>
        </w:rPr>
        <w:t>َ</w:t>
      </w:r>
      <w:r w:rsidRPr="00132E65">
        <w:rPr>
          <w:rtl/>
          <w:lang w:bidi="fa-IR"/>
        </w:rPr>
        <w:t xml:space="preserve">لَدَتْ فِيهِ مَرْيَمُ </w:t>
      </w:r>
      <w:r>
        <w:rPr>
          <w:rStyle w:val="libFootnotenumChar"/>
          <w:rtl/>
        </w:rPr>
        <w:t>(7)</w:t>
      </w:r>
      <w:r w:rsidRPr="00132E65">
        <w:rPr>
          <w:rtl/>
          <w:lang w:bidi="fa-IR"/>
        </w:rPr>
        <w:t xml:space="preserve"> ، فَهُوَ يَوْمُ الثَّلَاثَاءِ لِأَرْبَعِ سَاعَاتٍ ونِصْفٍ مِنَ النَّهَارِ.</w:t>
      </w:r>
    </w:p>
    <w:p w:rsidR="000C39D1" w:rsidRPr="00132E65" w:rsidRDefault="000C39D1" w:rsidP="000C39D1">
      <w:pPr>
        <w:pStyle w:val="libNormal"/>
        <w:rPr>
          <w:rtl/>
          <w:lang w:bidi="fa-IR"/>
        </w:rPr>
      </w:pPr>
      <w:r w:rsidRPr="00132E65">
        <w:rPr>
          <w:rtl/>
          <w:lang w:bidi="fa-IR"/>
        </w:rPr>
        <w:t>وَالنَّهَرُ الَّذِي و</w:t>
      </w:r>
      <w:r w:rsidR="00B47310">
        <w:rPr>
          <w:rFonts w:hint="cs"/>
          <w:rtl/>
          <w:lang w:bidi="fa-IR"/>
        </w:rPr>
        <w:t>َ</w:t>
      </w:r>
      <w:r w:rsidRPr="00132E65">
        <w:rPr>
          <w:rtl/>
          <w:lang w:bidi="fa-IR"/>
        </w:rPr>
        <w:t xml:space="preserve">لَدَتْ عَلَيْهِ </w:t>
      </w:r>
      <w:r>
        <w:rPr>
          <w:rStyle w:val="libFootnotenumChar"/>
          <w:rtl/>
        </w:rPr>
        <w:t>(8)</w:t>
      </w:r>
      <w:r w:rsidRPr="00132E65">
        <w:rPr>
          <w:rtl/>
          <w:lang w:bidi="fa-IR"/>
        </w:rPr>
        <w:t xml:space="preserve"> مَرْيَمُ عِيسى </w:t>
      </w:r>
      <w:r w:rsidRPr="00071CF9">
        <w:rPr>
          <w:rStyle w:val="libAlaemChar"/>
          <w:rtl/>
        </w:rPr>
        <w:t>عليه‌السلام</w:t>
      </w:r>
      <w:r w:rsidRPr="00132E65">
        <w:rPr>
          <w:rtl/>
          <w:lang w:bidi="fa-IR"/>
        </w:rPr>
        <w:t xml:space="preserve"> هَلْ تَعْرِفُهُ</w:t>
      </w:r>
      <w:r>
        <w:rPr>
          <w:rtl/>
          <w:lang w:bidi="fa-IR"/>
        </w:rPr>
        <w:t>؟</w:t>
      </w:r>
      <w:r w:rsidRPr="00132E65">
        <w:rPr>
          <w:rtl/>
          <w:lang w:bidi="fa-IR"/>
        </w:rPr>
        <w:t xml:space="preserve"> » قَالَ : لَا ، قَالَ : « هُوَ الْفُرَاتُ ، وَعَلَيْهِ شَجَرُ النَّخْلِ والْكَرْمِ ، ولَيْسَ يُسَاوى </w:t>
      </w:r>
      <w:r>
        <w:rPr>
          <w:rStyle w:val="libFootnotenumChar"/>
          <w:rtl/>
        </w:rPr>
        <w:t>(9)</w:t>
      </w:r>
      <w:r w:rsidRPr="00132E65">
        <w:rPr>
          <w:rtl/>
          <w:lang w:bidi="fa-IR"/>
        </w:rPr>
        <w:t xml:space="preserve"> بِالْفُرَاتِ شَيْ‌ءٌ لِلْكُرُومِ </w:t>
      </w:r>
      <w:r>
        <w:rPr>
          <w:rStyle w:val="libFootnotenumChar"/>
          <w:rtl/>
        </w:rPr>
        <w:t>(10)</w:t>
      </w:r>
      <w:r w:rsidRPr="00132E65">
        <w:rPr>
          <w:rtl/>
          <w:lang w:bidi="fa-IR"/>
        </w:rPr>
        <w:t xml:space="preserve"> والنَّخِيلِ </w:t>
      </w:r>
      <w:r>
        <w:rPr>
          <w:rStyle w:val="libFootnotenumChar"/>
          <w:rtl/>
        </w:rPr>
        <w:t>(11)</w:t>
      </w:r>
      <w:r w:rsidR="00B47310" w:rsidRPr="00B47310">
        <w:rPr>
          <w:rFonts w:hint="cs"/>
          <w:rtl/>
        </w:rPr>
        <w:t>.</w:t>
      </w:r>
    </w:p>
    <w:p w:rsidR="000C39D1" w:rsidRPr="00132E65" w:rsidRDefault="000C39D1" w:rsidP="000C39D1">
      <w:pPr>
        <w:pStyle w:val="libNormal"/>
        <w:rPr>
          <w:rtl/>
          <w:lang w:bidi="fa-IR"/>
        </w:rPr>
      </w:pPr>
      <w:r w:rsidRPr="00132E65">
        <w:rPr>
          <w:rtl/>
          <w:lang w:bidi="fa-IR"/>
        </w:rPr>
        <w:t xml:space="preserve">فَأَمَّا الْيَوْمُ الَّذِي حَجَبَتْ فِيهِ لِسَانَهَا </w:t>
      </w:r>
      <w:r>
        <w:rPr>
          <w:rStyle w:val="libFootnotenumChar"/>
          <w:rtl/>
        </w:rPr>
        <w:t>(12)</w:t>
      </w:r>
      <w:r w:rsidRPr="00132E65">
        <w:rPr>
          <w:rtl/>
          <w:lang w:bidi="fa-IR"/>
        </w:rPr>
        <w:t xml:space="preserve"> ، و</w:t>
      </w:r>
      <w:r w:rsidR="00B47310">
        <w:rPr>
          <w:rFonts w:hint="cs"/>
          <w:rtl/>
          <w:lang w:bidi="fa-IR"/>
        </w:rPr>
        <w:t>َ</w:t>
      </w:r>
      <w:r w:rsidRPr="00132E65">
        <w:rPr>
          <w:rtl/>
          <w:lang w:bidi="fa-IR"/>
        </w:rPr>
        <w:t>نَادى‌</w:t>
      </w:r>
      <w:r w:rsidR="00B47310">
        <w:rPr>
          <w:rFonts w:hint="cs"/>
          <w:rtl/>
          <w:lang w:bidi="fa-IR"/>
        </w:rPr>
        <w:t>.....................................</w:t>
      </w:r>
      <w:r w:rsidR="00B47310">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(2).</w:t>
      </w:r>
      <w:r w:rsidRPr="00132E65">
        <w:rPr>
          <w:rtl/>
        </w:rPr>
        <w:t xml:space="preserve"> في « ف ، بر » والبحار ، ج 14 : « مرتا »</w:t>
      </w:r>
      <w:r>
        <w:rPr>
          <w:rtl/>
        </w:rPr>
        <w:t>.</w:t>
      </w:r>
      <w:r w:rsidRPr="00132E65">
        <w:rPr>
          <w:rtl/>
        </w:rPr>
        <w:t xml:space="preserve"> وقال المازندراني في شرحه : « هي بالتاء المثنّاة الفوقانيّة أو المثلّثة كما في بعض النسخ »</w:t>
      </w:r>
      <w:r>
        <w:rPr>
          <w:rtl/>
        </w:rPr>
        <w:t>.</w:t>
      </w:r>
    </w:p>
    <w:p w:rsidR="000C39D1" w:rsidRPr="00132E65" w:rsidRDefault="000C39D1" w:rsidP="000C39D1">
      <w:pPr>
        <w:pStyle w:val="libFootnote0"/>
        <w:rPr>
          <w:rtl/>
          <w:lang w:bidi="fa-IR"/>
        </w:rPr>
      </w:pPr>
      <w:r>
        <w:rPr>
          <w:rtl/>
        </w:rPr>
        <w:t>(3).</w:t>
      </w:r>
      <w:r w:rsidRPr="00132E65">
        <w:rPr>
          <w:rtl/>
        </w:rPr>
        <w:t xml:space="preserve"> أي معنى مرثا في العربيّة « وهيبة » فليس عَلَماً لها حتّى يُمنع من الصرف. وفي « ب ، بر ، بف » : « وُهَيْبَة » : بالتصغير. قال المازندراني في شرحه : « بضمّ الواو وفتحها »</w:t>
      </w:r>
      <w:r>
        <w:rPr>
          <w:rtl/>
        </w:rPr>
        <w:t>.</w:t>
      </w:r>
      <w:r w:rsidRPr="00132E65">
        <w:rPr>
          <w:rtl/>
        </w:rPr>
        <w:t xml:space="preserve"> واحتمل التصغير أيضاً في </w:t>
      </w:r>
      <w:r w:rsidRPr="009D1ACE">
        <w:rPr>
          <w:rStyle w:val="libFootnoteBoldChar"/>
          <w:rtl/>
        </w:rPr>
        <w:t>مرآة العقول</w:t>
      </w:r>
      <w:r w:rsidRPr="00132E65">
        <w:rPr>
          <w:rtl/>
        </w:rPr>
        <w:t>.</w:t>
      </w:r>
    </w:p>
    <w:p w:rsidR="000C39D1" w:rsidRPr="00132E65" w:rsidRDefault="000C39D1" w:rsidP="000C39D1">
      <w:pPr>
        <w:pStyle w:val="libFootnote0"/>
        <w:rPr>
          <w:rtl/>
          <w:lang w:bidi="fa-IR"/>
        </w:rPr>
      </w:pPr>
      <w:r>
        <w:rPr>
          <w:rtl/>
        </w:rPr>
        <w:t>(4).</w:t>
      </w:r>
      <w:r w:rsidRPr="00132E65">
        <w:rPr>
          <w:rtl/>
        </w:rPr>
        <w:t xml:space="preserve"> في « ض » : « فا</w:t>
      </w:r>
      <w:r w:rsidR="00B47310">
        <w:rPr>
          <w:rFonts w:hint="cs"/>
          <w:rtl/>
        </w:rPr>
        <w:t>ُ</w:t>
      </w:r>
      <w:r w:rsidRPr="00132E65">
        <w:rPr>
          <w:rtl/>
        </w:rPr>
        <w:t>مر » مبنيّاً للمفعول. وفي الوسائل : « فأمره »</w:t>
      </w:r>
      <w:r>
        <w:rPr>
          <w:rtl/>
        </w:rPr>
        <w:t>.</w:t>
      </w:r>
    </w:p>
    <w:p w:rsidR="000C39D1" w:rsidRPr="00132E65" w:rsidRDefault="000C39D1" w:rsidP="000C39D1">
      <w:pPr>
        <w:pStyle w:val="libFootnote0"/>
        <w:rPr>
          <w:rtl/>
          <w:lang w:bidi="fa-IR"/>
        </w:rPr>
      </w:pPr>
      <w:r>
        <w:rPr>
          <w:rtl/>
        </w:rPr>
        <w:t>(5).</w:t>
      </w:r>
      <w:r w:rsidRPr="00132E65">
        <w:rPr>
          <w:rtl/>
        </w:rPr>
        <w:t xml:space="preserve"> في البحار ، ج 14 </w:t>
      </w:r>
      <w:r>
        <w:rPr>
          <w:rtl/>
        </w:rPr>
        <w:t xml:space="preserve">: - </w:t>
      </w:r>
      <w:r w:rsidRPr="00132E65">
        <w:rPr>
          <w:rtl/>
        </w:rPr>
        <w:t>« عظّمه الله</w:t>
      </w:r>
      <w:r>
        <w:rPr>
          <w:rtl/>
        </w:rPr>
        <w:t xml:space="preserve"> - </w:t>
      </w:r>
      <w:r w:rsidRPr="00132E65">
        <w:rPr>
          <w:rtl/>
        </w:rPr>
        <w:t>إلى</w:t>
      </w:r>
      <w:r>
        <w:rPr>
          <w:rtl/>
        </w:rPr>
        <w:t xml:space="preserve"> - </w:t>
      </w:r>
      <w:r w:rsidRPr="00132E65">
        <w:rPr>
          <w:rtl/>
        </w:rPr>
        <w:t>يوم الجمعة »</w:t>
      </w:r>
      <w:r>
        <w:rPr>
          <w:rtl/>
        </w:rPr>
        <w:t>.</w:t>
      </w:r>
    </w:p>
    <w:tbl>
      <w:tblPr>
        <w:tblStyle w:val="TableGrid"/>
        <w:bidiVisual/>
        <w:tblW w:w="0" w:type="auto"/>
        <w:tblLook w:val="04A0" w:firstRow="1" w:lastRow="0" w:firstColumn="1" w:lastColumn="0" w:noHBand="0" w:noVBand="1"/>
      </w:tblPr>
      <w:tblGrid>
        <w:gridCol w:w="4261"/>
        <w:gridCol w:w="4262"/>
      </w:tblGrid>
      <w:tr w:rsidR="00B47310" w:rsidTr="00B47310">
        <w:tc>
          <w:tcPr>
            <w:tcW w:w="4261" w:type="dxa"/>
          </w:tcPr>
          <w:p w:rsidR="00B47310" w:rsidRDefault="00B47310" w:rsidP="000C39D1">
            <w:pPr>
              <w:pStyle w:val="libFootnote0"/>
              <w:rPr>
                <w:rtl/>
              </w:rPr>
            </w:pPr>
            <w:r>
              <w:rPr>
                <w:rtl/>
              </w:rPr>
              <w:t>(6).</w:t>
            </w:r>
            <w:r w:rsidRPr="00132E65">
              <w:rPr>
                <w:rtl/>
              </w:rPr>
              <w:t xml:space="preserve"> في « ب » : « فأمّا »</w:t>
            </w:r>
            <w:r>
              <w:rPr>
                <w:rtl/>
              </w:rPr>
              <w:t>.</w:t>
            </w:r>
          </w:p>
        </w:tc>
        <w:tc>
          <w:tcPr>
            <w:tcW w:w="4262" w:type="dxa"/>
          </w:tcPr>
          <w:p w:rsidR="00B47310" w:rsidRDefault="00B47310" w:rsidP="000C39D1">
            <w:pPr>
              <w:pStyle w:val="libFootnote0"/>
              <w:rPr>
                <w:rtl/>
              </w:rPr>
            </w:pPr>
            <w:r>
              <w:rPr>
                <w:rtl/>
              </w:rPr>
              <w:t>(7).</w:t>
            </w:r>
            <w:r w:rsidRPr="00132E65">
              <w:rPr>
                <w:rtl/>
              </w:rPr>
              <w:t xml:space="preserve"> في « ف » :</w:t>
            </w:r>
            <w:r>
              <w:rPr>
                <w:rtl/>
              </w:rPr>
              <w:t xml:space="preserve"> + </w:t>
            </w:r>
            <w:r w:rsidRPr="00132E65">
              <w:rPr>
                <w:rtl/>
              </w:rPr>
              <w:t>« عيسى »</w:t>
            </w:r>
            <w:r>
              <w:rPr>
                <w:rtl/>
              </w:rPr>
              <w:t>.</w:t>
            </w:r>
          </w:p>
        </w:tc>
      </w:tr>
    </w:tbl>
    <w:p w:rsidR="000C39D1" w:rsidRPr="00132E65" w:rsidRDefault="00B47310" w:rsidP="000C39D1">
      <w:pPr>
        <w:pStyle w:val="libFootnote0"/>
        <w:rPr>
          <w:rtl/>
          <w:lang w:bidi="fa-IR"/>
        </w:rPr>
      </w:pPr>
      <w:r>
        <w:rPr>
          <w:rFonts w:hint="cs"/>
          <w:rtl/>
        </w:rPr>
        <w:t>(8</w:t>
      </w:r>
      <w:r w:rsidR="000C39D1">
        <w:rPr>
          <w:rtl/>
        </w:rPr>
        <w:t>).</w:t>
      </w:r>
      <w:r w:rsidR="000C39D1" w:rsidRPr="00132E65">
        <w:rPr>
          <w:rtl/>
        </w:rPr>
        <w:t xml:space="preserve"> في شرح المازندراني عن بعض النسخ : « فيه »</w:t>
      </w:r>
      <w:r w:rsidR="000C39D1">
        <w:rPr>
          <w:rtl/>
        </w:rPr>
        <w:t>.</w:t>
      </w:r>
    </w:p>
    <w:p w:rsidR="000C39D1" w:rsidRPr="00132E65" w:rsidRDefault="000C39D1" w:rsidP="000C39D1">
      <w:pPr>
        <w:pStyle w:val="libFootnote0"/>
        <w:rPr>
          <w:rtl/>
          <w:lang w:bidi="fa-IR"/>
        </w:rPr>
      </w:pPr>
      <w:r>
        <w:rPr>
          <w:rtl/>
        </w:rPr>
        <w:t>(9).</w:t>
      </w:r>
      <w:r w:rsidRPr="00132E65">
        <w:rPr>
          <w:rtl/>
        </w:rPr>
        <w:t xml:space="preserve"> « يساوي » معلوم عند المازندراني ، حيث قال في شرحه : « والباء </w:t>
      </w:r>
      <w:r w:rsidR="00B47310">
        <w:rPr>
          <w:rtl/>
        </w:rPr>
        <w:t>زائدة للمبالغة في التعدّد ، إل</w:t>
      </w:r>
      <w:r w:rsidR="00B47310">
        <w:rPr>
          <w:rFonts w:hint="cs"/>
          <w:rtl/>
        </w:rPr>
        <w:t>ّ</w:t>
      </w:r>
      <w:r w:rsidR="00B47310">
        <w:rPr>
          <w:rtl/>
        </w:rPr>
        <w:t>ا</w:t>
      </w:r>
      <w:r>
        <w:rPr>
          <w:rFonts w:hint="cs"/>
          <w:rtl/>
        </w:rPr>
        <w:t xml:space="preserve"> </w:t>
      </w:r>
      <w:r w:rsidRPr="00132E65">
        <w:rPr>
          <w:rtl/>
        </w:rPr>
        <w:t xml:space="preserve">أن يعتبر تضمين معنى المقابلة. </w:t>
      </w:r>
      <w:r>
        <w:rPr>
          <w:rtl/>
        </w:rPr>
        <w:t>و «</w:t>
      </w:r>
      <w:r w:rsidRPr="00132E65">
        <w:rPr>
          <w:rtl/>
        </w:rPr>
        <w:t xml:space="preserve"> شي‌ء » فاعل « يساوى » واللام في « الكروم » بمعنى في »</w:t>
      </w:r>
      <w:r>
        <w:rPr>
          <w:rtl/>
        </w:rPr>
        <w:t>.</w:t>
      </w:r>
    </w:p>
    <w:p w:rsidR="000C39D1" w:rsidRPr="00132E65" w:rsidRDefault="000C39D1" w:rsidP="000C39D1">
      <w:pPr>
        <w:pStyle w:val="libFootnote0"/>
        <w:rPr>
          <w:rtl/>
          <w:lang w:bidi="fa-IR"/>
        </w:rPr>
      </w:pPr>
      <w:r>
        <w:rPr>
          <w:rtl/>
        </w:rPr>
        <w:t>(10).</w:t>
      </w:r>
      <w:r w:rsidRPr="00132E65">
        <w:rPr>
          <w:rtl/>
        </w:rPr>
        <w:t xml:space="preserve"> « الكروم » : جمع الكَرْم ، وهي شجرة العنب. واحدتها : كَرمة. </w:t>
      </w:r>
      <w:r w:rsidRPr="009D1ACE">
        <w:rPr>
          <w:rStyle w:val="libFootnoteBoldChar"/>
          <w:rtl/>
        </w:rPr>
        <w:t>لسان العرب</w:t>
      </w:r>
      <w:r w:rsidRPr="00132E65">
        <w:rPr>
          <w:rtl/>
        </w:rPr>
        <w:t xml:space="preserve"> ، ج 12 ، ص 514 ( كرم )</w:t>
      </w:r>
      <w:r>
        <w:rPr>
          <w:rtl/>
        </w:rPr>
        <w:t>.</w:t>
      </w:r>
    </w:p>
    <w:p w:rsidR="000C39D1" w:rsidRPr="00132E65" w:rsidRDefault="000C39D1" w:rsidP="000C39D1">
      <w:pPr>
        <w:pStyle w:val="libFootnote0"/>
        <w:rPr>
          <w:rtl/>
          <w:lang w:bidi="fa-IR"/>
        </w:rPr>
      </w:pPr>
      <w:r>
        <w:rPr>
          <w:rtl/>
        </w:rPr>
        <w:t>(11).</w:t>
      </w:r>
      <w:r w:rsidRPr="00132E65">
        <w:rPr>
          <w:rtl/>
        </w:rPr>
        <w:t xml:space="preserve"> في « بس » : « والنخل »</w:t>
      </w:r>
      <w:r>
        <w:rPr>
          <w:rtl/>
        </w:rPr>
        <w:t>.</w:t>
      </w:r>
    </w:p>
    <w:p w:rsidR="000C39D1" w:rsidRPr="00132E65" w:rsidRDefault="000C39D1" w:rsidP="000C39D1">
      <w:pPr>
        <w:pStyle w:val="libFootnote0"/>
        <w:rPr>
          <w:rtl/>
          <w:lang w:bidi="fa-IR"/>
        </w:rPr>
      </w:pPr>
      <w:r>
        <w:rPr>
          <w:rtl/>
        </w:rPr>
        <w:t>(12).</w:t>
      </w:r>
      <w:r w:rsidRPr="00132E65">
        <w:rPr>
          <w:rtl/>
        </w:rPr>
        <w:t xml:space="preserve"> في البحار ، ج 14 : « هو الفرات فحجبت لسانها » بدل « هل تعرفه</w:t>
      </w:r>
      <w:r>
        <w:rPr>
          <w:rtl/>
        </w:rPr>
        <w:t xml:space="preserve"> - </w:t>
      </w:r>
      <w:r w:rsidRPr="00132E65">
        <w:rPr>
          <w:rtl/>
        </w:rPr>
        <w:t>إلى</w:t>
      </w:r>
      <w:r>
        <w:rPr>
          <w:rtl/>
        </w:rPr>
        <w:t xml:space="preserve"> - </w:t>
      </w:r>
      <w:r w:rsidR="00B47310">
        <w:rPr>
          <w:rtl/>
        </w:rPr>
        <w:t>لسانها</w:t>
      </w:r>
      <w:r w:rsidRPr="00132E65">
        <w:rPr>
          <w:rtl/>
        </w:rPr>
        <w:t>»</w:t>
      </w:r>
      <w:r>
        <w:rPr>
          <w:rtl/>
        </w:rPr>
        <w:t>.</w:t>
      </w:r>
      <w:r w:rsidRPr="00132E65">
        <w:rPr>
          <w:rtl/>
        </w:rPr>
        <w:t xml:space="preserve"> وقال في </w:t>
      </w:r>
      <w:r w:rsidRPr="00650561">
        <w:rPr>
          <w:rtl/>
        </w:rPr>
        <w:t>المرآة</w:t>
      </w:r>
      <w:r w:rsidR="00B47310">
        <w:rPr>
          <w:rtl/>
        </w:rPr>
        <w:t xml:space="preserve"> : «حجبت</w:t>
      </w:r>
      <w:r w:rsidR="00B47310">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قَيْدُوسُ </w:t>
      </w:r>
      <w:r>
        <w:rPr>
          <w:rStyle w:val="libFootnotenumChar"/>
          <w:rtl/>
        </w:rPr>
        <w:t>(1)</w:t>
      </w:r>
      <w:r w:rsidRPr="00132E65">
        <w:rPr>
          <w:rtl/>
          <w:lang w:bidi="fa-IR"/>
        </w:rPr>
        <w:t xml:space="preserve"> و</w:t>
      </w:r>
      <w:r w:rsidR="00B47310">
        <w:rPr>
          <w:rFonts w:hint="cs"/>
          <w:rtl/>
          <w:lang w:bidi="fa-IR"/>
        </w:rPr>
        <w:t>ُ</w:t>
      </w:r>
      <w:r w:rsidRPr="00132E65">
        <w:rPr>
          <w:rtl/>
          <w:lang w:bidi="fa-IR"/>
        </w:rPr>
        <w:t>لْدَهُ و</w:t>
      </w:r>
      <w:r w:rsidR="00B47310">
        <w:rPr>
          <w:rFonts w:hint="cs"/>
          <w:rtl/>
          <w:lang w:bidi="fa-IR"/>
        </w:rPr>
        <w:t>َ</w:t>
      </w:r>
      <w:r w:rsidRPr="00132E65">
        <w:rPr>
          <w:rtl/>
          <w:lang w:bidi="fa-IR"/>
        </w:rPr>
        <w:t xml:space="preserve">أَشْيَاعَهُ </w:t>
      </w:r>
      <w:r>
        <w:rPr>
          <w:rStyle w:val="libFootnotenumChar"/>
          <w:rtl/>
        </w:rPr>
        <w:t>(2)</w:t>
      </w:r>
      <w:r w:rsidRPr="00132E65">
        <w:rPr>
          <w:rtl/>
          <w:lang w:bidi="fa-IR"/>
        </w:rPr>
        <w:t xml:space="preserve"> ، فَأَعَانُوهُ و</w:t>
      </w:r>
      <w:r w:rsidR="00B47310">
        <w:rPr>
          <w:rFonts w:hint="cs"/>
          <w:rtl/>
          <w:lang w:bidi="fa-IR"/>
        </w:rPr>
        <w:t>َ</w:t>
      </w:r>
      <w:r w:rsidRPr="00132E65">
        <w:rPr>
          <w:rtl/>
          <w:lang w:bidi="fa-IR"/>
        </w:rPr>
        <w:t>أَخْرَجُوا آلَ عِمْرَانَ لِيَنْظُرُوا إِلى مَرْيَمَ ، فَقَالُوا لَهَا مَا قَصَّ اللهُ عَلَيْكَ فِي كِتَابِهِ ، و</w:t>
      </w:r>
      <w:r w:rsidR="00B47310">
        <w:rPr>
          <w:rFonts w:hint="cs"/>
          <w:rtl/>
          <w:lang w:bidi="fa-IR"/>
        </w:rPr>
        <w:t>َ</w:t>
      </w:r>
      <w:r w:rsidRPr="00132E65">
        <w:rPr>
          <w:rtl/>
          <w:lang w:bidi="fa-IR"/>
        </w:rPr>
        <w:t>عَلَيْنَا فِي كِتَابِهِ ، فَهَلْ فَهِمْتَهُ</w:t>
      </w:r>
      <w:r>
        <w:rPr>
          <w:rtl/>
          <w:lang w:bidi="fa-IR"/>
        </w:rPr>
        <w:t>؟</w:t>
      </w:r>
      <w:r w:rsidRPr="00132E65">
        <w:rPr>
          <w:rtl/>
          <w:lang w:bidi="fa-IR"/>
        </w:rPr>
        <w:t xml:space="preserve"> » قَالَ </w:t>
      </w:r>
      <w:r>
        <w:rPr>
          <w:rStyle w:val="libFootnotenumChar"/>
          <w:rtl/>
        </w:rPr>
        <w:t>(3)</w:t>
      </w:r>
      <w:r w:rsidRPr="00132E65">
        <w:rPr>
          <w:rtl/>
          <w:lang w:bidi="fa-IR"/>
        </w:rPr>
        <w:t xml:space="preserve"> : نَعَمْ ، و</w:t>
      </w:r>
      <w:r w:rsidR="00B47310">
        <w:rPr>
          <w:rFonts w:hint="cs"/>
          <w:rtl/>
          <w:lang w:bidi="fa-IR"/>
        </w:rPr>
        <w:t>َ</w:t>
      </w:r>
      <w:r w:rsidRPr="00132E65">
        <w:rPr>
          <w:rtl/>
          <w:lang w:bidi="fa-IR"/>
        </w:rPr>
        <w:t xml:space="preserve">قَرَأْتُهُ الْيَوْمَ الْأَحْدَثَ </w:t>
      </w:r>
      <w:r>
        <w:rPr>
          <w:rStyle w:val="libFootnotenumChar"/>
          <w:rtl/>
        </w:rPr>
        <w:t>(4)</w:t>
      </w:r>
      <w:r w:rsidRPr="00132E65">
        <w:rPr>
          <w:rtl/>
          <w:lang w:bidi="fa-IR"/>
        </w:rPr>
        <w:t xml:space="preserve"> ، قَالَ : « إِذَنْ لَاتَقُومَ مِنْ مَجْلِسِكَ حَتّى يَهْدِيَكَ اللهُ »</w:t>
      </w:r>
      <w:r>
        <w:rPr>
          <w:rtl/>
          <w:lang w:bidi="fa-IR"/>
        </w:rPr>
        <w:t>.</w:t>
      </w:r>
    </w:p>
    <w:p w:rsidR="000C39D1" w:rsidRPr="00132E65" w:rsidRDefault="000C39D1" w:rsidP="000C39D1">
      <w:pPr>
        <w:pStyle w:val="libNormal"/>
        <w:rPr>
          <w:rtl/>
          <w:lang w:bidi="fa-IR"/>
        </w:rPr>
      </w:pPr>
      <w:r w:rsidRPr="00132E65">
        <w:rPr>
          <w:rtl/>
          <w:lang w:bidi="fa-IR"/>
        </w:rPr>
        <w:t>قَالَ النَّصْرَانِيُّ : مَا كَانَ اسْمُ أُمِّي بِالسُّرْيَانِيَّةِ وبِالْعَرَبِيَّةِ</w:t>
      </w:r>
      <w:r>
        <w:rPr>
          <w:rtl/>
          <w:lang w:bidi="fa-IR"/>
        </w:rPr>
        <w:t>؟</w:t>
      </w:r>
    </w:p>
    <w:p w:rsidR="000C39D1" w:rsidRPr="00132E65" w:rsidRDefault="000C39D1" w:rsidP="000C39D1">
      <w:pPr>
        <w:pStyle w:val="libNormal"/>
        <w:rPr>
          <w:rtl/>
          <w:lang w:bidi="fa-IR"/>
        </w:rPr>
      </w:pPr>
      <w:r w:rsidRPr="00132E65">
        <w:rPr>
          <w:rtl/>
          <w:lang w:bidi="fa-IR"/>
        </w:rPr>
        <w:t xml:space="preserve">فَقَالَ : « كَانَ اسْمُ أُمِّكَ بِالسُّرْيَانِيَّةِ عَنْقَالِيَةَ </w:t>
      </w:r>
      <w:r>
        <w:rPr>
          <w:rStyle w:val="libFootnotenumChar"/>
          <w:rtl/>
        </w:rPr>
        <w:t>(5)</w:t>
      </w:r>
      <w:r w:rsidRPr="00132E65">
        <w:rPr>
          <w:rtl/>
          <w:lang w:bidi="fa-IR"/>
        </w:rPr>
        <w:t xml:space="preserve"> ، و</w:t>
      </w:r>
      <w:r w:rsidR="00B47310">
        <w:rPr>
          <w:rFonts w:hint="cs"/>
          <w:rtl/>
          <w:lang w:bidi="fa-IR"/>
        </w:rPr>
        <w:t>َ</w:t>
      </w:r>
      <w:r w:rsidRPr="00132E65">
        <w:rPr>
          <w:rtl/>
          <w:lang w:bidi="fa-IR"/>
        </w:rPr>
        <w:t xml:space="preserve">عُنْقُورَةُ </w:t>
      </w:r>
      <w:r>
        <w:rPr>
          <w:rStyle w:val="libFootnotenumChar"/>
          <w:rtl/>
        </w:rPr>
        <w:t>(6)</w:t>
      </w:r>
      <w:r w:rsidRPr="00132E65">
        <w:rPr>
          <w:rtl/>
          <w:lang w:bidi="fa-IR"/>
        </w:rPr>
        <w:t xml:space="preserve"> كَانَ اسْمُ جَدَّتِكَ لِأَبِيكَ ؛ وَأَمَّا اسْمُ أُمِّكَ بِالْعَرَبِيَّةِ ، فَهُوَ مَيَّةُ ؛ وأَمَّا اسْمُ أَبِيكَ ، فَعَبْدُ الْمَسِيحِ ، و</w:t>
      </w:r>
      <w:r w:rsidR="00B47310">
        <w:rPr>
          <w:rFonts w:hint="cs"/>
          <w:rtl/>
          <w:lang w:bidi="fa-IR"/>
        </w:rPr>
        <w:t>َ</w:t>
      </w:r>
      <w:r w:rsidRPr="00132E65">
        <w:rPr>
          <w:rtl/>
          <w:lang w:bidi="fa-IR"/>
        </w:rPr>
        <w:t>هُوَ عَبْدُ اللهِ بِالْعَرَبِيَّ</w:t>
      </w:r>
      <w:r w:rsidR="00B47310">
        <w:rPr>
          <w:rtl/>
          <w:lang w:bidi="fa-IR"/>
        </w:rPr>
        <w:t>ةِ ، ولَيْسَ لِلْمَسِيحِ عَبْدٌ</w:t>
      </w:r>
      <w:r w:rsidRPr="00132E65">
        <w:rPr>
          <w:rtl/>
          <w:lang w:bidi="fa-IR"/>
        </w:rPr>
        <w:t>»</w:t>
      </w:r>
      <w:r>
        <w:rPr>
          <w:rtl/>
          <w:lang w:bidi="fa-IR"/>
        </w:rPr>
        <w:t>.</w:t>
      </w:r>
    </w:p>
    <w:p w:rsidR="000C39D1" w:rsidRPr="00132E65" w:rsidRDefault="000C39D1" w:rsidP="000C39D1">
      <w:pPr>
        <w:pStyle w:val="libNormal"/>
        <w:rPr>
          <w:rtl/>
          <w:lang w:bidi="fa-IR"/>
        </w:rPr>
      </w:pPr>
      <w:r w:rsidRPr="00132E65">
        <w:rPr>
          <w:rtl/>
          <w:lang w:bidi="fa-IR"/>
        </w:rPr>
        <w:t>قَالَ : صَدَقْتَ وبَرِرْتَ ، فَمَا كَانَ اسْمُ جَدِّي</w:t>
      </w:r>
      <w:r>
        <w:rPr>
          <w:rtl/>
          <w:lang w:bidi="fa-IR"/>
        </w:rPr>
        <w:t>؟</w:t>
      </w:r>
      <w:r w:rsidRPr="00132E65">
        <w:rPr>
          <w:rtl/>
          <w:lang w:bidi="fa-IR"/>
        </w:rPr>
        <w:t xml:space="preserve"> قَالَ : « كَانَ اسْمُ جَدِّكَ جَبْرَئِيلَ ، و</w:t>
      </w:r>
      <w:r w:rsidR="005A1F95">
        <w:rPr>
          <w:rFonts w:hint="cs"/>
          <w:rtl/>
          <w:lang w:bidi="fa-IR"/>
        </w:rPr>
        <w:t xml:space="preserve">َ </w:t>
      </w:r>
      <w:r w:rsidRPr="00132E65">
        <w:rPr>
          <w:rtl/>
          <w:lang w:bidi="fa-IR"/>
        </w:rPr>
        <w:t xml:space="preserve">هُوَ عَبْدُ الرَّحْمنِ سَمَّيْتُهُ </w:t>
      </w:r>
      <w:r>
        <w:rPr>
          <w:rStyle w:val="libFootnotenumChar"/>
          <w:rtl/>
        </w:rPr>
        <w:t>(7)</w:t>
      </w:r>
      <w:r w:rsidRPr="00132E65">
        <w:rPr>
          <w:rtl/>
          <w:lang w:bidi="fa-IR"/>
        </w:rPr>
        <w:t xml:space="preserve"> فِي مَجْلِسِي هذَا »</w:t>
      </w:r>
      <w:r>
        <w:rPr>
          <w:rtl/>
          <w:lang w:bidi="fa-IR"/>
        </w:rPr>
        <w:t>.</w:t>
      </w:r>
    </w:p>
    <w:p w:rsidR="000C39D1" w:rsidRPr="00132E65" w:rsidRDefault="000C39D1" w:rsidP="000C39D1">
      <w:pPr>
        <w:pStyle w:val="libNormal"/>
        <w:rPr>
          <w:rtl/>
          <w:lang w:bidi="fa-IR"/>
        </w:rPr>
      </w:pPr>
      <w:r w:rsidRPr="00132E65">
        <w:rPr>
          <w:rtl/>
          <w:lang w:bidi="fa-IR"/>
        </w:rPr>
        <w:t>قَالَ : أَمَا إِنَّهُ كَانَ مُسْلِماً</w:t>
      </w:r>
      <w:r>
        <w:rPr>
          <w:rtl/>
          <w:lang w:bidi="fa-IR"/>
        </w:rPr>
        <w:t>؟</w:t>
      </w:r>
      <w:r w:rsidRPr="00132E65">
        <w:rPr>
          <w:rtl/>
          <w:lang w:bidi="fa-IR"/>
        </w:rPr>
        <w:t xml:space="preserve"> قَالَ أَبُو إِبْرَاهِيمَ </w:t>
      </w:r>
      <w:r w:rsidRPr="00071CF9">
        <w:rPr>
          <w:rStyle w:val="libAlaemChar"/>
          <w:rtl/>
        </w:rPr>
        <w:t>عليه‌السلام</w:t>
      </w:r>
      <w:r w:rsidRPr="00132E65">
        <w:rPr>
          <w:rtl/>
          <w:lang w:bidi="fa-IR"/>
        </w:rPr>
        <w:t xml:space="preserve"> : « نَعَمْ ، و</w:t>
      </w:r>
      <w:r w:rsidR="005A1F95">
        <w:rPr>
          <w:rFonts w:hint="cs"/>
          <w:rtl/>
          <w:lang w:bidi="fa-IR"/>
        </w:rPr>
        <w:t>َ</w:t>
      </w:r>
      <w:r w:rsidRPr="00132E65">
        <w:rPr>
          <w:rtl/>
          <w:lang w:bidi="fa-IR"/>
        </w:rPr>
        <w:t xml:space="preserve">قُتِلَ شَهِيداً ، دَخَلَتْ عَلَيْهِ أَجْنَادٌ ، فَقَتَلُوهُ فِي مَنْزِلِهِ غِيلَةً </w:t>
      </w:r>
      <w:r>
        <w:rPr>
          <w:rStyle w:val="libFootnotenumChar"/>
          <w:rtl/>
        </w:rPr>
        <w:t>(8)</w:t>
      </w:r>
      <w:r w:rsidRPr="00132E65">
        <w:rPr>
          <w:rtl/>
          <w:lang w:bidi="fa-IR"/>
        </w:rPr>
        <w:t xml:space="preserve"> ، والْأَجْنَادُ مِنْ أَهْلِ الشَّامِ »</w:t>
      </w:r>
      <w:r>
        <w:rPr>
          <w:rtl/>
          <w:lang w:bidi="fa-IR"/>
        </w:rPr>
        <w:t>.</w:t>
      </w:r>
    </w:p>
    <w:p w:rsidR="000C39D1" w:rsidRPr="00132E65" w:rsidRDefault="000C39D1" w:rsidP="000C39D1">
      <w:pPr>
        <w:pStyle w:val="libNormal"/>
        <w:rPr>
          <w:rtl/>
          <w:lang w:bidi="fa-IR"/>
        </w:rPr>
      </w:pPr>
      <w:r w:rsidRPr="00132E65">
        <w:rPr>
          <w:rtl/>
          <w:lang w:bidi="fa-IR"/>
        </w:rPr>
        <w:t>قَالَ : فَمَا كَانَ اسْمِي قَبْلَ كُنْيَتِي</w:t>
      </w:r>
      <w:r>
        <w:rPr>
          <w:rtl/>
          <w:lang w:bidi="fa-IR"/>
        </w:rPr>
        <w:t>؟</w:t>
      </w:r>
      <w:r w:rsidRPr="00132E65">
        <w:rPr>
          <w:rtl/>
          <w:lang w:bidi="fa-IR"/>
        </w:rPr>
        <w:t xml:space="preserve"> قَالَ : « كَانَ اسْمُكَ عَبْدَ الصَّلِيبِ »</w:t>
      </w:r>
      <w:r>
        <w:rPr>
          <w:rtl/>
          <w:lang w:bidi="fa-IR"/>
        </w:rPr>
        <w:t>.</w:t>
      </w:r>
      <w:r w:rsidRPr="00132E65">
        <w:rPr>
          <w:rtl/>
          <w:lang w:bidi="fa-IR"/>
        </w:rPr>
        <w:t xml:space="preserve"> قَالَ : فَمَا‌</w:t>
      </w:r>
    </w:p>
    <w:p w:rsidR="000C39D1" w:rsidRPr="00132E65" w:rsidRDefault="000C39D1" w:rsidP="000C39D1">
      <w:pPr>
        <w:pStyle w:val="libLine"/>
        <w:rPr>
          <w:rtl/>
          <w:lang w:bidi="fa-IR"/>
        </w:rPr>
      </w:pPr>
      <w:r w:rsidRPr="00132E65">
        <w:rPr>
          <w:rtl/>
          <w:lang w:bidi="fa-IR"/>
        </w:rPr>
        <w:t>__________________</w:t>
      </w:r>
    </w:p>
    <w:p w:rsidR="000C39D1" w:rsidRDefault="005A1F95" w:rsidP="000C39D1">
      <w:pPr>
        <w:pStyle w:val="libFootnote0"/>
        <w:rPr>
          <w:rtl/>
        </w:rPr>
      </w:pPr>
      <w:r>
        <w:rPr>
          <w:rFonts w:hint="cs"/>
          <w:rtl/>
        </w:rPr>
        <w:t>=</w:t>
      </w:r>
      <w:r w:rsidR="000C39D1" w:rsidRPr="00132E65">
        <w:rPr>
          <w:rtl/>
        </w:rPr>
        <w:t>فيه لسانها ، أي منعت عن الكلام بها ا</w:t>
      </w:r>
      <w:r>
        <w:rPr>
          <w:rFonts w:hint="cs"/>
          <w:rtl/>
        </w:rPr>
        <w:t>ُ</w:t>
      </w:r>
      <w:r w:rsidR="000C39D1" w:rsidRPr="00132E65">
        <w:rPr>
          <w:rtl/>
        </w:rPr>
        <w:t>مرت بصوم الصمت »</w:t>
      </w:r>
      <w:r w:rsidR="000C39D1">
        <w:rPr>
          <w:rtl/>
        </w:rPr>
        <w:t>.</w:t>
      </w:r>
    </w:p>
    <w:p w:rsidR="000C39D1" w:rsidRPr="00132E65" w:rsidRDefault="000C39D1" w:rsidP="005A1F95">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فيدوس »</w:t>
      </w:r>
      <w:r>
        <w:rPr>
          <w:rtl/>
        </w:rPr>
        <w:t>.</w:t>
      </w:r>
      <w:r w:rsidRPr="00132E65">
        <w:rPr>
          <w:rtl/>
        </w:rPr>
        <w:t xml:space="preserve"> قال في </w:t>
      </w:r>
      <w:r w:rsidRPr="005A1F95">
        <w:rPr>
          <w:rStyle w:val="libFootnoteBoldChar"/>
          <w:rtl/>
        </w:rPr>
        <w:t>المرآة</w:t>
      </w:r>
      <w:r w:rsidRPr="00132E65">
        <w:rPr>
          <w:rtl/>
        </w:rPr>
        <w:t xml:space="preserve"> : « وقيدوس كأنّ اسم جبّار كان ملكاً في تلك النواحي من اليهود في ذلك‌الزمان »</w:t>
      </w:r>
      <w:r>
        <w:rPr>
          <w:rtl/>
        </w:rPr>
        <w:t>.</w:t>
      </w:r>
      <w:r w:rsidR="005A1F95">
        <w:rPr>
          <w:rFonts w:hint="cs"/>
          <w:rtl/>
        </w:rPr>
        <w:t xml:space="preserve">                                             </w:t>
      </w:r>
      <w:r>
        <w:rPr>
          <w:rtl/>
        </w:rPr>
        <w:t>(2).</w:t>
      </w:r>
      <w:r w:rsidRPr="00132E65">
        <w:rPr>
          <w:rtl/>
        </w:rPr>
        <w:t xml:space="preserve"> في « ف » : « أتباعه »</w:t>
      </w:r>
      <w:r>
        <w:rPr>
          <w:rtl/>
        </w:rPr>
        <w:t>.</w:t>
      </w:r>
    </w:p>
    <w:p w:rsidR="000C39D1" w:rsidRPr="00132E65" w:rsidRDefault="000C39D1" w:rsidP="000C39D1">
      <w:pPr>
        <w:pStyle w:val="libFootnote0"/>
        <w:rPr>
          <w:rtl/>
          <w:lang w:bidi="fa-IR"/>
        </w:rPr>
      </w:pPr>
      <w:r>
        <w:rPr>
          <w:rtl/>
        </w:rPr>
        <w:t>(3).</w:t>
      </w:r>
      <w:r w:rsidRPr="00132E65">
        <w:rPr>
          <w:rtl/>
        </w:rPr>
        <w:t xml:space="preserve"> في البحار ، ج 48 : « فقال »</w:t>
      </w:r>
      <w:r>
        <w:rPr>
          <w:rtl/>
        </w:rPr>
        <w:t>.</w:t>
      </w:r>
    </w:p>
    <w:p w:rsidR="000C39D1" w:rsidRPr="00132E65" w:rsidRDefault="000C39D1" w:rsidP="005A1F95">
      <w:pPr>
        <w:pStyle w:val="libFootnote0"/>
        <w:rPr>
          <w:rtl/>
          <w:lang w:bidi="fa-IR"/>
        </w:rPr>
      </w:pPr>
      <w:r>
        <w:rPr>
          <w:rtl/>
        </w:rPr>
        <w:t>(4).</w:t>
      </w:r>
      <w:r w:rsidRPr="00132E65">
        <w:rPr>
          <w:rtl/>
        </w:rPr>
        <w:t xml:space="preserve"> في « ب » : « الأجذب »</w:t>
      </w:r>
      <w:r>
        <w:rPr>
          <w:rtl/>
        </w:rPr>
        <w:t>.</w:t>
      </w:r>
      <w:r w:rsidRPr="00132E65">
        <w:rPr>
          <w:rtl/>
        </w:rPr>
        <w:t xml:space="preserve"> وفي « ض » : « الأجدث »</w:t>
      </w:r>
      <w:r>
        <w:rPr>
          <w:rtl/>
        </w:rPr>
        <w:t>.</w:t>
      </w:r>
      <w:r w:rsidRPr="00132E65">
        <w:rPr>
          <w:rtl/>
        </w:rPr>
        <w:t xml:space="preserve"> وفي « بس » : « الأحدب »</w:t>
      </w:r>
      <w:r>
        <w:rPr>
          <w:rtl/>
        </w:rPr>
        <w:t>.</w:t>
      </w:r>
      <w:r w:rsidRPr="00132E65">
        <w:rPr>
          <w:rtl/>
        </w:rPr>
        <w:t xml:space="preserve"> وفي « بح » وحاشية « ج ، ف ، بر » وشرح المازندراني : « الأجدب »</w:t>
      </w:r>
      <w:r>
        <w:rPr>
          <w:rtl/>
        </w:rPr>
        <w:t>.</w:t>
      </w:r>
      <w:r w:rsidRPr="00132E65">
        <w:rPr>
          <w:rtl/>
        </w:rPr>
        <w:t xml:space="preserve"> ونسبه إلى التصحيف في </w:t>
      </w:r>
      <w:r w:rsidRPr="009D1ACE">
        <w:rPr>
          <w:rStyle w:val="libFootnoteBoldChar"/>
          <w:rtl/>
        </w:rPr>
        <w:t>مرآة العقول</w:t>
      </w:r>
      <w:r w:rsidRPr="00132E65">
        <w:rPr>
          <w:rtl/>
        </w:rPr>
        <w:t xml:space="preserve">. وقال السيّد بدرالدين في حاشيته على </w:t>
      </w:r>
      <w:r w:rsidRPr="000577A7">
        <w:rPr>
          <w:rStyle w:val="libFootnoteBoldChar"/>
          <w:rtl/>
        </w:rPr>
        <w:t>الكافي</w:t>
      </w:r>
      <w:r w:rsidRPr="00132E65">
        <w:rPr>
          <w:rtl/>
        </w:rPr>
        <w:t xml:space="preserve"> ، ص 274 : « الأحدث ، من الحدوث ، تأكيد لليوم ، أي وقرأته في هذا اليوم الذي أنا فيه ، الذي هو أحدث الأيّام وأقربها عهداً »</w:t>
      </w:r>
      <w:r>
        <w:rPr>
          <w:rtl/>
        </w:rPr>
        <w:t>.</w:t>
      </w:r>
      <w:r w:rsidR="005A1F95">
        <w:rPr>
          <w:rFonts w:hint="cs"/>
          <w:rtl/>
        </w:rPr>
        <w:t xml:space="preserve">                                    </w:t>
      </w:r>
      <w:r>
        <w:rPr>
          <w:rtl/>
        </w:rPr>
        <w:t>(5).</w:t>
      </w:r>
      <w:r w:rsidRPr="00132E65">
        <w:rPr>
          <w:rtl/>
        </w:rPr>
        <w:t xml:space="preserve"> في </w:t>
      </w:r>
      <w:r w:rsidRPr="009D1ACE">
        <w:rPr>
          <w:rStyle w:val="libFootnoteBoldChar"/>
          <w:rtl/>
        </w:rPr>
        <w:t>الوافي</w:t>
      </w:r>
      <w:r w:rsidRPr="00132E65">
        <w:rPr>
          <w:rtl/>
        </w:rPr>
        <w:t xml:space="preserve"> : « عنفالية »</w:t>
      </w:r>
      <w:r>
        <w:rPr>
          <w:rtl/>
        </w:rPr>
        <w:t>.</w:t>
      </w:r>
    </w:p>
    <w:p w:rsidR="000C39D1" w:rsidRPr="00132E65" w:rsidRDefault="000C39D1" w:rsidP="000C39D1">
      <w:pPr>
        <w:pStyle w:val="libFootnote0"/>
        <w:rPr>
          <w:rtl/>
          <w:lang w:bidi="fa-IR"/>
        </w:rPr>
      </w:pPr>
      <w:r>
        <w:rPr>
          <w:rtl/>
        </w:rPr>
        <w:t>(6).</w:t>
      </w:r>
      <w:r w:rsidRPr="00132E65">
        <w:rPr>
          <w:rtl/>
        </w:rPr>
        <w:t xml:space="preserve"> في « ب ، ض » : « عنقودة » بالدال. وفي </w:t>
      </w:r>
      <w:r w:rsidRPr="009D1ACE">
        <w:rPr>
          <w:rStyle w:val="libFootnoteBoldChar"/>
          <w:rtl/>
        </w:rPr>
        <w:t>الوافي</w:t>
      </w:r>
      <w:r w:rsidRPr="00132E65">
        <w:rPr>
          <w:rtl/>
        </w:rPr>
        <w:t xml:space="preserve"> : « عنفورة »</w:t>
      </w:r>
      <w:r>
        <w:rPr>
          <w:rtl/>
        </w:rPr>
        <w:t>.</w:t>
      </w:r>
      <w:r w:rsidRPr="00132E65">
        <w:rPr>
          <w:rtl/>
        </w:rPr>
        <w:t xml:space="preserve"> قال المازندراني : « قوله : عنقالية وعنقورة ، ضبط بالقاف وفتح العين فيهما ، والراء في الأخيرة فيما رأيناه من النسخ »</w:t>
      </w:r>
      <w:r>
        <w:rPr>
          <w:rtl/>
        </w:rPr>
        <w:t>.</w:t>
      </w:r>
    </w:p>
    <w:p w:rsidR="000C39D1" w:rsidRPr="00132E65" w:rsidRDefault="000C39D1" w:rsidP="000C39D1">
      <w:pPr>
        <w:pStyle w:val="libFootnote0"/>
        <w:rPr>
          <w:rtl/>
          <w:lang w:bidi="fa-IR"/>
        </w:rPr>
      </w:pPr>
      <w:r>
        <w:rPr>
          <w:rtl/>
        </w:rPr>
        <w:t>(7).</w:t>
      </w:r>
      <w:r w:rsidRPr="00132E65">
        <w:rPr>
          <w:rtl/>
        </w:rPr>
        <w:t xml:space="preserve"> « سمّيته » على صيغة المتكلّم. ويحتمل الخطاب. وقال المجلسي : « والأوّل أظهر ، ويؤيّده ما سيأتي في الجملة »</w:t>
      </w:r>
      <w:r>
        <w:rPr>
          <w:rtl/>
        </w:rPr>
        <w:t>.</w:t>
      </w:r>
    </w:p>
    <w:p w:rsidR="000C39D1" w:rsidRPr="00132E65" w:rsidRDefault="000C39D1" w:rsidP="000C39D1">
      <w:pPr>
        <w:pStyle w:val="libFootnote0"/>
        <w:rPr>
          <w:rtl/>
          <w:lang w:bidi="fa-IR"/>
        </w:rPr>
      </w:pPr>
      <w:r>
        <w:rPr>
          <w:rtl/>
        </w:rPr>
        <w:t>(8).</w:t>
      </w:r>
      <w:r w:rsidRPr="00132E65">
        <w:rPr>
          <w:rtl/>
        </w:rPr>
        <w:t xml:space="preserve"> « غِيلَةً » ، أي في خُفية واغتيالٍ ، وهو أن يُخْدَع ويُقتل في موضع لا يراه فيه أحد. </w:t>
      </w:r>
      <w:r w:rsidRPr="005A1F95">
        <w:rPr>
          <w:rStyle w:val="libFootnoteBoldChar"/>
          <w:rtl/>
        </w:rPr>
        <w:t>النهاية</w:t>
      </w:r>
      <w:r w:rsidRPr="00132E65">
        <w:rPr>
          <w:rtl/>
        </w:rPr>
        <w:t xml:space="preserve"> ، ج 3 ، ص 403 ( غيل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تُسَمِّينِي</w:t>
      </w:r>
      <w:r>
        <w:rPr>
          <w:rtl/>
          <w:lang w:bidi="fa-IR"/>
        </w:rPr>
        <w:t>؟</w:t>
      </w:r>
      <w:r w:rsidRPr="00132E65">
        <w:rPr>
          <w:rtl/>
          <w:lang w:bidi="fa-IR"/>
        </w:rPr>
        <w:t xml:space="preserve"> قَالَ : « أُسَمِّيكَ عَبْدَ اللهِ »</w:t>
      </w:r>
      <w:r>
        <w:rPr>
          <w:rtl/>
          <w:lang w:bidi="fa-IR"/>
        </w:rPr>
        <w:t>.</w:t>
      </w:r>
    </w:p>
    <w:p w:rsidR="000C39D1" w:rsidRPr="00132E65" w:rsidRDefault="000C39D1" w:rsidP="000C39D1">
      <w:pPr>
        <w:pStyle w:val="libNormal"/>
        <w:rPr>
          <w:rtl/>
          <w:lang w:bidi="fa-IR"/>
        </w:rPr>
      </w:pPr>
      <w:r w:rsidRPr="00132E65">
        <w:rPr>
          <w:rtl/>
          <w:lang w:bidi="fa-IR"/>
        </w:rPr>
        <w:t>قَالَ : فَإِنِّي آمَنْتُ بِاللهِ الْعَظِيمِ ، و</w:t>
      </w:r>
      <w:r w:rsidR="005A1F95">
        <w:rPr>
          <w:rFonts w:hint="cs"/>
          <w:rtl/>
          <w:lang w:bidi="fa-IR"/>
        </w:rPr>
        <w:t>َ</w:t>
      </w:r>
      <w:r w:rsidRPr="00132E65">
        <w:rPr>
          <w:rtl/>
          <w:lang w:bidi="fa-IR"/>
        </w:rPr>
        <w:t>شَهِدْتُ أَنْ لَا</w:t>
      </w:r>
      <w:r>
        <w:rPr>
          <w:rFonts w:hint="cs"/>
          <w:rtl/>
          <w:lang w:bidi="fa-IR"/>
        </w:rPr>
        <w:t xml:space="preserve"> </w:t>
      </w:r>
      <w:r w:rsidR="005A1F95">
        <w:rPr>
          <w:rtl/>
          <w:lang w:bidi="fa-IR"/>
        </w:rPr>
        <w:t>إِلهَ إِل</w:t>
      </w:r>
      <w:r w:rsidR="005A1F95">
        <w:rPr>
          <w:rFonts w:hint="cs"/>
          <w:rtl/>
          <w:lang w:bidi="fa-IR"/>
        </w:rPr>
        <w:t>َّ</w:t>
      </w:r>
      <w:r w:rsidR="005A1F95">
        <w:rPr>
          <w:rtl/>
          <w:lang w:bidi="fa-IR"/>
        </w:rPr>
        <w:t>ا</w:t>
      </w:r>
      <w:r w:rsidRPr="00132E65">
        <w:rPr>
          <w:rtl/>
          <w:lang w:bidi="fa-IR"/>
        </w:rPr>
        <w:t xml:space="preserve"> اللهُ و</w:t>
      </w:r>
      <w:r w:rsidR="005A1F95">
        <w:rPr>
          <w:rFonts w:hint="cs"/>
          <w:rtl/>
          <w:lang w:bidi="fa-IR"/>
        </w:rPr>
        <w:t>َ</w:t>
      </w:r>
      <w:r w:rsidRPr="00132E65">
        <w:rPr>
          <w:rtl/>
          <w:lang w:bidi="fa-IR"/>
        </w:rPr>
        <w:t xml:space="preserve">حْدَهُ لَاشَرِيكَ لَهُ ، فَرْداً صَمَداً ، لَيْسَ كَمَا تَصِفُهُ </w:t>
      </w:r>
      <w:r>
        <w:rPr>
          <w:rStyle w:val="libFootnotenumChar"/>
          <w:rtl/>
        </w:rPr>
        <w:t>(1)</w:t>
      </w:r>
      <w:r w:rsidRPr="00132E65">
        <w:rPr>
          <w:rtl/>
          <w:lang w:bidi="fa-IR"/>
        </w:rPr>
        <w:t xml:space="preserve"> النَّصَارى ، ولَيْسَ </w:t>
      </w:r>
      <w:r>
        <w:rPr>
          <w:rStyle w:val="libFootnotenumChar"/>
          <w:rtl/>
        </w:rPr>
        <w:t>(2)</w:t>
      </w:r>
      <w:r w:rsidRPr="00132E65">
        <w:rPr>
          <w:rtl/>
          <w:lang w:bidi="fa-IR"/>
        </w:rPr>
        <w:t xml:space="preserve"> كَمَا تَصِفُهُ </w:t>
      </w:r>
      <w:r>
        <w:rPr>
          <w:rStyle w:val="libFootnotenumChar"/>
          <w:rtl/>
        </w:rPr>
        <w:t>(3)</w:t>
      </w:r>
      <w:r w:rsidRPr="00132E65">
        <w:rPr>
          <w:rtl/>
          <w:lang w:bidi="fa-IR"/>
        </w:rPr>
        <w:t xml:space="preserve"> الْيَهُودُ ، ولَاجِنْسٌ مِنْ أَجْنَاسِ الشِّرْكِ ، وأَشْهَدُ أَنَّ مُحَمَّداً عَبْدُهُ و</w:t>
      </w:r>
      <w:r w:rsidR="005A1F95">
        <w:rPr>
          <w:rFonts w:hint="cs"/>
          <w:rtl/>
          <w:lang w:bidi="fa-IR"/>
        </w:rPr>
        <w:t>َ</w:t>
      </w:r>
      <w:r w:rsidRPr="00132E65">
        <w:rPr>
          <w:rtl/>
          <w:lang w:bidi="fa-IR"/>
        </w:rPr>
        <w:t>رَسُولُهُ أَرْسَلَهُ بِالْحَقِّ ، فَأَبَانَ بِهِ لِأَهْلِهِ ، و</w:t>
      </w:r>
      <w:r w:rsidR="005A1F95">
        <w:rPr>
          <w:rFonts w:hint="cs"/>
          <w:rtl/>
          <w:lang w:bidi="fa-IR"/>
        </w:rPr>
        <w:t>َ</w:t>
      </w:r>
      <w:r w:rsidRPr="00132E65">
        <w:rPr>
          <w:rtl/>
          <w:lang w:bidi="fa-IR"/>
        </w:rPr>
        <w:t>عَمِيَ الْمُبْطِلُونَ ، وأَنَّهُ كَانَ رَسُولَ اللهِ إِلَى النَّاسِ كَافَّةً : إِلَى الْأَحْمَرِ والْأَسْوَدِ ، كُلٌّ فِيهِ مُشْتَرِكٌ ، فَأَبْصَرَ مَنْ أَبْصَرَ ، واهْتَدى مَنِ اهْتَدى ، وعَمِيَ الْمُبْطِلُونَ ، و</w:t>
      </w:r>
      <w:r w:rsidR="005A1F95">
        <w:rPr>
          <w:rFonts w:hint="cs"/>
          <w:rtl/>
          <w:lang w:bidi="fa-IR"/>
        </w:rPr>
        <w:t>َ</w:t>
      </w:r>
      <w:r w:rsidRPr="00132E65">
        <w:rPr>
          <w:rtl/>
          <w:lang w:bidi="fa-IR"/>
        </w:rPr>
        <w:t xml:space="preserve">ضَلَّ عَنْهُمْ مَا كَانُوا يَدْعُونَ </w:t>
      </w:r>
      <w:r>
        <w:rPr>
          <w:rStyle w:val="libFootnotenumChar"/>
          <w:rtl/>
        </w:rPr>
        <w:t>(4)</w:t>
      </w:r>
      <w:r w:rsidRPr="00132E65">
        <w:rPr>
          <w:rtl/>
          <w:lang w:bidi="fa-IR"/>
        </w:rPr>
        <w:t xml:space="preserve"> ، و</w:t>
      </w:r>
      <w:r w:rsidR="005A1F95">
        <w:rPr>
          <w:rFonts w:hint="cs"/>
          <w:rtl/>
          <w:lang w:bidi="fa-IR"/>
        </w:rPr>
        <w:t>َ</w:t>
      </w:r>
      <w:r w:rsidRPr="00132E65">
        <w:rPr>
          <w:rtl/>
          <w:lang w:bidi="fa-IR"/>
        </w:rPr>
        <w:t>أَشْهَدُ أَنَّ و</w:t>
      </w:r>
      <w:r w:rsidR="005A1F95">
        <w:rPr>
          <w:rFonts w:hint="cs"/>
          <w:rtl/>
          <w:lang w:bidi="fa-IR"/>
        </w:rPr>
        <w:t>َ</w:t>
      </w:r>
      <w:r w:rsidRPr="00132E65">
        <w:rPr>
          <w:rtl/>
          <w:lang w:bidi="fa-IR"/>
        </w:rPr>
        <w:t>لِيَّهُ نَطَقَ بِحِكْمَتِهِ ، و</w:t>
      </w:r>
      <w:r w:rsidR="005A1F95">
        <w:rPr>
          <w:rFonts w:hint="cs"/>
          <w:rtl/>
          <w:lang w:bidi="fa-IR"/>
        </w:rPr>
        <w:t>َ</w:t>
      </w:r>
      <w:r w:rsidRPr="00132E65">
        <w:rPr>
          <w:rtl/>
          <w:lang w:bidi="fa-IR"/>
        </w:rPr>
        <w:t xml:space="preserve">أَنَّ مَنْ كَانَ قَبْلَهُ مِنَ الْأَنْبِيَاءِ </w:t>
      </w:r>
      <w:r>
        <w:rPr>
          <w:rStyle w:val="libFootnotenumChar"/>
          <w:rtl/>
        </w:rPr>
        <w:t>(5)</w:t>
      </w:r>
      <w:r w:rsidRPr="00132E65">
        <w:rPr>
          <w:rtl/>
          <w:lang w:bidi="fa-IR"/>
        </w:rPr>
        <w:t xml:space="preserve"> نَطَقُوا بِالْحِكْمَةِ الْبَالِغَةِ ، و</w:t>
      </w:r>
      <w:r w:rsidR="005A1F95">
        <w:rPr>
          <w:rFonts w:hint="cs"/>
          <w:rtl/>
          <w:lang w:bidi="fa-IR"/>
        </w:rPr>
        <w:t>َ</w:t>
      </w:r>
      <w:r w:rsidRPr="00132E65">
        <w:rPr>
          <w:rtl/>
          <w:lang w:bidi="fa-IR"/>
        </w:rPr>
        <w:t xml:space="preserve">تَوَازَرُوا </w:t>
      </w:r>
      <w:r>
        <w:rPr>
          <w:rStyle w:val="libFootnotenumChar"/>
          <w:rtl/>
        </w:rPr>
        <w:t>(6)</w:t>
      </w:r>
      <w:r w:rsidRPr="00132E65">
        <w:rPr>
          <w:rtl/>
          <w:lang w:bidi="fa-IR"/>
        </w:rPr>
        <w:t xml:space="preserve"> عَلَى الطَّاعَةِ لِلّهِ ، و</w:t>
      </w:r>
      <w:r w:rsidR="005A1F95">
        <w:rPr>
          <w:rFonts w:hint="cs"/>
          <w:rtl/>
          <w:lang w:bidi="fa-IR"/>
        </w:rPr>
        <w:t>َ</w:t>
      </w:r>
      <w:r w:rsidRPr="00132E65">
        <w:rPr>
          <w:rtl/>
          <w:lang w:bidi="fa-IR"/>
        </w:rPr>
        <w:t>فَارَقُوا الْبَاطِلَ و</w:t>
      </w:r>
      <w:r w:rsidR="005A1F95">
        <w:rPr>
          <w:rFonts w:hint="cs"/>
          <w:rtl/>
          <w:lang w:bidi="fa-IR"/>
        </w:rPr>
        <w:t>َ</w:t>
      </w:r>
      <w:r w:rsidRPr="00132E65">
        <w:rPr>
          <w:rtl/>
          <w:lang w:bidi="fa-IR"/>
        </w:rPr>
        <w:t>أَهْلَهُ و</w:t>
      </w:r>
      <w:r w:rsidR="005A1F95">
        <w:rPr>
          <w:rFonts w:hint="cs"/>
          <w:rtl/>
          <w:lang w:bidi="fa-IR"/>
        </w:rPr>
        <w:t>َ</w:t>
      </w:r>
      <w:r w:rsidRPr="00132E65">
        <w:rPr>
          <w:rtl/>
          <w:lang w:bidi="fa-IR"/>
        </w:rPr>
        <w:t>الرِّجْسَ و</w:t>
      </w:r>
      <w:r w:rsidR="005A1F95">
        <w:rPr>
          <w:rFonts w:hint="cs"/>
          <w:rtl/>
          <w:lang w:bidi="fa-IR"/>
        </w:rPr>
        <w:t>َ</w:t>
      </w:r>
      <w:r w:rsidRPr="00132E65">
        <w:rPr>
          <w:rtl/>
          <w:lang w:bidi="fa-IR"/>
        </w:rPr>
        <w:t>أَهْلَهُ ، وَ</w:t>
      </w:r>
      <w:r w:rsidR="005A1F95">
        <w:rPr>
          <w:rFonts w:hint="cs"/>
          <w:rtl/>
          <w:lang w:bidi="fa-IR"/>
        </w:rPr>
        <w:t xml:space="preserve"> </w:t>
      </w:r>
      <w:r w:rsidRPr="00132E65">
        <w:rPr>
          <w:rtl/>
          <w:lang w:bidi="fa-IR"/>
        </w:rPr>
        <w:t>هَجَرُوا سَبِيلَ الضَّلَالَةِ ، و</w:t>
      </w:r>
      <w:r w:rsidR="005A1F95">
        <w:rPr>
          <w:rFonts w:hint="cs"/>
          <w:rtl/>
          <w:lang w:bidi="fa-IR"/>
        </w:rPr>
        <w:t>َ</w:t>
      </w:r>
      <w:r w:rsidRPr="00132E65">
        <w:rPr>
          <w:rtl/>
          <w:lang w:bidi="fa-IR"/>
        </w:rPr>
        <w:t xml:space="preserve">نَصَرَهُمُ اللهُ بِالطَّاعَةِ لَهُ </w:t>
      </w:r>
      <w:r>
        <w:rPr>
          <w:rStyle w:val="libFootnotenumChar"/>
          <w:rtl/>
        </w:rPr>
        <w:t>(7)</w:t>
      </w:r>
      <w:r w:rsidRPr="00132E65">
        <w:rPr>
          <w:rtl/>
          <w:lang w:bidi="fa-IR"/>
        </w:rPr>
        <w:t xml:space="preserve"> ، و</w:t>
      </w:r>
      <w:r w:rsidR="005A1F95">
        <w:rPr>
          <w:rFonts w:hint="cs"/>
          <w:rtl/>
          <w:lang w:bidi="fa-IR"/>
        </w:rPr>
        <w:t>َ</w:t>
      </w:r>
      <w:r w:rsidRPr="00132E65">
        <w:rPr>
          <w:rtl/>
          <w:lang w:bidi="fa-IR"/>
        </w:rPr>
        <w:t>عَصَمَهُمْ مِنَ الْمَعْصِيَةِ ، فَهُمْ لِلّهِ أَوْلِيَاءُ ، و</w:t>
      </w:r>
      <w:r w:rsidR="005A1F95">
        <w:rPr>
          <w:rFonts w:hint="cs"/>
          <w:rtl/>
          <w:lang w:bidi="fa-IR"/>
        </w:rPr>
        <w:t>َ</w:t>
      </w:r>
      <w:r w:rsidRPr="00132E65">
        <w:rPr>
          <w:rtl/>
          <w:lang w:bidi="fa-IR"/>
        </w:rPr>
        <w:t>لِلدِّينِ أَنْصَارٌ ، يَحُثُّونَ عَلَى الْخَيْرِ و</w:t>
      </w:r>
      <w:r w:rsidR="005A1F95">
        <w:rPr>
          <w:rFonts w:hint="cs"/>
          <w:rtl/>
          <w:lang w:bidi="fa-IR"/>
        </w:rPr>
        <w:t>َ</w:t>
      </w:r>
      <w:r w:rsidRPr="00132E65">
        <w:rPr>
          <w:rtl/>
          <w:lang w:bidi="fa-IR"/>
        </w:rPr>
        <w:t xml:space="preserve">يَأْمُرُونَ بِهِ ، آمَنْتُ بِالصَّغِيرِ مِنْهُمْ والْكَبِيرِ ، وَمَنْ ذَكَرْتُ مِنْهُمْ </w:t>
      </w:r>
      <w:r>
        <w:rPr>
          <w:rStyle w:val="libFootnotenumChar"/>
          <w:rtl/>
        </w:rPr>
        <w:t>(8)</w:t>
      </w:r>
      <w:r w:rsidRPr="00132E65">
        <w:rPr>
          <w:rtl/>
          <w:lang w:bidi="fa-IR"/>
        </w:rPr>
        <w:t xml:space="preserve"> و</w:t>
      </w:r>
      <w:r w:rsidR="005A1F95">
        <w:rPr>
          <w:rFonts w:hint="cs"/>
          <w:rtl/>
          <w:lang w:bidi="fa-IR"/>
        </w:rPr>
        <w:t>َ</w:t>
      </w:r>
      <w:r w:rsidRPr="00132E65">
        <w:rPr>
          <w:rtl/>
          <w:lang w:bidi="fa-IR"/>
        </w:rPr>
        <w:t xml:space="preserve">مَنْ </w:t>
      </w:r>
      <w:r>
        <w:rPr>
          <w:rStyle w:val="libFootnotenumChar"/>
          <w:rtl/>
        </w:rPr>
        <w:t>(9)</w:t>
      </w:r>
      <w:r w:rsidRPr="00132E65">
        <w:rPr>
          <w:rtl/>
          <w:lang w:bidi="fa-IR"/>
        </w:rPr>
        <w:t xml:space="preserve"> لَمْ أَذْكُرْ </w:t>
      </w:r>
      <w:r>
        <w:rPr>
          <w:rStyle w:val="libFootnotenumChar"/>
          <w:rtl/>
        </w:rPr>
        <w:t>(10)</w:t>
      </w:r>
      <w:r w:rsidRPr="00132E65">
        <w:rPr>
          <w:rtl/>
          <w:lang w:bidi="fa-IR"/>
        </w:rPr>
        <w:t xml:space="preserve"> ، و</w:t>
      </w:r>
      <w:r w:rsidR="005A1F95">
        <w:rPr>
          <w:rFonts w:hint="cs"/>
          <w:rtl/>
          <w:lang w:bidi="fa-IR"/>
        </w:rPr>
        <w:t>َ</w:t>
      </w:r>
      <w:r w:rsidRPr="00132E65">
        <w:rPr>
          <w:rtl/>
          <w:lang w:bidi="fa-IR"/>
        </w:rPr>
        <w:t>آمَنْتُ بِاللهِ</w:t>
      </w:r>
      <w:r>
        <w:rPr>
          <w:rtl/>
          <w:lang w:bidi="fa-IR"/>
        </w:rPr>
        <w:t xml:space="preserve"> - </w:t>
      </w:r>
      <w:r w:rsidRPr="00132E65">
        <w:rPr>
          <w:rtl/>
          <w:lang w:bidi="fa-IR"/>
        </w:rPr>
        <w:t>تَبَارَكَ وتَعَالى</w:t>
      </w:r>
      <w:r>
        <w:rPr>
          <w:rtl/>
          <w:lang w:bidi="fa-IR"/>
        </w:rPr>
        <w:t xml:space="preserve"> - </w:t>
      </w:r>
      <w:r w:rsidRPr="00132E65">
        <w:rPr>
          <w:rtl/>
          <w:lang w:bidi="fa-IR"/>
        </w:rPr>
        <w:t>رَبِّ الْعَالَمِينَ.</w:t>
      </w:r>
    </w:p>
    <w:p w:rsidR="000C39D1" w:rsidRPr="00132E65" w:rsidRDefault="000C39D1" w:rsidP="000C39D1">
      <w:pPr>
        <w:pStyle w:val="libNormal"/>
        <w:rPr>
          <w:rtl/>
          <w:lang w:bidi="fa-IR"/>
        </w:rPr>
      </w:pPr>
      <w:r w:rsidRPr="00132E65">
        <w:rPr>
          <w:rtl/>
          <w:lang w:bidi="fa-IR"/>
        </w:rPr>
        <w:t xml:space="preserve">ثُمَّ قَطَعَ زُنَّارَهُ </w:t>
      </w:r>
      <w:r>
        <w:rPr>
          <w:rStyle w:val="libFootnotenumChar"/>
          <w:rtl/>
        </w:rPr>
        <w:t>(11)</w:t>
      </w:r>
      <w:r w:rsidRPr="00132E65">
        <w:rPr>
          <w:rtl/>
          <w:lang w:bidi="fa-IR"/>
        </w:rPr>
        <w:t xml:space="preserve"> ، و</w:t>
      </w:r>
      <w:r w:rsidR="005A1F95">
        <w:rPr>
          <w:rFonts w:hint="cs"/>
          <w:rtl/>
          <w:lang w:bidi="fa-IR"/>
        </w:rPr>
        <w:t>َ</w:t>
      </w:r>
      <w:r w:rsidRPr="00132E65">
        <w:rPr>
          <w:rtl/>
          <w:lang w:bidi="fa-IR"/>
        </w:rPr>
        <w:t>قَطَعَ صَلِيباً كَانَ فِي عُنُقِهِ مِنْ ذَهَبٍ ، ثُمَّ قَالَ : مُرْنِي حَتّى‌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ف ، بح ، بر ، بس » وشرح المازندراني والبحار ، ج 48 : « يصفه »</w:t>
      </w:r>
      <w:r>
        <w:rPr>
          <w:rtl/>
        </w:rPr>
        <w:t>.</w:t>
      </w:r>
    </w:p>
    <w:p w:rsidR="000C39D1" w:rsidRPr="00132E65" w:rsidRDefault="000C39D1" w:rsidP="000C39D1">
      <w:pPr>
        <w:pStyle w:val="libFootnote0"/>
        <w:rPr>
          <w:rtl/>
          <w:lang w:bidi="fa-IR"/>
        </w:rPr>
      </w:pPr>
      <w:r>
        <w:rPr>
          <w:rtl/>
        </w:rPr>
        <w:t>(2).</w:t>
      </w:r>
      <w:r w:rsidRPr="00132E65">
        <w:rPr>
          <w:rtl/>
        </w:rPr>
        <w:t xml:space="preserve"> في « ف » : « ولا »</w:t>
      </w:r>
      <w:r>
        <w:rPr>
          <w:rtl/>
        </w:rPr>
        <w:t>.</w:t>
      </w:r>
    </w:p>
    <w:p w:rsidR="000C39D1" w:rsidRPr="00132E65" w:rsidRDefault="000C39D1" w:rsidP="000C39D1">
      <w:pPr>
        <w:pStyle w:val="libFootnote0"/>
        <w:rPr>
          <w:rtl/>
          <w:lang w:bidi="fa-IR"/>
        </w:rPr>
      </w:pPr>
      <w:r>
        <w:rPr>
          <w:rtl/>
        </w:rPr>
        <w:t>(3).</w:t>
      </w:r>
      <w:r w:rsidRPr="00132E65">
        <w:rPr>
          <w:rtl/>
        </w:rPr>
        <w:t xml:space="preserve"> في « ب ، ض ، ف ، بح ، بر ، بس ، بف » وشرح </w:t>
      </w:r>
      <w:r w:rsidRPr="005A1F95">
        <w:rPr>
          <w:rtl/>
        </w:rPr>
        <w:t>المازندراني ومرآة العقول</w:t>
      </w:r>
      <w:r w:rsidRPr="00132E65">
        <w:rPr>
          <w:rtl/>
        </w:rPr>
        <w:t xml:space="preserve"> : « كما يصفه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5A1F95">
        <w:rPr>
          <w:rtl/>
        </w:rPr>
        <w:t>الوافي</w:t>
      </w:r>
      <w:r w:rsidRPr="00132E65">
        <w:rPr>
          <w:rtl/>
        </w:rPr>
        <w:t xml:space="preserve"> </w:t>
      </w:r>
      <w:r>
        <w:rPr>
          <w:rtl/>
        </w:rPr>
        <w:t xml:space="preserve">: - </w:t>
      </w:r>
      <w:r w:rsidRPr="00132E65">
        <w:rPr>
          <w:rtl/>
        </w:rPr>
        <w:t>« مشترك ، فأبصر</w:t>
      </w:r>
      <w:r>
        <w:rPr>
          <w:rtl/>
        </w:rPr>
        <w:t xml:space="preserve"> - </w:t>
      </w:r>
      <w:r w:rsidRPr="00132E65">
        <w:rPr>
          <w:rtl/>
        </w:rPr>
        <w:t>إلى</w:t>
      </w:r>
      <w:r>
        <w:rPr>
          <w:rtl/>
        </w:rPr>
        <w:t xml:space="preserve"> - </w:t>
      </w:r>
      <w:r w:rsidRPr="00132E65">
        <w:rPr>
          <w:rtl/>
        </w:rPr>
        <w:t>ما كانوا يدعون »</w:t>
      </w:r>
      <w:r>
        <w:rPr>
          <w:rtl/>
        </w:rPr>
        <w:t>.</w:t>
      </w:r>
    </w:p>
    <w:p w:rsidR="000C39D1" w:rsidRPr="00132E65" w:rsidRDefault="000C39D1" w:rsidP="000C39D1">
      <w:pPr>
        <w:pStyle w:val="libFootnote0"/>
        <w:rPr>
          <w:rtl/>
          <w:lang w:bidi="fa-IR"/>
        </w:rPr>
      </w:pPr>
      <w:r>
        <w:rPr>
          <w:rtl/>
        </w:rPr>
        <w:t>(5).</w:t>
      </w:r>
      <w:r w:rsidRPr="00132E65">
        <w:rPr>
          <w:rtl/>
        </w:rPr>
        <w:t xml:space="preserve"> في « بر » </w:t>
      </w:r>
      <w:r w:rsidRPr="005A1F95">
        <w:rPr>
          <w:rtl/>
        </w:rPr>
        <w:t>والوافي</w:t>
      </w:r>
      <w:r w:rsidRPr="00132E65">
        <w:rPr>
          <w:rtl/>
        </w:rPr>
        <w:t xml:space="preserve"> : « الأولياء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وتوازروا ، أي تعاونوا بالطاعة ، أي بالتوفيق للطاعة ، أو نصرهم على الأعادي بسبب</w:t>
      </w:r>
      <w:r w:rsidR="005A1F95">
        <w:rPr>
          <w:rFonts w:hint="cs"/>
          <w:rtl/>
        </w:rPr>
        <w:t xml:space="preserve"> </w:t>
      </w:r>
      <w:r w:rsidRPr="00132E65">
        <w:rPr>
          <w:rtl/>
        </w:rPr>
        <w:t>‌الطاعة »</w:t>
      </w:r>
      <w:r>
        <w:rPr>
          <w:rtl/>
        </w:rPr>
        <w:t>.</w:t>
      </w:r>
    </w:p>
    <w:p w:rsidR="000C39D1" w:rsidRPr="00132E65" w:rsidRDefault="000C39D1" w:rsidP="000C39D1">
      <w:pPr>
        <w:pStyle w:val="libFootnote0"/>
        <w:rPr>
          <w:rtl/>
          <w:lang w:bidi="fa-IR"/>
        </w:rPr>
      </w:pPr>
      <w:r>
        <w:rPr>
          <w:rtl/>
        </w:rPr>
        <w:t>(7).</w:t>
      </w:r>
      <w:r w:rsidRPr="00132E65">
        <w:rPr>
          <w:rtl/>
        </w:rPr>
        <w:t xml:space="preserve"> في « بح »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261"/>
        <w:gridCol w:w="4262"/>
      </w:tblGrid>
      <w:tr w:rsidR="005A1F95" w:rsidTr="005A1F95">
        <w:tc>
          <w:tcPr>
            <w:tcW w:w="4261" w:type="dxa"/>
          </w:tcPr>
          <w:p w:rsidR="005A1F95" w:rsidRDefault="005A1F95" w:rsidP="000C39D1">
            <w:pPr>
              <w:pStyle w:val="libFootnote0"/>
              <w:rPr>
                <w:rtl/>
              </w:rPr>
            </w:pPr>
            <w:r>
              <w:rPr>
                <w:rtl/>
              </w:rPr>
              <w:t>(8).</w:t>
            </w:r>
            <w:r w:rsidRPr="00132E65">
              <w:rPr>
                <w:rtl/>
              </w:rPr>
              <w:t xml:space="preserve"> في « ف ، بس » </w:t>
            </w:r>
            <w:r>
              <w:rPr>
                <w:rtl/>
              </w:rPr>
              <w:t xml:space="preserve">: - </w:t>
            </w:r>
            <w:r w:rsidRPr="00132E65">
              <w:rPr>
                <w:rtl/>
              </w:rPr>
              <w:t>« منهم »</w:t>
            </w:r>
            <w:r>
              <w:rPr>
                <w:rtl/>
              </w:rPr>
              <w:t>.</w:t>
            </w:r>
          </w:p>
        </w:tc>
        <w:tc>
          <w:tcPr>
            <w:tcW w:w="4262" w:type="dxa"/>
          </w:tcPr>
          <w:p w:rsidR="005A1F95" w:rsidRDefault="005A1F95" w:rsidP="000C39D1">
            <w:pPr>
              <w:pStyle w:val="libFootnote0"/>
              <w:rPr>
                <w:rtl/>
              </w:rPr>
            </w:pPr>
            <w:r>
              <w:rPr>
                <w:rtl/>
              </w:rPr>
              <w:t>(9).</w:t>
            </w:r>
            <w:r w:rsidRPr="00132E65">
              <w:rPr>
                <w:rtl/>
              </w:rPr>
              <w:t xml:space="preserve"> في « بح »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w:t>
      </w:r>
      <w:r>
        <w:rPr>
          <w:rtl/>
        </w:rPr>
        <w:t xml:space="preserve"> + </w:t>
      </w:r>
      <w:r w:rsidRPr="00132E65">
        <w:rPr>
          <w:rtl/>
        </w:rPr>
        <w:t>« منهم »</w:t>
      </w:r>
      <w:r>
        <w:rPr>
          <w:rtl/>
        </w:rPr>
        <w:t>.</w:t>
      </w:r>
    </w:p>
    <w:p w:rsidR="000C39D1" w:rsidRPr="00132E65" w:rsidRDefault="000C39D1" w:rsidP="000C39D1">
      <w:pPr>
        <w:pStyle w:val="libFootnote0"/>
        <w:rPr>
          <w:rtl/>
          <w:lang w:bidi="fa-IR"/>
        </w:rPr>
      </w:pPr>
      <w:r>
        <w:rPr>
          <w:rtl/>
        </w:rPr>
        <w:t>(11).</w:t>
      </w:r>
      <w:r w:rsidRPr="00132E65">
        <w:rPr>
          <w:rtl/>
        </w:rPr>
        <w:t xml:space="preserve"> « الزُنّار » </w:t>
      </w:r>
      <w:r>
        <w:rPr>
          <w:rtl/>
        </w:rPr>
        <w:t>و «</w:t>
      </w:r>
      <w:r w:rsidRPr="00132E65">
        <w:rPr>
          <w:rtl/>
        </w:rPr>
        <w:t xml:space="preserve"> الزُنّارة » : ما على وسط المجوسيّ والنصرانيّ. وقيل : ما يلبسه الذمّيّ يشدّه على وسطه. </w:t>
      </w:r>
      <w:r w:rsidRPr="005A1F95">
        <w:rPr>
          <w:rStyle w:val="libFootnoteBoldChar"/>
          <w:rtl/>
        </w:rPr>
        <w:t>لسان‌</w:t>
      </w:r>
      <w:r w:rsidR="005A1F95">
        <w:rPr>
          <w:rStyle w:val="libFootnoteBoldChar"/>
          <w:rFonts w:hint="cs"/>
          <w:rtl/>
        </w:rPr>
        <w:t xml:space="preserve"> </w:t>
      </w:r>
      <w:r w:rsidRPr="005A1F95">
        <w:rPr>
          <w:rStyle w:val="libFootnoteBoldChar"/>
          <w:rtl/>
        </w:rPr>
        <w:t>العرب</w:t>
      </w:r>
      <w:r w:rsidRPr="00650561">
        <w:rPr>
          <w:rtl/>
        </w:rPr>
        <w:t xml:space="preserve"> </w:t>
      </w:r>
      <w:r w:rsidRPr="00132E65">
        <w:rPr>
          <w:rtl/>
        </w:rPr>
        <w:t>، ج 4 ، ص 330 ( زنر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أَضَعَ صَدَقَتِي </w:t>
      </w:r>
      <w:r>
        <w:rPr>
          <w:rStyle w:val="libFootnotenumChar"/>
          <w:rtl/>
        </w:rPr>
        <w:t>(1)</w:t>
      </w:r>
      <w:r w:rsidRPr="00132E65">
        <w:rPr>
          <w:rtl/>
          <w:lang w:bidi="fa-IR"/>
        </w:rPr>
        <w:t xml:space="preserve"> حَيْثُ تَأْمُرُنِي ، فَقَالَ </w:t>
      </w:r>
      <w:r w:rsidRPr="00071CF9">
        <w:rPr>
          <w:rStyle w:val="libAlaemChar"/>
          <w:rtl/>
        </w:rPr>
        <w:t>عليه‌السلام</w:t>
      </w:r>
      <w:r w:rsidRPr="00132E65">
        <w:rPr>
          <w:rtl/>
          <w:lang w:bidi="fa-IR"/>
        </w:rPr>
        <w:t xml:space="preserve"> : « هَاهُنَا أَخٌ لَكَ كَانَ </w:t>
      </w:r>
      <w:r>
        <w:rPr>
          <w:rStyle w:val="libFootnotenumChar"/>
          <w:rtl/>
        </w:rPr>
        <w:t>(2)</w:t>
      </w:r>
      <w:r w:rsidRPr="00132E65">
        <w:rPr>
          <w:rtl/>
          <w:lang w:bidi="fa-IR"/>
        </w:rPr>
        <w:t xml:space="preserve"> عَلى مِثْلِ دِينِكَ ، و</w:t>
      </w:r>
      <w:r w:rsidR="005A1F95">
        <w:rPr>
          <w:rFonts w:hint="cs"/>
          <w:rtl/>
          <w:lang w:bidi="fa-IR"/>
        </w:rPr>
        <w:t xml:space="preserve">َ </w:t>
      </w:r>
      <w:r w:rsidRPr="00132E65">
        <w:rPr>
          <w:rtl/>
          <w:lang w:bidi="fa-IR"/>
        </w:rPr>
        <w:t>هُوَ رَجُلٌ مِنْ قَوْمِكَ مِنْ قَيْسِ بْنِ ثَعْلَبَةَ ، و</w:t>
      </w:r>
      <w:r w:rsidR="00134C51">
        <w:rPr>
          <w:rFonts w:hint="cs"/>
          <w:rtl/>
          <w:lang w:bidi="fa-IR"/>
        </w:rPr>
        <w:t xml:space="preserve">َ </w:t>
      </w:r>
      <w:r w:rsidRPr="00132E65">
        <w:rPr>
          <w:rtl/>
          <w:lang w:bidi="fa-IR"/>
        </w:rPr>
        <w:t xml:space="preserve">هُوَ فِي نِعْمَةٍ </w:t>
      </w:r>
      <w:r>
        <w:rPr>
          <w:rStyle w:val="libFootnotenumChar"/>
          <w:rtl/>
        </w:rPr>
        <w:t>(3)</w:t>
      </w:r>
      <w:r w:rsidRPr="00132E65">
        <w:rPr>
          <w:rtl/>
          <w:lang w:bidi="fa-IR"/>
        </w:rPr>
        <w:t xml:space="preserve"> كَنِعْمَتِكَ ، فَتَوَاسَيَا </w:t>
      </w:r>
      <w:r>
        <w:rPr>
          <w:rStyle w:val="libFootnotenumChar"/>
          <w:rtl/>
        </w:rPr>
        <w:t>(4)</w:t>
      </w:r>
      <w:r w:rsidRPr="00132E65">
        <w:rPr>
          <w:rtl/>
          <w:lang w:bidi="fa-IR"/>
        </w:rPr>
        <w:t xml:space="preserve"> و</w:t>
      </w:r>
      <w:r w:rsidR="00134C51">
        <w:rPr>
          <w:rFonts w:hint="cs"/>
          <w:rtl/>
          <w:lang w:bidi="fa-IR"/>
        </w:rPr>
        <w:t>َ</w:t>
      </w:r>
      <w:r w:rsidRPr="00132E65">
        <w:rPr>
          <w:rtl/>
          <w:lang w:bidi="fa-IR"/>
        </w:rPr>
        <w:t>تَجَاوَرَا ، و</w:t>
      </w:r>
      <w:r w:rsidR="00134C51">
        <w:rPr>
          <w:rFonts w:hint="cs"/>
          <w:rtl/>
          <w:lang w:bidi="fa-IR"/>
        </w:rPr>
        <w:t>َ</w:t>
      </w:r>
      <w:r w:rsidRPr="00132E65">
        <w:rPr>
          <w:rtl/>
          <w:lang w:bidi="fa-IR"/>
        </w:rPr>
        <w:t>لَسْتُ أَدَعُ أَنْ أُورِدَ عَلَيْكُمَا حَقَّكُمَا فِي الْإِسْلَامِ »</w:t>
      </w:r>
      <w:r>
        <w:rPr>
          <w:rtl/>
          <w:lang w:bidi="fa-IR"/>
        </w:rPr>
        <w:t>.</w:t>
      </w:r>
    </w:p>
    <w:p w:rsidR="000C39D1" w:rsidRPr="00132E65" w:rsidRDefault="000C39D1" w:rsidP="000C39D1">
      <w:pPr>
        <w:pStyle w:val="libNormal"/>
        <w:rPr>
          <w:rtl/>
          <w:lang w:bidi="fa-IR"/>
        </w:rPr>
      </w:pPr>
      <w:r w:rsidRPr="00132E65">
        <w:rPr>
          <w:rtl/>
          <w:lang w:bidi="fa-IR"/>
        </w:rPr>
        <w:t>فَقَالَ : و</w:t>
      </w:r>
      <w:r w:rsidR="00134C51">
        <w:rPr>
          <w:rFonts w:hint="cs"/>
          <w:rtl/>
          <w:lang w:bidi="fa-IR"/>
        </w:rPr>
        <w:t>َ</w:t>
      </w:r>
      <w:r w:rsidRPr="00132E65">
        <w:rPr>
          <w:rtl/>
          <w:lang w:bidi="fa-IR"/>
        </w:rPr>
        <w:t>اللهِ</w:t>
      </w:r>
      <w:r>
        <w:rPr>
          <w:rtl/>
          <w:lang w:bidi="fa-IR"/>
        </w:rPr>
        <w:t xml:space="preserve"> - </w:t>
      </w:r>
      <w:r w:rsidRPr="00132E65">
        <w:rPr>
          <w:rtl/>
          <w:lang w:bidi="fa-IR"/>
        </w:rPr>
        <w:t>أَصْلَحَكَ اللهُ</w:t>
      </w:r>
      <w:r>
        <w:rPr>
          <w:rtl/>
          <w:lang w:bidi="fa-IR"/>
        </w:rPr>
        <w:t xml:space="preserve"> - </w:t>
      </w:r>
      <w:r w:rsidRPr="00132E65">
        <w:rPr>
          <w:rtl/>
          <w:lang w:bidi="fa-IR"/>
        </w:rPr>
        <w:t>إِنِّي لَغَنِيٌّ ، و</w:t>
      </w:r>
      <w:r w:rsidR="00134C51">
        <w:rPr>
          <w:rFonts w:hint="cs"/>
          <w:rtl/>
          <w:lang w:bidi="fa-IR"/>
        </w:rPr>
        <w:t>َ</w:t>
      </w:r>
      <w:r w:rsidRPr="00132E65">
        <w:rPr>
          <w:rtl/>
          <w:lang w:bidi="fa-IR"/>
        </w:rPr>
        <w:t xml:space="preserve">لَقَدْ تَرَكْتُ ثَلَاثَمِائَةِ طَرُوقٍ </w:t>
      </w:r>
      <w:r>
        <w:rPr>
          <w:rStyle w:val="libFootnotenumChar"/>
          <w:rtl/>
        </w:rPr>
        <w:t>(5)</w:t>
      </w:r>
      <w:r w:rsidRPr="00132E65">
        <w:rPr>
          <w:rtl/>
          <w:lang w:bidi="fa-IR"/>
        </w:rPr>
        <w:t xml:space="preserve"> بَيْنَ فَرَسٍ وَفَرَسَةٍ </w:t>
      </w:r>
      <w:r>
        <w:rPr>
          <w:rStyle w:val="libFootnotenumChar"/>
          <w:rtl/>
        </w:rPr>
        <w:t>(6)</w:t>
      </w:r>
      <w:r w:rsidRPr="00132E65">
        <w:rPr>
          <w:rtl/>
          <w:lang w:bidi="fa-IR"/>
        </w:rPr>
        <w:t xml:space="preserve"> ، و</w:t>
      </w:r>
      <w:r w:rsidR="00134C51">
        <w:rPr>
          <w:rFonts w:hint="cs"/>
          <w:rtl/>
          <w:lang w:bidi="fa-IR"/>
        </w:rPr>
        <w:t>َ</w:t>
      </w:r>
      <w:r w:rsidRPr="00132E65">
        <w:rPr>
          <w:rtl/>
          <w:lang w:bidi="fa-IR"/>
        </w:rPr>
        <w:t xml:space="preserve">تَرَكْتُ أَلْفَ بَعِيرٍ ، فَحَقُّكَ فِيهَا </w:t>
      </w:r>
      <w:r>
        <w:rPr>
          <w:rStyle w:val="libFootnotenumChar"/>
          <w:rtl/>
        </w:rPr>
        <w:t>(7)</w:t>
      </w:r>
      <w:r w:rsidRPr="00132E65">
        <w:rPr>
          <w:rtl/>
          <w:lang w:bidi="fa-IR"/>
        </w:rPr>
        <w:t xml:space="preserve"> أَوْفَرُ مِنْ حَقِّي ، فَقَالَ لَهُ : « أَنْتَ مَوْلَى اللهِ وَرَسُولِهِ </w:t>
      </w:r>
      <w:r>
        <w:rPr>
          <w:rStyle w:val="libFootnotenumChar"/>
          <w:rtl/>
        </w:rPr>
        <w:t>(8)</w:t>
      </w:r>
      <w:r w:rsidRPr="00132E65">
        <w:rPr>
          <w:rtl/>
          <w:lang w:bidi="fa-IR"/>
        </w:rPr>
        <w:t xml:space="preserve"> ، و</w:t>
      </w:r>
      <w:r w:rsidR="00134C51">
        <w:rPr>
          <w:rFonts w:hint="cs"/>
          <w:rtl/>
          <w:lang w:bidi="fa-IR"/>
        </w:rPr>
        <w:t>َ</w:t>
      </w:r>
      <w:r w:rsidRPr="00132E65">
        <w:rPr>
          <w:rtl/>
          <w:lang w:bidi="fa-IR"/>
        </w:rPr>
        <w:t>أَنْتَ فِي حَدِّ نَسَبِكَ عَلى حَالِكَ »</w:t>
      </w:r>
      <w:r>
        <w:rPr>
          <w:rtl/>
          <w:lang w:bidi="fa-IR"/>
        </w:rPr>
        <w:t>.</w:t>
      </w:r>
    </w:p>
    <w:p w:rsidR="000C39D1" w:rsidRPr="00132E65" w:rsidRDefault="000C39D1" w:rsidP="000C39D1">
      <w:pPr>
        <w:pStyle w:val="libNormal"/>
        <w:rPr>
          <w:rtl/>
          <w:lang w:bidi="fa-IR"/>
        </w:rPr>
      </w:pPr>
      <w:r w:rsidRPr="00132E65">
        <w:rPr>
          <w:rtl/>
          <w:lang w:bidi="fa-IR"/>
        </w:rPr>
        <w:t>فَحَسُنَ إِسْلَامُهُ ، و</w:t>
      </w:r>
      <w:r w:rsidR="00134C51">
        <w:rPr>
          <w:rFonts w:hint="cs"/>
          <w:rtl/>
          <w:lang w:bidi="fa-IR"/>
        </w:rPr>
        <w:t>َ</w:t>
      </w:r>
      <w:r w:rsidRPr="00132E65">
        <w:rPr>
          <w:rtl/>
          <w:lang w:bidi="fa-IR"/>
        </w:rPr>
        <w:t>تَزَوَّجَ امْرَأَةً مِنْ بَنِي فِهْرٍ ، و</w:t>
      </w:r>
      <w:r w:rsidR="00134C51">
        <w:rPr>
          <w:rFonts w:hint="cs"/>
          <w:rtl/>
          <w:lang w:bidi="fa-IR"/>
        </w:rPr>
        <w:t>َ</w:t>
      </w:r>
      <w:r w:rsidRPr="00132E65">
        <w:rPr>
          <w:rtl/>
          <w:lang w:bidi="fa-IR"/>
        </w:rPr>
        <w:t xml:space="preserve">أَصْدَقَهَا </w:t>
      </w:r>
      <w:r>
        <w:rPr>
          <w:rStyle w:val="libFootnotenumChar"/>
          <w:rtl/>
        </w:rPr>
        <w:t>(9)</w:t>
      </w:r>
      <w:r w:rsidRPr="00132E65">
        <w:rPr>
          <w:rtl/>
          <w:lang w:bidi="fa-IR"/>
        </w:rPr>
        <w:t xml:space="preserve"> أَبُو إِبْرَاهِيمَ </w:t>
      </w:r>
      <w:r w:rsidRPr="00071CF9">
        <w:rPr>
          <w:rStyle w:val="libAlaemChar"/>
          <w:rtl/>
        </w:rPr>
        <w:t>عليه‌السلام</w:t>
      </w:r>
      <w:r w:rsidRPr="00132E65">
        <w:rPr>
          <w:rtl/>
          <w:lang w:bidi="fa-IR"/>
        </w:rPr>
        <w:t xml:space="preserve"> خَمْسِينَ دِينَاراً مِنْ صَدَقَةِ عَلِيِّ بْنِ أَبِي طَالِبٍ </w:t>
      </w:r>
      <w:r w:rsidRPr="00071CF9">
        <w:rPr>
          <w:rStyle w:val="libAlaemChar"/>
          <w:rtl/>
        </w:rPr>
        <w:t>عليه‌السلام</w:t>
      </w:r>
      <w:r w:rsidRPr="00132E65">
        <w:rPr>
          <w:rtl/>
          <w:lang w:bidi="fa-IR"/>
        </w:rPr>
        <w:t xml:space="preserve"> ، و</w:t>
      </w:r>
      <w:r w:rsidR="00134C51">
        <w:rPr>
          <w:rFonts w:hint="cs"/>
          <w:rtl/>
          <w:lang w:bidi="fa-IR"/>
        </w:rPr>
        <w:t>َ</w:t>
      </w:r>
      <w:r w:rsidRPr="00132E65">
        <w:rPr>
          <w:rtl/>
          <w:lang w:bidi="fa-IR"/>
        </w:rPr>
        <w:t xml:space="preserve">أَخْدَمَهُ </w:t>
      </w:r>
      <w:r>
        <w:rPr>
          <w:rStyle w:val="libFootnotenumChar"/>
          <w:rtl/>
        </w:rPr>
        <w:t>(10)</w:t>
      </w:r>
      <w:r w:rsidRPr="00132E65">
        <w:rPr>
          <w:rtl/>
          <w:lang w:bidi="fa-IR"/>
        </w:rPr>
        <w:t xml:space="preserve"> ، و</w:t>
      </w:r>
      <w:r w:rsidR="00134C51">
        <w:rPr>
          <w:rFonts w:hint="cs"/>
          <w:rtl/>
          <w:lang w:bidi="fa-IR"/>
        </w:rPr>
        <w:t>َ</w:t>
      </w:r>
      <w:r w:rsidRPr="00132E65">
        <w:rPr>
          <w:rtl/>
          <w:lang w:bidi="fa-IR"/>
        </w:rPr>
        <w:t xml:space="preserve">بَوَّأَهُ </w:t>
      </w:r>
      <w:r>
        <w:rPr>
          <w:rStyle w:val="libFootnotenumChar"/>
          <w:rtl/>
        </w:rPr>
        <w:t>(11)</w:t>
      </w:r>
      <w:r w:rsidRPr="00132E65">
        <w:rPr>
          <w:rtl/>
          <w:lang w:bidi="fa-IR"/>
        </w:rPr>
        <w:t xml:space="preserve"> ، و</w:t>
      </w:r>
      <w:r w:rsidR="00134C51">
        <w:rPr>
          <w:rFonts w:hint="cs"/>
          <w:rtl/>
          <w:lang w:bidi="fa-IR"/>
        </w:rPr>
        <w:t>َ</w:t>
      </w:r>
      <w:r w:rsidRPr="00132E65">
        <w:rPr>
          <w:rtl/>
          <w:lang w:bidi="fa-IR"/>
        </w:rPr>
        <w:t>أَقَامَ حَتّى أُخْرِجَ‌</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قيل : صدقتي ، بسكون الدال ، أي خلوص حبّي ومواخاتي »</w:t>
      </w:r>
      <w:r>
        <w:rPr>
          <w:rtl/>
        </w:rPr>
        <w:t>.</w:t>
      </w:r>
    </w:p>
    <w:p w:rsidR="000C39D1" w:rsidRPr="00132E65" w:rsidRDefault="000C39D1" w:rsidP="000C39D1">
      <w:pPr>
        <w:pStyle w:val="libFootnote0"/>
        <w:rPr>
          <w:rtl/>
          <w:lang w:bidi="fa-IR"/>
        </w:rPr>
      </w:pPr>
      <w:r>
        <w:rPr>
          <w:rtl/>
        </w:rPr>
        <w:t>(2).</w:t>
      </w:r>
      <w:r w:rsidRPr="00132E65">
        <w:rPr>
          <w:rtl/>
        </w:rPr>
        <w:t xml:space="preserve"> في « بح » </w:t>
      </w:r>
      <w:r>
        <w:rPr>
          <w:rtl/>
        </w:rPr>
        <w:t xml:space="preserve">: - </w:t>
      </w:r>
      <w:r w:rsidRPr="00132E65">
        <w:rPr>
          <w:rtl/>
        </w:rPr>
        <w:t>« كان »</w:t>
      </w:r>
      <w:r>
        <w:rPr>
          <w:rtl/>
        </w:rPr>
        <w:t>.</w:t>
      </w:r>
    </w:p>
    <w:p w:rsidR="000C39D1" w:rsidRPr="00132E65" w:rsidRDefault="000C39D1" w:rsidP="000C39D1">
      <w:pPr>
        <w:pStyle w:val="libFootnote0"/>
        <w:rPr>
          <w:rtl/>
          <w:lang w:bidi="fa-IR"/>
        </w:rPr>
      </w:pPr>
      <w:r>
        <w:rPr>
          <w:rtl/>
        </w:rPr>
        <w:t>(3).</w:t>
      </w:r>
      <w:r w:rsidRPr="00132E65">
        <w:rPr>
          <w:rtl/>
        </w:rPr>
        <w:t xml:space="preserve"> في « ض » : « نعمته »</w:t>
      </w:r>
      <w:r>
        <w:rPr>
          <w:rtl/>
        </w:rPr>
        <w:t>.</w:t>
      </w:r>
      <w:r w:rsidRPr="00132E65">
        <w:rPr>
          <w:rtl/>
        </w:rPr>
        <w:t xml:space="preserve"> وفي </w:t>
      </w:r>
      <w:r w:rsidRPr="009D1ACE">
        <w:rPr>
          <w:rStyle w:val="libFootnoteBoldChar"/>
          <w:rtl/>
        </w:rPr>
        <w:t>الوافي</w:t>
      </w:r>
      <w:r w:rsidRPr="00132E65">
        <w:rPr>
          <w:rtl/>
        </w:rPr>
        <w:t xml:space="preserve"> : « كنعمتك ، أي الاهتداء إلى ما فيه رشده »</w:t>
      </w:r>
      <w:r>
        <w:rPr>
          <w:rtl/>
        </w:rPr>
        <w:t>.</w:t>
      </w:r>
    </w:p>
    <w:p w:rsidR="000C39D1" w:rsidRPr="00132E65" w:rsidRDefault="000C39D1" w:rsidP="000C39D1">
      <w:pPr>
        <w:pStyle w:val="libFootnote0"/>
        <w:rPr>
          <w:rtl/>
          <w:lang w:bidi="fa-IR"/>
        </w:rPr>
      </w:pPr>
      <w:r>
        <w:rPr>
          <w:rtl/>
        </w:rPr>
        <w:t>(4).</w:t>
      </w:r>
      <w:r w:rsidRPr="00132E65">
        <w:rPr>
          <w:rtl/>
        </w:rPr>
        <w:t xml:space="preserve"> « فتواسيا » ، أي آسى بعضهما بعضاً. والمواساة : المشاركة والمساهمة في المعاش والرزق. وأصلها الهمزة فقلبت واواً تخفيفاً. راجع : </w:t>
      </w:r>
      <w:r w:rsidRPr="009D1ACE">
        <w:rPr>
          <w:rStyle w:val="libFootnoteBoldChar"/>
          <w:rtl/>
        </w:rPr>
        <w:t>لسان العرب</w:t>
      </w:r>
      <w:r w:rsidRPr="00132E65">
        <w:rPr>
          <w:rtl/>
        </w:rPr>
        <w:t xml:space="preserve"> ، ج 14 ، ص 35 ( أسا )</w:t>
      </w:r>
      <w:r>
        <w:rPr>
          <w:rtl/>
        </w:rPr>
        <w:t>.</w:t>
      </w:r>
    </w:p>
    <w:p w:rsidR="000C39D1" w:rsidRPr="00132E65" w:rsidRDefault="000C39D1" w:rsidP="000C39D1">
      <w:pPr>
        <w:pStyle w:val="libFootnote0"/>
        <w:rPr>
          <w:rtl/>
          <w:lang w:bidi="fa-IR"/>
        </w:rPr>
      </w:pPr>
      <w:r>
        <w:rPr>
          <w:rtl/>
        </w:rPr>
        <w:t>(5).</w:t>
      </w:r>
      <w:r w:rsidRPr="00132E65">
        <w:rPr>
          <w:rtl/>
        </w:rPr>
        <w:t xml:space="preserve"> « الطَرُوقُ » : فَعُول بمعنى فاعل ، وهو الفحل الذي يستحقّ أن ينزو ويضرب الانثى ، كما أنّ الطَرُوقة فَعولةبمعنى مفعولة ، وهي الانثى التي يستحقّ أن يضربها وينزو عليها الفحل. قاله المازندراني. أو هو طُرُوق</w:t>
      </w:r>
      <w:r>
        <w:rPr>
          <w:rtl/>
        </w:rPr>
        <w:t xml:space="preserve"> - </w:t>
      </w:r>
      <w:r w:rsidRPr="00132E65">
        <w:rPr>
          <w:rtl/>
        </w:rPr>
        <w:t>بضمّتين</w:t>
      </w:r>
      <w:r>
        <w:rPr>
          <w:rtl/>
        </w:rPr>
        <w:t xml:space="preserve"> - </w:t>
      </w:r>
      <w:r w:rsidRPr="00132E65">
        <w:rPr>
          <w:rtl/>
        </w:rPr>
        <w:t xml:space="preserve">مصدر باب نصر بمعنى الضراب ، اطلق على ما يستحقّ الطروق مبالغةً. قاله الفيض. راجع : </w:t>
      </w:r>
      <w:r w:rsidRPr="00134C51">
        <w:rPr>
          <w:rStyle w:val="libFootnoteBoldChar"/>
          <w:rtl/>
        </w:rPr>
        <w:t>شرح المازندراني</w:t>
      </w:r>
      <w:r w:rsidRPr="00132E65">
        <w:rPr>
          <w:rtl/>
        </w:rPr>
        <w:t xml:space="preserve"> ، ج 7 ، ص 259 ؛ </w:t>
      </w:r>
      <w:r w:rsidRPr="009D1ACE">
        <w:rPr>
          <w:rStyle w:val="libFootnoteBoldChar"/>
          <w:rtl/>
        </w:rPr>
        <w:t>الوافي</w:t>
      </w:r>
      <w:r w:rsidRPr="00132E65">
        <w:rPr>
          <w:rtl/>
        </w:rPr>
        <w:t xml:space="preserve"> ، ج 3 ، ص 804 ؛ </w:t>
      </w:r>
      <w:r w:rsidRPr="009D1ACE">
        <w:rPr>
          <w:rStyle w:val="libFootnoteBoldChar"/>
          <w:rtl/>
        </w:rPr>
        <w:t>لسان العرب</w:t>
      </w:r>
      <w:r w:rsidRPr="00132E65">
        <w:rPr>
          <w:rtl/>
        </w:rPr>
        <w:t xml:space="preserve"> ، ج 10 ، ص 216 ( طرق )</w:t>
      </w:r>
      <w:r>
        <w:rPr>
          <w:rtl/>
        </w:rPr>
        <w:t>.</w:t>
      </w:r>
    </w:p>
    <w:p w:rsidR="000C39D1" w:rsidRPr="00132E65" w:rsidRDefault="000C39D1" w:rsidP="00134C51">
      <w:pPr>
        <w:pStyle w:val="libFootnote0"/>
        <w:rPr>
          <w:rtl/>
          <w:lang w:bidi="fa-IR"/>
        </w:rPr>
      </w:pPr>
      <w:r>
        <w:rPr>
          <w:rtl/>
        </w:rPr>
        <w:t>(6).</w:t>
      </w:r>
      <w:r w:rsidRPr="00132E65">
        <w:rPr>
          <w:rtl/>
        </w:rPr>
        <w:t xml:space="preserve"> « بين فرس وفرسة » ، أي إنّ الفرس والفرسة ثلاثمائة ، بعضها طَرُوق وبعضها طَرُوقة. أو إنّ ثلاثمائة طروق‌غير الفرس والفرسة ، وإنّ عددها غير معلوم. وهذا الخلاف ناشئ من إطلاق الطروق على الطارق والمطروقة معاً ، ومن تغليب الذكر على الا</w:t>
      </w:r>
      <w:r w:rsidR="00134C51">
        <w:rPr>
          <w:rFonts w:hint="cs"/>
          <w:rtl/>
        </w:rPr>
        <w:t>ُ</w:t>
      </w:r>
      <w:r w:rsidRPr="00132E65">
        <w:rPr>
          <w:rtl/>
        </w:rPr>
        <w:t>نثى.</w:t>
      </w:r>
      <w:r w:rsidR="00134C51">
        <w:rPr>
          <w:rFonts w:hint="cs"/>
          <w:rtl/>
        </w:rPr>
        <w:t xml:space="preserve">                                           </w:t>
      </w:r>
      <w:r>
        <w:rPr>
          <w:rtl/>
        </w:rPr>
        <w:t>(7).</w:t>
      </w:r>
      <w:r w:rsidRPr="00132E65">
        <w:rPr>
          <w:rtl/>
        </w:rPr>
        <w:t xml:space="preserve"> في حاشية « بر » : « فيهما » ، أي في طروق وبعير.</w:t>
      </w:r>
    </w:p>
    <w:p w:rsidR="000C39D1" w:rsidRPr="00132E65" w:rsidRDefault="000C39D1" w:rsidP="000C39D1">
      <w:pPr>
        <w:pStyle w:val="libFootnote0"/>
        <w:rPr>
          <w:rtl/>
          <w:lang w:bidi="fa-IR"/>
        </w:rPr>
      </w:pPr>
      <w:r>
        <w:rPr>
          <w:rtl/>
        </w:rPr>
        <w:t>(8).</w:t>
      </w:r>
      <w:r w:rsidRPr="00132E65">
        <w:rPr>
          <w:rtl/>
        </w:rPr>
        <w:t xml:space="preserve"> أي مُعْتَقُهما ؛ لأنّه بهما ا</w:t>
      </w:r>
      <w:r w:rsidR="00134C51">
        <w:rPr>
          <w:rFonts w:hint="cs"/>
          <w:rtl/>
        </w:rPr>
        <w:t>ُ</w:t>
      </w:r>
      <w:r w:rsidRPr="00132E65">
        <w:rPr>
          <w:rtl/>
        </w:rPr>
        <w:t>عتق من النار. أو ناصرهما. أو المنتسب إليهما ؛ فإنّ المولى يطلق على الوارد على قبيلة لم يكن منهم. قال المجلسي : « والأوّل أظهر »</w:t>
      </w:r>
      <w:r>
        <w:rPr>
          <w:rtl/>
        </w:rPr>
        <w:t>.</w:t>
      </w:r>
      <w:r w:rsidRPr="00132E65">
        <w:rPr>
          <w:rtl/>
        </w:rPr>
        <w:t xml:space="preserve"> راجع : </w:t>
      </w:r>
      <w:r w:rsidRPr="009D1ACE">
        <w:rPr>
          <w:rStyle w:val="libFootnoteBoldChar"/>
          <w:rtl/>
        </w:rPr>
        <w:t>لسان العرب</w:t>
      </w:r>
      <w:r w:rsidRPr="00132E65">
        <w:rPr>
          <w:rtl/>
        </w:rPr>
        <w:t xml:space="preserve"> ، ج 15 ، ص 408</w:t>
      </w:r>
      <w:r>
        <w:rPr>
          <w:rtl/>
        </w:rPr>
        <w:t xml:space="preserve"> - </w:t>
      </w:r>
      <w:r w:rsidRPr="00132E65">
        <w:rPr>
          <w:rtl/>
        </w:rPr>
        <w:t>409 ( ولى )</w:t>
      </w:r>
      <w:r>
        <w:rPr>
          <w:rtl/>
        </w:rPr>
        <w:t>.</w:t>
      </w:r>
    </w:p>
    <w:p w:rsidR="000C39D1" w:rsidRPr="00132E65" w:rsidRDefault="000C39D1" w:rsidP="000C39D1">
      <w:pPr>
        <w:pStyle w:val="libFootnote0"/>
        <w:rPr>
          <w:rtl/>
          <w:lang w:bidi="fa-IR"/>
        </w:rPr>
      </w:pPr>
      <w:r>
        <w:rPr>
          <w:rtl/>
        </w:rPr>
        <w:t>(9).</w:t>
      </w:r>
      <w:r w:rsidRPr="00132E65">
        <w:rPr>
          <w:rtl/>
        </w:rPr>
        <w:t xml:space="preserve"> « أصدقها » ، أي أعطاها صداقها. أو تزوّجها على صداق وجعل لها صداقاً. أو سمّى لها صداقاً. راجع : </w:t>
      </w:r>
      <w:r w:rsidRPr="00134C51">
        <w:rPr>
          <w:rStyle w:val="libFootnoteBoldChar"/>
          <w:rtl/>
        </w:rPr>
        <w:t>لسان</w:t>
      </w:r>
      <w:r w:rsidR="00134C51" w:rsidRPr="00134C51">
        <w:rPr>
          <w:rStyle w:val="libFootnoteBoldChar"/>
          <w:rFonts w:hint="cs"/>
          <w:rtl/>
        </w:rPr>
        <w:t xml:space="preserve"> </w:t>
      </w:r>
      <w:r w:rsidRPr="00134C51">
        <w:rPr>
          <w:rStyle w:val="libFootnoteBoldChar"/>
          <w:rtl/>
        </w:rPr>
        <w:t>‌العرب</w:t>
      </w:r>
      <w:r w:rsidRPr="00132E65">
        <w:rPr>
          <w:rtl/>
        </w:rPr>
        <w:t xml:space="preserve"> ، ج 10 ، ص 197 ؛ </w:t>
      </w:r>
      <w:r w:rsidRPr="00134C51">
        <w:rPr>
          <w:rStyle w:val="libFootnoteBoldChar"/>
          <w:rtl/>
        </w:rPr>
        <w:t>المصباح المنير</w:t>
      </w:r>
      <w:r w:rsidRPr="00132E65">
        <w:rPr>
          <w:rtl/>
        </w:rPr>
        <w:t xml:space="preserve"> ، ص 336 ( صدق )</w:t>
      </w:r>
      <w:r>
        <w:rPr>
          <w:rtl/>
        </w:rPr>
        <w:t>.</w:t>
      </w:r>
    </w:p>
    <w:p w:rsidR="000C39D1" w:rsidRPr="00132E65" w:rsidRDefault="000C39D1" w:rsidP="000C39D1">
      <w:pPr>
        <w:pStyle w:val="libFootnote0"/>
        <w:rPr>
          <w:rtl/>
          <w:lang w:bidi="fa-IR"/>
        </w:rPr>
      </w:pPr>
      <w:r>
        <w:rPr>
          <w:rtl/>
        </w:rPr>
        <w:t>(10).</w:t>
      </w:r>
      <w:r w:rsidRPr="00132E65">
        <w:rPr>
          <w:rtl/>
        </w:rPr>
        <w:t xml:space="preserve"> أخدمه ، أي أعطاه خادِماً. والخادم : واحد الخَدَم ، غلاماً كان أو جاريةً. </w:t>
      </w:r>
      <w:r w:rsidRPr="00134C51">
        <w:rPr>
          <w:rStyle w:val="libFootnoteBoldChar"/>
          <w:rtl/>
        </w:rPr>
        <w:t>الصحاح</w:t>
      </w:r>
      <w:r w:rsidRPr="00132E65">
        <w:rPr>
          <w:rtl/>
        </w:rPr>
        <w:t xml:space="preserve"> ، ج 5 ، ص 1909 ( خدم )</w:t>
      </w:r>
      <w:r>
        <w:rPr>
          <w:rtl/>
        </w:rPr>
        <w:t>.</w:t>
      </w:r>
    </w:p>
    <w:p w:rsidR="000C39D1" w:rsidRPr="00132E65" w:rsidRDefault="000C39D1" w:rsidP="000C39D1">
      <w:pPr>
        <w:pStyle w:val="libFootnote0"/>
        <w:rPr>
          <w:rtl/>
          <w:lang w:bidi="fa-IR"/>
        </w:rPr>
      </w:pPr>
      <w:r>
        <w:rPr>
          <w:rtl/>
        </w:rPr>
        <w:t>(11).</w:t>
      </w:r>
      <w:r w:rsidRPr="00132E65">
        <w:rPr>
          <w:rtl/>
        </w:rPr>
        <w:t xml:space="preserve"> « بَوَّأَهُ » ، أي أعطاه باءَةً أي منزلاً. راجع : </w:t>
      </w:r>
      <w:r w:rsidRPr="009D1ACE">
        <w:rPr>
          <w:rStyle w:val="libFootnoteBoldChar"/>
          <w:rtl/>
        </w:rPr>
        <w:t>لسان العرب</w:t>
      </w:r>
      <w:r w:rsidRPr="00132E65">
        <w:rPr>
          <w:rtl/>
        </w:rPr>
        <w:t xml:space="preserve"> ، ج 1 ، ص 38 ( بوأ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أَبُو إِبْرَاهِيمَ </w:t>
      </w:r>
      <w:r w:rsidRPr="00071CF9">
        <w:rPr>
          <w:rStyle w:val="libAlaemChar"/>
          <w:rtl/>
        </w:rPr>
        <w:t>عليه‌السلام</w:t>
      </w:r>
      <w:r w:rsidRPr="00132E65">
        <w:rPr>
          <w:rtl/>
          <w:lang w:bidi="fa-IR"/>
        </w:rPr>
        <w:t xml:space="preserve"> ، فَمَاتَ بَعْدَ مَخْرَجِهِ بِثَمَانٍ و</w:t>
      </w:r>
      <w:r w:rsidR="00134C51">
        <w:rPr>
          <w:rFonts w:hint="cs"/>
          <w:rtl/>
          <w:lang w:bidi="fa-IR"/>
        </w:rPr>
        <w:t>َ</w:t>
      </w:r>
      <w:r w:rsidRPr="00132E65">
        <w:rPr>
          <w:rtl/>
          <w:lang w:bidi="fa-IR"/>
        </w:rPr>
        <w:t xml:space="preserve">عِشْرِينَ لَيْلَةً.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650561">
        <w:rPr>
          <w:rtl/>
        </w:rPr>
        <w:t>1293</w:t>
      </w:r>
      <w:r w:rsidRPr="004325D8">
        <w:rPr>
          <w:rStyle w:val="libBold2Char"/>
          <w:rtl/>
        </w:rPr>
        <w:t xml:space="preserve"> / 5.</w:t>
      </w:r>
      <w:r w:rsidRPr="00132E65">
        <w:rPr>
          <w:rtl/>
          <w:lang w:bidi="fa-IR"/>
        </w:rPr>
        <w:t xml:space="preserve"> عَلِيُّ بْنُ إِبْرَاهِيمَ و</w:t>
      </w:r>
      <w:r w:rsidR="00134C51">
        <w:rPr>
          <w:rFonts w:hint="cs"/>
          <w:rtl/>
          <w:lang w:bidi="fa-IR"/>
        </w:rPr>
        <w:t>َ</w:t>
      </w:r>
      <w:r w:rsidRPr="00132E65">
        <w:rPr>
          <w:rtl/>
          <w:lang w:bidi="fa-IR"/>
        </w:rPr>
        <w:t>أَحْمَدُ بْنُ مِهْرَانَ جَمِيعاً ، عَنْ مُحَمَّدِ بْنِ عَلِيٍّ ، عَنِ الْحَسَنِ بْنِ رَاشِدٍ ، عَنْ يَعْقُوبَ بْنِ جَعْفَرٍ ، قَالَ :</w:t>
      </w:r>
    </w:p>
    <w:p w:rsidR="000C39D1" w:rsidRPr="00132E65" w:rsidRDefault="000C39D1" w:rsidP="000C39D1">
      <w:pPr>
        <w:pStyle w:val="libNormal"/>
        <w:rPr>
          <w:rtl/>
          <w:lang w:bidi="fa-IR"/>
        </w:rPr>
      </w:pPr>
      <w:r w:rsidRPr="00132E65">
        <w:rPr>
          <w:rtl/>
          <w:lang w:bidi="fa-IR"/>
        </w:rPr>
        <w:t xml:space="preserve">كُنْتُ عِنْدَ أَبِي إِبْرَاهِيمَ </w:t>
      </w:r>
      <w:r w:rsidRPr="00071CF9">
        <w:rPr>
          <w:rStyle w:val="libAlaemChar"/>
          <w:rtl/>
        </w:rPr>
        <w:t>عليه‌السلام</w:t>
      </w:r>
      <w:r w:rsidRPr="00132E65">
        <w:rPr>
          <w:rtl/>
          <w:lang w:bidi="fa-IR"/>
        </w:rPr>
        <w:t xml:space="preserve"> وأَتَاهُ رَجُلٌ مِنْ أَهْلِ نَجْرَانَ الْيَمَنِ مِنَ الرُّهْبَانِ </w:t>
      </w:r>
      <w:r>
        <w:rPr>
          <w:rStyle w:val="libFootnotenumChar"/>
          <w:rtl/>
        </w:rPr>
        <w:t>(2)</w:t>
      </w:r>
      <w:r w:rsidRPr="00132E65">
        <w:rPr>
          <w:rtl/>
          <w:lang w:bidi="fa-IR"/>
        </w:rPr>
        <w:t xml:space="preserve"> ومَعَهُ رَاهِبَةٌ ، فَاسْتَأْذَنَ لَهُمَا الْفَضْلُ بْنُ سَوَّارٍ ، فَقَالَ لَهُ </w:t>
      </w:r>
      <w:r>
        <w:rPr>
          <w:rStyle w:val="libFootnotenumChar"/>
          <w:rtl/>
        </w:rPr>
        <w:t>(3)</w:t>
      </w:r>
      <w:r w:rsidRPr="00132E65">
        <w:rPr>
          <w:rtl/>
          <w:lang w:bidi="fa-IR"/>
        </w:rPr>
        <w:t xml:space="preserve"> : « إِذَا كَانَ غَداً فَأْتِ بِهِمَا عِنْدَ بِئْرِ أُمِّ خَيْرٍ » قَالَ </w:t>
      </w:r>
      <w:r>
        <w:rPr>
          <w:rStyle w:val="libFootnotenumChar"/>
          <w:rtl/>
        </w:rPr>
        <w:t>(4)</w:t>
      </w:r>
      <w:r w:rsidRPr="00132E65">
        <w:rPr>
          <w:rtl/>
          <w:lang w:bidi="fa-IR"/>
        </w:rPr>
        <w:t xml:space="preserve"> : فَوَافَيْنَا مِنَ الْغَدِ ، فَوَجَدْنَا الْقَوْمَ قَدْ و</w:t>
      </w:r>
      <w:r w:rsidR="00B3201C">
        <w:rPr>
          <w:rFonts w:hint="cs"/>
          <w:rtl/>
          <w:lang w:bidi="fa-IR"/>
        </w:rPr>
        <w:t>َ</w:t>
      </w:r>
      <w:r w:rsidRPr="00132E65">
        <w:rPr>
          <w:rtl/>
          <w:lang w:bidi="fa-IR"/>
        </w:rPr>
        <w:t xml:space="preserve">افَوْا ، فَأَمَرَ بِخَصَفَةِ </w:t>
      </w:r>
      <w:r>
        <w:rPr>
          <w:rStyle w:val="libFootnotenumChar"/>
          <w:rtl/>
        </w:rPr>
        <w:t>(5)</w:t>
      </w:r>
      <w:r w:rsidRPr="00132E65">
        <w:rPr>
          <w:rtl/>
          <w:lang w:bidi="fa-IR"/>
        </w:rPr>
        <w:t xml:space="preserve"> بَوَارِيَّ </w:t>
      </w:r>
      <w:r>
        <w:rPr>
          <w:rStyle w:val="libFootnotenumChar"/>
          <w:rtl/>
        </w:rPr>
        <w:t>(6)</w:t>
      </w:r>
      <w:r w:rsidRPr="00132E65">
        <w:rPr>
          <w:rtl/>
          <w:lang w:bidi="fa-IR"/>
        </w:rPr>
        <w:t xml:space="preserve"> ، ثُمَّ جَلَسَ وَجَلَسُوا ، فَبَدَأَتِ الرَّاهِبَةُ بِالْمَسَائِلِ ، فَسَأَلَتْ عَنْ مَسَائِلَ كَثِيرَةٍ ، كُلُّ </w:t>
      </w:r>
      <w:r>
        <w:rPr>
          <w:rStyle w:val="libFootnotenumChar"/>
          <w:rtl/>
        </w:rPr>
        <w:t>(7)</w:t>
      </w:r>
      <w:r w:rsidRPr="00132E65">
        <w:rPr>
          <w:rtl/>
          <w:lang w:bidi="fa-IR"/>
        </w:rPr>
        <w:t xml:space="preserve"> ذلِكَ يُجِيبُهَا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B3201C">
      <w:pPr>
        <w:pStyle w:val="libFootnote0"/>
        <w:rPr>
          <w:rtl/>
          <w:lang w:bidi="fa-IR"/>
        </w:rPr>
      </w:pPr>
      <w:r>
        <w:rPr>
          <w:rtl/>
        </w:rPr>
        <w:t>(1).</w:t>
      </w:r>
      <w:r w:rsidRPr="00132E65">
        <w:rPr>
          <w:rtl/>
        </w:rPr>
        <w:t xml:space="preserve"> </w:t>
      </w:r>
      <w:r w:rsidRPr="009D1ACE">
        <w:rPr>
          <w:rStyle w:val="libFootnoteBoldChar"/>
          <w:rtl/>
        </w:rPr>
        <w:t>الوافي</w:t>
      </w:r>
      <w:r w:rsidRPr="00132E65">
        <w:rPr>
          <w:rtl/>
        </w:rPr>
        <w:t xml:space="preserve"> ، ج 3 ، ص 799 ، ح 1414 ؛ </w:t>
      </w:r>
      <w:r w:rsidRPr="00650561">
        <w:rPr>
          <w:rtl/>
        </w:rPr>
        <w:t>الوسائل</w:t>
      </w:r>
      <w:r w:rsidRPr="00132E65">
        <w:rPr>
          <w:rtl/>
        </w:rPr>
        <w:t xml:space="preserve"> ، ج 12 ، ص 235 ، ح 16179 ؛ وج 7 ، ص 376 ، ح 9622 ، وفيه من قوله : « وأمّا اليوم الذي حملت فيه مريم » إلى قوله : « أن يجعله عيداً فهو يوم الجمعة » ؛ </w:t>
      </w:r>
      <w:r w:rsidRPr="00650561">
        <w:rPr>
          <w:rtl/>
        </w:rPr>
        <w:t>البحار</w:t>
      </w:r>
      <w:r w:rsidRPr="00132E65">
        <w:rPr>
          <w:rtl/>
        </w:rPr>
        <w:t xml:space="preserve"> ، ج 48 ، ص 85 ، ح 106 ؛ ج 14 ، ص 213 ، ح 11 ، وفيه من قوله : « أمّا ا</w:t>
      </w:r>
      <w:r w:rsidR="00B3201C">
        <w:rPr>
          <w:rFonts w:hint="cs"/>
          <w:rtl/>
        </w:rPr>
        <w:t>ُ</w:t>
      </w:r>
      <w:r w:rsidRPr="00132E65">
        <w:rPr>
          <w:rtl/>
        </w:rPr>
        <w:t xml:space="preserve">مّ مريم فاسمها مرثا » إلى قوله : « ما قصّ الله في كتابه » ؛ وج 16 ، ص 87 ، ح 12 ، من قوله : </w:t>
      </w:r>
      <w:r w:rsidR="00B3201C" w:rsidRPr="00B3201C">
        <w:rPr>
          <w:rStyle w:val="libFootnoteAlaemChar"/>
          <w:rFonts w:hint="cs"/>
          <w:rtl/>
        </w:rPr>
        <w:t>(</w:t>
      </w:r>
      <w:r w:rsidRPr="00B3201C">
        <w:rPr>
          <w:rStyle w:val="libFootnoteAieChar"/>
          <w:rtl/>
        </w:rPr>
        <w:t xml:space="preserve"> حم و</w:t>
      </w:r>
      <w:r w:rsidR="00B3201C" w:rsidRPr="00B3201C">
        <w:rPr>
          <w:rStyle w:val="libFootnoteAieChar"/>
          <w:rFonts w:hint="cs"/>
          <w:rtl/>
        </w:rPr>
        <w:t>َ</w:t>
      </w:r>
      <w:r w:rsidRPr="00B3201C">
        <w:rPr>
          <w:rStyle w:val="libFootnoteAieChar"/>
          <w:rtl/>
        </w:rPr>
        <w:t xml:space="preserve">الْكِتبِ الْمُبِينِ </w:t>
      </w:r>
      <w:r w:rsidR="00B3201C" w:rsidRPr="00B3201C">
        <w:rPr>
          <w:rStyle w:val="libFootnoteAlaemChar"/>
          <w:rFonts w:hint="cs"/>
          <w:rtl/>
        </w:rPr>
        <w:t>)</w:t>
      </w:r>
      <w:r w:rsidRPr="00132E65">
        <w:rPr>
          <w:rtl/>
        </w:rPr>
        <w:t xml:space="preserve"> إلى قوله : « فهو أمير المؤمنين </w:t>
      </w:r>
      <w:r w:rsidRPr="00B3201C">
        <w:rPr>
          <w:rStyle w:val="libFootnoteAlaemChar"/>
          <w:rtl/>
        </w:rPr>
        <w:t>عليه‌السلام</w:t>
      </w:r>
      <w:r w:rsidRPr="00132E65">
        <w:rPr>
          <w:rtl/>
        </w:rPr>
        <w:t xml:space="preserve"> » ، وج 24 ، ص 319 ، ح 28 ، من قوله : </w:t>
      </w:r>
      <w:r w:rsidR="00B3201C" w:rsidRPr="00B3201C">
        <w:rPr>
          <w:rStyle w:val="libFootnoteAlaemChar"/>
          <w:rFonts w:hint="cs"/>
          <w:rtl/>
        </w:rPr>
        <w:t>(</w:t>
      </w:r>
      <w:r w:rsidR="00B3201C" w:rsidRPr="00B3201C">
        <w:rPr>
          <w:rStyle w:val="libFootnoteAieChar"/>
          <w:rtl/>
        </w:rPr>
        <w:t xml:space="preserve"> حم و</w:t>
      </w:r>
      <w:r w:rsidR="00B3201C" w:rsidRPr="00B3201C">
        <w:rPr>
          <w:rStyle w:val="libFootnoteAieChar"/>
          <w:rFonts w:hint="cs"/>
          <w:rtl/>
        </w:rPr>
        <w:t>َ</w:t>
      </w:r>
      <w:r w:rsidR="00B3201C" w:rsidRPr="00B3201C">
        <w:rPr>
          <w:rStyle w:val="libFootnoteAieChar"/>
          <w:rtl/>
        </w:rPr>
        <w:t xml:space="preserve">الْكِتبِ الْمُبِينِ </w:t>
      </w:r>
      <w:r w:rsidR="00B3201C" w:rsidRPr="00B3201C">
        <w:rPr>
          <w:rStyle w:val="libFootnoteAlaemChar"/>
          <w:rFonts w:hint="cs"/>
          <w:rtl/>
        </w:rPr>
        <w:t>)</w:t>
      </w:r>
      <w:r w:rsidRPr="00132E65">
        <w:rPr>
          <w:rtl/>
        </w:rPr>
        <w:t xml:space="preserve"> إلى قوله : « ورجل حكيم »</w:t>
      </w:r>
      <w:r>
        <w:rPr>
          <w:rtl/>
        </w:rPr>
        <w:t>.</w:t>
      </w:r>
    </w:p>
    <w:p w:rsidR="000C39D1" w:rsidRPr="00132E65" w:rsidRDefault="000C39D1" w:rsidP="000C39D1">
      <w:pPr>
        <w:pStyle w:val="libFootnote0"/>
        <w:rPr>
          <w:rtl/>
          <w:lang w:bidi="fa-IR"/>
        </w:rPr>
      </w:pPr>
      <w:r>
        <w:rPr>
          <w:rtl/>
        </w:rPr>
        <w:t>(2).</w:t>
      </w:r>
      <w:r w:rsidRPr="00132E65">
        <w:rPr>
          <w:rtl/>
        </w:rPr>
        <w:t xml:space="preserve"> « الرُّهبان » : جمع راهب. وقد يقع على الواحد ، ويجمع على رَهابين ورَهابنة ؛ من الرَهْبانيّة ، وهي من رَهْبَنَة</w:t>
      </w:r>
      <w:r w:rsidR="00B3201C">
        <w:rPr>
          <w:rFonts w:hint="cs"/>
          <w:rtl/>
        </w:rPr>
        <w:t xml:space="preserve"> </w:t>
      </w:r>
      <w:r w:rsidRPr="00132E65">
        <w:rPr>
          <w:rtl/>
        </w:rPr>
        <w:t xml:space="preserve">النصارى. وأصلها من الرَهبة بمعنى الخوف ، كانوا يترهّبون بالتخلّي من أشغال الدنيا وترك ملاذّها والزهد فيها والعزلة عن أهلها وتعمّد مشاقّها حتّى أنّ منهم من كان يَخْصي نفسه ويضع السلسلة في عنقه وغير ذلك من أنواع التعذيب. ونهي عنها في الإسلام. راجع : </w:t>
      </w:r>
      <w:r w:rsidRPr="00B3201C">
        <w:rPr>
          <w:rStyle w:val="libFootnoteBoldChar"/>
          <w:rtl/>
        </w:rPr>
        <w:t>النهاية</w:t>
      </w:r>
      <w:r w:rsidRPr="00132E65">
        <w:rPr>
          <w:rtl/>
        </w:rPr>
        <w:t xml:space="preserve"> ، ج 2 ، ص 280 ( رهب )</w:t>
      </w:r>
      <w:r>
        <w:rPr>
          <w:rtl/>
        </w:rPr>
        <w:t>.</w:t>
      </w:r>
    </w:p>
    <w:p w:rsidR="000C39D1" w:rsidRPr="00132E65" w:rsidRDefault="000C39D1" w:rsidP="000C39D1">
      <w:pPr>
        <w:pStyle w:val="libFootnote0"/>
        <w:rPr>
          <w:rtl/>
          <w:lang w:bidi="fa-IR"/>
        </w:rPr>
      </w:pPr>
      <w:r>
        <w:rPr>
          <w:rtl/>
        </w:rPr>
        <w:t>(3).</w:t>
      </w:r>
      <w:r w:rsidRPr="00132E65">
        <w:rPr>
          <w:rtl/>
        </w:rPr>
        <w:t xml:space="preserve"> في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في « بح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 الخَصَفَةُ » : واحدة الخَصَف ، وهي الجلّة</w:t>
      </w:r>
      <w:r>
        <w:rPr>
          <w:rtl/>
        </w:rPr>
        <w:t xml:space="preserve"> - </w:t>
      </w:r>
      <w:r w:rsidRPr="00132E65">
        <w:rPr>
          <w:rtl/>
        </w:rPr>
        <w:t>أي الزنبيل</w:t>
      </w:r>
      <w:r>
        <w:rPr>
          <w:rtl/>
        </w:rPr>
        <w:t xml:space="preserve"> - </w:t>
      </w:r>
      <w:r w:rsidRPr="00132E65">
        <w:rPr>
          <w:rtl/>
        </w:rPr>
        <w:t xml:space="preserve">التي يُكْتَرُ فيها التمر ، وكأنّها فَعَلٌ بمعنى مفعول من الخَصْف ، وهو ضمّ الشي‌ء إلى الشي‌ء ؛ لأنّه شي‌ء منسوج من الخوض ، وهو ورق النخل. </w:t>
      </w:r>
      <w:r w:rsidRPr="00B3201C">
        <w:rPr>
          <w:rStyle w:val="libFootnoteBoldChar"/>
          <w:rtl/>
        </w:rPr>
        <w:t>النهاية</w:t>
      </w:r>
      <w:r w:rsidRPr="00132E65">
        <w:rPr>
          <w:rtl/>
        </w:rPr>
        <w:t xml:space="preserve"> ، ج 2 ، ص 37 ( خصف )</w:t>
      </w:r>
      <w:r>
        <w:rPr>
          <w:rtl/>
        </w:rPr>
        <w:t>.</w:t>
      </w:r>
    </w:p>
    <w:p w:rsidR="000C39D1" w:rsidRPr="00132E65" w:rsidRDefault="000C39D1" w:rsidP="000C39D1">
      <w:pPr>
        <w:pStyle w:val="libFootnote0"/>
        <w:rPr>
          <w:rtl/>
          <w:lang w:bidi="fa-IR"/>
        </w:rPr>
      </w:pPr>
      <w:r>
        <w:rPr>
          <w:rtl/>
        </w:rPr>
        <w:t>(6).</w:t>
      </w:r>
      <w:r w:rsidRPr="00132E65">
        <w:rPr>
          <w:rtl/>
        </w:rPr>
        <w:t xml:space="preserve"> « البَواريُّ » : جمع البارِيّة والباريّ ، وهما والبُوريّ والبُورِيَّة والبارياء : الحصير المنسوج. ويقال له : البورياء بالفارسيّة. قال المجلسي : « وكان الإضافة إلى البواري لبيان أنّ المراد ما يعمل من الخُوص للفرش مكان الباريّة ، لا ما يعمل للتمر ، أو لا الثوب الغليظ</w:t>
      </w:r>
      <w:r>
        <w:rPr>
          <w:rtl/>
        </w:rPr>
        <w:t xml:space="preserve"> ..</w:t>
      </w:r>
      <w:r w:rsidRPr="00132E65">
        <w:rPr>
          <w:rtl/>
        </w:rPr>
        <w:t>. ويظهر من آخر الحديث أنّ الخصف كان يطلق على الباريّة »</w:t>
      </w:r>
      <w:r>
        <w:rPr>
          <w:rtl/>
        </w:rPr>
        <w:t>.</w:t>
      </w:r>
      <w:r w:rsidRPr="00132E65">
        <w:rPr>
          <w:rtl/>
        </w:rPr>
        <w:t xml:space="preserve"> راجع : </w:t>
      </w:r>
      <w:r w:rsidRPr="009D1ACE">
        <w:rPr>
          <w:rStyle w:val="libFootnoteBoldChar"/>
          <w:rtl/>
        </w:rPr>
        <w:t>لسان العرب</w:t>
      </w:r>
      <w:r w:rsidRPr="00132E65">
        <w:rPr>
          <w:rtl/>
        </w:rPr>
        <w:t xml:space="preserve"> ، ج 4 ، ص 87 ( بور ) ، وج 14 ، ص 72 ( برى )</w:t>
      </w:r>
      <w:r>
        <w:rPr>
          <w:rtl/>
        </w:rPr>
        <w:t>.</w:t>
      </w:r>
    </w:p>
    <w:p w:rsidR="000C39D1" w:rsidRPr="00132E65" w:rsidRDefault="000C39D1" w:rsidP="000C39D1">
      <w:pPr>
        <w:pStyle w:val="libFootnote0"/>
        <w:rPr>
          <w:rtl/>
          <w:lang w:bidi="fa-IR"/>
        </w:rPr>
      </w:pPr>
      <w:r>
        <w:rPr>
          <w:rtl/>
        </w:rPr>
        <w:t>(7).</w:t>
      </w:r>
      <w:r w:rsidRPr="00132E65">
        <w:rPr>
          <w:rtl/>
        </w:rPr>
        <w:t xml:space="preserve"> يجوز فيه النصب على الظرفيّة أو الاشتغال.</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وَسَأَلَهَا أَبُو إِبْرَاهِيمَ </w:t>
      </w:r>
      <w:r w:rsidRPr="00071CF9">
        <w:rPr>
          <w:rStyle w:val="libAlaemChar"/>
          <w:rtl/>
        </w:rPr>
        <w:t>عليه‌السلام</w:t>
      </w:r>
      <w:r w:rsidRPr="00132E65">
        <w:rPr>
          <w:rtl/>
          <w:lang w:bidi="fa-IR"/>
        </w:rPr>
        <w:t xml:space="preserve"> عَنْ أَشْيَاءَ لَمْ يَكُنْ عِنْدَهَا فِيهَا </w:t>
      </w:r>
      <w:r>
        <w:rPr>
          <w:rStyle w:val="libFootnotenumChar"/>
          <w:rtl/>
        </w:rPr>
        <w:t>(1)</w:t>
      </w:r>
      <w:r w:rsidRPr="00132E65">
        <w:rPr>
          <w:rtl/>
          <w:lang w:bidi="fa-IR"/>
        </w:rPr>
        <w:t xml:space="preserve"> شَيْ‌ءٌ ، ثُمَّ أَسْلَمَتْ.</w:t>
      </w:r>
    </w:p>
    <w:p w:rsidR="000C39D1" w:rsidRPr="00132E65" w:rsidRDefault="000C39D1" w:rsidP="000C39D1">
      <w:pPr>
        <w:pStyle w:val="libNormal"/>
        <w:rPr>
          <w:rtl/>
          <w:lang w:bidi="fa-IR"/>
        </w:rPr>
      </w:pPr>
      <w:r w:rsidRPr="00132E65">
        <w:rPr>
          <w:rtl/>
          <w:lang w:bidi="fa-IR"/>
        </w:rPr>
        <w:t xml:space="preserve">ثُمَّ أَقْبَلَ الرَّاهِبُ يَسْأَلُهُ ، فَكَانَ </w:t>
      </w:r>
      <w:r>
        <w:rPr>
          <w:rStyle w:val="libFootnotenumChar"/>
          <w:rtl/>
        </w:rPr>
        <w:t>(2)</w:t>
      </w:r>
      <w:r w:rsidRPr="00132E65">
        <w:rPr>
          <w:rtl/>
          <w:lang w:bidi="fa-IR"/>
        </w:rPr>
        <w:t xml:space="preserve"> يُجِيبُهُ فِي كُلِّ مَا يَسْأَلُهُ </w:t>
      </w:r>
      <w:r>
        <w:rPr>
          <w:rStyle w:val="libFootnotenumChar"/>
          <w:rtl/>
        </w:rPr>
        <w:t>(3)</w:t>
      </w:r>
      <w:r w:rsidRPr="00132E65">
        <w:rPr>
          <w:rtl/>
          <w:lang w:bidi="fa-IR"/>
        </w:rPr>
        <w:t xml:space="preserve"> ، فَقَالَ الرَّاهِبُ : قَدْ كُنْتُ قَوِيّاً عَلى دِينِي ، و</w:t>
      </w:r>
      <w:r w:rsidR="00B3201C">
        <w:rPr>
          <w:rFonts w:hint="cs"/>
          <w:rtl/>
          <w:lang w:bidi="fa-IR"/>
        </w:rPr>
        <w:t>َ</w:t>
      </w:r>
      <w:r w:rsidRPr="00132E65">
        <w:rPr>
          <w:rtl/>
          <w:lang w:bidi="fa-IR"/>
        </w:rPr>
        <w:t xml:space="preserve">مَا خَلَّفْتُ أَحَداً مِنَ النَّصَارى فِي الْأَرْضِ يَبْلُغُ </w:t>
      </w:r>
      <w:r>
        <w:rPr>
          <w:rStyle w:val="libFootnotenumChar"/>
          <w:rtl/>
        </w:rPr>
        <w:t>(4)</w:t>
      </w:r>
      <w:r w:rsidRPr="00132E65">
        <w:rPr>
          <w:rtl/>
          <w:lang w:bidi="fa-IR"/>
        </w:rPr>
        <w:t xml:space="preserve"> مَبْلَغِي فِي الْعِلْمِ ، وَلَقَدْ سَمِعْتُ بِرَجُلٍ </w:t>
      </w:r>
      <w:r>
        <w:rPr>
          <w:rStyle w:val="libFootnotenumChar"/>
          <w:rtl/>
        </w:rPr>
        <w:t>(5)</w:t>
      </w:r>
      <w:r w:rsidRPr="00132E65">
        <w:rPr>
          <w:rtl/>
          <w:lang w:bidi="fa-IR"/>
        </w:rPr>
        <w:t xml:space="preserve"> فِي الْهِنْدِ إِذَا شَاءَ حَجَّ إِلى بَيْتِ </w:t>
      </w:r>
      <w:r>
        <w:rPr>
          <w:rStyle w:val="libFootnotenumChar"/>
          <w:rtl/>
        </w:rPr>
        <w:t>(6)</w:t>
      </w:r>
      <w:r w:rsidRPr="00132E65">
        <w:rPr>
          <w:rtl/>
          <w:lang w:bidi="fa-IR"/>
        </w:rPr>
        <w:t xml:space="preserve"> الْمَقْدِسِ فِي يَوْمٍ ولَيْلَةٍ ، ثُمَّ يَرْجِعُ إِلى مَنْزِلِهِ بِأَرْضِ الْهِنْدِ ، فَسَأَلْتُ عَنْهُ بِأَيِّ أَرْضٍ هُوَ</w:t>
      </w:r>
      <w:r>
        <w:rPr>
          <w:rtl/>
          <w:lang w:bidi="fa-IR"/>
        </w:rPr>
        <w:t>؟</w:t>
      </w:r>
      <w:r w:rsidRPr="00132E65">
        <w:rPr>
          <w:rtl/>
          <w:lang w:bidi="fa-IR"/>
        </w:rPr>
        <w:t xml:space="preserve"> فَقِيلَ لِي : إِنَّهُ بِسُبْذَانَ </w:t>
      </w:r>
      <w:r>
        <w:rPr>
          <w:rStyle w:val="libFootnotenumChar"/>
          <w:rtl/>
        </w:rPr>
        <w:t>(7)</w:t>
      </w:r>
      <w:r w:rsidRPr="00132E65">
        <w:rPr>
          <w:rtl/>
          <w:lang w:bidi="fa-IR"/>
        </w:rPr>
        <w:t xml:space="preserve"> ، وَسَأَلْتُ الَّذِي أَخْبَرَنِي ، فَقَالَ </w:t>
      </w:r>
      <w:r>
        <w:rPr>
          <w:rStyle w:val="libFootnotenumChar"/>
          <w:rtl/>
        </w:rPr>
        <w:t>(8)</w:t>
      </w:r>
      <w:r w:rsidRPr="00132E65">
        <w:rPr>
          <w:rtl/>
          <w:lang w:bidi="fa-IR"/>
        </w:rPr>
        <w:t xml:space="preserve"> : هُوَ عَلِمَ </w:t>
      </w:r>
      <w:r>
        <w:rPr>
          <w:rStyle w:val="libFootnotenumChar"/>
          <w:rtl/>
        </w:rPr>
        <w:t>(9)</w:t>
      </w:r>
      <w:r w:rsidRPr="00132E65">
        <w:rPr>
          <w:rtl/>
          <w:lang w:bidi="fa-IR"/>
        </w:rPr>
        <w:t xml:space="preserve"> الِاسْمَ الَّذِي ظَفِرَ بِهِ آصَفُ صَاحِبُ سُلَيْمَانَ لَمَّا أَتى بِعَرْشِ سَبَاً ، و</w:t>
      </w:r>
      <w:r w:rsidR="00B3201C">
        <w:rPr>
          <w:rFonts w:hint="cs"/>
          <w:rtl/>
          <w:lang w:bidi="fa-IR"/>
        </w:rPr>
        <w:t>َ</w:t>
      </w:r>
      <w:r w:rsidRPr="00132E65">
        <w:rPr>
          <w:rtl/>
          <w:lang w:bidi="fa-IR"/>
        </w:rPr>
        <w:t>هُوَ الَّذِي ذَكَرَهُ اللهُ لَكُمْ فِي كِتَابِكُمْ ، و</w:t>
      </w:r>
      <w:r w:rsidR="00B3201C">
        <w:rPr>
          <w:rFonts w:hint="cs"/>
          <w:rtl/>
          <w:lang w:bidi="fa-IR"/>
        </w:rPr>
        <w:t>َ</w:t>
      </w:r>
      <w:r w:rsidRPr="00132E65">
        <w:rPr>
          <w:rtl/>
          <w:lang w:bidi="fa-IR"/>
        </w:rPr>
        <w:t>لَنَا</w:t>
      </w:r>
      <w:r>
        <w:rPr>
          <w:rtl/>
          <w:lang w:bidi="fa-IR"/>
        </w:rPr>
        <w:t xml:space="preserve"> - </w:t>
      </w:r>
      <w:r w:rsidRPr="00132E65">
        <w:rPr>
          <w:rtl/>
          <w:lang w:bidi="fa-IR"/>
        </w:rPr>
        <w:t xml:space="preserve">مَعْشَرَ </w:t>
      </w:r>
      <w:r>
        <w:rPr>
          <w:rStyle w:val="libFootnotenumChar"/>
          <w:rtl/>
        </w:rPr>
        <w:t>(10)</w:t>
      </w:r>
      <w:r w:rsidRPr="00132E65">
        <w:rPr>
          <w:rtl/>
          <w:lang w:bidi="fa-IR"/>
        </w:rPr>
        <w:t xml:space="preserve"> الْأَدْيَانِ</w:t>
      </w:r>
      <w:r>
        <w:rPr>
          <w:rtl/>
          <w:lang w:bidi="fa-IR"/>
        </w:rPr>
        <w:t xml:space="preserve"> - </w:t>
      </w:r>
      <w:r w:rsidRPr="00132E65">
        <w:rPr>
          <w:rtl/>
          <w:lang w:bidi="fa-IR"/>
        </w:rPr>
        <w:t>فِي كُتُبِنَا.</w:t>
      </w:r>
    </w:p>
    <w:p w:rsidR="000C39D1" w:rsidRPr="00132E65" w:rsidRDefault="000C39D1" w:rsidP="000C39D1">
      <w:pPr>
        <w:pStyle w:val="libNormal"/>
        <w:rPr>
          <w:rtl/>
          <w:lang w:bidi="fa-IR"/>
        </w:rPr>
      </w:pPr>
      <w:r w:rsidRPr="00132E65">
        <w:rPr>
          <w:rtl/>
          <w:lang w:bidi="fa-IR"/>
        </w:rPr>
        <w:t xml:space="preserve">فَقَالَ لَهُ أَبُو إِبْرَاهِيمَ </w:t>
      </w:r>
      <w:r w:rsidRPr="00071CF9">
        <w:rPr>
          <w:rStyle w:val="libAlaemChar"/>
          <w:rtl/>
        </w:rPr>
        <w:t>عليه‌السلام</w:t>
      </w:r>
      <w:r w:rsidRPr="00132E65">
        <w:rPr>
          <w:rtl/>
          <w:lang w:bidi="fa-IR"/>
        </w:rPr>
        <w:t xml:space="preserve"> : « فَكَمْ لِلّهِ مِنِ اسْمٍ لَايُرَدُّ</w:t>
      </w:r>
      <w:r>
        <w:rPr>
          <w:rtl/>
          <w:lang w:bidi="fa-IR"/>
        </w:rPr>
        <w:t>؟</w:t>
      </w:r>
      <w:r w:rsidRPr="00132E65">
        <w:rPr>
          <w:rtl/>
          <w:lang w:bidi="fa-IR"/>
        </w:rPr>
        <w:t xml:space="preserve"> » فَقَالَ الرَّاهِبُ : الْأَسْمَاءُ كَثِيرَةٌ ، فَأَمَّا الْمَحْتُومُ مِنْهَا</w:t>
      </w:r>
      <w:r>
        <w:rPr>
          <w:rtl/>
          <w:lang w:bidi="fa-IR"/>
        </w:rPr>
        <w:t xml:space="preserve"> - </w:t>
      </w:r>
      <w:r w:rsidRPr="00132E65">
        <w:rPr>
          <w:rtl/>
          <w:lang w:bidi="fa-IR"/>
        </w:rPr>
        <w:t>الَّذِي لَايُرَدُّ سَائِلُهُ</w:t>
      </w:r>
      <w:r>
        <w:rPr>
          <w:rtl/>
          <w:lang w:bidi="fa-IR"/>
        </w:rPr>
        <w:t xml:space="preserve"> - </w:t>
      </w:r>
      <w:r w:rsidRPr="00132E65">
        <w:rPr>
          <w:rtl/>
          <w:lang w:bidi="fa-IR"/>
        </w:rPr>
        <w:t xml:space="preserve">فَسَبْعَةٌ ، فَقَالَ لَهُ أَبُو الْحَسَنِ </w:t>
      </w:r>
      <w:r w:rsidRPr="00071CF9">
        <w:rPr>
          <w:rStyle w:val="libAlaemChar"/>
          <w:rtl/>
        </w:rPr>
        <w:t>عليه‌السلام</w:t>
      </w:r>
      <w:r w:rsidRPr="00132E65">
        <w:rPr>
          <w:rtl/>
          <w:lang w:bidi="fa-IR"/>
        </w:rPr>
        <w:t xml:space="preserve"> : « فَأَخْبِرْنِي عَمَّا تَحْفَظُ مِنْهَا » قَالَ </w:t>
      </w:r>
      <w:r>
        <w:rPr>
          <w:rStyle w:val="libFootnotenumChar"/>
          <w:rtl/>
        </w:rPr>
        <w:t>(11)</w:t>
      </w:r>
      <w:r w:rsidRPr="00132E65">
        <w:rPr>
          <w:rtl/>
          <w:lang w:bidi="fa-IR"/>
        </w:rPr>
        <w:t xml:space="preserve"> الرَّاهِبُ : لَا ، و</w:t>
      </w:r>
      <w:r w:rsidR="00B3201C">
        <w:rPr>
          <w:rFonts w:hint="cs"/>
          <w:rtl/>
          <w:lang w:bidi="fa-IR"/>
        </w:rPr>
        <w:t>َ</w:t>
      </w:r>
      <w:r w:rsidRPr="00132E65">
        <w:rPr>
          <w:rtl/>
          <w:lang w:bidi="fa-IR"/>
        </w:rPr>
        <w:t>اللهِ الَّذِي أَنْزَلَ التَّوْرَاةَ عَلى مُوسى ، و</w:t>
      </w:r>
      <w:r w:rsidR="00B3201C">
        <w:rPr>
          <w:rFonts w:hint="cs"/>
          <w:rtl/>
          <w:lang w:bidi="fa-IR"/>
        </w:rPr>
        <w:t>َ</w:t>
      </w:r>
      <w:r w:rsidRPr="00132E65">
        <w:rPr>
          <w:rtl/>
          <w:lang w:bidi="fa-IR"/>
        </w:rPr>
        <w:t>جَعَلَ عِيسى عِبْرَةً لِلْعَالَمِينَ ، و</w:t>
      </w:r>
      <w:r w:rsidR="00B3201C">
        <w:rPr>
          <w:rFonts w:hint="cs"/>
          <w:rtl/>
          <w:lang w:bidi="fa-IR"/>
        </w:rPr>
        <w:t>َ</w:t>
      </w:r>
      <w:r w:rsidRPr="00132E65">
        <w:rPr>
          <w:rtl/>
          <w:lang w:bidi="fa-IR"/>
        </w:rPr>
        <w:t xml:space="preserve">فِتْنَةً لِشُكْرِ </w:t>
      </w:r>
      <w:r>
        <w:rPr>
          <w:rStyle w:val="libFootnotenumChar"/>
          <w:rtl/>
        </w:rPr>
        <w:t>(12)</w:t>
      </w:r>
      <w:r w:rsidRPr="00132E65">
        <w:rPr>
          <w:rtl/>
          <w:lang w:bidi="fa-IR"/>
        </w:rPr>
        <w:t xml:space="preserve"> أُولِي الْأَلْبَابِ ، و</w:t>
      </w:r>
      <w:r w:rsidR="00B3201C">
        <w:rPr>
          <w:rFonts w:hint="cs"/>
          <w:rtl/>
          <w:lang w:bidi="fa-IR"/>
        </w:rPr>
        <w:t>َ</w:t>
      </w:r>
      <w:r w:rsidRPr="00132E65">
        <w:rPr>
          <w:rtl/>
          <w:lang w:bidi="fa-IR"/>
        </w:rPr>
        <w:t>جَعَلَ مُحَمَّداً بَرَكَةً و</w:t>
      </w:r>
      <w:r w:rsidR="00B3201C">
        <w:rPr>
          <w:rFonts w:hint="cs"/>
          <w:rtl/>
          <w:lang w:bidi="fa-IR"/>
        </w:rPr>
        <w:t xml:space="preserve">َ </w:t>
      </w:r>
      <w:r w:rsidRPr="00132E65">
        <w:rPr>
          <w:rtl/>
          <w:lang w:bidi="fa-IR"/>
        </w:rPr>
        <w:t>رَحْمَةً ، و</w:t>
      </w:r>
      <w:r w:rsidR="00F3596C">
        <w:rPr>
          <w:rFonts w:hint="cs"/>
          <w:rtl/>
          <w:lang w:bidi="fa-IR"/>
        </w:rPr>
        <w:t>َ</w:t>
      </w:r>
      <w:r w:rsidRPr="00132E65">
        <w:rPr>
          <w:rtl/>
          <w:lang w:bidi="fa-IR"/>
        </w:rPr>
        <w:t xml:space="preserve">جَعَلَ </w:t>
      </w:r>
      <w:r w:rsidRPr="00F543F1">
        <w:rPr>
          <w:rStyle w:val="libFootnotenumChar"/>
          <w:rtl/>
        </w:rPr>
        <w:t>(13)</w:t>
      </w:r>
      <w:r w:rsidRPr="00132E65">
        <w:rPr>
          <w:rtl/>
          <w:lang w:bidi="fa-IR"/>
        </w:rPr>
        <w:t xml:space="preserve"> عَلِيّاً عِبْرَةً وبَصِيرَةً ، وجَعَلَ الْأَوْصِيَاءَ مِنْ نَسْلِهِ ونَسْلِ مُحَمَّدٍ مَا أَدْرِي ، ولَوْ دَرَيْتُ مَا احْتَجْتُ فِيهِ إِلى كَلَامِكَ ، و</w:t>
      </w:r>
      <w:r w:rsidR="00F3596C">
        <w:rPr>
          <w:rFonts w:hint="cs"/>
          <w:rtl/>
          <w:lang w:bidi="fa-IR"/>
        </w:rPr>
        <w:t>َ</w:t>
      </w:r>
      <w:r w:rsidRPr="00132E65">
        <w:rPr>
          <w:rtl/>
          <w:lang w:bidi="fa-IR"/>
        </w:rPr>
        <w:t>لَاجِئْتُكَ ولَاسَأَلْتُكَ.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حاشية « ج ، ض ، بح »</w:t>
      </w:r>
      <w:r>
        <w:rPr>
          <w:rtl/>
        </w:rPr>
        <w:t>.</w:t>
      </w:r>
      <w:r w:rsidRPr="00132E65">
        <w:rPr>
          <w:rtl/>
        </w:rPr>
        <w:t xml:space="preserve"> وتقتضيه القواعد. وفي جميع النسخ والمطبوع : « فيه »</w:t>
      </w:r>
      <w:r>
        <w:rPr>
          <w:rtl/>
        </w:rPr>
        <w:t>.</w:t>
      </w:r>
    </w:p>
    <w:tbl>
      <w:tblPr>
        <w:tblStyle w:val="TableGrid"/>
        <w:bidiVisual/>
        <w:tblW w:w="0" w:type="auto"/>
        <w:tblLook w:val="04A0" w:firstRow="1" w:lastRow="0" w:firstColumn="1" w:lastColumn="0" w:noHBand="0" w:noVBand="1"/>
      </w:tblPr>
      <w:tblGrid>
        <w:gridCol w:w="4261"/>
        <w:gridCol w:w="4262"/>
      </w:tblGrid>
      <w:tr w:rsidR="00F3596C" w:rsidTr="00F3596C">
        <w:tc>
          <w:tcPr>
            <w:tcW w:w="4261" w:type="dxa"/>
          </w:tcPr>
          <w:p w:rsidR="00F3596C" w:rsidRDefault="00F3596C" w:rsidP="000C39D1">
            <w:pPr>
              <w:pStyle w:val="libFootnote0"/>
              <w:rPr>
                <w:rtl/>
              </w:rPr>
            </w:pPr>
            <w:r>
              <w:rPr>
                <w:rtl/>
              </w:rPr>
              <w:t>(2).</w:t>
            </w:r>
            <w:r w:rsidRPr="00132E65">
              <w:rPr>
                <w:rtl/>
              </w:rPr>
              <w:t xml:space="preserve"> في « بر ، بف » : « وكان »</w:t>
            </w:r>
            <w:r>
              <w:rPr>
                <w:rtl/>
              </w:rPr>
              <w:t>.</w:t>
            </w:r>
          </w:p>
        </w:tc>
        <w:tc>
          <w:tcPr>
            <w:tcW w:w="4262" w:type="dxa"/>
          </w:tcPr>
          <w:p w:rsidR="00F3596C" w:rsidRDefault="00F3596C" w:rsidP="000C39D1">
            <w:pPr>
              <w:pStyle w:val="libFootnote0"/>
              <w:rPr>
                <w:rtl/>
              </w:rPr>
            </w:pPr>
            <w:r>
              <w:rPr>
                <w:rtl/>
              </w:rPr>
              <w:t>(3).</w:t>
            </w:r>
            <w:r w:rsidRPr="00132E65">
              <w:rPr>
                <w:rtl/>
              </w:rPr>
              <w:t xml:space="preserve"> في « ف ، بف » : « ما يسأل »</w:t>
            </w:r>
            <w:r>
              <w:rPr>
                <w:rtl/>
              </w:rPr>
              <w:t>.</w:t>
            </w:r>
          </w:p>
        </w:tc>
      </w:tr>
      <w:tr w:rsidR="00F3596C" w:rsidTr="00F3596C">
        <w:tc>
          <w:tcPr>
            <w:tcW w:w="4261" w:type="dxa"/>
          </w:tcPr>
          <w:p w:rsidR="00F3596C" w:rsidRDefault="00F3596C" w:rsidP="000C39D1">
            <w:pPr>
              <w:pStyle w:val="libFootnote0"/>
              <w:rPr>
                <w:rtl/>
              </w:rPr>
            </w:pPr>
            <w:r>
              <w:rPr>
                <w:rtl/>
              </w:rPr>
              <w:t>(4).</w:t>
            </w:r>
            <w:r w:rsidRPr="00132E65">
              <w:rPr>
                <w:rtl/>
              </w:rPr>
              <w:t xml:space="preserve"> في حاشية « بف » و</w:t>
            </w:r>
            <w:r w:rsidRPr="009D1ACE">
              <w:rPr>
                <w:rStyle w:val="libFootnoteBoldChar"/>
                <w:rtl/>
              </w:rPr>
              <w:t>الوافي</w:t>
            </w:r>
            <w:r w:rsidRPr="00132E65">
              <w:rPr>
                <w:rtl/>
              </w:rPr>
              <w:t xml:space="preserve"> : « بلغ »</w:t>
            </w:r>
            <w:r>
              <w:rPr>
                <w:rtl/>
              </w:rPr>
              <w:t>.</w:t>
            </w:r>
          </w:p>
        </w:tc>
        <w:tc>
          <w:tcPr>
            <w:tcW w:w="4262" w:type="dxa"/>
          </w:tcPr>
          <w:p w:rsidR="00F3596C" w:rsidRDefault="00F3596C" w:rsidP="000C39D1">
            <w:pPr>
              <w:pStyle w:val="libFootnote0"/>
              <w:rPr>
                <w:rtl/>
              </w:rPr>
            </w:pPr>
            <w:r>
              <w:rPr>
                <w:rtl/>
              </w:rPr>
              <w:t>(5).</w:t>
            </w:r>
            <w:r w:rsidRPr="00132E65">
              <w:rPr>
                <w:rtl/>
              </w:rPr>
              <w:t xml:space="preserve"> في « ف » : « عن رجل »</w:t>
            </w:r>
            <w:r>
              <w:rPr>
                <w:rtl/>
              </w:rPr>
              <w:t>.</w:t>
            </w:r>
          </w:p>
        </w:tc>
      </w:tr>
    </w:tbl>
    <w:p w:rsidR="000C39D1" w:rsidRPr="00132E65" w:rsidRDefault="000C39D1" w:rsidP="00F3596C">
      <w:pPr>
        <w:pStyle w:val="libFootnote0"/>
        <w:rPr>
          <w:rtl/>
          <w:lang w:bidi="fa-IR"/>
        </w:rPr>
      </w:pPr>
      <w:r>
        <w:rPr>
          <w:rtl/>
        </w:rPr>
        <w:t>(6).</w:t>
      </w:r>
      <w:r w:rsidRPr="00132E65">
        <w:rPr>
          <w:rtl/>
        </w:rPr>
        <w:t xml:space="preserve"> في « ض » : « البيت »</w:t>
      </w:r>
      <w:r>
        <w:rPr>
          <w:rtl/>
        </w:rPr>
        <w:t>.</w:t>
      </w:r>
      <w:r w:rsidRPr="00132E65">
        <w:rPr>
          <w:rtl/>
        </w:rPr>
        <w:t xml:space="preserve"> قال المجلسي : « والبيت المقدّس إذا كان مع اللام ، فالمقدّس مشدّد الدال مفتوحة ، وبدون اللام يحتمل ذلك ، أي بيت المكان المقدَّس ، وكسر الدال المخفّفة مصدراً ، أي بيت القدس »</w:t>
      </w:r>
      <w:r>
        <w:rPr>
          <w:rtl/>
        </w:rPr>
        <w:t>.</w:t>
      </w:r>
      <w:r w:rsidRPr="00132E65">
        <w:rPr>
          <w:rtl/>
        </w:rPr>
        <w:t xml:space="preserve"> وراجع : </w:t>
      </w:r>
      <w:r w:rsidRPr="00F3596C">
        <w:rPr>
          <w:rStyle w:val="libFootnoteBoldChar"/>
          <w:rtl/>
        </w:rPr>
        <w:t>النهاية</w:t>
      </w:r>
      <w:r w:rsidRPr="00132E65">
        <w:rPr>
          <w:rtl/>
        </w:rPr>
        <w:t xml:space="preserve"> ، ج 4 ، ص 23. ( قدس )</w:t>
      </w:r>
      <w:r>
        <w:rPr>
          <w:rtl/>
        </w:rPr>
        <w:t>.</w:t>
      </w:r>
      <w:r w:rsidR="00F3596C">
        <w:rPr>
          <w:rFonts w:hint="cs"/>
          <w:rtl/>
        </w:rPr>
        <w:t xml:space="preserve">                                              </w:t>
      </w:r>
      <w:r>
        <w:rPr>
          <w:rtl/>
        </w:rPr>
        <w:t>(7).</w:t>
      </w:r>
      <w:r w:rsidRPr="00132E65">
        <w:rPr>
          <w:rtl/>
        </w:rPr>
        <w:t xml:space="preserve"> في </w:t>
      </w:r>
      <w:r w:rsidRPr="00F3596C">
        <w:rPr>
          <w:rtl/>
        </w:rPr>
        <w:t>الوافي</w:t>
      </w:r>
      <w:r w:rsidRPr="00132E65">
        <w:rPr>
          <w:rtl/>
        </w:rPr>
        <w:t xml:space="preserve"> والبحار : « بسندان »</w:t>
      </w:r>
      <w:r>
        <w:rPr>
          <w:rtl/>
        </w:rPr>
        <w:t>.</w:t>
      </w:r>
    </w:p>
    <w:tbl>
      <w:tblPr>
        <w:tblStyle w:val="TableGrid"/>
        <w:bidiVisual/>
        <w:tblW w:w="0" w:type="auto"/>
        <w:tblLook w:val="04A0" w:firstRow="1" w:lastRow="0" w:firstColumn="1" w:lastColumn="0" w:noHBand="0" w:noVBand="1"/>
      </w:tblPr>
      <w:tblGrid>
        <w:gridCol w:w="4261"/>
        <w:gridCol w:w="4262"/>
      </w:tblGrid>
      <w:tr w:rsidR="00F3596C" w:rsidTr="00F3596C">
        <w:tc>
          <w:tcPr>
            <w:tcW w:w="4261" w:type="dxa"/>
          </w:tcPr>
          <w:p w:rsidR="00F3596C" w:rsidRDefault="00F3596C" w:rsidP="000C39D1">
            <w:pPr>
              <w:pStyle w:val="libFootnote0"/>
              <w:rPr>
                <w:rtl/>
              </w:rPr>
            </w:pPr>
            <w:r>
              <w:rPr>
                <w:rtl/>
              </w:rPr>
              <w:t>(8).</w:t>
            </w:r>
            <w:r w:rsidRPr="00132E65">
              <w:rPr>
                <w:rtl/>
              </w:rPr>
              <w:t xml:space="preserve"> في « ب » : « قال »</w:t>
            </w:r>
            <w:r>
              <w:rPr>
                <w:rtl/>
              </w:rPr>
              <w:t>.</w:t>
            </w:r>
          </w:p>
        </w:tc>
        <w:tc>
          <w:tcPr>
            <w:tcW w:w="4262" w:type="dxa"/>
          </w:tcPr>
          <w:p w:rsidR="00F3596C" w:rsidRDefault="00F3596C" w:rsidP="000C39D1">
            <w:pPr>
              <w:pStyle w:val="libFootnote0"/>
              <w:rPr>
                <w:rtl/>
              </w:rPr>
            </w:pPr>
            <w:r>
              <w:rPr>
                <w:rtl/>
              </w:rPr>
              <w:t>(9).</w:t>
            </w:r>
            <w:r w:rsidRPr="00132E65">
              <w:rPr>
                <w:rtl/>
              </w:rPr>
              <w:t xml:space="preserve"> في « ف » : « علّم » بالتثقيل مبنيّاً للمفعول.</w:t>
            </w:r>
          </w:p>
        </w:tc>
      </w:tr>
      <w:tr w:rsidR="00F3596C" w:rsidTr="00F3596C">
        <w:tc>
          <w:tcPr>
            <w:tcW w:w="4261" w:type="dxa"/>
          </w:tcPr>
          <w:p w:rsidR="00F3596C" w:rsidRDefault="00F3596C" w:rsidP="000C39D1">
            <w:pPr>
              <w:pStyle w:val="libFootnote0"/>
              <w:rPr>
                <w:rtl/>
              </w:rPr>
            </w:pPr>
            <w:r>
              <w:rPr>
                <w:rtl/>
              </w:rPr>
              <w:t>(10).</w:t>
            </w:r>
            <w:r w:rsidRPr="00132E65">
              <w:rPr>
                <w:rtl/>
              </w:rPr>
              <w:t xml:space="preserve"> في حاشية « بر » : « معاشر »</w:t>
            </w:r>
            <w:r>
              <w:rPr>
                <w:rtl/>
              </w:rPr>
              <w:t>.</w:t>
            </w:r>
          </w:p>
        </w:tc>
        <w:tc>
          <w:tcPr>
            <w:tcW w:w="4262" w:type="dxa"/>
          </w:tcPr>
          <w:p w:rsidR="00F3596C" w:rsidRDefault="00F3596C" w:rsidP="000C39D1">
            <w:pPr>
              <w:pStyle w:val="libFootnote0"/>
              <w:rPr>
                <w:rtl/>
              </w:rPr>
            </w:pPr>
            <w:r>
              <w:rPr>
                <w:rtl/>
              </w:rPr>
              <w:t>(11).</w:t>
            </w:r>
            <w:r w:rsidRPr="00132E65">
              <w:rPr>
                <w:rtl/>
              </w:rPr>
              <w:t xml:space="preserve"> في البحار : « فقال »</w:t>
            </w:r>
            <w:r>
              <w:rPr>
                <w:rtl/>
              </w:rPr>
              <w:t>.</w:t>
            </w:r>
          </w:p>
        </w:tc>
      </w:tr>
    </w:tbl>
    <w:p w:rsidR="000C39D1" w:rsidRPr="00132E65" w:rsidRDefault="000C39D1" w:rsidP="000C39D1">
      <w:pPr>
        <w:pStyle w:val="libFootnote0"/>
        <w:rPr>
          <w:rtl/>
          <w:lang w:bidi="fa-IR"/>
        </w:rPr>
      </w:pPr>
      <w:r>
        <w:rPr>
          <w:rtl/>
        </w:rPr>
        <w:t>(12).</w:t>
      </w:r>
      <w:r w:rsidRPr="00132E65">
        <w:rPr>
          <w:rtl/>
        </w:rPr>
        <w:t xml:space="preserve"> في « بف » : « شكر » بالنصب على أنّه مفعول له.</w:t>
      </w:r>
    </w:p>
    <w:p w:rsidR="000C39D1" w:rsidRPr="00132E65" w:rsidRDefault="000C39D1" w:rsidP="000C39D1">
      <w:pPr>
        <w:pStyle w:val="libFootnote0"/>
        <w:rPr>
          <w:rtl/>
          <w:lang w:bidi="fa-IR"/>
        </w:rPr>
      </w:pPr>
      <w:r>
        <w:rPr>
          <w:rtl/>
        </w:rPr>
        <w:t>(13)</w:t>
      </w:r>
      <w:r w:rsidRPr="00132E65">
        <w:rPr>
          <w:rtl/>
        </w:rPr>
        <w:t xml:space="preserve"> في « ف » </w:t>
      </w:r>
      <w:r>
        <w:rPr>
          <w:rtl/>
        </w:rPr>
        <w:t xml:space="preserve">: - </w:t>
      </w:r>
      <w:r w:rsidRPr="00132E65">
        <w:rPr>
          <w:rtl/>
        </w:rPr>
        <w:t>« جعل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لَهُ أَبُو إِبْرَاهِيمَ </w:t>
      </w:r>
      <w:r w:rsidRPr="00071CF9">
        <w:rPr>
          <w:rStyle w:val="libAlaemChar"/>
          <w:rtl/>
        </w:rPr>
        <w:t>عليه‌السلام</w:t>
      </w:r>
      <w:r w:rsidRPr="00132E65">
        <w:rPr>
          <w:rtl/>
          <w:lang w:bidi="fa-IR"/>
        </w:rPr>
        <w:t xml:space="preserve"> : « عُدْ إِلى حَدِيثِ الْهِنْدِيِّ »</w:t>
      </w:r>
      <w:r>
        <w:rPr>
          <w:rtl/>
          <w:lang w:bidi="fa-IR"/>
        </w:rPr>
        <w:t>.</w:t>
      </w:r>
    </w:p>
    <w:p w:rsidR="000C39D1" w:rsidRPr="00132E65" w:rsidRDefault="000C39D1" w:rsidP="000C39D1">
      <w:pPr>
        <w:pStyle w:val="libNormal"/>
        <w:rPr>
          <w:rtl/>
          <w:lang w:bidi="fa-IR"/>
        </w:rPr>
      </w:pPr>
      <w:r w:rsidRPr="00132E65">
        <w:rPr>
          <w:rtl/>
          <w:lang w:bidi="fa-IR"/>
        </w:rPr>
        <w:t>فَقَالَ لَهُ الرَّاهِبُ : سَمِعْتُ بِهذِهِ الْأَسْمَاءِ ولَا</w:t>
      </w:r>
      <w:r>
        <w:rPr>
          <w:rFonts w:hint="cs"/>
          <w:rtl/>
          <w:lang w:bidi="fa-IR"/>
        </w:rPr>
        <w:t xml:space="preserve"> </w:t>
      </w:r>
      <w:r w:rsidRPr="00132E65">
        <w:rPr>
          <w:rtl/>
          <w:lang w:bidi="fa-IR"/>
        </w:rPr>
        <w:t xml:space="preserve">أَدْرِي مَا بِطَانَتُهَا </w:t>
      </w:r>
      <w:r>
        <w:rPr>
          <w:rStyle w:val="libFootnotenumChar"/>
          <w:rtl/>
        </w:rPr>
        <w:t>(1)</w:t>
      </w:r>
      <w:r w:rsidRPr="00132E65">
        <w:rPr>
          <w:rtl/>
          <w:lang w:bidi="fa-IR"/>
        </w:rPr>
        <w:t xml:space="preserve"> و</w:t>
      </w:r>
      <w:r w:rsidR="00F3596C">
        <w:rPr>
          <w:rFonts w:hint="cs"/>
          <w:rtl/>
          <w:lang w:bidi="fa-IR"/>
        </w:rPr>
        <w:t>َ</w:t>
      </w:r>
      <w:r w:rsidRPr="00132E65">
        <w:rPr>
          <w:rtl/>
          <w:lang w:bidi="fa-IR"/>
        </w:rPr>
        <w:t xml:space="preserve">لَاشَرَائِحُهَا </w:t>
      </w:r>
      <w:r>
        <w:rPr>
          <w:rStyle w:val="libFootnotenumChar"/>
          <w:rtl/>
        </w:rPr>
        <w:t>(2)</w:t>
      </w:r>
      <w:r>
        <w:rPr>
          <w:rtl/>
          <w:lang w:bidi="fa-IR"/>
        </w:rPr>
        <w:t>؟</w:t>
      </w:r>
      <w:r w:rsidRPr="00132E65">
        <w:rPr>
          <w:rtl/>
          <w:lang w:bidi="fa-IR"/>
        </w:rPr>
        <w:t xml:space="preserve"> و</w:t>
      </w:r>
      <w:r w:rsidR="00F3596C">
        <w:rPr>
          <w:rFonts w:hint="cs"/>
          <w:rtl/>
          <w:lang w:bidi="fa-IR"/>
        </w:rPr>
        <w:t>َ</w:t>
      </w:r>
      <w:r w:rsidRPr="00132E65">
        <w:rPr>
          <w:rtl/>
          <w:lang w:bidi="fa-IR"/>
        </w:rPr>
        <w:t>لَا أَدْرِي مَا هِيَ</w:t>
      </w:r>
      <w:r>
        <w:rPr>
          <w:rtl/>
          <w:lang w:bidi="fa-IR"/>
        </w:rPr>
        <w:t>؟</w:t>
      </w:r>
      <w:r w:rsidRPr="00132E65">
        <w:rPr>
          <w:rtl/>
          <w:lang w:bidi="fa-IR"/>
        </w:rPr>
        <w:t xml:space="preserve"> و</w:t>
      </w:r>
      <w:r w:rsidR="00F3596C">
        <w:rPr>
          <w:rFonts w:hint="cs"/>
          <w:rtl/>
          <w:lang w:bidi="fa-IR"/>
        </w:rPr>
        <w:t>َ</w:t>
      </w:r>
      <w:r w:rsidRPr="00132E65">
        <w:rPr>
          <w:rtl/>
          <w:lang w:bidi="fa-IR"/>
        </w:rPr>
        <w:t>لَاكَيْفَ هِيَ و</w:t>
      </w:r>
      <w:r w:rsidR="00F3596C">
        <w:rPr>
          <w:rFonts w:hint="cs"/>
          <w:rtl/>
          <w:lang w:bidi="fa-IR"/>
        </w:rPr>
        <w:t>َ</w:t>
      </w:r>
      <w:r w:rsidRPr="00132E65">
        <w:rPr>
          <w:rtl/>
          <w:lang w:bidi="fa-IR"/>
        </w:rPr>
        <w:t xml:space="preserve">لَابِدُعَائِهَا </w:t>
      </w:r>
      <w:r>
        <w:rPr>
          <w:rStyle w:val="libFootnotenumChar"/>
          <w:rtl/>
        </w:rPr>
        <w:t>(3)</w:t>
      </w:r>
      <w:r>
        <w:rPr>
          <w:rtl/>
          <w:lang w:bidi="fa-IR"/>
        </w:rPr>
        <w:t>؟</w:t>
      </w:r>
      <w:r w:rsidRPr="00132E65">
        <w:rPr>
          <w:rtl/>
          <w:lang w:bidi="fa-IR"/>
        </w:rPr>
        <w:t xml:space="preserve"> فَانْطَلَقْتُ حَتّى قَدِمْتُ سُبْذَانَ </w:t>
      </w:r>
      <w:r>
        <w:rPr>
          <w:rStyle w:val="libFootnotenumChar"/>
          <w:rtl/>
        </w:rPr>
        <w:t>(4)</w:t>
      </w:r>
      <w:r w:rsidRPr="00132E65">
        <w:rPr>
          <w:rtl/>
          <w:lang w:bidi="fa-IR"/>
        </w:rPr>
        <w:t xml:space="preserve"> الْهِنْدِ ، فَسَأَلْتُ عَنِ الرَّجُلِ ، فَقِيلَ لِي </w:t>
      </w:r>
      <w:r>
        <w:rPr>
          <w:rStyle w:val="libFootnotenumChar"/>
          <w:rtl/>
        </w:rPr>
        <w:t>(5)</w:t>
      </w:r>
      <w:r w:rsidRPr="00132E65">
        <w:rPr>
          <w:rtl/>
          <w:lang w:bidi="fa-IR"/>
        </w:rPr>
        <w:t xml:space="preserve"> : إِنَّهُ بَنى دَيْراً فِي جَبَلٍ ، فَصَارَ لَايَخْرُجُ ولَايُرى إِلاَّ فِي كُلِّ سَنَةٍ مَرَّتَيْنِ ، وزَعَمَتِ الْهِنْدُ أَنَّ اللهَ فَجَّرَ لَهُ عَيْناً فِي دَيْرِهِ ، و</w:t>
      </w:r>
      <w:r w:rsidR="00F3596C">
        <w:rPr>
          <w:rFonts w:hint="cs"/>
          <w:rtl/>
          <w:lang w:bidi="fa-IR"/>
        </w:rPr>
        <w:t>َ</w:t>
      </w:r>
      <w:r w:rsidRPr="00132E65">
        <w:rPr>
          <w:rtl/>
          <w:lang w:bidi="fa-IR"/>
        </w:rPr>
        <w:t>زَعَمَتِ الْهِنْدُ أَنَّهُ يُزْرَعُ لَهُ مِنْ غَيْرِ زَرْعٍ يُلْقِيهِ ، ويُحْرَثُ لَهُ مِنْ غَيْرِ حَرْثٍ يَعْمَلُهُ ، فَانْتَهَيْتُ إِلى بَابِهِ ، فَأَقَمْتُ ثَلَاثاً لَا</w:t>
      </w:r>
      <w:r>
        <w:rPr>
          <w:rFonts w:hint="cs"/>
          <w:rtl/>
          <w:lang w:bidi="fa-IR"/>
        </w:rPr>
        <w:t xml:space="preserve"> </w:t>
      </w:r>
      <w:r w:rsidRPr="00132E65">
        <w:rPr>
          <w:rtl/>
          <w:lang w:bidi="fa-IR"/>
        </w:rPr>
        <w:t>أَدُقُّ الْبَابَ ، ولَا</w:t>
      </w:r>
      <w:r>
        <w:rPr>
          <w:rFonts w:hint="cs"/>
          <w:rtl/>
          <w:lang w:bidi="fa-IR"/>
        </w:rPr>
        <w:t xml:space="preserve"> </w:t>
      </w:r>
      <w:r w:rsidRPr="00132E65">
        <w:rPr>
          <w:rtl/>
          <w:lang w:bidi="fa-IR"/>
        </w:rPr>
        <w:t xml:space="preserve">أُعَالِجُ الْبَابَ </w:t>
      </w:r>
      <w:r>
        <w:rPr>
          <w:rStyle w:val="libFootnotenumChar"/>
          <w:rtl/>
        </w:rPr>
        <w:t>(6)</w:t>
      </w:r>
    </w:p>
    <w:p w:rsidR="000C39D1" w:rsidRPr="00132E65" w:rsidRDefault="000C39D1" w:rsidP="000C39D1">
      <w:pPr>
        <w:pStyle w:val="libNormal"/>
        <w:rPr>
          <w:rtl/>
          <w:lang w:bidi="fa-IR"/>
        </w:rPr>
      </w:pPr>
      <w:r w:rsidRPr="00132E65">
        <w:rPr>
          <w:rtl/>
          <w:lang w:bidi="fa-IR"/>
        </w:rPr>
        <w:t xml:space="preserve">فَلَمَّا كَانَ الْيَوْمُ الرَّابِعُ ، فَتَحَ اللهُ الْبَابَ </w:t>
      </w:r>
      <w:r>
        <w:rPr>
          <w:rStyle w:val="libFootnotenumChar"/>
          <w:rtl/>
        </w:rPr>
        <w:t>(7)</w:t>
      </w:r>
      <w:r w:rsidRPr="00132E65">
        <w:rPr>
          <w:rtl/>
          <w:lang w:bidi="fa-IR"/>
        </w:rPr>
        <w:t xml:space="preserve"> ، و</w:t>
      </w:r>
      <w:r w:rsidR="00F3596C">
        <w:rPr>
          <w:rFonts w:hint="cs"/>
          <w:rtl/>
          <w:lang w:bidi="fa-IR"/>
        </w:rPr>
        <w:t>َ</w:t>
      </w:r>
      <w:r w:rsidRPr="00132E65">
        <w:rPr>
          <w:rtl/>
          <w:lang w:bidi="fa-IR"/>
        </w:rPr>
        <w:t xml:space="preserve">جَاءَتْ بَقَرَةٌ عَلَيْهَا حَطَبٌ ، تَجُرُّ ضَرْعَهَا يَكَادُ يَخْرُجُ مَا فِي ضَرْعِهَا مِنَ اللَّبَنِ ، فَدَفَعَتِ الْبَابَ ، فَانْفَتَحَ ، فَتَبِعْتُهَا </w:t>
      </w:r>
      <w:r>
        <w:rPr>
          <w:rStyle w:val="libFootnotenumChar"/>
          <w:rtl/>
        </w:rPr>
        <w:t>(8)</w:t>
      </w:r>
      <w:r w:rsidRPr="00132E65">
        <w:rPr>
          <w:rtl/>
          <w:lang w:bidi="fa-IR"/>
        </w:rPr>
        <w:t xml:space="preserve"> و</w:t>
      </w:r>
      <w:r w:rsidR="00F3596C">
        <w:rPr>
          <w:rFonts w:hint="cs"/>
          <w:rtl/>
          <w:lang w:bidi="fa-IR"/>
        </w:rPr>
        <w:t>َ</w:t>
      </w:r>
      <w:r w:rsidRPr="00132E65">
        <w:rPr>
          <w:rtl/>
          <w:lang w:bidi="fa-IR"/>
        </w:rPr>
        <w:t xml:space="preserve">دَخَلْتُ </w:t>
      </w:r>
      <w:r>
        <w:rPr>
          <w:rStyle w:val="libFootnotenumChar"/>
          <w:rtl/>
        </w:rPr>
        <w:t>(9)</w:t>
      </w:r>
      <w:r w:rsidRPr="00132E65">
        <w:rPr>
          <w:rtl/>
          <w:lang w:bidi="fa-IR"/>
        </w:rPr>
        <w:t xml:space="preserve"> ، فَوَجَدْتُ الرَّجُلَ قَائِماً يَنْظُرُ إِلَى السَّمَاءِ فَيَبْكِي ، ويَنْظُرُ إِلَى الْأَرْضِ فَيَبْكِي ، و</w:t>
      </w:r>
      <w:r w:rsidR="00F3596C">
        <w:rPr>
          <w:rFonts w:hint="cs"/>
          <w:rtl/>
          <w:lang w:bidi="fa-IR"/>
        </w:rPr>
        <w:t>َ</w:t>
      </w:r>
      <w:r w:rsidRPr="00132E65">
        <w:rPr>
          <w:rtl/>
          <w:lang w:bidi="fa-IR"/>
        </w:rPr>
        <w:t>يَنْظُرُ إِلَى الْجِبَالِ فَيَبْكِي ، فَقُلْتُ : سُبْحَانَ اللهِ</w:t>
      </w:r>
      <w:r>
        <w:rPr>
          <w:rtl/>
          <w:lang w:bidi="fa-IR"/>
        </w:rPr>
        <w:t>!</w:t>
      </w:r>
      <w:r w:rsidRPr="00132E65">
        <w:rPr>
          <w:rtl/>
          <w:lang w:bidi="fa-IR"/>
        </w:rPr>
        <w:t xml:space="preserve"> مَا أَقَلَّ ضَرْبَكَ </w:t>
      </w:r>
      <w:r>
        <w:rPr>
          <w:rStyle w:val="libFootnotenumChar"/>
          <w:rtl/>
        </w:rPr>
        <w:t>(10)</w:t>
      </w:r>
      <w:r w:rsidRPr="00132E65">
        <w:rPr>
          <w:rtl/>
          <w:lang w:bidi="fa-IR"/>
        </w:rPr>
        <w:t xml:space="preserve"> فِي دَهْرِنَا هذَا </w:t>
      </w:r>
      <w:r>
        <w:rPr>
          <w:rStyle w:val="libFootnotenumChar"/>
          <w:rtl/>
        </w:rPr>
        <w:t>(11)</w:t>
      </w:r>
      <w:r>
        <w:rPr>
          <w:rtl/>
          <w:lang w:bidi="fa-IR"/>
        </w:rPr>
        <w:t>!</w:t>
      </w:r>
      <w:r w:rsidRPr="00132E65">
        <w:rPr>
          <w:rtl/>
          <w:lang w:bidi="fa-IR"/>
        </w:rPr>
        <w:t xml:space="preserve"> فَقَالَ لِي : و</w:t>
      </w:r>
      <w:r w:rsidR="00F3596C">
        <w:rPr>
          <w:rFonts w:hint="cs"/>
          <w:rtl/>
          <w:lang w:bidi="fa-IR"/>
        </w:rPr>
        <w:t>َ</w:t>
      </w:r>
      <w:r w:rsidR="00F3596C">
        <w:rPr>
          <w:rtl/>
          <w:lang w:bidi="fa-IR"/>
        </w:rPr>
        <w:t>اللهِ ، مَا أَنَا إِل</w:t>
      </w:r>
      <w:r w:rsidR="00F3596C">
        <w:rPr>
          <w:rFonts w:hint="cs"/>
          <w:rtl/>
          <w:lang w:bidi="fa-IR"/>
        </w:rPr>
        <w:t>َّ</w:t>
      </w:r>
      <w:r w:rsidR="00F3596C">
        <w:rPr>
          <w:rtl/>
          <w:lang w:bidi="fa-IR"/>
        </w:rPr>
        <w:t>ا</w:t>
      </w:r>
      <w:r w:rsidRPr="00132E65">
        <w:rPr>
          <w:rtl/>
          <w:lang w:bidi="fa-IR"/>
        </w:rPr>
        <w:t xml:space="preserve"> حَسَنَةٌ مِنْ حَسَنَاتِ رَجُلٍ خَلَّفْتَهُ و</w:t>
      </w:r>
      <w:r w:rsidR="00F3596C">
        <w:rPr>
          <w:rFonts w:hint="cs"/>
          <w:rtl/>
          <w:lang w:bidi="fa-IR"/>
        </w:rPr>
        <w:t>َ</w:t>
      </w:r>
      <w:r w:rsidRPr="00132E65">
        <w:rPr>
          <w:rtl/>
          <w:lang w:bidi="fa-IR"/>
        </w:rPr>
        <w:t>رَاءَ ظَهْرِكَ ، فَقُلْتُ لَهُ : أُخْبِرْتُ أَنَّ عِنْدَكَ‌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sidRPr="00CE4043">
        <w:rPr>
          <w:rtl/>
        </w:rPr>
        <w:t>ومرآة العقول</w:t>
      </w:r>
      <w:r w:rsidRPr="00132E65">
        <w:rPr>
          <w:rtl/>
        </w:rPr>
        <w:t xml:space="preserve"> والبحار : « بطائنها »</w:t>
      </w:r>
      <w:r>
        <w:rPr>
          <w:rtl/>
        </w:rPr>
        <w:t>.</w:t>
      </w:r>
      <w:r w:rsidRPr="00132E65">
        <w:rPr>
          <w:rtl/>
        </w:rPr>
        <w:t xml:space="preserve"> </w:t>
      </w:r>
      <w:r>
        <w:rPr>
          <w:rtl/>
        </w:rPr>
        <w:t>و «</w:t>
      </w:r>
      <w:r w:rsidRPr="00132E65">
        <w:rPr>
          <w:rtl/>
        </w:rPr>
        <w:t xml:space="preserve"> البِطانَةُ » : خلاف الظهارة. </w:t>
      </w:r>
      <w:r w:rsidRPr="009D1ACE">
        <w:rPr>
          <w:rStyle w:val="libFootnoteBoldChar"/>
          <w:rtl/>
        </w:rPr>
        <w:t>لسان العرب</w:t>
      </w:r>
      <w:r w:rsidRPr="00132E65">
        <w:rPr>
          <w:rtl/>
        </w:rPr>
        <w:t xml:space="preserve"> ، ج 13 ، ص 55 ( بطن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CE4043">
        <w:rPr>
          <w:rtl/>
        </w:rPr>
        <w:t>الوافي</w:t>
      </w:r>
      <w:r w:rsidRPr="00132E65">
        <w:rPr>
          <w:rtl/>
        </w:rPr>
        <w:t xml:space="preserve"> وفي </w:t>
      </w:r>
      <w:r w:rsidRPr="00CE4043">
        <w:rPr>
          <w:rtl/>
        </w:rPr>
        <w:t>مرآة العقول</w:t>
      </w:r>
      <w:r w:rsidRPr="00132E65">
        <w:rPr>
          <w:rtl/>
        </w:rPr>
        <w:t xml:space="preserve"> عن بعض النسخ : « شرائعها »</w:t>
      </w:r>
      <w:r>
        <w:rPr>
          <w:rtl/>
        </w:rPr>
        <w:t>.</w:t>
      </w:r>
      <w:r w:rsidRPr="00132E65">
        <w:rPr>
          <w:rtl/>
        </w:rPr>
        <w:t xml:space="preserve"> </w:t>
      </w:r>
      <w:r>
        <w:rPr>
          <w:rtl/>
        </w:rPr>
        <w:t>و «</w:t>
      </w:r>
      <w:r w:rsidRPr="00132E65">
        <w:rPr>
          <w:rtl/>
        </w:rPr>
        <w:t xml:space="preserve"> الشرائح » : جمع الشَرِيحة ، وهي القطعة من اللحم. والمراد هاهنا : ما يشرحها ويبيّنها ، وكأنّه كناية عن ظواهرها. قال المجلسي : « ربّما يقرأ بالجيم : جمع شريجة ، فعيلة بمعنى مفعولة من الشرج</w:t>
      </w:r>
      <w:r>
        <w:rPr>
          <w:rtl/>
        </w:rPr>
        <w:t xml:space="preserve"> - </w:t>
      </w:r>
      <w:r w:rsidRPr="00132E65">
        <w:rPr>
          <w:rtl/>
        </w:rPr>
        <w:t>بالفتح</w:t>
      </w:r>
      <w:r>
        <w:rPr>
          <w:rtl/>
        </w:rPr>
        <w:t xml:space="preserve"> - </w:t>
      </w:r>
      <w:r w:rsidR="00CE4043">
        <w:rPr>
          <w:rtl/>
        </w:rPr>
        <w:t>: شدّ الخريطة ؛ لئل</w:t>
      </w:r>
      <w:r w:rsidR="00CE4043">
        <w:rPr>
          <w:rFonts w:hint="cs"/>
          <w:rtl/>
        </w:rPr>
        <w:t>ّ</w:t>
      </w:r>
      <w:r w:rsidR="00CE4043">
        <w:rPr>
          <w:rtl/>
        </w:rPr>
        <w:t>ا</w:t>
      </w:r>
      <w:r w:rsidRPr="00132E65">
        <w:rPr>
          <w:rtl/>
        </w:rPr>
        <w:t xml:space="preserve"> يظهر ما فيها »</w:t>
      </w:r>
      <w:r>
        <w:rPr>
          <w:rtl/>
        </w:rPr>
        <w:t>.</w:t>
      </w:r>
      <w:r w:rsidRPr="00132E65">
        <w:rPr>
          <w:rtl/>
        </w:rPr>
        <w:t xml:space="preserve"> راجع : </w:t>
      </w:r>
      <w:r w:rsidRPr="009D1ACE">
        <w:rPr>
          <w:rStyle w:val="libFootnoteBoldChar"/>
          <w:rtl/>
        </w:rPr>
        <w:t>لسان العرب</w:t>
      </w:r>
      <w:r w:rsidRPr="00132E65">
        <w:rPr>
          <w:rtl/>
        </w:rPr>
        <w:t xml:space="preserve"> ، ج 2 ، ص 497 ( شرح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وقد يقرأ : بِدْعاً بها ، أي عالماً في كمال العلم بها »</w:t>
      </w:r>
      <w:r>
        <w:rPr>
          <w:rtl/>
        </w:rPr>
        <w:t>.</w:t>
      </w:r>
    </w:p>
    <w:tbl>
      <w:tblPr>
        <w:tblStyle w:val="TableGrid"/>
        <w:bidiVisual/>
        <w:tblW w:w="0" w:type="auto"/>
        <w:tblLook w:val="04A0" w:firstRow="1" w:lastRow="0" w:firstColumn="1" w:lastColumn="0" w:noHBand="0" w:noVBand="1"/>
      </w:tblPr>
      <w:tblGrid>
        <w:gridCol w:w="4261"/>
        <w:gridCol w:w="4262"/>
      </w:tblGrid>
      <w:tr w:rsidR="00CE4043" w:rsidTr="00CE4043">
        <w:tc>
          <w:tcPr>
            <w:tcW w:w="4261" w:type="dxa"/>
          </w:tcPr>
          <w:p w:rsidR="00CE4043" w:rsidRDefault="00CE4043" w:rsidP="000C39D1">
            <w:pPr>
              <w:pStyle w:val="libFootnote0"/>
              <w:rPr>
                <w:rtl/>
              </w:rPr>
            </w:pPr>
            <w:r>
              <w:rPr>
                <w:rtl/>
              </w:rPr>
              <w:t>(4).</w:t>
            </w:r>
            <w:r w:rsidRPr="00132E65">
              <w:rPr>
                <w:rtl/>
              </w:rPr>
              <w:t xml:space="preserve"> في </w:t>
            </w:r>
            <w:r w:rsidRPr="00CE4043">
              <w:rPr>
                <w:rtl/>
              </w:rPr>
              <w:t>الوافي</w:t>
            </w:r>
            <w:r w:rsidRPr="00132E65">
              <w:rPr>
                <w:rtl/>
              </w:rPr>
              <w:t xml:space="preserve"> والبحار : « سندان »</w:t>
            </w:r>
            <w:r>
              <w:rPr>
                <w:rtl/>
              </w:rPr>
              <w:t>.</w:t>
            </w:r>
          </w:p>
        </w:tc>
        <w:tc>
          <w:tcPr>
            <w:tcW w:w="4262" w:type="dxa"/>
          </w:tcPr>
          <w:p w:rsidR="00CE4043" w:rsidRDefault="00CE4043" w:rsidP="000C39D1">
            <w:pPr>
              <w:pStyle w:val="libFootnote0"/>
              <w:rPr>
                <w:rtl/>
              </w:rPr>
            </w:pPr>
            <w:r>
              <w:rPr>
                <w:rtl/>
              </w:rPr>
              <w:t>(5).</w:t>
            </w:r>
            <w:r w:rsidRPr="00132E65">
              <w:rPr>
                <w:rtl/>
              </w:rPr>
              <w:t xml:space="preserve"> في « ف » </w:t>
            </w:r>
            <w:r>
              <w:rPr>
                <w:rtl/>
              </w:rPr>
              <w:t xml:space="preserve">: - </w:t>
            </w:r>
            <w:r w:rsidRPr="00132E65">
              <w:rPr>
                <w:rtl/>
              </w:rPr>
              <w:t>« لي »</w:t>
            </w:r>
            <w:r>
              <w:rPr>
                <w:rtl/>
              </w:rPr>
              <w:t>.</w:t>
            </w:r>
          </w:p>
        </w:tc>
      </w:tr>
    </w:tbl>
    <w:p w:rsidR="000C39D1" w:rsidRPr="00132E65" w:rsidRDefault="000C39D1" w:rsidP="00CE4043">
      <w:pPr>
        <w:pStyle w:val="libFootnote0"/>
        <w:rPr>
          <w:rtl/>
          <w:lang w:bidi="fa-IR"/>
        </w:rPr>
      </w:pPr>
      <w:r>
        <w:rPr>
          <w:rtl/>
        </w:rPr>
        <w:t>(6).</w:t>
      </w:r>
      <w:r w:rsidRPr="00132E65">
        <w:rPr>
          <w:rtl/>
        </w:rPr>
        <w:t xml:space="preserve"> « لا ا</w:t>
      </w:r>
      <w:r w:rsidR="00CE4043">
        <w:rPr>
          <w:rFonts w:hint="cs"/>
          <w:rtl/>
        </w:rPr>
        <w:t>ُ</w:t>
      </w:r>
      <w:r w:rsidRPr="00132E65">
        <w:rPr>
          <w:rtl/>
        </w:rPr>
        <w:t>عالجُ البابَ » ، أي لا ا</w:t>
      </w:r>
      <w:r w:rsidR="00CE4043">
        <w:rPr>
          <w:rFonts w:hint="cs"/>
          <w:rtl/>
        </w:rPr>
        <w:t>ُ</w:t>
      </w:r>
      <w:r w:rsidRPr="00132E65">
        <w:rPr>
          <w:rtl/>
        </w:rPr>
        <w:t xml:space="preserve">مارسها. وكلّ شي‌ء زاولتَه ومارسته وعملت به فقد عالجته. راجع : </w:t>
      </w:r>
      <w:r w:rsidRPr="009D1ACE">
        <w:rPr>
          <w:rStyle w:val="libFootnoteBoldChar"/>
          <w:rtl/>
        </w:rPr>
        <w:t>لسان العرب</w:t>
      </w:r>
      <w:r w:rsidRPr="00132E65">
        <w:rPr>
          <w:rtl/>
        </w:rPr>
        <w:t xml:space="preserve"> ، ج 2 ، ص 327 ( علج )</w:t>
      </w:r>
      <w:r>
        <w:rPr>
          <w:rtl/>
        </w:rPr>
        <w:t>.</w:t>
      </w:r>
      <w:r w:rsidR="00CE4043">
        <w:rPr>
          <w:rFonts w:hint="cs"/>
          <w:rtl/>
        </w:rPr>
        <w:t xml:space="preserve">                                          </w:t>
      </w:r>
      <w:r>
        <w:rPr>
          <w:rtl/>
        </w:rPr>
        <w:t>(7).</w:t>
      </w:r>
      <w:r w:rsidRPr="00132E65">
        <w:rPr>
          <w:rtl/>
        </w:rPr>
        <w:t xml:space="preserve"> في « بح » </w:t>
      </w:r>
      <w:r>
        <w:rPr>
          <w:rtl/>
        </w:rPr>
        <w:t xml:space="preserve">: - </w:t>
      </w:r>
      <w:r w:rsidRPr="00132E65">
        <w:rPr>
          <w:rtl/>
        </w:rPr>
        <w:t>« فلمّا كان</w:t>
      </w:r>
      <w:r>
        <w:rPr>
          <w:rtl/>
        </w:rPr>
        <w:t xml:space="preserve"> - </w:t>
      </w:r>
      <w:r w:rsidRPr="00132E65">
        <w:rPr>
          <w:rtl/>
        </w:rPr>
        <w:t>إلى</w:t>
      </w:r>
      <w:r>
        <w:rPr>
          <w:rtl/>
        </w:rPr>
        <w:t xml:space="preserve"> - </w:t>
      </w:r>
      <w:r w:rsidRPr="00132E65">
        <w:rPr>
          <w:rtl/>
        </w:rPr>
        <w:t>الباب »</w:t>
      </w:r>
      <w:r>
        <w:rPr>
          <w:rtl/>
        </w:rPr>
        <w:t>.</w:t>
      </w:r>
    </w:p>
    <w:tbl>
      <w:tblPr>
        <w:tblStyle w:val="TableGrid"/>
        <w:bidiVisual/>
        <w:tblW w:w="0" w:type="auto"/>
        <w:tblLook w:val="04A0" w:firstRow="1" w:lastRow="0" w:firstColumn="1" w:lastColumn="0" w:noHBand="0" w:noVBand="1"/>
      </w:tblPr>
      <w:tblGrid>
        <w:gridCol w:w="4261"/>
        <w:gridCol w:w="4262"/>
      </w:tblGrid>
      <w:tr w:rsidR="00CE4043" w:rsidTr="00CE4043">
        <w:tc>
          <w:tcPr>
            <w:tcW w:w="4261" w:type="dxa"/>
          </w:tcPr>
          <w:p w:rsidR="00CE4043" w:rsidRDefault="00CE4043" w:rsidP="000C39D1">
            <w:pPr>
              <w:pStyle w:val="libFootnote0"/>
              <w:rPr>
                <w:rtl/>
              </w:rPr>
            </w:pPr>
            <w:r>
              <w:rPr>
                <w:rtl/>
              </w:rPr>
              <w:t>(8).</w:t>
            </w:r>
            <w:r w:rsidRPr="00132E65">
              <w:rPr>
                <w:rtl/>
              </w:rPr>
              <w:t xml:space="preserve"> في « بس » : « فتتبّعتها »</w:t>
            </w:r>
            <w:r>
              <w:rPr>
                <w:rtl/>
              </w:rPr>
              <w:t>.</w:t>
            </w:r>
          </w:p>
        </w:tc>
        <w:tc>
          <w:tcPr>
            <w:tcW w:w="4262" w:type="dxa"/>
          </w:tcPr>
          <w:p w:rsidR="00CE4043" w:rsidRDefault="00CE4043" w:rsidP="000C39D1">
            <w:pPr>
              <w:pStyle w:val="libFootnote0"/>
              <w:rPr>
                <w:rtl/>
              </w:rPr>
            </w:pPr>
            <w:r>
              <w:rPr>
                <w:rtl/>
              </w:rPr>
              <w:t>(9).</w:t>
            </w:r>
            <w:r w:rsidRPr="00132E65">
              <w:rPr>
                <w:rtl/>
              </w:rPr>
              <w:t xml:space="preserve"> في « ب » : « فدخلت »</w:t>
            </w:r>
            <w:r>
              <w:rPr>
                <w:rtl/>
              </w:rPr>
              <w:t>.</w:t>
            </w:r>
          </w:p>
        </w:tc>
      </w:tr>
    </w:tbl>
    <w:p w:rsidR="000C39D1" w:rsidRPr="00132E65" w:rsidRDefault="000C39D1" w:rsidP="000C39D1">
      <w:pPr>
        <w:pStyle w:val="libFootnote0"/>
        <w:rPr>
          <w:rtl/>
          <w:lang w:bidi="fa-IR"/>
        </w:rPr>
      </w:pPr>
      <w:r>
        <w:rPr>
          <w:rtl/>
        </w:rPr>
        <w:t>(10).</w:t>
      </w:r>
      <w:r w:rsidRPr="00132E65">
        <w:rPr>
          <w:rtl/>
        </w:rPr>
        <w:t xml:space="preserve"> « الضَرْب » : المثل والشبيه ، وجمعه : ضُرُب. </w:t>
      </w:r>
      <w:r w:rsidRPr="009D1ACE">
        <w:rPr>
          <w:rStyle w:val="libFootnoteBoldChar"/>
          <w:rtl/>
        </w:rPr>
        <w:t>لسان العرب</w:t>
      </w:r>
      <w:r w:rsidRPr="00132E65">
        <w:rPr>
          <w:rtl/>
        </w:rPr>
        <w:t xml:space="preserve"> ، ج 1 ، ص 548 ( ضرب )</w:t>
      </w:r>
      <w:r>
        <w:rPr>
          <w:rtl/>
        </w:rPr>
        <w:t>.</w:t>
      </w:r>
      <w:r w:rsidRPr="00132E65">
        <w:rPr>
          <w:rtl/>
        </w:rPr>
        <w:t xml:space="preserve"> وفي </w:t>
      </w:r>
      <w:r w:rsidRPr="00F10510">
        <w:rPr>
          <w:rtl/>
        </w:rPr>
        <w:t xml:space="preserve">شرح </w:t>
      </w:r>
      <w:r w:rsidRPr="00CE4043">
        <w:rPr>
          <w:rStyle w:val="libFootnoteBoldChar"/>
          <w:rtl/>
        </w:rPr>
        <w:t>بدر الدين</w:t>
      </w:r>
      <w:r w:rsidRPr="00F10510">
        <w:rPr>
          <w:rtl/>
        </w:rPr>
        <w:t>‌</w:t>
      </w:r>
      <w:r w:rsidR="00CE4043">
        <w:rPr>
          <w:rFonts w:hint="cs"/>
          <w:rtl/>
        </w:rPr>
        <w:t xml:space="preserve"> </w:t>
      </w:r>
      <w:r w:rsidRPr="00132E65">
        <w:rPr>
          <w:rtl/>
        </w:rPr>
        <w:t>ضبطه بضمّ الأوّل والثاني جمع الضريب بمعنى المثل.</w:t>
      </w:r>
    </w:p>
    <w:p w:rsidR="000C39D1" w:rsidRPr="00132E65" w:rsidRDefault="000C39D1" w:rsidP="000C39D1">
      <w:pPr>
        <w:pStyle w:val="libFootnote0"/>
        <w:rPr>
          <w:rtl/>
          <w:lang w:bidi="fa-IR"/>
        </w:rPr>
      </w:pPr>
      <w:r>
        <w:rPr>
          <w:rtl/>
        </w:rPr>
        <w:t>(11).</w:t>
      </w:r>
      <w:r w:rsidRPr="00132E65">
        <w:rPr>
          <w:rtl/>
        </w:rPr>
        <w:t xml:space="preserve"> في « بف » </w:t>
      </w:r>
      <w:r>
        <w:rPr>
          <w:rtl/>
        </w:rPr>
        <w:t xml:space="preserve">: - </w:t>
      </w:r>
      <w:r w:rsidRPr="00132E65">
        <w:rPr>
          <w:rtl/>
        </w:rPr>
        <w:t>« هذا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اسْماً </w:t>
      </w:r>
      <w:r>
        <w:rPr>
          <w:rStyle w:val="libFootnotenumChar"/>
          <w:rtl/>
        </w:rPr>
        <w:t>(1)</w:t>
      </w:r>
      <w:r w:rsidRPr="00132E65">
        <w:rPr>
          <w:rtl/>
          <w:lang w:bidi="fa-IR"/>
        </w:rPr>
        <w:t xml:space="preserve"> مِنْ أَسْمَاءِ اللهِ تَبْلُغُ بِهِ فِي كُلِّ يَوْمٍ و</w:t>
      </w:r>
      <w:r w:rsidR="00CE4043">
        <w:rPr>
          <w:rFonts w:hint="cs"/>
          <w:rtl/>
          <w:lang w:bidi="fa-IR"/>
        </w:rPr>
        <w:t>َ</w:t>
      </w:r>
      <w:r w:rsidRPr="00132E65">
        <w:rPr>
          <w:rtl/>
          <w:lang w:bidi="fa-IR"/>
        </w:rPr>
        <w:t xml:space="preserve">لَيْلَةٍ بَيْتَ الْمَقْدِسِ </w:t>
      </w:r>
      <w:r>
        <w:rPr>
          <w:rStyle w:val="libFootnotenumChar"/>
          <w:rtl/>
        </w:rPr>
        <w:t>(2)</w:t>
      </w:r>
      <w:r w:rsidRPr="00132E65">
        <w:rPr>
          <w:rtl/>
          <w:lang w:bidi="fa-IR"/>
        </w:rPr>
        <w:t xml:space="preserve"> ، و</w:t>
      </w:r>
      <w:r w:rsidR="00CE4043">
        <w:rPr>
          <w:rFonts w:hint="cs"/>
          <w:rtl/>
          <w:lang w:bidi="fa-IR"/>
        </w:rPr>
        <w:t>َ</w:t>
      </w:r>
      <w:r w:rsidRPr="00132E65">
        <w:rPr>
          <w:rtl/>
          <w:lang w:bidi="fa-IR"/>
        </w:rPr>
        <w:t>تَرْجِعُ إِلى بَيْتِكَ</w:t>
      </w:r>
      <w:r>
        <w:rPr>
          <w:rtl/>
          <w:lang w:bidi="fa-IR"/>
        </w:rPr>
        <w:t>؟</w:t>
      </w:r>
    </w:p>
    <w:p w:rsidR="000C39D1" w:rsidRPr="00132E65" w:rsidRDefault="000C39D1" w:rsidP="000C39D1">
      <w:pPr>
        <w:pStyle w:val="libNormal"/>
        <w:rPr>
          <w:rtl/>
          <w:lang w:bidi="fa-IR"/>
        </w:rPr>
      </w:pPr>
      <w:r w:rsidRPr="00132E65">
        <w:rPr>
          <w:rtl/>
          <w:lang w:bidi="fa-IR"/>
        </w:rPr>
        <w:t>فَقَالَ لِي : و</w:t>
      </w:r>
      <w:r w:rsidR="00CE4043">
        <w:rPr>
          <w:rFonts w:hint="cs"/>
          <w:rtl/>
          <w:lang w:bidi="fa-IR"/>
        </w:rPr>
        <w:t xml:space="preserve">َ </w:t>
      </w:r>
      <w:r w:rsidRPr="00132E65">
        <w:rPr>
          <w:rtl/>
          <w:lang w:bidi="fa-IR"/>
        </w:rPr>
        <w:t xml:space="preserve">هَلْ </w:t>
      </w:r>
      <w:r>
        <w:rPr>
          <w:rStyle w:val="libFootnotenumChar"/>
          <w:rtl/>
        </w:rPr>
        <w:t>(3)</w:t>
      </w:r>
      <w:r w:rsidRPr="00132E65">
        <w:rPr>
          <w:rtl/>
          <w:lang w:bidi="fa-IR"/>
        </w:rPr>
        <w:t xml:space="preserve"> تَعْرِفُ بَيْتَ </w:t>
      </w:r>
      <w:r>
        <w:rPr>
          <w:rStyle w:val="libFootnotenumChar"/>
          <w:rtl/>
        </w:rPr>
        <w:t>(4)</w:t>
      </w:r>
      <w:r w:rsidRPr="00132E65">
        <w:rPr>
          <w:rtl/>
          <w:lang w:bidi="fa-IR"/>
        </w:rPr>
        <w:t xml:space="preserve"> الْمَقْدِسِ</w:t>
      </w:r>
      <w:r>
        <w:rPr>
          <w:rtl/>
          <w:lang w:bidi="fa-IR"/>
        </w:rPr>
        <w:t>؟</w:t>
      </w:r>
      <w:r w:rsidRPr="00132E65">
        <w:rPr>
          <w:rtl/>
          <w:lang w:bidi="fa-IR"/>
        </w:rPr>
        <w:t xml:space="preserve"> قُلْتُ </w:t>
      </w:r>
      <w:r>
        <w:rPr>
          <w:rStyle w:val="libFootnotenumChar"/>
          <w:rtl/>
        </w:rPr>
        <w:t>(5)</w:t>
      </w:r>
      <w:r w:rsidRPr="00132E65">
        <w:rPr>
          <w:rtl/>
          <w:lang w:bidi="fa-IR"/>
        </w:rPr>
        <w:t xml:space="preserve"> : لَا</w:t>
      </w:r>
      <w:r>
        <w:rPr>
          <w:rFonts w:hint="cs"/>
          <w:rtl/>
          <w:lang w:bidi="fa-IR"/>
        </w:rPr>
        <w:t xml:space="preserve"> </w:t>
      </w:r>
      <w:r w:rsidR="00CE4043">
        <w:rPr>
          <w:rtl/>
          <w:lang w:bidi="fa-IR"/>
        </w:rPr>
        <w:t>أَعْرِفُ إِل</w:t>
      </w:r>
      <w:r w:rsidR="00CE4043">
        <w:rPr>
          <w:rFonts w:hint="cs"/>
          <w:rtl/>
          <w:lang w:bidi="fa-IR"/>
        </w:rPr>
        <w:t>َّ</w:t>
      </w:r>
      <w:r w:rsidR="00CE4043">
        <w:rPr>
          <w:rtl/>
          <w:lang w:bidi="fa-IR"/>
        </w:rPr>
        <w:t>ا</w:t>
      </w:r>
      <w:r w:rsidRPr="00132E65">
        <w:rPr>
          <w:rtl/>
          <w:lang w:bidi="fa-IR"/>
        </w:rPr>
        <w:t xml:space="preserve"> بَيْتَ الْمَقْدِسِ الَّذِي بِالشَّامِ ، قَالَ </w:t>
      </w:r>
      <w:r>
        <w:rPr>
          <w:rStyle w:val="libFootnotenumChar"/>
          <w:rtl/>
        </w:rPr>
        <w:t>(6)</w:t>
      </w:r>
      <w:r w:rsidRPr="00132E65">
        <w:rPr>
          <w:rtl/>
          <w:lang w:bidi="fa-IR"/>
        </w:rPr>
        <w:t xml:space="preserve"> : لَيْسَ </w:t>
      </w:r>
      <w:r>
        <w:rPr>
          <w:rStyle w:val="libFootnotenumChar"/>
          <w:rtl/>
        </w:rPr>
        <w:t>(7)</w:t>
      </w:r>
      <w:r w:rsidRPr="00132E65">
        <w:rPr>
          <w:rtl/>
          <w:lang w:bidi="fa-IR"/>
        </w:rPr>
        <w:t xml:space="preserve"> بَيْتَ الْمَقْدِسِ ، و</w:t>
      </w:r>
      <w:r w:rsidR="00CE4043">
        <w:rPr>
          <w:rFonts w:hint="cs"/>
          <w:rtl/>
          <w:lang w:bidi="fa-IR"/>
        </w:rPr>
        <w:t>َ</w:t>
      </w:r>
      <w:r w:rsidRPr="00132E65">
        <w:rPr>
          <w:rtl/>
          <w:lang w:bidi="fa-IR"/>
        </w:rPr>
        <w:t xml:space="preserve">لكِنَّهُ الْبَيْتُ </w:t>
      </w:r>
      <w:r>
        <w:rPr>
          <w:rStyle w:val="libFootnotenumChar"/>
          <w:rtl/>
        </w:rPr>
        <w:t>(8)</w:t>
      </w:r>
      <w:r w:rsidRPr="00132E65">
        <w:rPr>
          <w:rtl/>
          <w:lang w:bidi="fa-IR"/>
        </w:rPr>
        <w:t xml:space="preserve"> الْمُقَدَّسُ و</w:t>
      </w:r>
      <w:r w:rsidR="00CE4043">
        <w:rPr>
          <w:rFonts w:hint="cs"/>
          <w:rtl/>
          <w:lang w:bidi="fa-IR"/>
        </w:rPr>
        <w:t>َ</w:t>
      </w:r>
      <w:r>
        <w:rPr>
          <w:rFonts w:hint="cs"/>
          <w:rtl/>
          <w:lang w:bidi="fa-IR"/>
        </w:rPr>
        <w:t xml:space="preserve"> </w:t>
      </w:r>
      <w:r>
        <w:rPr>
          <w:rStyle w:val="libFootnotenumChar"/>
          <w:rtl/>
        </w:rPr>
        <w:t>(9)</w:t>
      </w:r>
      <w:r w:rsidRPr="00132E65">
        <w:rPr>
          <w:rtl/>
          <w:lang w:bidi="fa-IR"/>
        </w:rPr>
        <w:t xml:space="preserve"> هُوَ بَيْتُ آلِ مُحَمَّدٍ ، فَقُلْتُ لَهُ : أَمَّا مَا سَمِعْتُ بِهِ إِلى يَوْمِي هذَا ، فَهُوَ بَيْتُ الْمَقْدِسِ ، فَقَالَ </w:t>
      </w:r>
      <w:r>
        <w:rPr>
          <w:rStyle w:val="libFootnotenumChar"/>
          <w:rtl/>
        </w:rPr>
        <w:t>(10)</w:t>
      </w:r>
      <w:r w:rsidRPr="00132E65">
        <w:rPr>
          <w:rtl/>
          <w:lang w:bidi="fa-IR"/>
        </w:rPr>
        <w:t xml:space="preserve"> لِي </w:t>
      </w:r>
      <w:r>
        <w:rPr>
          <w:rStyle w:val="libFootnotenumChar"/>
          <w:rtl/>
        </w:rPr>
        <w:t>(11)</w:t>
      </w:r>
      <w:r w:rsidRPr="00132E65">
        <w:rPr>
          <w:rtl/>
          <w:lang w:bidi="fa-IR"/>
        </w:rPr>
        <w:t xml:space="preserve"> : تِلْكَ مَحَارِيبُ </w:t>
      </w:r>
      <w:r>
        <w:rPr>
          <w:rStyle w:val="libFootnotenumChar"/>
          <w:rtl/>
        </w:rPr>
        <w:t>(12)</w:t>
      </w:r>
      <w:r w:rsidRPr="00132E65">
        <w:rPr>
          <w:rtl/>
          <w:lang w:bidi="fa-IR"/>
        </w:rPr>
        <w:t xml:space="preserve"> الْأَنْبِيَاءِ ، و</w:t>
      </w:r>
      <w:r w:rsidR="00CE4043">
        <w:rPr>
          <w:rFonts w:hint="cs"/>
          <w:rtl/>
          <w:lang w:bidi="fa-IR"/>
        </w:rPr>
        <w:t>َ</w:t>
      </w:r>
      <w:r w:rsidRPr="00132E65">
        <w:rPr>
          <w:rtl/>
          <w:lang w:bidi="fa-IR"/>
        </w:rPr>
        <w:t xml:space="preserve">إِنَّمَا كَانَ يُقَالُ لَهَا : حَظِيرَةُ </w:t>
      </w:r>
      <w:r w:rsidRPr="00F543F1">
        <w:rPr>
          <w:rStyle w:val="libFootnotenumChar"/>
          <w:rtl/>
        </w:rPr>
        <w:t>(13)</w:t>
      </w:r>
      <w:r w:rsidRPr="00132E65">
        <w:rPr>
          <w:rtl/>
          <w:lang w:bidi="fa-IR"/>
        </w:rPr>
        <w:t xml:space="preserve"> الْمَحَارِيبِ ، حَتّى جَاءَتِ الْفَتْرَةُ الَّتِي كَانَتْ بَيْنَ مُحَمَّدٍ وعِيسى صَلَّى اللهُ عَلَيْهِمَا ، و</w:t>
      </w:r>
      <w:r w:rsidR="00CE4043">
        <w:rPr>
          <w:rFonts w:hint="cs"/>
          <w:rtl/>
          <w:lang w:bidi="fa-IR"/>
        </w:rPr>
        <w:t>َ</w:t>
      </w:r>
      <w:r w:rsidRPr="00132E65">
        <w:rPr>
          <w:rtl/>
          <w:lang w:bidi="fa-IR"/>
        </w:rPr>
        <w:t xml:space="preserve">قَرُبَ </w:t>
      </w:r>
      <w:r w:rsidRPr="00F543F1">
        <w:rPr>
          <w:rStyle w:val="libFootnotenumChar"/>
          <w:rtl/>
        </w:rPr>
        <w:t>(14)</w:t>
      </w:r>
      <w:r w:rsidRPr="00132E65">
        <w:rPr>
          <w:rtl/>
          <w:lang w:bidi="fa-IR"/>
        </w:rPr>
        <w:t xml:space="preserve"> الْبَلَاءُ مِنْ أَهْلِ الشِّرْكِ ، و</w:t>
      </w:r>
      <w:r w:rsidR="00CE4043">
        <w:rPr>
          <w:rFonts w:hint="cs"/>
          <w:rtl/>
          <w:lang w:bidi="fa-IR"/>
        </w:rPr>
        <w:t>َ</w:t>
      </w:r>
      <w:r w:rsidRPr="00132E65">
        <w:rPr>
          <w:rtl/>
          <w:lang w:bidi="fa-IR"/>
        </w:rPr>
        <w:t xml:space="preserve">حَلَّتِ النَّقِمَاتُ </w:t>
      </w:r>
      <w:r w:rsidRPr="00F543F1">
        <w:rPr>
          <w:rStyle w:val="libFootnotenumChar"/>
          <w:rtl/>
        </w:rPr>
        <w:t>(15)</w:t>
      </w:r>
      <w:r w:rsidRPr="00132E65">
        <w:rPr>
          <w:rtl/>
          <w:lang w:bidi="fa-IR"/>
        </w:rPr>
        <w:t xml:space="preserve"> فِي دُورِ الشَّيَاطِينِ ، فَحَوَّلُوا و</w:t>
      </w:r>
      <w:r w:rsidR="00CE4043">
        <w:rPr>
          <w:rFonts w:hint="cs"/>
          <w:rtl/>
          <w:lang w:bidi="fa-IR"/>
        </w:rPr>
        <w:t>َ</w:t>
      </w:r>
      <w:r w:rsidRPr="00132E65">
        <w:rPr>
          <w:rtl/>
          <w:lang w:bidi="fa-IR"/>
        </w:rPr>
        <w:t>بَدَّلُوا و</w:t>
      </w:r>
      <w:r w:rsidR="00CE4043">
        <w:rPr>
          <w:rFonts w:hint="cs"/>
          <w:rtl/>
          <w:lang w:bidi="fa-IR"/>
        </w:rPr>
        <w:t>َ</w:t>
      </w:r>
      <w:r w:rsidRPr="00132E65">
        <w:rPr>
          <w:rtl/>
          <w:lang w:bidi="fa-IR"/>
        </w:rPr>
        <w:t>نَقَلُوا تِلْكَ الْأَسْمَاءَ ، وهُوَ قَوْلُ اللهِ تَبَارَكَ وَتَعَالى</w:t>
      </w:r>
      <w:r>
        <w:rPr>
          <w:rtl/>
          <w:lang w:bidi="fa-IR"/>
        </w:rPr>
        <w:t xml:space="preserve"> - </w:t>
      </w:r>
      <w:r w:rsidRPr="00132E65">
        <w:rPr>
          <w:rtl/>
          <w:lang w:bidi="fa-IR"/>
        </w:rPr>
        <w:t xml:space="preserve">الْبَطْنُ لآِلِ مُحَمَّدٍ ، والظَّهْرُ مَثَلٌ </w:t>
      </w:r>
      <w:r w:rsidRPr="00F543F1">
        <w:rPr>
          <w:rStyle w:val="libFootnotenumChar"/>
          <w:rtl/>
        </w:rPr>
        <w:t>(16)</w:t>
      </w:r>
      <w:r w:rsidRPr="00132E65">
        <w:rPr>
          <w:rtl/>
          <w:lang w:bidi="fa-IR"/>
        </w:rPr>
        <w:t xml:space="preserve"> </w:t>
      </w:r>
      <w:r>
        <w:rPr>
          <w:rtl/>
          <w:lang w:bidi="fa-IR"/>
        </w:rPr>
        <w:t>- :</w:t>
      </w:r>
      <w:r w:rsidRPr="00132E65">
        <w:rPr>
          <w:rtl/>
          <w:lang w:bidi="fa-IR"/>
        </w:rPr>
        <w:t xml:space="preserve"> </w:t>
      </w:r>
      <w:r w:rsidRPr="00071CF9">
        <w:rPr>
          <w:rStyle w:val="libAlaemChar"/>
          <w:rtl/>
        </w:rPr>
        <w:t>(</w:t>
      </w:r>
      <w:r w:rsidRPr="00071CF9">
        <w:rPr>
          <w:rStyle w:val="libAieChar"/>
          <w:rtl/>
        </w:rPr>
        <w:t xml:space="preserve"> إِنْ هِيَ إِ</w:t>
      </w:r>
      <w:r w:rsidR="0067127B">
        <w:rPr>
          <w:rStyle w:val="libAieChar"/>
          <w:rtl/>
        </w:rPr>
        <w:t>ل</w:t>
      </w:r>
      <w:r w:rsidR="0067127B">
        <w:rPr>
          <w:rStyle w:val="libAieChar"/>
          <w:rFonts w:hint="cs"/>
          <w:rtl/>
        </w:rPr>
        <w:t>َّ</w:t>
      </w:r>
      <w:r w:rsidR="0067127B">
        <w:rPr>
          <w:rStyle w:val="libAieChar"/>
          <w:rtl/>
        </w:rPr>
        <w:t>ا</w:t>
      </w:r>
      <w:r w:rsidRPr="00071CF9">
        <w:rPr>
          <w:rStyle w:val="libAieChar"/>
          <w:rtl/>
        </w:rPr>
        <w:t xml:space="preserve"> أَسْماءٌ سَمَّيْتُمُوها أَنْتُمْ وَآباؤُكُمْ</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67127B" w:rsidTr="0067127B">
        <w:tc>
          <w:tcPr>
            <w:tcW w:w="4261" w:type="dxa"/>
          </w:tcPr>
          <w:p w:rsidR="0067127B" w:rsidRDefault="0067127B" w:rsidP="000C39D1">
            <w:pPr>
              <w:pStyle w:val="libFootnote0"/>
              <w:rPr>
                <w:rtl/>
              </w:rPr>
            </w:pPr>
            <w:r>
              <w:rPr>
                <w:rtl/>
              </w:rPr>
              <w:t>(1).</w:t>
            </w:r>
            <w:r w:rsidRPr="00132E65">
              <w:rPr>
                <w:rtl/>
              </w:rPr>
              <w:t xml:space="preserve"> في « ف » : « أسماء »</w:t>
            </w:r>
            <w:r>
              <w:rPr>
                <w:rtl/>
              </w:rPr>
              <w:t>.</w:t>
            </w:r>
          </w:p>
        </w:tc>
        <w:tc>
          <w:tcPr>
            <w:tcW w:w="4262" w:type="dxa"/>
          </w:tcPr>
          <w:p w:rsidR="0067127B" w:rsidRDefault="0067127B" w:rsidP="000C39D1">
            <w:pPr>
              <w:pStyle w:val="libFootnote0"/>
              <w:rPr>
                <w:rtl/>
              </w:rPr>
            </w:pPr>
            <w:r>
              <w:rPr>
                <w:rtl/>
              </w:rPr>
              <w:t>(2). في «ف»:</w:t>
            </w:r>
            <w:r>
              <w:rPr>
                <w:rFonts w:hint="cs"/>
                <w:rtl/>
              </w:rPr>
              <w:t xml:space="preserve"> </w:t>
            </w:r>
            <w:r>
              <w:rPr>
                <w:rtl/>
              </w:rPr>
              <w:t>«المقدّس</w:t>
            </w:r>
            <w:r w:rsidRPr="00132E65">
              <w:rPr>
                <w:rtl/>
              </w:rPr>
              <w:t>» بتشديد الدال ، وكذا فيما بعد.</w:t>
            </w:r>
          </w:p>
        </w:tc>
      </w:tr>
      <w:tr w:rsidR="0067127B" w:rsidTr="0067127B">
        <w:tc>
          <w:tcPr>
            <w:tcW w:w="4261" w:type="dxa"/>
          </w:tcPr>
          <w:p w:rsidR="0067127B" w:rsidRDefault="0067127B" w:rsidP="000C39D1">
            <w:pPr>
              <w:pStyle w:val="libFootnote0"/>
              <w:rPr>
                <w:rtl/>
              </w:rPr>
            </w:pPr>
            <w:r>
              <w:rPr>
                <w:rtl/>
              </w:rPr>
              <w:t>(3).</w:t>
            </w:r>
            <w:r w:rsidRPr="00132E65">
              <w:rPr>
                <w:rtl/>
              </w:rPr>
              <w:t xml:space="preserve"> في البحار : « فهل »</w:t>
            </w:r>
            <w:r>
              <w:rPr>
                <w:rtl/>
              </w:rPr>
              <w:t>.</w:t>
            </w:r>
          </w:p>
        </w:tc>
        <w:tc>
          <w:tcPr>
            <w:tcW w:w="4262" w:type="dxa"/>
          </w:tcPr>
          <w:p w:rsidR="0067127B" w:rsidRDefault="0067127B" w:rsidP="000C39D1">
            <w:pPr>
              <w:pStyle w:val="libFootnote0"/>
              <w:rPr>
                <w:rtl/>
              </w:rPr>
            </w:pPr>
            <w:r>
              <w:rPr>
                <w:rtl/>
              </w:rPr>
              <w:t>(4).</w:t>
            </w:r>
            <w:r w:rsidRPr="00132E65">
              <w:rPr>
                <w:rtl/>
              </w:rPr>
              <w:t xml:space="preserve"> في البحار : « البيت »</w:t>
            </w:r>
            <w:r>
              <w:rPr>
                <w:rtl/>
              </w:rPr>
              <w:t>.</w:t>
            </w:r>
          </w:p>
        </w:tc>
      </w:tr>
      <w:tr w:rsidR="0067127B" w:rsidTr="0067127B">
        <w:tc>
          <w:tcPr>
            <w:tcW w:w="4261" w:type="dxa"/>
          </w:tcPr>
          <w:p w:rsidR="0067127B" w:rsidRDefault="0067127B" w:rsidP="000C39D1">
            <w:pPr>
              <w:pStyle w:val="libFootnote0"/>
              <w:rPr>
                <w:rtl/>
              </w:rPr>
            </w:pPr>
            <w:r>
              <w:rPr>
                <w:rtl/>
              </w:rPr>
              <w:t>(5).</w:t>
            </w:r>
            <w:r w:rsidRPr="00132E65">
              <w:rPr>
                <w:rtl/>
              </w:rPr>
              <w:t xml:space="preserve"> في البحار : « فقلت »</w:t>
            </w:r>
            <w:r>
              <w:rPr>
                <w:rtl/>
              </w:rPr>
              <w:t>.</w:t>
            </w:r>
          </w:p>
        </w:tc>
        <w:tc>
          <w:tcPr>
            <w:tcW w:w="4262" w:type="dxa"/>
          </w:tcPr>
          <w:p w:rsidR="0067127B" w:rsidRDefault="0067127B" w:rsidP="000C39D1">
            <w:pPr>
              <w:pStyle w:val="libFootnote0"/>
              <w:rPr>
                <w:rtl/>
              </w:rPr>
            </w:pPr>
            <w:r>
              <w:rPr>
                <w:rtl/>
              </w:rPr>
              <w:t>(6).</w:t>
            </w:r>
            <w:r w:rsidRPr="00132E65">
              <w:rPr>
                <w:rtl/>
              </w:rPr>
              <w:t xml:space="preserve"> في « ف » : « فقال لي »</w:t>
            </w:r>
            <w:r>
              <w:rPr>
                <w:rtl/>
              </w:rPr>
              <w:t>.</w:t>
            </w:r>
            <w:r w:rsidRPr="00132E65">
              <w:rPr>
                <w:rtl/>
              </w:rPr>
              <w:t xml:space="preserve"> وفي البحار : « فقال »</w:t>
            </w:r>
            <w:r>
              <w:rPr>
                <w:rtl/>
              </w:rPr>
              <w:t>.</w:t>
            </w:r>
          </w:p>
        </w:tc>
      </w:tr>
      <w:tr w:rsidR="0067127B" w:rsidTr="0067127B">
        <w:tc>
          <w:tcPr>
            <w:tcW w:w="4261" w:type="dxa"/>
          </w:tcPr>
          <w:p w:rsidR="0067127B" w:rsidRDefault="0067127B" w:rsidP="000C39D1">
            <w:pPr>
              <w:pStyle w:val="libFootnote0"/>
              <w:rPr>
                <w:rtl/>
              </w:rPr>
            </w:pPr>
            <w:r>
              <w:rPr>
                <w:rtl/>
                <w:lang w:bidi="fa-IR"/>
              </w:rPr>
              <w:t>(7).</w:t>
            </w:r>
            <w:r w:rsidRPr="00132E65">
              <w:rPr>
                <w:rtl/>
                <w:lang w:bidi="fa-IR"/>
              </w:rPr>
              <w:t xml:space="preserve"> في « ف » :</w:t>
            </w:r>
            <w:r>
              <w:rPr>
                <w:rtl/>
                <w:lang w:bidi="fa-IR"/>
              </w:rPr>
              <w:t xml:space="preserve"> + </w:t>
            </w:r>
            <w:r w:rsidRPr="00132E65">
              <w:rPr>
                <w:rtl/>
                <w:lang w:bidi="fa-IR"/>
              </w:rPr>
              <w:t>« هو »</w:t>
            </w:r>
            <w:r>
              <w:rPr>
                <w:rtl/>
                <w:lang w:bidi="fa-IR"/>
              </w:rPr>
              <w:t>.</w:t>
            </w:r>
          </w:p>
        </w:tc>
        <w:tc>
          <w:tcPr>
            <w:tcW w:w="4262" w:type="dxa"/>
          </w:tcPr>
          <w:p w:rsidR="0067127B" w:rsidRDefault="0067127B" w:rsidP="000C39D1">
            <w:pPr>
              <w:pStyle w:val="libFootnote0"/>
              <w:rPr>
                <w:rtl/>
              </w:rPr>
            </w:pPr>
            <w:r>
              <w:rPr>
                <w:rtl/>
              </w:rPr>
              <w:t>(8).</w:t>
            </w:r>
            <w:r w:rsidRPr="00132E65">
              <w:rPr>
                <w:rtl/>
              </w:rPr>
              <w:t xml:space="preserve"> في « ف » </w:t>
            </w:r>
            <w:r>
              <w:rPr>
                <w:rtl/>
              </w:rPr>
              <w:t xml:space="preserve">: - </w:t>
            </w:r>
            <w:r w:rsidRPr="00132E65">
              <w:rPr>
                <w:rtl/>
              </w:rPr>
              <w:t>« البيت »</w:t>
            </w:r>
            <w:r>
              <w:rPr>
                <w:rtl/>
              </w:rPr>
              <w:t>.</w:t>
            </w:r>
          </w:p>
        </w:tc>
      </w:tr>
    </w:tbl>
    <w:p w:rsidR="000C39D1" w:rsidRPr="00132E65" w:rsidRDefault="000C39D1" w:rsidP="000C39D1">
      <w:pPr>
        <w:pStyle w:val="libFootnote0"/>
        <w:rPr>
          <w:rtl/>
          <w:lang w:bidi="fa-IR"/>
        </w:rPr>
      </w:pPr>
      <w:r>
        <w:rPr>
          <w:rtl/>
        </w:rPr>
        <w:t>(9).</w:t>
      </w:r>
      <w:r w:rsidRPr="00132E65">
        <w:rPr>
          <w:rtl/>
        </w:rPr>
        <w:t xml:space="preserve"> في « بر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(10).</w:t>
      </w:r>
      <w:r w:rsidRPr="00132E65">
        <w:rPr>
          <w:rtl/>
        </w:rPr>
        <w:t xml:space="preserve"> في « بح » : « قال »</w:t>
      </w:r>
      <w:r>
        <w:rPr>
          <w:rtl/>
        </w:rPr>
        <w:t>.</w:t>
      </w:r>
    </w:p>
    <w:p w:rsidR="000C39D1" w:rsidRPr="00132E65" w:rsidRDefault="000C39D1" w:rsidP="000C39D1">
      <w:pPr>
        <w:pStyle w:val="libFootnote0"/>
        <w:rPr>
          <w:rtl/>
          <w:lang w:bidi="fa-IR"/>
        </w:rPr>
      </w:pPr>
      <w:r>
        <w:rPr>
          <w:rtl/>
        </w:rPr>
        <w:t>(11).</w:t>
      </w:r>
      <w:r w:rsidRPr="00132E65">
        <w:rPr>
          <w:rtl/>
        </w:rPr>
        <w:t xml:space="preserve"> في « ب »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(12).</w:t>
      </w:r>
      <w:r w:rsidR="0067127B">
        <w:rPr>
          <w:rtl/>
        </w:rPr>
        <w:t xml:space="preserve"> « الم</w:t>
      </w:r>
      <w:r w:rsidR="0067127B">
        <w:rPr>
          <w:rFonts w:hint="cs"/>
          <w:rtl/>
        </w:rPr>
        <w:t>ـَ</w:t>
      </w:r>
      <w:r w:rsidRPr="00132E65">
        <w:rPr>
          <w:rtl/>
        </w:rPr>
        <w:t>ح</w:t>
      </w:r>
      <w:r w:rsidR="0067127B">
        <w:rPr>
          <w:rtl/>
        </w:rPr>
        <w:t>اريب » : صدور المجالس ، جمع الم</w:t>
      </w:r>
      <w:r w:rsidR="0067127B">
        <w:rPr>
          <w:rFonts w:hint="cs"/>
          <w:rtl/>
        </w:rPr>
        <w:t>ـِ</w:t>
      </w:r>
      <w:r w:rsidRPr="00132E65">
        <w:rPr>
          <w:rtl/>
        </w:rPr>
        <w:t>حْراب. ومنه سمّي محراب المسجد ، وهو صدره وأشرف موضع‌</w:t>
      </w:r>
      <w:r w:rsidR="0067127B">
        <w:rPr>
          <w:rFonts w:hint="cs"/>
          <w:rtl/>
        </w:rPr>
        <w:t xml:space="preserve"> </w:t>
      </w:r>
      <w:r w:rsidRPr="00132E65">
        <w:rPr>
          <w:rtl/>
        </w:rPr>
        <w:t xml:space="preserve">فيه. ومحاريب بني إسرائيل : مساجدهم التي كانوا يجلسون فيها ، أو يجتمعون فيها للصلاة. </w:t>
      </w:r>
      <w:r w:rsidRPr="009D1ACE">
        <w:rPr>
          <w:rStyle w:val="libFootnoteBoldChar"/>
          <w:rtl/>
        </w:rPr>
        <w:t>لسان العرب</w:t>
      </w:r>
      <w:r w:rsidRPr="00132E65">
        <w:rPr>
          <w:rtl/>
        </w:rPr>
        <w:t xml:space="preserve"> ، ج 1 ، ص 305 ( حرب )</w:t>
      </w:r>
      <w:r>
        <w:rPr>
          <w:rtl/>
        </w:rPr>
        <w:t>.</w:t>
      </w:r>
    </w:p>
    <w:p w:rsidR="000C39D1" w:rsidRPr="00132E65" w:rsidRDefault="000C39D1" w:rsidP="000C39D1">
      <w:pPr>
        <w:pStyle w:val="libFootnote0"/>
        <w:rPr>
          <w:rtl/>
          <w:lang w:bidi="fa-IR"/>
        </w:rPr>
      </w:pPr>
      <w:r>
        <w:rPr>
          <w:rtl/>
        </w:rPr>
        <w:t>(13)</w:t>
      </w:r>
      <w:r w:rsidRPr="00132E65">
        <w:rPr>
          <w:rtl/>
        </w:rPr>
        <w:t xml:space="preserve"> في « بس » وحاشية « بر » : « حظرة »</w:t>
      </w:r>
      <w:r>
        <w:rPr>
          <w:rtl/>
        </w:rPr>
        <w:t>.</w:t>
      </w:r>
      <w:r w:rsidRPr="00132E65">
        <w:rPr>
          <w:rtl/>
        </w:rPr>
        <w:t xml:space="preserve"> </w:t>
      </w:r>
      <w:r>
        <w:rPr>
          <w:rtl/>
        </w:rPr>
        <w:t>و «</w:t>
      </w:r>
      <w:r w:rsidRPr="00132E65">
        <w:rPr>
          <w:rtl/>
        </w:rPr>
        <w:t xml:space="preserve"> الحَظيرةُ » في الأصل : الموضع الذي يُحاط عليه لتأوي إليه الغنم والإبل يَقيهما البردَ والريح. والحظيرة أيضاً : ما أحاط بالشي‌ء ، وهي تكون من قَصَب وخشب. راجع : </w:t>
      </w:r>
      <w:r w:rsidRPr="0067127B">
        <w:rPr>
          <w:rStyle w:val="libFootnoteBoldChar"/>
          <w:rtl/>
        </w:rPr>
        <w:t>النهاية</w:t>
      </w:r>
      <w:r w:rsidRPr="00132E65">
        <w:rPr>
          <w:rtl/>
        </w:rPr>
        <w:t xml:space="preserve"> ، ج 1 ، ص 404 ؛ </w:t>
      </w:r>
      <w:r w:rsidRPr="009D1ACE">
        <w:rPr>
          <w:rStyle w:val="libFootnoteBoldChar"/>
          <w:rtl/>
        </w:rPr>
        <w:t>لسان العرب</w:t>
      </w:r>
      <w:r w:rsidRPr="00132E65">
        <w:rPr>
          <w:rtl/>
        </w:rPr>
        <w:t xml:space="preserve"> ، ج 4 ، ص 203 ( حظر )</w:t>
      </w:r>
      <w:r>
        <w:rPr>
          <w:rtl/>
        </w:rPr>
        <w:t>.</w:t>
      </w:r>
    </w:p>
    <w:p w:rsidR="000C39D1" w:rsidRPr="00132E65" w:rsidRDefault="000C39D1" w:rsidP="000C39D1">
      <w:pPr>
        <w:pStyle w:val="libFootnote0"/>
        <w:rPr>
          <w:rtl/>
          <w:lang w:bidi="fa-IR"/>
        </w:rPr>
      </w:pPr>
      <w:r>
        <w:rPr>
          <w:rtl/>
        </w:rPr>
        <w:t>(14)</w:t>
      </w:r>
      <w:r w:rsidRPr="00132E65">
        <w:rPr>
          <w:rtl/>
        </w:rPr>
        <w:t xml:space="preserve"> في « ف » : « وأقرب »</w:t>
      </w:r>
      <w:r>
        <w:rPr>
          <w:rtl/>
        </w:rPr>
        <w:t>.</w:t>
      </w:r>
    </w:p>
    <w:p w:rsidR="000C39D1" w:rsidRPr="00132E65" w:rsidRDefault="000C39D1" w:rsidP="000C39D1">
      <w:pPr>
        <w:pStyle w:val="libFootnote0"/>
        <w:rPr>
          <w:rtl/>
          <w:lang w:bidi="fa-IR"/>
        </w:rPr>
      </w:pPr>
      <w:r>
        <w:rPr>
          <w:rtl/>
        </w:rPr>
        <w:t>(15)</w:t>
      </w:r>
      <w:r w:rsidRPr="00132E65">
        <w:rPr>
          <w:rtl/>
        </w:rPr>
        <w:t xml:space="preserve"> في </w:t>
      </w:r>
      <w:r w:rsidRPr="009D1ACE">
        <w:rPr>
          <w:rStyle w:val="libFootnoteBoldChar"/>
          <w:rtl/>
        </w:rPr>
        <w:t>مرآة العقول</w:t>
      </w:r>
      <w:r w:rsidRPr="00132E65">
        <w:rPr>
          <w:rtl/>
        </w:rPr>
        <w:t xml:space="preserve"> : « وربّما يقرأ « جلّت »</w:t>
      </w:r>
      <w:r>
        <w:rPr>
          <w:rtl/>
        </w:rPr>
        <w:t xml:space="preserve"> - </w:t>
      </w:r>
      <w:r w:rsidRPr="00132E65">
        <w:rPr>
          <w:rtl/>
        </w:rPr>
        <w:t>بالجيم</w:t>
      </w:r>
      <w:r>
        <w:rPr>
          <w:rtl/>
        </w:rPr>
        <w:t xml:space="preserve"> - و «</w:t>
      </w:r>
      <w:r w:rsidRPr="00132E65">
        <w:rPr>
          <w:rtl/>
        </w:rPr>
        <w:t xml:space="preserve"> النغمات » بالغين المعجمة ، استعيرت للشبه الباطلة والبدع‌</w:t>
      </w:r>
      <w:r w:rsidR="0067127B">
        <w:rPr>
          <w:rFonts w:hint="cs"/>
          <w:rtl/>
        </w:rPr>
        <w:t xml:space="preserve"> </w:t>
      </w:r>
      <w:r w:rsidRPr="00132E65">
        <w:rPr>
          <w:rtl/>
        </w:rPr>
        <w:t>المضلّة الناشئة عن أهل الباطل الرائجة بينهم في مدارسهم ومجامعهم »</w:t>
      </w:r>
      <w:r>
        <w:rPr>
          <w:rtl/>
        </w:rPr>
        <w:t>.</w:t>
      </w:r>
    </w:p>
    <w:p w:rsidR="000C39D1" w:rsidRPr="00132E65" w:rsidRDefault="000C39D1" w:rsidP="000C39D1">
      <w:pPr>
        <w:pStyle w:val="libFootnote0"/>
        <w:rPr>
          <w:rtl/>
          <w:lang w:bidi="fa-IR"/>
        </w:rPr>
      </w:pPr>
      <w:r>
        <w:rPr>
          <w:rtl/>
        </w:rPr>
        <w:t>(16)</w:t>
      </w:r>
      <w:r w:rsidRPr="00132E65">
        <w:rPr>
          <w:rtl/>
        </w:rPr>
        <w:t xml:space="preserve"> في </w:t>
      </w:r>
      <w:r w:rsidRPr="009D1ACE">
        <w:rPr>
          <w:rStyle w:val="libFootnoteBoldChar"/>
          <w:rtl/>
        </w:rPr>
        <w:t>مرآة العقول</w:t>
      </w:r>
      <w:r w:rsidRPr="00132E65">
        <w:rPr>
          <w:rtl/>
        </w:rPr>
        <w:t xml:space="preserve"> : « ثمّ اعلم أنّه قرأ بعضهم : « مُثُل » بضمّتين ، أي الأصنام ، وهو بعيد. وقرأ بعضهم : « مِثْل » بالكسر ، وقال : المراد أنّ الظهر والبطن جميعاً لآل محمّد في جميع الآيات مثل هذه الآية. ولعلّه أبعد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071CF9">
        <w:rPr>
          <w:rStyle w:val="libAieChar"/>
          <w:rtl/>
        </w:rPr>
        <w:t xml:space="preserve">ما أَنْزَلَ اللهُ بِها مِنْ سُلْطانٍ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فَقُلْتُ لَهُ : إِنِّي قَدْ ضَرَبْتُ </w:t>
      </w:r>
      <w:r>
        <w:rPr>
          <w:rStyle w:val="libFootnotenumChar"/>
          <w:rtl/>
        </w:rPr>
        <w:t>(2)</w:t>
      </w:r>
      <w:r w:rsidRPr="00132E65">
        <w:rPr>
          <w:rtl/>
          <w:lang w:bidi="fa-IR"/>
        </w:rPr>
        <w:t xml:space="preserve"> إِلَيْكَ مِنْ بَلَدٍ بَعِيدٍ ، تَعَرَّضْتُ </w:t>
      </w:r>
      <w:r>
        <w:rPr>
          <w:rStyle w:val="libFootnotenumChar"/>
          <w:rtl/>
        </w:rPr>
        <w:t>(3)</w:t>
      </w:r>
      <w:r w:rsidRPr="00132E65">
        <w:rPr>
          <w:rtl/>
          <w:lang w:bidi="fa-IR"/>
        </w:rPr>
        <w:t xml:space="preserve"> إِلَيْكَ بِحَاراً و</w:t>
      </w:r>
      <w:r w:rsidR="0067127B">
        <w:rPr>
          <w:rFonts w:hint="cs"/>
          <w:rtl/>
          <w:lang w:bidi="fa-IR"/>
        </w:rPr>
        <w:t>َ</w:t>
      </w:r>
      <w:r w:rsidRPr="00132E65">
        <w:rPr>
          <w:rtl/>
          <w:lang w:bidi="fa-IR"/>
        </w:rPr>
        <w:t>غُمُوماً و</w:t>
      </w:r>
      <w:r w:rsidR="0067127B">
        <w:rPr>
          <w:rFonts w:hint="cs"/>
          <w:rtl/>
          <w:lang w:bidi="fa-IR"/>
        </w:rPr>
        <w:t>َ</w:t>
      </w:r>
      <w:r w:rsidRPr="00132E65">
        <w:rPr>
          <w:rtl/>
          <w:lang w:bidi="fa-IR"/>
        </w:rPr>
        <w:t>هُمُوماً و</w:t>
      </w:r>
      <w:r w:rsidR="0067127B">
        <w:rPr>
          <w:rFonts w:hint="cs"/>
          <w:rtl/>
          <w:lang w:bidi="fa-IR"/>
        </w:rPr>
        <w:t>َ</w:t>
      </w:r>
      <w:r w:rsidRPr="00132E65">
        <w:rPr>
          <w:rtl/>
          <w:lang w:bidi="fa-IR"/>
        </w:rPr>
        <w:t>خَوْفاً ، و</w:t>
      </w:r>
      <w:r w:rsidR="0067127B">
        <w:rPr>
          <w:rFonts w:hint="cs"/>
          <w:rtl/>
          <w:lang w:bidi="fa-IR"/>
        </w:rPr>
        <w:t>َ</w:t>
      </w:r>
      <w:r w:rsidRPr="00132E65">
        <w:rPr>
          <w:rtl/>
          <w:lang w:bidi="fa-IR"/>
        </w:rPr>
        <w:t xml:space="preserve">أَصْبَحْتُ </w:t>
      </w:r>
      <w:r>
        <w:rPr>
          <w:rStyle w:val="libFootnotenumChar"/>
          <w:rtl/>
        </w:rPr>
        <w:t>(4)</w:t>
      </w:r>
      <w:r w:rsidRPr="00132E65">
        <w:rPr>
          <w:rtl/>
          <w:lang w:bidi="fa-IR"/>
        </w:rPr>
        <w:t xml:space="preserve"> و</w:t>
      </w:r>
      <w:r w:rsidR="0067127B">
        <w:rPr>
          <w:rFonts w:hint="cs"/>
          <w:rtl/>
          <w:lang w:bidi="fa-IR"/>
        </w:rPr>
        <w:t>َ</w:t>
      </w:r>
      <w:r w:rsidRPr="00132E65">
        <w:rPr>
          <w:rtl/>
          <w:lang w:bidi="fa-IR"/>
        </w:rPr>
        <w:t xml:space="preserve">أَمْسَيْتُ مُؤْيَساً </w:t>
      </w:r>
      <w:r>
        <w:rPr>
          <w:rStyle w:val="libFootnotenumChar"/>
          <w:rtl/>
        </w:rPr>
        <w:t>(5)</w:t>
      </w:r>
      <w:r w:rsidR="0067127B">
        <w:rPr>
          <w:rtl/>
          <w:lang w:bidi="fa-IR"/>
        </w:rPr>
        <w:t xml:space="preserve"> أَل</w:t>
      </w:r>
      <w:r w:rsidR="0067127B">
        <w:rPr>
          <w:rFonts w:hint="cs"/>
          <w:rtl/>
          <w:lang w:bidi="fa-IR"/>
        </w:rPr>
        <w:t>َّ</w:t>
      </w:r>
      <w:r w:rsidR="0067127B">
        <w:rPr>
          <w:rtl/>
          <w:lang w:bidi="fa-IR"/>
        </w:rPr>
        <w:t>ا</w:t>
      </w:r>
      <w:r w:rsidRPr="00132E65">
        <w:rPr>
          <w:rtl/>
          <w:lang w:bidi="fa-IR"/>
        </w:rPr>
        <w:t xml:space="preserve"> أَكُونَ </w:t>
      </w:r>
      <w:r>
        <w:rPr>
          <w:rStyle w:val="libFootnotenumChar"/>
          <w:rtl/>
        </w:rPr>
        <w:t>(6)</w:t>
      </w:r>
      <w:r w:rsidRPr="00132E65">
        <w:rPr>
          <w:rtl/>
          <w:lang w:bidi="fa-IR"/>
        </w:rPr>
        <w:t xml:space="preserve"> ظَفِرْتُ </w:t>
      </w:r>
      <w:r>
        <w:rPr>
          <w:rStyle w:val="libFootnotenumChar"/>
          <w:rtl/>
        </w:rPr>
        <w:t>(7)</w:t>
      </w:r>
      <w:r w:rsidRPr="00132E65">
        <w:rPr>
          <w:rtl/>
          <w:lang w:bidi="fa-IR"/>
        </w:rPr>
        <w:t xml:space="preserve"> بِحَاجَتِي </w:t>
      </w:r>
      <w:r>
        <w:rPr>
          <w:rStyle w:val="libFootnotenumChar"/>
          <w:rtl/>
        </w:rPr>
        <w:t>(8)</w:t>
      </w:r>
    </w:p>
    <w:p w:rsidR="000C39D1" w:rsidRPr="00132E65" w:rsidRDefault="000C39D1" w:rsidP="000C39D1">
      <w:pPr>
        <w:pStyle w:val="libNormal"/>
        <w:rPr>
          <w:rtl/>
          <w:lang w:bidi="fa-IR"/>
        </w:rPr>
      </w:pPr>
      <w:r w:rsidRPr="00132E65">
        <w:rPr>
          <w:rtl/>
          <w:lang w:bidi="fa-IR"/>
        </w:rPr>
        <w:t xml:space="preserve">فَقَالَ لِي : مَا أَرى </w:t>
      </w:r>
      <w:r>
        <w:rPr>
          <w:rStyle w:val="libFootnotenumChar"/>
          <w:rtl/>
        </w:rPr>
        <w:t>(9)</w:t>
      </w:r>
      <w:r w:rsidR="0067127B">
        <w:rPr>
          <w:rtl/>
          <w:lang w:bidi="fa-IR"/>
        </w:rPr>
        <w:t xml:space="preserve"> أُمَّكَ حَمَلَتْ بِكَ إِل</w:t>
      </w:r>
      <w:r w:rsidR="0067127B">
        <w:rPr>
          <w:rFonts w:hint="cs"/>
          <w:rtl/>
          <w:lang w:bidi="fa-IR"/>
        </w:rPr>
        <w:t>َّ</w:t>
      </w:r>
      <w:r w:rsidR="0067127B">
        <w:rPr>
          <w:rtl/>
          <w:lang w:bidi="fa-IR"/>
        </w:rPr>
        <w:t>ا</w:t>
      </w:r>
      <w:r w:rsidRPr="00132E65">
        <w:rPr>
          <w:rtl/>
          <w:lang w:bidi="fa-IR"/>
        </w:rPr>
        <w:t xml:space="preserve"> و</w:t>
      </w:r>
      <w:r w:rsidR="00433708">
        <w:rPr>
          <w:rFonts w:hint="cs"/>
          <w:rtl/>
          <w:lang w:bidi="fa-IR"/>
        </w:rPr>
        <w:t>َ</w:t>
      </w:r>
      <w:r w:rsidRPr="00132E65">
        <w:rPr>
          <w:rtl/>
          <w:lang w:bidi="fa-IR"/>
        </w:rPr>
        <w:t>قَدْ حَضَرَهَا مَلَكٌ كَرِيمٌ ، و</w:t>
      </w:r>
      <w:r w:rsidR="00433708">
        <w:rPr>
          <w:rFonts w:hint="cs"/>
          <w:rtl/>
          <w:lang w:bidi="fa-IR"/>
        </w:rPr>
        <w:t>َ</w:t>
      </w:r>
      <w:r w:rsidRPr="00132E65">
        <w:rPr>
          <w:rtl/>
          <w:lang w:bidi="fa-IR"/>
        </w:rPr>
        <w:t>لَا</w:t>
      </w:r>
      <w:r>
        <w:rPr>
          <w:rFonts w:hint="cs"/>
          <w:rtl/>
          <w:lang w:bidi="fa-IR"/>
        </w:rPr>
        <w:t xml:space="preserve"> </w:t>
      </w:r>
      <w:r w:rsidRPr="00132E65">
        <w:rPr>
          <w:rtl/>
          <w:lang w:bidi="fa-IR"/>
        </w:rPr>
        <w:t xml:space="preserve">أَعْلَمُ أَنَّ </w:t>
      </w:r>
      <w:r>
        <w:rPr>
          <w:rStyle w:val="libFootnotenumChar"/>
          <w:rtl/>
        </w:rPr>
        <w:t>(10)</w:t>
      </w:r>
      <w:r w:rsidRPr="00132E65">
        <w:rPr>
          <w:rtl/>
          <w:lang w:bidi="fa-IR"/>
        </w:rPr>
        <w:t xml:space="preserve"> أَبَاكَ حِينَ أَر</w:t>
      </w:r>
      <w:r w:rsidR="00433708">
        <w:rPr>
          <w:rtl/>
          <w:lang w:bidi="fa-IR"/>
        </w:rPr>
        <w:t>َادَ الْوُقُوعَ بِأُمِّكَ إِل</w:t>
      </w:r>
      <w:r w:rsidR="00433708">
        <w:rPr>
          <w:rFonts w:hint="cs"/>
          <w:rtl/>
          <w:lang w:bidi="fa-IR"/>
        </w:rPr>
        <w:t>َّ</w:t>
      </w:r>
      <w:r w:rsidR="00433708">
        <w:rPr>
          <w:rtl/>
          <w:lang w:bidi="fa-IR"/>
        </w:rPr>
        <w:t>ا</w:t>
      </w:r>
      <w:r w:rsidRPr="00132E65">
        <w:rPr>
          <w:rtl/>
          <w:lang w:bidi="fa-IR"/>
        </w:rPr>
        <w:t xml:space="preserve"> و</w:t>
      </w:r>
      <w:r w:rsidR="00433708">
        <w:rPr>
          <w:rFonts w:hint="cs"/>
          <w:rtl/>
          <w:lang w:bidi="fa-IR"/>
        </w:rPr>
        <w:t>َ</w:t>
      </w:r>
      <w:r w:rsidRPr="00132E65">
        <w:rPr>
          <w:rtl/>
          <w:lang w:bidi="fa-IR"/>
        </w:rPr>
        <w:t>قَدِ اغْتَسَلَ و</w:t>
      </w:r>
      <w:r w:rsidR="00433708">
        <w:rPr>
          <w:rFonts w:hint="cs"/>
          <w:rtl/>
          <w:lang w:bidi="fa-IR"/>
        </w:rPr>
        <w:t>َ</w:t>
      </w:r>
      <w:r w:rsidRPr="00132E65">
        <w:rPr>
          <w:rtl/>
          <w:lang w:bidi="fa-IR"/>
        </w:rPr>
        <w:t>جَاءَهَا عَلى طُهْرٍ ، و</w:t>
      </w:r>
      <w:r w:rsidR="00433708">
        <w:rPr>
          <w:rFonts w:hint="cs"/>
          <w:rtl/>
          <w:lang w:bidi="fa-IR"/>
        </w:rPr>
        <w:t>َ</w:t>
      </w:r>
      <w:r w:rsidRPr="00132E65">
        <w:rPr>
          <w:rtl/>
          <w:lang w:bidi="fa-IR"/>
        </w:rPr>
        <w:t>لَا</w:t>
      </w:r>
      <w:r>
        <w:rPr>
          <w:rFonts w:hint="cs"/>
          <w:rtl/>
          <w:lang w:bidi="fa-IR"/>
        </w:rPr>
        <w:t xml:space="preserve"> </w:t>
      </w:r>
      <w:r w:rsidR="00433708">
        <w:rPr>
          <w:rtl/>
          <w:lang w:bidi="fa-IR"/>
        </w:rPr>
        <w:t>أَزْعُمُ إِل</w:t>
      </w:r>
      <w:r w:rsidR="00433708">
        <w:rPr>
          <w:rFonts w:hint="cs"/>
          <w:rtl/>
          <w:lang w:bidi="fa-IR"/>
        </w:rPr>
        <w:t>َّ</w:t>
      </w:r>
      <w:r w:rsidR="00433708">
        <w:rPr>
          <w:rtl/>
          <w:lang w:bidi="fa-IR"/>
        </w:rPr>
        <w:t>ا</w:t>
      </w:r>
      <w:r w:rsidRPr="00132E65">
        <w:rPr>
          <w:rtl/>
          <w:lang w:bidi="fa-IR"/>
        </w:rPr>
        <w:t xml:space="preserve"> أَنَّهُ قَدْ </w:t>
      </w:r>
      <w:r>
        <w:rPr>
          <w:rStyle w:val="libFootnotenumChar"/>
          <w:rtl/>
        </w:rPr>
        <w:t>(11)</w:t>
      </w:r>
      <w:r w:rsidRPr="00132E65">
        <w:rPr>
          <w:rtl/>
          <w:lang w:bidi="fa-IR"/>
        </w:rPr>
        <w:t xml:space="preserve"> كَانَ دَرَسَ السِّفْرَ الرَّابِعَ مِنْ سَهَرِهِ </w:t>
      </w:r>
      <w:r>
        <w:rPr>
          <w:rStyle w:val="libFootnotenumChar"/>
          <w:rtl/>
        </w:rPr>
        <w:t>(12)</w:t>
      </w:r>
      <w:r w:rsidRPr="00132E65">
        <w:rPr>
          <w:rtl/>
          <w:lang w:bidi="fa-IR"/>
        </w:rPr>
        <w:t xml:space="preserve"> ذلِكَ ، فَخُتِمَ لَهُ </w:t>
      </w:r>
      <w:r w:rsidRPr="00F543F1">
        <w:rPr>
          <w:rStyle w:val="libFootnotenumChar"/>
          <w:rtl/>
        </w:rPr>
        <w:t>(13)</w:t>
      </w:r>
      <w:r w:rsidRPr="00132E65">
        <w:rPr>
          <w:rtl/>
          <w:lang w:bidi="fa-IR"/>
        </w:rPr>
        <w:t xml:space="preserve"> بِخَيْرٍ </w:t>
      </w:r>
      <w:r w:rsidRPr="00F543F1">
        <w:rPr>
          <w:rStyle w:val="libFootnotenumChar"/>
          <w:rtl/>
        </w:rPr>
        <w:t>(14)</w:t>
      </w:r>
      <w:r w:rsidRPr="00132E65">
        <w:rPr>
          <w:rtl/>
          <w:lang w:bidi="fa-IR"/>
        </w:rPr>
        <w:t xml:space="preserve"> ، ارْجِعْ مِنْ حَيْثُ جِئْتَ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النجم (53) : 23.</w:t>
      </w:r>
    </w:p>
    <w:p w:rsidR="000C39D1" w:rsidRPr="00132E65" w:rsidRDefault="000C39D1" w:rsidP="000C39D1">
      <w:pPr>
        <w:pStyle w:val="libFootnote0"/>
        <w:rPr>
          <w:rtl/>
          <w:lang w:bidi="fa-IR"/>
        </w:rPr>
      </w:pPr>
      <w:r>
        <w:rPr>
          <w:rtl/>
        </w:rPr>
        <w:t>(2).</w:t>
      </w:r>
      <w:r w:rsidRPr="00132E65">
        <w:rPr>
          <w:rtl/>
        </w:rPr>
        <w:t xml:space="preserve"> « ضربتُ » أي سافرتُ. يقال : ضَرَبْتُ في الأرض ، إذا سافرت تبتغي الرزق. راجع : </w:t>
      </w:r>
      <w:r w:rsidRPr="009D1ACE">
        <w:rPr>
          <w:rStyle w:val="libFootnoteBoldChar"/>
          <w:rtl/>
        </w:rPr>
        <w:t>لسان العرب</w:t>
      </w:r>
      <w:r w:rsidRPr="00132E65">
        <w:rPr>
          <w:rtl/>
        </w:rPr>
        <w:t xml:space="preserve"> ، ج 1 ، ص 545 ( ضرب )</w:t>
      </w:r>
      <w:r>
        <w:rPr>
          <w:rtl/>
        </w:rPr>
        <w:t>.</w:t>
      </w:r>
    </w:p>
    <w:p w:rsidR="000C39D1" w:rsidRPr="00132E65" w:rsidRDefault="000C39D1" w:rsidP="000C39D1">
      <w:pPr>
        <w:pStyle w:val="libFootnote0"/>
        <w:rPr>
          <w:rtl/>
          <w:lang w:bidi="fa-IR"/>
        </w:rPr>
      </w:pPr>
      <w:r>
        <w:rPr>
          <w:rtl/>
        </w:rPr>
        <w:t>(3).</w:t>
      </w:r>
      <w:r w:rsidRPr="00132E65">
        <w:rPr>
          <w:rtl/>
        </w:rPr>
        <w:t xml:space="preserve"> « تعرّضتُ » ، أي تصدّيت وطلبتُ. راجع : </w:t>
      </w:r>
      <w:r w:rsidRPr="00EC7C15">
        <w:rPr>
          <w:rStyle w:val="libFootnoteBoldChar"/>
          <w:rtl/>
        </w:rPr>
        <w:t>المصباح المنير</w:t>
      </w:r>
      <w:r w:rsidRPr="00132E65">
        <w:rPr>
          <w:rtl/>
        </w:rPr>
        <w:t xml:space="preserve"> ، ص 404 ( عرض )</w:t>
      </w:r>
      <w:r>
        <w:rPr>
          <w:rtl/>
        </w:rPr>
        <w:t>.</w:t>
      </w:r>
    </w:p>
    <w:p w:rsidR="000C39D1" w:rsidRPr="00132E65" w:rsidRDefault="000C39D1" w:rsidP="000C39D1">
      <w:pPr>
        <w:pStyle w:val="libFootnote0"/>
        <w:rPr>
          <w:rtl/>
          <w:lang w:bidi="fa-IR"/>
        </w:rPr>
      </w:pPr>
      <w:r>
        <w:rPr>
          <w:rtl/>
        </w:rPr>
        <w:t>(4).</w:t>
      </w:r>
      <w:r w:rsidRPr="00132E65">
        <w:rPr>
          <w:rtl/>
        </w:rPr>
        <w:t xml:space="preserve"> في « ف » : « فأصبحت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 وربّما يقرأ « مويساً » بفتح الميم وكسر الواو ، من الويس ، بالفتح ، كرب الفقر ونحوه. </w:t>
      </w:r>
      <w:r>
        <w:rPr>
          <w:rtl/>
        </w:rPr>
        <w:t>و «</w:t>
      </w:r>
      <w:r w:rsidRPr="00132E65">
        <w:rPr>
          <w:rtl/>
        </w:rPr>
        <w:t xml:space="preserve"> أن لا » بالفتح ، مفعول له. ولا يخفى ما فيه »</w:t>
      </w:r>
      <w:r>
        <w:rPr>
          <w:rtl/>
        </w:rPr>
        <w:t>.</w:t>
      </w:r>
    </w:p>
    <w:p w:rsidR="000C39D1" w:rsidRPr="00132E65" w:rsidRDefault="000C39D1" w:rsidP="00EC7C15">
      <w:pPr>
        <w:pStyle w:val="libFootnote0"/>
        <w:rPr>
          <w:rtl/>
          <w:lang w:bidi="fa-IR"/>
        </w:rPr>
      </w:pPr>
      <w:r>
        <w:rPr>
          <w:rtl/>
        </w:rPr>
        <w:t>(6).</w:t>
      </w:r>
      <w:r w:rsidR="00EC7C15">
        <w:rPr>
          <w:rtl/>
        </w:rPr>
        <w:t xml:space="preserve"> قوله : « مؤيساً أل</w:t>
      </w:r>
      <w:r w:rsidR="00EC7C15">
        <w:rPr>
          <w:rFonts w:hint="cs"/>
          <w:rtl/>
        </w:rPr>
        <w:t>ّ</w:t>
      </w:r>
      <w:r w:rsidR="00EC7C15">
        <w:rPr>
          <w:rtl/>
        </w:rPr>
        <w:t>ا</w:t>
      </w:r>
      <w:r w:rsidRPr="00132E65">
        <w:rPr>
          <w:rtl/>
        </w:rPr>
        <w:t xml:space="preserve"> أكون »</w:t>
      </w:r>
      <w:r>
        <w:rPr>
          <w:rtl/>
        </w:rPr>
        <w:t>.</w:t>
      </w:r>
      <w:r w:rsidRPr="00132E65">
        <w:rPr>
          <w:rtl/>
        </w:rPr>
        <w:t xml:space="preserve"> يحتمل وجهي</w:t>
      </w:r>
      <w:r w:rsidR="00EC7C15">
        <w:rPr>
          <w:rtl/>
        </w:rPr>
        <w:t>ن : أن يكون من قبيل : أسألك إل</w:t>
      </w:r>
      <w:r w:rsidR="00EC7C15">
        <w:rPr>
          <w:rFonts w:hint="cs"/>
          <w:rtl/>
        </w:rPr>
        <w:t>ّ</w:t>
      </w:r>
      <w:r w:rsidR="00EC7C15">
        <w:rPr>
          <w:rtl/>
        </w:rPr>
        <w:t>ا</w:t>
      </w:r>
      <w:r w:rsidR="00EC7C15">
        <w:rPr>
          <w:rFonts w:hint="cs"/>
          <w:rtl/>
        </w:rPr>
        <w:t xml:space="preserve"> </w:t>
      </w:r>
      <w:r w:rsidRPr="00132E65">
        <w:rPr>
          <w:rtl/>
        </w:rPr>
        <w:t xml:space="preserve">فعلت كذا ، أي كنت في جميع الأحوال مؤيساً إلاّوقت الظفر بحاجتي. أو يكون « ألاّ » مركّباً من « أن » </w:t>
      </w:r>
      <w:r>
        <w:rPr>
          <w:rtl/>
        </w:rPr>
        <w:t>و «</w:t>
      </w:r>
      <w:r w:rsidRPr="00132E65">
        <w:rPr>
          <w:rtl/>
        </w:rPr>
        <w:t xml:space="preserve"> لا » متعلّقاً</w:t>
      </w:r>
      <w:r>
        <w:rPr>
          <w:rtl/>
        </w:rPr>
        <w:t xml:space="preserve"> ب- «</w:t>
      </w:r>
      <w:r w:rsidRPr="00132E65">
        <w:rPr>
          <w:rtl/>
        </w:rPr>
        <w:t xml:space="preserve"> مؤيساً » مفعولاً له ، على تضمين معنى الخوف ، أي خائفاً من أن أكون ظفرت بحاجتي »</w:t>
      </w:r>
      <w:r>
        <w:rPr>
          <w:rtl/>
        </w:rPr>
        <w:t>.</w:t>
      </w:r>
      <w:r w:rsidRPr="00132E65">
        <w:rPr>
          <w:rtl/>
        </w:rPr>
        <w:t xml:space="preserve"> راجع : </w:t>
      </w:r>
      <w:r w:rsidRPr="00EC7C15">
        <w:rPr>
          <w:rStyle w:val="libFootnoteBoldChar"/>
          <w:rtl/>
        </w:rPr>
        <w:t>شرح المازندراني</w:t>
      </w:r>
      <w:r w:rsidRPr="00132E65">
        <w:rPr>
          <w:rtl/>
        </w:rPr>
        <w:t xml:space="preserve"> ، ج 7 ، ص 26 ؛ </w:t>
      </w:r>
      <w:r w:rsidRPr="009D1ACE">
        <w:rPr>
          <w:rStyle w:val="libFootnoteBoldChar"/>
          <w:rtl/>
        </w:rPr>
        <w:t>مرآة العقول</w:t>
      </w:r>
      <w:r w:rsidRPr="00132E65">
        <w:rPr>
          <w:rtl/>
        </w:rPr>
        <w:t xml:space="preserve"> ، ج 6 ، ص 61.</w:t>
      </w:r>
      <w:r w:rsidR="00EC7C15">
        <w:rPr>
          <w:rFonts w:hint="cs"/>
          <w:rtl/>
        </w:rPr>
        <w:t xml:space="preserve">                                           </w:t>
      </w:r>
      <w:r w:rsidR="003915A6">
        <w:rPr>
          <w:rFonts w:hint="cs"/>
          <w:rtl/>
        </w:rPr>
        <w:t xml:space="preserve"> </w:t>
      </w:r>
      <w:r w:rsidR="00EC7C15">
        <w:rPr>
          <w:rFonts w:hint="cs"/>
          <w:rtl/>
        </w:rPr>
        <w:t xml:space="preserve">        </w:t>
      </w:r>
      <w:r>
        <w:rPr>
          <w:rtl/>
        </w:rPr>
        <w:t>(7).</w:t>
      </w:r>
      <w:r w:rsidRPr="00132E65">
        <w:rPr>
          <w:rtl/>
        </w:rPr>
        <w:t xml:space="preserve"> في « بر » : « اظّفرت »</w:t>
      </w:r>
      <w:r>
        <w:rPr>
          <w:rtl/>
        </w:rPr>
        <w:t>.</w:t>
      </w:r>
    </w:p>
    <w:tbl>
      <w:tblPr>
        <w:tblStyle w:val="TableGrid"/>
        <w:bidiVisual/>
        <w:tblW w:w="0" w:type="auto"/>
        <w:tblLook w:val="04A0" w:firstRow="1" w:lastRow="0" w:firstColumn="1" w:lastColumn="0" w:noHBand="0" w:noVBand="1"/>
      </w:tblPr>
      <w:tblGrid>
        <w:gridCol w:w="4261"/>
        <w:gridCol w:w="4262"/>
      </w:tblGrid>
      <w:tr w:rsidR="00EC7C15" w:rsidTr="00EC7C15">
        <w:tc>
          <w:tcPr>
            <w:tcW w:w="4261" w:type="dxa"/>
          </w:tcPr>
          <w:p w:rsidR="00EC7C15" w:rsidRDefault="00EC7C15" w:rsidP="000C39D1">
            <w:pPr>
              <w:pStyle w:val="libFootnote0"/>
              <w:rPr>
                <w:rtl/>
              </w:rPr>
            </w:pPr>
            <w:r>
              <w:rPr>
                <w:rtl/>
              </w:rPr>
              <w:t>(8).</w:t>
            </w:r>
            <w:r w:rsidRPr="00132E65">
              <w:rPr>
                <w:rtl/>
              </w:rPr>
              <w:t xml:space="preserve"> في « ف » </w:t>
            </w:r>
            <w:r>
              <w:rPr>
                <w:rtl/>
              </w:rPr>
              <w:t xml:space="preserve">: - </w:t>
            </w:r>
            <w:r w:rsidRPr="00132E65">
              <w:rPr>
                <w:rtl/>
              </w:rPr>
              <w:t>« بحاجتي »</w:t>
            </w:r>
            <w:r>
              <w:rPr>
                <w:rtl/>
              </w:rPr>
              <w:t>.</w:t>
            </w:r>
          </w:p>
        </w:tc>
        <w:tc>
          <w:tcPr>
            <w:tcW w:w="4262" w:type="dxa"/>
          </w:tcPr>
          <w:p w:rsidR="00EC7C15" w:rsidRDefault="00EC7C15" w:rsidP="000C39D1">
            <w:pPr>
              <w:pStyle w:val="libFootnote0"/>
              <w:rPr>
                <w:rtl/>
              </w:rPr>
            </w:pPr>
            <w:r>
              <w:rPr>
                <w:rtl/>
              </w:rPr>
              <w:t>(9).</w:t>
            </w:r>
            <w:r w:rsidRPr="00132E65">
              <w:rPr>
                <w:rtl/>
              </w:rPr>
              <w:t xml:space="preserve"> في حاشية « ض » : « ما أدري »</w:t>
            </w:r>
            <w:r>
              <w:rPr>
                <w:rtl/>
              </w:rPr>
              <w:t>.</w:t>
            </w:r>
          </w:p>
        </w:tc>
      </w:tr>
    </w:tbl>
    <w:p w:rsidR="000C39D1" w:rsidRPr="00132E65" w:rsidRDefault="000C39D1" w:rsidP="00EC7C15">
      <w:pPr>
        <w:pStyle w:val="libFootnote0"/>
        <w:rPr>
          <w:rtl/>
          <w:lang w:bidi="fa-IR"/>
        </w:rPr>
      </w:pPr>
      <w:r>
        <w:rPr>
          <w:rtl/>
        </w:rPr>
        <w:t>(10).</w:t>
      </w:r>
      <w:r w:rsidRPr="00132E65">
        <w:rPr>
          <w:rtl/>
        </w:rPr>
        <w:t xml:space="preserve"> « أنّ » تشبه الزائد. قال في </w:t>
      </w:r>
      <w:r w:rsidRPr="009D1ACE">
        <w:rPr>
          <w:rStyle w:val="libFootnoteBoldChar"/>
          <w:rtl/>
        </w:rPr>
        <w:t>مرآة العقول</w:t>
      </w:r>
      <w:r w:rsidRPr="00132E65">
        <w:rPr>
          <w:rtl/>
        </w:rPr>
        <w:t xml:space="preserve"> : « قوله : ولا أعلم أنّ أباك ، لعلّه زيدت كلمة « أنّ » من النسّاخ ، والظاهر عدمها. وعلى تقديرها كان تقدير الكلام : ولا أعلم أنّ أباك حين أراد الوقوع با</w:t>
      </w:r>
      <w:r w:rsidR="00EC7C15">
        <w:rPr>
          <w:rFonts w:hint="cs"/>
          <w:rtl/>
        </w:rPr>
        <w:t>ُ</w:t>
      </w:r>
      <w:r w:rsidRPr="00132E65">
        <w:rPr>
          <w:rtl/>
        </w:rPr>
        <w:t xml:space="preserve">مّك فعل فعلاً غير الاغتسال ، أو كان على حال غير حال الاغتسال. وقيل : « أباك » اسم « أنّ » </w:t>
      </w:r>
      <w:r>
        <w:rPr>
          <w:rtl/>
        </w:rPr>
        <w:t>و «</w:t>
      </w:r>
      <w:r w:rsidRPr="00132E65">
        <w:rPr>
          <w:rtl/>
        </w:rPr>
        <w:t xml:space="preserve"> حين » منصوب بالظرفيّة ، مضاف إلى الجملة ، والظرف خبر أنّ »</w:t>
      </w:r>
      <w:r>
        <w:rPr>
          <w:rtl/>
        </w:rPr>
        <w:t>.</w:t>
      </w:r>
      <w:r w:rsidR="00EC7C15">
        <w:rPr>
          <w:rFonts w:hint="cs"/>
          <w:rtl/>
        </w:rPr>
        <w:t xml:space="preserve">                                                  </w:t>
      </w:r>
      <w:r>
        <w:rPr>
          <w:rtl/>
        </w:rPr>
        <w:t>(11).</w:t>
      </w:r>
      <w:r w:rsidRPr="00132E65">
        <w:rPr>
          <w:rtl/>
        </w:rPr>
        <w:t xml:space="preserve"> في البحار </w:t>
      </w:r>
      <w:r>
        <w:rPr>
          <w:rtl/>
        </w:rPr>
        <w:t xml:space="preserve">: - </w:t>
      </w:r>
      <w:r w:rsidRPr="00132E65">
        <w:rPr>
          <w:rtl/>
        </w:rPr>
        <w:t>« قد »</w:t>
      </w:r>
      <w:r>
        <w:rPr>
          <w:rtl/>
        </w:rPr>
        <w:t>.</w:t>
      </w:r>
    </w:p>
    <w:p w:rsidR="000C39D1" w:rsidRPr="00132E65" w:rsidRDefault="000C39D1" w:rsidP="000C39D1">
      <w:pPr>
        <w:pStyle w:val="libFootnote0"/>
        <w:rPr>
          <w:rtl/>
          <w:lang w:bidi="fa-IR"/>
        </w:rPr>
      </w:pPr>
      <w:r>
        <w:rPr>
          <w:rtl/>
        </w:rPr>
        <w:t>(12).</w:t>
      </w:r>
      <w:r w:rsidRPr="00132E65">
        <w:rPr>
          <w:rtl/>
        </w:rPr>
        <w:t xml:space="preserve"> هكذا في « ض ، بس »</w:t>
      </w:r>
      <w:r>
        <w:rPr>
          <w:rtl/>
        </w:rPr>
        <w:t>.</w:t>
      </w:r>
      <w:r w:rsidRPr="00132E65">
        <w:rPr>
          <w:rtl/>
        </w:rPr>
        <w:t xml:space="preserve"> وفي « ب ، ج ، ف ، بح ، بر ، بف » وحاشية « ض » </w:t>
      </w:r>
      <w:r w:rsidRPr="00EC7C15">
        <w:rPr>
          <w:rtl/>
        </w:rPr>
        <w:t>والوافي</w:t>
      </w:r>
      <w:r w:rsidRPr="00132E65">
        <w:rPr>
          <w:rtl/>
        </w:rPr>
        <w:t xml:space="preserve"> وشرح المازندراني : « شهره » ، أي شهر الذي وقع با</w:t>
      </w:r>
      <w:r w:rsidR="00EC7C15">
        <w:rPr>
          <w:rFonts w:hint="cs"/>
          <w:rtl/>
        </w:rPr>
        <w:t>ُ</w:t>
      </w:r>
      <w:r w:rsidRPr="00132E65">
        <w:rPr>
          <w:rtl/>
        </w:rPr>
        <w:t>مّك. قال الما</w:t>
      </w:r>
      <w:r w:rsidR="00EC7C15">
        <w:rPr>
          <w:rtl/>
        </w:rPr>
        <w:t>زندراني : « قوله : ولا أزعم إل</w:t>
      </w:r>
      <w:r w:rsidR="00EC7C15">
        <w:rPr>
          <w:rFonts w:hint="cs"/>
          <w:rtl/>
        </w:rPr>
        <w:t>ّ</w:t>
      </w:r>
      <w:r w:rsidR="00EC7C15">
        <w:rPr>
          <w:rtl/>
        </w:rPr>
        <w:t>ا</w:t>
      </w:r>
      <w:r>
        <w:rPr>
          <w:rFonts w:hint="cs"/>
          <w:rtl/>
        </w:rPr>
        <w:t xml:space="preserve"> </w:t>
      </w:r>
      <w:r w:rsidRPr="00132E65">
        <w:rPr>
          <w:rtl/>
        </w:rPr>
        <w:t>أنّه قد كان درس</w:t>
      </w:r>
      <w:r>
        <w:rPr>
          <w:rtl/>
        </w:rPr>
        <w:t xml:space="preserve"> - </w:t>
      </w:r>
      <w:r w:rsidRPr="00132E65">
        <w:rPr>
          <w:rtl/>
        </w:rPr>
        <w:t>أي قرأ</w:t>
      </w:r>
      <w:r>
        <w:rPr>
          <w:rtl/>
        </w:rPr>
        <w:t xml:space="preserve"> - </w:t>
      </w:r>
      <w:r w:rsidRPr="00132E65">
        <w:rPr>
          <w:rtl/>
        </w:rPr>
        <w:t>السفر الرابع في شهر الإيقاع »</w:t>
      </w:r>
      <w:r>
        <w:rPr>
          <w:rtl/>
        </w:rPr>
        <w:t>.</w:t>
      </w:r>
      <w:r w:rsidRPr="00132E65">
        <w:rPr>
          <w:rtl/>
        </w:rPr>
        <w:t xml:space="preserve"> وجعل في المرآة المهملة أظهر من المعجمة. وفي المطبوع : « سحره » بالحاء المهملة ، وهو سهو.</w:t>
      </w:r>
    </w:p>
    <w:tbl>
      <w:tblPr>
        <w:tblStyle w:val="TableGrid"/>
        <w:bidiVisual/>
        <w:tblW w:w="0" w:type="auto"/>
        <w:tblLook w:val="04A0" w:firstRow="1" w:lastRow="0" w:firstColumn="1" w:lastColumn="0" w:noHBand="0" w:noVBand="1"/>
      </w:tblPr>
      <w:tblGrid>
        <w:gridCol w:w="4261"/>
        <w:gridCol w:w="4262"/>
      </w:tblGrid>
      <w:tr w:rsidR="00EC7C15" w:rsidTr="00EC7C15">
        <w:tc>
          <w:tcPr>
            <w:tcW w:w="4261" w:type="dxa"/>
          </w:tcPr>
          <w:p w:rsidR="00EC7C15" w:rsidRDefault="00EC7C15" w:rsidP="000C39D1">
            <w:pPr>
              <w:pStyle w:val="libFootnote0"/>
              <w:rPr>
                <w:rtl/>
              </w:rPr>
            </w:pPr>
            <w:r>
              <w:rPr>
                <w:rtl/>
              </w:rPr>
              <w:t>(13)</w:t>
            </w:r>
            <w:r w:rsidRPr="00132E65">
              <w:rPr>
                <w:rtl/>
              </w:rPr>
              <w:t xml:space="preserve"> في «</w:t>
            </w:r>
            <w:r>
              <w:rPr>
                <w:rtl/>
              </w:rPr>
              <w:t>ف ، بح ، بف» وحاشية «ج » : «لك</w:t>
            </w:r>
            <w:r w:rsidRPr="00132E65">
              <w:rPr>
                <w:rtl/>
              </w:rPr>
              <w:t>»</w:t>
            </w:r>
            <w:r>
              <w:rPr>
                <w:rtl/>
              </w:rPr>
              <w:t>.</w:t>
            </w:r>
          </w:p>
        </w:tc>
        <w:tc>
          <w:tcPr>
            <w:tcW w:w="4262" w:type="dxa"/>
          </w:tcPr>
          <w:p w:rsidR="00EC7C15" w:rsidRDefault="00EC7C15" w:rsidP="000C39D1">
            <w:pPr>
              <w:pStyle w:val="libFootnote0"/>
              <w:rPr>
                <w:rtl/>
              </w:rPr>
            </w:pPr>
            <w:r>
              <w:rPr>
                <w:rtl/>
              </w:rPr>
              <w:t>(14)</w:t>
            </w:r>
            <w:r w:rsidRPr="00132E65">
              <w:rPr>
                <w:rtl/>
              </w:rPr>
              <w:t xml:space="preserve"> في « ف » : « ذلك »</w:t>
            </w:r>
            <w:r>
              <w:rPr>
                <w:rtl/>
              </w:rPr>
              <w:t>.</w:t>
            </w:r>
          </w:p>
        </w:tc>
      </w:tr>
    </w:tbl>
    <w:p w:rsidR="000C39D1" w:rsidRPr="00132E65" w:rsidRDefault="000C39D1" w:rsidP="000C39D1">
      <w:pPr>
        <w:pStyle w:val="libFootnote0"/>
        <w:rPr>
          <w:rtl/>
          <w:lang w:bidi="fa-IR"/>
        </w:rPr>
      </w:pPr>
      <w:r>
        <w:rPr>
          <w:rtl/>
        </w:rPr>
        <w:t>(15)</w:t>
      </w:r>
      <w:r w:rsidRPr="00132E65">
        <w:rPr>
          <w:rtl/>
        </w:rPr>
        <w:t xml:space="preserve"> في « ب ، ف ، بر » </w:t>
      </w:r>
      <w:r w:rsidRPr="00EC7C15">
        <w:rPr>
          <w:rtl/>
        </w:rPr>
        <w:t>والوافي</w:t>
      </w:r>
      <w:r w:rsidRPr="00132E65">
        <w:rPr>
          <w:rtl/>
        </w:rPr>
        <w:t xml:space="preserve"> : « شئت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فَانْطَلِقْ حَتّى تَنْزِلَ مَدِينَةَ مُحَمَّدٍ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 xml:space="preserve">الَّتِي يُقَالُ لَهَا : طَيْبَةُ </w:t>
      </w:r>
      <w:r>
        <w:rPr>
          <w:rStyle w:val="libFootnotenumChar"/>
          <w:rtl/>
        </w:rPr>
        <w:t>(1)</w:t>
      </w:r>
      <w:r w:rsidRPr="00132E65">
        <w:rPr>
          <w:rtl/>
          <w:lang w:bidi="fa-IR"/>
        </w:rPr>
        <w:t xml:space="preserve"> ، و</w:t>
      </w:r>
      <w:r>
        <w:rPr>
          <w:rFonts w:hint="cs"/>
          <w:rtl/>
          <w:lang w:bidi="fa-IR"/>
        </w:rPr>
        <w:t xml:space="preserve"> </w:t>
      </w:r>
      <w:r>
        <w:rPr>
          <w:rStyle w:val="libFootnotenumChar"/>
          <w:rtl/>
        </w:rPr>
        <w:t>(2)</w:t>
      </w:r>
      <w:r w:rsidRPr="00132E65">
        <w:rPr>
          <w:rtl/>
          <w:lang w:bidi="fa-IR"/>
        </w:rPr>
        <w:t xml:space="preserve"> قَدْ كَانَ اسْمُهَا فِي الْجَاهِلِيَّةِ يَثْرِبَ</w:t>
      </w:r>
      <w:r>
        <w:rPr>
          <w:rtl/>
          <w:lang w:bidi="fa-IR"/>
        </w:rPr>
        <w:t xml:space="preserve"> - </w:t>
      </w:r>
      <w:r w:rsidRPr="00132E65">
        <w:rPr>
          <w:rtl/>
          <w:lang w:bidi="fa-IR"/>
        </w:rPr>
        <w:t xml:space="preserve">ثُمَّ اعْمِدْ </w:t>
      </w:r>
      <w:r>
        <w:rPr>
          <w:rStyle w:val="libFootnotenumChar"/>
          <w:rtl/>
        </w:rPr>
        <w:t>(3)</w:t>
      </w:r>
      <w:r w:rsidRPr="00132E65">
        <w:rPr>
          <w:rtl/>
          <w:lang w:bidi="fa-IR"/>
        </w:rPr>
        <w:t xml:space="preserve"> إِلى مَوْضِعٍ مِنْهَا يُقَالُ لَهُ : الْبَقِيعُ ، ثُمَّ سَلْ </w:t>
      </w:r>
      <w:r>
        <w:rPr>
          <w:rStyle w:val="libFootnotenumChar"/>
          <w:rtl/>
        </w:rPr>
        <w:t>(4)</w:t>
      </w:r>
      <w:r w:rsidRPr="00132E65">
        <w:rPr>
          <w:rtl/>
          <w:lang w:bidi="fa-IR"/>
        </w:rPr>
        <w:t xml:space="preserve"> عَنْ </w:t>
      </w:r>
      <w:r>
        <w:rPr>
          <w:rStyle w:val="libFootnotenumChar"/>
          <w:rtl/>
        </w:rPr>
        <w:t>(5)</w:t>
      </w:r>
      <w:r w:rsidRPr="00132E65">
        <w:rPr>
          <w:rtl/>
          <w:lang w:bidi="fa-IR"/>
        </w:rPr>
        <w:t xml:space="preserve"> دَارٍ يُقَالُ لَهَا : دَارُ مَرْوَانَ ، فَانْزِلْهَا ، و</w:t>
      </w:r>
      <w:r w:rsidR="00EC7C15">
        <w:rPr>
          <w:rFonts w:hint="cs"/>
          <w:rtl/>
          <w:lang w:bidi="fa-IR"/>
        </w:rPr>
        <w:t>َ</w:t>
      </w:r>
      <w:r w:rsidRPr="00132E65">
        <w:rPr>
          <w:rtl/>
          <w:lang w:bidi="fa-IR"/>
        </w:rPr>
        <w:t xml:space="preserve">أَقِمْ </w:t>
      </w:r>
      <w:r>
        <w:rPr>
          <w:rStyle w:val="libFootnotenumChar"/>
          <w:rtl/>
        </w:rPr>
        <w:t>(6)</w:t>
      </w:r>
      <w:r w:rsidRPr="00132E65">
        <w:rPr>
          <w:rtl/>
          <w:lang w:bidi="fa-IR"/>
        </w:rPr>
        <w:t xml:space="preserve"> ثَلَاثاً ، ثُمَّ سَلْ عَنِ </w:t>
      </w:r>
      <w:r>
        <w:rPr>
          <w:rStyle w:val="libFootnotenumChar"/>
          <w:rtl/>
        </w:rPr>
        <w:t>(7)</w:t>
      </w:r>
      <w:r w:rsidRPr="00132E65">
        <w:rPr>
          <w:rtl/>
          <w:lang w:bidi="fa-IR"/>
        </w:rPr>
        <w:t xml:space="preserve"> الشَّيْخِ الْأَسْوَدِ الَّذِي يَكُونُ عَلى بَابِهَا ، يَعْمَلُ الْبَوَارِيَّ ، وهِيَ فِي بِلَادِهِمُ اسْمُهَا الْخَصَفُ ، فَالْطُفْ </w:t>
      </w:r>
      <w:r>
        <w:rPr>
          <w:rStyle w:val="libFootnotenumChar"/>
          <w:rtl/>
        </w:rPr>
        <w:t>(8)</w:t>
      </w:r>
      <w:r w:rsidRPr="00132E65">
        <w:rPr>
          <w:rtl/>
          <w:lang w:bidi="fa-IR"/>
        </w:rPr>
        <w:t xml:space="preserve"> بِالشَّيْخِ </w:t>
      </w:r>
      <w:r>
        <w:rPr>
          <w:rStyle w:val="libFootnotenumChar"/>
          <w:rtl/>
        </w:rPr>
        <w:t>(9)</w:t>
      </w:r>
      <w:r w:rsidRPr="00132E65">
        <w:rPr>
          <w:rtl/>
          <w:lang w:bidi="fa-IR"/>
        </w:rPr>
        <w:t xml:space="preserve"> ، وقُلْ لَهُ :</w:t>
      </w:r>
      <w:r>
        <w:rPr>
          <w:rFonts w:hint="cs"/>
          <w:rtl/>
          <w:lang w:bidi="fa-IR"/>
        </w:rPr>
        <w:t xml:space="preserve"> </w:t>
      </w:r>
      <w:r w:rsidRPr="00132E65">
        <w:rPr>
          <w:rtl/>
          <w:lang w:bidi="fa-IR"/>
        </w:rPr>
        <w:t xml:space="preserve">بَعَثَنِي إِلَيْكَ نَزِيلُكَ الَّذِي كَانَ </w:t>
      </w:r>
      <w:r>
        <w:rPr>
          <w:rStyle w:val="libFootnotenumChar"/>
          <w:rtl/>
        </w:rPr>
        <w:t>(10)</w:t>
      </w:r>
      <w:r w:rsidRPr="00132E65">
        <w:rPr>
          <w:rtl/>
          <w:lang w:bidi="fa-IR"/>
        </w:rPr>
        <w:t xml:space="preserve"> يَنْزِلُ فِي الزَّاوِيَةِ فِي الْبَيْتِ الَّذِي فِيهِ الْخُشَيْبَاتُ </w:t>
      </w:r>
      <w:r>
        <w:rPr>
          <w:rStyle w:val="libFootnotenumChar"/>
          <w:rtl/>
        </w:rPr>
        <w:t>(11)</w:t>
      </w:r>
      <w:r w:rsidRPr="00132E65">
        <w:rPr>
          <w:rtl/>
          <w:lang w:bidi="fa-IR"/>
        </w:rPr>
        <w:t xml:space="preserve"> الْأَرْبَعُ ، ثُمَّ سَلْهُ عَنْ فُلَانِ بْنِ فُلَانٍ </w:t>
      </w:r>
      <w:r>
        <w:rPr>
          <w:rStyle w:val="libFootnotenumChar"/>
          <w:rtl/>
        </w:rPr>
        <w:t>(12)</w:t>
      </w:r>
      <w:r w:rsidRPr="00132E65">
        <w:rPr>
          <w:rtl/>
          <w:lang w:bidi="fa-IR"/>
        </w:rPr>
        <w:t xml:space="preserve"> الْفُلَانِيِّ ، و</w:t>
      </w:r>
      <w:r w:rsidR="00EC7C15">
        <w:rPr>
          <w:rFonts w:hint="cs"/>
          <w:rtl/>
          <w:lang w:bidi="fa-IR"/>
        </w:rPr>
        <w:t>َ</w:t>
      </w:r>
      <w:r w:rsidRPr="00132E65">
        <w:rPr>
          <w:rtl/>
          <w:lang w:bidi="fa-IR"/>
        </w:rPr>
        <w:t xml:space="preserve">سَلْهُ : أَيْنَ نَادِيهِ </w:t>
      </w:r>
      <w:r w:rsidRPr="00F543F1">
        <w:rPr>
          <w:rStyle w:val="libFootnotenumChar"/>
          <w:rtl/>
        </w:rPr>
        <w:t>(13)</w:t>
      </w:r>
      <w:r>
        <w:rPr>
          <w:rtl/>
          <w:lang w:bidi="fa-IR"/>
        </w:rPr>
        <w:t>؟</w:t>
      </w:r>
      <w:r w:rsidRPr="00132E65">
        <w:rPr>
          <w:rtl/>
          <w:lang w:bidi="fa-IR"/>
        </w:rPr>
        <w:t xml:space="preserve"> و</w:t>
      </w:r>
      <w:r w:rsidR="00EC7C15">
        <w:rPr>
          <w:rFonts w:hint="cs"/>
          <w:rtl/>
          <w:lang w:bidi="fa-IR"/>
        </w:rPr>
        <w:t>َ</w:t>
      </w:r>
      <w:r w:rsidRPr="00132E65">
        <w:rPr>
          <w:rtl/>
          <w:lang w:bidi="fa-IR"/>
        </w:rPr>
        <w:t>سَلْهُ : أَيُّ سَاعَةٍ يَمُرُّ فِيهَا</w:t>
      </w:r>
      <w:r>
        <w:rPr>
          <w:rtl/>
          <w:lang w:bidi="fa-IR"/>
        </w:rPr>
        <w:t>؟</w:t>
      </w:r>
      <w:r>
        <w:rPr>
          <w:rFonts w:hint="cs"/>
          <w:rtl/>
          <w:lang w:bidi="fa-IR"/>
        </w:rPr>
        <w:t xml:space="preserve"> </w:t>
      </w:r>
      <w:r w:rsidRPr="00132E65">
        <w:rPr>
          <w:rtl/>
          <w:lang w:bidi="fa-IR"/>
        </w:rPr>
        <w:t xml:space="preserve">فَلَيُرِيكَاهُ </w:t>
      </w:r>
      <w:r w:rsidRPr="00F543F1">
        <w:rPr>
          <w:rStyle w:val="libFootnotenumChar"/>
          <w:rtl/>
        </w:rPr>
        <w:t>(14)</w:t>
      </w:r>
      <w:r w:rsidRPr="00132E65">
        <w:rPr>
          <w:rtl/>
          <w:lang w:bidi="fa-IR"/>
        </w:rPr>
        <w:t xml:space="preserve"> أَوْ يَصِفُهُ لَكَ ، فَتَعْرِفُهُ بِالصِّفَةِ ، وسَأَصِفُهُ لَكَ.</w:t>
      </w:r>
    </w:p>
    <w:p w:rsidR="000C39D1" w:rsidRPr="00132E65" w:rsidRDefault="000C39D1" w:rsidP="000C39D1">
      <w:pPr>
        <w:pStyle w:val="libNormal"/>
        <w:rPr>
          <w:rtl/>
          <w:lang w:bidi="fa-IR"/>
        </w:rPr>
      </w:pPr>
      <w:r w:rsidRPr="00132E65">
        <w:rPr>
          <w:rtl/>
          <w:lang w:bidi="fa-IR"/>
        </w:rPr>
        <w:t>قُلْتُ : فَإِذَا لَقِيتُهُ فَأَصْنَعُ مَا ذَا</w:t>
      </w:r>
      <w:r>
        <w:rPr>
          <w:rtl/>
          <w:lang w:bidi="fa-IR"/>
        </w:rPr>
        <w:t>؟</w:t>
      </w:r>
      <w:r w:rsidRPr="00132E65">
        <w:rPr>
          <w:rtl/>
          <w:lang w:bidi="fa-IR"/>
        </w:rPr>
        <w:t xml:space="preserve"> قَالَ </w:t>
      </w:r>
      <w:r w:rsidRPr="00F543F1">
        <w:rPr>
          <w:rStyle w:val="libFootnotenumChar"/>
          <w:rtl/>
        </w:rPr>
        <w:t>(15)</w:t>
      </w:r>
      <w:r w:rsidRPr="00132E65">
        <w:rPr>
          <w:rtl/>
          <w:lang w:bidi="fa-IR"/>
        </w:rPr>
        <w:t xml:space="preserve"> : سَلْهُ عَمَّا كَانَ ، و</w:t>
      </w:r>
      <w:r w:rsidR="00C61739">
        <w:rPr>
          <w:rFonts w:hint="cs"/>
          <w:rtl/>
          <w:lang w:bidi="fa-IR"/>
        </w:rPr>
        <w:t>َ</w:t>
      </w:r>
      <w:r w:rsidRPr="00132E65">
        <w:rPr>
          <w:rtl/>
          <w:lang w:bidi="fa-IR"/>
        </w:rPr>
        <w:t>عَمَّا هُوَ كَائِنٌ ، و</w:t>
      </w:r>
      <w:r w:rsidR="00C61739">
        <w:rPr>
          <w:rFonts w:hint="cs"/>
          <w:rtl/>
          <w:lang w:bidi="fa-IR"/>
        </w:rPr>
        <w:t>َ</w:t>
      </w:r>
      <w:r w:rsidRPr="00132E65">
        <w:rPr>
          <w:rtl/>
          <w:lang w:bidi="fa-IR"/>
        </w:rPr>
        <w:t>سَلْهُ عَنْ مَعَالِمِ دِينِ مَنْ مَضى ومَنْ بَقِيَ.</w:t>
      </w:r>
    </w:p>
    <w:p w:rsidR="000C39D1" w:rsidRPr="00132E65" w:rsidRDefault="000C39D1" w:rsidP="000C39D1">
      <w:pPr>
        <w:pStyle w:val="libNormal"/>
        <w:rPr>
          <w:rtl/>
          <w:lang w:bidi="fa-IR"/>
        </w:rPr>
      </w:pPr>
      <w:r w:rsidRPr="00132E65">
        <w:rPr>
          <w:rtl/>
          <w:lang w:bidi="fa-IR"/>
        </w:rPr>
        <w:t xml:space="preserve">فَقَالَ لَهُ </w:t>
      </w:r>
      <w:r w:rsidRPr="00F543F1">
        <w:rPr>
          <w:rStyle w:val="libFootnotenumChar"/>
          <w:rtl/>
        </w:rPr>
        <w:t>(16)</w:t>
      </w:r>
      <w:r w:rsidRPr="00132E65">
        <w:rPr>
          <w:rtl/>
          <w:lang w:bidi="fa-IR"/>
        </w:rPr>
        <w:t xml:space="preserve"> أَبُو إِبْرَاهِيمَ </w:t>
      </w:r>
      <w:r w:rsidRPr="00071CF9">
        <w:rPr>
          <w:rStyle w:val="libAlaemChar"/>
          <w:rtl/>
        </w:rPr>
        <w:t>عليه‌السلام</w:t>
      </w:r>
      <w:r w:rsidRPr="00132E65">
        <w:rPr>
          <w:rtl/>
          <w:lang w:bidi="fa-IR"/>
        </w:rPr>
        <w:t xml:space="preserve"> : « قَدْ نَصَحَكَ صَاحِبُكَ الَّذِي لَقِيتَ »</w:t>
      </w:r>
      <w:r>
        <w:rPr>
          <w:rtl/>
          <w:lang w:bidi="fa-IR"/>
        </w:rPr>
        <w:t>.</w:t>
      </w:r>
    </w:p>
    <w:p w:rsidR="000C39D1" w:rsidRPr="00132E65" w:rsidRDefault="000C39D1" w:rsidP="000C39D1">
      <w:pPr>
        <w:pStyle w:val="libNormal"/>
        <w:rPr>
          <w:rtl/>
          <w:lang w:bidi="fa-IR"/>
        </w:rPr>
      </w:pPr>
      <w:r w:rsidRPr="00132E65">
        <w:rPr>
          <w:rtl/>
          <w:lang w:bidi="fa-IR"/>
        </w:rPr>
        <w:t>فَقَالَ الرَّاهِبُ : مَا اسْمُهُ جُعِلْتُ فِدَاكَ</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كان اسمُ المدينة يثربَ ، والثرب : الفساد ، فنهى النبيّ </w:t>
      </w:r>
      <w:r w:rsidRPr="00C61739">
        <w:rPr>
          <w:rStyle w:val="libFootnoteAlaemChar"/>
          <w:rFonts w:eastAsiaTheme="minorHAnsi"/>
          <w:rtl/>
        </w:rPr>
        <w:t>صلى‌الله‌عليه‌وآله</w:t>
      </w:r>
      <w:r w:rsidRPr="00132E65">
        <w:rPr>
          <w:rtl/>
          <w:lang w:bidi="fa-IR"/>
        </w:rPr>
        <w:t xml:space="preserve"> </w:t>
      </w:r>
      <w:r w:rsidRPr="00132E65">
        <w:rPr>
          <w:rtl/>
        </w:rPr>
        <w:t xml:space="preserve">أن تسمّى به وسمّاها طَيْبَةً وطابةً ، وهما تأنيث طَيْب‌وطابٍ بمعنى الطيب. وقيل : هو من الطيّب بمعنى الطاهر ؛ لخلوصها من الشرك وتطهيرها منه. راجع : </w:t>
      </w:r>
      <w:r w:rsidRPr="00C61739">
        <w:rPr>
          <w:rStyle w:val="libFootnoteBoldChar"/>
          <w:rtl/>
        </w:rPr>
        <w:t>النهاية</w:t>
      </w:r>
      <w:r w:rsidRPr="00132E65">
        <w:rPr>
          <w:rtl/>
        </w:rPr>
        <w:t xml:space="preserve"> </w:t>
      </w:r>
      <w:r w:rsidR="00C61739">
        <w:rPr>
          <w:rtl/>
        </w:rPr>
        <w:t>، ج 3 ، ص 149 (</w:t>
      </w:r>
      <w:r w:rsidRPr="00132E65">
        <w:rPr>
          <w:rtl/>
        </w:rPr>
        <w:t>طيب )</w:t>
      </w:r>
      <w:r>
        <w:rPr>
          <w:rtl/>
        </w:rPr>
        <w:t>.</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w:t>
      </w:r>
      <w:r>
        <w:rPr>
          <w:rtl/>
        </w:rPr>
        <w:t xml:space="preserve"> و ».</w:t>
      </w:r>
    </w:p>
    <w:p w:rsidR="000C39D1" w:rsidRPr="00132E65" w:rsidRDefault="000C39D1" w:rsidP="00C61739">
      <w:pPr>
        <w:pStyle w:val="libFootnote0"/>
        <w:rPr>
          <w:rtl/>
          <w:lang w:bidi="fa-IR"/>
        </w:rPr>
      </w:pPr>
      <w:r>
        <w:rPr>
          <w:rtl/>
        </w:rPr>
        <w:t>(3).</w:t>
      </w:r>
      <w:r w:rsidRPr="00132E65">
        <w:rPr>
          <w:rtl/>
        </w:rPr>
        <w:t xml:space="preserve"> « اعمد » ، أي اقْصُدْ. يقال : عَمَدَه يَعْمِدُهُ ، و</w:t>
      </w:r>
      <w:r w:rsidR="00C61739">
        <w:rPr>
          <w:rFonts w:hint="cs"/>
          <w:rtl/>
        </w:rPr>
        <w:t>َ</w:t>
      </w:r>
      <w:r w:rsidRPr="00132E65">
        <w:rPr>
          <w:rtl/>
        </w:rPr>
        <w:t xml:space="preserve">عَمَدَ إليه وله ، وتعمّده وتعمّد له ، واعتمده ، أي قصده. راجع : </w:t>
      </w:r>
      <w:r w:rsidRPr="00C61739">
        <w:rPr>
          <w:rStyle w:val="libFootnoteBoldChar"/>
          <w:rtl/>
        </w:rPr>
        <w:t>لسان</w:t>
      </w:r>
      <w:r w:rsidR="00C61739">
        <w:rPr>
          <w:rStyle w:val="libFootnoteBoldChar"/>
          <w:rFonts w:hint="cs"/>
          <w:rtl/>
        </w:rPr>
        <w:t xml:space="preserve"> </w:t>
      </w:r>
      <w:r w:rsidRPr="00C61739">
        <w:rPr>
          <w:rStyle w:val="libFootnoteBoldChar"/>
          <w:rtl/>
        </w:rPr>
        <w:t>‌العرب</w:t>
      </w:r>
      <w:r w:rsidRPr="00132E65">
        <w:rPr>
          <w:rtl/>
        </w:rPr>
        <w:t xml:space="preserve"> ، ج 3 ، ص 302 ( عمد )</w:t>
      </w:r>
      <w:r>
        <w:rPr>
          <w:rtl/>
        </w:rPr>
        <w:t>.</w:t>
      </w:r>
      <w:r w:rsidR="00C61739">
        <w:rPr>
          <w:rFonts w:hint="cs"/>
          <w:rtl/>
        </w:rPr>
        <w:t xml:space="preserve">                   </w:t>
      </w:r>
      <w:r>
        <w:rPr>
          <w:rtl/>
        </w:rPr>
        <w:t>(4).</w:t>
      </w:r>
      <w:r w:rsidRPr="00132E65">
        <w:rPr>
          <w:rtl/>
        </w:rPr>
        <w:t xml:space="preserve"> في « ج » : « اسأل »</w:t>
      </w:r>
      <w:r>
        <w:rPr>
          <w:rtl/>
        </w:rPr>
        <w:t>.</w:t>
      </w:r>
    </w:p>
    <w:tbl>
      <w:tblPr>
        <w:tblStyle w:val="TableGrid"/>
        <w:bidiVisual/>
        <w:tblW w:w="0" w:type="auto"/>
        <w:tblLook w:val="04A0" w:firstRow="1" w:lastRow="0" w:firstColumn="1" w:lastColumn="0" w:noHBand="0" w:noVBand="1"/>
      </w:tblPr>
      <w:tblGrid>
        <w:gridCol w:w="4261"/>
        <w:gridCol w:w="4262"/>
      </w:tblGrid>
      <w:tr w:rsidR="00C61739" w:rsidTr="00C61739">
        <w:tc>
          <w:tcPr>
            <w:tcW w:w="4261" w:type="dxa"/>
          </w:tcPr>
          <w:p w:rsidR="00C61739" w:rsidRDefault="00C61739" w:rsidP="000C39D1">
            <w:pPr>
              <w:pStyle w:val="libFootnote0"/>
              <w:rPr>
                <w:rtl/>
              </w:rPr>
            </w:pPr>
            <w:r>
              <w:rPr>
                <w:rtl/>
              </w:rPr>
              <w:t>(5).</w:t>
            </w:r>
            <w:r w:rsidRPr="00132E65">
              <w:rPr>
                <w:rtl/>
              </w:rPr>
              <w:t xml:space="preserve"> في </w:t>
            </w:r>
            <w:r w:rsidRPr="00C61739">
              <w:rPr>
                <w:rtl/>
              </w:rPr>
              <w:t>الوافي</w:t>
            </w:r>
            <w:r w:rsidRPr="00132E65">
              <w:rPr>
                <w:rtl/>
              </w:rPr>
              <w:t xml:space="preserve"> </w:t>
            </w:r>
            <w:r>
              <w:rPr>
                <w:rtl/>
              </w:rPr>
              <w:t xml:space="preserve">: - </w:t>
            </w:r>
            <w:r w:rsidRPr="00132E65">
              <w:rPr>
                <w:rtl/>
              </w:rPr>
              <w:t>« عن »</w:t>
            </w:r>
            <w:r>
              <w:rPr>
                <w:rtl/>
              </w:rPr>
              <w:t>.</w:t>
            </w:r>
          </w:p>
        </w:tc>
        <w:tc>
          <w:tcPr>
            <w:tcW w:w="4262" w:type="dxa"/>
          </w:tcPr>
          <w:p w:rsidR="00C61739" w:rsidRDefault="00C61739" w:rsidP="000C39D1">
            <w:pPr>
              <w:pStyle w:val="libFootnote0"/>
              <w:rPr>
                <w:rtl/>
              </w:rPr>
            </w:pPr>
            <w:r>
              <w:rPr>
                <w:rtl/>
              </w:rPr>
              <w:t>(6).</w:t>
            </w:r>
            <w:r w:rsidRPr="00132E65">
              <w:rPr>
                <w:rtl/>
              </w:rPr>
              <w:t xml:space="preserve"> في « ب ، ض » :</w:t>
            </w:r>
            <w:r>
              <w:rPr>
                <w:rtl/>
              </w:rPr>
              <w:t xml:space="preserve"> + </w:t>
            </w:r>
            <w:r w:rsidRPr="00132E65">
              <w:rPr>
                <w:rtl/>
              </w:rPr>
              <w:t>« بها »</w:t>
            </w:r>
            <w:r>
              <w:rPr>
                <w:rtl/>
              </w:rPr>
              <w:t>.</w:t>
            </w:r>
          </w:p>
        </w:tc>
      </w:tr>
      <w:tr w:rsidR="00C61739" w:rsidTr="00C61739">
        <w:tc>
          <w:tcPr>
            <w:tcW w:w="4261" w:type="dxa"/>
          </w:tcPr>
          <w:p w:rsidR="00C61739" w:rsidRDefault="00C61739" w:rsidP="000C39D1">
            <w:pPr>
              <w:pStyle w:val="libFootnote0"/>
              <w:rPr>
                <w:rtl/>
              </w:rPr>
            </w:pPr>
            <w:r>
              <w:rPr>
                <w:rtl/>
              </w:rPr>
              <w:t>(7).</w:t>
            </w:r>
            <w:r w:rsidRPr="00132E65">
              <w:rPr>
                <w:rtl/>
              </w:rPr>
              <w:t xml:space="preserve"> في « ج ، ض ، ف ، بح ، بس » </w:t>
            </w:r>
            <w:r>
              <w:rPr>
                <w:rtl/>
              </w:rPr>
              <w:t xml:space="preserve">: - </w:t>
            </w:r>
            <w:r w:rsidRPr="00132E65">
              <w:rPr>
                <w:rtl/>
              </w:rPr>
              <w:t>« عن »</w:t>
            </w:r>
            <w:r>
              <w:rPr>
                <w:rtl/>
              </w:rPr>
              <w:t>.</w:t>
            </w:r>
          </w:p>
        </w:tc>
        <w:tc>
          <w:tcPr>
            <w:tcW w:w="4262" w:type="dxa"/>
          </w:tcPr>
          <w:p w:rsidR="00C61739" w:rsidRDefault="00C61739" w:rsidP="000C39D1">
            <w:pPr>
              <w:pStyle w:val="libFootnote0"/>
              <w:rPr>
                <w:rtl/>
              </w:rPr>
            </w:pPr>
            <w:r>
              <w:rPr>
                <w:rtl/>
              </w:rPr>
              <w:t>(8).</w:t>
            </w:r>
            <w:r w:rsidRPr="00132E65">
              <w:rPr>
                <w:rtl/>
              </w:rPr>
              <w:t xml:space="preserve"> في البحار : « فتلطف »</w:t>
            </w:r>
            <w:r>
              <w:rPr>
                <w:rtl/>
              </w:rPr>
              <w:t>.</w:t>
            </w:r>
          </w:p>
        </w:tc>
      </w:tr>
    </w:tbl>
    <w:p w:rsidR="000C39D1" w:rsidRPr="00132E65" w:rsidRDefault="000C39D1" w:rsidP="000C39D1">
      <w:pPr>
        <w:pStyle w:val="libFootnote0"/>
        <w:rPr>
          <w:rtl/>
          <w:lang w:bidi="fa-IR"/>
        </w:rPr>
      </w:pPr>
      <w:r>
        <w:rPr>
          <w:rtl/>
        </w:rPr>
        <w:t>(9).</w:t>
      </w:r>
      <w:r w:rsidRPr="00132E65">
        <w:rPr>
          <w:rtl/>
        </w:rPr>
        <w:t xml:space="preserve"> في « بح » : « الشيخ »</w:t>
      </w:r>
      <w:r>
        <w:rPr>
          <w:rtl/>
        </w:rPr>
        <w:t>.</w:t>
      </w:r>
      <w:r w:rsidRPr="00132E65">
        <w:rPr>
          <w:rtl/>
        </w:rPr>
        <w:t xml:space="preserve"> وفي « بف » </w:t>
      </w:r>
      <w:r w:rsidRPr="00C61739">
        <w:rPr>
          <w:rtl/>
        </w:rPr>
        <w:t>والوافي</w:t>
      </w:r>
      <w:r w:rsidRPr="00132E65">
        <w:rPr>
          <w:rtl/>
        </w:rPr>
        <w:t xml:space="preserve"> : « للشيخ »</w:t>
      </w:r>
      <w:r>
        <w:rPr>
          <w:rtl/>
        </w:rPr>
        <w:t>.</w:t>
      </w:r>
    </w:p>
    <w:tbl>
      <w:tblPr>
        <w:tblStyle w:val="TableGrid"/>
        <w:bidiVisual/>
        <w:tblW w:w="0" w:type="auto"/>
        <w:tblLook w:val="04A0" w:firstRow="1" w:lastRow="0" w:firstColumn="1" w:lastColumn="0" w:noHBand="0" w:noVBand="1"/>
      </w:tblPr>
      <w:tblGrid>
        <w:gridCol w:w="4261"/>
        <w:gridCol w:w="4262"/>
      </w:tblGrid>
      <w:tr w:rsidR="00C61739" w:rsidTr="00C61739">
        <w:tc>
          <w:tcPr>
            <w:tcW w:w="4261" w:type="dxa"/>
          </w:tcPr>
          <w:p w:rsidR="00C61739" w:rsidRDefault="00C61739" w:rsidP="000C39D1">
            <w:pPr>
              <w:pStyle w:val="libFootnote0"/>
              <w:rPr>
                <w:rtl/>
              </w:rPr>
            </w:pPr>
            <w:r>
              <w:rPr>
                <w:rtl/>
              </w:rPr>
              <w:t>(10).</w:t>
            </w:r>
            <w:r w:rsidRPr="00132E65">
              <w:rPr>
                <w:rtl/>
              </w:rPr>
              <w:t xml:space="preserve"> في « ج » </w:t>
            </w:r>
            <w:r>
              <w:rPr>
                <w:rtl/>
              </w:rPr>
              <w:t xml:space="preserve">: - </w:t>
            </w:r>
            <w:r w:rsidRPr="00132E65">
              <w:rPr>
                <w:rtl/>
              </w:rPr>
              <w:t>« كان »</w:t>
            </w:r>
            <w:r>
              <w:rPr>
                <w:rtl/>
              </w:rPr>
              <w:t>.</w:t>
            </w:r>
          </w:p>
        </w:tc>
        <w:tc>
          <w:tcPr>
            <w:tcW w:w="4262" w:type="dxa"/>
          </w:tcPr>
          <w:p w:rsidR="00C61739" w:rsidRDefault="00C61739" w:rsidP="000C39D1">
            <w:pPr>
              <w:pStyle w:val="libFootnote0"/>
              <w:rPr>
                <w:rtl/>
              </w:rPr>
            </w:pPr>
            <w:r>
              <w:rPr>
                <w:rtl/>
              </w:rPr>
              <w:t>(11).</w:t>
            </w:r>
            <w:r w:rsidRPr="00132E65">
              <w:rPr>
                <w:rtl/>
              </w:rPr>
              <w:t xml:space="preserve"> في « ف ، بس » : « الخشبات »</w:t>
            </w:r>
            <w:r>
              <w:rPr>
                <w:rtl/>
              </w:rPr>
              <w:t>.</w:t>
            </w:r>
          </w:p>
        </w:tc>
      </w:tr>
    </w:tbl>
    <w:p w:rsidR="000C39D1" w:rsidRPr="00132E65" w:rsidRDefault="000C39D1" w:rsidP="000C39D1">
      <w:pPr>
        <w:pStyle w:val="libFootnote0"/>
        <w:rPr>
          <w:rtl/>
          <w:lang w:bidi="fa-IR"/>
        </w:rPr>
      </w:pPr>
      <w:r>
        <w:rPr>
          <w:rtl/>
        </w:rPr>
        <w:t>(12).</w:t>
      </w:r>
      <w:r w:rsidRPr="00132E65">
        <w:rPr>
          <w:rtl/>
        </w:rPr>
        <w:t xml:space="preserve"> في « ف » :</w:t>
      </w:r>
      <w:r>
        <w:rPr>
          <w:rtl/>
        </w:rPr>
        <w:t xml:space="preserve"> + </w:t>
      </w:r>
      <w:r w:rsidRPr="00132E65">
        <w:rPr>
          <w:rtl/>
        </w:rPr>
        <w:t>« بن »</w:t>
      </w:r>
      <w:r>
        <w:rPr>
          <w:rtl/>
        </w:rPr>
        <w:t>.</w:t>
      </w:r>
    </w:p>
    <w:p w:rsidR="000C39D1" w:rsidRPr="00132E65" w:rsidRDefault="000C39D1" w:rsidP="00C61739">
      <w:pPr>
        <w:pStyle w:val="libFootnote0"/>
        <w:rPr>
          <w:rtl/>
          <w:lang w:bidi="fa-IR"/>
        </w:rPr>
      </w:pPr>
      <w:r>
        <w:rPr>
          <w:rtl/>
        </w:rPr>
        <w:t>(13)</w:t>
      </w:r>
      <w:r w:rsidRPr="00132E65">
        <w:rPr>
          <w:rtl/>
        </w:rPr>
        <w:t xml:space="preserve"> « النادي »</w:t>
      </w:r>
      <w:r>
        <w:rPr>
          <w:rtl/>
        </w:rPr>
        <w:t>.</w:t>
      </w:r>
      <w:r w:rsidRPr="00132E65">
        <w:rPr>
          <w:rtl/>
        </w:rPr>
        <w:t xml:space="preserve"> مجتمع القوم ومجلسهم ومتحدَّثهم ، وأهل المجلس ، فيقع على المجلس وأهله. راجع : </w:t>
      </w:r>
      <w:r w:rsidRPr="00C61739">
        <w:rPr>
          <w:rStyle w:val="libFootnoteBoldChar"/>
          <w:rtl/>
        </w:rPr>
        <w:t>الصحاح</w:t>
      </w:r>
      <w:r w:rsidRPr="00132E65">
        <w:rPr>
          <w:rtl/>
        </w:rPr>
        <w:t xml:space="preserve"> ، ج 6 ، ص 2505 ؛ </w:t>
      </w:r>
      <w:r w:rsidRPr="00C61739">
        <w:rPr>
          <w:rStyle w:val="libFootnoteBoldChar"/>
          <w:rtl/>
        </w:rPr>
        <w:t>النهاية</w:t>
      </w:r>
      <w:r w:rsidRPr="00132E65">
        <w:rPr>
          <w:rtl/>
        </w:rPr>
        <w:t xml:space="preserve"> ، ج 5 ، ص 36 ( ندا )</w:t>
      </w:r>
      <w:r>
        <w:rPr>
          <w:rtl/>
        </w:rPr>
        <w:t>.</w:t>
      </w:r>
      <w:r w:rsidR="00C61739">
        <w:rPr>
          <w:rFonts w:hint="cs"/>
          <w:rtl/>
        </w:rPr>
        <w:t xml:space="preserve">                   </w:t>
      </w:r>
      <w:r>
        <w:rPr>
          <w:rtl/>
        </w:rPr>
        <w:t>(14)</w:t>
      </w:r>
      <w:r w:rsidR="00C61739">
        <w:rPr>
          <w:rFonts w:hint="cs"/>
          <w:rtl/>
        </w:rPr>
        <w:t>.</w:t>
      </w:r>
      <w:r w:rsidR="00C61739">
        <w:rPr>
          <w:rtl/>
        </w:rPr>
        <w:t xml:space="preserve"> الألف للإشباع.وفي«بر،بف</w:t>
      </w:r>
      <w:r w:rsidRPr="00132E65">
        <w:rPr>
          <w:rtl/>
        </w:rPr>
        <w:t>» : و</w:t>
      </w:r>
      <w:r w:rsidRPr="009D1ACE">
        <w:rPr>
          <w:rStyle w:val="libFootnoteBoldChar"/>
          <w:rtl/>
        </w:rPr>
        <w:t>الوافي</w:t>
      </w:r>
      <w:r w:rsidR="00C61739">
        <w:rPr>
          <w:rtl/>
        </w:rPr>
        <w:t xml:space="preserve"> : « فليريكه</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C61739" w:rsidTr="00C61739">
        <w:tc>
          <w:tcPr>
            <w:tcW w:w="4261" w:type="dxa"/>
          </w:tcPr>
          <w:p w:rsidR="00C61739" w:rsidRDefault="00C61739" w:rsidP="000C39D1">
            <w:pPr>
              <w:pStyle w:val="libFootnote0"/>
              <w:rPr>
                <w:rtl/>
              </w:rPr>
            </w:pPr>
            <w:r>
              <w:rPr>
                <w:rtl/>
              </w:rPr>
              <w:t>(15)</w:t>
            </w:r>
            <w:r w:rsidRPr="00132E65">
              <w:rPr>
                <w:rtl/>
              </w:rPr>
              <w:t xml:space="preserve"> في « بف » والبحار : « فقال »</w:t>
            </w:r>
            <w:r>
              <w:rPr>
                <w:rtl/>
              </w:rPr>
              <w:t>.</w:t>
            </w:r>
          </w:p>
        </w:tc>
        <w:tc>
          <w:tcPr>
            <w:tcW w:w="4262" w:type="dxa"/>
          </w:tcPr>
          <w:p w:rsidR="00C61739" w:rsidRDefault="00C61739" w:rsidP="000C39D1">
            <w:pPr>
              <w:pStyle w:val="libFootnote0"/>
              <w:rPr>
                <w:rtl/>
              </w:rPr>
            </w:pPr>
            <w:r>
              <w:rPr>
                <w:rtl/>
              </w:rPr>
              <w:t>(16)</w:t>
            </w:r>
            <w:r w:rsidRPr="00132E65">
              <w:rPr>
                <w:rtl/>
              </w:rPr>
              <w:t xml:space="preserve"> في « بر » </w:t>
            </w:r>
            <w:r>
              <w:rPr>
                <w:rtl/>
              </w:rPr>
              <w:t xml:space="preserve">: - </w:t>
            </w:r>
            <w:r w:rsidRPr="00132E65">
              <w:rPr>
                <w:rtl/>
              </w:rPr>
              <w:t>« له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 هُوَ مُتَمِّمُ </w:t>
      </w:r>
      <w:r>
        <w:rPr>
          <w:rStyle w:val="libFootnotenumChar"/>
          <w:rtl/>
        </w:rPr>
        <w:t>(1)</w:t>
      </w:r>
      <w:r w:rsidRPr="00132E65">
        <w:rPr>
          <w:rtl/>
          <w:lang w:bidi="fa-IR"/>
        </w:rPr>
        <w:t xml:space="preserve"> بْنُ فَيْرُوزٍ ، و</w:t>
      </w:r>
      <w:r w:rsidR="00C61739">
        <w:rPr>
          <w:rFonts w:hint="cs"/>
          <w:rtl/>
          <w:lang w:bidi="fa-IR"/>
        </w:rPr>
        <w:t xml:space="preserve">َ </w:t>
      </w:r>
      <w:r w:rsidRPr="00132E65">
        <w:rPr>
          <w:rtl/>
          <w:lang w:bidi="fa-IR"/>
        </w:rPr>
        <w:t>هُوَ مِنْ أَبْنَاءِ الْفُرْسِ ، و</w:t>
      </w:r>
      <w:r w:rsidR="00C61739">
        <w:rPr>
          <w:rFonts w:hint="cs"/>
          <w:rtl/>
          <w:lang w:bidi="fa-IR"/>
        </w:rPr>
        <w:t xml:space="preserve">َ </w:t>
      </w:r>
      <w:r w:rsidRPr="00132E65">
        <w:rPr>
          <w:rtl/>
          <w:lang w:bidi="fa-IR"/>
        </w:rPr>
        <w:t xml:space="preserve">هُوَ مِمَّنْ </w:t>
      </w:r>
      <w:r>
        <w:rPr>
          <w:rStyle w:val="libFootnotenumChar"/>
          <w:rtl/>
        </w:rPr>
        <w:t>(2)</w:t>
      </w:r>
      <w:r w:rsidRPr="00132E65">
        <w:rPr>
          <w:rtl/>
          <w:lang w:bidi="fa-IR"/>
        </w:rPr>
        <w:t xml:space="preserve"> آمَنَ بِاللهِ وحْدَهُ لَا شَرِيكَ لَهُ ، و</w:t>
      </w:r>
      <w:r w:rsidR="00C61739">
        <w:rPr>
          <w:rFonts w:hint="cs"/>
          <w:rtl/>
          <w:lang w:bidi="fa-IR"/>
        </w:rPr>
        <w:t>َ</w:t>
      </w:r>
      <w:r>
        <w:rPr>
          <w:rFonts w:hint="cs"/>
          <w:rtl/>
          <w:lang w:bidi="fa-IR"/>
        </w:rPr>
        <w:t xml:space="preserve"> </w:t>
      </w:r>
      <w:r>
        <w:rPr>
          <w:rStyle w:val="libFootnotenumChar"/>
          <w:rtl/>
        </w:rPr>
        <w:t>(3)</w:t>
      </w:r>
      <w:r w:rsidRPr="00132E65">
        <w:rPr>
          <w:rtl/>
          <w:lang w:bidi="fa-IR"/>
        </w:rPr>
        <w:t xml:space="preserve"> عَبَدَهُ بِالْإِخْلَاصِ والْإِيقَانِ ، و</w:t>
      </w:r>
      <w:r w:rsidR="00C61739">
        <w:rPr>
          <w:rFonts w:hint="cs"/>
          <w:rtl/>
          <w:lang w:bidi="fa-IR"/>
        </w:rPr>
        <w:t>َ</w:t>
      </w:r>
      <w:r w:rsidRPr="00132E65">
        <w:rPr>
          <w:rtl/>
          <w:lang w:bidi="fa-IR"/>
        </w:rPr>
        <w:t xml:space="preserve">فَرَّ مِنْ قَوْمِهِ لَمَّا خَافَهُمْ </w:t>
      </w:r>
      <w:r>
        <w:rPr>
          <w:rStyle w:val="libFootnotenumChar"/>
          <w:rtl/>
        </w:rPr>
        <w:t>(4)</w:t>
      </w:r>
      <w:r w:rsidRPr="00132E65">
        <w:rPr>
          <w:rtl/>
          <w:lang w:bidi="fa-IR"/>
        </w:rPr>
        <w:t xml:space="preserve"> ، فَوَهَبَ لَهُ رَبُّهُ حُكْماً ، و</w:t>
      </w:r>
      <w:r w:rsidR="006F1EC9">
        <w:rPr>
          <w:rFonts w:hint="cs"/>
          <w:rtl/>
          <w:lang w:bidi="fa-IR"/>
        </w:rPr>
        <w:t xml:space="preserve">َ </w:t>
      </w:r>
      <w:r w:rsidRPr="00132E65">
        <w:rPr>
          <w:rtl/>
          <w:lang w:bidi="fa-IR"/>
        </w:rPr>
        <w:t>هَدَاهُ لِسَبِيلِ الرَّشَادِ ، و</w:t>
      </w:r>
      <w:r w:rsidR="006F1EC9">
        <w:rPr>
          <w:rFonts w:hint="cs"/>
          <w:rtl/>
          <w:lang w:bidi="fa-IR"/>
        </w:rPr>
        <w:t>َ</w:t>
      </w:r>
      <w:r w:rsidRPr="00132E65">
        <w:rPr>
          <w:rtl/>
          <w:lang w:bidi="fa-IR"/>
        </w:rPr>
        <w:t>جَعَلَهُ مِنَ الْمُتَّقِينَ ، و</w:t>
      </w:r>
      <w:r w:rsidR="006F1EC9">
        <w:rPr>
          <w:rFonts w:hint="cs"/>
          <w:rtl/>
          <w:lang w:bidi="fa-IR"/>
        </w:rPr>
        <w:t>َ</w:t>
      </w:r>
      <w:r w:rsidRPr="00132E65">
        <w:rPr>
          <w:rtl/>
          <w:lang w:bidi="fa-IR"/>
        </w:rPr>
        <w:t xml:space="preserve">عَرَّفَ بَيْنَهُ وبَيْنَ عِبَادِهِ الْمُخْلَصِينَ </w:t>
      </w:r>
      <w:r>
        <w:rPr>
          <w:rStyle w:val="libFootnotenumChar"/>
          <w:rtl/>
        </w:rPr>
        <w:t>(5)</w:t>
      </w:r>
      <w:r w:rsidRPr="00132E65">
        <w:rPr>
          <w:rtl/>
          <w:lang w:bidi="fa-IR"/>
        </w:rPr>
        <w:t xml:space="preserve"> ، و</w:t>
      </w:r>
      <w:r w:rsidR="006F1EC9">
        <w:rPr>
          <w:rFonts w:hint="cs"/>
          <w:rtl/>
          <w:lang w:bidi="fa-IR"/>
        </w:rPr>
        <w:t>َ</w:t>
      </w:r>
      <w:r w:rsidR="006F1EC9">
        <w:rPr>
          <w:rtl/>
          <w:lang w:bidi="fa-IR"/>
        </w:rPr>
        <w:t>مَا مِنْ سَنَةٍ إِل</w:t>
      </w:r>
      <w:r w:rsidR="006F1EC9">
        <w:rPr>
          <w:rFonts w:hint="cs"/>
          <w:rtl/>
          <w:lang w:bidi="fa-IR"/>
        </w:rPr>
        <w:t>َّ</w:t>
      </w:r>
      <w:r w:rsidR="006F1EC9">
        <w:rPr>
          <w:rtl/>
          <w:lang w:bidi="fa-IR"/>
        </w:rPr>
        <w:t>ا</w:t>
      </w:r>
      <w:r w:rsidRPr="00132E65">
        <w:rPr>
          <w:rtl/>
          <w:lang w:bidi="fa-IR"/>
        </w:rPr>
        <w:t xml:space="preserve"> و</w:t>
      </w:r>
      <w:r w:rsidR="006F1EC9">
        <w:rPr>
          <w:rFonts w:hint="cs"/>
          <w:rtl/>
          <w:lang w:bidi="fa-IR"/>
        </w:rPr>
        <w:t xml:space="preserve">َ </w:t>
      </w:r>
      <w:r w:rsidRPr="00132E65">
        <w:rPr>
          <w:rtl/>
          <w:lang w:bidi="fa-IR"/>
        </w:rPr>
        <w:t xml:space="preserve">هُوَ يَزُورُ فِيهَا مَكَّةَ حَاجّاً ، ويَعْتَمِرُ فِي رَأْسِ كُلِّ شَهْرٍ مَرَّةً ، ويَجِي‌ءُ مِنْ </w:t>
      </w:r>
      <w:r>
        <w:rPr>
          <w:rStyle w:val="libFootnotenumChar"/>
          <w:rtl/>
        </w:rPr>
        <w:t>(6)</w:t>
      </w:r>
      <w:r w:rsidRPr="00132E65">
        <w:rPr>
          <w:rtl/>
          <w:lang w:bidi="fa-IR"/>
        </w:rPr>
        <w:t xml:space="preserve"> مَوْضِعِهِ مِنَ الْهِنْدِ إِلى مَكَّةَ فَضْلاً مِنَ اللهِ و</w:t>
      </w:r>
      <w:r w:rsidR="006F1EC9">
        <w:rPr>
          <w:rFonts w:hint="cs"/>
          <w:rtl/>
          <w:lang w:bidi="fa-IR"/>
        </w:rPr>
        <w:t>َ</w:t>
      </w:r>
      <w:r w:rsidRPr="00132E65">
        <w:rPr>
          <w:rtl/>
          <w:lang w:bidi="fa-IR"/>
        </w:rPr>
        <w:t xml:space="preserve">عَوْناً ؛ وكَذلِكَ يَجْزِي </w:t>
      </w:r>
      <w:r>
        <w:rPr>
          <w:rStyle w:val="libFootnotenumChar"/>
          <w:rtl/>
        </w:rPr>
        <w:t>(7)</w:t>
      </w:r>
      <w:r w:rsidRPr="00132E65">
        <w:rPr>
          <w:rtl/>
          <w:lang w:bidi="fa-IR"/>
        </w:rPr>
        <w:t xml:space="preserve"> اللهُ </w:t>
      </w:r>
      <w:r>
        <w:rPr>
          <w:rStyle w:val="libFootnotenumChar"/>
          <w:rtl/>
        </w:rPr>
        <w:t>(8)</w:t>
      </w:r>
      <w:r w:rsidRPr="00132E65">
        <w:rPr>
          <w:rtl/>
          <w:lang w:bidi="fa-IR"/>
        </w:rPr>
        <w:t xml:space="preserve"> الشَّاكِرِينَ »</w:t>
      </w:r>
      <w:r>
        <w:rPr>
          <w:rtl/>
          <w:lang w:bidi="fa-IR"/>
        </w:rPr>
        <w:t>.</w:t>
      </w:r>
    </w:p>
    <w:p w:rsidR="000C39D1" w:rsidRPr="00132E65" w:rsidRDefault="000C39D1" w:rsidP="000C39D1">
      <w:pPr>
        <w:pStyle w:val="libNormal"/>
        <w:rPr>
          <w:rtl/>
          <w:lang w:bidi="fa-IR"/>
        </w:rPr>
      </w:pPr>
      <w:r w:rsidRPr="00132E65">
        <w:rPr>
          <w:rtl/>
          <w:lang w:bidi="fa-IR"/>
        </w:rPr>
        <w:t xml:space="preserve">ثُمَّ سَأَلَهُ الرَّاهِبُ عَنْ مَسَائِلَ كَثِيرَةٍ ، كُلُّ </w:t>
      </w:r>
      <w:r>
        <w:rPr>
          <w:rStyle w:val="libFootnotenumChar"/>
          <w:rtl/>
        </w:rPr>
        <w:t>(9)</w:t>
      </w:r>
      <w:r w:rsidRPr="00132E65">
        <w:rPr>
          <w:rtl/>
          <w:lang w:bidi="fa-IR"/>
        </w:rPr>
        <w:t xml:space="preserve"> ذلِكَ يُجِيبُهُ فِيهَا ، و</w:t>
      </w:r>
      <w:r w:rsidR="006F1EC9">
        <w:rPr>
          <w:rFonts w:hint="cs"/>
          <w:rtl/>
          <w:lang w:bidi="fa-IR"/>
        </w:rPr>
        <w:t>َ</w:t>
      </w:r>
      <w:r w:rsidRPr="00132E65">
        <w:rPr>
          <w:rtl/>
          <w:lang w:bidi="fa-IR"/>
        </w:rPr>
        <w:t>سَأَلَ الرَّاهِبَ عَنْ أَشْيَاءَ لَمْ يَكُنْ عِنْدَ الرَّاهِبِ فِيهَا شَيْ‌ءٌ ، فَأَخْبَرَهُ بِهَا.</w:t>
      </w:r>
    </w:p>
    <w:p w:rsidR="000C39D1" w:rsidRPr="00132E65" w:rsidRDefault="000C39D1" w:rsidP="000C39D1">
      <w:pPr>
        <w:pStyle w:val="libNormal"/>
        <w:rPr>
          <w:rtl/>
          <w:lang w:bidi="fa-IR"/>
        </w:rPr>
      </w:pPr>
      <w:r w:rsidRPr="00132E65">
        <w:rPr>
          <w:rtl/>
          <w:lang w:bidi="fa-IR"/>
        </w:rPr>
        <w:t xml:space="preserve">ثُمَّ إِنَّ الرَّاهِبَ قَالَ : أَخْبِرْنِي عَنْ ثَمَانِيَةِ أَحْرُفٍ </w:t>
      </w:r>
      <w:r>
        <w:rPr>
          <w:rStyle w:val="libFootnotenumChar"/>
          <w:rtl/>
        </w:rPr>
        <w:t>(10)</w:t>
      </w:r>
      <w:r w:rsidRPr="00132E65">
        <w:rPr>
          <w:rtl/>
          <w:lang w:bidi="fa-IR"/>
        </w:rPr>
        <w:t xml:space="preserve"> نَزَلَتْ ، فَتَبَيَّنَ فِي الْأَرْضِ مِنْهَا أَرْبَعَةٌ ، و</w:t>
      </w:r>
      <w:r w:rsidR="006F1EC9">
        <w:rPr>
          <w:rFonts w:hint="cs"/>
          <w:rtl/>
          <w:lang w:bidi="fa-IR"/>
        </w:rPr>
        <w:t>َ</w:t>
      </w:r>
      <w:r w:rsidRPr="00132E65">
        <w:rPr>
          <w:rtl/>
          <w:lang w:bidi="fa-IR"/>
        </w:rPr>
        <w:t xml:space="preserve">بَقِيَ </w:t>
      </w:r>
      <w:r>
        <w:rPr>
          <w:rStyle w:val="libFootnotenumChar"/>
          <w:rtl/>
        </w:rPr>
        <w:t>(11)</w:t>
      </w:r>
      <w:r w:rsidRPr="00132E65">
        <w:rPr>
          <w:rtl/>
          <w:lang w:bidi="fa-IR"/>
        </w:rPr>
        <w:t xml:space="preserve"> فِي الْهَوَاءِ مِنْهَا أَرْبَعَةٌ ، عَلى مَنْ نَزَلَتْ تِلْكَ الْأَرْبَعَةُ الَّتِي فِي الْهَوَاءِ</w:t>
      </w:r>
      <w:r>
        <w:rPr>
          <w:rtl/>
          <w:lang w:bidi="fa-IR"/>
        </w:rPr>
        <w:t>؟</w:t>
      </w:r>
      <w:r w:rsidRPr="00132E65">
        <w:rPr>
          <w:rtl/>
          <w:lang w:bidi="fa-IR"/>
        </w:rPr>
        <w:t xml:space="preserve"> و</w:t>
      </w:r>
      <w:r w:rsidR="006F1EC9">
        <w:rPr>
          <w:rFonts w:hint="cs"/>
          <w:rtl/>
          <w:lang w:bidi="fa-IR"/>
        </w:rPr>
        <w:t>َ</w:t>
      </w:r>
      <w:r w:rsidRPr="00132E65">
        <w:rPr>
          <w:rtl/>
          <w:lang w:bidi="fa-IR"/>
        </w:rPr>
        <w:t>مَنْ يُفَسِّرُهَا</w:t>
      </w:r>
      <w:r>
        <w:rPr>
          <w:rtl/>
          <w:lang w:bidi="fa-IR"/>
        </w:rPr>
        <w:t>؟</w:t>
      </w:r>
    </w:p>
    <w:p w:rsidR="000C39D1" w:rsidRPr="00132E65" w:rsidRDefault="000C39D1" w:rsidP="000C39D1">
      <w:pPr>
        <w:pStyle w:val="libNormal"/>
        <w:rPr>
          <w:rtl/>
          <w:lang w:bidi="fa-IR"/>
        </w:rPr>
      </w:pPr>
      <w:r w:rsidRPr="00132E65">
        <w:rPr>
          <w:rtl/>
          <w:lang w:bidi="fa-IR"/>
        </w:rPr>
        <w:t xml:space="preserve">قَالَ : « ذَاكَ </w:t>
      </w:r>
      <w:r>
        <w:rPr>
          <w:rStyle w:val="libFootnotenumChar"/>
          <w:rtl/>
        </w:rPr>
        <w:t>(12)</w:t>
      </w:r>
      <w:r w:rsidRPr="00132E65">
        <w:rPr>
          <w:rtl/>
          <w:lang w:bidi="fa-IR"/>
        </w:rPr>
        <w:t xml:space="preserve"> قَائِمُنَا يُنْزِلُهُ </w:t>
      </w:r>
      <w:r w:rsidRPr="00F543F1">
        <w:rPr>
          <w:rStyle w:val="libFootnotenumChar"/>
          <w:rtl/>
        </w:rPr>
        <w:t>(13)</w:t>
      </w:r>
      <w:r w:rsidRPr="00132E65">
        <w:rPr>
          <w:rtl/>
          <w:lang w:bidi="fa-IR"/>
        </w:rPr>
        <w:t xml:space="preserve"> اللهُ عَلَيْهِ فَيُفَسِّرُهُ ، و</w:t>
      </w:r>
      <w:r w:rsidR="006F1EC9">
        <w:rPr>
          <w:rFonts w:hint="cs"/>
          <w:rtl/>
          <w:lang w:bidi="fa-IR"/>
        </w:rPr>
        <w:t>َ</w:t>
      </w:r>
      <w:r w:rsidRPr="00132E65">
        <w:rPr>
          <w:rtl/>
          <w:lang w:bidi="fa-IR"/>
        </w:rPr>
        <w:t xml:space="preserve">يُنَزِّلُ </w:t>
      </w:r>
      <w:r w:rsidRPr="00F543F1">
        <w:rPr>
          <w:rStyle w:val="libFootnotenumChar"/>
          <w:rtl/>
        </w:rPr>
        <w:t>(14)</w:t>
      </w:r>
      <w:r w:rsidRPr="00132E65">
        <w:rPr>
          <w:rtl/>
          <w:lang w:bidi="fa-IR"/>
        </w:rPr>
        <w:t xml:space="preserve"> عَلَيْهِ مَا لَمْ يُنَزِّلْ عَلَى‌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6F1EC9">
      <w:pPr>
        <w:pStyle w:val="libFootnote0"/>
        <w:rPr>
          <w:rtl/>
          <w:lang w:bidi="fa-IR"/>
        </w:rPr>
      </w:pPr>
      <w:r>
        <w:rPr>
          <w:rtl/>
        </w:rPr>
        <w:t>(1).</w:t>
      </w:r>
      <w:r w:rsidRPr="00132E65">
        <w:rPr>
          <w:rtl/>
        </w:rPr>
        <w:t xml:space="preserve"> في « ف » : « متمّم »</w:t>
      </w:r>
      <w:r>
        <w:rPr>
          <w:rtl/>
        </w:rPr>
        <w:t>.</w:t>
      </w:r>
      <w:r w:rsidRPr="00132E65">
        <w:rPr>
          <w:rtl/>
        </w:rPr>
        <w:t xml:space="preserve"> وفي حاشية « بر » : « منجم »</w:t>
      </w:r>
      <w:r>
        <w:rPr>
          <w:rtl/>
        </w:rPr>
        <w:t>.</w:t>
      </w:r>
      <w:r w:rsidR="006F1EC9">
        <w:rPr>
          <w:rFonts w:hint="cs"/>
          <w:rtl/>
        </w:rPr>
        <w:t xml:space="preserve">    </w:t>
      </w:r>
      <w:r>
        <w:rPr>
          <w:rtl/>
        </w:rPr>
        <w:t>(2).</w:t>
      </w:r>
      <w:r w:rsidRPr="00132E65">
        <w:rPr>
          <w:rtl/>
        </w:rPr>
        <w:t xml:space="preserve"> في « بح » : « من »</w:t>
      </w:r>
      <w:r>
        <w:rPr>
          <w:rtl/>
        </w:rPr>
        <w:t>.</w:t>
      </w:r>
    </w:p>
    <w:p w:rsidR="000C39D1" w:rsidRPr="00132E65" w:rsidRDefault="000C39D1" w:rsidP="000C39D1">
      <w:pPr>
        <w:pStyle w:val="libFootnote0"/>
        <w:rPr>
          <w:rtl/>
          <w:lang w:bidi="fa-IR"/>
        </w:rPr>
      </w:pPr>
      <w:r>
        <w:rPr>
          <w:rtl/>
        </w:rPr>
        <w:t>(3).</w:t>
      </w:r>
      <w:r w:rsidRPr="00132E65">
        <w:rPr>
          <w:rtl/>
        </w:rPr>
        <w:t xml:space="preserve"> في « بر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لما خافهم ، بفتح اللام وشدّ الميم ، أو بكسر اللام وتخفيف الميم ، </w:t>
      </w:r>
      <w:r>
        <w:rPr>
          <w:rtl/>
        </w:rPr>
        <w:t>و «</w:t>
      </w:r>
      <w:r w:rsidRPr="00132E65">
        <w:rPr>
          <w:rtl/>
        </w:rPr>
        <w:t xml:space="preserve"> ما » مصدريّة »</w:t>
      </w:r>
      <w:r>
        <w:rPr>
          <w:rtl/>
        </w:rPr>
        <w:t>.</w:t>
      </w:r>
      <w:r w:rsidRPr="00132E65">
        <w:rPr>
          <w:rtl/>
        </w:rPr>
        <w:t xml:space="preserve"> وفي البحار : « خالفهم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 والمخلصين ، بفتح اللام وكسرها ، أي جعله بحيث يعرف أئمّته ويعرفونه »</w:t>
      </w:r>
      <w:r>
        <w:rPr>
          <w:rtl/>
        </w:rPr>
        <w:t>.</w:t>
      </w:r>
    </w:p>
    <w:tbl>
      <w:tblPr>
        <w:tblStyle w:val="TableGrid"/>
        <w:bidiVisual/>
        <w:tblW w:w="0" w:type="auto"/>
        <w:tblLook w:val="04A0" w:firstRow="1" w:lastRow="0" w:firstColumn="1" w:lastColumn="0" w:noHBand="0" w:noVBand="1"/>
      </w:tblPr>
      <w:tblGrid>
        <w:gridCol w:w="4261"/>
        <w:gridCol w:w="4262"/>
      </w:tblGrid>
      <w:tr w:rsidR="006F1EC9" w:rsidTr="006F1EC9">
        <w:tc>
          <w:tcPr>
            <w:tcW w:w="4261" w:type="dxa"/>
          </w:tcPr>
          <w:p w:rsidR="006F1EC9" w:rsidRDefault="006F1EC9" w:rsidP="000C39D1">
            <w:pPr>
              <w:pStyle w:val="libFootnote0"/>
              <w:rPr>
                <w:rtl/>
              </w:rPr>
            </w:pPr>
            <w:r>
              <w:rPr>
                <w:rtl/>
              </w:rPr>
              <w:t>(6).</w:t>
            </w:r>
            <w:r w:rsidRPr="00132E65">
              <w:rPr>
                <w:rtl/>
              </w:rPr>
              <w:t xml:space="preserve"> في « ف » : « إلى »</w:t>
            </w:r>
            <w:r>
              <w:rPr>
                <w:rtl/>
              </w:rPr>
              <w:t>.</w:t>
            </w:r>
          </w:p>
        </w:tc>
        <w:tc>
          <w:tcPr>
            <w:tcW w:w="4262" w:type="dxa"/>
          </w:tcPr>
          <w:p w:rsidR="006F1EC9" w:rsidRDefault="006F1EC9" w:rsidP="000C39D1">
            <w:pPr>
              <w:pStyle w:val="libFootnote0"/>
              <w:rPr>
                <w:rtl/>
              </w:rPr>
            </w:pPr>
            <w:r>
              <w:rPr>
                <w:rtl/>
              </w:rPr>
              <w:t>(7).</w:t>
            </w:r>
            <w:r w:rsidRPr="00132E65">
              <w:rPr>
                <w:rtl/>
              </w:rPr>
              <w:t xml:space="preserve"> في « ج ، بر ، بف » والبحار : « نجزي »</w:t>
            </w:r>
            <w:r>
              <w:rPr>
                <w:rtl/>
              </w:rPr>
              <w:t>.</w:t>
            </w:r>
          </w:p>
        </w:tc>
      </w:tr>
    </w:tbl>
    <w:p w:rsidR="000C39D1" w:rsidRPr="00132E65" w:rsidRDefault="000C39D1" w:rsidP="000C39D1">
      <w:pPr>
        <w:pStyle w:val="libFootnote0"/>
        <w:rPr>
          <w:rtl/>
          <w:lang w:bidi="fa-IR"/>
        </w:rPr>
      </w:pPr>
      <w:r>
        <w:rPr>
          <w:rtl/>
        </w:rPr>
        <w:t>(8).</w:t>
      </w:r>
      <w:r w:rsidRPr="00132E65">
        <w:rPr>
          <w:rtl/>
        </w:rPr>
        <w:t xml:space="preserve"> في « ب ، ج ، ض ، بح ، بر ، بس ، بف » </w:t>
      </w:r>
      <w:r w:rsidRPr="006F1EC9">
        <w:rPr>
          <w:rtl/>
        </w:rPr>
        <w:t>والوافي</w:t>
      </w:r>
      <w:r w:rsidRPr="00132E65">
        <w:rPr>
          <w:rtl/>
        </w:rPr>
        <w:t xml:space="preserve"> والبحار </w:t>
      </w:r>
      <w:r>
        <w:rPr>
          <w:rtl/>
        </w:rPr>
        <w:t xml:space="preserve">: - </w:t>
      </w:r>
      <w:r w:rsidRPr="00132E65">
        <w:rPr>
          <w:rtl/>
        </w:rPr>
        <w:t>« الله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قيل : « كلّ » منصوب بالظرفيّة ، </w:t>
      </w:r>
      <w:r>
        <w:rPr>
          <w:rtl/>
        </w:rPr>
        <w:t>و «</w:t>
      </w:r>
      <w:r w:rsidRPr="00132E65">
        <w:rPr>
          <w:rtl/>
        </w:rPr>
        <w:t xml:space="preserve"> ذلك » إشارة إلى مصدر سأله ، وضمير فيها للمسائل »</w:t>
      </w:r>
      <w:r>
        <w:rPr>
          <w:rtl/>
        </w:rPr>
        <w:t>.</w:t>
      </w:r>
    </w:p>
    <w:p w:rsidR="000C39D1" w:rsidRPr="00132E65" w:rsidRDefault="000C39D1" w:rsidP="000C39D1">
      <w:pPr>
        <w:pStyle w:val="libFootnote0"/>
        <w:rPr>
          <w:rtl/>
          <w:lang w:bidi="fa-IR"/>
        </w:rPr>
      </w:pPr>
      <w:r>
        <w:rPr>
          <w:rtl/>
        </w:rPr>
        <w:t>(10).</w:t>
      </w:r>
      <w:r w:rsidRPr="00132E65">
        <w:rPr>
          <w:rtl/>
        </w:rPr>
        <w:t xml:space="preserve"> « الأحْرُف » : جمع الحَرْف ، وهو الكلام المختصر التامّ. راجع : </w:t>
      </w:r>
      <w:r w:rsidRPr="006F1EC9">
        <w:rPr>
          <w:rStyle w:val="libFootnoteBoldChar"/>
          <w:rtl/>
        </w:rPr>
        <w:t>مجمع البحرين</w:t>
      </w:r>
      <w:r w:rsidRPr="00132E65">
        <w:rPr>
          <w:rtl/>
        </w:rPr>
        <w:t xml:space="preserve"> ، ج 5 ، ص 36 ( حرف )</w:t>
      </w:r>
      <w:r>
        <w:rPr>
          <w:rtl/>
        </w:rPr>
        <w:t>.</w:t>
      </w:r>
    </w:p>
    <w:tbl>
      <w:tblPr>
        <w:tblStyle w:val="TableGrid"/>
        <w:bidiVisual/>
        <w:tblW w:w="0" w:type="auto"/>
        <w:tblLook w:val="04A0" w:firstRow="1" w:lastRow="0" w:firstColumn="1" w:lastColumn="0" w:noHBand="0" w:noVBand="1"/>
      </w:tblPr>
      <w:tblGrid>
        <w:gridCol w:w="4261"/>
        <w:gridCol w:w="4262"/>
      </w:tblGrid>
      <w:tr w:rsidR="006F1EC9" w:rsidTr="006F1EC9">
        <w:tc>
          <w:tcPr>
            <w:tcW w:w="4261" w:type="dxa"/>
          </w:tcPr>
          <w:p w:rsidR="006F1EC9" w:rsidRDefault="006F1EC9" w:rsidP="000C39D1">
            <w:pPr>
              <w:pStyle w:val="libFootnote0"/>
              <w:rPr>
                <w:rtl/>
              </w:rPr>
            </w:pPr>
            <w:r>
              <w:rPr>
                <w:rtl/>
              </w:rPr>
              <w:t>(11).</w:t>
            </w:r>
            <w:r w:rsidRPr="00132E65">
              <w:rPr>
                <w:rtl/>
              </w:rPr>
              <w:t xml:space="preserve"> في « ض » : « فبقي »</w:t>
            </w:r>
            <w:r>
              <w:rPr>
                <w:rtl/>
              </w:rPr>
              <w:t>.</w:t>
            </w:r>
          </w:p>
        </w:tc>
        <w:tc>
          <w:tcPr>
            <w:tcW w:w="4262" w:type="dxa"/>
          </w:tcPr>
          <w:p w:rsidR="006F1EC9" w:rsidRDefault="006F1EC9" w:rsidP="000C39D1">
            <w:pPr>
              <w:pStyle w:val="libFootnote0"/>
              <w:rPr>
                <w:rtl/>
              </w:rPr>
            </w:pPr>
            <w:r>
              <w:rPr>
                <w:rtl/>
              </w:rPr>
              <w:t>(12).</w:t>
            </w:r>
            <w:r w:rsidRPr="00132E65">
              <w:rPr>
                <w:rtl/>
              </w:rPr>
              <w:t xml:space="preserve"> في « ج ، ف » </w:t>
            </w:r>
            <w:r w:rsidRPr="006F1EC9">
              <w:rPr>
                <w:rtl/>
              </w:rPr>
              <w:t>والوافي</w:t>
            </w:r>
            <w:r w:rsidRPr="00132E65">
              <w:rPr>
                <w:rtl/>
              </w:rPr>
              <w:t xml:space="preserve"> والبحار : « ذلك »</w:t>
            </w:r>
            <w:r>
              <w:rPr>
                <w:rtl/>
              </w:rPr>
              <w:t>.</w:t>
            </w:r>
          </w:p>
        </w:tc>
      </w:tr>
    </w:tbl>
    <w:p w:rsidR="000C39D1" w:rsidRPr="00132E65" w:rsidRDefault="000C39D1" w:rsidP="000C39D1">
      <w:pPr>
        <w:pStyle w:val="libFootnote0"/>
        <w:rPr>
          <w:rtl/>
          <w:lang w:bidi="fa-IR"/>
        </w:rPr>
      </w:pPr>
      <w:r>
        <w:rPr>
          <w:rtl/>
        </w:rPr>
        <w:t>(13)</w:t>
      </w:r>
      <w:r w:rsidRPr="00132E65">
        <w:rPr>
          <w:rtl/>
        </w:rPr>
        <w:t xml:space="preserve"> في « ض » والبحار : « فينزله »</w:t>
      </w:r>
      <w:r>
        <w:rPr>
          <w:rtl/>
        </w:rPr>
        <w:t>.</w:t>
      </w:r>
      <w:r w:rsidRPr="00132E65">
        <w:rPr>
          <w:rtl/>
        </w:rPr>
        <w:t xml:space="preserve"> وفي « ف » : « ينزّله »</w:t>
      </w:r>
      <w:r>
        <w:rPr>
          <w:rtl/>
        </w:rPr>
        <w:t>.</w:t>
      </w:r>
      <w:r w:rsidRPr="00132E65">
        <w:rPr>
          <w:rtl/>
        </w:rPr>
        <w:t xml:space="preserve"> وفي « بح » وحاشية « بر » : « فينزّله »</w:t>
      </w:r>
      <w:r>
        <w:rPr>
          <w:rtl/>
        </w:rPr>
        <w:t>.</w:t>
      </w:r>
      <w:r w:rsidRPr="00132E65">
        <w:rPr>
          <w:rtl/>
        </w:rPr>
        <w:t xml:space="preserve"> وفي « بر » : « نزّله »</w:t>
      </w:r>
      <w:r>
        <w:rPr>
          <w:rtl/>
        </w:rPr>
        <w:t>.</w:t>
      </w:r>
    </w:p>
    <w:p w:rsidR="000C39D1" w:rsidRPr="00132E65" w:rsidRDefault="000C39D1" w:rsidP="000C39D1">
      <w:pPr>
        <w:pStyle w:val="libFootnote0"/>
        <w:rPr>
          <w:rtl/>
          <w:lang w:bidi="fa-IR"/>
        </w:rPr>
      </w:pPr>
      <w:r>
        <w:rPr>
          <w:rtl/>
        </w:rPr>
        <w:t>(14)</w:t>
      </w:r>
      <w:r w:rsidRPr="00132E65">
        <w:rPr>
          <w:rtl/>
        </w:rPr>
        <w:t xml:space="preserve"> يجوز في الفعلين الإفعال والتجرّد أيضاً. وفي البحار : « ينزله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الصِّدِّيقِينَ و</w:t>
      </w:r>
      <w:r w:rsidR="006F1EC9">
        <w:rPr>
          <w:rFonts w:hint="cs"/>
          <w:rtl/>
          <w:lang w:bidi="fa-IR"/>
        </w:rPr>
        <w:t xml:space="preserve">َ </w:t>
      </w:r>
      <w:r w:rsidRPr="00132E65">
        <w:rPr>
          <w:rtl/>
          <w:lang w:bidi="fa-IR"/>
        </w:rPr>
        <w:t>الرُّسُلِ والْمُهْتَدِينَ »</w:t>
      </w:r>
      <w:r>
        <w:rPr>
          <w:rtl/>
          <w:lang w:bidi="fa-IR"/>
        </w:rPr>
        <w:t>.</w:t>
      </w:r>
    </w:p>
    <w:p w:rsidR="000C39D1" w:rsidRPr="00132E65" w:rsidRDefault="000C39D1" w:rsidP="000C39D1">
      <w:pPr>
        <w:pStyle w:val="libNormal"/>
        <w:rPr>
          <w:rtl/>
          <w:lang w:bidi="fa-IR"/>
        </w:rPr>
      </w:pPr>
      <w:r w:rsidRPr="00132E65">
        <w:rPr>
          <w:rtl/>
          <w:lang w:bidi="fa-IR"/>
        </w:rPr>
        <w:t xml:space="preserve">ثُمَّ قَالَ الرَّاهِبُ : فَأَخْبِرْنِي </w:t>
      </w:r>
      <w:r>
        <w:rPr>
          <w:rStyle w:val="libFootnotenumChar"/>
          <w:rtl/>
        </w:rPr>
        <w:t>(1)</w:t>
      </w:r>
      <w:r w:rsidRPr="00132E65">
        <w:rPr>
          <w:rtl/>
          <w:lang w:bidi="fa-IR"/>
        </w:rPr>
        <w:t xml:space="preserve"> عَنِ الِاثْنَيْنِ مِنْ تِلْكَ الْأَرْبَعَةِ الْأَحْرُفِ الَّتِي فِي الْأَرْضِ مَا هُمَا </w:t>
      </w:r>
      <w:r>
        <w:rPr>
          <w:rStyle w:val="libFootnotenumChar"/>
          <w:rtl/>
        </w:rPr>
        <w:t>(2)</w:t>
      </w:r>
      <w:r>
        <w:rPr>
          <w:rtl/>
          <w:lang w:bidi="fa-IR"/>
        </w:rPr>
        <w:t>؟</w:t>
      </w:r>
    </w:p>
    <w:p w:rsidR="000C39D1" w:rsidRPr="00132E65" w:rsidRDefault="000C39D1" w:rsidP="000C39D1">
      <w:pPr>
        <w:pStyle w:val="libNormal"/>
        <w:rPr>
          <w:rtl/>
          <w:lang w:bidi="fa-IR"/>
        </w:rPr>
      </w:pPr>
      <w:r w:rsidRPr="00132E65">
        <w:rPr>
          <w:rtl/>
          <w:lang w:bidi="fa-IR"/>
        </w:rPr>
        <w:t xml:space="preserve">قَالَ : « أُخْبِرُكَ بِالْأَرْبَعَةِ كُلِّهَا : أَمَّا أَوَّلُهُنَّ </w:t>
      </w:r>
      <w:r>
        <w:rPr>
          <w:rStyle w:val="libFootnotenumChar"/>
          <w:rtl/>
        </w:rPr>
        <w:t>(3)</w:t>
      </w:r>
      <w:r w:rsidR="006F1EC9">
        <w:rPr>
          <w:rtl/>
          <w:lang w:bidi="fa-IR"/>
        </w:rPr>
        <w:t xml:space="preserve"> فَلَا إِلهَ إِل</w:t>
      </w:r>
      <w:r w:rsidR="006F1EC9">
        <w:rPr>
          <w:rFonts w:hint="cs"/>
          <w:rtl/>
          <w:lang w:bidi="fa-IR"/>
        </w:rPr>
        <w:t>َّ</w:t>
      </w:r>
      <w:r w:rsidR="006F1EC9">
        <w:rPr>
          <w:rtl/>
          <w:lang w:bidi="fa-IR"/>
        </w:rPr>
        <w:t>ا</w:t>
      </w:r>
      <w:r w:rsidRPr="00132E65">
        <w:rPr>
          <w:rtl/>
          <w:lang w:bidi="fa-IR"/>
        </w:rPr>
        <w:t xml:space="preserve"> اللهُ و</w:t>
      </w:r>
      <w:r w:rsidR="006F1EC9">
        <w:rPr>
          <w:rFonts w:hint="cs"/>
          <w:rtl/>
          <w:lang w:bidi="fa-IR"/>
        </w:rPr>
        <w:t>َ</w:t>
      </w:r>
      <w:r w:rsidRPr="00132E65">
        <w:rPr>
          <w:rtl/>
          <w:lang w:bidi="fa-IR"/>
        </w:rPr>
        <w:t xml:space="preserve">حْدَهُ لَاشَرِيكَ لَهُ بَاقِياً ، وَالثَّانِيَةُ مُحَمَّدٌ رَسُولُ اللهِ </w:t>
      </w:r>
      <w:r w:rsidRPr="0093484F">
        <w:rPr>
          <w:rStyle w:val="libAlaemChar"/>
          <w:rFonts w:eastAsiaTheme="minorHAnsi"/>
          <w:rtl/>
        </w:rPr>
        <w:t>صلى‌الله‌عليه‌وآله</w:t>
      </w:r>
      <w:r w:rsidRPr="00132E65">
        <w:rPr>
          <w:rtl/>
          <w:lang w:bidi="fa-IR"/>
        </w:rPr>
        <w:t xml:space="preserve"> مُخْلَصاً </w:t>
      </w:r>
      <w:r>
        <w:rPr>
          <w:rStyle w:val="libFootnotenumChar"/>
          <w:rtl/>
        </w:rPr>
        <w:t>(4)</w:t>
      </w:r>
      <w:r w:rsidRPr="00132E65">
        <w:rPr>
          <w:rtl/>
          <w:lang w:bidi="fa-IR"/>
        </w:rPr>
        <w:t xml:space="preserve"> ، و</w:t>
      </w:r>
      <w:r w:rsidR="006F1EC9">
        <w:rPr>
          <w:rFonts w:hint="cs"/>
          <w:rtl/>
          <w:lang w:bidi="fa-IR"/>
        </w:rPr>
        <w:t>َ</w:t>
      </w:r>
      <w:r w:rsidRPr="00132E65">
        <w:rPr>
          <w:rtl/>
          <w:lang w:bidi="fa-IR"/>
        </w:rPr>
        <w:t xml:space="preserve">الثَّالِثَةُ نَحْنُ أَهْلُ الْبَيْتِ ، والرَّابِعَةُ شِيعَتُنَا مِنَّا ، ونَحْنُ مِنْ رَسُولِ اللهِ </w:t>
      </w:r>
      <w:r w:rsidRPr="0093484F">
        <w:rPr>
          <w:rStyle w:val="libAlaemChar"/>
          <w:rFonts w:eastAsiaTheme="minorHAnsi"/>
          <w:rtl/>
        </w:rPr>
        <w:t>صلى‌الله‌عليه‌وآله</w:t>
      </w:r>
      <w:r w:rsidRPr="00132E65">
        <w:rPr>
          <w:rtl/>
          <w:lang w:bidi="fa-IR"/>
        </w:rPr>
        <w:t xml:space="preserve"> و</w:t>
      </w:r>
      <w:r w:rsidR="006F1EC9">
        <w:rPr>
          <w:rFonts w:hint="cs"/>
          <w:rtl/>
          <w:lang w:bidi="fa-IR"/>
        </w:rPr>
        <w:t xml:space="preserve">َ </w:t>
      </w:r>
      <w:r w:rsidRPr="00132E65">
        <w:rPr>
          <w:rtl/>
          <w:lang w:bidi="fa-IR"/>
        </w:rPr>
        <w:t>رَسُولُ اللهِ مِنَ اللهِ بِسَبَبٍ »</w:t>
      </w:r>
      <w:r>
        <w:rPr>
          <w:rtl/>
          <w:lang w:bidi="fa-IR"/>
        </w:rPr>
        <w:t>.</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(5)</w:t>
      </w:r>
      <w:r w:rsidRPr="00132E65">
        <w:rPr>
          <w:rtl/>
          <w:lang w:bidi="fa-IR"/>
        </w:rPr>
        <w:t xml:space="preserve"> الرَّاهِبُ : أَشْهَدُ أَنْ لَا</w:t>
      </w:r>
      <w:r>
        <w:rPr>
          <w:rFonts w:hint="cs"/>
          <w:rtl/>
          <w:lang w:bidi="fa-IR"/>
        </w:rPr>
        <w:t xml:space="preserve"> </w:t>
      </w:r>
      <w:r w:rsidR="006F1EC9">
        <w:rPr>
          <w:rtl/>
          <w:lang w:bidi="fa-IR"/>
        </w:rPr>
        <w:t>إِلهَ إِل</w:t>
      </w:r>
      <w:r w:rsidR="006F1EC9">
        <w:rPr>
          <w:rFonts w:hint="cs"/>
          <w:rtl/>
          <w:lang w:bidi="fa-IR"/>
        </w:rPr>
        <w:t>َّ</w:t>
      </w:r>
      <w:r w:rsidR="006F1EC9">
        <w:rPr>
          <w:rtl/>
          <w:lang w:bidi="fa-IR"/>
        </w:rPr>
        <w:t>ا</w:t>
      </w:r>
      <w:r w:rsidRPr="00132E65">
        <w:rPr>
          <w:rtl/>
          <w:lang w:bidi="fa-IR"/>
        </w:rPr>
        <w:t xml:space="preserve"> اللهُ ، و</w:t>
      </w:r>
      <w:r w:rsidR="006F1EC9">
        <w:rPr>
          <w:rFonts w:hint="cs"/>
          <w:rtl/>
          <w:lang w:bidi="fa-IR"/>
        </w:rPr>
        <w:t>َ</w:t>
      </w:r>
      <w:r w:rsidRPr="00132E65">
        <w:rPr>
          <w:rtl/>
          <w:lang w:bidi="fa-IR"/>
        </w:rPr>
        <w:t>أَنَّ مُحَمَّداً رَسُولُ اللهِ ، وأَنَّ مَا جَاءَ بِهِ مِنْ عِنْدِ اللهِ حَقٌّ ، وأَنَّكُمْ صَفْوَةُ اللهِ مِنْ خَلْقِهِ ، و</w:t>
      </w:r>
      <w:r w:rsidR="008F2D23">
        <w:rPr>
          <w:rFonts w:hint="cs"/>
          <w:rtl/>
          <w:lang w:bidi="fa-IR"/>
        </w:rPr>
        <w:t>َ</w:t>
      </w:r>
      <w:r w:rsidRPr="00132E65">
        <w:rPr>
          <w:rtl/>
          <w:lang w:bidi="fa-IR"/>
        </w:rPr>
        <w:t xml:space="preserve">أَنَّ شِيعَتَكُمُ الْمُطَهَّرُونَ الْمُسْتَبْدَلُونَ </w:t>
      </w:r>
      <w:r>
        <w:rPr>
          <w:rStyle w:val="libFootnotenumChar"/>
          <w:rtl/>
        </w:rPr>
        <w:t>(6)</w:t>
      </w:r>
      <w:r w:rsidRPr="00132E65">
        <w:rPr>
          <w:rtl/>
          <w:lang w:bidi="fa-IR"/>
        </w:rPr>
        <w:t xml:space="preserve"> ، و</w:t>
      </w:r>
      <w:r w:rsidR="008F2D23">
        <w:rPr>
          <w:rFonts w:hint="cs"/>
          <w:rtl/>
          <w:lang w:bidi="fa-IR"/>
        </w:rPr>
        <w:t>َ</w:t>
      </w:r>
      <w:r w:rsidRPr="00132E65">
        <w:rPr>
          <w:rtl/>
          <w:lang w:bidi="fa-IR"/>
        </w:rPr>
        <w:t xml:space="preserve">لَهُمْ عَاقِبَةُ </w:t>
      </w:r>
      <w:r>
        <w:rPr>
          <w:rStyle w:val="libFootnotenumChar"/>
          <w:rtl/>
        </w:rPr>
        <w:t>(7)</w:t>
      </w:r>
      <w:r w:rsidRPr="00132E65">
        <w:rPr>
          <w:rtl/>
          <w:lang w:bidi="fa-IR"/>
        </w:rPr>
        <w:t xml:space="preserve"> اللهِ ، و</w:t>
      </w:r>
      <w:r w:rsidR="008F2D23">
        <w:rPr>
          <w:rFonts w:hint="cs"/>
          <w:rtl/>
          <w:lang w:bidi="fa-IR"/>
        </w:rPr>
        <w:t xml:space="preserve">َ </w:t>
      </w:r>
      <w:r w:rsidRPr="00132E65">
        <w:rPr>
          <w:rtl/>
          <w:lang w:bidi="fa-IR"/>
        </w:rPr>
        <w:t>الْحَمْدُ لِلّهِ رَبِّ الْعَالَمِينَ.</w:t>
      </w:r>
    </w:p>
    <w:p w:rsidR="000C39D1" w:rsidRPr="00132E65" w:rsidRDefault="000C39D1" w:rsidP="000C39D1">
      <w:pPr>
        <w:pStyle w:val="libNormal"/>
        <w:rPr>
          <w:rtl/>
          <w:lang w:bidi="fa-IR"/>
        </w:rPr>
      </w:pPr>
      <w:r w:rsidRPr="00132E65">
        <w:rPr>
          <w:rtl/>
          <w:lang w:bidi="fa-IR"/>
        </w:rPr>
        <w:t xml:space="preserve">فَدَعَا أَبُو إِبْرَاهِيمَ </w:t>
      </w:r>
      <w:r w:rsidRPr="00071CF9">
        <w:rPr>
          <w:rStyle w:val="libAlaemChar"/>
          <w:rtl/>
        </w:rPr>
        <w:t>عليه‌السلام</w:t>
      </w:r>
      <w:r w:rsidRPr="00132E65">
        <w:rPr>
          <w:rtl/>
          <w:lang w:bidi="fa-IR"/>
        </w:rPr>
        <w:t xml:space="preserve"> بِجُبَّةِ </w:t>
      </w:r>
      <w:r>
        <w:rPr>
          <w:rStyle w:val="libFootnotenumChar"/>
          <w:rtl/>
        </w:rPr>
        <w:t>(8)</w:t>
      </w:r>
      <w:r w:rsidRPr="00132E65">
        <w:rPr>
          <w:rtl/>
          <w:lang w:bidi="fa-IR"/>
        </w:rPr>
        <w:t xml:space="preserve"> خَزٍّ و</w:t>
      </w:r>
      <w:r w:rsidR="008F2D23">
        <w:rPr>
          <w:rFonts w:hint="cs"/>
          <w:rtl/>
          <w:lang w:bidi="fa-IR"/>
        </w:rPr>
        <w:t>َ</w:t>
      </w:r>
      <w:r w:rsidRPr="00132E65">
        <w:rPr>
          <w:rtl/>
          <w:lang w:bidi="fa-IR"/>
        </w:rPr>
        <w:t xml:space="preserve">قَمِيصٍ قُوهِيٍّ </w:t>
      </w:r>
      <w:r>
        <w:rPr>
          <w:rStyle w:val="libFootnotenumChar"/>
          <w:rtl/>
        </w:rPr>
        <w:t>(9)</w:t>
      </w:r>
      <w:r w:rsidRPr="00132E65">
        <w:rPr>
          <w:rtl/>
          <w:lang w:bidi="fa-IR"/>
        </w:rPr>
        <w:t xml:space="preserve"> و</w:t>
      </w:r>
      <w:r w:rsidR="008F2D23">
        <w:rPr>
          <w:rFonts w:hint="cs"/>
          <w:rtl/>
          <w:lang w:bidi="fa-IR"/>
        </w:rPr>
        <w:t>َ</w:t>
      </w:r>
      <w:r w:rsidRPr="00132E65">
        <w:rPr>
          <w:rtl/>
          <w:lang w:bidi="fa-IR"/>
        </w:rPr>
        <w:t xml:space="preserve">طَيْلَسَانٍ </w:t>
      </w:r>
      <w:r>
        <w:rPr>
          <w:rStyle w:val="libFootnotenumChar"/>
          <w:rtl/>
        </w:rPr>
        <w:t>(10)</w:t>
      </w:r>
      <w:r w:rsidRPr="00132E65">
        <w:rPr>
          <w:rtl/>
          <w:lang w:bidi="fa-IR"/>
        </w:rPr>
        <w:t xml:space="preserve"> و</w:t>
      </w:r>
      <w:r w:rsidR="008F2D23">
        <w:rPr>
          <w:rFonts w:hint="cs"/>
          <w:rtl/>
          <w:lang w:bidi="fa-IR"/>
        </w:rPr>
        <w:t>َ</w:t>
      </w:r>
      <w:r w:rsidRPr="00132E65">
        <w:rPr>
          <w:rtl/>
          <w:lang w:bidi="fa-IR"/>
        </w:rPr>
        <w:t>خُفٍّ وقَلَنْسُوَةٍ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8F2D23" w:rsidTr="008F2D23">
        <w:tc>
          <w:tcPr>
            <w:tcW w:w="4261" w:type="dxa"/>
          </w:tcPr>
          <w:p w:rsidR="008F2D23" w:rsidRDefault="008F2D23" w:rsidP="000C39D1">
            <w:pPr>
              <w:pStyle w:val="libFootnote0"/>
              <w:rPr>
                <w:rtl/>
              </w:rPr>
            </w:pPr>
            <w:r>
              <w:rPr>
                <w:rtl/>
              </w:rPr>
              <w:t>(1).</w:t>
            </w:r>
            <w:r w:rsidRPr="00132E65">
              <w:rPr>
                <w:rtl/>
              </w:rPr>
              <w:t xml:space="preserve"> في « بف » : « أخبرني »</w:t>
            </w:r>
            <w:r>
              <w:rPr>
                <w:rtl/>
              </w:rPr>
              <w:t>.</w:t>
            </w:r>
          </w:p>
        </w:tc>
        <w:tc>
          <w:tcPr>
            <w:tcW w:w="4262" w:type="dxa"/>
          </w:tcPr>
          <w:p w:rsidR="008F2D23" w:rsidRDefault="008F2D23" w:rsidP="000C39D1">
            <w:pPr>
              <w:pStyle w:val="libFootnote0"/>
              <w:rPr>
                <w:rtl/>
              </w:rPr>
            </w:pPr>
            <w:r>
              <w:rPr>
                <w:rtl/>
              </w:rPr>
              <w:t>(2). هكذا في «ب</w:t>
            </w:r>
            <w:r w:rsidRPr="00132E65">
              <w:rPr>
                <w:rtl/>
              </w:rPr>
              <w:t>»</w:t>
            </w:r>
            <w:r>
              <w:rPr>
                <w:rtl/>
              </w:rPr>
              <w:t>. وفي سائر النسخ والمطبوع : «هي</w:t>
            </w:r>
            <w:r w:rsidRPr="00132E65">
              <w:rPr>
                <w:rtl/>
              </w:rPr>
              <w:t>»</w:t>
            </w:r>
            <w:r>
              <w:rPr>
                <w:rtl/>
              </w:rPr>
              <w:t>.</w:t>
            </w:r>
          </w:p>
        </w:tc>
      </w:tr>
    </w:tbl>
    <w:p w:rsidR="000C39D1" w:rsidRPr="00132E65" w:rsidRDefault="000C39D1" w:rsidP="000C39D1">
      <w:pPr>
        <w:pStyle w:val="libFootnote0"/>
        <w:rPr>
          <w:rtl/>
          <w:lang w:bidi="fa-IR"/>
        </w:rPr>
      </w:pPr>
      <w:r>
        <w:rPr>
          <w:rtl/>
        </w:rPr>
        <w:t>(3).</w:t>
      </w:r>
      <w:r w:rsidRPr="00132E65">
        <w:rPr>
          <w:rtl/>
        </w:rPr>
        <w:t xml:space="preserve"> في « ب ، ض ، بس » وحاشية « ف ، بر » : « ا</w:t>
      </w:r>
      <w:r w:rsidR="008F2D23">
        <w:rPr>
          <w:rFonts w:hint="cs"/>
          <w:rtl/>
        </w:rPr>
        <w:t>ُ</w:t>
      </w:r>
      <w:r w:rsidRPr="00132E65">
        <w:rPr>
          <w:rtl/>
        </w:rPr>
        <w:t>ولاهنّ »</w:t>
      </w:r>
      <w:r>
        <w:rPr>
          <w:rtl/>
        </w:rPr>
        <w:t>.</w:t>
      </w:r>
    </w:p>
    <w:p w:rsidR="000C39D1" w:rsidRPr="00132E65" w:rsidRDefault="000C39D1" w:rsidP="008F2D23">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مُخلصاً ، أي أرسل حال كونه مخلصاً ، أو أرسل رسولاً مخلصاً ، بفتح اللام وكسره فيهما. أو قيل‌هذا القول مخلصاً »</w:t>
      </w:r>
      <w:r>
        <w:rPr>
          <w:rtl/>
        </w:rPr>
        <w:t>.</w:t>
      </w:r>
      <w:r w:rsidR="008F2D23">
        <w:rPr>
          <w:rFonts w:hint="cs"/>
          <w:rtl/>
        </w:rPr>
        <w:t xml:space="preserve">                                                   </w:t>
      </w:r>
      <w:r>
        <w:rPr>
          <w:rtl/>
        </w:rPr>
        <w:t>(5).</w:t>
      </w:r>
      <w:r w:rsidRPr="00132E65">
        <w:rPr>
          <w:rtl/>
        </w:rPr>
        <w:t xml:space="preserve"> في « بف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في « ب ، ج ، ض » وحاشية « بح » </w:t>
      </w:r>
      <w:r w:rsidRPr="008F2D23">
        <w:rPr>
          <w:rtl/>
        </w:rPr>
        <w:t>ومرآة العقول</w:t>
      </w:r>
      <w:r w:rsidRPr="00132E65">
        <w:rPr>
          <w:rtl/>
        </w:rPr>
        <w:t xml:space="preserve"> : « المستذلّون »</w:t>
      </w:r>
      <w:r>
        <w:rPr>
          <w:rtl/>
        </w:rPr>
        <w:t>.</w:t>
      </w:r>
      <w:r w:rsidRPr="00132E65">
        <w:rPr>
          <w:rtl/>
        </w:rPr>
        <w:t xml:space="preserve"> وفي « بس » وحاشية « ض » </w:t>
      </w:r>
      <w:r w:rsidRPr="008F2D23">
        <w:rPr>
          <w:rtl/>
        </w:rPr>
        <w:t>والوافي</w:t>
      </w:r>
      <w:r w:rsidRPr="00132E65">
        <w:rPr>
          <w:rtl/>
        </w:rPr>
        <w:t xml:space="preserve"> : « المستدلّون »</w:t>
      </w:r>
      <w:r>
        <w:rPr>
          <w:rtl/>
        </w:rPr>
        <w:t>.</w:t>
      </w:r>
      <w:r w:rsidRPr="00132E65">
        <w:rPr>
          <w:rtl/>
        </w:rPr>
        <w:t xml:space="preserve"> وجوّز المازندراني في شرحه : « المستبدِلون » بكسر الدال.</w:t>
      </w:r>
    </w:p>
    <w:p w:rsidR="000C39D1" w:rsidRPr="00132E65" w:rsidRDefault="000C39D1" w:rsidP="000C39D1">
      <w:pPr>
        <w:pStyle w:val="libFootnote0"/>
        <w:rPr>
          <w:rtl/>
          <w:lang w:bidi="fa-IR"/>
        </w:rPr>
      </w:pPr>
      <w:r>
        <w:rPr>
          <w:rtl/>
        </w:rPr>
        <w:t>(7).</w:t>
      </w:r>
      <w:r w:rsidRPr="00132E65">
        <w:rPr>
          <w:rtl/>
        </w:rPr>
        <w:t xml:space="preserve"> « عاقبة الله » ، أي ثوابه ؛ فإنّ العاقبة إطلاقها يختصّ بالثواب ، وبالإضافة تستعمل تارةً في الثواب ، وا</w:t>
      </w:r>
      <w:r w:rsidR="008F2D23">
        <w:rPr>
          <w:rFonts w:hint="cs"/>
          <w:rtl/>
        </w:rPr>
        <w:t>ُ</w:t>
      </w:r>
      <w:r w:rsidRPr="00132E65">
        <w:rPr>
          <w:rtl/>
        </w:rPr>
        <w:t xml:space="preserve">خرى في العقاب. راجع : </w:t>
      </w:r>
      <w:r w:rsidRPr="00C7281F">
        <w:rPr>
          <w:rtl/>
        </w:rPr>
        <w:t>المفردات</w:t>
      </w:r>
      <w:r w:rsidRPr="00132E65">
        <w:rPr>
          <w:rtl/>
        </w:rPr>
        <w:t xml:space="preserve"> للراغب ، ص 575 ( عقب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8F2D23">
        <w:rPr>
          <w:rStyle w:val="libFootnoteBoldChar"/>
          <w:rtl/>
        </w:rPr>
        <w:t>اللسان</w:t>
      </w:r>
      <w:r w:rsidRPr="00132E65">
        <w:rPr>
          <w:rtl/>
        </w:rPr>
        <w:t xml:space="preserve"> : « الجُبَّةُ : ضرب من مقطَّعات الثياب</w:t>
      </w:r>
      <w:r>
        <w:rPr>
          <w:rtl/>
        </w:rPr>
        <w:t xml:space="preserve"> - </w:t>
      </w:r>
      <w:r w:rsidRPr="00132E65">
        <w:rPr>
          <w:rtl/>
        </w:rPr>
        <w:t>وهي الثياب القصار</w:t>
      </w:r>
      <w:r>
        <w:rPr>
          <w:rtl/>
        </w:rPr>
        <w:t xml:space="preserve"> - </w:t>
      </w:r>
      <w:r w:rsidRPr="00132E65">
        <w:rPr>
          <w:rtl/>
        </w:rPr>
        <w:t>تُلْبَس »</w:t>
      </w:r>
      <w:r>
        <w:rPr>
          <w:rtl/>
        </w:rPr>
        <w:t>.</w:t>
      </w:r>
      <w:r w:rsidRPr="00132E65">
        <w:rPr>
          <w:rtl/>
        </w:rPr>
        <w:t xml:space="preserve"> وفي </w:t>
      </w:r>
      <w:r w:rsidRPr="00C7281F">
        <w:rPr>
          <w:rtl/>
        </w:rPr>
        <w:t>المرآة</w:t>
      </w:r>
      <w:r w:rsidRPr="00132E65">
        <w:rPr>
          <w:rtl/>
        </w:rPr>
        <w:t xml:space="preserve"> : « والجبّة بالضمّ : ثوب قصير الكُمّين »</w:t>
      </w:r>
      <w:r>
        <w:rPr>
          <w:rtl/>
        </w:rPr>
        <w:t>.</w:t>
      </w:r>
      <w:r w:rsidRPr="00132E65">
        <w:rPr>
          <w:rtl/>
        </w:rPr>
        <w:t xml:space="preserve"> راجع : </w:t>
      </w:r>
      <w:r w:rsidRPr="009D1ACE">
        <w:rPr>
          <w:rStyle w:val="libFootnoteBoldChar"/>
          <w:rtl/>
        </w:rPr>
        <w:t>لسان العرب</w:t>
      </w:r>
      <w:r w:rsidRPr="00132E65">
        <w:rPr>
          <w:rtl/>
        </w:rPr>
        <w:t xml:space="preserve"> ، ج 1 ، ص 249 ( جبب )</w:t>
      </w:r>
      <w:r>
        <w:rPr>
          <w:rtl/>
        </w:rPr>
        <w:t>.</w:t>
      </w:r>
    </w:p>
    <w:p w:rsidR="000C39D1" w:rsidRPr="00132E65" w:rsidRDefault="000C39D1" w:rsidP="000C39D1">
      <w:pPr>
        <w:pStyle w:val="libFootnote0"/>
        <w:rPr>
          <w:rtl/>
          <w:lang w:bidi="fa-IR"/>
        </w:rPr>
      </w:pPr>
      <w:r>
        <w:rPr>
          <w:rtl/>
        </w:rPr>
        <w:t>(9).</w:t>
      </w:r>
      <w:r w:rsidRPr="00132E65">
        <w:rPr>
          <w:rtl/>
        </w:rPr>
        <w:t xml:space="preserve"> « القُوهِيُّ » : ضرب من الثياب بيض ، منسوبة إلى قُوهِسْتان لما تنسج بها ، وهي كَوْرة بين نيسابور وهرات ، وقصبتها قاين وطبس ، وموضع وبلد بكرمان قرب جيرفت. أو كلّ ثوب أشبهه يقال له : قوهيّ وإن لم يكن من قوهستان. راجع : </w:t>
      </w:r>
      <w:r w:rsidRPr="009D1ACE">
        <w:rPr>
          <w:rStyle w:val="libFootnoteBoldChar"/>
          <w:rtl/>
        </w:rPr>
        <w:t>لسان العرب</w:t>
      </w:r>
      <w:r w:rsidRPr="00C7281F">
        <w:rPr>
          <w:rtl/>
        </w:rPr>
        <w:t xml:space="preserve"> </w:t>
      </w:r>
      <w:r w:rsidRPr="00132E65">
        <w:rPr>
          <w:rtl/>
        </w:rPr>
        <w:t xml:space="preserve">، ج 13 ، ص 532 ؛ </w:t>
      </w:r>
      <w:r w:rsidRPr="008F2D23">
        <w:rPr>
          <w:rStyle w:val="libFootnoteBoldChar"/>
          <w:rtl/>
        </w:rPr>
        <w:t>القاموس المحيط</w:t>
      </w:r>
      <w:r w:rsidRPr="00132E65">
        <w:rPr>
          <w:rtl/>
        </w:rPr>
        <w:t xml:space="preserve"> ، ج 2 ، ص 1643 ( قوه )</w:t>
      </w:r>
      <w:r>
        <w:rPr>
          <w:rtl/>
        </w:rPr>
        <w:t>.</w:t>
      </w:r>
    </w:p>
    <w:p w:rsidR="000C39D1" w:rsidRPr="00132E65" w:rsidRDefault="000C39D1" w:rsidP="000C39D1">
      <w:pPr>
        <w:pStyle w:val="libFootnote0"/>
        <w:rPr>
          <w:rtl/>
          <w:lang w:bidi="fa-IR"/>
        </w:rPr>
      </w:pPr>
      <w:r>
        <w:rPr>
          <w:rtl/>
        </w:rPr>
        <w:t>(10).</w:t>
      </w:r>
      <w:r w:rsidRPr="00132E65">
        <w:rPr>
          <w:rtl/>
        </w:rPr>
        <w:t xml:space="preserve"> قال المطرزي : « الطيلسان : تعريب تالشان ، وجمعه : طيالسة ، وهو من لباس العجم مدوّر أسود »</w:t>
      </w:r>
      <w:r>
        <w:rPr>
          <w:rtl/>
        </w:rPr>
        <w:t>.</w:t>
      </w:r>
      <w:r w:rsidRPr="00132E65">
        <w:rPr>
          <w:rtl/>
        </w:rPr>
        <w:t xml:space="preserve"> وقال المجلسي : « والطيلسان ، بتثليث اللام : ثوب من قطن »</w:t>
      </w:r>
      <w:r>
        <w:rPr>
          <w:rtl/>
        </w:rPr>
        <w:t>.</w:t>
      </w:r>
      <w:r w:rsidRPr="00132E65">
        <w:rPr>
          <w:rtl/>
        </w:rPr>
        <w:t xml:space="preserve"> راجع : </w:t>
      </w:r>
      <w:r w:rsidRPr="008F2D23">
        <w:rPr>
          <w:rStyle w:val="libFootnoteBoldChar"/>
          <w:rtl/>
        </w:rPr>
        <w:t>المغرب</w:t>
      </w:r>
      <w:r w:rsidRPr="00132E65">
        <w:rPr>
          <w:rtl/>
        </w:rPr>
        <w:t xml:space="preserve"> ، ص 291 ( طلس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فَأَعْطَاهُ </w:t>
      </w:r>
      <w:r>
        <w:rPr>
          <w:rStyle w:val="libFootnotenumChar"/>
          <w:rtl/>
        </w:rPr>
        <w:t>(1)</w:t>
      </w:r>
      <w:r w:rsidRPr="00132E65">
        <w:rPr>
          <w:rtl/>
          <w:lang w:bidi="fa-IR"/>
        </w:rPr>
        <w:t xml:space="preserve"> إِيَّاهَا </w:t>
      </w:r>
      <w:r>
        <w:rPr>
          <w:rStyle w:val="libFootnotenumChar"/>
          <w:rtl/>
        </w:rPr>
        <w:t>(2)</w:t>
      </w:r>
      <w:r w:rsidRPr="00132E65">
        <w:rPr>
          <w:rtl/>
          <w:lang w:bidi="fa-IR"/>
        </w:rPr>
        <w:t xml:space="preserve"> ، و</w:t>
      </w:r>
      <w:r w:rsidR="008F2D23">
        <w:rPr>
          <w:rFonts w:hint="cs"/>
          <w:rtl/>
          <w:lang w:bidi="fa-IR"/>
        </w:rPr>
        <w:t>َ</w:t>
      </w:r>
      <w:r w:rsidRPr="00132E65">
        <w:rPr>
          <w:rtl/>
          <w:lang w:bidi="fa-IR"/>
        </w:rPr>
        <w:t>صَلَّى الظُّهْرَ ، و</w:t>
      </w:r>
      <w:r w:rsidR="008F2D23">
        <w:rPr>
          <w:rFonts w:hint="cs"/>
          <w:rtl/>
          <w:lang w:bidi="fa-IR"/>
        </w:rPr>
        <w:t>َ</w:t>
      </w:r>
      <w:r w:rsidRPr="00132E65">
        <w:rPr>
          <w:rtl/>
          <w:lang w:bidi="fa-IR"/>
        </w:rPr>
        <w:t xml:space="preserve">قَالَ لَهُ </w:t>
      </w:r>
      <w:r>
        <w:rPr>
          <w:rStyle w:val="libFootnotenumChar"/>
          <w:rtl/>
        </w:rPr>
        <w:t>(3)</w:t>
      </w:r>
      <w:r w:rsidRPr="00132E65">
        <w:rPr>
          <w:rtl/>
          <w:lang w:bidi="fa-IR"/>
        </w:rPr>
        <w:t xml:space="preserve"> : « اخْتَتِنْ » ، فَقَالَ : قَدِ </w:t>
      </w:r>
      <w:r>
        <w:rPr>
          <w:rStyle w:val="libFootnotenumChar"/>
          <w:rtl/>
        </w:rPr>
        <w:t>(4)</w:t>
      </w:r>
      <w:r w:rsidRPr="00132E65">
        <w:rPr>
          <w:rtl/>
          <w:lang w:bidi="fa-IR"/>
        </w:rPr>
        <w:t xml:space="preserve"> اخْتَتَنْتُ فِي سَابِعِي.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C7281F">
        <w:rPr>
          <w:rtl/>
        </w:rPr>
        <w:t>1294</w:t>
      </w:r>
      <w:r w:rsidRPr="004325D8">
        <w:rPr>
          <w:rStyle w:val="libBold2Char"/>
          <w:rtl/>
        </w:rPr>
        <w:t xml:space="preserve"> / 6.</w:t>
      </w:r>
      <w:r w:rsidRPr="00132E65">
        <w:rPr>
          <w:rtl/>
          <w:lang w:bidi="fa-IR"/>
        </w:rPr>
        <w:t xml:space="preserve"> عِدَّةٌ مِنْ أَصْحَابِنَا ، عَنْ أَحْمَدَ بْنِ مُحَمَّدٍ ، عَنْ عَلِيِّ بْنِ الْحَكَمِ ، عَنْ عَبْدِ اللهِ بْنِ الْمُغِيرَةِ ، قَالَ :</w:t>
      </w:r>
    </w:p>
    <w:p w:rsidR="000C39D1" w:rsidRPr="00132E65" w:rsidRDefault="000C39D1" w:rsidP="000C39D1">
      <w:pPr>
        <w:pStyle w:val="libNormal"/>
        <w:rPr>
          <w:rtl/>
          <w:lang w:bidi="fa-IR"/>
        </w:rPr>
      </w:pPr>
      <w:r w:rsidRPr="00132E65">
        <w:rPr>
          <w:rtl/>
          <w:lang w:bidi="fa-IR"/>
        </w:rPr>
        <w:t xml:space="preserve">مَرَّ الْعَبْدُ الصَّالِحُ </w:t>
      </w:r>
      <w:r w:rsidRPr="00071CF9">
        <w:rPr>
          <w:rStyle w:val="libAlaemChar"/>
          <w:rtl/>
        </w:rPr>
        <w:t>عليه‌السلام</w:t>
      </w:r>
      <w:r w:rsidRPr="00132E65">
        <w:rPr>
          <w:rtl/>
          <w:lang w:bidi="fa-IR"/>
        </w:rPr>
        <w:t xml:space="preserve"> بِامْرَأَةٍ بِمِنى و</w:t>
      </w:r>
      <w:r w:rsidR="008F2D23">
        <w:rPr>
          <w:rFonts w:hint="cs"/>
          <w:rtl/>
          <w:lang w:bidi="fa-IR"/>
        </w:rPr>
        <w:t>َ</w:t>
      </w:r>
      <w:r w:rsidRPr="00132E65">
        <w:rPr>
          <w:rtl/>
          <w:lang w:bidi="fa-IR"/>
        </w:rPr>
        <w:t>هِيَ تَبْكِي و</w:t>
      </w:r>
      <w:r w:rsidR="008F2D23">
        <w:rPr>
          <w:rFonts w:hint="cs"/>
          <w:rtl/>
          <w:lang w:bidi="fa-IR"/>
        </w:rPr>
        <w:t>َ</w:t>
      </w:r>
      <w:r w:rsidRPr="00132E65">
        <w:rPr>
          <w:rtl/>
          <w:lang w:bidi="fa-IR"/>
        </w:rPr>
        <w:t>صِبْيَانُهَا حَوْلَهَا يَبْكُونَ ، و</w:t>
      </w:r>
      <w:r w:rsidR="008F2D23">
        <w:rPr>
          <w:rFonts w:hint="cs"/>
          <w:rtl/>
          <w:lang w:bidi="fa-IR"/>
        </w:rPr>
        <w:t>َ</w:t>
      </w:r>
      <w:r w:rsidRPr="00132E65">
        <w:rPr>
          <w:rtl/>
          <w:lang w:bidi="fa-IR"/>
        </w:rPr>
        <w:t>قَدْ مَاتَتْ لَهَا بَقَرَةٌ ، فَدَنَا مِنْهَا ، ثُمَّ قَالَ لَهَا : « مَا يُبْكِيكِ يَا أَمَةَ اللهِ</w:t>
      </w:r>
      <w:r>
        <w:rPr>
          <w:rtl/>
          <w:lang w:bidi="fa-IR"/>
        </w:rPr>
        <w:t>؟</w:t>
      </w:r>
      <w:r w:rsidRPr="00132E65">
        <w:rPr>
          <w:rtl/>
          <w:lang w:bidi="fa-IR"/>
        </w:rPr>
        <w:t xml:space="preserve"> » قَالَتْ : يَا عَبْدَ اللهِ ، إِنَّ لَنَا صِبْيَاناً يَتَامى ، و</w:t>
      </w:r>
      <w:r w:rsidR="008F2D23">
        <w:rPr>
          <w:rFonts w:hint="cs"/>
          <w:rtl/>
          <w:lang w:bidi="fa-IR"/>
        </w:rPr>
        <w:t>َ</w:t>
      </w:r>
      <w:r w:rsidRPr="00132E65">
        <w:rPr>
          <w:rtl/>
          <w:lang w:bidi="fa-IR"/>
        </w:rPr>
        <w:t>كَانَتْ لِي بَقَرَةٌ مَعِيشَتِي و</w:t>
      </w:r>
      <w:r w:rsidR="008F2D23">
        <w:rPr>
          <w:rFonts w:hint="cs"/>
          <w:rtl/>
          <w:lang w:bidi="fa-IR"/>
        </w:rPr>
        <w:t>َ</w:t>
      </w:r>
      <w:r w:rsidRPr="00132E65">
        <w:rPr>
          <w:rtl/>
          <w:lang w:bidi="fa-IR"/>
        </w:rPr>
        <w:t xml:space="preserve">مَعِيشَةُ صِبْيَانِي كَانَتْ </w:t>
      </w:r>
      <w:r>
        <w:rPr>
          <w:rStyle w:val="libFootnotenumChar"/>
          <w:rtl/>
        </w:rPr>
        <w:t>(6)</w:t>
      </w:r>
      <w:r w:rsidRPr="00132E65">
        <w:rPr>
          <w:rtl/>
          <w:lang w:bidi="fa-IR"/>
        </w:rPr>
        <w:t xml:space="preserve"> مِنْهَا ، و</w:t>
      </w:r>
      <w:r w:rsidR="008F2D23">
        <w:rPr>
          <w:rFonts w:hint="cs"/>
          <w:rtl/>
          <w:lang w:bidi="fa-IR"/>
        </w:rPr>
        <w:t>َ</w:t>
      </w:r>
      <w:r w:rsidRPr="00132E65">
        <w:rPr>
          <w:rtl/>
          <w:lang w:bidi="fa-IR"/>
        </w:rPr>
        <w:t xml:space="preserve">قَدْ مَاتَتْ ، وَبَقِيتُ مُنْقَطَعاً </w:t>
      </w:r>
      <w:r>
        <w:rPr>
          <w:rStyle w:val="libFootnotenumChar"/>
          <w:rtl/>
        </w:rPr>
        <w:t>(7)</w:t>
      </w:r>
      <w:r w:rsidRPr="00132E65">
        <w:rPr>
          <w:rtl/>
          <w:lang w:bidi="fa-IR"/>
        </w:rPr>
        <w:t xml:space="preserve"> بِي و</w:t>
      </w:r>
      <w:r w:rsidR="008F2D23">
        <w:rPr>
          <w:rFonts w:hint="cs"/>
          <w:rtl/>
          <w:lang w:bidi="fa-IR"/>
        </w:rPr>
        <w:t xml:space="preserve">َ </w:t>
      </w:r>
      <w:r w:rsidRPr="00132E65">
        <w:rPr>
          <w:rtl/>
          <w:lang w:bidi="fa-IR"/>
        </w:rPr>
        <w:t xml:space="preserve">بِوُلْدِي لَا </w:t>
      </w:r>
      <w:r>
        <w:rPr>
          <w:rStyle w:val="libFootnotenumChar"/>
          <w:rtl/>
        </w:rPr>
        <w:t>(8)</w:t>
      </w:r>
      <w:r w:rsidRPr="00132E65">
        <w:rPr>
          <w:rtl/>
          <w:lang w:bidi="fa-IR"/>
        </w:rPr>
        <w:t xml:space="preserve"> حِيلَةَ لَنَا </w:t>
      </w:r>
      <w:r>
        <w:rPr>
          <w:rStyle w:val="libFootnotenumChar"/>
          <w:rtl/>
        </w:rPr>
        <w:t>(9)</w:t>
      </w:r>
    </w:p>
    <w:p w:rsidR="000C39D1" w:rsidRPr="00132E65" w:rsidRDefault="000C39D1" w:rsidP="000C39D1">
      <w:pPr>
        <w:pStyle w:val="libNormal"/>
        <w:rPr>
          <w:rtl/>
          <w:lang w:bidi="fa-IR"/>
        </w:rPr>
      </w:pPr>
      <w:r w:rsidRPr="00132E65">
        <w:rPr>
          <w:rtl/>
          <w:lang w:bidi="fa-IR"/>
        </w:rPr>
        <w:t>فَقَالَ : « يَا أَمَةَ اللهِ ، هَلْ لَكِ أَنْ أُحْيِيَهَا لَكِ</w:t>
      </w:r>
      <w:r>
        <w:rPr>
          <w:rtl/>
          <w:lang w:bidi="fa-IR"/>
        </w:rPr>
        <w:t>؟</w:t>
      </w:r>
      <w:r w:rsidRPr="00132E65">
        <w:rPr>
          <w:rtl/>
          <w:lang w:bidi="fa-IR"/>
        </w:rPr>
        <w:t xml:space="preserve"> » فَأُلْهِمَتْ أَنْ قَالَتْ : نَعَمْ يَا عَبْدَ اللهِ ؛ فَتَنَحّى و</w:t>
      </w:r>
      <w:r w:rsidR="008F2D23">
        <w:rPr>
          <w:rFonts w:hint="cs"/>
          <w:rtl/>
          <w:lang w:bidi="fa-IR"/>
        </w:rPr>
        <w:t>َ</w:t>
      </w:r>
      <w:r w:rsidRPr="00132E65">
        <w:rPr>
          <w:rtl/>
          <w:lang w:bidi="fa-IR"/>
        </w:rPr>
        <w:t xml:space="preserve">صَلّى رَكْعَتَيْنِ ، ثُمَّ رَفَعَ يَدَهُ </w:t>
      </w:r>
      <w:r>
        <w:rPr>
          <w:rStyle w:val="libFootnotenumChar"/>
          <w:rtl/>
        </w:rPr>
        <w:t>(10)</w:t>
      </w:r>
      <w:r w:rsidRPr="00132E65">
        <w:rPr>
          <w:rtl/>
          <w:lang w:bidi="fa-IR"/>
        </w:rPr>
        <w:t xml:space="preserve"> هُنَيْئَةً </w:t>
      </w:r>
      <w:r>
        <w:rPr>
          <w:rStyle w:val="libFootnotenumChar"/>
          <w:rtl/>
        </w:rPr>
        <w:t>(11)</w:t>
      </w:r>
      <w:r w:rsidRPr="00132E65">
        <w:rPr>
          <w:rtl/>
          <w:lang w:bidi="fa-IR"/>
        </w:rPr>
        <w:t xml:space="preserve"> ، و</w:t>
      </w:r>
      <w:r w:rsidR="008F2D23">
        <w:rPr>
          <w:rFonts w:hint="cs"/>
          <w:rtl/>
          <w:lang w:bidi="fa-IR"/>
        </w:rPr>
        <w:t>َ</w:t>
      </w:r>
      <w:r w:rsidRPr="00132E65">
        <w:rPr>
          <w:rtl/>
          <w:lang w:bidi="fa-IR"/>
        </w:rPr>
        <w:t xml:space="preserve">حَرَّكَ شَفَتَيْهِ ، ثُمَّ قَامَ ، فَصَوَّتَ </w:t>
      </w:r>
      <w:r>
        <w:rPr>
          <w:rStyle w:val="libFootnotenumChar"/>
          <w:rtl/>
        </w:rPr>
        <w:t>(12)</w:t>
      </w:r>
      <w:r w:rsidRPr="00132E65">
        <w:rPr>
          <w:rtl/>
          <w:lang w:bidi="fa-IR"/>
        </w:rPr>
        <w:t xml:space="preserve"> بِالْبَقَرَةِ ، فَنَخَسَهَا </w:t>
      </w:r>
      <w:r w:rsidRPr="00F543F1">
        <w:rPr>
          <w:rStyle w:val="libFootnotenumChar"/>
          <w:rtl/>
        </w:rPr>
        <w:t>(13)</w:t>
      </w:r>
      <w:r w:rsidRPr="00132E65">
        <w:rPr>
          <w:rtl/>
          <w:lang w:bidi="fa-IR"/>
        </w:rPr>
        <w:t xml:space="preserve"> نَخْسَةً أَوْ ضَرَبَهَا بِرِجْلِهِ ، فَاسْتَوَتْ عَلَى الْأَرْضِ قَائِمَةً ، فَلَمَّا نَظَرَتِ الْمَرْأَةُ إِلَى الْبَقَرَةِ صَاحَتْ </w:t>
      </w:r>
      <w:r w:rsidRPr="00F543F1">
        <w:rPr>
          <w:rStyle w:val="libFootnotenumChar"/>
          <w:rtl/>
        </w:rPr>
        <w:t>(14)</w:t>
      </w:r>
      <w:r w:rsidRPr="00132E65">
        <w:rPr>
          <w:rtl/>
          <w:lang w:bidi="fa-IR"/>
        </w:rPr>
        <w:t xml:space="preserve"> ، و</w:t>
      </w:r>
      <w:r w:rsidR="008F2D23">
        <w:rPr>
          <w:rFonts w:hint="cs"/>
          <w:rtl/>
          <w:lang w:bidi="fa-IR"/>
        </w:rPr>
        <w:t>َ</w:t>
      </w:r>
      <w:r w:rsidRPr="00132E65">
        <w:rPr>
          <w:rtl/>
          <w:lang w:bidi="fa-IR"/>
        </w:rPr>
        <w:t>قَالَتْ : عِيسَى بْنُ مَرْيَمَ ورَبِّ الْكَعْبَةِ ؛ فَخَالَطَ النَّاسَ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8F2D23" w:rsidTr="008F2D23">
        <w:tc>
          <w:tcPr>
            <w:tcW w:w="4261" w:type="dxa"/>
          </w:tcPr>
          <w:p w:rsidR="008F2D23" w:rsidRDefault="008F2D23"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 « فأعطاها »</w:t>
            </w:r>
            <w:r>
              <w:rPr>
                <w:rtl/>
              </w:rPr>
              <w:t>.</w:t>
            </w:r>
          </w:p>
        </w:tc>
        <w:tc>
          <w:tcPr>
            <w:tcW w:w="4262" w:type="dxa"/>
          </w:tcPr>
          <w:p w:rsidR="008F2D23" w:rsidRDefault="008F2D23" w:rsidP="000C39D1">
            <w:pPr>
              <w:pStyle w:val="libFootnote0"/>
              <w:rPr>
                <w:rtl/>
              </w:rPr>
            </w:pPr>
            <w:r>
              <w:rPr>
                <w:rtl/>
              </w:rPr>
              <w:t>(2).</w:t>
            </w:r>
            <w:r w:rsidRPr="00132E65">
              <w:rPr>
                <w:rtl/>
              </w:rPr>
              <w:t xml:space="preserve"> في « ض ، بح ، بف » </w:t>
            </w:r>
            <w:r w:rsidRPr="008F2D23">
              <w:rPr>
                <w:rtl/>
              </w:rPr>
              <w:t>والوافي</w:t>
            </w:r>
            <w:r w:rsidRPr="00132E65">
              <w:rPr>
                <w:rtl/>
              </w:rPr>
              <w:t xml:space="preserve"> : « إيّاه »</w:t>
            </w:r>
            <w:r>
              <w:rPr>
                <w:rtl/>
              </w:rPr>
              <w:t>.</w:t>
            </w:r>
          </w:p>
        </w:tc>
      </w:tr>
      <w:tr w:rsidR="008F2D23" w:rsidTr="008F2D23">
        <w:tc>
          <w:tcPr>
            <w:tcW w:w="4261" w:type="dxa"/>
          </w:tcPr>
          <w:p w:rsidR="008F2D23" w:rsidRDefault="008F2D23" w:rsidP="000C39D1">
            <w:pPr>
              <w:pStyle w:val="libFootnote0"/>
              <w:rPr>
                <w:rtl/>
              </w:rPr>
            </w:pPr>
            <w:r>
              <w:rPr>
                <w:rtl/>
              </w:rPr>
              <w:t>(3).</w:t>
            </w:r>
            <w:r w:rsidRPr="00132E65">
              <w:rPr>
                <w:rtl/>
              </w:rPr>
              <w:t xml:space="preserve"> في « ج ، ف ، بس » </w:t>
            </w:r>
            <w:r>
              <w:rPr>
                <w:rtl/>
              </w:rPr>
              <w:t xml:space="preserve">: - </w:t>
            </w:r>
            <w:r w:rsidRPr="00132E65">
              <w:rPr>
                <w:rtl/>
              </w:rPr>
              <w:t>« له »</w:t>
            </w:r>
            <w:r>
              <w:rPr>
                <w:rtl/>
              </w:rPr>
              <w:t>.</w:t>
            </w:r>
          </w:p>
        </w:tc>
        <w:tc>
          <w:tcPr>
            <w:tcW w:w="4262" w:type="dxa"/>
          </w:tcPr>
          <w:p w:rsidR="008F2D23" w:rsidRDefault="008F2D23" w:rsidP="000C39D1">
            <w:pPr>
              <w:pStyle w:val="libFootnote0"/>
              <w:rPr>
                <w:rtl/>
              </w:rPr>
            </w:pPr>
            <w:r>
              <w:rPr>
                <w:rtl/>
              </w:rPr>
              <w:t>(4).</w:t>
            </w:r>
            <w:r w:rsidRPr="00132E65">
              <w:rPr>
                <w:rtl/>
              </w:rPr>
              <w:t xml:space="preserve"> في </w:t>
            </w:r>
            <w:r w:rsidRPr="008F2D23">
              <w:rPr>
                <w:rtl/>
              </w:rPr>
              <w:t>الوافي</w:t>
            </w:r>
            <w:r w:rsidRPr="00132E65">
              <w:rPr>
                <w:rtl/>
              </w:rPr>
              <w:t xml:space="preserve"> </w:t>
            </w:r>
            <w:r>
              <w:rPr>
                <w:rtl/>
              </w:rPr>
              <w:t xml:space="preserve">: - </w:t>
            </w:r>
            <w:r w:rsidRPr="00132E65">
              <w:rPr>
                <w:rtl/>
              </w:rPr>
              <w:t>« قد »</w:t>
            </w:r>
            <w:r>
              <w:rPr>
                <w:rtl/>
              </w:rPr>
              <w:t>.</w:t>
            </w:r>
          </w:p>
        </w:tc>
      </w:tr>
    </w:tbl>
    <w:p w:rsidR="000C39D1" w:rsidRPr="00132E65" w:rsidRDefault="000C39D1" w:rsidP="000C39D1">
      <w:pPr>
        <w:pStyle w:val="libFootnote0"/>
        <w:rPr>
          <w:rtl/>
          <w:lang w:bidi="fa-IR"/>
        </w:rPr>
      </w:pPr>
      <w:r>
        <w:rPr>
          <w:rtl/>
        </w:rPr>
        <w:t>(5).</w:t>
      </w:r>
      <w:r w:rsidRPr="00132E65">
        <w:rPr>
          <w:rtl/>
        </w:rPr>
        <w:t xml:space="preserve"> </w:t>
      </w:r>
      <w:r w:rsidRPr="009D1ACE">
        <w:rPr>
          <w:rStyle w:val="libFootnoteBoldChar"/>
          <w:rtl/>
        </w:rPr>
        <w:t>الوافي</w:t>
      </w:r>
      <w:r w:rsidRPr="00132E65">
        <w:rPr>
          <w:rtl/>
        </w:rPr>
        <w:t xml:space="preserve"> ، ج 3 ، ص 804 ، ح 1415 ؛ وفي </w:t>
      </w:r>
      <w:r w:rsidRPr="002133B0">
        <w:rPr>
          <w:rStyle w:val="libFootnoteBoldChar"/>
          <w:rtl/>
        </w:rPr>
        <w:t>الوسائل</w:t>
      </w:r>
      <w:r w:rsidRPr="00132E65">
        <w:rPr>
          <w:rtl/>
        </w:rPr>
        <w:t xml:space="preserve"> ، ج 4 ، ص 365 ، ح 5403 ؛ وج 21 ، ص 440 ، ح 27530 ؛ </w:t>
      </w:r>
      <w:r w:rsidRPr="002133B0">
        <w:rPr>
          <w:rStyle w:val="libFootnoteBoldChar"/>
          <w:rtl/>
        </w:rPr>
        <w:t>البحار</w:t>
      </w:r>
      <w:r w:rsidRPr="00132E65">
        <w:rPr>
          <w:rtl/>
        </w:rPr>
        <w:t xml:space="preserve"> ، ج 48 ، ص 92 ، ح 107.</w:t>
      </w:r>
    </w:p>
    <w:p w:rsidR="000C39D1" w:rsidRPr="00132E65" w:rsidRDefault="000C39D1" w:rsidP="000C39D1">
      <w:pPr>
        <w:pStyle w:val="libFootnote0"/>
        <w:rPr>
          <w:rtl/>
          <w:lang w:bidi="fa-IR"/>
        </w:rPr>
      </w:pPr>
      <w:r>
        <w:rPr>
          <w:rtl/>
        </w:rPr>
        <w:t>(6).</w:t>
      </w:r>
      <w:r w:rsidRPr="00132E65">
        <w:rPr>
          <w:rtl/>
        </w:rPr>
        <w:t xml:space="preserve"> في « ف » وحاشية « بح » و</w:t>
      </w:r>
      <w:r w:rsidRPr="009D1ACE">
        <w:rPr>
          <w:rStyle w:val="libFootnoteBoldChar"/>
          <w:rtl/>
        </w:rPr>
        <w:t>الوافي</w:t>
      </w:r>
      <w:r w:rsidRPr="00132E65">
        <w:rPr>
          <w:rtl/>
        </w:rPr>
        <w:t>. وفي سائر النسخ والمطبوع : « كان »</w:t>
      </w:r>
      <w:r>
        <w:rPr>
          <w:rtl/>
        </w:rPr>
        <w:t>.</w:t>
      </w:r>
    </w:p>
    <w:p w:rsidR="000C39D1" w:rsidRPr="00132E65" w:rsidRDefault="000C39D1" w:rsidP="000C39D1">
      <w:pPr>
        <w:pStyle w:val="libFootnote0"/>
        <w:rPr>
          <w:rtl/>
          <w:lang w:bidi="fa-IR"/>
        </w:rPr>
      </w:pPr>
      <w:r>
        <w:rPr>
          <w:rtl/>
        </w:rPr>
        <w:t>(7).</w:t>
      </w:r>
      <w:r w:rsidRPr="00132E65">
        <w:rPr>
          <w:rtl/>
        </w:rPr>
        <w:t xml:space="preserve"> في « ف ، بر » وحاشية « ج ، ض ، بس » والبصائر : « منقطعة »</w:t>
      </w:r>
      <w:r>
        <w:rPr>
          <w:rtl/>
        </w:rPr>
        <w:t>.</w:t>
      </w:r>
    </w:p>
    <w:tbl>
      <w:tblPr>
        <w:tblStyle w:val="TableGrid"/>
        <w:bidiVisual/>
        <w:tblW w:w="0" w:type="auto"/>
        <w:tblLook w:val="04A0" w:firstRow="1" w:lastRow="0" w:firstColumn="1" w:lastColumn="0" w:noHBand="0" w:noVBand="1"/>
      </w:tblPr>
      <w:tblGrid>
        <w:gridCol w:w="4261"/>
        <w:gridCol w:w="4262"/>
      </w:tblGrid>
      <w:tr w:rsidR="002133B0" w:rsidTr="002133B0">
        <w:tc>
          <w:tcPr>
            <w:tcW w:w="4261" w:type="dxa"/>
          </w:tcPr>
          <w:p w:rsidR="002133B0" w:rsidRDefault="002133B0" w:rsidP="000C39D1">
            <w:pPr>
              <w:pStyle w:val="libFootnote0"/>
              <w:rPr>
                <w:rtl/>
              </w:rPr>
            </w:pPr>
            <w:r>
              <w:rPr>
                <w:rtl/>
              </w:rPr>
              <w:t>(8).</w:t>
            </w:r>
            <w:r w:rsidRPr="00132E65">
              <w:rPr>
                <w:rtl/>
              </w:rPr>
              <w:t xml:space="preserve"> في « ج » والبصائر : « ولا »</w:t>
            </w:r>
            <w:r>
              <w:rPr>
                <w:rtl/>
              </w:rPr>
              <w:t>.</w:t>
            </w:r>
          </w:p>
        </w:tc>
        <w:tc>
          <w:tcPr>
            <w:tcW w:w="4262" w:type="dxa"/>
          </w:tcPr>
          <w:p w:rsidR="002133B0" w:rsidRDefault="002133B0" w:rsidP="000C39D1">
            <w:pPr>
              <w:pStyle w:val="libFootnote0"/>
              <w:rPr>
                <w:rtl/>
              </w:rPr>
            </w:pPr>
            <w:r>
              <w:rPr>
                <w:rtl/>
              </w:rPr>
              <w:t>(9).في «ب ، ف ، بر ، بف</w:t>
            </w:r>
            <w:r w:rsidRPr="00132E65">
              <w:rPr>
                <w:rtl/>
              </w:rPr>
              <w:t>» وحاش</w:t>
            </w:r>
            <w:r>
              <w:rPr>
                <w:rtl/>
              </w:rPr>
              <w:t>ية «ج</w:t>
            </w:r>
            <w:r w:rsidRPr="00132E65">
              <w:rPr>
                <w:rtl/>
              </w:rPr>
              <w:t>» : « لي »</w:t>
            </w:r>
            <w:r>
              <w:rPr>
                <w:rtl/>
              </w:rPr>
              <w:t>.</w:t>
            </w:r>
          </w:p>
        </w:tc>
      </w:tr>
    </w:tbl>
    <w:p w:rsidR="000C39D1" w:rsidRPr="00132E65" w:rsidRDefault="000C39D1" w:rsidP="000C39D1">
      <w:pPr>
        <w:pStyle w:val="libFootnote0"/>
        <w:rPr>
          <w:rtl/>
          <w:lang w:bidi="fa-IR"/>
        </w:rPr>
      </w:pPr>
      <w:r>
        <w:rPr>
          <w:rtl/>
        </w:rPr>
        <w:t>(10).</w:t>
      </w:r>
      <w:r w:rsidRPr="00132E65">
        <w:rPr>
          <w:rtl/>
        </w:rPr>
        <w:t xml:space="preserve"> في « ج ، ف ، بر » و</w:t>
      </w:r>
      <w:r w:rsidRPr="009D1ACE">
        <w:rPr>
          <w:rStyle w:val="libFootnoteBoldChar"/>
          <w:rtl/>
        </w:rPr>
        <w:t>الوافي</w:t>
      </w:r>
      <w:r w:rsidRPr="00132E65">
        <w:rPr>
          <w:rtl/>
        </w:rPr>
        <w:t xml:space="preserve"> والبصائر : « يديه »</w:t>
      </w:r>
      <w:r>
        <w:rPr>
          <w:rtl/>
        </w:rPr>
        <w:t>.</w:t>
      </w:r>
    </w:p>
    <w:p w:rsidR="000C39D1" w:rsidRPr="00132E65" w:rsidRDefault="000C39D1" w:rsidP="000C39D1">
      <w:pPr>
        <w:pStyle w:val="libFootnote0"/>
        <w:rPr>
          <w:rtl/>
          <w:lang w:bidi="fa-IR"/>
        </w:rPr>
      </w:pPr>
      <w:r>
        <w:rPr>
          <w:rtl/>
        </w:rPr>
        <w:t>(11).</w:t>
      </w:r>
      <w:r w:rsidRPr="00132E65">
        <w:rPr>
          <w:rtl/>
        </w:rPr>
        <w:t xml:space="preserve"> في « ج ، ض ، بس » وحاشية « بح » : « هنيهة »</w:t>
      </w:r>
      <w:r>
        <w:rPr>
          <w:rtl/>
        </w:rPr>
        <w:t>.</w:t>
      </w:r>
      <w:r w:rsidRPr="00132E65">
        <w:rPr>
          <w:rtl/>
        </w:rPr>
        <w:t xml:space="preserve"> وفي البصائر : « يمينة »</w:t>
      </w:r>
      <w:r>
        <w:rPr>
          <w:rtl/>
        </w:rPr>
        <w:t>.</w:t>
      </w:r>
      <w:r w:rsidRPr="00132E65">
        <w:rPr>
          <w:rtl/>
        </w:rPr>
        <w:t xml:space="preserve"> قال ابن الأثير : « أقام هُنيّةً ، أي قليلاً من الزمان ، وهو تصغير هَنَة ، ويقال : هُنَيْهَة أيضاً »</w:t>
      </w:r>
      <w:r>
        <w:rPr>
          <w:rtl/>
        </w:rPr>
        <w:t>.</w:t>
      </w:r>
      <w:r w:rsidRPr="00132E65">
        <w:rPr>
          <w:rtl/>
        </w:rPr>
        <w:t xml:space="preserve"> </w:t>
      </w:r>
      <w:r w:rsidRPr="00C7281F">
        <w:rPr>
          <w:rtl/>
        </w:rPr>
        <w:t>النهاية</w:t>
      </w:r>
      <w:r w:rsidRPr="00132E65">
        <w:rPr>
          <w:rtl/>
        </w:rPr>
        <w:t xml:space="preserve"> ، ج 5 ، ص 279 ( هنا )</w:t>
      </w:r>
      <w:r>
        <w:rPr>
          <w:rtl/>
        </w:rPr>
        <w:t>.</w:t>
      </w:r>
    </w:p>
    <w:p w:rsidR="000C39D1" w:rsidRPr="00132E65" w:rsidRDefault="000C39D1" w:rsidP="000C39D1">
      <w:pPr>
        <w:pStyle w:val="libFootnote0"/>
        <w:rPr>
          <w:rtl/>
          <w:lang w:bidi="fa-IR"/>
        </w:rPr>
      </w:pPr>
      <w:r>
        <w:rPr>
          <w:rtl/>
        </w:rPr>
        <w:t>(12).</w:t>
      </w:r>
      <w:r w:rsidRPr="00132E65">
        <w:rPr>
          <w:rtl/>
        </w:rPr>
        <w:t xml:space="preserve"> في « ف » : « قال : قصّرتِ » بدل « قام فصوّت »</w:t>
      </w:r>
      <w:r>
        <w:rPr>
          <w:rtl/>
        </w:rPr>
        <w:t>.</w:t>
      </w:r>
      <w:r w:rsidRPr="00132E65">
        <w:rPr>
          <w:rtl/>
        </w:rPr>
        <w:t xml:space="preserve"> وفي البصائر : « فمرّ » بدل « فصوّت »</w:t>
      </w:r>
      <w:r>
        <w:rPr>
          <w:rtl/>
        </w:rPr>
        <w:t>.</w:t>
      </w:r>
    </w:p>
    <w:p w:rsidR="000C39D1" w:rsidRPr="00132E65" w:rsidRDefault="000C39D1" w:rsidP="002133B0">
      <w:pPr>
        <w:pStyle w:val="libFootnote0"/>
        <w:rPr>
          <w:rtl/>
          <w:lang w:bidi="fa-IR"/>
        </w:rPr>
      </w:pPr>
      <w:r>
        <w:rPr>
          <w:rtl/>
        </w:rPr>
        <w:t>(13)</w:t>
      </w:r>
      <w:r w:rsidRPr="00132E65">
        <w:rPr>
          <w:rtl/>
        </w:rPr>
        <w:t xml:space="preserve"> في « ف » : « فنخّسها » بالتثقيل. وقوله : « فنخسها » ، أي غَرزَ وأدخل جنبها أو مؤخّرها بعود ونحوه. راجع : </w:t>
      </w:r>
      <w:r w:rsidRPr="009D1ACE">
        <w:rPr>
          <w:rStyle w:val="libFootnoteBoldChar"/>
          <w:rtl/>
        </w:rPr>
        <w:t>لسان العرب</w:t>
      </w:r>
      <w:r w:rsidRPr="00132E65">
        <w:rPr>
          <w:rtl/>
        </w:rPr>
        <w:t xml:space="preserve"> ، ج 6 ، ص 228 ( نخس )</w:t>
      </w:r>
      <w:r>
        <w:rPr>
          <w:rtl/>
        </w:rPr>
        <w:t>.</w:t>
      </w:r>
      <w:r w:rsidR="002133B0">
        <w:rPr>
          <w:rFonts w:hint="cs"/>
          <w:rtl/>
        </w:rPr>
        <w:t xml:space="preserve">                 </w:t>
      </w:r>
      <w:r>
        <w:rPr>
          <w:rtl/>
        </w:rPr>
        <w:t>(14)</w:t>
      </w:r>
      <w:r w:rsidRPr="00132E65">
        <w:rPr>
          <w:rtl/>
        </w:rPr>
        <w:t xml:space="preserve"> في « بر ، بف » </w:t>
      </w:r>
      <w:r w:rsidRPr="002133B0">
        <w:rPr>
          <w:rtl/>
        </w:rPr>
        <w:t>والوافي</w:t>
      </w:r>
      <w:r w:rsidRPr="00132E65">
        <w:rPr>
          <w:rtl/>
        </w:rPr>
        <w:t xml:space="preserve"> : « صرخت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وَصَارَ بَيْنَهُمْ ، و</w:t>
      </w:r>
      <w:r w:rsidR="002133B0">
        <w:rPr>
          <w:rFonts w:hint="cs"/>
          <w:rtl/>
          <w:lang w:bidi="fa-IR"/>
        </w:rPr>
        <w:t>َ</w:t>
      </w:r>
      <w:r w:rsidRPr="00132E65">
        <w:rPr>
          <w:rtl/>
          <w:lang w:bidi="fa-IR"/>
        </w:rPr>
        <w:t xml:space="preserve">مَضى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C7281F">
        <w:rPr>
          <w:rtl/>
        </w:rPr>
        <w:t>1295</w:t>
      </w:r>
      <w:r w:rsidRPr="004325D8">
        <w:rPr>
          <w:rStyle w:val="libBold2Char"/>
          <w:rtl/>
        </w:rPr>
        <w:t xml:space="preserve"> / 7.</w:t>
      </w:r>
      <w:r w:rsidRPr="00132E65">
        <w:rPr>
          <w:rtl/>
          <w:lang w:bidi="fa-IR"/>
        </w:rPr>
        <w:t xml:space="preserve"> أَحْمَدُ بْنُ مِهْرَانَ رَحِمَهُ اللهُ ، عَنْ مُحَمَّدِ بْنِ عَلِيٍّ ، عَنْ سَيْفِ بْنِ عَمِيرَةَ ، عَنْ إِسْحَاقَ بْنِ عَمَّارٍ ، قَالَ :</w:t>
      </w:r>
    </w:p>
    <w:p w:rsidR="000C39D1" w:rsidRPr="00132E65" w:rsidRDefault="000C39D1" w:rsidP="000C39D1">
      <w:pPr>
        <w:pStyle w:val="libNormal"/>
        <w:rPr>
          <w:rtl/>
          <w:lang w:bidi="fa-IR"/>
        </w:rPr>
      </w:pPr>
      <w:r w:rsidRPr="00132E65">
        <w:rPr>
          <w:rtl/>
          <w:lang w:bidi="fa-IR"/>
        </w:rPr>
        <w:t xml:space="preserve">سَمِعْتُ الْعَبْدَ الصَّالِحَ </w:t>
      </w:r>
      <w:r w:rsidRPr="00071CF9">
        <w:rPr>
          <w:rStyle w:val="libAlaemChar"/>
          <w:rtl/>
        </w:rPr>
        <w:t>عليه‌السلام</w:t>
      </w:r>
      <w:r w:rsidRPr="00132E65">
        <w:rPr>
          <w:rtl/>
          <w:lang w:bidi="fa-IR"/>
        </w:rPr>
        <w:t xml:space="preserve"> يَنْعى إِلى رَجُلٍ </w:t>
      </w:r>
      <w:r>
        <w:rPr>
          <w:rStyle w:val="libFootnotenumChar"/>
          <w:rtl/>
        </w:rPr>
        <w:t>(2)</w:t>
      </w:r>
      <w:r w:rsidRPr="00132E65">
        <w:rPr>
          <w:rtl/>
          <w:lang w:bidi="fa-IR"/>
        </w:rPr>
        <w:t xml:space="preserve"> نَفْسَهُ </w:t>
      </w:r>
      <w:r>
        <w:rPr>
          <w:rStyle w:val="libFootnotenumChar"/>
          <w:rtl/>
        </w:rPr>
        <w:t>(3)</w:t>
      </w:r>
      <w:r w:rsidRPr="00132E65">
        <w:rPr>
          <w:rtl/>
          <w:lang w:bidi="fa-IR"/>
        </w:rPr>
        <w:t xml:space="preserve"> ، فَقُلْتُ فِي نَفْسِي : وإِنَّهُ لَيَعْلَمُ مَتى يَمُوتُ الرَّجُلُ مِنْ شِيعَتِهِ ، فَالْتَفَتَ إِلَيَّ شِبْهَ الْمُغْضَبِ ، فَقَالَ : « يَا إِسْحَاقُ ، قَدْ كَانَ رُشَيْدٌ الْهَجَرِيُّ يَعْلَمُ عِلْمَ </w:t>
      </w:r>
      <w:r>
        <w:rPr>
          <w:rStyle w:val="libFootnotenumChar"/>
          <w:rtl/>
        </w:rPr>
        <w:t>(4)</w:t>
      </w:r>
      <w:r w:rsidRPr="00132E65">
        <w:rPr>
          <w:rtl/>
          <w:lang w:bidi="fa-IR"/>
        </w:rPr>
        <w:t xml:space="preserve"> الْمَنَايَا </w:t>
      </w:r>
      <w:r>
        <w:rPr>
          <w:rStyle w:val="libFootnotenumChar"/>
          <w:rtl/>
        </w:rPr>
        <w:t>(5)</w:t>
      </w:r>
      <w:r w:rsidRPr="00132E65">
        <w:rPr>
          <w:rtl/>
          <w:lang w:bidi="fa-IR"/>
        </w:rPr>
        <w:t xml:space="preserve"> و</w:t>
      </w:r>
      <w:r w:rsidR="002133B0">
        <w:rPr>
          <w:rFonts w:hint="cs"/>
          <w:rtl/>
          <w:lang w:bidi="fa-IR"/>
        </w:rPr>
        <w:t>َ</w:t>
      </w:r>
      <w:r w:rsidRPr="00132E65">
        <w:rPr>
          <w:rtl/>
          <w:lang w:bidi="fa-IR"/>
        </w:rPr>
        <w:t>الْبَلَايَا ، والْإِمَامُ أَوْلى بِعِلْمِ ذلِكَ »</w:t>
      </w:r>
      <w:r>
        <w:rPr>
          <w:rtl/>
          <w:lang w:bidi="fa-IR"/>
        </w:rPr>
        <w:t>.</w:t>
      </w:r>
    </w:p>
    <w:p w:rsidR="000C39D1" w:rsidRPr="00132E65" w:rsidRDefault="000C39D1" w:rsidP="00952942">
      <w:pPr>
        <w:pStyle w:val="libNormal"/>
        <w:rPr>
          <w:rtl/>
          <w:lang w:bidi="fa-IR"/>
        </w:rPr>
      </w:pPr>
      <w:r w:rsidRPr="00132E65">
        <w:rPr>
          <w:rtl/>
          <w:lang w:bidi="fa-IR"/>
        </w:rPr>
        <w:t>ثُمَّ قَالَ : « يَا إِسْحَاقُ ، اصْنَعْ مَا أَنْتَ صَانِعٌ ؛ فَإِنَّ عُمُرَكَ قَدْ فَنِيَ ، و</w:t>
      </w:r>
      <w:r w:rsidR="002133B0">
        <w:rPr>
          <w:rFonts w:hint="cs"/>
          <w:rtl/>
          <w:lang w:bidi="fa-IR"/>
        </w:rPr>
        <w:t>َ</w:t>
      </w:r>
      <w:r w:rsidRPr="00132E65">
        <w:rPr>
          <w:rtl/>
          <w:lang w:bidi="fa-IR"/>
        </w:rPr>
        <w:t>إِنَّكَ تَمُوتُ إِلى سَنَتَيْنِ ، و</w:t>
      </w:r>
      <w:r w:rsidR="002133B0">
        <w:rPr>
          <w:rFonts w:hint="cs"/>
          <w:rtl/>
          <w:lang w:bidi="fa-IR"/>
        </w:rPr>
        <w:t>َ</w:t>
      </w:r>
      <w:r w:rsidRPr="00132E65">
        <w:rPr>
          <w:rtl/>
          <w:lang w:bidi="fa-IR"/>
        </w:rPr>
        <w:t>إِخْوَتُكَ وأَهْلُ بَيْتِك</w:t>
      </w:r>
      <w:r w:rsidR="00952942">
        <w:rPr>
          <w:rtl/>
          <w:lang w:bidi="fa-IR"/>
        </w:rPr>
        <w:t>َ لَايَلْبَثُونَ بَعْدَكَ إِل</w:t>
      </w:r>
      <w:r w:rsidR="00952942">
        <w:rPr>
          <w:rFonts w:hint="cs"/>
          <w:rtl/>
          <w:lang w:bidi="fa-IR"/>
        </w:rPr>
        <w:t>َّ</w:t>
      </w:r>
      <w:r w:rsidR="00952942">
        <w:rPr>
          <w:rtl/>
          <w:lang w:bidi="fa-IR"/>
        </w:rPr>
        <w:t>ا</w:t>
      </w:r>
      <w:r w:rsidRPr="00132E65">
        <w:rPr>
          <w:rtl/>
          <w:lang w:bidi="fa-IR"/>
        </w:rPr>
        <w:t xml:space="preserve"> يَسِيراً حَتّى تَتَفَرَّقَ كَلِمَتُهُمْ </w:t>
      </w:r>
      <w:r>
        <w:rPr>
          <w:rStyle w:val="libFootnotenumChar"/>
          <w:rtl/>
        </w:rPr>
        <w:t>(6)</w:t>
      </w:r>
      <w:r w:rsidRPr="00132E65">
        <w:rPr>
          <w:rtl/>
          <w:lang w:bidi="fa-IR"/>
        </w:rPr>
        <w:t xml:space="preserve"> ، وَيَخُونُ بَعْضُهُمْ بَعْضاً حَتّى يَشْمَتَ بِهِمْ عَدُوُّهُمْ ، فَكَانَ هذَا فِي نَفْسِكَ »</w:t>
      </w:r>
      <w:r>
        <w:rPr>
          <w:rtl/>
          <w:lang w:bidi="fa-IR"/>
        </w:rPr>
        <w:t>.</w:t>
      </w:r>
    </w:p>
    <w:p w:rsidR="000C39D1" w:rsidRPr="00132E65" w:rsidRDefault="000C39D1" w:rsidP="000C39D1">
      <w:pPr>
        <w:pStyle w:val="libNormal"/>
        <w:rPr>
          <w:rtl/>
          <w:lang w:bidi="fa-IR"/>
        </w:rPr>
      </w:pPr>
      <w:r w:rsidRPr="00132E65">
        <w:rPr>
          <w:rtl/>
          <w:lang w:bidi="fa-IR"/>
        </w:rPr>
        <w:t xml:space="preserve">فَقُلْتُ : فَإِنِّي أَسْتَغْفِرُ اللهَ بِمَا </w:t>
      </w:r>
      <w:r>
        <w:rPr>
          <w:rStyle w:val="libFootnotenumChar"/>
          <w:rtl/>
        </w:rPr>
        <w:t>(7)</w:t>
      </w:r>
      <w:r w:rsidRPr="00132E65">
        <w:rPr>
          <w:rtl/>
          <w:lang w:bidi="fa-IR"/>
        </w:rPr>
        <w:t xml:space="preserve"> عَرَضَ فِي صَدْرِي.</w:t>
      </w:r>
    </w:p>
    <w:p w:rsidR="000C39D1" w:rsidRPr="00132E65" w:rsidRDefault="000C39D1" w:rsidP="000C39D1">
      <w:pPr>
        <w:pStyle w:val="libNormal"/>
        <w:rPr>
          <w:rtl/>
          <w:lang w:bidi="fa-IR"/>
        </w:rPr>
      </w:pPr>
      <w:r w:rsidRPr="00132E65">
        <w:rPr>
          <w:rtl/>
          <w:lang w:bidi="fa-IR"/>
        </w:rPr>
        <w:t>فَلَمْ يَلْبَثْ إِسْحَاق</w:t>
      </w:r>
      <w:r w:rsidR="00952942">
        <w:rPr>
          <w:rtl/>
          <w:lang w:bidi="fa-IR"/>
        </w:rPr>
        <w:t>ُ بَعْدَ هذَا الْمَجْلِسِ إِل</w:t>
      </w:r>
      <w:r w:rsidR="00952942">
        <w:rPr>
          <w:rFonts w:hint="cs"/>
          <w:rtl/>
          <w:lang w:bidi="fa-IR"/>
        </w:rPr>
        <w:t>َّ</w:t>
      </w:r>
      <w:r w:rsidR="00952942">
        <w:rPr>
          <w:rtl/>
          <w:lang w:bidi="fa-IR"/>
        </w:rPr>
        <w:t>ا</w:t>
      </w:r>
      <w:r w:rsidRPr="00132E65">
        <w:rPr>
          <w:rtl/>
          <w:lang w:bidi="fa-IR"/>
        </w:rPr>
        <w:t xml:space="preserve"> يَسِيراً </w:t>
      </w:r>
      <w:r>
        <w:rPr>
          <w:rStyle w:val="libFootnotenumChar"/>
          <w:rtl/>
        </w:rPr>
        <w:t>(8)</w:t>
      </w:r>
      <w:r w:rsidRPr="00132E65">
        <w:rPr>
          <w:rtl/>
          <w:lang w:bidi="fa-IR"/>
        </w:rPr>
        <w:t xml:space="preserve"> حَتّى مَاتَ ، فَمَا </w:t>
      </w:r>
      <w:r w:rsidR="00952942">
        <w:rPr>
          <w:rtl/>
          <w:lang w:bidi="fa-IR"/>
        </w:rPr>
        <w:t>أَتى عَلَيْهِمْ إِل</w:t>
      </w:r>
      <w:r w:rsidR="00952942">
        <w:rPr>
          <w:rFonts w:hint="cs"/>
          <w:rtl/>
          <w:lang w:bidi="fa-IR"/>
        </w:rPr>
        <w:t>َّ</w:t>
      </w:r>
      <w:r w:rsidR="00952942">
        <w:rPr>
          <w:rtl/>
          <w:lang w:bidi="fa-IR"/>
        </w:rPr>
        <w:t>ا</w:t>
      </w:r>
      <w:r w:rsidRPr="00132E65">
        <w:rPr>
          <w:rtl/>
          <w:lang w:bidi="fa-IR"/>
        </w:rPr>
        <w:t xml:space="preserve"> قَلِيلٌ حَتّى قَامَ بَنُو عَمَّارٍ بِأَمْوَالِ النَّاسِ ، فَأَفْلَسُوا.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7A1104">
        <w:rPr>
          <w:rStyle w:val="libFootnoteBoldChar"/>
          <w:rtl/>
        </w:rPr>
        <w:t>بصائر الدرجات</w:t>
      </w:r>
      <w:r w:rsidRPr="00132E65">
        <w:rPr>
          <w:rtl/>
        </w:rPr>
        <w:t xml:space="preserve"> ، ص 272 ، ح 2 ، عن أحمد بن محمّد ، عن عليّ بن الحكم ، عن عليّ بن المغيرة ( وفي بعض نسخه المعتبرة : عبدالله بن المغيرة ) </w:t>
      </w:r>
      <w:r w:rsidR="00952942">
        <w:rPr>
          <w:rFonts w:hint="cs"/>
          <w:rtl/>
        </w:rPr>
        <w:t>.</w:t>
      </w:r>
      <w:r w:rsidRPr="009D1ACE">
        <w:rPr>
          <w:rStyle w:val="libFootnoteBoldChar"/>
          <w:rtl/>
        </w:rPr>
        <w:t>الوافي</w:t>
      </w:r>
      <w:r w:rsidRPr="00132E65">
        <w:rPr>
          <w:rtl/>
        </w:rPr>
        <w:t xml:space="preserve"> ، ج 3 ، ص 809 ، ح 1416.</w:t>
      </w:r>
    </w:p>
    <w:p w:rsidR="000C39D1" w:rsidRPr="00132E65" w:rsidRDefault="000C39D1" w:rsidP="000C39D1">
      <w:pPr>
        <w:pStyle w:val="libFootnote0"/>
        <w:rPr>
          <w:rtl/>
          <w:lang w:bidi="fa-IR"/>
        </w:rPr>
      </w:pPr>
      <w:r>
        <w:rPr>
          <w:rtl/>
        </w:rPr>
        <w:t>(2).</w:t>
      </w:r>
      <w:r w:rsidRPr="00132E65">
        <w:rPr>
          <w:rtl/>
        </w:rPr>
        <w:t xml:space="preserve"> في « بس » : « الرجل »</w:t>
      </w:r>
      <w:r>
        <w:rPr>
          <w:rtl/>
        </w:rPr>
        <w:t>.</w:t>
      </w:r>
    </w:p>
    <w:p w:rsidR="000C39D1" w:rsidRPr="00132E65" w:rsidRDefault="000C39D1" w:rsidP="000C39D1">
      <w:pPr>
        <w:pStyle w:val="libFootnote0"/>
        <w:rPr>
          <w:rtl/>
          <w:lang w:bidi="fa-IR"/>
        </w:rPr>
      </w:pPr>
      <w:r>
        <w:rPr>
          <w:rtl/>
        </w:rPr>
        <w:t>(3).</w:t>
      </w:r>
      <w:r w:rsidRPr="00132E65">
        <w:rPr>
          <w:rtl/>
        </w:rPr>
        <w:t xml:space="preserve"> « ينعى إلى رجل نفسه » ، أي يُخبر بموته. يقال : نَعَى الميّتَ ينعاه نَعْياً ونَعِيّاً ، إذا أذاع موته ، وأخبر به. راجع : </w:t>
      </w:r>
      <w:r w:rsidRPr="00952942">
        <w:rPr>
          <w:rStyle w:val="libFootnoteBoldChar"/>
          <w:rtl/>
        </w:rPr>
        <w:t>النهاية</w:t>
      </w:r>
      <w:r w:rsidRPr="00132E65">
        <w:rPr>
          <w:rtl/>
        </w:rPr>
        <w:t xml:space="preserve"> ، ج 5 ، ص 85 ( نعا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مرآة العقول</w:t>
      </w:r>
      <w:r w:rsidRPr="00132E65">
        <w:rPr>
          <w:rtl/>
        </w:rPr>
        <w:t xml:space="preserve"> : « كان « العلم » هنا بمعنى المعلوم. ويمكن أن يقرأ بالتحريك ، أي علامة المنايا »</w:t>
      </w:r>
      <w:r>
        <w:rPr>
          <w:rtl/>
        </w:rPr>
        <w:t>.</w:t>
      </w:r>
    </w:p>
    <w:p w:rsidR="000C39D1" w:rsidRPr="00132E65" w:rsidRDefault="000C39D1" w:rsidP="000C39D1">
      <w:pPr>
        <w:pStyle w:val="libFootnote0"/>
        <w:rPr>
          <w:rtl/>
          <w:lang w:bidi="fa-IR"/>
        </w:rPr>
      </w:pPr>
      <w:r>
        <w:rPr>
          <w:rtl/>
        </w:rPr>
        <w:t>(5).</w:t>
      </w:r>
      <w:r w:rsidR="00952942">
        <w:rPr>
          <w:rtl/>
        </w:rPr>
        <w:t xml:space="preserve"> « الم</w:t>
      </w:r>
      <w:r w:rsidR="00952942">
        <w:rPr>
          <w:rFonts w:hint="cs"/>
          <w:rtl/>
        </w:rPr>
        <w:t>ـَ</w:t>
      </w:r>
      <w:r w:rsidR="00952942">
        <w:rPr>
          <w:rtl/>
        </w:rPr>
        <w:t>نايا » : جمع الم</w:t>
      </w:r>
      <w:r w:rsidR="00952942">
        <w:rPr>
          <w:rFonts w:hint="cs"/>
          <w:rtl/>
        </w:rPr>
        <w:t>ـَ</w:t>
      </w:r>
      <w:r w:rsidRPr="00132E65">
        <w:rPr>
          <w:rtl/>
        </w:rPr>
        <w:t xml:space="preserve">نِيَّة ، وهي الموت. </w:t>
      </w:r>
      <w:r w:rsidRPr="00952942">
        <w:rPr>
          <w:rStyle w:val="libFootnoteBoldChar"/>
          <w:rtl/>
        </w:rPr>
        <w:t>النهاية</w:t>
      </w:r>
      <w:r w:rsidRPr="00132E65">
        <w:rPr>
          <w:rtl/>
        </w:rPr>
        <w:t xml:space="preserve"> ، ج 4 ، ص 368 ( منا )</w:t>
      </w:r>
      <w:r>
        <w:rPr>
          <w:rtl/>
        </w:rPr>
        <w:t>.</w:t>
      </w:r>
    </w:p>
    <w:tbl>
      <w:tblPr>
        <w:tblStyle w:val="TableGrid"/>
        <w:bidiVisual/>
        <w:tblW w:w="0" w:type="auto"/>
        <w:tblLook w:val="04A0" w:firstRow="1" w:lastRow="0" w:firstColumn="1" w:lastColumn="0" w:noHBand="0" w:noVBand="1"/>
      </w:tblPr>
      <w:tblGrid>
        <w:gridCol w:w="4261"/>
        <w:gridCol w:w="4262"/>
      </w:tblGrid>
      <w:tr w:rsidR="00952942" w:rsidTr="00952942">
        <w:tc>
          <w:tcPr>
            <w:tcW w:w="4261" w:type="dxa"/>
          </w:tcPr>
          <w:p w:rsidR="00952942" w:rsidRDefault="00952942" w:rsidP="000C39D1">
            <w:pPr>
              <w:pStyle w:val="libFootnote0"/>
              <w:rPr>
                <w:rtl/>
              </w:rPr>
            </w:pPr>
            <w:r>
              <w:rPr>
                <w:rtl/>
              </w:rPr>
              <w:t>(6).</w:t>
            </w:r>
            <w:r w:rsidRPr="00132E65">
              <w:rPr>
                <w:rtl/>
              </w:rPr>
              <w:t xml:space="preserve"> في « بر » : « يتفرّق كلّهم »</w:t>
            </w:r>
            <w:r>
              <w:rPr>
                <w:rtl/>
              </w:rPr>
              <w:t>.</w:t>
            </w:r>
          </w:p>
        </w:tc>
        <w:tc>
          <w:tcPr>
            <w:tcW w:w="4262" w:type="dxa"/>
          </w:tcPr>
          <w:p w:rsidR="00952942" w:rsidRDefault="00952942" w:rsidP="000C39D1">
            <w:pPr>
              <w:pStyle w:val="libFootnote0"/>
              <w:rPr>
                <w:rtl/>
              </w:rPr>
            </w:pPr>
            <w:r>
              <w:rPr>
                <w:rtl/>
              </w:rPr>
              <w:t>(7).</w:t>
            </w:r>
            <w:r w:rsidRPr="00132E65">
              <w:rPr>
                <w:rtl/>
              </w:rPr>
              <w:t xml:space="preserve"> في حاشية « بح » : « ممّا »</w:t>
            </w:r>
            <w:r>
              <w:rPr>
                <w:rtl/>
              </w:rPr>
              <w:t>.</w:t>
            </w:r>
          </w:p>
        </w:tc>
      </w:tr>
    </w:tbl>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على هذه النسخة كأنّه </w:t>
      </w:r>
      <w:r w:rsidRPr="00952942">
        <w:rPr>
          <w:rStyle w:val="libFootnoteAlaemChar"/>
          <w:rtl/>
        </w:rPr>
        <w:t>عليه‌السلام</w:t>
      </w:r>
      <w:r w:rsidRPr="00132E65">
        <w:rPr>
          <w:rtl/>
        </w:rPr>
        <w:t xml:space="preserve"> حدّد إلى سنت</w:t>
      </w:r>
      <w:r w:rsidR="00952942">
        <w:rPr>
          <w:rtl/>
        </w:rPr>
        <w:t>ين ترحّماً وتعطّفاً عليه ؛ لئل</w:t>
      </w:r>
      <w:r w:rsidR="00952942">
        <w:rPr>
          <w:rFonts w:hint="cs"/>
          <w:rtl/>
        </w:rPr>
        <w:t>ّ</w:t>
      </w:r>
      <w:r w:rsidR="00952942">
        <w:rPr>
          <w:rtl/>
        </w:rPr>
        <w:t>ا</w:t>
      </w:r>
      <w:r w:rsidRPr="00132E65">
        <w:rPr>
          <w:rtl/>
        </w:rPr>
        <w:t xml:space="preserve"> يضطرب ، أو لاحتمال</w:t>
      </w:r>
      <w:r w:rsidR="00952942">
        <w:rPr>
          <w:rFonts w:hint="cs"/>
          <w:rtl/>
        </w:rPr>
        <w:t xml:space="preserve"> </w:t>
      </w:r>
      <w:r w:rsidRPr="00132E65">
        <w:rPr>
          <w:rtl/>
        </w:rPr>
        <w:t>‌البداء. وعلى ما في الخرائج وغيره لا إشكال »</w:t>
      </w:r>
      <w:r>
        <w:rPr>
          <w:rtl/>
        </w:rPr>
        <w:t>.</w:t>
      </w:r>
    </w:p>
    <w:p w:rsidR="000C39D1" w:rsidRPr="00132E65"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264 ، ح 9 ، بسنده عن سيف بن عميرة ، عن أبي الحسن </w:t>
      </w:r>
      <w:r w:rsidRPr="00952942">
        <w:rPr>
          <w:rStyle w:val="libFootnoteAlaemChar"/>
          <w:rtl/>
        </w:rPr>
        <w:t>عليه‌السلام</w:t>
      </w:r>
      <w:r w:rsidRPr="00132E65">
        <w:rPr>
          <w:rtl/>
        </w:rPr>
        <w:t xml:space="preserve"> </w:t>
      </w:r>
      <w:r w:rsidR="00952942">
        <w:rPr>
          <w:rtl/>
        </w:rPr>
        <w:t>( وفي بعض نسخه : « عن</w:t>
      </w:r>
      <w:r w:rsidR="00952942">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C7281F">
        <w:rPr>
          <w:rtl/>
        </w:rPr>
        <w:t>1296</w:t>
      </w:r>
      <w:r w:rsidRPr="004325D8">
        <w:rPr>
          <w:rStyle w:val="libBold2Char"/>
          <w:rtl/>
        </w:rPr>
        <w:t xml:space="preserve"> / 8.</w:t>
      </w:r>
      <w:r w:rsidRPr="00132E65">
        <w:rPr>
          <w:rtl/>
          <w:lang w:bidi="fa-IR"/>
        </w:rPr>
        <w:t xml:space="preserve"> عَلِيُّ بْنُ إِبْرَاهِيمَ ، عَنْ مُحَمَّدِ بْنِ عِيسى ، عَنْ مُوسَى بْنِ الْقَاسِمِ الْبَجَلِيِّ ، عَنْ عَلِيِّ بْنِ جَعْفَرٍ ، قَالَ :</w:t>
      </w:r>
    </w:p>
    <w:p w:rsidR="000C39D1" w:rsidRPr="00132E65" w:rsidRDefault="000C39D1" w:rsidP="000C39D1">
      <w:pPr>
        <w:pStyle w:val="libNormal"/>
        <w:rPr>
          <w:rtl/>
          <w:lang w:bidi="fa-IR"/>
        </w:rPr>
      </w:pPr>
      <w:r w:rsidRPr="00132E65">
        <w:rPr>
          <w:rtl/>
          <w:lang w:bidi="fa-IR"/>
        </w:rPr>
        <w:t>جَاءَنِي مُحَمَّدُ بْنُ إِسْمَاعِيلَ و</w:t>
      </w:r>
      <w:r w:rsidR="00952942">
        <w:rPr>
          <w:rFonts w:hint="cs"/>
          <w:rtl/>
          <w:lang w:bidi="fa-IR"/>
        </w:rPr>
        <w:t>َ</w:t>
      </w:r>
      <w:r w:rsidRPr="00132E65">
        <w:rPr>
          <w:rtl/>
          <w:lang w:bidi="fa-IR"/>
        </w:rPr>
        <w:t>قَدِ اعْتَمَرْنَا عُمْرَةَ رَجَبٍ ونَحْنُ يَوْمَئِذٍ بِمَكَّةَ ، فَقَالَ :</w:t>
      </w:r>
      <w:r>
        <w:rPr>
          <w:rFonts w:hint="cs"/>
          <w:rtl/>
          <w:lang w:bidi="fa-IR"/>
        </w:rPr>
        <w:t xml:space="preserve"> </w:t>
      </w:r>
      <w:r w:rsidRPr="00132E65">
        <w:rPr>
          <w:rtl/>
          <w:lang w:bidi="fa-IR"/>
        </w:rPr>
        <w:t>يَا عَمِّ ، إِنِّي أُرِيدُ بَغْدَادَ ، و</w:t>
      </w:r>
      <w:r w:rsidR="00625A86">
        <w:rPr>
          <w:rFonts w:hint="cs"/>
          <w:rtl/>
          <w:lang w:bidi="fa-IR"/>
        </w:rPr>
        <w:t>َ</w:t>
      </w:r>
      <w:r w:rsidRPr="00132E65">
        <w:rPr>
          <w:rtl/>
          <w:lang w:bidi="fa-IR"/>
        </w:rPr>
        <w:t>قَدْ أَحْبَبْتُ أَنْ أُوَدِّعَ عَمِّي أَبَا الْحَسَنِ</w:t>
      </w:r>
      <w:r>
        <w:rPr>
          <w:rtl/>
          <w:lang w:bidi="fa-IR"/>
        </w:rPr>
        <w:t xml:space="preserve"> - </w:t>
      </w:r>
      <w:r w:rsidRPr="00132E65">
        <w:rPr>
          <w:rtl/>
          <w:lang w:bidi="fa-IR"/>
        </w:rPr>
        <w:t xml:space="preserve">يَعْنِي مُوسَى بْنَ جَعْفَرٍ </w:t>
      </w:r>
      <w:r w:rsidRPr="00071CF9">
        <w:rPr>
          <w:rStyle w:val="libAlaemChar"/>
          <w:rtl/>
        </w:rPr>
        <w:t>عليه‌السلام</w:t>
      </w:r>
      <w:r>
        <w:rPr>
          <w:rtl/>
          <w:lang w:bidi="fa-IR"/>
        </w:rPr>
        <w:t xml:space="preserve"> - </w:t>
      </w:r>
      <w:r w:rsidRPr="00132E65">
        <w:rPr>
          <w:rtl/>
          <w:lang w:bidi="fa-IR"/>
        </w:rPr>
        <w:t>و</w:t>
      </w:r>
      <w:r w:rsidR="00625A86">
        <w:rPr>
          <w:rFonts w:hint="cs"/>
          <w:rtl/>
          <w:lang w:bidi="fa-IR"/>
        </w:rPr>
        <w:t>َ</w:t>
      </w:r>
      <w:r w:rsidRPr="00132E65">
        <w:rPr>
          <w:rtl/>
          <w:lang w:bidi="fa-IR"/>
        </w:rPr>
        <w:t>أَحْبَبْتُ أَنْ تَذْهَبَ مَعِي إِلَيْهِ ، فَخَرَجْتُ مَعَهُ نَحْوَ أَخِي و</w:t>
      </w:r>
      <w:r w:rsidR="00625A86">
        <w:rPr>
          <w:rFonts w:hint="cs"/>
          <w:rtl/>
          <w:lang w:bidi="fa-IR"/>
        </w:rPr>
        <w:t>َ</w:t>
      </w:r>
      <w:r w:rsidRPr="00132E65">
        <w:rPr>
          <w:rtl/>
          <w:lang w:bidi="fa-IR"/>
        </w:rPr>
        <w:t xml:space="preserve">هُوَ فِي دَارِهِ الَّتِي بِالْحَوْبَةِ </w:t>
      </w:r>
      <w:r>
        <w:rPr>
          <w:rStyle w:val="libFootnotenumChar"/>
          <w:rtl/>
        </w:rPr>
        <w:t>(1)</w:t>
      </w:r>
      <w:r w:rsidRPr="00132E65">
        <w:rPr>
          <w:rtl/>
          <w:lang w:bidi="fa-IR"/>
        </w:rPr>
        <w:t xml:space="preserve"> ، و</w:t>
      </w:r>
      <w:r w:rsidR="00625A86">
        <w:rPr>
          <w:rFonts w:hint="cs"/>
          <w:rtl/>
          <w:lang w:bidi="fa-IR"/>
        </w:rPr>
        <w:t>َ</w:t>
      </w:r>
      <w:r w:rsidRPr="00132E65">
        <w:rPr>
          <w:rtl/>
          <w:lang w:bidi="fa-IR"/>
        </w:rPr>
        <w:t xml:space="preserve">ذلِكَ بَعْدَ الْمَغْرِبِ بِقَلِيلٍ ، فَضَرَبْتُ الْبَابَ ، فَأَجَابَنِي أَخِي </w:t>
      </w:r>
      <w:r>
        <w:rPr>
          <w:rStyle w:val="libFootnotenumChar"/>
          <w:rtl/>
        </w:rPr>
        <w:t>(2)</w:t>
      </w:r>
      <w:r w:rsidRPr="00132E65">
        <w:rPr>
          <w:rtl/>
          <w:lang w:bidi="fa-IR"/>
        </w:rPr>
        <w:t xml:space="preserve"> ، فَقَالَ : « مَنْ هذَا</w:t>
      </w:r>
      <w:r>
        <w:rPr>
          <w:rtl/>
          <w:lang w:bidi="fa-IR"/>
        </w:rPr>
        <w:t>؟</w:t>
      </w:r>
      <w:r w:rsidRPr="00132E65">
        <w:rPr>
          <w:rtl/>
          <w:lang w:bidi="fa-IR"/>
        </w:rPr>
        <w:t xml:space="preserve"> » فَقُلْتُ : عَلِيٌّ ، فَقَالَ : « هُوَ ذَا أَخْرُجُ » و</w:t>
      </w:r>
      <w:r w:rsidR="00625A86">
        <w:rPr>
          <w:rFonts w:hint="cs"/>
          <w:rtl/>
          <w:lang w:bidi="fa-IR"/>
        </w:rPr>
        <w:t>َ</w:t>
      </w:r>
      <w:r w:rsidRPr="00132E65">
        <w:rPr>
          <w:rtl/>
          <w:lang w:bidi="fa-IR"/>
        </w:rPr>
        <w:t>كَانَ بَطِي‌ءَ الْوُضُوءِ ، فَقُلْتُ : الْعَجَلَ ، قَالَ :</w:t>
      </w:r>
      <w:r>
        <w:rPr>
          <w:rFonts w:hint="cs"/>
          <w:rtl/>
          <w:lang w:bidi="fa-IR"/>
        </w:rPr>
        <w:t xml:space="preserve"> </w:t>
      </w:r>
      <w:r w:rsidRPr="00132E65">
        <w:rPr>
          <w:rtl/>
          <w:lang w:bidi="fa-IR"/>
        </w:rPr>
        <w:t xml:space="preserve">« وَأَعْجَلُ </w:t>
      </w:r>
      <w:r>
        <w:rPr>
          <w:rStyle w:val="libFootnotenumChar"/>
          <w:rtl/>
        </w:rPr>
        <w:t>(3)</w:t>
      </w:r>
      <w:r w:rsidRPr="00132E65">
        <w:rPr>
          <w:rtl/>
          <w:lang w:bidi="fa-IR"/>
        </w:rPr>
        <w:t xml:space="preserve"> » فَخَرَجَ و</w:t>
      </w:r>
      <w:r w:rsidR="00625A86">
        <w:rPr>
          <w:rFonts w:hint="cs"/>
          <w:rtl/>
          <w:lang w:bidi="fa-IR"/>
        </w:rPr>
        <w:t xml:space="preserve">َ </w:t>
      </w:r>
      <w:r w:rsidRPr="00132E65">
        <w:rPr>
          <w:rtl/>
          <w:lang w:bidi="fa-IR"/>
        </w:rPr>
        <w:t xml:space="preserve">عَلَيْهِ إِزَارٌ مُمَشَّقٌ </w:t>
      </w:r>
      <w:r>
        <w:rPr>
          <w:rStyle w:val="libFootnotenumChar"/>
          <w:rtl/>
        </w:rPr>
        <w:t>(4)</w:t>
      </w:r>
      <w:r w:rsidRPr="00132E65">
        <w:rPr>
          <w:rtl/>
          <w:lang w:bidi="fa-IR"/>
        </w:rPr>
        <w:t xml:space="preserve"> قَدْ عَقَدَهُ فِي عُنُقِهِ حَتّى قَعَدَ تَحْتَ عَتَبَةِ </w:t>
      </w:r>
      <w:r>
        <w:rPr>
          <w:rStyle w:val="libFootnotenumChar"/>
          <w:rtl/>
        </w:rPr>
        <w:t>(5)</w:t>
      </w:r>
      <w:r w:rsidRPr="00132E65">
        <w:rPr>
          <w:rtl/>
          <w:lang w:bidi="fa-IR"/>
        </w:rPr>
        <w:t xml:space="preserve"> الْبَابِ ، فَقَالَ عَلِيُّ بْنُ جَعْفَرٍ ، فَانْكَبَبْتُ عَلَيْهِ ، فَقَبَّلْتُ رَأْسَهُ ، و</w:t>
      </w:r>
      <w:r w:rsidR="00625A86">
        <w:rPr>
          <w:rFonts w:hint="cs"/>
          <w:rtl/>
          <w:lang w:bidi="fa-IR"/>
        </w:rPr>
        <w:t>َ</w:t>
      </w:r>
      <w:r w:rsidRPr="00132E65">
        <w:rPr>
          <w:rtl/>
          <w:lang w:bidi="fa-IR"/>
        </w:rPr>
        <w:t>قُلْتُ : قَدْ جِئْتُكَ فِي أَمْرٍ إِنْ تَرَهُ صَوَاباً فَاللهُ و</w:t>
      </w:r>
      <w:r w:rsidR="00625A86">
        <w:rPr>
          <w:rFonts w:hint="cs"/>
          <w:rtl/>
          <w:lang w:bidi="fa-IR"/>
        </w:rPr>
        <w:t>َ</w:t>
      </w:r>
      <w:r w:rsidRPr="00132E65">
        <w:rPr>
          <w:rtl/>
          <w:lang w:bidi="fa-IR"/>
        </w:rPr>
        <w:t xml:space="preserve">فَّقَ لَهُ ، وإِنْ يَكُنْ غَيْرَ ذلِكَ </w:t>
      </w:r>
      <w:r>
        <w:rPr>
          <w:rStyle w:val="libFootnotenumChar"/>
          <w:rtl/>
        </w:rPr>
        <w:t>(6)</w:t>
      </w:r>
      <w:r w:rsidRPr="00132E65">
        <w:rPr>
          <w:rtl/>
          <w:lang w:bidi="fa-IR"/>
        </w:rPr>
        <w:t xml:space="preserve"> فَمَا أَكْثَرَ مَا نُخْطِئُ </w:t>
      </w:r>
      <w:r>
        <w:rPr>
          <w:rStyle w:val="libFootnotenumChar"/>
          <w:rtl/>
        </w:rPr>
        <w:t>(7)</w:t>
      </w:r>
      <w:r>
        <w:rPr>
          <w:rtl/>
          <w:lang w:bidi="fa-IR"/>
        </w:rPr>
        <w:t>!</w:t>
      </w:r>
    </w:p>
    <w:p w:rsidR="000C39D1" w:rsidRPr="00132E65" w:rsidRDefault="000C39D1" w:rsidP="000C39D1">
      <w:pPr>
        <w:pStyle w:val="libNormal"/>
        <w:rPr>
          <w:rtl/>
          <w:lang w:bidi="fa-IR"/>
        </w:rPr>
      </w:pPr>
      <w:r w:rsidRPr="00132E65">
        <w:rPr>
          <w:rtl/>
          <w:lang w:bidi="fa-IR"/>
        </w:rPr>
        <w:t>قَالَ : « وَمَا هُوَ</w:t>
      </w:r>
      <w:r>
        <w:rPr>
          <w:rtl/>
          <w:lang w:bidi="fa-IR"/>
        </w:rPr>
        <w:t>؟</w:t>
      </w:r>
      <w:r w:rsidRPr="00132E65">
        <w:rPr>
          <w:rtl/>
          <w:lang w:bidi="fa-IR"/>
        </w:rPr>
        <w:t xml:space="preserve"> » ‌</w:t>
      </w:r>
    </w:p>
    <w:p w:rsidR="000C39D1" w:rsidRPr="00132E65" w:rsidRDefault="000C39D1" w:rsidP="000C39D1">
      <w:pPr>
        <w:pStyle w:val="libNormal"/>
        <w:rPr>
          <w:rtl/>
          <w:lang w:bidi="fa-IR"/>
        </w:rPr>
      </w:pPr>
      <w:r w:rsidRPr="00132E65">
        <w:rPr>
          <w:rtl/>
          <w:lang w:bidi="fa-IR"/>
        </w:rPr>
        <w:t>قُلْتُ : هذَا ابْنُ أَخِيكَ يُرِيدُ أَنْ يُوَدِّعَكَ ، و</w:t>
      </w:r>
      <w:r w:rsidR="00625A86">
        <w:rPr>
          <w:rFonts w:hint="cs"/>
          <w:rtl/>
          <w:lang w:bidi="fa-IR"/>
        </w:rPr>
        <w:t>َ</w:t>
      </w:r>
      <w:r w:rsidRPr="00132E65">
        <w:rPr>
          <w:rtl/>
          <w:lang w:bidi="fa-IR"/>
        </w:rPr>
        <w:t xml:space="preserve">يَخْرُجَ إِلى بَغْدَادَ ، فَقَالَ لِيَ </w:t>
      </w:r>
      <w:r>
        <w:rPr>
          <w:rStyle w:val="libFootnotenumChar"/>
          <w:rtl/>
        </w:rPr>
        <w:t>(8)</w:t>
      </w:r>
      <w:r w:rsidRPr="00132E65">
        <w:rPr>
          <w:rtl/>
          <w:lang w:bidi="fa-IR"/>
        </w:rPr>
        <w:t xml:space="preserve"> : « ادْعُهُ </w:t>
      </w:r>
      <w:r>
        <w:rPr>
          <w:rStyle w:val="libFootnotenumChar"/>
          <w:rtl/>
        </w:rPr>
        <w:t>(9)</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625A86" w:rsidP="000C39D1">
      <w:pPr>
        <w:pStyle w:val="libFootnote0"/>
        <w:rPr>
          <w:rtl/>
          <w:lang w:bidi="fa-IR"/>
        </w:rPr>
      </w:pPr>
      <w:r>
        <w:rPr>
          <w:rFonts w:hint="cs"/>
          <w:rtl/>
        </w:rPr>
        <w:t>=</w:t>
      </w:r>
      <w:r w:rsidR="000C39D1" w:rsidRPr="00132E65">
        <w:rPr>
          <w:rtl/>
        </w:rPr>
        <w:t xml:space="preserve">سيف بن عميرة ، عن إسحاق بن عمّار ، عن أبي الحسن </w:t>
      </w:r>
      <w:r w:rsidR="000C39D1" w:rsidRPr="00625A86">
        <w:rPr>
          <w:rStyle w:val="libFootnoteAlaemChar"/>
          <w:rtl/>
        </w:rPr>
        <w:t>عليه‌السلام</w:t>
      </w:r>
      <w:r w:rsidR="000C39D1" w:rsidRPr="00132E65">
        <w:rPr>
          <w:rtl/>
        </w:rPr>
        <w:t xml:space="preserve"> »</w:t>
      </w:r>
      <w:r w:rsidR="000C39D1">
        <w:rPr>
          <w:rtl/>
        </w:rPr>
        <w:t>.</w:t>
      </w:r>
      <w:r w:rsidR="000C39D1" w:rsidRPr="00132E65">
        <w:rPr>
          <w:rtl/>
        </w:rPr>
        <w:t xml:space="preserve"> وهو الصواب كما يعلم من متن الخبر في الموضعين ) وفيه إلى قوله : « الإمام أولى بعلم ذلك » ؛ </w:t>
      </w:r>
      <w:r w:rsidR="000C39D1" w:rsidRPr="00C7281F">
        <w:rPr>
          <w:rtl/>
        </w:rPr>
        <w:t>وفيه</w:t>
      </w:r>
      <w:r w:rsidR="000C39D1" w:rsidRPr="00132E65">
        <w:rPr>
          <w:rtl/>
        </w:rPr>
        <w:t xml:space="preserve"> ، ص 265 ، ح 13 ، بسنده عن إسحاق عن أبي الحسن </w:t>
      </w:r>
      <w:r w:rsidR="000C39D1" w:rsidRPr="00625A86">
        <w:rPr>
          <w:rStyle w:val="libFootnoteAlaemChar"/>
          <w:rtl/>
        </w:rPr>
        <w:t>عليه‌السلام</w:t>
      </w:r>
      <w:r w:rsidR="000C39D1" w:rsidRPr="00132E65">
        <w:rPr>
          <w:rtl/>
        </w:rPr>
        <w:t xml:space="preserve"> ، مع اختلاف ؛ </w:t>
      </w:r>
      <w:r w:rsidR="000C39D1" w:rsidRPr="00625A86">
        <w:rPr>
          <w:rStyle w:val="libFootnoteBoldChar"/>
          <w:rtl/>
        </w:rPr>
        <w:t>رجال الكشّي</w:t>
      </w:r>
      <w:r w:rsidR="000C39D1" w:rsidRPr="00132E65">
        <w:rPr>
          <w:rtl/>
        </w:rPr>
        <w:t xml:space="preserve"> ، ص 409 ، ح 768 ، بسنده عن إسحاق بن عمّار ، إلى قوله : « هذا في نفسك » مع اختلاف يسير </w:t>
      </w:r>
      <w:r>
        <w:rPr>
          <w:rFonts w:hint="cs"/>
          <w:rtl/>
        </w:rPr>
        <w:t>.</w:t>
      </w:r>
      <w:r w:rsidR="000C39D1" w:rsidRPr="009D1ACE">
        <w:rPr>
          <w:rStyle w:val="libFootnoteBoldChar"/>
          <w:rtl/>
        </w:rPr>
        <w:t>الوافي</w:t>
      </w:r>
      <w:r w:rsidR="000C39D1" w:rsidRPr="00132E65">
        <w:rPr>
          <w:rtl/>
        </w:rPr>
        <w:t xml:space="preserve"> ، ج 3 ، ص 810 ، ح 1417 ؛ </w:t>
      </w:r>
      <w:r w:rsidR="000C39D1" w:rsidRPr="00625A86">
        <w:rPr>
          <w:rStyle w:val="libFootnoteBoldChar"/>
          <w:rtl/>
        </w:rPr>
        <w:t>البحار</w:t>
      </w:r>
      <w:r w:rsidR="000C39D1" w:rsidRPr="00132E65">
        <w:rPr>
          <w:rtl/>
        </w:rPr>
        <w:t xml:space="preserve"> ، ج 48 ، ص 68 ، ح 91.</w:t>
      </w:r>
    </w:p>
    <w:p w:rsidR="000C39D1" w:rsidRPr="00132E65" w:rsidRDefault="000C39D1" w:rsidP="000C39D1">
      <w:pPr>
        <w:pStyle w:val="libFootnote0"/>
        <w:rPr>
          <w:rtl/>
          <w:lang w:bidi="fa-IR"/>
        </w:rPr>
      </w:pPr>
      <w:r>
        <w:rPr>
          <w:rtl/>
        </w:rPr>
        <w:t>(1).</w:t>
      </w:r>
      <w:r w:rsidRPr="00132E65">
        <w:rPr>
          <w:rtl/>
        </w:rPr>
        <w:t xml:space="preserve"> في « ج ، ض » : « بالجوّية »</w:t>
      </w:r>
      <w:r>
        <w:rPr>
          <w:rtl/>
        </w:rPr>
        <w:t>.</w:t>
      </w:r>
      <w:r w:rsidRPr="00132E65">
        <w:rPr>
          <w:rtl/>
        </w:rPr>
        <w:t xml:space="preserve"> وفي « ف » : « بالجوية »</w:t>
      </w:r>
      <w:r>
        <w:rPr>
          <w:rtl/>
        </w:rPr>
        <w:t>.</w:t>
      </w:r>
      <w:r w:rsidRPr="00132E65">
        <w:rPr>
          <w:rtl/>
        </w:rPr>
        <w:t xml:space="preserve"> وفي « بح » : « بالهويّة »</w:t>
      </w:r>
      <w:r>
        <w:rPr>
          <w:rtl/>
        </w:rPr>
        <w:t>.</w:t>
      </w:r>
      <w:r w:rsidRPr="00132E65">
        <w:rPr>
          <w:rtl/>
        </w:rPr>
        <w:t xml:space="preserve"> وفي « بر ، بس » : « بالحوية »</w:t>
      </w:r>
      <w:r>
        <w:rPr>
          <w:rtl/>
        </w:rPr>
        <w:t>.</w:t>
      </w:r>
      <w:r w:rsidRPr="00132E65">
        <w:rPr>
          <w:rtl/>
        </w:rPr>
        <w:t xml:space="preserve"> وفي‌</w:t>
      </w:r>
      <w:r w:rsidRPr="009D1ACE">
        <w:rPr>
          <w:rStyle w:val="libFootnoteBoldChar"/>
          <w:rtl/>
        </w:rPr>
        <w:t>الوافي</w:t>
      </w:r>
      <w:r w:rsidRPr="00132E65">
        <w:rPr>
          <w:rtl/>
        </w:rPr>
        <w:t xml:space="preserve"> : « بالخونة »</w:t>
      </w:r>
      <w:r>
        <w:rPr>
          <w:rtl/>
        </w:rPr>
        <w:t>.</w:t>
      </w:r>
      <w:r w:rsidRPr="00132E65">
        <w:rPr>
          <w:rtl/>
        </w:rPr>
        <w:t xml:space="preserve"> والموجود في المعاجم : « الحَوْبُ » ، وهو موضع في ديار رَبِيعَة ، وهي تضمّ عدّة كَوْر ، وهي كلّها بين الحيرة والشام. راجع : </w:t>
      </w:r>
      <w:r w:rsidRPr="00625A86">
        <w:rPr>
          <w:rStyle w:val="libFootnoteBoldChar"/>
          <w:rtl/>
        </w:rPr>
        <w:t>معجم ما استعجم</w:t>
      </w:r>
      <w:r w:rsidRPr="00132E65">
        <w:rPr>
          <w:rtl/>
        </w:rPr>
        <w:t xml:space="preserve"> ، ج 2 ، ص 473 </w:t>
      </w:r>
      <w:r>
        <w:rPr>
          <w:rtl/>
        </w:rPr>
        <w:t>و 5</w:t>
      </w:r>
      <w:r w:rsidRPr="00132E65">
        <w:rPr>
          <w:rtl/>
        </w:rPr>
        <w:t>68.</w:t>
      </w:r>
    </w:p>
    <w:tbl>
      <w:tblPr>
        <w:tblStyle w:val="TableGrid"/>
        <w:bidiVisual/>
        <w:tblW w:w="0" w:type="auto"/>
        <w:tblLook w:val="04A0" w:firstRow="1" w:lastRow="0" w:firstColumn="1" w:lastColumn="0" w:noHBand="0" w:noVBand="1"/>
      </w:tblPr>
      <w:tblGrid>
        <w:gridCol w:w="4261"/>
        <w:gridCol w:w="4262"/>
      </w:tblGrid>
      <w:tr w:rsidR="00625A86" w:rsidTr="00625A86">
        <w:tc>
          <w:tcPr>
            <w:tcW w:w="4261" w:type="dxa"/>
          </w:tcPr>
          <w:p w:rsidR="00625A86" w:rsidRDefault="00625A86" w:rsidP="000C39D1">
            <w:pPr>
              <w:pStyle w:val="libFootnote0"/>
              <w:rPr>
                <w:rtl/>
              </w:rPr>
            </w:pPr>
            <w:r>
              <w:rPr>
                <w:rtl/>
              </w:rPr>
              <w:t>(2).</w:t>
            </w:r>
            <w:r w:rsidRPr="00132E65">
              <w:rPr>
                <w:rtl/>
              </w:rPr>
              <w:t xml:space="preserve"> في « ج » </w:t>
            </w:r>
            <w:r>
              <w:rPr>
                <w:rtl/>
              </w:rPr>
              <w:t xml:space="preserve">: - </w:t>
            </w:r>
            <w:r w:rsidRPr="00132E65">
              <w:rPr>
                <w:rtl/>
              </w:rPr>
              <w:t>« أخي »</w:t>
            </w:r>
            <w:r>
              <w:rPr>
                <w:rtl/>
              </w:rPr>
              <w:t>.</w:t>
            </w:r>
          </w:p>
        </w:tc>
        <w:tc>
          <w:tcPr>
            <w:tcW w:w="4262" w:type="dxa"/>
          </w:tcPr>
          <w:p w:rsidR="00625A86" w:rsidRDefault="00625A86" w:rsidP="000C39D1">
            <w:pPr>
              <w:pStyle w:val="libFootnote0"/>
              <w:rPr>
                <w:rtl/>
              </w:rPr>
            </w:pPr>
            <w:r>
              <w:rPr>
                <w:rtl/>
              </w:rPr>
              <w:t>(3).في «ف» : «أو عجّل</w:t>
            </w:r>
            <w:r w:rsidRPr="00132E65">
              <w:rPr>
                <w:rtl/>
              </w:rPr>
              <w:t>»</w:t>
            </w:r>
            <w:r>
              <w:rPr>
                <w:rtl/>
              </w:rPr>
              <w:t>. وفي «بح ، بر» : «</w:t>
            </w:r>
            <w:r w:rsidRPr="00132E65">
              <w:rPr>
                <w:rtl/>
              </w:rPr>
              <w:t>وا</w:t>
            </w:r>
            <w:r>
              <w:rPr>
                <w:rFonts w:hint="cs"/>
                <w:rtl/>
              </w:rPr>
              <w:t>ُ</w:t>
            </w:r>
            <w:r>
              <w:rPr>
                <w:rtl/>
              </w:rPr>
              <w:t>عجّل</w:t>
            </w:r>
            <w:r w:rsidRPr="00132E65">
              <w:rPr>
                <w:rtl/>
              </w:rPr>
              <w:t>»</w:t>
            </w:r>
            <w:r>
              <w:rPr>
                <w:rtl/>
              </w:rPr>
              <w:t>.</w:t>
            </w:r>
          </w:p>
        </w:tc>
      </w:tr>
    </w:tbl>
    <w:p w:rsidR="000C39D1" w:rsidRPr="00132E65" w:rsidRDefault="000C39D1" w:rsidP="000C39D1">
      <w:pPr>
        <w:pStyle w:val="libFootnote0"/>
        <w:rPr>
          <w:rtl/>
          <w:lang w:bidi="fa-IR"/>
        </w:rPr>
      </w:pPr>
      <w:r>
        <w:rPr>
          <w:rtl/>
        </w:rPr>
        <w:t>(4).</w:t>
      </w:r>
      <w:r w:rsidR="00625A86">
        <w:rPr>
          <w:rtl/>
        </w:rPr>
        <w:t xml:space="preserve"> « مُمَشَّق » ، أي مصبوغ بالم</w:t>
      </w:r>
      <w:r w:rsidR="00950826">
        <w:rPr>
          <w:rFonts w:hint="cs"/>
          <w:rtl/>
        </w:rPr>
        <w:t>ـَ</w:t>
      </w:r>
      <w:r w:rsidR="00950826">
        <w:rPr>
          <w:rtl/>
        </w:rPr>
        <w:t>شْق ، أي بالم</w:t>
      </w:r>
      <w:r w:rsidR="00950826">
        <w:rPr>
          <w:rFonts w:hint="cs"/>
          <w:rtl/>
        </w:rPr>
        <w:t>ـَ</w:t>
      </w:r>
      <w:r w:rsidRPr="00132E65">
        <w:rPr>
          <w:rtl/>
        </w:rPr>
        <w:t xml:space="preserve">غْرَة ، وهي طين أحمر. </w:t>
      </w:r>
      <w:r w:rsidRPr="00950826">
        <w:rPr>
          <w:rStyle w:val="libFootnoteBoldChar"/>
          <w:rtl/>
        </w:rPr>
        <w:t>المغرب</w:t>
      </w:r>
      <w:r w:rsidRPr="00132E65">
        <w:rPr>
          <w:rtl/>
        </w:rPr>
        <w:t xml:space="preserve"> ، ص 430 ( مشق )</w:t>
      </w:r>
      <w:r>
        <w:rPr>
          <w:rtl/>
        </w:rPr>
        <w:t>.</w:t>
      </w:r>
    </w:p>
    <w:p w:rsidR="000C39D1" w:rsidRPr="00132E65" w:rsidRDefault="000C39D1" w:rsidP="00950826">
      <w:pPr>
        <w:pStyle w:val="libFootnote0"/>
        <w:rPr>
          <w:rtl/>
          <w:lang w:bidi="fa-IR"/>
        </w:rPr>
      </w:pPr>
      <w:r>
        <w:rPr>
          <w:rtl/>
        </w:rPr>
        <w:t>(5).</w:t>
      </w:r>
      <w:r w:rsidRPr="00132E65">
        <w:rPr>
          <w:rtl/>
        </w:rPr>
        <w:t xml:space="preserve"> « العَتَبَةُ » : ا</w:t>
      </w:r>
      <w:r w:rsidR="00950826">
        <w:rPr>
          <w:rFonts w:hint="cs"/>
          <w:rtl/>
        </w:rPr>
        <w:t>ُ</w:t>
      </w:r>
      <w:r w:rsidRPr="00132E65">
        <w:rPr>
          <w:rtl/>
        </w:rPr>
        <w:t xml:space="preserve">سْكُفَّةُ الباب السُفْلى ، وهي الخشبة التي توطَأُ. وقيل العَتَبَةُ : العُليا منها. وهذا هو المراد هنا. راجع : </w:t>
      </w:r>
      <w:r w:rsidRPr="009D1ACE">
        <w:rPr>
          <w:rStyle w:val="libFootnoteBoldChar"/>
          <w:rtl/>
        </w:rPr>
        <w:t>لسان العرب</w:t>
      </w:r>
      <w:r w:rsidRPr="00132E65">
        <w:rPr>
          <w:rtl/>
        </w:rPr>
        <w:t xml:space="preserve"> ، ج 1 ، ص 576 ( عتب )</w:t>
      </w:r>
      <w:r>
        <w:rPr>
          <w:rtl/>
        </w:rPr>
        <w:t>.</w:t>
      </w:r>
      <w:r w:rsidR="00950826">
        <w:rPr>
          <w:rFonts w:hint="cs"/>
          <w:rtl/>
        </w:rPr>
        <w:t xml:space="preserve">              </w:t>
      </w:r>
      <w:r w:rsidR="003915A6">
        <w:rPr>
          <w:rFonts w:hint="cs"/>
          <w:rtl/>
        </w:rPr>
        <w:t xml:space="preserve"> </w:t>
      </w:r>
      <w:r w:rsidR="00950826">
        <w:rPr>
          <w:rFonts w:hint="cs"/>
          <w:rtl/>
        </w:rPr>
        <w:t xml:space="preserve">          </w:t>
      </w:r>
      <w:r>
        <w:rPr>
          <w:rtl/>
        </w:rPr>
        <w:t>(6).</w:t>
      </w:r>
      <w:r w:rsidRPr="00132E65">
        <w:rPr>
          <w:rtl/>
        </w:rPr>
        <w:t xml:space="preserve"> في « ب » : « ذاك »</w:t>
      </w:r>
      <w:r>
        <w:rPr>
          <w:rtl/>
        </w:rPr>
        <w:t>.</w:t>
      </w:r>
    </w:p>
    <w:tbl>
      <w:tblPr>
        <w:tblStyle w:val="TableGrid"/>
        <w:bidiVisual/>
        <w:tblW w:w="0" w:type="auto"/>
        <w:tblLook w:val="04A0" w:firstRow="1" w:lastRow="0" w:firstColumn="1" w:lastColumn="0" w:noHBand="0" w:noVBand="1"/>
      </w:tblPr>
      <w:tblGrid>
        <w:gridCol w:w="4261"/>
        <w:gridCol w:w="4262"/>
      </w:tblGrid>
      <w:tr w:rsidR="00950826" w:rsidTr="00950826">
        <w:tc>
          <w:tcPr>
            <w:tcW w:w="4261" w:type="dxa"/>
          </w:tcPr>
          <w:p w:rsidR="00950826" w:rsidRDefault="00950826" w:rsidP="000C39D1">
            <w:pPr>
              <w:pStyle w:val="libFootnote0"/>
              <w:rPr>
                <w:rtl/>
              </w:rPr>
            </w:pPr>
            <w:r>
              <w:rPr>
                <w:rtl/>
              </w:rPr>
              <w:t>(7).</w:t>
            </w:r>
            <w:r w:rsidRPr="00132E65">
              <w:rPr>
                <w:rtl/>
              </w:rPr>
              <w:t xml:space="preserve"> في « ج ، ف ، بس ، بف » : « ما يخطي »</w:t>
            </w:r>
            <w:r>
              <w:rPr>
                <w:rtl/>
              </w:rPr>
              <w:t>.</w:t>
            </w:r>
          </w:p>
        </w:tc>
        <w:tc>
          <w:tcPr>
            <w:tcW w:w="4262" w:type="dxa"/>
          </w:tcPr>
          <w:p w:rsidR="00950826" w:rsidRDefault="00950826" w:rsidP="000C39D1">
            <w:pPr>
              <w:pStyle w:val="libFootnote0"/>
              <w:rPr>
                <w:rtl/>
              </w:rPr>
            </w:pPr>
            <w:r>
              <w:rPr>
                <w:rtl/>
              </w:rPr>
              <w:t>(8). في «ب، ج ، ض، ف ، بس» وحاشية «بر»:«</w:t>
            </w:r>
            <w:r w:rsidRPr="00132E65">
              <w:rPr>
                <w:rtl/>
              </w:rPr>
              <w:t>ل</w:t>
            </w:r>
            <w:r>
              <w:rPr>
                <w:rtl/>
              </w:rPr>
              <w:t>ه</w:t>
            </w:r>
            <w:r w:rsidRPr="00132E65">
              <w:rPr>
                <w:rtl/>
              </w:rPr>
              <w:t>»</w:t>
            </w:r>
            <w:r>
              <w:rPr>
                <w:rtl/>
              </w:rPr>
              <w:t>.</w:t>
            </w:r>
          </w:p>
        </w:tc>
      </w:tr>
    </w:tbl>
    <w:p w:rsidR="000C39D1" w:rsidRPr="00132E65" w:rsidRDefault="000C39D1" w:rsidP="000C39D1">
      <w:pPr>
        <w:pStyle w:val="libFootnote0"/>
        <w:rPr>
          <w:rtl/>
          <w:lang w:bidi="fa-IR"/>
        </w:rPr>
      </w:pPr>
      <w:r>
        <w:rPr>
          <w:rtl/>
        </w:rPr>
        <w:t>(9).</w:t>
      </w:r>
      <w:r w:rsidRPr="00132E65">
        <w:rPr>
          <w:rtl/>
        </w:rPr>
        <w:t xml:space="preserve"> في « ب ، ج ، ض ، ف ، بح » : « ادنه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فَدَعَوْتُهُ</w:t>
      </w:r>
      <w:r>
        <w:rPr>
          <w:rtl/>
          <w:lang w:bidi="fa-IR"/>
        </w:rPr>
        <w:t xml:space="preserve"> - </w:t>
      </w:r>
      <w:r w:rsidRPr="00132E65">
        <w:rPr>
          <w:rtl/>
          <w:lang w:bidi="fa-IR"/>
        </w:rPr>
        <w:t>و</w:t>
      </w:r>
      <w:r w:rsidR="00950826">
        <w:rPr>
          <w:rFonts w:hint="cs"/>
          <w:rtl/>
          <w:lang w:bidi="fa-IR"/>
        </w:rPr>
        <w:t>َ</w:t>
      </w:r>
      <w:r w:rsidRPr="00132E65">
        <w:rPr>
          <w:rtl/>
          <w:lang w:bidi="fa-IR"/>
        </w:rPr>
        <w:t>كَانَ مُتَنَحِّياً</w:t>
      </w:r>
      <w:r>
        <w:rPr>
          <w:rtl/>
          <w:lang w:bidi="fa-IR"/>
        </w:rPr>
        <w:t xml:space="preserve"> - </w:t>
      </w:r>
      <w:r w:rsidRPr="00132E65">
        <w:rPr>
          <w:rtl/>
          <w:lang w:bidi="fa-IR"/>
        </w:rPr>
        <w:t xml:space="preserve">فَدَنَا مِنْهُ ، فَقَبَّلَ </w:t>
      </w:r>
      <w:r>
        <w:rPr>
          <w:rStyle w:val="libFootnotenumChar"/>
          <w:rtl/>
        </w:rPr>
        <w:t>(1)</w:t>
      </w:r>
      <w:r w:rsidRPr="00132E65">
        <w:rPr>
          <w:rtl/>
          <w:lang w:bidi="fa-IR"/>
        </w:rPr>
        <w:t xml:space="preserve"> رَأْسَهُ ، و</w:t>
      </w:r>
      <w:r w:rsidR="00950826">
        <w:rPr>
          <w:rFonts w:hint="cs"/>
          <w:rtl/>
          <w:lang w:bidi="fa-IR"/>
        </w:rPr>
        <w:t>َ</w:t>
      </w:r>
      <w:r w:rsidRPr="00132E65">
        <w:rPr>
          <w:rtl/>
          <w:lang w:bidi="fa-IR"/>
        </w:rPr>
        <w:t xml:space="preserve">قَالَ : جُعِلْتُ فِدَاكَ ، أَوْصِنِي </w:t>
      </w:r>
      <w:r>
        <w:rPr>
          <w:rStyle w:val="libFootnotenumChar"/>
          <w:rtl/>
        </w:rPr>
        <w:t>(2)</w:t>
      </w:r>
      <w:r w:rsidRPr="00132E65">
        <w:rPr>
          <w:rtl/>
          <w:lang w:bidi="fa-IR"/>
        </w:rPr>
        <w:t xml:space="preserve"> ، فَقَالَ :</w:t>
      </w:r>
      <w:r>
        <w:rPr>
          <w:rFonts w:hint="cs"/>
          <w:rtl/>
          <w:lang w:bidi="fa-IR"/>
        </w:rPr>
        <w:t xml:space="preserve"> </w:t>
      </w:r>
      <w:r w:rsidRPr="00132E65">
        <w:rPr>
          <w:rtl/>
          <w:lang w:bidi="fa-IR"/>
        </w:rPr>
        <w:t>« أُوصِيكَ أَنْ تَتَّقِيَ اللهَ فِي دَمِي »</w:t>
      </w:r>
      <w:r>
        <w:rPr>
          <w:rtl/>
          <w:lang w:bidi="fa-IR"/>
        </w:rPr>
        <w:t>.</w:t>
      </w:r>
      <w:r w:rsidRPr="00132E65">
        <w:rPr>
          <w:rtl/>
          <w:lang w:bidi="fa-IR"/>
        </w:rPr>
        <w:t xml:space="preserve"> فَقَالَ مُجِيباً لَهُ : مَنْ أَرَادَكَ بِسُوءٍ فَعَلَ اللهُ بِهِ ، و</w:t>
      </w:r>
      <w:r w:rsidR="00950826">
        <w:rPr>
          <w:rFonts w:hint="cs"/>
          <w:rtl/>
          <w:lang w:bidi="fa-IR"/>
        </w:rPr>
        <w:t>َ</w:t>
      </w:r>
      <w:r w:rsidRPr="00132E65">
        <w:rPr>
          <w:rtl/>
          <w:lang w:bidi="fa-IR"/>
        </w:rPr>
        <w:t xml:space="preserve">جَعَلَ يَدْعُو عَلى مَنْ يُرِيدُهُ بِسُوءٍ ؛ ثُمَّ عَادَ ، فَقَبَّلَ رَأْسَهُ ، فَقَالَ </w:t>
      </w:r>
      <w:r>
        <w:rPr>
          <w:rStyle w:val="libFootnotenumChar"/>
          <w:rtl/>
        </w:rPr>
        <w:t>(3)</w:t>
      </w:r>
      <w:r w:rsidRPr="00132E65">
        <w:rPr>
          <w:rtl/>
          <w:lang w:bidi="fa-IR"/>
        </w:rPr>
        <w:t xml:space="preserve"> : يَا عَمِّ ، أَوْصِنِي ، فَقَالَ :</w:t>
      </w:r>
      <w:r>
        <w:rPr>
          <w:rFonts w:hint="cs"/>
          <w:rtl/>
          <w:lang w:bidi="fa-IR"/>
        </w:rPr>
        <w:t xml:space="preserve"> </w:t>
      </w:r>
      <w:r w:rsidRPr="00132E65">
        <w:rPr>
          <w:rtl/>
          <w:lang w:bidi="fa-IR"/>
        </w:rPr>
        <w:t>« أُوصِيكَ أَنْ تَتَّقِيَ اللهَ فِي دَمِي »</w:t>
      </w:r>
      <w:r>
        <w:rPr>
          <w:rtl/>
          <w:lang w:bidi="fa-IR"/>
        </w:rPr>
        <w:t>.</w:t>
      </w:r>
      <w:r w:rsidRPr="00132E65">
        <w:rPr>
          <w:rtl/>
          <w:lang w:bidi="fa-IR"/>
        </w:rPr>
        <w:t xml:space="preserve"> فَقَالَ : مَنْ أَرَادَكَ بِسُوءٍ فَعَلَ اللهُ بِهِ و</w:t>
      </w:r>
      <w:r w:rsidR="00950826">
        <w:rPr>
          <w:rFonts w:hint="cs"/>
          <w:rtl/>
          <w:lang w:bidi="fa-IR"/>
        </w:rPr>
        <w:t xml:space="preserve">َ </w:t>
      </w:r>
      <w:r w:rsidRPr="00132E65">
        <w:rPr>
          <w:rtl/>
          <w:lang w:bidi="fa-IR"/>
        </w:rPr>
        <w:t xml:space="preserve">فَعَلَ ؛ ثُمَّ عَادَ ، فَقَبَّلَ رَأْسَهُ ، ثُمَّ قَالَ : يَا عَمِّ ، أَوْصِنِي ، فَقَالَ </w:t>
      </w:r>
      <w:r>
        <w:rPr>
          <w:rStyle w:val="libFootnotenumChar"/>
          <w:rtl/>
        </w:rPr>
        <w:t>(4)</w:t>
      </w:r>
      <w:r w:rsidRPr="00132E65">
        <w:rPr>
          <w:rtl/>
          <w:lang w:bidi="fa-IR"/>
        </w:rPr>
        <w:t xml:space="preserve"> : « أُوصِيكَ أَنْ تَتَّقِيَ اللهَ فِي دَمِي »</w:t>
      </w:r>
      <w:r>
        <w:rPr>
          <w:rtl/>
          <w:lang w:bidi="fa-IR"/>
        </w:rPr>
        <w:t>.</w:t>
      </w:r>
      <w:r w:rsidRPr="00132E65">
        <w:rPr>
          <w:rtl/>
          <w:lang w:bidi="fa-IR"/>
        </w:rPr>
        <w:t xml:space="preserve"> فَدَعَا عَلى مَنْ أَرَادَهُ بِسُوءٍ ، ثُمَّ تَنَحّى عَنْهُ </w:t>
      </w:r>
      <w:r>
        <w:rPr>
          <w:rStyle w:val="libFootnotenumChar"/>
          <w:rtl/>
        </w:rPr>
        <w:t>(5)</w:t>
      </w:r>
      <w:r w:rsidRPr="00132E65">
        <w:rPr>
          <w:rtl/>
          <w:lang w:bidi="fa-IR"/>
        </w:rPr>
        <w:t xml:space="preserve"> ، و</w:t>
      </w:r>
      <w:r w:rsidR="00950826">
        <w:rPr>
          <w:rFonts w:hint="cs"/>
          <w:rtl/>
          <w:lang w:bidi="fa-IR"/>
        </w:rPr>
        <w:t>َ</w:t>
      </w:r>
      <w:r>
        <w:rPr>
          <w:rFonts w:hint="cs"/>
          <w:rtl/>
          <w:lang w:bidi="fa-IR"/>
        </w:rPr>
        <w:t xml:space="preserve"> </w:t>
      </w:r>
      <w:r>
        <w:rPr>
          <w:rStyle w:val="libFootnotenumChar"/>
          <w:rtl/>
        </w:rPr>
        <w:t>(6)</w:t>
      </w:r>
      <w:r w:rsidRPr="00132E65">
        <w:rPr>
          <w:rtl/>
          <w:lang w:bidi="fa-IR"/>
        </w:rPr>
        <w:t xml:space="preserve"> مَضَيْتُ مَعَهُ </w:t>
      </w:r>
      <w:r>
        <w:rPr>
          <w:rStyle w:val="libFootnotenumChar"/>
          <w:rtl/>
        </w:rPr>
        <w:t>(7)</w:t>
      </w:r>
      <w:r w:rsidRPr="00132E65">
        <w:rPr>
          <w:rtl/>
          <w:lang w:bidi="fa-IR"/>
        </w:rPr>
        <w:t xml:space="preserve"> ، فَقَالَ لِي أَخِي : « يَا عَلِيُّ ، مَكَانَكَ » فَقُمْتُ مَكَانِي ، فَدَخَلَ مَنْزِلَهُ ، ثُمَّ دَعَانِي ، فَدَخَلْتُ إِلَيْهِ ، فَتَنَاوَلَ صُرَّةً </w:t>
      </w:r>
      <w:r>
        <w:rPr>
          <w:rStyle w:val="libFootnotenumChar"/>
          <w:rtl/>
        </w:rPr>
        <w:t>(8)</w:t>
      </w:r>
      <w:r w:rsidRPr="00132E65">
        <w:rPr>
          <w:rtl/>
          <w:lang w:bidi="fa-IR"/>
        </w:rPr>
        <w:t xml:space="preserve"> فِيهَا مِائَةُ دِينَارٍ ، فَأَعْطَانِيهَا ، و</w:t>
      </w:r>
      <w:r w:rsidR="00950826">
        <w:rPr>
          <w:rFonts w:hint="cs"/>
          <w:rtl/>
          <w:lang w:bidi="fa-IR"/>
        </w:rPr>
        <w:t>َ</w:t>
      </w:r>
      <w:r w:rsidRPr="00132E65">
        <w:rPr>
          <w:rtl/>
          <w:lang w:bidi="fa-IR"/>
        </w:rPr>
        <w:t xml:space="preserve">قَالَ : « قُلْ لِابْنِ أَخِيكَ يَسْتَعِينُ </w:t>
      </w:r>
      <w:r>
        <w:rPr>
          <w:rStyle w:val="libFootnotenumChar"/>
          <w:rtl/>
        </w:rPr>
        <w:t>(9)</w:t>
      </w:r>
      <w:r w:rsidRPr="00132E65">
        <w:rPr>
          <w:rtl/>
          <w:lang w:bidi="fa-IR"/>
        </w:rPr>
        <w:t xml:space="preserve"> بِهَا عَلى سَفَرِهِ »</w:t>
      </w:r>
      <w:r>
        <w:rPr>
          <w:rtl/>
          <w:lang w:bidi="fa-IR"/>
        </w:rPr>
        <w:t>.</w:t>
      </w:r>
    </w:p>
    <w:p w:rsidR="000C39D1" w:rsidRPr="00132E65" w:rsidRDefault="000C39D1" w:rsidP="000C39D1">
      <w:pPr>
        <w:pStyle w:val="libNormal"/>
        <w:rPr>
          <w:rtl/>
          <w:lang w:bidi="fa-IR"/>
        </w:rPr>
      </w:pPr>
      <w:r w:rsidRPr="00132E65">
        <w:rPr>
          <w:rtl/>
          <w:lang w:bidi="fa-IR"/>
        </w:rPr>
        <w:t>قَالَ عَلِيٌّ : فَأَخَذْتُهَا ، فَأَدْرَجْتُهَا فِي حَاشِيَةِ رِدَائِي ، ثُمَّ نَاوَلَنِي مِائَةً أُخْرى ، و</w:t>
      </w:r>
      <w:r w:rsidR="00950826">
        <w:rPr>
          <w:rFonts w:hint="cs"/>
          <w:rtl/>
          <w:lang w:bidi="fa-IR"/>
        </w:rPr>
        <w:t>َ</w:t>
      </w:r>
      <w:r w:rsidRPr="00132E65">
        <w:rPr>
          <w:rtl/>
          <w:lang w:bidi="fa-IR"/>
        </w:rPr>
        <w:t xml:space="preserve">قَالَ </w:t>
      </w:r>
      <w:r>
        <w:rPr>
          <w:rStyle w:val="libFootnotenumChar"/>
          <w:rtl/>
        </w:rPr>
        <w:t>(10)</w:t>
      </w:r>
      <w:r w:rsidRPr="00132E65">
        <w:rPr>
          <w:rtl/>
          <w:lang w:bidi="fa-IR"/>
        </w:rPr>
        <w:t xml:space="preserve"> :</w:t>
      </w:r>
      <w:r>
        <w:rPr>
          <w:rFonts w:hint="cs"/>
          <w:rtl/>
          <w:lang w:bidi="fa-IR"/>
        </w:rPr>
        <w:t xml:space="preserve"> </w:t>
      </w:r>
      <w:r w:rsidRPr="00132E65">
        <w:rPr>
          <w:rtl/>
          <w:lang w:bidi="fa-IR"/>
        </w:rPr>
        <w:t>« أَعْطِهِ أَيْضاً » ثُمَّ نَاوَلَنِي صُرَّةً أُخْرى ، و</w:t>
      </w:r>
      <w:r w:rsidR="00950826">
        <w:rPr>
          <w:rFonts w:hint="cs"/>
          <w:rtl/>
          <w:lang w:bidi="fa-IR"/>
        </w:rPr>
        <w:t>َ</w:t>
      </w:r>
      <w:r w:rsidRPr="00132E65">
        <w:rPr>
          <w:rtl/>
          <w:lang w:bidi="fa-IR"/>
        </w:rPr>
        <w:t>قَالَ : « أَعْطِهِ أَيْضاً » فَقُلْتُ : جُعِلْتُ فِدَاكَ ، إِذَا كُنْتَ تَخَافُ مِنْهُ مِثْلَ الَّذِي ذَكَرْتَ ، فَلِمَ تُعِينُهُ عَلى نَفْسِكَ</w:t>
      </w:r>
      <w:r>
        <w:rPr>
          <w:rtl/>
          <w:lang w:bidi="fa-IR"/>
        </w:rPr>
        <w:t>؟</w:t>
      </w:r>
    </w:p>
    <w:p w:rsidR="000C39D1" w:rsidRPr="00132E65" w:rsidRDefault="000C39D1" w:rsidP="000C39D1">
      <w:pPr>
        <w:pStyle w:val="libNormal"/>
        <w:rPr>
          <w:rtl/>
          <w:lang w:bidi="fa-IR"/>
        </w:rPr>
      </w:pPr>
      <w:r w:rsidRPr="00132E65">
        <w:rPr>
          <w:rtl/>
          <w:lang w:bidi="fa-IR"/>
        </w:rPr>
        <w:t>فَقَالَ : إِذَا و</w:t>
      </w:r>
      <w:r w:rsidR="00950826">
        <w:rPr>
          <w:rFonts w:hint="cs"/>
          <w:rtl/>
          <w:lang w:bidi="fa-IR"/>
        </w:rPr>
        <w:t>َ</w:t>
      </w:r>
      <w:r w:rsidRPr="00132E65">
        <w:rPr>
          <w:rtl/>
          <w:lang w:bidi="fa-IR"/>
        </w:rPr>
        <w:t>صَلْتُهُ و</w:t>
      </w:r>
      <w:r w:rsidR="00950826">
        <w:rPr>
          <w:rFonts w:hint="cs"/>
          <w:rtl/>
          <w:lang w:bidi="fa-IR"/>
        </w:rPr>
        <w:t>َ</w:t>
      </w:r>
      <w:r w:rsidRPr="00132E65">
        <w:rPr>
          <w:rtl/>
          <w:lang w:bidi="fa-IR"/>
        </w:rPr>
        <w:t xml:space="preserve">قَطَعَنِي </w:t>
      </w:r>
      <w:r>
        <w:rPr>
          <w:rStyle w:val="libFootnotenumChar"/>
          <w:rtl/>
        </w:rPr>
        <w:t>(11)</w:t>
      </w:r>
      <w:r w:rsidRPr="00132E65">
        <w:rPr>
          <w:rtl/>
          <w:lang w:bidi="fa-IR"/>
        </w:rPr>
        <w:t xml:space="preserve"> ، قَطَعَ اللهُ أَجَلَهُ ، ثُمَّ تَنَاوَلَ مِخَدَّةَ </w:t>
      </w:r>
      <w:r>
        <w:rPr>
          <w:rStyle w:val="libFootnotenumChar"/>
          <w:rtl/>
        </w:rPr>
        <w:t>(12)</w:t>
      </w:r>
      <w:r w:rsidRPr="00132E65">
        <w:rPr>
          <w:rtl/>
          <w:lang w:bidi="fa-IR"/>
        </w:rPr>
        <w:t xml:space="preserve"> أَدَمٍ </w:t>
      </w:r>
      <w:r w:rsidRPr="00F543F1">
        <w:rPr>
          <w:rStyle w:val="libFootnotenumChar"/>
          <w:rtl/>
        </w:rPr>
        <w:t>(13)</w:t>
      </w:r>
      <w:r w:rsidRPr="00132E65">
        <w:rPr>
          <w:rtl/>
          <w:lang w:bidi="fa-IR"/>
        </w:rPr>
        <w:t xml:space="preserve"> ، فِيهَا‌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950826" w:rsidTr="00950826">
        <w:tc>
          <w:tcPr>
            <w:tcW w:w="4261" w:type="dxa"/>
          </w:tcPr>
          <w:p w:rsidR="00950826" w:rsidRDefault="00950826" w:rsidP="000C39D1">
            <w:pPr>
              <w:pStyle w:val="libFootnote0"/>
              <w:rPr>
                <w:rtl/>
              </w:rPr>
            </w:pPr>
            <w:r>
              <w:rPr>
                <w:rtl/>
              </w:rPr>
              <w:t>(1).</w:t>
            </w:r>
            <w:r w:rsidRPr="00132E65">
              <w:rPr>
                <w:rtl/>
              </w:rPr>
              <w:t xml:space="preserve"> في « بس » : « وقبّل »</w:t>
            </w:r>
            <w:r>
              <w:rPr>
                <w:rtl/>
              </w:rPr>
              <w:t>.</w:t>
            </w:r>
          </w:p>
        </w:tc>
        <w:tc>
          <w:tcPr>
            <w:tcW w:w="4262" w:type="dxa"/>
          </w:tcPr>
          <w:p w:rsidR="00950826" w:rsidRDefault="00950826" w:rsidP="000C39D1">
            <w:pPr>
              <w:pStyle w:val="libFootnote0"/>
              <w:rPr>
                <w:rtl/>
              </w:rPr>
            </w:pPr>
            <w:r>
              <w:rPr>
                <w:rtl/>
              </w:rPr>
              <w:t>(2).</w:t>
            </w:r>
            <w:r w:rsidRPr="00132E65">
              <w:rPr>
                <w:rtl/>
              </w:rPr>
              <w:t xml:space="preserve"> في « بس » : « أوصيني »</w:t>
            </w:r>
            <w:r>
              <w:rPr>
                <w:rtl/>
              </w:rPr>
              <w:t>.</w:t>
            </w:r>
          </w:p>
        </w:tc>
      </w:tr>
      <w:tr w:rsidR="00950826" w:rsidTr="00950826">
        <w:tc>
          <w:tcPr>
            <w:tcW w:w="4261" w:type="dxa"/>
          </w:tcPr>
          <w:p w:rsidR="00950826" w:rsidRDefault="00950826" w:rsidP="000C39D1">
            <w:pPr>
              <w:pStyle w:val="libFootnote0"/>
              <w:rPr>
                <w:rtl/>
              </w:rPr>
            </w:pPr>
            <w:r>
              <w:rPr>
                <w:rtl/>
              </w:rPr>
              <w:t>(3).</w:t>
            </w:r>
            <w:r w:rsidRPr="00132E65">
              <w:rPr>
                <w:rtl/>
              </w:rPr>
              <w:t xml:space="preserve"> في « ض » : « ثمّ قال »</w:t>
            </w:r>
            <w:r>
              <w:rPr>
                <w:rtl/>
              </w:rPr>
              <w:t>.</w:t>
            </w:r>
          </w:p>
        </w:tc>
        <w:tc>
          <w:tcPr>
            <w:tcW w:w="4262" w:type="dxa"/>
          </w:tcPr>
          <w:p w:rsidR="00950826" w:rsidRDefault="00950826" w:rsidP="000C39D1">
            <w:pPr>
              <w:pStyle w:val="libFootnote0"/>
              <w:rPr>
                <w:rtl/>
              </w:rPr>
            </w:pPr>
            <w:r>
              <w:rPr>
                <w:rtl/>
              </w:rPr>
              <w:t>(4).</w:t>
            </w:r>
            <w:r w:rsidRPr="00132E65">
              <w:rPr>
                <w:rtl/>
              </w:rPr>
              <w:t xml:space="preserve"> في « بس » : « قال »</w:t>
            </w:r>
            <w:r>
              <w:rPr>
                <w:rtl/>
              </w:rPr>
              <w:t>.</w:t>
            </w:r>
          </w:p>
        </w:tc>
      </w:tr>
      <w:tr w:rsidR="00950826" w:rsidTr="00950826">
        <w:tc>
          <w:tcPr>
            <w:tcW w:w="4261" w:type="dxa"/>
          </w:tcPr>
          <w:p w:rsidR="00950826" w:rsidRDefault="00950826" w:rsidP="000C39D1">
            <w:pPr>
              <w:pStyle w:val="libFootnote0"/>
              <w:rPr>
                <w:rtl/>
              </w:rPr>
            </w:pPr>
            <w:r>
              <w:rPr>
                <w:rtl/>
              </w:rPr>
              <w:t>(5).</w:t>
            </w:r>
            <w:r w:rsidRPr="00132E65">
              <w:rPr>
                <w:rtl/>
              </w:rPr>
              <w:t xml:space="preserve"> في « ج » : « منه »</w:t>
            </w:r>
            <w:r>
              <w:rPr>
                <w:rtl/>
              </w:rPr>
              <w:t>.</w:t>
            </w:r>
          </w:p>
        </w:tc>
        <w:tc>
          <w:tcPr>
            <w:tcW w:w="4262" w:type="dxa"/>
          </w:tcPr>
          <w:p w:rsidR="00950826" w:rsidRDefault="00950826" w:rsidP="000C39D1">
            <w:pPr>
              <w:pStyle w:val="libFootnote0"/>
              <w:rPr>
                <w:rtl/>
              </w:rPr>
            </w:pPr>
            <w:r>
              <w:rPr>
                <w:rtl/>
              </w:rPr>
              <w:t>(6).</w:t>
            </w:r>
            <w:r w:rsidRPr="00132E65">
              <w:rPr>
                <w:rtl/>
              </w:rPr>
              <w:t xml:space="preserve"> في « بر » : « ثمّ »</w:t>
            </w:r>
            <w:r>
              <w:rPr>
                <w:rtl/>
              </w:rPr>
              <w:t>.</w:t>
            </w:r>
          </w:p>
        </w:tc>
      </w:tr>
    </w:tbl>
    <w:p w:rsidR="000C39D1" w:rsidRPr="00132E65" w:rsidRDefault="000C39D1" w:rsidP="000C39D1">
      <w:pPr>
        <w:pStyle w:val="libFootnote0"/>
        <w:rPr>
          <w:rtl/>
          <w:lang w:bidi="fa-IR"/>
        </w:rPr>
      </w:pPr>
      <w:r>
        <w:rPr>
          <w:rtl/>
        </w:rPr>
        <w:t>(7).</w:t>
      </w:r>
      <w:r w:rsidRPr="00132E65">
        <w:rPr>
          <w:rtl/>
        </w:rPr>
        <w:t xml:space="preserve"> في « بف » : « عنه »</w:t>
      </w:r>
      <w:r>
        <w:rPr>
          <w:rtl/>
        </w:rPr>
        <w:t>.</w:t>
      </w:r>
    </w:p>
    <w:p w:rsidR="000C39D1" w:rsidRPr="00132E65" w:rsidRDefault="000C39D1" w:rsidP="000C39D1">
      <w:pPr>
        <w:pStyle w:val="libFootnote0"/>
        <w:rPr>
          <w:rtl/>
          <w:lang w:bidi="fa-IR"/>
        </w:rPr>
      </w:pPr>
      <w:r>
        <w:rPr>
          <w:rtl/>
        </w:rPr>
        <w:t>(8).</w:t>
      </w:r>
      <w:r w:rsidRPr="00132E65">
        <w:rPr>
          <w:rtl/>
        </w:rPr>
        <w:t xml:space="preserve"> « الصرّة » : هي ما يُصَرّ فيه ، أي يُجْمَع فيه. وصُرّة الدراهم معروفة. راجع : </w:t>
      </w:r>
      <w:r w:rsidRPr="009D1ACE">
        <w:rPr>
          <w:rStyle w:val="libFootnoteBoldChar"/>
          <w:rtl/>
        </w:rPr>
        <w:t>لسان العرب</w:t>
      </w:r>
      <w:r w:rsidRPr="00132E65">
        <w:rPr>
          <w:rtl/>
        </w:rPr>
        <w:t xml:space="preserve"> ، ج 4 ، ص 451</w:t>
      </w:r>
      <w:r>
        <w:rPr>
          <w:rtl/>
        </w:rPr>
        <w:t xml:space="preserve"> - </w:t>
      </w:r>
      <w:r w:rsidRPr="00132E65">
        <w:rPr>
          <w:rtl/>
        </w:rPr>
        <w:t>452 ( صرر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فيستعين »</w:t>
      </w:r>
      <w:r>
        <w:rPr>
          <w:rtl/>
        </w:rPr>
        <w:t>.</w:t>
      </w:r>
    </w:p>
    <w:p w:rsidR="000C39D1" w:rsidRPr="00132E65" w:rsidRDefault="000C39D1" w:rsidP="000C39D1">
      <w:pPr>
        <w:pStyle w:val="libFootnote0"/>
        <w:rPr>
          <w:rtl/>
          <w:lang w:bidi="fa-IR"/>
        </w:rPr>
      </w:pPr>
      <w:r>
        <w:rPr>
          <w:rtl/>
        </w:rPr>
        <w:t>(10).</w:t>
      </w:r>
      <w:r w:rsidRPr="00132E65">
        <w:rPr>
          <w:rtl/>
        </w:rPr>
        <w:t xml:space="preserve"> في « ف » : « فقال »</w:t>
      </w:r>
      <w:r>
        <w:rPr>
          <w:rtl/>
        </w:rPr>
        <w:t>.</w:t>
      </w:r>
    </w:p>
    <w:p w:rsidR="000C39D1" w:rsidRPr="00132E65" w:rsidRDefault="000C39D1" w:rsidP="000C39D1">
      <w:pPr>
        <w:pStyle w:val="libFootnote0"/>
        <w:rPr>
          <w:rtl/>
          <w:lang w:bidi="fa-IR"/>
        </w:rPr>
      </w:pPr>
      <w:r>
        <w:rPr>
          <w:rtl/>
        </w:rPr>
        <w:t>(11).</w:t>
      </w:r>
      <w:r w:rsidRPr="00132E65">
        <w:rPr>
          <w:rtl/>
        </w:rPr>
        <w:t xml:space="preserve"> في « ف » : « قطع »</w:t>
      </w:r>
      <w:r>
        <w:rPr>
          <w:rtl/>
        </w:rPr>
        <w:t>.</w:t>
      </w:r>
    </w:p>
    <w:p w:rsidR="000C39D1" w:rsidRPr="00132E65" w:rsidRDefault="000C39D1" w:rsidP="000C39D1">
      <w:pPr>
        <w:pStyle w:val="libFootnote0"/>
        <w:rPr>
          <w:rtl/>
          <w:lang w:bidi="fa-IR"/>
        </w:rPr>
      </w:pPr>
      <w:r>
        <w:rPr>
          <w:rtl/>
        </w:rPr>
        <w:t>(12).</w:t>
      </w:r>
      <w:r w:rsidR="008C4163">
        <w:rPr>
          <w:rtl/>
        </w:rPr>
        <w:t xml:space="preserve"> « الم</w:t>
      </w:r>
      <w:r w:rsidR="008C4163">
        <w:rPr>
          <w:rFonts w:hint="cs"/>
          <w:rtl/>
        </w:rPr>
        <w:t>ـِ</w:t>
      </w:r>
      <w:r w:rsidRPr="00132E65">
        <w:rPr>
          <w:rtl/>
        </w:rPr>
        <w:t>خَدَّة » : ما يوضع الخَدّ عليه. قال الفيض : « أراد بها الخالية عن الحشو المجعولة كيساً للدراهم »</w:t>
      </w:r>
      <w:r>
        <w:rPr>
          <w:rtl/>
        </w:rPr>
        <w:t>.</w:t>
      </w:r>
      <w:r w:rsidRPr="00132E65">
        <w:rPr>
          <w:rtl/>
        </w:rPr>
        <w:t xml:space="preserve"> راجع : </w:t>
      </w:r>
      <w:r w:rsidRPr="008C4163">
        <w:rPr>
          <w:rStyle w:val="libFootnoteBoldChar"/>
          <w:rtl/>
        </w:rPr>
        <w:t>الصحاح</w:t>
      </w:r>
      <w:r w:rsidRPr="00132E65">
        <w:rPr>
          <w:rtl/>
        </w:rPr>
        <w:t xml:space="preserve"> ، ج 2 ، ص 468 ( خدد ) ؛ </w:t>
      </w:r>
      <w:r w:rsidRPr="009D1ACE">
        <w:rPr>
          <w:rStyle w:val="libFootnoteBoldChar"/>
          <w:rtl/>
        </w:rPr>
        <w:t>الوافي</w:t>
      </w:r>
      <w:r w:rsidRPr="00132E65">
        <w:rPr>
          <w:rtl/>
        </w:rPr>
        <w:t xml:space="preserve"> ، ج 3 ، ص 812.</w:t>
      </w:r>
    </w:p>
    <w:p w:rsidR="000C39D1" w:rsidRPr="00132E65" w:rsidRDefault="000C39D1" w:rsidP="000C39D1">
      <w:pPr>
        <w:pStyle w:val="libFootnote0"/>
        <w:rPr>
          <w:rtl/>
          <w:lang w:bidi="fa-IR"/>
        </w:rPr>
      </w:pPr>
      <w:r>
        <w:rPr>
          <w:rtl/>
        </w:rPr>
        <w:t>(13)</w:t>
      </w:r>
      <w:r w:rsidRPr="00132E65">
        <w:rPr>
          <w:rtl/>
        </w:rPr>
        <w:t xml:space="preserve"> « الأدَم » : اسم لجمع أدِيم ، وهو الجلد المدبوغ المصلح بالدِباغ. </w:t>
      </w:r>
      <w:r w:rsidRPr="008C4163">
        <w:rPr>
          <w:rStyle w:val="libFootnoteBoldChar"/>
          <w:rtl/>
        </w:rPr>
        <w:t>المغرب</w:t>
      </w:r>
      <w:r w:rsidRPr="00132E65">
        <w:rPr>
          <w:rtl/>
        </w:rPr>
        <w:t xml:space="preserve"> ، ص 22 ( أدم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ثَلَاثَةُ آلَافِ دِرْهَمٍ و</w:t>
      </w:r>
      <w:r w:rsidR="008C4163">
        <w:rPr>
          <w:rFonts w:hint="cs"/>
          <w:rtl/>
          <w:lang w:bidi="fa-IR"/>
        </w:rPr>
        <w:t>َ</w:t>
      </w:r>
      <w:r w:rsidRPr="00132E65">
        <w:rPr>
          <w:rtl/>
          <w:lang w:bidi="fa-IR"/>
        </w:rPr>
        <w:t xml:space="preserve">ضَحٍ </w:t>
      </w:r>
      <w:r>
        <w:rPr>
          <w:rStyle w:val="libFootnotenumChar"/>
          <w:rtl/>
        </w:rPr>
        <w:t>(1)</w:t>
      </w:r>
      <w:r w:rsidRPr="00132E65">
        <w:rPr>
          <w:rtl/>
          <w:lang w:bidi="fa-IR"/>
        </w:rPr>
        <w:t xml:space="preserve"> ، و</w:t>
      </w:r>
      <w:r w:rsidR="008C4163">
        <w:rPr>
          <w:rFonts w:hint="cs"/>
          <w:rtl/>
          <w:lang w:bidi="fa-IR"/>
        </w:rPr>
        <w:t>َ</w:t>
      </w:r>
      <w:r w:rsidRPr="00132E65">
        <w:rPr>
          <w:rtl/>
          <w:lang w:bidi="fa-IR"/>
        </w:rPr>
        <w:t xml:space="preserve">قَالَ </w:t>
      </w:r>
      <w:r>
        <w:rPr>
          <w:rStyle w:val="libFootnotenumChar"/>
          <w:rtl/>
        </w:rPr>
        <w:t>(2)</w:t>
      </w:r>
      <w:r w:rsidRPr="00132E65">
        <w:rPr>
          <w:rtl/>
          <w:lang w:bidi="fa-IR"/>
        </w:rPr>
        <w:t xml:space="preserve"> : « أَعْطِهِ هذِهِ أَيْضاً »</w:t>
      </w:r>
      <w:r>
        <w:rPr>
          <w:rtl/>
          <w:lang w:bidi="fa-IR"/>
        </w:rPr>
        <w:t>.</w:t>
      </w:r>
    </w:p>
    <w:p w:rsidR="000C39D1" w:rsidRPr="00132E65" w:rsidRDefault="000C39D1" w:rsidP="000C39D1">
      <w:pPr>
        <w:pStyle w:val="libNormal"/>
        <w:rPr>
          <w:rtl/>
          <w:lang w:bidi="fa-IR"/>
        </w:rPr>
      </w:pPr>
      <w:r w:rsidRPr="00132E65">
        <w:rPr>
          <w:rtl/>
          <w:lang w:bidi="fa-IR"/>
        </w:rPr>
        <w:t xml:space="preserve">قَالَ : فَخَرَجْتُ إِلَيْهِ ، فَأَعْطَيْتُهُ الْمِائَةَ الْأُولى ، فَفَرِحَ بِهَا فَرَحاً </w:t>
      </w:r>
      <w:r>
        <w:rPr>
          <w:rStyle w:val="libFootnotenumChar"/>
          <w:rtl/>
        </w:rPr>
        <w:t>(3)</w:t>
      </w:r>
      <w:r w:rsidRPr="00132E65">
        <w:rPr>
          <w:rtl/>
          <w:lang w:bidi="fa-IR"/>
        </w:rPr>
        <w:t xml:space="preserve"> شَدِيداً ، و</w:t>
      </w:r>
      <w:r w:rsidR="008C4163">
        <w:rPr>
          <w:rFonts w:hint="cs"/>
          <w:rtl/>
          <w:lang w:bidi="fa-IR"/>
        </w:rPr>
        <w:t>َ</w:t>
      </w:r>
      <w:r w:rsidRPr="00132E65">
        <w:rPr>
          <w:rtl/>
          <w:lang w:bidi="fa-IR"/>
        </w:rPr>
        <w:t xml:space="preserve">دَعَا لِعَمِّهِ ، ثُمَّ أَعْطَيْتُهُ </w:t>
      </w:r>
      <w:r>
        <w:rPr>
          <w:rStyle w:val="libFootnotenumChar"/>
          <w:rtl/>
        </w:rPr>
        <w:t>(4)</w:t>
      </w:r>
      <w:r w:rsidRPr="00132E65">
        <w:rPr>
          <w:rtl/>
          <w:lang w:bidi="fa-IR"/>
        </w:rPr>
        <w:t xml:space="preserve"> الثَّانِيَةَ والثَّالِثَةَ ، فَفَرِحَ بِهَا </w:t>
      </w:r>
      <w:r>
        <w:rPr>
          <w:rStyle w:val="libFootnotenumChar"/>
          <w:rtl/>
        </w:rPr>
        <w:t>(5)</w:t>
      </w:r>
      <w:r w:rsidRPr="00132E65">
        <w:rPr>
          <w:rtl/>
          <w:lang w:bidi="fa-IR"/>
        </w:rPr>
        <w:t xml:space="preserve"> حَتّى ظَنَنْتُ أَنَّهُ سَيَرْجِعُ ولَايَخْرُجُ ، ثُمَّ أَعْطَيْتُهُ الثَّلَاثَةَ آلَافِ </w:t>
      </w:r>
      <w:r>
        <w:rPr>
          <w:rStyle w:val="libFootnotenumChar"/>
          <w:rtl/>
        </w:rPr>
        <w:t>(6)</w:t>
      </w:r>
      <w:r w:rsidRPr="00132E65">
        <w:rPr>
          <w:rtl/>
          <w:lang w:bidi="fa-IR"/>
        </w:rPr>
        <w:t xml:space="preserve"> دِرْهَمٍ ، فَمَضى عَلى وجْهِهِ حَتّى دَخَلَ عَلى هَارُونَ ، فَسَلَّمَ عَلَيْهِ بِالْخِلَافَةِ ، و</w:t>
      </w:r>
      <w:r w:rsidR="008C4163">
        <w:rPr>
          <w:rFonts w:hint="cs"/>
          <w:rtl/>
          <w:lang w:bidi="fa-IR"/>
        </w:rPr>
        <w:t>َ</w:t>
      </w:r>
      <w:r w:rsidRPr="00132E65">
        <w:rPr>
          <w:rtl/>
          <w:lang w:bidi="fa-IR"/>
        </w:rPr>
        <w:t xml:space="preserve">قَالَ : مَا ظَنَنْتُ أَنَّ فِي الْأَرْضِ خَلِيفَتَيْنِ حَتّى رَأَيْتُ عَمِّي مُوسَى بْنَ جَعْفَرٍ يُسَلَّمُ عَلَيْهِ بِالْخِلَافَةِ ، فَأَرْسَلَ هَارُونُ إِلَيْهِ بِمِائَةِ أَلْفِ دِرْهَمٍ ؛ فَرَمَاهُ </w:t>
      </w:r>
      <w:r>
        <w:rPr>
          <w:rStyle w:val="libFootnotenumChar"/>
          <w:rtl/>
        </w:rPr>
        <w:t>(7)</w:t>
      </w:r>
      <w:r w:rsidRPr="00132E65">
        <w:rPr>
          <w:rtl/>
          <w:lang w:bidi="fa-IR"/>
        </w:rPr>
        <w:t xml:space="preserve"> اللهُ بِالذُّبَحَةِ </w:t>
      </w:r>
      <w:r>
        <w:rPr>
          <w:rStyle w:val="libFootnotenumChar"/>
          <w:rtl/>
        </w:rPr>
        <w:t>(8)</w:t>
      </w:r>
      <w:r w:rsidRPr="00132E65">
        <w:rPr>
          <w:rtl/>
          <w:lang w:bidi="fa-IR"/>
        </w:rPr>
        <w:t xml:space="preserve"> ، فَمَا نَظَرَ مِنْهَا </w:t>
      </w:r>
      <w:r>
        <w:rPr>
          <w:rStyle w:val="libFootnotenumChar"/>
          <w:rtl/>
        </w:rPr>
        <w:t>(9)</w:t>
      </w:r>
      <w:r w:rsidRPr="00132E65">
        <w:rPr>
          <w:rtl/>
          <w:lang w:bidi="fa-IR"/>
        </w:rPr>
        <w:t xml:space="preserve"> إِلى دِرْهَمٍ </w:t>
      </w:r>
      <w:r>
        <w:rPr>
          <w:rStyle w:val="libFootnotenumChar"/>
          <w:rtl/>
        </w:rPr>
        <w:t>(10)</w:t>
      </w:r>
      <w:r w:rsidRPr="00132E65">
        <w:rPr>
          <w:rtl/>
          <w:lang w:bidi="fa-IR"/>
        </w:rPr>
        <w:t xml:space="preserve"> ، و</w:t>
      </w:r>
      <w:r w:rsidR="008C4163">
        <w:rPr>
          <w:rFonts w:hint="cs"/>
          <w:rtl/>
          <w:lang w:bidi="fa-IR"/>
        </w:rPr>
        <w:t>َ</w:t>
      </w:r>
      <w:r w:rsidRPr="00132E65">
        <w:rPr>
          <w:rtl/>
          <w:lang w:bidi="fa-IR"/>
        </w:rPr>
        <w:t xml:space="preserve">لَامَسَّهُ.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CC5934">
        <w:rPr>
          <w:rtl/>
        </w:rPr>
        <w:t>1297</w:t>
      </w:r>
      <w:r w:rsidRPr="004325D8">
        <w:rPr>
          <w:rStyle w:val="libBold2Char"/>
          <w:rtl/>
        </w:rPr>
        <w:t xml:space="preserve"> / 9.</w:t>
      </w:r>
      <w:r w:rsidRPr="00132E65">
        <w:rPr>
          <w:rtl/>
          <w:lang w:bidi="fa-IR"/>
        </w:rPr>
        <w:t xml:space="preserve"> سَعْدُ بْنُ عَبْدِ اللهِ وعَبْدُ اللهِ بْنُ جَعْفَرٍ جَمِيعاً ، عَنْ إِبْرَاهِيمَ بْنِ مَهْزِيَارَ ، عَنْ أَخِيهِ عَلِيِّ بْنِ مَهْزِيَارَ ، عَنِ الْحُسَيْنِ </w:t>
      </w:r>
      <w:r>
        <w:rPr>
          <w:rStyle w:val="libFootnotenumChar"/>
          <w:rtl/>
        </w:rPr>
        <w:t>(12)</w:t>
      </w:r>
      <w:r w:rsidRPr="00132E65">
        <w:rPr>
          <w:rtl/>
          <w:lang w:bidi="fa-IR"/>
        </w:rPr>
        <w:t xml:space="preserve"> بْنِ سَعِيدٍ ، عَنْ مُحَمَّدِ بْنِ سِنَانٍ ، عَنِ </w:t>
      </w:r>
      <w:r w:rsidRPr="00F543F1">
        <w:rPr>
          <w:rStyle w:val="libFootnotenumChar"/>
          <w:rtl/>
        </w:rPr>
        <w:t>(13)</w:t>
      </w:r>
      <w:r w:rsidRPr="00132E65">
        <w:rPr>
          <w:rtl/>
          <w:lang w:bidi="fa-IR"/>
        </w:rPr>
        <w:t xml:space="preserve"> ابْنِ مُسْكَانَ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الوضح » : الدرهم الصحيح النقيّ الأبيض. راجع : </w:t>
      </w:r>
      <w:r w:rsidRPr="009D1ACE">
        <w:rPr>
          <w:rStyle w:val="libFootnoteBoldChar"/>
          <w:rtl/>
        </w:rPr>
        <w:t>لسان العرب</w:t>
      </w:r>
      <w:r w:rsidRPr="00132E65">
        <w:rPr>
          <w:rtl/>
        </w:rPr>
        <w:t xml:space="preserve"> ، ج 2 ، ص 635 ( وضح )</w:t>
      </w:r>
      <w:r>
        <w:rPr>
          <w:rtl/>
        </w:rPr>
        <w:t>.</w:t>
      </w:r>
    </w:p>
    <w:tbl>
      <w:tblPr>
        <w:tblStyle w:val="TableGrid"/>
        <w:bidiVisual/>
        <w:tblW w:w="0" w:type="auto"/>
        <w:tblLook w:val="04A0" w:firstRow="1" w:lastRow="0" w:firstColumn="1" w:lastColumn="0" w:noHBand="0" w:noVBand="1"/>
      </w:tblPr>
      <w:tblGrid>
        <w:gridCol w:w="4261"/>
        <w:gridCol w:w="4262"/>
      </w:tblGrid>
      <w:tr w:rsidR="008C4163" w:rsidTr="008C4163">
        <w:tc>
          <w:tcPr>
            <w:tcW w:w="4261" w:type="dxa"/>
          </w:tcPr>
          <w:p w:rsidR="008C4163" w:rsidRDefault="008C4163" w:rsidP="000C39D1">
            <w:pPr>
              <w:pStyle w:val="libFootnote0"/>
              <w:rPr>
                <w:rtl/>
              </w:rPr>
            </w:pPr>
            <w:r>
              <w:rPr>
                <w:rtl/>
              </w:rPr>
              <w:t>(2).</w:t>
            </w:r>
            <w:r w:rsidRPr="00132E65">
              <w:rPr>
                <w:rtl/>
              </w:rPr>
              <w:t xml:space="preserve"> في « ب ، ف » : « فقال »</w:t>
            </w:r>
            <w:r>
              <w:rPr>
                <w:rtl/>
              </w:rPr>
              <w:t>.</w:t>
            </w:r>
          </w:p>
        </w:tc>
        <w:tc>
          <w:tcPr>
            <w:tcW w:w="4262" w:type="dxa"/>
          </w:tcPr>
          <w:p w:rsidR="008C4163" w:rsidRDefault="008C4163" w:rsidP="000C39D1">
            <w:pPr>
              <w:pStyle w:val="libFootnote0"/>
              <w:rPr>
                <w:rtl/>
              </w:rPr>
            </w:pPr>
            <w:r>
              <w:rPr>
                <w:rtl/>
              </w:rPr>
              <w:t>(3).</w:t>
            </w:r>
            <w:r w:rsidRPr="00132E65">
              <w:rPr>
                <w:rtl/>
              </w:rPr>
              <w:t xml:space="preserve"> في « ف » </w:t>
            </w:r>
            <w:r>
              <w:rPr>
                <w:rtl/>
              </w:rPr>
              <w:t xml:space="preserve">: - </w:t>
            </w:r>
            <w:r w:rsidRPr="00132E65">
              <w:rPr>
                <w:rtl/>
              </w:rPr>
              <w:t>« فرحاً »</w:t>
            </w:r>
            <w:r>
              <w:rPr>
                <w:rtl/>
              </w:rPr>
              <w:t>.</w:t>
            </w:r>
          </w:p>
        </w:tc>
      </w:tr>
      <w:tr w:rsidR="008C4163" w:rsidTr="008C4163">
        <w:tc>
          <w:tcPr>
            <w:tcW w:w="4261" w:type="dxa"/>
          </w:tcPr>
          <w:p w:rsidR="008C4163" w:rsidRDefault="008C4163" w:rsidP="000C39D1">
            <w:pPr>
              <w:pStyle w:val="libFootnote0"/>
              <w:rPr>
                <w:rtl/>
              </w:rPr>
            </w:pPr>
            <w:r>
              <w:rPr>
                <w:rtl/>
              </w:rPr>
              <w:t>(4).</w:t>
            </w:r>
            <w:r w:rsidRPr="00132E65">
              <w:rPr>
                <w:rtl/>
              </w:rPr>
              <w:t xml:space="preserve"> في « ب ، ف » :</w:t>
            </w:r>
            <w:r>
              <w:rPr>
                <w:rtl/>
              </w:rPr>
              <w:t xml:space="preserve"> + </w:t>
            </w:r>
            <w:r w:rsidRPr="00132E65">
              <w:rPr>
                <w:rtl/>
              </w:rPr>
              <w:t>« المائة »</w:t>
            </w:r>
            <w:r>
              <w:rPr>
                <w:rtl/>
              </w:rPr>
              <w:t>.</w:t>
            </w:r>
          </w:p>
        </w:tc>
        <w:tc>
          <w:tcPr>
            <w:tcW w:w="4262" w:type="dxa"/>
          </w:tcPr>
          <w:p w:rsidR="008C4163" w:rsidRDefault="008C4163" w:rsidP="000C39D1">
            <w:pPr>
              <w:pStyle w:val="libFootnote0"/>
              <w:rPr>
                <w:rtl/>
              </w:rPr>
            </w:pPr>
            <w:r>
              <w:rPr>
                <w:rtl/>
              </w:rPr>
              <w:t>(5).</w:t>
            </w:r>
            <w:r w:rsidRPr="00132E65">
              <w:rPr>
                <w:rtl/>
              </w:rPr>
              <w:t xml:space="preserve"> في « ج ، ف ، بس » </w:t>
            </w:r>
            <w:r>
              <w:rPr>
                <w:rtl/>
              </w:rPr>
              <w:t xml:space="preserve">: - </w:t>
            </w:r>
            <w:r w:rsidRPr="00132E65">
              <w:rPr>
                <w:rtl/>
              </w:rPr>
              <w:t>« بها »</w:t>
            </w:r>
            <w:r>
              <w:rPr>
                <w:rtl/>
              </w:rPr>
              <w:t>.</w:t>
            </w:r>
          </w:p>
        </w:tc>
      </w:tr>
      <w:tr w:rsidR="008C4163" w:rsidTr="008C4163">
        <w:tc>
          <w:tcPr>
            <w:tcW w:w="4261" w:type="dxa"/>
          </w:tcPr>
          <w:p w:rsidR="008C4163" w:rsidRDefault="008C4163" w:rsidP="000C39D1">
            <w:pPr>
              <w:pStyle w:val="libFootnote0"/>
              <w:rPr>
                <w:rtl/>
              </w:rPr>
            </w:pPr>
            <w:r>
              <w:rPr>
                <w:rtl/>
              </w:rPr>
              <w:t>(6).</w:t>
            </w:r>
            <w:r w:rsidRPr="00132E65">
              <w:rPr>
                <w:rtl/>
              </w:rPr>
              <w:t xml:space="preserve"> في « ف » : « الآلاف »</w:t>
            </w:r>
            <w:r>
              <w:rPr>
                <w:rtl/>
              </w:rPr>
              <w:t>.</w:t>
            </w:r>
          </w:p>
        </w:tc>
        <w:tc>
          <w:tcPr>
            <w:tcW w:w="4262" w:type="dxa"/>
          </w:tcPr>
          <w:p w:rsidR="008C4163" w:rsidRDefault="008C4163" w:rsidP="000C39D1">
            <w:pPr>
              <w:pStyle w:val="libFootnote0"/>
              <w:rPr>
                <w:rtl/>
              </w:rPr>
            </w:pPr>
            <w:r>
              <w:rPr>
                <w:rtl/>
              </w:rPr>
              <w:t>(7).</w:t>
            </w:r>
            <w:r w:rsidRPr="00132E65">
              <w:rPr>
                <w:rtl/>
              </w:rPr>
              <w:t xml:space="preserve"> في « ب » : « ورماه »</w:t>
            </w:r>
            <w:r>
              <w:rPr>
                <w:rtl/>
              </w:rPr>
              <w:t>.</w:t>
            </w:r>
          </w:p>
        </w:tc>
      </w:tr>
    </w:tbl>
    <w:p w:rsidR="000C39D1" w:rsidRPr="00132E65" w:rsidRDefault="000C39D1" w:rsidP="008C4163">
      <w:pPr>
        <w:pStyle w:val="libFootnote0"/>
        <w:rPr>
          <w:rtl/>
          <w:lang w:bidi="fa-IR"/>
        </w:rPr>
      </w:pPr>
      <w:r>
        <w:rPr>
          <w:rtl/>
        </w:rPr>
        <w:t>(8).</w:t>
      </w:r>
      <w:r w:rsidRPr="00132E65">
        <w:rPr>
          <w:rtl/>
        </w:rPr>
        <w:t xml:space="preserve"> « الذبحة » ، كهُمَزَة وعِنَبَة وكِسْرَة وصُبْرَة وكِتاب وغراب : و</w:t>
      </w:r>
      <w:r w:rsidR="008C4163">
        <w:rPr>
          <w:rFonts w:hint="cs"/>
          <w:rtl/>
        </w:rPr>
        <w:t>َ</w:t>
      </w:r>
      <w:r w:rsidRPr="00132E65">
        <w:rPr>
          <w:rtl/>
        </w:rPr>
        <w:t xml:space="preserve">جَع يعرض في الحلق من الدم. وقيل : هي قُرْحة تظهر فيه فينسدّ معها وينقطع النفس فيقتل ، أو دم يَخنُق فيقتل. راجع : </w:t>
      </w:r>
      <w:r w:rsidRPr="008C4163">
        <w:rPr>
          <w:rStyle w:val="libFootnoteBoldChar"/>
          <w:rtl/>
        </w:rPr>
        <w:t>النهاية</w:t>
      </w:r>
      <w:r w:rsidRPr="00132E65">
        <w:rPr>
          <w:rtl/>
        </w:rPr>
        <w:t xml:space="preserve"> ، ج 2 ، ص 153 ؛ </w:t>
      </w:r>
      <w:r w:rsidRPr="008C4163">
        <w:rPr>
          <w:rStyle w:val="libFootnoteBoldChar"/>
          <w:rtl/>
        </w:rPr>
        <w:t>القاموس المحيط</w:t>
      </w:r>
      <w:r w:rsidRPr="00132E65">
        <w:rPr>
          <w:rtl/>
        </w:rPr>
        <w:t xml:space="preserve"> ، ج 1 ، ص 331 ( ذبح )</w:t>
      </w:r>
      <w:r>
        <w:rPr>
          <w:rtl/>
        </w:rPr>
        <w:t>.</w:t>
      </w:r>
      <w:r w:rsidR="008C4163">
        <w:rPr>
          <w:rFonts w:hint="cs"/>
          <w:rtl/>
        </w:rPr>
        <w:t xml:space="preserve">                                              </w:t>
      </w:r>
      <w:r>
        <w:rPr>
          <w:rtl/>
        </w:rPr>
        <w:t>(9).</w:t>
      </w:r>
      <w:r w:rsidRPr="00132E65">
        <w:rPr>
          <w:rtl/>
        </w:rPr>
        <w:t xml:space="preserve"> في « بح » </w:t>
      </w:r>
      <w:r>
        <w:rPr>
          <w:rtl/>
        </w:rPr>
        <w:t xml:space="preserve">: - </w:t>
      </w:r>
      <w:r w:rsidRPr="00132E65">
        <w:rPr>
          <w:rtl/>
        </w:rPr>
        <w:t>« منها »</w:t>
      </w:r>
      <w:r>
        <w:rPr>
          <w:rtl/>
        </w:rPr>
        <w:t>.</w:t>
      </w:r>
    </w:p>
    <w:p w:rsidR="000C39D1" w:rsidRPr="00132E65" w:rsidRDefault="000C39D1" w:rsidP="000C39D1">
      <w:pPr>
        <w:pStyle w:val="libFootnote0"/>
        <w:rPr>
          <w:rtl/>
          <w:lang w:bidi="fa-IR"/>
        </w:rPr>
      </w:pPr>
      <w:r>
        <w:rPr>
          <w:rtl/>
        </w:rPr>
        <w:t>(10).</w:t>
      </w:r>
      <w:r w:rsidRPr="00132E65">
        <w:rPr>
          <w:rtl/>
        </w:rPr>
        <w:t xml:space="preserve"> في « ب ، ف » : « إلى درهم منها »</w:t>
      </w:r>
      <w:r>
        <w:rPr>
          <w:rtl/>
        </w:rPr>
        <w:t>.</w:t>
      </w:r>
    </w:p>
    <w:p w:rsidR="000C39D1" w:rsidRPr="00132E65" w:rsidRDefault="000C39D1" w:rsidP="000C39D1">
      <w:pPr>
        <w:pStyle w:val="libFootnote0"/>
        <w:rPr>
          <w:rtl/>
          <w:lang w:bidi="fa-IR"/>
        </w:rPr>
      </w:pPr>
      <w:r>
        <w:rPr>
          <w:rtl/>
        </w:rPr>
        <w:t>(11).</w:t>
      </w:r>
      <w:r w:rsidRPr="00132E65">
        <w:rPr>
          <w:rtl/>
        </w:rPr>
        <w:t xml:space="preserve"> </w:t>
      </w:r>
      <w:r w:rsidRPr="008C4163">
        <w:rPr>
          <w:rStyle w:val="libFootnoteBoldChar"/>
          <w:rtl/>
        </w:rPr>
        <w:t>عيون الأخبار</w:t>
      </w:r>
      <w:r w:rsidRPr="00132E65">
        <w:rPr>
          <w:rtl/>
        </w:rPr>
        <w:t xml:space="preserve"> ، ج 1 ، ص 72 ، ح 2 ، بسنده عن عليّ بن إبراهيم بن هاشم ، من قوله : « حتّى دخل على هارون ، فسلّم عليه بالخلافة » ، مع اختلاف يسير </w:t>
      </w:r>
      <w:r w:rsidR="008C4163">
        <w:rPr>
          <w:rFonts w:hint="cs"/>
          <w:rtl/>
        </w:rPr>
        <w:t>.</w:t>
      </w:r>
      <w:r w:rsidRPr="009D1ACE">
        <w:rPr>
          <w:rStyle w:val="libFootnoteBoldChar"/>
          <w:rtl/>
        </w:rPr>
        <w:t>الوافي</w:t>
      </w:r>
      <w:r w:rsidRPr="00132E65">
        <w:rPr>
          <w:rtl/>
        </w:rPr>
        <w:t xml:space="preserve"> ، ج 3 ، ص 811 ، ح 1418 ؛ </w:t>
      </w:r>
      <w:r w:rsidRPr="008C4163">
        <w:rPr>
          <w:rStyle w:val="libFootnoteBoldChar"/>
          <w:rtl/>
        </w:rPr>
        <w:t>الوسائل</w:t>
      </w:r>
      <w:r w:rsidRPr="00132E65">
        <w:rPr>
          <w:rtl/>
        </w:rPr>
        <w:t xml:space="preserve"> ، ج 5 ، ص 30 ، ح 5807.</w:t>
      </w:r>
    </w:p>
    <w:p w:rsidR="000C39D1" w:rsidRPr="00132E65" w:rsidRDefault="000C39D1" w:rsidP="000C39D1">
      <w:pPr>
        <w:pStyle w:val="libFootnote0"/>
        <w:rPr>
          <w:rtl/>
          <w:lang w:bidi="fa-IR"/>
        </w:rPr>
      </w:pPr>
      <w:r>
        <w:rPr>
          <w:rtl/>
        </w:rPr>
        <w:t>(12).</w:t>
      </w:r>
      <w:r w:rsidRPr="00132E65">
        <w:rPr>
          <w:rtl/>
        </w:rPr>
        <w:t xml:space="preserve"> في « ب » : « الحسن »</w:t>
      </w:r>
      <w:r>
        <w:rPr>
          <w:rtl/>
        </w:rPr>
        <w:t>.</w:t>
      </w:r>
    </w:p>
    <w:p w:rsidR="000C39D1" w:rsidRPr="00132E65" w:rsidRDefault="000C39D1" w:rsidP="000C39D1">
      <w:pPr>
        <w:pStyle w:val="libFootnote0"/>
        <w:rPr>
          <w:rtl/>
          <w:lang w:bidi="ar-IQ"/>
        </w:rPr>
      </w:pPr>
      <w:r>
        <w:rPr>
          <w:rtl/>
        </w:rPr>
        <w:t>(13)</w:t>
      </w:r>
      <w:r w:rsidRPr="00132E65">
        <w:rPr>
          <w:rtl/>
        </w:rPr>
        <w:t xml:space="preserve"> هذا الخبر قطعة من الخبر الطويل الذي ورد في وفيات الأئمّة </w:t>
      </w:r>
      <w:r w:rsidRPr="00323055">
        <w:rPr>
          <w:rStyle w:val="libFootnoteAlaemChar"/>
          <w:rtl/>
        </w:rPr>
        <w:t>عليهم‌السلام</w:t>
      </w:r>
      <w:r w:rsidRPr="00132E65">
        <w:rPr>
          <w:rtl/>
        </w:rPr>
        <w:t xml:space="preserve"> ، وأشرنا إليه ذيل ح 1255 والظاهر زيادة « عن ابن مسكان عن أبي بصير » في السند ، ومنشؤها تكرّر هذا الارتباط في ح 1274 </w:t>
      </w:r>
      <w:r>
        <w:rPr>
          <w:rtl/>
        </w:rPr>
        <w:t>و 1</w:t>
      </w:r>
      <w:r w:rsidRPr="00132E65">
        <w:rPr>
          <w:rtl/>
        </w:rPr>
        <w:t xml:space="preserve">280 </w:t>
      </w:r>
      <w:r>
        <w:rPr>
          <w:rtl/>
        </w:rPr>
        <w:t>و 1</w:t>
      </w:r>
      <w:r w:rsidRPr="00132E65">
        <w:rPr>
          <w:rtl/>
        </w:rPr>
        <w:t xml:space="preserve">287 ، وأنّ عبارة « قبض موسى بن جعفر </w:t>
      </w:r>
      <w:r w:rsidRPr="00323055">
        <w:rPr>
          <w:rStyle w:val="libFootnoteAlaemChar"/>
          <w:rtl/>
        </w:rPr>
        <w:t>عليهما‌السلام</w:t>
      </w:r>
      <w:r>
        <w:rPr>
          <w:rtl/>
        </w:rPr>
        <w:t xml:space="preserve"> ..</w:t>
      </w:r>
      <w:r w:rsidRPr="00132E65">
        <w:rPr>
          <w:rtl/>
        </w:rPr>
        <w:t xml:space="preserve">. » من كلام محمّد بن سنان ، كما أشار إليه المحقّق الخوانساري في رسالته في أحوال أبي بصير المطبوعة ضمن </w:t>
      </w:r>
      <w:r w:rsidRPr="00323055">
        <w:rPr>
          <w:rStyle w:val="libFootnoteBoldChar"/>
          <w:rtl/>
        </w:rPr>
        <w:t>الجوامع الفقهيّة</w:t>
      </w:r>
      <w:r w:rsidRPr="00132E65">
        <w:rPr>
          <w:rtl/>
        </w:rPr>
        <w:t xml:space="preserve"> ، ص 67</w:t>
      </w:r>
      <w:r>
        <w:rPr>
          <w:rtl/>
        </w:rPr>
        <w:t xml:space="preserve"> - </w:t>
      </w:r>
      <w:r w:rsidRPr="00132E65">
        <w:rPr>
          <w:rtl/>
        </w:rPr>
        <w:t>68 ؛ فإنّ أبا بصير</w:t>
      </w:r>
      <w:r>
        <w:rPr>
          <w:rtl/>
        </w:rPr>
        <w:t xml:space="preserve"> - </w:t>
      </w:r>
      <w:r w:rsidRPr="00132E65">
        <w:rPr>
          <w:rtl/>
        </w:rPr>
        <w:t>والمنصرف منه هو يحيى الأسدي كما ثبت في محلّه</w:t>
      </w:r>
      <w:r>
        <w:rPr>
          <w:rtl/>
        </w:rPr>
        <w:t xml:space="preserve"> - </w:t>
      </w:r>
      <w:r w:rsidRPr="00132E65">
        <w:rPr>
          <w:rtl/>
        </w:rPr>
        <w:t xml:space="preserve">مات سنة خمسين ومائة ، كما في </w:t>
      </w:r>
      <w:r w:rsidRPr="00323055">
        <w:rPr>
          <w:rStyle w:val="libFootnoteBoldChar"/>
          <w:rtl/>
        </w:rPr>
        <w:t>رجال النجاشي</w:t>
      </w:r>
      <w:r w:rsidRPr="00132E65">
        <w:rPr>
          <w:rtl/>
        </w:rPr>
        <w:t xml:space="preserve"> ، ص 441 ، الرقم 1187 ؛ </w:t>
      </w:r>
      <w:r w:rsidR="00323055">
        <w:rPr>
          <w:rtl/>
        </w:rPr>
        <w:t>رجال</w:t>
      </w:r>
      <w:r w:rsidR="00323055">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عَنْ أَبِي بَصِيرٍ ، قَالَ :</w:t>
      </w:r>
    </w:p>
    <w:p w:rsidR="000C39D1" w:rsidRPr="00132E65" w:rsidRDefault="000C39D1" w:rsidP="000C39D1">
      <w:pPr>
        <w:pStyle w:val="libNormal"/>
        <w:rPr>
          <w:rtl/>
          <w:lang w:bidi="fa-IR"/>
        </w:rPr>
      </w:pPr>
      <w:r w:rsidRPr="00132E65">
        <w:rPr>
          <w:rtl/>
          <w:lang w:bidi="fa-IR"/>
        </w:rPr>
        <w:t xml:space="preserve">قُبِضَ مُوسَى بْنُ جَعْفَرٍ </w:t>
      </w:r>
      <w:r w:rsidRPr="00071CF9">
        <w:rPr>
          <w:rStyle w:val="libAlaemChar"/>
          <w:rtl/>
        </w:rPr>
        <w:t>عليهما‌السلام</w:t>
      </w:r>
      <w:r w:rsidRPr="00132E65">
        <w:rPr>
          <w:rtl/>
          <w:lang w:bidi="fa-IR"/>
        </w:rPr>
        <w:t xml:space="preserve"> و</w:t>
      </w:r>
      <w:r w:rsidR="00323055">
        <w:rPr>
          <w:rFonts w:hint="cs"/>
          <w:rtl/>
          <w:lang w:bidi="fa-IR"/>
        </w:rPr>
        <w:t xml:space="preserve">َ </w:t>
      </w:r>
      <w:r w:rsidRPr="00132E65">
        <w:rPr>
          <w:rtl/>
          <w:lang w:bidi="fa-IR"/>
        </w:rPr>
        <w:t>هُوَ ابْنُ أَرْبَعٍ و</w:t>
      </w:r>
      <w:r w:rsidR="00323055">
        <w:rPr>
          <w:rFonts w:hint="cs"/>
          <w:rtl/>
          <w:lang w:bidi="fa-IR"/>
        </w:rPr>
        <w:t xml:space="preserve">َ </w:t>
      </w:r>
      <w:r w:rsidRPr="00132E65">
        <w:rPr>
          <w:rtl/>
          <w:lang w:bidi="fa-IR"/>
        </w:rPr>
        <w:t>خَمْسِينَ سَنَةً فِي عَامِ ثَلَاثٍ وثَمَانِينَ وَمِائَةٍ ؛ و</w:t>
      </w:r>
      <w:r w:rsidR="00323055">
        <w:rPr>
          <w:rFonts w:hint="cs"/>
          <w:rtl/>
          <w:lang w:bidi="fa-IR"/>
        </w:rPr>
        <w:t>َ</w:t>
      </w:r>
      <w:r>
        <w:rPr>
          <w:rFonts w:hint="cs"/>
          <w:rtl/>
          <w:lang w:bidi="fa-IR"/>
        </w:rPr>
        <w:t xml:space="preserve"> </w:t>
      </w:r>
      <w:r>
        <w:rPr>
          <w:rStyle w:val="libFootnotenumChar"/>
          <w:rtl/>
        </w:rPr>
        <w:t>(1)</w:t>
      </w:r>
      <w:r w:rsidRPr="00132E65">
        <w:rPr>
          <w:rtl/>
          <w:lang w:bidi="fa-IR"/>
        </w:rPr>
        <w:t xml:space="preserve"> عَاشَ بَعْدَ جَعْفَرٍ </w:t>
      </w:r>
      <w:r w:rsidRPr="00071CF9">
        <w:rPr>
          <w:rStyle w:val="libAlaemChar"/>
          <w:rtl/>
        </w:rPr>
        <w:t>عليه‌السلام</w:t>
      </w:r>
      <w:r w:rsidRPr="00132E65">
        <w:rPr>
          <w:rtl/>
          <w:lang w:bidi="fa-IR"/>
        </w:rPr>
        <w:t xml:space="preserve"> خَمْساً وثَلَاثِينَ سَنَةً. </w:t>
      </w:r>
      <w:r>
        <w:rPr>
          <w:rStyle w:val="libFootnotenumChar"/>
          <w:rtl/>
        </w:rPr>
        <w:t>(2)</w:t>
      </w:r>
      <w:r w:rsidRPr="00132E65">
        <w:rPr>
          <w:rtl/>
          <w:lang w:bidi="fa-IR"/>
        </w:rPr>
        <w:t xml:space="preserve"> ‌</w:t>
      </w:r>
    </w:p>
    <w:p w:rsidR="000C39D1" w:rsidRPr="00132E65" w:rsidRDefault="000C39D1" w:rsidP="000C39D1">
      <w:pPr>
        <w:pStyle w:val="Heading2Center"/>
        <w:rPr>
          <w:rtl/>
          <w:lang w:bidi="fa-IR"/>
        </w:rPr>
      </w:pPr>
      <w:bookmarkStart w:id="174" w:name="_Toc459459163"/>
      <w:bookmarkStart w:id="175" w:name="_Toc34663132"/>
      <w:r w:rsidRPr="00132E65">
        <w:rPr>
          <w:rtl/>
          <w:lang w:bidi="fa-IR"/>
        </w:rPr>
        <w:t>121</w:t>
      </w:r>
      <w:r>
        <w:rPr>
          <w:rtl/>
          <w:lang w:bidi="fa-IR"/>
        </w:rPr>
        <w:t xml:space="preserve"> - </w:t>
      </w:r>
      <w:r w:rsidRPr="00132E65">
        <w:rPr>
          <w:rtl/>
          <w:lang w:bidi="fa-IR"/>
        </w:rPr>
        <w:t xml:space="preserve">بَابُ </w:t>
      </w:r>
      <w:r>
        <w:rPr>
          <w:rStyle w:val="libFootnotenumChar"/>
          <w:rtl/>
        </w:rPr>
        <w:t>(3)</w:t>
      </w:r>
      <w:r>
        <w:rPr>
          <w:rtl/>
          <w:lang w:bidi="fa-IR"/>
        </w:rPr>
        <w:t xml:space="preserve"> </w:t>
      </w:r>
      <w:r w:rsidRPr="00132E65">
        <w:rPr>
          <w:rtl/>
          <w:lang w:bidi="fa-IR"/>
        </w:rPr>
        <w:t xml:space="preserve">مَوْلِدِ أَبِي الْحَسَنِ الرِّضَا </w:t>
      </w:r>
      <w:r w:rsidRPr="00071CF9">
        <w:rPr>
          <w:rStyle w:val="libAlaemChar"/>
          <w:rtl/>
        </w:rPr>
        <w:t>عليه‌السلام</w:t>
      </w:r>
      <w:r w:rsidRPr="00132E65">
        <w:rPr>
          <w:rtl/>
          <w:lang w:bidi="fa-IR"/>
        </w:rPr>
        <w:t>‌</w:t>
      </w:r>
      <w:bookmarkEnd w:id="174"/>
      <w:bookmarkEnd w:id="175"/>
    </w:p>
    <w:p w:rsidR="000C39D1" w:rsidRPr="00132E65" w:rsidRDefault="000C39D1" w:rsidP="003915A6">
      <w:pPr>
        <w:pStyle w:val="libNormal0"/>
        <w:tabs>
          <w:tab w:val="left" w:pos="3968"/>
        </w:tabs>
        <w:rPr>
          <w:rtl/>
          <w:lang w:bidi="fa-IR"/>
        </w:rPr>
      </w:pPr>
      <w:r w:rsidRPr="00132E65">
        <w:rPr>
          <w:rtl/>
          <w:lang w:bidi="fa-IR"/>
        </w:rPr>
        <w:t xml:space="preserve">وُلِدَ أَبُو الْحَسَنِ الرِّضَا </w:t>
      </w:r>
      <w:r w:rsidR="003915A6" w:rsidRPr="00071CF9">
        <w:rPr>
          <w:rStyle w:val="libAlaemChar"/>
          <w:rtl/>
        </w:rPr>
        <w:t>عليه‌السلام</w:t>
      </w:r>
      <w:r w:rsidR="003915A6" w:rsidRPr="00132E65">
        <w:rPr>
          <w:rtl/>
          <w:lang w:bidi="fa-IR"/>
        </w:rPr>
        <w:t xml:space="preserve"> </w:t>
      </w:r>
      <w:r w:rsidRPr="00132E65">
        <w:rPr>
          <w:rtl/>
          <w:lang w:bidi="fa-IR"/>
        </w:rPr>
        <w:t>سَنَةَ ثَمَانٍ و</w:t>
      </w:r>
      <w:r w:rsidR="00323055">
        <w:rPr>
          <w:rFonts w:hint="cs"/>
          <w:rtl/>
          <w:lang w:bidi="fa-IR"/>
        </w:rPr>
        <w:t xml:space="preserve">َ </w:t>
      </w:r>
      <w:r w:rsidRPr="00132E65">
        <w:rPr>
          <w:rtl/>
          <w:lang w:bidi="fa-IR"/>
        </w:rPr>
        <w:t>أَرْبَعِينَ و</w:t>
      </w:r>
      <w:r w:rsidR="00323055">
        <w:rPr>
          <w:rFonts w:hint="cs"/>
          <w:rtl/>
          <w:lang w:bidi="fa-IR"/>
        </w:rPr>
        <w:t>َ</w:t>
      </w:r>
      <w:r w:rsidRPr="00132E65">
        <w:rPr>
          <w:rtl/>
          <w:lang w:bidi="fa-IR"/>
        </w:rPr>
        <w:t>مِائَةٍ ؛ و</w:t>
      </w:r>
      <w:r w:rsidR="00323055">
        <w:rPr>
          <w:rFonts w:hint="cs"/>
          <w:rtl/>
          <w:lang w:bidi="fa-IR"/>
        </w:rPr>
        <w:t>َ</w:t>
      </w:r>
      <w:r w:rsidRPr="00132E65">
        <w:rPr>
          <w:rtl/>
          <w:lang w:bidi="fa-IR"/>
        </w:rPr>
        <w:t xml:space="preserve">قُبِضَ </w:t>
      </w:r>
      <w:r w:rsidRPr="00071CF9">
        <w:rPr>
          <w:rStyle w:val="libAlaemChar"/>
          <w:rtl/>
        </w:rPr>
        <w:t>عليه‌السلام</w:t>
      </w:r>
      <w:r w:rsidRPr="00132E65">
        <w:rPr>
          <w:rtl/>
          <w:lang w:bidi="fa-IR"/>
        </w:rPr>
        <w:t xml:space="preserve"> فِي صَفَرٍ مِنْ سَنَةِ ثَلَاثٍ و</w:t>
      </w:r>
      <w:r w:rsidR="00323055">
        <w:rPr>
          <w:rFonts w:hint="cs"/>
          <w:rtl/>
          <w:lang w:bidi="fa-IR"/>
        </w:rPr>
        <w:t>َ</w:t>
      </w:r>
      <w:r w:rsidRPr="00132E65">
        <w:rPr>
          <w:rtl/>
          <w:lang w:bidi="fa-IR"/>
        </w:rPr>
        <w:t>مِائَتَيْنِ و</w:t>
      </w:r>
      <w:r w:rsidR="00323055">
        <w:rPr>
          <w:rFonts w:hint="cs"/>
          <w:rtl/>
          <w:lang w:bidi="fa-IR"/>
        </w:rPr>
        <w:t>َ</w:t>
      </w:r>
      <w:r w:rsidRPr="00132E65">
        <w:rPr>
          <w:rtl/>
          <w:lang w:bidi="fa-IR"/>
        </w:rPr>
        <w:t>هُوَ ابْنُ خَمْسٍ وخَمْسِينَ سَنَةً ، و</w:t>
      </w:r>
      <w:r w:rsidR="00323055">
        <w:rPr>
          <w:rFonts w:hint="cs"/>
          <w:rtl/>
          <w:lang w:bidi="fa-IR"/>
        </w:rPr>
        <w:t>َ</w:t>
      </w:r>
      <w:r w:rsidRPr="00132E65">
        <w:rPr>
          <w:rtl/>
          <w:lang w:bidi="fa-IR"/>
        </w:rPr>
        <w:t>قَدِ</w:t>
      </w:r>
      <w:r w:rsidR="00323055">
        <w:rPr>
          <w:rtl/>
          <w:lang w:bidi="fa-IR"/>
        </w:rPr>
        <w:t xml:space="preserve"> اخْتُلِفَ فِي تَارِيخِهِ إِل</w:t>
      </w:r>
      <w:r w:rsidR="00323055">
        <w:rPr>
          <w:rFonts w:hint="cs"/>
          <w:rtl/>
          <w:lang w:bidi="fa-IR"/>
        </w:rPr>
        <w:t>َّ</w:t>
      </w:r>
      <w:r w:rsidR="00323055">
        <w:rPr>
          <w:rtl/>
          <w:lang w:bidi="fa-IR"/>
        </w:rPr>
        <w:t>ا</w:t>
      </w:r>
      <w:r w:rsidRPr="00132E65">
        <w:rPr>
          <w:rtl/>
          <w:lang w:bidi="fa-IR"/>
        </w:rPr>
        <w:t xml:space="preserve"> أَنَّ هذَا التَّارِيخَ هُوَ أَقْصَدُ </w:t>
      </w:r>
      <w:r>
        <w:rPr>
          <w:rStyle w:val="libFootnotenumChar"/>
          <w:rtl/>
        </w:rPr>
        <w:t>(4)</w:t>
      </w:r>
      <w:r w:rsidRPr="00132E65">
        <w:rPr>
          <w:rtl/>
          <w:lang w:bidi="fa-IR"/>
        </w:rPr>
        <w:t xml:space="preserve"> إِنْ شَاءَ اللهُ ؛ و</w:t>
      </w:r>
      <w:r w:rsidR="00323055">
        <w:rPr>
          <w:rFonts w:hint="cs"/>
          <w:rtl/>
          <w:lang w:bidi="fa-IR"/>
        </w:rPr>
        <w:t>َ</w:t>
      </w:r>
      <w:r w:rsidRPr="00132E65">
        <w:rPr>
          <w:rtl/>
          <w:lang w:bidi="fa-IR"/>
        </w:rPr>
        <w:t xml:space="preserve">تُوُفِّيَ </w:t>
      </w:r>
      <w:r w:rsidRPr="00071CF9">
        <w:rPr>
          <w:rStyle w:val="libAlaemChar"/>
          <w:rtl/>
        </w:rPr>
        <w:t>عليه‌السلام</w:t>
      </w:r>
      <w:r w:rsidRPr="00132E65">
        <w:rPr>
          <w:rtl/>
          <w:lang w:bidi="fa-IR"/>
        </w:rPr>
        <w:t xml:space="preserve"> بِطُوسَ فِي قَرْيَةٍ يُقَالُ لَهَا : سَنَابَادُ </w:t>
      </w:r>
      <w:r>
        <w:rPr>
          <w:rStyle w:val="libFootnotenumChar"/>
          <w:rtl/>
        </w:rPr>
        <w:t>(5)</w:t>
      </w:r>
      <w:r w:rsidRPr="00132E65">
        <w:rPr>
          <w:rtl/>
          <w:lang w:bidi="fa-IR"/>
        </w:rPr>
        <w:t xml:space="preserve"> مِنْ نُوقَانَ </w:t>
      </w:r>
      <w:r>
        <w:rPr>
          <w:rStyle w:val="libFootnotenumChar"/>
          <w:rtl/>
        </w:rPr>
        <w:t>(6)</w:t>
      </w:r>
      <w:r w:rsidRPr="00132E65">
        <w:rPr>
          <w:rtl/>
          <w:lang w:bidi="fa-IR"/>
        </w:rPr>
        <w:t xml:space="preserve"> عَلى دَعْوَةٍ ، و</w:t>
      </w:r>
      <w:r w:rsidR="00323055">
        <w:rPr>
          <w:rFonts w:hint="cs"/>
          <w:rtl/>
          <w:lang w:bidi="fa-IR"/>
        </w:rPr>
        <w:t>َ</w:t>
      </w:r>
      <w:r w:rsidRPr="00132E65">
        <w:rPr>
          <w:rtl/>
          <w:lang w:bidi="fa-IR"/>
        </w:rPr>
        <w:t xml:space="preserve">دُفِنَ بِهَا </w:t>
      </w:r>
      <w:r>
        <w:rPr>
          <w:rStyle w:val="libFootnotenumChar"/>
          <w:rtl/>
        </w:rPr>
        <w:t>(7)</w:t>
      </w:r>
      <w:r w:rsidRPr="00132E65">
        <w:rPr>
          <w:rtl/>
          <w:lang w:bidi="fa-IR"/>
        </w:rPr>
        <w:t xml:space="preserve"> </w:t>
      </w:r>
      <w:r w:rsidRPr="00071CF9">
        <w:rPr>
          <w:rStyle w:val="libAlaemChar"/>
          <w:rtl/>
        </w:rPr>
        <w:t>عليه‌السلام</w:t>
      </w:r>
      <w:r w:rsidRPr="00132E65">
        <w:rPr>
          <w:rtl/>
          <w:lang w:bidi="fa-IR"/>
        </w:rPr>
        <w:t xml:space="preserve"> ؛ و</w:t>
      </w:r>
      <w:r w:rsidR="00323055">
        <w:rPr>
          <w:rFonts w:hint="cs"/>
          <w:rtl/>
          <w:lang w:bidi="fa-IR"/>
        </w:rPr>
        <w:t>َ</w:t>
      </w:r>
      <w:r w:rsidRPr="00132E65">
        <w:rPr>
          <w:rtl/>
          <w:lang w:bidi="fa-IR"/>
        </w:rPr>
        <w:t xml:space="preserve">كَانَ الْمَأْمُونُ أَشْخَصَهُ </w:t>
      </w:r>
      <w:r>
        <w:rPr>
          <w:rStyle w:val="libFootnotenumChar"/>
          <w:rtl/>
        </w:rPr>
        <w:t>(8)</w:t>
      </w:r>
      <w:r w:rsidRPr="00132E65">
        <w:rPr>
          <w:rtl/>
          <w:lang w:bidi="fa-IR"/>
        </w:rPr>
        <w:t xml:space="preserve"> مِنَ الْمَدِينَةِ إِلى مَرْوَ </w:t>
      </w:r>
      <w:r>
        <w:rPr>
          <w:rStyle w:val="libFootnotenumChar"/>
          <w:rtl/>
        </w:rPr>
        <w:t>(9)</w:t>
      </w:r>
      <w:r w:rsidRPr="00132E65">
        <w:rPr>
          <w:rtl/>
          <w:lang w:bidi="fa-IR"/>
        </w:rPr>
        <w:t xml:space="preserve"> عَلى طَرِيقِ الْبَصْرَةِ و</w:t>
      </w:r>
      <w:r w:rsidR="00323055">
        <w:rPr>
          <w:rFonts w:hint="cs"/>
          <w:rtl/>
          <w:lang w:bidi="fa-IR"/>
        </w:rPr>
        <w:t>َ</w:t>
      </w:r>
      <w:r w:rsidRPr="00132E65">
        <w:rPr>
          <w:rtl/>
          <w:lang w:bidi="fa-IR"/>
        </w:rPr>
        <w:t>فَارِسَ ، فَلَمَّا خَرَجَ الْمَأْمُونُ و</w:t>
      </w:r>
      <w:r w:rsidR="00323055">
        <w:rPr>
          <w:rFonts w:hint="cs"/>
          <w:rtl/>
          <w:lang w:bidi="fa-IR"/>
        </w:rPr>
        <w:t>َ</w:t>
      </w:r>
      <w:r w:rsidRPr="00132E65">
        <w:rPr>
          <w:rtl/>
          <w:lang w:bidi="fa-IR"/>
        </w:rPr>
        <w:t xml:space="preserve">شَخَصَ إِلى بَغْدَادَ ، أَشْخَصَهُ </w:t>
      </w:r>
      <w:r>
        <w:rPr>
          <w:rStyle w:val="libFootnotenumChar"/>
          <w:rtl/>
        </w:rPr>
        <w:t>(10)</w:t>
      </w:r>
      <w:r w:rsidRPr="00132E65">
        <w:rPr>
          <w:rtl/>
          <w:lang w:bidi="fa-IR"/>
        </w:rPr>
        <w:t xml:space="preserve"> مَعَهُ ،</w:t>
      </w:r>
    </w:p>
    <w:p w:rsidR="000C39D1" w:rsidRPr="00132E65" w:rsidRDefault="000C39D1" w:rsidP="000C39D1">
      <w:pPr>
        <w:pStyle w:val="libLine"/>
        <w:rPr>
          <w:rtl/>
          <w:lang w:bidi="fa-IR"/>
        </w:rPr>
      </w:pPr>
      <w:r w:rsidRPr="00132E65">
        <w:rPr>
          <w:rtl/>
          <w:lang w:bidi="fa-IR"/>
        </w:rPr>
        <w:t>__________________</w:t>
      </w:r>
    </w:p>
    <w:p w:rsidR="000C39D1" w:rsidRPr="00132E65" w:rsidRDefault="00323055" w:rsidP="00323055">
      <w:pPr>
        <w:pStyle w:val="libFootnote0"/>
        <w:rPr>
          <w:rtl/>
          <w:lang w:bidi="fa-IR"/>
        </w:rPr>
      </w:pPr>
      <w:r>
        <w:rPr>
          <w:rFonts w:hint="cs"/>
          <w:rtl/>
        </w:rPr>
        <w:t>=</w:t>
      </w:r>
      <w:r w:rsidR="000C39D1" w:rsidRPr="00CC5934">
        <w:rPr>
          <w:rtl/>
        </w:rPr>
        <w:t>الطوسي</w:t>
      </w:r>
      <w:r w:rsidR="000C39D1" w:rsidRPr="00132E65">
        <w:rPr>
          <w:rtl/>
        </w:rPr>
        <w:t xml:space="preserve"> ، ص 321 ، الرقم 4792.</w:t>
      </w:r>
    </w:p>
    <w:p w:rsidR="000C39D1" w:rsidRPr="00E55206" w:rsidRDefault="000C39D1" w:rsidP="00323055">
      <w:pPr>
        <w:pStyle w:val="libFootnote0"/>
        <w:rPr>
          <w:rtl/>
        </w:rPr>
      </w:pPr>
      <w:r w:rsidRPr="00E55206">
        <w:rPr>
          <w:rtl/>
        </w:rPr>
        <w:t xml:space="preserve">وأمّا عبد الله بن مسكان ، فقد قال </w:t>
      </w:r>
      <w:r w:rsidRPr="00323055">
        <w:rPr>
          <w:rStyle w:val="libFootnoteBoldChar"/>
          <w:rtl/>
        </w:rPr>
        <w:t>النجاشي</w:t>
      </w:r>
      <w:r w:rsidRPr="00E55206">
        <w:rPr>
          <w:rtl/>
        </w:rPr>
        <w:t xml:space="preserve"> في ص 214 ، الرقم 559 : « روى عن أبي الحسن موسى </w:t>
      </w:r>
      <w:r w:rsidRPr="00323055">
        <w:rPr>
          <w:rStyle w:val="libFootnoteAlaemChar"/>
          <w:rtl/>
        </w:rPr>
        <w:t>عليه‌السلام</w:t>
      </w:r>
      <w:r w:rsidRPr="00E55206">
        <w:rPr>
          <w:rtl/>
        </w:rPr>
        <w:t xml:space="preserve"> ... مات في أيّام أبي الحسن </w:t>
      </w:r>
      <w:r w:rsidRPr="00323055">
        <w:rPr>
          <w:rStyle w:val="libFootnoteAlaemChar"/>
          <w:rtl/>
        </w:rPr>
        <w:t>عليه‌السلام</w:t>
      </w:r>
      <w:r w:rsidRPr="00E55206">
        <w:rPr>
          <w:rtl/>
        </w:rPr>
        <w:t xml:space="preserve"> قبل الحادثة ». والظاهر أنّ المراد بالحادثة في كلام النجاشي ، هو الوقف الحادث بعد استشهاد مولانا أبي الحسن موسى بن جعفر </w:t>
      </w:r>
      <w:r w:rsidRPr="00323055">
        <w:rPr>
          <w:rStyle w:val="libFootnoteAlaemChar"/>
          <w:rtl/>
        </w:rPr>
        <w:t>عليه‌السلام</w:t>
      </w:r>
      <w:r w:rsidRPr="00E55206">
        <w:rPr>
          <w:rtl/>
        </w:rPr>
        <w:t>.</w:t>
      </w:r>
    </w:p>
    <w:p w:rsidR="000C39D1" w:rsidRPr="00132E65" w:rsidRDefault="000C39D1" w:rsidP="00323055">
      <w:pPr>
        <w:pStyle w:val="libFootnote0"/>
        <w:rPr>
          <w:rtl/>
          <w:lang w:bidi="fa-IR"/>
        </w:rPr>
      </w:pPr>
      <w:r>
        <w:rPr>
          <w:rtl/>
        </w:rPr>
        <w:t>(1).</w:t>
      </w:r>
      <w:r w:rsidRPr="00132E65">
        <w:rPr>
          <w:rtl/>
        </w:rPr>
        <w:t xml:space="preserve"> في « ب ، بح ، بر ، بف » </w:t>
      </w:r>
      <w:r w:rsidRPr="00323055">
        <w:rPr>
          <w:rtl/>
        </w:rPr>
        <w:t>والوافي</w:t>
      </w:r>
      <w:r w:rsidRPr="00132E65">
        <w:rPr>
          <w:rtl/>
        </w:rPr>
        <w:t xml:space="preserve"> </w:t>
      </w:r>
      <w:r>
        <w:rPr>
          <w:rtl/>
        </w:rPr>
        <w:t xml:space="preserve">: - </w:t>
      </w:r>
      <w:r w:rsidRPr="00132E65">
        <w:rPr>
          <w:rtl/>
        </w:rPr>
        <w:t>«</w:t>
      </w:r>
      <w:r>
        <w:rPr>
          <w:rtl/>
        </w:rPr>
        <w:t xml:space="preserve"> و ».</w:t>
      </w:r>
    </w:p>
    <w:p w:rsidR="000C39D1" w:rsidRPr="00132E65" w:rsidRDefault="000C39D1" w:rsidP="00323055">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813 ، ح 1420 ؛ </w:t>
      </w:r>
      <w:r w:rsidRPr="00323055">
        <w:rPr>
          <w:rStyle w:val="libFootnoteBoldChar"/>
          <w:rtl/>
        </w:rPr>
        <w:t>البحار</w:t>
      </w:r>
      <w:r w:rsidRPr="00132E65">
        <w:rPr>
          <w:rtl/>
        </w:rPr>
        <w:t xml:space="preserve"> ، ج 48 ، ص 206 ، ح 3.</w:t>
      </w:r>
    </w:p>
    <w:p w:rsidR="000C39D1" w:rsidRPr="00132E65" w:rsidRDefault="000C39D1" w:rsidP="00323055">
      <w:pPr>
        <w:pStyle w:val="libFootnote0"/>
        <w:rPr>
          <w:rtl/>
          <w:lang w:bidi="fa-IR"/>
        </w:rPr>
      </w:pPr>
      <w:r>
        <w:rPr>
          <w:rtl/>
        </w:rPr>
        <w:t>(3).</w:t>
      </w:r>
      <w:r w:rsidRPr="00132E65">
        <w:rPr>
          <w:rtl/>
        </w:rPr>
        <w:t xml:space="preserve"> في « ب ، ج ، ض ، ف ، بر ، بس ، بف » </w:t>
      </w:r>
      <w:r>
        <w:rPr>
          <w:rtl/>
        </w:rPr>
        <w:t xml:space="preserve">: - </w:t>
      </w:r>
      <w:r w:rsidRPr="00132E65">
        <w:rPr>
          <w:rtl/>
        </w:rPr>
        <w:t>« باب »</w:t>
      </w:r>
      <w:r>
        <w:rPr>
          <w:rtl/>
        </w:rPr>
        <w:t>.</w:t>
      </w:r>
    </w:p>
    <w:p w:rsidR="000C39D1" w:rsidRPr="00132E65" w:rsidRDefault="000C39D1" w:rsidP="00323055">
      <w:pPr>
        <w:pStyle w:val="libFootnote0"/>
        <w:rPr>
          <w:rtl/>
          <w:lang w:bidi="fa-IR"/>
        </w:rPr>
      </w:pPr>
      <w:r>
        <w:rPr>
          <w:rtl/>
        </w:rPr>
        <w:t>(4).</w:t>
      </w:r>
      <w:r w:rsidRPr="00132E65">
        <w:rPr>
          <w:rtl/>
        </w:rPr>
        <w:t xml:space="preserve"> في البحار : « الأقصد »</w:t>
      </w:r>
      <w:r>
        <w:rPr>
          <w:rtl/>
        </w:rPr>
        <w:t>.</w:t>
      </w:r>
      <w:r w:rsidRPr="00132E65">
        <w:rPr>
          <w:rtl/>
        </w:rPr>
        <w:t xml:space="preserve"> وقوله : « أقصد » ، أي أعدل وأقرب إلى الحقّ والصواب. راجع : </w:t>
      </w:r>
      <w:r w:rsidRPr="00323055">
        <w:rPr>
          <w:rStyle w:val="libFootnoteBoldChar"/>
          <w:rtl/>
        </w:rPr>
        <w:t>النهاية</w:t>
      </w:r>
      <w:r w:rsidRPr="00132E65">
        <w:rPr>
          <w:rtl/>
        </w:rPr>
        <w:t xml:space="preserve"> ، ج 4 ، ص 67 ( قصد )</w:t>
      </w:r>
      <w:r>
        <w:rPr>
          <w:rtl/>
        </w:rPr>
        <w:t>.</w:t>
      </w:r>
    </w:p>
    <w:p w:rsidR="000C39D1" w:rsidRPr="00132E65" w:rsidRDefault="000C39D1" w:rsidP="00323055">
      <w:pPr>
        <w:pStyle w:val="libFootnote0"/>
        <w:rPr>
          <w:rtl/>
          <w:lang w:bidi="fa-IR"/>
        </w:rPr>
      </w:pPr>
      <w:r>
        <w:rPr>
          <w:rtl/>
        </w:rPr>
        <w:t>(5).</w:t>
      </w:r>
      <w:r w:rsidRPr="00132E65">
        <w:rPr>
          <w:rtl/>
        </w:rPr>
        <w:t xml:space="preserve"> في « ض ، بح ، بر ، بس » </w:t>
      </w:r>
      <w:r w:rsidRPr="009F0593">
        <w:rPr>
          <w:rtl/>
        </w:rPr>
        <w:t>والوافي</w:t>
      </w:r>
      <w:r w:rsidRPr="00132E65">
        <w:rPr>
          <w:rtl/>
        </w:rPr>
        <w:t xml:space="preserve"> : « سناباذ » بالذال المعجمة. وفي « ف » : « سناياد » بالياء.</w:t>
      </w:r>
    </w:p>
    <w:p w:rsidR="000C39D1" w:rsidRPr="00132E65" w:rsidRDefault="000C39D1" w:rsidP="00323055">
      <w:pPr>
        <w:pStyle w:val="libFootnote0"/>
        <w:rPr>
          <w:rtl/>
          <w:lang w:bidi="fa-IR"/>
        </w:rPr>
      </w:pPr>
      <w:r>
        <w:rPr>
          <w:rtl/>
        </w:rPr>
        <w:t>(6).</w:t>
      </w:r>
      <w:r w:rsidRPr="00132E65">
        <w:rPr>
          <w:rtl/>
        </w:rPr>
        <w:t xml:space="preserve"> في « ب ، ج ، بح ، بر ، بس » وحاشية « ض ، ف » وحاشية بدرالدين وشرح المازندراني : « موقان »</w:t>
      </w:r>
      <w:r>
        <w:rPr>
          <w:rtl/>
        </w:rPr>
        <w:t>.</w:t>
      </w:r>
    </w:p>
    <w:p w:rsidR="000C39D1" w:rsidRPr="00132E65" w:rsidRDefault="000C39D1" w:rsidP="00323055">
      <w:pPr>
        <w:pStyle w:val="libFootnote0"/>
        <w:rPr>
          <w:rtl/>
          <w:lang w:bidi="fa-IR"/>
        </w:rPr>
      </w:pPr>
      <w:r>
        <w:rPr>
          <w:rtl/>
        </w:rPr>
        <w:t>(7).</w:t>
      </w:r>
      <w:r w:rsidRPr="00132E65">
        <w:rPr>
          <w:rtl/>
        </w:rPr>
        <w:t xml:space="preserve"> في « ف » : « فيها »</w:t>
      </w:r>
      <w:r>
        <w:rPr>
          <w:rtl/>
        </w:rPr>
        <w:t>.</w:t>
      </w:r>
    </w:p>
    <w:p w:rsidR="000C39D1" w:rsidRPr="00132E65" w:rsidRDefault="000C39D1" w:rsidP="009F0593">
      <w:pPr>
        <w:pStyle w:val="libFootnote0"/>
        <w:rPr>
          <w:rtl/>
          <w:lang w:bidi="fa-IR"/>
        </w:rPr>
      </w:pPr>
      <w:r>
        <w:rPr>
          <w:rtl/>
        </w:rPr>
        <w:t>(8).</w:t>
      </w:r>
      <w:r w:rsidRPr="00132E65">
        <w:rPr>
          <w:rtl/>
        </w:rPr>
        <w:t xml:space="preserve"> « أشخصه » ، أي أزعجه وقلعه عن مكانه وذهب به. راجع : </w:t>
      </w:r>
      <w:r w:rsidRPr="009D1ACE">
        <w:rPr>
          <w:rStyle w:val="libFootnoteBoldChar"/>
          <w:rtl/>
        </w:rPr>
        <w:t>لسان العرب</w:t>
      </w:r>
      <w:r w:rsidRPr="00132E65">
        <w:rPr>
          <w:rtl/>
        </w:rPr>
        <w:t xml:space="preserve"> ، ج 7 ، ص 46 ؛ </w:t>
      </w:r>
      <w:r w:rsidRPr="009F0593">
        <w:rPr>
          <w:rStyle w:val="libFootnoteBoldChar"/>
          <w:rtl/>
        </w:rPr>
        <w:t>القاموس المحيط</w:t>
      </w:r>
      <w:r w:rsidRPr="00132E65">
        <w:rPr>
          <w:rtl/>
        </w:rPr>
        <w:t xml:space="preserve"> ، ج 1 ، ص 844 ( شخص )</w:t>
      </w:r>
      <w:r>
        <w:rPr>
          <w:rtl/>
        </w:rPr>
        <w:t>.</w:t>
      </w:r>
      <w:r w:rsidR="009F0593">
        <w:rPr>
          <w:rFonts w:hint="cs"/>
          <w:rtl/>
        </w:rPr>
        <w:t xml:space="preserve">                              </w:t>
      </w:r>
      <w:r>
        <w:rPr>
          <w:rtl/>
        </w:rPr>
        <w:t>(9).</w:t>
      </w:r>
      <w:r w:rsidRPr="00132E65">
        <w:rPr>
          <w:rtl/>
        </w:rPr>
        <w:t xml:space="preserve"> في « بر » : « مروا »</w:t>
      </w:r>
      <w:r>
        <w:rPr>
          <w:rtl/>
        </w:rPr>
        <w:t>.</w:t>
      </w:r>
    </w:p>
    <w:p w:rsidR="000C39D1" w:rsidRPr="00132E65" w:rsidRDefault="000C39D1" w:rsidP="00323055">
      <w:pPr>
        <w:pStyle w:val="libFootnote0"/>
        <w:rPr>
          <w:rtl/>
          <w:lang w:bidi="fa-IR"/>
        </w:rPr>
      </w:pPr>
      <w:r>
        <w:rPr>
          <w:rtl/>
        </w:rPr>
        <w:t>(10).</w:t>
      </w:r>
      <w:r w:rsidRPr="00132E65">
        <w:rPr>
          <w:rtl/>
        </w:rPr>
        <w:t xml:space="preserve"> في « ف » : « وأشخصه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فَتُوُفِّيَ فِي هذِهِ الْقَرْيَةِ </w:t>
      </w:r>
      <w:r>
        <w:rPr>
          <w:rStyle w:val="libFootnotenumChar"/>
          <w:rtl/>
        </w:rPr>
        <w:t>(1)</w:t>
      </w:r>
      <w:r w:rsidRPr="00132E65">
        <w:rPr>
          <w:rtl/>
          <w:lang w:bidi="fa-IR"/>
        </w:rPr>
        <w:t xml:space="preserve"> ؛ و</w:t>
      </w:r>
      <w:r w:rsidR="009F0593">
        <w:rPr>
          <w:rFonts w:hint="cs"/>
          <w:rtl/>
          <w:lang w:bidi="fa-IR"/>
        </w:rPr>
        <w:t>َ</w:t>
      </w:r>
      <w:r w:rsidRPr="00132E65">
        <w:rPr>
          <w:rtl/>
          <w:lang w:bidi="fa-IR"/>
        </w:rPr>
        <w:t xml:space="preserve">أُمُّهُ أُمُّ ولَدٍ يُقَالُ لَهَا : أُمُّ الْبَنِينَ.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CC5934">
        <w:rPr>
          <w:rtl/>
        </w:rPr>
        <w:t>1298</w:t>
      </w:r>
      <w:r w:rsidRPr="004325D8">
        <w:rPr>
          <w:rStyle w:val="libBold2Char"/>
          <w:rtl/>
        </w:rPr>
        <w:t xml:space="preserve"> / 1.</w:t>
      </w:r>
      <w:r w:rsidRPr="00132E65">
        <w:rPr>
          <w:rtl/>
          <w:lang w:bidi="fa-IR"/>
        </w:rPr>
        <w:t xml:space="preserve"> مُحَمَّدُ بْنُ يَحْيى ، عَنْ أَحْمَدَ بْنِ مُحَمَّدٍ ، عَنِ ابْنِ مَحْبُوبٍ ، عَنْ هِشَامِ بْنِ أَحْمَرَ ، قَالَ :</w:t>
      </w:r>
    </w:p>
    <w:p w:rsidR="000C39D1" w:rsidRPr="00132E65" w:rsidRDefault="000C39D1" w:rsidP="000C39D1">
      <w:pPr>
        <w:pStyle w:val="libNormal"/>
        <w:rPr>
          <w:rtl/>
          <w:lang w:bidi="fa-IR"/>
        </w:rPr>
      </w:pPr>
      <w:r w:rsidRPr="00132E65">
        <w:rPr>
          <w:rtl/>
          <w:lang w:bidi="fa-IR"/>
        </w:rPr>
        <w:t xml:space="preserve">قَالَ لِي أَبُو الْحَسَنِ الْأَوَّلُ </w:t>
      </w:r>
      <w:r w:rsidRPr="00071CF9">
        <w:rPr>
          <w:rStyle w:val="libAlaemChar"/>
          <w:rtl/>
        </w:rPr>
        <w:t>عليه‌السلام</w:t>
      </w:r>
      <w:r w:rsidRPr="00132E65">
        <w:rPr>
          <w:rtl/>
          <w:lang w:bidi="fa-IR"/>
        </w:rPr>
        <w:t xml:space="preserve"> : « هَلْ عَلِمْتَ أَحَداً مِنْ أَهْلِ الْمَغْرِبِ قَدِمَ </w:t>
      </w:r>
      <w:r>
        <w:rPr>
          <w:rStyle w:val="libFootnotenumChar"/>
          <w:rtl/>
        </w:rPr>
        <w:t>(3)</w:t>
      </w:r>
      <w:r>
        <w:rPr>
          <w:rtl/>
          <w:lang w:bidi="fa-IR"/>
        </w:rPr>
        <w:t>؟</w:t>
      </w:r>
      <w:r w:rsidRPr="00132E65">
        <w:rPr>
          <w:rtl/>
          <w:lang w:bidi="fa-IR"/>
        </w:rPr>
        <w:t xml:space="preserve"> »</w:t>
      </w:r>
      <w:r>
        <w:rPr>
          <w:rtl/>
          <w:lang w:bidi="fa-IR"/>
        </w:rPr>
        <w:t>.</w:t>
      </w:r>
      <w:r w:rsidRPr="00132E65">
        <w:rPr>
          <w:rtl/>
          <w:lang w:bidi="fa-IR"/>
        </w:rPr>
        <w:t xml:space="preserve"> قُلْتُ :</w:t>
      </w:r>
      <w:r>
        <w:rPr>
          <w:rFonts w:hint="cs"/>
          <w:rtl/>
          <w:lang w:bidi="fa-IR"/>
        </w:rPr>
        <w:t xml:space="preserve"> </w:t>
      </w:r>
      <w:r w:rsidRPr="00132E65">
        <w:rPr>
          <w:rtl/>
          <w:lang w:bidi="fa-IR"/>
        </w:rPr>
        <w:t xml:space="preserve">لَا ، قَالَ : « بَلى ، قَدْ </w:t>
      </w:r>
      <w:r>
        <w:rPr>
          <w:rStyle w:val="libFootnotenumChar"/>
          <w:rtl/>
        </w:rPr>
        <w:t>(4)</w:t>
      </w:r>
      <w:r w:rsidRPr="00132E65">
        <w:rPr>
          <w:rtl/>
          <w:lang w:bidi="fa-IR"/>
        </w:rPr>
        <w:t xml:space="preserve"> قَدِمَ </w:t>
      </w:r>
      <w:r>
        <w:rPr>
          <w:rStyle w:val="libFootnotenumChar"/>
          <w:rtl/>
        </w:rPr>
        <w:t>(5)</w:t>
      </w:r>
      <w:r w:rsidRPr="00132E65">
        <w:rPr>
          <w:rtl/>
          <w:lang w:bidi="fa-IR"/>
        </w:rPr>
        <w:t xml:space="preserve"> رَجُلٌ </w:t>
      </w:r>
      <w:r>
        <w:rPr>
          <w:rStyle w:val="libFootnotenumChar"/>
          <w:rtl/>
        </w:rPr>
        <w:t>(6)</w:t>
      </w:r>
      <w:r w:rsidRPr="00132E65">
        <w:rPr>
          <w:rtl/>
          <w:lang w:bidi="fa-IR"/>
        </w:rPr>
        <w:t xml:space="preserve"> ، فَانْطَلِقْ بِنَا »</w:t>
      </w:r>
      <w:r>
        <w:rPr>
          <w:rtl/>
          <w:lang w:bidi="fa-IR"/>
        </w:rPr>
        <w:t>.</w:t>
      </w:r>
      <w:r w:rsidRPr="00132E65">
        <w:rPr>
          <w:rtl/>
          <w:lang w:bidi="fa-IR"/>
        </w:rPr>
        <w:t xml:space="preserve"> فَرَكِبَ ورَكِبْتُ مَعَهُ حَتَّى انْتَهَيْنَا </w:t>
      </w:r>
      <w:r>
        <w:rPr>
          <w:rStyle w:val="libFootnotenumChar"/>
          <w:rtl/>
        </w:rPr>
        <w:t>(7)</w:t>
      </w:r>
      <w:r w:rsidRPr="00132E65">
        <w:rPr>
          <w:rtl/>
          <w:lang w:bidi="fa-IR"/>
        </w:rPr>
        <w:t xml:space="preserve"> إِلَى الرَّجُلِ ، فَإِذَا </w:t>
      </w:r>
      <w:r>
        <w:rPr>
          <w:rStyle w:val="libFootnotenumChar"/>
          <w:rtl/>
        </w:rPr>
        <w:t>(8)</w:t>
      </w:r>
      <w:r w:rsidRPr="00132E65">
        <w:rPr>
          <w:rtl/>
          <w:lang w:bidi="fa-IR"/>
        </w:rPr>
        <w:t xml:space="preserve"> رَجُلٌ مِنْ أَهْلِ الْمَدِينَةِ </w:t>
      </w:r>
      <w:r>
        <w:rPr>
          <w:rStyle w:val="libFootnotenumChar"/>
          <w:rtl/>
        </w:rPr>
        <w:t>(9)</w:t>
      </w:r>
      <w:r w:rsidRPr="00132E65">
        <w:rPr>
          <w:rtl/>
          <w:lang w:bidi="fa-IR"/>
        </w:rPr>
        <w:t xml:space="preserve"> مَعَهُ رَقِيقٌ </w:t>
      </w:r>
      <w:r>
        <w:rPr>
          <w:rStyle w:val="libFootnotenumChar"/>
          <w:rtl/>
        </w:rPr>
        <w:t>(10)</w:t>
      </w:r>
      <w:r w:rsidRPr="00132E65">
        <w:rPr>
          <w:rtl/>
          <w:lang w:bidi="fa-IR"/>
        </w:rPr>
        <w:t xml:space="preserve"> ، فَقُلْتُ لَهُ : اعْرِضْ عَلَيْنَا ، فَعَرَضَ عَلَيْنَا سَبْعَ جَوَارٍ ، كُلَّ ذلِكَ يَقُولُ أَبُو الْحَسَنِ </w:t>
      </w:r>
      <w:r w:rsidRPr="00071CF9">
        <w:rPr>
          <w:rStyle w:val="libAlaemChar"/>
          <w:rtl/>
        </w:rPr>
        <w:t>عليه‌السلام</w:t>
      </w:r>
      <w:r w:rsidRPr="00132E65">
        <w:rPr>
          <w:rtl/>
          <w:lang w:bidi="fa-IR"/>
        </w:rPr>
        <w:t xml:space="preserve"> </w:t>
      </w:r>
      <w:r>
        <w:rPr>
          <w:rStyle w:val="libFootnotenumChar"/>
          <w:rtl/>
        </w:rPr>
        <w:t>(11)</w:t>
      </w:r>
      <w:r w:rsidRPr="00132E65">
        <w:rPr>
          <w:rtl/>
          <w:lang w:bidi="fa-IR"/>
        </w:rPr>
        <w:t xml:space="preserve"> : « لَا حَاجَةَ لِي فِيهَا »</w:t>
      </w:r>
      <w:r>
        <w:rPr>
          <w:rtl/>
          <w:lang w:bidi="fa-IR"/>
        </w:rPr>
        <w:t>.</w:t>
      </w:r>
      <w:r w:rsidRPr="00132E65">
        <w:rPr>
          <w:rtl/>
          <w:lang w:bidi="fa-IR"/>
        </w:rPr>
        <w:t xml:space="preserve"> ثُمَّ قَالَ : « اعْرِضْ عَلَيْنَ</w:t>
      </w:r>
      <w:r w:rsidR="009F0593">
        <w:rPr>
          <w:rtl/>
          <w:lang w:bidi="fa-IR"/>
        </w:rPr>
        <w:t>ا » فَقَالَ : مَا عِنْدِي إِل</w:t>
      </w:r>
      <w:r w:rsidR="009F0593">
        <w:rPr>
          <w:rFonts w:hint="cs"/>
          <w:rtl/>
          <w:lang w:bidi="fa-IR"/>
        </w:rPr>
        <w:t>َّ</w:t>
      </w:r>
      <w:r w:rsidR="009F0593">
        <w:rPr>
          <w:rtl/>
          <w:lang w:bidi="fa-IR"/>
        </w:rPr>
        <w:t>ا</w:t>
      </w:r>
      <w:r w:rsidRPr="00132E65">
        <w:rPr>
          <w:rtl/>
          <w:lang w:bidi="fa-IR"/>
        </w:rPr>
        <w:t xml:space="preserve"> جَارِيَةٌ مَرِيضَةٌ ، فَقَالَ لَهُ : « مَا </w:t>
      </w:r>
      <w:r>
        <w:rPr>
          <w:rStyle w:val="libFootnotenumChar"/>
          <w:rtl/>
        </w:rPr>
        <w:t>(12)</w:t>
      </w:r>
      <w:r w:rsidRPr="00132E65">
        <w:rPr>
          <w:rtl/>
          <w:lang w:bidi="fa-IR"/>
        </w:rPr>
        <w:t xml:space="preserve"> عَلَيْكَ أَنْ تَعْرِضَهَا » فَأَبى عَلَيْهِ ، فَانْصَرَفَ </w:t>
      </w:r>
      <w:r w:rsidRPr="00F543F1">
        <w:rPr>
          <w:rStyle w:val="libFootnotenumChar"/>
          <w:rtl/>
        </w:rPr>
        <w:t>(13)</w:t>
      </w:r>
    </w:p>
    <w:p w:rsidR="000C39D1" w:rsidRPr="00132E65" w:rsidRDefault="000C39D1" w:rsidP="000C39D1">
      <w:pPr>
        <w:pStyle w:val="libNormal"/>
        <w:rPr>
          <w:rtl/>
          <w:lang w:bidi="fa-IR"/>
        </w:rPr>
      </w:pPr>
      <w:r w:rsidRPr="00132E65">
        <w:rPr>
          <w:rtl/>
          <w:lang w:bidi="fa-IR"/>
        </w:rPr>
        <w:t xml:space="preserve">ثُمَّ أَرْسَلَنِي </w:t>
      </w:r>
      <w:r w:rsidRPr="00F543F1">
        <w:rPr>
          <w:rStyle w:val="libFootnotenumChar"/>
          <w:rtl/>
        </w:rPr>
        <w:t>(14)</w:t>
      </w:r>
      <w:r w:rsidRPr="00132E65">
        <w:rPr>
          <w:rtl/>
          <w:lang w:bidi="fa-IR"/>
        </w:rPr>
        <w:t xml:space="preserve"> مِنَ الْغَدِ ، فَقَالَ </w:t>
      </w:r>
      <w:r w:rsidRPr="00F543F1">
        <w:rPr>
          <w:rStyle w:val="libFootnotenumChar"/>
          <w:rtl/>
        </w:rPr>
        <w:t>(15)</w:t>
      </w:r>
      <w:r w:rsidRPr="00132E65">
        <w:rPr>
          <w:rtl/>
          <w:lang w:bidi="fa-IR"/>
        </w:rPr>
        <w:t xml:space="preserve"> : « قُلْ لَهُ : كَمْ كَانَ </w:t>
      </w:r>
      <w:r w:rsidRPr="00F543F1">
        <w:rPr>
          <w:rStyle w:val="libFootnotenumChar"/>
          <w:rtl/>
        </w:rPr>
        <w:t>(16)</w:t>
      </w:r>
      <w:r w:rsidRPr="00132E65">
        <w:rPr>
          <w:rtl/>
          <w:lang w:bidi="fa-IR"/>
        </w:rPr>
        <w:t xml:space="preserve"> غَايَتُكَ فِيهَا</w:t>
      </w:r>
      <w:r>
        <w:rPr>
          <w:rtl/>
          <w:lang w:bidi="fa-IR"/>
        </w:rPr>
        <w:t>؟</w:t>
      </w:r>
      <w:r w:rsidRPr="00132E65">
        <w:rPr>
          <w:rtl/>
          <w:lang w:bidi="fa-IR"/>
        </w:rPr>
        <w:t xml:space="preserve"> فَإِذَا قَالَ </w:t>
      </w:r>
      <w:r w:rsidRPr="00F543F1">
        <w:rPr>
          <w:rStyle w:val="libFootnotenumChar"/>
          <w:rtl/>
        </w:rPr>
        <w:t>(17)</w:t>
      </w:r>
      <w:r w:rsidRPr="00132E65">
        <w:rPr>
          <w:rtl/>
          <w:lang w:bidi="fa-IR"/>
        </w:rPr>
        <w:t xml:space="preserve"> : كَذَا وَكَذَا ، فَقُلْ </w:t>
      </w:r>
      <w:r w:rsidRPr="00F543F1">
        <w:rPr>
          <w:rStyle w:val="libFootnotenumChar"/>
          <w:rtl/>
        </w:rPr>
        <w:t>(18)</w:t>
      </w:r>
      <w:r w:rsidRPr="00132E65">
        <w:rPr>
          <w:rtl/>
          <w:lang w:bidi="fa-IR"/>
        </w:rPr>
        <w:t xml:space="preserve"> : قَدْ أَخَذْتُهَا »</w:t>
      </w:r>
      <w:r>
        <w:rPr>
          <w:rtl/>
          <w:lang w:bidi="fa-IR"/>
        </w:rPr>
        <w:t>.</w:t>
      </w:r>
      <w:r w:rsidRPr="00132E65">
        <w:rPr>
          <w:rtl/>
          <w:lang w:bidi="fa-IR"/>
        </w:rPr>
        <w:t xml:space="preserve"> فَأَتَيْتُهُ ، فَقَالَ : مَا كُنْتُ أُرِيدُ أَنْ أَنْقُصَهَا مِنْ كَذَا و</w:t>
      </w:r>
      <w:r w:rsidR="009F0593">
        <w:rPr>
          <w:rFonts w:hint="cs"/>
          <w:rtl/>
          <w:lang w:bidi="fa-IR"/>
        </w:rPr>
        <w:t>َ</w:t>
      </w:r>
      <w:r w:rsidRPr="00132E65">
        <w:rPr>
          <w:rtl/>
          <w:lang w:bidi="fa-IR"/>
        </w:rPr>
        <w:t>كَذَا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9F0593">
      <w:pPr>
        <w:pStyle w:val="libFootnote0"/>
        <w:rPr>
          <w:rtl/>
          <w:lang w:bidi="fa-IR"/>
        </w:rPr>
      </w:pPr>
      <w:r>
        <w:rPr>
          <w:rtl/>
        </w:rPr>
        <w:t>(1).</w:t>
      </w:r>
      <w:r w:rsidRPr="00132E65">
        <w:rPr>
          <w:rtl/>
        </w:rPr>
        <w:t xml:space="preserve"> في البحار </w:t>
      </w:r>
      <w:r>
        <w:rPr>
          <w:rtl/>
        </w:rPr>
        <w:t xml:space="preserve">: - </w:t>
      </w:r>
      <w:r w:rsidRPr="00132E65">
        <w:rPr>
          <w:rtl/>
        </w:rPr>
        <w:t xml:space="preserve">« وتوفّي </w:t>
      </w:r>
      <w:r w:rsidR="009F0593" w:rsidRPr="009F0593">
        <w:rPr>
          <w:rStyle w:val="libFootnoteAlaemChar"/>
          <w:rtl/>
        </w:rPr>
        <w:t>عليه‌السلام</w:t>
      </w:r>
      <w:r w:rsidR="009F0593" w:rsidRPr="00132E65">
        <w:rPr>
          <w:rtl/>
        </w:rPr>
        <w:t xml:space="preserve"> </w:t>
      </w:r>
      <w:r w:rsidRPr="00132E65">
        <w:rPr>
          <w:rtl/>
        </w:rPr>
        <w:t>بطوس</w:t>
      </w:r>
      <w:r>
        <w:rPr>
          <w:rtl/>
        </w:rPr>
        <w:t xml:space="preserve"> - </w:t>
      </w:r>
      <w:r w:rsidRPr="00132E65">
        <w:rPr>
          <w:rtl/>
        </w:rPr>
        <w:t>إلى</w:t>
      </w:r>
      <w:r>
        <w:rPr>
          <w:rtl/>
        </w:rPr>
        <w:t xml:space="preserve"> - </w:t>
      </w:r>
      <w:r w:rsidRPr="00132E65">
        <w:rPr>
          <w:rtl/>
        </w:rPr>
        <w:t>هذه القرية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824 ، ذيل ح 1433 ؛ </w:t>
      </w:r>
      <w:r w:rsidRPr="009F0593">
        <w:rPr>
          <w:rStyle w:val="libFootnoteBoldChar"/>
          <w:rtl/>
        </w:rPr>
        <w:t>البحار</w:t>
      </w:r>
      <w:r w:rsidRPr="00132E65">
        <w:rPr>
          <w:rtl/>
        </w:rPr>
        <w:t xml:space="preserve"> ، ج 49 ، ص 2 ، ح 2.</w:t>
      </w:r>
    </w:p>
    <w:p w:rsidR="000C39D1" w:rsidRPr="00132E65" w:rsidRDefault="000C39D1" w:rsidP="000C39D1">
      <w:pPr>
        <w:pStyle w:val="libFootnote0"/>
        <w:rPr>
          <w:rtl/>
          <w:lang w:bidi="fa-IR"/>
        </w:rPr>
      </w:pPr>
      <w:r>
        <w:rPr>
          <w:rtl/>
        </w:rPr>
        <w:t>(3).</w:t>
      </w:r>
      <w:r w:rsidRPr="00132E65">
        <w:rPr>
          <w:rtl/>
        </w:rPr>
        <w:t xml:space="preserve"> في « ب »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261"/>
        <w:gridCol w:w="4262"/>
      </w:tblGrid>
      <w:tr w:rsidR="009F0593" w:rsidTr="009F0593">
        <w:tc>
          <w:tcPr>
            <w:tcW w:w="4261" w:type="dxa"/>
          </w:tcPr>
          <w:p w:rsidR="009F0593" w:rsidRDefault="009F0593" w:rsidP="000C39D1">
            <w:pPr>
              <w:pStyle w:val="libFootnote0"/>
              <w:rPr>
                <w:rtl/>
              </w:rPr>
            </w:pPr>
            <w:r>
              <w:rPr>
                <w:rtl/>
              </w:rPr>
              <w:t>(4).</w:t>
            </w:r>
            <w:r w:rsidRPr="00132E65">
              <w:rPr>
                <w:rtl/>
              </w:rPr>
              <w:t xml:space="preserve"> في « ف » </w:t>
            </w:r>
            <w:r>
              <w:rPr>
                <w:rtl/>
              </w:rPr>
              <w:t xml:space="preserve">: - </w:t>
            </w:r>
            <w:r w:rsidRPr="00132E65">
              <w:rPr>
                <w:rtl/>
              </w:rPr>
              <w:t>« قد »</w:t>
            </w:r>
            <w:r>
              <w:rPr>
                <w:rtl/>
              </w:rPr>
              <w:t>.</w:t>
            </w:r>
          </w:p>
        </w:tc>
        <w:tc>
          <w:tcPr>
            <w:tcW w:w="4262" w:type="dxa"/>
          </w:tcPr>
          <w:p w:rsidR="009F0593" w:rsidRDefault="009F0593" w:rsidP="000C39D1">
            <w:pPr>
              <w:pStyle w:val="libFootnote0"/>
              <w:rPr>
                <w:rtl/>
              </w:rPr>
            </w:pPr>
            <w:r>
              <w:rPr>
                <w:rtl/>
              </w:rPr>
              <w:t>(5).</w:t>
            </w:r>
            <w:r w:rsidRPr="00132E65">
              <w:rPr>
                <w:rtl/>
              </w:rPr>
              <w:t xml:space="preserve"> في « ب ، ض » :</w:t>
            </w:r>
            <w:r>
              <w:rPr>
                <w:rtl/>
              </w:rPr>
              <w:t xml:space="preserve"> + </w:t>
            </w:r>
            <w:r w:rsidRPr="00132E65">
              <w:rPr>
                <w:rtl/>
              </w:rPr>
              <w:t>« منها »</w:t>
            </w:r>
            <w:r>
              <w:rPr>
                <w:rtl/>
              </w:rPr>
              <w:t>.</w:t>
            </w:r>
          </w:p>
        </w:tc>
      </w:tr>
      <w:tr w:rsidR="009F0593" w:rsidTr="009F0593">
        <w:tc>
          <w:tcPr>
            <w:tcW w:w="4261" w:type="dxa"/>
          </w:tcPr>
          <w:p w:rsidR="009F0593" w:rsidRDefault="009F0593" w:rsidP="000C39D1">
            <w:pPr>
              <w:pStyle w:val="libFootnote0"/>
              <w:rPr>
                <w:rtl/>
              </w:rPr>
            </w:pPr>
            <w:r>
              <w:rPr>
                <w:rtl/>
              </w:rPr>
              <w:t>(6).</w:t>
            </w:r>
            <w:r w:rsidRPr="00132E65">
              <w:rPr>
                <w:rtl/>
              </w:rPr>
              <w:t xml:space="preserve"> في الإرشاد :</w:t>
            </w:r>
            <w:r>
              <w:rPr>
                <w:rtl/>
              </w:rPr>
              <w:t xml:space="preserve"> + </w:t>
            </w:r>
            <w:r w:rsidRPr="00132E65">
              <w:rPr>
                <w:rtl/>
              </w:rPr>
              <w:t>« من أهل المغرب المدينة »</w:t>
            </w:r>
            <w:r>
              <w:rPr>
                <w:rtl/>
              </w:rPr>
              <w:t>.</w:t>
            </w:r>
          </w:p>
        </w:tc>
        <w:tc>
          <w:tcPr>
            <w:tcW w:w="4262" w:type="dxa"/>
          </w:tcPr>
          <w:p w:rsidR="009F0593" w:rsidRDefault="009F0593" w:rsidP="000C39D1">
            <w:pPr>
              <w:pStyle w:val="libFootnote0"/>
              <w:rPr>
                <w:rtl/>
              </w:rPr>
            </w:pPr>
            <w:r>
              <w:rPr>
                <w:rtl/>
              </w:rPr>
              <w:t>(7).</w:t>
            </w:r>
            <w:r w:rsidRPr="00132E65">
              <w:rPr>
                <w:rtl/>
              </w:rPr>
              <w:t xml:space="preserve"> في « بر » : « انتهى »</w:t>
            </w:r>
            <w:r>
              <w:rPr>
                <w:rtl/>
              </w:rPr>
              <w:t>.</w:t>
            </w:r>
          </w:p>
        </w:tc>
      </w:tr>
    </w:tbl>
    <w:p w:rsidR="000C39D1" w:rsidRPr="00132E65" w:rsidRDefault="000C39D1" w:rsidP="000C39D1">
      <w:pPr>
        <w:pStyle w:val="libFootnote0"/>
        <w:rPr>
          <w:rtl/>
          <w:lang w:bidi="fa-IR"/>
        </w:rPr>
      </w:pPr>
      <w:r>
        <w:rPr>
          <w:rtl/>
        </w:rPr>
        <w:t>(8).</w:t>
      </w:r>
      <w:r w:rsidRPr="00132E65">
        <w:rPr>
          <w:rtl/>
        </w:rPr>
        <w:t xml:space="preserve"> في « بس »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(9).</w:t>
      </w:r>
      <w:r w:rsidRPr="00132E65">
        <w:rPr>
          <w:rtl/>
        </w:rPr>
        <w:t xml:space="preserve"> في الإرشاد والاختصاص والعيون : « من أهل المغرب »</w:t>
      </w:r>
      <w:r>
        <w:rPr>
          <w:rtl/>
        </w:rPr>
        <w:t>.</w:t>
      </w:r>
    </w:p>
    <w:p w:rsidR="000C39D1" w:rsidRPr="00132E65" w:rsidRDefault="000C39D1" w:rsidP="000C39D1">
      <w:pPr>
        <w:pStyle w:val="libFootnote0"/>
        <w:rPr>
          <w:rtl/>
          <w:lang w:bidi="fa-IR"/>
        </w:rPr>
      </w:pPr>
      <w:r>
        <w:rPr>
          <w:rtl/>
        </w:rPr>
        <w:t>(10).</w:t>
      </w:r>
      <w:r w:rsidRPr="00132E65">
        <w:rPr>
          <w:rtl/>
        </w:rPr>
        <w:t xml:space="preserve"> « الرقيق » : المملوك ، فعيل بمعنى مفعول. وقد يطلق على الجماعة كالرفيق. </w:t>
      </w:r>
      <w:r w:rsidRPr="009F0593">
        <w:rPr>
          <w:rStyle w:val="libFootnoteBoldChar"/>
          <w:rtl/>
        </w:rPr>
        <w:t>النهاية</w:t>
      </w:r>
      <w:r w:rsidRPr="00132E65">
        <w:rPr>
          <w:rtl/>
        </w:rPr>
        <w:t xml:space="preserve"> ، ج 2 ، ص 251 ( رقق )</w:t>
      </w:r>
      <w:r>
        <w:rPr>
          <w:rtl/>
        </w:rPr>
        <w:t>.</w:t>
      </w:r>
    </w:p>
    <w:p w:rsidR="000C39D1" w:rsidRPr="00132E65" w:rsidRDefault="000C39D1" w:rsidP="000C39D1">
      <w:pPr>
        <w:pStyle w:val="libFootnote0"/>
        <w:rPr>
          <w:rtl/>
          <w:lang w:bidi="fa-IR"/>
        </w:rPr>
      </w:pPr>
      <w:r>
        <w:rPr>
          <w:rtl/>
        </w:rPr>
        <w:t>(11).</w:t>
      </w:r>
      <w:r w:rsidRPr="00132E65">
        <w:rPr>
          <w:rtl/>
        </w:rPr>
        <w:t xml:space="preserve"> في « ب » : « أبو الحسن </w:t>
      </w:r>
      <w:r w:rsidRPr="009F0593">
        <w:rPr>
          <w:rStyle w:val="libFootnoteAlaemChar"/>
          <w:rtl/>
        </w:rPr>
        <w:t>عليه‌السلام</w:t>
      </w:r>
      <w:r w:rsidRPr="00132E65">
        <w:rPr>
          <w:rtl/>
        </w:rPr>
        <w:t xml:space="preserve"> يقول »</w:t>
      </w:r>
      <w:r>
        <w:rPr>
          <w:rtl/>
        </w:rPr>
        <w:t>.</w:t>
      </w:r>
    </w:p>
    <w:p w:rsidR="000C39D1" w:rsidRPr="00132E65" w:rsidRDefault="000C39D1" w:rsidP="009F0593">
      <w:pPr>
        <w:pStyle w:val="libFootnote0"/>
        <w:rPr>
          <w:rtl/>
          <w:lang w:bidi="fa-IR"/>
        </w:rPr>
      </w:pPr>
      <w:r>
        <w:rPr>
          <w:rtl/>
        </w:rPr>
        <w:t>(12).</w:t>
      </w:r>
      <w:r w:rsidRPr="00132E65">
        <w:rPr>
          <w:rtl/>
        </w:rPr>
        <w:t xml:space="preserve"> « ما » استفهاميّة. ويحتمل النفي. </w:t>
      </w:r>
      <w:r>
        <w:rPr>
          <w:rtl/>
        </w:rPr>
        <w:t>و «</w:t>
      </w:r>
      <w:r w:rsidRPr="00132E65">
        <w:rPr>
          <w:rtl/>
        </w:rPr>
        <w:t xml:space="preserve"> على » للإضرار. راجع : </w:t>
      </w:r>
      <w:r w:rsidRPr="009F0593">
        <w:rPr>
          <w:rStyle w:val="libFootnoteBoldChar"/>
          <w:rtl/>
        </w:rPr>
        <w:t>شرح المازندراني</w:t>
      </w:r>
      <w:r w:rsidRPr="00132E65">
        <w:rPr>
          <w:rtl/>
        </w:rPr>
        <w:t xml:space="preserve"> ، ج 7 ، ص 269 ؛ </w:t>
      </w:r>
      <w:r w:rsidRPr="009D1ACE">
        <w:rPr>
          <w:rStyle w:val="libFootnoteBoldChar"/>
          <w:rtl/>
        </w:rPr>
        <w:t>مرآة العقول</w:t>
      </w:r>
      <w:r w:rsidRPr="00132E65">
        <w:rPr>
          <w:rtl/>
        </w:rPr>
        <w:t xml:space="preserve"> ، ج 6 ، ص 73.</w:t>
      </w:r>
      <w:r w:rsidR="009F0593">
        <w:rPr>
          <w:rFonts w:hint="cs"/>
          <w:rtl/>
        </w:rPr>
        <w:t xml:space="preserve">                            </w:t>
      </w:r>
      <w:r w:rsidR="00650CA8">
        <w:rPr>
          <w:rFonts w:hint="cs"/>
          <w:rtl/>
        </w:rPr>
        <w:t xml:space="preserve">  </w:t>
      </w:r>
      <w:r w:rsidR="009F0593">
        <w:rPr>
          <w:rFonts w:hint="cs"/>
          <w:rtl/>
        </w:rPr>
        <w:t xml:space="preserve">      </w:t>
      </w:r>
      <w:r>
        <w:rPr>
          <w:rtl/>
        </w:rPr>
        <w:t>(13)</w:t>
      </w:r>
      <w:r w:rsidRPr="00132E65">
        <w:rPr>
          <w:rtl/>
        </w:rPr>
        <w:t xml:space="preserve"> في « ب » والاختصاص والعيون : « ثمّ انصرف »</w:t>
      </w:r>
      <w:r>
        <w:rPr>
          <w:rtl/>
        </w:rPr>
        <w:t>.</w:t>
      </w:r>
    </w:p>
    <w:tbl>
      <w:tblPr>
        <w:tblStyle w:val="TableGrid"/>
        <w:bidiVisual/>
        <w:tblW w:w="0" w:type="auto"/>
        <w:tblLook w:val="04A0" w:firstRow="1" w:lastRow="0" w:firstColumn="1" w:lastColumn="0" w:noHBand="0" w:noVBand="1"/>
      </w:tblPr>
      <w:tblGrid>
        <w:gridCol w:w="4261"/>
        <w:gridCol w:w="4262"/>
      </w:tblGrid>
      <w:tr w:rsidR="009F0593" w:rsidTr="009F0593">
        <w:tc>
          <w:tcPr>
            <w:tcW w:w="4261" w:type="dxa"/>
          </w:tcPr>
          <w:p w:rsidR="009F0593" w:rsidRDefault="009F0593" w:rsidP="000C39D1">
            <w:pPr>
              <w:pStyle w:val="libFootnote0"/>
              <w:rPr>
                <w:rtl/>
              </w:rPr>
            </w:pPr>
            <w:r>
              <w:rPr>
                <w:rtl/>
              </w:rPr>
              <w:t>(14)</w:t>
            </w:r>
            <w:r w:rsidRPr="00132E65">
              <w:rPr>
                <w:rtl/>
              </w:rPr>
              <w:t xml:space="preserve"> في « ب » : « فأرسلني »</w:t>
            </w:r>
            <w:r>
              <w:rPr>
                <w:rtl/>
              </w:rPr>
              <w:t>.</w:t>
            </w:r>
          </w:p>
        </w:tc>
        <w:tc>
          <w:tcPr>
            <w:tcW w:w="4262" w:type="dxa"/>
          </w:tcPr>
          <w:p w:rsidR="009F0593" w:rsidRDefault="009F0593" w:rsidP="000C39D1">
            <w:pPr>
              <w:pStyle w:val="libFootnote0"/>
              <w:rPr>
                <w:rtl/>
              </w:rPr>
            </w:pPr>
            <w:r>
              <w:rPr>
                <w:rtl/>
              </w:rPr>
              <w:t>(15)</w:t>
            </w:r>
            <w:r w:rsidRPr="00132E65">
              <w:rPr>
                <w:rtl/>
              </w:rPr>
              <w:t xml:space="preserve"> في الإرشاد والاختصاص والعيون :</w:t>
            </w:r>
            <w:r>
              <w:rPr>
                <w:rtl/>
              </w:rPr>
              <w:t xml:space="preserve"> + </w:t>
            </w:r>
            <w:r w:rsidRPr="00132E65">
              <w:rPr>
                <w:rtl/>
              </w:rPr>
              <w:t>« لي »</w:t>
            </w:r>
            <w:r>
              <w:rPr>
                <w:rtl/>
              </w:rPr>
              <w:t>.</w:t>
            </w:r>
          </w:p>
        </w:tc>
      </w:tr>
      <w:tr w:rsidR="009F0593" w:rsidTr="009F0593">
        <w:tc>
          <w:tcPr>
            <w:tcW w:w="4261" w:type="dxa"/>
          </w:tcPr>
          <w:p w:rsidR="009F0593" w:rsidRDefault="00650CA8" w:rsidP="000C39D1">
            <w:pPr>
              <w:pStyle w:val="libFootnote0"/>
              <w:rPr>
                <w:rtl/>
              </w:rPr>
            </w:pPr>
            <w:r>
              <w:rPr>
                <w:rtl/>
              </w:rPr>
              <w:t>(16)</w:t>
            </w:r>
            <w:r w:rsidRPr="00132E65">
              <w:rPr>
                <w:rtl/>
              </w:rPr>
              <w:t xml:space="preserve"> في حاشية « ف » : « كانت »</w:t>
            </w:r>
            <w:r>
              <w:rPr>
                <w:rtl/>
              </w:rPr>
              <w:t>.</w:t>
            </w:r>
          </w:p>
        </w:tc>
        <w:tc>
          <w:tcPr>
            <w:tcW w:w="4262" w:type="dxa"/>
          </w:tcPr>
          <w:p w:rsidR="009F0593" w:rsidRDefault="00650CA8" w:rsidP="000C39D1">
            <w:pPr>
              <w:pStyle w:val="libFootnote0"/>
              <w:rPr>
                <w:rtl/>
              </w:rPr>
            </w:pPr>
            <w:r>
              <w:rPr>
                <w:rtl/>
              </w:rPr>
              <w:t>(17)</w:t>
            </w:r>
            <w:r w:rsidRPr="00132E65">
              <w:rPr>
                <w:rtl/>
              </w:rPr>
              <w:t xml:space="preserve"> في الإرشاد :</w:t>
            </w:r>
            <w:r>
              <w:rPr>
                <w:rtl/>
              </w:rPr>
              <w:t xml:space="preserve"> + </w:t>
            </w:r>
            <w:r w:rsidRPr="00132E65">
              <w:rPr>
                <w:rtl/>
              </w:rPr>
              <w:t>« لك »</w:t>
            </w:r>
            <w:r>
              <w:rPr>
                <w:rtl/>
              </w:rPr>
              <w:t>.</w:t>
            </w:r>
          </w:p>
        </w:tc>
      </w:tr>
    </w:tbl>
    <w:p w:rsidR="000C39D1" w:rsidRPr="00132E65" w:rsidRDefault="000C39D1" w:rsidP="000C39D1">
      <w:pPr>
        <w:pStyle w:val="libFootnote0"/>
        <w:rPr>
          <w:rtl/>
          <w:lang w:bidi="fa-IR"/>
        </w:rPr>
      </w:pPr>
      <w:r>
        <w:rPr>
          <w:rtl/>
        </w:rPr>
        <w:t>(18)</w:t>
      </w:r>
      <w:r w:rsidRPr="00132E65">
        <w:rPr>
          <w:rtl/>
        </w:rPr>
        <w:t xml:space="preserve"> في « ض » و</w:t>
      </w:r>
      <w:r w:rsidRPr="009D1ACE">
        <w:rPr>
          <w:rStyle w:val="libFootnoteBoldChar"/>
          <w:rtl/>
        </w:rPr>
        <w:t>الوافي</w:t>
      </w:r>
      <w:r w:rsidRPr="00132E65">
        <w:rPr>
          <w:rtl/>
        </w:rPr>
        <w:t xml:space="preserve"> :</w:t>
      </w:r>
      <w:r>
        <w:rPr>
          <w:rtl/>
        </w:rPr>
        <w:t xml:space="preserve"> + </w:t>
      </w:r>
      <w:r w:rsidRPr="00132E65">
        <w:rPr>
          <w:rtl/>
        </w:rPr>
        <w:t>« 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فَقُلْتُ : قَدْ أَخَذْتُهَا ، فَقَالَ </w:t>
      </w:r>
      <w:r>
        <w:rPr>
          <w:rStyle w:val="libFootnotenumChar"/>
          <w:rtl/>
        </w:rPr>
        <w:t>(1)</w:t>
      </w:r>
      <w:r w:rsidRPr="00132E65">
        <w:rPr>
          <w:rtl/>
          <w:lang w:bidi="fa-IR"/>
        </w:rPr>
        <w:t xml:space="preserve"> : هِيَ لَكَ ، و</w:t>
      </w:r>
      <w:r w:rsidR="00650CA8">
        <w:rPr>
          <w:rFonts w:hint="cs"/>
          <w:rtl/>
          <w:lang w:bidi="fa-IR"/>
        </w:rPr>
        <w:t>َ</w:t>
      </w:r>
      <w:r w:rsidRPr="00132E65">
        <w:rPr>
          <w:rtl/>
          <w:lang w:bidi="fa-IR"/>
        </w:rPr>
        <w:t xml:space="preserve">لكِنْ أَخْبِرْنِي مَنِ </w:t>
      </w:r>
      <w:r>
        <w:rPr>
          <w:rStyle w:val="libFootnotenumChar"/>
          <w:rtl/>
        </w:rPr>
        <w:t>(2)</w:t>
      </w:r>
      <w:r w:rsidRPr="00132E65">
        <w:rPr>
          <w:rtl/>
          <w:lang w:bidi="fa-IR"/>
        </w:rPr>
        <w:t xml:space="preserve"> الرَّجُلُ الَّذِي كَانَ مَعَكَ بِالْأَمْسِ</w:t>
      </w:r>
      <w:r>
        <w:rPr>
          <w:rtl/>
          <w:lang w:bidi="fa-IR"/>
        </w:rPr>
        <w:t>؟</w:t>
      </w:r>
      <w:r w:rsidRPr="00132E65">
        <w:rPr>
          <w:rtl/>
          <w:lang w:bidi="fa-IR"/>
        </w:rPr>
        <w:t xml:space="preserve"> فَقُلْتُ </w:t>
      </w:r>
      <w:r>
        <w:rPr>
          <w:rStyle w:val="libFootnotenumChar"/>
          <w:rtl/>
        </w:rPr>
        <w:t>(3)</w:t>
      </w:r>
      <w:r w:rsidRPr="00132E65">
        <w:rPr>
          <w:rtl/>
          <w:lang w:bidi="fa-IR"/>
        </w:rPr>
        <w:t xml:space="preserve"> : رَجُلٌ مِنْ بَنِي هَاشِمٍ ، قَالَ </w:t>
      </w:r>
      <w:r>
        <w:rPr>
          <w:rStyle w:val="libFootnotenumChar"/>
          <w:rtl/>
        </w:rPr>
        <w:t>(4)</w:t>
      </w:r>
      <w:r w:rsidRPr="00132E65">
        <w:rPr>
          <w:rtl/>
          <w:lang w:bidi="fa-IR"/>
        </w:rPr>
        <w:t xml:space="preserve"> : مِنْ أَيِّ بَنِي هَاشِمٍ</w:t>
      </w:r>
      <w:r>
        <w:rPr>
          <w:rtl/>
          <w:lang w:bidi="fa-IR"/>
        </w:rPr>
        <w:t>؟</w:t>
      </w:r>
      <w:r w:rsidRPr="00132E65">
        <w:rPr>
          <w:rtl/>
          <w:lang w:bidi="fa-IR"/>
        </w:rPr>
        <w:t xml:space="preserve"> فَقُلْتُ : مَا عِنْدِي أَكْثَرُ مِنْ هذَا ، فَقَالَ : أُخْبِرُكَ عَنْ هذِهِ الْوَصِيفَةِ </w:t>
      </w:r>
      <w:r>
        <w:rPr>
          <w:rStyle w:val="libFootnotenumChar"/>
          <w:rtl/>
        </w:rPr>
        <w:t>(5)</w:t>
      </w:r>
      <w:r w:rsidRPr="00132E65">
        <w:rPr>
          <w:rtl/>
          <w:lang w:bidi="fa-IR"/>
        </w:rPr>
        <w:t xml:space="preserve"> : إِنِّي اشْتَرَيْتُهَا مِنْ أَقْصَى الْمَغْرِبِ ، فَلَقِيَتْنِي امْرَأَةٌ مِنْ أَهْلِ الْكِتَابِ ، فَقَالَتْ : مَا هذِهِ الْوَصِيفَةُ مَعَكَ</w:t>
      </w:r>
      <w:r>
        <w:rPr>
          <w:rtl/>
          <w:lang w:bidi="fa-IR"/>
        </w:rPr>
        <w:t>؟</w:t>
      </w:r>
      <w:r w:rsidRPr="00132E65">
        <w:rPr>
          <w:rtl/>
          <w:lang w:bidi="fa-IR"/>
        </w:rPr>
        <w:t xml:space="preserve"> قُلْتُ : اشْتَرَيْتُهَا لِنَفْسِي ، فَقَالَتْ : مَا يَكُونُ </w:t>
      </w:r>
      <w:r>
        <w:rPr>
          <w:rStyle w:val="libFootnotenumChar"/>
          <w:rtl/>
        </w:rPr>
        <w:t>(6)</w:t>
      </w:r>
      <w:r w:rsidRPr="00132E65">
        <w:rPr>
          <w:rtl/>
          <w:lang w:bidi="fa-IR"/>
        </w:rPr>
        <w:t xml:space="preserve"> يَنْبَغِي أَنْ تَكُونَ هذِهِ عِنْدَ مِثْلِكَ ؛ إِنَّ هذِهِ الْجَارِيَةَ يَنْبَغِي أَنْ تَكُونَ عِنْدَ خَيْرِ أَهْلِ الْأَرْضِ ، فَلَا تَلْبَثُ عِنْدَهُ </w:t>
      </w:r>
      <w:r>
        <w:rPr>
          <w:rStyle w:val="libFootnotenumChar"/>
          <w:rtl/>
        </w:rPr>
        <w:t>(7)</w:t>
      </w:r>
      <w:r w:rsidR="00650CA8">
        <w:rPr>
          <w:rtl/>
          <w:lang w:bidi="fa-IR"/>
        </w:rPr>
        <w:t xml:space="preserve"> إِل</w:t>
      </w:r>
      <w:r w:rsidR="00650CA8">
        <w:rPr>
          <w:rFonts w:hint="cs"/>
          <w:rtl/>
          <w:lang w:bidi="fa-IR"/>
        </w:rPr>
        <w:t>َّ</w:t>
      </w:r>
      <w:r w:rsidR="00650CA8">
        <w:rPr>
          <w:rtl/>
          <w:lang w:bidi="fa-IR"/>
        </w:rPr>
        <w:t>ا</w:t>
      </w:r>
      <w:r w:rsidRPr="00132E65">
        <w:rPr>
          <w:rtl/>
          <w:lang w:bidi="fa-IR"/>
        </w:rPr>
        <w:t xml:space="preserve"> قَلِيلاً حَتّى تَلِدَ مِنْهُ </w:t>
      </w:r>
      <w:r>
        <w:rPr>
          <w:rStyle w:val="libFootnotenumChar"/>
          <w:rtl/>
        </w:rPr>
        <w:t>(8)</w:t>
      </w:r>
      <w:r w:rsidRPr="00132E65">
        <w:rPr>
          <w:rtl/>
          <w:lang w:bidi="fa-IR"/>
        </w:rPr>
        <w:t xml:space="preserve"> غُلَاماً مَا يُولَدُ </w:t>
      </w:r>
      <w:r>
        <w:rPr>
          <w:rStyle w:val="libFootnotenumChar"/>
          <w:rtl/>
        </w:rPr>
        <w:t>(9)</w:t>
      </w:r>
      <w:r w:rsidRPr="00132E65">
        <w:rPr>
          <w:rtl/>
          <w:lang w:bidi="fa-IR"/>
        </w:rPr>
        <w:t xml:space="preserve"> بِشَرْقِ الْأَرْضِ و</w:t>
      </w:r>
      <w:r w:rsidR="00650CA8">
        <w:rPr>
          <w:rFonts w:hint="cs"/>
          <w:rtl/>
          <w:lang w:bidi="fa-IR"/>
        </w:rPr>
        <w:t>َ</w:t>
      </w:r>
      <w:r w:rsidRPr="00132E65">
        <w:rPr>
          <w:rtl/>
          <w:lang w:bidi="fa-IR"/>
        </w:rPr>
        <w:t xml:space="preserve">لَاغَرْبِهَا </w:t>
      </w:r>
      <w:r>
        <w:rPr>
          <w:rStyle w:val="libFootnotenumChar"/>
          <w:rtl/>
        </w:rPr>
        <w:t>(10)</w:t>
      </w:r>
      <w:r w:rsidRPr="00132E65">
        <w:rPr>
          <w:rtl/>
          <w:lang w:bidi="fa-IR"/>
        </w:rPr>
        <w:t xml:space="preserve"> مِثْلُهُ.</w:t>
      </w:r>
    </w:p>
    <w:p w:rsidR="000C39D1" w:rsidRPr="00132E65" w:rsidRDefault="000C39D1" w:rsidP="000C39D1">
      <w:pPr>
        <w:pStyle w:val="libNormal"/>
        <w:rPr>
          <w:rtl/>
          <w:lang w:bidi="fa-IR"/>
        </w:rPr>
      </w:pPr>
      <w:r w:rsidRPr="00132E65">
        <w:rPr>
          <w:rtl/>
          <w:lang w:bidi="fa-IR"/>
        </w:rPr>
        <w:t>قَالَ : فَأَتَيْتُهُ بِهَا ،</w:t>
      </w:r>
      <w:r w:rsidR="00650CA8">
        <w:rPr>
          <w:rtl/>
          <w:lang w:bidi="fa-IR"/>
        </w:rPr>
        <w:t xml:space="preserve"> فَلَمْ تَلْبَثْ عِنْدَهُ إِل</w:t>
      </w:r>
      <w:r w:rsidR="00650CA8">
        <w:rPr>
          <w:rFonts w:hint="cs"/>
          <w:rtl/>
          <w:lang w:bidi="fa-IR"/>
        </w:rPr>
        <w:t>َّ</w:t>
      </w:r>
      <w:r w:rsidR="00650CA8">
        <w:rPr>
          <w:rtl/>
          <w:lang w:bidi="fa-IR"/>
        </w:rPr>
        <w:t>ا</w:t>
      </w:r>
      <w:r w:rsidRPr="00132E65">
        <w:rPr>
          <w:rtl/>
          <w:lang w:bidi="fa-IR"/>
        </w:rPr>
        <w:t xml:space="preserve"> قَلِيلاً حَتّى و</w:t>
      </w:r>
      <w:r w:rsidR="00650CA8">
        <w:rPr>
          <w:rFonts w:hint="cs"/>
          <w:rtl/>
          <w:lang w:bidi="fa-IR"/>
        </w:rPr>
        <w:t>َ</w:t>
      </w:r>
      <w:r w:rsidRPr="00132E65">
        <w:rPr>
          <w:rtl/>
          <w:lang w:bidi="fa-IR"/>
        </w:rPr>
        <w:t xml:space="preserve">لَدَتِ الرِّضَا </w:t>
      </w:r>
      <w:r w:rsidRPr="00071CF9">
        <w:rPr>
          <w:rStyle w:val="libAlaemChar"/>
          <w:rtl/>
        </w:rPr>
        <w:t>عليه‌السلام</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991870">
        <w:rPr>
          <w:rtl/>
        </w:rPr>
        <w:t>1299</w:t>
      </w:r>
      <w:r w:rsidRPr="004325D8">
        <w:rPr>
          <w:rStyle w:val="libBold2Char"/>
          <w:rtl/>
        </w:rPr>
        <w:t xml:space="preserve"> / 2.</w:t>
      </w:r>
      <w:r w:rsidRPr="00132E65">
        <w:rPr>
          <w:rtl/>
          <w:lang w:bidi="fa-IR"/>
        </w:rPr>
        <w:t xml:space="preserve"> مُحَمَّدُ بْنُ يَحْيى ، عَنْ أَحْمَدَ بْنِ مُحَمَّدٍ ، عَمَّنْ ذَكَرَهُ </w:t>
      </w:r>
      <w:r>
        <w:rPr>
          <w:rStyle w:val="libFootnotenumChar"/>
          <w:rtl/>
        </w:rPr>
        <w:t>(12)</w:t>
      </w:r>
      <w:r w:rsidRPr="00132E65">
        <w:rPr>
          <w:rtl/>
          <w:lang w:bidi="fa-IR"/>
        </w:rPr>
        <w:t xml:space="preserve"> ، عَنْ صَفْوَانَ بْنِ يَحْيى ، قَالَ :</w:t>
      </w:r>
    </w:p>
    <w:p w:rsidR="000C39D1" w:rsidRPr="00132E65" w:rsidRDefault="000C39D1" w:rsidP="000C39D1">
      <w:pPr>
        <w:pStyle w:val="libNormal"/>
        <w:rPr>
          <w:rtl/>
          <w:lang w:bidi="fa-IR"/>
        </w:rPr>
      </w:pPr>
      <w:r w:rsidRPr="00132E65">
        <w:rPr>
          <w:rtl/>
          <w:lang w:bidi="fa-IR"/>
        </w:rPr>
        <w:t xml:space="preserve">لَمَّا مَضى أَبُو إِبْرَاهِيمَ </w:t>
      </w:r>
      <w:r w:rsidRPr="00071CF9">
        <w:rPr>
          <w:rStyle w:val="libAlaemChar"/>
          <w:rtl/>
        </w:rPr>
        <w:t>عليه‌السلام</w:t>
      </w:r>
      <w:r w:rsidRPr="00132E65">
        <w:rPr>
          <w:rtl/>
          <w:lang w:bidi="fa-IR"/>
        </w:rPr>
        <w:t xml:space="preserve"> ، و</w:t>
      </w:r>
      <w:r w:rsidR="00650CA8">
        <w:rPr>
          <w:rFonts w:hint="cs"/>
          <w:rtl/>
          <w:lang w:bidi="fa-IR"/>
        </w:rPr>
        <w:t>َ</w:t>
      </w:r>
      <w:r w:rsidRPr="00132E65">
        <w:rPr>
          <w:rtl/>
          <w:lang w:bidi="fa-IR"/>
        </w:rPr>
        <w:t xml:space="preserve">تَكَلَّمَ أَبُو الْحَسَنِ </w:t>
      </w:r>
      <w:r w:rsidRPr="00F543F1">
        <w:rPr>
          <w:rStyle w:val="libFootnotenumChar"/>
          <w:rtl/>
        </w:rPr>
        <w:t>(13)</w:t>
      </w:r>
      <w:r w:rsidRPr="00132E65">
        <w:rPr>
          <w:rtl/>
          <w:lang w:bidi="fa-IR"/>
        </w:rPr>
        <w:t xml:space="preserve"> </w:t>
      </w:r>
      <w:r w:rsidRPr="00071CF9">
        <w:rPr>
          <w:rStyle w:val="libAlaemChar"/>
          <w:rtl/>
        </w:rPr>
        <w:t>عليه‌السلام</w:t>
      </w:r>
      <w:r w:rsidRPr="00132E65">
        <w:rPr>
          <w:rtl/>
          <w:lang w:bidi="fa-IR"/>
        </w:rPr>
        <w:t xml:space="preserve"> ، خِفْنَا عَلَيْهِ مِنْ ذلِكَ ، فَقِيلَ لَهُ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قال »</w:t>
      </w:r>
      <w:r>
        <w:rPr>
          <w:rtl/>
        </w:rPr>
        <w:t>.</w:t>
      </w:r>
    </w:p>
    <w:p w:rsidR="000C39D1" w:rsidRPr="00132E65" w:rsidRDefault="000C39D1" w:rsidP="000C39D1">
      <w:pPr>
        <w:pStyle w:val="libFootnote0"/>
        <w:rPr>
          <w:rtl/>
          <w:lang w:bidi="fa-IR"/>
        </w:rPr>
      </w:pPr>
      <w:r>
        <w:rPr>
          <w:rtl/>
        </w:rPr>
        <w:t>(2).</w:t>
      </w:r>
      <w:r w:rsidRPr="00132E65">
        <w:rPr>
          <w:rtl/>
        </w:rPr>
        <w:t xml:space="preserve"> في « ف » : « عن »</w:t>
      </w:r>
      <w:r>
        <w:rPr>
          <w:rtl/>
        </w:rPr>
        <w:t>.</w:t>
      </w:r>
    </w:p>
    <w:p w:rsidR="000C39D1" w:rsidRPr="00132E65" w:rsidRDefault="000C39D1" w:rsidP="000C39D1">
      <w:pPr>
        <w:pStyle w:val="libFootnote0"/>
        <w:rPr>
          <w:rtl/>
          <w:lang w:bidi="fa-IR"/>
        </w:rPr>
      </w:pPr>
      <w:r>
        <w:rPr>
          <w:rtl/>
        </w:rPr>
        <w:t>(3).</w:t>
      </w:r>
      <w:r w:rsidRPr="00132E65">
        <w:rPr>
          <w:rtl/>
        </w:rPr>
        <w:t xml:space="preserve"> في « ج ، ض ، ف ، بر ، بس » </w:t>
      </w:r>
      <w:r w:rsidRPr="00650CA8">
        <w:rPr>
          <w:rtl/>
        </w:rPr>
        <w:t>والوافي</w:t>
      </w:r>
      <w:r w:rsidRPr="00132E65">
        <w:rPr>
          <w:rtl/>
        </w:rPr>
        <w:t xml:space="preserve"> والاختصاص : « قلت »</w:t>
      </w:r>
      <w:r>
        <w:rPr>
          <w:rtl/>
        </w:rPr>
        <w:t>.</w:t>
      </w:r>
    </w:p>
    <w:p w:rsidR="000C39D1" w:rsidRPr="00132E65" w:rsidRDefault="000C39D1" w:rsidP="000C39D1">
      <w:pPr>
        <w:pStyle w:val="libFootnote0"/>
        <w:rPr>
          <w:rtl/>
          <w:lang w:bidi="fa-IR"/>
        </w:rPr>
      </w:pPr>
      <w:r>
        <w:rPr>
          <w:rtl/>
        </w:rPr>
        <w:t>(4).</w:t>
      </w:r>
      <w:r w:rsidRPr="00132E65">
        <w:rPr>
          <w:rtl/>
        </w:rPr>
        <w:t xml:space="preserve"> في « ب ، ض ، ف ، بف » </w:t>
      </w:r>
      <w:r w:rsidRPr="00650CA8">
        <w:rPr>
          <w:rtl/>
        </w:rPr>
        <w:t>والوافي</w:t>
      </w:r>
      <w:r w:rsidRPr="00132E65">
        <w:rPr>
          <w:rtl/>
        </w:rPr>
        <w:t xml:space="preserve"> والاختصاص والعيون : « فقال »</w:t>
      </w:r>
      <w:r>
        <w:rPr>
          <w:rtl/>
        </w:rPr>
        <w:t>.</w:t>
      </w:r>
    </w:p>
    <w:p w:rsidR="000C39D1" w:rsidRPr="00132E65" w:rsidRDefault="000C39D1" w:rsidP="00650CA8">
      <w:pPr>
        <w:pStyle w:val="libFootnote0"/>
        <w:rPr>
          <w:rtl/>
          <w:lang w:bidi="fa-IR"/>
        </w:rPr>
      </w:pPr>
      <w:r>
        <w:rPr>
          <w:rtl/>
        </w:rPr>
        <w:t>(5).</w:t>
      </w:r>
      <w:r w:rsidRPr="00132E65">
        <w:rPr>
          <w:rtl/>
        </w:rPr>
        <w:t xml:space="preserve"> « الوَصِيفُ » : الخادم غلاماً كان أو جارية. يقال : وصُفَ الغلامُ ، إذا بلغ حدّ الخدمة ، فهو وصيف بيّن الوَصافَة ، والجمع : و</w:t>
      </w:r>
      <w:r w:rsidR="00650CA8">
        <w:rPr>
          <w:rFonts w:hint="cs"/>
          <w:rtl/>
        </w:rPr>
        <w:t>ُ</w:t>
      </w:r>
      <w:r w:rsidRPr="00132E65">
        <w:rPr>
          <w:rtl/>
        </w:rPr>
        <w:t xml:space="preserve">صَفاءُ. وربّما قالوا للجارية : وصيفةٌ بيّنة الوَصافَة والإيصاف ، والجمع : الوَصائف. </w:t>
      </w:r>
      <w:r w:rsidRPr="00650CA8">
        <w:rPr>
          <w:rStyle w:val="libFootnoteBoldChar"/>
          <w:rtl/>
        </w:rPr>
        <w:t>الصحاح</w:t>
      </w:r>
      <w:r w:rsidRPr="00132E65">
        <w:rPr>
          <w:rtl/>
        </w:rPr>
        <w:t xml:space="preserve"> ، ج 4 ، ص 1439 ( وصف )</w:t>
      </w:r>
      <w:r>
        <w:rPr>
          <w:rtl/>
        </w:rPr>
        <w:t>.</w:t>
      </w:r>
      <w:r w:rsidR="00650CA8">
        <w:rPr>
          <w:rFonts w:hint="cs"/>
          <w:rtl/>
        </w:rPr>
        <w:t xml:space="preserve">                          </w:t>
      </w:r>
      <w:r w:rsidR="003915A6">
        <w:rPr>
          <w:rFonts w:hint="cs"/>
          <w:rtl/>
        </w:rPr>
        <w:t xml:space="preserve">               </w:t>
      </w:r>
      <w:r w:rsidR="00650CA8">
        <w:rPr>
          <w:rFonts w:hint="cs"/>
          <w:rtl/>
        </w:rPr>
        <w:t xml:space="preserve">            </w:t>
      </w:r>
      <w:r>
        <w:rPr>
          <w:rtl/>
        </w:rPr>
        <w:t>(6).</w:t>
      </w:r>
      <w:r w:rsidRPr="00132E65">
        <w:rPr>
          <w:rtl/>
        </w:rPr>
        <w:t xml:space="preserve"> في الإرشاد والاختصاص والعيون </w:t>
      </w:r>
      <w:r>
        <w:rPr>
          <w:rtl/>
        </w:rPr>
        <w:t xml:space="preserve">: - </w:t>
      </w:r>
      <w:r w:rsidRPr="00132E65">
        <w:rPr>
          <w:rtl/>
        </w:rPr>
        <w:t>« يكون »</w:t>
      </w:r>
      <w:r>
        <w:rPr>
          <w:rtl/>
        </w:rPr>
        <w:t>.</w:t>
      </w:r>
    </w:p>
    <w:p w:rsidR="000C39D1" w:rsidRPr="00132E65" w:rsidRDefault="000C39D1" w:rsidP="000C39D1">
      <w:pPr>
        <w:pStyle w:val="libFootnote0"/>
        <w:rPr>
          <w:rtl/>
          <w:lang w:bidi="fa-IR"/>
        </w:rPr>
      </w:pPr>
      <w:r>
        <w:rPr>
          <w:rtl/>
        </w:rPr>
        <w:t>(7).</w:t>
      </w:r>
      <w:r w:rsidRPr="00132E65">
        <w:rPr>
          <w:rtl/>
        </w:rPr>
        <w:t xml:space="preserve"> في « ج ، ض ، ف ، بح ، بر ، بس ، بف » </w:t>
      </w:r>
      <w:r w:rsidRPr="00650CA8">
        <w:rPr>
          <w:rtl/>
        </w:rPr>
        <w:t>والوافي</w:t>
      </w:r>
      <w:r w:rsidRPr="00132E65">
        <w:rPr>
          <w:rtl/>
        </w:rPr>
        <w:t xml:space="preserve"> </w:t>
      </w:r>
      <w:r>
        <w:rPr>
          <w:rtl/>
        </w:rPr>
        <w:t xml:space="preserve">: - </w:t>
      </w:r>
      <w:r w:rsidRPr="00132E65">
        <w:rPr>
          <w:rtl/>
        </w:rPr>
        <w:t>« عنده »</w:t>
      </w:r>
      <w:r>
        <w:rPr>
          <w:rtl/>
        </w:rPr>
        <w:t>.</w:t>
      </w:r>
    </w:p>
    <w:tbl>
      <w:tblPr>
        <w:tblStyle w:val="TableGrid"/>
        <w:bidiVisual/>
        <w:tblW w:w="0" w:type="auto"/>
        <w:tblLook w:val="04A0" w:firstRow="1" w:lastRow="0" w:firstColumn="1" w:lastColumn="0" w:noHBand="0" w:noVBand="1"/>
      </w:tblPr>
      <w:tblGrid>
        <w:gridCol w:w="4261"/>
        <w:gridCol w:w="4262"/>
      </w:tblGrid>
      <w:tr w:rsidR="00650CA8" w:rsidTr="00650CA8">
        <w:tc>
          <w:tcPr>
            <w:tcW w:w="4261" w:type="dxa"/>
          </w:tcPr>
          <w:p w:rsidR="00650CA8" w:rsidRDefault="00650CA8" w:rsidP="000C39D1">
            <w:pPr>
              <w:pStyle w:val="libFootnote0"/>
              <w:rPr>
                <w:rtl/>
              </w:rPr>
            </w:pPr>
            <w:r>
              <w:rPr>
                <w:rtl/>
              </w:rPr>
              <w:t>(8).</w:t>
            </w:r>
            <w:r w:rsidRPr="00132E65">
              <w:rPr>
                <w:rtl/>
              </w:rPr>
              <w:t xml:space="preserve"> في الإرشاد </w:t>
            </w:r>
            <w:r>
              <w:rPr>
                <w:rtl/>
              </w:rPr>
              <w:t xml:space="preserve">: - </w:t>
            </w:r>
            <w:r w:rsidRPr="00132E65">
              <w:rPr>
                <w:rtl/>
              </w:rPr>
              <w:t>« منه »</w:t>
            </w:r>
            <w:r>
              <w:rPr>
                <w:rtl/>
              </w:rPr>
              <w:t>.</w:t>
            </w:r>
          </w:p>
        </w:tc>
        <w:tc>
          <w:tcPr>
            <w:tcW w:w="4262" w:type="dxa"/>
          </w:tcPr>
          <w:p w:rsidR="00650CA8" w:rsidRDefault="00650CA8" w:rsidP="000C39D1">
            <w:pPr>
              <w:pStyle w:val="libFootnote0"/>
              <w:rPr>
                <w:rtl/>
              </w:rPr>
            </w:pPr>
            <w:r>
              <w:rPr>
                <w:rtl/>
              </w:rPr>
              <w:t>(9).</w:t>
            </w:r>
            <w:r w:rsidRPr="00132E65">
              <w:rPr>
                <w:rtl/>
              </w:rPr>
              <w:t xml:space="preserve"> في « ف » : « لايولد »</w:t>
            </w:r>
            <w:r>
              <w:rPr>
                <w:rtl/>
              </w:rPr>
              <w:t>.</w:t>
            </w:r>
            <w:r w:rsidRPr="00132E65">
              <w:rPr>
                <w:rtl/>
              </w:rPr>
              <w:t xml:space="preserve"> وفي الإرشاد : « لم يولد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 « ولا بغربها »</w:t>
      </w:r>
      <w:r>
        <w:rPr>
          <w:rtl/>
        </w:rPr>
        <w:t>.</w:t>
      </w:r>
    </w:p>
    <w:p w:rsidR="000C39D1" w:rsidRPr="00132E65" w:rsidRDefault="000C39D1" w:rsidP="000C39D1">
      <w:pPr>
        <w:pStyle w:val="libFootnote0"/>
        <w:rPr>
          <w:rtl/>
          <w:lang w:bidi="fa-IR"/>
        </w:rPr>
      </w:pPr>
      <w:r>
        <w:rPr>
          <w:rtl/>
        </w:rPr>
        <w:t>(11).</w:t>
      </w:r>
      <w:r w:rsidRPr="00132E65">
        <w:rPr>
          <w:rtl/>
        </w:rPr>
        <w:t xml:space="preserve"> </w:t>
      </w:r>
      <w:r w:rsidRPr="00991870">
        <w:rPr>
          <w:rtl/>
        </w:rPr>
        <w:t>الإرشاد</w:t>
      </w:r>
      <w:r w:rsidRPr="00132E65">
        <w:rPr>
          <w:rtl/>
        </w:rPr>
        <w:t xml:space="preserve"> ، ج 2 ، ص 254 ، بسنده عن الكليني. وفي </w:t>
      </w:r>
      <w:r w:rsidRPr="00650CA8">
        <w:rPr>
          <w:rStyle w:val="libFootnoteBoldChar"/>
          <w:rtl/>
        </w:rPr>
        <w:t>عيون الأخبار</w:t>
      </w:r>
      <w:r w:rsidRPr="00132E65">
        <w:rPr>
          <w:rtl/>
        </w:rPr>
        <w:t xml:space="preserve"> ، ج 1 ، ص 17 ، ح 4 ؛ </w:t>
      </w:r>
      <w:r w:rsidRPr="00650CA8">
        <w:rPr>
          <w:rStyle w:val="libFootnoteBoldChar"/>
          <w:rtl/>
        </w:rPr>
        <w:t>والاختصاص</w:t>
      </w:r>
      <w:r w:rsidRPr="00132E65">
        <w:rPr>
          <w:rtl/>
        </w:rPr>
        <w:t xml:space="preserve"> ، ص 197 ، بسندهما عن أحمد بن محمّد بن عيسى ، عن الحسن بن محبوب ، عن يعقوب بن إسحاق ، عن أبي زكريّا الواسطي ، عن هشام بن أحمر [ في العيون : أحمد ]</w:t>
      </w:r>
      <w:r w:rsidR="000A6070">
        <w:rPr>
          <w:rFonts w:hint="cs"/>
          <w:rtl/>
        </w:rPr>
        <w:t>.</w:t>
      </w:r>
      <w:r w:rsidRPr="00132E65">
        <w:rPr>
          <w:rtl/>
        </w:rPr>
        <w:t xml:space="preserve"> </w:t>
      </w:r>
      <w:r w:rsidRPr="009D1ACE">
        <w:rPr>
          <w:rStyle w:val="libFootnoteBoldChar"/>
          <w:rtl/>
        </w:rPr>
        <w:t>الوافي</w:t>
      </w:r>
      <w:r w:rsidRPr="00132E65">
        <w:rPr>
          <w:rtl/>
        </w:rPr>
        <w:t xml:space="preserve"> ، ج 3 ، ص 815 ، ح 1421.</w:t>
      </w:r>
    </w:p>
    <w:tbl>
      <w:tblPr>
        <w:tblStyle w:val="TableGrid"/>
        <w:bidiVisual/>
        <w:tblW w:w="0" w:type="auto"/>
        <w:tblLook w:val="04A0" w:firstRow="1" w:lastRow="0" w:firstColumn="1" w:lastColumn="0" w:noHBand="0" w:noVBand="1"/>
      </w:tblPr>
      <w:tblGrid>
        <w:gridCol w:w="4261"/>
        <w:gridCol w:w="4262"/>
      </w:tblGrid>
      <w:tr w:rsidR="000A6070" w:rsidTr="000A6070">
        <w:tc>
          <w:tcPr>
            <w:tcW w:w="4261" w:type="dxa"/>
          </w:tcPr>
          <w:p w:rsidR="000A6070" w:rsidRDefault="000A6070" w:rsidP="000C39D1">
            <w:pPr>
              <w:pStyle w:val="libFootnote0"/>
              <w:rPr>
                <w:rtl/>
              </w:rPr>
            </w:pPr>
            <w:r>
              <w:rPr>
                <w:rtl/>
              </w:rPr>
              <w:t>(12).</w:t>
            </w:r>
            <w:r w:rsidRPr="00132E65">
              <w:rPr>
                <w:rtl/>
              </w:rPr>
              <w:t xml:space="preserve"> في الإرشاد </w:t>
            </w:r>
            <w:r>
              <w:rPr>
                <w:rtl/>
              </w:rPr>
              <w:t xml:space="preserve">: - </w:t>
            </w:r>
            <w:r w:rsidRPr="00132E65">
              <w:rPr>
                <w:rtl/>
              </w:rPr>
              <w:t>« عمّن ذكره »</w:t>
            </w:r>
            <w:r>
              <w:rPr>
                <w:rtl/>
              </w:rPr>
              <w:t>.</w:t>
            </w:r>
          </w:p>
        </w:tc>
        <w:tc>
          <w:tcPr>
            <w:tcW w:w="4262" w:type="dxa"/>
          </w:tcPr>
          <w:p w:rsidR="000A6070" w:rsidRDefault="000A6070" w:rsidP="000C39D1">
            <w:pPr>
              <w:pStyle w:val="libFootnote0"/>
              <w:rPr>
                <w:rtl/>
              </w:rPr>
            </w:pPr>
            <w:r>
              <w:rPr>
                <w:rtl/>
              </w:rPr>
              <w:t>(13)</w:t>
            </w:r>
            <w:r w:rsidRPr="00132E65">
              <w:rPr>
                <w:rtl/>
              </w:rPr>
              <w:t xml:space="preserve"> في الإرشاد :</w:t>
            </w:r>
            <w:r>
              <w:rPr>
                <w:rtl/>
              </w:rPr>
              <w:t xml:space="preserve"> + </w:t>
            </w:r>
            <w:r w:rsidRPr="00132E65">
              <w:rPr>
                <w:rtl/>
              </w:rPr>
              <w:t>« الرضا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إِنَّكَ قَدْ أَظْهَرْتَ أَمْراً عَظِيماً ، و</w:t>
      </w:r>
      <w:r w:rsidR="000A6070">
        <w:rPr>
          <w:rFonts w:hint="cs"/>
          <w:rtl/>
          <w:lang w:bidi="fa-IR"/>
        </w:rPr>
        <w:t>َ</w:t>
      </w:r>
      <w:r w:rsidRPr="00132E65">
        <w:rPr>
          <w:rtl/>
          <w:lang w:bidi="fa-IR"/>
        </w:rPr>
        <w:t xml:space="preserve">إِنَّا نَخَافُ عَلَيْكَ هذِهِ </w:t>
      </w:r>
      <w:r>
        <w:rPr>
          <w:rStyle w:val="libFootnotenumChar"/>
          <w:rtl/>
        </w:rPr>
        <w:t>(1)</w:t>
      </w:r>
      <w:r w:rsidRPr="00132E65">
        <w:rPr>
          <w:rtl/>
          <w:lang w:bidi="fa-IR"/>
        </w:rPr>
        <w:t xml:space="preserve"> الطَّاغِيَةَ ، قَالَ </w:t>
      </w:r>
      <w:r>
        <w:rPr>
          <w:rStyle w:val="libFootnotenumChar"/>
          <w:rtl/>
        </w:rPr>
        <w:t>(2)</w:t>
      </w:r>
      <w:r w:rsidRPr="00132E65">
        <w:rPr>
          <w:rtl/>
          <w:lang w:bidi="fa-IR"/>
        </w:rPr>
        <w:t xml:space="preserve"> : فَقَالَ : « لِيَجْهَدْ جَهْدَهُ ؛ فَلَا سَبِيلَ لَهُ عَلَيَّ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991870">
        <w:rPr>
          <w:rtl/>
        </w:rPr>
        <w:t>1300</w:t>
      </w:r>
      <w:r w:rsidRPr="004325D8">
        <w:rPr>
          <w:rStyle w:val="libBold2Char"/>
          <w:rtl/>
        </w:rPr>
        <w:t xml:space="preserve"> / 3.</w:t>
      </w:r>
      <w:r w:rsidRPr="00132E65">
        <w:rPr>
          <w:rtl/>
          <w:lang w:bidi="fa-IR"/>
        </w:rPr>
        <w:t xml:space="preserve"> أَحْمَدُ بْنُ مِهْرَانَ رَحِمَهُ اللهُ ، عَنْ مُحَمَّدِ بْنِ عَلِيٍّ ، عَنِ الْحَسَنِ </w:t>
      </w:r>
      <w:r>
        <w:rPr>
          <w:rStyle w:val="libFootnotenumChar"/>
          <w:rtl/>
        </w:rPr>
        <w:t>(4)</w:t>
      </w:r>
      <w:r w:rsidRPr="00132E65">
        <w:rPr>
          <w:rtl/>
          <w:lang w:bidi="fa-IR"/>
        </w:rPr>
        <w:t xml:space="preserve"> بْنِ مَنْصُورٍ ، عَنْ أَخِيهِ ، قَالَ :</w:t>
      </w:r>
    </w:p>
    <w:p w:rsidR="000C39D1" w:rsidRPr="00132E65" w:rsidRDefault="000C39D1" w:rsidP="000C39D1">
      <w:pPr>
        <w:pStyle w:val="libNormal"/>
        <w:rPr>
          <w:rtl/>
          <w:lang w:bidi="fa-IR"/>
        </w:rPr>
      </w:pPr>
      <w:r w:rsidRPr="00132E65">
        <w:rPr>
          <w:rtl/>
          <w:lang w:bidi="fa-IR"/>
        </w:rPr>
        <w:t xml:space="preserve">دَخَلْتُ عَلَى الرِّضَا </w:t>
      </w:r>
      <w:r w:rsidRPr="00071CF9">
        <w:rPr>
          <w:rStyle w:val="libAlaemChar"/>
          <w:rtl/>
        </w:rPr>
        <w:t>عليه‌السلام</w:t>
      </w:r>
      <w:r w:rsidRPr="00132E65">
        <w:rPr>
          <w:rtl/>
          <w:lang w:bidi="fa-IR"/>
        </w:rPr>
        <w:t xml:space="preserve"> فِي بَيْتٍ دَاخِلٍ فِي جَوْفِ بَيْتٍ لَيْلاً ، فَرَفَعَ يَدَهُ ، فَكَانَتْ كَأَنَّ فِي الْبَيْتِ عَشَرَةَ مَصَابِيحَ ، و</w:t>
      </w:r>
      <w:r w:rsidR="000A6070">
        <w:rPr>
          <w:rFonts w:hint="cs"/>
          <w:rtl/>
          <w:lang w:bidi="fa-IR"/>
        </w:rPr>
        <w:t>َ</w:t>
      </w:r>
      <w:r w:rsidRPr="00132E65">
        <w:rPr>
          <w:rtl/>
          <w:lang w:bidi="fa-IR"/>
        </w:rPr>
        <w:t xml:space="preserve">اسْتَأْذَنَ عَلَيْهِ رَجُلٌ ، فَخَلّى يَدَهُ </w:t>
      </w:r>
      <w:r>
        <w:rPr>
          <w:rStyle w:val="libFootnotenumChar"/>
          <w:rtl/>
        </w:rPr>
        <w:t>(5)</w:t>
      </w:r>
      <w:r w:rsidRPr="00132E65">
        <w:rPr>
          <w:rtl/>
          <w:lang w:bidi="fa-IR"/>
        </w:rPr>
        <w:t xml:space="preserve"> ، ثُمَّ أَذِنَ لَهُ. </w:t>
      </w:r>
      <w:r>
        <w:rPr>
          <w:rStyle w:val="libFootnotenumChar"/>
          <w:rtl/>
        </w:rPr>
        <w:t>(6)</w:t>
      </w:r>
    </w:p>
    <w:p w:rsidR="000C39D1" w:rsidRPr="00132E65" w:rsidRDefault="000C39D1" w:rsidP="000C39D1">
      <w:pPr>
        <w:pStyle w:val="libNormal"/>
        <w:rPr>
          <w:rtl/>
          <w:lang w:bidi="fa-IR"/>
        </w:rPr>
      </w:pPr>
      <w:r w:rsidRPr="00991870">
        <w:rPr>
          <w:rtl/>
        </w:rPr>
        <w:t>1301</w:t>
      </w:r>
      <w:r w:rsidRPr="004325D8">
        <w:rPr>
          <w:rStyle w:val="libBold2Char"/>
          <w:rtl/>
        </w:rPr>
        <w:t xml:space="preserve"> / 4.</w:t>
      </w:r>
      <w:r w:rsidRPr="00132E65">
        <w:rPr>
          <w:rtl/>
          <w:lang w:bidi="fa-IR"/>
        </w:rPr>
        <w:t xml:space="preserve"> عَلِيُّ بْنُ مُحَمَّدٍ ، عَنِ ابْنِ جُمْهُورٍ ، عَنْ إِبْرَاهِيمَ بْنِ عَبْدِ اللهِ ، عَنْ أَحْمَدَ بْنِ عَبْدِ اللهِ ، عَنِ الْغِفَارِيِّ ، قَالَ :</w:t>
      </w:r>
    </w:p>
    <w:p w:rsidR="000C39D1" w:rsidRPr="00132E65" w:rsidRDefault="000C39D1" w:rsidP="000C39D1">
      <w:pPr>
        <w:pStyle w:val="libNormal"/>
        <w:rPr>
          <w:rtl/>
          <w:lang w:bidi="fa-IR"/>
        </w:rPr>
      </w:pPr>
      <w:r w:rsidRPr="00132E65">
        <w:rPr>
          <w:rtl/>
          <w:lang w:bidi="fa-IR"/>
        </w:rPr>
        <w:t>كَانَ لِرَجُلٍ مِنْ آلِ أَبِي رَافِعٍ</w:t>
      </w:r>
      <w:r>
        <w:rPr>
          <w:rtl/>
          <w:lang w:bidi="fa-IR"/>
        </w:rPr>
        <w:t xml:space="preserve"> - </w:t>
      </w:r>
      <w:r w:rsidRPr="00132E65">
        <w:rPr>
          <w:rtl/>
          <w:lang w:bidi="fa-IR"/>
        </w:rPr>
        <w:t xml:space="preserve">مَوْلَى النَّبِيِّ </w:t>
      </w:r>
      <w:r>
        <w:rPr>
          <w:rStyle w:val="libFootnotenumChar"/>
          <w:rtl/>
        </w:rPr>
        <w:t>(7)</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يُقَالُ لَهُ : طَيْسٌ </w:t>
      </w:r>
      <w:r>
        <w:rPr>
          <w:rStyle w:val="libFootnotenumChar"/>
          <w:rtl/>
        </w:rPr>
        <w:t>(8)</w:t>
      </w:r>
      <w:r>
        <w:rPr>
          <w:rtl/>
          <w:lang w:bidi="fa-IR"/>
        </w:rPr>
        <w:t xml:space="preserve"> - </w:t>
      </w:r>
      <w:r w:rsidRPr="00132E65">
        <w:rPr>
          <w:rtl/>
          <w:lang w:bidi="fa-IR"/>
        </w:rPr>
        <w:t xml:space="preserve">عَلَيَّ حَقٌّ ، فَتَقَاضَانِي </w:t>
      </w:r>
      <w:r>
        <w:rPr>
          <w:rStyle w:val="libFootnotenumChar"/>
          <w:rtl/>
        </w:rPr>
        <w:t>(9)</w:t>
      </w:r>
      <w:r w:rsidRPr="00132E65">
        <w:rPr>
          <w:rtl/>
          <w:lang w:bidi="fa-IR"/>
        </w:rPr>
        <w:t xml:space="preserve"> ، و</w:t>
      </w:r>
      <w:r w:rsidR="000A6070">
        <w:rPr>
          <w:rFonts w:hint="cs"/>
          <w:rtl/>
          <w:lang w:bidi="fa-IR"/>
        </w:rPr>
        <w:t>َ</w:t>
      </w:r>
      <w:r w:rsidRPr="00132E65">
        <w:rPr>
          <w:rtl/>
          <w:lang w:bidi="fa-IR"/>
        </w:rPr>
        <w:t>أَلَحَّ عَلَيَّ ، و</w:t>
      </w:r>
      <w:r w:rsidR="000A6070">
        <w:rPr>
          <w:rFonts w:hint="cs"/>
          <w:rtl/>
          <w:lang w:bidi="fa-IR"/>
        </w:rPr>
        <w:t>َ</w:t>
      </w:r>
      <w:r w:rsidRPr="00132E65">
        <w:rPr>
          <w:rtl/>
          <w:lang w:bidi="fa-IR"/>
        </w:rPr>
        <w:t xml:space="preserve">أَعَانَهُ النَّاسُ </w:t>
      </w:r>
      <w:r>
        <w:rPr>
          <w:rStyle w:val="libFootnotenumChar"/>
          <w:rtl/>
        </w:rPr>
        <w:t>(10)</w:t>
      </w:r>
      <w:r w:rsidRPr="00132E65">
        <w:rPr>
          <w:rtl/>
          <w:lang w:bidi="fa-IR"/>
        </w:rPr>
        <w:t xml:space="preserve"> ، فَلَمَّا رَأَيْتُ ذلِكَ صَلَّيْتُ الصُّبْحَ فِي مَسْجِدِ الرَّسُولِ </w:t>
      </w:r>
      <w:r>
        <w:rPr>
          <w:rStyle w:val="libFootnotenumChar"/>
          <w:rtl/>
        </w:rPr>
        <w:t>(11)</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ثُمَّ تَوَجَّهْتُ نَحْوَ الرِّضَا </w:t>
      </w:r>
      <w:r w:rsidRPr="00071CF9">
        <w:rPr>
          <w:rStyle w:val="libAlaemChar"/>
          <w:rtl/>
        </w:rPr>
        <w:t>عليه‌السلام</w:t>
      </w:r>
      <w:r w:rsidRPr="00132E65">
        <w:rPr>
          <w:rtl/>
          <w:lang w:bidi="fa-IR"/>
        </w:rPr>
        <w:t xml:space="preserve"> و</w:t>
      </w:r>
      <w:r w:rsidR="000A6070">
        <w:rPr>
          <w:rFonts w:hint="cs"/>
          <w:rtl/>
          <w:lang w:bidi="fa-IR"/>
        </w:rPr>
        <w:t>َ</w:t>
      </w:r>
      <w:r w:rsidRPr="00132E65">
        <w:rPr>
          <w:rtl/>
          <w:lang w:bidi="fa-IR"/>
        </w:rPr>
        <w:t xml:space="preserve">هُوَ يَوْمَئِذٍ بِالْعُرَيْضِ </w:t>
      </w:r>
      <w:r>
        <w:rPr>
          <w:rStyle w:val="libFootnotenumChar"/>
          <w:rtl/>
        </w:rPr>
        <w:t>(12)</w:t>
      </w:r>
      <w:r w:rsidRPr="00132E65">
        <w:rPr>
          <w:rtl/>
          <w:lang w:bidi="fa-IR"/>
        </w:rPr>
        <w:t xml:space="preserve"> ، فَلَمَّا قَرُبْتُ مِنْ بَابِهِ إِذَا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بف » والإرشاد : « هذا »</w:t>
      </w:r>
      <w:r>
        <w:rPr>
          <w:rtl/>
        </w:rPr>
        <w:t>.</w:t>
      </w:r>
    </w:p>
    <w:p w:rsidR="000C39D1" w:rsidRPr="00132E65" w:rsidRDefault="000C39D1" w:rsidP="000C39D1">
      <w:pPr>
        <w:pStyle w:val="libFootnote0"/>
        <w:rPr>
          <w:rtl/>
          <w:lang w:bidi="fa-IR"/>
        </w:rPr>
      </w:pPr>
      <w:r>
        <w:rPr>
          <w:rtl/>
        </w:rPr>
        <w:t>(2).</w:t>
      </w:r>
      <w:r w:rsidRPr="00132E65">
        <w:rPr>
          <w:rtl/>
        </w:rPr>
        <w:t xml:space="preserve"> في الإرشاد والعيون </w:t>
      </w:r>
      <w:r>
        <w:rPr>
          <w:rtl/>
        </w:rPr>
        <w:t xml:space="preserve">: - </w:t>
      </w:r>
      <w:r w:rsidRPr="00132E65">
        <w:rPr>
          <w:rtl/>
        </w:rPr>
        <w:t>« قال »</w:t>
      </w:r>
      <w:r>
        <w:rPr>
          <w:rtl/>
        </w:rPr>
        <w:t>.</w:t>
      </w:r>
    </w:p>
    <w:p w:rsidR="000C39D1" w:rsidRPr="00132E65" w:rsidRDefault="000C39D1" w:rsidP="000A6070">
      <w:pPr>
        <w:pStyle w:val="libFootnote0"/>
        <w:rPr>
          <w:rtl/>
          <w:lang w:bidi="fa-IR"/>
        </w:rPr>
      </w:pPr>
      <w:r>
        <w:rPr>
          <w:rtl/>
        </w:rPr>
        <w:t>(3).</w:t>
      </w:r>
      <w:r w:rsidRPr="00132E65">
        <w:rPr>
          <w:rtl/>
        </w:rPr>
        <w:t xml:space="preserve"> </w:t>
      </w:r>
      <w:r w:rsidRPr="000A6070">
        <w:rPr>
          <w:rStyle w:val="libFootnoteBoldChar"/>
          <w:rtl/>
        </w:rPr>
        <w:t>الإرشاد</w:t>
      </w:r>
      <w:r w:rsidRPr="00132E65">
        <w:rPr>
          <w:rtl/>
        </w:rPr>
        <w:t xml:space="preserve"> ، ج 2 ، ص 255 ، بسنده عن الكليني. وفي </w:t>
      </w:r>
      <w:r w:rsidRPr="000A6070">
        <w:rPr>
          <w:rStyle w:val="libFootnoteBoldChar"/>
          <w:rtl/>
        </w:rPr>
        <w:t>عيون الأخبار</w:t>
      </w:r>
      <w:r w:rsidRPr="00132E65">
        <w:rPr>
          <w:rtl/>
        </w:rPr>
        <w:t xml:space="preserve"> ، ج 2 ، ص 226 ، ح 4 ، عن أحمد بن زياد بن </w:t>
      </w:r>
      <w:r w:rsidRPr="000A6070">
        <w:rPr>
          <w:rStyle w:val="libFootnoteBoldChar"/>
          <w:rtl/>
        </w:rPr>
        <w:t>جعفر الهمداني</w:t>
      </w:r>
      <w:r w:rsidRPr="00132E65">
        <w:rPr>
          <w:rtl/>
        </w:rPr>
        <w:t xml:space="preserve"> ، عن عليّ بن إبراهيم بن هاشم ، عن محمّد بن عيسى بن عبيد ، عن صفوان بن يحيى ، مع زيادة في آخره </w:t>
      </w:r>
      <w:r w:rsidR="000A6070">
        <w:rPr>
          <w:rFonts w:hint="cs"/>
          <w:rtl/>
        </w:rPr>
        <w:t>.</w:t>
      </w:r>
      <w:r w:rsidRPr="009D1ACE">
        <w:rPr>
          <w:rStyle w:val="libFootnoteBoldChar"/>
          <w:rtl/>
        </w:rPr>
        <w:t>الوافي</w:t>
      </w:r>
      <w:r w:rsidRPr="00132E65">
        <w:rPr>
          <w:rtl/>
        </w:rPr>
        <w:t xml:space="preserve"> ، ج 3 ، ص 816 ، ح 1422.</w:t>
      </w:r>
      <w:r w:rsidR="003915A6">
        <w:rPr>
          <w:rFonts w:hint="cs"/>
          <w:rtl/>
        </w:rPr>
        <w:t xml:space="preserve">                 </w:t>
      </w:r>
      <w:r w:rsidR="000A6070">
        <w:rPr>
          <w:rFonts w:hint="cs"/>
          <w:rtl/>
        </w:rPr>
        <w:t xml:space="preserve">    </w:t>
      </w:r>
      <w:r>
        <w:rPr>
          <w:rtl/>
        </w:rPr>
        <w:t>(4).</w:t>
      </w:r>
      <w:r w:rsidRPr="00132E65">
        <w:rPr>
          <w:rtl/>
        </w:rPr>
        <w:t xml:space="preserve"> في حاشية « بف » : « الحسين »</w:t>
      </w:r>
      <w:r>
        <w:rPr>
          <w:rtl/>
        </w:rPr>
        <w:t>.</w:t>
      </w:r>
    </w:p>
    <w:p w:rsidR="000C39D1" w:rsidRPr="00132E65" w:rsidRDefault="000C39D1" w:rsidP="000C39D1">
      <w:pPr>
        <w:pStyle w:val="libFootnote0"/>
        <w:rPr>
          <w:rtl/>
          <w:lang w:bidi="fa-IR"/>
        </w:rPr>
      </w:pPr>
      <w:r>
        <w:rPr>
          <w:rtl/>
        </w:rPr>
        <w:t>(5).</w:t>
      </w:r>
      <w:r w:rsidRPr="00132E65">
        <w:rPr>
          <w:rtl/>
        </w:rPr>
        <w:t xml:space="preserve"> في « ب ، ج ، ف ، بح ، بس » وحاشية « بر » </w:t>
      </w:r>
      <w:r w:rsidRPr="000A6070">
        <w:rPr>
          <w:rtl/>
        </w:rPr>
        <w:t>ومرآة العقول</w:t>
      </w:r>
      <w:r w:rsidRPr="00132E65">
        <w:rPr>
          <w:rtl/>
        </w:rPr>
        <w:t xml:space="preserve"> : « به »</w:t>
      </w:r>
      <w:r>
        <w:rPr>
          <w:rtl/>
        </w:rPr>
        <w:t>.</w:t>
      </w:r>
    </w:p>
    <w:tbl>
      <w:tblPr>
        <w:tblStyle w:val="TableGrid"/>
        <w:bidiVisual/>
        <w:tblW w:w="0" w:type="auto"/>
        <w:tblLook w:val="04A0" w:firstRow="1" w:lastRow="0" w:firstColumn="1" w:lastColumn="0" w:noHBand="0" w:noVBand="1"/>
      </w:tblPr>
      <w:tblGrid>
        <w:gridCol w:w="4261"/>
        <w:gridCol w:w="4262"/>
      </w:tblGrid>
      <w:tr w:rsidR="000A6070" w:rsidTr="000A6070">
        <w:tc>
          <w:tcPr>
            <w:tcW w:w="4261" w:type="dxa"/>
          </w:tcPr>
          <w:p w:rsidR="000A6070" w:rsidRDefault="000A6070" w:rsidP="000C39D1">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3 ، ص 816 ، ح 1424.</w:t>
            </w:r>
          </w:p>
        </w:tc>
        <w:tc>
          <w:tcPr>
            <w:tcW w:w="4262" w:type="dxa"/>
          </w:tcPr>
          <w:p w:rsidR="000A6070" w:rsidRDefault="000A6070" w:rsidP="000C39D1">
            <w:pPr>
              <w:pStyle w:val="libFootnote0"/>
              <w:rPr>
                <w:rtl/>
              </w:rPr>
            </w:pPr>
            <w:r>
              <w:rPr>
                <w:rtl/>
              </w:rPr>
              <w:t>(7).</w:t>
            </w:r>
            <w:r w:rsidRPr="00132E65">
              <w:rPr>
                <w:rtl/>
              </w:rPr>
              <w:t xml:space="preserve"> في « ف » والإرشاد : « رسول الله »</w:t>
            </w:r>
            <w:r>
              <w:rPr>
                <w:rtl/>
              </w:rPr>
              <w:t>.</w:t>
            </w:r>
          </w:p>
        </w:tc>
      </w:tr>
    </w:tbl>
    <w:p w:rsidR="000C39D1" w:rsidRPr="00132E65" w:rsidRDefault="000C39D1" w:rsidP="000C39D1">
      <w:pPr>
        <w:pStyle w:val="libFootnote0"/>
        <w:rPr>
          <w:rtl/>
          <w:lang w:bidi="fa-IR"/>
        </w:rPr>
      </w:pPr>
      <w:r>
        <w:rPr>
          <w:rtl/>
        </w:rPr>
        <w:t>(8).</w:t>
      </w:r>
      <w:r w:rsidRPr="00132E65">
        <w:rPr>
          <w:rtl/>
        </w:rPr>
        <w:t xml:space="preserve"> في الإرشاد : « فلان »</w:t>
      </w:r>
      <w:r>
        <w:rPr>
          <w:rtl/>
        </w:rPr>
        <w:t>.</w:t>
      </w:r>
    </w:p>
    <w:p w:rsidR="000C39D1" w:rsidRPr="00132E65" w:rsidRDefault="000C39D1" w:rsidP="000C39D1">
      <w:pPr>
        <w:pStyle w:val="libFootnote0"/>
        <w:rPr>
          <w:rtl/>
          <w:lang w:bidi="fa-IR"/>
        </w:rPr>
      </w:pPr>
      <w:r>
        <w:rPr>
          <w:rtl/>
        </w:rPr>
        <w:t>(9).</w:t>
      </w:r>
      <w:r w:rsidRPr="00132E65">
        <w:rPr>
          <w:rtl/>
        </w:rPr>
        <w:t xml:space="preserve"> « فتقاضاني » ، أي طلب منّي حقَّه. راجع : </w:t>
      </w:r>
      <w:r w:rsidRPr="000A6070">
        <w:rPr>
          <w:rStyle w:val="libFootnoteBoldChar"/>
          <w:rtl/>
        </w:rPr>
        <w:t>الصحاح</w:t>
      </w:r>
      <w:r w:rsidRPr="00132E65">
        <w:rPr>
          <w:rtl/>
        </w:rPr>
        <w:t xml:space="preserve"> ، ج 6 ، ص 2464 ؛ </w:t>
      </w:r>
      <w:r w:rsidRPr="000A6070">
        <w:rPr>
          <w:rStyle w:val="libFootnoteBoldChar"/>
          <w:rtl/>
        </w:rPr>
        <w:t>المفردات للراغب</w:t>
      </w:r>
      <w:r w:rsidR="000A6070">
        <w:rPr>
          <w:rtl/>
        </w:rPr>
        <w:t xml:space="preserve"> ، ص 675 (قضا</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0A6070" w:rsidTr="000A6070">
        <w:tc>
          <w:tcPr>
            <w:tcW w:w="4261" w:type="dxa"/>
          </w:tcPr>
          <w:p w:rsidR="000A6070" w:rsidRDefault="000A6070" w:rsidP="000C39D1">
            <w:pPr>
              <w:pStyle w:val="libFootnote0"/>
              <w:rPr>
                <w:rtl/>
              </w:rPr>
            </w:pPr>
            <w:r>
              <w:rPr>
                <w:rtl/>
              </w:rPr>
              <w:t>(10).</w:t>
            </w:r>
            <w:r w:rsidRPr="00132E65">
              <w:rPr>
                <w:rtl/>
              </w:rPr>
              <w:t xml:space="preserve"> في </w:t>
            </w:r>
            <w:r w:rsidRPr="000A6070">
              <w:rPr>
                <w:rStyle w:val="libFootnoteBoldChar"/>
                <w:rtl/>
              </w:rPr>
              <w:t>الإرشاد</w:t>
            </w:r>
            <w:r w:rsidRPr="00132E65">
              <w:rPr>
                <w:rtl/>
              </w:rPr>
              <w:t xml:space="preserve"> </w:t>
            </w:r>
            <w:r>
              <w:rPr>
                <w:rtl/>
              </w:rPr>
              <w:t xml:space="preserve">: - </w:t>
            </w:r>
            <w:r w:rsidRPr="00132E65">
              <w:rPr>
                <w:rtl/>
              </w:rPr>
              <w:t>« وأعانه الناس »</w:t>
            </w:r>
            <w:r>
              <w:rPr>
                <w:rtl/>
              </w:rPr>
              <w:t>.</w:t>
            </w:r>
          </w:p>
        </w:tc>
        <w:tc>
          <w:tcPr>
            <w:tcW w:w="4262" w:type="dxa"/>
          </w:tcPr>
          <w:p w:rsidR="000A6070" w:rsidRDefault="000A6070" w:rsidP="000C39D1">
            <w:pPr>
              <w:pStyle w:val="libFootnote0"/>
              <w:rPr>
                <w:rtl/>
              </w:rPr>
            </w:pPr>
            <w:r>
              <w:rPr>
                <w:rtl/>
              </w:rPr>
              <w:t>(11).</w:t>
            </w:r>
            <w:r w:rsidRPr="00132E65">
              <w:rPr>
                <w:rtl/>
              </w:rPr>
              <w:t xml:space="preserve"> في « ض » والإرشاد : « رسول الله »</w:t>
            </w:r>
            <w:r>
              <w:rPr>
                <w:rtl/>
              </w:rPr>
              <w:t>.</w:t>
            </w:r>
          </w:p>
        </w:tc>
      </w:tr>
    </w:tbl>
    <w:p w:rsidR="000C39D1" w:rsidRPr="00132E65" w:rsidRDefault="000C39D1" w:rsidP="000C39D1">
      <w:pPr>
        <w:pStyle w:val="libFootnote0"/>
        <w:rPr>
          <w:rtl/>
          <w:lang w:bidi="fa-IR"/>
        </w:rPr>
      </w:pPr>
      <w:r>
        <w:rPr>
          <w:rtl/>
        </w:rPr>
        <w:t>(12).</w:t>
      </w:r>
      <w:r w:rsidRPr="00132E65">
        <w:rPr>
          <w:rtl/>
        </w:rPr>
        <w:t xml:space="preserve"> ذكر في </w:t>
      </w:r>
      <w:r w:rsidRPr="00991870">
        <w:rPr>
          <w:rtl/>
        </w:rPr>
        <w:t>تاريخ قمَّ</w:t>
      </w:r>
      <w:r w:rsidRPr="00132E65">
        <w:rPr>
          <w:rtl/>
        </w:rPr>
        <w:t xml:space="preserve"> نقلاً عن بعض الرواة أنّ العريض من قرى المدينة على بُعد فرسخ منها ، وكانت القرية ملكاً للإمام الباقر </w:t>
      </w:r>
      <w:r w:rsidRPr="000A6070">
        <w:rPr>
          <w:rStyle w:val="libFootnoteAlaemChar"/>
          <w:rtl/>
        </w:rPr>
        <w:t>عليه‌السلام</w:t>
      </w:r>
      <w:r w:rsidRPr="00132E65">
        <w:rPr>
          <w:rtl/>
        </w:rPr>
        <w:t xml:space="preserve"> ، وأوصى الإمام الصادق </w:t>
      </w:r>
      <w:r w:rsidRPr="000A6070">
        <w:rPr>
          <w:rStyle w:val="libFootnoteAlaemChar"/>
          <w:rtl/>
        </w:rPr>
        <w:t>عليه‌السلام</w:t>
      </w:r>
      <w:r w:rsidRPr="00132E65">
        <w:rPr>
          <w:rtl/>
        </w:rPr>
        <w:t xml:space="preserve"> بهذه القرية إلى ولده عليّ العريضي. </w:t>
      </w:r>
      <w:r w:rsidRPr="000A6070">
        <w:rPr>
          <w:rStyle w:val="libFootnoteBoldChar"/>
          <w:rtl/>
        </w:rPr>
        <w:t>تاريخ قم</w:t>
      </w:r>
      <w:r w:rsidRPr="00132E65">
        <w:rPr>
          <w:rtl/>
        </w:rPr>
        <w:t xml:space="preserve"> ، ص 224.</w:t>
      </w:r>
    </w:p>
    <w:p w:rsidR="000C39D1" w:rsidRPr="00132E65" w:rsidRDefault="000C39D1" w:rsidP="000C39D1">
      <w:pPr>
        <w:pStyle w:val="libFootnote0"/>
        <w:rPr>
          <w:rtl/>
          <w:lang w:bidi="fa-IR"/>
        </w:rPr>
      </w:pPr>
      <w:r>
        <w:rPr>
          <w:rtl/>
        </w:rPr>
        <w:t>(13)</w:t>
      </w:r>
      <w:r w:rsidRPr="00132E65">
        <w:rPr>
          <w:rtl/>
        </w:rPr>
        <w:t xml:space="preserve"> في « ف » : « إذ »</w:t>
      </w:r>
      <w:r>
        <w:rPr>
          <w:rtl/>
        </w:rPr>
        <w:t>.</w:t>
      </w:r>
      <w:r w:rsidRPr="00132E65">
        <w:rPr>
          <w:rtl/>
        </w:rPr>
        <w:t xml:space="preserve"> وفي « بر ، بف » </w:t>
      </w:r>
      <w:r w:rsidRPr="000A6070">
        <w:rPr>
          <w:rtl/>
        </w:rPr>
        <w:t>والوافي</w:t>
      </w:r>
      <w:r w:rsidRPr="00132E65">
        <w:rPr>
          <w:rtl/>
        </w:rPr>
        <w:t xml:space="preserve"> : « فإذا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هُوَ قَدْ طَلَعَ </w:t>
      </w:r>
      <w:r>
        <w:rPr>
          <w:rStyle w:val="libFootnotenumChar"/>
          <w:rtl/>
        </w:rPr>
        <w:t>(1)</w:t>
      </w:r>
      <w:r w:rsidRPr="00132E65">
        <w:rPr>
          <w:rtl/>
          <w:lang w:bidi="fa-IR"/>
        </w:rPr>
        <w:t xml:space="preserve"> عَلى حِمَارٍ ، و</w:t>
      </w:r>
      <w:r w:rsidR="00383489">
        <w:rPr>
          <w:rFonts w:hint="cs"/>
          <w:rtl/>
          <w:lang w:bidi="fa-IR"/>
        </w:rPr>
        <w:t>َ</w:t>
      </w:r>
      <w:r w:rsidRPr="00132E65">
        <w:rPr>
          <w:rtl/>
          <w:lang w:bidi="fa-IR"/>
        </w:rPr>
        <w:t>عَلَيْهِ قَمِيصٌ و</w:t>
      </w:r>
      <w:r w:rsidR="00383489">
        <w:rPr>
          <w:rFonts w:hint="cs"/>
          <w:rtl/>
          <w:lang w:bidi="fa-IR"/>
        </w:rPr>
        <w:t xml:space="preserve">َ </w:t>
      </w:r>
      <w:r w:rsidRPr="00132E65">
        <w:rPr>
          <w:rtl/>
          <w:lang w:bidi="fa-IR"/>
        </w:rPr>
        <w:t xml:space="preserve">رِدَاءٌ ، فَلَمَّا نَظَرْتُ إِلَيْهِ اسْتَحْيَيْتُ </w:t>
      </w:r>
      <w:r>
        <w:rPr>
          <w:rStyle w:val="libFootnotenumChar"/>
          <w:rtl/>
        </w:rPr>
        <w:t>(2)</w:t>
      </w:r>
      <w:r w:rsidRPr="00132E65">
        <w:rPr>
          <w:rtl/>
          <w:lang w:bidi="fa-IR"/>
        </w:rPr>
        <w:t xml:space="preserve"> مِنْهُ ، فَلَمَّا لَحِقَنِي و</w:t>
      </w:r>
      <w:r w:rsidR="00383489">
        <w:rPr>
          <w:rFonts w:hint="cs"/>
          <w:rtl/>
          <w:lang w:bidi="fa-IR"/>
        </w:rPr>
        <w:t>َ</w:t>
      </w:r>
      <w:r w:rsidRPr="00132E65">
        <w:rPr>
          <w:rtl/>
          <w:lang w:bidi="fa-IR"/>
        </w:rPr>
        <w:t>قَفَ ، و</w:t>
      </w:r>
      <w:r w:rsidR="00383489">
        <w:rPr>
          <w:rFonts w:hint="cs"/>
          <w:rtl/>
          <w:lang w:bidi="fa-IR"/>
        </w:rPr>
        <w:t>َ</w:t>
      </w:r>
      <w:r w:rsidRPr="00132E65">
        <w:rPr>
          <w:rtl/>
          <w:lang w:bidi="fa-IR"/>
        </w:rPr>
        <w:t xml:space="preserve">نَظَرَ </w:t>
      </w:r>
      <w:r>
        <w:rPr>
          <w:rStyle w:val="libFootnotenumChar"/>
          <w:rtl/>
        </w:rPr>
        <w:t>(3)</w:t>
      </w:r>
      <w:r w:rsidRPr="00132E65">
        <w:rPr>
          <w:rtl/>
          <w:lang w:bidi="fa-IR"/>
        </w:rPr>
        <w:t xml:space="preserve"> إِلَيَّ ، فَسَلَّمْتُ عَلَيْهِ</w:t>
      </w:r>
      <w:r>
        <w:rPr>
          <w:rtl/>
          <w:lang w:bidi="fa-IR"/>
        </w:rPr>
        <w:t xml:space="preserve"> - </w:t>
      </w:r>
      <w:r w:rsidRPr="00132E65">
        <w:rPr>
          <w:rtl/>
          <w:lang w:bidi="fa-IR"/>
        </w:rPr>
        <w:t>و</w:t>
      </w:r>
      <w:r w:rsidR="00383489">
        <w:rPr>
          <w:rFonts w:hint="cs"/>
          <w:rtl/>
          <w:lang w:bidi="fa-IR"/>
        </w:rPr>
        <w:t>َ</w:t>
      </w:r>
      <w:r w:rsidRPr="00132E65">
        <w:rPr>
          <w:rtl/>
          <w:lang w:bidi="fa-IR"/>
        </w:rPr>
        <w:t>كَانَ شَهْرَ رَمَضَانَ</w:t>
      </w:r>
      <w:r>
        <w:rPr>
          <w:rtl/>
          <w:lang w:bidi="fa-IR"/>
        </w:rPr>
        <w:t xml:space="preserve"> - </w:t>
      </w:r>
      <w:r w:rsidRPr="00132E65">
        <w:rPr>
          <w:rtl/>
          <w:lang w:bidi="fa-IR"/>
        </w:rPr>
        <w:t xml:space="preserve">فَقُلْتُ : جَعَلَنِيَ اللهُ فِدَاكَ </w:t>
      </w:r>
      <w:r>
        <w:rPr>
          <w:rStyle w:val="libFootnotenumChar"/>
          <w:rtl/>
        </w:rPr>
        <w:t>(4)</w:t>
      </w:r>
      <w:r w:rsidRPr="00132E65">
        <w:rPr>
          <w:rtl/>
          <w:lang w:bidi="fa-IR"/>
        </w:rPr>
        <w:t xml:space="preserve"> ، إِنَّ لِمَوْلَاكَ طَيْسٍ </w:t>
      </w:r>
      <w:r>
        <w:rPr>
          <w:rStyle w:val="libFootnotenumChar"/>
          <w:rtl/>
        </w:rPr>
        <w:t>(5)</w:t>
      </w:r>
      <w:r w:rsidRPr="00132E65">
        <w:rPr>
          <w:rtl/>
          <w:lang w:bidi="fa-IR"/>
        </w:rPr>
        <w:t xml:space="preserve"> عَلَيَّ حَقّاً </w:t>
      </w:r>
      <w:r>
        <w:rPr>
          <w:rStyle w:val="libFootnotenumChar"/>
          <w:rtl/>
        </w:rPr>
        <w:t>(6)</w:t>
      </w:r>
      <w:r w:rsidRPr="00132E65">
        <w:rPr>
          <w:rtl/>
          <w:lang w:bidi="fa-IR"/>
        </w:rPr>
        <w:t xml:space="preserve"> ، و</w:t>
      </w:r>
      <w:r w:rsidR="00383489">
        <w:rPr>
          <w:rFonts w:hint="cs"/>
          <w:rtl/>
          <w:lang w:bidi="fa-IR"/>
        </w:rPr>
        <w:t>َ</w:t>
      </w:r>
      <w:r w:rsidRPr="00132E65">
        <w:rPr>
          <w:rtl/>
          <w:lang w:bidi="fa-IR"/>
        </w:rPr>
        <w:t>قَدْ و</w:t>
      </w:r>
      <w:r w:rsidR="00383489">
        <w:rPr>
          <w:rFonts w:hint="cs"/>
          <w:rtl/>
          <w:lang w:bidi="fa-IR"/>
        </w:rPr>
        <w:t>َ</w:t>
      </w:r>
      <w:r w:rsidRPr="00132E65">
        <w:rPr>
          <w:rtl/>
          <w:lang w:bidi="fa-IR"/>
        </w:rPr>
        <w:t xml:space="preserve">اللهِ شَهَرَنِي </w:t>
      </w:r>
      <w:r>
        <w:rPr>
          <w:rStyle w:val="libFootnotenumChar"/>
          <w:rtl/>
        </w:rPr>
        <w:t>(7)</w:t>
      </w:r>
      <w:r w:rsidRPr="00132E65">
        <w:rPr>
          <w:rtl/>
          <w:lang w:bidi="fa-IR"/>
        </w:rPr>
        <w:t xml:space="preserve"> و</w:t>
      </w:r>
      <w:r w:rsidR="00383489">
        <w:rPr>
          <w:rFonts w:hint="cs"/>
          <w:rtl/>
          <w:lang w:bidi="fa-IR"/>
        </w:rPr>
        <w:t>َ</w:t>
      </w:r>
      <w:r w:rsidRPr="00132E65">
        <w:rPr>
          <w:rtl/>
          <w:lang w:bidi="fa-IR"/>
        </w:rPr>
        <w:t xml:space="preserve">أَنَا أَظُنُّ فِي نَفْسِي أَنَّهُ </w:t>
      </w:r>
      <w:r>
        <w:rPr>
          <w:rStyle w:val="libFootnotenumChar"/>
          <w:rtl/>
        </w:rPr>
        <w:t>(8)</w:t>
      </w:r>
      <w:r w:rsidRPr="00132E65">
        <w:rPr>
          <w:rtl/>
          <w:lang w:bidi="fa-IR"/>
        </w:rPr>
        <w:t xml:space="preserve"> يَأْمُرُهُ بِالْكَفِّ عَنِّي ، و</w:t>
      </w:r>
      <w:r w:rsidR="00383489">
        <w:rPr>
          <w:rFonts w:hint="cs"/>
          <w:rtl/>
          <w:lang w:bidi="fa-IR"/>
        </w:rPr>
        <w:t xml:space="preserve">َ </w:t>
      </w:r>
      <w:r w:rsidRPr="00132E65">
        <w:rPr>
          <w:rtl/>
          <w:lang w:bidi="fa-IR"/>
        </w:rPr>
        <w:t>و</w:t>
      </w:r>
      <w:r w:rsidR="00383489">
        <w:rPr>
          <w:rFonts w:hint="cs"/>
          <w:rtl/>
          <w:lang w:bidi="fa-IR"/>
        </w:rPr>
        <w:t>َ</w:t>
      </w:r>
      <w:r w:rsidRPr="00132E65">
        <w:rPr>
          <w:rtl/>
          <w:lang w:bidi="fa-IR"/>
        </w:rPr>
        <w:t>اللهِ مَا قُلْتُ لَهُ : كَمْ لَهُ عَلَيَّ ، و</w:t>
      </w:r>
      <w:r w:rsidR="00383489">
        <w:rPr>
          <w:rFonts w:hint="cs"/>
          <w:rtl/>
          <w:lang w:bidi="fa-IR"/>
        </w:rPr>
        <w:t>َ</w:t>
      </w:r>
      <w:r w:rsidRPr="00132E65">
        <w:rPr>
          <w:rtl/>
          <w:lang w:bidi="fa-IR"/>
        </w:rPr>
        <w:t>لَاسَمَّيْتُ لَهُ شَيْئاً.</w:t>
      </w:r>
    </w:p>
    <w:p w:rsidR="000C39D1" w:rsidRPr="00132E65" w:rsidRDefault="000C39D1" w:rsidP="000C39D1">
      <w:pPr>
        <w:pStyle w:val="libNormal"/>
        <w:rPr>
          <w:rtl/>
          <w:lang w:bidi="fa-IR"/>
        </w:rPr>
      </w:pPr>
      <w:r w:rsidRPr="00132E65">
        <w:rPr>
          <w:rtl/>
          <w:lang w:bidi="fa-IR"/>
        </w:rPr>
        <w:t xml:space="preserve">فَأَمَرَنِي </w:t>
      </w:r>
      <w:r w:rsidRPr="00071CF9">
        <w:rPr>
          <w:rStyle w:val="libAlaemChar"/>
          <w:rtl/>
        </w:rPr>
        <w:t>عليه‌السلام</w:t>
      </w:r>
      <w:r w:rsidRPr="00132E65">
        <w:rPr>
          <w:rtl/>
          <w:lang w:bidi="fa-IR"/>
        </w:rPr>
        <w:t xml:space="preserve"> بِالْجُلُوسِ إِلى رُجُوعِهِ ، فَلَمْ أَزَلْ حَتّى صَلَّيْتُ الْمَغْرِبَ وأَنَا صَائِمٌ ، فَضَاقَ صَدْرِي ، و</w:t>
      </w:r>
      <w:r w:rsidR="00383489">
        <w:rPr>
          <w:rFonts w:hint="cs"/>
          <w:rtl/>
          <w:lang w:bidi="fa-IR"/>
        </w:rPr>
        <w:t>َ</w:t>
      </w:r>
      <w:r w:rsidRPr="00132E65">
        <w:rPr>
          <w:rtl/>
          <w:lang w:bidi="fa-IR"/>
        </w:rPr>
        <w:t>أَرَدْتُ أَنْ أَنْصَرِفَ ، فَإِذَا هُوَ قَدْ طَلَعَ عَلَيَّ و</w:t>
      </w:r>
      <w:r w:rsidR="00383489">
        <w:rPr>
          <w:rFonts w:hint="cs"/>
          <w:rtl/>
          <w:lang w:bidi="fa-IR"/>
        </w:rPr>
        <w:t>َ</w:t>
      </w:r>
      <w:r w:rsidRPr="00132E65">
        <w:rPr>
          <w:rtl/>
          <w:lang w:bidi="fa-IR"/>
        </w:rPr>
        <w:t>حَوْلَهُ النَّاسُ ، و</w:t>
      </w:r>
      <w:r w:rsidR="00383489">
        <w:rPr>
          <w:rFonts w:hint="cs"/>
          <w:rtl/>
          <w:lang w:bidi="fa-IR"/>
        </w:rPr>
        <w:t>َ</w:t>
      </w:r>
      <w:r w:rsidRPr="00132E65">
        <w:rPr>
          <w:rtl/>
          <w:lang w:bidi="fa-IR"/>
        </w:rPr>
        <w:t xml:space="preserve">قَدْ </w:t>
      </w:r>
      <w:r>
        <w:rPr>
          <w:rStyle w:val="libFootnotenumChar"/>
          <w:rtl/>
        </w:rPr>
        <w:t>(9)</w:t>
      </w:r>
      <w:r w:rsidRPr="00132E65">
        <w:rPr>
          <w:rtl/>
          <w:lang w:bidi="fa-IR"/>
        </w:rPr>
        <w:t xml:space="preserve"> قَعَدَ لَهُ السُّؤَّالُ وَهُوَ يَتَصَدَّقُ </w:t>
      </w:r>
      <w:r>
        <w:rPr>
          <w:rStyle w:val="libFootnotenumChar"/>
          <w:rtl/>
        </w:rPr>
        <w:t>(10)</w:t>
      </w:r>
      <w:r w:rsidRPr="00132E65">
        <w:rPr>
          <w:rtl/>
          <w:lang w:bidi="fa-IR"/>
        </w:rPr>
        <w:t xml:space="preserve"> عَلَيْهِمْ ، فَمَضى و</w:t>
      </w:r>
      <w:r w:rsidR="00383489">
        <w:rPr>
          <w:rFonts w:hint="cs"/>
          <w:rtl/>
          <w:lang w:bidi="fa-IR"/>
        </w:rPr>
        <w:t>َ</w:t>
      </w:r>
      <w:r>
        <w:rPr>
          <w:rFonts w:hint="cs"/>
          <w:rtl/>
          <w:lang w:bidi="fa-IR"/>
        </w:rPr>
        <w:t xml:space="preserve"> </w:t>
      </w:r>
      <w:r>
        <w:rPr>
          <w:rStyle w:val="libFootnotenumChar"/>
          <w:rtl/>
        </w:rPr>
        <w:t>(11)</w:t>
      </w:r>
      <w:r w:rsidRPr="00132E65">
        <w:rPr>
          <w:rtl/>
          <w:lang w:bidi="fa-IR"/>
        </w:rPr>
        <w:t xml:space="preserve"> دَخَلَ بَيْتَهُ ، ثُمَّ خَرَجَ ودَعَانِي ، فَقُمْتُ إِلَيْهِ و</w:t>
      </w:r>
      <w:r w:rsidR="00383489">
        <w:rPr>
          <w:rFonts w:hint="cs"/>
          <w:rtl/>
          <w:lang w:bidi="fa-IR"/>
        </w:rPr>
        <w:t>َ</w:t>
      </w:r>
      <w:r w:rsidRPr="00132E65">
        <w:rPr>
          <w:rtl/>
          <w:lang w:bidi="fa-IR"/>
        </w:rPr>
        <w:t xml:space="preserve">دَخَلْتُ مَعَهُ ، فَجَلَسَ وجَلَسْتُ </w:t>
      </w:r>
      <w:r>
        <w:rPr>
          <w:rStyle w:val="libFootnotenumChar"/>
          <w:rtl/>
        </w:rPr>
        <w:t>(12)</w:t>
      </w:r>
      <w:r w:rsidRPr="00132E65">
        <w:rPr>
          <w:rtl/>
          <w:lang w:bidi="fa-IR"/>
        </w:rPr>
        <w:t xml:space="preserve"> ، فَجَعَلْتُ أُحَدِّثُهُ عَنِ ابْنِ الْمُسَيَّبِ</w:t>
      </w:r>
      <w:r>
        <w:rPr>
          <w:rtl/>
          <w:lang w:bidi="fa-IR"/>
        </w:rPr>
        <w:t xml:space="preserve"> - </w:t>
      </w:r>
      <w:r w:rsidRPr="00132E65">
        <w:rPr>
          <w:rtl/>
          <w:lang w:bidi="fa-IR"/>
        </w:rPr>
        <w:t>و</w:t>
      </w:r>
      <w:r w:rsidR="00383489">
        <w:rPr>
          <w:rFonts w:hint="cs"/>
          <w:rtl/>
          <w:lang w:bidi="fa-IR"/>
        </w:rPr>
        <w:t>َ</w:t>
      </w:r>
      <w:r w:rsidRPr="00132E65">
        <w:rPr>
          <w:rtl/>
          <w:lang w:bidi="fa-IR"/>
        </w:rPr>
        <w:t xml:space="preserve">كَانَ أَمِيرَ الْمَدِينَةِ </w:t>
      </w:r>
      <w:r w:rsidRPr="00F543F1">
        <w:rPr>
          <w:rStyle w:val="libFootnotenumChar"/>
          <w:rtl/>
        </w:rPr>
        <w:t>(13)</w:t>
      </w:r>
      <w:r w:rsidRPr="00132E65">
        <w:rPr>
          <w:rtl/>
          <w:lang w:bidi="fa-IR"/>
        </w:rPr>
        <w:t xml:space="preserve"> ، وَكَانَ كَثِيراً مَا أُحَدِّثُهُ عَنْهُ</w:t>
      </w:r>
      <w:r>
        <w:rPr>
          <w:rtl/>
          <w:lang w:bidi="fa-IR"/>
        </w:rPr>
        <w:t xml:space="preserve"> - </w:t>
      </w:r>
      <w:r w:rsidRPr="00132E65">
        <w:rPr>
          <w:rtl/>
          <w:lang w:bidi="fa-IR"/>
        </w:rPr>
        <w:t xml:space="preserve">فَلَمَّا فَرَغْتُ ، قَالَ : « لَا </w:t>
      </w:r>
      <w:r w:rsidRPr="00F543F1">
        <w:rPr>
          <w:rStyle w:val="libFootnotenumChar"/>
          <w:rtl/>
        </w:rPr>
        <w:t>(14)</w:t>
      </w:r>
      <w:r w:rsidRPr="00132E65">
        <w:rPr>
          <w:rtl/>
          <w:lang w:bidi="fa-IR"/>
        </w:rPr>
        <w:t xml:space="preserve"> أَظُنُّكَ أَفْطَرْتَ بَعْدُ » فَقُلْتُ </w:t>
      </w:r>
      <w:r w:rsidRPr="00F543F1">
        <w:rPr>
          <w:rStyle w:val="libFootnotenumChar"/>
          <w:rtl/>
        </w:rPr>
        <w:t>(15)</w:t>
      </w:r>
      <w:r w:rsidRPr="00132E65">
        <w:rPr>
          <w:rtl/>
          <w:lang w:bidi="fa-IR"/>
        </w:rPr>
        <w:t xml:space="preserve"> : لَا ، فَدَعَا لِي </w:t>
      </w:r>
      <w:r w:rsidRPr="00F543F1">
        <w:rPr>
          <w:rStyle w:val="libFootnotenumChar"/>
          <w:rtl/>
        </w:rPr>
        <w:t>(16)</w:t>
      </w:r>
      <w:r w:rsidRPr="00132E65">
        <w:rPr>
          <w:rtl/>
          <w:lang w:bidi="fa-IR"/>
        </w:rPr>
        <w:t xml:space="preserve"> بِطَعَامٍ. فَوُضِعَ بَيْنَ يَدَيَّ ، و</w:t>
      </w:r>
      <w:r w:rsidR="00383489">
        <w:rPr>
          <w:rFonts w:hint="cs"/>
          <w:rtl/>
          <w:lang w:bidi="fa-IR"/>
        </w:rPr>
        <w:t>َ</w:t>
      </w:r>
      <w:r w:rsidRPr="00132E65">
        <w:rPr>
          <w:rtl/>
          <w:lang w:bidi="fa-IR"/>
        </w:rPr>
        <w:t>أَمَرَ الْغُلَامَ أَنْ يَأْكُلَ مَعِي ، فَأَصَبْتُ و</w:t>
      </w:r>
      <w:r w:rsidR="00383489">
        <w:rPr>
          <w:rFonts w:hint="cs"/>
          <w:rtl/>
          <w:lang w:bidi="fa-IR"/>
        </w:rPr>
        <w:t>َ</w:t>
      </w:r>
      <w:r w:rsidRPr="00132E65">
        <w:rPr>
          <w:rtl/>
          <w:lang w:bidi="fa-IR"/>
        </w:rPr>
        <w:t xml:space="preserve">الْغُلَامَ </w:t>
      </w:r>
      <w:r w:rsidRPr="00F543F1">
        <w:rPr>
          <w:rStyle w:val="libFootnotenumChar"/>
          <w:rtl/>
        </w:rPr>
        <w:t>(17)</w:t>
      </w:r>
      <w:r w:rsidRPr="00132E65">
        <w:rPr>
          <w:rtl/>
          <w:lang w:bidi="fa-IR"/>
        </w:rPr>
        <w:t xml:space="preserve"> مِنَ الطَّعَامِ.</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383489" w:rsidTr="00383489">
        <w:tc>
          <w:tcPr>
            <w:tcW w:w="4261" w:type="dxa"/>
          </w:tcPr>
          <w:p w:rsidR="00383489" w:rsidRDefault="00383489" w:rsidP="000C39D1">
            <w:pPr>
              <w:pStyle w:val="libFootnote0"/>
              <w:rPr>
                <w:rtl/>
              </w:rPr>
            </w:pPr>
            <w:r>
              <w:rPr>
                <w:rtl/>
              </w:rPr>
              <w:t>(1).</w:t>
            </w:r>
            <w:r w:rsidRPr="00132E65">
              <w:rPr>
                <w:rtl/>
              </w:rPr>
              <w:t xml:space="preserve"> في « ف » : « تطلّع »</w:t>
            </w:r>
            <w:r>
              <w:rPr>
                <w:rtl/>
              </w:rPr>
              <w:t>.</w:t>
            </w:r>
          </w:p>
        </w:tc>
        <w:tc>
          <w:tcPr>
            <w:tcW w:w="4262" w:type="dxa"/>
          </w:tcPr>
          <w:p w:rsidR="00383489" w:rsidRDefault="00383489"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 « استحيت »</w:t>
            </w:r>
            <w:r>
              <w:rPr>
                <w:rtl/>
              </w:rPr>
              <w:t>.</w:t>
            </w:r>
          </w:p>
        </w:tc>
      </w:tr>
      <w:tr w:rsidR="00383489" w:rsidTr="00383489">
        <w:tc>
          <w:tcPr>
            <w:tcW w:w="4261" w:type="dxa"/>
          </w:tcPr>
          <w:p w:rsidR="00383489" w:rsidRDefault="00383489" w:rsidP="000C39D1">
            <w:pPr>
              <w:pStyle w:val="libFootnote0"/>
              <w:rPr>
                <w:rtl/>
              </w:rPr>
            </w:pPr>
            <w:r>
              <w:rPr>
                <w:rtl/>
              </w:rPr>
              <w:t>(3).</w:t>
            </w:r>
            <w:r w:rsidRPr="00132E65">
              <w:rPr>
                <w:rtl/>
              </w:rPr>
              <w:t xml:space="preserve"> في « ض ، ف ، بس » </w:t>
            </w:r>
            <w:r w:rsidRPr="00383489">
              <w:rPr>
                <w:rtl/>
              </w:rPr>
              <w:t>والوافي</w:t>
            </w:r>
            <w:r w:rsidRPr="00132E65">
              <w:rPr>
                <w:rtl/>
              </w:rPr>
              <w:t xml:space="preserve"> : « فنظر »</w:t>
            </w:r>
            <w:r>
              <w:rPr>
                <w:rtl/>
              </w:rPr>
              <w:t>.</w:t>
            </w:r>
          </w:p>
        </w:tc>
        <w:tc>
          <w:tcPr>
            <w:tcW w:w="4262" w:type="dxa"/>
          </w:tcPr>
          <w:p w:rsidR="00383489" w:rsidRDefault="00383489" w:rsidP="000C39D1">
            <w:pPr>
              <w:pStyle w:val="libFootnote0"/>
              <w:rPr>
                <w:rtl/>
              </w:rPr>
            </w:pPr>
            <w:r>
              <w:rPr>
                <w:rtl/>
              </w:rPr>
              <w:t>(4).</w:t>
            </w:r>
            <w:r w:rsidRPr="00132E65">
              <w:rPr>
                <w:rtl/>
              </w:rPr>
              <w:t xml:space="preserve"> في الإرشاد : « جعلت فداك »</w:t>
            </w:r>
            <w:r>
              <w:rPr>
                <w:rtl/>
              </w:rPr>
              <w:t>.</w:t>
            </w:r>
          </w:p>
        </w:tc>
      </w:tr>
      <w:tr w:rsidR="00383489" w:rsidTr="00383489">
        <w:tc>
          <w:tcPr>
            <w:tcW w:w="4261" w:type="dxa"/>
          </w:tcPr>
          <w:p w:rsidR="00383489" w:rsidRDefault="00383489" w:rsidP="000C39D1">
            <w:pPr>
              <w:pStyle w:val="libFootnote0"/>
              <w:rPr>
                <w:rtl/>
              </w:rPr>
            </w:pPr>
            <w:r>
              <w:rPr>
                <w:rtl/>
              </w:rPr>
              <w:t>(5).</w:t>
            </w:r>
            <w:r w:rsidRPr="00132E65">
              <w:rPr>
                <w:rtl/>
              </w:rPr>
              <w:t xml:space="preserve"> في الإرشاد : « فلان »</w:t>
            </w:r>
            <w:r>
              <w:rPr>
                <w:rtl/>
              </w:rPr>
              <w:t>.</w:t>
            </w:r>
          </w:p>
        </w:tc>
        <w:tc>
          <w:tcPr>
            <w:tcW w:w="4262" w:type="dxa"/>
          </w:tcPr>
          <w:p w:rsidR="00383489" w:rsidRDefault="00383489" w:rsidP="000C39D1">
            <w:pPr>
              <w:pStyle w:val="libFootnote0"/>
              <w:rPr>
                <w:rtl/>
              </w:rPr>
            </w:pPr>
            <w:r>
              <w:rPr>
                <w:rtl/>
              </w:rPr>
              <w:t>(6).</w:t>
            </w:r>
            <w:r w:rsidRPr="00132E65">
              <w:rPr>
                <w:rtl/>
              </w:rPr>
              <w:t xml:space="preserve"> في « بر » : « حقّاً عليّ »</w:t>
            </w:r>
            <w:r>
              <w:rPr>
                <w:rtl/>
              </w:rPr>
              <w:t>.</w:t>
            </w:r>
          </w:p>
        </w:tc>
      </w:tr>
    </w:tbl>
    <w:p w:rsidR="000C39D1" w:rsidRPr="00132E65" w:rsidRDefault="000C39D1" w:rsidP="000C39D1">
      <w:pPr>
        <w:pStyle w:val="libFootnote0"/>
        <w:rPr>
          <w:rtl/>
          <w:lang w:bidi="fa-IR"/>
        </w:rPr>
      </w:pPr>
      <w:r>
        <w:rPr>
          <w:rtl/>
        </w:rPr>
        <w:t>(7).</w:t>
      </w:r>
      <w:r w:rsidRPr="00132E65">
        <w:rPr>
          <w:rtl/>
        </w:rPr>
        <w:t xml:space="preserve"> في « ج ، ف ، بح ، بف » : « شهّرني » بالتثقيل. </w:t>
      </w:r>
      <w:r>
        <w:rPr>
          <w:rtl/>
        </w:rPr>
        <w:t>و «</w:t>
      </w:r>
      <w:r w:rsidRPr="00132E65">
        <w:rPr>
          <w:rtl/>
        </w:rPr>
        <w:t xml:space="preserve"> شَهَرني » ، أي أظهرني في شُنْعةٍ ، أي قُبْحٍ ؛ من الشهرة ، وهو ظهور الشي‌ء في شنْعة حتّى يشهره الناس. يقال : شَهَرَه ، شَهَّرَه واشتهره. راجع : </w:t>
      </w:r>
      <w:r w:rsidRPr="009D1ACE">
        <w:rPr>
          <w:rStyle w:val="libFootnoteBoldChar"/>
          <w:rtl/>
        </w:rPr>
        <w:t>لسان العرب</w:t>
      </w:r>
      <w:r w:rsidRPr="00132E65">
        <w:rPr>
          <w:rtl/>
        </w:rPr>
        <w:t xml:space="preserve"> ، ج 4 ، ص 431 ؛ </w:t>
      </w:r>
      <w:r w:rsidRPr="00383489">
        <w:rPr>
          <w:rStyle w:val="libFootnoteBoldChar"/>
          <w:rtl/>
        </w:rPr>
        <w:t>أقرب الموارد</w:t>
      </w:r>
      <w:r w:rsidRPr="00132E65">
        <w:rPr>
          <w:rtl/>
        </w:rPr>
        <w:t xml:space="preserve"> ، ج 1 ، ص 618 ( شهر )</w:t>
      </w:r>
      <w:r>
        <w:rPr>
          <w:rtl/>
        </w:rPr>
        <w:t>.</w:t>
      </w:r>
    </w:p>
    <w:p w:rsidR="000C39D1" w:rsidRPr="00132E65" w:rsidRDefault="000C39D1" w:rsidP="000C39D1">
      <w:pPr>
        <w:pStyle w:val="libFootnote0"/>
        <w:rPr>
          <w:rtl/>
          <w:lang w:bidi="fa-IR"/>
        </w:rPr>
      </w:pPr>
      <w:r>
        <w:rPr>
          <w:rtl/>
        </w:rPr>
        <w:t>(8).</w:t>
      </w:r>
      <w:r w:rsidRPr="00132E65">
        <w:rPr>
          <w:rtl/>
        </w:rPr>
        <w:t xml:space="preserve"> في « ب ، بف » :</w:t>
      </w:r>
      <w:r>
        <w:rPr>
          <w:rtl/>
        </w:rPr>
        <w:t xml:space="preserve"> + </w:t>
      </w:r>
      <w:r w:rsidRPr="00132E65">
        <w:rPr>
          <w:rtl/>
        </w:rPr>
        <w:t xml:space="preserve">« </w:t>
      </w:r>
      <w:r w:rsidRPr="00383489">
        <w:rPr>
          <w:rtl/>
        </w:rPr>
        <w:t>عليه</w:t>
      </w:r>
      <w:r w:rsidR="00383489">
        <w:rPr>
          <w:rFonts w:hint="cs"/>
          <w:rtl/>
        </w:rPr>
        <w:t xml:space="preserve"> </w:t>
      </w:r>
      <w:r w:rsidRPr="00383489">
        <w:rPr>
          <w:rtl/>
        </w:rPr>
        <w:t>‌السلام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261"/>
        <w:gridCol w:w="4262"/>
      </w:tblGrid>
      <w:tr w:rsidR="00383489" w:rsidTr="00383489">
        <w:tc>
          <w:tcPr>
            <w:tcW w:w="4261" w:type="dxa"/>
          </w:tcPr>
          <w:p w:rsidR="00383489" w:rsidRDefault="00383489" w:rsidP="000C39D1">
            <w:pPr>
              <w:pStyle w:val="libFootnote0"/>
              <w:rPr>
                <w:rtl/>
                <w:lang w:bidi="fa-IR"/>
              </w:rPr>
            </w:pPr>
            <w:r>
              <w:rPr>
                <w:rtl/>
              </w:rPr>
              <w:t>(9).</w:t>
            </w:r>
            <w:r w:rsidRPr="00132E65">
              <w:rPr>
                <w:rtl/>
              </w:rPr>
              <w:t xml:space="preserve"> في « ف » </w:t>
            </w:r>
            <w:r>
              <w:rPr>
                <w:rtl/>
              </w:rPr>
              <w:t xml:space="preserve">: - </w:t>
            </w:r>
            <w:r w:rsidRPr="00132E65">
              <w:rPr>
                <w:rtl/>
              </w:rPr>
              <w:t>« قد »</w:t>
            </w:r>
            <w:r>
              <w:rPr>
                <w:rtl/>
              </w:rPr>
              <w:t>.</w:t>
            </w:r>
          </w:p>
        </w:tc>
        <w:tc>
          <w:tcPr>
            <w:tcW w:w="4262" w:type="dxa"/>
          </w:tcPr>
          <w:p w:rsidR="00383489" w:rsidRDefault="00383489" w:rsidP="000C39D1">
            <w:pPr>
              <w:pStyle w:val="libFootnote0"/>
              <w:rPr>
                <w:rtl/>
                <w:lang w:bidi="fa-IR"/>
              </w:rPr>
            </w:pPr>
            <w:r>
              <w:rPr>
                <w:rtl/>
              </w:rPr>
              <w:t>(10).</w:t>
            </w:r>
            <w:r w:rsidRPr="00132E65">
              <w:rPr>
                <w:rtl/>
              </w:rPr>
              <w:t xml:space="preserve"> في « ج » : « قد يتصدّق »</w:t>
            </w:r>
            <w:r>
              <w:rPr>
                <w:rtl/>
              </w:rPr>
              <w:t>.</w:t>
            </w:r>
          </w:p>
        </w:tc>
      </w:tr>
      <w:tr w:rsidR="00383489" w:rsidTr="00383489">
        <w:tc>
          <w:tcPr>
            <w:tcW w:w="4261" w:type="dxa"/>
          </w:tcPr>
          <w:p w:rsidR="00383489" w:rsidRDefault="00383489" w:rsidP="000C39D1">
            <w:pPr>
              <w:pStyle w:val="libFootnote0"/>
              <w:rPr>
                <w:rtl/>
                <w:lang w:bidi="fa-IR"/>
              </w:rPr>
            </w:pPr>
            <w:r>
              <w:rPr>
                <w:rtl/>
              </w:rPr>
              <w:t>(11).</w:t>
            </w:r>
            <w:r w:rsidRPr="00132E65">
              <w:rPr>
                <w:rtl/>
              </w:rPr>
              <w:t xml:space="preserve"> في الإرشاد : « فقد »</w:t>
            </w:r>
            <w:r>
              <w:rPr>
                <w:rtl/>
              </w:rPr>
              <w:t>.</w:t>
            </w:r>
          </w:p>
        </w:tc>
        <w:tc>
          <w:tcPr>
            <w:tcW w:w="4262" w:type="dxa"/>
          </w:tcPr>
          <w:p w:rsidR="00383489" w:rsidRDefault="00383489" w:rsidP="000C39D1">
            <w:pPr>
              <w:pStyle w:val="libFootnote0"/>
              <w:rPr>
                <w:rtl/>
                <w:lang w:bidi="fa-IR"/>
              </w:rPr>
            </w:pPr>
            <w:r>
              <w:rPr>
                <w:rtl/>
              </w:rPr>
              <w:t>(12).</w:t>
            </w:r>
            <w:r w:rsidRPr="00132E65">
              <w:rPr>
                <w:rtl/>
              </w:rPr>
              <w:t xml:space="preserve"> في الإرشاد :</w:t>
            </w:r>
            <w:r>
              <w:rPr>
                <w:rtl/>
              </w:rPr>
              <w:t xml:space="preserve"> + </w:t>
            </w:r>
            <w:r w:rsidRPr="00132E65">
              <w:rPr>
                <w:rtl/>
              </w:rPr>
              <w:t>« معه »</w:t>
            </w:r>
            <w:r>
              <w:rPr>
                <w:rtl/>
              </w:rPr>
              <w:t>.</w:t>
            </w:r>
          </w:p>
        </w:tc>
      </w:tr>
      <w:tr w:rsidR="00383489" w:rsidTr="00383489">
        <w:tc>
          <w:tcPr>
            <w:tcW w:w="4261" w:type="dxa"/>
          </w:tcPr>
          <w:p w:rsidR="00383489" w:rsidRDefault="00383489" w:rsidP="000C39D1">
            <w:pPr>
              <w:pStyle w:val="libFootnote0"/>
              <w:rPr>
                <w:rtl/>
                <w:lang w:bidi="fa-IR"/>
              </w:rPr>
            </w:pPr>
            <w:r>
              <w:rPr>
                <w:rtl/>
              </w:rPr>
              <w:t>(13)</w:t>
            </w:r>
            <w:r w:rsidRPr="00132E65">
              <w:rPr>
                <w:rtl/>
              </w:rPr>
              <w:t xml:space="preserve"> في الإرشاد </w:t>
            </w:r>
            <w:r>
              <w:rPr>
                <w:rtl/>
              </w:rPr>
              <w:t xml:space="preserve">: - </w:t>
            </w:r>
            <w:r w:rsidRPr="00132E65">
              <w:rPr>
                <w:rtl/>
              </w:rPr>
              <w:t>« وكان أمير المدينة »</w:t>
            </w:r>
            <w:r>
              <w:rPr>
                <w:rtl/>
              </w:rPr>
              <w:t>.</w:t>
            </w:r>
          </w:p>
        </w:tc>
        <w:tc>
          <w:tcPr>
            <w:tcW w:w="4262" w:type="dxa"/>
          </w:tcPr>
          <w:p w:rsidR="00383489" w:rsidRDefault="00383489" w:rsidP="000C39D1">
            <w:pPr>
              <w:pStyle w:val="libFootnote0"/>
              <w:rPr>
                <w:rtl/>
                <w:lang w:bidi="fa-IR"/>
              </w:rPr>
            </w:pPr>
            <w:r>
              <w:rPr>
                <w:rtl/>
              </w:rPr>
              <w:t>(14)</w:t>
            </w:r>
            <w:r w:rsidRPr="00132E65">
              <w:rPr>
                <w:rtl/>
              </w:rPr>
              <w:t xml:space="preserve"> في الإرشاد : « ما »</w:t>
            </w:r>
            <w:r>
              <w:rPr>
                <w:rtl/>
              </w:rPr>
              <w:t>.</w:t>
            </w:r>
          </w:p>
        </w:tc>
      </w:tr>
    </w:tbl>
    <w:p w:rsidR="000C39D1" w:rsidRPr="00132E65" w:rsidRDefault="000C39D1" w:rsidP="000C39D1">
      <w:pPr>
        <w:pStyle w:val="libFootnote0"/>
        <w:rPr>
          <w:rtl/>
          <w:lang w:bidi="fa-IR"/>
        </w:rPr>
      </w:pPr>
      <w:r>
        <w:rPr>
          <w:rtl/>
        </w:rPr>
        <w:t>(15)</w:t>
      </w:r>
      <w:r w:rsidRPr="00132E65">
        <w:rPr>
          <w:rtl/>
        </w:rPr>
        <w:t xml:space="preserve"> في الإرشاد : « قلت »</w:t>
      </w:r>
      <w:r>
        <w:rPr>
          <w:rtl/>
        </w:rPr>
        <w:t>.</w:t>
      </w:r>
    </w:p>
    <w:p w:rsidR="000C39D1" w:rsidRPr="00132E65" w:rsidRDefault="000C39D1" w:rsidP="000C39D1">
      <w:pPr>
        <w:pStyle w:val="libFootnote0"/>
        <w:rPr>
          <w:rtl/>
          <w:lang w:bidi="fa-IR"/>
        </w:rPr>
      </w:pPr>
      <w:r>
        <w:rPr>
          <w:rtl/>
        </w:rPr>
        <w:t>(16)</w:t>
      </w:r>
      <w:r w:rsidRPr="00132E65">
        <w:rPr>
          <w:rtl/>
        </w:rPr>
        <w:t xml:space="preserve"> في « ف » : « فدعاني »</w:t>
      </w:r>
      <w:r>
        <w:rPr>
          <w:rtl/>
        </w:rPr>
        <w:t>.</w:t>
      </w:r>
    </w:p>
    <w:p w:rsidR="000C39D1" w:rsidRPr="00132E65" w:rsidRDefault="000C39D1" w:rsidP="000C39D1">
      <w:pPr>
        <w:pStyle w:val="libFootnote0"/>
        <w:rPr>
          <w:rtl/>
          <w:lang w:bidi="fa-IR"/>
        </w:rPr>
      </w:pPr>
      <w:r>
        <w:rPr>
          <w:rtl/>
        </w:rPr>
        <w:t>(17)</w:t>
      </w:r>
      <w:r w:rsidRPr="00132E65">
        <w:rPr>
          <w:rtl/>
        </w:rPr>
        <w:t xml:space="preserve"> يجوز في « الغلام » الرفع أيضاً عطفاً على الضمير المتّصل المرفوع بناءً على جوازه بدون التأكيد. راجع : </w:t>
      </w:r>
      <w:r w:rsidRPr="005270CE">
        <w:rPr>
          <w:rStyle w:val="libFootnoteBoldChar"/>
          <w:rtl/>
        </w:rPr>
        <w:t>شرح المازندراني</w:t>
      </w:r>
      <w:r w:rsidRPr="00132E65">
        <w:rPr>
          <w:rtl/>
        </w:rPr>
        <w:t xml:space="preserve"> ، ج 7 ، ص 271 ؛ </w:t>
      </w:r>
      <w:r w:rsidRPr="009D1ACE">
        <w:rPr>
          <w:rStyle w:val="libFootnoteBoldChar"/>
          <w:rtl/>
        </w:rPr>
        <w:t>مرآة العقول</w:t>
      </w:r>
      <w:r w:rsidRPr="00132E65">
        <w:rPr>
          <w:rtl/>
        </w:rPr>
        <w:t xml:space="preserve"> ، ج 6 ، ص 76.</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فَلَمَّا فَرَغْنَا قَالَ لِيَ </w:t>
      </w:r>
      <w:r>
        <w:rPr>
          <w:rStyle w:val="libFootnotenumChar"/>
          <w:rtl/>
        </w:rPr>
        <w:t>(1)</w:t>
      </w:r>
      <w:r w:rsidRPr="00132E65">
        <w:rPr>
          <w:rtl/>
          <w:lang w:bidi="fa-IR"/>
        </w:rPr>
        <w:t xml:space="preserve"> : « ارْفَعِ الْوِسَادَةَ </w:t>
      </w:r>
      <w:r>
        <w:rPr>
          <w:rStyle w:val="libFootnotenumChar"/>
          <w:rtl/>
        </w:rPr>
        <w:t>(2)</w:t>
      </w:r>
      <w:r w:rsidRPr="00132E65">
        <w:rPr>
          <w:rtl/>
          <w:lang w:bidi="fa-IR"/>
        </w:rPr>
        <w:t xml:space="preserve"> ، و</w:t>
      </w:r>
      <w:r w:rsidR="005270CE">
        <w:rPr>
          <w:rFonts w:hint="cs"/>
          <w:rtl/>
          <w:lang w:bidi="fa-IR"/>
        </w:rPr>
        <w:t>َ</w:t>
      </w:r>
      <w:r w:rsidRPr="00132E65">
        <w:rPr>
          <w:rtl/>
          <w:lang w:bidi="fa-IR"/>
        </w:rPr>
        <w:t>خُذْ مَا تَحْتَهَا » فَرَفَعْتُهَا و</w:t>
      </w:r>
      <w:r w:rsidR="005270CE">
        <w:rPr>
          <w:rFonts w:hint="cs"/>
          <w:rtl/>
          <w:lang w:bidi="fa-IR"/>
        </w:rPr>
        <w:t>َ</w:t>
      </w:r>
      <w:r w:rsidRPr="00132E65">
        <w:rPr>
          <w:rtl/>
          <w:lang w:bidi="fa-IR"/>
        </w:rPr>
        <w:t xml:space="preserve">إِذَا </w:t>
      </w:r>
      <w:r>
        <w:rPr>
          <w:rStyle w:val="libFootnotenumChar"/>
          <w:rtl/>
        </w:rPr>
        <w:t>(3)</w:t>
      </w:r>
      <w:r w:rsidRPr="00132E65">
        <w:rPr>
          <w:rtl/>
          <w:lang w:bidi="fa-IR"/>
        </w:rPr>
        <w:t xml:space="preserve"> دَنَانِيرُ ، فَأَخَذْتُهَا و</w:t>
      </w:r>
      <w:r w:rsidR="005270CE">
        <w:rPr>
          <w:rFonts w:hint="cs"/>
          <w:rtl/>
          <w:lang w:bidi="fa-IR"/>
        </w:rPr>
        <w:t xml:space="preserve">َ </w:t>
      </w:r>
      <w:r w:rsidR="005270CE">
        <w:rPr>
          <w:rtl/>
          <w:lang w:bidi="fa-IR"/>
        </w:rPr>
        <w:t>و</w:t>
      </w:r>
      <w:r w:rsidR="005270CE">
        <w:rPr>
          <w:rFonts w:hint="cs"/>
          <w:rtl/>
          <w:lang w:bidi="fa-IR"/>
        </w:rPr>
        <w:t>َ</w:t>
      </w:r>
      <w:r w:rsidRPr="00132E65">
        <w:rPr>
          <w:rtl/>
          <w:lang w:bidi="fa-IR"/>
        </w:rPr>
        <w:t>ضَعْتُهَا فِي كُمِّي ؛ و</w:t>
      </w:r>
      <w:r w:rsidR="005270CE">
        <w:rPr>
          <w:rFonts w:hint="cs"/>
          <w:rtl/>
          <w:lang w:bidi="fa-IR"/>
        </w:rPr>
        <w:t>َ</w:t>
      </w:r>
      <w:r w:rsidRPr="00132E65">
        <w:rPr>
          <w:rtl/>
          <w:lang w:bidi="fa-IR"/>
        </w:rPr>
        <w:t xml:space="preserve">أَمَرَ أَرْبَعَةً مِنْ عَبِيدِهِ أَنْ يَكُونُوا مَعِي حَتّى يُبْلِغُونِي </w:t>
      </w:r>
      <w:r>
        <w:rPr>
          <w:rStyle w:val="libFootnotenumChar"/>
          <w:rtl/>
        </w:rPr>
        <w:t>(4)</w:t>
      </w:r>
      <w:r w:rsidRPr="00132E65">
        <w:rPr>
          <w:rtl/>
          <w:lang w:bidi="fa-IR"/>
        </w:rPr>
        <w:t xml:space="preserve"> مَنْزِلِي.</w:t>
      </w:r>
    </w:p>
    <w:p w:rsidR="000C39D1" w:rsidRPr="00132E65" w:rsidRDefault="000C39D1" w:rsidP="000C39D1">
      <w:pPr>
        <w:pStyle w:val="libNormal"/>
        <w:rPr>
          <w:rtl/>
          <w:lang w:bidi="fa-IR"/>
        </w:rPr>
      </w:pPr>
      <w:r w:rsidRPr="00132E65">
        <w:rPr>
          <w:rtl/>
          <w:lang w:bidi="fa-IR"/>
        </w:rPr>
        <w:t xml:space="preserve">فَقُلْتُ : جُعِلْتُ فِدَاكَ ، إِنَّ طَائِفَ ابْنِ الْمُسَيَّبِ يَدُورُ </w:t>
      </w:r>
      <w:r>
        <w:rPr>
          <w:rStyle w:val="libFootnotenumChar"/>
          <w:rtl/>
        </w:rPr>
        <w:t>(5)</w:t>
      </w:r>
      <w:r w:rsidRPr="00132E65">
        <w:rPr>
          <w:rtl/>
          <w:lang w:bidi="fa-IR"/>
        </w:rPr>
        <w:t xml:space="preserve"> ، و</w:t>
      </w:r>
      <w:r w:rsidR="005270CE">
        <w:rPr>
          <w:rFonts w:hint="cs"/>
          <w:rtl/>
          <w:lang w:bidi="fa-IR"/>
        </w:rPr>
        <w:t>َ</w:t>
      </w:r>
      <w:r w:rsidRPr="00132E65">
        <w:rPr>
          <w:rtl/>
          <w:lang w:bidi="fa-IR"/>
        </w:rPr>
        <w:t>أَكْرَهُ أَنْ يَلْقَانِي و</w:t>
      </w:r>
      <w:r w:rsidR="005270CE">
        <w:rPr>
          <w:rFonts w:hint="cs"/>
          <w:rtl/>
          <w:lang w:bidi="fa-IR"/>
        </w:rPr>
        <w:t>َ</w:t>
      </w:r>
      <w:r w:rsidRPr="00132E65">
        <w:rPr>
          <w:rtl/>
          <w:lang w:bidi="fa-IR"/>
        </w:rPr>
        <w:t>مَعِي عَبِيدُكَ ، فَقَالَ لِي : « أَصَبْتَ ، أَصَابَ اللهُ بِكَ الرَّشَادَ » وأَمَرَهُمْ أَنْ يَنْصَرِفُوا إِذَا رَدَدْتُهُمْ ، فَلَمَّا قَرُبْتُ مِنْ مَنْزِلِي و</w:t>
      </w:r>
      <w:r w:rsidR="005270CE">
        <w:rPr>
          <w:rFonts w:hint="cs"/>
          <w:rtl/>
          <w:lang w:bidi="fa-IR"/>
        </w:rPr>
        <w:t>َ</w:t>
      </w:r>
      <w:r w:rsidRPr="00132E65">
        <w:rPr>
          <w:rtl/>
          <w:lang w:bidi="fa-IR"/>
        </w:rPr>
        <w:t>آنَسْتُ ، رَدَدْتُهُمْ.</w:t>
      </w:r>
    </w:p>
    <w:p w:rsidR="000C39D1" w:rsidRPr="00132E65" w:rsidRDefault="000C39D1" w:rsidP="000C39D1">
      <w:pPr>
        <w:pStyle w:val="libNormal"/>
        <w:rPr>
          <w:rtl/>
          <w:lang w:bidi="fa-IR"/>
        </w:rPr>
      </w:pPr>
      <w:r w:rsidRPr="00132E65">
        <w:rPr>
          <w:rtl/>
          <w:lang w:bidi="fa-IR"/>
        </w:rPr>
        <w:t xml:space="preserve">فَصِرْتُ </w:t>
      </w:r>
      <w:r>
        <w:rPr>
          <w:rStyle w:val="libFootnotenumChar"/>
          <w:rtl/>
        </w:rPr>
        <w:t>(6)</w:t>
      </w:r>
      <w:r w:rsidRPr="00132E65">
        <w:rPr>
          <w:rtl/>
          <w:lang w:bidi="fa-IR"/>
        </w:rPr>
        <w:t xml:space="preserve"> إِلى مَنْزِلِي ، و</w:t>
      </w:r>
      <w:r w:rsidR="005270CE">
        <w:rPr>
          <w:rFonts w:hint="cs"/>
          <w:rtl/>
          <w:lang w:bidi="fa-IR"/>
        </w:rPr>
        <w:t>َ</w:t>
      </w:r>
      <w:r w:rsidRPr="00132E65">
        <w:rPr>
          <w:rtl/>
          <w:lang w:bidi="fa-IR"/>
        </w:rPr>
        <w:t xml:space="preserve">دَعَوْتُ بِالسِّرَاجِ </w:t>
      </w:r>
      <w:r>
        <w:rPr>
          <w:rStyle w:val="libFootnotenumChar"/>
          <w:rtl/>
        </w:rPr>
        <w:t>(7)</w:t>
      </w:r>
      <w:r w:rsidRPr="00132E65">
        <w:rPr>
          <w:rtl/>
          <w:lang w:bidi="fa-IR"/>
        </w:rPr>
        <w:t xml:space="preserve"> ، و</w:t>
      </w:r>
      <w:r w:rsidR="005270CE">
        <w:rPr>
          <w:rFonts w:hint="cs"/>
          <w:rtl/>
          <w:lang w:bidi="fa-IR"/>
        </w:rPr>
        <w:t>َ</w:t>
      </w:r>
      <w:r w:rsidRPr="00132E65">
        <w:rPr>
          <w:rtl/>
          <w:lang w:bidi="fa-IR"/>
        </w:rPr>
        <w:t>نَظَرْتُ إِلَى الدَّنَانِيرِ و</w:t>
      </w:r>
      <w:r w:rsidR="005270CE">
        <w:rPr>
          <w:rFonts w:hint="cs"/>
          <w:rtl/>
          <w:lang w:bidi="fa-IR"/>
        </w:rPr>
        <w:t>َ</w:t>
      </w:r>
      <w:r w:rsidRPr="00132E65">
        <w:rPr>
          <w:rtl/>
          <w:lang w:bidi="fa-IR"/>
        </w:rPr>
        <w:t xml:space="preserve">إِذَا </w:t>
      </w:r>
      <w:r>
        <w:rPr>
          <w:rStyle w:val="libFootnotenumChar"/>
          <w:rtl/>
        </w:rPr>
        <w:t>(8)</w:t>
      </w:r>
      <w:r w:rsidRPr="00132E65">
        <w:rPr>
          <w:rtl/>
          <w:lang w:bidi="fa-IR"/>
        </w:rPr>
        <w:t xml:space="preserve"> هِيَ ثَمَانِيَةٌ وَأَرْبَعُونَ دِينَاراً ، و</w:t>
      </w:r>
      <w:r w:rsidR="005270CE">
        <w:rPr>
          <w:rFonts w:hint="cs"/>
          <w:rtl/>
          <w:lang w:bidi="fa-IR"/>
        </w:rPr>
        <w:t>َ</w:t>
      </w:r>
      <w:r w:rsidRPr="00132E65">
        <w:rPr>
          <w:rtl/>
          <w:lang w:bidi="fa-IR"/>
        </w:rPr>
        <w:t>كَانَ حَقُّ الرَّجُلِ عَلَيَّ ثَمَانِيَةً وعِشْرِينَ دِينَاراً ، و</w:t>
      </w:r>
      <w:r w:rsidR="005270CE">
        <w:rPr>
          <w:rFonts w:hint="cs"/>
          <w:rtl/>
          <w:lang w:bidi="fa-IR"/>
        </w:rPr>
        <w:t>َ</w:t>
      </w:r>
      <w:r w:rsidRPr="00132E65">
        <w:rPr>
          <w:rtl/>
          <w:lang w:bidi="fa-IR"/>
        </w:rPr>
        <w:t xml:space="preserve">كَانَ فِيهَا دِينَارٌ يَلُوحُ </w:t>
      </w:r>
      <w:r>
        <w:rPr>
          <w:rStyle w:val="libFootnotenumChar"/>
          <w:rtl/>
        </w:rPr>
        <w:t>(9)</w:t>
      </w:r>
      <w:r w:rsidRPr="00132E65">
        <w:rPr>
          <w:rtl/>
          <w:lang w:bidi="fa-IR"/>
        </w:rPr>
        <w:t xml:space="preserve"> ، فَأَعْجَبَنِي حُسْنُهُ ، فَأَخَذْتُهُ و</w:t>
      </w:r>
      <w:r w:rsidR="005270CE">
        <w:rPr>
          <w:rFonts w:hint="cs"/>
          <w:rtl/>
          <w:lang w:bidi="fa-IR"/>
        </w:rPr>
        <w:t>َ</w:t>
      </w:r>
      <w:r w:rsidRPr="00132E65">
        <w:rPr>
          <w:rtl/>
          <w:lang w:bidi="fa-IR"/>
        </w:rPr>
        <w:t xml:space="preserve">قَرَّبْتُهُ مِنَ السِّرَاجِ ، فَإِذَا </w:t>
      </w:r>
      <w:r>
        <w:rPr>
          <w:rStyle w:val="libFootnotenumChar"/>
          <w:rtl/>
        </w:rPr>
        <w:t>(10)</w:t>
      </w:r>
      <w:r w:rsidRPr="00132E65">
        <w:rPr>
          <w:rtl/>
          <w:lang w:bidi="fa-IR"/>
        </w:rPr>
        <w:t xml:space="preserve"> عَلَيْهِ نَقْشٌ واضِحٌ : « حَقُّ الرَّجُلِ ثَمَانِيَةٌ و</w:t>
      </w:r>
      <w:r w:rsidR="00EF21E7">
        <w:rPr>
          <w:rFonts w:hint="cs"/>
          <w:rtl/>
          <w:lang w:bidi="fa-IR"/>
        </w:rPr>
        <w:t>َ</w:t>
      </w:r>
      <w:r w:rsidRPr="00132E65">
        <w:rPr>
          <w:rtl/>
          <w:lang w:bidi="fa-IR"/>
        </w:rPr>
        <w:t>عِشْرُونَ دِينَاراً ، و</w:t>
      </w:r>
      <w:r w:rsidR="00EF21E7">
        <w:rPr>
          <w:rFonts w:hint="cs"/>
          <w:rtl/>
          <w:lang w:bidi="fa-IR"/>
        </w:rPr>
        <w:t>َ</w:t>
      </w:r>
      <w:r w:rsidRPr="00132E65">
        <w:rPr>
          <w:rtl/>
          <w:lang w:bidi="fa-IR"/>
        </w:rPr>
        <w:t>مَا بَقِيَ فَهُوَ لَكَ »</w:t>
      </w:r>
      <w:r>
        <w:rPr>
          <w:rtl/>
          <w:lang w:bidi="fa-IR"/>
        </w:rPr>
        <w:t>.</w:t>
      </w:r>
      <w:r w:rsidRPr="00132E65">
        <w:rPr>
          <w:rtl/>
          <w:lang w:bidi="fa-IR"/>
        </w:rPr>
        <w:t xml:space="preserve"> و</w:t>
      </w:r>
      <w:r w:rsidR="00EF21E7">
        <w:rPr>
          <w:rFonts w:hint="cs"/>
          <w:rtl/>
          <w:lang w:bidi="fa-IR"/>
        </w:rPr>
        <w:t>َ</w:t>
      </w:r>
      <w:r w:rsidRPr="00132E65">
        <w:rPr>
          <w:rtl/>
          <w:lang w:bidi="fa-IR"/>
        </w:rPr>
        <w:t xml:space="preserve">لَاوَ اللهِ ، مَا عَرَفْتُ </w:t>
      </w:r>
      <w:r>
        <w:rPr>
          <w:rStyle w:val="libFootnotenumChar"/>
          <w:rtl/>
        </w:rPr>
        <w:t>(11)</w:t>
      </w:r>
      <w:r w:rsidRPr="00132E65">
        <w:rPr>
          <w:rtl/>
          <w:lang w:bidi="fa-IR"/>
        </w:rPr>
        <w:t xml:space="preserve"> مَا لَهُ عَلَيَّ </w:t>
      </w:r>
      <w:r>
        <w:rPr>
          <w:rStyle w:val="libFootnotenumChar"/>
          <w:rtl/>
        </w:rPr>
        <w:t>(12)</w:t>
      </w:r>
      <w:r w:rsidRPr="00132E65">
        <w:rPr>
          <w:rtl/>
          <w:lang w:bidi="fa-IR"/>
        </w:rPr>
        <w:t xml:space="preserve"> ؛ وَالْحَمْدُ لِلّهِ رَبِّ الْعَالَمِينَ ، الَّذِي أَعَزَّ و</w:t>
      </w:r>
      <w:r w:rsidR="00EF21E7">
        <w:rPr>
          <w:rFonts w:hint="cs"/>
          <w:rtl/>
          <w:lang w:bidi="fa-IR"/>
        </w:rPr>
        <w:t>َ</w:t>
      </w:r>
      <w:r w:rsidRPr="00132E65">
        <w:rPr>
          <w:rtl/>
          <w:lang w:bidi="fa-IR"/>
        </w:rPr>
        <w:t xml:space="preserve">لِيَّهُ.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لي »</w:t>
      </w:r>
      <w:r>
        <w:rPr>
          <w:rtl/>
        </w:rPr>
        <w:t>.</w:t>
      </w:r>
    </w:p>
    <w:p w:rsidR="000C39D1" w:rsidRPr="00132E65" w:rsidRDefault="000C39D1" w:rsidP="00EF21E7">
      <w:pPr>
        <w:pStyle w:val="libFootnote0"/>
        <w:rPr>
          <w:rtl/>
          <w:lang w:bidi="fa-IR"/>
        </w:rPr>
      </w:pPr>
      <w:r>
        <w:rPr>
          <w:rtl/>
        </w:rPr>
        <w:t>(2).</w:t>
      </w:r>
      <w:r w:rsidRPr="00132E65">
        <w:rPr>
          <w:rtl/>
        </w:rPr>
        <w:t xml:space="preserve"> « الوِسادُ » </w:t>
      </w:r>
      <w:r>
        <w:rPr>
          <w:rtl/>
        </w:rPr>
        <w:t>و «</w:t>
      </w:r>
      <w:r w:rsidR="00EF21E7">
        <w:rPr>
          <w:rtl/>
        </w:rPr>
        <w:t xml:space="preserve"> الوِسادَةُ » : الم</w:t>
      </w:r>
      <w:r w:rsidR="00EF21E7">
        <w:rPr>
          <w:rFonts w:hint="cs"/>
          <w:rtl/>
        </w:rPr>
        <w:t>ـِ</w:t>
      </w:r>
      <w:r w:rsidRPr="00132E65">
        <w:rPr>
          <w:rtl/>
        </w:rPr>
        <w:t>خَدَّةُ</w:t>
      </w:r>
      <w:r>
        <w:rPr>
          <w:rtl/>
        </w:rPr>
        <w:t xml:space="preserve"> - </w:t>
      </w:r>
      <w:r w:rsidRPr="00132E65">
        <w:rPr>
          <w:rtl/>
        </w:rPr>
        <w:t>وهو ما يوضع الخدّ عليه</w:t>
      </w:r>
      <w:r>
        <w:rPr>
          <w:rtl/>
        </w:rPr>
        <w:t xml:space="preserve"> </w:t>
      </w:r>
      <w:r w:rsidR="00EF21E7">
        <w:rPr>
          <w:rtl/>
        </w:rPr>
        <w:t>–</w:t>
      </w:r>
      <w:r>
        <w:rPr>
          <w:rtl/>
        </w:rPr>
        <w:t xml:space="preserve"> </w:t>
      </w:r>
      <w:r w:rsidRPr="00132E65">
        <w:rPr>
          <w:rtl/>
        </w:rPr>
        <w:t>والم</w:t>
      </w:r>
      <w:r w:rsidR="00EF21E7">
        <w:rPr>
          <w:rFonts w:hint="cs"/>
          <w:rtl/>
        </w:rPr>
        <w:t>ـُ</w:t>
      </w:r>
      <w:r w:rsidRPr="00132E65">
        <w:rPr>
          <w:rtl/>
        </w:rPr>
        <w:t xml:space="preserve">تَّكَأُ ، وهو الذي يوضع تحت الرأس. </w:t>
      </w:r>
      <w:r w:rsidRPr="009D1ACE">
        <w:rPr>
          <w:rStyle w:val="libFootnoteBoldChar"/>
          <w:rtl/>
        </w:rPr>
        <w:t>لسان العرب</w:t>
      </w:r>
      <w:r w:rsidRPr="00132E65">
        <w:rPr>
          <w:rtl/>
        </w:rPr>
        <w:t xml:space="preserve"> ، ج 3 ، ص 459 ( وسد )</w:t>
      </w:r>
      <w:r>
        <w:rPr>
          <w:rtl/>
        </w:rPr>
        <w:t>.</w:t>
      </w:r>
      <w:r w:rsidR="00EF21E7">
        <w:rPr>
          <w:rFonts w:hint="cs"/>
          <w:rtl/>
        </w:rPr>
        <w:t xml:space="preserve">                      </w:t>
      </w:r>
      <w:r>
        <w:rPr>
          <w:rtl/>
        </w:rPr>
        <w:t>(3).</w:t>
      </w:r>
      <w:r w:rsidRPr="00132E65">
        <w:rPr>
          <w:rtl/>
        </w:rPr>
        <w:t xml:space="preserve"> في « ض ، بر ، بف » والإرشاد : « فإذا »</w:t>
      </w:r>
      <w:r>
        <w:rPr>
          <w:rtl/>
        </w:rPr>
        <w:t>.</w:t>
      </w:r>
    </w:p>
    <w:p w:rsidR="000C39D1" w:rsidRPr="00132E65" w:rsidRDefault="000C39D1" w:rsidP="000C39D1">
      <w:pPr>
        <w:pStyle w:val="libFootnote0"/>
        <w:rPr>
          <w:rtl/>
          <w:lang w:bidi="fa-IR"/>
        </w:rPr>
      </w:pPr>
      <w:r>
        <w:rPr>
          <w:rtl/>
        </w:rPr>
        <w:t>(4).</w:t>
      </w:r>
      <w:r w:rsidRPr="00132E65">
        <w:rPr>
          <w:rtl/>
        </w:rPr>
        <w:t xml:space="preserve"> في « ج ، بح » : « يبلّغوني »</w:t>
      </w:r>
      <w:r>
        <w:rPr>
          <w:rtl/>
        </w:rPr>
        <w:t>.</w:t>
      </w:r>
      <w:r w:rsidRPr="00132E65">
        <w:rPr>
          <w:rtl/>
        </w:rPr>
        <w:t xml:space="preserve"> وفي الإرشاد : « يبلغوا بي »</w:t>
      </w:r>
      <w:r>
        <w:rPr>
          <w:rtl/>
        </w:rPr>
        <w:t>.</w:t>
      </w:r>
    </w:p>
    <w:p w:rsidR="000C39D1" w:rsidRPr="00132E65" w:rsidRDefault="000C39D1" w:rsidP="000C39D1">
      <w:pPr>
        <w:pStyle w:val="libFootnote0"/>
        <w:rPr>
          <w:rtl/>
          <w:lang w:bidi="fa-IR"/>
        </w:rPr>
      </w:pPr>
      <w:r>
        <w:rPr>
          <w:rtl/>
        </w:rPr>
        <w:t>(5).</w:t>
      </w:r>
      <w:r w:rsidRPr="00132E65">
        <w:rPr>
          <w:rtl/>
        </w:rPr>
        <w:t xml:space="preserve"> في الإرشاد : « يقعد »</w:t>
      </w:r>
      <w:r>
        <w:rPr>
          <w:rtl/>
        </w:rPr>
        <w:t>.</w:t>
      </w:r>
    </w:p>
    <w:p w:rsidR="000C39D1" w:rsidRPr="00132E65" w:rsidRDefault="000C39D1" w:rsidP="000C39D1">
      <w:pPr>
        <w:pStyle w:val="libFootnote0"/>
        <w:rPr>
          <w:rtl/>
          <w:lang w:bidi="fa-IR"/>
        </w:rPr>
      </w:pPr>
      <w:r>
        <w:rPr>
          <w:rtl/>
        </w:rPr>
        <w:t>(6).</w:t>
      </w:r>
      <w:r w:rsidRPr="00132E65">
        <w:rPr>
          <w:rtl/>
        </w:rPr>
        <w:t xml:space="preserve"> في الإرشاد : « وصرت »</w:t>
      </w:r>
      <w:r>
        <w:rPr>
          <w:rtl/>
        </w:rPr>
        <w:t>.</w:t>
      </w:r>
    </w:p>
    <w:p w:rsidR="000C39D1" w:rsidRPr="00132E65" w:rsidRDefault="000C39D1" w:rsidP="000C39D1">
      <w:pPr>
        <w:pStyle w:val="libFootnote0"/>
        <w:rPr>
          <w:rtl/>
          <w:lang w:bidi="fa-IR"/>
        </w:rPr>
      </w:pPr>
      <w:r>
        <w:rPr>
          <w:rtl/>
        </w:rPr>
        <w:t>(7).</w:t>
      </w:r>
      <w:r w:rsidRPr="00132E65">
        <w:rPr>
          <w:rtl/>
        </w:rPr>
        <w:t xml:space="preserve"> في الإرشاد : « السراج »</w:t>
      </w:r>
      <w:r>
        <w:rPr>
          <w:rtl/>
        </w:rPr>
        <w:t>.</w:t>
      </w:r>
    </w:p>
    <w:p w:rsidR="000C39D1" w:rsidRPr="00132E65" w:rsidRDefault="000C39D1" w:rsidP="000C39D1">
      <w:pPr>
        <w:pStyle w:val="libFootnote0"/>
        <w:rPr>
          <w:rtl/>
          <w:lang w:bidi="fa-IR"/>
        </w:rPr>
      </w:pPr>
      <w:r>
        <w:rPr>
          <w:rtl/>
        </w:rPr>
        <w:t>(8).</w:t>
      </w:r>
      <w:r w:rsidRPr="00132E65">
        <w:rPr>
          <w:rtl/>
        </w:rPr>
        <w:t xml:space="preserve"> في « ف » والإرشاد : « فإذا »</w:t>
      </w:r>
      <w:r>
        <w:rPr>
          <w:rtl/>
        </w:rPr>
        <w:t>.</w:t>
      </w:r>
    </w:p>
    <w:p w:rsidR="000C39D1" w:rsidRPr="00132E65" w:rsidRDefault="000C39D1" w:rsidP="000C39D1">
      <w:pPr>
        <w:pStyle w:val="libFootnote0"/>
        <w:rPr>
          <w:rtl/>
          <w:lang w:bidi="fa-IR"/>
        </w:rPr>
      </w:pPr>
      <w:r>
        <w:rPr>
          <w:rtl/>
        </w:rPr>
        <w:t>(9).</w:t>
      </w:r>
      <w:r w:rsidRPr="00132E65">
        <w:rPr>
          <w:rtl/>
        </w:rPr>
        <w:t xml:space="preserve"> « يلوح » : يتلألأ. يقال للشي‌ء إذا تلألأ : لاح يلوح لَوحاً ولُؤُوحاً. راجع : </w:t>
      </w:r>
      <w:r w:rsidRPr="009D1ACE">
        <w:rPr>
          <w:rStyle w:val="libFootnoteBoldChar"/>
          <w:rtl/>
        </w:rPr>
        <w:t>لسان العرب</w:t>
      </w:r>
      <w:r w:rsidRPr="00132E65">
        <w:rPr>
          <w:rtl/>
        </w:rPr>
        <w:t xml:space="preserve"> ، ج 2 ، ص 586 ( لوح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هي »</w:t>
      </w:r>
      <w:r>
        <w:rPr>
          <w:rtl/>
        </w:rPr>
        <w:t>.</w:t>
      </w:r>
    </w:p>
    <w:p w:rsidR="000C39D1" w:rsidRPr="00132E65" w:rsidRDefault="000C39D1" w:rsidP="000C39D1">
      <w:pPr>
        <w:pStyle w:val="libFootnote0"/>
        <w:rPr>
          <w:rtl/>
          <w:lang w:bidi="fa-IR"/>
        </w:rPr>
      </w:pPr>
      <w:r>
        <w:rPr>
          <w:rtl/>
        </w:rPr>
        <w:t>(11).</w:t>
      </w:r>
      <w:r w:rsidRPr="00132E65">
        <w:rPr>
          <w:rtl/>
        </w:rPr>
        <w:t xml:space="preserve"> في « ج » : « ما عرّفت » بالتضعيف. وفي </w:t>
      </w:r>
      <w:r w:rsidRPr="009D1ACE">
        <w:rPr>
          <w:rStyle w:val="libFootnoteBoldChar"/>
          <w:rtl/>
        </w:rPr>
        <w:t>الوافي</w:t>
      </w:r>
      <w:r w:rsidRPr="00132E65">
        <w:rPr>
          <w:rtl/>
        </w:rPr>
        <w:t xml:space="preserve"> : « ما عرفته »</w:t>
      </w:r>
      <w:r>
        <w:rPr>
          <w:rtl/>
        </w:rPr>
        <w:t>.</w:t>
      </w:r>
      <w:r w:rsidRPr="00132E65">
        <w:rPr>
          <w:rtl/>
        </w:rPr>
        <w:t xml:space="preserve"> وفي </w:t>
      </w:r>
      <w:r w:rsidRPr="009D1ACE">
        <w:rPr>
          <w:rStyle w:val="libFootnoteBoldChar"/>
          <w:rtl/>
        </w:rPr>
        <w:t>مرآة العقول</w:t>
      </w:r>
      <w:r w:rsidRPr="00132E65">
        <w:rPr>
          <w:rtl/>
        </w:rPr>
        <w:t xml:space="preserve"> : « ما عرفت ، بالتشديد أوالتخفيف »</w:t>
      </w:r>
      <w:r>
        <w:rPr>
          <w:rtl/>
        </w:rPr>
        <w:t>.</w:t>
      </w:r>
    </w:p>
    <w:p w:rsidR="000C39D1" w:rsidRPr="00132E65" w:rsidRDefault="000C39D1" w:rsidP="000C39D1">
      <w:pPr>
        <w:pStyle w:val="libFootnote0"/>
        <w:rPr>
          <w:rtl/>
          <w:lang w:bidi="fa-IR"/>
        </w:rPr>
      </w:pPr>
      <w:r>
        <w:rPr>
          <w:rtl/>
        </w:rPr>
        <w:t>(12).</w:t>
      </w:r>
      <w:r w:rsidRPr="00132E65">
        <w:rPr>
          <w:rtl/>
        </w:rPr>
        <w:t xml:space="preserve"> في الإرشاد : « لا والله ، ما كنتُ عرّفتُ ما له عليّ على التحديد »</w:t>
      </w:r>
      <w:r>
        <w:rPr>
          <w:rtl/>
        </w:rPr>
        <w:t>.</w:t>
      </w:r>
      <w:r w:rsidRPr="00132E65">
        <w:rPr>
          <w:rtl/>
        </w:rPr>
        <w:t xml:space="preserve"> ولم يرد فيه تتمّة الحديث.</w:t>
      </w:r>
    </w:p>
    <w:p w:rsidR="000C39D1" w:rsidRPr="00132E65" w:rsidRDefault="000C39D1" w:rsidP="000C39D1">
      <w:pPr>
        <w:pStyle w:val="libFootnote0"/>
        <w:rPr>
          <w:rtl/>
          <w:lang w:bidi="fa-IR"/>
        </w:rPr>
      </w:pPr>
      <w:r>
        <w:rPr>
          <w:rtl/>
        </w:rPr>
        <w:t>(13)</w:t>
      </w:r>
      <w:r w:rsidRPr="00132E65">
        <w:rPr>
          <w:rtl/>
        </w:rPr>
        <w:t xml:space="preserve"> </w:t>
      </w:r>
      <w:r w:rsidRPr="00EF21E7">
        <w:rPr>
          <w:rStyle w:val="libFootnoteBoldChar"/>
          <w:rtl/>
        </w:rPr>
        <w:t>الإرشاد</w:t>
      </w:r>
      <w:r w:rsidRPr="00132E65">
        <w:rPr>
          <w:rtl/>
        </w:rPr>
        <w:t xml:space="preserve"> ، ج 2 ، ص 255 بسنده عن الكليني </w:t>
      </w:r>
      <w:r w:rsidR="00EF21E7">
        <w:rPr>
          <w:rFonts w:hint="cs"/>
          <w:rtl/>
        </w:rPr>
        <w:t>.</w:t>
      </w:r>
      <w:r w:rsidRPr="009D1ACE">
        <w:rPr>
          <w:rStyle w:val="libFootnoteBoldChar"/>
          <w:rtl/>
        </w:rPr>
        <w:t>الوافي</w:t>
      </w:r>
      <w:r w:rsidRPr="00132E65">
        <w:rPr>
          <w:rtl/>
        </w:rPr>
        <w:t xml:space="preserve"> ، ج 3 ، ص 816 ، ح 1425.</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991870">
        <w:rPr>
          <w:rtl/>
        </w:rPr>
        <w:t>1302</w:t>
      </w:r>
      <w:r w:rsidRPr="004325D8">
        <w:rPr>
          <w:rStyle w:val="libBold2Char"/>
          <w:rtl/>
        </w:rPr>
        <w:t xml:space="preserve"> / 5.</w:t>
      </w:r>
      <w:r w:rsidRPr="00132E65">
        <w:rPr>
          <w:rtl/>
          <w:lang w:bidi="fa-IR"/>
        </w:rPr>
        <w:t xml:space="preserve"> عَلِيُّ بْنُ إِبْرَاهِيمَ ، عَنْ أَبِيهِ ، عَنْ بَعْضِ أَصْحَابِهِ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الْحَسَنِ الرِّضَا </w:t>
      </w:r>
      <w:r w:rsidRPr="00071CF9">
        <w:rPr>
          <w:rStyle w:val="libAlaemChar"/>
          <w:rtl/>
        </w:rPr>
        <w:t>عليه‌السلام</w:t>
      </w:r>
      <w:r w:rsidRPr="00132E65">
        <w:rPr>
          <w:rtl/>
          <w:lang w:bidi="fa-IR"/>
        </w:rPr>
        <w:t xml:space="preserve"> : أَنَّهُ خَرَجَ مِنَ الْمَدِينَةِ فِي السَّنَةِ الَّتِي حَجَّ </w:t>
      </w:r>
      <w:r>
        <w:rPr>
          <w:rStyle w:val="libFootnotenumChar"/>
          <w:rtl/>
        </w:rPr>
        <w:t>(2)</w:t>
      </w:r>
      <w:r w:rsidRPr="00132E65">
        <w:rPr>
          <w:rtl/>
          <w:lang w:bidi="fa-IR"/>
        </w:rPr>
        <w:t xml:space="preserve"> فِيهَا هَارُونُ ، يُرِيدُ الْحَجَّ ، فَانْتَهى إِلى جَبَلٍ</w:t>
      </w:r>
      <w:r>
        <w:rPr>
          <w:rtl/>
          <w:lang w:bidi="fa-IR"/>
        </w:rPr>
        <w:t xml:space="preserve"> - </w:t>
      </w:r>
      <w:r w:rsidRPr="00132E65">
        <w:rPr>
          <w:rtl/>
          <w:lang w:bidi="fa-IR"/>
        </w:rPr>
        <w:t xml:space="preserve">عَنْ </w:t>
      </w:r>
      <w:r>
        <w:rPr>
          <w:rStyle w:val="libFootnotenumChar"/>
          <w:rtl/>
        </w:rPr>
        <w:t>(3)</w:t>
      </w:r>
      <w:r w:rsidRPr="00132E65">
        <w:rPr>
          <w:rtl/>
          <w:lang w:bidi="fa-IR"/>
        </w:rPr>
        <w:t xml:space="preserve"> يَسَارِ الطَّرِيقِ ، و</w:t>
      </w:r>
      <w:r w:rsidR="00EF21E7">
        <w:rPr>
          <w:rFonts w:hint="cs"/>
          <w:rtl/>
          <w:lang w:bidi="fa-IR"/>
        </w:rPr>
        <w:t>َ</w:t>
      </w:r>
      <w:r w:rsidRPr="00132E65">
        <w:rPr>
          <w:rtl/>
          <w:lang w:bidi="fa-IR"/>
        </w:rPr>
        <w:t xml:space="preserve">أَنْتَ ذَاهِبٌ إِلى مَكَّةَ </w:t>
      </w:r>
      <w:r>
        <w:rPr>
          <w:rStyle w:val="libFootnotenumChar"/>
          <w:rtl/>
        </w:rPr>
        <w:t>(4)</w:t>
      </w:r>
      <w:r>
        <w:rPr>
          <w:rtl/>
          <w:lang w:bidi="fa-IR"/>
        </w:rPr>
        <w:t xml:space="preserve"> - </w:t>
      </w:r>
      <w:r w:rsidRPr="00132E65">
        <w:rPr>
          <w:rtl/>
          <w:lang w:bidi="fa-IR"/>
        </w:rPr>
        <w:t>يُقَالُ لَهُ :</w:t>
      </w:r>
      <w:r>
        <w:rPr>
          <w:rFonts w:hint="cs"/>
          <w:rtl/>
          <w:lang w:bidi="fa-IR"/>
        </w:rPr>
        <w:t xml:space="preserve"> </w:t>
      </w:r>
      <w:r w:rsidRPr="00132E65">
        <w:rPr>
          <w:rtl/>
          <w:lang w:bidi="fa-IR"/>
        </w:rPr>
        <w:t xml:space="preserve">فَارِعٌ </w:t>
      </w:r>
      <w:r>
        <w:rPr>
          <w:rStyle w:val="libFootnotenumChar"/>
          <w:rtl/>
        </w:rPr>
        <w:t>(5)</w:t>
      </w:r>
      <w:r w:rsidRPr="00132E65">
        <w:rPr>
          <w:rtl/>
          <w:lang w:bidi="fa-IR"/>
        </w:rPr>
        <w:t xml:space="preserve"> ، فَنَظَرَ إِلَيْهِ أَبُو الْحَسَنِ </w:t>
      </w:r>
      <w:r w:rsidRPr="00071CF9">
        <w:rPr>
          <w:rStyle w:val="libAlaemChar"/>
          <w:rtl/>
        </w:rPr>
        <w:t>عليه‌السلام</w:t>
      </w:r>
      <w:r w:rsidRPr="00132E65">
        <w:rPr>
          <w:rtl/>
          <w:lang w:bidi="fa-IR"/>
        </w:rPr>
        <w:t xml:space="preserve"> </w:t>
      </w:r>
      <w:r>
        <w:rPr>
          <w:rStyle w:val="libFootnotenumChar"/>
          <w:rtl/>
        </w:rPr>
        <w:t>(6)</w:t>
      </w:r>
      <w:r w:rsidRPr="00132E65">
        <w:rPr>
          <w:rtl/>
          <w:lang w:bidi="fa-IR"/>
        </w:rPr>
        <w:t xml:space="preserve"> ، ثُمَّ قَالَ : « بَانِي فَارِعٍ </w:t>
      </w:r>
      <w:r>
        <w:rPr>
          <w:rStyle w:val="libFootnotenumChar"/>
          <w:rtl/>
        </w:rPr>
        <w:t>(7)</w:t>
      </w:r>
      <w:r w:rsidRPr="00132E65">
        <w:rPr>
          <w:rtl/>
          <w:lang w:bidi="fa-IR"/>
        </w:rPr>
        <w:t xml:space="preserve"> ، و</w:t>
      </w:r>
      <w:r w:rsidR="00EF21E7">
        <w:rPr>
          <w:rFonts w:hint="cs"/>
          <w:rtl/>
          <w:lang w:bidi="fa-IR"/>
        </w:rPr>
        <w:t xml:space="preserve">َ </w:t>
      </w:r>
      <w:r w:rsidRPr="00132E65">
        <w:rPr>
          <w:rtl/>
          <w:lang w:bidi="fa-IR"/>
        </w:rPr>
        <w:t xml:space="preserve">هَادِمُهُ يُقَطَّعُ إِرْباً إِرْباً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فَلَمْ نَدْرِ مَا مَعْنى ذلِكَ ، فَلَمَّا و</w:t>
      </w:r>
      <w:r w:rsidR="00EF21E7">
        <w:rPr>
          <w:rFonts w:hint="cs"/>
          <w:rtl/>
          <w:lang w:bidi="fa-IR"/>
        </w:rPr>
        <w:t>َ</w:t>
      </w:r>
      <w:r w:rsidRPr="00132E65">
        <w:rPr>
          <w:rtl/>
          <w:lang w:bidi="fa-IR"/>
        </w:rPr>
        <w:t xml:space="preserve">لّى </w:t>
      </w:r>
      <w:r>
        <w:rPr>
          <w:rStyle w:val="libFootnotenumChar"/>
          <w:rtl/>
        </w:rPr>
        <w:t>(9)</w:t>
      </w:r>
      <w:r w:rsidRPr="00132E65">
        <w:rPr>
          <w:rtl/>
          <w:lang w:bidi="fa-IR"/>
        </w:rPr>
        <w:t xml:space="preserve"> و</w:t>
      </w:r>
      <w:r w:rsidR="00EF21E7">
        <w:rPr>
          <w:rFonts w:hint="cs"/>
          <w:rtl/>
          <w:lang w:bidi="fa-IR"/>
        </w:rPr>
        <w:t>َ</w:t>
      </w:r>
      <w:r w:rsidRPr="00132E65">
        <w:rPr>
          <w:rtl/>
          <w:lang w:bidi="fa-IR"/>
        </w:rPr>
        <w:t>افى هَارُونُ ، و</w:t>
      </w:r>
      <w:r w:rsidR="00EF21E7">
        <w:rPr>
          <w:rFonts w:hint="cs"/>
          <w:rtl/>
          <w:lang w:bidi="fa-IR"/>
        </w:rPr>
        <w:t>َ</w:t>
      </w:r>
      <w:r w:rsidRPr="00132E65">
        <w:rPr>
          <w:rtl/>
          <w:lang w:bidi="fa-IR"/>
        </w:rPr>
        <w:t xml:space="preserve">نَزَلَ </w:t>
      </w:r>
      <w:r>
        <w:rPr>
          <w:rStyle w:val="libFootnotenumChar"/>
          <w:rtl/>
        </w:rPr>
        <w:t>(10)</w:t>
      </w:r>
      <w:r w:rsidRPr="00132E65">
        <w:rPr>
          <w:rtl/>
          <w:lang w:bidi="fa-IR"/>
        </w:rPr>
        <w:t xml:space="preserve"> بِذلِكَ الْمَوْضِعِ ، و</w:t>
      </w:r>
      <w:r w:rsidR="00EF21E7">
        <w:rPr>
          <w:rFonts w:hint="cs"/>
          <w:rtl/>
          <w:lang w:bidi="fa-IR"/>
        </w:rPr>
        <w:t>َ</w:t>
      </w:r>
      <w:r>
        <w:rPr>
          <w:rFonts w:hint="cs"/>
          <w:rtl/>
          <w:lang w:bidi="fa-IR"/>
        </w:rPr>
        <w:t xml:space="preserve"> </w:t>
      </w:r>
      <w:r>
        <w:rPr>
          <w:rStyle w:val="libFootnotenumChar"/>
          <w:rtl/>
        </w:rPr>
        <w:t>(11)</w:t>
      </w:r>
      <w:r w:rsidRPr="00132E65">
        <w:rPr>
          <w:rtl/>
          <w:lang w:bidi="fa-IR"/>
        </w:rPr>
        <w:t xml:space="preserve"> صَعِدَ جَعْفَرُ بْنُ يَحْيى ذلِكَ الْجَبَلَ </w:t>
      </w:r>
      <w:r>
        <w:rPr>
          <w:rStyle w:val="libFootnotenumChar"/>
          <w:rtl/>
        </w:rPr>
        <w:t>(12)</w:t>
      </w:r>
      <w:r w:rsidRPr="00132E65">
        <w:rPr>
          <w:rtl/>
          <w:lang w:bidi="fa-IR"/>
        </w:rPr>
        <w:t xml:space="preserve"> ، و</w:t>
      </w:r>
      <w:r w:rsidR="00EF21E7">
        <w:rPr>
          <w:rFonts w:hint="cs"/>
          <w:rtl/>
          <w:lang w:bidi="fa-IR"/>
        </w:rPr>
        <w:t>َ</w:t>
      </w:r>
      <w:r w:rsidRPr="00132E65">
        <w:rPr>
          <w:rtl/>
          <w:lang w:bidi="fa-IR"/>
        </w:rPr>
        <w:t xml:space="preserve">أَمَرَ أَنْ يُبْنى لَهُ ثَمَّ </w:t>
      </w:r>
      <w:r w:rsidRPr="00F543F1">
        <w:rPr>
          <w:rStyle w:val="libFootnotenumChar"/>
          <w:rtl/>
        </w:rPr>
        <w:t>(13)</w:t>
      </w:r>
      <w:r w:rsidRPr="00132E65">
        <w:rPr>
          <w:rtl/>
          <w:lang w:bidi="fa-IR"/>
        </w:rPr>
        <w:t xml:space="preserve"> مَجْلِسٌ ، فَلَمَّا رَجَعَ مِنْ مَكَّةَ صَعِدَ إِلَيْهِ ، فَأَمَرَ </w:t>
      </w:r>
      <w:r w:rsidRPr="00F543F1">
        <w:rPr>
          <w:rStyle w:val="libFootnotenumChar"/>
          <w:rtl/>
        </w:rPr>
        <w:t>(14)</w:t>
      </w:r>
      <w:r w:rsidRPr="00132E65">
        <w:rPr>
          <w:rtl/>
          <w:lang w:bidi="fa-IR"/>
        </w:rPr>
        <w:t xml:space="preserve"> بِهَدْمِهِ ، فَلَمَّا انْصَرَفَ إِلَى الْعِرَاقِ ، قُطِّعَ </w:t>
      </w:r>
      <w:r w:rsidRPr="00F543F1">
        <w:rPr>
          <w:rStyle w:val="libFootnotenumChar"/>
          <w:rtl/>
        </w:rPr>
        <w:t>(15)</w:t>
      </w:r>
      <w:r w:rsidRPr="00132E65">
        <w:rPr>
          <w:rtl/>
          <w:lang w:bidi="fa-IR"/>
        </w:rPr>
        <w:t xml:space="preserve"> إِرْباً إِرْباً. </w:t>
      </w:r>
      <w:r w:rsidRPr="00F543F1">
        <w:rPr>
          <w:rStyle w:val="libFootnotenumChar"/>
          <w:rtl/>
        </w:rPr>
        <w:t>(16)</w:t>
      </w:r>
      <w:r w:rsidRPr="00132E65">
        <w:rPr>
          <w:rtl/>
          <w:lang w:bidi="fa-IR"/>
        </w:rPr>
        <w:t xml:space="preserve"> ‌</w:t>
      </w:r>
    </w:p>
    <w:p w:rsidR="000C39D1" w:rsidRPr="00132E65" w:rsidRDefault="000C39D1" w:rsidP="000C39D1">
      <w:pPr>
        <w:pStyle w:val="libNormal"/>
        <w:rPr>
          <w:rtl/>
          <w:lang w:bidi="fa-IR"/>
        </w:rPr>
      </w:pPr>
      <w:r w:rsidRPr="00991870">
        <w:rPr>
          <w:rtl/>
        </w:rPr>
        <w:t>1303</w:t>
      </w:r>
      <w:r w:rsidRPr="004325D8">
        <w:rPr>
          <w:rStyle w:val="libBold2Char"/>
          <w:rtl/>
        </w:rPr>
        <w:t xml:space="preserve"> / 6.</w:t>
      </w:r>
      <w:r w:rsidRPr="00132E65">
        <w:rPr>
          <w:rtl/>
          <w:lang w:bidi="fa-IR"/>
        </w:rPr>
        <w:t xml:space="preserve"> أَحْمَدُ بْنُ مُحَمَّدٍ ، عَنْ مُحَمَّدِ بْنِ الْحَسَنِ ، عَنْ مُحَمَّدِ بْنِ عِيسى ، عَنْ مُحَمَّدِ بْنِ حَمْزَةَ بْنِ الْقَاسِمِ </w:t>
      </w:r>
      <w:r w:rsidRPr="00F543F1">
        <w:rPr>
          <w:rStyle w:val="libFootnotenumChar"/>
          <w:rtl/>
        </w:rPr>
        <w:t>(17)</w:t>
      </w:r>
      <w:r w:rsidRPr="00132E65">
        <w:rPr>
          <w:rtl/>
          <w:lang w:bidi="fa-IR"/>
        </w:rPr>
        <w:t xml:space="preserve"> ، عَنْ إِبْرَاهِيمَ بْنِ مُوسى ، قَالَ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EF21E7" w:rsidTr="00EF21E7">
        <w:tc>
          <w:tcPr>
            <w:tcW w:w="4261" w:type="dxa"/>
          </w:tcPr>
          <w:p w:rsidR="00EF21E7" w:rsidRDefault="00EF21E7" w:rsidP="000C39D1">
            <w:pPr>
              <w:pStyle w:val="libFootnote0"/>
              <w:rPr>
                <w:rtl/>
              </w:rPr>
            </w:pPr>
            <w:r>
              <w:rPr>
                <w:rtl/>
              </w:rPr>
              <w:t>(1).</w:t>
            </w:r>
            <w:r w:rsidRPr="00132E65">
              <w:rPr>
                <w:rtl/>
              </w:rPr>
              <w:t xml:space="preserve"> في حاشية « بف » : « أصحابنا »</w:t>
            </w:r>
            <w:r>
              <w:rPr>
                <w:rtl/>
              </w:rPr>
              <w:t>.</w:t>
            </w:r>
          </w:p>
        </w:tc>
        <w:tc>
          <w:tcPr>
            <w:tcW w:w="4262" w:type="dxa"/>
          </w:tcPr>
          <w:p w:rsidR="00EF21E7" w:rsidRDefault="00EF21E7" w:rsidP="000C39D1">
            <w:pPr>
              <w:pStyle w:val="libFootnote0"/>
              <w:rPr>
                <w:rtl/>
              </w:rPr>
            </w:pPr>
            <w:r>
              <w:rPr>
                <w:rtl/>
              </w:rPr>
              <w:t>(2).</w:t>
            </w:r>
            <w:r w:rsidRPr="00132E65">
              <w:rPr>
                <w:rtl/>
              </w:rPr>
              <w:t xml:space="preserve"> في « ف ، بح ، بر ، بف » </w:t>
            </w:r>
            <w:r w:rsidRPr="00EF21E7">
              <w:rPr>
                <w:rtl/>
              </w:rPr>
              <w:t>والوافي</w:t>
            </w:r>
            <w:r w:rsidRPr="00132E65">
              <w:rPr>
                <w:rtl/>
              </w:rPr>
              <w:t xml:space="preserve"> : « خرج »</w:t>
            </w:r>
            <w:r>
              <w:rPr>
                <w:rtl/>
              </w:rPr>
              <w:t>.</w:t>
            </w:r>
          </w:p>
        </w:tc>
      </w:tr>
      <w:tr w:rsidR="00EF21E7" w:rsidTr="00EF21E7">
        <w:tc>
          <w:tcPr>
            <w:tcW w:w="4261" w:type="dxa"/>
          </w:tcPr>
          <w:p w:rsidR="00EF21E7" w:rsidRDefault="00EF21E7" w:rsidP="000C39D1">
            <w:pPr>
              <w:pStyle w:val="libFootnote0"/>
              <w:rPr>
                <w:rtl/>
              </w:rPr>
            </w:pPr>
            <w:r>
              <w:rPr>
                <w:rtl/>
              </w:rPr>
              <w:t>(3).</w:t>
            </w:r>
            <w:r w:rsidRPr="00132E65">
              <w:rPr>
                <w:rtl/>
              </w:rPr>
              <w:t xml:space="preserve"> في الإرشاد : « على »</w:t>
            </w:r>
            <w:r>
              <w:rPr>
                <w:rtl/>
              </w:rPr>
              <w:t>.</w:t>
            </w:r>
          </w:p>
        </w:tc>
        <w:tc>
          <w:tcPr>
            <w:tcW w:w="4262" w:type="dxa"/>
          </w:tcPr>
          <w:p w:rsidR="00EF21E7" w:rsidRDefault="00EF21E7" w:rsidP="000C39D1">
            <w:pPr>
              <w:pStyle w:val="libFootnote0"/>
              <w:rPr>
                <w:rtl/>
              </w:rPr>
            </w:pPr>
            <w:r>
              <w:rPr>
                <w:rtl/>
              </w:rPr>
              <w:t>(4).</w:t>
            </w:r>
            <w:r w:rsidRPr="00132E65">
              <w:rPr>
                <w:rtl/>
              </w:rPr>
              <w:t xml:space="preserve"> في الإرشاد </w:t>
            </w:r>
            <w:r>
              <w:rPr>
                <w:rtl/>
              </w:rPr>
              <w:t xml:space="preserve">: - </w:t>
            </w:r>
            <w:r w:rsidRPr="00132E65">
              <w:rPr>
                <w:rtl/>
              </w:rPr>
              <w:t>« وأنت ذاهب إلى مكّة »</w:t>
            </w:r>
            <w:r>
              <w:rPr>
                <w:rtl/>
              </w:rPr>
              <w:t>.</w:t>
            </w:r>
          </w:p>
        </w:tc>
      </w:tr>
    </w:tbl>
    <w:p w:rsidR="000C39D1" w:rsidRPr="00132E65" w:rsidRDefault="000C39D1" w:rsidP="000C39D1">
      <w:pPr>
        <w:pStyle w:val="libFootnote0"/>
        <w:rPr>
          <w:rtl/>
          <w:lang w:bidi="fa-IR"/>
        </w:rPr>
      </w:pPr>
      <w:r>
        <w:rPr>
          <w:rtl/>
        </w:rPr>
        <w:t>(5).</w:t>
      </w:r>
      <w:r w:rsidRPr="00132E65">
        <w:rPr>
          <w:rtl/>
        </w:rPr>
        <w:t xml:space="preserve"> في « ج ، ض ، ف ، بح ، بر ، بس » وشرح المازندراني </w:t>
      </w:r>
      <w:r w:rsidRPr="00EF21E7">
        <w:rPr>
          <w:rtl/>
        </w:rPr>
        <w:t>والوافي</w:t>
      </w:r>
      <w:r w:rsidRPr="00132E65">
        <w:rPr>
          <w:rtl/>
        </w:rPr>
        <w:t xml:space="preserve"> : « قارع » بالقاف.</w:t>
      </w:r>
    </w:p>
    <w:p w:rsidR="000C39D1" w:rsidRPr="00132E65" w:rsidRDefault="000C39D1" w:rsidP="000C39D1">
      <w:pPr>
        <w:pStyle w:val="libFootnote0"/>
        <w:rPr>
          <w:rtl/>
          <w:lang w:bidi="fa-IR"/>
        </w:rPr>
      </w:pPr>
      <w:r>
        <w:rPr>
          <w:rtl/>
        </w:rPr>
        <w:t>(6).</w:t>
      </w:r>
      <w:r w:rsidRPr="00132E65">
        <w:rPr>
          <w:rtl/>
        </w:rPr>
        <w:t xml:space="preserve"> في « ج ، ض ، بر ، ف » : « أبو الحسن إليه »</w:t>
      </w:r>
      <w:r>
        <w:rPr>
          <w:rtl/>
        </w:rPr>
        <w:t>.</w:t>
      </w:r>
    </w:p>
    <w:p w:rsidR="000C39D1" w:rsidRPr="00132E65" w:rsidRDefault="000C39D1" w:rsidP="000C39D1">
      <w:pPr>
        <w:pStyle w:val="libFootnote0"/>
        <w:rPr>
          <w:rtl/>
          <w:lang w:bidi="fa-IR"/>
        </w:rPr>
      </w:pPr>
      <w:r>
        <w:rPr>
          <w:rtl/>
        </w:rPr>
        <w:t>(7).</w:t>
      </w:r>
      <w:r w:rsidRPr="00132E65">
        <w:rPr>
          <w:rtl/>
        </w:rPr>
        <w:t xml:space="preserve"> في « ج ، ض ، ف ، بح ، بر ، بس » وشرح المازندراني </w:t>
      </w:r>
      <w:r w:rsidRPr="00EF21E7">
        <w:rPr>
          <w:rtl/>
        </w:rPr>
        <w:t>والوافي</w:t>
      </w:r>
      <w:r w:rsidRPr="00132E65">
        <w:rPr>
          <w:rtl/>
        </w:rPr>
        <w:t xml:space="preserve"> : « قارع » بالقاف. وفي الإرشاد : « يا فارع » بدل « باني فارع »</w:t>
      </w:r>
      <w:r>
        <w:rPr>
          <w:rtl/>
        </w:rPr>
        <w:t>.</w:t>
      </w:r>
      <w:r w:rsidRPr="00132E65">
        <w:rPr>
          <w:rtl/>
        </w:rPr>
        <w:t xml:space="preserve"> وقوله : « باني فارع » ، أي الباني في الفارع. وكذا « هادمه » أو الضمير راجع إلى البناء المستفاد من الباني. راجع : </w:t>
      </w:r>
      <w:r w:rsidRPr="00EF21E7">
        <w:rPr>
          <w:rStyle w:val="libFootnoteBoldChar"/>
          <w:rtl/>
        </w:rPr>
        <w:t>شرح المازندراني</w:t>
      </w:r>
      <w:r w:rsidRPr="00991870">
        <w:rPr>
          <w:rtl/>
        </w:rPr>
        <w:t xml:space="preserve"> </w:t>
      </w:r>
      <w:r w:rsidRPr="00132E65">
        <w:rPr>
          <w:rtl/>
        </w:rPr>
        <w:t xml:space="preserve">، ج 7 ، ص 271 ؛ </w:t>
      </w:r>
      <w:r w:rsidRPr="009D1ACE">
        <w:rPr>
          <w:rStyle w:val="libFootnoteBoldChar"/>
          <w:rtl/>
        </w:rPr>
        <w:t>مرآة العقول</w:t>
      </w:r>
      <w:r w:rsidRPr="00132E65">
        <w:rPr>
          <w:rtl/>
        </w:rPr>
        <w:t xml:space="preserve"> ، ج 6 ، ص 77.</w:t>
      </w:r>
    </w:p>
    <w:p w:rsidR="000C39D1" w:rsidRPr="00132E65" w:rsidRDefault="000C39D1" w:rsidP="000C39D1">
      <w:pPr>
        <w:pStyle w:val="libFootnote0"/>
        <w:rPr>
          <w:rtl/>
          <w:lang w:bidi="fa-IR"/>
        </w:rPr>
      </w:pPr>
      <w:r>
        <w:rPr>
          <w:rtl/>
        </w:rPr>
        <w:t>(8).</w:t>
      </w:r>
      <w:r w:rsidRPr="00132E65">
        <w:rPr>
          <w:rtl/>
        </w:rPr>
        <w:t xml:space="preserve"> « الإرب » : العضو الموفّر الكامل الذي لم ينقص منه شي‌ء ، ويقال لكلّ عضو : إرب. يقال : قطّعته إرباً إرباً ، أي عضواً عضواً. </w:t>
      </w:r>
      <w:r w:rsidRPr="009D1ACE">
        <w:rPr>
          <w:rStyle w:val="libFootnoteBoldChar"/>
          <w:rtl/>
        </w:rPr>
        <w:t>لسان العرب</w:t>
      </w:r>
      <w:r w:rsidRPr="00132E65">
        <w:rPr>
          <w:rtl/>
        </w:rPr>
        <w:t xml:space="preserve"> ، ج 1 ، ص 209 ( أرب )</w:t>
      </w:r>
      <w:r>
        <w:rPr>
          <w:rtl/>
        </w:rPr>
        <w:t>.</w:t>
      </w:r>
    </w:p>
    <w:p w:rsidR="000C39D1" w:rsidRPr="00132E65" w:rsidRDefault="000C39D1" w:rsidP="00EF21E7">
      <w:pPr>
        <w:pStyle w:val="libFootnote0"/>
        <w:rPr>
          <w:rtl/>
          <w:lang w:bidi="fa-IR"/>
        </w:rPr>
      </w:pPr>
      <w:r>
        <w:rPr>
          <w:rtl/>
        </w:rPr>
        <w:t>(9).</w:t>
      </w:r>
      <w:r w:rsidRPr="00132E65">
        <w:rPr>
          <w:rtl/>
        </w:rPr>
        <w:t xml:space="preserve"> أي ارتحل أبو الحسن </w:t>
      </w:r>
      <w:r w:rsidRPr="00071CF9">
        <w:rPr>
          <w:rStyle w:val="libAlaemChar"/>
          <w:rtl/>
        </w:rPr>
        <w:t>عليه‌السلام</w:t>
      </w:r>
      <w:r w:rsidRPr="00132E65">
        <w:rPr>
          <w:rtl/>
        </w:rPr>
        <w:t xml:space="preserve"> من ذلك الموضع ، كما في </w:t>
      </w:r>
      <w:r w:rsidRPr="00EF21E7">
        <w:rPr>
          <w:rStyle w:val="libFootnoteBoldChar"/>
          <w:rtl/>
        </w:rPr>
        <w:t>شرح المازندراني</w:t>
      </w:r>
      <w:r w:rsidRPr="00991870">
        <w:rPr>
          <w:rtl/>
        </w:rPr>
        <w:t xml:space="preserve"> و</w:t>
      </w:r>
      <w:r w:rsidRPr="009D1ACE">
        <w:rPr>
          <w:rStyle w:val="libFootnoteBoldChar"/>
          <w:rtl/>
        </w:rPr>
        <w:t>مرآة العقول</w:t>
      </w:r>
      <w:r w:rsidRPr="00132E65">
        <w:rPr>
          <w:rtl/>
        </w:rPr>
        <w:t>. وفي « ج ، بف » : « وُلّي » مبنيّاً للمفعول.</w:t>
      </w:r>
      <w:r w:rsidR="00EF21E7">
        <w:rPr>
          <w:rFonts w:hint="cs"/>
          <w:rtl/>
        </w:rPr>
        <w:t xml:space="preserve">                                                 </w:t>
      </w:r>
      <w:r>
        <w:rPr>
          <w:rtl/>
        </w:rPr>
        <w:t>(10).</w:t>
      </w:r>
      <w:r w:rsidRPr="00132E65">
        <w:rPr>
          <w:rtl/>
        </w:rPr>
        <w:t xml:space="preserve"> في « بس ، بف » : « فنزل »</w:t>
      </w:r>
      <w:r>
        <w:rPr>
          <w:rtl/>
        </w:rPr>
        <w:t>.</w:t>
      </w:r>
    </w:p>
    <w:p w:rsidR="000C39D1" w:rsidRPr="00132E65" w:rsidRDefault="000C39D1" w:rsidP="000C39D1">
      <w:pPr>
        <w:pStyle w:val="libFootnote0"/>
        <w:rPr>
          <w:rtl/>
          <w:lang w:bidi="fa-IR"/>
        </w:rPr>
      </w:pPr>
      <w:r>
        <w:rPr>
          <w:rtl/>
        </w:rPr>
        <w:t>(11).</w:t>
      </w:r>
      <w:r w:rsidRPr="00132E65">
        <w:rPr>
          <w:rtl/>
        </w:rPr>
        <w:t xml:space="preserve"> هكذا في النسخ التي قوبلت </w:t>
      </w:r>
      <w:r w:rsidRPr="00EF21E7">
        <w:rPr>
          <w:rtl/>
        </w:rPr>
        <w:t>والوافي</w:t>
      </w:r>
      <w:r w:rsidRPr="00132E65">
        <w:rPr>
          <w:rtl/>
        </w:rPr>
        <w:t xml:space="preserve">. وفي المطبوع </w:t>
      </w:r>
      <w:r>
        <w:rPr>
          <w:rtl/>
        </w:rPr>
        <w:t xml:space="preserve">: - </w:t>
      </w:r>
      <w:r w:rsidRPr="00132E65">
        <w:rPr>
          <w:rtl/>
        </w:rPr>
        <w:t>«</w:t>
      </w:r>
      <w:r>
        <w:rPr>
          <w:rtl/>
        </w:rPr>
        <w:t xml:space="preserve"> و ».</w:t>
      </w:r>
    </w:p>
    <w:p w:rsidR="000C39D1" w:rsidRPr="00132E65" w:rsidRDefault="000C39D1" w:rsidP="00EF21E7">
      <w:pPr>
        <w:pStyle w:val="libFootnote0"/>
        <w:rPr>
          <w:rtl/>
          <w:lang w:bidi="fa-IR"/>
        </w:rPr>
      </w:pPr>
      <w:r>
        <w:rPr>
          <w:rtl/>
        </w:rPr>
        <w:t>(12).</w:t>
      </w:r>
      <w:r w:rsidRPr="00132E65">
        <w:rPr>
          <w:rtl/>
        </w:rPr>
        <w:t xml:space="preserve"> في الإرشاد : « فلمّا بلغ هارون ذلك المكان نزله وصعد جعفر بن يحيى الجبل » بدل « فلمّا ولّى</w:t>
      </w:r>
      <w:r>
        <w:rPr>
          <w:rtl/>
        </w:rPr>
        <w:t xml:space="preserve"> - </w:t>
      </w:r>
      <w:r w:rsidRPr="00132E65">
        <w:rPr>
          <w:rtl/>
        </w:rPr>
        <w:t>إلى</w:t>
      </w:r>
      <w:r>
        <w:rPr>
          <w:rtl/>
        </w:rPr>
        <w:t xml:space="preserve"> - </w:t>
      </w:r>
      <w:r w:rsidRPr="00132E65">
        <w:rPr>
          <w:rtl/>
        </w:rPr>
        <w:t>يحيى‌</w:t>
      </w:r>
      <w:r w:rsidR="00EF21E7">
        <w:rPr>
          <w:rFonts w:hint="cs"/>
          <w:rtl/>
        </w:rPr>
        <w:t xml:space="preserve"> </w:t>
      </w:r>
      <w:r w:rsidRPr="00132E65">
        <w:rPr>
          <w:rtl/>
        </w:rPr>
        <w:t>ذلك الجبل »</w:t>
      </w:r>
      <w:r>
        <w:rPr>
          <w:rtl/>
        </w:rPr>
        <w:t>.</w:t>
      </w:r>
      <w:r w:rsidR="00EF21E7">
        <w:rPr>
          <w:rFonts w:hint="cs"/>
          <w:rtl/>
        </w:rPr>
        <w:t xml:space="preserve">                                                      </w:t>
      </w:r>
      <w:r>
        <w:rPr>
          <w:rtl/>
        </w:rPr>
        <w:t>(13)</w:t>
      </w:r>
      <w:r w:rsidRPr="00132E65">
        <w:rPr>
          <w:rtl/>
        </w:rPr>
        <w:t xml:space="preserve"> في الإرشاد : « فيه »</w:t>
      </w:r>
      <w:r>
        <w:rPr>
          <w:rtl/>
        </w:rPr>
        <w:t>.</w:t>
      </w:r>
    </w:p>
    <w:tbl>
      <w:tblPr>
        <w:tblStyle w:val="TableGrid"/>
        <w:bidiVisual/>
        <w:tblW w:w="0" w:type="auto"/>
        <w:tblLook w:val="04A0" w:firstRow="1" w:lastRow="0" w:firstColumn="1" w:lastColumn="0" w:noHBand="0" w:noVBand="1"/>
      </w:tblPr>
      <w:tblGrid>
        <w:gridCol w:w="4261"/>
        <w:gridCol w:w="4262"/>
      </w:tblGrid>
      <w:tr w:rsidR="00EF21E7" w:rsidTr="00EF21E7">
        <w:tc>
          <w:tcPr>
            <w:tcW w:w="4261" w:type="dxa"/>
          </w:tcPr>
          <w:p w:rsidR="00EF21E7" w:rsidRDefault="00EF21E7" w:rsidP="000C39D1">
            <w:pPr>
              <w:pStyle w:val="libFootnote0"/>
              <w:rPr>
                <w:rtl/>
              </w:rPr>
            </w:pPr>
            <w:r>
              <w:rPr>
                <w:rtl/>
              </w:rPr>
              <w:t>(14)</w:t>
            </w:r>
            <w:r w:rsidRPr="00132E65">
              <w:rPr>
                <w:rtl/>
              </w:rPr>
              <w:t xml:space="preserve"> في الإرشاد : « وأمر »</w:t>
            </w:r>
            <w:r>
              <w:rPr>
                <w:rtl/>
              </w:rPr>
              <w:t>.</w:t>
            </w:r>
          </w:p>
        </w:tc>
        <w:tc>
          <w:tcPr>
            <w:tcW w:w="4262" w:type="dxa"/>
          </w:tcPr>
          <w:p w:rsidR="00EF21E7" w:rsidRDefault="00EF21E7" w:rsidP="000C39D1">
            <w:pPr>
              <w:pStyle w:val="libFootnote0"/>
              <w:rPr>
                <w:rtl/>
              </w:rPr>
            </w:pPr>
            <w:r>
              <w:rPr>
                <w:rtl/>
              </w:rPr>
              <w:t>(15)</w:t>
            </w:r>
            <w:r w:rsidRPr="00132E65">
              <w:rPr>
                <w:rtl/>
              </w:rPr>
              <w:t xml:space="preserve"> في الإرشاد :</w:t>
            </w:r>
            <w:r>
              <w:rPr>
                <w:rtl/>
              </w:rPr>
              <w:t xml:space="preserve"> + </w:t>
            </w:r>
            <w:r w:rsidRPr="00132E65">
              <w:rPr>
                <w:rtl/>
              </w:rPr>
              <w:t>« جعفر بن يحيى »</w:t>
            </w:r>
            <w:r>
              <w:rPr>
                <w:rtl/>
              </w:rPr>
              <w:t>.</w:t>
            </w:r>
          </w:p>
        </w:tc>
      </w:tr>
    </w:tbl>
    <w:p w:rsidR="000C39D1" w:rsidRPr="00132E65" w:rsidRDefault="000C39D1" w:rsidP="000C39D1">
      <w:pPr>
        <w:pStyle w:val="libFootnote0"/>
        <w:rPr>
          <w:rtl/>
          <w:lang w:bidi="fa-IR"/>
        </w:rPr>
      </w:pPr>
      <w:r>
        <w:rPr>
          <w:rtl/>
        </w:rPr>
        <w:t>(16)</w:t>
      </w:r>
      <w:r w:rsidRPr="00132E65">
        <w:rPr>
          <w:rtl/>
        </w:rPr>
        <w:t xml:space="preserve"> </w:t>
      </w:r>
      <w:r w:rsidRPr="00EF21E7">
        <w:rPr>
          <w:rStyle w:val="libFootnoteBoldChar"/>
          <w:rtl/>
        </w:rPr>
        <w:t>الإرشاد</w:t>
      </w:r>
      <w:r w:rsidRPr="00132E65">
        <w:rPr>
          <w:rtl/>
        </w:rPr>
        <w:t xml:space="preserve"> ، ج 2 ، ص 257 بسنده عن الكليني </w:t>
      </w:r>
      <w:r w:rsidR="00EF21E7">
        <w:rPr>
          <w:rFonts w:hint="cs"/>
          <w:rtl/>
        </w:rPr>
        <w:t>.</w:t>
      </w:r>
      <w:r w:rsidRPr="009D1ACE">
        <w:rPr>
          <w:rStyle w:val="libFootnoteBoldChar"/>
          <w:rtl/>
        </w:rPr>
        <w:t>الوافي</w:t>
      </w:r>
      <w:r w:rsidRPr="00132E65">
        <w:rPr>
          <w:rtl/>
        </w:rPr>
        <w:t xml:space="preserve"> ، ج 3 ، ص 818 ، ح 1426.</w:t>
      </w:r>
    </w:p>
    <w:p w:rsidR="000C39D1" w:rsidRPr="00132E65" w:rsidRDefault="000C39D1" w:rsidP="000C39D1">
      <w:pPr>
        <w:pStyle w:val="libFootnote0"/>
        <w:rPr>
          <w:rtl/>
          <w:lang w:bidi="fa-IR"/>
        </w:rPr>
      </w:pPr>
      <w:r>
        <w:rPr>
          <w:rtl/>
        </w:rPr>
        <w:t>(17)</w:t>
      </w:r>
      <w:r w:rsidRPr="00132E65">
        <w:rPr>
          <w:rtl/>
        </w:rPr>
        <w:t xml:space="preserve"> في الإرشاد : « الهيثم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أَلْحَحْتُ عَلى أَبِي الْحَسَنِ الرِّضَا </w:t>
      </w:r>
      <w:r w:rsidRPr="00071CF9">
        <w:rPr>
          <w:rStyle w:val="libAlaemChar"/>
          <w:rtl/>
        </w:rPr>
        <w:t>عليه‌السلام</w:t>
      </w:r>
      <w:r w:rsidRPr="00132E65">
        <w:rPr>
          <w:rtl/>
          <w:lang w:bidi="fa-IR"/>
        </w:rPr>
        <w:t xml:space="preserve"> فِي شَيْ‌ءٍ أَطْلُبُهُ مِنْهُ ، فَكَانَ </w:t>
      </w:r>
      <w:r>
        <w:rPr>
          <w:rStyle w:val="libFootnotenumChar"/>
          <w:rtl/>
        </w:rPr>
        <w:t>(1)</w:t>
      </w:r>
      <w:r w:rsidRPr="00132E65">
        <w:rPr>
          <w:rtl/>
          <w:lang w:bidi="fa-IR"/>
        </w:rPr>
        <w:t xml:space="preserve"> يَعِدُنِي ، فَخَرَجَ ذَاتَ يَوْمٍ لِيَسْتَقْبِلَ </w:t>
      </w:r>
      <w:r>
        <w:rPr>
          <w:rStyle w:val="libFootnotenumChar"/>
          <w:rFonts w:hint="cs"/>
          <w:rtl/>
        </w:rPr>
        <w:t>(2)</w:t>
      </w:r>
      <w:r w:rsidRPr="00132E65">
        <w:rPr>
          <w:rtl/>
          <w:lang w:bidi="fa-IR"/>
        </w:rPr>
        <w:t xml:space="preserve"> و</w:t>
      </w:r>
      <w:r w:rsidR="00EF21E7">
        <w:rPr>
          <w:rFonts w:hint="cs"/>
          <w:rtl/>
          <w:lang w:bidi="fa-IR"/>
        </w:rPr>
        <w:t>َ</w:t>
      </w:r>
      <w:r w:rsidRPr="00132E65">
        <w:rPr>
          <w:rtl/>
          <w:lang w:bidi="fa-IR"/>
        </w:rPr>
        <w:t>الِيَ الْمَدِينَةِ و</w:t>
      </w:r>
      <w:r w:rsidR="00EF21E7">
        <w:rPr>
          <w:rFonts w:hint="cs"/>
          <w:rtl/>
          <w:lang w:bidi="fa-IR"/>
        </w:rPr>
        <w:t>َ</w:t>
      </w:r>
      <w:r w:rsidRPr="00132E65">
        <w:rPr>
          <w:rtl/>
          <w:lang w:bidi="fa-IR"/>
        </w:rPr>
        <w:t xml:space="preserve">كُنْتُ مَعَهُ ، فَجَاءَ إِلى قُرْبِ </w:t>
      </w:r>
      <w:r>
        <w:rPr>
          <w:rStyle w:val="libFootnotenumChar"/>
          <w:rtl/>
        </w:rPr>
        <w:t>(3)</w:t>
      </w:r>
      <w:r w:rsidRPr="00132E65">
        <w:rPr>
          <w:rtl/>
          <w:lang w:bidi="fa-IR"/>
        </w:rPr>
        <w:t xml:space="preserve"> قَصْرِ فُلَانٍ ، فَنَزَلَ </w:t>
      </w:r>
      <w:r>
        <w:rPr>
          <w:rStyle w:val="libFootnotenumChar"/>
          <w:rtl/>
        </w:rPr>
        <w:t>(4)</w:t>
      </w:r>
      <w:r w:rsidRPr="00132E65">
        <w:rPr>
          <w:rtl/>
          <w:lang w:bidi="fa-IR"/>
        </w:rPr>
        <w:t xml:space="preserve"> تَحْتَ شَجَرَاتٍ و</w:t>
      </w:r>
      <w:r w:rsidR="00EF21E7">
        <w:rPr>
          <w:rFonts w:hint="cs"/>
          <w:rtl/>
          <w:lang w:bidi="fa-IR"/>
        </w:rPr>
        <w:t xml:space="preserve">َ </w:t>
      </w:r>
      <w:r w:rsidRPr="00132E65">
        <w:rPr>
          <w:rtl/>
          <w:lang w:bidi="fa-IR"/>
        </w:rPr>
        <w:t xml:space="preserve">نَزَلْتُ مَعَهُ أَنَا </w:t>
      </w:r>
      <w:r>
        <w:rPr>
          <w:rStyle w:val="libFootnotenumChar"/>
          <w:rtl/>
        </w:rPr>
        <w:t>(5)</w:t>
      </w:r>
      <w:r w:rsidRPr="00132E65">
        <w:rPr>
          <w:rtl/>
          <w:lang w:bidi="fa-IR"/>
        </w:rPr>
        <w:t xml:space="preserve"> ، و</w:t>
      </w:r>
      <w:r w:rsidR="00EF21E7">
        <w:rPr>
          <w:rFonts w:hint="cs"/>
          <w:rtl/>
          <w:lang w:bidi="fa-IR"/>
        </w:rPr>
        <w:t>َ</w:t>
      </w:r>
      <w:r w:rsidRPr="00132E65">
        <w:rPr>
          <w:rtl/>
          <w:lang w:bidi="fa-IR"/>
        </w:rPr>
        <w:t xml:space="preserve">لَيْسَ مَعَنَا ثَالِثٌ ، فَقُلْتُ </w:t>
      </w:r>
      <w:r>
        <w:rPr>
          <w:rStyle w:val="libFootnotenumChar"/>
          <w:rtl/>
        </w:rPr>
        <w:t>(6)</w:t>
      </w:r>
      <w:r w:rsidRPr="00132E65">
        <w:rPr>
          <w:rtl/>
          <w:lang w:bidi="fa-IR"/>
        </w:rPr>
        <w:t xml:space="preserve"> : جُعِلْتُ فِدَاكَ ، هذَا الْعِيدُ قَدْ أَظَلَّنَا </w:t>
      </w:r>
      <w:r>
        <w:rPr>
          <w:rStyle w:val="libFootnotenumChar"/>
          <w:rtl/>
        </w:rPr>
        <w:t>(7)</w:t>
      </w:r>
      <w:r w:rsidRPr="00132E65">
        <w:rPr>
          <w:rtl/>
          <w:lang w:bidi="fa-IR"/>
        </w:rPr>
        <w:t xml:space="preserve"> ، و</w:t>
      </w:r>
      <w:r w:rsidR="00EF21E7">
        <w:rPr>
          <w:rFonts w:hint="cs"/>
          <w:rtl/>
          <w:lang w:bidi="fa-IR"/>
        </w:rPr>
        <w:t>َ</w:t>
      </w:r>
      <w:r w:rsidRPr="00132E65">
        <w:rPr>
          <w:rtl/>
          <w:lang w:bidi="fa-IR"/>
        </w:rPr>
        <w:t xml:space="preserve">لَاوَ اللهِ ، مَا أَمْلِكُ </w:t>
      </w:r>
      <w:r>
        <w:rPr>
          <w:rStyle w:val="libFootnotenumChar"/>
          <w:rtl/>
        </w:rPr>
        <w:t>(8)</w:t>
      </w:r>
      <w:r w:rsidRPr="00132E65">
        <w:rPr>
          <w:rtl/>
          <w:lang w:bidi="fa-IR"/>
        </w:rPr>
        <w:t xml:space="preserve"> دِرْهَماً فَمَا سِوَاهُ ، فَحَكَّ بِسَوْطِهِ الْأَرْضَ حَكّاً شَدِيداً ، ثُمَّ ضَرَبَ بِيَدِهِ ، فَتَنَاوَلَ مِنْهَا </w:t>
      </w:r>
      <w:r>
        <w:rPr>
          <w:rStyle w:val="libFootnotenumChar"/>
          <w:rtl/>
        </w:rPr>
        <w:t>(9)</w:t>
      </w:r>
      <w:r w:rsidRPr="00132E65">
        <w:rPr>
          <w:rtl/>
          <w:lang w:bidi="fa-IR"/>
        </w:rPr>
        <w:t xml:space="preserve"> سَبِيكَةَ ذَهَبٍ ، ثُمَّ قَالَ </w:t>
      </w:r>
      <w:r>
        <w:rPr>
          <w:rStyle w:val="libFootnotenumChar"/>
          <w:rtl/>
        </w:rPr>
        <w:t>(10)</w:t>
      </w:r>
      <w:r w:rsidRPr="00132E65">
        <w:rPr>
          <w:rtl/>
          <w:lang w:bidi="fa-IR"/>
        </w:rPr>
        <w:t xml:space="preserve"> : « انْتَفِعْ </w:t>
      </w:r>
      <w:r>
        <w:rPr>
          <w:rStyle w:val="libFootnotenumChar"/>
          <w:rtl/>
        </w:rPr>
        <w:t>(11)</w:t>
      </w:r>
      <w:r w:rsidRPr="00132E65">
        <w:rPr>
          <w:rtl/>
          <w:lang w:bidi="fa-IR"/>
        </w:rPr>
        <w:t xml:space="preserve"> بِهَا ، و</w:t>
      </w:r>
      <w:r w:rsidR="00EF21E7">
        <w:rPr>
          <w:rFonts w:hint="cs"/>
          <w:rtl/>
          <w:lang w:bidi="fa-IR"/>
        </w:rPr>
        <w:t>َ</w:t>
      </w:r>
      <w:r w:rsidRPr="00132E65">
        <w:rPr>
          <w:rtl/>
          <w:lang w:bidi="fa-IR"/>
        </w:rPr>
        <w:t>اكْتُمْ مَا رَأَيْتَ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482F6E">
        <w:rPr>
          <w:rtl/>
        </w:rPr>
        <w:t>1304</w:t>
      </w:r>
      <w:r w:rsidRPr="004325D8">
        <w:rPr>
          <w:rStyle w:val="libBold2Char"/>
          <w:rtl/>
        </w:rPr>
        <w:t xml:space="preserve"> / 7.</w:t>
      </w:r>
      <w:r w:rsidRPr="00132E65">
        <w:rPr>
          <w:rtl/>
          <w:lang w:bidi="fa-IR"/>
        </w:rPr>
        <w:t xml:space="preserve"> عَلِيُّ بْنُ إِبْرَاهِيمَ ، عَنْ يَاسِرٍ الْخَادِمِ و</w:t>
      </w:r>
      <w:r w:rsidR="00EF21E7">
        <w:rPr>
          <w:rFonts w:hint="cs"/>
          <w:rtl/>
          <w:lang w:bidi="fa-IR"/>
        </w:rPr>
        <w:t>َ</w:t>
      </w:r>
      <w:r w:rsidRPr="00132E65">
        <w:rPr>
          <w:rtl/>
          <w:lang w:bidi="fa-IR"/>
        </w:rPr>
        <w:t xml:space="preserve">الرَّيَّانِ بْنِ الصَّلْتِ جَمِيعاً ، قَالَ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132E65">
        <w:rPr>
          <w:rtl/>
          <w:lang w:bidi="fa-IR"/>
        </w:rPr>
        <w:t>لَمَّا انْقَضى أَمْرُ الْمَخْلُوعِ ، و</w:t>
      </w:r>
      <w:r w:rsidR="00EF21E7">
        <w:rPr>
          <w:rFonts w:hint="cs"/>
          <w:rtl/>
          <w:lang w:bidi="fa-IR"/>
        </w:rPr>
        <w:t>َ</w:t>
      </w:r>
      <w:r w:rsidRPr="00132E65">
        <w:rPr>
          <w:rtl/>
          <w:lang w:bidi="fa-IR"/>
        </w:rPr>
        <w:t xml:space="preserve">اسْتَوَى الْأَمْرُ لِلْمَأْمُونِ ، كَتَبَ إِلَى الرِّضَا </w:t>
      </w:r>
      <w:r w:rsidRPr="00071CF9">
        <w:rPr>
          <w:rStyle w:val="libAlaemChar"/>
          <w:rtl/>
        </w:rPr>
        <w:t>عليه‌السلام</w:t>
      </w:r>
      <w:r w:rsidRPr="00132E65">
        <w:rPr>
          <w:rtl/>
          <w:lang w:bidi="fa-IR"/>
        </w:rPr>
        <w:t xml:space="preserve"> يَسْتَقْدِمُهُ إِلى خُرَاسَانَ ، فَاعْتَلَّ </w:t>
      </w:r>
      <w:r w:rsidRPr="00F543F1">
        <w:rPr>
          <w:rStyle w:val="libFootnotenumChar"/>
          <w:rtl/>
        </w:rPr>
        <w:t>(14)</w:t>
      </w:r>
      <w:r w:rsidRPr="00132E65">
        <w:rPr>
          <w:rtl/>
          <w:lang w:bidi="fa-IR"/>
        </w:rPr>
        <w:t xml:space="preserve"> عَلَيْهِ أَبُو الْحَسَنِ </w:t>
      </w:r>
      <w:r w:rsidRPr="00071CF9">
        <w:rPr>
          <w:rStyle w:val="libAlaemChar"/>
          <w:rtl/>
        </w:rPr>
        <w:t>عليه‌السلام</w:t>
      </w:r>
      <w:r w:rsidRPr="00132E65">
        <w:rPr>
          <w:rtl/>
          <w:lang w:bidi="fa-IR"/>
        </w:rPr>
        <w:t xml:space="preserve"> بِعِلَلٍ ، فَلَمْ يَزَلِ الْمَأْمُونُ يُكَاتِبُهُ فِي ذلِكَ حَتّى عَلِمَ أَنَّهُ </w:t>
      </w:r>
      <w:r w:rsidRPr="00F543F1">
        <w:rPr>
          <w:rStyle w:val="libFootnotenumChar"/>
          <w:rtl/>
        </w:rPr>
        <w:t>(15)</w:t>
      </w:r>
      <w:r w:rsidRPr="00132E65">
        <w:rPr>
          <w:rtl/>
          <w:lang w:bidi="fa-IR"/>
        </w:rPr>
        <w:t xml:space="preserve"> لَامَحِيصَ </w:t>
      </w:r>
      <w:r w:rsidRPr="00F543F1">
        <w:rPr>
          <w:rStyle w:val="libFootnotenumChar"/>
          <w:rtl/>
        </w:rPr>
        <w:t>(16)</w:t>
      </w:r>
      <w:r w:rsidRPr="00132E65">
        <w:rPr>
          <w:rtl/>
          <w:lang w:bidi="fa-IR"/>
        </w:rPr>
        <w:t xml:space="preserve"> لَهُ ، و</w:t>
      </w:r>
      <w:r w:rsidR="00EF21E7">
        <w:rPr>
          <w:rFonts w:hint="cs"/>
          <w:rtl/>
          <w:lang w:bidi="fa-IR"/>
        </w:rPr>
        <w:t>َ</w:t>
      </w:r>
      <w:r w:rsidRPr="00132E65">
        <w:rPr>
          <w:rtl/>
          <w:lang w:bidi="fa-IR"/>
        </w:rPr>
        <w:t xml:space="preserve">أَنَّهُ </w:t>
      </w:r>
      <w:r w:rsidRPr="00F543F1">
        <w:rPr>
          <w:rStyle w:val="libFootnotenumChar"/>
          <w:rtl/>
        </w:rPr>
        <w:t>(17)</w:t>
      </w:r>
      <w:r w:rsidRPr="00132E65">
        <w:rPr>
          <w:rtl/>
          <w:lang w:bidi="fa-IR"/>
        </w:rPr>
        <w:t xml:space="preserve"> لَايَكُفُّ عَنْهُ ، فَخَرَجَ </w:t>
      </w:r>
      <w:r w:rsidRPr="00071CF9">
        <w:rPr>
          <w:rStyle w:val="libAlaemChar"/>
          <w:rtl/>
        </w:rPr>
        <w:t>عليه‌السلام</w:t>
      </w:r>
      <w:r w:rsidRPr="00132E65">
        <w:rPr>
          <w:rtl/>
          <w:lang w:bidi="fa-IR"/>
        </w:rPr>
        <w:t xml:space="preserve"> و</w:t>
      </w:r>
      <w:r w:rsidR="00EF21E7">
        <w:rPr>
          <w:rFonts w:hint="cs"/>
          <w:rtl/>
          <w:lang w:bidi="fa-IR"/>
        </w:rPr>
        <w:t>َ</w:t>
      </w:r>
      <w:r w:rsidRPr="00132E65">
        <w:rPr>
          <w:rtl/>
          <w:lang w:bidi="fa-IR"/>
        </w:rPr>
        <w:t xml:space="preserve">لِأَبِي جَعْفَرٍ </w:t>
      </w:r>
      <w:r w:rsidRPr="00071CF9">
        <w:rPr>
          <w:rStyle w:val="libAlaemChar"/>
          <w:rtl/>
        </w:rPr>
        <w:t>عليه‌السلام</w:t>
      </w:r>
      <w:r w:rsidRPr="00132E65">
        <w:rPr>
          <w:rtl/>
          <w:lang w:bidi="fa-IR"/>
        </w:rPr>
        <w:t xml:space="preserve"> سَبْعُ‌</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EF21E7" w:rsidTr="00EF21E7">
        <w:tc>
          <w:tcPr>
            <w:tcW w:w="4261" w:type="dxa"/>
          </w:tcPr>
          <w:p w:rsidR="00EF21E7" w:rsidRDefault="00EF21E7" w:rsidP="000C39D1">
            <w:pPr>
              <w:pStyle w:val="libFootnote0"/>
              <w:rPr>
                <w:rtl/>
              </w:rPr>
            </w:pPr>
            <w:r>
              <w:rPr>
                <w:rtl/>
              </w:rPr>
              <w:t>(1).</w:t>
            </w:r>
            <w:r w:rsidRPr="00132E65">
              <w:rPr>
                <w:rtl/>
              </w:rPr>
              <w:t xml:space="preserve"> في « بف » والبصائر والاختصاص : « وكان »</w:t>
            </w:r>
            <w:r>
              <w:rPr>
                <w:rtl/>
              </w:rPr>
              <w:t>.</w:t>
            </w:r>
          </w:p>
        </w:tc>
        <w:tc>
          <w:tcPr>
            <w:tcW w:w="4262" w:type="dxa"/>
          </w:tcPr>
          <w:p w:rsidR="00EF21E7" w:rsidRDefault="00EF21E7" w:rsidP="000C39D1">
            <w:pPr>
              <w:pStyle w:val="libFootnote0"/>
              <w:rPr>
                <w:rtl/>
              </w:rPr>
            </w:pPr>
            <w:r>
              <w:rPr>
                <w:rtl/>
              </w:rPr>
              <w:t>(2). في «ف</w:t>
            </w:r>
            <w:r w:rsidRPr="00132E65">
              <w:rPr>
                <w:rtl/>
              </w:rPr>
              <w:t xml:space="preserve">» </w:t>
            </w:r>
            <w:r>
              <w:rPr>
                <w:rtl/>
              </w:rPr>
              <w:t>والبصائر والإرشاد والاختصاص : «يستقبل</w:t>
            </w:r>
            <w:r w:rsidRPr="00132E65">
              <w:rPr>
                <w:rtl/>
              </w:rPr>
              <w:t>»</w:t>
            </w:r>
            <w:r>
              <w:rPr>
                <w:rtl/>
              </w:rPr>
              <w:t>.</w:t>
            </w:r>
          </w:p>
        </w:tc>
      </w:tr>
      <w:tr w:rsidR="00EF21E7" w:rsidTr="00EF21E7">
        <w:tc>
          <w:tcPr>
            <w:tcW w:w="4261" w:type="dxa"/>
          </w:tcPr>
          <w:p w:rsidR="00EF21E7" w:rsidRDefault="00EF21E7" w:rsidP="000C39D1">
            <w:pPr>
              <w:pStyle w:val="libFootnote0"/>
              <w:rPr>
                <w:rtl/>
              </w:rPr>
            </w:pPr>
            <w:r>
              <w:rPr>
                <w:rtl/>
              </w:rPr>
              <w:t>(3).</w:t>
            </w:r>
            <w:r w:rsidRPr="00132E65">
              <w:rPr>
                <w:rtl/>
              </w:rPr>
              <w:t xml:space="preserve"> في « ج » : « قريب »</w:t>
            </w:r>
            <w:r>
              <w:rPr>
                <w:rtl/>
              </w:rPr>
              <w:t>.</w:t>
            </w:r>
          </w:p>
        </w:tc>
        <w:tc>
          <w:tcPr>
            <w:tcW w:w="4262" w:type="dxa"/>
          </w:tcPr>
          <w:p w:rsidR="00EF21E7" w:rsidRDefault="00EF21E7" w:rsidP="000C39D1">
            <w:pPr>
              <w:pStyle w:val="libFootnote0"/>
              <w:rPr>
                <w:rtl/>
              </w:rPr>
            </w:pPr>
            <w:r>
              <w:rPr>
                <w:rtl/>
              </w:rPr>
              <w:t>(4).</w:t>
            </w:r>
            <w:r w:rsidRPr="00132E65">
              <w:rPr>
                <w:rtl/>
              </w:rPr>
              <w:t xml:space="preserve"> في البصائر :</w:t>
            </w:r>
            <w:r>
              <w:rPr>
                <w:rtl/>
              </w:rPr>
              <w:t xml:space="preserve"> + «في موضع</w:t>
            </w:r>
            <w:r w:rsidRPr="00132E65">
              <w:rPr>
                <w:rtl/>
              </w:rPr>
              <w:t>»</w:t>
            </w:r>
            <w:r>
              <w:rPr>
                <w:rtl/>
              </w:rPr>
              <w:t>.وفي الإرشاد</w:t>
            </w:r>
            <w:r w:rsidRPr="00132E65">
              <w:rPr>
                <w:rtl/>
              </w:rPr>
              <w:t>:</w:t>
            </w:r>
            <w:r>
              <w:rPr>
                <w:rtl/>
              </w:rPr>
              <w:t xml:space="preserve"> + «عنده</w:t>
            </w:r>
            <w:r w:rsidRPr="00132E65">
              <w:rPr>
                <w:rtl/>
              </w:rPr>
              <w:t>»</w:t>
            </w:r>
            <w:r>
              <w:rPr>
                <w:rtl/>
              </w:rPr>
              <w:t>.</w:t>
            </w:r>
          </w:p>
        </w:tc>
      </w:tr>
      <w:tr w:rsidR="00EF21E7" w:rsidTr="00EF21E7">
        <w:tc>
          <w:tcPr>
            <w:tcW w:w="4261" w:type="dxa"/>
          </w:tcPr>
          <w:p w:rsidR="00EF21E7" w:rsidRDefault="00EF21E7" w:rsidP="000C39D1">
            <w:pPr>
              <w:pStyle w:val="libFootnote0"/>
              <w:rPr>
                <w:rtl/>
              </w:rPr>
            </w:pPr>
            <w:r>
              <w:rPr>
                <w:rtl/>
              </w:rPr>
              <w:t>(5).</w:t>
            </w:r>
            <w:r w:rsidRPr="00132E65">
              <w:rPr>
                <w:rtl/>
              </w:rPr>
              <w:t xml:space="preserve"> في « ف » والإرشاد </w:t>
            </w:r>
            <w:r>
              <w:rPr>
                <w:rtl/>
              </w:rPr>
              <w:t xml:space="preserve">: - </w:t>
            </w:r>
            <w:r w:rsidRPr="00132E65">
              <w:rPr>
                <w:rtl/>
              </w:rPr>
              <w:t>« أنا »</w:t>
            </w:r>
            <w:r>
              <w:rPr>
                <w:rtl/>
              </w:rPr>
              <w:t>.</w:t>
            </w:r>
          </w:p>
        </w:tc>
        <w:tc>
          <w:tcPr>
            <w:tcW w:w="4262" w:type="dxa"/>
          </w:tcPr>
          <w:p w:rsidR="00EF21E7" w:rsidRDefault="00EF21E7" w:rsidP="000C39D1">
            <w:pPr>
              <w:pStyle w:val="libFootnote0"/>
              <w:rPr>
                <w:rtl/>
              </w:rPr>
            </w:pPr>
            <w:r>
              <w:rPr>
                <w:rtl/>
              </w:rPr>
              <w:t>(6).</w:t>
            </w:r>
            <w:r w:rsidRPr="00132E65">
              <w:rPr>
                <w:rtl/>
              </w:rPr>
              <w:t xml:space="preserve"> في الإرشاد والاختصاص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(7).</w:t>
      </w:r>
      <w:r w:rsidRPr="00132E65">
        <w:rPr>
          <w:rtl/>
        </w:rPr>
        <w:t xml:space="preserve"> « قد أظلّنا » ، أي أقبل علينا ودنا منّا ، كأنّه ألقى علينا ظلّه. راجع : </w:t>
      </w:r>
      <w:r w:rsidRPr="00EF21E7">
        <w:rPr>
          <w:rStyle w:val="libFootnoteBoldChar"/>
          <w:rtl/>
        </w:rPr>
        <w:t>النهاية</w:t>
      </w:r>
      <w:r w:rsidRPr="00132E65">
        <w:rPr>
          <w:rtl/>
        </w:rPr>
        <w:t xml:space="preserve"> ، ج 3 ، ص 160 ( ظلل )</w:t>
      </w:r>
      <w:r>
        <w:rPr>
          <w:rtl/>
        </w:rPr>
        <w:t>.</w:t>
      </w:r>
    </w:p>
    <w:p w:rsidR="000C39D1" w:rsidRPr="00132E65" w:rsidRDefault="000C39D1" w:rsidP="000C39D1">
      <w:pPr>
        <w:pStyle w:val="libFootnote0"/>
        <w:rPr>
          <w:rtl/>
          <w:lang w:bidi="fa-IR"/>
        </w:rPr>
      </w:pPr>
      <w:r>
        <w:rPr>
          <w:rtl/>
        </w:rPr>
        <w:t>(8).</w:t>
      </w:r>
      <w:r w:rsidRPr="00132E65">
        <w:rPr>
          <w:rtl/>
        </w:rPr>
        <w:t xml:space="preserve"> في « ب ، ض » : « لا أملك »</w:t>
      </w:r>
      <w:r>
        <w:rPr>
          <w:rtl/>
        </w:rPr>
        <w:t>.</w:t>
      </w:r>
    </w:p>
    <w:p w:rsidR="000C39D1" w:rsidRPr="00132E65" w:rsidRDefault="000C39D1" w:rsidP="00EF21E7">
      <w:pPr>
        <w:pStyle w:val="libFootnote0"/>
        <w:rPr>
          <w:rtl/>
          <w:lang w:bidi="fa-IR"/>
        </w:rPr>
      </w:pPr>
      <w:r>
        <w:rPr>
          <w:rtl/>
        </w:rPr>
        <w:t>(9).</w:t>
      </w:r>
      <w:r w:rsidRPr="00132E65">
        <w:rPr>
          <w:rtl/>
        </w:rPr>
        <w:t xml:space="preserve"> هكذا في « ف ، بف » وحاشية « ض ، بح » </w:t>
      </w:r>
      <w:r w:rsidRPr="00EF21E7">
        <w:rPr>
          <w:rtl/>
        </w:rPr>
        <w:t>والوافي</w:t>
      </w:r>
      <w:r w:rsidRPr="00132E65">
        <w:rPr>
          <w:rtl/>
        </w:rPr>
        <w:t xml:space="preserve"> والاختصاص. وفي المطبوع وسائر النسخ : « منه »</w:t>
      </w:r>
      <w:r>
        <w:rPr>
          <w:rtl/>
        </w:rPr>
        <w:t>.</w:t>
      </w:r>
      <w:r w:rsidRPr="00132E65">
        <w:rPr>
          <w:rtl/>
        </w:rPr>
        <w:t xml:space="preserve"> وفي البصائر : « بيده »</w:t>
      </w:r>
      <w:r>
        <w:rPr>
          <w:rtl/>
        </w:rPr>
        <w:t>.</w:t>
      </w:r>
      <w:r w:rsidR="00EF21E7">
        <w:rPr>
          <w:rFonts w:hint="cs"/>
          <w:rtl/>
        </w:rPr>
        <w:t xml:space="preserve">                                                  </w:t>
      </w:r>
      <w:r>
        <w:rPr>
          <w:rtl/>
        </w:rPr>
        <w:t>(10).</w:t>
      </w:r>
      <w:r w:rsidRPr="00132E65">
        <w:rPr>
          <w:rtl/>
        </w:rPr>
        <w:t xml:space="preserve"> في البصائر والإرشاد والاختصاص : « فقال »</w:t>
      </w:r>
      <w:r>
        <w:rPr>
          <w:rtl/>
        </w:rPr>
        <w:t>.</w:t>
      </w:r>
    </w:p>
    <w:p w:rsidR="000C39D1" w:rsidRPr="00132E65" w:rsidRDefault="000C39D1" w:rsidP="000C39D1">
      <w:pPr>
        <w:pStyle w:val="libFootnote0"/>
        <w:rPr>
          <w:rtl/>
          <w:lang w:bidi="fa-IR"/>
        </w:rPr>
      </w:pPr>
      <w:r>
        <w:rPr>
          <w:rtl/>
        </w:rPr>
        <w:t>(11).</w:t>
      </w:r>
      <w:r w:rsidRPr="00132E65">
        <w:rPr>
          <w:rtl/>
        </w:rPr>
        <w:t xml:space="preserve"> في الإرشاد والاختصاص : « استنفع »</w:t>
      </w:r>
      <w:r>
        <w:rPr>
          <w:rtl/>
        </w:rPr>
        <w:t>.</w:t>
      </w:r>
    </w:p>
    <w:p w:rsidR="000C39D1" w:rsidRPr="00132E65" w:rsidRDefault="000C39D1" w:rsidP="000C39D1">
      <w:pPr>
        <w:pStyle w:val="libFootnote0"/>
        <w:rPr>
          <w:rtl/>
          <w:lang w:bidi="fa-IR"/>
        </w:rPr>
      </w:pPr>
      <w:r>
        <w:rPr>
          <w:rtl/>
        </w:rPr>
        <w:t>(12).</w:t>
      </w:r>
      <w:r w:rsidRPr="00132E65">
        <w:rPr>
          <w:rtl/>
        </w:rPr>
        <w:t xml:space="preserve"> </w:t>
      </w:r>
      <w:r w:rsidRPr="00EF21E7">
        <w:rPr>
          <w:rStyle w:val="libFootnoteBoldChar"/>
          <w:rtl/>
        </w:rPr>
        <w:t>الإرشاد</w:t>
      </w:r>
      <w:r w:rsidRPr="00132E65">
        <w:rPr>
          <w:rtl/>
        </w:rPr>
        <w:t xml:space="preserve"> ، ج 2 ، ص 257 بسنده عن الكليني. </w:t>
      </w:r>
      <w:r w:rsidRPr="007A1104">
        <w:rPr>
          <w:rStyle w:val="libFootnoteBoldChar"/>
          <w:rtl/>
        </w:rPr>
        <w:t>بصائر الدرجات</w:t>
      </w:r>
      <w:r w:rsidRPr="00132E65">
        <w:rPr>
          <w:rtl/>
        </w:rPr>
        <w:t xml:space="preserve"> ، ص 374 ، ح 2 ، عن محمّد بن عيسى ، عن محمّد بن حمزة بن القاسم ، عمّن أخبره عنه ، عن إبراهيم بن موسى ؛ </w:t>
      </w:r>
      <w:r w:rsidRPr="00EF21E7">
        <w:rPr>
          <w:rStyle w:val="libFootnoteBoldChar"/>
          <w:rtl/>
        </w:rPr>
        <w:t>الاختصاص</w:t>
      </w:r>
      <w:r w:rsidRPr="00132E65">
        <w:rPr>
          <w:rtl/>
        </w:rPr>
        <w:t xml:space="preserve"> ، ص 270 ، عن محمّد بن عيسى ؛ </w:t>
      </w:r>
      <w:r w:rsidRPr="00EF21E7">
        <w:rPr>
          <w:rStyle w:val="libFootnoteBoldChar"/>
          <w:rtl/>
        </w:rPr>
        <w:t>دلائل الإمامة</w:t>
      </w:r>
      <w:r w:rsidRPr="00132E65">
        <w:rPr>
          <w:rtl/>
        </w:rPr>
        <w:t xml:space="preserve"> ، ص 190 ، بسنده عن محمّد بن حمزة ، مع اختلاف يسير </w:t>
      </w:r>
      <w:r w:rsidR="00EF21E7">
        <w:rPr>
          <w:rFonts w:hint="cs"/>
          <w:rtl/>
        </w:rPr>
        <w:t>.</w:t>
      </w:r>
      <w:r w:rsidRPr="009D1ACE">
        <w:rPr>
          <w:rStyle w:val="libFootnoteBoldChar"/>
          <w:rtl/>
        </w:rPr>
        <w:t>الوافي</w:t>
      </w:r>
      <w:r w:rsidRPr="00132E65">
        <w:rPr>
          <w:rtl/>
        </w:rPr>
        <w:t xml:space="preserve"> ، ج 3 ، ص 818 ، ح 1427.</w:t>
      </w:r>
    </w:p>
    <w:p w:rsidR="000C39D1" w:rsidRPr="00132E65" w:rsidRDefault="000C39D1" w:rsidP="000C39D1">
      <w:pPr>
        <w:pStyle w:val="libFootnote0"/>
        <w:rPr>
          <w:rtl/>
          <w:lang w:bidi="fa-IR"/>
        </w:rPr>
      </w:pPr>
      <w:r>
        <w:rPr>
          <w:rtl/>
        </w:rPr>
        <w:t>(13)</w:t>
      </w:r>
      <w:r w:rsidRPr="00132E65">
        <w:rPr>
          <w:rtl/>
        </w:rPr>
        <w:t xml:space="preserve"> في الوسائل : « قالا »</w:t>
      </w:r>
      <w:r>
        <w:rPr>
          <w:rtl/>
        </w:rPr>
        <w:t>.</w:t>
      </w:r>
    </w:p>
    <w:p w:rsidR="000C39D1" w:rsidRPr="00132E65" w:rsidRDefault="000C39D1" w:rsidP="000C39D1">
      <w:pPr>
        <w:pStyle w:val="libFootnote0"/>
        <w:rPr>
          <w:rtl/>
          <w:lang w:bidi="fa-IR"/>
        </w:rPr>
      </w:pPr>
      <w:r>
        <w:rPr>
          <w:rtl/>
        </w:rPr>
        <w:t>(14)</w:t>
      </w:r>
      <w:r w:rsidRPr="00132E65">
        <w:rPr>
          <w:rtl/>
        </w:rPr>
        <w:t xml:space="preserve"> اعتلّ بعلل ، أي اعتذر بمعاذير ، فوضع العلّة موضع العذر. راجع : </w:t>
      </w:r>
      <w:r w:rsidRPr="00EF21E7">
        <w:rPr>
          <w:rStyle w:val="libFootnoteBoldChar"/>
          <w:rtl/>
        </w:rPr>
        <w:t>النهاية</w:t>
      </w:r>
      <w:r w:rsidRPr="00132E65">
        <w:rPr>
          <w:rtl/>
        </w:rPr>
        <w:t xml:space="preserve"> ، ج 3 ، ص 291 ( علل )</w:t>
      </w:r>
      <w:r>
        <w:rPr>
          <w:rtl/>
        </w:rPr>
        <w:t>.</w:t>
      </w:r>
    </w:p>
    <w:p w:rsidR="000C39D1" w:rsidRPr="00132E65" w:rsidRDefault="000C39D1" w:rsidP="000C39D1">
      <w:pPr>
        <w:pStyle w:val="libFootnote0"/>
        <w:rPr>
          <w:rtl/>
          <w:lang w:bidi="fa-IR"/>
        </w:rPr>
      </w:pPr>
      <w:r>
        <w:rPr>
          <w:rtl/>
        </w:rPr>
        <w:t>(15)</w:t>
      </w:r>
      <w:r w:rsidRPr="00132E65">
        <w:rPr>
          <w:rtl/>
        </w:rPr>
        <w:t xml:space="preserve"> في « بس » : « أن » بالتخفيف.</w:t>
      </w:r>
    </w:p>
    <w:p w:rsidR="000C39D1" w:rsidRPr="00132E65" w:rsidRDefault="000C39D1" w:rsidP="000C39D1">
      <w:pPr>
        <w:pStyle w:val="libFootnote0"/>
        <w:rPr>
          <w:rtl/>
          <w:lang w:bidi="fa-IR"/>
        </w:rPr>
      </w:pPr>
      <w:r>
        <w:rPr>
          <w:rtl/>
        </w:rPr>
        <w:t>(16)</w:t>
      </w:r>
      <w:r w:rsidR="00EF21E7">
        <w:rPr>
          <w:rtl/>
        </w:rPr>
        <w:t xml:space="preserve"> « المحيص » : الم</w:t>
      </w:r>
      <w:r w:rsidR="00EF21E7">
        <w:rPr>
          <w:rFonts w:hint="cs"/>
          <w:rtl/>
        </w:rPr>
        <w:t>ـَ</w:t>
      </w:r>
      <w:r w:rsidR="00EF21E7">
        <w:rPr>
          <w:rtl/>
        </w:rPr>
        <w:t>هْرب والم</w:t>
      </w:r>
      <w:r w:rsidR="00EF21E7">
        <w:rPr>
          <w:rFonts w:hint="cs"/>
          <w:rtl/>
        </w:rPr>
        <w:t>ـَ</w:t>
      </w:r>
      <w:r w:rsidRPr="00132E65">
        <w:rPr>
          <w:rtl/>
        </w:rPr>
        <w:t xml:space="preserve">حيد. راجع : </w:t>
      </w:r>
      <w:r w:rsidRPr="009D1ACE">
        <w:rPr>
          <w:rStyle w:val="libFootnoteBoldChar"/>
          <w:rtl/>
        </w:rPr>
        <w:t>لسان العرب</w:t>
      </w:r>
      <w:r w:rsidRPr="00132E65">
        <w:rPr>
          <w:rtl/>
        </w:rPr>
        <w:t xml:space="preserve"> ، ج 7 ، ص 19 ( حيص )</w:t>
      </w:r>
      <w:r>
        <w:rPr>
          <w:rtl/>
        </w:rPr>
        <w:t>.</w:t>
      </w:r>
    </w:p>
    <w:p w:rsidR="000C39D1" w:rsidRPr="00132E65" w:rsidRDefault="000C39D1" w:rsidP="000C39D1">
      <w:pPr>
        <w:pStyle w:val="libFootnote0"/>
        <w:rPr>
          <w:rtl/>
          <w:lang w:bidi="fa-IR"/>
        </w:rPr>
      </w:pPr>
      <w:r>
        <w:rPr>
          <w:rtl/>
        </w:rPr>
        <w:t>(17)</w:t>
      </w:r>
      <w:r w:rsidRPr="00132E65">
        <w:rPr>
          <w:rtl/>
        </w:rPr>
        <w:t xml:space="preserve"> في « بر » : « فإنّه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سِنِينَ</w:t>
      </w:r>
      <w:r>
        <w:rPr>
          <w:rtl/>
          <w:lang w:bidi="fa-IR"/>
        </w:rPr>
        <w:t xml:space="preserve"> - </w:t>
      </w:r>
      <w:r w:rsidRPr="00132E65">
        <w:rPr>
          <w:rtl/>
          <w:lang w:bidi="fa-IR"/>
        </w:rPr>
        <w:t>فَكَتَبَ إِلَيْهِ الْمَأْمُونُ : لَاتَأْخُذْ عَلى طَرِيقِ الْجَبَلِ و</w:t>
      </w:r>
      <w:r w:rsidR="009B0834">
        <w:rPr>
          <w:rFonts w:hint="cs"/>
          <w:rtl/>
          <w:lang w:bidi="fa-IR"/>
        </w:rPr>
        <w:t>َ</w:t>
      </w:r>
      <w:r w:rsidRPr="00132E65">
        <w:rPr>
          <w:rtl/>
          <w:lang w:bidi="fa-IR"/>
        </w:rPr>
        <w:t xml:space="preserve">قُمَّ </w:t>
      </w:r>
      <w:r>
        <w:rPr>
          <w:rStyle w:val="libFootnotenumChar"/>
          <w:rtl/>
        </w:rPr>
        <w:t>(1)</w:t>
      </w:r>
      <w:r w:rsidRPr="00132E65">
        <w:rPr>
          <w:rtl/>
          <w:lang w:bidi="fa-IR"/>
        </w:rPr>
        <w:t xml:space="preserve"> ، و</w:t>
      </w:r>
      <w:r w:rsidR="009B0834">
        <w:rPr>
          <w:rFonts w:hint="cs"/>
          <w:rtl/>
          <w:lang w:bidi="fa-IR"/>
        </w:rPr>
        <w:t>َ</w:t>
      </w:r>
      <w:r w:rsidRPr="00132E65">
        <w:rPr>
          <w:rtl/>
          <w:lang w:bidi="fa-IR"/>
        </w:rPr>
        <w:t>خُذْ عَلى طَرِيقِ الْبَصْرَةِ والْأَهْوَازِ و</w:t>
      </w:r>
      <w:r w:rsidR="009B0834">
        <w:rPr>
          <w:rFonts w:hint="cs"/>
          <w:rtl/>
          <w:lang w:bidi="fa-IR"/>
        </w:rPr>
        <w:t>َ</w:t>
      </w:r>
      <w:r w:rsidRPr="00132E65">
        <w:rPr>
          <w:rtl/>
          <w:lang w:bidi="fa-IR"/>
        </w:rPr>
        <w:t>فَارِسَ</w:t>
      </w:r>
      <w:r>
        <w:rPr>
          <w:rtl/>
          <w:lang w:bidi="fa-IR"/>
        </w:rPr>
        <w:t xml:space="preserve"> - </w:t>
      </w:r>
      <w:r w:rsidRPr="00132E65">
        <w:rPr>
          <w:rtl/>
          <w:lang w:bidi="fa-IR"/>
        </w:rPr>
        <w:t xml:space="preserve">حَتّى </w:t>
      </w:r>
      <w:r>
        <w:rPr>
          <w:rStyle w:val="libFootnotenumChar"/>
          <w:rtl/>
        </w:rPr>
        <w:t>(2)</w:t>
      </w:r>
      <w:r w:rsidRPr="00132E65">
        <w:rPr>
          <w:rtl/>
          <w:lang w:bidi="fa-IR"/>
        </w:rPr>
        <w:t xml:space="preserve"> و</w:t>
      </w:r>
      <w:r w:rsidR="009B0834">
        <w:rPr>
          <w:rFonts w:hint="cs"/>
          <w:rtl/>
          <w:lang w:bidi="fa-IR"/>
        </w:rPr>
        <w:t>َ</w:t>
      </w:r>
      <w:r w:rsidRPr="00132E65">
        <w:rPr>
          <w:rtl/>
          <w:lang w:bidi="fa-IR"/>
        </w:rPr>
        <w:t xml:space="preserve">افى مَرْوَ ، فَعَرَضَ عَلَيْهِ الْمَأْمُونُ أَنْ يَتَقَلَّدَ الْأَمْرَ </w:t>
      </w:r>
      <w:r>
        <w:rPr>
          <w:rStyle w:val="libFootnotenumChar"/>
          <w:rtl/>
        </w:rPr>
        <w:t>(3)</w:t>
      </w:r>
      <w:r w:rsidRPr="00132E65">
        <w:rPr>
          <w:rtl/>
          <w:lang w:bidi="fa-IR"/>
        </w:rPr>
        <w:t xml:space="preserve"> وَالْخِلَافَةَ ، فَأَبى أَبُو الْحَسَنِ </w:t>
      </w:r>
      <w:r w:rsidRPr="00071CF9">
        <w:rPr>
          <w:rStyle w:val="libAlaemChar"/>
          <w:rtl/>
        </w:rPr>
        <w:t>عليه‌السلام</w:t>
      </w:r>
      <w:r w:rsidRPr="00132E65">
        <w:rPr>
          <w:rtl/>
          <w:lang w:bidi="fa-IR"/>
        </w:rPr>
        <w:t xml:space="preserve"> ، قَالَ : فَوِلَايَةَ الْعَهْدِ ، فَقَالَ : « عَلى شُرُوطٍ أَسْأَلُكَهَا »</w:t>
      </w:r>
      <w:r>
        <w:rPr>
          <w:rtl/>
          <w:lang w:bidi="fa-IR"/>
        </w:rPr>
        <w:t>.</w:t>
      </w:r>
      <w:r w:rsidRPr="00132E65">
        <w:rPr>
          <w:rtl/>
          <w:lang w:bidi="fa-IR"/>
        </w:rPr>
        <w:t xml:space="preserve"> قَالَ </w:t>
      </w:r>
      <w:r>
        <w:rPr>
          <w:rStyle w:val="libFootnotenumChar"/>
          <w:rtl/>
        </w:rPr>
        <w:t>(4)</w:t>
      </w:r>
      <w:r w:rsidRPr="00132E65">
        <w:rPr>
          <w:rtl/>
          <w:lang w:bidi="fa-IR"/>
        </w:rPr>
        <w:t xml:space="preserve"> الْمَأْمُونُ لَهُ </w:t>
      </w:r>
      <w:r>
        <w:rPr>
          <w:rStyle w:val="libFootnotenumChar"/>
          <w:rtl/>
        </w:rPr>
        <w:t>(5)</w:t>
      </w:r>
      <w:r w:rsidRPr="00132E65">
        <w:rPr>
          <w:rtl/>
          <w:lang w:bidi="fa-IR"/>
        </w:rPr>
        <w:t xml:space="preserve"> : سَلْ </w:t>
      </w:r>
      <w:r>
        <w:rPr>
          <w:rStyle w:val="libFootnotenumChar"/>
          <w:rtl/>
        </w:rPr>
        <w:t>(6)</w:t>
      </w:r>
      <w:r w:rsidRPr="00132E65">
        <w:rPr>
          <w:rtl/>
          <w:lang w:bidi="fa-IR"/>
        </w:rPr>
        <w:t xml:space="preserve"> مَا شِئْتَ ، فَكَتَبَ الرِّضَا </w:t>
      </w:r>
      <w:r w:rsidRPr="00071CF9">
        <w:rPr>
          <w:rStyle w:val="libAlaemChar"/>
          <w:rtl/>
        </w:rPr>
        <w:t>عليه‌السلام</w:t>
      </w:r>
      <w:r w:rsidRPr="00132E65">
        <w:rPr>
          <w:rtl/>
          <w:lang w:bidi="fa-IR"/>
        </w:rPr>
        <w:t xml:space="preserve"> : « إِنِّي دَاخِلٌ فِي و</w:t>
      </w:r>
      <w:r w:rsidR="009B0834">
        <w:rPr>
          <w:rFonts w:hint="cs"/>
          <w:rtl/>
          <w:lang w:bidi="fa-IR"/>
        </w:rPr>
        <w:t>ِ</w:t>
      </w:r>
      <w:r w:rsidRPr="00132E65">
        <w:rPr>
          <w:rtl/>
          <w:lang w:bidi="fa-IR"/>
        </w:rPr>
        <w:t xml:space="preserve">لَايَةِ الْعَهْدِ عَلى </w:t>
      </w:r>
      <w:r>
        <w:rPr>
          <w:rStyle w:val="libFootnotenumChar"/>
          <w:rtl/>
        </w:rPr>
        <w:t>(7)</w:t>
      </w:r>
      <w:r w:rsidRPr="00132E65">
        <w:rPr>
          <w:rtl/>
          <w:lang w:bidi="fa-IR"/>
        </w:rPr>
        <w:t xml:space="preserve"> أَنْ لَا آمُرَ و</w:t>
      </w:r>
      <w:r w:rsidR="009B0834">
        <w:rPr>
          <w:rFonts w:hint="cs"/>
          <w:rtl/>
          <w:lang w:bidi="fa-IR"/>
        </w:rPr>
        <w:t xml:space="preserve">َ </w:t>
      </w:r>
      <w:r w:rsidRPr="00132E65">
        <w:rPr>
          <w:rtl/>
          <w:lang w:bidi="fa-IR"/>
        </w:rPr>
        <w:t>لَا</w:t>
      </w:r>
      <w:r>
        <w:rPr>
          <w:rFonts w:hint="cs"/>
          <w:rtl/>
          <w:lang w:bidi="fa-IR"/>
        </w:rPr>
        <w:t xml:space="preserve"> </w:t>
      </w:r>
      <w:r w:rsidRPr="00132E65">
        <w:rPr>
          <w:rtl/>
          <w:lang w:bidi="fa-IR"/>
        </w:rPr>
        <w:t>أَنْهى ، ولَا</w:t>
      </w:r>
      <w:r>
        <w:rPr>
          <w:rFonts w:hint="cs"/>
          <w:rtl/>
          <w:lang w:bidi="fa-IR"/>
        </w:rPr>
        <w:t xml:space="preserve"> </w:t>
      </w:r>
      <w:r w:rsidRPr="00132E65">
        <w:rPr>
          <w:rtl/>
          <w:lang w:bidi="fa-IR"/>
        </w:rPr>
        <w:t>أُفْتِيَ و</w:t>
      </w:r>
      <w:r w:rsidR="009B0834">
        <w:rPr>
          <w:rFonts w:hint="cs"/>
          <w:rtl/>
          <w:lang w:bidi="fa-IR"/>
        </w:rPr>
        <w:t>َ</w:t>
      </w:r>
      <w:r w:rsidRPr="00132E65">
        <w:rPr>
          <w:rtl/>
          <w:lang w:bidi="fa-IR"/>
        </w:rPr>
        <w:t>لَا</w:t>
      </w:r>
      <w:r>
        <w:rPr>
          <w:rFonts w:hint="cs"/>
          <w:rtl/>
          <w:lang w:bidi="fa-IR"/>
        </w:rPr>
        <w:t xml:space="preserve"> </w:t>
      </w:r>
      <w:r w:rsidRPr="00132E65">
        <w:rPr>
          <w:rtl/>
          <w:lang w:bidi="fa-IR"/>
        </w:rPr>
        <w:t>أَقْضِيَ ، ولَا</w:t>
      </w:r>
      <w:r>
        <w:rPr>
          <w:rFonts w:hint="cs"/>
          <w:rtl/>
          <w:lang w:bidi="fa-IR"/>
        </w:rPr>
        <w:t xml:space="preserve"> </w:t>
      </w:r>
      <w:r w:rsidRPr="00132E65">
        <w:rPr>
          <w:rtl/>
          <w:lang w:bidi="fa-IR"/>
        </w:rPr>
        <w:t xml:space="preserve">أُوَلِّيَ </w:t>
      </w:r>
      <w:r>
        <w:rPr>
          <w:rStyle w:val="libFootnotenumChar"/>
          <w:rtl/>
        </w:rPr>
        <w:t>(8)</w:t>
      </w:r>
      <w:r w:rsidRPr="00132E65">
        <w:rPr>
          <w:rtl/>
          <w:lang w:bidi="fa-IR"/>
        </w:rPr>
        <w:t xml:space="preserve"> و</w:t>
      </w:r>
      <w:r w:rsidR="009B0834">
        <w:rPr>
          <w:rFonts w:hint="cs"/>
          <w:rtl/>
          <w:lang w:bidi="fa-IR"/>
        </w:rPr>
        <w:t>َ</w:t>
      </w:r>
      <w:r w:rsidRPr="00132E65">
        <w:rPr>
          <w:rtl/>
          <w:lang w:bidi="fa-IR"/>
        </w:rPr>
        <w:t>لَا</w:t>
      </w:r>
      <w:r>
        <w:rPr>
          <w:rFonts w:hint="cs"/>
          <w:rtl/>
          <w:lang w:bidi="fa-IR"/>
        </w:rPr>
        <w:t xml:space="preserve"> </w:t>
      </w:r>
      <w:r w:rsidRPr="00132E65">
        <w:rPr>
          <w:rtl/>
          <w:lang w:bidi="fa-IR"/>
        </w:rPr>
        <w:t>أَعْزِلَ ، و</w:t>
      </w:r>
      <w:r w:rsidR="009B0834">
        <w:rPr>
          <w:rFonts w:hint="cs"/>
          <w:rtl/>
          <w:lang w:bidi="fa-IR"/>
        </w:rPr>
        <w:t>َ</w:t>
      </w:r>
      <w:r w:rsidRPr="00132E65">
        <w:rPr>
          <w:rtl/>
          <w:lang w:bidi="fa-IR"/>
        </w:rPr>
        <w:t>لَا</w:t>
      </w:r>
      <w:r>
        <w:rPr>
          <w:rFonts w:hint="cs"/>
          <w:rtl/>
          <w:lang w:bidi="fa-IR"/>
        </w:rPr>
        <w:t xml:space="preserve"> </w:t>
      </w:r>
      <w:r w:rsidRPr="00132E65">
        <w:rPr>
          <w:rtl/>
          <w:lang w:bidi="fa-IR"/>
        </w:rPr>
        <w:t xml:space="preserve">أُغَيِّرَ شَيْئاً مِمَّا هُوَ قَائِمٌ ، وتُعْفِيَنِي </w:t>
      </w:r>
      <w:r>
        <w:rPr>
          <w:rStyle w:val="libFootnotenumChar"/>
          <w:rtl/>
        </w:rPr>
        <w:t>(9)</w:t>
      </w:r>
      <w:r w:rsidRPr="00132E65">
        <w:rPr>
          <w:rtl/>
          <w:lang w:bidi="fa-IR"/>
        </w:rPr>
        <w:t xml:space="preserve"> مِنْ ذلِكَ كُلِّهِ »</w:t>
      </w:r>
      <w:r>
        <w:rPr>
          <w:rtl/>
          <w:lang w:bidi="fa-IR"/>
        </w:rPr>
        <w:t>.</w:t>
      </w:r>
      <w:r w:rsidRPr="00132E65">
        <w:rPr>
          <w:rtl/>
          <w:lang w:bidi="fa-IR"/>
        </w:rPr>
        <w:t xml:space="preserve"> فَأَجَابَهُ الْمَأْمُونُ إِلى ذلِكَ كُلِّهِ.</w:t>
      </w:r>
    </w:p>
    <w:p w:rsidR="000C39D1" w:rsidRPr="00132E65" w:rsidRDefault="000C39D1" w:rsidP="000C39D1">
      <w:pPr>
        <w:pStyle w:val="libNormal"/>
        <w:rPr>
          <w:rtl/>
          <w:lang w:bidi="fa-IR"/>
        </w:rPr>
      </w:pPr>
      <w:r w:rsidRPr="00132E65">
        <w:rPr>
          <w:rtl/>
          <w:lang w:bidi="fa-IR"/>
        </w:rPr>
        <w:t xml:space="preserve">قَالَ : فَحَدَّثَنِي يَاسِرٌ ، قَالَ </w:t>
      </w:r>
      <w:r>
        <w:rPr>
          <w:rStyle w:val="libFootnotenumChar"/>
          <w:rtl/>
        </w:rPr>
        <w:t>(10)</w:t>
      </w:r>
      <w:r w:rsidRPr="00132E65">
        <w:rPr>
          <w:rtl/>
          <w:lang w:bidi="fa-IR"/>
        </w:rPr>
        <w:t xml:space="preserve"> : فَلَمَّا حَضَرَ الْعِيدُ ، بَعَثَ الْمَأْمُونُ إِلَى الرِّضَا </w:t>
      </w:r>
      <w:r w:rsidRPr="00071CF9">
        <w:rPr>
          <w:rStyle w:val="libAlaemChar"/>
          <w:rtl/>
        </w:rPr>
        <w:t>عليه‌السلام</w:t>
      </w:r>
      <w:r w:rsidRPr="00132E65">
        <w:rPr>
          <w:rtl/>
          <w:lang w:bidi="fa-IR"/>
        </w:rPr>
        <w:t xml:space="preserve"> يَسْأَلُهُ أَنْ يَرْكَبَ ، و</w:t>
      </w:r>
      <w:r w:rsidR="009B0834">
        <w:rPr>
          <w:rFonts w:hint="cs"/>
          <w:rtl/>
          <w:lang w:bidi="fa-IR"/>
        </w:rPr>
        <w:t>َ</w:t>
      </w:r>
      <w:r w:rsidRPr="00132E65">
        <w:rPr>
          <w:rtl/>
          <w:lang w:bidi="fa-IR"/>
        </w:rPr>
        <w:t>يَحْضُرَ الْعِيدَ ، و</w:t>
      </w:r>
      <w:r w:rsidR="009B0834">
        <w:rPr>
          <w:rFonts w:hint="cs"/>
          <w:rtl/>
          <w:lang w:bidi="fa-IR"/>
        </w:rPr>
        <w:t>َ</w:t>
      </w:r>
      <w:r w:rsidRPr="00132E65">
        <w:rPr>
          <w:rtl/>
          <w:lang w:bidi="fa-IR"/>
        </w:rPr>
        <w:t>يُصَلِّيَ و</w:t>
      </w:r>
      <w:r w:rsidR="009B0834">
        <w:rPr>
          <w:rFonts w:hint="cs"/>
          <w:rtl/>
          <w:lang w:bidi="fa-IR"/>
        </w:rPr>
        <w:t>َ</w:t>
      </w:r>
      <w:r w:rsidRPr="00132E65">
        <w:rPr>
          <w:rtl/>
          <w:lang w:bidi="fa-IR"/>
        </w:rPr>
        <w:t xml:space="preserve">يَخْطُبَ ، فَبَعَثَ إِلَيْهِ الرِّضَا </w:t>
      </w:r>
      <w:r w:rsidRPr="00071CF9">
        <w:rPr>
          <w:rStyle w:val="libAlaemChar"/>
          <w:rtl/>
        </w:rPr>
        <w:t>عليه‌السلام</w:t>
      </w:r>
      <w:r w:rsidRPr="00132E65">
        <w:rPr>
          <w:rtl/>
          <w:lang w:bidi="fa-IR"/>
        </w:rPr>
        <w:t xml:space="preserve"> : « قَدْ عَلِمْتَ مَا كَانَ بَيْنِي وبَيْنَكَ مِنَ الشُّرُوطِ فِي دُخُولِ هذَا الْأَمْرِ »</w:t>
      </w:r>
      <w:r>
        <w:rPr>
          <w:rtl/>
          <w:lang w:bidi="fa-IR"/>
        </w:rPr>
        <w:t>.</w:t>
      </w:r>
      <w:r w:rsidRPr="00132E65">
        <w:rPr>
          <w:rtl/>
          <w:lang w:bidi="fa-IR"/>
        </w:rPr>
        <w:t xml:space="preserve"> فَبَعَثَ إِلَيْهِ الْمَأْمُونُ : إِنَّمَا أُرِيدُ بِذلِكَ أَنْ تَطْمَئِنَّ </w:t>
      </w:r>
      <w:r>
        <w:rPr>
          <w:rStyle w:val="libFootnotenumChar"/>
          <w:rtl/>
        </w:rPr>
        <w:t>(11)</w:t>
      </w:r>
      <w:r w:rsidRPr="00132E65">
        <w:rPr>
          <w:rtl/>
          <w:lang w:bidi="fa-IR"/>
        </w:rPr>
        <w:t xml:space="preserve"> قُلُوبُ النَّاسِ ، و</w:t>
      </w:r>
      <w:r w:rsidR="009B0834">
        <w:rPr>
          <w:rFonts w:hint="cs"/>
          <w:rtl/>
          <w:lang w:bidi="fa-IR"/>
        </w:rPr>
        <w:t xml:space="preserve">َ </w:t>
      </w:r>
      <w:r w:rsidRPr="00132E65">
        <w:rPr>
          <w:rtl/>
          <w:lang w:bidi="fa-IR"/>
        </w:rPr>
        <w:t xml:space="preserve">يَعْرِفُوا فَضْلَكَ </w:t>
      </w:r>
      <w:r>
        <w:rPr>
          <w:rStyle w:val="libFootnotenumChar"/>
          <w:rtl/>
        </w:rPr>
        <w:t>(12)</w:t>
      </w:r>
      <w:r w:rsidRPr="00132E65">
        <w:rPr>
          <w:rtl/>
          <w:lang w:bidi="fa-IR"/>
        </w:rPr>
        <w:t xml:space="preserve"> ، فَلَمْ يَزَلْ </w:t>
      </w:r>
      <w:r w:rsidRPr="00071CF9">
        <w:rPr>
          <w:rStyle w:val="libAlaemChar"/>
          <w:rtl/>
        </w:rPr>
        <w:t>عليه‌السلام</w:t>
      </w:r>
      <w:r w:rsidRPr="00132E65">
        <w:rPr>
          <w:rtl/>
          <w:lang w:bidi="fa-IR"/>
        </w:rPr>
        <w:t xml:space="preserve"> يُرَادُّهُ الْكَلَامَ فِي ذلِكَ ، فَأَلَحَّ عَلَيْهِ ، فَقَالَ : « يَا أَمِيرَ الْمُؤْمِنِينَ ، إِنْ أَعْفَيْتَنِي مِنْ ذلِكَ فَهُوَ أَحَبُّ إِلَيَّ ، وإِنْ لَمْ تُعْفِنِي خَرَجْتُ كَمَا خَرَجَ رَسُولُ اللهِ </w:t>
      </w:r>
      <w:r w:rsidRPr="0093484F">
        <w:rPr>
          <w:rStyle w:val="libAlaemChar"/>
          <w:rFonts w:eastAsiaTheme="minorHAnsi"/>
          <w:rtl/>
        </w:rPr>
        <w:t>صلى‌الله‌عليه‌وآله</w:t>
      </w:r>
      <w:r w:rsidRPr="00132E65">
        <w:rPr>
          <w:rtl/>
          <w:lang w:bidi="fa-IR"/>
        </w:rPr>
        <w:t xml:space="preserve"> و</w:t>
      </w:r>
      <w:r w:rsidR="009B0834">
        <w:rPr>
          <w:rFonts w:hint="cs"/>
          <w:rtl/>
          <w:lang w:bidi="fa-IR"/>
        </w:rPr>
        <w:t>َ</w:t>
      </w:r>
      <w:r w:rsidRPr="00132E65">
        <w:rPr>
          <w:rtl/>
          <w:lang w:bidi="fa-IR"/>
        </w:rPr>
        <w:t xml:space="preserve">أَمِيرُ الْمُؤْمِنِينَ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فَقَالَ الْمَأْمُونُ : اخْرُجْ كَيْفَ شِئْتَ ، و</w:t>
      </w:r>
      <w:r w:rsidR="009B0834">
        <w:rPr>
          <w:rFonts w:hint="cs"/>
          <w:rtl/>
          <w:lang w:bidi="fa-IR"/>
        </w:rPr>
        <w:t>َ</w:t>
      </w:r>
      <w:r w:rsidRPr="00132E65">
        <w:rPr>
          <w:rtl/>
          <w:lang w:bidi="fa-IR"/>
        </w:rPr>
        <w:t xml:space="preserve">أَمَرَ الْمَأْمُونُ الْقُوَّادَ والنَّاسَ أَنْ يُبَكِّرُوا </w:t>
      </w:r>
      <w:r w:rsidRPr="00F543F1">
        <w:rPr>
          <w:rStyle w:val="libFootnotenumChar"/>
          <w:rtl/>
        </w:rPr>
        <w:t>(13)</w:t>
      </w:r>
      <w:r w:rsidRPr="00132E65">
        <w:rPr>
          <w:rtl/>
          <w:lang w:bidi="fa-IR"/>
        </w:rPr>
        <w:t xml:space="preserve"> ‌</w:t>
      </w:r>
      <w:r w:rsidR="009B0834">
        <w:rPr>
          <w:rFonts w:hint="cs"/>
          <w:rtl/>
          <w:lang w:bidi="fa-IR"/>
        </w:rPr>
        <w:t>......</w:t>
      </w:r>
      <w:r w:rsidR="009B0834">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لفظة « قم » في العربي تشدّد كما في « ب »</w:t>
      </w:r>
      <w:r>
        <w:rPr>
          <w:rtl/>
        </w:rPr>
        <w:t>.</w:t>
      </w:r>
    </w:p>
    <w:p w:rsidR="000C39D1" w:rsidRPr="00132E65" w:rsidRDefault="000C39D1" w:rsidP="000C39D1">
      <w:pPr>
        <w:pStyle w:val="libFootnote0"/>
        <w:rPr>
          <w:rtl/>
          <w:lang w:bidi="fa-IR"/>
        </w:rPr>
      </w:pPr>
      <w:r>
        <w:rPr>
          <w:rtl/>
        </w:rPr>
        <w:t>(2).</w:t>
      </w:r>
      <w:r w:rsidRPr="00132E65">
        <w:rPr>
          <w:rtl/>
        </w:rPr>
        <w:t xml:space="preserve"> غاية لقوله : « فخرج </w:t>
      </w:r>
      <w:r w:rsidRPr="009B0834">
        <w:rPr>
          <w:rStyle w:val="libFootnoteAlaemChar"/>
          <w:rtl/>
        </w:rPr>
        <w:t>عليه‌السلام</w:t>
      </w:r>
      <w:r w:rsidRPr="00132E65">
        <w:rPr>
          <w:rtl/>
        </w:rPr>
        <w:t xml:space="preserve"> »</w:t>
      </w:r>
      <w:r>
        <w:rPr>
          <w:rtl/>
        </w:rPr>
        <w:t>.</w:t>
      </w:r>
      <w:r w:rsidRPr="00132E65">
        <w:rPr>
          <w:rtl/>
        </w:rPr>
        <w:t xml:space="preserve"> وقوله : « فكتب إليه</w:t>
      </w:r>
      <w:r>
        <w:rPr>
          <w:rtl/>
        </w:rPr>
        <w:t xml:space="preserve"> - </w:t>
      </w:r>
      <w:r w:rsidRPr="00132E65">
        <w:rPr>
          <w:rtl/>
        </w:rPr>
        <w:t>إلى</w:t>
      </w:r>
      <w:r>
        <w:rPr>
          <w:rtl/>
        </w:rPr>
        <w:t xml:space="preserve"> - </w:t>
      </w:r>
      <w:r w:rsidRPr="00132E65">
        <w:rPr>
          <w:rtl/>
        </w:rPr>
        <w:t>فارس » يشبه المعترضة.</w:t>
      </w:r>
    </w:p>
    <w:p w:rsidR="000C39D1" w:rsidRPr="00132E65" w:rsidRDefault="000C39D1" w:rsidP="009B0834">
      <w:pPr>
        <w:pStyle w:val="libFootnote0"/>
        <w:rPr>
          <w:rtl/>
          <w:lang w:bidi="fa-IR"/>
        </w:rPr>
      </w:pPr>
      <w:r>
        <w:rPr>
          <w:rtl/>
        </w:rPr>
        <w:t>(3).</w:t>
      </w:r>
      <w:r w:rsidRPr="00132E65">
        <w:rPr>
          <w:rtl/>
        </w:rPr>
        <w:t xml:space="preserve"> « يتقلّد الأمر » ، أي يلزمه نفسه ويحتمله. راجع : </w:t>
      </w:r>
      <w:r w:rsidRPr="00482F6E">
        <w:rPr>
          <w:rtl/>
        </w:rPr>
        <w:t xml:space="preserve">ترتيب </w:t>
      </w:r>
      <w:r w:rsidRPr="009B0834">
        <w:rPr>
          <w:rStyle w:val="libFootnoteBoldChar"/>
          <w:rtl/>
        </w:rPr>
        <w:t>كتاب العين</w:t>
      </w:r>
      <w:r w:rsidRPr="00132E65">
        <w:rPr>
          <w:rtl/>
        </w:rPr>
        <w:t xml:space="preserve"> ، ج 3 ، ص 1516 ؛ </w:t>
      </w:r>
      <w:r w:rsidRPr="009D1ACE">
        <w:rPr>
          <w:rStyle w:val="libFootnoteBoldChar"/>
          <w:rtl/>
        </w:rPr>
        <w:t>لسان العرب</w:t>
      </w:r>
      <w:r w:rsidRPr="00132E65">
        <w:rPr>
          <w:rtl/>
        </w:rPr>
        <w:t xml:space="preserve"> ، ج 3 ، ص 367 ( قلد )</w:t>
      </w:r>
      <w:r>
        <w:rPr>
          <w:rtl/>
        </w:rPr>
        <w:t>.</w:t>
      </w:r>
      <w:r w:rsidR="009B0834">
        <w:rPr>
          <w:rFonts w:hint="cs"/>
          <w:rtl/>
        </w:rPr>
        <w:t xml:space="preserve">                              </w:t>
      </w:r>
      <w:r w:rsidR="0006034E">
        <w:rPr>
          <w:rFonts w:hint="cs"/>
          <w:rtl/>
        </w:rPr>
        <w:t xml:space="preserve">        </w:t>
      </w:r>
      <w:r w:rsidR="009B0834">
        <w:rPr>
          <w:rFonts w:hint="cs"/>
          <w:rtl/>
        </w:rPr>
        <w:t xml:space="preserve">     </w:t>
      </w:r>
      <w:r>
        <w:rPr>
          <w:rtl/>
        </w:rPr>
        <w:t>(4).</w:t>
      </w:r>
      <w:r w:rsidRPr="00132E65">
        <w:rPr>
          <w:rtl/>
        </w:rPr>
        <w:t xml:space="preserve"> في « ج » : « فقال »</w:t>
      </w:r>
      <w:r>
        <w:rPr>
          <w:rtl/>
        </w:rPr>
        <w:t>.</w:t>
      </w:r>
    </w:p>
    <w:p w:rsidR="000C39D1" w:rsidRPr="00132E65" w:rsidRDefault="000C39D1" w:rsidP="000C39D1">
      <w:pPr>
        <w:pStyle w:val="libFootnote0"/>
        <w:rPr>
          <w:rtl/>
          <w:lang w:bidi="fa-IR"/>
        </w:rPr>
      </w:pPr>
      <w:r>
        <w:rPr>
          <w:rtl/>
        </w:rPr>
        <w:t>(5).</w:t>
      </w:r>
      <w:r w:rsidRPr="00132E65">
        <w:rPr>
          <w:rtl/>
        </w:rPr>
        <w:t xml:space="preserve"> في « ب ، ج ، ض ، ف ، بح ، بر ، بس » و</w:t>
      </w:r>
      <w:r w:rsidRPr="009D1ACE">
        <w:rPr>
          <w:rStyle w:val="libFootnoteBoldChar"/>
          <w:rtl/>
        </w:rPr>
        <w:t>الوافي</w:t>
      </w:r>
      <w:r w:rsidRPr="00132E65">
        <w:rPr>
          <w:rtl/>
        </w:rPr>
        <w:t xml:space="preserve"> </w:t>
      </w:r>
      <w:r>
        <w:rPr>
          <w:rtl/>
        </w:rPr>
        <w:t xml:space="preserve">: - </w:t>
      </w:r>
      <w:r w:rsidRPr="00132E65">
        <w:rPr>
          <w:rtl/>
        </w:rPr>
        <w:t>« له »</w:t>
      </w:r>
      <w:r>
        <w:rPr>
          <w:rtl/>
        </w:rPr>
        <w:t>.</w:t>
      </w:r>
      <w:r w:rsidRPr="00132E65">
        <w:rPr>
          <w:rtl/>
        </w:rPr>
        <w:t xml:space="preserve"> وفي « بف » : « له المأمون »</w:t>
      </w:r>
      <w:r>
        <w:rPr>
          <w:rtl/>
        </w:rPr>
        <w:t>.</w:t>
      </w:r>
    </w:p>
    <w:tbl>
      <w:tblPr>
        <w:tblStyle w:val="TableGrid"/>
        <w:bidiVisual/>
        <w:tblW w:w="0" w:type="auto"/>
        <w:tblLook w:val="04A0" w:firstRow="1" w:lastRow="0" w:firstColumn="1" w:lastColumn="0" w:noHBand="0" w:noVBand="1"/>
      </w:tblPr>
      <w:tblGrid>
        <w:gridCol w:w="4261"/>
        <w:gridCol w:w="4262"/>
      </w:tblGrid>
      <w:tr w:rsidR="009B0834" w:rsidTr="009B0834">
        <w:tc>
          <w:tcPr>
            <w:tcW w:w="4261" w:type="dxa"/>
          </w:tcPr>
          <w:p w:rsidR="009B0834" w:rsidRDefault="009B0834" w:rsidP="000C39D1">
            <w:pPr>
              <w:pStyle w:val="libFootnote0"/>
              <w:rPr>
                <w:rtl/>
              </w:rPr>
            </w:pPr>
            <w:r>
              <w:rPr>
                <w:rtl/>
              </w:rPr>
              <w:t>(6).</w:t>
            </w:r>
            <w:r w:rsidRPr="00132E65">
              <w:rPr>
                <w:rtl/>
              </w:rPr>
              <w:t xml:space="preserve"> في « ف » :</w:t>
            </w:r>
            <w:r>
              <w:rPr>
                <w:rtl/>
              </w:rPr>
              <w:t xml:space="preserve"> + </w:t>
            </w:r>
            <w:r w:rsidRPr="00132E65">
              <w:rPr>
                <w:rtl/>
              </w:rPr>
              <w:t>« عن »</w:t>
            </w:r>
            <w:r>
              <w:rPr>
                <w:rtl/>
              </w:rPr>
              <w:t>.</w:t>
            </w:r>
          </w:p>
        </w:tc>
        <w:tc>
          <w:tcPr>
            <w:tcW w:w="4262" w:type="dxa"/>
          </w:tcPr>
          <w:p w:rsidR="009B0834" w:rsidRDefault="009B0834" w:rsidP="000C39D1">
            <w:pPr>
              <w:pStyle w:val="libFootnote0"/>
              <w:rPr>
                <w:rtl/>
              </w:rPr>
            </w:pPr>
            <w:r>
              <w:rPr>
                <w:rtl/>
              </w:rPr>
              <w:t>(7).</w:t>
            </w:r>
            <w:r w:rsidRPr="00132E65">
              <w:rPr>
                <w:rtl/>
              </w:rPr>
              <w:t xml:space="preserve"> في « ج » </w:t>
            </w:r>
            <w:r>
              <w:rPr>
                <w:rtl/>
              </w:rPr>
              <w:t xml:space="preserve">: - </w:t>
            </w:r>
            <w:r w:rsidRPr="00132E65">
              <w:rPr>
                <w:rtl/>
              </w:rPr>
              <w:t>« على »</w:t>
            </w:r>
            <w:r>
              <w:rPr>
                <w:rtl/>
              </w:rPr>
              <w:t>.</w:t>
            </w:r>
          </w:p>
        </w:tc>
      </w:tr>
    </w:tbl>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الوافي</w:t>
      </w:r>
      <w:r w:rsidRPr="00132E65">
        <w:rPr>
          <w:rtl/>
        </w:rPr>
        <w:t xml:space="preserve"> : « ولا ا</w:t>
      </w:r>
      <w:r w:rsidR="004F580C">
        <w:rPr>
          <w:rFonts w:hint="cs"/>
          <w:rtl/>
        </w:rPr>
        <w:t>ُ</w:t>
      </w:r>
      <w:r w:rsidRPr="00132E65">
        <w:rPr>
          <w:rtl/>
        </w:rPr>
        <w:t>ولّي ، أي لا أجعل أحداً والياً على قوم ؛ من ولّيتُه الأمر ، أو أوليته »</w:t>
      </w:r>
      <w:r>
        <w:rPr>
          <w:rtl/>
        </w:rPr>
        <w:t>.</w:t>
      </w:r>
    </w:p>
    <w:tbl>
      <w:tblPr>
        <w:tblStyle w:val="TableGrid"/>
        <w:bidiVisual/>
        <w:tblW w:w="0" w:type="auto"/>
        <w:tblLook w:val="04A0" w:firstRow="1" w:lastRow="0" w:firstColumn="1" w:lastColumn="0" w:noHBand="0" w:noVBand="1"/>
      </w:tblPr>
      <w:tblGrid>
        <w:gridCol w:w="4261"/>
        <w:gridCol w:w="4262"/>
      </w:tblGrid>
      <w:tr w:rsidR="004F580C" w:rsidTr="004F580C">
        <w:tc>
          <w:tcPr>
            <w:tcW w:w="4261" w:type="dxa"/>
          </w:tcPr>
          <w:p w:rsidR="004F580C" w:rsidRDefault="004F580C" w:rsidP="000C39D1">
            <w:pPr>
              <w:pStyle w:val="libFootnote0"/>
              <w:rPr>
                <w:rtl/>
              </w:rPr>
            </w:pPr>
            <w:r>
              <w:rPr>
                <w:rtl/>
              </w:rPr>
              <w:t>(9).</w:t>
            </w:r>
            <w:r w:rsidRPr="00132E65">
              <w:rPr>
                <w:rtl/>
              </w:rPr>
              <w:t xml:space="preserve"> في « ض » : « فتعفيني »</w:t>
            </w:r>
            <w:r>
              <w:rPr>
                <w:rtl/>
              </w:rPr>
              <w:t>.</w:t>
            </w:r>
          </w:p>
        </w:tc>
        <w:tc>
          <w:tcPr>
            <w:tcW w:w="4262" w:type="dxa"/>
          </w:tcPr>
          <w:p w:rsidR="004F580C" w:rsidRDefault="004F580C" w:rsidP="000C39D1">
            <w:pPr>
              <w:pStyle w:val="libFootnote0"/>
              <w:rPr>
                <w:rtl/>
              </w:rPr>
            </w:pPr>
            <w:r>
              <w:rPr>
                <w:rtl/>
              </w:rPr>
              <w:t>(10).</w:t>
            </w:r>
            <w:r w:rsidRPr="00132E65">
              <w:rPr>
                <w:rtl/>
              </w:rPr>
              <w:t xml:space="preserve"> في « بح » </w:t>
            </w:r>
            <w:r>
              <w:rPr>
                <w:rtl/>
              </w:rPr>
              <w:t xml:space="preserve">: - </w:t>
            </w:r>
            <w:r w:rsidRPr="00132E65">
              <w:rPr>
                <w:rtl/>
              </w:rPr>
              <w:t>« قال »</w:t>
            </w:r>
            <w:r>
              <w:rPr>
                <w:rtl/>
              </w:rPr>
              <w:t>.</w:t>
            </w:r>
          </w:p>
        </w:tc>
      </w:tr>
      <w:tr w:rsidR="004F580C" w:rsidTr="004F580C">
        <w:tc>
          <w:tcPr>
            <w:tcW w:w="4261" w:type="dxa"/>
          </w:tcPr>
          <w:p w:rsidR="004F580C" w:rsidRDefault="004F580C" w:rsidP="000C39D1">
            <w:pPr>
              <w:pStyle w:val="libFootnote0"/>
              <w:rPr>
                <w:rtl/>
              </w:rPr>
            </w:pPr>
            <w:r>
              <w:rPr>
                <w:rtl/>
              </w:rPr>
              <w:t>(11).</w:t>
            </w:r>
            <w:r w:rsidRPr="00132E65">
              <w:rPr>
                <w:rtl/>
              </w:rPr>
              <w:t xml:space="preserve"> في « ف » : « يطمئنّ »</w:t>
            </w:r>
            <w:r>
              <w:rPr>
                <w:rtl/>
              </w:rPr>
              <w:t>.</w:t>
            </w:r>
          </w:p>
        </w:tc>
        <w:tc>
          <w:tcPr>
            <w:tcW w:w="4262" w:type="dxa"/>
          </w:tcPr>
          <w:p w:rsidR="004F580C" w:rsidRDefault="004F580C" w:rsidP="000C39D1">
            <w:pPr>
              <w:pStyle w:val="libFootnote0"/>
              <w:rPr>
                <w:rtl/>
              </w:rPr>
            </w:pPr>
            <w:r>
              <w:rPr>
                <w:rtl/>
              </w:rPr>
              <w:t>(12).</w:t>
            </w:r>
            <w:r w:rsidRPr="00132E65">
              <w:rPr>
                <w:rtl/>
              </w:rPr>
              <w:t xml:space="preserve"> في « بح » : « بفضلك »</w:t>
            </w:r>
            <w:r>
              <w:rPr>
                <w:rtl/>
              </w:rPr>
              <w:t>.</w:t>
            </w:r>
          </w:p>
        </w:tc>
      </w:tr>
    </w:tbl>
    <w:p w:rsidR="000C39D1" w:rsidRPr="00132E65" w:rsidRDefault="000C39D1" w:rsidP="000C39D1">
      <w:pPr>
        <w:pStyle w:val="libFootnote0"/>
        <w:rPr>
          <w:rtl/>
          <w:lang w:bidi="fa-IR"/>
        </w:rPr>
      </w:pPr>
      <w:r>
        <w:rPr>
          <w:rtl/>
        </w:rPr>
        <w:t>(13)</w:t>
      </w:r>
      <w:r w:rsidRPr="00132E65">
        <w:rPr>
          <w:rtl/>
        </w:rPr>
        <w:t xml:space="preserve"> في « ب ، ج ، ض ، ف ، بح ، بر ، بس ، بف » و</w:t>
      </w:r>
      <w:r w:rsidRPr="009D1ACE">
        <w:rPr>
          <w:rStyle w:val="libFootnoteBoldChar"/>
          <w:rtl/>
        </w:rPr>
        <w:t>مرآة العقول</w:t>
      </w:r>
      <w:r w:rsidRPr="00132E65">
        <w:rPr>
          <w:rtl/>
        </w:rPr>
        <w:t xml:space="preserve"> : « يركبوا »</w:t>
      </w:r>
      <w:r>
        <w:rPr>
          <w:rtl/>
        </w:rPr>
        <w:t>.</w:t>
      </w:r>
      <w:r w:rsidRPr="00132E65">
        <w:rPr>
          <w:rtl/>
        </w:rPr>
        <w:t xml:space="preserve"> وقوله : « يبكِّروا » من بكر على الشي‌ء وإليه‌</w:t>
      </w:r>
      <w:r w:rsidR="004F580C">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إِلى </w:t>
      </w:r>
      <w:r>
        <w:rPr>
          <w:rStyle w:val="libFootnotenumChar"/>
          <w:rtl/>
        </w:rPr>
        <w:t>(1)</w:t>
      </w:r>
      <w:r w:rsidRPr="00132E65">
        <w:rPr>
          <w:rtl/>
          <w:lang w:bidi="fa-IR"/>
        </w:rPr>
        <w:t xml:space="preserve"> بَابِ أَبِي الْحَسَنِ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(2)</w:t>
      </w:r>
      <w:r w:rsidRPr="00132E65">
        <w:rPr>
          <w:rtl/>
          <w:lang w:bidi="fa-IR"/>
        </w:rPr>
        <w:t xml:space="preserve"> : فَحَدَّثَنِي يَاسِرٌ الْخَادِمُ : أَنَّهُ قَعَدَ النَّاسُ لِأَبِي الْحَسَنِ </w:t>
      </w:r>
      <w:r w:rsidRPr="00071CF9">
        <w:rPr>
          <w:rStyle w:val="libAlaemChar"/>
          <w:rtl/>
        </w:rPr>
        <w:t>عليه‌السلام</w:t>
      </w:r>
      <w:r w:rsidRPr="00132E65">
        <w:rPr>
          <w:rtl/>
          <w:lang w:bidi="fa-IR"/>
        </w:rPr>
        <w:t xml:space="preserve"> فِي الطُّرُقَاتِ وَالسُّطُوحِ</w:t>
      </w:r>
      <w:r>
        <w:rPr>
          <w:rtl/>
          <w:lang w:bidi="fa-IR"/>
        </w:rPr>
        <w:t xml:space="preserve"> - </w:t>
      </w:r>
      <w:r w:rsidRPr="00132E65">
        <w:rPr>
          <w:rtl/>
          <w:lang w:bidi="fa-IR"/>
        </w:rPr>
        <w:t>الرِّجَالُ ، و</w:t>
      </w:r>
      <w:r w:rsidR="004F580C">
        <w:rPr>
          <w:rFonts w:hint="cs"/>
          <w:rtl/>
          <w:lang w:bidi="fa-IR"/>
        </w:rPr>
        <w:t>َ</w:t>
      </w:r>
      <w:r w:rsidRPr="00132E65">
        <w:rPr>
          <w:rtl/>
          <w:lang w:bidi="fa-IR"/>
        </w:rPr>
        <w:t>النِّسَاءُ ، و</w:t>
      </w:r>
      <w:r w:rsidR="004F580C">
        <w:rPr>
          <w:rFonts w:hint="cs"/>
          <w:rtl/>
          <w:lang w:bidi="fa-IR"/>
        </w:rPr>
        <w:t>َ</w:t>
      </w:r>
      <w:r w:rsidRPr="00132E65">
        <w:rPr>
          <w:rtl/>
          <w:lang w:bidi="fa-IR"/>
        </w:rPr>
        <w:t>الصِّبْيَانُ</w:t>
      </w:r>
      <w:r>
        <w:rPr>
          <w:rtl/>
          <w:lang w:bidi="fa-IR"/>
        </w:rPr>
        <w:t xml:space="preserve"> - </w:t>
      </w:r>
      <w:r w:rsidRPr="00132E65">
        <w:rPr>
          <w:rtl/>
          <w:lang w:bidi="fa-IR"/>
        </w:rPr>
        <w:t>و</w:t>
      </w:r>
      <w:r w:rsidR="004F580C">
        <w:rPr>
          <w:rFonts w:hint="cs"/>
          <w:rtl/>
          <w:lang w:bidi="fa-IR"/>
        </w:rPr>
        <w:t>َ</w:t>
      </w:r>
      <w:r w:rsidRPr="00132E65">
        <w:rPr>
          <w:rtl/>
          <w:lang w:bidi="fa-IR"/>
        </w:rPr>
        <w:t>اجْتَمَعَ الْقُوَّادُ و</w:t>
      </w:r>
      <w:r w:rsidR="004F580C">
        <w:rPr>
          <w:rFonts w:hint="cs"/>
          <w:rtl/>
          <w:lang w:bidi="fa-IR"/>
        </w:rPr>
        <w:t>َ</w:t>
      </w:r>
      <w:r w:rsidRPr="00132E65">
        <w:rPr>
          <w:rtl/>
          <w:lang w:bidi="fa-IR"/>
        </w:rPr>
        <w:t xml:space="preserve">الْجُنْدُ عَلى بَابِ أَبِي الْحَسَنِ </w:t>
      </w:r>
      <w:r w:rsidRPr="00071CF9">
        <w:rPr>
          <w:rStyle w:val="libAlaemChar"/>
          <w:rtl/>
        </w:rPr>
        <w:t>عليه‌السلام</w:t>
      </w:r>
      <w:r w:rsidRPr="00132E65">
        <w:rPr>
          <w:rtl/>
          <w:lang w:bidi="fa-IR"/>
        </w:rPr>
        <w:t xml:space="preserve"> ، فَلَمَّا طَلَعَتِ الشَّمْسُ ، قَامَ </w:t>
      </w:r>
      <w:r w:rsidRPr="00071CF9">
        <w:rPr>
          <w:rStyle w:val="libAlaemChar"/>
          <w:rtl/>
        </w:rPr>
        <w:t>عليه‌السلام</w:t>
      </w:r>
      <w:r w:rsidRPr="00132E65">
        <w:rPr>
          <w:rtl/>
          <w:lang w:bidi="fa-IR"/>
        </w:rPr>
        <w:t xml:space="preserve"> فَاغْتَسَلَ و</w:t>
      </w:r>
      <w:r w:rsidR="004F580C">
        <w:rPr>
          <w:rFonts w:hint="cs"/>
          <w:rtl/>
          <w:lang w:bidi="fa-IR"/>
        </w:rPr>
        <w:t>َ</w:t>
      </w:r>
      <w:r w:rsidRPr="00132E65">
        <w:rPr>
          <w:rtl/>
          <w:lang w:bidi="fa-IR"/>
        </w:rPr>
        <w:t xml:space="preserve">تَعَمَّمَ بِعِمَامَةٍ بَيْضَاءَ مِنْ قُطْنٍ </w:t>
      </w:r>
      <w:r>
        <w:rPr>
          <w:rStyle w:val="libFootnotenumChar"/>
          <w:rtl/>
        </w:rPr>
        <w:t>(3)</w:t>
      </w:r>
      <w:r w:rsidRPr="00132E65">
        <w:rPr>
          <w:rtl/>
          <w:lang w:bidi="fa-IR"/>
        </w:rPr>
        <w:t xml:space="preserve"> ، أَلْقى طَرَفاً مِنْهَا عَلى صَدْرِهِ ، و</w:t>
      </w:r>
      <w:r w:rsidR="004F580C">
        <w:rPr>
          <w:rFonts w:hint="cs"/>
          <w:rtl/>
          <w:lang w:bidi="fa-IR"/>
        </w:rPr>
        <w:t>َ</w:t>
      </w:r>
      <w:r w:rsidRPr="00132E65">
        <w:rPr>
          <w:rtl/>
          <w:lang w:bidi="fa-IR"/>
        </w:rPr>
        <w:t>طَرَفاً بَيْنَ كَتِفَيْهِ ، و</w:t>
      </w:r>
      <w:r w:rsidR="004F580C">
        <w:rPr>
          <w:rFonts w:hint="cs"/>
          <w:rtl/>
          <w:lang w:bidi="fa-IR"/>
        </w:rPr>
        <w:t>َ</w:t>
      </w:r>
      <w:r w:rsidRPr="00132E65">
        <w:rPr>
          <w:rtl/>
          <w:lang w:bidi="fa-IR"/>
        </w:rPr>
        <w:t xml:space="preserve">تَشَمَّرَ </w:t>
      </w:r>
      <w:r>
        <w:rPr>
          <w:rStyle w:val="libFootnotenumChar"/>
          <w:rtl/>
        </w:rPr>
        <w:t>(4)</w:t>
      </w:r>
      <w:r w:rsidRPr="00132E65">
        <w:rPr>
          <w:rtl/>
          <w:lang w:bidi="fa-IR"/>
        </w:rPr>
        <w:t xml:space="preserve"> ، ثُمَّ قَالَ لِجَمِيعِ مَوَالِيهِ :</w:t>
      </w:r>
      <w:r>
        <w:rPr>
          <w:rFonts w:hint="cs"/>
          <w:rtl/>
          <w:lang w:bidi="fa-IR"/>
        </w:rPr>
        <w:t xml:space="preserve"> </w:t>
      </w:r>
      <w:r w:rsidRPr="00132E65">
        <w:rPr>
          <w:rtl/>
          <w:lang w:bidi="fa-IR"/>
        </w:rPr>
        <w:t>« افْعَلُوا مِثْلَ مَا فَعَلْتُ »</w:t>
      </w:r>
      <w:r>
        <w:rPr>
          <w:rtl/>
          <w:lang w:bidi="fa-IR"/>
        </w:rPr>
        <w:t>.</w:t>
      </w:r>
      <w:r w:rsidRPr="00132E65">
        <w:rPr>
          <w:rtl/>
          <w:lang w:bidi="fa-IR"/>
        </w:rPr>
        <w:t xml:space="preserve"> ثُمَّ أَخَذَ بِيَدِهِ عُكَّازاً </w:t>
      </w:r>
      <w:r>
        <w:rPr>
          <w:rStyle w:val="libFootnotenumChar"/>
          <w:rtl/>
        </w:rPr>
        <w:t>(5)</w:t>
      </w:r>
      <w:r w:rsidRPr="00132E65">
        <w:rPr>
          <w:rtl/>
          <w:lang w:bidi="fa-IR"/>
        </w:rPr>
        <w:t xml:space="preserve"> ، ثُمَّ خَرَجَ</w:t>
      </w:r>
      <w:r>
        <w:rPr>
          <w:rtl/>
          <w:lang w:bidi="fa-IR"/>
        </w:rPr>
        <w:t xml:space="preserve"> - </w:t>
      </w:r>
      <w:r w:rsidRPr="00132E65">
        <w:rPr>
          <w:rtl/>
          <w:lang w:bidi="fa-IR"/>
        </w:rPr>
        <w:t>و</w:t>
      </w:r>
      <w:r w:rsidR="004F580C">
        <w:rPr>
          <w:rFonts w:hint="cs"/>
          <w:rtl/>
          <w:lang w:bidi="fa-IR"/>
        </w:rPr>
        <w:t>َ</w:t>
      </w:r>
      <w:r w:rsidRPr="00132E65">
        <w:rPr>
          <w:rtl/>
          <w:lang w:bidi="fa-IR"/>
        </w:rPr>
        <w:t>نَحْنُ بَيْنَ يَدَيْهِ و</w:t>
      </w:r>
      <w:r w:rsidR="004F580C">
        <w:rPr>
          <w:rFonts w:hint="cs"/>
          <w:rtl/>
          <w:lang w:bidi="fa-IR"/>
        </w:rPr>
        <w:t xml:space="preserve">َ </w:t>
      </w:r>
      <w:r w:rsidRPr="00132E65">
        <w:rPr>
          <w:rtl/>
          <w:lang w:bidi="fa-IR"/>
        </w:rPr>
        <w:t xml:space="preserve">هُوَ حَافٍ قَدْ </w:t>
      </w:r>
      <w:r>
        <w:rPr>
          <w:rStyle w:val="libFootnotenumChar"/>
          <w:rtl/>
        </w:rPr>
        <w:t>(6)</w:t>
      </w:r>
      <w:r w:rsidRPr="00132E65">
        <w:rPr>
          <w:rtl/>
          <w:lang w:bidi="fa-IR"/>
        </w:rPr>
        <w:t xml:space="preserve"> شَمَّرَ سَرَاوِيلَهُ </w:t>
      </w:r>
      <w:r>
        <w:rPr>
          <w:rStyle w:val="libFootnotenumChar"/>
          <w:rtl/>
        </w:rPr>
        <w:t>(7)</w:t>
      </w:r>
      <w:r w:rsidRPr="00132E65">
        <w:rPr>
          <w:rtl/>
          <w:lang w:bidi="fa-IR"/>
        </w:rPr>
        <w:t xml:space="preserve"> إِلى نِصْفِ السَّاقِ ، و</w:t>
      </w:r>
      <w:r w:rsidR="004F580C">
        <w:rPr>
          <w:rFonts w:hint="cs"/>
          <w:rtl/>
          <w:lang w:bidi="fa-IR"/>
        </w:rPr>
        <w:t>َ</w:t>
      </w:r>
      <w:r w:rsidRPr="00132E65">
        <w:rPr>
          <w:rtl/>
          <w:lang w:bidi="fa-IR"/>
        </w:rPr>
        <w:t>عَلَيْهِ ثِيَابٌ مُشَمَّرَةٌ</w:t>
      </w:r>
      <w:r>
        <w:rPr>
          <w:rtl/>
          <w:lang w:bidi="fa-IR"/>
        </w:rPr>
        <w:t xml:space="preserve"> - </w:t>
      </w:r>
      <w:r w:rsidRPr="00132E65">
        <w:rPr>
          <w:rtl/>
          <w:lang w:bidi="fa-IR"/>
        </w:rPr>
        <w:t>فَلَمَّا مَشى و</w:t>
      </w:r>
      <w:r w:rsidR="004F580C">
        <w:rPr>
          <w:rFonts w:hint="cs"/>
          <w:rtl/>
          <w:lang w:bidi="fa-IR"/>
        </w:rPr>
        <w:t>َ</w:t>
      </w:r>
      <w:r w:rsidRPr="00132E65">
        <w:rPr>
          <w:rtl/>
          <w:lang w:bidi="fa-IR"/>
        </w:rPr>
        <w:t xml:space="preserve">مَشَيْنَا </w:t>
      </w:r>
      <w:r>
        <w:rPr>
          <w:rStyle w:val="libFootnotenumChar"/>
          <w:rtl/>
        </w:rPr>
        <w:t>(8)</w:t>
      </w:r>
      <w:r w:rsidRPr="00132E65">
        <w:rPr>
          <w:rtl/>
          <w:lang w:bidi="fa-IR"/>
        </w:rPr>
        <w:t xml:space="preserve"> بَيْنَ يَدَيْهِ ، رَفَعَ رَأْسَهُ إِلَى السَّمَاءِ و</w:t>
      </w:r>
      <w:r w:rsidR="004F580C">
        <w:rPr>
          <w:rFonts w:hint="cs"/>
          <w:rtl/>
          <w:lang w:bidi="fa-IR"/>
        </w:rPr>
        <w:t>َ</w:t>
      </w:r>
      <w:r w:rsidRPr="00132E65">
        <w:rPr>
          <w:rtl/>
          <w:lang w:bidi="fa-IR"/>
        </w:rPr>
        <w:t xml:space="preserve">كَبَّرَ أَرْبَعَ تَكْبِيرَاتٍ ، فَخُيِّلَ إِلَيْنَا </w:t>
      </w:r>
      <w:r>
        <w:rPr>
          <w:rStyle w:val="libFootnotenumChar"/>
          <w:rtl/>
        </w:rPr>
        <w:t>(9)</w:t>
      </w:r>
      <w:r w:rsidRPr="00132E65">
        <w:rPr>
          <w:rtl/>
          <w:lang w:bidi="fa-IR"/>
        </w:rPr>
        <w:t xml:space="preserve"> أَنَّ السَّمَاءَ والْحِيطَانَ تُجَاوِبُهُ </w:t>
      </w:r>
      <w:r>
        <w:rPr>
          <w:rStyle w:val="libFootnotenumChar"/>
          <w:rtl/>
        </w:rPr>
        <w:t>(10)</w:t>
      </w:r>
      <w:r w:rsidRPr="00132E65">
        <w:rPr>
          <w:rtl/>
          <w:lang w:bidi="fa-IR"/>
        </w:rPr>
        <w:t xml:space="preserve"> ، و</w:t>
      </w:r>
      <w:r w:rsidR="004F580C">
        <w:rPr>
          <w:rFonts w:hint="cs"/>
          <w:rtl/>
          <w:lang w:bidi="fa-IR"/>
        </w:rPr>
        <w:t>َ</w:t>
      </w:r>
      <w:r w:rsidRPr="00132E65">
        <w:rPr>
          <w:rtl/>
          <w:lang w:bidi="fa-IR"/>
        </w:rPr>
        <w:t>الْقُوَّادُ و</w:t>
      </w:r>
      <w:r w:rsidR="004F580C">
        <w:rPr>
          <w:rFonts w:hint="cs"/>
          <w:rtl/>
          <w:lang w:bidi="fa-IR"/>
        </w:rPr>
        <w:t>َ</w:t>
      </w:r>
      <w:r w:rsidRPr="00132E65">
        <w:rPr>
          <w:rtl/>
          <w:lang w:bidi="fa-IR"/>
        </w:rPr>
        <w:t>النَّاسُ عَلَى الْبَابِ قَدْ تَهَيَّأُوا و</w:t>
      </w:r>
      <w:r w:rsidR="004F580C">
        <w:rPr>
          <w:rFonts w:hint="cs"/>
          <w:rtl/>
          <w:lang w:bidi="fa-IR"/>
        </w:rPr>
        <w:t>َ</w:t>
      </w:r>
      <w:r w:rsidRPr="00132E65">
        <w:rPr>
          <w:rtl/>
          <w:lang w:bidi="fa-IR"/>
        </w:rPr>
        <w:t>لَبِسُوا السِّلَاحَ ، و</w:t>
      </w:r>
      <w:r w:rsidR="004F580C">
        <w:rPr>
          <w:rFonts w:hint="cs"/>
          <w:rtl/>
          <w:lang w:bidi="fa-IR"/>
        </w:rPr>
        <w:t>َ</w:t>
      </w:r>
      <w:r w:rsidRPr="00132E65">
        <w:rPr>
          <w:rtl/>
          <w:lang w:bidi="fa-IR"/>
        </w:rPr>
        <w:t>تَزَيَّنُوا بِأَحْسَنِ الزِّينَةِ ، فَلَمَّا طَلَعْنَا عَلَيْهِمْ بِهذِهِ الصُّورَةِ ، و</w:t>
      </w:r>
      <w:r w:rsidR="004F580C">
        <w:rPr>
          <w:rFonts w:hint="cs"/>
          <w:rtl/>
          <w:lang w:bidi="fa-IR"/>
        </w:rPr>
        <w:t>َ</w:t>
      </w:r>
      <w:r w:rsidRPr="00132E65">
        <w:rPr>
          <w:rtl/>
          <w:lang w:bidi="fa-IR"/>
        </w:rPr>
        <w:t xml:space="preserve">طَلَعَ الرِّضَا </w:t>
      </w:r>
      <w:r w:rsidRPr="00071CF9">
        <w:rPr>
          <w:rStyle w:val="libAlaemChar"/>
          <w:rtl/>
        </w:rPr>
        <w:t>عليه‌السلام</w:t>
      </w:r>
      <w:r w:rsidRPr="00132E65">
        <w:rPr>
          <w:rtl/>
          <w:lang w:bidi="fa-IR"/>
        </w:rPr>
        <w:t xml:space="preserve"> ، و</w:t>
      </w:r>
      <w:r w:rsidR="004F580C">
        <w:rPr>
          <w:rFonts w:hint="cs"/>
          <w:rtl/>
          <w:lang w:bidi="fa-IR"/>
        </w:rPr>
        <w:t>َ</w:t>
      </w:r>
      <w:r w:rsidRPr="00132E65">
        <w:rPr>
          <w:rtl/>
          <w:lang w:bidi="fa-IR"/>
        </w:rPr>
        <w:t>قَفَ عَلَى الْبَابِ و</w:t>
      </w:r>
      <w:r w:rsidR="004F580C">
        <w:rPr>
          <w:rFonts w:hint="cs"/>
          <w:rtl/>
          <w:lang w:bidi="fa-IR"/>
        </w:rPr>
        <w:t>َ</w:t>
      </w:r>
      <w:r w:rsidRPr="00132E65">
        <w:rPr>
          <w:rtl/>
          <w:lang w:bidi="fa-IR"/>
        </w:rPr>
        <w:t xml:space="preserve">قْفَةً ، ثُمَّ قَالَ : « اللهُ أَكْبَرُ ، اللهُ أَكْبَرُ ، اللهُ أَكْبَرُ ، اللهُ أَكْبَرُ </w:t>
      </w:r>
      <w:r>
        <w:rPr>
          <w:rStyle w:val="libFootnotenumChar"/>
          <w:rtl/>
        </w:rPr>
        <w:t>(11)</w:t>
      </w:r>
      <w:r w:rsidRPr="00132E65">
        <w:rPr>
          <w:rtl/>
          <w:lang w:bidi="fa-IR"/>
        </w:rPr>
        <w:t xml:space="preserve"> عَلى مَا</w:t>
      </w:r>
      <w:r w:rsidR="004F580C">
        <w:rPr>
          <w:rtl/>
          <w:lang w:bidi="fa-IR"/>
        </w:rPr>
        <w:t xml:space="preserve"> هَدَانَا ، اللهُ أَكْبَرُ عَلى</w:t>
      </w:r>
    </w:p>
    <w:p w:rsidR="000C39D1" w:rsidRPr="00132E65" w:rsidRDefault="000C39D1" w:rsidP="000C39D1">
      <w:pPr>
        <w:pStyle w:val="libLine"/>
        <w:rPr>
          <w:rtl/>
          <w:lang w:bidi="fa-IR"/>
        </w:rPr>
      </w:pPr>
      <w:r w:rsidRPr="00132E65">
        <w:rPr>
          <w:rtl/>
          <w:lang w:bidi="fa-IR"/>
        </w:rPr>
        <w:t>__________________</w:t>
      </w:r>
    </w:p>
    <w:p w:rsidR="000C39D1" w:rsidRDefault="004F580C" w:rsidP="000C39D1">
      <w:pPr>
        <w:pStyle w:val="libFootnote0"/>
        <w:rPr>
          <w:rtl/>
        </w:rPr>
      </w:pPr>
      <w:r>
        <w:rPr>
          <w:rFonts w:hint="cs"/>
          <w:rtl/>
        </w:rPr>
        <w:t>=</w:t>
      </w:r>
      <w:r w:rsidR="000C39D1" w:rsidRPr="00132E65">
        <w:rPr>
          <w:rtl/>
        </w:rPr>
        <w:t xml:space="preserve">وبكّر وأبكر وباكره ، أيّ أتاه بُكرةً ، أي أوّل النهار. وكلّ من بادر وأسرع إلى شي‌ء فقد أبكر عليه وبكّر أي وقت كان. راجع : </w:t>
      </w:r>
      <w:r w:rsidR="000C39D1" w:rsidRPr="004F580C">
        <w:rPr>
          <w:rStyle w:val="libFootnoteBoldChar"/>
          <w:rtl/>
        </w:rPr>
        <w:t>النهاية</w:t>
      </w:r>
      <w:r w:rsidR="000C39D1" w:rsidRPr="00132E65">
        <w:rPr>
          <w:rtl/>
        </w:rPr>
        <w:t xml:space="preserve"> ، ج 1 ، ص 148 ؛ </w:t>
      </w:r>
      <w:r w:rsidR="000C39D1" w:rsidRPr="009D1ACE">
        <w:rPr>
          <w:rStyle w:val="libFootnoteBoldChar"/>
          <w:rtl/>
        </w:rPr>
        <w:t>لسان العرب</w:t>
      </w:r>
      <w:r w:rsidR="000C39D1" w:rsidRPr="00132E65">
        <w:rPr>
          <w:rtl/>
        </w:rPr>
        <w:t xml:space="preserve"> ، ج 4 ، ص 76 ( بكر )</w:t>
      </w:r>
      <w:r w:rsidR="000C39D1">
        <w:rPr>
          <w:rtl/>
        </w:rPr>
        <w:t>.</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إلى »</w:t>
      </w:r>
      <w:r>
        <w:rPr>
          <w:rtl/>
        </w:rPr>
        <w:t>.</w:t>
      </w:r>
    </w:p>
    <w:p w:rsidR="000C39D1" w:rsidRPr="00132E65" w:rsidRDefault="000C39D1" w:rsidP="000C39D1">
      <w:pPr>
        <w:pStyle w:val="libFootnote0"/>
        <w:rPr>
          <w:rtl/>
          <w:lang w:bidi="fa-IR"/>
        </w:rPr>
      </w:pPr>
      <w:r>
        <w:rPr>
          <w:rtl/>
        </w:rPr>
        <w:t>(2).</w:t>
      </w:r>
      <w:r w:rsidRPr="00132E65">
        <w:rPr>
          <w:rtl/>
        </w:rPr>
        <w:t xml:space="preserve"> في « ج » </w:t>
      </w:r>
      <w:r>
        <w:rPr>
          <w:rtl/>
        </w:rPr>
        <w:t xml:space="preserve">: - </w:t>
      </w:r>
      <w:r w:rsidRPr="00132E65">
        <w:rPr>
          <w:rtl/>
        </w:rPr>
        <w:t>« قال »</w:t>
      </w:r>
      <w:r>
        <w:rPr>
          <w:rtl/>
        </w:rPr>
        <w:t>.</w:t>
      </w:r>
      <w:r w:rsidRPr="00132E65">
        <w:rPr>
          <w:rtl/>
        </w:rPr>
        <w:t xml:space="preserve"> وفي « ف » : « فقال »</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من قطن »</w:t>
      </w:r>
      <w:r>
        <w:rPr>
          <w:rtl/>
        </w:rPr>
        <w:t>.</w:t>
      </w:r>
    </w:p>
    <w:p w:rsidR="000C39D1" w:rsidRPr="00132E65" w:rsidRDefault="000C39D1" w:rsidP="000C39D1">
      <w:pPr>
        <w:pStyle w:val="libFootnote0"/>
        <w:rPr>
          <w:rtl/>
          <w:lang w:bidi="fa-IR"/>
        </w:rPr>
      </w:pPr>
      <w:r>
        <w:rPr>
          <w:rtl/>
        </w:rPr>
        <w:t>(4).</w:t>
      </w:r>
      <w:r w:rsidRPr="00132E65">
        <w:rPr>
          <w:rtl/>
        </w:rPr>
        <w:t xml:space="preserve"> « تشمّر » ، أي مرّ جادّاً. يقال : شَمَر يَشْمُر شَمْراً وانشمر وشمّر وتشمّر ، أي مرّ جادّاً. وتشمّر للأمر ، أي تهيّأ. راجع : </w:t>
      </w:r>
      <w:r w:rsidRPr="009D1ACE">
        <w:rPr>
          <w:rStyle w:val="libFootnoteBoldChar"/>
          <w:rtl/>
        </w:rPr>
        <w:t>لسان العرب</w:t>
      </w:r>
      <w:r w:rsidRPr="00132E65">
        <w:rPr>
          <w:rtl/>
        </w:rPr>
        <w:t xml:space="preserve"> ، ج 4 ، ص 427 ( شمر )</w:t>
      </w:r>
      <w:r>
        <w:rPr>
          <w:rtl/>
        </w:rPr>
        <w:t>.</w:t>
      </w:r>
    </w:p>
    <w:p w:rsidR="000C39D1" w:rsidRPr="00132E65" w:rsidRDefault="000C39D1" w:rsidP="000C39D1">
      <w:pPr>
        <w:pStyle w:val="libFootnote0"/>
        <w:rPr>
          <w:rtl/>
          <w:lang w:bidi="fa-IR"/>
        </w:rPr>
      </w:pPr>
      <w:r>
        <w:rPr>
          <w:rtl/>
        </w:rPr>
        <w:t>(5).</w:t>
      </w:r>
      <w:r w:rsidRPr="00132E65">
        <w:rPr>
          <w:rtl/>
        </w:rPr>
        <w:t xml:space="preserve"> « العُكّاز » </w:t>
      </w:r>
      <w:r>
        <w:rPr>
          <w:rtl/>
        </w:rPr>
        <w:t>و «</w:t>
      </w:r>
      <w:r w:rsidRPr="00132E65">
        <w:rPr>
          <w:rtl/>
        </w:rPr>
        <w:t xml:space="preserve"> العُكّازَة » : عصا في أسفلها زُجّ</w:t>
      </w:r>
      <w:r>
        <w:rPr>
          <w:rtl/>
        </w:rPr>
        <w:t xml:space="preserve"> - </w:t>
      </w:r>
      <w:r w:rsidRPr="00132E65">
        <w:rPr>
          <w:rtl/>
        </w:rPr>
        <w:t>وهي الحديدة التي في أسفل الرمح ويقابله السنان</w:t>
      </w:r>
      <w:r>
        <w:rPr>
          <w:rtl/>
        </w:rPr>
        <w:t xml:space="preserve"> - </w:t>
      </w:r>
      <w:r w:rsidRPr="00132E65">
        <w:rPr>
          <w:rtl/>
        </w:rPr>
        <w:t xml:space="preserve">يُتوكّأ عليها. راجع : </w:t>
      </w:r>
      <w:r w:rsidRPr="004F580C">
        <w:rPr>
          <w:rStyle w:val="libFootnoteBoldChar"/>
          <w:rtl/>
        </w:rPr>
        <w:t>ترتيب كتاب العين</w:t>
      </w:r>
      <w:r w:rsidRPr="00132E65">
        <w:rPr>
          <w:rtl/>
        </w:rPr>
        <w:t xml:space="preserve"> ، ج 2 ، ص 1259 ؛ </w:t>
      </w:r>
      <w:r w:rsidRPr="004F580C">
        <w:rPr>
          <w:rStyle w:val="libFootnoteBoldChar"/>
          <w:rtl/>
        </w:rPr>
        <w:t>القاموس المحيط</w:t>
      </w:r>
      <w:r w:rsidRPr="00132E65">
        <w:rPr>
          <w:rtl/>
        </w:rPr>
        <w:t xml:space="preserve"> ، ج 1 ، ص 713 ( عكز )</w:t>
      </w:r>
      <w:r>
        <w:rPr>
          <w:rtl/>
        </w:rPr>
        <w:t>.</w:t>
      </w:r>
    </w:p>
    <w:p w:rsidR="000C39D1" w:rsidRPr="00132E65" w:rsidRDefault="000C39D1" w:rsidP="000C39D1">
      <w:pPr>
        <w:pStyle w:val="libFootnote0"/>
        <w:rPr>
          <w:rtl/>
          <w:lang w:bidi="fa-IR"/>
        </w:rPr>
      </w:pPr>
      <w:r>
        <w:rPr>
          <w:rtl/>
        </w:rPr>
        <w:t>(6).</w:t>
      </w:r>
      <w:r w:rsidRPr="00132E65">
        <w:rPr>
          <w:rtl/>
        </w:rPr>
        <w:t xml:space="preserve"> في « بح » : « وقد »</w:t>
      </w:r>
      <w:r>
        <w:rPr>
          <w:rtl/>
        </w:rPr>
        <w:t>.</w:t>
      </w:r>
    </w:p>
    <w:p w:rsidR="000C39D1" w:rsidRPr="00132E65" w:rsidRDefault="000C39D1" w:rsidP="004F580C">
      <w:pPr>
        <w:pStyle w:val="libFootnote0"/>
        <w:rPr>
          <w:rtl/>
          <w:lang w:bidi="fa-IR"/>
        </w:rPr>
      </w:pPr>
      <w:r>
        <w:rPr>
          <w:rtl/>
        </w:rPr>
        <w:t>(7).</w:t>
      </w:r>
      <w:r w:rsidRPr="00132E65">
        <w:rPr>
          <w:rtl/>
        </w:rPr>
        <w:t xml:space="preserve"> « شَمَّرَ سراويله » ، أي رفعها. يقال : شَمَّرَ الثوبَ والإزارَ تشميراً ، أي رفعه ، وثياب مُشَمَّرةٌ ، أي قالصة مرتفعة. راجع : </w:t>
      </w:r>
      <w:r w:rsidRPr="009D1ACE">
        <w:rPr>
          <w:rStyle w:val="libFootnoteBoldChar"/>
          <w:rtl/>
        </w:rPr>
        <w:t>لسان العرب</w:t>
      </w:r>
      <w:r w:rsidRPr="00132E65">
        <w:rPr>
          <w:rtl/>
        </w:rPr>
        <w:t xml:space="preserve"> ، ج 4 ، ص 428 ( شمر )</w:t>
      </w:r>
      <w:r>
        <w:rPr>
          <w:rtl/>
        </w:rPr>
        <w:t>.</w:t>
      </w:r>
      <w:r w:rsidR="004F580C">
        <w:rPr>
          <w:rFonts w:hint="cs"/>
          <w:rtl/>
        </w:rPr>
        <w:t xml:space="preserve">                    </w:t>
      </w:r>
      <w:r>
        <w:rPr>
          <w:rtl/>
        </w:rPr>
        <w:t>(8).</w:t>
      </w:r>
      <w:r w:rsidRPr="00132E65">
        <w:rPr>
          <w:rtl/>
        </w:rPr>
        <w:t xml:space="preserve"> في « ب » : « مشينا ومشى »</w:t>
      </w:r>
      <w:r>
        <w:rPr>
          <w:rtl/>
        </w:rPr>
        <w:t>.</w:t>
      </w:r>
    </w:p>
    <w:tbl>
      <w:tblPr>
        <w:tblStyle w:val="TableGrid"/>
        <w:bidiVisual/>
        <w:tblW w:w="0" w:type="auto"/>
        <w:tblLook w:val="04A0" w:firstRow="1" w:lastRow="0" w:firstColumn="1" w:lastColumn="0" w:noHBand="0" w:noVBand="1"/>
      </w:tblPr>
      <w:tblGrid>
        <w:gridCol w:w="4261"/>
        <w:gridCol w:w="4262"/>
      </w:tblGrid>
      <w:tr w:rsidR="004F580C" w:rsidTr="004F580C">
        <w:tc>
          <w:tcPr>
            <w:tcW w:w="4261" w:type="dxa"/>
          </w:tcPr>
          <w:p w:rsidR="004F580C" w:rsidRDefault="004F580C" w:rsidP="000C39D1">
            <w:pPr>
              <w:pStyle w:val="libFootnote0"/>
              <w:rPr>
                <w:rtl/>
              </w:rPr>
            </w:pPr>
            <w:r>
              <w:rPr>
                <w:rtl/>
              </w:rPr>
              <w:t>(9).</w:t>
            </w:r>
            <w:r w:rsidRPr="00132E65">
              <w:rPr>
                <w:rtl/>
              </w:rPr>
              <w:t xml:space="preserve"> في حاشية « بس » والوسائل : « لنا »</w:t>
            </w:r>
            <w:r>
              <w:rPr>
                <w:rtl/>
              </w:rPr>
              <w:t>.</w:t>
            </w:r>
          </w:p>
        </w:tc>
        <w:tc>
          <w:tcPr>
            <w:tcW w:w="4262" w:type="dxa"/>
          </w:tcPr>
          <w:p w:rsidR="004F580C" w:rsidRDefault="004F580C" w:rsidP="000C39D1">
            <w:pPr>
              <w:pStyle w:val="libFootnote0"/>
              <w:rPr>
                <w:rtl/>
              </w:rPr>
            </w:pPr>
            <w:r>
              <w:rPr>
                <w:rtl/>
              </w:rPr>
              <w:t>(10).</w:t>
            </w:r>
            <w:r w:rsidRPr="00132E65">
              <w:rPr>
                <w:rtl/>
              </w:rPr>
              <w:t xml:space="preserve"> في « ف » :</w:t>
            </w:r>
            <w:r>
              <w:rPr>
                <w:rtl/>
              </w:rPr>
              <w:t xml:space="preserve"> + </w:t>
            </w:r>
            <w:r w:rsidRPr="00132E65">
              <w:rPr>
                <w:rtl/>
              </w:rPr>
              <w:t>« قدتجاوبه »</w:t>
            </w:r>
            <w:r>
              <w:rPr>
                <w:rtl/>
              </w:rPr>
              <w:t>.</w:t>
            </w:r>
          </w:p>
        </w:tc>
      </w:tr>
    </w:tbl>
    <w:p w:rsidR="000C39D1" w:rsidRPr="00132E65" w:rsidRDefault="000C39D1" w:rsidP="000C39D1">
      <w:pPr>
        <w:pStyle w:val="libFootnote0"/>
        <w:rPr>
          <w:rtl/>
          <w:lang w:bidi="fa-IR"/>
        </w:rPr>
      </w:pPr>
      <w:r>
        <w:rPr>
          <w:rtl/>
        </w:rPr>
        <w:t>(11).</w:t>
      </w:r>
      <w:r w:rsidRPr="00132E65">
        <w:rPr>
          <w:rtl/>
        </w:rPr>
        <w:t xml:space="preserve"> في « ف » و</w:t>
      </w:r>
      <w:r w:rsidRPr="009D1ACE">
        <w:rPr>
          <w:rStyle w:val="libFootnoteBoldChar"/>
          <w:rtl/>
        </w:rPr>
        <w:t>الوافي</w:t>
      </w:r>
      <w:r w:rsidRPr="00132E65">
        <w:rPr>
          <w:rtl/>
        </w:rPr>
        <w:t xml:space="preserve"> </w:t>
      </w:r>
      <w:r>
        <w:rPr>
          <w:rtl/>
        </w:rPr>
        <w:t xml:space="preserve">: - </w:t>
      </w:r>
      <w:r w:rsidRPr="00132E65">
        <w:rPr>
          <w:rtl/>
        </w:rPr>
        <w:t>« الله أكبر » الرابع.</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مَا رَزَقَنَا مِنْ بَهِيمَةِ الْأَنْعَامِ </w:t>
      </w:r>
      <w:r>
        <w:rPr>
          <w:rStyle w:val="libFootnotenumChar"/>
          <w:rtl/>
        </w:rPr>
        <w:t>(1)</w:t>
      </w:r>
      <w:r w:rsidRPr="00132E65">
        <w:rPr>
          <w:rtl/>
          <w:lang w:bidi="fa-IR"/>
        </w:rPr>
        <w:t xml:space="preserve"> ، و</w:t>
      </w:r>
      <w:r w:rsidR="004F580C">
        <w:rPr>
          <w:rFonts w:hint="cs"/>
          <w:rtl/>
          <w:lang w:bidi="fa-IR"/>
        </w:rPr>
        <w:t>َ</w:t>
      </w:r>
      <w:r w:rsidRPr="00132E65">
        <w:rPr>
          <w:rtl/>
          <w:lang w:bidi="fa-IR"/>
        </w:rPr>
        <w:t xml:space="preserve">الْحَمْدُ لِلّهِ عَلى مَا أَبْلَانَا </w:t>
      </w:r>
      <w:r>
        <w:rPr>
          <w:rStyle w:val="libFootnotenumChar"/>
          <w:rtl/>
        </w:rPr>
        <w:t>(2)</w:t>
      </w:r>
      <w:r w:rsidRPr="00132E65">
        <w:rPr>
          <w:rtl/>
          <w:lang w:bidi="fa-IR"/>
        </w:rPr>
        <w:t xml:space="preserve"> » ، نَرْفَعُ بِهَا أَصْوَاتَنَا.</w:t>
      </w:r>
    </w:p>
    <w:p w:rsidR="000C39D1" w:rsidRPr="00132E65" w:rsidRDefault="000C39D1" w:rsidP="000C39D1">
      <w:pPr>
        <w:pStyle w:val="libNormal"/>
        <w:rPr>
          <w:rtl/>
          <w:lang w:bidi="fa-IR"/>
        </w:rPr>
      </w:pPr>
      <w:r w:rsidRPr="00132E65">
        <w:rPr>
          <w:rtl/>
          <w:lang w:bidi="fa-IR"/>
        </w:rPr>
        <w:t xml:space="preserve">قَالَ يَاسِرٌ : فَتَزَعْزَعَتْ </w:t>
      </w:r>
      <w:r>
        <w:rPr>
          <w:rStyle w:val="libFootnotenumChar"/>
          <w:rtl/>
        </w:rPr>
        <w:t>(3)</w:t>
      </w:r>
      <w:r w:rsidRPr="00132E65">
        <w:rPr>
          <w:rtl/>
          <w:lang w:bidi="fa-IR"/>
        </w:rPr>
        <w:t xml:space="preserve"> مَرْوُ بِالْبُكَاءِ و</w:t>
      </w:r>
      <w:r w:rsidR="004F580C">
        <w:rPr>
          <w:rFonts w:hint="cs"/>
          <w:rtl/>
          <w:lang w:bidi="fa-IR"/>
        </w:rPr>
        <w:t xml:space="preserve">َ </w:t>
      </w:r>
      <w:r w:rsidRPr="00132E65">
        <w:rPr>
          <w:rtl/>
          <w:lang w:bidi="fa-IR"/>
        </w:rPr>
        <w:t>الضَّجِيجِ و</w:t>
      </w:r>
      <w:r w:rsidR="004F580C">
        <w:rPr>
          <w:rFonts w:hint="cs"/>
          <w:rtl/>
          <w:lang w:bidi="fa-IR"/>
        </w:rPr>
        <w:t xml:space="preserve">َ </w:t>
      </w:r>
      <w:r w:rsidRPr="00132E65">
        <w:rPr>
          <w:rtl/>
          <w:lang w:bidi="fa-IR"/>
        </w:rPr>
        <w:t xml:space="preserve">الصِّيَاحِ </w:t>
      </w:r>
      <w:r>
        <w:rPr>
          <w:rStyle w:val="libFootnotenumChar"/>
          <w:rtl/>
        </w:rPr>
        <w:t>(4)</w:t>
      </w:r>
      <w:r w:rsidRPr="00132E65">
        <w:rPr>
          <w:rtl/>
          <w:lang w:bidi="fa-IR"/>
        </w:rPr>
        <w:t xml:space="preserve"> لَمَّا نَظَرُوا إِلى أَبِي الْحَسَنِ </w:t>
      </w:r>
      <w:r w:rsidRPr="00071CF9">
        <w:rPr>
          <w:rStyle w:val="libAlaemChar"/>
          <w:rtl/>
        </w:rPr>
        <w:t>عليه‌السلام</w:t>
      </w:r>
      <w:r w:rsidRPr="00132E65">
        <w:rPr>
          <w:rtl/>
          <w:lang w:bidi="fa-IR"/>
        </w:rPr>
        <w:t xml:space="preserve"> ، و</w:t>
      </w:r>
      <w:r w:rsidR="00DD4330">
        <w:rPr>
          <w:rFonts w:hint="cs"/>
          <w:rtl/>
          <w:lang w:bidi="fa-IR"/>
        </w:rPr>
        <w:t>َ</w:t>
      </w:r>
      <w:r w:rsidRPr="00132E65">
        <w:rPr>
          <w:rtl/>
          <w:lang w:bidi="fa-IR"/>
        </w:rPr>
        <w:t>سَقَطَ الْقُوَّادُ عَنْ دَوَابِّهِمْ ، و</w:t>
      </w:r>
      <w:r w:rsidR="00DD4330">
        <w:rPr>
          <w:rFonts w:hint="cs"/>
          <w:rtl/>
          <w:lang w:bidi="fa-IR"/>
        </w:rPr>
        <w:t>َ</w:t>
      </w:r>
      <w:r w:rsidRPr="00132E65">
        <w:rPr>
          <w:rtl/>
          <w:lang w:bidi="fa-IR"/>
        </w:rPr>
        <w:t xml:space="preserve">رَمَوْا بِخِفَافِهِمْ لَمَّا رَأَوْا أَبَا الْحَسَنِ </w:t>
      </w:r>
      <w:r w:rsidRPr="00071CF9">
        <w:rPr>
          <w:rStyle w:val="libAlaemChar"/>
          <w:rtl/>
        </w:rPr>
        <w:t>عليه‌السلام</w:t>
      </w:r>
      <w:r w:rsidRPr="00132E65">
        <w:rPr>
          <w:rtl/>
          <w:lang w:bidi="fa-IR"/>
        </w:rPr>
        <w:t xml:space="preserve"> حَافِياً ، و</w:t>
      </w:r>
      <w:r w:rsidR="00DD4330">
        <w:rPr>
          <w:rFonts w:hint="cs"/>
          <w:rtl/>
          <w:lang w:bidi="fa-IR"/>
        </w:rPr>
        <w:t>َ</w:t>
      </w:r>
      <w:r w:rsidRPr="00132E65">
        <w:rPr>
          <w:rtl/>
          <w:lang w:bidi="fa-IR"/>
        </w:rPr>
        <w:t xml:space="preserve">كَانَ يَمْشِي ويَقِفُ </w:t>
      </w:r>
      <w:r>
        <w:rPr>
          <w:rStyle w:val="libFootnotenumChar"/>
          <w:rtl/>
        </w:rPr>
        <w:t>(5)</w:t>
      </w:r>
      <w:r w:rsidRPr="00132E65">
        <w:rPr>
          <w:rtl/>
          <w:lang w:bidi="fa-IR"/>
        </w:rPr>
        <w:t xml:space="preserve"> فِي كُلِّ عَشْرِ خُطُوَاتٍ ، و</w:t>
      </w:r>
      <w:r w:rsidR="00DD4330">
        <w:rPr>
          <w:rFonts w:hint="cs"/>
          <w:rtl/>
          <w:lang w:bidi="fa-IR"/>
        </w:rPr>
        <w:t>َ</w:t>
      </w:r>
      <w:r w:rsidRPr="00132E65">
        <w:rPr>
          <w:rtl/>
          <w:lang w:bidi="fa-IR"/>
        </w:rPr>
        <w:t xml:space="preserve">يُكَبِّرُ ثَلَاثَ </w:t>
      </w:r>
      <w:r>
        <w:rPr>
          <w:rStyle w:val="libFootnotenumChar"/>
          <w:rtl/>
        </w:rPr>
        <w:t>(6)</w:t>
      </w:r>
      <w:r w:rsidRPr="00132E65">
        <w:rPr>
          <w:rtl/>
          <w:lang w:bidi="fa-IR"/>
        </w:rPr>
        <w:t xml:space="preserve"> مَرَّاتٍ.</w:t>
      </w:r>
    </w:p>
    <w:p w:rsidR="000C39D1" w:rsidRPr="00132E65" w:rsidRDefault="000C39D1" w:rsidP="000C39D1">
      <w:pPr>
        <w:pStyle w:val="libNormal"/>
        <w:rPr>
          <w:rtl/>
          <w:lang w:bidi="fa-IR"/>
        </w:rPr>
      </w:pPr>
      <w:r w:rsidRPr="00132E65">
        <w:rPr>
          <w:rtl/>
          <w:lang w:bidi="fa-IR"/>
        </w:rPr>
        <w:t xml:space="preserve">قَالَ يَاسِرٌ : فَتُخُيِّلَ </w:t>
      </w:r>
      <w:r>
        <w:rPr>
          <w:rStyle w:val="libFootnotenumChar"/>
          <w:rtl/>
        </w:rPr>
        <w:t>(7)</w:t>
      </w:r>
      <w:r w:rsidRPr="00132E65">
        <w:rPr>
          <w:rtl/>
          <w:lang w:bidi="fa-IR"/>
        </w:rPr>
        <w:t xml:space="preserve"> إِلَيْنَا </w:t>
      </w:r>
      <w:r>
        <w:rPr>
          <w:rStyle w:val="libFootnotenumChar"/>
          <w:rtl/>
        </w:rPr>
        <w:t>(8)</w:t>
      </w:r>
      <w:r w:rsidRPr="00132E65">
        <w:rPr>
          <w:rtl/>
          <w:lang w:bidi="fa-IR"/>
        </w:rPr>
        <w:t xml:space="preserve"> أَنَّ السَّمَاءَ </w:t>
      </w:r>
      <w:r>
        <w:rPr>
          <w:rStyle w:val="libFootnotenumChar"/>
          <w:rtl/>
        </w:rPr>
        <w:t>(9)</w:t>
      </w:r>
      <w:r w:rsidRPr="00132E65">
        <w:rPr>
          <w:rtl/>
          <w:lang w:bidi="fa-IR"/>
        </w:rPr>
        <w:t xml:space="preserve"> و</w:t>
      </w:r>
      <w:r w:rsidR="00DD4330">
        <w:rPr>
          <w:rFonts w:hint="cs"/>
          <w:rtl/>
          <w:lang w:bidi="fa-IR"/>
        </w:rPr>
        <w:t>َ</w:t>
      </w:r>
      <w:r w:rsidRPr="00132E65">
        <w:rPr>
          <w:rtl/>
          <w:lang w:bidi="fa-IR"/>
        </w:rPr>
        <w:t xml:space="preserve">الْأَرْضَ والْجِبَالَ تُجَاوِبُهُ </w:t>
      </w:r>
      <w:r>
        <w:rPr>
          <w:rStyle w:val="libFootnotenumChar"/>
          <w:rtl/>
        </w:rPr>
        <w:t>(10)</w:t>
      </w:r>
      <w:r w:rsidRPr="00132E65">
        <w:rPr>
          <w:rtl/>
          <w:lang w:bidi="fa-IR"/>
        </w:rPr>
        <w:t xml:space="preserve"> ، و</w:t>
      </w:r>
      <w:r w:rsidR="00DD4330">
        <w:rPr>
          <w:rFonts w:hint="cs"/>
          <w:rtl/>
          <w:lang w:bidi="fa-IR"/>
        </w:rPr>
        <w:t>َ</w:t>
      </w:r>
      <w:r w:rsidRPr="00132E65">
        <w:rPr>
          <w:rtl/>
          <w:lang w:bidi="fa-IR"/>
        </w:rPr>
        <w:t xml:space="preserve">صَارَتْ مَرْوُ ضَجَّةً واحِدَةً مِنَ الْبُكَاءِ </w:t>
      </w:r>
      <w:r>
        <w:rPr>
          <w:rStyle w:val="libFootnotenumChar"/>
          <w:rtl/>
        </w:rPr>
        <w:t>(11)</w:t>
      </w:r>
      <w:r w:rsidRPr="00132E65">
        <w:rPr>
          <w:rtl/>
          <w:lang w:bidi="fa-IR"/>
        </w:rPr>
        <w:t xml:space="preserve"> ، و</w:t>
      </w:r>
      <w:r w:rsidR="00DD4330">
        <w:rPr>
          <w:rFonts w:hint="cs"/>
          <w:rtl/>
          <w:lang w:bidi="fa-IR"/>
        </w:rPr>
        <w:t>َ</w:t>
      </w:r>
      <w:r w:rsidRPr="00132E65">
        <w:rPr>
          <w:rtl/>
          <w:lang w:bidi="fa-IR"/>
        </w:rPr>
        <w:t xml:space="preserve">بَلَغَ </w:t>
      </w:r>
      <w:r>
        <w:rPr>
          <w:rStyle w:val="libFootnotenumChar"/>
          <w:rtl/>
        </w:rPr>
        <w:t>(12)</w:t>
      </w:r>
      <w:r w:rsidRPr="00132E65">
        <w:rPr>
          <w:rtl/>
          <w:lang w:bidi="fa-IR"/>
        </w:rPr>
        <w:t xml:space="preserve"> الْمَأْمُونَ ذلِكَ ، فَقَالَ لَهُ الْفَضْلُ بْنُ سَهْلٍ ذُو الرِّئَاسَتَيْنِ : يَا أَمِيرَ الْمُؤْمِنِينَ ، إِنْ بَلَغَ الرِّضَا </w:t>
      </w:r>
      <w:r w:rsidRPr="00071CF9">
        <w:rPr>
          <w:rStyle w:val="libAlaemChar"/>
          <w:rtl/>
        </w:rPr>
        <w:t>عليه‌السلام</w:t>
      </w:r>
      <w:r w:rsidRPr="00132E65">
        <w:rPr>
          <w:rtl/>
          <w:lang w:bidi="fa-IR"/>
        </w:rPr>
        <w:t xml:space="preserve"> </w:t>
      </w:r>
      <w:r w:rsidRPr="00F543F1">
        <w:rPr>
          <w:rStyle w:val="libFootnotenumChar"/>
          <w:rtl/>
        </w:rPr>
        <w:t>(13)</w:t>
      </w:r>
      <w:r w:rsidRPr="00132E65">
        <w:rPr>
          <w:rtl/>
          <w:lang w:bidi="fa-IR"/>
        </w:rPr>
        <w:t xml:space="preserve"> الْمُصَلّى عَلى هذَا السَّبِيلِ ، افْتَتَنَ بِهِ النَّاسُ ، و</w:t>
      </w:r>
      <w:r w:rsidR="00DD4330">
        <w:rPr>
          <w:rFonts w:hint="cs"/>
          <w:rtl/>
          <w:lang w:bidi="fa-IR"/>
        </w:rPr>
        <w:t xml:space="preserve">َ </w:t>
      </w:r>
      <w:r w:rsidRPr="00132E65">
        <w:rPr>
          <w:rtl/>
          <w:lang w:bidi="fa-IR"/>
        </w:rPr>
        <w:t xml:space="preserve">الرَّأْيُ أَنْ تَسْأَلَهُ أَنْ يَرْجِعَ ، فَبَعَثَ إِلَيْهِ الْمَأْمُونُ ، فَسَأَلَهُ الرُّجُوعَ ، فَدَعَا أَبُو الْحَسَنِ </w:t>
      </w:r>
      <w:r w:rsidRPr="00071CF9">
        <w:rPr>
          <w:rStyle w:val="libAlaemChar"/>
          <w:rtl/>
        </w:rPr>
        <w:t>عليه‌السلام</w:t>
      </w:r>
      <w:r w:rsidRPr="00132E65">
        <w:rPr>
          <w:rtl/>
          <w:lang w:bidi="fa-IR"/>
        </w:rPr>
        <w:t xml:space="preserve"> بِخُفِّهِ ، فَلَبِسَهُ </w:t>
      </w:r>
      <w:r w:rsidRPr="00F543F1">
        <w:rPr>
          <w:rStyle w:val="libFootnotenumChar"/>
          <w:rtl/>
        </w:rPr>
        <w:t>(14)</w:t>
      </w:r>
      <w:r w:rsidRPr="00132E65">
        <w:rPr>
          <w:rtl/>
          <w:lang w:bidi="fa-IR"/>
        </w:rPr>
        <w:t xml:space="preserve"> و</w:t>
      </w:r>
      <w:r w:rsidR="00DD4330">
        <w:rPr>
          <w:rFonts w:hint="cs"/>
          <w:rtl/>
          <w:lang w:bidi="fa-IR"/>
        </w:rPr>
        <w:t xml:space="preserve">َ </w:t>
      </w:r>
      <w:r w:rsidRPr="00132E65">
        <w:rPr>
          <w:rtl/>
          <w:lang w:bidi="fa-IR"/>
        </w:rPr>
        <w:t>رَكِبَ و</w:t>
      </w:r>
      <w:r w:rsidR="00DD4330">
        <w:rPr>
          <w:rFonts w:hint="cs"/>
          <w:rtl/>
          <w:lang w:bidi="fa-IR"/>
        </w:rPr>
        <w:t xml:space="preserve">َ </w:t>
      </w:r>
      <w:r w:rsidRPr="00132E65">
        <w:rPr>
          <w:rtl/>
          <w:lang w:bidi="fa-IR"/>
        </w:rPr>
        <w:t xml:space="preserve">رَجَعَ. </w:t>
      </w:r>
      <w:r w:rsidRPr="00F543F1">
        <w:rPr>
          <w:rStyle w:val="libFootnotenumChar"/>
          <w:rtl/>
        </w:rPr>
        <w:t>(15)</w:t>
      </w:r>
      <w:r w:rsidRPr="00132E65">
        <w:rPr>
          <w:rtl/>
          <w:lang w:bidi="fa-IR"/>
        </w:rPr>
        <w:t xml:space="preserve"> ‌</w:t>
      </w:r>
    </w:p>
    <w:p w:rsidR="000C39D1" w:rsidRPr="00132E65" w:rsidRDefault="000C39D1" w:rsidP="000C39D1">
      <w:pPr>
        <w:pStyle w:val="libNormal"/>
        <w:rPr>
          <w:rtl/>
          <w:lang w:bidi="fa-IR"/>
        </w:rPr>
      </w:pPr>
      <w:r w:rsidRPr="00482F6E">
        <w:rPr>
          <w:rtl/>
        </w:rPr>
        <w:t>1305</w:t>
      </w:r>
      <w:r w:rsidRPr="004325D8">
        <w:rPr>
          <w:rStyle w:val="libBold2Char"/>
          <w:rtl/>
        </w:rPr>
        <w:t xml:space="preserve"> / 8.</w:t>
      </w:r>
      <w:r w:rsidRPr="00132E65">
        <w:rPr>
          <w:rtl/>
          <w:lang w:bidi="fa-IR"/>
        </w:rPr>
        <w:t xml:space="preserve"> عَلِيُّ بْنُ إِبْرَاهِيمَ ، عَنْ يَاسِرٍ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البَهِيمَةُ » : كلّ ذات أربع قوائم من دوابّ البرّ والماء. </w:t>
      </w:r>
      <w:r>
        <w:rPr>
          <w:rtl/>
        </w:rPr>
        <w:t>و «</w:t>
      </w:r>
      <w:r w:rsidRPr="00132E65">
        <w:rPr>
          <w:rtl/>
        </w:rPr>
        <w:t xml:space="preserve"> الأنعام » : جمع النَعَم ، وهي المال الراعية ، فالإضافة بيانيّة. وعن الزجّاج : قيل لها : بهيمة الأنعام ؛ لأنّ كلّ حيّ لا يُميِّز فهو بهيمة ؛ لأنّه ابهم عن أن يُميِّز. راجع : </w:t>
      </w:r>
      <w:r w:rsidRPr="009D1ACE">
        <w:rPr>
          <w:rStyle w:val="libFootnoteBoldChar"/>
          <w:rtl/>
        </w:rPr>
        <w:t>لسان العرب</w:t>
      </w:r>
      <w:r w:rsidRPr="00132E65">
        <w:rPr>
          <w:rtl/>
        </w:rPr>
        <w:t xml:space="preserve"> ، ج 12 ، ص 56 ( بهم ) ، وص 585 ( نعم )</w:t>
      </w:r>
      <w:r>
        <w:rPr>
          <w:rtl/>
        </w:rPr>
        <w:t>.</w:t>
      </w:r>
    </w:p>
    <w:p w:rsidR="000C39D1" w:rsidRPr="00132E65" w:rsidRDefault="000C39D1" w:rsidP="000C39D1">
      <w:pPr>
        <w:pStyle w:val="libFootnote0"/>
        <w:rPr>
          <w:rtl/>
          <w:lang w:bidi="fa-IR"/>
        </w:rPr>
      </w:pPr>
      <w:r>
        <w:rPr>
          <w:rtl/>
        </w:rPr>
        <w:t>(2).</w:t>
      </w:r>
      <w:r w:rsidRPr="00132E65">
        <w:rPr>
          <w:rtl/>
        </w:rPr>
        <w:t xml:space="preserve"> « الإبْلاءُ » : الإنعام والإحسان. يقال : بَلَوْتُ الرجلَ وأبْليتُ عنده بلاءً حسناً. </w:t>
      </w:r>
      <w:r w:rsidRPr="00DD4330">
        <w:rPr>
          <w:rStyle w:val="libFootnoteBoldChar"/>
          <w:rtl/>
        </w:rPr>
        <w:t>النهاية</w:t>
      </w:r>
      <w:r w:rsidRPr="00132E65">
        <w:rPr>
          <w:rtl/>
        </w:rPr>
        <w:t xml:space="preserve"> ، ج 1 ، ص 155 ( بلا )</w:t>
      </w:r>
      <w:r>
        <w:rPr>
          <w:rtl/>
        </w:rPr>
        <w:t>.</w:t>
      </w:r>
    </w:p>
    <w:p w:rsidR="000C39D1" w:rsidRPr="00132E65" w:rsidRDefault="000C39D1" w:rsidP="000C39D1">
      <w:pPr>
        <w:pStyle w:val="libFootnote0"/>
        <w:rPr>
          <w:rtl/>
          <w:lang w:bidi="fa-IR"/>
        </w:rPr>
      </w:pPr>
      <w:r>
        <w:rPr>
          <w:rtl/>
        </w:rPr>
        <w:t>(3).</w:t>
      </w:r>
      <w:r w:rsidRPr="00132E65">
        <w:rPr>
          <w:rtl/>
        </w:rPr>
        <w:t xml:space="preserve"> « فتزعزعت » ، أي تحرّكت. والزعزعة : تحريك الريح الشجرة ونحوها ، أي كلّ تحريك شديد. يقال : زعزعه فتزعزع ، أي حرّكه ليقلعه فتحرّك. راجع : </w:t>
      </w:r>
      <w:r w:rsidRPr="009D1ACE">
        <w:rPr>
          <w:rStyle w:val="libFootnoteBoldChar"/>
          <w:rtl/>
        </w:rPr>
        <w:t>لسان العرب</w:t>
      </w:r>
      <w:r w:rsidRPr="00132E65">
        <w:rPr>
          <w:rtl/>
        </w:rPr>
        <w:t xml:space="preserve"> ، ج 8 ، ص 141 ؛ </w:t>
      </w:r>
      <w:r w:rsidRPr="0002294E">
        <w:rPr>
          <w:rStyle w:val="libFootnoteBoldChar"/>
          <w:rtl/>
        </w:rPr>
        <w:t>القاموس المحيط</w:t>
      </w:r>
      <w:r w:rsidRPr="00132E65">
        <w:rPr>
          <w:rtl/>
        </w:rPr>
        <w:t xml:space="preserve"> ، ج 2 ، ص 973 ( زعع )</w:t>
      </w:r>
      <w:r>
        <w:rPr>
          <w:rtl/>
        </w:rPr>
        <w:t>.</w:t>
      </w:r>
    </w:p>
    <w:tbl>
      <w:tblPr>
        <w:tblStyle w:val="TableGrid"/>
        <w:bidiVisual/>
        <w:tblW w:w="0" w:type="auto"/>
        <w:tblLook w:val="04A0" w:firstRow="1" w:lastRow="0" w:firstColumn="1" w:lastColumn="0" w:noHBand="0" w:noVBand="1"/>
      </w:tblPr>
      <w:tblGrid>
        <w:gridCol w:w="4261"/>
        <w:gridCol w:w="4262"/>
      </w:tblGrid>
      <w:tr w:rsidR="0002294E" w:rsidTr="0002294E">
        <w:tc>
          <w:tcPr>
            <w:tcW w:w="4261" w:type="dxa"/>
          </w:tcPr>
          <w:p w:rsidR="0002294E" w:rsidRDefault="0002294E" w:rsidP="000C39D1">
            <w:pPr>
              <w:pStyle w:val="libFootnote0"/>
              <w:rPr>
                <w:rtl/>
              </w:rPr>
            </w:pPr>
            <w:r>
              <w:rPr>
                <w:rtl/>
              </w:rPr>
              <w:t>(4).</w:t>
            </w:r>
            <w:r w:rsidRPr="00132E65">
              <w:rPr>
                <w:rtl/>
              </w:rPr>
              <w:t xml:space="preserve"> في « ف » </w:t>
            </w:r>
            <w:r>
              <w:rPr>
                <w:rtl/>
              </w:rPr>
              <w:t xml:space="preserve">: - </w:t>
            </w:r>
            <w:r w:rsidRPr="00132E65">
              <w:rPr>
                <w:rtl/>
              </w:rPr>
              <w:t>« الصياح »</w:t>
            </w:r>
            <w:r>
              <w:rPr>
                <w:rtl/>
              </w:rPr>
              <w:t>.</w:t>
            </w:r>
          </w:p>
        </w:tc>
        <w:tc>
          <w:tcPr>
            <w:tcW w:w="4262" w:type="dxa"/>
          </w:tcPr>
          <w:p w:rsidR="0002294E" w:rsidRDefault="0002294E" w:rsidP="000C39D1">
            <w:pPr>
              <w:pStyle w:val="libFootnote0"/>
              <w:rPr>
                <w:rtl/>
              </w:rPr>
            </w:pPr>
            <w:r>
              <w:rPr>
                <w:rtl/>
              </w:rPr>
              <w:t>(5).</w:t>
            </w:r>
            <w:r w:rsidRPr="00132E65">
              <w:rPr>
                <w:rtl/>
              </w:rPr>
              <w:t xml:space="preserve"> في « ف » : « ويوقف »</w:t>
            </w:r>
            <w:r>
              <w:rPr>
                <w:rtl/>
              </w:rPr>
              <w:t>.</w:t>
            </w:r>
          </w:p>
        </w:tc>
      </w:tr>
      <w:tr w:rsidR="0002294E" w:rsidTr="0002294E">
        <w:tc>
          <w:tcPr>
            <w:tcW w:w="4261" w:type="dxa"/>
          </w:tcPr>
          <w:p w:rsidR="0002294E" w:rsidRDefault="0002294E" w:rsidP="000C39D1">
            <w:pPr>
              <w:pStyle w:val="libFootnote0"/>
              <w:rPr>
                <w:rtl/>
              </w:rPr>
            </w:pPr>
            <w:r>
              <w:rPr>
                <w:rtl/>
              </w:rPr>
              <w:t>(6).</w:t>
            </w:r>
            <w:r w:rsidRPr="00132E65">
              <w:rPr>
                <w:rtl/>
              </w:rPr>
              <w:t xml:space="preserve"> في « ف » : « بثلاث »</w:t>
            </w:r>
            <w:r>
              <w:rPr>
                <w:rtl/>
              </w:rPr>
              <w:t>.</w:t>
            </w:r>
          </w:p>
        </w:tc>
        <w:tc>
          <w:tcPr>
            <w:tcW w:w="4262" w:type="dxa"/>
          </w:tcPr>
          <w:p w:rsidR="0002294E" w:rsidRDefault="0002294E" w:rsidP="000C39D1">
            <w:pPr>
              <w:pStyle w:val="libFootnote0"/>
              <w:rPr>
                <w:rtl/>
              </w:rPr>
            </w:pPr>
            <w:r>
              <w:rPr>
                <w:rtl/>
              </w:rPr>
              <w:t>(7).</w:t>
            </w:r>
            <w:r w:rsidRPr="00132E65">
              <w:rPr>
                <w:rtl/>
              </w:rPr>
              <w:t xml:space="preserve"> في الوسائل : « فيخيّل »</w:t>
            </w:r>
            <w:r>
              <w:rPr>
                <w:rtl/>
              </w:rPr>
              <w:t>.</w:t>
            </w:r>
          </w:p>
        </w:tc>
      </w:tr>
      <w:tr w:rsidR="0002294E" w:rsidTr="0002294E">
        <w:tc>
          <w:tcPr>
            <w:tcW w:w="4261" w:type="dxa"/>
          </w:tcPr>
          <w:p w:rsidR="0002294E" w:rsidRDefault="0002294E" w:rsidP="000C39D1">
            <w:pPr>
              <w:pStyle w:val="libFootnote0"/>
              <w:rPr>
                <w:rtl/>
              </w:rPr>
            </w:pPr>
            <w:r>
              <w:rPr>
                <w:rtl/>
              </w:rPr>
              <w:t>(8).</w:t>
            </w:r>
            <w:r w:rsidRPr="00132E65">
              <w:rPr>
                <w:rtl/>
              </w:rPr>
              <w:t xml:space="preserve"> في حاشية « بس » والوسائل : « لنا »</w:t>
            </w:r>
            <w:r>
              <w:rPr>
                <w:rtl/>
              </w:rPr>
              <w:t>.</w:t>
            </w:r>
          </w:p>
        </w:tc>
        <w:tc>
          <w:tcPr>
            <w:tcW w:w="4262" w:type="dxa"/>
          </w:tcPr>
          <w:p w:rsidR="0002294E" w:rsidRDefault="0002294E" w:rsidP="000C39D1">
            <w:pPr>
              <w:pStyle w:val="libFootnote0"/>
              <w:rPr>
                <w:rtl/>
              </w:rPr>
            </w:pPr>
            <w:r>
              <w:rPr>
                <w:rtl/>
              </w:rPr>
              <w:t>(9).</w:t>
            </w:r>
            <w:r w:rsidRPr="00132E65">
              <w:rPr>
                <w:rtl/>
              </w:rPr>
              <w:t xml:space="preserve"> في الوسائل : « السماوات »</w:t>
            </w:r>
            <w:r>
              <w:rPr>
                <w:rtl/>
              </w:rPr>
              <w:t>.</w:t>
            </w:r>
          </w:p>
        </w:tc>
      </w:tr>
      <w:tr w:rsidR="0002294E" w:rsidTr="0002294E">
        <w:tc>
          <w:tcPr>
            <w:tcW w:w="4261" w:type="dxa"/>
          </w:tcPr>
          <w:p w:rsidR="0002294E" w:rsidRDefault="0002294E" w:rsidP="000C39D1">
            <w:pPr>
              <w:pStyle w:val="libFootnote0"/>
              <w:rPr>
                <w:rtl/>
              </w:rPr>
            </w:pPr>
            <w:r>
              <w:rPr>
                <w:rtl/>
              </w:rPr>
              <w:t>(10).</w:t>
            </w:r>
            <w:r w:rsidRPr="00132E65">
              <w:rPr>
                <w:rtl/>
              </w:rPr>
              <w:t xml:space="preserve"> في « ف » : « قد تجاوبه »</w:t>
            </w:r>
            <w:r>
              <w:rPr>
                <w:rtl/>
              </w:rPr>
              <w:t>.</w:t>
            </w:r>
          </w:p>
        </w:tc>
        <w:tc>
          <w:tcPr>
            <w:tcW w:w="4262" w:type="dxa"/>
          </w:tcPr>
          <w:p w:rsidR="0002294E" w:rsidRDefault="0002294E" w:rsidP="000C39D1">
            <w:pPr>
              <w:pStyle w:val="libFootnote0"/>
              <w:rPr>
                <w:rtl/>
              </w:rPr>
            </w:pPr>
            <w:r>
              <w:rPr>
                <w:rtl/>
              </w:rPr>
              <w:t>(11).</w:t>
            </w:r>
            <w:r w:rsidRPr="00132E65">
              <w:rPr>
                <w:rtl/>
              </w:rPr>
              <w:t xml:space="preserve"> في الوسائل : « بالبكاء »</w:t>
            </w:r>
            <w:r>
              <w:rPr>
                <w:rtl/>
              </w:rPr>
              <w:t>.</w:t>
            </w:r>
          </w:p>
        </w:tc>
      </w:tr>
      <w:tr w:rsidR="0002294E" w:rsidTr="0002294E">
        <w:tc>
          <w:tcPr>
            <w:tcW w:w="4261" w:type="dxa"/>
          </w:tcPr>
          <w:p w:rsidR="0002294E" w:rsidRDefault="0002294E" w:rsidP="000C39D1">
            <w:pPr>
              <w:pStyle w:val="libFootnote0"/>
              <w:rPr>
                <w:rtl/>
              </w:rPr>
            </w:pPr>
            <w:r>
              <w:rPr>
                <w:rtl/>
              </w:rPr>
              <w:t>(12).</w:t>
            </w:r>
            <w:r w:rsidRPr="00132E65">
              <w:rPr>
                <w:rtl/>
              </w:rPr>
              <w:t xml:space="preserve"> في « ف » : « فبلغ »</w:t>
            </w:r>
            <w:r>
              <w:rPr>
                <w:rtl/>
              </w:rPr>
              <w:t>.</w:t>
            </w:r>
          </w:p>
        </w:tc>
        <w:tc>
          <w:tcPr>
            <w:tcW w:w="4262" w:type="dxa"/>
          </w:tcPr>
          <w:p w:rsidR="0002294E" w:rsidRDefault="0002294E" w:rsidP="000C39D1">
            <w:pPr>
              <w:pStyle w:val="libFootnote0"/>
              <w:rPr>
                <w:rtl/>
              </w:rPr>
            </w:pPr>
            <w:r>
              <w:rPr>
                <w:rtl/>
              </w:rPr>
              <w:t>(13)</w:t>
            </w:r>
            <w:r w:rsidRPr="00132E65">
              <w:rPr>
                <w:rtl/>
              </w:rPr>
              <w:t xml:space="preserve"> في « بف » : « إلى »</w:t>
            </w:r>
            <w:r>
              <w:rPr>
                <w:rtl/>
              </w:rPr>
              <w:t>.</w:t>
            </w:r>
          </w:p>
        </w:tc>
      </w:tr>
    </w:tbl>
    <w:p w:rsidR="000C39D1" w:rsidRPr="00132E65" w:rsidRDefault="000C39D1" w:rsidP="000C39D1">
      <w:pPr>
        <w:pStyle w:val="libFootnote0"/>
        <w:rPr>
          <w:rtl/>
          <w:lang w:bidi="fa-IR"/>
        </w:rPr>
      </w:pPr>
      <w:r>
        <w:rPr>
          <w:rtl/>
        </w:rPr>
        <w:t>(14)</w:t>
      </w:r>
      <w:r w:rsidRPr="00132E65">
        <w:rPr>
          <w:rtl/>
        </w:rPr>
        <w:t xml:space="preserve"> في « ب » : « فلبس »</w:t>
      </w:r>
      <w:r>
        <w:rPr>
          <w:rtl/>
        </w:rPr>
        <w:t>.</w:t>
      </w:r>
    </w:p>
    <w:p w:rsidR="000C39D1" w:rsidRPr="00132E65" w:rsidRDefault="000C39D1" w:rsidP="000C39D1">
      <w:pPr>
        <w:pStyle w:val="libFootnote0"/>
        <w:rPr>
          <w:rtl/>
          <w:lang w:bidi="fa-IR"/>
        </w:rPr>
      </w:pPr>
      <w:r>
        <w:rPr>
          <w:rtl/>
        </w:rPr>
        <w:t>(15)</w:t>
      </w:r>
      <w:r w:rsidRPr="00132E65">
        <w:rPr>
          <w:rtl/>
        </w:rPr>
        <w:t xml:space="preserve"> </w:t>
      </w:r>
      <w:r w:rsidRPr="0002294E">
        <w:rPr>
          <w:rStyle w:val="libFootnoteBoldChar"/>
          <w:rtl/>
        </w:rPr>
        <w:t>عيون الأخبار</w:t>
      </w:r>
      <w:r w:rsidRPr="00132E65">
        <w:rPr>
          <w:rtl/>
        </w:rPr>
        <w:t xml:space="preserve"> ، ج 2 ، ص 149 ، ح 21 ، بسنده عن عليّ بن إبراهيم ، عن ياسر الخادم ، مع اختلاف يسير </w:t>
      </w:r>
      <w:r w:rsidR="0002294E">
        <w:rPr>
          <w:rFonts w:hint="cs"/>
          <w:rtl/>
        </w:rPr>
        <w:t>.</w:t>
      </w:r>
      <w:r w:rsidRPr="009D1ACE">
        <w:rPr>
          <w:rStyle w:val="libFootnoteBoldChar"/>
          <w:rtl/>
        </w:rPr>
        <w:t>الوافي</w:t>
      </w:r>
      <w:r w:rsidRPr="00132E65">
        <w:rPr>
          <w:rtl/>
        </w:rPr>
        <w:t xml:space="preserve"> ، ج 3 ، ص 819 ، ح 1429 ؛ </w:t>
      </w:r>
      <w:r w:rsidRPr="0002294E">
        <w:rPr>
          <w:rStyle w:val="libFootnoteBoldChar"/>
          <w:rtl/>
        </w:rPr>
        <w:t>الوسائل</w:t>
      </w:r>
      <w:r w:rsidRPr="00132E65">
        <w:rPr>
          <w:rtl/>
        </w:rPr>
        <w:t xml:space="preserve"> ، ج 7 ، ص 453 ، ح 9844.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لَمَّا </w:t>
      </w:r>
      <w:r>
        <w:rPr>
          <w:rStyle w:val="libFootnotenumChar"/>
          <w:rtl/>
        </w:rPr>
        <w:t>(1)</w:t>
      </w:r>
      <w:r w:rsidRPr="00132E65">
        <w:rPr>
          <w:rtl/>
          <w:lang w:bidi="fa-IR"/>
        </w:rPr>
        <w:t xml:space="preserve"> خَرَجَ الْمَأْمُونُ مِنْ خُرَاسَانَ يُرِيدُ بَغْدَادَ ، و</w:t>
      </w:r>
      <w:r w:rsidR="0002294E">
        <w:rPr>
          <w:rFonts w:hint="cs"/>
          <w:rtl/>
          <w:lang w:bidi="fa-IR"/>
        </w:rPr>
        <w:t>َ</w:t>
      </w:r>
      <w:r w:rsidRPr="00132E65">
        <w:rPr>
          <w:rtl/>
          <w:lang w:bidi="fa-IR"/>
        </w:rPr>
        <w:t xml:space="preserve">خَرَجَ الْفَضْلُ </w:t>
      </w:r>
      <w:r>
        <w:rPr>
          <w:rStyle w:val="libFootnotenumChar"/>
          <w:rtl/>
        </w:rPr>
        <w:t>(2)</w:t>
      </w:r>
      <w:r w:rsidRPr="00132E65">
        <w:rPr>
          <w:rtl/>
          <w:lang w:bidi="fa-IR"/>
        </w:rPr>
        <w:t xml:space="preserve"> ذُو الرِّئَاسَتَيْنِ ، وَخَرَجْنَا مَعَ أَبِي الْحَسَنِ </w:t>
      </w:r>
      <w:r>
        <w:rPr>
          <w:rStyle w:val="libFootnotenumChar"/>
          <w:rtl/>
        </w:rPr>
        <w:t>(3)</w:t>
      </w:r>
      <w:r w:rsidRPr="00132E65">
        <w:rPr>
          <w:rtl/>
          <w:lang w:bidi="fa-IR"/>
        </w:rPr>
        <w:t xml:space="preserve"> </w:t>
      </w:r>
      <w:r w:rsidRPr="00071CF9">
        <w:rPr>
          <w:rStyle w:val="libAlaemChar"/>
          <w:rtl/>
        </w:rPr>
        <w:t>عليه‌السلام</w:t>
      </w:r>
      <w:r w:rsidRPr="00132E65">
        <w:rPr>
          <w:rtl/>
          <w:lang w:bidi="fa-IR"/>
        </w:rPr>
        <w:t xml:space="preserve"> ، ورَدَ </w:t>
      </w:r>
      <w:r>
        <w:rPr>
          <w:rStyle w:val="libFootnotenumChar"/>
          <w:rtl/>
        </w:rPr>
        <w:t>(4)</w:t>
      </w:r>
      <w:r w:rsidRPr="00132E65">
        <w:rPr>
          <w:rtl/>
          <w:lang w:bidi="fa-IR"/>
        </w:rPr>
        <w:t xml:space="preserve"> عَلَى الْفَضْلِ بْنِ سَهْلٍ ذِي الرِّئَاسَتَيْنِ </w:t>
      </w:r>
      <w:r>
        <w:rPr>
          <w:rStyle w:val="libFootnotenumChar"/>
          <w:rtl/>
        </w:rPr>
        <w:t>(5)</w:t>
      </w:r>
      <w:r w:rsidRPr="00132E65">
        <w:rPr>
          <w:rtl/>
          <w:lang w:bidi="fa-IR"/>
        </w:rPr>
        <w:t xml:space="preserve"> كِتَابٌ مِنْ أَخِيهِ الْحَسَنِ بْنِ سَهْلٍ و</w:t>
      </w:r>
      <w:r w:rsidR="0002294E">
        <w:rPr>
          <w:rFonts w:hint="cs"/>
          <w:rtl/>
          <w:lang w:bidi="fa-IR"/>
        </w:rPr>
        <w:t>َ</w:t>
      </w:r>
      <w:r w:rsidRPr="00132E65">
        <w:rPr>
          <w:rtl/>
          <w:lang w:bidi="fa-IR"/>
        </w:rPr>
        <w:t xml:space="preserve">نَحْنُ فِي بَعْضِ الْمَنَازِلِ : إِنِّي نَظَرْتُ فِي تَحْوِيلِ السَّنَةِ فِي حِسَابِ النُّجُومِ </w:t>
      </w:r>
      <w:r>
        <w:rPr>
          <w:rStyle w:val="libFootnotenumChar"/>
          <w:rtl/>
        </w:rPr>
        <w:t>(6)</w:t>
      </w:r>
      <w:r w:rsidRPr="00132E65">
        <w:rPr>
          <w:rtl/>
          <w:lang w:bidi="fa-IR"/>
        </w:rPr>
        <w:t xml:space="preserve"> ، فَوَجَدْتُ فِيهِ أَنَّكَ تَذُوقُ فِي شَهْرِ كَذَا و</w:t>
      </w:r>
      <w:r w:rsidR="0002294E">
        <w:rPr>
          <w:rFonts w:hint="cs"/>
          <w:rtl/>
          <w:lang w:bidi="fa-IR"/>
        </w:rPr>
        <w:t>َ</w:t>
      </w:r>
      <w:r w:rsidRPr="00132E65">
        <w:rPr>
          <w:rtl/>
          <w:lang w:bidi="fa-IR"/>
        </w:rPr>
        <w:t>كَذَا يَوْمَ الْأَرْبِعَاءِ حَرَّ الْحَدِيدِ وَحَرَّ النَّارِ ، وأَرى أَنْ تَدْخُلَ أَنْتَ و</w:t>
      </w:r>
      <w:r w:rsidR="0002294E">
        <w:rPr>
          <w:rFonts w:hint="cs"/>
          <w:rtl/>
          <w:lang w:bidi="fa-IR"/>
        </w:rPr>
        <w:t xml:space="preserve">َ </w:t>
      </w:r>
      <w:r w:rsidRPr="00132E65">
        <w:rPr>
          <w:rtl/>
          <w:lang w:bidi="fa-IR"/>
        </w:rPr>
        <w:t>أَمِيرُ الْمُؤْمِنِينَ و</w:t>
      </w:r>
      <w:r w:rsidR="0002294E">
        <w:rPr>
          <w:rFonts w:hint="cs"/>
          <w:rtl/>
          <w:lang w:bidi="fa-IR"/>
        </w:rPr>
        <w:t>َ</w:t>
      </w:r>
      <w:r w:rsidRPr="00132E65">
        <w:rPr>
          <w:rtl/>
          <w:lang w:bidi="fa-IR"/>
        </w:rPr>
        <w:t>الرِّضَا الْحَمَّامَ فِي هذَا الْيَوْمِ ، وَ</w:t>
      </w:r>
      <w:r>
        <w:rPr>
          <w:rFonts w:hint="cs"/>
          <w:rtl/>
          <w:lang w:bidi="fa-IR"/>
        </w:rPr>
        <w:t xml:space="preserve"> </w:t>
      </w:r>
      <w:r>
        <w:rPr>
          <w:rStyle w:val="libFootnotenumChar"/>
          <w:rtl/>
        </w:rPr>
        <w:t>(7)</w:t>
      </w:r>
      <w:r w:rsidRPr="00132E65">
        <w:rPr>
          <w:rtl/>
          <w:lang w:bidi="fa-IR"/>
        </w:rPr>
        <w:t xml:space="preserve"> تَحْتَجِمَ فِيهِ ، و</w:t>
      </w:r>
      <w:r w:rsidR="0002294E">
        <w:rPr>
          <w:rFonts w:hint="cs"/>
          <w:rtl/>
          <w:lang w:bidi="fa-IR"/>
        </w:rPr>
        <w:t>َ</w:t>
      </w:r>
      <w:r w:rsidRPr="00132E65">
        <w:rPr>
          <w:rtl/>
          <w:lang w:bidi="fa-IR"/>
        </w:rPr>
        <w:t xml:space="preserve">تَصُبَّ عَلى يَدَيْكَ </w:t>
      </w:r>
      <w:r>
        <w:rPr>
          <w:rStyle w:val="libFootnotenumChar"/>
          <w:rtl/>
        </w:rPr>
        <w:t>(8)</w:t>
      </w:r>
      <w:r w:rsidRPr="00132E65">
        <w:rPr>
          <w:rtl/>
          <w:lang w:bidi="fa-IR"/>
        </w:rPr>
        <w:t xml:space="preserve"> الدَّمَ لِيَزُولَ عَنْكَ نَحْسُهُ.</w:t>
      </w:r>
    </w:p>
    <w:p w:rsidR="000C39D1" w:rsidRPr="00132E65" w:rsidRDefault="000C39D1" w:rsidP="000C39D1">
      <w:pPr>
        <w:pStyle w:val="libNormal"/>
        <w:rPr>
          <w:rtl/>
          <w:lang w:bidi="fa-IR"/>
        </w:rPr>
      </w:pPr>
      <w:r w:rsidRPr="00132E65">
        <w:rPr>
          <w:rtl/>
          <w:lang w:bidi="fa-IR"/>
        </w:rPr>
        <w:t>فَكَتَبَ ذُو الرِّئَاسَتَيْنِ إِلَى الْمَأْمُونِ بِذلِكَ ، و</w:t>
      </w:r>
      <w:r w:rsidR="0002294E">
        <w:rPr>
          <w:rFonts w:hint="cs"/>
          <w:rtl/>
          <w:lang w:bidi="fa-IR"/>
        </w:rPr>
        <w:t>َ</w:t>
      </w:r>
      <w:r w:rsidRPr="00132E65">
        <w:rPr>
          <w:rtl/>
          <w:lang w:bidi="fa-IR"/>
        </w:rPr>
        <w:t xml:space="preserve">سَأَلَهُ أَنْ يَسْأَلَ أَبَا الْحَسَنِ </w:t>
      </w:r>
      <w:r w:rsidRPr="00071CF9">
        <w:rPr>
          <w:rStyle w:val="libAlaemChar"/>
          <w:rtl/>
        </w:rPr>
        <w:t>عليه‌السلام</w:t>
      </w:r>
      <w:r w:rsidRPr="00132E65">
        <w:rPr>
          <w:rtl/>
          <w:lang w:bidi="fa-IR"/>
        </w:rPr>
        <w:t xml:space="preserve"> ذلِكَ ، فَكَتَبَ الْمَأْمُونُ إِلى أَبِي الْحَسَنِ </w:t>
      </w:r>
      <w:r w:rsidRPr="00071CF9">
        <w:rPr>
          <w:rStyle w:val="libAlaemChar"/>
          <w:rtl/>
        </w:rPr>
        <w:t>عليه‌السلام</w:t>
      </w:r>
      <w:r w:rsidRPr="00132E65">
        <w:rPr>
          <w:rtl/>
          <w:lang w:bidi="fa-IR"/>
        </w:rPr>
        <w:t xml:space="preserve"> يَسْأَلُهُ ذلِكَ ، فَكَتَبَ إِلَيْهِ </w:t>
      </w:r>
      <w:r>
        <w:rPr>
          <w:rStyle w:val="libFootnotenumChar"/>
          <w:rtl/>
        </w:rPr>
        <w:t>(9)</w:t>
      </w:r>
      <w:r w:rsidRPr="00132E65">
        <w:rPr>
          <w:rtl/>
          <w:lang w:bidi="fa-IR"/>
        </w:rPr>
        <w:t xml:space="preserve"> أَبُو الْحَسَنِ </w:t>
      </w:r>
      <w:r w:rsidRPr="00071CF9">
        <w:rPr>
          <w:rStyle w:val="libAlaemChar"/>
          <w:rtl/>
        </w:rPr>
        <w:t>عليه‌السلام</w:t>
      </w:r>
      <w:r w:rsidRPr="00132E65">
        <w:rPr>
          <w:rtl/>
          <w:lang w:bidi="fa-IR"/>
        </w:rPr>
        <w:t xml:space="preserve"> : « لَسْتُ بِدَاخِلٍ </w:t>
      </w:r>
      <w:r>
        <w:rPr>
          <w:rStyle w:val="libFootnotenumChar"/>
          <w:rtl/>
        </w:rPr>
        <w:t>(10)</w:t>
      </w:r>
      <w:r w:rsidRPr="00132E65">
        <w:rPr>
          <w:rtl/>
          <w:lang w:bidi="fa-IR"/>
        </w:rPr>
        <w:t xml:space="preserve"> الْحَمَّامَ غَداً </w:t>
      </w:r>
      <w:r>
        <w:rPr>
          <w:rStyle w:val="libFootnotenumChar"/>
          <w:rtl/>
        </w:rPr>
        <w:t>(11)</w:t>
      </w:r>
      <w:r w:rsidRPr="00132E65">
        <w:rPr>
          <w:rtl/>
          <w:lang w:bidi="fa-IR"/>
        </w:rPr>
        <w:t xml:space="preserve"> ، و</w:t>
      </w:r>
      <w:r w:rsidR="0002294E">
        <w:rPr>
          <w:rFonts w:hint="cs"/>
          <w:rtl/>
          <w:lang w:bidi="fa-IR"/>
        </w:rPr>
        <w:t>َ</w:t>
      </w:r>
      <w:r w:rsidRPr="00132E65">
        <w:rPr>
          <w:rtl/>
          <w:lang w:bidi="fa-IR"/>
        </w:rPr>
        <w:t>لَا</w:t>
      </w:r>
      <w:r>
        <w:rPr>
          <w:rFonts w:hint="cs"/>
          <w:rtl/>
          <w:lang w:bidi="fa-IR"/>
        </w:rPr>
        <w:t xml:space="preserve"> </w:t>
      </w:r>
      <w:r w:rsidRPr="00132E65">
        <w:rPr>
          <w:rtl/>
          <w:lang w:bidi="fa-IR"/>
        </w:rPr>
        <w:t>أَرى لَكَ و</w:t>
      </w:r>
      <w:r w:rsidR="0002294E">
        <w:rPr>
          <w:rFonts w:hint="cs"/>
          <w:rtl/>
          <w:lang w:bidi="fa-IR"/>
        </w:rPr>
        <w:t>َ</w:t>
      </w:r>
      <w:r w:rsidRPr="00132E65">
        <w:rPr>
          <w:rtl/>
          <w:lang w:bidi="fa-IR"/>
        </w:rPr>
        <w:t>لَا</w:t>
      </w:r>
      <w:r w:rsidR="0002294E">
        <w:rPr>
          <w:rFonts w:hint="cs"/>
          <w:rtl/>
          <w:lang w:bidi="fa-IR"/>
        </w:rPr>
        <w:t xml:space="preserve"> </w:t>
      </w:r>
      <w:r w:rsidRPr="00132E65">
        <w:rPr>
          <w:rtl/>
          <w:lang w:bidi="fa-IR"/>
        </w:rPr>
        <w:t xml:space="preserve">لِلْفَضْلِ أَنْ تَدْخُلَا </w:t>
      </w:r>
      <w:r>
        <w:rPr>
          <w:rStyle w:val="libFootnotenumChar"/>
          <w:rtl/>
        </w:rPr>
        <w:t>(12)</w:t>
      </w:r>
      <w:r w:rsidRPr="00132E65">
        <w:rPr>
          <w:rtl/>
          <w:lang w:bidi="fa-IR"/>
        </w:rPr>
        <w:t xml:space="preserve"> الْحَمَّامَ غَداً </w:t>
      </w:r>
      <w:r w:rsidRPr="00F543F1">
        <w:rPr>
          <w:rStyle w:val="libFootnotenumChar"/>
          <w:rtl/>
        </w:rPr>
        <w:t>(13)</w:t>
      </w:r>
      <w:r w:rsidRPr="00132E65">
        <w:rPr>
          <w:rtl/>
          <w:lang w:bidi="fa-IR"/>
        </w:rPr>
        <w:t xml:space="preserve"> »</w:t>
      </w:r>
      <w:r>
        <w:rPr>
          <w:rtl/>
          <w:lang w:bidi="fa-IR"/>
        </w:rPr>
        <w:t>.</w:t>
      </w:r>
      <w:r w:rsidRPr="00132E65">
        <w:rPr>
          <w:rtl/>
          <w:lang w:bidi="fa-IR"/>
        </w:rPr>
        <w:t xml:space="preserve"> فَأَعَادَ عَلَيْهِ الرُّقْعَةَ مَرَّتَيْنِ ، فَكَتَبَ إِلَيْهِ أَبُو الْحَسَنِ </w:t>
      </w:r>
      <w:r w:rsidRPr="00071CF9">
        <w:rPr>
          <w:rStyle w:val="libAlaemChar"/>
          <w:rtl/>
        </w:rPr>
        <w:t>عليه‌السلام</w:t>
      </w:r>
      <w:r w:rsidRPr="00132E65">
        <w:rPr>
          <w:rtl/>
          <w:lang w:bidi="fa-IR"/>
        </w:rPr>
        <w:t xml:space="preserve"> : « يَا أَمِيرَ الْمُؤْمِنِينَ </w:t>
      </w:r>
      <w:r w:rsidRPr="00F543F1">
        <w:rPr>
          <w:rStyle w:val="libFootnotenumChar"/>
          <w:rtl/>
        </w:rPr>
        <w:t>(14)</w:t>
      </w:r>
      <w:r w:rsidRPr="00132E65">
        <w:rPr>
          <w:rtl/>
          <w:lang w:bidi="fa-IR"/>
        </w:rPr>
        <w:t xml:space="preserve"> ، لَسْتُ بِدَاخِلٍ غَداً الْحَمَّامَ </w:t>
      </w:r>
      <w:r w:rsidRPr="00F543F1">
        <w:rPr>
          <w:rStyle w:val="libFootnotenumChar"/>
          <w:rtl/>
        </w:rPr>
        <w:t>(15)</w:t>
      </w:r>
      <w:r w:rsidRPr="00132E65">
        <w:rPr>
          <w:rtl/>
          <w:lang w:bidi="fa-IR"/>
        </w:rPr>
        <w:t xml:space="preserve"> ؛ فَإِنِّي رَأَيْتُ رَسُولَ اللهِ </w:t>
      </w:r>
      <w:r w:rsidRPr="0093484F">
        <w:rPr>
          <w:rStyle w:val="libAlaemChar"/>
          <w:rFonts w:eastAsiaTheme="minorHAnsi"/>
          <w:rtl/>
        </w:rPr>
        <w:t>صلى‌الله‌عليه‌وآله</w:t>
      </w:r>
      <w:r w:rsidRPr="00132E65">
        <w:rPr>
          <w:rtl/>
          <w:lang w:bidi="fa-IR"/>
        </w:rPr>
        <w:t xml:space="preserve"> فِي هذِهِ اللَّيْلَةِ فِي النَّوْمِ </w:t>
      </w:r>
      <w:r w:rsidRPr="00F543F1">
        <w:rPr>
          <w:rStyle w:val="libFootnotenumChar"/>
          <w:rtl/>
        </w:rPr>
        <w:t>(16)</w:t>
      </w:r>
      <w:r w:rsidRPr="00132E65">
        <w:rPr>
          <w:rtl/>
          <w:lang w:bidi="fa-IR"/>
        </w:rPr>
        <w:t xml:space="preserve"> ، فَقَالَ لِي : يَا عَلِيُّ ، لَا تَدْخُلِ الْحَمَّامَ غَداً ، و</w:t>
      </w:r>
      <w:r w:rsidR="0002294E">
        <w:rPr>
          <w:rFonts w:hint="cs"/>
          <w:rtl/>
          <w:lang w:bidi="fa-IR"/>
        </w:rPr>
        <w:t xml:space="preserve">َ </w:t>
      </w:r>
      <w:r w:rsidRPr="00132E65">
        <w:rPr>
          <w:rtl/>
          <w:lang w:bidi="fa-IR"/>
        </w:rPr>
        <w:t>لَا</w:t>
      </w:r>
      <w:r>
        <w:rPr>
          <w:rFonts w:hint="cs"/>
          <w:rtl/>
          <w:lang w:bidi="fa-IR"/>
        </w:rPr>
        <w:t xml:space="preserve"> </w:t>
      </w:r>
      <w:r w:rsidRPr="00132E65">
        <w:rPr>
          <w:rtl/>
          <w:lang w:bidi="fa-IR"/>
        </w:rPr>
        <w:t xml:space="preserve">أَرى لَكَ </w:t>
      </w:r>
      <w:r w:rsidRPr="00F543F1">
        <w:rPr>
          <w:rStyle w:val="libFootnotenumChar"/>
          <w:rtl/>
        </w:rPr>
        <w:t>(17)</w:t>
      </w:r>
      <w:r w:rsidRPr="00132E65">
        <w:rPr>
          <w:rtl/>
          <w:lang w:bidi="fa-IR"/>
        </w:rPr>
        <w:t xml:space="preserve"> و</w:t>
      </w:r>
      <w:r w:rsidR="0002294E">
        <w:rPr>
          <w:rFonts w:hint="cs"/>
          <w:rtl/>
          <w:lang w:bidi="fa-IR"/>
        </w:rPr>
        <w:t xml:space="preserve">َ </w:t>
      </w:r>
      <w:r w:rsidRPr="00132E65">
        <w:rPr>
          <w:rtl/>
          <w:lang w:bidi="fa-IR"/>
        </w:rPr>
        <w:t>لَا</w:t>
      </w:r>
      <w:r w:rsidR="0002294E">
        <w:rPr>
          <w:rFonts w:hint="cs"/>
          <w:rtl/>
          <w:lang w:bidi="fa-IR"/>
        </w:rPr>
        <w:t xml:space="preserve"> </w:t>
      </w:r>
      <w:r w:rsidRPr="00132E65">
        <w:rPr>
          <w:rtl/>
          <w:lang w:bidi="fa-IR"/>
        </w:rPr>
        <w:t xml:space="preserve">لِلْفَضْلِ أَنْ تَدْخُلَا </w:t>
      </w:r>
      <w:r w:rsidRPr="00F543F1">
        <w:rPr>
          <w:rStyle w:val="libFootnotenumChar"/>
          <w:rtl/>
        </w:rPr>
        <w:t>(18)</w:t>
      </w:r>
      <w:r w:rsidRPr="00132E65">
        <w:rPr>
          <w:rtl/>
          <w:lang w:bidi="fa-IR"/>
        </w:rPr>
        <w:t xml:space="preserve"> الْحَمَّامَ غَداً </w:t>
      </w:r>
      <w:r w:rsidRPr="00F543F1">
        <w:rPr>
          <w:rStyle w:val="libFootnotenumChar"/>
          <w:rtl/>
        </w:rPr>
        <w:t>(19)</w:t>
      </w:r>
      <w:r w:rsidRPr="00132E65">
        <w:rPr>
          <w:rtl/>
          <w:lang w:bidi="fa-IR"/>
        </w:rPr>
        <w:t xml:space="preserve"> »</w:t>
      </w:r>
      <w:r>
        <w:rPr>
          <w:rtl/>
          <w:lang w:bidi="fa-IR"/>
        </w:rPr>
        <w:t>.</w:t>
      </w:r>
      <w:r w:rsidRPr="00132E65">
        <w:rPr>
          <w:rtl/>
          <w:lang w:bidi="fa-IR"/>
        </w:rPr>
        <w:t xml:space="preserve"> فَكَتَبَ‌</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w:t>
      </w:r>
      <w:r>
        <w:rPr>
          <w:rtl/>
        </w:rPr>
        <w:t xml:space="preserve">: - </w:t>
      </w:r>
      <w:r w:rsidR="0002294E">
        <w:rPr>
          <w:rtl/>
        </w:rPr>
        <w:t>« لم</w:t>
      </w:r>
      <w:r w:rsidR="0002294E">
        <w:rPr>
          <w:rFonts w:hint="cs"/>
          <w:rtl/>
        </w:rPr>
        <w:t>ـّ</w:t>
      </w:r>
      <w:r w:rsidRPr="00132E65">
        <w:rPr>
          <w:rtl/>
        </w:rPr>
        <w:t>ا »</w:t>
      </w:r>
      <w:r>
        <w:rPr>
          <w:rtl/>
        </w:rPr>
        <w:t>.</w:t>
      </w:r>
    </w:p>
    <w:p w:rsidR="000C39D1" w:rsidRPr="00132E65" w:rsidRDefault="000C39D1" w:rsidP="0002294E">
      <w:pPr>
        <w:pStyle w:val="libFootnote0"/>
        <w:rPr>
          <w:rtl/>
          <w:lang w:bidi="fa-IR"/>
        </w:rPr>
      </w:pPr>
      <w:r>
        <w:rPr>
          <w:rtl/>
        </w:rPr>
        <w:t>(2).</w:t>
      </w:r>
      <w:r w:rsidR="0002294E">
        <w:rPr>
          <w:rtl/>
        </w:rPr>
        <w:t xml:space="preserve"> في الإرشاد : « لم</w:t>
      </w:r>
      <w:r w:rsidR="0002294E">
        <w:rPr>
          <w:rFonts w:hint="cs"/>
          <w:rtl/>
        </w:rPr>
        <w:t>ـّ</w:t>
      </w:r>
      <w:r w:rsidRPr="00132E65">
        <w:rPr>
          <w:rtl/>
        </w:rPr>
        <w:t>ا عزم المأمون على الخروج من خراسان إلى بغداد ، خرج و</w:t>
      </w:r>
      <w:r w:rsidR="0002294E">
        <w:rPr>
          <w:rtl/>
        </w:rPr>
        <w:t>خرج معه الفضل بن سهل » بدل « لم</w:t>
      </w:r>
      <w:r w:rsidR="0002294E">
        <w:rPr>
          <w:rFonts w:hint="cs"/>
          <w:rtl/>
        </w:rPr>
        <w:t>ـّ</w:t>
      </w:r>
      <w:r w:rsidRPr="00132E65">
        <w:rPr>
          <w:rtl/>
        </w:rPr>
        <w:t>ا خرج المأمون</w:t>
      </w:r>
      <w:r>
        <w:rPr>
          <w:rtl/>
        </w:rPr>
        <w:t xml:space="preserve"> - </w:t>
      </w:r>
      <w:r w:rsidRPr="00132E65">
        <w:rPr>
          <w:rtl/>
        </w:rPr>
        <w:t>إلى</w:t>
      </w:r>
      <w:r>
        <w:rPr>
          <w:rtl/>
        </w:rPr>
        <w:t xml:space="preserve"> - </w:t>
      </w:r>
      <w:r w:rsidRPr="00132E65">
        <w:rPr>
          <w:rtl/>
        </w:rPr>
        <w:t>الفضل »</w:t>
      </w:r>
      <w:r>
        <w:rPr>
          <w:rtl/>
        </w:rPr>
        <w:t>.</w:t>
      </w:r>
      <w:r w:rsidR="0002294E">
        <w:rPr>
          <w:rFonts w:hint="cs"/>
          <w:rtl/>
        </w:rPr>
        <w:t xml:space="preserve">                      </w:t>
      </w:r>
      <w:r w:rsidR="0006034E">
        <w:rPr>
          <w:rFonts w:hint="cs"/>
          <w:rtl/>
        </w:rPr>
        <w:t xml:space="preserve"> </w:t>
      </w:r>
      <w:r w:rsidR="0002294E">
        <w:rPr>
          <w:rFonts w:hint="cs"/>
          <w:rtl/>
        </w:rPr>
        <w:t xml:space="preserve">          </w:t>
      </w:r>
      <w:r w:rsidR="002F3A40">
        <w:rPr>
          <w:rFonts w:hint="cs"/>
          <w:rtl/>
        </w:rPr>
        <w:t xml:space="preserve">   </w:t>
      </w:r>
      <w:r>
        <w:rPr>
          <w:rtl/>
        </w:rPr>
        <w:t>(3).</w:t>
      </w:r>
      <w:r w:rsidRPr="00132E65">
        <w:rPr>
          <w:rtl/>
        </w:rPr>
        <w:t xml:space="preserve"> في الإرشاد :</w:t>
      </w:r>
      <w:r>
        <w:rPr>
          <w:rtl/>
        </w:rPr>
        <w:t xml:space="preserve"> + </w:t>
      </w:r>
      <w:r w:rsidRPr="00132E65">
        <w:rPr>
          <w:rtl/>
        </w:rPr>
        <w:t>« الرضا »</w:t>
      </w:r>
      <w:r>
        <w:rPr>
          <w:rtl/>
        </w:rPr>
        <w:t>.</w:t>
      </w:r>
    </w:p>
    <w:tbl>
      <w:tblPr>
        <w:tblStyle w:val="TableGrid"/>
        <w:bidiVisual/>
        <w:tblW w:w="0" w:type="auto"/>
        <w:tblLook w:val="04A0" w:firstRow="1" w:lastRow="0" w:firstColumn="1" w:lastColumn="0" w:noHBand="0" w:noVBand="1"/>
      </w:tblPr>
      <w:tblGrid>
        <w:gridCol w:w="4261"/>
        <w:gridCol w:w="4262"/>
      </w:tblGrid>
      <w:tr w:rsidR="002F3A40" w:rsidTr="002F3A40">
        <w:tc>
          <w:tcPr>
            <w:tcW w:w="4261" w:type="dxa"/>
          </w:tcPr>
          <w:p w:rsidR="002F3A40" w:rsidRDefault="002F3A40" w:rsidP="000C39D1">
            <w:pPr>
              <w:pStyle w:val="libFootnote0"/>
              <w:rPr>
                <w:rtl/>
              </w:rPr>
            </w:pPr>
            <w:r>
              <w:rPr>
                <w:rtl/>
              </w:rPr>
              <w:t>(4).</w:t>
            </w:r>
            <w:r w:rsidRPr="00132E65">
              <w:rPr>
                <w:rtl/>
              </w:rPr>
              <w:t xml:space="preserve"> في الإرشاد : « فورد »</w:t>
            </w:r>
            <w:r>
              <w:rPr>
                <w:rtl/>
              </w:rPr>
              <w:t>.</w:t>
            </w:r>
          </w:p>
        </w:tc>
        <w:tc>
          <w:tcPr>
            <w:tcW w:w="4262" w:type="dxa"/>
          </w:tcPr>
          <w:p w:rsidR="002F3A40" w:rsidRDefault="002F3A40" w:rsidP="000C39D1">
            <w:pPr>
              <w:pStyle w:val="libFootnote0"/>
              <w:rPr>
                <w:rtl/>
              </w:rPr>
            </w:pPr>
            <w:r>
              <w:rPr>
                <w:rtl/>
              </w:rPr>
              <w:t>(5).</w:t>
            </w:r>
            <w:r w:rsidRPr="00132E65">
              <w:rPr>
                <w:rtl/>
              </w:rPr>
              <w:t xml:space="preserve"> في الإرشاد </w:t>
            </w:r>
            <w:r>
              <w:rPr>
                <w:rtl/>
              </w:rPr>
              <w:t xml:space="preserve">: - </w:t>
            </w:r>
            <w:r w:rsidRPr="00132E65">
              <w:rPr>
                <w:rtl/>
              </w:rPr>
              <w:t>« ذي الرئاستين »</w:t>
            </w:r>
            <w:r>
              <w:rPr>
                <w:rtl/>
              </w:rPr>
              <w:t>.</w:t>
            </w:r>
          </w:p>
        </w:tc>
      </w:tr>
      <w:tr w:rsidR="002F3A40" w:rsidTr="002F3A40">
        <w:tc>
          <w:tcPr>
            <w:tcW w:w="4261" w:type="dxa"/>
          </w:tcPr>
          <w:p w:rsidR="002F3A40" w:rsidRDefault="002F3A40" w:rsidP="000C39D1">
            <w:pPr>
              <w:pStyle w:val="libFootnote0"/>
              <w:rPr>
                <w:rtl/>
              </w:rPr>
            </w:pPr>
            <w:r>
              <w:rPr>
                <w:rtl/>
              </w:rPr>
              <w:t>(6).</w:t>
            </w:r>
            <w:r w:rsidRPr="00132E65">
              <w:rPr>
                <w:rtl/>
              </w:rPr>
              <w:t xml:space="preserve"> في الإرشاد </w:t>
            </w:r>
            <w:r>
              <w:rPr>
                <w:rtl/>
              </w:rPr>
              <w:t xml:space="preserve">: - </w:t>
            </w:r>
            <w:r w:rsidRPr="00132E65">
              <w:rPr>
                <w:rtl/>
              </w:rPr>
              <w:t>« في حساب النجوم »</w:t>
            </w:r>
            <w:r>
              <w:rPr>
                <w:rtl/>
              </w:rPr>
              <w:t>.</w:t>
            </w:r>
          </w:p>
        </w:tc>
        <w:tc>
          <w:tcPr>
            <w:tcW w:w="4262" w:type="dxa"/>
          </w:tcPr>
          <w:p w:rsidR="002F3A40" w:rsidRDefault="002F3A40" w:rsidP="000C39D1">
            <w:pPr>
              <w:pStyle w:val="libFootnote0"/>
              <w:rPr>
                <w:rtl/>
              </w:rPr>
            </w:pPr>
            <w:r>
              <w:rPr>
                <w:rtl/>
              </w:rPr>
              <w:t>(7).</w:t>
            </w:r>
            <w:r w:rsidRPr="00132E65">
              <w:rPr>
                <w:rtl/>
              </w:rPr>
              <w:t xml:space="preserve"> في « بر » </w:t>
            </w:r>
            <w:r>
              <w:rPr>
                <w:rtl/>
              </w:rPr>
              <w:t xml:space="preserve">: - </w:t>
            </w:r>
            <w:r w:rsidRPr="00132E65">
              <w:rPr>
                <w:rtl/>
              </w:rPr>
              <w:t>«</w:t>
            </w:r>
            <w:r>
              <w:rPr>
                <w:rtl/>
              </w:rPr>
              <w:t xml:space="preserve"> و ».</w:t>
            </w:r>
          </w:p>
        </w:tc>
      </w:tr>
      <w:tr w:rsidR="002F3A40" w:rsidTr="002F3A40">
        <w:tc>
          <w:tcPr>
            <w:tcW w:w="4261" w:type="dxa"/>
          </w:tcPr>
          <w:p w:rsidR="002F3A40" w:rsidRDefault="002F3A40" w:rsidP="000C39D1">
            <w:pPr>
              <w:pStyle w:val="libFootnote0"/>
              <w:rPr>
                <w:rtl/>
              </w:rPr>
            </w:pPr>
            <w:r>
              <w:rPr>
                <w:rtl/>
              </w:rPr>
              <w:t>(8).</w:t>
            </w:r>
            <w:r w:rsidRPr="00132E65">
              <w:rPr>
                <w:rtl/>
              </w:rPr>
              <w:t xml:space="preserve"> في « ب ، بح » والإرشاد : « بدنك »</w:t>
            </w:r>
            <w:r>
              <w:rPr>
                <w:rtl/>
              </w:rPr>
              <w:t>.</w:t>
            </w:r>
          </w:p>
        </w:tc>
        <w:tc>
          <w:tcPr>
            <w:tcW w:w="4262" w:type="dxa"/>
          </w:tcPr>
          <w:p w:rsidR="002F3A40" w:rsidRDefault="002F3A40" w:rsidP="000C39D1">
            <w:pPr>
              <w:pStyle w:val="libFootnote0"/>
              <w:rPr>
                <w:rtl/>
              </w:rPr>
            </w:pPr>
            <w:r>
              <w:rPr>
                <w:rtl/>
              </w:rPr>
              <w:t>(9). في الإرشاد : «فيه فأجابه» بدل «ذلك فكتب إليه</w:t>
            </w:r>
            <w:r w:rsidRPr="00132E65">
              <w:rPr>
                <w:rtl/>
              </w:rPr>
              <w:t>»</w:t>
            </w:r>
            <w:r>
              <w:rPr>
                <w:rtl/>
              </w:rPr>
              <w:t>.</w:t>
            </w:r>
          </w:p>
        </w:tc>
      </w:tr>
      <w:tr w:rsidR="002F3A40" w:rsidTr="002F3A40">
        <w:tc>
          <w:tcPr>
            <w:tcW w:w="4261" w:type="dxa"/>
          </w:tcPr>
          <w:p w:rsidR="002F3A40" w:rsidRDefault="002F3A40" w:rsidP="000C39D1">
            <w:pPr>
              <w:pStyle w:val="libFootnote0"/>
              <w:rPr>
                <w:rtl/>
              </w:rPr>
            </w:pPr>
            <w:r>
              <w:rPr>
                <w:rtl/>
              </w:rPr>
              <w:t>(10).</w:t>
            </w:r>
            <w:r w:rsidRPr="00132E65">
              <w:rPr>
                <w:rtl/>
              </w:rPr>
              <w:t xml:space="preserve"> في « ف » : « داخل »</w:t>
            </w:r>
            <w:r>
              <w:rPr>
                <w:rtl/>
              </w:rPr>
              <w:t>.</w:t>
            </w:r>
          </w:p>
        </w:tc>
        <w:tc>
          <w:tcPr>
            <w:tcW w:w="4262" w:type="dxa"/>
          </w:tcPr>
          <w:p w:rsidR="002F3A40" w:rsidRDefault="002F3A40" w:rsidP="000C39D1">
            <w:pPr>
              <w:pStyle w:val="libFootnote0"/>
              <w:rPr>
                <w:rtl/>
              </w:rPr>
            </w:pPr>
            <w:r>
              <w:rPr>
                <w:rtl/>
              </w:rPr>
              <w:t>(11).</w:t>
            </w:r>
            <w:r w:rsidRPr="00132E65">
              <w:rPr>
                <w:rtl/>
              </w:rPr>
              <w:t xml:space="preserve"> في « ب » : « غداً الحمّام »</w:t>
            </w:r>
            <w:r>
              <w:rPr>
                <w:rtl/>
              </w:rPr>
              <w:t>.</w:t>
            </w:r>
          </w:p>
        </w:tc>
      </w:tr>
      <w:tr w:rsidR="002F3A40" w:rsidTr="002F3A40">
        <w:tc>
          <w:tcPr>
            <w:tcW w:w="4261" w:type="dxa"/>
          </w:tcPr>
          <w:p w:rsidR="002F3A40" w:rsidRDefault="002F3A40" w:rsidP="000C39D1">
            <w:pPr>
              <w:pStyle w:val="libFootnote0"/>
              <w:rPr>
                <w:rtl/>
              </w:rPr>
            </w:pPr>
            <w:r>
              <w:rPr>
                <w:rtl/>
              </w:rPr>
              <w:t>(12).</w:t>
            </w:r>
            <w:r w:rsidRPr="00132E65">
              <w:rPr>
                <w:rtl/>
              </w:rPr>
              <w:t xml:space="preserve"> في « بس » : « أن تدخل »</w:t>
            </w:r>
            <w:r>
              <w:rPr>
                <w:rtl/>
              </w:rPr>
              <w:t>.</w:t>
            </w:r>
          </w:p>
        </w:tc>
        <w:tc>
          <w:tcPr>
            <w:tcW w:w="4262" w:type="dxa"/>
          </w:tcPr>
          <w:p w:rsidR="002F3A40" w:rsidRDefault="002F3A40" w:rsidP="000C39D1">
            <w:pPr>
              <w:pStyle w:val="libFootnote0"/>
              <w:rPr>
                <w:rtl/>
              </w:rPr>
            </w:pPr>
            <w:r>
              <w:rPr>
                <w:rtl/>
              </w:rPr>
              <w:t>(13)</w:t>
            </w:r>
            <w:r w:rsidRPr="00132E65">
              <w:rPr>
                <w:rtl/>
              </w:rPr>
              <w:t xml:space="preserve"> في الإرشاد </w:t>
            </w:r>
            <w:r>
              <w:rPr>
                <w:rtl/>
              </w:rPr>
              <w:t xml:space="preserve">: - </w:t>
            </w:r>
            <w:r w:rsidRPr="00132E65">
              <w:rPr>
                <w:rtl/>
              </w:rPr>
              <w:t>« ولا أرى</w:t>
            </w:r>
            <w:r>
              <w:rPr>
                <w:rtl/>
              </w:rPr>
              <w:t xml:space="preserve"> - </w:t>
            </w:r>
            <w:r w:rsidRPr="00132E65">
              <w:rPr>
                <w:rtl/>
              </w:rPr>
              <w:t>إلى</w:t>
            </w:r>
            <w:r>
              <w:rPr>
                <w:rtl/>
              </w:rPr>
              <w:t xml:space="preserve"> - </w:t>
            </w:r>
            <w:r w:rsidRPr="00132E65">
              <w:rPr>
                <w:rtl/>
              </w:rPr>
              <w:t>الحمّام غداً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الإرشاد </w:t>
      </w:r>
      <w:r>
        <w:rPr>
          <w:rtl/>
        </w:rPr>
        <w:t xml:space="preserve">: - </w:t>
      </w:r>
      <w:r w:rsidRPr="00132E65">
        <w:rPr>
          <w:rtl/>
        </w:rPr>
        <w:t>« يا أمير المؤمنين »</w:t>
      </w:r>
      <w:r>
        <w:rPr>
          <w:rtl/>
        </w:rPr>
        <w:t>.</w:t>
      </w:r>
    </w:p>
    <w:p w:rsidR="000C39D1" w:rsidRPr="00132E65" w:rsidRDefault="000C39D1" w:rsidP="000C39D1">
      <w:pPr>
        <w:pStyle w:val="libFootnote0"/>
        <w:rPr>
          <w:rtl/>
          <w:lang w:bidi="fa-IR"/>
        </w:rPr>
      </w:pPr>
      <w:r>
        <w:rPr>
          <w:rtl/>
        </w:rPr>
        <w:t>(15)</w:t>
      </w:r>
      <w:r w:rsidRPr="00132E65">
        <w:rPr>
          <w:rtl/>
        </w:rPr>
        <w:t xml:space="preserve"> في « ج » : « الحمّام غداً »</w:t>
      </w:r>
      <w:r>
        <w:rPr>
          <w:rtl/>
        </w:rPr>
        <w:t>.</w:t>
      </w:r>
      <w:r w:rsidRPr="00132E65">
        <w:rPr>
          <w:rtl/>
        </w:rPr>
        <w:t xml:space="preserve"> وفي الإرشاد : « داخلاً الحمّام غداً »</w:t>
      </w:r>
      <w:r>
        <w:rPr>
          <w:rtl/>
        </w:rPr>
        <w:t>.</w:t>
      </w:r>
    </w:p>
    <w:p w:rsidR="000C39D1" w:rsidRPr="00132E65" w:rsidRDefault="000C39D1" w:rsidP="000C39D1">
      <w:pPr>
        <w:pStyle w:val="libFootnote0"/>
        <w:rPr>
          <w:rtl/>
          <w:lang w:bidi="fa-IR"/>
        </w:rPr>
      </w:pPr>
      <w:r>
        <w:rPr>
          <w:rtl/>
        </w:rPr>
        <w:t>(16)</w:t>
      </w:r>
      <w:r w:rsidRPr="00132E65">
        <w:rPr>
          <w:rtl/>
        </w:rPr>
        <w:t xml:space="preserve"> في الإرشاد </w:t>
      </w:r>
      <w:r>
        <w:rPr>
          <w:rtl/>
        </w:rPr>
        <w:t xml:space="preserve">: - </w:t>
      </w:r>
      <w:r w:rsidRPr="00132E65">
        <w:rPr>
          <w:rtl/>
        </w:rPr>
        <w:t>« في النوم »</w:t>
      </w:r>
      <w:r>
        <w:rPr>
          <w:rtl/>
        </w:rPr>
        <w:t>.</w:t>
      </w:r>
    </w:p>
    <w:p w:rsidR="000C39D1" w:rsidRPr="00132E65" w:rsidRDefault="000C39D1" w:rsidP="000C39D1">
      <w:pPr>
        <w:pStyle w:val="libFootnote0"/>
        <w:rPr>
          <w:rtl/>
          <w:lang w:bidi="fa-IR"/>
        </w:rPr>
      </w:pPr>
      <w:r>
        <w:rPr>
          <w:rtl/>
        </w:rPr>
        <w:t>(17)</w:t>
      </w:r>
      <w:r w:rsidRPr="00132E65">
        <w:rPr>
          <w:rtl/>
        </w:rPr>
        <w:t xml:space="preserve"> في الإرشاد : « فلا أرى لك يا أمير المؤمنين » بدل « ولا أرى لك »</w:t>
      </w:r>
      <w:r>
        <w:rPr>
          <w:rtl/>
        </w:rPr>
        <w:t>.</w:t>
      </w:r>
    </w:p>
    <w:tbl>
      <w:tblPr>
        <w:tblStyle w:val="TableGrid"/>
        <w:bidiVisual/>
        <w:tblW w:w="0" w:type="auto"/>
        <w:tblLook w:val="04A0" w:firstRow="1" w:lastRow="0" w:firstColumn="1" w:lastColumn="0" w:noHBand="0" w:noVBand="1"/>
      </w:tblPr>
      <w:tblGrid>
        <w:gridCol w:w="4261"/>
        <w:gridCol w:w="4262"/>
      </w:tblGrid>
      <w:tr w:rsidR="002F3A40" w:rsidTr="002F3A40">
        <w:tc>
          <w:tcPr>
            <w:tcW w:w="4261" w:type="dxa"/>
          </w:tcPr>
          <w:p w:rsidR="002F3A40" w:rsidRDefault="002F3A40" w:rsidP="000C39D1">
            <w:pPr>
              <w:pStyle w:val="libFootnote0"/>
              <w:rPr>
                <w:rtl/>
              </w:rPr>
            </w:pPr>
            <w:r>
              <w:rPr>
                <w:rtl/>
              </w:rPr>
              <w:t>(18)</w:t>
            </w:r>
            <w:r w:rsidRPr="00132E65">
              <w:rPr>
                <w:rtl/>
              </w:rPr>
              <w:t xml:space="preserve"> في « ض ، بس » : « أن تدخل »</w:t>
            </w:r>
            <w:r>
              <w:rPr>
                <w:rtl/>
              </w:rPr>
              <w:t>.</w:t>
            </w:r>
          </w:p>
        </w:tc>
        <w:tc>
          <w:tcPr>
            <w:tcW w:w="4262" w:type="dxa"/>
          </w:tcPr>
          <w:p w:rsidR="002F3A40" w:rsidRDefault="002F3A40" w:rsidP="000C39D1">
            <w:pPr>
              <w:pStyle w:val="libFootnote0"/>
              <w:rPr>
                <w:rtl/>
              </w:rPr>
            </w:pPr>
            <w:r>
              <w:rPr>
                <w:rtl/>
              </w:rPr>
              <w:t>(19)</w:t>
            </w:r>
            <w:r w:rsidRPr="00132E65">
              <w:rPr>
                <w:rtl/>
              </w:rPr>
              <w:t xml:space="preserve"> في « بر » </w:t>
            </w:r>
            <w:r>
              <w:rPr>
                <w:rtl/>
              </w:rPr>
              <w:t xml:space="preserve">: - </w:t>
            </w:r>
            <w:r w:rsidRPr="00132E65">
              <w:rPr>
                <w:rtl/>
              </w:rPr>
              <w:t>« الحمّام غداً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إِلَيْهِ الْمَأْمُونُ : صَدَقْتَ يا سَيِّدِي </w:t>
      </w:r>
      <w:r>
        <w:rPr>
          <w:rStyle w:val="libFootnotenumChar"/>
          <w:rtl/>
        </w:rPr>
        <w:t>(1)</w:t>
      </w:r>
      <w:r w:rsidRPr="00132E65">
        <w:rPr>
          <w:rtl/>
          <w:lang w:bidi="fa-IR"/>
        </w:rPr>
        <w:t xml:space="preserve"> ، و</w:t>
      </w:r>
      <w:r w:rsidR="002F3A40">
        <w:rPr>
          <w:rFonts w:hint="cs"/>
          <w:rtl/>
          <w:lang w:bidi="fa-IR"/>
        </w:rPr>
        <w:t>َ</w:t>
      </w:r>
      <w:r w:rsidRPr="00132E65">
        <w:rPr>
          <w:rtl/>
          <w:lang w:bidi="fa-IR"/>
        </w:rPr>
        <w:t xml:space="preserve">صَدَقَ رَسُولُ اللهِ </w:t>
      </w:r>
      <w:r w:rsidRPr="0093484F">
        <w:rPr>
          <w:rStyle w:val="libAlaemChar"/>
          <w:rFonts w:eastAsiaTheme="minorHAnsi"/>
          <w:rtl/>
        </w:rPr>
        <w:t>صلى‌الله‌عليه‌وآله</w:t>
      </w:r>
      <w:r w:rsidRPr="00132E65">
        <w:rPr>
          <w:rtl/>
          <w:lang w:bidi="fa-IR"/>
        </w:rPr>
        <w:t xml:space="preserve"> ، لَسْتُ بِدَاخِلٍ الْحَمَّامَ غَداً وَالْفَضْلُ أَعْلَمُ.</w:t>
      </w:r>
    </w:p>
    <w:p w:rsidR="000C39D1" w:rsidRPr="00132E65" w:rsidRDefault="000C39D1" w:rsidP="000C39D1">
      <w:pPr>
        <w:pStyle w:val="libNormal"/>
        <w:rPr>
          <w:rtl/>
          <w:lang w:bidi="fa-IR"/>
        </w:rPr>
      </w:pPr>
      <w:r w:rsidRPr="00132E65">
        <w:rPr>
          <w:rtl/>
          <w:lang w:bidi="fa-IR"/>
        </w:rPr>
        <w:t>قَالَ : فَقَالَ يَاسِرٌ : فَلَمَّا أَمْسَيْنَا و</w:t>
      </w:r>
      <w:r w:rsidR="002F3A40">
        <w:rPr>
          <w:rFonts w:hint="cs"/>
          <w:rtl/>
          <w:lang w:bidi="fa-IR"/>
        </w:rPr>
        <w:t>َ</w:t>
      </w:r>
      <w:r w:rsidRPr="00132E65">
        <w:rPr>
          <w:rtl/>
          <w:lang w:bidi="fa-IR"/>
        </w:rPr>
        <w:t xml:space="preserve">غَابَتِ الشَّمْسُ ، قَالَ لَنَا الرِّضَا </w:t>
      </w:r>
      <w:r w:rsidRPr="00071CF9">
        <w:rPr>
          <w:rStyle w:val="libAlaemChar"/>
          <w:rtl/>
        </w:rPr>
        <w:t>عليه‌السلام</w:t>
      </w:r>
      <w:r w:rsidRPr="00132E65">
        <w:rPr>
          <w:rtl/>
          <w:lang w:bidi="fa-IR"/>
        </w:rPr>
        <w:t xml:space="preserve"> : « قُولُوا : نَعُوذُ بِاللهِ مِنْ شَرِّ مَا يَنْزِلُ فِي هذِهِ اللَّيْلَةِ »</w:t>
      </w:r>
      <w:r>
        <w:rPr>
          <w:rtl/>
          <w:lang w:bidi="fa-IR"/>
        </w:rPr>
        <w:t>.</w:t>
      </w:r>
      <w:r w:rsidRPr="00132E65">
        <w:rPr>
          <w:rtl/>
          <w:lang w:bidi="fa-IR"/>
        </w:rPr>
        <w:t xml:space="preserve"> فَلَمْ نَزَلْ </w:t>
      </w:r>
      <w:r>
        <w:rPr>
          <w:rStyle w:val="libFootnotenumChar"/>
          <w:rtl/>
        </w:rPr>
        <w:t>(2)</w:t>
      </w:r>
      <w:r w:rsidRPr="00132E65">
        <w:rPr>
          <w:rtl/>
          <w:lang w:bidi="fa-IR"/>
        </w:rPr>
        <w:t xml:space="preserve"> نَقُولُ </w:t>
      </w:r>
      <w:r>
        <w:rPr>
          <w:rStyle w:val="libFootnotenumChar"/>
          <w:rtl/>
        </w:rPr>
        <w:t>(3)</w:t>
      </w:r>
      <w:r w:rsidRPr="00132E65">
        <w:rPr>
          <w:rtl/>
          <w:lang w:bidi="fa-IR"/>
        </w:rPr>
        <w:t xml:space="preserve"> ذلِكَ ، فَلَمَّا صَلَّى الرِّضَا </w:t>
      </w:r>
      <w:r w:rsidRPr="00071CF9">
        <w:rPr>
          <w:rStyle w:val="libAlaemChar"/>
          <w:rtl/>
        </w:rPr>
        <w:t>عليه‌السلام</w:t>
      </w:r>
      <w:r w:rsidRPr="00132E65">
        <w:rPr>
          <w:rtl/>
          <w:lang w:bidi="fa-IR"/>
        </w:rPr>
        <w:t xml:space="preserve"> الصُّبْحَ قَالَ لِيَ </w:t>
      </w:r>
      <w:r>
        <w:rPr>
          <w:rStyle w:val="libFootnotenumChar"/>
          <w:rtl/>
        </w:rPr>
        <w:t>(4)</w:t>
      </w:r>
      <w:r w:rsidRPr="00132E65">
        <w:rPr>
          <w:rtl/>
          <w:lang w:bidi="fa-IR"/>
        </w:rPr>
        <w:t xml:space="preserve"> : « اصْعَدْ عَلَى </w:t>
      </w:r>
      <w:r>
        <w:rPr>
          <w:rStyle w:val="libFootnotenumChar"/>
          <w:rtl/>
        </w:rPr>
        <w:t>(5)</w:t>
      </w:r>
      <w:r w:rsidRPr="00132E65">
        <w:rPr>
          <w:rtl/>
          <w:lang w:bidi="fa-IR"/>
        </w:rPr>
        <w:t xml:space="preserve"> السَّطْحِ ، فَاسْتَمِعْ </w:t>
      </w:r>
      <w:r>
        <w:rPr>
          <w:rStyle w:val="libFootnotenumChar"/>
          <w:rtl/>
        </w:rPr>
        <w:t>(6)</w:t>
      </w:r>
      <w:r w:rsidRPr="00132E65">
        <w:rPr>
          <w:rtl/>
          <w:lang w:bidi="fa-IR"/>
        </w:rPr>
        <w:t xml:space="preserve"> هَلْ تَسْمَعُ </w:t>
      </w:r>
      <w:r>
        <w:rPr>
          <w:rStyle w:val="libFootnotenumChar"/>
          <w:rtl/>
        </w:rPr>
        <w:t>(7)</w:t>
      </w:r>
      <w:r w:rsidRPr="00132E65">
        <w:rPr>
          <w:rtl/>
          <w:lang w:bidi="fa-IR"/>
        </w:rPr>
        <w:t xml:space="preserve"> شَيْئاً</w:t>
      </w:r>
      <w:r>
        <w:rPr>
          <w:rtl/>
          <w:lang w:bidi="fa-IR"/>
        </w:rPr>
        <w:t>؟</w:t>
      </w:r>
      <w:r w:rsidRPr="00132E65">
        <w:rPr>
          <w:rtl/>
          <w:lang w:bidi="fa-IR"/>
        </w:rPr>
        <w:t xml:space="preserve"> » فَلَمَّا صَعِدْتُ ، سَمِعْتُ الضَّجَّةَ و</w:t>
      </w:r>
      <w:r w:rsidR="002F3A40">
        <w:rPr>
          <w:rFonts w:hint="cs"/>
          <w:rtl/>
          <w:lang w:bidi="fa-IR"/>
        </w:rPr>
        <w:t>َ</w:t>
      </w:r>
      <w:r w:rsidRPr="00132E65">
        <w:rPr>
          <w:rtl/>
          <w:lang w:bidi="fa-IR"/>
        </w:rPr>
        <w:t xml:space="preserve">الْتَحَمَتْ </w:t>
      </w:r>
      <w:r>
        <w:rPr>
          <w:rStyle w:val="libFootnotenumChar"/>
          <w:rtl/>
        </w:rPr>
        <w:t>(8)</w:t>
      </w:r>
      <w:r w:rsidRPr="00132E65">
        <w:rPr>
          <w:rtl/>
          <w:lang w:bidi="fa-IR"/>
        </w:rPr>
        <w:t xml:space="preserve"> و</w:t>
      </w:r>
      <w:r w:rsidR="002F3A40">
        <w:rPr>
          <w:rFonts w:hint="cs"/>
          <w:rtl/>
          <w:lang w:bidi="fa-IR"/>
        </w:rPr>
        <w:t>َ</w:t>
      </w:r>
      <w:r w:rsidRPr="00132E65">
        <w:rPr>
          <w:rtl/>
          <w:lang w:bidi="fa-IR"/>
        </w:rPr>
        <w:t xml:space="preserve">كَثُرَتْ </w:t>
      </w:r>
      <w:r>
        <w:rPr>
          <w:rStyle w:val="libFootnotenumChar"/>
          <w:rtl/>
        </w:rPr>
        <w:t>(9)</w:t>
      </w:r>
      <w:r w:rsidRPr="00132E65">
        <w:rPr>
          <w:rtl/>
          <w:lang w:bidi="fa-IR"/>
        </w:rPr>
        <w:t xml:space="preserve"> ، فَإِذَا نَحْنُ بِالْمَأْمُونِ قَدْ دَخَلَ مِنَ الْبَابِ الَّذِي كَانَ إِلى دَارِهِ مِنْ دَارِ </w:t>
      </w:r>
      <w:r>
        <w:rPr>
          <w:rStyle w:val="libFootnotenumChar"/>
          <w:rtl/>
        </w:rPr>
        <w:t>(10)</w:t>
      </w:r>
      <w:r w:rsidRPr="00132E65">
        <w:rPr>
          <w:rtl/>
          <w:lang w:bidi="fa-IR"/>
        </w:rPr>
        <w:t xml:space="preserve"> أَبِي الْحَسَنِ </w:t>
      </w:r>
      <w:r w:rsidRPr="00071CF9">
        <w:rPr>
          <w:rStyle w:val="libAlaemChar"/>
          <w:rtl/>
        </w:rPr>
        <w:t>عليه‌السلام</w:t>
      </w:r>
      <w:r w:rsidRPr="00132E65">
        <w:rPr>
          <w:rtl/>
          <w:lang w:bidi="fa-IR"/>
        </w:rPr>
        <w:t xml:space="preserve"> و</w:t>
      </w:r>
      <w:r w:rsidR="002F3A40">
        <w:rPr>
          <w:rFonts w:hint="cs"/>
          <w:rtl/>
          <w:lang w:bidi="fa-IR"/>
        </w:rPr>
        <w:t>َ</w:t>
      </w:r>
      <w:r w:rsidRPr="00132E65">
        <w:rPr>
          <w:rtl/>
          <w:lang w:bidi="fa-IR"/>
        </w:rPr>
        <w:t xml:space="preserve">هُوَ يَقُولُ : يَا سَيِّدِي يَا أَبَا الْحَسَنِ ، آجَرَكَ اللهُ فِي الْفَضْلِ ؛ فَإِنَّهُ قَدْ أَبى </w:t>
      </w:r>
      <w:r>
        <w:rPr>
          <w:rStyle w:val="libFootnotenumChar"/>
          <w:rtl/>
        </w:rPr>
        <w:t>(11)</w:t>
      </w:r>
      <w:r w:rsidRPr="00132E65">
        <w:rPr>
          <w:rtl/>
          <w:lang w:bidi="fa-IR"/>
        </w:rPr>
        <w:t xml:space="preserve"> و</w:t>
      </w:r>
      <w:r w:rsidR="002F3A40">
        <w:rPr>
          <w:rFonts w:hint="cs"/>
          <w:rtl/>
          <w:lang w:bidi="fa-IR"/>
        </w:rPr>
        <w:t>َ</w:t>
      </w:r>
      <w:r w:rsidRPr="00132E65">
        <w:rPr>
          <w:rtl/>
          <w:lang w:bidi="fa-IR"/>
        </w:rPr>
        <w:t xml:space="preserve">كَانَ دَخَلَ </w:t>
      </w:r>
      <w:r>
        <w:rPr>
          <w:rStyle w:val="libFootnotenumChar"/>
          <w:rtl/>
        </w:rPr>
        <w:t>(12)</w:t>
      </w:r>
      <w:r w:rsidRPr="00132E65">
        <w:rPr>
          <w:rtl/>
          <w:lang w:bidi="fa-IR"/>
        </w:rPr>
        <w:t xml:space="preserve"> الْحَمَّامَ ، فَدَخَلَ </w:t>
      </w:r>
      <w:r w:rsidRPr="00F543F1">
        <w:rPr>
          <w:rStyle w:val="libFootnotenumChar"/>
          <w:rtl/>
        </w:rPr>
        <w:t>(13)</w:t>
      </w:r>
      <w:r w:rsidRPr="00132E65">
        <w:rPr>
          <w:rtl/>
          <w:lang w:bidi="fa-IR"/>
        </w:rPr>
        <w:t xml:space="preserve"> عَلَيْهِ قَوْمٌ بِالسُّيُوفِ ، فَقَتَلُوهُ ، وَأُخِذَ مِمَّنْ دَخَلَ عَلَيْهِ ثَلَاثُ </w:t>
      </w:r>
      <w:r w:rsidRPr="00F543F1">
        <w:rPr>
          <w:rStyle w:val="libFootnotenumChar"/>
          <w:rtl/>
        </w:rPr>
        <w:t>(14)</w:t>
      </w:r>
      <w:r w:rsidRPr="00132E65">
        <w:rPr>
          <w:rtl/>
          <w:lang w:bidi="fa-IR"/>
        </w:rPr>
        <w:t xml:space="preserve"> نَفَرٍ </w:t>
      </w:r>
      <w:r w:rsidRPr="00F543F1">
        <w:rPr>
          <w:rStyle w:val="libFootnotenumChar"/>
          <w:rtl/>
        </w:rPr>
        <w:t>(15)</w:t>
      </w:r>
      <w:r w:rsidRPr="00132E65">
        <w:rPr>
          <w:rtl/>
          <w:lang w:bidi="fa-IR"/>
        </w:rPr>
        <w:t xml:space="preserve"> كَانَ أَحَدُهُمْ ابْنَ خَالَةِ </w:t>
      </w:r>
      <w:r w:rsidRPr="00F543F1">
        <w:rPr>
          <w:rStyle w:val="libFootnotenumChar"/>
          <w:rtl/>
        </w:rPr>
        <w:t>(16)</w:t>
      </w:r>
      <w:r w:rsidRPr="00132E65">
        <w:rPr>
          <w:rtl/>
          <w:lang w:bidi="fa-IR"/>
        </w:rPr>
        <w:t xml:space="preserve"> الْفَضْلِ ابْنَ ذِي الْقَلَمَيْنِ </w:t>
      </w:r>
      <w:r w:rsidRPr="00F543F1">
        <w:rPr>
          <w:rStyle w:val="libFootnotenumChar"/>
          <w:rtl/>
        </w:rPr>
        <w:t>(17)</w:t>
      </w:r>
      <w:r w:rsidR="002F3A40" w:rsidRPr="002F3A40">
        <w:rPr>
          <w:rFonts w:hint="cs"/>
          <w:rtl/>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2F3A40" w:rsidTr="002F3A40">
        <w:tc>
          <w:tcPr>
            <w:tcW w:w="4261" w:type="dxa"/>
          </w:tcPr>
          <w:p w:rsidR="002F3A40" w:rsidRDefault="002F3A40" w:rsidP="000C39D1">
            <w:pPr>
              <w:pStyle w:val="libFootnote0"/>
              <w:rPr>
                <w:rtl/>
              </w:rPr>
            </w:pPr>
            <w:r>
              <w:rPr>
                <w:rtl/>
              </w:rPr>
              <w:t>(1).</w:t>
            </w:r>
            <w:r w:rsidRPr="00132E65">
              <w:rPr>
                <w:rtl/>
              </w:rPr>
              <w:t xml:space="preserve"> في الإرشاد : « يا أبا الحسن »</w:t>
            </w:r>
            <w:r>
              <w:rPr>
                <w:rtl/>
              </w:rPr>
              <w:t>.</w:t>
            </w:r>
          </w:p>
        </w:tc>
        <w:tc>
          <w:tcPr>
            <w:tcW w:w="4262" w:type="dxa"/>
          </w:tcPr>
          <w:p w:rsidR="002F3A40" w:rsidRDefault="002F3A40" w:rsidP="000C39D1">
            <w:pPr>
              <w:pStyle w:val="libFootnote0"/>
              <w:rPr>
                <w:rtl/>
              </w:rPr>
            </w:pPr>
            <w:r>
              <w:rPr>
                <w:rtl/>
              </w:rPr>
              <w:t>(2).</w:t>
            </w:r>
            <w:r w:rsidRPr="00132E65">
              <w:rPr>
                <w:rtl/>
              </w:rPr>
              <w:t xml:space="preserve"> في « ب ، بح ، بس » : « فلم يزل »</w:t>
            </w:r>
            <w:r>
              <w:rPr>
                <w:rtl/>
              </w:rPr>
              <w:t>.</w:t>
            </w:r>
          </w:p>
        </w:tc>
      </w:tr>
      <w:tr w:rsidR="002F3A40" w:rsidTr="002F3A40">
        <w:tc>
          <w:tcPr>
            <w:tcW w:w="4261" w:type="dxa"/>
          </w:tcPr>
          <w:p w:rsidR="002F3A40" w:rsidRDefault="002F3A40" w:rsidP="000C39D1">
            <w:pPr>
              <w:pStyle w:val="libFootnote0"/>
              <w:rPr>
                <w:rtl/>
              </w:rPr>
            </w:pPr>
            <w:r>
              <w:rPr>
                <w:rtl/>
              </w:rPr>
              <w:t>(3).</w:t>
            </w:r>
            <w:r w:rsidRPr="00132E65">
              <w:rPr>
                <w:rtl/>
              </w:rPr>
              <w:t xml:space="preserve"> في « ب ، بس » : « يقول »</w:t>
            </w:r>
            <w:r>
              <w:rPr>
                <w:rtl/>
              </w:rPr>
              <w:t>.</w:t>
            </w:r>
          </w:p>
        </w:tc>
        <w:tc>
          <w:tcPr>
            <w:tcW w:w="4262" w:type="dxa"/>
          </w:tcPr>
          <w:p w:rsidR="002F3A40" w:rsidRDefault="002F3A40" w:rsidP="000C39D1">
            <w:pPr>
              <w:pStyle w:val="libFootnote0"/>
              <w:rPr>
                <w:rtl/>
              </w:rPr>
            </w:pPr>
            <w:r>
              <w:rPr>
                <w:rtl/>
              </w:rPr>
              <w:t>(4).</w:t>
            </w:r>
            <w:r w:rsidRPr="00132E65">
              <w:rPr>
                <w:rtl/>
              </w:rPr>
              <w:t xml:space="preserve"> في « ف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(5).</w:t>
      </w:r>
      <w:r w:rsidRPr="00132E65">
        <w:rPr>
          <w:rtl/>
        </w:rPr>
        <w:t xml:space="preserve"> في « ب ، ض ، بح ، بر ، بس ، بف » </w:t>
      </w:r>
      <w:r w:rsidRPr="002F3A40">
        <w:rPr>
          <w:rtl/>
        </w:rPr>
        <w:t>والوافي</w:t>
      </w:r>
      <w:r w:rsidRPr="00132E65">
        <w:rPr>
          <w:rtl/>
        </w:rPr>
        <w:t xml:space="preserve"> والإرشاد </w:t>
      </w:r>
      <w:r>
        <w:rPr>
          <w:rtl/>
        </w:rPr>
        <w:t xml:space="preserve">: - </w:t>
      </w:r>
      <w:r w:rsidRPr="00132E65">
        <w:rPr>
          <w:rtl/>
        </w:rPr>
        <w:t>« على »</w:t>
      </w:r>
      <w:r>
        <w:rPr>
          <w:rtl/>
        </w:rPr>
        <w:t>.</w:t>
      </w:r>
    </w:p>
    <w:tbl>
      <w:tblPr>
        <w:tblStyle w:val="TableGrid"/>
        <w:bidiVisual/>
        <w:tblW w:w="0" w:type="auto"/>
        <w:tblLook w:val="04A0" w:firstRow="1" w:lastRow="0" w:firstColumn="1" w:lastColumn="0" w:noHBand="0" w:noVBand="1"/>
      </w:tblPr>
      <w:tblGrid>
        <w:gridCol w:w="4261"/>
        <w:gridCol w:w="4262"/>
      </w:tblGrid>
      <w:tr w:rsidR="002F3A40" w:rsidTr="002F3A40">
        <w:tc>
          <w:tcPr>
            <w:tcW w:w="4261" w:type="dxa"/>
          </w:tcPr>
          <w:p w:rsidR="002F3A40" w:rsidRDefault="002F3A40" w:rsidP="000C39D1">
            <w:pPr>
              <w:pStyle w:val="libFootnote0"/>
              <w:rPr>
                <w:rtl/>
              </w:rPr>
            </w:pPr>
            <w:r>
              <w:rPr>
                <w:rtl/>
              </w:rPr>
              <w:t>(6).</w:t>
            </w:r>
            <w:r w:rsidRPr="00132E65">
              <w:rPr>
                <w:rtl/>
              </w:rPr>
              <w:t xml:space="preserve"> في الإرشاد : « استمع »</w:t>
            </w:r>
            <w:r>
              <w:rPr>
                <w:rtl/>
              </w:rPr>
              <w:t>.</w:t>
            </w:r>
          </w:p>
        </w:tc>
        <w:tc>
          <w:tcPr>
            <w:tcW w:w="4262" w:type="dxa"/>
          </w:tcPr>
          <w:p w:rsidR="002F3A40" w:rsidRDefault="002F3A40" w:rsidP="000C39D1">
            <w:pPr>
              <w:pStyle w:val="libFootnote0"/>
              <w:rPr>
                <w:rtl/>
              </w:rPr>
            </w:pPr>
            <w:r>
              <w:rPr>
                <w:rtl/>
              </w:rPr>
              <w:t>(7).</w:t>
            </w:r>
            <w:r w:rsidRPr="00132E65">
              <w:rPr>
                <w:rtl/>
              </w:rPr>
              <w:t xml:space="preserve"> في الإرشاد : « تجد »</w:t>
            </w:r>
            <w:r>
              <w:rPr>
                <w:rtl/>
              </w:rPr>
              <w:t>.</w:t>
            </w:r>
          </w:p>
        </w:tc>
      </w:tr>
    </w:tbl>
    <w:p w:rsidR="000C39D1" w:rsidRPr="00132E65" w:rsidRDefault="000C39D1" w:rsidP="000C39D1">
      <w:pPr>
        <w:pStyle w:val="libFootnote0"/>
        <w:rPr>
          <w:rtl/>
          <w:lang w:bidi="fa-IR"/>
        </w:rPr>
      </w:pPr>
      <w:r>
        <w:rPr>
          <w:rtl/>
        </w:rPr>
        <w:t>(8).</w:t>
      </w:r>
      <w:r w:rsidRPr="00132E65">
        <w:rPr>
          <w:rtl/>
        </w:rPr>
        <w:t xml:space="preserve"> في « ج » : « الضجيج والنحيب »</w:t>
      </w:r>
      <w:r>
        <w:rPr>
          <w:rtl/>
        </w:rPr>
        <w:t>.</w:t>
      </w:r>
      <w:r w:rsidRPr="00132E65">
        <w:rPr>
          <w:rtl/>
        </w:rPr>
        <w:t xml:space="preserve"> وفي « ض » : « الضجّة والنحيب »</w:t>
      </w:r>
      <w:r>
        <w:rPr>
          <w:rtl/>
        </w:rPr>
        <w:t>.</w:t>
      </w:r>
      <w:r w:rsidRPr="00132E65">
        <w:rPr>
          <w:rtl/>
        </w:rPr>
        <w:t xml:space="preserve"> وفي « ف » : « الصيحة والنحيب »</w:t>
      </w:r>
      <w:r>
        <w:rPr>
          <w:rtl/>
        </w:rPr>
        <w:t>.</w:t>
      </w:r>
      <w:r w:rsidRPr="00132E65">
        <w:rPr>
          <w:rtl/>
        </w:rPr>
        <w:t xml:space="preserve"> </w:t>
      </w:r>
      <w:r>
        <w:rPr>
          <w:rtl/>
        </w:rPr>
        <w:t>و «</w:t>
      </w:r>
      <w:r w:rsidRPr="00132E65">
        <w:rPr>
          <w:rtl/>
        </w:rPr>
        <w:t xml:space="preserve"> النحيب » هو شدّة البكاء بصوت طويل ومدّ. وقوله : « التحمت » ، أي اشتدّت ؛ من التحمت الحرب ، أي اشتدّت. أو اختلط ، من التحم القتال ، أي اشتبك واختلط. راجع : </w:t>
      </w:r>
      <w:r w:rsidRPr="002F3A40">
        <w:rPr>
          <w:rStyle w:val="libFootnoteBoldChar"/>
          <w:rtl/>
        </w:rPr>
        <w:t>المصباح المنير</w:t>
      </w:r>
      <w:r w:rsidRPr="00132E65">
        <w:rPr>
          <w:rtl/>
        </w:rPr>
        <w:t xml:space="preserve"> ، ص 551 ؛ </w:t>
      </w:r>
      <w:r w:rsidRPr="002F3A40">
        <w:rPr>
          <w:rStyle w:val="libFootnoteBoldChar"/>
          <w:rtl/>
        </w:rPr>
        <w:t>القاموس المحيط</w:t>
      </w:r>
      <w:r w:rsidRPr="00132E65">
        <w:rPr>
          <w:rtl/>
        </w:rPr>
        <w:t xml:space="preserve"> ، ج 2 ، ص 1523 ( لحم )</w:t>
      </w:r>
      <w:r>
        <w:rPr>
          <w:rtl/>
        </w:rPr>
        <w:t>.</w:t>
      </w:r>
    </w:p>
    <w:p w:rsidR="000C39D1" w:rsidRPr="00132E65" w:rsidRDefault="000C39D1" w:rsidP="000C39D1">
      <w:pPr>
        <w:pStyle w:val="libFootnote0"/>
        <w:rPr>
          <w:rtl/>
          <w:lang w:bidi="fa-IR"/>
        </w:rPr>
      </w:pPr>
      <w:r>
        <w:rPr>
          <w:rtl/>
        </w:rPr>
        <w:t>(9).</w:t>
      </w:r>
      <w:r w:rsidRPr="00132E65">
        <w:rPr>
          <w:rtl/>
        </w:rPr>
        <w:t xml:space="preserve"> في « ف » : « فكثرت »</w:t>
      </w:r>
      <w:r>
        <w:rPr>
          <w:rtl/>
        </w:rPr>
        <w:t>.</w:t>
      </w:r>
      <w:r w:rsidRPr="00132E65">
        <w:rPr>
          <w:rtl/>
        </w:rPr>
        <w:t xml:space="preserve"> وفي الإرشاد : « وكثرت وزادت فلم نشعر بشي‌ء » بدل « والتحمت وكثرت »</w:t>
      </w:r>
      <w:r>
        <w:rPr>
          <w:rtl/>
        </w:rPr>
        <w:t>.</w:t>
      </w:r>
    </w:p>
    <w:p w:rsidR="000C39D1" w:rsidRPr="00132E65" w:rsidRDefault="000C39D1" w:rsidP="000C39D1">
      <w:pPr>
        <w:pStyle w:val="libFootnote0"/>
        <w:rPr>
          <w:rtl/>
          <w:lang w:bidi="fa-IR"/>
        </w:rPr>
      </w:pPr>
      <w:r>
        <w:rPr>
          <w:rtl/>
        </w:rPr>
        <w:t>(10).</w:t>
      </w:r>
      <w:r w:rsidRPr="00132E65">
        <w:rPr>
          <w:rtl/>
        </w:rPr>
        <w:t xml:space="preserve"> في الإرشاد : « كان من داره إلى دار »</w:t>
      </w:r>
      <w:r>
        <w:rPr>
          <w:rtl/>
        </w:rPr>
        <w:t>.</w:t>
      </w:r>
    </w:p>
    <w:p w:rsidR="000C39D1" w:rsidRPr="00132E65" w:rsidRDefault="000C39D1" w:rsidP="000C39D1">
      <w:pPr>
        <w:pStyle w:val="libFootnote0"/>
        <w:rPr>
          <w:rtl/>
          <w:lang w:bidi="fa-IR"/>
        </w:rPr>
      </w:pPr>
      <w:r>
        <w:rPr>
          <w:rtl/>
        </w:rPr>
        <w:t>(11).</w:t>
      </w:r>
      <w:r w:rsidRPr="00132E65">
        <w:rPr>
          <w:rtl/>
        </w:rPr>
        <w:t xml:space="preserve"> في « ب ، ج ، ض ، بر » </w:t>
      </w:r>
      <w:r w:rsidRPr="002F3A40">
        <w:rPr>
          <w:rtl/>
        </w:rPr>
        <w:t>والوافي</w:t>
      </w:r>
      <w:r w:rsidRPr="00132E65">
        <w:rPr>
          <w:rtl/>
        </w:rPr>
        <w:t xml:space="preserve"> : « قد ا</w:t>
      </w:r>
      <w:r w:rsidR="002F3A40">
        <w:rPr>
          <w:rFonts w:hint="cs"/>
          <w:rtl/>
        </w:rPr>
        <w:t>ُ</w:t>
      </w:r>
      <w:r w:rsidRPr="00132E65">
        <w:rPr>
          <w:rtl/>
        </w:rPr>
        <w:t>تي »</w:t>
      </w:r>
      <w:r>
        <w:rPr>
          <w:rtl/>
        </w:rPr>
        <w:t>.</w:t>
      </w:r>
      <w:r w:rsidRPr="00132E65">
        <w:rPr>
          <w:rtl/>
        </w:rPr>
        <w:t xml:space="preserve"> وفي « ف » : « قد ا</w:t>
      </w:r>
      <w:r w:rsidR="002F3A40">
        <w:rPr>
          <w:rFonts w:hint="cs"/>
          <w:rtl/>
        </w:rPr>
        <w:t>ُ</w:t>
      </w:r>
      <w:r w:rsidRPr="00132E65">
        <w:rPr>
          <w:rtl/>
        </w:rPr>
        <w:t>تي وأبى معاً »</w:t>
      </w:r>
      <w:r>
        <w:rPr>
          <w:rtl/>
        </w:rPr>
        <w:t>.</w:t>
      </w:r>
      <w:r w:rsidRPr="00132E65">
        <w:rPr>
          <w:rtl/>
        </w:rPr>
        <w:t xml:space="preserve"> وفي « بف » : « ا</w:t>
      </w:r>
      <w:r w:rsidR="002F3A40">
        <w:rPr>
          <w:rFonts w:hint="cs"/>
          <w:rtl/>
        </w:rPr>
        <w:t>ُ</w:t>
      </w:r>
      <w:r w:rsidRPr="00132E65">
        <w:rPr>
          <w:rtl/>
        </w:rPr>
        <w:t>تي » بدون « قد »</w:t>
      </w:r>
      <w:r>
        <w:rPr>
          <w:rtl/>
        </w:rPr>
        <w:t>.</w:t>
      </w:r>
      <w:r w:rsidRPr="00132E65">
        <w:rPr>
          <w:rtl/>
        </w:rPr>
        <w:t xml:space="preserve"> وفي‌</w:t>
      </w:r>
      <w:r w:rsidR="002F3A40">
        <w:rPr>
          <w:rFonts w:hint="cs"/>
          <w:rtl/>
        </w:rPr>
        <w:t xml:space="preserve"> </w:t>
      </w:r>
      <w:r w:rsidRPr="00132E65">
        <w:rPr>
          <w:rtl/>
        </w:rPr>
        <w:t>حاشية « ج ، بح » : « كان قد ا</w:t>
      </w:r>
      <w:r w:rsidR="002F3A40">
        <w:rPr>
          <w:rFonts w:hint="cs"/>
          <w:rtl/>
        </w:rPr>
        <w:t>ُ</w:t>
      </w:r>
      <w:r w:rsidRPr="00132E65">
        <w:rPr>
          <w:rtl/>
        </w:rPr>
        <w:t>تي »</w:t>
      </w:r>
      <w:r>
        <w:rPr>
          <w:rtl/>
        </w:rPr>
        <w:t>.</w:t>
      </w:r>
      <w:r w:rsidRPr="00132E65">
        <w:rPr>
          <w:rtl/>
        </w:rPr>
        <w:t xml:space="preserve"> وفي الإرشاد </w:t>
      </w:r>
      <w:r>
        <w:rPr>
          <w:rtl/>
        </w:rPr>
        <w:t xml:space="preserve">: - </w:t>
      </w:r>
      <w:r w:rsidRPr="00132E65">
        <w:rPr>
          <w:rtl/>
        </w:rPr>
        <w:t>« قد أبى وكان »</w:t>
      </w:r>
      <w:r>
        <w:rPr>
          <w:rtl/>
        </w:rPr>
        <w:t>.</w:t>
      </w:r>
    </w:p>
    <w:tbl>
      <w:tblPr>
        <w:tblStyle w:val="TableGrid"/>
        <w:bidiVisual/>
        <w:tblW w:w="0" w:type="auto"/>
        <w:tblLook w:val="04A0" w:firstRow="1" w:lastRow="0" w:firstColumn="1" w:lastColumn="0" w:noHBand="0" w:noVBand="1"/>
      </w:tblPr>
      <w:tblGrid>
        <w:gridCol w:w="4261"/>
        <w:gridCol w:w="4262"/>
      </w:tblGrid>
      <w:tr w:rsidR="002F3A40" w:rsidTr="002F3A40">
        <w:tc>
          <w:tcPr>
            <w:tcW w:w="4261" w:type="dxa"/>
          </w:tcPr>
          <w:p w:rsidR="002F3A40" w:rsidRDefault="002F3A40" w:rsidP="000C39D1">
            <w:pPr>
              <w:pStyle w:val="libFootnote0"/>
              <w:rPr>
                <w:rtl/>
                <w:lang w:bidi="fa-IR"/>
              </w:rPr>
            </w:pPr>
            <w:r>
              <w:rPr>
                <w:rtl/>
              </w:rPr>
              <w:t>(12).</w:t>
            </w:r>
            <w:r w:rsidRPr="00132E65">
              <w:rPr>
                <w:rtl/>
              </w:rPr>
              <w:t xml:space="preserve"> في « ب ، ض » : « قد دخل »</w:t>
            </w:r>
            <w:r>
              <w:rPr>
                <w:rtl/>
              </w:rPr>
              <w:t>.</w:t>
            </w:r>
          </w:p>
        </w:tc>
        <w:tc>
          <w:tcPr>
            <w:tcW w:w="4262" w:type="dxa"/>
          </w:tcPr>
          <w:p w:rsidR="002F3A40" w:rsidRDefault="002F3A40" w:rsidP="000C39D1">
            <w:pPr>
              <w:pStyle w:val="libFootnote0"/>
              <w:rPr>
                <w:rtl/>
                <w:lang w:bidi="fa-IR"/>
              </w:rPr>
            </w:pPr>
            <w:r>
              <w:rPr>
                <w:rtl/>
              </w:rPr>
              <w:t>(13)</w:t>
            </w:r>
            <w:r w:rsidRPr="00132E65">
              <w:rPr>
                <w:rtl/>
              </w:rPr>
              <w:t xml:space="preserve"> في الإرشاد : « ودخل »</w:t>
            </w:r>
            <w:r>
              <w:rPr>
                <w:rtl/>
              </w:rPr>
              <w:t>.</w:t>
            </w:r>
          </w:p>
        </w:tc>
      </w:tr>
      <w:tr w:rsidR="002F3A40" w:rsidTr="002F3A40">
        <w:tc>
          <w:tcPr>
            <w:tcW w:w="4261" w:type="dxa"/>
          </w:tcPr>
          <w:p w:rsidR="002F3A40" w:rsidRDefault="002F3A40" w:rsidP="000C39D1">
            <w:pPr>
              <w:pStyle w:val="libFootnote0"/>
              <w:rPr>
                <w:rtl/>
                <w:lang w:bidi="fa-IR"/>
              </w:rPr>
            </w:pPr>
            <w:r>
              <w:rPr>
                <w:rtl/>
              </w:rPr>
              <w:t>(14)</w:t>
            </w:r>
            <w:r w:rsidRPr="00132E65">
              <w:rPr>
                <w:rtl/>
              </w:rPr>
              <w:t xml:space="preserve"> في « ج ، ض ، ف ، بح ، بر ، بس » : « ثلاثة »</w:t>
            </w:r>
            <w:r>
              <w:rPr>
                <w:rtl/>
              </w:rPr>
              <w:t>.</w:t>
            </w:r>
          </w:p>
        </w:tc>
        <w:tc>
          <w:tcPr>
            <w:tcW w:w="4262" w:type="dxa"/>
          </w:tcPr>
          <w:p w:rsidR="002F3A40" w:rsidRDefault="002F3A40" w:rsidP="000C39D1">
            <w:pPr>
              <w:pStyle w:val="libFootnote0"/>
              <w:rPr>
                <w:rtl/>
                <w:lang w:bidi="fa-IR"/>
              </w:rPr>
            </w:pPr>
            <w:r>
              <w:rPr>
                <w:rtl/>
              </w:rPr>
              <w:t>(15)</w:t>
            </w:r>
            <w:r w:rsidRPr="00132E65">
              <w:rPr>
                <w:rtl/>
              </w:rPr>
              <w:t xml:space="preserve"> في « ف » :</w:t>
            </w:r>
            <w:r>
              <w:rPr>
                <w:rtl/>
              </w:rPr>
              <w:t xml:space="preserve"> + </w:t>
            </w:r>
            <w:r w:rsidRPr="00132E65">
              <w:rPr>
                <w:rtl/>
              </w:rPr>
              <w:t>« وقد »</w:t>
            </w:r>
            <w:r>
              <w:rPr>
                <w:rtl/>
              </w:rPr>
              <w:t>.</w:t>
            </w:r>
          </w:p>
        </w:tc>
      </w:tr>
    </w:tbl>
    <w:p w:rsidR="000C39D1" w:rsidRPr="00132E65" w:rsidRDefault="000C39D1" w:rsidP="000C39D1">
      <w:pPr>
        <w:pStyle w:val="libFootnote0"/>
        <w:rPr>
          <w:rtl/>
          <w:lang w:bidi="fa-IR"/>
        </w:rPr>
      </w:pPr>
      <w:r>
        <w:rPr>
          <w:rtl/>
        </w:rPr>
        <w:t>(16)</w:t>
      </w:r>
      <w:r w:rsidRPr="00132E65">
        <w:rPr>
          <w:rtl/>
        </w:rPr>
        <w:t xml:space="preserve"> هكذا في « ب ، ج ، ض ، ف ، بح »</w:t>
      </w:r>
      <w:r>
        <w:rPr>
          <w:rtl/>
        </w:rPr>
        <w:t>.</w:t>
      </w:r>
      <w:r w:rsidRPr="00132E65">
        <w:rPr>
          <w:rtl/>
        </w:rPr>
        <w:t xml:space="preserve"> وهو الصحيح. وفي المطبوع وبعض النسخ : « خاله » بالهاء المهملة.</w:t>
      </w:r>
    </w:p>
    <w:p w:rsidR="000C39D1" w:rsidRPr="00132E65" w:rsidRDefault="000C39D1" w:rsidP="000C39D1">
      <w:pPr>
        <w:pStyle w:val="libFootnote0"/>
        <w:rPr>
          <w:rtl/>
          <w:lang w:bidi="fa-IR"/>
        </w:rPr>
      </w:pPr>
      <w:r>
        <w:rPr>
          <w:rtl/>
        </w:rPr>
        <w:t>(17)</w:t>
      </w:r>
      <w:r w:rsidRPr="00132E65">
        <w:rPr>
          <w:rtl/>
        </w:rPr>
        <w:t xml:space="preserve"> وفي البحار عن العيون : « ذو القلمين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فَاجْتَمَعَ </w:t>
      </w:r>
      <w:r>
        <w:rPr>
          <w:rStyle w:val="libFootnotenumChar"/>
          <w:rtl/>
        </w:rPr>
        <w:t>(1)</w:t>
      </w:r>
      <w:r w:rsidRPr="00132E65">
        <w:rPr>
          <w:rtl/>
          <w:lang w:bidi="fa-IR"/>
        </w:rPr>
        <w:t xml:space="preserve"> الْجُنْدُ و</w:t>
      </w:r>
      <w:r w:rsidR="002F3A40">
        <w:rPr>
          <w:rFonts w:hint="cs"/>
          <w:rtl/>
          <w:lang w:bidi="fa-IR"/>
        </w:rPr>
        <w:t>َ</w:t>
      </w:r>
      <w:r w:rsidRPr="00132E65">
        <w:rPr>
          <w:rtl/>
          <w:lang w:bidi="fa-IR"/>
        </w:rPr>
        <w:t>الْقُوَّادُ ، و</w:t>
      </w:r>
      <w:r w:rsidR="002F3A40">
        <w:rPr>
          <w:rFonts w:hint="cs"/>
          <w:rtl/>
          <w:lang w:bidi="fa-IR"/>
        </w:rPr>
        <w:t xml:space="preserve">َ </w:t>
      </w:r>
      <w:r w:rsidRPr="00132E65">
        <w:rPr>
          <w:rtl/>
          <w:lang w:bidi="fa-IR"/>
        </w:rPr>
        <w:t xml:space="preserve">مَنْ كَانَ مِنْ </w:t>
      </w:r>
      <w:r>
        <w:rPr>
          <w:rStyle w:val="libFootnotenumChar"/>
          <w:rtl/>
        </w:rPr>
        <w:t>(2)</w:t>
      </w:r>
      <w:r w:rsidRPr="00132E65">
        <w:rPr>
          <w:rtl/>
          <w:lang w:bidi="fa-IR"/>
        </w:rPr>
        <w:t xml:space="preserve"> رِجَالِ الْفَضْلِ عَلى بَابِ الْمَأْمُونِ ، فَقَالُوا : هذَا </w:t>
      </w:r>
      <w:r>
        <w:rPr>
          <w:rStyle w:val="libFootnotenumChar"/>
          <w:rtl/>
        </w:rPr>
        <w:t>(3)</w:t>
      </w:r>
      <w:r w:rsidRPr="00132E65">
        <w:rPr>
          <w:rtl/>
          <w:lang w:bidi="fa-IR"/>
        </w:rPr>
        <w:t xml:space="preserve"> اغْتَالَهُ </w:t>
      </w:r>
      <w:r>
        <w:rPr>
          <w:rStyle w:val="libFootnotenumChar"/>
          <w:rtl/>
        </w:rPr>
        <w:t>(4)</w:t>
      </w:r>
      <w:r w:rsidRPr="00132E65">
        <w:rPr>
          <w:rtl/>
          <w:lang w:bidi="fa-IR"/>
        </w:rPr>
        <w:t xml:space="preserve"> و</w:t>
      </w:r>
      <w:r w:rsidR="002F3A40">
        <w:rPr>
          <w:rFonts w:hint="cs"/>
          <w:rtl/>
          <w:lang w:bidi="fa-IR"/>
        </w:rPr>
        <w:t>َ</w:t>
      </w:r>
      <w:r w:rsidRPr="00132E65">
        <w:rPr>
          <w:rtl/>
          <w:lang w:bidi="fa-IR"/>
        </w:rPr>
        <w:t>قَتَلَهُ</w:t>
      </w:r>
      <w:r>
        <w:rPr>
          <w:rtl/>
          <w:lang w:bidi="fa-IR"/>
        </w:rPr>
        <w:t xml:space="preserve"> - </w:t>
      </w:r>
      <w:r w:rsidRPr="00132E65">
        <w:rPr>
          <w:rtl/>
          <w:lang w:bidi="fa-IR"/>
        </w:rPr>
        <w:t>يَعْنُونَ الْمَأْمُونَ</w:t>
      </w:r>
      <w:r>
        <w:rPr>
          <w:rtl/>
          <w:lang w:bidi="fa-IR"/>
        </w:rPr>
        <w:t xml:space="preserve"> - </w:t>
      </w:r>
      <w:r w:rsidRPr="00132E65">
        <w:rPr>
          <w:rtl/>
          <w:lang w:bidi="fa-IR"/>
        </w:rPr>
        <w:t>و</w:t>
      </w:r>
      <w:r w:rsidR="002F3A40">
        <w:rPr>
          <w:rFonts w:hint="cs"/>
          <w:rtl/>
          <w:lang w:bidi="fa-IR"/>
        </w:rPr>
        <w:t>َ</w:t>
      </w:r>
      <w:r w:rsidRPr="00132E65">
        <w:rPr>
          <w:rtl/>
          <w:lang w:bidi="fa-IR"/>
        </w:rPr>
        <w:t xml:space="preserve">لَنَطْلُبَنَّ بِدَمِهِ </w:t>
      </w:r>
      <w:r>
        <w:rPr>
          <w:rStyle w:val="libFootnotenumChar"/>
          <w:rtl/>
        </w:rPr>
        <w:t>(5)</w:t>
      </w:r>
      <w:r w:rsidRPr="00132E65">
        <w:rPr>
          <w:rtl/>
          <w:lang w:bidi="fa-IR"/>
        </w:rPr>
        <w:t xml:space="preserve"> ، و</w:t>
      </w:r>
      <w:r w:rsidR="002F3A40">
        <w:rPr>
          <w:rFonts w:hint="cs"/>
          <w:rtl/>
          <w:lang w:bidi="fa-IR"/>
        </w:rPr>
        <w:t>َ</w:t>
      </w:r>
      <w:r w:rsidRPr="00132E65">
        <w:rPr>
          <w:rtl/>
          <w:lang w:bidi="fa-IR"/>
        </w:rPr>
        <w:t xml:space="preserve">جَاؤُوا بِالنِّيرَانِ لِيُحْرِقُوا الْبَابَ ، فَقَالَ الْمَأْمُونُ لِأَبِي الْحَسَنِ </w:t>
      </w:r>
      <w:r w:rsidRPr="00071CF9">
        <w:rPr>
          <w:rStyle w:val="libAlaemChar"/>
          <w:rtl/>
        </w:rPr>
        <w:t>عليه‌السلام</w:t>
      </w:r>
      <w:r w:rsidRPr="00132E65">
        <w:rPr>
          <w:rtl/>
          <w:lang w:bidi="fa-IR"/>
        </w:rPr>
        <w:t xml:space="preserve"> : يَا سَيِّدِي ، تَرى </w:t>
      </w:r>
      <w:r>
        <w:rPr>
          <w:rStyle w:val="libFootnotenumChar"/>
          <w:rtl/>
        </w:rPr>
        <w:t>(6)</w:t>
      </w:r>
      <w:r w:rsidRPr="00132E65">
        <w:rPr>
          <w:rtl/>
          <w:lang w:bidi="fa-IR"/>
        </w:rPr>
        <w:t xml:space="preserve"> أَنْ تَخْرُجَ إِلَيْهِمْ وَتُفَرِّقَهُمْ</w:t>
      </w:r>
      <w:r>
        <w:rPr>
          <w:rtl/>
          <w:lang w:bidi="fa-IR"/>
        </w:rPr>
        <w:t>؟</w:t>
      </w:r>
    </w:p>
    <w:p w:rsidR="000C39D1" w:rsidRPr="00132E65" w:rsidRDefault="000C39D1" w:rsidP="000C39D1">
      <w:pPr>
        <w:pStyle w:val="libNormal"/>
        <w:rPr>
          <w:rtl/>
          <w:lang w:bidi="fa-IR"/>
        </w:rPr>
      </w:pPr>
      <w:r w:rsidRPr="00132E65">
        <w:rPr>
          <w:rtl/>
          <w:lang w:bidi="fa-IR"/>
        </w:rPr>
        <w:t xml:space="preserve">قَالَ : فَقَالَ يَاسِرٌ : فَرَكِبَ </w:t>
      </w:r>
      <w:r>
        <w:rPr>
          <w:rStyle w:val="libFootnotenumChar"/>
          <w:rtl/>
        </w:rPr>
        <w:t>(7)</w:t>
      </w:r>
      <w:r w:rsidRPr="00132E65">
        <w:rPr>
          <w:rtl/>
          <w:lang w:bidi="fa-IR"/>
        </w:rPr>
        <w:t xml:space="preserve"> أَبُو الْحَسَنِ </w:t>
      </w:r>
      <w:r w:rsidRPr="00071CF9">
        <w:rPr>
          <w:rStyle w:val="libAlaemChar"/>
          <w:rtl/>
        </w:rPr>
        <w:t>عليه‌السلام</w:t>
      </w:r>
      <w:r w:rsidRPr="00132E65">
        <w:rPr>
          <w:rtl/>
          <w:lang w:bidi="fa-IR"/>
        </w:rPr>
        <w:t xml:space="preserve"> ، و</w:t>
      </w:r>
      <w:r w:rsidR="002F3A40">
        <w:rPr>
          <w:rFonts w:hint="cs"/>
          <w:rtl/>
          <w:lang w:bidi="fa-IR"/>
        </w:rPr>
        <w:t>َ</w:t>
      </w:r>
      <w:r w:rsidRPr="00132E65">
        <w:rPr>
          <w:rtl/>
          <w:lang w:bidi="fa-IR"/>
        </w:rPr>
        <w:t xml:space="preserve">قَالَ لِيَ </w:t>
      </w:r>
      <w:r>
        <w:rPr>
          <w:rStyle w:val="libFootnotenumChar"/>
          <w:rtl/>
        </w:rPr>
        <w:t>(8)</w:t>
      </w:r>
      <w:r w:rsidRPr="00132E65">
        <w:rPr>
          <w:rtl/>
          <w:lang w:bidi="fa-IR"/>
        </w:rPr>
        <w:t xml:space="preserve"> : « ارْكَبْ » فَرَكِبْتُ ، فَلَمَّا خَرَجْنَا مِنْ بَابِ الدَّارِ ، نَظَرَ إِلَى النَّاسِ و</w:t>
      </w:r>
      <w:r w:rsidR="002F3A40">
        <w:rPr>
          <w:rFonts w:hint="cs"/>
          <w:rtl/>
          <w:lang w:bidi="fa-IR"/>
        </w:rPr>
        <w:t>َ</w:t>
      </w:r>
      <w:r w:rsidRPr="00132E65">
        <w:rPr>
          <w:rtl/>
          <w:lang w:bidi="fa-IR"/>
        </w:rPr>
        <w:t xml:space="preserve">قَدْ تَزَاحَمُوا </w:t>
      </w:r>
      <w:r>
        <w:rPr>
          <w:rStyle w:val="libFootnotenumChar"/>
          <w:rtl/>
        </w:rPr>
        <w:t>(9)</w:t>
      </w:r>
      <w:r w:rsidRPr="00132E65">
        <w:rPr>
          <w:rtl/>
          <w:lang w:bidi="fa-IR"/>
        </w:rPr>
        <w:t xml:space="preserve"> ، فَقَالَ لَهُمْ بِيَدِهِ : « تَفَرَّقُوا تَفَرَّقُوا </w:t>
      </w:r>
      <w:r>
        <w:rPr>
          <w:rStyle w:val="libFootnotenumChar"/>
          <w:rtl/>
        </w:rPr>
        <w:t>(10)</w:t>
      </w:r>
      <w:r w:rsidRPr="00132E65">
        <w:rPr>
          <w:rtl/>
          <w:lang w:bidi="fa-IR"/>
        </w:rPr>
        <w:t xml:space="preserve"> »</w:t>
      </w:r>
      <w:r>
        <w:rPr>
          <w:rtl/>
          <w:lang w:bidi="fa-IR"/>
        </w:rPr>
        <w:t>.</w:t>
      </w:r>
      <w:r w:rsidRPr="00132E65">
        <w:rPr>
          <w:rtl/>
          <w:lang w:bidi="fa-IR"/>
        </w:rPr>
        <w:t xml:space="preserve"> قَالَ يَاسِرٌ : فَأَقْبَلَ النَّاسُ و</w:t>
      </w:r>
      <w:r w:rsidR="002F3A40">
        <w:rPr>
          <w:rFonts w:hint="cs"/>
          <w:rtl/>
          <w:lang w:bidi="fa-IR"/>
        </w:rPr>
        <w:t>َ</w:t>
      </w:r>
      <w:r w:rsidRPr="00132E65">
        <w:rPr>
          <w:rtl/>
          <w:lang w:bidi="fa-IR"/>
        </w:rPr>
        <w:t>اللهِ يَقَعُ بَعْضُهُمْ عَلى بَعْضٍ ، و</w:t>
      </w:r>
      <w:r w:rsidR="002F3A40">
        <w:rPr>
          <w:rFonts w:hint="cs"/>
          <w:rtl/>
          <w:lang w:bidi="fa-IR"/>
        </w:rPr>
        <w:t>َ</w:t>
      </w:r>
      <w:r w:rsidR="002F3A40">
        <w:rPr>
          <w:rtl/>
          <w:lang w:bidi="fa-IR"/>
        </w:rPr>
        <w:t>مَا أَشَارَ إِلى أَحَدٍ إِل</w:t>
      </w:r>
      <w:r w:rsidR="002F3A40">
        <w:rPr>
          <w:rFonts w:hint="cs"/>
          <w:rtl/>
          <w:lang w:bidi="fa-IR"/>
        </w:rPr>
        <w:t>َّا</w:t>
      </w:r>
      <w:r w:rsidRPr="00132E65">
        <w:rPr>
          <w:rtl/>
          <w:lang w:bidi="fa-IR"/>
        </w:rPr>
        <w:t xml:space="preserve"> رَكَضَ </w:t>
      </w:r>
      <w:r>
        <w:rPr>
          <w:rStyle w:val="libFootnotenumChar"/>
          <w:rtl/>
        </w:rPr>
        <w:t>(11)</w:t>
      </w:r>
      <w:r w:rsidRPr="00132E65">
        <w:rPr>
          <w:rtl/>
          <w:lang w:bidi="fa-IR"/>
        </w:rPr>
        <w:t xml:space="preserve"> وَمَرَّ </w:t>
      </w:r>
      <w:r>
        <w:rPr>
          <w:rStyle w:val="libFootnotenumChar"/>
          <w:rtl/>
        </w:rPr>
        <w:t>(12)</w:t>
      </w:r>
      <w:r w:rsidRPr="00132E65">
        <w:rPr>
          <w:rtl/>
          <w:lang w:bidi="fa-IR"/>
        </w:rPr>
        <w:t xml:space="preserve"> </w:t>
      </w:r>
      <w:r w:rsidR="002F3A40">
        <w:rPr>
          <w:rFonts w:hint="cs"/>
          <w:rtl/>
          <w:lang w:bidi="fa-IR"/>
        </w:rPr>
        <w:t>.</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482F6E">
        <w:rPr>
          <w:rtl/>
        </w:rPr>
        <w:t>1306</w:t>
      </w:r>
      <w:r w:rsidRPr="004325D8">
        <w:rPr>
          <w:rStyle w:val="libBold2Char"/>
          <w:rtl/>
        </w:rPr>
        <w:t xml:space="preserve"> / 9.</w:t>
      </w:r>
      <w:r w:rsidRPr="00132E65">
        <w:rPr>
          <w:rtl/>
          <w:lang w:bidi="fa-IR"/>
        </w:rPr>
        <w:t xml:space="preserve"> الْحُسَيْنُ بْنُ مُحَمَّدٍ ، عَنْ مُعَلَّى بْنِ مُحَمَّدٍ </w:t>
      </w:r>
      <w:r w:rsidRPr="00F543F1">
        <w:rPr>
          <w:rStyle w:val="libFootnotenumChar"/>
          <w:rtl/>
        </w:rPr>
        <w:t>(14)</w:t>
      </w:r>
      <w:r w:rsidRPr="00132E65">
        <w:rPr>
          <w:rtl/>
          <w:lang w:bidi="fa-IR"/>
        </w:rPr>
        <w:t xml:space="preserve"> ، عَنْ مُسَافِرٍ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54075F" w:rsidTr="0054075F">
        <w:tc>
          <w:tcPr>
            <w:tcW w:w="4261" w:type="dxa"/>
          </w:tcPr>
          <w:p w:rsidR="0054075F" w:rsidRDefault="0054075F" w:rsidP="000C39D1">
            <w:pPr>
              <w:pStyle w:val="libFootnote0"/>
              <w:rPr>
                <w:rtl/>
              </w:rPr>
            </w:pPr>
            <w:r>
              <w:rPr>
                <w:rtl/>
              </w:rPr>
              <w:t>(1).</w:t>
            </w:r>
            <w:r w:rsidRPr="00132E65">
              <w:rPr>
                <w:rtl/>
              </w:rPr>
              <w:t xml:space="preserve"> في الإرشاد : « واجتمع »</w:t>
            </w:r>
            <w:r>
              <w:rPr>
                <w:rtl/>
              </w:rPr>
              <w:t>.</w:t>
            </w:r>
          </w:p>
        </w:tc>
        <w:tc>
          <w:tcPr>
            <w:tcW w:w="4262" w:type="dxa"/>
          </w:tcPr>
          <w:p w:rsidR="0054075F" w:rsidRDefault="0054075F" w:rsidP="000C39D1">
            <w:pPr>
              <w:pStyle w:val="libFootnote0"/>
              <w:rPr>
                <w:rtl/>
              </w:rPr>
            </w:pPr>
            <w:r>
              <w:rPr>
                <w:rtl/>
              </w:rPr>
              <w:t>(2).</w:t>
            </w:r>
            <w:r w:rsidRPr="00132E65">
              <w:rPr>
                <w:rtl/>
              </w:rPr>
              <w:t xml:space="preserve"> في </w:t>
            </w:r>
            <w:r w:rsidRPr="0054075F">
              <w:rPr>
                <w:rtl/>
              </w:rPr>
              <w:t>الوافي</w:t>
            </w:r>
            <w:r w:rsidRPr="00132E65">
              <w:rPr>
                <w:rtl/>
              </w:rPr>
              <w:t xml:space="preserve"> : « في »</w:t>
            </w:r>
            <w:r>
              <w:rPr>
                <w:rtl/>
              </w:rPr>
              <w:t>.</w:t>
            </w:r>
          </w:p>
        </w:tc>
      </w:tr>
    </w:tbl>
    <w:p w:rsidR="000C39D1" w:rsidRPr="00132E65" w:rsidRDefault="000C39D1" w:rsidP="000C39D1">
      <w:pPr>
        <w:pStyle w:val="libFootnote0"/>
        <w:rPr>
          <w:rtl/>
          <w:lang w:bidi="fa-IR"/>
        </w:rPr>
      </w:pPr>
      <w:r>
        <w:rPr>
          <w:rtl/>
        </w:rPr>
        <w:t>(3).</w:t>
      </w:r>
      <w:r w:rsidRPr="00132E65">
        <w:rPr>
          <w:rtl/>
        </w:rPr>
        <w:t xml:space="preserve"> في الإرشاد : « هو »</w:t>
      </w:r>
      <w:r>
        <w:rPr>
          <w:rtl/>
        </w:rPr>
        <w:t>.</w:t>
      </w:r>
    </w:p>
    <w:p w:rsidR="000C39D1" w:rsidRPr="00132E65" w:rsidRDefault="000C39D1" w:rsidP="000C39D1">
      <w:pPr>
        <w:pStyle w:val="libFootnote0"/>
        <w:rPr>
          <w:rtl/>
          <w:lang w:bidi="fa-IR"/>
        </w:rPr>
      </w:pPr>
      <w:r>
        <w:rPr>
          <w:rtl/>
        </w:rPr>
        <w:t>(4).</w:t>
      </w:r>
      <w:r w:rsidRPr="00132E65">
        <w:rPr>
          <w:rtl/>
        </w:rPr>
        <w:t xml:space="preserve"> « اغتاله » ، أي قتله غَيْلةً ، أي في خُفية واغتيال ، وهو أن يُخْدَع ويُقتَل في موضع لا يراه فيه أحد. راجع : </w:t>
      </w:r>
      <w:r w:rsidRPr="0054075F">
        <w:rPr>
          <w:rStyle w:val="libFootnoteBoldChar"/>
          <w:rtl/>
        </w:rPr>
        <w:t>النهاية</w:t>
      </w:r>
      <w:r w:rsidRPr="00132E65">
        <w:rPr>
          <w:rtl/>
        </w:rPr>
        <w:t xml:space="preserve"> ، ج 3 ، ص 402 ( غيل )</w:t>
      </w:r>
      <w:r>
        <w:rPr>
          <w:rtl/>
        </w:rPr>
        <w:t>.</w:t>
      </w:r>
    </w:p>
    <w:p w:rsidR="000C39D1" w:rsidRPr="00132E65" w:rsidRDefault="000C39D1" w:rsidP="000C39D1">
      <w:pPr>
        <w:pStyle w:val="libFootnote0"/>
        <w:rPr>
          <w:rtl/>
          <w:lang w:bidi="fa-IR"/>
        </w:rPr>
      </w:pPr>
      <w:r>
        <w:rPr>
          <w:rtl/>
        </w:rPr>
        <w:t>(5).</w:t>
      </w:r>
      <w:r w:rsidRPr="00132E65">
        <w:rPr>
          <w:rtl/>
        </w:rPr>
        <w:t xml:space="preserve"> في الإرشاد : « وشغبوا عليه وطلبوا بدمه » بدل « وقتله</w:t>
      </w:r>
      <w:r>
        <w:rPr>
          <w:rtl/>
        </w:rPr>
        <w:t xml:space="preserve"> - </w:t>
      </w:r>
      <w:r w:rsidRPr="00132E65">
        <w:rPr>
          <w:rtl/>
        </w:rPr>
        <w:t>إلى</w:t>
      </w:r>
      <w:r>
        <w:rPr>
          <w:rtl/>
        </w:rPr>
        <w:t xml:space="preserve"> - </w:t>
      </w:r>
      <w:r w:rsidRPr="00132E65">
        <w:rPr>
          <w:rtl/>
        </w:rPr>
        <w:t>لنطلبنّ بدمه »</w:t>
      </w:r>
      <w:r>
        <w:rPr>
          <w:rtl/>
        </w:rPr>
        <w:t>.</w:t>
      </w:r>
    </w:p>
    <w:p w:rsidR="000C39D1" w:rsidRPr="00132E65" w:rsidRDefault="000C39D1" w:rsidP="000C39D1">
      <w:pPr>
        <w:pStyle w:val="libFootnote0"/>
        <w:rPr>
          <w:rtl/>
          <w:lang w:bidi="fa-IR"/>
        </w:rPr>
      </w:pPr>
      <w:r>
        <w:rPr>
          <w:rtl/>
        </w:rPr>
        <w:t>(6).</w:t>
      </w:r>
      <w:r w:rsidRPr="00132E65">
        <w:rPr>
          <w:rtl/>
        </w:rPr>
        <w:t xml:space="preserve"> في الإرشاد : « نرى »</w:t>
      </w:r>
      <w:r>
        <w:rPr>
          <w:rtl/>
        </w:rPr>
        <w:t>.</w:t>
      </w:r>
    </w:p>
    <w:p w:rsidR="000C39D1" w:rsidRPr="00132E65" w:rsidRDefault="000C39D1" w:rsidP="000C39D1">
      <w:pPr>
        <w:pStyle w:val="libFootnote0"/>
        <w:rPr>
          <w:rtl/>
          <w:lang w:bidi="fa-IR"/>
        </w:rPr>
      </w:pPr>
      <w:r>
        <w:rPr>
          <w:rtl/>
        </w:rPr>
        <w:t>(7).</w:t>
      </w:r>
      <w:r w:rsidRPr="00132E65">
        <w:rPr>
          <w:rtl/>
        </w:rPr>
        <w:t xml:space="preserve"> في الإرشاد : « ترفق بهم حتّى يتفرّقوا ، قال : نعم وركب » بدل « تفرّقهم</w:t>
      </w:r>
      <w:r>
        <w:rPr>
          <w:rtl/>
        </w:rPr>
        <w:t xml:space="preserve"> - </w:t>
      </w:r>
      <w:r w:rsidRPr="00132E65">
        <w:rPr>
          <w:rtl/>
        </w:rPr>
        <w:t>إلى</w:t>
      </w:r>
      <w:r>
        <w:rPr>
          <w:rtl/>
        </w:rPr>
        <w:t xml:space="preserve"> - </w:t>
      </w:r>
      <w:r w:rsidRPr="00132E65">
        <w:rPr>
          <w:rtl/>
        </w:rPr>
        <w:t>فركب »</w:t>
      </w:r>
      <w:r>
        <w:rPr>
          <w:rtl/>
        </w:rPr>
        <w:t>.</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لي »</w:t>
      </w:r>
      <w:r>
        <w:rPr>
          <w:rtl/>
        </w:rPr>
        <w:t>.</w:t>
      </w:r>
      <w:r w:rsidRPr="00132E65">
        <w:rPr>
          <w:rtl/>
        </w:rPr>
        <w:t xml:space="preserve"> وفي الإرشاد :</w:t>
      </w:r>
      <w:r>
        <w:rPr>
          <w:rtl/>
        </w:rPr>
        <w:t xml:space="preserve"> + </w:t>
      </w:r>
      <w:r w:rsidRPr="00132E65">
        <w:rPr>
          <w:rtl/>
        </w:rPr>
        <w:t>« يا ياسر »</w:t>
      </w:r>
      <w:r>
        <w:rPr>
          <w:rtl/>
        </w:rPr>
        <w:t>.</w:t>
      </w:r>
    </w:p>
    <w:p w:rsidR="000C39D1" w:rsidRPr="00132E65" w:rsidRDefault="000C39D1" w:rsidP="000C39D1">
      <w:pPr>
        <w:pStyle w:val="libFootnote0"/>
        <w:rPr>
          <w:rtl/>
          <w:lang w:bidi="fa-IR"/>
        </w:rPr>
      </w:pPr>
      <w:r>
        <w:rPr>
          <w:rtl/>
        </w:rPr>
        <w:t>(9).</w:t>
      </w:r>
      <w:r w:rsidRPr="00132E65">
        <w:rPr>
          <w:rtl/>
        </w:rPr>
        <w:t xml:space="preserve"> في الإرشاد : « وقد ازدحموا عليه »</w:t>
      </w:r>
      <w:r>
        <w:rPr>
          <w:rtl/>
        </w:rPr>
        <w:t>.</w:t>
      </w:r>
    </w:p>
    <w:p w:rsidR="000C39D1" w:rsidRPr="00132E65" w:rsidRDefault="000C39D1" w:rsidP="000C39D1">
      <w:pPr>
        <w:pStyle w:val="libFootnote0"/>
        <w:rPr>
          <w:rtl/>
          <w:lang w:bidi="fa-IR"/>
        </w:rPr>
      </w:pPr>
      <w:r>
        <w:rPr>
          <w:rtl/>
        </w:rPr>
        <w:t>(10).</w:t>
      </w:r>
      <w:r w:rsidRPr="00132E65">
        <w:rPr>
          <w:rtl/>
        </w:rPr>
        <w:t xml:space="preserve"> في الإرشاد </w:t>
      </w:r>
      <w:r>
        <w:rPr>
          <w:rtl/>
        </w:rPr>
        <w:t xml:space="preserve">: - </w:t>
      </w:r>
      <w:r w:rsidRPr="00132E65">
        <w:rPr>
          <w:rtl/>
        </w:rPr>
        <w:t>« تفرّقوا » الثاني.</w:t>
      </w:r>
    </w:p>
    <w:p w:rsidR="000C39D1" w:rsidRPr="00132E65" w:rsidRDefault="000C39D1" w:rsidP="000C39D1">
      <w:pPr>
        <w:pStyle w:val="libFootnote0"/>
        <w:rPr>
          <w:rtl/>
          <w:lang w:bidi="fa-IR"/>
        </w:rPr>
      </w:pPr>
      <w:r>
        <w:rPr>
          <w:rtl/>
        </w:rPr>
        <w:t>(11).</w:t>
      </w:r>
      <w:r w:rsidRPr="00132E65">
        <w:rPr>
          <w:rtl/>
        </w:rPr>
        <w:t xml:space="preserve"> قال الجوهري : « الرَكْض : تحريك الرِجْل »</w:t>
      </w:r>
      <w:r>
        <w:rPr>
          <w:rtl/>
        </w:rPr>
        <w:t>.</w:t>
      </w:r>
      <w:r w:rsidRPr="00132E65">
        <w:rPr>
          <w:rtl/>
        </w:rPr>
        <w:t xml:space="preserve"> </w:t>
      </w:r>
      <w:r w:rsidRPr="0054075F">
        <w:rPr>
          <w:rStyle w:val="libFootnoteBoldChar"/>
          <w:rtl/>
        </w:rPr>
        <w:t>الصحاح</w:t>
      </w:r>
      <w:r w:rsidRPr="00132E65">
        <w:rPr>
          <w:rtl/>
        </w:rPr>
        <w:t xml:space="preserve"> ، ج 3 ، ص 1079 ( ركض )</w:t>
      </w:r>
      <w:r>
        <w:rPr>
          <w:rtl/>
        </w:rPr>
        <w:t>.</w:t>
      </w:r>
    </w:p>
    <w:p w:rsidR="000C39D1" w:rsidRPr="00132E65" w:rsidRDefault="000C39D1" w:rsidP="000C39D1">
      <w:pPr>
        <w:pStyle w:val="libFootnote0"/>
        <w:rPr>
          <w:rtl/>
          <w:lang w:bidi="fa-IR"/>
        </w:rPr>
      </w:pPr>
      <w:r>
        <w:rPr>
          <w:rtl/>
        </w:rPr>
        <w:t>(12).</w:t>
      </w:r>
      <w:r w:rsidRPr="00132E65">
        <w:rPr>
          <w:rtl/>
        </w:rPr>
        <w:t xml:space="preserve"> في الإرشاد : « ومضى لوجهه » بدل « ومرّ »</w:t>
      </w:r>
      <w:r>
        <w:rPr>
          <w:rtl/>
        </w:rPr>
        <w:t>.</w:t>
      </w:r>
    </w:p>
    <w:p w:rsidR="000C39D1" w:rsidRPr="00132E65" w:rsidRDefault="000C39D1" w:rsidP="000C39D1">
      <w:pPr>
        <w:pStyle w:val="libFootnote0"/>
        <w:rPr>
          <w:rtl/>
          <w:lang w:bidi="fa-IR"/>
        </w:rPr>
      </w:pPr>
      <w:r>
        <w:rPr>
          <w:rtl/>
        </w:rPr>
        <w:t>(13)</w:t>
      </w:r>
      <w:r w:rsidRPr="00132E65">
        <w:rPr>
          <w:rtl/>
        </w:rPr>
        <w:t xml:space="preserve"> </w:t>
      </w:r>
      <w:r w:rsidRPr="0054075F">
        <w:rPr>
          <w:rStyle w:val="libFootnoteBoldChar"/>
          <w:rtl/>
        </w:rPr>
        <w:t>الإرشاد</w:t>
      </w:r>
      <w:r w:rsidRPr="00132E65">
        <w:rPr>
          <w:rtl/>
        </w:rPr>
        <w:t xml:space="preserve"> ، ج 2 ، ص 266 بسنده عن الكليني. </w:t>
      </w:r>
      <w:r w:rsidRPr="0054075F">
        <w:rPr>
          <w:rStyle w:val="libFootnoteBoldChar"/>
          <w:rtl/>
        </w:rPr>
        <w:t>عيون الأخبار</w:t>
      </w:r>
      <w:r w:rsidRPr="00132E65">
        <w:rPr>
          <w:rtl/>
        </w:rPr>
        <w:t xml:space="preserve"> ، ج 2 ، ص 163 ، ح 24 ، بسنده عن عليّ بن إبراهيم ، عن ياسر الخادم ، مع اختلاف يسير </w:t>
      </w:r>
      <w:r w:rsidR="0054075F">
        <w:rPr>
          <w:rFonts w:hint="cs"/>
          <w:rtl/>
        </w:rPr>
        <w:t>.</w:t>
      </w:r>
      <w:r w:rsidRPr="009D1ACE">
        <w:rPr>
          <w:rStyle w:val="libFootnoteBoldChar"/>
          <w:rtl/>
        </w:rPr>
        <w:t>الوافي</w:t>
      </w:r>
      <w:r w:rsidRPr="00132E65">
        <w:rPr>
          <w:rtl/>
        </w:rPr>
        <w:t xml:space="preserve"> ، ج 3 ، ص 821 ، ح 1430.</w:t>
      </w:r>
    </w:p>
    <w:p w:rsidR="000C39D1" w:rsidRPr="00132E65" w:rsidRDefault="000C39D1" w:rsidP="000C39D1">
      <w:pPr>
        <w:pStyle w:val="libFootnote0"/>
        <w:rPr>
          <w:rtl/>
          <w:lang w:bidi="fa-IR"/>
        </w:rPr>
      </w:pPr>
      <w:r>
        <w:rPr>
          <w:rtl/>
        </w:rPr>
        <w:t>(14)</w:t>
      </w:r>
      <w:r w:rsidRPr="00132E65">
        <w:rPr>
          <w:rtl/>
        </w:rPr>
        <w:t xml:space="preserve"> ورد الخبر في </w:t>
      </w:r>
      <w:r w:rsidRPr="007E1ED7">
        <w:rPr>
          <w:rtl/>
        </w:rPr>
        <w:t>الإرشاد</w:t>
      </w:r>
      <w:r w:rsidRPr="00132E65">
        <w:rPr>
          <w:rtl/>
        </w:rPr>
        <w:t xml:space="preserve"> ، ص 267 بسنده عن محمّد بن يعقوب عن معلّى بن محمّد. وهو سهو واضح ؛ فإنّ‌</w:t>
      </w:r>
      <w:r w:rsidR="0054075F">
        <w:rPr>
          <w:rFonts w:hint="cs"/>
          <w:rtl/>
        </w:rPr>
        <w:t xml:space="preserve"> </w:t>
      </w:r>
      <w:r w:rsidRPr="00132E65">
        <w:rPr>
          <w:rtl/>
        </w:rPr>
        <w:t xml:space="preserve">المتكرّر في أسناد عديدة رواية المصنّف عن الحسين بن محمّد ، عن معلّى بن محمّد. راجع : </w:t>
      </w:r>
      <w:r w:rsidRPr="0054075F">
        <w:rPr>
          <w:rStyle w:val="libFootnoteBoldChar"/>
          <w:rtl/>
        </w:rPr>
        <w:t>معجم رجال الحديث</w:t>
      </w:r>
      <w:r w:rsidRPr="00132E65">
        <w:rPr>
          <w:rtl/>
        </w:rPr>
        <w:t xml:space="preserve"> ، ج 6 ، ص 342</w:t>
      </w:r>
      <w:r>
        <w:rPr>
          <w:rtl/>
        </w:rPr>
        <w:t xml:space="preserve"> - </w:t>
      </w:r>
      <w:r w:rsidRPr="00132E65">
        <w:rPr>
          <w:rtl/>
        </w:rPr>
        <w:t>348.</w:t>
      </w:r>
    </w:p>
    <w:p w:rsidR="000C39D1" w:rsidRDefault="000C39D1" w:rsidP="000C39D1">
      <w:pPr>
        <w:pStyle w:val="libNormal0"/>
        <w:tabs>
          <w:tab w:val="left" w:pos="3968"/>
        </w:tabs>
        <w:rPr>
          <w:rtl/>
          <w:lang w:bidi="fa-IR"/>
        </w:rPr>
      </w:pPr>
      <w:r>
        <w:rPr>
          <w:rtl/>
          <w:lang w:bidi="fa-IR"/>
        </w:rPr>
        <w:br w:type="page"/>
      </w:r>
    </w:p>
    <w:p w:rsidR="000C39D1" w:rsidRPr="00132E65" w:rsidRDefault="0054075F" w:rsidP="0054075F">
      <w:pPr>
        <w:pStyle w:val="libNormal"/>
        <w:rPr>
          <w:rtl/>
          <w:lang w:bidi="fa-IR"/>
        </w:rPr>
      </w:pPr>
      <w:r>
        <w:rPr>
          <w:rFonts w:hint="cs"/>
          <w:rtl/>
          <w:lang w:bidi="fa-IR"/>
        </w:rPr>
        <w:t xml:space="preserve">          </w:t>
      </w:r>
      <w:r w:rsidR="000C39D1" w:rsidRPr="00132E65">
        <w:rPr>
          <w:rtl/>
          <w:lang w:bidi="fa-IR"/>
        </w:rPr>
        <w:t>و</w:t>
      </w:r>
      <w:r>
        <w:rPr>
          <w:rFonts w:hint="cs"/>
          <w:rtl/>
          <w:lang w:bidi="fa-IR"/>
        </w:rPr>
        <w:t>َ</w:t>
      </w:r>
      <w:r w:rsidR="000C39D1">
        <w:rPr>
          <w:rFonts w:hint="cs"/>
          <w:rtl/>
          <w:lang w:bidi="fa-IR"/>
        </w:rPr>
        <w:t xml:space="preserve"> </w:t>
      </w:r>
      <w:r w:rsidR="000C39D1">
        <w:rPr>
          <w:rStyle w:val="libFootnotenumChar"/>
          <w:rtl/>
        </w:rPr>
        <w:t>(1)</w:t>
      </w:r>
      <w:r w:rsidR="000C39D1" w:rsidRPr="00132E65">
        <w:rPr>
          <w:rtl/>
          <w:lang w:bidi="fa-IR"/>
        </w:rPr>
        <w:t xml:space="preserve"> عَنِ الْوَشَّاءِ ، عَنْ مُسَافِرٍ </w:t>
      </w:r>
      <w:r w:rsidR="000C39D1">
        <w:rPr>
          <w:rStyle w:val="libFootnotenumChar"/>
          <w:rtl/>
        </w:rPr>
        <w:t>(2)</w:t>
      </w:r>
      <w:r w:rsidR="000C39D1"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لَمَّا أَرَادَ هَارُونُ بْنُ الْمُسَيَّبِ أَنْ </w:t>
      </w:r>
      <w:r>
        <w:rPr>
          <w:rStyle w:val="libFootnotenumChar"/>
          <w:rtl/>
        </w:rPr>
        <w:t>(3)</w:t>
      </w:r>
      <w:r w:rsidRPr="00132E65">
        <w:rPr>
          <w:rtl/>
          <w:lang w:bidi="fa-IR"/>
        </w:rPr>
        <w:t xml:space="preserve"> يُوَاقِعَ </w:t>
      </w:r>
      <w:r>
        <w:rPr>
          <w:rStyle w:val="libFootnotenumChar"/>
          <w:rtl/>
        </w:rPr>
        <w:t>(4)</w:t>
      </w:r>
      <w:r w:rsidRPr="00132E65">
        <w:rPr>
          <w:rtl/>
          <w:lang w:bidi="fa-IR"/>
        </w:rPr>
        <w:t xml:space="preserve"> مُحَمَّدَ بْنَ جَعْفَرٍ ، قَالَ لِي أَبُو الْحَسَنِ الرِّضَا </w:t>
      </w:r>
      <w:r w:rsidRPr="00071CF9">
        <w:rPr>
          <w:rStyle w:val="libAlaemChar"/>
          <w:rtl/>
        </w:rPr>
        <w:t>عليه‌السلام</w:t>
      </w:r>
      <w:r w:rsidRPr="00132E65">
        <w:rPr>
          <w:rtl/>
          <w:lang w:bidi="fa-IR"/>
        </w:rPr>
        <w:t xml:space="preserve"> : « اذْهَبْ إِلَيْهِ ، و</w:t>
      </w:r>
      <w:r w:rsidR="0054075F">
        <w:rPr>
          <w:rFonts w:hint="cs"/>
          <w:rtl/>
          <w:lang w:bidi="fa-IR"/>
        </w:rPr>
        <w:t>َ</w:t>
      </w:r>
      <w:r w:rsidRPr="00132E65">
        <w:rPr>
          <w:rtl/>
          <w:lang w:bidi="fa-IR"/>
        </w:rPr>
        <w:t xml:space="preserve">قُلْ لَهُ </w:t>
      </w:r>
      <w:r>
        <w:rPr>
          <w:rStyle w:val="libFootnotenumChar"/>
          <w:rtl/>
        </w:rPr>
        <w:t>(5)</w:t>
      </w:r>
      <w:r w:rsidRPr="00132E65">
        <w:rPr>
          <w:rtl/>
          <w:lang w:bidi="fa-IR"/>
        </w:rPr>
        <w:t xml:space="preserve"> : لَاتَخْرُجْ </w:t>
      </w:r>
      <w:r>
        <w:rPr>
          <w:rStyle w:val="libFootnotenumChar"/>
          <w:rtl/>
        </w:rPr>
        <w:t>(6)</w:t>
      </w:r>
      <w:r w:rsidRPr="00132E65">
        <w:rPr>
          <w:rtl/>
          <w:lang w:bidi="fa-IR"/>
        </w:rPr>
        <w:t xml:space="preserve"> غَداً ؛ فَإِنَّكَ إِنْ خَرَجْتَ غَداً هُزِمْتَ ، و</w:t>
      </w:r>
      <w:r w:rsidR="0054075F">
        <w:rPr>
          <w:rFonts w:hint="cs"/>
          <w:rtl/>
          <w:lang w:bidi="fa-IR"/>
        </w:rPr>
        <w:t>َ</w:t>
      </w:r>
      <w:r w:rsidRPr="00132E65">
        <w:rPr>
          <w:rtl/>
          <w:lang w:bidi="fa-IR"/>
        </w:rPr>
        <w:t xml:space="preserve">قُتِلَ أَصْحَابُكَ ، فَإِنْ سَأَلَكَ </w:t>
      </w:r>
      <w:r>
        <w:rPr>
          <w:rStyle w:val="libFootnotenumChar"/>
          <w:rtl/>
        </w:rPr>
        <w:t>(7)</w:t>
      </w:r>
      <w:r w:rsidRPr="00132E65">
        <w:rPr>
          <w:rtl/>
          <w:lang w:bidi="fa-IR"/>
        </w:rPr>
        <w:t xml:space="preserve"> : مِنْ أَيْنَ عَلِمْتَ هذَا</w:t>
      </w:r>
      <w:r>
        <w:rPr>
          <w:rtl/>
          <w:lang w:bidi="fa-IR"/>
        </w:rPr>
        <w:t>؟</w:t>
      </w:r>
      <w:r w:rsidRPr="00132E65">
        <w:rPr>
          <w:rtl/>
          <w:lang w:bidi="fa-IR"/>
        </w:rPr>
        <w:t xml:space="preserve"> فَقُلْ </w:t>
      </w:r>
      <w:r>
        <w:rPr>
          <w:rStyle w:val="libFootnotenumChar"/>
          <w:rtl/>
        </w:rPr>
        <w:t>(8)</w:t>
      </w:r>
      <w:r w:rsidRPr="00132E65">
        <w:rPr>
          <w:rtl/>
          <w:lang w:bidi="fa-IR"/>
        </w:rPr>
        <w:t xml:space="preserve"> : رَأَيْتُ فِي النَّوْمِ </w:t>
      </w:r>
      <w:r>
        <w:rPr>
          <w:rStyle w:val="libFootnotenumChar"/>
          <w:rtl/>
        </w:rPr>
        <w:t>(9)</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فَأَتَيْتُهُ ، فَقُلْتُ لَهُ : جُعِلْتُ فِدَاكَ ، لَاتَخْرُجْ غَداً </w:t>
      </w:r>
      <w:r>
        <w:rPr>
          <w:rStyle w:val="libFootnotenumChar"/>
          <w:rtl/>
        </w:rPr>
        <w:t>(10)</w:t>
      </w:r>
      <w:r w:rsidRPr="00132E65">
        <w:rPr>
          <w:rtl/>
          <w:lang w:bidi="fa-IR"/>
        </w:rPr>
        <w:t xml:space="preserve"> ؛ فَإِنَّكَ إِنْ خَرَجْتَ </w:t>
      </w:r>
      <w:r>
        <w:rPr>
          <w:rStyle w:val="libFootnotenumChar"/>
          <w:rtl/>
        </w:rPr>
        <w:t>(11)</w:t>
      </w:r>
      <w:r w:rsidRPr="00132E65">
        <w:rPr>
          <w:rtl/>
          <w:lang w:bidi="fa-IR"/>
        </w:rPr>
        <w:t xml:space="preserve"> هُزِمْتَ ، وَقُتِلَ أَصْحَابُكَ ، فَقَالَ لِي : مِنْ أَيْنَ عَلِمْتَ هذَا </w:t>
      </w:r>
      <w:r>
        <w:rPr>
          <w:rStyle w:val="libFootnotenumChar"/>
          <w:rtl/>
        </w:rPr>
        <w:t>(12)</w:t>
      </w:r>
      <w:r>
        <w:rPr>
          <w:rtl/>
          <w:lang w:bidi="fa-IR"/>
        </w:rPr>
        <w:t>؟</w:t>
      </w:r>
      <w:r w:rsidRPr="00132E65">
        <w:rPr>
          <w:rtl/>
          <w:lang w:bidi="fa-IR"/>
        </w:rPr>
        <w:t xml:space="preserve"> فَقُلْتُ </w:t>
      </w:r>
      <w:r w:rsidRPr="00F543F1">
        <w:rPr>
          <w:rStyle w:val="libFootnotenumChar"/>
          <w:rtl/>
        </w:rPr>
        <w:t>(13)</w:t>
      </w:r>
      <w:r w:rsidRPr="00132E65">
        <w:rPr>
          <w:rtl/>
          <w:lang w:bidi="fa-IR"/>
        </w:rPr>
        <w:t xml:space="preserve"> : رَأَيْتُ فِي النَّوْمِ </w:t>
      </w:r>
      <w:r w:rsidRPr="00F543F1">
        <w:rPr>
          <w:rStyle w:val="libFootnotenumChar"/>
          <w:rtl/>
        </w:rPr>
        <w:t>(14)</w:t>
      </w:r>
      <w:r w:rsidRPr="00132E65">
        <w:rPr>
          <w:rtl/>
          <w:lang w:bidi="fa-IR"/>
        </w:rPr>
        <w:t xml:space="preserve"> ، فَقَالَ :</w:t>
      </w:r>
      <w:r>
        <w:rPr>
          <w:rFonts w:hint="cs"/>
          <w:rtl/>
          <w:lang w:bidi="fa-IR"/>
        </w:rPr>
        <w:t xml:space="preserve"> </w:t>
      </w:r>
      <w:r w:rsidRPr="00132E65">
        <w:rPr>
          <w:rtl/>
          <w:lang w:bidi="fa-IR"/>
        </w:rPr>
        <w:t>نَامَ الْعَبْدُ و</w:t>
      </w:r>
      <w:r w:rsidR="0054075F">
        <w:rPr>
          <w:rFonts w:hint="cs"/>
          <w:rtl/>
          <w:lang w:bidi="fa-IR"/>
        </w:rPr>
        <w:t>َ</w:t>
      </w:r>
      <w:r w:rsidRPr="00132E65">
        <w:rPr>
          <w:rtl/>
          <w:lang w:bidi="fa-IR"/>
        </w:rPr>
        <w:t xml:space="preserve">لَمْ يَغْسِلِ اسْتَهُ ، ثُمَّ خَرَجَ ، فَانْهَزَمَ </w:t>
      </w:r>
      <w:r w:rsidRPr="00F543F1">
        <w:rPr>
          <w:rStyle w:val="libFootnotenumChar"/>
          <w:rtl/>
        </w:rPr>
        <w:t>(15)</w:t>
      </w:r>
      <w:r w:rsidRPr="00132E65">
        <w:rPr>
          <w:rtl/>
          <w:lang w:bidi="fa-IR"/>
        </w:rPr>
        <w:t xml:space="preserve"> ، و</w:t>
      </w:r>
      <w:r w:rsidR="0054075F">
        <w:rPr>
          <w:rFonts w:hint="cs"/>
          <w:rtl/>
          <w:lang w:bidi="fa-IR"/>
        </w:rPr>
        <w:t>َ</w:t>
      </w:r>
      <w:r w:rsidRPr="00132E65">
        <w:rPr>
          <w:rtl/>
          <w:lang w:bidi="fa-IR"/>
        </w:rPr>
        <w:t xml:space="preserve">قُتِلَ أَصْحَابُهُ. </w:t>
      </w:r>
      <w:r w:rsidRPr="00F543F1">
        <w:rPr>
          <w:rStyle w:val="libFootnotenumChar"/>
          <w:rtl/>
        </w:rPr>
        <w:t>(16)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السند تحويل بعطف : « الوشّاء عن مسافر » على « مسافر »</w:t>
      </w:r>
      <w:r>
        <w:rPr>
          <w:rtl/>
        </w:rPr>
        <w:t>.</w:t>
      </w:r>
      <w:r w:rsidRPr="00132E65">
        <w:rPr>
          <w:rtl/>
        </w:rPr>
        <w:t xml:space="preserve"> والمراد أنّ معلّى بن محمّد يروي الخبر تارةً عن مسافر مباشرة ، وا</w:t>
      </w:r>
      <w:r w:rsidR="0054075F">
        <w:rPr>
          <w:rFonts w:hint="cs"/>
          <w:rtl/>
        </w:rPr>
        <w:t>ُ</w:t>
      </w:r>
      <w:r w:rsidRPr="00132E65">
        <w:rPr>
          <w:rtl/>
        </w:rPr>
        <w:t>خرى بتوسّط الوشّاء. هذا ، وفي حاشية « بف » : « أو »</w:t>
      </w:r>
      <w:r>
        <w:rPr>
          <w:rtl/>
        </w:rPr>
        <w:t>.</w:t>
      </w:r>
      <w:r w:rsidRPr="00132E65">
        <w:rPr>
          <w:rtl/>
        </w:rPr>
        <w:t xml:space="preserve"> ومفاد السند بناء على صحّة هذه النسخة واضح.</w:t>
      </w:r>
    </w:p>
    <w:p w:rsidR="000C39D1" w:rsidRPr="00132E65" w:rsidRDefault="000C39D1" w:rsidP="000C39D1">
      <w:pPr>
        <w:pStyle w:val="libFootnote0"/>
        <w:rPr>
          <w:rtl/>
          <w:lang w:bidi="fa-IR"/>
        </w:rPr>
      </w:pPr>
      <w:r>
        <w:rPr>
          <w:rtl/>
        </w:rPr>
        <w:t>(2).</w:t>
      </w:r>
      <w:r w:rsidRPr="00132E65">
        <w:rPr>
          <w:rtl/>
        </w:rPr>
        <w:t xml:space="preserve"> في حاشية « بف » : « هشام »</w:t>
      </w:r>
      <w:r>
        <w:rPr>
          <w:rtl/>
        </w:rPr>
        <w:t>.</w:t>
      </w:r>
      <w:r w:rsidRPr="00132E65">
        <w:rPr>
          <w:rtl/>
        </w:rPr>
        <w:t xml:space="preserve"> وفي الإرشاد </w:t>
      </w:r>
      <w:r>
        <w:rPr>
          <w:rtl/>
        </w:rPr>
        <w:t xml:space="preserve">: - </w:t>
      </w:r>
      <w:r w:rsidRPr="00132E65">
        <w:rPr>
          <w:rtl/>
        </w:rPr>
        <w:t>« وعن الوشّاء ، عن مسافر »</w:t>
      </w:r>
      <w:r>
        <w:rPr>
          <w:rtl/>
        </w:rPr>
        <w:t>.</w:t>
      </w:r>
    </w:p>
    <w:p w:rsidR="000C39D1" w:rsidRPr="00132E65" w:rsidRDefault="000C39D1" w:rsidP="000C39D1">
      <w:pPr>
        <w:pStyle w:val="libFootnote0"/>
        <w:rPr>
          <w:rtl/>
          <w:lang w:bidi="fa-IR"/>
        </w:rPr>
      </w:pPr>
      <w:r>
        <w:rPr>
          <w:rtl/>
        </w:rPr>
        <w:t>(3).</w:t>
      </w:r>
      <w:r w:rsidRPr="00132E65">
        <w:rPr>
          <w:rtl/>
        </w:rPr>
        <w:t xml:space="preserve"> في « ف » </w:t>
      </w:r>
      <w:r>
        <w:rPr>
          <w:rtl/>
        </w:rPr>
        <w:t xml:space="preserve">: - </w:t>
      </w:r>
      <w:r w:rsidRPr="00132E65">
        <w:rPr>
          <w:rtl/>
        </w:rPr>
        <w:t>« أن »</w:t>
      </w:r>
      <w:r>
        <w:rPr>
          <w:rtl/>
        </w:rPr>
        <w:t>.</w:t>
      </w:r>
    </w:p>
    <w:p w:rsidR="000C39D1" w:rsidRPr="00132E65" w:rsidRDefault="000C39D1" w:rsidP="000C39D1">
      <w:pPr>
        <w:pStyle w:val="libFootnote0"/>
        <w:rPr>
          <w:rtl/>
          <w:lang w:bidi="fa-IR"/>
        </w:rPr>
      </w:pPr>
      <w:r>
        <w:rPr>
          <w:rtl/>
        </w:rPr>
        <w:t>(4).</w:t>
      </w:r>
      <w:r w:rsidRPr="00132E65">
        <w:rPr>
          <w:rtl/>
        </w:rPr>
        <w:t xml:space="preserve"> « يواقع » ، أي يحارب ؛ من الوقيعة بمعنى القتال. </w:t>
      </w:r>
      <w:r w:rsidRPr="0054075F">
        <w:rPr>
          <w:rStyle w:val="libFootnoteBoldChar"/>
          <w:rtl/>
        </w:rPr>
        <w:t>القاموس المحيط</w:t>
      </w:r>
      <w:r w:rsidRPr="00132E65">
        <w:rPr>
          <w:rtl/>
        </w:rPr>
        <w:t xml:space="preserve"> ، ج 2 ، ص 1034 ( قع )</w:t>
      </w:r>
      <w:r>
        <w:rPr>
          <w:rtl/>
        </w:rPr>
        <w:t>.</w:t>
      </w:r>
    </w:p>
    <w:p w:rsidR="000C39D1" w:rsidRPr="00132E65" w:rsidRDefault="000C39D1" w:rsidP="0054075F">
      <w:pPr>
        <w:pStyle w:val="libFootnote0"/>
        <w:rPr>
          <w:rtl/>
          <w:lang w:bidi="fa-IR"/>
        </w:rPr>
      </w:pPr>
      <w:r w:rsidRPr="00661890">
        <w:rPr>
          <w:rtl/>
        </w:rPr>
        <w:t xml:space="preserve">وفي « بف » : « يوافق ». قال في </w:t>
      </w:r>
      <w:r w:rsidRPr="009D1ACE">
        <w:rPr>
          <w:rStyle w:val="libFootnoteBoldChar"/>
          <w:rtl/>
        </w:rPr>
        <w:t>الوافي</w:t>
      </w:r>
      <w:r w:rsidRPr="00661890">
        <w:rPr>
          <w:rtl/>
        </w:rPr>
        <w:t xml:space="preserve"> : « كأنّه </w:t>
      </w:r>
      <w:r>
        <w:rPr>
          <w:rtl/>
        </w:rPr>
        <w:t>-</w:t>
      </w:r>
      <w:r w:rsidRPr="00661890">
        <w:rPr>
          <w:rtl/>
        </w:rPr>
        <w:t xml:space="preserve"> أي يوافق </w:t>
      </w:r>
      <w:r>
        <w:rPr>
          <w:rtl/>
        </w:rPr>
        <w:t>-</w:t>
      </w:r>
      <w:r w:rsidRPr="00661890">
        <w:rPr>
          <w:rtl/>
        </w:rPr>
        <w:t xml:space="preserve"> كان بتقديم القاف فصحّف. والمواقفة : أن تقف معه ويقف معك للحرب أو للخصومة ».</w:t>
      </w:r>
      <w:r w:rsidR="0054075F">
        <w:rPr>
          <w:rFonts w:hint="cs"/>
          <w:rtl/>
        </w:rPr>
        <w:t xml:space="preserve">                       </w:t>
      </w:r>
      <w:r>
        <w:rPr>
          <w:rtl/>
        </w:rPr>
        <w:t>(5).</w:t>
      </w:r>
      <w:r w:rsidRPr="00132E65">
        <w:rPr>
          <w:rtl/>
        </w:rPr>
        <w:t xml:space="preserve"> في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في « ب ، بس » : « لا يخرج »</w:t>
      </w:r>
      <w:r>
        <w:rPr>
          <w:rtl/>
        </w:rPr>
        <w:t>.</w:t>
      </w:r>
    </w:p>
    <w:p w:rsidR="000C39D1" w:rsidRPr="00132E65" w:rsidRDefault="000C39D1" w:rsidP="000C39D1">
      <w:pPr>
        <w:pStyle w:val="libFootnote0"/>
        <w:rPr>
          <w:rtl/>
          <w:lang w:bidi="fa-IR"/>
        </w:rPr>
      </w:pPr>
      <w:r>
        <w:rPr>
          <w:rtl/>
        </w:rPr>
        <w:t>(7).</w:t>
      </w:r>
      <w:r w:rsidRPr="00132E65">
        <w:rPr>
          <w:rtl/>
        </w:rPr>
        <w:t xml:space="preserve"> في « ض » : « فقال لي » بدل « فإن سألك »</w:t>
      </w:r>
      <w:r>
        <w:rPr>
          <w:rtl/>
        </w:rPr>
        <w:t>.</w:t>
      </w:r>
      <w:r w:rsidRPr="00132E65">
        <w:rPr>
          <w:rtl/>
        </w:rPr>
        <w:t xml:space="preserve"> وفي « بر » : « وإن سألك »</w:t>
      </w:r>
      <w:r>
        <w:rPr>
          <w:rtl/>
        </w:rPr>
        <w:t>.</w:t>
      </w:r>
      <w:r w:rsidRPr="00132E65">
        <w:rPr>
          <w:rtl/>
        </w:rPr>
        <w:t xml:space="preserve"> وفي الإرشاد : « قال لك » بدل « سألك »</w:t>
      </w:r>
      <w:r>
        <w:rPr>
          <w:rtl/>
        </w:rPr>
        <w:t>.</w:t>
      </w:r>
    </w:p>
    <w:p w:rsidR="000C39D1" w:rsidRPr="00132E65" w:rsidRDefault="000C39D1" w:rsidP="000C39D1">
      <w:pPr>
        <w:pStyle w:val="libFootnote0"/>
        <w:rPr>
          <w:rtl/>
          <w:lang w:bidi="fa-IR"/>
        </w:rPr>
      </w:pPr>
      <w:r>
        <w:rPr>
          <w:rtl/>
        </w:rPr>
        <w:t>(8).</w:t>
      </w:r>
      <w:r w:rsidRPr="00132E65">
        <w:rPr>
          <w:rtl/>
        </w:rPr>
        <w:t xml:space="preserve"> في « ض » : « فقلت »</w:t>
      </w:r>
      <w:r>
        <w:rPr>
          <w:rtl/>
        </w:rPr>
        <w:t>.</w:t>
      </w:r>
      <w:r w:rsidRPr="00132E65">
        <w:rPr>
          <w:rtl/>
        </w:rPr>
        <w:t xml:space="preserve"> وفي </w:t>
      </w:r>
      <w:r w:rsidRPr="009D1ACE">
        <w:rPr>
          <w:rStyle w:val="libFootnoteBoldChar"/>
          <w:rtl/>
        </w:rPr>
        <w:t>مرآة العقول</w:t>
      </w:r>
      <w:r w:rsidRPr="00132E65">
        <w:rPr>
          <w:rtl/>
        </w:rPr>
        <w:t xml:space="preserve"> : « قل له »</w:t>
      </w:r>
      <w:r>
        <w:rPr>
          <w:rtl/>
        </w:rPr>
        <w:t>.</w:t>
      </w:r>
    </w:p>
    <w:p w:rsidR="000C39D1" w:rsidRPr="00132E65" w:rsidRDefault="000C39D1" w:rsidP="000C39D1">
      <w:pPr>
        <w:pStyle w:val="libFootnote0"/>
        <w:rPr>
          <w:rtl/>
          <w:lang w:bidi="fa-IR"/>
        </w:rPr>
      </w:pPr>
      <w:r>
        <w:rPr>
          <w:rtl/>
        </w:rPr>
        <w:t>(9).</w:t>
      </w:r>
      <w:r w:rsidRPr="00132E65">
        <w:rPr>
          <w:rtl/>
        </w:rPr>
        <w:t xml:space="preserve"> هكذا في « ب ، ج ، ض ، ف ، بح ، بر ، بس ، بف » </w:t>
      </w:r>
      <w:r w:rsidRPr="00D867F7">
        <w:rPr>
          <w:rtl/>
        </w:rPr>
        <w:t>والوافي</w:t>
      </w:r>
      <w:r w:rsidRPr="00132E65">
        <w:rPr>
          <w:rtl/>
        </w:rPr>
        <w:t xml:space="preserve"> والإرشاد. وفي المطبوع : « المنام »</w:t>
      </w:r>
      <w:r>
        <w:rPr>
          <w:rtl/>
        </w:rPr>
        <w:t>.</w:t>
      </w:r>
      <w:r w:rsidRPr="00132E65">
        <w:rPr>
          <w:rtl/>
        </w:rPr>
        <w:t xml:space="preserve"> قال المازندراني : « أمره بذلك إمّا باعتبار أنّه رأى ذلك في النوم في الواقع ، أو باعتبار أنّ الكذب للمصلحة وحفظ النفس المحترمة جائز »</w:t>
      </w:r>
      <w:r>
        <w:rPr>
          <w:rtl/>
        </w:rPr>
        <w:t>.</w:t>
      </w:r>
      <w:r w:rsidRPr="00132E65">
        <w:rPr>
          <w:rtl/>
        </w:rPr>
        <w:t xml:space="preserve"> ثمّ قال المحقّق الشعراني : « الخبر ضعيف وتأويل الشارح تكلّف »</w:t>
      </w:r>
      <w:r>
        <w:rPr>
          <w:rtl/>
        </w:rPr>
        <w:t>.</w:t>
      </w:r>
      <w:r w:rsidRPr="00132E65">
        <w:rPr>
          <w:rtl/>
        </w:rPr>
        <w:t xml:space="preserve"> وأوّله المجلسي كما أوّله المازندراني. راجع : </w:t>
      </w:r>
      <w:r w:rsidRPr="00D867F7">
        <w:rPr>
          <w:rStyle w:val="libFootnoteBoldChar"/>
          <w:rtl/>
        </w:rPr>
        <w:t>شرح المازندراني</w:t>
      </w:r>
      <w:r w:rsidRPr="00132E65">
        <w:rPr>
          <w:rtl/>
        </w:rPr>
        <w:t xml:space="preserve"> ، ج 7 ، ص 277 ؛ </w:t>
      </w:r>
      <w:r w:rsidRPr="009D1ACE">
        <w:rPr>
          <w:rStyle w:val="libFootnoteBoldChar"/>
          <w:rtl/>
        </w:rPr>
        <w:t>مرآة العقول</w:t>
      </w:r>
      <w:r w:rsidRPr="00132E65">
        <w:rPr>
          <w:rtl/>
        </w:rPr>
        <w:t xml:space="preserve"> ، ج 6 ، ص 93.</w:t>
      </w:r>
    </w:p>
    <w:tbl>
      <w:tblPr>
        <w:tblStyle w:val="TableGrid"/>
        <w:bidiVisual/>
        <w:tblW w:w="0" w:type="auto"/>
        <w:tblLook w:val="04A0" w:firstRow="1" w:lastRow="0" w:firstColumn="1" w:lastColumn="0" w:noHBand="0" w:noVBand="1"/>
      </w:tblPr>
      <w:tblGrid>
        <w:gridCol w:w="4261"/>
        <w:gridCol w:w="4262"/>
      </w:tblGrid>
      <w:tr w:rsidR="00D867F7" w:rsidTr="00D867F7">
        <w:tc>
          <w:tcPr>
            <w:tcW w:w="4261" w:type="dxa"/>
          </w:tcPr>
          <w:p w:rsidR="00D867F7" w:rsidRDefault="00D867F7" w:rsidP="000C39D1">
            <w:pPr>
              <w:pStyle w:val="libFootnote0"/>
              <w:rPr>
                <w:rtl/>
              </w:rPr>
            </w:pPr>
            <w:r>
              <w:rPr>
                <w:rtl/>
              </w:rPr>
              <w:t>(10).</w:t>
            </w:r>
            <w:r w:rsidRPr="00132E65">
              <w:rPr>
                <w:rtl/>
              </w:rPr>
              <w:t xml:space="preserve"> في « ف » </w:t>
            </w:r>
            <w:r>
              <w:rPr>
                <w:rtl/>
              </w:rPr>
              <w:t xml:space="preserve">: - </w:t>
            </w:r>
            <w:r w:rsidRPr="00132E65">
              <w:rPr>
                <w:rtl/>
              </w:rPr>
              <w:t>« غداً »</w:t>
            </w:r>
            <w:r>
              <w:rPr>
                <w:rtl/>
              </w:rPr>
              <w:t>.</w:t>
            </w:r>
          </w:p>
        </w:tc>
        <w:tc>
          <w:tcPr>
            <w:tcW w:w="4262" w:type="dxa"/>
          </w:tcPr>
          <w:p w:rsidR="00D867F7" w:rsidRDefault="00D867F7" w:rsidP="000C39D1">
            <w:pPr>
              <w:pStyle w:val="libFootnote0"/>
              <w:rPr>
                <w:rtl/>
              </w:rPr>
            </w:pPr>
            <w:r>
              <w:rPr>
                <w:rtl/>
              </w:rPr>
              <w:t>(11).</w:t>
            </w:r>
            <w:r w:rsidRPr="00132E65">
              <w:rPr>
                <w:rtl/>
              </w:rPr>
              <w:t xml:space="preserve"> في « بح ، بس ، بف » والإرشاد :</w:t>
            </w:r>
            <w:r>
              <w:rPr>
                <w:rtl/>
              </w:rPr>
              <w:t xml:space="preserve"> + </w:t>
            </w:r>
            <w:r w:rsidRPr="00132E65">
              <w:rPr>
                <w:rtl/>
              </w:rPr>
              <w:t>« غداً »</w:t>
            </w:r>
            <w:r>
              <w:rPr>
                <w:rtl/>
              </w:rPr>
              <w:t>.</w:t>
            </w:r>
          </w:p>
        </w:tc>
      </w:tr>
      <w:tr w:rsidR="00D867F7" w:rsidTr="00D867F7">
        <w:tc>
          <w:tcPr>
            <w:tcW w:w="4261" w:type="dxa"/>
          </w:tcPr>
          <w:p w:rsidR="00D867F7" w:rsidRDefault="00D867F7" w:rsidP="000C39D1">
            <w:pPr>
              <w:pStyle w:val="libFootnote0"/>
              <w:rPr>
                <w:rtl/>
              </w:rPr>
            </w:pPr>
            <w:r>
              <w:rPr>
                <w:rtl/>
              </w:rPr>
              <w:t>(12).</w:t>
            </w:r>
            <w:r w:rsidRPr="00132E65">
              <w:rPr>
                <w:rtl/>
              </w:rPr>
              <w:t xml:space="preserve"> في الإرشاد </w:t>
            </w:r>
            <w:r>
              <w:rPr>
                <w:rtl/>
              </w:rPr>
              <w:t xml:space="preserve">: - </w:t>
            </w:r>
            <w:r w:rsidRPr="00132E65">
              <w:rPr>
                <w:rtl/>
              </w:rPr>
              <w:t>« هذا »</w:t>
            </w:r>
            <w:r>
              <w:rPr>
                <w:rtl/>
              </w:rPr>
              <w:t>.</w:t>
            </w:r>
          </w:p>
        </w:tc>
        <w:tc>
          <w:tcPr>
            <w:tcW w:w="4262" w:type="dxa"/>
          </w:tcPr>
          <w:p w:rsidR="00D867F7" w:rsidRDefault="00D867F7" w:rsidP="000C39D1">
            <w:pPr>
              <w:pStyle w:val="libFootnote0"/>
              <w:rPr>
                <w:rtl/>
              </w:rPr>
            </w:pPr>
            <w:r>
              <w:rPr>
                <w:rtl/>
              </w:rPr>
              <w:t>(13)</w:t>
            </w:r>
            <w:r w:rsidRPr="00132E65">
              <w:rPr>
                <w:rtl/>
              </w:rPr>
              <w:t xml:space="preserve"> في الإرشاد : « قلت »</w:t>
            </w:r>
            <w:r>
              <w:rPr>
                <w:rtl/>
              </w:rPr>
              <w:t>.</w:t>
            </w:r>
          </w:p>
        </w:tc>
      </w:tr>
    </w:tbl>
    <w:p w:rsidR="000C39D1" w:rsidRPr="00132E65" w:rsidRDefault="000C39D1" w:rsidP="000C39D1">
      <w:pPr>
        <w:pStyle w:val="libFootnote0"/>
        <w:rPr>
          <w:rtl/>
          <w:lang w:bidi="fa-IR"/>
        </w:rPr>
      </w:pPr>
      <w:r>
        <w:rPr>
          <w:rtl/>
        </w:rPr>
        <w:t>(14)</w:t>
      </w:r>
      <w:r w:rsidRPr="00132E65">
        <w:rPr>
          <w:rtl/>
        </w:rPr>
        <w:t xml:space="preserve"> هكذا في « ب ، ج ، ض ، ف ، بح ، بر ، بس ، بف » و</w:t>
      </w:r>
      <w:r w:rsidRPr="009D1ACE">
        <w:rPr>
          <w:rStyle w:val="libFootnoteBoldChar"/>
          <w:rtl/>
        </w:rPr>
        <w:t>الوافي</w:t>
      </w:r>
      <w:r w:rsidRPr="00132E65">
        <w:rPr>
          <w:rtl/>
        </w:rPr>
        <w:t xml:space="preserve"> </w:t>
      </w:r>
      <w:r w:rsidRPr="00D867F7">
        <w:rPr>
          <w:rStyle w:val="libFootnoteBoldChar"/>
          <w:rtl/>
        </w:rPr>
        <w:t>والإرشاد</w:t>
      </w:r>
      <w:r w:rsidRPr="00132E65">
        <w:rPr>
          <w:rtl/>
        </w:rPr>
        <w:t>. وفي المطبوع : « المنام »</w:t>
      </w:r>
      <w:r>
        <w:rPr>
          <w:rtl/>
        </w:rPr>
        <w:t>.</w:t>
      </w:r>
    </w:p>
    <w:p w:rsidR="000C39D1" w:rsidRPr="00132E65" w:rsidRDefault="000C39D1" w:rsidP="000C39D1">
      <w:pPr>
        <w:pStyle w:val="libFootnote0"/>
        <w:rPr>
          <w:rtl/>
          <w:lang w:bidi="fa-IR"/>
        </w:rPr>
      </w:pPr>
      <w:r>
        <w:rPr>
          <w:rtl/>
        </w:rPr>
        <w:t>(15)</w:t>
      </w:r>
      <w:r w:rsidRPr="00132E65">
        <w:rPr>
          <w:rtl/>
        </w:rPr>
        <w:t xml:space="preserve"> في « ف » : « أهزم »</w:t>
      </w:r>
      <w:r>
        <w:rPr>
          <w:rtl/>
        </w:rPr>
        <w:t>.</w:t>
      </w:r>
    </w:p>
    <w:p w:rsidR="000C39D1" w:rsidRPr="00132E65" w:rsidRDefault="000C39D1" w:rsidP="000C39D1">
      <w:pPr>
        <w:pStyle w:val="libFootnote0"/>
        <w:rPr>
          <w:rtl/>
          <w:lang w:bidi="fa-IR"/>
        </w:rPr>
      </w:pPr>
      <w:r>
        <w:rPr>
          <w:rtl/>
        </w:rPr>
        <w:t>(16)</w:t>
      </w:r>
      <w:r w:rsidRPr="00132E65">
        <w:rPr>
          <w:rtl/>
        </w:rPr>
        <w:t xml:space="preserve"> </w:t>
      </w:r>
      <w:r w:rsidRPr="00D867F7">
        <w:rPr>
          <w:rStyle w:val="libFootnoteBoldChar"/>
          <w:rtl/>
        </w:rPr>
        <w:t>الإرشاد</w:t>
      </w:r>
      <w:r w:rsidRPr="00132E65">
        <w:rPr>
          <w:rtl/>
        </w:rPr>
        <w:t xml:space="preserve"> ، ج 2 ، ص 267 بسنده عن الكليني.</w:t>
      </w:r>
    </w:p>
    <w:p w:rsidR="000C39D1" w:rsidRDefault="000C39D1" w:rsidP="000C39D1">
      <w:pPr>
        <w:pStyle w:val="libNormal"/>
        <w:rPr>
          <w:rtl/>
          <w:lang w:bidi="fa-IR"/>
        </w:rPr>
      </w:pPr>
      <w:r>
        <w:rPr>
          <w:rtl/>
          <w:lang w:bidi="fa-IR"/>
        </w:rPr>
        <w:br w:type="page"/>
      </w:r>
    </w:p>
    <w:p w:rsidR="000C39D1" w:rsidRPr="00132E65" w:rsidRDefault="00D867F7" w:rsidP="000C39D1">
      <w:pPr>
        <w:pStyle w:val="libNormal"/>
        <w:rPr>
          <w:rtl/>
          <w:lang w:bidi="fa-IR"/>
        </w:rPr>
      </w:pPr>
      <w:r>
        <w:rPr>
          <w:rFonts w:hint="cs"/>
          <w:rtl/>
          <w:lang w:bidi="fa-IR"/>
        </w:rPr>
        <w:t xml:space="preserve">* </w:t>
      </w:r>
      <w:r w:rsidR="000C39D1" w:rsidRPr="00132E65">
        <w:rPr>
          <w:rtl/>
          <w:lang w:bidi="fa-IR"/>
        </w:rPr>
        <w:t xml:space="preserve">قَالَ </w:t>
      </w:r>
      <w:r w:rsidR="000C39D1">
        <w:rPr>
          <w:rStyle w:val="libFootnotenumChar"/>
          <w:rtl/>
        </w:rPr>
        <w:t>(1)</w:t>
      </w:r>
      <w:r w:rsidR="000C39D1" w:rsidRPr="00132E65">
        <w:rPr>
          <w:rtl/>
          <w:lang w:bidi="fa-IR"/>
        </w:rPr>
        <w:t xml:space="preserve"> : و</w:t>
      </w:r>
      <w:r>
        <w:rPr>
          <w:rFonts w:hint="cs"/>
          <w:rtl/>
          <w:lang w:bidi="fa-IR"/>
        </w:rPr>
        <w:t>َ</w:t>
      </w:r>
      <w:r w:rsidR="000C39D1" w:rsidRPr="00132E65">
        <w:rPr>
          <w:rtl/>
          <w:lang w:bidi="fa-IR"/>
        </w:rPr>
        <w:t xml:space="preserve">حَدَّثَنِي مُسَافِرٌ ، قَالَ : كُنْتُ مَعَ أَبِي الْحَسَنِ الرِّضَا </w:t>
      </w:r>
      <w:r w:rsidR="000C39D1" w:rsidRPr="00071CF9">
        <w:rPr>
          <w:rStyle w:val="libAlaemChar"/>
          <w:rtl/>
        </w:rPr>
        <w:t>عليه‌السلام</w:t>
      </w:r>
      <w:r w:rsidR="000C39D1" w:rsidRPr="00132E65">
        <w:rPr>
          <w:rtl/>
          <w:lang w:bidi="fa-IR"/>
        </w:rPr>
        <w:t xml:space="preserve"> بِمِنى ، فَمَرَّ يَحْيَى </w:t>
      </w:r>
      <w:r w:rsidR="000C39D1">
        <w:rPr>
          <w:rStyle w:val="libFootnotenumChar"/>
          <w:rtl/>
        </w:rPr>
        <w:t>(2)</w:t>
      </w:r>
      <w:r w:rsidR="000C39D1" w:rsidRPr="00132E65">
        <w:rPr>
          <w:rtl/>
          <w:lang w:bidi="fa-IR"/>
        </w:rPr>
        <w:t xml:space="preserve"> بْنُ خَالِدٍ ، فَغَطّى رَأْسَهُ </w:t>
      </w:r>
      <w:r w:rsidR="000C39D1">
        <w:rPr>
          <w:rStyle w:val="libFootnotenumChar"/>
          <w:rtl/>
        </w:rPr>
        <w:t>(3)</w:t>
      </w:r>
      <w:r w:rsidR="000C39D1" w:rsidRPr="00132E65">
        <w:rPr>
          <w:rtl/>
          <w:lang w:bidi="fa-IR"/>
        </w:rPr>
        <w:t xml:space="preserve"> مِنَ الْغُبَارِ ، فَقَالَ </w:t>
      </w:r>
      <w:r w:rsidR="000C39D1">
        <w:rPr>
          <w:rStyle w:val="libFootnotenumChar"/>
          <w:rtl/>
        </w:rPr>
        <w:t>(4)</w:t>
      </w:r>
      <w:r w:rsidR="000C39D1" w:rsidRPr="00132E65">
        <w:rPr>
          <w:rtl/>
          <w:lang w:bidi="fa-IR"/>
        </w:rPr>
        <w:t xml:space="preserve"> : « مَسَاكِينُ لَايَدْرُونَ </w:t>
      </w:r>
      <w:r w:rsidR="000C39D1">
        <w:rPr>
          <w:rStyle w:val="libFootnotenumChar"/>
          <w:rtl/>
        </w:rPr>
        <w:t>(5)</w:t>
      </w:r>
      <w:r w:rsidR="000C39D1" w:rsidRPr="00132E65">
        <w:rPr>
          <w:rtl/>
          <w:lang w:bidi="fa-IR"/>
        </w:rPr>
        <w:t xml:space="preserve"> مَا يَحُلُّ بِهِمْ فِي هذِهِ </w:t>
      </w:r>
      <w:r w:rsidR="000C39D1">
        <w:rPr>
          <w:rStyle w:val="libFootnotenumChar"/>
          <w:rtl/>
        </w:rPr>
        <w:t>(6)</w:t>
      </w:r>
      <w:r w:rsidR="000C39D1" w:rsidRPr="00132E65">
        <w:rPr>
          <w:rtl/>
          <w:lang w:bidi="fa-IR"/>
        </w:rPr>
        <w:t xml:space="preserve"> السَّنَةِ »</w:t>
      </w:r>
      <w:r w:rsidR="000C39D1">
        <w:rPr>
          <w:rtl/>
          <w:lang w:bidi="fa-IR"/>
        </w:rPr>
        <w:t>.</w:t>
      </w:r>
      <w:r w:rsidR="000C39D1" w:rsidRPr="00132E65">
        <w:rPr>
          <w:rtl/>
          <w:lang w:bidi="fa-IR"/>
        </w:rPr>
        <w:t xml:space="preserve"> ثُمَّ قَالَ : « وَأَعْجَبُ </w:t>
      </w:r>
      <w:r w:rsidR="000C39D1">
        <w:rPr>
          <w:rStyle w:val="libFootnotenumChar"/>
          <w:rtl/>
        </w:rPr>
        <w:t>(7)</w:t>
      </w:r>
      <w:r w:rsidR="000C39D1" w:rsidRPr="00132E65">
        <w:rPr>
          <w:rtl/>
          <w:lang w:bidi="fa-IR"/>
        </w:rPr>
        <w:t xml:space="preserve"> مِنْ هذَا هَارُونُ وأَنَا كَهَاتَيْنِ » و</w:t>
      </w:r>
      <w:r>
        <w:rPr>
          <w:rFonts w:hint="cs"/>
          <w:rtl/>
          <w:lang w:bidi="fa-IR"/>
        </w:rPr>
        <w:t>َ</w:t>
      </w:r>
      <w:r w:rsidR="000C39D1" w:rsidRPr="00132E65">
        <w:rPr>
          <w:rtl/>
          <w:lang w:bidi="fa-IR"/>
        </w:rPr>
        <w:t>ضَمَّ إِصْبَعَيْهِ.</w:t>
      </w:r>
    </w:p>
    <w:p w:rsidR="000C39D1" w:rsidRPr="00132E65" w:rsidRDefault="000C39D1" w:rsidP="000C39D1">
      <w:pPr>
        <w:pStyle w:val="libNormal"/>
        <w:rPr>
          <w:rtl/>
          <w:lang w:bidi="fa-IR"/>
        </w:rPr>
      </w:pPr>
      <w:r w:rsidRPr="00132E65">
        <w:rPr>
          <w:rtl/>
          <w:lang w:bidi="fa-IR"/>
        </w:rPr>
        <w:t xml:space="preserve">قَالَ مُسَافِرٌ : فَوَ اللهِ </w:t>
      </w:r>
      <w:r>
        <w:rPr>
          <w:rStyle w:val="libFootnotenumChar"/>
          <w:rtl/>
        </w:rPr>
        <w:t>(8)</w:t>
      </w:r>
      <w:r w:rsidRPr="00132E65">
        <w:rPr>
          <w:rtl/>
          <w:lang w:bidi="fa-IR"/>
        </w:rPr>
        <w:t xml:space="preserve"> مَا عَرَفْتُ مَعْنى حَدِيثِهِ حَتّى دَفَنَّاهُ مَعَهُ. </w:t>
      </w:r>
      <w:r>
        <w:rPr>
          <w:rStyle w:val="libFootnotenumChar"/>
          <w:rtl/>
        </w:rPr>
        <w:t>(9)</w:t>
      </w:r>
      <w:r w:rsidRPr="00132E65">
        <w:rPr>
          <w:rtl/>
          <w:lang w:bidi="fa-IR"/>
        </w:rPr>
        <w:t xml:space="preserve"> ‌</w:t>
      </w:r>
    </w:p>
    <w:p w:rsidR="00FE3029" w:rsidRDefault="000C39D1" w:rsidP="00FE3029">
      <w:pPr>
        <w:pStyle w:val="libNormal"/>
        <w:rPr>
          <w:rtl/>
          <w:lang w:bidi="fa-IR"/>
        </w:rPr>
      </w:pPr>
      <w:r w:rsidRPr="00482F6E">
        <w:rPr>
          <w:rtl/>
        </w:rPr>
        <w:t>1307</w:t>
      </w:r>
      <w:r w:rsidRPr="004325D8">
        <w:rPr>
          <w:rStyle w:val="libBold2Char"/>
          <w:rtl/>
        </w:rPr>
        <w:t xml:space="preserve"> / 10.</w:t>
      </w:r>
      <w:r w:rsidRPr="00132E65">
        <w:rPr>
          <w:rtl/>
          <w:lang w:bidi="fa-IR"/>
        </w:rPr>
        <w:t xml:space="preserve"> عَلِيُّ بْنُ مُحَمَّدٍ ، عَنْ سَهْلِ بْنِ زِيَادٍ ، عَنْ عَلِيِّ بْنِ مُحَمَّدٍ الْقَاسَانِيِّ </w:t>
      </w:r>
      <w:r>
        <w:rPr>
          <w:rStyle w:val="libFootnotenumChar"/>
          <w:rtl/>
        </w:rPr>
        <w:t>(10)</w:t>
      </w:r>
      <w:r w:rsidRPr="00132E65">
        <w:rPr>
          <w:rtl/>
          <w:lang w:bidi="fa-IR"/>
        </w:rPr>
        <w:t xml:space="preserve"> ، قَالَ :</w:t>
      </w:r>
      <w:r>
        <w:rPr>
          <w:rFonts w:hint="cs"/>
          <w:rtl/>
          <w:lang w:bidi="fa-IR"/>
        </w:rPr>
        <w:t xml:space="preserve"> </w:t>
      </w:r>
      <w:r w:rsidRPr="00132E65">
        <w:rPr>
          <w:rtl/>
          <w:lang w:bidi="fa-IR"/>
        </w:rPr>
        <w:t xml:space="preserve">أَخْبَرَنِي بَعْضُ أَصْحَابِنَا أَنَّهُ حَمَلَ إِلى أَبِي الْحَسَنِ الرِّضَا </w:t>
      </w:r>
      <w:r w:rsidRPr="00071CF9">
        <w:rPr>
          <w:rStyle w:val="libAlaemChar"/>
          <w:rtl/>
        </w:rPr>
        <w:t>عليه‌السلام</w:t>
      </w:r>
      <w:r w:rsidRPr="00132E65">
        <w:rPr>
          <w:rtl/>
          <w:lang w:bidi="fa-IR"/>
        </w:rPr>
        <w:t xml:space="preserve"> مَالاً لَهُ خَطَرٌ ، فَلَمْ أَرَهُ سُرَّ بِهِ ، قَالَ </w:t>
      </w:r>
      <w:r>
        <w:rPr>
          <w:rStyle w:val="libFootnotenumChar"/>
          <w:rtl/>
        </w:rPr>
        <w:t>(11)</w:t>
      </w:r>
      <w:r w:rsidRPr="00132E65">
        <w:rPr>
          <w:rtl/>
          <w:lang w:bidi="fa-IR"/>
        </w:rPr>
        <w:t xml:space="preserve"> : فَاغْتَمَمْتُ لِذلِكَ ، و</w:t>
      </w:r>
      <w:r w:rsidR="00FE3029">
        <w:rPr>
          <w:rFonts w:hint="cs"/>
          <w:rtl/>
          <w:lang w:bidi="fa-IR"/>
        </w:rPr>
        <w:t>َ</w:t>
      </w:r>
      <w:r w:rsidRPr="00132E65">
        <w:rPr>
          <w:rtl/>
          <w:lang w:bidi="fa-IR"/>
        </w:rPr>
        <w:t xml:space="preserve">قُلْتُ فِي نَفْسِي : قَدْ حَمَلْتُ </w:t>
      </w:r>
      <w:r>
        <w:rPr>
          <w:rStyle w:val="libFootnotenumChar"/>
          <w:rtl/>
        </w:rPr>
        <w:t>(12)</w:t>
      </w:r>
      <w:r w:rsidRPr="00132E65">
        <w:rPr>
          <w:rtl/>
          <w:lang w:bidi="fa-IR"/>
        </w:rPr>
        <w:t xml:space="preserve"> هذَا الْمَالَ ولَمْ يُسَرَّ بِهِ ، فَقَالَ : « يَا غُلَامُ </w:t>
      </w:r>
      <w:r w:rsidRPr="00F543F1">
        <w:rPr>
          <w:rStyle w:val="libFootnotenumChar"/>
          <w:rtl/>
        </w:rPr>
        <w:t>(13)</w:t>
      </w:r>
      <w:r w:rsidRPr="00132E65">
        <w:rPr>
          <w:rtl/>
          <w:lang w:bidi="fa-IR"/>
        </w:rPr>
        <w:t xml:space="preserve"> ، الطَّسْتَ </w:t>
      </w:r>
      <w:r w:rsidRPr="00F543F1">
        <w:rPr>
          <w:rStyle w:val="libFootnotenumChar"/>
          <w:rtl/>
        </w:rPr>
        <w:t>(14)</w:t>
      </w:r>
      <w:r w:rsidRPr="00132E65">
        <w:rPr>
          <w:rtl/>
          <w:lang w:bidi="fa-IR"/>
        </w:rPr>
        <w:t xml:space="preserve"> و</w:t>
      </w:r>
      <w:r w:rsidR="00FE3029">
        <w:rPr>
          <w:rFonts w:hint="cs"/>
          <w:rtl/>
          <w:lang w:bidi="fa-IR"/>
        </w:rPr>
        <w:t>َ</w:t>
      </w:r>
      <w:r w:rsidRPr="00132E65">
        <w:rPr>
          <w:rtl/>
          <w:lang w:bidi="fa-IR"/>
        </w:rPr>
        <w:t>الْمَاءَ »</w:t>
      </w:r>
      <w:r>
        <w:rPr>
          <w:rtl/>
          <w:lang w:bidi="fa-IR"/>
        </w:rPr>
        <w:t>.</w:t>
      </w:r>
      <w:r w:rsidRPr="00132E65">
        <w:rPr>
          <w:rtl/>
          <w:lang w:bidi="fa-IR"/>
        </w:rPr>
        <w:t xml:space="preserve"> قَالَ : فَقَعَدَ عَلى كُرْسِيٍّ و</w:t>
      </w:r>
      <w:r w:rsidR="00FE3029">
        <w:rPr>
          <w:rFonts w:hint="cs"/>
          <w:rtl/>
          <w:lang w:bidi="fa-IR"/>
        </w:rPr>
        <w:t>َ</w:t>
      </w:r>
      <w:r w:rsidRPr="00132E65">
        <w:rPr>
          <w:rtl/>
          <w:lang w:bidi="fa-IR"/>
        </w:rPr>
        <w:t xml:space="preserve">قَالَ </w:t>
      </w:r>
      <w:r w:rsidRPr="00F543F1">
        <w:rPr>
          <w:rStyle w:val="libFootnotenumChar"/>
          <w:rtl/>
        </w:rPr>
        <w:t>(15)</w:t>
      </w:r>
      <w:r w:rsidRPr="00132E65">
        <w:rPr>
          <w:rtl/>
          <w:lang w:bidi="fa-IR"/>
        </w:rPr>
        <w:t xml:space="preserve"> بِيَدِهِ ، وقَالَ </w:t>
      </w:r>
      <w:r w:rsidRPr="00F543F1">
        <w:rPr>
          <w:rStyle w:val="libFootnotenumChar"/>
          <w:rtl/>
        </w:rPr>
        <w:t>(16)</w:t>
      </w:r>
      <w:r w:rsidRPr="00132E65">
        <w:rPr>
          <w:rtl/>
          <w:lang w:bidi="fa-IR"/>
        </w:rPr>
        <w:t xml:space="preserve"> لِلْغُل</w:t>
      </w:r>
      <w:r w:rsidR="00FE3029">
        <w:rPr>
          <w:rtl/>
          <w:lang w:bidi="fa-IR"/>
        </w:rPr>
        <w:t>َامِ : « صُبَّ عَلَيَّ الْمَاءَ</w:t>
      </w:r>
      <w:r w:rsidRPr="00132E65">
        <w:rPr>
          <w:rtl/>
          <w:lang w:bidi="fa-IR"/>
        </w:rPr>
        <w:t>»</w:t>
      </w:r>
      <w:r>
        <w:rPr>
          <w:rtl/>
          <w:lang w:bidi="fa-IR"/>
        </w:rPr>
        <w:t>.</w:t>
      </w:r>
      <w:r w:rsidRPr="00132E65">
        <w:rPr>
          <w:rtl/>
          <w:lang w:bidi="fa-IR"/>
        </w:rPr>
        <w:t xml:space="preserve"> قَالَ </w:t>
      </w:r>
      <w:r w:rsidRPr="00F543F1">
        <w:rPr>
          <w:rStyle w:val="libFootnotenumChar"/>
          <w:rtl/>
        </w:rPr>
        <w:t>(17)</w:t>
      </w:r>
      <w:r w:rsidRPr="00132E65">
        <w:rPr>
          <w:rtl/>
          <w:lang w:bidi="fa-IR"/>
        </w:rPr>
        <w:t xml:space="preserve"> : فَجَعَلَ يَسِيلُ </w:t>
      </w:r>
      <w:r w:rsidRPr="00F543F1">
        <w:rPr>
          <w:rStyle w:val="libFootnotenumChar"/>
          <w:rtl/>
        </w:rPr>
        <w:t>(18)</w:t>
      </w:r>
      <w:r w:rsidRPr="00132E65">
        <w:rPr>
          <w:rtl/>
          <w:lang w:bidi="fa-IR"/>
        </w:rPr>
        <w:t xml:space="preserve"> مِنْ بَيْنِ أَصَابِعِهِ فِي الطَّسْتِ </w:t>
      </w:r>
      <w:r w:rsidRPr="00F543F1">
        <w:rPr>
          <w:rStyle w:val="libFootnotenumChar"/>
          <w:rtl/>
        </w:rPr>
        <w:t>(19)</w:t>
      </w:r>
    </w:p>
    <w:p w:rsidR="000C39D1" w:rsidRPr="00132E65" w:rsidRDefault="000C39D1" w:rsidP="00FE3029">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مرجع الضمير المستتر في « قال » مردّد بين معلّى بن محمّد والوشّاء. واحتمال رجوعه إلى الوشّاء أقوى كما لايخفى.</w:t>
      </w:r>
    </w:p>
    <w:p w:rsidR="000C39D1" w:rsidRPr="00132E65" w:rsidRDefault="000C39D1" w:rsidP="000C39D1">
      <w:pPr>
        <w:pStyle w:val="libFootnote0"/>
        <w:rPr>
          <w:rtl/>
          <w:lang w:bidi="fa-IR"/>
        </w:rPr>
      </w:pPr>
      <w:r>
        <w:rPr>
          <w:rtl/>
        </w:rPr>
        <w:t>(2).</w:t>
      </w:r>
      <w:r w:rsidRPr="00132E65">
        <w:rPr>
          <w:rtl/>
        </w:rPr>
        <w:t xml:space="preserve"> في « ف » : « بيحيى »</w:t>
      </w:r>
      <w:r>
        <w:rPr>
          <w:rtl/>
        </w:rPr>
        <w:t>.</w:t>
      </w:r>
    </w:p>
    <w:p w:rsidR="000C39D1" w:rsidRPr="00132E65" w:rsidRDefault="000C39D1" w:rsidP="000C39D1">
      <w:pPr>
        <w:pStyle w:val="libFootnote0"/>
        <w:rPr>
          <w:rtl/>
          <w:lang w:bidi="fa-IR"/>
        </w:rPr>
      </w:pPr>
      <w:r>
        <w:rPr>
          <w:rtl/>
        </w:rPr>
        <w:t>(3).</w:t>
      </w:r>
      <w:r w:rsidRPr="00132E65">
        <w:rPr>
          <w:rtl/>
        </w:rPr>
        <w:t xml:space="preserve"> في الإرشاد : « وجهه »</w:t>
      </w:r>
      <w:r>
        <w:rPr>
          <w:rtl/>
        </w:rPr>
        <w:t>.</w:t>
      </w:r>
      <w:r w:rsidRPr="00132E65">
        <w:rPr>
          <w:rtl/>
        </w:rPr>
        <w:t xml:space="preserve"> وفي البصائر : « أنفه »</w:t>
      </w:r>
      <w:r>
        <w:rPr>
          <w:rtl/>
        </w:rPr>
        <w:t>.</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xml:space="preserve">« الرضا </w:t>
      </w:r>
      <w:r w:rsidRPr="00FE3029">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(5).</w:t>
      </w:r>
      <w:r w:rsidRPr="00132E65">
        <w:rPr>
          <w:rtl/>
        </w:rPr>
        <w:t xml:space="preserve"> في « بح ، بر ، بف » : « ما يدرون »</w:t>
      </w:r>
      <w:r>
        <w:rPr>
          <w:rtl/>
        </w:rPr>
        <w:t>.</w:t>
      </w:r>
    </w:p>
    <w:p w:rsidR="000C39D1" w:rsidRPr="00132E65" w:rsidRDefault="000C39D1" w:rsidP="000C39D1">
      <w:pPr>
        <w:pStyle w:val="libFootnote0"/>
        <w:rPr>
          <w:rtl/>
          <w:lang w:bidi="fa-IR"/>
        </w:rPr>
      </w:pPr>
      <w:r>
        <w:rPr>
          <w:rtl/>
        </w:rPr>
        <w:t>(6).</w:t>
      </w:r>
      <w:r w:rsidRPr="00132E65">
        <w:rPr>
          <w:rtl/>
        </w:rPr>
        <w:t xml:space="preserve"> في شرح المازندراني : « تلك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 « وأعجب ، أفعل التفضيل</w:t>
      </w:r>
      <w:r>
        <w:rPr>
          <w:rtl/>
        </w:rPr>
        <w:t xml:space="preserve"> ..</w:t>
      </w:r>
      <w:r w:rsidRPr="00132E65">
        <w:rPr>
          <w:rtl/>
        </w:rPr>
        <w:t>. وربّما يقرأ بصيغة الأمر ، وهو بعيد »</w:t>
      </w:r>
      <w:r>
        <w:rPr>
          <w:rtl/>
        </w:rPr>
        <w:t>.</w:t>
      </w:r>
    </w:p>
    <w:p w:rsidR="000C39D1" w:rsidRPr="00132E65" w:rsidRDefault="000C39D1" w:rsidP="000C39D1">
      <w:pPr>
        <w:pStyle w:val="libFootnote0"/>
        <w:rPr>
          <w:rtl/>
          <w:lang w:bidi="fa-IR"/>
        </w:rPr>
      </w:pPr>
      <w:r>
        <w:rPr>
          <w:rtl/>
        </w:rPr>
        <w:t>(8).</w:t>
      </w:r>
      <w:r w:rsidRPr="00132E65">
        <w:rPr>
          <w:rtl/>
        </w:rPr>
        <w:t xml:space="preserve"> في « بح » : « والله » بدون الفاء.</w:t>
      </w:r>
    </w:p>
    <w:p w:rsidR="000C39D1" w:rsidRPr="00132E65" w:rsidRDefault="000C39D1" w:rsidP="000C39D1">
      <w:pPr>
        <w:pStyle w:val="libFootnote0"/>
        <w:rPr>
          <w:rtl/>
          <w:lang w:bidi="fa-IR"/>
        </w:rPr>
      </w:pPr>
      <w:r>
        <w:rPr>
          <w:rtl/>
        </w:rPr>
        <w:t>(9).</w:t>
      </w:r>
      <w:r w:rsidRPr="00132E65">
        <w:rPr>
          <w:rtl/>
        </w:rPr>
        <w:t xml:space="preserve"> </w:t>
      </w:r>
      <w:r w:rsidRPr="00FE3029">
        <w:rPr>
          <w:rStyle w:val="libFootnoteBoldChar"/>
          <w:rtl/>
        </w:rPr>
        <w:t>الإرشاد</w:t>
      </w:r>
      <w:r w:rsidRPr="00132E65">
        <w:rPr>
          <w:rtl/>
        </w:rPr>
        <w:t xml:space="preserve"> ، ج 2 ، ص 258 بسنده عن الكليني. وفي </w:t>
      </w:r>
      <w:r w:rsidRPr="007A1104">
        <w:rPr>
          <w:rStyle w:val="libFootnoteBoldChar"/>
          <w:rtl/>
        </w:rPr>
        <w:t>بصائر الدرجات</w:t>
      </w:r>
      <w:r w:rsidRPr="00132E65">
        <w:rPr>
          <w:rtl/>
        </w:rPr>
        <w:t xml:space="preserve"> ، ص 484 ، ح 14 ؛ </w:t>
      </w:r>
      <w:r w:rsidRPr="00FE3029">
        <w:rPr>
          <w:rStyle w:val="libFootnoteBoldChar"/>
          <w:rtl/>
        </w:rPr>
        <w:t>وعيون الأخبار</w:t>
      </w:r>
      <w:r w:rsidRPr="00132E65">
        <w:rPr>
          <w:rtl/>
        </w:rPr>
        <w:t xml:space="preserve"> ، ج 2 ، ص 225 ، ح 2 ، بسندهما عن الحسن بن عليّ الوشّاء عن مسافر </w:t>
      </w:r>
      <w:r w:rsidR="00FE3029">
        <w:rPr>
          <w:rFonts w:hint="cs"/>
          <w:rtl/>
        </w:rPr>
        <w:t>.</w:t>
      </w:r>
      <w:r w:rsidRPr="009D1ACE">
        <w:rPr>
          <w:rStyle w:val="libFootnoteBoldChar"/>
          <w:rtl/>
        </w:rPr>
        <w:t>الوافي</w:t>
      </w:r>
      <w:r w:rsidRPr="00132E65">
        <w:rPr>
          <w:rtl/>
        </w:rPr>
        <w:t xml:space="preserve"> ، ج 3 ، ص 822 ، ح 1431.</w:t>
      </w:r>
    </w:p>
    <w:tbl>
      <w:tblPr>
        <w:tblStyle w:val="TableGrid"/>
        <w:bidiVisual/>
        <w:tblW w:w="0" w:type="auto"/>
        <w:tblLook w:val="04A0" w:firstRow="1" w:lastRow="0" w:firstColumn="1" w:lastColumn="0" w:noHBand="0" w:noVBand="1"/>
      </w:tblPr>
      <w:tblGrid>
        <w:gridCol w:w="4261"/>
        <w:gridCol w:w="4262"/>
      </w:tblGrid>
      <w:tr w:rsidR="00FE3029" w:rsidTr="00FE3029">
        <w:tc>
          <w:tcPr>
            <w:tcW w:w="4261" w:type="dxa"/>
          </w:tcPr>
          <w:p w:rsidR="00FE3029" w:rsidRDefault="00FE3029" w:rsidP="000C39D1">
            <w:pPr>
              <w:pStyle w:val="libFootnote0"/>
              <w:rPr>
                <w:rtl/>
              </w:rPr>
            </w:pPr>
            <w:r>
              <w:rPr>
                <w:rtl/>
              </w:rPr>
              <w:t>(10).</w:t>
            </w:r>
            <w:r w:rsidRPr="00132E65">
              <w:rPr>
                <w:rtl/>
              </w:rPr>
              <w:t xml:space="preserve"> في « بس » : « القاشاني »</w:t>
            </w:r>
            <w:r>
              <w:rPr>
                <w:rtl/>
              </w:rPr>
              <w:t>.</w:t>
            </w:r>
          </w:p>
        </w:tc>
        <w:tc>
          <w:tcPr>
            <w:tcW w:w="4262" w:type="dxa"/>
          </w:tcPr>
          <w:p w:rsidR="00FE3029" w:rsidRDefault="00FE3029" w:rsidP="000C39D1">
            <w:pPr>
              <w:pStyle w:val="libFootnote0"/>
              <w:rPr>
                <w:rtl/>
              </w:rPr>
            </w:pPr>
            <w:r>
              <w:rPr>
                <w:rtl/>
              </w:rPr>
              <w:t>(11).</w:t>
            </w:r>
            <w:r w:rsidRPr="00132E65">
              <w:rPr>
                <w:rtl/>
              </w:rPr>
              <w:t xml:space="preserve"> في « بح » </w:t>
            </w:r>
            <w:r>
              <w:rPr>
                <w:rtl/>
              </w:rPr>
              <w:t xml:space="preserve">: - </w:t>
            </w:r>
            <w:r w:rsidRPr="00132E65">
              <w:rPr>
                <w:rtl/>
              </w:rPr>
              <w:t>« قال »</w:t>
            </w:r>
            <w:r>
              <w:rPr>
                <w:rtl/>
              </w:rPr>
              <w:t>.</w:t>
            </w:r>
          </w:p>
        </w:tc>
      </w:tr>
      <w:tr w:rsidR="00FE3029" w:rsidTr="00FE3029">
        <w:tc>
          <w:tcPr>
            <w:tcW w:w="4261" w:type="dxa"/>
          </w:tcPr>
          <w:p w:rsidR="00FE3029" w:rsidRDefault="00FE3029" w:rsidP="000C39D1">
            <w:pPr>
              <w:pStyle w:val="libFootnote0"/>
              <w:rPr>
                <w:rtl/>
              </w:rPr>
            </w:pPr>
            <w:r>
              <w:rPr>
                <w:rtl/>
              </w:rPr>
              <w:t>(12).</w:t>
            </w:r>
            <w:r w:rsidRPr="00132E65">
              <w:rPr>
                <w:rtl/>
              </w:rPr>
              <w:t xml:space="preserve"> في « بح ، بر ، بف » </w:t>
            </w:r>
            <w:r w:rsidRPr="00FE3029">
              <w:rPr>
                <w:rtl/>
              </w:rPr>
              <w:t>والوافي</w:t>
            </w:r>
            <w:r w:rsidRPr="00132E65">
              <w:rPr>
                <w:rtl/>
              </w:rPr>
              <w:t xml:space="preserve"> :</w:t>
            </w:r>
            <w:r>
              <w:rPr>
                <w:rtl/>
              </w:rPr>
              <w:t xml:space="preserve"> + </w:t>
            </w:r>
            <w:r w:rsidRPr="00132E65">
              <w:rPr>
                <w:rtl/>
              </w:rPr>
              <w:t>« مثل »</w:t>
            </w:r>
            <w:r>
              <w:rPr>
                <w:rtl/>
              </w:rPr>
              <w:t>.</w:t>
            </w:r>
          </w:p>
        </w:tc>
        <w:tc>
          <w:tcPr>
            <w:tcW w:w="4262" w:type="dxa"/>
          </w:tcPr>
          <w:p w:rsidR="00FE3029" w:rsidRDefault="00FE3029" w:rsidP="000C39D1">
            <w:pPr>
              <w:pStyle w:val="libFootnote0"/>
              <w:rPr>
                <w:rtl/>
              </w:rPr>
            </w:pPr>
            <w:r>
              <w:rPr>
                <w:rtl/>
              </w:rPr>
              <w:t>(13)</w:t>
            </w:r>
            <w:r w:rsidRPr="00132E65">
              <w:rPr>
                <w:rtl/>
              </w:rPr>
              <w:t xml:space="preserve"> في « ف » :</w:t>
            </w:r>
            <w:r>
              <w:rPr>
                <w:rtl/>
              </w:rPr>
              <w:t xml:space="preserve"> + </w:t>
            </w:r>
            <w:r w:rsidRPr="00132E65">
              <w:rPr>
                <w:rtl/>
              </w:rPr>
              <w:t>« هات »</w:t>
            </w:r>
            <w:r>
              <w:rPr>
                <w:rtl/>
              </w:rPr>
              <w:t>.</w:t>
            </w:r>
          </w:p>
        </w:tc>
      </w:tr>
    </w:tbl>
    <w:p w:rsidR="000C39D1" w:rsidRPr="00132E65" w:rsidRDefault="000C39D1" w:rsidP="000C39D1">
      <w:pPr>
        <w:pStyle w:val="libFootnote0"/>
        <w:rPr>
          <w:rtl/>
          <w:lang w:bidi="fa-IR"/>
        </w:rPr>
      </w:pPr>
      <w:r>
        <w:rPr>
          <w:rtl/>
        </w:rPr>
        <w:t>(14)</w:t>
      </w:r>
      <w:r w:rsidRPr="00132E65">
        <w:rPr>
          <w:rtl/>
        </w:rPr>
        <w:t xml:space="preserve"> في « ب ، بح ، بس ، بف » : « الطشت » بالشين المعجمة.</w:t>
      </w:r>
    </w:p>
    <w:tbl>
      <w:tblPr>
        <w:tblStyle w:val="TableGrid"/>
        <w:bidiVisual/>
        <w:tblW w:w="0" w:type="auto"/>
        <w:tblLook w:val="04A0" w:firstRow="1" w:lastRow="0" w:firstColumn="1" w:lastColumn="0" w:noHBand="0" w:noVBand="1"/>
      </w:tblPr>
      <w:tblGrid>
        <w:gridCol w:w="4261"/>
        <w:gridCol w:w="4262"/>
      </w:tblGrid>
      <w:tr w:rsidR="00FE3029" w:rsidTr="00FE3029">
        <w:tc>
          <w:tcPr>
            <w:tcW w:w="4261" w:type="dxa"/>
          </w:tcPr>
          <w:p w:rsidR="00FE3029" w:rsidRDefault="00FE3029" w:rsidP="000C39D1">
            <w:pPr>
              <w:pStyle w:val="libFootnote0"/>
              <w:rPr>
                <w:rtl/>
              </w:rPr>
            </w:pPr>
            <w:r>
              <w:rPr>
                <w:rtl/>
              </w:rPr>
              <w:t>(15)</w:t>
            </w:r>
            <w:r w:rsidRPr="00132E65">
              <w:rPr>
                <w:rtl/>
              </w:rPr>
              <w:t xml:space="preserve"> في « ض » : « فقال »</w:t>
            </w:r>
            <w:r>
              <w:rPr>
                <w:rtl/>
              </w:rPr>
              <w:t>.</w:t>
            </w:r>
          </w:p>
        </w:tc>
        <w:tc>
          <w:tcPr>
            <w:tcW w:w="4262" w:type="dxa"/>
          </w:tcPr>
          <w:p w:rsidR="00FE3029" w:rsidRDefault="00FE3029" w:rsidP="000C39D1">
            <w:pPr>
              <w:pStyle w:val="libFootnote0"/>
              <w:rPr>
                <w:rtl/>
              </w:rPr>
            </w:pPr>
            <w:r>
              <w:rPr>
                <w:rtl/>
              </w:rPr>
              <w:t>(16)</w:t>
            </w:r>
            <w:r w:rsidRPr="00132E65">
              <w:rPr>
                <w:rtl/>
              </w:rPr>
              <w:t xml:space="preserve"> في « ف ، بر ، بف » </w:t>
            </w:r>
            <w:r w:rsidRPr="00FE3029">
              <w:rPr>
                <w:rtl/>
              </w:rPr>
              <w:t>والوافي</w:t>
            </w:r>
            <w:r w:rsidRPr="00132E65">
              <w:rPr>
                <w:rtl/>
              </w:rPr>
              <w:t xml:space="preserve"> </w:t>
            </w:r>
            <w:r>
              <w:rPr>
                <w:rtl/>
              </w:rPr>
              <w:t xml:space="preserve">: - </w:t>
            </w:r>
            <w:r w:rsidRPr="00132E65">
              <w:rPr>
                <w:rtl/>
              </w:rPr>
              <w:t>« وقال »</w:t>
            </w:r>
            <w:r>
              <w:rPr>
                <w:rtl/>
              </w:rPr>
              <w:t>.</w:t>
            </w:r>
          </w:p>
        </w:tc>
      </w:tr>
      <w:tr w:rsidR="00FE3029" w:rsidTr="00FE3029">
        <w:tc>
          <w:tcPr>
            <w:tcW w:w="4261" w:type="dxa"/>
          </w:tcPr>
          <w:p w:rsidR="00FE3029" w:rsidRDefault="00FE3029" w:rsidP="000C39D1">
            <w:pPr>
              <w:pStyle w:val="libFootnote0"/>
              <w:rPr>
                <w:rtl/>
              </w:rPr>
            </w:pPr>
            <w:r>
              <w:rPr>
                <w:rtl/>
              </w:rPr>
              <w:t>(17)</w:t>
            </w:r>
            <w:r w:rsidRPr="00132E65">
              <w:rPr>
                <w:rtl/>
              </w:rPr>
              <w:t xml:space="preserve"> في « ج » </w:t>
            </w:r>
            <w:r>
              <w:rPr>
                <w:rtl/>
              </w:rPr>
              <w:t xml:space="preserve">: - </w:t>
            </w:r>
            <w:r w:rsidRPr="00132E65">
              <w:rPr>
                <w:rtl/>
              </w:rPr>
              <w:t>« قال »</w:t>
            </w:r>
            <w:r>
              <w:rPr>
                <w:rtl/>
              </w:rPr>
              <w:t>.</w:t>
            </w:r>
          </w:p>
        </w:tc>
        <w:tc>
          <w:tcPr>
            <w:tcW w:w="4262" w:type="dxa"/>
          </w:tcPr>
          <w:p w:rsidR="00FE3029" w:rsidRDefault="00FE3029" w:rsidP="000C39D1">
            <w:pPr>
              <w:pStyle w:val="libFootnote0"/>
              <w:rPr>
                <w:rtl/>
              </w:rPr>
            </w:pPr>
            <w:r>
              <w:rPr>
                <w:rtl/>
              </w:rPr>
              <w:t>(18)</w:t>
            </w:r>
            <w:r w:rsidRPr="00132E65">
              <w:rPr>
                <w:rtl/>
              </w:rPr>
              <w:t xml:space="preserve"> في « ف » : « يسيّل » بالتشديد.</w:t>
            </w:r>
          </w:p>
        </w:tc>
      </w:tr>
    </w:tbl>
    <w:p w:rsidR="000C39D1" w:rsidRPr="00132E65" w:rsidRDefault="000C39D1" w:rsidP="000C39D1">
      <w:pPr>
        <w:pStyle w:val="libFootnote0"/>
        <w:rPr>
          <w:rtl/>
          <w:lang w:bidi="fa-IR"/>
        </w:rPr>
      </w:pPr>
      <w:r>
        <w:rPr>
          <w:rtl/>
        </w:rPr>
        <w:t>(19)</w:t>
      </w:r>
      <w:r w:rsidRPr="00132E65">
        <w:rPr>
          <w:rtl/>
        </w:rPr>
        <w:t xml:space="preserve"> في « ب ، بح ، بس ، بف » : « الطشت » بالشين المعجمة.</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ذَهَبٌ </w:t>
      </w:r>
      <w:r>
        <w:rPr>
          <w:rStyle w:val="libFootnotenumChar"/>
          <w:rtl/>
        </w:rPr>
        <w:t>(1)</w:t>
      </w:r>
      <w:r w:rsidRPr="00132E65">
        <w:rPr>
          <w:rtl/>
          <w:lang w:bidi="fa-IR"/>
        </w:rPr>
        <w:t xml:space="preserve"> ، ثُمَّ الْتَفَتَ إِلَيَّ ، فَقَالَ لِي : « مَنْ كَانَ هكَذَا ، لَايُبَالِي </w:t>
      </w:r>
      <w:r>
        <w:rPr>
          <w:rStyle w:val="libFootnotenumChar"/>
          <w:rtl/>
        </w:rPr>
        <w:t>(2)</w:t>
      </w:r>
      <w:r w:rsidRPr="00132E65">
        <w:rPr>
          <w:rtl/>
          <w:lang w:bidi="fa-IR"/>
        </w:rPr>
        <w:t xml:space="preserve"> بِالَّذِي حَمَلْتَهُ إِلَيْهِ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482F6E">
        <w:rPr>
          <w:rtl/>
        </w:rPr>
        <w:t>1308</w:t>
      </w:r>
      <w:r w:rsidRPr="004325D8">
        <w:rPr>
          <w:rStyle w:val="libBold2Char"/>
          <w:rtl/>
        </w:rPr>
        <w:t xml:space="preserve"> / 11.</w:t>
      </w:r>
      <w:r w:rsidRPr="00132E65">
        <w:rPr>
          <w:rtl/>
          <w:lang w:bidi="fa-IR"/>
        </w:rPr>
        <w:t xml:space="preserve"> سَعْدُ بْنُ عَبْدِ اللهِ وعَبْدُ اللهِ بْنُ جَعْفَرٍ جَمِيعاً ، عَنْ إِبْرَاهِيمَ بْنِ مَهْزِيَارَ ، عَنْ أَخِيهِ عَلِيِّ بْنِ مَهْزِيَارَ ، عَنِ الْحُسَيْنِ بْنِ سَعِيدٍ ، عَنْ مُحَمَّدِ بْنِ سِنَانٍ ، قَالَ :</w:t>
      </w:r>
    </w:p>
    <w:p w:rsidR="000C39D1" w:rsidRPr="00132E65" w:rsidRDefault="000C39D1" w:rsidP="000C39D1">
      <w:pPr>
        <w:pStyle w:val="libNormal"/>
        <w:rPr>
          <w:rtl/>
          <w:lang w:bidi="fa-IR"/>
        </w:rPr>
      </w:pPr>
      <w:r w:rsidRPr="00132E65">
        <w:rPr>
          <w:rtl/>
          <w:lang w:bidi="fa-IR"/>
        </w:rPr>
        <w:t xml:space="preserve">قُبِضَ عَلِيُّ بْنُ مُوسى </w:t>
      </w:r>
      <w:r>
        <w:rPr>
          <w:rStyle w:val="libFootnotenumChar"/>
          <w:rtl/>
        </w:rPr>
        <w:t>(4)</w:t>
      </w:r>
      <w:r w:rsidRPr="00132E65">
        <w:rPr>
          <w:rtl/>
          <w:lang w:bidi="fa-IR"/>
        </w:rPr>
        <w:t xml:space="preserve"> </w:t>
      </w:r>
      <w:r w:rsidRPr="00071CF9">
        <w:rPr>
          <w:rStyle w:val="libAlaemChar"/>
          <w:rtl/>
        </w:rPr>
        <w:t>عليهما‌السلام</w:t>
      </w:r>
      <w:r>
        <w:rPr>
          <w:rtl/>
          <w:lang w:bidi="fa-IR"/>
        </w:rPr>
        <w:t xml:space="preserve"> - </w:t>
      </w:r>
      <w:r w:rsidRPr="00132E65">
        <w:rPr>
          <w:rtl/>
          <w:lang w:bidi="fa-IR"/>
        </w:rPr>
        <w:t>و</w:t>
      </w:r>
      <w:r w:rsidR="00FE3029">
        <w:rPr>
          <w:rFonts w:hint="cs"/>
          <w:rtl/>
          <w:lang w:bidi="fa-IR"/>
        </w:rPr>
        <w:t xml:space="preserve">َ </w:t>
      </w:r>
      <w:r w:rsidRPr="00132E65">
        <w:rPr>
          <w:rtl/>
          <w:lang w:bidi="fa-IR"/>
        </w:rPr>
        <w:t>هُوَ ابْنُ تِسْعٍ و</w:t>
      </w:r>
      <w:r w:rsidR="00FE3029">
        <w:rPr>
          <w:rFonts w:hint="cs"/>
          <w:rtl/>
          <w:lang w:bidi="fa-IR"/>
        </w:rPr>
        <w:t xml:space="preserve">َ </w:t>
      </w:r>
      <w:r w:rsidRPr="00132E65">
        <w:rPr>
          <w:rtl/>
          <w:lang w:bidi="fa-IR"/>
        </w:rPr>
        <w:t>أَرْبَعِينَ سَنَةً و</w:t>
      </w:r>
      <w:r w:rsidR="00FE3029">
        <w:rPr>
          <w:rFonts w:hint="cs"/>
          <w:rtl/>
          <w:lang w:bidi="fa-IR"/>
        </w:rPr>
        <w:t xml:space="preserve">َ </w:t>
      </w:r>
      <w:r w:rsidRPr="00132E65">
        <w:rPr>
          <w:rtl/>
          <w:lang w:bidi="fa-IR"/>
        </w:rPr>
        <w:t>أَشْهُرٍ</w:t>
      </w:r>
      <w:r>
        <w:rPr>
          <w:rtl/>
          <w:lang w:bidi="fa-IR"/>
        </w:rPr>
        <w:t xml:space="preserve"> - </w:t>
      </w:r>
      <w:r w:rsidRPr="00132E65">
        <w:rPr>
          <w:rtl/>
          <w:lang w:bidi="fa-IR"/>
        </w:rPr>
        <w:t xml:space="preserve">فِي عَامِ </w:t>
      </w:r>
      <w:r>
        <w:rPr>
          <w:rStyle w:val="libFootnotenumChar"/>
          <w:rtl/>
        </w:rPr>
        <w:t>(5)</w:t>
      </w:r>
      <w:r w:rsidRPr="00132E65">
        <w:rPr>
          <w:rtl/>
          <w:lang w:bidi="fa-IR"/>
        </w:rPr>
        <w:t xml:space="preserve"> اثْنَيْنِ </w:t>
      </w:r>
      <w:r>
        <w:rPr>
          <w:rStyle w:val="libFootnotenumChar"/>
          <w:rtl/>
        </w:rPr>
        <w:t>(6)</w:t>
      </w:r>
      <w:r w:rsidRPr="00132E65">
        <w:rPr>
          <w:rtl/>
          <w:lang w:bidi="fa-IR"/>
        </w:rPr>
        <w:t xml:space="preserve"> وَمِائَتَيْنِ </w:t>
      </w:r>
      <w:r>
        <w:rPr>
          <w:rStyle w:val="libFootnotenumChar"/>
          <w:rtl/>
        </w:rPr>
        <w:t>(7)</w:t>
      </w:r>
      <w:r w:rsidRPr="00132E65">
        <w:rPr>
          <w:rtl/>
          <w:lang w:bidi="fa-IR"/>
        </w:rPr>
        <w:t xml:space="preserve"> ؛ عَاشَ بَعْدَ مُوسَى بْنِ جَعْفَرٍ </w:t>
      </w:r>
      <w:r w:rsidRPr="00071CF9">
        <w:rPr>
          <w:rStyle w:val="libAlaemChar"/>
          <w:rtl/>
        </w:rPr>
        <w:t>عليهما‌السلام</w:t>
      </w:r>
      <w:r w:rsidR="00FE3029">
        <w:rPr>
          <w:rtl/>
          <w:lang w:bidi="fa-IR"/>
        </w:rPr>
        <w:t xml:space="preserve"> عِشْرِينَ سَنَةً إِل</w:t>
      </w:r>
      <w:r w:rsidR="00FE3029">
        <w:rPr>
          <w:rFonts w:hint="cs"/>
          <w:rtl/>
          <w:lang w:bidi="fa-IR"/>
        </w:rPr>
        <w:t>َّ</w:t>
      </w:r>
      <w:r w:rsidR="00FE3029">
        <w:rPr>
          <w:rtl/>
          <w:lang w:bidi="fa-IR"/>
        </w:rPr>
        <w:t>ا</w:t>
      </w:r>
      <w:r w:rsidRPr="00132E65">
        <w:rPr>
          <w:rtl/>
          <w:lang w:bidi="fa-IR"/>
        </w:rPr>
        <w:t xml:space="preserve"> شَهْرَيْنِ أَوْ ثَلَاثَةً. </w:t>
      </w:r>
      <w:r>
        <w:rPr>
          <w:rStyle w:val="libFootnotenumChar"/>
          <w:rtl/>
        </w:rPr>
        <w:t>(8)</w:t>
      </w:r>
      <w:r w:rsidRPr="00132E65">
        <w:rPr>
          <w:rtl/>
          <w:lang w:bidi="fa-IR"/>
        </w:rPr>
        <w:t xml:space="preserve"> ‌</w:t>
      </w:r>
    </w:p>
    <w:p w:rsidR="000C39D1" w:rsidRPr="00132E65" w:rsidRDefault="000C39D1" w:rsidP="000C39D1">
      <w:pPr>
        <w:pStyle w:val="Heading2Center"/>
        <w:rPr>
          <w:rtl/>
          <w:lang w:bidi="fa-IR"/>
        </w:rPr>
      </w:pPr>
      <w:bookmarkStart w:id="176" w:name="_Toc459459164"/>
      <w:bookmarkStart w:id="177" w:name="_Toc34663133"/>
      <w:r w:rsidRPr="00132E65">
        <w:rPr>
          <w:rtl/>
          <w:lang w:bidi="fa-IR"/>
        </w:rPr>
        <w:t>122</w:t>
      </w:r>
      <w:r>
        <w:rPr>
          <w:rtl/>
          <w:lang w:bidi="fa-IR"/>
        </w:rPr>
        <w:t xml:space="preserve"> - </w:t>
      </w:r>
      <w:r w:rsidRPr="00132E65">
        <w:rPr>
          <w:rtl/>
          <w:lang w:bidi="fa-IR"/>
        </w:rPr>
        <w:t xml:space="preserve">بَابُ </w:t>
      </w:r>
      <w:r>
        <w:rPr>
          <w:rStyle w:val="libFootnotenumChar"/>
          <w:rtl/>
        </w:rPr>
        <w:t>(9)</w:t>
      </w:r>
      <w:r>
        <w:rPr>
          <w:rtl/>
          <w:lang w:bidi="fa-IR"/>
        </w:rPr>
        <w:t xml:space="preserve"> </w:t>
      </w:r>
      <w:r w:rsidRPr="00132E65">
        <w:rPr>
          <w:rtl/>
          <w:lang w:bidi="fa-IR"/>
        </w:rPr>
        <w:t xml:space="preserve">مَوْلِدِ أَبِي جَعْفَرٍ مُحَمَّدِ بْنِ عَلِيٍّ </w:t>
      </w:r>
      <w:r>
        <w:rPr>
          <w:rStyle w:val="libFootnotenumChar"/>
          <w:rtl/>
        </w:rPr>
        <w:t>(10)</w:t>
      </w:r>
      <w:r>
        <w:rPr>
          <w:rtl/>
          <w:lang w:bidi="fa-IR"/>
        </w:rPr>
        <w:t xml:space="preserve"> </w:t>
      </w:r>
      <w:r w:rsidRPr="00132E65">
        <w:rPr>
          <w:rtl/>
          <w:lang w:bidi="fa-IR"/>
        </w:rPr>
        <w:t xml:space="preserve">الثَّانِي </w:t>
      </w:r>
      <w:r>
        <w:rPr>
          <w:rStyle w:val="libFootnotenumChar"/>
          <w:rtl/>
        </w:rPr>
        <w:t>(11)</w:t>
      </w:r>
      <w:r>
        <w:rPr>
          <w:rtl/>
          <w:lang w:bidi="fa-IR"/>
        </w:rPr>
        <w:t xml:space="preserve"> </w:t>
      </w:r>
      <w:r w:rsidRPr="00071CF9">
        <w:rPr>
          <w:rStyle w:val="libAlaemChar"/>
          <w:rtl/>
        </w:rPr>
        <w:t>عليه‌السلام</w:t>
      </w:r>
      <w:r w:rsidRPr="00132E65">
        <w:rPr>
          <w:rtl/>
          <w:lang w:bidi="fa-IR"/>
        </w:rPr>
        <w:t>‌</w:t>
      </w:r>
      <w:bookmarkEnd w:id="176"/>
      <w:bookmarkEnd w:id="177"/>
    </w:p>
    <w:p w:rsidR="000C39D1" w:rsidRPr="00132E65" w:rsidRDefault="000C39D1" w:rsidP="000C39D1">
      <w:pPr>
        <w:pStyle w:val="libNormal0"/>
        <w:tabs>
          <w:tab w:val="left" w:pos="3968"/>
        </w:tabs>
        <w:rPr>
          <w:rtl/>
          <w:lang w:bidi="fa-IR"/>
        </w:rPr>
      </w:pPr>
      <w:r w:rsidRPr="00132E65">
        <w:rPr>
          <w:rtl/>
          <w:lang w:bidi="fa-IR"/>
        </w:rPr>
        <w:t xml:space="preserve">وُلِدَ </w:t>
      </w:r>
      <w:r>
        <w:rPr>
          <w:rStyle w:val="libFootnotenumChar"/>
          <w:rtl/>
        </w:rPr>
        <w:t>(12)</w:t>
      </w:r>
      <w:r w:rsidRPr="00132E65">
        <w:rPr>
          <w:rtl/>
          <w:lang w:bidi="fa-IR"/>
        </w:rPr>
        <w:t xml:space="preserve"> </w:t>
      </w:r>
      <w:r w:rsidRPr="00071CF9">
        <w:rPr>
          <w:rStyle w:val="libAlaemChar"/>
          <w:rtl/>
        </w:rPr>
        <w:t>عليه‌السلام</w:t>
      </w:r>
      <w:r w:rsidRPr="00132E65">
        <w:rPr>
          <w:rtl/>
          <w:lang w:bidi="fa-IR"/>
        </w:rPr>
        <w:t xml:space="preserve"> فِي </w:t>
      </w:r>
      <w:r w:rsidRPr="00F543F1">
        <w:rPr>
          <w:rStyle w:val="libFootnotenumChar"/>
          <w:rtl/>
        </w:rPr>
        <w:t>(13)</w:t>
      </w:r>
      <w:r w:rsidRPr="00132E65">
        <w:rPr>
          <w:rtl/>
          <w:lang w:bidi="fa-IR"/>
        </w:rPr>
        <w:t xml:space="preserve"> شَهْرِ رَمَضَانَ مِنْ سَنَةِ خَمْسٍ و</w:t>
      </w:r>
      <w:r w:rsidR="004354A3">
        <w:rPr>
          <w:rFonts w:hint="cs"/>
          <w:rtl/>
          <w:lang w:bidi="fa-IR"/>
        </w:rPr>
        <w:t xml:space="preserve">َ </w:t>
      </w:r>
      <w:r w:rsidRPr="00132E65">
        <w:rPr>
          <w:rtl/>
          <w:lang w:bidi="fa-IR"/>
        </w:rPr>
        <w:t>تِسْعِينَ و</w:t>
      </w:r>
      <w:r w:rsidR="004354A3">
        <w:rPr>
          <w:rFonts w:hint="cs"/>
          <w:rtl/>
          <w:lang w:bidi="fa-IR"/>
        </w:rPr>
        <w:t xml:space="preserve">َ </w:t>
      </w:r>
      <w:r w:rsidRPr="00132E65">
        <w:rPr>
          <w:rtl/>
          <w:lang w:bidi="fa-IR"/>
        </w:rPr>
        <w:t>مِائَةٍ ؛ و</w:t>
      </w:r>
      <w:r w:rsidR="004354A3">
        <w:rPr>
          <w:rFonts w:hint="cs"/>
          <w:rtl/>
          <w:lang w:bidi="fa-IR"/>
        </w:rPr>
        <w:t xml:space="preserve">َ </w:t>
      </w:r>
      <w:r w:rsidRPr="00132E65">
        <w:rPr>
          <w:rtl/>
          <w:lang w:bidi="fa-IR"/>
        </w:rPr>
        <w:t xml:space="preserve">قُبِضَ </w:t>
      </w:r>
      <w:r w:rsidRPr="00071CF9">
        <w:rPr>
          <w:rStyle w:val="libAlaemChar"/>
          <w:rtl/>
        </w:rPr>
        <w:t>عليه‌السلام</w:t>
      </w:r>
      <w:r w:rsidRPr="00132E65">
        <w:rPr>
          <w:rtl/>
          <w:lang w:bidi="fa-IR"/>
        </w:rPr>
        <w:t xml:space="preserve"> سَنَةَ عِشْرِينَ و</w:t>
      </w:r>
      <w:r w:rsidR="004354A3">
        <w:rPr>
          <w:rFonts w:hint="cs"/>
          <w:rtl/>
          <w:lang w:bidi="fa-IR"/>
        </w:rPr>
        <w:t xml:space="preserve">َ </w:t>
      </w:r>
      <w:r w:rsidRPr="00132E65">
        <w:rPr>
          <w:rtl/>
          <w:lang w:bidi="fa-IR"/>
        </w:rPr>
        <w:t>مِائَتَيْنِ فِي آخِرِ ذِي الْقَعْدَةِ و</w:t>
      </w:r>
      <w:r w:rsidR="004354A3">
        <w:rPr>
          <w:rFonts w:hint="cs"/>
          <w:rtl/>
          <w:lang w:bidi="fa-IR"/>
        </w:rPr>
        <w:t xml:space="preserve">َ </w:t>
      </w:r>
      <w:r w:rsidRPr="00132E65">
        <w:rPr>
          <w:rtl/>
          <w:lang w:bidi="fa-IR"/>
        </w:rPr>
        <w:t>هُوَ ابْنُ خَمْسٍ و</w:t>
      </w:r>
      <w:r w:rsidR="004354A3">
        <w:rPr>
          <w:rFonts w:hint="cs"/>
          <w:rtl/>
          <w:lang w:bidi="fa-IR"/>
        </w:rPr>
        <w:t xml:space="preserve">َ </w:t>
      </w:r>
      <w:r w:rsidRPr="00132E65">
        <w:rPr>
          <w:rtl/>
          <w:lang w:bidi="fa-IR"/>
        </w:rPr>
        <w:t>عِشْرِينَ سَنَةً و</w:t>
      </w:r>
      <w:r w:rsidR="004354A3">
        <w:rPr>
          <w:rFonts w:hint="cs"/>
          <w:rtl/>
          <w:lang w:bidi="fa-IR"/>
        </w:rPr>
        <w:t xml:space="preserve">َ </w:t>
      </w:r>
      <w:r w:rsidRPr="00132E65">
        <w:rPr>
          <w:rtl/>
          <w:lang w:bidi="fa-IR"/>
        </w:rPr>
        <w:t>شَهْرَيْنِ وَثَمَانِيَةَ عَشَرَ يَوْماً ؛ و</w:t>
      </w:r>
      <w:r w:rsidR="004354A3">
        <w:rPr>
          <w:rFonts w:hint="cs"/>
          <w:rtl/>
          <w:lang w:bidi="fa-IR"/>
        </w:rPr>
        <w:t xml:space="preserve">َ </w:t>
      </w:r>
      <w:r w:rsidRPr="00132E65">
        <w:rPr>
          <w:rtl/>
          <w:lang w:bidi="fa-IR"/>
        </w:rPr>
        <w:t xml:space="preserve">دُفِنَ بِبَغْدَادَ فِي مَقَابِرِ قُرَيْشٍ عِنْدَ قَبْرِ جَدِّهِ مُوسى </w:t>
      </w:r>
      <w:r w:rsidRPr="00071CF9">
        <w:rPr>
          <w:rStyle w:val="libAlaemChar"/>
          <w:rtl/>
        </w:rPr>
        <w:t>عليه‌السلام</w:t>
      </w:r>
      <w:r w:rsidRPr="00132E65">
        <w:rPr>
          <w:rtl/>
          <w:lang w:bidi="fa-IR"/>
        </w:rPr>
        <w:t xml:space="preserve"> ، و</w:t>
      </w:r>
      <w:r w:rsidR="004354A3">
        <w:rPr>
          <w:rFonts w:hint="cs"/>
          <w:rtl/>
          <w:lang w:bidi="fa-IR"/>
        </w:rPr>
        <w:t>َ</w:t>
      </w:r>
      <w:r w:rsidRPr="00132E65">
        <w:rPr>
          <w:rtl/>
          <w:lang w:bidi="fa-IR"/>
        </w:rPr>
        <w:t xml:space="preserve">قَدْ كَانَ الْمُعْتَصِمُ أَشْخَصَهُ </w:t>
      </w:r>
      <w:r w:rsidRPr="00F543F1">
        <w:rPr>
          <w:rStyle w:val="libFootnotenumChar"/>
          <w:rtl/>
        </w:rPr>
        <w:t>(14)</w:t>
      </w:r>
      <w:r w:rsidRPr="00132E65">
        <w:rPr>
          <w:rtl/>
          <w:lang w:bidi="fa-IR"/>
        </w:rPr>
        <w:t xml:space="preserve"> إِلى بَغْدَادَ فِي أَوَّلِ هذِهِ السَّنَةِ الَّتِي تُوُفِّيَ فِيهَا </w:t>
      </w:r>
      <w:r w:rsidRPr="00071CF9">
        <w:rPr>
          <w:rStyle w:val="libAlaemChar"/>
          <w:rtl/>
        </w:rPr>
        <w:t>عليه‌السلام</w:t>
      </w:r>
      <w:r w:rsidRPr="00132E65">
        <w:rPr>
          <w:rtl/>
          <w:lang w:bidi="fa-IR"/>
        </w:rPr>
        <w:t xml:space="preserve"> ؛ و</w:t>
      </w:r>
      <w:r w:rsidR="004354A3">
        <w:rPr>
          <w:rFonts w:hint="cs"/>
          <w:rtl/>
          <w:lang w:bidi="fa-IR"/>
        </w:rPr>
        <w:t>َ</w:t>
      </w:r>
      <w:r w:rsidRPr="00132E65">
        <w:rPr>
          <w:rtl/>
          <w:lang w:bidi="fa-IR"/>
        </w:rPr>
        <w:t>أُمُّهُ أُمُّ و</w:t>
      </w:r>
      <w:r w:rsidR="004354A3">
        <w:rPr>
          <w:rFonts w:hint="cs"/>
          <w:rtl/>
          <w:lang w:bidi="fa-IR"/>
        </w:rPr>
        <w:t>َ</w:t>
      </w:r>
      <w:r w:rsidRPr="00132E65">
        <w:rPr>
          <w:rtl/>
          <w:lang w:bidi="fa-IR"/>
        </w:rPr>
        <w:t>لَدٍ‌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ذهباً »</w:t>
      </w:r>
      <w:r>
        <w:rPr>
          <w:rtl/>
        </w:rPr>
        <w:t>.</w:t>
      </w:r>
    </w:p>
    <w:p w:rsidR="000C39D1" w:rsidRPr="00132E65" w:rsidRDefault="000C39D1" w:rsidP="000C39D1">
      <w:pPr>
        <w:pStyle w:val="libFootnote0"/>
        <w:rPr>
          <w:rtl/>
          <w:lang w:bidi="fa-IR"/>
        </w:rPr>
      </w:pPr>
      <w:r>
        <w:rPr>
          <w:rtl/>
        </w:rPr>
        <w:t>(2).</w:t>
      </w:r>
      <w:r w:rsidRPr="00132E65">
        <w:rPr>
          <w:rtl/>
        </w:rPr>
        <w:t xml:space="preserve"> في « ب ، ج ، ض ، بح ، بر ، بس ، بف » </w:t>
      </w:r>
      <w:r w:rsidRPr="004354A3">
        <w:rPr>
          <w:rtl/>
        </w:rPr>
        <w:t>والوافي ومرآة العقول</w:t>
      </w:r>
      <w:r w:rsidRPr="00132E65">
        <w:rPr>
          <w:rtl/>
        </w:rPr>
        <w:t xml:space="preserve"> </w:t>
      </w:r>
      <w:r>
        <w:rPr>
          <w:rtl/>
        </w:rPr>
        <w:t xml:space="preserve">: - </w:t>
      </w:r>
      <w:r w:rsidRPr="00132E65">
        <w:rPr>
          <w:rtl/>
        </w:rPr>
        <w:t>« لا »</w:t>
      </w:r>
      <w:r>
        <w:rPr>
          <w:rtl/>
        </w:rPr>
        <w:t>.</w:t>
      </w:r>
      <w:r w:rsidRPr="00132E65">
        <w:rPr>
          <w:rtl/>
        </w:rPr>
        <w:t xml:space="preserve"> فالكلام على هذا يحمل على الاستفهام الإنكاري ، كما قاله في </w:t>
      </w:r>
      <w:r w:rsidRPr="004354A3">
        <w:rPr>
          <w:rStyle w:val="libFootnoteBoldChar"/>
          <w:rtl/>
        </w:rPr>
        <w:t>المرآة</w:t>
      </w:r>
      <w:r w:rsidRPr="00132E65">
        <w:rPr>
          <w:rtl/>
        </w:rPr>
        <w:t>. وفي « ف » : « فلا يبالي »</w:t>
      </w:r>
      <w:r>
        <w:rPr>
          <w:rtl/>
        </w:rPr>
        <w:t>.</w:t>
      </w:r>
    </w:p>
    <w:tbl>
      <w:tblPr>
        <w:tblStyle w:val="TableGrid"/>
        <w:bidiVisual/>
        <w:tblW w:w="0" w:type="auto"/>
        <w:tblLook w:val="04A0" w:firstRow="1" w:lastRow="0" w:firstColumn="1" w:lastColumn="0" w:noHBand="0" w:noVBand="1"/>
      </w:tblPr>
      <w:tblGrid>
        <w:gridCol w:w="4261"/>
        <w:gridCol w:w="4262"/>
      </w:tblGrid>
      <w:tr w:rsidR="004354A3" w:rsidTr="004354A3">
        <w:tc>
          <w:tcPr>
            <w:tcW w:w="4261" w:type="dxa"/>
          </w:tcPr>
          <w:p w:rsidR="004354A3" w:rsidRDefault="004354A3" w:rsidP="000C39D1">
            <w:pPr>
              <w:pStyle w:val="libFootnote0"/>
              <w:rPr>
                <w:rtl/>
              </w:rPr>
            </w:pPr>
            <w:r>
              <w:rPr>
                <w:rtl/>
              </w:rPr>
              <w:t>(3).</w:t>
            </w:r>
            <w:r w:rsidRPr="00132E65">
              <w:rPr>
                <w:rtl/>
              </w:rPr>
              <w:t xml:space="preserve"> </w:t>
            </w:r>
            <w:r w:rsidRPr="009D1ACE">
              <w:rPr>
                <w:rStyle w:val="libFootnoteBoldChar"/>
                <w:rtl/>
              </w:rPr>
              <w:t>الوافي</w:t>
            </w:r>
            <w:r w:rsidRPr="00132E65">
              <w:rPr>
                <w:rtl/>
              </w:rPr>
              <w:t xml:space="preserve"> ، ج 3 ، ص 818 ، ح 1428.</w:t>
            </w:r>
          </w:p>
        </w:tc>
        <w:tc>
          <w:tcPr>
            <w:tcW w:w="4262" w:type="dxa"/>
          </w:tcPr>
          <w:p w:rsidR="004354A3" w:rsidRDefault="004354A3" w:rsidP="000C39D1">
            <w:pPr>
              <w:pStyle w:val="libFootnote0"/>
              <w:rPr>
                <w:rtl/>
              </w:rPr>
            </w:pPr>
            <w:r>
              <w:rPr>
                <w:rtl/>
              </w:rPr>
              <w:t>(4).</w:t>
            </w:r>
            <w:r w:rsidRPr="00132E65">
              <w:rPr>
                <w:rtl/>
              </w:rPr>
              <w:t xml:space="preserve"> في « ف » :</w:t>
            </w:r>
            <w:r>
              <w:rPr>
                <w:rtl/>
              </w:rPr>
              <w:t xml:space="preserve"> + </w:t>
            </w:r>
            <w:r w:rsidRPr="00132E65">
              <w:rPr>
                <w:rtl/>
              </w:rPr>
              <w:t>« الرضا »</w:t>
            </w:r>
            <w:r>
              <w:rPr>
                <w:rtl/>
              </w:rPr>
              <w:t>.</w:t>
            </w:r>
          </w:p>
        </w:tc>
      </w:tr>
    </w:tbl>
    <w:p w:rsidR="000C39D1" w:rsidRPr="00132E65" w:rsidRDefault="000C39D1" w:rsidP="000C39D1">
      <w:pPr>
        <w:pStyle w:val="libFootnote0"/>
        <w:rPr>
          <w:rtl/>
          <w:lang w:bidi="fa-IR"/>
        </w:rPr>
      </w:pPr>
      <w:r>
        <w:rPr>
          <w:rtl/>
        </w:rPr>
        <w:t>(5).</w:t>
      </w:r>
      <w:r w:rsidRPr="00132E65">
        <w:rPr>
          <w:rtl/>
        </w:rPr>
        <w:t xml:space="preserve"> في « ب ، ف ، بر ، بف » وحاشية « ض » </w:t>
      </w:r>
      <w:r w:rsidRPr="004354A3">
        <w:rPr>
          <w:rtl/>
        </w:rPr>
        <w:t>والوافي</w:t>
      </w:r>
      <w:r w:rsidRPr="00132E65">
        <w:rPr>
          <w:rtl/>
        </w:rPr>
        <w:t xml:space="preserve"> : « سنة »</w:t>
      </w:r>
      <w:r>
        <w:rPr>
          <w:rtl/>
        </w:rPr>
        <w:t>.</w:t>
      </w:r>
    </w:p>
    <w:tbl>
      <w:tblPr>
        <w:tblStyle w:val="TableGrid"/>
        <w:bidiVisual/>
        <w:tblW w:w="0" w:type="auto"/>
        <w:tblLook w:val="04A0" w:firstRow="1" w:lastRow="0" w:firstColumn="1" w:lastColumn="0" w:noHBand="0" w:noVBand="1"/>
      </w:tblPr>
      <w:tblGrid>
        <w:gridCol w:w="4261"/>
        <w:gridCol w:w="4262"/>
      </w:tblGrid>
      <w:tr w:rsidR="004354A3" w:rsidTr="004354A3">
        <w:tc>
          <w:tcPr>
            <w:tcW w:w="4261" w:type="dxa"/>
          </w:tcPr>
          <w:p w:rsidR="004354A3" w:rsidRDefault="004354A3" w:rsidP="000C39D1">
            <w:pPr>
              <w:pStyle w:val="libFootnote0"/>
              <w:rPr>
                <w:rtl/>
              </w:rPr>
            </w:pPr>
            <w:r>
              <w:rPr>
                <w:rtl/>
              </w:rPr>
              <w:t>(6).</w:t>
            </w:r>
            <w:r w:rsidRPr="00132E65">
              <w:rPr>
                <w:rtl/>
              </w:rPr>
              <w:t xml:space="preserve"> في </w:t>
            </w:r>
            <w:r w:rsidRPr="004354A3">
              <w:rPr>
                <w:rtl/>
              </w:rPr>
              <w:t>الوافي</w:t>
            </w:r>
            <w:r w:rsidRPr="00132E65">
              <w:rPr>
                <w:rtl/>
              </w:rPr>
              <w:t xml:space="preserve"> والبحار : « اثنتين »</w:t>
            </w:r>
            <w:r>
              <w:rPr>
                <w:rtl/>
              </w:rPr>
              <w:t>.</w:t>
            </w:r>
          </w:p>
        </w:tc>
        <w:tc>
          <w:tcPr>
            <w:tcW w:w="4262" w:type="dxa"/>
          </w:tcPr>
          <w:p w:rsidR="004354A3" w:rsidRDefault="004354A3" w:rsidP="000C39D1">
            <w:pPr>
              <w:pStyle w:val="libFootnote0"/>
              <w:rPr>
                <w:rtl/>
              </w:rPr>
            </w:pPr>
            <w:r>
              <w:rPr>
                <w:rtl/>
              </w:rPr>
              <w:t>(7).</w:t>
            </w:r>
            <w:r w:rsidRPr="00132E65">
              <w:rPr>
                <w:rtl/>
              </w:rPr>
              <w:t xml:space="preserve"> في « ف »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824 ، ح 1433 ؛ </w:t>
      </w:r>
      <w:r w:rsidRPr="004354A3">
        <w:rPr>
          <w:rStyle w:val="libFootnoteBoldChar"/>
          <w:rtl/>
        </w:rPr>
        <w:t>البحار</w:t>
      </w:r>
      <w:r w:rsidRPr="00132E65">
        <w:rPr>
          <w:rtl/>
        </w:rPr>
        <w:t xml:space="preserve"> ، ج 49 ، ص 292 ، ح 3.</w:t>
      </w:r>
    </w:p>
    <w:p w:rsidR="000C39D1" w:rsidRPr="00132E65" w:rsidRDefault="000C39D1" w:rsidP="000C39D1">
      <w:pPr>
        <w:pStyle w:val="libFootnote0"/>
        <w:rPr>
          <w:rtl/>
          <w:lang w:bidi="fa-IR"/>
        </w:rPr>
      </w:pPr>
      <w:r>
        <w:rPr>
          <w:rtl/>
        </w:rPr>
        <w:t>(9).</w:t>
      </w:r>
      <w:r w:rsidRPr="00132E65">
        <w:rPr>
          <w:rtl/>
        </w:rPr>
        <w:t xml:space="preserve"> في « ب ، ج ، ض ، ف ، بر ، بس ، بف » </w:t>
      </w:r>
      <w:r>
        <w:rPr>
          <w:rtl/>
        </w:rPr>
        <w:t xml:space="preserve">: - </w:t>
      </w:r>
      <w:r w:rsidRPr="00132E65">
        <w:rPr>
          <w:rtl/>
        </w:rPr>
        <w:t>« باب »</w:t>
      </w:r>
      <w:r>
        <w:rPr>
          <w:rtl/>
        </w:rPr>
        <w:t>.</w:t>
      </w:r>
    </w:p>
    <w:tbl>
      <w:tblPr>
        <w:tblStyle w:val="TableGrid"/>
        <w:bidiVisual/>
        <w:tblW w:w="0" w:type="auto"/>
        <w:tblLook w:val="04A0" w:firstRow="1" w:lastRow="0" w:firstColumn="1" w:lastColumn="0" w:noHBand="0" w:noVBand="1"/>
      </w:tblPr>
      <w:tblGrid>
        <w:gridCol w:w="4261"/>
        <w:gridCol w:w="4262"/>
      </w:tblGrid>
      <w:tr w:rsidR="004354A3" w:rsidTr="004354A3">
        <w:tc>
          <w:tcPr>
            <w:tcW w:w="4261" w:type="dxa"/>
          </w:tcPr>
          <w:p w:rsidR="004354A3" w:rsidRDefault="004354A3" w:rsidP="000C39D1">
            <w:pPr>
              <w:pStyle w:val="libFootnote0"/>
              <w:rPr>
                <w:rtl/>
              </w:rPr>
            </w:pPr>
            <w:r>
              <w:rPr>
                <w:rtl/>
              </w:rPr>
              <w:t>(10).</w:t>
            </w:r>
            <w:r w:rsidRPr="00132E65">
              <w:rPr>
                <w:rtl/>
              </w:rPr>
              <w:t xml:space="preserve"> في « ف ، بف » </w:t>
            </w:r>
            <w:r>
              <w:rPr>
                <w:rtl/>
              </w:rPr>
              <w:t xml:space="preserve">: - </w:t>
            </w:r>
            <w:r w:rsidRPr="00132E65">
              <w:rPr>
                <w:rtl/>
              </w:rPr>
              <w:t>« محمّد بن عليّ »</w:t>
            </w:r>
            <w:r>
              <w:rPr>
                <w:rtl/>
              </w:rPr>
              <w:t>.</w:t>
            </w:r>
          </w:p>
        </w:tc>
        <w:tc>
          <w:tcPr>
            <w:tcW w:w="4262" w:type="dxa"/>
          </w:tcPr>
          <w:p w:rsidR="004354A3" w:rsidRDefault="004354A3" w:rsidP="000C39D1">
            <w:pPr>
              <w:pStyle w:val="libFootnote0"/>
              <w:rPr>
                <w:rtl/>
              </w:rPr>
            </w:pPr>
            <w:r>
              <w:rPr>
                <w:rtl/>
              </w:rPr>
              <w:t>(11). في «ب</w:t>
            </w:r>
            <w:r w:rsidRPr="00132E65">
              <w:rPr>
                <w:rtl/>
              </w:rPr>
              <w:t xml:space="preserve">» </w:t>
            </w:r>
            <w:r>
              <w:rPr>
                <w:rtl/>
              </w:rPr>
              <w:t>: - «</w:t>
            </w:r>
            <w:r w:rsidRPr="00132E65">
              <w:rPr>
                <w:rtl/>
              </w:rPr>
              <w:t>الثاني »</w:t>
            </w:r>
            <w:r>
              <w:rPr>
                <w:rtl/>
              </w:rPr>
              <w:t>. وفي «ج » : «</w:t>
            </w:r>
            <w:r w:rsidRPr="00132E65">
              <w:rPr>
                <w:rtl/>
              </w:rPr>
              <w:t>الرضا »</w:t>
            </w:r>
            <w:r>
              <w:rPr>
                <w:rtl/>
              </w:rPr>
              <w:t>.</w:t>
            </w:r>
          </w:p>
        </w:tc>
      </w:tr>
    </w:tbl>
    <w:p w:rsidR="000C39D1" w:rsidRPr="00132E65" w:rsidRDefault="000C39D1" w:rsidP="000C39D1">
      <w:pPr>
        <w:pStyle w:val="libFootnote0"/>
        <w:rPr>
          <w:rtl/>
          <w:lang w:bidi="fa-IR"/>
        </w:rPr>
      </w:pPr>
      <w:r>
        <w:rPr>
          <w:rtl/>
        </w:rPr>
        <w:t>(12).</w:t>
      </w:r>
      <w:r w:rsidRPr="00132E65">
        <w:rPr>
          <w:rtl/>
        </w:rPr>
        <w:t xml:space="preserve"> في « ب ، ف ، بف » </w:t>
      </w:r>
      <w:r w:rsidRPr="004354A3">
        <w:rPr>
          <w:rtl/>
        </w:rPr>
        <w:t>والوافي</w:t>
      </w:r>
      <w:r w:rsidRPr="00132E65">
        <w:rPr>
          <w:rtl/>
        </w:rPr>
        <w:t xml:space="preserve"> :</w:t>
      </w:r>
      <w:r>
        <w:rPr>
          <w:rtl/>
        </w:rPr>
        <w:t xml:space="preserve"> + </w:t>
      </w:r>
      <w:r w:rsidRPr="00132E65">
        <w:rPr>
          <w:rtl/>
        </w:rPr>
        <w:t>« أبو جعفر محمّد بن عليّ الثاني »</w:t>
      </w:r>
      <w:r>
        <w:rPr>
          <w:rtl/>
        </w:rPr>
        <w:t>.</w:t>
      </w:r>
      <w:r w:rsidRPr="00132E65">
        <w:rPr>
          <w:rtl/>
        </w:rPr>
        <w:t xml:space="preserve"> وفي « بر » :</w:t>
      </w:r>
      <w:r>
        <w:rPr>
          <w:rtl/>
        </w:rPr>
        <w:t xml:space="preserve"> + </w:t>
      </w:r>
      <w:r w:rsidRPr="00132E65">
        <w:rPr>
          <w:rtl/>
        </w:rPr>
        <w:t>« أبو جعفر الثاني »</w:t>
      </w:r>
      <w:r>
        <w:rPr>
          <w:rtl/>
        </w:rPr>
        <w:t>.</w:t>
      </w:r>
    </w:p>
    <w:p w:rsidR="000C39D1" w:rsidRPr="00132E65" w:rsidRDefault="000C39D1" w:rsidP="000C39D1">
      <w:pPr>
        <w:pStyle w:val="libFootnote0"/>
        <w:rPr>
          <w:rtl/>
          <w:lang w:bidi="fa-IR"/>
        </w:rPr>
      </w:pPr>
      <w:r>
        <w:rPr>
          <w:rtl/>
        </w:rPr>
        <w:t>(13)</w:t>
      </w:r>
      <w:r w:rsidRPr="00132E65">
        <w:rPr>
          <w:rtl/>
        </w:rPr>
        <w:t xml:space="preserve"> في « ج » : « من »</w:t>
      </w:r>
      <w:r>
        <w:rPr>
          <w:rtl/>
        </w:rPr>
        <w:t>.</w:t>
      </w:r>
    </w:p>
    <w:p w:rsidR="000C39D1" w:rsidRPr="00132E65" w:rsidRDefault="000C39D1" w:rsidP="000C39D1">
      <w:pPr>
        <w:pStyle w:val="libFootnote0"/>
        <w:rPr>
          <w:rtl/>
          <w:lang w:bidi="fa-IR"/>
        </w:rPr>
      </w:pPr>
      <w:r>
        <w:rPr>
          <w:rtl/>
        </w:rPr>
        <w:t>(14)</w:t>
      </w:r>
      <w:r w:rsidRPr="00132E65">
        <w:rPr>
          <w:rtl/>
        </w:rPr>
        <w:t xml:space="preserve"> « أشخصه » ، أي أزعجه وقلعه عن مكانه وذهب به ؛ من الشُخُوص ، وهو السير من بلد إلى بلد. راجع : </w:t>
      </w:r>
      <w:r w:rsidRPr="004354A3">
        <w:rPr>
          <w:rStyle w:val="libFootnoteBoldChar"/>
          <w:rtl/>
        </w:rPr>
        <w:t>لسان</w:t>
      </w:r>
      <w:r w:rsidR="004354A3" w:rsidRPr="004354A3">
        <w:rPr>
          <w:rStyle w:val="libFootnoteBoldChar"/>
          <w:rFonts w:hint="cs"/>
          <w:rtl/>
        </w:rPr>
        <w:t xml:space="preserve"> </w:t>
      </w:r>
      <w:r w:rsidRPr="004354A3">
        <w:rPr>
          <w:rStyle w:val="libFootnoteBoldChar"/>
          <w:rtl/>
        </w:rPr>
        <w:t>‌العرب</w:t>
      </w:r>
      <w:r w:rsidRPr="00132E65">
        <w:rPr>
          <w:rtl/>
        </w:rPr>
        <w:t xml:space="preserve"> ، ج 7 ، ص 46 ؛ </w:t>
      </w:r>
      <w:r w:rsidRPr="004354A3">
        <w:rPr>
          <w:rStyle w:val="libFootnoteBoldChar"/>
          <w:rtl/>
        </w:rPr>
        <w:t>القاموس المحيط</w:t>
      </w:r>
      <w:r w:rsidRPr="00132E65">
        <w:rPr>
          <w:rtl/>
        </w:rPr>
        <w:t xml:space="preserve"> ، ج 1 ، ص 844 ( شخص )</w:t>
      </w:r>
      <w:r>
        <w:rPr>
          <w:rtl/>
        </w:rPr>
        <w:t>.</w:t>
      </w:r>
    </w:p>
    <w:p w:rsidR="000C39D1" w:rsidRDefault="000C39D1" w:rsidP="000C39D1">
      <w:pPr>
        <w:pStyle w:val="libNormal0"/>
        <w:tabs>
          <w:tab w:val="left" w:pos="3968"/>
        </w:tabs>
        <w:rPr>
          <w:rtl/>
          <w:lang w:bidi="fa-IR"/>
        </w:rPr>
      </w:pPr>
      <w:r>
        <w:rPr>
          <w:rtl/>
          <w:lang w:bidi="fa-IR"/>
        </w:rPr>
        <w:br w:type="page"/>
      </w:r>
    </w:p>
    <w:p w:rsidR="004354A3" w:rsidRDefault="004354A3" w:rsidP="004354A3">
      <w:pPr>
        <w:pStyle w:val="libNormal"/>
        <w:rPr>
          <w:rtl/>
          <w:lang w:bidi="fa-IR"/>
        </w:rPr>
      </w:pPr>
      <w:r>
        <w:rPr>
          <w:rFonts w:hint="cs"/>
          <w:rtl/>
          <w:lang w:bidi="fa-IR"/>
        </w:rPr>
        <w:t xml:space="preserve">       </w:t>
      </w:r>
      <w:r w:rsidR="000C39D1" w:rsidRPr="00132E65">
        <w:rPr>
          <w:rtl/>
          <w:lang w:bidi="fa-IR"/>
        </w:rPr>
        <w:t>يُقَالُ لَهَا : سَبِيكَةُ ، نُوبِيَّةٌ. و</w:t>
      </w:r>
      <w:r>
        <w:rPr>
          <w:rFonts w:hint="cs"/>
          <w:rtl/>
          <w:lang w:bidi="fa-IR"/>
        </w:rPr>
        <w:t>َ</w:t>
      </w:r>
      <w:r w:rsidR="000C39D1" w:rsidRPr="00132E65">
        <w:rPr>
          <w:rtl/>
          <w:lang w:bidi="fa-IR"/>
        </w:rPr>
        <w:t xml:space="preserve">قِيلَ أَيْضاً : إِنَّ اسْمَهَا كَانَ </w:t>
      </w:r>
      <w:r w:rsidR="000C39D1">
        <w:rPr>
          <w:rStyle w:val="libFootnotenumChar"/>
          <w:rtl/>
        </w:rPr>
        <w:t>(1)</w:t>
      </w:r>
      <w:r w:rsidR="000C39D1" w:rsidRPr="00132E65">
        <w:rPr>
          <w:rtl/>
          <w:lang w:bidi="fa-IR"/>
        </w:rPr>
        <w:t xml:space="preserve"> خَيْزُرَانَ. و</w:t>
      </w:r>
      <w:r>
        <w:rPr>
          <w:rFonts w:hint="cs"/>
          <w:rtl/>
          <w:lang w:bidi="fa-IR"/>
        </w:rPr>
        <w:t xml:space="preserve">َ </w:t>
      </w:r>
      <w:r w:rsidR="000C39D1" w:rsidRPr="00132E65">
        <w:rPr>
          <w:rtl/>
          <w:lang w:bidi="fa-IR"/>
        </w:rPr>
        <w:t>رُوِيَ أَنَّهَا كَانَتْ مِنْ</w:t>
      </w:r>
    </w:p>
    <w:p w:rsidR="000C39D1" w:rsidRPr="00132E65" w:rsidRDefault="004354A3" w:rsidP="004354A3">
      <w:pPr>
        <w:pStyle w:val="libNormal"/>
        <w:rPr>
          <w:rtl/>
          <w:lang w:bidi="fa-IR"/>
        </w:rPr>
      </w:pPr>
      <w:r>
        <w:rPr>
          <w:rFonts w:hint="cs"/>
          <w:rtl/>
          <w:lang w:bidi="fa-IR"/>
        </w:rPr>
        <w:t xml:space="preserve">       </w:t>
      </w:r>
      <w:r w:rsidR="000C39D1" w:rsidRPr="00132E65">
        <w:rPr>
          <w:rtl/>
          <w:lang w:bidi="fa-IR"/>
        </w:rPr>
        <w:t xml:space="preserve">أَهْلِ بَيْتِ </w:t>
      </w:r>
      <w:r w:rsidR="000C39D1">
        <w:rPr>
          <w:rStyle w:val="libFootnotenumChar"/>
          <w:rtl/>
        </w:rPr>
        <w:t>(2)</w:t>
      </w:r>
      <w:r w:rsidR="000C39D1" w:rsidRPr="00132E65">
        <w:rPr>
          <w:rtl/>
          <w:lang w:bidi="fa-IR"/>
        </w:rPr>
        <w:t xml:space="preserve"> مَارِيَةَ أُمِّ إِبْرَاهِيمَ بْنِ رَسُولِ اللهِ </w:t>
      </w:r>
      <w:r w:rsidR="000C39D1" w:rsidRPr="0093484F">
        <w:rPr>
          <w:rStyle w:val="libAlaemChar"/>
          <w:rFonts w:eastAsiaTheme="minorHAnsi"/>
          <w:rtl/>
        </w:rPr>
        <w:t>صلى‌الله‌عليه‌وآله</w:t>
      </w:r>
      <w:r w:rsidR="000C39D1" w:rsidRPr="00132E65">
        <w:rPr>
          <w:rtl/>
          <w:lang w:bidi="fa-IR"/>
        </w:rPr>
        <w:t xml:space="preserve">. </w:t>
      </w:r>
      <w:r w:rsidR="000C39D1">
        <w:rPr>
          <w:rStyle w:val="libFootnotenumChar"/>
          <w:rtl/>
        </w:rPr>
        <w:t>(3)</w:t>
      </w:r>
      <w:r w:rsidR="000C39D1" w:rsidRPr="00132E65">
        <w:rPr>
          <w:rtl/>
          <w:lang w:bidi="fa-IR"/>
        </w:rPr>
        <w:t xml:space="preserve"> ‌</w:t>
      </w:r>
    </w:p>
    <w:p w:rsidR="000C39D1" w:rsidRPr="00132E65" w:rsidRDefault="000C39D1" w:rsidP="000C39D1">
      <w:pPr>
        <w:pStyle w:val="libNormal"/>
        <w:rPr>
          <w:rtl/>
          <w:lang w:bidi="fa-IR"/>
        </w:rPr>
      </w:pPr>
      <w:r w:rsidRPr="00576DE8">
        <w:rPr>
          <w:rtl/>
        </w:rPr>
        <w:t>1309</w:t>
      </w:r>
      <w:r w:rsidRPr="004325D8">
        <w:rPr>
          <w:rStyle w:val="libBold2Char"/>
          <w:rtl/>
        </w:rPr>
        <w:t xml:space="preserve"> / 1.</w:t>
      </w:r>
      <w:r w:rsidRPr="00132E65">
        <w:rPr>
          <w:rtl/>
          <w:lang w:bidi="fa-IR"/>
        </w:rPr>
        <w:t xml:space="preserve"> أَحْمَدُ بْنُ إِدْرِيسَ ، عَنْ مُحَمَّدِ بْنِ حَسَّانَ ، عَنْ عَلِيِّ بْنِ خَالِدٍ</w:t>
      </w:r>
      <w:r>
        <w:rPr>
          <w:rtl/>
          <w:lang w:bidi="fa-IR"/>
        </w:rPr>
        <w:t xml:space="preserve"> - </w:t>
      </w:r>
      <w:r w:rsidRPr="00132E65">
        <w:rPr>
          <w:rtl/>
          <w:lang w:bidi="fa-IR"/>
        </w:rPr>
        <w:t xml:space="preserve">قَالَ مُحَمَّدٌ </w:t>
      </w:r>
      <w:r>
        <w:rPr>
          <w:rStyle w:val="libFootnotenumChar"/>
          <w:rtl/>
        </w:rPr>
        <w:t>(4)</w:t>
      </w:r>
      <w:r w:rsidRPr="00132E65">
        <w:rPr>
          <w:rtl/>
          <w:lang w:bidi="fa-IR"/>
        </w:rPr>
        <w:t xml:space="preserve"> :</w:t>
      </w:r>
      <w:r>
        <w:rPr>
          <w:rFonts w:hint="cs"/>
          <w:rtl/>
          <w:lang w:bidi="fa-IR"/>
        </w:rPr>
        <w:t xml:space="preserve"> </w:t>
      </w:r>
      <w:r w:rsidRPr="00132E65">
        <w:rPr>
          <w:rtl/>
          <w:lang w:bidi="fa-IR"/>
        </w:rPr>
        <w:t>وَكَانَ زَيْدِيّاً</w:t>
      </w:r>
      <w:r>
        <w:rPr>
          <w:rtl/>
          <w:lang w:bidi="fa-IR"/>
        </w:rPr>
        <w:t xml:space="preserve"> - </w:t>
      </w:r>
      <w:r w:rsidRPr="00132E65">
        <w:rPr>
          <w:rtl/>
          <w:lang w:bidi="fa-IR"/>
        </w:rPr>
        <w:t>قَالَ :</w:t>
      </w:r>
    </w:p>
    <w:p w:rsidR="000C39D1" w:rsidRPr="00132E65" w:rsidRDefault="000C39D1" w:rsidP="000C39D1">
      <w:pPr>
        <w:pStyle w:val="libNormal"/>
        <w:rPr>
          <w:rtl/>
          <w:lang w:bidi="fa-IR"/>
        </w:rPr>
      </w:pPr>
      <w:r w:rsidRPr="00132E65">
        <w:rPr>
          <w:rtl/>
          <w:lang w:bidi="fa-IR"/>
        </w:rPr>
        <w:t xml:space="preserve">كُنْتُ بِالْعَسْكَرِ </w:t>
      </w:r>
      <w:r>
        <w:rPr>
          <w:rStyle w:val="libFootnotenumChar"/>
          <w:rtl/>
        </w:rPr>
        <w:t>(5)</w:t>
      </w:r>
      <w:r w:rsidRPr="00132E65">
        <w:rPr>
          <w:rtl/>
          <w:lang w:bidi="fa-IR"/>
        </w:rPr>
        <w:t xml:space="preserve"> ، فَبَلَغَنِي أَنَّ هُنَاكَ رَجُلاً مَحْبُوساً </w:t>
      </w:r>
      <w:r>
        <w:rPr>
          <w:rStyle w:val="libFootnotenumChar"/>
          <w:rtl/>
        </w:rPr>
        <w:t>(6)</w:t>
      </w:r>
      <w:r w:rsidRPr="00132E65">
        <w:rPr>
          <w:rtl/>
          <w:lang w:bidi="fa-IR"/>
        </w:rPr>
        <w:t xml:space="preserve"> أُتِيَ بِهِ مِنْ نَاحِيَةِ الشَّامِ مَكْبُولاً </w:t>
      </w:r>
      <w:r>
        <w:rPr>
          <w:rStyle w:val="libFootnotenumChar"/>
          <w:rtl/>
        </w:rPr>
        <w:t>(7)</w:t>
      </w:r>
      <w:r w:rsidRPr="00132E65">
        <w:rPr>
          <w:rtl/>
          <w:lang w:bidi="fa-IR"/>
        </w:rPr>
        <w:t xml:space="preserve"> ، و</w:t>
      </w:r>
      <w:r w:rsidR="004354A3">
        <w:rPr>
          <w:rFonts w:hint="cs"/>
          <w:rtl/>
          <w:lang w:bidi="fa-IR"/>
        </w:rPr>
        <w:t>َ</w:t>
      </w:r>
      <w:r w:rsidRPr="00132E65">
        <w:rPr>
          <w:rtl/>
          <w:lang w:bidi="fa-IR"/>
        </w:rPr>
        <w:t>قَالُوا : إِنَّهُ تَنَبَّأَ. قَالَ عَلِيُّ بْنُ خَالِدٍ : فَأَتَيْتُ الْبَابَ ، و</w:t>
      </w:r>
      <w:r w:rsidR="004354A3">
        <w:rPr>
          <w:rFonts w:hint="cs"/>
          <w:rtl/>
          <w:lang w:bidi="fa-IR"/>
        </w:rPr>
        <w:t xml:space="preserve">َ </w:t>
      </w:r>
      <w:r w:rsidRPr="00132E65">
        <w:rPr>
          <w:rtl/>
          <w:lang w:bidi="fa-IR"/>
        </w:rPr>
        <w:t xml:space="preserve">دَارَيْتُ </w:t>
      </w:r>
      <w:r>
        <w:rPr>
          <w:rStyle w:val="libFootnotenumChar"/>
          <w:rtl/>
        </w:rPr>
        <w:t>(8)</w:t>
      </w:r>
      <w:r w:rsidRPr="00132E65">
        <w:rPr>
          <w:rtl/>
          <w:lang w:bidi="fa-IR"/>
        </w:rPr>
        <w:t xml:space="preserve"> الْبَوَّابِينَ وَ</w:t>
      </w:r>
      <w:r w:rsidR="004354A3">
        <w:rPr>
          <w:rFonts w:hint="cs"/>
          <w:rtl/>
          <w:lang w:bidi="fa-IR"/>
        </w:rPr>
        <w:t xml:space="preserve"> </w:t>
      </w:r>
      <w:r w:rsidRPr="00132E65">
        <w:rPr>
          <w:rtl/>
          <w:lang w:bidi="fa-IR"/>
        </w:rPr>
        <w:t>الْحَجَبَةَ حَتّى و</w:t>
      </w:r>
      <w:r w:rsidR="00DB4112">
        <w:rPr>
          <w:rFonts w:hint="cs"/>
          <w:rtl/>
          <w:lang w:bidi="fa-IR"/>
        </w:rPr>
        <w:t>َ</w:t>
      </w:r>
      <w:r w:rsidRPr="00132E65">
        <w:rPr>
          <w:rtl/>
          <w:lang w:bidi="fa-IR"/>
        </w:rPr>
        <w:t xml:space="preserve">صَلْتُ </w:t>
      </w:r>
      <w:r>
        <w:rPr>
          <w:rStyle w:val="libFootnotenumChar"/>
          <w:rtl/>
        </w:rPr>
        <w:t>(9)</w:t>
      </w:r>
      <w:r w:rsidRPr="00132E65">
        <w:rPr>
          <w:rtl/>
          <w:lang w:bidi="fa-IR"/>
        </w:rPr>
        <w:t xml:space="preserve"> إِلَيْهِ ، فَإِذَا رَجُلٌ لَهُ فَهْمٌ </w:t>
      </w:r>
      <w:r>
        <w:rPr>
          <w:rStyle w:val="libFootnotenumChar"/>
          <w:rtl/>
        </w:rPr>
        <w:t>(10)</w:t>
      </w:r>
      <w:r w:rsidRPr="00132E65">
        <w:rPr>
          <w:rtl/>
          <w:lang w:bidi="fa-IR"/>
        </w:rPr>
        <w:t xml:space="preserve"> ، فَقُلْتُ </w:t>
      </w:r>
      <w:r>
        <w:rPr>
          <w:rStyle w:val="libFootnotenumChar"/>
          <w:rtl/>
        </w:rPr>
        <w:t>(11)</w:t>
      </w:r>
      <w:r w:rsidRPr="00132E65">
        <w:rPr>
          <w:rtl/>
          <w:lang w:bidi="fa-IR"/>
        </w:rPr>
        <w:t xml:space="preserve"> : يَا هذَا ، مَا قِصَّتُكَ </w:t>
      </w:r>
      <w:r>
        <w:rPr>
          <w:rStyle w:val="libFootnotenumChar"/>
          <w:rtl/>
        </w:rPr>
        <w:t>(12)</w:t>
      </w:r>
      <w:r w:rsidRPr="00132E65">
        <w:rPr>
          <w:rtl/>
          <w:lang w:bidi="fa-IR"/>
        </w:rPr>
        <w:t xml:space="preserve"> و</w:t>
      </w:r>
      <w:r w:rsidR="00DB4112">
        <w:rPr>
          <w:rFonts w:hint="cs"/>
          <w:rtl/>
          <w:lang w:bidi="fa-IR"/>
        </w:rPr>
        <w:t>َ</w:t>
      </w:r>
      <w:r w:rsidRPr="00132E65">
        <w:rPr>
          <w:rtl/>
          <w:lang w:bidi="fa-IR"/>
        </w:rPr>
        <w:t>مَا أَمْرُكَ</w:t>
      </w:r>
      <w:r>
        <w:rPr>
          <w:rtl/>
          <w:lang w:bidi="fa-IR"/>
        </w:rPr>
        <w:t>؟</w:t>
      </w:r>
    </w:p>
    <w:p w:rsidR="000C39D1" w:rsidRPr="00132E65" w:rsidRDefault="000C39D1" w:rsidP="000C39D1">
      <w:pPr>
        <w:pStyle w:val="libNormal"/>
        <w:rPr>
          <w:rtl/>
          <w:lang w:bidi="fa-IR"/>
        </w:rPr>
      </w:pPr>
      <w:r w:rsidRPr="00132E65">
        <w:rPr>
          <w:rtl/>
          <w:lang w:bidi="fa-IR"/>
        </w:rPr>
        <w:t xml:space="preserve">قَالَ : إِنِّي كُنْتُ رَجُلاً بِالشَّامِ أَعْبُدُ اللهَ فِي الْمَوْضِعِ الَّذِي يُقَالُ لَهُ </w:t>
      </w:r>
      <w:r w:rsidRPr="00F543F1">
        <w:rPr>
          <w:rStyle w:val="libFootnotenumChar"/>
          <w:rtl/>
        </w:rPr>
        <w:t>(13)</w:t>
      </w:r>
      <w:r w:rsidRPr="00132E65">
        <w:rPr>
          <w:rtl/>
          <w:lang w:bidi="fa-IR"/>
        </w:rPr>
        <w:t xml:space="preserve"> : مَوْضِعُ رَأْسِ الْحُسَيْنِ ، فَبَيْنَا أَنَا فِي عِبَادَتِي إِذْ أَتَانِي شَخْصٌ ، فَقَالَ لِي : « قُمْ بِنَا </w:t>
      </w:r>
      <w:r w:rsidRPr="00F543F1">
        <w:rPr>
          <w:rStyle w:val="libFootnotenumChar"/>
          <w:rtl/>
        </w:rPr>
        <w:t>(14)</w:t>
      </w:r>
      <w:r w:rsidRPr="00132E65">
        <w:rPr>
          <w:rtl/>
          <w:lang w:bidi="fa-IR"/>
        </w:rPr>
        <w:t xml:space="preserve"> » فَقُمْتُ مَعَهُ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DB4112" w:rsidTr="00DB4112">
        <w:tc>
          <w:tcPr>
            <w:tcW w:w="4261" w:type="dxa"/>
          </w:tcPr>
          <w:p w:rsidR="00DB4112" w:rsidRDefault="00DB4112" w:rsidP="000C39D1">
            <w:pPr>
              <w:pStyle w:val="libFootnote0"/>
              <w:rPr>
                <w:rtl/>
              </w:rPr>
            </w:pPr>
            <w:r>
              <w:rPr>
                <w:rtl/>
              </w:rPr>
              <w:t>(1).</w:t>
            </w:r>
            <w:r w:rsidRPr="00132E65">
              <w:rPr>
                <w:rtl/>
              </w:rPr>
              <w:t xml:space="preserve"> في « ف » </w:t>
            </w:r>
            <w:r>
              <w:rPr>
                <w:rtl/>
              </w:rPr>
              <w:t xml:space="preserve">: - </w:t>
            </w:r>
            <w:r w:rsidRPr="00132E65">
              <w:rPr>
                <w:rtl/>
              </w:rPr>
              <w:t>« كان »</w:t>
            </w:r>
            <w:r>
              <w:rPr>
                <w:rtl/>
              </w:rPr>
              <w:t>.</w:t>
            </w:r>
          </w:p>
        </w:tc>
        <w:tc>
          <w:tcPr>
            <w:tcW w:w="4262" w:type="dxa"/>
          </w:tcPr>
          <w:p w:rsidR="00DB4112" w:rsidRDefault="00DB4112" w:rsidP="000C39D1">
            <w:pPr>
              <w:pStyle w:val="libFootnote0"/>
              <w:rPr>
                <w:rtl/>
              </w:rPr>
            </w:pPr>
            <w:r>
              <w:rPr>
                <w:rtl/>
              </w:rPr>
              <w:t>(2).</w:t>
            </w:r>
            <w:r w:rsidRPr="00132E65">
              <w:rPr>
                <w:rtl/>
              </w:rPr>
              <w:t xml:space="preserve"> في « ف » </w:t>
            </w:r>
            <w:r>
              <w:rPr>
                <w:rtl/>
              </w:rPr>
              <w:t xml:space="preserve">: - </w:t>
            </w:r>
            <w:r w:rsidRPr="00132E65">
              <w:rPr>
                <w:rtl/>
              </w:rPr>
              <w:t>« بيت »</w:t>
            </w:r>
            <w:r>
              <w:rPr>
                <w:rtl/>
              </w:rPr>
              <w:t>.</w:t>
            </w:r>
          </w:p>
        </w:tc>
      </w:tr>
    </w:tbl>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3 ، ص 832 ، ذيل ح 1445 ؛ </w:t>
      </w:r>
      <w:r w:rsidRPr="00DB4112">
        <w:rPr>
          <w:rStyle w:val="libFootnoteBoldChar"/>
          <w:rtl/>
        </w:rPr>
        <w:t>البحار</w:t>
      </w:r>
      <w:r w:rsidRPr="00132E65">
        <w:rPr>
          <w:rtl/>
        </w:rPr>
        <w:t xml:space="preserve"> ، ج 50 ، ص 1 ، ح 1.</w:t>
      </w:r>
    </w:p>
    <w:p w:rsidR="000C39D1" w:rsidRPr="00132E65" w:rsidRDefault="000C39D1" w:rsidP="000C39D1">
      <w:pPr>
        <w:pStyle w:val="libFootnote0"/>
        <w:rPr>
          <w:rtl/>
          <w:lang w:bidi="fa-IR"/>
        </w:rPr>
      </w:pPr>
      <w:r>
        <w:rPr>
          <w:rtl/>
        </w:rPr>
        <w:t>(4).</w:t>
      </w:r>
      <w:r w:rsidRPr="00132E65">
        <w:rPr>
          <w:rtl/>
        </w:rPr>
        <w:t xml:space="preserve"> في البصائر </w:t>
      </w:r>
      <w:r>
        <w:rPr>
          <w:rtl/>
        </w:rPr>
        <w:t xml:space="preserve">: - </w:t>
      </w:r>
      <w:r w:rsidRPr="00132E65">
        <w:rPr>
          <w:rtl/>
        </w:rPr>
        <w:t>« قال محمّد »</w:t>
      </w:r>
      <w:r>
        <w:rPr>
          <w:rtl/>
        </w:rPr>
        <w:t>.</w:t>
      </w:r>
    </w:p>
    <w:p w:rsidR="000C39D1" w:rsidRPr="00132E65" w:rsidRDefault="000C39D1" w:rsidP="002B62FD">
      <w:pPr>
        <w:pStyle w:val="libFootnote0"/>
        <w:rPr>
          <w:rtl/>
          <w:lang w:bidi="fa-IR"/>
        </w:rPr>
      </w:pPr>
      <w:r>
        <w:rPr>
          <w:rtl/>
        </w:rPr>
        <w:t>(5).</w:t>
      </w:r>
      <w:r w:rsidRPr="00132E65">
        <w:rPr>
          <w:rtl/>
        </w:rPr>
        <w:t xml:space="preserve"> في البصائر : « في العسكر »</w:t>
      </w:r>
      <w:r>
        <w:rPr>
          <w:rtl/>
        </w:rPr>
        <w:t>.</w:t>
      </w:r>
      <w:r w:rsidRPr="00132E65">
        <w:rPr>
          <w:rtl/>
        </w:rPr>
        <w:t xml:space="preserve"> قال في </w:t>
      </w:r>
      <w:r w:rsidRPr="00DB4112">
        <w:rPr>
          <w:rStyle w:val="libFootnoteBoldChar"/>
          <w:rtl/>
        </w:rPr>
        <w:t>القاموس</w:t>
      </w:r>
      <w:r w:rsidRPr="00132E65">
        <w:rPr>
          <w:rtl/>
        </w:rPr>
        <w:t xml:space="preserve"> : « العسكر : اسمُ سرّ من رأى ، وإليه نسب العسكريّان </w:t>
      </w:r>
      <w:r w:rsidR="002B62FD" w:rsidRPr="002B62FD">
        <w:rPr>
          <w:rStyle w:val="libFootnoteAlaemChar"/>
          <w:rFonts w:eastAsiaTheme="minorHAnsi"/>
          <w:rtl/>
        </w:rPr>
        <w:t>عليهما‌السلام</w:t>
      </w:r>
      <w:r w:rsidR="002B62FD" w:rsidRPr="00132E65">
        <w:rPr>
          <w:rtl/>
        </w:rPr>
        <w:t xml:space="preserve"> </w:t>
      </w:r>
      <w:r w:rsidRPr="00132E65">
        <w:rPr>
          <w:rtl/>
        </w:rPr>
        <w:t>»</w:t>
      </w:r>
      <w:r>
        <w:rPr>
          <w:rtl/>
        </w:rPr>
        <w:t>.</w:t>
      </w:r>
      <w:r w:rsidRPr="00132E65">
        <w:rPr>
          <w:rtl/>
        </w:rPr>
        <w:t xml:space="preserve"> وقال</w:t>
      </w:r>
      <w:r w:rsidR="002B62FD">
        <w:rPr>
          <w:rFonts w:hint="cs"/>
          <w:rtl/>
        </w:rPr>
        <w:t xml:space="preserve"> </w:t>
      </w:r>
      <w:r w:rsidRPr="00132E65">
        <w:rPr>
          <w:rtl/>
        </w:rPr>
        <w:t>‌المحقّق الشعراني : « ذكرنا أنّ س</w:t>
      </w:r>
      <w:r w:rsidR="002B62FD">
        <w:rPr>
          <w:rtl/>
        </w:rPr>
        <w:t>رّ من رأى ، ما بُدئ بعمارته إل</w:t>
      </w:r>
      <w:r w:rsidR="002B62FD">
        <w:rPr>
          <w:rFonts w:hint="cs"/>
          <w:rtl/>
        </w:rPr>
        <w:t>ّ</w:t>
      </w:r>
      <w:r w:rsidR="002B62FD">
        <w:rPr>
          <w:rtl/>
        </w:rPr>
        <w:t>ا</w:t>
      </w:r>
      <w:r w:rsidR="002B62FD">
        <w:rPr>
          <w:rFonts w:hint="cs"/>
          <w:rtl/>
        </w:rPr>
        <w:t xml:space="preserve"> </w:t>
      </w:r>
      <w:r w:rsidRPr="00132E65">
        <w:rPr>
          <w:rtl/>
        </w:rPr>
        <w:t xml:space="preserve">بعد وفاة أبي جعفر </w:t>
      </w:r>
      <w:r w:rsidRPr="002B62FD">
        <w:rPr>
          <w:rStyle w:val="libFootnoteAlaemChar"/>
          <w:rtl/>
        </w:rPr>
        <w:t>عليه‌السلام</w:t>
      </w:r>
      <w:r>
        <w:rPr>
          <w:rtl/>
        </w:rPr>
        <w:t xml:space="preserve"> ..</w:t>
      </w:r>
      <w:r w:rsidRPr="00132E65">
        <w:rPr>
          <w:rtl/>
        </w:rPr>
        <w:t>. وبالجملة لم يكن هناك سجن وعسكر وعمارة وقصر. اشتبه الأمر فيه على محمّد بن حسّان فذكر العسكر بدل بغداد »</w:t>
      </w:r>
      <w:r>
        <w:rPr>
          <w:rtl/>
        </w:rPr>
        <w:t>.</w:t>
      </w:r>
      <w:r w:rsidRPr="00132E65">
        <w:rPr>
          <w:rtl/>
        </w:rPr>
        <w:t xml:space="preserve"> راجع : </w:t>
      </w:r>
      <w:r w:rsidRPr="002B62FD">
        <w:rPr>
          <w:rStyle w:val="libFootnoteBoldChar"/>
          <w:rtl/>
        </w:rPr>
        <w:t>القاموس المحيط</w:t>
      </w:r>
      <w:r w:rsidRPr="00132E65">
        <w:rPr>
          <w:rtl/>
        </w:rPr>
        <w:t xml:space="preserve"> ، ج 1 ، ص 615 ( عسكر ) ؛ </w:t>
      </w:r>
      <w:r w:rsidRPr="002B62FD">
        <w:rPr>
          <w:rStyle w:val="libFootnoteBoldChar"/>
          <w:rtl/>
        </w:rPr>
        <w:t>شرح المازندراني</w:t>
      </w:r>
      <w:r w:rsidRPr="00132E65">
        <w:rPr>
          <w:rtl/>
        </w:rPr>
        <w:t xml:space="preserve"> ، ج 7 ، ص 280.</w:t>
      </w:r>
    </w:p>
    <w:p w:rsidR="000C39D1" w:rsidRPr="00132E65" w:rsidRDefault="000C39D1" w:rsidP="000C39D1">
      <w:pPr>
        <w:pStyle w:val="libFootnote0"/>
        <w:rPr>
          <w:rtl/>
          <w:lang w:bidi="fa-IR"/>
        </w:rPr>
      </w:pPr>
      <w:r>
        <w:rPr>
          <w:rtl/>
        </w:rPr>
        <w:t>(6).</w:t>
      </w:r>
      <w:r w:rsidRPr="00132E65">
        <w:rPr>
          <w:rtl/>
        </w:rPr>
        <w:t xml:space="preserve"> هكذا في « ب » وحاشية « ج ، بح » والبحار والإرشاد والاختصاص. وهو مقتضى القواعد. وفي سائر النسخ والمطبوع : « رجل محبوس »</w:t>
      </w:r>
      <w:r>
        <w:rPr>
          <w:rtl/>
        </w:rPr>
        <w:t>.</w:t>
      </w:r>
    </w:p>
    <w:p w:rsidR="000C39D1" w:rsidRPr="00132E65" w:rsidRDefault="000C39D1" w:rsidP="000C39D1">
      <w:pPr>
        <w:pStyle w:val="libFootnote0"/>
        <w:rPr>
          <w:rtl/>
          <w:lang w:bidi="fa-IR"/>
        </w:rPr>
      </w:pPr>
      <w:r>
        <w:rPr>
          <w:rtl/>
        </w:rPr>
        <w:t>(7).</w:t>
      </w:r>
      <w:r w:rsidRPr="00132E65">
        <w:rPr>
          <w:rtl/>
        </w:rPr>
        <w:t xml:space="preserve"> « مَكْبولاً » ، أي مقيَّداً ؛ من الكَبْل وهو القيْد الضَخْم. راجع : </w:t>
      </w:r>
      <w:r w:rsidRPr="002B62FD">
        <w:rPr>
          <w:rStyle w:val="libFootnoteBoldChar"/>
          <w:rtl/>
        </w:rPr>
        <w:t>الصحاح</w:t>
      </w:r>
      <w:r w:rsidRPr="00132E65">
        <w:rPr>
          <w:rtl/>
        </w:rPr>
        <w:t xml:space="preserve"> ، ج 5 ، ص 1808 ( كبل )</w:t>
      </w:r>
      <w:r>
        <w:rPr>
          <w:rtl/>
        </w:rPr>
        <w:t>.</w:t>
      </w:r>
    </w:p>
    <w:p w:rsidR="000C39D1" w:rsidRPr="00132E65" w:rsidRDefault="000C39D1" w:rsidP="002B62FD">
      <w:pPr>
        <w:pStyle w:val="libFootnote0"/>
        <w:rPr>
          <w:rtl/>
          <w:lang w:bidi="fa-IR"/>
        </w:rPr>
      </w:pPr>
      <w:r>
        <w:rPr>
          <w:rtl/>
        </w:rPr>
        <w:t>(8).</w:t>
      </w:r>
      <w:r w:rsidRPr="00132E65">
        <w:rPr>
          <w:rtl/>
        </w:rPr>
        <w:t xml:space="preserve"> « المداراة » غير مهموز : ملاينة الن</w:t>
      </w:r>
      <w:r w:rsidR="002B62FD">
        <w:rPr>
          <w:rtl/>
        </w:rPr>
        <w:t>اس وحسن صحبتهم واحتمالهم ؛ لئل</w:t>
      </w:r>
      <w:r w:rsidR="002B62FD">
        <w:rPr>
          <w:rFonts w:hint="cs"/>
          <w:rtl/>
        </w:rPr>
        <w:t>ّ</w:t>
      </w:r>
      <w:r w:rsidR="002B62FD">
        <w:rPr>
          <w:rtl/>
        </w:rPr>
        <w:t>ا</w:t>
      </w:r>
      <w:r w:rsidRPr="00132E65">
        <w:rPr>
          <w:rtl/>
        </w:rPr>
        <w:t xml:space="preserve"> ينفروا عنك. وقد يهمز. </w:t>
      </w:r>
      <w:r w:rsidRPr="002B62FD">
        <w:rPr>
          <w:rStyle w:val="libFootnoteBoldChar"/>
          <w:rtl/>
        </w:rPr>
        <w:t>النهاية</w:t>
      </w:r>
      <w:r w:rsidRPr="00132E65">
        <w:rPr>
          <w:rtl/>
        </w:rPr>
        <w:t xml:space="preserve"> ، ج 2 ، ص 115 ( درى )</w:t>
      </w:r>
      <w:r>
        <w:rPr>
          <w:rtl/>
        </w:rPr>
        <w:t>.</w:t>
      </w:r>
      <w:r w:rsidR="002B62FD">
        <w:rPr>
          <w:rFonts w:hint="cs"/>
          <w:rtl/>
        </w:rPr>
        <w:t xml:space="preserve">                                              </w:t>
      </w:r>
      <w:r>
        <w:rPr>
          <w:rtl/>
        </w:rPr>
        <w:t>(9).</w:t>
      </w:r>
      <w:r w:rsidRPr="00132E65">
        <w:rPr>
          <w:rtl/>
        </w:rPr>
        <w:t xml:space="preserve"> في « ف » : « دخلت »</w:t>
      </w:r>
      <w:r>
        <w:rPr>
          <w:rtl/>
        </w:rPr>
        <w:t>.</w:t>
      </w:r>
    </w:p>
    <w:tbl>
      <w:tblPr>
        <w:tblStyle w:val="TableGrid"/>
        <w:bidiVisual/>
        <w:tblW w:w="0" w:type="auto"/>
        <w:tblLook w:val="04A0" w:firstRow="1" w:lastRow="0" w:firstColumn="1" w:lastColumn="0" w:noHBand="0" w:noVBand="1"/>
      </w:tblPr>
      <w:tblGrid>
        <w:gridCol w:w="4261"/>
        <w:gridCol w:w="4262"/>
      </w:tblGrid>
      <w:tr w:rsidR="002B62FD" w:rsidTr="002B62FD">
        <w:tc>
          <w:tcPr>
            <w:tcW w:w="4261" w:type="dxa"/>
          </w:tcPr>
          <w:p w:rsidR="002B62FD" w:rsidRDefault="002B62FD" w:rsidP="000C39D1">
            <w:pPr>
              <w:pStyle w:val="libFootnote0"/>
              <w:rPr>
                <w:rtl/>
              </w:rPr>
            </w:pPr>
            <w:r>
              <w:rPr>
                <w:rtl/>
              </w:rPr>
              <w:t>(10).</w:t>
            </w:r>
            <w:r w:rsidRPr="00132E65">
              <w:rPr>
                <w:rtl/>
              </w:rPr>
              <w:t xml:space="preserve"> في الإرشاد :</w:t>
            </w:r>
            <w:r>
              <w:rPr>
                <w:rtl/>
              </w:rPr>
              <w:t xml:space="preserve"> + </w:t>
            </w:r>
            <w:r w:rsidRPr="00132E65">
              <w:rPr>
                <w:rtl/>
              </w:rPr>
              <w:t>« وعقلٌ »</w:t>
            </w:r>
            <w:r>
              <w:rPr>
                <w:rtl/>
              </w:rPr>
              <w:t>.</w:t>
            </w:r>
          </w:p>
        </w:tc>
        <w:tc>
          <w:tcPr>
            <w:tcW w:w="4262" w:type="dxa"/>
          </w:tcPr>
          <w:p w:rsidR="002B62FD" w:rsidRDefault="002B62FD" w:rsidP="000C39D1">
            <w:pPr>
              <w:pStyle w:val="libFootnote0"/>
              <w:rPr>
                <w:rtl/>
              </w:rPr>
            </w:pPr>
            <w:r>
              <w:rPr>
                <w:rtl/>
              </w:rPr>
              <w:t>(11).</w:t>
            </w:r>
            <w:r w:rsidRPr="00132E65">
              <w:rPr>
                <w:rtl/>
              </w:rPr>
              <w:t xml:space="preserve"> في « ف » والبصائر والإرشاد :</w:t>
            </w:r>
            <w:r>
              <w:rPr>
                <w:rtl/>
              </w:rPr>
              <w:t xml:space="preserve"> + </w:t>
            </w:r>
            <w:r w:rsidRPr="00132E65">
              <w:rPr>
                <w:rtl/>
              </w:rPr>
              <w:t>« له »</w:t>
            </w:r>
            <w:r>
              <w:rPr>
                <w:rtl/>
              </w:rPr>
              <w:t>.</w:t>
            </w:r>
          </w:p>
        </w:tc>
      </w:tr>
      <w:tr w:rsidR="002B62FD" w:rsidTr="002B62FD">
        <w:tc>
          <w:tcPr>
            <w:tcW w:w="4261" w:type="dxa"/>
          </w:tcPr>
          <w:p w:rsidR="002B62FD" w:rsidRDefault="002B62FD" w:rsidP="000C39D1">
            <w:pPr>
              <w:pStyle w:val="libFootnote0"/>
              <w:rPr>
                <w:rtl/>
              </w:rPr>
            </w:pPr>
            <w:r>
              <w:rPr>
                <w:rtl/>
              </w:rPr>
              <w:t>(12).</w:t>
            </w:r>
            <w:r w:rsidRPr="00132E65">
              <w:rPr>
                <w:rtl/>
              </w:rPr>
              <w:t xml:space="preserve"> في حاشية « ض » : « قضيّتك »</w:t>
            </w:r>
            <w:r>
              <w:rPr>
                <w:rtl/>
              </w:rPr>
              <w:t>.</w:t>
            </w:r>
          </w:p>
        </w:tc>
        <w:tc>
          <w:tcPr>
            <w:tcW w:w="4262" w:type="dxa"/>
          </w:tcPr>
          <w:p w:rsidR="002B62FD" w:rsidRDefault="002B62FD" w:rsidP="000C39D1">
            <w:pPr>
              <w:pStyle w:val="libFootnote0"/>
              <w:rPr>
                <w:rtl/>
              </w:rPr>
            </w:pPr>
            <w:r>
              <w:rPr>
                <w:rtl/>
              </w:rPr>
              <w:t>(13)</w:t>
            </w:r>
            <w:r w:rsidRPr="00132E65">
              <w:rPr>
                <w:rtl/>
              </w:rPr>
              <w:t xml:space="preserve"> في « بس »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(14)</w:t>
      </w:r>
      <w:r w:rsidRPr="00132E65">
        <w:rPr>
          <w:rtl/>
        </w:rPr>
        <w:t xml:space="preserve"> في « ف » </w:t>
      </w:r>
      <w:r>
        <w:rPr>
          <w:rtl/>
        </w:rPr>
        <w:t xml:space="preserve">: - </w:t>
      </w:r>
      <w:r w:rsidRPr="00132E65">
        <w:rPr>
          <w:rtl/>
        </w:rPr>
        <w:t>« بنا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فَبَيْنَا أَنَا مَعَهُ إِذَا </w:t>
      </w:r>
      <w:r>
        <w:rPr>
          <w:rStyle w:val="libFootnotenumChar"/>
          <w:rtl/>
        </w:rPr>
        <w:t>(1)</w:t>
      </w:r>
      <w:r w:rsidRPr="00132E65">
        <w:rPr>
          <w:rtl/>
          <w:lang w:bidi="fa-IR"/>
        </w:rPr>
        <w:t xml:space="preserve"> أَنَا فِي مَسْجِدِ الْكُوفَةِ ، فَقَالَ لِي : « تَعْرِفُ </w:t>
      </w:r>
      <w:r>
        <w:rPr>
          <w:rStyle w:val="libFootnotenumChar"/>
          <w:rtl/>
        </w:rPr>
        <w:t>(2)</w:t>
      </w:r>
      <w:r w:rsidRPr="00132E65">
        <w:rPr>
          <w:rtl/>
          <w:lang w:bidi="fa-IR"/>
        </w:rPr>
        <w:t xml:space="preserve"> هذَا الْمَسْجِدَ</w:t>
      </w:r>
      <w:r>
        <w:rPr>
          <w:rtl/>
          <w:lang w:bidi="fa-IR"/>
        </w:rPr>
        <w:t>؟</w:t>
      </w:r>
      <w:r w:rsidRPr="00132E65">
        <w:rPr>
          <w:rtl/>
          <w:lang w:bidi="fa-IR"/>
        </w:rPr>
        <w:t xml:space="preserve"> » فَقُلْتُ : نَعَمْ ، هذَا مَسْجِدُ الْكُوفَةِ ، قَالَ : فَصَلّى و</w:t>
      </w:r>
      <w:r w:rsidR="002B62FD">
        <w:rPr>
          <w:rFonts w:hint="cs"/>
          <w:rtl/>
          <w:lang w:bidi="fa-IR"/>
        </w:rPr>
        <w:t>َ</w:t>
      </w:r>
      <w:r w:rsidRPr="00132E65">
        <w:rPr>
          <w:rtl/>
          <w:lang w:bidi="fa-IR"/>
        </w:rPr>
        <w:t xml:space="preserve">صَلَّيْتُ </w:t>
      </w:r>
      <w:r>
        <w:rPr>
          <w:rStyle w:val="libFootnotenumChar"/>
          <w:rtl/>
        </w:rPr>
        <w:t>(3)</w:t>
      </w:r>
      <w:r w:rsidRPr="00132E65">
        <w:rPr>
          <w:rtl/>
          <w:lang w:bidi="fa-IR"/>
        </w:rPr>
        <w:t xml:space="preserve"> مَعَهُ </w:t>
      </w:r>
      <w:r>
        <w:rPr>
          <w:rStyle w:val="libFootnotenumChar"/>
          <w:rtl/>
        </w:rPr>
        <w:t>(4)</w:t>
      </w:r>
      <w:r w:rsidRPr="00132E65">
        <w:rPr>
          <w:rtl/>
          <w:lang w:bidi="fa-IR"/>
        </w:rPr>
        <w:t xml:space="preserve"> ، فَبَيْنَا أَنَا مَعَهُ إِذَا أَنَا فِي مَسْجِدِ الرَّسُولِ </w:t>
      </w:r>
      <w:r w:rsidRPr="0093484F">
        <w:rPr>
          <w:rStyle w:val="libAlaemChar"/>
          <w:rFonts w:eastAsiaTheme="minorHAnsi"/>
          <w:rtl/>
        </w:rPr>
        <w:t>صلى‌الله‌عليه‌وآله</w:t>
      </w:r>
      <w:r w:rsidRPr="00132E65">
        <w:rPr>
          <w:rtl/>
          <w:lang w:bidi="fa-IR"/>
        </w:rPr>
        <w:t xml:space="preserve"> بِالْمَدِينَةِ ، فَسَلَّمَ عَلى رَسُولِ اللهِ </w:t>
      </w:r>
      <w:r w:rsidRPr="0093484F">
        <w:rPr>
          <w:rStyle w:val="libAlaemChar"/>
          <w:rFonts w:eastAsiaTheme="minorHAnsi"/>
          <w:rtl/>
        </w:rPr>
        <w:t>صلى‌الله‌عليه‌وآله</w:t>
      </w:r>
      <w:r w:rsidRPr="00132E65">
        <w:rPr>
          <w:rtl/>
          <w:lang w:bidi="fa-IR"/>
        </w:rPr>
        <w:t xml:space="preserve"> و</w:t>
      </w:r>
      <w:r w:rsidR="002B62FD">
        <w:rPr>
          <w:rFonts w:hint="cs"/>
          <w:rtl/>
          <w:lang w:bidi="fa-IR"/>
        </w:rPr>
        <w:t>َ</w:t>
      </w:r>
      <w:r w:rsidRPr="00132E65">
        <w:rPr>
          <w:rtl/>
          <w:lang w:bidi="fa-IR"/>
        </w:rPr>
        <w:t xml:space="preserve">سَلَّمْتُ </w:t>
      </w:r>
      <w:r>
        <w:rPr>
          <w:rStyle w:val="libFootnotenumChar"/>
          <w:rtl/>
        </w:rPr>
        <w:t>(5)</w:t>
      </w:r>
      <w:r w:rsidRPr="00132E65">
        <w:rPr>
          <w:rtl/>
          <w:lang w:bidi="fa-IR"/>
        </w:rPr>
        <w:t xml:space="preserve"> ، و</w:t>
      </w:r>
      <w:r w:rsidR="002B62FD">
        <w:rPr>
          <w:rFonts w:hint="cs"/>
          <w:rtl/>
          <w:lang w:bidi="fa-IR"/>
        </w:rPr>
        <w:t>َ</w:t>
      </w:r>
      <w:r w:rsidRPr="00132E65">
        <w:rPr>
          <w:rtl/>
          <w:lang w:bidi="fa-IR"/>
        </w:rPr>
        <w:t>صَلّى و</w:t>
      </w:r>
      <w:r w:rsidR="002B62FD">
        <w:rPr>
          <w:rFonts w:hint="cs"/>
          <w:rtl/>
          <w:lang w:bidi="fa-IR"/>
        </w:rPr>
        <w:t>َ</w:t>
      </w:r>
      <w:r w:rsidRPr="00132E65">
        <w:rPr>
          <w:rtl/>
          <w:lang w:bidi="fa-IR"/>
        </w:rPr>
        <w:t xml:space="preserve">صَلَّيْتُ مَعَهُ ، وَصَلّى عَلى رَسُولِ اللهِ </w:t>
      </w:r>
      <w:r w:rsidRPr="0093484F">
        <w:rPr>
          <w:rStyle w:val="libAlaemChar"/>
          <w:rFonts w:eastAsiaTheme="minorHAnsi"/>
          <w:rtl/>
        </w:rPr>
        <w:t>صلى‌الله‌عليه‌وآله</w:t>
      </w:r>
      <w:r w:rsidRPr="00132E65">
        <w:rPr>
          <w:rtl/>
          <w:lang w:bidi="fa-IR"/>
        </w:rPr>
        <w:t xml:space="preserve"> ، فَبَيْنَا أَنَا مَعَهُ إِذَا </w:t>
      </w:r>
      <w:r>
        <w:rPr>
          <w:rStyle w:val="libFootnotenumChar"/>
          <w:rtl/>
        </w:rPr>
        <w:t>(6)</w:t>
      </w:r>
      <w:r w:rsidRPr="00132E65">
        <w:rPr>
          <w:rtl/>
          <w:lang w:bidi="fa-IR"/>
        </w:rPr>
        <w:t xml:space="preserve"> أَنَا بِمَكَّةَ ، فَلَمْ أَزَلْ مَعَهُ حَتّى قَضى مَنَاسِكَهُ و</w:t>
      </w:r>
      <w:r w:rsidR="002B62FD">
        <w:rPr>
          <w:rFonts w:hint="cs"/>
          <w:rtl/>
          <w:lang w:bidi="fa-IR"/>
        </w:rPr>
        <w:t>َ</w:t>
      </w:r>
      <w:r w:rsidRPr="00132E65">
        <w:rPr>
          <w:rtl/>
          <w:lang w:bidi="fa-IR"/>
        </w:rPr>
        <w:t xml:space="preserve">قَضَيْتُ مَنَاسِكِي مَعَهُ ، فَبَيْنَا أَنَا مَعَهُ إِذَا </w:t>
      </w:r>
      <w:r>
        <w:rPr>
          <w:rStyle w:val="libFootnotenumChar"/>
          <w:rtl/>
        </w:rPr>
        <w:t>(7)</w:t>
      </w:r>
      <w:r w:rsidRPr="00132E65">
        <w:rPr>
          <w:rtl/>
          <w:lang w:bidi="fa-IR"/>
        </w:rPr>
        <w:t xml:space="preserve"> أَنَا فِي الْمَوْضِعِ الَّذِي كُنْتُ </w:t>
      </w:r>
      <w:r>
        <w:rPr>
          <w:rStyle w:val="libFootnotenumChar"/>
          <w:rtl/>
        </w:rPr>
        <w:t>(8)</w:t>
      </w:r>
      <w:r w:rsidRPr="00132E65">
        <w:rPr>
          <w:rtl/>
          <w:lang w:bidi="fa-IR"/>
        </w:rPr>
        <w:t xml:space="preserve"> أَعْبُدُ اللهَ فِيهِ بِالشَّامِ.</w:t>
      </w:r>
    </w:p>
    <w:p w:rsidR="000C39D1" w:rsidRPr="00132E65" w:rsidRDefault="000C39D1" w:rsidP="000C39D1">
      <w:pPr>
        <w:pStyle w:val="libNormal"/>
        <w:rPr>
          <w:rtl/>
          <w:lang w:bidi="fa-IR"/>
        </w:rPr>
      </w:pPr>
      <w:r w:rsidRPr="00132E65">
        <w:rPr>
          <w:rtl/>
          <w:lang w:bidi="fa-IR"/>
        </w:rPr>
        <w:t xml:space="preserve">وَمَضَى الرَّجُلُ ، فَلَمَّا كَانَ الْعَامُ الْقَابِلُ </w:t>
      </w:r>
      <w:r>
        <w:rPr>
          <w:rStyle w:val="libFootnotenumChar"/>
          <w:rtl/>
        </w:rPr>
        <w:t>(9)</w:t>
      </w:r>
      <w:r w:rsidRPr="00132E65">
        <w:rPr>
          <w:rtl/>
          <w:lang w:bidi="fa-IR"/>
        </w:rPr>
        <w:t xml:space="preserve"> ، إِذَا </w:t>
      </w:r>
      <w:r>
        <w:rPr>
          <w:rStyle w:val="libFootnotenumChar"/>
          <w:rtl/>
        </w:rPr>
        <w:t>(10)</w:t>
      </w:r>
      <w:r w:rsidRPr="00132E65">
        <w:rPr>
          <w:rtl/>
          <w:lang w:bidi="fa-IR"/>
        </w:rPr>
        <w:t xml:space="preserve"> أَنَا بِهِ ، فَعَلَ </w:t>
      </w:r>
      <w:r>
        <w:rPr>
          <w:rStyle w:val="libFootnotenumChar"/>
          <w:rtl/>
        </w:rPr>
        <w:t>(11)</w:t>
      </w:r>
      <w:r w:rsidRPr="00132E65">
        <w:rPr>
          <w:rtl/>
          <w:lang w:bidi="fa-IR"/>
        </w:rPr>
        <w:t xml:space="preserve"> مِثْلَ فِعْلَتِهِ الْأُولى ، فَلَمَّا فَرَغْنَا مِنْ مَنَاسِكِنَا ، و</w:t>
      </w:r>
      <w:r w:rsidR="002B62FD">
        <w:rPr>
          <w:rFonts w:hint="cs"/>
          <w:rtl/>
          <w:lang w:bidi="fa-IR"/>
        </w:rPr>
        <w:t xml:space="preserve">َ </w:t>
      </w:r>
      <w:r w:rsidRPr="00132E65">
        <w:rPr>
          <w:rtl/>
          <w:lang w:bidi="fa-IR"/>
        </w:rPr>
        <w:t>رَدَّنِي إِلَى الشَّامِ ، و</w:t>
      </w:r>
      <w:r w:rsidR="002B62FD">
        <w:rPr>
          <w:rFonts w:hint="cs"/>
          <w:rtl/>
          <w:lang w:bidi="fa-IR"/>
        </w:rPr>
        <w:t xml:space="preserve">َ </w:t>
      </w:r>
      <w:r w:rsidRPr="00132E65">
        <w:rPr>
          <w:rtl/>
          <w:lang w:bidi="fa-IR"/>
        </w:rPr>
        <w:t xml:space="preserve">هَمَّ بِمُفَارَقَتِي ، قُلْتُ لَهُ </w:t>
      </w:r>
      <w:r>
        <w:rPr>
          <w:rStyle w:val="libFootnotenumChar"/>
          <w:rtl/>
        </w:rPr>
        <w:t>(12)</w:t>
      </w:r>
      <w:r w:rsidRPr="00132E65">
        <w:rPr>
          <w:rtl/>
          <w:lang w:bidi="fa-IR"/>
        </w:rPr>
        <w:t xml:space="preserve"> : سَأَلْتُكَ بِالْحَقِّ </w:t>
      </w:r>
      <w:r w:rsidRPr="00F543F1">
        <w:rPr>
          <w:rStyle w:val="libFootnotenumChar"/>
          <w:rtl/>
        </w:rPr>
        <w:t>(13)</w:t>
      </w:r>
      <w:r w:rsidRPr="00132E65">
        <w:rPr>
          <w:rtl/>
          <w:lang w:bidi="fa-IR"/>
        </w:rPr>
        <w:t xml:space="preserve"> الَّذِي أَقْدَ</w:t>
      </w:r>
      <w:r w:rsidR="002B62FD">
        <w:rPr>
          <w:rtl/>
          <w:lang w:bidi="fa-IR"/>
        </w:rPr>
        <w:t>رَكَ عَلى مَا رَأَيْتُ إِل</w:t>
      </w:r>
      <w:r w:rsidR="002B62FD">
        <w:rPr>
          <w:rFonts w:hint="cs"/>
          <w:rtl/>
          <w:lang w:bidi="fa-IR"/>
        </w:rPr>
        <w:t>َّ</w:t>
      </w:r>
      <w:r w:rsidR="002B62FD">
        <w:rPr>
          <w:rtl/>
          <w:lang w:bidi="fa-IR"/>
        </w:rPr>
        <w:t>ا</w:t>
      </w:r>
      <w:r w:rsidRPr="00132E65">
        <w:rPr>
          <w:rtl/>
          <w:lang w:bidi="fa-IR"/>
        </w:rPr>
        <w:t xml:space="preserve"> </w:t>
      </w:r>
      <w:r w:rsidRPr="00F543F1">
        <w:rPr>
          <w:rStyle w:val="libFootnotenumChar"/>
          <w:rtl/>
        </w:rPr>
        <w:t>(14)</w:t>
      </w:r>
      <w:r w:rsidRPr="00132E65">
        <w:rPr>
          <w:rtl/>
          <w:lang w:bidi="fa-IR"/>
        </w:rPr>
        <w:t xml:space="preserve"> أَخْبَرْتَنِي مَنْ أَنْتَ </w:t>
      </w:r>
      <w:r w:rsidRPr="00F543F1">
        <w:rPr>
          <w:rStyle w:val="libFootnotenumChar"/>
          <w:rtl/>
        </w:rPr>
        <w:t>(15)</w:t>
      </w:r>
      <w:r>
        <w:rPr>
          <w:rtl/>
          <w:lang w:bidi="fa-IR"/>
        </w:rPr>
        <w:t>؟</w:t>
      </w:r>
      <w:r w:rsidRPr="00132E65">
        <w:rPr>
          <w:rtl/>
          <w:lang w:bidi="fa-IR"/>
        </w:rPr>
        <w:t xml:space="preserve"> فَقَالَ : « أَنَا مُحَمَّدُ بْنُ عَلِيِّ بْنِ مُوسى »</w:t>
      </w:r>
      <w:r>
        <w:rPr>
          <w:rtl/>
          <w:lang w:bidi="fa-IR"/>
        </w:rPr>
        <w:t>.</w:t>
      </w:r>
    </w:p>
    <w:p w:rsidR="000C39D1" w:rsidRPr="00132E65" w:rsidRDefault="000C39D1" w:rsidP="000C39D1">
      <w:pPr>
        <w:pStyle w:val="libNormal"/>
        <w:rPr>
          <w:rtl/>
          <w:lang w:bidi="fa-IR"/>
        </w:rPr>
      </w:pPr>
      <w:r w:rsidRPr="00132E65">
        <w:rPr>
          <w:rtl/>
          <w:lang w:bidi="fa-IR"/>
        </w:rPr>
        <w:t xml:space="preserve">قَالَ : فَتَرَاقَى الْخَبَرُ حَتَّى انْتَهى </w:t>
      </w:r>
      <w:r w:rsidRPr="00F543F1">
        <w:rPr>
          <w:rStyle w:val="libFootnotenumChar"/>
          <w:rtl/>
        </w:rPr>
        <w:t>(16)</w:t>
      </w:r>
      <w:r w:rsidRPr="00132E65">
        <w:rPr>
          <w:rtl/>
          <w:lang w:bidi="fa-IR"/>
        </w:rPr>
        <w:t xml:space="preserve"> إِلى مُحَمَّدِ بْنِ عَبْدِ الْمَلِكِ الزَّيَّاتِ ، فَبَعَثَ إِلَيَّ ، وَأَخَذَنِي ، و</w:t>
      </w:r>
      <w:r w:rsidR="002B62FD">
        <w:rPr>
          <w:rFonts w:hint="cs"/>
          <w:rtl/>
          <w:lang w:bidi="fa-IR"/>
        </w:rPr>
        <w:t>َ</w:t>
      </w:r>
      <w:r w:rsidRPr="00132E65">
        <w:rPr>
          <w:rtl/>
          <w:lang w:bidi="fa-IR"/>
        </w:rPr>
        <w:t xml:space="preserve">كَبَّلَنِي </w:t>
      </w:r>
      <w:r w:rsidRPr="00F543F1">
        <w:rPr>
          <w:rStyle w:val="libFootnotenumChar"/>
          <w:rtl/>
        </w:rPr>
        <w:t>(17)</w:t>
      </w:r>
      <w:r w:rsidRPr="00132E65">
        <w:rPr>
          <w:rtl/>
          <w:lang w:bidi="fa-IR"/>
        </w:rPr>
        <w:t xml:space="preserve"> فِي الْحَدِيدِ ، و</w:t>
      </w:r>
      <w:r w:rsidR="002B62FD">
        <w:rPr>
          <w:rFonts w:hint="cs"/>
          <w:rtl/>
          <w:lang w:bidi="fa-IR"/>
        </w:rPr>
        <w:t>َ</w:t>
      </w:r>
      <w:r w:rsidRPr="00132E65">
        <w:rPr>
          <w:rtl/>
          <w:lang w:bidi="fa-IR"/>
        </w:rPr>
        <w:t xml:space="preserve">حَمَلَنِي إِلَى الْعِرَاقِ </w:t>
      </w:r>
      <w:r w:rsidRPr="00F543F1">
        <w:rPr>
          <w:rStyle w:val="libFootnotenumChar"/>
          <w:rtl/>
        </w:rPr>
        <w:t>(18)</w:t>
      </w:r>
      <w:r w:rsidRPr="00132E65">
        <w:rPr>
          <w:rtl/>
          <w:lang w:bidi="fa-IR"/>
        </w:rPr>
        <w:t xml:space="preserve"> ، قَالَ :</w:t>
      </w:r>
      <w:r w:rsidR="002B62FD">
        <w:rPr>
          <w:rFonts w:hint="cs"/>
          <w:rtl/>
          <w:lang w:bidi="fa-IR"/>
        </w:rPr>
        <w:t>..........................................</w:t>
      </w:r>
      <w:r w:rsidR="002B62FD">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ف ، بر ، بس ، بف » </w:t>
      </w:r>
      <w:r w:rsidRPr="002B62FD">
        <w:rPr>
          <w:rtl/>
        </w:rPr>
        <w:t>والوافي</w:t>
      </w:r>
      <w:r w:rsidRPr="00132E65">
        <w:rPr>
          <w:rtl/>
        </w:rPr>
        <w:t xml:space="preserve"> والاختصاص : « إذ »</w:t>
      </w:r>
      <w:r>
        <w:rPr>
          <w:rtl/>
        </w:rPr>
        <w:t>.</w:t>
      </w:r>
    </w:p>
    <w:tbl>
      <w:tblPr>
        <w:tblStyle w:val="TableGrid"/>
        <w:bidiVisual/>
        <w:tblW w:w="0" w:type="auto"/>
        <w:tblLook w:val="04A0" w:firstRow="1" w:lastRow="0" w:firstColumn="1" w:lastColumn="0" w:noHBand="0" w:noVBand="1"/>
      </w:tblPr>
      <w:tblGrid>
        <w:gridCol w:w="4261"/>
        <w:gridCol w:w="4262"/>
      </w:tblGrid>
      <w:tr w:rsidR="002B62FD" w:rsidTr="002B62FD">
        <w:tc>
          <w:tcPr>
            <w:tcW w:w="4261" w:type="dxa"/>
          </w:tcPr>
          <w:p w:rsidR="002B62FD" w:rsidRDefault="002B62FD" w:rsidP="000C39D1">
            <w:pPr>
              <w:pStyle w:val="libFootnote0"/>
              <w:rPr>
                <w:rtl/>
              </w:rPr>
            </w:pPr>
            <w:r>
              <w:rPr>
                <w:rtl/>
              </w:rPr>
              <w:t>(2).</w:t>
            </w:r>
            <w:r w:rsidRPr="00132E65">
              <w:rPr>
                <w:rtl/>
              </w:rPr>
              <w:t xml:space="preserve"> في « بس » : « هل تعرف »</w:t>
            </w:r>
            <w:r>
              <w:rPr>
                <w:rtl/>
              </w:rPr>
              <w:t>.</w:t>
            </w:r>
          </w:p>
        </w:tc>
        <w:tc>
          <w:tcPr>
            <w:tcW w:w="4262" w:type="dxa"/>
          </w:tcPr>
          <w:p w:rsidR="002B62FD" w:rsidRDefault="002B62FD" w:rsidP="000C39D1">
            <w:pPr>
              <w:pStyle w:val="libFootnote0"/>
              <w:rPr>
                <w:rtl/>
              </w:rPr>
            </w:pPr>
            <w:r>
              <w:rPr>
                <w:rtl/>
              </w:rPr>
              <w:t>(3).</w:t>
            </w:r>
            <w:r w:rsidRPr="00132E65">
              <w:rPr>
                <w:rtl/>
              </w:rPr>
              <w:t xml:space="preserve"> في « ف » : « فصلّيت »</w:t>
            </w:r>
            <w:r>
              <w:rPr>
                <w:rtl/>
              </w:rPr>
              <w:t>.</w:t>
            </w:r>
          </w:p>
        </w:tc>
      </w:tr>
      <w:tr w:rsidR="002B62FD" w:rsidTr="002B62FD">
        <w:tc>
          <w:tcPr>
            <w:tcW w:w="4261" w:type="dxa"/>
          </w:tcPr>
          <w:p w:rsidR="002B62FD" w:rsidRDefault="002B62FD" w:rsidP="000C39D1">
            <w:pPr>
              <w:pStyle w:val="libFootnote0"/>
              <w:rPr>
                <w:rtl/>
              </w:rPr>
            </w:pPr>
            <w:r>
              <w:rPr>
                <w:rtl/>
              </w:rPr>
              <w:t>(4).</w:t>
            </w:r>
            <w:r w:rsidRPr="00132E65">
              <w:rPr>
                <w:rtl/>
              </w:rPr>
              <w:t xml:space="preserve"> في « بس » </w:t>
            </w:r>
            <w:r>
              <w:rPr>
                <w:rtl/>
              </w:rPr>
              <w:t xml:space="preserve">: - </w:t>
            </w:r>
            <w:r w:rsidRPr="00132E65">
              <w:rPr>
                <w:rtl/>
              </w:rPr>
              <w:t>« معه »</w:t>
            </w:r>
            <w:r>
              <w:rPr>
                <w:rtl/>
              </w:rPr>
              <w:t>.</w:t>
            </w:r>
          </w:p>
        </w:tc>
        <w:tc>
          <w:tcPr>
            <w:tcW w:w="4262" w:type="dxa"/>
          </w:tcPr>
          <w:p w:rsidR="002B62FD" w:rsidRDefault="002B62FD" w:rsidP="000C39D1">
            <w:pPr>
              <w:pStyle w:val="libFootnote0"/>
              <w:rPr>
                <w:rtl/>
              </w:rPr>
            </w:pPr>
            <w:r>
              <w:rPr>
                <w:rtl/>
              </w:rPr>
              <w:t>(5).</w:t>
            </w:r>
            <w:r w:rsidRPr="00132E65">
              <w:rPr>
                <w:rtl/>
              </w:rPr>
              <w:t xml:space="preserve"> في </w:t>
            </w:r>
            <w:r w:rsidRPr="002B62FD">
              <w:rPr>
                <w:rtl/>
              </w:rPr>
              <w:t>الوافي</w:t>
            </w:r>
            <w:r w:rsidRPr="00132E65">
              <w:rPr>
                <w:rtl/>
              </w:rPr>
              <w:t xml:space="preserve"> : « فسلّمت »</w:t>
            </w:r>
            <w:r>
              <w:rPr>
                <w:rtl/>
              </w:rPr>
              <w:t>.</w:t>
            </w:r>
          </w:p>
        </w:tc>
      </w:tr>
    </w:tbl>
    <w:p w:rsidR="000C39D1" w:rsidRPr="00132E65" w:rsidRDefault="000C39D1" w:rsidP="000C39D1">
      <w:pPr>
        <w:pStyle w:val="libFootnote0"/>
        <w:rPr>
          <w:rtl/>
          <w:lang w:bidi="fa-IR"/>
        </w:rPr>
      </w:pPr>
      <w:r>
        <w:rPr>
          <w:rtl/>
        </w:rPr>
        <w:t>(6).</w:t>
      </w:r>
      <w:r w:rsidRPr="00132E65">
        <w:rPr>
          <w:rtl/>
        </w:rPr>
        <w:t xml:space="preserve"> في « ب ، ج ، ض ، ف ، بح ، بر ، بس » </w:t>
      </w:r>
      <w:r w:rsidRPr="002B62FD">
        <w:rPr>
          <w:rtl/>
        </w:rPr>
        <w:t>والوافي</w:t>
      </w:r>
      <w:r w:rsidRPr="00132E65">
        <w:rPr>
          <w:rtl/>
        </w:rPr>
        <w:t xml:space="preserve"> : « إذ »</w:t>
      </w:r>
      <w:r>
        <w:rPr>
          <w:rtl/>
        </w:rPr>
        <w:t>.</w:t>
      </w:r>
    </w:p>
    <w:p w:rsidR="000C39D1" w:rsidRPr="00132E65" w:rsidRDefault="000C39D1" w:rsidP="000C39D1">
      <w:pPr>
        <w:pStyle w:val="libFootnote0"/>
        <w:rPr>
          <w:rtl/>
          <w:lang w:bidi="fa-IR"/>
        </w:rPr>
      </w:pPr>
      <w:r>
        <w:rPr>
          <w:rtl/>
        </w:rPr>
        <w:t>(7).</w:t>
      </w:r>
      <w:r w:rsidRPr="00132E65">
        <w:rPr>
          <w:rtl/>
        </w:rPr>
        <w:t xml:space="preserve"> في « ض ، ف ، بح ، بر ، بس » </w:t>
      </w:r>
      <w:r w:rsidRPr="002B62FD">
        <w:rPr>
          <w:rtl/>
        </w:rPr>
        <w:t>والوافي</w:t>
      </w:r>
      <w:r w:rsidRPr="00132E65">
        <w:rPr>
          <w:rtl/>
        </w:rPr>
        <w:t xml:space="preserve"> والاختصاص : « إذ »</w:t>
      </w:r>
      <w:r>
        <w:rPr>
          <w:rtl/>
        </w:rPr>
        <w:t>.</w:t>
      </w:r>
    </w:p>
    <w:tbl>
      <w:tblPr>
        <w:tblStyle w:val="TableGrid"/>
        <w:bidiVisual/>
        <w:tblW w:w="0" w:type="auto"/>
        <w:tblLook w:val="04A0" w:firstRow="1" w:lastRow="0" w:firstColumn="1" w:lastColumn="0" w:noHBand="0" w:noVBand="1"/>
      </w:tblPr>
      <w:tblGrid>
        <w:gridCol w:w="4261"/>
        <w:gridCol w:w="4262"/>
      </w:tblGrid>
      <w:tr w:rsidR="002B62FD" w:rsidTr="002B62FD">
        <w:tc>
          <w:tcPr>
            <w:tcW w:w="4261" w:type="dxa"/>
          </w:tcPr>
          <w:p w:rsidR="002B62FD" w:rsidRDefault="002B62FD" w:rsidP="000C39D1">
            <w:pPr>
              <w:pStyle w:val="libFootnote0"/>
              <w:rPr>
                <w:rtl/>
              </w:rPr>
            </w:pPr>
            <w:r>
              <w:rPr>
                <w:rtl/>
              </w:rPr>
              <w:t>(8).</w:t>
            </w:r>
            <w:r w:rsidRPr="00132E65">
              <w:rPr>
                <w:rtl/>
              </w:rPr>
              <w:t xml:space="preserve"> في « ض » :</w:t>
            </w:r>
            <w:r>
              <w:rPr>
                <w:rtl/>
              </w:rPr>
              <w:t xml:space="preserve"> + </w:t>
            </w:r>
            <w:r w:rsidRPr="00132E65">
              <w:rPr>
                <w:rtl/>
              </w:rPr>
              <w:t>« أنا »</w:t>
            </w:r>
            <w:r>
              <w:rPr>
                <w:rtl/>
              </w:rPr>
              <w:t>.</w:t>
            </w:r>
          </w:p>
        </w:tc>
        <w:tc>
          <w:tcPr>
            <w:tcW w:w="4262" w:type="dxa"/>
          </w:tcPr>
          <w:p w:rsidR="002B62FD" w:rsidRDefault="002B62FD" w:rsidP="000C39D1">
            <w:pPr>
              <w:pStyle w:val="libFootnote0"/>
              <w:rPr>
                <w:rtl/>
              </w:rPr>
            </w:pPr>
            <w:r>
              <w:rPr>
                <w:rtl/>
              </w:rPr>
              <w:t>(9).</w:t>
            </w:r>
            <w:r w:rsidRPr="00132E65">
              <w:rPr>
                <w:rtl/>
              </w:rPr>
              <w:t xml:space="preserve"> في البصائر : « عام قابل في أيّام الموسم »</w:t>
            </w:r>
            <w:r>
              <w:rPr>
                <w:rtl/>
              </w:rPr>
              <w:t>.</w:t>
            </w:r>
          </w:p>
        </w:tc>
      </w:tr>
    </w:tbl>
    <w:p w:rsidR="000C39D1" w:rsidRPr="00132E65" w:rsidRDefault="000C39D1" w:rsidP="000C39D1">
      <w:pPr>
        <w:pStyle w:val="libFootnote0"/>
        <w:rPr>
          <w:rtl/>
          <w:lang w:bidi="fa-IR"/>
        </w:rPr>
      </w:pPr>
      <w:r>
        <w:rPr>
          <w:rtl/>
        </w:rPr>
        <w:t>(10).</w:t>
      </w:r>
      <w:r w:rsidRPr="00132E65">
        <w:rPr>
          <w:rtl/>
        </w:rPr>
        <w:t xml:space="preserve"> في « ض ، ف ، بح ، بر ، بس » </w:t>
      </w:r>
      <w:r w:rsidRPr="00B71003">
        <w:rPr>
          <w:rtl/>
        </w:rPr>
        <w:t>والوافي</w:t>
      </w:r>
      <w:r w:rsidRPr="00132E65">
        <w:rPr>
          <w:rtl/>
        </w:rPr>
        <w:t xml:space="preserve"> والاختصاص : « إذ »</w:t>
      </w:r>
      <w:r>
        <w:rPr>
          <w:rtl/>
        </w:rPr>
        <w:t>.</w:t>
      </w:r>
    </w:p>
    <w:p w:rsidR="000C39D1" w:rsidRPr="00132E65" w:rsidRDefault="000C39D1" w:rsidP="000C39D1">
      <w:pPr>
        <w:pStyle w:val="libFootnote0"/>
        <w:rPr>
          <w:rtl/>
          <w:lang w:bidi="fa-IR"/>
        </w:rPr>
      </w:pPr>
      <w:r>
        <w:rPr>
          <w:rtl/>
        </w:rPr>
        <w:t>(11).</w:t>
      </w:r>
      <w:r w:rsidRPr="00132E65">
        <w:rPr>
          <w:rtl/>
        </w:rPr>
        <w:t xml:space="preserve"> في البصائر : « وفعل بي » بدل « فعل »</w:t>
      </w:r>
      <w:r>
        <w:rPr>
          <w:rtl/>
        </w:rPr>
        <w:t>.</w:t>
      </w:r>
      <w:r w:rsidRPr="00132E65">
        <w:rPr>
          <w:rtl/>
        </w:rPr>
        <w:t xml:space="preserve"> وفي الاختصاص : « ففعل بي »</w:t>
      </w:r>
      <w:r>
        <w:rPr>
          <w:rtl/>
        </w:rPr>
        <w:t>.</w:t>
      </w:r>
    </w:p>
    <w:tbl>
      <w:tblPr>
        <w:tblStyle w:val="TableGrid"/>
        <w:bidiVisual/>
        <w:tblW w:w="0" w:type="auto"/>
        <w:tblLook w:val="04A0" w:firstRow="1" w:lastRow="0" w:firstColumn="1" w:lastColumn="0" w:noHBand="0" w:noVBand="1"/>
      </w:tblPr>
      <w:tblGrid>
        <w:gridCol w:w="4261"/>
        <w:gridCol w:w="4262"/>
      </w:tblGrid>
      <w:tr w:rsidR="00B71003" w:rsidTr="00B71003">
        <w:tc>
          <w:tcPr>
            <w:tcW w:w="4261" w:type="dxa"/>
          </w:tcPr>
          <w:p w:rsidR="00B71003" w:rsidRDefault="00B71003" w:rsidP="000C39D1">
            <w:pPr>
              <w:pStyle w:val="libFootnote0"/>
              <w:rPr>
                <w:rtl/>
              </w:rPr>
            </w:pPr>
            <w:r>
              <w:rPr>
                <w:rtl/>
              </w:rPr>
              <w:t>(12).</w:t>
            </w:r>
            <w:r w:rsidRPr="00132E65">
              <w:rPr>
                <w:rtl/>
              </w:rPr>
              <w:t xml:space="preserve"> في « بح ، بس » </w:t>
            </w:r>
            <w:r>
              <w:rPr>
                <w:rtl/>
              </w:rPr>
              <w:t xml:space="preserve">: - </w:t>
            </w:r>
            <w:r w:rsidRPr="00132E65">
              <w:rPr>
                <w:rtl/>
              </w:rPr>
              <w:t>« له »</w:t>
            </w:r>
            <w:r>
              <w:rPr>
                <w:rtl/>
              </w:rPr>
              <w:t>.</w:t>
            </w:r>
          </w:p>
        </w:tc>
        <w:tc>
          <w:tcPr>
            <w:tcW w:w="4262" w:type="dxa"/>
          </w:tcPr>
          <w:p w:rsidR="00B71003" w:rsidRDefault="00B71003" w:rsidP="000C39D1">
            <w:pPr>
              <w:pStyle w:val="libFootnote0"/>
              <w:rPr>
                <w:rtl/>
              </w:rPr>
            </w:pPr>
            <w:r>
              <w:rPr>
                <w:rtl/>
              </w:rPr>
              <w:t>(13)</w:t>
            </w:r>
            <w:r w:rsidRPr="00132E65">
              <w:rPr>
                <w:rtl/>
              </w:rPr>
              <w:t xml:space="preserve"> في البصائر والاختصاص : « بحقّ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الاختصاص :</w:t>
      </w:r>
      <w:r>
        <w:rPr>
          <w:rtl/>
        </w:rPr>
        <w:t xml:space="preserve"> + </w:t>
      </w:r>
      <w:r w:rsidRPr="00132E65">
        <w:rPr>
          <w:rtl/>
        </w:rPr>
        <w:t>« ما »</w:t>
      </w:r>
      <w:r>
        <w:rPr>
          <w:rtl/>
        </w:rPr>
        <w:t>.</w:t>
      </w:r>
    </w:p>
    <w:p w:rsidR="000C39D1" w:rsidRPr="00132E65" w:rsidRDefault="000C39D1" w:rsidP="000C39D1">
      <w:pPr>
        <w:pStyle w:val="libFootnote0"/>
        <w:rPr>
          <w:rtl/>
          <w:lang w:bidi="fa-IR"/>
        </w:rPr>
      </w:pPr>
      <w:r>
        <w:rPr>
          <w:rtl/>
        </w:rPr>
        <w:t>(15)</w:t>
      </w:r>
      <w:r w:rsidRPr="00132E65">
        <w:rPr>
          <w:rtl/>
        </w:rPr>
        <w:t xml:space="preserve"> في البصائر والاختصاص :</w:t>
      </w:r>
      <w:r>
        <w:rPr>
          <w:rtl/>
        </w:rPr>
        <w:t xml:space="preserve"> + </w:t>
      </w:r>
      <w:r w:rsidRPr="00132E65">
        <w:rPr>
          <w:rtl/>
        </w:rPr>
        <w:t>« قال : فأطرق طويلاً ثمّ نظر إليّ »</w:t>
      </w:r>
      <w:r>
        <w:rPr>
          <w:rtl/>
        </w:rPr>
        <w:t>.</w:t>
      </w:r>
    </w:p>
    <w:tbl>
      <w:tblPr>
        <w:tblStyle w:val="TableGrid"/>
        <w:bidiVisual/>
        <w:tblW w:w="0" w:type="auto"/>
        <w:tblLook w:val="04A0" w:firstRow="1" w:lastRow="0" w:firstColumn="1" w:lastColumn="0" w:noHBand="0" w:noVBand="1"/>
      </w:tblPr>
      <w:tblGrid>
        <w:gridCol w:w="4261"/>
        <w:gridCol w:w="4262"/>
      </w:tblGrid>
      <w:tr w:rsidR="00B71003" w:rsidTr="00B71003">
        <w:tc>
          <w:tcPr>
            <w:tcW w:w="4261" w:type="dxa"/>
          </w:tcPr>
          <w:p w:rsidR="00B71003" w:rsidRDefault="00B71003" w:rsidP="000C39D1">
            <w:pPr>
              <w:pStyle w:val="libFootnote0"/>
              <w:rPr>
                <w:rtl/>
              </w:rPr>
            </w:pPr>
            <w:r>
              <w:rPr>
                <w:rtl/>
              </w:rPr>
              <w:t>(16)</w:t>
            </w:r>
            <w:r w:rsidRPr="00132E65">
              <w:rPr>
                <w:rtl/>
              </w:rPr>
              <w:t xml:space="preserve"> في البصائر </w:t>
            </w:r>
            <w:r>
              <w:rPr>
                <w:rtl/>
              </w:rPr>
              <w:t xml:space="preserve">: - </w:t>
            </w:r>
            <w:r w:rsidRPr="00132E65">
              <w:rPr>
                <w:rtl/>
              </w:rPr>
              <w:t>« حتّى انتهى »</w:t>
            </w:r>
            <w:r>
              <w:rPr>
                <w:rtl/>
              </w:rPr>
              <w:t>.</w:t>
            </w:r>
          </w:p>
        </w:tc>
        <w:tc>
          <w:tcPr>
            <w:tcW w:w="4262" w:type="dxa"/>
          </w:tcPr>
          <w:p w:rsidR="00B71003" w:rsidRDefault="00B71003" w:rsidP="000C39D1">
            <w:pPr>
              <w:pStyle w:val="libFootnote0"/>
              <w:rPr>
                <w:rtl/>
              </w:rPr>
            </w:pPr>
            <w:r>
              <w:rPr>
                <w:rtl/>
              </w:rPr>
              <w:t>(17)</w:t>
            </w:r>
            <w:r w:rsidRPr="00132E65">
              <w:rPr>
                <w:rtl/>
              </w:rPr>
              <w:t xml:space="preserve"> يجوز فيه التخفيف أيضاً.</w:t>
            </w:r>
          </w:p>
        </w:tc>
      </w:tr>
    </w:tbl>
    <w:p w:rsidR="000C39D1" w:rsidRPr="00132E65" w:rsidRDefault="000C39D1" w:rsidP="000C39D1">
      <w:pPr>
        <w:pStyle w:val="libFootnote0"/>
        <w:rPr>
          <w:rtl/>
          <w:lang w:bidi="fa-IR"/>
        </w:rPr>
      </w:pPr>
      <w:r>
        <w:rPr>
          <w:rtl/>
        </w:rPr>
        <w:t>(18)</w:t>
      </w:r>
      <w:r w:rsidRPr="00132E65">
        <w:rPr>
          <w:rtl/>
        </w:rPr>
        <w:t xml:space="preserve"> في البصائر :</w:t>
      </w:r>
      <w:r>
        <w:rPr>
          <w:rtl/>
        </w:rPr>
        <w:t xml:space="preserve"> + </w:t>
      </w:r>
      <w:r w:rsidRPr="00132E65">
        <w:rPr>
          <w:rtl/>
        </w:rPr>
        <w:t>« وحبسني كما ترى »</w:t>
      </w:r>
      <w:r>
        <w:rPr>
          <w:rtl/>
        </w:rPr>
        <w:t>.</w:t>
      </w:r>
      <w:r w:rsidRPr="00132E65">
        <w:rPr>
          <w:rtl/>
        </w:rPr>
        <w:t xml:space="preserve"> وفي الاختصاص :</w:t>
      </w:r>
      <w:r>
        <w:rPr>
          <w:rtl/>
        </w:rPr>
        <w:t xml:space="preserve"> + </w:t>
      </w:r>
      <w:r w:rsidRPr="00132E65">
        <w:rPr>
          <w:rtl/>
        </w:rPr>
        <w:t>« وحبسني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فَقُلْتُ </w:t>
      </w:r>
      <w:r>
        <w:rPr>
          <w:rStyle w:val="libFootnotenumChar"/>
          <w:rtl/>
        </w:rPr>
        <w:t>(1)</w:t>
      </w:r>
      <w:r w:rsidRPr="00132E65">
        <w:rPr>
          <w:rtl/>
          <w:lang w:bidi="fa-IR"/>
        </w:rPr>
        <w:t xml:space="preserve"> لَهُ : فَارْفَعِ الْقِصَّةَ </w:t>
      </w:r>
      <w:r>
        <w:rPr>
          <w:rStyle w:val="libFootnotenumChar"/>
          <w:rtl/>
        </w:rPr>
        <w:t>(2)</w:t>
      </w:r>
      <w:r w:rsidRPr="00132E65">
        <w:rPr>
          <w:rtl/>
          <w:lang w:bidi="fa-IR"/>
        </w:rPr>
        <w:t xml:space="preserve"> إِلى مُحَمَّدِ بْنِ عَبْدِ الْمَلِكِ ، فَفَعَلَ و</w:t>
      </w:r>
      <w:r w:rsidR="00B71003">
        <w:rPr>
          <w:rFonts w:hint="cs"/>
          <w:rtl/>
          <w:lang w:bidi="fa-IR"/>
        </w:rPr>
        <w:t>َ</w:t>
      </w:r>
      <w:r w:rsidRPr="00132E65">
        <w:rPr>
          <w:rtl/>
          <w:lang w:bidi="fa-IR"/>
        </w:rPr>
        <w:t>ذَكَرَ فِي قِصَّتِهِ مَا كَانَ ، فَوَقَّعَ فِي قِصَّتِهِ : قُلْ لِلَّذِي أَخْرَجَكَ مِنَ الشَّامِ فِي لَيْلَةٍ إِلَى الْكُوفَةِ ، و</w:t>
      </w:r>
      <w:r w:rsidR="00B71003">
        <w:rPr>
          <w:rFonts w:hint="cs"/>
          <w:rtl/>
          <w:lang w:bidi="fa-IR"/>
        </w:rPr>
        <w:t>َ</w:t>
      </w:r>
      <w:r w:rsidRPr="00132E65">
        <w:rPr>
          <w:rtl/>
          <w:lang w:bidi="fa-IR"/>
        </w:rPr>
        <w:t>مِنَ الْكُوفَةِ إِلَى الْمَدِينَةِ ، وَمِنَ الْمَدِينَةِ إِلى مَكَّةَ ، و</w:t>
      </w:r>
      <w:r w:rsidR="00B71003">
        <w:rPr>
          <w:rFonts w:hint="cs"/>
          <w:rtl/>
          <w:lang w:bidi="fa-IR"/>
        </w:rPr>
        <w:t>َ</w:t>
      </w:r>
      <w:r w:rsidRPr="00132E65">
        <w:rPr>
          <w:rtl/>
          <w:lang w:bidi="fa-IR"/>
        </w:rPr>
        <w:t>رَدَّكَ مِنْ مَكَّةَ إِلَى الشَّامِ أَنْ يُخْرِجَكَ مِنْ حَبْسِكَ هذَا.</w:t>
      </w:r>
    </w:p>
    <w:p w:rsidR="000C39D1" w:rsidRPr="00132E65" w:rsidRDefault="000C39D1" w:rsidP="000C39D1">
      <w:pPr>
        <w:pStyle w:val="libNormal"/>
        <w:rPr>
          <w:rtl/>
          <w:lang w:bidi="fa-IR"/>
        </w:rPr>
      </w:pPr>
      <w:r w:rsidRPr="00132E65">
        <w:rPr>
          <w:rtl/>
          <w:lang w:bidi="fa-IR"/>
        </w:rPr>
        <w:t>قَالَ عَلِيُّ بْنُ خَالِدٍ : فَغَمَّنِي ذلِكَ مِنْ أَمْرِهِ ، و</w:t>
      </w:r>
      <w:r w:rsidR="00B71003">
        <w:rPr>
          <w:rFonts w:hint="cs"/>
          <w:rtl/>
          <w:lang w:bidi="fa-IR"/>
        </w:rPr>
        <w:t>َ</w:t>
      </w:r>
      <w:r w:rsidRPr="00132E65">
        <w:rPr>
          <w:rtl/>
          <w:lang w:bidi="fa-IR"/>
        </w:rPr>
        <w:t>رَقَقْتُ لَهُ ، و</w:t>
      </w:r>
      <w:r w:rsidR="00B71003">
        <w:rPr>
          <w:rFonts w:hint="cs"/>
          <w:rtl/>
          <w:lang w:bidi="fa-IR"/>
        </w:rPr>
        <w:t>َ</w:t>
      </w:r>
      <w:r w:rsidRPr="00132E65">
        <w:rPr>
          <w:rtl/>
          <w:lang w:bidi="fa-IR"/>
        </w:rPr>
        <w:t xml:space="preserve">أَمَرْتُهُ بِالْعَزَاءِ </w:t>
      </w:r>
      <w:r>
        <w:rPr>
          <w:rStyle w:val="libFootnotenumChar"/>
          <w:rtl/>
        </w:rPr>
        <w:t>(3)</w:t>
      </w:r>
      <w:r w:rsidRPr="00132E65">
        <w:rPr>
          <w:rtl/>
          <w:lang w:bidi="fa-IR"/>
        </w:rPr>
        <w:t xml:space="preserve"> و</w:t>
      </w:r>
      <w:r w:rsidR="00B71003">
        <w:rPr>
          <w:rFonts w:hint="cs"/>
          <w:rtl/>
          <w:lang w:bidi="fa-IR"/>
        </w:rPr>
        <w:t>َ</w:t>
      </w:r>
      <w:r w:rsidRPr="00132E65">
        <w:rPr>
          <w:rtl/>
          <w:lang w:bidi="fa-IR"/>
        </w:rPr>
        <w:t xml:space="preserve">الصَّبْرِ </w:t>
      </w:r>
      <w:r>
        <w:rPr>
          <w:rStyle w:val="libFootnotenumChar"/>
          <w:rtl/>
        </w:rPr>
        <w:t>(4)</w:t>
      </w:r>
      <w:r w:rsidRPr="00132E65">
        <w:rPr>
          <w:rtl/>
          <w:lang w:bidi="fa-IR"/>
        </w:rPr>
        <w:t xml:space="preserve"> ، قَالَ : ثُمَّ بَكَّرْتُ عَلَيْهِ </w:t>
      </w:r>
      <w:r>
        <w:rPr>
          <w:rStyle w:val="libFootnotenumChar"/>
          <w:rtl/>
        </w:rPr>
        <w:t>(5)</w:t>
      </w:r>
      <w:r w:rsidRPr="00132E65">
        <w:rPr>
          <w:rtl/>
          <w:lang w:bidi="fa-IR"/>
        </w:rPr>
        <w:t xml:space="preserve"> فَإِذَا الْجُنْدُ و</w:t>
      </w:r>
      <w:r w:rsidR="00B71003">
        <w:rPr>
          <w:rFonts w:hint="cs"/>
          <w:rtl/>
          <w:lang w:bidi="fa-IR"/>
        </w:rPr>
        <w:t>َ</w:t>
      </w:r>
      <w:r w:rsidRPr="00132E65">
        <w:rPr>
          <w:rtl/>
          <w:lang w:bidi="fa-IR"/>
        </w:rPr>
        <w:t xml:space="preserve">صَاحِبُ الْحَرَسِ </w:t>
      </w:r>
      <w:r>
        <w:rPr>
          <w:rStyle w:val="libFootnotenumChar"/>
          <w:rtl/>
        </w:rPr>
        <w:t>(6)</w:t>
      </w:r>
      <w:r w:rsidRPr="00132E65">
        <w:rPr>
          <w:rtl/>
          <w:lang w:bidi="fa-IR"/>
        </w:rPr>
        <w:t xml:space="preserve"> و</w:t>
      </w:r>
      <w:r w:rsidR="00B71003">
        <w:rPr>
          <w:rFonts w:hint="cs"/>
          <w:rtl/>
          <w:lang w:bidi="fa-IR"/>
        </w:rPr>
        <w:t>َ</w:t>
      </w:r>
      <w:r w:rsidRPr="00132E65">
        <w:rPr>
          <w:rtl/>
          <w:lang w:bidi="fa-IR"/>
        </w:rPr>
        <w:t>صَاحِبُ السِّجْنِ و</w:t>
      </w:r>
      <w:r w:rsidR="00B71003">
        <w:rPr>
          <w:rFonts w:hint="cs"/>
          <w:rtl/>
          <w:lang w:bidi="fa-IR"/>
        </w:rPr>
        <w:t>َ</w:t>
      </w:r>
      <w:r w:rsidRPr="00132E65">
        <w:rPr>
          <w:rtl/>
          <w:lang w:bidi="fa-IR"/>
        </w:rPr>
        <w:t xml:space="preserve">خَلْقُ اللهِ </w:t>
      </w:r>
      <w:r>
        <w:rPr>
          <w:rStyle w:val="libFootnotenumChar"/>
          <w:rtl/>
        </w:rPr>
        <w:t>(7)</w:t>
      </w:r>
      <w:r w:rsidRPr="00132E65">
        <w:rPr>
          <w:rtl/>
          <w:lang w:bidi="fa-IR"/>
        </w:rPr>
        <w:t xml:space="preserve"> ، فَقُلْتُ : مَا هذَا </w:t>
      </w:r>
      <w:r>
        <w:rPr>
          <w:rStyle w:val="libFootnotenumChar"/>
          <w:rtl/>
        </w:rPr>
        <w:t>(8)</w:t>
      </w:r>
      <w:r>
        <w:rPr>
          <w:rtl/>
          <w:lang w:bidi="fa-IR"/>
        </w:rPr>
        <w:t>؟</w:t>
      </w:r>
      <w:r w:rsidRPr="00132E65">
        <w:rPr>
          <w:rtl/>
          <w:lang w:bidi="fa-IR"/>
        </w:rPr>
        <w:t xml:space="preserve"> فَقَالُوا </w:t>
      </w:r>
      <w:r>
        <w:rPr>
          <w:rStyle w:val="libFootnotenumChar"/>
          <w:rtl/>
        </w:rPr>
        <w:t>(9)</w:t>
      </w:r>
      <w:r w:rsidRPr="00132E65">
        <w:rPr>
          <w:rtl/>
          <w:lang w:bidi="fa-IR"/>
        </w:rPr>
        <w:t xml:space="preserve"> : الْمَحْمُولُ مِنَ الشَّامِ</w:t>
      </w:r>
      <w:r>
        <w:rPr>
          <w:rtl/>
          <w:lang w:bidi="fa-IR"/>
        </w:rPr>
        <w:t xml:space="preserve"> - </w:t>
      </w:r>
      <w:r w:rsidRPr="00132E65">
        <w:rPr>
          <w:rtl/>
          <w:lang w:bidi="fa-IR"/>
        </w:rPr>
        <w:t>الَّذِي تَنَبَّأَ</w:t>
      </w:r>
      <w:r>
        <w:rPr>
          <w:rtl/>
          <w:lang w:bidi="fa-IR"/>
        </w:rPr>
        <w:t xml:space="preserve"> - </w:t>
      </w:r>
      <w:r w:rsidRPr="00132E65">
        <w:rPr>
          <w:rtl/>
          <w:lang w:bidi="fa-IR"/>
        </w:rPr>
        <w:t xml:space="preserve">افْتُقِدَ الْبَارِحَةَ ، فَلَا يُدْرى </w:t>
      </w:r>
      <w:r>
        <w:rPr>
          <w:rStyle w:val="libFootnotenumChar"/>
          <w:rtl/>
        </w:rPr>
        <w:t>(10)</w:t>
      </w:r>
      <w:r>
        <w:rPr>
          <w:rtl/>
          <w:lang w:bidi="fa-IR"/>
        </w:rPr>
        <w:t xml:space="preserve"> أَ</w:t>
      </w:r>
      <w:r w:rsidRPr="00132E65">
        <w:rPr>
          <w:rtl/>
          <w:lang w:bidi="fa-IR"/>
        </w:rPr>
        <w:t xml:space="preserve">خَسَفَتْ </w:t>
      </w:r>
      <w:r>
        <w:rPr>
          <w:rStyle w:val="libFootnotenumChar"/>
          <w:rtl/>
        </w:rPr>
        <w:t>(11)</w:t>
      </w:r>
      <w:r w:rsidRPr="00132E65">
        <w:rPr>
          <w:rtl/>
          <w:lang w:bidi="fa-IR"/>
        </w:rPr>
        <w:t xml:space="preserve"> بِهِ الْأَرْضُ ، أَوِ اخْتَطَفَهُ </w:t>
      </w:r>
      <w:r>
        <w:rPr>
          <w:rStyle w:val="libFootnotenumChar"/>
          <w:rtl/>
        </w:rPr>
        <w:t>(12)</w:t>
      </w:r>
      <w:r w:rsidRPr="00132E65">
        <w:rPr>
          <w:rtl/>
          <w:lang w:bidi="fa-IR"/>
        </w:rPr>
        <w:t xml:space="preserve"> الطَّيْرُ </w:t>
      </w:r>
      <w:r w:rsidRPr="00F543F1">
        <w:rPr>
          <w:rStyle w:val="libFootnotenumChar"/>
          <w:rtl/>
        </w:rPr>
        <w:t>(13)</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576DE8">
        <w:rPr>
          <w:rtl/>
        </w:rPr>
        <w:t>1310</w:t>
      </w:r>
      <w:r w:rsidRPr="004325D8">
        <w:rPr>
          <w:rStyle w:val="libBold2Char"/>
          <w:rtl/>
        </w:rPr>
        <w:t xml:space="preserve"> / 2.</w:t>
      </w:r>
      <w:r w:rsidRPr="00132E65">
        <w:rPr>
          <w:rtl/>
          <w:lang w:bidi="fa-IR"/>
        </w:rPr>
        <w:t xml:space="preserve"> الْحُسَيْنُ بْنُ مُحَمَّدٍ الْأَشْعَرِيُّ ، قَالَ : حَدَّثَنِي شَيْخٌ مِنْ أَصْحَابِنَا</w:t>
      </w:r>
      <w:r>
        <w:rPr>
          <w:rtl/>
          <w:lang w:bidi="fa-IR"/>
        </w:rPr>
        <w:t xml:space="preserve"> - </w:t>
      </w:r>
      <w:r w:rsidRPr="00132E65">
        <w:rPr>
          <w:rtl/>
          <w:lang w:bidi="fa-IR"/>
        </w:rPr>
        <w:t>يُقَالُ لَهُ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B71003" w:rsidTr="00B71003">
        <w:tc>
          <w:tcPr>
            <w:tcW w:w="4261" w:type="dxa"/>
          </w:tcPr>
          <w:p w:rsidR="00B71003" w:rsidRDefault="00B71003" w:rsidP="000C39D1">
            <w:pPr>
              <w:pStyle w:val="libFootnote0"/>
              <w:rPr>
                <w:rtl/>
              </w:rPr>
            </w:pPr>
            <w:r>
              <w:rPr>
                <w:rtl/>
              </w:rPr>
              <w:t>(1).</w:t>
            </w:r>
            <w:r w:rsidRPr="00132E65">
              <w:rPr>
                <w:rtl/>
              </w:rPr>
              <w:t xml:space="preserve"> في « بح » : « فقال »</w:t>
            </w:r>
            <w:r>
              <w:rPr>
                <w:rtl/>
              </w:rPr>
              <w:t>.</w:t>
            </w:r>
          </w:p>
        </w:tc>
        <w:tc>
          <w:tcPr>
            <w:tcW w:w="4262" w:type="dxa"/>
          </w:tcPr>
          <w:p w:rsidR="00B71003" w:rsidRDefault="00B71003" w:rsidP="000C39D1">
            <w:pPr>
              <w:pStyle w:val="libFootnote0"/>
              <w:rPr>
                <w:rtl/>
              </w:rPr>
            </w:pPr>
            <w:r>
              <w:rPr>
                <w:rtl/>
              </w:rPr>
              <w:t>(2).</w:t>
            </w:r>
            <w:r w:rsidRPr="00132E65">
              <w:rPr>
                <w:rtl/>
              </w:rPr>
              <w:t xml:space="preserve"> في « ج ، ف ، بس ، بف » : « قصّته »</w:t>
            </w:r>
            <w:r>
              <w:rPr>
                <w:rtl/>
              </w:rPr>
              <w:t>.</w:t>
            </w:r>
          </w:p>
        </w:tc>
      </w:tr>
    </w:tbl>
    <w:p w:rsidR="000C39D1" w:rsidRPr="00132E65" w:rsidRDefault="000C39D1" w:rsidP="000C39D1">
      <w:pPr>
        <w:pStyle w:val="libFootnote0"/>
        <w:rPr>
          <w:rtl/>
          <w:lang w:bidi="fa-IR"/>
        </w:rPr>
      </w:pPr>
      <w:r>
        <w:rPr>
          <w:rtl/>
        </w:rPr>
        <w:t>(3).</w:t>
      </w:r>
      <w:r w:rsidRPr="00132E65">
        <w:rPr>
          <w:rtl/>
        </w:rPr>
        <w:t xml:space="preserve"> « العزاء » : الصبر ، أو حسنه. </w:t>
      </w:r>
      <w:r w:rsidRPr="00B71003">
        <w:rPr>
          <w:rStyle w:val="libFootnoteBoldChar"/>
          <w:rtl/>
        </w:rPr>
        <w:t>القاموس المحيط</w:t>
      </w:r>
      <w:r w:rsidRPr="00132E65">
        <w:rPr>
          <w:rtl/>
        </w:rPr>
        <w:t xml:space="preserve"> ، ج 2 ، ص 1718 ( عزى )</w:t>
      </w:r>
      <w:r>
        <w:rPr>
          <w:rtl/>
        </w:rPr>
        <w:t>.</w:t>
      </w:r>
    </w:p>
    <w:p w:rsidR="000C39D1" w:rsidRPr="00132E65" w:rsidRDefault="000C39D1" w:rsidP="000C39D1">
      <w:pPr>
        <w:pStyle w:val="libFootnote0"/>
        <w:rPr>
          <w:rtl/>
          <w:lang w:bidi="fa-IR"/>
        </w:rPr>
      </w:pPr>
      <w:r>
        <w:rPr>
          <w:rtl/>
        </w:rPr>
        <w:t>(4).</w:t>
      </w:r>
      <w:r w:rsidRPr="00132E65">
        <w:rPr>
          <w:rtl/>
        </w:rPr>
        <w:t xml:space="preserve"> في « ض » :</w:t>
      </w:r>
      <w:r>
        <w:rPr>
          <w:rtl/>
        </w:rPr>
        <w:t xml:space="preserve"> + </w:t>
      </w:r>
      <w:r w:rsidRPr="00132E65">
        <w:rPr>
          <w:rtl/>
        </w:rPr>
        <w:t>« ثمّ »</w:t>
      </w:r>
      <w:r>
        <w:rPr>
          <w:rtl/>
        </w:rPr>
        <w:t>.</w:t>
      </w:r>
    </w:p>
    <w:p w:rsidR="000C39D1" w:rsidRPr="00132E65" w:rsidRDefault="000C39D1" w:rsidP="000C39D1">
      <w:pPr>
        <w:pStyle w:val="libFootnote0"/>
        <w:rPr>
          <w:rtl/>
          <w:lang w:bidi="fa-IR"/>
        </w:rPr>
      </w:pPr>
      <w:r>
        <w:rPr>
          <w:rtl/>
        </w:rPr>
        <w:t>(5).</w:t>
      </w:r>
      <w:r w:rsidRPr="00132E65">
        <w:rPr>
          <w:rtl/>
        </w:rPr>
        <w:t xml:space="preserve"> في البصائر </w:t>
      </w:r>
      <w:r w:rsidRPr="00B71003">
        <w:rPr>
          <w:rStyle w:val="libFootnoteBoldChar"/>
          <w:rtl/>
        </w:rPr>
        <w:t>والاختصاص</w:t>
      </w:r>
      <w:r w:rsidRPr="00132E65">
        <w:rPr>
          <w:rtl/>
        </w:rPr>
        <w:t xml:space="preserve"> :</w:t>
      </w:r>
      <w:r>
        <w:rPr>
          <w:rtl/>
        </w:rPr>
        <w:t xml:space="preserve"> + </w:t>
      </w:r>
      <w:r w:rsidRPr="00132E65">
        <w:rPr>
          <w:rtl/>
        </w:rPr>
        <w:t>« يوماً »</w:t>
      </w:r>
      <w:r>
        <w:rPr>
          <w:rtl/>
        </w:rPr>
        <w:t>.</w:t>
      </w:r>
      <w:r w:rsidRPr="00132E65">
        <w:rPr>
          <w:rtl/>
        </w:rPr>
        <w:t xml:space="preserve"> </w:t>
      </w:r>
      <w:r>
        <w:rPr>
          <w:rtl/>
        </w:rPr>
        <w:t>و «</w:t>
      </w:r>
      <w:r w:rsidRPr="00132E65">
        <w:rPr>
          <w:rtl/>
        </w:rPr>
        <w:t xml:space="preserve"> بكّرت عليه » ، أي أتيته بُكْرَةً ؛ وهو أوّل النهار. وكلّ من بادر وأسرع‌</w:t>
      </w:r>
      <w:r w:rsidR="00B71003">
        <w:rPr>
          <w:rFonts w:hint="cs"/>
          <w:rtl/>
        </w:rPr>
        <w:t xml:space="preserve"> </w:t>
      </w:r>
      <w:r w:rsidRPr="00132E65">
        <w:rPr>
          <w:rtl/>
        </w:rPr>
        <w:t xml:space="preserve">إلى شي‌ء فقد أبكر عليه وبكّر أيَّ وقت كان. راجع : </w:t>
      </w:r>
      <w:r w:rsidRPr="00B71003">
        <w:rPr>
          <w:rStyle w:val="libFootnoteBoldChar"/>
          <w:rtl/>
        </w:rPr>
        <w:t>النهاية</w:t>
      </w:r>
      <w:r w:rsidRPr="00132E65">
        <w:rPr>
          <w:rtl/>
        </w:rPr>
        <w:t xml:space="preserve"> ، ج 1 ، ص 148 ؛ </w:t>
      </w:r>
      <w:r w:rsidRPr="009D1ACE">
        <w:rPr>
          <w:rStyle w:val="libFootnoteBoldChar"/>
          <w:rtl/>
        </w:rPr>
        <w:t>لسان العرب</w:t>
      </w:r>
      <w:r w:rsidRPr="00132E65">
        <w:rPr>
          <w:rtl/>
        </w:rPr>
        <w:t xml:space="preserve"> ، ج 4 ، ص 76 ( بكر )</w:t>
      </w:r>
      <w:r>
        <w:rPr>
          <w:rtl/>
        </w:rPr>
        <w:t>.</w:t>
      </w:r>
    </w:p>
    <w:p w:rsidR="000C39D1" w:rsidRPr="00132E65" w:rsidRDefault="000C39D1" w:rsidP="000C39D1">
      <w:pPr>
        <w:pStyle w:val="libFootnote0"/>
        <w:rPr>
          <w:rtl/>
          <w:lang w:bidi="fa-IR"/>
        </w:rPr>
      </w:pPr>
      <w:r>
        <w:rPr>
          <w:rtl/>
        </w:rPr>
        <w:t>(6).</w:t>
      </w:r>
      <w:r w:rsidRPr="00132E65">
        <w:rPr>
          <w:rtl/>
        </w:rPr>
        <w:t xml:space="preserve"> « الحَرَسُ » : خَدَمُ السلطان المرتّبون لحفظه وحراسته. راجع : </w:t>
      </w:r>
      <w:r w:rsidRPr="00B71003">
        <w:rPr>
          <w:rStyle w:val="libFootnoteBoldChar"/>
          <w:rtl/>
        </w:rPr>
        <w:t>الصحاح</w:t>
      </w:r>
      <w:r w:rsidRPr="00132E65">
        <w:rPr>
          <w:rtl/>
        </w:rPr>
        <w:t xml:space="preserve"> ، ج 3 ، ص 916 ؛ </w:t>
      </w:r>
      <w:r w:rsidRPr="00B71003">
        <w:rPr>
          <w:rStyle w:val="libFootnoteBoldChar"/>
          <w:rtl/>
        </w:rPr>
        <w:t>النهاية</w:t>
      </w:r>
      <w:r w:rsidRPr="00132E65">
        <w:rPr>
          <w:rtl/>
        </w:rPr>
        <w:t xml:space="preserve"> ، ج 1 ، ص 367 ( حرس )</w:t>
      </w:r>
      <w:r>
        <w:rPr>
          <w:rtl/>
        </w:rPr>
        <w:t>.</w:t>
      </w:r>
    </w:p>
    <w:p w:rsidR="000C39D1" w:rsidRPr="00132E65" w:rsidRDefault="000C39D1" w:rsidP="000C39D1">
      <w:pPr>
        <w:pStyle w:val="libFootnote0"/>
        <w:rPr>
          <w:rtl/>
          <w:lang w:bidi="fa-IR"/>
        </w:rPr>
      </w:pPr>
      <w:r>
        <w:rPr>
          <w:rtl/>
        </w:rPr>
        <w:t>(7).</w:t>
      </w:r>
      <w:r w:rsidRPr="00132E65">
        <w:rPr>
          <w:rtl/>
        </w:rPr>
        <w:t xml:space="preserve"> أي حاضرون مثلاً. وفي الاختصاص :</w:t>
      </w:r>
      <w:r>
        <w:rPr>
          <w:rtl/>
        </w:rPr>
        <w:t xml:space="preserve"> + </w:t>
      </w:r>
      <w:r w:rsidRPr="00132E65">
        <w:rPr>
          <w:rtl/>
        </w:rPr>
        <w:t>« وقد اجتمعوا »</w:t>
      </w:r>
      <w:r>
        <w:rPr>
          <w:rtl/>
        </w:rPr>
        <w:t>.</w:t>
      </w:r>
      <w:r w:rsidRPr="00132E65">
        <w:rPr>
          <w:rtl/>
        </w:rPr>
        <w:t xml:space="preserve"> وفي البصائر : « وخلق عظيم يتفحّصون حاله » بدل « وخلق الله »</w:t>
      </w:r>
      <w:r>
        <w:rPr>
          <w:rtl/>
        </w:rPr>
        <w:t>.</w:t>
      </w:r>
    </w:p>
    <w:tbl>
      <w:tblPr>
        <w:tblStyle w:val="TableGrid"/>
        <w:bidiVisual/>
        <w:tblW w:w="0" w:type="auto"/>
        <w:tblLook w:val="04A0" w:firstRow="1" w:lastRow="0" w:firstColumn="1" w:lastColumn="0" w:noHBand="0" w:noVBand="1"/>
      </w:tblPr>
      <w:tblGrid>
        <w:gridCol w:w="4261"/>
        <w:gridCol w:w="4262"/>
      </w:tblGrid>
      <w:tr w:rsidR="00B71003" w:rsidTr="00B71003">
        <w:tc>
          <w:tcPr>
            <w:tcW w:w="4261" w:type="dxa"/>
          </w:tcPr>
          <w:p w:rsidR="00B71003" w:rsidRDefault="00B71003" w:rsidP="000C39D1">
            <w:pPr>
              <w:pStyle w:val="libFootnote0"/>
              <w:rPr>
                <w:rtl/>
              </w:rPr>
            </w:pPr>
            <w:r>
              <w:rPr>
                <w:rtl/>
              </w:rPr>
              <w:t>(8).</w:t>
            </w:r>
            <w:r w:rsidRPr="00132E65">
              <w:rPr>
                <w:rtl/>
              </w:rPr>
              <w:t xml:space="preserve"> في </w:t>
            </w:r>
            <w:r w:rsidRPr="00B71003">
              <w:rPr>
                <w:rtl/>
              </w:rPr>
              <w:t>الوافي</w:t>
            </w:r>
            <w:r w:rsidRPr="00132E65">
              <w:rPr>
                <w:rtl/>
              </w:rPr>
              <w:t xml:space="preserve"> : « ذا »</w:t>
            </w:r>
            <w:r>
              <w:rPr>
                <w:rtl/>
              </w:rPr>
              <w:t>.</w:t>
            </w:r>
          </w:p>
        </w:tc>
        <w:tc>
          <w:tcPr>
            <w:tcW w:w="4262" w:type="dxa"/>
          </w:tcPr>
          <w:p w:rsidR="00B71003" w:rsidRDefault="00B71003" w:rsidP="000C39D1">
            <w:pPr>
              <w:pStyle w:val="libFootnote0"/>
              <w:rPr>
                <w:rtl/>
              </w:rPr>
            </w:pPr>
            <w:r>
              <w:rPr>
                <w:rtl/>
              </w:rPr>
              <w:t>(9).</w:t>
            </w:r>
            <w:r w:rsidRPr="00132E65">
              <w:rPr>
                <w:rtl/>
              </w:rPr>
              <w:t xml:space="preserve"> في « بر ، بس ، بف » والاختصاص : « فقال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بس » : « فلا ندري »</w:t>
      </w:r>
      <w:r>
        <w:rPr>
          <w:rtl/>
        </w:rPr>
        <w:t>.</w:t>
      </w:r>
    </w:p>
    <w:p w:rsidR="000C39D1" w:rsidRPr="00132E65" w:rsidRDefault="000C39D1" w:rsidP="000C39D1">
      <w:pPr>
        <w:pStyle w:val="libFootnote0"/>
        <w:rPr>
          <w:rtl/>
          <w:lang w:bidi="fa-IR"/>
        </w:rPr>
      </w:pPr>
      <w:r>
        <w:rPr>
          <w:rtl/>
        </w:rPr>
        <w:t>(11).</w:t>
      </w:r>
      <w:r w:rsidRPr="00132E65">
        <w:rPr>
          <w:rtl/>
        </w:rPr>
        <w:t xml:space="preserve"> في « ف » : « أخسف »</w:t>
      </w:r>
      <w:r>
        <w:rPr>
          <w:rtl/>
        </w:rPr>
        <w:t>.</w:t>
      </w:r>
      <w:r w:rsidRPr="00132E65">
        <w:rPr>
          <w:rtl/>
        </w:rPr>
        <w:t xml:space="preserve"> وخسفت به الأرض ، أي ساخ بها وغاب وغار. راجع : </w:t>
      </w:r>
      <w:r w:rsidRPr="009D1ACE">
        <w:rPr>
          <w:rStyle w:val="libFootnoteBoldChar"/>
          <w:rtl/>
        </w:rPr>
        <w:t>لسان العرب</w:t>
      </w:r>
      <w:r w:rsidRPr="00132E65">
        <w:rPr>
          <w:rtl/>
        </w:rPr>
        <w:t xml:space="preserve"> ، ج 9 ، ص 67 ؛ </w:t>
      </w:r>
      <w:r w:rsidRPr="00B71003">
        <w:rPr>
          <w:rStyle w:val="libFootnoteBoldChar"/>
          <w:rtl/>
        </w:rPr>
        <w:t>المصباح المنير</w:t>
      </w:r>
      <w:r w:rsidRPr="00132E65">
        <w:rPr>
          <w:rtl/>
        </w:rPr>
        <w:t xml:space="preserve"> ، ص 169 ( خسف )</w:t>
      </w:r>
      <w:r>
        <w:rPr>
          <w:rtl/>
        </w:rPr>
        <w:t>.</w:t>
      </w:r>
    </w:p>
    <w:p w:rsidR="000C39D1" w:rsidRPr="00132E65" w:rsidRDefault="000C39D1" w:rsidP="000C39D1">
      <w:pPr>
        <w:pStyle w:val="libFootnote0"/>
        <w:rPr>
          <w:rtl/>
          <w:lang w:bidi="fa-IR"/>
        </w:rPr>
      </w:pPr>
      <w:r>
        <w:rPr>
          <w:rtl/>
        </w:rPr>
        <w:t>(12).</w:t>
      </w:r>
      <w:r w:rsidRPr="00132E65">
        <w:rPr>
          <w:rtl/>
        </w:rPr>
        <w:t xml:space="preserve"> في « بر ، بس » والاختصاص : « اختطفته »</w:t>
      </w:r>
      <w:r>
        <w:rPr>
          <w:rtl/>
        </w:rPr>
        <w:t>.</w:t>
      </w:r>
      <w:r w:rsidRPr="00132E65">
        <w:rPr>
          <w:rtl/>
        </w:rPr>
        <w:t xml:space="preserve"> وقوله : « اختطفه » ، أي استلبه وأخذه بسرعة ؛ من الخَطْف ، وهو استلاب الشي‌ء</w:t>
      </w:r>
      <w:r>
        <w:rPr>
          <w:rtl/>
        </w:rPr>
        <w:t xml:space="preserve"> - </w:t>
      </w:r>
      <w:r w:rsidRPr="00132E65">
        <w:rPr>
          <w:rtl/>
        </w:rPr>
        <w:t>أي انتزاعه من الغير قهراً</w:t>
      </w:r>
      <w:r>
        <w:rPr>
          <w:rtl/>
        </w:rPr>
        <w:t xml:space="preserve"> - </w:t>
      </w:r>
      <w:r w:rsidRPr="00132E65">
        <w:rPr>
          <w:rtl/>
        </w:rPr>
        <w:t xml:space="preserve">وأخذه بسرعة. راجع : </w:t>
      </w:r>
      <w:r w:rsidRPr="00B71003">
        <w:rPr>
          <w:rStyle w:val="libFootnoteBoldChar"/>
          <w:rtl/>
        </w:rPr>
        <w:t>النهاية</w:t>
      </w:r>
      <w:r w:rsidRPr="00132E65">
        <w:rPr>
          <w:rtl/>
        </w:rPr>
        <w:t xml:space="preserve"> ، ج 2 ، ص 49 ( خطف )</w:t>
      </w:r>
      <w:r>
        <w:rPr>
          <w:rtl/>
        </w:rPr>
        <w:t>.</w:t>
      </w:r>
    </w:p>
    <w:p w:rsidR="000C39D1" w:rsidRPr="00132E65" w:rsidRDefault="000C39D1" w:rsidP="000C39D1">
      <w:pPr>
        <w:pStyle w:val="libFootnote0"/>
        <w:rPr>
          <w:rtl/>
          <w:lang w:bidi="fa-IR"/>
        </w:rPr>
      </w:pPr>
      <w:r>
        <w:rPr>
          <w:rtl/>
        </w:rPr>
        <w:t>(13)</w:t>
      </w:r>
      <w:r w:rsidRPr="00132E65">
        <w:rPr>
          <w:rtl/>
        </w:rPr>
        <w:t xml:space="preserve"> في </w:t>
      </w:r>
      <w:r w:rsidRPr="00B71003">
        <w:rPr>
          <w:rStyle w:val="libFootnoteBoldChar"/>
          <w:rtl/>
        </w:rPr>
        <w:t>البصائر والاختصاص</w:t>
      </w:r>
      <w:r w:rsidRPr="00132E65">
        <w:rPr>
          <w:rtl/>
        </w:rPr>
        <w:t xml:space="preserve"> :</w:t>
      </w:r>
      <w:r>
        <w:rPr>
          <w:rtl/>
        </w:rPr>
        <w:t xml:space="preserve"> + </w:t>
      </w:r>
      <w:r w:rsidRPr="00132E65">
        <w:rPr>
          <w:rtl/>
        </w:rPr>
        <w:t>« في الهواء »</w:t>
      </w:r>
      <w:r>
        <w:rPr>
          <w:rtl/>
        </w:rPr>
        <w:t>.</w:t>
      </w:r>
    </w:p>
    <w:p w:rsidR="000C39D1" w:rsidRPr="00132E65" w:rsidRDefault="000C39D1" w:rsidP="000C39D1">
      <w:pPr>
        <w:pStyle w:val="libFootnote0"/>
        <w:rPr>
          <w:rtl/>
          <w:lang w:bidi="fa-IR"/>
        </w:rPr>
      </w:pPr>
      <w:r>
        <w:rPr>
          <w:rtl/>
        </w:rPr>
        <w:t>(14)</w:t>
      </w:r>
      <w:r w:rsidRPr="00132E65">
        <w:rPr>
          <w:rtl/>
        </w:rPr>
        <w:t xml:space="preserve"> </w:t>
      </w:r>
      <w:r w:rsidRPr="00B71003">
        <w:rPr>
          <w:rStyle w:val="libFootnoteBoldChar"/>
          <w:rtl/>
        </w:rPr>
        <w:t>الإرشاد</w:t>
      </w:r>
      <w:r w:rsidRPr="00132E65">
        <w:rPr>
          <w:rtl/>
        </w:rPr>
        <w:t xml:space="preserve"> ، ج 2 ، ص 289 ، بسنده عن الكليني. وفي </w:t>
      </w:r>
      <w:r w:rsidRPr="007A1104">
        <w:rPr>
          <w:rStyle w:val="libFootnoteBoldChar"/>
          <w:rtl/>
        </w:rPr>
        <w:t>بصائر الدرجات</w:t>
      </w:r>
      <w:r w:rsidRPr="00132E65">
        <w:rPr>
          <w:rtl/>
        </w:rPr>
        <w:t xml:space="preserve"> ، ص 402 ، ح 1 ؛ </w:t>
      </w:r>
      <w:r w:rsidRPr="00B71003">
        <w:rPr>
          <w:rStyle w:val="libFootnoteBoldChar"/>
          <w:rtl/>
        </w:rPr>
        <w:t>الاختصاص</w:t>
      </w:r>
      <w:r w:rsidRPr="00132E65">
        <w:rPr>
          <w:rtl/>
        </w:rPr>
        <w:t xml:space="preserve"> ، ص 320 ، عن محمّد بن حسّان وفي كلّها مع اختلاف يسير </w:t>
      </w:r>
      <w:r w:rsidR="00B71003">
        <w:rPr>
          <w:rFonts w:hint="cs"/>
          <w:rtl/>
        </w:rPr>
        <w:t>.</w:t>
      </w:r>
      <w:r w:rsidRPr="009D1ACE">
        <w:rPr>
          <w:rStyle w:val="libFootnoteBoldChar"/>
          <w:rtl/>
        </w:rPr>
        <w:t>الوافي</w:t>
      </w:r>
      <w:r w:rsidRPr="00132E65">
        <w:rPr>
          <w:rtl/>
        </w:rPr>
        <w:t xml:space="preserve"> ، ج 3 ، ص 825 ، ح 1434.</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عَبْدُ اللهِ </w:t>
      </w:r>
      <w:r>
        <w:rPr>
          <w:rStyle w:val="libFootnotenumChar"/>
          <w:rtl/>
        </w:rPr>
        <w:t>(1)</w:t>
      </w:r>
      <w:r w:rsidRPr="00132E65">
        <w:rPr>
          <w:rtl/>
          <w:lang w:bidi="fa-IR"/>
        </w:rPr>
        <w:t xml:space="preserve"> بْنُ رَزِينٍ</w:t>
      </w:r>
      <w:r>
        <w:rPr>
          <w:rtl/>
          <w:lang w:bidi="fa-IR"/>
        </w:rPr>
        <w:t xml:space="preserve"> - </w:t>
      </w:r>
      <w:r w:rsidRPr="00132E65">
        <w:rPr>
          <w:rtl/>
          <w:lang w:bidi="fa-IR"/>
        </w:rPr>
        <w:t>قَالَ :</w:t>
      </w:r>
    </w:p>
    <w:p w:rsidR="000C39D1" w:rsidRPr="00132E65" w:rsidRDefault="000C39D1" w:rsidP="000C39D1">
      <w:pPr>
        <w:pStyle w:val="libNormal"/>
        <w:rPr>
          <w:rtl/>
          <w:lang w:bidi="fa-IR"/>
        </w:rPr>
      </w:pPr>
      <w:r w:rsidRPr="00132E65">
        <w:rPr>
          <w:rtl/>
          <w:lang w:bidi="fa-IR"/>
        </w:rPr>
        <w:t>كُنْتُ مُجَاوِراً بِالْمَدِينَةِ</w:t>
      </w:r>
      <w:r>
        <w:rPr>
          <w:rtl/>
          <w:lang w:bidi="fa-IR"/>
        </w:rPr>
        <w:t xml:space="preserve"> - </w:t>
      </w:r>
      <w:r w:rsidRPr="00132E65">
        <w:rPr>
          <w:rtl/>
          <w:lang w:bidi="fa-IR"/>
        </w:rPr>
        <w:t xml:space="preserve">مَدِينَةِ الرَّسُولِ </w:t>
      </w:r>
      <w:r w:rsidRPr="0093484F">
        <w:rPr>
          <w:rStyle w:val="libAlaemChar"/>
          <w:rFonts w:eastAsiaTheme="minorHAnsi"/>
          <w:rtl/>
        </w:rPr>
        <w:t>صلى‌الله‌عليه‌وآله</w:t>
      </w:r>
      <w:r w:rsidRPr="00132E65">
        <w:rPr>
          <w:rtl/>
          <w:lang w:bidi="fa-IR"/>
        </w:rPr>
        <w:t xml:space="preserve"> </w:t>
      </w:r>
      <w:r>
        <w:rPr>
          <w:rtl/>
          <w:lang w:bidi="fa-IR"/>
        </w:rPr>
        <w:t xml:space="preserve">- </w:t>
      </w:r>
      <w:r w:rsidRPr="00132E65">
        <w:rPr>
          <w:rtl/>
          <w:lang w:bidi="fa-IR"/>
        </w:rPr>
        <w:t>و</w:t>
      </w:r>
      <w:r w:rsidR="00B71003">
        <w:rPr>
          <w:rFonts w:hint="cs"/>
          <w:rtl/>
          <w:lang w:bidi="fa-IR"/>
        </w:rPr>
        <w:t>َ</w:t>
      </w:r>
      <w:r w:rsidRPr="00132E65">
        <w:rPr>
          <w:rtl/>
          <w:lang w:bidi="fa-IR"/>
        </w:rPr>
        <w:t xml:space="preserve">كَانَ أَبُو جَعْفَرٍ </w:t>
      </w:r>
      <w:r w:rsidRPr="00071CF9">
        <w:rPr>
          <w:rStyle w:val="libAlaemChar"/>
          <w:rtl/>
        </w:rPr>
        <w:t>عليه‌السلام</w:t>
      </w:r>
      <w:r w:rsidRPr="00132E65">
        <w:rPr>
          <w:rtl/>
          <w:lang w:bidi="fa-IR"/>
        </w:rPr>
        <w:t xml:space="preserve"> يَجِي‌ءُ فِي كُلِّ يَوْمٍ مَعَ الزَّوَالِ إِلَى الْمَسْجِدِ ، فَيَنْزِلُ فِي الصَّحْنِ </w:t>
      </w:r>
      <w:r>
        <w:rPr>
          <w:rStyle w:val="libFootnotenumChar"/>
          <w:rtl/>
        </w:rPr>
        <w:t>(2)</w:t>
      </w:r>
      <w:r w:rsidRPr="00132E65">
        <w:rPr>
          <w:rtl/>
          <w:lang w:bidi="fa-IR"/>
        </w:rPr>
        <w:t xml:space="preserve"> ، و</w:t>
      </w:r>
      <w:r w:rsidR="00B71003">
        <w:rPr>
          <w:rFonts w:hint="cs"/>
          <w:rtl/>
          <w:lang w:bidi="fa-IR"/>
        </w:rPr>
        <w:t>َ</w:t>
      </w:r>
      <w:r w:rsidRPr="00132E65">
        <w:rPr>
          <w:rtl/>
          <w:lang w:bidi="fa-IR"/>
        </w:rPr>
        <w:t xml:space="preserve">يَصِيرُ إِلى رَسُولِ اللهِ </w:t>
      </w:r>
      <w:r w:rsidRPr="0093484F">
        <w:rPr>
          <w:rStyle w:val="libAlaemChar"/>
          <w:rFonts w:eastAsiaTheme="minorHAnsi"/>
          <w:rtl/>
        </w:rPr>
        <w:t>صلى‌الله‌عليه‌وآله</w:t>
      </w:r>
      <w:r w:rsidRPr="00132E65">
        <w:rPr>
          <w:rtl/>
          <w:lang w:bidi="fa-IR"/>
        </w:rPr>
        <w:t xml:space="preserve"> ، و</w:t>
      </w:r>
      <w:r w:rsidR="00B71003">
        <w:rPr>
          <w:rFonts w:hint="cs"/>
          <w:rtl/>
          <w:lang w:bidi="fa-IR"/>
        </w:rPr>
        <w:t>َ</w:t>
      </w:r>
      <w:r w:rsidRPr="00132E65">
        <w:rPr>
          <w:rtl/>
          <w:lang w:bidi="fa-IR"/>
        </w:rPr>
        <w:t xml:space="preserve">يُسَلِّمُ عَلَيْهِ </w:t>
      </w:r>
      <w:r>
        <w:rPr>
          <w:rStyle w:val="libFootnotenumChar"/>
          <w:rtl/>
        </w:rPr>
        <w:t>(3)</w:t>
      </w:r>
      <w:r w:rsidRPr="00132E65">
        <w:rPr>
          <w:rtl/>
          <w:lang w:bidi="fa-IR"/>
        </w:rPr>
        <w:t xml:space="preserve"> ، و</w:t>
      </w:r>
      <w:r w:rsidR="00B71003">
        <w:rPr>
          <w:rFonts w:hint="cs"/>
          <w:rtl/>
          <w:lang w:bidi="fa-IR"/>
        </w:rPr>
        <w:t>َ</w:t>
      </w:r>
      <w:r w:rsidRPr="00132E65">
        <w:rPr>
          <w:rtl/>
          <w:lang w:bidi="fa-IR"/>
        </w:rPr>
        <w:t xml:space="preserve">يَرْجِعُ إِلى بَيْتِ فَاطِمَةَ </w:t>
      </w:r>
      <w:r w:rsidRPr="00071CF9">
        <w:rPr>
          <w:rStyle w:val="libAlaemChar"/>
          <w:rtl/>
        </w:rPr>
        <w:t>عليها‌السلام</w:t>
      </w:r>
      <w:r w:rsidRPr="00132E65">
        <w:rPr>
          <w:rtl/>
          <w:lang w:bidi="fa-IR"/>
        </w:rPr>
        <w:t xml:space="preserve"> ، فَيَخْلَعُ نَعْلَيْهِ ، و</w:t>
      </w:r>
      <w:r w:rsidR="00B71003">
        <w:rPr>
          <w:rFonts w:hint="cs"/>
          <w:rtl/>
          <w:lang w:bidi="fa-IR"/>
        </w:rPr>
        <w:t>َ</w:t>
      </w:r>
      <w:r w:rsidRPr="00132E65">
        <w:rPr>
          <w:rtl/>
          <w:lang w:bidi="fa-IR"/>
        </w:rPr>
        <w:t xml:space="preserve">يَقُومُ ، فَيُصَلِّي ، فَوَسْوَسَ إِلَيَّ الشَّيْطَانُ ، فَقَالَ : إِذَا نَزَلَ ، فَاذْهَبْ حَتّى تَأْخُذَ مِنَ </w:t>
      </w:r>
      <w:r>
        <w:rPr>
          <w:rStyle w:val="libFootnotenumChar"/>
          <w:rtl/>
        </w:rPr>
        <w:t>(4)</w:t>
      </w:r>
      <w:r w:rsidRPr="00132E65">
        <w:rPr>
          <w:rtl/>
          <w:lang w:bidi="fa-IR"/>
        </w:rPr>
        <w:t xml:space="preserve"> التُّرَابِ الَّذِي يَطَأُ عَلَيْهِ ، فَجَلَسْتُ </w:t>
      </w:r>
      <w:r>
        <w:rPr>
          <w:rStyle w:val="libFootnotenumChar"/>
          <w:rtl/>
        </w:rPr>
        <w:t>(5)</w:t>
      </w:r>
      <w:r w:rsidRPr="00132E65">
        <w:rPr>
          <w:rtl/>
          <w:lang w:bidi="fa-IR"/>
        </w:rPr>
        <w:t xml:space="preserve"> فِي ذلِكَ الْيَوْمِ أَنْتَظِرُهُ لِأَفْعَلَ هذَا.</w:t>
      </w:r>
    </w:p>
    <w:p w:rsidR="000C39D1" w:rsidRPr="00132E65" w:rsidRDefault="000C39D1" w:rsidP="009E29DE">
      <w:pPr>
        <w:pStyle w:val="libNormal"/>
        <w:rPr>
          <w:rtl/>
          <w:lang w:bidi="fa-IR"/>
        </w:rPr>
      </w:pPr>
      <w:r w:rsidRPr="00132E65">
        <w:rPr>
          <w:rtl/>
          <w:lang w:bidi="fa-IR"/>
        </w:rPr>
        <w:t>فَلَمَّا أَنْ كَانَ و</w:t>
      </w:r>
      <w:r w:rsidR="00B71003">
        <w:rPr>
          <w:rFonts w:hint="cs"/>
          <w:rtl/>
          <w:lang w:bidi="fa-IR"/>
        </w:rPr>
        <w:t>َ</w:t>
      </w:r>
      <w:r w:rsidRPr="00132E65">
        <w:rPr>
          <w:rtl/>
          <w:lang w:bidi="fa-IR"/>
        </w:rPr>
        <w:t xml:space="preserve">قْتُ الزَّوَالِ أَقْبَلَ </w:t>
      </w:r>
      <w:r w:rsidRPr="00071CF9">
        <w:rPr>
          <w:rStyle w:val="libAlaemChar"/>
          <w:rtl/>
        </w:rPr>
        <w:t>عليه‌السلام</w:t>
      </w:r>
      <w:r w:rsidRPr="00132E65">
        <w:rPr>
          <w:rtl/>
          <w:lang w:bidi="fa-IR"/>
        </w:rPr>
        <w:t xml:space="preserve"> عَلى حِمَارٍ لَهُ ، فَلَمْ يَنْزِلْ فِي الْمَوْضِعِ الَّذِي كَانَ يَنْزِلُ فِيهِ ، و</w:t>
      </w:r>
      <w:r w:rsidR="009E29DE">
        <w:rPr>
          <w:rFonts w:hint="cs"/>
          <w:rtl/>
          <w:lang w:bidi="fa-IR"/>
        </w:rPr>
        <w:t>َ</w:t>
      </w:r>
      <w:r w:rsidRPr="00132E65">
        <w:rPr>
          <w:rtl/>
          <w:lang w:bidi="fa-IR"/>
        </w:rPr>
        <w:t xml:space="preserve">جَاءَ حَتّى نَزَلَ عَلَى الصَّخْرَةِ الَّتِي عَلى بَابِ الْمَسْجِدِ ، ثُمَّ دَخَلَ ، فَسَلَّمَ عَلى رَسُولِ اللهِ </w:t>
      </w:r>
      <w:r w:rsidRPr="0093484F">
        <w:rPr>
          <w:rStyle w:val="libAlaemChar"/>
          <w:rFonts w:eastAsiaTheme="minorHAnsi"/>
          <w:rtl/>
        </w:rPr>
        <w:t>صلى‌الله‌عليه‌وآله</w:t>
      </w:r>
      <w:r w:rsidRPr="00132E65">
        <w:rPr>
          <w:rtl/>
          <w:lang w:bidi="fa-IR"/>
        </w:rPr>
        <w:t xml:space="preserve"> ، قَالَ </w:t>
      </w:r>
      <w:r>
        <w:rPr>
          <w:rStyle w:val="libFootnotenumChar"/>
          <w:rtl/>
        </w:rPr>
        <w:t>(6)</w:t>
      </w:r>
      <w:r w:rsidRPr="00132E65">
        <w:rPr>
          <w:rtl/>
          <w:lang w:bidi="fa-IR"/>
        </w:rPr>
        <w:t xml:space="preserve"> : ثُمَّ رَجَعَ إِلَى الْمَكَانِ الَّذِي كَانَ يُصَلِّي فِيهِ ، فَفَعَلَ هذَا </w:t>
      </w:r>
      <w:r>
        <w:rPr>
          <w:rStyle w:val="libFootnotenumChar"/>
          <w:rtl/>
        </w:rPr>
        <w:t>(7)</w:t>
      </w:r>
      <w:r w:rsidRPr="00132E65">
        <w:rPr>
          <w:rtl/>
          <w:lang w:bidi="fa-IR"/>
        </w:rPr>
        <w:t xml:space="preserve"> أَيَّاماً ، فَقُلْتُ : إِذَا خَلَعَ نَعْلَيْهِ جِئْتُ فَأَخَذْتُ الْحَصَى </w:t>
      </w:r>
      <w:r>
        <w:rPr>
          <w:rStyle w:val="libFootnotenumChar"/>
          <w:rtl/>
        </w:rPr>
        <w:t>(8)</w:t>
      </w:r>
      <w:r w:rsidRPr="00132E65">
        <w:rPr>
          <w:rtl/>
          <w:lang w:bidi="fa-IR"/>
        </w:rPr>
        <w:t xml:space="preserve"> الَّذِي </w:t>
      </w:r>
      <w:r>
        <w:rPr>
          <w:rStyle w:val="libFootnotenumChar"/>
          <w:rtl/>
        </w:rPr>
        <w:t>(9)</w:t>
      </w:r>
      <w:r w:rsidRPr="00132E65">
        <w:rPr>
          <w:rtl/>
          <w:lang w:bidi="fa-IR"/>
        </w:rPr>
        <w:t xml:space="preserve"> يَطَأُ عَلَيْهِ بِقَدَمَيْهِ.</w:t>
      </w:r>
    </w:p>
    <w:p w:rsidR="000C39D1" w:rsidRPr="00132E65" w:rsidRDefault="000C39D1" w:rsidP="000C39D1">
      <w:pPr>
        <w:pStyle w:val="libNormal"/>
        <w:rPr>
          <w:rtl/>
          <w:lang w:bidi="fa-IR"/>
        </w:rPr>
      </w:pPr>
      <w:r w:rsidRPr="00132E65">
        <w:rPr>
          <w:rtl/>
          <w:lang w:bidi="fa-IR"/>
        </w:rPr>
        <w:t xml:space="preserve">فَلَمَّا أَنْ كَانَ مِنَ الْغَدِ ، جَاءَ عِنْدَ الزَّوَالِ ، فَنَزَلَ عَلَى الصَّخْرَةِ ، ثُمَّ دَخَلَ ، فَسَلَّمَ عَلى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(10)</w:t>
      </w:r>
      <w:r w:rsidRPr="00132E65">
        <w:rPr>
          <w:rtl/>
          <w:lang w:bidi="fa-IR"/>
        </w:rPr>
        <w:t xml:space="preserve"> ، ثُمَّ جَاءَ إِلَى الْمَوْضِعِ </w:t>
      </w:r>
      <w:r>
        <w:rPr>
          <w:rStyle w:val="libFootnotenumChar"/>
          <w:rtl/>
        </w:rPr>
        <w:t>(11)</w:t>
      </w:r>
      <w:r w:rsidRPr="00132E65">
        <w:rPr>
          <w:rtl/>
          <w:lang w:bidi="fa-IR"/>
        </w:rPr>
        <w:t xml:space="preserve"> الَّذِي كَانَ يُصَلِّي فِيهِ ، فَصَلّى فِي نَعْلَيْهِ و</w:t>
      </w:r>
      <w:r w:rsidR="009E29DE">
        <w:rPr>
          <w:rFonts w:hint="cs"/>
          <w:rtl/>
          <w:lang w:bidi="fa-IR"/>
        </w:rPr>
        <w:t>َ</w:t>
      </w:r>
      <w:r w:rsidRPr="00132E65">
        <w:rPr>
          <w:rtl/>
          <w:lang w:bidi="fa-IR"/>
        </w:rPr>
        <w:t>لَمْ يَخْلَعْهُمَا ، حَتّى فَعَلَ ذلِكَ أَيَّاماً ، فَقُلْتُ فِي نَفْسِي : لَمْ يَتَهَيَّأْ لِي هاهُنَا ، و</w:t>
      </w:r>
      <w:r w:rsidR="009E29DE">
        <w:rPr>
          <w:rFonts w:hint="cs"/>
          <w:rtl/>
          <w:lang w:bidi="fa-IR"/>
        </w:rPr>
        <w:t>َ</w:t>
      </w:r>
      <w:r w:rsidRPr="00132E65">
        <w:rPr>
          <w:rtl/>
          <w:lang w:bidi="fa-IR"/>
        </w:rPr>
        <w:t xml:space="preserve">لكِنْ </w:t>
      </w:r>
      <w:r>
        <w:rPr>
          <w:rStyle w:val="libFootnotenumChar"/>
          <w:rtl/>
        </w:rPr>
        <w:t>(12)</w:t>
      </w:r>
      <w:r w:rsidRPr="00132E65">
        <w:rPr>
          <w:rtl/>
          <w:lang w:bidi="fa-IR"/>
        </w:rPr>
        <w:t xml:space="preserve"> أَذْهَبُ إِلى بَابِ الْحَمَّامِ ، فَإِذَا دَخَلَ إِلَى </w:t>
      </w:r>
      <w:r w:rsidRPr="00F543F1">
        <w:rPr>
          <w:rStyle w:val="libFootnotenumChar"/>
          <w:rtl/>
        </w:rPr>
        <w:t>(13)</w:t>
      </w:r>
      <w:r w:rsidRPr="00132E65">
        <w:rPr>
          <w:rtl/>
          <w:lang w:bidi="fa-IR"/>
        </w:rPr>
        <w:t xml:space="preserve"> الْحَمَّامِ أَخَذْتُ مِنَ التُّرَابِ الَّذِي يَطَأُ عَلَيْهِ ، فَسَأَلْتُ عَنِ الْحَمَّامِ الَّذِي يَدْخُلُهُ </w:t>
      </w:r>
      <w:r w:rsidRPr="00F543F1">
        <w:rPr>
          <w:rStyle w:val="libFootnotenumChar"/>
          <w:rtl/>
        </w:rPr>
        <w:t>(14)</w:t>
      </w:r>
      <w:r w:rsidRPr="00132E65">
        <w:rPr>
          <w:rtl/>
          <w:lang w:bidi="fa-IR"/>
        </w:rPr>
        <w:t xml:space="preserve"> ، فَقِيلَ لِي : إِنَّهُ يَدْخُلُ حَمَّاماً بِالْبَقِيعِ لِرَجُلٍ مِنْ ولْدِ‌</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9E29DE" w:rsidTr="009E29DE">
        <w:tc>
          <w:tcPr>
            <w:tcW w:w="4261" w:type="dxa"/>
          </w:tcPr>
          <w:p w:rsidR="009E29DE" w:rsidRDefault="009E29DE" w:rsidP="000C39D1">
            <w:pPr>
              <w:pStyle w:val="libFootnote0"/>
              <w:rPr>
                <w:rtl/>
              </w:rPr>
            </w:pPr>
            <w:r>
              <w:rPr>
                <w:rtl/>
              </w:rPr>
              <w:t>(1).</w:t>
            </w:r>
            <w:r w:rsidRPr="00132E65">
              <w:rPr>
                <w:rtl/>
              </w:rPr>
              <w:t xml:space="preserve"> في حاشية « بر » : « عبد الملك »</w:t>
            </w:r>
            <w:r>
              <w:rPr>
                <w:rtl/>
              </w:rPr>
              <w:t>.</w:t>
            </w:r>
          </w:p>
        </w:tc>
        <w:tc>
          <w:tcPr>
            <w:tcW w:w="4262" w:type="dxa"/>
          </w:tcPr>
          <w:p w:rsidR="009E29DE" w:rsidRDefault="009E29DE" w:rsidP="000C39D1">
            <w:pPr>
              <w:pStyle w:val="libFootnote0"/>
              <w:rPr>
                <w:rtl/>
              </w:rPr>
            </w:pPr>
            <w:r>
              <w:rPr>
                <w:rtl/>
              </w:rPr>
              <w:t>(2).</w:t>
            </w:r>
            <w:r w:rsidRPr="00132E65">
              <w:rPr>
                <w:rtl/>
              </w:rPr>
              <w:t xml:space="preserve"> في حاشية « ف » : « الصخرة »</w:t>
            </w:r>
            <w:r>
              <w:rPr>
                <w:rtl/>
              </w:rPr>
              <w:t>.</w:t>
            </w:r>
          </w:p>
        </w:tc>
      </w:tr>
      <w:tr w:rsidR="009E29DE" w:rsidTr="009E29DE">
        <w:tc>
          <w:tcPr>
            <w:tcW w:w="4261" w:type="dxa"/>
          </w:tcPr>
          <w:p w:rsidR="009E29DE" w:rsidRDefault="009E29DE" w:rsidP="000C39D1">
            <w:pPr>
              <w:pStyle w:val="libFootnote0"/>
              <w:rPr>
                <w:rtl/>
              </w:rPr>
            </w:pPr>
            <w:r>
              <w:rPr>
                <w:rtl/>
              </w:rPr>
              <w:t>(3).</w:t>
            </w:r>
            <w:r w:rsidRPr="00132E65">
              <w:rPr>
                <w:rtl/>
              </w:rPr>
              <w:t xml:space="preserve"> في « ض » </w:t>
            </w:r>
            <w:r>
              <w:rPr>
                <w:rtl/>
              </w:rPr>
              <w:t xml:space="preserve">: - </w:t>
            </w:r>
            <w:r w:rsidRPr="00132E65">
              <w:rPr>
                <w:rtl/>
              </w:rPr>
              <w:t>« ويسلّم عليه »</w:t>
            </w:r>
            <w:r>
              <w:rPr>
                <w:rtl/>
              </w:rPr>
              <w:t>.</w:t>
            </w:r>
          </w:p>
        </w:tc>
        <w:tc>
          <w:tcPr>
            <w:tcW w:w="4262" w:type="dxa"/>
          </w:tcPr>
          <w:p w:rsidR="009E29DE" w:rsidRDefault="009E29DE" w:rsidP="000C39D1">
            <w:pPr>
              <w:pStyle w:val="libFootnote0"/>
              <w:rPr>
                <w:rtl/>
              </w:rPr>
            </w:pPr>
            <w:r>
              <w:rPr>
                <w:rtl/>
              </w:rPr>
              <w:t>(4).</w:t>
            </w:r>
            <w:r w:rsidRPr="00132E65">
              <w:rPr>
                <w:rtl/>
              </w:rPr>
              <w:t xml:space="preserve"> في « ف » </w:t>
            </w:r>
            <w:r>
              <w:rPr>
                <w:rtl/>
              </w:rPr>
              <w:t xml:space="preserve">: - </w:t>
            </w:r>
            <w:r w:rsidRPr="00132E65">
              <w:rPr>
                <w:rtl/>
              </w:rPr>
              <w:t>« من »</w:t>
            </w:r>
            <w:r>
              <w:rPr>
                <w:rtl/>
              </w:rPr>
              <w:t>.</w:t>
            </w:r>
          </w:p>
        </w:tc>
      </w:tr>
      <w:tr w:rsidR="009E29DE" w:rsidTr="009E29DE">
        <w:tc>
          <w:tcPr>
            <w:tcW w:w="4261" w:type="dxa"/>
          </w:tcPr>
          <w:p w:rsidR="009E29DE" w:rsidRDefault="009E29DE" w:rsidP="000C39D1">
            <w:pPr>
              <w:pStyle w:val="libFootnote0"/>
              <w:rPr>
                <w:rtl/>
              </w:rPr>
            </w:pPr>
            <w:r>
              <w:rPr>
                <w:rtl/>
              </w:rPr>
              <w:t>(5).</w:t>
            </w:r>
            <w:r w:rsidRPr="00132E65">
              <w:rPr>
                <w:rtl/>
              </w:rPr>
              <w:t xml:space="preserve"> في « ف ، بر » : « فجعلت »</w:t>
            </w:r>
            <w:r>
              <w:rPr>
                <w:rtl/>
              </w:rPr>
              <w:t>.</w:t>
            </w:r>
          </w:p>
        </w:tc>
        <w:tc>
          <w:tcPr>
            <w:tcW w:w="4262" w:type="dxa"/>
          </w:tcPr>
          <w:p w:rsidR="009E29DE" w:rsidRDefault="009E29DE" w:rsidP="000C39D1">
            <w:pPr>
              <w:pStyle w:val="libFootnote0"/>
              <w:rPr>
                <w:rtl/>
              </w:rPr>
            </w:pPr>
            <w:r>
              <w:rPr>
                <w:rtl/>
              </w:rPr>
              <w:t>(6).</w:t>
            </w:r>
            <w:r w:rsidRPr="00132E65">
              <w:rPr>
                <w:rtl/>
              </w:rPr>
              <w:t xml:space="preserve"> في « ج ، ف ، بف » </w:t>
            </w:r>
            <w:r>
              <w:rPr>
                <w:rtl/>
              </w:rPr>
              <w:t xml:space="preserve">: - </w:t>
            </w:r>
            <w:r w:rsidRPr="00132E65">
              <w:rPr>
                <w:rtl/>
              </w:rPr>
              <w:t>« قال »</w:t>
            </w:r>
            <w:r>
              <w:rPr>
                <w:rtl/>
              </w:rPr>
              <w:t>.</w:t>
            </w:r>
          </w:p>
        </w:tc>
      </w:tr>
      <w:tr w:rsidR="009E29DE" w:rsidTr="009E29DE">
        <w:tc>
          <w:tcPr>
            <w:tcW w:w="4261" w:type="dxa"/>
          </w:tcPr>
          <w:p w:rsidR="009E29DE" w:rsidRDefault="009E29DE" w:rsidP="000C39D1">
            <w:pPr>
              <w:pStyle w:val="libFootnote0"/>
              <w:rPr>
                <w:rtl/>
              </w:rPr>
            </w:pPr>
            <w:r>
              <w:rPr>
                <w:rtl/>
              </w:rPr>
              <w:t>(7).</w:t>
            </w:r>
            <w:r w:rsidRPr="00132E65">
              <w:rPr>
                <w:rtl/>
              </w:rPr>
              <w:t xml:space="preserve"> في « ج ، بر ، بف » : « ذلك »</w:t>
            </w:r>
            <w:r>
              <w:rPr>
                <w:rtl/>
              </w:rPr>
              <w:t>.</w:t>
            </w:r>
          </w:p>
        </w:tc>
        <w:tc>
          <w:tcPr>
            <w:tcW w:w="4262" w:type="dxa"/>
          </w:tcPr>
          <w:p w:rsidR="009E29DE" w:rsidRDefault="009E29DE" w:rsidP="000C39D1">
            <w:pPr>
              <w:pStyle w:val="libFootnote0"/>
              <w:rPr>
                <w:rtl/>
              </w:rPr>
            </w:pPr>
            <w:r>
              <w:rPr>
                <w:rtl/>
              </w:rPr>
              <w:t>(8).</w:t>
            </w:r>
            <w:r w:rsidRPr="00132E65">
              <w:rPr>
                <w:rtl/>
              </w:rPr>
              <w:t xml:space="preserve"> في « ب » : « الحصاة »</w:t>
            </w:r>
            <w:r>
              <w:rPr>
                <w:rtl/>
              </w:rPr>
              <w:t>.</w:t>
            </w:r>
          </w:p>
        </w:tc>
      </w:tr>
    </w:tbl>
    <w:p w:rsidR="000C39D1" w:rsidRPr="00132E65" w:rsidRDefault="000C39D1" w:rsidP="000C39D1">
      <w:pPr>
        <w:pStyle w:val="libFootnote0"/>
        <w:rPr>
          <w:rtl/>
          <w:lang w:bidi="fa-IR"/>
        </w:rPr>
      </w:pPr>
      <w:r>
        <w:rPr>
          <w:rtl/>
        </w:rPr>
        <w:t>(9).</w:t>
      </w:r>
      <w:r w:rsidRPr="00132E65">
        <w:rPr>
          <w:rtl/>
        </w:rPr>
        <w:t xml:space="preserve"> في « ج » : « التي »</w:t>
      </w:r>
      <w:r>
        <w:rPr>
          <w:rtl/>
        </w:rPr>
        <w:t>.</w:t>
      </w:r>
      <w:r w:rsidRPr="00132E65">
        <w:rPr>
          <w:rtl/>
        </w:rPr>
        <w:t xml:space="preserve"> لأنّ الحصى جنس.</w:t>
      </w:r>
    </w:p>
    <w:p w:rsidR="000C39D1" w:rsidRPr="00132E65" w:rsidRDefault="000C39D1" w:rsidP="000C39D1">
      <w:pPr>
        <w:pStyle w:val="libFootnote0"/>
        <w:rPr>
          <w:rtl/>
          <w:lang w:bidi="fa-IR"/>
        </w:rPr>
      </w:pPr>
      <w:r>
        <w:rPr>
          <w:rtl/>
        </w:rPr>
        <w:t>(10).</w:t>
      </w:r>
      <w:r w:rsidRPr="00132E65">
        <w:rPr>
          <w:rtl/>
        </w:rPr>
        <w:t xml:space="preserve"> في « بح » </w:t>
      </w:r>
      <w:r>
        <w:rPr>
          <w:rtl/>
        </w:rPr>
        <w:t xml:space="preserve">: - </w:t>
      </w:r>
      <w:r w:rsidRPr="00132E65">
        <w:rPr>
          <w:rtl/>
        </w:rPr>
        <w:t>« ثمّ رجع إلى المكان</w:t>
      </w:r>
      <w:r>
        <w:rPr>
          <w:rtl/>
        </w:rPr>
        <w:t xml:space="preserve"> - </w:t>
      </w:r>
      <w:r w:rsidRPr="00132E65">
        <w:rPr>
          <w:rtl/>
        </w:rPr>
        <w:t>إلى</w:t>
      </w:r>
      <w:r>
        <w:rPr>
          <w:rtl/>
        </w:rPr>
        <w:t xml:space="preserve"> - </w:t>
      </w:r>
      <w:r w:rsidRPr="00132E65">
        <w:rPr>
          <w:rtl/>
        </w:rPr>
        <w:t xml:space="preserve">فسلّم على رسول الله </w:t>
      </w:r>
      <w:r w:rsidRPr="009E29DE">
        <w:rPr>
          <w:rStyle w:val="libFootnoteAlaemChar"/>
          <w:rFonts w:eastAsiaTheme="minorHAnsi"/>
          <w:rtl/>
        </w:rPr>
        <w:t>صلى‌الله‌عليه‌وآله</w:t>
      </w:r>
      <w:r w:rsidRPr="00132E65">
        <w:rPr>
          <w:rtl/>
          <w:lang w:bidi="fa-IR"/>
        </w:rPr>
        <w:t xml:space="preserve"> </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9E29DE" w:rsidTr="009E29DE">
        <w:tc>
          <w:tcPr>
            <w:tcW w:w="4261" w:type="dxa"/>
          </w:tcPr>
          <w:p w:rsidR="009E29DE" w:rsidRDefault="009E29DE" w:rsidP="000C39D1">
            <w:pPr>
              <w:pStyle w:val="libFootnote0"/>
              <w:rPr>
                <w:rtl/>
              </w:rPr>
            </w:pPr>
            <w:r>
              <w:rPr>
                <w:rtl/>
              </w:rPr>
              <w:t>(11).</w:t>
            </w:r>
            <w:r w:rsidRPr="00132E65">
              <w:rPr>
                <w:rtl/>
              </w:rPr>
              <w:t xml:space="preserve"> في حاشية « بح » : « المكان »</w:t>
            </w:r>
            <w:r>
              <w:rPr>
                <w:rtl/>
              </w:rPr>
              <w:t>.</w:t>
            </w:r>
          </w:p>
        </w:tc>
        <w:tc>
          <w:tcPr>
            <w:tcW w:w="4262" w:type="dxa"/>
          </w:tcPr>
          <w:p w:rsidR="009E29DE" w:rsidRDefault="009E29DE" w:rsidP="000C39D1">
            <w:pPr>
              <w:pStyle w:val="libFootnote0"/>
              <w:rPr>
                <w:rtl/>
              </w:rPr>
            </w:pPr>
            <w:r>
              <w:rPr>
                <w:rtl/>
              </w:rPr>
              <w:t>(12).</w:t>
            </w:r>
            <w:r w:rsidRPr="00132E65">
              <w:rPr>
                <w:rtl/>
              </w:rPr>
              <w:t xml:space="preserve"> في حاشية « بح » : « لكنّي » بدون الواو.</w:t>
            </w:r>
          </w:p>
        </w:tc>
      </w:tr>
      <w:tr w:rsidR="009E29DE" w:rsidTr="009E29DE">
        <w:tc>
          <w:tcPr>
            <w:tcW w:w="4261" w:type="dxa"/>
          </w:tcPr>
          <w:p w:rsidR="009E29DE" w:rsidRDefault="009E29DE" w:rsidP="000C39D1">
            <w:pPr>
              <w:pStyle w:val="libFootnote0"/>
              <w:rPr>
                <w:rtl/>
              </w:rPr>
            </w:pPr>
            <w:r>
              <w:rPr>
                <w:rtl/>
              </w:rPr>
              <w:t>(13) في</w:t>
            </w:r>
            <w:r w:rsidRPr="00132E65">
              <w:rPr>
                <w:rtl/>
              </w:rPr>
              <w:t>« ب ، ج ،</w:t>
            </w:r>
            <w:r>
              <w:rPr>
                <w:rtl/>
              </w:rPr>
              <w:t xml:space="preserve"> ض ، ف ، بر</w:t>
            </w:r>
            <w:r w:rsidRPr="00132E65">
              <w:rPr>
                <w:rtl/>
              </w:rPr>
              <w:t xml:space="preserve">» والبحار </w:t>
            </w:r>
            <w:r>
              <w:rPr>
                <w:rtl/>
              </w:rPr>
              <w:t xml:space="preserve">: - </w:t>
            </w:r>
            <w:r w:rsidRPr="00132E65">
              <w:rPr>
                <w:rtl/>
              </w:rPr>
              <w:t>« إلى »</w:t>
            </w:r>
            <w:r>
              <w:rPr>
                <w:rtl/>
              </w:rPr>
              <w:t>.</w:t>
            </w:r>
          </w:p>
        </w:tc>
        <w:tc>
          <w:tcPr>
            <w:tcW w:w="4262" w:type="dxa"/>
          </w:tcPr>
          <w:p w:rsidR="009E29DE" w:rsidRDefault="009E29DE" w:rsidP="000C39D1">
            <w:pPr>
              <w:pStyle w:val="libFootnote0"/>
              <w:rPr>
                <w:rtl/>
              </w:rPr>
            </w:pPr>
            <w:r>
              <w:rPr>
                <w:rtl/>
              </w:rPr>
              <w:t>(14)</w:t>
            </w:r>
            <w:r w:rsidRPr="00132E65">
              <w:rPr>
                <w:rtl/>
              </w:rPr>
              <w:t xml:space="preserve"> في البحار </w:t>
            </w:r>
            <w:r>
              <w:rPr>
                <w:rtl/>
              </w:rPr>
              <w:t xml:space="preserve">: - </w:t>
            </w:r>
            <w:r w:rsidRPr="00132E65">
              <w:rPr>
                <w:rtl/>
              </w:rPr>
              <w:t>« الذي يدخله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طَلْحَةَ ، فَتَعَرَّفْتُ الْيَوْمَ الَّذِي يَدْخُلُ فِيهِ الْحَمَّامَ ، و</w:t>
      </w:r>
      <w:r w:rsidR="007A78D1">
        <w:rPr>
          <w:rFonts w:hint="cs"/>
          <w:rtl/>
          <w:lang w:bidi="fa-IR"/>
        </w:rPr>
        <w:t>َ</w:t>
      </w:r>
      <w:r w:rsidRPr="00132E65">
        <w:rPr>
          <w:rtl/>
          <w:lang w:bidi="fa-IR"/>
        </w:rPr>
        <w:t xml:space="preserve">صِرْتُ </w:t>
      </w:r>
      <w:r>
        <w:rPr>
          <w:rStyle w:val="libFootnotenumChar"/>
          <w:rtl/>
        </w:rPr>
        <w:t>(1)</w:t>
      </w:r>
      <w:r w:rsidRPr="00132E65">
        <w:rPr>
          <w:rtl/>
          <w:lang w:bidi="fa-IR"/>
        </w:rPr>
        <w:t xml:space="preserve"> إِلى بَابِ الْحَمَّامِ ، و</w:t>
      </w:r>
      <w:r w:rsidR="007A78D1">
        <w:rPr>
          <w:rFonts w:hint="cs"/>
          <w:rtl/>
          <w:lang w:bidi="fa-IR"/>
        </w:rPr>
        <w:t>َ</w:t>
      </w:r>
      <w:r w:rsidRPr="00132E65">
        <w:rPr>
          <w:rtl/>
          <w:lang w:bidi="fa-IR"/>
        </w:rPr>
        <w:t>جَلَسْتُ إِلَى الطَّلْحِيِّ أُحَدِّثُهُ و</w:t>
      </w:r>
      <w:r w:rsidR="007A78D1">
        <w:rPr>
          <w:rFonts w:hint="cs"/>
          <w:rtl/>
          <w:lang w:bidi="fa-IR"/>
        </w:rPr>
        <w:t>َ</w:t>
      </w:r>
      <w:r w:rsidRPr="00132E65">
        <w:rPr>
          <w:rtl/>
          <w:lang w:bidi="fa-IR"/>
        </w:rPr>
        <w:t xml:space="preserve">أَنَا أَنْتَظِرُ مَجِيئَهُ </w:t>
      </w:r>
      <w:r w:rsidRPr="00071CF9">
        <w:rPr>
          <w:rStyle w:val="libAlaemChar"/>
          <w:rtl/>
        </w:rPr>
        <w:t>عليه‌السلام</w:t>
      </w:r>
      <w:r w:rsidRPr="00132E65">
        <w:rPr>
          <w:rtl/>
          <w:lang w:bidi="fa-IR"/>
        </w:rPr>
        <w:t xml:space="preserve"> ، فَقَالَ الطَّلْحِيُّ : إِنْ أَرَدْتَ دُخُولَ الْحَمَّامِ ، فَقُمْ ، فَادْخُلْ </w:t>
      </w:r>
      <w:r>
        <w:rPr>
          <w:rStyle w:val="libFootnotenumChar"/>
          <w:rtl/>
        </w:rPr>
        <w:t>(2)</w:t>
      </w:r>
      <w:r w:rsidRPr="00132E65">
        <w:rPr>
          <w:rtl/>
          <w:lang w:bidi="fa-IR"/>
        </w:rPr>
        <w:t xml:space="preserve"> ؛ فَإِنَّهُ لَايَتَهَيَّأُ لَكَ ذلِكَ </w:t>
      </w:r>
      <w:r>
        <w:rPr>
          <w:rStyle w:val="libFootnotenumChar"/>
          <w:rtl/>
        </w:rPr>
        <w:t>(3)</w:t>
      </w:r>
      <w:r w:rsidRPr="00132E65">
        <w:rPr>
          <w:rtl/>
          <w:lang w:bidi="fa-IR"/>
        </w:rPr>
        <w:t xml:space="preserve"> بَعْدَ سَاعَةٍ.</w:t>
      </w:r>
    </w:p>
    <w:p w:rsidR="000C39D1" w:rsidRPr="00132E65" w:rsidRDefault="000C39D1" w:rsidP="000C39D1">
      <w:pPr>
        <w:pStyle w:val="libNormal"/>
        <w:rPr>
          <w:rtl/>
          <w:lang w:bidi="fa-IR"/>
        </w:rPr>
      </w:pPr>
      <w:r w:rsidRPr="00132E65">
        <w:rPr>
          <w:rtl/>
          <w:lang w:bidi="fa-IR"/>
        </w:rPr>
        <w:t>قُلْتُ : و</w:t>
      </w:r>
      <w:r w:rsidR="007A78D1">
        <w:rPr>
          <w:rFonts w:hint="cs"/>
          <w:rtl/>
          <w:lang w:bidi="fa-IR"/>
        </w:rPr>
        <w:t>َ</w:t>
      </w:r>
      <w:r w:rsidRPr="00132E65">
        <w:rPr>
          <w:rtl/>
          <w:lang w:bidi="fa-IR"/>
        </w:rPr>
        <w:t>لِمَ</w:t>
      </w:r>
      <w:r>
        <w:rPr>
          <w:rtl/>
          <w:lang w:bidi="fa-IR"/>
        </w:rPr>
        <w:t>؟</w:t>
      </w:r>
      <w:r w:rsidRPr="00132E65">
        <w:rPr>
          <w:rtl/>
          <w:lang w:bidi="fa-IR"/>
        </w:rPr>
        <w:t xml:space="preserve"> قَالَ : لِأَنَّ ابْنَ </w:t>
      </w:r>
      <w:r>
        <w:rPr>
          <w:rStyle w:val="libFootnotenumChar"/>
          <w:rtl/>
        </w:rPr>
        <w:t>(4)</w:t>
      </w:r>
      <w:r w:rsidRPr="00132E65">
        <w:rPr>
          <w:rtl/>
          <w:lang w:bidi="fa-IR"/>
        </w:rPr>
        <w:t xml:space="preserve"> الرِّضَا يُرِيدُ دُخُولَ الْحَمَّامِ ، قَالَ : قُلْتُ : و</w:t>
      </w:r>
      <w:r w:rsidR="007A78D1">
        <w:rPr>
          <w:rFonts w:hint="cs"/>
          <w:rtl/>
          <w:lang w:bidi="fa-IR"/>
        </w:rPr>
        <w:t>َ</w:t>
      </w:r>
      <w:r w:rsidRPr="00132E65">
        <w:rPr>
          <w:rtl/>
          <w:lang w:bidi="fa-IR"/>
        </w:rPr>
        <w:t xml:space="preserve">مَنِ </w:t>
      </w:r>
      <w:r>
        <w:rPr>
          <w:rStyle w:val="libFootnotenumChar"/>
          <w:rtl/>
        </w:rPr>
        <w:t>(5)</w:t>
      </w:r>
      <w:r w:rsidRPr="00132E65">
        <w:rPr>
          <w:rtl/>
          <w:lang w:bidi="fa-IR"/>
        </w:rPr>
        <w:t xml:space="preserve"> ابْنُ الرِّضَا</w:t>
      </w:r>
      <w:r>
        <w:rPr>
          <w:rtl/>
          <w:lang w:bidi="fa-IR"/>
        </w:rPr>
        <w:t>؟</w:t>
      </w:r>
      <w:r w:rsidRPr="00132E65">
        <w:rPr>
          <w:rtl/>
          <w:lang w:bidi="fa-IR"/>
        </w:rPr>
        <w:t xml:space="preserve"> قَالَ : رَجُلٌ </w:t>
      </w:r>
      <w:r>
        <w:rPr>
          <w:rStyle w:val="libFootnotenumChar"/>
          <w:rtl/>
        </w:rPr>
        <w:t>(6)</w:t>
      </w:r>
      <w:r w:rsidRPr="00132E65">
        <w:rPr>
          <w:rtl/>
          <w:lang w:bidi="fa-IR"/>
        </w:rPr>
        <w:t xml:space="preserve"> مِنْ آلِ مُحَمَّدٍ ، لَهُ صَلَاحٌ و</w:t>
      </w:r>
      <w:r w:rsidR="007A78D1">
        <w:rPr>
          <w:rFonts w:hint="cs"/>
          <w:rtl/>
          <w:lang w:bidi="fa-IR"/>
        </w:rPr>
        <w:t xml:space="preserve">َ </w:t>
      </w:r>
      <w:r w:rsidR="007A78D1">
        <w:rPr>
          <w:rtl/>
          <w:lang w:bidi="fa-IR"/>
        </w:rPr>
        <w:t>و</w:t>
      </w:r>
      <w:r w:rsidR="007A78D1">
        <w:rPr>
          <w:rFonts w:hint="cs"/>
          <w:rtl/>
          <w:lang w:bidi="fa-IR"/>
        </w:rPr>
        <w:t>َ</w:t>
      </w:r>
      <w:r w:rsidRPr="00132E65">
        <w:rPr>
          <w:rtl/>
          <w:lang w:bidi="fa-IR"/>
        </w:rPr>
        <w:t xml:space="preserve">رَعٌ </w:t>
      </w:r>
      <w:r>
        <w:rPr>
          <w:rStyle w:val="libFootnotenumChar"/>
          <w:rtl/>
        </w:rPr>
        <w:t>(7)</w:t>
      </w:r>
      <w:r w:rsidRPr="00132E65">
        <w:rPr>
          <w:rtl/>
          <w:lang w:bidi="fa-IR"/>
        </w:rPr>
        <w:t xml:space="preserve"> ، قُلْتُ لَهُ : و</w:t>
      </w:r>
      <w:r w:rsidR="007A78D1">
        <w:rPr>
          <w:rFonts w:hint="cs"/>
          <w:rtl/>
          <w:lang w:bidi="fa-IR"/>
        </w:rPr>
        <w:t>َ</w:t>
      </w:r>
      <w:r w:rsidRPr="00132E65">
        <w:rPr>
          <w:rtl/>
          <w:lang w:bidi="fa-IR"/>
        </w:rPr>
        <w:t xml:space="preserve">لَايَجُوزُ </w:t>
      </w:r>
      <w:r>
        <w:rPr>
          <w:rStyle w:val="libFootnotenumChar"/>
          <w:rtl/>
        </w:rPr>
        <w:t>(8)</w:t>
      </w:r>
      <w:r w:rsidRPr="00132E65">
        <w:rPr>
          <w:rtl/>
          <w:lang w:bidi="fa-IR"/>
        </w:rPr>
        <w:t xml:space="preserve"> أَنْ يَدْخُلَ مَعَهُ الْحَمَّامَ غَيْرُهُ</w:t>
      </w:r>
      <w:r>
        <w:rPr>
          <w:rtl/>
          <w:lang w:bidi="fa-IR"/>
        </w:rPr>
        <w:t>؟</w:t>
      </w:r>
      <w:r w:rsidRPr="00132E65">
        <w:rPr>
          <w:rtl/>
          <w:lang w:bidi="fa-IR"/>
        </w:rPr>
        <w:t xml:space="preserve"> قَالَ : نُخْلِي </w:t>
      </w:r>
      <w:r>
        <w:rPr>
          <w:rStyle w:val="libFootnotenumChar"/>
          <w:rtl/>
        </w:rPr>
        <w:t>(9)</w:t>
      </w:r>
      <w:r w:rsidRPr="00132E65">
        <w:rPr>
          <w:rtl/>
          <w:lang w:bidi="fa-IR"/>
        </w:rPr>
        <w:t xml:space="preserve"> لَهُ الْحَمَّامَ إِذَا </w:t>
      </w:r>
      <w:r>
        <w:rPr>
          <w:rStyle w:val="libFootnotenumChar"/>
          <w:rtl/>
        </w:rPr>
        <w:t>(10)</w:t>
      </w:r>
      <w:r w:rsidRPr="00132E65">
        <w:rPr>
          <w:rtl/>
          <w:lang w:bidi="fa-IR"/>
        </w:rPr>
        <w:t xml:space="preserve"> جَاءَ.</w:t>
      </w:r>
    </w:p>
    <w:p w:rsidR="000C39D1" w:rsidRPr="00132E65" w:rsidRDefault="000C39D1" w:rsidP="000C39D1">
      <w:pPr>
        <w:pStyle w:val="libNormal"/>
        <w:rPr>
          <w:rtl/>
          <w:lang w:bidi="fa-IR"/>
        </w:rPr>
      </w:pPr>
      <w:r w:rsidRPr="00132E65">
        <w:rPr>
          <w:rtl/>
          <w:lang w:bidi="fa-IR"/>
        </w:rPr>
        <w:t xml:space="preserve">قَالَ : فَبَيْنَا أَنَا كَذلِكَ إِذْ أَقْبَلَ </w:t>
      </w:r>
      <w:r w:rsidRPr="00071CF9">
        <w:rPr>
          <w:rStyle w:val="libAlaemChar"/>
          <w:rtl/>
        </w:rPr>
        <w:t>عليه‌السلام</w:t>
      </w:r>
      <w:r w:rsidRPr="00132E65">
        <w:rPr>
          <w:rtl/>
          <w:lang w:bidi="fa-IR"/>
        </w:rPr>
        <w:t xml:space="preserve"> و</w:t>
      </w:r>
      <w:r w:rsidR="007A78D1">
        <w:rPr>
          <w:rFonts w:hint="cs"/>
          <w:rtl/>
          <w:lang w:bidi="fa-IR"/>
        </w:rPr>
        <w:t>َ</w:t>
      </w:r>
      <w:r w:rsidRPr="00132E65">
        <w:rPr>
          <w:rtl/>
          <w:lang w:bidi="fa-IR"/>
        </w:rPr>
        <w:t>مَعَهُ غِلْمَانٌ لَهُ ، و</w:t>
      </w:r>
      <w:r w:rsidR="007A78D1">
        <w:rPr>
          <w:rFonts w:hint="cs"/>
          <w:rtl/>
          <w:lang w:bidi="fa-IR"/>
        </w:rPr>
        <w:t>َ</w:t>
      </w:r>
      <w:r w:rsidRPr="00132E65">
        <w:rPr>
          <w:rtl/>
          <w:lang w:bidi="fa-IR"/>
        </w:rPr>
        <w:t xml:space="preserve">بَيْنَ يَدَيْهِ غُلَامٌ </w:t>
      </w:r>
      <w:r>
        <w:rPr>
          <w:rStyle w:val="libFootnotenumChar"/>
          <w:rtl/>
        </w:rPr>
        <w:t>(11)</w:t>
      </w:r>
      <w:r w:rsidRPr="00132E65">
        <w:rPr>
          <w:rtl/>
          <w:lang w:bidi="fa-IR"/>
        </w:rPr>
        <w:t xml:space="preserve"> مَعَهُ حَصِيرٌ حَتّى أَدْخَلَهُ الْمَسْلَخَ ، فَبَسَطَهُ و</w:t>
      </w:r>
      <w:r w:rsidR="007A78D1">
        <w:rPr>
          <w:rFonts w:hint="cs"/>
          <w:rtl/>
          <w:lang w:bidi="fa-IR"/>
        </w:rPr>
        <w:t xml:space="preserve">َ </w:t>
      </w:r>
      <w:r w:rsidR="007A78D1">
        <w:rPr>
          <w:rtl/>
          <w:lang w:bidi="fa-IR"/>
        </w:rPr>
        <w:t>و</w:t>
      </w:r>
      <w:r w:rsidR="007A78D1">
        <w:rPr>
          <w:rFonts w:hint="cs"/>
          <w:rtl/>
          <w:lang w:bidi="fa-IR"/>
        </w:rPr>
        <w:t>َ</w:t>
      </w:r>
      <w:r w:rsidRPr="00132E65">
        <w:rPr>
          <w:rtl/>
          <w:lang w:bidi="fa-IR"/>
        </w:rPr>
        <w:t xml:space="preserve">افى ، فَسَلَّمَ </w:t>
      </w:r>
      <w:r>
        <w:rPr>
          <w:rStyle w:val="libFootnotenumChar"/>
          <w:rtl/>
        </w:rPr>
        <w:t>(12)</w:t>
      </w:r>
      <w:r w:rsidRPr="00132E65">
        <w:rPr>
          <w:rtl/>
          <w:lang w:bidi="fa-IR"/>
        </w:rPr>
        <w:t xml:space="preserve"> و</w:t>
      </w:r>
      <w:r w:rsidR="007A78D1">
        <w:rPr>
          <w:rFonts w:hint="cs"/>
          <w:rtl/>
          <w:lang w:bidi="fa-IR"/>
        </w:rPr>
        <w:t>َ</w:t>
      </w:r>
      <w:r w:rsidRPr="00132E65">
        <w:rPr>
          <w:rtl/>
          <w:lang w:bidi="fa-IR"/>
        </w:rPr>
        <w:t>دَخَلَ الْحُجْرَةَ عَلى حِمَارِهِ ، و</w:t>
      </w:r>
      <w:r w:rsidR="007A78D1">
        <w:rPr>
          <w:rFonts w:hint="cs"/>
          <w:rtl/>
          <w:lang w:bidi="fa-IR"/>
        </w:rPr>
        <w:t>َ</w:t>
      </w:r>
      <w:r w:rsidRPr="00132E65">
        <w:rPr>
          <w:rtl/>
          <w:lang w:bidi="fa-IR"/>
        </w:rPr>
        <w:t>دَخَلَ الْمَسْلَخَ ، و</w:t>
      </w:r>
      <w:r w:rsidR="007A78D1">
        <w:rPr>
          <w:rFonts w:hint="cs"/>
          <w:rtl/>
          <w:lang w:bidi="fa-IR"/>
        </w:rPr>
        <w:t>َ</w:t>
      </w:r>
      <w:r w:rsidRPr="00132E65">
        <w:rPr>
          <w:rtl/>
          <w:lang w:bidi="fa-IR"/>
        </w:rPr>
        <w:t>نَزَلَ عَلَى الْحَصِيرِ.</w:t>
      </w:r>
    </w:p>
    <w:p w:rsidR="000C39D1" w:rsidRPr="00132E65" w:rsidRDefault="000C39D1" w:rsidP="000C39D1">
      <w:pPr>
        <w:pStyle w:val="libNormal"/>
        <w:rPr>
          <w:rtl/>
          <w:lang w:bidi="fa-IR"/>
        </w:rPr>
      </w:pPr>
      <w:r w:rsidRPr="00132E65">
        <w:rPr>
          <w:rtl/>
          <w:lang w:bidi="fa-IR"/>
        </w:rPr>
        <w:t>فَقُلْتُ لِلطَّلْحِيِّ : هذَا الَّذِي و</w:t>
      </w:r>
      <w:r w:rsidR="007A78D1">
        <w:rPr>
          <w:rFonts w:hint="cs"/>
          <w:rtl/>
          <w:lang w:bidi="fa-IR"/>
        </w:rPr>
        <w:t>َ</w:t>
      </w:r>
      <w:r w:rsidRPr="00132E65">
        <w:rPr>
          <w:rtl/>
          <w:lang w:bidi="fa-IR"/>
        </w:rPr>
        <w:t>صَفْتَهُ بِمَا و</w:t>
      </w:r>
      <w:r w:rsidR="007A78D1">
        <w:rPr>
          <w:rFonts w:hint="cs"/>
          <w:rtl/>
          <w:lang w:bidi="fa-IR"/>
        </w:rPr>
        <w:t>َ</w:t>
      </w:r>
      <w:r w:rsidRPr="00132E65">
        <w:rPr>
          <w:rtl/>
          <w:lang w:bidi="fa-IR"/>
        </w:rPr>
        <w:t>صَفْتَ مِنَ الصَّلَاحِ و</w:t>
      </w:r>
      <w:r w:rsidR="007A78D1">
        <w:rPr>
          <w:rFonts w:hint="cs"/>
          <w:rtl/>
          <w:lang w:bidi="fa-IR"/>
        </w:rPr>
        <w:t xml:space="preserve">َ </w:t>
      </w:r>
      <w:r w:rsidRPr="00132E65">
        <w:rPr>
          <w:rtl/>
          <w:lang w:bidi="fa-IR"/>
        </w:rPr>
        <w:t>الْوَرَعِ</w:t>
      </w:r>
      <w:r>
        <w:rPr>
          <w:rtl/>
          <w:lang w:bidi="fa-IR"/>
        </w:rPr>
        <w:t>؟</w:t>
      </w:r>
      <w:r w:rsidRPr="00132E65">
        <w:rPr>
          <w:rtl/>
          <w:lang w:bidi="fa-IR"/>
        </w:rPr>
        <w:t xml:space="preserve"> فَقَالَ : يَا هذَا ، لَا </w:t>
      </w:r>
      <w:r w:rsidRPr="00F543F1">
        <w:rPr>
          <w:rStyle w:val="libFootnotenumChar"/>
          <w:rtl/>
        </w:rPr>
        <w:t>(13)</w:t>
      </w:r>
      <w:r w:rsidRPr="00132E65">
        <w:rPr>
          <w:rtl/>
          <w:lang w:bidi="fa-IR"/>
        </w:rPr>
        <w:t xml:space="preserve"> و</w:t>
      </w:r>
      <w:r w:rsidR="007A78D1">
        <w:rPr>
          <w:rFonts w:hint="cs"/>
          <w:rtl/>
          <w:lang w:bidi="fa-IR"/>
        </w:rPr>
        <w:t>َ</w:t>
      </w:r>
      <w:r w:rsidRPr="00132E65">
        <w:rPr>
          <w:rtl/>
          <w:lang w:bidi="fa-IR"/>
        </w:rPr>
        <w:t xml:space="preserve">اللهِ ، مَا </w:t>
      </w:r>
      <w:r w:rsidR="007A78D1">
        <w:rPr>
          <w:rtl/>
          <w:lang w:bidi="fa-IR"/>
        </w:rPr>
        <w:t>فَعَلَ هذَا قَطُّ إِل</w:t>
      </w:r>
      <w:r w:rsidR="007A78D1">
        <w:rPr>
          <w:rFonts w:hint="cs"/>
          <w:rtl/>
          <w:lang w:bidi="fa-IR"/>
        </w:rPr>
        <w:t>َّ</w:t>
      </w:r>
      <w:r w:rsidR="007A78D1">
        <w:rPr>
          <w:rtl/>
          <w:lang w:bidi="fa-IR"/>
        </w:rPr>
        <w:t>ا</w:t>
      </w:r>
      <w:r w:rsidRPr="00132E65">
        <w:rPr>
          <w:rtl/>
          <w:lang w:bidi="fa-IR"/>
        </w:rPr>
        <w:t xml:space="preserve"> فِي هذَا الْيَوْمِ ، فَقُلْتُ فِي نَفْسِي : هذَا مِنْ عَمَلِي أَنَا جَنَيْتُهُ </w:t>
      </w:r>
      <w:r w:rsidRPr="00F543F1">
        <w:rPr>
          <w:rStyle w:val="libFootnotenumChar"/>
          <w:rtl/>
        </w:rPr>
        <w:t>(14)</w:t>
      </w:r>
      <w:r w:rsidRPr="00132E65">
        <w:rPr>
          <w:rtl/>
          <w:lang w:bidi="fa-IR"/>
        </w:rPr>
        <w:t xml:space="preserve"> ، ثُمَّ قُلْتُ : أَنْتَظِرُهُ حَتّى يَخْرُجَ ، فَلَعَلِّي أَنَالُ مَا أَرَدْتُ إِذَا خَرَجَ ، فَلَمَّا خَرَجَ‌</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7A78D1" w:rsidTr="007A78D1">
        <w:tc>
          <w:tcPr>
            <w:tcW w:w="4261" w:type="dxa"/>
          </w:tcPr>
          <w:p w:rsidR="007A78D1" w:rsidRDefault="007A78D1" w:rsidP="000C39D1">
            <w:pPr>
              <w:pStyle w:val="libFootnote0"/>
              <w:rPr>
                <w:rtl/>
              </w:rPr>
            </w:pPr>
            <w:r>
              <w:rPr>
                <w:rtl/>
              </w:rPr>
              <w:t>(1).</w:t>
            </w:r>
            <w:r w:rsidRPr="00132E65">
              <w:rPr>
                <w:rtl/>
              </w:rPr>
              <w:t xml:space="preserve"> في « بح » : « فصرت »</w:t>
            </w:r>
            <w:r>
              <w:rPr>
                <w:rtl/>
              </w:rPr>
              <w:t>.</w:t>
            </w:r>
          </w:p>
        </w:tc>
        <w:tc>
          <w:tcPr>
            <w:tcW w:w="4262" w:type="dxa"/>
          </w:tcPr>
          <w:p w:rsidR="007A78D1" w:rsidRDefault="007A78D1" w:rsidP="000C39D1">
            <w:pPr>
              <w:pStyle w:val="libFootnote0"/>
              <w:rPr>
                <w:rtl/>
              </w:rPr>
            </w:pPr>
            <w:r>
              <w:rPr>
                <w:rtl/>
              </w:rPr>
              <w:t>(2).</w:t>
            </w:r>
            <w:r w:rsidRPr="00132E65">
              <w:rPr>
                <w:rtl/>
              </w:rPr>
              <w:t xml:space="preserve"> في « بر » : « وادخل »</w:t>
            </w:r>
            <w:r>
              <w:rPr>
                <w:rtl/>
              </w:rPr>
              <w:t>.</w:t>
            </w:r>
          </w:p>
        </w:tc>
      </w:tr>
      <w:tr w:rsidR="007A78D1" w:rsidTr="007A78D1">
        <w:tc>
          <w:tcPr>
            <w:tcW w:w="4261" w:type="dxa"/>
          </w:tcPr>
          <w:p w:rsidR="007A78D1" w:rsidRDefault="007A78D1" w:rsidP="000C39D1">
            <w:pPr>
              <w:pStyle w:val="libFootnote0"/>
              <w:rPr>
                <w:rtl/>
              </w:rPr>
            </w:pPr>
            <w:r>
              <w:rPr>
                <w:rtl/>
              </w:rPr>
              <w:t>(3).</w:t>
            </w:r>
            <w:r w:rsidRPr="00132E65">
              <w:rPr>
                <w:rtl/>
              </w:rPr>
              <w:t xml:space="preserve"> في البحار </w:t>
            </w:r>
            <w:r>
              <w:rPr>
                <w:rtl/>
              </w:rPr>
              <w:t xml:space="preserve">: - </w:t>
            </w:r>
            <w:r w:rsidRPr="00132E65">
              <w:rPr>
                <w:rtl/>
              </w:rPr>
              <w:t>« ذلك »</w:t>
            </w:r>
            <w:r>
              <w:rPr>
                <w:rtl/>
              </w:rPr>
              <w:t>.</w:t>
            </w:r>
          </w:p>
        </w:tc>
        <w:tc>
          <w:tcPr>
            <w:tcW w:w="4262" w:type="dxa"/>
          </w:tcPr>
          <w:p w:rsidR="007A78D1" w:rsidRDefault="007A78D1" w:rsidP="000C39D1">
            <w:pPr>
              <w:pStyle w:val="libFootnote0"/>
              <w:rPr>
                <w:rtl/>
              </w:rPr>
            </w:pPr>
            <w:r>
              <w:rPr>
                <w:rtl/>
              </w:rPr>
              <w:t>(4).</w:t>
            </w:r>
            <w:r w:rsidRPr="00132E65">
              <w:rPr>
                <w:rtl/>
              </w:rPr>
              <w:t xml:space="preserve"> في « بس » : « لابن » بدون « أنّ »</w:t>
            </w:r>
            <w:r>
              <w:rPr>
                <w:rtl/>
              </w:rPr>
              <w:t>.</w:t>
            </w:r>
          </w:p>
        </w:tc>
      </w:tr>
      <w:tr w:rsidR="007A78D1" w:rsidTr="007A78D1">
        <w:tc>
          <w:tcPr>
            <w:tcW w:w="4261" w:type="dxa"/>
          </w:tcPr>
          <w:p w:rsidR="007A78D1" w:rsidRDefault="007A78D1" w:rsidP="000C39D1">
            <w:pPr>
              <w:pStyle w:val="libFootnote0"/>
              <w:rPr>
                <w:rtl/>
              </w:rPr>
            </w:pPr>
            <w:r>
              <w:rPr>
                <w:rtl/>
              </w:rPr>
              <w:t>(5).</w:t>
            </w:r>
            <w:r w:rsidRPr="00132E65">
              <w:rPr>
                <w:rtl/>
              </w:rPr>
              <w:t xml:space="preserve"> في « ض » : « فمن »</w:t>
            </w:r>
            <w:r>
              <w:rPr>
                <w:rtl/>
              </w:rPr>
              <w:t>.</w:t>
            </w:r>
          </w:p>
        </w:tc>
        <w:tc>
          <w:tcPr>
            <w:tcW w:w="4262" w:type="dxa"/>
          </w:tcPr>
          <w:p w:rsidR="007A78D1" w:rsidRDefault="007A78D1" w:rsidP="000C39D1">
            <w:pPr>
              <w:pStyle w:val="libFootnote0"/>
              <w:rPr>
                <w:rtl/>
              </w:rPr>
            </w:pPr>
            <w:r>
              <w:rPr>
                <w:rtl/>
              </w:rPr>
              <w:t>(6).</w:t>
            </w:r>
            <w:r w:rsidRPr="00132E65">
              <w:rPr>
                <w:rtl/>
              </w:rPr>
              <w:t xml:space="preserve"> في « ب » : « الرجل »</w:t>
            </w:r>
            <w:r>
              <w:rPr>
                <w:rtl/>
              </w:rPr>
              <w:t>.</w:t>
            </w:r>
          </w:p>
        </w:tc>
      </w:tr>
    </w:tbl>
    <w:p w:rsidR="000C39D1" w:rsidRPr="00132E65" w:rsidRDefault="000C39D1" w:rsidP="000C39D1">
      <w:pPr>
        <w:pStyle w:val="libFootnote0"/>
        <w:rPr>
          <w:rtl/>
          <w:lang w:bidi="fa-IR"/>
        </w:rPr>
      </w:pPr>
      <w:r>
        <w:rPr>
          <w:rtl/>
        </w:rPr>
        <w:t>(7).</w:t>
      </w:r>
      <w:r w:rsidRPr="00132E65">
        <w:rPr>
          <w:rtl/>
        </w:rPr>
        <w:t xml:space="preserve"> في الوسائل </w:t>
      </w:r>
      <w:r>
        <w:rPr>
          <w:rtl/>
        </w:rPr>
        <w:t xml:space="preserve">: - </w:t>
      </w:r>
      <w:r w:rsidRPr="00132E65">
        <w:rPr>
          <w:rtl/>
        </w:rPr>
        <w:t>« قال ، قلتُ</w:t>
      </w:r>
      <w:r>
        <w:rPr>
          <w:rtl/>
        </w:rPr>
        <w:t xml:space="preserve"> - </w:t>
      </w:r>
      <w:r w:rsidRPr="00132E65">
        <w:rPr>
          <w:rtl/>
        </w:rPr>
        <w:t>إلى</w:t>
      </w:r>
      <w:r>
        <w:rPr>
          <w:rtl/>
        </w:rPr>
        <w:t xml:space="preserve"> - </w:t>
      </w:r>
      <w:r w:rsidRPr="00132E65">
        <w:rPr>
          <w:rtl/>
        </w:rPr>
        <w:t>وورع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ج 6 ، ص 99 : « قوله : ولا يجوز ، على بناء المجرّد أو التفعيل ، وعلى الأخير ضمير الفاعل راجع إلى ابن الرضا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مرآة العقول</w:t>
      </w:r>
      <w:r w:rsidRPr="00132E65">
        <w:rPr>
          <w:rtl/>
        </w:rPr>
        <w:t xml:space="preserve"> : « ونخلّي ، على الإفعال أو التفعيل »</w:t>
      </w:r>
      <w:r>
        <w:rPr>
          <w:rtl/>
        </w:rPr>
        <w:t>.</w:t>
      </w:r>
    </w:p>
    <w:p w:rsidR="000C39D1" w:rsidRPr="00132E65" w:rsidRDefault="000C39D1" w:rsidP="000C39D1">
      <w:pPr>
        <w:pStyle w:val="libFootnote0"/>
        <w:rPr>
          <w:rtl/>
          <w:lang w:bidi="fa-IR"/>
        </w:rPr>
      </w:pPr>
      <w:r>
        <w:rPr>
          <w:rtl/>
        </w:rPr>
        <w:t>(10).</w:t>
      </w:r>
      <w:r w:rsidRPr="00132E65">
        <w:rPr>
          <w:rtl/>
        </w:rPr>
        <w:t xml:space="preserve"> في « ف » : « إذ »</w:t>
      </w:r>
      <w:r>
        <w:rPr>
          <w:rtl/>
        </w:rPr>
        <w:t>.</w:t>
      </w:r>
    </w:p>
    <w:tbl>
      <w:tblPr>
        <w:tblStyle w:val="TableGrid"/>
        <w:bidiVisual/>
        <w:tblW w:w="0" w:type="auto"/>
        <w:tblLook w:val="04A0" w:firstRow="1" w:lastRow="0" w:firstColumn="1" w:lastColumn="0" w:noHBand="0" w:noVBand="1"/>
      </w:tblPr>
      <w:tblGrid>
        <w:gridCol w:w="4261"/>
        <w:gridCol w:w="4262"/>
      </w:tblGrid>
      <w:tr w:rsidR="007A78D1" w:rsidTr="007A78D1">
        <w:tc>
          <w:tcPr>
            <w:tcW w:w="4261" w:type="dxa"/>
          </w:tcPr>
          <w:p w:rsidR="007A78D1" w:rsidRDefault="007A78D1" w:rsidP="000C39D1">
            <w:pPr>
              <w:pStyle w:val="libFootnote0"/>
              <w:rPr>
                <w:rtl/>
              </w:rPr>
            </w:pPr>
            <w:r>
              <w:rPr>
                <w:rtl/>
              </w:rPr>
              <w:t>(11).</w:t>
            </w:r>
            <w:r w:rsidRPr="00132E65">
              <w:rPr>
                <w:rtl/>
              </w:rPr>
              <w:t xml:space="preserve"> في « بس » :</w:t>
            </w:r>
            <w:r>
              <w:rPr>
                <w:rtl/>
              </w:rPr>
              <w:t xml:space="preserve"> + </w:t>
            </w:r>
            <w:r w:rsidRPr="00132E65">
              <w:rPr>
                <w:rtl/>
              </w:rPr>
              <w:t>« له »</w:t>
            </w:r>
            <w:r>
              <w:rPr>
                <w:rtl/>
              </w:rPr>
              <w:t>.</w:t>
            </w:r>
            <w:r w:rsidRPr="00132E65">
              <w:rPr>
                <w:rtl/>
              </w:rPr>
              <w:t xml:space="preserve"> وفي البحار :</w:t>
            </w:r>
            <w:r>
              <w:rPr>
                <w:rtl/>
              </w:rPr>
              <w:t xml:space="preserve"> + </w:t>
            </w:r>
            <w:r w:rsidRPr="00132E65">
              <w:rPr>
                <w:rtl/>
              </w:rPr>
              <w:t>«</w:t>
            </w:r>
            <w:r>
              <w:rPr>
                <w:rtl/>
              </w:rPr>
              <w:t xml:space="preserve"> و ».</w:t>
            </w:r>
          </w:p>
        </w:tc>
        <w:tc>
          <w:tcPr>
            <w:tcW w:w="4262" w:type="dxa"/>
          </w:tcPr>
          <w:p w:rsidR="007A78D1" w:rsidRDefault="007A78D1" w:rsidP="000C39D1">
            <w:pPr>
              <w:pStyle w:val="libFootnote0"/>
              <w:rPr>
                <w:rtl/>
              </w:rPr>
            </w:pPr>
            <w:r>
              <w:rPr>
                <w:rtl/>
              </w:rPr>
              <w:t>(12).</w:t>
            </w:r>
            <w:r w:rsidRPr="00132E65">
              <w:rPr>
                <w:rtl/>
              </w:rPr>
              <w:t xml:space="preserve"> في البحار : « وسلّم »</w:t>
            </w:r>
            <w:r>
              <w:rPr>
                <w:rtl/>
              </w:rPr>
              <w:t>.</w:t>
            </w:r>
          </w:p>
        </w:tc>
      </w:tr>
    </w:tbl>
    <w:p w:rsidR="000C39D1" w:rsidRPr="00132E65" w:rsidRDefault="000C39D1" w:rsidP="000C39D1">
      <w:pPr>
        <w:pStyle w:val="libFootnote0"/>
        <w:rPr>
          <w:rtl/>
          <w:lang w:bidi="fa-IR"/>
        </w:rPr>
      </w:pPr>
      <w:r>
        <w:rPr>
          <w:rtl/>
        </w:rPr>
        <w:t>(13)</w:t>
      </w:r>
      <w:r w:rsidRPr="00132E65">
        <w:rPr>
          <w:rtl/>
        </w:rPr>
        <w:t xml:space="preserve"> في البحار </w:t>
      </w:r>
      <w:r>
        <w:rPr>
          <w:rtl/>
        </w:rPr>
        <w:t xml:space="preserve">: - </w:t>
      </w:r>
      <w:r w:rsidRPr="00132E65">
        <w:rPr>
          <w:rtl/>
        </w:rPr>
        <w:t>« لا »</w:t>
      </w:r>
      <w:r>
        <w:rPr>
          <w:rtl/>
        </w:rPr>
        <w:t>.</w:t>
      </w:r>
    </w:p>
    <w:p w:rsidR="000C39D1" w:rsidRPr="00132E65" w:rsidRDefault="000C39D1" w:rsidP="000C39D1">
      <w:pPr>
        <w:pStyle w:val="libFootnote0"/>
        <w:rPr>
          <w:rtl/>
          <w:lang w:bidi="fa-IR"/>
        </w:rPr>
      </w:pPr>
      <w:r>
        <w:rPr>
          <w:rtl/>
        </w:rPr>
        <w:t>(14)</w:t>
      </w:r>
      <w:r w:rsidRPr="00132E65">
        <w:rPr>
          <w:rtl/>
        </w:rPr>
        <w:t xml:space="preserve"> قال المجلسي : « أَنَا جنيته ، أي جررته إليه ، والضمير راجع إلى هذا ، أو أنا صرت سبباً لنسبة هذه الجناية إليه. قال في </w:t>
      </w:r>
      <w:r w:rsidRPr="00A007F3">
        <w:rPr>
          <w:rStyle w:val="libFootnoteBoldChar"/>
          <w:rtl/>
        </w:rPr>
        <w:t>القاموس</w:t>
      </w:r>
      <w:r w:rsidRPr="00132E65">
        <w:rPr>
          <w:rtl/>
        </w:rPr>
        <w:t xml:space="preserve"> : جنى الذنبَ عليه يجنيه جناية : جرّه إليه</w:t>
      </w:r>
      <w:r>
        <w:rPr>
          <w:rtl/>
        </w:rPr>
        <w:t xml:space="preserve"> ..</w:t>
      </w:r>
      <w:r w:rsidRPr="00132E65">
        <w:rPr>
          <w:rtl/>
        </w:rPr>
        <w:t>. وتجنّى عليه : ادّعى عليه ذنباً لم يفعله »</w:t>
      </w:r>
      <w:r>
        <w:rPr>
          <w:rtl/>
        </w:rPr>
        <w:t>.</w:t>
      </w:r>
      <w:r w:rsidRPr="00132E65">
        <w:rPr>
          <w:rtl/>
        </w:rPr>
        <w:t xml:space="preserve"> وراجع : </w:t>
      </w:r>
      <w:r w:rsidRPr="00A007F3">
        <w:rPr>
          <w:rStyle w:val="libFootnoteBoldChar"/>
          <w:rtl/>
        </w:rPr>
        <w:t>القاموس المحيط</w:t>
      </w:r>
      <w:r w:rsidRPr="00132E65">
        <w:rPr>
          <w:rtl/>
        </w:rPr>
        <w:t xml:space="preserve"> ، ج 2 ، ص 1669 ( جنى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وَتَلَبَّسَ دَعَا بِالْحِمَارِ ، فَأُدْخِلَ </w:t>
      </w:r>
      <w:r>
        <w:rPr>
          <w:rStyle w:val="libFootnotenumChar"/>
          <w:rtl/>
        </w:rPr>
        <w:t>(1)</w:t>
      </w:r>
      <w:r w:rsidRPr="00132E65">
        <w:rPr>
          <w:rtl/>
          <w:lang w:bidi="fa-IR"/>
        </w:rPr>
        <w:t xml:space="preserve"> الْمَسْلَخَ و</w:t>
      </w:r>
      <w:r w:rsidR="00A007F3">
        <w:rPr>
          <w:rFonts w:hint="cs"/>
          <w:rtl/>
          <w:lang w:bidi="fa-IR"/>
        </w:rPr>
        <w:t xml:space="preserve">َ </w:t>
      </w:r>
      <w:r w:rsidRPr="00132E65">
        <w:rPr>
          <w:rtl/>
          <w:lang w:bidi="fa-IR"/>
        </w:rPr>
        <w:t xml:space="preserve">رَكِبَ مِنْ </w:t>
      </w:r>
      <w:r>
        <w:rPr>
          <w:rStyle w:val="libFootnotenumChar"/>
          <w:rtl/>
        </w:rPr>
        <w:t>(2)</w:t>
      </w:r>
      <w:r w:rsidRPr="00132E65">
        <w:rPr>
          <w:rtl/>
          <w:lang w:bidi="fa-IR"/>
        </w:rPr>
        <w:t xml:space="preserve"> فَوْقِ الْحَصِيرِ و</w:t>
      </w:r>
      <w:r w:rsidR="00A007F3">
        <w:rPr>
          <w:rFonts w:hint="cs"/>
          <w:rtl/>
          <w:lang w:bidi="fa-IR"/>
        </w:rPr>
        <w:t>َ</w:t>
      </w:r>
      <w:r w:rsidRPr="00132E65">
        <w:rPr>
          <w:rtl/>
          <w:lang w:bidi="fa-IR"/>
        </w:rPr>
        <w:t xml:space="preserve">خَرَجَ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فَقُلْتُ فِي نَفْسِي : قَدْ</w:t>
      </w:r>
      <w:r>
        <w:rPr>
          <w:rtl/>
          <w:lang w:bidi="fa-IR"/>
        </w:rPr>
        <w:t xml:space="preserve"> - </w:t>
      </w:r>
      <w:r w:rsidRPr="00132E65">
        <w:rPr>
          <w:rtl/>
          <w:lang w:bidi="fa-IR"/>
        </w:rPr>
        <w:t>و</w:t>
      </w:r>
      <w:r w:rsidR="00A007F3">
        <w:rPr>
          <w:rFonts w:hint="cs"/>
          <w:rtl/>
          <w:lang w:bidi="fa-IR"/>
        </w:rPr>
        <w:t>َ</w:t>
      </w:r>
      <w:r w:rsidRPr="00132E65">
        <w:rPr>
          <w:rtl/>
          <w:lang w:bidi="fa-IR"/>
        </w:rPr>
        <w:t>اللهِ</w:t>
      </w:r>
      <w:r>
        <w:rPr>
          <w:rtl/>
          <w:lang w:bidi="fa-IR"/>
        </w:rPr>
        <w:t xml:space="preserve"> - </w:t>
      </w:r>
      <w:r w:rsidRPr="00132E65">
        <w:rPr>
          <w:rtl/>
          <w:lang w:bidi="fa-IR"/>
        </w:rPr>
        <w:t>آذَيْتُهُ و</w:t>
      </w:r>
      <w:r w:rsidR="00A007F3">
        <w:rPr>
          <w:rFonts w:hint="cs"/>
          <w:rtl/>
          <w:lang w:bidi="fa-IR"/>
        </w:rPr>
        <w:t>َ</w:t>
      </w:r>
      <w:r w:rsidRPr="00132E65">
        <w:rPr>
          <w:rtl/>
          <w:lang w:bidi="fa-IR"/>
        </w:rPr>
        <w:t>لَا</w:t>
      </w:r>
      <w:r>
        <w:rPr>
          <w:rFonts w:hint="cs"/>
          <w:rtl/>
          <w:lang w:bidi="fa-IR"/>
        </w:rPr>
        <w:t xml:space="preserve"> </w:t>
      </w:r>
      <w:r w:rsidRPr="00132E65">
        <w:rPr>
          <w:rtl/>
          <w:lang w:bidi="fa-IR"/>
        </w:rPr>
        <w:t>أَعُودُ و</w:t>
      </w:r>
      <w:r w:rsidR="00A007F3">
        <w:rPr>
          <w:rFonts w:hint="cs"/>
          <w:rtl/>
          <w:lang w:bidi="fa-IR"/>
        </w:rPr>
        <w:t>َ</w:t>
      </w:r>
      <w:r w:rsidRPr="00132E65">
        <w:rPr>
          <w:rtl/>
          <w:lang w:bidi="fa-IR"/>
        </w:rPr>
        <w:t xml:space="preserve">لَا </w:t>
      </w:r>
      <w:r>
        <w:rPr>
          <w:rStyle w:val="libFootnotenumChar"/>
          <w:rtl/>
        </w:rPr>
        <w:t>(3)</w:t>
      </w:r>
      <w:r w:rsidRPr="00132E65">
        <w:rPr>
          <w:rtl/>
          <w:lang w:bidi="fa-IR"/>
        </w:rPr>
        <w:t xml:space="preserve"> أَرُومُ مَا رُمْتُ مِنْهُ أَبَداً ، و</w:t>
      </w:r>
      <w:r w:rsidR="00A007F3">
        <w:rPr>
          <w:rFonts w:hint="cs"/>
          <w:rtl/>
          <w:lang w:bidi="fa-IR"/>
        </w:rPr>
        <w:t>َ</w:t>
      </w:r>
      <w:r w:rsidRPr="00132E65">
        <w:rPr>
          <w:rtl/>
          <w:lang w:bidi="fa-IR"/>
        </w:rPr>
        <w:t xml:space="preserve">صَحَّ عَزْمِي عَلى ذلِكَ ، فَلَمَّا كَانَ وقْتُ الزَّوَالِ مِنْ ذلِكَ الْيَوْمِ ، أَقْبَلَ عَلى حِمَارِهِ حَتّى نَزَلَ فِي الْمَوْضِعِ الَّذِي كَانَ يَنْزِلُ فِيهِ فِي الصَّحْنِ </w:t>
      </w:r>
      <w:r>
        <w:rPr>
          <w:rStyle w:val="libFootnotenumChar"/>
          <w:rtl/>
        </w:rPr>
        <w:t>(4)</w:t>
      </w:r>
      <w:r w:rsidRPr="00132E65">
        <w:rPr>
          <w:rtl/>
          <w:lang w:bidi="fa-IR"/>
        </w:rPr>
        <w:t xml:space="preserve"> ، فَدَخَلَ </w:t>
      </w:r>
      <w:r>
        <w:rPr>
          <w:rStyle w:val="libFootnotenumChar"/>
          <w:rtl/>
        </w:rPr>
        <w:t>(5)</w:t>
      </w:r>
      <w:r w:rsidRPr="00132E65">
        <w:rPr>
          <w:rtl/>
          <w:lang w:bidi="fa-IR"/>
        </w:rPr>
        <w:t xml:space="preserve"> و</w:t>
      </w:r>
      <w:r w:rsidR="00A007F3">
        <w:rPr>
          <w:rFonts w:hint="cs"/>
          <w:rtl/>
          <w:lang w:bidi="fa-IR"/>
        </w:rPr>
        <w:t>َ</w:t>
      </w:r>
      <w:r w:rsidRPr="00132E65">
        <w:rPr>
          <w:rtl/>
          <w:lang w:bidi="fa-IR"/>
        </w:rPr>
        <w:t xml:space="preserve">سَلَّمَ </w:t>
      </w:r>
      <w:r>
        <w:rPr>
          <w:rStyle w:val="libFootnotenumChar"/>
          <w:rtl/>
        </w:rPr>
        <w:t>(6)</w:t>
      </w:r>
      <w:r w:rsidRPr="00132E65">
        <w:rPr>
          <w:rtl/>
          <w:lang w:bidi="fa-IR"/>
        </w:rPr>
        <w:t xml:space="preserve"> عَلى رَسُولِ اللهِ </w:t>
      </w:r>
      <w:r w:rsidRPr="0093484F">
        <w:rPr>
          <w:rStyle w:val="libAlaemChar"/>
          <w:rFonts w:eastAsiaTheme="minorHAnsi"/>
          <w:rtl/>
        </w:rPr>
        <w:t>صلى‌الله‌عليه‌وآله</w:t>
      </w:r>
      <w:r w:rsidRPr="00132E65">
        <w:rPr>
          <w:rtl/>
          <w:lang w:bidi="fa-IR"/>
        </w:rPr>
        <w:t xml:space="preserve"> ، و</w:t>
      </w:r>
      <w:r w:rsidR="00A007F3">
        <w:rPr>
          <w:rFonts w:hint="cs"/>
          <w:rtl/>
          <w:lang w:bidi="fa-IR"/>
        </w:rPr>
        <w:t>َ</w:t>
      </w:r>
      <w:r w:rsidRPr="00132E65">
        <w:rPr>
          <w:rtl/>
          <w:lang w:bidi="fa-IR"/>
        </w:rPr>
        <w:t xml:space="preserve">جَاءَ إِلَى الْمَوْضِعِ الَّذِي كَانَ يُصَلِّي فِيهِ فِي بَيْتِ فَاطِمَةَ </w:t>
      </w:r>
      <w:r w:rsidRPr="00071CF9">
        <w:rPr>
          <w:rStyle w:val="libAlaemChar"/>
          <w:rtl/>
        </w:rPr>
        <w:t>عليها‌السلام</w:t>
      </w:r>
      <w:r w:rsidRPr="00132E65">
        <w:rPr>
          <w:rtl/>
          <w:lang w:bidi="fa-IR"/>
        </w:rPr>
        <w:t xml:space="preserve"> ، و</w:t>
      </w:r>
      <w:r w:rsidR="00A007F3">
        <w:rPr>
          <w:rFonts w:hint="cs"/>
          <w:rtl/>
          <w:lang w:bidi="fa-IR"/>
        </w:rPr>
        <w:t>َ</w:t>
      </w:r>
      <w:r w:rsidRPr="00132E65">
        <w:rPr>
          <w:rtl/>
          <w:lang w:bidi="fa-IR"/>
        </w:rPr>
        <w:t>خَلَعَ نَعْلَيْهِ ، و</w:t>
      </w:r>
      <w:r w:rsidR="00A007F3">
        <w:rPr>
          <w:rFonts w:hint="cs"/>
          <w:rtl/>
          <w:lang w:bidi="fa-IR"/>
        </w:rPr>
        <w:t>َ</w:t>
      </w:r>
      <w:r w:rsidRPr="00132E65">
        <w:rPr>
          <w:rtl/>
          <w:lang w:bidi="fa-IR"/>
        </w:rPr>
        <w:t xml:space="preserve">قَامَ يُصَلِّي.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576DE8">
        <w:rPr>
          <w:rtl/>
        </w:rPr>
        <w:t>1311</w:t>
      </w:r>
      <w:r w:rsidRPr="004325D8">
        <w:rPr>
          <w:rStyle w:val="libBold2Char"/>
          <w:rtl/>
        </w:rPr>
        <w:t xml:space="preserve"> / 3.</w:t>
      </w:r>
      <w:r w:rsidRPr="00132E65">
        <w:rPr>
          <w:rtl/>
          <w:lang w:bidi="fa-IR"/>
        </w:rPr>
        <w:t xml:space="preserve"> الْحُسَيْنُ بْنُ مُحَمَّدٍ ، عَنْ مُعَلَّى بْنِ مُحَمَّدٍ ، عَنْ عَلِيِّ بْنِ أَسْبَاطٍ ، قَالَ :</w:t>
      </w:r>
    </w:p>
    <w:p w:rsidR="000C39D1" w:rsidRPr="00132E65" w:rsidRDefault="000C39D1" w:rsidP="00A007F3">
      <w:pPr>
        <w:pStyle w:val="libNormal"/>
        <w:rPr>
          <w:rtl/>
          <w:lang w:bidi="fa-IR"/>
        </w:rPr>
      </w:pPr>
      <w:r w:rsidRPr="00132E65">
        <w:rPr>
          <w:rtl/>
          <w:lang w:bidi="fa-IR"/>
        </w:rPr>
        <w:t xml:space="preserve">خَرَجَ </w:t>
      </w:r>
      <w:r>
        <w:rPr>
          <w:rStyle w:val="libFootnotenumChar"/>
          <w:rtl/>
        </w:rPr>
        <w:t>(8)</w:t>
      </w:r>
      <w:r w:rsidRPr="00132E65">
        <w:rPr>
          <w:rtl/>
          <w:lang w:bidi="fa-IR"/>
        </w:rPr>
        <w:t xml:space="preserve"> عَلَيَّ ، فَنَظَرْتُ إِلى رَأْسِهِ </w:t>
      </w:r>
      <w:r>
        <w:rPr>
          <w:rStyle w:val="libFootnotenumChar"/>
          <w:rtl/>
        </w:rPr>
        <w:t>(9)</w:t>
      </w:r>
      <w:r w:rsidRPr="00132E65">
        <w:rPr>
          <w:rtl/>
          <w:lang w:bidi="fa-IR"/>
        </w:rPr>
        <w:t xml:space="preserve"> و</w:t>
      </w:r>
      <w:r w:rsidR="00A007F3">
        <w:rPr>
          <w:rFonts w:hint="cs"/>
          <w:rtl/>
          <w:lang w:bidi="fa-IR"/>
        </w:rPr>
        <w:t xml:space="preserve">َ </w:t>
      </w:r>
      <w:r w:rsidRPr="00132E65">
        <w:rPr>
          <w:rtl/>
          <w:lang w:bidi="fa-IR"/>
        </w:rPr>
        <w:t>رِجْلَيْهِ لِأَصِفَ قَامَتَهُ لِأَصْحَابِنَا بِمِصْرَ ، فَبَيْنَا أَنَا كَذلِكَ حَتّى قَعَدَ ، و</w:t>
      </w:r>
      <w:r w:rsidR="00A007F3">
        <w:rPr>
          <w:rFonts w:hint="cs"/>
          <w:rtl/>
          <w:lang w:bidi="fa-IR"/>
        </w:rPr>
        <w:t>َ</w:t>
      </w:r>
      <w:r w:rsidRPr="00132E65">
        <w:rPr>
          <w:rtl/>
          <w:lang w:bidi="fa-IR"/>
        </w:rPr>
        <w:t xml:space="preserve">قَالَ </w:t>
      </w:r>
      <w:r>
        <w:rPr>
          <w:rStyle w:val="libFootnotenumChar"/>
          <w:rtl/>
        </w:rPr>
        <w:t>(10)</w:t>
      </w:r>
      <w:r w:rsidRPr="00132E65">
        <w:rPr>
          <w:rtl/>
          <w:lang w:bidi="fa-IR"/>
        </w:rPr>
        <w:t xml:space="preserve"> : « يَا عَلِيُّ ، إِنَّ اللهَ احْتَجَّ </w:t>
      </w:r>
      <w:r>
        <w:rPr>
          <w:rStyle w:val="libFootnotenumChar"/>
          <w:rtl/>
        </w:rPr>
        <w:t>(11)</w:t>
      </w:r>
      <w:r w:rsidRPr="00132E65">
        <w:rPr>
          <w:rtl/>
          <w:lang w:bidi="fa-IR"/>
        </w:rPr>
        <w:t xml:space="preserve"> فِي الْإِمَامَةِ بِمِثْلِ مَا احْتَجَّ </w:t>
      </w:r>
      <w:r>
        <w:rPr>
          <w:rStyle w:val="libFootnotenumChar"/>
          <w:rtl/>
        </w:rPr>
        <w:t>(12)</w:t>
      </w:r>
      <w:r w:rsidRPr="00132E65">
        <w:rPr>
          <w:rtl/>
          <w:lang w:bidi="fa-IR"/>
        </w:rPr>
        <w:t xml:space="preserve"> فِي النُّبُوَّةِ ، فَقَالَ : </w:t>
      </w:r>
      <w:r w:rsidRPr="00071CF9">
        <w:rPr>
          <w:rStyle w:val="libAlaemChar"/>
          <w:rtl/>
        </w:rPr>
        <w:t>(</w:t>
      </w:r>
      <w:r w:rsidRPr="00071CF9">
        <w:rPr>
          <w:rStyle w:val="libAieChar"/>
          <w:rtl/>
        </w:rPr>
        <w:t xml:space="preserve"> وَآتَيْناهُ الْحُكْمَ صَبِيًّا </w:t>
      </w:r>
      <w:r w:rsidRPr="00071CF9">
        <w:rPr>
          <w:rStyle w:val="libAlaemChar"/>
          <w:rtl/>
        </w:rPr>
        <w:t>)</w:t>
      </w:r>
      <w:r w:rsidRPr="00132E65">
        <w:rPr>
          <w:rtl/>
          <w:lang w:bidi="fa-IR"/>
        </w:rPr>
        <w:t xml:space="preserve"> </w:t>
      </w:r>
      <w:r w:rsidRPr="00F543F1">
        <w:rPr>
          <w:rStyle w:val="libFootnotenumChar"/>
          <w:rtl/>
        </w:rPr>
        <w:t>(13)</w:t>
      </w:r>
      <w:r w:rsidRPr="00132E65">
        <w:rPr>
          <w:rtl/>
          <w:lang w:bidi="fa-IR"/>
        </w:rPr>
        <w:t xml:space="preserve"> وَقَالَ </w:t>
      </w:r>
      <w:r w:rsidRPr="00F543F1">
        <w:rPr>
          <w:rStyle w:val="libFootnotenumChar"/>
          <w:rtl/>
        </w:rPr>
        <w:t>(14)</w:t>
      </w:r>
      <w:r w:rsidRPr="00132E65">
        <w:rPr>
          <w:rtl/>
          <w:lang w:bidi="fa-IR"/>
        </w:rPr>
        <w:t xml:space="preserve"> : </w:t>
      </w:r>
      <w:r w:rsidRPr="00071CF9">
        <w:rPr>
          <w:rStyle w:val="libAlaemChar"/>
          <w:rtl/>
        </w:rPr>
        <w:t>(</w:t>
      </w:r>
      <w:r w:rsidRPr="00071CF9">
        <w:rPr>
          <w:rStyle w:val="libAieChar"/>
          <w:rtl/>
        </w:rPr>
        <w:t xml:space="preserve"> حَتّى إِذ</w:t>
      </w:r>
      <w:r w:rsidR="00A007F3">
        <w:rPr>
          <w:rStyle w:val="libAieChar"/>
          <w:rFonts w:hint="cs"/>
          <w:rtl/>
        </w:rPr>
        <w:t>َ</w:t>
      </w:r>
      <w:r w:rsidRPr="00071CF9">
        <w:rPr>
          <w:rStyle w:val="libAieChar"/>
          <w:rtl/>
        </w:rPr>
        <w:t xml:space="preserve">ا بَلَغَ أَشُدَّهُ وَبَلَغَ </w:t>
      </w:r>
      <w:r w:rsidRPr="00F543F1">
        <w:rPr>
          <w:rStyle w:val="libFootnotenumChar"/>
          <w:rtl/>
        </w:rPr>
        <w:t>(15)</w:t>
      </w:r>
      <w:r w:rsidRPr="00071CF9">
        <w:rPr>
          <w:rStyle w:val="libAieChar"/>
          <w:rtl/>
        </w:rPr>
        <w:t xml:space="preserve">أَرْبَعِينَ سَنَةً </w:t>
      </w:r>
      <w:r w:rsidRPr="00071CF9">
        <w:rPr>
          <w:rStyle w:val="libAlaemChar"/>
          <w:rtl/>
        </w:rPr>
        <w:t>)</w:t>
      </w:r>
      <w:r w:rsidRPr="00132E65">
        <w:rPr>
          <w:rtl/>
          <w:lang w:bidi="fa-IR"/>
        </w:rPr>
        <w:t xml:space="preserve"> </w:t>
      </w:r>
      <w:r w:rsidRPr="00F543F1">
        <w:rPr>
          <w:rStyle w:val="libFootnotenumChar"/>
          <w:rtl/>
        </w:rPr>
        <w:t>(16)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A007F3" w:rsidTr="00A007F3">
        <w:tc>
          <w:tcPr>
            <w:tcW w:w="4261" w:type="dxa"/>
          </w:tcPr>
          <w:p w:rsidR="00A007F3" w:rsidRDefault="00A007F3" w:rsidP="000C39D1">
            <w:pPr>
              <w:pStyle w:val="libFootnote0"/>
              <w:rPr>
                <w:rtl/>
              </w:rPr>
            </w:pPr>
            <w:r>
              <w:rPr>
                <w:rtl/>
              </w:rPr>
              <w:t>(1).</w:t>
            </w:r>
            <w:r w:rsidRPr="00132E65">
              <w:rPr>
                <w:rtl/>
              </w:rPr>
              <w:t xml:space="preserve"> في البحار : « وا</w:t>
            </w:r>
            <w:r>
              <w:rPr>
                <w:rFonts w:hint="cs"/>
                <w:rtl/>
              </w:rPr>
              <w:t>ُ</w:t>
            </w:r>
            <w:r w:rsidRPr="00132E65">
              <w:rPr>
                <w:rtl/>
              </w:rPr>
              <w:t>دخل »</w:t>
            </w:r>
            <w:r>
              <w:rPr>
                <w:rtl/>
              </w:rPr>
              <w:t>.</w:t>
            </w:r>
          </w:p>
        </w:tc>
        <w:tc>
          <w:tcPr>
            <w:tcW w:w="4262" w:type="dxa"/>
          </w:tcPr>
          <w:p w:rsidR="00A007F3" w:rsidRDefault="00A007F3" w:rsidP="000C39D1">
            <w:pPr>
              <w:pStyle w:val="libFootnote0"/>
              <w:rPr>
                <w:rtl/>
              </w:rPr>
            </w:pPr>
            <w:r>
              <w:rPr>
                <w:rtl/>
              </w:rPr>
              <w:t>(2).</w:t>
            </w:r>
            <w:r w:rsidRPr="00132E65">
              <w:rPr>
                <w:rtl/>
              </w:rPr>
              <w:t xml:space="preserve"> في « بح » : « في »</w:t>
            </w:r>
            <w:r>
              <w:rPr>
                <w:rtl/>
              </w:rPr>
              <w:t>.</w:t>
            </w:r>
          </w:p>
        </w:tc>
      </w:tr>
    </w:tbl>
    <w:p w:rsidR="000C39D1" w:rsidRPr="00132E65" w:rsidRDefault="000C39D1" w:rsidP="000C39D1">
      <w:pPr>
        <w:pStyle w:val="libFootnote0"/>
        <w:rPr>
          <w:rtl/>
          <w:lang w:bidi="fa-IR"/>
        </w:rPr>
      </w:pPr>
      <w:r>
        <w:rPr>
          <w:rtl/>
        </w:rPr>
        <w:t>(3).</w:t>
      </w:r>
      <w:r w:rsidRPr="00132E65">
        <w:rPr>
          <w:rtl/>
        </w:rPr>
        <w:t xml:space="preserve"> في « ب ، ج ، ض ، ف ، بر ، بس ، بف » </w:t>
      </w:r>
      <w:r w:rsidRPr="00A007F3">
        <w:rPr>
          <w:rtl/>
        </w:rPr>
        <w:t>والوافي</w:t>
      </w:r>
      <w:r w:rsidRPr="00132E65">
        <w:rPr>
          <w:rtl/>
        </w:rPr>
        <w:t xml:space="preserve"> والبحار </w:t>
      </w:r>
      <w:r>
        <w:rPr>
          <w:rtl/>
        </w:rPr>
        <w:t xml:space="preserve">: - </w:t>
      </w:r>
      <w:r w:rsidRPr="00132E65">
        <w:rPr>
          <w:rtl/>
        </w:rPr>
        <w:t>« لا »</w:t>
      </w:r>
      <w:r>
        <w:rPr>
          <w:rtl/>
        </w:rPr>
        <w:t>.</w:t>
      </w:r>
      <w:r w:rsidRPr="00132E65">
        <w:rPr>
          <w:rtl/>
        </w:rPr>
        <w:t xml:space="preserve"> </w:t>
      </w:r>
      <w:r>
        <w:rPr>
          <w:rtl/>
        </w:rPr>
        <w:t>و «</w:t>
      </w:r>
      <w:r w:rsidRPr="00132E65">
        <w:rPr>
          <w:rtl/>
        </w:rPr>
        <w:t xml:space="preserve"> لا أروم » ، أي لا أطلب ، تقول : رُمْتُ الشي‌ءَ</w:t>
      </w:r>
      <w:r w:rsidR="00A007F3">
        <w:rPr>
          <w:rFonts w:hint="cs"/>
          <w:rtl/>
        </w:rPr>
        <w:t xml:space="preserve"> </w:t>
      </w:r>
      <w:r w:rsidRPr="00132E65">
        <w:rPr>
          <w:rtl/>
        </w:rPr>
        <w:t xml:space="preserve">أرومُه رَوْماً ، إذا طلبتَه. راجع : </w:t>
      </w:r>
      <w:r w:rsidRPr="00A007F3">
        <w:rPr>
          <w:rStyle w:val="libFootnoteBoldChar"/>
          <w:rtl/>
        </w:rPr>
        <w:t>الصحاح</w:t>
      </w:r>
      <w:r w:rsidRPr="00132E65">
        <w:rPr>
          <w:rtl/>
        </w:rPr>
        <w:t xml:space="preserve"> ، ج 5 ، ص 1938 ( روم )</w:t>
      </w:r>
      <w:r>
        <w:rPr>
          <w:rtl/>
        </w:rPr>
        <w:t>.</w:t>
      </w:r>
    </w:p>
    <w:tbl>
      <w:tblPr>
        <w:tblStyle w:val="TableGrid"/>
        <w:bidiVisual/>
        <w:tblW w:w="0" w:type="auto"/>
        <w:tblLook w:val="04A0" w:firstRow="1" w:lastRow="0" w:firstColumn="1" w:lastColumn="0" w:noHBand="0" w:noVBand="1"/>
      </w:tblPr>
      <w:tblGrid>
        <w:gridCol w:w="4261"/>
        <w:gridCol w:w="4262"/>
      </w:tblGrid>
      <w:tr w:rsidR="00A007F3" w:rsidTr="00A007F3">
        <w:tc>
          <w:tcPr>
            <w:tcW w:w="4261" w:type="dxa"/>
          </w:tcPr>
          <w:p w:rsidR="00A007F3" w:rsidRDefault="00A007F3" w:rsidP="000C39D1">
            <w:pPr>
              <w:pStyle w:val="libFootnote0"/>
              <w:rPr>
                <w:rtl/>
              </w:rPr>
            </w:pPr>
            <w:r>
              <w:rPr>
                <w:rtl/>
              </w:rPr>
              <w:t>(4).</w:t>
            </w:r>
            <w:r w:rsidRPr="00132E65">
              <w:rPr>
                <w:rtl/>
              </w:rPr>
              <w:t xml:space="preserve"> في « ف » : « الصخرة »</w:t>
            </w:r>
            <w:r>
              <w:rPr>
                <w:rtl/>
              </w:rPr>
              <w:t>.</w:t>
            </w:r>
          </w:p>
        </w:tc>
        <w:tc>
          <w:tcPr>
            <w:tcW w:w="4262" w:type="dxa"/>
          </w:tcPr>
          <w:p w:rsidR="00A007F3" w:rsidRDefault="00A007F3" w:rsidP="000C39D1">
            <w:pPr>
              <w:pStyle w:val="libFootnote0"/>
              <w:rPr>
                <w:rtl/>
              </w:rPr>
            </w:pPr>
            <w:r>
              <w:rPr>
                <w:rtl/>
              </w:rPr>
              <w:t>(5).</w:t>
            </w:r>
            <w:r w:rsidRPr="00132E65">
              <w:rPr>
                <w:rtl/>
              </w:rPr>
              <w:t xml:space="preserve"> في « ض ، ف » : « ودخل »</w:t>
            </w:r>
            <w:r>
              <w:rPr>
                <w:rtl/>
              </w:rPr>
              <w:t>.</w:t>
            </w:r>
          </w:p>
        </w:tc>
      </w:tr>
    </w:tbl>
    <w:p w:rsidR="000C39D1" w:rsidRPr="00132E65" w:rsidRDefault="000C39D1" w:rsidP="000C39D1">
      <w:pPr>
        <w:pStyle w:val="libFootnote0"/>
        <w:rPr>
          <w:rtl/>
          <w:lang w:bidi="fa-IR"/>
        </w:rPr>
      </w:pPr>
      <w:r>
        <w:rPr>
          <w:rtl/>
        </w:rPr>
        <w:t>(6).</w:t>
      </w:r>
      <w:r w:rsidRPr="00132E65">
        <w:rPr>
          <w:rtl/>
        </w:rPr>
        <w:t xml:space="preserve"> في « ض ، ف ، بس » والبحار : « فسلّم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3 ، ص 826 ، ح 1435 ؛ </w:t>
      </w:r>
      <w:r w:rsidRPr="00A007F3">
        <w:rPr>
          <w:rStyle w:val="libFootnoteBoldChar"/>
          <w:rtl/>
        </w:rPr>
        <w:t>الوسائل</w:t>
      </w:r>
      <w:r w:rsidRPr="00132E65">
        <w:rPr>
          <w:rtl/>
        </w:rPr>
        <w:t xml:space="preserve"> ، ج 2 ، ص 57 ، ح 1470 ؛ </w:t>
      </w:r>
      <w:r w:rsidRPr="00A007F3">
        <w:rPr>
          <w:rStyle w:val="libFootnoteBoldChar"/>
          <w:rtl/>
        </w:rPr>
        <w:t>البحار</w:t>
      </w:r>
      <w:r w:rsidRPr="00132E65">
        <w:rPr>
          <w:rtl/>
        </w:rPr>
        <w:t xml:space="preserve"> ، ج 50 ، ص 60 ، ح 36.</w:t>
      </w:r>
    </w:p>
    <w:p w:rsidR="000C39D1" w:rsidRPr="00132E65" w:rsidRDefault="000C39D1" w:rsidP="000C39D1">
      <w:pPr>
        <w:pStyle w:val="libFootnote0"/>
        <w:rPr>
          <w:rtl/>
          <w:lang w:bidi="fa-IR"/>
        </w:rPr>
      </w:pPr>
      <w:r>
        <w:rPr>
          <w:rtl/>
        </w:rPr>
        <w:t>(8).</w:t>
      </w:r>
      <w:r w:rsidRPr="00132E65">
        <w:rPr>
          <w:rtl/>
        </w:rPr>
        <w:t xml:space="preserve"> في الإرشاد : « خرج عليّ أبوجعفر </w:t>
      </w:r>
      <w:r w:rsidRPr="00A007F3">
        <w:rPr>
          <w:rStyle w:val="libFootnoteAlaemChar"/>
          <w:rtl/>
        </w:rPr>
        <w:t>عليه‌السلام</w:t>
      </w:r>
      <w:r w:rsidRPr="00132E65">
        <w:rPr>
          <w:rtl/>
        </w:rPr>
        <w:t xml:space="preserve"> »</w:t>
      </w:r>
      <w:r>
        <w:rPr>
          <w:rtl/>
        </w:rPr>
        <w:t>.</w:t>
      </w:r>
      <w:r w:rsidRPr="00132E65">
        <w:rPr>
          <w:rtl/>
        </w:rPr>
        <w:t xml:space="preserve"> وفي البصائر : « رأيت أباجعفر </w:t>
      </w:r>
      <w:r w:rsidRPr="00A007F3">
        <w:rPr>
          <w:rStyle w:val="libFootnoteAlaemChar"/>
          <w:rtl/>
        </w:rPr>
        <w:t>عليه‌السلام</w:t>
      </w:r>
      <w:r w:rsidRPr="00132E65">
        <w:rPr>
          <w:rtl/>
        </w:rPr>
        <w:t xml:space="preserve"> قد خرج عليَّ »</w:t>
      </w:r>
      <w:r>
        <w:rPr>
          <w:rtl/>
        </w:rPr>
        <w:t>.</w:t>
      </w:r>
    </w:p>
    <w:p w:rsidR="000C39D1" w:rsidRPr="00132E65" w:rsidRDefault="000C39D1" w:rsidP="000C39D1">
      <w:pPr>
        <w:pStyle w:val="libFootnote0"/>
        <w:rPr>
          <w:rtl/>
          <w:lang w:bidi="fa-IR"/>
        </w:rPr>
      </w:pPr>
      <w:r>
        <w:rPr>
          <w:rtl/>
        </w:rPr>
        <w:t>(9).</w:t>
      </w:r>
      <w:r w:rsidRPr="00132E65">
        <w:rPr>
          <w:rtl/>
        </w:rPr>
        <w:t xml:space="preserve"> في الكافى ، ح 1001 : « قال : رأيت أبا جعفر </w:t>
      </w:r>
      <w:r w:rsidRPr="00A007F3">
        <w:rPr>
          <w:rStyle w:val="libFootnoteAlaemChar"/>
          <w:rtl/>
        </w:rPr>
        <w:t>عليه‌السلام</w:t>
      </w:r>
      <w:r w:rsidRPr="00132E65">
        <w:rPr>
          <w:rtl/>
        </w:rPr>
        <w:t xml:space="preserve"> وقد خرج عليّ ، فأخذت النظر إليه وجعلت أنظر إلى رأسه » بدل « قال : خرج عليّ ، فنظرت إلى رأسه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0577A7">
        <w:rPr>
          <w:rStyle w:val="libFootnoteBoldChar"/>
          <w:rtl/>
        </w:rPr>
        <w:t>الكافي</w:t>
      </w:r>
      <w:r w:rsidRPr="00132E65">
        <w:rPr>
          <w:rtl/>
        </w:rPr>
        <w:t xml:space="preserve"> ، ح 1001 : « فقال »</w:t>
      </w:r>
      <w:r>
        <w:rPr>
          <w:rtl/>
        </w:rPr>
        <w:t>.</w:t>
      </w:r>
      <w:r w:rsidRPr="00132E65">
        <w:rPr>
          <w:rtl/>
        </w:rPr>
        <w:t xml:space="preserve"> وفي الإرشاد : « خرج عليَّ أبو جعفر </w:t>
      </w:r>
      <w:r w:rsidRPr="005B6C07">
        <w:rPr>
          <w:rStyle w:val="libFootnoteAlaemChar"/>
          <w:rtl/>
        </w:rPr>
        <w:t>عليه‌السلام</w:t>
      </w:r>
      <w:r w:rsidRPr="00132E65">
        <w:rPr>
          <w:rtl/>
        </w:rPr>
        <w:t xml:space="preserve"> حدثان موت أبيه ، فنظرت إلى قدّه‌</w:t>
      </w:r>
      <w:r w:rsidR="005B6C07">
        <w:rPr>
          <w:rFonts w:hint="cs"/>
          <w:rtl/>
        </w:rPr>
        <w:t xml:space="preserve"> </w:t>
      </w:r>
      <w:r w:rsidRPr="00132E65">
        <w:rPr>
          <w:rtl/>
        </w:rPr>
        <w:t>لأصف قامته لأصحابي ، فقعد ثمّ قال » بدل « خرج عليّ فنظرت</w:t>
      </w:r>
      <w:r>
        <w:rPr>
          <w:rtl/>
        </w:rPr>
        <w:t xml:space="preserve"> - </w:t>
      </w:r>
      <w:r w:rsidRPr="00132E65">
        <w:rPr>
          <w:rtl/>
        </w:rPr>
        <w:t>إلى</w:t>
      </w:r>
      <w:r>
        <w:rPr>
          <w:rtl/>
        </w:rPr>
        <w:t xml:space="preserve"> - </w:t>
      </w:r>
      <w:r w:rsidRPr="00132E65">
        <w:rPr>
          <w:rtl/>
        </w:rPr>
        <w:t>قعد وقال »</w:t>
      </w:r>
      <w:r>
        <w:rPr>
          <w:rtl/>
        </w:rPr>
        <w:t>.</w:t>
      </w:r>
    </w:p>
    <w:p w:rsidR="000C39D1" w:rsidRPr="00132E65" w:rsidRDefault="000C39D1" w:rsidP="000C39D1">
      <w:pPr>
        <w:pStyle w:val="libFootnote0"/>
        <w:rPr>
          <w:rtl/>
          <w:lang w:bidi="fa-IR"/>
        </w:rPr>
      </w:pPr>
      <w:r>
        <w:rPr>
          <w:rtl/>
        </w:rPr>
        <w:t>(11).</w:t>
      </w:r>
      <w:r w:rsidRPr="00132E65">
        <w:rPr>
          <w:rtl/>
        </w:rPr>
        <w:t xml:space="preserve"> في « ب ، ج ، ض ، بر ، بس ، بف » :</w:t>
      </w:r>
      <w:r>
        <w:rPr>
          <w:rtl/>
        </w:rPr>
        <w:t xml:space="preserve"> + </w:t>
      </w:r>
      <w:r w:rsidRPr="00132E65">
        <w:rPr>
          <w:rtl/>
        </w:rPr>
        <w:t>« به »</w:t>
      </w:r>
      <w:r>
        <w:rPr>
          <w:rtl/>
        </w:rPr>
        <w:t>.</w:t>
      </w:r>
      <w:r w:rsidRPr="00132E65">
        <w:rPr>
          <w:rtl/>
        </w:rPr>
        <w:t xml:space="preserve"> أي في القرآن.</w:t>
      </w:r>
    </w:p>
    <w:p w:rsidR="000C39D1" w:rsidRPr="00132E65" w:rsidRDefault="000C39D1" w:rsidP="000C39D1">
      <w:pPr>
        <w:pStyle w:val="libFootnote0"/>
        <w:rPr>
          <w:rtl/>
          <w:lang w:bidi="fa-IR"/>
        </w:rPr>
      </w:pPr>
      <w:r>
        <w:rPr>
          <w:rtl/>
        </w:rPr>
        <w:t>(12).</w:t>
      </w:r>
      <w:r w:rsidRPr="00132E65">
        <w:rPr>
          <w:rtl/>
        </w:rPr>
        <w:t xml:space="preserve"> في </w:t>
      </w:r>
      <w:r w:rsidRPr="000577A7">
        <w:rPr>
          <w:rStyle w:val="libFootnoteBoldChar"/>
          <w:rtl/>
        </w:rPr>
        <w:t>الكافي</w:t>
      </w:r>
      <w:r w:rsidRPr="00132E65">
        <w:rPr>
          <w:rtl/>
        </w:rPr>
        <w:t xml:space="preserve"> ، ح 1001 والإرشاد </w:t>
      </w:r>
      <w:r w:rsidRPr="005B6C07">
        <w:rPr>
          <w:rtl/>
        </w:rPr>
        <w:t>والوافي</w:t>
      </w:r>
      <w:r w:rsidRPr="00132E65">
        <w:rPr>
          <w:rtl/>
        </w:rPr>
        <w:t xml:space="preserve">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(13)</w:t>
      </w:r>
      <w:r w:rsidRPr="00132E65">
        <w:rPr>
          <w:rtl/>
        </w:rPr>
        <w:t xml:space="preserve"> مريم (19) : 12.</w:t>
      </w:r>
    </w:p>
    <w:p w:rsidR="000C39D1" w:rsidRPr="00132E65" w:rsidRDefault="000C39D1" w:rsidP="000C39D1">
      <w:pPr>
        <w:pStyle w:val="libFootnote0"/>
        <w:rPr>
          <w:rtl/>
          <w:lang w:bidi="fa-IR"/>
        </w:rPr>
      </w:pPr>
      <w:r>
        <w:rPr>
          <w:rtl/>
        </w:rPr>
        <w:t>(14)</w:t>
      </w:r>
      <w:r w:rsidRPr="00132E65">
        <w:rPr>
          <w:rtl/>
        </w:rPr>
        <w:t xml:space="preserve"> هكذا في « بر » </w:t>
      </w:r>
      <w:r w:rsidRPr="005B6C07">
        <w:rPr>
          <w:rtl/>
        </w:rPr>
        <w:t>والوافي</w:t>
      </w:r>
      <w:r w:rsidRPr="00132E65">
        <w:rPr>
          <w:rtl/>
        </w:rPr>
        <w:t>. وفي سائر</w:t>
      </w:r>
      <w:r w:rsidR="005B6C07">
        <w:rPr>
          <w:rFonts w:hint="cs"/>
          <w:rtl/>
        </w:rPr>
        <w:t xml:space="preserve"> </w:t>
      </w:r>
      <w:r w:rsidRPr="00132E65">
        <w:rPr>
          <w:rtl/>
        </w:rPr>
        <w:t xml:space="preserve">النسخ والمطبوع : « قال » بدون الواو. وفي </w:t>
      </w:r>
      <w:r w:rsidRPr="000577A7">
        <w:rPr>
          <w:rStyle w:val="libFootnoteBoldChar"/>
          <w:rtl/>
        </w:rPr>
        <w:t>الكافي</w:t>
      </w:r>
      <w:r w:rsidRPr="00132E65">
        <w:rPr>
          <w:rtl/>
        </w:rPr>
        <w:t xml:space="preserve"> ، ح 1001 </w:t>
      </w:r>
      <w:r>
        <w:rPr>
          <w:rtl/>
        </w:rPr>
        <w:t xml:space="preserve">: - </w:t>
      </w:r>
      <w:r w:rsidRPr="00132E65">
        <w:rPr>
          <w:rtl/>
        </w:rPr>
        <w:t>« وقال »</w:t>
      </w:r>
      <w:r>
        <w:rPr>
          <w:rtl/>
        </w:rPr>
        <w:t>.</w:t>
      </w:r>
    </w:p>
    <w:p w:rsidR="000C39D1" w:rsidRPr="00132E65" w:rsidRDefault="000C39D1" w:rsidP="005B6C07">
      <w:pPr>
        <w:pStyle w:val="libFootnote0"/>
        <w:rPr>
          <w:rtl/>
          <w:lang w:bidi="fa-IR"/>
        </w:rPr>
      </w:pPr>
      <w:r>
        <w:rPr>
          <w:rtl/>
        </w:rPr>
        <w:t>(15)</w:t>
      </w:r>
      <w:r w:rsidRPr="00132E65">
        <w:rPr>
          <w:rtl/>
        </w:rPr>
        <w:t xml:space="preserve"> هكذا في البصائر ، وهو مطابق للقرآن. وفي جميع النسخ والمطبوع : </w:t>
      </w:r>
      <w:r w:rsidR="005B6C07" w:rsidRPr="005B6C07">
        <w:rPr>
          <w:rStyle w:val="libFootnoteAlaemChar"/>
          <w:rtl/>
        </w:rPr>
        <w:t>(</w:t>
      </w:r>
      <w:r w:rsidRPr="005B6C07">
        <w:rPr>
          <w:rStyle w:val="libFootnoteAieChar"/>
          <w:rtl/>
        </w:rPr>
        <w:t xml:space="preserve"> وَلَمَّا بَلَغَ </w:t>
      </w:r>
      <w:r w:rsidR="005B6C07" w:rsidRPr="005B6C07">
        <w:rPr>
          <w:rStyle w:val="libFootnoteAlaemChar"/>
          <w:rFonts w:hint="cs"/>
          <w:rtl/>
        </w:rPr>
        <w:t>)</w:t>
      </w:r>
      <w:r>
        <w:rPr>
          <w:rtl/>
        </w:rPr>
        <w:t>.</w:t>
      </w:r>
    </w:p>
    <w:p w:rsidR="000C39D1" w:rsidRPr="00132E65" w:rsidRDefault="000C39D1" w:rsidP="005B6C07">
      <w:pPr>
        <w:pStyle w:val="libFootnote0"/>
        <w:rPr>
          <w:rtl/>
          <w:lang w:bidi="fa-IR"/>
        </w:rPr>
      </w:pPr>
      <w:r>
        <w:rPr>
          <w:rtl/>
        </w:rPr>
        <w:t>(16)</w:t>
      </w:r>
      <w:r w:rsidRPr="00132E65">
        <w:rPr>
          <w:rtl/>
        </w:rPr>
        <w:t xml:space="preserve"> الأحقاف (46) : 15 ؛ وفي سورة يوسف </w:t>
      </w:r>
      <w:r w:rsidR="005B6C07">
        <w:rPr>
          <w:rtl/>
        </w:rPr>
        <w:t>(12)</w:t>
      </w:r>
      <w:r w:rsidRPr="00132E65">
        <w:rPr>
          <w:rtl/>
        </w:rPr>
        <w:t xml:space="preserve"> : 22 : </w:t>
      </w:r>
      <w:r w:rsidRPr="005B6C07">
        <w:rPr>
          <w:rStyle w:val="libFootnoteAlaemChar"/>
          <w:rtl/>
        </w:rPr>
        <w:t>(</w:t>
      </w:r>
      <w:r>
        <w:rPr>
          <w:rFonts w:hint="cs"/>
          <w:rtl/>
        </w:rPr>
        <w:t xml:space="preserve"> </w:t>
      </w:r>
      <w:r w:rsidRPr="00C2691A">
        <w:rPr>
          <w:rStyle w:val="libFootnoteAieChar"/>
          <w:rtl/>
        </w:rPr>
        <w:t>وَلَمّ</w:t>
      </w:r>
      <w:r w:rsidR="005B6C07">
        <w:rPr>
          <w:rStyle w:val="libFootnoteAieChar"/>
          <w:rFonts w:hint="cs"/>
          <w:rtl/>
        </w:rPr>
        <w:t>َ</w:t>
      </w:r>
      <w:r w:rsidRPr="00C2691A">
        <w:rPr>
          <w:rStyle w:val="libFootnoteAieChar"/>
          <w:rtl/>
        </w:rPr>
        <w:t xml:space="preserve">ا بَلَغَ أَشُدَّهُ </w:t>
      </w:r>
      <w:r w:rsidR="005B6C07">
        <w:rPr>
          <w:rStyle w:val="libFootnoteAieChar"/>
          <w:rFonts w:hint="cs"/>
          <w:rtl/>
        </w:rPr>
        <w:t>ءَا</w:t>
      </w:r>
      <w:r w:rsidRPr="00C2691A">
        <w:rPr>
          <w:rStyle w:val="libFootnoteAieChar"/>
          <w:rtl/>
        </w:rPr>
        <w:t>تَيْن</w:t>
      </w:r>
      <w:r w:rsidR="005B6C07">
        <w:rPr>
          <w:rStyle w:val="libFootnoteAieChar"/>
          <w:rFonts w:hint="cs"/>
          <w:rtl/>
        </w:rPr>
        <w:t>َ</w:t>
      </w:r>
      <w:r w:rsidRPr="00C2691A">
        <w:rPr>
          <w:rStyle w:val="libFootnoteAieChar"/>
          <w:rtl/>
        </w:rPr>
        <w:t>اهُ حُكْماً وَعِلْماً وَكَذلِكَ نَجْزِي</w:t>
      </w:r>
      <w:r w:rsidR="005B6C07" w:rsidRPr="005B6C07">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فَقَدْ </w:t>
      </w:r>
      <w:r>
        <w:rPr>
          <w:rStyle w:val="libFootnotenumChar"/>
          <w:rtl/>
        </w:rPr>
        <w:t>(1)</w:t>
      </w:r>
      <w:r w:rsidRPr="00132E65">
        <w:rPr>
          <w:rtl/>
          <w:lang w:bidi="fa-IR"/>
        </w:rPr>
        <w:t xml:space="preserve"> يَجُوزُ أَنْ يُؤْتَى الْحِكْمَةَ </w:t>
      </w:r>
      <w:r>
        <w:rPr>
          <w:rStyle w:val="libFootnotenumChar"/>
          <w:rtl/>
        </w:rPr>
        <w:t>(2)</w:t>
      </w:r>
      <w:r w:rsidRPr="00132E65">
        <w:rPr>
          <w:rtl/>
          <w:lang w:bidi="fa-IR"/>
        </w:rPr>
        <w:t xml:space="preserve"> صَبِيّاً </w:t>
      </w:r>
      <w:r>
        <w:rPr>
          <w:rStyle w:val="libFootnotenumChar"/>
          <w:rtl/>
        </w:rPr>
        <w:t>(3)</w:t>
      </w:r>
      <w:r w:rsidRPr="00132E65">
        <w:rPr>
          <w:rtl/>
          <w:lang w:bidi="fa-IR"/>
        </w:rPr>
        <w:t xml:space="preserve"> ، و</w:t>
      </w:r>
      <w:r w:rsidR="005B6C07">
        <w:rPr>
          <w:rFonts w:hint="cs"/>
          <w:rtl/>
          <w:lang w:bidi="fa-IR"/>
        </w:rPr>
        <w:t>َ</w:t>
      </w:r>
      <w:r w:rsidRPr="00132E65">
        <w:rPr>
          <w:rtl/>
          <w:lang w:bidi="fa-IR"/>
        </w:rPr>
        <w:t xml:space="preserve">يَجُوزُ أَنْ يُعْطَاهَا </w:t>
      </w:r>
      <w:r>
        <w:rPr>
          <w:rStyle w:val="libFootnotenumChar"/>
          <w:rtl/>
        </w:rPr>
        <w:t>(4)</w:t>
      </w:r>
      <w:r w:rsidRPr="00132E65">
        <w:rPr>
          <w:rtl/>
          <w:lang w:bidi="fa-IR"/>
        </w:rPr>
        <w:t xml:space="preserve"> و</w:t>
      </w:r>
      <w:r w:rsidR="005B6C07">
        <w:rPr>
          <w:rFonts w:hint="cs"/>
          <w:rtl/>
          <w:lang w:bidi="fa-IR"/>
        </w:rPr>
        <w:t xml:space="preserve">َ </w:t>
      </w:r>
      <w:r w:rsidRPr="00132E65">
        <w:rPr>
          <w:rtl/>
          <w:lang w:bidi="fa-IR"/>
        </w:rPr>
        <w:t>هُوَ ابْنُ أَرْبَعِينَ سَنَةً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576DE8">
        <w:rPr>
          <w:rtl/>
        </w:rPr>
        <w:t>1312</w:t>
      </w:r>
      <w:r w:rsidRPr="004325D8">
        <w:rPr>
          <w:rStyle w:val="libBold2Char"/>
          <w:rtl/>
        </w:rPr>
        <w:t xml:space="preserve"> / 4.</w:t>
      </w:r>
      <w:r w:rsidRPr="00132E65">
        <w:rPr>
          <w:rtl/>
          <w:lang w:bidi="fa-IR"/>
        </w:rPr>
        <w:t xml:space="preserve"> عَلِيُّ بْنُ مُحَمَّدٍ </w:t>
      </w:r>
      <w:r>
        <w:rPr>
          <w:rStyle w:val="libFootnotenumChar"/>
          <w:rtl/>
        </w:rPr>
        <w:t>(6)</w:t>
      </w:r>
      <w:r w:rsidRPr="00132E65">
        <w:rPr>
          <w:rtl/>
          <w:lang w:bidi="fa-IR"/>
        </w:rPr>
        <w:t xml:space="preserve"> ، عَنْ بَعْضِ أَصْحَابِنَا ، عَنْ مُحَمَّدِ بْنِ الرَّيَّانِ ، قَالَ :</w:t>
      </w:r>
    </w:p>
    <w:p w:rsidR="000C39D1" w:rsidRPr="00132E65" w:rsidRDefault="000C39D1" w:rsidP="000C39D1">
      <w:pPr>
        <w:pStyle w:val="libNormal"/>
        <w:rPr>
          <w:rtl/>
          <w:lang w:bidi="fa-IR"/>
        </w:rPr>
      </w:pPr>
      <w:r w:rsidRPr="00132E65">
        <w:rPr>
          <w:rtl/>
          <w:lang w:bidi="fa-IR"/>
        </w:rPr>
        <w:t xml:space="preserve">احْتَالَ الْمَأْمُونُ عَلى أَبِي جَعْفَرٍ </w:t>
      </w:r>
      <w:r w:rsidRPr="00071CF9">
        <w:rPr>
          <w:rStyle w:val="libAlaemChar"/>
          <w:rtl/>
        </w:rPr>
        <w:t>عليه‌السلام</w:t>
      </w:r>
      <w:r w:rsidRPr="00132E65">
        <w:rPr>
          <w:rtl/>
          <w:lang w:bidi="fa-IR"/>
        </w:rPr>
        <w:t xml:space="preserve"> بِكُلِّ حِيلَةٍ ، فَلَمْ يُمْكِنْهُ </w:t>
      </w:r>
      <w:r>
        <w:rPr>
          <w:rStyle w:val="libFootnotenumChar"/>
          <w:rtl/>
        </w:rPr>
        <w:t>(7)</w:t>
      </w:r>
      <w:r w:rsidRPr="00132E65">
        <w:rPr>
          <w:rtl/>
          <w:lang w:bidi="fa-IR"/>
        </w:rPr>
        <w:t xml:space="preserve"> فِيهِ </w:t>
      </w:r>
      <w:r>
        <w:rPr>
          <w:rStyle w:val="libFootnotenumChar"/>
          <w:rtl/>
        </w:rPr>
        <w:t>(8)</w:t>
      </w:r>
      <w:r w:rsidRPr="00132E65">
        <w:rPr>
          <w:rtl/>
          <w:lang w:bidi="fa-IR"/>
        </w:rPr>
        <w:t xml:space="preserve"> شَيْ‌ءٌ ، فَلَمَّا اعْتَلَّ </w:t>
      </w:r>
      <w:r>
        <w:rPr>
          <w:rStyle w:val="libFootnotenumChar"/>
          <w:rtl/>
        </w:rPr>
        <w:t>(9)</w:t>
      </w:r>
      <w:r w:rsidRPr="00132E65">
        <w:rPr>
          <w:rtl/>
          <w:lang w:bidi="fa-IR"/>
        </w:rPr>
        <w:t xml:space="preserve"> وَأَرَادَ أَنْ يَبْنِيَ </w:t>
      </w:r>
      <w:r>
        <w:rPr>
          <w:rStyle w:val="libFootnotenumChar"/>
          <w:rtl/>
        </w:rPr>
        <w:t>(10)</w:t>
      </w:r>
      <w:r w:rsidRPr="00132E65">
        <w:rPr>
          <w:rtl/>
          <w:lang w:bidi="fa-IR"/>
        </w:rPr>
        <w:t xml:space="preserve"> عَلَيْهِ ابْنَتَهُ ، دَفَعَ إِلى مِائَتَيْ و</w:t>
      </w:r>
      <w:r w:rsidR="005B6C07">
        <w:rPr>
          <w:rFonts w:hint="cs"/>
          <w:rtl/>
          <w:lang w:bidi="fa-IR"/>
        </w:rPr>
        <w:t>َ</w:t>
      </w:r>
      <w:r w:rsidRPr="00132E65">
        <w:rPr>
          <w:rtl/>
          <w:lang w:bidi="fa-IR"/>
        </w:rPr>
        <w:t xml:space="preserve">صِيفَةٍ </w:t>
      </w:r>
      <w:r>
        <w:rPr>
          <w:rStyle w:val="libFootnotenumChar"/>
          <w:rtl/>
        </w:rPr>
        <w:t>(11)</w:t>
      </w:r>
      <w:r w:rsidRPr="00132E65">
        <w:rPr>
          <w:rtl/>
          <w:lang w:bidi="fa-IR"/>
        </w:rPr>
        <w:t xml:space="preserve"> مِنْ أَجْمَلِ مَا يَكُنَّ </w:t>
      </w:r>
      <w:r>
        <w:rPr>
          <w:rStyle w:val="libFootnotenumChar"/>
          <w:rtl/>
        </w:rPr>
        <w:t>(12)</w:t>
      </w:r>
      <w:r w:rsidRPr="00132E65">
        <w:rPr>
          <w:rtl/>
          <w:lang w:bidi="fa-IR"/>
        </w:rPr>
        <w:t xml:space="preserve"> إِلى كُلِّ وَاحِدَةٍ مِنْهُنَّ جَاماً </w:t>
      </w:r>
      <w:r w:rsidRPr="00F543F1">
        <w:rPr>
          <w:rStyle w:val="libFootnotenumChar"/>
          <w:rtl/>
        </w:rPr>
        <w:t>(13)</w:t>
      </w:r>
      <w:r w:rsidRPr="00132E65">
        <w:rPr>
          <w:rtl/>
          <w:lang w:bidi="fa-IR"/>
        </w:rPr>
        <w:t xml:space="preserve"> فِيهِ جَوْهَرٌ يَسْتَقْبِلْنَ </w:t>
      </w:r>
      <w:r w:rsidRPr="00F543F1">
        <w:rPr>
          <w:rStyle w:val="libFootnotenumChar"/>
          <w:rtl/>
        </w:rPr>
        <w:t>(14)</w:t>
      </w:r>
      <w:r w:rsidRPr="00132E65">
        <w:rPr>
          <w:rtl/>
          <w:lang w:bidi="fa-IR"/>
        </w:rPr>
        <w:t xml:space="preserve"> أَبَا جَعْفَرٍ </w:t>
      </w:r>
      <w:r w:rsidRPr="00071CF9">
        <w:rPr>
          <w:rStyle w:val="libAlaemChar"/>
          <w:rtl/>
        </w:rPr>
        <w:t>عليه‌السلام</w:t>
      </w:r>
      <w:r w:rsidRPr="00132E65">
        <w:rPr>
          <w:rtl/>
          <w:lang w:bidi="fa-IR"/>
        </w:rPr>
        <w:t>‌</w:t>
      </w:r>
      <w:r w:rsidR="005B6C07">
        <w:rPr>
          <w:rFonts w:hint="cs"/>
          <w:rtl/>
          <w:lang w:bidi="fa-IR"/>
        </w:rPr>
        <w:t xml:space="preserve"> ................................................</w:t>
      </w:r>
      <w:r w:rsidR="005B6C07">
        <w:rPr>
          <w:rFonts w:hint="cs"/>
          <w:rtl/>
          <w:lang w:bidi="fa-IR"/>
        </w:rPr>
        <w:tab/>
        <w:t>.....</w:t>
      </w:r>
      <w:r w:rsidR="005B6C07">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Default="005B6C07" w:rsidP="005B6C07">
      <w:pPr>
        <w:pStyle w:val="libFootnote0"/>
        <w:rPr>
          <w:rtl/>
          <w:lang w:bidi="ar-IQ"/>
        </w:rPr>
      </w:pPr>
      <w:r w:rsidRPr="005B6C07">
        <w:rPr>
          <w:rFonts w:hint="cs"/>
          <w:rtl/>
        </w:rPr>
        <w:t>=</w:t>
      </w:r>
      <w:r w:rsidR="000C39D1" w:rsidRPr="00C2691A">
        <w:rPr>
          <w:rStyle w:val="libFootnoteAieChar"/>
          <w:rtl/>
        </w:rPr>
        <w:t>الْمُحْسِنِينَ</w:t>
      </w:r>
      <w:r w:rsidR="000C39D1">
        <w:rPr>
          <w:rFonts w:hint="cs"/>
          <w:rtl/>
        </w:rPr>
        <w:t xml:space="preserve"> </w:t>
      </w:r>
      <w:r w:rsidR="000C39D1" w:rsidRPr="00071CF9">
        <w:rPr>
          <w:rStyle w:val="libAlaemChar"/>
          <w:rtl/>
        </w:rPr>
        <w:t>)</w:t>
      </w:r>
      <w:r w:rsidR="000C39D1" w:rsidRPr="00132E65">
        <w:rPr>
          <w:rtl/>
        </w:rPr>
        <w:t xml:space="preserve"> ؛ وفي سورة القصص (28) : 14 : </w:t>
      </w:r>
      <w:r w:rsidR="000C39D1" w:rsidRPr="00071CF9">
        <w:rPr>
          <w:rStyle w:val="libAlaemChar"/>
          <w:rtl/>
        </w:rPr>
        <w:t>(</w:t>
      </w:r>
      <w:r w:rsidR="000C39D1">
        <w:rPr>
          <w:rFonts w:hint="cs"/>
          <w:rtl/>
        </w:rPr>
        <w:t xml:space="preserve"> </w:t>
      </w:r>
      <w:r w:rsidR="000C39D1" w:rsidRPr="00C2691A">
        <w:rPr>
          <w:rStyle w:val="libFootnoteAieChar"/>
          <w:rtl/>
        </w:rPr>
        <w:t>وَلَمّ</w:t>
      </w:r>
      <w:r>
        <w:rPr>
          <w:rStyle w:val="libFootnoteAieChar"/>
          <w:rFonts w:hint="cs"/>
          <w:rtl/>
        </w:rPr>
        <w:t>َ</w:t>
      </w:r>
      <w:r w:rsidR="000C39D1" w:rsidRPr="00C2691A">
        <w:rPr>
          <w:rStyle w:val="libFootnoteAieChar"/>
          <w:rtl/>
        </w:rPr>
        <w:t xml:space="preserve">ا بَلَغَ أَشُدَّهُ وَاسْتَوى </w:t>
      </w:r>
      <w:r>
        <w:rPr>
          <w:rStyle w:val="libFootnoteAieChar"/>
          <w:rFonts w:hint="cs"/>
          <w:rtl/>
        </w:rPr>
        <w:t>ءَا</w:t>
      </w:r>
      <w:r w:rsidR="000C39D1" w:rsidRPr="00C2691A">
        <w:rPr>
          <w:rStyle w:val="libFootnoteAieChar"/>
          <w:rtl/>
        </w:rPr>
        <w:t>تَيْناهُ حُكْماً وَعِلْماً وَكَذلِكَ نَجْزِي الْمُحْسِنِينَ</w:t>
      </w:r>
      <w:r w:rsidR="000C39D1" w:rsidRPr="00071CF9">
        <w:rPr>
          <w:rStyle w:val="libAlaemChar"/>
          <w:rtl/>
        </w:rPr>
        <w:t>)</w:t>
      </w:r>
      <w:r w:rsidR="000C39D1">
        <w:rPr>
          <w:rFonts w:hint="cs"/>
          <w:rtl/>
        </w:rPr>
        <w:t>.</w:t>
      </w:r>
    </w:p>
    <w:p w:rsidR="000C39D1" w:rsidRPr="00132E65" w:rsidRDefault="000C39D1" w:rsidP="000C39D1">
      <w:pPr>
        <w:pStyle w:val="libFootnote0"/>
        <w:rPr>
          <w:rtl/>
          <w:lang w:bidi="fa-IR"/>
        </w:rPr>
      </w:pPr>
      <w:r>
        <w:rPr>
          <w:rtl/>
        </w:rPr>
        <w:t>(1).</w:t>
      </w:r>
      <w:r w:rsidRPr="00132E65">
        <w:rPr>
          <w:rtl/>
        </w:rPr>
        <w:t xml:space="preserve"> في « ب » : « وقد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بح ، بس ، بف » و</w:t>
      </w:r>
      <w:r w:rsidRPr="000577A7">
        <w:rPr>
          <w:rStyle w:val="libFootnoteBoldChar"/>
          <w:rtl/>
        </w:rPr>
        <w:t>الكافي</w:t>
      </w:r>
      <w:r w:rsidRPr="00132E65">
        <w:rPr>
          <w:rtl/>
        </w:rPr>
        <w:t xml:space="preserve"> ، ح 1001 ، </w:t>
      </w:r>
      <w:r w:rsidRPr="005B6C07">
        <w:rPr>
          <w:rStyle w:val="libFootnoteBoldChar"/>
          <w:rtl/>
        </w:rPr>
        <w:t>والبصائر</w:t>
      </w:r>
      <w:r w:rsidRPr="00132E65">
        <w:rPr>
          <w:rtl/>
        </w:rPr>
        <w:t xml:space="preserve"> و</w:t>
      </w:r>
      <w:r w:rsidRPr="009D1ACE">
        <w:rPr>
          <w:rStyle w:val="libFootnoteBoldChar"/>
          <w:rtl/>
        </w:rPr>
        <w:t>الوافي</w:t>
      </w:r>
      <w:r w:rsidRPr="00132E65">
        <w:rPr>
          <w:rtl/>
        </w:rPr>
        <w:t>. ويؤيّده بل يعيّنه قوله بعد ذلك : « ويجوز أن يعطاها »</w:t>
      </w:r>
      <w:r>
        <w:rPr>
          <w:rtl/>
        </w:rPr>
        <w:t>.</w:t>
      </w:r>
      <w:r w:rsidRPr="00132E65">
        <w:rPr>
          <w:rtl/>
        </w:rPr>
        <w:t xml:space="preserve"> وفي المطبوع : « الحُكمَ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0577A7">
        <w:rPr>
          <w:rStyle w:val="libFootnoteBoldChar"/>
          <w:rtl/>
        </w:rPr>
        <w:t>الكافي</w:t>
      </w:r>
      <w:r w:rsidRPr="00132E65">
        <w:rPr>
          <w:rtl/>
        </w:rPr>
        <w:t xml:space="preserve"> ، ح 1001 : « وهو صبيّ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0577A7">
        <w:rPr>
          <w:rStyle w:val="libFootnoteBoldChar"/>
          <w:rtl/>
        </w:rPr>
        <w:t>الكافي</w:t>
      </w:r>
      <w:r w:rsidRPr="00132E65">
        <w:rPr>
          <w:rtl/>
        </w:rPr>
        <w:t xml:space="preserve"> ، ح 1001 : « أن يؤتاها »</w:t>
      </w:r>
      <w:r>
        <w:rPr>
          <w:rtl/>
        </w:rPr>
        <w:t>.</w:t>
      </w:r>
      <w:r w:rsidRPr="00132E65">
        <w:rPr>
          <w:rtl/>
        </w:rPr>
        <w:t xml:space="preserve"> وفي البصائر : « أن يؤتي »</w:t>
      </w:r>
      <w:r>
        <w:rPr>
          <w:rtl/>
        </w:rPr>
        <w:t>.</w:t>
      </w:r>
    </w:p>
    <w:p w:rsidR="000C39D1" w:rsidRPr="00132E65" w:rsidRDefault="000C39D1" w:rsidP="005B6C07">
      <w:pPr>
        <w:pStyle w:val="libFootnote0"/>
        <w:rPr>
          <w:rtl/>
          <w:lang w:bidi="fa-IR"/>
        </w:rPr>
      </w:pPr>
      <w:r>
        <w:rPr>
          <w:rtl/>
        </w:rPr>
        <w:t>(5).</w:t>
      </w:r>
      <w:r w:rsidRPr="00132E65">
        <w:rPr>
          <w:rtl/>
        </w:rPr>
        <w:t xml:space="preserve"> </w:t>
      </w:r>
      <w:r w:rsidRPr="000577A7">
        <w:rPr>
          <w:rStyle w:val="libFootnoteBoldChar"/>
          <w:rtl/>
        </w:rPr>
        <w:t>الكافي</w:t>
      </w:r>
      <w:r w:rsidRPr="00132E65">
        <w:rPr>
          <w:rtl/>
        </w:rPr>
        <w:t xml:space="preserve"> ، </w:t>
      </w:r>
      <w:r w:rsidRPr="005B6C07">
        <w:rPr>
          <w:rStyle w:val="libFootnoteBoldChar"/>
          <w:rtl/>
        </w:rPr>
        <w:t>كتاب الحجّة</w:t>
      </w:r>
      <w:r w:rsidRPr="00132E65">
        <w:rPr>
          <w:rtl/>
        </w:rPr>
        <w:t xml:space="preserve"> ، باب حالات الأئمّة </w:t>
      </w:r>
      <w:r w:rsidRPr="005B6C07">
        <w:rPr>
          <w:rStyle w:val="libFootnoteAlaemChar"/>
          <w:rtl/>
        </w:rPr>
        <w:t>عليهم‌السلام</w:t>
      </w:r>
      <w:r w:rsidRPr="00132E65">
        <w:rPr>
          <w:rtl/>
        </w:rPr>
        <w:t xml:space="preserve"> في السنّ ، ح 1001. وفي </w:t>
      </w:r>
      <w:r w:rsidRPr="005B6C07">
        <w:rPr>
          <w:rStyle w:val="libFootnoteBoldChar"/>
          <w:rtl/>
        </w:rPr>
        <w:t>الإرشاد</w:t>
      </w:r>
      <w:r w:rsidRPr="00132E65">
        <w:rPr>
          <w:rtl/>
        </w:rPr>
        <w:t xml:space="preserve"> ، ج 2 ، ص 292 بسنده عن الكليني ، إلى قوله : </w:t>
      </w:r>
      <w:r w:rsidR="005B6C07" w:rsidRPr="005B6C07">
        <w:rPr>
          <w:rStyle w:val="libFootnoteAlaemChar"/>
          <w:rFonts w:hint="cs"/>
          <w:rtl/>
        </w:rPr>
        <w:t>(</w:t>
      </w:r>
      <w:r w:rsidRPr="005B6C07">
        <w:rPr>
          <w:rStyle w:val="libFootnoteAieChar"/>
          <w:rtl/>
        </w:rPr>
        <w:t xml:space="preserve"> وَءَاتَيْن</w:t>
      </w:r>
      <w:r w:rsidR="005F05CE">
        <w:rPr>
          <w:rStyle w:val="libFootnoteAieChar"/>
          <w:rFonts w:hint="cs"/>
          <w:rtl/>
        </w:rPr>
        <w:t>ا</w:t>
      </w:r>
      <w:r w:rsidRPr="005B6C07">
        <w:rPr>
          <w:rStyle w:val="libFootnoteAieChar"/>
          <w:rtl/>
        </w:rPr>
        <w:t xml:space="preserve">هُ الْحُكْمَ صَبِيًّا </w:t>
      </w:r>
      <w:r w:rsidR="005B6C07" w:rsidRPr="005B6C07">
        <w:rPr>
          <w:rStyle w:val="libFootnoteAlaemChar"/>
          <w:rFonts w:hint="cs"/>
          <w:rtl/>
        </w:rPr>
        <w:t>)</w:t>
      </w:r>
      <w:r>
        <w:rPr>
          <w:rtl/>
        </w:rPr>
        <w:t>.</w:t>
      </w:r>
      <w:r w:rsidRPr="00132E65">
        <w:rPr>
          <w:rtl/>
        </w:rPr>
        <w:t xml:space="preserve"> </w:t>
      </w:r>
      <w:r w:rsidRPr="007A1104">
        <w:rPr>
          <w:rStyle w:val="libFootnoteBoldChar"/>
          <w:rtl/>
        </w:rPr>
        <w:t>بصائر الدرجات</w:t>
      </w:r>
      <w:r w:rsidRPr="00132E65">
        <w:rPr>
          <w:rtl/>
        </w:rPr>
        <w:t xml:space="preserve"> ، ص 238 ، ح 10 ، بسنده عن عليّ بن أسباط ، عن أبي جعفر </w:t>
      </w:r>
      <w:r w:rsidRPr="005F05CE">
        <w:rPr>
          <w:rStyle w:val="libFootnoteAlaemChar"/>
          <w:rtl/>
        </w:rPr>
        <w:t>عليه‌السلام</w:t>
      </w:r>
      <w:r w:rsidRPr="00132E65">
        <w:rPr>
          <w:rtl/>
        </w:rPr>
        <w:t xml:space="preserve"> </w:t>
      </w:r>
      <w:r w:rsidR="005F05CE">
        <w:rPr>
          <w:rFonts w:hint="cs"/>
          <w:rtl/>
        </w:rPr>
        <w:t>.</w:t>
      </w:r>
      <w:r w:rsidRPr="009D1ACE">
        <w:rPr>
          <w:rStyle w:val="libFootnoteBoldChar"/>
          <w:rtl/>
        </w:rPr>
        <w:t>الوافي</w:t>
      </w:r>
      <w:r w:rsidRPr="00132E65">
        <w:rPr>
          <w:rtl/>
        </w:rPr>
        <w:t xml:space="preserve"> ، ج 3 ، ص 827 ، ح 1436 ؛ </w:t>
      </w:r>
      <w:r w:rsidRPr="005F05CE">
        <w:rPr>
          <w:rStyle w:val="libFootnoteBoldChar"/>
          <w:rtl/>
        </w:rPr>
        <w:t>البحار</w:t>
      </w:r>
      <w:r w:rsidRPr="00132E65">
        <w:rPr>
          <w:rtl/>
        </w:rPr>
        <w:t xml:space="preserve"> ، ج 25 ، ص 100 ، ذيل ح 1.</w:t>
      </w:r>
    </w:p>
    <w:tbl>
      <w:tblPr>
        <w:tblStyle w:val="TableGrid"/>
        <w:bidiVisual/>
        <w:tblW w:w="0" w:type="auto"/>
        <w:tblLook w:val="04A0" w:firstRow="1" w:lastRow="0" w:firstColumn="1" w:lastColumn="0" w:noHBand="0" w:noVBand="1"/>
      </w:tblPr>
      <w:tblGrid>
        <w:gridCol w:w="4261"/>
        <w:gridCol w:w="4262"/>
      </w:tblGrid>
      <w:tr w:rsidR="005F05CE" w:rsidTr="005F05CE">
        <w:tc>
          <w:tcPr>
            <w:tcW w:w="4261" w:type="dxa"/>
          </w:tcPr>
          <w:p w:rsidR="005F05CE" w:rsidRDefault="005F05CE" w:rsidP="005F05CE">
            <w:pPr>
              <w:pStyle w:val="libFootnote0"/>
              <w:rPr>
                <w:rtl/>
              </w:rPr>
            </w:pPr>
            <w:r>
              <w:rPr>
                <w:rtl/>
              </w:rPr>
              <w:t>(6). في «ف ، بر ، بف ، جر» : «</w:t>
            </w:r>
            <w:r w:rsidRPr="00132E65">
              <w:rPr>
                <w:rtl/>
              </w:rPr>
              <w:t>عليّ بن إبراهيم»</w:t>
            </w:r>
            <w:r>
              <w:rPr>
                <w:rtl/>
              </w:rPr>
              <w:t>.</w:t>
            </w:r>
          </w:p>
        </w:tc>
        <w:tc>
          <w:tcPr>
            <w:tcW w:w="4262" w:type="dxa"/>
          </w:tcPr>
          <w:p w:rsidR="005F05CE" w:rsidRDefault="005F05CE" w:rsidP="000C39D1">
            <w:pPr>
              <w:pStyle w:val="libFootnote0"/>
              <w:rPr>
                <w:rtl/>
              </w:rPr>
            </w:pPr>
            <w:r>
              <w:rPr>
                <w:rtl/>
              </w:rPr>
              <w:t>(7).</w:t>
            </w:r>
            <w:r w:rsidRPr="00132E65">
              <w:rPr>
                <w:rtl/>
              </w:rPr>
              <w:t xml:space="preserve"> في « ج ، ف » : « فلم يمكّنه »</w:t>
            </w:r>
            <w:r>
              <w:rPr>
                <w:rtl/>
              </w:rPr>
              <w:t>.</w:t>
            </w:r>
          </w:p>
        </w:tc>
      </w:tr>
    </w:tbl>
    <w:p w:rsidR="000C39D1" w:rsidRPr="00132E65" w:rsidRDefault="000C39D1" w:rsidP="000C39D1">
      <w:pPr>
        <w:pStyle w:val="libFootnote0"/>
        <w:rPr>
          <w:rtl/>
          <w:lang w:bidi="fa-IR"/>
        </w:rPr>
      </w:pPr>
      <w:r>
        <w:rPr>
          <w:rtl/>
        </w:rPr>
        <w:t>(8).</w:t>
      </w:r>
      <w:r w:rsidRPr="00132E65">
        <w:rPr>
          <w:rtl/>
        </w:rPr>
        <w:t xml:space="preserve"> في « ف » و</w:t>
      </w:r>
      <w:r w:rsidRPr="009D1ACE">
        <w:rPr>
          <w:rStyle w:val="libFootnoteBoldChar"/>
          <w:rtl/>
        </w:rPr>
        <w:t>مرآة العقول</w:t>
      </w:r>
      <w:r w:rsidRPr="00132E65">
        <w:rPr>
          <w:rtl/>
        </w:rPr>
        <w:t xml:space="preserve"> : « في » بدون الضمير.</w:t>
      </w:r>
    </w:p>
    <w:p w:rsidR="000C39D1" w:rsidRPr="00132E65" w:rsidRDefault="000C39D1" w:rsidP="000C39D1">
      <w:pPr>
        <w:pStyle w:val="libFootnote0"/>
        <w:rPr>
          <w:rtl/>
          <w:lang w:bidi="fa-IR"/>
        </w:rPr>
      </w:pPr>
      <w:r>
        <w:rPr>
          <w:rtl/>
        </w:rPr>
        <w:t>(9).</w:t>
      </w:r>
      <w:r w:rsidRPr="00132E65">
        <w:rPr>
          <w:rtl/>
        </w:rPr>
        <w:t xml:space="preserve"> « اعتلّ » ، أي عجز عن الحيلة كأنّه صار عليلاً. أو يقرأ مجهولاً كما في « ج » و</w:t>
      </w:r>
      <w:r w:rsidRPr="009D1ACE">
        <w:rPr>
          <w:rStyle w:val="libFootnoteBoldChar"/>
          <w:rtl/>
        </w:rPr>
        <w:t>مرآة العقول</w:t>
      </w:r>
      <w:r w:rsidRPr="00132E65">
        <w:rPr>
          <w:rtl/>
        </w:rPr>
        <w:t xml:space="preserve"> ، أي عُوِّق ومنع من ذلك ، يقال : اعتلّه ، أي اعتاقه عن أمر. راجع : </w:t>
      </w:r>
      <w:r w:rsidRPr="005F05CE">
        <w:rPr>
          <w:rStyle w:val="libFootnoteBoldChar"/>
          <w:rtl/>
        </w:rPr>
        <w:t>القاموس المحيط</w:t>
      </w:r>
      <w:r w:rsidRPr="00132E65">
        <w:rPr>
          <w:rtl/>
        </w:rPr>
        <w:t xml:space="preserve"> ، ج 2 ، ص 1368 ( علل )</w:t>
      </w:r>
      <w:r>
        <w:rPr>
          <w:rtl/>
        </w:rPr>
        <w:t>.</w:t>
      </w:r>
    </w:p>
    <w:p w:rsidR="000C39D1" w:rsidRPr="00132E65" w:rsidRDefault="000C39D1" w:rsidP="000C39D1">
      <w:pPr>
        <w:pStyle w:val="libFootnote0"/>
        <w:rPr>
          <w:rtl/>
          <w:lang w:bidi="fa-IR"/>
        </w:rPr>
      </w:pPr>
      <w:r>
        <w:rPr>
          <w:rtl/>
        </w:rPr>
        <w:t>(10).</w:t>
      </w:r>
      <w:r w:rsidRPr="00132E65">
        <w:rPr>
          <w:rtl/>
        </w:rPr>
        <w:t xml:space="preserve"> في حاشية « بر » : « أن يدخل »</w:t>
      </w:r>
      <w:r>
        <w:rPr>
          <w:rtl/>
        </w:rPr>
        <w:t>.</w:t>
      </w:r>
      <w:r w:rsidRPr="00132E65">
        <w:rPr>
          <w:rtl/>
        </w:rPr>
        <w:t xml:space="preserve"> وقوله : « أن يبني » ، أي يزوّج ويزفّ ، أي يُهدي. الابتناء والبناء : الدخول‌</w:t>
      </w:r>
      <w:r w:rsidR="005F05CE">
        <w:rPr>
          <w:rFonts w:hint="cs"/>
          <w:rtl/>
        </w:rPr>
        <w:t xml:space="preserve"> </w:t>
      </w:r>
      <w:r w:rsidRPr="00132E65">
        <w:rPr>
          <w:rtl/>
        </w:rPr>
        <w:t xml:space="preserve">بالزوجة. والأصل فيه أنّ الرجل كان إذا تزوّج امرأة بنى عليها قبّة ؛ ليدخل بها فيها ، فيقال : بنى الرجل على أهله وبأهله ، فقيل لكلّ داخل بأهله : بانٍ. راجع : </w:t>
      </w:r>
      <w:r w:rsidRPr="005F05CE">
        <w:rPr>
          <w:rStyle w:val="libFootnoteBoldChar"/>
          <w:rtl/>
        </w:rPr>
        <w:t>الصحاح</w:t>
      </w:r>
      <w:r w:rsidRPr="00132E65">
        <w:rPr>
          <w:rtl/>
        </w:rPr>
        <w:t xml:space="preserve"> ، ج 6 ، ص 2286 ؛ </w:t>
      </w:r>
      <w:r w:rsidRPr="005F05CE">
        <w:rPr>
          <w:rStyle w:val="libFootnoteBoldChar"/>
          <w:rtl/>
        </w:rPr>
        <w:t>النهاية</w:t>
      </w:r>
      <w:r w:rsidRPr="00132E65">
        <w:rPr>
          <w:rtl/>
        </w:rPr>
        <w:t xml:space="preserve"> ، ج 1 ، ص 158 ( بنا )</w:t>
      </w:r>
      <w:r>
        <w:rPr>
          <w:rtl/>
        </w:rPr>
        <w:t>.</w:t>
      </w:r>
    </w:p>
    <w:p w:rsidR="000C39D1" w:rsidRPr="00132E65" w:rsidRDefault="000C39D1" w:rsidP="000C39D1">
      <w:pPr>
        <w:pStyle w:val="libFootnote0"/>
        <w:rPr>
          <w:rtl/>
          <w:lang w:bidi="fa-IR"/>
        </w:rPr>
      </w:pPr>
      <w:r>
        <w:rPr>
          <w:rtl/>
        </w:rPr>
        <w:t>(11).</w:t>
      </w:r>
      <w:r w:rsidRPr="00132E65">
        <w:rPr>
          <w:rtl/>
        </w:rPr>
        <w:t xml:space="preserve"> « الوَصِيفَةُ » : الجارية. قال الجوهري : « الوَصِيفُ : الخادم ، غلاماً كان أو جارية. يقال : وصُفَ الغلامُ ، إذا بلغ حدّ الخدمة فهو وصيف بيّن الوَصافة ، والجمع : و</w:t>
      </w:r>
      <w:r w:rsidR="005F05CE">
        <w:rPr>
          <w:rFonts w:hint="cs"/>
          <w:rtl/>
        </w:rPr>
        <w:t>ُ</w:t>
      </w:r>
      <w:r w:rsidRPr="00132E65">
        <w:rPr>
          <w:rtl/>
        </w:rPr>
        <w:t>صَفاءُ. وربّما قالوا للجارية : و</w:t>
      </w:r>
      <w:r w:rsidR="005F05CE">
        <w:rPr>
          <w:rFonts w:hint="cs"/>
          <w:rtl/>
        </w:rPr>
        <w:t>َ</w:t>
      </w:r>
      <w:r w:rsidRPr="00132E65">
        <w:rPr>
          <w:rtl/>
        </w:rPr>
        <w:t>صِيفة بيّنة الوَصاف</w:t>
      </w:r>
      <w:r w:rsidR="005F05CE">
        <w:rPr>
          <w:rtl/>
        </w:rPr>
        <w:t>َة والإيصاف ، والجمع : الوَصائف</w:t>
      </w:r>
      <w:r w:rsidRPr="00132E65">
        <w:rPr>
          <w:rtl/>
        </w:rPr>
        <w:t>»</w:t>
      </w:r>
      <w:r>
        <w:rPr>
          <w:rtl/>
        </w:rPr>
        <w:t>.</w:t>
      </w:r>
      <w:r w:rsidRPr="00132E65">
        <w:rPr>
          <w:rtl/>
        </w:rPr>
        <w:t xml:space="preserve"> راجع : </w:t>
      </w:r>
      <w:r w:rsidRPr="005F05CE">
        <w:rPr>
          <w:rStyle w:val="libFootnoteBoldChar"/>
          <w:rtl/>
        </w:rPr>
        <w:t>الصحاح</w:t>
      </w:r>
      <w:r w:rsidRPr="00132E65">
        <w:rPr>
          <w:rtl/>
        </w:rPr>
        <w:t xml:space="preserve"> ، ج 4 ، ص 1439 ( وصف )</w:t>
      </w:r>
      <w:r>
        <w:rPr>
          <w:rtl/>
        </w:rPr>
        <w:t>.</w:t>
      </w:r>
    </w:p>
    <w:p w:rsidR="000C39D1" w:rsidRPr="00132E65" w:rsidRDefault="000C39D1" w:rsidP="000C39D1">
      <w:pPr>
        <w:pStyle w:val="libFootnote0"/>
        <w:rPr>
          <w:rtl/>
          <w:lang w:bidi="fa-IR"/>
        </w:rPr>
      </w:pPr>
      <w:r>
        <w:rPr>
          <w:rtl/>
        </w:rPr>
        <w:t>(12).</w:t>
      </w:r>
      <w:r w:rsidRPr="00132E65">
        <w:rPr>
          <w:rtl/>
        </w:rPr>
        <w:t xml:space="preserve"> هكذا في « ب ، ج ، ض ، ف ، بح ، بر ، بس ، بف » و</w:t>
      </w:r>
      <w:r w:rsidRPr="009D1ACE">
        <w:rPr>
          <w:rStyle w:val="libFootnoteBoldChar"/>
          <w:rtl/>
        </w:rPr>
        <w:t>الوافي</w:t>
      </w:r>
      <w:r w:rsidRPr="00132E65">
        <w:rPr>
          <w:rtl/>
        </w:rPr>
        <w:t>. وفي المطبوع : « يكون »</w:t>
      </w:r>
      <w:r>
        <w:rPr>
          <w:rtl/>
        </w:rPr>
        <w:t>.</w:t>
      </w:r>
    </w:p>
    <w:p w:rsidR="000C39D1" w:rsidRPr="00132E65" w:rsidRDefault="000C39D1" w:rsidP="005F05CE">
      <w:pPr>
        <w:pStyle w:val="libFootnote0"/>
        <w:rPr>
          <w:rtl/>
          <w:lang w:bidi="fa-IR"/>
        </w:rPr>
      </w:pPr>
      <w:r>
        <w:rPr>
          <w:rtl/>
        </w:rPr>
        <w:t>(13)</w:t>
      </w:r>
      <w:r w:rsidRPr="00132E65">
        <w:rPr>
          <w:rtl/>
        </w:rPr>
        <w:t xml:space="preserve"> « الجام » : إناء من فضّة ، أو طبق أبيض من زجاج أو فضّة. راجع : </w:t>
      </w:r>
      <w:r w:rsidRPr="005F05CE">
        <w:rPr>
          <w:rStyle w:val="libFootnoteBoldChar"/>
          <w:rtl/>
        </w:rPr>
        <w:t>المغرب</w:t>
      </w:r>
      <w:r w:rsidRPr="00132E65">
        <w:rPr>
          <w:rtl/>
        </w:rPr>
        <w:t xml:space="preserve"> ، ص 96 ؛ </w:t>
      </w:r>
      <w:r w:rsidRPr="009D1ACE">
        <w:rPr>
          <w:rStyle w:val="libFootnoteBoldChar"/>
          <w:rtl/>
        </w:rPr>
        <w:t>لسان العرب</w:t>
      </w:r>
      <w:r w:rsidRPr="00132E65">
        <w:rPr>
          <w:rtl/>
        </w:rPr>
        <w:t xml:space="preserve"> ، ج 12 ، ص 112 ( جوم )</w:t>
      </w:r>
      <w:r>
        <w:rPr>
          <w:rtl/>
        </w:rPr>
        <w:t>.</w:t>
      </w:r>
      <w:r w:rsidR="005F05CE">
        <w:rPr>
          <w:rFonts w:hint="cs"/>
          <w:rtl/>
        </w:rPr>
        <w:t xml:space="preserve">                              </w:t>
      </w:r>
      <w:r>
        <w:rPr>
          <w:rtl/>
        </w:rPr>
        <w:t>(14)</w:t>
      </w:r>
      <w:r w:rsidRPr="00132E65">
        <w:rPr>
          <w:rtl/>
        </w:rPr>
        <w:t xml:space="preserve"> في « ف ، بر ، بس » وحاشية « ج » : « يستقبلون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إِذَا </w:t>
      </w:r>
      <w:r>
        <w:rPr>
          <w:rStyle w:val="libFootnotenumChar"/>
          <w:rtl/>
        </w:rPr>
        <w:t>(1)</w:t>
      </w:r>
      <w:r w:rsidRPr="00132E65">
        <w:rPr>
          <w:rtl/>
          <w:lang w:bidi="fa-IR"/>
        </w:rPr>
        <w:t xml:space="preserve"> قَعَدَ </w:t>
      </w:r>
      <w:r>
        <w:rPr>
          <w:rStyle w:val="libFootnotenumChar"/>
          <w:rtl/>
        </w:rPr>
        <w:t>(2)</w:t>
      </w:r>
      <w:r w:rsidRPr="00132E65">
        <w:rPr>
          <w:rtl/>
          <w:lang w:bidi="fa-IR"/>
        </w:rPr>
        <w:t xml:space="preserve"> مَوْضِعَ الْأَخْيَارِ </w:t>
      </w:r>
      <w:r>
        <w:rPr>
          <w:rStyle w:val="libFootnotenumChar"/>
          <w:rtl/>
        </w:rPr>
        <w:t>(3)</w:t>
      </w:r>
      <w:r w:rsidRPr="00132E65">
        <w:rPr>
          <w:rtl/>
          <w:lang w:bidi="fa-IR"/>
        </w:rPr>
        <w:t xml:space="preserve"> ، فَلَمْ يَلْتَفِتْ إِلَيْهِنَّ.</w:t>
      </w:r>
    </w:p>
    <w:p w:rsidR="000C39D1" w:rsidRPr="00132E65" w:rsidRDefault="000C39D1" w:rsidP="000C39D1">
      <w:pPr>
        <w:pStyle w:val="libNormal"/>
        <w:rPr>
          <w:rtl/>
          <w:lang w:bidi="fa-IR"/>
        </w:rPr>
      </w:pPr>
      <w:r w:rsidRPr="00132E65">
        <w:rPr>
          <w:rtl/>
          <w:lang w:bidi="fa-IR"/>
        </w:rPr>
        <w:t>وَكَانَ رَجُلٌ</w:t>
      </w:r>
      <w:r>
        <w:rPr>
          <w:rtl/>
          <w:lang w:bidi="fa-IR"/>
        </w:rPr>
        <w:t xml:space="preserve"> - </w:t>
      </w:r>
      <w:r w:rsidRPr="00132E65">
        <w:rPr>
          <w:rtl/>
          <w:lang w:bidi="fa-IR"/>
        </w:rPr>
        <w:t xml:space="preserve">يُقَالُ لَهُ : مُخَارِقٌ </w:t>
      </w:r>
      <w:r>
        <w:rPr>
          <w:rStyle w:val="libFootnotenumChar"/>
          <w:rtl/>
        </w:rPr>
        <w:t>(4)</w:t>
      </w:r>
      <w:r>
        <w:rPr>
          <w:rtl/>
          <w:lang w:bidi="fa-IR"/>
        </w:rPr>
        <w:t xml:space="preserve"> - </w:t>
      </w:r>
      <w:r w:rsidRPr="00132E65">
        <w:rPr>
          <w:rtl/>
          <w:lang w:bidi="fa-IR"/>
        </w:rPr>
        <w:t xml:space="preserve">صَاحِبَ </w:t>
      </w:r>
      <w:r>
        <w:rPr>
          <w:rStyle w:val="libFootnotenumChar"/>
          <w:rtl/>
        </w:rPr>
        <w:t>(5)</w:t>
      </w:r>
      <w:r w:rsidRPr="00132E65">
        <w:rPr>
          <w:rtl/>
          <w:lang w:bidi="fa-IR"/>
        </w:rPr>
        <w:t xml:space="preserve"> صَوْتٍ و</w:t>
      </w:r>
      <w:r w:rsidR="005F05CE">
        <w:rPr>
          <w:rFonts w:hint="cs"/>
          <w:rtl/>
          <w:lang w:bidi="fa-IR"/>
        </w:rPr>
        <w:t>َ</w:t>
      </w:r>
      <w:r w:rsidRPr="00132E65">
        <w:rPr>
          <w:rtl/>
          <w:lang w:bidi="fa-IR"/>
        </w:rPr>
        <w:t>عُودٍ و</w:t>
      </w:r>
      <w:r w:rsidR="005F05CE">
        <w:rPr>
          <w:rFonts w:hint="cs"/>
          <w:rtl/>
          <w:lang w:bidi="fa-IR"/>
        </w:rPr>
        <w:t>َ</w:t>
      </w:r>
      <w:r w:rsidRPr="00132E65">
        <w:rPr>
          <w:rtl/>
          <w:lang w:bidi="fa-IR"/>
        </w:rPr>
        <w:t xml:space="preserve">ضَرْبٍ ، طَوِيلَ اللِّحْيَةِ ، فَدَعَاهُ الْمَأْمُونُ ، فَقَالَ : يَا أَمِيرَ الْمُؤْمِنِينَ ، إِنْ كَانَ فِي شَيْ‌ءٍ مِنْ أَمْرِ الدُّنْيَا فَأَنَا أَكْفِيكَ أَمْرَهُ ، فَقَعَدَ بَيْنَ يَدَيْ أَبِي جَعْفَرٍ </w:t>
      </w:r>
      <w:r w:rsidRPr="00071CF9">
        <w:rPr>
          <w:rStyle w:val="libAlaemChar"/>
          <w:rtl/>
        </w:rPr>
        <w:t>عليه‌السلام</w:t>
      </w:r>
      <w:r w:rsidRPr="00132E65">
        <w:rPr>
          <w:rtl/>
          <w:lang w:bidi="fa-IR"/>
        </w:rPr>
        <w:t xml:space="preserve"> ، فَشَهِقَ </w:t>
      </w:r>
      <w:r>
        <w:rPr>
          <w:rStyle w:val="libFootnotenumChar"/>
          <w:rtl/>
        </w:rPr>
        <w:t>(6)</w:t>
      </w:r>
      <w:r w:rsidRPr="00132E65">
        <w:rPr>
          <w:rtl/>
          <w:lang w:bidi="fa-IR"/>
        </w:rPr>
        <w:t xml:space="preserve"> مُخَارِقٌ </w:t>
      </w:r>
      <w:r>
        <w:rPr>
          <w:rStyle w:val="libFootnotenumChar"/>
          <w:rtl/>
        </w:rPr>
        <w:t>(7)</w:t>
      </w:r>
      <w:r w:rsidRPr="00132E65">
        <w:rPr>
          <w:rtl/>
          <w:lang w:bidi="fa-IR"/>
        </w:rPr>
        <w:t xml:space="preserve"> شَهْقَةً اجْتَمَعَ </w:t>
      </w:r>
      <w:r>
        <w:rPr>
          <w:rStyle w:val="libFootnotenumChar"/>
          <w:rtl/>
        </w:rPr>
        <w:t>(8)</w:t>
      </w:r>
      <w:r w:rsidRPr="00132E65">
        <w:rPr>
          <w:rtl/>
          <w:lang w:bidi="fa-IR"/>
        </w:rPr>
        <w:t xml:space="preserve"> عَلَيْهِ </w:t>
      </w:r>
      <w:r>
        <w:rPr>
          <w:rStyle w:val="libFootnotenumChar"/>
          <w:rtl/>
        </w:rPr>
        <w:t>(9)</w:t>
      </w:r>
      <w:r w:rsidRPr="00132E65">
        <w:rPr>
          <w:rtl/>
          <w:lang w:bidi="fa-IR"/>
        </w:rPr>
        <w:t xml:space="preserve"> أَهْلُ الدَّارِ ، وَجَعَلَ يَضْرِبُ بِعُودِهِ و</w:t>
      </w:r>
      <w:r w:rsidR="005F05CE">
        <w:rPr>
          <w:rFonts w:hint="cs"/>
          <w:rtl/>
          <w:lang w:bidi="fa-IR"/>
        </w:rPr>
        <w:t>َ</w:t>
      </w:r>
      <w:r w:rsidRPr="00132E65">
        <w:rPr>
          <w:rtl/>
          <w:lang w:bidi="fa-IR"/>
        </w:rPr>
        <w:t>يُغَنِّي.</w:t>
      </w:r>
    </w:p>
    <w:p w:rsidR="000C39D1" w:rsidRPr="00132E65" w:rsidRDefault="000C39D1" w:rsidP="000C39D1">
      <w:pPr>
        <w:pStyle w:val="libNormal"/>
        <w:rPr>
          <w:rtl/>
          <w:lang w:bidi="fa-IR"/>
        </w:rPr>
      </w:pPr>
      <w:r w:rsidRPr="00132E65">
        <w:rPr>
          <w:rtl/>
          <w:lang w:bidi="fa-IR"/>
        </w:rPr>
        <w:t xml:space="preserve">فَلَمَّا </w:t>
      </w:r>
      <w:r>
        <w:rPr>
          <w:rStyle w:val="libFootnotenumChar"/>
          <w:rtl/>
        </w:rPr>
        <w:t>(10)</w:t>
      </w:r>
      <w:r w:rsidRPr="00132E65">
        <w:rPr>
          <w:rtl/>
          <w:lang w:bidi="fa-IR"/>
        </w:rPr>
        <w:t xml:space="preserve"> فَعَلَ سَاعَةً و</w:t>
      </w:r>
      <w:r w:rsidR="005F05CE">
        <w:rPr>
          <w:rFonts w:hint="cs"/>
          <w:rtl/>
          <w:lang w:bidi="fa-IR"/>
        </w:rPr>
        <w:t xml:space="preserve">َ </w:t>
      </w:r>
      <w:r w:rsidRPr="00132E65">
        <w:rPr>
          <w:rtl/>
          <w:lang w:bidi="fa-IR"/>
        </w:rPr>
        <w:t xml:space="preserve">إِذَا </w:t>
      </w:r>
      <w:r>
        <w:rPr>
          <w:rStyle w:val="libFootnotenumChar"/>
          <w:rtl/>
        </w:rPr>
        <w:t>(11)</w:t>
      </w:r>
      <w:r w:rsidRPr="00132E65">
        <w:rPr>
          <w:rtl/>
          <w:lang w:bidi="fa-IR"/>
        </w:rPr>
        <w:t xml:space="preserve"> أَبُو جَعْفَرٍ </w:t>
      </w:r>
      <w:r w:rsidRPr="00071CF9">
        <w:rPr>
          <w:rStyle w:val="libAlaemChar"/>
          <w:rtl/>
        </w:rPr>
        <w:t>عليه‌السلام</w:t>
      </w:r>
      <w:r w:rsidRPr="00132E65">
        <w:rPr>
          <w:rtl/>
          <w:lang w:bidi="fa-IR"/>
        </w:rPr>
        <w:t xml:space="preserve"> لَايَلْتَفِتُ إِلَيْهِ لَا </w:t>
      </w:r>
      <w:r>
        <w:rPr>
          <w:rStyle w:val="libFootnotenumChar"/>
          <w:rtl/>
        </w:rPr>
        <w:t>(12)</w:t>
      </w:r>
      <w:r w:rsidRPr="00132E65">
        <w:rPr>
          <w:rtl/>
          <w:lang w:bidi="fa-IR"/>
        </w:rPr>
        <w:t xml:space="preserve"> يَمِيناً و</w:t>
      </w:r>
      <w:r w:rsidR="00152053">
        <w:rPr>
          <w:rFonts w:hint="cs"/>
          <w:rtl/>
          <w:lang w:bidi="fa-IR"/>
        </w:rPr>
        <w:t>َ</w:t>
      </w:r>
      <w:r w:rsidRPr="00132E65">
        <w:rPr>
          <w:rtl/>
          <w:lang w:bidi="fa-IR"/>
        </w:rPr>
        <w:t xml:space="preserve">لَاشِمَالاً ، ثُمَّ رَفَعَ </w:t>
      </w:r>
      <w:r w:rsidRPr="00F543F1">
        <w:rPr>
          <w:rStyle w:val="libFootnotenumChar"/>
          <w:rtl/>
        </w:rPr>
        <w:t>(13)</w:t>
      </w:r>
      <w:r w:rsidRPr="00132E65">
        <w:rPr>
          <w:rtl/>
          <w:lang w:bidi="fa-IR"/>
        </w:rPr>
        <w:t xml:space="preserve"> إِلَيْهِ رَأْسَهُ ، و</w:t>
      </w:r>
      <w:r w:rsidR="00152053">
        <w:rPr>
          <w:rFonts w:hint="cs"/>
          <w:rtl/>
          <w:lang w:bidi="fa-IR"/>
        </w:rPr>
        <w:t>َ</w:t>
      </w:r>
      <w:r w:rsidRPr="00132E65">
        <w:rPr>
          <w:rtl/>
          <w:lang w:bidi="fa-IR"/>
        </w:rPr>
        <w:t xml:space="preserve">قَالَ </w:t>
      </w:r>
      <w:r w:rsidRPr="00F543F1">
        <w:rPr>
          <w:rStyle w:val="libFootnotenumChar"/>
          <w:rtl/>
        </w:rPr>
        <w:t>(14)</w:t>
      </w:r>
      <w:r w:rsidRPr="00132E65">
        <w:rPr>
          <w:rtl/>
          <w:lang w:bidi="fa-IR"/>
        </w:rPr>
        <w:t xml:space="preserve"> : « اتَّقِ اللهَ يَا ذَا الْعُثْنُونِ </w:t>
      </w:r>
      <w:r w:rsidRPr="00F543F1">
        <w:rPr>
          <w:rStyle w:val="libFootnotenumChar"/>
          <w:rtl/>
        </w:rPr>
        <w:t>(15)</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بس » : « إذ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بح ، بر ، بس ، بف » </w:t>
      </w:r>
      <w:r w:rsidRPr="00152053">
        <w:rPr>
          <w:rtl/>
        </w:rPr>
        <w:t>والوافي</w:t>
      </w:r>
      <w:r w:rsidRPr="00132E65">
        <w:rPr>
          <w:rtl/>
        </w:rPr>
        <w:t>. وفي المطبوع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(3).</w:t>
      </w:r>
      <w:r w:rsidRPr="00132E65">
        <w:rPr>
          <w:rtl/>
        </w:rPr>
        <w:t xml:space="preserve"> في « ج ، ض ، بس » وحاشية « ب ، ف ، بر ، بف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 « الأجناد »</w:t>
      </w:r>
      <w:r>
        <w:rPr>
          <w:rtl/>
        </w:rPr>
        <w:t>.</w:t>
      </w:r>
      <w:r w:rsidRPr="00132E65">
        <w:rPr>
          <w:rtl/>
        </w:rPr>
        <w:t xml:space="preserve"> قال في </w:t>
      </w:r>
      <w:r w:rsidRPr="00152053">
        <w:rPr>
          <w:rStyle w:val="libFootnoteBoldChar"/>
          <w:rtl/>
        </w:rPr>
        <w:t>المرآة</w:t>
      </w:r>
      <w:r w:rsidRPr="00132E65">
        <w:rPr>
          <w:rtl/>
        </w:rPr>
        <w:t xml:space="preserve"> : « وفي بعض النسخ : « موضع الأخيار »</w:t>
      </w:r>
      <w:r>
        <w:rPr>
          <w:rtl/>
        </w:rPr>
        <w:t xml:space="preserve"> ..</w:t>
      </w:r>
      <w:r w:rsidRPr="00132E65">
        <w:rPr>
          <w:rtl/>
        </w:rPr>
        <w:t>. وأقول : وكلاهما تصحيف ، والظاهر : « الأختان » جمع الختن ، كما في بعض نسخ ابن شهرآشوب »</w:t>
      </w:r>
      <w:r>
        <w:rPr>
          <w:rtl/>
        </w:rPr>
        <w:t>.</w:t>
      </w:r>
    </w:p>
    <w:p w:rsidR="000C39D1" w:rsidRPr="00132E65" w:rsidRDefault="000C39D1" w:rsidP="000C39D1">
      <w:pPr>
        <w:pStyle w:val="libFootnote0"/>
        <w:rPr>
          <w:rtl/>
          <w:lang w:bidi="fa-IR"/>
        </w:rPr>
      </w:pPr>
      <w:r>
        <w:rPr>
          <w:rtl/>
        </w:rPr>
        <w:t>(4).</w:t>
      </w:r>
      <w:r w:rsidRPr="00132E65">
        <w:rPr>
          <w:rtl/>
        </w:rPr>
        <w:t xml:space="preserve"> في « ف » : « نحارق »</w:t>
      </w:r>
      <w:r>
        <w:rPr>
          <w:rtl/>
        </w:rPr>
        <w:t>.</w:t>
      </w:r>
      <w:r w:rsidRPr="00132E65">
        <w:rPr>
          <w:rtl/>
        </w:rPr>
        <w:t xml:space="preserve"> وفي « بح » : « محاذق »</w:t>
      </w:r>
      <w:r>
        <w:rPr>
          <w:rtl/>
        </w:rPr>
        <w:t>.</w:t>
      </w:r>
    </w:p>
    <w:p w:rsidR="000C39D1" w:rsidRPr="00132E65" w:rsidRDefault="000C39D1" w:rsidP="000C39D1">
      <w:pPr>
        <w:pStyle w:val="libFootnote0"/>
        <w:rPr>
          <w:rtl/>
          <w:lang w:bidi="fa-IR"/>
        </w:rPr>
      </w:pPr>
      <w:r>
        <w:rPr>
          <w:rtl/>
        </w:rPr>
        <w:t>(5).</w:t>
      </w:r>
      <w:r w:rsidRPr="00132E65">
        <w:rPr>
          <w:rtl/>
        </w:rPr>
        <w:t xml:space="preserve"> الظاهر أنّ « صاحب » </w:t>
      </w:r>
      <w:r>
        <w:rPr>
          <w:rtl/>
        </w:rPr>
        <w:t>و «</w:t>
      </w:r>
      <w:r w:rsidRPr="00132E65">
        <w:rPr>
          <w:rtl/>
        </w:rPr>
        <w:t xml:space="preserve"> طوي</w:t>
      </w:r>
      <w:r w:rsidR="00152053">
        <w:rPr>
          <w:rtl/>
        </w:rPr>
        <w:t>ل » خبر كان ، لا صفة رجل ، وإل</w:t>
      </w:r>
      <w:r w:rsidR="00152053">
        <w:rPr>
          <w:rFonts w:hint="cs"/>
          <w:rtl/>
        </w:rPr>
        <w:t>ّ</w:t>
      </w:r>
      <w:r w:rsidR="00152053">
        <w:rPr>
          <w:rtl/>
        </w:rPr>
        <w:t>ا</w:t>
      </w:r>
      <w:r w:rsidRPr="00132E65">
        <w:rPr>
          <w:rtl/>
        </w:rPr>
        <w:t xml:space="preserve"> يلزم تقدير خبرٍ لكان ، أو القول بكونها تامّة.</w:t>
      </w:r>
    </w:p>
    <w:p w:rsidR="000C39D1" w:rsidRPr="00132E65" w:rsidRDefault="000C39D1" w:rsidP="000C39D1">
      <w:pPr>
        <w:pStyle w:val="libFootnote0"/>
        <w:rPr>
          <w:rtl/>
          <w:lang w:bidi="fa-IR"/>
        </w:rPr>
      </w:pPr>
      <w:r>
        <w:rPr>
          <w:rtl/>
        </w:rPr>
        <w:t>(6).</w:t>
      </w:r>
      <w:r w:rsidRPr="00132E65">
        <w:rPr>
          <w:rtl/>
        </w:rPr>
        <w:t xml:space="preserve"> « فشهق » ، من الشهيق ، وهو الأنين الشديد المرتفع جدّاً. أو منه بمعنى ردّ النَفَس ، ضدّ الزفير وهو إخراج</w:t>
      </w:r>
      <w:r w:rsidR="00152053">
        <w:rPr>
          <w:rFonts w:hint="cs"/>
          <w:rtl/>
        </w:rPr>
        <w:t xml:space="preserve"> </w:t>
      </w:r>
      <w:r w:rsidRPr="00132E65">
        <w:rPr>
          <w:rtl/>
        </w:rPr>
        <w:t xml:space="preserve">‌النَفَس. يقال : شَهَق الرجل يَشْهَق ويَشْهِق شهيقاً ، أي ردّد نَفَسه مع سماع صوته من حلقه. راجع : </w:t>
      </w:r>
      <w:r w:rsidRPr="009D1ACE">
        <w:rPr>
          <w:rStyle w:val="libFootnoteBoldChar"/>
          <w:rtl/>
        </w:rPr>
        <w:t>لسان العرب</w:t>
      </w:r>
      <w:r w:rsidRPr="00132E65">
        <w:rPr>
          <w:rtl/>
        </w:rPr>
        <w:t xml:space="preserve"> ، ج 10 ، ص 191 ؛ </w:t>
      </w:r>
      <w:r w:rsidRPr="00152053">
        <w:rPr>
          <w:rStyle w:val="libFootnoteBoldChar"/>
          <w:rtl/>
        </w:rPr>
        <w:t>المصباح المنير</w:t>
      </w:r>
      <w:r w:rsidRPr="00132E65">
        <w:rPr>
          <w:rtl/>
        </w:rPr>
        <w:t xml:space="preserve"> ، ص 326 ( شهق )</w:t>
      </w:r>
      <w:r>
        <w:rPr>
          <w:rtl/>
        </w:rPr>
        <w:t>.</w:t>
      </w:r>
    </w:p>
    <w:tbl>
      <w:tblPr>
        <w:tblStyle w:val="TableGrid"/>
        <w:bidiVisual/>
        <w:tblW w:w="0" w:type="auto"/>
        <w:tblLook w:val="04A0" w:firstRow="1" w:lastRow="0" w:firstColumn="1" w:lastColumn="0" w:noHBand="0" w:noVBand="1"/>
      </w:tblPr>
      <w:tblGrid>
        <w:gridCol w:w="4261"/>
        <w:gridCol w:w="4262"/>
      </w:tblGrid>
      <w:tr w:rsidR="00152053" w:rsidTr="00152053">
        <w:tc>
          <w:tcPr>
            <w:tcW w:w="4261" w:type="dxa"/>
          </w:tcPr>
          <w:p w:rsidR="00152053" w:rsidRDefault="00152053" w:rsidP="000C39D1">
            <w:pPr>
              <w:pStyle w:val="libFootnote0"/>
              <w:rPr>
                <w:rtl/>
              </w:rPr>
            </w:pPr>
            <w:r>
              <w:rPr>
                <w:rtl/>
              </w:rPr>
              <w:t>(7). في «ف» : «نحارق</w:t>
            </w:r>
            <w:r w:rsidRPr="00132E65">
              <w:rPr>
                <w:rtl/>
              </w:rPr>
              <w:t>»</w:t>
            </w:r>
            <w:r>
              <w:rPr>
                <w:rtl/>
              </w:rPr>
              <w:t>.</w:t>
            </w:r>
            <w:r w:rsidRPr="00132E65">
              <w:rPr>
                <w:rtl/>
              </w:rPr>
              <w:t xml:space="preserve"> وفي « بح » : « محاذق »</w:t>
            </w:r>
            <w:r>
              <w:rPr>
                <w:rtl/>
              </w:rPr>
              <w:t>.</w:t>
            </w:r>
          </w:p>
        </w:tc>
        <w:tc>
          <w:tcPr>
            <w:tcW w:w="4262" w:type="dxa"/>
          </w:tcPr>
          <w:p w:rsidR="00152053" w:rsidRDefault="00152053" w:rsidP="000C39D1">
            <w:pPr>
              <w:pStyle w:val="libFootnote0"/>
              <w:rPr>
                <w:rtl/>
              </w:rPr>
            </w:pPr>
            <w:r>
              <w:rPr>
                <w:rtl/>
              </w:rPr>
              <w:t>(8). في « ف » : «فاجتمع</w:t>
            </w:r>
            <w:r w:rsidRPr="00132E65">
              <w:rPr>
                <w:rtl/>
              </w:rPr>
              <w:t>»</w:t>
            </w:r>
            <w:r>
              <w:rPr>
                <w:rtl/>
              </w:rPr>
              <w:t>.</w:t>
            </w:r>
            <w:r w:rsidRPr="00132E65">
              <w:rPr>
                <w:rtl/>
              </w:rPr>
              <w:t xml:space="preserve"> وفي « بح » : « أجمع »</w:t>
            </w:r>
            <w:r>
              <w:rPr>
                <w:rtl/>
              </w:rPr>
              <w:t>.</w:t>
            </w:r>
          </w:p>
        </w:tc>
      </w:tr>
    </w:tbl>
    <w:p w:rsidR="000C39D1" w:rsidRPr="00132E65" w:rsidRDefault="000C39D1" w:rsidP="000C39D1">
      <w:pPr>
        <w:pStyle w:val="libFootnote0"/>
        <w:rPr>
          <w:rtl/>
          <w:lang w:bidi="fa-IR"/>
        </w:rPr>
      </w:pPr>
      <w:r>
        <w:rPr>
          <w:rtl/>
        </w:rPr>
        <w:t>(9).</w:t>
      </w:r>
      <w:r w:rsidRPr="00132E65">
        <w:rPr>
          <w:rtl/>
        </w:rPr>
        <w:t xml:space="preserve"> في « بس » </w:t>
      </w:r>
      <w:r>
        <w:rPr>
          <w:rtl/>
        </w:rPr>
        <w:t xml:space="preserve">: - </w:t>
      </w:r>
      <w:r w:rsidRPr="00132E65">
        <w:rPr>
          <w:rtl/>
        </w:rPr>
        <w:t>« عليه »</w:t>
      </w:r>
      <w:r>
        <w:rPr>
          <w:rtl/>
        </w:rPr>
        <w:t>.</w:t>
      </w:r>
    </w:p>
    <w:p w:rsidR="000C39D1" w:rsidRPr="00132E65" w:rsidRDefault="000C39D1" w:rsidP="00152053">
      <w:pPr>
        <w:pStyle w:val="libFootnote0"/>
        <w:rPr>
          <w:rtl/>
          <w:lang w:bidi="fa-IR"/>
        </w:rPr>
      </w:pPr>
      <w:r>
        <w:rPr>
          <w:rtl/>
        </w:rPr>
        <w:t>(10).</w:t>
      </w:r>
      <w:r w:rsidRPr="00132E65">
        <w:rPr>
          <w:rtl/>
        </w:rPr>
        <w:t xml:space="preserve"> في </w:t>
      </w:r>
      <w:r w:rsidRPr="009D1ACE">
        <w:rPr>
          <w:rStyle w:val="libFootnoteBoldChar"/>
          <w:rtl/>
        </w:rPr>
        <w:t>مرآة العقول</w:t>
      </w:r>
      <w:r w:rsidR="00152053">
        <w:rPr>
          <w:rtl/>
        </w:rPr>
        <w:t xml:space="preserve"> : « كأنّ جواب « لم</w:t>
      </w:r>
      <w:r w:rsidR="00152053">
        <w:rPr>
          <w:rFonts w:hint="cs"/>
          <w:rtl/>
        </w:rPr>
        <w:t>ـّ</w:t>
      </w:r>
      <w:r w:rsidRPr="00132E65">
        <w:rPr>
          <w:rtl/>
        </w:rPr>
        <w:t>ا » مقدّر يفسّره الجملة التالية. ويمكن أن يقرأ : « ثمّ » بالفتح</w:t>
      </w:r>
      <w:r>
        <w:rPr>
          <w:rtl/>
        </w:rPr>
        <w:t xml:space="preserve"> ف</w:t>
      </w:r>
      <w:r w:rsidR="00152053">
        <w:rPr>
          <w:rFonts w:hint="cs"/>
          <w:rtl/>
        </w:rPr>
        <w:t>ـ</w:t>
      </w:r>
      <w:r>
        <w:rPr>
          <w:rtl/>
        </w:rPr>
        <w:t xml:space="preserve"> «</w:t>
      </w:r>
      <w:r w:rsidRPr="00132E65">
        <w:rPr>
          <w:rtl/>
        </w:rPr>
        <w:t xml:space="preserve"> رفع » جواب</w:t>
      </w:r>
      <w:r w:rsidR="00152053">
        <w:rPr>
          <w:rFonts w:hint="cs"/>
          <w:rtl/>
        </w:rPr>
        <w:t xml:space="preserve"> </w:t>
      </w:r>
      <w:r w:rsidR="00152053">
        <w:rPr>
          <w:rtl/>
        </w:rPr>
        <w:t>‌لم</w:t>
      </w:r>
      <w:r w:rsidR="00152053">
        <w:rPr>
          <w:rFonts w:hint="cs"/>
          <w:rtl/>
        </w:rPr>
        <w:t>ـّ</w:t>
      </w:r>
      <w:r w:rsidRPr="00132E65">
        <w:rPr>
          <w:rtl/>
        </w:rPr>
        <w:t>ا »</w:t>
      </w:r>
      <w:r>
        <w:rPr>
          <w:rtl/>
        </w:rPr>
        <w:t>.</w:t>
      </w:r>
      <w:r w:rsidR="00152053">
        <w:rPr>
          <w:rFonts w:hint="cs"/>
          <w:rtl/>
        </w:rPr>
        <w:t xml:space="preserve">                                              </w:t>
      </w:r>
      <w:r w:rsidR="0006034E">
        <w:rPr>
          <w:rFonts w:hint="cs"/>
          <w:rtl/>
        </w:rPr>
        <w:t xml:space="preserve"> </w:t>
      </w:r>
      <w:r w:rsidR="00152053">
        <w:rPr>
          <w:rFonts w:hint="cs"/>
          <w:rtl/>
        </w:rPr>
        <w:t xml:space="preserve">         </w:t>
      </w:r>
      <w:r>
        <w:rPr>
          <w:rtl/>
        </w:rPr>
        <w:t>(11).</w:t>
      </w:r>
      <w:r w:rsidRPr="00132E65">
        <w:rPr>
          <w:rtl/>
        </w:rPr>
        <w:t xml:space="preserve"> في « ف » : « فإذا »</w:t>
      </w:r>
      <w:r>
        <w:rPr>
          <w:rtl/>
        </w:rPr>
        <w:t>.</w:t>
      </w:r>
    </w:p>
    <w:p w:rsidR="000C39D1" w:rsidRPr="00132E65" w:rsidRDefault="000C39D1" w:rsidP="000C39D1">
      <w:pPr>
        <w:pStyle w:val="libFootnote0"/>
        <w:rPr>
          <w:rtl/>
          <w:lang w:bidi="fa-IR"/>
        </w:rPr>
      </w:pPr>
      <w:r>
        <w:rPr>
          <w:rtl/>
        </w:rPr>
        <w:t>(12).</w:t>
      </w:r>
      <w:r w:rsidRPr="00132E65">
        <w:rPr>
          <w:rtl/>
        </w:rPr>
        <w:t xml:space="preserve"> في « ب ، ض ، بح ، بر ، بس » </w:t>
      </w:r>
      <w:r w:rsidRPr="00152053">
        <w:rPr>
          <w:rtl/>
        </w:rPr>
        <w:t>والوافي</w:t>
      </w:r>
      <w:r w:rsidRPr="00132E65">
        <w:rPr>
          <w:rtl/>
        </w:rPr>
        <w:t xml:space="preserve"> : « ولا »</w:t>
      </w:r>
      <w:r>
        <w:rPr>
          <w:rtl/>
        </w:rPr>
        <w:t>.</w:t>
      </w:r>
      <w:r w:rsidRPr="00132E65">
        <w:rPr>
          <w:rtl/>
        </w:rPr>
        <w:t xml:space="preserve"> وفي « ف » </w:t>
      </w:r>
      <w:r>
        <w:rPr>
          <w:rtl/>
        </w:rPr>
        <w:t xml:space="preserve">: - </w:t>
      </w:r>
      <w:r w:rsidRPr="00132E65">
        <w:rPr>
          <w:rtl/>
        </w:rPr>
        <w:t>« لا »</w:t>
      </w:r>
      <w:r>
        <w:rPr>
          <w:rtl/>
        </w:rPr>
        <w:t>.</w:t>
      </w:r>
    </w:p>
    <w:tbl>
      <w:tblPr>
        <w:tblStyle w:val="TableGrid"/>
        <w:bidiVisual/>
        <w:tblW w:w="0" w:type="auto"/>
        <w:tblLook w:val="04A0" w:firstRow="1" w:lastRow="0" w:firstColumn="1" w:lastColumn="0" w:noHBand="0" w:noVBand="1"/>
      </w:tblPr>
      <w:tblGrid>
        <w:gridCol w:w="4261"/>
        <w:gridCol w:w="4262"/>
      </w:tblGrid>
      <w:tr w:rsidR="00152053" w:rsidTr="00152053">
        <w:tc>
          <w:tcPr>
            <w:tcW w:w="4261" w:type="dxa"/>
          </w:tcPr>
          <w:p w:rsidR="00152053" w:rsidRDefault="00152053" w:rsidP="000C39D1">
            <w:pPr>
              <w:pStyle w:val="libFootnote0"/>
              <w:rPr>
                <w:rtl/>
              </w:rPr>
            </w:pPr>
            <w:r>
              <w:rPr>
                <w:rtl/>
              </w:rPr>
              <w:t>(13)</w:t>
            </w:r>
            <w:r w:rsidRPr="00132E65">
              <w:rPr>
                <w:rtl/>
              </w:rPr>
              <w:t xml:space="preserve"> </w:t>
            </w:r>
            <w:r w:rsidRPr="00152053">
              <w:rPr>
                <w:rtl/>
              </w:rPr>
              <w:t>في مرآة العقول :</w:t>
            </w:r>
            <w:r w:rsidRPr="00132E65">
              <w:rPr>
                <w:rtl/>
              </w:rPr>
              <w:t xml:space="preserve"> « فرفع »</w:t>
            </w:r>
            <w:r>
              <w:rPr>
                <w:rtl/>
              </w:rPr>
              <w:t>.</w:t>
            </w:r>
          </w:p>
        </w:tc>
        <w:tc>
          <w:tcPr>
            <w:tcW w:w="4262" w:type="dxa"/>
          </w:tcPr>
          <w:p w:rsidR="00152053" w:rsidRDefault="00152053" w:rsidP="000C39D1">
            <w:pPr>
              <w:pStyle w:val="libFootnote0"/>
              <w:rPr>
                <w:rtl/>
              </w:rPr>
            </w:pPr>
            <w:r>
              <w:rPr>
                <w:rtl/>
              </w:rPr>
              <w:t>(14)</w:t>
            </w:r>
            <w:r w:rsidRPr="00132E65">
              <w:rPr>
                <w:rtl/>
              </w:rPr>
              <w:t xml:space="preserve"> في « ض ، بس » : « فقال »</w:t>
            </w:r>
            <w:r>
              <w:rPr>
                <w:rtl/>
              </w:rPr>
              <w:t>.</w:t>
            </w:r>
          </w:p>
        </w:tc>
      </w:tr>
    </w:tbl>
    <w:p w:rsidR="000C39D1" w:rsidRPr="00132E65" w:rsidRDefault="000C39D1" w:rsidP="000C39D1">
      <w:pPr>
        <w:pStyle w:val="libFootnote0"/>
        <w:rPr>
          <w:rtl/>
          <w:lang w:bidi="fa-IR"/>
        </w:rPr>
      </w:pPr>
      <w:r>
        <w:rPr>
          <w:rtl/>
        </w:rPr>
        <w:t>(15)</w:t>
      </w:r>
      <w:r w:rsidRPr="00132E65">
        <w:rPr>
          <w:rtl/>
        </w:rPr>
        <w:t xml:space="preserve"> « العُثنون » : اللحية كلّها ، أو ما فضل منها بعد العارضين من باطنهما ، أو ما نبت على الذَّقَن وتحته سِفْلاً ، أو هو طولها وما تحتها من شعرها. وقيل : عُثنون اللحية طرفها. راجع : </w:t>
      </w:r>
      <w:r w:rsidRPr="009D1ACE">
        <w:rPr>
          <w:rStyle w:val="libFootnoteBoldChar"/>
          <w:rtl/>
        </w:rPr>
        <w:t>لسان العرب</w:t>
      </w:r>
      <w:r w:rsidRPr="00132E65">
        <w:rPr>
          <w:rtl/>
        </w:rPr>
        <w:t xml:space="preserve"> ، ج 13 ، ص 276 ؛ </w:t>
      </w:r>
      <w:r w:rsidRPr="00152053">
        <w:rPr>
          <w:rStyle w:val="libFootnoteBoldChar"/>
          <w:rtl/>
        </w:rPr>
        <w:t>القاموس المحيط</w:t>
      </w:r>
      <w:r w:rsidRPr="00132E65">
        <w:rPr>
          <w:rtl/>
        </w:rPr>
        <w:t xml:space="preserve"> ، ج 2 ، ص 1595 ( عثن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w:t>
      </w:r>
      <w:r>
        <w:rPr>
          <w:rStyle w:val="libFootnotenumChar"/>
          <w:rtl/>
        </w:rPr>
        <w:t>(1)</w:t>
      </w:r>
      <w:r w:rsidRPr="00132E65">
        <w:rPr>
          <w:rtl/>
          <w:lang w:bidi="fa-IR"/>
        </w:rPr>
        <w:t xml:space="preserve"> : فَسَقَطَ الْمِضْرَابُ </w:t>
      </w:r>
      <w:r>
        <w:rPr>
          <w:rStyle w:val="libFootnotenumChar"/>
          <w:rtl/>
        </w:rPr>
        <w:t>(2)</w:t>
      </w:r>
      <w:r w:rsidRPr="00132E65">
        <w:rPr>
          <w:rtl/>
          <w:lang w:bidi="fa-IR"/>
        </w:rPr>
        <w:t xml:space="preserve"> مِنْ يَدِهِ و</w:t>
      </w:r>
      <w:r w:rsidR="00152053">
        <w:rPr>
          <w:rFonts w:hint="cs"/>
          <w:rtl/>
          <w:lang w:bidi="fa-IR"/>
        </w:rPr>
        <w:t xml:space="preserve">َ </w:t>
      </w:r>
      <w:r w:rsidRPr="00132E65">
        <w:rPr>
          <w:rtl/>
          <w:lang w:bidi="fa-IR"/>
        </w:rPr>
        <w:t xml:space="preserve">الْعُودُ ، فَلَمْ يَنْتَفِعْ بِيَدَيْهِ </w:t>
      </w:r>
      <w:r>
        <w:rPr>
          <w:rStyle w:val="libFootnotenumChar"/>
          <w:rtl/>
        </w:rPr>
        <w:t>(3)</w:t>
      </w:r>
      <w:r w:rsidRPr="00132E65">
        <w:rPr>
          <w:rtl/>
          <w:lang w:bidi="fa-IR"/>
        </w:rPr>
        <w:t xml:space="preserve"> إِلى أَنْ مَاتَ.</w:t>
      </w:r>
    </w:p>
    <w:p w:rsidR="000C39D1" w:rsidRPr="00132E65" w:rsidRDefault="000C39D1" w:rsidP="000C39D1">
      <w:pPr>
        <w:pStyle w:val="libNormal"/>
        <w:rPr>
          <w:rtl/>
          <w:lang w:bidi="fa-IR"/>
        </w:rPr>
      </w:pPr>
      <w:r w:rsidRPr="00132E65">
        <w:rPr>
          <w:rtl/>
          <w:lang w:bidi="fa-IR"/>
        </w:rPr>
        <w:t xml:space="preserve">قَالَ : فَسَأَلَهُ الْمَأْمُونُ عَنْ حَالِهِ ، قَالَ : لَمَّا صَاحَ بِي أَبُو جَعْفَرٍ </w:t>
      </w:r>
      <w:r w:rsidRPr="00071CF9">
        <w:rPr>
          <w:rStyle w:val="libAlaemChar"/>
          <w:rtl/>
        </w:rPr>
        <w:t>عليه‌السلام</w:t>
      </w:r>
      <w:r w:rsidRPr="00132E65">
        <w:rPr>
          <w:rtl/>
          <w:lang w:bidi="fa-IR"/>
        </w:rPr>
        <w:t xml:space="preserve"> فَزِعْتُ فَزْعَةً لَا</w:t>
      </w:r>
      <w:r>
        <w:rPr>
          <w:rFonts w:hint="cs"/>
          <w:rtl/>
          <w:lang w:bidi="fa-IR"/>
        </w:rPr>
        <w:t xml:space="preserve"> </w:t>
      </w:r>
      <w:r w:rsidRPr="00132E65">
        <w:rPr>
          <w:rtl/>
          <w:lang w:bidi="fa-IR"/>
        </w:rPr>
        <w:t>أُفِيقُ مِنْهَا أَبَداً.</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576DE8">
        <w:rPr>
          <w:rtl/>
        </w:rPr>
        <w:t>1313</w:t>
      </w:r>
      <w:r w:rsidRPr="004325D8">
        <w:rPr>
          <w:rStyle w:val="libBold2Char"/>
          <w:rtl/>
        </w:rPr>
        <w:t xml:space="preserve"> / 5.</w:t>
      </w:r>
      <w:r w:rsidRPr="00132E65">
        <w:rPr>
          <w:rtl/>
          <w:lang w:bidi="fa-IR"/>
        </w:rPr>
        <w:t xml:space="preserve"> عَلِيُّ بْنُ مُحَمَّدٍ ، عَنْ سَهْلِ بْنِ زِيَادٍ ، عَنْ دَاوُدَ بْنِ الْقَاسِمِ الْجَعْفَرِيِّ ، قَالَ :</w:t>
      </w:r>
    </w:p>
    <w:p w:rsidR="000C39D1" w:rsidRPr="00132E65" w:rsidRDefault="000C39D1" w:rsidP="000C39D1">
      <w:pPr>
        <w:pStyle w:val="libNormal"/>
        <w:rPr>
          <w:rtl/>
          <w:lang w:bidi="fa-IR"/>
        </w:rPr>
      </w:pPr>
      <w:r w:rsidRPr="00132E65">
        <w:rPr>
          <w:rtl/>
          <w:lang w:bidi="fa-IR"/>
        </w:rPr>
        <w:t xml:space="preserve">دَخَلْتُ عَلى أَبِي جَعْفَرٍ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و</w:t>
      </w:r>
      <w:r w:rsidR="00152053">
        <w:rPr>
          <w:rFonts w:hint="cs"/>
          <w:rtl/>
          <w:lang w:bidi="fa-IR"/>
        </w:rPr>
        <w:t>َ</w:t>
      </w:r>
      <w:r w:rsidRPr="00132E65">
        <w:rPr>
          <w:rtl/>
          <w:lang w:bidi="fa-IR"/>
        </w:rPr>
        <w:t>مَعِي ثَلَاثُ رِقَاعٍ غَيْرُ مُعَنْوَنَةٍ ، و</w:t>
      </w:r>
      <w:r w:rsidR="00152053">
        <w:rPr>
          <w:rFonts w:hint="cs"/>
          <w:rtl/>
          <w:lang w:bidi="fa-IR"/>
        </w:rPr>
        <w:t>َ</w:t>
      </w:r>
      <w:r w:rsidRPr="00132E65">
        <w:rPr>
          <w:rtl/>
          <w:lang w:bidi="fa-IR"/>
        </w:rPr>
        <w:t xml:space="preserve">اشْتَبَهَتْ </w:t>
      </w:r>
      <w:r>
        <w:rPr>
          <w:rStyle w:val="libFootnotenumChar"/>
          <w:rtl/>
        </w:rPr>
        <w:t>(6)</w:t>
      </w:r>
      <w:r w:rsidRPr="00132E65">
        <w:rPr>
          <w:rtl/>
          <w:lang w:bidi="fa-IR"/>
        </w:rPr>
        <w:t xml:space="preserve"> عَلَيَّ ، فَاغْتَمَمْتُ ، فَتَنَاوَلَ إِحْدَاهَا </w:t>
      </w:r>
      <w:r>
        <w:rPr>
          <w:rStyle w:val="libFootnotenumChar"/>
          <w:rtl/>
        </w:rPr>
        <w:t>(7)</w:t>
      </w:r>
      <w:r w:rsidRPr="00132E65">
        <w:rPr>
          <w:rtl/>
          <w:lang w:bidi="fa-IR"/>
        </w:rPr>
        <w:t xml:space="preserve"> ، و</w:t>
      </w:r>
      <w:r w:rsidR="00152053">
        <w:rPr>
          <w:rFonts w:hint="cs"/>
          <w:rtl/>
          <w:lang w:bidi="fa-IR"/>
        </w:rPr>
        <w:t>َ</w:t>
      </w:r>
      <w:r w:rsidRPr="00132E65">
        <w:rPr>
          <w:rtl/>
          <w:lang w:bidi="fa-IR"/>
        </w:rPr>
        <w:t xml:space="preserve">قَالَ </w:t>
      </w:r>
      <w:r>
        <w:rPr>
          <w:rStyle w:val="libFootnotenumChar"/>
          <w:rtl/>
        </w:rPr>
        <w:t>(8)</w:t>
      </w:r>
      <w:r w:rsidRPr="00132E65">
        <w:rPr>
          <w:rtl/>
          <w:lang w:bidi="fa-IR"/>
        </w:rPr>
        <w:t xml:space="preserve"> : « هذِهِ رُقْعَةُ زِيَادِ </w:t>
      </w:r>
      <w:r>
        <w:rPr>
          <w:rStyle w:val="libFootnotenumChar"/>
          <w:rtl/>
        </w:rPr>
        <w:t>(9)</w:t>
      </w:r>
      <w:r w:rsidRPr="00132E65">
        <w:rPr>
          <w:rtl/>
          <w:lang w:bidi="fa-IR"/>
        </w:rPr>
        <w:t xml:space="preserve"> بْنِ شَبِيبٍ </w:t>
      </w:r>
      <w:r>
        <w:rPr>
          <w:rStyle w:val="libFootnotenumChar"/>
          <w:rtl/>
        </w:rPr>
        <w:t>(10)</w:t>
      </w:r>
      <w:r w:rsidRPr="00132E65">
        <w:rPr>
          <w:rtl/>
          <w:lang w:bidi="fa-IR"/>
        </w:rPr>
        <w:t xml:space="preserve"> »</w:t>
      </w:r>
      <w:r>
        <w:rPr>
          <w:rtl/>
          <w:lang w:bidi="fa-IR"/>
        </w:rPr>
        <w:t>.</w:t>
      </w:r>
      <w:r w:rsidRPr="00132E65">
        <w:rPr>
          <w:rtl/>
          <w:lang w:bidi="fa-IR"/>
        </w:rPr>
        <w:t xml:space="preserve"> ثُمَّ تَنَاوَلَ الثَّانِيَةَ ، فَقَالَ : « هذِهِ رُقْعَةُ فُلَانٍ »</w:t>
      </w:r>
      <w:r>
        <w:rPr>
          <w:rtl/>
          <w:lang w:bidi="fa-IR"/>
        </w:rPr>
        <w:t>.</w:t>
      </w:r>
      <w:r w:rsidRPr="00132E65">
        <w:rPr>
          <w:rtl/>
          <w:lang w:bidi="fa-IR"/>
        </w:rPr>
        <w:t xml:space="preserve"> فَبُهِتُّ أَنَا ، فَنَظَرَ إِلَيَّ ، فَتَبَسَّمَ.</w:t>
      </w:r>
    </w:p>
    <w:p w:rsidR="000C39D1" w:rsidRPr="00132E65" w:rsidRDefault="000C39D1" w:rsidP="000C39D1">
      <w:pPr>
        <w:pStyle w:val="libNormal"/>
        <w:rPr>
          <w:rtl/>
          <w:lang w:bidi="fa-IR"/>
        </w:rPr>
      </w:pPr>
      <w:r w:rsidRPr="00132E65">
        <w:rPr>
          <w:rtl/>
          <w:lang w:bidi="fa-IR"/>
        </w:rPr>
        <w:t>قَالَ : و</w:t>
      </w:r>
      <w:r w:rsidR="00152053">
        <w:rPr>
          <w:rFonts w:hint="cs"/>
          <w:rtl/>
          <w:lang w:bidi="fa-IR"/>
        </w:rPr>
        <w:t>َ</w:t>
      </w:r>
      <w:r w:rsidRPr="00132E65">
        <w:rPr>
          <w:rtl/>
          <w:lang w:bidi="fa-IR"/>
        </w:rPr>
        <w:t xml:space="preserve">أَعْطَانِي </w:t>
      </w:r>
      <w:r>
        <w:rPr>
          <w:rStyle w:val="libFootnotenumChar"/>
          <w:rtl/>
        </w:rPr>
        <w:t>(11)</w:t>
      </w:r>
      <w:r w:rsidRPr="00132E65">
        <w:rPr>
          <w:rtl/>
          <w:lang w:bidi="fa-IR"/>
        </w:rPr>
        <w:t xml:space="preserve"> ثَلَاثَمِائَةِ دِينَارٍ ، و</w:t>
      </w:r>
      <w:r w:rsidR="0078283B">
        <w:rPr>
          <w:rFonts w:hint="cs"/>
          <w:rtl/>
          <w:lang w:bidi="fa-IR"/>
        </w:rPr>
        <w:t>َ</w:t>
      </w:r>
      <w:r w:rsidRPr="00132E65">
        <w:rPr>
          <w:rtl/>
          <w:lang w:bidi="fa-IR"/>
        </w:rPr>
        <w:t>أَمَرَنِي أَنْ أَحْمِلَهَا إِلى بَعْضِ بَنِي عَمِّهِ ، و</w:t>
      </w:r>
      <w:r w:rsidR="0078283B">
        <w:rPr>
          <w:rFonts w:hint="cs"/>
          <w:rtl/>
          <w:lang w:bidi="fa-IR"/>
        </w:rPr>
        <w:t>َ</w:t>
      </w:r>
      <w:r w:rsidRPr="00132E65">
        <w:rPr>
          <w:rtl/>
          <w:lang w:bidi="fa-IR"/>
        </w:rPr>
        <w:t>قَالَ :</w:t>
      </w:r>
      <w:r>
        <w:rPr>
          <w:rFonts w:hint="cs"/>
          <w:rtl/>
          <w:lang w:bidi="fa-IR"/>
        </w:rPr>
        <w:t xml:space="preserve"> </w:t>
      </w:r>
      <w:r w:rsidRPr="00132E65">
        <w:rPr>
          <w:rtl/>
          <w:lang w:bidi="fa-IR"/>
        </w:rPr>
        <w:t xml:space="preserve">« أَمَا إِنَّهُ سَيَقُولُ لَكَ : دُلَّنِي عَلى حَرِيفٍ </w:t>
      </w:r>
      <w:r>
        <w:rPr>
          <w:rStyle w:val="libFootnotenumChar"/>
          <w:rtl/>
        </w:rPr>
        <w:t>(12)</w:t>
      </w:r>
      <w:r w:rsidRPr="00132E65">
        <w:rPr>
          <w:rtl/>
          <w:lang w:bidi="fa-IR"/>
        </w:rPr>
        <w:t xml:space="preserve"> يَشْتَرِي لِي </w:t>
      </w:r>
      <w:r w:rsidRPr="00F543F1">
        <w:rPr>
          <w:rStyle w:val="libFootnotenumChar"/>
          <w:rtl/>
        </w:rPr>
        <w:t>(13)</w:t>
      </w:r>
      <w:r w:rsidRPr="00132E65">
        <w:rPr>
          <w:rtl/>
          <w:lang w:bidi="fa-IR"/>
        </w:rPr>
        <w:t xml:space="preserve"> بِهَا مَتَاعاً ، فَدُلَّهُ عَلَيْهِ »</w:t>
      </w:r>
      <w:r>
        <w:rPr>
          <w:rtl/>
          <w:lang w:bidi="fa-IR"/>
        </w:rPr>
        <w:t>.</w:t>
      </w:r>
    </w:p>
    <w:p w:rsidR="000C39D1" w:rsidRPr="00132E65" w:rsidRDefault="000C39D1" w:rsidP="000C39D1">
      <w:pPr>
        <w:pStyle w:val="libNormal"/>
        <w:rPr>
          <w:rtl/>
          <w:lang w:bidi="fa-IR"/>
        </w:rPr>
      </w:pPr>
      <w:r w:rsidRPr="00132E65">
        <w:rPr>
          <w:rtl/>
          <w:lang w:bidi="fa-IR"/>
        </w:rPr>
        <w:t xml:space="preserve">قَالَ </w:t>
      </w:r>
      <w:r w:rsidRPr="00F543F1">
        <w:rPr>
          <w:rStyle w:val="libFootnotenumChar"/>
          <w:rtl/>
        </w:rPr>
        <w:t>(14)</w:t>
      </w:r>
      <w:r w:rsidRPr="00132E65">
        <w:rPr>
          <w:rtl/>
          <w:lang w:bidi="fa-IR"/>
        </w:rPr>
        <w:t xml:space="preserve"> : فَأَتَيْتُهُ </w:t>
      </w:r>
      <w:r w:rsidRPr="00F543F1">
        <w:rPr>
          <w:rStyle w:val="libFootnotenumChar"/>
          <w:rtl/>
        </w:rPr>
        <w:t>(15)</w:t>
      </w:r>
      <w:r w:rsidRPr="00132E65">
        <w:rPr>
          <w:rtl/>
          <w:lang w:bidi="fa-IR"/>
        </w:rPr>
        <w:t xml:space="preserve"> بِالدَّنَانِيرِ ، فَقَالَ لِي </w:t>
      </w:r>
      <w:r w:rsidRPr="00F543F1">
        <w:rPr>
          <w:rStyle w:val="libFootnotenumChar"/>
          <w:rtl/>
        </w:rPr>
        <w:t>(16)</w:t>
      </w:r>
      <w:r w:rsidRPr="00132E65">
        <w:rPr>
          <w:rtl/>
          <w:lang w:bidi="fa-IR"/>
        </w:rPr>
        <w:t xml:space="preserve"> : يَا أَبَا هَاشِمٍ ، دُلَّنِي عَلى حَرِيفٍ يَشْتَرِي </w:t>
      </w:r>
      <w:r w:rsidRPr="00F543F1">
        <w:rPr>
          <w:rStyle w:val="libFootnotenumChar"/>
          <w:rtl/>
        </w:rPr>
        <w:t>(17)</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78283B" w:rsidTr="0078283B">
        <w:tc>
          <w:tcPr>
            <w:tcW w:w="4261" w:type="dxa"/>
          </w:tcPr>
          <w:p w:rsidR="0078283B" w:rsidRDefault="0078283B" w:rsidP="000C39D1">
            <w:pPr>
              <w:pStyle w:val="libFootnote0"/>
              <w:rPr>
                <w:rtl/>
              </w:rPr>
            </w:pPr>
            <w:r>
              <w:rPr>
                <w:rtl/>
              </w:rPr>
              <w:t>(1). في «ف» : «وقال</w:t>
            </w:r>
            <w:r w:rsidRPr="00132E65">
              <w:rPr>
                <w:rtl/>
              </w:rPr>
              <w:t>»</w:t>
            </w:r>
            <w:r>
              <w:rPr>
                <w:rtl/>
              </w:rPr>
              <w:t>.</w:t>
            </w:r>
            <w:r w:rsidRPr="00132E65">
              <w:rPr>
                <w:rtl/>
              </w:rPr>
              <w:t xml:space="preserve"> وفي « بر » </w:t>
            </w:r>
            <w:r>
              <w:rPr>
                <w:rtl/>
              </w:rPr>
              <w:t>: - «قال</w:t>
            </w:r>
            <w:r w:rsidRPr="00132E65">
              <w:rPr>
                <w:rtl/>
              </w:rPr>
              <w:t>»</w:t>
            </w:r>
            <w:r>
              <w:rPr>
                <w:rtl/>
              </w:rPr>
              <w:t>.</w:t>
            </w:r>
          </w:p>
        </w:tc>
        <w:tc>
          <w:tcPr>
            <w:tcW w:w="4262" w:type="dxa"/>
          </w:tcPr>
          <w:p w:rsidR="0078283B" w:rsidRDefault="0078283B" w:rsidP="000C39D1">
            <w:pPr>
              <w:pStyle w:val="libFootnote0"/>
              <w:rPr>
                <w:rtl/>
              </w:rPr>
            </w:pPr>
            <w:r>
              <w:rPr>
                <w:rtl/>
              </w:rPr>
              <w:t>(2).</w:t>
            </w:r>
            <w:r w:rsidRPr="00132E65">
              <w:rPr>
                <w:rtl/>
              </w:rPr>
              <w:t xml:space="preserve"> في « بس » : « المضرب »</w:t>
            </w:r>
            <w:r>
              <w:rPr>
                <w:rtl/>
              </w:rPr>
              <w:t>.</w:t>
            </w:r>
          </w:p>
        </w:tc>
      </w:tr>
    </w:tbl>
    <w:p w:rsidR="000C39D1" w:rsidRPr="00132E65" w:rsidRDefault="000C39D1" w:rsidP="000C39D1">
      <w:pPr>
        <w:pStyle w:val="libFootnote0"/>
        <w:rPr>
          <w:rtl/>
          <w:lang w:bidi="fa-IR"/>
        </w:rPr>
      </w:pPr>
      <w:r>
        <w:rPr>
          <w:rtl/>
        </w:rPr>
        <w:t>(3).</w:t>
      </w:r>
      <w:r w:rsidRPr="00132E65">
        <w:rPr>
          <w:rtl/>
        </w:rPr>
        <w:t xml:space="preserve"> في « بح » : « بيده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828 ، ح 1437 ؛ </w:t>
      </w:r>
      <w:r w:rsidRPr="0078283B">
        <w:rPr>
          <w:rStyle w:val="libFootnoteBoldChar"/>
          <w:rtl/>
        </w:rPr>
        <w:t>البحار</w:t>
      </w:r>
      <w:r w:rsidRPr="00132E65">
        <w:rPr>
          <w:rtl/>
        </w:rPr>
        <w:t xml:space="preserve"> ، ج 50 ، ص 61 ، ذيل ح 41.</w:t>
      </w:r>
    </w:p>
    <w:tbl>
      <w:tblPr>
        <w:tblStyle w:val="TableGrid"/>
        <w:bidiVisual/>
        <w:tblW w:w="0" w:type="auto"/>
        <w:tblLook w:val="04A0" w:firstRow="1" w:lastRow="0" w:firstColumn="1" w:lastColumn="0" w:noHBand="0" w:noVBand="1"/>
      </w:tblPr>
      <w:tblGrid>
        <w:gridCol w:w="4261"/>
        <w:gridCol w:w="4262"/>
      </w:tblGrid>
      <w:tr w:rsidR="0078283B" w:rsidTr="0078283B">
        <w:tc>
          <w:tcPr>
            <w:tcW w:w="4261" w:type="dxa"/>
          </w:tcPr>
          <w:p w:rsidR="0078283B" w:rsidRDefault="0078283B" w:rsidP="000C39D1">
            <w:pPr>
              <w:pStyle w:val="libFootnote0"/>
              <w:rPr>
                <w:rtl/>
              </w:rPr>
            </w:pPr>
            <w:r>
              <w:rPr>
                <w:rtl/>
              </w:rPr>
              <w:t>(5).</w:t>
            </w:r>
            <w:r w:rsidRPr="00132E65">
              <w:rPr>
                <w:rtl/>
              </w:rPr>
              <w:t xml:space="preserve"> في الوسائل :</w:t>
            </w:r>
            <w:r>
              <w:rPr>
                <w:rtl/>
              </w:rPr>
              <w:t xml:space="preserve"> + </w:t>
            </w:r>
            <w:r w:rsidRPr="00132E65">
              <w:rPr>
                <w:rtl/>
              </w:rPr>
              <w:t>« الثاني »</w:t>
            </w:r>
            <w:r>
              <w:rPr>
                <w:rtl/>
              </w:rPr>
              <w:t>.</w:t>
            </w:r>
          </w:p>
        </w:tc>
        <w:tc>
          <w:tcPr>
            <w:tcW w:w="4262" w:type="dxa"/>
          </w:tcPr>
          <w:p w:rsidR="0078283B" w:rsidRDefault="0078283B" w:rsidP="000C39D1">
            <w:pPr>
              <w:pStyle w:val="libFootnote0"/>
              <w:rPr>
                <w:rtl/>
              </w:rPr>
            </w:pPr>
            <w:r>
              <w:rPr>
                <w:rtl/>
              </w:rPr>
              <w:t>(6). في « ف » : «فاشتبهت</w:t>
            </w:r>
            <w:r w:rsidRPr="00132E65">
              <w:rPr>
                <w:rtl/>
              </w:rPr>
              <w:t>»</w:t>
            </w:r>
            <w:r>
              <w:rPr>
                <w:rtl/>
              </w:rPr>
              <w:t>. وفي «بح» : «وأشبهت</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هكذا في « ب ، ج ، ض ، بح ، بر » </w:t>
      </w:r>
      <w:r w:rsidRPr="0078283B">
        <w:rPr>
          <w:rtl/>
        </w:rPr>
        <w:t>والوافي</w:t>
      </w:r>
      <w:r w:rsidRPr="00132E65">
        <w:rPr>
          <w:rtl/>
        </w:rPr>
        <w:t xml:space="preserve"> والإرشاد. ويقتضيه المقام. وفي المطبوع وسائر النسخ : « إحداهما »</w:t>
      </w:r>
      <w:r>
        <w:rPr>
          <w:rtl/>
        </w:rPr>
        <w:t>.</w:t>
      </w:r>
    </w:p>
    <w:tbl>
      <w:tblPr>
        <w:tblStyle w:val="TableGrid"/>
        <w:bidiVisual/>
        <w:tblW w:w="0" w:type="auto"/>
        <w:tblLook w:val="04A0" w:firstRow="1" w:lastRow="0" w:firstColumn="1" w:lastColumn="0" w:noHBand="0" w:noVBand="1"/>
      </w:tblPr>
      <w:tblGrid>
        <w:gridCol w:w="4261"/>
        <w:gridCol w:w="4262"/>
      </w:tblGrid>
      <w:tr w:rsidR="0078283B" w:rsidTr="0078283B">
        <w:tc>
          <w:tcPr>
            <w:tcW w:w="4261" w:type="dxa"/>
          </w:tcPr>
          <w:p w:rsidR="0078283B" w:rsidRDefault="0078283B" w:rsidP="000C39D1">
            <w:pPr>
              <w:pStyle w:val="libFootnote0"/>
              <w:rPr>
                <w:rtl/>
              </w:rPr>
            </w:pPr>
            <w:r>
              <w:rPr>
                <w:rtl/>
              </w:rPr>
              <w:t>(8).</w:t>
            </w:r>
            <w:r w:rsidRPr="00132E65">
              <w:rPr>
                <w:rtl/>
              </w:rPr>
              <w:t xml:space="preserve"> في « ف » : « فقال »</w:t>
            </w:r>
            <w:r>
              <w:rPr>
                <w:rtl/>
              </w:rPr>
              <w:t>.</w:t>
            </w:r>
          </w:p>
        </w:tc>
        <w:tc>
          <w:tcPr>
            <w:tcW w:w="4262" w:type="dxa"/>
          </w:tcPr>
          <w:p w:rsidR="0078283B" w:rsidRDefault="0078283B" w:rsidP="000C39D1">
            <w:pPr>
              <w:pStyle w:val="libFootnote0"/>
              <w:rPr>
                <w:rtl/>
              </w:rPr>
            </w:pPr>
            <w:r>
              <w:rPr>
                <w:rtl/>
              </w:rPr>
              <w:t>(9).</w:t>
            </w:r>
            <w:r w:rsidRPr="00132E65">
              <w:rPr>
                <w:rtl/>
              </w:rPr>
              <w:t xml:space="preserve"> في الإرشاد : « ريّان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 « شيث »</w:t>
      </w:r>
      <w:r>
        <w:rPr>
          <w:rtl/>
        </w:rPr>
        <w:t>.</w:t>
      </w:r>
      <w:r w:rsidRPr="00132E65">
        <w:rPr>
          <w:rtl/>
        </w:rPr>
        <w:t xml:space="preserve"> وفي « بح » : « شيب »</w:t>
      </w:r>
      <w:r>
        <w:rPr>
          <w:rtl/>
        </w:rPr>
        <w:t>.</w:t>
      </w:r>
    </w:p>
    <w:p w:rsidR="000C39D1" w:rsidRPr="00132E65" w:rsidRDefault="000C39D1" w:rsidP="000C39D1">
      <w:pPr>
        <w:pStyle w:val="libFootnote0"/>
        <w:rPr>
          <w:rtl/>
          <w:lang w:bidi="fa-IR"/>
        </w:rPr>
      </w:pPr>
      <w:r>
        <w:rPr>
          <w:rtl/>
        </w:rPr>
        <w:t>(11).</w:t>
      </w:r>
      <w:r w:rsidRPr="00132E65">
        <w:rPr>
          <w:rtl/>
        </w:rPr>
        <w:t xml:space="preserve"> في الإرشاد : « فبهتّ أنظر إليه فتبسّم وأخذ الثالثة ، فقال : هذه رقعة فلان ، فقلت : نعم جعلت فداك فأعطاني » بدل « فبهتُّ أنا ، فنظر إلىّ فتبسّم. قال : وأعطاني »</w:t>
      </w:r>
      <w:r>
        <w:rPr>
          <w:rtl/>
        </w:rPr>
        <w:t>.</w:t>
      </w:r>
    </w:p>
    <w:p w:rsidR="000C39D1" w:rsidRPr="00132E65" w:rsidRDefault="000C39D1" w:rsidP="000C39D1">
      <w:pPr>
        <w:pStyle w:val="libFootnote0"/>
        <w:rPr>
          <w:rtl/>
          <w:lang w:bidi="fa-IR"/>
        </w:rPr>
      </w:pPr>
      <w:r>
        <w:rPr>
          <w:rtl/>
        </w:rPr>
        <w:t>(12).</w:t>
      </w:r>
      <w:r w:rsidRPr="00132E65">
        <w:rPr>
          <w:rtl/>
        </w:rPr>
        <w:t xml:space="preserve"> اختلفت النسخ في ضبط الكلمة من حيث تشديد الراء وتخفيفها. والصحيح تخفيفها ، كما قال المازندراني في شرحه : « وحريف الرجل</w:t>
      </w:r>
      <w:r>
        <w:rPr>
          <w:rtl/>
        </w:rPr>
        <w:t xml:space="preserve"> - </w:t>
      </w:r>
      <w:r w:rsidRPr="00132E65">
        <w:rPr>
          <w:rtl/>
        </w:rPr>
        <w:t>بفتح الحاء وكسر الراء المخفّفة</w:t>
      </w:r>
      <w:r>
        <w:rPr>
          <w:rtl/>
        </w:rPr>
        <w:t xml:space="preserve"> - </w:t>
      </w:r>
      <w:r w:rsidRPr="00132E65">
        <w:rPr>
          <w:rtl/>
        </w:rPr>
        <w:t>: مُعامله في الحِرْفة ، وهي الاكتساب »</w:t>
      </w:r>
      <w:r>
        <w:rPr>
          <w:rtl/>
        </w:rPr>
        <w:t>.</w:t>
      </w:r>
      <w:r w:rsidRPr="00132E65">
        <w:rPr>
          <w:rtl/>
        </w:rPr>
        <w:t xml:space="preserve"> وراجع : </w:t>
      </w:r>
      <w:r w:rsidRPr="0078283B">
        <w:rPr>
          <w:rStyle w:val="libFootnoteBoldChar"/>
          <w:rtl/>
        </w:rPr>
        <w:t>النهاية</w:t>
      </w:r>
      <w:r w:rsidRPr="00132E65">
        <w:rPr>
          <w:rtl/>
        </w:rPr>
        <w:t xml:space="preserve"> ، ج 1 ، ص 369 ؛ </w:t>
      </w:r>
      <w:r w:rsidRPr="009D1ACE">
        <w:rPr>
          <w:rStyle w:val="libFootnoteBoldChar"/>
          <w:rtl/>
        </w:rPr>
        <w:t>لسان العرب</w:t>
      </w:r>
      <w:r w:rsidRPr="00132E65">
        <w:rPr>
          <w:rtl/>
        </w:rPr>
        <w:t xml:space="preserve"> ، ج 9 ، ص 44 ( حرف )</w:t>
      </w:r>
      <w:r>
        <w:rPr>
          <w:rtl/>
        </w:rPr>
        <w:t>.</w:t>
      </w:r>
    </w:p>
    <w:tbl>
      <w:tblPr>
        <w:tblStyle w:val="TableGrid"/>
        <w:bidiVisual/>
        <w:tblW w:w="0" w:type="auto"/>
        <w:tblLook w:val="04A0" w:firstRow="1" w:lastRow="0" w:firstColumn="1" w:lastColumn="0" w:noHBand="0" w:noVBand="1"/>
      </w:tblPr>
      <w:tblGrid>
        <w:gridCol w:w="4261"/>
        <w:gridCol w:w="4262"/>
      </w:tblGrid>
      <w:tr w:rsidR="0078283B" w:rsidTr="0078283B">
        <w:tc>
          <w:tcPr>
            <w:tcW w:w="4261" w:type="dxa"/>
          </w:tcPr>
          <w:p w:rsidR="0078283B" w:rsidRDefault="0078283B" w:rsidP="000C39D1">
            <w:pPr>
              <w:pStyle w:val="libFootnote0"/>
              <w:rPr>
                <w:rtl/>
              </w:rPr>
            </w:pPr>
            <w:r>
              <w:rPr>
                <w:rtl/>
              </w:rPr>
              <w:t>(13)</w:t>
            </w:r>
            <w:r w:rsidRPr="00132E65">
              <w:rPr>
                <w:rtl/>
              </w:rPr>
              <w:t xml:space="preserve"> في « ف » : « نشتري » بدل « يشتري لي »</w:t>
            </w:r>
            <w:r>
              <w:rPr>
                <w:rtl/>
              </w:rPr>
              <w:t>.</w:t>
            </w:r>
          </w:p>
        </w:tc>
        <w:tc>
          <w:tcPr>
            <w:tcW w:w="4262" w:type="dxa"/>
          </w:tcPr>
          <w:p w:rsidR="0078283B" w:rsidRDefault="0078283B" w:rsidP="000C39D1">
            <w:pPr>
              <w:pStyle w:val="libFootnote0"/>
              <w:rPr>
                <w:rtl/>
              </w:rPr>
            </w:pPr>
            <w:r>
              <w:rPr>
                <w:rtl/>
              </w:rPr>
              <w:t>(14)</w:t>
            </w:r>
            <w:r w:rsidRPr="00132E65">
              <w:rPr>
                <w:rtl/>
              </w:rPr>
              <w:t xml:space="preserve"> في « ج » : « فقال »</w:t>
            </w:r>
            <w:r>
              <w:rPr>
                <w:rtl/>
              </w:rPr>
              <w:t>.</w:t>
            </w:r>
            <w:r w:rsidRPr="00132E65">
              <w:rPr>
                <w:rtl/>
              </w:rPr>
              <w:t xml:space="preserve"> وفي « ض » </w:t>
            </w:r>
            <w:r>
              <w:rPr>
                <w:rtl/>
              </w:rPr>
              <w:t xml:space="preserve">: - </w:t>
            </w:r>
            <w:r w:rsidRPr="00132E65">
              <w:rPr>
                <w:rtl/>
              </w:rPr>
              <w:t>« قال »</w:t>
            </w:r>
            <w:r>
              <w:rPr>
                <w:rtl/>
              </w:rPr>
              <w:t>.</w:t>
            </w:r>
          </w:p>
        </w:tc>
      </w:tr>
      <w:tr w:rsidR="0078283B" w:rsidTr="0078283B">
        <w:tc>
          <w:tcPr>
            <w:tcW w:w="4261" w:type="dxa"/>
          </w:tcPr>
          <w:p w:rsidR="0078283B" w:rsidRDefault="0078283B" w:rsidP="000C39D1">
            <w:pPr>
              <w:pStyle w:val="libFootnote0"/>
              <w:rPr>
                <w:rtl/>
              </w:rPr>
            </w:pPr>
            <w:r>
              <w:rPr>
                <w:rtl/>
              </w:rPr>
              <w:t>(15)</w:t>
            </w:r>
            <w:r w:rsidRPr="00132E65">
              <w:rPr>
                <w:rtl/>
              </w:rPr>
              <w:t xml:space="preserve"> في « ج » : « أتيته » بدون الفاء.</w:t>
            </w:r>
          </w:p>
        </w:tc>
        <w:tc>
          <w:tcPr>
            <w:tcW w:w="4262" w:type="dxa"/>
          </w:tcPr>
          <w:p w:rsidR="0078283B" w:rsidRDefault="0078283B" w:rsidP="000C39D1">
            <w:pPr>
              <w:pStyle w:val="libFootnote0"/>
              <w:rPr>
                <w:rtl/>
              </w:rPr>
            </w:pPr>
            <w:r>
              <w:rPr>
                <w:rtl/>
              </w:rPr>
              <w:t>(16)</w:t>
            </w:r>
            <w:r w:rsidRPr="00132E65">
              <w:rPr>
                <w:rtl/>
              </w:rPr>
              <w:t xml:space="preserve"> في « ب ، ف ، بف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(17)</w:t>
      </w:r>
      <w:r w:rsidRPr="00132E65">
        <w:rPr>
          <w:rtl/>
        </w:rPr>
        <w:t xml:space="preserve"> في « ب » : « يشري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لِي </w:t>
      </w:r>
      <w:r>
        <w:rPr>
          <w:rStyle w:val="libFootnotenumChar"/>
          <w:rtl/>
        </w:rPr>
        <w:t>(1)</w:t>
      </w:r>
      <w:r w:rsidRPr="00132E65">
        <w:rPr>
          <w:rtl/>
          <w:lang w:bidi="fa-IR"/>
        </w:rPr>
        <w:t xml:space="preserve"> بِهَا مَتَاعاً </w:t>
      </w:r>
      <w:r>
        <w:rPr>
          <w:rStyle w:val="libFootnotenumChar"/>
          <w:rtl/>
        </w:rPr>
        <w:t>(2)</w:t>
      </w:r>
      <w:r w:rsidRPr="00132E65">
        <w:rPr>
          <w:rtl/>
          <w:lang w:bidi="fa-IR"/>
        </w:rPr>
        <w:t xml:space="preserve"> ، فَقُلْتُ : نَعَمْ ، قَالَ </w:t>
      </w:r>
      <w:r>
        <w:rPr>
          <w:rStyle w:val="libFootnotenumChar"/>
          <w:rtl/>
        </w:rPr>
        <w:t>(3)</w:t>
      </w:r>
      <w:r w:rsidRPr="00132E65">
        <w:rPr>
          <w:rtl/>
          <w:lang w:bidi="fa-IR"/>
        </w:rPr>
        <w:t xml:space="preserve"> : و</w:t>
      </w:r>
      <w:r w:rsidR="0078283B">
        <w:rPr>
          <w:rFonts w:hint="cs"/>
          <w:rtl/>
          <w:lang w:bidi="fa-IR"/>
        </w:rPr>
        <w:t>َ</w:t>
      </w:r>
      <w:r w:rsidRPr="00132E65">
        <w:rPr>
          <w:rtl/>
          <w:lang w:bidi="fa-IR"/>
        </w:rPr>
        <w:t xml:space="preserve">كَلَّمَنِي جَمَّالٌ أَنْ أُكَلِّمَهُ لَهُ يُدْخِلُهُ </w:t>
      </w:r>
      <w:r>
        <w:rPr>
          <w:rStyle w:val="libFootnotenumChar"/>
          <w:rtl/>
        </w:rPr>
        <w:t>(4)</w:t>
      </w:r>
      <w:r w:rsidRPr="00132E65">
        <w:rPr>
          <w:rtl/>
          <w:lang w:bidi="fa-IR"/>
        </w:rPr>
        <w:t xml:space="preserve"> فِي بَعْضِ أُمُورِهِ </w:t>
      </w:r>
      <w:r>
        <w:rPr>
          <w:rStyle w:val="libFootnotenumChar"/>
          <w:rtl/>
        </w:rPr>
        <w:t>(5)</w:t>
      </w:r>
      <w:r w:rsidRPr="00132E65">
        <w:rPr>
          <w:rtl/>
          <w:lang w:bidi="fa-IR"/>
        </w:rPr>
        <w:t xml:space="preserve"> فَدَخَلْتُ عَلَيْهِ لِأُكَلِّمَهُ لَهُ </w:t>
      </w:r>
      <w:r>
        <w:rPr>
          <w:rStyle w:val="libFootnotenumChar"/>
          <w:rtl/>
        </w:rPr>
        <w:t>(6)</w:t>
      </w:r>
      <w:r w:rsidRPr="00132E65">
        <w:rPr>
          <w:rtl/>
          <w:lang w:bidi="fa-IR"/>
        </w:rPr>
        <w:t xml:space="preserve"> ، فَوَجَدْتُهُ يَأْكُلُ و</w:t>
      </w:r>
      <w:r w:rsidR="0078283B">
        <w:rPr>
          <w:rFonts w:hint="cs"/>
          <w:rtl/>
          <w:lang w:bidi="fa-IR"/>
        </w:rPr>
        <w:t>َ</w:t>
      </w:r>
      <w:r>
        <w:rPr>
          <w:rFonts w:hint="cs"/>
          <w:rtl/>
          <w:lang w:bidi="fa-IR"/>
        </w:rPr>
        <w:t xml:space="preserve"> </w:t>
      </w:r>
      <w:r>
        <w:rPr>
          <w:rStyle w:val="libFootnotenumChar"/>
          <w:rtl/>
        </w:rPr>
        <w:t>(7)</w:t>
      </w:r>
      <w:r w:rsidRPr="00132E65">
        <w:rPr>
          <w:rtl/>
          <w:lang w:bidi="fa-IR"/>
        </w:rPr>
        <w:t xml:space="preserve"> مَعَهُ جَمَاعَةٌ و</w:t>
      </w:r>
      <w:r w:rsidR="0078283B">
        <w:rPr>
          <w:rFonts w:hint="cs"/>
          <w:rtl/>
          <w:lang w:bidi="fa-IR"/>
        </w:rPr>
        <w:t>َ</w:t>
      </w:r>
      <w:r w:rsidRPr="00132E65">
        <w:rPr>
          <w:rtl/>
          <w:lang w:bidi="fa-IR"/>
        </w:rPr>
        <w:t xml:space="preserve">لَمْ يُمْكِنِّي كَلَامُهُ </w:t>
      </w:r>
      <w:r>
        <w:rPr>
          <w:rStyle w:val="libFootnotenumChar"/>
          <w:rtl/>
        </w:rPr>
        <w:t>(8)</w:t>
      </w:r>
      <w:r w:rsidRPr="00132E65">
        <w:rPr>
          <w:rtl/>
          <w:lang w:bidi="fa-IR"/>
        </w:rPr>
        <w:t xml:space="preserve"> ، فَقَالَ </w:t>
      </w:r>
      <w:r>
        <w:rPr>
          <w:rStyle w:val="libFootnotenumChar"/>
          <w:rtl/>
        </w:rPr>
        <w:t>(9)</w:t>
      </w:r>
      <w:r w:rsidRPr="00132E65">
        <w:rPr>
          <w:rtl/>
          <w:lang w:bidi="fa-IR"/>
        </w:rPr>
        <w:t xml:space="preserve"> : « يَا أَبَا هَاشِمٍ ، كُلْ » و</w:t>
      </w:r>
      <w:r w:rsidR="0078283B">
        <w:rPr>
          <w:rFonts w:hint="cs"/>
          <w:rtl/>
          <w:lang w:bidi="fa-IR"/>
        </w:rPr>
        <w:t xml:space="preserve">َ </w:t>
      </w:r>
      <w:r w:rsidR="0078283B">
        <w:rPr>
          <w:rtl/>
          <w:lang w:bidi="fa-IR"/>
        </w:rPr>
        <w:t>و</w:t>
      </w:r>
      <w:r w:rsidR="0078283B">
        <w:rPr>
          <w:rFonts w:hint="cs"/>
          <w:rtl/>
          <w:lang w:bidi="fa-IR"/>
        </w:rPr>
        <w:t>َ</w:t>
      </w:r>
      <w:r w:rsidRPr="00132E65">
        <w:rPr>
          <w:rtl/>
          <w:lang w:bidi="fa-IR"/>
        </w:rPr>
        <w:t xml:space="preserve">ضَعَ بَيْنَ يَدَيَّ </w:t>
      </w:r>
      <w:r>
        <w:rPr>
          <w:rStyle w:val="libFootnotenumChar"/>
          <w:rtl/>
        </w:rPr>
        <w:t>(10)</w:t>
      </w:r>
      <w:r w:rsidRPr="00132E65">
        <w:rPr>
          <w:rtl/>
          <w:lang w:bidi="fa-IR"/>
        </w:rPr>
        <w:t xml:space="preserve"> ، ثُمَّ قَالَ</w:t>
      </w:r>
      <w:r>
        <w:rPr>
          <w:rtl/>
          <w:lang w:bidi="fa-IR"/>
        </w:rPr>
        <w:t xml:space="preserve"> - </w:t>
      </w:r>
      <w:r w:rsidRPr="00132E65">
        <w:rPr>
          <w:rtl/>
          <w:lang w:bidi="fa-IR"/>
        </w:rPr>
        <w:t xml:space="preserve">ابْتِدَاءً مِنْهُ </w:t>
      </w:r>
      <w:r>
        <w:rPr>
          <w:rStyle w:val="libFootnotenumChar"/>
          <w:rtl/>
        </w:rPr>
        <w:t>(11)</w:t>
      </w:r>
      <w:r w:rsidRPr="00132E65">
        <w:rPr>
          <w:rtl/>
          <w:lang w:bidi="fa-IR"/>
        </w:rPr>
        <w:t xml:space="preserve"> مِنْ غَيْرِ مَسْأَلَةٍ </w:t>
      </w:r>
      <w:r>
        <w:rPr>
          <w:rtl/>
          <w:lang w:bidi="fa-IR"/>
        </w:rPr>
        <w:t>- :</w:t>
      </w:r>
      <w:r>
        <w:rPr>
          <w:rFonts w:hint="cs"/>
          <w:rtl/>
          <w:lang w:bidi="fa-IR"/>
        </w:rPr>
        <w:t xml:space="preserve"> </w:t>
      </w:r>
      <w:r w:rsidRPr="00132E65">
        <w:rPr>
          <w:rtl/>
          <w:lang w:bidi="fa-IR"/>
        </w:rPr>
        <w:t xml:space="preserve">« يَا غُلَامُ ، انْظُرْ إِلَى </w:t>
      </w:r>
      <w:r>
        <w:rPr>
          <w:rStyle w:val="libFootnotenumChar"/>
          <w:rtl/>
        </w:rPr>
        <w:t>(12)</w:t>
      </w:r>
      <w:r w:rsidRPr="00132E65">
        <w:rPr>
          <w:rtl/>
          <w:lang w:bidi="fa-IR"/>
        </w:rPr>
        <w:t xml:space="preserve"> الْجَمَّالِ الَّذِي أَتَانَا بِهِ أَبُو هَاشِمٍ ، فَضُمَّهُ إِلَيْكَ »</w:t>
      </w:r>
      <w:r>
        <w:rPr>
          <w:rtl/>
          <w:lang w:bidi="fa-IR"/>
        </w:rPr>
        <w:t>.</w:t>
      </w:r>
    </w:p>
    <w:p w:rsidR="000C39D1" w:rsidRPr="00132E65" w:rsidRDefault="000C39D1" w:rsidP="000C39D1">
      <w:pPr>
        <w:pStyle w:val="libNormal"/>
        <w:rPr>
          <w:rtl/>
          <w:lang w:bidi="fa-IR"/>
        </w:rPr>
      </w:pPr>
      <w:r w:rsidRPr="00132E65">
        <w:rPr>
          <w:rtl/>
          <w:lang w:bidi="fa-IR"/>
        </w:rPr>
        <w:t xml:space="preserve">قَالَ </w:t>
      </w:r>
      <w:r w:rsidRPr="00F543F1">
        <w:rPr>
          <w:rStyle w:val="libFootnotenumChar"/>
          <w:rtl/>
        </w:rPr>
        <w:t>(13)</w:t>
      </w:r>
      <w:r w:rsidRPr="00132E65">
        <w:rPr>
          <w:rtl/>
          <w:lang w:bidi="fa-IR"/>
        </w:rPr>
        <w:t xml:space="preserve"> : و</w:t>
      </w:r>
      <w:r w:rsidR="0078283B">
        <w:rPr>
          <w:rFonts w:hint="cs"/>
          <w:rtl/>
          <w:lang w:bidi="fa-IR"/>
        </w:rPr>
        <w:t>َ</w:t>
      </w:r>
      <w:r w:rsidRPr="00132E65">
        <w:rPr>
          <w:rtl/>
          <w:lang w:bidi="fa-IR"/>
        </w:rPr>
        <w:t xml:space="preserve">دَخَلْتُ مَعَهُ ذَاتَ يَوْمٍ بُسْتَاناً ، فَقُلْتُ لَهُ : جُعِلْتُ فِدَاكَ ، إِنِّي لَمُولَعٌ </w:t>
      </w:r>
      <w:r w:rsidRPr="00F543F1">
        <w:rPr>
          <w:rStyle w:val="libFootnotenumChar"/>
          <w:rtl/>
        </w:rPr>
        <w:t>(14)</w:t>
      </w:r>
      <w:r w:rsidRPr="00132E65">
        <w:rPr>
          <w:rtl/>
          <w:lang w:bidi="fa-IR"/>
        </w:rPr>
        <w:t xml:space="preserve"> بِأَكْلِ الطِّينِ ، فَادْعُ اللهَ لِي </w:t>
      </w:r>
      <w:r w:rsidRPr="00F543F1">
        <w:rPr>
          <w:rStyle w:val="libFootnotenumChar"/>
          <w:rtl/>
        </w:rPr>
        <w:t>(15)</w:t>
      </w:r>
      <w:r w:rsidRPr="00132E65">
        <w:rPr>
          <w:rtl/>
          <w:lang w:bidi="fa-IR"/>
        </w:rPr>
        <w:t xml:space="preserve"> ، فَسَكَتَ ، ثُمَّ قَالَ بَعْدَ أَيَّامٍ </w:t>
      </w:r>
      <w:r w:rsidRPr="00F543F1">
        <w:rPr>
          <w:rStyle w:val="libFootnotenumChar"/>
          <w:rtl/>
        </w:rPr>
        <w:t>(16)</w:t>
      </w:r>
      <w:r w:rsidRPr="00132E65">
        <w:rPr>
          <w:rtl/>
          <w:lang w:bidi="fa-IR"/>
        </w:rPr>
        <w:t xml:space="preserve"> ابْتِدَاءً مِنْهُ : « يَا أَبَا هَاشِمٍ ، قَدْ أَذْهَبَ اللهُ عَنْكَ أَكْلَ الطِّينِ »</w:t>
      </w:r>
      <w:r>
        <w:rPr>
          <w:rtl/>
          <w:lang w:bidi="fa-IR"/>
        </w:rPr>
        <w:t>.</w:t>
      </w:r>
      <w:r w:rsidRPr="00132E65">
        <w:rPr>
          <w:rtl/>
          <w:lang w:bidi="fa-IR"/>
        </w:rPr>
        <w:t xml:space="preserve"> قَالَ أَبُو هَاشِمٍ : فَمَا شَيْ‌ءٌ أَبْغَضَ إِلَيَّ مِنْهُ الْيَوْمَ. </w:t>
      </w:r>
      <w:r w:rsidRPr="00F543F1">
        <w:rPr>
          <w:rStyle w:val="libFootnotenumChar"/>
          <w:rtl/>
        </w:rPr>
        <w:t>(17)</w:t>
      </w:r>
      <w:r w:rsidRPr="00132E65">
        <w:rPr>
          <w:rtl/>
          <w:lang w:bidi="fa-IR"/>
        </w:rPr>
        <w:t xml:space="preserve"> ‌</w:t>
      </w:r>
    </w:p>
    <w:p w:rsidR="000C39D1" w:rsidRPr="00132E65" w:rsidRDefault="000C39D1" w:rsidP="000C39D1">
      <w:pPr>
        <w:pStyle w:val="libNormal"/>
        <w:rPr>
          <w:rtl/>
          <w:lang w:bidi="fa-IR"/>
        </w:rPr>
      </w:pPr>
      <w:r w:rsidRPr="00576DE8">
        <w:rPr>
          <w:rtl/>
        </w:rPr>
        <w:t>1314</w:t>
      </w:r>
      <w:r w:rsidRPr="004325D8">
        <w:rPr>
          <w:rStyle w:val="libBold2Char"/>
          <w:rtl/>
        </w:rPr>
        <w:t xml:space="preserve"> / 6.</w:t>
      </w:r>
      <w:r w:rsidRPr="00132E65">
        <w:rPr>
          <w:rtl/>
          <w:lang w:bidi="fa-IR"/>
        </w:rPr>
        <w:t xml:space="preserve"> الْحُسَيْنُ بْنُ مُحَمَّدٍ ، عَنْ مُعَلَّى بْنِ مُحَمَّدٍ ، عَنْ مُحَمَّدِ بْنِ عَلِيٍّ ، عَنْ مُحَمَّدِ</w:t>
      </w:r>
      <w:r w:rsidR="0078283B">
        <w:rPr>
          <w:rFonts w:hint="cs"/>
          <w:rtl/>
          <w:lang w:bidi="fa-IR"/>
        </w:rPr>
        <w:t xml:space="preserve"> </w:t>
      </w:r>
      <w:r w:rsidRPr="00132E65">
        <w:rPr>
          <w:rtl/>
          <w:lang w:bidi="fa-IR"/>
        </w:rPr>
        <w:t xml:space="preserve">بْنِ حَمْزَةَ الْهَاشِمِيِّ ، عَنْ عَلِيِّ بْنِ مُحَمَّدٍ أَوْ </w:t>
      </w:r>
      <w:r w:rsidRPr="00F543F1">
        <w:rPr>
          <w:rStyle w:val="libFootnotenumChar"/>
          <w:rtl/>
        </w:rPr>
        <w:t>(18)</w:t>
      </w:r>
      <w:r w:rsidRPr="00132E65">
        <w:rPr>
          <w:rtl/>
          <w:lang w:bidi="fa-IR"/>
        </w:rPr>
        <w:t xml:space="preserve"> مُحَمَّدِ بْنِ عَلِيٍّ الْهَاشِمِيِّ </w:t>
      </w:r>
      <w:r w:rsidRPr="00F543F1">
        <w:rPr>
          <w:rStyle w:val="libFootnotenumChar"/>
          <w:rtl/>
        </w:rPr>
        <w:t>(19)</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78283B" w:rsidTr="0078283B">
        <w:tc>
          <w:tcPr>
            <w:tcW w:w="4261" w:type="dxa"/>
          </w:tcPr>
          <w:p w:rsidR="0078283B" w:rsidRDefault="0078283B" w:rsidP="000C39D1">
            <w:pPr>
              <w:pStyle w:val="libFootnote0"/>
              <w:rPr>
                <w:rtl/>
              </w:rPr>
            </w:pPr>
            <w:r>
              <w:rPr>
                <w:rtl/>
              </w:rPr>
              <w:t>(1).</w:t>
            </w:r>
            <w:r w:rsidRPr="00132E65">
              <w:rPr>
                <w:rtl/>
              </w:rPr>
              <w:t xml:space="preserve"> في « ب » </w:t>
            </w:r>
            <w:r>
              <w:rPr>
                <w:rtl/>
              </w:rPr>
              <w:t xml:space="preserve">: - </w:t>
            </w:r>
            <w:r w:rsidRPr="00132E65">
              <w:rPr>
                <w:rtl/>
              </w:rPr>
              <w:t>« لي »</w:t>
            </w:r>
            <w:r>
              <w:rPr>
                <w:rtl/>
              </w:rPr>
              <w:t>.</w:t>
            </w:r>
          </w:p>
        </w:tc>
        <w:tc>
          <w:tcPr>
            <w:tcW w:w="4262" w:type="dxa"/>
          </w:tcPr>
          <w:p w:rsidR="0078283B" w:rsidRDefault="0078283B" w:rsidP="000C39D1">
            <w:pPr>
              <w:pStyle w:val="libFootnote0"/>
              <w:rPr>
                <w:rtl/>
              </w:rPr>
            </w:pPr>
            <w:r>
              <w:rPr>
                <w:rtl/>
              </w:rPr>
              <w:t>(2).</w:t>
            </w:r>
            <w:r w:rsidRPr="00132E65">
              <w:rPr>
                <w:rtl/>
              </w:rPr>
              <w:t xml:space="preserve"> في « بح » </w:t>
            </w:r>
            <w:r>
              <w:rPr>
                <w:rtl/>
              </w:rPr>
              <w:t xml:space="preserve">: - </w:t>
            </w:r>
            <w:r w:rsidRPr="00132E65">
              <w:rPr>
                <w:rtl/>
              </w:rPr>
              <w:t>« فدلّه عليه</w:t>
            </w:r>
            <w:r>
              <w:rPr>
                <w:rtl/>
              </w:rPr>
              <w:t xml:space="preserve"> - </w:t>
            </w:r>
            <w:r w:rsidRPr="00132E65">
              <w:rPr>
                <w:rtl/>
              </w:rPr>
              <w:t>إلى</w:t>
            </w:r>
            <w:r>
              <w:rPr>
                <w:rtl/>
              </w:rPr>
              <w:t xml:space="preserve"> - </w:t>
            </w:r>
            <w:r w:rsidRPr="00132E65">
              <w:rPr>
                <w:rtl/>
              </w:rPr>
              <w:t>متاعاً »</w:t>
            </w:r>
            <w:r>
              <w:rPr>
                <w:rtl/>
              </w:rPr>
              <w:t>.</w:t>
            </w:r>
          </w:p>
        </w:tc>
      </w:tr>
      <w:tr w:rsidR="0078283B" w:rsidTr="0078283B">
        <w:tc>
          <w:tcPr>
            <w:tcW w:w="4261" w:type="dxa"/>
          </w:tcPr>
          <w:p w:rsidR="0078283B" w:rsidRDefault="00BA06EA" w:rsidP="000C39D1">
            <w:pPr>
              <w:pStyle w:val="libFootnote0"/>
              <w:rPr>
                <w:rtl/>
              </w:rPr>
            </w:pPr>
            <w:r>
              <w:rPr>
                <w:rtl/>
              </w:rPr>
              <w:t>(3).</w:t>
            </w:r>
            <w:r w:rsidRPr="00132E65">
              <w:rPr>
                <w:rtl/>
              </w:rPr>
              <w:t xml:space="preserve"> في الإرشاد </w:t>
            </w:r>
            <w:r>
              <w:rPr>
                <w:rtl/>
              </w:rPr>
              <w:t xml:space="preserve">: - </w:t>
            </w:r>
            <w:r w:rsidRPr="00132E65">
              <w:rPr>
                <w:rtl/>
              </w:rPr>
              <w:t>« قال »</w:t>
            </w:r>
            <w:r>
              <w:rPr>
                <w:rtl/>
              </w:rPr>
              <w:t>.</w:t>
            </w:r>
          </w:p>
        </w:tc>
        <w:tc>
          <w:tcPr>
            <w:tcW w:w="4262" w:type="dxa"/>
          </w:tcPr>
          <w:p w:rsidR="0078283B" w:rsidRDefault="00BA06EA" w:rsidP="000C39D1">
            <w:pPr>
              <w:pStyle w:val="libFootnote0"/>
              <w:rPr>
                <w:rtl/>
              </w:rPr>
            </w:pPr>
            <w:r>
              <w:rPr>
                <w:rtl/>
              </w:rPr>
              <w:t>(4).</w:t>
            </w:r>
            <w:r w:rsidRPr="00132E65">
              <w:rPr>
                <w:rtl/>
              </w:rPr>
              <w:t xml:space="preserve"> في « بح » : « يدخل »</w:t>
            </w:r>
            <w:r>
              <w:rPr>
                <w:rtl/>
              </w:rPr>
              <w:t>.</w:t>
            </w:r>
          </w:p>
        </w:tc>
      </w:tr>
    </w:tbl>
    <w:p w:rsidR="000C39D1" w:rsidRPr="00132E65" w:rsidRDefault="000C39D1" w:rsidP="00BA06EA">
      <w:pPr>
        <w:pStyle w:val="libFootnote0"/>
        <w:rPr>
          <w:rtl/>
          <w:lang w:bidi="fa-IR"/>
        </w:rPr>
      </w:pPr>
      <w:r>
        <w:rPr>
          <w:rtl/>
        </w:rPr>
        <w:t>(5).</w:t>
      </w:r>
      <w:r w:rsidRPr="00132E65">
        <w:rPr>
          <w:rtl/>
        </w:rPr>
        <w:t xml:space="preserve"> في الإرشاد : « وكلّمني في الطريق جمّال سألني أن ا</w:t>
      </w:r>
      <w:r w:rsidR="00BA06EA">
        <w:rPr>
          <w:rFonts w:hint="cs"/>
          <w:rtl/>
        </w:rPr>
        <w:t>ُ</w:t>
      </w:r>
      <w:r w:rsidRPr="00132E65">
        <w:rPr>
          <w:rtl/>
        </w:rPr>
        <w:t>خاطبه في إدخاله مع بعض أصحابه في ا</w:t>
      </w:r>
      <w:r w:rsidR="00BA06EA">
        <w:rPr>
          <w:rFonts w:hint="cs"/>
          <w:rtl/>
        </w:rPr>
        <w:t>ُ</w:t>
      </w:r>
      <w:r w:rsidRPr="00132E65">
        <w:rPr>
          <w:rtl/>
        </w:rPr>
        <w:t>موره » بدل « وكلّمني جمّال أن</w:t>
      </w:r>
      <w:r>
        <w:rPr>
          <w:rtl/>
        </w:rPr>
        <w:t xml:space="preserve"> - </w:t>
      </w:r>
      <w:r w:rsidRPr="00132E65">
        <w:rPr>
          <w:rtl/>
        </w:rPr>
        <w:t>إلى</w:t>
      </w:r>
      <w:r>
        <w:rPr>
          <w:rtl/>
        </w:rPr>
        <w:t xml:space="preserve"> - </w:t>
      </w:r>
      <w:r w:rsidRPr="00132E65">
        <w:rPr>
          <w:rtl/>
        </w:rPr>
        <w:t>ا</w:t>
      </w:r>
      <w:r w:rsidR="00BA06EA">
        <w:rPr>
          <w:rFonts w:hint="cs"/>
          <w:rtl/>
        </w:rPr>
        <w:t>ُ</w:t>
      </w:r>
      <w:r w:rsidRPr="00132E65">
        <w:rPr>
          <w:rtl/>
        </w:rPr>
        <w:t>موره »</w:t>
      </w:r>
      <w:r>
        <w:rPr>
          <w:rtl/>
        </w:rPr>
        <w:t>.</w:t>
      </w:r>
      <w:r w:rsidR="00BA06EA">
        <w:rPr>
          <w:rFonts w:hint="cs"/>
          <w:rtl/>
        </w:rPr>
        <w:t xml:space="preserve">                                         </w:t>
      </w:r>
      <w:r>
        <w:rPr>
          <w:rtl/>
        </w:rPr>
        <w:t>(6).</w:t>
      </w:r>
      <w:r w:rsidRPr="00132E65">
        <w:rPr>
          <w:rtl/>
        </w:rPr>
        <w:t xml:space="preserve"> في « ب ، ج » والإرشاد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(7).</w:t>
      </w:r>
      <w:r w:rsidRPr="00132E65">
        <w:rPr>
          <w:rtl/>
        </w:rPr>
        <w:t xml:space="preserve"> في « ب ، ض ، ف ، بح ، بس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(8).</w:t>
      </w:r>
      <w:r w:rsidRPr="00132E65">
        <w:rPr>
          <w:rtl/>
        </w:rPr>
        <w:t xml:space="preserve"> في الإرشاد : « فلم أتمكّن من كلامه » بدل « ولم يمكنّي كلامه »</w:t>
      </w:r>
      <w:r>
        <w:rPr>
          <w:rtl/>
        </w:rPr>
        <w:t>.</w:t>
      </w:r>
    </w:p>
    <w:p w:rsidR="000C39D1" w:rsidRPr="00132E65" w:rsidRDefault="000C39D1" w:rsidP="000C39D1">
      <w:pPr>
        <w:pStyle w:val="libFootnote0"/>
        <w:rPr>
          <w:rtl/>
          <w:lang w:bidi="fa-IR"/>
        </w:rPr>
      </w:pPr>
      <w:r>
        <w:rPr>
          <w:rtl/>
        </w:rPr>
        <w:t>(9).</w:t>
      </w:r>
      <w:r w:rsidRPr="00132E65">
        <w:rPr>
          <w:rtl/>
        </w:rPr>
        <w:t xml:space="preserve"> في « ب ، ج ، بر » </w:t>
      </w:r>
      <w:r w:rsidRPr="00BA06EA">
        <w:rPr>
          <w:rtl/>
        </w:rPr>
        <w:t>والوافي</w:t>
      </w:r>
      <w:r w:rsidRPr="00132E65">
        <w:rPr>
          <w:rtl/>
        </w:rPr>
        <w:t xml:space="preserve"> : « ثمّ قال »</w:t>
      </w:r>
      <w:r>
        <w:rPr>
          <w:rtl/>
        </w:rPr>
        <w:t>.</w:t>
      </w:r>
      <w:r w:rsidRPr="00132E65">
        <w:rPr>
          <w:rtl/>
        </w:rPr>
        <w:t xml:space="preserve"> وفي « بف » : « قال »</w:t>
      </w:r>
      <w:r>
        <w:rPr>
          <w:rtl/>
        </w:rPr>
        <w:t>.</w:t>
      </w:r>
      <w:r w:rsidRPr="00132E65">
        <w:rPr>
          <w:rtl/>
        </w:rPr>
        <w:t xml:space="preserve"> وفي الإرشاد : « فقال لي »</w:t>
      </w:r>
      <w:r>
        <w:rPr>
          <w:rtl/>
        </w:rPr>
        <w:t>.</w:t>
      </w:r>
    </w:p>
    <w:tbl>
      <w:tblPr>
        <w:tblStyle w:val="TableGrid"/>
        <w:bidiVisual/>
        <w:tblW w:w="0" w:type="auto"/>
        <w:tblLook w:val="04A0" w:firstRow="1" w:lastRow="0" w:firstColumn="1" w:lastColumn="0" w:noHBand="0" w:noVBand="1"/>
      </w:tblPr>
      <w:tblGrid>
        <w:gridCol w:w="4261"/>
        <w:gridCol w:w="4262"/>
      </w:tblGrid>
      <w:tr w:rsidR="00BA06EA" w:rsidTr="00BA06EA">
        <w:tc>
          <w:tcPr>
            <w:tcW w:w="4261" w:type="dxa"/>
          </w:tcPr>
          <w:p w:rsidR="00BA06EA" w:rsidRDefault="00BA06EA" w:rsidP="000C39D1">
            <w:pPr>
              <w:pStyle w:val="libFootnote0"/>
              <w:rPr>
                <w:rtl/>
              </w:rPr>
            </w:pPr>
            <w:r>
              <w:rPr>
                <w:rtl/>
              </w:rPr>
              <w:t>(10).</w:t>
            </w:r>
            <w:r w:rsidRPr="00132E65">
              <w:rPr>
                <w:rtl/>
              </w:rPr>
              <w:t xml:space="preserve"> في الإرشاد :</w:t>
            </w:r>
            <w:r>
              <w:rPr>
                <w:rtl/>
              </w:rPr>
              <w:t xml:space="preserve"> + </w:t>
            </w:r>
            <w:r w:rsidRPr="00132E65">
              <w:rPr>
                <w:rtl/>
              </w:rPr>
              <w:t>« ما آكل منه »</w:t>
            </w:r>
            <w:r>
              <w:rPr>
                <w:rtl/>
              </w:rPr>
              <w:t>.</w:t>
            </w:r>
          </w:p>
        </w:tc>
        <w:tc>
          <w:tcPr>
            <w:tcW w:w="4262" w:type="dxa"/>
          </w:tcPr>
          <w:p w:rsidR="00BA06EA" w:rsidRDefault="00BA06EA" w:rsidP="000C39D1">
            <w:pPr>
              <w:pStyle w:val="libFootnote0"/>
              <w:rPr>
                <w:rtl/>
              </w:rPr>
            </w:pPr>
            <w:r>
              <w:rPr>
                <w:rtl/>
              </w:rPr>
              <w:t>(11).</w:t>
            </w:r>
            <w:r w:rsidRPr="00132E65">
              <w:rPr>
                <w:rtl/>
              </w:rPr>
              <w:t xml:space="preserve"> في الإرشاد </w:t>
            </w:r>
            <w:r>
              <w:rPr>
                <w:rtl/>
              </w:rPr>
              <w:t xml:space="preserve">: - </w:t>
            </w:r>
            <w:r w:rsidRPr="00132E65">
              <w:rPr>
                <w:rtl/>
              </w:rPr>
              <w:t>« منه »</w:t>
            </w:r>
            <w:r>
              <w:rPr>
                <w:rtl/>
              </w:rPr>
              <w:t>.</w:t>
            </w:r>
          </w:p>
        </w:tc>
      </w:tr>
    </w:tbl>
    <w:p w:rsidR="000C39D1" w:rsidRPr="00132E65" w:rsidRDefault="000C39D1" w:rsidP="000C39D1">
      <w:pPr>
        <w:pStyle w:val="libFootnote0"/>
        <w:rPr>
          <w:rtl/>
          <w:lang w:bidi="fa-IR"/>
        </w:rPr>
      </w:pPr>
      <w:r>
        <w:rPr>
          <w:rtl/>
        </w:rPr>
        <w:t>(12).</w:t>
      </w:r>
      <w:r w:rsidRPr="00132E65">
        <w:rPr>
          <w:rtl/>
        </w:rPr>
        <w:t xml:space="preserve"> في « ب ، ض ، ف ، بح ، بس » والإرشاد </w:t>
      </w:r>
      <w:r>
        <w:rPr>
          <w:rtl/>
        </w:rPr>
        <w:t xml:space="preserve">: - </w:t>
      </w:r>
      <w:r w:rsidRPr="00132E65">
        <w:rPr>
          <w:rtl/>
        </w:rPr>
        <w:t>« إلى »</w:t>
      </w:r>
      <w:r>
        <w:rPr>
          <w:rtl/>
        </w:rPr>
        <w:t>.</w:t>
      </w:r>
    </w:p>
    <w:tbl>
      <w:tblPr>
        <w:tblStyle w:val="TableGrid"/>
        <w:bidiVisual/>
        <w:tblW w:w="0" w:type="auto"/>
        <w:tblLook w:val="04A0" w:firstRow="1" w:lastRow="0" w:firstColumn="1" w:lastColumn="0" w:noHBand="0" w:noVBand="1"/>
      </w:tblPr>
      <w:tblGrid>
        <w:gridCol w:w="4261"/>
        <w:gridCol w:w="4262"/>
      </w:tblGrid>
      <w:tr w:rsidR="00BA06EA" w:rsidTr="00BA06EA">
        <w:tc>
          <w:tcPr>
            <w:tcW w:w="4261" w:type="dxa"/>
          </w:tcPr>
          <w:p w:rsidR="00BA06EA" w:rsidRDefault="00BA06EA" w:rsidP="000C39D1">
            <w:pPr>
              <w:pStyle w:val="libFootnote0"/>
              <w:rPr>
                <w:rtl/>
              </w:rPr>
            </w:pPr>
            <w:r>
              <w:rPr>
                <w:rtl/>
              </w:rPr>
              <w:t>(13)</w:t>
            </w:r>
            <w:r w:rsidRPr="00132E65">
              <w:rPr>
                <w:rtl/>
              </w:rPr>
              <w:t xml:space="preserve"> في الإرشاد :</w:t>
            </w:r>
            <w:r>
              <w:rPr>
                <w:rtl/>
              </w:rPr>
              <w:t xml:space="preserve"> + </w:t>
            </w:r>
            <w:r w:rsidRPr="00132E65">
              <w:rPr>
                <w:rtl/>
              </w:rPr>
              <w:t>« أبو هاشم »</w:t>
            </w:r>
            <w:r>
              <w:rPr>
                <w:rtl/>
              </w:rPr>
              <w:t>.</w:t>
            </w:r>
          </w:p>
        </w:tc>
        <w:tc>
          <w:tcPr>
            <w:tcW w:w="4262" w:type="dxa"/>
          </w:tcPr>
          <w:p w:rsidR="00BA06EA" w:rsidRDefault="00BA06EA" w:rsidP="000C39D1">
            <w:pPr>
              <w:pStyle w:val="libFootnote0"/>
              <w:rPr>
                <w:rtl/>
              </w:rPr>
            </w:pPr>
            <w:r>
              <w:rPr>
                <w:rtl/>
              </w:rPr>
              <w:t>(14)</w:t>
            </w:r>
            <w:r w:rsidRPr="00132E65">
              <w:rPr>
                <w:rtl/>
              </w:rPr>
              <w:t xml:space="preserve"> في الإرشاد : « مولع »</w:t>
            </w:r>
            <w:r>
              <w:rPr>
                <w:rtl/>
              </w:rPr>
              <w:t>.</w:t>
            </w:r>
          </w:p>
        </w:tc>
      </w:tr>
    </w:tbl>
    <w:p w:rsidR="000C39D1" w:rsidRPr="00132E65" w:rsidRDefault="000C39D1" w:rsidP="000C39D1">
      <w:pPr>
        <w:pStyle w:val="libFootnote0"/>
        <w:rPr>
          <w:rtl/>
          <w:lang w:bidi="fa-IR"/>
        </w:rPr>
      </w:pPr>
      <w:r>
        <w:rPr>
          <w:rtl/>
        </w:rPr>
        <w:t>(15)</w:t>
      </w:r>
      <w:r w:rsidRPr="00132E65">
        <w:rPr>
          <w:rtl/>
        </w:rPr>
        <w:t xml:space="preserve"> في « ف »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(16)</w:t>
      </w:r>
      <w:r w:rsidRPr="00132E65">
        <w:rPr>
          <w:rtl/>
        </w:rPr>
        <w:t xml:space="preserve"> هكذا في النسخ التي قوبلت </w:t>
      </w:r>
      <w:r w:rsidRPr="00BA06EA">
        <w:rPr>
          <w:rtl/>
        </w:rPr>
        <w:t>والوافي</w:t>
      </w:r>
      <w:r w:rsidRPr="00132E65">
        <w:rPr>
          <w:rtl/>
        </w:rPr>
        <w:t>. وفي الإرشاد : « قال لي بعد أيّام »</w:t>
      </w:r>
      <w:r>
        <w:rPr>
          <w:rtl/>
        </w:rPr>
        <w:t>.</w:t>
      </w:r>
      <w:r w:rsidRPr="00132E65">
        <w:rPr>
          <w:rtl/>
        </w:rPr>
        <w:t xml:space="preserve"> وفي المطبوع : « قال لي بعد ثلاثة أيّام »</w:t>
      </w:r>
      <w:r>
        <w:rPr>
          <w:rtl/>
        </w:rPr>
        <w:t>.</w:t>
      </w:r>
    </w:p>
    <w:p w:rsidR="000C39D1" w:rsidRPr="00132E65" w:rsidRDefault="000C39D1" w:rsidP="000C39D1">
      <w:pPr>
        <w:pStyle w:val="libFootnote0"/>
        <w:rPr>
          <w:rtl/>
          <w:lang w:bidi="fa-IR"/>
        </w:rPr>
      </w:pPr>
      <w:r>
        <w:rPr>
          <w:rtl/>
        </w:rPr>
        <w:t>(17)</w:t>
      </w:r>
      <w:r w:rsidRPr="00132E65">
        <w:rPr>
          <w:rtl/>
        </w:rPr>
        <w:t xml:space="preserve"> </w:t>
      </w:r>
      <w:r w:rsidRPr="00576DE8">
        <w:rPr>
          <w:rtl/>
        </w:rPr>
        <w:t>الإرشاد</w:t>
      </w:r>
      <w:r w:rsidRPr="00132E65">
        <w:rPr>
          <w:rtl/>
        </w:rPr>
        <w:t xml:space="preserve"> ، ج 2 ، ص 293 ، بسنده عن الكليني </w:t>
      </w:r>
      <w:r w:rsidRPr="009D1ACE">
        <w:rPr>
          <w:rStyle w:val="libFootnoteBoldChar"/>
          <w:rtl/>
        </w:rPr>
        <w:t>الوافي</w:t>
      </w:r>
      <w:r w:rsidRPr="00132E65">
        <w:rPr>
          <w:rtl/>
        </w:rPr>
        <w:t xml:space="preserve"> ، ج 3 ، ص 829 ، ح 1438 ؛ </w:t>
      </w:r>
      <w:r w:rsidRPr="00576DE8">
        <w:rPr>
          <w:rtl/>
        </w:rPr>
        <w:t>الوسائل</w:t>
      </w:r>
      <w:r w:rsidRPr="00132E65">
        <w:rPr>
          <w:rtl/>
        </w:rPr>
        <w:t xml:space="preserve"> ، ج 24 ، ص 222 ، ح 30393 ، وفيه من قوله : « دخلت معه ذات يوم بستاناً »</w:t>
      </w:r>
      <w:r>
        <w:rPr>
          <w:rtl/>
        </w:rPr>
        <w:t>.</w:t>
      </w:r>
    </w:p>
    <w:p w:rsidR="000C39D1" w:rsidRPr="00132E65" w:rsidRDefault="000C39D1" w:rsidP="000C39D1">
      <w:pPr>
        <w:pStyle w:val="libFootnote0"/>
        <w:rPr>
          <w:rtl/>
          <w:lang w:bidi="fa-IR"/>
        </w:rPr>
      </w:pPr>
      <w:r>
        <w:rPr>
          <w:rtl/>
        </w:rPr>
        <w:t>(18)</w:t>
      </w:r>
      <w:r w:rsidRPr="00132E65">
        <w:rPr>
          <w:rtl/>
        </w:rPr>
        <w:t xml:space="preserve"> في « ف ، بف » : «</w:t>
      </w:r>
      <w:r>
        <w:rPr>
          <w:rtl/>
        </w:rPr>
        <w:t xml:space="preserve"> و ».</w:t>
      </w:r>
    </w:p>
    <w:p w:rsidR="000C39D1" w:rsidRPr="00132E65" w:rsidRDefault="000C39D1" w:rsidP="000C39D1">
      <w:pPr>
        <w:pStyle w:val="libFootnote0"/>
        <w:rPr>
          <w:rtl/>
          <w:lang w:bidi="fa-IR"/>
        </w:rPr>
      </w:pPr>
      <w:r>
        <w:rPr>
          <w:rtl/>
        </w:rPr>
        <w:t>(19)</w:t>
      </w:r>
      <w:r w:rsidRPr="00132E65">
        <w:rPr>
          <w:rtl/>
        </w:rPr>
        <w:t xml:space="preserve"> في الإرشاد : « عن محمّد بن حمزة عن محمّد بن عليّ الهاشمي »</w:t>
      </w:r>
      <w:r>
        <w:rPr>
          <w:rtl/>
        </w:rPr>
        <w:t>.</w:t>
      </w:r>
    </w:p>
    <w:p w:rsidR="000C39D1" w:rsidRDefault="000C39D1" w:rsidP="000C39D1">
      <w:pPr>
        <w:pStyle w:val="libNormal"/>
        <w:rPr>
          <w:rtl/>
          <w:lang w:bidi="fa-IR"/>
        </w:rPr>
      </w:pPr>
      <w:r>
        <w:rPr>
          <w:rtl/>
          <w:lang w:bidi="fa-IR"/>
        </w:rPr>
        <w:br w:type="page"/>
      </w:r>
    </w:p>
    <w:p w:rsidR="000C39D1" w:rsidRPr="00132E65" w:rsidRDefault="000C39D1" w:rsidP="00BA06EA">
      <w:pPr>
        <w:pStyle w:val="libNormal"/>
        <w:rPr>
          <w:rtl/>
          <w:lang w:bidi="fa-IR"/>
        </w:rPr>
      </w:pPr>
      <w:r w:rsidRPr="00132E65">
        <w:rPr>
          <w:rtl/>
          <w:lang w:bidi="fa-IR"/>
        </w:rPr>
        <w:t xml:space="preserve">دَخَلْتُ عَلى أَبِي جَعْفَرٍ </w:t>
      </w:r>
      <w:r w:rsidR="00BA06EA" w:rsidRPr="00071CF9">
        <w:rPr>
          <w:rStyle w:val="libAlaemChar"/>
          <w:rtl/>
        </w:rPr>
        <w:t>عليه‌السلام</w:t>
      </w:r>
      <w:r w:rsidR="00BA06EA" w:rsidRPr="00132E65">
        <w:rPr>
          <w:rtl/>
          <w:lang w:bidi="fa-IR"/>
        </w:rPr>
        <w:t xml:space="preserve"> </w:t>
      </w:r>
      <w:r w:rsidRPr="00132E65">
        <w:rPr>
          <w:rtl/>
          <w:lang w:bidi="fa-IR"/>
        </w:rPr>
        <w:t xml:space="preserve">صَبِيحَةَ عُرْسِهِ حَيْثُ بَنى </w:t>
      </w:r>
      <w:r>
        <w:rPr>
          <w:rStyle w:val="libFootnotenumChar"/>
          <w:rtl/>
        </w:rPr>
        <w:t>(1)</w:t>
      </w:r>
      <w:r w:rsidRPr="00132E65">
        <w:rPr>
          <w:rtl/>
          <w:lang w:bidi="fa-IR"/>
        </w:rPr>
        <w:t xml:space="preserve"> بِابْنَةِ الْمَأْمُونِ </w:t>
      </w:r>
      <w:r>
        <w:rPr>
          <w:rStyle w:val="libFootnotenumChar"/>
          <w:rtl/>
        </w:rPr>
        <w:t>(2)</w:t>
      </w:r>
      <w:r w:rsidRPr="00132E65">
        <w:rPr>
          <w:rtl/>
          <w:lang w:bidi="fa-IR"/>
        </w:rPr>
        <w:t xml:space="preserve"> ، و</w:t>
      </w:r>
      <w:r w:rsidR="00BA06EA">
        <w:rPr>
          <w:rFonts w:hint="cs"/>
          <w:rtl/>
          <w:lang w:bidi="fa-IR"/>
        </w:rPr>
        <w:t>َ</w:t>
      </w:r>
      <w:r w:rsidRPr="00132E65">
        <w:rPr>
          <w:rtl/>
          <w:lang w:bidi="fa-IR"/>
        </w:rPr>
        <w:t xml:space="preserve">كُنْتُ تَنَاوَلْتُ مِنَ اللَّيْلِ دَوَاءً ، فَأَوَّلُ مَنْ دَخَلَ عَلَيْهِ </w:t>
      </w:r>
      <w:r>
        <w:rPr>
          <w:rStyle w:val="libFootnotenumChar"/>
          <w:rtl/>
        </w:rPr>
        <w:t>(3)</w:t>
      </w:r>
      <w:r w:rsidRPr="00132E65">
        <w:rPr>
          <w:rtl/>
          <w:lang w:bidi="fa-IR"/>
        </w:rPr>
        <w:t xml:space="preserve"> فِي صَبِيحَتِهِ أَنَا ، و</w:t>
      </w:r>
      <w:r w:rsidR="00BA06EA">
        <w:rPr>
          <w:rFonts w:hint="cs"/>
          <w:rtl/>
          <w:lang w:bidi="fa-IR"/>
        </w:rPr>
        <w:t>َ</w:t>
      </w:r>
      <w:r w:rsidRPr="00132E65">
        <w:rPr>
          <w:rtl/>
          <w:lang w:bidi="fa-IR"/>
        </w:rPr>
        <w:t xml:space="preserve">قَدْ أَصَابَنِي الْعَطَشُ ، وَكَرِهْتُ أَنْ أَدْعُوَ بِالْمَاءِ ، فَنَظَرَ أَبُو جَعْفَرٍ </w:t>
      </w:r>
      <w:r w:rsidRPr="00071CF9">
        <w:rPr>
          <w:rStyle w:val="libAlaemChar"/>
          <w:rtl/>
        </w:rPr>
        <w:t>عليه‌السلام</w:t>
      </w:r>
      <w:r w:rsidRPr="00132E65">
        <w:rPr>
          <w:rtl/>
          <w:lang w:bidi="fa-IR"/>
        </w:rPr>
        <w:t xml:space="preserve"> فِي و</w:t>
      </w:r>
      <w:r w:rsidR="00BA06EA">
        <w:rPr>
          <w:rFonts w:hint="cs"/>
          <w:rtl/>
          <w:lang w:bidi="fa-IR"/>
        </w:rPr>
        <w:t>َ</w:t>
      </w:r>
      <w:r w:rsidRPr="00132E65">
        <w:rPr>
          <w:rtl/>
          <w:lang w:bidi="fa-IR"/>
        </w:rPr>
        <w:t>جْهِي ، و</w:t>
      </w:r>
      <w:r w:rsidR="00BA06EA">
        <w:rPr>
          <w:rFonts w:hint="cs"/>
          <w:rtl/>
          <w:lang w:bidi="fa-IR"/>
        </w:rPr>
        <w:t>َ</w:t>
      </w:r>
      <w:r w:rsidRPr="00132E65">
        <w:rPr>
          <w:rtl/>
          <w:lang w:bidi="fa-IR"/>
        </w:rPr>
        <w:t xml:space="preserve">قَالَ : « أَظُنُّكَ </w:t>
      </w:r>
      <w:r>
        <w:rPr>
          <w:rStyle w:val="libFootnotenumChar"/>
          <w:rtl/>
        </w:rPr>
        <w:t>(4)</w:t>
      </w:r>
      <w:r w:rsidRPr="00132E65">
        <w:rPr>
          <w:rtl/>
          <w:lang w:bidi="fa-IR"/>
        </w:rPr>
        <w:t xml:space="preserve"> عَطْشَانَ </w:t>
      </w:r>
      <w:r>
        <w:rPr>
          <w:rStyle w:val="libFootnotenumChar"/>
          <w:rtl/>
        </w:rPr>
        <w:t>(5)</w:t>
      </w:r>
      <w:r w:rsidRPr="00132E65">
        <w:rPr>
          <w:rtl/>
          <w:lang w:bidi="fa-IR"/>
        </w:rPr>
        <w:t xml:space="preserve"> »</w:t>
      </w:r>
      <w:r>
        <w:rPr>
          <w:rtl/>
          <w:lang w:bidi="fa-IR"/>
        </w:rPr>
        <w:t>.</w:t>
      </w:r>
      <w:r>
        <w:rPr>
          <w:rFonts w:hint="cs"/>
          <w:rtl/>
          <w:lang w:bidi="fa-IR"/>
        </w:rPr>
        <w:t xml:space="preserve"> </w:t>
      </w:r>
      <w:r w:rsidRPr="00132E65">
        <w:rPr>
          <w:rtl/>
          <w:lang w:bidi="fa-IR"/>
        </w:rPr>
        <w:t xml:space="preserve">فَقُلْتُ : أَجَلْ ، فَقَالَ </w:t>
      </w:r>
      <w:r>
        <w:rPr>
          <w:rStyle w:val="libFootnotenumChar"/>
          <w:rtl/>
        </w:rPr>
        <w:t>(6)</w:t>
      </w:r>
      <w:r w:rsidRPr="00132E65">
        <w:rPr>
          <w:rtl/>
          <w:lang w:bidi="fa-IR"/>
        </w:rPr>
        <w:t xml:space="preserve"> : « يَا غُلَامُ</w:t>
      </w:r>
      <w:r>
        <w:rPr>
          <w:rtl/>
          <w:lang w:bidi="fa-IR"/>
        </w:rPr>
        <w:t xml:space="preserve"> - </w:t>
      </w:r>
      <w:r w:rsidRPr="00132E65">
        <w:rPr>
          <w:rtl/>
          <w:lang w:bidi="fa-IR"/>
        </w:rPr>
        <w:t xml:space="preserve">أَوْ جَارِيَةُ </w:t>
      </w:r>
      <w:r>
        <w:rPr>
          <w:rStyle w:val="libFootnotenumChar"/>
          <w:rtl/>
        </w:rPr>
        <w:t>(7)</w:t>
      </w:r>
      <w:r>
        <w:rPr>
          <w:rtl/>
          <w:lang w:bidi="fa-IR"/>
        </w:rPr>
        <w:t xml:space="preserve"> - </w:t>
      </w:r>
      <w:r w:rsidRPr="00132E65">
        <w:rPr>
          <w:rtl/>
          <w:lang w:bidi="fa-IR"/>
        </w:rPr>
        <w:t xml:space="preserve">اسْقِنَا مَاءً » فَقُلْتُ فِي نَفْسِي : السَّاعَةَ يَأْتُونَهُ بِمَاءٍ يَسُمُّونَهُ بِهِ </w:t>
      </w:r>
      <w:r>
        <w:rPr>
          <w:rStyle w:val="libFootnotenumChar"/>
          <w:rtl/>
        </w:rPr>
        <w:t>(8)</w:t>
      </w:r>
      <w:r w:rsidRPr="00132E65">
        <w:rPr>
          <w:rtl/>
          <w:lang w:bidi="fa-IR"/>
        </w:rPr>
        <w:t xml:space="preserve"> ، فَاغْتَمَمْتُ </w:t>
      </w:r>
      <w:r>
        <w:rPr>
          <w:rStyle w:val="libFootnotenumChar"/>
          <w:rtl/>
        </w:rPr>
        <w:t>(9)</w:t>
      </w:r>
      <w:r w:rsidRPr="00132E65">
        <w:rPr>
          <w:rtl/>
          <w:lang w:bidi="fa-IR"/>
        </w:rPr>
        <w:t xml:space="preserve"> لِذلِكَ ، فَأَقْبَلَ الْغُلَامُ و</w:t>
      </w:r>
      <w:r w:rsidR="00BA06EA">
        <w:rPr>
          <w:rFonts w:hint="cs"/>
          <w:rtl/>
          <w:lang w:bidi="fa-IR"/>
        </w:rPr>
        <w:t>َ</w:t>
      </w:r>
      <w:r w:rsidRPr="00132E65">
        <w:rPr>
          <w:rtl/>
          <w:lang w:bidi="fa-IR"/>
        </w:rPr>
        <w:t>مَعَهُ الْمَاءُ ، فَتَبَسَّمَ فِي و</w:t>
      </w:r>
      <w:r w:rsidR="00BA06EA">
        <w:rPr>
          <w:rFonts w:hint="cs"/>
          <w:rtl/>
          <w:lang w:bidi="fa-IR"/>
        </w:rPr>
        <w:t>َ</w:t>
      </w:r>
      <w:r w:rsidRPr="00132E65">
        <w:rPr>
          <w:rtl/>
          <w:lang w:bidi="fa-IR"/>
        </w:rPr>
        <w:t>جْهِي ، ثُمَّ قَالَ : « يَا غُلَامُ ، نَاوِلْنِي الْمَاءَ »</w:t>
      </w:r>
      <w:r>
        <w:rPr>
          <w:rtl/>
          <w:lang w:bidi="fa-IR"/>
        </w:rPr>
        <w:t>.</w:t>
      </w:r>
      <w:r w:rsidRPr="00132E65">
        <w:rPr>
          <w:rtl/>
          <w:lang w:bidi="fa-IR"/>
        </w:rPr>
        <w:t xml:space="preserve"> فَتَنَاوَلَ الْمَاءَ ، فَشَرِبَ ، ثُمَّ نَاوَلَنِي ، فَشَرِبْتُ ، ثُمَّ عَطِشْتُ أَيْضاً ، و</w:t>
      </w:r>
      <w:r w:rsidR="00BA06EA">
        <w:rPr>
          <w:rFonts w:hint="cs"/>
          <w:rtl/>
          <w:lang w:bidi="fa-IR"/>
        </w:rPr>
        <w:t>َ</w:t>
      </w:r>
      <w:r w:rsidRPr="00132E65">
        <w:rPr>
          <w:rtl/>
          <w:lang w:bidi="fa-IR"/>
        </w:rPr>
        <w:t xml:space="preserve">كَرِهْتُ أَنْ أَدْعُوَ </w:t>
      </w:r>
      <w:r>
        <w:rPr>
          <w:rStyle w:val="libFootnotenumChar"/>
          <w:rtl/>
        </w:rPr>
        <w:t>(10)</w:t>
      </w:r>
      <w:r w:rsidRPr="00132E65">
        <w:rPr>
          <w:rtl/>
          <w:lang w:bidi="fa-IR"/>
        </w:rPr>
        <w:t xml:space="preserve"> بِالْمَاءِ ، فَفَعَلَ مَا فَعَلَ فِي الْأُولى ، فَلَمَّا جَاءَ الْغُلَامُ و</w:t>
      </w:r>
      <w:r w:rsidR="00BA06EA">
        <w:rPr>
          <w:rFonts w:hint="cs"/>
          <w:rtl/>
          <w:lang w:bidi="fa-IR"/>
        </w:rPr>
        <w:t>َ</w:t>
      </w:r>
      <w:r w:rsidRPr="00132E65">
        <w:rPr>
          <w:rtl/>
          <w:lang w:bidi="fa-IR"/>
        </w:rPr>
        <w:t xml:space="preserve">مَعَهُ الْقَدَحُ ، قُلْتُ فِي نَفْسِي مِثْلَ </w:t>
      </w:r>
      <w:r>
        <w:rPr>
          <w:rStyle w:val="libFootnotenumChar"/>
          <w:rtl/>
        </w:rPr>
        <w:t>(11)</w:t>
      </w:r>
      <w:r w:rsidRPr="00132E65">
        <w:rPr>
          <w:rtl/>
          <w:lang w:bidi="fa-IR"/>
        </w:rPr>
        <w:t xml:space="preserve"> مَا قُلْتُ فِي الْأُولى ، فَتَنَاوَلَ الْقَدَحَ ، ثُمَّ شَرِبَ ، فَنَاوَلَنِي ، وَتَبَسَّمَ </w:t>
      </w:r>
      <w:r>
        <w:rPr>
          <w:rStyle w:val="libFootnotenumChar"/>
          <w:rtl/>
        </w:rPr>
        <w:t>(12)</w:t>
      </w:r>
      <w:r w:rsidR="00BA06EA" w:rsidRPr="00BA06EA">
        <w:rPr>
          <w:rFonts w:hint="cs"/>
          <w:rtl/>
        </w:rPr>
        <w:t>.</w:t>
      </w:r>
    </w:p>
    <w:p w:rsidR="000C39D1" w:rsidRPr="00132E65" w:rsidRDefault="000C39D1" w:rsidP="00BA06EA">
      <w:pPr>
        <w:pStyle w:val="libNormal"/>
        <w:rPr>
          <w:rtl/>
          <w:lang w:bidi="fa-IR"/>
        </w:rPr>
      </w:pPr>
      <w:r w:rsidRPr="00132E65">
        <w:rPr>
          <w:rtl/>
          <w:lang w:bidi="fa-IR"/>
        </w:rPr>
        <w:t>قَالَ مُحَمَّدُ بْنُ حَمْزَةَ : فَقَالَ لِي هذَا الْهَاشِمِيُّ : و</w:t>
      </w:r>
      <w:r w:rsidR="00BA06EA">
        <w:rPr>
          <w:rFonts w:hint="cs"/>
          <w:rtl/>
          <w:lang w:bidi="fa-IR"/>
        </w:rPr>
        <w:t>َ</w:t>
      </w:r>
      <w:r w:rsidRPr="00132E65">
        <w:rPr>
          <w:rtl/>
          <w:lang w:bidi="fa-IR"/>
        </w:rPr>
        <w:t xml:space="preserve">أَنَا أَظُنُّهُ كَمَا يَقُولُونَ </w:t>
      </w:r>
      <w:r w:rsidRPr="00F543F1">
        <w:rPr>
          <w:rStyle w:val="libFootnotenumChar"/>
          <w:rtl/>
        </w:rPr>
        <w:t>(13)</w:t>
      </w:r>
      <w:r w:rsidR="00BA06EA">
        <w:rPr>
          <w:rFonts w:hint="cs"/>
          <w:rtl/>
          <w:lang w:bidi="fa-IR"/>
        </w:rPr>
        <w:t>.</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تقدّم معنى « بنى » ذيل الحديث 4 من هذا الباب.</w:t>
      </w:r>
    </w:p>
    <w:tbl>
      <w:tblPr>
        <w:tblStyle w:val="TableGrid"/>
        <w:bidiVisual/>
        <w:tblW w:w="0" w:type="auto"/>
        <w:tblLook w:val="04A0" w:firstRow="1" w:lastRow="0" w:firstColumn="1" w:lastColumn="0" w:noHBand="0" w:noVBand="1"/>
      </w:tblPr>
      <w:tblGrid>
        <w:gridCol w:w="4261"/>
        <w:gridCol w:w="4262"/>
      </w:tblGrid>
      <w:tr w:rsidR="00BA06EA" w:rsidTr="00BA06EA">
        <w:tc>
          <w:tcPr>
            <w:tcW w:w="4261" w:type="dxa"/>
          </w:tcPr>
          <w:p w:rsidR="00BA06EA" w:rsidRDefault="00BA06EA" w:rsidP="000C39D1">
            <w:pPr>
              <w:pStyle w:val="libFootnote0"/>
              <w:rPr>
                <w:rtl/>
              </w:rPr>
            </w:pPr>
            <w:r>
              <w:rPr>
                <w:rtl/>
              </w:rPr>
              <w:t>(2).</w:t>
            </w:r>
            <w:r w:rsidRPr="00132E65">
              <w:rPr>
                <w:rtl/>
              </w:rPr>
              <w:t xml:space="preserve"> في الإرشاد : « صبيحة عرسه ببنت المأمون »</w:t>
            </w:r>
            <w:r>
              <w:rPr>
                <w:rtl/>
              </w:rPr>
              <w:t>.</w:t>
            </w:r>
          </w:p>
        </w:tc>
        <w:tc>
          <w:tcPr>
            <w:tcW w:w="4262" w:type="dxa"/>
          </w:tcPr>
          <w:p w:rsidR="00BA06EA" w:rsidRDefault="00BA06EA" w:rsidP="000C39D1">
            <w:pPr>
              <w:pStyle w:val="libFootnote0"/>
              <w:rPr>
                <w:rtl/>
              </w:rPr>
            </w:pPr>
            <w:r>
              <w:rPr>
                <w:rtl/>
              </w:rPr>
              <w:t>(3).</w:t>
            </w:r>
            <w:r w:rsidRPr="00132E65">
              <w:rPr>
                <w:rtl/>
              </w:rPr>
              <w:t xml:space="preserve"> في « ف » </w:t>
            </w:r>
            <w:r>
              <w:rPr>
                <w:rtl/>
              </w:rPr>
              <w:t xml:space="preserve">: - </w:t>
            </w:r>
            <w:r w:rsidRPr="00132E65">
              <w:rPr>
                <w:rtl/>
              </w:rPr>
              <w:t>« عليه »</w:t>
            </w:r>
            <w:r>
              <w:rPr>
                <w:rtl/>
              </w:rPr>
              <w:t>.</w:t>
            </w:r>
          </w:p>
        </w:tc>
      </w:tr>
    </w:tbl>
    <w:p w:rsidR="000C39D1" w:rsidRPr="00132E65" w:rsidRDefault="000C39D1" w:rsidP="000C39D1">
      <w:pPr>
        <w:pStyle w:val="libFootnote0"/>
        <w:rPr>
          <w:rtl/>
          <w:lang w:bidi="fa-IR"/>
        </w:rPr>
      </w:pPr>
      <w:r>
        <w:rPr>
          <w:rtl/>
        </w:rPr>
        <w:t>(4).</w:t>
      </w:r>
      <w:r w:rsidRPr="00132E65">
        <w:rPr>
          <w:rtl/>
        </w:rPr>
        <w:t xml:space="preserve"> في « ض » : « لأظنّك »</w:t>
      </w:r>
      <w:r>
        <w:rPr>
          <w:rtl/>
        </w:rPr>
        <w:t>.</w:t>
      </w:r>
      <w:r w:rsidRPr="00132E65">
        <w:rPr>
          <w:rtl/>
        </w:rPr>
        <w:t xml:space="preserve"> وفي الإرشاد : « أراك »</w:t>
      </w:r>
      <w:r>
        <w:rPr>
          <w:rtl/>
        </w:rPr>
        <w:t>.</w:t>
      </w:r>
    </w:p>
    <w:p w:rsidR="000C39D1" w:rsidRPr="00132E65" w:rsidRDefault="000C39D1" w:rsidP="000C39D1">
      <w:pPr>
        <w:pStyle w:val="libFootnote0"/>
        <w:rPr>
          <w:rtl/>
          <w:lang w:bidi="fa-IR"/>
        </w:rPr>
      </w:pPr>
      <w:r>
        <w:rPr>
          <w:rtl/>
        </w:rPr>
        <w:t>(5).</w:t>
      </w:r>
      <w:r w:rsidRPr="00132E65">
        <w:rPr>
          <w:rtl/>
        </w:rPr>
        <w:t xml:space="preserve"> في « ف » : « عطشاناً »</w:t>
      </w:r>
      <w:r>
        <w:rPr>
          <w:rtl/>
        </w:rPr>
        <w:t>.</w:t>
      </w:r>
      <w:r w:rsidRPr="00132E65">
        <w:rPr>
          <w:rtl/>
        </w:rPr>
        <w:t xml:space="preserve"> ويجوز فيه التصريف ؛ لأنّ مؤنّثه عطشى وعطشانة.</w:t>
      </w:r>
    </w:p>
    <w:p w:rsidR="000C39D1" w:rsidRPr="00132E65" w:rsidRDefault="000C39D1" w:rsidP="000C39D1">
      <w:pPr>
        <w:pStyle w:val="libFootnote0"/>
        <w:rPr>
          <w:rtl/>
          <w:lang w:bidi="fa-IR"/>
        </w:rPr>
      </w:pPr>
      <w:r>
        <w:rPr>
          <w:rtl/>
        </w:rPr>
        <w:t>(6).</w:t>
      </w:r>
      <w:r w:rsidRPr="00132E65">
        <w:rPr>
          <w:rtl/>
        </w:rPr>
        <w:t xml:space="preserve"> في الإرشاد : « قلت : أجل ، قال »</w:t>
      </w:r>
      <w:r>
        <w:rPr>
          <w:rtl/>
        </w:rPr>
        <w:t>.</w:t>
      </w:r>
    </w:p>
    <w:p w:rsidR="000C39D1" w:rsidRPr="00132E65" w:rsidRDefault="000C39D1" w:rsidP="000C39D1">
      <w:pPr>
        <w:pStyle w:val="libFootnote0"/>
        <w:rPr>
          <w:rtl/>
          <w:lang w:bidi="fa-IR"/>
        </w:rPr>
      </w:pPr>
      <w:r>
        <w:rPr>
          <w:rtl/>
        </w:rPr>
        <w:t>(7).</w:t>
      </w:r>
      <w:r w:rsidRPr="00132E65">
        <w:rPr>
          <w:rtl/>
        </w:rPr>
        <w:t xml:space="preserve"> في « ب ، ج ، ض ، بح ، بر ، بس ، بف » : « أو يا جارية »</w:t>
      </w:r>
      <w:r>
        <w:rPr>
          <w:rtl/>
        </w:rPr>
        <w:t>.</w:t>
      </w:r>
      <w:r w:rsidRPr="00132E65">
        <w:rPr>
          <w:rtl/>
        </w:rPr>
        <w:t xml:space="preserve"> وفي الإرشاد </w:t>
      </w:r>
      <w:r>
        <w:rPr>
          <w:rtl/>
        </w:rPr>
        <w:t xml:space="preserve">: - </w:t>
      </w:r>
      <w:r w:rsidRPr="00132E65">
        <w:rPr>
          <w:rtl/>
        </w:rPr>
        <w:t>« أو جارية »</w:t>
      </w:r>
      <w:r>
        <w:rPr>
          <w:rtl/>
        </w:rPr>
        <w:t>.</w:t>
      </w:r>
    </w:p>
    <w:p w:rsidR="000C39D1" w:rsidRPr="00132E65" w:rsidRDefault="000C39D1" w:rsidP="000C39D1">
      <w:pPr>
        <w:pStyle w:val="libFootnote0"/>
        <w:rPr>
          <w:rtl/>
          <w:lang w:bidi="fa-IR"/>
        </w:rPr>
      </w:pPr>
      <w:r>
        <w:rPr>
          <w:rtl/>
        </w:rPr>
        <w:t>(8).</w:t>
      </w:r>
      <w:r w:rsidRPr="00132E65">
        <w:rPr>
          <w:rtl/>
        </w:rPr>
        <w:t xml:space="preserve"> في « ج » </w:t>
      </w:r>
      <w:r>
        <w:rPr>
          <w:rtl/>
        </w:rPr>
        <w:t xml:space="preserve">: - </w:t>
      </w:r>
      <w:r w:rsidRPr="00132E65">
        <w:rPr>
          <w:rtl/>
        </w:rPr>
        <w:t>« به »</w:t>
      </w:r>
      <w:r>
        <w:rPr>
          <w:rtl/>
        </w:rPr>
        <w:t>.</w:t>
      </w:r>
      <w:r w:rsidRPr="00132E65">
        <w:rPr>
          <w:rtl/>
        </w:rPr>
        <w:t xml:space="preserve"> وفي « بح » : « فيه »</w:t>
      </w:r>
      <w:r>
        <w:rPr>
          <w:rtl/>
        </w:rPr>
        <w:t>.</w:t>
      </w:r>
      <w:r w:rsidRPr="00132E65">
        <w:rPr>
          <w:rtl/>
        </w:rPr>
        <w:t xml:space="preserve"> </w:t>
      </w:r>
      <w:r>
        <w:rPr>
          <w:rtl/>
        </w:rPr>
        <w:t>و «</w:t>
      </w:r>
      <w:r w:rsidRPr="00132E65">
        <w:rPr>
          <w:rtl/>
        </w:rPr>
        <w:t xml:space="preserve"> يسمّونه به » أي يجعلون فيه السمّ.</w:t>
      </w:r>
    </w:p>
    <w:p w:rsidR="000C39D1" w:rsidRPr="00132E65" w:rsidRDefault="000C39D1" w:rsidP="000C39D1">
      <w:pPr>
        <w:pStyle w:val="libFootnote0"/>
        <w:rPr>
          <w:rtl/>
          <w:lang w:bidi="fa-IR"/>
        </w:rPr>
      </w:pPr>
      <w:r>
        <w:rPr>
          <w:rtl/>
        </w:rPr>
        <w:t>(9).</w:t>
      </w:r>
      <w:r w:rsidRPr="00132E65">
        <w:rPr>
          <w:rtl/>
        </w:rPr>
        <w:t xml:space="preserve"> في الإرشاد : « مسموم واغتممت » بدل « يسمّونه به فاغتممت »</w:t>
      </w:r>
      <w:r>
        <w:rPr>
          <w:rtl/>
        </w:rPr>
        <w:t>.</w:t>
      </w:r>
    </w:p>
    <w:p w:rsidR="000C39D1" w:rsidRPr="00132E65" w:rsidRDefault="000C39D1" w:rsidP="000C39D1">
      <w:pPr>
        <w:pStyle w:val="libFootnote0"/>
        <w:rPr>
          <w:rtl/>
          <w:lang w:bidi="fa-IR"/>
        </w:rPr>
      </w:pPr>
      <w:r>
        <w:rPr>
          <w:rtl/>
        </w:rPr>
        <w:t>(10).</w:t>
      </w:r>
      <w:r w:rsidRPr="00132E65">
        <w:rPr>
          <w:rtl/>
        </w:rPr>
        <w:t xml:space="preserve"> في الإرشاد : « فشربت ، وأطلت عنده فعطشت ، فدعا » بدل « فشربت ثمّ</w:t>
      </w:r>
      <w:r>
        <w:rPr>
          <w:rtl/>
        </w:rPr>
        <w:t xml:space="preserve"> - </w:t>
      </w:r>
      <w:r w:rsidRPr="00132E65">
        <w:rPr>
          <w:rtl/>
        </w:rPr>
        <w:t>إلى</w:t>
      </w:r>
      <w:r>
        <w:rPr>
          <w:rtl/>
        </w:rPr>
        <w:t xml:space="preserve"> - </w:t>
      </w:r>
      <w:r w:rsidRPr="00132E65">
        <w:rPr>
          <w:rtl/>
        </w:rPr>
        <w:t>أن أدعو »</w:t>
      </w:r>
      <w:r>
        <w:rPr>
          <w:rtl/>
        </w:rPr>
        <w:t>.</w:t>
      </w:r>
    </w:p>
    <w:tbl>
      <w:tblPr>
        <w:tblStyle w:val="TableGrid"/>
        <w:bidiVisual/>
        <w:tblW w:w="0" w:type="auto"/>
        <w:tblLook w:val="04A0" w:firstRow="1" w:lastRow="0" w:firstColumn="1" w:lastColumn="0" w:noHBand="0" w:noVBand="1"/>
      </w:tblPr>
      <w:tblGrid>
        <w:gridCol w:w="4261"/>
        <w:gridCol w:w="4262"/>
      </w:tblGrid>
      <w:tr w:rsidR="00BA06EA" w:rsidTr="00BA06EA">
        <w:tc>
          <w:tcPr>
            <w:tcW w:w="4261" w:type="dxa"/>
          </w:tcPr>
          <w:p w:rsidR="00BA06EA" w:rsidRDefault="00BA06EA" w:rsidP="000C39D1">
            <w:pPr>
              <w:pStyle w:val="libFootnote0"/>
              <w:rPr>
                <w:rtl/>
              </w:rPr>
            </w:pPr>
            <w:r>
              <w:rPr>
                <w:rtl/>
              </w:rPr>
              <w:t>(11).</w:t>
            </w:r>
            <w:r w:rsidRPr="00132E65">
              <w:rPr>
                <w:rtl/>
              </w:rPr>
              <w:t xml:space="preserve"> في « ف » </w:t>
            </w:r>
            <w:r>
              <w:rPr>
                <w:rtl/>
              </w:rPr>
              <w:t xml:space="preserve">: - </w:t>
            </w:r>
            <w:r w:rsidRPr="00132E65">
              <w:rPr>
                <w:rtl/>
              </w:rPr>
              <w:t>« مثل »</w:t>
            </w:r>
            <w:r>
              <w:rPr>
                <w:rtl/>
              </w:rPr>
              <w:t>.</w:t>
            </w:r>
          </w:p>
        </w:tc>
        <w:tc>
          <w:tcPr>
            <w:tcW w:w="4262" w:type="dxa"/>
          </w:tcPr>
          <w:p w:rsidR="00BA06EA" w:rsidRDefault="00BA06EA" w:rsidP="000C39D1">
            <w:pPr>
              <w:pStyle w:val="libFootnote0"/>
              <w:rPr>
                <w:rtl/>
              </w:rPr>
            </w:pPr>
            <w:r>
              <w:rPr>
                <w:rtl/>
              </w:rPr>
              <w:t>(12).</w:t>
            </w:r>
            <w:r w:rsidRPr="00132E65">
              <w:rPr>
                <w:rtl/>
              </w:rPr>
              <w:t xml:space="preserve"> في « ب ، ض ، بر » : « فتبسّم »</w:t>
            </w:r>
            <w:r>
              <w:rPr>
                <w:rtl/>
              </w:rPr>
              <w:t>.</w:t>
            </w:r>
          </w:p>
        </w:tc>
      </w:tr>
    </w:tbl>
    <w:p w:rsidR="000C39D1" w:rsidRPr="00132E65" w:rsidRDefault="000C39D1" w:rsidP="000C39D1">
      <w:pPr>
        <w:pStyle w:val="libFootnote0"/>
        <w:rPr>
          <w:rtl/>
          <w:lang w:bidi="fa-IR"/>
        </w:rPr>
      </w:pPr>
      <w:r>
        <w:rPr>
          <w:rtl/>
        </w:rPr>
        <w:t>(13)</w:t>
      </w:r>
      <w:r w:rsidRPr="00132E65">
        <w:rPr>
          <w:rtl/>
        </w:rPr>
        <w:t xml:space="preserve"> في الإرشاد : « ففعل كما فعل في المرّة الا</w:t>
      </w:r>
      <w:r w:rsidR="00BA06EA">
        <w:rPr>
          <w:rFonts w:hint="cs"/>
          <w:rtl/>
        </w:rPr>
        <w:t>ُ</w:t>
      </w:r>
      <w:r w:rsidRPr="00132E65">
        <w:rPr>
          <w:rtl/>
        </w:rPr>
        <w:t>ولى ، فشرب ثمّ ناولني وتبسّم. قال محمّد بن حمزة : فقال لي محمّد بن عليّ الهاشمي : والله إنّي أظنّ أنّ أبا جعفر يعلم ما في النفوس كما تقول الرافضة » بدل « ففعل ما فعل في الا</w:t>
      </w:r>
      <w:r w:rsidR="00BA06EA">
        <w:rPr>
          <w:rFonts w:hint="cs"/>
          <w:rtl/>
        </w:rPr>
        <w:t>ُ</w:t>
      </w:r>
      <w:r w:rsidRPr="00132E65">
        <w:rPr>
          <w:rtl/>
        </w:rPr>
        <w:t>ولى فلمّا</w:t>
      </w:r>
      <w:r>
        <w:rPr>
          <w:rtl/>
        </w:rPr>
        <w:t xml:space="preserve"> - </w:t>
      </w:r>
      <w:r w:rsidRPr="00132E65">
        <w:rPr>
          <w:rtl/>
        </w:rPr>
        <w:t>إلى</w:t>
      </w:r>
      <w:r>
        <w:rPr>
          <w:rtl/>
        </w:rPr>
        <w:t xml:space="preserve"> - </w:t>
      </w:r>
      <w:r w:rsidRPr="00132E65">
        <w:rPr>
          <w:rtl/>
        </w:rPr>
        <w:t>كما يقولون »</w:t>
      </w:r>
      <w:r>
        <w:rPr>
          <w:rtl/>
        </w:rPr>
        <w:t>.</w:t>
      </w:r>
    </w:p>
    <w:p w:rsidR="000C39D1" w:rsidRPr="00132E65" w:rsidRDefault="000C39D1" w:rsidP="000C39D1">
      <w:pPr>
        <w:pStyle w:val="libFootnote0"/>
        <w:rPr>
          <w:rtl/>
          <w:lang w:bidi="fa-IR"/>
        </w:rPr>
      </w:pPr>
      <w:r>
        <w:rPr>
          <w:rtl/>
        </w:rPr>
        <w:t>(14)</w:t>
      </w:r>
      <w:r w:rsidRPr="00132E65">
        <w:rPr>
          <w:rtl/>
        </w:rPr>
        <w:t xml:space="preserve"> </w:t>
      </w:r>
      <w:r w:rsidRPr="00BA06EA">
        <w:rPr>
          <w:rStyle w:val="libFootnoteBoldChar"/>
          <w:rtl/>
        </w:rPr>
        <w:t>الإرشاد</w:t>
      </w:r>
      <w:r w:rsidRPr="00132E65">
        <w:rPr>
          <w:rtl/>
        </w:rPr>
        <w:t xml:space="preserve"> ، ج 2 ، ص 291 ، بسنده عن الكليني. وفي </w:t>
      </w:r>
      <w:r w:rsidRPr="00576DE8">
        <w:rPr>
          <w:rtl/>
        </w:rPr>
        <w:t xml:space="preserve">دلائل </w:t>
      </w:r>
      <w:r w:rsidRPr="00BA06EA">
        <w:rPr>
          <w:rStyle w:val="libFootnoteBoldChar"/>
          <w:rtl/>
        </w:rPr>
        <w:t>الإمامة للطبري</w:t>
      </w:r>
      <w:r w:rsidRPr="00132E65">
        <w:rPr>
          <w:rtl/>
        </w:rPr>
        <w:t xml:space="preserve"> ، ص 215 ، عن محمّد بن عليّ بن حمزه الهاشمي </w:t>
      </w:r>
      <w:r w:rsidR="00BA06EA">
        <w:rPr>
          <w:rFonts w:hint="cs"/>
          <w:rtl/>
        </w:rPr>
        <w:t>.</w:t>
      </w:r>
      <w:r w:rsidRPr="009D1ACE">
        <w:rPr>
          <w:rStyle w:val="libFootnoteBoldChar"/>
          <w:rtl/>
        </w:rPr>
        <w:t>الوافي</w:t>
      </w:r>
      <w:r w:rsidRPr="00132E65">
        <w:rPr>
          <w:rtl/>
        </w:rPr>
        <w:t xml:space="preserve"> ، ج 3 ، ص 829 ، ح 1439.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76DE8">
        <w:rPr>
          <w:rtl/>
        </w:rPr>
        <w:t>1315</w:t>
      </w:r>
      <w:r w:rsidRPr="004325D8">
        <w:rPr>
          <w:rStyle w:val="libBold2Char"/>
          <w:rtl/>
        </w:rPr>
        <w:t xml:space="preserve"> / 7.</w:t>
      </w:r>
      <w:r w:rsidRPr="00132E65">
        <w:rPr>
          <w:rtl/>
          <w:lang w:bidi="fa-IR"/>
        </w:rPr>
        <w:t xml:space="preserve"> عَلِيُّ بْنُ إِبْرَاهِيمَ ، عَنْ أَبِيهِ ، قَالَ :</w:t>
      </w:r>
    </w:p>
    <w:p w:rsidR="000C39D1" w:rsidRPr="00132E65" w:rsidRDefault="000C39D1" w:rsidP="000C39D1">
      <w:pPr>
        <w:pStyle w:val="libNormal"/>
        <w:rPr>
          <w:rtl/>
          <w:lang w:bidi="fa-IR"/>
        </w:rPr>
      </w:pPr>
      <w:r w:rsidRPr="00132E65">
        <w:rPr>
          <w:rtl/>
          <w:lang w:bidi="fa-IR"/>
        </w:rPr>
        <w:t xml:space="preserve">اسْتَأْذَنَ عَلى أَبِي جَعْفَرٍ </w:t>
      </w:r>
      <w:r w:rsidRPr="00071CF9">
        <w:rPr>
          <w:rStyle w:val="libAlaemChar"/>
          <w:rtl/>
        </w:rPr>
        <w:t>عليه‌السلام</w:t>
      </w:r>
      <w:r w:rsidRPr="00132E65">
        <w:rPr>
          <w:rtl/>
          <w:lang w:bidi="fa-IR"/>
        </w:rPr>
        <w:t xml:space="preserve"> قَوْمٌ مِنْ أَهْلِ النَّوَاحِي مِنَ الشِّيعَةِ ، فَأَذِنَ لَهُمْ ، فَدَخَلُوا ، فَسَأَلُوهُ فِي مَجْلِسٍ واحِدٍ عَنْ ثَلَاثِينَ أَلْفَ مَسْأَلَةٍ </w:t>
      </w:r>
      <w:r>
        <w:rPr>
          <w:rStyle w:val="libFootnotenumChar"/>
          <w:rtl/>
        </w:rPr>
        <w:t>(1)</w:t>
      </w:r>
      <w:r w:rsidRPr="00132E65">
        <w:rPr>
          <w:rtl/>
          <w:lang w:bidi="fa-IR"/>
        </w:rPr>
        <w:t xml:space="preserve"> ، فَأَجَابَ </w:t>
      </w:r>
      <w:r>
        <w:rPr>
          <w:rStyle w:val="libFootnotenumChar"/>
          <w:rtl/>
        </w:rPr>
        <w:t>(2)</w:t>
      </w:r>
      <w:r w:rsidRPr="00132E65">
        <w:rPr>
          <w:rtl/>
          <w:lang w:bidi="fa-IR"/>
        </w:rPr>
        <w:t xml:space="preserve"> </w:t>
      </w:r>
      <w:r w:rsidRPr="00071CF9">
        <w:rPr>
          <w:rStyle w:val="libAlaemChar"/>
          <w:rtl/>
        </w:rPr>
        <w:t>عليه‌السلام</w:t>
      </w:r>
      <w:r w:rsidRPr="00132E65">
        <w:rPr>
          <w:rtl/>
          <w:lang w:bidi="fa-IR"/>
        </w:rPr>
        <w:t xml:space="preserve"> و</w:t>
      </w:r>
      <w:r w:rsidR="004C1EDA">
        <w:rPr>
          <w:rFonts w:hint="cs"/>
          <w:rtl/>
          <w:lang w:bidi="fa-IR"/>
        </w:rPr>
        <w:t>َ</w:t>
      </w:r>
      <w:r w:rsidRPr="00132E65">
        <w:rPr>
          <w:rtl/>
          <w:lang w:bidi="fa-IR"/>
        </w:rPr>
        <w:t xml:space="preserve">لَهُ عَشْرُ سِنِينَ.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576DE8">
        <w:rPr>
          <w:rtl/>
        </w:rPr>
        <w:t>1316</w:t>
      </w:r>
      <w:r w:rsidRPr="004325D8">
        <w:rPr>
          <w:rStyle w:val="libBold2Char"/>
          <w:rtl/>
        </w:rPr>
        <w:t xml:space="preserve"> / 8.</w:t>
      </w:r>
      <w:r w:rsidRPr="00132E65">
        <w:rPr>
          <w:rtl/>
          <w:lang w:bidi="fa-IR"/>
        </w:rPr>
        <w:t xml:space="preserve"> عَلِيُّ بْنُ مُحَمَّدٍ ، عَنْ سَهْلِ بْنِ زِيَادٍ ، عَنْ عَلِيِّ بْنِ الْحَكَمِ ، عَنْ دِعْبِلِ بْنِ عَلِيٍّ :</w:t>
      </w:r>
      <w:r>
        <w:rPr>
          <w:rFonts w:hint="cs"/>
          <w:rtl/>
          <w:lang w:bidi="fa-IR"/>
        </w:rPr>
        <w:t xml:space="preserve"> </w:t>
      </w:r>
      <w:r w:rsidRPr="00132E65">
        <w:rPr>
          <w:rtl/>
          <w:lang w:bidi="fa-IR"/>
        </w:rPr>
        <w:t xml:space="preserve">أَنَّهُ دَخَلَ عَلى أَبِي الْحَسَنِ الرِّضَا </w:t>
      </w:r>
      <w:r w:rsidRPr="00071CF9">
        <w:rPr>
          <w:rStyle w:val="libAlaemChar"/>
          <w:rtl/>
        </w:rPr>
        <w:t>عليه‌السلام</w:t>
      </w:r>
      <w:r w:rsidRPr="00132E65">
        <w:rPr>
          <w:rtl/>
          <w:lang w:bidi="fa-IR"/>
        </w:rPr>
        <w:t xml:space="preserve"> ، و</w:t>
      </w:r>
      <w:r w:rsidR="004C1EDA">
        <w:rPr>
          <w:rFonts w:hint="cs"/>
          <w:rtl/>
          <w:lang w:bidi="fa-IR"/>
        </w:rPr>
        <w:t>َ</w:t>
      </w:r>
      <w:r w:rsidRPr="00132E65">
        <w:rPr>
          <w:rtl/>
          <w:lang w:bidi="fa-IR"/>
        </w:rPr>
        <w:t>أَمَرَ لَهُ بِشَيْ‌ءٍ ، فَأَخَذَهُ و</w:t>
      </w:r>
      <w:r w:rsidR="004C1EDA">
        <w:rPr>
          <w:rFonts w:hint="cs"/>
          <w:rtl/>
          <w:lang w:bidi="fa-IR"/>
        </w:rPr>
        <w:t>َ</w:t>
      </w:r>
      <w:r w:rsidRPr="00132E65">
        <w:rPr>
          <w:rtl/>
          <w:lang w:bidi="fa-IR"/>
        </w:rPr>
        <w:t>لَمْ يَحْمَدِ اللهَ ، قَالَ :</w:t>
      </w:r>
      <w:r>
        <w:rPr>
          <w:rFonts w:hint="cs"/>
          <w:rtl/>
          <w:lang w:bidi="fa-IR"/>
        </w:rPr>
        <w:t xml:space="preserve"> </w:t>
      </w:r>
      <w:r w:rsidRPr="00132E65">
        <w:rPr>
          <w:rtl/>
          <w:lang w:bidi="fa-IR"/>
        </w:rPr>
        <w:t xml:space="preserve">فَقَالَ لَهُ </w:t>
      </w:r>
      <w:r>
        <w:rPr>
          <w:rStyle w:val="libFootnotenumChar"/>
          <w:rtl/>
        </w:rPr>
        <w:t>(4)</w:t>
      </w:r>
      <w:r w:rsidRPr="00132E65">
        <w:rPr>
          <w:rtl/>
          <w:lang w:bidi="fa-IR"/>
        </w:rPr>
        <w:t xml:space="preserve"> : « لِمَ لَمْ تَحْمَدِ اللهَ</w:t>
      </w:r>
      <w:r>
        <w:rPr>
          <w:rtl/>
          <w:lang w:bidi="fa-IR"/>
        </w:rPr>
        <w:t>؟</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ثُمَّ </w:t>
      </w:r>
      <w:r>
        <w:rPr>
          <w:rStyle w:val="libFootnotenumChar"/>
          <w:rtl/>
        </w:rPr>
        <w:t>(5)</w:t>
      </w:r>
      <w:r w:rsidRPr="00132E65">
        <w:rPr>
          <w:rtl/>
          <w:lang w:bidi="fa-IR"/>
        </w:rPr>
        <w:t xml:space="preserve"> دَخَلْتُ بَعْدُ </w:t>
      </w:r>
      <w:r>
        <w:rPr>
          <w:rStyle w:val="libFootnotenumChar"/>
          <w:rtl/>
        </w:rPr>
        <w:t>(6)</w:t>
      </w:r>
      <w:r w:rsidRPr="00132E65">
        <w:rPr>
          <w:rtl/>
          <w:lang w:bidi="fa-IR"/>
        </w:rPr>
        <w:t xml:space="preserve"> عَلى أَبِي جَعْفَرٍ </w:t>
      </w:r>
      <w:r w:rsidRPr="00071CF9">
        <w:rPr>
          <w:rStyle w:val="libAlaemChar"/>
          <w:rtl/>
        </w:rPr>
        <w:t>عليه‌السلام</w:t>
      </w:r>
      <w:r w:rsidRPr="00132E65">
        <w:rPr>
          <w:rtl/>
          <w:lang w:bidi="fa-IR"/>
        </w:rPr>
        <w:t xml:space="preserve"> ، و</w:t>
      </w:r>
      <w:r w:rsidR="004C1EDA">
        <w:rPr>
          <w:rFonts w:hint="cs"/>
          <w:rtl/>
          <w:lang w:bidi="fa-IR"/>
        </w:rPr>
        <w:t>َ</w:t>
      </w:r>
      <w:r w:rsidRPr="00132E65">
        <w:rPr>
          <w:rtl/>
          <w:lang w:bidi="fa-IR"/>
        </w:rPr>
        <w:t xml:space="preserve">أَمَرَ لِي </w:t>
      </w:r>
      <w:r>
        <w:rPr>
          <w:rStyle w:val="libFootnotenumChar"/>
          <w:rtl/>
        </w:rPr>
        <w:t>(7)</w:t>
      </w:r>
      <w:r w:rsidRPr="00132E65">
        <w:rPr>
          <w:rtl/>
          <w:lang w:bidi="fa-IR"/>
        </w:rPr>
        <w:t xml:space="preserve"> بِشَيْ‌ءٍ ، فَقُلْتُ : الْحَمْدُ لِلّهِ ، فَقَالَ لِي : « تَأَدَّبْتَ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576DE8">
        <w:rPr>
          <w:rtl/>
        </w:rPr>
        <w:t>1317</w:t>
      </w:r>
      <w:r w:rsidRPr="004325D8">
        <w:rPr>
          <w:rStyle w:val="libBold2Char"/>
          <w:rtl/>
        </w:rPr>
        <w:t xml:space="preserve"> / 9.</w:t>
      </w:r>
      <w:r w:rsidRPr="00132E65">
        <w:rPr>
          <w:rtl/>
          <w:lang w:bidi="fa-IR"/>
        </w:rPr>
        <w:t xml:space="preserve"> الْحُسَيْنُ بْنُ مُحَمَّدٍ ، عَنْ مُعَلَّى بْنِ مُحَمَّدٍ ، عَنْ أَحْمَدَ بْنِ مُحَمَّدِ بْنِ عَبْدِ اللهِ ، عَنْ مُحَمَّدِ بْنِ سِنَانٍ </w:t>
      </w:r>
      <w:r>
        <w:rPr>
          <w:rStyle w:val="libFootnotenumChar"/>
          <w:rtl/>
        </w:rPr>
        <w:t>(9)</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أورد المجلسي هاهنا إشكالاً بأنّه كيف يمكن ذلك في مجلس واحد</w:t>
      </w:r>
      <w:r>
        <w:rPr>
          <w:rtl/>
        </w:rPr>
        <w:t>؟</w:t>
      </w:r>
      <w:r w:rsidRPr="00132E65">
        <w:rPr>
          <w:rtl/>
        </w:rPr>
        <w:t xml:space="preserve"> ثمّ أجاب بوجوه سبعة ، وقال المحقّق الشعراني بعد ما نقلها عنه : « ولا حاجة إلى توجيه كلام إبراهيم بن هاشم بهذه التكلّفات ، ولم يقل أحد بعصمته ، بل لم يصرّحوا بصحّة أحاديثه ، بل عدّوه من الحسان »</w:t>
      </w:r>
      <w:r>
        <w:rPr>
          <w:rtl/>
        </w:rPr>
        <w:t>.</w:t>
      </w:r>
      <w:r w:rsidRPr="00132E65">
        <w:rPr>
          <w:rtl/>
        </w:rPr>
        <w:t xml:space="preserve"> وقال في وجه ذكر صاحب </w:t>
      </w:r>
      <w:r w:rsidRPr="000577A7">
        <w:rPr>
          <w:rStyle w:val="libFootnoteBoldChar"/>
          <w:rtl/>
        </w:rPr>
        <w:t>الكافي</w:t>
      </w:r>
      <w:r w:rsidRPr="00132E65">
        <w:rPr>
          <w:rtl/>
        </w:rPr>
        <w:t xml:space="preserve"> هذا الحديث : « وذكره صاحب </w:t>
      </w:r>
      <w:r w:rsidRPr="000577A7">
        <w:rPr>
          <w:rStyle w:val="libFootnoteBoldChar"/>
          <w:rtl/>
        </w:rPr>
        <w:t>الكافي</w:t>
      </w:r>
      <w:r w:rsidRPr="00132E65">
        <w:rPr>
          <w:rtl/>
        </w:rPr>
        <w:t xml:space="preserve"> ؛ لأنّ المبالغات الواردة في كلام الناس تدلّ على صفة في المنقول عنه »</w:t>
      </w:r>
      <w:r>
        <w:rPr>
          <w:rtl/>
        </w:rPr>
        <w:t>.</w:t>
      </w:r>
      <w:r w:rsidRPr="00132E65">
        <w:rPr>
          <w:rtl/>
        </w:rPr>
        <w:t xml:space="preserve"> راجع : </w:t>
      </w:r>
      <w:r w:rsidRPr="009D1ACE">
        <w:rPr>
          <w:rStyle w:val="libFootnoteBoldChar"/>
          <w:rtl/>
        </w:rPr>
        <w:t>مرآة العقول</w:t>
      </w:r>
      <w:r w:rsidRPr="00132E65">
        <w:rPr>
          <w:rtl/>
        </w:rPr>
        <w:t xml:space="preserve"> ، ج 6 ، ص 104</w:t>
      </w:r>
      <w:r>
        <w:rPr>
          <w:rtl/>
        </w:rPr>
        <w:t xml:space="preserve"> - </w:t>
      </w:r>
      <w:r w:rsidRPr="00132E65">
        <w:rPr>
          <w:rtl/>
        </w:rPr>
        <w:t xml:space="preserve">105 ؛ </w:t>
      </w:r>
      <w:r w:rsidRPr="004C1EDA">
        <w:rPr>
          <w:rStyle w:val="libFootnoteBoldChar"/>
          <w:rtl/>
        </w:rPr>
        <w:t>شرح المازندراني</w:t>
      </w:r>
      <w:r w:rsidRPr="00132E65">
        <w:rPr>
          <w:rtl/>
        </w:rPr>
        <w:t xml:space="preserve"> ، ج 7 ، ص 287</w:t>
      </w:r>
      <w:r>
        <w:rPr>
          <w:rtl/>
        </w:rPr>
        <w:t xml:space="preserve"> - </w:t>
      </w:r>
      <w:r w:rsidRPr="00132E65">
        <w:rPr>
          <w:rtl/>
        </w:rPr>
        <w:t>288.</w:t>
      </w:r>
    </w:p>
    <w:p w:rsidR="000C39D1" w:rsidRPr="00132E65" w:rsidRDefault="000C39D1" w:rsidP="000C39D1">
      <w:pPr>
        <w:pStyle w:val="libFootnote0"/>
        <w:rPr>
          <w:rtl/>
          <w:lang w:bidi="fa-IR"/>
        </w:rPr>
      </w:pPr>
      <w:r>
        <w:rPr>
          <w:rtl/>
        </w:rPr>
        <w:t>(2).</w:t>
      </w:r>
      <w:r w:rsidRPr="00132E65">
        <w:rPr>
          <w:rtl/>
        </w:rPr>
        <w:t xml:space="preserve"> في « ف » : « فأجابه »</w:t>
      </w:r>
      <w:r>
        <w:rPr>
          <w:rtl/>
        </w:rPr>
        <w:t>.</w:t>
      </w:r>
      <w:r w:rsidRPr="00132E65">
        <w:rPr>
          <w:rtl/>
        </w:rPr>
        <w:t xml:space="preserve"> والأولى : « فأجابها »</w:t>
      </w:r>
      <w:r>
        <w:rPr>
          <w:rtl/>
        </w:rPr>
        <w:t>.</w:t>
      </w:r>
    </w:p>
    <w:p w:rsidR="000C39D1" w:rsidRPr="00132E65" w:rsidRDefault="000C39D1" w:rsidP="000C39D1">
      <w:pPr>
        <w:pStyle w:val="libFootnote0"/>
        <w:rPr>
          <w:rtl/>
          <w:lang w:bidi="fa-IR"/>
        </w:rPr>
      </w:pPr>
      <w:r>
        <w:rPr>
          <w:rtl/>
        </w:rPr>
        <w:t>(3).</w:t>
      </w:r>
      <w:r w:rsidRPr="00132E65">
        <w:rPr>
          <w:rtl/>
        </w:rPr>
        <w:t xml:space="preserve"> </w:t>
      </w:r>
      <w:r w:rsidRPr="004C1EDA">
        <w:rPr>
          <w:rStyle w:val="libFootnoteBoldChar"/>
          <w:rtl/>
        </w:rPr>
        <w:t>الاختصاص</w:t>
      </w:r>
      <w:r w:rsidRPr="00132E65">
        <w:rPr>
          <w:rtl/>
        </w:rPr>
        <w:t xml:space="preserve"> ، ص 102 ، عن عليّ بن إبراهيم ، عن أبيه مع زيادة في أوّله </w:t>
      </w:r>
      <w:r w:rsidR="004C1EDA">
        <w:rPr>
          <w:rFonts w:hint="cs"/>
          <w:rtl/>
        </w:rPr>
        <w:t>.</w:t>
      </w:r>
      <w:r w:rsidRPr="009D1ACE">
        <w:rPr>
          <w:rStyle w:val="libFootnoteBoldChar"/>
          <w:rtl/>
        </w:rPr>
        <w:t>الوافي</w:t>
      </w:r>
      <w:r w:rsidRPr="00132E65">
        <w:rPr>
          <w:rtl/>
        </w:rPr>
        <w:t xml:space="preserve"> ، ج 3 ، ص 830 ، ح 1440.</w:t>
      </w:r>
    </w:p>
    <w:p w:rsidR="000C39D1" w:rsidRPr="00132E65" w:rsidRDefault="000C39D1" w:rsidP="000C39D1">
      <w:pPr>
        <w:pStyle w:val="libFootnote0"/>
        <w:rPr>
          <w:rtl/>
          <w:lang w:bidi="fa-IR"/>
        </w:rPr>
      </w:pPr>
      <w:r>
        <w:rPr>
          <w:rtl/>
        </w:rPr>
        <w:t>(4).</w:t>
      </w:r>
      <w:r w:rsidRPr="00132E65">
        <w:rPr>
          <w:rtl/>
        </w:rPr>
        <w:t xml:space="preserve"> في « ج ، ض ، ف ، بر ، بس ، بف » </w:t>
      </w:r>
      <w:r w:rsidRPr="004C1EDA">
        <w:rPr>
          <w:rtl/>
        </w:rPr>
        <w:t>والوافي</w:t>
      </w:r>
      <w:r w:rsidRPr="00132E65">
        <w:rPr>
          <w:rtl/>
        </w:rPr>
        <w:t xml:space="preserve">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في « بف » </w:t>
      </w:r>
      <w:r>
        <w:rPr>
          <w:rtl/>
        </w:rPr>
        <w:t xml:space="preserve">: - </w:t>
      </w:r>
      <w:r w:rsidRPr="00132E65">
        <w:rPr>
          <w:rtl/>
        </w:rPr>
        <w:t>« ثمّ »</w:t>
      </w:r>
      <w:r>
        <w:rPr>
          <w:rtl/>
        </w:rPr>
        <w:t>.</w:t>
      </w:r>
    </w:p>
    <w:p w:rsidR="000C39D1" w:rsidRPr="00132E65" w:rsidRDefault="000C39D1" w:rsidP="000C39D1">
      <w:pPr>
        <w:pStyle w:val="libFootnote0"/>
        <w:rPr>
          <w:rtl/>
          <w:lang w:bidi="fa-IR"/>
        </w:rPr>
      </w:pPr>
      <w:r>
        <w:rPr>
          <w:rtl/>
        </w:rPr>
        <w:t>(6).</w:t>
      </w:r>
      <w:r w:rsidRPr="00132E65">
        <w:rPr>
          <w:rtl/>
        </w:rPr>
        <w:t xml:space="preserve"> في « ض ، بح ، بر ، بس » :</w:t>
      </w:r>
      <w:r>
        <w:rPr>
          <w:rtl/>
        </w:rPr>
        <w:t xml:space="preserve"> + </w:t>
      </w:r>
      <w:r w:rsidRPr="00132E65">
        <w:rPr>
          <w:rtl/>
        </w:rPr>
        <w:t>« عليّ »</w:t>
      </w:r>
      <w:r>
        <w:rPr>
          <w:rtl/>
        </w:rPr>
        <w:t>.</w:t>
      </w:r>
      <w:r w:rsidRPr="00132E65">
        <w:rPr>
          <w:rtl/>
        </w:rPr>
        <w:t xml:space="preserve"> وفي « ج » :</w:t>
      </w:r>
      <w:r>
        <w:rPr>
          <w:rtl/>
        </w:rPr>
        <w:t xml:space="preserve"> + </w:t>
      </w:r>
      <w:r w:rsidRPr="00132E65">
        <w:rPr>
          <w:rtl/>
        </w:rPr>
        <w:t xml:space="preserve">« عليّ </w:t>
      </w:r>
      <w:r w:rsidRPr="004C1EDA">
        <w:rPr>
          <w:rStyle w:val="libFootnoteAlaemChar"/>
          <w:rtl/>
        </w:rPr>
        <w:t>عليه‌السلام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261"/>
        <w:gridCol w:w="4262"/>
      </w:tblGrid>
      <w:tr w:rsidR="004C1EDA" w:rsidTr="004C1EDA">
        <w:tc>
          <w:tcPr>
            <w:tcW w:w="4261" w:type="dxa"/>
          </w:tcPr>
          <w:p w:rsidR="004C1EDA" w:rsidRDefault="004C1EDA" w:rsidP="000C39D1">
            <w:pPr>
              <w:pStyle w:val="libFootnote0"/>
              <w:rPr>
                <w:rtl/>
              </w:rPr>
            </w:pPr>
            <w:r>
              <w:rPr>
                <w:rtl/>
              </w:rPr>
              <w:t>(7).</w:t>
            </w:r>
            <w:r w:rsidRPr="00132E65">
              <w:rPr>
                <w:rtl/>
              </w:rPr>
              <w:t xml:space="preserve"> في حاشية « ف » : « أمرني »</w:t>
            </w:r>
            <w:r>
              <w:rPr>
                <w:rtl/>
              </w:rPr>
              <w:t>.</w:t>
            </w:r>
          </w:p>
        </w:tc>
        <w:tc>
          <w:tcPr>
            <w:tcW w:w="4262" w:type="dxa"/>
          </w:tcPr>
          <w:p w:rsidR="004C1EDA" w:rsidRDefault="004C1EDA" w:rsidP="000C39D1">
            <w:pPr>
              <w:pStyle w:val="libFootnote0"/>
              <w:rPr>
                <w:rtl/>
              </w:rPr>
            </w:pPr>
            <w:r>
              <w:rPr>
                <w:rtl/>
              </w:rPr>
              <w:t>(8).</w:t>
            </w:r>
            <w:r w:rsidRPr="00132E65">
              <w:rPr>
                <w:rtl/>
              </w:rPr>
              <w:t xml:space="preserve"> </w:t>
            </w:r>
            <w:r w:rsidRPr="009D1ACE">
              <w:rPr>
                <w:rStyle w:val="libFootnoteBoldChar"/>
                <w:rtl/>
              </w:rPr>
              <w:t>الوافي</w:t>
            </w:r>
            <w:r w:rsidRPr="00132E65">
              <w:rPr>
                <w:rtl/>
              </w:rPr>
              <w:t xml:space="preserve"> ، ج 3 ، ص 830 ، ح 1441.</w:t>
            </w:r>
          </w:p>
        </w:tc>
      </w:tr>
    </w:tbl>
    <w:p w:rsidR="000C39D1" w:rsidRPr="00661890" w:rsidRDefault="000C39D1" w:rsidP="000C39D1">
      <w:pPr>
        <w:pStyle w:val="libFootnote0"/>
        <w:rPr>
          <w:rtl/>
        </w:rPr>
      </w:pPr>
      <w:r>
        <w:rPr>
          <w:rtl/>
        </w:rPr>
        <w:t>(9).</w:t>
      </w:r>
      <w:r w:rsidRPr="00132E65">
        <w:rPr>
          <w:rtl/>
        </w:rPr>
        <w:t xml:space="preserve"> محمّد بن سنان المشهور هو أبو جعفر الزاهري ، وقد توفّي سنة عشرين ومائتين ، كما في </w:t>
      </w:r>
      <w:r w:rsidRPr="004C1EDA">
        <w:rPr>
          <w:rStyle w:val="libFootnoteBoldChar"/>
          <w:rtl/>
        </w:rPr>
        <w:t>رجال النجاشي</w:t>
      </w:r>
      <w:r w:rsidRPr="00132E65">
        <w:rPr>
          <w:rtl/>
        </w:rPr>
        <w:t xml:space="preserve"> ، ص 328 ، الرقم 888. والظاهر</w:t>
      </w:r>
      <w:r>
        <w:rPr>
          <w:rtl/>
        </w:rPr>
        <w:t xml:space="preserve"> - </w:t>
      </w:r>
      <w:r w:rsidRPr="00132E65">
        <w:rPr>
          <w:rtl/>
        </w:rPr>
        <w:t>بناءً على صحّة النسخ</w:t>
      </w:r>
      <w:r>
        <w:rPr>
          <w:rtl/>
        </w:rPr>
        <w:t xml:space="preserve"> - </w:t>
      </w:r>
      <w:r w:rsidRPr="00132E65">
        <w:rPr>
          <w:rtl/>
        </w:rPr>
        <w:t>عدم إرادة الزاهري في سندنا هذا ؛ فإنّ عمر بن الفرج المذكور في متن الخبر ، هو عمر بن الفرج الرُخَّجي الذي كان من كتّا</w:t>
      </w:r>
      <w:r w:rsidR="004C1EDA">
        <w:rPr>
          <w:rtl/>
        </w:rPr>
        <w:t>ب المتوكّل العبّاسي ، وسخط عليه</w:t>
      </w:r>
      <w:r w:rsidR="004C1EDA">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دَخَلْتُ عَلى أَبِي الْحَسَنِ </w:t>
      </w:r>
      <w:r w:rsidRPr="00071CF9">
        <w:rPr>
          <w:rStyle w:val="libAlaemChar"/>
          <w:rtl/>
        </w:rPr>
        <w:t>عليه‌السلام</w:t>
      </w:r>
      <w:r w:rsidRPr="00132E65">
        <w:rPr>
          <w:rtl/>
          <w:lang w:bidi="fa-IR"/>
        </w:rPr>
        <w:t xml:space="preserve"> ، فَقَالَ </w:t>
      </w:r>
      <w:r>
        <w:rPr>
          <w:rStyle w:val="libFootnotenumChar"/>
          <w:rtl/>
        </w:rPr>
        <w:t>(1)</w:t>
      </w:r>
      <w:r w:rsidRPr="00132E65">
        <w:rPr>
          <w:rtl/>
          <w:lang w:bidi="fa-IR"/>
        </w:rPr>
        <w:t xml:space="preserve"> : « يَا مُحَمَّدُ ، حَدَثَ بِآلِ فَرَجٍ حَدَثٌ</w:t>
      </w:r>
      <w:r>
        <w:rPr>
          <w:rtl/>
          <w:lang w:bidi="fa-IR"/>
        </w:rPr>
        <w:t>؟</w:t>
      </w:r>
      <w:r w:rsidRPr="00132E65">
        <w:rPr>
          <w:rtl/>
          <w:lang w:bidi="fa-IR"/>
        </w:rPr>
        <w:t xml:space="preserve"> » فَقُلْتُ :</w:t>
      </w:r>
      <w:r>
        <w:rPr>
          <w:rFonts w:hint="cs"/>
          <w:rtl/>
          <w:lang w:bidi="fa-IR"/>
        </w:rPr>
        <w:t xml:space="preserve"> </w:t>
      </w:r>
      <w:r w:rsidRPr="00132E65">
        <w:rPr>
          <w:rtl/>
          <w:lang w:bidi="fa-IR"/>
        </w:rPr>
        <w:t>مَاتَ عُمَرُ ، فَقَالَ : « الْحَمْدُ لِلّهِ » حَتّى أَحْصَيْتُ لَهُ أَرْبَعاً و</w:t>
      </w:r>
      <w:r w:rsidR="00356106">
        <w:rPr>
          <w:rFonts w:hint="cs"/>
          <w:rtl/>
          <w:lang w:bidi="fa-IR"/>
        </w:rPr>
        <w:t>َ</w:t>
      </w:r>
      <w:r w:rsidRPr="00132E65">
        <w:rPr>
          <w:rtl/>
          <w:lang w:bidi="fa-IR"/>
        </w:rPr>
        <w:t xml:space="preserve">عِشْرِينَ مَرَّةً ، فَقُلْتُ : يَا سَيِّدِي ، لَوْ عَلِمْتُ أَنَّ هذَا يَسُرُّكَ لَجِئْتُ حَافِياً أَعْدُو </w:t>
      </w:r>
      <w:r>
        <w:rPr>
          <w:rStyle w:val="libFootnotenumChar"/>
          <w:rtl/>
        </w:rPr>
        <w:t>(2)</w:t>
      </w:r>
      <w:r w:rsidRPr="00132E65">
        <w:rPr>
          <w:rtl/>
          <w:lang w:bidi="fa-IR"/>
        </w:rPr>
        <w:t xml:space="preserve"> إِلَيْكَ</w:t>
      </w:r>
      <w:r>
        <w:rPr>
          <w:rtl/>
          <w:lang w:bidi="fa-IR"/>
        </w:rPr>
        <w:t xml:space="preserve"> ، قَالَ : « يَا مُحَمَّدُ ، أَ</w:t>
      </w:r>
      <w:r w:rsidRPr="00132E65">
        <w:rPr>
          <w:rtl/>
          <w:lang w:bidi="fa-IR"/>
        </w:rPr>
        <w:t>و</w:t>
      </w:r>
      <w:r w:rsidR="00356106">
        <w:rPr>
          <w:rFonts w:hint="cs"/>
          <w:rtl/>
          <w:lang w:bidi="fa-IR"/>
        </w:rPr>
        <w:t>َ</w:t>
      </w:r>
      <w:r w:rsidRPr="00132E65">
        <w:rPr>
          <w:rtl/>
          <w:lang w:bidi="fa-IR"/>
        </w:rPr>
        <w:t>لَاتَدْرِي مَا قَالَ</w:t>
      </w:r>
      <w:r>
        <w:rPr>
          <w:rtl/>
          <w:lang w:bidi="fa-IR"/>
        </w:rPr>
        <w:t xml:space="preserve"> - </w:t>
      </w:r>
      <w:r w:rsidRPr="00132E65">
        <w:rPr>
          <w:rtl/>
          <w:lang w:bidi="fa-IR"/>
        </w:rPr>
        <w:t>لَعَنَهُ اللهُ</w:t>
      </w:r>
      <w:r>
        <w:rPr>
          <w:rtl/>
          <w:lang w:bidi="fa-IR"/>
        </w:rPr>
        <w:t xml:space="preserve"> - </w:t>
      </w:r>
      <w:r w:rsidRPr="00132E65">
        <w:rPr>
          <w:rtl/>
          <w:lang w:bidi="fa-IR"/>
        </w:rPr>
        <w:t>لِمُحَمَّدِ بْنِ عَلِيٍّ أَبِي</w:t>
      </w:r>
      <w:r>
        <w:rPr>
          <w:rtl/>
          <w:lang w:bidi="fa-IR"/>
        </w:rPr>
        <w:t>؟</w:t>
      </w:r>
      <w:r w:rsidRPr="00132E65">
        <w:rPr>
          <w:rtl/>
          <w:lang w:bidi="fa-IR"/>
        </w:rPr>
        <w:t xml:space="preserve"> » قَالَ : قُلْتُ : لَا ، قَالَ : « خَاطَبَهُ فِي شَيْ‌ءٍ ، فَقَالَ :</w:t>
      </w:r>
      <w:r>
        <w:rPr>
          <w:rFonts w:hint="cs"/>
          <w:rtl/>
          <w:lang w:bidi="fa-IR"/>
        </w:rPr>
        <w:t xml:space="preserve"> </w:t>
      </w:r>
      <w:r w:rsidRPr="00132E65">
        <w:rPr>
          <w:rtl/>
          <w:lang w:bidi="fa-IR"/>
        </w:rPr>
        <w:t xml:space="preserve">أَبِي : اللهُمَّ ، إِنْ كُنْتَ تَعْلَمُ أَنِّي أَمْسَيْتُ لَكَ صَائِماً ، فَأَذِقْهُ طَعْمَ الْحَرَبِ </w:t>
      </w:r>
      <w:r>
        <w:rPr>
          <w:rStyle w:val="libFootnotenumChar"/>
          <w:rtl/>
        </w:rPr>
        <w:t>(4)</w:t>
      </w:r>
      <w:r w:rsidRPr="00132E65">
        <w:rPr>
          <w:rtl/>
          <w:lang w:bidi="fa-IR"/>
        </w:rPr>
        <w:t xml:space="preserve"> ، و</w:t>
      </w:r>
      <w:r w:rsidR="002320BC">
        <w:rPr>
          <w:rFonts w:hint="cs"/>
          <w:rtl/>
          <w:lang w:bidi="fa-IR"/>
        </w:rPr>
        <w:t>َ</w:t>
      </w:r>
      <w:r w:rsidRPr="00132E65">
        <w:rPr>
          <w:rtl/>
          <w:lang w:bidi="fa-IR"/>
        </w:rPr>
        <w:t xml:space="preserve">ذُلَّ الْأَسْرِ ، فَوَ اللهِ ، إِنْ ذَهَبَتِ الْأَيَّامُ حَتّى حُرِبَ </w:t>
      </w:r>
      <w:r>
        <w:rPr>
          <w:rStyle w:val="libFootnotenumChar"/>
          <w:rtl/>
        </w:rPr>
        <w:t>(5)</w:t>
      </w:r>
      <w:r w:rsidRPr="00132E65">
        <w:rPr>
          <w:rtl/>
          <w:lang w:bidi="fa-IR"/>
        </w:rPr>
        <w:t xml:space="preserve"> مَالَهُ و</w:t>
      </w:r>
      <w:r w:rsidR="002320BC">
        <w:rPr>
          <w:rFonts w:hint="cs"/>
          <w:rtl/>
          <w:lang w:bidi="fa-IR"/>
        </w:rPr>
        <w:t>َ</w:t>
      </w:r>
      <w:r w:rsidRPr="00132E65">
        <w:rPr>
          <w:rtl/>
          <w:lang w:bidi="fa-IR"/>
        </w:rPr>
        <w:t>مَا كَانَ لَهُ ، ثُمَّ أُخِذَ أَسِيراً ، و</w:t>
      </w:r>
      <w:r w:rsidR="002320BC">
        <w:rPr>
          <w:rFonts w:hint="cs"/>
          <w:rtl/>
          <w:lang w:bidi="fa-IR"/>
        </w:rPr>
        <w:t>َ</w:t>
      </w:r>
      <w:r w:rsidRPr="00132E65">
        <w:rPr>
          <w:rtl/>
          <w:lang w:bidi="fa-IR"/>
        </w:rPr>
        <w:t xml:space="preserve">هُوَ ذَا </w:t>
      </w:r>
      <w:r>
        <w:rPr>
          <w:rStyle w:val="libFootnotenumChar"/>
          <w:rtl/>
        </w:rPr>
        <w:t>(6)</w:t>
      </w:r>
      <w:r w:rsidRPr="00132E65">
        <w:rPr>
          <w:rtl/>
          <w:lang w:bidi="fa-IR"/>
        </w:rPr>
        <w:t xml:space="preserve"> قَدْ مَاتَ لَارَحِمَهُ اللهُ ، و</w:t>
      </w:r>
      <w:r>
        <w:rPr>
          <w:rFonts w:hint="cs"/>
          <w:rtl/>
          <w:lang w:bidi="fa-IR"/>
        </w:rPr>
        <w:t xml:space="preserve"> </w:t>
      </w:r>
      <w:r>
        <w:rPr>
          <w:rStyle w:val="libFootnotenumChar"/>
          <w:rtl/>
        </w:rPr>
        <w:t>(7)</w:t>
      </w:r>
      <w:r w:rsidRPr="00132E65">
        <w:rPr>
          <w:rtl/>
          <w:lang w:bidi="fa-IR"/>
        </w:rPr>
        <w:t xml:space="preserve"> قَدْ أَدَالَ </w:t>
      </w:r>
      <w:r>
        <w:rPr>
          <w:rStyle w:val="libFootnotenumChar"/>
          <w:rtl/>
        </w:rPr>
        <w:t>(8)</w:t>
      </w:r>
      <w:r w:rsidRPr="00132E65">
        <w:rPr>
          <w:rtl/>
          <w:lang w:bidi="fa-IR"/>
        </w:rPr>
        <w:t xml:space="preserve"> اللهُ</w:t>
      </w:r>
      <w:r>
        <w:rPr>
          <w:rtl/>
          <w:lang w:bidi="fa-IR"/>
        </w:rPr>
        <w:t xml:space="preserve"> - </w:t>
      </w:r>
      <w:r w:rsidRPr="00132E65">
        <w:rPr>
          <w:rtl/>
          <w:lang w:bidi="fa-IR"/>
        </w:rPr>
        <w:t>عَزَّ وجَلَّ</w:t>
      </w:r>
      <w:r>
        <w:rPr>
          <w:rtl/>
          <w:lang w:bidi="fa-IR"/>
        </w:rPr>
        <w:t xml:space="preserve"> - </w:t>
      </w:r>
      <w:r w:rsidRPr="00132E65">
        <w:rPr>
          <w:rtl/>
          <w:lang w:bidi="fa-IR"/>
        </w:rPr>
        <w:t>مِنْهُ ، و</w:t>
      </w:r>
      <w:r w:rsidR="002320BC">
        <w:rPr>
          <w:rFonts w:hint="cs"/>
          <w:rtl/>
          <w:lang w:bidi="fa-IR"/>
        </w:rPr>
        <w:t>َ</w:t>
      </w:r>
      <w:r w:rsidRPr="00132E65">
        <w:rPr>
          <w:rtl/>
          <w:lang w:bidi="fa-IR"/>
        </w:rPr>
        <w:t>مَا زَالَ يُدِيلُ أَوْلِيَاءَهُ مِنْ أَعْدَائِهِ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576DE8">
        <w:rPr>
          <w:rtl/>
        </w:rPr>
        <w:t>1318</w:t>
      </w:r>
      <w:r w:rsidRPr="004325D8">
        <w:rPr>
          <w:rStyle w:val="libBold2Char"/>
          <w:rtl/>
        </w:rPr>
        <w:t xml:space="preserve"> / 10.</w:t>
      </w:r>
      <w:r w:rsidRPr="00132E65">
        <w:rPr>
          <w:rtl/>
          <w:lang w:bidi="fa-IR"/>
        </w:rPr>
        <w:t xml:space="preserve"> أَحْمَدُ بْنُ إِدْرِيسَ ، عَنْ مُحَمَّدِ بْنِ حَسَّانَ ، عَنْ أَبِي هَاشِمٍ الْجَعْفَرِيِّ ، قَالَ :</w:t>
      </w:r>
      <w:r>
        <w:rPr>
          <w:rFonts w:hint="cs"/>
          <w:rtl/>
          <w:lang w:bidi="fa-IR"/>
        </w:rPr>
        <w:t xml:space="preserve"> </w:t>
      </w:r>
      <w:r w:rsidRPr="00132E65">
        <w:rPr>
          <w:rtl/>
          <w:lang w:bidi="fa-IR"/>
        </w:rPr>
        <w:t xml:space="preserve">صَلَّيْتُ مَعَ أَبِي جَعْفَرٍ </w:t>
      </w:r>
      <w:r w:rsidRPr="00071CF9">
        <w:rPr>
          <w:rStyle w:val="libAlaemChar"/>
          <w:rtl/>
        </w:rPr>
        <w:t>عليه‌السلام</w:t>
      </w:r>
      <w:r w:rsidRPr="00132E65">
        <w:rPr>
          <w:rtl/>
          <w:lang w:bidi="fa-IR"/>
        </w:rPr>
        <w:t xml:space="preserve"> فِي مَسْجِدِ الْمُسَيَّبِ </w:t>
      </w:r>
      <w:r>
        <w:rPr>
          <w:rStyle w:val="libFootnotenumChar"/>
          <w:rtl/>
        </w:rPr>
        <w:t>(10)</w:t>
      </w:r>
      <w:r w:rsidRPr="00132E65">
        <w:rPr>
          <w:rtl/>
          <w:lang w:bidi="fa-IR"/>
        </w:rPr>
        <w:t xml:space="preserve"> ، و</w:t>
      </w:r>
      <w:r w:rsidR="002320BC">
        <w:rPr>
          <w:rFonts w:hint="cs"/>
          <w:rtl/>
          <w:lang w:bidi="fa-IR"/>
        </w:rPr>
        <w:t>َ</w:t>
      </w:r>
      <w:r w:rsidRPr="00132E65">
        <w:rPr>
          <w:rtl/>
          <w:lang w:bidi="fa-IR"/>
        </w:rPr>
        <w:t>صَلّى بِنَا فِي مَوْضِعِ الْقِبْلَةِ‌</w:t>
      </w:r>
    </w:p>
    <w:p w:rsidR="000C39D1" w:rsidRPr="00132E65" w:rsidRDefault="000C39D1" w:rsidP="000C39D1">
      <w:pPr>
        <w:pStyle w:val="libLine"/>
        <w:rPr>
          <w:rtl/>
          <w:lang w:bidi="fa-IR"/>
        </w:rPr>
      </w:pPr>
      <w:r w:rsidRPr="00132E65">
        <w:rPr>
          <w:rtl/>
          <w:lang w:bidi="fa-IR"/>
        </w:rPr>
        <w:t>__________________</w:t>
      </w:r>
    </w:p>
    <w:p w:rsidR="000C39D1" w:rsidRPr="00132E65" w:rsidRDefault="002320BC" w:rsidP="002320BC">
      <w:pPr>
        <w:pStyle w:val="libFootnote0"/>
        <w:rPr>
          <w:rtl/>
          <w:lang w:bidi="fa-IR"/>
        </w:rPr>
      </w:pPr>
      <w:r>
        <w:rPr>
          <w:rFonts w:hint="cs"/>
          <w:rtl/>
        </w:rPr>
        <w:t xml:space="preserve">= </w:t>
      </w:r>
      <w:r w:rsidR="000C39D1" w:rsidRPr="00132E65">
        <w:rPr>
          <w:rtl/>
        </w:rPr>
        <w:t xml:space="preserve">المتوكّل سنة ثلاث وثلاثين ومائتين ، وكان حيّاً بعد سنة خمس وثلاثين ومائتين ، فلم يدرك محمّد بن سنان الزهري زمن موته. راجع : </w:t>
      </w:r>
      <w:r w:rsidR="000C39D1" w:rsidRPr="002320BC">
        <w:rPr>
          <w:rStyle w:val="libFootnoteBoldChar"/>
          <w:rtl/>
        </w:rPr>
        <w:t>تاريخ اليعقوبي</w:t>
      </w:r>
      <w:r w:rsidR="000C39D1" w:rsidRPr="00132E65">
        <w:rPr>
          <w:rtl/>
        </w:rPr>
        <w:t xml:space="preserve"> ، ج 2 ، ص 485 ؛ </w:t>
      </w:r>
      <w:r w:rsidR="000C39D1" w:rsidRPr="002320BC">
        <w:rPr>
          <w:rStyle w:val="libFootnoteBoldChar"/>
          <w:rtl/>
        </w:rPr>
        <w:t>مروج الذهب</w:t>
      </w:r>
      <w:r w:rsidR="000C39D1" w:rsidRPr="00132E65">
        <w:rPr>
          <w:rtl/>
        </w:rPr>
        <w:t xml:space="preserve"> ، ج 4 ، ص 19</w:t>
      </w:r>
      <w:r w:rsidR="000C39D1">
        <w:rPr>
          <w:rtl/>
        </w:rPr>
        <w:t xml:space="preserve"> - </w:t>
      </w:r>
      <w:r w:rsidR="000C39D1" w:rsidRPr="00132E65">
        <w:rPr>
          <w:rtl/>
        </w:rPr>
        <w:t>20.</w:t>
      </w:r>
    </w:p>
    <w:p w:rsidR="000C39D1" w:rsidRPr="003B79FD" w:rsidRDefault="000C39D1" w:rsidP="002320BC">
      <w:pPr>
        <w:pStyle w:val="libFootnote0"/>
        <w:rPr>
          <w:rtl/>
        </w:rPr>
      </w:pPr>
      <w:r w:rsidRPr="003B79FD">
        <w:rPr>
          <w:rtl/>
        </w:rPr>
        <w:t>هذا ، ولم يظهر لنا شي‌ء في تعيين المراد من محمّد بن سنان هذا ، أو وقوع التحريف في العنوان.</w:t>
      </w:r>
    </w:p>
    <w:p w:rsidR="000C39D1" w:rsidRPr="003B79FD" w:rsidRDefault="000C39D1" w:rsidP="002320BC">
      <w:pPr>
        <w:pStyle w:val="libFootnote0"/>
        <w:rPr>
          <w:rtl/>
        </w:rPr>
      </w:pPr>
      <w:r w:rsidRPr="003B79FD">
        <w:rPr>
          <w:rtl/>
        </w:rPr>
        <w:t xml:space="preserve">ويؤكّد وقوع الاختلال في السند أنّا لم نجد رواية أحمد بن محمّد بن عبدالله </w:t>
      </w:r>
      <w:r>
        <w:rPr>
          <w:rtl/>
        </w:rPr>
        <w:t>-</w:t>
      </w:r>
      <w:r w:rsidRPr="003B79FD">
        <w:rPr>
          <w:rtl/>
        </w:rPr>
        <w:t xml:space="preserve"> شيخ معلّى بن محمّد </w:t>
      </w:r>
      <w:r>
        <w:rPr>
          <w:rtl/>
        </w:rPr>
        <w:t>-</w:t>
      </w:r>
      <w:r w:rsidRPr="003B79FD">
        <w:rPr>
          <w:rtl/>
        </w:rPr>
        <w:t xml:space="preserve"> عن محمّد بن سنان في موضع.</w:t>
      </w:r>
    </w:p>
    <w:p w:rsidR="000C39D1" w:rsidRPr="00132E65" w:rsidRDefault="000C39D1" w:rsidP="002320BC">
      <w:pPr>
        <w:pStyle w:val="libFootnote0"/>
        <w:rPr>
          <w:rtl/>
          <w:lang w:bidi="fa-IR"/>
        </w:rPr>
      </w:pPr>
      <w:r>
        <w:rPr>
          <w:rtl/>
        </w:rPr>
        <w:t>(1).</w:t>
      </w:r>
      <w:r w:rsidRPr="00132E65">
        <w:rPr>
          <w:rtl/>
        </w:rPr>
        <w:t xml:space="preserve"> في « ف » :</w:t>
      </w:r>
      <w:r>
        <w:rPr>
          <w:rtl/>
        </w:rPr>
        <w:t xml:space="preserve"> + </w:t>
      </w:r>
      <w:r w:rsidRPr="00132E65">
        <w:rPr>
          <w:rtl/>
        </w:rPr>
        <w:t>« لي »</w:t>
      </w:r>
      <w:r>
        <w:rPr>
          <w:rtl/>
        </w:rPr>
        <w:t>.</w:t>
      </w:r>
    </w:p>
    <w:p w:rsidR="000C39D1" w:rsidRPr="00132E65" w:rsidRDefault="000C39D1" w:rsidP="002320BC">
      <w:pPr>
        <w:pStyle w:val="libFootnote0"/>
        <w:rPr>
          <w:rtl/>
          <w:lang w:bidi="fa-IR"/>
        </w:rPr>
      </w:pPr>
      <w:r>
        <w:rPr>
          <w:rtl/>
        </w:rPr>
        <w:t>(2).</w:t>
      </w:r>
      <w:r w:rsidRPr="00132E65">
        <w:rPr>
          <w:rtl/>
        </w:rPr>
        <w:t xml:space="preserve"> في « ف » : « أغدو » من الغدوة. وقوله : « أعدوا » ، من العَدو ، وهو مشي يقرب الهَرْوَلة ، وهو دون الجري. راجع : </w:t>
      </w:r>
      <w:r w:rsidRPr="002320BC">
        <w:rPr>
          <w:rStyle w:val="libFootnoteBoldChar"/>
          <w:rtl/>
        </w:rPr>
        <w:t>المصباح المنير</w:t>
      </w:r>
      <w:r w:rsidRPr="00132E65">
        <w:rPr>
          <w:rtl/>
        </w:rPr>
        <w:t xml:space="preserve"> ، ص 397 ( عدا )</w:t>
      </w:r>
      <w:r>
        <w:rPr>
          <w:rtl/>
        </w:rPr>
        <w:t>.</w:t>
      </w:r>
      <w:r w:rsidR="002320BC">
        <w:rPr>
          <w:rFonts w:hint="cs"/>
          <w:rtl/>
        </w:rPr>
        <w:t xml:space="preserve">                   </w:t>
      </w:r>
      <w:r w:rsidR="0006034E">
        <w:rPr>
          <w:rFonts w:hint="cs"/>
          <w:rtl/>
        </w:rPr>
        <w:t xml:space="preserve"> </w:t>
      </w:r>
      <w:r w:rsidR="002320BC">
        <w:rPr>
          <w:rFonts w:hint="cs"/>
          <w:rtl/>
        </w:rPr>
        <w:t xml:space="preserve">   </w:t>
      </w:r>
      <w:r>
        <w:rPr>
          <w:rtl/>
        </w:rPr>
        <w:t>(3).</w:t>
      </w:r>
      <w:r w:rsidRPr="00132E65">
        <w:rPr>
          <w:rtl/>
        </w:rPr>
        <w:t xml:space="preserve"> في « ف » : « لأظنّك »</w:t>
      </w:r>
      <w:r>
        <w:rPr>
          <w:rtl/>
        </w:rPr>
        <w:t>.</w:t>
      </w:r>
    </w:p>
    <w:p w:rsidR="000C39D1" w:rsidRPr="00132E65" w:rsidRDefault="000C39D1" w:rsidP="002320BC">
      <w:pPr>
        <w:pStyle w:val="libFootnote0"/>
        <w:rPr>
          <w:rtl/>
          <w:lang w:bidi="fa-IR"/>
        </w:rPr>
      </w:pPr>
      <w:r>
        <w:rPr>
          <w:rtl/>
        </w:rPr>
        <w:t>(4).</w:t>
      </w:r>
      <w:r w:rsidRPr="00132E65">
        <w:rPr>
          <w:rtl/>
        </w:rPr>
        <w:t xml:space="preserve"> « الحَرَب » بالتحريك : نهب مال الإنسان وتركه لا شي‌ء له. راجع : </w:t>
      </w:r>
      <w:r w:rsidRPr="002320BC">
        <w:rPr>
          <w:rStyle w:val="libFootnoteBoldChar"/>
          <w:rtl/>
        </w:rPr>
        <w:t>النهاية</w:t>
      </w:r>
      <w:r w:rsidRPr="00132E65">
        <w:rPr>
          <w:rtl/>
        </w:rPr>
        <w:t xml:space="preserve"> ، ج 1 ، ص 358 ؛ </w:t>
      </w:r>
      <w:r w:rsidRPr="009D1ACE">
        <w:rPr>
          <w:rStyle w:val="libFootnoteBoldChar"/>
          <w:rtl/>
        </w:rPr>
        <w:t>لسان العرب</w:t>
      </w:r>
      <w:r w:rsidRPr="00576DE8">
        <w:rPr>
          <w:rtl/>
        </w:rPr>
        <w:t xml:space="preserve"> </w:t>
      </w:r>
      <w:r w:rsidRPr="00132E65">
        <w:rPr>
          <w:rtl/>
        </w:rPr>
        <w:t>، ج 1 ، ص 304 ( حرب )</w:t>
      </w:r>
      <w:r>
        <w:rPr>
          <w:rtl/>
        </w:rPr>
        <w:t>.</w:t>
      </w:r>
      <w:r w:rsidR="002320BC">
        <w:rPr>
          <w:rFonts w:hint="cs"/>
          <w:rtl/>
        </w:rPr>
        <w:t xml:space="preserve">                                   </w:t>
      </w:r>
      <w:r w:rsidR="0006034E">
        <w:rPr>
          <w:rFonts w:hint="cs"/>
          <w:rtl/>
        </w:rPr>
        <w:t xml:space="preserve"> </w:t>
      </w:r>
      <w:r w:rsidR="002320BC">
        <w:rPr>
          <w:rFonts w:hint="cs"/>
          <w:rtl/>
        </w:rPr>
        <w:t xml:space="preserve">    </w:t>
      </w:r>
      <w:r>
        <w:rPr>
          <w:rtl/>
        </w:rPr>
        <w:t>(5).</w:t>
      </w:r>
      <w:r w:rsidRPr="00132E65">
        <w:rPr>
          <w:rtl/>
        </w:rPr>
        <w:t xml:space="preserve"> في « ف » : « حربه »</w:t>
      </w:r>
      <w:r>
        <w:rPr>
          <w:rtl/>
        </w:rPr>
        <w:t>.</w:t>
      </w:r>
    </w:p>
    <w:tbl>
      <w:tblPr>
        <w:tblStyle w:val="TableGrid"/>
        <w:bidiVisual/>
        <w:tblW w:w="0" w:type="auto"/>
        <w:tblLook w:val="04A0" w:firstRow="1" w:lastRow="0" w:firstColumn="1" w:lastColumn="0" w:noHBand="0" w:noVBand="1"/>
      </w:tblPr>
      <w:tblGrid>
        <w:gridCol w:w="4261"/>
        <w:gridCol w:w="4262"/>
      </w:tblGrid>
      <w:tr w:rsidR="002320BC" w:rsidTr="002320BC">
        <w:tc>
          <w:tcPr>
            <w:tcW w:w="4261" w:type="dxa"/>
          </w:tcPr>
          <w:p w:rsidR="002320BC" w:rsidRDefault="002320BC" w:rsidP="002320BC">
            <w:pPr>
              <w:pStyle w:val="libFootnote0"/>
              <w:rPr>
                <w:rtl/>
              </w:rPr>
            </w:pPr>
            <w:r>
              <w:rPr>
                <w:rtl/>
              </w:rPr>
              <w:t>(6).</w:t>
            </w:r>
            <w:r w:rsidRPr="00132E65">
              <w:rPr>
                <w:rtl/>
              </w:rPr>
              <w:t xml:space="preserve"> في « ف » </w:t>
            </w:r>
            <w:r>
              <w:rPr>
                <w:rtl/>
              </w:rPr>
              <w:t xml:space="preserve">: - </w:t>
            </w:r>
            <w:r w:rsidRPr="00132E65">
              <w:rPr>
                <w:rtl/>
              </w:rPr>
              <w:t>« وهو ذا »</w:t>
            </w:r>
            <w:r>
              <w:rPr>
                <w:rtl/>
              </w:rPr>
              <w:t>.</w:t>
            </w:r>
          </w:p>
        </w:tc>
        <w:tc>
          <w:tcPr>
            <w:tcW w:w="4262" w:type="dxa"/>
          </w:tcPr>
          <w:p w:rsidR="002320BC" w:rsidRDefault="002320BC" w:rsidP="002320BC">
            <w:pPr>
              <w:pStyle w:val="libFootnote0"/>
              <w:rPr>
                <w:rtl/>
              </w:rPr>
            </w:pPr>
            <w:r>
              <w:rPr>
                <w:rtl/>
              </w:rPr>
              <w:t>(7).</w:t>
            </w:r>
            <w:r w:rsidRPr="00132E65">
              <w:rPr>
                <w:rtl/>
              </w:rPr>
              <w:t xml:space="preserve"> في « بر » </w:t>
            </w:r>
            <w:r>
              <w:rPr>
                <w:rtl/>
              </w:rPr>
              <w:t xml:space="preserve">: - </w:t>
            </w:r>
            <w:r w:rsidRPr="00132E65">
              <w:rPr>
                <w:rtl/>
              </w:rPr>
              <w:t>«</w:t>
            </w:r>
            <w:r>
              <w:rPr>
                <w:rtl/>
              </w:rPr>
              <w:t xml:space="preserve"> و ».</w:t>
            </w:r>
          </w:p>
        </w:tc>
      </w:tr>
    </w:tbl>
    <w:p w:rsidR="000C39D1" w:rsidRPr="00132E65" w:rsidRDefault="000C39D1" w:rsidP="002320BC">
      <w:pPr>
        <w:pStyle w:val="libFootnote0"/>
        <w:rPr>
          <w:rtl/>
          <w:lang w:bidi="fa-IR"/>
        </w:rPr>
      </w:pPr>
      <w:r>
        <w:rPr>
          <w:rtl/>
        </w:rPr>
        <w:t>(8).</w:t>
      </w:r>
      <w:r w:rsidRPr="00132E65">
        <w:rPr>
          <w:rtl/>
        </w:rPr>
        <w:t xml:space="preserve"> « الدَوْلَةُ » : الفعل والانتقال من حال إلى حال ، أو الانتقال من حال الشدّة إلى الرخاء. ومنه : أدالنا اللهُ تعالى من عدوّنا ، أي جعل الكرّة والدولة لنا عليه. قال الزمخشري : « تقول : أدال الله زيداً من عمرو مجازاً : نزع الله الدولة من عمرو فآتاها زيداً. » راجع : </w:t>
      </w:r>
      <w:r w:rsidRPr="00576DE8">
        <w:rPr>
          <w:rtl/>
        </w:rPr>
        <w:t>الفائق</w:t>
      </w:r>
      <w:r w:rsidRPr="00132E65">
        <w:rPr>
          <w:rtl/>
        </w:rPr>
        <w:t xml:space="preserve"> ، ج 2 ، ص 446 ؛ </w:t>
      </w:r>
      <w:r w:rsidRPr="009D1ACE">
        <w:rPr>
          <w:rStyle w:val="libFootnoteBoldChar"/>
          <w:rtl/>
        </w:rPr>
        <w:t>لسان العرب</w:t>
      </w:r>
      <w:r w:rsidRPr="00132E65">
        <w:rPr>
          <w:rtl/>
        </w:rPr>
        <w:t xml:space="preserve"> ، ج 11 ، ص 252 ( دول )</w:t>
      </w:r>
      <w:r>
        <w:rPr>
          <w:rtl/>
        </w:rPr>
        <w:t>.</w:t>
      </w:r>
    </w:p>
    <w:tbl>
      <w:tblPr>
        <w:tblStyle w:val="TableGrid"/>
        <w:bidiVisual/>
        <w:tblW w:w="0" w:type="auto"/>
        <w:tblLook w:val="04A0" w:firstRow="1" w:lastRow="0" w:firstColumn="1" w:lastColumn="0" w:noHBand="0" w:noVBand="1"/>
      </w:tblPr>
      <w:tblGrid>
        <w:gridCol w:w="4261"/>
        <w:gridCol w:w="4262"/>
      </w:tblGrid>
      <w:tr w:rsidR="002320BC" w:rsidTr="002320BC">
        <w:tc>
          <w:tcPr>
            <w:tcW w:w="4261" w:type="dxa"/>
          </w:tcPr>
          <w:p w:rsidR="002320BC" w:rsidRDefault="002320BC" w:rsidP="002320BC">
            <w:pPr>
              <w:pStyle w:val="libFootnote0"/>
              <w:rPr>
                <w:rtl/>
              </w:rPr>
            </w:pPr>
            <w:r>
              <w:rPr>
                <w:rtl/>
              </w:rPr>
              <w:t>(9).</w:t>
            </w:r>
            <w:r w:rsidRPr="00132E65">
              <w:rPr>
                <w:rtl/>
              </w:rPr>
              <w:t xml:space="preserve"> </w:t>
            </w:r>
            <w:r w:rsidRPr="009D1ACE">
              <w:rPr>
                <w:rStyle w:val="libFootnoteBoldChar"/>
                <w:rtl/>
              </w:rPr>
              <w:t>الوافي</w:t>
            </w:r>
            <w:r w:rsidRPr="00132E65">
              <w:rPr>
                <w:rtl/>
              </w:rPr>
              <w:t xml:space="preserve"> ، ج 3 ، ص 830 ، ح 1442.</w:t>
            </w:r>
          </w:p>
        </w:tc>
        <w:tc>
          <w:tcPr>
            <w:tcW w:w="4262" w:type="dxa"/>
          </w:tcPr>
          <w:p w:rsidR="002320BC" w:rsidRDefault="002320BC" w:rsidP="002320BC">
            <w:pPr>
              <w:pStyle w:val="libFootnote0"/>
              <w:rPr>
                <w:rtl/>
              </w:rPr>
            </w:pPr>
            <w:r>
              <w:rPr>
                <w:rtl/>
              </w:rPr>
              <w:t>(10). في «ب ، ج» وحاشية «بح ، بر</w:t>
            </w:r>
            <w:r w:rsidRPr="00132E65">
              <w:rPr>
                <w:rtl/>
              </w:rPr>
              <w:t>» : « السدرة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سَوَاءً </w:t>
      </w:r>
      <w:r>
        <w:rPr>
          <w:rStyle w:val="libFootnotenumChar"/>
          <w:rtl/>
        </w:rPr>
        <w:t>(1)</w:t>
      </w:r>
      <w:r w:rsidRPr="00132E65">
        <w:rPr>
          <w:rtl/>
          <w:lang w:bidi="fa-IR"/>
        </w:rPr>
        <w:t xml:space="preserve"> ، و</w:t>
      </w:r>
      <w:r w:rsidR="002320BC">
        <w:rPr>
          <w:rFonts w:hint="cs"/>
          <w:rtl/>
          <w:lang w:bidi="fa-IR"/>
        </w:rPr>
        <w:t>َ</w:t>
      </w:r>
      <w:r w:rsidRPr="00132E65">
        <w:rPr>
          <w:rtl/>
          <w:lang w:bidi="fa-IR"/>
        </w:rPr>
        <w:t xml:space="preserve">ذُكِرَ </w:t>
      </w:r>
      <w:r>
        <w:rPr>
          <w:rStyle w:val="libFootnotenumChar"/>
          <w:rtl/>
        </w:rPr>
        <w:t>(2)</w:t>
      </w:r>
      <w:r w:rsidRPr="00132E65">
        <w:rPr>
          <w:rtl/>
          <w:lang w:bidi="fa-IR"/>
        </w:rPr>
        <w:t xml:space="preserve"> أَنَّ السِّدْرَةَ الَّتِي فِي الْمَسْجِدِ كَانَتْ يَابِسَةً </w:t>
      </w:r>
      <w:r>
        <w:rPr>
          <w:rStyle w:val="libFootnotenumChar"/>
          <w:rtl/>
        </w:rPr>
        <w:t>(3)</w:t>
      </w:r>
      <w:r w:rsidRPr="00132E65">
        <w:rPr>
          <w:rtl/>
          <w:lang w:bidi="fa-IR"/>
        </w:rPr>
        <w:t xml:space="preserve"> لَيْسَ عَلَيْهَا ورَقٌ ، فَدَعَا بِمَاءٍ ، وَتَهَيَّأَ </w:t>
      </w:r>
      <w:r>
        <w:rPr>
          <w:rStyle w:val="libFootnotenumChar"/>
          <w:rtl/>
        </w:rPr>
        <w:t>(4)</w:t>
      </w:r>
      <w:r w:rsidRPr="00132E65">
        <w:rPr>
          <w:rtl/>
          <w:lang w:bidi="fa-IR"/>
        </w:rPr>
        <w:t xml:space="preserve"> تَحْتَ السِّدْرَةِ ، فَعَاشَتِ السِّدْرَةُ و</w:t>
      </w:r>
      <w:r w:rsidR="002320BC">
        <w:rPr>
          <w:rFonts w:hint="cs"/>
          <w:rtl/>
          <w:lang w:bidi="fa-IR"/>
        </w:rPr>
        <w:t xml:space="preserve">َ </w:t>
      </w:r>
      <w:r w:rsidRPr="00132E65">
        <w:rPr>
          <w:rtl/>
          <w:lang w:bidi="fa-IR"/>
        </w:rPr>
        <w:t>أَوْرَقَتْ ، و</w:t>
      </w:r>
      <w:r w:rsidR="002320BC">
        <w:rPr>
          <w:rFonts w:hint="cs"/>
          <w:rtl/>
          <w:lang w:bidi="fa-IR"/>
        </w:rPr>
        <w:t xml:space="preserve">َ </w:t>
      </w:r>
      <w:r w:rsidRPr="00132E65">
        <w:rPr>
          <w:rtl/>
          <w:lang w:bidi="fa-IR"/>
        </w:rPr>
        <w:t xml:space="preserve">حَمَلَتْ مِنْ </w:t>
      </w:r>
      <w:r>
        <w:rPr>
          <w:rStyle w:val="libFootnotenumChar"/>
          <w:rtl/>
        </w:rPr>
        <w:t>(5)</w:t>
      </w:r>
      <w:r w:rsidRPr="00132E65">
        <w:rPr>
          <w:rtl/>
          <w:lang w:bidi="fa-IR"/>
        </w:rPr>
        <w:t xml:space="preserve"> عَامِهَا.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576DE8">
        <w:rPr>
          <w:rtl/>
        </w:rPr>
        <w:t>1319</w:t>
      </w:r>
      <w:r w:rsidRPr="004325D8">
        <w:rPr>
          <w:rStyle w:val="libBold2Char"/>
          <w:rtl/>
        </w:rPr>
        <w:t xml:space="preserve"> / 11.</w:t>
      </w:r>
      <w:r w:rsidRPr="00132E65">
        <w:rPr>
          <w:rtl/>
          <w:lang w:bidi="fa-IR"/>
        </w:rPr>
        <w:t xml:space="preserve"> عِدَّةٌ مِنْ أَصْحَابِنَا ، عَنْ أَحْمَدَ بْنِ مُحَمَّدٍ ، عَنِ الْحَجَّالِ و</w:t>
      </w:r>
      <w:r w:rsidR="002320BC">
        <w:rPr>
          <w:rFonts w:hint="cs"/>
          <w:rtl/>
          <w:lang w:bidi="fa-IR"/>
        </w:rPr>
        <w:t xml:space="preserve">َ </w:t>
      </w:r>
      <w:r w:rsidRPr="00132E65">
        <w:rPr>
          <w:rtl/>
          <w:lang w:bidi="fa-IR"/>
        </w:rPr>
        <w:t xml:space="preserve">عَمْرِو بْنِ عُثْمَانَ ، عَنْ رَجُلٍ مِنْ أَهْلِ الْمَدِينَةِ ، عَنِ الْمُطَرِّفِيِّ </w:t>
      </w:r>
      <w:r>
        <w:rPr>
          <w:rStyle w:val="libFootnotenumChar"/>
          <w:rtl/>
        </w:rPr>
        <w:t>(7)</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مَضى أَبُو الْحَسَنِ الرِّضَا </w:t>
      </w:r>
      <w:r w:rsidRPr="00071CF9">
        <w:rPr>
          <w:rStyle w:val="libAlaemChar"/>
          <w:rtl/>
        </w:rPr>
        <w:t>عليه‌السلام</w:t>
      </w:r>
      <w:r w:rsidRPr="00132E65">
        <w:rPr>
          <w:rtl/>
          <w:lang w:bidi="fa-IR"/>
        </w:rPr>
        <w:t xml:space="preserve"> و</w:t>
      </w:r>
      <w:r w:rsidR="002320BC">
        <w:rPr>
          <w:rFonts w:hint="cs"/>
          <w:rtl/>
          <w:lang w:bidi="fa-IR"/>
        </w:rPr>
        <w:t>َ</w:t>
      </w:r>
      <w:r w:rsidRPr="00132E65">
        <w:rPr>
          <w:rtl/>
          <w:lang w:bidi="fa-IR"/>
        </w:rPr>
        <w:t xml:space="preserve">لِيَ عَلَيْهِ أَرْبَعَةُ آلَافِ دِرْهَمٍ ، فَقُلْتُ فِي نَفْسِي : ذَهَبَ مَالِي </w:t>
      </w:r>
      <w:r>
        <w:rPr>
          <w:rStyle w:val="libFootnotenumChar"/>
          <w:rtl/>
        </w:rPr>
        <w:t>(8)</w:t>
      </w:r>
      <w:r w:rsidRPr="00132E65">
        <w:rPr>
          <w:rtl/>
          <w:lang w:bidi="fa-IR"/>
        </w:rPr>
        <w:t xml:space="preserve"> ، فَأَرْسَلَ إِلَيَّ أَبُو جَعْفَرٍ </w:t>
      </w:r>
      <w:r w:rsidRPr="00071CF9">
        <w:rPr>
          <w:rStyle w:val="libAlaemChar"/>
          <w:rtl/>
        </w:rPr>
        <w:t>عليه‌السلام</w:t>
      </w:r>
      <w:r w:rsidRPr="00132E65">
        <w:rPr>
          <w:rtl/>
          <w:lang w:bidi="fa-IR"/>
        </w:rPr>
        <w:t xml:space="preserve"> : « إِذَا كَانَ غَداً فَأْتِنِي ، و</w:t>
      </w:r>
      <w:r w:rsidR="002320BC">
        <w:rPr>
          <w:rFonts w:hint="cs"/>
          <w:rtl/>
          <w:lang w:bidi="fa-IR"/>
        </w:rPr>
        <w:t>َ</w:t>
      </w:r>
      <w:r w:rsidRPr="00132E65">
        <w:rPr>
          <w:rtl/>
          <w:lang w:bidi="fa-IR"/>
        </w:rPr>
        <w:t xml:space="preserve">لْيَكُنْ مَعَكَ مِيزَانٌ وَأَوْزَانٌ </w:t>
      </w:r>
      <w:r>
        <w:rPr>
          <w:rStyle w:val="libFootnotenumChar"/>
          <w:rtl/>
        </w:rPr>
        <w:t>(9)</w:t>
      </w:r>
      <w:r w:rsidRPr="00132E65">
        <w:rPr>
          <w:rtl/>
          <w:lang w:bidi="fa-IR"/>
        </w:rPr>
        <w:t xml:space="preserve"> »</w:t>
      </w:r>
      <w:r>
        <w:rPr>
          <w:rtl/>
          <w:lang w:bidi="fa-IR"/>
        </w:rPr>
        <w:t>.</w:t>
      </w:r>
    </w:p>
    <w:p w:rsidR="000C39D1" w:rsidRPr="00132E65" w:rsidRDefault="000C39D1" w:rsidP="00411FE2">
      <w:pPr>
        <w:pStyle w:val="libNormal"/>
        <w:rPr>
          <w:rtl/>
          <w:lang w:bidi="fa-IR"/>
        </w:rPr>
      </w:pPr>
      <w:r w:rsidRPr="00132E65">
        <w:rPr>
          <w:rtl/>
          <w:lang w:bidi="fa-IR"/>
        </w:rPr>
        <w:t xml:space="preserve">فَدَخَلْتُ عَلى أَبِي جَعْفَرٍ </w:t>
      </w:r>
      <w:r w:rsidRPr="00071CF9">
        <w:rPr>
          <w:rStyle w:val="libAlaemChar"/>
          <w:rtl/>
        </w:rPr>
        <w:t>عليه‌السلام</w:t>
      </w:r>
      <w:r w:rsidRPr="00132E65">
        <w:rPr>
          <w:rtl/>
          <w:lang w:bidi="fa-IR"/>
        </w:rPr>
        <w:t xml:space="preserve"> </w:t>
      </w:r>
      <w:r>
        <w:rPr>
          <w:rStyle w:val="libFootnotenumChar"/>
          <w:rtl/>
        </w:rPr>
        <w:t>(10)</w:t>
      </w:r>
      <w:r w:rsidRPr="00132E65">
        <w:rPr>
          <w:rtl/>
          <w:lang w:bidi="fa-IR"/>
        </w:rPr>
        <w:t xml:space="preserve"> ، فَقَالَ لِي : « مَضى أَبُو الْحَسَنِ </w:t>
      </w:r>
      <w:r w:rsidRPr="00071CF9">
        <w:rPr>
          <w:rStyle w:val="libAlaemChar"/>
          <w:rtl/>
        </w:rPr>
        <w:t>عليه‌السلام</w:t>
      </w:r>
      <w:r w:rsidRPr="00132E65">
        <w:rPr>
          <w:rtl/>
          <w:lang w:bidi="fa-IR"/>
        </w:rPr>
        <w:t xml:space="preserve"> ، و</w:t>
      </w:r>
      <w:r w:rsidR="002320BC">
        <w:rPr>
          <w:rFonts w:hint="cs"/>
          <w:rtl/>
          <w:lang w:bidi="fa-IR"/>
        </w:rPr>
        <w:t>َ</w:t>
      </w:r>
      <w:r w:rsidRPr="00132E65">
        <w:rPr>
          <w:rtl/>
          <w:lang w:bidi="fa-IR"/>
        </w:rPr>
        <w:t>لَكَ عَلَيْهِ أَرْبَعَةُ آلَافِ دِرْهَمٍ</w:t>
      </w:r>
      <w:r>
        <w:rPr>
          <w:rtl/>
          <w:lang w:bidi="fa-IR"/>
        </w:rPr>
        <w:t>؟</w:t>
      </w:r>
      <w:r w:rsidRPr="00132E65">
        <w:rPr>
          <w:rtl/>
          <w:lang w:bidi="fa-IR"/>
        </w:rPr>
        <w:t xml:space="preserve"> » فَقُلْتُ : نَعَمْ ، فَرَفَعَ الْمُصَلَّى الَّذِي كَانَ تَحْتَهُ ، فَإِذَا تَحْتَهُ دَنَانِيرُ ، فَدَفَعَهَا إِلَيَّ </w:t>
      </w:r>
      <w:r>
        <w:rPr>
          <w:rStyle w:val="libFootnotenumChar"/>
          <w:rtl/>
        </w:rPr>
        <w:t>(11)</w:t>
      </w:r>
      <w:r w:rsidR="00411FE2">
        <w:rPr>
          <w:rFonts w:hint="cs"/>
          <w:rtl/>
          <w:lang w:bidi="fa-IR"/>
        </w:rPr>
        <w:t>.</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576DE8">
        <w:rPr>
          <w:rtl/>
        </w:rPr>
        <w:t>1320</w:t>
      </w:r>
      <w:r w:rsidRPr="004325D8">
        <w:rPr>
          <w:rStyle w:val="libBold2Char"/>
          <w:rtl/>
        </w:rPr>
        <w:t xml:space="preserve"> / 12.</w:t>
      </w:r>
      <w:r w:rsidRPr="00132E65">
        <w:rPr>
          <w:rtl/>
          <w:lang w:bidi="fa-IR"/>
        </w:rPr>
        <w:t xml:space="preserve"> سَعْدُ بْنُ عَبْدِ اللهِ و</w:t>
      </w:r>
      <w:r w:rsidR="00411FE2">
        <w:rPr>
          <w:rFonts w:hint="cs"/>
          <w:rtl/>
          <w:lang w:bidi="fa-IR"/>
        </w:rPr>
        <w:t xml:space="preserve">َ </w:t>
      </w:r>
      <w:r w:rsidRPr="00132E65">
        <w:rPr>
          <w:rtl/>
          <w:lang w:bidi="fa-IR"/>
        </w:rPr>
        <w:t xml:space="preserve">الْحِمْيَرِيُّ جَمِيعاً ، عَنْ إِبْرَاهِيمَ بْنِ مَهْزِيَارَ ، عَنْ أَخِيهِ عَلِيٍّ ، عَنِ الْحُسَيْنِ </w:t>
      </w:r>
      <w:r w:rsidRPr="00F543F1">
        <w:rPr>
          <w:rStyle w:val="libFootnotenumChar"/>
          <w:rtl/>
        </w:rPr>
        <w:t>(13)</w:t>
      </w:r>
      <w:r w:rsidRPr="00132E65">
        <w:rPr>
          <w:rtl/>
          <w:lang w:bidi="fa-IR"/>
        </w:rPr>
        <w:t xml:space="preserve"> بْنِ سَعِيدٍ ، عَنْ مُحَمَّدِ بْنِ سِنَانٍ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سواء ، أي من غير انحراف عن الجدار »</w:t>
      </w:r>
      <w:r>
        <w:rPr>
          <w:rtl/>
        </w:rPr>
        <w:t>.</w:t>
      </w:r>
    </w:p>
    <w:p w:rsidR="000C39D1" w:rsidRPr="00132E65" w:rsidRDefault="000C39D1" w:rsidP="000C39D1">
      <w:pPr>
        <w:pStyle w:val="libFootnote0"/>
        <w:rPr>
          <w:rtl/>
          <w:lang w:bidi="fa-IR"/>
        </w:rPr>
      </w:pPr>
      <w:r>
        <w:rPr>
          <w:rtl/>
        </w:rPr>
        <w:t>(2).</w:t>
      </w:r>
      <w:r w:rsidRPr="00132E65">
        <w:rPr>
          <w:rtl/>
        </w:rPr>
        <w:t xml:space="preserve"> الظاهر من </w:t>
      </w:r>
      <w:r w:rsidRPr="009D1ACE">
        <w:rPr>
          <w:rStyle w:val="libFootnoteBoldChar"/>
          <w:rtl/>
        </w:rPr>
        <w:t>الوافي</w:t>
      </w:r>
      <w:r w:rsidRPr="00132E65">
        <w:rPr>
          <w:rtl/>
        </w:rPr>
        <w:t xml:space="preserve"> كونه معلوماً ؛ حيث قال : « وذكر ، أي الجعفريّ »</w:t>
      </w:r>
      <w:r>
        <w:rPr>
          <w:rtl/>
        </w:rPr>
        <w:t>.</w:t>
      </w:r>
    </w:p>
    <w:p w:rsidR="000C39D1" w:rsidRPr="00132E65" w:rsidRDefault="000C39D1" w:rsidP="000C39D1">
      <w:pPr>
        <w:pStyle w:val="libFootnote0"/>
        <w:rPr>
          <w:rtl/>
          <w:lang w:bidi="fa-IR"/>
        </w:rPr>
      </w:pPr>
      <w:r>
        <w:rPr>
          <w:rtl/>
        </w:rPr>
        <w:t>(3).</w:t>
      </w:r>
      <w:r w:rsidRPr="00132E65">
        <w:rPr>
          <w:rtl/>
        </w:rPr>
        <w:t xml:space="preserve"> في « ج ، بس » : وحاشية « بح » : « راسية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وتهيّأ ، يعني للصلاة ، كنّى بها عن الوضوء »</w:t>
      </w:r>
      <w:r>
        <w:rPr>
          <w:rtl/>
        </w:rPr>
        <w:t>.</w:t>
      </w:r>
    </w:p>
    <w:tbl>
      <w:tblPr>
        <w:tblStyle w:val="TableGrid"/>
        <w:bidiVisual/>
        <w:tblW w:w="0" w:type="auto"/>
        <w:tblLook w:val="04A0" w:firstRow="1" w:lastRow="0" w:firstColumn="1" w:lastColumn="0" w:noHBand="0" w:noVBand="1"/>
      </w:tblPr>
      <w:tblGrid>
        <w:gridCol w:w="4261"/>
        <w:gridCol w:w="4262"/>
      </w:tblGrid>
      <w:tr w:rsidR="00411FE2" w:rsidTr="00411FE2">
        <w:tc>
          <w:tcPr>
            <w:tcW w:w="4261" w:type="dxa"/>
          </w:tcPr>
          <w:p w:rsidR="00411FE2" w:rsidRDefault="00411FE2" w:rsidP="000C39D1">
            <w:pPr>
              <w:pStyle w:val="libFootnote0"/>
              <w:rPr>
                <w:rtl/>
              </w:rPr>
            </w:pPr>
            <w:r>
              <w:rPr>
                <w:rtl/>
              </w:rPr>
              <w:t>(5).</w:t>
            </w:r>
            <w:r w:rsidRPr="00132E65">
              <w:rPr>
                <w:rtl/>
              </w:rPr>
              <w:t xml:space="preserve"> في حاشية « بف » : « في »</w:t>
            </w:r>
            <w:r>
              <w:rPr>
                <w:rtl/>
              </w:rPr>
              <w:t>.</w:t>
            </w:r>
          </w:p>
        </w:tc>
        <w:tc>
          <w:tcPr>
            <w:tcW w:w="4262" w:type="dxa"/>
          </w:tcPr>
          <w:p w:rsidR="00411FE2" w:rsidRDefault="00411FE2" w:rsidP="000C39D1">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3 ، ص 831 ، ح 1443.</w:t>
            </w:r>
          </w:p>
        </w:tc>
      </w:tr>
    </w:tbl>
    <w:p w:rsidR="000C39D1" w:rsidRPr="00132E65" w:rsidRDefault="000C39D1" w:rsidP="000C39D1">
      <w:pPr>
        <w:pStyle w:val="libFootnote0"/>
        <w:rPr>
          <w:rtl/>
          <w:lang w:bidi="fa-IR"/>
        </w:rPr>
      </w:pPr>
      <w:r>
        <w:rPr>
          <w:rtl/>
        </w:rPr>
        <w:t>(7).</w:t>
      </w:r>
      <w:r w:rsidR="00411FE2">
        <w:rPr>
          <w:rtl/>
        </w:rPr>
        <w:t xml:space="preserve"> في « ج » : « الم</w:t>
      </w:r>
      <w:r w:rsidR="00411FE2">
        <w:rPr>
          <w:rFonts w:hint="cs"/>
          <w:rtl/>
        </w:rPr>
        <w:t>ـُ</w:t>
      </w:r>
      <w:r w:rsidRPr="00132E65">
        <w:rPr>
          <w:rtl/>
        </w:rPr>
        <w:t>طْرَقي »</w:t>
      </w:r>
      <w:r>
        <w:rPr>
          <w:rtl/>
        </w:rPr>
        <w:t>.</w:t>
      </w:r>
    </w:p>
    <w:p w:rsidR="000C39D1" w:rsidRPr="00132E65" w:rsidRDefault="000C39D1" w:rsidP="000C39D1">
      <w:pPr>
        <w:pStyle w:val="libFootnote0"/>
        <w:rPr>
          <w:rtl/>
          <w:lang w:bidi="fa-IR"/>
        </w:rPr>
      </w:pPr>
      <w:r>
        <w:rPr>
          <w:rtl/>
        </w:rPr>
        <w:t>(8).</w:t>
      </w:r>
      <w:r w:rsidRPr="00132E65">
        <w:rPr>
          <w:rtl/>
        </w:rPr>
        <w:t xml:space="preserve"> في الإرشاد : « لم يكن يعرفها غيري وغيره » بدل « فقلت في نفسي ذهب مالي »</w:t>
      </w:r>
      <w:r>
        <w:rPr>
          <w:rtl/>
        </w:rPr>
        <w:t>.</w:t>
      </w:r>
    </w:p>
    <w:p w:rsidR="000C39D1" w:rsidRPr="00132E65" w:rsidRDefault="000C39D1" w:rsidP="000C39D1">
      <w:pPr>
        <w:pStyle w:val="libFootnote0"/>
        <w:rPr>
          <w:rtl/>
          <w:lang w:bidi="fa-IR"/>
        </w:rPr>
      </w:pPr>
      <w:r>
        <w:rPr>
          <w:rtl/>
        </w:rPr>
        <w:t>(9).</w:t>
      </w:r>
      <w:r w:rsidRPr="00132E65">
        <w:rPr>
          <w:rtl/>
        </w:rPr>
        <w:t xml:space="preserve"> « الأوزان » : جمع الوَزْن ، وهو المثقال. والميزان ، أي ما يُوزَن به. راجع : </w:t>
      </w:r>
      <w:r w:rsidRPr="009D1ACE">
        <w:rPr>
          <w:rStyle w:val="libFootnoteBoldChar"/>
          <w:rtl/>
        </w:rPr>
        <w:t>لسان العرب</w:t>
      </w:r>
      <w:r w:rsidRPr="00132E65">
        <w:rPr>
          <w:rtl/>
        </w:rPr>
        <w:t xml:space="preserve"> ، ج 13 ، ص 448 ( وزن )</w:t>
      </w:r>
      <w:r>
        <w:rPr>
          <w:rtl/>
        </w:rPr>
        <w:t>.</w:t>
      </w:r>
    </w:p>
    <w:p w:rsidR="000C39D1" w:rsidRPr="00132E65" w:rsidRDefault="000C39D1" w:rsidP="000C39D1">
      <w:pPr>
        <w:pStyle w:val="libFootnote0"/>
        <w:rPr>
          <w:rtl/>
          <w:lang w:bidi="fa-IR"/>
        </w:rPr>
      </w:pPr>
      <w:r>
        <w:rPr>
          <w:rtl/>
        </w:rPr>
        <w:t>(10).</w:t>
      </w:r>
      <w:r w:rsidRPr="00132E65">
        <w:rPr>
          <w:rtl/>
        </w:rPr>
        <w:t xml:space="preserve"> في الإرشاد : « إذا كان في غد فأتني ، فأتيته من الغد » بدل « إذا كان غداً</w:t>
      </w:r>
      <w:r>
        <w:rPr>
          <w:rtl/>
        </w:rPr>
        <w:t xml:space="preserve"> - </w:t>
      </w:r>
      <w:r w:rsidRPr="00132E65">
        <w:rPr>
          <w:rtl/>
        </w:rPr>
        <w:t>إلى</w:t>
      </w:r>
      <w:r>
        <w:rPr>
          <w:rtl/>
        </w:rPr>
        <w:t xml:space="preserve"> - </w:t>
      </w:r>
      <w:r w:rsidRPr="00132E65">
        <w:rPr>
          <w:rtl/>
        </w:rPr>
        <w:t xml:space="preserve">أبي جعفر </w:t>
      </w:r>
      <w:r w:rsidRPr="00411FE2">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(11).</w:t>
      </w:r>
      <w:r w:rsidRPr="00132E65">
        <w:rPr>
          <w:rtl/>
        </w:rPr>
        <w:t xml:space="preserve"> في الإرشاد :</w:t>
      </w:r>
      <w:r>
        <w:rPr>
          <w:rtl/>
        </w:rPr>
        <w:t xml:space="preserve"> + </w:t>
      </w:r>
      <w:r w:rsidRPr="00132E65">
        <w:rPr>
          <w:rtl/>
        </w:rPr>
        <w:t>« فكان قيمتها في الوقت أربعة آلاف درهم »</w:t>
      </w:r>
      <w:r>
        <w:rPr>
          <w:rtl/>
        </w:rPr>
        <w:t>.</w:t>
      </w:r>
    </w:p>
    <w:p w:rsidR="000C39D1" w:rsidRPr="00132E65" w:rsidRDefault="000C39D1" w:rsidP="000C39D1">
      <w:pPr>
        <w:pStyle w:val="libFootnote0"/>
        <w:rPr>
          <w:rtl/>
          <w:lang w:bidi="fa-IR"/>
        </w:rPr>
      </w:pPr>
      <w:r>
        <w:rPr>
          <w:rtl/>
        </w:rPr>
        <w:t>(12).</w:t>
      </w:r>
      <w:r w:rsidRPr="00132E65">
        <w:rPr>
          <w:rtl/>
        </w:rPr>
        <w:t xml:space="preserve"> </w:t>
      </w:r>
      <w:r w:rsidRPr="00411FE2">
        <w:rPr>
          <w:rStyle w:val="libFootnoteBoldChar"/>
          <w:rtl/>
        </w:rPr>
        <w:t>الإرشاد</w:t>
      </w:r>
      <w:r w:rsidRPr="00132E65">
        <w:rPr>
          <w:rtl/>
        </w:rPr>
        <w:t xml:space="preserve"> ، ج 2 ، ص 292 ، بسنده عن الكليني </w:t>
      </w:r>
      <w:r w:rsidR="00411FE2">
        <w:rPr>
          <w:rFonts w:hint="cs"/>
          <w:rtl/>
        </w:rPr>
        <w:t>.</w:t>
      </w:r>
      <w:r w:rsidRPr="009D1ACE">
        <w:rPr>
          <w:rStyle w:val="libFootnoteBoldChar"/>
          <w:rtl/>
        </w:rPr>
        <w:t>الوافي</w:t>
      </w:r>
      <w:r w:rsidRPr="00132E65">
        <w:rPr>
          <w:rtl/>
        </w:rPr>
        <w:t xml:space="preserve"> ، ج 3 ، ص 832 ، ح 1444.</w:t>
      </w:r>
    </w:p>
    <w:p w:rsidR="000C39D1" w:rsidRPr="00132E65" w:rsidRDefault="000C39D1" w:rsidP="000C39D1">
      <w:pPr>
        <w:pStyle w:val="libFootnote0"/>
        <w:rPr>
          <w:rtl/>
          <w:lang w:bidi="fa-IR"/>
        </w:rPr>
      </w:pPr>
      <w:r>
        <w:rPr>
          <w:rtl/>
        </w:rPr>
        <w:t>(13)</w:t>
      </w:r>
      <w:r w:rsidRPr="00132E65">
        <w:rPr>
          <w:rtl/>
        </w:rPr>
        <w:t xml:space="preserve"> في « ب ، ج ، ض ، بح ، بر ، بس ، بف » و</w:t>
      </w:r>
      <w:r w:rsidRPr="009D1ACE">
        <w:rPr>
          <w:rStyle w:val="libFootnoteBoldChar"/>
          <w:rtl/>
        </w:rPr>
        <w:t>الوافي</w:t>
      </w:r>
      <w:r w:rsidRPr="00132E65">
        <w:rPr>
          <w:rtl/>
        </w:rPr>
        <w:t xml:space="preserve"> : « الحسن »</w:t>
      </w:r>
      <w:r>
        <w:rPr>
          <w:rtl/>
        </w:rPr>
        <w:t>.</w:t>
      </w:r>
      <w:r w:rsidRPr="00132E65">
        <w:rPr>
          <w:rtl/>
        </w:rPr>
        <w:t xml:space="preserve"> والظاهر أنّ الصواب هو « الحسين » ، كما تقدّم في </w:t>
      </w:r>
      <w:r w:rsidRPr="000577A7">
        <w:rPr>
          <w:rStyle w:val="libFootnoteBoldChar"/>
          <w:rtl/>
        </w:rPr>
        <w:t>الكافي</w:t>
      </w:r>
      <w:r w:rsidRPr="00132E65">
        <w:rPr>
          <w:rtl/>
        </w:rPr>
        <w:t xml:space="preserve"> ، ذيل ح 1255.</w:t>
      </w:r>
    </w:p>
    <w:p w:rsidR="000C39D1" w:rsidRDefault="000C39D1" w:rsidP="000C39D1">
      <w:pPr>
        <w:pStyle w:val="libNormal"/>
        <w:rPr>
          <w:rtl/>
          <w:lang w:bidi="fa-IR"/>
        </w:rPr>
      </w:pPr>
      <w:r>
        <w:rPr>
          <w:rtl/>
          <w:lang w:bidi="fa-IR"/>
        </w:rPr>
        <w:br w:type="page"/>
      </w:r>
    </w:p>
    <w:p w:rsidR="000C39D1" w:rsidRPr="00132E65" w:rsidRDefault="000C39D1" w:rsidP="00411FE2">
      <w:pPr>
        <w:pStyle w:val="libNormal"/>
        <w:rPr>
          <w:rtl/>
          <w:lang w:bidi="fa-IR"/>
        </w:rPr>
      </w:pPr>
      <w:r w:rsidRPr="00132E65">
        <w:rPr>
          <w:rtl/>
          <w:lang w:bidi="fa-IR"/>
        </w:rPr>
        <w:t xml:space="preserve">قُبِضَ مُحَمَّدُ بْنُ عَلِيٍّ </w:t>
      </w:r>
      <w:r w:rsidRPr="00071CF9">
        <w:rPr>
          <w:rStyle w:val="libAlaemChar"/>
          <w:rtl/>
        </w:rPr>
        <w:t>عليه‌السلام</w:t>
      </w:r>
      <w:r w:rsidRPr="00132E65">
        <w:rPr>
          <w:rtl/>
          <w:lang w:bidi="fa-IR"/>
        </w:rPr>
        <w:t xml:space="preserve"> و</w:t>
      </w:r>
      <w:r w:rsidR="00411FE2">
        <w:rPr>
          <w:rFonts w:hint="cs"/>
          <w:rtl/>
          <w:lang w:bidi="fa-IR"/>
        </w:rPr>
        <w:t xml:space="preserve">َ </w:t>
      </w:r>
      <w:r w:rsidRPr="00132E65">
        <w:rPr>
          <w:rtl/>
          <w:lang w:bidi="fa-IR"/>
        </w:rPr>
        <w:t>هُوَ ابْنُ خَمْسٍ و</w:t>
      </w:r>
      <w:r w:rsidR="00411FE2">
        <w:rPr>
          <w:rFonts w:hint="cs"/>
          <w:rtl/>
          <w:lang w:bidi="fa-IR"/>
        </w:rPr>
        <w:t>َ</w:t>
      </w:r>
      <w:r w:rsidRPr="00132E65">
        <w:rPr>
          <w:rtl/>
          <w:lang w:bidi="fa-IR"/>
        </w:rPr>
        <w:t>عِشْرِينَ سَنَةً و</w:t>
      </w:r>
      <w:r w:rsidR="00411FE2">
        <w:rPr>
          <w:rFonts w:hint="cs"/>
          <w:rtl/>
          <w:lang w:bidi="fa-IR"/>
        </w:rPr>
        <w:t>َ</w:t>
      </w:r>
      <w:r w:rsidRPr="00132E65">
        <w:rPr>
          <w:rtl/>
          <w:lang w:bidi="fa-IR"/>
        </w:rPr>
        <w:t>ثَلَاثَةِ أَشْهُرٍ و</w:t>
      </w:r>
      <w:r w:rsidR="00411FE2">
        <w:rPr>
          <w:rFonts w:hint="cs"/>
          <w:rtl/>
          <w:lang w:bidi="fa-IR"/>
        </w:rPr>
        <w:t xml:space="preserve">َ </w:t>
      </w:r>
      <w:r w:rsidRPr="00132E65">
        <w:rPr>
          <w:rtl/>
          <w:lang w:bidi="fa-IR"/>
        </w:rPr>
        <w:t>اثْنَيْ عَشَرَ يَوْماً ، تُوُفِّيَ يَوْمَ الثَّلَاثَاءِ لِسِتٍّ خَلَوْنَ مِنْ ذِي الْحِجَّةِ سَنَةَ عِشْرِينَ و</w:t>
      </w:r>
      <w:r w:rsidR="00411FE2">
        <w:rPr>
          <w:rFonts w:hint="cs"/>
          <w:rtl/>
          <w:lang w:bidi="fa-IR"/>
        </w:rPr>
        <w:t>َ</w:t>
      </w:r>
      <w:r w:rsidRPr="00132E65">
        <w:rPr>
          <w:rtl/>
          <w:lang w:bidi="fa-IR"/>
        </w:rPr>
        <w:t xml:space="preserve">مِائَتَيْنِ ؛ عَاشَ </w:t>
      </w:r>
      <w:r>
        <w:rPr>
          <w:rStyle w:val="libFootnotenumChar"/>
          <w:rtl/>
        </w:rPr>
        <w:t>(1)</w:t>
      </w:r>
      <w:r w:rsidRPr="00132E65">
        <w:rPr>
          <w:rtl/>
          <w:lang w:bidi="fa-IR"/>
        </w:rPr>
        <w:t xml:space="preserve"> بَعْدَ أَبِي</w:t>
      </w:r>
      <w:r w:rsidR="00411FE2">
        <w:rPr>
          <w:rtl/>
          <w:lang w:bidi="fa-IR"/>
        </w:rPr>
        <w:t>هِ تِسْعَ عَشْرَةَ سَنَةً إِل</w:t>
      </w:r>
      <w:r w:rsidR="00411FE2">
        <w:rPr>
          <w:rFonts w:hint="cs"/>
          <w:rtl/>
          <w:lang w:bidi="fa-IR"/>
        </w:rPr>
        <w:t>َّ</w:t>
      </w:r>
      <w:r w:rsidR="00411FE2">
        <w:rPr>
          <w:rtl/>
          <w:lang w:bidi="fa-IR"/>
        </w:rPr>
        <w:t>ا</w:t>
      </w:r>
      <w:r w:rsidRPr="00132E65">
        <w:rPr>
          <w:rtl/>
          <w:lang w:bidi="fa-IR"/>
        </w:rPr>
        <w:t xml:space="preserve"> خَمْساً و</w:t>
      </w:r>
      <w:r w:rsidR="00411FE2">
        <w:rPr>
          <w:rFonts w:hint="cs"/>
          <w:rtl/>
          <w:lang w:bidi="fa-IR"/>
        </w:rPr>
        <w:t>َ</w:t>
      </w:r>
      <w:r w:rsidRPr="00132E65">
        <w:rPr>
          <w:rtl/>
          <w:lang w:bidi="fa-IR"/>
        </w:rPr>
        <w:t xml:space="preserve">عِشْرِينَ يَوْماً. </w:t>
      </w:r>
      <w:r>
        <w:rPr>
          <w:rStyle w:val="libFootnotenumChar"/>
          <w:rtl/>
        </w:rPr>
        <w:t>(2)</w:t>
      </w:r>
    </w:p>
    <w:p w:rsidR="000C39D1" w:rsidRDefault="000C39D1" w:rsidP="000C39D1">
      <w:pPr>
        <w:pStyle w:val="Heading2Center"/>
        <w:rPr>
          <w:rtl/>
        </w:rPr>
      </w:pPr>
      <w:bookmarkStart w:id="178" w:name="_Toc459459165"/>
      <w:bookmarkStart w:id="179" w:name="_Toc34663134"/>
      <w:r w:rsidRPr="00132E65">
        <w:rPr>
          <w:rtl/>
          <w:lang w:bidi="fa-IR"/>
        </w:rPr>
        <w:t>123</w:t>
      </w:r>
      <w:r>
        <w:rPr>
          <w:rtl/>
          <w:lang w:bidi="fa-IR"/>
        </w:rPr>
        <w:t xml:space="preserve"> - </w:t>
      </w:r>
      <w:r w:rsidRPr="00132E65">
        <w:rPr>
          <w:rtl/>
          <w:lang w:bidi="fa-IR"/>
        </w:rPr>
        <w:t xml:space="preserve">بَابُ </w:t>
      </w:r>
      <w:r>
        <w:rPr>
          <w:rStyle w:val="libFootnotenumChar"/>
          <w:rtl/>
        </w:rPr>
        <w:t>(3)</w:t>
      </w:r>
      <w:r>
        <w:rPr>
          <w:rtl/>
          <w:lang w:bidi="fa-IR"/>
        </w:rPr>
        <w:t xml:space="preserve"> </w:t>
      </w:r>
      <w:r w:rsidRPr="00132E65">
        <w:rPr>
          <w:rtl/>
          <w:lang w:bidi="fa-IR"/>
        </w:rPr>
        <w:t xml:space="preserve">مَوْلِدِ أَبِي الْحَسَنِ عَلِيِّ بْنِ مُحَمَّدٍ </w:t>
      </w:r>
      <w:r>
        <w:rPr>
          <w:rStyle w:val="libFootnotenumChar"/>
          <w:rtl/>
        </w:rPr>
        <w:t>(4)</w:t>
      </w:r>
      <w:bookmarkEnd w:id="178"/>
      <w:bookmarkEnd w:id="179"/>
      <w:r>
        <w:rPr>
          <w:rtl/>
          <w:lang w:bidi="fa-IR"/>
        </w:rPr>
        <w:t xml:space="preserve"> </w:t>
      </w:r>
    </w:p>
    <w:p w:rsidR="000C39D1" w:rsidRPr="00132E65" w:rsidRDefault="000C39D1" w:rsidP="000C39D1">
      <w:pPr>
        <w:pStyle w:val="Heading2Center"/>
        <w:rPr>
          <w:rtl/>
          <w:lang w:bidi="fa-IR"/>
        </w:rPr>
      </w:pPr>
      <w:bookmarkStart w:id="180" w:name="_Toc459293678"/>
      <w:bookmarkStart w:id="181" w:name="_Toc459455147"/>
      <w:bookmarkStart w:id="182" w:name="_Toc459459166"/>
      <w:bookmarkStart w:id="183" w:name="_Toc34663135"/>
      <w:r w:rsidRPr="00071CF9">
        <w:rPr>
          <w:rStyle w:val="libAlaemChar"/>
          <w:rtl/>
        </w:rPr>
        <w:t>عليهما‌السلام</w:t>
      </w:r>
      <w:r w:rsidRPr="00132E65">
        <w:rPr>
          <w:rtl/>
          <w:lang w:bidi="fa-IR"/>
        </w:rPr>
        <w:t xml:space="preserve"> والرِّضْوَانُ </w:t>
      </w:r>
      <w:r>
        <w:rPr>
          <w:rStyle w:val="libFootnotenumChar"/>
          <w:rtl/>
        </w:rPr>
        <w:t>(5)</w:t>
      </w:r>
      <w:r w:rsidRPr="00132E65">
        <w:rPr>
          <w:rtl/>
          <w:lang w:bidi="fa-IR"/>
        </w:rPr>
        <w:t xml:space="preserve"> ‌</w:t>
      </w:r>
      <w:bookmarkEnd w:id="180"/>
      <w:bookmarkEnd w:id="181"/>
      <w:bookmarkEnd w:id="182"/>
      <w:bookmarkEnd w:id="183"/>
    </w:p>
    <w:p w:rsidR="000C39D1" w:rsidRPr="00132E65" w:rsidRDefault="000C39D1" w:rsidP="000C39D1">
      <w:pPr>
        <w:pStyle w:val="libNormal0"/>
        <w:tabs>
          <w:tab w:val="left" w:pos="3968"/>
        </w:tabs>
        <w:rPr>
          <w:rtl/>
          <w:lang w:bidi="fa-IR"/>
        </w:rPr>
      </w:pPr>
      <w:r w:rsidRPr="00132E65">
        <w:rPr>
          <w:rtl/>
          <w:lang w:bidi="fa-IR"/>
        </w:rPr>
        <w:t xml:space="preserve">وُلِدَ </w:t>
      </w:r>
      <w:r>
        <w:rPr>
          <w:rStyle w:val="libFootnotenumChar"/>
          <w:rtl/>
        </w:rPr>
        <w:t>(6)</w:t>
      </w:r>
      <w:r w:rsidRPr="00132E65">
        <w:rPr>
          <w:rtl/>
          <w:lang w:bidi="fa-IR"/>
        </w:rPr>
        <w:t xml:space="preserve"> </w:t>
      </w:r>
      <w:r w:rsidRPr="00071CF9">
        <w:rPr>
          <w:rStyle w:val="libAlaemChar"/>
          <w:rtl/>
        </w:rPr>
        <w:t>عليه‌السلام</w:t>
      </w:r>
      <w:r w:rsidRPr="00132E65">
        <w:rPr>
          <w:rtl/>
          <w:lang w:bidi="fa-IR"/>
        </w:rPr>
        <w:t xml:space="preserve"> لِلنِّصْفِ مِنْ ذِي الْحِجَّةِ سَنَةَ اثْنَتَيْ عَشْرَةَ و</w:t>
      </w:r>
      <w:r w:rsidR="00411FE2">
        <w:rPr>
          <w:rFonts w:hint="cs"/>
          <w:rtl/>
          <w:lang w:bidi="fa-IR"/>
        </w:rPr>
        <w:t>َ</w:t>
      </w:r>
      <w:r w:rsidRPr="00132E65">
        <w:rPr>
          <w:rtl/>
          <w:lang w:bidi="fa-IR"/>
        </w:rPr>
        <w:t>مِائَتَيْنِ ؛ و</w:t>
      </w:r>
      <w:r w:rsidR="00411FE2">
        <w:rPr>
          <w:rFonts w:hint="cs"/>
          <w:rtl/>
          <w:lang w:bidi="fa-IR"/>
        </w:rPr>
        <w:t xml:space="preserve">َ </w:t>
      </w:r>
      <w:r w:rsidRPr="00132E65">
        <w:rPr>
          <w:rtl/>
          <w:lang w:bidi="fa-IR"/>
        </w:rPr>
        <w:t>رُوِيَ أَنَّهُ و</w:t>
      </w:r>
      <w:r w:rsidR="00411FE2">
        <w:rPr>
          <w:rFonts w:hint="cs"/>
          <w:rtl/>
          <w:lang w:bidi="fa-IR"/>
        </w:rPr>
        <w:t>ُ</w:t>
      </w:r>
      <w:r w:rsidRPr="00132E65">
        <w:rPr>
          <w:rtl/>
          <w:lang w:bidi="fa-IR"/>
        </w:rPr>
        <w:t>لِدَ فِي رَجَبٍ سَنَةَ أَرْبَعَ عَشْرَةَ و</w:t>
      </w:r>
      <w:r w:rsidR="00411FE2">
        <w:rPr>
          <w:rFonts w:hint="cs"/>
          <w:rtl/>
          <w:lang w:bidi="fa-IR"/>
        </w:rPr>
        <w:t xml:space="preserve">َ </w:t>
      </w:r>
      <w:r w:rsidRPr="00132E65">
        <w:rPr>
          <w:rtl/>
          <w:lang w:bidi="fa-IR"/>
        </w:rPr>
        <w:t>مِائَتَيْنِ.</w:t>
      </w:r>
    </w:p>
    <w:p w:rsidR="000C39D1" w:rsidRPr="00132E65" w:rsidRDefault="000C39D1" w:rsidP="000C39D1">
      <w:pPr>
        <w:pStyle w:val="libNormal0"/>
        <w:tabs>
          <w:tab w:val="left" w:pos="3968"/>
        </w:tabs>
        <w:rPr>
          <w:rtl/>
          <w:lang w:bidi="fa-IR"/>
        </w:rPr>
      </w:pPr>
      <w:r w:rsidRPr="00132E65">
        <w:rPr>
          <w:rtl/>
          <w:lang w:bidi="fa-IR"/>
        </w:rPr>
        <w:t xml:space="preserve">وَمَضى </w:t>
      </w:r>
      <w:r w:rsidRPr="00071CF9">
        <w:rPr>
          <w:rStyle w:val="libAlaemChar"/>
          <w:rtl/>
        </w:rPr>
        <w:t>عليه‌السلام</w:t>
      </w:r>
      <w:r w:rsidRPr="00132E65">
        <w:rPr>
          <w:rtl/>
          <w:lang w:bidi="fa-IR"/>
        </w:rPr>
        <w:t xml:space="preserve"> لِأَرْبَعٍ بَقِينَ مِنْ جُمَادَى الْآخِرَةِ سَنَةَ أَرْبَعٍ و</w:t>
      </w:r>
      <w:r w:rsidR="00411FE2">
        <w:rPr>
          <w:rFonts w:hint="cs"/>
          <w:rtl/>
          <w:lang w:bidi="fa-IR"/>
        </w:rPr>
        <w:t>َ</w:t>
      </w:r>
      <w:r w:rsidRPr="00132E65">
        <w:rPr>
          <w:rtl/>
          <w:lang w:bidi="fa-IR"/>
        </w:rPr>
        <w:t>خَمْسِينَ و</w:t>
      </w:r>
      <w:r w:rsidR="00411FE2">
        <w:rPr>
          <w:rFonts w:hint="cs"/>
          <w:rtl/>
          <w:lang w:bidi="fa-IR"/>
        </w:rPr>
        <w:t>َ</w:t>
      </w:r>
      <w:r w:rsidRPr="00132E65">
        <w:rPr>
          <w:rtl/>
          <w:lang w:bidi="fa-IR"/>
        </w:rPr>
        <w:t xml:space="preserve">مِائَتَيْنِ </w:t>
      </w:r>
      <w:r>
        <w:rPr>
          <w:rStyle w:val="libFootnotenumChar"/>
          <w:rtl/>
        </w:rPr>
        <w:t>(7)</w:t>
      </w:r>
      <w:r w:rsidRPr="00132E65">
        <w:rPr>
          <w:rtl/>
          <w:lang w:bidi="fa-IR"/>
        </w:rPr>
        <w:t xml:space="preserve"> ؛ و</w:t>
      </w:r>
      <w:r w:rsidR="00411FE2">
        <w:rPr>
          <w:rFonts w:hint="cs"/>
          <w:rtl/>
          <w:lang w:bidi="fa-IR"/>
        </w:rPr>
        <w:t>َ</w:t>
      </w:r>
      <w:r w:rsidRPr="00132E65">
        <w:rPr>
          <w:rtl/>
          <w:lang w:bidi="fa-IR"/>
        </w:rPr>
        <w:t xml:space="preserve">رُوِيَ أَنَّهُ قُبِضَ </w:t>
      </w:r>
      <w:r w:rsidRPr="00071CF9">
        <w:rPr>
          <w:rStyle w:val="libAlaemChar"/>
          <w:rtl/>
        </w:rPr>
        <w:t>عليه‌السلام</w:t>
      </w:r>
      <w:r w:rsidRPr="00132E65">
        <w:rPr>
          <w:rtl/>
          <w:lang w:bidi="fa-IR"/>
        </w:rPr>
        <w:t xml:space="preserve"> فِي رَجَبٍ سَنَةَ أَرْبَعٍ و</w:t>
      </w:r>
      <w:r w:rsidR="00411FE2">
        <w:rPr>
          <w:rFonts w:hint="cs"/>
          <w:rtl/>
          <w:lang w:bidi="fa-IR"/>
        </w:rPr>
        <w:t>َ</w:t>
      </w:r>
      <w:r w:rsidRPr="00132E65">
        <w:rPr>
          <w:rtl/>
          <w:lang w:bidi="fa-IR"/>
        </w:rPr>
        <w:t xml:space="preserve">خَمْسِينَ ومِائَتَيْنِ </w:t>
      </w:r>
      <w:r>
        <w:rPr>
          <w:rStyle w:val="libFootnotenumChar"/>
          <w:rtl/>
        </w:rPr>
        <w:t>(8)</w:t>
      </w:r>
      <w:r w:rsidRPr="00132E65">
        <w:rPr>
          <w:rtl/>
          <w:lang w:bidi="fa-IR"/>
        </w:rPr>
        <w:t xml:space="preserve"> ، و</w:t>
      </w:r>
      <w:r w:rsidR="00411FE2">
        <w:rPr>
          <w:rFonts w:hint="cs"/>
          <w:rtl/>
          <w:lang w:bidi="fa-IR"/>
        </w:rPr>
        <w:t>َ</w:t>
      </w:r>
      <w:r w:rsidRPr="00132E65">
        <w:rPr>
          <w:rtl/>
          <w:lang w:bidi="fa-IR"/>
        </w:rPr>
        <w:t xml:space="preserve">لَهُ إِحْدى </w:t>
      </w:r>
      <w:r>
        <w:rPr>
          <w:rStyle w:val="libFootnotenumChar"/>
          <w:rtl/>
        </w:rPr>
        <w:t>(9)</w:t>
      </w:r>
      <w:r w:rsidRPr="00132E65">
        <w:rPr>
          <w:rtl/>
          <w:lang w:bidi="fa-IR"/>
        </w:rPr>
        <w:t xml:space="preserve"> و</w:t>
      </w:r>
      <w:r w:rsidR="00411FE2">
        <w:rPr>
          <w:rFonts w:hint="cs"/>
          <w:rtl/>
          <w:lang w:bidi="fa-IR"/>
        </w:rPr>
        <w:t>َ</w:t>
      </w:r>
      <w:r w:rsidRPr="00132E65">
        <w:rPr>
          <w:rtl/>
          <w:lang w:bidi="fa-IR"/>
        </w:rPr>
        <w:t>أَرْبَعُونَ سَنَةً وسِتَّةُ أَشْهُرٍ ، و</w:t>
      </w:r>
      <w:r w:rsidR="00411FE2">
        <w:rPr>
          <w:rFonts w:hint="cs"/>
          <w:rtl/>
          <w:lang w:bidi="fa-IR"/>
        </w:rPr>
        <w:t>َ</w:t>
      </w:r>
      <w:r>
        <w:rPr>
          <w:rFonts w:hint="cs"/>
          <w:rtl/>
          <w:lang w:bidi="fa-IR"/>
        </w:rPr>
        <w:t xml:space="preserve"> </w:t>
      </w:r>
      <w:r>
        <w:rPr>
          <w:rStyle w:val="libFootnotenumChar"/>
          <w:rtl/>
        </w:rPr>
        <w:t>(10)</w:t>
      </w:r>
      <w:r w:rsidRPr="00132E65">
        <w:rPr>
          <w:rtl/>
          <w:lang w:bidi="fa-IR"/>
        </w:rPr>
        <w:t xml:space="preserve"> أَرْبَعُونَ سَنَةً عَلَى الْمَوْلِدِ الْآخَرِ الَّذِي رُوِيَ.</w:t>
      </w:r>
    </w:p>
    <w:p w:rsidR="000C39D1" w:rsidRPr="00132E65" w:rsidRDefault="000C39D1" w:rsidP="000C39D1">
      <w:pPr>
        <w:pStyle w:val="libNormal0"/>
        <w:tabs>
          <w:tab w:val="left" w:pos="3968"/>
        </w:tabs>
        <w:rPr>
          <w:rtl/>
          <w:lang w:bidi="fa-IR"/>
        </w:rPr>
      </w:pPr>
      <w:r w:rsidRPr="00132E65">
        <w:rPr>
          <w:rtl/>
          <w:lang w:bidi="fa-IR"/>
        </w:rPr>
        <w:t xml:space="preserve">وَكَانَ الْمُتَوَكِّلُ أَشْخَصَهُ </w:t>
      </w:r>
      <w:r>
        <w:rPr>
          <w:rStyle w:val="libFootnotenumChar"/>
          <w:rtl/>
        </w:rPr>
        <w:t>(11)</w:t>
      </w:r>
      <w:r w:rsidRPr="00132E65">
        <w:rPr>
          <w:rtl/>
          <w:lang w:bidi="fa-IR"/>
        </w:rPr>
        <w:t xml:space="preserve"> مَعَ يَحْيَى بْنِ هَرْثَمَةَ بْنِ أَعْيَنَ مِنَ الْمَدِينَةِ إِلى سُرَّ مَنْ رَأى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وعاش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832 ، ح 1445 ؛ </w:t>
      </w:r>
      <w:r w:rsidRPr="00181081">
        <w:rPr>
          <w:rStyle w:val="libFootnoteBoldChar"/>
          <w:rtl/>
        </w:rPr>
        <w:t>البحار</w:t>
      </w:r>
      <w:r w:rsidRPr="00132E65">
        <w:rPr>
          <w:rtl/>
        </w:rPr>
        <w:t xml:space="preserve"> ، ج 50 ، ص 13 ، ذيل ح 13.</w:t>
      </w:r>
    </w:p>
    <w:p w:rsidR="000C39D1" w:rsidRPr="00132E65" w:rsidRDefault="000C39D1" w:rsidP="000C39D1">
      <w:pPr>
        <w:pStyle w:val="libFootnote0"/>
        <w:rPr>
          <w:rtl/>
          <w:lang w:bidi="fa-IR"/>
        </w:rPr>
      </w:pPr>
      <w:r>
        <w:rPr>
          <w:rtl/>
        </w:rPr>
        <w:t>(3).</w:t>
      </w:r>
      <w:r w:rsidRPr="00132E65">
        <w:rPr>
          <w:rtl/>
        </w:rPr>
        <w:t xml:space="preserve"> في « ب ، ج ، ض ، ف ، بر ، بس ، بف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(4).</w:t>
      </w:r>
      <w:r w:rsidRPr="00132E65">
        <w:rPr>
          <w:rtl/>
        </w:rPr>
        <w:t xml:space="preserve"> في حاشية « بف » :</w:t>
      </w:r>
      <w:r>
        <w:rPr>
          <w:rtl/>
        </w:rPr>
        <w:t xml:space="preserve"> + </w:t>
      </w:r>
      <w:r w:rsidRPr="00132E65">
        <w:rPr>
          <w:rtl/>
        </w:rPr>
        <w:t>« الهادي »</w:t>
      </w:r>
      <w:r>
        <w:rPr>
          <w:rtl/>
        </w:rPr>
        <w:t>.</w:t>
      </w:r>
    </w:p>
    <w:p w:rsidR="000C39D1" w:rsidRPr="00132E65" w:rsidRDefault="000C39D1" w:rsidP="000C39D1">
      <w:pPr>
        <w:pStyle w:val="libFootnote0"/>
        <w:rPr>
          <w:rtl/>
          <w:lang w:bidi="fa-IR"/>
        </w:rPr>
      </w:pPr>
      <w:r>
        <w:rPr>
          <w:rtl/>
        </w:rPr>
        <w:t>(5).</w:t>
      </w:r>
      <w:r w:rsidRPr="00132E65">
        <w:rPr>
          <w:rtl/>
        </w:rPr>
        <w:t xml:space="preserve"> في « ب ، ج ، ض ، ف ، بر ، بف » </w:t>
      </w:r>
      <w:r w:rsidRPr="00181081">
        <w:rPr>
          <w:rtl/>
        </w:rPr>
        <w:t>ومرآة العقول</w:t>
      </w:r>
      <w:r w:rsidRPr="00132E65">
        <w:rPr>
          <w:rtl/>
        </w:rPr>
        <w:t xml:space="preserve"> </w:t>
      </w:r>
      <w:r>
        <w:rPr>
          <w:rtl/>
        </w:rPr>
        <w:t xml:space="preserve">: - </w:t>
      </w:r>
      <w:r w:rsidRPr="00132E65">
        <w:rPr>
          <w:rtl/>
        </w:rPr>
        <w:t>« والرضوان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181081">
        <w:rPr>
          <w:rtl/>
        </w:rPr>
        <w:t>الوافي</w:t>
      </w:r>
      <w:r w:rsidRPr="00132E65">
        <w:rPr>
          <w:rtl/>
        </w:rPr>
        <w:t xml:space="preserve"> :</w:t>
      </w:r>
      <w:r>
        <w:rPr>
          <w:rtl/>
        </w:rPr>
        <w:t xml:space="preserve"> + </w:t>
      </w:r>
      <w:r w:rsidRPr="00132E65">
        <w:rPr>
          <w:rtl/>
        </w:rPr>
        <w:t>« أبو الحسن عليّ بن محمّد »</w:t>
      </w:r>
      <w:r>
        <w:rPr>
          <w:rtl/>
        </w:rPr>
        <w:t>.</w:t>
      </w:r>
    </w:p>
    <w:p w:rsidR="000C39D1" w:rsidRPr="00132E65" w:rsidRDefault="000C39D1" w:rsidP="000C39D1">
      <w:pPr>
        <w:pStyle w:val="libFootnote0"/>
        <w:rPr>
          <w:rtl/>
          <w:lang w:bidi="fa-IR"/>
        </w:rPr>
      </w:pPr>
      <w:r>
        <w:rPr>
          <w:rtl/>
        </w:rPr>
        <w:t>(7).</w:t>
      </w:r>
      <w:r w:rsidRPr="00132E65">
        <w:rPr>
          <w:rtl/>
        </w:rPr>
        <w:t xml:space="preserve"> في « ب ، ض » </w:t>
      </w:r>
      <w:r>
        <w:rPr>
          <w:rtl/>
        </w:rPr>
        <w:t xml:space="preserve">: - </w:t>
      </w:r>
      <w:r w:rsidRPr="00132E65">
        <w:rPr>
          <w:rtl/>
        </w:rPr>
        <w:t>« ومضى</w:t>
      </w:r>
      <w:r>
        <w:rPr>
          <w:rtl/>
        </w:rPr>
        <w:t xml:space="preserve"> - </w:t>
      </w:r>
      <w:r w:rsidRPr="00132E65">
        <w:rPr>
          <w:rtl/>
        </w:rPr>
        <w:t>إلى</w:t>
      </w:r>
      <w:r>
        <w:rPr>
          <w:rtl/>
        </w:rPr>
        <w:t xml:space="preserve"> - </w:t>
      </w:r>
      <w:r w:rsidRPr="00132E65">
        <w:rPr>
          <w:rtl/>
        </w:rPr>
        <w:t>ومائتين »</w:t>
      </w:r>
      <w:r>
        <w:rPr>
          <w:rtl/>
        </w:rPr>
        <w:t>.</w:t>
      </w:r>
    </w:p>
    <w:p w:rsidR="000C39D1" w:rsidRPr="00132E65" w:rsidRDefault="000C39D1" w:rsidP="000C39D1">
      <w:pPr>
        <w:pStyle w:val="libFootnote0"/>
        <w:rPr>
          <w:rtl/>
          <w:lang w:bidi="fa-IR"/>
        </w:rPr>
      </w:pPr>
      <w:r>
        <w:rPr>
          <w:rtl/>
        </w:rPr>
        <w:t>(8).</w:t>
      </w:r>
      <w:r w:rsidRPr="00132E65">
        <w:rPr>
          <w:rtl/>
        </w:rPr>
        <w:t xml:space="preserve"> في « ف ، بر ، بف » </w:t>
      </w:r>
      <w:r>
        <w:rPr>
          <w:rtl/>
        </w:rPr>
        <w:t xml:space="preserve">: - </w:t>
      </w:r>
      <w:r w:rsidRPr="00132E65">
        <w:rPr>
          <w:rtl/>
        </w:rPr>
        <w:t>« وروي</w:t>
      </w:r>
      <w:r>
        <w:rPr>
          <w:rtl/>
        </w:rPr>
        <w:t xml:space="preserve"> - </w:t>
      </w:r>
      <w:r w:rsidRPr="00132E65">
        <w:rPr>
          <w:rtl/>
        </w:rPr>
        <w:t>إلى</w:t>
      </w:r>
      <w:r>
        <w:rPr>
          <w:rtl/>
        </w:rPr>
        <w:t xml:space="preserve"> - </w:t>
      </w:r>
      <w:r w:rsidRPr="00132E65">
        <w:rPr>
          <w:rtl/>
        </w:rPr>
        <w:t>ومائتين »</w:t>
      </w:r>
      <w:r>
        <w:rPr>
          <w:rtl/>
        </w:rPr>
        <w:t>.</w:t>
      </w:r>
    </w:p>
    <w:p w:rsidR="000C39D1" w:rsidRPr="00132E65" w:rsidRDefault="000C39D1" w:rsidP="000C39D1">
      <w:pPr>
        <w:pStyle w:val="libFootnote0"/>
        <w:rPr>
          <w:rtl/>
          <w:lang w:bidi="fa-IR"/>
        </w:rPr>
      </w:pPr>
      <w:r>
        <w:rPr>
          <w:rtl/>
        </w:rPr>
        <w:t>(9).</w:t>
      </w:r>
      <w:r w:rsidRPr="00132E65">
        <w:rPr>
          <w:rtl/>
        </w:rPr>
        <w:t xml:space="preserve"> هكذا في « ج » وحاشية « ش ، بع » و</w:t>
      </w:r>
      <w:r w:rsidRPr="009D1ACE">
        <w:rPr>
          <w:rStyle w:val="libFootnoteBoldChar"/>
          <w:rtl/>
        </w:rPr>
        <w:t>الوافي</w:t>
      </w:r>
      <w:r w:rsidRPr="00132E65">
        <w:rPr>
          <w:rtl/>
        </w:rPr>
        <w:t>. وفي سائر النسخ والمطبوع : « أحد »</w:t>
      </w:r>
      <w:r>
        <w:rPr>
          <w:rtl/>
        </w:rPr>
        <w:t>.</w:t>
      </w:r>
    </w:p>
    <w:p w:rsidR="000C39D1" w:rsidRPr="00132E65" w:rsidRDefault="000C39D1" w:rsidP="000C39D1">
      <w:pPr>
        <w:pStyle w:val="libFootnote0"/>
        <w:rPr>
          <w:rtl/>
          <w:lang w:bidi="fa-IR"/>
        </w:rPr>
      </w:pPr>
      <w:r>
        <w:rPr>
          <w:rtl/>
        </w:rPr>
        <w:t>(10).</w:t>
      </w:r>
      <w:r w:rsidRPr="00132E65">
        <w:rPr>
          <w:rtl/>
        </w:rPr>
        <w:t xml:space="preserve"> في « ب ، ج ، ض ، بس ، بف » : « أو »</w:t>
      </w:r>
      <w:r>
        <w:rPr>
          <w:rtl/>
        </w:rPr>
        <w:t>.</w:t>
      </w:r>
    </w:p>
    <w:p w:rsidR="000C39D1" w:rsidRPr="00132E65" w:rsidRDefault="000C39D1" w:rsidP="000C39D1">
      <w:pPr>
        <w:pStyle w:val="libFootnote0"/>
        <w:rPr>
          <w:rtl/>
          <w:lang w:bidi="fa-IR"/>
        </w:rPr>
      </w:pPr>
      <w:r>
        <w:rPr>
          <w:rtl/>
        </w:rPr>
        <w:t>(11).</w:t>
      </w:r>
      <w:r w:rsidRPr="00132E65">
        <w:rPr>
          <w:rtl/>
        </w:rPr>
        <w:t xml:space="preserve"> « أشخصه » ، أي أزعجه وقلعه عن مكانه وذهب به ؛ من الشُخوص ، وهو السير من بلد إلى بلد. راجع : </w:t>
      </w:r>
      <w:r w:rsidRPr="00181081">
        <w:rPr>
          <w:rStyle w:val="libFootnoteBoldChar"/>
          <w:rtl/>
        </w:rPr>
        <w:t>لسان</w:t>
      </w:r>
      <w:r w:rsidR="00181081" w:rsidRPr="00181081">
        <w:rPr>
          <w:rStyle w:val="libFootnoteBoldChar"/>
          <w:rFonts w:hint="cs"/>
          <w:rtl/>
        </w:rPr>
        <w:t xml:space="preserve"> </w:t>
      </w:r>
      <w:r w:rsidRPr="00181081">
        <w:rPr>
          <w:rStyle w:val="libFootnoteBoldChar"/>
          <w:rtl/>
        </w:rPr>
        <w:t>‌العرب</w:t>
      </w:r>
      <w:r w:rsidRPr="00132E65">
        <w:rPr>
          <w:rtl/>
        </w:rPr>
        <w:t xml:space="preserve"> ، ج 7 ، ص 46 ؛ </w:t>
      </w:r>
      <w:r w:rsidRPr="00181081">
        <w:rPr>
          <w:rStyle w:val="libFootnoteBoldChar"/>
          <w:rtl/>
        </w:rPr>
        <w:t>القاموس المحيط</w:t>
      </w:r>
      <w:r w:rsidRPr="00132E65">
        <w:rPr>
          <w:rtl/>
        </w:rPr>
        <w:t xml:space="preserve"> ، ج 1 ، ص 844 ( شخص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181081">
      <w:pPr>
        <w:pStyle w:val="libNormal"/>
        <w:rPr>
          <w:rtl/>
          <w:lang w:bidi="fa-IR"/>
        </w:rPr>
      </w:pPr>
      <w:r w:rsidRPr="00132E65">
        <w:rPr>
          <w:rtl/>
          <w:lang w:bidi="fa-IR"/>
        </w:rPr>
        <w:t xml:space="preserve">فَتُوُفِّيَ بِهَا </w:t>
      </w:r>
      <w:r w:rsidRPr="00071CF9">
        <w:rPr>
          <w:rStyle w:val="libAlaemChar"/>
          <w:rtl/>
        </w:rPr>
        <w:t>عليه‌السلام</w:t>
      </w:r>
      <w:r w:rsidRPr="00132E65">
        <w:rPr>
          <w:rtl/>
          <w:lang w:bidi="fa-IR"/>
        </w:rPr>
        <w:t xml:space="preserve"> ، و</w:t>
      </w:r>
      <w:r w:rsidR="00181081">
        <w:rPr>
          <w:rFonts w:hint="cs"/>
          <w:rtl/>
          <w:lang w:bidi="fa-IR"/>
        </w:rPr>
        <w:t>َ</w:t>
      </w:r>
      <w:r w:rsidRPr="00132E65">
        <w:rPr>
          <w:rtl/>
          <w:lang w:bidi="fa-IR"/>
        </w:rPr>
        <w:t>دُفِنَ فِي دَارِهِ ؛ و</w:t>
      </w:r>
      <w:r w:rsidR="00181081">
        <w:rPr>
          <w:rFonts w:hint="cs"/>
          <w:rtl/>
          <w:lang w:bidi="fa-IR"/>
        </w:rPr>
        <w:t>َ</w:t>
      </w:r>
      <w:r w:rsidRPr="00132E65">
        <w:rPr>
          <w:rtl/>
          <w:lang w:bidi="fa-IR"/>
        </w:rPr>
        <w:t>أُمُّهُ أُمُّ و</w:t>
      </w:r>
      <w:r w:rsidR="00181081">
        <w:rPr>
          <w:rFonts w:hint="cs"/>
          <w:rtl/>
          <w:lang w:bidi="fa-IR"/>
        </w:rPr>
        <w:t>َ</w:t>
      </w:r>
      <w:r w:rsidRPr="00132E65">
        <w:rPr>
          <w:rtl/>
          <w:lang w:bidi="fa-IR"/>
        </w:rPr>
        <w:t xml:space="preserve">لَدٍ يُقَالُ لَهَا : سَمَانَةُ </w:t>
      </w:r>
      <w:r>
        <w:rPr>
          <w:rStyle w:val="libFootnotenumChar"/>
          <w:rtl/>
        </w:rPr>
        <w:t>(1)</w:t>
      </w:r>
      <w:r w:rsidR="00181081">
        <w:rPr>
          <w:rFonts w:hint="cs"/>
          <w:rtl/>
          <w:lang w:bidi="fa-IR"/>
        </w:rPr>
        <w:t>.</w:t>
      </w:r>
      <w:r>
        <w:rPr>
          <w:rStyle w:val="libFootnotenumChar"/>
          <w:rtl/>
        </w:rPr>
        <w:t>(2)</w:t>
      </w:r>
    </w:p>
    <w:p w:rsidR="000C39D1" w:rsidRPr="00132E65" w:rsidRDefault="000C39D1" w:rsidP="000C39D1">
      <w:pPr>
        <w:pStyle w:val="libNormal"/>
        <w:rPr>
          <w:rtl/>
          <w:lang w:bidi="fa-IR"/>
        </w:rPr>
      </w:pPr>
      <w:r w:rsidRPr="001D47D3">
        <w:rPr>
          <w:rtl/>
        </w:rPr>
        <w:t>1321</w:t>
      </w:r>
      <w:r w:rsidRPr="004325D8">
        <w:rPr>
          <w:rStyle w:val="libBold2Char"/>
          <w:rtl/>
        </w:rPr>
        <w:t xml:space="preserve"> / 1.</w:t>
      </w:r>
      <w:r w:rsidRPr="00132E65">
        <w:rPr>
          <w:rtl/>
          <w:lang w:bidi="fa-IR"/>
        </w:rPr>
        <w:t xml:space="preserve"> الْحُسَيْنُ بْنُ مُحَمَّدٍ ، عَنْ مُعَلَّى بْنِ مُحَمَّدٍ ، عَنِ الْوَشَّاءِ ، عَنْ خَيْرَانَ الْأَسْبَاطِيِّ ، قَالَ :</w:t>
      </w:r>
    </w:p>
    <w:p w:rsidR="000C39D1" w:rsidRPr="00132E65" w:rsidRDefault="000C39D1" w:rsidP="000C39D1">
      <w:pPr>
        <w:pStyle w:val="libNormal"/>
        <w:rPr>
          <w:rtl/>
          <w:lang w:bidi="fa-IR"/>
        </w:rPr>
      </w:pPr>
      <w:r w:rsidRPr="00132E65">
        <w:rPr>
          <w:rtl/>
          <w:lang w:bidi="fa-IR"/>
        </w:rPr>
        <w:t xml:space="preserve">قَدِمْتُ </w:t>
      </w:r>
      <w:r>
        <w:rPr>
          <w:rStyle w:val="libFootnotenumChar"/>
          <w:rtl/>
        </w:rPr>
        <w:t>(3)</w:t>
      </w:r>
      <w:r w:rsidRPr="00132E65">
        <w:rPr>
          <w:rtl/>
          <w:lang w:bidi="fa-IR"/>
        </w:rPr>
        <w:t xml:space="preserve"> عَلى أَبِي الْحَسَنِ </w:t>
      </w:r>
      <w:r>
        <w:rPr>
          <w:rStyle w:val="libFootnotenumChar"/>
          <w:rtl/>
        </w:rPr>
        <w:t>(4)</w:t>
      </w:r>
      <w:r w:rsidRPr="00132E65">
        <w:rPr>
          <w:rtl/>
          <w:lang w:bidi="fa-IR"/>
        </w:rPr>
        <w:t xml:space="preserve"> </w:t>
      </w:r>
      <w:r w:rsidRPr="00071CF9">
        <w:rPr>
          <w:rStyle w:val="libAlaemChar"/>
          <w:rtl/>
        </w:rPr>
        <w:t>عليه‌السلام</w:t>
      </w:r>
      <w:r w:rsidRPr="00132E65">
        <w:rPr>
          <w:rtl/>
          <w:lang w:bidi="fa-IR"/>
        </w:rPr>
        <w:t xml:space="preserve"> الْمَدِينَةَ ، فَقَالَ لِي : « مَا خَبَرُ الْوَاثِقِ عِنْدَكَ</w:t>
      </w:r>
      <w:r>
        <w:rPr>
          <w:rtl/>
          <w:lang w:bidi="fa-IR"/>
        </w:rPr>
        <w:t>؟</w:t>
      </w:r>
      <w:r w:rsidRPr="00132E65">
        <w:rPr>
          <w:rtl/>
          <w:lang w:bidi="fa-IR"/>
        </w:rPr>
        <w:t xml:space="preserve"> » قُلْتُ </w:t>
      </w:r>
      <w:r>
        <w:rPr>
          <w:rStyle w:val="libFootnotenumChar"/>
          <w:rtl/>
        </w:rPr>
        <w:t>(5)</w:t>
      </w:r>
      <w:r w:rsidRPr="00132E65">
        <w:rPr>
          <w:rtl/>
          <w:lang w:bidi="fa-IR"/>
        </w:rPr>
        <w:t xml:space="preserve"> :</w:t>
      </w:r>
      <w:r>
        <w:rPr>
          <w:rFonts w:hint="cs"/>
          <w:rtl/>
          <w:lang w:bidi="fa-IR"/>
        </w:rPr>
        <w:t xml:space="preserve"> </w:t>
      </w:r>
      <w:r w:rsidRPr="00132E65">
        <w:rPr>
          <w:rtl/>
          <w:lang w:bidi="fa-IR"/>
        </w:rPr>
        <w:t xml:space="preserve">جُعِلْتُ فِدَاكَ ، خَلَّفْتُهُ فِي عَافِيَةٍ ، أَنَا مِنْ أَقْرَبِ النَّاسِ عَهْداً بِهِ ، عَهْدِي بِهِ </w:t>
      </w:r>
      <w:r>
        <w:rPr>
          <w:rStyle w:val="libFootnotenumChar"/>
          <w:rtl/>
        </w:rPr>
        <w:t>(6)</w:t>
      </w:r>
      <w:r w:rsidRPr="00132E65">
        <w:rPr>
          <w:rtl/>
          <w:lang w:bidi="fa-IR"/>
        </w:rPr>
        <w:t xml:space="preserve"> مُنْذُ عَشَرَةِ أَيَّامٍ ، قَالَ : فَقَالَ لِي : « إِنَّ أَهْلَ الْمَدِينَةِ يَقُولُونَ : إِنَّهُ مَاتَ </w:t>
      </w:r>
      <w:r>
        <w:rPr>
          <w:rStyle w:val="libFootnotenumChar"/>
          <w:rtl/>
        </w:rPr>
        <w:t>(7)</w:t>
      </w:r>
      <w:r w:rsidRPr="00132E65">
        <w:rPr>
          <w:rtl/>
          <w:lang w:bidi="fa-IR"/>
        </w:rPr>
        <w:t xml:space="preserve"> »</w:t>
      </w:r>
      <w:r>
        <w:rPr>
          <w:rtl/>
          <w:lang w:bidi="fa-IR"/>
        </w:rPr>
        <w:t>.</w:t>
      </w:r>
      <w:r w:rsidRPr="00132E65">
        <w:rPr>
          <w:rtl/>
          <w:lang w:bidi="fa-IR"/>
        </w:rPr>
        <w:t xml:space="preserve"> فَلَمَّا أَنْ قَالَ لِيَ : « النَّاسَ » عَلِمْتُ أَنَّهُ هُوَ.</w:t>
      </w:r>
    </w:p>
    <w:p w:rsidR="000C39D1" w:rsidRPr="00132E65" w:rsidRDefault="000C39D1" w:rsidP="000C39D1">
      <w:pPr>
        <w:pStyle w:val="libNormal"/>
        <w:rPr>
          <w:rtl/>
          <w:lang w:bidi="fa-IR"/>
        </w:rPr>
      </w:pPr>
      <w:r w:rsidRPr="00132E65">
        <w:rPr>
          <w:rtl/>
          <w:lang w:bidi="fa-IR"/>
        </w:rPr>
        <w:t xml:space="preserve">ثُمَّ قَالَ لِي </w:t>
      </w:r>
      <w:r>
        <w:rPr>
          <w:rStyle w:val="libFootnotenumChar"/>
          <w:rtl/>
        </w:rPr>
        <w:t>(8)</w:t>
      </w:r>
      <w:r w:rsidRPr="00132E65">
        <w:rPr>
          <w:rtl/>
          <w:lang w:bidi="fa-IR"/>
        </w:rPr>
        <w:t xml:space="preserve"> : « مَا فَعَلَ جَعْفَرٌ </w:t>
      </w:r>
      <w:r>
        <w:rPr>
          <w:rStyle w:val="libFootnotenumChar"/>
          <w:rtl/>
        </w:rPr>
        <w:t>(9)</w:t>
      </w:r>
      <w:r>
        <w:rPr>
          <w:rtl/>
          <w:lang w:bidi="fa-IR"/>
        </w:rPr>
        <w:t>؟</w:t>
      </w:r>
      <w:r w:rsidRPr="00132E65">
        <w:rPr>
          <w:rtl/>
          <w:lang w:bidi="fa-IR"/>
        </w:rPr>
        <w:t xml:space="preserve"> » قُلْتُ : تَرَكْتُهُ أَسْوَأَ النَّاسِ حَالاً فِي السِّجْنِ ، قَالَ :</w:t>
      </w:r>
      <w:r>
        <w:rPr>
          <w:rFonts w:hint="cs"/>
          <w:rtl/>
          <w:lang w:bidi="fa-IR"/>
        </w:rPr>
        <w:t xml:space="preserve"> </w:t>
      </w:r>
      <w:r w:rsidRPr="00132E65">
        <w:rPr>
          <w:rtl/>
          <w:lang w:bidi="fa-IR"/>
        </w:rPr>
        <w:t xml:space="preserve">فَقَالَ </w:t>
      </w:r>
      <w:r>
        <w:rPr>
          <w:rStyle w:val="libFootnotenumChar"/>
          <w:rtl/>
        </w:rPr>
        <w:t>(10)</w:t>
      </w:r>
      <w:r w:rsidRPr="00132E65">
        <w:rPr>
          <w:rtl/>
          <w:lang w:bidi="fa-IR"/>
        </w:rPr>
        <w:t xml:space="preserve"> : « أَمَا إِنَّهُ صَاحِبُ الْأَمْرِ ؛ مَا فَعَلَ ابْنُ الزَّيَّاتِ</w:t>
      </w:r>
      <w:r>
        <w:rPr>
          <w:rtl/>
          <w:lang w:bidi="fa-IR"/>
        </w:rPr>
        <w:t>؟</w:t>
      </w:r>
      <w:r w:rsidRPr="00132E65">
        <w:rPr>
          <w:rtl/>
          <w:lang w:bidi="fa-IR"/>
        </w:rPr>
        <w:t xml:space="preserve"> » قُلْتُ : جُعِلْتُ فِدَاكَ </w:t>
      </w:r>
      <w:r>
        <w:rPr>
          <w:rStyle w:val="libFootnotenumChar"/>
          <w:rtl/>
        </w:rPr>
        <w:t>(11)</w:t>
      </w:r>
      <w:r w:rsidRPr="00132E65">
        <w:rPr>
          <w:rtl/>
          <w:lang w:bidi="fa-IR"/>
        </w:rPr>
        <w:t xml:space="preserve"> ، النَّاسُ مَعَهُ ، وَالْأَمْرُ أَمْرُهُ ، قَالَ </w:t>
      </w:r>
      <w:r>
        <w:rPr>
          <w:rStyle w:val="libFootnotenumChar"/>
          <w:rtl/>
        </w:rPr>
        <w:t>(12)</w:t>
      </w:r>
      <w:r w:rsidRPr="00132E65">
        <w:rPr>
          <w:rtl/>
          <w:lang w:bidi="fa-IR"/>
        </w:rPr>
        <w:t xml:space="preserve"> : فَقَالَ : « أَمَا إِنَّهُ شُؤْمٌ عَلَيْهِ »</w:t>
      </w:r>
      <w:r>
        <w:rPr>
          <w:rtl/>
          <w:lang w:bidi="fa-IR"/>
        </w:rPr>
        <w:t>.</w:t>
      </w:r>
    </w:p>
    <w:p w:rsidR="000C39D1" w:rsidRPr="00132E65" w:rsidRDefault="000C39D1" w:rsidP="000C39D1">
      <w:pPr>
        <w:pStyle w:val="libNormal"/>
        <w:rPr>
          <w:rtl/>
          <w:lang w:bidi="fa-IR"/>
        </w:rPr>
      </w:pPr>
      <w:r w:rsidRPr="00132E65">
        <w:rPr>
          <w:rtl/>
          <w:lang w:bidi="fa-IR"/>
        </w:rPr>
        <w:t>قَالَ : ثُمَّ سَكَتَ : و</w:t>
      </w:r>
      <w:r w:rsidR="00181081">
        <w:rPr>
          <w:rFonts w:hint="cs"/>
          <w:rtl/>
          <w:lang w:bidi="fa-IR"/>
        </w:rPr>
        <w:t>َ</w:t>
      </w:r>
      <w:r w:rsidRPr="00132E65">
        <w:rPr>
          <w:rtl/>
          <w:lang w:bidi="fa-IR"/>
        </w:rPr>
        <w:t xml:space="preserve">قَالَ لِي </w:t>
      </w:r>
      <w:r w:rsidRPr="00F543F1">
        <w:rPr>
          <w:rStyle w:val="libFootnotenumChar"/>
          <w:rtl/>
        </w:rPr>
        <w:t>(13)</w:t>
      </w:r>
      <w:r w:rsidRPr="00132E65">
        <w:rPr>
          <w:rtl/>
          <w:lang w:bidi="fa-IR"/>
        </w:rPr>
        <w:t xml:space="preserve"> : « لَا بُدَّ أَنْ </w:t>
      </w:r>
      <w:r w:rsidRPr="00F543F1">
        <w:rPr>
          <w:rStyle w:val="libFootnotenumChar"/>
          <w:rtl/>
        </w:rPr>
        <w:t>(14)</w:t>
      </w:r>
      <w:r w:rsidRPr="00132E65">
        <w:rPr>
          <w:rtl/>
          <w:lang w:bidi="fa-IR"/>
        </w:rPr>
        <w:t xml:space="preserve"> تَجْرِيَ مَقَادِيرُ اللهِ تَعَالى و</w:t>
      </w:r>
      <w:r w:rsidR="00181081">
        <w:rPr>
          <w:rFonts w:hint="cs"/>
          <w:rtl/>
          <w:lang w:bidi="fa-IR"/>
        </w:rPr>
        <w:t>َ</w:t>
      </w:r>
      <w:r w:rsidRPr="00132E65">
        <w:rPr>
          <w:rtl/>
          <w:lang w:bidi="fa-IR"/>
        </w:rPr>
        <w:t>أَحْكَامُهُ ؛ يَا خَيْرَانُ ، مَاتَ الْوَاثِقُ ، و</w:t>
      </w:r>
      <w:r w:rsidR="00181081">
        <w:rPr>
          <w:rFonts w:hint="cs"/>
          <w:rtl/>
          <w:lang w:bidi="fa-IR"/>
        </w:rPr>
        <w:t>َ</w:t>
      </w:r>
      <w:r w:rsidRPr="00132E65">
        <w:rPr>
          <w:rtl/>
          <w:lang w:bidi="fa-IR"/>
        </w:rPr>
        <w:t xml:space="preserve">قَدْ قَعَدَ الْمُتَوَكِّلُ جَعْفَرٌ </w:t>
      </w:r>
      <w:r w:rsidRPr="00F543F1">
        <w:rPr>
          <w:rStyle w:val="libFootnotenumChar"/>
          <w:rtl/>
        </w:rPr>
        <w:t>(15)</w:t>
      </w:r>
      <w:r w:rsidRPr="00132E65">
        <w:rPr>
          <w:rtl/>
          <w:lang w:bidi="fa-IR"/>
        </w:rPr>
        <w:t xml:space="preserve"> ، وقَدْ قُتِلَ ابْنُ الزَّيَّاتِ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ثمانة »</w:t>
      </w:r>
      <w:r>
        <w:rPr>
          <w:rtl/>
        </w:rPr>
        <w:t>.</w:t>
      </w:r>
      <w:r w:rsidRPr="00132E65">
        <w:rPr>
          <w:rtl/>
        </w:rPr>
        <w:t xml:space="preserve"> وفي البحار ، ص 116 </w:t>
      </w:r>
      <w:r>
        <w:rPr>
          <w:rtl/>
        </w:rPr>
        <w:t xml:space="preserve">: - </w:t>
      </w:r>
      <w:r w:rsidRPr="00132E65">
        <w:rPr>
          <w:rtl/>
        </w:rPr>
        <w:t>« ومضى لأربع</w:t>
      </w:r>
      <w:r>
        <w:rPr>
          <w:rtl/>
        </w:rPr>
        <w:t xml:space="preserve"> - </w:t>
      </w:r>
      <w:r w:rsidRPr="00132E65">
        <w:rPr>
          <w:rtl/>
        </w:rPr>
        <w:t>إلى</w:t>
      </w:r>
      <w:r>
        <w:rPr>
          <w:rtl/>
        </w:rPr>
        <w:t xml:space="preserve"> - </w:t>
      </w:r>
      <w:r w:rsidRPr="00132E65">
        <w:rPr>
          <w:rtl/>
        </w:rPr>
        <w:t>سمانة »</w:t>
      </w:r>
      <w:r>
        <w:rPr>
          <w:rtl/>
        </w:rPr>
        <w:t>.</w:t>
      </w:r>
    </w:p>
    <w:p w:rsidR="000C39D1" w:rsidRPr="00132E65" w:rsidRDefault="000C39D1" w:rsidP="00181081">
      <w:pPr>
        <w:pStyle w:val="libFootnote0"/>
        <w:rPr>
          <w:rtl/>
          <w:lang w:bidi="fa-IR"/>
        </w:rPr>
      </w:pPr>
      <w:r>
        <w:rPr>
          <w:rtl/>
        </w:rPr>
        <w:t>(2).</w:t>
      </w:r>
      <w:r w:rsidRPr="00132E65">
        <w:rPr>
          <w:rtl/>
        </w:rPr>
        <w:t xml:space="preserve"> </w:t>
      </w:r>
      <w:r w:rsidRPr="00181081">
        <w:rPr>
          <w:rStyle w:val="libFootnoteBoldChar"/>
          <w:rtl/>
        </w:rPr>
        <w:t>التهذيب</w:t>
      </w:r>
      <w:r w:rsidRPr="00132E65">
        <w:rPr>
          <w:rtl/>
        </w:rPr>
        <w:t xml:space="preserve"> ، ج 6 ، ص 92 ، مع اختلاف يسير </w:t>
      </w:r>
      <w:r w:rsidR="00181081">
        <w:rPr>
          <w:rFonts w:hint="cs"/>
          <w:rtl/>
        </w:rPr>
        <w:t>.</w:t>
      </w:r>
      <w:r w:rsidRPr="009D1ACE">
        <w:rPr>
          <w:rStyle w:val="libFootnoteBoldChar"/>
          <w:rtl/>
        </w:rPr>
        <w:t>الوافي</w:t>
      </w:r>
      <w:r w:rsidRPr="00132E65">
        <w:rPr>
          <w:rtl/>
        </w:rPr>
        <w:t xml:space="preserve"> ، ج 3 ، ص 841 ، ذيل ح 1454 ؛ </w:t>
      </w:r>
      <w:r w:rsidRPr="00181081">
        <w:rPr>
          <w:rStyle w:val="libFootnoteBoldChar"/>
          <w:rtl/>
        </w:rPr>
        <w:t>البحار</w:t>
      </w:r>
      <w:r w:rsidRPr="00132E65">
        <w:rPr>
          <w:rtl/>
        </w:rPr>
        <w:t xml:space="preserve"> ، ج 50 ، ص 116 ، ح 6 ؛ وص 205 ، ح 16.</w:t>
      </w:r>
      <w:r w:rsidR="00181081">
        <w:rPr>
          <w:rFonts w:hint="cs"/>
          <w:rtl/>
        </w:rPr>
        <w:t xml:space="preserve">               </w:t>
      </w:r>
      <w:r w:rsidR="0006034E">
        <w:rPr>
          <w:rFonts w:hint="cs"/>
          <w:rtl/>
        </w:rPr>
        <w:t xml:space="preserve"> </w:t>
      </w:r>
      <w:r w:rsidR="00181081">
        <w:rPr>
          <w:rFonts w:hint="cs"/>
          <w:rtl/>
        </w:rPr>
        <w:t xml:space="preserve">     </w:t>
      </w:r>
      <w:r>
        <w:rPr>
          <w:rtl/>
        </w:rPr>
        <w:t>(3).</w:t>
      </w:r>
      <w:r w:rsidRPr="00132E65">
        <w:rPr>
          <w:rtl/>
        </w:rPr>
        <w:t xml:space="preserve"> في « ف » : « قد قدمت »</w:t>
      </w:r>
      <w:r>
        <w:rPr>
          <w:rtl/>
        </w:rPr>
        <w:t>.</w:t>
      </w:r>
    </w:p>
    <w:tbl>
      <w:tblPr>
        <w:tblStyle w:val="TableGrid"/>
        <w:bidiVisual/>
        <w:tblW w:w="0" w:type="auto"/>
        <w:tblLook w:val="04A0" w:firstRow="1" w:lastRow="0" w:firstColumn="1" w:lastColumn="0" w:noHBand="0" w:noVBand="1"/>
      </w:tblPr>
      <w:tblGrid>
        <w:gridCol w:w="4261"/>
        <w:gridCol w:w="4262"/>
      </w:tblGrid>
      <w:tr w:rsidR="00181081" w:rsidTr="00181081">
        <w:tc>
          <w:tcPr>
            <w:tcW w:w="4261" w:type="dxa"/>
          </w:tcPr>
          <w:p w:rsidR="00181081" w:rsidRDefault="00181081" w:rsidP="000C39D1">
            <w:pPr>
              <w:pStyle w:val="libFootnote0"/>
              <w:rPr>
                <w:rtl/>
              </w:rPr>
            </w:pPr>
            <w:r>
              <w:rPr>
                <w:rtl/>
              </w:rPr>
              <w:t>(4).</w:t>
            </w:r>
            <w:r w:rsidRPr="00132E65">
              <w:rPr>
                <w:rtl/>
              </w:rPr>
              <w:t xml:space="preserve"> في الإرشاد :</w:t>
            </w:r>
            <w:r>
              <w:rPr>
                <w:rtl/>
              </w:rPr>
              <w:t xml:space="preserve"> + </w:t>
            </w:r>
            <w:r w:rsidRPr="00132E65">
              <w:rPr>
                <w:rtl/>
              </w:rPr>
              <w:t>« عليّ بن محمّد »</w:t>
            </w:r>
            <w:r>
              <w:rPr>
                <w:rtl/>
              </w:rPr>
              <w:t>.</w:t>
            </w:r>
          </w:p>
        </w:tc>
        <w:tc>
          <w:tcPr>
            <w:tcW w:w="4262" w:type="dxa"/>
          </w:tcPr>
          <w:p w:rsidR="00181081" w:rsidRDefault="00181081" w:rsidP="000C39D1">
            <w:pPr>
              <w:pStyle w:val="libFootnote0"/>
              <w:rPr>
                <w:rtl/>
              </w:rPr>
            </w:pPr>
            <w:r>
              <w:rPr>
                <w:rtl/>
              </w:rPr>
              <w:t>(5).</w:t>
            </w:r>
            <w:r w:rsidRPr="00132E65">
              <w:rPr>
                <w:rtl/>
              </w:rPr>
              <w:t xml:space="preserve"> في « ض » : « فقلت »</w:t>
            </w:r>
            <w:r>
              <w:rPr>
                <w:rtl/>
              </w:rPr>
              <w:t>.</w:t>
            </w:r>
          </w:p>
        </w:tc>
      </w:tr>
      <w:tr w:rsidR="00181081" w:rsidTr="00181081">
        <w:tc>
          <w:tcPr>
            <w:tcW w:w="4261" w:type="dxa"/>
          </w:tcPr>
          <w:p w:rsidR="00181081" w:rsidRDefault="00181081" w:rsidP="000C39D1">
            <w:pPr>
              <w:pStyle w:val="libFootnote0"/>
              <w:rPr>
                <w:rtl/>
              </w:rPr>
            </w:pPr>
            <w:r>
              <w:rPr>
                <w:rtl/>
              </w:rPr>
              <w:t>(6).</w:t>
            </w:r>
            <w:r w:rsidRPr="00132E65">
              <w:rPr>
                <w:rtl/>
              </w:rPr>
              <w:t xml:space="preserve"> في « بس » : « به عهدي »</w:t>
            </w:r>
            <w:r>
              <w:rPr>
                <w:rtl/>
              </w:rPr>
              <w:t>.</w:t>
            </w:r>
          </w:p>
        </w:tc>
        <w:tc>
          <w:tcPr>
            <w:tcW w:w="4262" w:type="dxa"/>
          </w:tcPr>
          <w:p w:rsidR="00181081" w:rsidRDefault="00181081" w:rsidP="000C39D1">
            <w:pPr>
              <w:pStyle w:val="libFootnote0"/>
              <w:rPr>
                <w:rtl/>
              </w:rPr>
            </w:pPr>
            <w:r>
              <w:rPr>
                <w:rtl/>
              </w:rPr>
              <w:t>(7).</w:t>
            </w:r>
            <w:r w:rsidRPr="00132E65">
              <w:rPr>
                <w:rtl/>
              </w:rPr>
              <w:t xml:space="preserve"> في « ب ، ج » :</w:t>
            </w:r>
            <w:r>
              <w:rPr>
                <w:rtl/>
              </w:rPr>
              <w:t xml:space="preserve"> + </w:t>
            </w:r>
            <w:r w:rsidRPr="00132E65">
              <w:rPr>
                <w:rtl/>
              </w:rPr>
              <w:t>« قد مات »</w:t>
            </w:r>
            <w:r>
              <w:rPr>
                <w:rtl/>
              </w:rPr>
              <w:t>.</w:t>
            </w:r>
          </w:p>
        </w:tc>
      </w:tr>
    </w:tbl>
    <w:p w:rsidR="000C39D1" w:rsidRPr="00132E65" w:rsidRDefault="000C39D1" w:rsidP="000C39D1">
      <w:pPr>
        <w:pStyle w:val="libFootnote0"/>
        <w:rPr>
          <w:rtl/>
          <w:lang w:bidi="fa-IR"/>
        </w:rPr>
      </w:pPr>
      <w:r>
        <w:rPr>
          <w:rtl/>
        </w:rPr>
        <w:t>(8).</w:t>
      </w:r>
      <w:r w:rsidRPr="00132E65">
        <w:rPr>
          <w:rtl/>
        </w:rPr>
        <w:t xml:space="preserve"> في الإرشاد : « فقلت : أنا أقرب الناس به عهداً. قال : فقال لي : إنّ الناس يقولون : إنّه مات ، فلمّا قال لي : إنّ</w:t>
      </w:r>
      <w:r w:rsidR="00181081">
        <w:rPr>
          <w:rFonts w:hint="cs"/>
          <w:rtl/>
        </w:rPr>
        <w:t xml:space="preserve"> </w:t>
      </w:r>
      <w:r w:rsidRPr="00132E65">
        <w:rPr>
          <w:rtl/>
        </w:rPr>
        <w:t>‌الناس يقولون علمت أنّه يعني نفسه ، ثمّ قال لي » بدل « فلمّا أن</w:t>
      </w:r>
      <w:r>
        <w:rPr>
          <w:rtl/>
        </w:rPr>
        <w:t xml:space="preserve"> - </w:t>
      </w:r>
      <w:r w:rsidRPr="00132E65">
        <w:rPr>
          <w:rtl/>
        </w:rPr>
        <w:t>إلى</w:t>
      </w:r>
      <w:r>
        <w:rPr>
          <w:rtl/>
        </w:rPr>
        <w:t xml:space="preserve"> - </w:t>
      </w:r>
      <w:r w:rsidRPr="00132E65">
        <w:rPr>
          <w:rtl/>
        </w:rPr>
        <w:t>قال لي »</w:t>
      </w:r>
      <w:r>
        <w:rPr>
          <w:rtl/>
        </w:rPr>
        <w:t>.</w:t>
      </w:r>
      <w:r w:rsidRPr="00132E65">
        <w:rPr>
          <w:rtl/>
        </w:rPr>
        <w:t xml:space="preserve"> والمراد بقوله : « الناس » هو أهل المدينة. وقال في </w:t>
      </w:r>
      <w:r w:rsidRPr="009D1ACE">
        <w:rPr>
          <w:rStyle w:val="libFootnoteBoldChar"/>
          <w:rtl/>
        </w:rPr>
        <w:t>الوافي</w:t>
      </w:r>
      <w:r w:rsidR="00181081">
        <w:rPr>
          <w:rtl/>
        </w:rPr>
        <w:t xml:space="preserve"> : « يعني لم</w:t>
      </w:r>
      <w:r w:rsidR="00181081">
        <w:rPr>
          <w:rFonts w:hint="cs"/>
          <w:rtl/>
        </w:rPr>
        <w:t>ـّ</w:t>
      </w:r>
      <w:r w:rsidRPr="00132E65">
        <w:rPr>
          <w:rtl/>
        </w:rPr>
        <w:t>ا نسب ذلك القول إلى أهل المدينة علمت أنّ القائل هو نفسه »</w:t>
      </w:r>
      <w:r>
        <w:rPr>
          <w:rtl/>
        </w:rPr>
        <w:t>.</w:t>
      </w:r>
    </w:p>
    <w:tbl>
      <w:tblPr>
        <w:tblStyle w:val="TableGrid"/>
        <w:bidiVisual/>
        <w:tblW w:w="0" w:type="auto"/>
        <w:tblLook w:val="04A0" w:firstRow="1" w:lastRow="0" w:firstColumn="1" w:lastColumn="0" w:noHBand="0" w:noVBand="1"/>
      </w:tblPr>
      <w:tblGrid>
        <w:gridCol w:w="4261"/>
        <w:gridCol w:w="4262"/>
      </w:tblGrid>
      <w:tr w:rsidR="00181081" w:rsidTr="00181081">
        <w:tc>
          <w:tcPr>
            <w:tcW w:w="4261" w:type="dxa"/>
          </w:tcPr>
          <w:p w:rsidR="00181081" w:rsidRDefault="00181081" w:rsidP="000C39D1">
            <w:pPr>
              <w:pStyle w:val="libFootnote0"/>
              <w:rPr>
                <w:rtl/>
              </w:rPr>
            </w:pPr>
            <w:r>
              <w:rPr>
                <w:rtl/>
              </w:rPr>
              <w:t>(9).</w:t>
            </w:r>
            <w:r w:rsidRPr="00132E65">
              <w:rPr>
                <w:rtl/>
              </w:rPr>
              <w:t xml:space="preserve"> أي المتوكّل على الله ، جعفر بن المعتصم.</w:t>
            </w:r>
          </w:p>
        </w:tc>
        <w:tc>
          <w:tcPr>
            <w:tcW w:w="4262" w:type="dxa"/>
          </w:tcPr>
          <w:p w:rsidR="00181081" w:rsidRDefault="00181081" w:rsidP="000C39D1">
            <w:pPr>
              <w:pStyle w:val="libFootnote0"/>
              <w:rPr>
                <w:rtl/>
              </w:rPr>
            </w:pPr>
            <w:r>
              <w:rPr>
                <w:rtl/>
              </w:rPr>
              <w:t>(10).</w:t>
            </w:r>
            <w:r w:rsidRPr="00132E65">
              <w:rPr>
                <w:rtl/>
              </w:rPr>
              <w:t xml:space="preserve"> في « ج » :</w:t>
            </w:r>
            <w:r>
              <w:rPr>
                <w:rtl/>
              </w:rPr>
              <w:t xml:space="preserve"> + </w:t>
            </w:r>
            <w:r w:rsidRPr="00132E65">
              <w:rPr>
                <w:rtl/>
              </w:rPr>
              <w:t>« لي »</w:t>
            </w:r>
            <w:r>
              <w:rPr>
                <w:rtl/>
              </w:rPr>
              <w:t>.</w:t>
            </w:r>
          </w:p>
        </w:tc>
      </w:tr>
      <w:tr w:rsidR="00181081" w:rsidTr="00181081">
        <w:tc>
          <w:tcPr>
            <w:tcW w:w="4261" w:type="dxa"/>
          </w:tcPr>
          <w:p w:rsidR="00181081" w:rsidRDefault="00181081" w:rsidP="000C39D1">
            <w:pPr>
              <w:pStyle w:val="libFootnote0"/>
              <w:rPr>
                <w:rtl/>
              </w:rPr>
            </w:pPr>
            <w:r>
              <w:rPr>
                <w:rtl/>
              </w:rPr>
              <w:t>(11).</w:t>
            </w:r>
            <w:r w:rsidRPr="00132E65">
              <w:rPr>
                <w:rtl/>
              </w:rPr>
              <w:t xml:space="preserve"> في الإرشاد </w:t>
            </w:r>
            <w:r>
              <w:rPr>
                <w:rtl/>
              </w:rPr>
              <w:t xml:space="preserve">: - </w:t>
            </w:r>
            <w:r w:rsidRPr="00132E65">
              <w:rPr>
                <w:rtl/>
              </w:rPr>
              <w:t>« جعلت فداك »</w:t>
            </w:r>
            <w:r>
              <w:rPr>
                <w:rtl/>
              </w:rPr>
              <w:t>.</w:t>
            </w:r>
          </w:p>
        </w:tc>
        <w:tc>
          <w:tcPr>
            <w:tcW w:w="4262" w:type="dxa"/>
          </w:tcPr>
          <w:p w:rsidR="00181081" w:rsidRDefault="00181081" w:rsidP="000C39D1">
            <w:pPr>
              <w:pStyle w:val="libFootnote0"/>
              <w:rPr>
                <w:rtl/>
              </w:rPr>
            </w:pPr>
            <w:r>
              <w:rPr>
                <w:rtl/>
              </w:rPr>
              <w:t>(12).</w:t>
            </w:r>
            <w:r w:rsidRPr="00132E65">
              <w:rPr>
                <w:rtl/>
              </w:rPr>
              <w:t xml:space="preserve"> في الإرشاد </w:t>
            </w:r>
            <w:r>
              <w:rPr>
                <w:rtl/>
              </w:rPr>
              <w:t xml:space="preserve">: - </w:t>
            </w:r>
            <w:r w:rsidRPr="00132E65">
              <w:rPr>
                <w:rtl/>
              </w:rPr>
              <w:t>« قال »</w:t>
            </w:r>
            <w:r>
              <w:rPr>
                <w:rtl/>
              </w:rPr>
              <w:t>.</w:t>
            </w:r>
          </w:p>
        </w:tc>
      </w:tr>
      <w:tr w:rsidR="00181081" w:rsidTr="00181081">
        <w:tc>
          <w:tcPr>
            <w:tcW w:w="4261" w:type="dxa"/>
          </w:tcPr>
          <w:p w:rsidR="00181081" w:rsidRDefault="00181081" w:rsidP="000C39D1">
            <w:pPr>
              <w:pStyle w:val="libFootnote0"/>
              <w:rPr>
                <w:rtl/>
              </w:rPr>
            </w:pPr>
            <w:r>
              <w:rPr>
                <w:rtl/>
              </w:rPr>
              <w:t>(13)</w:t>
            </w:r>
            <w:r w:rsidRPr="00132E65">
              <w:rPr>
                <w:rtl/>
              </w:rPr>
              <w:t xml:space="preserve"> في « ض » </w:t>
            </w:r>
            <w:r>
              <w:rPr>
                <w:rtl/>
              </w:rPr>
              <w:t xml:space="preserve">: - </w:t>
            </w:r>
            <w:r w:rsidRPr="00132E65">
              <w:rPr>
                <w:rtl/>
              </w:rPr>
              <w:t>« لي »</w:t>
            </w:r>
            <w:r>
              <w:rPr>
                <w:rtl/>
              </w:rPr>
              <w:t>.</w:t>
            </w:r>
          </w:p>
        </w:tc>
        <w:tc>
          <w:tcPr>
            <w:tcW w:w="4262" w:type="dxa"/>
          </w:tcPr>
          <w:p w:rsidR="00181081" w:rsidRDefault="00181081" w:rsidP="000C39D1">
            <w:pPr>
              <w:pStyle w:val="libFootnote0"/>
              <w:rPr>
                <w:rtl/>
              </w:rPr>
            </w:pPr>
            <w:r>
              <w:rPr>
                <w:rtl/>
              </w:rPr>
              <w:t>(14)</w:t>
            </w:r>
            <w:r w:rsidRPr="00132E65">
              <w:rPr>
                <w:rtl/>
              </w:rPr>
              <w:t xml:space="preserve"> في « ب » </w:t>
            </w:r>
            <w:r>
              <w:rPr>
                <w:rtl/>
              </w:rPr>
              <w:t xml:space="preserve">: - </w:t>
            </w:r>
            <w:r w:rsidRPr="00132E65">
              <w:rPr>
                <w:rtl/>
              </w:rPr>
              <w:t>« أن »</w:t>
            </w:r>
            <w:r>
              <w:rPr>
                <w:rtl/>
              </w:rPr>
              <w:t>.</w:t>
            </w:r>
          </w:p>
        </w:tc>
      </w:tr>
    </w:tbl>
    <w:p w:rsidR="000C39D1" w:rsidRPr="00132E65" w:rsidRDefault="000C39D1" w:rsidP="000C39D1">
      <w:pPr>
        <w:pStyle w:val="libFootnote0"/>
        <w:rPr>
          <w:rtl/>
          <w:lang w:bidi="fa-IR"/>
        </w:rPr>
      </w:pPr>
      <w:r>
        <w:rPr>
          <w:rtl/>
        </w:rPr>
        <w:t>(15)</w:t>
      </w:r>
      <w:r w:rsidRPr="00132E65">
        <w:rPr>
          <w:rtl/>
        </w:rPr>
        <w:t xml:space="preserve"> في حاشية « ف » :</w:t>
      </w:r>
      <w:r>
        <w:rPr>
          <w:rtl/>
        </w:rPr>
        <w:t xml:space="preserve"> + </w:t>
      </w:r>
      <w:r w:rsidRPr="00132E65">
        <w:rPr>
          <w:rtl/>
        </w:rPr>
        <w:t>« مقعده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فَقُلْتُ </w:t>
      </w:r>
      <w:r>
        <w:rPr>
          <w:rStyle w:val="libFootnotenumChar"/>
          <w:rtl/>
        </w:rPr>
        <w:t>(1)</w:t>
      </w:r>
      <w:r w:rsidRPr="00132E65">
        <w:rPr>
          <w:rtl/>
          <w:lang w:bidi="fa-IR"/>
        </w:rPr>
        <w:t xml:space="preserve"> : مَتى جُعِلْتُ فِدَاكَ</w:t>
      </w:r>
      <w:r>
        <w:rPr>
          <w:rtl/>
          <w:lang w:bidi="fa-IR"/>
        </w:rPr>
        <w:t>؟</w:t>
      </w:r>
      <w:r w:rsidRPr="00132E65">
        <w:rPr>
          <w:rtl/>
          <w:lang w:bidi="fa-IR"/>
        </w:rPr>
        <w:t xml:space="preserve"> قَالَ : « بَعْدَ خُرُوجِكَ بِسِتَّةِ أَيَّامٍ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1D47D3">
        <w:rPr>
          <w:rtl/>
        </w:rPr>
        <w:t>1322</w:t>
      </w:r>
      <w:r w:rsidRPr="004325D8">
        <w:rPr>
          <w:rStyle w:val="libBold2Char"/>
          <w:rtl/>
        </w:rPr>
        <w:t xml:space="preserve"> / 2.</w:t>
      </w:r>
      <w:r w:rsidRPr="00132E65">
        <w:rPr>
          <w:rtl/>
          <w:lang w:bidi="fa-IR"/>
        </w:rPr>
        <w:t xml:space="preserve"> الْحُسَيْنُ بْنُ مُحَمَّدٍ ، عَنْ مُعَلَّى بْنِ مُحَمَّدٍ ، عَنْ أَحْمَدَ بْنِ مُحَمَّدِ بْنِ عَبْدِ اللهِ ، عَنْ مُحَمَّدِ بْنِ يَحْيى ، عَنْ صَالِحِ بْنِ سَعِيدٍ ، قَالَ :</w:t>
      </w:r>
    </w:p>
    <w:p w:rsidR="000C39D1" w:rsidRPr="00132E65" w:rsidRDefault="000C39D1" w:rsidP="000C39D1">
      <w:pPr>
        <w:pStyle w:val="libNormal"/>
        <w:rPr>
          <w:rtl/>
          <w:lang w:bidi="fa-IR"/>
        </w:rPr>
      </w:pPr>
      <w:r w:rsidRPr="00132E65">
        <w:rPr>
          <w:rtl/>
          <w:lang w:bidi="fa-IR"/>
        </w:rPr>
        <w:t xml:space="preserve">دَخَلْتُ عَلى أَبِي الْحَسَنِ </w:t>
      </w:r>
      <w:r w:rsidRPr="00071CF9">
        <w:rPr>
          <w:rStyle w:val="libAlaemChar"/>
          <w:rtl/>
        </w:rPr>
        <w:t>عليه‌السلام</w:t>
      </w:r>
      <w:r w:rsidRPr="00132E65">
        <w:rPr>
          <w:rtl/>
          <w:lang w:bidi="fa-IR"/>
        </w:rPr>
        <w:t xml:space="preserve"> </w:t>
      </w:r>
      <w:r>
        <w:rPr>
          <w:rStyle w:val="libFootnotenumChar"/>
          <w:rtl/>
        </w:rPr>
        <w:t>(3)</w:t>
      </w:r>
      <w:r w:rsidRPr="00132E65">
        <w:rPr>
          <w:rtl/>
          <w:lang w:bidi="fa-IR"/>
        </w:rPr>
        <w:t xml:space="preserve"> ، فَقُلْتُ لَهُ </w:t>
      </w:r>
      <w:r>
        <w:rPr>
          <w:rStyle w:val="libFootnotenumChar"/>
          <w:rtl/>
        </w:rPr>
        <w:t>(4)</w:t>
      </w:r>
      <w:r w:rsidRPr="00132E65">
        <w:rPr>
          <w:rtl/>
          <w:lang w:bidi="fa-IR"/>
        </w:rPr>
        <w:t xml:space="preserve"> : جُعِلْتُ فِدَاكَ ، فِي كُلِّ الْأُمُورِ أَرَادُوا إِطْفَاءَ نُورِكَ ، والتَّقْصِيرَ </w:t>
      </w:r>
      <w:r>
        <w:rPr>
          <w:rStyle w:val="libFootnotenumChar"/>
          <w:rtl/>
        </w:rPr>
        <w:t>(5)</w:t>
      </w:r>
      <w:r w:rsidRPr="00132E65">
        <w:rPr>
          <w:rtl/>
          <w:lang w:bidi="fa-IR"/>
        </w:rPr>
        <w:t xml:space="preserve"> بِكَ حَتّى أَنْزَلُوكَ </w:t>
      </w:r>
      <w:r>
        <w:rPr>
          <w:rStyle w:val="libFootnotenumChar"/>
          <w:rtl/>
        </w:rPr>
        <w:t>(6)</w:t>
      </w:r>
      <w:r w:rsidRPr="00132E65">
        <w:rPr>
          <w:rtl/>
          <w:lang w:bidi="fa-IR"/>
        </w:rPr>
        <w:t xml:space="preserve"> هذَا الْخَانَ </w:t>
      </w:r>
      <w:r>
        <w:rPr>
          <w:rStyle w:val="libFootnotenumChar"/>
          <w:rtl/>
        </w:rPr>
        <w:t>(7)</w:t>
      </w:r>
      <w:r w:rsidRPr="00132E65">
        <w:rPr>
          <w:rtl/>
          <w:lang w:bidi="fa-IR"/>
        </w:rPr>
        <w:t xml:space="preserve"> الْأَشْنَعَ ، خَانَ الصَّعَالِيكَ </w:t>
      </w:r>
      <w:r>
        <w:rPr>
          <w:rStyle w:val="libFootnotenumChar"/>
          <w:rtl/>
        </w:rPr>
        <w:t>(8)</w:t>
      </w:r>
      <w:r w:rsidR="0087439A" w:rsidRPr="0087439A">
        <w:rPr>
          <w:rFonts w:hint="cs"/>
          <w:rtl/>
        </w:rPr>
        <w:t>.</w:t>
      </w:r>
    </w:p>
    <w:p w:rsidR="000C39D1" w:rsidRPr="00132E65" w:rsidRDefault="000C39D1" w:rsidP="000C39D1">
      <w:pPr>
        <w:pStyle w:val="libNormal"/>
        <w:rPr>
          <w:rtl/>
          <w:lang w:bidi="fa-IR"/>
        </w:rPr>
      </w:pPr>
      <w:r w:rsidRPr="00132E65">
        <w:rPr>
          <w:rtl/>
          <w:lang w:bidi="fa-IR"/>
        </w:rPr>
        <w:t xml:space="preserve">فَقَالَ : « هَاهُنَا أَنْتَ يَا ابْنَ سَعِيدٍ </w:t>
      </w:r>
      <w:r>
        <w:rPr>
          <w:rStyle w:val="libFootnotenumChar"/>
          <w:rtl/>
        </w:rPr>
        <w:t>(9)</w:t>
      </w:r>
      <w:r>
        <w:rPr>
          <w:rtl/>
          <w:lang w:bidi="fa-IR"/>
        </w:rPr>
        <w:t>؟</w:t>
      </w:r>
      <w:r w:rsidRPr="00132E65">
        <w:rPr>
          <w:rtl/>
          <w:lang w:bidi="fa-IR"/>
        </w:rPr>
        <w:t xml:space="preserve"> » ثُمَّ أَوْمَأَ بِيَدِهِ ، وقَالَ : « انْظُرْ » فَنَظَرْتُ </w:t>
      </w:r>
      <w:r>
        <w:rPr>
          <w:rStyle w:val="libFootnotenumChar"/>
          <w:rtl/>
        </w:rPr>
        <w:t>(10)</w:t>
      </w:r>
      <w:r w:rsidRPr="00132E65">
        <w:rPr>
          <w:rtl/>
          <w:lang w:bidi="fa-IR"/>
        </w:rPr>
        <w:t xml:space="preserve"> ، فَإِذَا أَنَا </w:t>
      </w:r>
      <w:r>
        <w:rPr>
          <w:rStyle w:val="libFootnotenumChar"/>
          <w:rtl/>
        </w:rPr>
        <w:t>(11)</w:t>
      </w:r>
      <w:r w:rsidRPr="00132E65">
        <w:rPr>
          <w:rtl/>
          <w:lang w:bidi="fa-IR"/>
        </w:rPr>
        <w:t xml:space="preserve"> بِرَوْضَاتٍ أَنِقَاتٍ </w:t>
      </w:r>
      <w:r>
        <w:rPr>
          <w:rStyle w:val="libFootnotenumChar"/>
          <w:rtl/>
        </w:rPr>
        <w:t>(12)</w:t>
      </w:r>
      <w:r w:rsidRPr="00132E65">
        <w:rPr>
          <w:rtl/>
          <w:lang w:bidi="fa-IR"/>
        </w:rPr>
        <w:t xml:space="preserve"> ، ورَوْضَاتٍ بَاسِرَاتٍ </w:t>
      </w:r>
      <w:r w:rsidRPr="00F543F1">
        <w:rPr>
          <w:rStyle w:val="libFootnotenumChar"/>
          <w:rtl/>
        </w:rPr>
        <w:t>(13)</w:t>
      </w:r>
      <w:r w:rsidRPr="00132E65">
        <w:rPr>
          <w:rtl/>
          <w:lang w:bidi="fa-IR"/>
        </w:rPr>
        <w:t xml:space="preserve"> ، فِيهِنَّ </w:t>
      </w:r>
      <w:r w:rsidRPr="00F543F1">
        <w:rPr>
          <w:rStyle w:val="libFootnotenumChar"/>
          <w:rtl/>
        </w:rPr>
        <w:t>(14)</w:t>
      </w:r>
      <w:r w:rsidR="0087439A">
        <w:rPr>
          <w:rtl/>
          <w:lang w:bidi="fa-IR"/>
        </w:rPr>
        <w:t xml:space="preserve"> خَيْرَاتٌ عَطِرَاتٌ ، و</w:t>
      </w:r>
      <w:r w:rsidR="0087439A">
        <w:rPr>
          <w:rFonts w:hint="cs"/>
          <w:rtl/>
          <w:lang w:bidi="fa-IR"/>
        </w:rPr>
        <w:t xml:space="preserve">َ </w:t>
      </w:r>
      <w:r w:rsidR="0087439A">
        <w:rPr>
          <w:rtl/>
          <w:lang w:bidi="fa-IR"/>
        </w:rPr>
        <w:t>و</w:t>
      </w:r>
      <w:r w:rsidR="0087439A">
        <w:rPr>
          <w:rFonts w:hint="cs"/>
          <w:rtl/>
          <w:lang w:bidi="fa-IR"/>
        </w:rPr>
        <w:t>ِ</w:t>
      </w:r>
      <w:r w:rsidRPr="00132E65">
        <w:rPr>
          <w:rtl/>
          <w:lang w:bidi="fa-IR"/>
        </w:rPr>
        <w:t>لْدَانٌ كَأَنَّهُنَّ‌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قلت »</w:t>
      </w:r>
      <w:r>
        <w:rPr>
          <w:rtl/>
        </w:rPr>
        <w:t>.</w:t>
      </w:r>
    </w:p>
    <w:p w:rsidR="000C39D1" w:rsidRPr="00132E65" w:rsidRDefault="000C39D1" w:rsidP="0087439A">
      <w:pPr>
        <w:pStyle w:val="libFootnote0"/>
        <w:rPr>
          <w:rtl/>
          <w:lang w:bidi="fa-IR"/>
        </w:rPr>
      </w:pPr>
      <w:r>
        <w:rPr>
          <w:rtl/>
        </w:rPr>
        <w:t>(2).</w:t>
      </w:r>
      <w:r w:rsidRPr="00132E65">
        <w:rPr>
          <w:rtl/>
        </w:rPr>
        <w:t xml:space="preserve"> </w:t>
      </w:r>
      <w:r w:rsidRPr="001D47D3">
        <w:rPr>
          <w:rtl/>
        </w:rPr>
        <w:t>الإرشاد</w:t>
      </w:r>
      <w:r w:rsidRPr="00132E65">
        <w:rPr>
          <w:rtl/>
        </w:rPr>
        <w:t xml:space="preserve"> ، ج 2 ، ص 301 ، بسنده عن الكليني</w:t>
      </w:r>
      <w:r w:rsidR="0087439A">
        <w:rPr>
          <w:rFonts w:hint="cs"/>
          <w:rtl/>
        </w:rPr>
        <w:t>.</w:t>
      </w:r>
      <w:r w:rsidRPr="001D47D3">
        <w:rPr>
          <w:rtl/>
        </w:rPr>
        <w:t>الوافى</w:t>
      </w:r>
      <w:r w:rsidRPr="00132E65">
        <w:rPr>
          <w:rtl/>
        </w:rPr>
        <w:t xml:space="preserve"> ، ج 3 ، ص 834 ، ح 1446.</w:t>
      </w:r>
    </w:p>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يوم وروده »</w:t>
      </w:r>
      <w:r>
        <w:rPr>
          <w:rtl/>
        </w:rPr>
        <w:t>.</w:t>
      </w:r>
    </w:p>
    <w:p w:rsidR="000C39D1" w:rsidRPr="00132E65" w:rsidRDefault="000C39D1" w:rsidP="000C39D1">
      <w:pPr>
        <w:pStyle w:val="libFootnote0"/>
        <w:rPr>
          <w:rtl/>
          <w:lang w:bidi="fa-IR"/>
        </w:rPr>
      </w:pPr>
      <w:r>
        <w:rPr>
          <w:rtl/>
        </w:rPr>
        <w:t>(4).</w:t>
      </w:r>
      <w:r w:rsidRPr="00132E65">
        <w:rPr>
          <w:rtl/>
        </w:rPr>
        <w:t xml:space="preserve"> في « ف » والبصائر ، ص 406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261"/>
        <w:gridCol w:w="4262"/>
      </w:tblGrid>
      <w:tr w:rsidR="0087439A" w:rsidTr="0087439A">
        <w:tc>
          <w:tcPr>
            <w:tcW w:w="4261" w:type="dxa"/>
          </w:tcPr>
          <w:p w:rsidR="0087439A" w:rsidRDefault="0087439A" w:rsidP="000C39D1">
            <w:pPr>
              <w:pStyle w:val="libFootnote0"/>
              <w:rPr>
                <w:rtl/>
              </w:rPr>
            </w:pPr>
            <w:r>
              <w:rPr>
                <w:rtl/>
              </w:rPr>
              <w:t>(5).</w:t>
            </w:r>
            <w:r w:rsidRPr="00132E65">
              <w:rPr>
                <w:rtl/>
              </w:rPr>
              <w:t xml:space="preserve"> في حاشية « بر » : « والنقص »</w:t>
            </w:r>
            <w:r>
              <w:rPr>
                <w:rtl/>
              </w:rPr>
              <w:t>.</w:t>
            </w:r>
          </w:p>
        </w:tc>
        <w:tc>
          <w:tcPr>
            <w:tcW w:w="4262" w:type="dxa"/>
          </w:tcPr>
          <w:p w:rsidR="0087439A" w:rsidRDefault="0087439A" w:rsidP="000C39D1">
            <w:pPr>
              <w:pStyle w:val="libFootnote0"/>
              <w:rPr>
                <w:rtl/>
              </w:rPr>
            </w:pPr>
            <w:r>
              <w:rPr>
                <w:rtl/>
              </w:rPr>
              <w:t>(6).</w:t>
            </w:r>
            <w:r w:rsidRPr="00132E65">
              <w:rPr>
                <w:rtl/>
              </w:rPr>
              <w:t xml:space="preserve"> في « ف » :</w:t>
            </w:r>
            <w:r>
              <w:rPr>
                <w:rtl/>
              </w:rPr>
              <w:t xml:space="preserve"> + </w:t>
            </w:r>
            <w:r w:rsidRPr="00132E65">
              <w:rPr>
                <w:rtl/>
              </w:rPr>
              <w:t>« على »</w:t>
            </w:r>
            <w:r>
              <w:rPr>
                <w:rtl/>
              </w:rPr>
              <w:t>.</w:t>
            </w:r>
          </w:p>
        </w:tc>
      </w:tr>
    </w:tbl>
    <w:p w:rsidR="000C39D1" w:rsidRPr="00132E65" w:rsidRDefault="000C39D1" w:rsidP="000C39D1">
      <w:pPr>
        <w:pStyle w:val="libFootnote0"/>
        <w:rPr>
          <w:rtl/>
          <w:lang w:bidi="fa-IR"/>
        </w:rPr>
      </w:pPr>
      <w:r>
        <w:rPr>
          <w:rtl/>
        </w:rPr>
        <w:t>(7).</w:t>
      </w:r>
      <w:r w:rsidRPr="00132E65">
        <w:rPr>
          <w:rtl/>
        </w:rPr>
        <w:t xml:space="preserve"> « الخان » : ما ينزله المسافرون. راجع : </w:t>
      </w:r>
      <w:r w:rsidRPr="001D47D3">
        <w:rPr>
          <w:rtl/>
        </w:rPr>
        <w:t>الصحاح</w:t>
      </w:r>
      <w:r w:rsidRPr="00132E65">
        <w:rPr>
          <w:rtl/>
        </w:rPr>
        <w:t xml:space="preserve"> ، ج 5 ، ص 2110 ؛ </w:t>
      </w:r>
      <w:r w:rsidRPr="001D47D3">
        <w:rPr>
          <w:rtl/>
        </w:rPr>
        <w:t>المصباح المنير</w:t>
      </w:r>
      <w:r w:rsidRPr="00132E65">
        <w:rPr>
          <w:rtl/>
        </w:rPr>
        <w:t xml:space="preserve"> ، ص 184 ( خون )</w:t>
      </w:r>
      <w:r>
        <w:rPr>
          <w:rtl/>
        </w:rPr>
        <w:t>.</w:t>
      </w:r>
    </w:p>
    <w:p w:rsidR="000C39D1" w:rsidRPr="00132E65" w:rsidRDefault="000C39D1" w:rsidP="000C39D1">
      <w:pPr>
        <w:pStyle w:val="libFootnote0"/>
        <w:rPr>
          <w:rtl/>
          <w:lang w:bidi="fa-IR"/>
        </w:rPr>
      </w:pPr>
      <w:r>
        <w:rPr>
          <w:rtl/>
        </w:rPr>
        <w:t>(8).</w:t>
      </w:r>
      <w:r w:rsidRPr="00132E65">
        <w:rPr>
          <w:rtl/>
        </w:rPr>
        <w:t xml:space="preserve"> « الصعاليك » : جمع الصُعْلُوك ، وهو الفقير الذي لا مال له ولا اعتماد. راجع : </w:t>
      </w:r>
      <w:r w:rsidRPr="009D1ACE">
        <w:rPr>
          <w:rStyle w:val="libFootnoteBoldChar"/>
          <w:rtl/>
        </w:rPr>
        <w:t>لسان العرب</w:t>
      </w:r>
      <w:r w:rsidRPr="00132E65">
        <w:rPr>
          <w:rtl/>
        </w:rPr>
        <w:t xml:space="preserve"> ، ج 8 ، ص 455 ( صعلك )</w:t>
      </w:r>
      <w:r>
        <w:rPr>
          <w:rtl/>
        </w:rPr>
        <w:t>.</w:t>
      </w:r>
    </w:p>
    <w:p w:rsidR="000C39D1" w:rsidRPr="00132E65" w:rsidRDefault="000C39D1" w:rsidP="000C39D1">
      <w:pPr>
        <w:pStyle w:val="libFootnote0"/>
        <w:rPr>
          <w:rtl/>
          <w:lang w:bidi="fa-IR"/>
        </w:rPr>
      </w:pPr>
      <w:r>
        <w:rPr>
          <w:rtl/>
        </w:rPr>
        <w:t>(9).</w:t>
      </w:r>
      <w:r w:rsidRPr="00132E65">
        <w:rPr>
          <w:rtl/>
        </w:rPr>
        <w:t xml:space="preserve"> في </w:t>
      </w:r>
      <w:r w:rsidRPr="009D1ACE">
        <w:rPr>
          <w:rStyle w:val="libFootnoteBoldChar"/>
          <w:rtl/>
        </w:rPr>
        <w:t>الوافي</w:t>
      </w:r>
      <w:r w:rsidRPr="00132E65">
        <w:rPr>
          <w:rtl/>
        </w:rPr>
        <w:t xml:space="preserve"> : « يعني أنت بعدُ في هذا المقام في اعتقادك فينا وفي مكارمنا »</w:t>
      </w:r>
      <w:r>
        <w:rPr>
          <w:rtl/>
        </w:rPr>
        <w:t>.</w:t>
      </w:r>
    </w:p>
    <w:tbl>
      <w:tblPr>
        <w:tblStyle w:val="TableGrid"/>
        <w:bidiVisual/>
        <w:tblW w:w="0" w:type="auto"/>
        <w:tblLook w:val="04A0" w:firstRow="1" w:lastRow="0" w:firstColumn="1" w:lastColumn="0" w:noHBand="0" w:noVBand="1"/>
      </w:tblPr>
      <w:tblGrid>
        <w:gridCol w:w="4261"/>
        <w:gridCol w:w="4262"/>
      </w:tblGrid>
      <w:tr w:rsidR="00507373" w:rsidTr="00507373">
        <w:tc>
          <w:tcPr>
            <w:tcW w:w="4261" w:type="dxa"/>
          </w:tcPr>
          <w:p w:rsidR="00507373" w:rsidRDefault="00507373" w:rsidP="000C39D1">
            <w:pPr>
              <w:pStyle w:val="libFootnote0"/>
              <w:rPr>
                <w:rtl/>
              </w:rPr>
            </w:pPr>
            <w:r>
              <w:rPr>
                <w:rtl/>
              </w:rPr>
              <w:t>(10).</w:t>
            </w:r>
            <w:r w:rsidRPr="00132E65">
              <w:rPr>
                <w:rtl/>
              </w:rPr>
              <w:t xml:space="preserve"> في الإرشاد </w:t>
            </w:r>
            <w:r>
              <w:rPr>
                <w:rtl/>
              </w:rPr>
              <w:t xml:space="preserve">: - </w:t>
            </w:r>
            <w:r w:rsidRPr="00132E65">
              <w:rPr>
                <w:rtl/>
              </w:rPr>
              <w:t>« وقال : انظر ، فنظرت »</w:t>
            </w:r>
            <w:r>
              <w:rPr>
                <w:rtl/>
              </w:rPr>
              <w:t>.</w:t>
            </w:r>
          </w:p>
        </w:tc>
        <w:tc>
          <w:tcPr>
            <w:tcW w:w="4262" w:type="dxa"/>
          </w:tcPr>
          <w:p w:rsidR="00507373" w:rsidRDefault="00507373" w:rsidP="000C39D1">
            <w:pPr>
              <w:pStyle w:val="libFootnote0"/>
              <w:rPr>
                <w:rtl/>
              </w:rPr>
            </w:pPr>
            <w:r>
              <w:rPr>
                <w:rtl/>
              </w:rPr>
              <w:t>(11).</w:t>
            </w:r>
            <w:r w:rsidRPr="00132E65">
              <w:rPr>
                <w:rtl/>
              </w:rPr>
              <w:t xml:space="preserve"> في البصائر ، ص 406 ، والإرشاد </w:t>
            </w:r>
            <w:r>
              <w:rPr>
                <w:rtl/>
              </w:rPr>
              <w:t xml:space="preserve">: - </w:t>
            </w:r>
            <w:r w:rsidRPr="00132E65">
              <w:rPr>
                <w:rtl/>
              </w:rPr>
              <w:t>« أنا »</w:t>
            </w:r>
            <w:r>
              <w:rPr>
                <w:rtl/>
              </w:rPr>
              <w:t>.</w:t>
            </w:r>
          </w:p>
        </w:tc>
      </w:tr>
    </w:tbl>
    <w:p w:rsidR="000C39D1" w:rsidRPr="00132E65" w:rsidRDefault="000C39D1" w:rsidP="000C39D1">
      <w:pPr>
        <w:pStyle w:val="libFootnote0"/>
        <w:rPr>
          <w:rtl/>
          <w:lang w:bidi="fa-IR"/>
        </w:rPr>
      </w:pPr>
      <w:r>
        <w:rPr>
          <w:rtl/>
        </w:rPr>
        <w:t>(12).</w:t>
      </w:r>
      <w:r w:rsidRPr="00132E65">
        <w:rPr>
          <w:rtl/>
        </w:rPr>
        <w:t xml:space="preserve"> الصحيح في الكلمة « أنقات » أو « أنيقات » أي حسنات معجبات. ولم يُرَ من هذه المادّة « آنق » كما في المطبوع. راجع : </w:t>
      </w:r>
      <w:r w:rsidRPr="009D1ACE">
        <w:rPr>
          <w:rStyle w:val="libFootnoteBoldChar"/>
          <w:rtl/>
        </w:rPr>
        <w:t>لسان العرب</w:t>
      </w:r>
      <w:r w:rsidRPr="00132E65">
        <w:rPr>
          <w:rtl/>
        </w:rPr>
        <w:t xml:space="preserve"> ، ج 10 ، ص 9</w:t>
      </w:r>
      <w:r>
        <w:rPr>
          <w:rtl/>
        </w:rPr>
        <w:t xml:space="preserve"> - </w:t>
      </w:r>
      <w:r w:rsidRPr="00132E65">
        <w:rPr>
          <w:rtl/>
        </w:rPr>
        <w:t>10 ( أنق )</w:t>
      </w:r>
      <w:r>
        <w:rPr>
          <w:rtl/>
        </w:rPr>
        <w:t>.</w:t>
      </w:r>
    </w:p>
    <w:p w:rsidR="000C39D1" w:rsidRPr="00132E65" w:rsidRDefault="000C39D1" w:rsidP="000C39D1">
      <w:pPr>
        <w:pStyle w:val="libFootnote0"/>
        <w:rPr>
          <w:rtl/>
          <w:lang w:bidi="fa-IR"/>
        </w:rPr>
      </w:pPr>
      <w:r>
        <w:rPr>
          <w:rtl/>
        </w:rPr>
        <w:t>(13)</w:t>
      </w:r>
      <w:r w:rsidRPr="00132E65">
        <w:rPr>
          <w:rtl/>
        </w:rPr>
        <w:t xml:space="preserve"> في « ض ، بر » : « ياسرات » بالياء المثنّاة. وفي </w:t>
      </w:r>
      <w:r w:rsidRPr="007E1ED7">
        <w:rPr>
          <w:rtl/>
        </w:rPr>
        <w:t>البصائر</w:t>
      </w:r>
      <w:r w:rsidRPr="00132E65">
        <w:rPr>
          <w:rtl/>
        </w:rPr>
        <w:t xml:space="preserve"> ص 406 </w:t>
      </w:r>
      <w:r>
        <w:rPr>
          <w:rtl/>
        </w:rPr>
        <w:t>و 4</w:t>
      </w:r>
      <w:r w:rsidRPr="00132E65">
        <w:rPr>
          <w:rtl/>
        </w:rPr>
        <w:t>07 ، والاختصاص : « ناضرات »</w:t>
      </w:r>
      <w:r>
        <w:rPr>
          <w:rtl/>
        </w:rPr>
        <w:t>.</w:t>
      </w:r>
      <w:r w:rsidRPr="00132E65">
        <w:rPr>
          <w:rtl/>
        </w:rPr>
        <w:t xml:space="preserve"> وقوله : « باسرات » ، أي طَرِيّاتٌ ، أو ذَوات أنهار جاريات ؛ من البُسْر ، وهو الماء الطريّ الحديثُ العهدِ بالمطر ، والغَضُّ والطريّ من كلّ شي‌ء. أو مبتدأةٌ فيها الثمرة ؛ من البُسْرَة من النبات ، وهو أوّل ما يبد وفي الأرض منها ، وهو كما يبدو في الأرض. أو ذوات أثمار جديدة وعتيقة ، من البَسْر ، وهو خلط البُسْر مع غيره في النبيذ. راجع : </w:t>
      </w:r>
      <w:r w:rsidRPr="001D47D3">
        <w:rPr>
          <w:rtl/>
        </w:rPr>
        <w:t>شرح المازندراني</w:t>
      </w:r>
      <w:r w:rsidRPr="00132E65">
        <w:rPr>
          <w:rtl/>
        </w:rPr>
        <w:t xml:space="preserve"> ، ج 7 ، ص 295 ؛ </w:t>
      </w:r>
      <w:r w:rsidRPr="009D1ACE">
        <w:rPr>
          <w:rStyle w:val="libFootnoteBoldChar"/>
          <w:rtl/>
        </w:rPr>
        <w:t>الوافي</w:t>
      </w:r>
      <w:r w:rsidRPr="00132E65">
        <w:rPr>
          <w:rtl/>
        </w:rPr>
        <w:t xml:space="preserve"> ، ج 3 ، ص 835 ؛ </w:t>
      </w:r>
      <w:r w:rsidRPr="009D1ACE">
        <w:rPr>
          <w:rStyle w:val="libFootnoteBoldChar"/>
          <w:rtl/>
        </w:rPr>
        <w:t>مرآة العقول</w:t>
      </w:r>
      <w:r w:rsidRPr="001D47D3">
        <w:rPr>
          <w:rtl/>
        </w:rPr>
        <w:t xml:space="preserve"> </w:t>
      </w:r>
      <w:r w:rsidRPr="00132E65">
        <w:rPr>
          <w:rtl/>
        </w:rPr>
        <w:t xml:space="preserve">، ج 6 ، ص 114 ؛ </w:t>
      </w:r>
      <w:r w:rsidRPr="001D47D3">
        <w:rPr>
          <w:rtl/>
        </w:rPr>
        <w:t>الصحاح</w:t>
      </w:r>
      <w:r w:rsidRPr="00132E65">
        <w:rPr>
          <w:rtl/>
        </w:rPr>
        <w:t xml:space="preserve"> ، ج 2 ، ص 588 ( بسر )</w:t>
      </w:r>
      <w:r>
        <w:rPr>
          <w:rtl/>
        </w:rPr>
        <w:t>.</w:t>
      </w:r>
    </w:p>
    <w:p w:rsidR="000C39D1" w:rsidRPr="00132E65" w:rsidRDefault="000C39D1" w:rsidP="000C39D1">
      <w:pPr>
        <w:pStyle w:val="libFootnote0"/>
        <w:rPr>
          <w:rtl/>
          <w:lang w:bidi="fa-IR"/>
        </w:rPr>
      </w:pPr>
      <w:r>
        <w:rPr>
          <w:rtl/>
        </w:rPr>
        <w:t>(14)</w:t>
      </w:r>
      <w:r w:rsidRPr="00132E65">
        <w:rPr>
          <w:rtl/>
        </w:rPr>
        <w:t xml:space="preserve"> في الإرشاد : « وأنهار جاريات وجنان فيها » بدل « وروضات باسرات فيهنّ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اللُّؤْلُؤُ الْمَكْنُونُ </w:t>
      </w:r>
      <w:r>
        <w:rPr>
          <w:rStyle w:val="libFootnotenumChar"/>
          <w:rtl/>
        </w:rPr>
        <w:t>(1)</w:t>
      </w:r>
      <w:r w:rsidRPr="00132E65">
        <w:rPr>
          <w:rtl/>
          <w:lang w:bidi="fa-IR"/>
        </w:rPr>
        <w:t xml:space="preserve"> ، وأَطْيَارٌ وظِبَاءٌ وأَنْهَارٌ تَفُورُ </w:t>
      </w:r>
      <w:r>
        <w:rPr>
          <w:rStyle w:val="libFootnotenumChar"/>
          <w:rtl/>
        </w:rPr>
        <w:t>(2)</w:t>
      </w:r>
      <w:r w:rsidRPr="00132E65">
        <w:rPr>
          <w:rtl/>
          <w:lang w:bidi="fa-IR"/>
        </w:rPr>
        <w:t xml:space="preserve"> ، فَحَارَ بَصَرِي </w:t>
      </w:r>
      <w:r>
        <w:rPr>
          <w:rStyle w:val="libFootnotenumChar"/>
          <w:rtl/>
        </w:rPr>
        <w:t>(3)</w:t>
      </w:r>
      <w:r w:rsidRPr="00132E65">
        <w:rPr>
          <w:rtl/>
          <w:lang w:bidi="fa-IR"/>
        </w:rPr>
        <w:t xml:space="preserve"> ، وحَسَرَتْ </w:t>
      </w:r>
      <w:r>
        <w:rPr>
          <w:rStyle w:val="libFootnotenumChar"/>
          <w:rtl/>
        </w:rPr>
        <w:t>(4)</w:t>
      </w:r>
      <w:r w:rsidRPr="00132E65">
        <w:rPr>
          <w:rtl/>
          <w:lang w:bidi="fa-IR"/>
        </w:rPr>
        <w:t xml:space="preserve"> عَيْنِي </w:t>
      </w:r>
      <w:r>
        <w:rPr>
          <w:rStyle w:val="libFootnotenumChar"/>
          <w:rtl/>
        </w:rPr>
        <w:t>(5)</w:t>
      </w:r>
      <w:r w:rsidRPr="00132E65">
        <w:rPr>
          <w:rtl/>
          <w:lang w:bidi="fa-IR"/>
        </w:rPr>
        <w:t xml:space="preserve"> ، فَقَالَ </w:t>
      </w:r>
      <w:r>
        <w:rPr>
          <w:rStyle w:val="libFootnotenumChar"/>
          <w:rtl/>
        </w:rPr>
        <w:t>(6)</w:t>
      </w:r>
      <w:r w:rsidRPr="00132E65">
        <w:rPr>
          <w:rtl/>
          <w:lang w:bidi="fa-IR"/>
        </w:rPr>
        <w:t xml:space="preserve"> : « حَيْثُ كُنَّا فَهذَا لَنَا عَتِيدٌ </w:t>
      </w:r>
      <w:r>
        <w:rPr>
          <w:rStyle w:val="libFootnotenumChar"/>
          <w:rtl/>
        </w:rPr>
        <w:t>(7)</w:t>
      </w:r>
      <w:r w:rsidRPr="00132E65">
        <w:rPr>
          <w:rtl/>
          <w:lang w:bidi="fa-IR"/>
        </w:rPr>
        <w:t xml:space="preserve"> ، لَسْنَا فِي خَانِ الصَّعَالِيكَ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1D47D3">
        <w:rPr>
          <w:rtl/>
        </w:rPr>
        <w:t>1323</w:t>
      </w:r>
      <w:r w:rsidRPr="004325D8">
        <w:rPr>
          <w:rStyle w:val="libBold2Char"/>
          <w:rtl/>
        </w:rPr>
        <w:t xml:space="preserve"> / 3.</w:t>
      </w:r>
      <w:r w:rsidRPr="00132E65">
        <w:rPr>
          <w:rtl/>
          <w:lang w:bidi="fa-IR"/>
        </w:rPr>
        <w:t xml:space="preserve"> الْحُسَيْنُ بْنُ مُحَمَّدٍ ، عَنْ مُعَلَّى بْنِ مُحَمَّدٍ ، عَنْ أَحْمَدَ بْنِ مُحَمَّدِ بْنِ عَبْدِ اللهِ ، عَنْ عَلِيِّ بْنِ مُحَ</w:t>
      </w:r>
      <w:r w:rsidR="00A65D84">
        <w:rPr>
          <w:rtl/>
          <w:lang w:bidi="fa-IR"/>
        </w:rPr>
        <w:t>مَّدٍ ، عَنْ إِسْحَاقَ الْجَل</w:t>
      </w:r>
      <w:r w:rsidR="00A65D84">
        <w:rPr>
          <w:rFonts w:hint="cs"/>
          <w:rtl/>
          <w:lang w:bidi="fa-IR"/>
        </w:rPr>
        <w:t>َّ</w:t>
      </w:r>
      <w:r w:rsidR="00A65D84">
        <w:rPr>
          <w:rtl/>
          <w:lang w:bidi="fa-IR"/>
        </w:rPr>
        <w:t>ا</w:t>
      </w:r>
      <w:r w:rsidRPr="00132E65">
        <w:rPr>
          <w:rtl/>
          <w:lang w:bidi="fa-IR"/>
        </w:rPr>
        <w:t>بِ ، قَالَ :</w:t>
      </w:r>
    </w:p>
    <w:p w:rsidR="000C39D1" w:rsidRPr="00132E65" w:rsidRDefault="000C39D1" w:rsidP="0006034E">
      <w:pPr>
        <w:pStyle w:val="libNormal"/>
        <w:rPr>
          <w:rtl/>
          <w:lang w:bidi="fa-IR"/>
        </w:rPr>
      </w:pPr>
      <w:r w:rsidRPr="00132E65">
        <w:rPr>
          <w:rtl/>
          <w:lang w:bidi="fa-IR"/>
        </w:rPr>
        <w:t xml:space="preserve">اشْتَرَيْتُ لِأَبِي الْحَسَنِ </w:t>
      </w:r>
      <w:r w:rsidRPr="00071CF9">
        <w:rPr>
          <w:rStyle w:val="libAlaemChar"/>
          <w:rtl/>
        </w:rPr>
        <w:t>عليه‌السلام</w:t>
      </w:r>
      <w:r w:rsidRPr="00132E65">
        <w:rPr>
          <w:rtl/>
          <w:lang w:bidi="fa-IR"/>
        </w:rPr>
        <w:t xml:space="preserve"> غَنَماً كَثِيرَةً ، فَدَعَانِي ، فَأَدْخَلَنِي </w:t>
      </w:r>
      <w:r>
        <w:rPr>
          <w:rStyle w:val="libFootnotenumChar"/>
          <w:rtl/>
        </w:rPr>
        <w:t>(9)</w:t>
      </w:r>
      <w:r w:rsidRPr="00132E65">
        <w:rPr>
          <w:rtl/>
          <w:lang w:bidi="fa-IR"/>
        </w:rPr>
        <w:t xml:space="preserve"> مِنْ إِصْطَبْلِ دَارِهِ إِلى مَوْضِعٍ واسِعٍ لَا</w:t>
      </w:r>
      <w:r>
        <w:rPr>
          <w:rFonts w:hint="cs"/>
          <w:rtl/>
          <w:lang w:bidi="fa-IR"/>
        </w:rPr>
        <w:t xml:space="preserve"> </w:t>
      </w:r>
      <w:r w:rsidRPr="00132E65">
        <w:rPr>
          <w:rtl/>
          <w:lang w:bidi="fa-IR"/>
        </w:rPr>
        <w:t xml:space="preserve">أَعْرِفُهُ ، فَجَعَلْتُ أُفَرِّقُ تِلْكَ الْغَنَمَ فِيمَنْ أَمَرَنِي بِهِ ، فَبُعِثْتُ </w:t>
      </w:r>
      <w:r>
        <w:rPr>
          <w:rStyle w:val="libFootnotenumChar"/>
          <w:rtl/>
        </w:rPr>
        <w:t>(10)</w:t>
      </w:r>
      <w:r w:rsidRPr="00132E65">
        <w:rPr>
          <w:rtl/>
          <w:lang w:bidi="fa-IR"/>
        </w:rPr>
        <w:t xml:space="preserve"> إِلى أَبِي جَعْفَرٍ </w:t>
      </w:r>
      <w:r>
        <w:rPr>
          <w:rStyle w:val="libFootnotenumChar"/>
          <w:rtl/>
        </w:rPr>
        <w:t>(11)</w:t>
      </w:r>
      <w:r w:rsidRPr="00132E65">
        <w:rPr>
          <w:rtl/>
          <w:lang w:bidi="fa-IR"/>
        </w:rPr>
        <w:t xml:space="preserve"> وإِلى والِدَتِهِ وغَيْرِهِمَا مِمَّنْ أَمَرَنِي ، ثُمَّ اسْتَأْذَنْتُهُ فِي الِانْصِرَافِ إِلى بَغْدَادَ إِلى والِدِي </w:t>
      </w:r>
      <w:r>
        <w:rPr>
          <w:rStyle w:val="libFootnotenumChar"/>
          <w:rtl/>
        </w:rPr>
        <w:t>(12)</w:t>
      </w:r>
      <w:r w:rsidRPr="00132E65">
        <w:rPr>
          <w:rtl/>
          <w:lang w:bidi="fa-IR"/>
        </w:rPr>
        <w:t xml:space="preserve"> ، وكَانَ ذلِكَ يَوْمَ التَّرْوِيَةِ ، فَكَتَبَ إِلَيَّ : « تُقِيمُ‌</w:t>
      </w:r>
      <w:r w:rsidR="0006034E">
        <w:rPr>
          <w:rFonts w:hint="cs"/>
          <w:rtl/>
          <w:lang w:bidi="fa-IR"/>
        </w:rPr>
        <w:t>..............................................................................</w:t>
      </w:r>
      <w:r w:rsidR="00A65D84">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المكنون » ، أي المجعول في كِنّ ، وهو ما يُحْفَظُ فيه الشي‌ء. </w:t>
      </w:r>
      <w:r w:rsidRPr="001D47D3">
        <w:rPr>
          <w:rtl/>
        </w:rPr>
        <w:t>المفردات</w:t>
      </w:r>
      <w:r w:rsidRPr="00132E65">
        <w:rPr>
          <w:rtl/>
        </w:rPr>
        <w:t xml:space="preserve"> للراغب ، ص 726 ( كنن )</w:t>
      </w:r>
      <w:r>
        <w:rPr>
          <w:rtl/>
        </w:rPr>
        <w:t>.</w:t>
      </w:r>
    </w:p>
    <w:p w:rsidR="000C39D1" w:rsidRPr="00132E65" w:rsidRDefault="000C39D1" w:rsidP="000C39D1">
      <w:pPr>
        <w:pStyle w:val="libFootnote0"/>
        <w:rPr>
          <w:rtl/>
          <w:lang w:bidi="fa-IR"/>
        </w:rPr>
      </w:pPr>
      <w:r>
        <w:rPr>
          <w:rtl/>
        </w:rPr>
        <w:t>(2).</w:t>
      </w:r>
      <w:r w:rsidRPr="00132E65">
        <w:rPr>
          <w:rtl/>
        </w:rPr>
        <w:t xml:space="preserve"> « تفور » ، أي تغلى وتجيش ؛ من الفور وهو شدّة الغليان. راجع : </w:t>
      </w:r>
      <w:r w:rsidRPr="001D47D3">
        <w:rPr>
          <w:rtl/>
        </w:rPr>
        <w:t>المفردات</w:t>
      </w:r>
      <w:r w:rsidRPr="00132E65">
        <w:rPr>
          <w:rtl/>
        </w:rPr>
        <w:t xml:space="preserve"> للراغب ، ص 647 ( فور )</w:t>
      </w:r>
      <w:r>
        <w:rPr>
          <w:rtl/>
        </w:rPr>
        <w:t>.</w:t>
      </w:r>
    </w:p>
    <w:p w:rsidR="000C39D1" w:rsidRPr="00132E65" w:rsidRDefault="000C39D1" w:rsidP="000C39D1">
      <w:pPr>
        <w:pStyle w:val="libFootnote0"/>
        <w:rPr>
          <w:rtl/>
          <w:lang w:bidi="fa-IR"/>
        </w:rPr>
      </w:pPr>
      <w:r>
        <w:rPr>
          <w:rtl/>
        </w:rPr>
        <w:t>(3).</w:t>
      </w:r>
      <w:r w:rsidRPr="00132E65">
        <w:rPr>
          <w:rtl/>
        </w:rPr>
        <w:t xml:space="preserve"> في البصائر ، ص 406 :</w:t>
      </w:r>
      <w:r>
        <w:rPr>
          <w:rtl/>
        </w:rPr>
        <w:t xml:space="preserve"> + </w:t>
      </w:r>
      <w:r w:rsidRPr="00132E65">
        <w:rPr>
          <w:rtl/>
        </w:rPr>
        <w:t>« والتمع »</w:t>
      </w:r>
      <w:r>
        <w:rPr>
          <w:rtl/>
        </w:rPr>
        <w:t>.</w:t>
      </w:r>
    </w:p>
    <w:p w:rsidR="000C39D1" w:rsidRPr="00132E65" w:rsidRDefault="000C39D1" w:rsidP="000C39D1">
      <w:pPr>
        <w:pStyle w:val="libFootnote0"/>
        <w:rPr>
          <w:rtl/>
          <w:lang w:bidi="fa-IR"/>
        </w:rPr>
      </w:pPr>
      <w:r>
        <w:rPr>
          <w:rtl/>
        </w:rPr>
        <w:t>(4).</w:t>
      </w:r>
      <w:r w:rsidRPr="00132E65">
        <w:rPr>
          <w:rtl/>
        </w:rPr>
        <w:t xml:space="preserve"> « حسرت العين » ، أي كلّت وأعيت وعجزت عن رؤيتها وانقطع نظرها لشدّة ضياء ما رأت. راجع : </w:t>
      </w:r>
      <w:r w:rsidRPr="009D1ACE">
        <w:rPr>
          <w:rStyle w:val="libFootnoteBoldChar"/>
          <w:rtl/>
        </w:rPr>
        <w:t>لسان العرب</w:t>
      </w:r>
      <w:r w:rsidRPr="00132E65">
        <w:rPr>
          <w:rtl/>
        </w:rPr>
        <w:t xml:space="preserve"> ، ج 4 ، ص 188 ( حسر )</w:t>
      </w:r>
      <w:r>
        <w:rPr>
          <w:rtl/>
        </w:rPr>
        <w:t>.</w:t>
      </w:r>
    </w:p>
    <w:p w:rsidR="000C39D1" w:rsidRPr="00132E65" w:rsidRDefault="000C39D1" w:rsidP="000C39D1">
      <w:pPr>
        <w:pStyle w:val="libFootnote0"/>
        <w:rPr>
          <w:rtl/>
          <w:lang w:bidi="fa-IR"/>
        </w:rPr>
      </w:pPr>
      <w:r>
        <w:rPr>
          <w:rtl/>
        </w:rPr>
        <w:t>(5).</w:t>
      </w:r>
      <w:r w:rsidRPr="00132E65">
        <w:rPr>
          <w:rtl/>
        </w:rPr>
        <w:t xml:space="preserve"> في الإرشاد : « وكثر تعجّبي » بدل « وحسرت عيني »</w:t>
      </w:r>
      <w:r>
        <w:rPr>
          <w:rtl/>
        </w:rPr>
        <w:t>.</w:t>
      </w:r>
      <w:r w:rsidRPr="00132E65">
        <w:rPr>
          <w:rtl/>
        </w:rPr>
        <w:t xml:space="preserve"> وفي البصائر ، ص 407 </w:t>
      </w:r>
      <w:r>
        <w:rPr>
          <w:rtl/>
        </w:rPr>
        <w:t xml:space="preserve">: - </w:t>
      </w:r>
      <w:r w:rsidRPr="00132E65">
        <w:rPr>
          <w:rtl/>
        </w:rPr>
        <w:t>« وحسرت عيني »</w:t>
      </w:r>
      <w:r>
        <w:rPr>
          <w:rtl/>
        </w:rPr>
        <w:t>.</w:t>
      </w:r>
    </w:p>
    <w:p w:rsidR="000C39D1" w:rsidRPr="00132E65" w:rsidRDefault="000C39D1" w:rsidP="000C39D1">
      <w:pPr>
        <w:pStyle w:val="libFootnote0"/>
        <w:rPr>
          <w:rtl/>
          <w:lang w:bidi="fa-IR"/>
        </w:rPr>
      </w:pPr>
      <w:r>
        <w:rPr>
          <w:rtl/>
        </w:rPr>
        <w:t>(6).</w:t>
      </w:r>
      <w:r w:rsidRPr="00132E65">
        <w:rPr>
          <w:rtl/>
        </w:rPr>
        <w:t xml:space="preserve"> في الإرشاد :</w:t>
      </w:r>
      <w:r>
        <w:rPr>
          <w:rtl/>
        </w:rPr>
        <w:t xml:space="preserve"> + </w:t>
      </w:r>
      <w:r w:rsidRPr="00132E65">
        <w:rPr>
          <w:rtl/>
        </w:rPr>
        <w:t>« لي »</w:t>
      </w:r>
      <w:r>
        <w:rPr>
          <w:rtl/>
        </w:rPr>
        <w:t>.</w:t>
      </w:r>
    </w:p>
    <w:p w:rsidR="000C39D1" w:rsidRPr="00132E65" w:rsidRDefault="000C39D1" w:rsidP="000C39D1">
      <w:pPr>
        <w:pStyle w:val="libFootnote0"/>
        <w:rPr>
          <w:rtl/>
          <w:lang w:bidi="fa-IR"/>
        </w:rPr>
      </w:pPr>
      <w:r>
        <w:rPr>
          <w:rtl/>
        </w:rPr>
        <w:t>(7).</w:t>
      </w:r>
      <w:r w:rsidRPr="00132E65">
        <w:rPr>
          <w:rtl/>
        </w:rPr>
        <w:t xml:space="preserve"> في الإرشاد : « يا ابن سعيد » بدل « عتيد »</w:t>
      </w:r>
      <w:r>
        <w:rPr>
          <w:rtl/>
        </w:rPr>
        <w:t>.</w:t>
      </w:r>
      <w:r w:rsidRPr="00132E65">
        <w:rPr>
          <w:rtl/>
        </w:rPr>
        <w:t xml:space="preserve"> </w:t>
      </w:r>
      <w:r>
        <w:rPr>
          <w:rtl/>
        </w:rPr>
        <w:t>و «</w:t>
      </w:r>
      <w:r w:rsidRPr="00132E65">
        <w:rPr>
          <w:rtl/>
        </w:rPr>
        <w:t xml:space="preserve"> العتيد » : الشي‌ء الحاضر المهيّأ. </w:t>
      </w:r>
      <w:r w:rsidRPr="001D47D3">
        <w:rPr>
          <w:rtl/>
        </w:rPr>
        <w:t>الصحاح</w:t>
      </w:r>
      <w:r w:rsidRPr="00132E65">
        <w:rPr>
          <w:rtl/>
        </w:rPr>
        <w:t xml:space="preserve"> ، ج 2 ، ص 505 ( عتد )</w:t>
      </w:r>
      <w:r>
        <w:rPr>
          <w:rtl/>
        </w:rPr>
        <w:t>.</w:t>
      </w:r>
    </w:p>
    <w:p w:rsidR="000C39D1" w:rsidRPr="00132E65" w:rsidRDefault="000C39D1" w:rsidP="00874E16">
      <w:pPr>
        <w:pStyle w:val="libFootnote0"/>
        <w:rPr>
          <w:rtl/>
          <w:lang w:bidi="fa-IR"/>
        </w:rPr>
      </w:pPr>
      <w:r>
        <w:rPr>
          <w:rtl/>
        </w:rPr>
        <w:t>(8).</w:t>
      </w:r>
      <w:r w:rsidRPr="00132E65">
        <w:rPr>
          <w:rtl/>
        </w:rPr>
        <w:t xml:space="preserve"> </w:t>
      </w:r>
      <w:r w:rsidRPr="001D47D3">
        <w:rPr>
          <w:rtl/>
        </w:rPr>
        <w:t>الإرشاد</w:t>
      </w:r>
      <w:r w:rsidRPr="00132E65">
        <w:rPr>
          <w:rtl/>
        </w:rPr>
        <w:t xml:space="preserve"> ، ج 2 ، ص 311 ، بسنده عن الكليني. وفي </w:t>
      </w:r>
      <w:r w:rsidRPr="007A1104">
        <w:rPr>
          <w:rStyle w:val="libFootnoteBoldChar"/>
          <w:rtl/>
        </w:rPr>
        <w:t>بصائر الدرجات</w:t>
      </w:r>
      <w:r w:rsidRPr="00132E65">
        <w:rPr>
          <w:rtl/>
        </w:rPr>
        <w:t xml:space="preserve"> ، ص 406 ، ح 7 ، عن الحسين بن محمّد بن عثمان ، عن معلّى بن محمّد بن عبد الله ، عن محمّد بن يحيى ؛ </w:t>
      </w:r>
      <w:r w:rsidRPr="001D47D3">
        <w:rPr>
          <w:rtl/>
        </w:rPr>
        <w:t>وفيه</w:t>
      </w:r>
      <w:r w:rsidRPr="00132E65">
        <w:rPr>
          <w:rtl/>
        </w:rPr>
        <w:t xml:space="preserve"> ، ص 407 ، ح 11 ، عن الحسين بن محمّد ، عن عليّ بن النعمان بن محمّد ، عن أحمد بن محمّد بن عبد الله ، وفيهما مع اختلاف يسير. </w:t>
      </w:r>
      <w:r w:rsidRPr="001D47D3">
        <w:rPr>
          <w:rtl/>
        </w:rPr>
        <w:t>الاختصاص</w:t>
      </w:r>
      <w:r w:rsidRPr="00132E65">
        <w:rPr>
          <w:rtl/>
        </w:rPr>
        <w:t xml:space="preserve"> ، ص 324 ، عن المعلّى بن محمّد البصري ، مع اختلاف يسير</w:t>
      </w:r>
      <w:r w:rsidR="00874E16">
        <w:rPr>
          <w:rFonts w:hint="cs"/>
          <w:rtl/>
        </w:rPr>
        <w:t>.</w:t>
      </w:r>
      <w:r w:rsidRPr="009D1ACE">
        <w:rPr>
          <w:rStyle w:val="libFootnoteBoldChar"/>
          <w:rtl/>
        </w:rPr>
        <w:t>الوافي</w:t>
      </w:r>
      <w:r w:rsidRPr="00132E65">
        <w:rPr>
          <w:rtl/>
        </w:rPr>
        <w:t xml:space="preserve"> ، ج 3 ، ص 834 ، ح 1447.</w:t>
      </w:r>
    </w:p>
    <w:p w:rsidR="000C39D1" w:rsidRPr="00132E65" w:rsidRDefault="000C39D1" w:rsidP="000C39D1">
      <w:pPr>
        <w:pStyle w:val="libFootnote0"/>
        <w:rPr>
          <w:rtl/>
          <w:lang w:bidi="fa-IR"/>
        </w:rPr>
      </w:pPr>
      <w:r>
        <w:rPr>
          <w:rtl/>
        </w:rPr>
        <w:t>(9).</w:t>
      </w:r>
      <w:r w:rsidRPr="00132E65">
        <w:rPr>
          <w:rtl/>
        </w:rPr>
        <w:t xml:space="preserve"> في « بف » والاختصاص : « وأدخلني »</w:t>
      </w:r>
      <w:r>
        <w:rPr>
          <w:rtl/>
        </w:rPr>
        <w:t>.</w:t>
      </w:r>
    </w:p>
    <w:p w:rsidR="000C39D1" w:rsidRPr="00132E65" w:rsidRDefault="000C39D1" w:rsidP="000C39D1">
      <w:pPr>
        <w:pStyle w:val="libFootnote0"/>
        <w:rPr>
          <w:rtl/>
          <w:lang w:bidi="fa-IR"/>
        </w:rPr>
      </w:pPr>
      <w:r>
        <w:rPr>
          <w:rtl/>
        </w:rPr>
        <w:t>(10).</w:t>
      </w:r>
      <w:r w:rsidRPr="00132E65">
        <w:rPr>
          <w:rtl/>
        </w:rPr>
        <w:t xml:space="preserve"> هكذا في « ب ، ض ، ف ، بر ، بس ، بف » و</w:t>
      </w:r>
      <w:r w:rsidRPr="009D1ACE">
        <w:rPr>
          <w:rStyle w:val="libFootnoteBoldChar"/>
          <w:rtl/>
        </w:rPr>
        <w:t>الوافي</w:t>
      </w:r>
      <w:r w:rsidRPr="00132E65">
        <w:rPr>
          <w:rtl/>
        </w:rPr>
        <w:t xml:space="preserve"> والبحار. وفي بعض النسخ والمطبوع : « فبعث »</w:t>
      </w:r>
      <w:r>
        <w:rPr>
          <w:rtl/>
        </w:rPr>
        <w:t>.</w:t>
      </w:r>
    </w:p>
    <w:p w:rsidR="000C39D1" w:rsidRPr="00132E65" w:rsidRDefault="000C39D1" w:rsidP="000C39D1">
      <w:pPr>
        <w:pStyle w:val="libFootnote0"/>
        <w:rPr>
          <w:rtl/>
          <w:lang w:bidi="fa-IR"/>
        </w:rPr>
      </w:pPr>
      <w:r>
        <w:rPr>
          <w:rtl/>
        </w:rPr>
        <w:t>(11).</w:t>
      </w:r>
      <w:r w:rsidRPr="00132E65">
        <w:rPr>
          <w:rtl/>
        </w:rPr>
        <w:t xml:space="preserve"> في « ب ، ج ، ض ، بر ، بس ، بف » :</w:t>
      </w:r>
      <w:r>
        <w:rPr>
          <w:rtl/>
        </w:rPr>
        <w:t xml:space="preserve"> + </w:t>
      </w:r>
      <w:r w:rsidRPr="00132E65">
        <w:rPr>
          <w:rtl/>
        </w:rPr>
        <w:t xml:space="preserve">« </w:t>
      </w:r>
      <w:r w:rsidRPr="00CA73B4">
        <w:rPr>
          <w:rStyle w:val="libFootnoteAlaemChar"/>
          <w:rtl/>
        </w:rPr>
        <w:t>عليه‌السلام</w:t>
      </w:r>
      <w:r w:rsidRPr="00132E65">
        <w:rPr>
          <w:rtl/>
        </w:rPr>
        <w:t xml:space="preserve"> »</w:t>
      </w:r>
      <w:r>
        <w:rPr>
          <w:rtl/>
        </w:rPr>
        <w:t>.</w:t>
      </w:r>
      <w:r w:rsidRPr="00132E65">
        <w:rPr>
          <w:rtl/>
        </w:rPr>
        <w:t xml:space="preserve"> قال في </w:t>
      </w:r>
      <w:r w:rsidRPr="009D1ACE">
        <w:rPr>
          <w:rStyle w:val="libFootnoteBoldChar"/>
          <w:rtl/>
        </w:rPr>
        <w:t>الوافي</w:t>
      </w:r>
      <w:r w:rsidRPr="00132E65">
        <w:rPr>
          <w:rtl/>
        </w:rPr>
        <w:t xml:space="preserve"> : « أبو جعفر هذا ابنه المرجوّ للإمامة »</w:t>
      </w:r>
      <w:r>
        <w:rPr>
          <w:rtl/>
        </w:rPr>
        <w:t>.</w:t>
      </w:r>
      <w:r w:rsidRPr="00132E65">
        <w:rPr>
          <w:rtl/>
        </w:rPr>
        <w:t xml:space="preserve"> وقال‌في </w:t>
      </w:r>
      <w:r w:rsidRPr="009D1ACE">
        <w:rPr>
          <w:rStyle w:val="libFootnoteBoldChar"/>
          <w:rtl/>
        </w:rPr>
        <w:t>مرآة العقول</w:t>
      </w:r>
      <w:r w:rsidRPr="00132E65">
        <w:rPr>
          <w:rtl/>
        </w:rPr>
        <w:t xml:space="preserve"> : « وأبو جعفر ابنه الكبير اسمه محمّد ، مات قبل أبيه </w:t>
      </w:r>
      <w:r w:rsidRPr="00CA73B4">
        <w:rPr>
          <w:rStyle w:val="libFootnoteAlaemChar"/>
          <w:rtl/>
        </w:rPr>
        <w:t>عليهما‌السلام</w:t>
      </w:r>
      <w:r w:rsidRPr="00132E65">
        <w:rPr>
          <w:rtl/>
        </w:rPr>
        <w:t xml:space="preserve">. وقد مرّ ذكره في باب النصّ على أبي محمّد </w:t>
      </w:r>
      <w:r w:rsidRPr="00CA73B4">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(12).</w:t>
      </w:r>
      <w:r w:rsidRPr="00132E65">
        <w:rPr>
          <w:rtl/>
        </w:rPr>
        <w:t xml:space="preserve"> في البصائر : « والدتي »</w:t>
      </w:r>
      <w:r>
        <w:rPr>
          <w:rtl/>
        </w:rPr>
        <w:t>.</w:t>
      </w:r>
      <w:r w:rsidRPr="00132E65">
        <w:rPr>
          <w:rtl/>
        </w:rPr>
        <w:t xml:space="preserve"> وفي </w:t>
      </w:r>
      <w:r w:rsidRPr="009D1ACE">
        <w:rPr>
          <w:rStyle w:val="libFootnoteBoldChar"/>
          <w:rtl/>
        </w:rPr>
        <w:t>مرآة العقول</w:t>
      </w:r>
      <w:r w:rsidRPr="00132E65">
        <w:rPr>
          <w:rtl/>
        </w:rPr>
        <w:t xml:space="preserve"> : « إلى والدي ، بالتوحيد أو التثنية ، أي بالشدّ وعدمه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غَداً </w:t>
      </w:r>
      <w:r>
        <w:rPr>
          <w:rStyle w:val="libFootnotenumChar"/>
          <w:rtl/>
        </w:rPr>
        <w:t>(1)</w:t>
      </w:r>
      <w:r w:rsidRPr="00132E65">
        <w:rPr>
          <w:rtl/>
          <w:lang w:bidi="fa-IR"/>
        </w:rPr>
        <w:t xml:space="preserve"> عِنْدَنَا ، ثُمَّ تَنْصَرِفُ »</w:t>
      </w:r>
      <w:r>
        <w:rPr>
          <w:rtl/>
          <w:lang w:bidi="fa-IR"/>
        </w:rPr>
        <w:t>.</w:t>
      </w:r>
      <w:r w:rsidRPr="00132E65">
        <w:rPr>
          <w:rtl/>
          <w:lang w:bidi="fa-IR"/>
        </w:rPr>
        <w:t xml:space="preserve"> قَالَ : فَأَقَمْتُ </w:t>
      </w:r>
      <w:r>
        <w:rPr>
          <w:rStyle w:val="libFootnotenumChar"/>
          <w:rtl/>
        </w:rPr>
        <w:t>(2)</w:t>
      </w:r>
      <w:r w:rsidRPr="00132E65">
        <w:rPr>
          <w:rtl/>
          <w:lang w:bidi="fa-IR"/>
        </w:rPr>
        <w:t xml:space="preserve"> ، فَلَمَّا كَانَ يَوْمُ عَرَفَةَ أَقَمْتُ عِنْدَهُ ، وبِتُّ لَيْلَةَ الْأَضْحى فِي رِوَاقٍ </w:t>
      </w:r>
      <w:r>
        <w:rPr>
          <w:rStyle w:val="libFootnotenumChar"/>
          <w:rtl/>
        </w:rPr>
        <w:t>(3)</w:t>
      </w:r>
      <w:r w:rsidRPr="00132E65">
        <w:rPr>
          <w:rtl/>
          <w:lang w:bidi="fa-IR"/>
        </w:rPr>
        <w:t xml:space="preserve"> لَهُ ، فَلَمَّا كَانَ فِي السَّحَرِ أَتَانِي ، فَقَالَ </w:t>
      </w:r>
      <w:r>
        <w:rPr>
          <w:rStyle w:val="libFootnotenumChar"/>
          <w:rtl/>
        </w:rPr>
        <w:t>(4)</w:t>
      </w:r>
      <w:r w:rsidRPr="00132E65">
        <w:rPr>
          <w:rtl/>
          <w:lang w:bidi="fa-IR"/>
        </w:rPr>
        <w:t xml:space="preserve"> : « يَا إِسْحَاقُ ، قُمْ »</w:t>
      </w:r>
      <w:r>
        <w:rPr>
          <w:rtl/>
          <w:lang w:bidi="fa-IR"/>
        </w:rPr>
        <w:t>.</w:t>
      </w:r>
      <w:r w:rsidRPr="00132E65">
        <w:rPr>
          <w:rtl/>
          <w:lang w:bidi="fa-IR"/>
        </w:rPr>
        <w:t xml:space="preserve"> قَالَ </w:t>
      </w:r>
      <w:r>
        <w:rPr>
          <w:rStyle w:val="libFootnotenumChar"/>
          <w:rtl/>
        </w:rPr>
        <w:t>(5)</w:t>
      </w:r>
      <w:r w:rsidRPr="00132E65">
        <w:rPr>
          <w:rtl/>
          <w:lang w:bidi="fa-IR"/>
        </w:rPr>
        <w:t xml:space="preserve"> :</w:t>
      </w:r>
      <w:r>
        <w:rPr>
          <w:rFonts w:hint="cs"/>
          <w:rtl/>
          <w:lang w:bidi="fa-IR"/>
        </w:rPr>
        <w:t xml:space="preserve"> </w:t>
      </w:r>
      <w:r w:rsidRPr="00132E65">
        <w:rPr>
          <w:rtl/>
          <w:lang w:bidi="fa-IR"/>
        </w:rPr>
        <w:t xml:space="preserve">فَقُمْتُ ، فَفَتَحْتُ </w:t>
      </w:r>
      <w:r>
        <w:rPr>
          <w:rStyle w:val="libFootnotenumChar"/>
          <w:rtl/>
        </w:rPr>
        <w:t>(6)</w:t>
      </w:r>
      <w:r w:rsidRPr="00132E65">
        <w:rPr>
          <w:rtl/>
          <w:lang w:bidi="fa-IR"/>
        </w:rPr>
        <w:t xml:space="preserve"> عَيْنِي ، فَإِذَا أَنَا عَلى بَابِي بِبَغْدَادَ ، قَالَ </w:t>
      </w:r>
      <w:r>
        <w:rPr>
          <w:rStyle w:val="libFootnotenumChar"/>
          <w:rtl/>
        </w:rPr>
        <w:t>(7)</w:t>
      </w:r>
      <w:r w:rsidRPr="00132E65">
        <w:rPr>
          <w:rtl/>
          <w:lang w:bidi="fa-IR"/>
        </w:rPr>
        <w:t xml:space="preserve"> : فَدَخَلْتُ عَلى والِدِي </w:t>
      </w:r>
      <w:r>
        <w:rPr>
          <w:rStyle w:val="libFootnotenumChar"/>
          <w:rtl/>
        </w:rPr>
        <w:t>(8)</w:t>
      </w:r>
      <w:r w:rsidRPr="00132E65">
        <w:rPr>
          <w:rtl/>
          <w:lang w:bidi="fa-IR"/>
        </w:rPr>
        <w:t xml:space="preserve"> وأَنَا فِي </w:t>
      </w:r>
      <w:r>
        <w:rPr>
          <w:rStyle w:val="libFootnotenumChar"/>
          <w:rtl/>
        </w:rPr>
        <w:t>(9)</w:t>
      </w:r>
      <w:r w:rsidRPr="00132E65">
        <w:rPr>
          <w:rtl/>
          <w:lang w:bidi="fa-IR"/>
        </w:rPr>
        <w:t xml:space="preserve"> أَصْحَابِي ، فَقُلْتُ لَهُمْ : عَرَّفْتُ </w:t>
      </w:r>
      <w:r>
        <w:rPr>
          <w:rStyle w:val="libFootnotenumChar"/>
          <w:rtl/>
        </w:rPr>
        <w:t>(10)</w:t>
      </w:r>
      <w:r w:rsidRPr="00132E65">
        <w:rPr>
          <w:rtl/>
          <w:lang w:bidi="fa-IR"/>
        </w:rPr>
        <w:t xml:space="preserve"> بِالْعَسْكَرِ ، وخَرَجْتُ بِبَغْدَادَ إِلَى الْعِيدِ </w:t>
      </w:r>
      <w:r>
        <w:rPr>
          <w:rStyle w:val="libFootnotenumChar"/>
          <w:rtl/>
        </w:rPr>
        <w:t>(11)</w:t>
      </w:r>
      <w:r w:rsidR="00C25BFE">
        <w:rPr>
          <w:rFonts w:hint="cs"/>
          <w:rtl/>
          <w:lang w:bidi="fa-IR"/>
        </w:rPr>
        <w:t>.</w:t>
      </w:r>
      <w:r>
        <w:rPr>
          <w:rStyle w:val="libFootnotenumChar"/>
          <w:rtl/>
        </w:rPr>
        <w:t>(12)</w:t>
      </w:r>
    </w:p>
    <w:p w:rsidR="000C39D1" w:rsidRPr="00132E65" w:rsidRDefault="000C39D1" w:rsidP="000C39D1">
      <w:pPr>
        <w:pStyle w:val="libNormal"/>
        <w:rPr>
          <w:rtl/>
          <w:lang w:bidi="fa-IR"/>
        </w:rPr>
      </w:pPr>
      <w:r w:rsidRPr="00C22DC2">
        <w:rPr>
          <w:rtl/>
        </w:rPr>
        <w:t>1324</w:t>
      </w:r>
      <w:r w:rsidRPr="004325D8">
        <w:rPr>
          <w:rStyle w:val="libBold2Char"/>
          <w:rtl/>
        </w:rPr>
        <w:t xml:space="preserve"> / 4.</w:t>
      </w:r>
      <w:r w:rsidRPr="00132E65">
        <w:rPr>
          <w:rtl/>
          <w:lang w:bidi="fa-IR"/>
        </w:rPr>
        <w:t xml:space="preserve"> عَلِيُّ بْنُ مُحَمَّدٍ ، عَنْ إِبْرَاهِيمَ بْنِ مُحَمَّدٍ الطَّاهِرِيِّ ، قَالَ :</w:t>
      </w:r>
    </w:p>
    <w:p w:rsidR="000C39D1" w:rsidRPr="00132E65" w:rsidRDefault="000C39D1" w:rsidP="000C39D1">
      <w:pPr>
        <w:pStyle w:val="libNormal"/>
        <w:rPr>
          <w:rtl/>
          <w:lang w:bidi="fa-IR"/>
        </w:rPr>
      </w:pPr>
      <w:r w:rsidRPr="00132E65">
        <w:rPr>
          <w:rtl/>
          <w:lang w:bidi="fa-IR"/>
        </w:rPr>
        <w:t xml:space="preserve">مَرِضَ الْمُتَوَكِّلُ مِنْ خُرَاجٍ </w:t>
      </w:r>
      <w:r w:rsidRPr="00F543F1">
        <w:rPr>
          <w:rStyle w:val="libFootnotenumChar"/>
          <w:rtl/>
        </w:rPr>
        <w:t>(13)</w:t>
      </w:r>
      <w:r w:rsidRPr="00132E65">
        <w:rPr>
          <w:rtl/>
          <w:lang w:bidi="fa-IR"/>
        </w:rPr>
        <w:t xml:space="preserve"> خَرَجَ بِهِ ، وأَشْرَفَ </w:t>
      </w:r>
      <w:r w:rsidRPr="00F543F1">
        <w:rPr>
          <w:rStyle w:val="libFootnotenumChar"/>
          <w:rtl/>
        </w:rPr>
        <w:t>(14)</w:t>
      </w:r>
      <w:r w:rsidRPr="00132E65">
        <w:rPr>
          <w:rtl/>
          <w:lang w:bidi="fa-IR"/>
        </w:rPr>
        <w:t xml:space="preserve"> مِنْهُ عَلَى الْهَلَاكِ ، فَلَمْ يَجْسُرْ </w:t>
      </w:r>
      <w:r w:rsidRPr="00F543F1">
        <w:rPr>
          <w:rStyle w:val="libFootnotenumChar"/>
          <w:rtl/>
        </w:rPr>
        <w:t>(15)</w:t>
      </w:r>
      <w:r w:rsidRPr="00132E65">
        <w:rPr>
          <w:rtl/>
          <w:lang w:bidi="fa-IR"/>
        </w:rPr>
        <w:t xml:space="preserve"> أَحَدٌ أَنْ يَمَسَّهُ بِحَدِيدَةٍ </w:t>
      </w:r>
      <w:r w:rsidRPr="00F543F1">
        <w:rPr>
          <w:rStyle w:val="libFootnotenumChar"/>
          <w:rtl/>
        </w:rPr>
        <w:t>(16)</w:t>
      </w:r>
      <w:r w:rsidRPr="00132E65">
        <w:rPr>
          <w:rtl/>
          <w:lang w:bidi="fa-IR"/>
        </w:rPr>
        <w:t xml:space="preserve"> ، فَنَذَرَتْ أُمُّهُ</w:t>
      </w:r>
      <w:r>
        <w:rPr>
          <w:rtl/>
          <w:lang w:bidi="fa-IR"/>
        </w:rPr>
        <w:t xml:space="preserve"> - </w:t>
      </w:r>
      <w:r w:rsidRPr="00132E65">
        <w:rPr>
          <w:rtl/>
          <w:lang w:bidi="fa-IR"/>
        </w:rPr>
        <w:t>إِنْ عُوفِيَ</w:t>
      </w:r>
      <w:r>
        <w:rPr>
          <w:rtl/>
          <w:lang w:bidi="fa-IR"/>
        </w:rPr>
        <w:t xml:space="preserve"> - </w:t>
      </w:r>
      <w:r w:rsidRPr="00132E65">
        <w:rPr>
          <w:rtl/>
          <w:lang w:bidi="fa-IR"/>
        </w:rPr>
        <w:t xml:space="preserve">أَنْ تَحْمِلَ </w:t>
      </w:r>
      <w:r w:rsidRPr="00F543F1">
        <w:rPr>
          <w:rStyle w:val="libFootnotenumChar"/>
          <w:rtl/>
        </w:rPr>
        <w:t>(17)</w:t>
      </w:r>
      <w:r w:rsidRPr="00132E65">
        <w:rPr>
          <w:rtl/>
          <w:lang w:bidi="fa-IR"/>
        </w:rPr>
        <w:t xml:space="preserve"> إِلى أَبِي الْحَسَنِ عَلِيِّ بْنِ مُحَمَّدٍ </w:t>
      </w:r>
      <w:r w:rsidRPr="00071CF9">
        <w:rPr>
          <w:rStyle w:val="libAlaemChar"/>
          <w:rtl/>
        </w:rPr>
        <w:t>عليه‌السلام</w:t>
      </w:r>
      <w:r w:rsidRPr="00132E65">
        <w:rPr>
          <w:rtl/>
          <w:lang w:bidi="fa-IR"/>
        </w:rPr>
        <w:t xml:space="preserve"> مَالاً جَلِيلاً مِنْ مَالِهَا ؛ وقَالَ لَهُ </w:t>
      </w:r>
      <w:r w:rsidRPr="00F543F1">
        <w:rPr>
          <w:rStyle w:val="libFootnotenumChar"/>
          <w:rtl/>
        </w:rPr>
        <w:t>(18)</w:t>
      </w:r>
      <w:r w:rsidRPr="00132E65">
        <w:rPr>
          <w:rtl/>
          <w:lang w:bidi="fa-IR"/>
        </w:rPr>
        <w:t xml:space="preserve"> الْفَتْحُ بْنُ خَاقَانَ : لَوْ بَعَثْتَ </w:t>
      </w:r>
      <w:r w:rsidRPr="00F543F1">
        <w:rPr>
          <w:rStyle w:val="libFootnotenumChar"/>
          <w:rtl/>
        </w:rPr>
        <w:t>(19)</w:t>
      </w:r>
      <w:r w:rsidRPr="00132E65">
        <w:rPr>
          <w:rtl/>
          <w:lang w:bidi="fa-IR"/>
        </w:rPr>
        <w:t xml:space="preserve"> إِلى‌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غداً تقيم »</w:t>
      </w:r>
      <w:r>
        <w:rPr>
          <w:rtl/>
        </w:rPr>
        <w:t>.</w:t>
      </w:r>
    </w:p>
    <w:p w:rsidR="000C39D1" w:rsidRPr="00132E65" w:rsidRDefault="000C39D1" w:rsidP="000C39D1">
      <w:pPr>
        <w:pStyle w:val="libFootnote0"/>
        <w:rPr>
          <w:rtl/>
          <w:lang w:bidi="fa-IR"/>
        </w:rPr>
      </w:pPr>
      <w:r>
        <w:rPr>
          <w:rtl/>
        </w:rPr>
        <w:t>(2).</w:t>
      </w:r>
      <w:r w:rsidRPr="00132E65">
        <w:rPr>
          <w:rtl/>
        </w:rPr>
        <w:t xml:space="preserve"> في حاشية « ج » :</w:t>
      </w:r>
      <w:r>
        <w:rPr>
          <w:rtl/>
        </w:rPr>
        <w:t xml:space="preserve"> + </w:t>
      </w:r>
      <w:r w:rsidRPr="00132E65">
        <w:rPr>
          <w:rtl/>
        </w:rPr>
        <w:t>« عنده »</w:t>
      </w:r>
      <w:r>
        <w:rPr>
          <w:rtl/>
        </w:rPr>
        <w:t>.</w:t>
      </w:r>
    </w:p>
    <w:p w:rsidR="000C39D1" w:rsidRPr="00132E65" w:rsidRDefault="000C39D1" w:rsidP="004F3A66">
      <w:pPr>
        <w:pStyle w:val="libFootnote0"/>
        <w:rPr>
          <w:rtl/>
          <w:lang w:bidi="fa-IR"/>
        </w:rPr>
      </w:pPr>
      <w:r>
        <w:rPr>
          <w:rtl/>
        </w:rPr>
        <w:t>(3).</w:t>
      </w:r>
      <w:r w:rsidRPr="00132E65">
        <w:rPr>
          <w:rtl/>
        </w:rPr>
        <w:t xml:space="preserve"> قال الجوهري : « الرَوْق والرِواق : سقف في مقدّم البيت. والرِواق : سِتْر يُمَدُّ دون السقف »</w:t>
      </w:r>
      <w:r>
        <w:rPr>
          <w:rtl/>
        </w:rPr>
        <w:t>.</w:t>
      </w:r>
      <w:r w:rsidRPr="00132E65">
        <w:rPr>
          <w:rtl/>
        </w:rPr>
        <w:t xml:space="preserve"> </w:t>
      </w:r>
      <w:r w:rsidRPr="00C22DC2">
        <w:rPr>
          <w:rtl/>
        </w:rPr>
        <w:t>الصحاح</w:t>
      </w:r>
      <w:r w:rsidRPr="00132E65">
        <w:rPr>
          <w:rtl/>
        </w:rPr>
        <w:t xml:space="preserve"> ، ج 4 ، ص 1485.</w:t>
      </w:r>
      <w:r w:rsidR="004F3A66">
        <w:rPr>
          <w:rFonts w:hint="cs"/>
          <w:rtl/>
        </w:rPr>
        <w:t xml:space="preserve">                                       </w:t>
      </w:r>
      <w:r w:rsidR="0006034E">
        <w:rPr>
          <w:rFonts w:hint="cs"/>
          <w:rtl/>
        </w:rPr>
        <w:t xml:space="preserve">   </w:t>
      </w:r>
      <w:r w:rsidR="004F3A66">
        <w:rPr>
          <w:rFonts w:hint="cs"/>
          <w:rtl/>
        </w:rPr>
        <w:t xml:space="preserve">            </w:t>
      </w:r>
      <w:r>
        <w:rPr>
          <w:rtl/>
        </w:rPr>
        <w:t>(4).</w:t>
      </w:r>
      <w:r w:rsidRPr="00132E65">
        <w:rPr>
          <w:rtl/>
        </w:rPr>
        <w:t xml:space="preserve"> في البحار :</w:t>
      </w:r>
      <w:r>
        <w:rPr>
          <w:rtl/>
        </w:rPr>
        <w:t xml:space="preserve"> + </w:t>
      </w:r>
      <w:r w:rsidRPr="00132E65">
        <w:rPr>
          <w:rtl/>
        </w:rPr>
        <w:t>« لي »</w:t>
      </w:r>
      <w:r>
        <w:rPr>
          <w:rtl/>
        </w:rPr>
        <w:t>.</w:t>
      </w:r>
    </w:p>
    <w:tbl>
      <w:tblPr>
        <w:tblStyle w:val="TableGrid"/>
        <w:bidiVisual/>
        <w:tblW w:w="0" w:type="auto"/>
        <w:tblLook w:val="04A0" w:firstRow="1" w:lastRow="0" w:firstColumn="1" w:lastColumn="0" w:noHBand="0" w:noVBand="1"/>
      </w:tblPr>
      <w:tblGrid>
        <w:gridCol w:w="4261"/>
        <w:gridCol w:w="4262"/>
      </w:tblGrid>
      <w:tr w:rsidR="004F3A66" w:rsidTr="004F3A66">
        <w:tc>
          <w:tcPr>
            <w:tcW w:w="4261" w:type="dxa"/>
          </w:tcPr>
          <w:p w:rsidR="004F3A66" w:rsidRDefault="004F3A66" w:rsidP="000C39D1">
            <w:pPr>
              <w:pStyle w:val="libFootnote0"/>
              <w:rPr>
                <w:rtl/>
              </w:rPr>
            </w:pPr>
            <w:r>
              <w:rPr>
                <w:rtl/>
              </w:rPr>
              <w:t>(5).</w:t>
            </w:r>
            <w:r w:rsidRPr="00132E65">
              <w:rPr>
                <w:rtl/>
              </w:rPr>
              <w:t xml:space="preserve"> في البصائر والبحار </w:t>
            </w:r>
            <w:r>
              <w:rPr>
                <w:rtl/>
              </w:rPr>
              <w:t xml:space="preserve">: - </w:t>
            </w:r>
            <w:r w:rsidRPr="00132E65">
              <w:rPr>
                <w:rtl/>
              </w:rPr>
              <w:t>« قال »</w:t>
            </w:r>
            <w:r>
              <w:rPr>
                <w:rtl/>
              </w:rPr>
              <w:t>.</w:t>
            </w:r>
          </w:p>
        </w:tc>
        <w:tc>
          <w:tcPr>
            <w:tcW w:w="4262" w:type="dxa"/>
          </w:tcPr>
          <w:p w:rsidR="004F3A66" w:rsidRDefault="004F3A66" w:rsidP="000C39D1">
            <w:pPr>
              <w:pStyle w:val="libFootnote0"/>
              <w:rPr>
                <w:rtl/>
              </w:rPr>
            </w:pPr>
            <w:r>
              <w:rPr>
                <w:rtl/>
              </w:rPr>
              <w:t>(6).</w:t>
            </w:r>
            <w:r w:rsidRPr="00132E65">
              <w:rPr>
                <w:rtl/>
              </w:rPr>
              <w:t xml:space="preserve"> في الاختصاص : « وفتحت »</w:t>
            </w:r>
            <w:r>
              <w:rPr>
                <w:rtl/>
              </w:rPr>
              <w:t>.</w:t>
            </w:r>
          </w:p>
        </w:tc>
      </w:tr>
    </w:tbl>
    <w:p w:rsidR="000C39D1" w:rsidRPr="00132E65" w:rsidRDefault="000C39D1" w:rsidP="000C39D1">
      <w:pPr>
        <w:pStyle w:val="libFootnote0"/>
        <w:rPr>
          <w:rtl/>
          <w:lang w:bidi="fa-IR"/>
        </w:rPr>
      </w:pPr>
      <w:r>
        <w:rPr>
          <w:rtl/>
        </w:rPr>
        <w:t>(7).</w:t>
      </w:r>
      <w:r w:rsidRPr="00132E65">
        <w:rPr>
          <w:rtl/>
        </w:rPr>
        <w:t xml:space="preserve"> في « ف » : « إذ قال »</w:t>
      </w:r>
      <w:r>
        <w:rPr>
          <w:rtl/>
        </w:rPr>
        <w:t>.</w:t>
      </w:r>
      <w:r w:rsidRPr="00132E65">
        <w:rPr>
          <w:rtl/>
        </w:rPr>
        <w:t xml:space="preserve"> وفي البصائر والاختصاص والبحار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261"/>
        <w:gridCol w:w="4262"/>
      </w:tblGrid>
      <w:tr w:rsidR="00645AF4" w:rsidTr="00645AF4">
        <w:tc>
          <w:tcPr>
            <w:tcW w:w="4261" w:type="dxa"/>
          </w:tcPr>
          <w:p w:rsidR="00645AF4" w:rsidRDefault="00645AF4" w:rsidP="000C39D1">
            <w:pPr>
              <w:pStyle w:val="libFootnote0"/>
              <w:rPr>
                <w:rtl/>
                <w:lang w:bidi="fa-IR"/>
              </w:rPr>
            </w:pPr>
            <w:r>
              <w:rPr>
                <w:rtl/>
              </w:rPr>
              <w:t>(8).</w:t>
            </w:r>
            <w:r w:rsidRPr="00132E65">
              <w:rPr>
                <w:rtl/>
              </w:rPr>
              <w:t xml:space="preserve"> في البصائر : « والدتي »</w:t>
            </w:r>
            <w:r>
              <w:rPr>
                <w:rtl/>
              </w:rPr>
              <w:t>.</w:t>
            </w:r>
          </w:p>
        </w:tc>
        <w:tc>
          <w:tcPr>
            <w:tcW w:w="4262" w:type="dxa"/>
          </w:tcPr>
          <w:p w:rsidR="00645AF4" w:rsidRDefault="00645AF4" w:rsidP="000C39D1">
            <w:pPr>
              <w:pStyle w:val="libFootnote0"/>
              <w:rPr>
                <w:rtl/>
                <w:lang w:bidi="fa-IR"/>
              </w:rPr>
            </w:pPr>
            <w:r>
              <w:rPr>
                <w:rtl/>
              </w:rPr>
              <w:t>(9).</w:t>
            </w:r>
            <w:r w:rsidRPr="00132E65">
              <w:rPr>
                <w:rtl/>
              </w:rPr>
              <w:t xml:space="preserve"> في « ف » والبصائر والاختصاص والبحار : «</w:t>
            </w:r>
            <w:r>
              <w:rPr>
                <w:rtl/>
              </w:rPr>
              <w:t>وأتاني</w:t>
            </w:r>
            <w:r w:rsidRPr="00132E65">
              <w:rPr>
                <w:rtl/>
              </w:rPr>
              <w:t>»</w:t>
            </w:r>
            <w:r>
              <w:rPr>
                <w:rtl/>
              </w:rPr>
              <w:t>.</w:t>
            </w:r>
          </w:p>
        </w:tc>
      </w:tr>
    </w:tbl>
    <w:p w:rsidR="000C39D1" w:rsidRPr="00132E65" w:rsidRDefault="000C39D1" w:rsidP="000C39D1">
      <w:pPr>
        <w:pStyle w:val="libFootnote0"/>
        <w:rPr>
          <w:rtl/>
          <w:lang w:bidi="fa-IR"/>
        </w:rPr>
      </w:pPr>
      <w:r>
        <w:rPr>
          <w:rtl/>
        </w:rPr>
        <w:t>(10).</w:t>
      </w:r>
      <w:r w:rsidRPr="00132E65">
        <w:rPr>
          <w:rtl/>
        </w:rPr>
        <w:t xml:space="preserve"> في « بس » : « اعرفت »</w:t>
      </w:r>
      <w:r>
        <w:rPr>
          <w:rtl/>
        </w:rPr>
        <w:t>.</w:t>
      </w:r>
      <w:r w:rsidRPr="00132E65">
        <w:rPr>
          <w:rtl/>
        </w:rPr>
        <w:t xml:space="preserve"> قال الجوهري : « التعريف : الوقوف بعرفات »</w:t>
      </w:r>
      <w:r>
        <w:rPr>
          <w:rtl/>
        </w:rPr>
        <w:t>.</w:t>
      </w:r>
      <w:r w:rsidRPr="00132E65">
        <w:rPr>
          <w:rtl/>
        </w:rPr>
        <w:t xml:space="preserve"> وقال </w:t>
      </w:r>
      <w:r w:rsidR="0006034E">
        <w:rPr>
          <w:rtl/>
        </w:rPr>
        <w:t>الفيض : « عرّفت : أمضيتُ العرفة</w:t>
      </w:r>
      <w:r w:rsidRPr="00132E65">
        <w:rPr>
          <w:rtl/>
        </w:rPr>
        <w:t>»</w:t>
      </w:r>
      <w:r>
        <w:rPr>
          <w:rtl/>
        </w:rPr>
        <w:t>.</w:t>
      </w:r>
      <w:r w:rsidRPr="00132E65">
        <w:rPr>
          <w:rtl/>
        </w:rPr>
        <w:t xml:space="preserve"> وقال المجلسي : « المراد هنا : الإتيان بأعمال عرفة »</w:t>
      </w:r>
      <w:r>
        <w:rPr>
          <w:rtl/>
        </w:rPr>
        <w:t>.</w:t>
      </w:r>
      <w:r w:rsidRPr="00132E65">
        <w:rPr>
          <w:rtl/>
        </w:rPr>
        <w:t xml:space="preserve"> راجع : </w:t>
      </w:r>
      <w:r w:rsidRPr="00C22DC2">
        <w:rPr>
          <w:rtl/>
        </w:rPr>
        <w:t>الصحاح</w:t>
      </w:r>
      <w:r w:rsidRPr="00132E65">
        <w:rPr>
          <w:rtl/>
        </w:rPr>
        <w:t xml:space="preserve"> ، ج 4 ، ص 1402 ( عرف ) ؛ </w:t>
      </w:r>
      <w:r w:rsidRPr="009D1ACE">
        <w:rPr>
          <w:rStyle w:val="libFootnoteBoldChar"/>
          <w:rtl/>
        </w:rPr>
        <w:t>الوافي</w:t>
      </w:r>
      <w:r w:rsidRPr="00132E65">
        <w:rPr>
          <w:rtl/>
        </w:rPr>
        <w:t xml:space="preserve"> ، ج 3 ، ص 836 ؛ </w:t>
      </w:r>
      <w:r w:rsidRPr="009D1ACE">
        <w:rPr>
          <w:rStyle w:val="libFootnoteBoldChar"/>
          <w:rtl/>
        </w:rPr>
        <w:t>مرآة العقول</w:t>
      </w:r>
      <w:r w:rsidRPr="00132E65">
        <w:rPr>
          <w:rtl/>
        </w:rPr>
        <w:t xml:space="preserve"> ، ج 6 ، ص 118.</w:t>
      </w:r>
    </w:p>
    <w:p w:rsidR="000C39D1" w:rsidRPr="00132E65" w:rsidRDefault="000C39D1" w:rsidP="000C39D1">
      <w:pPr>
        <w:pStyle w:val="libFootnote0"/>
        <w:rPr>
          <w:rtl/>
          <w:lang w:bidi="fa-IR"/>
        </w:rPr>
      </w:pPr>
      <w:r>
        <w:rPr>
          <w:rtl/>
        </w:rPr>
        <w:t>(11).</w:t>
      </w:r>
      <w:r w:rsidRPr="00132E65">
        <w:rPr>
          <w:rtl/>
        </w:rPr>
        <w:t xml:space="preserve"> في البصائر والبحار : « إلى العيد ببغداد »</w:t>
      </w:r>
      <w:r>
        <w:rPr>
          <w:rtl/>
        </w:rPr>
        <w:t>.</w:t>
      </w:r>
    </w:p>
    <w:p w:rsidR="000C39D1" w:rsidRPr="00132E65" w:rsidRDefault="000C39D1" w:rsidP="00BD36F2">
      <w:pPr>
        <w:pStyle w:val="libFootnote0"/>
        <w:rPr>
          <w:rtl/>
          <w:lang w:bidi="fa-IR"/>
        </w:rPr>
      </w:pPr>
      <w:r>
        <w:rPr>
          <w:rtl/>
        </w:rPr>
        <w:t>(12).</w:t>
      </w:r>
      <w:r w:rsidRPr="00132E65">
        <w:rPr>
          <w:rtl/>
        </w:rPr>
        <w:t xml:space="preserve"> </w:t>
      </w:r>
      <w:r w:rsidRPr="007A1104">
        <w:rPr>
          <w:rStyle w:val="libFootnoteBoldChar"/>
          <w:rtl/>
        </w:rPr>
        <w:t>بصائر الدرجات</w:t>
      </w:r>
      <w:r w:rsidRPr="00132E65">
        <w:rPr>
          <w:rtl/>
        </w:rPr>
        <w:t xml:space="preserve"> ، ص 406 ، ح 6 ، عن الحسين بن محمّد بن عامر ؛ </w:t>
      </w:r>
      <w:r w:rsidRPr="00C22DC2">
        <w:rPr>
          <w:rtl/>
        </w:rPr>
        <w:t>الاختصاص</w:t>
      </w:r>
      <w:r w:rsidRPr="00132E65">
        <w:rPr>
          <w:rtl/>
        </w:rPr>
        <w:t xml:space="preserve"> ، ص 325 ، عن المعلّى بن محمّد ، وفيهما مع اختلاف يسير</w:t>
      </w:r>
      <w:r w:rsidR="00BD36F2">
        <w:rPr>
          <w:rFonts w:hint="cs"/>
          <w:rtl/>
        </w:rPr>
        <w:t>.</w:t>
      </w:r>
      <w:r w:rsidRPr="009D1ACE">
        <w:rPr>
          <w:rStyle w:val="libFootnoteBoldChar"/>
          <w:rtl/>
        </w:rPr>
        <w:t>الوافي</w:t>
      </w:r>
      <w:r w:rsidRPr="00132E65">
        <w:rPr>
          <w:rtl/>
        </w:rPr>
        <w:t xml:space="preserve"> ، ج 3 ، ص 835 ، ح 1448 ؛ </w:t>
      </w:r>
      <w:r w:rsidRPr="00C22DC2">
        <w:rPr>
          <w:rtl/>
        </w:rPr>
        <w:t>البحار</w:t>
      </w:r>
      <w:r w:rsidRPr="00132E65">
        <w:rPr>
          <w:rtl/>
        </w:rPr>
        <w:t xml:space="preserve"> ، ج 50 ، ص 132 ، ح 14.</w:t>
      </w:r>
    </w:p>
    <w:p w:rsidR="000C39D1" w:rsidRPr="00132E65" w:rsidRDefault="000C39D1" w:rsidP="00BD36F2">
      <w:pPr>
        <w:pStyle w:val="libFootnote0"/>
        <w:rPr>
          <w:rtl/>
          <w:lang w:bidi="fa-IR"/>
        </w:rPr>
      </w:pPr>
      <w:r>
        <w:rPr>
          <w:rtl/>
        </w:rPr>
        <w:t>(13)</w:t>
      </w:r>
      <w:r w:rsidRPr="00132E65">
        <w:rPr>
          <w:rtl/>
        </w:rPr>
        <w:t xml:space="preserve"> في « ف ، بح » : « جراح »</w:t>
      </w:r>
      <w:r>
        <w:rPr>
          <w:rtl/>
        </w:rPr>
        <w:t>.</w:t>
      </w:r>
      <w:r w:rsidRPr="00132E65">
        <w:rPr>
          <w:rtl/>
        </w:rPr>
        <w:t xml:space="preserve"> </w:t>
      </w:r>
      <w:r>
        <w:rPr>
          <w:rtl/>
        </w:rPr>
        <w:t>و «</w:t>
      </w:r>
      <w:r w:rsidRPr="00132E65">
        <w:rPr>
          <w:rtl/>
        </w:rPr>
        <w:t xml:space="preserve"> الخُراج » : ورَم يخرج بالبدن من ذاته. أو قَرْح يخرج في البدن. </w:t>
      </w:r>
      <w:r w:rsidRPr="009D1ACE">
        <w:rPr>
          <w:rStyle w:val="libFootnoteBoldChar"/>
          <w:rtl/>
        </w:rPr>
        <w:t>لسان العرب</w:t>
      </w:r>
      <w:r w:rsidRPr="00132E65">
        <w:rPr>
          <w:rtl/>
        </w:rPr>
        <w:t xml:space="preserve"> ، ج 2 ، ص 251 ( خرج )</w:t>
      </w:r>
      <w:r>
        <w:rPr>
          <w:rtl/>
        </w:rPr>
        <w:t>.</w:t>
      </w:r>
      <w:r w:rsidR="00BD36F2">
        <w:rPr>
          <w:rFonts w:hint="cs"/>
          <w:rtl/>
        </w:rPr>
        <w:t xml:space="preserve">                                  </w:t>
      </w:r>
      <w:r w:rsidR="0006034E">
        <w:rPr>
          <w:rFonts w:hint="cs"/>
          <w:rtl/>
        </w:rPr>
        <w:t xml:space="preserve">  </w:t>
      </w:r>
      <w:r w:rsidR="00BD36F2">
        <w:rPr>
          <w:rFonts w:hint="cs"/>
          <w:rtl/>
        </w:rPr>
        <w:t xml:space="preserve">    </w:t>
      </w:r>
      <w:r>
        <w:rPr>
          <w:rtl/>
        </w:rPr>
        <w:t>(14)</w:t>
      </w:r>
      <w:r w:rsidRPr="00132E65">
        <w:rPr>
          <w:rtl/>
        </w:rPr>
        <w:t xml:space="preserve"> في « ض » والإرشاد : « فأشرف »</w:t>
      </w:r>
      <w:r>
        <w:rPr>
          <w:rtl/>
        </w:rPr>
        <w:t>.</w:t>
      </w:r>
    </w:p>
    <w:p w:rsidR="000C39D1" w:rsidRPr="00132E65" w:rsidRDefault="000C39D1" w:rsidP="000C39D1">
      <w:pPr>
        <w:pStyle w:val="libFootnote0"/>
        <w:rPr>
          <w:rtl/>
          <w:lang w:bidi="fa-IR"/>
        </w:rPr>
      </w:pPr>
      <w:r>
        <w:rPr>
          <w:rtl/>
        </w:rPr>
        <w:t>(15)</w:t>
      </w:r>
      <w:r w:rsidRPr="00132E65">
        <w:rPr>
          <w:rtl/>
        </w:rPr>
        <w:t xml:space="preserve"> في « ض » : « فلم يجتسر »</w:t>
      </w:r>
      <w:r>
        <w:rPr>
          <w:rtl/>
        </w:rPr>
        <w:t>.</w:t>
      </w:r>
      <w:r w:rsidRPr="00132E65">
        <w:rPr>
          <w:rtl/>
        </w:rPr>
        <w:t xml:space="preserve"> وفي « ف » : « فلم يتجرّأ »</w:t>
      </w:r>
      <w:r>
        <w:rPr>
          <w:rtl/>
        </w:rPr>
        <w:t>.</w:t>
      </w:r>
    </w:p>
    <w:tbl>
      <w:tblPr>
        <w:tblStyle w:val="TableGrid"/>
        <w:bidiVisual/>
        <w:tblW w:w="0" w:type="auto"/>
        <w:tblLook w:val="04A0" w:firstRow="1" w:lastRow="0" w:firstColumn="1" w:lastColumn="0" w:noHBand="0" w:noVBand="1"/>
      </w:tblPr>
      <w:tblGrid>
        <w:gridCol w:w="4261"/>
        <w:gridCol w:w="4262"/>
      </w:tblGrid>
      <w:tr w:rsidR="0066745B" w:rsidTr="0066745B">
        <w:tc>
          <w:tcPr>
            <w:tcW w:w="4261" w:type="dxa"/>
          </w:tcPr>
          <w:p w:rsidR="0066745B" w:rsidRDefault="0066745B" w:rsidP="000C39D1">
            <w:pPr>
              <w:pStyle w:val="libFootnote0"/>
              <w:rPr>
                <w:rtl/>
              </w:rPr>
            </w:pPr>
            <w:r>
              <w:rPr>
                <w:rtl/>
              </w:rPr>
              <w:t>(16)</w:t>
            </w:r>
            <w:r w:rsidRPr="00132E65">
              <w:rPr>
                <w:rtl/>
              </w:rPr>
              <w:t xml:space="preserve"> في « ف » </w:t>
            </w:r>
            <w:r>
              <w:rPr>
                <w:rtl/>
              </w:rPr>
              <w:t xml:space="preserve">: - </w:t>
            </w:r>
            <w:r w:rsidRPr="00132E65">
              <w:rPr>
                <w:rtl/>
              </w:rPr>
              <w:t>« بحديدة »</w:t>
            </w:r>
            <w:r>
              <w:rPr>
                <w:rtl/>
              </w:rPr>
              <w:t>.</w:t>
            </w:r>
          </w:p>
        </w:tc>
        <w:tc>
          <w:tcPr>
            <w:tcW w:w="4262" w:type="dxa"/>
          </w:tcPr>
          <w:p w:rsidR="0066745B" w:rsidRDefault="0066745B" w:rsidP="000C39D1">
            <w:pPr>
              <w:pStyle w:val="libFootnote0"/>
              <w:rPr>
                <w:rtl/>
              </w:rPr>
            </w:pPr>
            <w:r>
              <w:rPr>
                <w:rtl/>
              </w:rPr>
              <w:t>(17)</w:t>
            </w:r>
            <w:r w:rsidRPr="00132E65">
              <w:rPr>
                <w:rtl/>
              </w:rPr>
              <w:t xml:space="preserve"> في « بر » : « يُحمل » مبنيّاً للمفعول.</w:t>
            </w:r>
          </w:p>
        </w:tc>
      </w:tr>
      <w:tr w:rsidR="0066745B" w:rsidTr="0066745B">
        <w:tc>
          <w:tcPr>
            <w:tcW w:w="4261" w:type="dxa"/>
          </w:tcPr>
          <w:p w:rsidR="0066745B" w:rsidRDefault="0066745B" w:rsidP="000C39D1">
            <w:pPr>
              <w:pStyle w:val="libFootnote0"/>
              <w:rPr>
                <w:rtl/>
              </w:rPr>
            </w:pPr>
            <w:r>
              <w:rPr>
                <w:rtl/>
              </w:rPr>
              <w:t>(18)</w:t>
            </w:r>
            <w:r w:rsidRPr="00132E65">
              <w:rPr>
                <w:rtl/>
              </w:rPr>
              <w:t xml:space="preserve"> في « ج » : « لها »</w:t>
            </w:r>
            <w:r>
              <w:rPr>
                <w:rtl/>
              </w:rPr>
              <w:t>.</w:t>
            </w:r>
          </w:p>
        </w:tc>
        <w:tc>
          <w:tcPr>
            <w:tcW w:w="4262" w:type="dxa"/>
          </w:tcPr>
          <w:p w:rsidR="0066745B" w:rsidRDefault="0066745B" w:rsidP="000C39D1">
            <w:pPr>
              <w:pStyle w:val="libFootnote0"/>
              <w:rPr>
                <w:rtl/>
              </w:rPr>
            </w:pPr>
            <w:r>
              <w:rPr>
                <w:rtl/>
              </w:rPr>
              <w:t>(19)</w:t>
            </w:r>
            <w:r w:rsidRPr="00132E65">
              <w:rPr>
                <w:rtl/>
              </w:rPr>
              <w:t xml:space="preserve"> في « ج » : « بعثتِ » بالمخاطبة.</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هذَا الرَّجُلِ </w:t>
      </w:r>
      <w:r>
        <w:rPr>
          <w:rStyle w:val="libFootnotenumChar"/>
          <w:rtl/>
        </w:rPr>
        <w:t>(1)</w:t>
      </w:r>
      <w:r w:rsidRPr="00132E65">
        <w:rPr>
          <w:rtl/>
          <w:lang w:bidi="fa-IR"/>
        </w:rPr>
        <w:t xml:space="preserve"> فَسَأَلْتَهُ ، فَإِنَّهُ لَايَخْلُو أَنْ يَكُونَ </w:t>
      </w:r>
      <w:r>
        <w:rPr>
          <w:rStyle w:val="libFootnotenumChar"/>
          <w:rtl/>
        </w:rPr>
        <w:t>(2)</w:t>
      </w:r>
      <w:r w:rsidRPr="00132E65">
        <w:rPr>
          <w:rtl/>
          <w:lang w:bidi="fa-IR"/>
        </w:rPr>
        <w:t xml:space="preserve"> عِنْدَهُ صِفَةٌ يُفَرِّجُ بِهَا عَنْكَ ، فَبَعَثَ إِلَيْهِ وَ</w:t>
      </w:r>
      <w:r w:rsidR="00FF7FE5">
        <w:rPr>
          <w:rFonts w:hint="cs"/>
          <w:rtl/>
          <w:lang w:bidi="fa-IR"/>
        </w:rPr>
        <w:t xml:space="preserve"> </w:t>
      </w:r>
      <w:r w:rsidRPr="00132E65">
        <w:rPr>
          <w:rtl/>
          <w:lang w:bidi="fa-IR"/>
        </w:rPr>
        <w:t>و</w:t>
      </w:r>
      <w:r w:rsidR="00FF7FE5">
        <w:rPr>
          <w:rFonts w:hint="cs"/>
          <w:rtl/>
          <w:lang w:bidi="fa-IR"/>
        </w:rPr>
        <w:t>َ</w:t>
      </w:r>
      <w:r w:rsidRPr="00132E65">
        <w:rPr>
          <w:rtl/>
          <w:lang w:bidi="fa-IR"/>
        </w:rPr>
        <w:t xml:space="preserve">صَفَ لَهُ عِلَّتَهُ ، فَرَدَّ إِلَيْهِ </w:t>
      </w:r>
      <w:r>
        <w:rPr>
          <w:rStyle w:val="libFootnotenumChar"/>
          <w:rtl/>
        </w:rPr>
        <w:t>(3)</w:t>
      </w:r>
      <w:r w:rsidRPr="00132E65">
        <w:rPr>
          <w:rtl/>
          <w:lang w:bidi="fa-IR"/>
        </w:rPr>
        <w:t xml:space="preserve"> الرَّسُولُ بِأَنْ يُؤْخَذَ كُسْبُ </w:t>
      </w:r>
      <w:r>
        <w:rPr>
          <w:rStyle w:val="libFootnotenumChar"/>
          <w:rtl/>
        </w:rPr>
        <w:t>(4)</w:t>
      </w:r>
      <w:r w:rsidRPr="00132E65">
        <w:rPr>
          <w:rtl/>
          <w:lang w:bidi="fa-IR"/>
        </w:rPr>
        <w:t xml:space="preserve"> الشَّاةِ ، فَيُدَافَ </w:t>
      </w:r>
      <w:r>
        <w:rPr>
          <w:rStyle w:val="libFootnotenumChar"/>
          <w:rtl/>
        </w:rPr>
        <w:t>(5)</w:t>
      </w:r>
      <w:r w:rsidRPr="00132E65">
        <w:rPr>
          <w:rtl/>
          <w:lang w:bidi="fa-IR"/>
        </w:rPr>
        <w:t xml:space="preserve"> بِمَاءِ ورْدٍ ، فَيُوضَعَ </w:t>
      </w:r>
      <w:r>
        <w:rPr>
          <w:rStyle w:val="libFootnotenumChar"/>
          <w:rtl/>
        </w:rPr>
        <w:t>(6)</w:t>
      </w:r>
      <w:r w:rsidRPr="00132E65">
        <w:rPr>
          <w:rtl/>
          <w:lang w:bidi="fa-IR"/>
        </w:rPr>
        <w:t xml:space="preserve"> عَلَيْهِ ، فَلَمَّا رَجَعَ الرَّسُولُ وأَخْبَرَهُمْ </w:t>
      </w:r>
      <w:r>
        <w:rPr>
          <w:rStyle w:val="libFootnotenumChar"/>
          <w:rtl/>
        </w:rPr>
        <w:t>(7)</w:t>
      </w:r>
      <w:r w:rsidRPr="00132E65">
        <w:rPr>
          <w:rtl/>
          <w:lang w:bidi="fa-IR"/>
        </w:rPr>
        <w:t xml:space="preserve"> ، أَقْبَلُوا يَهْزَؤُونَ مِنْ قَوْلِهِ ، فَقَالَ لَهُ الْفَتْحُ : هُوَ</w:t>
      </w:r>
      <w:r>
        <w:rPr>
          <w:rtl/>
          <w:lang w:bidi="fa-IR"/>
        </w:rPr>
        <w:t xml:space="preserve"> - </w:t>
      </w:r>
      <w:r w:rsidRPr="00132E65">
        <w:rPr>
          <w:rtl/>
          <w:lang w:bidi="fa-IR"/>
        </w:rPr>
        <w:t>واللهِ</w:t>
      </w:r>
      <w:r>
        <w:rPr>
          <w:rtl/>
          <w:lang w:bidi="fa-IR"/>
        </w:rPr>
        <w:t xml:space="preserve"> - </w:t>
      </w:r>
      <w:r w:rsidRPr="00132E65">
        <w:rPr>
          <w:rtl/>
          <w:lang w:bidi="fa-IR"/>
        </w:rPr>
        <w:t xml:space="preserve">أَعْلَمُ بِمَا قَالَ ، وأَحْضَرَ الْكُسْبَ وعَمِلَ </w:t>
      </w:r>
      <w:r>
        <w:rPr>
          <w:rStyle w:val="libFootnotenumChar"/>
          <w:rtl/>
        </w:rPr>
        <w:t>(8)</w:t>
      </w:r>
      <w:r w:rsidRPr="00132E65">
        <w:rPr>
          <w:rtl/>
          <w:lang w:bidi="fa-IR"/>
        </w:rPr>
        <w:t xml:space="preserve"> كَمَا </w:t>
      </w:r>
      <w:r>
        <w:rPr>
          <w:rStyle w:val="libFootnotenumChar"/>
          <w:rtl/>
        </w:rPr>
        <w:t>(9)</w:t>
      </w:r>
      <w:r w:rsidR="006B679B">
        <w:rPr>
          <w:rtl/>
          <w:lang w:bidi="fa-IR"/>
        </w:rPr>
        <w:t xml:space="preserve"> قَالَ ، و</w:t>
      </w:r>
      <w:r w:rsidR="006B679B">
        <w:rPr>
          <w:rFonts w:hint="cs"/>
          <w:rtl/>
          <w:lang w:bidi="fa-IR"/>
        </w:rPr>
        <w:t xml:space="preserve">َ </w:t>
      </w:r>
      <w:r w:rsidR="006B679B">
        <w:rPr>
          <w:rtl/>
          <w:lang w:bidi="fa-IR"/>
        </w:rPr>
        <w:t>و</w:t>
      </w:r>
      <w:r w:rsidR="006B679B">
        <w:rPr>
          <w:rFonts w:hint="cs"/>
          <w:rtl/>
          <w:lang w:bidi="fa-IR"/>
        </w:rPr>
        <w:t>َ</w:t>
      </w:r>
      <w:r w:rsidRPr="00132E65">
        <w:rPr>
          <w:rtl/>
          <w:lang w:bidi="fa-IR"/>
        </w:rPr>
        <w:t xml:space="preserve">ضَعَ عَلَيْهِ ، فَغَلَبَهُ النَّوْمُ وسَكَنَ ، ثُمَّ انْفَتَحَ وخَرَجَ مِنْهُ مَا كَانَ فِيهِ ، وبُشِّرَتْ أُمُّهُ بِعَافِيَتِهِ ، فَحَمَلَتْ إِلَيْهِ </w:t>
      </w:r>
      <w:r>
        <w:rPr>
          <w:rStyle w:val="libFootnotenumChar"/>
          <w:rtl/>
        </w:rPr>
        <w:t>(10)</w:t>
      </w:r>
      <w:r w:rsidRPr="00132E65">
        <w:rPr>
          <w:rtl/>
          <w:lang w:bidi="fa-IR"/>
        </w:rPr>
        <w:t xml:space="preserve"> عَشَرَةَ آلَافِ دِينَارٍ تَحْتَ خَاتَمِهَا.</w:t>
      </w:r>
    </w:p>
    <w:p w:rsidR="000C39D1" w:rsidRPr="00132E65" w:rsidRDefault="000C39D1" w:rsidP="000C39D1">
      <w:pPr>
        <w:pStyle w:val="libNormal"/>
        <w:rPr>
          <w:rtl/>
          <w:lang w:bidi="fa-IR"/>
        </w:rPr>
      </w:pPr>
      <w:r w:rsidRPr="00132E65">
        <w:rPr>
          <w:rtl/>
          <w:lang w:bidi="fa-IR"/>
        </w:rPr>
        <w:t xml:space="preserve">ثُمَّ اسْتَقَلَّ </w:t>
      </w:r>
      <w:r>
        <w:rPr>
          <w:rStyle w:val="libFootnotenumChar"/>
          <w:rtl/>
        </w:rPr>
        <w:t>(11)</w:t>
      </w:r>
      <w:r w:rsidRPr="00132E65">
        <w:rPr>
          <w:rtl/>
          <w:lang w:bidi="fa-IR"/>
        </w:rPr>
        <w:t xml:space="preserve"> مِنْ عِلَّتِهِ ، فَسَعى </w:t>
      </w:r>
      <w:r>
        <w:rPr>
          <w:rStyle w:val="libFootnotenumChar"/>
          <w:rtl/>
        </w:rPr>
        <w:t>(12)</w:t>
      </w:r>
      <w:r w:rsidRPr="00132E65">
        <w:rPr>
          <w:rtl/>
          <w:lang w:bidi="fa-IR"/>
        </w:rPr>
        <w:t xml:space="preserve"> إِلَيْهِ الْبَطْحَائِيُّ </w:t>
      </w:r>
      <w:r w:rsidRPr="00F543F1">
        <w:rPr>
          <w:rStyle w:val="libFootnotenumChar"/>
          <w:rtl/>
        </w:rPr>
        <w:t>(13)</w:t>
      </w:r>
      <w:r w:rsidRPr="00132E65">
        <w:rPr>
          <w:rtl/>
          <w:lang w:bidi="fa-IR"/>
        </w:rPr>
        <w:t xml:space="preserve"> الْعَلَوِيُّ بِأَنَّ أَمْوَالاً تُحْمَلُ إِلَيْهِ‌</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32317F" w:rsidTr="0032317F">
        <w:tc>
          <w:tcPr>
            <w:tcW w:w="4261" w:type="dxa"/>
          </w:tcPr>
          <w:p w:rsidR="0032317F" w:rsidRDefault="0032317F" w:rsidP="000C39D1">
            <w:pPr>
              <w:pStyle w:val="libFootnote0"/>
              <w:rPr>
                <w:rtl/>
              </w:rPr>
            </w:pPr>
            <w:r>
              <w:rPr>
                <w:rtl/>
              </w:rPr>
              <w:t>(1).</w:t>
            </w:r>
            <w:r w:rsidRPr="00132E65">
              <w:rPr>
                <w:rtl/>
              </w:rPr>
              <w:t xml:space="preserve"> في الإرشاد :</w:t>
            </w:r>
            <w:r>
              <w:rPr>
                <w:rtl/>
              </w:rPr>
              <w:t xml:space="preserve"> + </w:t>
            </w:r>
            <w:r w:rsidRPr="00132E65">
              <w:rPr>
                <w:rtl/>
              </w:rPr>
              <w:t xml:space="preserve">« يعني أبو الحسن </w:t>
            </w:r>
            <w:r w:rsidRPr="0032317F">
              <w:rPr>
                <w:rStyle w:val="libFootnoteAlaemChar"/>
                <w:rtl/>
              </w:rPr>
              <w:t>عليه‌السلام</w:t>
            </w:r>
            <w:r w:rsidRPr="00132E65">
              <w:rPr>
                <w:rtl/>
              </w:rPr>
              <w:t xml:space="preserve"> »</w:t>
            </w:r>
            <w:r>
              <w:rPr>
                <w:rtl/>
              </w:rPr>
              <w:t>.</w:t>
            </w:r>
          </w:p>
        </w:tc>
        <w:tc>
          <w:tcPr>
            <w:tcW w:w="4262" w:type="dxa"/>
          </w:tcPr>
          <w:p w:rsidR="0032317F" w:rsidRDefault="0032317F" w:rsidP="000C39D1">
            <w:pPr>
              <w:pStyle w:val="libFootnote0"/>
              <w:rPr>
                <w:rtl/>
              </w:rPr>
            </w:pPr>
            <w:r>
              <w:rPr>
                <w:rtl/>
              </w:rPr>
              <w:t>(2).</w:t>
            </w:r>
            <w:r w:rsidRPr="00132E65">
              <w:rPr>
                <w:rtl/>
              </w:rPr>
              <w:t xml:space="preserve"> في </w:t>
            </w:r>
            <w:r w:rsidRPr="009D1ACE">
              <w:rPr>
                <w:rStyle w:val="libFootnoteBoldChar"/>
                <w:rtl/>
              </w:rPr>
              <w:t>الوافي</w:t>
            </w:r>
            <w:r w:rsidRPr="00132E65">
              <w:rPr>
                <w:rtl/>
              </w:rPr>
              <w:t xml:space="preserve"> : « أن تكون »</w:t>
            </w:r>
            <w:r>
              <w:rPr>
                <w:rtl/>
              </w:rPr>
              <w:t>.</w:t>
            </w:r>
          </w:p>
        </w:tc>
      </w:tr>
    </w:tbl>
    <w:p w:rsidR="000C39D1" w:rsidRPr="00132E65" w:rsidRDefault="000C39D1" w:rsidP="000C39D1">
      <w:pPr>
        <w:pStyle w:val="libFootnote0"/>
        <w:rPr>
          <w:rtl/>
          <w:lang w:bidi="fa-IR"/>
        </w:rPr>
      </w:pPr>
      <w:r>
        <w:rPr>
          <w:rtl/>
        </w:rPr>
        <w:t>(3).</w:t>
      </w:r>
      <w:r w:rsidRPr="00132E65">
        <w:rPr>
          <w:rtl/>
        </w:rPr>
        <w:t xml:space="preserve"> في « بس » : « عليه »</w:t>
      </w:r>
      <w:r>
        <w:rPr>
          <w:rtl/>
        </w:rPr>
        <w:t>.</w:t>
      </w:r>
    </w:p>
    <w:p w:rsidR="000C39D1" w:rsidRPr="00132E65" w:rsidRDefault="000C39D1" w:rsidP="000C39D1">
      <w:pPr>
        <w:pStyle w:val="libFootnote0"/>
        <w:rPr>
          <w:rtl/>
          <w:lang w:bidi="fa-IR"/>
        </w:rPr>
      </w:pPr>
      <w:r>
        <w:rPr>
          <w:rtl/>
        </w:rPr>
        <w:t>(4).</w:t>
      </w:r>
      <w:r w:rsidRPr="00132E65">
        <w:rPr>
          <w:rtl/>
        </w:rPr>
        <w:t xml:space="preserve"> « الكُسْبُ » : عُصارة الدهن ، معرّب وأصله بالفارسيّة : كُشْب ، فقلبت الشين سيناً. قال الفيض : « ولعلّه ا</w:t>
      </w:r>
      <w:r w:rsidR="007E6B5D">
        <w:rPr>
          <w:rFonts w:hint="cs"/>
          <w:rtl/>
        </w:rPr>
        <w:t>ُ</w:t>
      </w:r>
      <w:r w:rsidRPr="00132E65">
        <w:rPr>
          <w:rtl/>
        </w:rPr>
        <w:t>ريد به ما تأكله الشاة منه ، ولهذا ا</w:t>
      </w:r>
      <w:r w:rsidR="007E6B5D">
        <w:rPr>
          <w:rFonts w:hint="cs"/>
          <w:rtl/>
        </w:rPr>
        <w:t>ُ</w:t>
      </w:r>
      <w:r w:rsidRPr="00132E65">
        <w:rPr>
          <w:rtl/>
        </w:rPr>
        <w:t>ضيف إليها »</w:t>
      </w:r>
      <w:r>
        <w:rPr>
          <w:rtl/>
        </w:rPr>
        <w:t>.</w:t>
      </w:r>
      <w:r w:rsidRPr="00132E65">
        <w:rPr>
          <w:rtl/>
        </w:rPr>
        <w:t xml:space="preserve"> وقال المجلسي : « كأنّ المراد هنا ما تلبّد تحت أرجل الشاة من بعرها »</w:t>
      </w:r>
      <w:r>
        <w:rPr>
          <w:rtl/>
        </w:rPr>
        <w:t>.</w:t>
      </w:r>
      <w:r w:rsidRPr="00132E65">
        <w:rPr>
          <w:rtl/>
        </w:rPr>
        <w:t xml:space="preserve"> راجع : </w:t>
      </w:r>
      <w:r w:rsidRPr="009D1ACE">
        <w:rPr>
          <w:rStyle w:val="libFootnoteBoldChar"/>
          <w:rtl/>
        </w:rPr>
        <w:t>لسان العرب</w:t>
      </w:r>
      <w:r w:rsidRPr="00132E65">
        <w:rPr>
          <w:rtl/>
        </w:rPr>
        <w:t xml:space="preserve"> ، ج 1 ، ص 717 ( كسب )</w:t>
      </w:r>
      <w:r>
        <w:rPr>
          <w:rtl/>
        </w:rPr>
        <w:t>.</w:t>
      </w:r>
    </w:p>
    <w:p w:rsidR="000C39D1" w:rsidRPr="00132E65" w:rsidRDefault="000C39D1" w:rsidP="000C39D1">
      <w:pPr>
        <w:pStyle w:val="libFootnote0"/>
        <w:rPr>
          <w:rtl/>
          <w:lang w:bidi="fa-IR"/>
        </w:rPr>
      </w:pPr>
      <w:r>
        <w:rPr>
          <w:rtl/>
        </w:rPr>
        <w:t>(5).</w:t>
      </w:r>
      <w:r w:rsidRPr="00132E65">
        <w:rPr>
          <w:rtl/>
        </w:rPr>
        <w:t xml:space="preserve"> في « بر » : « فيداق »</w:t>
      </w:r>
      <w:r>
        <w:rPr>
          <w:rtl/>
        </w:rPr>
        <w:t>.</w:t>
      </w:r>
      <w:r w:rsidRPr="00132E65">
        <w:rPr>
          <w:rtl/>
        </w:rPr>
        <w:t xml:space="preserve"> وقوله : « فيُداف » ، أي يُخْلَط ، من الدَوْف وهو الخلط والبلّ بالماء أو بغيره. راجع : </w:t>
      </w:r>
      <w:r w:rsidRPr="00C22DC2">
        <w:rPr>
          <w:rtl/>
        </w:rPr>
        <w:t>الصحاح</w:t>
      </w:r>
      <w:r w:rsidRPr="00132E65">
        <w:rPr>
          <w:rtl/>
        </w:rPr>
        <w:t xml:space="preserve"> ، ج 4 ، ص 1361 ؛ </w:t>
      </w:r>
      <w:r w:rsidRPr="00C22DC2">
        <w:rPr>
          <w:rtl/>
        </w:rPr>
        <w:t>النهاية</w:t>
      </w:r>
      <w:r w:rsidRPr="00132E65">
        <w:rPr>
          <w:rtl/>
        </w:rPr>
        <w:t xml:space="preserve"> ، ج 2 ، ص 140 ( دوف )</w:t>
      </w:r>
      <w:r>
        <w:rPr>
          <w:rtl/>
        </w:rPr>
        <w:t>.</w:t>
      </w:r>
    </w:p>
    <w:p w:rsidR="000C39D1" w:rsidRPr="00132E65" w:rsidRDefault="000C39D1" w:rsidP="000C39D1">
      <w:pPr>
        <w:pStyle w:val="libFootnote0"/>
        <w:rPr>
          <w:rtl/>
          <w:lang w:bidi="fa-IR"/>
        </w:rPr>
      </w:pPr>
      <w:r>
        <w:rPr>
          <w:rtl/>
        </w:rPr>
        <w:t>(6).</w:t>
      </w:r>
      <w:r w:rsidRPr="00132E65">
        <w:rPr>
          <w:rtl/>
        </w:rPr>
        <w:t xml:space="preserve"> في « بر » : « فتوضع »</w:t>
      </w:r>
      <w:r>
        <w:rPr>
          <w:rtl/>
        </w:rPr>
        <w:t>.</w:t>
      </w:r>
    </w:p>
    <w:p w:rsidR="000C39D1" w:rsidRPr="00132E65" w:rsidRDefault="000C39D1" w:rsidP="000C39D1">
      <w:pPr>
        <w:pStyle w:val="libFootnote0"/>
        <w:rPr>
          <w:rtl/>
          <w:lang w:bidi="fa-IR"/>
        </w:rPr>
      </w:pPr>
      <w:r>
        <w:rPr>
          <w:rtl/>
        </w:rPr>
        <w:t>(7).</w:t>
      </w:r>
      <w:r w:rsidRPr="00132E65">
        <w:rPr>
          <w:rtl/>
        </w:rPr>
        <w:t xml:space="preserve"> هكذا في « ج ، بح ، بر ، بس ، بف »</w:t>
      </w:r>
      <w:r>
        <w:rPr>
          <w:rtl/>
        </w:rPr>
        <w:t>.</w:t>
      </w:r>
      <w:r w:rsidRPr="00132E65">
        <w:rPr>
          <w:rtl/>
        </w:rPr>
        <w:t xml:space="preserve"> وفي المطبوع وسائر النسخ : « فأخبرهم »</w:t>
      </w:r>
      <w:r>
        <w:rPr>
          <w:rtl/>
        </w:rPr>
        <w:t>.</w:t>
      </w:r>
    </w:p>
    <w:tbl>
      <w:tblPr>
        <w:tblStyle w:val="TableGrid"/>
        <w:bidiVisual/>
        <w:tblW w:w="0" w:type="auto"/>
        <w:tblLook w:val="04A0" w:firstRow="1" w:lastRow="0" w:firstColumn="1" w:lastColumn="0" w:noHBand="0" w:noVBand="1"/>
      </w:tblPr>
      <w:tblGrid>
        <w:gridCol w:w="4261"/>
        <w:gridCol w:w="4262"/>
      </w:tblGrid>
      <w:tr w:rsidR="007E6B5D" w:rsidTr="007E6B5D">
        <w:tc>
          <w:tcPr>
            <w:tcW w:w="4261" w:type="dxa"/>
          </w:tcPr>
          <w:p w:rsidR="007E6B5D" w:rsidRDefault="007E6B5D" w:rsidP="000C39D1">
            <w:pPr>
              <w:pStyle w:val="libFootnote0"/>
              <w:rPr>
                <w:rtl/>
              </w:rPr>
            </w:pPr>
            <w:r>
              <w:rPr>
                <w:rtl/>
              </w:rPr>
              <w:t>(8).</w:t>
            </w:r>
            <w:r w:rsidRPr="00132E65">
              <w:rPr>
                <w:rtl/>
              </w:rPr>
              <w:t xml:space="preserve"> في « ج » : « عُمِل » مبنيّاً للمفعول.</w:t>
            </w:r>
          </w:p>
        </w:tc>
        <w:tc>
          <w:tcPr>
            <w:tcW w:w="4262" w:type="dxa"/>
          </w:tcPr>
          <w:p w:rsidR="007E6B5D" w:rsidRDefault="007E6B5D" w:rsidP="000C39D1">
            <w:pPr>
              <w:pStyle w:val="libFootnote0"/>
              <w:rPr>
                <w:rtl/>
              </w:rPr>
            </w:pPr>
            <w:r>
              <w:rPr>
                <w:rtl/>
              </w:rPr>
              <w:t>(9). في «ب، ج، ض، ف، بس»وحاشية«بح»:«كلّ ما</w:t>
            </w:r>
            <w:r w:rsidRPr="00132E65">
              <w:rPr>
                <w:rtl/>
              </w:rPr>
              <w:t>»</w:t>
            </w:r>
            <w:r>
              <w:rPr>
                <w:rtl/>
              </w:rPr>
              <w:t>.</w:t>
            </w:r>
          </w:p>
        </w:tc>
      </w:tr>
    </w:tbl>
    <w:p w:rsidR="000C39D1" w:rsidRPr="00132E65" w:rsidRDefault="000C39D1" w:rsidP="000C39D1">
      <w:pPr>
        <w:pStyle w:val="libFootnote0"/>
        <w:rPr>
          <w:rtl/>
          <w:lang w:bidi="fa-IR"/>
        </w:rPr>
      </w:pPr>
      <w:r>
        <w:rPr>
          <w:rtl/>
        </w:rPr>
        <w:t>(10).</w:t>
      </w:r>
      <w:r w:rsidRPr="00132E65">
        <w:rPr>
          <w:rtl/>
        </w:rPr>
        <w:t xml:space="preserve"> في « ب ، ف » : « عليه »</w:t>
      </w:r>
      <w:r>
        <w:rPr>
          <w:rtl/>
        </w:rPr>
        <w:t>.</w:t>
      </w:r>
    </w:p>
    <w:p w:rsidR="000C39D1" w:rsidRPr="00132E65" w:rsidRDefault="000C39D1" w:rsidP="000C39D1">
      <w:pPr>
        <w:pStyle w:val="libFootnote0"/>
        <w:rPr>
          <w:rtl/>
          <w:lang w:bidi="fa-IR"/>
        </w:rPr>
      </w:pPr>
      <w:r>
        <w:rPr>
          <w:rtl/>
        </w:rPr>
        <w:t>(11).</w:t>
      </w:r>
      <w:r w:rsidRPr="00132E65">
        <w:rPr>
          <w:rtl/>
        </w:rPr>
        <w:t xml:space="preserve"> « استقلّ » ، إمّا من الإقلال والاستقلال الذي بمعنى الارتفاع والاستبداد ، أي برئ. قاله الفيض والمجلسي. أومن القلّة ، يقال : استقلّ الشي‌ءَ ، أي وجده قليلاً ، والمعنى وجد علّته قليلة. وفي حاشية « ج » : « استبلّ »</w:t>
      </w:r>
      <w:r>
        <w:rPr>
          <w:rtl/>
        </w:rPr>
        <w:t>.</w:t>
      </w:r>
      <w:r w:rsidRPr="00132E65">
        <w:rPr>
          <w:rtl/>
        </w:rPr>
        <w:t xml:space="preserve"> من البِلّ ، بمعنى الشفاء وحسن الحال والنجاة من المرض. قال في </w:t>
      </w:r>
      <w:r w:rsidRPr="00C22DC2">
        <w:rPr>
          <w:rtl/>
        </w:rPr>
        <w:t>المرآة</w:t>
      </w:r>
      <w:r w:rsidRPr="00132E65">
        <w:rPr>
          <w:rtl/>
        </w:rPr>
        <w:t xml:space="preserve"> : « وهذا هو أنسب »</w:t>
      </w:r>
      <w:r>
        <w:rPr>
          <w:rtl/>
        </w:rPr>
        <w:t>.</w:t>
      </w:r>
      <w:r w:rsidRPr="00132E65">
        <w:rPr>
          <w:rtl/>
        </w:rPr>
        <w:t xml:space="preserve"> راجع : </w:t>
      </w:r>
      <w:r w:rsidRPr="00C22DC2">
        <w:rPr>
          <w:rtl/>
        </w:rPr>
        <w:t>النهاية</w:t>
      </w:r>
      <w:r w:rsidRPr="00132E65">
        <w:rPr>
          <w:rtl/>
        </w:rPr>
        <w:t xml:space="preserve"> ، ج 4 ، ص 103.</w:t>
      </w:r>
    </w:p>
    <w:p w:rsidR="000C39D1" w:rsidRPr="00132E65" w:rsidRDefault="000C39D1" w:rsidP="000C39D1">
      <w:pPr>
        <w:pStyle w:val="libFootnote0"/>
        <w:rPr>
          <w:rtl/>
          <w:lang w:bidi="fa-IR"/>
        </w:rPr>
      </w:pPr>
      <w:r>
        <w:rPr>
          <w:rtl/>
        </w:rPr>
        <w:t>(12).</w:t>
      </w:r>
      <w:r w:rsidRPr="00132E65">
        <w:rPr>
          <w:rtl/>
        </w:rPr>
        <w:t xml:space="preserve"> « السِعاية » : النميمة والوِشاية ، وهو إظهار الشي‌ء ورفعه على وجه الإشاعة والفساد. والساعي هو الذي يسعى بصاحبه إلى سلطانه فيَمْحَل به ، أي يكيده ليؤذيه. راجع : </w:t>
      </w:r>
      <w:r w:rsidRPr="00C22DC2">
        <w:rPr>
          <w:rtl/>
        </w:rPr>
        <w:t>النهاية</w:t>
      </w:r>
      <w:r w:rsidRPr="00132E65">
        <w:rPr>
          <w:rtl/>
        </w:rPr>
        <w:t xml:space="preserve"> ، ج 2 ، ص 370 ؛ </w:t>
      </w:r>
      <w:r w:rsidRPr="009D1ACE">
        <w:rPr>
          <w:rStyle w:val="libFootnoteBoldChar"/>
          <w:rtl/>
        </w:rPr>
        <w:t>لسان العرب</w:t>
      </w:r>
      <w:r w:rsidRPr="00132E65">
        <w:rPr>
          <w:rtl/>
        </w:rPr>
        <w:t xml:space="preserve"> ، ج 14 ، ص 386 ( سعا )</w:t>
      </w:r>
      <w:r>
        <w:rPr>
          <w:rtl/>
        </w:rPr>
        <w:t>.</w:t>
      </w:r>
    </w:p>
    <w:p w:rsidR="000C39D1" w:rsidRPr="00132E65" w:rsidRDefault="000C39D1" w:rsidP="000C39D1">
      <w:pPr>
        <w:pStyle w:val="libFootnote0"/>
        <w:rPr>
          <w:rtl/>
          <w:lang w:bidi="fa-IR"/>
        </w:rPr>
      </w:pPr>
      <w:r>
        <w:rPr>
          <w:rtl/>
        </w:rPr>
        <w:t>(13)</w:t>
      </w:r>
      <w:r w:rsidRPr="00132E65">
        <w:rPr>
          <w:rtl/>
        </w:rPr>
        <w:t xml:space="preserve"> في « ض ، بح ، بر ، بف » وشرح المازندراني : « البطحاوي »</w:t>
      </w:r>
      <w:r>
        <w:rPr>
          <w:rtl/>
        </w:rPr>
        <w:t>.</w:t>
      </w:r>
      <w:r w:rsidRPr="00132E65">
        <w:rPr>
          <w:rtl/>
        </w:rPr>
        <w:t xml:space="preserve"> وفي « ف ، بس » وحاشية « ض ، بر » : « البطحاء »</w:t>
      </w:r>
      <w:r>
        <w:rPr>
          <w:rtl/>
        </w:rPr>
        <w:t>.</w:t>
      </w:r>
      <w:r w:rsidRPr="00132E65">
        <w:rPr>
          <w:rtl/>
        </w:rPr>
        <w:t xml:space="preserve"> وفي « بر » :</w:t>
      </w:r>
      <w:r>
        <w:rPr>
          <w:rtl/>
        </w:rPr>
        <w:t xml:space="preserve"> + </w:t>
      </w:r>
      <w:r w:rsidRPr="00132E65">
        <w:rPr>
          <w:rtl/>
        </w:rPr>
        <w:t>«</w:t>
      </w:r>
      <w:r>
        <w:rPr>
          <w:rtl/>
        </w:rPr>
        <w:t xml:space="preserve"> و ».</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وَسِلَاحاً ، فَقَالَ لِسَعِيدٍ الْحَاجِبِ : اهْجُمْ عَلَيْهِ </w:t>
      </w:r>
      <w:r>
        <w:rPr>
          <w:rStyle w:val="libFootnotenumChar"/>
          <w:rtl/>
        </w:rPr>
        <w:t>(1)</w:t>
      </w:r>
      <w:r w:rsidRPr="00132E65">
        <w:rPr>
          <w:rtl/>
          <w:lang w:bidi="fa-IR"/>
        </w:rPr>
        <w:t xml:space="preserve"> بِاللَّيْلِ ، وخُذْ مَا تَجِدُ عِنْدَهُ مِنَ الْأَمْوَالِ والسِّلَاحِ ، واحْمِلْهُ إِلَيَّ.</w:t>
      </w:r>
    </w:p>
    <w:p w:rsidR="000C39D1" w:rsidRPr="00132E65" w:rsidRDefault="000C39D1" w:rsidP="000C39D1">
      <w:pPr>
        <w:pStyle w:val="libNormal"/>
        <w:rPr>
          <w:rtl/>
          <w:lang w:bidi="fa-IR"/>
        </w:rPr>
      </w:pPr>
      <w:r w:rsidRPr="00132E65">
        <w:rPr>
          <w:rtl/>
          <w:lang w:bidi="fa-IR"/>
        </w:rPr>
        <w:t xml:space="preserve">قَالَ إِبْرَاهِيمُ بْنُ مُحَمَّدٍ : فَقَالَ </w:t>
      </w:r>
      <w:r>
        <w:rPr>
          <w:rStyle w:val="libFootnotenumChar"/>
          <w:rtl/>
        </w:rPr>
        <w:t>(2)</w:t>
      </w:r>
      <w:r w:rsidRPr="00132E65">
        <w:rPr>
          <w:rtl/>
          <w:lang w:bidi="fa-IR"/>
        </w:rPr>
        <w:t xml:space="preserve"> لِي سَعِيدٌ الْحَاجِبُ : صِرْتُ إِلى دَارِهِ بِاللَّيْلِ ومَعِي سُلَّمٌ ، فَصَعِدْتُ </w:t>
      </w:r>
      <w:r>
        <w:rPr>
          <w:rStyle w:val="libFootnotenumChar"/>
          <w:rtl/>
        </w:rPr>
        <w:t>(3)</w:t>
      </w:r>
      <w:r w:rsidRPr="00132E65">
        <w:rPr>
          <w:rtl/>
          <w:lang w:bidi="fa-IR"/>
        </w:rPr>
        <w:t xml:space="preserve"> السَّطْحَ ، فَلَمَّا نَزَلْتُ عَلى </w:t>
      </w:r>
      <w:r>
        <w:rPr>
          <w:rStyle w:val="libFootnotenumChar"/>
          <w:rtl/>
        </w:rPr>
        <w:t>(4)</w:t>
      </w:r>
      <w:r w:rsidRPr="00132E65">
        <w:rPr>
          <w:rtl/>
          <w:lang w:bidi="fa-IR"/>
        </w:rPr>
        <w:t xml:space="preserve"> بَعْضِ الدَّرَجِ فِي الظُّلْمَةِ ، لَمْ أَدْرِ كَيْفَ أَصِلُ إِلَى </w:t>
      </w:r>
      <w:r>
        <w:rPr>
          <w:rStyle w:val="libFootnotenumChar"/>
          <w:rtl/>
        </w:rPr>
        <w:t>(5)</w:t>
      </w:r>
      <w:r w:rsidRPr="00132E65">
        <w:rPr>
          <w:rtl/>
          <w:lang w:bidi="fa-IR"/>
        </w:rPr>
        <w:t xml:space="preserve"> الدَّارِ ، فَنَادَانِي : « يَا سَعِيدُ ، مَكَانَكَ حَتّى يَأْتُوكَ </w:t>
      </w:r>
      <w:r>
        <w:rPr>
          <w:rStyle w:val="libFootnotenumChar"/>
          <w:rtl/>
        </w:rPr>
        <w:t>(6)</w:t>
      </w:r>
      <w:r w:rsidRPr="00132E65">
        <w:rPr>
          <w:rtl/>
          <w:lang w:bidi="fa-IR"/>
        </w:rPr>
        <w:t xml:space="preserve"> بِشَمْعَةٍ »</w:t>
      </w:r>
      <w:r>
        <w:rPr>
          <w:rtl/>
          <w:lang w:bidi="fa-IR"/>
        </w:rPr>
        <w:t>.</w:t>
      </w:r>
      <w:r w:rsidRPr="00132E65">
        <w:rPr>
          <w:rtl/>
          <w:lang w:bidi="fa-IR"/>
        </w:rPr>
        <w:t xml:space="preserve"> فَلَمْ أَلْبَثْ أَنْ أَتَوْنِي </w:t>
      </w:r>
      <w:r>
        <w:rPr>
          <w:rStyle w:val="libFootnotenumChar"/>
          <w:rtl/>
        </w:rPr>
        <w:t>(7)</w:t>
      </w:r>
      <w:r w:rsidRPr="00132E65">
        <w:rPr>
          <w:rtl/>
          <w:lang w:bidi="fa-IR"/>
        </w:rPr>
        <w:t xml:space="preserve"> بِشَمْعَةٍ ، فَنَزَلْتُ </w:t>
      </w:r>
      <w:r>
        <w:rPr>
          <w:rStyle w:val="libFootnotenumChar"/>
          <w:rtl/>
        </w:rPr>
        <w:t>(8)</w:t>
      </w:r>
      <w:r w:rsidRPr="00132E65">
        <w:rPr>
          <w:rtl/>
          <w:lang w:bidi="fa-IR"/>
        </w:rPr>
        <w:t xml:space="preserve"> ، فَوَجَدْتُهُ </w:t>
      </w:r>
      <w:r>
        <w:rPr>
          <w:rStyle w:val="libFootnotenumChar"/>
          <w:rtl/>
        </w:rPr>
        <w:t>(9)</w:t>
      </w:r>
      <w:r w:rsidRPr="00132E65">
        <w:rPr>
          <w:rtl/>
          <w:lang w:bidi="fa-IR"/>
        </w:rPr>
        <w:t xml:space="preserve"> عَلَيْهِ جُبَّةُ </w:t>
      </w:r>
      <w:r>
        <w:rPr>
          <w:rStyle w:val="libFootnotenumChar"/>
          <w:rtl/>
        </w:rPr>
        <w:t>(10)</w:t>
      </w:r>
      <w:r w:rsidRPr="00132E65">
        <w:rPr>
          <w:rtl/>
          <w:lang w:bidi="fa-IR"/>
        </w:rPr>
        <w:t xml:space="preserve"> صُوفٍ وقَلَنْسُوَةٌ مِنْهَا ، وسَجَّادَةٌ عَلى حَصِيرٍ بَيْنَ يَدَيْهِ ، فَلَمْ أَشُكَّ أَنَّهُ كَانَ يُصَلِّي ، فَقَالَ لِي : « دُونَكَ الْبُيُوتَ »</w:t>
      </w:r>
      <w:r>
        <w:rPr>
          <w:rtl/>
          <w:lang w:bidi="fa-IR"/>
        </w:rPr>
        <w:t>.</w:t>
      </w:r>
      <w:r w:rsidRPr="00132E65">
        <w:rPr>
          <w:rtl/>
          <w:lang w:bidi="fa-IR"/>
        </w:rPr>
        <w:t xml:space="preserve"> فَدَخَلْتُهَا وفَتَّشْتُهَا ، فَ</w:t>
      </w:r>
      <w:r w:rsidR="00B908EA">
        <w:rPr>
          <w:rtl/>
          <w:lang w:bidi="fa-IR"/>
        </w:rPr>
        <w:t>لَمْ أَجِدْ فِيهَا شَيْئاً ، و</w:t>
      </w:r>
      <w:r w:rsidR="00B908EA">
        <w:rPr>
          <w:rFonts w:hint="cs"/>
          <w:rtl/>
          <w:lang w:bidi="fa-IR"/>
        </w:rPr>
        <w:t xml:space="preserve">َ </w:t>
      </w:r>
      <w:r w:rsidR="00B908EA">
        <w:rPr>
          <w:rtl/>
          <w:lang w:bidi="fa-IR"/>
        </w:rPr>
        <w:t>و</w:t>
      </w:r>
      <w:r w:rsidR="00B908EA">
        <w:rPr>
          <w:rFonts w:hint="cs"/>
          <w:rtl/>
          <w:lang w:bidi="fa-IR"/>
        </w:rPr>
        <w:t>َ</w:t>
      </w:r>
      <w:r w:rsidRPr="00132E65">
        <w:rPr>
          <w:rtl/>
          <w:lang w:bidi="fa-IR"/>
        </w:rPr>
        <w:t xml:space="preserve">جَدْتُ </w:t>
      </w:r>
      <w:r>
        <w:rPr>
          <w:rStyle w:val="libFootnotenumChar"/>
          <w:rtl/>
        </w:rPr>
        <w:t>(11)</w:t>
      </w:r>
      <w:r w:rsidRPr="00132E65">
        <w:rPr>
          <w:rtl/>
          <w:lang w:bidi="fa-IR"/>
        </w:rPr>
        <w:t xml:space="preserve"> الْبَدْرَةَ </w:t>
      </w:r>
      <w:r>
        <w:rPr>
          <w:rStyle w:val="libFootnotenumChar"/>
          <w:rtl/>
        </w:rPr>
        <w:t>(12)</w:t>
      </w:r>
      <w:r w:rsidRPr="00132E65">
        <w:rPr>
          <w:rtl/>
          <w:lang w:bidi="fa-IR"/>
        </w:rPr>
        <w:t xml:space="preserve"> فِي بَيْتِهِ مَخْتُومَةً بِخَاتَمِ أُمِّ الْمُتَوَكِّلِ ، وكِيساً مَخْتُوماً ، وقَالَ لِي : « دُونَكَ الْمُصَلّى »</w:t>
      </w:r>
      <w:r>
        <w:rPr>
          <w:rtl/>
          <w:lang w:bidi="fa-IR"/>
        </w:rPr>
        <w:t>.</w:t>
      </w:r>
      <w:r w:rsidRPr="00132E65">
        <w:rPr>
          <w:rtl/>
          <w:lang w:bidi="fa-IR"/>
        </w:rPr>
        <w:t xml:space="preserve"> فَرَفَعْتُهُ ، فَوَجَدْتُ سَيْفاً فِي جَفْنٍ </w:t>
      </w:r>
      <w:r w:rsidRPr="00F543F1">
        <w:rPr>
          <w:rStyle w:val="libFootnotenumChar"/>
          <w:rtl/>
        </w:rPr>
        <w:t>(13)</w:t>
      </w:r>
      <w:r w:rsidRPr="00132E65">
        <w:rPr>
          <w:rtl/>
          <w:lang w:bidi="fa-IR"/>
        </w:rPr>
        <w:t xml:space="preserve"> غَيْرِ مُلَبَّسٍ </w:t>
      </w:r>
      <w:r w:rsidRPr="00F543F1">
        <w:rPr>
          <w:rStyle w:val="libFootnotenumChar"/>
          <w:rtl/>
        </w:rPr>
        <w:t>(14)</w:t>
      </w:r>
      <w:r w:rsidRPr="00132E65">
        <w:rPr>
          <w:rtl/>
          <w:lang w:bidi="fa-IR"/>
        </w:rPr>
        <w:t xml:space="preserve"> ، فَأَخَذْتُ ذلِكَ ، وصِرْتُ إِلَيْهِ ، فَلَمَّا نَظَرَ إِلى خَاتَمِ أُمِّهِ عَلَى الْبَدْرَةِ ، بَعَثَ إِلَيْهَا ، فَخَرَجَتْ إِلَيْهِ ، فَأَخْبَرَنِي بَعْضُ خَدَمِ </w:t>
      </w:r>
      <w:r w:rsidRPr="00F543F1">
        <w:rPr>
          <w:rStyle w:val="libFootnotenumChar"/>
          <w:rtl/>
        </w:rPr>
        <w:t>(15)</w:t>
      </w:r>
      <w:r w:rsidRPr="00132E65">
        <w:rPr>
          <w:rtl/>
          <w:lang w:bidi="fa-IR"/>
        </w:rPr>
        <w:t xml:space="preserve"> الْخَاصَّةِ أَنَّهَا قَالَتْ لَهُ : كُنْتُ قَدْ </w:t>
      </w:r>
      <w:r w:rsidRPr="00F543F1">
        <w:rPr>
          <w:rStyle w:val="libFootnotenumChar"/>
          <w:rtl/>
        </w:rPr>
        <w:t>(16)</w:t>
      </w:r>
      <w:r w:rsidRPr="00132E65">
        <w:rPr>
          <w:rtl/>
          <w:lang w:bidi="fa-IR"/>
        </w:rPr>
        <w:t xml:space="preserve"> نَذَرْتُ فِي عِلَّتِكَ لَمَّا‌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20652C" w:rsidTr="0020652C">
        <w:tc>
          <w:tcPr>
            <w:tcW w:w="4261" w:type="dxa"/>
          </w:tcPr>
          <w:p w:rsidR="0020652C" w:rsidRDefault="0020652C" w:rsidP="000C39D1">
            <w:pPr>
              <w:pStyle w:val="libFootnote0"/>
              <w:rPr>
                <w:rtl/>
              </w:rPr>
            </w:pPr>
            <w:r>
              <w:rPr>
                <w:rtl/>
              </w:rPr>
              <w:t>(1).</w:t>
            </w:r>
            <w:r w:rsidRPr="00132E65">
              <w:rPr>
                <w:rtl/>
              </w:rPr>
              <w:t xml:space="preserve"> في « ف » : « عليه اهجم »</w:t>
            </w:r>
            <w:r>
              <w:rPr>
                <w:rtl/>
              </w:rPr>
              <w:t>.</w:t>
            </w:r>
          </w:p>
        </w:tc>
        <w:tc>
          <w:tcPr>
            <w:tcW w:w="4262" w:type="dxa"/>
          </w:tcPr>
          <w:p w:rsidR="0020652C" w:rsidRDefault="0020652C" w:rsidP="000C39D1">
            <w:pPr>
              <w:pStyle w:val="libFootnote0"/>
              <w:rPr>
                <w:rtl/>
              </w:rPr>
            </w:pPr>
            <w:r>
              <w:rPr>
                <w:rtl/>
              </w:rPr>
              <w:t>(2).</w:t>
            </w:r>
            <w:r w:rsidRPr="00132E65">
              <w:rPr>
                <w:rtl/>
              </w:rPr>
              <w:t xml:space="preserve"> في « بف » : « قال »</w:t>
            </w:r>
            <w:r>
              <w:rPr>
                <w:rtl/>
              </w:rPr>
              <w:t>.</w:t>
            </w:r>
          </w:p>
        </w:tc>
      </w:tr>
      <w:tr w:rsidR="0020652C" w:rsidTr="0020652C">
        <w:tc>
          <w:tcPr>
            <w:tcW w:w="4261" w:type="dxa"/>
          </w:tcPr>
          <w:p w:rsidR="0020652C" w:rsidRDefault="0020652C" w:rsidP="000C39D1">
            <w:pPr>
              <w:pStyle w:val="libFootnote0"/>
              <w:rPr>
                <w:rtl/>
              </w:rPr>
            </w:pPr>
            <w:r>
              <w:rPr>
                <w:rtl/>
              </w:rPr>
              <w:t>(3).</w:t>
            </w:r>
            <w:r w:rsidRPr="00132E65">
              <w:rPr>
                <w:rtl/>
              </w:rPr>
              <w:t xml:space="preserve"> في « ب » : « وصعدت »</w:t>
            </w:r>
            <w:r>
              <w:rPr>
                <w:rtl/>
              </w:rPr>
              <w:t>.</w:t>
            </w:r>
          </w:p>
        </w:tc>
        <w:tc>
          <w:tcPr>
            <w:tcW w:w="4262" w:type="dxa"/>
          </w:tcPr>
          <w:p w:rsidR="0020652C" w:rsidRDefault="0020652C" w:rsidP="000C39D1">
            <w:pPr>
              <w:pStyle w:val="libFootnote0"/>
              <w:rPr>
                <w:rtl/>
              </w:rPr>
            </w:pPr>
            <w:r>
              <w:rPr>
                <w:rtl/>
              </w:rPr>
              <w:t>(4).</w:t>
            </w:r>
            <w:r w:rsidRPr="00132E65">
              <w:rPr>
                <w:rtl/>
              </w:rPr>
              <w:t xml:space="preserve"> في « ب » : « إلى »</w:t>
            </w:r>
            <w:r>
              <w:rPr>
                <w:rtl/>
              </w:rPr>
              <w:t>.</w:t>
            </w:r>
          </w:p>
        </w:tc>
      </w:tr>
      <w:tr w:rsidR="0020652C" w:rsidTr="0020652C">
        <w:tc>
          <w:tcPr>
            <w:tcW w:w="4261" w:type="dxa"/>
          </w:tcPr>
          <w:p w:rsidR="0020652C" w:rsidRDefault="0020652C" w:rsidP="000C39D1">
            <w:pPr>
              <w:pStyle w:val="libFootnote0"/>
              <w:rPr>
                <w:rtl/>
              </w:rPr>
            </w:pPr>
            <w:r>
              <w:rPr>
                <w:rtl/>
              </w:rPr>
              <w:t>(5).</w:t>
            </w:r>
            <w:r w:rsidRPr="00132E65">
              <w:rPr>
                <w:rtl/>
              </w:rPr>
              <w:t xml:space="preserve"> في « ج » </w:t>
            </w:r>
            <w:r>
              <w:rPr>
                <w:rtl/>
              </w:rPr>
              <w:t xml:space="preserve">: - </w:t>
            </w:r>
            <w:r w:rsidRPr="00132E65">
              <w:rPr>
                <w:rtl/>
              </w:rPr>
              <w:t>« إلى »</w:t>
            </w:r>
            <w:r>
              <w:rPr>
                <w:rtl/>
              </w:rPr>
              <w:t>.</w:t>
            </w:r>
          </w:p>
        </w:tc>
        <w:tc>
          <w:tcPr>
            <w:tcW w:w="4262" w:type="dxa"/>
          </w:tcPr>
          <w:p w:rsidR="0020652C" w:rsidRDefault="0020652C" w:rsidP="000C39D1">
            <w:pPr>
              <w:pStyle w:val="libFootnote0"/>
              <w:rPr>
                <w:rtl/>
              </w:rPr>
            </w:pPr>
            <w:r>
              <w:rPr>
                <w:rtl/>
              </w:rPr>
              <w:t>(6).</w:t>
            </w:r>
            <w:r w:rsidRPr="00132E65">
              <w:rPr>
                <w:rtl/>
              </w:rPr>
              <w:t xml:space="preserve"> في « ف » : « يأتونك »</w:t>
            </w:r>
            <w:r>
              <w:rPr>
                <w:rtl/>
              </w:rPr>
              <w:t>.</w:t>
            </w:r>
          </w:p>
        </w:tc>
      </w:tr>
      <w:tr w:rsidR="0020652C" w:rsidTr="0020652C">
        <w:tc>
          <w:tcPr>
            <w:tcW w:w="4261" w:type="dxa"/>
          </w:tcPr>
          <w:p w:rsidR="0020652C" w:rsidRDefault="0020652C" w:rsidP="000C39D1">
            <w:pPr>
              <w:pStyle w:val="libFootnote0"/>
              <w:rPr>
                <w:rtl/>
              </w:rPr>
            </w:pPr>
            <w:r>
              <w:rPr>
                <w:rtl/>
              </w:rPr>
              <w:t>(7).</w:t>
            </w:r>
            <w:r w:rsidRPr="00132E65">
              <w:rPr>
                <w:rtl/>
              </w:rPr>
              <w:t xml:space="preserve"> في « ف » : « يأتوني »</w:t>
            </w:r>
            <w:r>
              <w:rPr>
                <w:rtl/>
              </w:rPr>
              <w:t>.</w:t>
            </w:r>
          </w:p>
        </w:tc>
        <w:tc>
          <w:tcPr>
            <w:tcW w:w="4262" w:type="dxa"/>
          </w:tcPr>
          <w:p w:rsidR="0020652C" w:rsidRDefault="0020652C" w:rsidP="000C39D1">
            <w:pPr>
              <w:pStyle w:val="libFootnote0"/>
              <w:rPr>
                <w:rtl/>
              </w:rPr>
            </w:pPr>
            <w:r>
              <w:rPr>
                <w:rtl/>
              </w:rPr>
              <w:t>(8).</w:t>
            </w:r>
            <w:r w:rsidRPr="00132E65">
              <w:rPr>
                <w:rtl/>
              </w:rPr>
              <w:t xml:space="preserve"> في « ف » : « فلمّا نزلت »</w:t>
            </w:r>
            <w:r>
              <w:rPr>
                <w:rtl/>
              </w:rPr>
              <w:t>.</w:t>
            </w:r>
          </w:p>
        </w:tc>
      </w:tr>
    </w:tbl>
    <w:p w:rsidR="000C39D1" w:rsidRPr="00132E65" w:rsidRDefault="000C39D1" w:rsidP="000C39D1">
      <w:pPr>
        <w:pStyle w:val="libFootnote0"/>
        <w:rPr>
          <w:rtl/>
          <w:lang w:bidi="fa-IR"/>
        </w:rPr>
      </w:pPr>
      <w:r>
        <w:rPr>
          <w:rtl/>
        </w:rPr>
        <w:t>(9).</w:t>
      </w:r>
      <w:r w:rsidRPr="00132E65">
        <w:rPr>
          <w:rtl/>
        </w:rPr>
        <w:t xml:space="preserve"> في « بر » : « فوجدت »</w:t>
      </w:r>
      <w:r>
        <w:rPr>
          <w:rtl/>
        </w:rPr>
        <w:t>.</w:t>
      </w:r>
    </w:p>
    <w:p w:rsidR="000C39D1" w:rsidRPr="00132E65" w:rsidRDefault="000C39D1" w:rsidP="000C39D1">
      <w:pPr>
        <w:pStyle w:val="libFootnote0"/>
        <w:rPr>
          <w:rtl/>
          <w:lang w:bidi="fa-IR"/>
        </w:rPr>
      </w:pPr>
      <w:r>
        <w:rPr>
          <w:rtl/>
        </w:rPr>
        <w:t>(10).</w:t>
      </w:r>
      <w:r w:rsidRPr="00132E65">
        <w:rPr>
          <w:rtl/>
        </w:rPr>
        <w:t xml:space="preserve"> « الجُبّة » : ضرب من مقطّعات الثياب</w:t>
      </w:r>
      <w:r>
        <w:rPr>
          <w:rtl/>
        </w:rPr>
        <w:t xml:space="preserve"> - </w:t>
      </w:r>
      <w:r w:rsidRPr="00132E65">
        <w:rPr>
          <w:rtl/>
        </w:rPr>
        <w:t>وهي ثياب قِصار</w:t>
      </w:r>
      <w:r>
        <w:rPr>
          <w:rtl/>
        </w:rPr>
        <w:t xml:space="preserve"> - </w:t>
      </w:r>
      <w:r w:rsidRPr="00132E65">
        <w:rPr>
          <w:rtl/>
        </w:rPr>
        <w:t>تُلْبَس. وفي المرآة : « الجُبّة ، بالضمّ : ثوب قصير الكُمّين »</w:t>
      </w:r>
      <w:r>
        <w:rPr>
          <w:rtl/>
        </w:rPr>
        <w:t>.</w:t>
      </w:r>
      <w:r w:rsidRPr="00132E65">
        <w:rPr>
          <w:rtl/>
        </w:rPr>
        <w:t xml:space="preserve"> راجع : </w:t>
      </w:r>
      <w:r w:rsidRPr="009D1ACE">
        <w:rPr>
          <w:rStyle w:val="libFootnoteBoldChar"/>
          <w:rtl/>
        </w:rPr>
        <w:t>لسان العرب</w:t>
      </w:r>
      <w:r w:rsidRPr="00132E65">
        <w:rPr>
          <w:rtl/>
        </w:rPr>
        <w:t xml:space="preserve"> ، ج 1 ، ص 249 ( جبب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فوجدت »</w:t>
      </w:r>
      <w:r>
        <w:rPr>
          <w:rtl/>
        </w:rPr>
        <w:t>.</w:t>
      </w:r>
    </w:p>
    <w:p w:rsidR="000C39D1" w:rsidRPr="00132E65" w:rsidRDefault="000C39D1" w:rsidP="000C39D1">
      <w:pPr>
        <w:pStyle w:val="libFootnote0"/>
        <w:rPr>
          <w:rtl/>
          <w:lang w:bidi="fa-IR"/>
        </w:rPr>
      </w:pPr>
      <w:r>
        <w:rPr>
          <w:rtl/>
        </w:rPr>
        <w:t>(12).</w:t>
      </w:r>
      <w:r w:rsidRPr="00132E65">
        <w:rPr>
          <w:rtl/>
        </w:rPr>
        <w:t xml:space="preserve"> قال الخليل : « البَدْرَةُ : كيس فيه عشرة آلاف درهم أو ألف »</w:t>
      </w:r>
      <w:r>
        <w:rPr>
          <w:rtl/>
        </w:rPr>
        <w:t>.</w:t>
      </w:r>
      <w:r w:rsidRPr="00132E65">
        <w:rPr>
          <w:rtl/>
        </w:rPr>
        <w:t xml:space="preserve"> وقال الجوهري : « البدرة : عشرة آلاف درهم »</w:t>
      </w:r>
      <w:r>
        <w:rPr>
          <w:rtl/>
        </w:rPr>
        <w:t>.</w:t>
      </w:r>
      <w:r w:rsidRPr="00132E65">
        <w:rPr>
          <w:rtl/>
        </w:rPr>
        <w:t xml:space="preserve"> راجع : </w:t>
      </w:r>
      <w:r w:rsidRPr="00C22DC2">
        <w:rPr>
          <w:rtl/>
        </w:rPr>
        <w:t>ترتيب كتاب العين</w:t>
      </w:r>
      <w:r w:rsidRPr="00132E65">
        <w:rPr>
          <w:rtl/>
        </w:rPr>
        <w:t xml:space="preserve"> ، ج 1 ، ص 140 ؛ </w:t>
      </w:r>
      <w:r w:rsidRPr="00C22DC2">
        <w:rPr>
          <w:rtl/>
        </w:rPr>
        <w:t>الصحاح</w:t>
      </w:r>
      <w:r w:rsidRPr="00132E65">
        <w:rPr>
          <w:rtl/>
        </w:rPr>
        <w:t xml:space="preserve"> ، ج 2 ، ص 587 ( بدر )</w:t>
      </w:r>
      <w:r>
        <w:rPr>
          <w:rtl/>
        </w:rPr>
        <w:t>.</w:t>
      </w:r>
    </w:p>
    <w:p w:rsidR="000C39D1" w:rsidRPr="00132E65" w:rsidRDefault="000C39D1" w:rsidP="000C39D1">
      <w:pPr>
        <w:pStyle w:val="libFootnote0"/>
        <w:rPr>
          <w:rtl/>
          <w:lang w:bidi="fa-IR"/>
        </w:rPr>
      </w:pPr>
      <w:r>
        <w:rPr>
          <w:rtl/>
        </w:rPr>
        <w:t>(13)</w:t>
      </w:r>
      <w:r w:rsidRPr="00132E65">
        <w:rPr>
          <w:rtl/>
        </w:rPr>
        <w:t xml:space="preserve"> « الجَفْنُ » : غِمْدُ السيف ، أي غِلافه. راجع : </w:t>
      </w:r>
      <w:r w:rsidRPr="00C22DC2">
        <w:rPr>
          <w:rtl/>
        </w:rPr>
        <w:t>الصحاح</w:t>
      </w:r>
      <w:r w:rsidRPr="00132E65">
        <w:rPr>
          <w:rtl/>
        </w:rPr>
        <w:t xml:space="preserve"> ، ج 5 ، ص 2092 ( جفن )</w:t>
      </w:r>
      <w:r>
        <w:rPr>
          <w:rtl/>
        </w:rPr>
        <w:t>.</w:t>
      </w:r>
    </w:p>
    <w:p w:rsidR="000C39D1" w:rsidRPr="00132E65" w:rsidRDefault="000C39D1" w:rsidP="000C39D1">
      <w:pPr>
        <w:pStyle w:val="libFootnote0"/>
        <w:rPr>
          <w:rtl/>
          <w:lang w:bidi="fa-IR"/>
        </w:rPr>
      </w:pPr>
      <w:r>
        <w:rPr>
          <w:rtl/>
        </w:rPr>
        <w:t>(14)</w:t>
      </w:r>
      <w:r w:rsidRPr="00132E65">
        <w:rPr>
          <w:rtl/>
        </w:rPr>
        <w:t xml:space="preserve"> في « بح ، بر ، بف » و</w:t>
      </w:r>
      <w:r w:rsidRPr="009D1ACE">
        <w:rPr>
          <w:rStyle w:val="libFootnoteBoldChar"/>
          <w:rtl/>
        </w:rPr>
        <w:t>الوافي</w:t>
      </w:r>
      <w:r w:rsidRPr="00132E65">
        <w:rPr>
          <w:rtl/>
        </w:rPr>
        <w:t xml:space="preserve"> : « غير ملبوس »</w:t>
      </w:r>
      <w:r>
        <w:rPr>
          <w:rtl/>
        </w:rPr>
        <w:t>.</w:t>
      </w:r>
    </w:p>
    <w:p w:rsidR="000C39D1" w:rsidRPr="00132E65" w:rsidRDefault="000C39D1" w:rsidP="007556AC">
      <w:pPr>
        <w:pStyle w:val="libFootnote0"/>
        <w:rPr>
          <w:rtl/>
          <w:lang w:bidi="fa-IR"/>
        </w:rPr>
      </w:pPr>
      <w:r>
        <w:rPr>
          <w:rtl/>
        </w:rPr>
        <w:t>(15)</w:t>
      </w:r>
      <w:r w:rsidRPr="00132E65">
        <w:rPr>
          <w:rtl/>
        </w:rPr>
        <w:t xml:space="preserve"> في حاشية « بر » : « خدمه »</w:t>
      </w:r>
      <w:r>
        <w:rPr>
          <w:rtl/>
        </w:rPr>
        <w:t>.</w:t>
      </w:r>
      <w:r w:rsidRPr="00132E65">
        <w:rPr>
          <w:rtl/>
        </w:rPr>
        <w:t xml:space="preserve"> وهو يغني عن القول بأنّ هذا من قبيل إضافة الصفة إلى الموصوف ، كما قاله‌المجلسي في </w:t>
      </w:r>
      <w:r w:rsidRPr="009D1ACE">
        <w:rPr>
          <w:rStyle w:val="libFootnoteBoldChar"/>
          <w:rtl/>
        </w:rPr>
        <w:t>مرآة العقول</w:t>
      </w:r>
      <w:r w:rsidRPr="00C22DC2">
        <w:rPr>
          <w:rtl/>
        </w:rPr>
        <w:t>.</w:t>
      </w:r>
      <w:r w:rsidR="007556AC">
        <w:rPr>
          <w:rFonts w:hint="cs"/>
          <w:rtl/>
        </w:rPr>
        <w:t xml:space="preserve">                                               </w:t>
      </w:r>
      <w:r>
        <w:rPr>
          <w:rtl/>
        </w:rPr>
        <w:t>(16)</w:t>
      </w:r>
      <w:r w:rsidRPr="00132E65">
        <w:rPr>
          <w:rtl/>
        </w:rPr>
        <w:t xml:space="preserve"> في « ف » </w:t>
      </w:r>
      <w:r>
        <w:rPr>
          <w:rtl/>
        </w:rPr>
        <w:t xml:space="preserve">: - </w:t>
      </w:r>
      <w:r w:rsidRPr="00132E65">
        <w:rPr>
          <w:rtl/>
        </w:rPr>
        <w:t>« قد »</w:t>
      </w:r>
      <w:r>
        <w:rPr>
          <w:rtl/>
        </w:rPr>
        <w:t>.</w:t>
      </w:r>
    </w:p>
    <w:p w:rsidR="000C39D1" w:rsidRDefault="000C39D1" w:rsidP="000C39D1">
      <w:pPr>
        <w:pStyle w:val="libNormal0"/>
        <w:tabs>
          <w:tab w:val="left" w:pos="3968"/>
        </w:tabs>
        <w:rPr>
          <w:rtl/>
          <w:lang w:bidi="fa-IR"/>
        </w:rPr>
      </w:pPr>
      <w:r>
        <w:rPr>
          <w:rtl/>
          <w:lang w:bidi="fa-IR"/>
        </w:rPr>
        <w:br w:type="page"/>
      </w:r>
    </w:p>
    <w:p w:rsidR="002F61A4" w:rsidRDefault="000C39D1" w:rsidP="002F61A4">
      <w:pPr>
        <w:pStyle w:val="libNormal0"/>
        <w:tabs>
          <w:tab w:val="left" w:pos="3968"/>
        </w:tabs>
        <w:rPr>
          <w:rtl/>
          <w:lang w:bidi="fa-IR"/>
        </w:rPr>
      </w:pPr>
      <w:r w:rsidRPr="00132E65">
        <w:rPr>
          <w:rtl/>
          <w:lang w:bidi="fa-IR"/>
        </w:rPr>
        <w:t xml:space="preserve">أَيِسْتُ مِنْكَ : إِنْ عُوفِيتَ حَمَلْتُ إِلَيْهِ مِنْ مَالِي عَشَرَةَ آلَافِ دِينَارٍ </w:t>
      </w:r>
      <w:r>
        <w:rPr>
          <w:rStyle w:val="libFootnotenumChar"/>
          <w:rtl/>
        </w:rPr>
        <w:t>(1)</w:t>
      </w:r>
      <w:r w:rsidRPr="00132E65">
        <w:rPr>
          <w:rtl/>
          <w:lang w:bidi="fa-IR"/>
        </w:rPr>
        <w:t xml:space="preserve"> ، فَحَمَلْتُهَا إِلَيْهِ ، وَهذَا خَاتَمِي عَلَى الْكِيسِ ، وفَتَحَ الْكِيسَ الْآخَرَ ، فَإِذَا فِيهِ أَرْبَعُمِائَةِ دِينَارٍ ، فَضَمَّ إِلَى الْبَدْرَةِ بَدْرَةً أُخْرى </w:t>
      </w:r>
      <w:r>
        <w:rPr>
          <w:rStyle w:val="libFootnotenumChar"/>
          <w:rtl/>
        </w:rPr>
        <w:t>(2)</w:t>
      </w:r>
      <w:r w:rsidRPr="00132E65">
        <w:rPr>
          <w:rtl/>
          <w:lang w:bidi="fa-IR"/>
        </w:rPr>
        <w:t xml:space="preserve"> ، وأَمَرَنِي بِحَمْلِ ذلِكَ إِلَيْهِ ، فَحَمَلْتُهُ ، و</w:t>
      </w:r>
      <w:r w:rsidR="002F61A4">
        <w:rPr>
          <w:rFonts w:hint="cs"/>
          <w:rtl/>
          <w:lang w:bidi="fa-IR"/>
        </w:rPr>
        <w:t xml:space="preserve">َ </w:t>
      </w:r>
      <w:r w:rsidRPr="00132E65">
        <w:rPr>
          <w:rtl/>
          <w:lang w:bidi="fa-IR"/>
        </w:rPr>
        <w:t xml:space="preserve">رَدَدْتُ السَّيْفَ والْكِيسَيْنِ ، وَقُلْتُ لَهُ : يَا سَيِّدِي ، عَزَّ عَلَيَّ </w:t>
      </w:r>
      <w:r>
        <w:rPr>
          <w:rStyle w:val="libFootnotenumChar"/>
          <w:rtl/>
        </w:rPr>
        <w:t>(3)</w:t>
      </w:r>
      <w:r w:rsidRPr="00132E65">
        <w:rPr>
          <w:rtl/>
          <w:lang w:bidi="fa-IR"/>
        </w:rPr>
        <w:t xml:space="preserve"> ، فَقَالَ لِي : « </w:t>
      </w:r>
      <w:r w:rsidRPr="00071CF9">
        <w:rPr>
          <w:rStyle w:val="libAlaemChar"/>
          <w:rtl/>
        </w:rPr>
        <w:t>(</w:t>
      </w:r>
      <w:r w:rsidRPr="00071CF9">
        <w:rPr>
          <w:rStyle w:val="libAieChar"/>
          <w:rtl/>
        </w:rPr>
        <w:t xml:space="preserve"> وَسَيَعْلَمُ الَّذِينَ ظَلَمُوا أَيَّ مُنْقَلَبٍ يَنْقَلِبُونَ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p>
    <w:p w:rsidR="000C39D1" w:rsidRPr="00132E65" w:rsidRDefault="000C39D1" w:rsidP="002F61A4">
      <w:pPr>
        <w:pStyle w:val="libNormal0"/>
        <w:tabs>
          <w:tab w:val="left" w:pos="3968"/>
        </w:tabs>
        <w:rPr>
          <w:rtl/>
          <w:lang w:bidi="fa-IR"/>
        </w:rPr>
      </w:pPr>
      <w:r w:rsidRPr="00132E65">
        <w:rPr>
          <w:rtl/>
          <w:lang w:bidi="fa-IR"/>
        </w:rPr>
        <w:t>‌</w:t>
      </w:r>
      <w:r w:rsidRPr="00C22DC2">
        <w:rPr>
          <w:rtl/>
        </w:rPr>
        <w:t>1325</w:t>
      </w:r>
      <w:r w:rsidRPr="004325D8">
        <w:rPr>
          <w:rStyle w:val="libBold2Char"/>
          <w:rtl/>
        </w:rPr>
        <w:t xml:space="preserve"> / 5.</w:t>
      </w:r>
      <w:r w:rsidRPr="00132E65">
        <w:rPr>
          <w:rtl/>
          <w:lang w:bidi="fa-IR"/>
        </w:rPr>
        <w:t xml:space="preserve"> الْحُسَيْنُ بْنُ مُحَمَّدٍ ، عَنِ الْمُعَلَّى بْنِ مُحَمَّدٍ ، عَنْ أَحْمَدَ بْنِ مُحَمَّدِ بْنِ عَبْدِ اللهِ ، عَنْ عَلِيِّ بْنِ مُحَمَّدٍ النَّوْفَلِيِّ ، قَالَ : قَالَ لِي مُحَمَّدُ بْنُ الْفَرَجِ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إِنَّ أَبَا الْحَسَنِ </w:t>
      </w:r>
      <w:r w:rsidRPr="00071CF9">
        <w:rPr>
          <w:rStyle w:val="libAlaemChar"/>
          <w:rtl/>
        </w:rPr>
        <w:t>عليه‌السلام</w:t>
      </w:r>
      <w:r w:rsidRPr="00132E65">
        <w:rPr>
          <w:rtl/>
          <w:lang w:bidi="fa-IR"/>
        </w:rPr>
        <w:t xml:space="preserve"> كَتَبَ إِلَيْهِ </w:t>
      </w:r>
      <w:r>
        <w:rPr>
          <w:rStyle w:val="libFootnotenumChar"/>
          <w:rtl/>
        </w:rPr>
        <w:t>(7)</w:t>
      </w:r>
      <w:r w:rsidRPr="00132E65">
        <w:rPr>
          <w:rtl/>
          <w:lang w:bidi="fa-IR"/>
        </w:rPr>
        <w:t xml:space="preserve"> : « يَا مُحَمَّدُ ، أَجْمِعْ أَمْرَكَ ، وخُذْ حِذْرَكَ </w:t>
      </w:r>
      <w:r>
        <w:rPr>
          <w:rStyle w:val="libFootnotenumChar"/>
          <w:rtl/>
        </w:rPr>
        <w:t>(8)</w:t>
      </w:r>
      <w:r w:rsidRPr="00132E65">
        <w:rPr>
          <w:rtl/>
          <w:lang w:bidi="fa-IR"/>
        </w:rPr>
        <w:t xml:space="preserve"> »</w:t>
      </w:r>
      <w:r>
        <w:rPr>
          <w:rtl/>
          <w:lang w:bidi="fa-IR"/>
        </w:rPr>
        <w:t>.</w:t>
      </w:r>
      <w:r w:rsidRPr="00132E65">
        <w:rPr>
          <w:rtl/>
          <w:lang w:bidi="fa-IR"/>
        </w:rPr>
        <w:t xml:space="preserve"> قَالَ : فَأَنَا فِي جَمْعِ أَمْرِي</w:t>
      </w:r>
      <w:r>
        <w:rPr>
          <w:rtl/>
          <w:lang w:bidi="fa-IR"/>
        </w:rPr>
        <w:t xml:space="preserve"> - </w:t>
      </w:r>
      <w:r w:rsidRPr="00132E65">
        <w:rPr>
          <w:rtl/>
          <w:lang w:bidi="fa-IR"/>
        </w:rPr>
        <w:t>و</w:t>
      </w:r>
      <w:r>
        <w:rPr>
          <w:rFonts w:hint="cs"/>
          <w:rtl/>
          <w:lang w:bidi="fa-IR"/>
        </w:rPr>
        <w:t xml:space="preserve"> </w:t>
      </w:r>
      <w:r>
        <w:rPr>
          <w:rStyle w:val="libFootnotenumChar"/>
          <w:rtl/>
        </w:rPr>
        <w:t>(9)</w:t>
      </w:r>
      <w:r w:rsidRPr="00132E65">
        <w:rPr>
          <w:rtl/>
          <w:lang w:bidi="fa-IR"/>
        </w:rPr>
        <w:t xml:space="preserve"> لَيْسَ أَدْرِي مَا كَتَبَ بِهِ </w:t>
      </w:r>
      <w:r>
        <w:rPr>
          <w:rStyle w:val="libFootnotenumChar"/>
          <w:rtl/>
        </w:rPr>
        <w:t>(10)</w:t>
      </w:r>
      <w:r w:rsidRPr="00132E65">
        <w:rPr>
          <w:rtl/>
          <w:lang w:bidi="fa-IR"/>
        </w:rPr>
        <w:t xml:space="preserve"> إِلَيَّ</w:t>
      </w:r>
      <w:r>
        <w:rPr>
          <w:rtl/>
          <w:lang w:bidi="fa-IR"/>
        </w:rPr>
        <w:t xml:space="preserve"> - </w:t>
      </w:r>
      <w:r w:rsidRPr="00132E65">
        <w:rPr>
          <w:rtl/>
          <w:lang w:bidi="fa-IR"/>
        </w:rPr>
        <w:t xml:space="preserve">حَتّى ورَدَ عَلَيَّ رَسُولٌ حَمَلَنِي مِنْ مِصْرَ مُقَيَّداً ، وضَرَبَ </w:t>
      </w:r>
      <w:r>
        <w:rPr>
          <w:rStyle w:val="libFootnotenumChar"/>
          <w:rtl/>
        </w:rPr>
        <w:t>(11)</w:t>
      </w:r>
      <w:r w:rsidRPr="00132E65">
        <w:rPr>
          <w:rtl/>
          <w:lang w:bidi="fa-IR"/>
        </w:rPr>
        <w:t xml:space="preserve"> عَلى كُلِّ مَا أَمْلِكُ ، وكُنْتُ فِي السِّجْنِ ثَمَانَ </w:t>
      </w:r>
      <w:r>
        <w:rPr>
          <w:rStyle w:val="libFootnotenumChar"/>
          <w:rtl/>
        </w:rPr>
        <w:t>(12)</w:t>
      </w:r>
      <w:r w:rsidRPr="00132E65">
        <w:rPr>
          <w:rtl/>
          <w:lang w:bidi="fa-IR"/>
        </w:rPr>
        <w:t xml:space="preserve"> سِنِينَ.</w:t>
      </w:r>
    </w:p>
    <w:p w:rsidR="000C39D1" w:rsidRPr="00132E65" w:rsidRDefault="000C39D1" w:rsidP="000C39D1">
      <w:pPr>
        <w:pStyle w:val="libNormal"/>
        <w:rPr>
          <w:rtl/>
          <w:lang w:bidi="fa-IR"/>
        </w:rPr>
      </w:pPr>
      <w:r w:rsidRPr="00132E65">
        <w:rPr>
          <w:rtl/>
          <w:lang w:bidi="fa-IR"/>
        </w:rPr>
        <w:t>ثُمَّ و</w:t>
      </w:r>
      <w:r w:rsidR="002F61A4">
        <w:rPr>
          <w:rFonts w:hint="cs"/>
          <w:rtl/>
          <w:lang w:bidi="fa-IR"/>
        </w:rPr>
        <w:t>َ</w:t>
      </w:r>
      <w:r w:rsidRPr="00132E65">
        <w:rPr>
          <w:rtl/>
          <w:lang w:bidi="fa-IR"/>
        </w:rPr>
        <w:t xml:space="preserve">رَدَ عَلَيَّ مِنْهُ فِي السِّجْنِ </w:t>
      </w:r>
      <w:r w:rsidRPr="00F543F1">
        <w:rPr>
          <w:rStyle w:val="libFootnotenumChar"/>
          <w:rtl/>
        </w:rPr>
        <w:t>(13)</w:t>
      </w:r>
      <w:r w:rsidRPr="00132E65">
        <w:rPr>
          <w:rtl/>
          <w:lang w:bidi="fa-IR"/>
        </w:rPr>
        <w:t xml:space="preserve"> كِتَابٌ فِيهِ : « يَا مُحَمَّدُ ، لَاتَنْزِلْ فِي نَاحِيَةِ الْجَانِبِ الْغَرْبِيِّ »</w:t>
      </w:r>
      <w:r>
        <w:rPr>
          <w:rtl/>
          <w:lang w:bidi="fa-IR"/>
        </w:rPr>
        <w:t>.</w:t>
      </w:r>
      <w:r w:rsidRPr="00132E65">
        <w:rPr>
          <w:rtl/>
          <w:lang w:bidi="fa-IR"/>
        </w:rPr>
        <w:t xml:space="preserve"> فَقَرَأْتُ الْكِتَابَ ، فَقُلْتُ : يَكْتُبُ إِلَيَّ بِهذَا وأَنَا فِي السِّجْنِ ؛ إِنَّ هذَا لَعَجَبٌ</w:t>
      </w:r>
      <w:r>
        <w:rPr>
          <w:rtl/>
          <w:lang w:bidi="fa-IR"/>
        </w:rPr>
        <w:t>!</w:t>
      </w:r>
      <w:r w:rsidRPr="00132E65">
        <w:rPr>
          <w:rtl/>
          <w:lang w:bidi="fa-IR"/>
        </w:rPr>
        <w:t xml:space="preserve"> فَمَا‌</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2F61A4" w:rsidTr="002F61A4">
        <w:tc>
          <w:tcPr>
            <w:tcW w:w="4261" w:type="dxa"/>
          </w:tcPr>
          <w:p w:rsidR="002F61A4" w:rsidRDefault="002F61A4" w:rsidP="000C39D1">
            <w:pPr>
              <w:pStyle w:val="libFootnote0"/>
              <w:rPr>
                <w:rtl/>
              </w:rPr>
            </w:pPr>
            <w:r>
              <w:rPr>
                <w:rtl/>
              </w:rPr>
              <w:t>(1).</w:t>
            </w:r>
            <w:r w:rsidRPr="00132E65">
              <w:rPr>
                <w:rtl/>
              </w:rPr>
              <w:t xml:space="preserve"> في « ف » :</w:t>
            </w:r>
            <w:r>
              <w:rPr>
                <w:rtl/>
              </w:rPr>
              <w:t xml:space="preserve"> + </w:t>
            </w:r>
            <w:r w:rsidRPr="00132E65">
              <w:rPr>
                <w:rtl/>
              </w:rPr>
              <w:t>« من مالي »</w:t>
            </w:r>
            <w:r>
              <w:rPr>
                <w:rtl/>
              </w:rPr>
              <w:t>.</w:t>
            </w:r>
          </w:p>
        </w:tc>
        <w:tc>
          <w:tcPr>
            <w:tcW w:w="4262" w:type="dxa"/>
          </w:tcPr>
          <w:p w:rsidR="002F61A4" w:rsidRDefault="002F61A4" w:rsidP="000C39D1">
            <w:pPr>
              <w:pStyle w:val="libFootnote0"/>
              <w:rPr>
                <w:rtl/>
              </w:rPr>
            </w:pPr>
            <w:r>
              <w:rPr>
                <w:rtl/>
              </w:rPr>
              <w:t>(2).</w:t>
            </w:r>
            <w:r w:rsidRPr="00132E65">
              <w:rPr>
                <w:rtl/>
              </w:rPr>
              <w:t xml:space="preserve"> في « ف » : « الا</w:t>
            </w:r>
            <w:r>
              <w:rPr>
                <w:rFonts w:hint="cs"/>
                <w:rtl/>
              </w:rPr>
              <w:t>ُ</w:t>
            </w:r>
            <w:r w:rsidRPr="00132E65">
              <w:rPr>
                <w:rtl/>
              </w:rPr>
              <w:t>خرى » بدل « بدرةً ا</w:t>
            </w:r>
            <w:r>
              <w:rPr>
                <w:rFonts w:hint="cs"/>
                <w:rtl/>
              </w:rPr>
              <w:t>ُ</w:t>
            </w:r>
            <w:r w:rsidRPr="00132E65">
              <w:rPr>
                <w:rtl/>
              </w:rPr>
              <w:t>خرى »</w:t>
            </w:r>
            <w:r>
              <w:rPr>
                <w:rtl/>
              </w:rPr>
              <w:t>.</w:t>
            </w:r>
          </w:p>
        </w:tc>
      </w:tr>
    </w:tbl>
    <w:p w:rsidR="000C39D1" w:rsidRPr="00132E65" w:rsidRDefault="000C39D1" w:rsidP="000C39D1">
      <w:pPr>
        <w:pStyle w:val="libFootnote0"/>
        <w:rPr>
          <w:rtl/>
          <w:lang w:bidi="fa-IR"/>
        </w:rPr>
      </w:pPr>
      <w:r>
        <w:rPr>
          <w:rtl/>
        </w:rPr>
        <w:t>(3).</w:t>
      </w:r>
      <w:r w:rsidRPr="00132E65">
        <w:rPr>
          <w:rtl/>
        </w:rPr>
        <w:t xml:space="preserve"> « عَزَّ عليّ » ، أي اشتدّ وعظم عليّ ما أمرني المتوكّل ، وما صدر منّي من دخولي دارك بغير إذنك وأخذي مالك. راجع : </w:t>
      </w:r>
      <w:r w:rsidRPr="00C22DC2">
        <w:rPr>
          <w:rtl/>
        </w:rPr>
        <w:t>شرح المازندراني</w:t>
      </w:r>
      <w:r w:rsidRPr="00132E65">
        <w:rPr>
          <w:rtl/>
        </w:rPr>
        <w:t xml:space="preserve"> ، ج 7 ، ص 299 ؛ </w:t>
      </w:r>
      <w:r w:rsidRPr="009D1ACE">
        <w:rPr>
          <w:rStyle w:val="libFootnoteBoldChar"/>
          <w:rtl/>
        </w:rPr>
        <w:t>مرآة العقول</w:t>
      </w:r>
      <w:r w:rsidRPr="00132E65">
        <w:rPr>
          <w:rtl/>
        </w:rPr>
        <w:t xml:space="preserve"> ، ج 6 ، ص 121.</w:t>
      </w:r>
    </w:p>
    <w:p w:rsidR="000C39D1" w:rsidRPr="00132E65" w:rsidRDefault="000C39D1" w:rsidP="000C39D1">
      <w:pPr>
        <w:pStyle w:val="libFootnote0"/>
        <w:rPr>
          <w:rtl/>
          <w:lang w:bidi="fa-IR"/>
        </w:rPr>
      </w:pPr>
      <w:r>
        <w:rPr>
          <w:rtl/>
        </w:rPr>
        <w:t>(4).</w:t>
      </w:r>
      <w:r w:rsidRPr="00132E65">
        <w:rPr>
          <w:rtl/>
        </w:rPr>
        <w:t xml:space="preserve"> الشعراء (26) : 227.</w:t>
      </w:r>
    </w:p>
    <w:p w:rsidR="000C39D1" w:rsidRPr="00132E65" w:rsidRDefault="000C39D1" w:rsidP="008D0B81">
      <w:pPr>
        <w:pStyle w:val="libFootnote0"/>
        <w:rPr>
          <w:rtl/>
          <w:lang w:bidi="fa-IR"/>
        </w:rPr>
      </w:pPr>
      <w:r>
        <w:rPr>
          <w:rtl/>
        </w:rPr>
        <w:t>(5).</w:t>
      </w:r>
      <w:r w:rsidRPr="00132E65">
        <w:rPr>
          <w:rtl/>
        </w:rPr>
        <w:t xml:space="preserve"> </w:t>
      </w:r>
      <w:r w:rsidRPr="00C22DC2">
        <w:rPr>
          <w:rtl/>
        </w:rPr>
        <w:t>الإرشاد</w:t>
      </w:r>
      <w:r w:rsidRPr="00132E65">
        <w:rPr>
          <w:rtl/>
        </w:rPr>
        <w:t xml:space="preserve"> ، ج 2 ، ص 302 ، بسنده عن الكليني مع اختلاف يسير</w:t>
      </w:r>
      <w:r w:rsidR="008D0B81">
        <w:rPr>
          <w:rFonts w:hint="cs"/>
          <w:rtl/>
        </w:rPr>
        <w:t>.</w:t>
      </w:r>
      <w:r w:rsidRPr="009D1ACE">
        <w:rPr>
          <w:rStyle w:val="libFootnoteBoldChar"/>
          <w:rtl/>
        </w:rPr>
        <w:t>الوافي</w:t>
      </w:r>
      <w:r w:rsidRPr="00132E65">
        <w:rPr>
          <w:rtl/>
        </w:rPr>
        <w:t xml:space="preserve"> ، ج 3 ، ص 836 ، ح 1449.</w:t>
      </w:r>
    </w:p>
    <w:tbl>
      <w:tblPr>
        <w:tblStyle w:val="TableGrid"/>
        <w:bidiVisual/>
        <w:tblW w:w="0" w:type="auto"/>
        <w:tblLook w:val="04A0" w:firstRow="1" w:lastRow="0" w:firstColumn="1" w:lastColumn="0" w:noHBand="0" w:noVBand="1"/>
      </w:tblPr>
      <w:tblGrid>
        <w:gridCol w:w="4261"/>
        <w:gridCol w:w="4262"/>
      </w:tblGrid>
      <w:tr w:rsidR="008D0B81" w:rsidTr="008D0B81">
        <w:tc>
          <w:tcPr>
            <w:tcW w:w="4261" w:type="dxa"/>
          </w:tcPr>
          <w:p w:rsidR="008D0B81" w:rsidRDefault="008D0B81" w:rsidP="000C39D1">
            <w:pPr>
              <w:pStyle w:val="libFootnote0"/>
              <w:rPr>
                <w:rtl/>
              </w:rPr>
            </w:pPr>
            <w:r>
              <w:rPr>
                <w:rtl/>
              </w:rPr>
              <w:t>(6).</w:t>
            </w:r>
            <w:r w:rsidRPr="00132E65">
              <w:rPr>
                <w:rtl/>
              </w:rPr>
              <w:t xml:space="preserve"> في الإرشاد :</w:t>
            </w:r>
            <w:r>
              <w:rPr>
                <w:rtl/>
              </w:rPr>
              <w:t xml:space="preserve"> + </w:t>
            </w:r>
            <w:r w:rsidRPr="00132E65">
              <w:rPr>
                <w:rtl/>
              </w:rPr>
              <w:t>« الرخجي »</w:t>
            </w:r>
            <w:r>
              <w:rPr>
                <w:rtl/>
              </w:rPr>
              <w:t>.</w:t>
            </w:r>
          </w:p>
        </w:tc>
        <w:tc>
          <w:tcPr>
            <w:tcW w:w="4262" w:type="dxa"/>
          </w:tcPr>
          <w:p w:rsidR="008D0B81" w:rsidRDefault="008D0B81" w:rsidP="000C39D1">
            <w:pPr>
              <w:pStyle w:val="libFootnote0"/>
              <w:rPr>
                <w:rtl/>
              </w:rPr>
            </w:pPr>
            <w:r>
              <w:rPr>
                <w:rtl/>
              </w:rPr>
              <w:t>(7).</w:t>
            </w:r>
            <w:r w:rsidRPr="00132E65">
              <w:rPr>
                <w:rtl/>
              </w:rPr>
              <w:t xml:space="preserve"> في حاشية « ف » : « إليّ »</w:t>
            </w:r>
            <w:r>
              <w:rPr>
                <w:rtl/>
              </w:rPr>
              <w:t>.</w:t>
            </w:r>
          </w:p>
        </w:tc>
      </w:tr>
    </w:tbl>
    <w:p w:rsidR="000C39D1" w:rsidRPr="00132E65" w:rsidRDefault="000C39D1" w:rsidP="000C39D1">
      <w:pPr>
        <w:pStyle w:val="libFootnote0"/>
        <w:rPr>
          <w:rtl/>
          <w:lang w:bidi="fa-IR"/>
        </w:rPr>
      </w:pPr>
      <w:r>
        <w:rPr>
          <w:rtl/>
        </w:rPr>
        <w:t>(8).</w:t>
      </w:r>
      <w:r w:rsidRPr="00132E65">
        <w:rPr>
          <w:rtl/>
        </w:rPr>
        <w:t xml:space="preserve"> « الحِذْرُ » </w:t>
      </w:r>
      <w:r>
        <w:rPr>
          <w:rtl/>
        </w:rPr>
        <w:t>و «</w:t>
      </w:r>
      <w:r w:rsidRPr="00132E65">
        <w:rPr>
          <w:rtl/>
        </w:rPr>
        <w:t xml:space="preserve"> الحَذَرُ » : الاحتراز. وقال الفيّومي : « حَذِرَ حَذَراً من باب تَعِبَ ، واحتذر ، واحترز ، كلّها بمعنى تأهّب واستعدّ »</w:t>
      </w:r>
      <w:r>
        <w:rPr>
          <w:rtl/>
        </w:rPr>
        <w:t>.</w:t>
      </w:r>
      <w:r w:rsidRPr="00132E65">
        <w:rPr>
          <w:rtl/>
        </w:rPr>
        <w:t xml:space="preserve"> راجع : </w:t>
      </w:r>
      <w:r w:rsidRPr="00C22DC2">
        <w:rPr>
          <w:rtl/>
        </w:rPr>
        <w:t>المصباح المنير</w:t>
      </w:r>
      <w:r w:rsidRPr="00132E65">
        <w:rPr>
          <w:rtl/>
        </w:rPr>
        <w:t xml:space="preserve"> ، ص 126 ؛ </w:t>
      </w:r>
      <w:r w:rsidRPr="00C22DC2">
        <w:rPr>
          <w:rtl/>
        </w:rPr>
        <w:t>القاموس المحيط</w:t>
      </w:r>
      <w:r w:rsidRPr="00132E65">
        <w:rPr>
          <w:rtl/>
        </w:rPr>
        <w:t xml:space="preserve"> ، ج 1 ، ص 530 ( حذر )</w:t>
      </w:r>
      <w:r>
        <w:rPr>
          <w:rtl/>
        </w:rPr>
        <w:t>.</w:t>
      </w:r>
    </w:p>
    <w:p w:rsidR="000C39D1" w:rsidRPr="00132E65" w:rsidRDefault="000C39D1" w:rsidP="000C39D1">
      <w:pPr>
        <w:pStyle w:val="libFootnote0"/>
        <w:rPr>
          <w:rtl/>
          <w:lang w:bidi="fa-IR"/>
        </w:rPr>
      </w:pPr>
      <w:r>
        <w:rPr>
          <w:rtl/>
        </w:rPr>
        <w:t>(9).</w:t>
      </w:r>
      <w:r w:rsidRPr="00132E65">
        <w:rPr>
          <w:rtl/>
        </w:rPr>
        <w:t xml:space="preserve"> في « ب ، ج ، ف ، بر ، بس ، بف » و</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(10).</w:t>
      </w:r>
      <w:r w:rsidRPr="00132E65">
        <w:rPr>
          <w:rtl/>
        </w:rPr>
        <w:t xml:space="preserve"> هكذا في « ب ، ج ، ض ، ف ، بح ، بر ، بس ، بف » و</w:t>
      </w:r>
      <w:r w:rsidRPr="009D1ACE">
        <w:rPr>
          <w:rStyle w:val="libFootnoteBoldChar"/>
          <w:rtl/>
        </w:rPr>
        <w:t>الوافي</w:t>
      </w:r>
      <w:r w:rsidRPr="00132E65">
        <w:rPr>
          <w:rtl/>
        </w:rPr>
        <w:t xml:space="preserve">. وفي المطبوع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(11).</w:t>
      </w:r>
      <w:r w:rsidRPr="00132E65">
        <w:rPr>
          <w:rtl/>
        </w:rPr>
        <w:t xml:space="preserve"> يقال : ضَرَبَ على يده ، أي أمسك ، وكفّه عن الشي‌ء ، وحَجَرَ عليه. قال المازندراني : « قوله : وضرب</w:t>
      </w:r>
      <w:r>
        <w:rPr>
          <w:rtl/>
        </w:rPr>
        <w:t xml:space="preserve"> ..</w:t>
      </w:r>
      <w:r w:rsidRPr="00132E65">
        <w:rPr>
          <w:rtl/>
        </w:rPr>
        <w:t>. كناية عن نهب أمواله ومنعه من التصرّف فيها »</w:t>
      </w:r>
      <w:r>
        <w:rPr>
          <w:rtl/>
        </w:rPr>
        <w:t>.</w:t>
      </w:r>
      <w:r w:rsidRPr="00132E65">
        <w:rPr>
          <w:rtl/>
        </w:rPr>
        <w:t xml:space="preserve"> راجع : </w:t>
      </w:r>
      <w:r w:rsidRPr="009D1ACE">
        <w:rPr>
          <w:rStyle w:val="libFootnoteBoldChar"/>
          <w:rtl/>
        </w:rPr>
        <w:t>لسان العرب</w:t>
      </w:r>
      <w:r w:rsidRPr="00132E65">
        <w:rPr>
          <w:rtl/>
        </w:rPr>
        <w:t xml:space="preserve"> ، ج 1 ، ص 545 ( ضرب )</w:t>
      </w:r>
      <w:r>
        <w:rPr>
          <w:rtl/>
        </w:rPr>
        <w:t>.</w:t>
      </w:r>
    </w:p>
    <w:p w:rsidR="000C39D1" w:rsidRPr="00132E65" w:rsidRDefault="000C39D1" w:rsidP="000C39D1">
      <w:pPr>
        <w:pStyle w:val="libFootnote0"/>
        <w:rPr>
          <w:rtl/>
          <w:lang w:bidi="fa-IR"/>
        </w:rPr>
      </w:pPr>
      <w:r>
        <w:rPr>
          <w:rtl/>
        </w:rPr>
        <w:t>(12).</w:t>
      </w:r>
      <w:r w:rsidRPr="00132E65">
        <w:rPr>
          <w:rtl/>
        </w:rPr>
        <w:t xml:space="preserve"> في « ب ، ج ، ض ، بح ، بر ، بس ، بف » و</w:t>
      </w:r>
      <w:r w:rsidRPr="009D1ACE">
        <w:rPr>
          <w:rStyle w:val="libFootnoteBoldChar"/>
          <w:rtl/>
        </w:rPr>
        <w:t>الوافي</w:t>
      </w:r>
      <w:r w:rsidRPr="00132E65">
        <w:rPr>
          <w:rtl/>
        </w:rPr>
        <w:t xml:space="preserve"> : « ثماني »</w:t>
      </w:r>
      <w:r>
        <w:rPr>
          <w:rtl/>
        </w:rPr>
        <w:t>.</w:t>
      </w:r>
    </w:p>
    <w:p w:rsidR="000C39D1" w:rsidRPr="00132E65" w:rsidRDefault="000C39D1" w:rsidP="000C39D1">
      <w:pPr>
        <w:pStyle w:val="libFootnote0"/>
        <w:rPr>
          <w:rtl/>
          <w:lang w:bidi="fa-IR"/>
        </w:rPr>
      </w:pPr>
      <w:r>
        <w:rPr>
          <w:rtl/>
        </w:rPr>
        <w:t>(13)</w:t>
      </w:r>
      <w:r w:rsidRPr="00132E65">
        <w:rPr>
          <w:rtl/>
        </w:rPr>
        <w:t xml:space="preserve"> في « ف » : « في السجن منه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مَكَثْتُ أَنْ خُلِّيَ عَنِّي ، والْحَمْدُ لِلّهِ.</w:t>
      </w:r>
    </w:p>
    <w:p w:rsidR="000C39D1" w:rsidRPr="00132E65" w:rsidRDefault="000C39D1" w:rsidP="000C39D1">
      <w:pPr>
        <w:pStyle w:val="libNormal"/>
        <w:rPr>
          <w:rtl/>
          <w:lang w:bidi="fa-IR"/>
        </w:rPr>
      </w:pPr>
      <w:r w:rsidRPr="00132E65">
        <w:rPr>
          <w:rtl/>
          <w:lang w:bidi="fa-IR"/>
        </w:rPr>
        <w:t xml:space="preserve">قَالَ </w:t>
      </w:r>
      <w:r>
        <w:rPr>
          <w:rStyle w:val="libFootnotenumChar"/>
          <w:rtl/>
        </w:rPr>
        <w:t>(1)</w:t>
      </w:r>
      <w:r w:rsidRPr="00132E65">
        <w:rPr>
          <w:rtl/>
          <w:lang w:bidi="fa-IR"/>
        </w:rPr>
        <w:t xml:space="preserve"> : وكَتَبَ إِلَيْهِ مُحَمَّدُ بْنُ الْفَرَجِ يَسْأَلُهُ عَنْ ضِيَاعِهِ </w:t>
      </w:r>
      <w:r>
        <w:rPr>
          <w:rStyle w:val="libFootnotenumChar"/>
          <w:rtl/>
        </w:rPr>
        <w:t>(2)</w:t>
      </w:r>
      <w:r w:rsidRPr="00132E65">
        <w:rPr>
          <w:rtl/>
          <w:lang w:bidi="fa-IR"/>
        </w:rPr>
        <w:t xml:space="preserve"> ، فَكَتَبَ إِلَيْهِ : « سَوْفَ تُرَدُّ عَلَيْكَ ، و</w:t>
      </w:r>
      <w:r w:rsidR="00F03029">
        <w:rPr>
          <w:rFonts w:hint="cs"/>
          <w:rtl/>
          <w:lang w:bidi="fa-IR"/>
        </w:rPr>
        <w:t xml:space="preserve">َ </w:t>
      </w:r>
      <w:r w:rsidRPr="00132E65">
        <w:rPr>
          <w:rtl/>
          <w:lang w:bidi="fa-IR"/>
        </w:rPr>
        <w:t>مَا يَضُرُّكَ أَنْ لَاتُرَدَّ عَلَيْكَ »</w:t>
      </w:r>
      <w:r>
        <w:rPr>
          <w:rtl/>
          <w:lang w:bidi="fa-IR"/>
        </w:rPr>
        <w:t>.</w:t>
      </w:r>
      <w:r w:rsidRPr="00132E65">
        <w:rPr>
          <w:rtl/>
          <w:lang w:bidi="fa-IR"/>
        </w:rPr>
        <w:t xml:space="preserve"> فَلَمَّا شَخَصَ </w:t>
      </w:r>
      <w:r>
        <w:rPr>
          <w:rStyle w:val="libFootnotenumChar"/>
          <w:rtl/>
        </w:rPr>
        <w:t>(3)</w:t>
      </w:r>
      <w:r w:rsidRPr="00132E65">
        <w:rPr>
          <w:rtl/>
          <w:lang w:bidi="fa-IR"/>
        </w:rPr>
        <w:t xml:space="preserve"> مُحَمَّدُ بْنُ الْفَرَجِ إِلَى الْعَسْكَرِ ، كُتِبَ إِلَيْهِ بِرَدِّ </w:t>
      </w:r>
      <w:r>
        <w:rPr>
          <w:rStyle w:val="libFootnotenumChar"/>
          <w:rtl/>
        </w:rPr>
        <w:t>(4)</w:t>
      </w:r>
      <w:r w:rsidRPr="00132E65">
        <w:rPr>
          <w:rtl/>
          <w:lang w:bidi="fa-IR"/>
        </w:rPr>
        <w:t xml:space="preserve"> ضِيَاعِهِ ، ومَاتَ قَبْلَ ذلِكَ.</w:t>
      </w:r>
    </w:p>
    <w:p w:rsidR="000C39D1" w:rsidRPr="00132E65" w:rsidRDefault="000C39D1" w:rsidP="00F03029">
      <w:pPr>
        <w:pStyle w:val="libNormal"/>
        <w:rPr>
          <w:rtl/>
          <w:lang w:bidi="fa-IR"/>
        </w:rPr>
      </w:pPr>
      <w:r w:rsidRPr="00132E65">
        <w:rPr>
          <w:rtl/>
          <w:lang w:bidi="fa-IR"/>
        </w:rPr>
        <w:t xml:space="preserve">قَالَ : وكَتَبَ أَحْمَدُ بْنُ الْخَصِيبِ </w:t>
      </w:r>
      <w:r>
        <w:rPr>
          <w:rStyle w:val="libFootnotenumChar"/>
          <w:rtl/>
        </w:rPr>
        <w:t>(5)</w:t>
      </w:r>
      <w:r w:rsidRPr="00132E65">
        <w:rPr>
          <w:rtl/>
          <w:lang w:bidi="fa-IR"/>
        </w:rPr>
        <w:t xml:space="preserve"> إِلى مُحَمَّدِ بْنِ الْفَرَجِ يَسْأَلُهُ </w:t>
      </w:r>
      <w:r>
        <w:rPr>
          <w:rStyle w:val="libFootnotenumChar"/>
          <w:rtl/>
        </w:rPr>
        <w:t>(6)</w:t>
      </w:r>
      <w:r w:rsidRPr="00132E65">
        <w:rPr>
          <w:rtl/>
          <w:lang w:bidi="fa-IR"/>
        </w:rPr>
        <w:t xml:space="preserve"> الْخُرُوجَ إِلَى الْعَسْكَرِ ، فَكَتَبَ إِلى أَبِي الْحَسَنِ </w:t>
      </w:r>
      <w:r w:rsidRPr="00071CF9">
        <w:rPr>
          <w:rStyle w:val="libAlaemChar"/>
          <w:rtl/>
        </w:rPr>
        <w:t>عليه‌السلام</w:t>
      </w:r>
      <w:r w:rsidRPr="00132E65">
        <w:rPr>
          <w:rtl/>
          <w:lang w:bidi="fa-IR"/>
        </w:rPr>
        <w:t xml:space="preserve"> يُشَاوِرُهُ ، فَكَتَبَ إِلَيْهِ </w:t>
      </w:r>
      <w:r>
        <w:rPr>
          <w:rStyle w:val="libFootnotenumChar"/>
          <w:rtl/>
        </w:rPr>
        <w:t>(7)</w:t>
      </w:r>
      <w:r w:rsidRPr="00132E65">
        <w:rPr>
          <w:rtl/>
          <w:lang w:bidi="fa-IR"/>
        </w:rPr>
        <w:t xml:space="preserve"> : « اخْرُجْ ؛ فَإِنَّ فِيهِ فَرَجَكَ إِنْ شَاءَ اللهُ تَعَالى »</w:t>
      </w:r>
      <w:r>
        <w:rPr>
          <w:rtl/>
          <w:lang w:bidi="fa-IR"/>
        </w:rPr>
        <w:t>.</w:t>
      </w:r>
      <w:r w:rsidRPr="00132E65">
        <w:rPr>
          <w:rtl/>
          <w:lang w:bidi="fa-IR"/>
        </w:rPr>
        <w:t xml:space="preserve"> فَخَرَجَ ، فَلَمْ </w:t>
      </w:r>
      <w:r>
        <w:rPr>
          <w:rStyle w:val="libFootnotenumChar"/>
          <w:rtl/>
        </w:rPr>
        <w:t>(8)</w:t>
      </w:r>
      <w:r w:rsidR="00F03029">
        <w:rPr>
          <w:rtl/>
          <w:lang w:bidi="fa-IR"/>
        </w:rPr>
        <w:t xml:space="preserve"> يَلْبَثْ إِل</w:t>
      </w:r>
      <w:r w:rsidR="00F03029">
        <w:rPr>
          <w:rFonts w:hint="cs"/>
          <w:rtl/>
          <w:lang w:bidi="fa-IR"/>
        </w:rPr>
        <w:t>َّ</w:t>
      </w:r>
      <w:r w:rsidR="00F03029">
        <w:rPr>
          <w:rtl/>
          <w:lang w:bidi="fa-IR"/>
        </w:rPr>
        <w:t>ا</w:t>
      </w:r>
      <w:r w:rsidRPr="00132E65">
        <w:rPr>
          <w:rtl/>
          <w:lang w:bidi="fa-IR"/>
        </w:rPr>
        <w:t xml:space="preserve"> يَسِيراً حَتّى مَاتَ. </w:t>
      </w:r>
      <w:r>
        <w:rPr>
          <w:rStyle w:val="libFootnotenumChar"/>
          <w:rtl/>
        </w:rPr>
        <w:t>(9)</w:t>
      </w:r>
    </w:p>
    <w:p w:rsidR="000C39D1" w:rsidRPr="00132E65" w:rsidRDefault="000C39D1" w:rsidP="000C39D1">
      <w:pPr>
        <w:pStyle w:val="libNormal"/>
        <w:rPr>
          <w:rtl/>
          <w:lang w:bidi="fa-IR"/>
        </w:rPr>
      </w:pPr>
      <w:r w:rsidRPr="00C22DC2">
        <w:rPr>
          <w:rtl/>
        </w:rPr>
        <w:t>1326</w:t>
      </w:r>
      <w:r w:rsidRPr="004325D8">
        <w:rPr>
          <w:rStyle w:val="libBold2Char"/>
          <w:rtl/>
        </w:rPr>
        <w:t xml:space="preserve"> / 6.</w:t>
      </w:r>
      <w:r w:rsidRPr="00132E65">
        <w:rPr>
          <w:rtl/>
          <w:lang w:bidi="fa-IR"/>
        </w:rPr>
        <w:t xml:space="preserve"> الْحُسَيْنُ بْنُ مُحَمَّدٍ ، عَنْ رَجُلٍ </w:t>
      </w:r>
      <w:r>
        <w:rPr>
          <w:rStyle w:val="libFootnotenumChar"/>
          <w:rtl/>
        </w:rPr>
        <w:t>(10)</w:t>
      </w:r>
      <w:r w:rsidRPr="00132E65">
        <w:rPr>
          <w:rtl/>
          <w:lang w:bidi="fa-IR"/>
        </w:rPr>
        <w:t xml:space="preserve"> ، عَنْ أَحْمَدَ بْنِ مُحَمَّدٍ </w:t>
      </w:r>
      <w:r>
        <w:rPr>
          <w:rStyle w:val="libFootnotenumChar"/>
          <w:rtl/>
        </w:rPr>
        <w:t>(11)</w:t>
      </w:r>
      <w:r w:rsidRPr="00132E65">
        <w:rPr>
          <w:rtl/>
          <w:lang w:bidi="fa-IR"/>
        </w:rPr>
        <w:t xml:space="preserve"> ، قَالَ : أَخْبَرَنِي أَبُو يَعْقُوبَ ، قَالَ :</w:t>
      </w:r>
    </w:p>
    <w:p w:rsidR="000C39D1" w:rsidRPr="00132E65" w:rsidRDefault="000C39D1" w:rsidP="000C39D1">
      <w:pPr>
        <w:pStyle w:val="libNormal"/>
        <w:rPr>
          <w:rtl/>
          <w:lang w:bidi="fa-IR"/>
        </w:rPr>
      </w:pPr>
      <w:r w:rsidRPr="00132E65">
        <w:rPr>
          <w:rtl/>
          <w:lang w:bidi="fa-IR"/>
        </w:rPr>
        <w:t>رَأَيْتُهُ</w:t>
      </w:r>
      <w:r>
        <w:rPr>
          <w:rtl/>
          <w:lang w:bidi="fa-IR"/>
        </w:rPr>
        <w:t xml:space="preserve"> - </w:t>
      </w:r>
      <w:r w:rsidRPr="00132E65">
        <w:rPr>
          <w:rtl/>
          <w:lang w:bidi="fa-IR"/>
        </w:rPr>
        <w:t>يَعْنِي مُحَمَّداً</w:t>
      </w:r>
      <w:r>
        <w:rPr>
          <w:rtl/>
          <w:lang w:bidi="fa-IR"/>
        </w:rPr>
        <w:t xml:space="preserve"> - </w:t>
      </w:r>
      <w:r w:rsidRPr="00132E65">
        <w:rPr>
          <w:rtl/>
          <w:lang w:bidi="fa-IR"/>
        </w:rPr>
        <w:t xml:space="preserve">قَبْلَ مَوْتِهِ بِالْعَسْكَرِ فِي عَشِيَّةٍ </w:t>
      </w:r>
      <w:r>
        <w:rPr>
          <w:rStyle w:val="libFootnotenumChar"/>
          <w:rtl/>
        </w:rPr>
        <w:t>(12)</w:t>
      </w:r>
      <w:r w:rsidRPr="00132E65">
        <w:rPr>
          <w:rtl/>
          <w:lang w:bidi="fa-IR"/>
        </w:rPr>
        <w:t xml:space="preserve"> وقَدِ اسْتَقْبَلَ أَبَا الْحَسَنِ </w:t>
      </w:r>
      <w:r w:rsidRPr="00071CF9">
        <w:rPr>
          <w:rStyle w:val="libAlaemChar"/>
          <w:rtl/>
        </w:rPr>
        <w:t>عليه‌السلام</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فقال »</w:t>
      </w:r>
      <w:r>
        <w:rPr>
          <w:rtl/>
        </w:rPr>
        <w:t>.</w:t>
      </w:r>
    </w:p>
    <w:p w:rsidR="000C39D1" w:rsidRPr="00132E65" w:rsidRDefault="000C39D1" w:rsidP="000C39D1">
      <w:pPr>
        <w:pStyle w:val="libFootnote0"/>
        <w:rPr>
          <w:rtl/>
          <w:lang w:bidi="fa-IR"/>
        </w:rPr>
      </w:pPr>
      <w:r>
        <w:rPr>
          <w:rtl/>
        </w:rPr>
        <w:t>(2).</w:t>
      </w:r>
      <w:r w:rsidRPr="00132E65">
        <w:rPr>
          <w:rtl/>
        </w:rPr>
        <w:t xml:space="preserve"> « الضِياعُ » : جمع الضَيْعَة ، أي العَقارُ ، وهو كلّ ملك ثابت له أصل كالدار والنخل. وربّما ا</w:t>
      </w:r>
      <w:r w:rsidR="00A50C3F">
        <w:rPr>
          <w:rFonts w:hint="cs"/>
          <w:rtl/>
        </w:rPr>
        <w:t>ُ</w:t>
      </w:r>
      <w:r w:rsidRPr="00132E65">
        <w:rPr>
          <w:rtl/>
        </w:rPr>
        <w:t xml:space="preserve">طلق على المتاع. راجع : </w:t>
      </w:r>
      <w:r w:rsidRPr="00C22DC2">
        <w:rPr>
          <w:rtl/>
        </w:rPr>
        <w:t>المصباح المنير</w:t>
      </w:r>
      <w:r w:rsidRPr="00132E65">
        <w:rPr>
          <w:rtl/>
        </w:rPr>
        <w:t xml:space="preserve"> ، ص 366 ( ضيع )</w:t>
      </w:r>
      <w:r>
        <w:rPr>
          <w:rtl/>
        </w:rPr>
        <w:t>.</w:t>
      </w:r>
    </w:p>
    <w:p w:rsidR="000C39D1" w:rsidRPr="00132E65" w:rsidRDefault="000C39D1" w:rsidP="000C39D1">
      <w:pPr>
        <w:pStyle w:val="libFootnote0"/>
        <w:rPr>
          <w:rtl/>
          <w:lang w:bidi="fa-IR"/>
        </w:rPr>
      </w:pPr>
      <w:r>
        <w:rPr>
          <w:rtl/>
        </w:rPr>
        <w:t>(3).</w:t>
      </w:r>
      <w:r w:rsidRPr="00132E65">
        <w:rPr>
          <w:rtl/>
        </w:rPr>
        <w:t xml:space="preserve"> في « بف » : « أشخص »</w:t>
      </w:r>
      <w:r>
        <w:rPr>
          <w:rtl/>
        </w:rPr>
        <w:t>.</w:t>
      </w:r>
      <w:r w:rsidRPr="00132E65">
        <w:rPr>
          <w:rtl/>
        </w:rPr>
        <w:t xml:space="preserve"> وقوله : « شخص » ، أي ذهب. يقال : شَخَصَ من بلد إلى بلد شُخوصاً ، أي ذهب وسارفي ارتفاع. </w:t>
      </w:r>
      <w:r w:rsidRPr="009D1ACE">
        <w:rPr>
          <w:rStyle w:val="libFootnoteBoldChar"/>
          <w:rtl/>
        </w:rPr>
        <w:t>لسان العرب</w:t>
      </w:r>
      <w:r w:rsidRPr="00132E65">
        <w:rPr>
          <w:rtl/>
        </w:rPr>
        <w:t xml:space="preserve"> ، ج 7 ، ص 46 ؛ </w:t>
      </w:r>
      <w:r w:rsidRPr="00C22DC2">
        <w:rPr>
          <w:rtl/>
        </w:rPr>
        <w:t>القاموس المحيط</w:t>
      </w:r>
      <w:r w:rsidRPr="00132E65">
        <w:rPr>
          <w:rtl/>
        </w:rPr>
        <w:t xml:space="preserve"> ، ج 1 ، ص 844 ( شخص )</w:t>
      </w:r>
      <w:r>
        <w:rPr>
          <w:rtl/>
        </w:rPr>
        <w:t>.</w:t>
      </w:r>
    </w:p>
    <w:p w:rsidR="000C39D1" w:rsidRPr="00132E65" w:rsidRDefault="000C39D1" w:rsidP="000C39D1">
      <w:pPr>
        <w:pStyle w:val="libFootnote0"/>
        <w:rPr>
          <w:rtl/>
          <w:lang w:bidi="fa-IR"/>
        </w:rPr>
      </w:pPr>
      <w:r>
        <w:rPr>
          <w:rtl/>
        </w:rPr>
        <w:t>(4).</w:t>
      </w:r>
      <w:r w:rsidRPr="00132E65">
        <w:rPr>
          <w:rtl/>
        </w:rPr>
        <w:t xml:space="preserve"> في « ف » : « يردّ » بصيغة المضارع.</w:t>
      </w:r>
    </w:p>
    <w:p w:rsidR="000C39D1" w:rsidRPr="00132E65" w:rsidRDefault="000C39D1" w:rsidP="000C39D1">
      <w:pPr>
        <w:pStyle w:val="libFootnote0"/>
        <w:rPr>
          <w:rtl/>
          <w:lang w:bidi="fa-IR"/>
        </w:rPr>
      </w:pPr>
      <w:r>
        <w:rPr>
          <w:rtl/>
        </w:rPr>
        <w:t>(5).</w:t>
      </w:r>
      <w:r w:rsidRPr="00132E65">
        <w:rPr>
          <w:rtl/>
        </w:rPr>
        <w:t xml:space="preserve"> هكذا في « ض ، ف ، بر ، بد ، بس ، بع ، بل ، جس »</w:t>
      </w:r>
      <w:r>
        <w:rPr>
          <w:rtl/>
        </w:rPr>
        <w:t>.</w:t>
      </w:r>
      <w:r w:rsidRPr="00132E65">
        <w:rPr>
          <w:rtl/>
        </w:rPr>
        <w:t xml:space="preserve"> وفي « ب ، ج ، بح ، بف » والمطبوع : « أحمد بن الخضيب »</w:t>
      </w:r>
      <w:r>
        <w:rPr>
          <w:rtl/>
        </w:rPr>
        <w:t>.</w:t>
      </w:r>
      <w:r w:rsidRPr="00132E65">
        <w:rPr>
          <w:rtl/>
        </w:rPr>
        <w:t xml:space="preserve"> وأحمد بن الخصيب هو أحمد بن الخصيب الجرجرائي الذي كان كاتب المنتصر قبل خلافته ، ثمّ و</w:t>
      </w:r>
      <w:r w:rsidR="00621417">
        <w:rPr>
          <w:rFonts w:hint="cs"/>
          <w:rtl/>
        </w:rPr>
        <w:t>َ</w:t>
      </w:r>
      <w:r w:rsidRPr="00132E65">
        <w:rPr>
          <w:rtl/>
        </w:rPr>
        <w:t xml:space="preserve">زَر له وللمستعين. راجع : </w:t>
      </w:r>
      <w:r w:rsidRPr="00696E30">
        <w:rPr>
          <w:rtl/>
        </w:rPr>
        <w:t>تاريخ الإسلام</w:t>
      </w:r>
      <w:r w:rsidRPr="00132E65">
        <w:rPr>
          <w:rtl/>
        </w:rPr>
        <w:t xml:space="preserve"> للذهبي ، ج 18 ، ص 40 ، الرقم 18 ؛ وج 20 ، ص 43 ، الرقم 8. وأمّا ما ورد في الإرشاد من عليّ بن الخصيب » فلم نعثر عليه في موضع.</w:t>
      </w:r>
    </w:p>
    <w:tbl>
      <w:tblPr>
        <w:tblStyle w:val="TableGrid"/>
        <w:bidiVisual/>
        <w:tblW w:w="0" w:type="auto"/>
        <w:tblLook w:val="04A0" w:firstRow="1" w:lastRow="0" w:firstColumn="1" w:lastColumn="0" w:noHBand="0" w:noVBand="1"/>
      </w:tblPr>
      <w:tblGrid>
        <w:gridCol w:w="4261"/>
        <w:gridCol w:w="4262"/>
      </w:tblGrid>
      <w:tr w:rsidR="00621417" w:rsidTr="00621417">
        <w:tc>
          <w:tcPr>
            <w:tcW w:w="4261" w:type="dxa"/>
          </w:tcPr>
          <w:p w:rsidR="00621417" w:rsidRDefault="00621417" w:rsidP="000C39D1">
            <w:pPr>
              <w:pStyle w:val="libFootnote0"/>
              <w:rPr>
                <w:rtl/>
              </w:rPr>
            </w:pPr>
            <w:r>
              <w:rPr>
                <w:rtl/>
              </w:rPr>
              <w:t>(6).</w:t>
            </w:r>
            <w:r w:rsidRPr="00132E65">
              <w:rPr>
                <w:rtl/>
              </w:rPr>
              <w:t xml:space="preserve"> في « ف » :</w:t>
            </w:r>
            <w:r>
              <w:rPr>
                <w:rtl/>
              </w:rPr>
              <w:t xml:space="preserve"> + </w:t>
            </w:r>
            <w:r w:rsidRPr="00132E65">
              <w:rPr>
                <w:rtl/>
              </w:rPr>
              <w:t>« عن »</w:t>
            </w:r>
            <w:r>
              <w:rPr>
                <w:rtl/>
              </w:rPr>
              <w:t>.</w:t>
            </w:r>
          </w:p>
        </w:tc>
        <w:tc>
          <w:tcPr>
            <w:tcW w:w="4262" w:type="dxa"/>
          </w:tcPr>
          <w:p w:rsidR="00621417" w:rsidRDefault="00621417" w:rsidP="000C39D1">
            <w:pPr>
              <w:pStyle w:val="libFootnote0"/>
              <w:rPr>
                <w:rtl/>
              </w:rPr>
            </w:pPr>
            <w:r>
              <w:rPr>
                <w:rtl/>
              </w:rPr>
              <w:t>(7).</w:t>
            </w:r>
            <w:r w:rsidRPr="00132E65">
              <w:rPr>
                <w:rtl/>
              </w:rPr>
              <w:t xml:space="preserve"> في « ف » :</w:t>
            </w:r>
            <w:r>
              <w:rPr>
                <w:rtl/>
              </w:rPr>
              <w:t xml:space="preserve"> + </w:t>
            </w:r>
            <w:r w:rsidRPr="00132E65">
              <w:rPr>
                <w:rtl/>
              </w:rPr>
              <w:t>« أن »</w:t>
            </w:r>
            <w:r>
              <w:rPr>
                <w:rtl/>
              </w:rPr>
              <w:t>.</w:t>
            </w:r>
          </w:p>
        </w:tc>
      </w:tr>
    </w:tbl>
    <w:p w:rsidR="000C39D1" w:rsidRPr="00132E65" w:rsidRDefault="000C39D1" w:rsidP="000C39D1">
      <w:pPr>
        <w:pStyle w:val="libFootnote0"/>
        <w:rPr>
          <w:rtl/>
          <w:lang w:bidi="fa-IR"/>
        </w:rPr>
      </w:pPr>
      <w:r>
        <w:rPr>
          <w:rtl/>
        </w:rPr>
        <w:t>(8).</w:t>
      </w:r>
      <w:r w:rsidRPr="00132E65">
        <w:rPr>
          <w:rtl/>
        </w:rPr>
        <w:t xml:space="preserve"> في « ب » : « ولم »</w:t>
      </w:r>
      <w:r>
        <w:rPr>
          <w:rtl/>
        </w:rPr>
        <w:t>.</w:t>
      </w:r>
    </w:p>
    <w:p w:rsidR="000C39D1" w:rsidRPr="00132E65" w:rsidRDefault="000C39D1" w:rsidP="00621417">
      <w:pPr>
        <w:pStyle w:val="libFootnote0"/>
        <w:rPr>
          <w:rtl/>
          <w:lang w:bidi="fa-IR"/>
        </w:rPr>
      </w:pPr>
      <w:r>
        <w:rPr>
          <w:rtl/>
        </w:rPr>
        <w:t>(9).</w:t>
      </w:r>
      <w:r w:rsidRPr="00132E65">
        <w:rPr>
          <w:rtl/>
        </w:rPr>
        <w:t xml:space="preserve"> </w:t>
      </w:r>
      <w:r w:rsidRPr="00696E30">
        <w:rPr>
          <w:rtl/>
        </w:rPr>
        <w:t>الإرشاد</w:t>
      </w:r>
      <w:r w:rsidRPr="00132E65">
        <w:rPr>
          <w:rtl/>
        </w:rPr>
        <w:t xml:space="preserve"> ، ج 2 ، ص 304 ، بسنده عن الكليني ، مع اختلاف يسير</w:t>
      </w:r>
      <w:r w:rsidR="00621417">
        <w:rPr>
          <w:rFonts w:hint="cs"/>
          <w:rtl/>
        </w:rPr>
        <w:t>.</w:t>
      </w:r>
      <w:r w:rsidRPr="009D1ACE">
        <w:rPr>
          <w:rStyle w:val="libFootnoteBoldChar"/>
          <w:rtl/>
        </w:rPr>
        <w:t>الوافي</w:t>
      </w:r>
      <w:r w:rsidRPr="00132E65">
        <w:rPr>
          <w:rtl/>
        </w:rPr>
        <w:t xml:space="preserve"> ، ج 3 ، ص 837 ، ح 1450.</w:t>
      </w:r>
    </w:p>
    <w:p w:rsidR="000C39D1" w:rsidRPr="00132E65" w:rsidRDefault="000C39D1" w:rsidP="000C39D1">
      <w:pPr>
        <w:pStyle w:val="libFootnote0"/>
        <w:rPr>
          <w:rtl/>
          <w:lang w:bidi="fa-IR"/>
        </w:rPr>
      </w:pPr>
      <w:r>
        <w:rPr>
          <w:rtl/>
        </w:rPr>
        <w:t>(10).</w:t>
      </w:r>
      <w:r w:rsidRPr="00132E65">
        <w:rPr>
          <w:rtl/>
        </w:rPr>
        <w:t xml:space="preserve"> في حاشية « ج ، ف ، بس ، بف » : « عن معلّى بن محمّد »</w:t>
      </w:r>
      <w:r>
        <w:rPr>
          <w:rtl/>
        </w:rPr>
        <w:t>.</w:t>
      </w:r>
    </w:p>
    <w:tbl>
      <w:tblPr>
        <w:tblStyle w:val="TableGrid"/>
        <w:bidiVisual/>
        <w:tblW w:w="0" w:type="auto"/>
        <w:tblLook w:val="04A0" w:firstRow="1" w:lastRow="0" w:firstColumn="1" w:lastColumn="0" w:noHBand="0" w:noVBand="1"/>
      </w:tblPr>
      <w:tblGrid>
        <w:gridCol w:w="4261"/>
        <w:gridCol w:w="4262"/>
      </w:tblGrid>
      <w:tr w:rsidR="00621417" w:rsidTr="00621417">
        <w:tc>
          <w:tcPr>
            <w:tcW w:w="4261" w:type="dxa"/>
          </w:tcPr>
          <w:p w:rsidR="00621417" w:rsidRDefault="00621417" w:rsidP="000C39D1">
            <w:pPr>
              <w:pStyle w:val="libFootnote0"/>
              <w:rPr>
                <w:rtl/>
              </w:rPr>
            </w:pPr>
            <w:r>
              <w:rPr>
                <w:rtl/>
              </w:rPr>
              <w:t>(11).</w:t>
            </w:r>
            <w:r w:rsidRPr="00132E65">
              <w:rPr>
                <w:rtl/>
              </w:rPr>
              <w:t xml:space="preserve"> في « ف » :</w:t>
            </w:r>
            <w:r>
              <w:rPr>
                <w:rtl/>
              </w:rPr>
              <w:t xml:space="preserve"> + </w:t>
            </w:r>
            <w:r w:rsidRPr="00132E65">
              <w:rPr>
                <w:rtl/>
              </w:rPr>
              <w:t>« بن عبد الله »</w:t>
            </w:r>
            <w:r>
              <w:rPr>
                <w:rtl/>
              </w:rPr>
              <w:t>.</w:t>
            </w:r>
          </w:p>
        </w:tc>
        <w:tc>
          <w:tcPr>
            <w:tcW w:w="4262" w:type="dxa"/>
          </w:tcPr>
          <w:p w:rsidR="00621417" w:rsidRDefault="00621417" w:rsidP="000C39D1">
            <w:pPr>
              <w:pStyle w:val="libFootnote0"/>
              <w:rPr>
                <w:rtl/>
              </w:rPr>
            </w:pPr>
            <w:r>
              <w:rPr>
                <w:rtl/>
              </w:rPr>
              <w:t>(12). في «ف</w:t>
            </w:r>
            <w:r w:rsidRPr="00132E65">
              <w:rPr>
                <w:rtl/>
              </w:rPr>
              <w:t>» :</w:t>
            </w:r>
            <w:r>
              <w:rPr>
                <w:rtl/>
              </w:rPr>
              <w:t xml:space="preserve"> «عشيّته</w:t>
            </w:r>
            <w:r w:rsidRPr="00132E65">
              <w:rPr>
                <w:rtl/>
              </w:rPr>
              <w:t>»</w:t>
            </w:r>
            <w:r>
              <w:rPr>
                <w:rtl/>
              </w:rPr>
              <w:t>. وفي «بس ،بف» :«عشيّه</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فَنَظَرَ إِلَيْهِ ، واعْتَلَّ مِنْ غَدٍ ، فَدَخَلْتُ </w:t>
      </w:r>
      <w:r>
        <w:rPr>
          <w:rStyle w:val="libFootnotenumChar"/>
          <w:rtl/>
        </w:rPr>
        <w:t>(1)</w:t>
      </w:r>
      <w:r w:rsidRPr="00132E65">
        <w:rPr>
          <w:rtl/>
          <w:lang w:bidi="fa-IR"/>
        </w:rPr>
        <w:t xml:space="preserve"> إِلَيْهِ عَائِداً بَعْدَ أَيَّامٍ مِنْ عِلَّتِهِ وقَدْ ثَقُلَ ، فَأَخْبَرَنِي أَنَّهُ بَعَثَ إِلَيْهِ بِثَوْبٍ ، فَأَخ</w:t>
      </w:r>
      <w:r w:rsidR="00ED56F6">
        <w:rPr>
          <w:rtl/>
          <w:lang w:bidi="fa-IR"/>
        </w:rPr>
        <w:t>َذَهُ وأَدْرَجَهُ ، و</w:t>
      </w:r>
      <w:r w:rsidR="00ED56F6">
        <w:rPr>
          <w:rFonts w:hint="cs"/>
          <w:rtl/>
          <w:lang w:bidi="fa-IR"/>
        </w:rPr>
        <w:t xml:space="preserve">َ </w:t>
      </w:r>
      <w:r w:rsidR="00ED56F6">
        <w:rPr>
          <w:rtl/>
          <w:lang w:bidi="fa-IR"/>
        </w:rPr>
        <w:t>و</w:t>
      </w:r>
      <w:r w:rsidR="00ED56F6">
        <w:rPr>
          <w:rFonts w:hint="cs"/>
          <w:rtl/>
          <w:lang w:bidi="fa-IR"/>
        </w:rPr>
        <w:t>َ</w:t>
      </w:r>
      <w:r w:rsidRPr="00132E65">
        <w:rPr>
          <w:rtl/>
          <w:lang w:bidi="fa-IR"/>
        </w:rPr>
        <w:t>ضَعَهُ تَحْتَ رَأْسِهِ ، قَالَ : فَكُفِّنَ فِيهِ.</w:t>
      </w:r>
    </w:p>
    <w:p w:rsidR="000C39D1" w:rsidRPr="00132E65" w:rsidRDefault="000C39D1" w:rsidP="000C39D1">
      <w:pPr>
        <w:pStyle w:val="libNormal"/>
        <w:rPr>
          <w:rtl/>
          <w:lang w:bidi="fa-IR"/>
        </w:rPr>
      </w:pPr>
      <w:r w:rsidRPr="00132E65">
        <w:rPr>
          <w:rtl/>
          <w:lang w:bidi="fa-IR"/>
        </w:rPr>
        <w:t xml:space="preserve">قَالَ أَحْمَدُ : قَالَ أَبُو يَعْقُوبَ : رَأَيْتُ أَبَا الْحَسَنِ </w:t>
      </w:r>
      <w:r w:rsidRPr="00071CF9">
        <w:rPr>
          <w:rStyle w:val="libAlaemChar"/>
          <w:rtl/>
        </w:rPr>
        <w:t>عليه‌السلام</w:t>
      </w:r>
      <w:r w:rsidRPr="00132E65">
        <w:rPr>
          <w:rtl/>
          <w:lang w:bidi="fa-IR"/>
        </w:rPr>
        <w:t xml:space="preserve"> مَعَ ابْنِ الْخَصِيبِ </w:t>
      </w:r>
      <w:r>
        <w:rPr>
          <w:rStyle w:val="libFootnotenumChar"/>
          <w:rtl/>
        </w:rPr>
        <w:t>(2)</w:t>
      </w:r>
      <w:r w:rsidRPr="00132E65">
        <w:rPr>
          <w:rtl/>
          <w:lang w:bidi="fa-IR"/>
        </w:rPr>
        <w:t xml:space="preserve"> ، فَقَالَ لَهُ ابْنُ الْخَصِيبِ </w:t>
      </w:r>
      <w:r>
        <w:rPr>
          <w:rStyle w:val="libFootnotenumChar"/>
          <w:rtl/>
        </w:rPr>
        <w:t>(3)</w:t>
      </w:r>
      <w:r w:rsidRPr="00132E65">
        <w:rPr>
          <w:rtl/>
          <w:lang w:bidi="fa-IR"/>
        </w:rPr>
        <w:t xml:space="preserve"> : سِرْ </w:t>
      </w:r>
      <w:r>
        <w:rPr>
          <w:rStyle w:val="libFootnotenumChar"/>
          <w:rtl/>
        </w:rPr>
        <w:t>(4)</w:t>
      </w:r>
      <w:r w:rsidRPr="00132E65">
        <w:rPr>
          <w:rtl/>
          <w:lang w:bidi="fa-IR"/>
        </w:rPr>
        <w:t xml:space="preserve"> جُعِلْتُ فِدَاكَ ، فَقَالَ لَهُ </w:t>
      </w:r>
      <w:r>
        <w:rPr>
          <w:rStyle w:val="libFootnotenumChar"/>
          <w:rtl/>
        </w:rPr>
        <w:t>(5)</w:t>
      </w:r>
      <w:r w:rsidRPr="00132E65">
        <w:rPr>
          <w:rtl/>
          <w:lang w:bidi="fa-IR"/>
        </w:rPr>
        <w:t xml:space="preserve"> : « أَنْتَ الْمُقَدَّمُ »</w:t>
      </w:r>
      <w:r>
        <w:rPr>
          <w:rtl/>
          <w:lang w:bidi="fa-IR"/>
        </w:rPr>
        <w:t>.</w:t>
      </w:r>
      <w:r w:rsidRPr="00132E65">
        <w:rPr>
          <w:rtl/>
          <w:lang w:bidi="fa-IR"/>
        </w:rPr>
        <w:t xml:space="preserve"> فَمَا لَبِثَ </w:t>
      </w:r>
      <w:r>
        <w:rPr>
          <w:rStyle w:val="libFootnotenumChar"/>
          <w:rtl/>
        </w:rPr>
        <w:t>(6)</w:t>
      </w:r>
      <w:r w:rsidR="00ED56F6">
        <w:rPr>
          <w:rtl/>
          <w:lang w:bidi="fa-IR"/>
        </w:rPr>
        <w:t xml:space="preserve"> إِل</w:t>
      </w:r>
      <w:r w:rsidR="00ED56F6">
        <w:rPr>
          <w:rFonts w:hint="cs"/>
          <w:rtl/>
          <w:lang w:bidi="fa-IR"/>
        </w:rPr>
        <w:t>َّ</w:t>
      </w:r>
      <w:r w:rsidR="00ED56F6">
        <w:rPr>
          <w:rtl/>
          <w:lang w:bidi="fa-IR"/>
        </w:rPr>
        <w:t>ا</w:t>
      </w:r>
      <w:r w:rsidRPr="00132E65">
        <w:rPr>
          <w:rtl/>
          <w:lang w:bidi="fa-IR"/>
        </w:rPr>
        <w:t xml:space="preserve"> أَرْبَعَةَ أَيَّامٍ حَتّى وُضِعَ الدَّهَقُ </w:t>
      </w:r>
      <w:r>
        <w:rPr>
          <w:rStyle w:val="libFootnotenumChar"/>
          <w:rtl/>
        </w:rPr>
        <w:t>(7)</w:t>
      </w:r>
      <w:r w:rsidRPr="00132E65">
        <w:rPr>
          <w:rtl/>
          <w:lang w:bidi="fa-IR"/>
        </w:rPr>
        <w:t xml:space="preserve"> عَلى سَاقِ ابْنِ الْخَصِيبِ </w:t>
      </w:r>
      <w:r>
        <w:rPr>
          <w:rStyle w:val="libFootnotenumChar"/>
          <w:rtl/>
        </w:rPr>
        <w:t>(8)</w:t>
      </w:r>
      <w:r w:rsidRPr="00132E65">
        <w:rPr>
          <w:rtl/>
          <w:lang w:bidi="fa-IR"/>
        </w:rPr>
        <w:t xml:space="preserve"> ، ثُمَّ نُعِيَ </w:t>
      </w:r>
      <w:r>
        <w:rPr>
          <w:rStyle w:val="libFootnotenumChar"/>
          <w:rtl/>
        </w:rPr>
        <w:t>(9)</w:t>
      </w:r>
      <w:r w:rsidR="005E29CC" w:rsidRPr="005E29CC">
        <w:rPr>
          <w:rFonts w:hint="cs"/>
          <w:rtl/>
        </w:rPr>
        <w:t>.</w:t>
      </w:r>
    </w:p>
    <w:p w:rsidR="000C39D1" w:rsidRPr="00132E65" w:rsidRDefault="000C39D1" w:rsidP="000C39D1">
      <w:pPr>
        <w:pStyle w:val="libNormal"/>
        <w:rPr>
          <w:rtl/>
          <w:lang w:bidi="fa-IR"/>
        </w:rPr>
      </w:pPr>
      <w:r w:rsidRPr="00132E65">
        <w:rPr>
          <w:rtl/>
          <w:lang w:bidi="fa-IR"/>
        </w:rPr>
        <w:t>قَالَ : و</w:t>
      </w:r>
      <w:r w:rsidR="005E29CC">
        <w:rPr>
          <w:rFonts w:hint="cs"/>
          <w:rtl/>
          <w:lang w:bidi="fa-IR"/>
        </w:rPr>
        <w:t xml:space="preserve">َ </w:t>
      </w:r>
      <w:r w:rsidRPr="00132E65">
        <w:rPr>
          <w:rtl/>
          <w:lang w:bidi="fa-IR"/>
        </w:rPr>
        <w:t xml:space="preserve">رُوِيَ </w:t>
      </w:r>
      <w:r>
        <w:rPr>
          <w:rStyle w:val="libFootnotenumChar"/>
          <w:rtl/>
        </w:rPr>
        <w:t>(10)</w:t>
      </w:r>
      <w:r w:rsidRPr="00132E65">
        <w:rPr>
          <w:rtl/>
          <w:lang w:bidi="fa-IR"/>
        </w:rPr>
        <w:t xml:space="preserve"> عَنْهُ أَنَّهُ </w:t>
      </w:r>
      <w:r>
        <w:rPr>
          <w:rStyle w:val="libFootnotenumChar"/>
          <w:rtl/>
        </w:rPr>
        <w:t>(11)</w:t>
      </w:r>
      <w:r>
        <w:rPr>
          <w:rtl/>
          <w:lang w:bidi="fa-IR"/>
        </w:rPr>
        <w:t xml:space="preserve"> - </w:t>
      </w:r>
      <w:r w:rsidRPr="00132E65">
        <w:rPr>
          <w:rtl/>
          <w:lang w:bidi="fa-IR"/>
        </w:rPr>
        <w:t xml:space="preserve">حِينَ أَلَحَّ عَلَيْهِ ابْنُ الْخَصِيبِ </w:t>
      </w:r>
      <w:r>
        <w:rPr>
          <w:rStyle w:val="libFootnotenumChar"/>
          <w:rtl/>
        </w:rPr>
        <w:t>(12)</w:t>
      </w:r>
      <w:r w:rsidRPr="00132E65">
        <w:rPr>
          <w:rtl/>
          <w:lang w:bidi="fa-IR"/>
        </w:rPr>
        <w:t xml:space="preserve"> فِي الدَّارِ الَّتِي يَطْلُبُهَا مِنْهُ</w:t>
      </w:r>
      <w:r>
        <w:rPr>
          <w:rtl/>
          <w:lang w:bidi="fa-IR"/>
        </w:rPr>
        <w:t xml:space="preserve"> - </w:t>
      </w:r>
      <w:r w:rsidRPr="00132E65">
        <w:rPr>
          <w:rtl/>
          <w:lang w:bidi="fa-IR"/>
        </w:rPr>
        <w:t xml:space="preserve">بَعَثَ إِلَيْهِ </w:t>
      </w:r>
      <w:r w:rsidRPr="00F543F1">
        <w:rPr>
          <w:rStyle w:val="libFootnotenumChar"/>
          <w:rtl/>
        </w:rPr>
        <w:t>(13)</w:t>
      </w:r>
      <w:r w:rsidRPr="00132E65">
        <w:rPr>
          <w:rtl/>
          <w:lang w:bidi="fa-IR"/>
        </w:rPr>
        <w:t xml:space="preserve"> : « لَأَقْعُدَنَّ بِكَ مِنَ اللهِ</w:t>
      </w:r>
      <w:r>
        <w:rPr>
          <w:rtl/>
          <w:lang w:bidi="fa-IR"/>
        </w:rPr>
        <w:t xml:space="preserve"> - </w:t>
      </w:r>
      <w:r w:rsidRPr="00132E65">
        <w:rPr>
          <w:rtl/>
          <w:lang w:bidi="fa-IR"/>
        </w:rPr>
        <w:t>عَزَّ وجَلَّ</w:t>
      </w:r>
      <w:r>
        <w:rPr>
          <w:rtl/>
          <w:lang w:bidi="fa-IR"/>
        </w:rPr>
        <w:t xml:space="preserve"> - </w:t>
      </w:r>
      <w:r w:rsidRPr="00132E65">
        <w:rPr>
          <w:rtl/>
          <w:lang w:bidi="fa-IR"/>
        </w:rPr>
        <w:t xml:space="preserve">مَقْعَداً لَايَبْقى لَكَ بَاقِيَةٌ </w:t>
      </w:r>
      <w:r w:rsidRPr="00F543F1">
        <w:rPr>
          <w:rStyle w:val="libFootnotenumChar"/>
          <w:rtl/>
        </w:rPr>
        <w:t>(14)</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ودخلت »</w:t>
      </w:r>
      <w:r>
        <w:rPr>
          <w:rtl/>
        </w:rPr>
        <w:t>.</w:t>
      </w:r>
    </w:p>
    <w:p w:rsidR="000C39D1" w:rsidRPr="00132E65" w:rsidRDefault="000C39D1" w:rsidP="000C39D1">
      <w:pPr>
        <w:pStyle w:val="libFootnote0"/>
        <w:rPr>
          <w:rtl/>
          <w:lang w:bidi="fa-IR"/>
        </w:rPr>
      </w:pPr>
      <w:r>
        <w:rPr>
          <w:rtl/>
        </w:rPr>
        <w:t>(2).</w:t>
      </w:r>
      <w:r w:rsidRPr="00132E65">
        <w:rPr>
          <w:rtl/>
        </w:rPr>
        <w:t xml:space="preserve"> هكذا في « ض ، ف ، بس »</w:t>
      </w:r>
      <w:r>
        <w:rPr>
          <w:rtl/>
        </w:rPr>
        <w:t>.</w:t>
      </w:r>
      <w:r w:rsidRPr="00132E65">
        <w:rPr>
          <w:rtl/>
        </w:rPr>
        <w:t xml:space="preserve"> وفي سائر النسخ والمطبوع : « أحمد بن الخضيب. وتقدّم ذيل السند السابق وجه‌صحّة ما أثبتناه. وفي الإرشاد : « أحمد بن الخصيب يتسايران وقد قصر أبو الحسن </w:t>
      </w:r>
      <w:r w:rsidRPr="005E29CC">
        <w:rPr>
          <w:rStyle w:val="libFootnoteAlaemChar"/>
          <w:rtl/>
        </w:rPr>
        <w:t>عليه‌السلام</w:t>
      </w:r>
      <w:r w:rsidRPr="00132E65">
        <w:rPr>
          <w:rtl/>
        </w:rPr>
        <w:t xml:space="preserve"> عنه » بدل « ابن الخضيب »</w:t>
      </w:r>
      <w:r>
        <w:rPr>
          <w:rtl/>
        </w:rPr>
        <w:t>.</w:t>
      </w:r>
    </w:p>
    <w:p w:rsidR="000C39D1" w:rsidRPr="00132E65" w:rsidRDefault="000C39D1" w:rsidP="000C39D1">
      <w:pPr>
        <w:pStyle w:val="libFootnote0"/>
        <w:rPr>
          <w:rtl/>
          <w:lang w:bidi="fa-IR"/>
        </w:rPr>
      </w:pPr>
      <w:r>
        <w:rPr>
          <w:rtl/>
        </w:rPr>
        <w:t>(3).</w:t>
      </w:r>
      <w:r w:rsidRPr="00132E65">
        <w:rPr>
          <w:rtl/>
        </w:rPr>
        <w:t xml:space="preserve"> هكذا في « ض ، ف ، بف » والإرشاد. وفي سائر النسخ والمطبوع : « الخضيب »</w:t>
      </w:r>
      <w:r>
        <w:rPr>
          <w:rtl/>
        </w:rPr>
        <w:t>.</w:t>
      </w:r>
    </w:p>
    <w:p w:rsidR="000C39D1" w:rsidRPr="00132E65" w:rsidRDefault="000C39D1" w:rsidP="000C39D1">
      <w:pPr>
        <w:pStyle w:val="libFootnote0"/>
        <w:rPr>
          <w:rtl/>
          <w:lang w:bidi="fa-IR"/>
        </w:rPr>
      </w:pPr>
      <w:r>
        <w:rPr>
          <w:rtl/>
        </w:rPr>
        <w:t>(4).</w:t>
      </w:r>
      <w:r w:rsidRPr="00132E65">
        <w:rPr>
          <w:rtl/>
        </w:rPr>
        <w:t xml:space="preserve"> في « ف » : « سرّاً »</w:t>
      </w:r>
      <w:r>
        <w:rPr>
          <w:rtl/>
        </w:rPr>
        <w:t>.</w:t>
      </w:r>
    </w:p>
    <w:p w:rsidR="000C39D1" w:rsidRPr="00132E65" w:rsidRDefault="000C39D1" w:rsidP="000C39D1">
      <w:pPr>
        <w:pStyle w:val="libFootnote0"/>
        <w:rPr>
          <w:rtl/>
          <w:lang w:bidi="fa-IR"/>
        </w:rPr>
      </w:pPr>
      <w:r>
        <w:rPr>
          <w:rtl/>
        </w:rPr>
        <w:t>(5).</w:t>
      </w:r>
      <w:r w:rsidRPr="00132E65">
        <w:rPr>
          <w:rtl/>
        </w:rPr>
        <w:t xml:space="preserve"> في « ف ، بح ، بس » </w:t>
      </w:r>
      <w:r>
        <w:rPr>
          <w:rtl/>
        </w:rPr>
        <w:t xml:space="preserve">: - </w:t>
      </w:r>
      <w:r w:rsidRPr="00132E65">
        <w:rPr>
          <w:rtl/>
        </w:rPr>
        <w:t>« فقال له »</w:t>
      </w:r>
      <w:r>
        <w:rPr>
          <w:rtl/>
        </w:rPr>
        <w:t>.</w:t>
      </w:r>
      <w:r w:rsidRPr="00132E65">
        <w:rPr>
          <w:rtl/>
        </w:rPr>
        <w:t xml:space="preserve"> وفي « بر ، بف » و</w:t>
      </w:r>
      <w:r w:rsidRPr="009D1ACE">
        <w:rPr>
          <w:rStyle w:val="libFootnoteBoldChar"/>
          <w:rtl/>
        </w:rPr>
        <w:t>الوافي</w:t>
      </w:r>
      <w:r w:rsidRPr="00132E65">
        <w:rPr>
          <w:rtl/>
        </w:rPr>
        <w:t xml:space="preserve"> : « قال له »</w:t>
      </w:r>
      <w:r>
        <w:rPr>
          <w:rtl/>
        </w:rPr>
        <w:t>.</w:t>
      </w:r>
    </w:p>
    <w:p w:rsidR="000C39D1" w:rsidRPr="00132E65" w:rsidRDefault="000C39D1" w:rsidP="000C39D1">
      <w:pPr>
        <w:pStyle w:val="libFootnote0"/>
        <w:rPr>
          <w:rtl/>
          <w:lang w:bidi="fa-IR"/>
        </w:rPr>
      </w:pPr>
      <w:r>
        <w:rPr>
          <w:rtl/>
        </w:rPr>
        <w:t>(6).</w:t>
      </w:r>
      <w:r w:rsidRPr="00132E65">
        <w:rPr>
          <w:rtl/>
        </w:rPr>
        <w:t xml:space="preserve"> في « بح » : « لبثت »</w:t>
      </w:r>
      <w:r>
        <w:rPr>
          <w:rtl/>
        </w:rPr>
        <w:t>.</w:t>
      </w:r>
    </w:p>
    <w:p w:rsidR="000C39D1" w:rsidRPr="00132E65" w:rsidRDefault="000C39D1" w:rsidP="000C39D1">
      <w:pPr>
        <w:pStyle w:val="libFootnote0"/>
        <w:rPr>
          <w:rtl/>
          <w:lang w:bidi="fa-IR"/>
        </w:rPr>
      </w:pPr>
      <w:r>
        <w:rPr>
          <w:rtl/>
        </w:rPr>
        <w:t>(7).</w:t>
      </w:r>
      <w:r w:rsidRPr="00132E65">
        <w:rPr>
          <w:rtl/>
        </w:rPr>
        <w:t xml:space="preserve"> « الدَهَق » : خشبتان يُغْمَز</w:t>
      </w:r>
      <w:r>
        <w:rPr>
          <w:rtl/>
        </w:rPr>
        <w:t xml:space="preserve"> - </w:t>
      </w:r>
      <w:r w:rsidRPr="00132E65">
        <w:rPr>
          <w:rtl/>
        </w:rPr>
        <w:t>أي يُعصَر</w:t>
      </w:r>
      <w:r>
        <w:rPr>
          <w:rtl/>
        </w:rPr>
        <w:t xml:space="preserve"> - </w:t>
      </w:r>
      <w:r w:rsidRPr="00132E65">
        <w:rPr>
          <w:rtl/>
        </w:rPr>
        <w:t xml:space="preserve">بهما الساق. </w:t>
      </w:r>
      <w:r w:rsidRPr="00696E30">
        <w:rPr>
          <w:rtl/>
        </w:rPr>
        <w:t>ترتيب كتاب العين</w:t>
      </w:r>
      <w:r w:rsidRPr="00132E65">
        <w:rPr>
          <w:rtl/>
        </w:rPr>
        <w:t xml:space="preserve"> ، ج 1 ، ص 602 ( دهق )</w:t>
      </w:r>
      <w:r>
        <w:rPr>
          <w:rtl/>
        </w:rPr>
        <w:t>.</w:t>
      </w:r>
    </w:p>
    <w:p w:rsidR="000C39D1" w:rsidRPr="00132E65" w:rsidRDefault="000C39D1" w:rsidP="000C39D1">
      <w:pPr>
        <w:pStyle w:val="libFootnote0"/>
        <w:rPr>
          <w:rtl/>
          <w:lang w:bidi="fa-IR"/>
        </w:rPr>
      </w:pPr>
      <w:r>
        <w:rPr>
          <w:rtl/>
        </w:rPr>
        <w:t>(8).</w:t>
      </w:r>
      <w:r w:rsidRPr="00132E65">
        <w:rPr>
          <w:rtl/>
        </w:rPr>
        <w:t xml:space="preserve"> هكذا في « ف ، بف » والإرشاد. وفي سائر النسخ والمطبوع : « الخضيب »</w:t>
      </w:r>
      <w:r>
        <w:rPr>
          <w:rtl/>
        </w:rPr>
        <w:t>.</w:t>
      </w:r>
    </w:p>
    <w:p w:rsidR="000C39D1" w:rsidRPr="00132E65" w:rsidRDefault="000C39D1" w:rsidP="000C39D1">
      <w:pPr>
        <w:pStyle w:val="libFootnote0"/>
        <w:rPr>
          <w:rtl/>
          <w:lang w:bidi="fa-IR"/>
        </w:rPr>
      </w:pPr>
      <w:r>
        <w:rPr>
          <w:rtl/>
        </w:rPr>
        <w:t>(9).</w:t>
      </w:r>
      <w:r w:rsidRPr="00132E65">
        <w:rPr>
          <w:rtl/>
        </w:rPr>
        <w:t xml:space="preserve"> « نُعِيَ » ، أي ا</w:t>
      </w:r>
      <w:r w:rsidR="005E29CC">
        <w:rPr>
          <w:rFonts w:hint="cs"/>
          <w:rtl/>
        </w:rPr>
        <w:t>ُ</w:t>
      </w:r>
      <w:r w:rsidRPr="00132E65">
        <w:rPr>
          <w:rtl/>
        </w:rPr>
        <w:t>خبر بموته وا</w:t>
      </w:r>
      <w:r w:rsidR="005E29CC">
        <w:rPr>
          <w:rFonts w:hint="cs"/>
          <w:rtl/>
        </w:rPr>
        <w:t>ُ</w:t>
      </w:r>
      <w:r w:rsidRPr="00132E65">
        <w:rPr>
          <w:rtl/>
        </w:rPr>
        <w:t>تي خبر موته وا</w:t>
      </w:r>
      <w:r w:rsidR="005E29CC">
        <w:rPr>
          <w:rFonts w:hint="cs"/>
          <w:rtl/>
        </w:rPr>
        <w:t>ُ</w:t>
      </w:r>
      <w:r w:rsidRPr="00132E65">
        <w:rPr>
          <w:rtl/>
        </w:rPr>
        <w:t xml:space="preserve">ذيع. يقال : نَعَى الميّتَ ينعاه نَعْياً ونَعِيّاً ، إذا أذاع موته وأخبر به. راجع : </w:t>
      </w:r>
      <w:r w:rsidRPr="00696E30">
        <w:rPr>
          <w:rtl/>
        </w:rPr>
        <w:t>النهاية</w:t>
      </w:r>
      <w:r w:rsidRPr="00132E65">
        <w:rPr>
          <w:rtl/>
        </w:rPr>
        <w:t xml:space="preserve"> ، ج 5 ، ص 85 ( نعا )</w:t>
      </w:r>
      <w:r>
        <w:rPr>
          <w:rtl/>
        </w:rPr>
        <w:t>.</w:t>
      </w:r>
    </w:p>
    <w:p w:rsidR="000C39D1" w:rsidRPr="00132E65" w:rsidRDefault="000C39D1" w:rsidP="000C39D1">
      <w:pPr>
        <w:pStyle w:val="libFootnote0"/>
        <w:rPr>
          <w:rtl/>
          <w:lang w:bidi="fa-IR"/>
        </w:rPr>
      </w:pPr>
      <w:r>
        <w:rPr>
          <w:rtl/>
        </w:rPr>
        <w:t>(10).</w:t>
      </w:r>
      <w:r w:rsidRPr="00132E65">
        <w:rPr>
          <w:rtl/>
        </w:rPr>
        <w:t xml:space="preserve"> هكذا في « ب ، ج ، ض ، ف ، بح ، بر ، بس ، بف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وفي المطبوع </w:t>
      </w:r>
      <w:r>
        <w:rPr>
          <w:rtl/>
        </w:rPr>
        <w:t xml:space="preserve">: - </w:t>
      </w:r>
      <w:r w:rsidRPr="00132E65">
        <w:rPr>
          <w:rtl/>
        </w:rPr>
        <w:t>«</w:t>
      </w:r>
      <w:r>
        <w:rPr>
          <w:rtl/>
        </w:rPr>
        <w:t xml:space="preserve"> و ».</w:t>
      </w:r>
      <w:r w:rsidRPr="00132E65">
        <w:rPr>
          <w:rtl/>
        </w:rPr>
        <w:t xml:space="preserve"> وقرأه المجلسي : « رَوَى » معلوماً حيث قال : ضمير « قال » راجع إلى أحمد ، وضمير « روى » إلى أبي يعقوب. وجملة « بعث إليه » في محلّ رفع</w:t>
      </w:r>
      <w:r w:rsidR="00AA5A4E">
        <w:rPr>
          <w:rtl/>
        </w:rPr>
        <w:t xml:space="preserve"> ب</w:t>
      </w:r>
      <w:r w:rsidR="00AA5A4E">
        <w:rPr>
          <w:rFonts w:hint="cs"/>
          <w:rtl/>
        </w:rPr>
        <w:t>ـ</w:t>
      </w:r>
      <w:r>
        <w:rPr>
          <w:rtl/>
        </w:rPr>
        <w:t xml:space="preserve"> «</w:t>
      </w:r>
      <w:r w:rsidRPr="00132E65">
        <w:rPr>
          <w:rtl/>
        </w:rPr>
        <w:t xml:space="preserve"> روى »</w:t>
      </w:r>
      <w:r>
        <w:rPr>
          <w:rtl/>
        </w:rPr>
        <w:t>.</w:t>
      </w:r>
    </w:p>
    <w:p w:rsidR="000C39D1" w:rsidRPr="00132E65" w:rsidRDefault="000C39D1" w:rsidP="000C39D1">
      <w:pPr>
        <w:pStyle w:val="libFootnote0"/>
        <w:rPr>
          <w:rtl/>
          <w:lang w:bidi="fa-IR"/>
        </w:rPr>
      </w:pPr>
      <w:r>
        <w:rPr>
          <w:rtl/>
        </w:rPr>
        <w:t>(11).</w:t>
      </w:r>
      <w:r w:rsidRPr="00132E65">
        <w:rPr>
          <w:rtl/>
        </w:rPr>
        <w:t xml:space="preserve"> هكذا في « ض ، ف ، بر ، بس ، بف »</w:t>
      </w:r>
      <w:r>
        <w:rPr>
          <w:rtl/>
        </w:rPr>
        <w:t>.</w:t>
      </w:r>
      <w:r w:rsidRPr="00132E65">
        <w:rPr>
          <w:rtl/>
        </w:rPr>
        <w:t xml:space="preserve"> وفي سائر النسخ والمطبوع </w:t>
      </w:r>
      <w:r>
        <w:rPr>
          <w:rtl/>
        </w:rPr>
        <w:t xml:space="preserve">: - </w:t>
      </w:r>
      <w:r w:rsidRPr="00132E65">
        <w:rPr>
          <w:rtl/>
        </w:rPr>
        <w:t>« أنّه »</w:t>
      </w:r>
      <w:r>
        <w:rPr>
          <w:rtl/>
        </w:rPr>
        <w:t>.</w:t>
      </w:r>
      <w:r w:rsidRPr="00132E65">
        <w:rPr>
          <w:rtl/>
        </w:rPr>
        <w:t xml:space="preserve"> وفي « بح » و</w:t>
      </w:r>
      <w:r w:rsidRPr="009D1ACE">
        <w:rPr>
          <w:rStyle w:val="libFootnoteBoldChar"/>
          <w:rtl/>
        </w:rPr>
        <w:t>الوافي</w:t>
      </w:r>
      <w:r w:rsidRPr="00132E65">
        <w:rPr>
          <w:rtl/>
        </w:rPr>
        <w:t xml:space="preserve"> </w:t>
      </w:r>
      <w:r>
        <w:rPr>
          <w:rtl/>
        </w:rPr>
        <w:t xml:space="preserve">: - </w:t>
      </w:r>
      <w:r w:rsidR="0006034E">
        <w:rPr>
          <w:rtl/>
        </w:rPr>
        <w:t>«عنه</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هكذا في « ض ، ف ، بر ، بس » والإرشاد. وفي سائر النسخ والمطبوع : « الخضيب »</w:t>
      </w:r>
      <w:r>
        <w:rPr>
          <w:rtl/>
        </w:rPr>
        <w:t>.</w:t>
      </w:r>
    </w:p>
    <w:p w:rsidR="000C39D1" w:rsidRPr="00132E65" w:rsidRDefault="000C39D1" w:rsidP="000C39D1">
      <w:pPr>
        <w:pStyle w:val="libFootnote0"/>
        <w:rPr>
          <w:rtl/>
          <w:lang w:bidi="fa-IR"/>
        </w:rPr>
      </w:pPr>
      <w:r>
        <w:rPr>
          <w:rtl/>
        </w:rPr>
        <w:t>(13)</w:t>
      </w:r>
      <w:r w:rsidRPr="00132E65">
        <w:rPr>
          <w:rtl/>
        </w:rPr>
        <w:t xml:space="preserve"> في الإرشاد : « قال : وألحّ ابن الخصيب في الدار التي كان قد نزلها وطالبه بالانتقال منها وتسليمها إليه ، فبعث‌إليه أبو الحسن </w:t>
      </w:r>
      <w:r w:rsidRPr="005E29CC">
        <w:rPr>
          <w:rStyle w:val="libFootnoteAlaemChar"/>
          <w:rtl/>
        </w:rPr>
        <w:t>عليه‌السلام</w:t>
      </w:r>
      <w:r w:rsidRPr="00132E65">
        <w:rPr>
          <w:rtl/>
        </w:rPr>
        <w:t xml:space="preserve"> » بدل « قال وروي عنه</w:t>
      </w:r>
      <w:r>
        <w:rPr>
          <w:rtl/>
        </w:rPr>
        <w:t xml:space="preserve"> - </w:t>
      </w:r>
      <w:r w:rsidRPr="00132E65">
        <w:rPr>
          <w:rtl/>
        </w:rPr>
        <w:t>إلى</w:t>
      </w:r>
      <w:r>
        <w:rPr>
          <w:rtl/>
        </w:rPr>
        <w:t xml:space="preserve"> - </w:t>
      </w:r>
      <w:r w:rsidRPr="00132E65">
        <w:rPr>
          <w:rtl/>
        </w:rPr>
        <w:t>بعث إليه »</w:t>
      </w:r>
      <w:r>
        <w:rPr>
          <w:rtl/>
        </w:rPr>
        <w:t>.</w:t>
      </w:r>
    </w:p>
    <w:p w:rsidR="000C39D1" w:rsidRPr="00132E65" w:rsidRDefault="000C39D1" w:rsidP="000C39D1">
      <w:pPr>
        <w:pStyle w:val="libFootnote0"/>
        <w:rPr>
          <w:rtl/>
          <w:lang w:bidi="fa-IR"/>
        </w:rPr>
      </w:pPr>
      <w:r>
        <w:rPr>
          <w:rtl/>
        </w:rPr>
        <w:t>(14)</w:t>
      </w:r>
      <w:r w:rsidRPr="00132E65">
        <w:rPr>
          <w:rtl/>
        </w:rPr>
        <w:t xml:space="preserve"> في « ف » : « ما فيه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فَأَخَذَهُ اللهُ</w:t>
      </w:r>
      <w:r>
        <w:rPr>
          <w:rtl/>
          <w:lang w:bidi="fa-IR"/>
        </w:rPr>
        <w:t xml:space="preserve"> - </w:t>
      </w:r>
      <w:r w:rsidRPr="00132E65">
        <w:rPr>
          <w:rtl/>
          <w:lang w:bidi="fa-IR"/>
        </w:rPr>
        <w:t>عَزَّ وجَلَّ</w:t>
      </w:r>
      <w:r>
        <w:rPr>
          <w:rtl/>
          <w:lang w:bidi="fa-IR"/>
        </w:rPr>
        <w:t xml:space="preserve"> - </w:t>
      </w:r>
      <w:r w:rsidRPr="00132E65">
        <w:rPr>
          <w:rtl/>
          <w:lang w:bidi="fa-IR"/>
        </w:rPr>
        <w:t xml:space="preserve">فِي تِلْكَ الْأَيَّامِ.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696E30">
        <w:rPr>
          <w:rtl/>
        </w:rPr>
        <w:t>1327</w:t>
      </w:r>
      <w:r w:rsidRPr="004325D8">
        <w:rPr>
          <w:rStyle w:val="libBold2Char"/>
          <w:rtl/>
        </w:rPr>
        <w:t xml:space="preserve"> / 7.</w:t>
      </w:r>
      <w:r w:rsidRPr="00132E65">
        <w:rPr>
          <w:rtl/>
          <w:lang w:bidi="fa-IR"/>
        </w:rPr>
        <w:t xml:space="preserve"> مُحَمَّدُ بْنُ يَحْيى ، عَنْ بَعْضِ أَصْحَابِنَا ، قَالَ :</w:t>
      </w:r>
    </w:p>
    <w:p w:rsidR="000C39D1" w:rsidRPr="00132E65" w:rsidRDefault="000C39D1" w:rsidP="000C39D1">
      <w:pPr>
        <w:pStyle w:val="libNormal"/>
        <w:rPr>
          <w:rtl/>
          <w:lang w:bidi="fa-IR"/>
        </w:rPr>
      </w:pPr>
      <w:r w:rsidRPr="00132E65">
        <w:rPr>
          <w:rtl/>
          <w:lang w:bidi="fa-IR"/>
        </w:rPr>
        <w:t xml:space="preserve">أَخَذْتُ نُسْخَةَ كِتَابِ الْمُتَوَكِّلِ إِلى أَبِي الْحَسَنِ الثَّالِثِ </w:t>
      </w:r>
      <w:r w:rsidRPr="00071CF9">
        <w:rPr>
          <w:rStyle w:val="libAlaemChar"/>
          <w:rtl/>
        </w:rPr>
        <w:t>عليه‌السلام</w:t>
      </w:r>
      <w:r w:rsidRPr="00132E65">
        <w:rPr>
          <w:rtl/>
          <w:lang w:bidi="fa-IR"/>
        </w:rPr>
        <w:t xml:space="preserve"> مِنْ يَحْيَى بْنِ هَرْثَمَةَ فِي سَنَةِ ثَلَاثٍ وأَرْبَعِينَ ومِائَتَيْنِ ، وهذِهِ نُسْخَتُهُ :</w:t>
      </w:r>
    </w:p>
    <w:p w:rsidR="000C39D1" w:rsidRPr="00132E65" w:rsidRDefault="000C39D1" w:rsidP="000C39D1">
      <w:pPr>
        <w:pStyle w:val="libNormal"/>
        <w:rPr>
          <w:rtl/>
          <w:lang w:bidi="fa-IR"/>
        </w:rPr>
      </w:pPr>
      <w:r w:rsidRPr="00132E65">
        <w:rPr>
          <w:rtl/>
          <w:lang w:bidi="fa-IR"/>
        </w:rPr>
        <w:t xml:space="preserve">بِسْمِ اللهِ الرَّحْمنِ الرَّحِيمِ ؛ أَمَّا بَعْدُ ، فَإِنَّ أَمِيرَ الْمُؤْمِنِينَ عَارِفٌ بِقَدْرِكَ ، رَاعٍ لِقَرَابَتِكَ ، مُوجِبٌ لِحَقِّكَ ، يُقَدِّرُ مِنَ الْأُمُورِ فِيكَ وفِي أَهْلِ بَيْتِكَ مَا أَصْلَحَ اللهُ بِهِ حَالَكَ وَحَالَهُمْ ، وثَبَّتَ </w:t>
      </w:r>
      <w:r>
        <w:rPr>
          <w:rStyle w:val="libFootnotenumChar"/>
          <w:rtl/>
        </w:rPr>
        <w:t>(2)</w:t>
      </w:r>
      <w:r w:rsidRPr="00132E65">
        <w:rPr>
          <w:rtl/>
          <w:lang w:bidi="fa-IR"/>
        </w:rPr>
        <w:t xml:space="preserve"> بِهِ عِزَّكَ وعِزَّهُمْ ، وأَدْخَلَ الْيُمْنَ والْأَمْنَ عَلَيْكَ وعَلَيْهِمْ ، يَبْتَغِي بِذلِكَ رِضَاءَ رَبِّهِ وأَدَاءَ مَا افْتُرِضَ عَلَيْهِ فِيكَ وفِيهِمْ ، وقَدْ رَأَى أَمِيرُ الْمُؤْمِنِينَ صَرْفَ عَبْدِ اللهِ بْنِ م</w:t>
      </w:r>
      <w:r w:rsidR="009F4E7B">
        <w:rPr>
          <w:rtl/>
          <w:lang w:bidi="fa-IR"/>
        </w:rPr>
        <w:t>ُحَمَّدٍ عَمَّا كَانَ يَتَوَل</w:t>
      </w:r>
      <w:r w:rsidR="009F4E7B">
        <w:rPr>
          <w:rFonts w:hint="cs"/>
          <w:rtl/>
          <w:lang w:bidi="fa-IR"/>
        </w:rPr>
        <w:t>َّ</w:t>
      </w:r>
      <w:r w:rsidR="009F4E7B">
        <w:rPr>
          <w:rtl/>
          <w:lang w:bidi="fa-IR"/>
        </w:rPr>
        <w:t>ا</w:t>
      </w:r>
      <w:r w:rsidRPr="00132E65">
        <w:rPr>
          <w:rtl/>
          <w:lang w:bidi="fa-IR"/>
        </w:rPr>
        <w:t xml:space="preserve">هُ مِنَ الْحَرْبِ والصَّلَاةِ بِمَدِينَةِ رَسُولِ اللهِ </w:t>
      </w:r>
      <w:r w:rsidRPr="0093484F">
        <w:rPr>
          <w:rStyle w:val="libAlaemChar"/>
          <w:rFonts w:eastAsiaTheme="minorHAnsi"/>
          <w:rtl/>
        </w:rPr>
        <w:t>صلى‌الله‌عليه‌وآله</w:t>
      </w:r>
      <w:r w:rsidRPr="00132E65">
        <w:rPr>
          <w:rtl/>
          <w:lang w:bidi="fa-IR"/>
        </w:rPr>
        <w:t xml:space="preserve"> ؛ إِذْ </w:t>
      </w:r>
      <w:r>
        <w:rPr>
          <w:rStyle w:val="libFootnotenumChar"/>
          <w:rtl/>
        </w:rPr>
        <w:t>(3)</w:t>
      </w:r>
      <w:r w:rsidRPr="00132E65">
        <w:rPr>
          <w:rtl/>
          <w:lang w:bidi="fa-IR"/>
        </w:rPr>
        <w:t xml:space="preserve"> كَانَ عَلى مَا ذَكَرْتَ مِنْ جَهَالَتِهِ بِحَقِّكَ ، واسْتِخْفَافِهِ بِقَدْرِكَ ، وعِنْدَ مَا </w:t>
      </w:r>
      <w:r>
        <w:rPr>
          <w:rStyle w:val="libFootnotenumChar"/>
          <w:rtl/>
        </w:rPr>
        <w:t>(4)</w:t>
      </w:r>
      <w:r w:rsidRPr="00132E65">
        <w:rPr>
          <w:rtl/>
          <w:lang w:bidi="fa-IR"/>
        </w:rPr>
        <w:t xml:space="preserve"> قَرَفَكَ </w:t>
      </w:r>
      <w:r>
        <w:rPr>
          <w:rStyle w:val="libFootnotenumChar"/>
          <w:rtl/>
        </w:rPr>
        <w:t>(5)</w:t>
      </w:r>
      <w:r w:rsidRPr="00132E65">
        <w:rPr>
          <w:rtl/>
          <w:lang w:bidi="fa-IR"/>
        </w:rPr>
        <w:t xml:space="preserve"> بِهِ ، وَنَسَبَكَ إِلَيْهِ مِنَ الْأَمْرِ الَّذِي </w:t>
      </w:r>
      <w:r>
        <w:rPr>
          <w:rStyle w:val="libFootnotenumChar"/>
          <w:rtl/>
        </w:rPr>
        <w:t>(6)</w:t>
      </w:r>
      <w:r w:rsidRPr="00132E65">
        <w:rPr>
          <w:rtl/>
          <w:lang w:bidi="fa-IR"/>
        </w:rPr>
        <w:t xml:space="preserve"> قَدْ عَلِمَ </w:t>
      </w:r>
      <w:r>
        <w:rPr>
          <w:rStyle w:val="libFootnotenumChar"/>
          <w:rtl/>
        </w:rPr>
        <w:t>(7)</w:t>
      </w:r>
      <w:r w:rsidRPr="00132E65">
        <w:rPr>
          <w:rtl/>
          <w:lang w:bidi="fa-IR"/>
        </w:rPr>
        <w:t xml:space="preserve"> أَمِيرُ الْمُؤْمِنِينَ بَرَاءَتَكَ مِنْهُ ، وصِدْقَ نِيَّتِكَ فِي تَرْكِ مُحَاوَلَتِهِ ، وأَنَّكَ لَمْ تُؤَهِّلْ </w:t>
      </w:r>
      <w:r>
        <w:rPr>
          <w:rStyle w:val="libFootnotenumChar"/>
          <w:rtl/>
        </w:rPr>
        <w:t>(8)</w:t>
      </w:r>
      <w:r w:rsidRPr="00132E65">
        <w:rPr>
          <w:rtl/>
          <w:lang w:bidi="fa-IR"/>
        </w:rPr>
        <w:t xml:space="preserve"> نَفْسَكَ لَهُ ، و</w:t>
      </w:r>
      <w:r w:rsidR="009F4E7B">
        <w:rPr>
          <w:rFonts w:hint="cs"/>
          <w:rtl/>
          <w:lang w:bidi="fa-IR"/>
        </w:rPr>
        <w:t>َ</w:t>
      </w:r>
      <w:r w:rsidRPr="00132E65">
        <w:rPr>
          <w:rtl/>
          <w:lang w:bidi="fa-IR"/>
        </w:rPr>
        <w:t>قَدْ و</w:t>
      </w:r>
      <w:r w:rsidR="009F4E7B">
        <w:rPr>
          <w:rFonts w:hint="cs"/>
          <w:rtl/>
          <w:lang w:bidi="fa-IR"/>
        </w:rPr>
        <w:t>َ</w:t>
      </w:r>
      <w:r w:rsidRPr="00132E65">
        <w:rPr>
          <w:rtl/>
          <w:lang w:bidi="fa-IR"/>
        </w:rPr>
        <w:t>لّى أَمِيرُ الْمُؤْمِنِينَ مَا كَانَ يَلِي مِنْ ذلِكَ مُحَمَّدَ بْنَ الْفَضْلِ ، وأَمَرَهُ بِإِكْرَامِكَ وتَبْجِيلِكَ ، والِانْتِهَاءِ إِلى أَمْرِكَ ورَأْيِكَ ، وَالتَّقَرُّبِ إِلَى اللهِ وإِلى أَمِيرِ الْمُؤْمِنِينَ بِذلِكَ ، وأَمِيرُ الْمُؤْمِنِينَ مُشْتَاقٌ إِلَيْكَ ، يُحِبُّ‌</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9F4E7B">
      <w:pPr>
        <w:pStyle w:val="libFootnote0"/>
        <w:rPr>
          <w:rtl/>
          <w:lang w:bidi="fa-IR"/>
        </w:rPr>
      </w:pPr>
      <w:r>
        <w:rPr>
          <w:rtl/>
        </w:rPr>
        <w:t>(1).</w:t>
      </w:r>
      <w:r w:rsidRPr="00132E65">
        <w:rPr>
          <w:rtl/>
        </w:rPr>
        <w:t xml:space="preserve"> </w:t>
      </w:r>
      <w:r w:rsidRPr="00696E30">
        <w:rPr>
          <w:rtl/>
        </w:rPr>
        <w:t>الإرشاد</w:t>
      </w:r>
      <w:r w:rsidRPr="00132E65">
        <w:rPr>
          <w:rtl/>
        </w:rPr>
        <w:t xml:space="preserve"> ، ج 2 ، ص 305 ، بسنده عن أبي يعقوب ، مع اختلاف يسير</w:t>
      </w:r>
      <w:r w:rsidR="009F4E7B">
        <w:rPr>
          <w:rFonts w:hint="cs"/>
          <w:rtl/>
        </w:rPr>
        <w:t>.</w:t>
      </w:r>
      <w:r w:rsidRPr="009D1ACE">
        <w:rPr>
          <w:rStyle w:val="libFootnoteBoldChar"/>
          <w:rtl/>
        </w:rPr>
        <w:t>الوافي</w:t>
      </w:r>
      <w:r w:rsidRPr="00132E65">
        <w:rPr>
          <w:rtl/>
        </w:rPr>
        <w:t xml:space="preserve"> ، ج 3 ، ص 838 ، ح 1451.</w:t>
      </w:r>
    </w:p>
    <w:p w:rsidR="000C39D1" w:rsidRPr="00132E65" w:rsidRDefault="000C39D1" w:rsidP="009F4E7B">
      <w:pPr>
        <w:pStyle w:val="libFootnote0"/>
        <w:rPr>
          <w:rtl/>
          <w:lang w:bidi="fa-IR"/>
        </w:rPr>
      </w:pPr>
      <w:r>
        <w:rPr>
          <w:rtl/>
        </w:rPr>
        <w:t>(2).</w:t>
      </w:r>
      <w:r w:rsidRPr="00132E65">
        <w:rPr>
          <w:rtl/>
        </w:rPr>
        <w:t xml:space="preserve"> في « بف » : « وتثبت »</w:t>
      </w:r>
      <w:r>
        <w:rPr>
          <w:rtl/>
        </w:rPr>
        <w:t>.</w:t>
      </w:r>
      <w:r w:rsidRPr="00132E65">
        <w:rPr>
          <w:rtl/>
        </w:rPr>
        <w:t xml:space="preserve"> وفي </w:t>
      </w:r>
      <w:r w:rsidRPr="009D1ACE">
        <w:rPr>
          <w:rStyle w:val="libFootnoteBoldChar"/>
          <w:rtl/>
        </w:rPr>
        <w:t>مرآة العقول</w:t>
      </w:r>
      <w:r w:rsidRPr="00132E65">
        <w:rPr>
          <w:rtl/>
        </w:rPr>
        <w:t xml:space="preserve"> : « وثبت ، عطف على « أصلح » على المجرّد ؛ أو على التفعيل ، فالضميرلله »</w:t>
      </w:r>
      <w:r>
        <w:rPr>
          <w:rtl/>
        </w:rPr>
        <w:t>.</w:t>
      </w:r>
      <w:r w:rsidR="009F4E7B">
        <w:rPr>
          <w:rFonts w:hint="cs"/>
          <w:rtl/>
        </w:rPr>
        <w:t xml:space="preserve">                                               </w:t>
      </w:r>
      <w:r>
        <w:rPr>
          <w:rtl/>
        </w:rPr>
        <w:t>(3).</w:t>
      </w:r>
      <w:r w:rsidRPr="00132E65">
        <w:rPr>
          <w:rtl/>
        </w:rPr>
        <w:t xml:space="preserve"> في « ج ، بر ، بف » وحاشية « بس » : « إذا »</w:t>
      </w:r>
      <w:r>
        <w:rPr>
          <w:rtl/>
        </w:rPr>
        <w:t>.</w:t>
      </w:r>
    </w:p>
    <w:p w:rsidR="000C39D1" w:rsidRPr="00132E65" w:rsidRDefault="000C39D1" w:rsidP="000C39D1">
      <w:pPr>
        <w:pStyle w:val="libFootnote0"/>
        <w:rPr>
          <w:rtl/>
          <w:lang w:bidi="fa-IR"/>
        </w:rPr>
      </w:pPr>
      <w:r>
        <w:rPr>
          <w:rtl/>
        </w:rPr>
        <w:t>(4).</w:t>
      </w:r>
      <w:r w:rsidRPr="00132E65">
        <w:rPr>
          <w:rtl/>
        </w:rPr>
        <w:t xml:space="preserve"> في « ج » : « عندنا ما »</w:t>
      </w:r>
      <w:r>
        <w:rPr>
          <w:rtl/>
        </w:rPr>
        <w:t>.</w:t>
      </w:r>
      <w:r w:rsidRPr="00132E65">
        <w:rPr>
          <w:rtl/>
        </w:rPr>
        <w:t xml:space="preserve"> وفي « ف ، بس » : « عندنا » بدون « ما »</w:t>
      </w:r>
      <w:r>
        <w:rPr>
          <w:rtl/>
        </w:rPr>
        <w:t>.</w:t>
      </w:r>
      <w:r w:rsidRPr="00132E65">
        <w:rPr>
          <w:rtl/>
        </w:rPr>
        <w:t xml:space="preserve"> وفي </w:t>
      </w:r>
      <w:r w:rsidRPr="009D1ACE">
        <w:rPr>
          <w:rStyle w:val="libFootnoteBoldChar"/>
          <w:rtl/>
        </w:rPr>
        <w:t>مرآة العقول</w:t>
      </w:r>
      <w:r w:rsidRPr="00132E65">
        <w:rPr>
          <w:rtl/>
        </w:rPr>
        <w:t xml:space="preserve"> : « وعند ، عطف على إذ كان ، وربّمايقرأ عَنَد بصيغة الماضي عطفاً على كان ، وهو تكلّف »</w:t>
      </w:r>
      <w:r>
        <w:rPr>
          <w:rtl/>
        </w:rPr>
        <w:t>.</w:t>
      </w:r>
    </w:p>
    <w:p w:rsidR="000C39D1" w:rsidRPr="00132E65" w:rsidRDefault="000C39D1" w:rsidP="000C39D1">
      <w:pPr>
        <w:pStyle w:val="libFootnote0"/>
        <w:rPr>
          <w:rtl/>
          <w:lang w:bidi="fa-IR"/>
        </w:rPr>
      </w:pPr>
      <w:r>
        <w:rPr>
          <w:rtl/>
        </w:rPr>
        <w:t>(5).</w:t>
      </w:r>
      <w:r w:rsidRPr="00132E65">
        <w:rPr>
          <w:rtl/>
        </w:rPr>
        <w:t xml:space="preserve"> في « ف » : « قرّفك » بالتشديد. وفي « بس » : « فرقك »</w:t>
      </w:r>
      <w:r>
        <w:rPr>
          <w:rtl/>
        </w:rPr>
        <w:t>.</w:t>
      </w:r>
      <w:r w:rsidRPr="00132E65">
        <w:rPr>
          <w:rtl/>
        </w:rPr>
        <w:t xml:space="preserve"> وفي « بح » وحاشية « ض » : « قرنك »</w:t>
      </w:r>
      <w:r>
        <w:rPr>
          <w:rtl/>
        </w:rPr>
        <w:t>.</w:t>
      </w:r>
      <w:r w:rsidRPr="00132E65">
        <w:rPr>
          <w:rtl/>
        </w:rPr>
        <w:t xml:space="preserve"> وقوله : « قرفك به » ، أي أضافه إليك واتّهمك به. يقال : قَرَفَهُ بكذا ، أي أضافه إليه واتّهمه به. راجع : </w:t>
      </w:r>
      <w:r w:rsidRPr="00696E30">
        <w:rPr>
          <w:rtl/>
        </w:rPr>
        <w:t>النهاية</w:t>
      </w:r>
      <w:r w:rsidRPr="00132E65">
        <w:rPr>
          <w:rtl/>
        </w:rPr>
        <w:t xml:space="preserve"> ، ج 4 ، ص 45 ( قرف )</w:t>
      </w:r>
      <w:r>
        <w:rPr>
          <w:rtl/>
        </w:rPr>
        <w:t>.</w:t>
      </w:r>
    </w:p>
    <w:p w:rsidR="000C39D1" w:rsidRPr="00132E65" w:rsidRDefault="000C39D1" w:rsidP="000C39D1">
      <w:pPr>
        <w:pStyle w:val="libFootnote0"/>
        <w:rPr>
          <w:rtl/>
          <w:lang w:bidi="fa-IR"/>
        </w:rPr>
      </w:pPr>
      <w:r>
        <w:rPr>
          <w:rtl/>
        </w:rPr>
        <w:t>(6).</w:t>
      </w:r>
      <w:r w:rsidRPr="00132E65">
        <w:rPr>
          <w:rtl/>
        </w:rPr>
        <w:t xml:space="preserve"> في « ب ، بر ، بف » وحاشية « ج ، ض » وشرح المازندراني و</w:t>
      </w:r>
      <w:r w:rsidRPr="009D1ACE">
        <w:rPr>
          <w:rStyle w:val="libFootnoteBoldChar"/>
          <w:rtl/>
        </w:rPr>
        <w:t>الوافي</w:t>
      </w:r>
      <w:r w:rsidRPr="00132E65">
        <w:rPr>
          <w:rtl/>
        </w:rPr>
        <w:t xml:space="preserve"> : « من الا</w:t>
      </w:r>
      <w:r w:rsidR="009F4E7B">
        <w:rPr>
          <w:rFonts w:hint="cs"/>
          <w:rtl/>
        </w:rPr>
        <w:t>ُ</w:t>
      </w:r>
      <w:r w:rsidRPr="00132E65">
        <w:rPr>
          <w:rtl/>
        </w:rPr>
        <w:t>مور التي »</w:t>
      </w:r>
      <w:r>
        <w:rPr>
          <w:rtl/>
        </w:rPr>
        <w:t>.</w:t>
      </w:r>
    </w:p>
    <w:tbl>
      <w:tblPr>
        <w:tblStyle w:val="TableGrid"/>
        <w:bidiVisual/>
        <w:tblW w:w="0" w:type="auto"/>
        <w:tblLook w:val="04A0" w:firstRow="1" w:lastRow="0" w:firstColumn="1" w:lastColumn="0" w:noHBand="0" w:noVBand="1"/>
      </w:tblPr>
      <w:tblGrid>
        <w:gridCol w:w="4261"/>
        <w:gridCol w:w="4262"/>
      </w:tblGrid>
      <w:tr w:rsidR="009F4E7B" w:rsidTr="009F4E7B">
        <w:tc>
          <w:tcPr>
            <w:tcW w:w="4261" w:type="dxa"/>
          </w:tcPr>
          <w:p w:rsidR="009F4E7B" w:rsidRDefault="009F4E7B" w:rsidP="000C39D1">
            <w:pPr>
              <w:pStyle w:val="libFootnote0"/>
              <w:rPr>
                <w:rtl/>
              </w:rPr>
            </w:pPr>
            <w:r>
              <w:rPr>
                <w:rtl/>
              </w:rPr>
              <w:t>(7).</w:t>
            </w:r>
            <w:r w:rsidRPr="00132E65">
              <w:rPr>
                <w:rtl/>
              </w:rPr>
              <w:t xml:space="preserve"> في « بر » :</w:t>
            </w:r>
            <w:r>
              <w:rPr>
                <w:rtl/>
              </w:rPr>
              <w:t xml:space="preserve"> + </w:t>
            </w:r>
            <w:r w:rsidRPr="00132E65">
              <w:rPr>
                <w:rtl/>
              </w:rPr>
              <w:t>« به »</w:t>
            </w:r>
            <w:r>
              <w:rPr>
                <w:rtl/>
              </w:rPr>
              <w:t>.</w:t>
            </w:r>
          </w:p>
        </w:tc>
        <w:tc>
          <w:tcPr>
            <w:tcW w:w="4262" w:type="dxa"/>
          </w:tcPr>
          <w:p w:rsidR="009F4E7B" w:rsidRDefault="009F4E7B" w:rsidP="000C39D1">
            <w:pPr>
              <w:pStyle w:val="libFootnote0"/>
              <w:rPr>
                <w:rtl/>
              </w:rPr>
            </w:pPr>
            <w:r>
              <w:rPr>
                <w:rtl/>
              </w:rPr>
              <w:t>(8).</w:t>
            </w:r>
            <w:r w:rsidRPr="00132E65">
              <w:rPr>
                <w:rtl/>
              </w:rPr>
              <w:t xml:space="preserve"> في حاشية « بر » : « لم توصل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إِحْدَاثَ الْعَهْدِ </w:t>
      </w:r>
      <w:r>
        <w:rPr>
          <w:rStyle w:val="libFootnotenumChar"/>
          <w:rtl/>
        </w:rPr>
        <w:t>(1)</w:t>
      </w:r>
      <w:r w:rsidRPr="00132E65">
        <w:rPr>
          <w:rtl/>
          <w:lang w:bidi="fa-IR"/>
        </w:rPr>
        <w:t xml:space="preserve"> بِكَ ، والنَّظَرَ إِلَيْكَ ، فَإِنْ </w:t>
      </w:r>
      <w:r>
        <w:rPr>
          <w:rStyle w:val="libFootnotenumChar"/>
          <w:rtl/>
        </w:rPr>
        <w:t>(2)</w:t>
      </w:r>
      <w:r w:rsidRPr="00132E65">
        <w:rPr>
          <w:rtl/>
          <w:lang w:bidi="fa-IR"/>
        </w:rPr>
        <w:t xml:space="preserve"> نَشِطْتَ لِزِيَارَتِهِ </w:t>
      </w:r>
      <w:r>
        <w:rPr>
          <w:rStyle w:val="libFootnotenumChar"/>
          <w:rtl/>
        </w:rPr>
        <w:t>(3)</w:t>
      </w:r>
      <w:r w:rsidRPr="00132E65">
        <w:rPr>
          <w:rtl/>
          <w:lang w:bidi="fa-IR"/>
        </w:rPr>
        <w:t xml:space="preserve"> والْمُقَامِ قِبَلَهُ مَا رَأَيْتَ </w:t>
      </w:r>
      <w:r>
        <w:rPr>
          <w:rStyle w:val="libFootnotenumChar"/>
          <w:rtl/>
        </w:rPr>
        <w:t>(4)</w:t>
      </w:r>
      <w:r w:rsidRPr="00132E65">
        <w:rPr>
          <w:rtl/>
          <w:lang w:bidi="fa-IR"/>
        </w:rPr>
        <w:t xml:space="preserve"> ، شَخَصْتَ </w:t>
      </w:r>
      <w:r>
        <w:rPr>
          <w:rStyle w:val="libFootnotenumChar"/>
          <w:rtl/>
        </w:rPr>
        <w:t>(5)</w:t>
      </w:r>
      <w:r w:rsidRPr="00132E65">
        <w:rPr>
          <w:rtl/>
          <w:lang w:bidi="fa-IR"/>
        </w:rPr>
        <w:t xml:space="preserve"> ومَنْ أَحْبَبْتَ مِنْ أَهْلِ بَيْتِكَ و</w:t>
      </w:r>
      <w:r w:rsidR="006A596C">
        <w:rPr>
          <w:rFonts w:hint="cs"/>
          <w:rtl/>
          <w:lang w:bidi="fa-IR"/>
        </w:rPr>
        <w:t>َ</w:t>
      </w:r>
      <w:r w:rsidRPr="00132E65">
        <w:rPr>
          <w:rtl/>
          <w:lang w:bidi="fa-IR"/>
        </w:rPr>
        <w:t>مَوَالِيكَ و</w:t>
      </w:r>
      <w:r w:rsidR="006A596C">
        <w:rPr>
          <w:rFonts w:hint="cs"/>
          <w:rtl/>
          <w:lang w:bidi="fa-IR"/>
        </w:rPr>
        <w:t>َ</w:t>
      </w:r>
      <w:r w:rsidRPr="00132E65">
        <w:rPr>
          <w:rtl/>
          <w:lang w:bidi="fa-IR"/>
        </w:rPr>
        <w:t xml:space="preserve">حَشَمِكَ </w:t>
      </w:r>
      <w:r>
        <w:rPr>
          <w:rStyle w:val="libFootnotenumChar"/>
          <w:rtl/>
        </w:rPr>
        <w:t>(6)</w:t>
      </w:r>
      <w:r w:rsidRPr="00132E65">
        <w:rPr>
          <w:rtl/>
          <w:lang w:bidi="fa-IR"/>
        </w:rPr>
        <w:t xml:space="preserve"> عَلى مُهْلَةٍ وطُمَأْنِينَةٍ ، تَرْحَلُ </w:t>
      </w:r>
      <w:r>
        <w:rPr>
          <w:rStyle w:val="libFootnotenumChar"/>
          <w:rtl/>
        </w:rPr>
        <w:t>(7)</w:t>
      </w:r>
      <w:r w:rsidRPr="00132E65">
        <w:rPr>
          <w:rtl/>
          <w:lang w:bidi="fa-IR"/>
        </w:rPr>
        <w:t xml:space="preserve"> إِذَا شِئْتَ ، وتَنْزِلُ إِذَا شِئْتَ ، وتَسِيرُ كَيْفَ شِئْتَ ، وإِنْ </w:t>
      </w:r>
      <w:r>
        <w:rPr>
          <w:rStyle w:val="libFootnotenumChar"/>
          <w:rtl/>
        </w:rPr>
        <w:t>(8)</w:t>
      </w:r>
      <w:r w:rsidRPr="00132E65">
        <w:rPr>
          <w:rtl/>
          <w:lang w:bidi="fa-IR"/>
        </w:rPr>
        <w:t xml:space="preserve"> أَحْبَبْتَ أَنْ يَكُونَ يَحْيَى بْنُ هَرْثَمَةَ مَوْلَى أَمِيرِ الْمُؤْمِنِينَ و</w:t>
      </w:r>
      <w:r w:rsidR="006A596C">
        <w:rPr>
          <w:rFonts w:hint="cs"/>
          <w:rtl/>
          <w:lang w:bidi="fa-IR"/>
        </w:rPr>
        <w:t xml:space="preserve">َ </w:t>
      </w:r>
      <w:r w:rsidRPr="00132E65">
        <w:rPr>
          <w:rtl/>
          <w:lang w:bidi="fa-IR"/>
        </w:rPr>
        <w:t xml:space="preserve">مَنْ مَعَهُ مِنَ الْجُنْدِ مُشَيِّعِينَ لَكَ ، يَرْحَلُونَ </w:t>
      </w:r>
      <w:r>
        <w:rPr>
          <w:rStyle w:val="libFootnotenumChar"/>
          <w:rtl/>
        </w:rPr>
        <w:t>(9)</w:t>
      </w:r>
      <w:r w:rsidRPr="00132E65">
        <w:rPr>
          <w:rtl/>
          <w:lang w:bidi="fa-IR"/>
        </w:rPr>
        <w:t xml:space="preserve"> بِرَحِيلِكَ </w:t>
      </w:r>
      <w:r>
        <w:rPr>
          <w:rStyle w:val="libFootnotenumChar"/>
          <w:rtl/>
        </w:rPr>
        <w:t>(10)</w:t>
      </w:r>
      <w:r w:rsidRPr="00132E65">
        <w:rPr>
          <w:rtl/>
          <w:lang w:bidi="fa-IR"/>
        </w:rPr>
        <w:t xml:space="preserve"> ، ويَسِيرُونَ بِسَيْرِكَ ، فَالْأَمْرُ </w:t>
      </w:r>
      <w:r>
        <w:rPr>
          <w:rStyle w:val="libFootnotenumChar"/>
          <w:rtl/>
        </w:rPr>
        <w:t>(11)</w:t>
      </w:r>
      <w:r w:rsidRPr="00132E65">
        <w:rPr>
          <w:rtl/>
          <w:lang w:bidi="fa-IR"/>
        </w:rPr>
        <w:t xml:space="preserve"> فِي ذلِكَ إِلَيْكَ حَتّى تُوَافِيَ أَمِيرَ الْمُؤْمِنِينَ ، </w:t>
      </w:r>
      <w:r w:rsidR="006A596C">
        <w:rPr>
          <w:rtl/>
          <w:lang w:bidi="fa-IR"/>
        </w:rPr>
        <w:t>فَمَا أَحَدٌ مِنْ إِخْوَتِهِ و</w:t>
      </w:r>
      <w:r w:rsidR="006A596C">
        <w:rPr>
          <w:rFonts w:hint="cs"/>
          <w:rtl/>
          <w:lang w:bidi="fa-IR"/>
        </w:rPr>
        <w:t xml:space="preserve">َ </w:t>
      </w:r>
      <w:r w:rsidR="006A596C">
        <w:rPr>
          <w:rtl/>
          <w:lang w:bidi="fa-IR"/>
        </w:rPr>
        <w:t>و</w:t>
      </w:r>
      <w:r w:rsidR="006A596C">
        <w:rPr>
          <w:rFonts w:hint="cs"/>
          <w:rtl/>
          <w:lang w:bidi="fa-IR"/>
        </w:rPr>
        <w:t>ُ</w:t>
      </w:r>
      <w:r w:rsidRPr="00132E65">
        <w:rPr>
          <w:rtl/>
          <w:lang w:bidi="fa-IR"/>
        </w:rPr>
        <w:t>لْدِهِ و</w:t>
      </w:r>
      <w:r w:rsidR="006A596C">
        <w:rPr>
          <w:rFonts w:hint="cs"/>
          <w:rtl/>
          <w:lang w:bidi="fa-IR"/>
        </w:rPr>
        <w:t xml:space="preserve">َ </w:t>
      </w:r>
      <w:r w:rsidRPr="00132E65">
        <w:rPr>
          <w:rtl/>
          <w:lang w:bidi="fa-IR"/>
        </w:rPr>
        <w:t>أَهْلِ بَيْتِهِ و</w:t>
      </w:r>
      <w:r w:rsidR="006A596C">
        <w:rPr>
          <w:rFonts w:hint="cs"/>
          <w:rtl/>
          <w:lang w:bidi="fa-IR"/>
        </w:rPr>
        <w:t xml:space="preserve">َ </w:t>
      </w:r>
      <w:r w:rsidRPr="00132E65">
        <w:rPr>
          <w:rtl/>
          <w:lang w:bidi="fa-IR"/>
        </w:rPr>
        <w:t>خَاصَّتِهِ أَلْطَفَ مِنْهُ مَنْزِلَةً ، و</w:t>
      </w:r>
      <w:r w:rsidR="006A596C">
        <w:rPr>
          <w:rFonts w:hint="cs"/>
          <w:rtl/>
          <w:lang w:bidi="fa-IR"/>
        </w:rPr>
        <w:t xml:space="preserve">َ </w:t>
      </w:r>
      <w:r w:rsidRPr="00132E65">
        <w:rPr>
          <w:rtl/>
          <w:lang w:bidi="fa-IR"/>
        </w:rPr>
        <w:t>لَا</w:t>
      </w:r>
      <w:r>
        <w:rPr>
          <w:rFonts w:hint="cs"/>
          <w:rtl/>
          <w:lang w:bidi="fa-IR"/>
        </w:rPr>
        <w:t xml:space="preserve"> </w:t>
      </w:r>
      <w:r w:rsidRPr="00132E65">
        <w:rPr>
          <w:rtl/>
          <w:lang w:bidi="fa-IR"/>
        </w:rPr>
        <w:t xml:space="preserve">أَحْمَدَ </w:t>
      </w:r>
      <w:r>
        <w:rPr>
          <w:rStyle w:val="libFootnotenumChar"/>
          <w:rtl/>
        </w:rPr>
        <w:t>(12)</w:t>
      </w:r>
      <w:r w:rsidRPr="00132E65">
        <w:rPr>
          <w:rtl/>
          <w:lang w:bidi="fa-IR"/>
        </w:rPr>
        <w:t xml:space="preserve"> لَهُ أُثْرَةً </w:t>
      </w:r>
      <w:r w:rsidRPr="00F543F1">
        <w:rPr>
          <w:rStyle w:val="libFootnotenumChar"/>
          <w:rtl/>
        </w:rPr>
        <w:t>(13)</w:t>
      </w:r>
      <w:r w:rsidRPr="00132E65">
        <w:rPr>
          <w:rtl/>
          <w:lang w:bidi="fa-IR"/>
        </w:rPr>
        <w:t xml:space="preserve"> ، و</w:t>
      </w:r>
      <w:r w:rsidR="006A596C">
        <w:rPr>
          <w:rFonts w:hint="cs"/>
          <w:rtl/>
          <w:lang w:bidi="fa-IR"/>
        </w:rPr>
        <w:t xml:space="preserve">َ </w:t>
      </w:r>
      <w:r w:rsidRPr="00132E65">
        <w:rPr>
          <w:rtl/>
          <w:lang w:bidi="fa-IR"/>
        </w:rPr>
        <w:t>لَا</w:t>
      </w:r>
      <w:r w:rsidR="001416A8">
        <w:rPr>
          <w:rFonts w:hint="cs"/>
          <w:rtl/>
          <w:lang w:bidi="fa-IR"/>
        </w:rPr>
        <w:t xml:space="preserve"> </w:t>
      </w:r>
      <w:r w:rsidRPr="00132E65">
        <w:rPr>
          <w:rtl/>
          <w:lang w:bidi="fa-IR"/>
        </w:rPr>
        <w:t>هُوَ لَهُمْ أَنْظَرَ ، وعَلَيْهِمْ أَشْفَقَ ، و</w:t>
      </w:r>
      <w:r w:rsidR="001416A8">
        <w:rPr>
          <w:rFonts w:hint="cs"/>
          <w:rtl/>
          <w:lang w:bidi="fa-IR"/>
        </w:rPr>
        <w:t xml:space="preserve">َ </w:t>
      </w:r>
      <w:r w:rsidRPr="00132E65">
        <w:rPr>
          <w:rtl/>
          <w:lang w:bidi="fa-IR"/>
        </w:rPr>
        <w:t>بِهِمْ أَبَرَّ ، و</w:t>
      </w:r>
      <w:r w:rsidR="001416A8">
        <w:rPr>
          <w:rFonts w:hint="cs"/>
          <w:rtl/>
          <w:lang w:bidi="fa-IR"/>
        </w:rPr>
        <w:t xml:space="preserve">َ </w:t>
      </w:r>
      <w:r w:rsidRPr="00132E65">
        <w:rPr>
          <w:rtl/>
          <w:lang w:bidi="fa-IR"/>
        </w:rPr>
        <w:t xml:space="preserve">إِلَيْهِمْ أَسْكَنَ مِنْهُ إِلَيْكَ </w:t>
      </w:r>
      <w:r w:rsidRPr="00F543F1">
        <w:rPr>
          <w:rStyle w:val="libFootnotenumChar"/>
          <w:rtl/>
        </w:rPr>
        <w:t>(14)</w:t>
      </w:r>
      <w:r w:rsidRPr="00132E65">
        <w:rPr>
          <w:rtl/>
          <w:lang w:bidi="fa-IR"/>
        </w:rPr>
        <w:t xml:space="preserve"> إِنْ شَاءَ اللهُ تَعَالى ، و</w:t>
      </w:r>
      <w:r w:rsidR="001416A8">
        <w:rPr>
          <w:rFonts w:hint="cs"/>
          <w:rtl/>
          <w:lang w:bidi="fa-IR"/>
        </w:rPr>
        <w:t xml:space="preserve">َ </w:t>
      </w:r>
      <w:r w:rsidRPr="00132E65">
        <w:rPr>
          <w:rtl/>
          <w:lang w:bidi="fa-IR"/>
        </w:rPr>
        <w:t>السَّلَامُ عَلَيْكَ و</w:t>
      </w:r>
      <w:r w:rsidR="001416A8">
        <w:rPr>
          <w:rFonts w:hint="cs"/>
          <w:rtl/>
          <w:lang w:bidi="fa-IR"/>
        </w:rPr>
        <w:t xml:space="preserve">َ </w:t>
      </w:r>
      <w:r w:rsidRPr="00132E65">
        <w:rPr>
          <w:rtl/>
          <w:lang w:bidi="fa-IR"/>
        </w:rPr>
        <w:t>رَحْمَةُ اللهِ و</w:t>
      </w:r>
      <w:r w:rsidR="001416A8">
        <w:rPr>
          <w:rFonts w:hint="cs"/>
          <w:rtl/>
          <w:lang w:bidi="fa-IR"/>
        </w:rPr>
        <w:t xml:space="preserve">َ </w:t>
      </w:r>
      <w:r w:rsidRPr="00132E65">
        <w:rPr>
          <w:rtl/>
          <w:lang w:bidi="fa-IR"/>
        </w:rPr>
        <w:t>بَرَكَاتُهُ. و</w:t>
      </w:r>
      <w:r w:rsidR="001416A8">
        <w:rPr>
          <w:rFonts w:hint="cs"/>
          <w:rtl/>
          <w:lang w:bidi="fa-IR"/>
        </w:rPr>
        <w:t xml:space="preserve">َ </w:t>
      </w:r>
      <w:r w:rsidRPr="00132E65">
        <w:rPr>
          <w:rtl/>
          <w:lang w:bidi="fa-IR"/>
        </w:rPr>
        <w:t xml:space="preserve">كَتَبَ إِبْرَاهِيمُ بْنُ الْعَبَّاسِ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العهد » : اللقاء. يقال : عَهِدْتُهُ بمكان كذا : لقيته ، وعهدي به قريب ، أي لقائي. راجع : </w:t>
      </w:r>
      <w:r w:rsidRPr="00696E30">
        <w:rPr>
          <w:rtl/>
        </w:rPr>
        <w:t>المصباح المنير</w:t>
      </w:r>
      <w:r w:rsidRPr="00132E65">
        <w:rPr>
          <w:rtl/>
        </w:rPr>
        <w:t xml:space="preserve"> ، ص 435 ( عهد )</w:t>
      </w:r>
      <w:r>
        <w:rPr>
          <w:rtl/>
        </w:rPr>
        <w:t>.</w:t>
      </w:r>
    </w:p>
    <w:p w:rsidR="000C39D1" w:rsidRPr="00132E65" w:rsidRDefault="000C39D1" w:rsidP="000C39D1">
      <w:pPr>
        <w:pStyle w:val="libFootnote0"/>
        <w:rPr>
          <w:rtl/>
          <w:lang w:bidi="fa-IR"/>
        </w:rPr>
      </w:pPr>
      <w:r>
        <w:rPr>
          <w:rtl/>
        </w:rPr>
        <w:t>(2).</w:t>
      </w:r>
      <w:r w:rsidRPr="00132E65">
        <w:rPr>
          <w:rtl/>
        </w:rPr>
        <w:t xml:space="preserve"> في « ف ، بف » و</w:t>
      </w:r>
      <w:r w:rsidRPr="009D1ACE">
        <w:rPr>
          <w:rStyle w:val="libFootnoteBoldChar"/>
          <w:rtl/>
        </w:rPr>
        <w:t>الوافي</w:t>
      </w:r>
      <w:r w:rsidRPr="00132E65">
        <w:rPr>
          <w:rtl/>
        </w:rPr>
        <w:t xml:space="preserve"> : « وإن »</w:t>
      </w:r>
      <w:r>
        <w:rPr>
          <w:rtl/>
        </w:rPr>
        <w:t>.</w:t>
      </w:r>
    </w:p>
    <w:tbl>
      <w:tblPr>
        <w:tblStyle w:val="TableGrid"/>
        <w:bidiVisual/>
        <w:tblW w:w="0" w:type="auto"/>
        <w:tblLook w:val="04A0" w:firstRow="1" w:lastRow="0" w:firstColumn="1" w:lastColumn="0" w:noHBand="0" w:noVBand="1"/>
      </w:tblPr>
      <w:tblGrid>
        <w:gridCol w:w="4261"/>
        <w:gridCol w:w="4262"/>
      </w:tblGrid>
      <w:tr w:rsidR="005228D5" w:rsidTr="005228D5">
        <w:tc>
          <w:tcPr>
            <w:tcW w:w="4261" w:type="dxa"/>
          </w:tcPr>
          <w:p w:rsidR="005228D5" w:rsidRDefault="005228D5" w:rsidP="000C39D1">
            <w:pPr>
              <w:pStyle w:val="libFootnote0"/>
              <w:rPr>
                <w:rtl/>
              </w:rPr>
            </w:pPr>
            <w:r>
              <w:rPr>
                <w:rtl/>
              </w:rPr>
              <w:t>(3).</w:t>
            </w:r>
            <w:r w:rsidRPr="00132E65">
              <w:rPr>
                <w:rtl/>
              </w:rPr>
              <w:t xml:space="preserve"> في « بر » : « لزيارتك »</w:t>
            </w:r>
            <w:r>
              <w:rPr>
                <w:rtl/>
              </w:rPr>
              <w:t>.</w:t>
            </w:r>
          </w:p>
        </w:tc>
        <w:tc>
          <w:tcPr>
            <w:tcW w:w="4262" w:type="dxa"/>
          </w:tcPr>
          <w:p w:rsidR="005228D5" w:rsidRDefault="005228D5" w:rsidP="000C39D1">
            <w:pPr>
              <w:pStyle w:val="libFootnote0"/>
              <w:rPr>
                <w:rtl/>
              </w:rPr>
            </w:pPr>
            <w:r>
              <w:rPr>
                <w:rtl/>
              </w:rPr>
              <w:t>(4).</w:t>
            </w:r>
            <w:r w:rsidRPr="00132E65">
              <w:rPr>
                <w:rtl/>
              </w:rPr>
              <w:t xml:space="preserve"> في « بس » : « رابت »</w:t>
            </w:r>
            <w:r>
              <w:rPr>
                <w:rtl/>
              </w:rPr>
              <w:t>.</w:t>
            </w:r>
          </w:p>
        </w:tc>
      </w:tr>
    </w:tbl>
    <w:p w:rsidR="000C39D1" w:rsidRPr="00132E65" w:rsidRDefault="000C39D1" w:rsidP="000C39D1">
      <w:pPr>
        <w:pStyle w:val="libFootnote0"/>
        <w:rPr>
          <w:rtl/>
          <w:lang w:bidi="fa-IR"/>
        </w:rPr>
      </w:pPr>
      <w:r>
        <w:rPr>
          <w:rtl/>
        </w:rPr>
        <w:t>(5).</w:t>
      </w:r>
      <w:r w:rsidRPr="00132E65">
        <w:rPr>
          <w:rtl/>
        </w:rPr>
        <w:t xml:space="preserve"> « شخصت » ، أي ذهبتَ ، من الشُخوص وهو السير من بلد إلى بلد. راجع : </w:t>
      </w:r>
      <w:r w:rsidRPr="009D1ACE">
        <w:rPr>
          <w:rStyle w:val="libFootnoteBoldChar"/>
          <w:rtl/>
        </w:rPr>
        <w:t>لسان العرب</w:t>
      </w:r>
      <w:r w:rsidRPr="00132E65">
        <w:rPr>
          <w:rtl/>
        </w:rPr>
        <w:t xml:space="preserve"> ، ج 7 ، ص 46 ( شخص )</w:t>
      </w:r>
      <w:r>
        <w:rPr>
          <w:rtl/>
        </w:rPr>
        <w:t>.</w:t>
      </w:r>
    </w:p>
    <w:p w:rsidR="000C39D1" w:rsidRPr="00132E65" w:rsidRDefault="000C39D1" w:rsidP="0037463E">
      <w:pPr>
        <w:pStyle w:val="libFootnote0"/>
        <w:rPr>
          <w:rtl/>
          <w:lang w:bidi="fa-IR"/>
        </w:rPr>
      </w:pPr>
      <w:r>
        <w:rPr>
          <w:rtl/>
        </w:rPr>
        <w:t>(6).</w:t>
      </w:r>
      <w:r w:rsidRPr="00132E65">
        <w:rPr>
          <w:rtl/>
        </w:rPr>
        <w:t xml:space="preserve"> حُشْمَةُ الرجل وحَشَمُهُ وأحشامه : خدمه أو خاصّته الذين يغضبون له من عبيد أو أهل أو جِيرة إذا أصابه أمر. </w:t>
      </w:r>
      <w:r w:rsidRPr="009D1ACE">
        <w:rPr>
          <w:rStyle w:val="libFootnoteBoldChar"/>
          <w:rtl/>
        </w:rPr>
        <w:t>لسان العرب</w:t>
      </w:r>
      <w:r w:rsidRPr="00132E65">
        <w:rPr>
          <w:rtl/>
        </w:rPr>
        <w:t xml:space="preserve"> ، ج 12 ، ص 136 ( حشم )</w:t>
      </w:r>
      <w:r>
        <w:rPr>
          <w:rtl/>
        </w:rPr>
        <w:t>.</w:t>
      </w:r>
      <w:r w:rsidR="0037463E">
        <w:rPr>
          <w:rFonts w:hint="cs"/>
          <w:rtl/>
        </w:rPr>
        <w:t xml:space="preserve">                </w:t>
      </w:r>
      <w:r w:rsidR="00857D09">
        <w:rPr>
          <w:rFonts w:hint="cs"/>
          <w:rtl/>
        </w:rPr>
        <w:t xml:space="preserve"> </w:t>
      </w:r>
      <w:r w:rsidR="0006034E">
        <w:rPr>
          <w:rFonts w:hint="cs"/>
          <w:rtl/>
        </w:rPr>
        <w:t xml:space="preserve"> </w:t>
      </w:r>
      <w:r w:rsidR="0037463E">
        <w:rPr>
          <w:rFonts w:hint="cs"/>
          <w:rtl/>
        </w:rPr>
        <w:t xml:space="preserve">     </w:t>
      </w:r>
      <w:r>
        <w:rPr>
          <w:rtl/>
        </w:rPr>
        <w:t>(7).</w:t>
      </w:r>
      <w:r w:rsidRPr="00132E65">
        <w:rPr>
          <w:rtl/>
        </w:rPr>
        <w:t xml:space="preserve"> في « ف ، بح » : « ترحّل »</w:t>
      </w:r>
      <w:r>
        <w:rPr>
          <w:rtl/>
        </w:rPr>
        <w:t>.</w:t>
      </w:r>
    </w:p>
    <w:tbl>
      <w:tblPr>
        <w:tblStyle w:val="TableGrid"/>
        <w:bidiVisual/>
        <w:tblW w:w="0" w:type="auto"/>
        <w:tblLook w:val="04A0" w:firstRow="1" w:lastRow="0" w:firstColumn="1" w:lastColumn="0" w:noHBand="0" w:noVBand="1"/>
      </w:tblPr>
      <w:tblGrid>
        <w:gridCol w:w="4261"/>
        <w:gridCol w:w="4262"/>
      </w:tblGrid>
      <w:tr w:rsidR="0037463E" w:rsidTr="0037463E">
        <w:tc>
          <w:tcPr>
            <w:tcW w:w="4261" w:type="dxa"/>
          </w:tcPr>
          <w:p w:rsidR="0037463E" w:rsidRDefault="0037463E" w:rsidP="000C39D1">
            <w:pPr>
              <w:pStyle w:val="libFootnote0"/>
              <w:rPr>
                <w:rtl/>
              </w:rPr>
            </w:pPr>
            <w:r>
              <w:rPr>
                <w:rtl/>
              </w:rPr>
              <w:t>(8).</w:t>
            </w:r>
            <w:r w:rsidRPr="00132E65">
              <w:rPr>
                <w:rtl/>
              </w:rPr>
              <w:t xml:space="preserve"> في « ف » : « فإن »</w:t>
            </w:r>
            <w:r>
              <w:rPr>
                <w:rtl/>
              </w:rPr>
              <w:t>.</w:t>
            </w:r>
          </w:p>
        </w:tc>
        <w:tc>
          <w:tcPr>
            <w:tcW w:w="4262" w:type="dxa"/>
          </w:tcPr>
          <w:p w:rsidR="0037463E" w:rsidRDefault="0037463E" w:rsidP="000C39D1">
            <w:pPr>
              <w:pStyle w:val="libFootnote0"/>
              <w:rPr>
                <w:rtl/>
              </w:rPr>
            </w:pPr>
            <w:r>
              <w:rPr>
                <w:rtl/>
              </w:rPr>
              <w:t>(9).</w:t>
            </w:r>
            <w:r w:rsidRPr="00132E65">
              <w:rPr>
                <w:rtl/>
              </w:rPr>
              <w:t xml:space="preserve"> في « ف » : « يرجلون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 « برجلك »</w:t>
      </w:r>
      <w:r>
        <w:rPr>
          <w:rtl/>
        </w:rPr>
        <w:t>.</w:t>
      </w:r>
    </w:p>
    <w:p w:rsidR="000C39D1" w:rsidRPr="00132E65" w:rsidRDefault="000C39D1" w:rsidP="000C39D1">
      <w:pPr>
        <w:pStyle w:val="libFootnote0"/>
        <w:rPr>
          <w:rtl/>
          <w:lang w:bidi="fa-IR"/>
        </w:rPr>
      </w:pPr>
      <w:r>
        <w:rPr>
          <w:rtl/>
        </w:rPr>
        <w:t>(11).</w:t>
      </w:r>
      <w:r w:rsidRPr="00132E65">
        <w:rPr>
          <w:rtl/>
        </w:rPr>
        <w:t xml:space="preserve"> هكذا في « ب ، ج ، ض ، ف ، بر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والإرشاد. وفي سائر النسخ والمطبوع : « والأمر »</w:t>
      </w:r>
      <w:r>
        <w:rPr>
          <w:rtl/>
        </w:rPr>
        <w:t>.</w:t>
      </w:r>
    </w:p>
    <w:p w:rsidR="000C39D1" w:rsidRPr="00132E65" w:rsidRDefault="000C39D1" w:rsidP="000C39D1">
      <w:pPr>
        <w:pStyle w:val="libFootnote0"/>
        <w:rPr>
          <w:rtl/>
          <w:lang w:bidi="fa-IR"/>
        </w:rPr>
      </w:pPr>
      <w:r>
        <w:rPr>
          <w:rtl/>
        </w:rPr>
        <w:t>(12).</w:t>
      </w:r>
      <w:r w:rsidRPr="00132E65">
        <w:rPr>
          <w:rtl/>
        </w:rPr>
        <w:t xml:space="preserve"> في « ب » وحاشية « ج ، ض ، بر » : « ولا أجمل »</w:t>
      </w:r>
      <w:r>
        <w:rPr>
          <w:rtl/>
        </w:rPr>
        <w:t>.</w:t>
      </w:r>
    </w:p>
    <w:p w:rsidR="000C39D1" w:rsidRPr="00132E65" w:rsidRDefault="000C39D1" w:rsidP="00B177DF">
      <w:pPr>
        <w:pStyle w:val="libFootnote0"/>
        <w:rPr>
          <w:rtl/>
          <w:lang w:bidi="fa-IR"/>
        </w:rPr>
      </w:pPr>
      <w:r>
        <w:rPr>
          <w:rtl/>
        </w:rPr>
        <w:t>(13)</w:t>
      </w:r>
      <w:r w:rsidRPr="00132E65">
        <w:rPr>
          <w:rtl/>
        </w:rPr>
        <w:t xml:space="preserve"> الا</w:t>
      </w:r>
      <w:r w:rsidR="00B177DF">
        <w:rPr>
          <w:rFonts w:hint="cs"/>
          <w:rtl/>
        </w:rPr>
        <w:t>ُ</w:t>
      </w:r>
      <w:r w:rsidRPr="00132E65">
        <w:rPr>
          <w:rtl/>
        </w:rPr>
        <w:t>ثْرَةُ : ال</w:t>
      </w:r>
      <w:r w:rsidR="00B177DF">
        <w:rPr>
          <w:rFonts w:hint="cs"/>
          <w:rtl/>
        </w:rPr>
        <w:t>ـ</w:t>
      </w:r>
      <w:r w:rsidRPr="00132E65">
        <w:rPr>
          <w:rtl/>
        </w:rPr>
        <w:t>مَكْرَمَةُ</w:t>
      </w:r>
      <w:r>
        <w:rPr>
          <w:rtl/>
        </w:rPr>
        <w:t xml:space="preserve"> - </w:t>
      </w:r>
      <w:r w:rsidRPr="00132E65">
        <w:rPr>
          <w:rtl/>
        </w:rPr>
        <w:t>وهو فعل الكَرَم</w:t>
      </w:r>
      <w:r>
        <w:rPr>
          <w:rtl/>
        </w:rPr>
        <w:t xml:space="preserve"> - </w:t>
      </w:r>
      <w:r w:rsidRPr="00132E65">
        <w:rPr>
          <w:rtl/>
        </w:rPr>
        <w:t>؛ لأنّها تُؤْثَر ، أي تُذْكَر ويَأْثُرُهُ قرن عن قرن يتحدّثون بها. وقيل : هي‌المكرمة المتوارثة. وقرأها المازندراني : أَثَرَة بالتحريك ، كما في « ج »</w:t>
      </w:r>
      <w:r>
        <w:rPr>
          <w:rtl/>
        </w:rPr>
        <w:t>.</w:t>
      </w:r>
      <w:r w:rsidRPr="00132E65">
        <w:rPr>
          <w:rtl/>
        </w:rPr>
        <w:t xml:space="preserve"> وهو الاسم من آثر يؤثر إيثاراً ، إذا أعطى. ثمّ قال : « أراد أنّه يؤثرك ويتفضّل عليك على ما لا يؤثر ولا يتفضّل على غيرك من إخوته وأولاده وأهل بيته وأصحابه وصاحب سرّه. راجع : </w:t>
      </w:r>
      <w:r w:rsidRPr="00696E30">
        <w:rPr>
          <w:rtl/>
        </w:rPr>
        <w:t>النهاية</w:t>
      </w:r>
      <w:r w:rsidRPr="00132E65">
        <w:rPr>
          <w:rtl/>
        </w:rPr>
        <w:t xml:space="preserve"> ، ج 1 ، ص 22 ؛ </w:t>
      </w:r>
      <w:r w:rsidRPr="009D1ACE">
        <w:rPr>
          <w:rStyle w:val="libFootnoteBoldChar"/>
          <w:rtl/>
        </w:rPr>
        <w:t>لسان العرب</w:t>
      </w:r>
      <w:r w:rsidRPr="00132E65">
        <w:rPr>
          <w:rtl/>
        </w:rPr>
        <w:t xml:space="preserve"> ، ج 4 ، ص 7 ( أثر ) ؛ </w:t>
      </w:r>
      <w:r w:rsidRPr="00696E30">
        <w:rPr>
          <w:rtl/>
        </w:rPr>
        <w:t>شرح المازندراني</w:t>
      </w:r>
      <w:r w:rsidRPr="00132E65">
        <w:rPr>
          <w:rtl/>
        </w:rPr>
        <w:t xml:space="preserve"> ، ج 7 ، ص 305.</w:t>
      </w:r>
      <w:r w:rsidR="00B177DF">
        <w:rPr>
          <w:rFonts w:hint="cs"/>
          <w:rtl/>
        </w:rPr>
        <w:t xml:space="preserve">        </w:t>
      </w:r>
      <w:r>
        <w:rPr>
          <w:rtl/>
        </w:rPr>
        <w:t>(14)</w:t>
      </w:r>
      <w:r w:rsidRPr="00132E65">
        <w:rPr>
          <w:rtl/>
        </w:rPr>
        <w:t xml:space="preserve"> في « ف » </w:t>
      </w:r>
      <w:r>
        <w:rPr>
          <w:rtl/>
        </w:rPr>
        <w:t xml:space="preserve">: - </w:t>
      </w:r>
      <w:r w:rsidRPr="00132E65">
        <w:rPr>
          <w:rtl/>
        </w:rPr>
        <w:t>« منه إليك »</w:t>
      </w:r>
      <w:r>
        <w:rPr>
          <w:rtl/>
        </w:rPr>
        <w:t>.</w:t>
      </w:r>
    </w:p>
    <w:p w:rsidR="000C39D1" w:rsidRPr="00132E65" w:rsidRDefault="000C39D1" w:rsidP="000C39D1">
      <w:pPr>
        <w:pStyle w:val="libFootnote0"/>
        <w:rPr>
          <w:rtl/>
          <w:lang w:bidi="fa-IR"/>
        </w:rPr>
      </w:pPr>
      <w:r>
        <w:rPr>
          <w:rtl/>
        </w:rPr>
        <w:t>(15)</w:t>
      </w:r>
      <w:r w:rsidRPr="00132E65">
        <w:rPr>
          <w:rtl/>
        </w:rPr>
        <w:t xml:space="preserve"> في حاشية « ض » : « عيسى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وَصَلَّى اللهُ عَلى مُحَمَّدٍ و</w:t>
      </w:r>
      <w:r w:rsidR="00B94532">
        <w:rPr>
          <w:rFonts w:hint="cs"/>
          <w:rtl/>
          <w:lang w:bidi="fa-IR"/>
        </w:rPr>
        <w:t xml:space="preserve">َ </w:t>
      </w:r>
      <w:r w:rsidRPr="00132E65">
        <w:rPr>
          <w:rtl/>
          <w:lang w:bidi="fa-IR"/>
        </w:rPr>
        <w:t xml:space="preserve">آلِهِ وسَلَّمَ. </w:t>
      </w:r>
      <w:r>
        <w:rPr>
          <w:rStyle w:val="libFootnotenumChar"/>
          <w:rtl/>
        </w:rPr>
        <w:t>(1)</w:t>
      </w:r>
    </w:p>
    <w:p w:rsidR="000C39D1" w:rsidRPr="00132E65" w:rsidRDefault="000C39D1" w:rsidP="000C39D1">
      <w:pPr>
        <w:pStyle w:val="libNormal"/>
        <w:rPr>
          <w:rtl/>
          <w:lang w:bidi="fa-IR"/>
        </w:rPr>
      </w:pPr>
      <w:r w:rsidRPr="00696E30">
        <w:rPr>
          <w:rtl/>
        </w:rPr>
        <w:t>1328</w:t>
      </w:r>
      <w:r w:rsidRPr="004325D8">
        <w:rPr>
          <w:rStyle w:val="libBold2Char"/>
          <w:rtl/>
        </w:rPr>
        <w:t xml:space="preserve"> / 8.</w:t>
      </w:r>
      <w:r w:rsidRPr="00132E65">
        <w:rPr>
          <w:rtl/>
          <w:lang w:bidi="fa-IR"/>
        </w:rPr>
        <w:t xml:space="preserve"> الْحُسَيْنُ بْنُ الْحَسَنِ الْحَسَنِيُّ </w:t>
      </w:r>
      <w:r>
        <w:rPr>
          <w:rStyle w:val="libFootnotenumChar"/>
          <w:rtl/>
        </w:rPr>
        <w:t>(2)</w:t>
      </w:r>
      <w:r w:rsidRPr="00132E65">
        <w:rPr>
          <w:rtl/>
          <w:lang w:bidi="fa-IR"/>
        </w:rPr>
        <w:t xml:space="preserve"> ، قَالَ : حَدَّثَنِي أَبُو الطَّيِّبِ الْمُثَنّى يَعْقُوبُ بْنُ يَاسِرٍ ، قَالَ :</w:t>
      </w:r>
    </w:p>
    <w:p w:rsidR="000C39D1" w:rsidRPr="00132E65" w:rsidRDefault="000C39D1" w:rsidP="000C39D1">
      <w:pPr>
        <w:pStyle w:val="libNormal"/>
        <w:rPr>
          <w:rtl/>
          <w:lang w:bidi="fa-IR"/>
        </w:rPr>
      </w:pPr>
      <w:r w:rsidRPr="00132E65">
        <w:rPr>
          <w:rtl/>
          <w:lang w:bidi="fa-IR"/>
        </w:rPr>
        <w:t>كَانَ الْمُتَوَكِّلُ يَقُولُ : و</w:t>
      </w:r>
      <w:r w:rsidR="008A4B2B">
        <w:rPr>
          <w:rFonts w:hint="cs"/>
          <w:rtl/>
          <w:lang w:bidi="fa-IR"/>
        </w:rPr>
        <w:t xml:space="preserve">َ </w:t>
      </w:r>
      <w:r w:rsidRPr="00132E65">
        <w:rPr>
          <w:rtl/>
          <w:lang w:bidi="fa-IR"/>
        </w:rPr>
        <w:t xml:space="preserve">يْحَكُمْ ، قَدْ أَعْيَانِي </w:t>
      </w:r>
      <w:r>
        <w:rPr>
          <w:rStyle w:val="libFootnotenumChar"/>
          <w:rtl/>
        </w:rPr>
        <w:t>(3)</w:t>
      </w:r>
      <w:r w:rsidRPr="00132E65">
        <w:rPr>
          <w:rtl/>
          <w:lang w:bidi="fa-IR"/>
        </w:rPr>
        <w:t xml:space="preserve"> أَمْرُ ابْنِ الرِّضَا ، أَبى </w:t>
      </w:r>
      <w:r>
        <w:rPr>
          <w:rStyle w:val="libFootnotenumChar"/>
          <w:rtl/>
        </w:rPr>
        <w:t>(4)</w:t>
      </w:r>
      <w:r w:rsidRPr="00132E65">
        <w:rPr>
          <w:rtl/>
          <w:lang w:bidi="fa-IR"/>
        </w:rPr>
        <w:t xml:space="preserve"> أَنْ يَشْرَبَ مَعِي ، أَوْ </w:t>
      </w:r>
      <w:r>
        <w:rPr>
          <w:rStyle w:val="libFootnotenumChar"/>
          <w:rtl/>
        </w:rPr>
        <w:t>(5)</w:t>
      </w:r>
      <w:r w:rsidRPr="00132E65">
        <w:rPr>
          <w:rtl/>
          <w:lang w:bidi="fa-IR"/>
        </w:rPr>
        <w:t xml:space="preserve"> يُنَادِمَنِي </w:t>
      </w:r>
      <w:r>
        <w:rPr>
          <w:rStyle w:val="libFootnotenumChar"/>
          <w:rtl/>
        </w:rPr>
        <w:t>(6)</w:t>
      </w:r>
      <w:r w:rsidRPr="00132E65">
        <w:rPr>
          <w:rtl/>
          <w:lang w:bidi="fa-IR"/>
        </w:rPr>
        <w:t xml:space="preserve"> ، أَوْ أَجِدَ مِنْهُ فُرْصَةً فِي </w:t>
      </w:r>
      <w:r>
        <w:rPr>
          <w:rStyle w:val="libFootnotenumChar"/>
          <w:rtl/>
        </w:rPr>
        <w:t>(7)</w:t>
      </w:r>
      <w:r w:rsidRPr="00132E65">
        <w:rPr>
          <w:rtl/>
          <w:lang w:bidi="fa-IR"/>
        </w:rPr>
        <w:t xml:space="preserve"> هذَا </w:t>
      </w:r>
      <w:r>
        <w:rPr>
          <w:rStyle w:val="libFootnotenumChar"/>
          <w:rtl/>
        </w:rPr>
        <w:t>(8)</w:t>
      </w:r>
    </w:p>
    <w:p w:rsidR="000C39D1" w:rsidRPr="00132E65" w:rsidRDefault="000C39D1" w:rsidP="000C39D1">
      <w:pPr>
        <w:pStyle w:val="libNormal"/>
        <w:rPr>
          <w:rtl/>
          <w:lang w:bidi="fa-IR"/>
        </w:rPr>
      </w:pPr>
      <w:r w:rsidRPr="00132E65">
        <w:rPr>
          <w:rtl/>
          <w:lang w:bidi="fa-IR"/>
        </w:rPr>
        <w:t xml:space="preserve">فَقَالُوا لَهُ : فَإِنْ لَمْ تَجِدْ مِنْهُ </w:t>
      </w:r>
      <w:r>
        <w:rPr>
          <w:rStyle w:val="libFootnotenumChar"/>
          <w:rtl/>
        </w:rPr>
        <w:t>(9)</w:t>
      </w:r>
      <w:r w:rsidRPr="00132E65">
        <w:rPr>
          <w:rtl/>
          <w:lang w:bidi="fa-IR"/>
        </w:rPr>
        <w:t xml:space="preserve"> فَهذَا أَخُوهُ مُوسى </w:t>
      </w:r>
      <w:r>
        <w:rPr>
          <w:rStyle w:val="libFootnotenumChar"/>
          <w:rtl/>
        </w:rPr>
        <w:t>(10)</w:t>
      </w:r>
      <w:r w:rsidRPr="00132E65">
        <w:rPr>
          <w:rtl/>
          <w:lang w:bidi="fa-IR"/>
        </w:rPr>
        <w:t xml:space="preserve"> قَصَّافٌ </w:t>
      </w:r>
      <w:r>
        <w:rPr>
          <w:rStyle w:val="libFootnotenumChar"/>
          <w:rtl/>
        </w:rPr>
        <w:t>(11)</w:t>
      </w:r>
      <w:r w:rsidRPr="00132E65">
        <w:rPr>
          <w:rtl/>
          <w:lang w:bidi="fa-IR"/>
        </w:rPr>
        <w:t xml:space="preserve"> عَزَّافٌ </w:t>
      </w:r>
      <w:r>
        <w:rPr>
          <w:rStyle w:val="libFootnotenumChar"/>
          <w:rtl/>
        </w:rPr>
        <w:t>(12)</w:t>
      </w:r>
      <w:r w:rsidRPr="00132E65">
        <w:rPr>
          <w:rtl/>
          <w:lang w:bidi="fa-IR"/>
        </w:rPr>
        <w:t xml:space="preserve"> ، يَأْكُلُ ويَشْرَبُ وَيَتَعَشَّقُ ، قَالَ </w:t>
      </w:r>
      <w:r w:rsidRPr="00F543F1">
        <w:rPr>
          <w:rStyle w:val="libFootnotenumChar"/>
          <w:rtl/>
        </w:rPr>
        <w:t>(13)</w:t>
      </w:r>
      <w:r w:rsidRPr="00132E65">
        <w:rPr>
          <w:rtl/>
          <w:lang w:bidi="fa-IR"/>
        </w:rPr>
        <w:t xml:space="preserve"> : ابْعَثُوا </w:t>
      </w:r>
      <w:r w:rsidRPr="00F543F1">
        <w:rPr>
          <w:rStyle w:val="libFootnotenumChar"/>
          <w:rtl/>
        </w:rPr>
        <w:t>(14)</w:t>
      </w:r>
      <w:r w:rsidRPr="00132E65">
        <w:rPr>
          <w:rtl/>
          <w:lang w:bidi="fa-IR"/>
        </w:rPr>
        <w:t xml:space="preserve"> إِلَيْهِ ، فَجِيئُوا </w:t>
      </w:r>
      <w:r w:rsidRPr="00F543F1">
        <w:rPr>
          <w:rStyle w:val="libFootnotenumChar"/>
          <w:rtl/>
        </w:rPr>
        <w:t>(15)</w:t>
      </w:r>
      <w:r w:rsidRPr="00132E65">
        <w:rPr>
          <w:rtl/>
          <w:lang w:bidi="fa-IR"/>
        </w:rPr>
        <w:t xml:space="preserve"> بِهِ حَتّى نُمَوِّهَ </w:t>
      </w:r>
      <w:r w:rsidRPr="00F543F1">
        <w:rPr>
          <w:rStyle w:val="libFootnotenumChar"/>
          <w:rtl/>
        </w:rPr>
        <w:t>(16)</w:t>
      </w:r>
      <w:r w:rsidRPr="00132E65">
        <w:rPr>
          <w:rtl/>
          <w:lang w:bidi="fa-IR"/>
        </w:rPr>
        <w:t xml:space="preserve"> بِهِ عَلَى النَّاسِ ، ونَقُولَ : ابْنُ الرِّضَا.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E71F71">
      <w:pPr>
        <w:pStyle w:val="libFootnote0"/>
        <w:rPr>
          <w:rtl/>
          <w:lang w:bidi="fa-IR"/>
        </w:rPr>
      </w:pPr>
      <w:r>
        <w:rPr>
          <w:rtl/>
        </w:rPr>
        <w:t>(1).</w:t>
      </w:r>
      <w:r w:rsidRPr="00132E65">
        <w:rPr>
          <w:rtl/>
        </w:rPr>
        <w:t xml:space="preserve"> </w:t>
      </w:r>
      <w:r w:rsidRPr="00696E30">
        <w:rPr>
          <w:rtl/>
        </w:rPr>
        <w:t>الإرشاد</w:t>
      </w:r>
      <w:r w:rsidRPr="00132E65">
        <w:rPr>
          <w:rtl/>
        </w:rPr>
        <w:t xml:space="preserve"> ، ج 2 ، ص 309 ، مع اختلاف يسير وزيادة في أوّله وآخره</w:t>
      </w:r>
      <w:r w:rsidR="00E71F71">
        <w:rPr>
          <w:rFonts w:hint="cs"/>
          <w:rtl/>
        </w:rPr>
        <w:t>.</w:t>
      </w:r>
      <w:r w:rsidRPr="009D1ACE">
        <w:rPr>
          <w:rStyle w:val="libFootnoteBoldChar"/>
          <w:rtl/>
        </w:rPr>
        <w:t>الوافي</w:t>
      </w:r>
      <w:r w:rsidRPr="00132E65">
        <w:rPr>
          <w:rtl/>
        </w:rPr>
        <w:t xml:space="preserve"> ، ج 3 ، ص 838 ، ح 1452.</w:t>
      </w:r>
    </w:p>
    <w:p w:rsidR="000C39D1" w:rsidRPr="00132E65" w:rsidRDefault="000C39D1" w:rsidP="000C39D1">
      <w:pPr>
        <w:pStyle w:val="libFootnote0"/>
        <w:rPr>
          <w:rtl/>
          <w:lang w:bidi="fa-IR"/>
        </w:rPr>
      </w:pPr>
      <w:r>
        <w:rPr>
          <w:rtl/>
        </w:rPr>
        <w:t>(2).</w:t>
      </w:r>
      <w:r w:rsidRPr="00132E65">
        <w:rPr>
          <w:rtl/>
        </w:rPr>
        <w:t xml:space="preserve"> في « ف » والبحار : « الحسيني »</w:t>
      </w:r>
      <w:r>
        <w:rPr>
          <w:rtl/>
        </w:rPr>
        <w:t>.</w:t>
      </w:r>
    </w:p>
    <w:p w:rsidR="000C39D1" w:rsidRPr="00132E65" w:rsidRDefault="000C39D1" w:rsidP="000C39D1">
      <w:pPr>
        <w:pStyle w:val="libFootnote0"/>
        <w:rPr>
          <w:rtl/>
          <w:lang w:bidi="fa-IR"/>
        </w:rPr>
      </w:pPr>
      <w:r>
        <w:rPr>
          <w:rtl/>
        </w:rPr>
        <w:t>(3).</w:t>
      </w:r>
      <w:r w:rsidRPr="00132E65">
        <w:rPr>
          <w:rtl/>
        </w:rPr>
        <w:t xml:space="preserve"> « أعياني » ، أي أعجزني وحيّرني. راجع : </w:t>
      </w:r>
      <w:r w:rsidRPr="009D1ACE">
        <w:rPr>
          <w:rStyle w:val="libFootnoteBoldChar"/>
          <w:rtl/>
        </w:rPr>
        <w:t>لسان العرب</w:t>
      </w:r>
      <w:r w:rsidRPr="00132E65">
        <w:rPr>
          <w:rtl/>
        </w:rPr>
        <w:t xml:space="preserve"> ، ج 15 ، ص 111 ( عيى )</w:t>
      </w:r>
      <w:r>
        <w:rPr>
          <w:rtl/>
        </w:rPr>
        <w:t>.</w:t>
      </w:r>
    </w:p>
    <w:tbl>
      <w:tblPr>
        <w:tblStyle w:val="TableGrid"/>
        <w:bidiVisual/>
        <w:tblW w:w="0" w:type="auto"/>
        <w:tblLook w:val="04A0" w:firstRow="1" w:lastRow="0" w:firstColumn="1" w:lastColumn="0" w:noHBand="0" w:noVBand="1"/>
      </w:tblPr>
      <w:tblGrid>
        <w:gridCol w:w="4261"/>
        <w:gridCol w:w="4262"/>
      </w:tblGrid>
      <w:tr w:rsidR="00E71F71" w:rsidTr="00E71F71">
        <w:tc>
          <w:tcPr>
            <w:tcW w:w="4261" w:type="dxa"/>
          </w:tcPr>
          <w:p w:rsidR="00E71F71" w:rsidRDefault="00E71F71" w:rsidP="000C39D1">
            <w:pPr>
              <w:pStyle w:val="libFootnote0"/>
              <w:rPr>
                <w:rtl/>
              </w:rPr>
            </w:pPr>
            <w:r>
              <w:rPr>
                <w:rtl/>
              </w:rPr>
              <w:t>(4).</w:t>
            </w:r>
            <w:r w:rsidRPr="00132E65">
              <w:rPr>
                <w:rtl/>
              </w:rPr>
              <w:t xml:space="preserve"> في البحار : « وجهدت » بدل « أبى »</w:t>
            </w:r>
            <w:r>
              <w:rPr>
                <w:rtl/>
              </w:rPr>
              <w:t>.</w:t>
            </w:r>
          </w:p>
        </w:tc>
        <w:tc>
          <w:tcPr>
            <w:tcW w:w="4262" w:type="dxa"/>
          </w:tcPr>
          <w:p w:rsidR="00E71F71" w:rsidRDefault="00E71F71" w:rsidP="000C39D1">
            <w:pPr>
              <w:pStyle w:val="libFootnote0"/>
              <w:rPr>
                <w:rtl/>
              </w:rPr>
            </w:pPr>
            <w:r>
              <w:rPr>
                <w:rtl/>
              </w:rPr>
              <w:t>(5).</w:t>
            </w:r>
            <w:r w:rsidRPr="00132E65">
              <w:rPr>
                <w:rtl/>
              </w:rPr>
              <w:t xml:space="preserve"> في البحار : «</w:t>
            </w:r>
            <w:r>
              <w:rPr>
                <w:rtl/>
              </w:rPr>
              <w:t xml:space="preserve"> و ».</w:t>
            </w:r>
          </w:p>
        </w:tc>
      </w:tr>
    </w:tbl>
    <w:p w:rsidR="000C39D1" w:rsidRPr="00132E65" w:rsidRDefault="000C39D1" w:rsidP="000C39D1">
      <w:pPr>
        <w:pStyle w:val="libFootnote0"/>
        <w:rPr>
          <w:rtl/>
          <w:lang w:bidi="fa-IR"/>
        </w:rPr>
      </w:pPr>
      <w:r>
        <w:rPr>
          <w:rtl/>
        </w:rPr>
        <w:t>(6).</w:t>
      </w:r>
      <w:r w:rsidRPr="00132E65">
        <w:rPr>
          <w:rtl/>
        </w:rPr>
        <w:t xml:space="preserve"> « ينادمني » ، أي يجالسني على الشراب. راجع : </w:t>
      </w:r>
      <w:r w:rsidRPr="009D1ACE">
        <w:rPr>
          <w:rStyle w:val="libFootnoteBoldChar"/>
          <w:rtl/>
        </w:rPr>
        <w:t>لسان العرب</w:t>
      </w:r>
      <w:r w:rsidRPr="00132E65">
        <w:rPr>
          <w:rtl/>
        </w:rPr>
        <w:t xml:space="preserve"> ، ج 12 ، ص 573 ( ندم )</w:t>
      </w:r>
      <w:r>
        <w:rPr>
          <w:rtl/>
        </w:rPr>
        <w:t>.</w:t>
      </w:r>
    </w:p>
    <w:p w:rsidR="000C39D1" w:rsidRPr="00132E65" w:rsidRDefault="000C39D1" w:rsidP="000C39D1">
      <w:pPr>
        <w:pStyle w:val="libFootnote0"/>
        <w:rPr>
          <w:rtl/>
          <w:lang w:bidi="fa-IR"/>
        </w:rPr>
      </w:pPr>
      <w:r>
        <w:rPr>
          <w:rtl/>
        </w:rPr>
        <w:t>(7).</w:t>
      </w:r>
      <w:r w:rsidRPr="00132E65">
        <w:rPr>
          <w:rtl/>
        </w:rPr>
        <w:t xml:space="preserve"> في « ف »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(8).</w:t>
      </w:r>
      <w:r w:rsidRPr="00132E65">
        <w:rPr>
          <w:rtl/>
        </w:rPr>
        <w:t xml:space="preserve"> في البحار : « فامتنع ، وجهدت أن آخذ فرصة في هذا المعنى فلم أجدها » بدل « أو أجد منه فرصة في هذا »</w:t>
      </w:r>
      <w:r>
        <w:rPr>
          <w:rtl/>
        </w:rPr>
        <w:t>.</w:t>
      </w:r>
    </w:p>
    <w:p w:rsidR="000C39D1" w:rsidRPr="00132E65" w:rsidRDefault="000C39D1" w:rsidP="000C39D1">
      <w:pPr>
        <w:pStyle w:val="libFootnote0"/>
        <w:rPr>
          <w:rtl/>
          <w:lang w:bidi="fa-IR"/>
        </w:rPr>
      </w:pPr>
      <w:r>
        <w:rPr>
          <w:rtl/>
        </w:rPr>
        <w:t>(9).</w:t>
      </w:r>
      <w:r w:rsidRPr="00132E65">
        <w:rPr>
          <w:rtl/>
        </w:rPr>
        <w:t xml:space="preserve"> في البحار : « عن ابن الرضا ما تريده في هذه الحالة » بدل « منه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الوافي</w:t>
      </w:r>
      <w:r w:rsidRPr="00132E65">
        <w:rPr>
          <w:rtl/>
        </w:rPr>
        <w:t xml:space="preserve"> : « كأنّ موسى هذا هو الملقّب بالمبرقع المدفون بقمّ »</w:t>
      </w:r>
      <w:r>
        <w:rPr>
          <w:rtl/>
        </w:rPr>
        <w:t>.</w:t>
      </w:r>
    </w:p>
    <w:p w:rsidR="000C39D1" w:rsidRPr="00132E65" w:rsidRDefault="000C39D1" w:rsidP="000C39D1">
      <w:pPr>
        <w:pStyle w:val="libFootnote0"/>
        <w:rPr>
          <w:rtl/>
          <w:lang w:bidi="fa-IR"/>
        </w:rPr>
      </w:pPr>
      <w:r>
        <w:rPr>
          <w:rtl/>
        </w:rPr>
        <w:t>(11).</w:t>
      </w:r>
      <w:r w:rsidRPr="00132E65">
        <w:rPr>
          <w:rtl/>
        </w:rPr>
        <w:t xml:space="preserve"> « قصّاف » ، أي نديم مقيم في الأكل والشرب ؛ من القُصُوف بمعنى الإقامة في الأكل والشرب. أو كاسِرٌ للعرض ونحوه ؛ من القَصْف بمعنى الكسر. راجع : </w:t>
      </w:r>
      <w:r w:rsidRPr="009D1ACE">
        <w:rPr>
          <w:rStyle w:val="libFootnoteBoldChar"/>
          <w:rtl/>
        </w:rPr>
        <w:t>لسان العرب</w:t>
      </w:r>
      <w:r w:rsidRPr="00132E65">
        <w:rPr>
          <w:rtl/>
        </w:rPr>
        <w:t xml:space="preserve"> ، ج 9 ، ص 283 ( قصف ) ؛ </w:t>
      </w:r>
      <w:r w:rsidRPr="00696E30">
        <w:rPr>
          <w:rtl/>
        </w:rPr>
        <w:t>شرح المازندراني</w:t>
      </w:r>
      <w:r w:rsidRPr="00132E65">
        <w:rPr>
          <w:rtl/>
        </w:rPr>
        <w:t xml:space="preserve"> ، ج 7 ، ص 306 ؛ </w:t>
      </w:r>
      <w:r w:rsidRPr="009D1ACE">
        <w:rPr>
          <w:rStyle w:val="libFootnoteBoldChar"/>
          <w:rtl/>
        </w:rPr>
        <w:t>الوافي</w:t>
      </w:r>
      <w:r w:rsidRPr="00132E65">
        <w:rPr>
          <w:rtl/>
        </w:rPr>
        <w:t xml:space="preserve"> ، ج 3 ، ص 841.</w:t>
      </w:r>
    </w:p>
    <w:p w:rsidR="000C39D1" w:rsidRPr="00132E65" w:rsidRDefault="000C39D1" w:rsidP="000C39D1">
      <w:pPr>
        <w:pStyle w:val="libFootnote0"/>
        <w:rPr>
          <w:rtl/>
          <w:lang w:bidi="fa-IR"/>
        </w:rPr>
      </w:pPr>
      <w:r>
        <w:rPr>
          <w:rtl/>
        </w:rPr>
        <w:t>(12).</w:t>
      </w:r>
      <w:r w:rsidRPr="00132E65">
        <w:rPr>
          <w:rtl/>
        </w:rPr>
        <w:t xml:space="preserve"> « عزّاف » ، أي لاعب بالمعازف والملاهي ؛ من العَزْف ، وهو اللعب بالمعازف ، وهي الدُفوف والعود والطنبور وغيرهما ممّا يُضْرَب. راجع : </w:t>
      </w:r>
      <w:r w:rsidRPr="00696E30">
        <w:rPr>
          <w:rtl/>
        </w:rPr>
        <w:t>النهاية</w:t>
      </w:r>
      <w:r w:rsidRPr="00132E65">
        <w:rPr>
          <w:rtl/>
        </w:rPr>
        <w:t xml:space="preserve"> ، ج 3 ، ص 230 ( عزف )</w:t>
      </w:r>
      <w:r>
        <w:rPr>
          <w:rtl/>
        </w:rPr>
        <w:t>.</w:t>
      </w:r>
    </w:p>
    <w:tbl>
      <w:tblPr>
        <w:tblStyle w:val="TableGrid"/>
        <w:bidiVisual/>
        <w:tblW w:w="0" w:type="auto"/>
        <w:tblLook w:val="04A0" w:firstRow="1" w:lastRow="0" w:firstColumn="1" w:lastColumn="0" w:noHBand="0" w:noVBand="1"/>
      </w:tblPr>
      <w:tblGrid>
        <w:gridCol w:w="4261"/>
        <w:gridCol w:w="4262"/>
      </w:tblGrid>
      <w:tr w:rsidR="00866A0F" w:rsidTr="00866A0F">
        <w:tc>
          <w:tcPr>
            <w:tcW w:w="4261" w:type="dxa"/>
          </w:tcPr>
          <w:p w:rsidR="00866A0F" w:rsidRDefault="00866A0F" w:rsidP="000C39D1">
            <w:pPr>
              <w:pStyle w:val="libFootnote0"/>
              <w:rPr>
                <w:rtl/>
              </w:rPr>
            </w:pPr>
            <w:r>
              <w:rPr>
                <w:rtl/>
              </w:rPr>
              <w:t>(13)</w:t>
            </w:r>
            <w:r w:rsidRPr="00132E65">
              <w:rPr>
                <w:rtl/>
              </w:rPr>
              <w:t xml:space="preserve"> في « ب ، بر » و</w:t>
            </w:r>
            <w:r w:rsidRPr="009D1ACE">
              <w:rPr>
                <w:rStyle w:val="libFootnoteBoldChar"/>
                <w:rtl/>
              </w:rPr>
              <w:t>الوافي</w:t>
            </w:r>
            <w:r w:rsidRPr="00132E65">
              <w:rPr>
                <w:rtl/>
              </w:rPr>
              <w:t xml:space="preserve"> : « فقال »</w:t>
            </w:r>
            <w:r>
              <w:rPr>
                <w:rtl/>
              </w:rPr>
              <w:t>.</w:t>
            </w:r>
          </w:p>
        </w:tc>
        <w:tc>
          <w:tcPr>
            <w:tcW w:w="4262" w:type="dxa"/>
          </w:tcPr>
          <w:p w:rsidR="00866A0F" w:rsidRDefault="00866A0F" w:rsidP="000C39D1">
            <w:pPr>
              <w:pStyle w:val="libFootnote0"/>
              <w:rPr>
                <w:rtl/>
              </w:rPr>
            </w:pPr>
            <w:r>
              <w:rPr>
                <w:rtl/>
              </w:rPr>
              <w:t>(14)</w:t>
            </w:r>
            <w:r w:rsidRPr="00132E65">
              <w:rPr>
                <w:rtl/>
              </w:rPr>
              <w:t xml:space="preserve"> في « ف » : « فابعثوا »</w:t>
            </w:r>
            <w:r>
              <w:rPr>
                <w:rtl/>
              </w:rPr>
              <w:t>.</w:t>
            </w:r>
          </w:p>
        </w:tc>
      </w:tr>
    </w:tbl>
    <w:p w:rsidR="000C39D1" w:rsidRPr="00132E65" w:rsidRDefault="000C39D1" w:rsidP="000C39D1">
      <w:pPr>
        <w:pStyle w:val="libFootnote0"/>
        <w:rPr>
          <w:rtl/>
          <w:lang w:bidi="fa-IR"/>
        </w:rPr>
      </w:pPr>
      <w:r>
        <w:rPr>
          <w:rtl/>
        </w:rPr>
        <w:t>(15)</w:t>
      </w:r>
      <w:r w:rsidRPr="00132E65">
        <w:rPr>
          <w:rtl/>
        </w:rPr>
        <w:t xml:space="preserve"> في البحار : « وجيئوا »</w:t>
      </w:r>
      <w:r>
        <w:rPr>
          <w:rtl/>
        </w:rPr>
        <w:t>.</w:t>
      </w:r>
    </w:p>
    <w:p w:rsidR="000C39D1" w:rsidRPr="00132E65" w:rsidRDefault="000C39D1" w:rsidP="000C39D1">
      <w:pPr>
        <w:pStyle w:val="libFootnote0"/>
        <w:rPr>
          <w:rtl/>
          <w:lang w:bidi="fa-IR"/>
        </w:rPr>
      </w:pPr>
      <w:r>
        <w:rPr>
          <w:rtl/>
        </w:rPr>
        <w:t>(16)</w:t>
      </w:r>
      <w:r w:rsidRPr="00132E65">
        <w:rPr>
          <w:rtl/>
        </w:rPr>
        <w:t xml:space="preserve"> « التمويه » : التلبيس والمخادعة. وقد موّه فلان باطلَهُ ، إذا زيّنه وأراه في صورة الحقّ. راجع : </w:t>
      </w:r>
      <w:r w:rsidRPr="00696E30">
        <w:rPr>
          <w:rtl/>
        </w:rPr>
        <w:t>الصحاح</w:t>
      </w:r>
      <w:r w:rsidRPr="00132E65">
        <w:rPr>
          <w:rtl/>
        </w:rPr>
        <w:t xml:space="preserve"> ، ج 6 ، ص 2251 ؛ </w:t>
      </w:r>
      <w:r w:rsidRPr="009D1ACE">
        <w:rPr>
          <w:rStyle w:val="libFootnoteBoldChar"/>
          <w:rtl/>
        </w:rPr>
        <w:t>لسان العرب</w:t>
      </w:r>
      <w:r w:rsidRPr="00132E65">
        <w:rPr>
          <w:rtl/>
        </w:rPr>
        <w:t xml:space="preserve"> ، ج 13 ، ص 544.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فَكَتَبَ إِلَيْهِ ، وأُشْخِصَ مُكَرَّماً ، وتَلَقَّاهُ </w:t>
      </w:r>
      <w:r>
        <w:rPr>
          <w:rStyle w:val="libFootnotenumChar"/>
          <w:rtl/>
        </w:rPr>
        <w:t>(1)</w:t>
      </w:r>
      <w:r w:rsidRPr="00132E65">
        <w:rPr>
          <w:rtl/>
          <w:lang w:bidi="fa-IR"/>
        </w:rPr>
        <w:t xml:space="preserve"> جَمِيعُ بَنِي هَاشِمٍ والْقُوَّادُ والنَّاسُ عَلى أَنَّهُ </w:t>
      </w:r>
      <w:r>
        <w:rPr>
          <w:rStyle w:val="libFootnotenumChar"/>
          <w:rtl/>
        </w:rPr>
        <w:t>(2)</w:t>
      </w:r>
      <w:r w:rsidRPr="00132E65">
        <w:rPr>
          <w:rtl/>
          <w:lang w:bidi="fa-IR"/>
        </w:rPr>
        <w:t xml:space="preserve"> إِذَا وافى أَقْطَعَهُ قَطِيعَةً </w:t>
      </w:r>
      <w:r>
        <w:rPr>
          <w:rStyle w:val="libFootnotenumChar"/>
          <w:rtl/>
        </w:rPr>
        <w:t>(3)</w:t>
      </w:r>
      <w:r w:rsidRPr="00132E65">
        <w:rPr>
          <w:rtl/>
          <w:lang w:bidi="fa-IR"/>
        </w:rPr>
        <w:t xml:space="preserve"> ، و</w:t>
      </w:r>
      <w:r w:rsidR="004B31A9">
        <w:rPr>
          <w:rFonts w:hint="cs"/>
          <w:rtl/>
          <w:lang w:bidi="fa-IR"/>
        </w:rPr>
        <w:t>َ</w:t>
      </w:r>
      <w:r w:rsidRPr="00132E65">
        <w:rPr>
          <w:rtl/>
          <w:lang w:bidi="fa-IR"/>
        </w:rPr>
        <w:t xml:space="preserve">بَنى لَهُ فِيهَا ، وحَوَّلَ الْخَمَّارِينَ والْقِيَانَ </w:t>
      </w:r>
      <w:r>
        <w:rPr>
          <w:rStyle w:val="libFootnotenumChar"/>
          <w:rtl/>
        </w:rPr>
        <w:t>(4)</w:t>
      </w:r>
      <w:r w:rsidR="00F1313C">
        <w:rPr>
          <w:rtl/>
          <w:lang w:bidi="fa-IR"/>
        </w:rPr>
        <w:t xml:space="preserve"> إِلَيْهِ ، و</w:t>
      </w:r>
      <w:r w:rsidR="00F1313C">
        <w:rPr>
          <w:rFonts w:hint="cs"/>
          <w:rtl/>
          <w:lang w:bidi="fa-IR"/>
        </w:rPr>
        <w:t xml:space="preserve">َ </w:t>
      </w:r>
      <w:r w:rsidR="00F1313C">
        <w:rPr>
          <w:rtl/>
          <w:lang w:bidi="fa-IR"/>
        </w:rPr>
        <w:t>و</w:t>
      </w:r>
      <w:r w:rsidR="00F1313C">
        <w:rPr>
          <w:rFonts w:hint="cs"/>
          <w:rtl/>
          <w:lang w:bidi="fa-IR"/>
        </w:rPr>
        <w:t>َ</w:t>
      </w:r>
      <w:r w:rsidRPr="00132E65">
        <w:rPr>
          <w:rtl/>
          <w:lang w:bidi="fa-IR"/>
        </w:rPr>
        <w:t>صَلَهُ وَبَرَّهُ ، و</w:t>
      </w:r>
      <w:r w:rsidR="00F1313C">
        <w:rPr>
          <w:rFonts w:hint="cs"/>
          <w:rtl/>
          <w:lang w:bidi="fa-IR"/>
        </w:rPr>
        <w:t>َ</w:t>
      </w:r>
      <w:r w:rsidRPr="00132E65">
        <w:rPr>
          <w:rtl/>
          <w:lang w:bidi="fa-IR"/>
        </w:rPr>
        <w:t xml:space="preserve">جَعَلَ لَهُ مَنْزِلاً سَرِيّاً </w:t>
      </w:r>
      <w:r>
        <w:rPr>
          <w:rStyle w:val="libFootnotenumChar"/>
          <w:rtl/>
        </w:rPr>
        <w:t>(5)</w:t>
      </w:r>
      <w:r w:rsidRPr="00132E65">
        <w:rPr>
          <w:rtl/>
          <w:lang w:bidi="fa-IR"/>
        </w:rPr>
        <w:t xml:space="preserve"> حَتّى يَزُورَهُ هُوَ </w:t>
      </w:r>
      <w:r>
        <w:rPr>
          <w:rStyle w:val="libFootnotenumChar"/>
          <w:rtl/>
        </w:rPr>
        <w:t>(6)</w:t>
      </w:r>
      <w:r w:rsidRPr="00132E65">
        <w:rPr>
          <w:rtl/>
          <w:lang w:bidi="fa-IR"/>
        </w:rPr>
        <w:t xml:space="preserve"> فِيهِ.</w:t>
      </w:r>
    </w:p>
    <w:p w:rsidR="000C39D1" w:rsidRPr="00132E65" w:rsidRDefault="000C39D1" w:rsidP="000C39D1">
      <w:pPr>
        <w:pStyle w:val="libNormal"/>
        <w:rPr>
          <w:rtl/>
          <w:lang w:bidi="fa-IR"/>
        </w:rPr>
      </w:pPr>
      <w:r w:rsidRPr="00132E65">
        <w:rPr>
          <w:rtl/>
          <w:lang w:bidi="fa-IR"/>
        </w:rPr>
        <w:t xml:space="preserve">فَلَمَّا وافى مُوسى تَلَقَّاهُ أَبُو الْحَسَنِ </w:t>
      </w:r>
      <w:r w:rsidRPr="00071CF9">
        <w:rPr>
          <w:rStyle w:val="libAlaemChar"/>
          <w:rtl/>
        </w:rPr>
        <w:t>عليه‌السلام</w:t>
      </w:r>
      <w:r w:rsidRPr="00132E65">
        <w:rPr>
          <w:rtl/>
          <w:lang w:bidi="fa-IR"/>
        </w:rPr>
        <w:t xml:space="preserve"> فِي قَنْطَرَةِ وصِيفٍ</w:t>
      </w:r>
      <w:r>
        <w:rPr>
          <w:rtl/>
          <w:lang w:bidi="fa-IR"/>
        </w:rPr>
        <w:t xml:space="preserve"> - </w:t>
      </w:r>
      <w:r w:rsidRPr="00132E65">
        <w:rPr>
          <w:rtl/>
          <w:lang w:bidi="fa-IR"/>
        </w:rPr>
        <w:t xml:space="preserve">وهُوَ مَوْضِعٌ يُتَلَقّى </w:t>
      </w:r>
      <w:r>
        <w:rPr>
          <w:rStyle w:val="libFootnotenumChar"/>
          <w:rtl/>
        </w:rPr>
        <w:t>(7)</w:t>
      </w:r>
      <w:r w:rsidRPr="00132E65">
        <w:rPr>
          <w:rtl/>
          <w:lang w:bidi="fa-IR"/>
        </w:rPr>
        <w:t xml:space="preserve"> فِيهِ الْقَادِمُونَ</w:t>
      </w:r>
      <w:r>
        <w:rPr>
          <w:rtl/>
          <w:lang w:bidi="fa-IR"/>
        </w:rPr>
        <w:t xml:space="preserve"> - </w:t>
      </w:r>
      <w:r w:rsidR="00F1313C">
        <w:rPr>
          <w:rtl/>
          <w:lang w:bidi="fa-IR"/>
        </w:rPr>
        <w:t>فَسَلَّمَ عَلَيْهِ ، و</w:t>
      </w:r>
      <w:r w:rsidR="00F1313C">
        <w:rPr>
          <w:rFonts w:hint="cs"/>
          <w:rtl/>
          <w:lang w:bidi="fa-IR"/>
        </w:rPr>
        <w:t xml:space="preserve">َ </w:t>
      </w:r>
      <w:r w:rsidR="00F1313C">
        <w:rPr>
          <w:rtl/>
          <w:lang w:bidi="fa-IR"/>
        </w:rPr>
        <w:t>و</w:t>
      </w:r>
      <w:r w:rsidR="00F1313C">
        <w:rPr>
          <w:rFonts w:hint="cs"/>
          <w:rtl/>
          <w:lang w:bidi="fa-IR"/>
        </w:rPr>
        <w:t>َ</w:t>
      </w:r>
      <w:r w:rsidRPr="00132E65">
        <w:rPr>
          <w:rtl/>
          <w:lang w:bidi="fa-IR"/>
        </w:rPr>
        <w:t xml:space="preserve">فَّاهُ </w:t>
      </w:r>
      <w:r>
        <w:rPr>
          <w:rStyle w:val="libFootnotenumChar"/>
          <w:rtl/>
        </w:rPr>
        <w:t>(8)</w:t>
      </w:r>
      <w:r w:rsidRPr="00132E65">
        <w:rPr>
          <w:rtl/>
          <w:lang w:bidi="fa-IR"/>
        </w:rPr>
        <w:t xml:space="preserve"> حَقَّهُ ، ثُمَّ قَالَ لَهُ </w:t>
      </w:r>
      <w:r>
        <w:rPr>
          <w:rStyle w:val="libFootnotenumChar"/>
          <w:rtl/>
        </w:rPr>
        <w:t>(9)</w:t>
      </w:r>
      <w:r w:rsidRPr="00132E65">
        <w:rPr>
          <w:rtl/>
          <w:lang w:bidi="fa-IR"/>
        </w:rPr>
        <w:t xml:space="preserve"> : « إِنَّ هذَا الرَّجُلَ قَدْ أَحْضَرَكَ لِيَهْتِكَكَ </w:t>
      </w:r>
      <w:r>
        <w:rPr>
          <w:rStyle w:val="libFootnotenumChar"/>
          <w:rtl/>
        </w:rPr>
        <w:t>(10)</w:t>
      </w:r>
      <w:r w:rsidRPr="00132E65">
        <w:rPr>
          <w:rtl/>
          <w:lang w:bidi="fa-IR"/>
        </w:rPr>
        <w:t xml:space="preserve"> ، و</w:t>
      </w:r>
      <w:r w:rsidR="00F1313C">
        <w:rPr>
          <w:rFonts w:hint="cs"/>
          <w:rtl/>
          <w:lang w:bidi="fa-IR"/>
        </w:rPr>
        <w:t xml:space="preserve">َ </w:t>
      </w:r>
      <w:r w:rsidRPr="00132E65">
        <w:rPr>
          <w:rtl/>
          <w:lang w:bidi="fa-IR"/>
        </w:rPr>
        <w:t xml:space="preserve">يَضَعَ مِنْكَ ، فَلَا تُقِرَّ لَهُ </w:t>
      </w:r>
      <w:r>
        <w:rPr>
          <w:rStyle w:val="libFootnotenumChar"/>
          <w:rtl/>
        </w:rPr>
        <w:t>(11)</w:t>
      </w:r>
      <w:r w:rsidRPr="00132E65">
        <w:rPr>
          <w:rtl/>
          <w:lang w:bidi="fa-IR"/>
        </w:rPr>
        <w:t xml:space="preserve"> أَنَّكَ شَرِبْتَ نَبِيذاً قَطُّ »</w:t>
      </w:r>
      <w:r>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(12)</w:t>
      </w:r>
      <w:r w:rsidRPr="00132E65">
        <w:rPr>
          <w:rtl/>
          <w:lang w:bidi="fa-IR"/>
        </w:rPr>
        <w:t xml:space="preserve"> لَهُ مُوسى : فَإِذَا </w:t>
      </w:r>
      <w:r w:rsidRPr="00F543F1">
        <w:rPr>
          <w:rStyle w:val="libFootnotenumChar"/>
          <w:rtl/>
        </w:rPr>
        <w:t>(13)</w:t>
      </w:r>
      <w:r w:rsidRPr="00132E65">
        <w:rPr>
          <w:rtl/>
          <w:lang w:bidi="fa-IR"/>
        </w:rPr>
        <w:t xml:space="preserve"> كَانَ دَعَانِي لِهذَا ، فَمَا حِيلَتِي</w:t>
      </w:r>
      <w:r>
        <w:rPr>
          <w:rtl/>
          <w:lang w:bidi="fa-IR"/>
        </w:rPr>
        <w:t>؟</w:t>
      </w:r>
      <w:r w:rsidRPr="00132E65">
        <w:rPr>
          <w:rtl/>
          <w:lang w:bidi="fa-IR"/>
        </w:rPr>
        <w:t xml:space="preserve"> قَالَ : « فَلَا تَضَعْ </w:t>
      </w:r>
      <w:r w:rsidRPr="00F543F1">
        <w:rPr>
          <w:rStyle w:val="libFootnotenumChar"/>
          <w:rtl/>
        </w:rPr>
        <w:t>(14)</w:t>
      </w:r>
      <w:r w:rsidRPr="00132E65">
        <w:rPr>
          <w:rtl/>
          <w:lang w:bidi="fa-IR"/>
        </w:rPr>
        <w:t xml:space="preserve">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تَلَقّاهُ » ، أي استقبله. </w:t>
      </w:r>
      <w:r w:rsidRPr="008B4A3C">
        <w:rPr>
          <w:rtl/>
        </w:rPr>
        <w:t>الصحاح</w:t>
      </w:r>
      <w:r w:rsidRPr="00132E65">
        <w:rPr>
          <w:rtl/>
        </w:rPr>
        <w:t xml:space="preserve"> ، ج 6 ، ص 2484 ( لقا )</w:t>
      </w:r>
      <w:r>
        <w:rPr>
          <w:rtl/>
        </w:rPr>
        <w:t>.</w:t>
      </w:r>
    </w:p>
    <w:p w:rsidR="000C39D1" w:rsidRPr="00132E65" w:rsidRDefault="000C39D1" w:rsidP="000C39D1">
      <w:pPr>
        <w:pStyle w:val="libFootnote0"/>
        <w:rPr>
          <w:rtl/>
          <w:lang w:bidi="fa-IR"/>
        </w:rPr>
      </w:pPr>
      <w:r>
        <w:rPr>
          <w:rtl/>
        </w:rPr>
        <w:t>(2).</w:t>
      </w:r>
      <w:r w:rsidRPr="00132E65">
        <w:rPr>
          <w:rtl/>
        </w:rPr>
        <w:t xml:space="preserve"> الظرف متعلّق</w:t>
      </w:r>
      <w:r w:rsidR="00F1382A">
        <w:rPr>
          <w:rtl/>
        </w:rPr>
        <w:t xml:space="preserve"> ب</w:t>
      </w:r>
      <w:r w:rsidR="00F1382A">
        <w:rPr>
          <w:rFonts w:hint="cs"/>
          <w:rtl/>
        </w:rPr>
        <w:t>ـ</w:t>
      </w:r>
      <w:r>
        <w:rPr>
          <w:rtl/>
        </w:rPr>
        <w:t xml:space="preserve"> «</w:t>
      </w:r>
      <w:r w:rsidRPr="00132E65">
        <w:rPr>
          <w:rtl/>
        </w:rPr>
        <w:t xml:space="preserve"> كتب »</w:t>
      </w:r>
      <w:r>
        <w:rPr>
          <w:rtl/>
        </w:rPr>
        <w:t>.</w:t>
      </w:r>
      <w:r w:rsidRPr="00132E65">
        <w:rPr>
          <w:rtl/>
        </w:rPr>
        <w:t xml:space="preserve"> واحتمل المجلسي كونه حالاً ، أي كتب إليه على هذه الشروط ، </w:t>
      </w:r>
      <w:r>
        <w:rPr>
          <w:rtl/>
        </w:rPr>
        <w:t>و «</w:t>
      </w:r>
      <w:r w:rsidRPr="00132E65">
        <w:rPr>
          <w:rtl/>
        </w:rPr>
        <w:t xml:space="preserve"> اشخص » إلى « والناس » اعتراضيّة. واحتمل المجلسي أيضاً كون « الناس » مبتدأ والظرف خبره ، والجملة حاليّة ، أي الناس كانوا فيه على هذا الاعتقاد. راجع : </w:t>
      </w:r>
      <w:r w:rsidRPr="008B4A3C">
        <w:rPr>
          <w:rtl/>
        </w:rPr>
        <w:t>شرح المازندراني</w:t>
      </w:r>
      <w:r w:rsidRPr="00132E65">
        <w:rPr>
          <w:rtl/>
        </w:rPr>
        <w:t xml:space="preserve"> ، ج 7 ، ص 307 ؛ </w:t>
      </w:r>
      <w:r w:rsidRPr="009D1ACE">
        <w:rPr>
          <w:rStyle w:val="libFootnoteBoldChar"/>
          <w:rtl/>
        </w:rPr>
        <w:t>مرآة العقول</w:t>
      </w:r>
      <w:r w:rsidRPr="00132E65">
        <w:rPr>
          <w:rtl/>
        </w:rPr>
        <w:t xml:space="preserve"> ، ج 6 ، ص 129.</w:t>
      </w:r>
    </w:p>
    <w:p w:rsidR="000C39D1" w:rsidRPr="00132E65" w:rsidRDefault="000C39D1" w:rsidP="000C39D1">
      <w:pPr>
        <w:pStyle w:val="libFootnote0"/>
        <w:rPr>
          <w:rtl/>
          <w:lang w:bidi="fa-IR"/>
        </w:rPr>
      </w:pPr>
      <w:r>
        <w:rPr>
          <w:rtl/>
        </w:rPr>
        <w:t>(3).</w:t>
      </w:r>
      <w:r w:rsidRPr="00132E65">
        <w:rPr>
          <w:rtl/>
        </w:rPr>
        <w:t xml:space="preserve"> « أقطعه قطيعة » ، أي أذن له في اقتطاعِها ، أي أَخْذِها. أو جعلها مِلْكاً له ، أو أعطاه إيّاها. والقطيعة : طائفة من أرض الخراج ، واسم لذلك الشي‌ء الذي يُقْطَعُ. راجع : </w:t>
      </w:r>
      <w:r w:rsidRPr="009D1ACE">
        <w:rPr>
          <w:rStyle w:val="libFootnoteBoldChar"/>
          <w:rtl/>
        </w:rPr>
        <w:t>لسان العرب</w:t>
      </w:r>
      <w:r w:rsidRPr="00132E65">
        <w:rPr>
          <w:rtl/>
        </w:rPr>
        <w:t xml:space="preserve"> ، ج 8 ، ص 280 ؛ </w:t>
      </w:r>
      <w:r w:rsidRPr="008B4A3C">
        <w:rPr>
          <w:rtl/>
        </w:rPr>
        <w:t>المصباح المنير</w:t>
      </w:r>
      <w:r w:rsidR="0006034E">
        <w:rPr>
          <w:rtl/>
        </w:rPr>
        <w:t xml:space="preserve"> ، ص 509 (قطع</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قال ابن الأثير : « القِيانُ : جمع القَيْنَة ، وهي الأمة غنّت أو لم تغنّ ، والماشطة. وكثيراً تطلق على المغنّية من الإماء »</w:t>
      </w:r>
      <w:r>
        <w:rPr>
          <w:rtl/>
        </w:rPr>
        <w:t>.</w:t>
      </w:r>
      <w:r w:rsidRPr="00132E65">
        <w:rPr>
          <w:rtl/>
        </w:rPr>
        <w:t xml:space="preserve"> وقال الفيروزآبادي : « القَيْنُ : العبد ، والجمع : قِيان »</w:t>
      </w:r>
      <w:r>
        <w:rPr>
          <w:rtl/>
        </w:rPr>
        <w:t>.</w:t>
      </w:r>
      <w:r w:rsidRPr="00132E65">
        <w:rPr>
          <w:rtl/>
        </w:rPr>
        <w:t xml:space="preserve"> راجع : </w:t>
      </w:r>
      <w:r w:rsidRPr="008B4A3C">
        <w:rPr>
          <w:rtl/>
        </w:rPr>
        <w:t>النهاية</w:t>
      </w:r>
      <w:r w:rsidRPr="00132E65">
        <w:rPr>
          <w:rtl/>
        </w:rPr>
        <w:t xml:space="preserve"> ، ج 4 ، ص 135 ؛ </w:t>
      </w:r>
      <w:r w:rsidRPr="008B4A3C">
        <w:rPr>
          <w:rtl/>
        </w:rPr>
        <w:t>القاموس المحيط</w:t>
      </w:r>
      <w:r w:rsidRPr="00132E65">
        <w:rPr>
          <w:rtl/>
        </w:rPr>
        <w:t xml:space="preserve"> ، ج 2 ، ص 1611 ( قين )</w:t>
      </w:r>
      <w:r>
        <w:rPr>
          <w:rtl/>
        </w:rPr>
        <w:t>.</w:t>
      </w:r>
    </w:p>
    <w:p w:rsidR="000C39D1" w:rsidRPr="00132E65" w:rsidRDefault="000C39D1" w:rsidP="000C39D1">
      <w:pPr>
        <w:pStyle w:val="libFootnote0"/>
        <w:rPr>
          <w:rtl/>
          <w:lang w:bidi="fa-IR"/>
        </w:rPr>
      </w:pPr>
      <w:r>
        <w:rPr>
          <w:rtl/>
        </w:rPr>
        <w:t>(5).</w:t>
      </w:r>
      <w:r w:rsidRPr="00132E65">
        <w:rPr>
          <w:rtl/>
        </w:rPr>
        <w:t xml:space="preserve"> في « ف » : « سرباً »</w:t>
      </w:r>
      <w:r>
        <w:rPr>
          <w:rtl/>
        </w:rPr>
        <w:t>.</w:t>
      </w:r>
      <w:r w:rsidRPr="00132E65">
        <w:rPr>
          <w:rtl/>
        </w:rPr>
        <w:t xml:space="preserve"> </w:t>
      </w:r>
      <w:r>
        <w:rPr>
          <w:rtl/>
        </w:rPr>
        <w:t>و «</w:t>
      </w:r>
      <w:r w:rsidRPr="00132E65">
        <w:rPr>
          <w:rtl/>
        </w:rPr>
        <w:t xml:space="preserve"> السَرِيُّ » : الشريف والنفيس. قال المازندراني : « والمنزل السَرِيّ : المنزل الشريف النفيس المختار الموافق للطبع بحسب الكمّ والكيف وحسن المنظر »</w:t>
      </w:r>
      <w:r>
        <w:rPr>
          <w:rtl/>
        </w:rPr>
        <w:t>.</w:t>
      </w:r>
      <w:r w:rsidRPr="00132E65">
        <w:rPr>
          <w:rtl/>
        </w:rPr>
        <w:t xml:space="preserve"> راجع : </w:t>
      </w:r>
      <w:r w:rsidRPr="008B4A3C">
        <w:rPr>
          <w:rtl/>
        </w:rPr>
        <w:t>النهاية</w:t>
      </w:r>
      <w:r w:rsidRPr="00132E65">
        <w:rPr>
          <w:rtl/>
        </w:rPr>
        <w:t xml:space="preserve"> ، ج 2 ، ص 363 ( سرى )</w:t>
      </w:r>
      <w:r>
        <w:rPr>
          <w:rtl/>
        </w:rPr>
        <w:t>.</w:t>
      </w:r>
    </w:p>
    <w:p w:rsidR="000C39D1" w:rsidRPr="00132E65" w:rsidRDefault="000C39D1" w:rsidP="000C39D1">
      <w:pPr>
        <w:pStyle w:val="libFootnote0"/>
        <w:rPr>
          <w:rtl/>
          <w:lang w:bidi="fa-IR"/>
        </w:rPr>
      </w:pPr>
      <w:r>
        <w:rPr>
          <w:rtl/>
        </w:rPr>
        <w:t>(6).</w:t>
      </w:r>
      <w:r w:rsidRPr="00132E65">
        <w:rPr>
          <w:rtl/>
        </w:rPr>
        <w:t xml:space="preserve"> في « بح » : « وهو »</w:t>
      </w:r>
      <w:r>
        <w:rPr>
          <w:rtl/>
        </w:rPr>
        <w:t>.</w:t>
      </w:r>
    </w:p>
    <w:p w:rsidR="000C39D1" w:rsidRPr="00132E65" w:rsidRDefault="000C39D1" w:rsidP="000C39D1">
      <w:pPr>
        <w:pStyle w:val="libFootnote0"/>
        <w:rPr>
          <w:rtl/>
          <w:lang w:bidi="fa-IR"/>
        </w:rPr>
      </w:pPr>
      <w:r>
        <w:rPr>
          <w:rtl/>
        </w:rPr>
        <w:t>(7).</w:t>
      </w:r>
      <w:r w:rsidRPr="00132E65">
        <w:rPr>
          <w:rtl/>
        </w:rPr>
        <w:t xml:space="preserve"> هكذا في « ب ، ج ، ض ، ف ، بح ، بر ، بس ، بف » و</w:t>
      </w:r>
      <w:r w:rsidRPr="009D1ACE">
        <w:rPr>
          <w:rStyle w:val="libFootnoteBoldChar"/>
          <w:rtl/>
        </w:rPr>
        <w:t>الوافي</w:t>
      </w:r>
      <w:r w:rsidRPr="00132E65">
        <w:rPr>
          <w:rtl/>
        </w:rPr>
        <w:t xml:space="preserve"> والبحار. وفي المطبوع : « تتلقّى »</w:t>
      </w:r>
      <w:r>
        <w:rPr>
          <w:rtl/>
        </w:rPr>
        <w:t>.</w:t>
      </w:r>
    </w:p>
    <w:tbl>
      <w:tblPr>
        <w:tblStyle w:val="TableGrid"/>
        <w:bidiVisual/>
        <w:tblW w:w="0" w:type="auto"/>
        <w:tblLook w:val="04A0" w:firstRow="1" w:lastRow="0" w:firstColumn="1" w:lastColumn="0" w:noHBand="0" w:noVBand="1"/>
      </w:tblPr>
      <w:tblGrid>
        <w:gridCol w:w="4261"/>
        <w:gridCol w:w="4262"/>
      </w:tblGrid>
      <w:tr w:rsidR="00F1382A" w:rsidTr="00F1382A">
        <w:tc>
          <w:tcPr>
            <w:tcW w:w="4261" w:type="dxa"/>
          </w:tcPr>
          <w:p w:rsidR="00F1382A" w:rsidRDefault="00F1382A" w:rsidP="000C39D1">
            <w:pPr>
              <w:pStyle w:val="libFootnote0"/>
              <w:rPr>
                <w:rtl/>
              </w:rPr>
            </w:pPr>
            <w:r>
              <w:rPr>
                <w:rtl/>
              </w:rPr>
              <w:t>(8).</w:t>
            </w:r>
            <w:r w:rsidRPr="00132E65">
              <w:rPr>
                <w:rtl/>
              </w:rPr>
              <w:t xml:space="preserve"> في حاشية « بس » : « وافاه »</w:t>
            </w:r>
            <w:r>
              <w:rPr>
                <w:rtl/>
              </w:rPr>
              <w:t>.</w:t>
            </w:r>
          </w:p>
        </w:tc>
        <w:tc>
          <w:tcPr>
            <w:tcW w:w="4262" w:type="dxa"/>
          </w:tcPr>
          <w:p w:rsidR="00F1382A" w:rsidRDefault="00F1382A" w:rsidP="000C39D1">
            <w:pPr>
              <w:pStyle w:val="libFootnote0"/>
              <w:rPr>
                <w:rtl/>
              </w:rPr>
            </w:pPr>
            <w:r>
              <w:rPr>
                <w:rtl/>
              </w:rPr>
              <w:t>(9).</w:t>
            </w:r>
            <w:r w:rsidRPr="00132E65">
              <w:rPr>
                <w:rtl/>
              </w:rPr>
              <w:t xml:space="preserve"> في « بر »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(10).</w:t>
      </w:r>
      <w:r w:rsidRPr="00132E65">
        <w:rPr>
          <w:rtl/>
        </w:rPr>
        <w:t xml:space="preserve"> في « بر » : « لهتكك »</w:t>
      </w:r>
      <w:r>
        <w:rPr>
          <w:rtl/>
        </w:rPr>
        <w:t>.</w:t>
      </w:r>
    </w:p>
    <w:p w:rsidR="000C39D1" w:rsidRPr="00132E65" w:rsidRDefault="000C39D1" w:rsidP="000C39D1">
      <w:pPr>
        <w:pStyle w:val="libFootnote0"/>
        <w:rPr>
          <w:rtl/>
          <w:lang w:bidi="fa-IR"/>
        </w:rPr>
      </w:pPr>
      <w:r>
        <w:rPr>
          <w:rtl/>
        </w:rPr>
        <w:t>(11).</w:t>
      </w:r>
      <w:r w:rsidRPr="00132E65">
        <w:rPr>
          <w:rtl/>
        </w:rPr>
        <w:t xml:space="preserve"> في « ف » : « فلا تقوّله »</w:t>
      </w:r>
      <w:r>
        <w:rPr>
          <w:rtl/>
        </w:rPr>
        <w:t>.</w:t>
      </w:r>
    </w:p>
    <w:p w:rsidR="000C39D1" w:rsidRPr="00132E65" w:rsidRDefault="000C39D1" w:rsidP="000C39D1">
      <w:pPr>
        <w:pStyle w:val="libFootnote0"/>
        <w:rPr>
          <w:rtl/>
          <w:lang w:bidi="fa-IR"/>
        </w:rPr>
      </w:pPr>
      <w:r>
        <w:rPr>
          <w:rtl/>
        </w:rPr>
        <w:t>(12).</w:t>
      </w:r>
      <w:r w:rsidRPr="00132E65">
        <w:rPr>
          <w:rtl/>
        </w:rPr>
        <w:t xml:space="preserve"> في « بر » : « قال »</w:t>
      </w:r>
      <w:r>
        <w:rPr>
          <w:rtl/>
        </w:rPr>
        <w:t>.</w:t>
      </w:r>
    </w:p>
    <w:p w:rsidR="000C39D1" w:rsidRPr="00132E65" w:rsidRDefault="000C39D1" w:rsidP="000C39D1">
      <w:pPr>
        <w:pStyle w:val="libFootnote0"/>
        <w:rPr>
          <w:rtl/>
          <w:lang w:bidi="fa-IR"/>
        </w:rPr>
      </w:pPr>
      <w:r>
        <w:rPr>
          <w:rtl/>
        </w:rPr>
        <w:t>(13)</w:t>
      </w:r>
      <w:r w:rsidRPr="00132E65">
        <w:rPr>
          <w:rtl/>
        </w:rPr>
        <w:t xml:space="preserve"> في « ف » : « إذا » بدون الفاء.</w:t>
      </w:r>
    </w:p>
    <w:p w:rsidR="000C39D1" w:rsidRPr="00132E65" w:rsidRDefault="000C39D1" w:rsidP="000C39D1">
      <w:pPr>
        <w:pStyle w:val="libFootnote0"/>
        <w:rPr>
          <w:rtl/>
          <w:lang w:bidi="fa-IR"/>
        </w:rPr>
      </w:pPr>
      <w:r>
        <w:rPr>
          <w:rtl/>
        </w:rPr>
        <w:t>(14)</w:t>
      </w:r>
      <w:r w:rsidRPr="00132E65">
        <w:rPr>
          <w:rtl/>
        </w:rPr>
        <w:t xml:space="preserve"> في « ف » : « فلا تضيّع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قَدْرِكَ ، و</w:t>
      </w:r>
      <w:r w:rsidR="006E1FB3">
        <w:rPr>
          <w:rFonts w:hint="cs"/>
          <w:rtl/>
          <w:lang w:bidi="fa-IR"/>
        </w:rPr>
        <w:t xml:space="preserve">َ </w:t>
      </w:r>
      <w:r w:rsidRPr="00132E65">
        <w:rPr>
          <w:rtl/>
          <w:lang w:bidi="fa-IR"/>
        </w:rPr>
        <w:t>لَاتَفْعَلْ ؛ فَإِنَّمَا أَرَادَ هَتْكَكَ »</w:t>
      </w:r>
      <w:r>
        <w:rPr>
          <w:rtl/>
          <w:lang w:bidi="fa-IR"/>
        </w:rPr>
        <w:t>.</w:t>
      </w:r>
      <w:r w:rsidRPr="00132E65">
        <w:rPr>
          <w:rtl/>
          <w:lang w:bidi="fa-IR"/>
        </w:rPr>
        <w:t xml:space="preserve"> فَأَبى عَلَيْهِ ، فَكَرَّرَ عَلَيْهِ </w:t>
      </w:r>
      <w:r>
        <w:rPr>
          <w:rStyle w:val="libFootnotenumChar"/>
          <w:rtl/>
        </w:rPr>
        <w:t>(1)</w:t>
      </w:r>
      <w:r w:rsidRPr="00132E65">
        <w:rPr>
          <w:rtl/>
          <w:lang w:bidi="fa-IR"/>
        </w:rPr>
        <w:t xml:space="preserve"> ، فَلَمَّا رَأى أَنَّهُ لَايُجِيبُ ، قَالَ </w:t>
      </w:r>
      <w:r>
        <w:rPr>
          <w:rStyle w:val="libFootnotenumChar"/>
          <w:rtl/>
        </w:rPr>
        <w:t>(2)</w:t>
      </w:r>
      <w:r w:rsidRPr="00132E65">
        <w:rPr>
          <w:rtl/>
          <w:lang w:bidi="fa-IR"/>
        </w:rPr>
        <w:t xml:space="preserve"> : « أَمَا إِنَّ هذَا مَجْلِسٌ لَاتُجْمَعُ </w:t>
      </w:r>
      <w:r>
        <w:rPr>
          <w:rStyle w:val="libFootnotenumChar"/>
          <w:rtl/>
        </w:rPr>
        <w:t>(3)</w:t>
      </w:r>
      <w:r w:rsidRPr="00132E65">
        <w:rPr>
          <w:rtl/>
          <w:lang w:bidi="fa-IR"/>
        </w:rPr>
        <w:t xml:space="preserve"> أَنْتَ وهُوَ عَلَيْهِ أَبَداً »</w:t>
      </w:r>
      <w:r>
        <w:rPr>
          <w:rtl/>
          <w:lang w:bidi="fa-IR"/>
        </w:rPr>
        <w:t>.</w:t>
      </w:r>
      <w:r w:rsidRPr="00132E65">
        <w:rPr>
          <w:rtl/>
          <w:lang w:bidi="fa-IR"/>
        </w:rPr>
        <w:t xml:space="preserve"> فَأَقَامَ </w:t>
      </w:r>
      <w:r>
        <w:rPr>
          <w:rStyle w:val="libFootnotenumChar"/>
          <w:rtl/>
        </w:rPr>
        <w:t>(4)</w:t>
      </w:r>
      <w:r w:rsidRPr="00132E65">
        <w:rPr>
          <w:rtl/>
          <w:lang w:bidi="fa-IR"/>
        </w:rPr>
        <w:t xml:space="preserve"> ثَلَاثَ سِنِينَ يُبَكِّرُ </w:t>
      </w:r>
      <w:r>
        <w:rPr>
          <w:rStyle w:val="libFootnotenumChar"/>
          <w:rtl/>
        </w:rPr>
        <w:t>(5)</w:t>
      </w:r>
      <w:r w:rsidRPr="00132E65">
        <w:rPr>
          <w:rtl/>
          <w:lang w:bidi="fa-IR"/>
        </w:rPr>
        <w:t xml:space="preserve"> كُلَّ يَوْمٍ ، فَيُقَالُ </w:t>
      </w:r>
      <w:r>
        <w:rPr>
          <w:rStyle w:val="libFootnotenumChar"/>
          <w:rtl/>
        </w:rPr>
        <w:t>(6)</w:t>
      </w:r>
      <w:r w:rsidRPr="00132E65">
        <w:rPr>
          <w:rtl/>
          <w:lang w:bidi="fa-IR"/>
        </w:rPr>
        <w:t xml:space="preserve"> لَهُ </w:t>
      </w:r>
      <w:r>
        <w:rPr>
          <w:rStyle w:val="libFootnotenumChar"/>
          <w:rtl/>
        </w:rPr>
        <w:t>(7)</w:t>
      </w:r>
      <w:r w:rsidRPr="00132E65">
        <w:rPr>
          <w:rtl/>
          <w:lang w:bidi="fa-IR"/>
        </w:rPr>
        <w:t xml:space="preserve"> : قَدْ تَشَاغَلَ الْيَوْمَ ، فَرُحْ ، فَيَرُوحُ ، فَيُقَالُ : قَدْ سَكِرَ </w:t>
      </w:r>
      <w:r>
        <w:rPr>
          <w:rStyle w:val="libFootnotenumChar"/>
          <w:rtl/>
        </w:rPr>
        <w:t>(8)</w:t>
      </w:r>
      <w:r w:rsidRPr="00132E65">
        <w:rPr>
          <w:rtl/>
          <w:lang w:bidi="fa-IR"/>
        </w:rPr>
        <w:t xml:space="preserve"> ، فَبَكِّرْ ، فَيُبَكِّرُ ، فَيُقَالُ : شَرِبَ </w:t>
      </w:r>
      <w:r>
        <w:rPr>
          <w:rStyle w:val="libFootnotenumChar"/>
          <w:rtl/>
        </w:rPr>
        <w:t>(9)</w:t>
      </w:r>
      <w:r w:rsidRPr="00132E65">
        <w:rPr>
          <w:rtl/>
          <w:lang w:bidi="fa-IR"/>
        </w:rPr>
        <w:t xml:space="preserve"> دَوَاءً ، فَمَا زَالَ عَلى هذَا </w:t>
      </w:r>
      <w:r>
        <w:rPr>
          <w:rStyle w:val="libFootnotenumChar"/>
          <w:rtl/>
        </w:rPr>
        <w:t>(10)</w:t>
      </w:r>
      <w:r w:rsidRPr="00132E65">
        <w:rPr>
          <w:rtl/>
          <w:lang w:bidi="fa-IR"/>
        </w:rPr>
        <w:t xml:space="preserve"> ثَلَاثَ سِنِينَ حَتّى قُتِلَ الْمُتَوَكِّلُ ، ولَمْ يَجْتَمِعْ مَعَهُ عَلَيْهِ.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8B4A3C">
        <w:rPr>
          <w:rtl/>
        </w:rPr>
        <w:t>1329</w:t>
      </w:r>
      <w:r w:rsidRPr="004325D8">
        <w:rPr>
          <w:rStyle w:val="libBold2Char"/>
          <w:rtl/>
        </w:rPr>
        <w:t xml:space="preserve"> / 9.</w:t>
      </w:r>
      <w:r w:rsidRPr="00132E65">
        <w:rPr>
          <w:rtl/>
          <w:lang w:bidi="fa-IR"/>
        </w:rPr>
        <w:t xml:space="preserve"> بَعْضُ أَصْحَابِنَا ، عَنْ مُحَمَّدِ بْنِ عَلِيٍّ ، قَالَ : أَخْبَرَنِي زَيْدُ بْنُ عَلِيِّ بْنِ الْحُسَيْنِ بْنِ زَيْدٍ </w:t>
      </w:r>
      <w:r>
        <w:rPr>
          <w:rStyle w:val="libFootnotenumChar"/>
          <w:rtl/>
        </w:rPr>
        <w:t>(12)</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w:t>
      </w:r>
      <w:r>
        <w:rPr>
          <w:rtl/>
        </w:rPr>
        <w:t xml:space="preserve">: - </w:t>
      </w:r>
      <w:r w:rsidRPr="00132E65">
        <w:rPr>
          <w:rtl/>
        </w:rPr>
        <w:t>« عليه »</w:t>
      </w:r>
      <w:r>
        <w:rPr>
          <w:rtl/>
        </w:rPr>
        <w:t>.</w:t>
      </w:r>
      <w:r w:rsidRPr="00132E65">
        <w:rPr>
          <w:rtl/>
        </w:rPr>
        <w:t xml:space="preserve"> وفي البحار :</w:t>
      </w:r>
      <w:r>
        <w:rPr>
          <w:rtl/>
        </w:rPr>
        <w:t xml:space="preserve"> + </w:t>
      </w:r>
      <w:r w:rsidRPr="00132E65">
        <w:rPr>
          <w:rtl/>
        </w:rPr>
        <w:t>« القول والوعظ وهو مقيم على خلافه »</w:t>
      </w:r>
      <w:r>
        <w:rPr>
          <w:rtl/>
        </w:rPr>
        <w:t>.</w:t>
      </w:r>
    </w:p>
    <w:p w:rsidR="000C39D1" w:rsidRPr="00132E65" w:rsidRDefault="000C39D1" w:rsidP="000C39D1">
      <w:pPr>
        <w:pStyle w:val="libFootnote0"/>
        <w:rPr>
          <w:rtl/>
          <w:lang w:bidi="fa-IR"/>
        </w:rPr>
      </w:pPr>
      <w:r>
        <w:rPr>
          <w:rtl/>
        </w:rPr>
        <w:t>(2).</w:t>
      </w:r>
      <w:r w:rsidRPr="00132E65">
        <w:rPr>
          <w:rtl/>
        </w:rPr>
        <w:t xml:space="preserve"> في « بر ، بف » و</w:t>
      </w:r>
      <w:r w:rsidRPr="009D1ACE">
        <w:rPr>
          <w:rStyle w:val="libFootnoteBoldChar"/>
          <w:rtl/>
        </w:rPr>
        <w:t>الوافي</w:t>
      </w:r>
      <w:r w:rsidRPr="00132E65">
        <w:rPr>
          <w:rtl/>
        </w:rPr>
        <w:t xml:space="preserve">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(3).</w:t>
      </w:r>
      <w:r w:rsidRPr="00132E65">
        <w:rPr>
          <w:rtl/>
        </w:rPr>
        <w:t xml:space="preserve"> في « ب ، ج ، ض ، بح ، بر ، بس ، بف » و</w:t>
      </w:r>
      <w:r w:rsidRPr="009D1ACE">
        <w:rPr>
          <w:rStyle w:val="libFootnoteBoldChar"/>
          <w:rtl/>
        </w:rPr>
        <w:t>الوافي</w:t>
      </w:r>
      <w:r w:rsidRPr="00132E65">
        <w:rPr>
          <w:rtl/>
        </w:rPr>
        <w:t xml:space="preserve"> والبحار : « لا تجتمع »</w:t>
      </w:r>
      <w:r>
        <w:rPr>
          <w:rtl/>
        </w:rPr>
        <w:t>.</w:t>
      </w:r>
      <w:r w:rsidRPr="00132E65">
        <w:rPr>
          <w:rtl/>
        </w:rPr>
        <w:t xml:space="preserve"> وفي « ف » : « لا يجتمع »</w:t>
      </w:r>
      <w:r>
        <w:rPr>
          <w:rtl/>
        </w:rPr>
        <w:t>.</w:t>
      </w:r>
    </w:p>
    <w:p w:rsidR="000C39D1" w:rsidRPr="00132E65" w:rsidRDefault="000C39D1" w:rsidP="000C39D1">
      <w:pPr>
        <w:pStyle w:val="libFootnote0"/>
        <w:rPr>
          <w:rtl/>
          <w:lang w:bidi="fa-IR"/>
        </w:rPr>
      </w:pPr>
      <w:r>
        <w:rPr>
          <w:rtl/>
        </w:rPr>
        <w:t>(4).</w:t>
      </w:r>
      <w:r w:rsidRPr="00132E65">
        <w:rPr>
          <w:rtl/>
        </w:rPr>
        <w:t xml:space="preserve"> في البحار :</w:t>
      </w:r>
      <w:r>
        <w:rPr>
          <w:rtl/>
        </w:rPr>
        <w:t xml:space="preserve"> + </w:t>
      </w:r>
      <w:r w:rsidRPr="00132E65">
        <w:rPr>
          <w:rtl/>
        </w:rPr>
        <w:t>« موسى »</w:t>
      </w:r>
      <w:r>
        <w:rPr>
          <w:rtl/>
        </w:rPr>
        <w:t>.</w:t>
      </w:r>
    </w:p>
    <w:p w:rsidR="000C39D1" w:rsidRPr="00132E65" w:rsidRDefault="000C39D1" w:rsidP="000C39D1">
      <w:pPr>
        <w:pStyle w:val="libFootnote0"/>
        <w:rPr>
          <w:rtl/>
          <w:lang w:bidi="fa-IR"/>
        </w:rPr>
      </w:pPr>
      <w:r>
        <w:rPr>
          <w:rtl/>
        </w:rPr>
        <w:t>(5).</w:t>
      </w:r>
      <w:r w:rsidRPr="00132E65">
        <w:rPr>
          <w:rtl/>
        </w:rPr>
        <w:t xml:space="preserve"> في حاشية « بر » : « فيبكّر »</w:t>
      </w:r>
      <w:r>
        <w:rPr>
          <w:rtl/>
        </w:rPr>
        <w:t>.</w:t>
      </w:r>
      <w:r w:rsidRPr="00132E65">
        <w:rPr>
          <w:rtl/>
        </w:rPr>
        <w:t xml:space="preserve"> </w:t>
      </w:r>
      <w:r>
        <w:rPr>
          <w:rtl/>
        </w:rPr>
        <w:t>و «</w:t>
      </w:r>
      <w:r w:rsidRPr="00132E65">
        <w:rPr>
          <w:rtl/>
        </w:rPr>
        <w:t xml:space="preserve"> يُبَكِّر » ، أي يأتي بُكْرَةً ، وهو أوّل النهار. </w:t>
      </w:r>
      <w:r w:rsidRPr="009D1ACE">
        <w:rPr>
          <w:rStyle w:val="libFootnoteBoldChar"/>
          <w:rtl/>
        </w:rPr>
        <w:t>لسان العرب</w:t>
      </w:r>
      <w:r w:rsidR="0006034E">
        <w:rPr>
          <w:rtl/>
        </w:rPr>
        <w:t xml:space="preserve"> ، ج 4 ، ص 76 (بكر</w:t>
      </w:r>
      <w:r w:rsidRPr="00132E65">
        <w:rPr>
          <w:rtl/>
        </w:rPr>
        <w:t>)</w:t>
      </w:r>
      <w:r>
        <w:rPr>
          <w:rtl/>
        </w:rPr>
        <w:t>.</w:t>
      </w:r>
    </w:p>
    <w:p w:rsidR="000C39D1" w:rsidRPr="00132E65" w:rsidRDefault="000C39D1" w:rsidP="000C39D1">
      <w:pPr>
        <w:pStyle w:val="libFootnote0"/>
        <w:rPr>
          <w:rtl/>
          <w:lang w:bidi="fa-IR"/>
        </w:rPr>
      </w:pPr>
      <w:r>
        <w:rPr>
          <w:rtl/>
        </w:rPr>
        <w:t>(6).</w:t>
      </w:r>
      <w:r w:rsidRPr="00132E65">
        <w:rPr>
          <w:rtl/>
        </w:rPr>
        <w:t xml:space="preserve"> في « بر » : « فقال »</w:t>
      </w:r>
      <w:r>
        <w:rPr>
          <w:rtl/>
        </w:rPr>
        <w:t>.</w:t>
      </w:r>
    </w:p>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261"/>
        <w:gridCol w:w="4262"/>
      </w:tblGrid>
      <w:tr w:rsidR="00543374" w:rsidTr="00543374">
        <w:tc>
          <w:tcPr>
            <w:tcW w:w="4261" w:type="dxa"/>
          </w:tcPr>
          <w:p w:rsidR="00543374" w:rsidRDefault="00543374" w:rsidP="000C39D1">
            <w:pPr>
              <w:pStyle w:val="libFootnote0"/>
              <w:rPr>
                <w:rtl/>
              </w:rPr>
            </w:pPr>
            <w:r>
              <w:rPr>
                <w:rtl/>
              </w:rPr>
              <w:t>(8).</w:t>
            </w:r>
            <w:r w:rsidRPr="00132E65">
              <w:rPr>
                <w:rtl/>
              </w:rPr>
              <w:t xml:space="preserve"> في « بح » : « يبكر »</w:t>
            </w:r>
            <w:r>
              <w:rPr>
                <w:rtl/>
              </w:rPr>
              <w:t>.</w:t>
            </w:r>
          </w:p>
        </w:tc>
        <w:tc>
          <w:tcPr>
            <w:tcW w:w="4262" w:type="dxa"/>
          </w:tcPr>
          <w:p w:rsidR="00543374" w:rsidRDefault="00543374" w:rsidP="000C39D1">
            <w:pPr>
              <w:pStyle w:val="libFootnote0"/>
              <w:rPr>
                <w:rtl/>
              </w:rPr>
            </w:pPr>
            <w:r>
              <w:rPr>
                <w:rtl/>
              </w:rPr>
              <w:t>(9).</w:t>
            </w:r>
            <w:r w:rsidRPr="00132E65">
              <w:rPr>
                <w:rtl/>
              </w:rPr>
              <w:t xml:space="preserve"> في البحار : « قد شرب »</w:t>
            </w:r>
            <w:r>
              <w:rPr>
                <w:rtl/>
              </w:rPr>
              <w:t>.</w:t>
            </w:r>
          </w:p>
        </w:tc>
      </w:tr>
    </w:tbl>
    <w:p w:rsidR="000C39D1" w:rsidRPr="00132E65" w:rsidRDefault="000C39D1" w:rsidP="000C39D1">
      <w:pPr>
        <w:pStyle w:val="libFootnote0"/>
        <w:rPr>
          <w:rtl/>
          <w:lang w:bidi="fa-IR"/>
        </w:rPr>
      </w:pPr>
      <w:r>
        <w:rPr>
          <w:rtl/>
        </w:rPr>
        <w:t>(10).</w:t>
      </w:r>
      <w:r w:rsidRPr="00132E65">
        <w:rPr>
          <w:rtl/>
        </w:rPr>
        <w:t xml:space="preserve"> في « بس » : « هذه »</w:t>
      </w:r>
      <w:r>
        <w:rPr>
          <w:rtl/>
        </w:rPr>
        <w:t>.</w:t>
      </w:r>
    </w:p>
    <w:p w:rsidR="000C39D1" w:rsidRPr="00132E65" w:rsidRDefault="000C39D1" w:rsidP="00465EB7">
      <w:pPr>
        <w:pStyle w:val="libFootnote0"/>
        <w:rPr>
          <w:rtl/>
          <w:lang w:bidi="fa-IR"/>
        </w:rPr>
      </w:pPr>
      <w:r>
        <w:rPr>
          <w:rtl/>
        </w:rPr>
        <w:t>(11).</w:t>
      </w:r>
      <w:r w:rsidRPr="00132E65">
        <w:rPr>
          <w:rtl/>
        </w:rPr>
        <w:t xml:space="preserve"> </w:t>
      </w:r>
      <w:r w:rsidRPr="008B4A3C">
        <w:rPr>
          <w:rtl/>
        </w:rPr>
        <w:t>الإرشاد</w:t>
      </w:r>
      <w:r w:rsidRPr="00132E65">
        <w:rPr>
          <w:rtl/>
        </w:rPr>
        <w:t xml:space="preserve"> ، ج 2 ، ص 307 ، عن الحسين بن الحسن الحسني ، مع اختلاف</w:t>
      </w:r>
      <w:r w:rsidR="00465EB7">
        <w:rPr>
          <w:rFonts w:hint="cs"/>
          <w:rtl/>
        </w:rPr>
        <w:t>.</w:t>
      </w:r>
      <w:r w:rsidRPr="009D1ACE">
        <w:rPr>
          <w:rStyle w:val="libFootnoteBoldChar"/>
          <w:rtl/>
        </w:rPr>
        <w:t>الوافي</w:t>
      </w:r>
      <w:r w:rsidRPr="00132E65">
        <w:rPr>
          <w:rtl/>
        </w:rPr>
        <w:t xml:space="preserve"> ، ج 3 ، ص 840 ، ح 1453 ؛ </w:t>
      </w:r>
      <w:r w:rsidRPr="008B4A3C">
        <w:rPr>
          <w:rtl/>
        </w:rPr>
        <w:t>البحار</w:t>
      </w:r>
      <w:r w:rsidRPr="00132E65">
        <w:rPr>
          <w:rtl/>
        </w:rPr>
        <w:t xml:space="preserve"> ، ج 50 ، ص 158 ، ح 49.</w:t>
      </w:r>
    </w:p>
    <w:p w:rsidR="000C39D1" w:rsidRPr="00132E65" w:rsidRDefault="000C39D1" w:rsidP="000C39D1">
      <w:pPr>
        <w:pStyle w:val="libFootnote0"/>
        <w:rPr>
          <w:rtl/>
          <w:lang w:bidi="fa-IR"/>
        </w:rPr>
      </w:pPr>
      <w:r>
        <w:rPr>
          <w:rtl/>
        </w:rPr>
        <w:t>(12).</w:t>
      </w:r>
      <w:r w:rsidRPr="00132E65">
        <w:rPr>
          <w:rtl/>
        </w:rPr>
        <w:t xml:space="preserve"> هكذا في « ب ، ج »</w:t>
      </w:r>
      <w:r>
        <w:rPr>
          <w:rtl/>
        </w:rPr>
        <w:t>.</w:t>
      </w:r>
      <w:r w:rsidRPr="00132E65">
        <w:rPr>
          <w:rtl/>
        </w:rPr>
        <w:t xml:space="preserve"> وفي « ض ، ف ، بح ، بر ، بس ، بف » والمطبوع : « زيد بن عليّ بن الحسن بن زيد »</w:t>
      </w:r>
      <w:r>
        <w:rPr>
          <w:rtl/>
        </w:rPr>
        <w:t>.</w:t>
      </w:r>
    </w:p>
    <w:p w:rsidR="000C39D1" w:rsidRPr="00132E65" w:rsidRDefault="000C39D1" w:rsidP="000C39D1">
      <w:pPr>
        <w:pStyle w:val="libFootnote0"/>
        <w:rPr>
          <w:rtl/>
          <w:lang w:bidi="fa-IR"/>
        </w:rPr>
      </w:pPr>
      <w:r w:rsidRPr="00661890">
        <w:rPr>
          <w:rtl/>
        </w:rPr>
        <w:t xml:space="preserve">والصواب ما أثبتناه ؛ فإنّ عليّ بن الحسن بن زيد المشهور ، هو عليّ بن الحسنَ بن زيد بن الحسن بن عليّ بن أبي طالب ، وليس له ولَدٌ يُسمّى بزيد ، بل عقبه من رجل واحد ، وهو عبد الله راجع : </w:t>
      </w:r>
      <w:r w:rsidRPr="008B4A3C">
        <w:rPr>
          <w:rtl/>
        </w:rPr>
        <w:t>تهذيب الأنساب</w:t>
      </w:r>
      <w:r w:rsidRPr="00661890">
        <w:rPr>
          <w:rtl/>
        </w:rPr>
        <w:t xml:space="preserve"> ، ص 139 ؛ </w:t>
      </w:r>
      <w:r w:rsidRPr="008B4A3C">
        <w:rPr>
          <w:rtl/>
        </w:rPr>
        <w:t>المجدي في أنساب الطالبيين</w:t>
      </w:r>
      <w:r w:rsidRPr="00661890">
        <w:rPr>
          <w:rtl/>
        </w:rPr>
        <w:t xml:space="preserve"> ، ص 35 ؛ </w:t>
      </w:r>
      <w:r w:rsidRPr="008B4A3C">
        <w:rPr>
          <w:rtl/>
        </w:rPr>
        <w:t>الشجرة المباركة في أنساب الطالبيّة</w:t>
      </w:r>
      <w:r w:rsidRPr="00661890">
        <w:rPr>
          <w:rtl/>
        </w:rPr>
        <w:t xml:space="preserve"> ، ص 63 ؛ </w:t>
      </w:r>
      <w:r w:rsidRPr="008B4A3C">
        <w:rPr>
          <w:rtl/>
        </w:rPr>
        <w:t>الفخري في أنساب الطالبيين</w:t>
      </w:r>
      <w:r w:rsidRPr="00661890">
        <w:rPr>
          <w:rtl/>
        </w:rPr>
        <w:t xml:space="preserve"> ، ص 156.</w:t>
      </w:r>
    </w:p>
    <w:p w:rsidR="000C39D1" w:rsidRPr="00132E65" w:rsidRDefault="000C39D1" w:rsidP="000C39D1">
      <w:pPr>
        <w:pStyle w:val="libFootnote0"/>
        <w:rPr>
          <w:rtl/>
          <w:lang w:bidi="fa-IR"/>
        </w:rPr>
      </w:pPr>
      <w:r w:rsidRPr="00661890">
        <w:rPr>
          <w:rtl/>
        </w:rPr>
        <w:t xml:space="preserve">وأمّا زيد هذا ، فهو زيد بن عليّ بن الحسين بن زيد بن عليّ بن الحسين بن عليّ بن أبي طالب. راجع : </w:t>
      </w:r>
      <w:r w:rsidRPr="008B4A3C">
        <w:rPr>
          <w:rtl/>
        </w:rPr>
        <w:t>تهذيب الأنساب</w:t>
      </w:r>
      <w:r w:rsidRPr="00661890">
        <w:rPr>
          <w:rtl/>
        </w:rPr>
        <w:t xml:space="preserve"> ، ص 205 ؛ </w:t>
      </w:r>
      <w:r w:rsidRPr="008B4A3C">
        <w:rPr>
          <w:rtl/>
        </w:rPr>
        <w:t>المجدي في أنساب الطالبيين</w:t>
      </w:r>
      <w:r w:rsidRPr="00661890">
        <w:rPr>
          <w:rtl/>
        </w:rPr>
        <w:t xml:space="preserve"> ، ص 164 ؛ </w:t>
      </w:r>
      <w:r w:rsidRPr="008B4A3C">
        <w:rPr>
          <w:rtl/>
        </w:rPr>
        <w:t>الشجرة المباركة في أنساب الطالبية</w:t>
      </w:r>
      <w:r w:rsidRPr="00661890">
        <w:rPr>
          <w:rtl/>
        </w:rPr>
        <w:t xml:space="preserve"> ، ص 137 ؛ وانظر أيضاً : </w:t>
      </w:r>
      <w:r w:rsidRPr="008B4A3C">
        <w:rPr>
          <w:rtl/>
        </w:rPr>
        <w:t>تاريخ الطبري</w:t>
      </w:r>
      <w:r w:rsidRPr="00661890">
        <w:rPr>
          <w:rtl/>
        </w:rPr>
        <w:t xml:space="preserve"> ، ج 8 ، ص 291 ، وص 305 ، وص 350.</w:t>
      </w:r>
    </w:p>
    <w:p w:rsidR="000C39D1" w:rsidRPr="00132E65" w:rsidRDefault="000C39D1" w:rsidP="000C39D1">
      <w:pPr>
        <w:pStyle w:val="libFootnote0"/>
        <w:rPr>
          <w:rtl/>
          <w:lang w:bidi="fa-IR"/>
        </w:rPr>
      </w:pPr>
      <w:r w:rsidRPr="00661890">
        <w:rPr>
          <w:rtl/>
        </w:rPr>
        <w:t xml:space="preserve">ثمّ إنّ الخبر أورده المفيد في </w:t>
      </w:r>
      <w:r w:rsidRPr="008B4A3C">
        <w:rPr>
          <w:rtl/>
        </w:rPr>
        <w:t>الإرشاد</w:t>
      </w:r>
      <w:r w:rsidRPr="00661890">
        <w:rPr>
          <w:rtl/>
        </w:rPr>
        <w:t xml:space="preserve"> ، ج 2 ، ص 308 ، وفيه أيضاً « زيد بن عليّ بن الحسين بن زيد ».</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مَرِضْتُ ، فَدَخَلَ الطَّبِيبُ عَلَيَّ لَيْلاً ، فَوَصَفَ </w:t>
      </w:r>
      <w:r>
        <w:rPr>
          <w:rStyle w:val="libFootnotenumChar"/>
          <w:rtl/>
        </w:rPr>
        <w:t>(1)</w:t>
      </w:r>
      <w:r w:rsidRPr="00132E65">
        <w:rPr>
          <w:rtl/>
          <w:lang w:bidi="fa-IR"/>
        </w:rPr>
        <w:t xml:space="preserve"> لِي دَوَاءً بِلَيْلٍ </w:t>
      </w:r>
      <w:r>
        <w:rPr>
          <w:rStyle w:val="libFootnotenumChar"/>
          <w:rtl/>
        </w:rPr>
        <w:t>(2)</w:t>
      </w:r>
      <w:r w:rsidRPr="00132E65">
        <w:rPr>
          <w:rtl/>
          <w:lang w:bidi="fa-IR"/>
        </w:rPr>
        <w:t xml:space="preserve"> آخُذُهُ </w:t>
      </w:r>
      <w:r>
        <w:rPr>
          <w:rStyle w:val="libFootnotenumChar"/>
          <w:rtl/>
        </w:rPr>
        <w:t>(3)</w:t>
      </w:r>
      <w:r w:rsidRPr="00132E65">
        <w:rPr>
          <w:rtl/>
          <w:lang w:bidi="fa-IR"/>
        </w:rPr>
        <w:t xml:space="preserve"> كَذَا وكَذَا يَوْماً ، فَلَمْ يُمْكِنِّي ، فَلَمْ يَخْرُجِ </w:t>
      </w:r>
      <w:r>
        <w:rPr>
          <w:rStyle w:val="libFootnotenumChar"/>
          <w:rtl/>
        </w:rPr>
        <w:t>(4)</w:t>
      </w:r>
      <w:r w:rsidRPr="00132E65">
        <w:rPr>
          <w:rtl/>
          <w:lang w:bidi="fa-IR"/>
        </w:rPr>
        <w:t xml:space="preserve"> الطَّبِيبُ مِنَ الْبَابِ حَتّى ورَدَ عَلَيَّ نَصْرٌ بِقَارُورَةٍ </w:t>
      </w:r>
      <w:r>
        <w:rPr>
          <w:rStyle w:val="libFootnotenumChar"/>
          <w:rtl/>
        </w:rPr>
        <w:t>(5)</w:t>
      </w:r>
      <w:r w:rsidRPr="00132E65">
        <w:rPr>
          <w:rtl/>
          <w:lang w:bidi="fa-IR"/>
        </w:rPr>
        <w:t xml:space="preserve"> فِيهَا ذلِكَ الدَّوَاءُ بِعَيْنِهِ ، فَقَالَ لِي : أَبُو الْحَسَنِ </w:t>
      </w:r>
      <w:r w:rsidRPr="00071CF9">
        <w:rPr>
          <w:rStyle w:val="libAlaemChar"/>
          <w:rtl/>
        </w:rPr>
        <w:t>عليه‌السلام</w:t>
      </w:r>
      <w:r w:rsidRPr="00132E65">
        <w:rPr>
          <w:rtl/>
          <w:lang w:bidi="fa-IR"/>
        </w:rPr>
        <w:t xml:space="preserve"> يُقْرِئُكَ السَّلَامَ ، ويَقُولُ لَكَ </w:t>
      </w:r>
      <w:r>
        <w:rPr>
          <w:rStyle w:val="libFootnotenumChar"/>
          <w:rtl/>
        </w:rPr>
        <w:t>(6)</w:t>
      </w:r>
      <w:r w:rsidRPr="00132E65">
        <w:rPr>
          <w:rtl/>
          <w:lang w:bidi="fa-IR"/>
        </w:rPr>
        <w:t xml:space="preserve"> : « خُذْ هذَا الدَّوَاءَ كَذَا وَكَذَا يَوْماً »</w:t>
      </w:r>
      <w:r>
        <w:rPr>
          <w:rtl/>
          <w:lang w:bidi="fa-IR"/>
        </w:rPr>
        <w:t>.</w:t>
      </w:r>
      <w:r w:rsidRPr="00132E65">
        <w:rPr>
          <w:rtl/>
          <w:lang w:bidi="fa-IR"/>
        </w:rPr>
        <w:t xml:space="preserve"> فَأَخَذْتُهُ ، فَشَرِبْتُهُ ، فَبَرَأْتُ.</w:t>
      </w:r>
    </w:p>
    <w:p w:rsidR="000C39D1" w:rsidRPr="00132E65" w:rsidRDefault="000C39D1" w:rsidP="000C39D1">
      <w:pPr>
        <w:pStyle w:val="libNormal"/>
        <w:rPr>
          <w:rtl/>
          <w:lang w:bidi="fa-IR"/>
        </w:rPr>
      </w:pPr>
      <w:r w:rsidRPr="00132E65">
        <w:rPr>
          <w:rtl/>
          <w:lang w:bidi="fa-IR"/>
        </w:rPr>
        <w:t xml:space="preserve">قَالَ مُحَمَّدُ بْنُ عَلِيٍّ : قَالَ لِي زَيْدُ بْنُ عَلِيٍّ : يَأْبَى الطَّاعِنُ </w:t>
      </w:r>
      <w:r>
        <w:rPr>
          <w:rStyle w:val="libFootnotenumChar"/>
          <w:rtl/>
        </w:rPr>
        <w:t>(7)</w:t>
      </w:r>
      <w:r w:rsidRPr="00132E65">
        <w:rPr>
          <w:rtl/>
          <w:lang w:bidi="fa-IR"/>
        </w:rPr>
        <w:t xml:space="preserve"> ، أَيْنَ الْغُلَاةُ عَنْ هذَا الْحَدِيثِ </w:t>
      </w:r>
      <w:r>
        <w:rPr>
          <w:rStyle w:val="libFootnotenumChar"/>
          <w:rtl/>
        </w:rPr>
        <w:t>(8)</w:t>
      </w:r>
      <w:r>
        <w:rPr>
          <w:rtl/>
          <w:lang w:bidi="fa-IR"/>
        </w:rPr>
        <w:t>؟</w:t>
      </w:r>
      <w:r w:rsidRPr="00132E65">
        <w:rPr>
          <w:rtl/>
          <w:lang w:bidi="fa-IR"/>
        </w:rPr>
        <w:t xml:space="preserve"> </w:t>
      </w:r>
      <w:r>
        <w:rPr>
          <w:rStyle w:val="libFootnotenumChar"/>
          <w:rtl/>
        </w:rPr>
        <w:t>(9)</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والإرشاد : « ووصف »</w:t>
      </w:r>
      <w:r>
        <w:rPr>
          <w:rtl/>
        </w:rPr>
        <w:t>.</w:t>
      </w:r>
    </w:p>
    <w:p w:rsidR="000C39D1" w:rsidRPr="00132E65" w:rsidRDefault="000C39D1" w:rsidP="000C39D1">
      <w:pPr>
        <w:pStyle w:val="libFootnote0"/>
        <w:rPr>
          <w:rtl/>
          <w:lang w:bidi="fa-IR"/>
        </w:rPr>
      </w:pPr>
      <w:r>
        <w:rPr>
          <w:rtl/>
        </w:rPr>
        <w:t>(2).</w:t>
      </w:r>
      <w:r w:rsidRPr="00132E65">
        <w:rPr>
          <w:rtl/>
        </w:rPr>
        <w:t xml:space="preserve"> في « ض » : « بلبل »</w:t>
      </w:r>
      <w:r>
        <w:rPr>
          <w:rtl/>
        </w:rPr>
        <w:t>.</w:t>
      </w:r>
      <w:r w:rsidRPr="00132E65">
        <w:rPr>
          <w:rtl/>
        </w:rPr>
        <w:t xml:space="preserve"> وفي « بر » : « بليلة »</w:t>
      </w:r>
      <w:r>
        <w:rPr>
          <w:rtl/>
        </w:rPr>
        <w:t>.</w:t>
      </w:r>
      <w:r w:rsidRPr="00132E65">
        <w:rPr>
          <w:rtl/>
        </w:rPr>
        <w:t xml:space="preserve"> وفي « بح » و</w:t>
      </w:r>
      <w:r w:rsidRPr="009D1ACE">
        <w:rPr>
          <w:rStyle w:val="libFootnoteBoldChar"/>
          <w:rtl/>
        </w:rPr>
        <w:t>الوافي</w:t>
      </w:r>
      <w:r w:rsidRPr="00132E65">
        <w:rPr>
          <w:rtl/>
        </w:rPr>
        <w:t xml:space="preserve"> </w:t>
      </w:r>
      <w:r>
        <w:rPr>
          <w:rtl/>
        </w:rPr>
        <w:t xml:space="preserve">: - </w:t>
      </w:r>
      <w:r w:rsidRPr="00132E65">
        <w:rPr>
          <w:rtl/>
        </w:rPr>
        <w:t>« بليل »</w:t>
      </w:r>
      <w:r>
        <w:rPr>
          <w:rtl/>
        </w:rPr>
        <w:t>.</w:t>
      </w:r>
      <w:r w:rsidRPr="00132E65">
        <w:rPr>
          <w:rtl/>
        </w:rPr>
        <w:t xml:space="preserve"> وجعل المازندراني الباء جزء الكلمة المجرورة بالإضافة ، حيث قال : « البَلِيلُ والبَلِيلَةُ : ريح تحدث من بلّة ورطوبة توجب استرخاء الأعضاء وتحرّكها ، وهو الذي يسمّونه بالفالِج ، وهو داء معروف يرخّي بعض البدن »</w:t>
      </w:r>
      <w:r>
        <w:rPr>
          <w:rtl/>
        </w:rPr>
        <w:t>.</w:t>
      </w:r>
      <w:r w:rsidRPr="00132E65">
        <w:rPr>
          <w:rtl/>
        </w:rPr>
        <w:t xml:space="preserve"> ونسبه المجلسي إلى التصحيف ، وردّه المحقّق الشعراني بقوله : « جعل الشارح الباء في بليل جزءاً من الكلمة واشتقاقه من بلل ، والصحيح أنّ الباء جارّة ، والليل بمعناه المعروف ، والدواء الذي يشرب ليلاً وينام عليه يسمّى في عرف الأطبّاء بالشبيار ، وهو المقصود »</w:t>
      </w:r>
      <w:r>
        <w:rPr>
          <w:rtl/>
        </w:rPr>
        <w:t>.</w:t>
      </w:r>
      <w:r w:rsidRPr="00132E65">
        <w:rPr>
          <w:rtl/>
        </w:rPr>
        <w:t xml:space="preserve"> راجع : </w:t>
      </w:r>
      <w:r w:rsidRPr="008B4A3C">
        <w:rPr>
          <w:rtl/>
        </w:rPr>
        <w:t>شرح المازندراني</w:t>
      </w:r>
      <w:r w:rsidRPr="00132E65">
        <w:rPr>
          <w:rtl/>
        </w:rPr>
        <w:t xml:space="preserve"> ، ج 7 ، ص 309 ؛ </w:t>
      </w:r>
      <w:r w:rsidRPr="009D1ACE">
        <w:rPr>
          <w:rStyle w:val="libFootnoteBoldChar"/>
          <w:rtl/>
        </w:rPr>
        <w:t>مرآة العقول</w:t>
      </w:r>
      <w:r w:rsidRPr="00132E65">
        <w:rPr>
          <w:rtl/>
        </w:rPr>
        <w:t xml:space="preserve"> ، ج 6 ، ص 130 ؛ </w:t>
      </w:r>
      <w:r w:rsidRPr="009D1ACE">
        <w:rPr>
          <w:rStyle w:val="libFootnoteBoldChar"/>
          <w:rtl/>
        </w:rPr>
        <w:t>لسان العرب</w:t>
      </w:r>
      <w:r w:rsidRPr="00132E65">
        <w:rPr>
          <w:rtl/>
        </w:rPr>
        <w:t xml:space="preserve"> ، ج 11 ، ص 64 ( بلل ) ؛ وج 2 ، ص 346 ( فلج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أخذه »</w:t>
      </w:r>
      <w:r>
        <w:rPr>
          <w:rtl/>
        </w:rPr>
        <w:t>.</w:t>
      </w:r>
      <w:r w:rsidRPr="00132E65">
        <w:rPr>
          <w:rtl/>
        </w:rPr>
        <w:t xml:space="preserve"> وفي الإرشاد : « آخذه في السحر » بدل « بليل آخذه »</w:t>
      </w:r>
      <w:r>
        <w:rPr>
          <w:rtl/>
        </w:rPr>
        <w:t>.</w:t>
      </w:r>
    </w:p>
    <w:p w:rsidR="000C39D1" w:rsidRPr="00132E65" w:rsidRDefault="000C39D1" w:rsidP="000C39D1">
      <w:pPr>
        <w:pStyle w:val="libFootnote0"/>
        <w:rPr>
          <w:rtl/>
          <w:lang w:bidi="fa-IR"/>
        </w:rPr>
      </w:pPr>
      <w:r>
        <w:rPr>
          <w:rtl/>
        </w:rPr>
        <w:t>(4).</w:t>
      </w:r>
      <w:r w:rsidRPr="00132E65">
        <w:rPr>
          <w:rtl/>
        </w:rPr>
        <w:t xml:space="preserve"> في « ض » : « ولم يخرج »</w:t>
      </w:r>
      <w:r>
        <w:rPr>
          <w:rtl/>
        </w:rPr>
        <w:t>.</w:t>
      </w:r>
      <w:r w:rsidRPr="00132E65">
        <w:rPr>
          <w:rtl/>
        </w:rPr>
        <w:t xml:space="preserve"> وفي الإرشاد : « تحصيله من الليل وخرج » بدل « فلم يخرج »</w:t>
      </w:r>
      <w:r>
        <w:rPr>
          <w:rtl/>
        </w:rPr>
        <w:t>.</w:t>
      </w:r>
    </w:p>
    <w:p w:rsidR="000C39D1" w:rsidRPr="00132E65" w:rsidRDefault="000C39D1" w:rsidP="000C39D1">
      <w:pPr>
        <w:pStyle w:val="libFootnote0"/>
        <w:rPr>
          <w:rtl/>
          <w:lang w:bidi="fa-IR"/>
        </w:rPr>
      </w:pPr>
      <w:r>
        <w:rPr>
          <w:rtl/>
        </w:rPr>
        <w:t>(5).</w:t>
      </w:r>
      <w:r w:rsidRPr="00132E65">
        <w:rPr>
          <w:rtl/>
        </w:rPr>
        <w:t xml:space="preserve"> في الإرشاد : « وورد صاحب أبي الحسن </w:t>
      </w:r>
      <w:r w:rsidRPr="00744DA5">
        <w:rPr>
          <w:rStyle w:val="libFootnoteAlaemChar"/>
          <w:rtl/>
        </w:rPr>
        <w:t>عليه‌السلام</w:t>
      </w:r>
      <w:r w:rsidRPr="00132E65">
        <w:rPr>
          <w:rtl/>
        </w:rPr>
        <w:t xml:space="preserve"> في الحال ومعه صرّة » بدل « حتّى ورد عليّ نصر بقارورة »</w:t>
      </w:r>
      <w:r>
        <w:rPr>
          <w:rtl/>
        </w:rPr>
        <w:t>.</w:t>
      </w:r>
      <w:r w:rsidRPr="00132E65">
        <w:rPr>
          <w:rtl/>
        </w:rPr>
        <w:t xml:space="preserve"> </w:t>
      </w:r>
      <w:r>
        <w:rPr>
          <w:rtl/>
        </w:rPr>
        <w:t>و «</w:t>
      </w:r>
      <w:r w:rsidRPr="00132E65">
        <w:rPr>
          <w:rtl/>
        </w:rPr>
        <w:t xml:space="preserve"> القارُورَةُ » : إناء يجعل فيه الشراب وغيره. سمّي بها لاستقرار الشرا</w:t>
      </w:r>
      <w:r w:rsidR="00744DA5">
        <w:rPr>
          <w:rtl/>
        </w:rPr>
        <w:t>ب وغيره فيه. وقيل : لا يكون إل</w:t>
      </w:r>
      <w:r w:rsidR="00744DA5">
        <w:rPr>
          <w:rFonts w:hint="cs"/>
          <w:rtl/>
        </w:rPr>
        <w:t>ّ</w:t>
      </w:r>
      <w:r w:rsidR="00744DA5">
        <w:rPr>
          <w:rtl/>
        </w:rPr>
        <w:t>ا</w:t>
      </w:r>
      <w:r w:rsidRPr="00132E65">
        <w:rPr>
          <w:rtl/>
        </w:rPr>
        <w:t xml:space="preserve">من الزجاج خاصّة. راجع : </w:t>
      </w:r>
      <w:r w:rsidRPr="008B4A3C">
        <w:rPr>
          <w:rtl/>
        </w:rPr>
        <w:t>النهاية</w:t>
      </w:r>
      <w:r w:rsidRPr="00132E65">
        <w:rPr>
          <w:rtl/>
        </w:rPr>
        <w:t xml:space="preserve"> ، ج 4 ، ص 39 ؛ </w:t>
      </w:r>
      <w:r w:rsidRPr="009D1ACE">
        <w:rPr>
          <w:rStyle w:val="libFootnoteBoldChar"/>
          <w:rtl/>
        </w:rPr>
        <w:t>لسان العرب</w:t>
      </w:r>
      <w:r w:rsidRPr="00132E65">
        <w:rPr>
          <w:rtl/>
        </w:rPr>
        <w:t xml:space="preserve"> ، ج 5 ، ص 87 ( قرر )</w:t>
      </w:r>
      <w:r>
        <w:rPr>
          <w:rtl/>
        </w:rPr>
        <w:t>.</w:t>
      </w:r>
    </w:p>
    <w:p w:rsidR="000C39D1" w:rsidRPr="00132E65" w:rsidRDefault="000C39D1" w:rsidP="000C39D1">
      <w:pPr>
        <w:pStyle w:val="libFootnote0"/>
        <w:rPr>
          <w:rtl/>
          <w:lang w:bidi="fa-IR"/>
        </w:rPr>
      </w:pPr>
      <w:r>
        <w:rPr>
          <w:rtl/>
        </w:rPr>
        <w:t>(6).</w:t>
      </w:r>
      <w:r w:rsidRPr="00132E65">
        <w:rPr>
          <w:rtl/>
        </w:rPr>
        <w:t xml:space="preserve"> في « ج ، ف ، بح ، بر ، بس ، بف » و</w:t>
      </w:r>
      <w:r w:rsidRPr="009D1ACE">
        <w:rPr>
          <w:rStyle w:val="libFootnoteBoldChar"/>
          <w:rtl/>
        </w:rPr>
        <w:t>الوافي</w:t>
      </w:r>
      <w:r w:rsidRPr="00132E65">
        <w:rPr>
          <w:rtl/>
        </w:rPr>
        <w:t xml:space="preserve"> والإرشاد </w:t>
      </w:r>
      <w:r>
        <w:rPr>
          <w:rtl/>
        </w:rPr>
        <w:t xml:space="preserve">: - </w:t>
      </w:r>
      <w:r w:rsidRPr="00132E65">
        <w:rPr>
          <w:rtl/>
        </w:rPr>
        <w:t>« لك »</w:t>
      </w:r>
      <w:r>
        <w:rPr>
          <w:rtl/>
        </w:rPr>
        <w:t>.</w:t>
      </w:r>
    </w:p>
    <w:p w:rsidR="000C39D1" w:rsidRPr="00132E65" w:rsidRDefault="000C39D1" w:rsidP="000C39D1">
      <w:pPr>
        <w:pStyle w:val="libFootnote0"/>
        <w:rPr>
          <w:rtl/>
          <w:lang w:bidi="fa-IR"/>
        </w:rPr>
      </w:pPr>
      <w:r>
        <w:rPr>
          <w:rtl/>
        </w:rPr>
        <w:t>(7).</w:t>
      </w:r>
      <w:r w:rsidRPr="00132E65">
        <w:rPr>
          <w:rtl/>
        </w:rPr>
        <w:t xml:space="preserve"> في الإرشاد : « يا محمّد » بدل « يأبى الطاعن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الوافي</w:t>
      </w:r>
      <w:r w:rsidRPr="00132E65">
        <w:rPr>
          <w:rtl/>
        </w:rPr>
        <w:t xml:space="preserve"> : « لعلّ المراد بقوله : « يأبى الطاعن » أنّ من يطعن فيهم </w:t>
      </w:r>
      <w:r w:rsidRPr="00744DA5">
        <w:rPr>
          <w:rStyle w:val="libFootnoteAlaemChar"/>
          <w:rtl/>
        </w:rPr>
        <w:t>عليهم‌السلام</w:t>
      </w:r>
      <w:r w:rsidRPr="00132E65">
        <w:rPr>
          <w:rtl/>
        </w:rPr>
        <w:t xml:space="preserve"> لايقبل هذه الكرامة ؛ وبقوله : « أين الغلاة عن هذا الحديث » أين هم حتّى يتمسّكوا به على معتقدهم »</w:t>
      </w:r>
      <w:r>
        <w:rPr>
          <w:rtl/>
        </w:rPr>
        <w:t>.</w:t>
      </w:r>
    </w:p>
    <w:p w:rsidR="000C39D1" w:rsidRPr="00132E65" w:rsidRDefault="000C39D1" w:rsidP="00744DA5">
      <w:pPr>
        <w:pStyle w:val="libFootnote0"/>
        <w:rPr>
          <w:rtl/>
          <w:lang w:bidi="fa-IR"/>
        </w:rPr>
      </w:pPr>
      <w:r>
        <w:rPr>
          <w:rtl/>
        </w:rPr>
        <w:t>(9).</w:t>
      </w:r>
      <w:r w:rsidRPr="00132E65">
        <w:rPr>
          <w:rtl/>
        </w:rPr>
        <w:t xml:space="preserve"> </w:t>
      </w:r>
      <w:r w:rsidRPr="008B4A3C">
        <w:rPr>
          <w:rtl/>
        </w:rPr>
        <w:t>الإرشاد</w:t>
      </w:r>
      <w:r w:rsidRPr="00132E65">
        <w:rPr>
          <w:rtl/>
        </w:rPr>
        <w:t xml:space="preserve"> ، ج 2 ، ص 308 ، عن محمّد بن عليّ</w:t>
      </w:r>
      <w:r w:rsidR="00744DA5">
        <w:rPr>
          <w:rFonts w:hint="cs"/>
          <w:rtl/>
        </w:rPr>
        <w:t>.</w:t>
      </w:r>
      <w:r w:rsidRPr="009D1ACE">
        <w:rPr>
          <w:rStyle w:val="libFootnoteBoldChar"/>
          <w:rtl/>
        </w:rPr>
        <w:t>الوافي</w:t>
      </w:r>
      <w:r w:rsidRPr="00132E65">
        <w:rPr>
          <w:rtl/>
        </w:rPr>
        <w:t xml:space="preserve"> ، ج 3 ، ص 841 ، ح 1454.</w:t>
      </w:r>
    </w:p>
    <w:p w:rsidR="000C39D1" w:rsidRDefault="000C39D1" w:rsidP="0006034E">
      <w:pPr>
        <w:pStyle w:val="libNormal0"/>
        <w:rPr>
          <w:rtl/>
          <w:lang w:bidi="fa-IR"/>
        </w:rPr>
      </w:pPr>
      <w:r>
        <w:rPr>
          <w:rtl/>
          <w:lang w:bidi="fa-IR"/>
        </w:rPr>
        <w:br w:type="page"/>
      </w:r>
    </w:p>
    <w:p w:rsidR="000C39D1" w:rsidRPr="00132E65" w:rsidRDefault="000C39D1" w:rsidP="000C39D1">
      <w:pPr>
        <w:pStyle w:val="Heading2Center"/>
        <w:rPr>
          <w:rtl/>
          <w:lang w:bidi="fa-IR"/>
        </w:rPr>
      </w:pPr>
      <w:bookmarkStart w:id="184" w:name="_Toc459459167"/>
      <w:bookmarkStart w:id="185" w:name="_Toc34663136"/>
      <w:r w:rsidRPr="00132E65">
        <w:rPr>
          <w:rtl/>
          <w:lang w:bidi="fa-IR"/>
        </w:rPr>
        <w:t>124</w:t>
      </w:r>
      <w:r>
        <w:rPr>
          <w:rtl/>
          <w:lang w:bidi="fa-IR"/>
        </w:rPr>
        <w:t xml:space="preserve"> - </w:t>
      </w:r>
      <w:r w:rsidRPr="00132E65">
        <w:rPr>
          <w:rtl/>
          <w:lang w:bidi="fa-IR"/>
        </w:rPr>
        <w:t xml:space="preserve">بَابُ </w:t>
      </w:r>
      <w:r>
        <w:rPr>
          <w:rStyle w:val="libFootnotenumChar"/>
          <w:rtl/>
        </w:rPr>
        <w:t>(1)</w:t>
      </w:r>
      <w:r>
        <w:rPr>
          <w:rtl/>
          <w:lang w:bidi="fa-IR"/>
        </w:rPr>
        <w:t xml:space="preserve"> </w:t>
      </w:r>
      <w:r w:rsidRPr="00132E65">
        <w:rPr>
          <w:rtl/>
          <w:lang w:bidi="fa-IR"/>
        </w:rPr>
        <w:t xml:space="preserve">مَوْلِدِ أَبِي مُحَمَّدٍ الْحَسَنِ بْنِ عَلِيٍّ </w:t>
      </w:r>
      <w:r w:rsidRPr="00071CF9">
        <w:rPr>
          <w:rStyle w:val="libAlaemChar"/>
          <w:rtl/>
        </w:rPr>
        <w:t>عليهما‌السلام</w:t>
      </w:r>
      <w:r w:rsidRPr="00132E65">
        <w:rPr>
          <w:rtl/>
          <w:lang w:bidi="fa-IR"/>
        </w:rPr>
        <w:t>‌</w:t>
      </w:r>
      <w:bookmarkEnd w:id="184"/>
      <w:bookmarkEnd w:id="185"/>
    </w:p>
    <w:p w:rsidR="000C39D1" w:rsidRPr="00132E65" w:rsidRDefault="000C39D1" w:rsidP="000C39D1">
      <w:pPr>
        <w:pStyle w:val="libNormal0"/>
        <w:tabs>
          <w:tab w:val="left" w:pos="3968"/>
        </w:tabs>
        <w:rPr>
          <w:rtl/>
          <w:lang w:bidi="fa-IR"/>
        </w:rPr>
      </w:pPr>
      <w:r w:rsidRPr="00132E65">
        <w:rPr>
          <w:rtl/>
          <w:lang w:bidi="fa-IR"/>
        </w:rPr>
        <w:t xml:space="preserve">وُلِدَ </w:t>
      </w:r>
      <w:r w:rsidRPr="00071CF9">
        <w:rPr>
          <w:rStyle w:val="libAlaemChar"/>
          <w:rtl/>
        </w:rPr>
        <w:t>عليه‌السلام</w:t>
      </w:r>
      <w:r w:rsidRPr="00132E65">
        <w:rPr>
          <w:rtl/>
          <w:lang w:bidi="fa-IR"/>
        </w:rPr>
        <w:t xml:space="preserve"> </w:t>
      </w:r>
      <w:r>
        <w:rPr>
          <w:rStyle w:val="libFootnotenumChar"/>
          <w:rtl/>
        </w:rPr>
        <w:t>(2)</w:t>
      </w:r>
      <w:r w:rsidRPr="00132E65">
        <w:rPr>
          <w:rtl/>
          <w:lang w:bidi="fa-IR"/>
        </w:rPr>
        <w:t xml:space="preserve"> فِي شَهْرِ رَمَضَانَ</w:t>
      </w:r>
      <w:r>
        <w:rPr>
          <w:rtl/>
          <w:lang w:bidi="fa-IR"/>
        </w:rPr>
        <w:t xml:space="preserve"> </w:t>
      </w:r>
      <w:r w:rsidR="009374D8">
        <w:rPr>
          <w:rtl/>
          <w:lang w:bidi="fa-IR"/>
        </w:rPr>
        <w:t>–</w:t>
      </w:r>
      <w:r>
        <w:rPr>
          <w:rtl/>
          <w:lang w:bidi="fa-IR"/>
        </w:rPr>
        <w:t xml:space="preserve"> </w:t>
      </w:r>
      <w:r w:rsidRPr="00132E65">
        <w:rPr>
          <w:rtl/>
          <w:lang w:bidi="fa-IR"/>
        </w:rPr>
        <w:t>و</w:t>
      </w:r>
      <w:r w:rsidR="009374D8">
        <w:rPr>
          <w:rFonts w:hint="cs"/>
          <w:rtl/>
          <w:lang w:bidi="fa-IR"/>
        </w:rPr>
        <w:t xml:space="preserve">َ </w:t>
      </w:r>
      <w:r w:rsidRPr="00132E65">
        <w:rPr>
          <w:rtl/>
          <w:lang w:bidi="fa-IR"/>
        </w:rPr>
        <w:t xml:space="preserve">فِي نُسْخَةٍ أُخْرى : فِي شَهْرِ </w:t>
      </w:r>
      <w:r>
        <w:rPr>
          <w:rStyle w:val="libFootnotenumChar"/>
          <w:rtl/>
        </w:rPr>
        <w:t>(3)</w:t>
      </w:r>
      <w:r w:rsidRPr="00132E65">
        <w:rPr>
          <w:rtl/>
          <w:lang w:bidi="fa-IR"/>
        </w:rPr>
        <w:t xml:space="preserve"> رَبِيعٍ الْآخِرِ</w:t>
      </w:r>
      <w:r>
        <w:rPr>
          <w:rtl/>
          <w:lang w:bidi="fa-IR"/>
        </w:rPr>
        <w:t xml:space="preserve"> - </w:t>
      </w:r>
      <w:r w:rsidRPr="00132E65">
        <w:rPr>
          <w:rtl/>
          <w:lang w:bidi="fa-IR"/>
        </w:rPr>
        <w:t xml:space="preserve">سَنَةَ اثْنَتَيْنِ وثَلَاثِينَ ومِائَتَيْنِ ؛ وقُبِضَ </w:t>
      </w:r>
      <w:r w:rsidRPr="00071CF9">
        <w:rPr>
          <w:rStyle w:val="libAlaemChar"/>
          <w:rtl/>
        </w:rPr>
        <w:t>عليه‌السلام</w:t>
      </w:r>
      <w:r w:rsidRPr="00132E65">
        <w:rPr>
          <w:rtl/>
          <w:lang w:bidi="fa-IR"/>
        </w:rPr>
        <w:t xml:space="preserve"> يَوْمَ الْجُمُعَةِ لِثَمَانِ لَيَالٍ خَلَوْنَ مِنْ شَهْرِ رَبِيعٍ الْأَوَّلِ </w:t>
      </w:r>
      <w:r>
        <w:rPr>
          <w:rStyle w:val="libFootnotenumChar"/>
          <w:rtl/>
        </w:rPr>
        <w:t>(4)</w:t>
      </w:r>
      <w:r w:rsidRPr="00132E65">
        <w:rPr>
          <w:rtl/>
          <w:lang w:bidi="fa-IR"/>
        </w:rPr>
        <w:t xml:space="preserve"> سَنَةَ سِتِّينَ ومِائَتَيْنِ و</w:t>
      </w:r>
      <w:r w:rsidR="009374D8">
        <w:rPr>
          <w:rFonts w:hint="cs"/>
          <w:rtl/>
          <w:lang w:bidi="fa-IR"/>
        </w:rPr>
        <w:t xml:space="preserve">َ </w:t>
      </w:r>
      <w:r w:rsidRPr="00132E65">
        <w:rPr>
          <w:rtl/>
          <w:lang w:bidi="fa-IR"/>
        </w:rPr>
        <w:t>هُوَ ابْنُ ثَمَانٍ وعِشْرِينَ سَنَةً ، ودُفِنَ فِي دَارِهِ فِي الْبَيْتِ الَّذِي دُفِنَ فِيهِ أَبُوهُ بِسُرَّ مَنْ رَأى ؛ و</w:t>
      </w:r>
      <w:r w:rsidR="009374D8">
        <w:rPr>
          <w:rFonts w:hint="cs"/>
          <w:rtl/>
          <w:lang w:bidi="fa-IR"/>
        </w:rPr>
        <w:t xml:space="preserve">َ </w:t>
      </w:r>
      <w:r w:rsidRPr="00132E65">
        <w:rPr>
          <w:rtl/>
          <w:lang w:bidi="fa-IR"/>
        </w:rPr>
        <w:t>أُمُّهُ أُمُّ و</w:t>
      </w:r>
      <w:r w:rsidR="00B1318A">
        <w:rPr>
          <w:rFonts w:hint="cs"/>
          <w:rtl/>
          <w:lang w:bidi="fa-IR"/>
        </w:rPr>
        <w:t>َ</w:t>
      </w:r>
      <w:r w:rsidRPr="00132E65">
        <w:rPr>
          <w:rtl/>
          <w:lang w:bidi="fa-IR"/>
        </w:rPr>
        <w:t xml:space="preserve">لَدٍ يُقَالُ لَهَا : حُدَيْثُ </w:t>
      </w:r>
      <w:r>
        <w:rPr>
          <w:rStyle w:val="libFootnotenumChar"/>
          <w:rtl/>
        </w:rPr>
        <w:t>(5)</w:t>
      </w:r>
      <w:r w:rsidR="00B1318A">
        <w:rPr>
          <w:rFonts w:hint="cs"/>
          <w:rtl/>
          <w:lang w:bidi="fa-IR"/>
        </w:rPr>
        <w:t>.</w:t>
      </w:r>
      <w:r>
        <w:rPr>
          <w:rStyle w:val="libFootnotenumChar"/>
          <w:rtl/>
        </w:rPr>
        <w:t>(6)</w:t>
      </w:r>
    </w:p>
    <w:p w:rsidR="000C39D1" w:rsidRPr="00132E65" w:rsidRDefault="000C39D1" w:rsidP="000C39D1">
      <w:pPr>
        <w:pStyle w:val="libNormal"/>
        <w:rPr>
          <w:rtl/>
          <w:lang w:bidi="fa-IR"/>
        </w:rPr>
      </w:pPr>
      <w:r w:rsidRPr="008B4A3C">
        <w:rPr>
          <w:rtl/>
        </w:rPr>
        <w:t>1330</w:t>
      </w:r>
      <w:r w:rsidRPr="004325D8">
        <w:rPr>
          <w:rStyle w:val="libBold2Char"/>
          <w:rtl/>
        </w:rPr>
        <w:t xml:space="preserve"> / 1.</w:t>
      </w:r>
      <w:r w:rsidRPr="00132E65">
        <w:rPr>
          <w:rtl/>
          <w:lang w:bidi="fa-IR"/>
        </w:rPr>
        <w:t xml:space="preserve"> الْحُسَيْنُ بْنُ مُحَمَّدٍ الْأَشْعَرِيُّ ومُحَمَّدُ بْنُ يَحْيى وغَيْرُهُمَا ، قَالُوا :</w:t>
      </w:r>
    </w:p>
    <w:p w:rsidR="000C39D1" w:rsidRPr="00132E65" w:rsidRDefault="000C39D1" w:rsidP="000C39D1">
      <w:pPr>
        <w:pStyle w:val="libNormal"/>
        <w:rPr>
          <w:rtl/>
          <w:lang w:bidi="fa-IR"/>
        </w:rPr>
      </w:pPr>
      <w:r w:rsidRPr="00132E65">
        <w:rPr>
          <w:rtl/>
          <w:lang w:bidi="fa-IR"/>
        </w:rPr>
        <w:t xml:space="preserve">كَانَ أَحْمَدُ بْنُ عُبَيْدِ اللهِ بْنِ خَاقَانَ عَلَى الضِّيَاعِ </w:t>
      </w:r>
      <w:r>
        <w:rPr>
          <w:rStyle w:val="libFootnotenumChar"/>
          <w:rtl/>
        </w:rPr>
        <w:t>(7)</w:t>
      </w:r>
      <w:r w:rsidRPr="00132E65">
        <w:rPr>
          <w:rtl/>
          <w:lang w:bidi="fa-IR"/>
        </w:rPr>
        <w:t xml:space="preserve"> والْخَرَاجِ </w:t>
      </w:r>
      <w:r>
        <w:rPr>
          <w:rStyle w:val="libFootnotenumChar"/>
          <w:rtl/>
        </w:rPr>
        <w:t>(8)</w:t>
      </w:r>
      <w:r w:rsidRPr="00132E65">
        <w:rPr>
          <w:rtl/>
          <w:lang w:bidi="fa-IR"/>
        </w:rPr>
        <w:t xml:space="preserve"> بِقُمَّ ، فَجَرى فِي مَجْلِسِهِ يَوْماً ذِكْرُ الْعَلَوِيَّةِ ومَذَاهِبِهِمْ </w:t>
      </w:r>
      <w:r>
        <w:rPr>
          <w:rStyle w:val="libFootnotenumChar"/>
          <w:rtl/>
        </w:rPr>
        <w:t>(9)</w:t>
      </w:r>
      <w:r w:rsidRPr="00132E65">
        <w:rPr>
          <w:rtl/>
          <w:lang w:bidi="fa-IR"/>
        </w:rPr>
        <w:t xml:space="preserve"> ، و</w:t>
      </w:r>
      <w:r w:rsidR="003C7093">
        <w:rPr>
          <w:rFonts w:hint="cs"/>
          <w:rtl/>
          <w:lang w:bidi="fa-IR"/>
        </w:rPr>
        <w:t xml:space="preserve">َ </w:t>
      </w:r>
      <w:r w:rsidRPr="00132E65">
        <w:rPr>
          <w:rtl/>
          <w:lang w:bidi="fa-IR"/>
        </w:rPr>
        <w:t xml:space="preserve">كَانَ شَدِيدَ النَّصْبِ </w:t>
      </w:r>
      <w:r>
        <w:rPr>
          <w:rStyle w:val="libFootnotenumChar"/>
          <w:rtl/>
        </w:rPr>
        <w:t>(10)</w:t>
      </w:r>
      <w:r w:rsidRPr="00132E65">
        <w:rPr>
          <w:rtl/>
          <w:lang w:bidi="fa-IR"/>
        </w:rPr>
        <w:t xml:space="preserve"> ، فَقَالَ </w:t>
      </w:r>
      <w:r>
        <w:rPr>
          <w:rStyle w:val="libFootnotenumChar"/>
          <w:rtl/>
        </w:rPr>
        <w:t>(11)</w:t>
      </w:r>
      <w:r w:rsidRPr="00132E65">
        <w:rPr>
          <w:rtl/>
          <w:lang w:bidi="fa-IR"/>
        </w:rPr>
        <w:t xml:space="preserve"> : مَا رَأَيْتُ‌</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6D739D" w:rsidTr="006D739D">
        <w:tc>
          <w:tcPr>
            <w:tcW w:w="4261" w:type="dxa"/>
          </w:tcPr>
          <w:p w:rsidR="006D739D" w:rsidRDefault="006D739D" w:rsidP="000C39D1">
            <w:pPr>
              <w:pStyle w:val="libFootnote0"/>
              <w:rPr>
                <w:rtl/>
              </w:rPr>
            </w:pPr>
            <w:r>
              <w:rPr>
                <w:rtl/>
              </w:rPr>
              <w:t>(1).</w:t>
            </w:r>
            <w:r w:rsidRPr="00132E65">
              <w:rPr>
                <w:rtl/>
              </w:rPr>
              <w:t xml:space="preserve"> </w:t>
            </w:r>
            <w:r>
              <w:rPr>
                <w:rtl/>
              </w:rPr>
              <w:t>في «ب ، ض ، ف ، بر ، بس ، بف»: - «باب</w:t>
            </w:r>
            <w:r w:rsidRPr="00132E65">
              <w:rPr>
                <w:rtl/>
              </w:rPr>
              <w:t>»</w:t>
            </w:r>
            <w:r>
              <w:rPr>
                <w:rtl/>
              </w:rPr>
              <w:t>.</w:t>
            </w:r>
          </w:p>
        </w:tc>
        <w:tc>
          <w:tcPr>
            <w:tcW w:w="4262" w:type="dxa"/>
          </w:tcPr>
          <w:p w:rsidR="006D739D" w:rsidRDefault="00C35226" w:rsidP="000C39D1">
            <w:pPr>
              <w:pStyle w:val="libFootnote0"/>
              <w:rPr>
                <w:rtl/>
              </w:rPr>
            </w:pPr>
            <w:r>
              <w:rPr>
                <w:rtl/>
              </w:rPr>
              <w:t>(2).</w:t>
            </w:r>
            <w:r w:rsidRPr="00132E65">
              <w:rPr>
                <w:rtl/>
              </w:rPr>
              <w:t xml:space="preserve"> في « بس » و</w:t>
            </w:r>
            <w:r w:rsidRPr="009D1ACE">
              <w:rPr>
                <w:rStyle w:val="libFootnoteBoldChar"/>
                <w:rtl/>
              </w:rPr>
              <w:t>الوافي</w:t>
            </w:r>
            <w:r w:rsidRPr="00132E65">
              <w:rPr>
                <w:rtl/>
              </w:rPr>
              <w:t xml:space="preserve"> : « الحسن بن عليّ »</w:t>
            </w:r>
            <w:r>
              <w:rPr>
                <w:rtl/>
              </w:rPr>
              <w:t>.</w:t>
            </w:r>
          </w:p>
        </w:tc>
      </w:tr>
    </w:tbl>
    <w:p w:rsidR="000C39D1" w:rsidRPr="00132E65" w:rsidRDefault="000C39D1" w:rsidP="000C39D1">
      <w:pPr>
        <w:pStyle w:val="libFootnote0"/>
        <w:rPr>
          <w:rtl/>
          <w:lang w:bidi="fa-IR"/>
        </w:rPr>
      </w:pPr>
      <w:r>
        <w:rPr>
          <w:rtl/>
        </w:rPr>
        <w:t>(3).</w:t>
      </w:r>
      <w:r w:rsidRPr="00132E65">
        <w:rPr>
          <w:rtl/>
        </w:rPr>
        <w:t xml:space="preserve"> في « ض ، ف ، بس » </w:t>
      </w:r>
      <w:r>
        <w:rPr>
          <w:rtl/>
        </w:rPr>
        <w:t xml:space="preserve">: - </w:t>
      </w:r>
      <w:r w:rsidRPr="00132E65">
        <w:rPr>
          <w:rtl/>
        </w:rPr>
        <w:t>« رمضان ، وفي نسخة ا</w:t>
      </w:r>
      <w:r w:rsidR="005165D4">
        <w:rPr>
          <w:rFonts w:hint="cs"/>
          <w:rtl/>
        </w:rPr>
        <w:t>ُ</w:t>
      </w:r>
      <w:r w:rsidRPr="00132E65">
        <w:rPr>
          <w:rtl/>
        </w:rPr>
        <w:t>خرى : في شهر »</w:t>
      </w:r>
      <w:r>
        <w:rPr>
          <w:rtl/>
        </w:rPr>
        <w:t>.</w:t>
      </w:r>
    </w:p>
    <w:p w:rsidR="000C39D1" w:rsidRPr="00132E65" w:rsidRDefault="000C39D1" w:rsidP="000C39D1">
      <w:pPr>
        <w:pStyle w:val="libFootnote0"/>
        <w:rPr>
          <w:rtl/>
          <w:lang w:bidi="fa-IR"/>
        </w:rPr>
      </w:pPr>
      <w:r>
        <w:rPr>
          <w:rtl/>
        </w:rPr>
        <w:t>(4).</w:t>
      </w:r>
      <w:r w:rsidRPr="00132E65">
        <w:rPr>
          <w:rtl/>
        </w:rPr>
        <w:t xml:space="preserve"> في حاشية « ج » : « رمضان »</w:t>
      </w:r>
      <w:r>
        <w:rPr>
          <w:rtl/>
        </w:rPr>
        <w:t>.</w:t>
      </w:r>
    </w:p>
    <w:p w:rsidR="000C39D1" w:rsidRPr="00132E65" w:rsidRDefault="000C39D1" w:rsidP="000C39D1">
      <w:pPr>
        <w:pStyle w:val="libFootnote0"/>
        <w:rPr>
          <w:rtl/>
          <w:lang w:bidi="fa-IR"/>
        </w:rPr>
      </w:pPr>
      <w:r>
        <w:rPr>
          <w:rtl/>
        </w:rPr>
        <w:t>(5).</w:t>
      </w:r>
      <w:r w:rsidRPr="00132E65">
        <w:rPr>
          <w:rtl/>
        </w:rPr>
        <w:t xml:space="preserve"> هكذا في « ب ، ج ، ض ، ف ، بح ، بر ، بس ، بف » وسائر النسخ التي بأيدينا و</w:t>
      </w:r>
      <w:r w:rsidRPr="009D1ACE">
        <w:rPr>
          <w:rStyle w:val="libFootnoteBoldChar"/>
          <w:rtl/>
        </w:rPr>
        <w:t>الوافي</w:t>
      </w:r>
      <w:r w:rsidRPr="00132E65">
        <w:rPr>
          <w:rtl/>
        </w:rPr>
        <w:t>. وفي المطبوع :</w:t>
      </w:r>
      <w:r>
        <w:rPr>
          <w:rtl/>
        </w:rPr>
        <w:t xml:space="preserve"> + </w:t>
      </w:r>
      <w:r w:rsidRPr="00132E65">
        <w:rPr>
          <w:rtl/>
        </w:rPr>
        <w:t>« [ وقيل : سوسن ] »</w:t>
      </w:r>
      <w:r>
        <w:rPr>
          <w:rtl/>
        </w:rPr>
        <w:t>.</w:t>
      </w:r>
      <w:r w:rsidRPr="00132E65">
        <w:rPr>
          <w:rtl/>
        </w:rPr>
        <w:t xml:space="preserve"> </w:t>
      </w:r>
      <w:r>
        <w:rPr>
          <w:rtl/>
        </w:rPr>
        <w:t>و «</w:t>
      </w:r>
      <w:r w:rsidRPr="00132E65">
        <w:rPr>
          <w:rtl/>
        </w:rPr>
        <w:t xml:space="preserve"> حديث » فيه التأنيث والعلميّة. والتصغير لم يُزِل شيئاً منهما حتّى ينصرف.</w:t>
      </w:r>
    </w:p>
    <w:p w:rsidR="000C39D1" w:rsidRPr="00132E65" w:rsidRDefault="000C39D1" w:rsidP="00880861">
      <w:pPr>
        <w:pStyle w:val="libFootnote0"/>
        <w:rPr>
          <w:rtl/>
          <w:lang w:bidi="fa-IR"/>
        </w:rPr>
      </w:pPr>
      <w:r>
        <w:rPr>
          <w:rtl/>
        </w:rPr>
        <w:t>(6).</w:t>
      </w:r>
      <w:r w:rsidRPr="00132E65">
        <w:rPr>
          <w:rtl/>
        </w:rPr>
        <w:t xml:space="preserve"> </w:t>
      </w:r>
      <w:r w:rsidRPr="008B4A3C">
        <w:rPr>
          <w:rtl/>
        </w:rPr>
        <w:t>الإرشاد</w:t>
      </w:r>
      <w:r w:rsidRPr="00132E65">
        <w:rPr>
          <w:rtl/>
        </w:rPr>
        <w:t xml:space="preserve"> ، ج 2 ، ص 313 ، مع اختلاف يسير</w:t>
      </w:r>
      <w:r w:rsidR="00880861">
        <w:rPr>
          <w:rFonts w:hint="cs"/>
          <w:rtl/>
        </w:rPr>
        <w:t>.</w:t>
      </w:r>
      <w:r w:rsidRPr="009D1ACE">
        <w:rPr>
          <w:rStyle w:val="libFootnoteBoldChar"/>
          <w:rtl/>
        </w:rPr>
        <w:t>الوافي</w:t>
      </w:r>
      <w:r w:rsidRPr="00132E65">
        <w:rPr>
          <w:rtl/>
        </w:rPr>
        <w:t xml:space="preserve"> ، ج 3 ، ص 862 ، ذيل ح 1482 ؛ </w:t>
      </w:r>
      <w:r w:rsidRPr="008B4A3C">
        <w:rPr>
          <w:rtl/>
        </w:rPr>
        <w:t>البحار</w:t>
      </w:r>
      <w:r w:rsidRPr="00132E65">
        <w:rPr>
          <w:rtl/>
        </w:rPr>
        <w:t xml:space="preserve"> ، ج 50 ، ص 335 ، ح 10 ، وفيه إلى قوله : « بسرّ من رأى »</w:t>
      </w:r>
      <w:r>
        <w:rPr>
          <w:rtl/>
        </w:rPr>
        <w:t>.</w:t>
      </w:r>
    </w:p>
    <w:p w:rsidR="000C39D1" w:rsidRPr="00132E65" w:rsidRDefault="000C39D1" w:rsidP="000C39D1">
      <w:pPr>
        <w:pStyle w:val="libFootnote0"/>
        <w:rPr>
          <w:rtl/>
          <w:lang w:bidi="fa-IR"/>
        </w:rPr>
      </w:pPr>
      <w:r>
        <w:rPr>
          <w:rtl/>
        </w:rPr>
        <w:t>(7).</w:t>
      </w:r>
      <w:r w:rsidRPr="00132E65">
        <w:rPr>
          <w:rtl/>
        </w:rPr>
        <w:t xml:space="preserve"> « الضِياع » : جمع الضَيْعَة ، وهو العَقار ، وهو كلّ ملك ثابت له أصل ، كالدار والنخل. وربّما ا</w:t>
      </w:r>
      <w:r w:rsidR="00880861">
        <w:rPr>
          <w:rFonts w:hint="cs"/>
          <w:rtl/>
        </w:rPr>
        <w:t>ُ</w:t>
      </w:r>
      <w:r w:rsidRPr="00132E65">
        <w:rPr>
          <w:rtl/>
        </w:rPr>
        <w:t xml:space="preserve">طلق على المتاع. راجع : </w:t>
      </w:r>
      <w:r w:rsidRPr="008B4A3C">
        <w:rPr>
          <w:rtl/>
        </w:rPr>
        <w:t>المصباح المنير</w:t>
      </w:r>
      <w:r w:rsidRPr="00132E65">
        <w:rPr>
          <w:rtl/>
        </w:rPr>
        <w:t xml:space="preserve"> ، ص 366 ( ضيع )</w:t>
      </w:r>
      <w:r>
        <w:rPr>
          <w:rtl/>
        </w:rPr>
        <w:t>.</w:t>
      </w:r>
    </w:p>
    <w:p w:rsidR="000C39D1" w:rsidRPr="00132E65" w:rsidRDefault="000C39D1" w:rsidP="000C39D1">
      <w:pPr>
        <w:pStyle w:val="libFootnote0"/>
        <w:rPr>
          <w:rtl/>
          <w:lang w:bidi="fa-IR"/>
        </w:rPr>
      </w:pPr>
      <w:r>
        <w:rPr>
          <w:rtl/>
        </w:rPr>
        <w:t>(8).</w:t>
      </w:r>
      <w:r w:rsidRPr="00132E65">
        <w:rPr>
          <w:rtl/>
        </w:rPr>
        <w:t xml:space="preserve"> « الخَراج » : ما يخرج من غَلَّة الأرض أو الغلام ، والغَلَّة : الدَخْل من كِراء دار أو فائدة أرض ونحو ذلك. ثمّ سمّي الإتاوة خراجاً ، وهو ما يأخذه السلطان من أموال الناس. راجع : </w:t>
      </w:r>
      <w:r w:rsidRPr="008B4A3C">
        <w:rPr>
          <w:rtl/>
        </w:rPr>
        <w:t>المغرب</w:t>
      </w:r>
      <w:r w:rsidRPr="00132E65">
        <w:rPr>
          <w:rtl/>
        </w:rPr>
        <w:t xml:space="preserve"> ، ص 141 ؛ </w:t>
      </w:r>
      <w:r w:rsidRPr="009D1ACE">
        <w:rPr>
          <w:rStyle w:val="libFootnoteBoldChar"/>
          <w:rtl/>
        </w:rPr>
        <w:t>لسان العرب</w:t>
      </w:r>
      <w:r w:rsidRPr="00132E65">
        <w:rPr>
          <w:rtl/>
        </w:rPr>
        <w:t xml:space="preserve"> ، ج 2 ، ص 251 ( خرج )</w:t>
      </w:r>
      <w:r>
        <w:rPr>
          <w:rtl/>
        </w:rPr>
        <w:t>.</w:t>
      </w:r>
    </w:p>
    <w:p w:rsidR="000C39D1" w:rsidRPr="00132E65" w:rsidRDefault="000C39D1" w:rsidP="000C39D1">
      <w:pPr>
        <w:pStyle w:val="libFootnote0"/>
        <w:rPr>
          <w:rtl/>
          <w:lang w:bidi="fa-IR"/>
        </w:rPr>
      </w:pPr>
      <w:r>
        <w:rPr>
          <w:rtl/>
        </w:rPr>
        <w:t>(9).</w:t>
      </w:r>
      <w:r w:rsidRPr="00132E65">
        <w:rPr>
          <w:rtl/>
        </w:rPr>
        <w:t xml:space="preserve"> في « حاشية « ج » : « مناهبهم »</w:t>
      </w:r>
      <w:r>
        <w:rPr>
          <w:rtl/>
        </w:rPr>
        <w:t>.</w:t>
      </w:r>
    </w:p>
    <w:p w:rsidR="000C39D1" w:rsidRPr="00132E65" w:rsidRDefault="000C39D1" w:rsidP="00880861">
      <w:pPr>
        <w:pStyle w:val="libFootnote0"/>
        <w:rPr>
          <w:rtl/>
          <w:lang w:bidi="fa-IR"/>
        </w:rPr>
      </w:pPr>
      <w:r>
        <w:rPr>
          <w:rtl/>
        </w:rPr>
        <w:t>(10).</w:t>
      </w:r>
      <w:r w:rsidRPr="00132E65">
        <w:rPr>
          <w:rtl/>
        </w:rPr>
        <w:t xml:space="preserve"> في الإرشاد :</w:t>
      </w:r>
      <w:r>
        <w:rPr>
          <w:rtl/>
        </w:rPr>
        <w:t xml:space="preserve"> + </w:t>
      </w:r>
      <w:r w:rsidRPr="00132E65">
        <w:rPr>
          <w:rtl/>
        </w:rPr>
        <w:t xml:space="preserve">« والانحراف عن أهل البيت </w:t>
      </w:r>
      <w:r w:rsidRPr="00880861">
        <w:rPr>
          <w:rStyle w:val="libFootnoteAlaemChar"/>
          <w:rtl/>
        </w:rPr>
        <w:t>عليهم‌السلام</w:t>
      </w:r>
      <w:r w:rsidRPr="00132E65">
        <w:rPr>
          <w:rtl/>
        </w:rPr>
        <w:t xml:space="preserve"> »</w:t>
      </w:r>
      <w:r>
        <w:rPr>
          <w:rtl/>
        </w:rPr>
        <w:t>.</w:t>
      </w:r>
      <w:r w:rsidRPr="00132E65">
        <w:rPr>
          <w:rtl/>
        </w:rPr>
        <w:t xml:space="preserve"> </w:t>
      </w:r>
      <w:r>
        <w:rPr>
          <w:rtl/>
        </w:rPr>
        <w:t>و «</w:t>
      </w:r>
      <w:r w:rsidRPr="00132E65">
        <w:rPr>
          <w:rtl/>
        </w:rPr>
        <w:t xml:space="preserve"> النَصْبُ » : المعاداة. يقال : نَصَبَ فلان لفلان نصباً ، أي عاداه. ومنه الناصب ، وهو الذي يتظاهر بعداوة أهل البيت </w:t>
      </w:r>
      <w:r w:rsidRPr="00880861">
        <w:rPr>
          <w:rStyle w:val="libFootnoteAlaemChar"/>
          <w:rtl/>
        </w:rPr>
        <w:t>عليهم‌السلام</w:t>
      </w:r>
      <w:r w:rsidRPr="00132E65">
        <w:rPr>
          <w:rtl/>
        </w:rPr>
        <w:t xml:space="preserve"> أو لمواليهم لأجل متابعتهم لهم. قال في </w:t>
      </w:r>
      <w:r w:rsidRPr="008B4A3C">
        <w:rPr>
          <w:rtl/>
        </w:rPr>
        <w:t>القاموس</w:t>
      </w:r>
      <w:r w:rsidRPr="00132E65">
        <w:rPr>
          <w:rtl/>
        </w:rPr>
        <w:t xml:space="preserve"> : « النَواصِب والناصبيّة وأهل النَصْب : المتديّنون بِبِغْضَة عليّ </w:t>
      </w:r>
      <w:r w:rsidR="00880861" w:rsidRPr="00880861">
        <w:rPr>
          <w:rStyle w:val="libFootnoteAlaemChar"/>
          <w:rtl/>
        </w:rPr>
        <w:t>رضي‌الله‌عنه</w:t>
      </w:r>
      <w:r w:rsidR="00880861" w:rsidRPr="00880861">
        <w:rPr>
          <w:rtl/>
        </w:rPr>
        <w:t xml:space="preserve"> </w:t>
      </w:r>
      <w:r w:rsidRPr="00132E65">
        <w:rPr>
          <w:rtl/>
        </w:rPr>
        <w:t>، لأنّهم نَصَبوا له ، أي عادَوْه »</w:t>
      </w:r>
      <w:r>
        <w:rPr>
          <w:rtl/>
        </w:rPr>
        <w:t>.</w:t>
      </w:r>
      <w:r w:rsidRPr="00132E65">
        <w:rPr>
          <w:rtl/>
        </w:rPr>
        <w:t xml:space="preserve"> راجع : </w:t>
      </w:r>
      <w:r w:rsidRPr="008B4A3C">
        <w:rPr>
          <w:rtl/>
        </w:rPr>
        <w:t>القاموس المحيط</w:t>
      </w:r>
      <w:r w:rsidRPr="00132E65">
        <w:rPr>
          <w:rtl/>
        </w:rPr>
        <w:t xml:space="preserve"> ، ج 1 ، ص 230 ؛ </w:t>
      </w:r>
      <w:r w:rsidRPr="008B4A3C">
        <w:rPr>
          <w:rtl/>
        </w:rPr>
        <w:t>مجمع البحرين</w:t>
      </w:r>
      <w:r w:rsidRPr="00132E65">
        <w:rPr>
          <w:rtl/>
        </w:rPr>
        <w:t xml:space="preserve"> ، ج 2 ، ص 173 ( نصب )</w:t>
      </w:r>
      <w:r>
        <w:rPr>
          <w:rtl/>
        </w:rPr>
        <w:t>.</w:t>
      </w:r>
    </w:p>
    <w:p w:rsidR="000C39D1" w:rsidRPr="00132E65" w:rsidRDefault="000C39D1" w:rsidP="000C39D1">
      <w:pPr>
        <w:pStyle w:val="libFootnote0"/>
        <w:rPr>
          <w:rtl/>
          <w:lang w:bidi="fa-IR"/>
        </w:rPr>
      </w:pPr>
      <w:r>
        <w:rPr>
          <w:rtl/>
        </w:rPr>
        <w:t>(11).</w:t>
      </w:r>
      <w:r w:rsidRPr="00132E65">
        <w:rPr>
          <w:rtl/>
        </w:rPr>
        <w:t xml:space="preserve"> في « ف » : « فقالوا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وَلَاعَرَفْتُ بِسُرَّ مَنْ رَأى رَجُلاً </w:t>
      </w:r>
      <w:r>
        <w:rPr>
          <w:rStyle w:val="libFootnotenumChar"/>
          <w:rtl/>
        </w:rPr>
        <w:t>(1)</w:t>
      </w:r>
      <w:r w:rsidRPr="00132E65">
        <w:rPr>
          <w:rtl/>
          <w:lang w:bidi="fa-IR"/>
        </w:rPr>
        <w:t xml:space="preserve"> مِنَ الْعَلَوِيَّةِ مِثْلَ الْحَسَنِ بْنِ عَلِيِّ بْنِ مُحَمَّدِ بْنِ الرِّضَا فِي هَدْيِهِ </w:t>
      </w:r>
      <w:r>
        <w:rPr>
          <w:rStyle w:val="libFootnotenumChar"/>
          <w:rtl/>
        </w:rPr>
        <w:t>(2)</w:t>
      </w:r>
      <w:r w:rsidRPr="00132E65">
        <w:rPr>
          <w:rtl/>
          <w:lang w:bidi="fa-IR"/>
        </w:rPr>
        <w:t xml:space="preserve"> و</w:t>
      </w:r>
      <w:r w:rsidR="00C14292">
        <w:rPr>
          <w:rFonts w:hint="cs"/>
          <w:rtl/>
          <w:lang w:bidi="fa-IR"/>
        </w:rPr>
        <w:t xml:space="preserve">َ </w:t>
      </w:r>
      <w:r w:rsidRPr="00132E65">
        <w:rPr>
          <w:rtl/>
          <w:lang w:bidi="fa-IR"/>
        </w:rPr>
        <w:t xml:space="preserve">سُكُونِهِ </w:t>
      </w:r>
      <w:r>
        <w:rPr>
          <w:rStyle w:val="libFootnotenumChar"/>
          <w:rtl/>
        </w:rPr>
        <w:t>(3)</w:t>
      </w:r>
      <w:r w:rsidRPr="00132E65">
        <w:rPr>
          <w:rtl/>
          <w:lang w:bidi="fa-IR"/>
        </w:rPr>
        <w:t xml:space="preserve"> و</w:t>
      </w:r>
      <w:r w:rsidR="00C14292">
        <w:rPr>
          <w:rFonts w:hint="cs"/>
          <w:rtl/>
          <w:lang w:bidi="fa-IR"/>
        </w:rPr>
        <w:t xml:space="preserve">َ </w:t>
      </w:r>
      <w:r w:rsidRPr="00132E65">
        <w:rPr>
          <w:rtl/>
          <w:lang w:bidi="fa-IR"/>
        </w:rPr>
        <w:t xml:space="preserve">عَفَافِهِ </w:t>
      </w:r>
      <w:r>
        <w:rPr>
          <w:rStyle w:val="libFootnotenumChar"/>
          <w:rtl/>
        </w:rPr>
        <w:t>(4)</w:t>
      </w:r>
      <w:r w:rsidRPr="00132E65">
        <w:rPr>
          <w:rtl/>
          <w:lang w:bidi="fa-IR"/>
        </w:rPr>
        <w:t xml:space="preserve"> و</w:t>
      </w:r>
      <w:r w:rsidR="00C14292">
        <w:rPr>
          <w:rFonts w:hint="cs"/>
          <w:rtl/>
          <w:lang w:bidi="fa-IR"/>
        </w:rPr>
        <w:t xml:space="preserve">َ </w:t>
      </w:r>
      <w:r w:rsidRPr="00132E65">
        <w:rPr>
          <w:rtl/>
          <w:lang w:bidi="fa-IR"/>
        </w:rPr>
        <w:t xml:space="preserve">نُبْلِهِ </w:t>
      </w:r>
      <w:r>
        <w:rPr>
          <w:rStyle w:val="libFootnotenumChar"/>
          <w:rtl/>
        </w:rPr>
        <w:t>(5)</w:t>
      </w:r>
      <w:r w:rsidRPr="00132E65">
        <w:rPr>
          <w:rtl/>
          <w:lang w:bidi="fa-IR"/>
        </w:rPr>
        <w:t xml:space="preserve"> و</w:t>
      </w:r>
      <w:r w:rsidR="00C14292">
        <w:rPr>
          <w:rFonts w:hint="cs"/>
          <w:rtl/>
          <w:lang w:bidi="fa-IR"/>
        </w:rPr>
        <w:t xml:space="preserve">َ </w:t>
      </w:r>
      <w:r w:rsidRPr="00132E65">
        <w:rPr>
          <w:rtl/>
          <w:lang w:bidi="fa-IR"/>
        </w:rPr>
        <w:t xml:space="preserve">كَرَمِهِ </w:t>
      </w:r>
      <w:r>
        <w:rPr>
          <w:rStyle w:val="libFootnotenumChar"/>
          <w:rtl/>
        </w:rPr>
        <w:t>(6)</w:t>
      </w:r>
      <w:r w:rsidRPr="00132E65">
        <w:rPr>
          <w:rtl/>
          <w:lang w:bidi="fa-IR"/>
        </w:rPr>
        <w:t xml:space="preserve"> عِنْدَ أَهْلِ بَيْتِهِ وبَنِي هَاشِمٍ </w:t>
      </w:r>
      <w:r>
        <w:rPr>
          <w:rStyle w:val="libFootnotenumChar"/>
          <w:rtl/>
        </w:rPr>
        <w:t>(7)</w:t>
      </w:r>
      <w:r w:rsidRPr="00132E65">
        <w:rPr>
          <w:rtl/>
          <w:lang w:bidi="fa-IR"/>
        </w:rPr>
        <w:t xml:space="preserve"> وتَقْدِيمِهِمْ إِيَّاهُ عَلى ذَوِي السِّنِّ </w:t>
      </w:r>
      <w:r>
        <w:rPr>
          <w:rStyle w:val="libFootnotenumChar"/>
          <w:rtl/>
        </w:rPr>
        <w:t>(8)</w:t>
      </w:r>
      <w:r w:rsidRPr="00132E65">
        <w:rPr>
          <w:rtl/>
          <w:lang w:bidi="fa-IR"/>
        </w:rPr>
        <w:t xml:space="preserve"> مِنْهُمْ والْخَطَرِ </w:t>
      </w:r>
      <w:r>
        <w:rPr>
          <w:rStyle w:val="libFootnotenumChar"/>
          <w:rtl/>
        </w:rPr>
        <w:t>(9)</w:t>
      </w:r>
      <w:r w:rsidRPr="00132E65">
        <w:rPr>
          <w:rtl/>
          <w:lang w:bidi="fa-IR"/>
        </w:rPr>
        <w:t xml:space="preserve"> ، و</w:t>
      </w:r>
      <w:r w:rsidR="00EF3E3F">
        <w:rPr>
          <w:rFonts w:hint="cs"/>
          <w:rtl/>
          <w:lang w:bidi="fa-IR"/>
        </w:rPr>
        <w:t>َ</w:t>
      </w:r>
      <w:r>
        <w:rPr>
          <w:rFonts w:hint="cs"/>
          <w:rtl/>
          <w:lang w:bidi="fa-IR"/>
        </w:rPr>
        <w:t xml:space="preserve"> </w:t>
      </w:r>
      <w:r>
        <w:rPr>
          <w:rStyle w:val="libFootnotenumChar"/>
          <w:rtl/>
        </w:rPr>
        <w:t>(10)</w:t>
      </w:r>
      <w:r w:rsidRPr="00132E65">
        <w:rPr>
          <w:rtl/>
          <w:lang w:bidi="fa-IR"/>
        </w:rPr>
        <w:t xml:space="preserve"> كَذلِكَ </w:t>
      </w:r>
      <w:r>
        <w:rPr>
          <w:rStyle w:val="libFootnotenumChar"/>
          <w:rtl/>
        </w:rPr>
        <w:t>(11)</w:t>
      </w:r>
      <w:r w:rsidRPr="00132E65">
        <w:rPr>
          <w:rtl/>
          <w:lang w:bidi="fa-IR"/>
        </w:rPr>
        <w:t xml:space="preserve"> الْقُوَّادِ والْوُزَرَاءِ وعَامَّةِ النَّاسِ ؛ فَإِنِّي </w:t>
      </w:r>
      <w:r>
        <w:rPr>
          <w:rStyle w:val="libFootnotenumChar"/>
          <w:rtl/>
        </w:rPr>
        <w:t>(12)</w:t>
      </w:r>
      <w:r w:rsidRPr="00132E65">
        <w:rPr>
          <w:rtl/>
          <w:lang w:bidi="fa-IR"/>
        </w:rPr>
        <w:t xml:space="preserve"> كُنْتُ يَوْماً قَائِماً عَلى رَأْسِ أَبِي و</w:t>
      </w:r>
      <w:r w:rsidR="00EF3E3F">
        <w:rPr>
          <w:rFonts w:hint="cs"/>
          <w:rtl/>
          <w:lang w:bidi="fa-IR"/>
        </w:rPr>
        <w:t xml:space="preserve">َ </w:t>
      </w:r>
      <w:r w:rsidRPr="00132E65">
        <w:rPr>
          <w:rtl/>
          <w:lang w:bidi="fa-IR"/>
        </w:rPr>
        <w:t xml:space="preserve">هُوَ يَوْمُ مَجْلِسِهِ لِلنَّاسِ إِذْ دَخَلَ عَلَيْهِ </w:t>
      </w:r>
      <w:r w:rsidRPr="00F543F1">
        <w:rPr>
          <w:rStyle w:val="libFootnotenumChar"/>
          <w:rtl/>
        </w:rPr>
        <w:t>(13)</w:t>
      </w:r>
      <w:r w:rsidRPr="00132E65">
        <w:rPr>
          <w:rtl/>
          <w:lang w:bidi="fa-IR"/>
        </w:rPr>
        <w:t xml:space="preserve"> حُجَّابُهُ ، فَقَالُوا </w:t>
      </w:r>
      <w:r w:rsidRPr="00F543F1">
        <w:rPr>
          <w:rStyle w:val="libFootnotenumChar"/>
          <w:rtl/>
        </w:rPr>
        <w:t>(14)</w:t>
      </w:r>
      <w:r w:rsidRPr="00132E65">
        <w:rPr>
          <w:rtl/>
          <w:lang w:bidi="fa-IR"/>
        </w:rPr>
        <w:t xml:space="preserve"> : أَبُو مُحَمَّدِ بْنُ الرِّضَا بِالْبَابِ ، فَقَالَ </w:t>
      </w:r>
      <w:r w:rsidRPr="00F543F1">
        <w:rPr>
          <w:rStyle w:val="libFootnotenumChar"/>
          <w:rtl/>
        </w:rPr>
        <w:t>(15)</w:t>
      </w:r>
      <w:r w:rsidRPr="00132E65">
        <w:rPr>
          <w:rtl/>
          <w:lang w:bidi="fa-IR"/>
        </w:rPr>
        <w:t xml:space="preserve"> بِصَوْتٍ عَالٍ : ائْذَنُوا لَهُ ، فَتَعَجَّبْتُ مِمَّا سَمِعْتُ مِنْهُمْ أَنَّهُمْ جَسَرُوا يُكَنُّونَ رَجُلاً عَلى أَبِي بِحَضْرَتِهِ ، و</w:t>
      </w:r>
      <w:r w:rsidR="00EF3E3F">
        <w:rPr>
          <w:rFonts w:hint="cs"/>
          <w:rtl/>
          <w:lang w:bidi="fa-IR"/>
        </w:rPr>
        <w:t xml:space="preserve">َ </w:t>
      </w:r>
      <w:r w:rsidRPr="00132E65">
        <w:rPr>
          <w:rtl/>
          <w:lang w:bidi="fa-IR"/>
        </w:rPr>
        <w:t xml:space="preserve">لَمْ يُكَنَّ </w:t>
      </w:r>
      <w:r w:rsidRPr="00F543F1">
        <w:rPr>
          <w:rStyle w:val="libFootnotenumChar"/>
          <w:rtl/>
        </w:rPr>
        <w:t>(16)</w:t>
      </w:r>
      <w:r w:rsidRPr="00132E65">
        <w:rPr>
          <w:rtl/>
          <w:lang w:bidi="fa-IR"/>
        </w:rPr>
        <w:t xml:space="preserve"> عِنْدَهُ‌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رجلاً »</w:t>
      </w:r>
      <w:r>
        <w:rPr>
          <w:rtl/>
        </w:rPr>
        <w:t>.</w:t>
      </w:r>
    </w:p>
    <w:p w:rsidR="000C39D1" w:rsidRPr="00132E65" w:rsidRDefault="000C39D1" w:rsidP="000C39D1">
      <w:pPr>
        <w:pStyle w:val="libFootnote0"/>
        <w:rPr>
          <w:rtl/>
          <w:lang w:bidi="fa-IR"/>
        </w:rPr>
      </w:pPr>
      <w:r>
        <w:rPr>
          <w:rtl/>
        </w:rPr>
        <w:t>(2).</w:t>
      </w:r>
      <w:r w:rsidRPr="00132E65">
        <w:rPr>
          <w:rtl/>
        </w:rPr>
        <w:t xml:space="preserve"> « الهَدْيُ » : الطريقة والسيرة. واحتمل المازندراني كونه بضمّ الهاء بمعنى الرشاد وهو خلاف الضلالة. راجع : </w:t>
      </w:r>
      <w:r w:rsidRPr="008B4A3C">
        <w:rPr>
          <w:rtl/>
        </w:rPr>
        <w:t>النهاية</w:t>
      </w:r>
      <w:r w:rsidRPr="00132E65">
        <w:rPr>
          <w:rtl/>
        </w:rPr>
        <w:t xml:space="preserve"> ، ج 5 ، ص 253 ( هدا ) ؛ </w:t>
      </w:r>
      <w:r w:rsidRPr="008B4A3C">
        <w:rPr>
          <w:rtl/>
        </w:rPr>
        <w:t>شرح المازندراني</w:t>
      </w:r>
      <w:r w:rsidRPr="00132E65">
        <w:rPr>
          <w:rtl/>
        </w:rPr>
        <w:t xml:space="preserve"> ، ج 7 ، ص 211.</w:t>
      </w:r>
    </w:p>
    <w:p w:rsidR="000C39D1" w:rsidRPr="00132E65" w:rsidRDefault="000C39D1" w:rsidP="000C39D1">
      <w:pPr>
        <w:pStyle w:val="libFootnote0"/>
        <w:rPr>
          <w:rtl/>
          <w:lang w:bidi="fa-IR"/>
        </w:rPr>
      </w:pPr>
      <w:r>
        <w:rPr>
          <w:rtl/>
        </w:rPr>
        <w:t>(3).</w:t>
      </w:r>
      <w:r w:rsidRPr="00132E65">
        <w:rPr>
          <w:rtl/>
        </w:rPr>
        <w:t xml:space="preserve"> في « ف » : « سكوته »</w:t>
      </w:r>
      <w:r>
        <w:rPr>
          <w:rtl/>
        </w:rPr>
        <w:t>.</w:t>
      </w:r>
      <w:r w:rsidRPr="00132E65">
        <w:rPr>
          <w:rtl/>
        </w:rPr>
        <w:t xml:space="preserve"> </w:t>
      </w:r>
      <w:r>
        <w:rPr>
          <w:rtl/>
        </w:rPr>
        <w:t>و «</w:t>
      </w:r>
      <w:r w:rsidRPr="00132E65">
        <w:rPr>
          <w:rtl/>
        </w:rPr>
        <w:t xml:space="preserve"> السُكون » : الوَقار. وتقول للوَقور : عليه السُكون والسكينة. قال المازندراني : « السكون : الوقار في الحركة والسير ، والتأنّي في الضرّاء والسرّاء ، والخضوع في الباطن والظاهر »</w:t>
      </w:r>
      <w:r>
        <w:rPr>
          <w:rtl/>
        </w:rPr>
        <w:t>.</w:t>
      </w:r>
      <w:r w:rsidRPr="00132E65">
        <w:rPr>
          <w:rtl/>
        </w:rPr>
        <w:t xml:space="preserve"> راجع : </w:t>
      </w:r>
      <w:r w:rsidRPr="009D1ACE">
        <w:rPr>
          <w:rStyle w:val="libFootnoteBoldChar"/>
          <w:rtl/>
        </w:rPr>
        <w:t>لسان العرب</w:t>
      </w:r>
      <w:r w:rsidRPr="008B4A3C">
        <w:rPr>
          <w:rtl/>
        </w:rPr>
        <w:t xml:space="preserve"> </w:t>
      </w:r>
      <w:r w:rsidRPr="00132E65">
        <w:rPr>
          <w:rtl/>
        </w:rPr>
        <w:t xml:space="preserve">، ج 13 ، ص 213 ( سكن ) ؛ </w:t>
      </w:r>
      <w:r w:rsidRPr="008B4A3C">
        <w:rPr>
          <w:rtl/>
        </w:rPr>
        <w:t>شرح المازندراني</w:t>
      </w:r>
      <w:r w:rsidRPr="00132E65">
        <w:rPr>
          <w:rtl/>
        </w:rPr>
        <w:t xml:space="preserve"> ، ج 7 ، ص 211.</w:t>
      </w:r>
    </w:p>
    <w:p w:rsidR="000C39D1" w:rsidRPr="00132E65" w:rsidRDefault="000C39D1" w:rsidP="000C39D1">
      <w:pPr>
        <w:pStyle w:val="libFootnote0"/>
        <w:rPr>
          <w:rtl/>
          <w:lang w:bidi="fa-IR"/>
        </w:rPr>
      </w:pPr>
      <w:r>
        <w:rPr>
          <w:rtl/>
        </w:rPr>
        <w:t>(4).</w:t>
      </w:r>
      <w:r w:rsidRPr="00132E65">
        <w:rPr>
          <w:rtl/>
        </w:rPr>
        <w:t xml:space="preserve"> « العِفّة » </w:t>
      </w:r>
      <w:r>
        <w:rPr>
          <w:rtl/>
        </w:rPr>
        <w:t>و «</w:t>
      </w:r>
      <w:r w:rsidRPr="00132E65">
        <w:rPr>
          <w:rtl/>
        </w:rPr>
        <w:t xml:space="preserve"> العَفاف » : الكفّ عمّا لا يحلّ ولا يجمل. قال الراغب : هي حصول حالة للنفس تمتنع بها عن غلبة الشهوة. راجع : </w:t>
      </w:r>
      <w:r w:rsidRPr="008B4A3C">
        <w:rPr>
          <w:rtl/>
        </w:rPr>
        <w:t>المفردات</w:t>
      </w:r>
      <w:r w:rsidRPr="00132E65">
        <w:rPr>
          <w:rtl/>
        </w:rPr>
        <w:t xml:space="preserve"> للراغب ، ص 573 ؛ </w:t>
      </w:r>
      <w:r w:rsidRPr="008B4A3C">
        <w:rPr>
          <w:rtl/>
        </w:rPr>
        <w:t>القاموس المحيط</w:t>
      </w:r>
      <w:r w:rsidRPr="00132E65">
        <w:rPr>
          <w:rtl/>
        </w:rPr>
        <w:t xml:space="preserve"> ، ج 2 ، ص 1116 ( عفف )</w:t>
      </w:r>
      <w:r>
        <w:rPr>
          <w:rtl/>
        </w:rPr>
        <w:t>.</w:t>
      </w:r>
    </w:p>
    <w:p w:rsidR="000C39D1" w:rsidRPr="00132E65" w:rsidRDefault="000C39D1" w:rsidP="000C39D1">
      <w:pPr>
        <w:pStyle w:val="libFootnote0"/>
        <w:rPr>
          <w:rtl/>
          <w:lang w:bidi="fa-IR"/>
        </w:rPr>
      </w:pPr>
      <w:r>
        <w:rPr>
          <w:rtl/>
        </w:rPr>
        <w:t>(5).</w:t>
      </w:r>
      <w:r w:rsidRPr="00132E65">
        <w:rPr>
          <w:rtl/>
        </w:rPr>
        <w:t xml:space="preserve"> في « ج ، ض ، بس » وحاشية « ب ، بح » : « بذله »</w:t>
      </w:r>
      <w:r>
        <w:rPr>
          <w:rtl/>
        </w:rPr>
        <w:t>.</w:t>
      </w:r>
      <w:r w:rsidRPr="00132E65">
        <w:rPr>
          <w:rtl/>
        </w:rPr>
        <w:t xml:space="preserve"> </w:t>
      </w:r>
      <w:r>
        <w:rPr>
          <w:rtl/>
        </w:rPr>
        <w:t>و «</w:t>
      </w:r>
      <w:r w:rsidRPr="00132E65">
        <w:rPr>
          <w:rtl/>
        </w:rPr>
        <w:t xml:space="preserve"> النُبْلُ » : الذَكاء والفضل والنجابة. راجع : </w:t>
      </w:r>
      <w:r w:rsidRPr="009D1ACE">
        <w:rPr>
          <w:rStyle w:val="libFootnoteBoldChar"/>
          <w:rtl/>
        </w:rPr>
        <w:t>لسان العرب</w:t>
      </w:r>
      <w:r w:rsidRPr="00132E65">
        <w:rPr>
          <w:rtl/>
        </w:rPr>
        <w:t xml:space="preserve"> ، ج 11 ، ص 640 ( نبل )</w:t>
      </w:r>
      <w:r>
        <w:rPr>
          <w:rtl/>
        </w:rPr>
        <w:t>.</w:t>
      </w:r>
    </w:p>
    <w:p w:rsidR="000C39D1" w:rsidRPr="00132E65" w:rsidRDefault="000C39D1" w:rsidP="000C39D1">
      <w:pPr>
        <w:pStyle w:val="libFootnote0"/>
        <w:rPr>
          <w:rtl/>
          <w:lang w:bidi="fa-IR"/>
        </w:rPr>
      </w:pPr>
      <w:r>
        <w:rPr>
          <w:rtl/>
        </w:rPr>
        <w:t>(6).</w:t>
      </w:r>
      <w:r w:rsidRPr="00132E65">
        <w:rPr>
          <w:rtl/>
        </w:rPr>
        <w:t xml:space="preserve"> في الإرشاد : « كبرته »</w:t>
      </w:r>
      <w:r>
        <w:rPr>
          <w:rtl/>
        </w:rPr>
        <w:t>.</w:t>
      </w:r>
      <w:r w:rsidRPr="00132E65">
        <w:rPr>
          <w:rtl/>
        </w:rPr>
        <w:t xml:space="preserve"> وقال الراغب : « الكَرَمُ : إذا وصف به الإنسان فهو اسم للأخلاق والأفعال المحمودة التي تظهر منه ، ولا يقال : هو كريم حتّى يظهر ذلك منه »</w:t>
      </w:r>
      <w:r>
        <w:rPr>
          <w:rtl/>
        </w:rPr>
        <w:t>.</w:t>
      </w:r>
      <w:r w:rsidRPr="00132E65">
        <w:rPr>
          <w:rtl/>
        </w:rPr>
        <w:t xml:space="preserve"> وقال ابن الأثير : « الكريم : الجامع لأنواع الخير والشرف والفضائل »</w:t>
      </w:r>
      <w:r>
        <w:rPr>
          <w:rtl/>
        </w:rPr>
        <w:t>.</w:t>
      </w:r>
      <w:r w:rsidRPr="00132E65">
        <w:rPr>
          <w:rtl/>
        </w:rPr>
        <w:t xml:space="preserve"> </w:t>
      </w:r>
      <w:r w:rsidRPr="008B4A3C">
        <w:rPr>
          <w:rtl/>
        </w:rPr>
        <w:t>المفردات</w:t>
      </w:r>
      <w:r w:rsidRPr="00132E65">
        <w:rPr>
          <w:rtl/>
        </w:rPr>
        <w:t xml:space="preserve"> للراغب ، ص 707 ؛ </w:t>
      </w:r>
      <w:r w:rsidRPr="008B4A3C">
        <w:rPr>
          <w:rtl/>
        </w:rPr>
        <w:t>النهاية</w:t>
      </w:r>
      <w:r w:rsidRPr="00132E65">
        <w:rPr>
          <w:rtl/>
        </w:rPr>
        <w:t xml:space="preserve"> ، ج 4 ، ص 166 ( كرم )</w:t>
      </w:r>
      <w:r>
        <w:rPr>
          <w:rtl/>
        </w:rPr>
        <w:t>.</w:t>
      </w:r>
    </w:p>
    <w:tbl>
      <w:tblPr>
        <w:tblStyle w:val="TableGrid"/>
        <w:bidiVisual/>
        <w:tblW w:w="0" w:type="auto"/>
        <w:tblLook w:val="04A0" w:firstRow="1" w:lastRow="0" w:firstColumn="1" w:lastColumn="0" w:noHBand="0" w:noVBand="1"/>
      </w:tblPr>
      <w:tblGrid>
        <w:gridCol w:w="4261"/>
        <w:gridCol w:w="4262"/>
      </w:tblGrid>
      <w:tr w:rsidR="007A0AEF" w:rsidTr="007A0AEF">
        <w:tc>
          <w:tcPr>
            <w:tcW w:w="4261" w:type="dxa"/>
          </w:tcPr>
          <w:p w:rsidR="007A0AEF" w:rsidRDefault="007A0AEF" w:rsidP="000C39D1">
            <w:pPr>
              <w:pStyle w:val="libFootnote0"/>
              <w:rPr>
                <w:rtl/>
              </w:rPr>
            </w:pPr>
            <w:r>
              <w:rPr>
                <w:rtl/>
              </w:rPr>
              <w:t>(7).</w:t>
            </w:r>
            <w:r w:rsidRPr="00132E65">
              <w:rPr>
                <w:rtl/>
              </w:rPr>
              <w:t xml:space="preserve"> في الإرشاد :</w:t>
            </w:r>
            <w:r>
              <w:rPr>
                <w:rtl/>
              </w:rPr>
              <w:t xml:space="preserve"> + </w:t>
            </w:r>
            <w:r w:rsidRPr="00132E65">
              <w:rPr>
                <w:rtl/>
              </w:rPr>
              <w:t>« كافّة »</w:t>
            </w:r>
            <w:r>
              <w:rPr>
                <w:rtl/>
              </w:rPr>
              <w:t>.</w:t>
            </w:r>
          </w:p>
        </w:tc>
        <w:tc>
          <w:tcPr>
            <w:tcW w:w="4262" w:type="dxa"/>
          </w:tcPr>
          <w:p w:rsidR="007A0AEF" w:rsidRDefault="007A0AEF" w:rsidP="000C39D1">
            <w:pPr>
              <w:pStyle w:val="libFootnote0"/>
              <w:rPr>
                <w:rtl/>
              </w:rPr>
            </w:pPr>
            <w:r>
              <w:rPr>
                <w:rtl/>
              </w:rPr>
              <w:t>(8).</w:t>
            </w:r>
            <w:r w:rsidRPr="00132E65">
              <w:rPr>
                <w:rtl/>
              </w:rPr>
              <w:t xml:space="preserve"> في « ف » : « ألسُنٍ »</w:t>
            </w:r>
            <w:r>
              <w:rPr>
                <w:rtl/>
              </w:rPr>
              <w:t>.</w:t>
            </w:r>
          </w:p>
        </w:tc>
      </w:tr>
    </w:tbl>
    <w:p w:rsidR="000C39D1" w:rsidRPr="00132E65" w:rsidRDefault="000C39D1" w:rsidP="000C39D1">
      <w:pPr>
        <w:pStyle w:val="libFootnote0"/>
        <w:rPr>
          <w:rtl/>
          <w:lang w:bidi="fa-IR"/>
        </w:rPr>
      </w:pPr>
      <w:r>
        <w:rPr>
          <w:rtl/>
        </w:rPr>
        <w:t>(9).</w:t>
      </w:r>
      <w:r w:rsidRPr="00132E65">
        <w:rPr>
          <w:rtl/>
        </w:rPr>
        <w:t xml:space="preserve"> « الخَطَرُ » : ارتفاعُ القَدْرِ والمالُ والشرفُ والمنزلةُ. </w:t>
      </w:r>
      <w:r w:rsidRPr="009D1ACE">
        <w:rPr>
          <w:rStyle w:val="libFootnoteBoldChar"/>
          <w:rtl/>
        </w:rPr>
        <w:t>لسان العرب</w:t>
      </w:r>
      <w:r w:rsidRPr="00132E65">
        <w:rPr>
          <w:rtl/>
        </w:rPr>
        <w:t xml:space="preserve"> ، ج 4 ، ص 251 ( خطر )</w:t>
      </w:r>
      <w:r>
        <w:rPr>
          <w:rtl/>
        </w:rPr>
        <w:t>.</w:t>
      </w:r>
    </w:p>
    <w:tbl>
      <w:tblPr>
        <w:tblStyle w:val="TableGrid"/>
        <w:bidiVisual/>
        <w:tblW w:w="0" w:type="auto"/>
        <w:tblLook w:val="04A0" w:firstRow="1" w:lastRow="0" w:firstColumn="1" w:lastColumn="0" w:noHBand="0" w:noVBand="1"/>
      </w:tblPr>
      <w:tblGrid>
        <w:gridCol w:w="4261"/>
        <w:gridCol w:w="4262"/>
      </w:tblGrid>
      <w:tr w:rsidR="00F87B6E" w:rsidTr="00F87B6E">
        <w:tc>
          <w:tcPr>
            <w:tcW w:w="4261" w:type="dxa"/>
          </w:tcPr>
          <w:p w:rsidR="00F87B6E" w:rsidRDefault="00F87B6E" w:rsidP="000C39D1">
            <w:pPr>
              <w:pStyle w:val="libFootnote0"/>
              <w:rPr>
                <w:rtl/>
              </w:rPr>
            </w:pPr>
            <w:r>
              <w:rPr>
                <w:rtl/>
              </w:rPr>
              <w:t>(10).</w:t>
            </w:r>
            <w:r w:rsidRPr="00132E65">
              <w:rPr>
                <w:rtl/>
              </w:rPr>
              <w:t xml:space="preserve"> في الإرشاد </w:t>
            </w:r>
            <w:r>
              <w:rPr>
                <w:rtl/>
              </w:rPr>
              <w:t xml:space="preserve">: - </w:t>
            </w:r>
            <w:r w:rsidRPr="00132E65">
              <w:rPr>
                <w:rtl/>
              </w:rPr>
              <w:t>«</w:t>
            </w:r>
            <w:r>
              <w:rPr>
                <w:rtl/>
              </w:rPr>
              <w:t xml:space="preserve"> و ».</w:t>
            </w:r>
          </w:p>
        </w:tc>
        <w:tc>
          <w:tcPr>
            <w:tcW w:w="4262" w:type="dxa"/>
          </w:tcPr>
          <w:p w:rsidR="00F87B6E" w:rsidRDefault="00F87B6E" w:rsidP="000C39D1">
            <w:pPr>
              <w:pStyle w:val="libFootnote0"/>
              <w:rPr>
                <w:rtl/>
              </w:rPr>
            </w:pPr>
            <w:r>
              <w:rPr>
                <w:rtl/>
              </w:rPr>
              <w:t>(11).</w:t>
            </w:r>
            <w:r w:rsidRPr="00132E65">
              <w:rPr>
                <w:rtl/>
              </w:rPr>
              <w:t xml:space="preserve"> في الإرشاد :</w:t>
            </w:r>
            <w:r>
              <w:rPr>
                <w:rtl/>
              </w:rPr>
              <w:t xml:space="preserve"> + </w:t>
            </w:r>
            <w:r w:rsidRPr="00132E65">
              <w:rPr>
                <w:rtl/>
              </w:rPr>
              <w:t>« كانت حاله عند »</w:t>
            </w:r>
            <w:r>
              <w:rPr>
                <w:rtl/>
              </w:rPr>
              <w:t>.</w:t>
            </w:r>
          </w:p>
        </w:tc>
      </w:tr>
      <w:tr w:rsidR="00F87B6E" w:rsidTr="00F87B6E">
        <w:tc>
          <w:tcPr>
            <w:tcW w:w="4261" w:type="dxa"/>
          </w:tcPr>
          <w:p w:rsidR="00F87B6E" w:rsidRDefault="00F87B6E" w:rsidP="000C39D1">
            <w:pPr>
              <w:pStyle w:val="libFootnote0"/>
              <w:rPr>
                <w:rtl/>
              </w:rPr>
            </w:pPr>
            <w:r>
              <w:rPr>
                <w:rtl/>
              </w:rPr>
              <w:t>(12).</w:t>
            </w:r>
            <w:r w:rsidRPr="00132E65">
              <w:rPr>
                <w:rtl/>
              </w:rPr>
              <w:t xml:space="preserve"> في الإرشاد : « فاذكر إنّني »</w:t>
            </w:r>
            <w:r>
              <w:rPr>
                <w:rtl/>
              </w:rPr>
              <w:t>.</w:t>
            </w:r>
          </w:p>
        </w:tc>
        <w:tc>
          <w:tcPr>
            <w:tcW w:w="4262" w:type="dxa"/>
          </w:tcPr>
          <w:p w:rsidR="00F87B6E" w:rsidRDefault="00F87B6E" w:rsidP="000C39D1">
            <w:pPr>
              <w:pStyle w:val="libFootnote0"/>
              <w:rPr>
                <w:rtl/>
              </w:rPr>
            </w:pPr>
            <w:r>
              <w:rPr>
                <w:rtl/>
              </w:rPr>
              <w:t>(13)</w:t>
            </w:r>
            <w:r w:rsidRPr="00132E65">
              <w:rPr>
                <w:rtl/>
              </w:rPr>
              <w:t xml:space="preserve"> في الإرشاد </w:t>
            </w:r>
            <w:r>
              <w:rPr>
                <w:rtl/>
              </w:rPr>
              <w:t xml:space="preserve">: - </w:t>
            </w:r>
            <w:r w:rsidRPr="00132E65">
              <w:rPr>
                <w:rtl/>
              </w:rPr>
              <w:t>« عليه »</w:t>
            </w:r>
            <w:r>
              <w:rPr>
                <w:rtl/>
              </w:rPr>
              <w:t>.</w:t>
            </w:r>
          </w:p>
        </w:tc>
      </w:tr>
    </w:tbl>
    <w:p w:rsidR="000C39D1" w:rsidRPr="00132E65" w:rsidRDefault="000C39D1" w:rsidP="000C39D1">
      <w:pPr>
        <w:pStyle w:val="libFootnote0"/>
        <w:rPr>
          <w:rtl/>
          <w:lang w:bidi="fa-IR"/>
        </w:rPr>
      </w:pPr>
      <w:r>
        <w:rPr>
          <w:rtl/>
        </w:rPr>
        <w:t>(14)</w:t>
      </w:r>
      <w:r w:rsidRPr="00132E65">
        <w:rPr>
          <w:rtl/>
        </w:rPr>
        <w:t xml:space="preserve"> في « ب ، ض » :</w:t>
      </w:r>
      <w:r>
        <w:rPr>
          <w:rtl/>
        </w:rPr>
        <w:t xml:space="preserve"> + </w:t>
      </w:r>
      <w:r w:rsidRPr="00132E65">
        <w:rPr>
          <w:rtl/>
        </w:rPr>
        <w:t>« له »</w:t>
      </w:r>
      <w:r>
        <w:rPr>
          <w:rtl/>
        </w:rPr>
        <w:t>.</w:t>
      </w:r>
      <w:r w:rsidRPr="00132E65">
        <w:rPr>
          <w:rtl/>
        </w:rPr>
        <w:t xml:space="preserve"> وفي « بر ، بس ، بف » : « فقال »</w:t>
      </w:r>
      <w:r>
        <w:rPr>
          <w:rtl/>
        </w:rPr>
        <w:t>.</w:t>
      </w:r>
    </w:p>
    <w:p w:rsidR="000C39D1" w:rsidRPr="00132E65" w:rsidRDefault="000C39D1" w:rsidP="000C39D1">
      <w:pPr>
        <w:pStyle w:val="libFootnote0"/>
        <w:rPr>
          <w:rtl/>
          <w:lang w:bidi="fa-IR"/>
        </w:rPr>
      </w:pPr>
      <w:r>
        <w:rPr>
          <w:rtl/>
        </w:rPr>
        <w:t>(15)</w:t>
      </w:r>
      <w:r w:rsidRPr="00132E65">
        <w:rPr>
          <w:rtl/>
        </w:rPr>
        <w:t xml:space="preserve"> في « ب ، ض » :</w:t>
      </w:r>
      <w:r>
        <w:rPr>
          <w:rtl/>
        </w:rPr>
        <w:t xml:space="preserve"> + </w:t>
      </w:r>
      <w:r w:rsidRPr="00132E65">
        <w:rPr>
          <w:rtl/>
        </w:rPr>
        <w:t>« لهم »</w:t>
      </w:r>
      <w:r>
        <w:rPr>
          <w:rtl/>
        </w:rPr>
        <w:t>.</w:t>
      </w:r>
    </w:p>
    <w:p w:rsidR="000C39D1" w:rsidRPr="00132E65" w:rsidRDefault="000C39D1" w:rsidP="000C39D1">
      <w:pPr>
        <w:pStyle w:val="libFootnote0"/>
        <w:rPr>
          <w:rtl/>
          <w:lang w:bidi="fa-IR"/>
        </w:rPr>
      </w:pPr>
      <w:r>
        <w:rPr>
          <w:rtl/>
        </w:rPr>
        <w:t>(16)</w:t>
      </w:r>
      <w:r w:rsidRPr="00132E65">
        <w:rPr>
          <w:rtl/>
        </w:rPr>
        <w:t xml:space="preserve"> في الإرشاد : « ومن جسارتهم أن يكنّوا رجلاً بحضرة أبي ولم يكن يكنّى » بدل « أنّهم جسروا</w:t>
      </w:r>
      <w:r>
        <w:rPr>
          <w:rtl/>
        </w:rPr>
        <w:t xml:space="preserve"> - </w:t>
      </w:r>
      <w:r w:rsidRPr="00132E65">
        <w:rPr>
          <w:rtl/>
        </w:rPr>
        <w:t>إلى</w:t>
      </w:r>
      <w:r>
        <w:rPr>
          <w:rtl/>
        </w:rPr>
        <w:t xml:space="preserve"> - </w:t>
      </w:r>
      <w:r w:rsidRPr="00132E65">
        <w:rPr>
          <w:rtl/>
        </w:rPr>
        <w:t>ولم‌يكنّ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B46B7" w:rsidP="000C39D1">
      <w:pPr>
        <w:pStyle w:val="libNormal0"/>
        <w:tabs>
          <w:tab w:val="left" w:pos="3968"/>
        </w:tabs>
        <w:rPr>
          <w:rtl/>
          <w:lang w:bidi="fa-IR"/>
        </w:rPr>
      </w:pPr>
      <w:r>
        <w:rPr>
          <w:rtl/>
          <w:lang w:bidi="fa-IR"/>
        </w:rPr>
        <w:t>إِل</w:t>
      </w:r>
      <w:r>
        <w:rPr>
          <w:rFonts w:hint="cs"/>
          <w:rtl/>
          <w:lang w:bidi="fa-IR"/>
        </w:rPr>
        <w:t>َّ</w:t>
      </w:r>
      <w:r>
        <w:rPr>
          <w:rtl/>
          <w:lang w:bidi="fa-IR"/>
        </w:rPr>
        <w:t>ا</w:t>
      </w:r>
      <w:r w:rsidR="000C39D1" w:rsidRPr="00132E65">
        <w:rPr>
          <w:rtl/>
          <w:lang w:bidi="fa-IR"/>
        </w:rPr>
        <w:t xml:space="preserve"> خَلِيفَةٌ ، أَوْ و</w:t>
      </w:r>
      <w:r w:rsidR="00F33AB5">
        <w:rPr>
          <w:rFonts w:hint="cs"/>
          <w:rtl/>
          <w:lang w:bidi="fa-IR"/>
        </w:rPr>
        <w:t>َ</w:t>
      </w:r>
      <w:r w:rsidR="000C39D1" w:rsidRPr="00132E65">
        <w:rPr>
          <w:rtl/>
          <w:lang w:bidi="fa-IR"/>
        </w:rPr>
        <w:t xml:space="preserve">لِيُّ عَهْدٍ ، أَوْ </w:t>
      </w:r>
      <w:r w:rsidR="000C39D1">
        <w:rPr>
          <w:rStyle w:val="libFootnotenumChar"/>
          <w:rtl/>
        </w:rPr>
        <w:t>(1)</w:t>
      </w:r>
      <w:r w:rsidR="000C39D1" w:rsidRPr="00132E65">
        <w:rPr>
          <w:rtl/>
          <w:lang w:bidi="fa-IR"/>
        </w:rPr>
        <w:t xml:space="preserve"> مَنْ أَمَرَ السُّلْطَانُ أَنْ </w:t>
      </w:r>
      <w:r w:rsidR="000C39D1">
        <w:rPr>
          <w:rStyle w:val="libFootnotenumChar"/>
          <w:rtl/>
        </w:rPr>
        <w:t>(2)</w:t>
      </w:r>
      <w:r w:rsidR="000C39D1" w:rsidRPr="00132E65">
        <w:rPr>
          <w:rtl/>
          <w:lang w:bidi="fa-IR"/>
        </w:rPr>
        <w:t xml:space="preserve"> يُكَنّى ، فَدَخَلَ رَجُلٌ أَسْمَرُ </w:t>
      </w:r>
      <w:r w:rsidR="000C39D1">
        <w:rPr>
          <w:rStyle w:val="libFootnotenumChar"/>
          <w:rtl/>
        </w:rPr>
        <w:t>(3)</w:t>
      </w:r>
      <w:r w:rsidR="000C39D1" w:rsidRPr="00132E65">
        <w:rPr>
          <w:rtl/>
          <w:lang w:bidi="fa-IR"/>
        </w:rPr>
        <w:t xml:space="preserve"> ، حَسَنُ الْقَامَةِ ، جَمِيلُ الْوَجْهِ ، جَيِّدُ الْبَدَنِ ، حَدَثُ </w:t>
      </w:r>
      <w:r w:rsidR="000C39D1">
        <w:rPr>
          <w:rStyle w:val="libFootnotenumChar"/>
          <w:rtl/>
        </w:rPr>
        <w:t>(4)</w:t>
      </w:r>
      <w:r w:rsidR="000C39D1" w:rsidRPr="00132E65">
        <w:rPr>
          <w:rtl/>
          <w:lang w:bidi="fa-IR"/>
        </w:rPr>
        <w:t xml:space="preserve"> السِّنِّ ، لَهُ جَلَالَةٌ و</w:t>
      </w:r>
      <w:r w:rsidR="00F33AB5">
        <w:rPr>
          <w:rFonts w:hint="cs"/>
          <w:rtl/>
          <w:lang w:bidi="fa-IR"/>
        </w:rPr>
        <w:t xml:space="preserve">َ </w:t>
      </w:r>
      <w:r w:rsidR="000C39D1" w:rsidRPr="00132E65">
        <w:rPr>
          <w:rtl/>
          <w:lang w:bidi="fa-IR"/>
        </w:rPr>
        <w:t xml:space="preserve">هَيْبَةٌ </w:t>
      </w:r>
      <w:r w:rsidR="000C39D1">
        <w:rPr>
          <w:rStyle w:val="libFootnotenumChar"/>
          <w:rtl/>
        </w:rPr>
        <w:t>(5)</w:t>
      </w:r>
      <w:r w:rsidR="000C39D1" w:rsidRPr="00132E65">
        <w:rPr>
          <w:rtl/>
          <w:lang w:bidi="fa-IR"/>
        </w:rPr>
        <w:t xml:space="preserve"> ، فَلَمَّا نَظَرَ إِلَيْهِ أَبِي ، قَامَ يَمْشِي </w:t>
      </w:r>
      <w:r w:rsidR="000C39D1">
        <w:rPr>
          <w:rStyle w:val="libFootnotenumChar"/>
          <w:rtl/>
        </w:rPr>
        <w:t>(6)</w:t>
      </w:r>
      <w:r w:rsidR="000C39D1" w:rsidRPr="00132E65">
        <w:rPr>
          <w:rtl/>
          <w:lang w:bidi="fa-IR"/>
        </w:rPr>
        <w:t xml:space="preserve"> إِلَيْهِ خُطًى ، ولَا</w:t>
      </w:r>
      <w:r w:rsidR="000C39D1">
        <w:rPr>
          <w:rFonts w:hint="cs"/>
          <w:rtl/>
          <w:lang w:bidi="fa-IR"/>
        </w:rPr>
        <w:t xml:space="preserve"> </w:t>
      </w:r>
      <w:r w:rsidR="000C39D1" w:rsidRPr="00132E65">
        <w:rPr>
          <w:rtl/>
          <w:lang w:bidi="fa-IR"/>
        </w:rPr>
        <w:t>أَعْلَمُهُ فَعَلَ هذَا بِأَحَدٍ مِنْ بَنِي هَاشِمٍ والْقُوَّادِ ، فَلَمَّا دَنَا مِنْهُ عَانَقَهُ ، و</w:t>
      </w:r>
      <w:r w:rsidR="00F33AB5">
        <w:rPr>
          <w:rFonts w:hint="cs"/>
          <w:rtl/>
          <w:lang w:bidi="fa-IR"/>
        </w:rPr>
        <w:t>َ</w:t>
      </w:r>
      <w:r w:rsidR="000C39D1" w:rsidRPr="00132E65">
        <w:rPr>
          <w:rtl/>
          <w:lang w:bidi="fa-IR"/>
        </w:rPr>
        <w:t>قَبَّلَ و</w:t>
      </w:r>
      <w:r w:rsidR="00F33AB5">
        <w:rPr>
          <w:rFonts w:hint="cs"/>
          <w:rtl/>
          <w:lang w:bidi="fa-IR"/>
        </w:rPr>
        <w:t>َ</w:t>
      </w:r>
      <w:r w:rsidR="000C39D1" w:rsidRPr="00132E65">
        <w:rPr>
          <w:rtl/>
          <w:lang w:bidi="fa-IR"/>
        </w:rPr>
        <w:t>جْهَهُ و</w:t>
      </w:r>
      <w:r w:rsidR="00F33AB5">
        <w:rPr>
          <w:rFonts w:hint="cs"/>
          <w:rtl/>
          <w:lang w:bidi="fa-IR"/>
        </w:rPr>
        <w:t xml:space="preserve">َ </w:t>
      </w:r>
      <w:r w:rsidR="000C39D1" w:rsidRPr="00132E65">
        <w:rPr>
          <w:rtl/>
          <w:lang w:bidi="fa-IR"/>
        </w:rPr>
        <w:t>صَدْرَهُ ، و</w:t>
      </w:r>
      <w:r w:rsidR="00CD0DE5">
        <w:rPr>
          <w:rFonts w:hint="cs"/>
          <w:rtl/>
          <w:lang w:bidi="fa-IR"/>
        </w:rPr>
        <w:t>َ</w:t>
      </w:r>
      <w:r w:rsidR="000C39D1" w:rsidRPr="00132E65">
        <w:rPr>
          <w:rtl/>
          <w:lang w:bidi="fa-IR"/>
        </w:rPr>
        <w:t>أَخَذَ بِيَدِهِ ، و</w:t>
      </w:r>
      <w:r w:rsidR="00CD0DE5">
        <w:rPr>
          <w:rFonts w:hint="cs"/>
          <w:rtl/>
          <w:lang w:bidi="fa-IR"/>
        </w:rPr>
        <w:t>َ</w:t>
      </w:r>
      <w:r w:rsidR="000C39D1" w:rsidRPr="00132E65">
        <w:rPr>
          <w:rtl/>
          <w:lang w:bidi="fa-IR"/>
        </w:rPr>
        <w:t>أَجْلَسَهُ عَلى مُصَلاَّهُ الَّذِي كَانَ عَلَيْهِ ، و</w:t>
      </w:r>
      <w:r w:rsidR="00CD0DE5">
        <w:rPr>
          <w:rFonts w:hint="cs"/>
          <w:rtl/>
          <w:lang w:bidi="fa-IR"/>
        </w:rPr>
        <w:t>َ</w:t>
      </w:r>
      <w:r w:rsidR="000C39D1" w:rsidRPr="00132E65">
        <w:rPr>
          <w:rtl/>
          <w:lang w:bidi="fa-IR"/>
        </w:rPr>
        <w:t>جَلَسَ إِلى جَنْبِهِ مُقْبِلاً عَلَيْهِ بِوَجْهِهِ ، و</w:t>
      </w:r>
      <w:r w:rsidR="00CD0DE5">
        <w:rPr>
          <w:rFonts w:hint="cs"/>
          <w:rtl/>
          <w:lang w:bidi="fa-IR"/>
        </w:rPr>
        <w:t xml:space="preserve">َ </w:t>
      </w:r>
      <w:r w:rsidR="000C39D1" w:rsidRPr="00132E65">
        <w:rPr>
          <w:rtl/>
          <w:lang w:bidi="fa-IR"/>
        </w:rPr>
        <w:t xml:space="preserve">جَعَلَ يُكَلِّمُهُ ، ويَفْدِيهِ بِنَفْسِهِ ، وأَنَا مُتَعَجِّبٌ مِمَّا أَرى مِنْهُ إِذْ دَخَلَ عَلَيْهِ </w:t>
      </w:r>
      <w:r w:rsidR="000C39D1">
        <w:rPr>
          <w:rStyle w:val="libFootnotenumChar"/>
          <w:rtl/>
        </w:rPr>
        <w:t>(7)</w:t>
      </w:r>
      <w:r w:rsidR="000C39D1" w:rsidRPr="00132E65">
        <w:rPr>
          <w:rtl/>
          <w:lang w:bidi="fa-IR"/>
        </w:rPr>
        <w:t xml:space="preserve"> الْحَاجِبُ ، فَقَالَ : الْمُوَفَّقُ </w:t>
      </w:r>
      <w:r w:rsidR="000C39D1">
        <w:rPr>
          <w:rStyle w:val="libFootnotenumChar"/>
          <w:rtl/>
        </w:rPr>
        <w:t>(8)</w:t>
      </w:r>
      <w:r w:rsidR="000C39D1" w:rsidRPr="00132E65">
        <w:rPr>
          <w:rtl/>
          <w:lang w:bidi="fa-IR"/>
        </w:rPr>
        <w:t xml:space="preserve"> قَدْ جَاءَ</w:t>
      </w:r>
      <w:r w:rsidR="000C39D1">
        <w:rPr>
          <w:rtl/>
          <w:lang w:bidi="fa-IR"/>
        </w:rPr>
        <w:t xml:space="preserve"> </w:t>
      </w:r>
      <w:r w:rsidR="00CD0DE5">
        <w:rPr>
          <w:rtl/>
          <w:lang w:bidi="fa-IR"/>
        </w:rPr>
        <w:t>–</w:t>
      </w:r>
      <w:r w:rsidR="000C39D1">
        <w:rPr>
          <w:rtl/>
          <w:lang w:bidi="fa-IR"/>
        </w:rPr>
        <w:t xml:space="preserve"> </w:t>
      </w:r>
      <w:r w:rsidR="000C39D1" w:rsidRPr="00132E65">
        <w:rPr>
          <w:rtl/>
          <w:lang w:bidi="fa-IR"/>
        </w:rPr>
        <w:t>و</w:t>
      </w:r>
      <w:r w:rsidR="00CD0DE5">
        <w:rPr>
          <w:rFonts w:hint="cs"/>
          <w:rtl/>
          <w:lang w:bidi="fa-IR"/>
        </w:rPr>
        <w:t xml:space="preserve">َ </w:t>
      </w:r>
      <w:r w:rsidR="000C39D1" w:rsidRPr="00132E65">
        <w:rPr>
          <w:rtl/>
          <w:lang w:bidi="fa-IR"/>
        </w:rPr>
        <w:t xml:space="preserve">كَانَ الْمُوَفَّقُ إِذَا دَخَلَ عَلى أَبِي تَقَدَّمَ </w:t>
      </w:r>
      <w:r w:rsidR="000C39D1">
        <w:rPr>
          <w:rStyle w:val="libFootnotenumChar"/>
          <w:rtl/>
        </w:rPr>
        <w:t>(9)</w:t>
      </w:r>
      <w:r w:rsidR="000C39D1" w:rsidRPr="00132E65">
        <w:rPr>
          <w:rtl/>
          <w:lang w:bidi="fa-IR"/>
        </w:rPr>
        <w:t xml:space="preserve"> حُجَّابُهُ و</w:t>
      </w:r>
      <w:r w:rsidR="00CD0DE5">
        <w:rPr>
          <w:rFonts w:hint="cs"/>
          <w:rtl/>
          <w:lang w:bidi="fa-IR"/>
        </w:rPr>
        <w:t xml:space="preserve">َ </w:t>
      </w:r>
      <w:r w:rsidR="000C39D1" w:rsidRPr="00132E65">
        <w:rPr>
          <w:rtl/>
          <w:lang w:bidi="fa-IR"/>
        </w:rPr>
        <w:t>خَاصَّةُ قُوَّادِهِ</w:t>
      </w:r>
      <w:r w:rsidR="000C39D1">
        <w:rPr>
          <w:rtl/>
          <w:lang w:bidi="fa-IR"/>
        </w:rPr>
        <w:t xml:space="preserve"> - </w:t>
      </w:r>
      <w:r w:rsidR="000C39D1" w:rsidRPr="00132E65">
        <w:rPr>
          <w:rtl/>
          <w:lang w:bidi="fa-IR"/>
        </w:rPr>
        <w:t>فَقَامُوا بَيْنَ مَجْلِسِ أَبِي و</w:t>
      </w:r>
      <w:r w:rsidR="00CD0DE5">
        <w:rPr>
          <w:rFonts w:hint="cs"/>
          <w:rtl/>
          <w:lang w:bidi="fa-IR"/>
        </w:rPr>
        <w:t xml:space="preserve">َ </w:t>
      </w:r>
      <w:r w:rsidR="000C39D1" w:rsidRPr="00132E65">
        <w:rPr>
          <w:rtl/>
          <w:lang w:bidi="fa-IR"/>
        </w:rPr>
        <w:t xml:space="preserve">بَيْنَ بَابِ الدَّارِ سِمَاطَيْنِ </w:t>
      </w:r>
      <w:r w:rsidR="000C39D1">
        <w:rPr>
          <w:rStyle w:val="libFootnotenumChar"/>
          <w:rtl/>
        </w:rPr>
        <w:t>(10)</w:t>
      </w:r>
      <w:r w:rsidR="000C39D1" w:rsidRPr="00132E65">
        <w:rPr>
          <w:rtl/>
          <w:lang w:bidi="fa-IR"/>
        </w:rPr>
        <w:t xml:space="preserve"> إِلى أَنْ يَدْخُلَ و</w:t>
      </w:r>
      <w:r w:rsidR="00CD0DE5">
        <w:rPr>
          <w:rFonts w:hint="cs"/>
          <w:rtl/>
          <w:lang w:bidi="fa-IR"/>
        </w:rPr>
        <w:t>َ</w:t>
      </w:r>
      <w:r w:rsidR="000C39D1">
        <w:rPr>
          <w:rFonts w:hint="cs"/>
          <w:rtl/>
          <w:lang w:bidi="fa-IR"/>
        </w:rPr>
        <w:t xml:space="preserve"> </w:t>
      </w:r>
      <w:r w:rsidR="000C39D1">
        <w:rPr>
          <w:rStyle w:val="libFootnotenumChar"/>
          <w:rtl/>
        </w:rPr>
        <w:t>(11)</w:t>
      </w:r>
      <w:r w:rsidR="000C39D1" w:rsidRPr="00132E65">
        <w:rPr>
          <w:rtl/>
          <w:lang w:bidi="fa-IR"/>
        </w:rPr>
        <w:t xml:space="preserve"> يَخْرُجَ ، فَلَمْ يَزَلْ أَبِي مُقْبِلاً عَلى أَبِي مُحَمَّدٍ يُحَدِّثُهُ حَتّى نَظَرَ إِلى غِلْمَانِ الْخَاصَّةِ </w:t>
      </w:r>
      <w:r w:rsidR="000C39D1">
        <w:rPr>
          <w:rStyle w:val="libFootnotenumChar"/>
          <w:rtl/>
        </w:rPr>
        <w:t>(12)</w:t>
      </w:r>
      <w:r w:rsidR="000C39D1" w:rsidRPr="00132E65">
        <w:rPr>
          <w:rtl/>
          <w:lang w:bidi="fa-IR"/>
        </w:rPr>
        <w:t xml:space="preserve"> ، فَقَالَ حِينَئِذٍ </w:t>
      </w:r>
      <w:r w:rsidR="000C39D1" w:rsidRPr="00F543F1">
        <w:rPr>
          <w:rStyle w:val="libFootnotenumChar"/>
          <w:rtl/>
        </w:rPr>
        <w:t>(13)</w:t>
      </w:r>
      <w:r w:rsidR="000C39D1" w:rsidRPr="00132E65">
        <w:rPr>
          <w:rtl/>
          <w:lang w:bidi="fa-IR"/>
        </w:rPr>
        <w:t xml:space="preserve"> : إِذَا شِئْتَ جَعَلَنِيَ اللهُ فِدَاكَ </w:t>
      </w:r>
      <w:r w:rsidR="000C39D1" w:rsidRPr="00F543F1">
        <w:rPr>
          <w:rStyle w:val="libFootnotenumChar"/>
          <w:rtl/>
        </w:rPr>
        <w:t>(14)</w:t>
      </w:r>
      <w:r w:rsidR="000C39D1" w:rsidRPr="00132E65">
        <w:rPr>
          <w:rtl/>
          <w:lang w:bidi="fa-IR"/>
        </w:rPr>
        <w:t xml:space="preserve"> ، ثُمَّ قَالَ لِحُجَّابِهِ : خُذُوا بِهِ خَلْفَ السِّمَاطَيْنِ حَتّى </w:t>
      </w:r>
      <w:r w:rsidR="000C39D1" w:rsidRPr="00F543F1">
        <w:rPr>
          <w:rStyle w:val="libFootnotenumChar"/>
          <w:rtl/>
        </w:rPr>
        <w:t>(15)</w:t>
      </w:r>
      <w:r w:rsidR="000C39D1" w:rsidRPr="00132E65">
        <w:rPr>
          <w:rtl/>
          <w:lang w:bidi="fa-IR"/>
        </w:rPr>
        <w:t xml:space="preserve"> لَايَرَاهُ هذَا</w:t>
      </w:r>
      <w:r w:rsidR="000C39D1">
        <w:rPr>
          <w:rtl/>
          <w:lang w:bidi="fa-IR"/>
        </w:rPr>
        <w:t xml:space="preserve"> - </w:t>
      </w:r>
      <w:r w:rsidR="000C39D1" w:rsidRPr="00132E65">
        <w:rPr>
          <w:rtl/>
          <w:lang w:bidi="fa-IR"/>
        </w:rPr>
        <w:t>يَعْنِي الْمُوَفَّقَ</w:t>
      </w:r>
      <w:r w:rsidR="000C39D1">
        <w:rPr>
          <w:rtl/>
          <w:lang w:bidi="fa-IR"/>
        </w:rPr>
        <w:t xml:space="preserve"> - </w:t>
      </w:r>
      <w:r w:rsidR="000C39D1" w:rsidRPr="00132E65">
        <w:rPr>
          <w:rtl/>
          <w:lang w:bidi="fa-IR"/>
        </w:rPr>
        <w:t>فَقَامَ وقَامَ‌</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4626B4" w:rsidTr="004626B4">
        <w:tc>
          <w:tcPr>
            <w:tcW w:w="4261" w:type="dxa"/>
          </w:tcPr>
          <w:p w:rsidR="004626B4" w:rsidRDefault="004626B4" w:rsidP="000C39D1">
            <w:pPr>
              <w:pStyle w:val="libFootnote0"/>
              <w:rPr>
                <w:rtl/>
              </w:rPr>
            </w:pPr>
            <w:r>
              <w:rPr>
                <w:rtl/>
              </w:rPr>
              <w:t>(1).</w:t>
            </w:r>
            <w:r w:rsidRPr="00132E65">
              <w:rPr>
                <w:rtl/>
              </w:rPr>
              <w:t xml:space="preserve"> في « ف » : «</w:t>
            </w:r>
            <w:r>
              <w:rPr>
                <w:rtl/>
              </w:rPr>
              <w:t xml:space="preserve"> و ».</w:t>
            </w:r>
          </w:p>
        </w:tc>
        <w:tc>
          <w:tcPr>
            <w:tcW w:w="4262" w:type="dxa"/>
          </w:tcPr>
          <w:p w:rsidR="004626B4" w:rsidRDefault="004626B4" w:rsidP="000C39D1">
            <w:pPr>
              <w:pStyle w:val="libFootnote0"/>
              <w:rPr>
                <w:rtl/>
              </w:rPr>
            </w:pPr>
            <w:r>
              <w:rPr>
                <w:rtl/>
              </w:rPr>
              <w:t>(2).</w:t>
            </w:r>
            <w:r w:rsidRPr="00132E65">
              <w:rPr>
                <w:rtl/>
              </w:rPr>
              <w:t xml:space="preserve"> في « ب » </w:t>
            </w:r>
            <w:r>
              <w:rPr>
                <w:rtl/>
              </w:rPr>
              <w:t xml:space="preserve">: - </w:t>
            </w:r>
            <w:r w:rsidRPr="00132E65">
              <w:rPr>
                <w:rtl/>
              </w:rPr>
              <w:t>« أن »</w:t>
            </w:r>
            <w:r>
              <w:rPr>
                <w:rtl/>
              </w:rPr>
              <w:t>.</w:t>
            </w:r>
          </w:p>
        </w:tc>
      </w:tr>
    </w:tbl>
    <w:p w:rsidR="000C39D1" w:rsidRPr="00132E65" w:rsidRDefault="000C39D1" w:rsidP="00EE043E">
      <w:pPr>
        <w:pStyle w:val="libFootnote0"/>
        <w:rPr>
          <w:rtl/>
          <w:lang w:bidi="fa-IR"/>
        </w:rPr>
      </w:pPr>
      <w:r>
        <w:rPr>
          <w:rtl/>
        </w:rPr>
        <w:t>(3).</w:t>
      </w:r>
      <w:r w:rsidRPr="00132E65">
        <w:rPr>
          <w:rtl/>
        </w:rPr>
        <w:t xml:space="preserve"> « الأسمر » : من كان لونه السُمْرة ، وهي منزلة بين السواد والبياض. وقيل : هو لون يضرب إلى سواد خفيّ. راجع : </w:t>
      </w:r>
      <w:r w:rsidRPr="009D1ACE">
        <w:rPr>
          <w:rStyle w:val="libFootnoteBoldChar"/>
          <w:rtl/>
        </w:rPr>
        <w:t>لسان العرب</w:t>
      </w:r>
      <w:r w:rsidRPr="00132E65">
        <w:rPr>
          <w:rtl/>
        </w:rPr>
        <w:t xml:space="preserve"> ، ج 4 ، ص 376 ( سمر )</w:t>
      </w:r>
      <w:r>
        <w:rPr>
          <w:rtl/>
        </w:rPr>
        <w:t>.</w:t>
      </w:r>
      <w:r w:rsidR="00EE043E">
        <w:rPr>
          <w:rFonts w:hint="cs"/>
          <w:rtl/>
        </w:rPr>
        <w:t xml:space="preserve">       </w:t>
      </w:r>
      <w:r w:rsidR="0006034E">
        <w:rPr>
          <w:rFonts w:hint="cs"/>
          <w:rtl/>
        </w:rPr>
        <w:t xml:space="preserve"> </w:t>
      </w:r>
      <w:r w:rsidR="00EE043E">
        <w:rPr>
          <w:rFonts w:hint="cs"/>
          <w:rtl/>
        </w:rPr>
        <w:t xml:space="preserve">            </w:t>
      </w:r>
      <w:r>
        <w:rPr>
          <w:rtl/>
        </w:rPr>
        <w:t>(4).</w:t>
      </w:r>
      <w:r w:rsidRPr="00132E65">
        <w:rPr>
          <w:rtl/>
        </w:rPr>
        <w:t xml:space="preserve"> في الإرشاد : « حديث »</w:t>
      </w:r>
      <w:r>
        <w:rPr>
          <w:rtl/>
        </w:rPr>
        <w:t>.</w:t>
      </w:r>
    </w:p>
    <w:tbl>
      <w:tblPr>
        <w:tblStyle w:val="TableGrid"/>
        <w:bidiVisual/>
        <w:tblW w:w="0" w:type="auto"/>
        <w:tblLook w:val="04A0" w:firstRow="1" w:lastRow="0" w:firstColumn="1" w:lastColumn="0" w:noHBand="0" w:noVBand="1"/>
      </w:tblPr>
      <w:tblGrid>
        <w:gridCol w:w="4261"/>
        <w:gridCol w:w="4262"/>
      </w:tblGrid>
      <w:tr w:rsidR="00482F73" w:rsidTr="00482F73">
        <w:tc>
          <w:tcPr>
            <w:tcW w:w="4261" w:type="dxa"/>
          </w:tcPr>
          <w:p w:rsidR="00482F73" w:rsidRDefault="00482F73" w:rsidP="000C39D1">
            <w:pPr>
              <w:pStyle w:val="libFootnote0"/>
              <w:rPr>
                <w:rtl/>
              </w:rPr>
            </w:pPr>
            <w:r>
              <w:rPr>
                <w:rtl/>
              </w:rPr>
              <w:t>(5).</w:t>
            </w:r>
            <w:r w:rsidRPr="00132E65">
              <w:rPr>
                <w:rtl/>
              </w:rPr>
              <w:t xml:space="preserve"> في الإرشاد : « هَيْئة حسنة » بدل « هيبة »</w:t>
            </w:r>
            <w:r>
              <w:rPr>
                <w:rtl/>
              </w:rPr>
              <w:t>.</w:t>
            </w:r>
          </w:p>
        </w:tc>
        <w:tc>
          <w:tcPr>
            <w:tcW w:w="4262" w:type="dxa"/>
          </w:tcPr>
          <w:p w:rsidR="00482F73" w:rsidRDefault="00482F73" w:rsidP="000C39D1">
            <w:pPr>
              <w:pStyle w:val="libFootnote0"/>
              <w:rPr>
                <w:rtl/>
              </w:rPr>
            </w:pPr>
            <w:r>
              <w:rPr>
                <w:rtl/>
              </w:rPr>
              <w:t>(6).</w:t>
            </w:r>
            <w:r w:rsidRPr="00132E65">
              <w:rPr>
                <w:rtl/>
              </w:rPr>
              <w:t xml:space="preserve"> في « ف » والإرشاد : « فمشى »</w:t>
            </w:r>
            <w:r>
              <w:rPr>
                <w:rtl/>
              </w:rPr>
              <w:t>.</w:t>
            </w:r>
          </w:p>
        </w:tc>
      </w:tr>
    </w:tbl>
    <w:p w:rsidR="000C39D1" w:rsidRPr="00132E65" w:rsidRDefault="000C39D1" w:rsidP="000C39D1">
      <w:pPr>
        <w:pStyle w:val="libFootnote0"/>
        <w:rPr>
          <w:rtl/>
          <w:lang w:bidi="fa-IR"/>
        </w:rPr>
      </w:pPr>
      <w:r>
        <w:rPr>
          <w:rtl/>
        </w:rPr>
        <w:t>(7).</w:t>
      </w:r>
      <w:r w:rsidRPr="00132E65">
        <w:rPr>
          <w:rtl/>
        </w:rPr>
        <w:t xml:space="preserve"> في « ب ، ج ، ض ، بح ، بر ، بس ، بف » و</w:t>
      </w:r>
      <w:r w:rsidRPr="009D1ACE">
        <w:rPr>
          <w:rStyle w:val="libFootnoteBoldChar"/>
          <w:rtl/>
        </w:rPr>
        <w:t>الوافي</w:t>
      </w:r>
      <w:r w:rsidRPr="00132E65">
        <w:rPr>
          <w:rtl/>
        </w:rPr>
        <w:t xml:space="preserve"> والإرشاد </w:t>
      </w:r>
      <w:r>
        <w:rPr>
          <w:rtl/>
        </w:rPr>
        <w:t xml:space="preserve">: - </w:t>
      </w:r>
      <w:r w:rsidRPr="00132E65">
        <w:rPr>
          <w:rtl/>
        </w:rPr>
        <w:t>« عليه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FD1E9D">
        <w:rPr>
          <w:rtl/>
        </w:rPr>
        <w:t>شرح المازندراني</w:t>
      </w:r>
      <w:r w:rsidRPr="00132E65">
        <w:rPr>
          <w:rtl/>
        </w:rPr>
        <w:t xml:space="preserve"> ، ج 7 ، ص 312 : « هو موفّق بن المتوكّل أخو المعتمد بن المتوكّل ، وكان أمير عساكره وانتقلت الخلافة بعد المعتمد إلى ابن الموفّق أحمد الملقّب بالمعتضد »</w:t>
      </w:r>
      <w:r>
        <w:rPr>
          <w:rtl/>
        </w:rPr>
        <w:t>.</w:t>
      </w:r>
      <w:r w:rsidRPr="00132E65">
        <w:rPr>
          <w:rtl/>
        </w:rPr>
        <w:t xml:space="preserve"> وفي هامشه عن المحقّق الشعراني : « قوله : كان أمير عساكره ، بل كان الأمر بيده ولم يكن للمعتمد أخيه</w:t>
      </w:r>
      <w:r>
        <w:rPr>
          <w:rtl/>
        </w:rPr>
        <w:t xml:space="preserve"> - </w:t>
      </w:r>
      <w:r w:rsidRPr="00132E65">
        <w:rPr>
          <w:rtl/>
        </w:rPr>
        <w:t>وهو الخليفة</w:t>
      </w:r>
      <w:r>
        <w:rPr>
          <w:rtl/>
        </w:rPr>
        <w:t xml:space="preserve"> - </w:t>
      </w:r>
      <w:r w:rsidRPr="00132E65">
        <w:rPr>
          <w:rtl/>
        </w:rPr>
        <w:t>أمر أصلاً ، وكان مشغولاً باللهو واللذّات ، وقيل : احتاج يوماً إلى ثلاثمائة دينار فلم يجدها لتضييق الموفّق عليه ، ومات للإفراط في الشرب »</w:t>
      </w:r>
      <w:r>
        <w:rPr>
          <w:rtl/>
        </w:rPr>
        <w:t>.</w:t>
      </w:r>
    </w:p>
    <w:p w:rsidR="000C39D1" w:rsidRPr="00132E65" w:rsidRDefault="000C39D1" w:rsidP="000C39D1">
      <w:pPr>
        <w:pStyle w:val="libFootnote0"/>
        <w:rPr>
          <w:rtl/>
          <w:lang w:bidi="fa-IR"/>
        </w:rPr>
      </w:pPr>
      <w:r>
        <w:rPr>
          <w:rtl/>
        </w:rPr>
        <w:t>(9).</w:t>
      </w:r>
      <w:r w:rsidRPr="00132E65">
        <w:rPr>
          <w:rtl/>
        </w:rPr>
        <w:t xml:space="preserve"> في « ف ، بس ، بف » و</w:t>
      </w:r>
      <w:r w:rsidRPr="009D1ACE">
        <w:rPr>
          <w:rStyle w:val="libFootnoteBoldChar"/>
          <w:rtl/>
        </w:rPr>
        <w:t>الوافي</w:t>
      </w:r>
      <w:r w:rsidRPr="00132E65">
        <w:rPr>
          <w:rtl/>
        </w:rPr>
        <w:t xml:space="preserve"> : « يقدّم »</w:t>
      </w:r>
      <w:r>
        <w:rPr>
          <w:rtl/>
        </w:rPr>
        <w:t>.</w:t>
      </w:r>
      <w:r w:rsidRPr="00132E65">
        <w:rPr>
          <w:rtl/>
        </w:rPr>
        <w:t xml:space="preserve"> وفي الإرشاد : « يقدّمه »</w:t>
      </w:r>
      <w:r>
        <w:rPr>
          <w:rtl/>
        </w:rPr>
        <w:t>.</w:t>
      </w:r>
    </w:p>
    <w:p w:rsidR="000C39D1" w:rsidRPr="00132E65" w:rsidRDefault="000C39D1" w:rsidP="00E916D3">
      <w:pPr>
        <w:pStyle w:val="libFootnote0"/>
        <w:rPr>
          <w:rtl/>
          <w:lang w:bidi="fa-IR"/>
        </w:rPr>
      </w:pPr>
      <w:r>
        <w:rPr>
          <w:rtl/>
        </w:rPr>
        <w:t>(10).</w:t>
      </w:r>
      <w:r w:rsidRPr="00132E65">
        <w:rPr>
          <w:rtl/>
        </w:rPr>
        <w:t xml:space="preserve"> سِماط القوم : صَفُّهم. ويقال : قام القوم حوله سِماطين ، أي صَفّين ، وكلّ صفّ من الرجال سِماط. </w:t>
      </w:r>
      <w:r w:rsidRPr="00FD1E9D">
        <w:rPr>
          <w:rtl/>
        </w:rPr>
        <w:t>لسان‌العرب</w:t>
      </w:r>
      <w:r w:rsidRPr="00132E65">
        <w:rPr>
          <w:rtl/>
        </w:rPr>
        <w:t xml:space="preserve"> ، ج 7 ، ص 325 ( سمط )</w:t>
      </w:r>
      <w:r>
        <w:rPr>
          <w:rtl/>
        </w:rPr>
        <w:t>.</w:t>
      </w:r>
      <w:r w:rsidR="00E916D3">
        <w:rPr>
          <w:rFonts w:hint="cs"/>
          <w:rtl/>
        </w:rPr>
        <w:t xml:space="preserve">                             </w:t>
      </w:r>
      <w:r w:rsidR="0006034E">
        <w:rPr>
          <w:rFonts w:hint="cs"/>
          <w:rtl/>
        </w:rPr>
        <w:t xml:space="preserve"> </w:t>
      </w:r>
      <w:r w:rsidR="00E916D3">
        <w:rPr>
          <w:rFonts w:hint="cs"/>
          <w:rtl/>
        </w:rPr>
        <w:t xml:space="preserve">           </w:t>
      </w:r>
      <w:r>
        <w:rPr>
          <w:rtl/>
        </w:rPr>
        <w:t>(11).</w:t>
      </w:r>
      <w:r w:rsidRPr="00132E65">
        <w:rPr>
          <w:rtl/>
        </w:rPr>
        <w:t xml:space="preserve"> في « بر » : « ثمّ »</w:t>
      </w:r>
      <w:r>
        <w:rPr>
          <w:rtl/>
        </w:rPr>
        <w:t>.</w:t>
      </w:r>
    </w:p>
    <w:tbl>
      <w:tblPr>
        <w:tblStyle w:val="TableGrid"/>
        <w:bidiVisual/>
        <w:tblW w:w="0" w:type="auto"/>
        <w:tblLook w:val="04A0" w:firstRow="1" w:lastRow="0" w:firstColumn="1" w:lastColumn="0" w:noHBand="0" w:noVBand="1"/>
      </w:tblPr>
      <w:tblGrid>
        <w:gridCol w:w="4261"/>
        <w:gridCol w:w="4262"/>
      </w:tblGrid>
      <w:tr w:rsidR="00B46E5C" w:rsidTr="00B46E5C">
        <w:tc>
          <w:tcPr>
            <w:tcW w:w="4261" w:type="dxa"/>
          </w:tcPr>
          <w:p w:rsidR="00B46E5C" w:rsidRDefault="00B46E5C" w:rsidP="000C39D1">
            <w:pPr>
              <w:pStyle w:val="libFootnote0"/>
              <w:rPr>
                <w:rtl/>
              </w:rPr>
            </w:pPr>
            <w:r>
              <w:rPr>
                <w:rtl/>
              </w:rPr>
              <w:t>(12).</w:t>
            </w:r>
            <w:r w:rsidRPr="00132E65">
              <w:rPr>
                <w:rtl/>
              </w:rPr>
              <w:t xml:space="preserve"> من إضافة الموصوف إلى الصفة.</w:t>
            </w:r>
          </w:p>
        </w:tc>
        <w:tc>
          <w:tcPr>
            <w:tcW w:w="4262" w:type="dxa"/>
          </w:tcPr>
          <w:p w:rsidR="00B46E5C" w:rsidRDefault="00B46E5C" w:rsidP="000C39D1">
            <w:pPr>
              <w:pStyle w:val="libFootnote0"/>
              <w:rPr>
                <w:rtl/>
              </w:rPr>
            </w:pPr>
            <w:r>
              <w:rPr>
                <w:rtl/>
              </w:rPr>
              <w:t>(13)</w:t>
            </w:r>
            <w:r w:rsidRPr="00132E65">
              <w:rPr>
                <w:rtl/>
              </w:rPr>
              <w:t xml:space="preserve"> في الإرشاد :</w:t>
            </w:r>
            <w:r>
              <w:rPr>
                <w:rtl/>
              </w:rPr>
              <w:t xml:space="preserve"> + </w:t>
            </w:r>
            <w:r w:rsidRPr="00132E65">
              <w:rPr>
                <w:rtl/>
              </w:rPr>
              <w:t>« له »</w:t>
            </w:r>
            <w:r>
              <w:rPr>
                <w:rtl/>
              </w:rPr>
              <w:t>.</w:t>
            </w:r>
          </w:p>
        </w:tc>
      </w:tr>
      <w:tr w:rsidR="00B46E5C" w:rsidTr="00B46E5C">
        <w:tc>
          <w:tcPr>
            <w:tcW w:w="4261" w:type="dxa"/>
          </w:tcPr>
          <w:p w:rsidR="00B46E5C" w:rsidRDefault="00B46E5C" w:rsidP="000C39D1">
            <w:pPr>
              <w:pStyle w:val="libFootnote0"/>
              <w:rPr>
                <w:rtl/>
              </w:rPr>
            </w:pPr>
            <w:r>
              <w:rPr>
                <w:rtl/>
              </w:rPr>
              <w:t>(14)</w:t>
            </w:r>
            <w:r w:rsidRPr="00132E65">
              <w:rPr>
                <w:rtl/>
              </w:rPr>
              <w:t xml:space="preserve"> أي إذا شئت فقم.</w:t>
            </w:r>
          </w:p>
        </w:tc>
        <w:tc>
          <w:tcPr>
            <w:tcW w:w="4262" w:type="dxa"/>
          </w:tcPr>
          <w:p w:rsidR="00B46E5C" w:rsidRDefault="00B46E5C" w:rsidP="000C39D1">
            <w:pPr>
              <w:pStyle w:val="libFootnote0"/>
              <w:rPr>
                <w:rtl/>
              </w:rPr>
            </w:pPr>
            <w:r>
              <w:rPr>
                <w:rtl/>
              </w:rPr>
              <w:t>(15)</w:t>
            </w:r>
            <w:r w:rsidRPr="00132E65">
              <w:rPr>
                <w:rtl/>
              </w:rPr>
              <w:t xml:space="preserve"> في « ج ، ض ، ف ، بس » والإرشاد </w:t>
            </w:r>
            <w:r>
              <w:rPr>
                <w:rtl/>
              </w:rPr>
              <w:t>:- «حتّى</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 و</w:t>
      </w:r>
      <w:r w:rsidR="0098197E">
        <w:rPr>
          <w:rFonts w:hint="cs"/>
          <w:rtl/>
          <w:lang w:bidi="fa-IR"/>
        </w:rPr>
        <w:t xml:space="preserve">َ </w:t>
      </w:r>
      <w:r w:rsidRPr="00132E65">
        <w:rPr>
          <w:rtl/>
          <w:lang w:bidi="fa-IR"/>
        </w:rPr>
        <w:t xml:space="preserve">عَانَقَهُ </w:t>
      </w:r>
      <w:r>
        <w:rPr>
          <w:rStyle w:val="libFootnotenumChar"/>
          <w:rtl/>
        </w:rPr>
        <w:t>(1)</w:t>
      </w:r>
      <w:r w:rsidRPr="00132E65">
        <w:rPr>
          <w:rtl/>
          <w:lang w:bidi="fa-IR"/>
        </w:rPr>
        <w:t xml:space="preserve"> ، و</w:t>
      </w:r>
      <w:r w:rsidR="0098197E">
        <w:rPr>
          <w:rFonts w:hint="cs"/>
          <w:rtl/>
          <w:lang w:bidi="fa-IR"/>
        </w:rPr>
        <w:t xml:space="preserve">َ </w:t>
      </w:r>
      <w:r w:rsidRPr="00132E65">
        <w:rPr>
          <w:rtl/>
          <w:lang w:bidi="fa-IR"/>
        </w:rPr>
        <w:t>مَضى.</w:t>
      </w:r>
    </w:p>
    <w:p w:rsidR="000C39D1" w:rsidRPr="00132E65" w:rsidRDefault="000C39D1" w:rsidP="00135C14">
      <w:pPr>
        <w:pStyle w:val="libNormal"/>
        <w:rPr>
          <w:rtl/>
          <w:lang w:bidi="fa-IR"/>
        </w:rPr>
      </w:pPr>
      <w:r w:rsidRPr="00132E65">
        <w:rPr>
          <w:rtl/>
          <w:lang w:bidi="fa-IR"/>
        </w:rPr>
        <w:t>فَقُلْتُ لِحُجَّابِ أَبِي و</w:t>
      </w:r>
      <w:r w:rsidR="0098197E">
        <w:rPr>
          <w:rFonts w:hint="cs"/>
          <w:rtl/>
          <w:lang w:bidi="fa-IR"/>
        </w:rPr>
        <w:t xml:space="preserve">َ </w:t>
      </w:r>
      <w:r w:rsidRPr="00132E65">
        <w:rPr>
          <w:rtl/>
          <w:lang w:bidi="fa-IR"/>
        </w:rPr>
        <w:t>غِلْمَانِهِ : و</w:t>
      </w:r>
      <w:r w:rsidR="0098197E">
        <w:rPr>
          <w:rFonts w:hint="cs"/>
          <w:rtl/>
          <w:lang w:bidi="fa-IR"/>
        </w:rPr>
        <w:t xml:space="preserve">َ </w:t>
      </w:r>
      <w:r w:rsidRPr="00132E65">
        <w:rPr>
          <w:rtl/>
          <w:lang w:bidi="fa-IR"/>
        </w:rPr>
        <w:t xml:space="preserve">يْلَكُمْ ، مَنْ هذَا الَّذِي كَنَّيْتُمُوهُ عَلى </w:t>
      </w:r>
      <w:r>
        <w:rPr>
          <w:rStyle w:val="libFootnotenumChar"/>
          <w:rtl/>
        </w:rPr>
        <w:t>(2)</w:t>
      </w:r>
      <w:r w:rsidRPr="00132E65">
        <w:rPr>
          <w:rtl/>
          <w:lang w:bidi="fa-IR"/>
        </w:rPr>
        <w:t xml:space="preserve"> أَبِي ، و</w:t>
      </w:r>
      <w:r w:rsidR="0098197E">
        <w:rPr>
          <w:rFonts w:hint="cs"/>
          <w:rtl/>
          <w:lang w:bidi="fa-IR"/>
        </w:rPr>
        <w:t>َ</w:t>
      </w:r>
      <w:r w:rsidR="009052EA">
        <w:rPr>
          <w:rFonts w:hint="cs"/>
          <w:rtl/>
          <w:lang w:bidi="fa-IR"/>
        </w:rPr>
        <w:t xml:space="preserve"> </w:t>
      </w:r>
      <w:r w:rsidRPr="00132E65">
        <w:rPr>
          <w:rtl/>
          <w:lang w:bidi="fa-IR"/>
        </w:rPr>
        <w:t>فَعَلَ بِهِ أَبِي هذَا الْفِعْلَ</w:t>
      </w:r>
      <w:r>
        <w:rPr>
          <w:rtl/>
          <w:lang w:bidi="fa-IR"/>
        </w:rPr>
        <w:t>؟</w:t>
      </w:r>
      <w:r w:rsidRPr="00132E65">
        <w:rPr>
          <w:rtl/>
          <w:lang w:bidi="fa-IR"/>
        </w:rPr>
        <w:t xml:space="preserve"> فَقَالُوا : هذَا عَلَوِيٌّ يُقَالُ لَهُ : الْحَسَنُ بْنُ عَلِيٍّ يُعْرَفُ بِابْنِ الرِّضَا ، فَازْدَدْتُ تَعَجُّباً </w:t>
      </w:r>
      <w:r>
        <w:rPr>
          <w:rStyle w:val="libFootnotenumChar"/>
          <w:rtl/>
        </w:rPr>
        <w:t>(3)</w:t>
      </w:r>
      <w:r w:rsidRPr="00132E65">
        <w:rPr>
          <w:rtl/>
          <w:lang w:bidi="fa-IR"/>
        </w:rPr>
        <w:t xml:space="preserve"> ، و</w:t>
      </w:r>
      <w:r w:rsidR="009052EA">
        <w:rPr>
          <w:rFonts w:hint="cs"/>
          <w:rtl/>
          <w:lang w:bidi="fa-IR"/>
        </w:rPr>
        <w:t xml:space="preserve">َ </w:t>
      </w:r>
      <w:r w:rsidRPr="00132E65">
        <w:rPr>
          <w:rtl/>
          <w:lang w:bidi="fa-IR"/>
        </w:rPr>
        <w:t xml:space="preserve">لَمْ أَزَلْ يَوْمِي ذلِكَ قَلِقاً </w:t>
      </w:r>
      <w:r>
        <w:rPr>
          <w:rStyle w:val="libFootnotenumChar"/>
          <w:rtl/>
        </w:rPr>
        <w:t>(4)</w:t>
      </w:r>
      <w:r w:rsidRPr="00132E65">
        <w:rPr>
          <w:rtl/>
          <w:lang w:bidi="fa-IR"/>
        </w:rPr>
        <w:t xml:space="preserve"> مُتَفَكِّراً </w:t>
      </w:r>
      <w:r>
        <w:rPr>
          <w:rStyle w:val="libFootnotenumChar"/>
          <w:rtl/>
        </w:rPr>
        <w:t>(5)</w:t>
      </w:r>
      <w:r w:rsidRPr="00132E65">
        <w:rPr>
          <w:rtl/>
          <w:lang w:bidi="fa-IR"/>
        </w:rPr>
        <w:t xml:space="preserve"> فِي أَمْرِهِ و</w:t>
      </w:r>
      <w:r w:rsidR="009052EA">
        <w:rPr>
          <w:rFonts w:hint="cs"/>
          <w:rtl/>
          <w:lang w:bidi="fa-IR"/>
        </w:rPr>
        <w:t xml:space="preserve">َ </w:t>
      </w:r>
      <w:r w:rsidRPr="00132E65">
        <w:rPr>
          <w:rtl/>
          <w:lang w:bidi="fa-IR"/>
        </w:rPr>
        <w:t>أَمْرِ أَبِي ، و</w:t>
      </w:r>
      <w:r w:rsidR="009052EA">
        <w:rPr>
          <w:rFonts w:hint="cs"/>
          <w:rtl/>
          <w:lang w:bidi="fa-IR"/>
        </w:rPr>
        <w:t xml:space="preserve">َ </w:t>
      </w:r>
      <w:r w:rsidRPr="00132E65">
        <w:rPr>
          <w:rtl/>
          <w:lang w:bidi="fa-IR"/>
        </w:rPr>
        <w:t xml:space="preserve">مَا رَأَيْتُ فِيهِ </w:t>
      </w:r>
      <w:r>
        <w:rPr>
          <w:rStyle w:val="libFootnotenumChar"/>
          <w:rtl/>
        </w:rPr>
        <w:t>(6)</w:t>
      </w:r>
      <w:r w:rsidRPr="00132E65">
        <w:rPr>
          <w:rtl/>
          <w:lang w:bidi="fa-IR"/>
        </w:rPr>
        <w:t xml:space="preserve"> حَتّى كَانَ اللَّيْلُ ، و</w:t>
      </w:r>
      <w:r w:rsidR="004F3499">
        <w:rPr>
          <w:rFonts w:hint="cs"/>
          <w:rtl/>
          <w:lang w:bidi="fa-IR"/>
        </w:rPr>
        <w:t xml:space="preserve">َ </w:t>
      </w:r>
      <w:r w:rsidRPr="00132E65">
        <w:rPr>
          <w:rtl/>
          <w:lang w:bidi="fa-IR"/>
        </w:rPr>
        <w:t xml:space="preserve">كَانَتْ </w:t>
      </w:r>
      <w:r>
        <w:rPr>
          <w:rStyle w:val="libFootnotenumChar"/>
          <w:rtl/>
        </w:rPr>
        <w:t>(7)</w:t>
      </w:r>
      <w:r w:rsidRPr="00132E65">
        <w:rPr>
          <w:rtl/>
          <w:lang w:bidi="fa-IR"/>
        </w:rPr>
        <w:t xml:space="preserve"> عَادَتُهُ أَنْ يُصَلِّيَ الْعَتَمَةَ </w:t>
      </w:r>
      <w:r>
        <w:rPr>
          <w:rStyle w:val="libFootnotenumChar"/>
          <w:rtl/>
        </w:rPr>
        <w:t>(8)</w:t>
      </w:r>
      <w:r w:rsidRPr="00132E65">
        <w:rPr>
          <w:rtl/>
          <w:lang w:bidi="fa-IR"/>
        </w:rPr>
        <w:t xml:space="preserve"> ، ثُمَّ يَجْلِسَ ، فَيَنْظُرَ فِيمَا يَحْتَاجُ إِلَيْهِ مِنَ الْمُؤَامَرَاتِ </w:t>
      </w:r>
      <w:r>
        <w:rPr>
          <w:rStyle w:val="libFootnotenumChar"/>
          <w:rtl/>
        </w:rPr>
        <w:t>(9)</w:t>
      </w:r>
      <w:r w:rsidRPr="00132E65">
        <w:rPr>
          <w:rtl/>
          <w:lang w:bidi="fa-IR"/>
        </w:rPr>
        <w:t xml:space="preserve"> و</w:t>
      </w:r>
      <w:r w:rsidR="004F3499">
        <w:rPr>
          <w:rFonts w:hint="cs"/>
          <w:rtl/>
          <w:lang w:bidi="fa-IR"/>
        </w:rPr>
        <w:t xml:space="preserve">َ </w:t>
      </w:r>
      <w:r w:rsidRPr="00132E65">
        <w:rPr>
          <w:rtl/>
          <w:lang w:bidi="fa-IR"/>
        </w:rPr>
        <w:t xml:space="preserve">مَا يَرْفَعُهُ </w:t>
      </w:r>
      <w:r>
        <w:rPr>
          <w:rStyle w:val="libFootnotenumChar"/>
          <w:rtl/>
        </w:rPr>
        <w:t>(10)</w:t>
      </w:r>
      <w:r w:rsidRPr="00132E65">
        <w:rPr>
          <w:rtl/>
          <w:lang w:bidi="fa-IR"/>
        </w:rPr>
        <w:t xml:space="preserve"> إِلَى السُّلْطَانِ.</w:t>
      </w:r>
    </w:p>
    <w:p w:rsidR="000C39D1" w:rsidRPr="00132E65" w:rsidRDefault="000C39D1" w:rsidP="000C39D1">
      <w:pPr>
        <w:pStyle w:val="libNormal"/>
        <w:rPr>
          <w:rtl/>
          <w:lang w:bidi="fa-IR"/>
        </w:rPr>
      </w:pPr>
      <w:r w:rsidRPr="00132E65">
        <w:rPr>
          <w:rtl/>
          <w:lang w:bidi="fa-IR"/>
        </w:rPr>
        <w:t xml:space="preserve">فَلَمَّا </w:t>
      </w:r>
      <w:r>
        <w:rPr>
          <w:rStyle w:val="libFootnotenumChar"/>
          <w:rtl/>
        </w:rPr>
        <w:t>(11)</w:t>
      </w:r>
      <w:r w:rsidRPr="00132E65">
        <w:rPr>
          <w:rtl/>
          <w:lang w:bidi="fa-IR"/>
        </w:rPr>
        <w:t xml:space="preserve"> صَلّى و</w:t>
      </w:r>
      <w:r w:rsidR="004F3499">
        <w:rPr>
          <w:rFonts w:hint="cs"/>
          <w:rtl/>
          <w:lang w:bidi="fa-IR"/>
        </w:rPr>
        <w:t xml:space="preserve">َ </w:t>
      </w:r>
      <w:r w:rsidRPr="00132E65">
        <w:rPr>
          <w:rtl/>
          <w:lang w:bidi="fa-IR"/>
        </w:rPr>
        <w:t xml:space="preserve">جَلَسَ ، جِئْتُ ، فَجَلَسْتُ </w:t>
      </w:r>
      <w:r>
        <w:rPr>
          <w:rStyle w:val="libFootnotenumChar"/>
          <w:rtl/>
        </w:rPr>
        <w:t>(12)</w:t>
      </w:r>
      <w:r w:rsidRPr="00132E65">
        <w:rPr>
          <w:rtl/>
          <w:lang w:bidi="fa-IR"/>
        </w:rPr>
        <w:t xml:space="preserve"> بَيْنَ يَدَيْهِ و</w:t>
      </w:r>
      <w:r w:rsidR="004F3499">
        <w:rPr>
          <w:rFonts w:hint="cs"/>
          <w:rtl/>
          <w:lang w:bidi="fa-IR"/>
        </w:rPr>
        <w:t xml:space="preserve">َ </w:t>
      </w:r>
      <w:r w:rsidRPr="00132E65">
        <w:rPr>
          <w:rtl/>
          <w:lang w:bidi="fa-IR"/>
        </w:rPr>
        <w:t xml:space="preserve">لَيْسَ عِنْدَهُ أَحَدٌ ، فَقَالَ لِي </w:t>
      </w:r>
      <w:r w:rsidRPr="00F543F1">
        <w:rPr>
          <w:rStyle w:val="libFootnotenumChar"/>
          <w:rtl/>
        </w:rPr>
        <w:t>(13)</w:t>
      </w:r>
      <w:r w:rsidRPr="00132E65">
        <w:rPr>
          <w:rtl/>
          <w:lang w:bidi="fa-IR"/>
        </w:rPr>
        <w:t xml:space="preserve"> : يَا أَحْمَدُ ، لَكَ </w:t>
      </w:r>
      <w:r w:rsidRPr="00F543F1">
        <w:rPr>
          <w:rStyle w:val="libFootnotenumChar"/>
          <w:rtl/>
        </w:rPr>
        <w:t>(14)</w:t>
      </w:r>
      <w:r w:rsidRPr="00132E65">
        <w:rPr>
          <w:rtl/>
          <w:lang w:bidi="fa-IR"/>
        </w:rPr>
        <w:t xml:space="preserve"> حَاجَةٌ</w:t>
      </w:r>
      <w:r>
        <w:rPr>
          <w:rtl/>
          <w:lang w:bidi="fa-IR"/>
        </w:rPr>
        <w:t>؟</w:t>
      </w:r>
      <w:r w:rsidRPr="00132E65">
        <w:rPr>
          <w:rtl/>
          <w:lang w:bidi="fa-IR"/>
        </w:rPr>
        <w:t xml:space="preserve"> قُلْتُ </w:t>
      </w:r>
      <w:r w:rsidRPr="00F543F1">
        <w:rPr>
          <w:rStyle w:val="libFootnotenumChar"/>
          <w:rtl/>
        </w:rPr>
        <w:t>(15)</w:t>
      </w:r>
      <w:r w:rsidRPr="00132E65">
        <w:rPr>
          <w:rtl/>
          <w:lang w:bidi="fa-IR"/>
        </w:rPr>
        <w:t xml:space="preserve"> : نَعَمْ يَا أَبَهْ ، فَإِنْ أَذِنْتَ لِي </w:t>
      </w:r>
      <w:r w:rsidRPr="00F543F1">
        <w:rPr>
          <w:rStyle w:val="libFootnotenumChar"/>
          <w:rtl/>
        </w:rPr>
        <w:t>(16)</w:t>
      </w:r>
      <w:r w:rsidRPr="00132E65">
        <w:rPr>
          <w:rtl/>
          <w:lang w:bidi="fa-IR"/>
        </w:rPr>
        <w:t xml:space="preserve"> سَأَلْتُكَ عَنْهَا ، فَقَالَ </w:t>
      </w:r>
      <w:r w:rsidRPr="00F543F1">
        <w:rPr>
          <w:rStyle w:val="libFootnotenumChar"/>
          <w:rtl/>
        </w:rPr>
        <w:t>(17)</w:t>
      </w:r>
      <w:r w:rsidRPr="00132E65">
        <w:rPr>
          <w:rtl/>
          <w:lang w:bidi="fa-IR"/>
        </w:rPr>
        <w:t xml:space="preserve"> : قَدْ أَذِنْتُ لَكَ </w:t>
      </w:r>
      <w:r w:rsidRPr="00F543F1">
        <w:rPr>
          <w:rStyle w:val="libFootnotenumChar"/>
          <w:rtl/>
        </w:rPr>
        <w:t>(18)</w:t>
      </w:r>
      <w:r w:rsidRPr="00132E65">
        <w:rPr>
          <w:rtl/>
          <w:lang w:bidi="fa-IR"/>
        </w:rPr>
        <w:t xml:space="preserve"> يَا بُنَيَّ ، فَقُلْ </w:t>
      </w:r>
      <w:r w:rsidRPr="00F543F1">
        <w:rPr>
          <w:rStyle w:val="libFootnotenumChar"/>
          <w:rtl/>
        </w:rPr>
        <w:t>(19)</w:t>
      </w:r>
      <w:r w:rsidRPr="00132E65">
        <w:rPr>
          <w:rtl/>
          <w:lang w:bidi="fa-IR"/>
        </w:rPr>
        <w:t xml:space="preserve"> مَا أَحْبَبْتَ </w:t>
      </w:r>
      <w:r w:rsidRPr="00F543F1">
        <w:rPr>
          <w:rStyle w:val="libFootnotenumChar"/>
          <w:rtl/>
        </w:rPr>
        <w:t>(20)</w:t>
      </w:r>
      <w:r w:rsidRPr="00132E65">
        <w:rPr>
          <w:rtl/>
          <w:lang w:bidi="fa-IR"/>
        </w:rPr>
        <w:t xml:space="preserve"> ، قُلْتُ : يَا أَبَهْ ، مَنِ الرَّجُلُ الَّذِي رَأَيْتُكَ بِالْغَدَاةِ فَعَلْتَ بِهِ مَا فَعَلْتَ مِنَ الْإِجْلَالِ و</w:t>
      </w:r>
      <w:r w:rsidR="004F3499">
        <w:rPr>
          <w:rFonts w:hint="cs"/>
          <w:rtl/>
          <w:lang w:bidi="fa-IR"/>
        </w:rPr>
        <w:t xml:space="preserve">َ </w:t>
      </w:r>
      <w:r w:rsidRPr="00132E65">
        <w:rPr>
          <w:rtl/>
          <w:lang w:bidi="fa-IR"/>
        </w:rPr>
        <w:t>الْكَرَامَةِ و</w:t>
      </w:r>
      <w:r w:rsidR="004F3499">
        <w:rPr>
          <w:rFonts w:hint="cs"/>
          <w:rtl/>
          <w:lang w:bidi="fa-IR"/>
        </w:rPr>
        <w:t xml:space="preserve">َ </w:t>
      </w:r>
      <w:r w:rsidRPr="00132E65">
        <w:rPr>
          <w:rtl/>
          <w:lang w:bidi="fa-IR"/>
        </w:rPr>
        <w:t>التَّبْجِيلِ ، و</w:t>
      </w:r>
      <w:r w:rsidR="004F3499">
        <w:rPr>
          <w:rFonts w:hint="cs"/>
          <w:rtl/>
          <w:lang w:bidi="fa-IR"/>
        </w:rPr>
        <w:t xml:space="preserve">َ </w:t>
      </w:r>
      <w:r w:rsidRPr="00132E65">
        <w:rPr>
          <w:rtl/>
          <w:lang w:bidi="fa-IR"/>
        </w:rPr>
        <w:t>فَدَيْتَهُ بِنَفْسِكَ‌</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فعانقه »</w:t>
      </w:r>
      <w:r>
        <w:rPr>
          <w:rtl/>
        </w:rPr>
        <w:t>.</w:t>
      </w:r>
    </w:p>
    <w:p w:rsidR="000C39D1" w:rsidRPr="00132E65" w:rsidRDefault="000C39D1" w:rsidP="000C39D1">
      <w:pPr>
        <w:pStyle w:val="libFootnote0"/>
        <w:rPr>
          <w:rtl/>
          <w:lang w:bidi="fa-IR"/>
        </w:rPr>
      </w:pPr>
      <w:r>
        <w:rPr>
          <w:rtl/>
        </w:rPr>
        <w:t>(2).</w:t>
      </w:r>
      <w:r w:rsidRPr="00132E65">
        <w:rPr>
          <w:rtl/>
        </w:rPr>
        <w:t xml:space="preserve"> في الإرشاد : « بحضرة »</w:t>
      </w:r>
      <w:r>
        <w:rPr>
          <w:rtl/>
        </w:rPr>
        <w:t>.</w:t>
      </w:r>
    </w:p>
    <w:p w:rsidR="000C39D1" w:rsidRPr="00132E65" w:rsidRDefault="000C39D1" w:rsidP="000C39D1">
      <w:pPr>
        <w:pStyle w:val="libFootnote0"/>
        <w:rPr>
          <w:rtl/>
          <w:lang w:bidi="fa-IR"/>
        </w:rPr>
      </w:pPr>
      <w:r>
        <w:rPr>
          <w:rtl/>
        </w:rPr>
        <w:t>(3).</w:t>
      </w:r>
      <w:r w:rsidRPr="00132E65">
        <w:rPr>
          <w:rtl/>
        </w:rPr>
        <w:t xml:space="preserve"> في حاشية « ج ، ض ، بح » : « عجباً »</w:t>
      </w:r>
      <w:r>
        <w:rPr>
          <w:rtl/>
        </w:rPr>
        <w:t>.</w:t>
      </w:r>
    </w:p>
    <w:p w:rsidR="000C39D1" w:rsidRPr="00132E65" w:rsidRDefault="000C39D1" w:rsidP="004F3499">
      <w:pPr>
        <w:pStyle w:val="libFootnote0"/>
        <w:rPr>
          <w:rtl/>
          <w:lang w:bidi="fa-IR"/>
        </w:rPr>
      </w:pPr>
      <w:r>
        <w:rPr>
          <w:rtl/>
        </w:rPr>
        <w:t>(4).</w:t>
      </w:r>
      <w:r w:rsidRPr="00132E65">
        <w:rPr>
          <w:rtl/>
        </w:rPr>
        <w:t xml:space="preserve"> « قَلِقاً » ، أي مضطرباً ؛ من القَلَق بمعنى الانزعاج والاضطراب. راجع : </w:t>
      </w:r>
      <w:r w:rsidRPr="009D1ACE">
        <w:rPr>
          <w:rStyle w:val="libFootnoteBoldChar"/>
          <w:rtl/>
        </w:rPr>
        <w:t>لسان العرب</w:t>
      </w:r>
      <w:r w:rsidRPr="00132E65">
        <w:rPr>
          <w:rtl/>
        </w:rPr>
        <w:t xml:space="preserve"> ، ج 10 ، ص 323</w:t>
      </w:r>
      <w:r>
        <w:rPr>
          <w:rtl/>
        </w:rPr>
        <w:t xml:space="preserve"> - </w:t>
      </w:r>
      <w:r w:rsidRPr="00132E65">
        <w:rPr>
          <w:rtl/>
        </w:rPr>
        <w:t>324 ( قلق )</w:t>
      </w:r>
      <w:r>
        <w:rPr>
          <w:rtl/>
        </w:rPr>
        <w:t>.</w:t>
      </w:r>
      <w:r w:rsidR="004F3499">
        <w:rPr>
          <w:rFonts w:hint="cs"/>
          <w:rtl/>
        </w:rPr>
        <w:t xml:space="preserve">                                         </w:t>
      </w:r>
      <w:r w:rsidR="0006034E">
        <w:rPr>
          <w:rFonts w:hint="cs"/>
          <w:rtl/>
        </w:rPr>
        <w:t xml:space="preserve"> </w:t>
      </w:r>
      <w:r w:rsidR="004F3499">
        <w:rPr>
          <w:rFonts w:hint="cs"/>
          <w:rtl/>
        </w:rPr>
        <w:t xml:space="preserve">         </w:t>
      </w:r>
      <w:r w:rsidR="00F4004E">
        <w:rPr>
          <w:rFonts w:hint="cs"/>
          <w:rtl/>
        </w:rPr>
        <w:t xml:space="preserve"> </w:t>
      </w:r>
      <w:r w:rsidR="004F3499">
        <w:rPr>
          <w:rFonts w:hint="cs"/>
          <w:rtl/>
        </w:rPr>
        <w:t xml:space="preserve">    </w:t>
      </w:r>
      <w:r>
        <w:rPr>
          <w:rtl/>
        </w:rPr>
        <w:t>(5).</w:t>
      </w:r>
      <w:r w:rsidRPr="00132E65">
        <w:rPr>
          <w:rtl/>
        </w:rPr>
        <w:t xml:space="preserve"> في الإرشاد : « مفكّراً »</w:t>
      </w:r>
      <w:r>
        <w:rPr>
          <w:rtl/>
        </w:rPr>
        <w:t>.</w:t>
      </w:r>
    </w:p>
    <w:tbl>
      <w:tblPr>
        <w:tblStyle w:val="TableGrid"/>
        <w:bidiVisual/>
        <w:tblW w:w="0" w:type="auto"/>
        <w:tblLook w:val="04A0" w:firstRow="1" w:lastRow="0" w:firstColumn="1" w:lastColumn="0" w:noHBand="0" w:noVBand="1"/>
      </w:tblPr>
      <w:tblGrid>
        <w:gridCol w:w="4261"/>
        <w:gridCol w:w="4262"/>
      </w:tblGrid>
      <w:tr w:rsidR="004F3499" w:rsidTr="004F3499">
        <w:tc>
          <w:tcPr>
            <w:tcW w:w="4261" w:type="dxa"/>
          </w:tcPr>
          <w:p w:rsidR="004F3499" w:rsidRDefault="004F3499" w:rsidP="000C39D1">
            <w:pPr>
              <w:pStyle w:val="libFootnote0"/>
              <w:rPr>
                <w:rtl/>
              </w:rPr>
            </w:pPr>
            <w:r>
              <w:rPr>
                <w:rtl/>
              </w:rPr>
              <w:t>(6).</w:t>
            </w:r>
            <w:r w:rsidRPr="00132E65">
              <w:rPr>
                <w:rtl/>
              </w:rPr>
              <w:t xml:space="preserve"> في الإرشاد : « ما رأيته منه »</w:t>
            </w:r>
            <w:r>
              <w:rPr>
                <w:rtl/>
              </w:rPr>
              <w:t>.</w:t>
            </w:r>
          </w:p>
        </w:tc>
        <w:tc>
          <w:tcPr>
            <w:tcW w:w="4262" w:type="dxa"/>
          </w:tcPr>
          <w:p w:rsidR="004F3499" w:rsidRDefault="004F3499" w:rsidP="000C39D1">
            <w:pPr>
              <w:pStyle w:val="libFootnote0"/>
              <w:rPr>
                <w:rtl/>
              </w:rPr>
            </w:pPr>
            <w:r>
              <w:rPr>
                <w:rtl/>
              </w:rPr>
              <w:t>(7).</w:t>
            </w:r>
            <w:r w:rsidRPr="00132E65">
              <w:rPr>
                <w:rtl/>
              </w:rPr>
              <w:t xml:space="preserve"> في « ف » : « وكان »</w:t>
            </w:r>
            <w:r>
              <w:rPr>
                <w:rtl/>
              </w:rPr>
              <w:t>.</w:t>
            </w:r>
            <w:r w:rsidRPr="00132E65">
              <w:rPr>
                <w:rtl/>
              </w:rPr>
              <w:t xml:space="preserve"> وفي « بح » : « فكانت »</w:t>
            </w:r>
            <w:r>
              <w:rPr>
                <w:rtl/>
              </w:rPr>
              <w:t>.</w:t>
            </w:r>
          </w:p>
        </w:tc>
      </w:tr>
    </w:tbl>
    <w:p w:rsidR="000C39D1" w:rsidRPr="00132E65" w:rsidRDefault="000C39D1" w:rsidP="000C39D1">
      <w:pPr>
        <w:pStyle w:val="libFootnote0"/>
        <w:rPr>
          <w:rtl/>
          <w:lang w:bidi="fa-IR"/>
        </w:rPr>
      </w:pPr>
      <w:r>
        <w:rPr>
          <w:rtl/>
        </w:rPr>
        <w:t>(8).</w:t>
      </w:r>
      <w:r w:rsidRPr="00132E65">
        <w:rPr>
          <w:rtl/>
        </w:rPr>
        <w:t xml:space="preserve"> « العَتَمة » : ثلث الليل الأوّلُ بعد غيبوبة الشفق. وقيل : العَتَمة : وقت صلاة العشاء الأخيرة ، سمّيت بذلك لاستعتار نَعَمِها. والمراد هنا صلاة العشاء الآخرة. راجع : </w:t>
      </w:r>
      <w:r w:rsidRPr="009D1ACE">
        <w:rPr>
          <w:rStyle w:val="libFootnoteBoldChar"/>
          <w:rtl/>
        </w:rPr>
        <w:t>لسان العرب</w:t>
      </w:r>
      <w:r w:rsidRPr="00132E65">
        <w:rPr>
          <w:rtl/>
        </w:rPr>
        <w:t xml:space="preserve"> ، ج 12 ، ص 381 ( عتم )</w:t>
      </w:r>
      <w:r>
        <w:rPr>
          <w:rtl/>
        </w:rPr>
        <w:t>.</w:t>
      </w:r>
    </w:p>
    <w:p w:rsidR="000C39D1" w:rsidRPr="00132E65" w:rsidRDefault="000C39D1" w:rsidP="00F4004E">
      <w:pPr>
        <w:pStyle w:val="libFootnote0"/>
        <w:rPr>
          <w:rtl/>
          <w:lang w:bidi="fa-IR"/>
        </w:rPr>
      </w:pPr>
      <w:r>
        <w:rPr>
          <w:rtl/>
        </w:rPr>
        <w:t>(9).</w:t>
      </w:r>
      <w:r w:rsidRPr="00132E65">
        <w:rPr>
          <w:rtl/>
        </w:rPr>
        <w:t xml:space="preserve"> « المؤامرات » : المشاورات. قال الجوهري : « الائتمار والاستئمار : المشاورة ، وكذلك التآمر ، على وزن التفاعل »</w:t>
      </w:r>
      <w:r>
        <w:rPr>
          <w:rtl/>
        </w:rPr>
        <w:t>.</w:t>
      </w:r>
      <w:r w:rsidRPr="00132E65">
        <w:rPr>
          <w:rtl/>
        </w:rPr>
        <w:t xml:space="preserve"> </w:t>
      </w:r>
      <w:r w:rsidRPr="00FD1E9D">
        <w:rPr>
          <w:rtl/>
        </w:rPr>
        <w:t>الصحاح</w:t>
      </w:r>
      <w:r w:rsidRPr="00132E65">
        <w:rPr>
          <w:rtl/>
        </w:rPr>
        <w:t xml:space="preserve"> ، ج 2 ، ص 582 ( أمر )</w:t>
      </w:r>
      <w:r>
        <w:rPr>
          <w:rtl/>
        </w:rPr>
        <w:t>.</w:t>
      </w:r>
      <w:r w:rsidR="00F4004E">
        <w:rPr>
          <w:rFonts w:hint="cs"/>
          <w:rtl/>
        </w:rPr>
        <w:t xml:space="preserve">        </w:t>
      </w:r>
      <w:r w:rsidR="0006034E">
        <w:rPr>
          <w:rFonts w:hint="cs"/>
          <w:rtl/>
        </w:rPr>
        <w:t xml:space="preserve"> </w:t>
      </w:r>
      <w:r w:rsidR="00F4004E">
        <w:rPr>
          <w:rFonts w:hint="cs"/>
          <w:rtl/>
        </w:rPr>
        <w:t xml:space="preserve">                </w:t>
      </w:r>
      <w:r>
        <w:rPr>
          <w:rtl/>
        </w:rPr>
        <w:t>(10).</w:t>
      </w:r>
      <w:r w:rsidRPr="00132E65">
        <w:rPr>
          <w:rtl/>
        </w:rPr>
        <w:t xml:space="preserve"> في حاشية « ج » : « فيرفعه » بدل « وما يرفعه »</w:t>
      </w:r>
      <w:r>
        <w:rPr>
          <w:rtl/>
        </w:rPr>
        <w:t>.</w:t>
      </w:r>
    </w:p>
    <w:tbl>
      <w:tblPr>
        <w:tblStyle w:val="TableGrid"/>
        <w:bidiVisual/>
        <w:tblW w:w="0" w:type="auto"/>
        <w:tblLook w:val="04A0" w:firstRow="1" w:lastRow="0" w:firstColumn="1" w:lastColumn="0" w:noHBand="0" w:noVBand="1"/>
      </w:tblPr>
      <w:tblGrid>
        <w:gridCol w:w="4261"/>
        <w:gridCol w:w="4262"/>
      </w:tblGrid>
      <w:tr w:rsidR="00F4004E" w:rsidTr="00F4004E">
        <w:tc>
          <w:tcPr>
            <w:tcW w:w="4261" w:type="dxa"/>
          </w:tcPr>
          <w:p w:rsidR="00F4004E" w:rsidRDefault="00F4004E" w:rsidP="000C39D1">
            <w:pPr>
              <w:pStyle w:val="libFootnote0"/>
              <w:rPr>
                <w:rtl/>
              </w:rPr>
            </w:pPr>
            <w:r>
              <w:rPr>
                <w:rtl/>
              </w:rPr>
              <w:t>(11).</w:t>
            </w:r>
            <w:r w:rsidRPr="00132E65">
              <w:rPr>
                <w:rtl/>
              </w:rPr>
              <w:t xml:space="preserve"> في « ف » :</w:t>
            </w:r>
            <w:r>
              <w:rPr>
                <w:rtl/>
              </w:rPr>
              <w:t xml:space="preserve"> + </w:t>
            </w:r>
            <w:r w:rsidRPr="00132E65">
              <w:rPr>
                <w:rtl/>
              </w:rPr>
              <w:t>« كان »</w:t>
            </w:r>
            <w:r>
              <w:rPr>
                <w:rtl/>
              </w:rPr>
              <w:t>.</w:t>
            </w:r>
          </w:p>
        </w:tc>
        <w:tc>
          <w:tcPr>
            <w:tcW w:w="4262" w:type="dxa"/>
          </w:tcPr>
          <w:p w:rsidR="00F4004E" w:rsidRDefault="00F4004E" w:rsidP="000C39D1">
            <w:pPr>
              <w:pStyle w:val="libFootnote0"/>
              <w:rPr>
                <w:rtl/>
              </w:rPr>
            </w:pPr>
            <w:r>
              <w:rPr>
                <w:rtl/>
              </w:rPr>
              <w:t>(12).</w:t>
            </w:r>
            <w:r w:rsidRPr="00132E65">
              <w:rPr>
                <w:rtl/>
              </w:rPr>
              <w:t xml:space="preserve"> في الإرشاد : « وجلست »</w:t>
            </w:r>
            <w:r>
              <w:rPr>
                <w:rtl/>
              </w:rPr>
              <w:t>.</w:t>
            </w:r>
          </w:p>
        </w:tc>
      </w:tr>
      <w:tr w:rsidR="00F4004E" w:rsidTr="00F4004E">
        <w:tc>
          <w:tcPr>
            <w:tcW w:w="4261" w:type="dxa"/>
          </w:tcPr>
          <w:p w:rsidR="00F4004E" w:rsidRDefault="00F4004E" w:rsidP="000C39D1">
            <w:pPr>
              <w:pStyle w:val="libFootnote0"/>
              <w:rPr>
                <w:rtl/>
              </w:rPr>
            </w:pPr>
            <w:r>
              <w:rPr>
                <w:rtl/>
              </w:rPr>
              <w:t>(13)</w:t>
            </w:r>
            <w:r w:rsidRPr="00132E65">
              <w:rPr>
                <w:rtl/>
              </w:rPr>
              <w:t xml:space="preserve"> في « بس » </w:t>
            </w:r>
            <w:r>
              <w:rPr>
                <w:rtl/>
              </w:rPr>
              <w:t xml:space="preserve">: - </w:t>
            </w:r>
            <w:r w:rsidRPr="00132E65">
              <w:rPr>
                <w:rtl/>
              </w:rPr>
              <w:t>« لي »</w:t>
            </w:r>
            <w:r>
              <w:rPr>
                <w:rtl/>
              </w:rPr>
              <w:t>.</w:t>
            </w:r>
          </w:p>
        </w:tc>
        <w:tc>
          <w:tcPr>
            <w:tcW w:w="4262" w:type="dxa"/>
          </w:tcPr>
          <w:p w:rsidR="00F4004E" w:rsidRDefault="00F4004E" w:rsidP="000C39D1">
            <w:pPr>
              <w:pStyle w:val="libFootnote0"/>
              <w:rPr>
                <w:rtl/>
              </w:rPr>
            </w:pPr>
            <w:r>
              <w:rPr>
                <w:rtl/>
              </w:rPr>
              <w:t>(14) في الإرشاد : « أ</w:t>
            </w:r>
            <w:r w:rsidRPr="00132E65">
              <w:rPr>
                <w:rtl/>
              </w:rPr>
              <w:t>لك »</w:t>
            </w:r>
            <w:r>
              <w:rPr>
                <w:rtl/>
              </w:rPr>
              <w:t>.</w:t>
            </w:r>
          </w:p>
        </w:tc>
      </w:tr>
      <w:tr w:rsidR="00F4004E" w:rsidTr="00F4004E">
        <w:tc>
          <w:tcPr>
            <w:tcW w:w="4261" w:type="dxa"/>
          </w:tcPr>
          <w:p w:rsidR="00F4004E" w:rsidRDefault="00F4004E" w:rsidP="000C39D1">
            <w:pPr>
              <w:pStyle w:val="libFootnote0"/>
              <w:rPr>
                <w:rtl/>
              </w:rPr>
            </w:pPr>
            <w:r>
              <w:rPr>
                <w:rtl/>
              </w:rPr>
              <w:t>(15)</w:t>
            </w:r>
            <w:r w:rsidRPr="00132E65">
              <w:rPr>
                <w:rtl/>
              </w:rPr>
              <w:t xml:space="preserve"> في الإرشاد : « فقلت »</w:t>
            </w:r>
            <w:r>
              <w:rPr>
                <w:rtl/>
              </w:rPr>
              <w:t>.</w:t>
            </w:r>
          </w:p>
        </w:tc>
        <w:tc>
          <w:tcPr>
            <w:tcW w:w="4262" w:type="dxa"/>
          </w:tcPr>
          <w:p w:rsidR="00F4004E" w:rsidRDefault="00F4004E" w:rsidP="000C39D1">
            <w:pPr>
              <w:pStyle w:val="libFootnote0"/>
              <w:rPr>
                <w:rtl/>
              </w:rPr>
            </w:pPr>
            <w:r>
              <w:rPr>
                <w:rtl/>
              </w:rPr>
              <w:t>(16)</w:t>
            </w:r>
            <w:r w:rsidRPr="00132E65">
              <w:rPr>
                <w:rtl/>
              </w:rPr>
              <w:t xml:space="preserve"> في « بس ، بف » والإرشاد </w:t>
            </w:r>
            <w:r>
              <w:rPr>
                <w:rtl/>
              </w:rPr>
              <w:t xml:space="preserve">: - </w:t>
            </w:r>
            <w:r w:rsidRPr="00132E65">
              <w:rPr>
                <w:rtl/>
              </w:rPr>
              <w:t>« لي »</w:t>
            </w:r>
            <w:r>
              <w:rPr>
                <w:rtl/>
              </w:rPr>
              <w:t>.</w:t>
            </w:r>
          </w:p>
        </w:tc>
      </w:tr>
      <w:tr w:rsidR="00F4004E" w:rsidTr="00F4004E">
        <w:tc>
          <w:tcPr>
            <w:tcW w:w="4261" w:type="dxa"/>
          </w:tcPr>
          <w:p w:rsidR="00F4004E" w:rsidRDefault="00423D00" w:rsidP="000C39D1">
            <w:pPr>
              <w:pStyle w:val="libFootnote0"/>
              <w:rPr>
                <w:rtl/>
              </w:rPr>
            </w:pPr>
            <w:r>
              <w:rPr>
                <w:rtl/>
              </w:rPr>
              <w:t>(17)</w:t>
            </w:r>
            <w:r w:rsidRPr="00132E65">
              <w:rPr>
                <w:rtl/>
              </w:rPr>
              <w:t xml:space="preserve"> في « بس » : « قال »</w:t>
            </w:r>
            <w:r>
              <w:rPr>
                <w:rtl/>
              </w:rPr>
              <w:t>.</w:t>
            </w:r>
          </w:p>
        </w:tc>
        <w:tc>
          <w:tcPr>
            <w:tcW w:w="4262" w:type="dxa"/>
          </w:tcPr>
          <w:p w:rsidR="00F4004E" w:rsidRDefault="00423D00" w:rsidP="000C39D1">
            <w:pPr>
              <w:pStyle w:val="libFootnote0"/>
              <w:rPr>
                <w:rtl/>
              </w:rPr>
            </w:pPr>
            <w:r>
              <w:rPr>
                <w:rtl/>
              </w:rPr>
              <w:t>(18) في«</w:t>
            </w:r>
            <w:r>
              <w:rPr>
                <w:rFonts w:hint="cs"/>
                <w:rtl/>
              </w:rPr>
              <w:t xml:space="preserve"> </w:t>
            </w:r>
            <w:r>
              <w:rPr>
                <w:rtl/>
              </w:rPr>
              <w:t>ج،ض،ف،بر،بس،</w:t>
            </w:r>
            <w:r w:rsidRPr="00132E65">
              <w:rPr>
                <w:rtl/>
              </w:rPr>
              <w:t>بف » و</w:t>
            </w:r>
            <w:r w:rsidRPr="009D1ACE">
              <w:rPr>
                <w:rStyle w:val="libFootnoteBoldChar"/>
                <w:rtl/>
              </w:rPr>
              <w:t>الوافي</w:t>
            </w:r>
            <w:r>
              <w:rPr>
                <w:rtl/>
              </w:rPr>
              <w:t>: - «لك</w:t>
            </w:r>
            <w:r w:rsidRPr="00132E65">
              <w:rPr>
                <w:rtl/>
              </w:rPr>
              <w:t>»</w:t>
            </w:r>
            <w:r>
              <w:rPr>
                <w:rtl/>
              </w:rPr>
              <w:t>.</w:t>
            </w:r>
          </w:p>
        </w:tc>
      </w:tr>
      <w:tr w:rsidR="00F4004E" w:rsidTr="00F4004E">
        <w:tc>
          <w:tcPr>
            <w:tcW w:w="4261" w:type="dxa"/>
          </w:tcPr>
          <w:p w:rsidR="00F4004E" w:rsidRDefault="00042915" w:rsidP="000C39D1">
            <w:pPr>
              <w:pStyle w:val="libFootnote0"/>
              <w:rPr>
                <w:rtl/>
              </w:rPr>
            </w:pPr>
            <w:r>
              <w:rPr>
                <w:rtl/>
              </w:rPr>
              <w:t>(19)</w:t>
            </w:r>
            <w:r w:rsidRPr="00132E65">
              <w:rPr>
                <w:rtl/>
              </w:rPr>
              <w:t xml:space="preserve"> « فى « بس » :</w:t>
            </w:r>
            <w:r>
              <w:rPr>
                <w:rtl/>
              </w:rPr>
              <w:t xml:space="preserve"> + </w:t>
            </w:r>
            <w:r w:rsidRPr="00132E65">
              <w:rPr>
                <w:rtl/>
              </w:rPr>
              <w:t>« يا بنيّ »</w:t>
            </w:r>
            <w:r>
              <w:rPr>
                <w:rtl/>
              </w:rPr>
              <w:t>.</w:t>
            </w:r>
          </w:p>
        </w:tc>
        <w:tc>
          <w:tcPr>
            <w:tcW w:w="4262" w:type="dxa"/>
          </w:tcPr>
          <w:p w:rsidR="00F4004E" w:rsidRDefault="00042915" w:rsidP="000C39D1">
            <w:pPr>
              <w:pStyle w:val="libFootnote0"/>
              <w:rPr>
                <w:rtl/>
              </w:rPr>
            </w:pPr>
            <w:r>
              <w:rPr>
                <w:rtl/>
              </w:rPr>
              <w:t>(20)</w:t>
            </w:r>
            <w:r w:rsidRPr="00132E65">
              <w:rPr>
                <w:rtl/>
              </w:rPr>
              <w:t xml:space="preserve"> في الإرشاد </w:t>
            </w:r>
            <w:r>
              <w:rPr>
                <w:rtl/>
              </w:rPr>
              <w:t xml:space="preserve">: - </w:t>
            </w:r>
            <w:r w:rsidRPr="00132E65">
              <w:rPr>
                <w:rtl/>
              </w:rPr>
              <w:t>« لك يا بني ، فقل ما أحببت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وَأَبَوَيْكَ</w:t>
      </w:r>
      <w:r>
        <w:rPr>
          <w:rtl/>
          <w:lang w:bidi="fa-IR"/>
        </w:rPr>
        <w:t>؟</w:t>
      </w:r>
    </w:p>
    <w:p w:rsidR="000C39D1" w:rsidRPr="00132E65" w:rsidRDefault="000C39D1" w:rsidP="000C39D1">
      <w:pPr>
        <w:pStyle w:val="libNormal"/>
        <w:rPr>
          <w:rtl/>
          <w:lang w:bidi="fa-IR"/>
        </w:rPr>
      </w:pPr>
      <w:r w:rsidRPr="00132E65">
        <w:rPr>
          <w:rtl/>
          <w:lang w:bidi="fa-IR"/>
        </w:rPr>
        <w:t xml:space="preserve">فَقَالَ : يَا بُنَيَّ ، ذَاكَ </w:t>
      </w:r>
      <w:r>
        <w:rPr>
          <w:rStyle w:val="libFootnotenumChar"/>
          <w:rtl/>
        </w:rPr>
        <w:t>(1)</w:t>
      </w:r>
      <w:r w:rsidRPr="00132E65">
        <w:rPr>
          <w:rtl/>
          <w:lang w:bidi="fa-IR"/>
        </w:rPr>
        <w:t xml:space="preserve"> إِمَامُ الرَّافِضَةِ ، ذَاكَ </w:t>
      </w:r>
      <w:r>
        <w:rPr>
          <w:rStyle w:val="libFootnotenumChar"/>
          <w:rtl/>
        </w:rPr>
        <w:t>(2)</w:t>
      </w:r>
      <w:r w:rsidRPr="00132E65">
        <w:rPr>
          <w:rtl/>
          <w:lang w:bidi="fa-IR"/>
        </w:rPr>
        <w:t xml:space="preserve"> الْحَسَنُ بْنُ عَلِيٍّ الْمَعْرُوفُ بِابْنِ الرِّضَا.</w:t>
      </w:r>
    </w:p>
    <w:p w:rsidR="000C39D1" w:rsidRPr="00132E65" w:rsidRDefault="000C39D1" w:rsidP="000C39D1">
      <w:pPr>
        <w:pStyle w:val="libNormal"/>
        <w:rPr>
          <w:rtl/>
          <w:lang w:bidi="fa-IR"/>
        </w:rPr>
      </w:pPr>
      <w:r w:rsidRPr="00132E65">
        <w:rPr>
          <w:rtl/>
          <w:lang w:bidi="fa-IR"/>
        </w:rPr>
        <w:t xml:space="preserve">فَسَكَتَ سَاعَةً </w:t>
      </w:r>
      <w:r>
        <w:rPr>
          <w:rStyle w:val="libFootnotenumChar"/>
          <w:rtl/>
        </w:rPr>
        <w:t>(3)</w:t>
      </w:r>
      <w:r w:rsidRPr="00132E65">
        <w:rPr>
          <w:rtl/>
          <w:lang w:bidi="fa-IR"/>
        </w:rPr>
        <w:t xml:space="preserve"> ، ثُمَّ قَالَ : يَا بُنَيَّ ، لَوْ زَالَتِ الْإِمَامَةُ عَنْ خُلَفَاءِ </w:t>
      </w:r>
      <w:r>
        <w:rPr>
          <w:rStyle w:val="libFootnotenumChar"/>
          <w:rtl/>
        </w:rPr>
        <w:t>(4)</w:t>
      </w:r>
      <w:r w:rsidRPr="00132E65">
        <w:rPr>
          <w:rtl/>
          <w:lang w:bidi="fa-IR"/>
        </w:rPr>
        <w:t xml:space="preserve"> بَنِي الْعَبَّاسِ ، مَا اسْتَحَقَّهَا أَحَدٌ </w:t>
      </w:r>
      <w:r>
        <w:rPr>
          <w:rStyle w:val="libFootnotenumChar"/>
          <w:rtl/>
        </w:rPr>
        <w:t>(5)</w:t>
      </w:r>
      <w:r w:rsidRPr="00132E65">
        <w:rPr>
          <w:rtl/>
          <w:lang w:bidi="fa-IR"/>
        </w:rPr>
        <w:t xml:space="preserve"> مِنْ بَنِي هَاشِمٍ غَيْرُ هذَا ، وإِنَّ هذَا لَيَسْتَحِقُّهَا </w:t>
      </w:r>
      <w:r>
        <w:rPr>
          <w:rStyle w:val="libFootnotenumChar"/>
          <w:rtl/>
        </w:rPr>
        <w:t>(6)</w:t>
      </w:r>
      <w:r w:rsidRPr="00132E65">
        <w:rPr>
          <w:rtl/>
          <w:lang w:bidi="fa-IR"/>
        </w:rPr>
        <w:t xml:space="preserve"> فِي فَضْلِهِ </w:t>
      </w:r>
      <w:r>
        <w:rPr>
          <w:rStyle w:val="libFootnotenumChar"/>
          <w:rtl/>
        </w:rPr>
        <w:t>(7)</w:t>
      </w:r>
      <w:r w:rsidRPr="00132E65">
        <w:rPr>
          <w:rtl/>
          <w:lang w:bidi="fa-IR"/>
        </w:rPr>
        <w:t xml:space="preserve"> و</w:t>
      </w:r>
      <w:r w:rsidR="00EF4E5A">
        <w:rPr>
          <w:rFonts w:hint="cs"/>
          <w:rtl/>
          <w:lang w:bidi="fa-IR"/>
        </w:rPr>
        <w:t xml:space="preserve">َ </w:t>
      </w:r>
      <w:r w:rsidRPr="00132E65">
        <w:rPr>
          <w:rtl/>
          <w:lang w:bidi="fa-IR"/>
        </w:rPr>
        <w:t xml:space="preserve">عَفَافِهِ وَهَدْيِهِ </w:t>
      </w:r>
      <w:r>
        <w:rPr>
          <w:rStyle w:val="libFootnotenumChar"/>
          <w:rtl/>
        </w:rPr>
        <w:t>(8)</w:t>
      </w:r>
      <w:r w:rsidRPr="00132E65">
        <w:rPr>
          <w:rtl/>
          <w:lang w:bidi="fa-IR"/>
        </w:rPr>
        <w:t xml:space="preserve"> و</w:t>
      </w:r>
      <w:r w:rsidR="00EF4E5A">
        <w:rPr>
          <w:rFonts w:hint="cs"/>
          <w:rtl/>
          <w:lang w:bidi="fa-IR"/>
        </w:rPr>
        <w:t xml:space="preserve">َ </w:t>
      </w:r>
      <w:r w:rsidRPr="00132E65">
        <w:rPr>
          <w:rtl/>
          <w:lang w:bidi="fa-IR"/>
        </w:rPr>
        <w:t>صِيَانَتِهِ و</w:t>
      </w:r>
      <w:r w:rsidR="00EF4E5A">
        <w:rPr>
          <w:rFonts w:hint="cs"/>
          <w:rtl/>
          <w:lang w:bidi="fa-IR"/>
        </w:rPr>
        <w:t xml:space="preserve">َ </w:t>
      </w:r>
      <w:r w:rsidRPr="00132E65">
        <w:rPr>
          <w:rtl/>
          <w:lang w:bidi="fa-IR"/>
        </w:rPr>
        <w:t>زُهْدِهِ و</w:t>
      </w:r>
      <w:r w:rsidR="00EF4E5A">
        <w:rPr>
          <w:rFonts w:hint="cs"/>
          <w:rtl/>
          <w:lang w:bidi="fa-IR"/>
        </w:rPr>
        <w:t xml:space="preserve">َ </w:t>
      </w:r>
      <w:r w:rsidRPr="00132E65">
        <w:rPr>
          <w:rtl/>
          <w:lang w:bidi="fa-IR"/>
        </w:rPr>
        <w:t>عِبَادَتِهِ و</w:t>
      </w:r>
      <w:r w:rsidR="00EF4E5A">
        <w:rPr>
          <w:rFonts w:hint="cs"/>
          <w:rtl/>
          <w:lang w:bidi="fa-IR"/>
        </w:rPr>
        <w:t xml:space="preserve">َ </w:t>
      </w:r>
      <w:r w:rsidRPr="00132E65">
        <w:rPr>
          <w:rtl/>
          <w:lang w:bidi="fa-IR"/>
        </w:rPr>
        <w:t>جَمِيلِ أَخْلَاقِهِ و</w:t>
      </w:r>
      <w:r w:rsidR="00EF4E5A">
        <w:rPr>
          <w:rFonts w:hint="cs"/>
          <w:rtl/>
          <w:lang w:bidi="fa-IR"/>
        </w:rPr>
        <w:t xml:space="preserve">َ </w:t>
      </w:r>
      <w:r w:rsidRPr="00132E65">
        <w:rPr>
          <w:rtl/>
          <w:lang w:bidi="fa-IR"/>
        </w:rPr>
        <w:t>صَلَاحِهِ ، و</w:t>
      </w:r>
      <w:r w:rsidR="00EF4E5A">
        <w:rPr>
          <w:rFonts w:hint="cs"/>
          <w:rtl/>
          <w:lang w:bidi="fa-IR"/>
        </w:rPr>
        <w:t>َ</w:t>
      </w:r>
      <w:r w:rsidRPr="00132E65">
        <w:rPr>
          <w:rtl/>
          <w:lang w:bidi="fa-IR"/>
        </w:rPr>
        <w:t xml:space="preserve">لَوْ رَأَيْتَ أَبَاهُ رَأَيْتَ رَجُلاً جَزْلاً </w:t>
      </w:r>
      <w:r>
        <w:rPr>
          <w:rStyle w:val="libFootnotenumChar"/>
          <w:rtl/>
        </w:rPr>
        <w:t>(9)</w:t>
      </w:r>
      <w:r w:rsidRPr="00132E65">
        <w:rPr>
          <w:rtl/>
          <w:lang w:bidi="fa-IR"/>
        </w:rPr>
        <w:t xml:space="preserve"> نَبِيلاً فَاضِلاً.</w:t>
      </w:r>
    </w:p>
    <w:p w:rsidR="000C39D1" w:rsidRPr="00132E65" w:rsidRDefault="000C39D1" w:rsidP="000C39D1">
      <w:pPr>
        <w:pStyle w:val="libNormal"/>
        <w:rPr>
          <w:rtl/>
          <w:lang w:bidi="fa-IR"/>
        </w:rPr>
      </w:pPr>
      <w:r w:rsidRPr="00132E65">
        <w:rPr>
          <w:rtl/>
          <w:lang w:bidi="fa-IR"/>
        </w:rPr>
        <w:t>فَازْدَدْتُ قَلَقاً و</w:t>
      </w:r>
      <w:r w:rsidR="00EF4E5A">
        <w:rPr>
          <w:rFonts w:hint="cs"/>
          <w:rtl/>
          <w:lang w:bidi="fa-IR"/>
        </w:rPr>
        <w:t xml:space="preserve">َ </w:t>
      </w:r>
      <w:r w:rsidRPr="00132E65">
        <w:rPr>
          <w:rtl/>
          <w:lang w:bidi="fa-IR"/>
        </w:rPr>
        <w:t>تَفَكُّراً و</w:t>
      </w:r>
      <w:r w:rsidR="00EF4E5A">
        <w:rPr>
          <w:rFonts w:hint="cs"/>
          <w:rtl/>
          <w:lang w:bidi="fa-IR"/>
        </w:rPr>
        <w:t xml:space="preserve">َ </w:t>
      </w:r>
      <w:r w:rsidRPr="00132E65">
        <w:rPr>
          <w:rtl/>
          <w:lang w:bidi="fa-IR"/>
        </w:rPr>
        <w:t>غَيْظاً عَلى أَبِي و</w:t>
      </w:r>
      <w:r w:rsidR="00CC4AC8">
        <w:rPr>
          <w:rFonts w:hint="cs"/>
          <w:rtl/>
          <w:lang w:bidi="fa-IR"/>
        </w:rPr>
        <w:t xml:space="preserve">َ </w:t>
      </w:r>
      <w:r w:rsidRPr="00132E65">
        <w:rPr>
          <w:rtl/>
          <w:lang w:bidi="fa-IR"/>
        </w:rPr>
        <w:t>مَا سَمِعْتُ مِنْهُ ، و</w:t>
      </w:r>
      <w:r w:rsidR="00CC4AC8">
        <w:rPr>
          <w:rFonts w:hint="cs"/>
          <w:rtl/>
          <w:lang w:bidi="fa-IR"/>
        </w:rPr>
        <w:t xml:space="preserve">َ </w:t>
      </w:r>
      <w:r w:rsidRPr="00132E65">
        <w:rPr>
          <w:rtl/>
          <w:lang w:bidi="fa-IR"/>
        </w:rPr>
        <w:t xml:space="preserve">اسْتَزَدْتُهُ </w:t>
      </w:r>
      <w:r>
        <w:rPr>
          <w:rStyle w:val="libFootnotenumChar"/>
          <w:rtl/>
        </w:rPr>
        <w:t>(10)</w:t>
      </w:r>
      <w:r w:rsidRPr="00132E65">
        <w:rPr>
          <w:rtl/>
          <w:lang w:bidi="fa-IR"/>
        </w:rPr>
        <w:t xml:space="preserve"> فِي فِعْلِهِ وَقَوْلِهِ فِيهِ مَا قَالَ </w:t>
      </w:r>
      <w:r>
        <w:rPr>
          <w:rStyle w:val="libFootnotenumChar"/>
          <w:rtl/>
        </w:rPr>
        <w:t>(11)</w:t>
      </w:r>
      <w:r w:rsidRPr="00132E65">
        <w:rPr>
          <w:rtl/>
          <w:lang w:bidi="fa-IR"/>
        </w:rPr>
        <w:t xml:space="preserve"> ، فَلَمْ يَكُنْ لِي هِمَّةٌ </w:t>
      </w:r>
      <w:r>
        <w:rPr>
          <w:rStyle w:val="libFootnotenumChar"/>
          <w:rtl/>
        </w:rPr>
        <w:t>(12)</w:t>
      </w:r>
      <w:r w:rsidR="00CC4AC8">
        <w:rPr>
          <w:rtl/>
          <w:lang w:bidi="fa-IR"/>
        </w:rPr>
        <w:t xml:space="preserve"> بَعْدَ ذلِكَ إِل</w:t>
      </w:r>
      <w:r w:rsidR="00CC4AC8">
        <w:rPr>
          <w:rFonts w:hint="cs"/>
          <w:rtl/>
          <w:lang w:bidi="fa-IR"/>
        </w:rPr>
        <w:t>َّ</w:t>
      </w:r>
      <w:r w:rsidR="00CC4AC8">
        <w:rPr>
          <w:rtl/>
          <w:lang w:bidi="fa-IR"/>
        </w:rPr>
        <w:t>ا</w:t>
      </w:r>
      <w:r w:rsidRPr="00132E65">
        <w:rPr>
          <w:rtl/>
          <w:lang w:bidi="fa-IR"/>
        </w:rPr>
        <w:t xml:space="preserve"> السُّؤَالُ </w:t>
      </w:r>
      <w:r w:rsidRPr="00F543F1">
        <w:rPr>
          <w:rStyle w:val="libFootnotenumChar"/>
          <w:rtl/>
        </w:rPr>
        <w:t>(13)</w:t>
      </w:r>
      <w:r w:rsidRPr="00132E65">
        <w:rPr>
          <w:rtl/>
          <w:lang w:bidi="fa-IR"/>
        </w:rPr>
        <w:t xml:space="preserve"> عَنْ خَبَرِهِ ، و</w:t>
      </w:r>
      <w:r w:rsidR="00CC4AC8">
        <w:rPr>
          <w:rFonts w:hint="cs"/>
          <w:rtl/>
          <w:lang w:bidi="fa-IR"/>
        </w:rPr>
        <w:t xml:space="preserve">َ </w:t>
      </w:r>
      <w:r w:rsidRPr="00132E65">
        <w:rPr>
          <w:rtl/>
          <w:lang w:bidi="fa-IR"/>
        </w:rPr>
        <w:t>الْبَحْثُ عَنْ أَمْرِهِ ، فَمَا سَأَلْتُ أَحَداً مِنْ بَنِي هَاشِمٍ و</w:t>
      </w:r>
      <w:r w:rsidR="00CC4AC8">
        <w:rPr>
          <w:rFonts w:hint="cs"/>
          <w:rtl/>
          <w:lang w:bidi="fa-IR"/>
        </w:rPr>
        <w:t xml:space="preserve">َ </w:t>
      </w:r>
      <w:r w:rsidRPr="00132E65">
        <w:rPr>
          <w:rtl/>
          <w:lang w:bidi="fa-IR"/>
        </w:rPr>
        <w:t>الْقُوَّادِ و</w:t>
      </w:r>
      <w:r w:rsidR="00CC4AC8">
        <w:rPr>
          <w:rFonts w:hint="cs"/>
          <w:rtl/>
          <w:lang w:bidi="fa-IR"/>
        </w:rPr>
        <w:t xml:space="preserve">َ </w:t>
      </w:r>
      <w:r w:rsidRPr="00132E65">
        <w:rPr>
          <w:rtl/>
          <w:lang w:bidi="fa-IR"/>
        </w:rPr>
        <w:t>الْكُتَّابِ و</w:t>
      </w:r>
      <w:r w:rsidR="00CC4AC8">
        <w:rPr>
          <w:rFonts w:hint="cs"/>
          <w:rtl/>
          <w:lang w:bidi="fa-IR"/>
        </w:rPr>
        <w:t xml:space="preserve">َ </w:t>
      </w:r>
      <w:r w:rsidRPr="00132E65">
        <w:rPr>
          <w:rtl/>
          <w:lang w:bidi="fa-IR"/>
        </w:rPr>
        <w:t>الْقُضَاةِ و</w:t>
      </w:r>
      <w:r w:rsidR="00CC4AC8">
        <w:rPr>
          <w:rFonts w:hint="cs"/>
          <w:rtl/>
          <w:lang w:bidi="fa-IR"/>
        </w:rPr>
        <w:t xml:space="preserve">َ </w:t>
      </w:r>
      <w:r w:rsidRPr="00132E65">
        <w:rPr>
          <w:rtl/>
          <w:lang w:bidi="fa-IR"/>
        </w:rPr>
        <w:t>الْفُقَهَاءِ و</w:t>
      </w:r>
      <w:r w:rsidR="00CC4AC8">
        <w:rPr>
          <w:rFonts w:hint="cs"/>
          <w:rtl/>
          <w:lang w:bidi="fa-IR"/>
        </w:rPr>
        <w:t xml:space="preserve">َ </w:t>
      </w:r>
      <w:r w:rsidR="00CC4AC8">
        <w:rPr>
          <w:rtl/>
          <w:lang w:bidi="fa-IR"/>
        </w:rPr>
        <w:t>سَائِرِ النَّاسِ إِل</w:t>
      </w:r>
      <w:r w:rsidR="00CC4AC8">
        <w:rPr>
          <w:rFonts w:hint="cs"/>
          <w:rtl/>
          <w:lang w:bidi="fa-IR"/>
        </w:rPr>
        <w:t>َّ</w:t>
      </w:r>
      <w:r w:rsidR="00CC4AC8">
        <w:rPr>
          <w:rtl/>
          <w:lang w:bidi="fa-IR"/>
        </w:rPr>
        <w:t>ا</w:t>
      </w:r>
      <w:r w:rsidRPr="00132E65">
        <w:rPr>
          <w:rtl/>
          <w:lang w:bidi="fa-IR"/>
        </w:rPr>
        <w:t xml:space="preserve"> و</w:t>
      </w:r>
      <w:r w:rsidR="00CC4AC8">
        <w:rPr>
          <w:rFonts w:hint="cs"/>
          <w:rtl/>
          <w:lang w:bidi="fa-IR"/>
        </w:rPr>
        <w:t>َ</w:t>
      </w:r>
      <w:r w:rsidRPr="00132E65">
        <w:rPr>
          <w:rtl/>
          <w:lang w:bidi="fa-IR"/>
        </w:rPr>
        <w:t>جَدْتُهُ عِنْدَهُ فِي غَايَةِ الْإِجْلَالِ و</w:t>
      </w:r>
      <w:r w:rsidR="00CC4AC8">
        <w:rPr>
          <w:rFonts w:hint="cs"/>
          <w:rtl/>
          <w:lang w:bidi="fa-IR"/>
        </w:rPr>
        <w:t>َ</w:t>
      </w:r>
      <w:r w:rsidRPr="00132E65">
        <w:rPr>
          <w:rtl/>
          <w:lang w:bidi="fa-IR"/>
        </w:rPr>
        <w:t>الْإِعْظَامِ و</w:t>
      </w:r>
      <w:r w:rsidR="00CC4AC8">
        <w:rPr>
          <w:rFonts w:hint="cs"/>
          <w:rtl/>
          <w:lang w:bidi="fa-IR"/>
        </w:rPr>
        <w:t>َ</w:t>
      </w:r>
      <w:r w:rsidRPr="00132E65">
        <w:rPr>
          <w:rtl/>
          <w:lang w:bidi="fa-IR"/>
        </w:rPr>
        <w:t>الْمَحَلِّ الرَّفِيعِ و</w:t>
      </w:r>
      <w:r w:rsidR="00CC4AC8">
        <w:rPr>
          <w:rFonts w:hint="cs"/>
          <w:rtl/>
          <w:lang w:bidi="fa-IR"/>
        </w:rPr>
        <w:t>َ</w:t>
      </w:r>
      <w:r w:rsidRPr="00132E65">
        <w:rPr>
          <w:rtl/>
          <w:lang w:bidi="fa-IR"/>
        </w:rPr>
        <w:t>الْقَوْلِ الْجَمِيلِ‌</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حاشية « بر » : « ذلك »</w:t>
      </w:r>
      <w:r>
        <w:rPr>
          <w:rtl/>
        </w:rPr>
        <w:t>.</w:t>
      </w:r>
    </w:p>
    <w:p w:rsidR="000C39D1" w:rsidRPr="00132E65" w:rsidRDefault="000C39D1" w:rsidP="000C39D1">
      <w:pPr>
        <w:pStyle w:val="libFootnote0"/>
        <w:rPr>
          <w:rtl/>
          <w:lang w:bidi="fa-IR"/>
        </w:rPr>
      </w:pPr>
      <w:r>
        <w:rPr>
          <w:rtl/>
        </w:rPr>
        <w:t>(2).</w:t>
      </w:r>
      <w:r w:rsidRPr="00132E65">
        <w:rPr>
          <w:rtl/>
        </w:rPr>
        <w:t xml:space="preserve"> في « ج » : « ذلك »</w:t>
      </w:r>
      <w:r>
        <w:rPr>
          <w:rtl/>
        </w:rPr>
        <w:t>.</w:t>
      </w:r>
      <w:r w:rsidRPr="00132E65">
        <w:rPr>
          <w:rtl/>
        </w:rPr>
        <w:t xml:space="preserve"> وفي الإرشاد </w:t>
      </w:r>
      <w:r>
        <w:rPr>
          <w:rtl/>
        </w:rPr>
        <w:t xml:space="preserve">: - </w:t>
      </w:r>
      <w:r w:rsidRPr="00132E65">
        <w:rPr>
          <w:rtl/>
        </w:rPr>
        <w:t>« ذاك »</w:t>
      </w:r>
      <w:r>
        <w:rPr>
          <w:rtl/>
        </w:rPr>
        <w:t>.</w:t>
      </w:r>
    </w:p>
    <w:tbl>
      <w:tblPr>
        <w:tblStyle w:val="TableGrid"/>
        <w:bidiVisual/>
        <w:tblW w:w="0" w:type="auto"/>
        <w:tblLook w:val="04A0" w:firstRow="1" w:lastRow="0" w:firstColumn="1" w:lastColumn="0" w:noHBand="0" w:noVBand="1"/>
      </w:tblPr>
      <w:tblGrid>
        <w:gridCol w:w="4261"/>
        <w:gridCol w:w="4262"/>
      </w:tblGrid>
      <w:tr w:rsidR="00A515A1" w:rsidTr="00A515A1">
        <w:tc>
          <w:tcPr>
            <w:tcW w:w="4261" w:type="dxa"/>
          </w:tcPr>
          <w:p w:rsidR="00A515A1" w:rsidRDefault="00A515A1" w:rsidP="000C39D1">
            <w:pPr>
              <w:pStyle w:val="libFootnote0"/>
              <w:rPr>
                <w:rtl/>
              </w:rPr>
            </w:pPr>
            <w:r>
              <w:rPr>
                <w:rtl/>
              </w:rPr>
              <w:t>(3).</w:t>
            </w:r>
            <w:r w:rsidRPr="00132E65">
              <w:rPr>
                <w:rtl/>
              </w:rPr>
              <w:t xml:space="preserve"> في الإرشاد : « ثمّ سكت ساعة وأنا ساكت »</w:t>
            </w:r>
            <w:r>
              <w:rPr>
                <w:rtl/>
              </w:rPr>
              <w:t>.</w:t>
            </w:r>
          </w:p>
        </w:tc>
        <w:tc>
          <w:tcPr>
            <w:tcW w:w="4262" w:type="dxa"/>
          </w:tcPr>
          <w:p w:rsidR="00A515A1" w:rsidRDefault="00A515A1" w:rsidP="000C39D1">
            <w:pPr>
              <w:pStyle w:val="libFootnote0"/>
              <w:rPr>
                <w:rtl/>
              </w:rPr>
            </w:pPr>
            <w:r>
              <w:rPr>
                <w:rtl/>
              </w:rPr>
              <w:t>(4).</w:t>
            </w:r>
            <w:r w:rsidRPr="00132E65">
              <w:rPr>
                <w:rtl/>
              </w:rPr>
              <w:t xml:space="preserve"> في الإرشاد : « خلفائنا »</w:t>
            </w:r>
            <w:r>
              <w:rPr>
                <w:rtl/>
              </w:rPr>
              <w:t>.</w:t>
            </w:r>
          </w:p>
        </w:tc>
      </w:tr>
      <w:tr w:rsidR="00A515A1" w:rsidTr="00A515A1">
        <w:tc>
          <w:tcPr>
            <w:tcW w:w="4261" w:type="dxa"/>
          </w:tcPr>
          <w:p w:rsidR="00A515A1" w:rsidRDefault="00A515A1" w:rsidP="000C39D1">
            <w:pPr>
              <w:pStyle w:val="libFootnote0"/>
              <w:rPr>
                <w:rtl/>
              </w:rPr>
            </w:pPr>
            <w:r>
              <w:rPr>
                <w:rtl/>
              </w:rPr>
              <w:t>(5).</w:t>
            </w:r>
            <w:r w:rsidRPr="00132E65">
              <w:rPr>
                <w:rtl/>
              </w:rPr>
              <w:t xml:space="preserve"> في « بر » :</w:t>
            </w:r>
            <w:r>
              <w:rPr>
                <w:rtl/>
              </w:rPr>
              <w:t xml:space="preserve"> + </w:t>
            </w:r>
            <w:r w:rsidRPr="00132E65">
              <w:rPr>
                <w:rtl/>
              </w:rPr>
              <w:t>« من الناس »</w:t>
            </w:r>
            <w:r>
              <w:rPr>
                <w:rtl/>
              </w:rPr>
              <w:t>.</w:t>
            </w:r>
          </w:p>
        </w:tc>
        <w:tc>
          <w:tcPr>
            <w:tcW w:w="4262" w:type="dxa"/>
          </w:tcPr>
          <w:p w:rsidR="00A515A1" w:rsidRDefault="00A515A1" w:rsidP="000C39D1">
            <w:pPr>
              <w:pStyle w:val="libFootnote0"/>
              <w:rPr>
                <w:rtl/>
              </w:rPr>
            </w:pPr>
            <w:r>
              <w:rPr>
                <w:rtl/>
              </w:rPr>
              <w:t>(6).</w:t>
            </w:r>
            <w:r w:rsidRPr="00132E65">
              <w:rPr>
                <w:rtl/>
              </w:rPr>
              <w:t xml:space="preserve"> في « بف » : « يستحقّها » بدون اللام.</w:t>
            </w:r>
          </w:p>
        </w:tc>
      </w:tr>
    </w:tbl>
    <w:p w:rsidR="000C39D1" w:rsidRPr="00132E65" w:rsidRDefault="000C39D1" w:rsidP="00B10358">
      <w:pPr>
        <w:pStyle w:val="libFootnote0"/>
        <w:rPr>
          <w:rtl/>
          <w:lang w:bidi="fa-IR"/>
        </w:rPr>
      </w:pPr>
      <w:r>
        <w:rPr>
          <w:rtl/>
        </w:rPr>
        <w:t>(7).</w:t>
      </w:r>
      <w:r w:rsidRPr="00132E65">
        <w:rPr>
          <w:rtl/>
        </w:rPr>
        <w:t xml:space="preserve"> في </w:t>
      </w:r>
      <w:r w:rsidRPr="009D1ACE">
        <w:rPr>
          <w:rStyle w:val="libFootnoteBoldChar"/>
          <w:rtl/>
        </w:rPr>
        <w:t>مرآة العقول</w:t>
      </w:r>
      <w:r w:rsidRPr="00132E65">
        <w:rPr>
          <w:rtl/>
        </w:rPr>
        <w:t xml:space="preserve"> عن بعض النسخ : « من فضله »</w:t>
      </w:r>
      <w:r>
        <w:rPr>
          <w:rtl/>
        </w:rPr>
        <w:t>.</w:t>
      </w:r>
      <w:r w:rsidRPr="00132E65">
        <w:rPr>
          <w:rtl/>
        </w:rPr>
        <w:t xml:space="preserve"> وفي الإرشاد : « غيره لفضله » بدل « غير هذا ، وإنّ هذا ليستحقّها في فضله »</w:t>
      </w:r>
      <w:r>
        <w:rPr>
          <w:rtl/>
        </w:rPr>
        <w:t>.</w:t>
      </w:r>
      <w:r w:rsidR="00B10358">
        <w:rPr>
          <w:rFonts w:hint="cs"/>
          <w:rtl/>
        </w:rPr>
        <w:t xml:space="preserve">                                   </w:t>
      </w:r>
      <w:r w:rsidR="0006034E">
        <w:rPr>
          <w:rFonts w:hint="cs"/>
          <w:rtl/>
        </w:rPr>
        <w:t xml:space="preserve"> </w:t>
      </w:r>
      <w:r w:rsidR="00B10358">
        <w:rPr>
          <w:rFonts w:hint="cs"/>
          <w:rtl/>
        </w:rPr>
        <w:t xml:space="preserve">     </w:t>
      </w:r>
      <w:r>
        <w:rPr>
          <w:rtl/>
        </w:rPr>
        <w:t>(8).</w:t>
      </w:r>
      <w:r w:rsidRPr="00132E65">
        <w:rPr>
          <w:rtl/>
        </w:rPr>
        <w:t xml:space="preserve"> في « ج ، ض » : « هداه »</w:t>
      </w:r>
      <w:r>
        <w:rPr>
          <w:rtl/>
        </w:rPr>
        <w:t>.</w:t>
      </w:r>
    </w:p>
    <w:p w:rsidR="000C39D1" w:rsidRPr="00132E65" w:rsidRDefault="000C39D1" w:rsidP="000C39D1">
      <w:pPr>
        <w:pStyle w:val="libFootnote0"/>
        <w:rPr>
          <w:rtl/>
          <w:lang w:bidi="fa-IR"/>
        </w:rPr>
      </w:pPr>
      <w:r>
        <w:rPr>
          <w:rtl/>
        </w:rPr>
        <w:t>(9).</w:t>
      </w:r>
      <w:r w:rsidRPr="00132E65">
        <w:rPr>
          <w:rtl/>
        </w:rPr>
        <w:t xml:space="preserve"> في « بس » : « جزيلاً »</w:t>
      </w:r>
      <w:r>
        <w:rPr>
          <w:rtl/>
        </w:rPr>
        <w:t>.</w:t>
      </w:r>
      <w:r w:rsidRPr="00132E65">
        <w:rPr>
          <w:rtl/>
        </w:rPr>
        <w:t xml:space="preserve"> </w:t>
      </w:r>
      <w:r>
        <w:rPr>
          <w:rtl/>
        </w:rPr>
        <w:t>و «</w:t>
      </w:r>
      <w:r w:rsidRPr="00132E65">
        <w:rPr>
          <w:rtl/>
        </w:rPr>
        <w:t xml:space="preserve"> الجزل » : الكريم المِعْطاءِ والثقيف والعاقل الأصيل الرأي. أو القويّ في الكلام ، المتين الشديد الفصيح. راجع : </w:t>
      </w:r>
      <w:r w:rsidRPr="009D1ACE">
        <w:rPr>
          <w:rStyle w:val="libFootnoteBoldChar"/>
          <w:rtl/>
        </w:rPr>
        <w:t>لسان العرب</w:t>
      </w:r>
      <w:r w:rsidRPr="00132E65">
        <w:rPr>
          <w:rtl/>
        </w:rPr>
        <w:t xml:space="preserve"> ، ج 11 ، ص 109 ؛ </w:t>
      </w:r>
      <w:r w:rsidRPr="007B47BB">
        <w:rPr>
          <w:rtl/>
        </w:rPr>
        <w:t>القاموس المحيط</w:t>
      </w:r>
      <w:r w:rsidRPr="00132E65">
        <w:rPr>
          <w:rtl/>
        </w:rPr>
        <w:t xml:space="preserve"> ، ج 2 ، ص 1292 ( جزل )</w:t>
      </w:r>
      <w:r>
        <w:rPr>
          <w:rtl/>
        </w:rPr>
        <w:t>.</w:t>
      </w:r>
    </w:p>
    <w:p w:rsidR="000C39D1" w:rsidRPr="00132E65" w:rsidRDefault="000C39D1" w:rsidP="000C39D1">
      <w:pPr>
        <w:pStyle w:val="libFootnote0"/>
        <w:rPr>
          <w:rtl/>
          <w:lang w:bidi="fa-IR"/>
        </w:rPr>
      </w:pPr>
      <w:r>
        <w:rPr>
          <w:rtl/>
        </w:rPr>
        <w:t>(10).</w:t>
      </w:r>
      <w:r w:rsidRPr="00132E65">
        <w:rPr>
          <w:rtl/>
        </w:rPr>
        <w:t xml:space="preserve"> « ف » : « فاستزدته »</w:t>
      </w:r>
      <w:r>
        <w:rPr>
          <w:rtl/>
        </w:rPr>
        <w:t>.</w:t>
      </w:r>
      <w:r w:rsidRPr="00132E65">
        <w:rPr>
          <w:rtl/>
        </w:rPr>
        <w:t xml:space="preserve"> وقوله : « واستزدته » عطف على « سمعت » ، أي وما عددته زائداً على ما ينبغي له. قال‌المجلسي : « وقيل : استزدته ، أي عددته مستقصراً ؛ حيث أقرّ بصحّة مذهب الرافضة ، أخذاً من قول صاحب </w:t>
      </w:r>
      <w:r w:rsidRPr="007B47BB">
        <w:rPr>
          <w:rtl/>
        </w:rPr>
        <w:t>القاموس</w:t>
      </w:r>
      <w:r w:rsidRPr="00132E65">
        <w:rPr>
          <w:rtl/>
        </w:rPr>
        <w:t xml:space="preserve"> : استزاده : استقصره وطلب منه الزيادة. وما ذكرناه أظهر »</w:t>
      </w:r>
      <w:r>
        <w:rPr>
          <w:rtl/>
        </w:rPr>
        <w:t>.</w:t>
      </w:r>
      <w:r w:rsidRPr="00132E65">
        <w:rPr>
          <w:rtl/>
        </w:rPr>
        <w:t xml:space="preserve"> راجع : </w:t>
      </w:r>
      <w:r w:rsidRPr="009D1ACE">
        <w:rPr>
          <w:rStyle w:val="libFootnoteBoldChar"/>
          <w:rtl/>
        </w:rPr>
        <w:t>الوافي</w:t>
      </w:r>
      <w:r w:rsidRPr="00132E65">
        <w:rPr>
          <w:rtl/>
        </w:rPr>
        <w:t xml:space="preserve"> ، ج 3 ، ص 847 ؛ </w:t>
      </w:r>
      <w:r w:rsidRPr="009D1ACE">
        <w:rPr>
          <w:rStyle w:val="libFootnoteBoldChar"/>
          <w:rtl/>
        </w:rPr>
        <w:t>مرآة العقول</w:t>
      </w:r>
      <w:r w:rsidRPr="007B47BB">
        <w:rPr>
          <w:rtl/>
        </w:rPr>
        <w:t xml:space="preserve"> </w:t>
      </w:r>
      <w:r w:rsidRPr="00132E65">
        <w:rPr>
          <w:rtl/>
        </w:rPr>
        <w:t xml:space="preserve">، ج 6 ، ص 142 ؛ </w:t>
      </w:r>
      <w:r w:rsidRPr="007B47BB">
        <w:rPr>
          <w:rtl/>
        </w:rPr>
        <w:t>القاموس المحيط</w:t>
      </w:r>
      <w:r w:rsidRPr="00132E65">
        <w:rPr>
          <w:rtl/>
        </w:rPr>
        <w:t xml:space="preserve"> ، ج 1 ، ص 418 ( زيد )</w:t>
      </w:r>
      <w:r>
        <w:rPr>
          <w:rtl/>
        </w:rPr>
        <w:t>.</w:t>
      </w:r>
    </w:p>
    <w:p w:rsidR="000C39D1" w:rsidRPr="00132E65" w:rsidRDefault="000C39D1" w:rsidP="000C39D1">
      <w:pPr>
        <w:pStyle w:val="libFootnote0"/>
        <w:rPr>
          <w:rtl/>
          <w:lang w:bidi="fa-IR"/>
        </w:rPr>
      </w:pPr>
      <w:r>
        <w:rPr>
          <w:rtl/>
        </w:rPr>
        <w:t>(11).</w:t>
      </w:r>
      <w:r w:rsidRPr="00132E65">
        <w:rPr>
          <w:rtl/>
        </w:rPr>
        <w:t xml:space="preserve"> في الإرشاد : « وما سمعت منه فيه ، ورأيت من فعله به » بدل « وما سمعت منه واستزدته في فعله وقوله فيه ماقال »</w:t>
      </w:r>
      <w:r>
        <w:rPr>
          <w:rtl/>
        </w:rPr>
        <w:t>.</w:t>
      </w:r>
    </w:p>
    <w:p w:rsidR="000C39D1" w:rsidRPr="00132E65" w:rsidRDefault="000C39D1" w:rsidP="000C39D1">
      <w:pPr>
        <w:pStyle w:val="libFootnote0"/>
        <w:rPr>
          <w:rtl/>
          <w:lang w:bidi="fa-IR"/>
        </w:rPr>
      </w:pPr>
      <w:r>
        <w:rPr>
          <w:rtl/>
        </w:rPr>
        <w:t>(12).</w:t>
      </w:r>
      <w:r w:rsidRPr="00132E65">
        <w:rPr>
          <w:rtl/>
        </w:rPr>
        <w:t xml:space="preserve"> في « بر » : « همّ »</w:t>
      </w:r>
      <w:r>
        <w:rPr>
          <w:rtl/>
        </w:rPr>
        <w:t>.</w:t>
      </w:r>
      <w:r w:rsidRPr="00132E65">
        <w:rPr>
          <w:rtl/>
        </w:rPr>
        <w:t xml:space="preserve"> وفي الإرشاد : « همّه »</w:t>
      </w:r>
      <w:r>
        <w:rPr>
          <w:rtl/>
        </w:rPr>
        <w:t>.</w:t>
      </w:r>
    </w:p>
    <w:p w:rsidR="000C39D1" w:rsidRPr="00132E65" w:rsidRDefault="000C39D1" w:rsidP="000C39D1">
      <w:pPr>
        <w:pStyle w:val="libFootnote0"/>
        <w:rPr>
          <w:rtl/>
          <w:lang w:bidi="fa-IR"/>
        </w:rPr>
      </w:pPr>
      <w:r>
        <w:rPr>
          <w:rtl/>
        </w:rPr>
        <w:t>(13)</w:t>
      </w:r>
      <w:r w:rsidRPr="00132E65">
        <w:rPr>
          <w:rtl/>
        </w:rPr>
        <w:t xml:space="preserve"> يجوز فيها وفي قوله « والبحث » النصب أيضاً.</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وَالتَّقَدُّمِ </w:t>
      </w:r>
      <w:r>
        <w:rPr>
          <w:rStyle w:val="libFootnotenumChar"/>
          <w:rtl/>
        </w:rPr>
        <w:t>(1)</w:t>
      </w:r>
      <w:r w:rsidRPr="00132E65">
        <w:rPr>
          <w:rtl/>
          <w:lang w:bidi="fa-IR"/>
        </w:rPr>
        <w:t xml:space="preserve"> لَهُ عَلى جَمِيعِ أَهْلِ بَيْتِهِ ومَشَايِخِهِ ، فَعَظُمَ </w:t>
      </w:r>
      <w:r>
        <w:rPr>
          <w:rStyle w:val="libFootnotenumChar"/>
          <w:rtl/>
        </w:rPr>
        <w:t>(2)</w:t>
      </w:r>
      <w:r w:rsidRPr="00132E65">
        <w:rPr>
          <w:rtl/>
          <w:lang w:bidi="fa-IR"/>
        </w:rPr>
        <w:t xml:space="preserve"> قَدْرُهُ عِنْدِي ؛ إِذْ </w:t>
      </w:r>
      <w:r>
        <w:rPr>
          <w:rStyle w:val="libFootnotenumChar"/>
          <w:rtl/>
        </w:rPr>
        <w:t>(3)</w:t>
      </w:r>
      <w:r w:rsidRPr="00132E65">
        <w:rPr>
          <w:rtl/>
          <w:lang w:bidi="fa-IR"/>
        </w:rPr>
        <w:t xml:space="preserve"> لَمْ أَرَ ل</w:t>
      </w:r>
      <w:r w:rsidR="00B10358">
        <w:rPr>
          <w:rtl/>
          <w:lang w:bidi="fa-IR"/>
        </w:rPr>
        <w:t>َهُ ولِيّاً وَلَاعَدُوّاً إِل</w:t>
      </w:r>
      <w:r w:rsidR="00B10358">
        <w:rPr>
          <w:rFonts w:hint="cs"/>
          <w:rtl/>
          <w:lang w:bidi="fa-IR"/>
        </w:rPr>
        <w:t>َّ</w:t>
      </w:r>
      <w:r w:rsidR="00B10358">
        <w:rPr>
          <w:rtl/>
          <w:lang w:bidi="fa-IR"/>
        </w:rPr>
        <w:t>ا</w:t>
      </w:r>
      <w:r w:rsidRPr="00132E65">
        <w:rPr>
          <w:rtl/>
          <w:lang w:bidi="fa-IR"/>
        </w:rPr>
        <w:t xml:space="preserve"> و</w:t>
      </w:r>
      <w:r w:rsidR="00B10358">
        <w:rPr>
          <w:rFonts w:hint="cs"/>
          <w:rtl/>
          <w:lang w:bidi="fa-IR"/>
        </w:rPr>
        <w:t>َ</w:t>
      </w:r>
      <w:r w:rsidRPr="00132E65">
        <w:rPr>
          <w:rtl/>
          <w:lang w:bidi="fa-IR"/>
        </w:rPr>
        <w:t>هُوَ يُحْسِنُ الْقَوْلَ فِيهِ والثَّنَاءَ عَلَيْهِ.</w:t>
      </w:r>
    </w:p>
    <w:p w:rsidR="000C39D1" w:rsidRPr="00132E65" w:rsidRDefault="000C39D1" w:rsidP="000C39D1">
      <w:pPr>
        <w:pStyle w:val="libNormal"/>
        <w:rPr>
          <w:rtl/>
          <w:lang w:bidi="fa-IR"/>
        </w:rPr>
      </w:pPr>
      <w:r w:rsidRPr="00132E65">
        <w:rPr>
          <w:rtl/>
          <w:lang w:bidi="fa-IR"/>
        </w:rPr>
        <w:t xml:space="preserve">فَقَالَ لَهُ بَعْضُ مَنْ حَضَرَ مَجْلِسَهُ مِنَ الْأَشْعَرِيِّينَ : يَا أَبَا بَكْرٍ </w:t>
      </w:r>
      <w:r>
        <w:rPr>
          <w:rStyle w:val="libFootnotenumChar"/>
          <w:rtl/>
        </w:rPr>
        <w:t>(4)</w:t>
      </w:r>
      <w:r w:rsidRPr="00132E65">
        <w:rPr>
          <w:rtl/>
          <w:lang w:bidi="fa-IR"/>
        </w:rPr>
        <w:t xml:space="preserve"> ، فَمَا خَبَرُ أَخِيهِ جَعْفَرٍ </w:t>
      </w:r>
      <w:r>
        <w:rPr>
          <w:rStyle w:val="libFootnotenumChar"/>
          <w:rtl/>
        </w:rPr>
        <w:t>(5)</w:t>
      </w:r>
      <w:r>
        <w:rPr>
          <w:rtl/>
          <w:lang w:bidi="fa-IR"/>
        </w:rPr>
        <w:t>؟</w:t>
      </w:r>
      <w:r w:rsidRPr="00132E65">
        <w:rPr>
          <w:rtl/>
          <w:lang w:bidi="fa-IR"/>
        </w:rPr>
        <w:t xml:space="preserve"> فَقَالَ </w:t>
      </w:r>
      <w:r>
        <w:rPr>
          <w:rStyle w:val="libFootnotenumChar"/>
          <w:rtl/>
        </w:rPr>
        <w:t>(6)</w:t>
      </w:r>
      <w:r w:rsidRPr="00132E65">
        <w:rPr>
          <w:rtl/>
          <w:lang w:bidi="fa-IR"/>
        </w:rPr>
        <w:t xml:space="preserve"> : و</w:t>
      </w:r>
      <w:r w:rsidR="00B10358">
        <w:rPr>
          <w:rFonts w:hint="cs"/>
          <w:rtl/>
          <w:lang w:bidi="fa-IR"/>
        </w:rPr>
        <w:t>َ</w:t>
      </w:r>
      <w:r>
        <w:rPr>
          <w:rFonts w:hint="cs"/>
          <w:rtl/>
          <w:lang w:bidi="fa-IR"/>
        </w:rPr>
        <w:t xml:space="preserve"> </w:t>
      </w:r>
      <w:r>
        <w:rPr>
          <w:rStyle w:val="libFootnotenumChar"/>
          <w:rtl/>
        </w:rPr>
        <w:t>(7)</w:t>
      </w:r>
      <w:r w:rsidRPr="00132E65">
        <w:rPr>
          <w:rtl/>
          <w:lang w:bidi="fa-IR"/>
        </w:rPr>
        <w:t xml:space="preserve"> مَنْ جَعْفَرٌ فَتَسْأَلَ </w:t>
      </w:r>
      <w:r>
        <w:rPr>
          <w:rStyle w:val="libFootnotenumChar"/>
          <w:rtl/>
        </w:rPr>
        <w:t>(8)</w:t>
      </w:r>
      <w:r w:rsidRPr="00132E65">
        <w:rPr>
          <w:rtl/>
          <w:lang w:bidi="fa-IR"/>
        </w:rPr>
        <w:t xml:space="preserve"> عَنْ خَبَرِهِ ، أَوْ </w:t>
      </w:r>
      <w:r>
        <w:rPr>
          <w:rStyle w:val="libFootnotenumChar"/>
          <w:rtl/>
        </w:rPr>
        <w:t>(9)</w:t>
      </w:r>
      <w:r w:rsidRPr="00132E65">
        <w:rPr>
          <w:rtl/>
          <w:lang w:bidi="fa-IR"/>
        </w:rPr>
        <w:t xml:space="preserve"> يُقْرَنَ </w:t>
      </w:r>
      <w:r>
        <w:rPr>
          <w:rStyle w:val="libFootnotenumChar"/>
          <w:rtl/>
        </w:rPr>
        <w:t>(10)</w:t>
      </w:r>
      <w:r w:rsidRPr="00132E65">
        <w:rPr>
          <w:rtl/>
          <w:lang w:bidi="fa-IR"/>
        </w:rPr>
        <w:t xml:space="preserve"> بِالْحَسَنِ</w:t>
      </w:r>
      <w:r>
        <w:rPr>
          <w:rtl/>
          <w:lang w:bidi="fa-IR"/>
        </w:rPr>
        <w:t>؟</w:t>
      </w:r>
      <w:r w:rsidRPr="00132E65">
        <w:rPr>
          <w:rtl/>
          <w:lang w:bidi="fa-IR"/>
        </w:rPr>
        <w:t xml:space="preserve"> جَعْفَرٌ مُعْلِنُ الْفِسْقِ </w:t>
      </w:r>
      <w:r>
        <w:rPr>
          <w:rStyle w:val="libFootnotenumChar"/>
          <w:rtl/>
        </w:rPr>
        <w:t>(11)</w:t>
      </w:r>
      <w:r w:rsidRPr="00132E65">
        <w:rPr>
          <w:rtl/>
          <w:lang w:bidi="fa-IR"/>
        </w:rPr>
        <w:t xml:space="preserve"> ، فَاجِرٌ ، مَاجِنٌ </w:t>
      </w:r>
      <w:r>
        <w:rPr>
          <w:rStyle w:val="libFootnotenumChar"/>
          <w:rtl/>
        </w:rPr>
        <w:t>(12)</w:t>
      </w:r>
      <w:r w:rsidRPr="00132E65">
        <w:rPr>
          <w:rtl/>
          <w:lang w:bidi="fa-IR"/>
        </w:rPr>
        <w:t xml:space="preserve"> ، شِرِّيبٌ لِلْخُمُورِ </w:t>
      </w:r>
      <w:r w:rsidRPr="00F543F1">
        <w:rPr>
          <w:rStyle w:val="libFootnotenumChar"/>
          <w:rtl/>
        </w:rPr>
        <w:t>(13)</w:t>
      </w:r>
      <w:r w:rsidRPr="00132E65">
        <w:rPr>
          <w:rtl/>
          <w:lang w:bidi="fa-IR"/>
        </w:rPr>
        <w:t xml:space="preserve"> ، أَقَلُّ مَنْ رَأَيْتُهُ مِنَ الرِّجَالِ ، و</w:t>
      </w:r>
      <w:r w:rsidR="00B10358">
        <w:rPr>
          <w:rFonts w:hint="cs"/>
          <w:rtl/>
          <w:lang w:bidi="fa-IR"/>
        </w:rPr>
        <w:t>َ</w:t>
      </w:r>
      <w:r w:rsidRPr="00132E65">
        <w:rPr>
          <w:rtl/>
          <w:lang w:bidi="fa-IR"/>
        </w:rPr>
        <w:t>أَهْتَكُهُمْ لِنَفْسِهِ ، خَفِيفٌ ، قَلِيلٌ فِي نَفْسِهِ ، و</w:t>
      </w:r>
      <w:r w:rsidR="00B10358">
        <w:rPr>
          <w:rFonts w:hint="cs"/>
          <w:rtl/>
          <w:lang w:bidi="fa-IR"/>
        </w:rPr>
        <w:t>َ</w:t>
      </w:r>
      <w:r>
        <w:rPr>
          <w:rFonts w:hint="cs"/>
          <w:rtl/>
          <w:lang w:bidi="fa-IR"/>
        </w:rPr>
        <w:t xml:space="preserve"> </w:t>
      </w:r>
      <w:r w:rsidRPr="00F543F1">
        <w:rPr>
          <w:rStyle w:val="libFootnotenumChar"/>
          <w:rtl/>
        </w:rPr>
        <w:t>(14)</w:t>
      </w:r>
      <w:r w:rsidRPr="00132E65">
        <w:rPr>
          <w:rtl/>
          <w:lang w:bidi="fa-IR"/>
        </w:rPr>
        <w:t xml:space="preserve"> لَقَدْ ورَدَ </w:t>
      </w:r>
      <w:r w:rsidRPr="00F543F1">
        <w:rPr>
          <w:rStyle w:val="libFootnotenumChar"/>
          <w:rtl/>
        </w:rPr>
        <w:t>(15)</w:t>
      </w:r>
      <w:r w:rsidRPr="00132E65">
        <w:rPr>
          <w:rtl/>
          <w:lang w:bidi="fa-IR"/>
        </w:rPr>
        <w:t xml:space="preserve"> عَلَى السُّلْطَانِ و</w:t>
      </w:r>
      <w:r w:rsidR="00B10358">
        <w:rPr>
          <w:rFonts w:hint="cs"/>
          <w:rtl/>
          <w:lang w:bidi="fa-IR"/>
        </w:rPr>
        <w:t>َ</w:t>
      </w:r>
      <w:r w:rsidRPr="00132E65">
        <w:rPr>
          <w:rtl/>
          <w:lang w:bidi="fa-IR"/>
        </w:rPr>
        <w:t xml:space="preserve">أَصْحَابِهِ فِي وقْتِ وفَاةِ الْحَسَنِ بْنِ عَلِيٍّ مَا </w:t>
      </w:r>
      <w:r w:rsidRPr="00F543F1">
        <w:rPr>
          <w:rStyle w:val="libFootnotenumChar"/>
          <w:rtl/>
        </w:rPr>
        <w:t>(16)</w:t>
      </w:r>
      <w:r w:rsidRPr="00132E65">
        <w:rPr>
          <w:rtl/>
          <w:lang w:bidi="fa-IR"/>
        </w:rPr>
        <w:t xml:space="preserve"> تَعَجَّبْتُ مِنْهُ ، و</w:t>
      </w:r>
      <w:r w:rsidR="00B10358">
        <w:rPr>
          <w:rFonts w:hint="cs"/>
          <w:rtl/>
          <w:lang w:bidi="fa-IR"/>
        </w:rPr>
        <w:t>َ</w:t>
      </w:r>
      <w:r w:rsidRPr="00132E65">
        <w:rPr>
          <w:rtl/>
          <w:lang w:bidi="fa-IR"/>
        </w:rPr>
        <w:t>مَا ظَنَنْتُ أَنَّهُ يَكُونُ ، و</w:t>
      </w:r>
      <w:r w:rsidR="00B10358">
        <w:rPr>
          <w:rFonts w:hint="cs"/>
          <w:rtl/>
          <w:lang w:bidi="fa-IR"/>
        </w:rPr>
        <w:t>َ</w:t>
      </w:r>
      <w:r w:rsidRPr="00132E65">
        <w:rPr>
          <w:rtl/>
          <w:lang w:bidi="fa-IR"/>
        </w:rPr>
        <w:t xml:space="preserve">ذلِكَ أَنَّهُ لَمَّا اعْتَلَّ ، بَعَثَ إِلى أَبِي أَنَّ ابْنَ الرِّضَا قَدِ اعْتَلَّ ، فَرَكِبَ مِنْ سَاعَتِهِ ، فَبَادَرَ </w:t>
      </w:r>
      <w:r w:rsidRPr="00F543F1">
        <w:rPr>
          <w:rStyle w:val="libFootnotenumChar"/>
          <w:rtl/>
        </w:rPr>
        <w:t>(17)</w:t>
      </w:r>
      <w:r w:rsidRPr="00132E65">
        <w:rPr>
          <w:rtl/>
          <w:lang w:bidi="fa-IR"/>
        </w:rPr>
        <w:t xml:space="preserve"> إِلى دَارِ الْخِلَافَةِ ، ثُمَّ رَجَعَ مُسْتَعْجِلاً و</w:t>
      </w:r>
      <w:r w:rsidR="00B10358">
        <w:rPr>
          <w:rFonts w:hint="cs"/>
          <w:rtl/>
          <w:lang w:bidi="fa-IR"/>
        </w:rPr>
        <w:t>َ</w:t>
      </w:r>
      <w:r w:rsidRPr="00132E65">
        <w:rPr>
          <w:rtl/>
          <w:lang w:bidi="fa-IR"/>
        </w:rPr>
        <w:t xml:space="preserve">مَعَهُ خَمْسَةٌ </w:t>
      </w:r>
      <w:r w:rsidRPr="00F543F1">
        <w:rPr>
          <w:rStyle w:val="libFootnotenumChar"/>
          <w:rtl/>
        </w:rPr>
        <w:t>(18)</w:t>
      </w:r>
      <w:r w:rsidRPr="00132E65">
        <w:rPr>
          <w:rtl/>
          <w:lang w:bidi="fa-IR"/>
        </w:rPr>
        <w:t xml:space="preserve"> مِنْ خَدَمِ أَمِيرِ الْمُؤْمِنِينَ كُلُّهُمْ مِنْ ثِقَاتِهِ و</w:t>
      </w:r>
      <w:r w:rsidR="00B10358">
        <w:rPr>
          <w:rFonts w:hint="cs"/>
          <w:rtl/>
          <w:lang w:bidi="fa-IR"/>
        </w:rPr>
        <w:t>َ</w:t>
      </w:r>
      <w:r w:rsidRPr="00132E65">
        <w:rPr>
          <w:rtl/>
          <w:lang w:bidi="fa-IR"/>
        </w:rPr>
        <w:t xml:space="preserve">خَاصَّتِهِ ، فِيهِمْ نِحْرِيرٌ </w:t>
      </w:r>
      <w:r w:rsidRPr="00F543F1">
        <w:rPr>
          <w:rStyle w:val="libFootnotenumChar"/>
          <w:rtl/>
        </w:rPr>
        <w:t>(19)</w:t>
      </w:r>
      <w:r w:rsidRPr="00132E65">
        <w:rPr>
          <w:rtl/>
          <w:lang w:bidi="fa-IR"/>
        </w:rPr>
        <w:t xml:space="preserve"> ، فَأَمَرَهُمْ </w:t>
      </w:r>
      <w:r w:rsidRPr="00F543F1">
        <w:rPr>
          <w:rStyle w:val="libFootnotenumChar"/>
          <w:rtl/>
        </w:rPr>
        <w:t>(20)</w:t>
      </w:r>
      <w:r w:rsidRPr="00132E65">
        <w:rPr>
          <w:rtl/>
          <w:lang w:bidi="fa-IR"/>
        </w:rPr>
        <w:t xml:space="preserve"> بِلُزُومِ دَارِ الْحَسَنِ و</w:t>
      </w:r>
      <w:r w:rsidR="00B10358">
        <w:rPr>
          <w:rFonts w:hint="cs"/>
          <w:rtl/>
          <w:lang w:bidi="fa-IR"/>
        </w:rPr>
        <w:t>َ</w:t>
      </w:r>
      <w:r w:rsidRPr="00132E65">
        <w:rPr>
          <w:rtl/>
          <w:lang w:bidi="fa-IR"/>
        </w:rPr>
        <w:t>تَعَرُّفِ خَبَرِهِ وحَالِهِ ، و</w:t>
      </w:r>
      <w:r w:rsidR="00B10358">
        <w:rPr>
          <w:rFonts w:hint="cs"/>
          <w:rtl/>
          <w:lang w:bidi="fa-IR"/>
        </w:rPr>
        <w:t>َ</w:t>
      </w:r>
      <w:r w:rsidRPr="00132E65">
        <w:rPr>
          <w:rtl/>
          <w:lang w:bidi="fa-IR"/>
        </w:rPr>
        <w:t>بَعَثَ إِلى نَفَرٍ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ج ، ف ، بح ، بر ، بس ، بف » و</w:t>
      </w:r>
      <w:r w:rsidRPr="009D1ACE">
        <w:rPr>
          <w:rStyle w:val="libFootnoteBoldChar"/>
          <w:rtl/>
        </w:rPr>
        <w:t>الوافي</w:t>
      </w:r>
      <w:r w:rsidRPr="00132E65">
        <w:rPr>
          <w:rtl/>
        </w:rPr>
        <w:t>. وفي سائر النسخ والمطبوع : « والتقديم »</w:t>
      </w:r>
      <w:r>
        <w:rPr>
          <w:rtl/>
        </w:rPr>
        <w:t>.</w:t>
      </w:r>
    </w:p>
    <w:p w:rsidR="000C39D1" w:rsidRPr="00132E65" w:rsidRDefault="000C39D1" w:rsidP="000C39D1">
      <w:pPr>
        <w:pStyle w:val="libFootnote0"/>
        <w:rPr>
          <w:rtl/>
          <w:lang w:bidi="fa-IR"/>
        </w:rPr>
      </w:pPr>
      <w:r>
        <w:rPr>
          <w:rtl/>
        </w:rPr>
        <w:t>(2).</w:t>
      </w:r>
      <w:r w:rsidRPr="00132E65">
        <w:rPr>
          <w:rtl/>
        </w:rPr>
        <w:t xml:space="preserve"> في « ف » : « فعظّم » بالتشديد.</w:t>
      </w:r>
    </w:p>
    <w:p w:rsidR="000C39D1" w:rsidRPr="00132E65" w:rsidRDefault="000C39D1" w:rsidP="000C39D1">
      <w:pPr>
        <w:pStyle w:val="libFootnote0"/>
        <w:rPr>
          <w:rtl/>
          <w:lang w:bidi="fa-IR"/>
        </w:rPr>
      </w:pPr>
      <w:r>
        <w:rPr>
          <w:rtl/>
        </w:rPr>
        <w:t>(3).</w:t>
      </w:r>
      <w:r w:rsidRPr="00132E65">
        <w:rPr>
          <w:rtl/>
        </w:rPr>
        <w:t xml:space="preserve"> في « ب » : « إذا »</w:t>
      </w:r>
      <w:r>
        <w:rPr>
          <w:rtl/>
        </w:rPr>
        <w:t>.</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يا أبا بكر »</w:t>
      </w:r>
      <w:r>
        <w:rPr>
          <w:rtl/>
        </w:rPr>
        <w:t>.</w:t>
      </w:r>
    </w:p>
    <w:p w:rsidR="000C39D1" w:rsidRPr="00132E65" w:rsidRDefault="000C39D1" w:rsidP="000C39D1">
      <w:pPr>
        <w:pStyle w:val="libFootnote0"/>
        <w:rPr>
          <w:rtl/>
          <w:lang w:bidi="fa-IR"/>
        </w:rPr>
      </w:pPr>
      <w:r>
        <w:rPr>
          <w:rtl/>
        </w:rPr>
        <w:t>(5).</w:t>
      </w:r>
      <w:r w:rsidRPr="00132E65">
        <w:rPr>
          <w:rtl/>
        </w:rPr>
        <w:t xml:space="preserve"> في الإرشاد :</w:t>
      </w:r>
      <w:r>
        <w:rPr>
          <w:rtl/>
        </w:rPr>
        <w:t xml:space="preserve"> + </w:t>
      </w:r>
      <w:r w:rsidRPr="00132E65">
        <w:rPr>
          <w:rtl/>
        </w:rPr>
        <w:t>« وكيف كان منه في المحلّ »</w:t>
      </w:r>
      <w:r>
        <w:rPr>
          <w:rtl/>
        </w:rPr>
        <w:t>.</w:t>
      </w:r>
      <w:r w:rsidRPr="00132E65">
        <w:rPr>
          <w:rtl/>
        </w:rPr>
        <w:t xml:space="preserve"> وجعفر هو المشهور بالكذّاب.</w:t>
      </w:r>
    </w:p>
    <w:tbl>
      <w:tblPr>
        <w:tblStyle w:val="TableGrid"/>
        <w:bidiVisual/>
        <w:tblW w:w="0" w:type="auto"/>
        <w:tblLook w:val="04A0" w:firstRow="1" w:lastRow="0" w:firstColumn="1" w:lastColumn="0" w:noHBand="0" w:noVBand="1"/>
      </w:tblPr>
      <w:tblGrid>
        <w:gridCol w:w="4261"/>
        <w:gridCol w:w="4262"/>
      </w:tblGrid>
      <w:tr w:rsidR="00B10358" w:rsidTr="00B10358">
        <w:tc>
          <w:tcPr>
            <w:tcW w:w="4261" w:type="dxa"/>
          </w:tcPr>
          <w:p w:rsidR="00B10358" w:rsidRDefault="00B10358" w:rsidP="000C39D1">
            <w:pPr>
              <w:pStyle w:val="libFootnote0"/>
              <w:rPr>
                <w:rtl/>
              </w:rPr>
            </w:pPr>
            <w:r>
              <w:rPr>
                <w:rtl/>
              </w:rPr>
              <w:t>(6).</w:t>
            </w:r>
            <w:r w:rsidRPr="00132E65">
              <w:rPr>
                <w:rtl/>
              </w:rPr>
              <w:t xml:space="preserve"> في « ب ، بر » : « قال »</w:t>
            </w:r>
            <w:r>
              <w:rPr>
                <w:rtl/>
              </w:rPr>
              <w:t>.</w:t>
            </w:r>
          </w:p>
        </w:tc>
        <w:tc>
          <w:tcPr>
            <w:tcW w:w="4262" w:type="dxa"/>
          </w:tcPr>
          <w:p w:rsidR="00B10358" w:rsidRDefault="00B10358" w:rsidP="000C39D1">
            <w:pPr>
              <w:pStyle w:val="libFootnote0"/>
              <w:rPr>
                <w:rtl/>
              </w:rPr>
            </w:pPr>
            <w:r>
              <w:rPr>
                <w:rtl/>
              </w:rPr>
              <w:t>(7).</w:t>
            </w:r>
            <w:r w:rsidRPr="00132E65">
              <w:rPr>
                <w:rtl/>
              </w:rPr>
              <w:t xml:space="preserve"> في « بر ، بس »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fa-IR"/>
        </w:rPr>
      </w:pPr>
      <w:r>
        <w:rPr>
          <w:rtl/>
        </w:rPr>
        <w:t>(8).</w:t>
      </w:r>
      <w:r w:rsidRPr="00132E65">
        <w:rPr>
          <w:rtl/>
        </w:rPr>
        <w:t xml:space="preserve"> في « ب ، ض ، ف ، بح ، بر ، بف » و</w:t>
      </w:r>
      <w:r w:rsidRPr="009D1ACE">
        <w:rPr>
          <w:rStyle w:val="libFootnoteBoldChar"/>
          <w:rtl/>
        </w:rPr>
        <w:t>الوافي</w:t>
      </w:r>
      <w:r w:rsidRPr="00132E65">
        <w:rPr>
          <w:rtl/>
        </w:rPr>
        <w:t xml:space="preserve"> والإرشاد : « فيسأل »</w:t>
      </w:r>
      <w:r>
        <w:rPr>
          <w:rtl/>
        </w:rPr>
        <w:t>.</w:t>
      </w:r>
      <w:r w:rsidRPr="00132E65">
        <w:rPr>
          <w:rtl/>
        </w:rPr>
        <w:t xml:space="preserve"> وفي « ج » : « فتُسأل »</w:t>
      </w:r>
      <w:r>
        <w:rPr>
          <w:rtl/>
        </w:rPr>
        <w:t>.</w:t>
      </w:r>
      <w:r w:rsidRPr="00132E65">
        <w:rPr>
          <w:rtl/>
        </w:rPr>
        <w:t xml:space="preserve"> وفي « بس » : « فتساءل »</w:t>
      </w:r>
      <w:r>
        <w:rPr>
          <w:rtl/>
        </w:rPr>
        <w:t>.</w:t>
      </w:r>
    </w:p>
    <w:tbl>
      <w:tblPr>
        <w:tblStyle w:val="TableGrid"/>
        <w:bidiVisual/>
        <w:tblW w:w="0" w:type="auto"/>
        <w:tblLook w:val="04A0" w:firstRow="1" w:lastRow="0" w:firstColumn="1" w:lastColumn="0" w:noHBand="0" w:noVBand="1"/>
      </w:tblPr>
      <w:tblGrid>
        <w:gridCol w:w="4261"/>
        <w:gridCol w:w="4262"/>
      </w:tblGrid>
      <w:tr w:rsidR="001603AC" w:rsidTr="001603AC">
        <w:tc>
          <w:tcPr>
            <w:tcW w:w="4261" w:type="dxa"/>
          </w:tcPr>
          <w:p w:rsidR="001603AC" w:rsidRDefault="001603AC" w:rsidP="000C39D1">
            <w:pPr>
              <w:pStyle w:val="libFootnote0"/>
              <w:rPr>
                <w:rtl/>
                <w:lang w:bidi="fa-IR"/>
              </w:rPr>
            </w:pPr>
            <w:r>
              <w:rPr>
                <w:rtl/>
              </w:rPr>
              <w:t>(9).</w:t>
            </w:r>
            <w:r w:rsidRPr="00132E65">
              <w:rPr>
                <w:rtl/>
              </w:rPr>
              <w:t xml:space="preserve"> في « بر » : «</w:t>
            </w:r>
            <w:r>
              <w:rPr>
                <w:rtl/>
              </w:rPr>
              <w:t xml:space="preserve"> و ».</w:t>
            </w:r>
            <w:r w:rsidRPr="00132E65">
              <w:rPr>
                <w:rtl/>
              </w:rPr>
              <w:t xml:space="preserve"> وفي « بف » : « أم »</w:t>
            </w:r>
            <w:r>
              <w:rPr>
                <w:rtl/>
              </w:rPr>
              <w:t>.</w:t>
            </w:r>
          </w:p>
        </w:tc>
        <w:tc>
          <w:tcPr>
            <w:tcW w:w="4262" w:type="dxa"/>
          </w:tcPr>
          <w:p w:rsidR="001603AC" w:rsidRDefault="001603AC" w:rsidP="000C39D1">
            <w:pPr>
              <w:pStyle w:val="libFootnote0"/>
              <w:rPr>
                <w:rtl/>
                <w:lang w:bidi="fa-IR"/>
              </w:rPr>
            </w:pPr>
            <w:r>
              <w:rPr>
                <w:rtl/>
              </w:rPr>
              <w:t>(10).</w:t>
            </w:r>
            <w:r w:rsidRPr="00132E65">
              <w:rPr>
                <w:rtl/>
              </w:rPr>
              <w:t xml:space="preserve"> في « ج » : « تُقْرِن »</w:t>
            </w:r>
            <w:r>
              <w:rPr>
                <w:rtl/>
              </w:rPr>
              <w:t>.</w:t>
            </w:r>
          </w:p>
        </w:tc>
      </w:tr>
    </w:tbl>
    <w:p w:rsidR="000C39D1" w:rsidRPr="00132E65" w:rsidRDefault="000C39D1" w:rsidP="000C39D1">
      <w:pPr>
        <w:pStyle w:val="libFootnote0"/>
        <w:rPr>
          <w:rtl/>
          <w:lang w:bidi="fa-IR"/>
        </w:rPr>
      </w:pPr>
      <w:r>
        <w:rPr>
          <w:rtl/>
        </w:rPr>
        <w:t>(11).</w:t>
      </w:r>
      <w:r w:rsidRPr="00132E65">
        <w:rPr>
          <w:rtl/>
        </w:rPr>
        <w:t xml:space="preserve"> في الإرشاد : « الفسوق »</w:t>
      </w:r>
      <w:r>
        <w:rPr>
          <w:rtl/>
        </w:rPr>
        <w:t>.</w:t>
      </w:r>
    </w:p>
    <w:p w:rsidR="000C39D1" w:rsidRPr="00132E65" w:rsidRDefault="000C39D1" w:rsidP="005D079C">
      <w:pPr>
        <w:pStyle w:val="libFootnote0"/>
        <w:rPr>
          <w:rtl/>
          <w:lang w:bidi="fa-IR"/>
        </w:rPr>
      </w:pPr>
      <w:r>
        <w:rPr>
          <w:rtl/>
        </w:rPr>
        <w:t>(12).</w:t>
      </w:r>
      <w:r w:rsidRPr="00132E65">
        <w:rPr>
          <w:rtl/>
        </w:rPr>
        <w:t xml:space="preserve"> في الإرشاد </w:t>
      </w:r>
      <w:r>
        <w:rPr>
          <w:rtl/>
        </w:rPr>
        <w:t xml:space="preserve">: - </w:t>
      </w:r>
      <w:r w:rsidRPr="00132E65">
        <w:rPr>
          <w:rtl/>
        </w:rPr>
        <w:t>« ماجن »</w:t>
      </w:r>
      <w:r>
        <w:rPr>
          <w:rtl/>
        </w:rPr>
        <w:t>.</w:t>
      </w:r>
      <w:r w:rsidRPr="00132E65">
        <w:rPr>
          <w:rtl/>
        </w:rPr>
        <w:t xml:space="preserve"> </w:t>
      </w:r>
      <w:r>
        <w:rPr>
          <w:rtl/>
        </w:rPr>
        <w:t>و «</w:t>
      </w:r>
      <w:r w:rsidRPr="00132E65">
        <w:rPr>
          <w:rtl/>
        </w:rPr>
        <w:t xml:space="preserve"> الماجن » : من لا يبالي قولاً وفعلاً ، كأنّه صلب الوجه. </w:t>
      </w:r>
      <w:r w:rsidRPr="007B47BB">
        <w:rPr>
          <w:rtl/>
        </w:rPr>
        <w:t>القاموس المحيط</w:t>
      </w:r>
      <w:r w:rsidRPr="00132E65">
        <w:rPr>
          <w:rtl/>
        </w:rPr>
        <w:t xml:space="preserve"> ، ج 2 ، ص 1620 ( مجن )</w:t>
      </w:r>
      <w:r>
        <w:rPr>
          <w:rtl/>
        </w:rPr>
        <w:t>.</w:t>
      </w:r>
      <w:r w:rsidR="005D079C">
        <w:rPr>
          <w:rFonts w:hint="cs"/>
          <w:rtl/>
        </w:rPr>
        <w:t xml:space="preserve">                                    </w:t>
      </w:r>
      <w:r w:rsidR="0006034E">
        <w:rPr>
          <w:rFonts w:hint="cs"/>
          <w:rtl/>
        </w:rPr>
        <w:t xml:space="preserve"> </w:t>
      </w:r>
      <w:r w:rsidR="005D079C">
        <w:rPr>
          <w:rFonts w:hint="cs"/>
          <w:rtl/>
        </w:rPr>
        <w:t xml:space="preserve">         </w:t>
      </w:r>
      <w:r>
        <w:rPr>
          <w:rtl/>
        </w:rPr>
        <w:t>(13)</w:t>
      </w:r>
      <w:r w:rsidRPr="00132E65">
        <w:rPr>
          <w:rtl/>
        </w:rPr>
        <w:t xml:space="preserve"> في شرح المازندراني : « للمخمور »</w:t>
      </w:r>
      <w:r>
        <w:rPr>
          <w:rtl/>
        </w:rPr>
        <w:t>.</w:t>
      </w:r>
    </w:p>
    <w:tbl>
      <w:tblPr>
        <w:tblStyle w:val="TableGrid"/>
        <w:bidiVisual/>
        <w:tblW w:w="0" w:type="auto"/>
        <w:tblLook w:val="04A0" w:firstRow="1" w:lastRow="0" w:firstColumn="1" w:lastColumn="0" w:noHBand="0" w:noVBand="1"/>
      </w:tblPr>
      <w:tblGrid>
        <w:gridCol w:w="4261"/>
        <w:gridCol w:w="4262"/>
      </w:tblGrid>
      <w:tr w:rsidR="005D079C" w:rsidTr="005D079C">
        <w:tc>
          <w:tcPr>
            <w:tcW w:w="4261" w:type="dxa"/>
          </w:tcPr>
          <w:p w:rsidR="005D079C" w:rsidRDefault="005D079C" w:rsidP="000C39D1">
            <w:pPr>
              <w:pStyle w:val="libFootnote0"/>
              <w:rPr>
                <w:rtl/>
              </w:rPr>
            </w:pPr>
            <w:r>
              <w:rPr>
                <w:rtl/>
              </w:rPr>
              <w:t>(14)</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والله »</w:t>
            </w:r>
            <w:r>
              <w:rPr>
                <w:rtl/>
              </w:rPr>
              <w:t>.</w:t>
            </w:r>
          </w:p>
        </w:tc>
        <w:tc>
          <w:tcPr>
            <w:tcW w:w="4262" w:type="dxa"/>
          </w:tcPr>
          <w:p w:rsidR="005D079C" w:rsidRDefault="005D079C" w:rsidP="000C39D1">
            <w:pPr>
              <w:pStyle w:val="libFootnote0"/>
              <w:rPr>
                <w:rtl/>
              </w:rPr>
            </w:pPr>
            <w:r>
              <w:rPr>
                <w:rtl/>
              </w:rPr>
              <w:t>(15)</w:t>
            </w:r>
            <w:r w:rsidRPr="00132E65">
              <w:rPr>
                <w:rtl/>
              </w:rPr>
              <w:t xml:space="preserve"> في « بف » : « ا</w:t>
            </w:r>
            <w:r>
              <w:rPr>
                <w:rFonts w:hint="cs"/>
                <w:rtl/>
              </w:rPr>
              <w:t>ُ</w:t>
            </w:r>
            <w:r w:rsidRPr="00132E65">
              <w:rPr>
                <w:rtl/>
              </w:rPr>
              <w:t>ورد »</w:t>
            </w:r>
            <w:r>
              <w:rPr>
                <w:rtl/>
              </w:rPr>
              <w:t>.</w:t>
            </w:r>
          </w:p>
        </w:tc>
      </w:tr>
      <w:tr w:rsidR="005D079C" w:rsidTr="005D079C">
        <w:tc>
          <w:tcPr>
            <w:tcW w:w="4261" w:type="dxa"/>
          </w:tcPr>
          <w:p w:rsidR="005D079C" w:rsidRDefault="005D079C" w:rsidP="000C39D1">
            <w:pPr>
              <w:pStyle w:val="libFootnote0"/>
              <w:rPr>
                <w:rtl/>
              </w:rPr>
            </w:pPr>
            <w:r>
              <w:rPr>
                <w:rtl/>
              </w:rPr>
              <w:t>(16)</w:t>
            </w:r>
            <w:r w:rsidRPr="00132E65">
              <w:rPr>
                <w:rtl/>
              </w:rPr>
              <w:t xml:space="preserve"> « ما » فاعل « ورد »</w:t>
            </w:r>
            <w:r>
              <w:rPr>
                <w:rtl/>
              </w:rPr>
              <w:t>.</w:t>
            </w:r>
          </w:p>
        </w:tc>
        <w:tc>
          <w:tcPr>
            <w:tcW w:w="4262" w:type="dxa"/>
          </w:tcPr>
          <w:p w:rsidR="005D079C" w:rsidRDefault="005D079C" w:rsidP="000C39D1">
            <w:pPr>
              <w:pStyle w:val="libFootnote0"/>
              <w:rPr>
                <w:rtl/>
              </w:rPr>
            </w:pPr>
            <w:r>
              <w:rPr>
                <w:rtl/>
              </w:rPr>
              <w:t>(17)</w:t>
            </w:r>
            <w:r w:rsidRPr="00132E65">
              <w:rPr>
                <w:rtl/>
              </w:rPr>
              <w:t xml:space="preserve"> في الإرشاد </w:t>
            </w:r>
            <w:r>
              <w:rPr>
                <w:rtl/>
              </w:rPr>
              <w:t xml:space="preserve">: - </w:t>
            </w:r>
            <w:r w:rsidRPr="00132E65">
              <w:rPr>
                <w:rtl/>
              </w:rPr>
              <w:t>« فبادر »</w:t>
            </w:r>
            <w:r>
              <w:rPr>
                <w:rtl/>
              </w:rPr>
              <w:t>.</w:t>
            </w:r>
          </w:p>
        </w:tc>
      </w:tr>
      <w:tr w:rsidR="005D079C" w:rsidTr="005D079C">
        <w:tc>
          <w:tcPr>
            <w:tcW w:w="4261" w:type="dxa"/>
          </w:tcPr>
          <w:p w:rsidR="005D079C" w:rsidRDefault="005D079C" w:rsidP="000C39D1">
            <w:pPr>
              <w:pStyle w:val="libFootnote0"/>
              <w:rPr>
                <w:rtl/>
              </w:rPr>
            </w:pPr>
            <w:r>
              <w:rPr>
                <w:rtl/>
              </w:rPr>
              <w:t>(18)</w:t>
            </w:r>
            <w:r w:rsidRPr="00132E65">
              <w:rPr>
                <w:rtl/>
              </w:rPr>
              <w:t xml:space="preserve"> في حاشية « ب ، ف » :</w:t>
            </w:r>
            <w:r>
              <w:rPr>
                <w:rtl/>
              </w:rPr>
              <w:t xml:space="preserve"> + </w:t>
            </w:r>
            <w:r w:rsidRPr="00132E65">
              <w:rPr>
                <w:rtl/>
              </w:rPr>
              <w:t>« نفر »</w:t>
            </w:r>
            <w:r>
              <w:rPr>
                <w:rtl/>
              </w:rPr>
              <w:t>.</w:t>
            </w:r>
          </w:p>
        </w:tc>
        <w:tc>
          <w:tcPr>
            <w:tcW w:w="4262" w:type="dxa"/>
          </w:tcPr>
          <w:p w:rsidR="005D079C" w:rsidRDefault="005D079C" w:rsidP="000C39D1">
            <w:pPr>
              <w:pStyle w:val="libFootnote0"/>
              <w:rPr>
                <w:rtl/>
              </w:rPr>
            </w:pPr>
            <w:r>
              <w:rPr>
                <w:rtl/>
              </w:rPr>
              <w:t>(19)</w:t>
            </w:r>
            <w:r w:rsidRPr="00132E65">
              <w:rPr>
                <w:rtl/>
              </w:rPr>
              <w:t xml:space="preserve"> في </w:t>
            </w:r>
            <w:r w:rsidRPr="009D1ACE">
              <w:rPr>
                <w:rStyle w:val="libFootnoteBoldChar"/>
                <w:rtl/>
              </w:rPr>
              <w:t>الوافي</w:t>
            </w:r>
            <w:r w:rsidRPr="00132E65">
              <w:rPr>
                <w:rtl/>
              </w:rPr>
              <w:t xml:space="preserve"> : « كان شقيّاً من الأشقياء »</w:t>
            </w:r>
            <w:r>
              <w:rPr>
                <w:rtl/>
              </w:rPr>
              <w:t>.</w:t>
            </w:r>
          </w:p>
        </w:tc>
      </w:tr>
    </w:tbl>
    <w:p w:rsidR="000C39D1" w:rsidRPr="00132E65" w:rsidRDefault="000C39D1" w:rsidP="000C39D1">
      <w:pPr>
        <w:pStyle w:val="libFootnote0"/>
        <w:rPr>
          <w:rtl/>
          <w:lang w:bidi="fa-IR"/>
        </w:rPr>
      </w:pPr>
      <w:r>
        <w:rPr>
          <w:rtl/>
        </w:rPr>
        <w:t>(20)</w:t>
      </w:r>
      <w:r w:rsidRPr="00132E65">
        <w:rPr>
          <w:rtl/>
        </w:rPr>
        <w:t xml:space="preserve"> في الإرشاد : « وأمرهم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الْمُتَطَبِّبِينَ </w:t>
      </w:r>
      <w:r>
        <w:rPr>
          <w:rStyle w:val="libFootnotenumChar"/>
          <w:rtl/>
        </w:rPr>
        <w:t>(1)</w:t>
      </w:r>
      <w:r w:rsidRPr="00132E65">
        <w:rPr>
          <w:rtl/>
          <w:lang w:bidi="fa-IR"/>
        </w:rPr>
        <w:t xml:space="preserve"> ، فَأَمَرَهُمْ بِالِاخْتِلَافِ إِلَيْهِ </w:t>
      </w:r>
      <w:r>
        <w:rPr>
          <w:rStyle w:val="libFootnotenumChar"/>
          <w:rtl/>
        </w:rPr>
        <w:t>(2)</w:t>
      </w:r>
      <w:r w:rsidRPr="00132E65">
        <w:rPr>
          <w:rtl/>
          <w:lang w:bidi="fa-IR"/>
        </w:rPr>
        <w:t xml:space="preserve"> و</w:t>
      </w:r>
      <w:r w:rsidR="006D05D3">
        <w:rPr>
          <w:rFonts w:hint="cs"/>
          <w:rtl/>
          <w:lang w:bidi="fa-IR"/>
        </w:rPr>
        <w:t xml:space="preserve">َ </w:t>
      </w:r>
      <w:r w:rsidRPr="00132E65">
        <w:rPr>
          <w:rtl/>
          <w:lang w:bidi="fa-IR"/>
        </w:rPr>
        <w:t xml:space="preserve">تَعَاهُدِهِ </w:t>
      </w:r>
      <w:r>
        <w:rPr>
          <w:rStyle w:val="libFootnotenumChar"/>
          <w:rtl/>
        </w:rPr>
        <w:t>(3)</w:t>
      </w:r>
      <w:r w:rsidRPr="00132E65">
        <w:rPr>
          <w:rtl/>
          <w:lang w:bidi="fa-IR"/>
        </w:rPr>
        <w:t xml:space="preserve"> صَبَاحاً و</w:t>
      </w:r>
      <w:r w:rsidR="006D05D3">
        <w:rPr>
          <w:rFonts w:hint="cs"/>
          <w:rtl/>
          <w:lang w:bidi="fa-IR"/>
        </w:rPr>
        <w:t xml:space="preserve">َ </w:t>
      </w:r>
      <w:r w:rsidRPr="00132E65">
        <w:rPr>
          <w:rtl/>
          <w:lang w:bidi="fa-IR"/>
        </w:rPr>
        <w:t>مَسَاءً.</w:t>
      </w:r>
    </w:p>
    <w:p w:rsidR="000C39D1" w:rsidRPr="00132E65" w:rsidRDefault="000C39D1" w:rsidP="000C39D1">
      <w:pPr>
        <w:pStyle w:val="libNormal"/>
        <w:rPr>
          <w:rtl/>
          <w:lang w:bidi="fa-IR"/>
        </w:rPr>
      </w:pPr>
      <w:r w:rsidRPr="00132E65">
        <w:rPr>
          <w:rtl/>
          <w:lang w:bidi="fa-IR"/>
        </w:rPr>
        <w:t>فَلَمَّا كَانَ بَعْدَ ذلِكَ بِيَوْمَيْنِ أَوْ ثَلَاثَةٍ ، أُخْبِرَ أَنَّهُ قَدْ ضَعُفَ ، فَأَمَرَ الْمُتَطَبِّبِينَ بِلُزُومِ دَارِهِ ، و</w:t>
      </w:r>
      <w:r w:rsidR="006D05D3">
        <w:rPr>
          <w:rFonts w:hint="cs"/>
          <w:rtl/>
          <w:lang w:bidi="fa-IR"/>
        </w:rPr>
        <w:t>َ</w:t>
      </w:r>
      <w:r w:rsidRPr="00132E65">
        <w:rPr>
          <w:rtl/>
          <w:lang w:bidi="fa-IR"/>
        </w:rPr>
        <w:t>بَعَثَ إِلى قَاضِي الْقُضَاةِ ، فَأَحْضَرَهُ مَجْلِسَهُ ، و</w:t>
      </w:r>
      <w:r w:rsidR="006D05D3">
        <w:rPr>
          <w:rFonts w:hint="cs"/>
          <w:rtl/>
          <w:lang w:bidi="fa-IR"/>
        </w:rPr>
        <w:t xml:space="preserve">َ </w:t>
      </w:r>
      <w:r w:rsidRPr="00132E65">
        <w:rPr>
          <w:rtl/>
          <w:lang w:bidi="fa-IR"/>
        </w:rPr>
        <w:t xml:space="preserve">أَمَرَهُ أَنْ يَخْتَارَ مِنْ أَصْحَابِهِ </w:t>
      </w:r>
      <w:r>
        <w:rPr>
          <w:rStyle w:val="libFootnotenumChar"/>
          <w:rtl/>
        </w:rPr>
        <w:t>(4)</w:t>
      </w:r>
      <w:r w:rsidRPr="00132E65">
        <w:rPr>
          <w:rtl/>
          <w:lang w:bidi="fa-IR"/>
        </w:rPr>
        <w:t xml:space="preserve"> عَشَرَةً مِمَّنْ يُوثَقُ بِهِ </w:t>
      </w:r>
      <w:r>
        <w:rPr>
          <w:rStyle w:val="libFootnotenumChar"/>
          <w:rtl/>
        </w:rPr>
        <w:t>(5)</w:t>
      </w:r>
      <w:r w:rsidRPr="00132E65">
        <w:rPr>
          <w:rtl/>
          <w:lang w:bidi="fa-IR"/>
        </w:rPr>
        <w:t xml:space="preserve"> فِي دِينِهِ و</w:t>
      </w:r>
      <w:r w:rsidR="006D05D3">
        <w:rPr>
          <w:rFonts w:hint="cs"/>
          <w:rtl/>
          <w:lang w:bidi="fa-IR"/>
        </w:rPr>
        <w:t>َ</w:t>
      </w:r>
      <w:r w:rsidR="006D05D3">
        <w:rPr>
          <w:rtl/>
          <w:lang w:bidi="fa-IR"/>
        </w:rPr>
        <w:t>أَمَانَتِهِ و</w:t>
      </w:r>
      <w:r w:rsidR="006D05D3">
        <w:rPr>
          <w:rFonts w:hint="cs"/>
          <w:rtl/>
          <w:lang w:bidi="fa-IR"/>
        </w:rPr>
        <w:t xml:space="preserve">َ </w:t>
      </w:r>
      <w:r w:rsidR="006D05D3">
        <w:rPr>
          <w:rtl/>
          <w:lang w:bidi="fa-IR"/>
        </w:rPr>
        <w:t>و</w:t>
      </w:r>
      <w:r w:rsidR="006D05D3">
        <w:rPr>
          <w:rFonts w:hint="cs"/>
          <w:rtl/>
          <w:lang w:bidi="fa-IR"/>
        </w:rPr>
        <w:t>َ</w:t>
      </w:r>
      <w:r w:rsidRPr="00132E65">
        <w:rPr>
          <w:rtl/>
          <w:lang w:bidi="fa-IR"/>
        </w:rPr>
        <w:t xml:space="preserve">رَعِهِ </w:t>
      </w:r>
      <w:r>
        <w:rPr>
          <w:rStyle w:val="libFootnotenumChar"/>
          <w:rtl/>
        </w:rPr>
        <w:t>(6)</w:t>
      </w:r>
      <w:r w:rsidRPr="00132E65">
        <w:rPr>
          <w:rtl/>
          <w:lang w:bidi="fa-IR"/>
        </w:rPr>
        <w:t xml:space="preserve"> ، فَأَحْضَرَهُمْ </w:t>
      </w:r>
      <w:r>
        <w:rPr>
          <w:rStyle w:val="libFootnotenumChar"/>
          <w:rtl/>
        </w:rPr>
        <w:t>(7)</w:t>
      </w:r>
      <w:r w:rsidRPr="00132E65">
        <w:rPr>
          <w:rtl/>
          <w:lang w:bidi="fa-IR"/>
        </w:rPr>
        <w:t xml:space="preserve"> ، فَبَعَثَ بِهِمْ </w:t>
      </w:r>
      <w:r>
        <w:rPr>
          <w:rStyle w:val="libFootnotenumChar"/>
          <w:rtl/>
        </w:rPr>
        <w:t>(8)</w:t>
      </w:r>
      <w:r w:rsidRPr="00132E65">
        <w:rPr>
          <w:rtl/>
          <w:lang w:bidi="fa-IR"/>
        </w:rPr>
        <w:t xml:space="preserve"> إِلى دَارِ الْحَسَنِ ، وَأَمَرَهُمْ بِلُزُومِهِ لَيْلاً ونَهَاراً ، فَلَمْ يَزَالُوا هُنَاكَ حَتّى تُوُفِّيَ </w:t>
      </w:r>
      <w:r w:rsidRPr="00071CF9">
        <w:rPr>
          <w:rStyle w:val="libAlaemChar"/>
          <w:rtl/>
        </w:rPr>
        <w:t>عليه‌السلام</w:t>
      </w:r>
      <w:r w:rsidRPr="00132E65">
        <w:rPr>
          <w:rtl/>
          <w:lang w:bidi="fa-IR"/>
        </w:rPr>
        <w:t xml:space="preserve"> </w:t>
      </w:r>
      <w:r>
        <w:rPr>
          <w:rStyle w:val="libFootnotenumChar"/>
          <w:rtl/>
        </w:rPr>
        <w:t>(9)</w:t>
      </w:r>
      <w:r w:rsidRPr="00132E65">
        <w:rPr>
          <w:rtl/>
          <w:lang w:bidi="fa-IR"/>
        </w:rPr>
        <w:t xml:space="preserve"> ، فَصَارَتْ </w:t>
      </w:r>
      <w:r>
        <w:rPr>
          <w:rStyle w:val="libFootnotenumChar"/>
          <w:rtl/>
        </w:rPr>
        <w:t>(10)</w:t>
      </w:r>
      <w:r w:rsidRPr="00132E65">
        <w:rPr>
          <w:rtl/>
          <w:lang w:bidi="fa-IR"/>
        </w:rPr>
        <w:t xml:space="preserve"> سُرَّ مَنْ رَأى ضَجَّةً </w:t>
      </w:r>
      <w:r>
        <w:rPr>
          <w:rStyle w:val="libFootnotenumChar"/>
          <w:rtl/>
        </w:rPr>
        <w:t>(11)</w:t>
      </w:r>
      <w:r w:rsidRPr="00132E65">
        <w:rPr>
          <w:rtl/>
          <w:lang w:bidi="fa-IR"/>
        </w:rPr>
        <w:t xml:space="preserve"> و</w:t>
      </w:r>
      <w:r w:rsidR="00FE0006">
        <w:rPr>
          <w:rFonts w:hint="cs"/>
          <w:rtl/>
          <w:lang w:bidi="fa-IR"/>
        </w:rPr>
        <w:t>َ</w:t>
      </w:r>
      <w:r w:rsidRPr="00132E65">
        <w:rPr>
          <w:rtl/>
          <w:lang w:bidi="fa-IR"/>
        </w:rPr>
        <w:t>احِدَةً ، و</w:t>
      </w:r>
      <w:r w:rsidR="00FE0006">
        <w:rPr>
          <w:rFonts w:hint="cs"/>
          <w:rtl/>
          <w:lang w:bidi="fa-IR"/>
        </w:rPr>
        <w:t>َ</w:t>
      </w:r>
      <w:r w:rsidRPr="00132E65">
        <w:rPr>
          <w:rtl/>
          <w:lang w:bidi="fa-IR"/>
        </w:rPr>
        <w:t>بَعَثَ السُّلْطَانُ إِلى دَارِهِ مَنْ فَتَّشَهَا ، و</w:t>
      </w:r>
      <w:r w:rsidR="008F1A9B">
        <w:rPr>
          <w:rFonts w:hint="cs"/>
          <w:rtl/>
          <w:lang w:bidi="fa-IR"/>
        </w:rPr>
        <w:t>َ</w:t>
      </w:r>
      <w:r w:rsidRPr="00132E65">
        <w:rPr>
          <w:rtl/>
          <w:lang w:bidi="fa-IR"/>
        </w:rPr>
        <w:t>فَتَّشَ حُجَرَهَا ، و</w:t>
      </w:r>
      <w:r w:rsidR="008F1A9B">
        <w:rPr>
          <w:rFonts w:hint="cs"/>
          <w:rtl/>
          <w:lang w:bidi="fa-IR"/>
        </w:rPr>
        <w:t>َ</w:t>
      </w:r>
      <w:r w:rsidRPr="00132E65">
        <w:rPr>
          <w:rtl/>
          <w:lang w:bidi="fa-IR"/>
        </w:rPr>
        <w:t>خَتَمَ عَلى جَمِيعِ مَا فِيهَا ، و</w:t>
      </w:r>
      <w:r w:rsidR="008F1A9B">
        <w:rPr>
          <w:rFonts w:hint="cs"/>
          <w:rtl/>
          <w:lang w:bidi="fa-IR"/>
        </w:rPr>
        <w:t>َ</w:t>
      </w:r>
      <w:r w:rsidRPr="00132E65">
        <w:rPr>
          <w:rtl/>
          <w:lang w:bidi="fa-IR"/>
        </w:rPr>
        <w:t xml:space="preserve">طَلَبُوا أَثَرَ </w:t>
      </w:r>
      <w:r>
        <w:rPr>
          <w:rStyle w:val="libFootnotenumChar"/>
          <w:rtl/>
        </w:rPr>
        <w:t>(12)</w:t>
      </w:r>
      <w:r w:rsidRPr="00132E65">
        <w:rPr>
          <w:rtl/>
          <w:lang w:bidi="fa-IR"/>
        </w:rPr>
        <w:t xml:space="preserve"> و</w:t>
      </w:r>
      <w:r w:rsidR="008F1A9B">
        <w:rPr>
          <w:rFonts w:hint="cs"/>
          <w:rtl/>
          <w:lang w:bidi="fa-IR"/>
        </w:rPr>
        <w:t>َ</w:t>
      </w:r>
      <w:r w:rsidRPr="00132E65">
        <w:rPr>
          <w:rtl/>
          <w:lang w:bidi="fa-IR"/>
        </w:rPr>
        <w:t>لَدِهِ ، و</w:t>
      </w:r>
      <w:r w:rsidR="008F1A9B">
        <w:rPr>
          <w:rFonts w:hint="cs"/>
          <w:rtl/>
          <w:lang w:bidi="fa-IR"/>
        </w:rPr>
        <w:t xml:space="preserve">َ </w:t>
      </w:r>
      <w:r w:rsidRPr="00132E65">
        <w:rPr>
          <w:rtl/>
          <w:lang w:bidi="fa-IR"/>
        </w:rPr>
        <w:t xml:space="preserve">جَاؤُوا بِنِسَاءٍ يَعْرِفْنَ الْحَمْلَ ، فَدَخَلْنَ إِلى </w:t>
      </w:r>
      <w:r w:rsidRPr="00F543F1">
        <w:rPr>
          <w:rStyle w:val="libFootnotenumChar"/>
          <w:rtl/>
        </w:rPr>
        <w:t>(13)</w:t>
      </w:r>
      <w:r w:rsidRPr="00132E65">
        <w:rPr>
          <w:rtl/>
          <w:lang w:bidi="fa-IR"/>
        </w:rPr>
        <w:t xml:space="preserve"> جَوَارِيهِ يَنْظُرْنَ إِلَيْهِنَّ ، فَذَكَرَ </w:t>
      </w:r>
      <w:r w:rsidRPr="00F543F1">
        <w:rPr>
          <w:rStyle w:val="libFootnotenumChar"/>
          <w:rtl/>
        </w:rPr>
        <w:t>(14)</w:t>
      </w:r>
      <w:r w:rsidRPr="00132E65">
        <w:rPr>
          <w:rtl/>
          <w:lang w:bidi="fa-IR"/>
        </w:rPr>
        <w:t xml:space="preserve"> بَعْضُهُنَّ أَنَّ هُنَاكَ جَارِيَةً بِهَا حَمْلٌ </w:t>
      </w:r>
      <w:r w:rsidRPr="00F543F1">
        <w:rPr>
          <w:rStyle w:val="libFootnotenumChar"/>
          <w:rtl/>
        </w:rPr>
        <w:t>(15)</w:t>
      </w:r>
      <w:r w:rsidRPr="00132E65">
        <w:rPr>
          <w:rtl/>
          <w:lang w:bidi="fa-IR"/>
        </w:rPr>
        <w:t xml:space="preserve"> </w:t>
      </w:r>
      <w:r w:rsidR="008F1A9B">
        <w:rPr>
          <w:rtl/>
          <w:lang w:bidi="fa-IR"/>
        </w:rPr>
        <w:t>، فَجُعِلَتْ فِي حُجْرَةٍ ، و</w:t>
      </w:r>
      <w:r w:rsidR="008F1A9B">
        <w:rPr>
          <w:rFonts w:hint="cs"/>
          <w:rtl/>
          <w:lang w:bidi="fa-IR"/>
        </w:rPr>
        <w:t xml:space="preserve">َ </w:t>
      </w:r>
      <w:r w:rsidR="008F1A9B">
        <w:rPr>
          <w:rtl/>
          <w:lang w:bidi="fa-IR"/>
        </w:rPr>
        <w:t>و</w:t>
      </w:r>
      <w:r w:rsidR="008F1A9B">
        <w:rPr>
          <w:rFonts w:hint="cs"/>
          <w:rtl/>
          <w:lang w:bidi="fa-IR"/>
        </w:rPr>
        <w:t>ُ</w:t>
      </w:r>
      <w:r w:rsidRPr="00132E65">
        <w:rPr>
          <w:rtl/>
          <w:lang w:bidi="fa-IR"/>
        </w:rPr>
        <w:t>كِّلَ بِهَا نِحْرِيرٌ الْخَادِمُ و</w:t>
      </w:r>
      <w:r w:rsidR="008F1A9B">
        <w:rPr>
          <w:rFonts w:hint="cs"/>
          <w:rtl/>
          <w:lang w:bidi="fa-IR"/>
        </w:rPr>
        <w:t>َ</w:t>
      </w:r>
      <w:r w:rsidRPr="00132E65">
        <w:rPr>
          <w:rtl/>
          <w:lang w:bidi="fa-IR"/>
        </w:rPr>
        <w:t>أَصْحَابُهُ و</w:t>
      </w:r>
      <w:r w:rsidR="008F1A9B">
        <w:rPr>
          <w:rFonts w:hint="cs"/>
          <w:rtl/>
          <w:lang w:bidi="fa-IR"/>
        </w:rPr>
        <w:t>َ</w:t>
      </w:r>
      <w:r w:rsidRPr="00132E65">
        <w:rPr>
          <w:rtl/>
          <w:lang w:bidi="fa-IR"/>
        </w:rPr>
        <w:t>نِسْوَةٌ مَعَهُمْ.</w:t>
      </w:r>
    </w:p>
    <w:p w:rsidR="000C39D1" w:rsidRPr="00132E65" w:rsidRDefault="000C39D1" w:rsidP="000C39D1">
      <w:pPr>
        <w:pStyle w:val="libNormal"/>
        <w:rPr>
          <w:rtl/>
          <w:lang w:bidi="fa-IR"/>
        </w:rPr>
      </w:pPr>
      <w:r w:rsidRPr="00132E65">
        <w:rPr>
          <w:rtl/>
          <w:lang w:bidi="fa-IR"/>
        </w:rPr>
        <w:t xml:space="preserve">ثُمَّ أَخَذُوا بَعْدَ ذلِكَ فِي تَهْيِئَتِهِ </w:t>
      </w:r>
      <w:r w:rsidRPr="00F543F1">
        <w:rPr>
          <w:rStyle w:val="libFootnotenumChar"/>
          <w:rtl/>
        </w:rPr>
        <w:t>(16)</w:t>
      </w:r>
      <w:r w:rsidRPr="00132E65">
        <w:rPr>
          <w:rtl/>
          <w:lang w:bidi="fa-IR"/>
        </w:rPr>
        <w:t xml:space="preserve"> ، و</w:t>
      </w:r>
      <w:r w:rsidR="008F1A9B">
        <w:rPr>
          <w:rFonts w:hint="cs"/>
          <w:rtl/>
          <w:lang w:bidi="fa-IR"/>
        </w:rPr>
        <w:t>َ</w:t>
      </w:r>
      <w:r w:rsidRPr="00132E65">
        <w:rPr>
          <w:rtl/>
          <w:lang w:bidi="fa-IR"/>
        </w:rPr>
        <w:t>عُطِّلَتِ الْأَسْوَاقُ ، و</w:t>
      </w:r>
      <w:r w:rsidR="008F1A9B">
        <w:rPr>
          <w:rFonts w:hint="cs"/>
          <w:rtl/>
          <w:lang w:bidi="fa-IR"/>
        </w:rPr>
        <w:t xml:space="preserve">َ </w:t>
      </w:r>
      <w:r w:rsidRPr="00132E65">
        <w:rPr>
          <w:rtl/>
          <w:lang w:bidi="fa-IR"/>
        </w:rPr>
        <w:t xml:space="preserve">رَكِبَتْ </w:t>
      </w:r>
      <w:r w:rsidRPr="00F543F1">
        <w:rPr>
          <w:rStyle w:val="libFootnotenumChar"/>
          <w:rtl/>
        </w:rPr>
        <w:t>(17)</w:t>
      </w:r>
      <w:r w:rsidRPr="00132E65">
        <w:rPr>
          <w:rtl/>
          <w:lang w:bidi="fa-IR"/>
        </w:rPr>
        <w:t xml:space="preserve"> بَنُو هَاشِمٍ و</w:t>
      </w:r>
      <w:r w:rsidR="008F1A9B">
        <w:rPr>
          <w:rFonts w:hint="cs"/>
          <w:rtl/>
          <w:lang w:bidi="fa-IR"/>
        </w:rPr>
        <w:t xml:space="preserve">َ </w:t>
      </w:r>
      <w:r w:rsidRPr="00132E65">
        <w:rPr>
          <w:rtl/>
          <w:lang w:bidi="fa-IR"/>
        </w:rPr>
        <w:t>الْقُوَّادُ‌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w:t>
      </w:r>
      <w:r w:rsidR="00BB1BF7">
        <w:rPr>
          <w:rFonts w:hint="cs"/>
          <w:rtl/>
        </w:rPr>
        <w:t>ـ</w:t>
      </w:r>
      <w:r w:rsidRPr="00132E65">
        <w:rPr>
          <w:rtl/>
        </w:rPr>
        <w:t>مُتَطَبِّبُ » : هو الذي يعاني الطبَّ</w:t>
      </w:r>
      <w:r>
        <w:rPr>
          <w:rtl/>
        </w:rPr>
        <w:t xml:space="preserve"> - </w:t>
      </w:r>
      <w:r w:rsidRPr="00132E65">
        <w:rPr>
          <w:rtl/>
        </w:rPr>
        <w:t>أي يلابسه ويباشره</w:t>
      </w:r>
      <w:r>
        <w:rPr>
          <w:rtl/>
        </w:rPr>
        <w:t xml:space="preserve"> - </w:t>
      </w:r>
      <w:r w:rsidRPr="00132E65">
        <w:rPr>
          <w:rtl/>
        </w:rPr>
        <w:t xml:space="preserve">ولا يعرفه معرفة جيّدة. </w:t>
      </w:r>
      <w:r w:rsidRPr="007B47BB">
        <w:rPr>
          <w:rtl/>
        </w:rPr>
        <w:t>النهاية</w:t>
      </w:r>
      <w:r w:rsidRPr="00132E65">
        <w:rPr>
          <w:rtl/>
        </w:rPr>
        <w:t xml:space="preserve"> ، ج 3 ، ص 110 ( طبب )</w:t>
      </w:r>
      <w:r>
        <w:rPr>
          <w:rtl/>
        </w:rPr>
        <w:t>.</w:t>
      </w:r>
    </w:p>
    <w:p w:rsidR="000C39D1" w:rsidRPr="00132E65" w:rsidRDefault="000C39D1" w:rsidP="000C39D1">
      <w:pPr>
        <w:pStyle w:val="libFootnote0"/>
        <w:rPr>
          <w:rtl/>
          <w:lang w:bidi="fa-IR"/>
        </w:rPr>
      </w:pPr>
      <w:r>
        <w:rPr>
          <w:rtl/>
        </w:rPr>
        <w:t>(2).</w:t>
      </w:r>
      <w:r w:rsidRPr="00132E65">
        <w:rPr>
          <w:rtl/>
        </w:rPr>
        <w:t xml:space="preserve"> « الاختلاف » : التردّد. يقال : اختلف إلى المكان ، أي تردّد ، أي جاء مرّة بعد ا</w:t>
      </w:r>
      <w:r w:rsidR="00BB1BF7">
        <w:rPr>
          <w:rFonts w:hint="cs"/>
          <w:rtl/>
        </w:rPr>
        <w:t>ُ</w:t>
      </w:r>
      <w:r w:rsidRPr="00132E65">
        <w:rPr>
          <w:rtl/>
        </w:rPr>
        <w:t xml:space="preserve">خرى. راجع : </w:t>
      </w:r>
      <w:r w:rsidRPr="007B47BB">
        <w:rPr>
          <w:rtl/>
        </w:rPr>
        <w:t>القاموس المحيط</w:t>
      </w:r>
      <w:r w:rsidRPr="00132E65">
        <w:rPr>
          <w:rtl/>
        </w:rPr>
        <w:t xml:space="preserve"> ، ج 2 ، ص 1076 ( خلف )</w:t>
      </w:r>
      <w:r>
        <w:rPr>
          <w:rtl/>
        </w:rPr>
        <w:t>.</w:t>
      </w:r>
    </w:p>
    <w:p w:rsidR="000C39D1" w:rsidRPr="00132E65" w:rsidRDefault="000C39D1" w:rsidP="000C39D1">
      <w:pPr>
        <w:pStyle w:val="libFootnote0"/>
        <w:rPr>
          <w:rtl/>
          <w:lang w:bidi="fa-IR"/>
        </w:rPr>
      </w:pPr>
      <w:r>
        <w:rPr>
          <w:rtl/>
        </w:rPr>
        <w:t>(3).</w:t>
      </w:r>
      <w:r w:rsidRPr="00132E65">
        <w:rPr>
          <w:rtl/>
        </w:rPr>
        <w:t xml:space="preserve"> في الإرشاد : « تعهّده »</w:t>
      </w:r>
      <w:r>
        <w:rPr>
          <w:rtl/>
        </w:rPr>
        <w:t>.</w:t>
      </w:r>
      <w:r w:rsidRPr="00132E65">
        <w:rPr>
          <w:rtl/>
        </w:rPr>
        <w:t xml:space="preserve"> وقال الجوهري : « التعهّد : التحفّظ بالشي‌ء وتجديد العهد به. وتعهّدتُ فلاناً وتعهّدتُ ضيعتي ، وهو أفصح من قولك : تعاهدتُه ؛ لأنّ التعاهد إنّما يكون بين اثنين »</w:t>
      </w:r>
      <w:r>
        <w:rPr>
          <w:rtl/>
        </w:rPr>
        <w:t>.</w:t>
      </w:r>
      <w:r w:rsidRPr="00132E65">
        <w:rPr>
          <w:rtl/>
        </w:rPr>
        <w:t xml:space="preserve"> </w:t>
      </w:r>
      <w:r w:rsidRPr="007B47BB">
        <w:rPr>
          <w:rtl/>
        </w:rPr>
        <w:t>الصحاح</w:t>
      </w:r>
      <w:r w:rsidRPr="00132E65">
        <w:rPr>
          <w:rtl/>
        </w:rPr>
        <w:t xml:space="preserve"> ، ج 2 ، ص 516 ( عهد )</w:t>
      </w:r>
      <w:r>
        <w:rPr>
          <w:rtl/>
        </w:rPr>
        <w:t>.</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من أصحابه »</w:t>
      </w:r>
      <w:r>
        <w:rPr>
          <w:rtl/>
        </w:rPr>
        <w:t>.</w:t>
      </w:r>
    </w:p>
    <w:tbl>
      <w:tblPr>
        <w:tblStyle w:val="TableGrid"/>
        <w:bidiVisual/>
        <w:tblW w:w="0" w:type="auto"/>
        <w:tblLook w:val="04A0" w:firstRow="1" w:lastRow="0" w:firstColumn="1" w:lastColumn="0" w:noHBand="0" w:noVBand="1"/>
      </w:tblPr>
      <w:tblGrid>
        <w:gridCol w:w="4261"/>
        <w:gridCol w:w="4262"/>
      </w:tblGrid>
      <w:tr w:rsidR="00BB1BF7" w:rsidTr="00BB1BF7">
        <w:tc>
          <w:tcPr>
            <w:tcW w:w="4261" w:type="dxa"/>
          </w:tcPr>
          <w:p w:rsidR="00BB1BF7" w:rsidRDefault="00BB1BF7" w:rsidP="000C39D1">
            <w:pPr>
              <w:pStyle w:val="libFootnote0"/>
              <w:rPr>
                <w:rtl/>
              </w:rPr>
            </w:pPr>
            <w:r>
              <w:rPr>
                <w:rtl/>
              </w:rPr>
              <w:t>(5).</w:t>
            </w:r>
            <w:r w:rsidRPr="00132E65">
              <w:rPr>
                <w:rtl/>
              </w:rPr>
              <w:t xml:space="preserve"> في « بح » </w:t>
            </w:r>
            <w:r>
              <w:rPr>
                <w:rtl/>
              </w:rPr>
              <w:t xml:space="preserve">: - </w:t>
            </w:r>
            <w:r w:rsidRPr="00132E65">
              <w:rPr>
                <w:rtl/>
              </w:rPr>
              <w:t>« به »</w:t>
            </w:r>
            <w:r>
              <w:rPr>
                <w:rtl/>
              </w:rPr>
              <w:t>.</w:t>
            </w:r>
          </w:p>
        </w:tc>
        <w:tc>
          <w:tcPr>
            <w:tcW w:w="4262" w:type="dxa"/>
          </w:tcPr>
          <w:p w:rsidR="00BB1BF7" w:rsidRDefault="00BB1BF7" w:rsidP="000C39D1">
            <w:pPr>
              <w:pStyle w:val="libFootnote0"/>
              <w:rPr>
                <w:rtl/>
              </w:rPr>
            </w:pPr>
            <w:r>
              <w:rPr>
                <w:rtl/>
              </w:rPr>
              <w:t>(6).</w:t>
            </w:r>
            <w:r w:rsidRPr="00132E65">
              <w:rPr>
                <w:rtl/>
              </w:rPr>
              <w:t xml:space="preserve"> في الإرشاد : « ورعه وأمانته »</w:t>
            </w:r>
            <w:r>
              <w:rPr>
                <w:rtl/>
              </w:rPr>
              <w:t>.</w:t>
            </w:r>
          </w:p>
        </w:tc>
      </w:tr>
      <w:tr w:rsidR="00BB1BF7" w:rsidTr="00BB1BF7">
        <w:tc>
          <w:tcPr>
            <w:tcW w:w="4261" w:type="dxa"/>
          </w:tcPr>
          <w:p w:rsidR="00BB1BF7" w:rsidRDefault="00BB1BF7" w:rsidP="000C39D1">
            <w:pPr>
              <w:pStyle w:val="libFootnote0"/>
              <w:rPr>
                <w:rtl/>
              </w:rPr>
            </w:pPr>
            <w:r>
              <w:rPr>
                <w:rtl/>
              </w:rPr>
              <w:t>(7).</w:t>
            </w:r>
            <w:r w:rsidRPr="00132E65">
              <w:rPr>
                <w:rtl/>
              </w:rPr>
              <w:t xml:space="preserve"> في « ف » : « فأخبرهم »</w:t>
            </w:r>
            <w:r>
              <w:rPr>
                <w:rtl/>
              </w:rPr>
              <w:t>.</w:t>
            </w:r>
          </w:p>
        </w:tc>
        <w:tc>
          <w:tcPr>
            <w:tcW w:w="4262" w:type="dxa"/>
          </w:tcPr>
          <w:p w:rsidR="00BB1BF7" w:rsidRDefault="00BB1BF7" w:rsidP="000C39D1">
            <w:pPr>
              <w:pStyle w:val="libFootnote0"/>
              <w:rPr>
                <w:rtl/>
              </w:rPr>
            </w:pPr>
            <w:r>
              <w:rPr>
                <w:rtl/>
              </w:rPr>
              <w:t>(8).</w:t>
            </w:r>
            <w:r w:rsidRPr="00132E65">
              <w:rPr>
                <w:rtl/>
              </w:rPr>
              <w:t xml:space="preserve"> في « ف » </w:t>
            </w:r>
            <w:r>
              <w:rPr>
                <w:rtl/>
              </w:rPr>
              <w:t xml:space="preserve">: - </w:t>
            </w:r>
            <w:r w:rsidRPr="00132E65">
              <w:rPr>
                <w:rtl/>
              </w:rPr>
              <w:t>« بهم »</w:t>
            </w:r>
            <w:r>
              <w:rPr>
                <w:rtl/>
              </w:rPr>
              <w:t>.</w:t>
            </w:r>
          </w:p>
        </w:tc>
      </w:tr>
    </w:tbl>
    <w:p w:rsidR="000C39D1" w:rsidRPr="00132E65" w:rsidRDefault="000C39D1" w:rsidP="000C39D1">
      <w:pPr>
        <w:pStyle w:val="libFootnote0"/>
        <w:rPr>
          <w:rtl/>
          <w:lang w:bidi="fa-IR"/>
        </w:rPr>
      </w:pPr>
      <w:r>
        <w:rPr>
          <w:rtl/>
        </w:rPr>
        <w:t>(9).</w:t>
      </w:r>
      <w:r w:rsidRPr="00132E65">
        <w:rPr>
          <w:rtl/>
        </w:rPr>
        <w:t xml:space="preserve"> في « ب ، ف ، بر ، بف » : « رحمة الله عليه ورضوانه »</w:t>
      </w:r>
      <w:r>
        <w:rPr>
          <w:rtl/>
        </w:rPr>
        <w:t>.</w:t>
      </w:r>
      <w:r w:rsidRPr="00132E65">
        <w:rPr>
          <w:rtl/>
        </w:rPr>
        <w:t xml:space="preserve"> وفي « بح » : « </w:t>
      </w:r>
      <w:r w:rsidRPr="00AA2C39">
        <w:rPr>
          <w:rtl/>
        </w:rPr>
        <w:t>رحمه</w:t>
      </w:r>
      <w:r w:rsidR="00AA2C39">
        <w:rPr>
          <w:rFonts w:hint="cs"/>
          <w:rtl/>
        </w:rPr>
        <w:t xml:space="preserve"> </w:t>
      </w:r>
      <w:r w:rsidRPr="00AA2C39">
        <w:rPr>
          <w:rtl/>
        </w:rPr>
        <w:t>‌الله</w:t>
      </w:r>
      <w:r w:rsidRPr="00132E65">
        <w:rPr>
          <w:rtl/>
        </w:rPr>
        <w:t xml:space="preserve"> »</w:t>
      </w:r>
      <w:r>
        <w:rPr>
          <w:rtl/>
        </w:rPr>
        <w:t>.</w:t>
      </w:r>
    </w:p>
    <w:p w:rsidR="000C39D1" w:rsidRPr="00132E65" w:rsidRDefault="000C39D1" w:rsidP="000C39D1">
      <w:pPr>
        <w:pStyle w:val="libFootnote0"/>
        <w:rPr>
          <w:rtl/>
          <w:lang w:bidi="fa-IR"/>
        </w:rPr>
      </w:pPr>
      <w:r>
        <w:rPr>
          <w:rtl/>
        </w:rPr>
        <w:t>(10).</w:t>
      </w:r>
      <w:r w:rsidRPr="00132E65">
        <w:rPr>
          <w:rtl/>
        </w:rPr>
        <w:t xml:space="preserve"> في الإرشاد : « فلمّا ذاع خبر وفاته صارت » بدل « فصارت »</w:t>
      </w:r>
      <w:r>
        <w:rPr>
          <w:rtl/>
        </w:rPr>
        <w:t>.</w:t>
      </w:r>
    </w:p>
    <w:tbl>
      <w:tblPr>
        <w:tblStyle w:val="TableGrid"/>
        <w:bidiVisual/>
        <w:tblW w:w="0" w:type="auto"/>
        <w:tblLook w:val="04A0" w:firstRow="1" w:lastRow="0" w:firstColumn="1" w:lastColumn="0" w:noHBand="0" w:noVBand="1"/>
      </w:tblPr>
      <w:tblGrid>
        <w:gridCol w:w="4261"/>
        <w:gridCol w:w="4262"/>
      </w:tblGrid>
      <w:tr w:rsidR="00AA2C39" w:rsidTr="00AA2C39">
        <w:tc>
          <w:tcPr>
            <w:tcW w:w="4261" w:type="dxa"/>
          </w:tcPr>
          <w:p w:rsidR="00AA2C39" w:rsidRDefault="00AA2C39" w:rsidP="000C39D1">
            <w:pPr>
              <w:pStyle w:val="libFootnote0"/>
              <w:rPr>
                <w:rtl/>
              </w:rPr>
            </w:pPr>
            <w:r>
              <w:rPr>
                <w:rtl/>
              </w:rPr>
              <w:t>(11).</w:t>
            </w:r>
            <w:r w:rsidRPr="00132E65">
              <w:rPr>
                <w:rtl/>
              </w:rPr>
              <w:t xml:space="preserve"> في « ف » : « صيحة »</w:t>
            </w:r>
            <w:r>
              <w:rPr>
                <w:rtl/>
              </w:rPr>
              <w:t>.</w:t>
            </w:r>
          </w:p>
        </w:tc>
        <w:tc>
          <w:tcPr>
            <w:tcW w:w="4262" w:type="dxa"/>
          </w:tcPr>
          <w:p w:rsidR="00AA2C39" w:rsidRDefault="00AA2C39" w:rsidP="000C39D1">
            <w:pPr>
              <w:pStyle w:val="libFootnote0"/>
              <w:rPr>
                <w:rtl/>
              </w:rPr>
            </w:pPr>
            <w:r>
              <w:rPr>
                <w:rtl/>
              </w:rPr>
              <w:t>(12).</w:t>
            </w:r>
            <w:r w:rsidRPr="00132E65">
              <w:rPr>
                <w:rtl/>
              </w:rPr>
              <w:t xml:space="preserve"> في « ج ، بح » : « إثر »</w:t>
            </w:r>
            <w:r>
              <w:rPr>
                <w:rtl/>
              </w:rPr>
              <w:t>.</w:t>
            </w:r>
          </w:p>
        </w:tc>
      </w:tr>
      <w:tr w:rsidR="00AA2C39" w:rsidTr="00AA2C39">
        <w:tc>
          <w:tcPr>
            <w:tcW w:w="4261" w:type="dxa"/>
          </w:tcPr>
          <w:p w:rsidR="00AA2C39" w:rsidRDefault="00AA2C39" w:rsidP="000C39D1">
            <w:pPr>
              <w:pStyle w:val="libFootnote0"/>
              <w:rPr>
                <w:rtl/>
              </w:rPr>
            </w:pPr>
            <w:r>
              <w:rPr>
                <w:rtl/>
              </w:rPr>
              <w:t>(13)</w:t>
            </w:r>
            <w:r w:rsidRPr="00132E65">
              <w:rPr>
                <w:rtl/>
              </w:rPr>
              <w:t xml:space="preserve"> في « ج ، ض ، ف ، بر ، بس ، بف » : « على »</w:t>
            </w:r>
            <w:r>
              <w:rPr>
                <w:rtl/>
              </w:rPr>
              <w:t>.</w:t>
            </w:r>
          </w:p>
        </w:tc>
        <w:tc>
          <w:tcPr>
            <w:tcW w:w="4262" w:type="dxa"/>
          </w:tcPr>
          <w:p w:rsidR="00AA2C39" w:rsidRDefault="00AA2C39" w:rsidP="000C39D1">
            <w:pPr>
              <w:pStyle w:val="libFootnote0"/>
              <w:rPr>
                <w:rtl/>
              </w:rPr>
            </w:pPr>
            <w:r>
              <w:rPr>
                <w:rtl/>
              </w:rPr>
              <w:t>(14)</w:t>
            </w:r>
            <w:r w:rsidRPr="00132E65">
              <w:rPr>
                <w:rtl/>
              </w:rPr>
              <w:t xml:space="preserve"> في « ف » : « فذكرت »</w:t>
            </w:r>
            <w:r>
              <w:rPr>
                <w:rtl/>
              </w:rPr>
              <w:t>.</w:t>
            </w:r>
          </w:p>
        </w:tc>
      </w:tr>
    </w:tbl>
    <w:p w:rsidR="000C39D1" w:rsidRPr="00132E65" w:rsidRDefault="000C39D1" w:rsidP="000C39D1">
      <w:pPr>
        <w:pStyle w:val="libFootnote0"/>
        <w:rPr>
          <w:rtl/>
          <w:lang w:bidi="fa-IR"/>
        </w:rPr>
      </w:pPr>
      <w:r>
        <w:rPr>
          <w:rtl/>
        </w:rPr>
        <w:t>(15)</w:t>
      </w:r>
      <w:r w:rsidRPr="00132E65">
        <w:rPr>
          <w:rtl/>
        </w:rPr>
        <w:t xml:space="preserve"> في « ب ، ج ، ض ، ف ، بس » وحاشية « بف » و</w:t>
      </w:r>
      <w:r w:rsidRPr="009D1ACE">
        <w:rPr>
          <w:rStyle w:val="libFootnoteBoldChar"/>
          <w:rtl/>
        </w:rPr>
        <w:t>الوافي</w:t>
      </w:r>
      <w:r w:rsidRPr="00132E65">
        <w:rPr>
          <w:rtl/>
        </w:rPr>
        <w:t xml:space="preserve"> : « حَبَل »</w:t>
      </w:r>
      <w:r>
        <w:rPr>
          <w:rtl/>
        </w:rPr>
        <w:t>.</w:t>
      </w:r>
    </w:p>
    <w:p w:rsidR="000C39D1" w:rsidRPr="00132E65" w:rsidRDefault="000C39D1" w:rsidP="000C39D1">
      <w:pPr>
        <w:pStyle w:val="libFootnote0"/>
        <w:rPr>
          <w:rtl/>
          <w:lang w:bidi="fa-IR"/>
        </w:rPr>
      </w:pPr>
      <w:r>
        <w:rPr>
          <w:rtl/>
        </w:rPr>
        <w:t>(16)</w:t>
      </w:r>
      <w:r w:rsidRPr="00132E65">
        <w:rPr>
          <w:rtl/>
        </w:rPr>
        <w:t xml:space="preserve"> في الإرشاد </w:t>
      </w:r>
      <w:r>
        <w:rPr>
          <w:rtl/>
        </w:rPr>
        <w:t xml:space="preserve">: - </w:t>
      </w:r>
      <w:r w:rsidRPr="00132E65">
        <w:rPr>
          <w:rtl/>
        </w:rPr>
        <w:t>« وبعث السلطان</w:t>
      </w:r>
      <w:r>
        <w:rPr>
          <w:rtl/>
        </w:rPr>
        <w:t xml:space="preserve"> - </w:t>
      </w:r>
      <w:r w:rsidRPr="00132E65">
        <w:rPr>
          <w:rtl/>
        </w:rPr>
        <w:t>إلى</w:t>
      </w:r>
      <w:r>
        <w:rPr>
          <w:rtl/>
        </w:rPr>
        <w:t xml:space="preserve"> - </w:t>
      </w:r>
      <w:r w:rsidRPr="00132E65">
        <w:rPr>
          <w:rtl/>
        </w:rPr>
        <w:t>في تهيئته »</w:t>
      </w:r>
      <w:r>
        <w:rPr>
          <w:rtl/>
        </w:rPr>
        <w:t>.</w:t>
      </w:r>
    </w:p>
    <w:p w:rsidR="000C39D1" w:rsidRPr="00132E65" w:rsidRDefault="000C39D1" w:rsidP="000C39D1">
      <w:pPr>
        <w:pStyle w:val="libFootnote0"/>
        <w:rPr>
          <w:rtl/>
          <w:lang w:bidi="fa-IR"/>
        </w:rPr>
      </w:pPr>
      <w:r>
        <w:rPr>
          <w:rtl/>
        </w:rPr>
        <w:t>(17)</w:t>
      </w:r>
      <w:r w:rsidRPr="00132E65">
        <w:rPr>
          <w:rtl/>
        </w:rPr>
        <w:t xml:space="preserve"> في « بس » : « وركبوا »</w:t>
      </w:r>
      <w:r>
        <w:rPr>
          <w:rtl/>
        </w:rPr>
        <w:t>.</w:t>
      </w:r>
      <w:r w:rsidRPr="00132E65">
        <w:rPr>
          <w:rtl/>
        </w:rPr>
        <w:t xml:space="preserve"> على لغة : أكلوني البراغيث ، أو « بنو هاشم » وما بعده بدل. وفي الإرشاد : « وركب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وَأَبِي </w:t>
      </w:r>
      <w:r>
        <w:rPr>
          <w:rStyle w:val="libFootnotenumChar"/>
          <w:rtl/>
        </w:rPr>
        <w:t>(1)</w:t>
      </w:r>
      <w:r w:rsidRPr="00132E65">
        <w:rPr>
          <w:rtl/>
          <w:lang w:bidi="fa-IR"/>
        </w:rPr>
        <w:t xml:space="preserve"> و</w:t>
      </w:r>
      <w:r w:rsidR="004F741B">
        <w:rPr>
          <w:rFonts w:hint="cs"/>
          <w:rtl/>
          <w:lang w:bidi="fa-IR"/>
        </w:rPr>
        <w:t>َ</w:t>
      </w:r>
      <w:r w:rsidRPr="00132E65">
        <w:rPr>
          <w:rtl/>
          <w:lang w:bidi="fa-IR"/>
        </w:rPr>
        <w:t xml:space="preserve">سَائِرُ النَّاسِ إِلى جَنَازَتِهِ ، فَكَانَتْ سُرَّ مَنْ رَأى يَوْمَئِذٍ شَبِيهاً بِالْقِيَامَةِ ، فَلَمَّا فَرَغُوا مِنْ تَهْيِئَتِهِ ، بَعَثَ السُّلْطَانُ إِلى أَبِي عِيسى بْنِ الْمُتَوَكِّلِ ، فَأَمَرَهُ </w:t>
      </w:r>
      <w:r>
        <w:rPr>
          <w:rStyle w:val="libFootnotenumChar"/>
          <w:rtl/>
        </w:rPr>
        <w:t>(2)</w:t>
      </w:r>
      <w:r w:rsidRPr="00132E65">
        <w:rPr>
          <w:rtl/>
          <w:lang w:bidi="fa-IR"/>
        </w:rPr>
        <w:t xml:space="preserve"> بِالصَّلَاةِ عَلَيْهِ ، فَلَمَّا و</w:t>
      </w:r>
      <w:r w:rsidR="004F741B">
        <w:rPr>
          <w:rFonts w:hint="cs"/>
          <w:rtl/>
          <w:lang w:bidi="fa-IR"/>
        </w:rPr>
        <w:t>ُ</w:t>
      </w:r>
      <w:r w:rsidRPr="00132E65">
        <w:rPr>
          <w:rtl/>
          <w:lang w:bidi="fa-IR"/>
        </w:rPr>
        <w:t>ضِعَتِ الْجَنَازَةُ لِلصَّلَاةِ عَلَيْهِ ، دَنَا أَبُو عِيسَى مِنْهُ ، فَكَشَفَ عَنْ وجْهِهِ ، فَعَرَضَهُ عَلى بَنِي هَاشِمٍ مِنَ الْعَلَوِيَّةِ و</w:t>
      </w:r>
      <w:r w:rsidR="004F741B">
        <w:rPr>
          <w:rFonts w:hint="cs"/>
          <w:rtl/>
          <w:lang w:bidi="fa-IR"/>
        </w:rPr>
        <w:t>َ</w:t>
      </w:r>
      <w:r w:rsidRPr="00132E65">
        <w:rPr>
          <w:rtl/>
          <w:lang w:bidi="fa-IR"/>
        </w:rPr>
        <w:t>الْعَبَّاسِيَّةِ و</w:t>
      </w:r>
      <w:r w:rsidR="004F741B">
        <w:rPr>
          <w:rFonts w:hint="cs"/>
          <w:rtl/>
          <w:lang w:bidi="fa-IR"/>
        </w:rPr>
        <w:t>َ</w:t>
      </w:r>
      <w:r w:rsidRPr="00132E65">
        <w:rPr>
          <w:rtl/>
          <w:lang w:bidi="fa-IR"/>
        </w:rPr>
        <w:t>الْقُوَّادِ و</w:t>
      </w:r>
      <w:r w:rsidR="004F741B">
        <w:rPr>
          <w:rFonts w:hint="cs"/>
          <w:rtl/>
          <w:lang w:bidi="fa-IR"/>
        </w:rPr>
        <w:t>َ</w:t>
      </w:r>
      <w:r w:rsidRPr="00132E65">
        <w:rPr>
          <w:rtl/>
          <w:lang w:bidi="fa-IR"/>
        </w:rPr>
        <w:t xml:space="preserve">الْكُتَّابِ </w:t>
      </w:r>
      <w:r>
        <w:rPr>
          <w:rStyle w:val="libFootnotenumChar"/>
          <w:rtl/>
        </w:rPr>
        <w:t>(3)</w:t>
      </w:r>
      <w:r w:rsidRPr="00132E65">
        <w:rPr>
          <w:rtl/>
          <w:lang w:bidi="fa-IR"/>
        </w:rPr>
        <w:t xml:space="preserve"> و</w:t>
      </w:r>
      <w:r w:rsidR="004F741B">
        <w:rPr>
          <w:rFonts w:hint="cs"/>
          <w:rtl/>
          <w:lang w:bidi="fa-IR"/>
        </w:rPr>
        <w:t>َ</w:t>
      </w:r>
      <w:r w:rsidRPr="00132E65">
        <w:rPr>
          <w:rtl/>
          <w:lang w:bidi="fa-IR"/>
        </w:rPr>
        <w:t>الْقُضَاةِ و</w:t>
      </w:r>
      <w:r w:rsidR="004F741B">
        <w:rPr>
          <w:rFonts w:hint="cs"/>
          <w:rtl/>
          <w:lang w:bidi="fa-IR"/>
        </w:rPr>
        <w:t>َ</w:t>
      </w:r>
      <w:r w:rsidRPr="00132E65">
        <w:rPr>
          <w:rtl/>
          <w:lang w:bidi="fa-IR"/>
        </w:rPr>
        <w:t>الْمُعَدَّلِينَ ، و</w:t>
      </w:r>
      <w:r w:rsidR="004F741B">
        <w:rPr>
          <w:rFonts w:hint="cs"/>
          <w:rtl/>
          <w:lang w:bidi="fa-IR"/>
        </w:rPr>
        <w:t>َ</w:t>
      </w:r>
      <w:r w:rsidRPr="00132E65">
        <w:rPr>
          <w:rtl/>
          <w:lang w:bidi="fa-IR"/>
        </w:rPr>
        <w:t xml:space="preserve">قَالَ </w:t>
      </w:r>
      <w:r>
        <w:rPr>
          <w:rStyle w:val="libFootnotenumChar"/>
          <w:rtl/>
        </w:rPr>
        <w:t>(4)</w:t>
      </w:r>
      <w:r w:rsidRPr="00132E65">
        <w:rPr>
          <w:rtl/>
          <w:lang w:bidi="fa-IR"/>
        </w:rPr>
        <w:t xml:space="preserve"> :</w:t>
      </w:r>
      <w:r>
        <w:rPr>
          <w:rFonts w:hint="cs"/>
          <w:rtl/>
          <w:lang w:bidi="fa-IR"/>
        </w:rPr>
        <w:t xml:space="preserve"> </w:t>
      </w:r>
      <w:r w:rsidRPr="00132E65">
        <w:rPr>
          <w:rtl/>
          <w:lang w:bidi="fa-IR"/>
        </w:rPr>
        <w:t xml:space="preserve">هذَا الْحَسَنُ بْنُ عَلِيِّ بْنِ مُحَمَّدِ بْنِ الرِّضَا مَاتَ حَتْفَ </w:t>
      </w:r>
      <w:r>
        <w:rPr>
          <w:rStyle w:val="libFootnotenumChar"/>
          <w:rtl/>
        </w:rPr>
        <w:t>(5)</w:t>
      </w:r>
      <w:r w:rsidRPr="00132E65">
        <w:rPr>
          <w:rtl/>
          <w:lang w:bidi="fa-IR"/>
        </w:rPr>
        <w:t xml:space="preserve"> أَنْفِهِ عَلى فِرَاشِهِ ، حَضَرَهُ </w:t>
      </w:r>
      <w:r>
        <w:rPr>
          <w:rStyle w:val="libFootnotenumChar"/>
          <w:rtl/>
        </w:rPr>
        <w:t>(6)</w:t>
      </w:r>
      <w:r w:rsidRPr="00132E65">
        <w:rPr>
          <w:rtl/>
          <w:lang w:bidi="fa-IR"/>
        </w:rPr>
        <w:t xml:space="preserve"> مَنْ حَضَرَهُ </w:t>
      </w:r>
      <w:r>
        <w:rPr>
          <w:rStyle w:val="libFootnotenumChar"/>
          <w:rtl/>
        </w:rPr>
        <w:t>(7)</w:t>
      </w:r>
      <w:r w:rsidRPr="00132E65">
        <w:rPr>
          <w:rtl/>
          <w:lang w:bidi="fa-IR"/>
        </w:rPr>
        <w:t xml:space="preserve"> مِنْ خَدَمِ </w:t>
      </w:r>
      <w:r>
        <w:rPr>
          <w:rStyle w:val="libFootnotenumChar"/>
          <w:rtl/>
        </w:rPr>
        <w:t>(8)</w:t>
      </w:r>
      <w:r w:rsidRPr="00132E65">
        <w:rPr>
          <w:rtl/>
          <w:lang w:bidi="fa-IR"/>
        </w:rPr>
        <w:t xml:space="preserve"> أَمِيرِ الْمُؤْمِنِينَ و</w:t>
      </w:r>
      <w:r w:rsidR="00F33F88">
        <w:rPr>
          <w:rFonts w:hint="cs"/>
          <w:rtl/>
          <w:lang w:bidi="fa-IR"/>
        </w:rPr>
        <w:t>َ</w:t>
      </w:r>
      <w:r w:rsidRPr="00132E65">
        <w:rPr>
          <w:rtl/>
          <w:lang w:bidi="fa-IR"/>
        </w:rPr>
        <w:t>ثِقَاتِهِ فُلَانٌ و</w:t>
      </w:r>
      <w:r w:rsidR="00F33F88">
        <w:rPr>
          <w:rFonts w:hint="cs"/>
          <w:rtl/>
          <w:lang w:bidi="fa-IR"/>
        </w:rPr>
        <w:t>َ</w:t>
      </w:r>
      <w:r w:rsidRPr="00132E65">
        <w:rPr>
          <w:rtl/>
          <w:lang w:bidi="fa-IR"/>
        </w:rPr>
        <w:t>فُلَانٌ ، و</w:t>
      </w:r>
      <w:r w:rsidR="00F33F88">
        <w:rPr>
          <w:rFonts w:hint="cs"/>
          <w:rtl/>
          <w:lang w:bidi="fa-IR"/>
        </w:rPr>
        <w:t>َ</w:t>
      </w:r>
      <w:r w:rsidRPr="00132E65">
        <w:rPr>
          <w:rtl/>
          <w:lang w:bidi="fa-IR"/>
        </w:rPr>
        <w:t>مِنَ الْقُضَاةِ فُلَانٌ و</w:t>
      </w:r>
      <w:r w:rsidR="00F33F88">
        <w:rPr>
          <w:rFonts w:hint="cs"/>
          <w:rtl/>
          <w:lang w:bidi="fa-IR"/>
        </w:rPr>
        <w:t>َ</w:t>
      </w:r>
      <w:r w:rsidRPr="00132E65">
        <w:rPr>
          <w:rtl/>
          <w:lang w:bidi="fa-IR"/>
        </w:rPr>
        <w:t>فُلَانٌ ، وَمِنَ الْمُتَطَبِّبِينَ فُلَانٌ و</w:t>
      </w:r>
      <w:r w:rsidR="00F33F88">
        <w:rPr>
          <w:rFonts w:hint="cs"/>
          <w:rtl/>
          <w:lang w:bidi="fa-IR"/>
        </w:rPr>
        <w:t>َ</w:t>
      </w:r>
      <w:r w:rsidRPr="00132E65">
        <w:rPr>
          <w:rtl/>
          <w:lang w:bidi="fa-IR"/>
        </w:rPr>
        <w:t xml:space="preserve">فُلَانٌ ، ثُمَّ غَطّى </w:t>
      </w:r>
      <w:r>
        <w:rPr>
          <w:rStyle w:val="libFootnotenumChar"/>
          <w:rtl/>
        </w:rPr>
        <w:t>(9)</w:t>
      </w:r>
      <w:r w:rsidRPr="00132E65">
        <w:rPr>
          <w:rtl/>
          <w:lang w:bidi="fa-IR"/>
        </w:rPr>
        <w:t xml:space="preserve"> و</w:t>
      </w:r>
      <w:r w:rsidR="00F33F88">
        <w:rPr>
          <w:rFonts w:hint="cs"/>
          <w:rtl/>
          <w:lang w:bidi="fa-IR"/>
        </w:rPr>
        <w:t>َ</w:t>
      </w:r>
      <w:r w:rsidRPr="00132E65">
        <w:rPr>
          <w:rtl/>
          <w:lang w:bidi="fa-IR"/>
        </w:rPr>
        <w:t xml:space="preserve">جْهَهُ </w:t>
      </w:r>
      <w:r>
        <w:rPr>
          <w:rStyle w:val="libFootnotenumChar"/>
          <w:rtl/>
        </w:rPr>
        <w:t>(10)</w:t>
      </w:r>
      <w:r w:rsidRPr="00132E65">
        <w:rPr>
          <w:rtl/>
          <w:lang w:bidi="fa-IR"/>
        </w:rPr>
        <w:t xml:space="preserve"> ، و</w:t>
      </w:r>
      <w:r w:rsidR="00F33F88">
        <w:rPr>
          <w:rFonts w:hint="cs"/>
          <w:rtl/>
          <w:lang w:bidi="fa-IR"/>
        </w:rPr>
        <w:t>َ</w:t>
      </w:r>
      <w:r w:rsidRPr="00132E65">
        <w:rPr>
          <w:rtl/>
          <w:lang w:bidi="fa-IR"/>
        </w:rPr>
        <w:t>أَمَرَ بِحَمْلِهِ ، فَحُمِلَ مِنْ وسَطِ دَارِهِ ، و</w:t>
      </w:r>
      <w:r w:rsidR="00B62973">
        <w:rPr>
          <w:rFonts w:hint="cs"/>
          <w:rtl/>
          <w:lang w:bidi="fa-IR"/>
        </w:rPr>
        <w:t>َ</w:t>
      </w:r>
      <w:r w:rsidRPr="00132E65">
        <w:rPr>
          <w:rtl/>
          <w:lang w:bidi="fa-IR"/>
        </w:rPr>
        <w:t>دُفِنَ فِي الْبَيْتِ الَّذِي دُفِنَ فِيهِ أَبُوهُ.</w:t>
      </w:r>
    </w:p>
    <w:p w:rsidR="000C39D1" w:rsidRPr="00132E65" w:rsidRDefault="000C39D1" w:rsidP="000C39D1">
      <w:pPr>
        <w:pStyle w:val="libNormal"/>
        <w:rPr>
          <w:rtl/>
          <w:lang w:bidi="fa-IR"/>
        </w:rPr>
      </w:pPr>
      <w:r w:rsidRPr="00132E65">
        <w:rPr>
          <w:rtl/>
          <w:lang w:bidi="fa-IR"/>
        </w:rPr>
        <w:t>فَلَمَّا دُفِنَ أَخَذَ السُّلْطَانُ و</w:t>
      </w:r>
      <w:r w:rsidR="00B62973">
        <w:rPr>
          <w:rFonts w:hint="cs"/>
          <w:rtl/>
          <w:lang w:bidi="fa-IR"/>
        </w:rPr>
        <w:t>َ</w:t>
      </w:r>
      <w:r w:rsidRPr="00132E65">
        <w:rPr>
          <w:rtl/>
          <w:lang w:bidi="fa-IR"/>
        </w:rPr>
        <w:t>النَّاسُ فِي طَلَبِ و</w:t>
      </w:r>
      <w:r w:rsidR="00B62973">
        <w:rPr>
          <w:rFonts w:hint="cs"/>
          <w:rtl/>
          <w:lang w:bidi="fa-IR"/>
        </w:rPr>
        <w:t>َ</w:t>
      </w:r>
      <w:r w:rsidRPr="00132E65">
        <w:rPr>
          <w:rtl/>
          <w:lang w:bidi="fa-IR"/>
        </w:rPr>
        <w:t>لَدِهِ ، و</w:t>
      </w:r>
      <w:r w:rsidR="00B62973">
        <w:rPr>
          <w:rFonts w:hint="cs"/>
          <w:rtl/>
          <w:lang w:bidi="fa-IR"/>
        </w:rPr>
        <w:t>َ</w:t>
      </w:r>
      <w:r w:rsidRPr="00132E65">
        <w:rPr>
          <w:rtl/>
          <w:lang w:bidi="fa-IR"/>
        </w:rPr>
        <w:t>كَثُرَ التَّفْتِيشُ فِي الْمَنَازِلِ وَالدُّورِ ، و</w:t>
      </w:r>
      <w:r w:rsidR="00B62973">
        <w:rPr>
          <w:rFonts w:hint="cs"/>
          <w:rtl/>
          <w:lang w:bidi="fa-IR"/>
        </w:rPr>
        <w:t>َ</w:t>
      </w:r>
      <w:r w:rsidRPr="00132E65">
        <w:rPr>
          <w:rtl/>
          <w:lang w:bidi="fa-IR"/>
        </w:rPr>
        <w:t>تَوَقَّفُوا عَنْ قِسْمَةِ مِيرَاثِهِ ، و</w:t>
      </w:r>
      <w:r w:rsidR="00B62973">
        <w:rPr>
          <w:rFonts w:hint="cs"/>
          <w:rtl/>
          <w:lang w:bidi="fa-IR"/>
        </w:rPr>
        <w:t>َ</w:t>
      </w:r>
      <w:r w:rsidRPr="00132E65">
        <w:rPr>
          <w:rtl/>
          <w:lang w:bidi="fa-IR"/>
        </w:rPr>
        <w:t>لَمْ يَزَلِ الَّذِينَ و</w:t>
      </w:r>
      <w:r w:rsidR="00B62973">
        <w:rPr>
          <w:rFonts w:hint="cs"/>
          <w:rtl/>
          <w:lang w:bidi="fa-IR"/>
        </w:rPr>
        <w:t>ُ</w:t>
      </w:r>
      <w:r w:rsidRPr="00132E65">
        <w:rPr>
          <w:rtl/>
          <w:lang w:bidi="fa-IR"/>
        </w:rPr>
        <w:t>كِّلُوا بِحِفْظِ الْجَارِيَةِ</w:t>
      </w:r>
      <w:r>
        <w:rPr>
          <w:rtl/>
          <w:lang w:bidi="fa-IR"/>
        </w:rPr>
        <w:t xml:space="preserve"> - </w:t>
      </w:r>
      <w:r w:rsidRPr="00132E65">
        <w:rPr>
          <w:rtl/>
          <w:lang w:bidi="fa-IR"/>
        </w:rPr>
        <w:t>الَّتِي تُوُهِّمَ عَلَيْهَا الْحَمْلُ</w:t>
      </w:r>
      <w:r>
        <w:rPr>
          <w:rtl/>
          <w:lang w:bidi="fa-IR"/>
        </w:rPr>
        <w:t xml:space="preserve"> - </w:t>
      </w:r>
      <w:r w:rsidRPr="00132E65">
        <w:rPr>
          <w:rtl/>
          <w:lang w:bidi="fa-IR"/>
        </w:rPr>
        <w:t xml:space="preserve">لَازِمِينَ </w:t>
      </w:r>
      <w:r>
        <w:rPr>
          <w:rStyle w:val="libFootnotenumChar"/>
          <w:rtl/>
        </w:rPr>
        <w:t>(11)</w:t>
      </w:r>
      <w:r w:rsidRPr="00132E65">
        <w:rPr>
          <w:rtl/>
          <w:lang w:bidi="fa-IR"/>
        </w:rPr>
        <w:t xml:space="preserve"> حَتّى تَبَيَّنَ بُطْلَانُ الْحَمْلِ ، فَلَمَّا بَطَلَ </w:t>
      </w:r>
      <w:r>
        <w:rPr>
          <w:rStyle w:val="libFootnotenumChar"/>
          <w:rtl/>
        </w:rPr>
        <w:t>(12)</w:t>
      </w:r>
      <w:r w:rsidRPr="00132E65">
        <w:rPr>
          <w:rtl/>
          <w:lang w:bidi="fa-IR"/>
        </w:rPr>
        <w:t xml:space="preserve"> الْحَمْلُ عَنْهُنَّ </w:t>
      </w:r>
      <w:r w:rsidRPr="00F543F1">
        <w:rPr>
          <w:rStyle w:val="libFootnotenumChar"/>
          <w:rtl/>
        </w:rPr>
        <w:t>(13)</w:t>
      </w:r>
      <w:r w:rsidRPr="00132E65">
        <w:rPr>
          <w:rtl/>
          <w:lang w:bidi="fa-IR"/>
        </w:rPr>
        <w:t xml:space="preserve"> قُسِمَ </w:t>
      </w:r>
      <w:r w:rsidRPr="00F543F1">
        <w:rPr>
          <w:rStyle w:val="libFootnotenumChar"/>
          <w:rtl/>
        </w:rPr>
        <w:t>(14)</w:t>
      </w:r>
      <w:r w:rsidRPr="00132E65">
        <w:rPr>
          <w:rtl/>
          <w:lang w:bidi="fa-IR"/>
        </w:rPr>
        <w:t xml:space="preserve"> مِيرَاثُهُ بَيْنَ أُمِّهِ و</w:t>
      </w:r>
      <w:r w:rsidR="00B62973">
        <w:rPr>
          <w:rFonts w:hint="cs"/>
          <w:rtl/>
          <w:lang w:bidi="fa-IR"/>
        </w:rPr>
        <w:t>َ</w:t>
      </w:r>
      <w:r w:rsidRPr="00132E65">
        <w:rPr>
          <w:rtl/>
          <w:lang w:bidi="fa-IR"/>
        </w:rPr>
        <w:t>أَخِيهِ جَعْفَرٍ ، و</w:t>
      </w:r>
      <w:r w:rsidR="00B62973">
        <w:rPr>
          <w:rFonts w:hint="cs"/>
          <w:rtl/>
          <w:lang w:bidi="fa-IR"/>
        </w:rPr>
        <w:t>َ</w:t>
      </w:r>
      <w:r w:rsidRPr="00132E65">
        <w:rPr>
          <w:rtl/>
          <w:lang w:bidi="fa-IR"/>
        </w:rPr>
        <w:t>ادَّعَتْ أُمُّهُ و</w:t>
      </w:r>
      <w:r w:rsidR="00B62973">
        <w:rPr>
          <w:rFonts w:hint="cs"/>
          <w:rtl/>
          <w:lang w:bidi="fa-IR"/>
        </w:rPr>
        <w:t>َ</w:t>
      </w:r>
      <w:r w:rsidRPr="00132E65">
        <w:rPr>
          <w:rtl/>
          <w:lang w:bidi="fa-IR"/>
        </w:rPr>
        <w:t>صِيَّتَهُ ، و</w:t>
      </w:r>
      <w:r w:rsidR="00B62973">
        <w:rPr>
          <w:rFonts w:hint="cs"/>
          <w:rtl/>
          <w:lang w:bidi="fa-IR"/>
        </w:rPr>
        <w:t>َ</w:t>
      </w:r>
      <w:r w:rsidRPr="00132E65">
        <w:rPr>
          <w:rtl/>
          <w:lang w:bidi="fa-IR"/>
        </w:rPr>
        <w:t>ثَبَتَ ذلِكَ عِنْدَ الْقَاضِي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وأبي » ، في « ف » مشطوب. وفي الإرشاد </w:t>
      </w:r>
      <w:r>
        <w:rPr>
          <w:rtl/>
        </w:rPr>
        <w:t xml:space="preserve">: - </w:t>
      </w:r>
      <w:r w:rsidRPr="00132E65">
        <w:rPr>
          <w:rtl/>
        </w:rPr>
        <w:t>« والقوّاد وأبي »</w:t>
      </w:r>
      <w:r>
        <w:rPr>
          <w:rtl/>
        </w:rPr>
        <w:t>.</w:t>
      </w:r>
    </w:p>
    <w:tbl>
      <w:tblPr>
        <w:tblStyle w:val="TableGrid"/>
        <w:bidiVisual/>
        <w:tblW w:w="0" w:type="auto"/>
        <w:tblLook w:val="04A0" w:firstRow="1" w:lastRow="0" w:firstColumn="1" w:lastColumn="0" w:noHBand="0" w:noVBand="1"/>
      </w:tblPr>
      <w:tblGrid>
        <w:gridCol w:w="4261"/>
        <w:gridCol w:w="4262"/>
      </w:tblGrid>
      <w:tr w:rsidR="0034562D" w:rsidTr="0034562D">
        <w:tc>
          <w:tcPr>
            <w:tcW w:w="4261" w:type="dxa"/>
          </w:tcPr>
          <w:p w:rsidR="0034562D" w:rsidRDefault="0034562D" w:rsidP="000C39D1">
            <w:pPr>
              <w:pStyle w:val="libFootnote0"/>
              <w:rPr>
                <w:rtl/>
              </w:rPr>
            </w:pPr>
            <w:r>
              <w:rPr>
                <w:rtl/>
              </w:rPr>
              <w:t>(2).</w:t>
            </w:r>
            <w:r w:rsidRPr="00132E65">
              <w:rPr>
                <w:rtl/>
              </w:rPr>
              <w:t xml:space="preserve"> في الإرشاد : « يأمره »</w:t>
            </w:r>
            <w:r>
              <w:rPr>
                <w:rtl/>
              </w:rPr>
              <w:t>.</w:t>
            </w:r>
          </w:p>
        </w:tc>
        <w:tc>
          <w:tcPr>
            <w:tcW w:w="4262" w:type="dxa"/>
          </w:tcPr>
          <w:p w:rsidR="0034562D" w:rsidRDefault="0034562D" w:rsidP="000C39D1">
            <w:pPr>
              <w:pStyle w:val="libFootnote0"/>
              <w:rPr>
                <w:rtl/>
              </w:rPr>
            </w:pPr>
            <w:r>
              <w:rPr>
                <w:rtl/>
              </w:rPr>
              <w:t>(3).</w:t>
            </w:r>
            <w:r w:rsidRPr="00132E65">
              <w:rPr>
                <w:rtl/>
              </w:rPr>
              <w:t xml:space="preserve"> في « ف » </w:t>
            </w:r>
            <w:r>
              <w:rPr>
                <w:rtl/>
              </w:rPr>
              <w:t xml:space="preserve">: - </w:t>
            </w:r>
            <w:r w:rsidRPr="00132E65">
              <w:rPr>
                <w:rtl/>
              </w:rPr>
              <w:t>« منه</w:t>
            </w:r>
            <w:r>
              <w:rPr>
                <w:rtl/>
              </w:rPr>
              <w:t xml:space="preserve"> - </w:t>
            </w:r>
            <w:r w:rsidRPr="00132E65">
              <w:rPr>
                <w:rtl/>
              </w:rPr>
              <w:t>إلى</w:t>
            </w:r>
            <w:r>
              <w:rPr>
                <w:rtl/>
              </w:rPr>
              <w:t xml:space="preserve"> - </w:t>
            </w:r>
            <w:r w:rsidRPr="00132E65">
              <w:rPr>
                <w:rtl/>
              </w:rPr>
              <w:t>الكتّاب »</w:t>
            </w:r>
            <w:r>
              <w:rPr>
                <w:rtl/>
              </w:rPr>
              <w:t>.</w:t>
            </w:r>
          </w:p>
        </w:tc>
      </w:tr>
    </w:tbl>
    <w:p w:rsidR="000C39D1" w:rsidRPr="00132E65" w:rsidRDefault="000C39D1" w:rsidP="000C39D1">
      <w:pPr>
        <w:pStyle w:val="libFootnote0"/>
        <w:rPr>
          <w:rtl/>
          <w:lang w:bidi="fa-IR"/>
        </w:rPr>
      </w:pPr>
      <w:r>
        <w:rPr>
          <w:rtl/>
        </w:rPr>
        <w:t>(4).</w:t>
      </w:r>
      <w:r w:rsidRPr="00132E65">
        <w:rPr>
          <w:rtl/>
        </w:rPr>
        <w:t xml:space="preserve"> في « ف » : « وقالوا »</w:t>
      </w:r>
      <w:r>
        <w:rPr>
          <w:rtl/>
        </w:rPr>
        <w:t>.</w:t>
      </w:r>
    </w:p>
    <w:p w:rsidR="000C39D1" w:rsidRPr="00132E65" w:rsidRDefault="000C39D1" w:rsidP="000C39D1">
      <w:pPr>
        <w:pStyle w:val="libFootnote0"/>
        <w:rPr>
          <w:rtl/>
          <w:lang w:bidi="fa-IR"/>
        </w:rPr>
      </w:pPr>
      <w:r>
        <w:rPr>
          <w:rtl/>
        </w:rPr>
        <w:t>(5).</w:t>
      </w:r>
      <w:r w:rsidRPr="00132E65">
        <w:rPr>
          <w:rtl/>
        </w:rPr>
        <w:t xml:space="preserve"> « الحَتْفُ » : الهلاك والموت. يقال : مات حَتْفَ أنفه ، أي مات على فراشه من غير قتل ولا ضرب ولا غَرَق ولاغيره. وخُصّ الأنف ؛ لأنّهم كانوا يتخيّلون أنّ روح المريض يخرج من أنفه ، أو يخرج من فيه وأنفه فغُلِّب أحد الاسمين على الآخر لتجاورهما. راجع : </w:t>
      </w:r>
      <w:r w:rsidRPr="007B47BB">
        <w:rPr>
          <w:rtl/>
        </w:rPr>
        <w:t>الصحاح</w:t>
      </w:r>
      <w:r w:rsidRPr="00132E65">
        <w:rPr>
          <w:rtl/>
        </w:rPr>
        <w:t xml:space="preserve"> ، ج 4 ، ص 1340 ؛ </w:t>
      </w:r>
      <w:r w:rsidRPr="007B47BB">
        <w:rPr>
          <w:rtl/>
        </w:rPr>
        <w:t>النهاية</w:t>
      </w:r>
      <w:r w:rsidRPr="00132E65">
        <w:rPr>
          <w:rtl/>
        </w:rPr>
        <w:t xml:space="preserve"> ، ج 1 ، ص 337 ؛ </w:t>
      </w:r>
      <w:r w:rsidRPr="009D1ACE">
        <w:rPr>
          <w:rStyle w:val="libFootnoteBoldChar"/>
          <w:rtl/>
        </w:rPr>
        <w:t>لسان العرب</w:t>
      </w:r>
      <w:r w:rsidRPr="00132E65">
        <w:rPr>
          <w:rtl/>
        </w:rPr>
        <w:t xml:space="preserve"> ، ج 9 ، ص 38 ( حتف )</w:t>
      </w:r>
      <w:r>
        <w:rPr>
          <w:rtl/>
        </w:rPr>
        <w:t>.</w:t>
      </w:r>
    </w:p>
    <w:p w:rsidR="000C39D1" w:rsidRPr="00132E65" w:rsidRDefault="000C39D1" w:rsidP="000C39D1">
      <w:pPr>
        <w:pStyle w:val="libFootnote0"/>
        <w:rPr>
          <w:rtl/>
          <w:lang w:bidi="fa-IR"/>
        </w:rPr>
      </w:pPr>
      <w:r>
        <w:rPr>
          <w:rtl/>
        </w:rPr>
        <w:t>(6).</w:t>
      </w:r>
      <w:r w:rsidRPr="00132E65">
        <w:rPr>
          <w:rtl/>
        </w:rPr>
        <w:t xml:space="preserve"> في الإرشاد : « فحضره »</w:t>
      </w:r>
      <w:r>
        <w:rPr>
          <w:rtl/>
        </w:rPr>
        <w:t>.</w:t>
      </w:r>
    </w:p>
    <w:p w:rsidR="000C39D1" w:rsidRPr="00132E65" w:rsidRDefault="000C39D1" w:rsidP="000C39D1">
      <w:pPr>
        <w:pStyle w:val="libFootnote0"/>
        <w:rPr>
          <w:rtl/>
          <w:lang w:bidi="fa-IR"/>
        </w:rPr>
      </w:pPr>
      <w:r>
        <w:rPr>
          <w:rtl/>
        </w:rPr>
        <w:t>(7).</w:t>
      </w:r>
      <w:r w:rsidRPr="00132E65">
        <w:rPr>
          <w:rtl/>
        </w:rPr>
        <w:t xml:space="preserve"> في « ف » : « حضر » بدون الضمير. وفي « ض » والإرشاد </w:t>
      </w:r>
      <w:r>
        <w:rPr>
          <w:rtl/>
        </w:rPr>
        <w:t xml:space="preserve">: - </w:t>
      </w:r>
      <w:r w:rsidRPr="00132E65">
        <w:rPr>
          <w:rtl/>
        </w:rPr>
        <w:t>« من حضره »</w:t>
      </w:r>
      <w:r>
        <w:rPr>
          <w:rtl/>
        </w:rPr>
        <w:t>.</w:t>
      </w:r>
    </w:p>
    <w:tbl>
      <w:tblPr>
        <w:tblStyle w:val="TableGrid"/>
        <w:bidiVisual/>
        <w:tblW w:w="0" w:type="auto"/>
        <w:tblLook w:val="04A0" w:firstRow="1" w:lastRow="0" w:firstColumn="1" w:lastColumn="0" w:noHBand="0" w:noVBand="1"/>
      </w:tblPr>
      <w:tblGrid>
        <w:gridCol w:w="4261"/>
        <w:gridCol w:w="4262"/>
      </w:tblGrid>
      <w:tr w:rsidR="00FE329B" w:rsidTr="00FE329B">
        <w:tc>
          <w:tcPr>
            <w:tcW w:w="4261" w:type="dxa"/>
          </w:tcPr>
          <w:p w:rsidR="00FE329B" w:rsidRDefault="00FE329B" w:rsidP="000C39D1">
            <w:pPr>
              <w:pStyle w:val="libFootnote0"/>
              <w:rPr>
                <w:rtl/>
              </w:rPr>
            </w:pPr>
            <w:r>
              <w:rPr>
                <w:rtl/>
              </w:rPr>
              <w:t>(8).</w:t>
            </w:r>
            <w:r w:rsidRPr="00132E65">
              <w:rPr>
                <w:rtl/>
              </w:rPr>
              <w:t xml:space="preserve"> في « ض ، بح ، بف » : « خدّام »</w:t>
            </w:r>
            <w:r>
              <w:rPr>
                <w:rtl/>
              </w:rPr>
              <w:t>.</w:t>
            </w:r>
          </w:p>
        </w:tc>
        <w:tc>
          <w:tcPr>
            <w:tcW w:w="4262" w:type="dxa"/>
          </w:tcPr>
          <w:p w:rsidR="00FE329B" w:rsidRDefault="00FE329B" w:rsidP="000C39D1">
            <w:pPr>
              <w:pStyle w:val="libFootnote0"/>
              <w:rPr>
                <w:rtl/>
              </w:rPr>
            </w:pPr>
            <w:r>
              <w:rPr>
                <w:rtl/>
              </w:rPr>
              <w:t>(9).</w:t>
            </w:r>
            <w:r w:rsidRPr="00132E65">
              <w:rPr>
                <w:rtl/>
              </w:rPr>
              <w:t xml:space="preserve"> في « بف » : « غُطّي » مبنيّاً للمفعول.</w:t>
            </w:r>
          </w:p>
        </w:tc>
      </w:tr>
      <w:tr w:rsidR="00FE329B" w:rsidTr="00FE329B">
        <w:tc>
          <w:tcPr>
            <w:tcW w:w="4261" w:type="dxa"/>
          </w:tcPr>
          <w:p w:rsidR="00FE329B" w:rsidRDefault="00FE329B" w:rsidP="000C39D1">
            <w:pPr>
              <w:pStyle w:val="libFootnote0"/>
              <w:rPr>
                <w:rtl/>
              </w:rPr>
            </w:pPr>
            <w:r>
              <w:rPr>
                <w:rtl/>
              </w:rPr>
              <w:t>(10).</w:t>
            </w:r>
            <w:r w:rsidRPr="00132E65">
              <w:rPr>
                <w:rtl/>
              </w:rPr>
              <w:t xml:space="preserve"> في الإرشاد :</w:t>
            </w:r>
            <w:r>
              <w:rPr>
                <w:rtl/>
              </w:rPr>
              <w:t xml:space="preserve"> + </w:t>
            </w:r>
            <w:r w:rsidRPr="00132E65">
              <w:rPr>
                <w:rtl/>
              </w:rPr>
              <w:t>« وصلّى عليه »</w:t>
            </w:r>
            <w:r>
              <w:rPr>
                <w:rtl/>
              </w:rPr>
              <w:t>.</w:t>
            </w:r>
          </w:p>
        </w:tc>
        <w:tc>
          <w:tcPr>
            <w:tcW w:w="4262" w:type="dxa"/>
          </w:tcPr>
          <w:p w:rsidR="00FE329B" w:rsidRDefault="00FE329B" w:rsidP="000C39D1">
            <w:pPr>
              <w:pStyle w:val="libFootnote0"/>
              <w:rPr>
                <w:rtl/>
              </w:rPr>
            </w:pPr>
            <w:r>
              <w:rPr>
                <w:rtl/>
              </w:rPr>
              <w:t>(11).</w:t>
            </w:r>
            <w:r w:rsidRPr="00132E65">
              <w:rPr>
                <w:rtl/>
              </w:rPr>
              <w:t xml:space="preserve"> في « ف » :</w:t>
            </w:r>
            <w:r>
              <w:rPr>
                <w:rtl/>
              </w:rPr>
              <w:t xml:space="preserve"> + </w:t>
            </w:r>
            <w:r w:rsidRPr="00132E65">
              <w:rPr>
                <w:rtl/>
              </w:rPr>
              <w:t>« لها »</w:t>
            </w:r>
            <w:r>
              <w:rPr>
                <w:rtl/>
              </w:rPr>
              <w:t>.</w:t>
            </w:r>
          </w:p>
        </w:tc>
      </w:tr>
      <w:tr w:rsidR="00FE329B" w:rsidTr="00FE329B">
        <w:tc>
          <w:tcPr>
            <w:tcW w:w="4261" w:type="dxa"/>
          </w:tcPr>
          <w:p w:rsidR="00FE329B" w:rsidRDefault="00821B0F" w:rsidP="000C39D1">
            <w:pPr>
              <w:pStyle w:val="libFootnote0"/>
              <w:rPr>
                <w:rtl/>
              </w:rPr>
            </w:pPr>
            <w:r>
              <w:rPr>
                <w:rtl/>
              </w:rPr>
              <w:t>(12).</w:t>
            </w:r>
            <w:r w:rsidRPr="00132E65">
              <w:rPr>
                <w:rtl/>
              </w:rPr>
              <w:t xml:space="preserve"> في « ب » : « تبيّن بطلان »</w:t>
            </w:r>
            <w:r>
              <w:rPr>
                <w:rtl/>
              </w:rPr>
              <w:t>.</w:t>
            </w:r>
          </w:p>
        </w:tc>
        <w:tc>
          <w:tcPr>
            <w:tcW w:w="4262" w:type="dxa"/>
          </w:tcPr>
          <w:p w:rsidR="00FE329B" w:rsidRDefault="00821B0F" w:rsidP="000C39D1">
            <w:pPr>
              <w:pStyle w:val="libFootnote0"/>
              <w:rPr>
                <w:rtl/>
              </w:rPr>
            </w:pPr>
            <w:r>
              <w:rPr>
                <w:rtl/>
              </w:rPr>
              <w:t>(13)</w:t>
            </w:r>
            <w:r w:rsidRPr="00132E65">
              <w:rPr>
                <w:rtl/>
              </w:rPr>
              <w:t xml:space="preserve"> في « بف » : « عندهم »</w:t>
            </w:r>
            <w:r>
              <w:rPr>
                <w:rtl/>
              </w:rPr>
              <w:t>.</w:t>
            </w:r>
          </w:p>
        </w:tc>
      </w:tr>
    </w:tbl>
    <w:p w:rsidR="000C39D1" w:rsidRPr="00132E65" w:rsidRDefault="000C39D1" w:rsidP="000C39D1">
      <w:pPr>
        <w:pStyle w:val="libFootnote0"/>
        <w:rPr>
          <w:rtl/>
          <w:lang w:bidi="fa-IR"/>
        </w:rPr>
      </w:pPr>
      <w:r>
        <w:rPr>
          <w:rtl/>
        </w:rPr>
        <w:t>(14)</w:t>
      </w:r>
      <w:r w:rsidRPr="00132E65">
        <w:rPr>
          <w:rtl/>
        </w:rPr>
        <w:t xml:space="preserve"> يجوز فيه التخفيف والتثقيل.</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وَالسُّلْطَانُ عَلى </w:t>
      </w:r>
      <w:r>
        <w:rPr>
          <w:rStyle w:val="libFootnotenumChar"/>
          <w:rtl/>
        </w:rPr>
        <w:t>(1)</w:t>
      </w:r>
      <w:r w:rsidRPr="00132E65">
        <w:rPr>
          <w:rtl/>
          <w:lang w:bidi="fa-IR"/>
        </w:rPr>
        <w:t xml:space="preserve"> ذلِكَ يَطْلُبُ أَثَرَ </w:t>
      </w:r>
      <w:r>
        <w:rPr>
          <w:rStyle w:val="libFootnotenumChar"/>
          <w:rtl/>
        </w:rPr>
        <w:t>(2)</w:t>
      </w:r>
      <w:r w:rsidRPr="00132E65">
        <w:rPr>
          <w:rtl/>
          <w:lang w:bidi="fa-IR"/>
        </w:rPr>
        <w:t xml:space="preserve"> و</w:t>
      </w:r>
      <w:r w:rsidR="00A8740D">
        <w:rPr>
          <w:rFonts w:hint="cs"/>
          <w:rtl/>
          <w:lang w:bidi="fa-IR"/>
        </w:rPr>
        <w:t>َ</w:t>
      </w:r>
      <w:r w:rsidRPr="00132E65">
        <w:rPr>
          <w:rtl/>
          <w:lang w:bidi="fa-IR"/>
        </w:rPr>
        <w:t>لَدِهِ.</w:t>
      </w:r>
    </w:p>
    <w:p w:rsidR="000C39D1" w:rsidRPr="00132E65" w:rsidRDefault="000C39D1" w:rsidP="000C39D1">
      <w:pPr>
        <w:pStyle w:val="libNormal"/>
        <w:rPr>
          <w:rtl/>
          <w:lang w:bidi="fa-IR"/>
        </w:rPr>
      </w:pPr>
      <w:r w:rsidRPr="00132E65">
        <w:rPr>
          <w:rtl/>
          <w:lang w:bidi="fa-IR"/>
        </w:rPr>
        <w:t xml:space="preserve">فَجَاءَ جَعْفَرٌ بَعْدَ ذلِكَ </w:t>
      </w:r>
      <w:r>
        <w:rPr>
          <w:rStyle w:val="libFootnotenumChar"/>
          <w:rtl/>
        </w:rPr>
        <w:t>(3)</w:t>
      </w:r>
      <w:r w:rsidRPr="00132E65">
        <w:rPr>
          <w:rtl/>
          <w:lang w:bidi="fa-IR"/>
        </w:rPr>
        <w:t xml:space="preserve"> إِلى أَبِي ، فَقَالَ : اجْعَلْ لِي مَرْتَبَةَ أَخِي و</w:t>
      </w:r>
      <w:r w:rsidR="00A8740D">
        <w:rPr>
          <w:rFonts w:hint="cs"/>
          <w:rtl/>
          <w:lang w:bidi="fa-IR"/>
        </w:rPr>
        <w:t>َ</w:t>
      </w:r>
      <w:r>
        <w:rPr>
          <w:rFonts w:hint="cs"/>
          <w:rtl/>
          <w:lang w:bidi="fa-IR"/>
        </w:rPr>
        <w:t xml:space="preserve"> </w:t>
      </w:r>
      <w:r>
        <w:rPr>
          <w:rStyle w:val="libFootnotenumChar"/>
          <w:rtl/>
        </w:rPr>
        <w:t>(4)</w:t>
      </w:r>
      <w:r w:rsidRPr="00132E65">
        <w:rPr>
          <w:rtl/>
          <w:lang w:bidi="fa-IR"/>
        </w:rPr>
        <w:t xml:space="preserve"> أُوصِلَ إِلَيْكَ فِي كُلِّ سَنَةٍ عِشْرِينَ أَلْفَ دِينَارٍ ، فَزَبَرَهُ </w:t>
      </w:r>
      <w:r>
        <w:rPr>
          <w:rStyle w:val="libFootnotenumChar"/>
          <w:rtl/>
        </w:rPr>
        <w:t>(5)</w:t>
      </w:r>
      <w:r w:rsidRPr="00132E65">
        <w:rPr>
          <w:rtl/>
          <w:lang w:bidi="fa-IR"/>
        </w:rPr>
        <w:t xml:space="preserve"> أَبِي و</w:t>
      </w:r>
      <w:r w:rsidR="00A8740D">
        <w:rPr>
          <w:rFonts w:hint="cs"/>
          <w:rtl/>
          <w:lang w:bidi="fa-IR"/>
        </w:rPr>
        <w:t>َ</w:t>
      </w:r>
      <w:r w:rsidRPr="00132E65">
        <w:rPr>
          <w:rtl/>
          <w:lang w:bidi="fa-IR"/>
        </w:rPr>
        <w:t xml:space="preserve">أَسْمَعَهُ </w:t>
      </w:r>
      <w:r>
        <w:rPr>
          <w:rStyle w:val="libFootnotenumChar"/>
          <w:rtl/>
        </w:rPr>
        <w:t>(6)</w:t>
      </w:r>
      <w:r w:rsidRPr="00132E65">
        <w:rPr>
          <w:rtl/>
          <w:lang w:bidi="fa-IR"/>
        </w:rPr>
        <w:t xml:space="preserve"> ، و</w:t>
      </w:r>
      <w:r w:rsidR="00A8740D">
        <w:rPr>
          <w:rFonts w:hint="cs"/>
          <w:rtl/>
          <w:lang w:bidi="fa-IR"/>
        </w:rPr>
        <w:t>َ</w:t>
      </w:r>
      <w:r w:rsidRPr="00132E65">
        <w:rPr>
          <w:rtl/>
          <w:lang w:bidi="fa-IR"/>
        </w:rPr>
        <w:t xml:space="preserve">قَالَ لَهُ </w:t>
      </w:r>
      <w:r>
        <w:rPr>
          <w:rStyle w:val="libFootnotenumChar"/>
          <w:rtl/>
        </w:rPr>
        <w:t>(7)</w:t>
      </w:r>
      <w:r w:rsidRPr="00132E65">
        <w:rPr>
          <w:rtl/>
          <w:lang w:bidi="fa-IR"/>
        </w:rPr>
        <w:t xml:space="preserve"> : يَا أَحْمَقُ ، السُّلْطَانُ </w:t>
      </w:r>
      <w:r>
        <w:rPr>
          <w:rStyle w:val="libFootnotenumChar"/>
          <w:rtl/>
        </w:rPr>
        <w:t>(8)</w:t>
      </w:r>
      <w:r w:rsidRPr="00132E65">
        <w:rPr>
          <w:rtl/>
          <w:lang w:bidi="fa-IR"/>
        </w:rPr>
        <w:t xml:space="preserve"> جَرَّدَ سَيْفَهُ </w:t>
      </w:r>
      <w:r>
        <w:rPr>
          <w:rStyle w:val="libFootnotenumChar"/>
          <w:rtl/>
        </w:rPr>
        <w:t>(9)</w:t>
      </w:r>
      <w:r w:rsidRPr="00132E65">
        <w:rPr>
          <w:rtl/>
          <w:lang w:bidi="fa-IR"/>
        </w:rPr>
        <w:t xml:space="preserve"> فِي الَّذِينَ زَعَمُوا أَنَّ أَبَاكَ وأَخَاكَ أَئِمَّةٌ </w:t>
      </w:r>
      <w:r>
        <w:rPr>
          <w:rStyle w:val="libFootnotenumChar"/>
          <w:rtl/>
        </w:rPr>
        <w:t>(10)</w:t>
      </w:r>
      <w:r w:rsidRPr="00132E65">
        <w:rPr>
          <w:rtl/>
          <w:lang w:bidi="fa-IR"/>
        </w:rPr>
        <w:t xml:space="preserve"> ؛ لِيَرُدَّهُمْ عَنْ ذلِكَ ، فَلَمْ يَتَهَيَّأْ </w:t>
      </w:r>
      <w:r>
        <w:rPr>
          <w:rStyle w:val="libFootnotenumChar"/>
          <w:rtl/>
        </w:rPr>
        <w:t>(11)</w:t>
      </w:r>
      <w:r w:rsidRPr="00132E65">
        <w:rPr>
          <w:rtl/>
          <w:lang w:bidi="fa-IR"/>
        </w:rPr>
        <w:t xml:space="preserve"> لَهُ ذلِكَ ، فَإِنْ كُنْتَ عِنْدَ شِيعَةِ أَبِيكَ و</w:t>
      </w:r>
      <w:r w:rsidR="00A8740D">
        <w:rPr>
          <w:rFonts w:hint="cs"/>
          <w:rtl/>
          <w:lang w:bidi="fa-IR"/>
        </w:rPr>
        <w:t>َ</w:t>
      </w:r>
      <w:r>
        <w:rPr>
          <w:rFonts w:hint="cs"/>
          <w:rtl/>
          <w:lang w:bidi="fa-IR"/>
        </w:rPr>
        <w:t xml:space="preserve"> </w:t>
      </w:r>
      <w:r>
        <w:rPr>
          <w:rStyle w:val="libFootnotenumChar"/>
          <w:rtl/>
        </w:rPr>
        <w:t>(12)</w:t>
      </w:r>
      <w:r w:rsidRPr="00132E65">
        <w:rPr>
          <w:rtl/>
          <w:lang w:bidi="fa-IR"/>
        </w:rPr>
        <w:t xml:space="preserve"> أَخِيكَ إِمَاماً ، فَلَا حَاجَةَ بِكَ إِلَى السُّلْطَانِ </w:t>
      </w:r>
      <w:r w:rsidRPr="00F543F1">
        <w:rPr>
          <w:rStyle w:val="libFootnotenumChar"/>
          <w:rtl/>
        </w:rPr>
        <w:t>(13)</w:t>
      </w:r>
      <w:r w:rsidRPr="00132E65">
        <w:rPr>
          <w:rtl/>
          <w:lang w:bidi="fa-IR"/>
        </w:rPr>
        <w:t xml:space="preserve"> يُرَتِّبُكَ </w:t>
      </w:r>
      <w:r w:rsidRPr="00F543F1">
        <w:rPr>
          <w:rStyle w:val="libFootnotenumChar"/>
          <w:rtl/>
        </w:rPr>
        <w:t>(14)</w:t>
      </w:r>
      <w:r w:rsidRPr="00132E65">
        <w:rPr>
          <w:rtl/>
          <w:lang w:bidi="fa-IR"/>
        </w:rPr>
        <w:t xml:space="preserve"> مَرَاتِبَهُمَا </w:t>
      </w:r>
      <w:r w:rsidRPr="00F543F1">
        <w:rPr>
          <w:rStyle w:val="libFootnotenumChar"/>
          <w:rtl/>
        </w:rPr>
        <w:t>(15)</w:t>
      </w:r>
      <w:r w:rsidRPr="00132E65">
        <w:rPr>
          <w:rtl/>
          <w:lang w:bidi="fa-IR"/>
        </w:rPr>
        <w:t xml:space="preserve"> ، و</w:t>
      </w:r>
      <w:r w:rsidR="00A8740D">
        <w:rPr>
          <w:rFonts w:hint="cs"/>
          <w:rtl/>
          <w:lang w:bidi="fa-IR"/>
        </w:rPr>
        <w:t>َ</w:t>
      </w:r>
      <w:r w:rsidRPr="00132E65">
        <w:rPr>
          <w:rtl/>
          <w:lang w:bidi="fa-IR"/>
        </w:rPr>
        <w:t xml:space="preserve">لَا </w:t>
      </w:r>
      <w:r w:rsidRPr="00F543F1">
        <w:rPr>
          <w:rStyle w:val="libFootnotenumChar"/>
          <w:rtl/>
        </w:rPr>
        <w:t>(16)</w:t>
      </w:r>
      <w:r w:rsidRPr="00132E65">
        <w:rPr>
          <w:rtl/>
          <w:lang w:bidi="fa-IR"/>
        </w:rPr>
        <w:t xml:space="preserve"> غَيْرِ السُّلْطَانِ ، و</w:t>
      </w:r>
      <w:r w:rsidR="00A8740D">
        <w:rPr>
          <w:rFonts w:hint="cs"/>
          <w:rtl/>
          <w:lang w:bidi="fa-IR"/>
        </w:rPr>
        <w:t>َ</w:t>
      </w:r>
      <w:r w:rsidRPr="00132E65">
        <w:rPr>
          <w:rtl/>
          <w:lang w:bidi="fa-IR"/>
        </w:rPr>
        <w:t>إِنْ لَمْ تَكُنْ عِنْدَهُمْ بِهذِهِ الْمَنْزِلَةِ لَمْ تَنَلْهَا بِنَا.</w:t>
      </w:r>
    </w:p>
    <w:p w:rsidR="000C39D1" w:rsidRPr="00132E65" w:rsidRDefault="000C39D1" w:rsidP="000C39D1">
      <w:pPr>
        <w:pStyle w:val="libNormal"/>
        <w:rPr>
          <w:rtl/>
          <w:lang w:bidi="fa-IR"/>
        </w:rPr>
      </w:pPr>
      <w:r w:rsidRPr="00132E65">
        <w:rPr>
          <w:rtl/>
          <w:lang w:bidi="fa-IR"/>
        </w:rPr>
        <w:t xml:space="preserve">وَاسْتَقَلَّهُ </w:t>
      </w:r>
      <w:r w:rsidRPr="00F543F1">
        <w:rPr>
          <w:rStyle w:val="libFootnotenumChar"/>
          <w:rtl/>
        </w:rPr>
        <w:t>(17)</w:t>
      </w:r>
      <w:r w:rsidRPr="00132E65">
        <w:rPr>
          <w:rtl/>
          <w:lang w:bidi="fa-IR"/>
        </w:rPr>
        <w:t xml:space="preserve"> أَبِي عِنْدَ ذلِكَ ، و</w:t>
      </w:r>
      <w:r w:rsidR="00A8740D">
        <w:rPr>
          <w:rFonts w:hint="cs"/>
          <w:rtl/>
          <w:lang w:bidi="fa-IR"/>
        </w:rPr>
        <w:t>َ</w:t>
      </w:r>
      <w:r w:rsidRPr="00132E65">
        <w:rPr>
          <w:rtl/>
          <w:lang w:bidi="fa-IR"/>
        </w:rPr>
        <w:t>اسْتَضْعَفَهُ ، و</w:t>
      </w:r>
      <w:r w:rsidR="00A8740D">
        <w:rPr>
          <w:rFonts w:hint="cs"/>
          <w:rtl/>
          <w:lang w:bidi="fa-IR"/>
        </w:rPr>
        <w:t>َ</w:t>
      </w:r>
      <w:r w:rsidRPr="00132E65">
        <w:rPr>
          <w:rtl/>
          <w:lang w:bidi="fa-IR"/>
        </w:rPr>
        <w:t>أَمَرَ أَنْ يُحْجَبَ عَنْهُ ، فَلَمْ يَأْذَنْ لَهُ فِي‌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علم »</w:t>
      </w:r>
      <w:r>
        <w:rPr>
          <w:rtl/>
        </w:rPr>
        <w:t>.</w:t>
      </w:r>
    </w:p>
    <w:p w:rsidR="000C39D1" w:rsidRPr="00132E65" w:rsidRDefault="000C39D1" w:rsidP="000C39D1">
      <w:pPr>
        <w:pStyle w:val="libFootnote0"/>
        <w:rPr>
          <w:rtl/>
          <w:lang w:bidi="fa-IR"/>
        </w:rPr>
      </w:pPr>
      <w:r>
        <w:rPr>
          <w:rtl/>
        </w:rPr>
        <w:t>(2).</w:t>
      </w:r>
      <w:r w:rsidRPr="00132E65">
        <w:rPr>
          <w:rtl/>
        </w:rPr>
        <w:t xml:space="preserve"> في « ج » : « إثر »</w:t>
      </w:r>
      <w:r>
        <w:rPr>
          <w:rtl/>
        </w:rPr>
        <w:t>.</w:t>
      </w:r>
    </w:p>
    <w:p w:rsidR="000C39D1" w:rsidRPr="00132E65" w:rsidRDefault="000C39D1" w:rsidP="000C39D1">
      <w:pPr>
        <w:pStyle w:val="libFootnote0"/>
        <w:rPr>
          <w:rtl/>
          <w:lang w:bidi="fa-IR"/>
        </w:rPr>
      </w:pPr>
      <w:r>
        <w:rPr>
          <w:rtl/>
        </w:rPr>
        <w:t>(3).</w:t>
      </w:r>
      <w:r w:rsidRPr="00132E65">
        <w:rPr>
          <w:rtl/>
        </w:rPr>
        <w:t xml:space="preserve"> في الإرشاد : « ول</w:t>
      </w:r>
      <w:r w:rsidR="00A8740D">
        <w:rPr>
          <w:rFonts w:hint="cs"/>
          <w:rtl/>
        </w:rPr>
        <w:t>ـ</w:t>
      </w:r>
      <w:r w:rsidRPr="00132E65">
        <w:rPr>
          <w:rtl/>
        </w:rPr>
        <w:t>مّا دفن جاء جعفر بن عليّ أخوه » بدل « فحمل من وسط داره</w:t>
      </w:r>
      <w:r>
        <w:rPr>
          <w:rtl/>
        </w:rPr>
        <w:t xml:space="preserve"> - </w:t>
      </w:r>
      <w:r w:rsidRPr="00132E65">
        <w:rPr>
          <w:rtl/>
        </w:rPr>
        <w:t>إلى</w:t>
      </w:r>
      <w:r>
        <w:rPr>
          <w:rtl/>
        </w:rPr>
        <w:t xml:space="preserve"> - </w:t>
      </w:r>
      <w:r w:rsidRPr="00132E65">
        <w:rPr>
          <w:rtl/>
        </w:rPr>
        <w:t>بعد ذلك »</w:t>
      </w:r>
      <w:r>
        <w:rPr>
          <w:rtl/>
        </w:rPr>
        <w:t>.</w:t>
      </w:r>
    </w:p>
    <w:p w:rsidR="000C39D1" w:rsidRPr="00132E65" w:rsidRDefault="000C39D1" w:rsidP="000C39D1">
      <w:pPr>
        <w:pStyle w:val="libFootnote0"/>
        <w:rPr>
          <w:rtl/>
          <w:lang w:bidi="fa-IR"/>
        </w:rPr>
      </w:pPr>
      <w:r>
        <w:rPr>
          <w:rtl/>
        </w:rPr>
        <w:t>(4).</w:t>
      </w:r>
      <w:r w:rsidRPr="00132E65">
        <w:rPr>
          <w:rtl/>
        </w:rPr>
        <w:t xml:space="preserve"> في الإرشاد : « وأنا »</w:t>
      </w:r>
      <w:r>
        <w:rPr>
          <w:rtl/>
        </w:rPr>
        <w:t>.</w:t>
      </w:r>
      <w:r w:rsidRPr="00132E65">
        <w:rPr>
          <w:rtl/>
        </w:rPr>
        <w:t xml:space="preserve"> وهو يؤيّد حاليّة الواو ورفع « ا</w:t>
      </w:r>
      <w:r w:rsidR="00A8740D">
        <w:rPr>
          <w:rFonts w:hint="cs"/>
          <w:rtl/>
        </w:rPr>
        <w:t>ُ</w:t>
      </w:r>
      <w:r w:rsidRPr="00132E65">
        <w:rPr>
          <w:rtl/>
        </w:rPr>
        <w:t>وصل »</w:t>
      </w:r>
      <w:r>
        <w:rPr>
          <w:rtl/>
        </w:rPr>
        <w:t>.</w:t>
      </w:r>
    </w:p>
    <w:p w:rsidR="000C39D1" w:rsidRPr="00132E65" w:rsidRDefault="000C39D1" w:rsidP="000C39D1">
      <w:pPr>
        <w:pStyle w:val="libFootnote0"/>
        <w:rPr>
          <w:rtl/>
          <w:lang w:bidi="fa-IR"/>
        </w:rPr>
      </w:pPr>
      <w:r>
        <w:rPr>
          <w:rtl/>
        </w:rPr>
        <w:t>(5).</w:t>
      </w:r>
      <w:r w:rsidRPr="00132E65">
        <w:rPr>
          <w:rtl/>
        </w:rPr>
        <w:t xml:space="preserve"> « الزَبْرُ » : المنع والزَجْرُ. يقال : زَبَرَهُ يَزْبُرُهُ زَبْراً ، أي انتهره وأغلظ له في القول والردّ. راجع : </w:t>
      </w:r>
      <w:r w:rsidRPr="007B47BB">
        <w:rPr>
          <w:rtl/>
        </w:rPr>
        <w:t>الصحاح</w:t>
      </w:r>
      <w:r w:rsidRPr="00132E65">
        <w:rPr>
          <w:rtl/>
        </w:rPr>
        <w:t xml:space="preserve"> ، ج 2 ، ص 667 ؛ </w:t>
      </w:r>
      <w:r w:rsidRPr="007B47BB">
        <w:rPr>
          <w:rtl/>
        </w:rPr>
        <w:t>النهاية</w:t>
      </w:r>
      <w:r w:rsidRPr="00132E65">
        <w:rPr>
          <w:rtl/>
        </w:rPr>
        <w:t xml:space="preserve"> ، ج 2 ، ص 293 ( زبر )</w:t>
      </w:r>
      <w:r>
        <w:rPr>
          <w:rtl/>
        </w:rPr>
        <w:t>.</w:t>
      </w:r>
    </w:p>
    <w:p w:rsidR="000C39D1" w:rsidRPr="00132E65" w:rsidRDefault="000C39D1" w:rsidP="000C39D1">
      <w:pPr>
        <w:pStyle w:val="libFootnote0"/>
        <w:rPr>
          <w:rtl/>
          <w:lang w:bidi="fa-IR"/>
        </w:rPr>
      </w:pPr>
      <w:r>
        <w:rPr>
          <w:rtl/>
        </w:rPr>
        <w:t>(6).</w:t>
      </w:r>
      <w:r w:rsidRPr="00132E65">
        <w:rPr>
          <w:rtl/>
        </w:rPr>
        <w:t xml:space="preserve"> في الإرشاد :</w:t>
      </w:r>
      <w:r>
        <w:rPr>
          <w:rtl/>
        </w:rPr>
        <w:t xml:space="preserve"> + </w:t>
      </w:r>
      <w:r w:rsidRPr="00132E65">
        <w:rPr>
          <w:rtl/>
        </w:rPr>
        <w:t>« ماكره »</w:t>
      </w:r>
      <w:r>
        <w:rPr>
          <w:rtl/>
        </w:rPr>
        <w:t>.</w:t>
      </w:r>
      <w:r w:rsidRPr="00132E65">
        <w:rPr>
          <w:rtl/>
        </w:rPr>
        <w:t xml:space="preserve"> </w:t>
      </w:r>
      <w:r>
        <w:rPr>
          <w:rtl/>
        </w:rPr>
        <w:t>و «</w:t>
      </w:r>
      <w:r w:rsidRPr="00132E65">
        <w:rPr>
          <w:rtl/>
        </w:rPr>
        <w:t xml:space="preserve"> أسمعه » ، أي شتمه وسَبَّهُ. قال الراغب : « وذلك متعارف في السَبّ »</w:t>
      </w:r>
      <w:r>
        <w:rPr>
          <w:rtl/>
        </w:rPr>
        <w:t>.</w:t>
      </w:r>
      <w:r w:rsidRPr="00132E65">
        <w:rPr>
          <w:rtl/>
        </w:rPr>
        <w:t xml:space="preserve"> راجع : </w:t>
      </w:r>
      <w:r w:rsidRPr="007B47BB">
        <w:rPr>
          <w:rtl/>
        </w:rPr>
        <w:t>المفردات</w:t>
      </w:r>
      <w:r w:rsidRPr="00132E65">
        <w:rPr>
          <w:rtl/>
        </w:rPr>
        <w:t xml:space="preserve"> للراغب ، ص 425 ؛ </w:t>
      </w:r>
      <w:r w:rsidRPr="009D1ACE">
        <w:rPr>
          <w:rStyle w:val="libFootnoteBoldChar"/>
          <w:rtl/>
        </w:rPr>
        <w:t>لسان العرب</w:t>
      </w:r>
      <w:r w:rsidRPr="00132E65">
        <w:rPr>
          <w:rtl/>
        </w:rPr>
        <w:t xml:space="preserve"> ، ج 8 ، ص 165 ( سمع )</w:t>
      </w:r>
      <w:r>
        <w:rPr>
          <w:rtl/>
        </w:rPr>
        <w:t>.</w:t>
      </w:r>
    </w:p>
    <w:p w:rsidR="000C39D1" w:rsidRPr="00132E65" w:rsidRDefault="000C39D1" w:rsidP="000C39D1">
      <w:pPr>
        <w:pStyle w:val="libFootnote0"/>
        <w:rPr>
          <w:rtl/>
          <w:lang w:bidi="fa-IR"/>
        </w:rPr>
      </w:pPr>
      <w:r>
        <w:rPr>
          <w:rtl/>
        </w:rPr>
        <w:t>(7).</w:t>
      </w:r>
      <w:r w:rsidRPr="00132E65">
        <w:rPr>
          <w:rtl/>
        </w:rPr>
        <w:t xml:space="preserve"> في « 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(8).</w:t>
      </w:r>
      <w:r w:rsidRPr="00132E65">
        <w:rPr>
          <w:rtl/>
        </w:rPr>
        <w:t xml:space="preserve"> في الإرشاد : « السلطان أطال الله بقاءه » بدل « يا أحمق ، السلطان »</w:t>
      </w:r>
      <w:r>
        <w:rPr>
          <w:rtl/>
        </w:rPr>
        <w:t>.</w:t>
      </w:r>
    </w:p>
    <w:p w:rsidR="000C39D1" w:rsidRPr="00132E65" w:rsidRDefault="000C39D1" w:rsidP="000C39D1">
      <w:pPr>
        <w:pStyle w:val="libFootnote0"/>
        <w:rPr>
          <w:rtl/>
          <w:lang w:bidi="fa-IR"/>
        </w:rPr>
      </w:pPr>
      <w:r>
        <w:rPr>
          <w:rtl/>
        </w:rPr>
        <w:t>(9).</w:t>
      </w:r>
      <w:r w:rsidRPr="00132E65">
        <w:rPr>
          <w:rtl/>
        </w:rPr>
        <w:t xml:space="preserve"> في « بر ، بف » : « السيف »</w:t>
      </w:r>
      <w:r>
        <w:rPr>
          <w:rtl/>
        </w:rPr>
        <w:t>.</w:t>
      </w:r>
    </w:p>
    <w:p w:rsidR="000C39D1" w:rsidRPr="00132E65" w:rsidRDefault="000C39D1" w:rsidP="000C39D1">
      <w:pPr>
        <w:pStyle w:val="libFootnote0"/>
        <w:rPr>
          <w:rtl/>
          <w:lang w:bidi="fa-IR"/>
        </w:rPr>
      </w:pPr>
      <w:r>
        <w:rPr>
          <w:rtl/>
        </w:rPr>
        <w:t>(10).</w:t>
      </w:r>
      <w:r w:rsidRPr="00132E65">
        <w:rPr>
          <w:rtl/>
        </w:rPr>
        <w:t xml:space="preserve"> إرادة التثنية من الجمع واستعماله فيها جائز مجازاً.</w:t>
      </w:r>
    </w:p>
    <w:p w:rsidR="000C39D1" w:rsidRPr="00132E65" w:rsidRDefault="000C39D1" w:rsidP="000C39D1">
      <w:pPr>
        <w:pStyle w:val="libFootnote0"/>
        <w:rPr>
          <w:rtl/>
          <w:lang w:bidi="fa-IR"/>
        </w:rPr>
      </w:pPr>
      <w:r>
        <w:rPr>
          <w:rtl/>
        </w:rPr>
        <w:t>(11).</w:t>
      </w:r>
      <w:r w:rsidRPr="00132E65">
        <w:rPr>
          <w:rtl/>
        </w:rPr>
        <w:t xml:space="preserve"> في « ب ، بف » : « ولم يتهيّأ »</w:t>
      </w:r>
      <w:r>
        <w:rPr>
          <w:rtl/>
        </w:rPr>
        <w:t>.</w:t>
      </w:r>
    </w:p>
    <w:p w:rsidR="000C39D1" w:rsidRPr="00132E65" w:rsidRDefault="000C39D1" w:rsidP="000C39D1">
      <w:pPr>
        <w:pStyle w:val="libFootnote0"/>
        <w:rPr>
          <w:rtl/>
          <w:lang w:bidi="fa-IR"/>
        </w:rPr>
      </w:pPr>
      <w:r>
        <w:rPr>
          <w:rtl/>
        </w:rPr>
        <w:t>(12).</w:t>
      </w:r>
      <w:r w:rsidRPr="00132E65">
        <w:rPr>
          <w:rtl/>
        </w:rPr>
        <w:t xml:space="preserve"> هكذا في « ب ، ج ، ض ، ف ، بح ، بر ، بس ، بف » و</w:t>
      </w:r>
      <w:r w:rsidRPr="009D1ACE">
        <w:rPr>
          <w:rStyle w:val="libFootnoteBoldChar"/>
          <w:rtl/>
        </w:rPr>
        <w:t>الوافي</w:t>
      </w:r>
      <w:r w:rsidRPr="00132E65">
        <w:rPr>
          <w:rtl/>
        </w:rPr>
        <w:t xml:space="preserve"> والإرشاد. وفي المطبوع : « أو »</w:t>
      </w:r>
      <w:r>
        <w:rPr>
          <w:rtl/>
        </w:rPr>
        <w:t>.</w:t>
      </w:r>
    </w:p>
    <w:p w:rsidR="000C39D1" w:rsidRPr="00132E65" w:rsidRDefault="000C39D1" w:rsidP="000C39D1">
      <w:pPr>
        <w:pStyle w:val="libFootnote0"/>
        <w:rPr>
          <w:rtl/>
          <w:lang w:bidi="fa-IR"/>
        </w:rPr>
      </w:pPr>
      <w:r>
        <w:rPr>
          <w:rtl/>
        </w:rPr>
        <w:t>(13)</w:t>
      </w:r>
      <w:r w:rsidRPr="00132E65">
        <w:rPr>
          <w:rtl/>
        </w:rPr>
        <w:t xml:space="preserve"> في « بف » : « سلطان »</w:t>
      </w:r>
      <w:r>
        <w:rPr>
          <w:rtl/>
        </w:rPr>
        <w:t>.</w:t>
      </w:r>
    </w:p>
    <w:p w:rsidR="000C39D1" w:rsidRPr="00132E65" w:rsidRDefault="000C39D1" w:rsidP="00D4341F">
      <w:pPr>
        <w:pStyle w:val="libFootnote0"/>
        <w:rPr>
          <w:rtl/>
          <w:lang w:bidi="fa-IR"/>
        </w:rPr>
      </w:pPr>
      <w:r>
        <w:rPr>
          <w:rtl/>
        </w:rPr>
        <w:t>(14)</w:t>
      </w:r>
      <w:r w:rsidRPr="00132E65">
        <w:rPr>
          <w:rtl/>
        </w:rPr>
        <w:t xml:space="preserve"> هكذا في « ب ، ج ، ض ، ف ، بح ، بر ، بس ، بف » و</w:t>
      </w:r>
      <w:r w:rsidRPr="009D1ACE">
        <w:rPr>
          <w:rStyle w:val="libFootnoteBoldChar"/>
          <w:rtl/>
        </w:rPr>
        <w:t>الوافي</w:t>
      </w:r>
      <w:r w:rsidRPr="00132E65">
        <w:rPr>
          <w:rtl/>
        </w:rPr>
        <w:t>. وفي المطبوع : « [ أن ] يرتّبكَ »</w:t>
      </w:r>
      <w:r>
        <w:rPr>
          <w:rtl/>
        </w:rPr>
        <w:t>.</w:t>
      </w:r>
      <w:r w:rsidRPr="00132E65">
        <w:rPr>
          <w:rtl/>
        </w:rPr>
        <w:t xml:space="preserve"> وفي الإرشاد : « ليرتّبك »</w:t>
      </w:r>
      <w:r>
        <w:rPr>
          <w:rtl/>
        </w:rPr>
        <w:t>.</w:t>
      </w:r>
      <w:r w:rsidR="00D4341F">
        <w:rPr>
          <w:rFonts w:hint="cs"/>
          <w:rtl/>
        </w:rPr>
        <w:t xml:space="preserve">                                                      </w:t>
      </w:r>
      <w:r>
        <w:rPr>
          <w:rtl/>
        </w:rPr>
        <w:t>(15)</w:t>
      </w:r>
      <w:r w:rsidRPr="00132E65">
        <w:rPr>
          <w:rtl/>
        </w:rPr>
        <w:t xml:space="preserve"> في « بر » : « مراتبها »</w:t>
      </w:r>
      <w:r>
        <w:rPr>
          <w:rtl/>
        </w:rPr>
        <w:t>.</w:t>
      </w:r>
      <w:r w:rsidRPr="00132E65">
        <w:rPr>
          <w:rtl/>
        </w:rPr>
        <w:t xml:space="preserve"> وفي الإرشاد : « مراتبهم »</w:t>
      </w:r>
      <w:r>
        <w:rPr>
          <w:rtl/>
        </w:rPr>
        <w:t>.</w:t>
      </w:r>
    </w:p>
    <w:p w:rsidR="000C39D1" w:rsidRPr="00132E65" w:rsidRDefault="000C39D1" w:rsidP="000C39D1">
      <w:pPr>
        <w:pStyle w:val="libFootnote0"/>
        <w:rPr>
          <w:rtl/>
          <w:lang w:bidi="fa-IR"/>
        </w:rPr>
      </w:pPr>
      <w:r>
        <w:rPr>
          <w:rtl/>
        </w:rPr>
        <w:t>(16)</w:t>
      </w:r>
      <w:r w:rsidRPr="00132E65">
        <w:rPr>
          <w:rtl/>
        </w:rPr>
        <w:t xml:space="preserve"> في « ف » </w:t>
      </w:r>
      <w:r>
        <w:rPr>
          <w:rtl/>
        </w:rPr>
        <w:t xml:space="preserve">: - </w:t>
      </w:r>
      <w:r w:rsidRPr="00132E65">
        <w:rPr>
          <w:rtl/>
        </w:rPr>
        <w:t>« لا »</w:t>
      </w:r>
      <w:r>
        <w:rPr>
          <w:rtl/>
        </w:rPr>
        <w:t>.</w:t>
      </w:r>
    </w:p>
    <w:p w:rsidR="000C39D1" w:rsidRPr="00132E65" w:rsidRDefault="000C39D1" w:rsidP="000C39D1">
      <w:pPr>
        <w:pStyle w:val="libFootnote0"/>
        <w:rPr>
          <w:rtl/>
          <w:lang w:bidi="fa-IR"/>
        </w:rPr>
      </w:pPr>
      <w:r>
        <w:rPr>
          <w:rtl/>
        </w:rPr>
        <w:t>(17)</w:t>
      </w:r>
      <w:r w:rsidRPr="00132E65">
        <w:rPr>
          <w:rtl/>
        </w:rPr>
        <w:t xml:space="preserve"> في الإرشاد : « فاستقلّه »</w:t>
      </w:r>
      <w:r>
        <w:rPr>
          <w:rtl/>
        </w:rPr>
        <w:t>.</w:t>
      </w:r>
      <w:r w:rsidRPr="00132E65">
        <w:rPr>
          <w:rtl/>
        </w:rPr>
        <w:t xml:space="preserve"> </w:t>
      </w:r>
      <w:r>
        <w:rPr>
          <w:rtl/>
        </w:rPr>
        <w:t>و «</w:t>
      </w:r>
      <w:r w:rsidRPr="00132E65">
        <w:rPr>
          <w:rtl/>
        </w:rPr>
        <w:t xml:space="preserve"> استقلّه » ، أي عدّه قليلاً ذليلاً ، سفيه الرأي ، قليل العقل. راجع : </w:t>
      </w:r>
      <w:r w:rsidRPr="007B47BB">
        <w:rPr>
          <w:rtl/>
        </w:rPr>
        <w:t>الصحاح</w:t>
      </w:r>
      <w:r w:rsidRPr="00132E65">
        <w:rPr>
          <w:rtl/>
        </w:rPr>
        <w:t xml:space="preserve"> ، ج 5 ، ص 1804 ( قلل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D4341F">
      <w:pPr>
        <w:pStyle w:val="libNormal0"/>
        <w:tabs>
          <w:tab w:val="left" w:pos="3968"/>
        </w:tabs>
        <w:rPr>
          <w:rtl/>
          <w:lang w:bidi="fa-IR"/>
        </w:rPr>
      </w:pPr>
      <w:r w:rsidRPr="00132E65">
        <w:rPr>
          <w:rtl/>
          <w:lang w:bidi="fa-IR"/>
        </w:rPr>
        <w:t xml:space="preserve">الدُّخُولِ عَلَيْهِ </w:t>
      </w:r>
      <w:r>
        <w:rPr>
          <w:rStyle w:val="libFootnotenumChar"/>
          <w:rtl/>
        </w:rPr>
        <w:t>(1)</w:t>
      </w:r>
      <w:r w:rsidRPr="00132E65">
        <w:rPr>
          <w:rtl/>
          <w:lang w:bidi="fa-IR"/>
        </w:rPr>
        <w:t xml:space="preserve"> حَتّى مَاتَ أَبِي وخَرَجْنَا و</w:t>
      </w:r>
      <w:r w:rsidR="00D4341F">
        <w:rPr>
          <w:rFonts w:hint="cs"/>
          <w:rtl/>
          <w:lang w:bidi="fa-IR"/>
        </w:rPr>
        <w:t>َ</w:t>
      </w:r>
      <w:r w:rsidRPr="00132E65">
        <w:rPr>
          <w:rtl/>
          <w:lang w:bidi="fa-IR"/>
        </w:rPr>
        <w:t xml:space="preserve">هُوَ عَلى تِلْكَ الْحَالِ </w:t>
      </w:r>
      <w:r>
        <w:rPr>
          <w:rStyle w:val="libFootnotenumChar"/>
          <w:rtl/>
        </w:rPr>
        <w:t>(2)</w:t>
      </w:r>
      <w:r w:rsidRPr="00132E65">
        <w:rPr>
          <w:rtl/>
          <w:lang w:bidi="fa-IR"/>
        </w:rPr>
        <w:t xml:space="preserve"> ، و</w:t>
      </w:r>
      <w:r w:rsidR="00D4341F">
        <w:rPr>
          <w:rFonts w:hint="cs"/>
          <w:rtl/>
          <w:lang w:bidi="fa-IR"/>
        </w:rPr>
        <w:t>َ</w:t>
      </w:r>
      <w:r w:rsidRPr="00132E65">
        <w:rPr>
          <w:rtl/>
          <w:lang w:bidi="fa-IR"/>
        </w:rPr>
        <w:t xml:space="preserve">السُّلْطَانُ يَطْلُبُ أَثَرَ وَلَدِ </w:t>
      </w:r>
      <w:r>
        <w:rPr>
          <w:rStyle w:val="libFootnotenumChar"/>
          <w:rtl/>
        </w:rPr>
        <w:t>(3)</w:t>
      </w:r>
      <w:r w:rsidRPr="00132E65">
        <w:rPr>
          <w:rtl/>
          <w:lang w:bidi="fa-IR"/>
        </w:rPr>
        <w:t xml:space="preserve"> الْحَسَنِ بْنِ عَلِيٍّ </w:t>
      </w:r>
      <w:r w:rsidRPr="00071CF9">
        <w:rPr>
          <w:rStyle w:val="libAlaemChar"/>
          <w:rtl/>
        </w:rPr>
        <w:t>عليه‌السلام</w:t>
      </w:r>
      <w:r w:rsidRPr="00132E65">
        <w:rPr>
          <w:rtl/>
          <w:lang w:bidi="fa-IR"/>
        </w:rPr>
        <w:t xml:space="preserve"> </w:t>
      </w:r>
      <w:r>
        <w:rPr>
          <w:rStyle w:val="libFootnotenumChar"/>
          <w:rtl/>
        </w:rPr>
        <w:t>(4)</w:t>
      </w:r>
      <w:r w:rsidR="00D4341F">
        <w:rPr>
          <w:rFonts w:hint="cs"/>
          <w:rtl/>
          <w:lang w:bidi="fa-IR"/>
        </w:rPr>
        <w:t>.</w:t>
      </w:r>
      <w:r>
        <w:rPr>
          <w:rStyle w:val="libFootnotenumChar"/>
          <w:rtl/>
        </w:rPr>
        <w:t>(5)</w:t>
      </w:r>
    </w:p>
    <w:p w:rsidR="000C39D1" w:rsidRPr="00132E65" w:rsidRDefault="000C39D1" w:rsidP="000C39D1">
      <w:pPr>
        <w:pStyle w:val="libNormal"/>
        <w:rPr>
          <w:rtl/>
          <w:lang w:bidi="fa-IR"/>
        </w:rPr>
      </w:pPr>
      <w:r w:rsidRPr="007B47BB">
        <w:rPr>
          <w:rtl/>
        </w:rPr>
        <w:t>1331</w:t>
      </w:r>
      <w:r w:rsidRPr="004325D8">
        <w:rPr>
          <w:rStyle w:val="libBold2Char"/>
          <w:rtl/>
        </w:rPr>
        <w:t xml:space="preserve"> / 2.</w:t>
      </w:r>
      <w:r w:rsidRPr="00132E65">
        <w:rPr>
          <w:rtl/>
          <w:lang w:bidi="fa-IR"/>
        </w:rPr>
        <w:t xml:space="preserve"> عَلِيُّ بْنُ مُحَمَّدٍ ، عَنْ مُحَمَّدِ بْنِ إِسْمَاعِيلَ بْنِ إِبْرَاهِيمَ بْنِ مُوسَى بْنِ جَعْفَرٍ ، قَالَ :</w:t>
      </w:r>
    </w:p>
    <w:p w:rsidR="000C39D1" w:rsidRPr="00132E65" w:rsidRDefault="000C39D1" w:rsidP="000C39D1">
      <w:pPr>
        <w:pStyle w:val="libNormal"/>
        <w:rPr>
          <w:rtl/>
          <w:lang w:bidi="fa-IR"/>
        </w:rPr>
      </w:pPr>
      <w:r w:rsidRPr="00132E65">
        <w:rPr>
          <w:rtl/>
          <w:lang w:bidi="fa-IR"/>
        </w:rPr>
        <w:t xml:space="preserve">كَتَبَ أَبُو مُحَمَّدٍ </w:t>
      </w:r>
      <w:r w:rsidRPr="00071CF9">
        <w:rPr>
          <w:rStyle w:val="libAlaemChar"/>
          <w:rtl/>
        </w:rPr>
        <w:t>عليه‌السلام</w:t>
      </w:r>
      <w:r w:rsidRPr="00132E65">
        <w:rPr>
          <w:rtl/>
          <w:lang w:bidi="fa-IR"/>
        </w:rPr>
        <w:t xml:space="preserve"> إِلى أَبِي الْقَاسِمِ </w:t>
      </w:r>
      <w:r>
        <w:rPr>
          <w:rStyle w:val="libFootnotenumChar"/>
          <w:rtl/>
        </w:rPr>
        <w:t>(6)</w:t>
      </w:r>
      <w:r w:rsidRPr="00132E65">
        <w:rPr>
          <w:rtl/>
          <w:lang w:bidi="fa-IR"/>
        </w:rPr>
        <w:t xml:space="preserve"> إِسْحَاقَ بْنِ جَعْفَرٍ الزُّبَيْرِيِّ قَبْلَ مَوْتِ الْمُعْتَزِّ بِنَحْوِ </w:t>
      </w:r>
      <w:r>
        <w:rPr>
          <w:rStyle w:val="libFootnotenumChar"/>
          <w:rtl/>
        </w:rPr>
        <w:t>(7)</w:t>
      </w:r>
      <w:r w:rsidRPr="00132E65">
        <w:rPr>
          <w:rtl/>
          <w:lang w:bidi="fa-IR"/>
        </w:rPr>
        <w:t xml:space="preserve"> عِشْرِينَ يَوْماً : « الْزَمْ بَيْتَكَ حَتّى يَحْدُثَ الْحَادِثُ »</w:t>
      </w:r>
      <w:r>
        <w:rPr>
          <w:rtl/>
          <w:lang w:bidi="fa-IR"/>
        </w:rPr>
        <w:t>.</w:t>
      </w:r>
      <w:r w:rsidRPr="00132E65">
        <w:rPr>
          <w:rtl/>
          <w:lang w:bidi="fa-IR"/>
        </w:rPr>
        <w:t xml:space="preserve"> فَلَمَّا قُتِلَ بُرَيْحَةُ </w:t>
      </w:r>
      <w:r>
        <w:rPr>
          <w:rStyle w:val="libFootnotenumChar"/>
          <w:rtl/>
        </w:rPr>
        <w:t>(8)</w:t>
      </w:r>
      <w:r w:rsidRPr="00132E65">
        <w:rPr>
          <w:rtl/>
          <w:lang w:bidi="fa-IR"/>
        </w:rPr>
        <w:t xml:space="preserve"> كَتَبَ إِلَيْهِ : قَدْ حَدَثَ الْحَادِثُ ، فَمَا تَأْمُرُنِي</w:t>
      </w:r>
      <w:r>
        <w:rPr>
          <w:rtl/>
          <w:lang w:bidi="fa-IR"/>
        </w:rPr>
        <w:t>؟</w:t>
      </w:r>
      <w:r w:rsidRPr="00132E65">
        <w:rPr>
          <w:rtl/>
          <w:lang w:bidi="fa-IR"/>
        </w:rPr>
        <w:t xml:space="preserve"> فَكَتَبَ </w:t>
      </w:r>
      <w:r>
        <w:rPr>
          <w:rStyle w:val="libFootnotenumChar"/>
          <w:rtl/>
        </w:rPr>
        <w:t>(9)</w:t>
      </w:r>
      <w:r w:rsidRPr="00132E65">
        <w:rPr>
          <w:rtl/>
          <w:lang w:bidi="fa-IR"/>
        </w:rPr>
        <w:t xml:space="preserve"> : « لَيْسَ هذَا الْحَادِثَ ، بَلِ </w:t>
      </w:r>
      <w:r>
        <w:rPr>
          <w:rStyle w:val="libFootnotenumChar"/>
          <w:rtl/>
        </w:rPr>
        <w:t>(10)</w:t>
      </w:r>
      <w:r w:rsidRPr="00132E65">
        <w:rPr>
          <w:rtl/>
          <w:lang w:bidi="fa-IR"/>
        </w:rPr>
        <w:t xml:space="preserve"> الْحَادِثُ الْآخَرُ » ، فَكَانَ مِنْ أَمْرِ </w:t>
      </w:r>
      <w:r>
        <w:rPr>
          <w:rStyle w:val="libFootnotenumChar"/>
          <w:rtl/>
        </w:rPr>
        <w:t>(11)</w:t>
      </w:r>
      <w:r w:rsidRPr="00132E65">
        <w:rPr>
          <w:rtl/>
          <w:lang w:bidi="fa-IR"/>
        </w:rPr>
        <w:t xml:space="preserve"> الْمُعْتَزِّ مَا كَانَ.</w:t>
      </w:r>
    </w:p>
    <w:p w:rsidR="000C39D1" w:rsidRPr="00132E65" w:rsidRDefault="00D4341F" w:rsidP="000C39D1">
      <w:pPr>
        <w:pStyle w:val="libNormal"/>
        <w:rPr>
          <w:rtl/>
          <w:lang w:bidi="fa-IR"/>
        </w:rPr>
      </w:pPr>
      <w:r>
        <w:rPr>
          <w:rFonts w:hint="cs"/>
          <w:rtl/>
          <w:lang w:bidi="fa-IR"/>
        </w:rPr>
        <w:t xml:space="preserve">* </w:t>
      </w:r>
      <w:r w:rsidR="000C39D1" w:rsidRPr="00132E65">
        <w:rPr>
          <w:rtl/>
          <w:lang w:bidi="fa-IR"/>
        </w:rPr>
        <w:t>و</w:t>
      </w:r>
      <w:r>
        <w:rPr>
          <w:rFonts w:hint="cs"/>
          <w:rtl/>
          <w:lang w:bidi="fa-IR"/>
        </w:rPr>
        <w:t>َ</w:t>
      </w:r>
      <w:r w:rsidR="000C39D1" w:rsidRPr="00132E65">
        <w:rPr>
          <w:rtl/>
          <w:lang w:bidi="fa-IR"/>
        </w:rPr>
        <w:t xml:space="preserve">عَنْهُ </w:t>
      </w:r>
      <w:r w:rsidR="000C39D1">
        <w:rPr>
          <w:rStyle w:val="libFootnotenumChar"/>
          <w:rtl/>
        </w:rPr>
        <w:t>(12)</w:t>
      </w:r>
      <w:r w:rsidR="000C39D1" w:rsidRPr="00132E65">
        <w:rPr>
          <w:rtl/>
          <w:lang w:bidi="fa-IR"/>
        </w:rPr>
        <w:t xml:space="preserve"> ، قَالَ : كَتَبَ </w:t>
      </w:r>
      <w:r w:rsidR="000C39D1" w:rsidRPr="00F543F1">
        <w:rPr>
          <w:rStyle w:val="libFootnotenumChar"/>
          <w:rtl/>
        </w:rPr>
        <w:t>(13)</w:t>
      </w:r>
      <w:r w:rsidR="000C39D1" w:rsidRPr="00132E65">
        <w:rPr>
          <w:rtl/>
          <w:lang w:bidi="fa-IR"/>
        </w:rPr>
        <w:t xml:space="preserve"> </w:t>
      </w:r>
      <w:r w:rsidR="000C39D1" w:rsidRPr="00071CF9">
        <w:rPr>
          <w:rStyle w:val="libAlaemChar"/>
          <w:rtl/>
        </w:rPr>
        <w:t>عليه‌السلام</w:t>
      </w:r>
      <w:r w:rsidR="000C39D1" w:rsidRPr="00132E65">
        <w:rPr>
          <w:rtl/>
          <w:lang w:bidi="fa-IR"/>
        </w:rPr>
        <w:t xml:space="preserve"> إِلى رَجُلٍ آخَرَ : « يُقْتَلُ </w:t>
      </w:r>
      <w:r w:rsidR="000C39D1" w:rsidRPr="00F543F1">
        <w:rPr>
          <w:rStyle w:val="libFootnotenumChar"/>
          <w:rtl/>
        </w:rPr>
        <w:t>(14)</w:t>
      </w:r>
      <w:r w:rsidR="000C39D1" w:rsidRPr="00132E65">
        <w:rPr>
          <w:rtl/>
          <w:lang w:bidi="fa-IR"/>
        </w:rPr>
        <w:t xml:space="preserve"> ابْنُ مُحَمَّدِ بْنِ دَاوُدَ </w:t>
      </w:r>
      <w:r w:rsidR="000C39D1" w:rsidRPr="00F543F1">
        <w:rPr>
          <w:rStyle w:val="libFootnotenumChar"/>
          <w:rtl/>
        </w:rPr>
        <w:t>(15)</w:t>
      </w:r>
      <w:r w:rsidR="000C39D1"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D4341F" w:rsidTr="00D4341F">
        <w:tc>
          <w:tcPr>
            <w:tcW w:w="4261" w:type="dxa"/>
          </w:tcPr>
          <w:p w:rsidR="00D4341F" w:rsidRDefault="00D4341F" w:rsidP="000C39D1">
            <w:pPr>
              <w:pStyle w:val="libFootnote0"/>
              <w:rPr>
                <w:rtl/>
              </w:rPr>
            </w:pPr>
            <w:r>
              <w:rPr>
                <w:rtl/>
              </w:rPr>
              <w:t>(1).</w:t>
            </w:r>
            <w:r w:rsidRPr="00132E65">
              <w:rPr>
                <w:rtl/>
              </w:rPr>
              <w:t xml:space="preserve"> في « ف » </w:t>
            </w:r>
            <w:r>
              <w:rPr>
                <w:rtl/>
              </w:rPr>
              <w:t xml:space="preserve">: - </w:t>
            </w:r>
            <w:r w:rsidRPr="00132E65">
              <w:rPr>
                <w:rtl/>
              </w:rPr>
              <w:t>« عليه »</w:t>
            </w:r>
            <w:r>
              <w:rPr>
                <w:rtl/>
              </w:rPr>
              <w:t>.</w:t>
            </w:r>
          </w:p>
        </w:tc>
        <w:tc>
          <w:tcPr>
            <w:tcW w:w="4262" w:type="dxa"/>
          </w:tcPr>
          <w:p w:rsidR="00D4341F" w:rsidRDefault="00D4341F" w:rsidP="000C39D1">
            <w:pPr>
              <w:pStyle w:val="libFootnote0"/>
              <w:rPr>
                <w:rtl/>
              </w:rPr>
            </w:pPr>
            <w:r>
              <w:rPr>
                <w:rtl/>
              </w:rPr>
              <w:t>(2).</w:t>
            </w:r>
            <w:r w:rsidRPr="00132E65">
              <w:rPr>
                <w:rtl/>
              </w:rPr>
              <w:t xml:space="preserve"> في « ض ، ف » : « الحالة »</w:t>
            </w:r>
            <w:r>
              <w:rPr>
                <w:rtl/>
              </w:rPr>
              <w:t>.</w:t>
            </w:r>
          </w:p>
        </w:tc>
      </w:tr>
    </w:tbl>
    <w:p w:rsidR="000C39D1" w:rsidRPr="00132E65" w:rsidRDefault="000C39D1" w:rsidP="000C39D1">
      <w:pPr>
        <w:pStyle w:val="libFootnote0"/>
        <w:rPr>
          <w:rtl/>
          <w:lang w:bidi="fa-IR"/>
        </w:rPr>
      </w:pPr>
      <w:r>
        <w:rPr>
          <w:rtl/>
        </w:rPr>
        <w:t>(3).</w:t>
      </w:r>
      <w:r w:rsidRPr="00132E65">
        <w:rPr>
          <w:rtl/>
        </w:rPr>
        <w:t xml:space="preserve"> في الإرشاد : « أثراً لولد »</w:t>
      </w:r>
      <w:r>
        <w:rPr>
          <w:rtl/>
        </w:rPr>
        <w:t>.</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إلى اليوم ، وهو لا يجد إلى ذلك سبيلاً ، وشيعته مقيمون على أنّه مات وخلّف ولداً يقوم مقامه في الإمامة »</w:t>
      </w:r>
      <w:r>
        <w:rPr>
          <w:rtl/>
        </w:rPr>
        <w:t>.</w:t>
      </w:r>
    </w:p>
    <w:p w:rsidR="000C39D1" w:rsidRPr="00132E65" w:rsidRDefault="000C39D1" w:rsidP="008747F9">
      <w:pPr>
        <w:pStyle w:val="libFootnote0"/>
        <w:rPr>
          <w:rtl/>
          <w:lang w:bidi="fa-IR"/>
        </w:rPr>
      </w:pPr>
      <w:r>
        <w:rPr>
          <w:rtl/>
        </w:rPr>
        <w:t>(5).</w:t>
      </w:r>
      <w:r w:rsidRPr="00132E65">
        <w:rPr>
          <w:rtl/>
        </w:rPr>
        <w:t xml:space="preserve"> </w:t>
      </w:r>
      <w:r w:rsidRPr="007B47BB">
        <w:rPr>
          <w:rtl/>
        </w:rPr>
        <w:t>الإرشاد</w:t>
      </w:r>
      <w:r w:rsidRPr="00132E65">
        <w:rPr>
          <w:rtl/>
        </w:rPr>
        <w:t xml:space="preserve"> ، ج 2 ، ص 321 ، بسنده عن الكليني. وفي </w:t>
      </w:r>
      <w:r w:rsidRPr="007B47BB">
        <w:rPr>
          <w:rtl/>
        </w:rPr>
        <w:t>كمال الدين</w:t>
      </w:r>
      <w:r w:rsidRPr="00132E65">
        <w:rPr>
          <w:rtl/>
        </w:rPr>
        <w:t xml:space="preserve"> ، ص 40 ، بسنده عن سعد بن عبد الله الأشعري ، عن أحمد بن عبيد الله بن خاقان ، مع اختلاف يسير ؛ و</w:t>
      </w:r>
      <w:r w:rsidRPr="007B47BB">
        <w:rPr>
          <w:rtl/>
        </w:rPr>
        <w:t>الغيبة</w:t>
      </w:r>
      <w:r w:rsidRPr="00132E65">
        <w:rPr>
          <w:rtl/>
        </w:rPr>
        <w:t xml:space="preserve"> للطوسي ، ص 218 ، ح 181 ، عن سعد بن عبد الله الأشعري ، عن أحمد بن عبيد الله بن خاقان ، وفيه قطعة مع اختلاف يسير</w:t>
      </w:r>
      <w:r w:rsidR="008747F9">
        <w:rPr>
          <w:rFonts w:hint="cs"/>
          <w:rtl/>
        </w:rPr>
        <w:t>.</w:t>
      </w:r>
      <w:r w:rsidRPr="009D1ACE">
        <w:rPr>
          <w:rStyle w:val="libFootnoteBoldChar"/>
          <w:rtl/>
        </w:rPr>
        <w:t>الوافي</w:t>
      </w:r>
      <w:r w:rsidRPr="00132E65">
        <w:rPr>
          <w:rtl/>
        </w:rPr>
        <w:t xml:space="preserve"> ، ج 3 ، ص 843 ، ح 1455.</w:t>
      </w:r>
    </w:p>
    <w:tbl>
      <w:tblPr>
        <w:tblStyle w:val="TableGrid"/>
        <w:bidiVisual/>
        <w:tblW w:w="0" w:type="auto"/>
        <w:tblLook w:val="04A0" w:firstRow="1" w:lastRow="0" w:firstColumn="1" w:lastColumn="0" w:noHBand="0" w:noVBand="1"/>
      </w:tblPr>
      <w:tblGrid>
        <w:gridCol w:w="4261"/>
        <w:gridCol w:w="4262"/>
      </w:tblGrid>
      <w:tr w:rsidR="008747F9" w:rsidTr="008747F9">
        <w:tc>
          <w:tcPr>
            <w:tcW w:w="4261" w:type="dxa"/>
          </w:tcPr>
          <w:p w:rsidR="008747F9" w:rsidRDefault="008747F9" w:rsidP="000C39D1">
            <w:pPr>
              <w:pStyle w:val="libFootnote0"/>
              <w:rPr>
                <w:rtl/>
              </w:rPr>
            </w:pPr>
            <w:r>
              <w:rPr>
                <w:rtl/>
              </w:rPr>
              <w:t>(6).</w:t>
            </w:r>
            <w:r w:rsidRPr="00132E65">
              <w:rPr>
                <w:rtl/>
              </w:rPr>
              <w:t xml:space="preserve"> في « ف » </w:t>
            </w:r>
            <w:r>
              <w:rPr>
                <w:rtl/>
              </w:rPr>
              <w:t xml:space="preserve">: - </w:t>
            </w:r>
            <w:r w:rsidRPr="00132E65">
              <w:rPr>
                <w:rtl/>
              </w:rPr>
              <w:t>« القاسم »</w:t>
            </w:r>
            <w:r>
              <w:rPr>
                <w:rtl/>
              </w:rPr>
              <w:t>.</w:t>
            </w:r>
          </w:p>
        </w:tc>
        <w:tc>
          <w:tcPr>
            <w:tcW w:w="4262" w:type="dxa"/>
          </w:tcPr>
          <w:p w:rsidR="008747F9" w:rsidRDefault="008747F9" w:rsidP="000C39D1">
            <w:pPr>
              <w:pStyle w:val="libFootnote0"/>
              <w:rPr>
                <w:rtl/>
              </w:rPr>
            </w:pPr>
            <w:r>
              <w:rPr>
                <w:rtl/>
              </w:rPr>
              <w:t>(7).</w:t>
            </w:r>
            <w:r w:rsidRPr="00132E65">
              <w:rPr>
                <w:rtl/>
              </w:rPr>
              <w:t xml:space="preserve"> في « ب » والإرشاد :</w:t>
            </w:r>
            <w:r>
              <w:rPr>
                <w:rtl/>
              </w:rPr>
              <w:t xml:space="preserve"> + </w:t>
            </w:r>
            <w:r w:rsidRPr="00132E65">
              <w:rPr>
                <w:rtl/>
              </w:rPr>
              <w:t>« من »</w:t>
            </w:r>
            <w:r>
              <w:rPr>
                <w:rtl/>
              </w:rPr>
              <w:t>.</w:t>
            </w:r>
          </w:p>
        </w:tc>
      </w:tr>
      <w:tr w:rsidR="008747F9" w:rsidTr="008747F9">
        <w:tc>
          <w:tcPr>
            <w:tcW w:w="4261" w:type="dxa"/>
          </w:tcPr>
          <w:p w:rsidR="008747F9" w:rsidRDefault="008747F9" w:rsidP="000C39D1">
            <w:pPr>
              <w:pStyle w:val="libFootnote0"/>
              <w:rPr>
                <w:rtl/>
              </w:rPr>
            </w:pPr>
            <w:r>
              <w:rPr>
                <w:rtl/>
              </w:rPr>
              <w:t>(8).</w:t>
            </w:r>
            <w:r w:rsidRPr="00132E65">
              <w:rPr>
                <w:rtl/>
              </w:rPr>
              <w:t xml:space="preserve"> في </w:t>
            </w:r>
            <w:r w:rsidRPr="009D1ACE">
              <w:rPr>
                <w:rStyle w:val="libFootnoteBoldChar"/>
                <w:rtl/>
              </w:rPr>
              <w:t>الوافي</w:t>
            </w:r>
            <w:r w:rsidRPr="00132E65">
              <w:rPr>
                <w:rtl/>
              </w:rPr>
              <w:t xml:space="preserve"> : « بريحه »</w:t>
            </w:r>
            <w:r>
              <w:rPr>
                <w:rtl/>
              </w:rPr>
              <w:t>.</w:t>
            </w:r>
            <w:r w:rsidRPr="00132E65">
              <w:rPr>
                <w:rtl/>
              </w:rPr>
              <w:t xml:space="preserve"> وفي الإرشاد : « ترنجه »</w:t>
            </w:r>
            <w:r>
              <w:rPr>
                <w:rtl/>
              </w:rPr>
              <w:t>.</w:t>
            </w:r>
          </w:p>
        </w:tc>
        <w:tc>
          <w:tcPr>
            <w:tcW w:w="4262" w:type="dxa"/>
          </w:tcPr>
          <w:p w:rsidR="008747F9" w:rsidRDefault="008747F9" w:rsidP="000C39D1">
            <w:pPr>
              <w:pStyle w:val="libFootnote0"/>
              <w:rPr>
                <w:rtl/>
              </w:rPr>
            </w:pPr>
            <w:r>
              <w:rPr>
                <w:rtl/>
              </w:rPr>
              <w:t>(9).</w:t>
            </w:r>
            <w:r w:rsidRPr="00132E65">
              <w:rPr>
                <w:rtl/>
              </w:rPr>
              <w:t xml:space="preserve"> في « ب ، ض ، ف » والإرشاد :</w:t>
            </w:r>
            <w:r>
              <w:rPr>
                <w:rtl/>
              </w:rPr>
              <w:t xml:space="preserve"> + </w:t>
            </w:r>
            <w:r w:rsidRPr="00132E65">
              <w:rPr>
                <w:rtl/>
              </w:rPr>
              <w:t>« إليه »</w:t>
            </w:r>
            <w:r>
              <w:rPr>
                <w:rtl/>
              </w:rPr>
              <w:t>.</w:t>
            </w:r>
          </w:p>
        </w:tc>
      </w:tr>
    </w:tbl>
    <w:p w:rsidR="000C39D1" w:rsidRPr="00132E65" w:rsidRDefault="000C39D1" w:rsidP="00471F58">
      <w:pPr>
        <w:pStyle w:val="libFootnote0"/>
        <w:rPr>
          <w:rtl/>
          <w:lang w:bidi="fa-IR"/>
        </w:rPr>
      </w:pPr>
      <w:r>
        <w:rPr>
          <w:rtl/>
        </w:rPr>
        <w:t>(10).</w:t>
      </w:r>
      <w:r w:rsidRPr="00132E65">
        <w:rPr>
          <w:rtl/>
        </w:rPr>
        <w:t xml:space="preserve"> هكذا في « ج ، ض ، ف ، بس »</w:t>
      </w:r>
      <w:r>
        <w:rPr>
          <w:rtl/>
        </w:rPr>
        <w:t>.</w:t>
      </w:r>
      <w:r w:rsidRPr="00132E65">
        <w:rPr>
          <w:rtl/>
        </w:rPr>
        <w:t xml:space="preserve"> وفي سائر النسخ والمطبوع : « هو » بدل « بل »</w:t>
      </w:r>
      <w:r>
        <w:rPr>
          <w:rtl/>
        </w:rPr>
        <w:t>.</w:t>
      </w:r>
      <w:r w:rsidRPr="00132E65">
        <w:rPr>
          <w:rtl/>
        </w:rPr>
        <w:t xml:space="preserve"> وفي </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والإرشاد </w:t>
      </w:r>
      <w:r>
        <w:rPr>
          <w:rtl/>
        </w:rPr>
        <w:t xml:space="preserve">: - </w:t>
      </w:r>
      <w:r w:rsidRPr="00132E65">
        <w:rPr>
          <w:rtl/>
        </w:rPr>
        <w:t>« بل »</w:t>
      </w:r>
      <w:r>
        <w:rPr>
          <w:rtl/>
        </w:rPr>
        <w:t>.</w:t>
      </w:r>
      <w:r w:rsidR="00471F58">
        <w:rPr>
          <w:rFonts w:hint="cs"/>
          <w:rtl/>
        </w:rPr>
        <w:t xml:space="preserve">                                       </w:t>
      </w:r>
      <w:r>
        <w:rPr>
          <w:rtl/>
        </w:rPr>
        <w:t>(11).</w:t>
      </w:r>
      <w:r w:rsidRPr="00132E65">
        <w:rPr>
          <w:rtl/>
        </w:rPr>
        <w:t xml:space="preserve"> في « ف ، بر ، بس ، بف » والإرشاد </w:t>
      </w:r>
      <w:r>
        <w:rPr>
          <w:rtl/>
        </w:rPr>
        <w:t xml:space="preserve">: - </w:t>
      </w:r>
      <w:r w:rsidRPr="00132E65">
        <w:rPr>
          <w:rtl/>
        </w:rPr>
        <w:t>« أمر »</w:t>
      </w:r>
      <w:r>
        <w:rPr>
          <w:rtl/>
        </w:rPr>
        <w:t>.</w:t>
      </w:r>
    </w:p>
    <w:p w:rsidR="000C39D1" w:rsidRPr="00132E65" w:rsidRDefault="000C39D1" w:rsidP="000C39D1">
      <w:pPr>
        <w:pStyle w:val="libFootnote0"/>
        <w:rPr>
          <w:rtl/>
          <w:lang w:bidi="fa-IR"/>
        </w:rPr>
      </w:pPr>
      <w:r>
        <w:rPr>
          <w:rtl/>
        </w:rPr>
        <w:t>(12).</w:t>
      </w:r>
      <w:r w:rsidRPr="00132E65">
        <w:rPr>
          <w:rtl/>
        </w:rPr>
        <w:t xml:space="preserve"> الظاهر رجوع الضمير إلى محمّد بن إسماعيل بن إبراهيم بن موسى بن جعفر.</w:t>
      </w:r>
    </w:p>
    <w:p w:rsidR="000C39D1" w:rsidRPr="00132E65" w:rsidRDefault="000C39D1" w:rsidP="000C39D1">
      <w:pPr>
        <w:pStyle w:val="libFootnote0"/>
        <w:rPr>
          <w:rtl/>
          <w:lang w:bidi="fa-IR"/>
        </w:rPr>
      </w:pPr>
      <w:r>
        <w:rPr>
          <w:rtl/>
        </w:rPr>
        <w:t>(13)</w:t>
      </w:r>
      <w:r w:rsidRPr="00132E65">
        <w:rPr>
          <w:rtl/>
        </w:rPr>
        <w:t xml:space="preserve"> وفي « ب » وشرح المازندراني : « وكتب »</w:t>
      </w:r>
      <w:r>
        <w:rPr>
          <w:rtl/>
        </w:rPr>
        <w:t>.</w:t>
      </w:r>
    </w:p>
    <w:p w:rsidR="000C39D1" w:rsidRPr="00132E65" w:rsidRDefault="000C39D1" w:rsidP="000C39D1">
      <w:pPr>
        <w:pStyle w:val="libFootnote0"/>
        <w:rPr>
          <w:rtl/>
          <w:lang w:bidi="fa-IR"/>
        </w:rPr>
      </w:pPr>
      <w:r>
        <w:rPr>
          <w:rtl/>
        </w:rPr>
        <w:t>(14)</w:t>
      </w:r>
      <w:r w:rsidRPr="00132E65">
        <w:rPr>
          <w:rtl/>
        </w:rPr>
        <w:t xml:space="preserve"> في « بس » والإرشاد و</w:t>
      </w:r>
      <w:r w:rsidRPr="009D1ACE">
        <w:rPr>
          <w:rStyle w:val="libFootnoteBoldChar"/>
          <w:rtl/>
        </w:rPr>
        <w:t>الوافي</w:t>
      </w:r>
      <w:r w:rsidRPr="00132E65">
        <w:rPr>
          <w:rtl/>
        </w:rPr>
        <w:t xml:space="preserve"> : « بقتل »</w:t>
      </w:r>
      <w:r>
        <w:rPr>
          <w:rtl/>
        </w:rPr>
        <w:t>.</w:t>
      </w:r>
      <w:r w:rsidRPr="00132E65">
        <w:rPr>
          <w:rtl/>
        </w:rPr>
        <w:t xml:space="preserve"> وفي </w:t>
      </w:r>
      <w:r w:rsidRPr="009D1ACE">
        <w:rPr>
          <w:rStyle w:val="libFootnoteBoldChar"/>
          <w:rtl/>
        </w:rPr>
        <w:t>مرآة العقول</w:t>
      </w:r>
      <w:r w:rsidRPr="00132E65">
        <w:rPr>
          <w:rtl/>
        </w:rPr>
        <w:t xml:space="preserve"> : « يقتل ، على المجهول. وعبد الله ، عطف بيان لابن. أو على المعلوم. فالابن مرفوع ، وعبد الله منصوب »</w:t>
      </w:r>
      <w:r>
        <w:rPr>
          <w:rtl/>
        </w:rPr>
        <w:t>.</w:t>
      </w:r>
    </w:p>
    <w:p w:rsidR="000C39D1" w:rsidRPr="00132E65" w:rsidRDefault="000C39D1" w:rsidP="000C39D1">
      <w:pPr>
        <w:pStyle w:val="libFootnote0"/>
        <w:rPr>
          <w:rtl/>
          <w:lang w:bidi="fa-IR"/>
        </w:rPr>
      </w:pPr>
      <w:r>
        <w:rPr>
          <w:rtl/>
        </w:rPr>
        <w:t>(15)</w:t>
      </w:r>
      <w:r w:rsidRPr="00132E65">
        <w:rPr>
          <w:rtl/>
        </w:rPr>
        <w:t xml:space="preserve"> في « ف » :</w:t>
      </w:r>
      <w:r>
        <w:rPr>
          <w:rtl/>
        </w:rPr>
        <w:t xml:space="preserve"> + </w:t>
      </w:r>
      <w:r w:rsidRPr="00132E65">
        <w:rPr>
          <w:rtl/>
        </w:rPr>
        <w:t>«</w:t>
      </w:r>
      <w:r>
        <w:rPr>
          <w:rtl/>
        </w:rPr>
        <w:t xml:space="preserve"> و ».</w:t>
      </w:r>
      <w:r w:rsidRPr="00132E65">
        <w:rPr>
          <w:rtl/>
        </w:rPr>
        <w:t xml:space="preserve"> وفي « بر » :</w:t>
      </w:r>
      <w:r>
        <w:rPr>
          <w:rtl/>
        </w:rPr>
        <w:t xml:space="preserve"> + </w:t>
      </w:r>
      <w:r w:rsidRPr="00132E65">
        <w:rPr>
          <w:rtl/>
        </w:rPr>
        <w:t>« بن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عَبْدُ اللهِ » قَبْلَ </w:t>
      </w:r>
      <w:r>
        <w:rPr>
          <w:rStyle w:val="libFootnotenumChar"/>
          <w:rtl/>
        </w:rPr>
        <w:t>(1)</w:t>
      </w:r>
      <w:r w:rsidRPr="00132E65">
        <w:rPr>
          <w:rtl/>
          <w:lang w:bidi="fa-IR"/>
        </w:rPr>
        <w:t xml:space="preserve"> قَتْلِهِ بِعَشَرَةِ أَيَّامٍ ، فَلَمَّا كَانَ فِي </w:t>
      </w:r>
      <w:r>
        <w:rPr>
          <w:rStyle w:val="libFootnotenumChar"/>
          <w:rtl/>
        </w:rPr>
        <w:t>(2)</w:t>
      </w:r>
      <w:r w:rsidRPr="00132E65">
        <w:rPr>
          <w:rtl/>
          <w:lang w:bidi="fa-IR"/>
        </w:rPr>
        <w:t xml:space="preserve"> الْيَوْمِ الْعَاشِرِ ، قُتِلَ. </w:t>
      </w:r>
      <w:r>
        <w:rPr>
          <w:rStyle w:val="libFootnotenumChar"/>
          <w:rtl/>
        </w:rPr>
        <w:t>(3)</w:t>
      </w:r>
    </w:p>
    <w:p w:rsidR="000C39D1" w:rsidRPr="00132E65" w:rsidRDefault="000C39D1" w:rsidP="000C39D1">
      <w:pPr>
        <w:pStyle w:val="libNormal"/>
        <w:rPr>
          <w:rtl/>
          <w:lang w:bidi="fa-IR"/>
        </w:rPr>
      </w:pPr>
      <w:r w:rsidRPr="007B47BB">
        <w:rPr>
          <w:rtl/>
        </w:rPr>
        <w:t>1332</w:t>
      </w:r>
      <w:r w:rsidRPr="004325D8">
        <w:rPr>
          <w:rStyle w:val="libBold2Char"/>
          <w:rtl/>
        </w:rPr>
        <w:t xml:space="preserve"> / 3.</w:t>
      </w:r>
      <w:r w:rsidRPr="00132E65">
        <w:rPr>
          <w:rtl/>
          <w:lang w:bidi="fa-IR"/>
        </w:rPr>
        <w:t xml:space="preserve"> عَلِيُّ بْنُ مُحَمَّدٍ ، عَنْ مُحَمَّدِ </w:t>
      </w:r>
      <w:r>
        <w:rPr>
          <w:rStyle w:val="libFootnotenumChar"/>
          <w:rtl/>
        </w:rPr>
        <w:t>(4)</w:t>
      </w:r>
      <w:r w:rsidRPr="00132E65">
        <w:rPr>
          <w:rtl/>
          <w:lang w:bidi="fa-IR"/>
        </w:rPr>
        <w:t xml:space="preserve"> بْنِ إِبْرَاهِيمَ الْمَعْرُوفِ بِابْنِ الْكُرْدِيِّ </w:t>
      </w:r>
      <w:r>
        <w:rPr>
          <w:rStyle w:val="libFootnotenumChar"/>
          <w:rtl/>
        </w:rPr>
        <w:t>(5)</w:t>
      </w:r>
      <w:r w:rsidRPr="00132E65">
        <w:rPr>
          <w:rtl/>
          <w:lang w:bidi="fa-IR"/>
        </w:rPr>
        <w:t xml:space="preserve"> ، عَنْ مُحَمَّدِ بْنِ عَلِيِّ بْنِ إِبْرَاهِيمَ بْنِ مُوسَى بْنِ جَعْفَرٍ ، قَالَ :</w:t>
      </w:r>
    </w:p>
    <w:p w:rsidR="000C39D1" w:rsidRPr="00132E65" w:rsidRDefault="000C39D1" w:rsidP="000C39D1">
      <w:pPr>
        <w:pStyle w:val="libNormal"/>
        <w:rPr>
          <w:rtl/>
          <w:lang w:bidi="fa-IR"/>
        </w:rPr>
      </w:pPr>
      <w:r w:rsidRPr="00132E65">
        <w:rPr>
          <w:rtl/>
          <w:lang w:bidi="fa-IR"/>
        </w:rPr>
        <w:t>ضَاقَ بِنَا الْأَمْرُ ، فَقَالَ لِي أَبِيَ : امْضِ بِنَا حَتّى نَصِيرَ إِلى هذَا الرَّجُلِ</w:t>
      </w:r>
      <w:r>
        <w:rPr>
          <w:rtl/>
          <w:lang w:bidi="fa-IR"/>
        </w:rPr>
        <w:t xml:space="preserve"> - </w:t>
      </w:r>
      <w:r w:rsidRPr="00132E65">
        <w:rPr>
          <w:rtl/>
          <w:lang w:bidi="fa-IR"/>
        </w:rPr>
        <w:t>يَعْنِي أَبَا مُحَمَّدٍ</w:t>
      </w:r>
      <w:r>
        <w:rPr>
          <w:rtl/>
          <w:lang w:bidi="fa-IR"/>
        </w:rPr>
        <w:t xml:space="preserve"> - </w:t>
      </w:r>
      <w:r w:rsidRPr="00132E65">
        <w:rPr>
          <w:rtl/>
          <w:lang w:bidi="fa-IR"/>
        </w:rPr>
        <w:t>فَإِنَّهُ قَدْ و</w:t>
      </w:r>
      <w:r w:rsidR="007C3CE2">
        <w:rPr>
          <w:rFonts w:hint="cs"/>
          <w:rtl/>
          <w:lang w:bidi="fa-IR"/>
        </w:rPr>
        <w:t>ُ</w:t>
      </w:r>
      <w:r w:rsidRPr="00132E65">
        <w:rPr>
          <w:rtl/>
          <w:lang w:bidi="fa-IR"/>
        </w:rPr>
        <w:t xml:space="preserve">صِفَ </w:t>
      </w:r>
      <w:r>
        <w:rPr>
          <w:rStyle w:val="libFootnotenumChar"/>
          <w:rtl/>
        </w:rPr>
        <w:t>(6)</w:t>
      </w:r>
      <w:r w:rsidRPr="00132E65">
        <w:rPr>
          <w:rtl/>
          <w:lang w:bidi="fa-IR"/>
        </w:rPr>
        <w:t xml:space="preserve"> عَنْهُ سَمَاحَةٌ </w:t>
      </w:r>
      <w:r>
        <w:rPr>
          <w:rStyle w:val="libFootnotenumChar"/>
          <w:rtl/>
        </w:rPr>
        <w:t>(7)</w:t>
      </w:r>
      <w:r w:rsidRPr="00132E65">
        <w:rPr>
          <w:rtl/>
          <w:lang w:bidi="fa-IR"/>
        </w:rPr>
        <w:t xml:space="preserve"> ، فَقُلْتُ : تَعْرِفُهُ</w:t>
      </w:r>
      <w:r>
        <w:rPr>
          <w:rtl/>
          <w:lang w:bidi="fa-IR"/>
        </w:rPr>
        <w:t>؟</w:t>
      </w:r>
      <w:r w:rsidRPr="00132E65">
        <w:rPr>
          <w:rtl/>
          <w:lang w:bidi="fa-IR"/>
        </w:rPr>
        <w:t xml:space="preserve"> فَقَالَ </w:t>
      </w:r>
      <w:r>
        <w:rPr>
          <w:rStyle w:val="libFootnotenumChar"/>
          <w:rtl/>
        </w:rPr>
        <w:t>(8)</w:t>
      </w:r>
      <w:r w:rsidRPr="00132E65">
        <w:rPr>
          <w:rtl/>
          <w:lang w:bidi="fa-IR"/>
        </w:rPr>
        <w:t xml:space="preserve"> : مَا أَعْرِفُهُ ، و</w:t>
      </w:r>
      <w:r w:rsidR="007C3CE2">
        <w:rPr>
          <w:rFonts w:hint="cs"/>
          <w:rtl/>
          <w:lang w:bidi="fa-IR"/>
        </w:rPr>
        <w:t>َ</w:t>
      </w:r>
      <w:r w:rsidRPr="00132E65">
        <w:rPr>
          <w:rtl/>
          <w:lang w:bidi="fa-IR"/>
        </w:rPr>
        <w:t xml:space="preserve">لَا رَأَيْتُهُ قَطُّ ، قَالَ : فَقَصَدْنَاهُ ، فَقَالَ لِي أَبِي </w:t>
      </w:r>
      <w:r>
        <w:rPr>
          <w:rStyle w:val="libFootnotenumChar"/>
          <w:rtl/>
        </w:rPr>
        <w:t>(9)</w:t>
      </w:r>
      <w:r>
        <w:rPr>
          <w:rtl/>
          <w:lang w:bidi="fa-IR"/>
        </w:rPr>
        <w:t xml:space="preserve"> - </w:t>
      </w:r>
      <w:r w:rsidRPr="00132E65">
        <w:rPr>
          <w:rtl/>
          <w:lang w:bidi="fa-IR"/>
        </w:rPr>
        <w:t>و</w:t>
      </w:r>
      <w:r w:rsidR="007C3CE2">
        <w:rPr>
          <w:rFonts w:hint="cs"/>
          <w:rtl/>
          <w:lang w:bidi="fa-IR"/>
        </w:rPr>
        <w:t>َ</w:t>
      </w:r>
      <w:r w:rsidRPr="00132E65">
        <w:rPr>
          <w:rtl/>
          <w:lang w:bidi="fa-IR"/>
        </w:rPr>
        <w:t>هُوَ فِي طَرِيقِهِ</w:t>
      </w:r>
      <w:r>
        <w:rPr>
          <w:rtl/>
          <w:lang w:bidi="fa-IR"/>
        </w:rPr>
        <w:t xml:space="preserve"> - </w:t>
      </w:r>
      <w:r w:rsidRPr="00132E65">
        <w:rPr>
          <w:rtl/>
          <w:lang w:bidi="fa-IR"/>
        </w:rPr>
        <w:t xml:space="preserve">: مَا أَحْوَجَنَا إِلى أَنْ يَأْمُرَ لَنَا </w:t>
      </w:r>
      <w:r>
        <w:rPr>
          <w:rStyle w:val="libFootnotenumChar"/>
          <w:rtl/>
        </w:rPr>
        <w:t>(10)</w:t>
      </w:r>
      <w:r w:rsidRPr="00132E65">
        <w:rPr>
          <w:rtl/>
          <w:lang w:bidi="fa-IR"/>
        </w:rPr>
        <w:t xml:space="preserve"> بِخَمْسِمِائَةِ دِرْهَمٍ : مِائَتَا </w:t>
      </w:r>
      <w:r>
        <w:rPr>
          <w:rStyle w:val="libFootnotenumChar"/>
          <w:rtl/>
        </w:rPr>
        <w:t>(11)</w:t>
      </w:r>
      <w:r w:rsidRPr="00132E65">
        <w:rPr>
          <w:rtl/>
          <w:lang w:bidi="fa-IR"/>
        </w:rPr>
        <w:t xml:space="preserve"> دِرْهَمٍ لِلْكِسْوَةِ ، ومِائَتَا دِرْهَمٍ لِلدَّيْنِ </w:t>
      </w:r>
      <w:r>
        <w:rPr>
          <w:rStyle w:val="libFootnotenumChar"/>
          <w:rtl/>
        </w:rPr>
        <w:t>(12)</w:t>
      </w:r>
      <w:r w:rsidRPr="00132E65">
        <w:rPr>
          <w:rtl/>
          <w:lang w:bidi="fa-IR"/>
        </w:rPr>
        <w:t xml:space="preserve"> ، ومِائَةٌ </w:t>
      </w:r>
      <w:r w:rsidRPr="00F543F1">
        <w:rPr>
          <w:rStyle w:val="libFootnotenumChar"/>
          <w:rtl/>
        </w:rPr>
        <w:t>(13)</w:t>
      </w:r>
      <w:r w:rsidRPr="00132E65">
        <w:rPr>
          <w:rtl/>
          <w:lang w:bidi="fa-IR"/>
        </w:rPr>
        <w:t xml:space="preserve"> لِلنَّفَقَةِ</w:t>
      </w:r>
      <w:r>
        <w:rPr>
          <w:rtl/>
          <w:lang w:bidi="fa-IR"/>
        </w:rPr>
        <w:t>!</w:t>
      </w:r>
      <w:r w:rsidRPr="00132E65">
        <w:rPr>
          <w:rtl/>
          <w:lang w:bidi="fa-IR"/>
        </w:rPr>
        <w:t xml:space="preserve"> فَقُلْتُ </w:t>
      </w:r>
      <w:r w:rsidRPr="00F543F1">
        <w:rPr>
          <w:rStyle w:val="libFootnotenumChar"/>
          <w:rtl/>
        </w:rPr>
        <w:t>(14)</w:t>
      </w:r>
      <w:r w:rsidRPr="00132E65">
        <w:rPr>
          <w:rtl/>
          <w:lang w:bidi="fa-IR"/>
        </w:rPr>
        <w:t xml:space="preserve"> فِي نَفْسِي : لَيْتَهُ أَمَرَ لِي بِثَلَاثِمِائَةِ دِرْهَمٍ : مِائَةٌ أَشْتَرِي بِهَا حِمَاراً ، ومِائَةٌ لِلنَّفَقَةِ ، وَمِائَةٌ لِلْكِسْوَةِ ، و</w:t>
      </w:r>
      <w:r w:rsidR="007C3CE2">
        <w:rPr>
          <w:rFonts w:hint="cs"/>
          <w:rtl/>
          <w:lang w:bidi="fa-IR"/>
        </w:rPr>
        <w:t>َ</w:t>
      </w:r>
      <w:r w:rsidRPr="00132E65">
        <w:rPr>
          <w:rtl/>
          <w:lang w:bidi="fa-IR"/>
        </w:rPr>
        <w:t xml:space="preserve">أَخْرُجَ </w:t>
      </w:r>
      <w:r w:rsidRPr="00F543F1">
        <w:rPr>
          <w:rStyle w:val="libFootnotenumChar"/>
          <w:rtl/>
        </w:rPr>
        <w:t>(15)</w:t>
      </w:r>
      <w:r w:rsidRPr="00132E65">
        <w:rPr>
          <w:rtl/>
          <w:lang w:bidi="fa-IR"/>
        </w:rPr>
        <w:t xml:space="preserve"> إِلَى الْجَبَلِ </w:t>
      </w:r>
      <w:r w:rsidRPr="00F543F1">
        <w:rPr>
          <w:rStyle w:val="libFootnotenumChar"/>
          <w:rtl/>
        </w:rPr>
        <w:t>(16)</w:t>
      </w:r>
    </w:p>
    <w:p w:rsidR="000C39D1" w:rsidRPr="00132E65" w:rsidRDefault="000C39D1" w:rsidP="000C39D1">
      <w:pPr>
        <w:pStyle w:val="libNormal"/>
        <w:rPr>
          <w:rtl/>
          <w:lang w:bidi="fa-IR"/>
        </w:rPr>
      </w:pPr>
      <w:r w:rsidRPr="00132E65">
        <w:rPr>
          <w:rtl/>
          <w:lang w:bidi="fa-IR"/>
        </w:rPr>
        <w:t>قَالَ : فَلَمَّا و</w:t>
      </w:r>
      <w:r w:rsidR="00097064">
        <w:rPr>
          <w:rFonts w:hint="cs"/>
          <w:rtl/>
          <w:lang w:bidi="fa-IR"/>
        </w:rPr>
        <w:t>َ</w:t>
      </w:r>
      <w:r w:rsidRPr="00132E65">
        <w:rPr>
          <w:rtl/>
          <w:lang w:bidi="fa-IR"/>
        </w:rPr>
        <w:t>افَيْنَا الْبَابَ خَرَجَ إِلَيْنَا غُلَامُهُ ، فَقَالَ : يَدْخُلُ عَلِيُّ بْنُ إِبْرَاهِيمَ ومُحَمَّدٌ‌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ظرف</w:t>
      </w:r>
      <w:r>
        <w:rPr>
          <w:rtl/>
        </w:rPr>
        <w:t xml:space="preserve"> ل- «</w:t>
      </w:r>
      <w:r w:rsidRPr="00132E65">
        <w:rPr>
          <w:rtl/>
        </w:rPr>
        <w:t xml:space="preserve"> كتب » وليس من مكتوب الإمام </w:t>
      </w:r>
      <w:r w:rsidRPr="00097064">
        <w:rPr>
          <w:rStyle w:val="libFootnoteAlaemChar"/>
          <w:rtl/>
        </w:rPr>
        <w:t>عليه‌السلام</w:t>
      </w:r>
      <w:r w:rsidRPr="00132E65">
        <w:rPr>
          <w:rtl/>
        </w:rPr>
        <w:t>.</w:t>
      </w:r>
    </w:p>
    <w:p w:rsidR="000C39D1" w:rsidRPr="00132E65" w:rsidRDefault="000C39D1" w:rsidP="000C39D1">
      <w:pPr>
        <w:pStyle w:val="libFootnote0"/>
        <w:rPr>
          <w:rtl/>
          <w:lang w:bidi="fa-IR"/>
        </w:rPr>
      </w:pPr>
      <w:r>
        <w:rPr>
          <w:rtl/>
        </w:rPr>
        <w:t>(2).</w:t>
      </w:r>
      <w:r w:rsidRPr="00132E65">
        <w:rPr>
          <w:rtl/>
        </w:rPr>
        <w:t xml:space="preserve"> في « ب » : « من »</w:t>
      </w:r>
      <w:r>
        <w:rPr>
          <w:rtl/>
        </w:rPr>
        <w:t>.</w:t>
      </w:r>
    </w:p>
    <w:p w:rsidR="000C39D1" w:rsidRPr="00132E65" w:rsidRDefault="000C39D1" w:rsidP="00097064">
      <w:pPr>
        <w:pStyle w:val="libFootnote0"/>
        <w:rPr>
          <w:rtl/>
          <w:lang w:bidi="fa-IR"/>
        </w:rPr>
      </w:pPr>
      <w:r>
        <w:rPr>
          <w:rtl/>
        </w:rPr>
        <w:t>(3).</w:t>
      </w:r>
      <w:r w:rsidRPr="00132E65">
        <w:rPr>
          <w:rtl/>
        </w:rPr>
        <w:t xml:space="preserve"> </w:t>
      </w:r>
      <w:r w:rsidRPr="007B47BB">
        <w:rPr>
          <w:rtl/>
        </w:rPr>
        <w:t>الإرشاد</w:t>
      </w:r>
      <w:r w:rsidRPr="00132E65">
        <w:rPr>
          <w:rtl/>
        </w:rPr>
        <w:t xml:space="preserve"> ، ج 2 ، ص 325 ، بسنده عن الكليني</w:t>
      </w:r>
      <w:r w:rsidR="00097064">
        <w:rPr>
          <w:rFonts w:hint="cs"/>
          <w:rtl/>
        </w:rPr>
        <w:t>.</w:t>
      </w:r>
      <w:r w:rsidRPr="009D1ACE">
        <w:rPr>
          <w:rStyle w:val="libFootnoteBoldChar"/>
          <w:rtl/>
        </w:rPr>
        <w:t>الوافي</w:t>
      </w:r>
      <w:r w:rsidRPr="00132E65">
        <w:rPr>
          <w:rtl/>
        </w:rPr>
        <w:t xml:space="preserve"> ، ج 3 ، ص 847 ، ح 1456 </w:t>
      </w:r>
      <w:r>
        <w:rPr>
          <w:rtl/>
        </w:rPr>
        <w:t>و 1</w:t>
      </w:r>
      <w:r w:rsidRPr="00132E65">
        <w:rPr>
          <w:rtl/>
        </w:rPr>
        <w:t>457.</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عن محمّد »</w:t>
      </w:r>
      <w:r>
        <w:rPr>
          <w:rtl/>
        </w:rPr>
        <w:t>.</w:t>
      </w:r>
      <w:r w:rsidRPr="00132E65">
        <w:rPr>
          <w:rtl/>
        </w:rPr>
        <w:t xml:space="preserve"> وهو سهو ناش من جواز من جواز النظر من « محمّد » في « عليّ بن محمّد » إلى « محمّد » في « محمّد بن إبراهيم » المستتبع للسقط.</w:t>
      </w:r>
    </w:p>
    <w:tbl>
      <w:tblPr>
        <w:tblStyle w:val="TableGrid"/>
        <w:bidiVisual/>
        <w:tblW w:w="0" w:type="auto"/>
        <w:tblLook w:val="04A0" w:firstRow="1" w:lastRow="0" w:firstColumn="1" w:lastColumn="0" w:noHBand="0" w:noVBand="1"/>
      </w:tblPr>
      <w:tblGrid>
        <w:gridCol w:w="4261"/>
        <w:gridCol w:w="4262"/>
      </w:tblGrid>
      <w:tr w:rsidR="002A34BB" w:rsidTr="002A34BB">
        <w:tc>
          <w:tcPr>
            <w:tcW w:w="4261" w:type="dxa"/>
          </w:tcPr>
          <w:p w:rsidR="002A34BB" w:rsidRDefault="002A34BB" w:rsidP="000C39D1">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 « الكرخي</w:t>
            </w:r>
            <w:r>
              <w:rPr>
                <w:rtl/>
              </w:rPr>
              <w:t xml:space="preserve"> - </w:t>
            </w:r>
            <w:r w:rsidRPr="00132E65">
              <w:rPr>
                <w:rtl/>
              </w:rPr>
              <w:t>خ ل »</w:t>
            </w:r>
            <w:r>
              <w:rPr>
                <w:rtl/>
              </w:rPr>
              <w:t>.</w:t>
            </w:r>
          </w:p>
        </w:tc>
        <w:tc>
          <w:tcPr>
            <w:tcW w:w="4262" w:type="dxa"/>
          </w:tcPr>
          <w:p w:rsidR="002A34BB" w:rsidRDefault="002A34BB" w:rsidP="000C39D1">
            <w:pPr>
              <w:pStyle w:val="libFootnote0"/>
              <w:rPr>
                <w:rtl/>
              </w:rPr>
            </w:pPr>
            <w:r>
              <w:rPr>
                <w:rtl/>
              </w:rPr>
              <w:t>(6).</w:t>
            </w:r>
            <w:r w:rsidRPr="00132E65">
              <w:rPr>
                <w:rtl/>
              </w:rPr>
              <w:t xml:space="preserve"> في « ب »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(7).</w:t>
      </w:r>
      <w:r w:rsidRPr="00132E65">
        <w:rPr>
          <w:rtl/>
        </w:rPr>
        <w:t xml:space="preserve"> « السماحة » : الجود والعطاء. راجع : </w:t>
      </w:r>
      <w:r w:rsidRPr="007B47BB">
        <w:rPr>
          <w:rtl/>
        </w:rPr>
        <w:t>النهاية</w:t>
      </w:r>
      <w:r w:rsidRPr="00132E65">
        <w:rPr>
          <w:rtl/>
        </w:rPr>
        <w:t xml:space="preserve"> ، ج 2 ، ص 398 ( سمح )</w:t>
      </w:r>
      <w:r>
        <w:rPr>
          <w:rtl/>
        </w:rPr>
        <w:t>.</w:t>
      </w:r>
    </w:p>
    <w:tbl>
      <w:tblPr>
        <w:tblStyle w:val="TableGrid"/>
        <w:bidiVisual/>
        <w:tblW w:w="0" w:type="auto"/>
        <w:tblLook w:val="04A0" w:firstRow="1" w:lastRow="0" w:firstColumn="1" w:lastColumn="0" w:noHBand="0" w:noVBand="1"/>
      </w:tblPr>
      <w:tblGrid>
        <w:gridCol w:w="4261"/>
        <w:gridCol w:w="4262"/>
      </w:tblGrid>
      <w:tr w:rsidR="003A7E30" w:rsidTr="003A7E30">
        <w:tc>
          <w:tcPr>
            <w:tcW w:w="4261" w:type="dxa"/>
          </w:tcPr>
          <w:p w:rsidR="003A7E30" w:rsidRDefault="003A7E30" w:rsidP="000C39D1">
            <w:pPr>
              <w:pStyle w:val="libFootnote0"/>
              <w:rPr>
                <w:rtl/>
              </w:rPr>
            </w:pPr>
            <w:r>
              <w:rPr>
                <w:rtl/>
              </w:rPr>
              <w:t>(8).</w:t>
            </w:r>
            <w:r w:rsidRPr="00132E65">
              <w:rPr>
                <w:rtl/>
              </w:rPr>
              <w:t xml:space="preserve"> في « ج ، بف » والإرشاد : « قال »</w:t>
            </w:r>
            <w:r>
              <w:rPr>
                <w:rtl/>
              </w:rPr>
              <w:t>.</w:t>
            </w:r>
          </w:p>
        </w:tc>
        <w:tc>
          <w:tcPr>
            <w:tcW w:w="4262" w:type="dxa"/>
          </w:tcPr>
          <w:p w:rsidR="003A7E30" w:rsidRDefault="003A7E30" w:rsidP="000C39D1">
            <w:pPr>
              <w:pStyle w:val="libFootnote0"/>
              <w:rPr>
                <w:rtl/>
              </w:rPr>
            </w:pPr>
            <w:r>
              <w:rPr>
                <w:rtl/>
              </w:rPr>
              <w:t>(9).</w:t>
            </w:r>
            <w:r w:rsidRPr="00132E65">
              <w:rPr>
                <w:rtl/>
              </w:rPr>
              <w:t xml:space="preserve"> في « ج ، بس » </w:t>
            </w:r>
            <w:r>
              <w:rPr>
                <w:rtl/>
              </w:rPr>
              <w:t xml:space="preserve">: - </w:t>
            </w:r>
            <w:r w:rsidRPr="00132E65">
              <w:rPr>
                <w:rtl/>
              </w:rPr>
              <w:t>« أبي »</w:t>
            </w:r>
            <w:r>
              <w:rPr>
                <w:rtl/>
              </w:rPr>
              <w:t>.</w:t>
            </w:r>
          </w:p>
        </w:tc>
      </w:tr>
    </w:tbl>
    <w:p w:rsidR="000C39D1" w:rsidRPr="00132E65" w:rsidRDefault="000C39D1" w:rsidP="000C39D1">
      <w:pPr>
        <w:pStyle w:val="libFootnote0"/>
        <w:rPr>
          <w:rtl/>
          <w:lang w:bidi="fa-IR"/>
        </w:rPr>
      </w:pPr>
      <w:r>
        <w:rPr>
          <w:rtl/>
        </w:rPr>
        <w:t>(10).</w:t>
      </w:r>
      <w:r w:rsidRPr="00132E65">
        <w:rPr>
          <w:rtl/>
        </w:rPr>
        <w:t xml:space="preserve"> في « بس » : « إلينا »</w:t>
      </w:r>
      <w:r>
        <w:rPr>
          <w:rtl/>
        </w:rPr>
        <w:t>.</w:t>
      </w:r>
    </w:p>
    <w:p w:rsidR="000C39D1" w:rsidRPr="00132E65" w:rsidRDefault="000C39D1" w:rsidP="000C39D1">
      <w:pPr>
        <w:pStyle w:val="libFootnote0"/>
        <w:rPr>
          <w:rtl/>
          <w:lang w:bidi="fa-IR"/>
        </w:rPr>
      </w:pPr>
      <w:r>
        <w:rPr>
          <w:rtl/>
        </w:rPr>
        <w:t>(11).</w:t>
      </w:r>
      <w:r w:rsidRPr="00132E65">
        <w:rPr>
          <w:rtl/>
        </w:rPr>
        <w:t xml:space="preserve"> يجوز فيه وما عُطف عليه وما يأتي من قوله : « مائة أشتري » البدليّة. وفي الإرشاد : « مائتي »</w:t>
      </w:r>
      <w:r>
        <w:rPr>
          <w:rtl/>
        </w:rPr>
        <w:t>.</w:t>
      </w:r>
    </w:p>
    <w:p w:rsidR="000C39D1" w:rsidRPr="00132E65" w:rsidRDefault="000C39D1" w:rsidP="000C39D1">
      <w:pPr>
        <w:pStyle w:val="libFootnote0"/>
        <w:rPr>
          <w:rtl/>
          <w:lang w:bidi="fa-IR"/>
        </w:rPr>
      </w:pPr>
      <w:r>
        <w:rPr>
          <w:rtl/>
        </w:rPr>
        <w:t>(12).</w:t>
      </w:r>
      <w:r w:rsidRPr="00132E65">
        <w:rPr>
          <w:rtl/>
        </w:rPr>
        <w:t xml:space="preserve"> في « ب ، ج ، ف ، بس ، بف » وحاشية « ض ، بح » و</w:t>
      </w:r>
      <w:r w:rsidRPr="009D1ACE">
        <w:rPr>
          <w:rStyle w:val="libFootnoteBoldChar"/>
          <w:rtl/>
        </w:rPr>
        <w:t>الوافي</w:t>
      </w:r>
      <w:r w:rsidRPr="00132E65">
        <w:rPr>
          <w:rtl/>
        </w:rPr>
        <w:t xml:space="preserve"> والإرشاد : « للدقيق »</w:t>
      </w:r>
      <w:r>
        <w:rPr>
          <w:rtl/>
        </w:rPr>
        <w:t>.</w:t>
      </w:r>
    </w:p>
    <w:tbl>
      <w:tblPr>
        <w:tblStyle w:val="TableGrid"/>
        <w:bidiVisual/>
        <w:tblW w:w="0" w:type="auto"/>
        <w:tblLook w:val="04A0" w:firstRow="1" w:lastRow="0" w:firstColumn="1" w:lastColumn="0" w:noHBand="0" w:noVBand="1"/>
      </w:tblPr>
      <w:tblGrid>
        <w:gridCol w:w="4261"/>
        <w:gridCol w:w="4262"/>
      </w:tblGrid>
      <w:tr w:rsidR="003A7E30" w:rsidTr="003A7E30">
        <w:tc>
          <w:tcPr>
            <w:tcW w:w="4261" w:type="dxa"/>
          </w:tcPr>
          <w:p w:rsidR="003A7E30" w:rsidRDefault="003A7E30" w:rsidP="000C39D1">
            <w:pPr>
              <w:pStyle w:val="libFootnote0"/>
              <w:rPr>
                <w:rtl/>
              </w:rPr>
            </w:pPr>
            <w:r>
              <w:rPr>
                <w:rtl/>
              </w:rPr>
              <w:t>(13)</w:t>
            </w:r>
            <w:r w:rsidRPr="00132E65">
              <w:rPr>
                <w:rtl/>
              </w:rPr>
              <w:t xml:space="preserve"> في الإرشاد :</w:t>
            </w:r>
            <w:r>
              <w:rPr>
                <w:rtl/>
              </w:rPr>
              <w:t xml:space="preserve"> + </w:t>
            </w:r>
            <w:r w:rsidRPr="00132E65">
              <w:rPr>
                <w:rtl/>
              </w:rPr>
              <w:t>« درهم »</w:t>
            </w:r>
            <w:r>
              <w:rPr>
                <w:rtl/>
              </w:rPr>
              <w:t>.</w:t>
            </w:r>
          </w:p>
        </w:tc>
        <w:tc>
          <w:tcPr>
            <w:tcW w:w="4262" w:type="dxa"/>
          </w:tcPr>
          <w:p w:rsidR="003A7E30" w:rsidRDefault="003A7E30" w:rsidP="000C39D1">
            <w:pPr>
              <w:pStyle w:val="libFootnote0"/>
              <w:rPr>
                <w:rtl/>
              </w:rPr>
            </w:pPr>
            <w:r>
              <w:rPr>
                <w:rtl/>
              </w:rPr>
              <w:t>(14)</w:t>
            </w:r>
            <w:r w:rsidRPr="00132E65">
              <w:rPr>
                <w:rtl/>
              </w:rPr>
              <w:t xml:space="preserve"> في الإرشاد : « وقلت »</w:t>
            </w:r>
            <w:r>
              <w:rPr>
                <w:rtl/>
              </w:rPr>
              <w:t>.</w:t>
            </w:r>
          </w:p>
        </w:tc>
      </w:tr>
    </w:tbl>
    <w:p w:rsidR="000C39D1" w:rsidRPr="00132E65" w:rsidRDefault="000C39D1" w:rsidP="000C39D1">
      <w:pPr>
        <w:pStyle w:val="libFootnote0"/>
        <w:rPr>
          <w:rtl/>
          <w:lang w:bidi="fa-IR"/>
        </w:rPr>
      </w:pPr>
      <w:r>
        <w:rPr>
          <w:rtl/>
        </w:rPr>
        <w:t>(15)</w:t>
      </w:r>
      <w:r w:rsidRPr="00132E65">
        <w:rPr>
          <w:rtl/>
        </w:rPr>
        <w:t xml:space="preserve"> في الإرشاد : « فأخرج »</w:t>
      </w:r>
      <w:r>
        <w:rPr>
          <w:rtl/>
        </w:rPr>
        <w:t>.</w:t>
      </w:r>
    </w:p>
    <w:p w:rsidR="000C39D1" w:rsidRPr="00132E65" w:rsidRDefault="000C39D1" w:rsidP="000C39D1">
      <w:pPr>
        <w:pStyle w:val="libFootnote0"/>
        <w:rPr>
          <w:rtl/>
          <w:lang w:bidi="fa-IR"/>
        </w:rPr>
      </w:pPr>
      <w:r>
        <w:rPr>
          <w:rtl/>
        </w:rPr>
        <w:t>(16)</w:t>
      </w:r>
      <w:r w:rsidRPr="00132E65">
        <w:rPr>
          <w:rtl/>
        </w:rPr>
        <w:t xml:space="preserve"> في </w:t>
      </w:r>
      <w:r w:rsidRPr="009D1ACE">
        <w:rPr>
          <w:rStyle w:val="libFootnoteBoldChar"/>
          <w:rtl/>
        </w:rPr>
        <w:t>مرآة العقول</w:t>
      </w:r>
      <w:r w:rsidRPr="00132E65">
        <w:rPr>
          <w:rtl/>
        </w:rPr>
        <w:t xml:space="preserve"> : « والجبل : همدان وقزوين وما والاهما »</w:t>
      </w:r>
      <w:r>
        <w:rPr>
          <w:rtl/>
        </w:rPr>
        <w:t>.</w:t>
      </w:r>
      <w:r w:rsidRPr="00132E65">
        <w:rPr>
          <w:rtl/>
        </w:rPr>
        <w:t xml:space="preserve"> وفي </w:t>
      </w:r>
      <w:r w:rsidRPr="007B47BB">
        <w:rPr>
          <w:rtl/>
        </w:rPr>
        <w:t>القاموس</w:t>
      </w:r>
      <w:r w:rsidRPr="00132E65">
        <w:rPr>
          <w:rtl/>
        </w:rPr>
        <w:t xml:space="preserve"> : « بلاد جبل : مدن بين آذربيجان وعراق العرب وخوزستان وفارس ، وبلاد ديلم »</w:t>
      </w:r>
      <w:r>
        <w:rPr>
          <w:rtl/>
        </w:rPr>
        <w:t>.</w:t>
      </w:r>
      <w:r w:rsidRPr="00132E65">
        <w:rPr>
          <w:rtl/>
        </w:rPr>
        <w:t xml:space="preserve"> راجع : </w:t>
      </w:r>
      <w:r w:rsidRPr="007B47BB">
        <w:rPr>
          <w:rtl/>
        </w:rPr>
        <w:t>القاموس المحيط</w:t>
      </w:r>
      <w:r w:rsidRPr="00132E65">
        <w:rPr>
          <w:rtl/>
        </w:rPr>
        <w:t xml:space="preserve"> ، ج 2 ، ص 1289 ( جبل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ابْنُهُ ، فَلَمَّا دَخَلْنَا عَلَيْهِ وسَلَّمْنَا </w:t>
      </w:r>
      <w:r>
        <w:rPr>
          <w:rStyle w:val="libFootnotenumChar"/>
          <w:rtl/>
        </w:rPr>
        <w:t>(1)</w:t>
      </w:r>
      <w:r w:rsidRPr="00132E65">
        <w:rPr>
          <w:rtl/>
          <w:lang w:bidi="fa-IR"/>
        </w:rPr>
        <w:t xml:space="preserve"> قَالَ لِأَبِي : « يَا عَلِيُّ ، مَا خَلَّفَكَ عَنَّا </w:t>
      </w:r>
      <w:r>
        <w:rPr>
          <w:rStyle w:val="libFootnotenumChar"/>
          <w:rtl/>
        </w:rPr>
        <w:t>(2)</w:t>
      </w:r>
      <w:r w:rsidRPr="00132E65">
        <w:rPr>
          <w:rtl/>
          <w:lang w:bidi="fa-IR"/>
        </w:rPr>
        <w:t xml:space="preserve"> إِلى هذَا الْوَقْتِ</w:t>
      </w:r>
      <w:r>
        <w:rPr>
          <w:rtl/>
          <w:lang w:bidi="fa-IR"/>
        </w:rPr>
        <w:t>؟</w:t>
      </w:r>
      <w:r w:rsidRPr="00132E65">
        <w:rPr>
          <w:rtl/>
          <w:lang w:bidi="fa-IR"/>
        </w:rPr>
        <w:t xml:space="preserve"> » فَقَالَ : يَا سَيِّدِي ، اسْتَحْيَيْتُ أَنْ أَلْقَاكَ عَلى هذِهِ الْحَالِ </w:t>
      </w:r>
      <w:r>
        <w:rPr>
          <w:rStyle w:val="libFootnotenumChar"/>
          <w:rtl/>
        </w:rPr>
        <w:t>(3)</w:t>
      </w:r>
      <w:r w:rsidRPr="00132E65">
        <w:rPr>
          <w:rtl/>
          <w:lang w:bidi="fa-IR"/>
        </w:rPr>
        <w:t xml:space="preserve"> ، فَلَمَّا خَرَجْنَا مِنْ عِنْدِهِ جَاءَنَا غُلَامُهُ ، فَنَاوَلَ أَبِي صُرَّةً </w:t>
      </w:r>
      <w:r>
        <w:rPr>
          <w:rStyle w:val="libFootnotenumChar"/>
          <w:rtl/>
        </w:rPr>
        <w:t>(4)</w:t>
      </w:r>
      <w:r w:rsidRPr="00132E65">
        <w:rPr>
          <w:rtl/>
          <w:lang w:bidi="fa-IR"/>
        </w:rPr>
        <w:t xml:space="preserve"> ، فَقَالَ : هذِهِ خَمْسُمِائَةِ دِرْهَمٍ : مِائَتَانِ لِلْكِسْوَةِ ، و</w:t>
      </w:r>
      <w:r w:rsidR="00AC26D4">
        <w:rPr>
          <w:rFonts w:hint="cs"/>
          <w:rtl/>
          <w:lang w:bidi="fa-IR"/>
        </w:rPr>
        <w:t>َ</w:t>
      </w:r>
      <w:r w:rsidRPr="00132E65">
        <w:rPr>
          <w:rtl/>
          <w:lang w:bidi="fa-IR"/>
        </w:rPr>
        <w:t xml:space="preserve">مِائَتَانِ لِلدَّيْنِ </w:t>
      </w:r>
      <w:r>
        <w:rPr>
          <w:rStyle w:val="libFootnotenumChar"/>
          <w:rtl/>
        </w:rPr>
        <w:t>(5)</w:t>
      </w:r>
      <w:r w:rsidRPr="00132E65">
        <w:rPr>
          <w:rtl/>
          <w:lang w:bidi="fa-IR"/>
        </w:rPr>
        <w:t xml:space="preserve"> ، و</w:t>
      </w:r>
      <w:r w:rsidR="00AC26D4">
        <w:rPr>
          <w:rFonts w:hint="cs"/>
          <w:rtl/>
          <w:lang w:bidi="fa-IR"/>
        </w:rPr>
        <w:t>َ</w:t>
      </w:r>
      <w:r w:rsidRPr="00132E65">
        <w:rPr>
          <w:rtl/>
          <w:lang w:bidi="fa-IR"/>
        </w:rPr>
        <w:t>مِائَةٌ لِلنَّفَقَةِ ؛ و</w:t>
      </w:r>
      <w:r w:rsidR="00AC26D4">
        <w:rPr>
          <w:rFonts w:hint="cs"/>
          <w:rtl/>
          <w:lang w:bidi="fa-IR"/>
        </w:rPr>
        <w:t>َ</w:t>
      </w:r>
      <w:r w:rsidRPr="00132E65">
        <w:rPr>
          <w:rtl/>
          <w:lang w:bidi="fa-IR"/>
        </w:rPr>
        <w:t xml:space="preserve">أَعْطَانِي صُرَّةً ، فَقَالَ </w:t>
      </w:r>
      <w:r>
        <w:rPr>
          <w:rStyle w:val="libFootnotenumChar"/>
          <w:rtl/>
        </w:rPr>
        <w:t>(6)</w:t>
      </w:r>
      <w:r w:rsidRPr="00132E65">
        <w:rPr>
          <w:rtl/>
          <w:lang w:bidi="fa-IR"/>
        </w:rPr>
        <w:t xml:space="preserve"> : هذِهِ ثَلَاثُمِائَةِ دِرْهَمٍ ، اجْعَلْ </w:t>
      </w:r>
      <w:r>
        <w:rPr>
          <w:rStyle w:val="libFootnotenumChar"/>
          <w:rtl/>
        </w:rPr>
        <w:t>(7)</w:t>
      </w:r>
      <w:r w:rsidRPr="00132E65">
        <w:rPr>
          <w:rtl/>
          <w:lang w:bidi="fa-IR"/>
        </w:rPr>
        <w:t xml:space="preserve"> مِائَةً فِي ثَمَنِ حِمَارٍ ، و</w:t>
      </w:r>
      <w:r w:rsidR="00AC26D4">
        <w:rPr>
          <w:rFonts w:hint="cs"/>
          <w:rtl/>
          <w:lang w:bidi="fa-IR"/>
        </w:rPr>
        <w:t>َ</w:t>
      </w:r>
      <w:r w:rsidRPr="00132E65">
        <w:rPr>
          <w:rtl/>
          <w:lang w:bidi="fa-IR"/>
        </w:rPr>
        <w:t>مِائَةً لِلْكِسْوَةِ ، و</w:t>
      </w:r>
      <w:r w:rsidR="00AC26D4">
        <w:rPr>
          <w:rFonts w:hint="cs"/>
          <w:rtl/>
          <w:lang w:bidi="fa-IR"/>
        </w:rPr>
        <w:t>َ</w:t>
      </w:r>
      <w:r w:rsidRPr="00132E65">
        <w:rPr>
          <w:rtl/>
          <w:lang w:bidi="fa-IR"/>
        </w:rPr>
        <w:t>مِائَةً لِلنَّفَقَةِ ، و</w:t>
      </w:r>
      <w:r w:rsidR="00AC26D4">
        <w:rPr>
          <w:rFonts w:hint="cs"/>
          <w:rtl/>
          <w:lang w:bidi="fa-IR"/>
        </w:rPr>
        <w:t>َ</w:t>
      </w:r>
      <w:r w:rsidRPr="00132E65">
        <w:rPr>
          <w:rtl/>
          <w:lang w:bidi="fa-IR"/>
        </w:rPr>
        <w:t>لَاتَخْرُجْ إِلَى الْجَبَلِ ، و</w:t>
      </w:r>
      <w:r w:rsidR="00AC26D4">
        <w:rPr>
          <w:rFonts w:hint="cs"/>
          <w:rtl/>
          <w:lang w:bidi="fa-IR"/>
        </w:rPr>
        <w:t>َ</w:t>
      </w:r>
      <w:r w:rsidRPr="00132E65">
        <w:rPr>
          <w:rtl/>
          <w:lang w:bidi="fa-IR"/>
        </w:rPr>
        <w:t xml:space="preserve">صِرْ إِلى سُورَاءَ </w:t>
      </w:r>
      <w:r>
        <w:rPr>
          <w:rStyle w:val="libFootnotenumChar"/>
          <w:rtl/>
        </w:rPr>
        <w:t>(8)</w:t>
      </w:r>
      <w:r w:rsidRPr="00132E65">
        <w:rPr>
          <w:rtl/>
          <w:lang w:bidi="fa-IR"/>
        </w:rPr>
        <w:t xml:space="preserve"> ، فَصَارَ إِلى سُورَاءَ ، وتَزَوَّجَ بِامْرَأَةٍ </w:t>
      </w:r>
      <w:r>
        <w:rPr>
          <w:rStyle w:val="libFootnotenumChar"/>
          <w:rtl/>
        </w:rPr>
        <w:t>(9)</w:t>
      </w:r>
      <w:r w:rsidRPr="00132E65">
        <w:rPr>
          <w:rtl/>
          <w:lang w:bidi="fa-IR"/>
        </w:rPr>
        <w:t xml:space="preserve"> ، فَدَخْلُهُ </w:t>
      </w:r>
      <w:r>
        <w:rPr>
          <w:rStyle w:val="libFootnotenumChar"/>
          <w:rtl/>
        </w:rPr>
        <w:t>(10)</w:t>
      </w:r>
      <w:r w:rsidRPr="00132E65">
        <w:rPr>
          <w:rtl/>
          <w:lang w:bidi="fa-IR"/>
        </w:rPr>
        <w:t xml:space="preserve"> الْيَوْمَ أَلْفُ </w:t>
      </w:r>
      <w:r>
        <w:rPr>
          <w:rStyle w:val="libFootnotenumChar"/>
          <w:rtl/>
        </w:rPr>
        <w:t>(11)</w:t>
      </w:r>
      <w:r w:rsidRPr="00132E65">
        <w:rPr>
          <w:rtl/>
          <w:lang w:bidi="fa-IR"/>
        </w:rPr>
        <w:t xml:space="preserve"> دِينَارٍ ، و</w:t>
      </w:r>
      <w:r w:rsidR="00AC26D4">
        <w:rPr>
          <w:rFonts w:hint="cs"/>
          <w:rtl/>
          <w:lang w:bidi="fa-IR"/>
        </w:rPr>
        <w:t>َ</w:t>
      </w:r>
      <w:r w:rsidRPr="00132E65">
        <w:rPr>
          <w:rtl/>
          <w:lang w:bidi="fa-IR"/>
        </w:rPr>
        <w:t xml:space="preserve">مَعَ هذَا يَقُولُ بِالْوَقْفِ </w:t>
      </w:r>
      <w:r>
        <w:rPr>
          <w:rStyle w:val="libFootnotenumChar"/>
          <w:rtl/>
        </w:rPr>
        <w:t>(12)</w:t>
      </w:r>
      <w:r w:rsidRPr="00132E65">
        <w:rPr>
          <w:rtl/>
          <w:lang w:bidi="fa-IR"/>
        </w:rPr>
        <w:t xml:space="preserve"> فَقَالَ </w:t>
      </w:r>
      <w:r w:rsidRPr="00F543F1">
        <w:rPr>
          <w:rStyle w:val="libFootnotenumChar"/>
          <w:rtl/>
        </w:rPr>
        <w:t>(13)</w:t>
      </w:r>
      <w:r w:rsidRPr="00132E65">
        <w:rPr>
          <w:rtl/>
          <w:lang w:bidi="fa-IR"/>
        </w:rPr>
        <w:t xml:space="preserve"> مُحَمَّدُ بْنُ إِبْرَاهِيمَ </w:t>
      </w:r>
      <w:r w:rsidRPr="00F543F1">
        <w:rPr>
          <w:rStyle w:val="libFootnotenumChar"/>
          <w:rtl/>
        </w:rPr>
        <w:t>(14)</w:t>
      </w:r>
      <w:r>
        <w:rPr>
          <w:rtl/>
          <w:lang w:bidi="fa-IR"/>
        </w:rPr>
        <w:t xml:space="preserve"> : فَقُلْتُ لَهُ : ويْحَكَ ، أَ</w:t>
      </w:r>
      <w:r w:rsidRPr="00132E65">
        <w:rPr>
          <w:rtl/>
          <w:lang w:bidi="fa-IR"/>
        </w:rPr>
        <w:t xml:space="preserve">تُرِيدُ أَمْراً </w:t>
      </w:r>
      <w:r w:rsidRPr="00F543F1">
        <w:rPr>
          <w:rStyle w:val="libFootnotenumChar"/>
          <w:rtl/>
        </w:rPr>
        <w:t>(15)</w:t>
      </w:r>
      <w:r w:rsidRPr="00132E65">
        <w:rPr>
          <w:rtl/>
          <w:lang w:bidi="fa-IR"/>
        </w:rPr>
        <w:t xml:space="preserve"> أَبْيَنَ مِنْ هذَا</w:t>
      </w:r>
      <w:r>
        <w:rPr>
          <w:rtl/>
          <w:lang w:bidi="fa-IR"/>
        </w:rPr>
        <w:t>؟</w:t>
      </w:r>
      <w:r>
        <w:rPr>
          <w:rFonts w:hint="cs"/>
          <w:rtl/>
          <w:lang w:bidi="fa-IR"/>
        </w:rPr>
        <w:t xml:space="preserve"> </w:t>
      </w:r>
      <w:r w:rsidRPr="00132E65">
        <w:rPr>
          <w:rtl/>
          <w:lang w:bidi="fa-IR"/>
        </w:rPr>
        <w:t xml:space="preserve">قَالَ : فَقَالَ : هذَا أَمْرٌ </w:t>
      </w:r>
      <w:r w:rsidRPr="00F543F1">
        <w:rPr>
          <w:rStyle w:val="libFootnotenumChar"/>
          <w:rtl/>
        </w:rPr>
        <w:t>(16)</w:t>
      </w:r>
      <w:r w:rsidRPr="00132E65">
        <w:rPr>
          <w:rtl/>
          <w:lang w:bidi="fa-IR"/>
        </w:rPr>
        <w:t xml:space="preserve"> قَدْ جَرَيْنَا عَلَيْهِ. </w:t>
      </w:r>
      <w:r w:rsidRPr="00F543F1">
        <w:rPr>
          <w:rStyle w:val="libFootnotenumChar"/>
          <w:rtl/>
        </w:rPr>
        <w:t>(17)</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وسلّمناه »</w:t>
      </w:r>
      <w:r>
        <w:rPr>
          <w:rtl/>
        </w:rPr>
        <w:t>.</w:t>
      </w:r>
    </w:p>
    <w:p w:rsidR="000C39D1" w:rsidRPr="00132E65" w:rsidRDefault="000C39D1" w:rsidP="000C39D1">
      <w:pPr>
        <w:pStyle w:val="libFootnote0"/>
        <w:rPr>
          <w:rtl/>
          <w:lang w:bidi="fa-IR"/>
        </w:rPr>
      </w:pPr>
      <w:r>
        <w:rPr>
          <w:rtl/>
        </w:rPr>
        <w:t>(2).</w:t>
      </w:r>
      <w:r w:rsidRPr="00132E65">
        <w:rPr>
          <w:rtl/>
        </w:rPr>
        <w:t xml:space="preserve"> « خلّفك عنّا » ، أي أخّرك عنّا. راجع : </w:t>
      </w:r>
      <w:r w:rsidRPr="009D1ACE">
        <w:rPr>
          <w:rStyle w:val="libFootnoteBoldChar"/>
          <w:rtl/>
        </w:rPr>
        <w:t>لسان العرب</w:t>
      </w:r>
      <w:r w:rsidRPr="00132E65">
        <w:rPr>
          <w:rtl/>
        </w:rPr>
        <w:t xml:space="preserve"> ، ج 9 ، ص 87 ( خلف )</w:t>
      </w:r>
      <w:r>
        <w:rPr>
          <w:rtl/>
        </w:rPr>
        <w:t>.</w:t>
      </w:r>
    </w:p>
    <w:p w:rsidR="000C39D1" w:rsidRPr="00132E65" w:rsidRDefault="000C39D1" w:rsidP="000C39D1">
      <w:pPr>
        <w:pStyle w:val="libFootnote0"/>
        <w:rPr>
          <w:rtl/>
          <w:lang w:bidi="fa-IR"/>
        </w:rPr>
      </w:pPr>
      <w:r>
        <w:rPr>
          <w:rtl/>
        </w:rPr>
        <w:t>(3).</w:t>
      </w:r>
      <w:r w:rsidRPr="00132E65">
        <w:rPr>
          <w:rtl/>
        </w:rPr>
        <w:t xml:space="preserve"> في « ف » : « الحالة »</w:t>
      </w:r>
      <w:r>
        <w:rPr>
          <w:rtl/>
        </w:rPr>
        <w:t>.</w:t>
      </w:r>
    </w:p>
    <w:p w:rsidR="000C39D1" w:rsidRPr="00132E65" w:rsidRDefault="000C39D1" w:rsidP="000C39D1">
      <w:pPr>
        <w:pStyle w:val="libFootnote0"/>
        <w:rPr>
          <w:rtl/>
          <w:lang w:bidi="fa-IR"/>
        </w:rPr>
      </w:pPr>
      <w:r>
        <w:rPr>
          <w:rtl/>
        </w:rPr>
        <w:t>(4).</w:t>
      </w:r>
      <w:r w:rsidRPr="00132E65">
        <w:rPr>
          <w:rtl/>
        </w:rPr>
        <w:t xml:space="preserve"> « الصُرَّةُ » : ما تُعْقَدُ فيه الدراهم. </w:t>
      </w:r>
      <w:r w:rsidRPr="00071106">
        <w:rPr>
          <w:rtl/>
        </w:rPr>
        <w:t>المفردات</w:t>
      </w:r>
      <w:r w:rsidRPr="00132E65">
        <w:rPr>
          <w:rtl/>
        </w:rPr>
        <w:t xml:space="preserve"> للراغب ، ص 481 ( صرر )</w:t>
      </w:r>
      <w:r>
        <w:rPr>
          <w:rtl/>
        </w:rPr>
        <w:t>.</w:t>
      </w:r>
    </w:p>
    <w:p w:rsidR="000C39D1" w:rsidRPr="00132E65" w:rsidRDefault="000C39D1" w:rsidP="000C39D1">
      <w:pPr>
        <w:pStyle w:val="libFootnote0"/>
        <w:rPr>
          <w:rtl/>
          <w:lang w:bidi="fa-IR"/>
        </w:rPr>
      </w:pPr>
      <w:r>
        <w:rPr>
          <w:rtl/>
        </w:rPr>
        <w:t>(5).</w:t>
      </w:r>
      <w:r w:rsidRPr="00132E65">
        <w:rPr>
          <w:rtl/>
        </w:rPr>
        <w:t xml:space="preserve"> في « ج ، ض ، بح ، بر ، بس ، بف » و</w:t>
      </w:r>
      <w:r w:rsidRPr="009D1ACE">
        <w:rPr>
          <w:rStyle w:val="libFootnoteBoldChar"/>
          <w:rtl/>
        </w:rPr>
        <w:t>الوافي</w:t>
      </w:r>
      <w:r w:rsidRPr="00132E65">
        <w:rPr>
          <w:rtl/>
        </w:rPr>
        <w:t xml:space="preserve"> : « لكذا »</w:t>
      </w:r>
      <w:r>
        <w:rPr>
          <w:rtl/>
        </w:rPr>
        <w:t>.</w:t>
      </w:r>
      <w:r w:rsidRPr="00132E65">
        <w:rPr>
          <w:rtl/>
        </w:rPr>
        <w:t xml:space="preserve"> وفي « ف » وحاشية « ض » والإرشاد : « للدقيق »</w:t>
      </w:r>
      <w:r>
        <w:rPr>
          <w:rtl/>
        </w:rPr>
        <w:t>.</w:t>
      </w:r>
    </w:p>
    <w:p w:rsidR="000C39D1" w:rsidRPr="00132E65" w:rsidRDefault="000C39D1" w:rsidP="000C39D1">
      <w:pPr>
        <w:pStyle w:val="libFootnote0"/>
        <w:rPr>
          <w:rtl/>
          <w:lang w:bidi="fa-IR"/>
        </w:rPr>
      </w:pPr>
      <w:r>
        <w:rPr>
          <w:rtl/>
        </w:rPr>
        <w:t>(6).</w:t>
      </w:r>
      <w:r w:rsidRPr="00132E65">
        <w:rPr>
          <w:rtl/>
        </w:rPr>
        <w:t xml:space="preserve"> في الإرشاد : « وقال »</w:t>
      </w:r>
      <w:r>
        <w:rPr>
          <w:rtl/>
        </w:rPr>
        <w:t>.</w:t>
      </w:r>
    </w:p>
    <w:p w:rsidR="000C39D1" w:rsidRPr="00132E65" w:rsidRDefault="000C39D1" w:rsidP="000C39D1">
      <w:pPr>
        <w:pStyle w:val="libFootnote0"/>
        <w:rPr>
          <w:rtl/>
          <w:lang w:bidi="fa-IR"/>
        </w:rPr>
      </w:pPr>
      <w:r>
        <w:rPr>
          <w:rtl/>
        </w:rPr>
        <w:t>(7).</w:t>
      </w:r>
      <w:r w:rsidRPr="00132E65">
        <w:rPr>
          <w:rtl/>
        </w:rPr>
        <w:t xml:space="preserve"> في الإرشاد : « فاجعل »</w:t>
      </w:r>
      <w:r>
        <w:rPr>
          <w:rtl/>
        </w:rPr>
        <w:t>.</w:t>
      </w:r>
    </w:p>
    <w:p w:rsidR="000C39D1" w:rsidRPr="00132E65" w:rsidRDefault="000C39D1" w:rsidP="000C39D1">
      <w:pPr>
        <w:pStyle w:val="libFootnote0"/>
        <w:rPr>
          <w:rtl/>
          <w:lang w:bidi="fa-IR"/>
        </w:rPr>
      </w:pPr>
      <w:r>
        <w:rPr>
          <w:rtl/>
        </w:rPr>
        <w:t>(8).</w:t>
      </w:r>
      <w:r w:rsidRPr="00132E65">
        <w:rPr>
          <w:rtl/>
        </w:rPr>
        <w:t xml:space="preserve"> في اللغة : سورى ، مثال بُشْرى أو طُوبى : موضع بالعراق من أرض بابل ، وهو بلد السُرْيانيّين ، وموضع من‌أعمال بغداد. وقد يُمَدُّ. وقال المجلسي : « بلد بقرب الحلّة أو مكانها ، كما سمعت من مشايخي »</w:t>
      </w:r>
      <w:r>
        <w:rPr>
          <w:rtl/>
        </w:rPr>
        <w:t>.</w:t>
      </w:r>
      <w:r w:rsidRPr="00132E65">
        <w:rPr>
          <w:rtl/>
        </w:rPr>
        <w:t xml:space="preserve"> راجع : </w:t>
      </w:r>
      <w:r w:rsidRPr="00071106">
        <w:rPr>
          <w:rtl/>
        </w:rPr>
        <w:t>الصحاح</w:t>
      </w:r>
      <w:r w:rsidRPr="00132E65">
        <w:rPr>
          <w:rtl/>
        </w:rPr>
        <w:t xml:space="preserve"> ، ج 2 ، ص 690 ؛ </w:t>
      </w:r>
      <w:r w:rsidRPr="00071106">
        <w:rPr>
          <w:rtl/>
        </w:rPr>
        <w:t>القاموس المحيط</w:t>
      </w:r>
      <w:r w:rsidRPr="00132E65">
        <w:rPr>
          <w:rtl/>
        </w:rPr>
        <w:t xml:space="preserve"> ، ج 1 ، ص 579 ( سور )</w:t>
      </w:r>
      <w:r>
        <w:rPr>
          <w:rtl/>
        </w:rPr>
        <w:t>.</w:t>
      </w:r>
    </w:p>
    <w:p w:rsidR="000C39D1" w:rsidRPr="00132E65" w:rsidRDefault="000C39D1" w:rsidP="000C39D1">
      <w:pPr>
        <w:pStyle w:val="libFootnote0"/>
        <w:rPr>
          <w:rtl/>
          <w:lang w:bidi="fa-IR"/>
        </w:rPr>
      </w:pPr>
      <w:r>
        <w:rPr>
          <w:rtl/>
        </w:rPr>
        <w:t>(9).</w:t>
      </w:r>
      <w:r w:rsidRPr="00132E65">
        <w:rPr>
          <w:rtl/>
        </w:rPr>
        <w:t xml:space="preserve"> في الإرشاد : « امرأة منها »</w:t>
      </w:r>
      <w:r>
        <w:rPr>
          <w:rtl/>
        </w:rPr>
        <w:t>.</w:t>
      </w:r>
    </w:p>
    <w:p w:rsidR="000C39D1" w:rsidRPr="00132E65" w:rsidRDefault="000C39D1" w:rsidP="000C39D1">
      <w:pPr>
        <w:pStyle w:val="libFootnote0"/>
        <w:rPr>
          <w:rtl/>
          <w:lang w:bidi="fa-IR"/>
        </w:rPr>
      </w:pPr>
      <w:r>
        <w:rPr>
          <w:rtl/>
        </w:rPr>
        <w:t>(10).</w:t>
      </w:r>
      <w:r w:rsidRPr="00132E65">
        <w:rPr>
          <w:rtl/>
        </w:rPr>
        <w:t xml:space="preserve"> « الدَخْل » : ما دخل عليك من ضيعتك ، أي عقارك. </w:t>
      </w:r>
      <w:r w:rsidRPr="00071106">
        <w:rPr>
          <w:rtl/>
        </w:rPr>
        <w:t>القاموس المحيط</w:t>
      </w:r>
      <w:r w:rsidRPr="00132E65">
        <w:rPr>
          <w:rtl/>
        </w:rPr>
        <w:t xml:space="preserve"> ، ج 2 ، ص 1320 ( دخل )</w:t>
      </w:r>
      <w:r>
        <w:rPr>
          <w:rtl/>
        </w:rPr>
        <w:t>.</w:t>
      </w:r>
    </w:p>
    <w:p w:rsidR="000C39D1" w:rsidRPr="00132E65" w:rsidRDefault="000C39D1" w:rsidP="000C39D1">
      <w:pPr>
        <w:pStyle w:val="libFootnote0"/>
        <w:rPr>
          <w:rtl/>
          <w:lang w:bidi="fa-IR"/>
        </w:rPr>
      </w:pPr>
      <w:r>
        <w:rPr>
          <w:rtl/>
        </w:rPr>
        <w:t>(11).</w:t>
      </w:r>
      <w:r w:rsidRPr="00132E65">
        <w:rPr>
          <w:rtl/>
        </w:rPr>
        <w:t xml:space="preserve"> في « ب ، ج » و</w:t>
      </w:r>
      <w:r w:rsidRPr="009D1ACE">
        <w:rPr>
          <w:rStyle w:val="libFootnoteBoldChar"/>
          <w:rtl/>
        </w:rPr>
        <w:t>مرآة العقول</w:t>
      </w:r>
      <w:r w:rsidRPr="00132E65">
        <w:rPr>
          <w:rtl/>
        </w:rPr>
        <w:t xml:space="preserve"> : « ألفاً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بالوقف ، أي بالقول بأنّ الكاظم </w:t>
      </w:r>
      <w:r w:rsidRPr="00AC26D4">
        <w:rPr>
          <w:rStyle w:val="libFootnoteAlaemChar"/>
          <w:rtl/>
        </w:rPr>
        <w:t>عليه‌السلام</w:t>
      </w:r>
      <w:r w:rsidRPr="00132E65">
        <w:rPr>
          <w:rtl/>
        </w:rPr>
        <w:t xml:space="preserve"> لم يمت وأنّه القائم ، وعدم القول بإمامة الأئمّة بعده</w:t>
      </w:r>
      <w:r w:rsidRPr="00AC26D4">
        <w:rPr>
          <w:rStyle w:val="libFootnoteAlaemChar"/>
          <w:rtl/>
        </w:rPr>
        <w:t>عليه‌السلام</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AC26D4" w:rsidTr="00AC26D4">
        <w:tc>
          <w:tcPr>
            <w:tcW w:w="4261" w:type="dxa"/>
          </w:tcPr>
          <w:p w:rsidR="00AC26D4" w:rsidRDefault="00AC26D4" w:rsidP="000C39D1">
            <w:pPr>
              <w:pStyle w:val="libFootnote0"/>
              <w:rPr>
                <w:rtl/>
              </w:rPr>
            </w:pPr>
            <w:r>
              <w:rPr>
                <w:rtl/>
              </w:rPr>
              <w:t>(13)</w:t>
            </w:r>
            <w:r w:rsidRPr="00132E65">
              <w:rPr>
                <w:rtl/>
              </w:rPr>
              <w:t xml:space="preserve"> في الإرشاد : « قال »</w:t>
            </w:r>
            <w:r>
              <w:rPr>
                <w:rtl/>
              </w:rPr>
              <w:t>.</w:t>
            </w:r>
          </w:p>
        </w:tc>
        <w:tc>
          <w:tcPr>
            <w:tcW w:w="4262" w:type="dxa"/>
          </w:tcPr>
          <w:p w:rsidR="00AC26D4" w:rsidRDefault="00AC26D4" w:rsidP="000C39D1">
            <w:pPr>
              <w:pStyle w:val="libFootnote0"/>
              <w:rPr>
                <w:rtl/>
              </w:rPr>
            </w:pPr>
            <w:r>
              <w:rPr>
                <w:rtl/>
              </w:rPr>
              <w:t>(14)</w:t>
            </w:r>
            <w:r w:rsidRPr="00132E65">
              <w:rPr>
                <w:rtl/>
              </w:rPr>
              <w:t xml:space="preserve"> في الإرشاد :</w:t>
            </w:r>
            <w:r>
              <w:rPr>
                <w:rtl/>
              </w:rPr>
              <w:t xml:space="preserve"> + </w:t>
            </w:r>
            <w:r w:rsidRPr="00132E65">
              <w:rPr>
                <w:rtl/>
              </w:rPr>
              <w:t>« الكردي »</w:t>
            </w:r>
            <w:r>
              <w:rPr>
                <w:rtl/>
              </w:rPr>
              <w:t>.</w:t>
            </w:r>
          </w:p>
        </w:tc>
      </w:tr>
    </w:tbl>
    <w:p w:rsidR="000C39D1" w:rsidRPr="00132E65" w:rsidRDefault="000C39D1" w:rsidP="000C39D1">
      <w:pPr>
        <w:pStyle w:val="libFootnote0"/>
        <w:rPr>
          <w:rtl/>
          <w:lang w:bidi="fa-IR"/>
        </w:rPr>
      </w:pPr>
      <w:r>
        <w:rPr>
          <w:rtl/>
        </w:rPr>
        <w:t>(15)</w:t>
      </w:r>
      <w:r w:rsidRPr="00132E65">
        <w:rPr>
          <w:rtl/>
        </w:rPr>
        <w:t xml:space="preserve"> في حاشية « ض »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(16)</w:t>
      </w:r>
      <w:r w:rsidRPr="00132E65">
        <w:rPr>
          <w:rtl/>
        </w:rPr>
        <w:t xml:space="preserve"> في الإرشاد : « فقال : صدقت ولكنّا على أمر » بدل « فقال : هذا أمر »</w:t>
      </w:r>
      <w:r>
        <w:rPr>
          <w:rtl/>
        </w:rPr>
        <w:t>.</w:t>
      </w:r>
    </w:p>
    <w:p w:rsidR="000C39D1" w:rsidRPr="00132E65" w:rsidRDefault="000C39D1" w:rsidP="00015BD6">
      <w:pPr>
        <w:pStyle w:val="libFootnote0"/>
        <w:rPr>
          <w:rtl/>
          <w:lang w:bidi="fa-IR"/>
        </w:rPr>
      </w:pPr>
      <w:r>
        <w:rPr>
          <w:rtl/>
        </w:rPr>
        <w:t>(17)</w:t>
      </w:r>
      <w:r w:rsidRPr="00132E65">
        <w:rPr>
          <w:rtl/>
        </w:rPr>
        <w:t xml:space="preserve"> </w:t>
      </w:r>
      <w:r w:rsidRPr="00F54881">
        <w:rPr>
          <w:rtl/>
        </w:rPr>
        <w:t>الإرشاد</w:t>
      </w:r>
      <w:r w:rsidRPr="00132E65">
        <w:rPr>
          <w:rtl/>
        </w:rPr>
        <w:t xml:space="preserve"> ، ج 2 ، ص 326 ، بسنده عن الكليني</w:t>
      </w:r>
      <w:r w:rsidR="00015BD6">
        <w:rPr>
          <w:rFonts w:hint="cs"/>
          <w:rtl/>
        </w:rPr>
        <w:t>.</w:t>
      </w:r>
      <w:r w:rsidRPr="009D1ACE">
        <w:rPr>
          <w:rStyle w:val="libFootnoteBoldChar"/>
          <w:rtl/>
        </w:rPr>
        <w:t>الوافي</w:t>
      </w:r>
      <w:r w:rsidRPr="00132E65">
        <w:rPr>
          <w:rtl/>
        </w:rPr>
        <w:t xml:space="preserve"> ، ج 3 ، ص 848 ، ح 1458.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F54881">
        <w:rPr>
          <w:rtl/>
        </w:rPr>
        <w:t>1333</w:t>
      </w:r>
      <w:r w:rsidRPr="004325D8">
        <w:rPr>
          <w:rStyle w:val="libBold2Char"/>
          <w:rtl/>
        </w:rPr>
        <w:t xml:space="preserve"> / 4.</w:t>
      </w:r>
      <w:r w:rsidRPr="00132E65">
        <w:rPr>
          <w:rtl/>
          <w:lang w:bidi="fa-IR"/>
        </w:rPr>
        <w:t xml:space="preserve"> عَلِيُّ بْنُ مُحَمَّدٍ ، عَنْ أَبِي عَلِيٍّ </w:t>
      </w:r>
      <w:r>
        <w:rPr>
          <w:rStyle w:val="libFootnotenumChar"/>
          <w:rtl/>
        </w:rPr>
        <w:t>(1)</w:t>
      </w:r>
      <w:r w:rsidRPr="00132E65">
        <w:rPr>
          <w:rtl/>
          <w:lang w:bidi="fa-IR"/>
        </w:rPr>
        <w:t xml:space="preserve"> مُحَمَّدِ بْنِ عَلِيِّ بْنِ إِبْرَاهِيمَ ، قَالَ : حَدَّثَنِي أَحْمَدُ بْنُ الْحَارِثِ الْقَزْوِينِيُّ ، قَالَ :</w:t>
      </w:r>
    </w:p>
    <w:p w:rsidR="000C39D1" w:rsidRPr="00132E65" w:rsidRDefault="000C39D1" w:rsidP="000C39D1">
      <w:pPr>
        <w:pStyle w:val="libNormal"/>
        <w:rPr>
          <w:rtl/>
          <w:lang w:bidi="fa-IR"/>
        </w:rPr>
      </w:pPr>
      <w:r w:rsidRPr="00132E65">
        <w:rPr>
          <w:rtl/>
          <w:lang w:bidi="fa-IR"/>
        </w:rPr>
        <w:t>كُنْتُ مَعَ أَبِي بِسُرَّ مَنْ رَأى ، و</w:t>
      </w:r>
      <w:r w:rsidR="00015BD6">
        <w:rPr>
          <w:rFonts w:hint="cs"/>
          <w:rtl/>
          <w:lang w:bidi="fa-IR"/>
        </w:rPr>
        <w:t>َ</w:t>
      </w:r>
      <w:r w:rsidRPr="00132E65">
        <w:rPr>
          <w:rtl/>
          <w:lang w:bidi="fa-IR"/>
        </w:rPr>
        <w:t xml:space="preserve">كَانَ أَبِي يَتَعَاطَى الْبَيْطَرَةَ </w:t>
      </w:r>
      <w:r>
        <w:rPr>
          <w:rStyle w:val="libFootnotenumChar"/>
          <w:rtl/>
        </w:rPr>
        <w:t>(2)</w:t>
      </w:r>
      <w:r w:rsidRPr="00132E65">
        <w:rPr>
          <w:rtl/>
          <w:lang w:bidi="fa-IR"/>
        </w:rPr>
        <w:t xml:space="preserve"> فِي مَرْبِطِ أَبِي مُحَمَّدٍ </w:t>
      </w:r>
      <w:r w:rsidRPr="00071CF9">
        <w:rPr>
          <w:rStyle w:val="libAlaemChar"/>
          <w:rtl/>
        </w:rPr>
        <w:t>عليه‌السلام</w:t>
      </w:r>
      <w:r w:rsidRPr="00132E65">
        <w:rPr>
          <w:rtl/>
          <w:lang w:bidi="fa-IR"/>
        </w:rPr>
        <w:t xml:space="preserve"> ، قَالَ : و</w:t>
      </w:r>
      <w:r w:rsidR="00723D2A">
        <w:rPr>
          <w:rFonts w:hint="cs"/>
          <w:rtl/>
          <w:lang w:bidi="fa-IR"/>
        </w:rPr>
        <w:t>َ</w:t>
      </w:r>
      <w:r w:rsidRPr="00132E65">
        <w:rPr>
          <w:rtl/>
          <w:lang w:bidi="fa-IR"/>
        </w:rPr>
        <w:t>كَانَ عِنْدَ الْمُسْتَعِينِ بَغْلٌ لَمْ يُرَ مِثْلُهُ حُسْناً وكِبْراً ، و</w:t>
      </w:r>
      <w:r w:rsidR="00723D2A">
        <w:rPr>
          <w:rFonts w:hint="cs"/>
          <w:rtl/>
          <w:lang w:bidi="fa-IR"/>
        </w:rPr>
        <w:t>َ</w:t>
      </w:r>
      <w:r w:rsidRPr="00132E65">
        <w:rPr>
          <w:rtl/>
          <w:lang w:bidi="fa-IR"/>
        </w:rPr>
        <w:t>كَانَ يَمْنَعُ ظَهْرَهُ و</w:t>
      </w:r>
      <w:r w:rsidR="00723D2A">
        <w:rPr>
          <w:rFonts w:hint="cs"/>
          <w:rtl/>
          <w:lang w:bidi="fa-IR"/>
        </w:rPr>
        <w:t>َ</w:t>
      </w:r>
      <w:r w:rsidRPr="00132E65">
        <w:rPr>
          <w:rtl/>
          <w:lang w:bidi="fa-IR"/>
        </w:rPr>
        <w:t xml:space="preserve">اللِّجَامَ وَالسَّرْجَ </w:t>
      </w:r>
      <w:r>
        <w:rPr>
          <w:rStyle w:val="libFootnotenumChar"/>
          <w:rtl/>
        </w:rPr>
        <w:t>(3)</w:t>
      </w:r>
      <w:r w:rsidRPr="00132E65">
        <w:rPr>
          <w:rtl/>
          <w:lang w:bidi="fa-IR"/>
        </w:rPr>
        <w:t xml:space="preserve"> ، و</w:t>
      </w:r>
      <w:r w:rsidR="00723D2A">
        <w:rPr>
          <w:rFonts w:hint="cs"/>
          <w:rtl/>
          <w:lang w:bidi="fa-IR"/>
        </w:rPr>
        <w:t>َ</w:t>
      </w:r>
      <w:r w:rsidRPr="00132E65">
        <w:rPr>
          <w:rtl/>
          <w:lang w:bidi="fa-IR"/>
        </w:rPr>
        <w:t xml:space="preserve">قَدْ كَانَ جَمَعَ عَلَيْهِ الرَّاضَةَ </w:t>
      </w:r>
      <w:r>
        <w:rPr>
          <w:rStyle w:val="libFootnotenumChar"/>
          <w:rtl/>
        </w:rPr>
        <w:t>(4)</w:t>
      </w:r>
      <w:r w:rsidRPr="00132E65">
        <w:rPr>
          <w:rtl/>
          <w:lang w:bidi="fa-IR"/>
        </w:rPr>
        <w:t xml:space="preserve"> ، فَلَمْ يُمَكِّنْ </w:t>
      </w:r>
      <w:r>
        <w:rPr>
          <w:rStyle w:val="libFootnotenumChar"/>
          <w:rtl/>
        </w:rPr>
        <w:t>(5)</w:t>
      </w:r>
      <w:r w:rsidRPr="00132E65">
        <w:rPr>
          <w:rtl/>
          <w:lang w:bidi="fa-IR"/>
        </w:rPr>
        <w:t xml:space="preserve"> لَهُمْ حِيلَةٌ فِي رُكُوبِهِ ، قَالَ : فَقَالَ لَهُ </w:t>
      </w:r>
      <w:r>
        <w:rPr>
          <w:rStyle w:val="libFootnotenumChar"/>
          <w:rtl/>
        </w:rPr>
        <w:t>(6)</w:t>
      </w:r>
      <w:r w:rsidRPr="00132E65">
        <w:rPr>
          <w:rtl/>
          <w:lang w:bidi="fa-IR"/>
        </w:rPr>
        <w:t xml:space="preserve"> بَعْضُ نُدَمَائِهِ : </w:t>
      </w:r>
      <w:r>
        <w:rPr>
          <w:rtl/>
          <w:lang w:bidi="fa-IR"/>
        </w:rPr>
        <w:t>يَا أَمِيرَ الْمُؤْمِنِينَ ، أَ</w:t>
      </w:r>
      <w:r w:rsidRPr="00132E65">
        <w:rPr>
          <w:rtl/>
          <w:lang w:bidi="fa-IR"/>
        </w:rPr>
        <w:t>لَاتَبْعَثُ إِلَى الْحَسَنِ ابْنِ الرِّضَا حَتّى يَجِي‌ءَ ، فَإِمَّا أَنْ يَرْكَبَهُ ، و</w:t>
      </w:r>
      <w:r w:rsidR="00723D2A">
        <w:rPr>
          <w:rFonts w:hint="cs"/>
          <w:rtl/>
          <w:lang w:bidi="fa-IR"/>
        </w:rPr>
        <w:t>َ</w:t>
      </w:r>
      <w:r w:rsidRPr="00132E65">
        <w:rPr>
          <w:rtl/>
          <w:lang w:bidi="fa-IR"/>
        </w:rPr>
        <w:t xml:space="preserve">إِمَّا أَنْ يَقْتُلَهُ ، فَتَسْتَرِيحَ مِنْهُ </w:t>
      </w:r>
      <w:r>
        <w:rPr>
          <w:rStyle w:val="libFootnotenumChar"/>
          <w:rtl/>
        </w:rPr>
        <w:t>(7)</w:t>
      </w:r>
      <w:r w:rsidR="00723D2A" w:rsidRPr="00723D2A">
        <w:rPr>
          <w:rFonts w:hint="cs"/>
          <w:rtl/>
        </w:rPr>
        <w:t>.</w:t>
      </w:r>
    </w:p>
    <w:p w:rsidR="000C39D1" w:rsidRPr="00132E65" w:rsidRDefault="000C39D1" w:rsidP="000C39D1">
      <w:pPr>
        <w:pStyle w:val="libNormal"/>
        <w:rPr>
          <w:rtl/>
          <w:lang w:bidi="fa-IR"/>
        </w:rPr>
      </w:pPr>
      <w:r w:rsidRPr="00132E65">
        <w:rPr>
          <w:rtl/>
          <w:lang w:bidi="fa-IR"/>
        </w:rPr>
        <w:t xml:space="preserve">قَالَ : فَبَعَثَ إِلى أَبِي مُحَمَّدٍ </w:t>
      </w:r>
      <w:r w:rsidRPr="00071CF9">
        <w:rPr>
          <w:rStyle w:val="libAlaemChar"/>
          <w:rtl/>
        </w:rPr>
        <w:t>عليه‌السلام</w:t>
      </w:r>
      <w:r w:rsidRPr="00132E65">
        <w:rPr>
          <w:rtl/>
          <w:lang w:bidi="fa-IR"/>
        </w:rPr>
        <w:t xml:space="preserve"> ، و</w:t>
      </w:r>
      <w:r w:rsidR="00723D2A">
        <w:rPr>
          <w:rFonts w:hint="cs"/>
          <w:rtl/>
          <w:lang w:bidi="fa-IR"/>
        </w:rPr>
        <w:t>َ</w:t>
      </w:r>
      <w:r w:rsidRPr="00132E65">
        <w:rPr>
          <w:rtl/>
          <w:lang w:bidi="fa-IR"/>
        </w:rPr>
        <w:t xml:space="preserve">مَضى مَعَهُ أَبِي ، فَقَالَ </w:t>
      </w:r>
      <w:r>
        <w:rPr>
          <w:rStyle w:val="libFootnotenumChar"/>
          <w:rtl/>
        </w:rPr>
        <w:t>(8)</w:t>
      </w:r>
      <w:r w:rsidRPr="00132E65">
        <w:rPr>
          <w:rtl/>
          <w:lang w:bidi="fa-IR"/>
        </w:rPr>
        <w:t xml:space="preserve"> أَبِي : لَمَّا </w:t>
      </w:r>
      <w:r>
        <w:rPr>
          <w:rStyle w:val="libFootnotenumChar"/>
          <w:rtl/>
        </w:rPr>
        <w:t>(9)</w:t>
      </w:r>
      <w:r w:rsidRPr="00132E65">
        <w:rPr>
          <w:rtl/>
          <w:lang w:bidi="fa-IR"/>
        </w:rPr>
        <w:t xml:space="preserve"> دَخَلَ أَبُو مُحَمَّدٍ الدَّارَ ، كُنْتُ مَعَهُ </w:t>
      </w:r>
      <w:r>
        <w:rPr>
          <w:rStyle w:val="libFootnotenumChar"/>
          <w:rtl/>
        </w:rPr>
        <w:t>(10)</w:t>
      </w:r>
      <w:r w:rsidRPr="00132E65">
        <w:rPr>
          <w:rtl/>
          <w:lang w:bidi="fa-IR"/>
        </w:rPr>
        <w:t xml:space="preserve"> ، فَنَظَرَ أَبُو مُحَمَّدٍ إِلَى الْبَغْلِ واقِفاً فِي صَحْنِ الدَّارِ ، فَعَدَلَ إِلَيْهِ ، فَوَضَعَ يَدَهُ </w:t>
      </w:r>
      <w:r>
        <w:rPr>
          <w:rStyle w:val="libFootnotenumChar"/>
          <w:rtl/>
        </w:rPr>
        <w:t>(11)</w:t>
      </w:r>
      <w:r w:rsidRPr="00132E65">
        <w:rPr>
          <w:rtl/>
          <w:lang w:bidi="fa-IR"/>
        </w:rPr>
        <w:t xml:space="preserve"> عَلى كَفَلِهِ ، قَالَ : فَنَظَرْتُ إِلَى الْبَغْلِ و</w:t>
      </w:r>
      <w:r w:rsidR="00723D2A">
        <w:rPr>
          <w:rFonts w:hint="cs"/>
          <w:rtl/>
          <w:lang w:bidi="fa-IR"/>
        </w:rPr>
        <w:t>َ</w:t>
      </w:r>
      <w:r w:rsidRPr="00132E65">
        <w:rPr>
          <w:rtl/>
          <w:lang w:bidi="fa-IR"/>
        </w:rPr>
        <w:t xml:space="preserve">قَدْ عَرِقَ حَتّى سَالَ الْعَرَقُ مِنْهُ </w:t>
      </w:r>
      <w:r>
        <w:rPr>
          <w:rStyle w:val="libFootnotenumChar"/>
          <w:rtl/>
        </w:rPr>
        <w:t>(12)</w:t>
      </w:r>
      <w:r w:rsidRPr="00132E65">
        <w:rPr>
          <w:rtl/>
          <w:lang w:bidi="fa-IR"/>
        </w:rPr>
        <w:t xml:space="preserve"> ، ثُمَّ صَارَ إِلَى الْمُسْتَعِينِ ، فَسَلَّمَ عَلَيْهِ ، فَرَحَّبَ بِهِ </w:t>
      </w:r>
      <w:r w:rsidRPr="00F543F1">
        <w:rPr>
          <w:rStyle w:val="libFootnotenumChar"/>
          <w:rtl/>
        </w:rPr>
        <w:t>(13)</w:t>
      </w:r>
      <w:r w:rsidRPr="00132E65">
        <w:rPr>
          <w:rtl/>
          <w:lang w:bidi="fa-IR"/>
        </w:rPr>
        <w:t xml:space="preserve"> وقَرَّبَ.</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أبي عليّ »</w:t>
      </w:r>
      <w:r>
        <w:rPr>
          <w:rtl/>
        </w:rPr>
        <w:t>.</w:t>
      </w:r>
    </w:p>
    <w:p w:rsidR="000C39D1" w:rsidRPr="00132E65" w:rsidRDefault="000C39D1" w:rsidP="000C39D1">
      <w:pPr>
        <w:pStyle w:val="libFootnote0"/>
        <w:rPr>
          <w:rtl/>
          <w:lang w:bidi="fa-IR"/>
        </w:rPr>
      </w:pPr>
      <w:r>
        <w:rPr>
          <w:rtl/>
        </w:rPr>
        <w:t>(2).</w:t>
      </w:r>
      <w:r w:rsidRPr="00132E65">
        <w:rPr>
          <w:rtl/>
        </w:rPr>
        <w:t xml:space="preserve"> « البَيْطرة » : معالجة الدوابّ. </w:t>
      </w:r>
      <w:r w:rsidRPr="009D1ACE">
        <w:rPr>
          <w:rStyle w:val="libFootnoteBoldChar"/>
          <w:rtl/>
        </w:rPr>
        <w:t>لسان العرب</w:t>
      </w:r>
      <w:r w:rsidRPr="00132E65">
        <w:rPr>
          <w:rtl/>
        </w:rPr>
        <w:t xml:space="preserve"> ، ج 4 ، ص 69</w:t>
      </w:r>
      <w:r>
        <w:rPr>
          <w:rtl/>
        </w:rPr>
        <w:t xml:space="preserve"> - </w:t>
      </w:r>
      <w:r w:rsidRPr="00132E65">
        <w:rPr>
          <w:rtl/>
        </w:rPr>
        <w:t>70 ( بطر )</w:t>
      </w:r>
      <w:r>
        <w:rPr>
          <w:rtl/>
        </w:rPr>
        <w:t>.</w:t>
      </w:r>
    </w:p>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والسرج »</w:t>
      </w:r>
      <w:r>
        <w:rPr>
          <w:rtl/>
        </w:rPr>
        <w:t>.</w:t>
      </w:r>
    </w:p>
    <w:p w:rsidR="000C39D1" w:rsidRPr="00132E65" w:rsidRDefault="000C39D1" w:rsidP="000C39D1">
      <w:pPr>
        <w:pStyle w:val="libFootnote0"/>
        <w:rPr>
          <w:rtl/>
          <w:lang w:bidi="fa-IR"/>
        </w:rPr>
      </w:pPr>
      <w:r>
        <w:rPr>
          <w:rtl/>
        </w:rPr>
        <w:t>(4).</w:t>
      </w:r>
      <w:r w:rsidRPr="00132E65">
        <w:rPr>
          <w:rtl/>
        </w:rPr>
        <w:t xml:space="preserve"> في حاشية « ج ، ض ، ف ، بر ، بس ، بف » والإرشاد : « الروّاض »</w:t>
      </w:r>
      <w:r>
        <w:rPr>
          <w:rtl/>
        </w:rPr>
        <w:t>.</w:t>
      </w:r>
      <w:r w:rsidRPr="00132E65">
        <w:rPr>
          <w:rtl/>
        </w:rPr>
        <w:t xml:space="preserve"> </w:t>
      </w:r>
      <w:r>
        <w:rPr>
          <w:rtl/>
        </w:rPr>
        <w:t>و «</w:t>
      </w:r>
      <w:r w:rsidRPr="00132E65">
        <w:rPr>
          <w:rtl/>
        </w:rPr>
        <w:t xml:space="preserve"> الراضَةُ » : جمع الرائض ، وهو مذلّل الدوابّ للركوب ، أو معلِّم السير لها. راجع : </w:t>
      </w:r>
      <w:r w:rsidRPr="009D1ACE">
        <w:rPr>
          <w:rStyle w:val="libFootnoteBoldChar"/>
          <w:rtl/>
        </w:rPr>
        <w:t>لسان العرب</w:t>
      </w:r>
      <w:r w:rsidRPr="00132E65">
        <w:rPr>
          <w:rtl/>
        </w:rPr>
        <w:t xml:space="preserve"> ، ج 7 ، ص 164 ؛ </w:t>
      </w:r>
      <w:r w:rsidRPr="00F54881">
        <w:rPr>
          <w:rtl/>
        </w:rPr>
        <w:t>القاموس المحيط</w:t>
      </w:r>
      <w:r w:rsidR="0006034E">
        <w:rPr>
          <w:rtl/>
        </w:rPr>
        <w:t xml:space="preserve"> ، ج 1 ، ص 872 ( روض</w:t>
      </w:r>
      <w:r w:rsidRPr="00132E65">
        <w:rPr>
          <w:rtl/>
        </w:rPr>
        <w:t>)</w:t>
      </w:r>
      <w:r>
        <w:rPr>
          <w:rtl/>
        </w:rPr>
        <w:t>.</w:t>
      </w:r>
    </w:p>
    <w:p w:rsidR="000C39D1" w:rsidRPr="00132E65" w:rsidRDefault="000C39D1" w:rsidP="000C39D1">
      <w:pPr>
        <w:pStyle w:val="libFootnote0"/>
        <w:rPr>
          <w:rtl/>
          <w:lang w:bidi="fa-IR"/>
        </w:rPr>
      </w:pPr>
      <w:r>
        <w:rPr>
          <w:rtl/>
        </w:rPr>
        <w:t>(5).</w:t>
      </w:r>
      <w:r w:rsidRPr="00132E65">
        <w:rPr>
          <w:rtl/>
        </w:rPr>
        <w:t xml:space="preserve"> في « ف » والإرشاد : « فلم تكن »</w:t>
      </w:r>
      <w:r>
        <w:rPr>
          <w:rtl/>
        </w:rPr>
        <w:t>.</w:t>
      </w:r>
      <w:r w:rsidRPr="00132E65">
        <w:rPr>
          <w:rtl/>
        </w:rPr>
        <w:t xml:space="preserve"> وفي « بس » : « فلم يكن »</w:t>
      </w:r>
      <w:r>
        <w:rPr>
          <w:rtl/>
        </w:rPr>
        <w:t>.</w:t>
      </w:r>
    </w:p>
    <w:tbl>
      <w:tblPr>
        <w:tblStyle w:val="TableGrid"/>
        <w:bidiVisual/>
        <w:tblW w:w="0" w:type="auto"/>
        <w:tblLook w:val="04A0" w:firstRow="1" w:lastRow="0" w:firstColumn="1" w:lastColumn="0" w:noHBand="0" w:noVBand="1"/>
      </w:tblPr>
      <w:tblGrid>
        <w:gridCol w:w="4261"/>
        <w:gridCol w:w="4262"/>
      </w:tblGrid>
      <w:tr w:rsidR="00723D2A" w:rsidTr="00723D2A">
        <w:tc>
          <w:tcPr>
            <w:tcW w:w="4261" w:type="dxa"/>
          </w:tcPr>
          <w:p w:rsidR="00723D2A" w:rsidRDefault="00723D2A" w:rsidP="000C39D1">
            <w:pPr>
              <w:pStyle w:val="libFootnote0"/>
              <w:rPr>
                <w:rtl/>
              </w:rPr>
            </w:pPr>
            <w:r>
              <w:rPr>
                <w:rtl/>
              </w:rPr>
              <w:t>(6).</w:t>
            </w:r>
            <w:r w:rsidRPr="00132E65">
              <w:rPr>
                <w:rtl/>
              </w:rPr>
              <w:t xml:space="preserve"> في « بر » </w:t>
            </w:r>
            <w:r>
              <w:rPr>
                <w:rtl/>
              </w:rPr>
              <w:t xml:space="preserve">: - </w:t>
            </w:r>
            <w:r w:rsidRPr="00132E65">
              <w:rPr>
                <w:rtl/>
              </w:rPr>
              <w:t>« له »</w:t>
            </w:r>
            <w:r>
              <w:rPr>
                <w:rtl/>
              </w:rPr>
              <w:t>.</w:t>
            </w:r>
          </w:p>
        </w:tc>
        <w:tc>
          <w:tcPr>
            <w:tcW w:w="4262" w:type="dxa"/>
          </w:tcPr>
          <w:p w:rsidR="00723D2A" w:rsidRDefault="00723D2A" w:rsidP="000C39D1">
            <w:pPr>
              <w:pStyle w:val="libFootnote0"/>
              <w:rPr>
                <w:rtl/>
              </w:rPr>
            </w:pPr>
            <w:r>
              <w:rPr>
                <w:rtl/>
              </w:rPr>
              <w:t>(7).</w:t>
            </w:r>
            <w:r w:rsidRPr="00132E65">
              <w:rPr>
                <w:rtl/>
              </w:rPr>
              <w:t xml:space="preserve"> في الإرشاد </w:t>
            </w:r>
            <w:r>
              <w:rPr>
                <w:rtl/>
              </w:rPr>
              <w:t xml:space="preserve">: - </w:t>
            </w:r>
            <w:r w:rsidRPr="00132E65">
              <w:rPr>
                <w:rtl/>
              </w:rPr>
              <w:t>« فتستريح منه »</w:t>
            </w:r>
            <w:r>
              <w:rPr>
                <w:rtl/>
              </w:rPr>
              <w:t>.</w:t>
            </w:r>
          </w:p>
        </w:tc>
      </w:tr>
      <w:tr w:rsidR="00723D2A" w:rsidTr="00723D2A">
        <w:tc>
          <w:tcPr>
            <w:tcW w:w="4261" w:type="dxa"/>
          </w:tcPr>
          <w:p w:rsidR="00723D2A" w:rsidRDefault="00723D2A" w:rsidP="000C39D1">
            <w:pPr>
              <w:pStyle w:val="libFootnote0"/>
              <w:rPr>
                <w:rtl/>
              </w:rPr>
            </w:pPr>
            <w:r>
              <w:rPr>
                <w:rtl/>
              </w:rPr>
              <w:t>(8).</w:t>
            </w:r>
            <w:r w:rsidRPr="00132E65">
              <w:rPr>
                <w:rtl/>
              </w:rPr>
              <w:t xml:space="preserve"> في « ض » : « وقال »</w:t>
            </w:r>
            <w:r>
              <w:rPr>
                <w:rtl/>
              </w:rPr>
              <w:t>.</w:t>
            </w:r>
            <w:r w:rsidRPr="00132E65">
              <w:rPr>
                <w:rtl/>
              </w:rPr>
              <w:t xml:space="preserve"> وفي الإرشاد : « قال »</w:t>
            </w:r>
            <w:r>
              <w:rPr>
                <w:rtl/>
              </w:rPr>
              <w:t>.</w:t>
            </w:r>
          </w:p>
        </w:tc>
        <w:tc>
          <w:tcPr>
            <w:tcW w:w="4262" w:type="dxa"/>
          </w:tcPr>
          <w:p w:rsidR="00723D2A" w:rsidRDefault="00723D2A" w:rsidP="000C39D1">
            <w:pPr>
              <w:pStyle w:val="libFootnote0"/>
              <w:rPr>
                <w:rtl/>
              </w:rPr>
            </w:pPr>
            <w:r>
              <w:rPr>
                <w:rtl/>
              </w:rPr>
              <w:t>(9).</w:t>
            </w:r>
            <w:r w:rsidRPr="00132E65">
              <w:rPr>
                <w:rtl/>
              </w:rPr>
              <w:t xml:space="preserve"> في الإرشاد : « فلمّا » بدل « أبي لما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الإرشاد : « مع أبي »</w:t>
      </w:r>
      <w:r>
        <w:rPr>
          <w:rtl/>
        </w:rPr>
        <w:t>.</w:t>
      </w:r>
    </w:p>
    <w:p w:rsidR="000C39D1" w:rsidRPr="00132E65" w:rsidRDefault="000C39D1" w:rsidP="000C39D1">
      <w:pPr>
        <w:pStyle w:val="libFootnote0"/>
        <w:rPr>
          <w:rtl/>
          <w:lang w:bidi="fa-IR"/>
        </w:rPr>
      </w:pPr>
      <w:r>
        <w:rPr>
          <w:rtl/>
        </w:rPr>
        <w:t>(11).</w:t>
      </w:r>
      <w:r w:rsidRPr="00132E65">
        <w:rPr>
          <w:rtl/>
        </w:rPr>
        <w:t xml:space="preserve"> هكذا في « ب ، ج ، ض ، ف ، بح ، بر ، بف »</w:t>
      </w:r>
      <w:r>
        <w:rPr>
          <w:rtl/>
        </w:rPr>
        <w:t>.</w:t>
      </w:r>
      <w:r w:rsidRPr="00132E65">
        <w:rPr>
          <w:rtl/>
        </w:rPr>
        <w:t xml:space="preserve"> وفي « بس » والإرشاد والمطبوع : « بيده »</w:t>
      </w:r>
      <w:r>
        <w:rPr>
          <w:rtl/>
        </w:rPr>
        <w:t>.</w:t>
      </w:r>
    </w:p>
    <w:p w:rsidR="000C39D1" w:rsidRPr="00132E65" w:rsidRDefault="000C39D1" w:rsidP="000C39D1">
      <w:pPr>
        <w:pStyle w:val="libFootnote0"/>
        <w:rPr>
          <w:rtl/>
          <w:lang w:bidi="fa-IR"/>
        </w:rPr>
      </w:pPr>
      <w:r>
        <w:rPr>
          <w:rtl/>
        </w:rPr>
        <w:t>(12).</w:t>
      </w:r>
      <w:r w:rsidRPr="00132E65">
        <w:rPr>
          <w:rtl/>
        </w:rPr>
        <w:t xml:space="preserve"> في « ف » </w:t>
      </w:r>
      <w:r>
        <w:rPr>
          <w:rtl/>
        </w:rPr>
        <w:t xml:space="preserve">: - </w:t>
      </w:r>
      <w:r w:rsidRPr="00132E65">
        <w:rPr>
          <w:rtl/>
        </w:rPr>
        <w:t>« منه »</w:t>
      </w:r>
      <w:r>
        <w:rPr>
          <w:rtl/>
        </w:rPr>
        <w:t>.</w:t>
      </w:r>
    </w:p>
    <w:p w:rsidR="000C39D1" w:rsidRPr="00132E65" w:rsidRDefault="000C39D1" w:rsidP="000C39D1">
      <w:pPr>
        <w:pStyle w:val="libFootnote0"/>
        <w:rPr>
          <w:rtl/>
          <w:lang w:bidi="fa-IR"/>
        </w:rPr>
      </w:pPr>
      <w:r>
        <w:rPr>
          <w:rtl/>
        </w:rPr>
        <w:t>(13)</w:t>
      </w:r>
      <w:r w:rsidRPr="00132E65">
        <w:rPr>
          <w:rtl/>
        </w:rPr>
        <w:t xml:space="preserve"> « فَرَحَّبَ به » ، أي قال له : مَرْحَباً ، أي لقيتَ رَحْباً وسَعَةً. أو معناه : رحّب الله بك مرحباً. راجع : </w:t>
      </w:r>
      <w:r w:rsidRPr="009D1ACE">
        <w:rPr>
          <w:rStyle w:val="libFootnoteBoldChar"/>
          <w:rtl/>
        </w:rPr>
        <w:t>لسان العرب</w:t>
      </w:r>
      <w:r w:rsidRPr="00132E65">
        <w:rPr>
          <w:rtl/>
        </w:rPr>
        <w:t xml:space="preserve"> ، ج 1 ، ص 414 ( رحب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w:t>
      </w:r>
      <w:r>
        <w:rPr>
          <w:rStyle w:val="libFootnotenumChar"/>
          <w:rtl/>
        </w:rPr>
        <w:t>(1)</w:t>
      </w:r>
      <w:r w:rsidRPr="00132E65">
        <w:rPr>
          <w:rtl/>
          <w:lang w:bidi="fa-IR"/>
        </w:rPr>
        <w:t xml:space="preserve"> : يَا أَبَا مُحَمَّدٍ ، أَلْجِمْ هذَا الْبَغْلَ ، فَقَالَ أَبُو مُحَمَّدٍ </w:t>
      </w:r>
      <w:r w:rsidRPr="00071CF9">
        <w:rPr>
          <w:rStyle w:val="libAlaemChar"/>
          <w:rtl/>
        </w:rPr>
        <w:t>عليه‌السلام</w:t>
      </w:r>
      <w:r w:rsidRPr="00132E65">
        <w:rPr>
          <w:rtl/>
          <w:lang w:bidi="fa-IR"/>
        </w:rPr>
        <w:t xml:space="preserve"> لِأَبِي : « أَلْجِمْهُ يَا غُلَامُ » فَقَالَ </w:t>
      </w:r>
      <w:r>
        <w:rPr>
          <w:rStyle w:val="libFootnotenumChar"/>
          <w:rtl/>
        </w:rPr>
        <w:t>(2)</w:t>
      </w:r>
      <w:r w:rsidRPr="00132E65">
        <w:rPr>
          <w:rtl/>
          <w:lang w:bidi="fa-IR"/>
        </w:rPr>
        <w:t xml:space="preserve"> الْمُسْتَعِينُ : أَلْجِمْهُ أَنْتَ ، فَوَضَعَ </w:t>
      </w:r>
      <w:r>
        <w:rPr>
          <w:rStyle w:val="libFootnotenumChar"/>
          <w:rtl/>
        </w:rPr>
        <w:t>(3)</w:t>
      </w:r>
      <w:r w:rsidRPr="00132E65">
        <w:rPr>
          <w:rtl/>
          <w:lang w:bidi="fa-IR"/>
        </w:rPr>
        <w:t xml:space="preserve"> طَيْلَسَانَهُ </w:t>
      </w:r>
      <w:r>
        <w:rPr>
          <w:rStyle w:val="libFootnotenumChar"/>
          <w:rtl/>
        </w:rPr>
        <w:t>(4)</w:t>
      </w:r>
      <w:r w:rsidRPr="00132E65">
        <w:rPr>
          <w:rtl/>
          <w:lang w:bidi="fa-IR"/>
        </w:rPr>
        <w:t xml:space="preserve"> ، ثُمَّ قَامَ ، فَأَلْجَمَهُ ، ثُمَّ رَجَعَ إِلى مَجْلِسِهِ وقَعَدَ </w:t>
      </w:r>
      <w:r>
        <w:rPr>
          <w:rStyle w:val="libFootnotenumChar"/>
          <w:rtl/>
        </w:rPr>
        <w:t>(5)</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(6)</w:t>
      </w:r>
      <w:r w:rsidRPr="00132E65">
        <w:rPr>
          <w:rtl/>
          <w:lang w:bidi="fa-IR"/>
        </w:rPr>
        <w:t xml:space="preserve"> : يَا أَبَا مُحَمَّدٍ ، أَسْرِجْهُ ، فَقَالَ لِأَبِي : « يَا غُلَامُ ، أَسْرِجْهُ » فَقَالَ </w:t>
      </w:r>
      <w:r>
        <w:rPr>
          <w:rStyle w:val="libFootnotenumChar"/>
          <w:rtl/>
        </w:rPr>
        <w:t>(7)</w:t>
      </w:r>
      <w:r w:rsidRPr="00132E65">
        <w:rPr>
          <w:rtl/>
          <w:lang w:bidi="fa-IR"/>
        </w:rPr>
        <w:t xml:space="preserve"> : أَسْرِجْهُ أَنْتَ ، فَقَامَ ثَانِيَةً ، فَأَسْرَجَهُ ورَجَعَ.</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(8)</w:t>
      </w:r>
      <w:r w:rsidRPr="00132E65">
        <w:rPr>
          <w:rtl/>
          <w:lang w:bidi="fa-IR"/>
        </w:rPr>
        <w:t xml:space="preserve"> : تَرى أَنْ تَرْكَبَهُ</w:t>
      </w:r>
      <w:r>
        <w:rPr>
          <w:rtl/>
          <w:lang w:bidi="fa-IR"/>
        </w:rPr>
        <w:t>؟</w:t>
      </w:r>
      <w:r w:rsidRPr="00132E65">
        <w:rPr>
          <w:rtl/>
          <w:lang w:bidi="fa-IR"/>
        </w:rPr>
        <w:t xml:space="preserve"> فَقَالَ </w:t>
      </w:r>
      <w:r>
        <w:rPr>
          <w:rStyle w:val="libFootnotenumChar"/>
          <w:rtl/>
        </w:rPr>
        <w:t>(9)</w:t>
      </w:r>
      <w:r w:rsidRPr="00132E65">
        <w:rPr>
          <w:rtl/>
          <w:lang w:bidi="fa-IR"/>
        </w:rPr>
        <w:t xml:space="preserve"> : « نَعَمْ » ، فَرَكِبَهُ مِنْ غَيْرِ أَنْ يَمْتَنِعَ عَلَيْهِ </w:t>
      </w:r>
      <w:r>
        <w:rPr>
          <w:rStyle w:val="libFootnotenumChar"/>
          <w:rtl/>
        </w:rPr>
        <w:t>(10)</w:t>
      </w:r>
      <w:r w:rsidRPr="00132E65">
        <w:rPr>
          <w:rtl/>
          <w:lang w:bidi="fa-IR"/>
        </w:rPr>
        <w:t xml:space="preserve"> ، ثُمَّ رَكَضَهُ </w:t>
      </w:r>
      <w:r>
        <w:rPr>
          <w:rStyle w:val="libFootnotenumChar"/>
          <w:rtl/>
        </w:rPr>
        <w:t>(11)</w:t>
      </w:r>
      <w:r w:rsidRPr="00132E65">
        <w:rPr>
          <w:rtl/>
          <w:lang w:bidi="fa-IR"/>
        </w:rPr>
        <w:t xml:space="preserve"> فِي الدَّارِ ، ثُمَّ حَمَلَهُ عَلَى الْهَمْلَجَةِ </w:t>
      </w:r>
      <w:r>
        <w:rPr>
          <w:rStyle w:val="libFootnotenumChar"/>
          <w:rtl/>
        </w:rPr>
        <w:t>(12)</w:t>
      </w:r>
      <w:r w:rsidRPr="00132E65">
        <w:rPr>
          <w:rtl/>
          <w:lang w:bidi="fa-IR"/>
        </w:rPr>
        <w:t xml:space="preserve"> ، فَمَشى أَحْسَنَ مَشْيٍ يَكُونُ ، ثُمَّ رَجَعَ فَنَزَلَ </w:t>
      </w:r>
      <w:r w:rsidRPr="00F543F1">
        <w:rPr>
          <w:rStyle w:val="libFootnotenumChar"/>
          <w:rtl/>
        </w:rPr>
        <w:t>(13)</w:t>
      </w:r>
    </w:p>
    <w:p w:rsidR="000C39D1" w:rsidRPr="00132E65" w:rsidRDefault="000C39D1" w:rsidP="000C39D1">
      <w:pPr>
        <w:pStyle w:val="libNormal"/>
        <w:rPr>
          <w:rtl/>
          <w:lang w:bidi="fa-IR"/>
        </w:rPr>
      </w:pPr>
      <w:r w:rsidRPr="00132E65">
        <w:rPr>
          <w:rtl/>
          <w:lang w:bidi="fa-IR"/>
        </w:rPr>
        <w:t>فَقَالَ لَهُ الْمُسْتَعِينُ : يَا أَبَا مُحَمَّدٍ ، كَيْفَ رَأَيْتَهُ</w:t>
      </w:r>
      <w:r>
        <w:rPr>
          <w:rtl/>
          <w:lang w:bidi="fa-IR"/>
        </w:rPr>
        <w:t>؟</w:t>
      </w:r>
      <w:r w:rsidRPr="00132E65">
        <w:rPr>
          <w:rtl/>
          <w:lang w:bidi="fa-IR"/>
        </w:rPr>
        <w:t xml:space="preserve"> قَالَ </w:t>
      </w:r>
      <w:r w:rsidRPr="00F543F1">
        <w:rPr>
          <w:rStyle w:val="libFootnotenumChar"/>
          <w:rtl/>
        </w:rPr>
        <w:t>(14)</w:t>
      </w:r>
      <w:r w:rsidRPr="00132E65">
        <w:rPr>
          <w:rtl/>
          <w:lang w:bidi="fa-IR"/>
        </w:rPr>
        <w:t xml:space="preserve"> : « يَا أَمِيرَ الْمُؤْمِنِينَ </w:t>
      </w:r>
      <w:r w:rsidRPr="00F543F1">
        <w:rPr>
          <w:rStyle w:val="libFootnotenumChar"/>
          <w:rtl/>
        </w:rPr>
        <w:t>(15)</w:t>
      </w:r>
      <w:r w:rsidRPr="00132E65">
        <w:rPr>
          <w:rtl/>
          <w:lang w:bidi="fa-IR"/>
        </w:rPr>
        <w:t xml:space="preserve"> ، مَا رَأَيْتُ مِثْلَهُ حُسْناً وفَرَاهَةً </w:t>
      </w:r>
      <w:r w:rsidRPr="00F543F1">
        <w:rPr>
          <w:rStyle w:val="libFootnotenumChar"/>
          <w:rtl/>
        </w:rPr>
        <w:t>(16)</w:t>
      </w:r>
      <w:r w:rsidRPr="00132E65">
        <w:rPr>
          <w:rtl/>
          <w:lang w:bidi="fa-IR"/>
        </w:rPr>
        <w:t xml:space="preserve"> ، ومَا يَصْل</w:t>
      </w:r>
      <w:r w:rsidR="00612519">
        <w:rPr>
          <w:rtl/>
          <w:lang w:bidi="fa-IR"/>
        </w:rPr>
        <w:t>ُحُ أَنْ يَكُونَ مِثْلُهُ إِل</w:t>
      </w:r>
      <w:r w:rsidR="00612519">
        <w:rPr>
          <w:rFonts w:hint="cs"/>
          <w:rtl/>
          <w:lang w:bidi="fa-IR"/>
        </w:rPr>
        <w:t>َّ</w:t>
      </w:r>
      <w:r w:rsidR="00612519">
        <w:rPr>
          <w:rtl/>
          <w:lang w:bidi="fa-IR"/>
        </w:rPr>
        <w:t>ا</w:t>
      </w:r>
      <w:r w:rsidRPr="00132E65">
        <w:rPr>
          <w:rtl/>
          <w:lang w:bidi="fa-IR"/>
        </w:rPr>
        <w:t xml:space="preserve"> لِأَمِيرِ الْمُؤْمِنِينَ </w:t>
      </w:r>
      <w:r w:rsidRPr="00F543F1">
        <w:rPr>
          <w:rStyle w:val="libFootnotenumChar"/>
          <w:rtl/>
        </w:rPr>
        <w:t>(17)</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612519" w:rsidTr="00612519">
        <w:tc>
          <w:tcPr>
            <w:tcW w:w="4261" w:type="dxa"/>
          </w:tcPr>
          <w:p w:rsidR="00612519" w:rsidRDefault="00612519" w:rsidP="000C39D1">
            <w:pPr>
              <w:pStyle w:val="libFootnote0"/>
              <w:rPr>
                <w:rtl/>
              </w:rPr>
            </w:pPr>
            <w:r>
              <w:rPr>
                <w:rtl/>
              </w:rPr>
              <w:t>(1).</w:t>
            </w:r>
            <w:r w:rsidRPr="00132E65">
              <w:rPr>
                <w:rtl/>
              </w:rPr>
              <w:t xml:space="preserve"> في الإرشاد : « وقال »</w:t>
            </w:r>
            <w:r>
              <w:rPr>
                <w:rtl/>
              </w:rPr>
              <w:t>.</w:t>
            </w:r>
          </w:p>
        </w:tc>
        <w:tc>
          <w:tcPr>
            <w:tcW w:w="4262" w:type="dxa"/>
          </w:tcPr>
          <w:p w:rsidR="00612519" w:rsidRDefault="00612519" w:rsidP="000C39D1">
            <w:pPr>
              <w:pStyle w:val="libFootnote0"/>
              <w:rPr>
                <w:rtl/>
              </w:rPr>
            </w:pPr>
            <w:r>
              <w:rPr>
                <w:rtl/>
              </w:rPr>
              <w:t>(2).</w:t>
            </w:r>
            <w:r w:rsidRPr="00132E65">
              <w:rPr>
                <w:rtl/>
              </w:rPr>
              <w:t xml:space="preserve"> في « ب ، ض » والإرشاد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أبو محمّد »</w:t>
      </w:r>
      <w:r>
        <w:rPr>
          <w:rtl/>
        </w:rPr>
        <w:t>.</w:t>
      </w:r>
    </w:p>
    <w:p w:rsidR="000C39D1" w:rsidRPr="00132E65" w:rsidRDefault="000C39D1" w:rsidP="000C39D1">
      <w:pPr>
        <w:pStyle w:val="libFootnote0"/>
        <w:rPr>
          <w:rtl/>
          <w:lang w:bidi="fa-IR"/>
        </w:rPr>
      </w:pPr>
      <w:r>
        <w:rPr>
          <w:rtl/>
        </w:rPr>
        <w:t>(4).</w:t>
      </w:r>
      <w:r w:rsidRPr="00132E65">
        <w:rPr>
          <w:rtl/>
        </w:rPr>
        <w:t xml:space="preserve"> « الطَيْلسان »</w:t>
      </w:r>
      <w:r>
        <w:rPr>
          <w:rtl/>
        </w:rPr>
        <w:t xml:space="preserve"> - </w:t>
      </w:r>
      <w:r w:rsidRPr="00132E65">
        <w:rPr>
          <w:rtl/>
        </w:rPr>
        <w:t>مثلّثة اللام</w:t>
      </w:r>
      <w:r>
        <w:rPr>
          <w:rtl/>
        </w:rPr>
        <w:t xml:space="preserve"> - </w:t>
      </w:r>
      <w:r w:rsidRPr="00132E65">
        <w:rPr>
          <w:rtl/>
        </w:rPr>
        <w:t xml:space="preserve">: تعريب تالِشان ، وجمعه : طَيالِسَة ، وهو من لباس العجم ، مدوّر أسود. قاله المطرزي. أو هو ثوب يحيط بالبدن يُنْسَجُ للّبس ، خالٍ عن التفصيل والخياطة. قال الطريحي. أو هو ما على الكتف من اللباس كالممطر. راجع : </w:t>
      </w:r>
      <w:r w:rsidRPr="00F54881">
        <w:rPr>
          <w:rtl/>
        </w:rPr>
        <w:t>المغرب</w:t>
      </w:r>
      <w:r w:rsidRPr="00132E65">
        <w:rPr>
          <w:rtl/>
        </w:rPr>
        <w:t xml:space="preserve"> ، ص 291 ؛ </w:t>
      </w:r>
      <w:r w:rsidRPr="00F54881">
        <w:rPr>
          <w:rtl/>
        </w:rPr>
        <w:t>مجمع البحرين</w:t>
      </w:r>
      <w:r w:rsidRPr="00132E65">
        <w:rPr>
          <w:rtl/>
        </w:rPr>
        <w:t xml:space="preserve"> ، ج 4 ، ص 82 ( طيلس )</w:t>
      </w:r>
      <w:r>
        <w:rPr>
          <w:rtl/>
        </w:rPr>
        <w:t>.</w:t>
      </w:r>
    </w:p>
    <w:tbl>
      <w:tblPr>
        <w:tblStyle w:val="TableGrid"/>
        <w:bidiVisual/>
        <w:tblW w:w="0" w:type="auto"/>
        <w:tblLook w:val="04A0" w:firstRow="1" w:lastRow="0" w:firstColumn="1" w:lastColumn="0" w:noHBand="0" w:noVBand="1"/>
      </w:tblPr>
      <w:tblGrid>
        <w:gridCol w:w="4261"/>
        <w:gridCol w:w="4262"/>
      </w:tblGrid>
      <w:tr w:rsidR="000372CB" w:rsidTr="000372CB">
        <w:tc>
          <w:tcPr>
            <w:tcW w:w="4261" w:type="dxa"/>
          </w:tcPr>
          <w:p w:rsidR="000372CB" w:rsidRDefault="000372CB" w:rsidP="000C39D1">
            <w:pPr>
              <w:pStyle w:val="libFootnote0"/>
              <w:rPr>
                <w:rtl/>
              </w:rPr>
            </w:pPr>
            <w:r>
              <w:rPr>
                <w:rtl/>
              </w:rPr>
              <w:t>(5).</w:t>
            </w:r>
            <w:r w:rsidRPr="00132E65">
              <w:rPr>
                <w:rtl/>
              </w:rPr>
              <w:t xml:space="preserve"> في الإرشاد : « وجلس »</w:t>
            </w:r>
            <w:r>
              <w:rPr>
                <w:rtl/>
              </w:rPr>
              <w:t>.</w:t>
            </w:r>
          </w:p>
        </w:tc>
        <w:tc>
          <w:tcPr>
            <w:tcW w:w="4262" w:type="dxa"/>
          </w:tcPr>
          <w:p w:rsidR="000372CB" w:rsidRDefault="000372CB" w:rsidP="000C39D1">
            <w:pPr>
              <w:pStyle w:val="libFootnote0"/>
              <w:rPr>
                <w:rtl/>
              </w:rPr>
            </w:pPr>
            <w:r>
              <w:rPr>
                <w:rtl/>
              </w:rPr>
              <w:t>(6).</w:t>
            </w:r>
            <w:r w:rsidRPr="00132E65">
              <w:rPr>
                <w:rtl/>
              </w:rPr>
              <w:t xml:space="preserve"> في « بر » </w:t>
            </w:r>
            <w:r>
              <w:rPr>
                <w:rtl/>
              </w:rPr>
              <w:t xml:space="preserve">: - </w:t>
            </w:r>
            <w:r w:rsidRPr="00132E65">
              <w:rPr>
                <w:rtl/>
              </w:rPr>
              <w:t>« له »</w:t>
            </w:r>
            <w:r>
              <w:rPr>
                <w:rtl/>
              </w:rPr>
              <w:t>.</w:t>
            </w:r>
          </w:p>
        </w:tc>
      </w:tr>
      <w:tr w:rsidR="000372CB" w:rsidTr="000372CB">
        <w:tc>
          <w:tcPr>
            <w:tcW w:w="4261" w:type="dxa"/>
          </w:tcPr>
          <w:p w:rsidR="000372CB" w:rsidRDefault="000372CB" w:rsidP="000C39D1">
            <w:pPr>
              <w:pStyle w:val="libFootnote0"/>
              <w:rPr>
                <w:rtl/>
              </w:rPr>
            </w:pPr>
            <w:r>
              <w:rPr>
                <w:rtl/>
              </w:rPr>
              <w:t>(7).</w:t>
            </w:r>
            <w:r w:rsidRPr="00132E65">
              <w:rPr>
                <w:rtl/>
              </w:rPr>
              <w:t xml:space="preserve"> في الإرشاد :</w:t>
            </w:r>
            <w:r>
              <w:rPr>
                <w:rtl/>
              </w:rPr>
              <w:t xml:space="preserve"> + </w:t>
            </w:r>
            <w:r w:rsidRPr="00132E65">
              <w:rPr>
                <w:rtl/>
              </w:rPr>
              <w:t>« له المستعين »</w:t>
            </w:r>
            <w:r>
              <w:rPr>
                <w:rtl/>
              </w:rPr>
              <w:t>.</w:t>
            </w:r>
          </w:p>
        </w:tc>
        <w:tc>
          <w:tcPr>
            <w:tcW w:w="4262" w:type="dxa"/>
          </w:tcPr>
          <w:p w:rsidR="000372CB" w:rsidRDefault="000372CB" w:rsidP="000C39D1">
            <w:pPr>
              <w:pStyle w:val="libFootnote0"/>
              <w:rPr>
                <w:rtl/>
              </w:rPr>
            </w:pPr>
            <w:r>
              <w:rPr>
                <w:rtl/>
              </w:rPr>
              <w:t>(8).</w:t>
            </w:r>
            <w:r w:rsidRPr="00132E65">
              <w:rPr>
                <w:rtl/>
              </w:rPr>
              <w:t xml:space="preserve"> في « ف » </w:t>
            </w:r>
            <w:r>
              <w:rPr>
                <w:rtl/>
              </w:rPr>
              <w:t xml:space="preserve">: - </w:t>
            </w:r>
            <w:r w:rsidRPr="00132E65">
              <w:rPr>
                <w:rtl/>
              </w:rPr>
              <w:t>« يا أبا محمّد</w:t>
            </w:r>
            <w:r>
              <w:rPr>
                <w:rtl/>
              </w:rPr>
              <w:t xml:space="preserve"> - </w:t>
            </w:r>
            <w:r w:rsidRPr="00132E65">
              <w:rPr>
                <w:rtl/>
              </w:rPr>
              <w:t>إلى</w:t>
            </w:r>
            <w:r>
              <w:rPr>
                <w:rtl/>
              </w:rPr>
              <w:t xml:space="preserve"> - </w:t>
            </w:r>
            <w:r w:rsidRPr="00132E65">
              <w:rPr>
                <w:rtl/>
              </w:rPr>
              <w:t>فقال له »</w:t>
            </w:r>
            <w:r>
              <w:rPr>
                <w:rtl/>
              </w:rPr>
              <w:t>.</w:t>
            </w:r>
          </w:p>
        </w:tc>
      </w:tr>
      <w:tr w:rsidR="000372CB" w:rsidTr="000372CB">
        <w:tc>
          <w:tcPr>
            <w:tcW w:w="4261" w:type="dxa"/>
          </w:tcPr>
          <w:p w:rsidR="000372CB" w:rsidRDefault="000372CB" w:rsidP="000C39D1">
            <w:pPr>
              <w:pStyle w:val="libFootnote0"/>
              <w:rPr>
                <w:rtl/>
              </w:rPr>
            </w:pPr>
            <w:r>
              <w:rPr>
                <w:rtl/>
              </w:rPr>
              <w:t>(9).</w:t>
            </w:r>
            <w:r w:rsidRPr="00132E65">
              <w:rPr>
                <w:rtl/>
              </w:rPr>
              <w:t xml:space="preserve"> في الإرشاد :</w:t>
            </w:r>
            <w:r>
              <w:rPr>
                <w:rtl/>
              </w:rPr>
              <w:t xml:space="preserve"> + </w:t>
            </w:r>
            <w:r w:rsidRPr="00132E65">
              <w:rPr>
                <w:rtl/>
              </w:rPr>
              <w:t>« أبو محمّد »</w:t>
            </w:r>
            <w:r>
              <w:rPr>
                <w:rtl/>
              </w:rPr>
              <w:t>.</w:t>
            </w:r>
          </w:p>
        </w:tc>
        <w:tc>
          <w:tcPr>
            <w:tcW w:w="4262" w:type="dxa"/>
          </w:tcPr>
          <w:p w:rsidR="000372CB" w:rsidRDefault="000372CB" w:rsidP="000C39D1">
            <w:pPr>
              <w:pStyle w:val="libFootnote0"/>
              <w:rPr>
                <w:rtl/>
              </w:rPr>
            </w:pPr>
            <w:r>
              <w:rPr>
                <w:rtl/>
              </w:rPr>
              <w:t>(10).</w:t>
            </w:r>
            <w:r w:rsidRPr="00132E65">
              <w:rPr>
                <w:rtl/>
              </w:rPr>
              <w:t xml:space="preserve"> في « ج » </w:t>
            </w:r>
            <w:r>
              <w:rPr>
                <w:rtl/>
              </w:rPr>
              <w:t xml:space="preserve">: - </w:t>
            </w:r>
            <w:r w:rsidRPr="00132E65">
              <w:rPr>
                <w:rtl/>
              </w:rPr>
              <w:t>« عليه »</w:t>
            </w:r>
            <w:r>
              <w:rPr>
                <w:rtl/>
              </w:rPr>
              <w:t>.</w:t>
            </w:r>
          </w:p>
        </w:tc>
      </w:tr>
    </w:tbl>
    <w:p w:rsidR="000C39D1" w:rsidRPr="00132E65" w:rsidRDefault="000C39D1" w:rsidP="000C39D1">
      <w:pPr>
        <w:pStyle w:val="libFootnote0"/>
        <w:rPr>
          <w:rtl/>
          <w:lang w:bidi="fa-IR"/>
        </w:rPr>
      </w:pPr>
      <w:r>
        <w:rPr>
          <w:rtl/>
        </w:rPr>
        <w:t>(11).</w:t>
      </w:r>
      <w:r w:rsidRPr="00132E65">
        <w:rPr>
          <w:rtl/>
        </w:rPr>
        <w:t xml:space="preserve"> « الركض » : أن تضرب الدابّة برجليك لتستحثّها ، ويستعار للعَدْو. </w:t>
      </w:r>
      <w:r w:rsidRPr="00F54881">
        <w:rPr>
          <w:rtl/>
        </w:rPr>
        <w:t>المغرب</w:t>
      </w:r>
      <w:r w:rsidRPr="00132E65">
        <w:rPr>
          <w:rtl/>
        </w:rPr>
        <w:t xml:space="preserve"> ، ص 196 ( ركض )</w:t>
      </w:r>
      <w:r>
        <w:rPr>
          <w:rtl/>
        </w:rPr>
        <w:t>.</w:t>
      </w:r>
    </w:p>
    <w:p w:rsidR="000C39D1" w:rsidRPr="00132E65" w:rsidRDefault="000C39D1" w:rsidP="000C39D1">
      <w:pPr>
        <w:pStyle w:val="libFootnote0"/>
        <w:rPr>
          <w:rtl/>
          <w:lang w:bidi="fa-IR"/>
        </w:rPr>
      </w:pPr>
      <w:r>
        <w:rPr>
          <w:rtl/>
        </w:rPr>
        <w:t>(12).</w:t>
      </w:r>
      <w:r w:rsidRPr="00132E65">
        <w:rPr>
          <w:rtl/>
        </w:rPr>
        <w:t xml:space="preserve"> قال الخليل : « الهَمْلَجَةُ : حسن سير الدابّة في سرعة وبَخْتَرَةٍ ، وهي المشية الحسنة »</w:t>
      </w:r>
      <w:r>
        <w:rPr>
          <w:rtl/>
        </w:rPr>
        <w:t>.</w:t>
      </w:r>
      <w:r w:rsidRPr="00132E65">
        <w:rPr>
          <w:rtl/>
        </w:rPr>
        <w:t xml:space="preserve"> وقال الجوهري : « الهِمْلاج من البرازين : واحد الهَمالِيج ، ومشيها الهملجة ، فارسيّ معرّب »</w:t>
      </w:r>
      <w:r>
        <w:rPr>
          <w:rtl/>
        </w:rPr>
        <w:t>.</w:t>
      </w:r>
      <w:r w:rsidRPr="00132E65">
        <w:rPr>
          <w:rtl/>
        </w:rPr>
        <w:t xml:space="preserve"> راجع : </w:t>
      </w:r>
      <w:r w:rsidRPr="00F54881">
        <w:rPr>
          <w:rtl/>
        </w:rPr>
        <w:t>ترتيب كتاب العين</w:t>
      </w:r>
      <w:r w:rsidRPr="00132E65">
        <w:rPr>
          <w:rtl/>
        </w:rPr>
        <w:t xml:space="preserve"> ، ج 3 ، ص 1900 ؛ </w:t>
      </w:r>
      <w:r w:rsidRPr="00F54881">
        <w:rPr>
          <w:rtl/>
        </w:rPr>
        <w:t>الصحاح</w:t>
      </w:r>
      <w:r w:rsidRPr="00132E65">
        <w:rPr>
          <w:rtl/>
        </w:rPr>
        <w:t xml:space="preserve"> ، ج 1 ، ص 351 ( هملج )</w:t>
      </w:r>
      <w:r>
        <w:rPr>
          <w:rtl/>
        </w:rPr>
        <w:t>.</w:t>
      </w:r>
    </w:p>
    <w:p w:rsidR="000C39D1" w:rsidRPr="00132E65" w:rsidRDefault="000C39D1" w:rsidP="000C39D1">
      <w:pPr>
        <w:pStyle w:val="libFootnote0"/>
        <w:rPr>
          <w:rtl/>
          <w:lang w:bidi="fa-IR"/>
        </w:rPr>
      </w:pPr>
      <w:r>
        <w:rPr>
          <w:rtl/>
        </w:rPr>
        <w:t>(13)</w:t>
      </w:r>
      <w:r w:rsidRPr="00132E65">
        <w:rPr>
          <w:rtl/>
        </w:rPr>
        <w:t xml:space="preserve"> هكذا في النسخ التي قوبلت و</w:t>
      </w:r>
      <w:r w:rsidRPr="009D1ACE">
        <w:rPr>
          <w:rStyle w:val="libFootnoteBoldChar"/>
          <w:rtl/>
        </w:rPr>
        <w:t>الوافي</w:t>
      </w:r>
      <w:r w:rsidRPr="00132E65">
        <w:rPr>
          <w:rtl/>
        </w:rPr>
        <w:t xml:space="preserve"> والإرشاد. وفي المطبوع : « ونزل »</w:t>
      </w:r>
      <w:r>
        <w:rPr>
          <w:rtl/>
        </w:rPr>
        <w:t>.</w:t>
      </w:r>
    </w:p>
    <w:tbl>
      <w:tblPr>
        <w:tblStyle w:val="TableGrid"/>
        <w:bidiVisual/>
        <w:tblW w:w="0" w:type="auto"/>
        <w:tblLook w:val="04A0" w:firstRow="1" w:lastRow="0" w:firstColumn="1" w:lastColumn="0" w:noHBand="0" w:noVBand="1"/>
      </w:tblPr>
      <w:tblGrid>
        <w:gridCol w:w="4261"/>
        <w:gridCol w:w="4262"/>
      </w:tblGrid>
      <w:tr w:rsidR="005679F5" w:rsidTr="005679F5">
        <w:tc>
          <w:tcPr>
            <w:tcW w:w="4261" w:type="dxa"/>
          </w:tcPr>
          <w:p w:rsidR="005679F5" w:rsidRDefault="005679F5" w:rsidP="000C39D1">
            <w:pPr>
              <w:pStyle w:val="libFootnote0"/>
              <w:rPr>
                <w:rtl/>
              </w:rPr>
            </w:pPr>
            <w:r>
              <w:rPr>
                <w:rtl/>
              </w:rPr>
              <w:t>(14)</w:t>
            </w:r>
            <w:r w:rsidRPr="00132E65">
              <w:rPr>
                <w:rtl/>
              </w:rPr>
              <w:t xml:space="preserve"> في « ض ، ف » : « فقال »</w:t>
            </w:r>
            <w:r>
              <w:rPr>
                <w:rtl/>
              </w:rPr>
              <w:t>.</w:t>
            </w:r>
          </w:p>
        </w:tc>
        <w:tc>
          <w:tcPr>
            <w:tcW w:w="4262" w:type="dxa"/>
          </w:tcPr>
          <w:p w:rsidR="005679F5" w:rsidRDefault="005679F5" w:rsidP="000C39D1">
            <w:pPr>
              <w:pStyle w:val="libFootnote0"/>
              <w:rPr>
                <w:rtl/>
              </w:rPr>
            </w:pPr>
            <w:r>
              <w:rPr>
                <w:rtl/>
              </w:rPr>
              <w:t>(15)</w:t>
            </w:r>
            <w:r w:rsidRPr="00132E65">
              <w:rPr>
                <w:rtl/>
              </w:rPr>
              <w:t xml:space="preserve"> في الإرشاد </w:t>
            </w:r>
            <w:r>
              <w:rPr>
                <w:rtl/>
              </w:rPr>
              <w:t xml:space="preserve">: - </w:t>
            </w:r>
            <w:r w:rsidRPr="00132E65">
              <w:rPr>
                <w:rtl/>
              </w:rPr>
              <w:t>« يا أمير المؤمنين »</w:t>
            </w:r>
            <w:r>
              <w:rPr>
                <w:rtl/>
              </w:rPr>
              <w:t>.</w:t>
            </w:r>
          </w:p>
        </w:tc>
      </w:tr>
    </w:tbl>
    <w:p w:rsidR="000C39D1" w:rsidRPr="00132E65" w:rsidRDefault="000C39D1" w:rsidP="000C39D1">
      <w:pPr>
        <w:pStyle w:val="libFootnote0"/>
        <w:rPr>
          <w:rtl/>
          <w:lang w:bidi="fa-IR"/>
        </w:rPr>
      </w:pPr>
      <w:r>
        <w:rPr>
          <w:rtl/>
        </w:rPr>
        <w:t>(16)</w:t>
      </w:r>
      <w:r w:rsidRPr="00132E65">
        <w:rPr>
          <w:rtl/>
        </w:rPr>
        <w:t xml:space="preserve"> الفَراهَةُ : النَشاطُ والحِدَّةُ والقوّة. راجع : </w:t>
      </w:r>
      <w:r w:rsidRPr="00F54881">
        <w:rPr>
          <w:rtl/>
        </w:rPr>
        <w:t>النهاية</w:t>
      </w:r>
      <w:r w:rsidRPr="00132E65">
        <w:rPr>
          <w:rtl/>
        </w:rPr>
        <w:t xml:space="preserve"> ، ج 3 ، ص 441 ( فره )</w:t>
      </w:r>
      <w:r>
        <w:rPr>
          <w:rtl/>
        </w:rPr>
        <w:t>.</w:t>
      </w:r>
    </w:p>
    <w:p w:rsidR="000C39D1" w:rsidRPr="00132E65" w:rsidRDefault="000C39D1" w:rsidP="000C39D1">
      <w:pPr>
        <w:pStyle w:val="libFootnote0"/>
        <w:rPr>
          <w:rtl/>
          <w:lang w:bidi="fa-IR"/>
        </w:rPr>
      </w:pPr>
      <w:r>
        <w:rPr>
          <w:rtl/>
        </w:rPr>
        <w:t>(17)</w:t>
      </w:r>
      <w:r w:rsidRPr="00132E65">
        <w:rPr>
          <w:rtl/>
        </w:rPr>
        <w:t xml:space="preserve"> في الإرشاد </w:t>
      </w:r>
      <w:r>
        <w:rPr>
          <w:rtl/>
        </w:rPr>
        <w:t xml:space="preserve">: - </w:t>
      </w:r>
      <w:r w:rsidRPr="00132E65">
        <w:rPr>
          <w:rtl/>
        </w:rPr>
        <w:t>« وما يصلح</w:t>
      </w:r>
      <w:r>
        <w:rPr>
          <w:rtl/>
        </w:rPr>
        <w:t xml:space="preserve"> - </w:t>
      </w:r>
      <w:r w:rsidRPr="00132E65">
        <w:rPr>
          <w:rtl/>
        </w:rPr>
        <w:t>إلى</w:t>
      </w:r>
      <w:r>
        <w:rPr>
          <w:rtl/>
        </w:rPr>
        <w:t xml:space="preserve"> - </w:t>
      </w:r>
      <w:r w:rsidRPr="00132E65">
        <w:rPr>
          <w:rtl/>
        </w:rPr>
        <w:t>لأمير المؤمنين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 فَقَالَ : يَا أَبَا مُحَمَّدٍ </w:t>
      </w:r>
      <w:r>
        <w:rPr>
          <w:rStyle w:val="libFootnotenumChar"/>
          <w:rtl/>
        </w:rPr>
        <w:t>(1)</w:t>
      </w:r>
      <w:r w:rsidRPr="00132E65">
        <w:rPr>
          <w:rtl/>
          <w:lang w:bidi="fa-IR"/>
        </w:rPr>
        <w:t xml:space="preserve"> ، فَإِنَّ أَمِيرَ الْمُؤْمِنِينَ قَدْ حَمَلَكَ عَلَيْهِ ، فَقَالَ أَبُو مُحَمَّدٍ </w:t>
      </w:r>
      <w:r w:rsidRPr="00071CF9">
        <w:rPr>
          <w:rStyle w:val="libAlaemChar"/>
          <w:rtl/>
        </w:rPr>
        <w:t>عليه‌السلام</w:t>
      </w:r>
      <w:r w:rsidRPr="00132E65">
        <w:rPr>
          <w:rtl/>
          <w:lang w:bidi="fa-IR"/>
        </w:rPr>
        <w:t xml:space="preserve"> لِأَبِي : « يَا غُلَامُ ، خُذْهُ » فَأَخَذَهُ أَبِي ، فَقَادَهُ. </w:t>
      </w:r>
      <w:r>
        <w:rPr>
          <w:rStyle w:val="libFootnotenumChar"/>
          <w:rtl/>
        </w:rPr>
        <w:t>(2)</w:t>
      </w:r>
    </w:p>
    <w:p w:rsidR="000C39D1" w:rsidRPr="00132E65" w:rsidRDefault="000C39D1" w:rsidP="000C39D1">
      <w:pPr>
        <w:pStyle w:val="libNormal"/>
        <w:rPr>
          <w:rtl/>
          <w:lang w:bidi="fa-IR"/>
        </w:rPr>
      </w:pPr>
      <w:r w:rsidRPr="00F54881">
        <w:rPr>
          <w:rtl/>
        </w:rPr>
        <w:t>1334</w:t>
      </w:r>
      <w:r w:rsidRPr="004325D8">
        <w:rPr>
          <w:rStyle w:val="libBold2Char"/>
          <w:rtl/>
        </w:rPr>
        <w:t xml:space="preserve"> / 5.</w:t>
      </w:r>
      <w:r w:rsidRPr="00132E65">
        <w:rPr>
          <w:rtl/>
          <w:lang w:bidi="fa-IR"/>
        </w:rPr>
        <w:t xml:space="preserve"> عَلِيٌّ ، عَنْ أَبِي أَحْمَدَ بْنِ رَاشِدٍ </w:t>
      </w:r>
      <w:r>
        <w:rPr>
          <w:rStyle w:val="libFootnotenumChar"/>
          <w:rtl/>
        </w:rPr>
        <w:t>(3)</w:t>
      </w:r>
      <w:r w:rsidRPr="00132E65">
        <w:rPr>
          <w:rtl/>
          <w:lang w:bidi="fa-IR"/>
        </w:rPr>
        <w:t xml:space="preserve"> ، عَنْ أَبِي هَاشِمٍ الْجَعْفَرِيِّ ، قَالَ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شَكَوْتُ إِلى أَبِي مُحَمَّدٍ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الْحَاجَةَ ، فَحَكَّ بِسَوْطِهِ الْأَرْضَ ، قَالَ : و</w:t>
      </w:r>
      <w:r w:rsidR="00B6757E">
        <w:rPr>
          <w:rFonts w:hint="cs"/>
          <w:rtl/>
          <w:lang w:bidi="fa-IR"/>
        </w:rPr>
        <w:t>َ</w:t>
      </w:r>
      <w:r w:rsidRPr="00132E65">
        <w:rPr>
          <w:rtl/>
          <w:lang w:bidi="fa-IR"/>
        </w:rPr>
        <w:t>أَحْسَبُهُ غَطَّاهُ بِمِنْدِيلٍ ، و</w:t>
      </w:r>
      <w:r w:rsidR="00B6757E">
        <w:rPr>
          <w:rFonts w:hint="cs"/>
          <w:rtl/>
          <w:lang w:bidi="fa-IR"/>
        </w:rPr>
        <w:t>َ</w:t>
      </w:r>
      <w:r w:rsidRPr="00132E65">
        <w:rPr>
          <w:rtl/>
          <w:lang w:bidi="fa-IR"/>
        </w:rPr>
        <w:t xml:space="preserve">أَخْرَجَ خَمْسَمِائَةِ دِينَارٍ </w:t>
      </w:r>
      <w:r>
        <w:rPr>
          <w:rStyle w:val="libFootnotenumChar"/>
          <w:rtl/>
        </w:rPr>
        <w:t>(6)</w:t>
      </w:r>
      <w:r w:rsidRPr="00132E65">
        <w:rPr>
          <w:rtl/>
          <w:lang w:bidi="fa-IR"/>
        </w:rPr>
        <w:t xml:space="preserve"> ، فَقَالَ : « يَا أَبَا هَاشِمٍ ، خُذْ </w:t>
      </w:r>
      <w:r>
        <w:rPr>
          <w:rStyle w:val="libFootnotenumChar"/>
          <w:rtl/>
        </w:rPr>
        <w:t>(7)</w:t>
      </w:r>
      <w:r w:rsidRPr="00132E65">
        <w:rPr>
          <w:rtl/>
          <w:lang w:bidi="fa-IR"/>
        </w:rPr>
        <w:t xml:space="preserve"> وأَعْذِرْنَا </w:t>
      </w:r>
      <w:r>
        <w:rPr>
          <w:rStyle w:val="libFootnotenumChar"/>
          <w:rtl/>
        </w:rPr>
        <w:t>(8)</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w:t>
      </w:r>
    </w:p>
    <w:p w:rsidR="000C39D1" w:rsidRPr="00132E65" w:rsidRDefault="000C39D1" w:rsidP="000C39D1">
      <w:pPr>
        <w:pStyle w:val="libNormal"/>
        <w:rPr>
          <w:rtl/>
          <w:lang w:bidi="fa-IR"/>
        </w:rPr>
      </w:pPr>
      <w:r w:rsidRPr="00F54881">
        <w:rPr>
          <w:rtl/>
        </w:rPr>
        <w:t>1335</w:t>
      </w:r>
      <w:r w:rsidRPr="004325D8">
        <w:rPr>
          <w:rStyle w:val="libBold2Char"/>
          <w:rtl/>
        </w:rPr>
        <w:t xml:space="preserve"> / 6.</w:t>
      </w:r>
      <w:r w:rsidRPr="00132E65">
        <w:rPr>
          <w:rtl/>
          <w:lang w:bidi="fa-IR"/>
        </w:rPr>
        <w:t xml:space="preserve"> عَلِيُّ بْنُ مُحَمَّدٍ ، عَنْ أَبِي عَبْدِ اللهِ بْنِ صَالِحٍ ، عَنْ أَبِيهِ ، عَنْ أَبِي عَلِيٍّ الْمُطَهَّرِ </w:t>
      </w:r>
      <w:r>
        <w:rPr>
          <w:rStyle w:val="libFootnotenumChar"/>
          <w:rtl/>
        </w:rPr>
        <w:t>(10)</w:t>
      </w:r>
      <w:r w:rsidRPr="00132E65">
        <w:rPr>
          <w:rtl/>
          <w:lang w:bidi="fa-IR"/>
        </w:rPr>
        <w:t xml:space="preserve"> :</w:t>
      </w:r>
    </w:p>
    <w:p w:rsidR="000C39D1" w:rsidRPr="00132E65" w:rsidRDefault="000C39D1" w:rsidP="0006034E">
      <w:pPr>
        <w:pStyle w:val="libNormal"/>
        <w:rPr>
          <w:rtl/>
          <w:lang w:bidi="fa-IR"/>
        </w:rPr>
      </w:pPr>
      <w:r w:rsidRPr="00132E65">
        <w:rPr>
          <w:rtl/>
          <w:lang w:bidi="fa-IR"/>
        </w:rPr>
        <w:t xml:space="preserve">أَنَّهُ كَتَبَ إِلَيْهِ سَنَةَ </w:t>
      </w:r>
      <w:r>
        <w:rPr>
          <w:rStyle w:val="libFootnotenumChar"/>
          <w:rtl/>
        </w:rPr>
        <w:t>(11)</w:t>
      </w:r>
      <w:r w:rsidRPr="00132E65">
        <w:rPr>
          <w:rtl/>
          <w:lang w:bidi="fa-IR"/>
        </w:rPr>
        <w:t xml:space="preserve"> الْقَادِسِيَّةِ </w:t>
      </w:r>
      <w:r>
        <w:rPr>
          <w:rStyle w:val="libFootnotenumChar"/>
          <w:rtl/>
        </w:rPr>
        <w:t>(12)</w:t>
      </w:r>
      <w:r w:rsidRPr="00132E65">
        <w:rPr>
          <w:rtl/>
          <w:lang w:bidi="fa-IR"/>
        </w:rPr>
        <w:t xml:space="preserve"> يُعْلِمُهُ انْصِرَافَ</w:t>
      </w:r>
      <w:r w:rsidR="0006034E">
        <w:rPr>
          <w:rFonts w:hint="cs"/>
          <w:rtl/>
          <w:lang w:bidi="fa-IR"/>
        </w:rPr>
        <w:t>.................................</w:t>
      </w:r>
      <w:r w:rsidR="00B6757E">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فقال له المستعين » بدل « فقال : يا أبا محمّد »</w:t>
      </w:r>
      <w:r>
        <w:rPr>
          <w:rtl/>
        </w:rPr>
        <w:t>.</w:t>
      </w:r>
    </w:p>
    <w:p w:rsidR="000C39D1" w:rsidRPr="00132E65" w:rsidRDefault="000C39D1" w:rsidP="00011BD9">
      <w:pPr>
        <w:pStyle w:val="libFootnote0"/>
        <w:rPr>
          <w:rtl/>
          <w:lang w:bidi="fa-IR"/>
        </w:rPr>
      </w:pPr>
      <w:r>
        <w:rPr>
          <w:rtl/>
        </w:rPr>
        <w:t>(2).</w:t>
      </w:r>
      <w:r w:rsidRPr="00132E65">
        <w:rPr>
          <w:rtl/>
        </w:rPr>
        <w:t xml:space="preserve"> </w:t>
      </w:r>
      <w:r w:rsidRPr="00F54881">
        <w:rPr>
          <w:rtl/>
        </w:rPr>
        <w:t>الإرشاد</w:t>
      </w:r>
      <w:r w:rsidRPr="00132E65">
        <w:rPr>
          <w:rtl/>
        </w:rPr>
        <w:t xml:space="preserve"> ، ج 2 ، ص 327</w:t>
      </w:r>
      <w:r w:rsidR="00011BD9">
        <w:rPr>
          <w:rFonts w:hint="cs"/>
          <w:rtl/>
        </w:rPr>
        <w:t>.</w:t>
      </w:r>
      <w:r w:rsidRPr="009D1ACE">
        <w:rPr>
          <w:rStyle w:val="libFootnoteBoldChar"/>
          <w:rtl/>
        </w:rPr>
        <w:t>الوافي</w:t>
      </w:r>
      <w:r w:rsidRPr="00132E65">
        <w:rPr>
          <w:rtl/>
        </w:rPr>
        <w:t xml:space="preserve"> ، ج 3 ، ص 849 ، ح 1459.</w:t>
      </w:r>
    </w:p>
    <w:p w:rsidR="000C39D1" w:rsidRPr="00132E65" w:rsidRDefault="000C39D1" w:rsidP="000C39D1">
      <w:pPr>
        <w:pStyle w:val="libFootnote0"/>
        <w:rPr>
          <w:rtl/>
          <w:lang w:bidi="fa-IR"/>
        </w:rPr>
      </w:pPr>
      <w:r>
        <w:rPr>
          <w:rtl/>
        </w:rPr>
        <w:t>(3).</w:t>
      </w:r>
      <w:r w:rsidRPr="00132E65">
        <w:rPr>
          <w:rtl/>
        </w:rPr>
        <w:t xml:space="preserve"> ورد الخبر في </w:t>
      </w:r>
      <w:r w:rsidRPr="00F54881">
        <w:rPr>
          <w:rtl/>
        </w:rPr>
        <w:t>الإرشاد</w:t>
      </w:r>
      <w:r w:rsidRPr="00132E65">
        <w:rPr>
          <w:rtl/>
        </w:rPr>
        <w:t xml:space="preserve"> ، ج 2 ، ص 328 وفيه : « أبو عليّ بن راشد » ، وكذا في البحار ، ج 50 ، ص 279 ، ح 53 ، نقلاً من </w:t>
      </w:r>
      <w:r w:rsidRPr="00F54881">
        <w:rPr>
          <w:rtl/>
        </w:rPr>
        <w:t>الإرشاد</w:t>
      </w:r>
      <w:r w:rsidRPr="00132E65">
        <w:rPr>
          <w:rtl/>
        </w:rPr>
        <w:t>. لكن لم نجد رواية أبي عليّ بن راشد عن أبي هاشم الجعفري في موضع ، كما أنّا لم نجد رواية عليّ</w:t>
      </w:r>
      <w:r>
        <w:rPr>
          <w:rtl/>
        </w:rPr>
        <w:t xml:space="preserve"> - </w:t>
      </w:r>
      <w:r w:rsidRPr="00132E65">
        <w:rPr>
          <w:rtl/>
        </w:rPr>
        <w:t>وهو عليّ بن محمّد شيخ الكليني المذكور في الأسناد السابقة</w:t>
      </w:r>
      <w:r>
        <w:rPr>
          <w:rtl/>
        </w:rPr>
        <w:t xml:space="preserve"> - </w:t>
      </w:r>
      <w:r w:rsidRPr="00132E65">
        <w:rPr>
          <w:rtl/>
        </w:rPr>
        <w:t xml:space="preserve">عن أبي عليّ بن راشد ، بل طبقة رواة أبي عليّ بن راشد متقدّمة على طبقة عليّ بن محمّد بطبقتين. راجع : </w:t>
      </w:r>
      <w:r w:rsidRPr="00F54881">
        <w:rPr>
          <w:rtl/>
        </w:rPr>
        <w:t>معجم رجال الحديث</w:t>
      </w:r>
      <w:r w:rsidRPr="00132E65">
        <w:rPr>
          <w:rtl/>
        </w:rPr>
        <w:t xml:space="preserve"> ، ج 21 ، ص 248 ، الرقم 14561 ؛ وج 22 ، ص 75 ، الرقم 14897.</w:t>
      </w:r>
    </w:p>
    <w:p w:rsidR="000C39D1" w:rsidRPr="00132E65" w:rsidRDefault="000C39D1" w:rsidP="00011BD9">
      <w:pPr>
        <w:pStyle w:val="libFootnote0"/>
        <w:rPr>
          <w:rtl/>
          <w:lang w:bidi="fa-IR"/>
        </w:rPr>
      </w:pPr>
      <w:r w:rsidRPr="00661890">
        <w:rPr>
          <w:rtl/>
        </w:rPr>
        <w:t>وأمّا أبو أحمد بن راشد ، فلم نعرفه.</w:t>
      </w:r>
      <w:r w:rsidR="00011BD9">
        <w:rPr>
          <w:rFonts w:hint="cs"/>
          <w:rtl/>
        </w:rPr>
        <w:t xml:space="preserve">                                       </w:t>
      </w:r>
      <w:r w:rsidR="00D82BAE">
        <w:rPr>
          <w:rFonts w:hint="cs"/>
          <w:rtl/>
        </w:rPr>
        <w:t xml:space="preserve">   </w:t>
      </w:r>
      <w:r>
        <w:rPr>
          <w:rtl/>
        </w:rPr>
        <w:t>(4).</w:t>
      </w:r>
      <w:r w:rsidRPr="00132E65">
        <w:rPr>
          <w:rtl/>
        </w:rPr>
        <w:t xml:space="preserve"> فى « ف » :</w:t>
      </w:r>
      <w:r>
        <w:rPr>
          <w:rtl/>
        </w:rPr>
        <w:t xml:space="preserve"> + </w:t>
      </w:r>
      <w:r w:rsidRPr="00132E65">
        <w:rPr>
          <w:rtl/>
        </w:rPr>
        <w:t>« كنت »</w:t>
      </w:r>
      <w:r>
        <w:rPr>
          <w:rtl/>
        </w:rPr>
        <w:t>.</w:t>
      </w:r>
    </w:p>
    <w:p w:rsidR="000C39D1" w:rsidRPr="00132E65" w:rsidRDefault="000C39D1" w:rsidP="000C39D1">
      <w:pPr>
        <w:pStyle w:val="libFootnote0"/>
        <w:rPr>
          <w:rtl/>
          <w:lang w:bidi="fa-IR"/>
        </w:rPr>
      </w:pPr>
      <w:r>
        <w:rPr>
          <w:rtl/>
        </w:rPr>
        <w:t>(5).</w:t>
      </w:r>
      <w:r w:rsidRPr="00132E65">
        <w:rPr>
          <w:rtl/>
        </w:rPr>
        <w:t xml:space="preserve"> فى الإرشاد :</w:t>
      </w:r>
      <w:r>
        <w:rPr>
          <w:rtl/>
        </w:rPr>
        <w:t xml:space="preserve"> + </w:t>
      </w:r>
      <w:r w:rsidRPr="00132E65">
        <w:rPr>
          <w:rtl/>
        </w:rPr>
        <w:t>« الحسن بن عليّ »</w:t>
      </w:r>
      <w:r>
        <w:rPr>
          <w:rtl/>
        </w:rPr>
        <w:t>.</w:t>
      </w:r>
    </w:p>
    <w:p w:rsidR="000C39D1" w:rsidRPr="00132E65" w:rsidRDefault="000C39D1" w:rsidP="000C39D1">
      <w:pPr>
        <w:pStyle w:val="libFootnote0"/>
        <w:rPr>
          <w:rtl/>
          <w:lang w:bidi="fa-IR"/>
        </w:rPr>
      </w:pPr>
      <w:r>
        <w:rPr>
          <w:rtl/>
        </w:rPr>
        <w:t>(6).</w:t>
      </w:r>
      <w:r w:rsidRPr="00132E65">
        <w:rPr>
          <w:rtl/>
        </w:rPr>
        <w:t xml:space="preserve"> فى الإرشاد : « فأخرج منها سبيكة فيها نحو الخمسمائة دينار » بدل « قال : وأحسبه</w:t>
      </w:r>
      <w:r>
        <w:rPr>
          <w:rtl/>
        </w:rPr>
        <w:t xml:space="preserve"> - </w:t>
      </w:r>
      <w:r w:rsidRPr="00132E65">
        <w:rPr>
          <w:rtl/>
        </w:rPr>
        <w:t>إلى</w:t>
      </w:r>
      <w:r>
        <w:rPr>
          <w:rtl/>
        </w:rPr>
        <w:t xml:space="preserve"> - </w:t>
      </w:r>
      <w:r w:rsidRPr="00132E65">
        <w:rPr>
          <w:rtl/>
        </w:rPr>
        <w:t>خمسمائة دينار »</w:t>
      </w:r>
      <w:r>
        <w:rPr>
          <w:rtl/>
        </w:rPr>
        <w:t>.</w:t>
      </w:r>
    </w:p>
    <w:p w:rsidR="000C39D1" w:rsidRPr="00132E65" w:rsidRDefault="000C39D1" w:rsidP="000C39D1">
      <w:pPr>
        <w:pStyle w:val="libFootnote0"/>
        <w:rPr>
          <w:rtl/>
          <w:lang w:bidi="fa-IR"/>
        </w:rPr>
      </w:pPr>
      <w:r>
        <w:rPr>
          <w:rtl/>
        </w:rPr>
        <w:t>(7).</w:t>
      </w:r>
      <w:r w:rsidRPr="00132E65">
        <w:rPr>
          <w:rtl/>
        </w:rPr>
        <w:t xml:space="preserve"> فى الإرشاد : « خذها يا أبا هاشم »</w:t>
      </w:r>
      <w:r>
        <w:rPr>
          <w:rtl/>
        </w:rPr>
        <w:t>.</w:t>
      </w:r>
    </w:p>
    <w:p w:rsidR="000C39D1" w:rsidRPr="00132E65" w:rsidRDefault="000C39D1" w:rsidP="000C39D1">
      <w:pPr>
        <w:pStyle w:val="libFootnote0"/>
        <w:rPr>
          <w:rtl/>
          <w:lang w:bidi="fa-IR"/>
        </w:rPr>
      </w:pPr>
      <w:r>
        <w:rPr>
          <w:rtl/>
        </w:rPr>
        <w:t>(8).</w:t>
      </w:r>
      <w:r w:rsidRPr="00132E65">
        <w:rPr>
          <w:rtl/>
        </w:rPr>
        <w:t xml:space="preserve"> « أعذرنا » ، أمر من باب ضرب أو الإفعال ، أي اقبل اعتذارنا. واحتمل المازندراني كونه على صيغة الماضي عطفاً على قال ، من الإعذار ، يقال : أعذر الرجل ، إذا بالغ في العذر وبلغ أقصى الغاية منه. راجع : </w:t>
      </w:r>
      <w:r w:rsidRPr="00F54881">
        <w:rPr>
          <w:rtl/>
        </w:rPr>
        <w:t>شرح المازندراني</w:t>
      </w:r>
      <w:r w:rsidRPr="00132E65">
        <w:rPr>
          <w:rtl/>
        </w:rPr>
        <w:t xml:space="preserve"> ، ج 7 ، ص 320 ؛ </w:t>
      </w:r>
      <w:r w:rsidRPr="009D1ACE">
        <w:rPr>
          <w:rStyle w:val="libFootnoteBoldChar"/>
          <w:rtl/>
        </w:rPr>
        <w:t>مرآة العقول</w:t>
      </w:r>
      <w:r w:rsidRPr="00132E65">
        <w:rPr>
          <w:rtl/>
        </w:rPr>
        <w:t xml:space="preserve"> ، ج 6 ، ص 152 ؛ </w:t>
      </w:r>
      <w:r w:rsidRPr="00F54881">
        <w:rPr>
          <w:rtl/>
        </w:rPr>
        <w:t>النهاية</w:t>
      </w:r>
      <w:r w:rsidRPr="00132E65">
        <w:rPr>
          <w:rtl/>
        </w:rPr>
        <w:t xml:space="preserve"> ، ج 3 ، ص 196 ( عذر )</w:t>
      </w:r>
      <w:r>
        <w:rPr>
          <w:rtl/>
        </w:rPr>
        <w:t>.</w:t>
      </w:r>
    </w:p>
    <w:p w:rsidR="000C39D1" w:rsidRPr="00132E65" w:rsidRDefault="000C39D1" w:rsidP="00D82BAE">
      <w:pPr>
        <w:pStyle w:val="libFootnote0"/>
        <w:rPr>
          <w:rtl/>
          <w:lang w:bidi="fa-IR"/>
        </w:rPr>
      </w:pPr>
      <w:r>
        <w:rPr>
          <w:rtl/>
        </w:rPr>
        <w:t>(9).</w:t>
      </w:r>
      <w:r w:rsidRPr="00132E65">
        <w:rPr>
          <w:rtl/>
        </w:rPr>
        <w:t xml:space="preserve"> </w:t>
      </w:r>
      <w:r w:rsidRPr="00F54881">
        <w:rPr>
          <w:rtl/>
        </w:rPr>
        <w:t>الإرشاد</w:t>
      </w:r>
      <w:r w:rsidRPr="00132E65">
        <w:rPr>
          <w:rtl/>
        </w:rPr>
        <w:t xml:space="preserve"> ، ج 2 ، ص 328 ، عن أبي عليّ بن راشد ، عن أبي هاشم الجعفري</w:t>
      </w:r>
      <w:r w:rsidR="00D82BAE">
        <w:rPr>
          <w:rFonts w:hint="cs"/>
          <w:rtl/>
        </w:rPr>
        <w:t>.</w:t>
      </w:r>
      <w:r w:rsidRPr="009D1ACE">
        <w:rPr>
          <w:rStyle w:val="libFootnoteBoldChar"/>
          <w:rtl/>
        </w:rPr>
        <w:t>الوافي</w:t>
      </w:r>
      <w:r w:rsidRPr="00132E65">
        <w:rPr>
          <w:rtl/>
        </w:rPr>
        <w:t xml:space="preserve"> ، ج 3 ، ص 850 ، ح 1460.</w:t>
      </w:r>
    </w:p>
    <w:p w:rsidR="000C39D1" w:rsidRPr="00132E65" w:rsidRDefault="000C39D1" w:rsidP="000C39D1">
      <w:pPr>
        <w:pStyle w:val="libFootnote0"/>
        <w:rPr>
          <w:rtl/>
          <w:lang w:bidi="fa-IR"/>
        </w:rPr>
      </w:pPr>
      <w:r>
        <w:rPr>
          <w:rtl/>
        </w:rPr>
        <w:t>(10).</w:t>
      </w:r>
      <w:r w:rsidRPr="00132E65">
        <w:rPr>
          <w:rtl/>
        </w:rPr>
        <w:t xml:space="preserve"> في الإرشاد : « المطهّري »</w:t>
      </w:r>
      <w:r>
        <w:rPr>
          <w:rtl/>
        </w:rPr>
        <w:t>.</w:t>
      </w:r>
    </w:p>
    <w:p w:rsidR="000C39D1" w:rsidRPr="00132E65" w:rsidRDefault="000C39D1" w:rsidP="000C39D1">
      <w:pPr>
        <w:pStyle w:val="libFootnote0"/>
        <w:rPr>
          <w:rtl/>
          <w:lang w:bidi="fa-IR"/>
        </w:rPr>
      </w:pPr>
      <w:r>
        <w:rPr>
          <w:rtl/>
        </w:rPr>
        <w:t>(11).</w:t>
      </w:r>
      <w:r w:rsidRPr="00132E65">
        <w:rPr>
          <w:rtl/>
        </w:rPr>
        <w:t xml:space="preserve"> في « ض ، بر ، بس ، بح » </w:t>
      </w:r>
      <w:r>
        <w:rPr>
          <w:rtl/>
        </w:rPr>
        <w:t xml:space="preserve">: - </w:t>
      </w:r>
      <w:r w:rsidRPr="00132E65">
        <w:rPr>
          <w:rtl/>
        </w:rPr>
        <w:t>« سنة »</w:t>
      </w:r>
      <w:r>
        <w:rPr>
          <w:rtl/>
        </w:rPr>
        <w:t>.</w:t>
      </w:r>
      <w:r w:rsidRPr="00132E65">
        <w:rPr>
          <w:rtl/>
        </w:rPr>
        <w:t xml:space="preserve"> وفي الإرشاد : « من » بدل « سنة »</w:t>
      </w:r>
      <w:r>
        <w:rPr>
          <w:rtl/>
        </w:rPr>
        <w:t>.</w:t>
      </w:r>
    </w:p>
    <w:p w:rsidR="000C39D1" w:rsidRPr="00132E65" w:rsidRDefault="000C39D1" w:rsidP="000C39D1">
      <w:pPr>
        <w:pStyle w:val="libFootnote0"/>
        <w:rPr>
          <w:rtl/>
          <w:lang w:bidi="fa-IR"/>
        </w:rPr>
      </w:pPr>
      <w:r>
        <w:rPr>
          <w:rtl/>
        </w:rPr>
        <w:t>(12).</w:t>
      </w:r>
      <w:r w:rsidRPr="00132E65">
        <w:rPr>
          <w:rtl/>
        </w:rPr>
        <w:t xml:space="preserve"> « القادِسيّة » : قرية قرب الكوفة. وسنتها هي التي رجع فيها الحاجّ وانصرف عنها لخوف العطش وغيره </w:t>
      </w:r>
      <w:r w:rsidR="00D82BAE">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B75EF3">
      <w:pPr>
        <w:pStyle w:val="libNormal0"/>
        <w:tabs>
          <w:tab w:val="left" w:pos="3968"/>
        </w:tabs>
        <w:rPr>
          <w:rtl/>
          <w:lang w:bidi="fa-IR"/>
        </w:rPr>
      </w:pPr>
      <w:r w:rsidRPr="00132E65">
        <w:rPr>
          <w:rtl/>
          <w:lang w:bidi="fa-IR"/>
        </w:rPr>
        <w:t>1 / 508‌</w:t>
      </w:r>
      <w:r>
        <w:rPr>
          <w:rFonts w:hint="cs"/>
          <w:rtl/>
          <w:lang w:bidi="fa-IR"/>
        </w:rPr>
        <w:t xml:space="preserve"> </w:t>
      </w:r>
      <w:r w:rsidRPr="00132E65">
        <w:rPr>
          <w:rtl/>
          <w:lang w:bidi="fa-IR"/>
        </w:rPr>
        <w:t xml:space="preserve">النَّاسِ </w:t>
      </w:r>
      <w:r>
        <w:rPr>
          <w:rStyle w:val="libFootnotenumChar"/>
          <w:rtl/>
        </w:rPr>
        <w:t>(1)</w:t>
      </w:r>
      <w:r w:rsidRPr="00132E65">
        <w:rPr>
          <w:rtl/>
          <w:lang w:bidi="fa-IR"/>
        </w:rPr>
        <w:t xml:space="preserve"> ، وأَنَّهُ يَخَافُ </w:t>
      </w:r>
      <w:r>
        <w:rPr>
          <w:rStyle w:val="libFootnotenumChar"/>
          <w:rtl/>
        </w:rPr>
        <w:t>(2)</w:t>
      </w:r>
      <w:r w:rsidRPr="00132E65">
        <w:rPr>
          <w:rtl/>
          <w:lang w:bidi="fa-IR"/>
        </w:rPr>
        <w:t xml:space="preserve"> الْعَطَشَ </w:t>
      </w:r>
      <w:r>
        <w:rPr>
          <w:rStyle w:val="libFootnotenumChar"/>
          <w:rtl/>
        </w:rPr>
        <w:t>(3)</w:t>
      </w:r>
      <w:r w:rsidRPr="00132E65">
        <w:rPr>
          <w:rtl/>
          <w:lang w:bidi="fa-IR"/>
        </w:rPr>
        <w:t xml:space="preserve"> ، فَكَتَبَ </w:t>
      </w:r>
      <w:r w:rsidRPr="00071CF9">
        <w:rPr>
          <w:rStyle w:val="libAlaemChar"/>
          <w:rtl/>
        </w:rPr>
        <w:t>عليه‌السلام</w:t>
      </w:r>
      <w:r w:rsidRPr="00132E65">
        <w:rPr>
          <w:rtl/>
          <w:lang w:bidi="fa-IR"/>
        </w:rPr>
        <w:t xml:space="preserve"> : « امْضُوا ، فَلَا خَوْفٌ عَلَيْكُمْ إِنْ شَاءَ اللهُ » ، فَمَضَوْا سَالِمِينَ ؛ والْحَمْدُ لِلّهِ رَبِّ الْعَالَمِينَ </w:t>
      </w:r>
      <w:r>
        <w:rPr>
          <w:rStyle w:val="libFootnotenumChar"/>
          <w:rtl/>
        </w:rPr>
        <w:t>(4)</w:t>
      </w:r>
      <w:r w:rsidR="00B75EF3">
        <w:rPr>
          <w:rFonts w:hint="cs"/>
          <w:rtl/>
          <w:lang w:bidi="fa-IR"/>
        </w:rPr>
        <w:t>.</w:t>
      </w:r>
      <w:r>
        <w:rPr>
          <w:rStyle w:val="libFootnotenumChar"/>
          <w:rtl/>
        </w:rPr>
        <w:t>(5)</w:t>
      </w:r>
    </w:p>
    <w:p w:rsidR="000C39D1" w:rsidRPr="00132E65" w:rsidRDefault="000C39D1" w:rsidP="000C39D1">
      <w:pPr>
        <w:pStyle w:val="libNormal"/>
        <w:rPr>
          <w:rtl/>
          <w:lang w:bidi="fa-IR"/>
        </w:rPr>
      </w:pPr>
      <w:r w:rsidRPr="00357AC9">
        <w:rPr>
          <w:rtl/>
        </w:rPr>
        <w:t>1336</w:t>
      </w:r>
      <w:r w:rsidRPr="004325D8">
        <w:rPr>
          <w:rStyle w:val="libBold2Char"/>
          <w:rtl/>
        </w:rPr>
        <w:t xml:space="preserve"> / 7.</w:t>
      </w:r>
      <w:r w:rsidRPr="00132E65">
        <w:rPr>
          <w:rtl/>
          <w:lang w:bidi="fa-IR"/>
        </w:rPr>
        <w:t xml:space="preserve"> عَلِيُّ بْنُ مُحَمَّدٍ ، عَنْ عَلِيِّ بْنِ الْحَسَنِ بْنِ الْفَضْلِ الْيَمَانِيِّ ، قَالَ :</w:t>
      </w:r>
    </w:p>
    <w:p w:rsidR="000C39D1" w:rsidRPr="00132E65" w:rsidRDefault="000C39D1" w:rsidP="00B75EF3">
      <w:pPr>
        <w:pStyle w:val="libNormal"/>
        <w:rPr>
          <w:rtl/>
          <w:lang w:bidi="fa-IR"/>
        </w:rPr>
      </w:pPr>
      <w:r w:rsidRPr="00132E65">
        <w:rPr>
          <w:rtl/>
          <w:lang w:bidi="fa-IR"/>
        </w:rPr>
        <w:t xml:space="preserve">نَزَلَ بِالْجَعْفَرِيِّ مِنْ آلِ جَعْفَرٍ خَلْقٌ </w:t>
      </w:r>
      <w:r>
        <w:rPr>
          <w:rStyle w:val="libFootnotenumChar"/>
          <w:rtl/>
        </w:rPr>
        <w:t>(6)</w:t>
      </w:r>
      <w:r w:rsidRPr="00132E65">
        <w:rPr>
          <w:rtl/>
          <w:lang w:bidi="fa-IR"/>
        </w:rPr>
        <w:t xml:space="preserve"> لَاقِبَلَ </w:t>
      </w:r>
      <w:r>
        <w:rPr>
          <w:rStyle w:val="libFootnotenumChar"/>
          <w:rtl/>
        </w:rPr>
        <w:t>(7)</w:t>
      </w:r>
      <w:r w:rsidRPr="00132E65">
        <w:rPr>
          <w:rtl/>
          <w:lang w:bidi="fa-IR"/>
        </w:rPr>
        <w:t xml:space="preserve"> لَهُ بِهِمْ ، فَكَتَبَ إِلى أَبِي مُحَمَّدٍ </w:t>
      </w:r>
      <w:r w:rsidRPr="00071CF9">
        <w:rPr>
          <w:rStyle w:val="libAlaemChar"/>
          <w:rtl/>
        </w:rPr>
        <w:t>عليه‌السلام</w:t>
      </w:r>
      <w:r w:rsidRPr="00132E65">
        <w:rPr>
          <w:rtl/>
          <w:lang w:bidi="fa-IR"/>
        </w:rPr>
        <w:t xml:space="preserve"> يَشْكُو ذلِكَ ، فَكَتَبَ إِلَيْهِ : « تُكْفَوْنَ </w:t>
      </w:r>
      <w:r>
        <w:rPr>
          <w:rStyle w:val="libFootnotenumChar"/>
          <w:rtl/>
        </w:rPr>
        <w:t>(8)</w:t>
      </w:r>
      <w:r w:rsidRPr="00132E65">
        <w:rPr>
          <w:rtl/>
          <w:lang w:bidi="fa-IR"/>
        </w:rPr>
        <w:t xml:space="preserve"> ذلِكَ </w:t>
      </w:r>
      <w:r>
        <w:rPr>
          <w:rStyle w:val="libFootnotenumChar"/>
          <w:rtl/>
        </w:rPr>
        <w:t>(9)</w:t>
      </w:r>
      <w:r w:rsidRPr="00132E65">
        <w:rPr>
          <w:rtl/>
          <w:lang w:bidi="fa-IR"/>
        </w:rPr>
        <w:t xml:space="preserve"> إِنْ شَاءَ اللهُ تَعَالى </w:t>
      </w:r>
      <w:r>
        <w:rPr>
          <w:rStyle w:val="libFootnotenumChar"/>
          <w:rtl/>
        </w:rPr>
        <w:t>(10)</w:t>
      </w:r>
      <w:r w:rsidRPr="00132E65">
        <w:rPr>
          <w:rtl/>
          <w:lang w:bidi="fa-IR"/>
        </w:rPr>
        <w:t xml:space="preserve"> » فَخَرَجَ إِلَيْهِمْ فِي </w:t>
      </w:r>
      <w:r>
        <w:rPr>
          <w:rStyle w:val="libFootnotenumChar"/>
          <w:rtl/>
        </w:rPr>
        <w:t>(11)</w:t>
      </w:r>
      <w:r w:rsidRPr="00132E65">
        <w:rPr>
          <w:rtl/>
          <w:lang w:bidi="fa-IR"/>
        </w:rPr>
        <w:t xml:space="preserve"> نَفَرٍ يَسِيرٍ وَالْقَوْمُ يَزِيدُونَ عَلى عِشْرِينَ أَلْفاً </w:t>
      </w:r>
      <w:r>
        <w:rPr>
          <w:rStyle w:val="libFootnotenumChar"/>
          <w:rtl/>
        </w:rPr>
        <w:t>(12)</w:t>
      </w:r>
      <w:r w:rsidRPr="00132E65">
        <w:rPr>
          <w:rtl/>
          <w:lang w:bidi="fa-IR"/>
        </w:rPr>
        <w:t xml:space="preserve"> ، و</w:t>
      </w:r>
      <w:r w:rsidR="00B75EF3">
        <w:rPr>
          <w:rFonts w:hint="cs"/>
          <w:rtl/>
          <w:lang w:bidi="fa-IR"/>
        </w:rPr>
        <w:t xml:space="preserve">َ </w:t>
      </w:r>
      <w:r w:rsidRPr="00132E65">
        <w:rPr>
          <w:rtl/>
          <w:lang w:bidi="fa-IR"/>
        </w:rPr>
        <w:t xml:space="preserve">هُوَ فِي أَقَلَّ مِنْ أَلْفٍ ، فَاسْتَبَاحَهُمْ </w:t>
      </w:r>
      <w:r w:rsidRPr="00F543F1">
        <w:rPr>
          <w:rStyle w:val="libFootnotenumChar"/>
          <w:rtl/>
        </w:rPr>
        <w:t>(13)</w:t>
      </w:r>
      <w:r w:rsidR="00B75EF3">
        <w:rPr>
          <w:rFonts w:hint="cs"/>
          <w:rtl/>
          <w:lang w:bidi="fa-IR"/>
        </w:rPr>
        <w:t>.</w:t>
      </w:r>
      <w:r w:rsidRPr="00F543F1">
        <w:rPr>
          <w:rStyle w:val="libFootnotenumChar"/>
          <w:rtl/>
        </w:rPr>
        <w:t>(14)</w:t>
      </w:r>
      <w:r w:rsidRPr="00132E65">
        <w:rPr>
          <w:rtl/>
          <w:lang w:bidi="fa-IR"/>
        </w:rPr>
        <w:t>‌</w:t>
      </w:r>
    </w:p>
    <w:p w:rsidR="000C39D1" w:rsidRPr="00132E65" w:rsidRDefault="000C39D1" w:rsidP="000C39D1">
      <w:pPr>
        <w:pStyle w:val="libNormal"/>
        <w:rPr>
          <w:rtl/>
          <w:lang w:bidi="fa-IR"/>
        </w:rPr>
      </w:pPr>
      <w:r w:rsidRPr="00357AC9">
        <w:rPr>
          <w:rtl/>
        </w:rPr>
        <w:t>1337</w:t>
      </w:r>
      <w:r w:rsidRPr="004325D8">
        <w:rPr>
          <w:rStyle w:val="libBold2Char"/>
          <w:rtl/>
        </w:rPr>
        <w:t xml:space="preserve"> / 8.</w:t>
      </w:r>
      <w:r w:rsidRPr="00132E65">
        <w:rPr>
          <w:rtl/>
          <w:lang w:bidi="fa-IR"/>
        </w:rPr>
        <w:t xml:space="preserve"> عَلِيُّ بْنُ مُحَمَّدٍ ، عَنْ مُحَمَّدِ بْنِ إِسْمَاعِيلَ الْعَلَوِيِّ ، قَالَ :</w:t>
      </w:r>
    </w:p>
    <w:p w:rsidR="000C39D1" w:rsidRPr="00132E65" w:rsidRDefault="000C39D1" w:rsidP="000C39D1">
      <w:pPr>
        <w:pStyle w:val="libNormal"/>
        <w:rPr>
          <w:rtl/>
          <w:lang w:bidi="fa-IR"/>
        </w:rPr>
      </w:pPr>
      <w:r w:rsidRPr="00132E65">
        <w:rPr>
          <w:rtl/>
          <w:lang w:bidi="fa-IR"/>
        </w:rPr>
        <w:t xml:space="preserve">حُبِسَ أَبُو مُحَمَّدٍ </w:t>
      </w:r>
      <w:r w:rsidRPr="00071CF9">
        <w:rPr>
          <w:rStyle w:val="libAlaemChar"/>
          <w:rtl/>
        </w:rPr>
        <w:t>عليه‌السلام</w:t>
      </w:r>
      <w:r w:rsidRPr="00132E65">
        <w:rPr>
          <w:rtl/>
          <w:lang w:bidi="fa-IR"/>
        </w:rPr>
        <w:t xml:space="preserve"> عِنْدَ عَلِيِّ بْنِ نَارْمَشَ </w:t>
      </w:r>
      <w:r w:rsidRPr="00F543F1">
        <w:rPr>
          <w:rStyle w:val="libFootnotenumChar"/>
          <w:rtl/>
        </w:rPr>
        <w:t>(15)</w:t>
      </w:r>
      <w:r>
        <w:rPr>
          <w:rtl/>
          <w:lang w:bidi="fa-IR"/>
        </w:rPr>
        <w:t xml:space="preserve"> - </w:t>
      </w:r>
      <w:r w:rsidRPr="00132E65">
        <w:rPr>
          <w:rtl/>
          <w:lang w:bidi="fa-IR"/>
        </w:rPr>
        <w:t>و</w:t>
      </w:r>
      <w:r w:rsidR="00B75EF3">
        <w:rPr>
          <w:rFonts w:hint="cs"/>
          <w:rtl/>
          <w:lang w:bidi="fa-IR"/>
        </w:rPr>
        <w:t>َ</w:t>
      </w:r>
      <w:r w:rsidRPr="00132E65">
        <w:rPr>
          <w:rtl/>
          <w:lang w:bidi="fa-IR"/>
        </w:rPr>
        <w:t xml:space="preserve">هُوَ أَنْصَبُ النَّاسِ </w:t>
      </w:r>
      <w:r w:rsidRPr="00F543F1">
        <w:rPr>
          <w:rStyle w:val="libFootnotenumChar"/>
          <w:rtl/>
        </w:rPr>
        <w:t>(16)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B75EF3" w:rsidP="000C39D1">
      <w:pPr>
        <w:pStyle w:val="libFootnote0"/>
        <w:rPr>
          <w:rtl/>
          <w:lang w:bidi="fa-IR"/>
        </w:rPr>
      </w:pPr>
      <w:r>
        <w:rPr>
          <w:rFonts w:hint="cs"/>
          <w:rtl/>
        </w:rPr>
        <w:t xml:space="preserve">= </w:t>
      </w:r>
      <w:r w:rsidR="000C39D1" w:rsidRPr="00132E65">
        <w:rPr>
          <w:rtl/>
        </w:rPr>
        <w:t>ل</w:t>
      </w:r>
      <w:r>
        <w:rPr>
          <w:rFonts w:hint="cs"/>
          <w:rtl/>
        </w:rPr>
        <w:t>ـ</w:t>
      </w:r>
      <w:r w:rsidR="000C39D1" w:rsidRPr="00132E65">
        <w:rPr>
          <w:rtl/>
        </w:rPr>
        <w:t xml:space="preserve">مّا سمعوا من قلّة الماء والكلاء في الطريق. راجع : </w:t>
      </w:r>
      <w:r w:rsidR="000C39D1" w:rsidRPr="00F54881">
        <w:rPr>
          <w:rtl/>
        </w:rPr>
        <w:t>القاموس المحيط</w:t>
      </w:r>
      <w:r w:rsidR="000C39D1" w:rsidRPr="00132E65">
        <w:rPr>
          <w:rtl/>
        </w:rPr>
        <w:t xml:space="preserve"> ، ج 1 ، ص 773 ( قدس ) ؛ </w:t>
      </w:r>
      <w:r w:rsidR="000C39D1" w:rsidRPr="00F54881">
        <w:rPr>
          <w:rtl/>
        </w:rPr>
        <w:t>شرح المازندراني</w:t>
      </w:r>
      <w:r w:rsidR="000C39D1" w:rsidRPr="00132E65">
        <w:rPr>
          <w:rtl/>
        </w:rPr>
        <w:t xml:space="preserve"> ، ج 7 ، ص 320 ؛ </w:t>
      </w:r>
      <w:r w:rsidR="000C39D1" w:rsidRPr="009D1ACE">
        <w:rPr>
          <w:rStyle w:val="libFootnoteBoldChar"/>
          <w:rtl/>
        </w:rPr>
        <w:t>مرآة العقول</w:t>
      </w:r>
      <w:r w:rsidR="000C39D1" w:rsidRPr="00132E65">
        <w:rPr>
          <w:rtl/>
        </w:rPr>
        <w:t xml:space="preserve"> ، ج 6 ، ص 153.</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عن المضيّ إلى الحجّ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وأنّه يخاف ، على المعلوم ، أو المجهول »</w:t>
      </w:r>
      <w:r>
        <w:rPr>
          <w:rtl/>
        </w:rPr>
        <w:t>.</w:t>
      </w:r>
    </w:p>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إن مضى »</w:t>
      </w:r>
      <w:r>
        <w:rPr>
          <w:rtl/>
        </w:rPr>
        <w:t>.</w:t>
      </w:r>
    </w:p>
    <w:p w:rsidR="000C39D1" w:rsidRPr="00132E65" w:rsidRDefault="000C39D1" w:rsidP="000C39D1">
      <w:pPr>
        <w:pStyle w:val="libFootnote0"/>
        <w:rPr>
          <w:rtl/>
          <w:lang w:bidi="fa-IR"/>
        </w:rPr>
      </w:pPr>
      <w:r>
        <w:rPr>
          <w:rtl/>
        </w:rPr>
        <w:t>(4).</w:t>
      </w:r>
      <w:r w:rsidRPr="00132E65">
        <w:rPr>
          <w:rtl/>
        </w:rPr>
        <w:t xml:space="preserve"> في الإرشاد : « فمضى من بقي سالمين ولم يجدوا عطشاً » بدل « فمضوا</w:t>
      </w:r>
      <w:r>
        <w:rPr>
          <w:rtl/>
        </w:rPr>
        <w:t xml:space="preserve"> - </w:t>
      </w:r>
      <w:r w:rsidRPr="00132E65">
        <w:rPr>
          <w:rtl/>
        </w:rPr>
        <w:t>إلى</w:t>
      </w:r>
      <w:r>
        <w:rPr>
          <w:rtl/>
        </w:rPr>
        <w:t xml:space="preserve"> - </w:t>
      </w:r>
      <w:r w:rsidRPr="00132E65">
        <w:rPr>
          <w:rtl/>
        </w:rPr>
        <w:t>العالمين »</w:t>
      </w:r>
      <w:r>
        <w:rPr>
          <w:rtl/>
        </w:rPr>
        <w:t>.</w:t>
      </w:r>
    </w:p>
    <w:p w:rsidR="000C39D1" w:rsidRPr="00132E65" w:rsidRDefault="000C39D1" w:rsidP="00B75EF3">
      <w:pPr>
        <w:pStyle w:val="libFootnote0"/>
        <w:rPr>
          <w:rtl/>
          <w:lang w:bidi="fa-IR"/>
        </w:rPr>
      </w:pPr>
      <w:r>
        <w:rPr>
          <w:rtl/>
        </w:rPr>
        <w:t>(5).</w:t>
      </w:r>
      <w:r w:rsidRPr="00132E65">
        <w:rPr>
          <w:rtl/>
        </w:rPr>
        <w:t xml:space="preserve"> </w:t>
      </w:r>
      <w:r w:rsidRPr="00357AC9">
        <w:rPr>
          <w:rtl/>
        </w:rPr>
        <w:t>الإرشاد</w:t>
      </w:r>
      <w:r w:rsidRPr="00132E65">
        <w:rPr>
          <w:rtl/>
        </w:rPr>
        <w:t xml:space="preserve"> ، ج 2 ، ص 329 ، بسنده عن الكليني</w:t>
      </w:r>
      <w:r w:rsidR="00B75EF3">
        <w:rPr>
          <w:rFonts w:hint="cs"/>
          <w:rtl/>
        </w:rPr>
        <w:t>.</w:t>
      </w:r>
      <w:r w:rsidRPr="009D1ACE">
        <w:rPr>
          <w:rStyle w:val="libFootnoteBoldChar"/>
          <w:rtl/>
        </w:rPr>
        <w:t>الوافي</w:t>
      </w:r>
      <w:r w:rsidRPr="00132E65">
        <w:rPr>
          <w:rtl/>
        </w:rPr>
        <w:t xml:space="preserve"> ، ج 3 ، ص 850 ، ح 1461.</w:t>
      </w:r>
    </w:p>
    <w:p w:rsidR="000C39D1" w:rsidRPr="00132E65" w:rsidRDefault="000C39D1" w:rsidP="000C39D1">
      <w:pPr>
        <w:pStyle w:val="libFootnote0"/>
        <w:rPr>
          <w:rtl/>
          <w:lang w:bidi="fa-IR"/>
        </w:rPr>
      </w:pPr>
      <w:r>
        <w:rPr>
          <w:rtl/>
        </w:rPr>
        <w:t>(6).</w:t>
      </w:r>
      <w:r w:rsidRPr="00132E65">
        <w:rPr>
          <w:rtl/>
        </w:rPr>
        <w:t xml:space="preserve"> في الإرشاد :</w:t>
      </w:r>
      <w:r>
        <w:rPr>
          <w:rtl/>
        </w:rPr>
        <w:t xml:space="preserve"> + </w:t>
      </w:r>
      <w:r w:rsidRPr="00132E65">
        <w:rPr>
          <w:rtl/>
        </w:rPr>
        <w:t>« كثير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لاقبل له بهم : لم يكن له من الجنود من يقاومهم »</w:t>
      </w:r>
      <w:r>
        <w:rPr>
          <w:rtl/>
        </w:rPr>
        <w:t>.</w:t>
      </w:r>
      <w:r w:rsidRPr="00132E65">
        <w:rPr>
          <w:rtl/>
        </w:rPr>
        <w:t xml:space="preserve"> وراجع : </w:t>
      </w:r>
      <w:r w:rsidRPr="00357AC9">
        <w:rPr>
          <w:rtl/>
        </w:rPr>
        <w:t>الصحاح</w:t>
      </w:r>
      <w:r w:rsidRPr="00132E65">
        <w:rPr>
          <w:rtl/>
        </w:rPr>
        <w:t xml:space="preserve"> ، ج 5 ، ص 1769 ( قبل )</w:t>
      </w:r>
      <w:r>
        <w:rPr>
          <w:rtl/>
        </w:rPr>
        <w:t>.</w:t>
      </w:r>
    </w:p>
    <w:p w:rsidR="000C39D1" w:rsidRPr="00132E65" w:rsidRDefault="000C39D1" w:rsidP="000C39D1">
      <w:pPr>
        <w:pStyle w:val="libFootnote0"/>
        <w:rPr>
          <w:rtl/>
          <w:lang w:bidi="fa-IR"/>
        </w:rPr>
      </w:pPr>
      <w:r>
        <w:rPr>
          <w:rtl/>
        </w:rPr>
        <w:t>(8).</w:t>
      </w:r>
      <w:r w:rsidRPr="00132E65">
        <w:rPr>
          <w:rtl/>
        </w:rPr>
        <w:t xml:space="preserve"> في « ج ، بر ، بس » : « يكفون »</w:t>
      </w:r>
      <w:r>
        <w:rPr>
          <w:rtl/>
        </w:rPr>
        <w:t>.</w:t>
      </w:r>
      <w:r w:rsidRPr="00132E65">
        <w:rPr>
          <w:rtl/>
        </w:rPr>
        <w:t xml:space="preserve"> وفي الإرشاد : « تكفونهم »</w:t>
      </w:r>
      <w:r>
        <w:rPr>
          <w:rtl/>
        </w:rPr>
        <w:t>.</w:t>
      </w:r>
    </w:p>
    <w:p w:rsidR="000C39D1" w:rsidRPr="00132E65" w:rsidRDefault="000C39D1" w:rsidP="000C39D1">
      <w:pPr>
        <w:pStyle w:val="libFootnote0"/>
        <w:rPr>
          <w:rtl/>
          <w:lang w:bidi="fa-IR"/>
        </w:rPr>
      </w:pPr>
      <w:r>
        <w:rPr>
          <w:rtl/>
        </w:rPr>
        <w:t>(9).</w:t>
      </w:r>
      <w:r w:rsidRPr="00132E65">
        <w:rPr>
          <w:rtl/>
        </w:rPr>
        <w:t xml:space="preserve"> في الإرشاد </w:t>
      </w:r>
      <w:r>
        <w:rPr>
          <w:rtl/>
        </w:rPr>
        <w:t xml:space="preserve">: - </w:t>
      </w:r>
      <w:r w:rsidRPr="00132E65">
        <w:rPr>
          <w:rtl/>
        </w:rPr>
        <w:t>« ذلك »</w:t>
      </w:r>
      <w:r>
        <w:rPr>
          <w:rtl/>
        </w:rPr>
        <w:t>.</w:t>
      </w:r>
    </w:p>
    <w:p w:rsidR="000C39D1" w:rsidRPr="00132E65" w:rsidRDefault="000C39D1" w:rsidP="000C39D1">
      <w:pPr>
        <w:pStyle w:val="libFootnote0"/>
        <w:rPr>
          <w:rtl/>
          <w:lang w:bidi="fa-IR"/>
        </w:rPr>
      </w:pPr>
      <w:r>
        <w:rPr>
          <w:rtl/>
        </w:rPr>
        <w:t>(10).</w:t>
      </w:r>
      <w:r w:rsidRPr="00132E65">
        <w:rPr>
          <w:rtl/>
        </w:rPr>
        <w:t xml:space="preserve"> في « ب ، ف ، بر ، بس ، بف » </w:t>
      </w:r>
      <w:r>
        <w:rPr>
          <w:rtl/>
        </w:rPr>
        <w:t xml:space="preserve">: - </w:t>
      </w:r>
      <w:r w:rsidRPr="00132E65">
        <w:rPr>
          <w:rtl/>
        </w:rPr>
        <w:t>« تعالى »</w:t>
      </w:r>
      <w:r>
        <w:rPr>
          <w:rtl/>
        </w:rPr>
        <w:t>.</w:t>
      </w:r>
      <w:r w:rsidRPr="00132E65">
        <w:rPr>
          <w:rtl/>
        </w:rPr>
        <w:t xml:space="preserve"> وفي الإرشاد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261"/>
        <w:gridCol w:w="4262"/>
      </w:tblGrid>
      <w:tr w:rsidR="00416ACE" w:rsidTr="00416ACE">
        <w:tc>
          <w:tcPr>
            <w:tcW w:w="4261" w:type="dxa"/>
          </w:tcPr>
          <w:p w:rsidR="00416ACE" w:rsidRDefault="00416ACE" w:rsidP="000C39D1">
            <w:pPr>
              <w:pStyle w:val="libFootnote0"/>
              <w:rPr>
                <w:rtl/>
              </w:rPr>
            </w:pPr>
            <w:r>
              <w:rPr>
                <w:rtl/>
              </w:rPr>
              <w:t>(11).</w:t>
            </w:r>
            <w:r w:rsidRPr="00132E65">
              <w:rPr>
                <w:rtl/>
              </w:rPr>
              <w:t xml:space="preserve"> في « بف » </w:t>
            </w:r>
            <w:r>
              <w:rPr>
                <w:rtl/>
              </w:rPr>
              <w:t xml:space="preserve">: - </w:t>
            </w:r>
            <w:r w:rsidRPr="00132E65">
              <w:rPr>
                <w:rtl/>
              </w:rPr>
              <w:t>« في »</w:t>
            </w:r>
            <w:r>
              <w:rPr>
                <w:rtl/>
              </w:rPr>
              <w:t>.</w:t>
            </w:r>
          </w:p>
        </w:tc>
        <w:tc>
          <w:tcPr>
            <w:tcW w:w="4262" w:type="dxa"/>
          </w:tcPr>
          <w:p w:rsidR="00416ACE" w:rsidRDefault="00416ACE" w:rsidP="000C39D1">
            <w:pPr>
              <w:pStyle w:val="libFootnote0"/>
              <w:rPr>
                <w:rtl/>
              </w:rPr>
            </w:pPr>
            <w:r>
              <w:rPr>
                <w:rtl/>
              </w:rPr>
              <w:t>(12). في «ف» :«عشرة ألف</w:t>
            </w:r>
            <w:r w:rsidRPr="00132E65">
              <w:rPr>
                <w:rtl/>
              </w:rPr>
              <w:t>»</w:t>
            </w:r>
            <w:r>
              <w:rPr>
                <w:rtl/>
              </w:rPr>
              <w:t>.وفي الإرشاد:«ألف نفس</w:t>
            </w:r>
            <w:r w:rsidRPr="00132E65">
              <w:rPr>
                <w:rtl/>
              </w:rPr>
              <w:t>»</w:t>
            </w:r>
            <w:r>
              <w:rPr>
                <w:rtl/>
              </w:rPr>
              <w:t>.</w:t>
            </w:r>
          </w:p>
        </w:tc>
      </w:tr>
    </w:tbl>
    <w:p w:rsidR="000C39D1" w:rsidRPr="00132E65" w:rsidRDefault="000C39D1" w:rsidP="000C39D1">
      <w:pPr>
        <w:pStyle w:val="libFootnote0"/>
        <w:rPr>
          <w:rtl/>
          <w:lang w:bidi="fa-IR"/>
        </w:rPr>
      </w:pPr>
      <w:r>
        <w:rPr>
          <w:rtl/>
        </w:rPr>
        <w:t>(13)</w:t>
      </w:r>
      <w:r w:rsidRPr="00132E65">
        <w:rPr>
          <w:rtl/>
        </w:rPr>
        <w:t xml:space="preserve"> « فاستباحهم » ، أي استأصلهم وقلعهم من أصلهم ، ونهبهم وجعلهم له مباحاً ، أي لا تبعة عليه فيهم. راجع : </w:t>
      </w:r>
      <w:r w:rsidRPr="00357AC9">
        <w:rPr>
          <w:rtl/>
        </w:rPr>
        <w:t>الصحاح</w:t>
      </w:r>
      <w:r w:rsidRPr="00132E65">
        <w:rPr>
          <w:rtl/>
        </w:rPr>
        <w:t xml:space="preserve"> ، ج 2 ، ص 357 ؛ </w:t>
      </w:r>
      <w:r w:rsidRPr="00357AC9">
        <w:rPr>
          <w:rtl/>
        </w:rPr>
        <w:t>النهاية</w:t>
      </w:r>
      <w:r w:rsidRPr="00132E65">
        <w:rPr>
          <w:rtl/>
        </w:rPr>
        <w:t xml:space="preserve"> ، ج 1 ، ص 161 ( بوح )</w:t>
      </w:r>
      <w:r>
        <w:rPr>
          <w:rtl/>
        </w:rPr>
        <w:t>.</w:t>
      </w:r>
    </w:p>
    <w:p w:rsidR="000C39D1" w:rsidRPr="00132E65" w:rsidRDefault="000C39D1" w:rsidP="00A7315F">
      <w:pPr>
        <w:pStyle w:val="libFootnote0"/>
        <w:rPr>
          <w:rtl/>
          <w:lang w:bidi="fa-IR"/>
        </w:rPr>
      </w:pPr>
      <w:r>
        <w:rPr>
          <w:rtl/>
        </w:rPr>
        <w:t>(14)</w:t>
      </w:r>
      <w:r w:rsidRPr="00132E65">
        <w:rPr>
          <w:rtl/>
        </w:rPr>
        <w:t xml:space="preserve"> </w:t>
      </w:r>
      <w:r w:rsidRPr="00357AC9">
        <w:rPr>
          <w:rtl/>
        </w:rPr>
        <w:t>الإرشاد</w:t>
      </w:r>
      <w:r w:rsidRPr="00132E65">
        <w:rPr>
          <w:rtl/>
        </w:rPr>
        <w:t xml:space="preserve"> ، ج 2 ، ص 329 ، بسنده عن الكليني</w:t>
      </w:r>
      <w:r w:rsidR="00A7315F">
        <w:rPr>
          <w:rFonts w:hint="cs"/>
          <w:rtl/>
        </w:rPr>
        <w:t>.</w:t>
      </w:r>
      <w:r w:rsidRPr="009D1ACE">
        <w:rPr>
          <w:rStyle w:val="libFootnoteBoldChar"/>
          <w:rtl/>
        </w:rPr>
        <w:t>الوافي</w:t>
      </w:r>
      <w:r w:rsidRPr="00132E65">
        <w:rPr>
          <w:rtl/>
        </w:rPr>
        <w:t xml:space="preserve"> ، ج 3 ، ص 850 ، ح 1462.</w:t>
      </w:r>
    </w:p>
    <w:p w:rsidR="000C39D1" w:rsidRPr="00132E65" w:rsidRDefault="000C39D1" w:rsidP="000C39D1">
      <w:pPr>
        <w:pStyle w:val="libFootnote0"/>
        <w:rPr>
          <w:rtl/>
          <w:lang w:bidi="fa-IR"/>
        </w:rPr>
      </w:pPr>
      <w:r>
        <w:rPr>
          <w:rtl/>
        </w:rPr>
        <w:t>(15)</w:t>
      </w:r>
      <w:r w:rsidRPr="00132E65">
        <w:rPr>
          <w:rtl/>
        </w:rPr>
        <w:t xml:space="preserve"> في </w:t>
      </w:r>
      <w:r w:rsidRPr="009D1ACE">
        <w:rPr>
          <w:rStyle w:val="libFootnoteBoldChar"/>
          <w:rtl/>
        </w:rPr>
        <w:t>الوافي</w:t>
      </w:r>
      <w:r w:rsidRPr="00132E65">
        <w:rPr>
          <w:rtl/>
        </w:rPr>
        <w:t xml:space="preserve"> : « تارمش »</w:t>
      </w:r>
      <w:r>
        <w:rPr>
          <w:rtl/>
        </w:rPr>
        <w:t>.</w:t>
      </w:r>
    </w:p>
    <w:p w:rsidR="000C39D1" w:rsidRPr="00132E65" w:rsidRDefault="000C39D1" w:rsidP="000C39D1">
      <w:pPr>
        <w:pStyle w:val="libFootnote0"/>
        <w:rPr>
          <w:rtl/>
          <w:lang w:bidi="fa-IR"/>
        </w:rPr>
      </w:pPr>
      <w:r>
        <w:rPr>
          <w:rtl/>
        </w:rPr>
        <w:t>(16)</w:t>
      </w:r>
      <w:r w:rsidRPr="00132E65">
        <w:rPr>
          <w:rtl/>
        </w:rPr>
        <w:t xml:space="preserve"> « أنصب الناس » ، أي أبغضهم وأشدّهم عداوة. والنواصب والناصبيّة وأهل النصب : المتديّنون بِبِغْضة </w:t>
      </w:r>
      <w:r w:rsidR="00A7315F">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8357E3">
      <w:pPr>
        <w:pStyle w:val="libNormal0"/>
        <w:tabs>
          <w:tab w:val="left" w:pos="3968"/>
        </w:tabs>
        <w:rPr>
          <w:rtl/>
          <w:lang w:bidi="fa-IR"/>
        </w:rPr>
      </w:pPr>
      <w:r w:rsidRPr="00132E65">
        <w:rPr>
          <w:rtl/>
          <w:lang w:bidi="fa-IR"/>
        </w:rPr>
        <w:t xml:space="preserve">وَأَشَدُّهُمْ </w:t>
      </w:r>
      <w:r>
        <w:rPr>
          <w:rStyle w:val="libFootnotenumChar"/>
          <w:rtl/>
        </w:rPr>
        <w:t>(1)</w:t>
      </w:r>
      <w:r w:rsidRPr="00132E65">
        <w:rPr>
          <w:rtl/>
          <w:lang w:bidi="fa-IR"/>
        </w:rPr>
        <w:t xml:space="preserve"> عَلى آلِ أَبِي طَالِبٍ</w:t>
      </w:r>
      <w:r>
        <w:rPr>
          <w:rtl/>
          <w:lang w:bidi="fa-IR"/>
        </w:rPr>
        <w:t xml:space="preserve"> - </w:t>
      </w:r>
      <w:r w:rsidRPr="00132E65">
        <w:rPr>
          <w:rtl/>
          <w:lang w:bidi="fa-IR"/>
        </w:rPr>
        <w:t>و</w:t>
      </w:r>
      <w:r w:rsidR="008357E3">
        <w:rPr>
          <w:rFonts w:hint="cs"/>
          <w:rtl/>
          <w:lang w:bidi="fa-IR"/>
        </w:rPr>
        <w:t>َ</w:t>
      </w:r>
      <w:r w:rsidRPr="00132E65">
        <w:rPr>
          <w:rtl/>
          <w:lang w:bidi="fa-IR"/>
        </w:rPr>
        <w:t xml:space="preserve">قِيلَ </w:t>
      </w:r>
      <w:r>
        <w:rPr>
          <w:rStyle w:val="libFootnotenumChar"/>
          <w:rtl/>
        </w:rPr>
        <w:t>(2)</w:t>
      </w:r>
      <w:r w:rsidRPr="00132E65">
        <w:rPr>
          <w:rtl/>
          <w:lang w:bidi="fa-IR"/>
        </w:rPr>
        <w:t xml:space="preserve"> لَهُ : افْعَلْ بِهِ وافْعَلْ </w:t>
      </w:r>
      <w:r>
        <w:rPr>
          <w:rStyle w:val="libFootnotenumChar"/>
          <w:rtl/>
        </w:rPr>
        <w:t>(3)</w:t>
      </w:r>
      <w:r w:rsidRPr="00132E65">
        <w:rPr>
          <w:rtl/>
          <w:lang w:bidi="fa-IR"/>
        </w:rPr>
        <w:t xml:space="preserve"> فَمَا أَقَامَ عِنْدَهُ </w:t>
      </w:r>
      <w:r>
        <w:rPr>
          <w:rStyle w:val="libFootnotenumChar"/>
          <w:rtl/>
        </w:rPr>
        <w:t>(4)</w:t>
      </w:r>
      <w:r w:rsidR="008357E3">
        <w:rPr>
          <w:rtl/>
          <w:lang w:bidi="fa-IR"/>
        </w:rPr>
        <w:t xml:space="preserve"> إِل</w:t>
      </w:r>
      <w:r w:rsidR="008357E3">
        <w:rPr>
          <w:rFonts w:hint="cs"/>
          <w:rtl/>
          <w:lang w:bidi="fa-IR"/>
        </w:rPr>
        <w:t>َّ</w:t>
      </w:r>
      <w:r w:rsidR="008357E3">
        <w:rPr>
          <w:rtl/>
          <w:lang w:bidi="fa-IR"/>
        </w:rPr>
        <w:t>ا</w:t>
      </w:r>
      <w:r w:rsidRPr="00132E65">
        <w:rPr>
          <w:rtl/>
          <w:lang w:bidi="fa-IR"/>
        </w:rPr>
        <w:t xml:space="preserve"> يَوْماً حَتّى وضَعَ خَدَّيْهِ لَهُ </w:t>
      </w:r>
      <w:r>
        <w:rPr>
          <w:rStyle w:val="libFootnotenumChar"/>
          <w:rtl/>
        </w:rPr>
        <w:t>(5)</w:t>
      </w:r>
      <w:r w:rsidRPr="00132E65">
        <w:rPr>
          <w:rtl/>
          <w:lang w:bidi="fa-IR"/>
        </w:rPr>
        <w:t xml:space="preserve"> ، وكَانَ لَايَرْفَعُ بَصَرَهُ إِلَيْهِ إِجْلَالاً </w:t>
      </w:r>
      <w:r>
        <w:rPr>
          <w:rStyle w:val="libFootnotenumChar"/>
          <w:rtl/>
        </w:rPr>
        <w:t>(6)</w:t>
      </w:r>
      <w:r w:rsidRPr="00132E65">
        <w:rPr>
          <w:rtl/>
          <w:lang w:bidi="fa-IR"/>
        </w:rPr>
        <w:t xml:space="preserve"> وإِعْظَاماً ، فَخَرَجَ </w:t>
      </w:r>
      <w:r>
        <w:rPr>
          <w:rStyle w:val="libFootnotenumChar"/>
          <w:rtl/>
        </w:rPr>
        <w:t>(7)</w:t>
      </w:r>
      <w:r w:rsidRPr="00132E65">
        <w:rPr>
          <w:rtl/>
          <w:lang w:bidi="fa-IR"/>
        </w:rPr>
        <w:t xml:space="preserve"> مِنْ عِنْدِهِ وَهُوَ أَحْسَنُ النَّاسِ بَصِيرَةً ، وأَحْسَنُهُمْ فِيهِ </w:t>
      </w:r>
      <w:r>
        <w:rPr>
          <w:rStyle w:val="libFootnotenumChar"/>
          <w:rtl/>
        </w:rPr>
        <w:t>(8)</w:t>
      </w:r>
      <w:r w:rsidRPr="00132E65">
        <w:rPr>
          <w:rtl/>
          <w:lang w:bidi="fa-IR"/>
        </w:rPr>
        <w:t xml:space="preserve"> قَوْلاً </w:t>
      </w:r>
      <w:r>
        <w:rPr>
          <w:rStyle w:val="libFootnotenumChar"/>
          <w:rtl/>
        </w:rPr>
        <w:t>(9)</w:t>
      </w:r>
      <w:r w:rsidR="008357E3">
        <w:rPr>
          <w:rFonts w:hint="cs"/>
          <w:rtl/>
          <w:lang w:bidi="fa-IR"/>
        </w:rPr>
        <w:t>.</w:t>
      </w:r>
      <w:r>
        <w:rPr>
          <w:rStyle w:val="libFootnotenumChar"/>
          <w:rtl/>
        </w:rPr>
        <w:t>(10)</w:t>
      </w:r>
    </w:p>
    <w:p w:rsidR="000C39D1" w:rsidRPr="00132E65" w:rsidRDefault="000C39D1" w:rsidP="000C39D1">
      <w:pPr>
        <w:pStyle w:val="libNormal"/>
        <w:rPr>
          <w:rtl/>
          <w:lang w:bidi="fa-IR"/>
        </w:rPr>
      </w:pPr>
      <w:r w:rsidRPr="00357AC9">
        <w:rPr>
          <w:rtl/>
        </w:rPr>
        <w:t>1338</w:t>
      </w:r>
      <w:r w:rsidRPr="004325D8">
        <w:rPr>
          <w:rStyle w:val="libBold2Char"/>
          <w:rtl/>
        </w:rPr>
        <w:t xml:space="preserve"> / 9.</w:t>
      </w:r>
      <w:r w:rsidRPr="00132E65">
        <w:rPr>
          <w:rtl/>
          <w:lang w:bidi="fa-IR"/>
        </w:rPr>
        <w:t xml:space="preserve"> عَلِيُّ بْنُ مُحَمَّدٍ ومُحَمَّدُ بْنُ أَبِي عَبْدِ اللهِ ، عَنْ إِسْحَاقَ بْنِ مُحَمَّدٍ النَّخَعِيِّ ، قَالَ : حَدَّثَنِي سُفْيَانُ بْنُ مُحَمَّدٍ الضُّبَعِيُّ ، قَالَ :</w:t>
      </w:r>
    </w:p>
    <w:p w:rsidR="000C39D1" w:rsidRPr="00132E65" w:rsidRDefault="000C39D1" w:rsidP="000C39D1">
      <w:pPr>
        <w:pStyle w:val="libNormal"/>
        <w:rPr>
          <w:rtl/>
          <w:lang w:bidi="fa-IR"/>
        </w:rPr>
      </w:pPr>
      <w:r w:rsidRPr="00132E65">
        <w:rPr>
          <w:rtl/>
          <w:lang w:bidi="fa-IR"/>
        </w:rPr>
        <w:t xml:space="preserve">كَتَبْتُ إِلى أَبِي مُحَمَّدٍ </w:t>
      </w:r>
      <w:r w:rsidRPr="00071CF9">
        <w:rPr>
          <w:rStyle w:val="libAlaemChar"/>
          <w:rtl/>
        </w:rPr>
        <w:t>عليه‌السلام</w:t>
      </w:r>
      <w:r w:rsidRPr="00132E65">
        <w:rPr>
          <w:rtl/>
          <w:lang w:bidi="fa-IR"/>
        </w:rPr>
        <w:t xml:space="preserve"> أَسْأَلُهُ عَنِ الْوَلِيجَةِ </w:t>
      </w:r>
      <w:r>
        <w:rPr>
          <w:rStyle w:val="libFootnotenumChar"/>
          <w:rtl/>
        </w:rPr>
        <w:t>(11)</w:t>
      </w:r>
      <w:r w:rsidRPr="00132E65">
        <w:rPr>
          <w:rtl/>
          <w:lang w:bidi="fa-IR"/>
        </w:rPr>
        <w:t xml:space="preserve"> ، و</w:t>
      </w:r>
      <w:r w:rsidR="000627D9">
        <w:rPr>
          <w:rFonts w:hint="cs"/>
          <w:rtl/>
          <w:lang w:bidi="fa-IR"/>
        </w:rPr>
        <w:t>َ</w:t>
      </w:r>
      <w:r w:rsidRPr="00132E65">
        <w:rPr>
          <w:rtl/>
          <w:lang w:bidi="fa-IR"/>
        </w:rPr>
        <w:t xml:space="preserve">هُوَ قَوْلُ اللهِ تَعَالى : </w:t>
      </w:r>
      <w:r w:rsidRPr="00071CF9">
        <w:rPr>
          <w:rStyle w:val="libAlaemChar"/>
          <w:rtl/>
        </w:rPr>
        <w:t>(</w:t>
      </w:r>
      <w:r w:rsidRPr="00071CF9">
        <w:rPr>
          <w:rStyle w:val="libAieChar"/>
          <w:rtl/>
        </w:rPr>
        <w:t xml:space="preserve"> وَلَمْ يَتَّخِذُوا مِنْ دُونِ اللهِ وَلا رَسُولِهِ وَلَا الْمُؤْمِنِينَ وَلِيجَةً </w:t>
      </w:r>
      <w:r w:rsidRPr="00071CF9">
        <w:rPr>
          <w:rStyle w:val="libAlaemChar"/>
          <w:rtl/>
        </w:rPr>
        <w:t>)</w:t>
      </w:r>
      <w:r w:rsidRPr="00132E65">
        <w:rPr>
          <w:rtl/>
          <w:lang w:bidi="fa-IR"/>
        </w:rPr>
        <w:t xml:space="preserve"> </w:t>
      </w:r>
      <w:r>
        <w:rPr>
          <w:rStyle w:val="libFootnotenumChar"/>
          <w:rtl/>
        </w:rPr>
        <w:t>(12)</w:t>
      </w:r>
      <w:r w:rsidRPr="00132E65">
        <w:rPr>
          <w:rtl/>
          <w:lang w:bidi="fa-IR"/>
        </w:rPr>
        <w:t xml:space="preserve"> قُلْتُ </w:t>
      </w:r>
      <w:r w:rsidRPr="00F543F1">
        <w:rPr>
          <w:rStyle w:val="libFootnotenumChar"/>
          <w:rtl/>
        </w:rPr>
        <w:t>(13)</w:t>
      </w:r>
      <w:r w:rsidRPr="00132E65">
        <w:rPr>
          <w:rtl/>
          <w:lang w:bidi="fa-IR"/>
        </w:rPr>
        <w:t xml:space="preserve"> فِي نَفْسِي</w:t>
      </w:r>
      <w:r>
        <w:rPr>
          <w:rtl/>
          <w:lang w:bidi="fa-IR"/>
        </w:rPr>
        <w:t xml:space="preserve"> - </w:t>
      </w:r>
      <w:r w:rsidRPr="00132E65">
        <w:rPr>
          <w:rtl/>
          <w:lang w:bidi="fa-IR"/>
        </w:rPr>
        <w:t>لَافِي الْكِتَابِ</w:t>
      </w:r>
      <w:r>
        <w:rPr>
          <w:rtl/>
          <w:lang w:bidi="fa-IR"/>
        </w:rPr>
        <w:t xml:space="preserve"> - </w:t>
      </w:r>
      <w:r w:rsidRPr="00132E65">
        <w:rPr>
          <w:rtl/>
          <w:lang w:bidi="fa-IR"/>
        </w:rPr>
        <w:t>: مَنْ تَرَى الْمُؤْمِنِينَ هاهُنَا</w:t>
      </w:r>
      <w:r>
        <w:rPr>
          <w:rtl/>
          <w:lang w:bidi="fa-IR"/>
        </w:rPr>
        <w:t>؟</w:t>
      </w:r>
      <w:r w:rsidRPr="00132E65">
        <w:rPr>
          <w:rtl/>
          <w:lang w:bidi="fa-IR"/>
        </w:rPr>
        <w:t xml:space="preserve"> فَرَجَعَ الْجَوَابُ : « الْوَلِيجَةُ الَّذِي يُقَامُ دُونَ ولِيِّ الْأَمْرِ ، و</w:t>
      </w:r>
      <w:r>
        <w:rPr>
          <w:rFonts w:hint="cs"/>
          <w:rtl/>
          <w:lang w:bidi="fa-IR"/>
        </w:rPr>
        <w:t xml:space="preserve"> </w:t>
      </w:r>
      <w:r w:rsidRPr="00F543F1">
        <w:rPr>
          <w:rStyle w:val="libFootnotenumChar"/>
          <w:rtl/>
        </w:rPr>
        <w:t>(14)</w:t>
      </w:r>
      <w:r w:rsidRPr="00132E65">
        <w:rPr>
          <w:rtl/>
          <w:lang w:bidi="fa-IR"/>
        </w:rPr>
        <w:t xml:space="preserve"> حَدَّثَتْكَ نَفْسُكَ عَنِ الْمُؤْمِنِينَ مَنْ هُمْ فِي هذَا الْمَوْضِعِ</w:t>
      </w:r>
      <w:r>
        <w:rPr>
          <w:rtl/>
          <w:lang w:bidi="fa-IR"/>
        </w:rPr>
        <w:t>؟</w:t>
      </w:r>
      <w:r w:rsidRPr="00132E65">
        <w:rPr>
          <w:rtl/>
          <w:lang w:bidi="fa-IR"/>
        </w:rPr>
        <w:t xml:space="preserve"> فَهُمُ الْأَئِمَّةُ الَّذِينَ يُؤْمِنُونَ </w:t>
      </w:r>
      <w:r w:rsidRPr="00F543F1">
        <w:rPr>
          <w:rStyle w:val="libFootnotenumChar"/>
          <w:rtl/>
        </w:rPr>
        <w:t>(15)</w:t>
      </w:r>
      <w:r w:rsidRPr="00132E65">
        <w:rPr>
          <w:rtl/>
          <w:lang w:bidi="fa-IR"/>
        </w:rPr>
        <w:t xml:space="preserve"> عَلَى اللهِ ، فَيُجِيزُ أَمَانَهُمْ </w:t>
      </w:r>
      <w:r w:rsidRPr="00F543F1">
        <w:rPr>
          <w:rStyle w:val="libFootnotenumChar"/>
          <w:rtl/>
        </w:rPr>
        <w:t>(16)</w:t>
      </w:r>
      <w:r w:rsidRPr="00132E65">
        <w:rPr>
          <w:rtl/>
          <w:lang w:bidi="fa-IR"/>
        </w:rPr>
        <w:t xml:space="preserve"> »</w:t>
      </w:r>
      <w:r>
        <w:rPr>
          <w:rtl/>
          <w:lang w:bidi="fa-IR"/>
        </w:rPr>
        <w:t>.</w:t>
      </w:r>
      <w:r w:rsidRPr="00132E65">
        <w:rPr>
          <w:rtl/>
          <w:lang w:bidi="fa-IR"/>
        </w:rPr>
        <w:t xml:space="preserve"> </w:t>
      </w:r>
      <w:r w:rsidRPr="00F543F1">
        <w:rPr>
          <w:rStyle w:val="libFootnotenumChar"/>
          <w:rtl/>
        </w:rPr>
        <w:t>(17)</w:t>
      </w:r>
    </w:p>
    <w:p w:rsidR="000C39D1" w:rsidRPr="00132E65" w:rsidRDefault="000C39D1" w:rsidP="000C39D1">
      <w:pPr>
        <w:pStyle w:val="libLine"/>
        <w:rPr>
          <w:rtl/>
          <w:lang w:bidi="fa-IR"/>
        </w:rPr>
      </w:pPr>
      <w:r w:rsidRPr="00132E65">
        <w:rPr>
          <w:rtl/>
          <w:lang w:bidi="fa-IR"/>
        </w:rPr>
        <w:t>__________________</w:t>
      </w:r>
    </w:p>
    <w:p w:rsidR="000C39D1" w:rsidRPr="00132E65" w:rsidRDefault="000627D9" w:rsidP="000C39D1">
      <w:pPr>
        <w:pStyle w:val="libFootnote0"/>
        <w:rPr>
          <w:rtl/>
          <w:lang w:bidi="fa-IR"/>
        </w:rPr>
      </w:pPr>
      <w:r>
        <w:rPr>
          <w:rFonts w:hint="cs"/>
          <w:rtl/>
        </w:rPr>
        <w:t xml:space="preserve">= </w:t>
      </w:r>
      <w:r w:rsidR="000C39D1" w:rsidRPr="00132E65">
        <w:rPr>
          <w:rtl/>
        </w:rPr>
        <w:t xml:space="preserve">عليّ </w:t>
      </w:r>
      <w:r w:rsidR="000C39D1" w:rsidRPr="002A5AAF">
        <w:rPr>
          <w:rStyle w:val="libFootnoteAlaemChar"/>
          <w:rtl/>
        </w:rPr>
        <w:t>عليه‌السلام</w:t>
      </w:r>
      <w:r w:rsidR="000C39D1" w:rsidRPr="00132E65">
        <w:rPr>
          <w:rtl/>
        </w:rPr>
        <w:t xml:space="preserve"> ؛ لأنّهم نصبوا له ، أي عادوه. راجع : </w:t>
      </w:r>
      <w:r w:rsidR="000C39D1" w:rsidRPr="00357AC9">
        <w:rPr>
          <w:rtl/>
        </w:rPr>
        <w:t>القاموس المحيط</w:t>
      </w:r>
      <w:r w:rsidR="000C39D1" w:rsidRPr="00132E65">
        <w:rPr>
          <w:rtl/>
        </w:rPr>
        <w:t xml:space="preserve"> ، ج 1 ، ص 230 ( نصب )</w:t>
      </w:r>
      <w:r w:rsidR="000C39D1">
        <w:rPr>
          <w:rtl/>
        </w:rPr>
        <w:t>.</w:t>
      </w:r>
    </w:p>
    <w:p w:rsidR="000C39D1" w:rsidRPr="00132E65" w:rsidRDefault="000C39D1" w:rsidP="000C39D1">
      <w:pPr>
        <w:pStyle w:val="libFootnote0"/>
        <w:rPr>
          <w:rtl/>
          <w:lang w:bidi="fa-IR"/>
        </w:rPr>
      </w:pPr>
      <w:r>
        <w:rPr>
          <w:rtl/>
        </w:rPr>
        <w:t>(1).</w:t>
      </w:r>
      <w:r w:rsidRPr="00132E65">
        <w:rPr>
          <w:rtl/>
        </w:rPr>
        <w:t xml:space="preserve"> في الإرشاد : « عليّ بن أوتامِش وكان شديد العداوة لآل محمّد </w:t>
      </w:r>
      <w:r w:rsidRPr="002A5AAF">
        <w:rPr>
          <w:rStyle w:val="libFootnoteAlaemChar"/>
          <w:rtl/>
        </w:rPr>
        <w:t>عليه‌السلام</w:t>
      </w:r>
      <w:r w:rsidRPr="00132E65">
        <w:rPr>
          <w:rtl/>
        </w:rPr>
        <w:t xml:space="preserve"> غيظاً » بدل « عليّ بن نارمش</w:t>
      </w:r>
      <w:r>
        <w:rPr>
          <w:rtl/>
        </w:rPr>
        <w:t xml:space="preserve"> - </w:t>
      </w:r>
      <w:r w:rsidRPr="00132E65">
        <w:rPr>
          <w:rtl/>
        </w:rPr>
        <w:t>إلى</w:t>
      </w:r>
      <w:r>
        <w:rPr>
          <w:rtl/>
        </w:rPr>
        <w:t xml:space="preserve"> - </w:t>
      </w:r>
      <w:r w:rsidR="0006034E">
        <w:rPr>
          <w:rtl/>
        </w:rPr>
        <w:t>أشدّهم</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2A5AAF" w:rsidTr="002A5AAF">
        <w:tc>
          <w:tcPr>
            <w:tcW w:w="4261" w:type="dxa"/>
          </w:tcPr>
          <w:p w:rsidR="002A5AAF" w:rsidRDefault="002A5AAF" w:rsidP="000C39D1">
            <w:pPr>
              <w:pStyle w:val="libFootnote0"/>
              <w:rPr>
                <w:rtl/>
              </w:rPr>
            </w:pPr>
            <w:r>
              <w:rPr>
                <w:rtl/>
              </w:rPr>
              <w:t>(2).</w:t>
            </w:r>
            <w:r w:rsidRPr="00132E65">
              <w:rPr>
                <w:rtl/>
              </w:rPr>
              <w:t xml:space="preserve"> في « ج » : « فقيل »</w:t>
            </w:r>
            <w:r>
              <w:rPr>
                <w:rtl/>
              </w:rPr>
              <w:t>.</w:t>
            </w:r>
          </w:p>
        </w:tc>
        <w:tc>
          <w:tcPr>
            <w:tcW w:w="4262" w:type="dxa"/>
          </w:tcPr>
          <w:p w:rsidR="002A5AAF" w:rsidRDefault="002A5AAF" w:rsidP="000C39D1">
            <w:pPr>
              <w:pStyle w:val="libFootnote0"/>
              <w:rPr>
                <w:rtl/>
              </w:rPr>
            </w:pPr>
            <w:r>
              <w:rPr>
                <w:rtl/>
              </w:rPr>
              <w:t>(3).</w:t>
            </w:r>
            <w:r w:rsidRPr="00132E65">
              <w:rPr>
                <w:rtl/>
              </w:rPr>
              <w:t xml:space="preserve"> في الإرشاد :</w:t>
            </w:r>
            <w:r>
              <w:rPr>
                <w:rtl/>
              </w:rPr>
              <w:t xml:space="preserve"> + </w:t>
            </w:r>
            <w:r w:rsidRPr="00132E65">
              <w:rPr>
                <w:rtl/>
              </w:rPr>
              <w:t>« قال »</w:t>
            </w:r>
            <w:r>
              <w:rPr>
                <w:rtl/>
              </w:rPr>
              <w:t>.</w:t>
            </w:r>
          </w:p>
        </w:tc>
      </w:tr>
      <w:tr w:rsidR="002A5AAF" w:rsidTr="002A5AAF">
        <w:tc>
          <w:tcPr>
            <w:tcW w:w="4261" w:type="dxa"/>
          </w:tcPr>
          <w:p w:rsidR="002A5AAF" w:rsidRDefault="002A5AAF" w:rsidP="000C39D1">
            <w:pPr>
              <w:pStyle w:val="libFootnote0"/>
              <w:rPr>
                <w:rtl/>
              </w:rPr>
            </w:pPr>
            <w:r>
              <w:rPr>
                <w:rtl/>
              </w:rPr>
              <w:t>(4).</w:t>
            </w:r>
            <w:r w:rsidRPr="00132E65">
              <w:rPr>
                <w:rtl/>
              </w:rPr>
              <w:t xml:space="preserve"> في « ج ، ف ، بس » والإرشاد </w:t>
            </w:r>
            <w:r>
              <w:rPr>
                <w:rtl/>
              </w:rPr>
              <w:t xml:space="preserve">: - </w:t>
            </w:r>
            <w:r w:rsidRPr="00132E65">
              <w:rPr>
                <w:rtl/>
              </w:rPr>
              <w:t>« عنده »</w:t>
            </w:r>
            <w:r>
              <w:rPr>
                <w:rtl/>
              </w:rPr>
              <w:t>.</w:t>
            </w:r>
          </w:p>
        </w:tc>
        <w:tc>
          <w:tcPr>
            <w:tcW w:w="4262" w:type="dxa"/>
          </w:tcPr>
          <w:p w:rsidR="002A5AAF" w:rsidRDefault="002A5AAF" w:rsidP="000C39D1">
            <w:pPr>
              <w:pStyle w:val="libFootnote0"/>
              <w:rPr>
                <w:rtl/>
              </w:rPr>
            </w:pPr>
            <w:r>
              <w:rPr>
                <w:rtl/>
              </w:rPr>
              <w:t>(5).</w:t>
            </w:r>
            <w:r w:rsidRPr="00132E65">
              <w:rPr>
                <w:rtl/>
              </w:rPr>
              <w:t xml:space="preserve"> هي كناية عن الانقياد والخضوع.</w:t>
            </w:r>
          </w:p>
        </w:tc>
      </w:tr>
      <w:tr w:rsidR="002A5AAF" w:rsidTr="002A5AAF">
        <w:tc>
          <w:tcPr>
            <w:tcW w:w="4261" w:type="dxa"/>
          </w:tcPr>
          <w:p w:rsidR="002A5AAF" w:rsidRDefault="002A5AAF" w:rsidP="000C39D1">
            <w:pPr>
              <w:pStyle w:val="libFootnote0"/>
              <w:rPr>
                <w:rtl/>
              </w:rPr>
            </w:pPr>
            <w:r>
              <w:rPr>
                <w:rtl/>
              </w:rPr>
              <w:t>(6).</w:t>
            </w:r>
            <w:r w:rsidRPr="00132E65">
              <w:rPr>
                <w:rtl/>
              </w:rPr>
              <w:t xml:space="preserve"> في حاشية « بف » والإرشاد :</w:t>
            </w:r>
            <w:r>
              <w:rPr>
                <w:rtl/>
              </w:rPr>
              <w:t xml:space="preserve"> + </w:t>
            </w:r>
            <w:r w:rsidRPr="00132E65">
              <w:rPr>
                <w:rtl/>
              </w:rPr>
              <w:t>« له »</w:t>
            </w:r>
            <w:r>
              <w:rPr>
                <w:rtl/>
              </w:rPr>
              <w:t>.</w:t>
            </w:r>
          </w:p>
        </w:tc>
        <w:tc>
          <w:tcPr>
            <w:tcW w:w="4262" w:type="dxa"/>
          </w:tcPr>
          <w:p w:rsidR="002A5AAF" w:rsidRDefault="002A5AAF" w:rsidP="000C39D1">
            <w:pPr>
              <w:pStyle w:val="libFootnote0"/>
              <w:rPr>
                <w:rtl/>
              </w:rPr>
            </w:pPr>
            <w:r>
              <w:rPr>
                <w:rtl/>
              </w:rPr>
              <w:t>(7).</w:t>
            </w:r>
            <w:r w:rsidRPr="00132E65">
              <w:rPr>
                <w:rtl/>
              </w:rPr>
              <w:t xml:space="preserve"> في الإرشاد : « وخرج »</w:t>
            </w:r>
            <w:r>
              <w:rPr>
                <w:rtl/>
              </w:rPr>
              <w:t>.</w:t>
            </w:r>
          </w:p>
        </w:tc>
      </w:tr>
      <w:tr w:rsidR="002A5AAF" w:rsidTr="002A5AAF">
        <w:tc>
          <w:tcPr>
            <w:tcW w:w="4261" w:type="dxa"/>
          </w:tcPr>
          <w:p w:rsidR="002A5AAF" w:rsidRDefault="002A5AAF" w:rsidP="000C39D1">
            <w:pPr>
              <w:pStyle w:val="libFootnote0"/>
              <w:rPr>
                <w:rtl/>
              </w:rPr>
            </w:pPr>
            <w:r>
              <w:rPr>
                <w:rtl/>
              </w:rPr>
              <w:t>(8).</w:t>
            </w:r>
            <w:r w:rsidRPr="00132E65">
              <w:rPr>
                <w:rtl/>
              </w:rPr>
              <w:t xml:space="preserve"> في « ج » </w:t>
            </w:r>
            <w:r>
              <w:rPr>
                <w:rtl/>
              </w:rPr>
              <w:t xml:space="preserve">: - </w:t>
            </w:r>
            <w:r w:rsidRPr="00132E65">
              <w:rPr>
                <w:rtl/>
              </w:rPr>
              <w:t>« فيه »</w:t>
            </w:r>
            <w:r>
              <w:rPr>
                <w:rtl/>
              </w:rPr>
              <w:t>.</w:t>
            </w:r>
          </w:p>
        </w:tc>
        <w:tc>
          <w:tcPr>
            <w:tcW w:w="4262" w:type="dxa"/>
          </w:tcPr>
          <w:p w:rsidR="002A5AAF" w:rsidRDefault="002A5AAF" w:rsidP="000C39D1">
            <w:pPr>
              <w:pStyle w:val="libFootnote0"/>
              <w:rPr>
                <w:rtl/>
              </w:rPr>
            </w:pPr>
            <w:r>
              <w:rPr>
                <w:rtl/>
              </w:rPr>
              <w:t>(9).</w:t>
            </w:r>
            <w:r w:rsidRPr="00132E65">
              <w:rPr>
                <w:rtl/>
              </w:rPr>
              <w:t xml:space="preserve"> في الإرشاد : « قولاً فيه »</w:t>
            </w:r>
            <w:r>
              <w:rPr>
                <w:rtl/>
              </w:rPr>
              <w:t>.</w:t>
            </w:r>
          </w:p>
        </w:tc>
      </w:tr>
    </w:tbl>
    <w:p w:rsidR="000C39D1" w:rsidRPr="00132E65" w:rsidRDefault="000C39D1" w:rsidP="00167C79">
      <w:pPr>
        <w:pStyle w:val="libFootnote0"/>
        <w:rPr>
          <w:rtl/>
          <w:lang w:bidi="fa-IR"/>
        </w:rPr>
      </w:pPr>
      <w:r>
        <w:rPr>
          <w:rtl/>
        </w:rPr>
        <w:t>(10).</w:t>
      </w:r>
      <w:r w:rsidRPr="00132E65">
        <w:rPr>
          <w:rtl/>
        </w:rPr>
        <w:t xml:space="preserve"> </w:t>
      </w:r>
      <w:r w:rsidRPr="00357AC9">
        <w:rPr>
          <w:rtl/>
        </w:rPr>
        <w:t>الإرشاد</w:t>
      </w:r>
      <w:r w:rsidRPr="00132E65">
        <w:rPr>
          <w:rtl/>
        </w:rPr>
        <w:t xml:space="preserve"> ، ج 2 ، ص 329 ، بسنده عن الكليني</w:t>
      </w:r>
      <w:r w:rsidR="00167C79">
        <w:rPr>
          <w:rFonts w:hint="cs"/>
          <w:rtl/>
        </w:rPr>
        <w:t>.</w:t>
      </w:r>
      <w:r w:rsidRPr="009D1ACE">
        <w:rPr>
          <w:rStyle w:val="libFootnoteBoldChar"/>
          <w:rtl/>
        </w:rPr>
        <w:t>الوافي</w:t>
      </w:r>
      <w:r w:rsidRPr="00132E65">
        <w:rPr>
          <w:rtl/>
        </w:rPr>
        <w:t xml:space="preserve"> ، ج 3 ، ص 851 ، ح 1463.</w:t>
      </w:r>
    </w:p>
    <w:p w:rsidR="000C39D1" w:rsidRPr="00132E65" w:rsidRDefault="000C39D1" w:rsidP="000C39D1">
      <w:pPr>
        <w:pStyle w:val="libFootnote0"/>
        <w:rPr>
          <w:rtl/>
          <w:lang w:bidi="fa-IR"/>
        </w:rPr>
      </w:pPr>
      <w:r>
        <w:rPr>
          <w:rtl/>
        </w:rPr>
        <w:t>(11).</w:t>
      </w:r>
      <w:r w:rsidRPr="00132E65">
        <w:rPr>
          <w:rtl/>
        </w:rPr>
        <w:t xml:space="preserve"> « الوَلِيجَةُ » : كلّ ما يتّخذه الإنسان معتمداً عليه وليس من أهله. أو خاصّة الرجل وبطانته. راجع : المفردات‌للراغب ، ص 883 ؛ </w:t>
      </w:r>
      <w:r w:rsidRPr="00357AC9">
        <w:rPr>
          <w:rtl/>
        </w:rPr>
        <w:t>الصحاح</w:t>
      </w:r>
      <w:r w:rsidRPr="00132E65">
        <w:rPr>
          <w:rtl/>
        </w:rPr>
        <w:t xml:space="preserve"> ، ج 1 ، ص 348 ( ولج )</w:t>
      </w:r>
      <w:r>
        <w:rPr>
          <w:rtl/>
        </w:rPr>
        <w:t>.</w:t>
      </w:r>
    </w:p>
    <w:p w:rsidR="000C39D1" w:rsidRPr="00132E65" w:rsidRDefault="000C39D1" w:rsidP="000C39D1">
      <w:pPr>
        <w:pStyle w:val="libFootnote0"/>
        <w:rPr>
          <w:rtl/>
          <w:lang w:bidi="fa-IR"/>
        </w:rPr>
      </w:pPr>
      <w:r>
        <w:rPr>
          <w:rtl/>
        </w:rPr>
        <w:t>(12).</w:t>
      </w:r>
      <w:r w:rsidRPr="00132E65">
        <w:rPr>
          <w:rtl/>
        </w:rPr>
        <w:t xml:space="preserve"> التوبة </w:t>
      </w:r>
      <w:r w:rsidR="00167C79">
        <w:rPr>
          <w:rtl/>
        </w:rPr>
        <w:t>(9)</w:t>
      </w:r>
      <w:r w:rsidRPr="00132E65">
        <w:rPr>
          <w:rtl/>
        </w:rPr>
        <w:t xml:space="preserve"> : 16. وفي « ب ، ج ، ض ، ف ، بح ، بر » وحاشية « بس » : « وقلت »</w:t>
      </w:r>
      <w:r>
        <w:rPr>
          <w:rtl/>
        </w:rPr>
        <w:t>.</w:t>
      </w:r>
    </w:p>
    <w:tbl>
      <w:tblPr>
        <w:tblStyle w:val="TableGrid"/>
        <w:bidiVisual/>
        <w:tblW w:w="0" w:type="auto"/>
        <w:tblLook w:val="04A0" w:firstRow="1" w:lastRow="0" w:firstColumn="1" w:lastColumn="0" w:noHBand="0" w:noVBand="1"/>
      </w:tblPr>
      <w:tblGrid>
        <w:gridCol w:w="4261"/>
        <w:gridCol w:w="4262"/>
      </w:tblGrid>
      <w:tr w:rsidR="00167C79" w:rsidTr="00167C79">
        <w:tc>
          <w:tcPr>
            <w:tcW w:w="4261" w:type="dxa"/>
          </w:tcPr>
          <w:p w:rsidR="00167C79" w:rsidRDefault="00167C79" w:rsidP="000C39D1">
            <w:pPr>
              <w:pStyle w:val="libFootnote0"/>
              <w:rPr>
                <w:rtl/>
                <w:lang w:bidi="fa-IR"/>
              </w:rPr>
            </w:pPr>
            <w:r>
              <w:rPr>
                <w:rtl/>
              </w:rPr>
              <w:t>(13)</w:t>
            </w:r>
            <w:r w:rsidRPr="00132E65">
              <w:rPr>
                <w:rtl/>
              </w:rPr>
              <w:t xml:space="preserve"> في البحار ، ص 245 : « فقلت »</w:t>
            </w:r>
            <w:r>
              <w:rPr>
                <w:rtl/>
              </w:rPr>
              <w:t>.</w:t>
            </w:r>
          </w:p>
        </w:tc>
        <w:tc>
          <w:tcPr>
            <w:tcW w:w="4262" w:type="dxa"/>
          </w:tcPr>
          <w:p w:rsidR="00167C79" w:rsidRDefault="00167C79" w:rsidP="000C39D1">
            <w:pPr>
              <w:pStyle w:val="libFootnote0"/>
              <w:rPr>
                <w:rtl/>
                <w:lang w:bidi="fa-IR"/>
              </w:rPr>
            </w:pPr>
            <w:r>
              <w:rPr>
                <w:rtl/>
              </w:rPr>
              <w:t>(14)</w:t>
            </w:r>
            <w:r w:rsidRPr="00132E65">
              <w:rPr>
                <w:rtl/>
              </w:rPr>
              <w:t xml:space="preserve"> في « ف » :</w:t>
            </w:r>
            <w:r>
              <w:rPr>
                <w:rtl/>
              </w:rPr>
              <w:t xml:space="preserve"> + </w:t>
            </w:r>
            <w:r w:rsidRPr="00132E65">
              <w:rPr>
                <w:rtl/>
              </w:rPr>
              <w:t>« ما »</w:t>
            </w:r>
            <w:r>
              <w:rPr>
                <w:rtl/>
              </w:rPr>
              <w:t>.</w:t>
            </w:r>
          </w:p>
        </w:tc>
      </w:tr>
    </w:tbl>
    <w:p w:rsidR="000C39D1" w:rsidRPr="00132E65" w:rsidRDefault="000C39D1" w:rsidP="000C39D1">
      <w:pPr>
        <w:pStyle w:val="libFootnote0"/>
        <w:rPr>
          <w:rtl/>
          <w:lang w:bidi="fa-IR"/>
        </w:rPr>
      </w:pPr>
      <w:r>
        <w:rPr>
          <w:rtl/>
        </w:rPr>
        <w:t>(15)</w:t>
      </w:r>
      <w:r w:rsidRPr="00132E65">
        <w:rPr>
          <w:rtl/>
        </w:rPr>
        <w:t xml:space="preserve"> « يؤمنون » ، من الأمان لا من الإيمان ، أي هم الذين يؤمنون من تبعهم أماناً لازماً ، فيجيز الله سبحانه أمانهم ولايردّ. راجع : </w:t>
      </w:r>
      <w:r w:rsidRPr="00357AC9">
        <w:rPr>
          <w:rtl/>
        </w:rPr>
        <w:t>شرح المازندراني</w:t>
      </w:r>
      <w:r w:rsidRPr="00132E65">
        <w:rPr>
          <w:rtl/>
        </w:rPr>
        <w:t xml:space="preserve"> ، ج 7 ، ص 321 ؛ </w:t>
      </w:r>
      <w:r w:rsidRPr="009D1ACE">
        <w:rPr>
          <w:rStyle w:val="libFootnoteBoldChar"/>
          <w:rtl/>
        </w:rPr>
        <w:t>مرآة العقول</w:t>
      </w:r>
      <w:r w:rsidRPr="00132E65">
        <w:rPr>
          <w:rtl/>
        </w:rPr>
        <w:t xml:space="preserve"> ، ج 6 ، ص 154.</w:t>
      </w:r>
    </w:p>
    <w:p w:rsidR="000C39D1" w:rsidRPr="00132E65" w:rsidRDefault="000C39D1" w:rsidP="000C39D1">
      <w:pPr>
        <w:pStyle w:val="libFootnote0"/>
        <w:rPr>
          <w:rtl/>
          <w:lang w:bidi="fa-IR"/>
        </w:rPr>
      </w:pPr>
      <w:r>
        <w:rPr>
          <w:rtl/>
        </w:rPr>
        <w:t>(16)</w:t>
      </w:r>
      <w:r w:rsidRPr="00132E65">
        <w:rPr>
          <w:rtl/>
        </w:rPr>
        <w:t xml:space="preserve"> في حاشية « ج ، بف » : « إيمانهم »</w:t>
      </w:r>
      <w:r>
        <w:rPr>
          <w:rtl/>
        </w:rPr>
        <w:t>.</w:t>
      </w:r>
    </w:p>
    <w:p w:rsidR="000C39D1" w:rsidRPr="00132E65" w:rsidRDefault="000C39D1" w:rsidP="000C39D1">
      <w:pPr>
        <w:pStyle w:val="libFootnote0"/>
        <w:rPr>
          <w:rtl/>
          <w:lang w:bidi="fa-IR"/>
        </w:rPr>
      </w:pPr>
      <w:r>
        <w:rPr>
          <w:rtl/>
        </w:rPr>
        <w:t>(17)</w:t>
      </w:r>
      <w:r w:rsidRPr="00132E65">
        <w:rPr>
          <w:rtl/>
        </w:rPr>
        <w:t xml:space="preserve"> راجع : </w:t>
      </w:r>
      <w:r w:rsidRPr="000577A7">
        <w:rPr>
          <w:rStyle w:val="libFootnoteBoldChar"/>
          <w:rtl/>
        </w:rPr>
        <w:t>الكافي</w:t>
      </w:r>
      <w:r w:rsidRPr="00132E65">
        <w:rPr>
          <w:rtl/>
        </w:rPr>
        <w:t xml:space="preserve"> ، كتاب الحجّة ، باب فيه نكت ونتف من التنزيل في الولاية ، ح 1102 ؛ و</w:t>
      </w:r>
      <w:r w:rsidRPr="00357AC9">
        <w:rPr>
          <w:rtl/>
        </w:rPr>
        <w:t>تفسير القمّي</w:t>
      </w:r>
      <w:r w:rsidRPr="00132E65">
        <w:rPr>
          <w:rtl/>
        </w:rPr>
        <w:t xml:space="preserve"> ، ج 1 ، </w:t>
      </w:r>
      <w:r w:rsidR="00F971A3">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7E1ED7">
        <w:rPr>
          <w:rtl/>
        </w:rPr>
        <w:t>1339</w:t>
      </w:r>
      <w:r w:rsidRPr="004325D8">
        <w:rPr>
          <w:rStyle w:val="libBold2Char"/>
          <w:rtl/>
        </w:rPr>
        <w:t xml:space="preserve"> / 10.</w:t>
      </w:r>
      <w:r w:rsidRPr="00132E65">
        <w:rPr>
          <w:rtl/>
          <w:lang w:bidi="fa-IR"/>
        </w:rPr>
        <w:t xml:space="preserve"> إِسْحَاقُ </w:t>
      </w:r>
      <w:r>
        <w:rPr>
          <w:rStyle w:val="libFootnotenumChar"/>
          <w:rtl/>
        </w:rPr>
        <w:t>(1)</w:t>
      </w:r>
      <w:r w:rsidRPr="00132E65">
        <w:rPr>
          <w:rtl/>
          <w:lang w:bidi="fa-IR"/>
        </w:rPr>
        <w:t xml:space="preserve"> قَالَ : حَدَّثَنِي أَبُو هَاشِمٍ الْجَعْفَرِيُّ ، قَالَ :</w:t>
      </w:r>
    </w:p>
    <w:p w:rsidR="000C39D1" w:rsidRPr="00132E65" w:rsidRDefault="000C39D1" w:rsidP="000C39D1">
      <w:pPr>
        <w:pStyle w:val="libNormal"/>
        <w:rPr>
          <w:rtl/>
          <w:lang w:bidi="fa-IR"/>
        </w:rPr>
      </w:pPr>
      <w:r w:rsidRPr="00132E65">
        <w:rPr>
          <w:rtl/>
          <w:lang w:bidi="fa-IR"/>
        </w:rPr>
        <w:t xml:space="preserve">شَكَوْتُ إِلى أَبِي مُحَمَّدٍ </w:t>
      </w:r>
      <w:r w:rsidRPr="00071CF9">
        <w:rPr>
          <w:rStyle w:val="libAlaemChar"/>
          <w:rtl/>
        </w:rPr>
        <w:t>عليه‌السلام</w:t>
      </w:r>
      <w:r w:rsidRPr="00132E65">
        <w:rPr>
          <w:rtl/>
          <w:lang w:bidi="fa-IR"/>
        </w:rPr>
        <w:t xml:space="preserve"> ضِيقَ الْحَبْسِ ، و</w:t>
      </w:r>
      <w:r w:rsidR="00190C6E">
        <w:rPr>
          <w:rFonts w:hint="cs"/>
          <w:rtl/>
          <w:lang w:bidi="fa-IR"/>
        </w:rPr>
        <w:t>َ</w:t>
      </w:r>
      <w:r w:rsidRPr="00132E65">
        <w:rPr>
          <w:rtl/>
          <w:lang w:bidi="fa-IR"/>
        </w:rPr>
        <w:t xml:space="preserve">كَتَلَ </w:t>
      </w:r>
      <w:r>
        <w:rPr>
          <w:rStyle w:val="libFootnotenumChar"/>
          <w:rtl/>
        </w:rPr>
        <w:t>(2)</w:t>
      </w:r>
      <w:r w:rsidRPr="00132E65">
        <w:rPr>
          <w:rtl/>
          <w:lang w:bidi="fa-IR"/>
        </w:rPr>
        <w:t xml:space="preserve"> الْقَيْدِ ، فَكَتَبَ إِلَيَّ : « أَنْتَ تُصَلِّي </w:t>
      </w:r>
      <w:r>
        <w:rPr>
          <w:rStyle w:val="libFootnotenumChar"/>
          <w:rtl/>
        </w:rPr>
        <w:t>(3)</w:t>
      </w:r>
      <w:r w:rsidRPr="00132E65">
        <w:rPr>
          <w:rtl/>
          <w:lang w:bidi="fa-IR"/>
        </w:rPr>
        <w:t xml:space="preserve"> الْيَوْمَ الظُّهْرَ فِي مَنْزِلِكَ » فَأُخْرِجْتُ فِي </w:t>
      </w:r>
      <w:r>
        <w:rPr>
          <w:rStyle w:val="libFootnotenumChar"/>
          <w:rtl/>
        </w:rPr>
        <w:t>(4)</w:t>
      </w:r>
      <w:r w:rsidRPr="00132E65">
        <w:rPr>
          <w:rtl/>
          <w:lang w:bidi="fa-IR"/>
        </w:rPr>
        <w:t xml:space="preserve"> وقْتِ الظُّهْرِ ، فَصَلَّيْتُ فِي مَنْزِلِي كَمَا قَالَ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وَكُنْتُ مُضَيَّقاً ، فَأَرَدْتُ أَنْ أَطْلُبَ مِنْهُ دَنَانِيرَ فِي </w:t>
      </w:r>
      <w:r>
        <w:rPr>
          <w:rStyle w:val="libFootnotenumChar"/>
          <w:rtl/>
        </w:rPr>
        <w:t>(5)</w:t>
      </w:r>
      <w:r w:rsidRPr="00132E65">
        <w:rPr>
          <w:rtl/>
          <w:lang w:bidi="fa-IR"/>
        </w:rPr>
        <w:t xml:space="preserve"> الْكِتَابِ </w:t>
      </w:r>
      <w:r>
        <w:rPr>
          <w:rStyle w:val="libFootnotenumChar"/>
          <w:rtl/>
        </w:rPr>
        <w:t>(6)</w:t>
      </w:r>
      <w:r w:rsidRPr="00132E65">
        <w:rPr>
          <w:rtl/>
          <w:lang w:bidi="fa-IR"/>
        </w:rPr>
        <w:t xml:space="preserve"> ، فَاسْتَحْيَيْتُ </w:t>
      </w:r>
      <w:r>
        <w:rPr>
          <w:rStyle w:val="libFootnotenumChar"/>
          <w:rtl/>
        </w:rPr>
        <w:t>(7)</w:t>
      </w:r>
      <w:r w:rsidRPr="00132E65">
        <w:rPr>
          <w:rtl/>
          <w:lang w:bidi="fa-IR"/>
        </w:rPr>
        <w:t xml:space="preserve"> ، فَلَمَّا صِرْتُ إِلى مَنْزِلِي وجَّهَ إِلَيَّ </w:t>
      </w:r>
      <w:r>
        <w:rPr>
          <w:rStyle w:val="libFootnotenumChar"/>
          <w:rtl/>
        </w:rPr>
        <w:t>(8)</w:t>
      </w:r>
      <w:r w:rsidRPr="00132E65">
        <w:rPr>
          <w:rtl/>
          <w:lang w:bidi="fa-IR"/>
        </w:rPr>
        <w:t xml:space="preserve"> بِمِائَةِ دِينَارٍ ، و</w:t>
      </w:r>
      <w:r w:rsidR="00190C6E">
        <w:rPr>
          <w:rFonts w:hint="cs"/>
          <w:rtl/>
          <w:lang w:bidi="fa-IR"/>
        </w:rPr>
        <w:t>َ</w:t>
      </w:r>
      <w:r w:rsidRPr="00132E65">
        <w:rPr>
          <w:rtl/>
          <w:lang w:bidi="fa-IR"/>
        </w:rPr>
        <w:t xml:space="preserve">كَتَبَ إِلَيَّ : « إِذَا كَانَتْ </w:t>
      </w:r>
      <w:r>
        <w:rPr>
          <w:rStyle w:val="libFootnotenumChar"/>
          <w:rtl/>
        </w:rPr>
        <w:t>(9)</w:t>
      </w:r>
      <w:r w:rsidRPr="00132E65">
        <w:rPr>
          <w:rtl/>
          <w:lang w:bidi="fa-IR"/>
        </w:rPr>
        <w:t xml:space="preserve"> لَكَ حَاجَةٌ ، فَلَا تَسْتَحْيِ و</w:t>
      </w:r>
      <w:r w:rsidR="00190C6E">
        <w:rPr>
          <w:rFonts w:hint="cs"/>
          <w:rtl/>
          <w:lang w:bidi="fa-IR"/>
        </w:rPr>
        <w:t>َ</w:t>
      </w:r>
      <w:r w:rsidRPr="00132E65">
        <w:rPr>
          <w:rtl/>
          <w:lang w:bidi="fa-IR"/>
        </w:rPr>
        <w:t xml:space="preserve">لَاتَحْتَشِمْ </w:t>
      </w:r>
      <w:r>
        <w:rPr>
          <w:rStyle w:val="libFootnotenumChar"/>
          <w:rtl/>
        </w:rPr>
        <w:t>(10)</w:t>
      </w:r>
      <w:r w:rsidRPr="00132E65">
        <w:rPr>
          <w:rtl/>
          <w:lang w:bidi="fa-IR"/>
        </w:rPr>
        <w:t xml:space="preserve"> و</w:t>
      </w:r>
      <w:r w:rsidR="00190C6E">
        <w:rPr>
          <w:rFonts w:hint="cs"/>
          <w:rtl/>
          <w:lang w:bidi="fa-IR"/>
        </w:rPr>
        <w:t>َ</w:t>
      </w:r>
      <w:r w:rsidRPr="00132E65">
        <w:rPr>
          <w:rtl/>
          <w:lang w:bidi="fa-IR"/>
        </w:rPr>
        <w:t xml:space="preserve">اطْلُبْهَا ؛ فَإِنَّكَ تَرى </w:t>
      </w:r>
      <w:r>
        <w:rPr>
          <w:rStyle w:val="libFootnotenumChar"/>
          <w:rtl/>
        </w:rPr>
        <w:t>(11)</w:t>
      </w:r>
      <w:r w:rsidRPr="00132E65">
        <w:rPr>
          <w:rtl/>
          <w:lang w:bidi="fa-IR"/>
        </w:rPr>
        <w:t xml:space="preserve"> مَا تُحِبُّ إِنْ شَاءَ اللهُ »</w:t>
      </w:r>
      <w:r>
        <w:rPr>
          <w:rtl/>
          <w:lang w:bidi="fa-IR"/>
        </w:rPr>
        <w:t>.</w:t>
      </w:r>
      <w:r w:rsidRPr="00132E65">
        <w:rPr>
          <w:rtl/>
          <w:lang w:bidi="fa-IR"/>
        </w:rPr>
        <w:t xml:space="preserve"> </w:t>
      </w:r>
      <w:r>
        <w:rPr>
          <w:rStyle w:val="libFootnotenumChar"/>
          <w:rtl/>
        </w:rPr>
        <w:t>(12)</w:t>
      </w:r>
    </w:p>
    <w:p w:rsidR="000C39D1" w:rsidRPr="00132E65" w:rsidRDefault="000C39D1" w:rsidP="000C39D1">
      <w:pPr>
        <w:pStyle w:val="libNormal"/>
        <w:rPr>
          <w:rtl/>
          <w:lang w:bidi="fa-IR"/>
        </w:rPr>
      </w:pPr>
      <w:r w:rsidRPr="007E1ED7">
        <w:rPr>
          <w:rtl/>
        </w:rPr>
        <w:t>1340</w:t>
      </w:r>
      <w:r w:rsidRPr="004325D8">
        <w:rPr>
          <w:rStyle w:val="libBold2Char"/>
          <w:rtl/>
        </w:rPr>
        <w:t xml:space="preserve"> / 11.</w:t>
      </w:r>
      <w:r w:rsidRPr="00132E65">
        <w:rPr>
          <w:rtl/>
          <w:lang w:bidi="fa-IR"/>
        </w:rPr>
        <w:t xml:space="preserve"> إِسْحَاقُ ، عَنْ أَحْمَدَ بْنِ مُحَمَّدِ بْنِ الْأَقْرَعِ ، قَالَ : حَدَّثَنِي أَبُو حَمْزَةَ نُصَيْرٌ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A01EBF" w:rsidP="00A01EBF">
      <w:pPr>
        <w:pStyle w:val="libFootnote0"/>
        <w:rPr>
          <w:rtl/>
          <w:lang w:bidi="fa-IR"/>
        </w:rPr>
      </w:pPr>
      <w:r>
        <w:rPr>
          <w:rFonts w:hint="cs"/>
          <w:rtl/>
        </w:rPr>
        <w:t xml:space="preserve">= </w:t>
      </w:r>
      <w:r w:rsidR="000C39D1" w:rsidRPr="00132E65">
        <w:rPr>
          <w:rtl/>
        </w:rPr>
        <w:t>ص 283</w:t>
      </w:r>
      <w:r>
        <w:rPr>
          <w:rFonts w:hint="cs"/>
          <w:rtl/>
        </w:rPr>
        <w:t>.</w:t>
      </w:r>
      <w:r w:rsidR="000C39D1" w:rsidRPr="009D1ACE">
        <w:rPr>
          <w:rStyle w:val="libFootnoteBoldChar"/>
          <w:rtl/>
        </w:rPr>
        <w:t>الوافي</w:t>
      </w:r>
      <w:r w:rsidR="000C39D1" w:rsidRPr="00132E65">
        <w:rPr>
          <w:rtl/>
        </w:rPr>
        <w:t xml:space="preserve"> ، ج 3 ، ص 851 ، ح 1464 ؛ </w:t>
      </w:r>
      <w:r w:rsidR="000C39D1" w:rsidRPr="00357AC9">
        <w:rPr>
          <w:rtl/>
        </w:rPr>
        <w:t>البحار</w:t>
      </w:r>
      <w:r w:rsidR="000C39D1" w:rsidRPr="00132E65">
        <w:rPr>
          <w:rtl/>
        </w:rPr>
        <w:t xml:space="preserve"> ، ج 24 ، ص 245 ، ح 2.</w:t>
      </w:r>
    </w:p>
    <w:p w:rsidR="000C39D1" w:rsidRPr="00132E65" w:rsidRDefault="000C39D1" w:rsidP="000C39D1">
      <w:pPr>
        <w:pStyle w:val="libFootnote0"/>
        <w:rPr>
          <w:rtl/>
          <w:lang w:bidi="fa-IR"/>
        </w:rPr>
      </w:pPr>
      <w:r>
        <w:rPr>
          <w:rtl/>
        </w:rPr>
        <w:t>(1).</w:t>
      </w:r>
      <w:r w:rsidRPr="00132E65">
        <w:rPr>
          <w:rtl/>
        </w:rPr>
        <w:t xml:space="preserve"> إسحاق هذا ، هو إسحاق بن محمّد النخعي المذكور في السند السابق. فعليه يكون السند معلّقاً على سابقه ، ويروي عن إسحاق ، عليّ بن محمّد ومحمّد بن أبي عبد الله.</w:t>
      </w:r>
    </w:p>
    <w:p w:rsidR="000C39D1" w:rsidRPr="00661890" w:rsidRDefault="000C39D1" w:rsidP="00E55206">
      <w:pPr>
        <w:pStyle w:val="libFootnote0"/>
        <w:rPr>
          <w:rtl/>
        </w:rPr>
      </w:pPr>
      <w:r w:rsidRPr="00661890">
        <w:rPr>
          <w:rtl/>
        </w:rPr>
        <w:t>ثمّ إنّ أسناد هذا الباب من هذا الرقم إلى الرقم 22 كلّها معلّقة على سند الحديث 9.</w:t>
      </w:r>
    </w:p>
    <w:p w:rsidR="000C39D1" w:rsidRPr="00132E65" w:rsidRDefault="000C39D1" w:rsidP="000C39D1">
      <w:pPr>
        <w:pStyle w:val="libFootnote0"/>
        <w:rPr>
          <w:rtl/>
          <w:lang w:bidi="fa-IR"/>
        </w:rPr>
      </w:pPr>
      <w:r>
        <w:rPr>
          <w:rtl/>
        </w:rPr>
        <w:t>(2).</w:t>
      </w:r>
      <w:r w:rsidRPr="00132E65">
        <w:rPr>
          <w:rtl/>
        </w:rPr>
        <w:t xml:space="preserve"> « الكَتَل » : غِلَظ الجسم. وفي « ج ، ض ، بح ، بس » وحاشية « بف » و</w:t>
      </w:r>
      <w:r w:rsidRPr="009D1ACE">
        <w:rPr>
          <w:rStyle w:val="libFootnoteBoldChar"/>
          <w:rtl/>
        </w:rPr>
        <w:t>مرآة العقول</w:t>
      </w:r>
      <w:r w:rsidRPr="00132E65">
        <w:rPr>
          <w:rtl/>
        </w:rPr>
        <w:t xml:space="preserve"> والإرشاد : « كَلَب القيد »</w:t>
      </w:r>
      <w:r>
        <w:rPr>
          <w:rtl/>
        </w:rPr>
        <w:t>.</w:t>
      </w:r>
      <w:r w:rsidRPr="00132E65">
        <w:rPr>
          <w:rtl/>
        </w:rPr>
        <w:t xml:space="preserve"> وفي‌شرح المازندراني : « وكَلَب الصيد » بدل « وكتل القيد »</w:t>
      </w:r>
      <w:r>
        <w:rPr>
          <w:rtl/>
        </w:rPr>
        <w:t>.</w:t>
      </w:r>
      <w:r w:rsidRPr="00132E65">
        <w:rPr>
          <w:rtl/>
        </w:rPr>
        <w:t xml:space="preserve"> والكَلَب بالتحريك : الشدّة. واعلم أنّ الصيد غير موجود في النسخ التي قوبلت ، فما في ذيل </w:t>
      </w:r>
      <w:r w:rsidRPr="007E1ED7">
        <w:rPr>
          <w:rtl/>
        </w:rPr>
        <w:t>شرح المازندراني</w:t>
      </w:r>
      <w:r w:rsidRPr="00132E65">
        <w:rPr>
          <w:rtl/>
        </w:rPr>
        <w:t xml:space="preserve"> : « في أكثر النسخ : كلب الصيد » غير صحيح. وفي « ب ، ف ، بف ، بر » : « كبل »</w:t>
      </w:r>
      <w:r>
        <w:rPr>
          <w:rtl/>
        </w:rPr>
        <w:t>.</w:t>
      </w:r>
      <w:r w:rsidRPr="00132E65">
        <w:rPr>
          <w:rtl/>
        </w:rPr>
        <w:t xml:space="preserve"> والكبل : قَيْدٌ صَخْم. فعليه تكون الإضافة إضافة الصفة إلى الموصوف.</w:t>
      </w:r>
    </w:p>
    <w:p w:rsidR="000C39D1" w:rsidRPr="00132E65" w:rsidRDefault="000C39D1" w:rsidP="000C39D1">
      <w:pPr>
        <w:pStyle w:val="libFootnote0"/>
        <w:rPr>
          <w:rtl/>
          <w:lang w:bidi="fa-IR"/>
        </w:rPr>
      </w:pPr>
      <w:r>
        <w:rPr>
          <w:rtl/>
        </w:rPr>
        <w:t>(3).</w:t>
      </w:r>
      <w:r w:rsidRPr="00132E65">
        <w:rPr>
          <w:rtl/>
        </w:rPr>
        <w:t xml:space="preserve"> في « ب ، ج ، ض ، بح ، بر » والإرشاد : « مصلّى »</w:t>
      </w:r>
      <w:r>
        <w:rPr>
          <w:rtl/>
        </w:rPr>
        <w:t>.</w:t>
      </w:r>
    </w:p>
    <w:tbl>
      <w:tblPr>
        <w:tblStyle w:val="TableGrid"/>
        <w:bidiVisual/>
        <w:tblW w:w="0" w:type="auto"/>
        <w:tblLook w:val="04A0" w:firstRow="1" w:lastRow="0" w:firstColumn="1" w:lastColumn="0" w:noHBand="0" w:noVBand="1"/>
      </w:tblPr>
      <w:tblGrid>
        <w:gridCol w:w="4261"/>
        <w:gridCol w:w="4262"/>
      </w:tblGrid>
      <w:tr w:rsidR="0069147A" w:rsidTr="0069147A">
        <w:tc>
          <w:tcPr>
            <w:tcW w:w="4261" w:type="dxa"/>
          </w:tcPr>
          <w:p w:rsidR="0069147A" w:rsidRDefault="0069147A" w:rsidP="000C39D1">
            <w:pPr>
              <w:pStyle w:val="libFootnote0"/>
              <w:rPr>
                <w:rtl/>
              </w:rPr>
            </w:pPr>
            <w:r>
              <w:rPr>
                <w:rtl/>
              </w:rPr>
              <w:t>(4).</w:t>
            </w:r>
            <w:r w:rsidRPr="00132E65">
              <w:rPr>
                <w:rtl/>
              </w:rPr>
              <w:t xml:space="preserve"> في « بس » والإرشاد </w:t>
            </w:r>
            <w:r>
              <w:rPr>
                <w:rtl/>
              </w:rPr>
              <w:t xml:space="preserve">: - </w:t>
            </w:r>
            <w:r w:rsidRPr="00132E65">
              <w:rPr>
                <w:rtl/>
              </w:rPr>
              <w:t>« في »</w:t>
            </w:r>
            <w:r>
              <w:rPr>
                <w:rtl/>
              </w:rPr>
              <w:t>.</w:t>
            </w:r>
          </w:p>
        </w:tc>
        <w:tc>
          <w:tcPr>
            <w:tcW w:w="4262" w:type="dxa"/>
          </w:tcPr>
          <w:p w:rsidR="0069147A" w:rsidRDefault="0069147A" w:rsidP="000C39D1">
            <w:pPr>
              <w:pStyle w:val="libFootnote0"/>
              <w:rPr>
                <w:rtl/>
              </w:rPr>
            </w:pPr>
            <w:r>
              <w:rPr>
                <w:rtl/>
              </w:rPr>
              <w:t>(5).</w:t>
            </w:r>
            <w:r w:rsidRPr="00132E65">
              <w:rPr>
                <w:rtl/>
              </w:rPr>
              <w:t xml:space="preserve"> في « ف » :</w:t>
            </w:r>
            <w:r>
              <w:rPr>
                <w:rtl/>
              </w:rPr>
              <w:t xml:space="preserve"> + </w:t>
            </w:r>
            <w:r w:rsidRPr="00132E65">
              <w:rPr>
                <w:rtl/>
              </w:rPr>
              <w:t>« هذا »</w:t>
            </w:r>
            <w:r>
              <w:rPr>
                <w:rtl/>
              </w:rPr>
              <w:t>.</w:t>
            </w:r>
          </w:p>
        </w:tc>
      </w:tr>
    </w:tbl>
    <w:p w:rsidR="000C39D1" w:rsidRPr="00132E65" w:rsidRDefault="000C39D1" w:rsidP="000C39D1">
      <w:pPr>
        <w:pStyle w:val="libFootnote0"/>
        <w:rPr>
          <w:rtl/>
          <w:lang w:bidi="fa-IR"/>
        </w:rPr>
      </w:pPr>
      <w:r>
        <w:rPr>
          <w:rtl/>
        </w:rPr>
        <w:t>(6).</w:t>
      </w:r>
      <w:r w:rsidRPr="00132E65">
        <w:rPr>
          <w:rtl/>
        </w:rPr>
        <w:t xml:space="preserve"> في الإرشاد : « معونة في الكتاب الذي كتبته » بدل « دنانير في الكتاب »</w:t>
      </w:r>
      <w:r>
        <w:rPr>
          <w:rtl/>
        </w:rPr>
        <w:t>.</w:t>
      </w:r>
    </w:p>
    <w:tbl>
      <w:tblPr>
        <w:tblStyle w:val="TableGrid"/>
        <w:bidiVisual/>
        <w:tblW w:w="0" w:type="auto"/>
        <w:tblLook w:val="04A0" w:firstRow="1" w:lastRow="0" w:firstColumn="1" w:lastColumn="0" w:noHBand="0" w:noVBand="1"/>
      </w:tblPr>
      <w:tblGrid>
        <w:gridCol w:w="4261"/>
        <w:gridCol w:w="4262"/>
      </w:tblGrid>
      <w:tr w:rsidR="008002A6" w:rsidTr="008002A6">
        <w:tc>
          <w:tcPr>
            <w:tcW w:w="4261" w:type="dxa"/>
          </w:tcPr>
          <w:p w:rsidR="008002A6" w:rsidRDefault="008002A6" w:rsidP="000C39D1">
            <w:pPr>
              <w:pStyle w:val="libFootnote0"/>
              <w:rPr>
                <w:rtl/>
                <w:lang w:bidi="fa-IR"/>
              </w:rPr>
            </w:pPr>
            <w:r>
              <w:rPr>
                <w:rtl/>
              </w:rPr>
              <w:t>(7).</w:t>
            </w:r>
            <w:r w:rsidRPr="00132E65">
              <w:rPr>
                <w:rtl/>
              </w:rPr>
              <w:t xml:space="preserve"> في حاشية « ج ، بس » :</w:t>
            </w:r>
            <w:r>
              <w:rPr>
                <w:rtl/>
              </w:rPr>
              <w:t xml:space="preserve"> + </w:t>
            </w:r>
            <w:r w:rsidRPr="00132E65">
              <w:rPr>
                <w:rtl/>
              </w:rPr>
              <w:t>« منه »</w:t>
            </w:r>
            <w:r>
              <w:rPr>
                <w:rtl/>
              </w:rPr>
              <w:t>.</w:t>
            </w:r>
          </w:p>
        </w:tc>
        <w:tc>
          <w:tcPr>
            <w:tcW w:w="4262" w:type="dxa"/>
          </w:tcPr>
          <w:p w:rsidR="008002A6" w:rsidRDefault="008002A6" w:rsidP="000C39D1">
            <w:pPr>
              <w:pStyle w:val="libFootnote0"/>
              <w:rPr>
                <w:rtl/>
                <w:lang w:bidi="fa-IR"/>
              </w:rPr>
            </w:pPr>
            <w:r>
              <w:rPr>
                <w:rtl/>
              </w:rPr>
              <w:t>(8).</w:t>
            </w:r>
            <w:r w:rsidRPr="00132E65">
              <w:rPr>
                <w:rtl/>
              </w:rPr>
              <w:t xml:space="preserve"> في الإرشاد : « لي »</w:t>
            </w:r>
            <w:r>
              <w:rPr>
                <w:rtl/>
              </w:rPr>
              <w:t>.</w:t>
            </w:r>
          </w:p>
        </w:tc>
      </w:tr>
    </w:tbl>
    <w:p w:rsidR="000C39D1" w:rsidRPr="00132E65" w:rsidRDefault="000C39D1" w:rsidP="000C39D1">
      <w:pPr>
        <w:pStyle w:val="libFootnote0"/>
        <w:rPr>
          <w:rtl/>
          <w:lang w:bidi="fa-IR"/>
        </w:rPr>
      </w:pPr>
      <w:r>
        <w:rPr>
          <w:rtl/>
        </w:rPr>
        <w:t>(9).</w:t>
      </w:r>
      <w:r w:rsidRPr="00132E65">
        <w:rPr>
          <w:rtl/>
        </w:rPr>
        <w:t xml:space="preserve"> في « ب » : « كان »</w:t>
      </w:r>
      <w:r>
        <w:rPr>
          <w:rtl/>
        </w:rPr>
        <w:t>.</w:t>
      </w:r>
    </w:p>
    <w:p w:rsidR="000C39D1" w:rsidRPr="00132E65" w:rsidRDefault="000C39D1" w:rsidP="008002A6">
      <w:pPr>
        <w:pStyle w:val="libFootnote0"/>
        <w:rPr>
          <w:rtl/>
          <w:lang w:bidi="fa-IR"/>
        </w:rPr>
      </w:pPr>
      <w:r>
        <w:rPr>
          <w:rtl/>
        </w:rPr>
        <w:t>(10).</w:t>
      </w:r>
      <w:r w:rsidRPr="00132E65">
        <w:rPr>
          <w:rtl/>
        </w:rPr>
        <w:t xml:space="preserve"> « الاحتشام » : الاستحياء ، أي لا تخجل ، فالعطف للتفسير. أو الانقباض ، فعطف المسبّب على السبب. راجع : </w:t>
      </w:r>
      <w:r w:rsidRPr="009D1ACE">
        <w:rPr>
          <w:rStyle w:val="libFootnoteBoldChar"/>
          <w:rtl/>
        </w:rPr>
        <w:t>لسان العرب</w:t>
      </w:r>
      <w:r w:rsidRPr="00132E65">
        <w:rPr>
          <w:rtl/>
        </w:rPr>
        <w:t xml:space="preserve"> ، ج 12 ، ص 135 ( حشم )</w:t>
      </w:r>
      <w:r>
        <w:rPr>
          <w:rtl/>
        </w:rPr>
        <w:t>.</w:t>
      </w:r>
      <w:r w:rsidR="008002A6">
        <w:rPr>
          <w:rFonts w:hint="cs"/>
          <w:rtl/>
        </w:rPr>
        <w:t xml:space="preserve">              </w:t>
      </w:r>
      <w:r>
        <w:rPr>
          <w:rtl/>
        </w:rPr>
        <w:t>(11).</w:t>
      </w:r>
      <w:r w:rsidRPr="00132E65">
        <w:rPr>
          <w:rtl/>
        </w:rPr>
        <w:t xml:space="preserve"> في الإرشاد : « تأتك على » بدل « فإنّك‌ترى »</w:t>
      </w:r>
      <w:r>
        <w:rPr>
          <w:rtl/>
        </w:rPr>
        <w:t>.</w:t>
      </w:r>
    </w:p>
    <w:p w:rsidR="000C39D1" w:rsidRPr="00132E65" w:rsidRDefault="000C39D1" w:rsidP="008002A6">
      <w:pPr>
        <w:pStyle w:val="libFootnote0"/>
        <w:rPr>
          <w:rtl/>
          <w:lang w:bidi="fa-IR"/>
        </w:rPr>
      </w:pPr>
      <w:r>
        <w:rPr>
          <w:rtl/>
        </w:rPr>
        <w:t>(12).</w:t>
      </w:r>
      <w:r w:rsidRPr="00132E65">
        <w:rPr>
          <w:rtl/>
        </w:rPr>
        <w:t xml:space="preserve"> </w:t>
      </w:r>
      <w:r w:rsidRPr="007E1ED7">
        <w:rPr>
          <w:rtl/>
        </w:rPr>
        <w:t>الإرشاد</w:t>
      </w:r>
      <w:r w:rsidRPr="00132E65">
        <w:rPr>
          <w:rtl/>
        </w:rPr>
        <w:t xml:space="preserve"> ، ج 2 ، ص 330 ، عن إسحاق بن محمّد بن النخعي</w:t>
      </w:r>
      <w:r w:rsidR="008002A6">
        <w:rPr>
          <w:rFonts w:hint="cs"/>
          <w:rtl/>
        </w:rPr>
        <w:t>.</w:t>
      </w:r>
      <w:r w:rsidRPr="009D1ACE">
        <w:rPr>
          <w:rStyle w:val="libFootnoteBoldChar"/>
          <w:rtl/>
        </w:rPr>
        <w:t>الوافي</w:t>
      </w:r>
      <w:r w:rsidRPr="00132E65">
        <w:rPr>
          <w:rtl/>
        </w:rPr>
        <w:t xml:space="preserve"> ، ج 3 ، ص 852 ، ح 1465.</w:t>
      </w:r>
    </w:p>
    <w:p w:rsidR="000C39D1" w:rsidRPr="00132E65" w:rsidRDefault="000C39D1" w:rsidP="000C39D1">
      <w:pPr>
        <w:pStyle w:val="libFootnote0"/>
        <w:rPr>
          <w:rtl/>
          <w:lang w:bidi="fa-IR"/>
        </w:rPr>
      </w:pPr>
      <w:r>
        <w:rPr>
          <w:rtl/>
        </w:rPr>
        <w:t>(13)</w:t>
      </w:r>
      <w:r w:rsidRPr="00132E65">
        <w:rPr>
          <w:rtl/>
        </w:rPr>
        <w:t xml:space="preserve"> في « ف ، بح » و</w:t>
      </w:r>
      <w:r w:rsidRPr="009D1ACE">
        <w:rPr>
          <w:rStyle w:val="libFootnoteBoldChar"/>
          <w:rtl/>
        </w:rPr>
        <w:t>الوافي</w:t>
      </w:r>
      <w:r>
        <w:rPr>
          <w:rtl/>
        </w:rPr>
        <w:t xml:space="preserve"> - </w:t>
      </w:r>
      <w:r w:rsidRPr="00132E65">
        <w:rPr>
          <w:rtl/>
        </w:rPr>
        <w:t>خ ل</w:t>
      </w:r>
      <w:r>
        <w:rPr>
          <w:rtl/>
        </w:rPr>
        <w:t xml:space="preserve"> - </w:t>
      </w:r>
      <w:r w:rsidRPr="00132E65">
        <w:rPr>
          <w:rtl/>
        </w:rPr>
        <w:t>: « نصر »</w:t>
      </w:r>
      <w:r>
        <w:rPr>
          <w:rtl/>
        </w:rPr>
        <w:t>.</w:t>
      </w:r>
    </w:p>
    <w:p w:rsidR="000C39D1" w:rsidRPr="00132E65" w:rsidRDefault="000C39D1" w:rsidP="000C39D1">
      <w:pPr>
        <w:pStyle w:val="libFootnote0"/>
        <w:rPr>
          <w:rtl/>
          <w:lang w:bidi="fa-IR"/>
        </w:rPr>
      </w:pPr>
      <w:r w:rsidRPr="00661890">
        <w:rPr>
          <w:rtl/>
        </w:rPr>
        <w:t xml:space="preserve">والمظنون اتّحاد نصر أو نصير هذا مع نصر الخادم المتقدّم في ح 849 ، والمذكور في </w:t>
      </w:r>
      <w:r w:rsidRPr="007E1ED7">
        <w:rPr>
          <w:rtl/>
        </w:rPr>
        <w:t>الفقيه</w:t>
      </w:r>
      <w:r w:rsidRPr="00661890">
        <w:rPr>
          <w:rtl/>
        </w:rPr>
        <w:t xml:space="preserve"> ، ج 2 ، ص 281 ، ح 2451 ، وكذا مع نصر والد حمزة بن نصر غلام أبي الحسن </w:t>
      </w:r>
      <w:r w:rsidRPr="008002A6">
        <w:rPr>
          <w:rStyle w:val="libFootnoteAlaemChar"/>
          <w:rtl/>
        </w:rPr>
        <w:t>عليه‌السلام</w:t>
      </w:r>
      <w:r w:rsidRPr="00661890">
        <w:rPr>
          <w:rtl/>
        </w:rPr>
        <w:t xml:space="preserve"> المذكور في </w:t>
      </w:r>
      <w:r w:rsidRPr="007E1ED7">
        <w:rPr>
          <w:rtl/>
        </w:rPr>
        <w:t>الغيبة</w:t>
      </w:r>
      <w:r w:rsidRPr="00661890">
        <w:rPr>
          <w:rtl/>
        </w:rPr>
        <w:t xml:space="preserve"> للطوسي ، ص 245 ، ح 213 ، ووقوع التحريف في أحد العنوانين ، فتأمّل.</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الْخَادِمُ ، قَالَ :</w:t>
      </w:r>
    </w:p>
    <w:p w:rsidR="000C39D1" w:rsidRPr="00132E65" w:rsidRDefault="000C39D1" w:rsidP="00430868">
      <w:pPr>
        <w:pStyle w:val="libNormal"/>
        <w:rPr>
          <w:rtl/>
          <w:lang w:bidi="fa-IR"/>
        </w:rPr>
      </w:pPr>
      <w:r w:rsidRPr="00132E65">
        <w:rPr>
          <w:rtl/>
          <w:lang w:bidi="fa-IR"/>
        </w:rPr>
        <w:t xml:space="preserve">سَمِعْتُ أَبَا مُحَمَّدٍ </w:t>
      </w:r>
      <w:r w:rsidRPr="00071CF9">
        <w:rPr>
          <w:rStyle w:val="libAlaemChar"/>
          <w:rtl/>
        </w:rPr>
        <w:t>عليه‌السلام</w:t>
      </w:r>
      <w:r w:rsidRPr="00132E65">
        <w:rPr>
          <w:rtl/>
          <w:lang w:bidi="fa-IR"/>
        </w:rPr>
        <w:t xml:space="preserve"> غَيْرَ مَرَّةٍ يُكَلِّمُ غِلْمَانَهُ بِلُغَاتِهِمْ </w:t>
      </w:r>
      <w:r>
        <w:rPr>
          <w:rStyle w:val="libFootnotenumChar"/>
          <w:rtl/>
        </w:rPr>
        <w:t>(1)</w:t>
      </w:r>
      <w:r w:rsidRPr="00132E65">
        <w:rPr>
          <w:rtl/>
          <w:lang w:bidi="fa-IR"/>
        </w:rPr>
        <w:t xml:space="preserve"> : تُرْكٍ ، و</w:t>
      </w:r>
      <w:r w:rsidR="00C6706D">
        <w:rPr>
          <w:rFonts w:hint="cs"/>
          <w:rtl/>
          <w:lang w:bidi="fa-IR"/>
        </w:rPr>
        <w:t xml:space="preserve">َ </w:t>
      </w:r>
      <w:r w:rsidRPr="00132E65">
        <w:rPr>
          <w:rtl/>
          <w:lang w:bidi="fa-IR"/>
        </w:rPr>
        <w:t xml:space="preserve">رُومٍ </w:t>
      </w:r>
      <w:r>
        <w:rPr>
          <w:rStyle w:val="libFootnotenumChar"/>
          <w:rtl/>
        </w:rPr>
        <w:t>(2)</w:t>
      </w:r>
      <w:r w:rsidRPr="00132E65">
        <w:rPr>
          <w:rtl/>
          <w:lang w:bidi="fa-IR"/>
        </w:rPr>
        <w:t xml:space="preserve"> ، و</w:t>
      </w:r>
      <w:r w:rsidR="00C6706D">
        <w:rPr>
          <w:rFonts w:hint="cs"/>
          <w:rtl/>
          <w:lang w:bidi="fa-IR"/>
        </w:rPr>
        <w:t xml:space="preserve">َ </w:t>
      </w:r>
      <w:r w:rsidRPr="00132E65">
        <w:rPr>
          <w:rtl/>
          <w:lang w:bidi="fa-IR"/>
        </w:rPr>
        <w:t xml:space="preserve">صَقَالِبَةَ </w:t>
      </w:r>
      <w:r>
        <w:rPr>
          <w:rStyle w:val="libFootnotenumChar"/>
          <w:rtl/>
        </w:rPr>
        <w:t>(3)</w:t>
      </w:r>
      <w:r w:rsidRPr="00132E65">
        <w:rPr>
          <w:rtl/>
          <w:lang w:bidi="fa-IR"/>
        </w:rPr>
        <w:t xml:space="preserve"> ، فَتَعَجَّبْتُ مِنْ ذلِكَ ، و</w:t>
      </w:r>
      <w:r w:rsidR="00C6706D">
        <w:rPr>
          <w:rFonts w:hint="cs"/>
          <w:rtl/>
          <w:lang w:bidi="fa-IR"/>
        </w:rPr>
        <w:t>َ</w:t>
      </w:r>
      <w:r w:rsidRPr="00132E65">
        <w:rPr>
          <w:rtl/>
          <w:lang w:bidi="fa-IR"/>
        </w:rPr>
        <w:t>قُلْتُ : هذَا و</w:t>
      </w:r>
      <w:r w:rsidR="00C6706D">
        <w:rPr>
          <w:rFonts w:hint="cs"/>
          <w:rtl/>
          <w:lang w:bidi="fa-IR"/>
        </w:rPr>
        <w:t>ُ</w:t>
      </w:r>
      <w:r w:rsidRPr="00132E65">
        <w:rPr>
          <w:rtl/>
          <w:lang w:bidi="fa-IR"/>
        </w:rPr>
        <w:t>لِدَ بِالْمَدِينَةِ ، و</w:t>
      </w:r>
      <w:r w:rsidR="00C6706D">
        <w:rPr>
          <w:rFonts w:hint="cs"/>
          <w:rtl/>
          <w:lang w:bidi="fa-IR"/>
        </w:rPr>
        <w:t>َ</w:t>
      </w:r>
      <w:r w:rsidRPr="00132E65">
        <w:rPr>
          <w:rtl/>
          <w:lang w:bidi="fa-IR"/>
        </w:rPr>
        <w:t xml:space="preserve">لَمْ يَظْهَرْ لِأَحَدٍ حَتّى مَضى أَبُو الْحَسَنِ </w:t>
      </w:r>
      <w:r w:rsidRPr="00071CF9">
        <w:rPr>
          <w:rStyle w:val="libAlaemChar"/>
          <w:rtl/>
        </w:rPr>
        <w:t>عليه‌السلام</w:t>
      </w:r>
      <w:r w:rsidRPr="00132E65">
        <w:rPr>
          <w:rtl/>
          <w:lang w:bidi="fa-IR"/>
        </w:rPr>
        <w:t xml:space="preserve"> ، و</w:t>
      </w:r>
      <w:r w:rsidR="00C6706D">
        <w:rPr>
          <w:rFonts w:hint="cs"/>
          <w:rtl/>
          <w:lang w:bidi="fa-IR"/>
        </w:rPr>
        <w:t>َ</w:t>
      </w:r>
      <w:r w:rsidRPr="00132E65">
        <w:rPr>
          <w:rtl/>
          <w:lang w:bidi="fa-IR"/>
        </w:rPr>
        <w:t>لَارَآهُ أَحَدٌ ، فَكَيْفَ هذَا</w:t>
      </w:r>
      <w:r>
        <w:rPr>
          <w:rtl/>
          <w:lang w:bidi="fa-IR"/>
        </w:rPr>
        <w:t>؟!</w:t>
      </w:r>
      <w:r w:rsidRPr="00132E65">
        <w:rPr>
          <w:rtl/>
          <w:lang w:bidi="fa-IR"/>
        </w:rPr>
        <w:t xml:space="preserve"> أُحَدِّثُ نَفْسِي بِذلِكَ ، فَأَقْبَلَ عَلَيَّ ، فَقَالَ : « إِنَّ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بَيَّنَ </w:t>
      </w:r>
      <w:r>
        <w:rPr>
          <w:rStyle w:val="libFootnotenumChar"/>
          <w:rtl/>
        </w:rPr>
        <w:t>(4)</w:t>
      </w:r>
      <w:r w:rsidRPr="00132E65">
        <w:rPr>
          <w:rtl/>
          <w:lang w:bidi="fa-IR"/>
        </w:rPr>
        <w:t xml:space="preserve"> حُجَّتَهُ مِنْ سَائِرِ خَلْقِهِ بِكُلِّ شَيْ‌ءٍ ، و</w:t>
      </w:r>
      <w:r w:rsidR="00C6706D">
        <w:rPr>
          <w:rFonts w:hint="cs"/>
          <w:rtl/>
          <w:lang w:bidi="fa-IR"/>
        </w:rPr>
        <w:t>َ</w:t>
      </w:r>
      <w:r w:rsidRPr="00132E65">
        <w:rPr>
          <w:rtl/>
          <w:lang w:bidi="fa-IR"/>
        </w:rPr>
        <w:t>يُعْطِيهِ اللُّغَاتِ ، و</w:t>
      </w:r>
      <w:r w:rsidR="00C6706D">
        <w:rPr>
          <w:rFonts w:hint="cs"/>
          <w:rtl/>
          <w:lang w:bidi="fa-IR"/>
        </w:rPr>
        <w:t>َ</w:t>
      </w:r>
      <w:r w:rsidRPr="00132E65">
        <w:rPr>
          <w:rtl/>
          <w:lang w:bidi="fa-IR"/>
        </w:rPr>
        <w:t>مَعْرِفَةَ الْأَنْسَابِ و</w:t>
      </w:r>
      <w:r w:rsidR="00C6706D">
        <w:rPr>
          <w:rFonts w:hint="cs"/>
          <w:rtl/>
          <w:lang w:bidi="fa-IR"/>
        </w:rPr>
        <w:t>َ</w:t>
      </w:r>
      <w:r w:rsidRPr="00132E65">
        <w:rPr>
          <w:rtl/>
          <w:lang w:bidi="fa-IR"/>
        </w:rPr>
        <w:t xml:space="preserve">الْآجَالِ </w:t>
      </w:r>
      <w:r>
        <w:rPr>
          <w:rStyle w:val="libFootnotenumChar"/>
          <w:rtl/>
        </w:rPr>
        <w:t>(5)</w:t>
      </w:r>
      <w:r w:rsidRPr="00132E65">
        <w:rPr>
          <w:rtl/>
          <w:lang w:bidi="fa-IR"/>
        </w:rPr>
        <w:t xml:space="preserve"> و</w:t>
      </w:r>
      <w:r w:rsidR="00C6706D">
        <w:rPr>
          <w:rFonts w:hint="cs"/>
          <w:rtl/>
          <w:lang w:bidi="fa-IR"/>
        </w:rPr>
        <w:t>َ</w:t>
      </w:r>
      <w:r w:rsidRPr="00132E65">
        <w:rPr>
          <w:rtl/>
          <w:lang w:bidi="fa-IR"/>
        </w:rPr>
        <w:t>الْحَوَادِثِ ، و</w:t>
      </w:r>
      <w:r w:rsidR="00C6706D">
        <w:rPr>
          <w:rFonts w:hint="cs"/>
          <w:rtl/>
          <w:lang w:bidi="fa-IR"/>
        </w:rPr>
        <w:t>َ</w:t>
      </w:r>
      <w:r w:rsidRPr="00132E65">
        <w:rPr>
          <w:rtl/>
          <w:lang w:bidi="fa-IR"/>
        </w:rPr>
        <w:t>لَوْ لَاذلِكَ لَمْ يَكُنْ بَيْنَ الْحُجَّةِ و</w:t>
      </w:r>
      <w:r w:rsidR="00430868">
        <w:rPr>
          <w:rFonts w:hint="cs"/>
          <w:rtl/>
          <w:lang w:bidi="fa-IR"/>
        </w:rPr>
        <w:t>َ</w:t>
      </w:r>
      <w:r w:rsidRPr="00132E65">
        <w:rPr>
          <w:rtl/>
          <w:lang w:bidi="fa-IR"/>
        </w:rPr>
        <w:t>الْمَحْجُوجِ فَرْقٌ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7E1ED7">
        <w:rPr>
          <w:rtl/>
        </w:rPr>
        <w:t>1341</w:t>
      </w:r>
      <w:r w:rsidRPr="004325D8">
        <w:rPr>
          <w:rStyle w:val="libBold2Char"/>
          <w:rtl/>
        </w:rPr>
        <w:t xml:space="preserve"> / 12.</w:t>
      </w:r>
      <w:r w:rsidRPr="00132E65">
        <w:rPr>
          <w:rtl/>
          <w:lang w:bidi="fa-IR"/>
        </w:rPr>
        <w:t xml:space="preserve"> إِسْحَاقُ ، عَنِ الْأَقْرَعِ ، قَالَ :</w:t>
      </w:r>
    </w:p>
    <w:p w:rsidR="000C39D1" w:rsidRPr="00132E65" w:rsidRDefault="000C39D1" w:rsidP="000C39D1">
      <w:pPr>
        <w:pStyle w:val="libNormal"/>
        <w:rPr>
          <w:rtl/>
          <w:lang w:bidi="fa-IR"/>
        </w:rPr>
      </w:pPr>
      <w:r w:rsidRPr="00132E65">
        <w:rPr>
          <w:rtl/>
          <w:lang w:bidi="fa-IR"/>
        </w:rPr>
        <w:t xml:space="preserve">كَتَبْتُ إِلى أَبِي مُحَمَّدٍ </w:t>
      </w:r>
      <w:r w:rsidRPr="00071CF9">
        <w:rPr>
          <w:rStyle w:val="libAlaemChar"/>
          <w:rtl/>
        </w:rPr>
        <w:t>عليه‌السلام</w:t>
      </w:r>
      <w:r w:rsidRPr="00132E65">
        <w:rPr>
          <w:rtl/>
          <w:lang w:bidi="fa-IR"/>
        </w:rPr>
        <w:t xml:space="preserve"> أَسْأَلُهُ عَنِ الْإِمَامِ : هَلْ يَحْتَلِمُ</w:t>
      </w:r>
      <w:r>
        <w:rPr>
          <w:rtl/>
          <w:lang w:bidi="fa-IR"/>
        </w:rPr>
        <w:t>؟</w:t>
      </w:r>
      <w:r w:rsidRPr="00132E65">
        <w:rPr>
          <w:rtl/>
          <w:lang w:bidi="fa-IR"/>
        </w:rPr>
        <w:t xml:space="preserve"> و</w:t>
      </w:r>
      <w:r w:rsidR="00377530">
        <w:rPr>
          <w:rFonts w:hint="cs"/>
          <w:rtl/>
          <w:lang w:bidi="fa-IR"/>
        </w:rPr>
        <w:t>َ</w:t>
      </w:r>
      <w:r w:rsidRPr="00132E65">
        <w:rPr>
          <w:rtl/>
          <w:lang w:bidi="fa-IR"/>
        </w:rPr>
        <w:t>قُلْتُ فِي نَفْسِي</w:t>
      </w:r>
      <w:r>
        <w:rPr>
          <w:rtl/>
          <w:lang w:bidi="fa-IR"/>
        </w:rPr>
        <w:t xml:space="preserve"> - </w:t>
      </w:r>
      <w:r w:rsidRPr="00132E65">
        <w:rPr>
          <w:rtl/>
          <w:lang w:bidi="fa-IR"/>
        </w:rPr>
        <w:t xml:space="preserve">بَعْدَ </w:t>
      </w:r>
      <w:r>
        <w:rPr>
          <w:rStyle w:val="libFootnotenumChar"/>
          <w:rtl/>
        </w:rPr>
        <w:t>(7)</w:t>
      </w:r>
      <w:r w:rsidRPr="00132E65">
        <w:rPr>
          <w:rtl/>
          <w:lang w:bidi="fa-IR"/>
        </w:rPr>
        <w:t xml:space="preserve"> مَا فَصَلَ </w:t>
      </w:r>
      <w:r>
        <w:rPr>
          <w:rStyle w:val="libFootnotenumChar"/>
          <w:rtl/>
        </w:rPr>
        <w:t>(8)</w:t>
      </w:r>
      <w:r w:rsidRPr="00132E65">
        <w:rPr>
          <w:rtl/>
          <w:lang w:bidi="fa-IR"/>
        </w:rPr>
        <w:t xml:space="preserve"> الْكِتَابُ</w:t>
      </w:r>
      <w:r>
        <w:rPr>
          <w:rtl/>
          <w:lang w:bidi="fa-IR"/>
        </w:rPr>
        <w:t xml:space="preserve"> - </w:t>
      </w:r>
      <w:r w:rsidRPr="00132E65">
        <w:rPr>
          <w:rtl/>
          <w:lang w:bidi="fa-IR"/>
        </w:rPr>
        <w:t xml:space="preserve">: الِاحْتِلَامُ شَيْطَنَةٌ </w:t>
      </w:r>
      <w:r>
        <w:rPr>
          <w:rStyle w:val="libFootnotenumChar"/>
          <w:rtl/>
        </w:rPr>
        <w:t>(9)</w:t>
      </w:r>
      <w:r w:rsidRPr="00132E65">
        <w:rPr>
          <w:rtl/>
          <w:lang w:bidi="fa-IR"/>
        </w:rPr>
        <w:t xml:space="preserve"> ، و</w:t>
      </w:r>
      <w:r w:rsidR="00377530">
        <w:rPr>
          <w:rFonts w:hint="cs"/>
          <w:rtl/>
          <w:lang w:bidi="fa-IR"/>
        </w:rPr>
        <w:t>َ</w:t>
      </w:r>
      <w:r w:rsidRPr="00132E65">
        <w:rPr>
          <w:rtl/>
          <w:lang w:bidi="fa-IR"/>
        </w:rPr>
        <w:t>قَدْ أَعَاذَ اللهُ</w:t>
      </w:r>
      <w:r>
        <w:rPr>
          <w:rtl/>
          <w:lang w:bidi="fa-IR"/>
        </w:rPr>
        <w:t xml:space="preserve"> - </w:t>
      </w:r>
      <w:r w:rsidRPr="00132E65">
        <w:rPr>
          <w:rtl/>
          <w:lang w:bidi="fa-IR"/>
        </w:rPr>
        <w:t>تَبَارَكَ وتَعَالى</w:t>
      </w:r>
      <w:r>
        <w:rPr>
          <w:rtl/>
          <w:lang w:bidi="fa-IR"/>
        </w:rPr>
        <w:t xml:space="preserve"> - </w:t>
      </w:r>
      <w:r w:rsidRPr="00132E65">
        <w:rPr>
          <w:rtl/>
          <w:lang w:bidi="fa-IR"/>
        </w:rPr>
        <w:t xml:space="preserve">أَوْلِيَاءَهُ مِنْ ذلِكَ ، فَوَرَدَ الْجَوَابُ : « حَالُ الْأَئِمَّةِ فِي الْمَنَامِ حَالُهُمْ فِي الْيَقَظَةِ ، لَا </w:t>
      </w:r>
      <w:r>
        <w:rPr>
          <w:rStyle w:val="libFootnotenumChar"/>
          <w:rtl/>
        </w:rPr>
        <w:t>(10)</w:t>
      </w:r>
      <w:r w:rsidRPr="00132E65">
        <w:rPr>
          <w:rtl/>
          <w:lang w:bidi="fa-IR"/>
        </w:rPr>
        <w:t xml:space="preserve"> يُغَيِّرُ النَّوْمُ مِنْهُمْ‌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وفيهم »</w:t>
      </w:r>
      <w:r>
        <w:rPr>
          <w:rtl/>
        </w:rPr>
        <w:t>.</w:t>
      </w:r>
    </w:p>
    <w:p w:rsidR="000C39D1" w:rsidRPr="00132E65" w:rsidRDefault="000C39D1" w:rsidP="000C39D1">
      <w:pPr>
        <w:pStyle w:val="libFootnote0"/>
        <w:rPr>
          <w:rtl/>
          <w:lang w:bidi="fa-IR"/>
        </w:rPr>
      </w:pPr>
      <w:r>
        <w:rPr>
          <w:rtl/>
        </w:rPr>
        <w:t>(2).</w:t>
      </w:r>
      <w:r w:rsidRPr="00132E65">
        <w:rPr>
          <w:rtl/>
        </w:rPr>
        <w:t xml:space="preserve"> في « ب » وحاشية « ض » : « تركاً وروماً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7E1ED7">
        <w:rPr>
          <w:rtl/>
        </w:rPr>
        <w:t>اللسان</w:t>
      </w:r>
      <w:r w:rsidRPr="00132E65">
        <w:rPr>
          <w:rtl/>
        </w:rPr>
        <w:t xml:space="preserve"> : « الصَقالِبَةُ : جِيلٌ حُمْر الألوان ، صُهْب الشُعور</w:t>
      </w:r>
      <w:r>
        <w:rPr>
          <w:rtl/>
        </w:rPr>
        <w:t xml:space="preserve"> - </w:t>
      </w:r>
      <w:r w:rsidRPr="00132E65">
        <w:rPr>
          <w:rtl/>
        </w:rPr>
        <w:t>أي لون شعورهم حُمْرة في الظاهر واسوداد في الباطن ، أوشُقْرَةٌ وهي لون يأخذ من الأحمر والأصفر</w:t>
      </w:r>
      <w:r>
        <w:rPr>
          <w:rtl/>
        </w:rPr>
        <w:t xml:space="preserve"> - </w:t>
      </w:r>
      <w:r w:rsidRPr="00132E65">
        <w:rPr>
          <w:rtl/>
        </w:rPr>
        <w:t>يتاخمون الخَزَر وبعضَ جبال الروم »</w:t>
      </w:r>
      <w:r>
        <w:rPr>
          <w:rtl/>
        </w:rPr>
        <w:t>.</w:t>
      </w:r>
      <w:r w:rsidRPr="00132E65">
        <w:rPr>
          <w:rtl/>
        </w:rPr>
        <w:t xml:space="preserve"> وفي </w:t>
      </w:r>
      <w:r w:rsidRPr="007E1ED7">
        <w:rPr>
          <w:rtl/>
        </w:rPr>
        <w:t>القاموس</w:t>
      </w:r>
      <w:r w:rsidRPr="00132E65">
        <w:rPr>
          <w:rtl/>
        </w:rPr>
        <w:t xml:space="preserve"> : « الصَقالبة : جيل تُتاخِمُ وتتّصل حدود بلادهم بلادَ الخَزَر بين بُلْغَر وقُسْطَنْطِينيَّةِ »</w:t>
      </w:r>
      <w:r>
        <w:rPr>
          <w:rtl/>
        </w:rPr>
        <w:t>.</w:t>
      </w:r>
      <w:r w:rsidRPr="00132E65">
        <w:rPr>
          <w:rtl/>
        </w:rPr>
        <w:t xml:space="preserve"> راجع : </w:t>
      </w:r>
      <w:r w:rsidRPr="009D1ACE">
        <w:rPr>
          <w:rStyle w:val="libFootnoteBoldChar"/>
          <w:rtl/>
        </w:rPr>
        <w:t>لسان العرب</w:t>
      </w:r>
      <w:r w:rsidRPr="00132E65">
        <w:rPr>
          <w:rtl/>
        </w:rPr>
        <w:t xml:space="preserve"> ، ج 1 ، ص 526 ؛ </w:t>
      </w:r>
      <w:r w:rsidRPr="007E1ED7">
        <w:rPr>
          <w:rtl/>
        </w:rPr>
        <w:t>القاموس المحيط</w:t>
      </w:r>
      <w:r w:rsidRPr="00132E65">
        <w:rPr>
          <w:rtl/>
        </w:rPr>
        <w:t xml:space="preserve"> ، ج 1 ، ص 189 ( صقلب )</w:t>
      </w:r>
      <w:r>
        <w:rPr>
          <w:rtl/>
        </w:rPr>
        <w:t>.</w:t>
      </w:r>
    </w:p>
    <w:p w:rsidR="000C39D1" w:rsidRPr="00132E65" w:rsidRDefault="000C39D1" w:rsidP="000C39D1">
      <w:pPr>
        <w:pStyle w:val="libFootnote0"/>
        <w:rPr>
          <w:rtl/>
          <w:lang w:bidi="fa-IR"/>
        </w:rPr>
      </w:pPr>
      <w:r>
        <w:rPr>
          <w:rtl/>
        </w:rPr>
        <w:t>(4).</w:t>
      </w:r>
      <w:r w:rsidRPr="00132E65">
        <w:rPr>
          <w:rtl/>
        </w:rPr>
        <w:t xml:space="preserve"> في الإرشاد : « أبان »</w:t>
      </w:r>
      <w:r>
        <w:rPr>
          <w:rtl/>
        </w:rPr>
        <w:t>.</w:t>
      </w:r>
    </w:p>
    <w:p w:rsidR="000C39D1" w:rsidRPr="00132E65" w:rsidRDefault="000C39D1" w:rsidP="000C39D1">
      <w:pPr>
        <w:pStyle w:val="libFootnote0"/>
        <w:rPr>
          <w:rtl/>
          <w:lang w:bidi="fa-IR"/>
        </w:rPr>
      </w:pPr>
      <w:r>
        <w:rPr>
          <w:rtl/>
        </w:rPr>
        <w:t>(5).</w:t>
      </w:r>
      <w:r w:rsidRPr="00132E65">
        <w:rPr>
          <w:rtl/>
        </w:rPr>
        <w:t xml:space="preserve"> في الإرشاد : « خلقه وأعطاه معرفة كلّ شي‌ء ، فهو يعرف اللغات والأسباب » بدل « خلقه بكلّ</w:t>
      </w:r>
      <w:r>
        <w:rPr>
          <w:rtl/>
        </w:rPr>
        <w:t xml:space="preserve"> - </w:t>
      </w:r>
      <w:r w:rsidRPr="00132E65">
        <w:rPr>
          <w:rtl/>
        </w:rPr>
        <w:t>إلى</w:t>
      </w:r>
      <w:r>
        <w:rPr>
          <w:rtl/>
        </w:rPr>
        <w:t xml:space="preserve"> - </w:t>
      </w:r>
      <w:r w:rsidRPr="00132E65">
        <w:rPr>
          <w:rtl/>
        </w:rPr>
        <w:t>والآجال »</w:t>
      </w:r>
      <w:r>
        <w:rPr>
          <w:rtl/>
        </w:rPr>
        <w:t>.</w:t>
      </w:r>
    </w:p>
    <w:p w:rsidR="000C39D1" w:rsidRPr="00132E65" w:rsidRDefault="000C39D1" w:rsidP="00377530">
      <w:pPr>
        <w:pStyle w:val="libFootnote0"/>
        <w:rPr>
          <w:rtl/>
          <w:lang w:bidi="fa-IR"/>
        </w:rPr>
      </w:pPr>
      <w:r>
        <w:rPr>
          <w:rtl/>
        </w:rPr>
        <w:t>(6).</w:t>
      </w:r>
      <w:r w:rsidRPr="00132E65">
        <w:rPr>
          <w:rtl/>
        </w:rPr>
        <w:t xml:space="preserve"> </w:t>
      </w:r>
      <w:r w:rsidRPr="007E1ED7">
        <w:rPr>
          <w:rtl/>
        </w:rPr>
        <w:t>الإرشاد</w:t>
      </w:r>
      <w:r w:rsidRPr="00132E65">
        <w:rPr>
          <w:rtl/>
        </w:rPr>
        <w:t xml:space="preserve"> ، ج 2 ، ص 330 ، عن إسحاق بن محمّد النخعي</w:t>
      </w:r>
      <w:r w:rsidR="00377530">
        <w:rPr>
          <w:rFonts w:hint="cs"/>
          <w:rtl/>
        </w:rPr>
        <w:t>.</w:t>
      </w:r>
      <w:r w:rsidRPr="009D1ACE">
        <w:rPr>
          <w:rStyle w:val="libFootnoteBoldChar"/>
          <w:rtl/>
        </w:rPr>
        <w:t>الوافي</w:t>
      </w:r>
      <w:r w:rsidRPr="00132E65">
        <w:rPr>
          <w:rtl/>
        </w:rPr>
        <w:t xml:space="preserve"> ، ج 3 ، ص 852 ، ح 1466.</w:t>
      </w:r>
    </w:p>
    <w:p w:rsidR="000C39D1" w:rsidRPr="00132E65" w:rsidRDefault="000C39D1" w:rsidP="000C39D1">
      <w:pPr>
        <w:pStyle w:val="libFootnote0"/>
        <w:rPr>
          <w:rtl/>
          <w:lang w:bidi="fa-IR"/>
        </w:rPr>
      </w:pPr>
      <w:r>
        <w:rPr>
          <w:rtl/>
        </w:rPr>
        <w:t>(7).</w:t>
      </w:r>
      <w:r w:rsidRPr="00132E65">
        <w:rPr>
          <w:rtl/>
        </w:rPr>
        <w:t xml:space="preserve"> في « بس » : « وبعد »</w:t>
      </w:r>
      <w:r>
        <w:rPr>
          <w:rtl/>
        </w:rPr>
        <w:t>.</w:t>
      </w:r>
    </w:p>
    <w:p w:rsidR="000C39D1" w:rsidRPr="00132E65" w:rsidRDefault="000C39D1" w:rsidP="000C39D1">
      <w:pPr>
        <w:pStyle w:val="libFootnote0"/>
        <w:rPr>
          <w:rtl/>
          <w:lang w:bidi="fa-IR"/>
        </w:rPr>
      </w:pPr>
      <w:r>
        <w:rPr>
          <w:rtl/>
        </w:rPr>
        <w:t>(8).</w:t>
      </w:r>
      <w:r w:rsidRPr="00132E65">
        <w:rPr>
          <w:rtl/>
        </w:rPr>
        <w:t xml:space="preserve"> في « ج ، بح » : « فُصّل » مبنيّاً للمفعول من التفعيل. وقوله : « فَصَلَ الكتابُ » ، أي خرج من يدي. راجع : </w:t>
      </w:r>
      <w:r w:rsidRPr="007E1ED7">
        <w:rPr>
          <w:rtl/>
        </w:rPr>
        <w:t>القاموس‌المحيط</w:t>
      </w:r>
      <w:r w:rsidRPr="00132E65">
        <w:rPr>
          <w:rtl/>
        </w:rPr>
        <w:t xml:space="preserve"> ، ج 2 ، ص 1376 ( فصل )</w:t>
      </w:r>
      <w:r>
        <w:rPr>
          <w:rtl/>
        </w:rPr>
        <w:t>.</w:t>
      </w:r>
    </w:p>
    <w:p w:rsidR="000C39D1" w:rsidRPr="00132E65" w:rsidRDefault="000C39D1" w:rsidP="000C39D1">
      <w:pPr>
        <w:pStyle w:val="libFootnote0"/>
        <w:rPr>
          <w:rtl/>
          <w:lang w:bidi="fa-IR"/>
        </w:rPr>
      </w:pPr>
      <w:r>
        <w:rPr>
          <w:rtl/>
        </w:rPr>
        <w:t>(9).</w:t>
      </w:r>
      <w:r w:rsidRPr="00132E65">
        <w:rPr>
          <w:rtl/>
        </w:rPr>
        <w:t xml:space="preserve"> « الشيطنةُ » : ما يكون سببه الشيطان ، أي هو فعله. راجع : </w:t>
      </w:r>
      <w:r w:rsidRPr="007E1ED7">
        <w:rPr>
          <w:rtl/>
        </w:rPr>
        <w:t>ترتيب كتاب العين</w:t>
      </w:r>
      <w:r w:rsidRPr="00132E65">
        <w:rPr>
          <w:rtl/>
        </w:rPr>
        <w:t xml:space="preserve"> ، ج 2 ، ص 917 ( شطن )</w:t>
      </w:r>
      <w:r>
        <w:rPr>
          <w:rtl/>
        </w:rPr>
        <w:t>.</w:t>
      </w:r>
    </w:p>
    <w:p w:rsidR="000C39D1" w:rsidRPr="00132E65" w:rsidRDefault="000C39D1" w:rsidP="000C39D1">
      <w:pPr>
        <w:pStyle w:val="libFootnote0"/>
        <w:rPr>
          <w:rtl/>
          <w:lang w:bidi="fa-IR"/>
        </w:rPr>
      </w:pPr>
      <w:r>
        <w:rPr>
          <w:rtl/>
        </w:rPr>
        <w:t>(10).</w:t>
      </w:r>
      <w:r w:rsidRPr="00132E65">
        <w:rPr>
          <w:rtl/>
        </w:rPr>
        <w:t xml:space="preserve"> في حاشية « ج » : « فلا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شَيْئاً ، و</w:t>
      </w:r>
      <w:r w:rsidR="00377530">
        <w:rPr>
          <w:rFonts w:hint="cs"/>
          <w:rtl/>
          <w:lang w:bidi="fa-IR"/>
        </w:rPr>
        <w:t>َ</w:t>
      </w:r>
      <w:r w:rsidRPr="00132E65">
        <w:rPr>
          <w:rtl/>
          <w:lang w:bidi="fa-IR"/>
        </w:rPr>
        <w:t xml:space="preserve">قَدْ أَعَاذَ اللهُ أَوْلِيَاءَهُ مِنْ لَمَّةِ </w:t>
      </w:r>
      <w:r>
        <w:rPr>
          <w:rStyle w:val="libFootnotenumChar"/>
          <w:rtl/>
        </w:rPr>
        <w:t>(1)</w:t>
      </w:r>
      <w:r w:rsidRPr="00132E65">
        <w:rPr>
          <w:rtl/>
          <w:lang w:bidi="fa-IR"/>
        </w:rPr>
        <w:t xml:space="preserve"> الشَّيْطَانِ ، كَمَا حَدَّثَتْكَ نَفْسُكَ »</w:t>
      </w:r>
      <w:r>
        <w:rPr>
          <w:rtl/>
          <w:lang w:bidi="fa-IR"/>
        </w:rPr>
        <w:t>.</w:t>
      </w:r>
      <w:r w:rsidRPr="00132E65">
        <w:rPr>
          <w:rtl/>
          <w:lang w:bidi="fa-IR"/>
        </w:rPr>
        <w:t xml:space="preserve"> </w:t>
      </w:r>
      <w:r>
        <w:rPr>
          <w:rStyle w:val="libFootnotenumChar"/>
          <w:rtl/>
        </w:rPr>
        <w:t>(2)</w:t>
      </w:r>
    </w:p>
    <w:p w:rsidR="000C39D1" w:rsidRPr="00132E65" w:rsidRDefault="000C39D1" w:rsidP="000C39D1">
      <w:pPr>
        <w:pStyle w:val="libNormal"/>
        <w:rPr>
          <w:rtl/>
          <w:lang w:bidi="fa-IR"/>
        </w:rPr>
      </w:pPr>
      <w:r w:rsidRPr="007E1ED7">
        <w:rPr>
          <w:rtl/>
        </w:rPr>
        <w:t>1342</w:t>
      </w:r>
      <w:r w:rsidRPr="004325D8">
        <w:rPr>
          <w:rStyle w:val="libBold2Char"/>
          <w:rtl/>
        </w:rPr>
        <w:t xml:space="preserve"> / 13.</w:t>
      </w:r>
      <w:r w:rsidRPr="00132E65">
        <w:rPr>
          <w:rtl/>
          <w:lang w:bidi="fa-IR"/>
        </w:rPr>
        <w:t xml:space="preserve"> إِسْحَاقُ قَالَ : حَدَّثَنِي الْحَسَنُ بْنُ ظَرِيفٍ ، قَالَ :</w:t>
      </w:r>
    </w:p>
    <w:p w:rsidR="000C39D1" w:rsidRPr="00132E65" w:rsidRDefault="000C39D1" w:rsidP="000C39D1">
      <w:pPr>
        <w:pStyle w:val="libNormal"/>
        <w:rPr>
          <w:rtl/>
          <w:lang w:bidi="fa-IR"/>
        </w:rPr>
      </w:pPr>
      <w:r w:rsidRPr="00132E65">
        <w:rPr>
          <w:rtl/>
          <w:lang w:bidi="fa-IR"/>
        </w:rPr>
        <w:t xml:space="preserve">اخْتَلَجَ </w:t>
      </w:r>
      <w:r>
        <w:rPr>
          <w:rStyle w:val="libFootnotenumChar"/>
          <w:rtl/>
        </w:rPr>
        <w:t>(3)</w:t>
      </w:r>
      <w:r w:rsidRPr="00132E65">
        <w:rPr>
          <w:rtl/>
          <w:lang w:bidi="fa-IR"/>
        </w:rPr>
        <w:t xml:space="preserve"> فِي صَدْرِي مَسْأَلَتَانِ أَرَدْتُ الْكِتَابَ فِيهِمَا </w:t>
      </w:r>
      <w:r>
        <w:rPr>
          <w:rStyle w:val="libFootnotenumChar"/>
          <w:rtl/>
        </w:rPr>
        <w:t>(4)</w:t>
      </w:r>
      <w:r w:rsidRPr="00132E65">
        <w:rPr>
          <w:rtl/>
          <w:lang w:bidi="fa-IR"/>
        </w:rPr>
        <w:t xml:space="preserve"> إِلى أَبِي مُحَمَّدٍ </w:t>
      </w:r>
      <w:r w:rsidRPr="00071CF9">
        <w:rPr>
          <w:rStyle w:val="libAlaemChar"/>
          <w:rtl/>
        </w:rPr>
        <w:t>عليه‌السلام</w:t>
      </w:r>
      <w:r w:rsidRPr="00132E65">
        <w:rPr>
          <w:rtl/>
          <w:lang w:bidi="fa-IR"/>
        </w:rPr>
        <w:t xml:space="preserve"> ، فَكَتَبْتُ أَسْأَلُهُ عَنِ الْقَائِمِ </w:t>
      </w:r>
      <w:r w:rsidRPr="00071CF9">
        <w:rPr>
          <w:rStyle w:val="libAlaemChar"/>
          <w:rtl/>
        </w:rPr>
        <w:t>عليه‌السلام</w:t>
      </w:r>
      <w:r w:rsidRPr="00132E65">
        <w:rPr>
          <w:rtl/>
          <w:lang w:bidi="fa-IR"/>
        </w:rPr>
        <w:t xml:space="preserve"> إِذَا </w:t>
      </w:r>
      <w:r>
        <w:rPr>
          <w:rStyle w:val="libFootnotenumChar"/>
          <w:rtl/>
        </w:rPr>
        <w:t>(5)</w:t>
      </w:r>
      <w:r w:rsidRPr="00132E65">
        <w:rPr>
          <w:rtl/>
          <w:lang w:bidi="fa-IR"/>
        </w:rPr>
        <w:t xml:space="preserve"> قَامَ : بِمَا </w:t>
      </w:r>
      <w:r>
        <w:rPr>
          <w:rStyle w:val="libFootnotenumChar"/>
          <w:rtl/>
        </w:rPr>
        <w:t>(6)</w:t>
      </w:r>
      <w:r w:rsidRPr="00132E65">
        <w:rPr>
          <w:rtl/>
          <w:lang w:bidi="fa-IR"/>
        </w:rPr>
        <w:t xml:space="preserve"> يَقْضِي</w:t>
      </w:r>
      <w:r>
        <w:rPr>
          <w:rtl/>
          <w:lang w:bidi="fa-IR"/>
        </w:rPr>
        <w:t>؟</w:t>
      </w:r>
      <w:r w:rsidRPr="00132E65">
        <w:rPr>
          <w:rtl/>
          <w:lang w:bidi="fa-IR"/>
        </w:rPr>
        <w:t xml:space="preserve"> وأَيْنَ مَجْلِسُهُ الَّذِي يَقْضِي فِيهِ بَيْنَ النَّاسِ</w:t>
      </w:r>
      <w:r>
        <w:rPr>
          <w:rtl/>
          <w:lang w:bidi="fa-IR"/>
        </w:rPr>
        <w:t>؟</w:t>
      </w:r>
      <w:r>
        <w:rPr>
          <w:rFonts w:hint="cs"/>
          <w:rtl/>
          <w:lang w:bidi="fa-IR"/>
        </w:rPr>
        <w:t xml:space="preserve"> </w:t>
      </w:r>
      <w:r w:rsidRPr="00132E65">
        <w:rPr>
          <w:rtl/>
          <w:lang w:bidi="fa-IR"/>
        </w:rPr>
        <w:t xml:space="preserve">وَأَرَدْتُ أَنْ أَسْأَلَهُ عَنْ شَيْ‌ءٍ لِحُمَّى الرِّبْعِ </w:t>
      </w:r>
      <w:r>
        <w:rPr>
          <w:rStyle w:val="libFootnotenumChar"/>
          <w:rtl/>
        </w:rPr>
        <w:t>(7)</w:t>
      </w:r>
      <w:r w:rsidRPr="00132E65">
        <w:rPr>
          <w:rtl/>
          <w:lang w:bidi="fa-IR"/>
        </w:rPr>
        <w:t xml:space="preserve"> ، فَأَغْفَلْتُ خَبَرَ </w:t>
      </w:r>
      <w:r>
        <w:rPr>
          <w:rStyle w:val="libFootnotenumChar"/>
          <w:rtl/>
        </w:rPr>
        <w:t>(8)</w:t>
      </w:r>
      <w:r w:rsidRPr="00132E65">
        <w:rPr>
          <w:rtl/>
          <w:lang w:bidi="fa-IR"/>
        </w:rPr>
        <w:t xml:space="preserve"> الْحُمّى.</w:t>
      </w:r>
    </w:p>
    <w:p w:rsidR="000C39D1" w:rsidRPr="00132E65" w:rsidRDefault="000C39D1" w:rsidP="000C39D1">
      <w:pPr>
        <w:pStyle w:val="libNormal"/>
        <w:rPr>
          <w:rtl/>
          <w:lang w:bidi="fa-IR"/>
        </w:rPr>
      </w:pPr>
      <w:r w:rsidRPr="00132E65">
        <w:rPr>
          <w:rtl/>
          <w:lang w:bidi="fa-IR"/>
        </w:rPr>
        <w:t xml:space="preserve">فَجَاءَ الْجَوَابُ : « سَأَلْتَ عَنِ الْقَائِمِ ، فَإِذَا </w:t>
      </w:r>
      <w:r>
        <w:rPr>
          <w:rStyle w:val="libFootnotenumChar"/>
          <w:rtl/>
        </w:rPr>
        <w:t>(9)</w:t>
      </w:r>
      <w:r w:rsidRPr="00132E65">
        <w:rPr>
          <w:rtl/>
          <w:lang w:bidi="fa-IR"/>
        </w:rPr>
        <w:t xml:space="preserve"> قَامَ قَضى </w:t>
      </w:r>
      <w:r>
        <w:rPr>
          <w:rStyle w:val="libFootnotenumChar"/>
          <w:rtl/>
        </w:rPr>
        <w:t>(10)</w:t>
      </w:r>
      <w:r w:rsidRPr="00132E65">
        <w:rPr>
          <w:rtl/>
          <w:lang w:bidi="fa-IR"/>
        </w:rPr>
        <w:t xml:space="preserve"> بَيْنَ النَّاسِ بِعِلْمِهِ كَقَضَاءِ دَاوُدَ </w:t>
      </w:r>
      <w:r w:rsidRPr="00071CF9">
        <w:rPr>
          <w:rStyle w:val="libAlaemChar"/>
          <w:rtl/>
        </w:rPr>
        <w:t>عليه‌السلام</w:t>
      </w:r>
      <w:r w:rsidRPr="00132E65">
        <w:rPr>
          <w:rtl/>
          <w:lang w:bidi="fa-IR"/>
        </w:rPr>
        <w:t xml:space="preserve"> ، لَايَسْأَلُ </w:t>
      </w:r>
      <w:r>
        <w:rPr>
          <w:rStyle w:val="libFootnotenumChar"/>
          <w:rtl/>
        </w:rPr>
        <w:t>(11)</w:t>
      </w:r>
      <w:r w:rsidRPr="00132E65">
        <w:rPr>
          <w:rtl/>
          <w:lang w:bidi="fa-IR"/>
        </w:rPr>
        <w:t xml:space="preserve"> الْبَيِّنَةَ ؛ وكُنْتَ </w:t>
      </w:r>
      <w:r>
        <w:rPr>
          <w:rStyle w:val="libFootnotenumChar"/>
          <w:rtl/>
        </w:rPr>
        <w:t>(12)</w:t>
      </w:r>
      <w:r w:rsidRPr="00132E65">
        <w:rPr>
          <w:rtl/>
          <w:lang w:bidi="fa-IR"/>
        </w:rPr>
        <w:t xml:space="preserve"> أَرَدْتَ أَنْ تَسْأَلَ لِحُمَّى </w:t>
      </w:r>
      <w:r w:rsidRPr="00F543F1">
        <w:rPr>
          <w:rStyle w:val="libFootnotenumChar"/>
          <w:rtl/>
        </w:rPr>
        <w:t>(13)</w:t>
      </w:r>
      <w:r w:rsidRPr="00132E65">
        <w:rPr>
          <w:rtl/>
          <w:lang w:bidi="fa-IR"/>
        </w:rPr>
        <w:t xml:space="preserve"> الرِّبْعِ ، فَأُنْسِيتَ ، فَاكْتُبْ فِي </w:t>
      </w:r>
      <w:r w:rsidRPr="00F543F1">
        <w:rPr>
          <w:rStyle w:val="libFootnotenumChar"/>
          <w:rtl/>
        </w:rPr>
        <w:t>(14)</w:t>
      </w:r>
      <w:r w:rsidRPr="00132E65">
        <w:rPr>
          <w:rtl/>
          <w:lang w:bidi="fa-IR"/>
        </w:rPr>
        <w:t xml:space="preserve"> و</w:t>
      </w:r>
      <w:r w:rsidR="00F439DA">
        <w:rPr>
          <w:rFonts w:hint="cs"/>
          <w:rtl/>
          <w:lang w:bidi="fa-IR"/>
        </w:rPr>
        <w:t>َ</w:t>
      </w:r>
      <w:r w:rsidRPr="00132E65">
        <w:rPr>
          <w:rtl/>
          <w:lang w:bidi="fa-IR"/>
        </w:rPr>
        <w:t>رَقَةٍ ، و</w:t>
      </w:r>
      <w:r w:rsidR="00F439DA">
        <w:rPr>
          <w:rFonts w:hint="cs"/>
          <w:rtl/>
          <w:lang w:bidi="fa-IR"/>
        </w:rPr>
        <w:t>َ</w:t>
      </w:r>
      <w:r w:rsidRPr="00132E65">
        <w:rPr>
          <w:rtl/>
          <w:lang w:bidi="fa-IR"/>
        </w:rPr>
        <w:t xml:space="preserve">عَلِّقْهُ </w:t>
      </w:r>
      <w:r w:rsidRPr="00F543F1">
        <w:rPr>
          <w:rStyle w:val="libFootnotenumChar"/>
          <w:rtl/>
        </w:rPr>
        <w:t>(15)</w:t>
      </w:r>
      <w:r w:rsidRPr="00132E65">
        <w:rPr>
          <w:rtl/>
          <w:lang w:bidi="fa-IR"/>
        </w:rPr>
        <w:t xml:space="preserve"> عَلَى الْمَحْمُومِ ؛ فَإِنَّهُ يَبْرَأُ بِإِذْنِ اللهِ إِنْ شَاءَ اللهُ </w:t>
      </w:r>
      <w:r w:rsidRPr="00F543F1">
        <w:rPr>
          <w:rStyle w:val="libFootnotenumChar"/>
          <w:rtl/>
        </w:rPr>
        <w:t>(16)</w:t>
      </w:r>
      <w:r w:rsidRPr="00132E65">
        <w:rPr>
          <w:rtl/>
          <w:lang w:bidi="fa-IR"/>
        </w:rPr>
        <w:t xml:space="preserve"> : </w:t>
      </w:r>
      <w:r w:rsidRPr="00071CF9">
        <w:rPr>
          <w:rStyle w:val="libAlaemChar"/>
          <w:rtl/>
        </w:rPr>
        <w:t>(</w:t>
      </w:r>
      <w:r w:rsidRPr="00071CF9">
        <w:rPr>
          <w:rStyle w:val="libAieChar"/>
          <w:rtl/>
        </w:rPr>
        <w:t xml:space="preserve"> يا نارُ كُونِي بَرْداً وَسَلاماً عَلى إِبْراهِيمَ</w:t>
      </w:r>
      <w:r w:rsidRPr="00071CF9">
        <w:rPr>
          <w:rStyle w:val="libAlaemChar"/>
          <w:rtl/>
        </w:rPr>
        <w:t>)</w:t>
      </w:r>
      <w:r w:rsidRPr="00F543F1">
        <w:rPr>
          <w:rStyle w:val="libFootnotenumChar"/>
          <w:rtl/>
        </w:rPr>
        <w:t>(17)</w:t>
      </w:r>
      <w:r w:rsidRPr="00132E65">
        <w:rPr>
          <w:rtl/>
          <w:lang w:bidi="fa-IR"/>
        </w:rPr>
        <w:t>»</w:t>
      </w:r>
      <w:r>
        <w:rPr>
          <w:rtl/>
          <w:lang w:bidi="fa-IR"/>
        </w:rPr>
        <w:t>.</w:t>
      </w:r>
    </w:p>
    <w:p w:rsidR="000C39D1" w:rsidRPr="00132E65" w:rsidRDefault="000C39D1" w:rsidP="00F439DA">
      <w:pPr>
        <w:pStyle w:val="libNormal"/>
        <w:rPr>
          <w:rtl/>
          <w:lang w:bidi="fa-IR"/>
        </w:rPr>
      </w:pPr>
      <w:r w:rsidRPr="00132E65">
        <w:rPr>
          <w:rtl/>
          <w:lang w:bidi="fa-IR"/>
        </w:rPr>
        <w:t xml:space="preserve">فَعَلَّقْنَا عَلَيْهِ مَا </w:t>
      </w:r>
      <w:r w:rsidRPr="00F543F1">
        <w:rPr>
          <w:rStyle w:val="libFootnotenumChar"/>
          <w:rtl/>
        </w:rPr>
        <w:t>(18)</w:t>
      </w:r>
      <w:r w:rsidRPr="00132E65">
        <w:rPr>
          <w:rtl/>
          <w:lang w:bidi="fa-IR"/>
        </w:rPr>
        <w:t xml:space="preserve"> ذَكَرَ أَبُو مُحَمَّدٍ </w:t>
      </w:r>
      <w:r w:rsidRPr="00071CF9">
        <w:rPr>
          <w:rStyle w:val="libAlaemChar"/>
          <w:rtl/>
        </w:rPr>
        <w:t>عليه‌السلام</w:t>
      </w:r>
      <w:r w:rsidRPr="00132E65">
        <w:rPr>
          <w:rtl/>
          <w:lang w:bidi="fa-IR"/>
        </w:rPr>
        <w:t xml:space="preserve"> ، فَأَفَاقَ </w:t>
      </w:r>
      <w:r w:rsidRPr="00F543F1">
        <w:rPr>
          <w:rStyle w:val="libFootnotenumChar"/>
          <w:rtl/>
        </w:rPr>
        <w:t>(19)</w:t>
      </w:r>
      <w:r w:rsidR="00F439DA">
        <w:rPr>
          <w:rFonts w:hint="cs"/>
          <w:rtl/>
          <w:lang w:bidi="fa-IR"/>
        </w:rPr>
        <w:t>.</w:t>
      </w:r>
      <w:r w:rsidRPr="00F543F1">
        <w:rPr>
          <w:rStyle w:val="libFootnotenumChar"/>
          <w:rtl/>
        </w:rPr>
        <w:t>(20)</w:t>
      </w:r>
    </w:p>
    <w:p w:rsidR="000C39D1" w:rsidRPr="00132E65" w:rsidRDefault="000C39D1" w:rsidP="000C39D1">
      <w:pPr>
        <w:pStyle w:val="libNormal"/>
        <w:rPr>
          <w:rtl/>
          <w:lang w:bidi="fa-IR"/>
        </w:rPr>
      </w:pPr>
      <w:r w:rsidRPr="007E1ED7">
        <w:rPr>
          <w:rtl/>
        </w:rPr>
        <w:t>1343</w:t>
      </w:r>
      <w:r w:rsidRPr="004325D8">
        <w:rPr>
          <w:rStyle w:val="libBold2Char"/>
          <w:rtl/>
        </w:rPr>
        <w:t xml:space="preserve"> / 14.</w:t>
      </w:r>
      <w:r w:rsidRPr="00132E65">
        <w:rPr>
          <w:rtl/>
          <w:lang w:bidi="fa-IR"/>
        </w:rPr>
        <w:t xml:space="preserve"> إِسْحَاقُ قَالَ : حَدَّثَنِي إِسْمَاعِيلُ بْنُ مُحَمَّدِ بْنِ عَلِيِّ بْنِ إِسْمَاعِيلَ بْنِ عَلِيِّ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اللَمَّةُ » : الهِمَّةُ والخَطْرةُ تقع في القلب. </w:t>
      </w:r>
      <w:r w:rsidRPr="007E1ED7">
        <w:rPr>
          <w:rtl/>
        </w:rPr>
        <w:t>النهاية</w:t>
      </w:r>
      <w:r w:rsidRPr="00132E65">
        <w:rPr>
          <w:rtl/>
        </w:rPr>
        <w:t xml:space="preserve"> ، ج 4 ، ص 273 ( لمم )</w:t>
      </w:r>
      <w:r>
        <w:rPr>
          <w:rtl/>
        </w:rPr>
        <w:t>.</w:t>
      </w:r>
    </w:p>
    <w:tbl>
      <w:tblPr>
        <w:tblStyle w:val="TableGrid"/>
        <w:bidiVisual/>
        <w:tblW w:w="0" w:type="auto"/>
        <w:tblLook w:val="04A0" w:firstRow="1" w:lastRow="0" w:firstColumn="1" w:lastColumn="0" w:noHBand="0" w:noVBand="1"/>
      </w:tblPr>
      <w:tblGrid>
        <w:gridCol w:w="4261"/>
        <w:gridCol w:w="4262"/>
      </w:tblGrid>
      <w:tr w:rsidR="007D228A" w:rsidTr="007D228A">
        <w:tc>
          <w:tcPr>
            <w:tcW w:w="4261" w:type="dxa"/>
          </w:tcPr>
          <w:p w:rsidR="007D228A" w:rsidRDefault="007D228A" w:rsidP="000C39D1">
            <w:pPr>
              <w:pStyle w:val="libFootnote0"/>
              <w:rPr>
                <w:rtl/>
              </w:rPr>
            </w:pPr>
            <w:r>
              <w:rPr>
                <w:rtl/>
              </w:rPr>
              <w:t>(2).</w:t>
            </w:r>
            <w:r w:rsidRPr="00132E65">
              <w:rPr>
                <w:rtl/>
              </w:rPr>
              <w:t xml:space="preserve"> </w:t>
            </w:r>
            <w:r w:rsidRPr="009D1ACE">
              <w:rPr>
                <w:rStyle w:val="libFootnoteBoldChar"/>
                <w:rtl/>
              </w:rPr>
              <w:t>الوافي</w:t>
            </w:r>
            <w:r w:rsidRPr="00132E65">
              <w:rPr>
                <w:rtl/>
              </w:rPr>
              <w:t xml:space="preserve"> ، ج 3 ، ص 853 ، ح 1467.</w:t>
            </w:r>
          </w:p>
        </w:tc>
        <w:tc>
          <w:tcPr>
            <w:tcW w:w="4262" w:type="dxa"/>
          </w:tcPr>
          <w:p w:rsidR="007D228A" w:rsidRDefault="007D228A" w:rsidP="000C39D1">
            <w:pPr>
              <w:pStyle w:val="libFootnote0"/>
              <w:rPr>
                <w:rtl/>
              </w:rPr>
            </w:pPr>
            <w:r>
              <w:rPr>
                <w:rtl/>
              </w:rPr>
              <w:t>(3).</w:t>
            </w:r>
            <w:r w:rsidRPr="00132E65">
              <w:rPr>
                <w:rtl/>
              </w:rPr>
              <w:t xml:space="preserve"> في « بس » : « قد اختلج »</w:t>
            </w:r>
            <w:r>
              <w:rPr>
                <w:rtl/>
              </w:rPr>
              <w:t>.</w:t>
            </w:r>
          </w:p>
        </w:tc>
      </w:tr>
      <w:tr w:rsidR="007D228A" w:rsidTr="007D228A">
        <w:tc>
          <w:tcPr>
            <w:tcW w:w="4261" w:type="dxa"/>
          </w:tcPr>
          <w:p w:rsidR="007D228A" w:rsidRDefault="007D228A" w:rsidP="000C39D1">
            <w:pPr>
              <w:pStyle w:val="libFootnote0"/>
              <w:rPr>
                <w:rtl/>
              </w:rPr>
            </w:pPr>
            <w:r>
              <w:rPr>
                <w:rtl/>
              </w:rPr>
              <w:t>(4).</w:t>
            </w:r>
            <w:r w:rsidRPr="00132E65">
              <w:rPr>
                <w:rtl/>
              </w:rPr>
              <w:t xml:space="preserve"> في « ف » : « منهما »</w:t>
            </w:r>
            <w:r>
              <w:rPr>
                <w:rtl/>
              </w:rPr>
              <w:t>.</w:t>
            </w:r>
            <w:r w:rsidRPr="00132E65">
              <w:rPr>
                <w:rtl/>
              </w:rPr>
              <w:t xml:space="preserve"> وفي الإرشاد : « بهما »</w:t>
            </w:r>
            <w:r>
              <w:rPr>
                <w:rtl/>
              </w:rPr>
              <w:t>.</w:t>
            </w:r>
          </w:p>
        </w:tc>
        <w:tc>
          <w:tcPr>
            <w:tcW w:w="4262" w:type="dxa"/>
          </w:tcPr>
          <w:p w:rsidR="007D228A" w:rsidRDefault="007D228A" w:rsidP="000C39D1">
            <w:pPr>
              <w:pStyle w:val="libFootnote0"/>
              <w:rPr>
                <w:rtl/>
              </w:rPr>
            </w:pPr>
            <w:r>
              <w:rPr>
                <w:rtl/>
              </w:rPr>
              <w:t>(5).</w:t>
            </w:r>
            <w:r w:rsidRPr="00132E65">
              <w:rPr>
                <w:rtl/>
              </w:rPr>
              <w:t xml:space="preserve"> في « ب » : « إذ »</w:t>
            </w:r>
            <w:r>
              <w:rPr>
                <w:rtl/>
              </w:rPr>
              <w:t>.</w:t>
            </w:r>
          </w:p>
        </w:tc>
      </w:tr>
    </w:tbl>
    <w:p w:rsidR="000C39D1" w:rsidRPr="00132E65" w:rsidRDefault="000C39D1" w:rsidP="000C39D1">
      <w:pPr>
        <w:pStyle w:val="libFootnote0"/>
        <w:rPr>
          <w:rtl/>
          <w:lang w:bidi="fa-IR"/>
        </w:rPr>
      </w:pPr>
      <w:r>
        <w:rPr>
          <w:rtl/>
        </w:rPr>
        <w:t>(6).</w:t>
      </w:r>
      <w:r w:rsidRPr="00132E65">
        <w:rPr>
          <w:rtl/>
        </w:rPr>
        <w:t xml:space="preserve"> في الإرشاد : « بم »</w:t>
      </w:r>
      <w:r>
        <w:rPr>
          <w:rtl/>
        </w:rPr>
        <w:t>.</w:t>
      </w:r>
    </w:p>
    <w:p w:rsidR="000C39D1" w:rsidRPr="00132E65" w:rsidRDefault="000C39D1" w:rsidP="00887D31">
      <w:pPr>
        <w:pStyle w:val="libFootnote0"/>
        <w:rPr>
          <w:rtl/>
          <w:lang w:bidi="fa-IR"/>
        </w:rPr>
      </w:pPr>
      <w:r>
        <w:rPr>
          <w:rtl/>
        </w:rPr>
        <w:t>(7).</w:t>
      </w:r>
      <w:r w:rsidRPr="00132E65">
        <w:rPr>
          <w:rtl/>
        </w:rPr>
        <w:t xml:space="preserve"> قال الجوهري : « الرِبْعُ في الحُمّى : أن تأخذ يوماً وتدع يومين ثمّ تجي‌ء في اليوم الرابع »</w:t>
      </w:r>
      <w:r>
        <w:rPr>
          <w:rtl/>
        </w:rPr>
        <w:t>.</w:t>
      </w:r>
      <w:r w:rsidRPr="00132E65">
        <w:rPr>
          <w:rtl/>
        </w:rPr>
        <w:t xml:space="preserve"> </w:t>
      </w:r>
      <w:r w:rsidRPr="007E1ED7">
        <w:rPr>
          <w:rtl/>
        </w:rPr>
        <w:t>الصحاح</w:t>
      </w:r>
      <w:r w:rsidRPr="00132E65">
        <w:rPr>
          <w:rtl/>
        </w:rPr>
        <w:t xml:space="preserve"> ، ج 3 ، ص 1212 ( ربع )</w:t>
      </w:r>
      <w:r>
        <w:rPr>
          <w:rtl/>
        </w:rPr>
        <w:t>.</w:t>
      </w:r>
      <w:r w:rsidR="00887D31">
        <w:rPr>
          <w:rFonts w:hint="cs"/>
          <w:rtl/>
        </w:rPr>
        <w:t xml:space="preserve">                                                   </w:t>
      </w:r>
      <w:r w:rsidR="003B3197">
        <w:rPr>
          <w:rFonts w:hint="cs"/>
          <w:rtl/>
        </w:rPr>
        <w:t xml:space="preserve"> </w:t>
      </w:r>
      <w:r w:rsidR="00887D31">
        <w:rPr>
          <w:rFonts w:hint="cs"/>
          <w:rtl/>
        </w:rPr>
        <w:t xml:space="preserve">  </w:t>
      </w:r>
      <w:r>
        <w:rPr>
          <w:rtl/>
        </w:rPr>
        <w:t>(8).</w:t>
      </w:r>
      <w:r w:rsidRPr="00132E65">
        <w:rPr>
          <w:rtl/>
        </w:rPr>
        <w:t xml:space="preserve"> في الإرشاد : « ذكر »</w:t>
      </w:r>
      <w:r>
        <w:rPr>
          <w:rtl/>
        </w:rPr>
        <w:t>.</w:t>
      </w:r>
    </w:p>
    <w:tbl>
      <w:tblPr>
        <w:tblStyle w:val="TableGrid"/>
        <w:bidiVisual/>
        <w:tblW w:w="0" w:type="auto"/>
        <w:tblLook w:val="04A0" w:firstRow="1" w:lastRow="0" w:firstColumn="1" w:lastColumn="0" w:noHBand="0" w:noVBand="1"/>
      </w:tblPr>
      <w:tblGrid>
        <w:gridCol w:w="4261"/>
        <w:gridCol w:w="4262"/>
      </w:tblGrid>
      <w:tr w:rsidR="003B3197" w:rsidTr="003B3197">
        <w:tc>
          <w:tcPr>
            <w:tcW w:w="4261" w:type="dxa"/>
          </w:tcPr>
          <w:p w:rsidR="003B3197" w:rsidRDefault="003B3197" w:rsidP="000C39D1">
            <w:pPr>
              <w:pStyle w:val="libFootnote0"/>
              <w:rPr>
                <w:rtl/>
              </w:rPr>
            </w:pPr>
            <w:r>
              <w:rPr>
                <w:rtl/>
              </w:rPr>
              <w:t>(9).</w:t>
            </w:r>
            <w:r w:rsidRPr="00132E65">
              <w:rPr>
                <w:rtl/>
              </w:rPr>
              <w:t xml:space="preserve"> في « ج ، بس » والإرشاد : « وإذا »</w:t>
            </w:r>
            <w:r>
              <w:rPr>
                <w:rtl/>
              </w:rPr>
              <w:t>.</w:t>
            </w:r>
          </w:p>
        </w:tc>
        <w:tc>
          <w:tcPr>
            <w:tcW w:w="4262" w:type="dxa"/>
          </w:tcPr>
          <w:p w:rsidR="003B3197" w:rsidRDefault="003B3197" w:rsidP="000C39D1">
            <w:pPr>
              <w:pStyle w:val="libFootnote0"/>
              <w:rPr>
                <w:rtl/>
              </w:rPr>
            </w:pPr>
            <w:r>
              <w:rPr>
                <w:rtl/>
              </w:rPr>
              <w:t>(10).</w:t>
            </w:r>
            <w:r w:rsidRPr="00132E65">
              <w:rPr>
                <w:rtl/>
              </w:rPr>
              <w:t xml:space="preserve"> في « ب ، ج » : « يقضي »</w:t>
            </w:r>
            <w:r>
              <w:rPr>
                <w:rtl/>
              </w:rPr>
              <w:t>.</w:t>
            </w:r>
          </w:p>
        </w:tc>
      </w:tr>
      <w:tr w:rsidR="003B3197" w:rsidTr="003B3197">
        <w:tc>
          <w:tcPr>
            <w:tcW w:w="4261" w:type="dxa"/>
          </w:tcPr>
          <w:p w:rsidR="003B3197" w:rsidRDefault="003B3197" w:rsidP="000C39D1">
            <w:pPr>
              <w:pStyle w:val="libFootnote0"/>
              <w:rPr>
                <w:rtl/>
              </w:rPr>
            </w:pPr>
            <w:r>
              <w:rPr>
                <w:rtl/>
              </w:rPr>
              <w:t>(11).</w:t>
            </w:r>
            <w:r w:rsidRPr="00132E65">
              <w:rPr>
                <w:rtl/>
              </w:rPr>
              <w:t xml:space="preserve"> في « ف » :</w:t>
            </w:r>
            <w:r>
              <w:rPr>
                <w:rtl/>
              </w:rPr>
              <w:t xml:space="preserve"> + </w:t>
            </w:r>
            <w:r w:rsidRPr="00132E65">
              <w:rPr>
                <w:rtl/>
              </w:rPr>
              <w:t>« عن »</w:t>
            </w:r>
            <w:r>
              <w:rPr>
                <w:rtl/>
              </w:rPr>
              <w:t>.</w:t>
            </w:r>
          </w:p>
        </w:tc>
        <w:tc>
          <w:tcPr>
            <w:tcW w:w="4262" w:type="dxa"/>
          </w:tcPr>
          <w:p w:rsidR="003B3197" w:rsidRDefault="003B3197" w:rsidP="000C39D1">
            <w:pPr>
              <w:pStyle w:val="libFootnote0"/>
              <w:rPr>
                <w:rtl/>
              </w:rPr>
            </w:pPr>
            <w:r>
              <w:rPr>
                <w:rtl/>
              </w:rPr>
              <w:t>(12).</w:t>
            </w:r>
            <w:r w:rsidRPr="00132E65">
              <w:rPr>
                <w:rtl/>
              </w:rPr>
              <w:t xml:space="preserve"> في حاشية « ج » : « وكتب »</w:t>
            </w:r>
            <w:r>
              <w:rPr>
                <w:rtl/>
              </w:rPr>
              <w:t>.</w:t>
            </w:r>
          </w:p>
        </w:tc>
      </w:tr>
      <w:tr w:rsidR="003B3197" w:rsidTr="003B3197">
        <w:tc>
          <w:tcPr>
            <w:tcW w:w="4261" w:type="dxa"/>
          </w:tcPr>
          <w:p w:rsidR="003B3197" w:rsidRDefault="003B3197" w:rsidP="000C39D1">
            <w:pPr>
              <w:pStyle w:val="libFootnote0"/>
              <w:rPr>
                <w:rtl/>
              </w:rPr>
            </w:pPr>
            <w:r>
              <w:rPr>
                <w:rtl/>
              </w:rPr>
              <w:t>(13)</w:t>
            </w:r>
            <w:r w:rsidRPr="00132E65">
              <w:rPr>
                <w:rtl/>
              </w:rPr>
              <w:t xml:space="preserve"> في الإرشاد : « عن حمّى »</w:t>
            </w:r>
            <w:r>
              <w:rPr>
                <w:rtl/>
              </w:rPr>
              <w:t>.</w:t>
            </w:r>
          </w:p>
        </w:tc>
        <w:tc>
          <w:tcPr>
            <w:tcW w:w="4262" w:type="dxa"/>
          </w:tcPr>
          <w:p w:rsidR="003B3197" w:rsidRDefault="003B3197" w:rsidP="000C39D1">
            <w:pPr>
              <w:pStyle w:val="libFootnote0"/>
              <w:rPr>
                <w:rtl/>
              </w:rPr>
            </w:pPr>
            <w:r>
              <w:rPr>
                <w:rtl/>
              </w:rPr>
              <w:t>(14)</w:t>
            </w:r>
            <w:r w:rsidRPr="00132E65">
              <w:rPr>
                <w:rtl/>
              </w:rPr>
              <w:t xml:space="preserve"> في « بر ، بف » </w:t>
            </w:r>
            <w:r>
              <w:rPr>
                <w:rtl/>
              </w:rPr>
              <w:t xml:space="preserve">: - </w:t>
            </w:r>
            <w:r w:rsidRPr="00132E65">
              <w:rPr>
                <w:rtl/>
              </w:rPr>
              <w:t>« في »</w:t>
            </w:r>
            <w:r>
              <w:rPr>
                <w:rtl/>
              </w:rPr>
              <w:t>.</w:t>
            </w:r>
          </w:p>
        </w:tc>
      </w:tr>
      <w:tr w:rsidR="003B3197" w:rsidTr="003B3197">
        <w:tc>
          <w:tcPr>
            <w:tcW w:w="4261" w:type="dxa"/>
          </w:tcPr>
          <w:p w:rsidR="003B3197" w:rsidRDefault="003B3197" w:rsidP="000C39D1">
            <w:pPr>
              <w:pStyle w:val="libFootnote0"/>
              <w:rPr>
                <w:rtl/>
              </w:rPr>
            </w:pPr>
            <w:r>
              <w:rPr>
                <w:rtl/>
              </w:rPr>
              <w:t>(15)</w:t>
            </w:r>
            <w:r w:rsidRPr="00132E65">
              <w:rPr>
                <w:rtl/>
              </w:rPr>
              <w:t xml:space="preserve"> أي علّق المكتوب أو الدعاء.</w:t>
            </w:r>
          </w:p>
        </w:tc>
        <w:tc>
          <w:tcPr>
            <w:tcW w:w="4262" w:type="dxa"/>
          </w:tcPr>
          <w:p w:rsidR="003B3197" w:rsidRDefault="003B3197" w:rsidP="000C39D1">
            <w:pPr>
              <w:pStyle w:val="libFootnote0"/>
              <w:rPr>
                <w:rtl/>
              </w:rPr>
            </w:pPr>
            <w:r>
              <w:rPr>
                <w:rtl/>
                <w:lang w:bidi="fa-IR"/>
              </w:rPr>
              <w:t>(16)</w:t>
            </w:r>
            <w:r w:rsidRPr="00132E65">
              <w:rPr>
                <w:rtl/>
                <w:lang w:bidi="fa-IR"/>
              </w:rPr>
              <w:t xml:space="preserve"> في الإرشاد </w:t>
            </w:r>
            <w:r>
              <w:rPr>
                <w:rtl/>
                <w:lang w:bidi="fa-IR"/>
              </w:rPr>
              <w:t xml:space="preserve">: - </w:t>
            </w:r>
            <w:r w:rsidRPr="00132E65">
              <w:rPr>
                <w:rtl/>
                <w:lang w:bidi="fa-IR"/>
              </w:rPr>
              <w:t>« فإنّه يبرأ بإذن الله إن شاء الله »</w:t>
            </w:r>
            <w:r>
              <w:rPr>
                <w:rtl/>
                <w:lang w:bidi="fa-IR"/>
              </w:rPr>
              <w:t>.</w:t>
            </w:r>
          </w:p>
        </w:tc>
      </w:tr>
      <w:tr w:rsidR="003B3197" w:rsidTr="003B3197">
        <w:tc>
          <w:tcPr>
            <w:tcW w:w="4261" w:type="dxa"/>
          </w:tcPr>
          <w:p w:rsidR="003B3197" w:rsidRDefault="003B3197" w:rsidP="000C39D1">
            <w:pPr>
              <w:pStyle w:val="libFootnote0"/>
              <w:rPr>
                <w:rtl/>
              </w:rPr>
            </w:pPr>
            <w:r>
              <w:rPr>
                <w:rtl/>
              </w:rPr>
              <w:t>(17)</w:t>
            </w:r>
            <w:r w:rsidRPr="00132E65">
              <w:rPr>
                <w:rtl/>
              </w:rPr>
              <w:t xml:space="preserve"> الأنبياء (21) : 69.</w:t>
            </w:r>
          </w:p>
        </w:tc>
        <w:tc>
          <w:tcPr>
            <w:tcW w:w="4262" w:type="dxa"/>
          </w:tcPr>
          <w:p w:rsidR="003B3197" w:rsidRDefault="003B3197" w:rsidP="000C39D1">
            <w:pPr>
              <w:pStyle w:val="libFootnote0"/>
              <w:rPr>
                <w:rtl/>
              </w:rPr>
            </w:pPr>
            <w:r>
              <w:rPr>
                <w:rtl/>
              </w:rPr>
              <w:t>(18)</w:t>
            </w:r>
            <w:r w:rsidRPr="00132E65">
              <w:rPr>
                <w:rtl/>
              </w:rPr>
              <w:t xml:space="preserve"> في حاشية « ف » : « كما »</w:t>
            </w:r>
            <w:r>
              <w:rPr>
                <w:rtl/>
              </w:rPr>
              <w:t>.</w:t>
            </w:r>
          </w:p>
        </w:tc>
      </w:tr>
    </w:tbl>
    <w:p w:rsidR="000C39D1" w:rsidRPr="00132E65" w:rsidRDefault="000C39D1" w:rsidP="000C39D1">
      <w:pPr>
        <w:pStyle w:val="libFootnote0"/>
        <w:rPr>
          <w:rtl/>
          <w:lang w:bidi="fa-IR"/>
        </w:rPr>
      </w:pPr>
      <w:r>
        <w:rPr>
          <w:rtl/>
        </w:rPr>
        <w:t>(19)</w:t>
      </w:r>
      <w:r w:rsidRPr="00132E65">
        <w:rPr>
          <w:rtl/>
        </w:rPr>
        <w:t xml:space="preserve"> في الإرشاد : « فكتبت ذلك وعلّقته على المحموم ، فأفاق وبرأ » بدل « فعلّقنا</w:t>
      </w:r>
      <w:r>
        <w:rPr>
          <w:rtl/>
        </w:rPr>
        <w:t xml:space="preserve"> - </w:t>
      </w:r>
      <w:r w:rsidRPr="00132E65">
        <w:rPr>
          <w:rtl/>
        </w:rPr>
        <w:t>إلى</w:t>
      </w:r>
      <w:r>
        <w:rPr>
          <w:rtl/>
        </w:rPr>
        <w:t xml:space="preserve"> - </w:t>
      </w:r>
      <w:r w:rsidRPr="00132E65">
        <w:rPr>
          <w:rtl/>
        </w:rPr>
        <w:t>فأفاق »</w:t>
      </w:r>
      <w:r>
        <w:rPr>
          <w:rtl/>
        </w:rPr>
        <w:t>.</w:t>
      </w:r>
    </w:p>
    <w:p w:rsidR="000C39D1" w:rsidRPr="00132E65" w:rsidRDefault="000C39D1" w:rsidP="009604AC">
      <w:pPr>
        <w:pStyle w:val="libFootnote0"/>
        <w:rPr>
          <w:rtl/>
          <w:lang w:bidi="fa-IR"/>
        </w:rPr>
      </w:pPr>
      <w:r>
        <w:rPr>
          <w:rtl/>
        </w:rPr>
        <w:t>(20)</w:t>
      </w:r>
      <w:r w:rsidRPr="00132E65">
        <w:rPr>
          <w:rtl/>
        </w:rPr>
        <w:t xml:space="preserve"> </w:t>
      </w:r>
      <w:r w:rsidRPr="007E1ED7">
        <w:rPr>
          <w:rtl/>
        </w:rPr>
        <w:t>الإرشاد</w:t>
      </w:r>
      <w:r w:rsidRPr="00132E65">
        <w:rPr>
          <w:rtl/>
        </w:rPr>
        <w:t xml:space="preserve"> ، ج 2 ، ص 331 ، بسنده عن الكليني</w:t>
      </w:r>
      <w:r w:rsidR="009604AC">
        <w:rPr>
          <w:rFonts w:hint="cs"/>
          <w:rtl/>
        </w:rPr>
        <w:t>.</w:t>
      </w:r>
      <w:r w:rsidRPr="009D1ACE">
        <w:rPr>
          <w:rStyle w:val="libFootnoteBoldChar"/>
          <w:rtl/>
        </w:rPr>
        <w:t>الوافي</w:t>
      </w:r>
      <w:r w:rsidRPr="00132E65">
        <w:rPr>
          <w:rtl/>
        </w:rPr>
        <w:t xml:space="preserve"> ، ج 3 ، ص 853 ، ح 1468.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عَبْدِ اللهِ بْنِ عَبَّاسِ بْنِ عَبْدِ الْمُطَّلِبِ </w:t>
      </w:r>
      <w:r>
        <w:rPr>
          <w:rStyle w:val="libFootnotenumChar"/>
          <w:rtl/>
        </w:rPr>
        <w:t>(1)</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قَعَدْتُ لِأَبِي مُحَمَّدٍ </w:t>
      </w:r>
      <w:r w:rsidRPr="00071CF9">
        <w:rPr>
          <w:rStyle w:val="libAlaemChar"/>
          <w:rtl/>
        </w:rPr>
        <w:t>عليه‌السلام</w:t>
      </w:r>
      <w:r w:rsidRPr="00132E65">
        <w:rPr>
          <w:rtl/>
          <w:lang w:bidi="fa-IR"/>
        </w:rPr>
        <w:t xml:space="preserve"> عَلى ظَهْرِ الطَّرِيقِ </w:t>
      </w:r>
      <w:r>
        <w:rPr>
          <w:rStyle w:val="libFootnotenumChar"/>
          <w:rtl/>
        </w:rPr>
        <w:t>(2)</w:t>
      </w:r>
      <w:r w:rsidRPr="00132E65">
        <w:rPr>
          <w:rtl/>
          <w:lang w:bidi="fa-IR"/>
        </w:rPr>
        <w:t xml:space="preserve"> ، فَلَمَّا مَرَّ بِي شَكَوْتُ إِلَيْهِ الْحَاجَةَ ، وَحَلَفْتُ لَهُ </w:t>
      </w:r>
      <w:r>
        <w:rPr>
          <w:rStyle w:val="libFootnotenumChar"/>
          <w:rtl/>
        </w:rPr>
        <w:t>(3)</w:t>
      </w:r>
      <w:r w:rsidRPr="00132E65">
        <w:rPr>
          <w:rtl/>
          <w:lang w:bidi="fa-IR"/>
        </w:rPr>
        <w:t xml:space="preserve"> أَنَّهُ لَيْسَ </w:t>
      </w:r>
      <w:r>
        <w:rPr>
          <w:rStyle w:val="libFootnotenumChar"/>
          <w:rtl/>
        </w:rPr>
        <w:t>(4)</w:t>
      </w:r>
      <w:r w:rsidRPr="00132E65">
        <w:rPr>
          <w:rtl/>
          <w:lang w:bidi="fa-IR"/>
        </w:rPr>
        <w:t xml:space="preserve"> عِنْدِي دِرْهَمٌ فَمَا فَوْقَهُ </w:t>
      </w:r>
      <w:r>
        <w:rPr>
          <w:rStyle w:val="libFootnotenumChar"/>
          <w:rtl/>
        </w:rPr>
        <w:t>(5)</w:t>
      </w:r>
      <w:r w:rsidRPr="00132E65">
        <w:rPr>
          <w:rtl/>
          <w:lang w:bidi="fa-IR"/>
        </w:rPr>
        <w:t xml:space="preserve"> ، و</w:t>
      </w:r>
      <w:r w:rsidR="009604AC">
        <w:rPr>
          <w:rFonts w:hint="cs"/>
          <w:rtl/>
          <w:lang w:bidi="fa-IR"/>
        </w:rPr>
        <w:t>َ</w:t>
      </w:r>
      <w:r w:rsidRPr="00132E65">
        <w:rPr>
          <w:rtl/>
          <w:lang w:bidi="fa-IR"/>
        </w:rPr>
        <w:t xml:space="preserve">لَاغَدَاءٌ </w:t>
      </w:r>
      <w:r>
        <w:rPr>
          <w:rStyle w:val="libFootnotenumChar"/>
          <w:rtl/>
        </w:rPr>
        <w:t>(6)</w:t>
      </w:r>
      <w:r w:rsidRPr="00132E65">
        <w:rPr>
          <w:rtl/>
          <w:lang w:bidi="fa-IR"/>
        </w:rPr>
        <w:t xml:space="preserve"> ، و</w:t>
      </w:r>
      <w:r w:rsidR="00F46E76">
        <w:rPr>
          <w:rFonts w:hint="cs"/>
          <w:rtl/>
          <w:lang w:bidi="fa-IR"/>
        </w:rPr>
        <w:t>َ</w:t>
      </w:r>
      <w:r w:rsidRPr="00132E65">
        <w:rPr>
          <w:rtl/>
          <w:lang w:bidi="fa-IR"/>
        </w:rPr>
        <w:t xml:space="preserve">لَاعَشَاءٌ </w:t>
      </w:r>
      <w:r>
        <w:rPr>
          <w:rStyle w:val="libFootnotenumChar"/>
          <w:rtl/>
        </w:rPr>
        <w:t>(7)</w:t>
      </w:r>
      <w:r w:rsidR="00F46E76" w:rsidRPr="00F46E76">
        <w:rPr>
          <w:rFonts w:hint="cs"/>
          <w:rtl/>
        </w:rPr>
        <w:t>.</w:t>
      </w:r>
    </w:p>
    <w:p w:rsidR="000C39D1" w:rsidRPr="00132E65" w:rsidRDefault="000C39D1" w:rsidP="000C39D1">
      <w:pPr>
        <w:pStyle w:val="libNormal"/>
        <w:rPr>
          <w:rtl/>
          <w:lang w:bidi="fa-IR"/>
        </w:rPr>
      </w:pPr>
      <w:r w:rsidRPr="00132E65">
        <w:rPr>
          <w:rtl/>
          <w:lang w:bidi="fa-IR"/>
        </w:rPr>
        <w:t>قَالَ : فَقَالَ : « تَحْلِفُ بِاللهِ كَاذِباً ؛ و</w:t>
      </w:r>
      <w:r w:rsidR="00F46E76">
        <w:rPr>
          <w:rFonts w:hint="cs"/>
          <w:rtl/>
          <w:lang w:bidi="fa-IR"/>
        </w:rPr>
        <w:t>َ</w:t>
      </w:r>
      <w:r w:rsidRPr="00132E65">
        <w:rPr>
          <w:rtl/>
          <w:lang w:bidi="fa-IR"/>
        </w:rPr>
        <w:t>قَدْ دَفَنْتَ مِائَتَيْ دِينَارٍ ، و</w:t>
      </w:r>
      <w:r w:rsidR="00F46E76">
        <w:rPr>
          <w:rFonts w:hint="cs"/>
          <w:rtl/>
          <w:lang w:bidi="fa-IR"/>
        </w:rPr>
        <w:t>َ</w:t>
      </w:r>
      <w:r w:rsidRPr="00132E65">
        <w:rPr>
          <w:rtl/>
          <w:lang w:bidi="fa-IR"/>
        </w:rPr>
        <w:t xml:space="preserve">لَيْسَ قَوْلِي هذَا دَفْعاً لَكَ عَنِ الْعَطِيَّةِ ، أَعْطِهِ يَا غُلَامُ مَا مَعَكَ » ، فَأَعْطَانِي </w:t>
      </w:r>
      <w:r>
        <w:rPr>
          <w:rStyle w:val="libFootnotenumChar"/>
          <w:rtl/>
        </w:rPr>
        <w:t>(8)</w:t>
      </w:r>
      <w:r w:rsidRPr="00132E65">
        <w:rPr>
          <w:rtl/>
          <w:lang w:bidi="fa-IR"/>
        </w:rPr>
        <w:t xml:space="preserve"> غُلَامُهُ </w:t>
      </w:r>
      <w:r>
        <w:rPr>
          <w:rStyle w:val="libFootnotenumChar"/>
          <w:rtl/>
        </w:rPr>
        <w:t>(9)</w:t>
      </w:r>
      <w:r w:rsidRPr="00132E65">
        <w:rPr>
          <w:rtl/>
          <w:lang w:bidi="fa-IR"/>
        </w:rPr>
        <w:t xml:space="preserve"> مِائَةَ دِينَارٍ ، ثُمَّ أَقْبَلَ عَلَيَّ ، فَقَالَ لِي : « إِنَّكَ تُحْرَمُهَا أَحْوَجَ مَا تَكُونُ إِلَيْهَا »</w:t>
      </w:r>
      <w:r>
        <w:rPr>
          <w:rtl/>
          <w:lang w:bidi="fa-IR"/>
        </w:rPr>
        <w:t xml:space="preserve"> - </w:t>
      </w:r>
      <w:r w:rsidRPr="00132E65">
        <w:rPr>
          <w:rtl/>
          <w:lang w:bidi="fa-IR"/>
        </w:rPr>
        <w:t>يَعْنِي الدَّنَانِيرَ الَّتِي دَفَنْتُ</w:t>
      </w:r>
      <w:r>
        <w:rPr>
          <w:rtl/>
          <w:lang w:bidi="fa-IR"/>
        </w:rPr>
        <w:t xml:space="preserve"> - </w:t>
      </w:r>
      <w:r w:rsidRPr="00132E65">
        <w:rPr>
          <w:rtl/>
          <w:lang w:bidi="fa-IR"/>
        </w:rPr>
        <w:t xml:space="preserve">وصَدَقَ </w:t>
      </w:r>
      <w:r w:rsidRPr="00071CF9">
        <w:rPr>
          <w:rStyle w:val="libAlaemChar"/>
          <w:rtl/>
        </w:rPr>
        <w:t>عليه‌السلام</w:t>
      </w:r>
      <w:r w:rsidRPr="00132E65">
        <w:rPr>
          <w:rtl/>
          <w:lang w:bidi="fa-IR"/>
        </w:rPr>
        <w:t xml:space="preserve"> ، وَكَانَ </w:t>
      </w:r>
      <w:r>
        <w:rPr>
          <w:rStyle w:val="libFootnotenumChar"/>
          <w:rtl/>
        </w:rPr>
        <w:t>(10)</w:t>
      </w:r>
      <w:r w:rsidRPr="00132E65">
        <w:rPr>
          <w:rtl/>
          <w:lang w:bidi="fa-IR"/>
        </w:rPr>
        <w:t xml:space="preserve"> كَمَا قَالَ ، دَفَنْتُ مِائَتَيْ دِينَارٍ ، و</w:t>
      </w:r>
      <w:r w:rsidR="00F46E76">
        <w:rPr>
          <w:rFonts w:hint="cs"/>
          <w:rtl/>
          <w:lang w:bidi="fa-IR"/>
        </w:rPr>
        <w:t>َ</w:t>
      </w:r>
      <w:r w:rsidRPr="00132E65">
        <w:rPr>
          <w:rtl/>
          <w:lang w:bidi="fa-IR"/>
        </w:rPr>
        <w:t>قُلْتُ : يَكُونُ ظَهْراً و</w:t>
      </w:r>
      <w:r w:rsidR="00F46E76">
        <w:rPr>
          <w:rFonts w:hint="cs"/>
          <w:rtl/>
          <w:lang w:bidi="fa-IR"/>
        </w:rPr>
        <w:t>َ</w:t>
      </w:r>
      <w:r w:rsidRPr="00132E65">
        <w:rPr>
          <w:rtl/>
          <w:lang w:bidi="fa-IR"/>
        </w:rPr>
        <w:t xml:space="preserve">كَهْفاً لَنَا ، فَاضْطُرِرْتُ </w:t>
      </w:r>
      <w:r>
        <w:rPr>
          <w:rStyle w:val="libFootnotenumChar"/>
          <w:rtl/>
        </w:rPr>
        <w:t>(11)</w:t>
      </w:r>
      <w:r w:rsidRPr="00132E65">
        <w:rPr>
          <w:rtl/>
          <w:lang w:bidi="fa-IR"/>
        </w:rPr>
        <w:t xml:space="preserve"> ضَرُورَةً شَدِيدَةً إِلى شَيْ‌ءٍ أُنْفِقُهُ </w:t>
      </w:r>
      <w:r>
        <w:rPr>
          <w:rStyle w:val="libFootnotenumChar"/>
          <w:rtl/>
        </w:rPr>
        <w:t>(12)</w:t>
      </w:r>
      <w:r w:rsidRPr="00132E65">
        <w:rPr>
          <w:rtl/>
          <w:lang w:bidi="fa-IR"/>
        </w:rPr>
        <w:t xml:space="preserve"> ، و</w:t>
      </w:r>
      <w:r w:rsidR="00F46E76">
        <w:rPr>
          <w:rFonts w:hint="cs"/>
          <w:rtl/>
          <w:lang w:bidi="fa-IR"/>
        </w:rPr>
        <w:t>َ</w:t>
      </w:r>
      <w:r w:rsidRPr="00132E65">
        <w:rPr>
          <w:rtl/>
          <w:lang w:bidi="fa-IR"/>
        </w:rPr>
        <w:t xml:space="preserve">انْغَلَقَتْ عَلَيَّ أَبْوَابُ الرِّزْقِ ، فَنَبَّشْتُ عَنْهَا ، فَإِذَا ابْنٌ لِي </w:t>
      </w:r>
      <w:r w:rsidRPr="00F543F1">
        <w:rPr>
          <w:rStyle w:val="libFootnotenumChar"/>
          <w:rtl/>
        </w:rPr>
        <w:t>(13)</w:t>
      </w:r>
      <w:r w:rsidRPr="00132E65">
        <w:rPr>
          <w:rtl/>
          <w:lang w:bidi="fa-IR"/>
        </w:rPr>
        <w:t xml:space="preserve"> قَدْ عَرَفَ مَوْضِعَهَا ، فَأَخَذَهَا و</w:t>
      </w:r>
      <w:r w:rsidR="00F46E76">
        <w:rPr>
          <w:rFonts w:hint="cs"/>
          <w:rtl/>
          <w:lang w:bidi="fa-IR"/>
        </w:rPr>
        <w:t>َ</w:t>
      </w:r>
      <w:r w:rsidRPr="00132E65">
        <w:rPr>
          <w:rtl/>
          <w:lang w:bidi="fa-IR"/>
        </w:rPr>
        <w:t xml:space="preserve">هَرَبَ ، فَمَا قَدَرْتُ مِنْهَا عَلى شَيْ‌ءٍ. </w:t>
      </w:r>
      <w:r w:rsidRPr="00F543F1">
        <w:rPr>
          <w:rStyle w:val="libFootnotenumChar"/>
          <w:rtl/>
        </w:rPr>
        <w:t>(14)</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العبّاس » بدل « عبّاس بن عبد المطّلب »</w:t>
      </w:r>
      <w:r>
        <w:rPr>
          <w:rtl/>
        </w:rPr>
        <w:t>.</w:t>
      </w:r>
    </w:p>
    <w:p w:rsidR="000C39D1" w:rsidRPr="00132E65" w:rsidRDefault="000C39D1" w:rsidP="000C39D1">
      <w:pPr>
        <w:pStyle w:val="libFootnote0"/>
        <w:rPr>
          <w:rtl/>
          <w:lang w:bidi="fa-IR"/>
        </w:rPr>
      </w:pPr>
      <w:r>
        <w:rPr>
          <w:rtl/>
        </w:rPr>
        <w:t>(2).</w:t>
      </w:r>
      <w:r w:rsidRPr="00132E65">
        <w:rPr>
          <w:rtl/>
        </w:rPr>
        <w:t xml:space="preserve"> « ظَهْرُ الطريق » : وسطه ونفسه ، أو حاشيته. راجع : </w:t>
      </w:r>
      <w:r w:rsidRPr="007E1ED7">
        <w:rPr>
          <w:rtl/>
        </w:rPr>
        <w:t>النهاية</w:t>
      </w:r>
      <w:r w:rsidRPr="00132E65">
        <w:rPr>
          <w:rtl/>
        </w:rPr>
        <w:t xml:space="preserve"> ، ج 3 ، ص 165 ( ظهر )</w:t>
      </w:r>
      <w:r>
        <w:rPr>
          <w:rtl/>
        </w:rPr>
        <w:t>.</w:t>
      </w:r>
    </w:p>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في « بس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هكذا في « ب ، بر » و</w:t>
      </w:r>
      <w:r w:rsidRPr="009D1ACE">
        <w:rPr>
          <w:rStyle w:val="libFootnoteBoldChar"/>
          <w:rtl/>
        </w:rPr>
        <w:t>الوافي</w:t>
      </w:r>
      <w:r w:rsidRPr="00132E65">
        <w:rPr>
          <w:rtl/>
        </w:rPr>
        <w:t xml:space="preserve"> والإرشاد : وهو الأنسب بالدرهم المذكّر. وفي المطبوع وأكثر النسخ : « فوقها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غذاء »</w:t>
      </w:r>
      <w:r>
        <w:rPr>
          <w:rtl/>
        </w:rPr>
        <w:t>.</w:t>
      </w:r>
      <w:r w:rsidRPr="00132E65">
        <w:rPr>
          <w:rtl/>
        </w:rPr>
        <w:t xml:space="preserve"> </w:t>
      </w:r>
      <w:r>
        <w:rPr>
          <w:rtl/>
        </w:rPr>
        <w:t>و «</w:t>
      </w:r>
      <w:r w:rsidRPr="00132E65">
        <w:rPr>
          <w:rtl/>
        </w:rPr>
        <w:t xml:space="preserve"> الغَداء » : الطعام الذي يؤكل أوّل النهار. </w:t>
      </w:r>
      <w:r w:rsidRPr="007E1ED7">
        <w:rPr>
          <w:rtl/>
        </w:rPr>
        <w:t>النهاية</w:t>
      </w:r>
      <w:r w:rsidRPr="00132E65">
        <w:rPr>
          <w:rtl/>
        </w:rPr>
        <w:t xml:space="preserve"> ، ج 3 ، ص 346 ( غدا )</w:t>
      </w:r>
      <w:r>
        <w:rPr>
          <w:rtl/>
        </w:rPr>
        <w:t>.</w:t>
      </w:r>
    </w:p>
    <w:p w:rsidR="000C39D1" w:rsidRPr="00132E65" w:rsidRDefault="000C39D1" w:rsidP="000C39D1">
      <w:pPr>
        <w:pStyle w:val="libFootnote0"/>
        <w:rPr>
          <w:rtl/>
          <w:lang w:bidi="fa-IR"/>
        </w:rPr>
      </w:pPr>
      <w:r>
        <w:rPr>
          <w:rtl/>
        </w:rPr>
        <w:t>(7).</w:t>
      </w:r>
      <w:r w:rsidRPr="00132E65">
        <w:rPr>
          <w:rtl/>
        </w:rPr>
        <w:t xml:space="preserve"> في « ض ، بح » : « ولا عشاء ولا غداء »</w:t>
      </w:r>
      <w:r>
        <w:rPr>
          <w:rtl/>
        </w:rPr>
        <w:t>.</w:t>
      </w:r>
      <w:r w:rsidRPr="00132E65">
        <w:rPr>
          <w:rtl/>
        </w:rPr>
        <w:t xml:space="preserve"> </w:t>
      </w:r>
      <w:r>
        <w:rPr>
          <w:rtl/>
        </w:rPr>
        <w:t>و «</w:t>
      </w:r>
      <w:r w:rsidRPr="00132E65">
        <w:rPr>
          <w:rtl/>
        </w:rPr>
        <w:t xml:space="preserve"> العَشاءُ » : الطعام الذى يُؤكل عند العِشاء. </w:t>
      </w:r>
      <w:r w:rsidRPr="007E1ED7">
        <w:rPr>
          <w:rtl/>
        </w:rPr>
        <w:t>النهاية</w:t>
      </w:r>
      <w:r w:rsidRPr="00132E65">
        <w:rPr>
          <w:rtl/>
        </w:rPr>
        <w:t xml:space="preserve"> ، ج 3 ، ص 242 ( عشا )</w:t>
      </w:r>
      <w:r>
        <w:rPr>
          <w:rtl/>
        </w:rPr>
        <w:t>.</w:t>
      </w:r>
    </w:p>
    <w:tbl>
      <w:tblPr>
        <w:tblStyle w:val="TableGrid"/>
        <w:bidiVisual/>
        <w:tblW w:w="0" w:type="auto"/>
        <w:tblLook w:val="04A0" w:firstRow="1" w:lastRow="0" w:firstColumn="1" w:lastColumn="0" w:noHBand="0" w:noVBand="1"/>
      </w:tblPr>
      <w:tblGrid>
        <w:gridCol w:w="4261"/>
        <w:gridCol w:w="4262"/>
      </w:tblGrid>
      <w:tr w:rsidR="005E2E8A" w:rsidTr="005E2E8A">
        <w:tc>
          <w:tcPr>
            <w:tcW w:w="4261" w:type="dxa"/>
          </w:tcPr>
          <w:p w:rsidR="005E2E8A" w:rsidRDefault="005E2E8A" w:rsidP="000C39D1">
            <w:pPr>
              <w:pStyle w:val="libFootnote0"/>
              <w:rPr>
                <w:rtl/>
              </w:rPr>
            </w:pPr>
            <w:r>
              <w:rPr>
                <w:rtl/>
              </w:rPr>
              <w:t>(8).</w:t>
            </w:r>
            <w:r w:rsidRPr="00132E65">
              <w:rPr>
                <w:rtl/>
              </w:rPr>
              <w:t xml:space="preserve"> في « بح ، بر » : « وأعطاني »</w:t>
            </w:r>
            <w:r>
              <w:rPr>
                <w:rtl/>
              </w:rPr>
              <w:t>.</w:t>
            </w:r>
          </w:p>
        </w:tc>
        <w:tc>
          <w:tcPr>
            <w:tcW w:w="4262" w:type="dxa"/>
          </w:tcPr>
          <w:p w:rsidR="005E2E8A" w:rsidRDefault="005E2E8A" w:rsidP="000C39D1">
            <w:pPr>
              <w:pStyle w:val="libFootnote0"/>
              <w:rPr>
                <w:rtl/>
              </w:rPr>
            </w:pPr>
            <w:r>
              <w:rPr>
                <w:rtl/>
              </w:rPr>
              <w:t>(9).</w:t>
            </w:r>
            <w:r w:rsidRPr="00132E65">
              <w:rPr>
                <w:rtl/>
              </w:rPr>
              <w:t xml:space="preserve"> في « ب » : « غلام »</w:t>
            </w:r>
            <w:r>
              <w:rPr>
                <w:rtl/>
              </w:rPr>
              <w:t>.</w:t>
            </w:r>
          </w:p>
        </w:tc>
      </w:tr>
    </w:tbl>
    <w:p w:rsidR="000C39D1" w:rsidRPr="00132E65" w:rsidRDefault="000C39D1" w:rsidP="000C39D1">
      <w:pPr>
        <w:pStyle w:val="libFootnote0"/>
        <w:rPr>
          <w:rtl/>
          <w:lang w:bidi="fa-IR"/>
        </w:rPr>
      </w:pPr>
      <w:r>
        <w:rPr>
          <w:rtl/>
        </w:rPr>
        <w:t>(10).</w:t>
      </w:r>
      <w:r w:rsidRPr="00132E65">
        <w:rPr>
          <w:rtl/>
        </w:rPr>
        <w:t xml:space="preserve"> في « بر » و</w:t>
      </w:r>
      <w:r w:rsidRPr="009D1ACE">
        <w:rPr>
          <w:rStyle w:val="libFootnoteBoldChar"/>
          <w:rtl/>
        </w:rPr>
        <w:t>الوافي</w:t>
      </w:r>
      <w:r w:rsidRPr="00132E65">
        <w:rPr>
          <w:rtl/>
        </w:rPr>
        <w:t xml:space="preserve"> : « فكان »</w:t>
      </w:r>
      <w:r>
        <w:rPr>
          <w:rtl/>
        </w:rPr>
        <w:t>.</w:t>
      </w:r>
    </w:p>
    <w:p w:rsidR="000C39D1" w:rsidRPr="00132E65" w:rsidRDefault="000C39D1" w:rsidP="000C39D1">
      <w:pPr>
        <w:pStyle w:val="libFootnote0"/>
        <w:rPr>
          <w:rtl/>
          <w:lang w:bidi="fa-IR"/>
        </w:rPr>
      </w:pPr>
      <w:r>
        <w:rPr>
          <w:rtl/>
        </w:rPr>
        <w:t>(11).</w:t>
      </w:r>
      <w:r w:rsidRPr="00132E65">
        <w:rPr>
          <w:rtl/>
        </w:rPr>
        <w:t xml:space="preserve"> في الإرشاد : « إنّك تحرم الدنانير التي دفنتها أحوج ما تكون إليها وصدق </w:t>
      </w:r>
      <w:r w:rsidRPr="0006034E">
        <w:rPr>
          <w:rStyle w:val="libFootnoteAlaemChar"/>
          <w:rtl/>
        </w:rPr>
        <w:t>عليه‌السلام</w:t>
      </w:r>
      <w:r w:rsidRPr="00132E65">
        <w:rPr>
          <w:rtl/>
        </w:rPr>
        <w:t xml:space="preserve"> ، وذلك أنّني أنفقت ما وصلني به واضطررت » بدل « إنّك تحرمها</w:t>
      </w:r>
      <w:r>
        <w:rPr>
          <w:rtl/>
        </w:rPr>
        <w:t xml:space="preserve"> - </w:t>
      </w:r>
      <w:r w:rsidRPr="00132E65">
        <w:rPr>
          <w:rtl/>
        </w:rPr>
        <w:t>إلى</w:t>
      </w:r>
      <w:r>
        <w:rPr>
          <w:rtl/>
        </w:rPr>
        <w:t xml:space="preserve"> - </w:t>
      </w:r>
      <w:r w:rsidRPr="00132E65">
        <w:rPr>
          <w:rtl/>
        </w:rPr>
        <w:t>فاضطررت »</w:t>
      </w:r>
      <w:r>
        <w:rPr>
          <w:rtl/>
        </w:rPr>
        <w:t>.</w:t>
      </w:r>
    </w:p>
    <w:p w:rsidR="000C39D1" w:rsidRPr="00132E65" w:rsidRDefault="000C39D1" w:rsidP="000C39D1">
      <w:pPr>
        <w:pStyle w:val="libFootnote0"/>
        <w:rPr>
          <w:rtl/>
          <w:lang w:bidi="fa-IR"/>
        </w:rPr>
      </w:pPr>
      <w:r>
        <w:rPr>
          <w:rtl/>
        </w:rPr>
        <w:t>(12).</w:t>
      </w:r>
      <w:r w:rsidRPr="00132E65">
        <w:rPr>
          <w:rtl/>
        </w:rPr>
        <w:t xml:space="preserve"> في « ف » : « أنفقته »</w:t>
      </w:r>
      <w:r>
        <w:rPr>
          <w:rtl/>
        </w:rPr>
        <w:t>.</w:t>
      </w:r>
    </w:p>
    <w:p w:rsidR="000C39D1" w:rsidRPr="00132E65" w:rsidRDefault="000C39D1" w:rsidP="000C39D1">
      <w:pPr>
        <w:pStyle w:val="libFootnote0"/>
        <w:rPr>
          <w:rtl/>
          <w:lang w:bidi="fa-IR"/>
        </w:rPr>
      </w:pPr>
      <w:r>
        <w:rPr>
          <w:rtl/>
        </w:rPr>
        <w:t>(13)</w:t>
      </w:r>
      <w:r w:rsidRPr="00132E65">
        <w:rPr>
          <w:rtl/>
        </w:rPr>
        <w:t xml:space="preserve"> في الإرشاد : « فنبشت عن الدنانير التي كنت دفنتها فلم أجدها ، فنظرت فإذا ابن عمّ لي » بدل « فنبشت</w:t>
      </w:r>
      <w:r>
        <w:rPr>
          <w:rtl/>
        </w:rPr>
        <w:t xml:space="preserve"> - </w:t>
      </w:r>
      <w:r w:rsidRPr="00132E65">
        <w:rPr>
          <w:rtl/>
        </w:rPr>
        <w:t>إلى</w:t>
      </w:r>
      <w:r>
        <w:rPr>
          <w:rtl/>
        </w:rPr>
        <w:t xml:space="preserve"> - </w:t>
      </w:r>
      <w:r w:rsidRPr="00132E65">
        <w:rPr>
          <w:rtl/>
        </w:rPr>
        <w:t>ابن لي »</w:t>
      </w:r>
      <w:r>
        <w:rPr>
          <w:rtl/>
        </w:rPr>
        <w:t>.</w:t>
      </w:r>
    </w:p>
    <w:p w:rsidR="000C39D1" w:rsidRPr="00132E65" w:rsidRDefault="000C39D1" w:rsidP="00C308C3">
      <w:pPr>
        <w:pStyle w:val="libFootnote0"/>
        <w:rPr>
          <w:rtl/>
          <w:lang w:bidi="fa-IR"/>
        </w:rPr>
      </w:pPr>
      <w:r>
        <w:rPr>
          <w:rtl/>
        </w:rPr>
        <w:t>(14)</w:t>
      </w:r>
      <w:r w:rsidRPr="00132E65">
        <w:rPr>
          <w:rtl/>
        </w:rPr>
        <w:t xml:space="preserve"> </w:t>
      </w:r>
      <w:r w:rsidRPr="007E1ED7">
        <w:rPr>
          <w:rtl/>
        </w:rPr>
        <w:t>الإرشاد</w:t>
      </w:r>
      <w:r w:rsidRPr="00132E65">
        <w:rPr>
          <w:rtl/>
        </w:rPr>
        <w:t xml:space="preserve"> ، ج 2 ، ص 332 ، بسنده عن الكليني</w:t>
      </w:r>
      <w:r w:rsidR="00C308C3">
        <w:rPr>
          <w:rFonts w:hint="cs"/>
          <w:rtl/>
        </w:rPr>
        <w:t>.</w:t>
      </w:r>
      <w:r w:rsidRPr="009D1ACE">
        <w:rPr>
          <w:rStyle w:val="libFootnoteBoldChar"/>
          <w:rtl/>
        </w:rPr>
        <w:t>الوافي</w:t>
      </w:r>
      <w:r w:rsidRPr="00132E65">
        <w:rPr>
          <w:rtl/>
        </w:rPr>
        <w:t xml:space="preserve"> ، ج 3 ، ص 854 ، ح 1469.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7E1ED7">
        <w:rPr>
          <w:rtl/>
        </w:rPr>
        <w:t>1344</w:t>
      </w:r>
      <w:r w:rsidRPr="004325D8">
        <w:rPr>
          <w:rStyle w:val="libBold2Char"/>
          <w:rtl/>
        </w:rPr>
        <w:t xml:space="preserve"> / 15.</w:t>
      </w:r>
      <w:r w:rsidRPr="00132E65">
        <w:rPr>
          <w:rtl/>
          <w:lang w:bidi="fa-IR"/>
        </w:rPr>
        <w:t xml:space="preserve"> إِسْحَاقُ قَالَ : حَدَّثَنِي </w:t>
      </w:r>
      <w:r>
        <w:rPr>
          <w:rStyle w:val="libFootnotenumChar"/>
          <w:rtl/>
        </w:rPr>
        <w:t>(1)</w:t>
      </w:r>
      <w:r w:rsidRPr="00132E65">
        <w:rPr>
          <w:rtl/>
          <w:lang w:bidi="fa-IR"/>
        </w:rPr>
        <w:t xml:space="preserve"> عَلِيُّ بْنُ زَيْدِ بْنِ </w:t>
      </w:r>
      <w:r>
        <w:rPr>
          <w:rStyle w:val="libFootnotenumChar"/>
          <w:rtl/>
        </w:rPr>
        <w:t>(2)</w:t>
      </w:r>
      <w:r w:rsidRPr="00132E65">
        <w:rPr>
          <w:rtl/>
          <w:lang w:bidi="fa-IR"/>
        </w:rPr>
        <w:t xml:space="preserve"> عَلِيِّ بْنِ الْحُسَيْنِ بْنِ عَلِيٍّ ، قَالَ :</w:t>
      </w:r>
    </w:p>
    <w:p w:rsidR="000C39D1" w:rsidRPr="00132E65" w:rsidRDefault="000C39D1" w:rsidP="00446E2B">
      <w:pPr>
        <w:pStyle w:val="libNormal"/>
        <w:rPr>
          <w:rtl/>
          <w:lang w:bidi="fa-IR"/>
        </w:rPr>
      </w:pPr>
      <w:r w:rsidRPr="00132E65">
        <w:rPr>
          <w:rtl/>
          <w:lang w:bidi="fa-IR"/>
        </w:rPr>
        <w:t>كَانَ لِي فَرَسٌ ، و</w:t>
      </w:r>
      <w:r w:rsidR="00446E2B">
        <w:rPr>
          <w:rFonts w:hint="cs"/>
          <w:rtl/>
          <w:lang w:bidi="fa-IR"/>
        </w:rPr>
        <w:t>َ</w:t>
      </w:r>
      <w:r w:rsidRPr="00132E65">
        <w:rPr>
          <w:rtl/>
          <w:lang w:bidi="fa-IR"/>
        </w:rPr>
        <w:t xml:space="preserve">كُنْتُ بِهِ مُعْجَباً </w:t>
      </w:r>
      <w:r>
        <w:rPr>
          <w:rStyle w:val="libFootnotenumChar"/>
          <w:rtl/>
        </w:rPr>
        <w:t>(3)</w:t>
      </w:r>
      <w:r w:rsidRPr="00132E65">
        <w:rPr>
          <w:rtl/>
          <w:lang w:bidi="fa-IR"/>
        </w:rPr>
        <w:t xml:space="preserve"> ، أُكْثِرُ ذِكْرَهُ فِي الْمَحَالِّ </w:t>
      </w:r>
      <w:r>
        <w:rPr>
          <w:rStyle w:val="libFootnotenumChar"/>
          <w:rtl/>
        </w:rPr>
        <w:t>(4)</w:t>
      </w:r>
      <w:r w:rsidRPr="00132E65">
        <w:rPr>
          <w:rtl/>
          <w:lang w:bidi="fa-IR"/>
        </w:rPr>
        <w:t xml:space="preserve"> ، فَدَخَلْتُ عَلى أَبِي مُحَمَّدٍ </w:t>
      </w:r>
      <w:r w:rsidRPr="00071CF9">
        <w:rPr>
          <w:rStyle w:val="libAlaemChar"/>
          <w:rtl/>
        </w:rPr>
        <w:t>عليه‌السلام</w:t>
      </w:r>
      <w:r w:rsidRPr="00132E65">
        <w:rPr>
          <w:rtl/>
          <w:lang w:bidi="fa-IR"/>
        </w:rPr>
        <w:t xml:space="preserve"> يَوْماً ، فَقَالَ لِي </w:t>
      </w:r>
      <w:r>
        <w:rPr>
          <w:rStyle w:val="libFootnotenumChar"/>
          <w:rtl/>
        </w:rPr>
        <w:t>(5)</w:t>
      </w:r>
      <w:r w:rsidRPr="00132E65">
        <w:rPr>
          <w:rtl/>
          <w:lang w:bidi="fa-IR"/>
        </w:rPr>
        <w:t xml:space="preserve"> : « مَا فَعَلَ فَرَسُكَ</w:t>
      </w:r>
      <w:r>
        <w:rPr>
          <w:rtl/>
          <w:lang w:bidi="fa-IR"/>
        </w:rPr>
        <w:t>؟</w:t>
      </w:r>
      <w:r w:rsidRPr="00132E65">
        <w:rPr>
          <w:rtl/>
          <w:lang w:bidi="fa-IR"/>
        </w:rPr>
        <w:t xml:space="preserve"> » فَقُلْتُ : هُوَ عِنْدِي ، و</w:t>
      </w:r>
      <w:r w:rsidR="00446E2B">
        <w:rPr>
          <w:rFonts w:hint="cs"/>
          <w:rtl/>
          <w:lang w:bidi="fa-IR"/>
        </w:rPr>
        <w:t>َ</w:t>
      </w:r>
      <w:r w:rsidRPr="00132E65">
        <w:rPr>
          <w:rtl/>
          <w:lang w:bidi="fa-IR"/>
        </w:rPr>
        <w:t xml:space="preserve">هُوَ ذَا هُوَ </w:t>
      </w:r>
      <w:r>
        <w:rPr>
          <w:rStyle w:val="libFootnotenumChar"/>
          <w:rtl/>
        </w:rPr>
        <w:t>(6)</w:t>
      </w:r>
      <w:r w:rsidRPr="00132E65">
        <w:rPr>
          <w:rtl/>
          <w:lang w:bidi="fa-IR"/>
        </w:rPr>
        <w:t xml:space="preserve"> عَلى بَابِكَ ، و</w:t>
      </w:r>
      <w:r w:rsidR="00446E2B">
        <w:rPr>
          <w:rFonts w:hint="cs"/>
          <w:rtl/>
          <w:lang w:bidi="fa-IR"/>
        </w:rPr>
        <w:t>َ</w:t>
      </w:r>
      <w:r w:rsidRPr="00132E65">
        <w:rPr>
          <w:rtl/>
          <w:lang w:bidi="fa-IR"/>
        </w:rPr>
        <w:t xml:space="preserve">عَنْهُ نَزَلْتُ </w:t>
      </w:r>
      <w:r>
        <w:rPr>
          <w:rStyle w:val="libFootnotenumChar"/>
          <w:rtl/>
        </w:rPr>
        <w:t>(7)</w:t>
      </w:r>
      <w:r w:rsidRPr="00132E65">
        <w:rPr>
          <w:rtl/>
          <w:lang w:bidi="fa-IR"/>
        </w:rPr>
        <w:t xml:space="preserve"> ، فَقَالَ لِيَ : « اسْتَبْدِلْ بِهِ قَبْلَ الْمَسَاءِ إِنْ قَدَرْتَ عَلى مُشْتَرٍ ، وَلَاتُؤَخِّرْ ذلِكَ » </w:t>
      </w:r>
      <w:r w:rsidR="00446E2B" w:rsidRPr="00132E65">
        <w:rPr>
          <w:rtl/>
          <w:lang w:bidi="fa-IR"/>
        </w:rPr>
        <w:t>و</w:t>
      </w:r>
      <w:r w:rsidR="00446E2B">
        <w:rPr>
          <w:rFonts w:hint="cs"/>
          <w:rtl/>
          <w:lang w:bidi="fa-IR"/>
        </w:rPr>
        <w:t>َ</w:t>
      </w:r>
      <w:r w:rsidRPr="00132E65">
        <w:rPr>
          <w:rtl/>
          <w:lang w:bidi="fa-IR"/>
        </w:rPr>
        <w:t xml:space="preserve">دَخَلَ عَلَيْنَا دَاخِلٌ ، </w:t>
      </w:r>
      <w:r w:rsidR="00446E2B" w:rsidRPr="00132E65">
        <w:rPr>
          <w:rtl/>
          <w:lang w:bidi="fa-IR"/>
        </w:rPr>
        <w:t>و</w:t>
      </w:r>
      <w:r w:rsidR="00446E2B">
        <w:rPr>
          <w:rFonts w:hint="cs"/>
          <w:rtl/>
          <w:lang w:bidi="fa-IR"/>
        </w:rPr>
        <w:t>َ</w:t>
      </w:r>
      <w:r w:rsidRPr="00132E65">
        <w:rPr>
          <w:rtl/>
          <w:lang w:bidi="fa-IR"/>
        </w:rPr>
        <w:t xml:space="preserve">انْقَطَعَ </w:t>
      </w:r>
      <w:r>
        <w:rPr>
          <w:rStyle w:val="libFootnotenumChar"/>
          <w:rtl/>
        </w:rPr>
        <w:t>(8)</w:t>
      </w:r>
      <w:r w:rsidRPr="00132E65">
        <w:rPr>
          <w:rtl/>
          <w:lang w:bidi="fa-IR"/>
        </w:rPr>
        <w:t xml:space="preserve"> الْكَلَامُ ، فَقُمْتُ مُتَفَكِّراً </w:t>
      </w:r>
      <w:r>
        <w:rPr>
          <w:rStyle w:val="libFootnotenumChar"/>
          <w:rtl/>
        </w:rPr>
        <w:t>(9)</w:t>
      </w:r>
      <w:r w:rsidRPr="00132E65">
        <w:rPr>
          <w:rtl/>
          <w:lang w:bidi="fa-IR"/>
        </w:rPr>
        <w:t xml:space="preserve"> ، </w:t>
      </w:r>
      <w:r w:rsidR="00446E2B" w:rsidRPr="00132E65">
        <w:rPr>
          <w:rtl/>
          <w:lang w:bidi="fa-IR"/>
        </w:rPr>
        <w:t>و</w:t>
      </w:r>
      <w:r w:rsidR="00446E2B">
        <w:rPr>
          <w:rFonts w:hint="cs"/>
          <w:rtl/>
          <w:lang w:bidi="fa-IR"/>
        </w:rPr>
        <w:t>َ</w:t>
      </w:r>
      <w:r w:rsidRPr="00132E65">
        <w:rPr>
          <w:rtl/>
          <w:lang w:bidi="fa-IR"/>
        </w:rPr>
        <w:t xml:space="preserve">مَضَيْتُ إِلى مَنْزِلِي ، فَأَخْبَرْتُ </w:t>
      </w:r>
      <w:r>
        <w:rPr>
          <w:rStyle w:val="libFootnotenumChar"/>
          <w:rtl/>
        </w:rPr>
        <w:t>(10)</w:t>
      </w:r>
      <w:r w:rsidRPr="00132E65">
        <w:rPr>
          <w:rtl/>
          <w:lang w:bidi="fa-IR"/>
        </w:rPr>
        <w:t xml:space="preserve"> أَخِي الْخَبَرَ ، فَقَالَ </w:t>
      </w:r>
      <w:r>
        <w:rPr>
          <w:rStyle w:val="libFootnotenumChar"/>
          <w:rtl/>
        </w:rPr>
        <w:t>(11)</w:t>
      </w:r>
      <w:r w:rsidRPr="00132E65">
        <w:rPr>
          <w:rtl/>
          <w:lang w:bidi="fa-IR"/>
        </w:rPr>
        <w:t xml:space="preserve"> : مَا أَدْرِي مَا أَقُولُ فِي هذَا ، </w:t>
      </w:r>
      <w:r w:rsidR="00446E2B" w:rsidRPr="00132E65">
        <w:rPr>
          <w:rtl/>
          <w:lang w:bidi="fa-IR"/>
        </w:rPr>
        <w:t>و</w:t>
      </w:r>
      <w:r w:rsidR="00446E2B">
        <w:rPr>
          <w:rFonts w:hint="cs"/>
          <w:rtl/>
          <w:lang w:bidi="fa-IR"/>
        </w:rPr>
        <w:t>َ</w:t>
      </w:r>
      <w:r w:rsidRPr="00132E65">
        <w:rPr>
          <w:rtl/>
          <w:lang w:bidi="fa-IR"/>
        </w:rPr>
        <w:t xml:space="preserve">شَحَحْتُ بِهِ </w:t>
      </w:r>
      <w:r>
        <w:rPr>
          <w:rStyle w:val="libFootnotenumChar"/>
          <w:rtl/>
        </w:rPr>
        <w:t>(12)</w:t>
      </w:r>
      <w:r w:rsidRPr="00132E65">
        <w:rPr>
          <w:rtl/>
          <w:lang w:bidi="fa-IR"/>
        </w:rPr>
        <w:t xml:space="preserve"> ، وَنَفِسْتُ </w:t>
      </w:r>
      <w:r w:rsidRPr="00F543F1">
        <w:rPr>
          <w:rStyle w:val="libFootnotenumChar"/>
          <w:rtl/>
        </w:rPr>
        <w:t>(13)</w:t>
      </w:r>
      <w:r w:rsidRPr="00132E65">
        <w:rPr>
          <w:rtl/>
          <w:lang w:bidi="fa-IR"/>
        </w:rPr>
        <w:t xml:space="preserve"> عَلَى النَّاسِ بِبَيْعِهِ </w:t>
      </w:r>
      <w:r w:rsidR="00446E2B" w:rsidRPr="00132E65">
        <w:rPr>
          <w:rtl/>
          <w:lang w:bidi="fa-IR"/>
        </w:rPr>
        <w:t>و</w:t>
      </w:r>
      <w:r w:rsidR="00446E2B">
        <w:rPr>
          <w:rFonts w:hint="cs"/>
          <w:rtl/>
          <w:lang w:bidi="fa-IR"/>
        </w:rPr>
        <w:t>َ</w:t>
      </w:r>
      <w:r w:rsidRPr="00132E65">
        <w:rPr>
          <w:rtl/>
          <w:lang w:bidi="fa-IR"/>
        </w:rPr>
        <w:t xml:space="preserve">أَمْسَيْنَا ، فَأَتَانَا السَّائِسُ </w:t>
      </w:r>
      <w:r w:rsidRPr="00F543F1">
        <w:rPr>
          <w:rStyle w:val="libFootnotenumChar"/>
          <w:rtl/>
        </w:rPr>
        <w:t>(14)</w:t>
      </w:r>
      <w:r>
        <w:rPr>
          <w:rtl/>
          <w:lang w:bidi="fa-IR"/>
        </w:rPr>
        <w:t xml:space="preserve"> - </w:t>
      </w:r>
      <w:r w:rsidR="00446E2B" w:rsidRPr="00132E65">
        <w:rPr>
          <w:rtl/>
          <w:lang w:bidi="fa-IR"/>
        </w:rPr>
        <w:t>و</w:t>
      </w:r>
      <w:r w:rsidR="00446E2B">
        <w:rPr>
          <w:rFonts w:hint="cs"/>
          <w:rtl/>
          <w:lang w:bidi="fa-IR"/>
        </w:rPr>
        <w:t>َ</w:t>
      </w:r>
      <w:r w:rsidRPr="00132E65">
        <w:rPr>
          <w:rtl/>
          <w:lang w:bidi="fa-IR"/>
        </w:rPr>
        <w:t xml:space="preserve">قَدْ صَلَّيْنَا </w:t>
      </w:r>
      <w:r w:rsidRPr="00F543F1">
        <w:rPr>
          <w:rStyle w:val="libFootnotenumChar"/>
          <w:rtl/>
        </w:rPr>
        <w:t>(15)</w:t>
      </w:r>
      <w:r w:rsidRPr="00132E65">
        <w:rPr>
          <w:rtl/>
          <w:lang w:bidi="fa-IR"/>
        </w:rPr>
        <w:t xml:space="preserve"> الْعَتَمَةَ </w:t>
      </w:r>
      <w:r w:rsidRPr="00F543F1">
        <w:rPr>
          <w:rStyle w:val="libFootnotenumChar"/>
          <w:rtl/>
        </w:rPr>
        <w:t>(16)</w:t>
      </w:r>
      <w:r w:rsidRPr="00132E65">
        <w:rPr>
          <w:rtl/>
          <w:lang w:bidi="fa-IR"/>
        </w:rPr>
        <w:t xml:space="preserve">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 « حدّثنا »</w:t>
      </w:r>
      <w:r>
        <w:rPr>
          <w:rtl/>
        </w:rPr>
        <w:t>.</w:t>
      </w:r>
    </w:p>
    <w:p w:rsidR="000C39D1" w:rsidRPr="00132E65" w:rsidRDefault="000C39D1" w:rsidP="000C39D1">
      <w:pPr>
        <w:pStyle w:val="libFootnote0"/>
        <w:rPr>
          <w:rtl/>
          <w:lang w:bidi="fa-IR"/>
        </w:rPr>
      </w:pPr>
      <w:r>
        <w:rPr>
          <w:rtl/>
        </w:rPr>
        <w:t>(2).</w:t>
      </w:r>
      <w:r w:rsidRPr="00132E65">
        <w:rPr>
          <w:rtl/>
        </w:rPr>
        <w:t xml:space="preserve"> في « ج ، ف ، بح ، بر ، بس » : « عن »</w:t>
      </w:r>
      <w:r>
        <w:rPr>
          <w:rtl/>
        </w:rPr>
        <w:t>.</w:t>
      </w:r>
      <w:r w:rsidRPr="00132E65">
        <w:rPr>
          <w:rtl/>
        </w:rPr>
        <w:t xml:space="preserve"> وهو سهو ، فإنّ عليّاً هذا ، هو عليّ بن زيد بن عليّ بن الحسين بن زيد بن عليّ بن الحسين بن عليّ بن أبي طالب. راجع : </w:t>
      </w:r>
      <w:r w:rsidRPr="007E1ED7">
        <w:rPr>
          <w:rtl/>
        </w:rPr>
        <w:t>تهذيب الأنساب</w:t>
      </w:r>
      <w:r w:rsidRPr="00132E65">
        <w:rPr>
          <w:rtl/>
        </w:rPr>
        <w:t xml:space="preserve"> ، ص 206</w:t>
      </w:r>
      <w:r>
        <w:rPr>
          <w:rtl/>
        </w:rPr>
        <w:t xml:space="preserve"> - </w:t>
      </w:r>
      <w:r w:rsidRPr="00132E65">
        <w:rPr>
          <w:rtl/>
        </w:rPr>
        <w:t xml:space="preserve">207 ؛ </w:t>
      </w:r>
      <w:r w:rsidRPr="007E1ED7">
        <w:rPr>
          <w:rtl/>
        </w:rPr>
        <w:t>المجدي في أنساب الطالبيين</w:t>
      </w:r>
      <w:r w:rsidRPr="00132E65">
        <w:rPr>
          <w:rtl/>
        </w:rPr>
        <w:t xml:space="preserve"> ، ص 164.</w:t>
      </w:r>
    </w:p>
    <w:p w:rsidR="000C39D1" w:rsidRPr="00132E65" w:rsidRDefault="000C39D1" w:rsidP="000C39D1">
      <w:pPr>
        <w:pStyle w:val="libFootnote0"/>
        <w:rPr>
          <w:rtl/>
          <w:lang w:bidi="fa-IR"/>
        </w:rPr>
      </w:pPr>
      <w:r w:rsidRPr="00661890">
        <w:rPr>
          <w:rtl/>
        </w:rPr>
        <w:t xml:space="preserve">يؤيّد ذلك أنّ الخبر أورده الشيخ المفيد في </w:t>
      </w:r>
      <w:r w:rsidRPr="007E1ED7">
        <w:rPr>
          <w:rtl/>
        </w:rPr>
        <w:t>الإرشاد</w:t>
      </w:r>
      <w:r w:rsidRPr="00661890">
        <w:rPr>
          <w:rtl/>
        </w:rPr>
        <w:t xml:space="preserve"> ، ج 2 ، ص 332 ، نقلاً من المصنّف ، وفيه : « عليّ بن زيد بن عليّ بن الحسين ».</w:t>
      </w:r>
    </w:p>
    <w:p w:rsidR="000C39D1" w:rsidRPr="00132E65" w:rsidRDefault="000C39D1" w:rsidP="00446E2B">
      <w:pPr>
        <w:pStyle w:val="libFootnote0"/>
        <w:rPr>
          <w:rtl/>
          <w:lang w:bidi="fa-IR"/>
        </w:rPr>
      </w:pPr>
      <w:r>
        <w:rPr>
          <w:rtl/>
        </w:rPr>
        <w:t>(3).</w:t>
      </w:r>
      <w:r w:rsidRPr="00132E65">
        <w:rPr>
          <w:rtl/>
        </w:rPr>
        <w:t xml:space="preserve"> في « ف » : « متعجّباً »</w:t>
      </w:r>
      <w:r>
        <w:rPr>
          <w:rtl/>
        </w:rPr>
        <w:t>.</w:t>
      </w:r>
      <w:r w:rsidRPr="00132E65">
        <w:rPr>
          <w:rtl/>
        </w:rPr>
        <w:t xml:space="preserve"> وقوله : « مُعْجباً » ، أي مسروراً ؛ من ا</w:t>
      </w:r>
      <w:r w:rsidR="00446E2B">
        <w:rPr>
          <w:rFonts w:hint="cs"/>
          <w:rtl/>
        </w:rPr>
        <w:t>ُ</w:t>
      </w:r>
      <w:r w:rsidRPr="00132E65">
        <w:rPr>
          <w:rtl/>
        </w:rPr>
        <w:t xml:space="preserve">عجب به ، أي عَجِبَ وسُرّ. راجع : </w:t>
      </w:r>
      <w:r w:rsidRPr="007E1ED7">
        <w:rPr>
          <w:rtl/>
        </w:rPr>
        <w:t>القاموس المحيط</w:t>
      </w:r>
      <w:r w:rsidRPr="00132E65">
        <w:rPr>
          <w:rtl/>
        </w:rPr>
        <w:t xml:space="preserve"> ، ج 1 ، ص 197 ( عجب )</w:t>
      </w:r>
      <w:r>
        <w:rPr>
          <w:rtl/>
        </w:rPr>
        <w:t>.</w:t>
      </w:r>
      <w:r w:rsidR="0006034E">
        <w:rPr>
          <w:rFonts w:hint="cs"/>
          <w:rtl/>
        </w:rPr>
        <w:t xml:space="preserve">                   </w:t>
      </w:r>
      <w:r w:rsidR="00446E2B">
        <w:rPr>
          <w:rFonts w:hint="cs"/>
          <w:rtl/>
        </w:rPr>
        <w:t xml:space="preserve">      </w:t>
      </w:r>
      <w:r>
        <w:rPr>
          <w:rtl/>
        </w:rPr>
        <w:t>(4).</w:t>
      </w:r>
      <w:r w:rsidRPr="00132E65">
        <w:rPr>
          <w:rtl/>
        </w:rPr>
        <w:t xml:space="preserve"> في الإرشاد : « المجالس »</w:t>
      </w:r>
      <w:r>
        <w:rPr>
          <w:rtl/>
        </w:rPr>
        <w:t>.</w:t>
      </w:r>
    </w:p>
    <w:tbl>
      <w:tblPr>
        <w:tblStyle w:val="TableGrid"/>
        <w:bidiVisual/>
        <w:tblW w:w="0" w:type="auto"/>
        <w:tblLook w:val="04A0" w:firstRow="1" w:lastRow="0" w:firstColumn="1" w:lastColumn="0" w:noHBand="0" w:noVBand="1"/>
      </w:tblPr>
      <w:tblGrid>
        <w:gridCol w:w="4261"/>
        <w:gridCol w:w="4262"/>
      </w:tblGrid>
      <w:tr w:rsidR="00446E2B" w:rsidTr="00446E2B">
        <w:tc>
          <w:tcPr>
            <w:tcW w:w="4261" w:type="dxa"/>
          </w:tcPr>
          <w:p w:rsidR="00446E2B" w:rsidRDefault="00446E2B" w:rsidP="000C39D1">
            <w:pPr>
              <w:pStyle w:val="libFootnote0"/>
              <w:rPr>
                <w:rtl/>
              </w:rPr>
            </w:pPr>
            <w:r>
              <w:rPr>
                <w:rtl/>
              </w:rPr>
              <w:t>(5).</w:t>
            </w:r>
            <w:r w:rsidRPr="00132E65">
              <w:rPr>
                <w:rtl/>
              </w:rPr>
              <w:t xml:space="preserve"> في الإرشاد </w:t>
            </w:r>
            <w:r>
              <w:rPr>
                <w:rtl/>
              </w:rPr>
              <w:t xml:space="preserve">: - </w:t>
            </w:r>
            <w:r w:rsidRPr="00132E65">
              <w:rPr>
                <w:rtl/>
              </w:rPr>
              <w:t>« لي »</w:t>
            </w:r>
            <w:r>
              <w:rPr>
                <w:rtl/>
              </w:rPr>
              <w:t>.</w:t>
            </w:r>
          </w:p>
        </w:tc>
        <w:tc>
          <w:tcPr>
            <w:tcW w:w="4262" w:type="dxa"/>
          </w:tcPr>
          <w:p w:rsidR="00446E2B" w:rsidRDefault="00446E2B" w:rsidP="000C39D1">
            <w:pPr>
              <w:pStyle w:val="libFootnote0"/>
              <w:rPr>
                <w:rtl/>
              </w:rPr>
            </w:pPr>
            <w:r>
              <w:rPr>
                <w:rtl/>
              </w:rPr>
              <w:t>(6).</w:t>
            </w:r>
            <w:r w:rsidRPr="00132E65">
              <w:rPr>
                <w:rtl/>
              </w:rPr>
              <w:t xml:space="preserve"> في « ب ، ض » </w:t>
            </w:r>
            <w:r>
              <w:rPr>
                <w:rtl/>
              </w:rPr>
              <w:t xml:space="preserve">: - </w:t>
            </w:r>
            <w:r w:rsidRPr="00132E65">
              <w:rPr>
                <w:rtl/>
              </w:rPr>
              <w:t>« هو »</w:t>
            </w:r>
            <w:r>
              <w:rPr>
                <w:rtl/>
              </w:rPr>
              <w:t>.</w:t>
            </w:r>
          </w:p>
        </w:tc>
      </w:tr>
    </w:tbl>
    <w:p w:rsidR="000C39D1" w:rsidRPr="00132E65" w:rsidRDefault="000C39D1" w:rsidP="000C39D1">
      <w:pPr>
        <w:pStyle w:val="libFootnote0"/>
        <w:rPr>
          <w:rtl/>
          <w:lang w:bidi="fa-IR"/>
        </w:rPr>
      </w:pPr>
      <w:r>
        <w:rPr>
          <w:rtl/>
        </w:rPr>
        <w:t>(7).</w:t>
      </w:r>
      <w:r w:rsidRPr="00132E65">
        <w:rPr>
          <w:rtl/>
        </w:rPr>
        <w:t xml:space="preserve"> في الإرشاد : « الآن نزلت عنه » بدل « وعنه نزلت »</w:t>
      </w:r>
      <w:r>
        <w:rPr>
          <w:rtl/>
        </w:rPr>
        <w:t>.</w:t>
      </w:r>
    </w:p>
    <w:tbl>
      <w:tblPr>
        <w:tblStyle w:val="TableGrid"/>
        <w:bidiVisual/>
        <w:tblW w:w="0" w:type="auto"/>
        <w:tblLook w:val="04A0" w:firstRow="1" w:lastRow="0" w:firstColumn="1" w:lastColumn="0" w:noHBand="0" w:noVBand="1"/>
      </w:tblPr>
      <w:tblGrid>
        <w:gridCol w:w="4261"/>
        <w:gridCol w:w="4262"/>
      </w:tblGrid>
      <w:tr w:rsidR="00413428" w:rsidTr="00413428">
        <w:tc>
          <w:tcPr>
            <w:tcW w:w="4261" w:type="dxa"/>
          </w:tcPr>
          <w:p w:rsidR="00413428" w:rsidRDefault="00413428" w:rsidP="000C39D1">
            <w:pPr>
              <w:pStyle w:val="libFootnote0"/>
              <w:rPr>
                <w:rtl/>
                <w:lang w:bidi="fa-IR"/>
              </w:rPr>
            </w:pPr>
            <w:r>
              <w:rPr>
                <w:rtl/>
              </w:rPr>
              <w:t>(8).</w:t>
            </w:r>
            <w:r w:rsidRPr="00132E65">
              <w:rPr>
                <w:rtl/>
              </w:rPr>
              <w:t xml:space="preserve"> في الإرشاد : « فانقطع »</w:t>
            </w:r>
            <w:r>
              <w:rPr>
                <w:rtl/>
              </w:rPr>
              <w:t>.</w:t>
            </w:r>
          </w:p>
        </w:tc>
        <w:tc>
          <w:tcPr>
            <w:tcW w:w="4262" w:type="dxa"/>
          </w:tcPr>
          <w:p w:rsidR="00413428" w:rsidRDefault="00413428" w:rsidP="000C39D1">
            <w:pPr>
              <w:pStyle w:val="libFootnote0"/>
              <w:rPr>
                <w:rtl/>
                <w:lang w:bidi="fa-IR"/>
              </w:rPr>
            </w:pPr>
            <w:r>
              <w:rPr>
                <w:rtl/>
              </w:rPr>
              <w:t>(9).</w:t>
            </w:r>
            <w:r w:rsidRPr="00132E65">
              <w:rPr>
                <w:rtl/>
              </w:rPr>
              <w:t xml:space="preserve"> في « ب ، بر ، بف » والإرشاد : « مفكّراً »</w:t>
            </w:r>
            <w:r>
              <w:rPr>
                <w:rtl/>
              </w:rPr>
              <w:t>.</w:t>
            </w:r>
          </w:p>
        </w:tc>
      </w:tr>
      <w:tr w:rsidR="00413428" w:rsidTr="00413428">
        <w:tc>
          <w:tcPr>
            <w:tcW w:w="4261" w:type="dxa"/>
          </w:tcPr>
          <w:p w:rsidR="00413428" w:rsidRDefault="00413428" w:rsidP="000C39D1">
            <w:pPr>
              <w:pStyle w:val="libFootnote0"/>
              <w:rPr>
                <w:rtl/>
                <w:lang w:bidi="fa-IR"/>
              </w:rPr>
            </w:pPr>
            <w:r>
              <w:rPr>
                <w:rtl/>
              </w:rPr>
              <w:t>(10).</w:t>
            </w:r>
            <w:r w:rsidRPr="00132E65">
              <w:rPr>
                <w:rtl/>
              </w:rPr>
              <w:t xml:space="preserve"> في « ب » : « وأخبرت »</w:t>
            </w:r>
            <w:r>
              <w:rPr>
                <w:rtl/>
              </w:rPr>
              <w:t>.</w:t>
            </w:r>
          </w:p>
        </w:tc>
        <w:tc>
          <w:tcPr>
            <w:tcW w:w="4262" w:type="dxa"/>
          </w:tcPr>
          <w:p w:rsidR="00413428" w:rsidRDefault="00413428" w:rsidP="000C39D1">
            <w:pPr>
              <w:pStyle w:val="libFootnote0"/>
              <w:rPr>
                <w:rtl/>
                <w:lang w:bidi="fa-IR"/>
              </w:rPr>
            </w:pPr>
            <w:r>
              <w:rPr>
                <w:rtl/>
              </w:rPr>
              <w:t>(11).</w:t>
            </w:r>
            <w:r w:rsidRPr="00132E65">
              <w:rPr>
                <w:rtl/>
              </w:rPr>
              <w:t xml:space="preserve"> في الإرشاد : « فأخبرت أخي ، فقال لي »</w:t>
            </w:r>
            <w:r>
              <w:rPr>
                <w:rtl/>
              </w:rPr>
              <w:t>.</w:t>
            </w:r>
          </w:p>
        </w:tc>
      </w:tr>
    </w:tbl>
    <w:p w:rsidR="000C39D1" w:rsidRPr="00132E65" w:rsidRDefault="000C39D1" w:rsidP="000C39D1">
      <w:pPr>
        <w:pStyle w:val="libFootnote0"/>
        <w:rPr>
          <w:rtl/>
          <w:lang w:bidi="fa-IR"/>
        </w:rPr>
      </w:pPr>
      <w:r>
        <w:rPr>
          <w:rtl/>
        </w:rPr>
        <w:t>(12).</w:t>
      </w:r>
      <w:r w:rsidRPr="00132E65">
        <w:rPr>
          <w:rtl/>
        </w:rPr>
        <w:t xml:space="preserve"> في « ف » </w:t>
      </w:r>
      <w:r>
        <w:rPr>
          <w:rtl/>
        </w:rPr>
        <w:t xml:space="preserve">: - </w:t>
      </w:r>
      <w:r w:rsidRPr="00132E65">
        <w:rPr>
          <w:rtl/>
        </w:rPr>
        <w:t>« به »</w:t>
      </w:r>
      <w:r>
        <w:rPr>
          <w:rtl/>
        </w:rPr>
        <w:t>.</w:t>
      </w:r>
      <w:r w:rsidRPr="00132E65">
        <w:rPr>
          <w:rtl/>
        </w:rPr>
        <w:t xml:space="preserve"> وقوله : « شَحَحْتُ » </w:t>
      </w:r>
      <w:r>
        <w:rPr>
          <w:rtl/>
        </w:rPr>
        <w:t>و «</w:t>
      </w:r>
      <w:r w:rsidRPr="00132E65">
        <w:rPr>
          <w:rtl/>
        </w:rPr>
        <w:t xml:space="preserve"> شَحِحْتُ به » ؛ بخلت وضَنَنْتُ به ؛ من الشُحّ وهو البخل مع الحرص. راجع : </w:t>
      </w:r>
      <w:r w:rsidRPr="009D1ACE">
        <w:rPr>
          <w:rStyle w:val="libFootnoteBoldChar"/>
          <w:rtl/>
        </w:rPr>
        <w:t>لسان العرب</w:t>
      </w:r>
      <w:r w:rsidRPr="00132E65">
        <w:rPr>
          <w:rtl/>
        </w:rPr>
        <w:t xml:space="preserve"> ، ج 2 ، ص 495</w:t>
      </w:r>
      <w:r>
        <w:rPr>
          <w:rtl/>
        </w:rPr>
        <w:t xml:space="preserve"> - </w:t>
      </w:r>
      <w:r w:rsidRPr="00132E65">
        <w:rPr>
          <w:rtl/>
        </w:rPr>
        <w:t>496 ( شحح )</w:t>
      </w:r>
      <w:r>
        <w:rPr>
          <w:rtl/>
        </w:rPr>
        <w:t>.</w:t>
      </w:r>
    </w:p>
    <w:p w:rsidR="000C39D1" w:rsidRPr="00132E65" w:rsidRDefault="000C39D1" w:rsidP="000C39D1">
      <w:pPr>
        <w:pStyle w:val="libFootnote0"/>
        <w:rPr>
          <w:rtl/>
          <w:lang w:bidi="fa-IR"/>
        </w:rPr>
      </w:pPr>
      <w:r>
        <w:rPr>
          <w:rtl/>
        </w:rPr>
        <w:t>(13)</w:t>
      </w:r>
      <w:r w:rsidRPr="00132E65">
        <w:rPr>
          <w:rtl/>
        </w:rPr>
        <w:t xml:space="preserve"> « نفستُ » ، أي حسدتُ. راجع : </w:t>
      </w:r>
      <w:r w:rsidRPr="007E1ED7">
        <w:rPr>
          <w:rtl/>
        </w:rPr>
        <w:t>القاموس المحيط</w:t>
      </w:r>
      <w:r w:rsidRPr="00132E65">
        <w:rPr>
          <w:rtl/>
        </w:rPr>
        <w:t xml:space="preserve"> ، ج 1 ، ص 790 ( نفس )</w:t>
      </w:r>
      <w:r>
        <w:rPr>
          <w:rtl/>
        </w:rPr>
        <w:t>.</w:t>
      </w:r>
    </w:p>
    <w:p w:rsidR="000C39D1" w:rsidRPr="00132E65" w:rsidRDefault="000C39D1" w:rsidP="000C39D1">
      <w:pPr>
        <w:pStyle w:val="libFootnote0"/>
        <w:rPr>
          <w:rtl/>
          <w:lang w:bidi="fa-IR"/>
        </w:rPr>
      </w:pPr>
      <w:r>
        <w:rPr>
          <w:rtl/>
        </w:rPr>
        <w:t>(14)</w:t>
      </w:r>
      <w:r w:rsidRPr="00132E65">
        <w:rPr>
          <w:rtl/>
        </w:rPr>
        <w:t xml:space="preserve"> « السائس » : مَن فِعله السياسة ، وهو القيام على الشي‌ء بما يصلحه. والمراد هنا سائس الدوابّ ، وهو الذي قام عليها وراضَها. راجع : </w:t>
      </w:r>
      <w:r w:rsidRPr="009D1ACE">
        <w:rPr>
          <w:rStyle w:val="libFootnoteBoldChar"/>
          <w:rtl/>
        </w:rPr>
        <w:t>لسان العرب</w:t>
      </w:r>
      <w:r w:rsidRPr="00132E65">
        <w:rPr>
          <w:rtl/>
        </w:rPr>
        <w:t xml:space="preserve"> ، ج 6 ، ص 108 ( سوس )</w:t>
      </w:r>
      <w:r>
        <w:rPr>
          <w:rtl/>
        </w:rPr>
        <w:t>.</w:t>
      </w:r>
    </w:p>
    <w:p w:rsidR="000C39D1" w:rsidRPr="00132E65" w:rsidRDefault="000C39D1" w:rsidP="000C39D1">
      <w:pPr>
        <w:pStyle w:val="libFootnote0"/>
        <w:rPr>
          <w:rtl/>
          <w:lang w:bidi="fa-IR"/>
        </w:rPr>
      </w:pPr>
      <w:r>
        <w:rPr>
          <w:rtl/>
        </w:rPr>
        <w:t>(15)</w:t>
      </w:r>
      <w:r w:rsidRPr="00132E65">
        <w:rPr>
          <w:rtl/>
        </w:rPr>
        <w:t xml:space="preserve"> في « بر » : « وقد صلّيت »</w:t>
      </w:r>
      <w:r>
        <w:rPr>
          <w:rtl/>
        </w:rPr>
        <w:t>.</w:t>
      </w:r>
    </w:p>
    <w:p w:rsidR="000C39D1" w:rsidRPr="00132E65" w:rsidRDefault="000C39D1" w:rsidP="000C39D1">
      <w:pPr>
        <w:pStyle w:val="libFootnote0"/>
        <w:rPr>
          <w:rtl/>
          <w:lang w:bidi="fa-IR"/>
        </w:rPr>
      </w:pPr>
      <w:r>
        <w:rPr>
          <w:rtl/>
        </w:rPr>
        <w:t>(16)</w:t>
      </w:r>
      <w:r w:rsidRPr="00132E65">
        <w:rPr>
          <w:rtl/>
        </w:rPr>
        <w:t xml:space="preserve"> في الإرشاد : « فلمّا صلّيت العتمة جاءني السائس » بدل « فأتانا</w:t>
      </w:r>
      <w:r>
        <w:rPr>
          <w:rtl/>
        </w:rPr>
        <w:t xml:space="preserve"> - </w:t>
      </w:r>
      <w:r w:rsidRPr="00132E65">
        <w:rPr>
          <w:rtl/>
        </w:rPr>
        <w:t>إلى</w:t>
      </w:r>
      <w:r>
        <w:rPr>
          <w:rtl/>
        </w:rPr>
        <w:t xml:space="preserve"> - </w:t>
      </w:r>
      <w:r w:rsidRPr="00132E65">
        <w:rPr>
          <w:rtl/>
        </w:rPr>
        <w:t>العتمة »</w:t>
      </w:r>
      <w:r>
        <w:rPr>
          <w:rtl/>
        </w:rPr>
        <w:t>.</w:t>
      </w:r>
      <w:r w:rsidRPr="00132E65">
        <w:rPr>
          <w:rtl/>
        </w:rPr>
        <w:t xml:space="preserve"> وتقدّم معنى العتمة ذيل الحديث 1 من هذا الباب.</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فَقَالَ : يَا مَوْلَايَ ، نَفَقَ </w:t>
      </w:r>
      <w:r>
        <w:rPr>
          <w:rStyle w:val="libFootnotenumChar"/>
          <w:rtl/>
        </w:rPr>
        <w:t>(1)</w:t>
      </w:r>
      <w:r w:rsidRPr="00132E65">
        <w:rPr>
          <w:rtl/>
          <w:lang w:bidi="fa-IR"/>
        </w:rPr>
        <w:t xml:space="preserve"> فَرَسُكَ </w:t>
      </w:r>
      <w:r>
        <w:rPr>
          <w:rStyle w:val="libFootnotenumChar"/>
          <w:rtl/>
        </w:rPr>
        <w:t>(2)</w:t>
      </w:r>
      <w:r w:rsidRPr="00132E65">
        <w:rPr>
          <w:rtl/>
          <w:lang w:bidi="fa-IR"/>
        </w:rPr>
        <w:t xml:space="preserve"> ، فَاغْتَمَمْتُ ، وعَلِمْتُ أَنَّهُ عَنى هذَا بِذلِكَ الْقَوْلِ.</w:t>
      </w:r>
    </w:p>
    <w:p w:rsidR="000C39D1" w:rsidRPr="00132E65" w:rsidRDefault="000C39D1" w:rsidP="000C39D1">
      <w:pPr>
        <w:pStyle w:val="libNormal"/>
        <w:rPr>
          <w:rtl/>
          <w:lang w:bidi="fa-IR"/>
        </w:rPr>
      </w:pPr>
      <w:r w:rsidRPr="00132E65">
        <w:rPr>
          <w:rtl/>
          <w:lang w:bidi="fa-IR"/>
        </w:rPr>
        <w:t xml:space="preserve">قَالَ </w:t>
      </w:r>
      <w:r>
        <w:rPr>
          <w:rStyle w:val="libFootnotenumChar"/>
          <w:rtl/>
        </w:rPr>
        <w:t>(3)</w:t>
      </w:r>
      <w:r w:rsidRPr="00132E65">
        <w:rPr>
          <w:rtl/>
          <w:lang w:bidi="fa-IR"/>
        </w:rPr>
        <w:t xml:space="preserve"> : ثُمَّ دَخَلْتُ عَلى أَبِي مُحَمَّدٍ </w:t>
      </w:r>
      <w:r w:rsidRPr="00071CF9">
        <w:rPr>
          <w:rStyle w:val="libAlaemChar"/>
          <w:rtl/>
        </w:rPr>
        <w:t>عليه‌السلام</w:t>
      </w:r>
      <w:r w:rsidRPr="00132E65">
        <w:rPr>
          <w:rtl/>
          <w:lang w:bidi="fa-IR"/>
        </w:rPr>
        <w:t xml:space="preserve"> بَعْدَ أَيَّامٍ و</w:t>
      </w:r>
      <w:r w:rsidR="00A14621">
        <w:rPr>
          <w:rFonts w:hint="cs"/>
          <w:rtl/>
          <w:lang w:bidi="fa-IR"/>
        </w:rPr>
        <w:t>َ</w:t>
      </w:r>
      <w:r w:rsidRPr="00132E65">
        <w:rPr>
          <w:rtl/>
          <w:lang w:bidi="fa-IR"/>
        </w:rPr>
        <w:t xml:space="preserve">أَنَا </w:t>
      </w:r>
      <w:r>
        <w:rPr>
          <w:rStyle w:val="libFootnotenumChar"/>
          <w:rtl/>
        </w:rPr>
        <w:t>(4)</w:t>
      </w:r>
      <w:r w:rsidRPr="00132E65">
        <w:rPr>
          <w:rtl/>
          <w:lang w:bidi="fa-IR"/>
        </w:rPr>
        <w:t xml:space="preserve"> أَقُولُ فِي نَفْسِي : لَيْتَهُ أَخْلَفَ عَلَيَّ دَابَّةً </w:t>
      </w:r>
      <w:r>
        <w:rPr>
          <w:rStyle w:val="libFootnotenumChar"/>
          <w:rtl/>
        </w:rPr>
        <w:t>(5)</w:t>
      </w:r>
      <w:r w:rsidRPr="00132E65">
        <w:rPr>
          <w:rtl/>
          <w:lang w:bidi="fa-IR"/>
        </w:rPr>
        <w:t xml:space="preserve"> ؛ إِذْ كُنْتُ اغْتَمَمْتُ بِقَوْلِهِ </w:t>
      </w:r>
      <w:r>
        <w:rPr>
          <w:rStyle w:val="libFootnotenumChar"/>
          <w:rtl/>
        </w:rPr>
        <w:t>(6)</w:t>
      </w:r>
      <w:r w:rsidRPr="00132E65">
        <w:rPr>
          <w:rtl/>
          <w:lang w:bidi="fa-IR"/>
        </w:rPr>
        <w:t xml:space="preserve"> ، فَلَمَّا </w:t>
      </w:r>
      <w:r>
        <w:rPr>
          <w:rStyle w:val="libFootnotenumChar"/>
          <w:rtl/>
        </w:rPr>
        <w:t>(7)</w:t>
      </w:r>
      <w:r w:rsidRPr="00132E65">
        <w:rPr>
          <w:rtl/>
          <w:lang w:bidi="fa-IR"/>
        </w:rPr>
        <w:t xml:space="preserve"> جَلَسْتُ ، قَالَ </w:t>
      </w:r>
      <w:r>
        <w:rPr>
          <w:rStyle w:val="libFootnotenumChar"/>
          <w:rtl/>
        </w:rPr>
        <w:t>(8)</w:t>
      </w:r>
      <w:r w:rsidRPr="00132E65">
        <w:rPr>
          <w:rtl/>
          <w:lang w:bidi="fa-IR"/>
        </w:rPr>
        <w:t xml:space="preserve"> : « نَعَمْ ، نُخْلِفُ </w:t>
      </w:r>
      <w:r>
        <w:rPr>
          <w:rStyle w:val="libFootnotenumChar"/>
          <w:rtl/>
        </w:rPr>
        <w:t>(9)</w:t>
      </w:r>
      <w:r w:rsidRPr="00132E65">
        <w:rPr>
          <w:rtl/>
          <w:lang w:bidi="fa-IR"/>
        </w:rPr>
        <w:t xml:space="preserve"> دَابَّةً </w:t>
      </w:r>
      <w:r>
        <w:rPr>
          <w:rStyle w:val="libFootnotenumChar"/>
          <w:rtl/>
        </w:rPr>
        <w:t>(10)</w:t>
      </w:r>
      <w:r w:rsidRPr="00132E65">
        <w:rPr>
          <w:rtl/>
          <w:lang w:bidi="fa-IR"/>
        </w:rPr>
        <w:t xml:space="preserve"> عَلَيْكَ </w:t>
      </w:r>
      <w:r>
        <w:rPr>
          <w:rStyle w:val="libFootnotenumChar"/>
          <w:rtl/>
        </w:rPr>
        <w:t>(11)</w:t>
      </w:r>
      <w:r w:rsidRPr="00132E65">
        <w:rPr>
          <w:rtl/>
          <w:lang w:bidi="fa-IR"/>
        </w:rPr>
        <w:t xml:space="preserve"> ؛ يَا غُلَامُ ، أَعْطِهِ </w:t>
      </w:r>
      <w:r>
        <w:rPr>
          <w:rStyle w:val="libFootnotenumChar"/>
          <w:rtl/>
        </w:rPr>
        <w:t>(12)</w:t>
      </w:r>
      <w:r w:rsidRPr="00132E65">
        <w:rPr>
          <w:rtl/>
          <w:lang w:bidi="fa-IR"/>
        </w:rPr>
        <w:t xml:space="preserve"> بِرْذَوْنِيَ </w:t>
      </w:r>
      <w:r w:rsidRPr="00F543F1">
        <w:rPr>
          <w:rStyle w:val="libFootnotenumChar"/>
          <w:rtl/>
        </w:rPr>
        <w:t>(13)</w:t>
      </w:r>
      <w:r w:rsidRPr="00132E65">
        <w:rPr>
          <w:rtl/>
          <w:lang w:bidi="fa-IR"/>
        </w:rPr>
        <w:t xml:space="preserve"> الْكُمَيْتَ </w:t>
      </w:r>
      <w:r w:rsidRPr="00F543F1">
        <w:rPr>
          <w:rStyle w:val="libFootnotenumChar"/>
          <w:rtl/>
        </w:rPr>
        <w:t>(14)</w:t>
      </w:r>
      <w:r w:rsidRPr="00132E65">
        <w:rPr>
          <w:rtl/>
          <w:lang w:bidi="fa-IR"/>
        </w:rPr>
        <w:t xml:space="preserve"> ، هذَا خَيْرٌ مِنْ فَرَسِكَ ، و</w:t>
      </w:r>
      <w:r w:rsidR="00A14621">
        <w:rPr>
          <w:rFonts w:hint="cs"/>
          <w:rtl/>
          <w:lang w:bidi="fa-IR"/>
        </w:rPr>
        <w:t>َ</w:t>
      </w:r>
      <w:r w:rsidRPr="00132E65">
        <w:rPr>
          <w:rtl/>
          <w:lang w:bidi="fa-IR"/>
        </w:rPr>
        <w:t xml:space="preserve">أَوْطَأُ </w:t>
      </w:r>
      <w:r w:rsidRPr="00F543F1">
        <w:rPr>
          <w:rStyle w:val="libFootnotenumChar"/>
          <w:rtl/>
        </w:rPr>
        <w:t>(15)</w:t>
      </w:r>
      <w:r w:rsidRPr="00132E65">
        <w:rPr>
          <w:rtl/>
          <w:lang w:bidi="fa-IR"/>
        </w:rPr>
        <w:t xml:space="preserve"> ، و</w:t>
      </w:r>
      <w:r w:rsidR="00A14621">
        <w:rPr>
          <w:rFonts w:hint="cs"/>
          <w:rtl/>
          <w:lang w:bidi="fa-IR"/>
        </w:rPr>
        <w:t>َ</w:t>
      </w:r>
      <w:r w:rsidRPr="00132E65">
        <w:rPr>
          <w:rtl/>
          <w:lang w:bidi="fa-IR"/>
        </w:rPr>
        <w:t>أَطْوَلُ عُمُراً »</w:t>
      </w:r>
      <w:r>
        <w:rPr>
          <w:rtl/>
          <w:lang w:bidi="fa-IR"/>
        </w:rPr>
        <w:t>.</w:t>
      </w:r>
      <w:r w:rsidRPr="00132E65">
        <w:rPr>
          <w:rtl/>
          <w:lang w:bidi="fa-IR"/>
        </w:rPr>
        <w:t xml:space="preserve"> </w:t>
      </w:r>
      <w:r w:rsidRPr="00F543F1">
        <w:rPr>
          <w:rStyle w:val="libFootnotenumChar"/>
          <w:rtl/>
        </w:rPr>
        <w:t>(16)</w:t>
      </w:r>
    </w:p>
    <w:p w:rsidR="000C39D1" w:rsidRPr="00132E65" w:rsidRDefault="000C39D1" w:rsidP="000C39D1">
      <w:pPr>
        <w:pStyle w:val="libNormal"/>
        <w:rPr>
          <w:rtl/>
          <w:lang w:bidi="fa-IR"/>
        </w:rPr>
      </w:pPr>
      <w:r w:rsidRPr="007E1ED7">
        <w:rPr>
          <w:rtl/>
        </w:rPr>
        <w:t>1345</w:t>
      </w:r>
      <w:r w:rsidRPr="004325D8">
        <w:rPr>
          <w:rStyle w:val="libBold2Char"/>
          <w:rtl/>
        </w:rPr>
        <w:t xml:space="preserve"> / 16.</w:t>
      </w:r>
      <w:r w:rsidRPr="00132E65">
        <w:rPr>
          <w:rtl/>
          <w:lang w:bidi="fa-IR"/>
        </w:rPr>
        <w:t xml:space="preserve"> إِسْحَاقُ قَالَ : حَدَّثَنِي مُحَمَّدُ بْنُ الْحَسَنِ بْنِ شَمُّونٍ ، قَالَ : حَدَّثَنِي أَحْمَدُ بْنُ مُحَمَّدٍ ، قَالَ :</w:t>
      </w:r>
    </w:p>
    <w:p w:rsidR="000C39D1" w:rsidRPr="00132E65" w:rsidRDefault="000C39D1" w:rsidP="000C39D1">
      <w:pPr>
        <w:pStyle w:val="libNormal"/>
        <w:rPr>
          <w:rtl/>
          <w:lang w:bidi="fa-IR"/>
        </w:rPr>
      </w:pPr>
      <w:r w:rsidRPr="00132E65">
        <w:rPr>
          <w:rtl/>
          <w:lang w:bidi="fa-IR"/>
        </w:rPr>
        <w:t xml:space="preserve">كَتَبْتُ إِلى أَبِي مُحَمَّدٍ </w:t>
      </w:r>
      <w:r w:rsidRPr="00071CF9">
        <w:rPr>
          <w:rStyle w:val="libAlaemChar"/>
          <w:rtl/>
        </w:rPr>
        <w:t>عليه‌السلام</w:t>
      </w:r>
      <w:r w:rsidRPr="00132E65">
        <w:rPr>
          <w:rtl/>
          <w:lang w:bidi="fa-IR"/>
        </w:rPr>
        <w:t xml:space="preserve"> حِينَ أَخَذَ الْمُهْتَدِي فِي قَتْلِ الْمَوَالِي : يَا سَيِّدِي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نفق » ، أي مات. يقال : نفقتِ الدابّة تَنْفُق نُفوقاً ، أي ماتت. راجع : </w:t>
      </w:r>
      <w:r w:rsidRPr="007E1ED7">
        <w:rPr>
          <w:rtl/>
        </w:rPr>
        <w:t>الصحاح</w:t>
      </w:r>
      <w:r w:rsidRPr="00132E65">
        <w:rPr>
          <w:rtl/>
        </w:rPr>
        <w:t xml:space="preserve"> ، ج 4 ، ص 1560 ( نفق )</w:t>
      </w:r>
      <w:r>
        <w:rPr>
          <w:rtl/>
        </w:rPr>
        <w:t>.</w:t>
      </w:r>
    </w:p>
    <w:p w:rsidR="000C39D1" w:rsidRPr="00132E65" w:rsidRDefault="000C39D1" w:rsidP="000C39D1">
      <w:pPr>
        <w:pStyle w:val="libFootnote0"/>
        <w:rPr>
          <w:rtl/>
          <w:lang w:bidi="fa-IR"/>
        </w:rPr>
      </w:pPr>
      <w:r>
        <w:rPr>
          <w:rtl/>
        </w:rPr>
        <w:t>(2).</w:t>
      </w:r>
      <w:r w:rsidRPr="00132E65">
        <w:rPr>
          <w:rtl/>
        </w:rPr>
        <w:t xml:space="preserve"> في الإرشاد :</w:t>
      </w:r>
      <w:r>
        <w:rPr>
          <w:rtl/>
        </w:rPr>
        <w:t xml:space="preserve"> + </w:t>
      </w:r>
      <w:r w:rsidRPr="00132E65">
        <w:rPr>
          <w:rtl/>
        </w:rPr>
        <w:t>« الساعة »</w:t>
      </w:r>
      <w:r>
        <w:rPr>
          <w:rtl/>
        </w:rPr>
        <w:t>.</w:t>
      </w:r>
    </w:p>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قال »</w:t>
      </w:r>
      <w:r>
        <w:rPr>
          <w:rtl/>
        </w:rPr>
        <w:t>.</w:t>
      </w:r>
    </w:p>
    <w:p w:rsidR="000C39D1" w:rsidRPr="00132E65" w:rsidRDefault="000C39D1" w:rsidP="000C39D1">
      <w:pPr>
        <w:pStyle w:val="libFootnote0"/>
        <w:rPr>
          <w:rtl/>
          <w:lang w:bidi="fa-IR"/>
        </w:rPr>
      </w:pPr>
      <w:r>
        <w:rPr>
          <w:rtl/>
        </w:rPr>
        <w:t>(4).</w:t>
      </w:r>
      <w:r w:rsidRPr="00132E65">
        <w:rPr>
          <w:rtl/>
        </w:rPr>
        <w:t xml:space="preserve"> في « ض » : « فأنا »</w:t>
      </w:r>
      <w:r>
        <w:rPr>
          <w:rtl/>
        </w:rPr>
        <w:t>.</w:t>
      </w:r>
    </w:p>
    <w:tbl>
      <w:tblPr>
        <w:tblStyle w:val="TableGrid"/>
        <w:bidiVisual/>
        <w:tblW w:w="0" w:type="auto"/>
        <w:tblLook w:val="04A0" w:firstRow="1" w:lastRow="0" w:firstColumn="1" w:lastColumn="0" w:noHBand="0" w:noVBand="1"/>
      </w:tblPr>
      <w:tblGrid>
        <w:gridCol w:w="4261"/>
        <w:gridCol w:w="4262"/>
      </w:tblGrid>
      <w:tr w:rsidR="00A14621" w:rsidTr="00A14621">
        <w:tc>
          <w:tcPr>
            <w:tcW w:w="4261" w:type="dxa"/>
          </w:tcPr>
          <w:p w:rsidR="00A14621" w:rsidRDefault="00A14621" w:rsidP="000C39D1">
            <w:pPr>
              <w:pStyle w:val="libFootnote0"/>
              <w:rPr>
                <w:rtl/>
              </w:rPr>
            </w:pPr>
            <w:r>
              <w:rPr>
                <w:rtl/>
              </w:rPr>
              <w:t>(5).</w:t>
            </w:r>
            <w:r w:rsidRPr="00132E65">
              <w:rPr>
                <w:rtl/>
              </w:rPr>
              <w:t xml:space="preserve"> في « ف » : « دابّتي »</w:t>
            </w:r>
            <w:r>
              <w:rPr>
                <w:rtl/>
              </w:rPr>
              <w:t>.</w:t>
            </w:r>
          </w:p>
        </w:tc>
        <w:tc>
          <w:tcPr>
            <w:tcW w:w="4262" w:type="dxa"/>
          </w:tcPr>
          <w:p w:rsidR="00A14621" w:rsidRDefault="00D75F4F" w:rsidP="000C39D1">
            <w:pPr>
              <w:pStyle w:val="libFootnote0"/>
              <w:rPr>
                <w:rtl/>
              </w:rPr>
            </w:pPr>
            <w:r>
              <w:rPr>
                <w:rtl/>
              </w:rPr>
              <w:t>(6).</w:t>
            </w:r>
            <w:r w:rsidRPr="00132E65">
              <w:rPr>
                <w:rtl/>
              </w:rPr>
              <w:t xml:space="preserve"> في الإرشاد </w:t>
            </w:r>
            <w:r>
              <w:rPr>
                <w:rtl/>
              </w:rPr>
              <w:t xml:space="preserve">: - </w:t>
            </w:r>
            <w:r w:rsidRPr="00132E65">
              <w:rPr>
                <w:rtl/>
              </w:rPr>
              <w:t>« إذ كنت اغتممت بقوله »</w:t>
            </w:r>
            <w:r>
              <w:rPr>
                <w:rtl/>
              </w:rPr>
              <w:t>.</w:t>
            </w:r>
          </w:p>
        </w:tc>
      </w:tr>
      <w:tr w:rsidR="00A14621" w:rsidTr="00A14621">
        <w:tc>
          <w:tcPr>
            <w:tcW w:w="4261" w:type="dxa"/>
          </w:tcPr>
          <w:p w:rsidR="00A14621" w:rsidRDefault="00D75F4F" w:rsidP="000C39D1">
            <w:pPr>
              <w:pStyle w:val="libFootnote0"/>
              <w:rPr>
                <w:rtl/>
              </w:rPr>
            </w:pPr>
            <w:r>
              <w:rPr>
                <w:rtl/>
              </w:rPr>
              <w:t>(7).</w:t>
            </w:r>
            <w:r w:rsidRPr="00132E65">
              <w:rPr>
                <w:rtl/>
              </w:rPr>
              <w:t xml:space="preserve"> في « ب ، بر » : « ثمّ »</w:t>
            </w:r>
            <w:r>
              <w:rPr>
                <w:rtl/>
              </w:rPr>
              <w:t>.</w:t>
            </w:r>
          </w:p>
        </w:tc>
        <w:tc>
          <w:tcPr>
            <w:tcW w:w="4262" w:type="dxa"/>
          </w:tcPr>
          <w:p w:rsidR="00A14621" w:rsidRDefault="00D75F4F" w:rsidP="000C39D1">
            <w:pPr>
              <w:pStyle w:val="libFootnote0"/>
              <w:rPr>
                <w:rtl/>
              </w:rPr>
            </w:pPr>
            <w:r>
              <w:rPr>
                <w:rtl/>
              </w:rPr>
              <w:t>(8).</w:t>
            </w:r>
            <w:r w:rsidRPr="00132E65">
              <w:rPr>
                <w:rtl/>
              </w:rPr>
              <w:t xml:space="preserve"> في الإرشاد :</w:t>
            </w:r>
            <w:r>
              <w:rPr>
                <w:rtl/>
              </w:rPr>
              <w:t xml:space="preserve"> + </w:t>
            </w:r>
            <w:r w:rsidRPr="00132E65">
              <w:rPr>
                <w:rtl/>
              </w:rPr>
              <w:t>« قبل أن ا</w:t>
            </w:r>
            <w:r>
              <w:rPr>
                <w:rFonts w:hint="cs"/>
                <w:rtl/>
              </w:rPr>
              <w:t>ُ</w:t>
            </w:r>
            <w:r w:rsidRPr="00132E65">
              <w:rPr>
                <w:rtl/>
              </w:rPr>
              <w:t>حدث بشي‌ء »</w:t>
            </w:r>
            <w:r>
              <w:rPr>
                <w:rtl/>
              </w:rPr>
              <w:t>.</w:t>
            </w:r>
          </w:p>
        </w:tc>
      </w:tr>
      <w:tr w:rsidR="00A14621" w:rsidTr="00A14621">
        <w:tc>
          <w:tcPr>
            <w:tcW w:w="4261" w:type="dxa"/>
          </w:tcPr>
          <w:p w:rsidR="00A14621" w:rsidRDefault="00D75F4F" w:rsidP="000C39D1">
            <w:pPr>
              <w:pStyle w:val="libFootnote0"/>
              <w:rPr>
                <w:rtl/>
              </w:rPr>
            </w:pPr>
            <w:r>
              <w:rPr>
                <w:rtl/>
              </w:rPr>
              <w:t>(9).</w:t>
            </w:r>
            <w:r w:rsidRPr="00132E65">
              <w:rPr>
                <w:rtl/>
              </w:rPr>
              <w:t xml:space="preserve"> في « ج » : « نخلّف » بالتثقيل.</w:t>
            </w:r>
          </w:p>
        </w:tc>
        <w:tc>
          <w:tcPr>
            <w:tcW w:w="4262" w:type="dxa"/>
          </w:tcPr>
          <w:p w:rsidR="00A14621" w:rsidRDefault="00D75F4F" w:rsidP="000C39D1">
            <w:pPr>
              <w:pStyle w:val="libFootnote0"/>
              <w:rPr>
                <w:rtl/>
              </w:rPr>
            </w:pPr>
            <w:r>
              <w:rPr>
                <w:rtl/>
              </w:rPr>
              <w:t>(10).</w:t>
            </w:r>
            <w:r w:rsidRPr="00132E65">
              <w:rPr>
                <w:rtl/>
              </w:rPr>
              <w:t xml:space="preserve"> في الإرشاد </w:t>
            </w:r>
            <w:r>
              <w:rPr>
                <w:rtl/>
              </w:rPr>
              <w:t xml:space="preserve">: - </w:t>
            </w:r>
            <w:r w:rsidRPr="00132E65">
              <w:rPr>
                <w:rtl/>
              </w:rPr>
              <w:t>« دابّة »</w:t>
            </w:r>
            <w:r>
              <w:rPr>
                <w:rtl/>
              </w:rPr>
              <w:t>.</w:t>
            </w:r>
          </w:p>
        </w:tc>
      </w:tr>
    </w:tbl>
    <w:p w:rsidR="000C39D1" w:rsidRPr="00132E65" w:rsidRDefault="000C39D1" w:rsidP="000C39D1">
      <w:pPr>
        <w:pStyle w:val="libFootnote0"/>
        <w:rPr>
          <w:rtl/>
          <w:lang w:bidi="fa-IR"/>
        </w:rPr>
      </w:pPr>
      <w:r>
        <w:rPr>
          <w:rtl/>
        </w:rPr>
        <w:t>(11).</w:t>
      </w:r>
      <w:r w:rsidRPr="00132E65">
        <w:rPr>
          <w:rtl/>
        </w:rPr>
        <w:t xml:space="preserve"> في « ب ، ج ، ض ، ف ، بس ، بف » و</w:t>
      </w:r>
      <w:r w:rsidRPr="009D1ACE">
        <w:rPr>
          <w:rStyle w:val="libFootnoteBoldChar"/>
          <w:rtl/>
        </w:rPr>
        <w:t>الوافي</w:t>
      </w:r>
      <w:r w:rsidRPr="00132E65">
        <w:rPr>
          <w:rtl/>
        </w:rPr>
        <w:t xml:space="preserve"> « عليك دابّة »</w:t>
      </w:r>
      <w:r>
        <w:rPr>
          <w:rtl/>
        </w:rPr>
        <w:t>.</w:t>
      </w:r>
    </w:p>
    <w:p w:rsidR="000C39D1" w:rsidRPr="00132E65" w:rsidRDefault="000C39D1" w:rsidP="000C39D1">
      <w:pPr>
        <w:pStyle w:val="libFootnote0"/>
        <w:rPr>
          <w:rtl/>
          <w:lang w:bidi="fa-IR"/>
        </w:rPr>
      </w:pPr>
      <w:r>
        <w:rPr>
          <w:rtl/>
        </w:rPr>
        <w:t>(12).</w:t>
      </w:r>
      <w:r w:rsidRPr="00132E65">
        <w:rPr>
          <w:rtl/>
        </w:rPr>
        <w:t xml:space="preserve"> في « ف » : « أعطه يا غلام »</w:t>
      </w:r>
      <w:r>
        <w:rPr>
          <w:rtl/>
        </w:rPr>
        <w:t>.</w:t>
      </w:r>
    </w:p>
    <w:p w:rsidR="000C39D1" w:rsidRPr="00132E65" w:rsidRDefault="000C39D1" w:rsidP="000C39D1">
      <w:pPr>
        <w:pStyle w:val="libFootnote0"/>
        <w:rPr>
          <w:rtl/>
          <w:lang w:bidi="fa-IR"/>
        </w:rPr>
      </w:pPr>
      <w:r>
        <w:rPr>
          <w:rtl/>
        </w:rPr>
        <w:t>(13)</w:t>
      </w:r>
      <w:r w:rsidRPr="00132E65">
        <w:rPr>
          <w:rtl/>
        </w:rPr>
        <w:t xml:space="preserve"> « البِرْذَوْنُ » : الدابّة ، أو التركيّ من الخيل ، وخلافها العِراب ، أو ما كان من غير نتاج العِراب من الخيل. راجع : </w:t>
      </w:r>
      <w:r w:rsidRPr="007E1ED7">
        <w:rPr>
          <w:rtl/>
        </w:rPr>
        <w:t>المغرب</w:t>
      </w:r>
      <w:r w:rsidRPr="00132E65">
        <w:rPr>
          <w:rtl/>
        </w:rPr>
        <w:t xml:space="preserve"> ، ص 42 ؛ </w:t>
      </w:r>
      <w:r w:rsidRPr="009D1ACE">
        <w:rPr>
          <w:rStyle w:val="libFootnoteBoldChar"/>
          <w:rtl/>
        </w:rPr>
        <w:t>لسان العرب</w:t>
      </w:r>
      <w:r w:rsidRPr="00132E65">
        <w:rPr>
          <w:rtl/>
        </w:rPr>
        <w:t xml:space="preserve"> ، ج 13 ، ص 51 ( برذن )</w:t>
      </w:r>
      <w:r>
        <w:rPr>
          <w:rtl/>
        </w:rPr>
        <w:t>.</w:t>
      </w:r>
    </w:p>
    <w:p w:rsidR="000C39D1" w:rsidRPr="00132E65" w:rsidRDefault="000C39D1" w:rsidP="000C39D1">
      <w:pPr>
        <w:pStyle w:val="libFootnote0"/>
        <w:rPr>
          <w:rtl/>
          <w:lang w:bidi="fa-IR"/>
        </w:rPr>
      </w:pPr>
      <w:r>
        <w:rPr>
          <w:rtl/>
        </w:rPr>
        <w:t>(14)</w:t>
      </w:r>
      <w:r w:rsidRPr="00132E65">
        <w:rPr>
          <w:rtl/>
        </w:rPr>
        <w:t xml:space="preserve"> في الإرشاد :</w:t>
      </w:r>
      <w:r>
        <w:rPr>
          <w:rtl/>
        </w:rPr>
        <w:t xml:space="preserve"> + </w:t>
      </w:r>
      <w:r w:rsidRPr="00132E65">
        <w:rPr>
          <w:rtl/>
        </w:rPr>
        <w:t>« ثمّ قال »</w:t>
      </w:r>
      <w:r>
        <w:rPr>
          <w:rtl/>
        </w:rPr>
        <w:t>.</w:t>
      </w:r>
      <w:r w:rsidRPr="00132E65">
        <w:rPr>
          <w:rtl/>
        </w:rPr>
        <w:t xml:space="preserve"> وقوله : « الكُمَيْتُ » من الخيل للمذكّر والمؤنّث ، ولونه الكُمْتَةُ ، وهي حمرة يدخلها قُنُوء ، وهو سواد غير خالص. قال الخليل : إنّما صُغّر لأنّه بين السواد والحمرة ، كأنّه لم يخلص له واحد منهما فأرادوا بالتصغير أنّه منهما قريب. وقيل : والفرق بين الكميت والأشقر بالعُرْف والذنَب ، فإن كانا أحمرين فهو أشقر ، وإن كانا أسودين فهو كُميت. </w:t>
      </w:r>
      <w:r w:rsidRPr="007E1ED7">
        <w:rPr>
          <w:rtl/>
        </w:rPr>
        <w:t>الصحاح</w:t>
      </w:r>
      <w:r w:rsidRPr="00132E65">
        <w:rPr>
          <w:rtl/>
        </w:rPr>
        <w:t xml:space="preserve"> ، ج 1 ، ص 263 ( كمت )</w:t>
      </w:r>
      <w:r>
        <w:rPr>
          <w:rtl/>
        </w:rPr>
        <w:t>.</w:t>
      </w:r>
    </w:p>
    <w:p w:rsidR="000C39D1" w:rsidRPr="00132E65" w:rsidRDefault="000C39D1" w:rsidP="000C39D1">
      <w:pPr>
        <w:pStyle w:val="libFootnote0"/>
        <w:rPr>
          <w:rtl/>
          <w:lang w:bidi="fa-IR"/>
        </w:rPr>
      </w:pPr>
      <w:r>
        <w:rPr>
          <w:rtl/>
        </w:rPr>
        <w:t>(15)</w:t>
      </w:r>
      <w:r w:rsidRPr="00132E65">
        <w:rPr>
          <w:rtl/>
        </w:rPr>
        <w:t xml:space="preserve"> « أوْطَأُ » ، أي أوفق ؛ من المواطأة بمعنى الموافقة. أو أكثر مشياً ؛ من الوَطْء ، هو الدَوْس بالقدم. راجع : </w:t>
      </w:r>
      <w:r w:rsidRPr="007E1ED7">
        <w:rPr>
          <w:rtl/>
        </w:rPr>
        <w:t>الصحاح</w:t>
      </w:r>
      <w:r w:rsidRPr="00132E65">
        <w:rPr>
          <w:rtl/>
        </w:rPr>
        <w:t xml:space="preserve"> ، ج 1 ، ص 81 ( وطأ ) ؛ </w:t>
      </w:r>
      <w:r w:rsidRPr="009D1ACE">
        <w:rPr>
          <w:rStyle w:val="libFootnoteBoldChar"/>
          <w:rtl/>
        </w:rPr>
        <w:t>مرآة العقول</w:t>
      </w:r>
      <w:r w:rsidRPr="00132E65">
        <w:rPr>
          <w:rtl/>
        </w:rPr>
        <w:t xml:space="preserve"> ، ج 6 ، ص 160.</w:t>
      </w:r>
    </w:p>
    <w:p w:rsidR="000C39D1" w:rsidRPr="00132E65" w:rsidRDefault="000C39D1" w:rsidP="00AC4678">
      <w:pPr>
        <w:pStyle w:val="libFootnote0"/>
        <w:rPr>
          <w:rtl/>
          <w:lang w:bidi="fa-IR"/>
        </w:rPr>
      </w:pPr>
      <w:r>
        <w:rPr>
          <w:rtl/>
        </w:rPr>
        <w:t>(16)</w:t>
      </w:r>
      <w:r w:rsidRPr="00132E65">
        <w:rPr>
          <w:rtl/>
        </w:rPr>
        <w:t xml:space="preserve"> </w:t>
      </w:r>
      <w:r w:rsidRPr="007E1ED7">
        <w:rPr>
          <w:rtl/>
        </w:rPr>
        <w:t>الإرشاد</w:t>
      </w:r>
      <w:r w:rsidRPr="00132E65">
        <w:rPr>
          <w:rtl/>
        </w:rPr>
        <w:t xml:space="preserve"> ، ج 2 ، ص 332 ، بسنده عن الكليني</w:t>
      </w:r>
      <w:r w:rsidR="00AC4678">
        <w:rPr>
          <w:rFonts w:hint="cs"/>
          <w:rtl/>
        </w:rPr>
        <w:t>.</w:t>
      </w:r>
      <w:r w:rsidRPr="009D1ACE">
        <w:rPr>
          <w:rStyle w:val="libFootnoteBoldChar"/>
          <w:rtl/>
        </w:rPr>
        <w:t>الوافي</w:t>
      </w:r>
      <w:r w:rsidRPr="00132E65">
        <w:rPr>
          <w:rtl/>
        </w:rPr>
        <w:t xml:space="preserve"> ، ج 3 ، ص 854 ، ح 1470.</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الْحَمْدُ لِلّهِ الَّذِي شَغَلَهُ عَنَّا ، فَقَدْ بَلَغَنِي أَنَّهُ يَتَهَدَّدُكَ ، ويَقُولُ : واللهِ ، لَأُجْلِيَنَّهُمْ </w:t>
      </w:r>
      <w:r>
        <w:rPr>
          <w:rStyle w:val="libFootnotenumChar"/>
          <w:rtl/>
        </w:rPr>
        <w:t>(1)</w:t>
      </w:r>
      <w:r w:rsidRPr="00132E65">
        <w:rPr>
          <w:rtl/>
          <w:lang w:bidi="fa-IR"/>
        </w:rPr>
        <w:t xml:space="preserve"> عَنْ جَدِيدِ </w:t>
      </w:r>
      <w:r>
        <w:rPr>
          <w:rStyle w:val="libFootnotenumChar"/>
          <w:rtl/>
        </w:rPr>
        <w:t>(2)</w:t>
      </w:r>
      <w:r w:rsidRPr="00132E65">
        <w:rPr>
          <w:rtl/>
          <w:lang w:bidi="fa-IR"/>
        </w:rPr>
        <w:t xml:space="preserve"> الْأَرْضِ</w:t>
      </w:r>
      <w:r>
        <w:rPr>
          <w:rtl/>
          <w:lang w:bidi="fa-IR"/>
        </w:rPr>
        <w:t>؟.</w:t>
      </w:r>
    </w:p>
    <w:p w:rsidR="000C39D1" w:rsidRPr="00132E65" w:rsidRDefault="000C39D1" w:rsidP="00AC4678">
      <w:pPr>
        <w:pStyle w:val="libNormal"/>
        <w:rPr>
          <w:rtl/>
          <w:lang w:bidi="fa-IR"/>
        </w:rPr>
      </w:pPr>
      <w:r w:rsidRPr="00132E65">
        <w:rPr>
          <w:rtl/>
          <w:lang w:bidi="fa-IR"/>
        </w:rPr>
        <w:t xml:space="preserve">فَوَقَّعَ أَبُو مُحَمَّدٍ </w:t>
      </w:r>
      <w:r w:rsidRPr="00071CF9">
        <w:rPr>
          <w:rStyle w:val="libAlaemChar"/>
          <w:rtl/>
        </w:rPr>
        <w:t>عليه‌السلام</w:t>
      </w:r>
      <w:r w:rsidRPr="00132E65">
        <w:rPr>
          <w:rtl/>
          <w:lang w:bidi="fa-IR"/>
        </w:rPr>
        <w:t xml:space="preserve"> بِخَطِّهِ : « ذَاكَ </w:t>
      </w:r>
      <w:r>
        <w:rPr>
          <w:rStyle w:val="libFootnotenumChar"/>
          <w:rtl/>
        </w:rPr>
        <w:t>(3)</w:t>
      </w:r>
      <w:r w:rsidRPr="00132E65">
        <w:rPr>
          <w:rtl/>
          <w:lang w:bidi="fa-IR"/>
        </w:rPr>
        <w:t xml:space="preserve"> أَقْصَرُ لِعُمُرِهِ </w:t>
      </w:r>
      <w:r>
        <w:rPr>
          <w:rStyle w:val="libFootnotenumChar"/>
          <w:rtl/>
        </w:rPr>
        <w:t>(4)</w:t>
      </w:r>
      <w:r w:rsidRPr="00132E65">
        <w:rPr>
          <w:rtl/>
          <w:lang w:bidi="fa-IR"/>
        </w:rPr>
        <w:t xml:space="preserve"> ، عُدَّ مِنْ يَوْمِكَ هذَا خَمْسَةَ أَيَّامٍ ، وَيُقْتَلُ فِي الْيَوْمِ السَّادِسِ بَعْدَ هَوَانٍ </w:t>
      </w:r>
      <w:r w:rsidR="00AC4678" w:rsidRPr="00132E65">
        <w:rPr>
          <w:rtl/>
          <w:lang w:bidi="fa-IR"/>
        </w:rPr>
        <w:t>وَ</w:t>
      </w:r>
      <w:r w:rsidR="00AC4678">
        <w:rPr>
          <w:rFonts w:hint="cs"/>
          <w:rtl/>
          <w:lang w:bidi="fa-IR"/>
        </w:rPr>
        <w:t xml:space="preserve"> </w:t>
      </w:r>
      <w:r w:rsidRPr="00132E65">
        <w:rPr>
          <w:rtl/>
          <w:lang w:bidi="fa-IR"/>
        </w:rPr>
        <w:t xml:space="preserve">اسْتِخْفَافٍ يَمُرُّ بِهِ » فَكَانَ </w:t>
      </w:r>
      <w:r>
        <w:rPr>
          <w:rStyle w:val="libFootnotenumChar"/>
          <w:rtl/>
        </w:rPr>
        <w:t>(5)</w:t>
      </w:r>
      <w:r w:rsidRPr="00132E65">
        <w:rPr>
          <w:rtl/>
          <w:lang w:bidi="fa-IR"/>
        </w:rPr>
        <w:t xml:space="preserve"> كَمَا قَالَ </w:t>
      </w:r>
      <w:r w:rsidRPr="00071CF9">
        <w:rPr>
          <w:rStyle w:val="libAlaemChar"/>
          <w:rtl/>
        </w:rPr>
        <w:t>عليه‌السلام</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7E1ED7">
        <w:rPr>
          <w:rtl/>
        </w:rPr>
        <w:t>1346</w:t>
      </w:r>
      <w:r w:rsidRPr="004325D8">
        <w:rPr>
          <w:rStyle w:val="libBold2Char"/>
          <w:rtl/>
        </w:rPr>
        <w:t xml:space="preserve"> / 17.</w:t>
      </w:r>
      <w:r w:rsidRPr="00132E65">
        <w:rPr>
          <w:rtl/>
          <w:lang w:bidi="fa-IR"/>
        </w:rPr>
        <w:t xml:space="preserve"> إِسْحَاقُ قَالَ : حَدَّثَنِي مُحَمَّدُ بْنُ الْحَسَنِ بْنِ شَمُّونٍ ، قَالَ :</w:t>
      </w:r>
    </w:p>
    <w:p w:rsidR="000C39D1" w:rsidRPr="00132E65" w:rsidRDefault="000C39D1" w:rsidP="00AC4678">
      <w:pPr>
        <w:pStyle w:val="libNormal"/>
        <w:rPr>
          <w:rtl/>
          <w:lang w:bidi="fa-IR"/>
        </w:rPr>
      </w:pPr>
      <w:r w:rsidRPr="00132E65">
        <w:rPr>
          <w:rtl/>
          <w:lang w:bidi="fa-IR"/>
        </w:rPr>
        <w:t xml:space="preserve">كَتَبْتُ إِلى أَبِي مُحَمَّدٍ </w:t>
      </w:r>
      <w:r w:rsidRPr="00071CF9">
        <w:rPr>
          <w:rStyle w:val="libAlaemChar"/>
          <w:rtl/>
        </w:rPr>
        <w:t>عليه‌السلام</w:t>
      </w:r>
      <w:r w:rsidRPr="00132E65">
        <w:rPr>
          <w:rtl/>
          <w:lang w:bidi="fa-IR"/>
        </w:rPr>
        <w:t xml:space="preserve"> أَسْأَلُهُ أَنْ يَدْعُوَ اللهَ لِي مِنْ وجَعِ عَيْنِي</w:t>
      </w:r>
      <w:r>
        <w:rPr>
          <w:rtl/>
          <w:lang w:bidi="fa-IR"/>
        </w:rPr>
        <w:t xml:space="preserve"> - </w:t>
      </w:r>
      <w:r w:rsidR="00AC4678" w:rsidRPr="00132E65">
        <w:rPr>
          <w:rtl/>
          <w:lang w:bidi="fa-IR"/>
        </w:rPr>
        <w:t>وَ</w:t>
      </w:r>
      <w:r w:rsidRPr="00132E65">
        <w:rPr>
          <w:rtl/>
          <w:lang w:bidi="fa-IR"/>
        </w:rPr>
        <w:t xml:space="preserve">كَانَتْ إِحْدى عَيْنَيَّ ذَاهِبَةً ، </w:t>
      </w:r>
      <w:r w:rsidR="00AC4678" w:rsidRPr="00132E65">
        <w:rPr>
          <w:rtl/>
          <w:lang w:bidi="fa-IR"/>
        </w:rPr>
        <w:t>وَ</w:t>
      </w:r>
      <w:r w:rsidRPr="00132E65">
        <w:rPr>
          <w:rtl/>
          <w:lang w:bidi="fa-IR"/>
        </w:rPr>
        <w:t>الْأُخْرى عَلى شَرَفِ ذَهَابٍ</w:t>
      </w:r>
      <w:r>
        <w:rPr>
          <w:rtl/>
          <w:lang w:bidi="fa-IR"/>
        </w:rPr>
        <w:t xml:space="preserve"> - </w:t>
      </w:r>
      <w:r w:rsidRPr="00132E65">
        <w:rPr>
          <w:rtl/>
          <w:lang w:bidi="fa-IR"/>
        </w:rPr>
        <w:t>فَكَتَبَ إِلَيَّ : « حَبَسَ اللهُ عَلَيْكَ عَيْنَكَ » فَأَفَاقَتِ الصَّحِيحَةُ.</w:t>
      </w:r>
    </w:p>
    <w:p w:rsidR="000C39D1" w:rsidRDefault="000C39D1" w:rsidP="00AC4678">
      <w:pPr>
        <w:pStyle w:val="libNormal"/>
        <w:rPr>
          <w:rtl/>
          <w:lang w:bidi="fa-IR"/>
        </w:rPr>
      </w:pPr>
      <w:r w:rsidRPr="00132E65">
        <w:rPr>
          <w:rtl/>
          <w:lang w:bidi="fa-IR"/>
        </w:rPr>
        <w:t>وَ</w:t>
      </w:r>
      <w:r w:rsidR="00AC4678">
        <w:rPr>
          <w:rFonts w:hint="cs"/>
          <w:rtl/>
          <w:lang w:bidi="fa-IR"/>
        </w:rPr>
        <w:t xml:space="preserve"> </w:t>
      </w:r>
      <w:r w:rsidR="00AC4678" w:rsidRPr="00132E65">
        <w:rPr>
          <w:rtl/>
          <w:lang w:bidi="fa-IR"/>
        </w:rPr>
        <w:t>وَ</w:t>
      </w:r>
      <w:r w:rsidRPr="00132E65">
        <w:rPr>
          <w:rtl/>
          <w:lang w:bidi="fa-IR"/>
        </w:rPr>
        <w:t xml:space="preserve">قَّعَ فِي آخِرِ الْكِتَابِ : « آجَرَكَ اللهُ ، </w:t>
      </w:r>
      <w:r w:rsidR="00AC4678" w:rsidRPr="00132E65">
        <w:rPr>
          <w:rtl/>
          <w:lang w:bidi="fa-IR"/>
        </w:rPr>
        <w:t>وَ</w:t>
      </w:r>
      <w:r w:rsidRPr="00132E65">
        <w:rPr>
          <w:rtl/>
          <w:lang w:bidi="fa-IR"/>
        </w:rPr>
        <w:t xml:space="preserve">أَحْسَنَ ثَوَابَكَ » فَاغْتَمَمْتُ لِذلِكَ ، </w:t>
      </w:r>
      <w:r w:rsidR="00AC4678" w:rsidRPr="00132E65">
        <w:rPr>
          <w:rtl/>
          <w:lang w:bidi="fa-IR"/>
        </w:rPr>
        <w:t>وَ</w:t>
      </w:r>
      <w:r w:rsidRPr="00132E65">
        <w:rPr>
          <w:rtl/>
          <w:lang w:bidi="fa-IR"/>
        </w:rPr>
        <w:t xml:space="preserve">لَمْ أَعْرِفْ فِي أَهْلِي أَحَداً مَاتَ ، فَلَمَّا كَانَ بَعْدَ أَيَّامٍ جَاءَتْنِي </w:t>
      </w:r>
      <w:r>
        <w:rPr>
          <w:rStyle w:val="libFootnotenumChar"/>
          <w:rtl/>
        </w:rPr>
        <w:t>(7)</w:t>
      </w:r>
      <w:r w:rsidRPr="00132E65">
        <w:rPr>
          <w:rtl/>
          <w:lang w:bidi="fa-IR"/>
        </w:rPr>
        <w:t xml:space="preserve"> </w:t>
      </w:r>
      <w:r w:rsidR="00AC4678" w:rsidRPr="00132E65">
        <w:rPr>
          <w:rtl/>
          <w:lang w:bidi="fa-IR"/>
        </w:rPr>
        <w:t>وَ</w:t>
      </w:r>
      <w:r w:rsidRPr="00132E65">
        <w:rPr>
          <w:rtl/>
          <w:lang w:bidi="fa-IR"/>
        </w:rPr>
        <w:t xml:space="preserve">فَاةُ ابْنِي طَيِّبٍ ، فَعَلِمْتُ أَنَّ التَّعْزِيَةَ لَهُ. </w:t>
      </w:r>
      <w:r>
        <w:rPr>
          <w:rStyle w:val="libFootnotenumChar"/>
          <w:rtl/>
        </w:rPr>
        <w:t>(8)</w:t>
      </w:r>
    </w:p>
    <w:p w:rsidR="000C39D1" w:rsidRPr="00132E65" w:rsidRDefault="000C39D1" w:rsidP="000C39D1">
      <w:pPr>
        <w:pStyle w:val="libNormal"/>
        <w:rPr>
          <w:rtl/>
          <w:lang w:bidi="fa-IR"/>
        </w:rPr>
      </w:pPr>
      <w:r w:rsidRPr="00132E65">
        <w:rPr>
          <w:rtl/>
          <w:lang w:bidi="fa-IR"/>
        </w:rPr>
        <w:t>‌</w:t>
      </w:r>
      <w:r w:rsidRPr="007E1ED7">
        <w:rPr>
          <w:rtl/>
        </w:rPr>
        <w:t>1347</w:t>
      </w:r>
      <w:r w:rsidRPr="004325D8">
        <w:rPr>
          <w:rStyle w:val="libBold2Char"/>
          <w:rtl/>
        </w:rPr>
        <w:t xml:space="preserve"> / 18.</w:t>
      </w:r>
      <w:r w:rsidRPr="00132E65">
        <w:rPr>
          <w:rtl/>
          <w:lang w:bidi="fa-IR"/>
        </w:rPr>
        <w:t xml:space="preserve"> إِسْحَاقُ قَالَ : حَدَّثَنِي عُمَرُ بْنُ أَبِي مُسْلِمٍ </w:t>
      </w:r>
      <w:r>
        <w:rPr>
          <w:rStyle w:val="libFootnotenumChar"/>
          <w:rtl/>
        </w:rPr>
        <w:t>(9)</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قَدِمَ عَلَيْنَا بِسُرَّ مَنْ رَأى رَجُلٌ مِنْ أَهْلِ مِصْرَ</w:t>
      </w:r>
      <w:r>
        <w:rPr>
          <w:rtl/>
          <w:lang w:bidi="fa-IR"/>
        </w:rPr>
        <w:t xml:space="preserve"> - </w:t>
      </w:r>
      <w:r w:rsidRPr="00132E65">
        <w:rPr>
          <w:rtl/>
          <w:lang w:bidi="fa-IR"/>
        </w:rPr>
        <w:t>يُقَالُ لَهُ : سَيْفُ بْنُ اللَّيْثِ</w:t>
      </w:r>
      <w:r>
        <w:rPr>
          <w:rtl/>
          <w:lang w:bidi="fa-IR"/>
        </w:rPr>
        <w:t xml:space="preserve"> - </w:t>
      </w:r>
      <w:r w:rsidRPr="00132E65">
        <w:rPr>
          <w:rtl/>
          <w:lang w:bidi="fa-IR"/>
        </w:rPr>
        <w:t xml:space="preserve">يَتَظَلَّمُ إِلَى الْمُهْتَدِي فِي ضَيْعَةٍ </w:t>
      </w:r>
      <w:r>
        <w:rPr>
          <w:rStyle w:val="libFootnotenumChar"/>
          <w:rtl/>
        </w:rPr>
        <w:t>(10)</w:t>
      </w:r>
      <w:r w:rsidRPr="00132E65">
        <w:rPr>
          <w:rtl/>
          <w:lang w:bidi="fa-IR"/>
        </w:rPr>
        <w:t xml:space="preserve"> لَهُ قَدْ غَصَبَهَا إِيَّاهُ شَفِيعٌ الْخَادِمُ ، وأَخْرَجَهُ مِنْهَا ، فَأَشَرْنَا‌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الجَلاءُ » : الخروج من البلد. راجع : </w:t>
      </w:r>
      <w:r w:rsidRPr="00B834AE">
        <w:rPr>
          <w:rtl/>
        </w:rPr>
        <w:t>الصحاح</w:t>
      </w:r>
      <w:r w:rsidRPr="00132E65">
        <w:rPr>
          <w:rtl/>
        </w:rPr>
        <w:t xml:space="preserve"> ، ج 6 ، ص 2304 ( جلا )</w:t>
      </w:r>
      <w:r>
        <w:rPr>
          <w:rtl/>
        </w:rPr>
        <w:t>.</w:t>
      </w:r>
    </w:p>
    <w:p w:rsidR="000C39D1" w:rsidRPr="00132E65" w:rsidRDefault="000C39D1" w:rsidP="000C39D1">
      <w:pPr>
        <w:pStyle w:val="libFootnote0"/>
        <w:rPr>
          <w:rtl/>
          <w:lang w:bidi="fa-IR"/>
        </w:rPr>
      </w:pPr>
      <w:r>
        <w:rPr>
          <w:rtl/>
        </w:rPr>
        <w:t>(2).</w:t>
      </w:r>
      <w:r w:rsidRPr="00132E65">
        <w:rPr>
          <w:rtl/>
        </w:rPr>
        <w:t xml:space="preserve"> في الإرشاد : « جدد »</w:t>
      </w:r>
      <w:r>
        <w:rPr>
          <w:rtl/>
        </w:rPr>
        <w:t>.</w:t>
      </w:r>
      <w:r w:rsidRPr="00132E65">
        <w:rPr>
          <w:rtl/>
        </w:rPr>
        <w:t xml:space="preserve"> </w:t>
      </w:r>
      <w:r>
        <w:rPr>
          <w:rtl/>
        </w:rPr>
        <w:t>و «</w:t>
      </w:r>
      <w:r w:rsidRPr="00132E65">
        <w:rPr>
          <w:rtl/>
        </w:rPr>
        <w:t xml:space="preserve"> الجَدِيدُ » : وجه الأرض. </w:t>
      </w:r>
      <w:r w:rsidRPr="00B834AE">
        <w:rPr>
          <w:rtl/>
        </w:rPr>
        <w:t>الصحاح</w:t>
      </w:r>
      <w:r w:rsidRPr="00132E65">
        <w:rPr>
          <w:rtl/>
        </w:rPr>
        <w:t xml:space="preserve"> ، ج 2 ، ص 454 ( جدد )</w:t>
      </w:r>
      <w:r>
        <w:rPr>
          <w:rtl/>
        </w:rPr>
        <w:t>.</w:t>
      </w:r>
    </w:p>
    <w:p w:rsidR="000C39D1" w:rsidRPr="00132E65" w:rsidRDefault="000C39D1" w:rsidP="000C39D1">
      <w:pPr>
        <w:pStyle w:val="libFootnote0"/>
        <w:rPr>
          <w:rtl/>
          <w:lang w:bidi="fa-IR"/>
        </w:rPr>
      </w:pPr>
      <w:r>
        <w:rPr>
          <w:rtl/>
        </w:rPr>
        <w:t>(3).</w:t>
      </w:r>
      <w:r w:rsidRPr="00132E65">
        <w:rPr>
          <w:rtl/>
        </w:rPr>
        <w:t xml:space="preserve"> في « ف » والإرشاد : « ذلك »</w:t>
      </w:r>
      <w:r>
        <w:rPr>
          <w:rtl/>
        </w:rPr>
        <w:t>.</w:t>
      </w:r>
    </w:p>
    <w:p w:rsidR="000C39D1" w:rsidRPr="00132E65" w:rsidRDefault="000C39D1" w:rsidP="000C39D1">
      <w:pPr>
        <w:pStyle w:val="libFootnote0"/>
        <w:rPr>
          <w:rtl/>
          <w:lang w:bidi="fa-IR"/>
        </w:rPr>
      </w:pPr>
      <w:r>
        <w:rPr>
          <w:rtl/>
        </w:rPr>
        <w:t>(4).</w:t>
      </w:r>
      <w:r w:rsidRPr="00132E65">
        <w:rPr>
          <w:rtl/>
        </w:rPr>
        <w:t xml:space="preserve"> في « ف » : « لعمرك »</w:t>
      </w:r>
      <w:r>
        <w:rPr>
          <w:rtl/>
        </w:rPr>
        <w:t>.</w:t>
      </w:r>
    </w:p>
    <w:p w:rsidR="000C39D1" w:rsidRPr="00132E65" w:rsidRDefault="000C39D1" w:rsidP="000C39D1">
      <w:pPr>
        <w:pStyle w:val="libFootnote0"/>
        <w:rPr>
          <w:rtl/>
          <w:lang w:bidi="fa-IR"/>
        </w:rPr>
      </w:pPr>
      <w:r>
        <w:rPr>
          <w:rtl/>
        </w:rPr>
        <w:t>(5).</w:t>
      </w:r>
      <w:r w:rsidRPr="00132E65">
        <w:rPr>
          <w:rtl/>
        </w:rPr>
        <w:t xml:space="preserve"> في الإرشاد : « وكان »</w:t>
      </w:r>
      <w:r>
        <w:rPr>
          <w:rtl/>
        </w:rPr>
        <w:t>.</w:t>
      </w:r>
    </w:p>
    <w:p w:rsidR="000C39D1" w:rsidRPr="00132E65" w:rsidRDefault="000C39D1" w:rsidP="00AC4678">
      <w:pPr>
        <w:pStyle w:val="libFootnote0"/>
        <w:rPr>
          <w:rtl/>
          <w:lang w:bidi="fa-IR"/>
        </w:rPr>
      </w:pPr>
      <w:r>
        <w:rPr>
          <w:rtl/>
        </w:rPr>
        <w:t>(6).</w:t>
      </w:r>
      <w:r w:rsidRPr="00132E65">
        <w:rPr>
          <w:rtl/>
        </w:rPr>
        <w:t xml:space="preserve"> </w:t>
      </w:r>
      <w:r w:rsidRPr="00B834AE">
        <w:rPr>
          <w:rtl/>
        </w:rPr>
        <w:t>الإرشاد</w:t>
      </w:r>
      <w:r w:rsidRPr="00132E65">
        <w:rPr>
          <w:rtl/>
        </w:rPr>
        <w:t xml:space="preserve"> ، ج 2 ، ص 333 ، بسنده عن الكليني</w:t>
      </w:r>
      <w:r w:rsidR="00AC4678">
        <w:rPr>
          <w:rFonts w:hint="cs"/>
          <w:rtl/>
        </w:rPr>
        <w:t>.</w:t>
      </w:r>
      <w:r w:rsidRPr="009D1ACE">
        <w:rPr>
          <w:rStyle w:val="libFootnoteBoldChar"/>
          <w:rtl/>
        </w:rPr>
        <w:t>الوافي</w:t>
      </w:r>
      <w:r w:rsidRPr="00132E65">
        <w:rPr>
          <w:rtl/>
        </w:rPr>
        <w:t xml:space="preserve"> ، ج 3 ، ص 855 ، ح 1471.</w:t>
      </w:r>
    </w:p>
    <w:tbl>
      <w:tblPr>
        <w:tblStyle w:val="TableGrid"/>
        <w:bidiVisual/>
        <w:tblW w:w="0" w:type="auto"/>
        <w:tblLook w:val="04A0" w:firstRow="1" w:lastRow="0" w:firstColumn="1" w:lastColumn="0" w:noHBand="0" w:noVBand="1"/>
      </w:tblPr>
      <w:tblGrid>
        <w:gridCol w:w="4261"/>
        <w:gridCol w:w="4262"/>
      </w:tblGrid>
      <w:tr w:rsidR="00AC4678" w:rsidTr="00AC4678">
        <w:tc>
          <w:tcPr>
            <w:tcW w:w="4261" w:type="dxa"/>
          </w:tcPr>
          <w:p w:rsidR="00AC4678" w:rsidRDefault="00AC4678" w:rsidP="000C39D1">
            <w:pPr>
              <w:pStyle w:val="libFootnote0"/>
              <w:rPr>
                <w:rtl/>
              </w:rPr>
            </w:pPr>
            <w:r>
              <w:rPr>
                <w:rtl/>
              </w:rPr>
              <w:t>(7).</w:t>
            </w:r>
            <w:r w:rsidRPr="00132E65">
              <w:rPr>
                <w:rtl/>
              </w:rPr>
              <w:t xml:space="preserve"> في « بر » : « جاءت »</w:t>
            </w:r>
            <w:r>
              <w:rPr>
                <w:rtl/>
              </w:rPr>
              <w:t>.</w:t>
            </w:r>
          </w:p>
        </w:tc>
        <w:tc>
          <w:tcPr>
            <w:tcW w:w="4262" w:type="dxa"/>
          </w:tcPr>
          <w:p w:rsidR="00AC4678" w:rsidRDefault="00AC4678" w:rsidP="000C39D1">
            <w:pPr>
              <w:pStyle w:val="libFootnote0"/>
              <w:rPr>
                <w:rtl/>
              </w:rPr>
            </w:pPr>
            <w:r>
              <w:rPr>
                <w:rtl/>
              </w:rPr>
              <w:t>(8).</w:t>
            </w:r>
            <w:r w:rsidRPr="00132E65">
              <w:rPr>
                <w:rtl/>
              </w:rPr>
              <w:t xml:space="preserve"> </w:t>
            </w:r>
            <w:r w:rsidRPr="009D1ACE">
              <w:rPr>
                <w:rStyle w:val="libFootnoteBoldChar"/>
                <w:rtl/>
              </w:rPr>
              <w:t>الوافي</w:t>
            </w:r>
            <w:r w:rsidRPr="00132E65">
              <w:rPr>
                <w:rtl/>
              </w:rPr>
              <w:t xml:space="preserve"> ، ج 3 ، ص 856 ، ح 1472.</w:t>
            </w:r>
          </w:p>
        </w:tc>
      </w:tr>
    </w:tbl>
    <w:p w:rsidR="000C39D1" w:rsidRPr="00132E65" w:rsidRDefault="000C39D1" w:rsidP="000C39D1">
      <w:pPr>
        <w:pStyle w:val="libFootnote0"/>
        <w:rPr>
          <w:rtl/>
          <w:lang w:bidi="fa-IR"/>
        </w:rPr>
      </w:pPr>
      <w:r>
        <w:rPr>
          <w:rtl/>
        </w:rPr>
        <w:t>(9).</w:t>
      </w:r>
      <w:r w:rsidRPr="00132E65">
        <w:rPr>
          <w:rtl/>
        </w:rPr>
        <w:t xml:space="preserve"> في حاشية « ف » : « عمر بن مسلم »</w:t>
      </w:r>
      <w:r>
        <w:rPr>
          <w:rtl/>
        </w:rPr>
        <w:t>.</w:t>
      </w:r>
    </w:p>
    <w:p w:rsidR="000C39D1" w:rsidRPr="00132E65" w:rsidRDefault="000C39D1" w:rsidP="000C39D1">
      <w:pPr>
        <w:pStyle w:val="libFootnote0"/>
        <w:rPr>
          <w:rtl/>
          <w:lang w:bidi="fa-IR"/>
        </w:rPr>
      </w:pPr>
      <w:r>
        <w:rPr>
          <w:rtl/>
        </w:rPr>
        <w:t>(10).</w:t>
      </w:r>
      <w:r w:rsidRPr="00132E65">
        <w:rPr>
          <w:rtl/>
        </w:rPr>
        <w:t xml:space="preserve"> « الضَيْعَةُ » : الأرض المغلَّة ، أو العَقار ، وهو كلّ ما له أصل وقرار كالأرض والدار. وقيل : الضَيعَةُ عند الحاضرة : مال الرجل من النخل والكرم والأرض. والجمع : الضِياع. راجع : </w:t>
      </w:r>
      <w:r w:rsidRPr="009D1ACE">
        <w:rPr>
          <w:rStyle w:val="libFootnoteBoldChar"/>
          <w:rtl/>
        </w:rPr>
        <w:t>لسان العرب</w:t>
      </w:r>
      <w:r w:rsidRPr="00132E65">
        <w:rPr>
          <w:rtl/>
        </w:rPr>
        <w:t xml:space="preserve"> ، ج 8 ، ص 230 ( ضيع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A72468">
      <w:pPr>
        <w:pStyle w:val="libNormal0"/>
        <w:tabs>
          <w:tab w:val="left" w:pos="3968"/>
        </w:tabs>
        <w:rPr>
          <w:rtl/>
          <w:lang w:bidi="fa-IR"/>
        </w:rPr>
      </w:pPr>
      <w:r w:rsidRPr="00132E65">
        <w:rPr>
          <w:rtl/>
          <w:lang w:bidi="fa-IR"/>
        </w:rPr>
        <w:t xml:space="preserve">عَلَيْهِ </w:t>
      </w:r>
      <w:r>
        <w:rPr>
          <w:rStyle w:val="libFootnotenumChar"/>
          <w:rtl/>
        </w:rPr>
        <w:t>(1)</w:t>
      </w:r>
      <w:r w:rsidRPr="00132E65">
        <w:rPr>
          <w:rtl/>
          <w:lang w:bidi="fa-IR"/>
        </w:rPr>
        <w:t xml:space="preserve"> أَنْ يَكْتُبَ إِلى أَبِي مُحَمَّدٍ </w:t>
      </w:r>
      <w:r w:rsidRPr="00071CF9">
        <w:rPr>
          <w:rStyle w:val="libAlaemChar"/>
          <w:rtl/>
        </w:rPr>
        <w:t>عليه‌السلام</w:t>
      </w:r>
      <w:r w:rsidRPr="00132E65">
        <w:rPr>
          <w:rtl/>
          <w:lang w:bidi="fa-IR"/>
        </w:rPr>
        <w:t xml:space="preserve"> يَسْأَلُهُ تَسْهِيلَ أَمْرِهَا ، فَكَتَبَ إِلَيْهِ أَبُو مُحَمَّدٍ </w:t>
      </w:r>
      <w:r w:rsidRPr="00071CF9">
        <w:rPr>
          <w:rStyle w:val="libAlaemChar"/>
          <w:rtl/>
        </w:rPr>
        <w:t>عليه‌السلام</w:t>
      </w:r>
      <w:r w:rsidRPr="00132E65">
        <w:rPr>
          <w:rtl/>
          <w:lang w:bidi="fa-IR"/>
        </w:rPr>
        <w:t xml:space="preserve"> : « لَا بَأْسَ عَلَيْكَ ، ضَيْعَتُكَ تُرَدُّ عَلَيْكَ ، فَلَا تَتَقَدَّمْ إِلَى السُّلْطَانِ ، و</w:t>
      </w:r>
      <w:r w:rsidR="00A72468">
        <w:rPr>
          <w:rFonts w:hint="cs"/>
          <w:rtl/>
          <w:lang w:bidi="fa-IR"/>
        </w:rPr>
        <w:t>َ</w:t>
      </w:r>
      <w:r w:rsidRPr="00132E65">
        <w:rPr>
          <w:rtl/>
          <w:lang w:bidi="fa-IR"/>
        </w:rPr>
        <w:t xml:space="preserve">الْقَ الْوَكِيلَ الَّذِي فِي يَدِهِ الضَّيْعَةُ ، </w:t>
      </w:r>
      <w:r w:rsidR="00A72468" w:rsidRPr="00132E65">
        <w:rPr>
          <w:rtl/>
          <w:lang w:bidi="fa-IR"/>
        </w:rPr>
        <w:t>و</w:t>
      </w:r>
      <w:r w:rsidR="00A72468">
        <w:rPr>
          <w:rFonts w:hint="cs"/>
          <w:rtl/>
          <w:lang w:bidi="fa-IR"/>
        </w:rPr>
        <w:t>َ</w:t>
      </w:r>
      <w:r w:rsidRPr="00132E65">
        <w:rPr>
          <w:rtl/>
          <w:lang w:bidi="fa-IR"/>
        </w:rPr>
        <w:t>خَوِّفْهُ بِالسُّلْطَانِ الْأَعْظَمِ ، اللهِ رَبِّ الْعَالَمِينَ »</w:t>
      </w:r>
      <w:r>
        <w:rPr>
          <w:rtl/>
          <w:lang w:bidi="fa-IR"/>
        </w:rPr>
        <w:t>.</w:t>
      </w:r>
    </w:p>
    <w:p w:rsidR="000C39D1" w:rsidRPr="00132E65" w:rsidRDefault="000C39D1" w:rsidP="00A72468">
      <w:pPr>
        <w:pStyle w:val="libNormal"/>
        <w:rPr>
          <w:rtl/>
          <w:lang w:bidi="fa-IR"/>
        </w:rPr>
      </w:pPr>
      <w:r w:rsidRPr="00132E65">
        <w:rPr>
          <w:rtl/>
          <w:lang w:bidi="fa-IR"/>
        </w:rPr>
        <w:t>فَلَقِيَهُ ، فَقَالَ لَهُ الْوَكِيلُ</w:t>
      </w:r>
      <w:r>
        <w:rPr>
          <w:rtl/>
          <w:lang w:bidi="fa-IR"/>
        </w:rPr>
        <w:t xml:space="preserve"> - </w:t>
      </w:r>
      <w:r w:rsidRPr="00132E65">
        <w:rPr>
          <w:rtl/>
          <w:lang w:bidi="fa-IR"/>
        </w:rPr>
        <w:t>الَّذِي فِي يَدِهِ الضَّيْعَةُ</w:t>
      </w:r>
      <w:r>
        <w:rPr>
          <w:rtl/>
          <w:lang w:bidi="fa-IR"/>
        </w:rPr>
        <w:t xml:space="preserve"> - </w:t>
      </w:r>
      <w:r w:rsidRPr="00132E65">
        <w:rPr>
          <w:rtl/>
          <w:lang w:bidi="fa-IR"/>
        </w:rPr>
        <w:t xml:space="preserve">: قَدْ كُتِبَ إِلَيَّ عِنْدَ خُرُوجِكَ مِنْ مِصْرَ أَنْ أَطْلُبَكَ ، </w:t>
      </w:r>
      <w:r w:rsidR="00A72468" w:rsidRPr="00132E65">
        <w:rPr>
          <w:rtl/>
          <w:lang w:bidi="fa-IR"/>
        </w:rPr>
        <w:t>و</w:t>
      </w:r>
      <w:r w:rsidR="00A72468">
        <w:rPr>
          <w:rFonts w:hint="cs"/>
          <w:rtl/>
          <w:lang w:bidi="fa-IR"/>
        </w:rPr>
        <w:t>َ</w:t>
      </w:r>
      <w:r w:rsidRPr="00132E65">
        <w:rPr>
          <w:rtl/>
          <w:lang w:bidi="fa-IR"/>
        </w:rPr>
        <w:t xml:space="preserve">أَرُدَّ الضَّيْعَةَ عَلَيْكَ ، فَرَدَّهَا عَلَيْهِ بِحُكْمِ الْقَاضِي ابْنِ أَبِي الشَّوَارِبِ وَشَهَادَةِ الشُّهُودِ ، </w:t>
      </w:r>
      <w:r w:rsidR="00A72468" w:rsidRPr="00132E65">
        <w:rPr>
          <w:rtl/>
          <w:lang w:bidi="fa-IR"/>
        </w:rPr>
        <w:t>و</w:t>
      </w:r>
      <w:r w:rsidR="00A72468">
        <w:rPr>
          <w:rFonts w:hint="cs"/>
          <w:rtl/>
          <w:lang w:bidi="fa-IR"/>
        </w:rPr>
        <w:t>َ</w:t>
      </w:r>
      <w:r w:rsidRPr="00132E65">
        <w:rPr>
          <w:rtl/>
          <w:lang w:bidi="fa-IR"/>
        </w:rPr>
        <w:t xml:space="preserve">لَمْ يَحْتَجْ إِلى </w:t>
      </w:r>
      <w:r>
        <w:rPr>
          <w:rStyle w:val="libFootnotenumChar"/>
          <w:rtl/>
        </w:rPr>
        <w:t>(2)</w:t>
      </w:r>
      <w:r w:rsidRPr="00132E65">
        <w:rPr>
          <w:rtl/>
          <w:lang w:bidi="fa-IR"/>
        </w:rPr>
        <w:t xml:space="preserve"> أَنْ يَتَقَدَّمَ إِلَى الْمُهْتَدِي ، فَصَارَتِ الضَّيْعَةُ لَهُ وفِي يَدِهِ ، ولَمْ يَكُنْ لَهَا خَبَرٌ بَعْدَ ذلِكَ.</w:t>
      </w:r>
    </w:p>
    <w:p w:rsidR="000C39D1" w:rsidRPr="00132E65" w:rsidRDefault="000C39D1" w:rsidP="00A72468">
      <w:pPr>
        <w:pStyle w:val="libNormal"/>
        <w:rPr>
          <w:rtl/>
          <w:lang w:bidi="fa-IR"/>
        </w:rPr>
      </w:pPr>
      <w:r w:rsidRPr="00132E65">
        <w:rPr>
          <w:rtl/>
          <w:lang w:bidi="fa-IR"/>
        </w:rPr>
        <w:t xml:space="preserve">قَالَ : وحَدَّثَنِي سَيْفُ بْنُ اللَّيْثِ هذَا ، قَالَ : خَلَّفْتُ ابْناً لِي عَلِيلاً بِمِصْرَ عِنْدَ خُرُوجِي عَنْهَا </w:t>
      </w:r>
      <w:r>
        <w:rPr>
          <w:rStyle w:val="libFootnotenumChar"/>
          <w:rtl/>
        </w:rPr>
        <w:t>(3)</w:t>
      </w:r>
      <w:r w:rsidRPr="00132E65">
        <w:rPr>
          <w:rtl/>
          <w:lang w:bidi="fa-IR"/>
        </w:rPr>
        <w:t xml:space="preserve"> ، </w:t>
      </w:r>
      <w:r w:rsidR="00A72468" w:rsidRPr="00132E65">
        <w:rPr>
          <w:rtl/>
          <w:lang w:bidi="fa-IR"/>
        </w:rPr>
        <w:t>و</w:t>
      </w:r>
      <w:r w:rsidR="00A72468">
        <w:rPr>
          <w:rFonts w:hint="cs"/>
          <w:rtl/>
          <w:lang w:bidi="fa-IR"/>
        </w:rPr>
        <w:t>َ</w:t>
      </w:r>
      <w:r w:rsidRPr="00132E65">
        <w:rPr>
          <w:rtl/>
          <w:lang w:bidi="fa-IR"/>
        </w:rPr>
        <w:t xml:space="preserve">ابْناً لِي آخَرَ أَسَنَّ مِنْهُ كَانَ </w:t>
      </w:r>
      <w:r w:rsidR="00A72468" w:rsidRPr="00132E65">
        <w:rPr>
          <w:rtl/>
          <w:lang w:bidi="fa-IR"/>
        </w:rPr>
        <w:t>و</w:t>
      </w:r>
      <w:r w:rsidR="00A72468">
        <w:rPr>
          <w:rFonts w:hint="cs"/>
          <w:rtl/>
          <w:lang w:bidi="fa-IR"/>
        </w:rPr>
        <w:t>َ</w:t>
      </w:r>
      <w:r w:rsidRPr="00132E65">
        <w:rPr>
          <w:rtl/>
          <w:lang w:bidi="fa-IR"/>
        </w:rPr>
        <w:t xml:space="preserve">صِيِّي </w:t>
      </w:r>
      <w:r w:rsidR="00A72468" w:rsidRPr="00132E65">
        <w:rPr>
          <w:rtl/>
          <w:lang w:bidi="fa-IR"/>
        </w:rPr>
        <w:t>و</w:t>
      </w:r>
      <w:r w:rsidR="00A72468">
        <w:rPr>
          <w:rFonts w:hint="cs"/>
          <w:rtl/>
          <w:lang w:bidi="fa-IR"/>
        </w:rPr>
        <w:t>َ</w:t>
      </w:r>
      <w:r w:rsidRPr="00132E65">
        <w:rPr>
          <w:rtl/>
          <w:lang w:bidi="fa-IR"/>
        </w:rPr>
        <w:t xml:space="preserve">قَيِّمِي عَلى عِيَالِي </w:t>
      </w:r>
      <w:r w:rsidR="00A72468" w:rsidRPr="00132E65">
        <w:rPr>
          <w:rtl/>
          <w:lang w:bidi="fa-IR"/>
        </w:rPr>
        <w:t>و</w:t>
      </w:r>
      <w:r w:rsidR="00A72468">
        <w:rPr>
          <w:rFonts w:hint="cs"/>
          <w:rtl/>
          <w:lang w:bidi="fa-IR"/>
        </w:rPr>
        <w:t>َ</w:t>
      </w:r>
      <w:r>
        <w:rPr>
          <w:rFonts w:hint="cs"/>
          <w:rtl/>
          <w:lang w:bidi="fa-IR"/>
        </w:rPr>
        <w:t xml:space="preserve"> </w:t>
      </w:r>
      <w:r>
        <w:rPr>
          <w:rStyle w:val="libFootnotenumChar"/>
          <w:rtl/>
        </w:rPr>
        <w:t>(4)</w:t>
      </w:r>
      <w:r w:rsidRPr="00132E65">
        <w:rPr>
          <w:rtl/>
          <w:lang w:bidi="fa-IR"/>
        </w:rPr>
        <w:t xml:space="preserve"> فِي ضِيَاعِي ، فَكَتَبْتُ إِلى أَبِي مُحَمَّدٍ </w:t>
      </w:r>
      <w:r w:rsidRPr="00071CF9">
        <w:rPr>
          <w:rStyle w:val="libAlaemChar"/>
          <w:rtl/>
        </w:rPr>
        <w:t>عليه‌السلام</w:t>
      </w:r>
      <w:r w:rsidRPr="00132E65">
        <w:rPr>
          <w:rtl/>
          <w:lang w:bidi="fa-IR"/>
        </w:rPr>
        <w:t xml:space="preserve"> أَسْأَلُهُ الدُّعَاءَ لِابْنِيَ الْعَلِيلِ ، فَكَتَبَ إِلَيَّ : « قَدْ عُوفِيَ ابْنُكَ الْمُعْتَلُّ ، ومَاتَ </w:t>
      </w:r>
      <w:r>
        <w:rPr>
          <w:rStyle w:val="libFootnotenumChar"/>
          <w:rtl/>
        </w:rPr>
        <w:t>(5)</w:t>
      </w:r>
      <w:r w:rsidRPr="00132E65">
        <w:rPr>
          <w:rtl/>
          <w:lang w:bidi="fa-IR"/>
        </w:rPr>
        <w:t xml:space="preserve"> الْكَبِيرُ وصِيُّكَ وقَيِّمُكَ ، فَاحْمَدِ اللهَ ، ولَاتَجْزَعْ ؛ فَيَحْبَطَ أَجْرُكَ »</w:t>
      </w:r>
      <w:r>
        <w:rPr>
          <w:rtl/>
          <w:lang w:bidi="fa-IR"/>
        </w:rPr>
        <w:t>.</w:t>
      </w:r>
    </w:p>
    <w:p w:rsidR="000C39D1" w:rsidRPr="00132E65" w:rsidRDefault="000C39D1" w:rsidP="000C39D1">
      <w:pPr>
        <w:pStyle w:val="libNormal"/>
        <w:rPr>
          <w:rtl/>
          <w:lang w:bidi="fa-IR"/>
        </w:rPr>
      </w:pPr>
      <w:r w:rsidRPr="00132E65">
        <w:rPr>
          <w:rtl/>
          <w:lang w:bidi="fa-IR"/>
        </w:rPr>
        <w:t xml:space="preserve">فَوَرَدَ عَلَيَّ الْخَبَرُ أَنَّ ابْنِي قَدْ عُوفِيَ مِنْ عِلَّتِهِ ، ومَاتَ الْكَبِيرُ يَوْمَ ورَدَ عَلَيَّ جَوَابُ أَبِي مُحَمَّدٍ </w:t>
      </w:r>
      <w:r w:rsidRPr="00071CF9">
        <w:rPr>
          <w:rStyle w:val="libAlaemChar"/>
          <w:rtl/>
        </w:rPr>
        <w:t>عليه‌السلام</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B834AE">
        <w:rPr>
          <w:rtl/>
        </w:rPr>
        <w:t>1348</w:t>
      </w:r>
      <w:r w:rsidRPr="004325D8">
        <w:rPr>
          <w:rStyle w:val="libBold2Char"/>
          <w:rtl/>
        </w:rPr>
        <w:t xml:space="preserve"> / 19.</w:t>
      </w:r>
      <w:r w:rsidRPr="00132E65">
        <w:rPr>
          <w:rtl/>
          <w:lang w:bidi="fa-IR"/>
        </w:rPr>
        <w:t xml:space="preserve"> إِسْحَاقُ قَالَ : حَدَّثَنِي يَحْيَى بْنُ الْقُشَيْرِيِّ </w:t>
      </w:r>
      <w:r>
        <w:rPr>
          <w:rStyle w:val="libFootnotenumChar"/>
          <w:rtl/>
        </w:rPr>
        <w:t>(7)</w:t>
      </w:r>
      <w:r w:rsidRPr="00132E65">
        <w:rPr>
          <w:rtl/>
          <w:lang w:bidi="fa-IR"/>
        </w:rPr>
        <w:t xml:space="preserve"> مِنْ قَرْيَةٍ تُسَمّى قِيرَ ، قَالَ :</w:t>
      </w:r>
    </w:p>
    <w:p w:rsidR="000C39D1" w:rsidRPr="00132E65" w:rsidRDefault="000C39D1" w:rsidP="000C39D1">
      <w:pPr>
        <w:pStyle w:val="libNormal"/>
        <w:rPr>
          <w:rtl/>
          <w:lang w:bidi="fa-IR"/>
        </w:rPr>
      </w:pPr>
      <w:r w:rsidRPr="00132E65">
        <w:rPr>
          <w:rtl/>
          <w:lang w:bidi="fa-IR"/>
        </w:rPr>
        <w:t xml:space="preserve">كَانَ لِأَبِي مُحَمَّدٍ </w:t>
      </w:r>
      <w:r w:rsidRPr="00071CF9">
        <w:rPr>
          <w:rStyle w:val="libAlaemChar"/>
          <w:rtl/>
        </w:rPr>
        <w:t>عليه‌السلام</w:t>
      </w:r>
      <w:r w:rsidRPr="00132E65">
        <w:rPr>
          <w:rtl/>
          <w:lang w:bidi="fa-IR"/>
        </w:rPr>
        <w:t xml:space="preserve"> وكِيلٌ قَدِ اتَّخَذَ مَعَهُ فِي الدَّارِ حُجْرَةً يَكُونُ فِيهَا مَعَهُ خَادِمٌ‌</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A72468" w:rsidTr="00A72468">
        <w:tc>
          <w:tcPr>
            <w:tcW w:w="4261" w:type="dxa"/>
          </w:tcPr>
          <w:p w:rsidR="00A72468" w:rsidRDefault="00A72468" w:rsidP="000C39D1">
            <w:pPr>
              <w:pStyle w:val="libFootnote0"/>
              <w:rPr>
                <w:rtl/>
              </w:rPr>
            </w:pPr>
            <w:r>
              <w:rPr>
                <w:rtl/>
              </w:rPr>
              <w:t>(1).</w:t>
            </w:r>
            <w:r w:rsidRPr="00132E65">
              <w:rPr>
                <w:rtl/>
              </w:rPr>
              <w:t xml:space="preserve"> في « بر ، بف » : « إليه »</w:t>
            </w:r>
            <w:r>
              <w:rPr>
                <w:rtl/>
              </w:rPr>
              <w:t>.</w:t>
            </w:r>
          </w:p>
        </w:tc>
        <w:tc>
          <w:tcPr>
            <w:tcW w:w="4262" w:type="dxa"/>
          </w:tcPr>
          <w:p w:rsidR="00A72468" w:rsidRDefault="00A72468" w:rsidP="000C39D1">
            <w:pPr>
              <w:pStyle w:val="libFootnote0"/>
              <w:rPr>
                <w:rtl/>
              </w:rPr>
            </w:pPr>
            <w:r>
              <w:rPr>
                <w:rtl/>
              </w:rPr>
              <w:t>(2).</w:t>
            </w:r>
            <w:r w:rsidRPr="00132E65">
              <w:rPr>
                <w:rtl/>
              </w:rPr>
              <w:t xml:space="preserve"> في « ب ، بس ، بف » و</w:t>
            </w:r>
            <w:r w:rsidRPr="009D1ACE">
              <w:rPr>
                <w:rStyle w:val="libFootnoteBoldChar"/>
                <w:rtl/>
              </w:rPr>
              <w:t>الوافي</w:t>
            </w:r>
            <w:r w:rsidRPr="00132E65">
              <w:rPr>
                <w:rtl/>
              </w:rPr>
              <w:t xml:space="preserve"> </w:t>
            </w:r>
            <w:r>
              <w:rPr>
                <w:rtl/>
              </w:rPr>
              <w:t xml:space="preserve">: - </w:t>
            </w:r>
            <w:r w:rsidRPr="00132E65">
              <w:rPr>
                <w:rtl/>
              </w:rPr>
              <w:t>« إلى »</w:t>
            </w:r>
            <w:r>
              <w:rPr>
                <w:rtl/>
              </w:rPr>
              <w:t>.</w:t>
            </w:r>
          </w:p>
        </w:tc>
      </w:tr>
      <w:tr w:rsidR="00A72468" w:rsidTr="00A72468">
        <w:tc>
          <w:tcPr>
            <w:tcW w:w="4261" w:type="dxa"/>
          </w:tcPr>
          <w:p w:rsidR="00A72468" w:rsidRDefault="00A72468" w:rsidP="000C39D1">
            <w:pPr>
              <w:pStyle w:val="libFootnote0"/>
              <w:rPr>
                <w:rtl/>
              </w:rPr>
            </w:pPr>
            <w:r>
              <w:rPr>
                <w:rtl/>
              </w:rPr>
              <w:t>(3).</w:t>
            </w:r>
            <w:r w:rsidRPr="00132E65">
              <w:rPr>
                <w:rtl/>
              </w:rPr>
              <w:t xml:space="preserve"> في حاشية « ف » : « منها »</w:t>
            </w:r>
            <w:r>
              <w:rPr>
                <w:rtl/>
              </w:rPr>
              <w:t>.</w:t>
            </w:r>
          </w:p>
        </w:tc>
        <w:tc>
          <w:tcPr>
            <w:tcW w:w="4262" w:type="dxa"/>
          </w:tcPr>
          <w:p w:rsidR="00A72468" w:rsidRDefault="00A72468" w:rsidP="000C39D1">
            <w:pPr>
              <w:pStyle w:val="libFootnote0"/>
              <w:rPr>
                <w:rtl/>
              </w:rPr>
            </w:pPr>
            <w:r>
              <w:rPr>
                <w:rtl/>
              </w:rPr>
              <w:t>(4).</w:t>
            </w:r>
            <w:r w:rsidRPr="00132E65">
              <w:rPr>
                <w:rtl/>
              </w:rPr>
              <w:t xml:space="preserve"> في « بح ، بس » </w:t>
            </w:r>
            <w:r>
              <w:rPr>
                <w:rtl/>
              </w:rPr>
              <w:t xml:space="preserve">: - </w:t>
            </w:r>
            <w:r w:rsidRPr="00132E65">
              <w:rPr>
                <w:rtl/>
              </w:rPr>
              <w:t>«</w:t>
            </w:r>
            <w:r>
              <w:rPr>
                <w:rtl/>
              </w:rPr>
              <w:t xml:space="preserve"> و ».</w:t>
            </w:r>
          </w:p>
        </w:tc>
      </w:tr>
      <w:tr w:rsidR="00A72468" w:rsidTr="00A72468">
        <w:tc>
          <w:tcPr>
            <w:tcW w:w="4261" w:type="dxa"/>
          </w:tcPr>
          <w:p w:rsidR="00A72468" w:rsidRDefault="00A72468" w:rsidP="000C39D1">
            <w:pPr>
              <w:pStyle w:val="libFootnote0"/>
              <w:rPr>
                <w:rtl/>
              </w:rPr>
            </w:pPr>
            <w:r>
              <w:rPr>
                <w:rtl/>
              </w:rPr>
              <w:t>(5).</w:t>
            </w:r>
            <w:r w:rsidRPr="00132E65">
              <w:rPr>
                <w:rtl/>
              </w:rPr>
              <w:t xml:space="preserve"> في حاشية « ج » :</w:t>
            </w:r>
            <w:r>
              <w:rPr>
                <w:rtl/>
              </w:rPr>
              <w:t xml:space="preserve"> + </w:t>
            </w:r>
            <w:r w:rsidRPr="00132E65">
              <w:rPr>
                <w:rtl/>
              </w:rPr>
              <w:t>« ابنك »</w:t>
            </w:r>
            <w:r>
              <w:rPr>
                <w:rtl/>
              </w:rPr>
              <w:t>.</w:t>
            </w:r>
          </w:p>
        </w:tc>
        <w:tc>
          <w:tcPr>
            <w:tcW w:w="4262" w:type="dxa"/>
          </w:tcPr>
          <w:p w:rsidR="00A72468" w:rsidRDefault="00A72468" w:rsidP="000C39D1">
            <w:pPr>
              <w:pStyle w:val="libFootnote0"/>
              <w:rPr>
                <w:rtl/>
              </w:rPr>
            </w:pPr>
            <w:r>
              <w:rPr>
                <w:rtl/>
              </w:rPr>
              <w:t>(6).</w:t>
            </w:r>
            <w:r w:rsidRPr="00132E65">
              <w:rPr>
                <w:rtl/>
              </w:rPr>
              <w:t xml:space="preserve"> </w:t>
            </w:r>
            <w:r w:rsidRPr="009D1ACE">
              <w:rPr>
                <w:rStyle w:val="libFootnoteBoldChar"/>
                <w:rtl/>
              </w:rPr>
              <w:t>الوافي</w:t>
            </w:r>
            <w:r w:rsidRPr="00132E65">
              <w:rPr>
                <w:rtl/>
              </w:rPr>
              <w:t xml:space="preserve"> ، ج 3 ، ص 856 ، ح 1473.</w:t>
            </w:r>
          </w:p>
        </w:tc>
      </w:tr>
    </w:tbl>
    <w:p w:rsidR="000C39D1" w:rsidRPr="00132E65" w:rsidRDefault="000C39D1" w:rsidP="000C39D1">
      <w:pPr>
        <w:pStyle w:val="libFootnote0"/>
        <w:rPr>
          <w:rtl/>
          <w:lang w:bidi="fa-IR"/>
        </w:rPr>
      </w:pPr>
      <w:r>
        <w:rPr>
          <w:rtl/>
        </w:rPr>
        <w:t>(7).</w:t>
      </w:r>
      <w:r w:rsidRPr="00132E65">
        <w:rPr>
          <w:rtl/>
        </w:rPr>
        <w:t xml:space="preserve"> النسخ هنا مختلفة ، لم يرجع إلى محصَّلٍ مع الفحص الأكيد ، ففي « ب » : « يحيى ابن القنبري من قرية سماقير »</w:t>
      </w:r>
      <w:r>
        <w:rPr>
          <w:rtl/>
        </w:rPr>
        <w:t>.</w:t>
      </w:r>
      <w:r w:rsidRPr="00132E65">
        <w:rPr>
          <w:rtl/>
        </w:rPr>
        <w:t xml:space="preserve"> وفي « ج ، ض ، بح » : « يحيى القشيري من قرية سماقير »</w:t>
      </w:r>
      <w:r>
        <w:rPr>
          <w:rtl/>
        </w:rPr>
        <w:t>.</w:t>
      </w:r>
      <w:r w:rsidRPr="00132E65">
        <w:rPr>
          <w:rtl/>
        </w:rPr>
        <w:t xml:space="preserve"> وفي « ف » : « يحيى القشري من قرية سماقين »</w:t>
      </w:r>
      <w:r>
        <w:rPr>
          <w:rtl/>
        </w:rPr>
        <w:t>.</w:t>
      </w:r>
      <w:r w:rsidRPr="00132E65">
        <w:rPr>
          <w:rtl/>
        </w:rPr>
        <w:t xml:space="preserve"> وفي « بر » : « يحيى بن القنبري من قرية يسمّى قنبر »</w:t>
      </w:r>
      <w:r>
        <w:rPr>
          <w:rtl/>
        </w:rPr>
        <w:t>.</w:t>
      </w:r>
      <w:r w:rsidRPr="00132E65">
        <w:rPr>
          <w:rtl/>
        </w:rPr>
        <w:t xml:space="preserve"> وفي « بس » : « يحيى بن القسري من قرية سماقين »</w:t>
      </w:r>
      <w:r>
        <w:rPr>
          <w:rtl/>
        </w:rPr>
        <w:t>.</w:t>
      </w:r>
      <w:r w:rsidRPr="00132E65">
        <w:rPr>
          <w:rtl/>
        </w:rPr>
        <w:t xml:space="preserve"> وفي « بف » و</w:t>
      </w:r>
      <w:r w:rsidRPr="009D1ACE">
        <w:rPr>
          <w:rStyle w:val="libFootnoteBoldChar"/>
          <w:rtl/>
        </w:rPr>
        <w:t>الوافي</w:t>
      </w:r>
      <w:r w:rsidRPr="00132E65">
        <w:rPr>
          <w:rtl/>
        </w:rPr>
        <w:t xml:space="preserve"> : « يحيى بن القنبري من قرية تسمّى قنبر »</w:t>
      </w:r>
      <w:r>
        <w:rPr>
          <w:rtl/>
        </w:rPr>
        <w:t>.</w:t>
      </w:r>
      <w:r w:rsidRPr="00132E65">
        <w:rPr>
          <w:rtl/>
        </w:rPr>
        <w:t xml:space="preserve"> وفي </w:t>
      </w:r>
      <w:r w:rsidRPr="009D1ACE">
        <w:rPr>
          <w:rStyle w:val="libFootnoteBoldChar"/>
          <w:rtl/>
        </w:rPr>
        <w:t>مرآة العقول</w:t>
      </w:r>
      <w:r w:rsidRPr="00132E65">
        <w:rPr>
          <w:rtl/>
        </w:rPr>
        <w:t xml:space="preserve"> عن بعض النسخ : « القسيري ، نسبة إلى بطن من بجيلة »</w:t>
      </w:r>
      <w:r>
        <w:rPr>
          <w:rtl/>
        </w:rPr>
        <w:t>.</w:t>
      </w:r>
    </w:p>
    <w:p w:rsidR="000C39D1" w:rsidRDefault="000C39D1" w:rsidP="000C39D1">
      <w:pPr>
        <w:pStyle w:val="libNormal0"/>
        <w:tabs>
          <w:tab w:val="left" w:pos="3968"/>
        </w:tabs>
        <w:rPr>
          <w:rtl/>
          <w:lang w:bidi="fa-IR"/>
        </w:rPr>
      </w:pPr>
      <w:r>
        <w:rPr>
          <w:rtl/>
          <w:lang w:bidi="fa-IR"/>
        </w:rPr>
        <w:br w:type="page"/>
      </w:r>
    </w:p>
    <w:p w:rsidR="000C39D1" w:rsidRPr="004F239A" w:rsidRDefault="000C39D1" w:rsidP="00AB3602">
      <w:pPr>
        <w:pStyle w:val="libNormal0"/>
        <w:tabs>
          <w:tab w:val="left" w:pos="3968"/>
        </w:tabs>
        <w:rPr>
          <w:rtl/>
        </w:rPr>
      </w:pPr>
      <w:r w:rsidRPr="00132E65">
        <w:rPr>
          <w:rtl/>
          <w:lang w:bidi="fa-IR"/>
        </w:rPr>
        <w:t xml:space="preserve">أَبْيَضُ ، فَأَرَادَ </w:t>
      </w:r>
      <w:r>
        <w:rPr>
          <w:rStyle w:val="libFootnotenumChar"/>
          <w:rtl/>
        </w:rPr>
        <w:t>(1)</w:t>
      </w:r>
      <w:r w:rsidRPr="00132E65">
        <w:rPr>
          <w:rtl/>
          <w:lang w:bidi="fa-IR"/>
        </w:rPr>
        <w:t xml:space="preserve"> الْوَكِيلُ الْخَادِمَ عَلى نَفْسِهِ ، فَأَبى إِ</w:t>
      </w:r>
      <w:r w:rsidR="00AB3602">
        <w:rPr>
          <w:rtl/>
          <w:lang w:bidi="fa-IR"/>
        </w:rPr>
        <w:t>ل</w:t>
      </w:r>
      <w:r w:rsidR="00AB3602">
        <w:rPr>
          <w:rFonts w:hint="cs"/>
          <w:rtl/>
          <w:lang w:bidi="fa-IR"/>
        </w:rPr>
        <w:t>َّ</w:t>
      </w:r>
      <w:r w:rsidR="00AB3602">
        <w:rPr>
          <w:rtl/>
          <w:lang w:bidi="fa-IR"/>
        </w:rPr>
        <w:t>ا</w:t>
      </w:r>
      <w:r w:rsidRPr="00132E65">
        <w:rPr>
          <w:rtl/>
          <w:lang w:bidi="fa-IR"/>
        </w:rPr>
        <w:t xml:space="preserve"> أَنْ </w:t>
      </w:r>
      <w:r>
        <w:rPr>
          <w:rStyle w:val="libFootnotenumChar"/>
          <w:rtl/>
        </w:rPr>
        <w:t>(2)</w:t>
      </w:r>
      <w:r w:rsidRPr="00132E65">
        <w:rPr>
          <w:rtl/>
          <w:lang w:bidi="fa-IR"/>
        </w:rPr>
        <w:t xml:space="preserve"> يَأْتِيَهُ بِنَبِيذٍ ، فَاحْتَالَ لَهُ نَبِيذاً </w:t>
      </w:r>
      <w:r>
        <w:rPr>
          <w:rStyle w:val="libFootnotenumChar"/>
          <w:rtl/>
        </w:rPr>
        <w:t>(3)</w:t>
      </w:r>
      <w:r w:rsidRPr="00132E65">
        <w:rPr>
          <w:rtl/>
          <w:lang w:bidi="fa-IR"/>
        </w:rPr>
        <w:t xml:space="preserve"> ، ثُمَّ أَدْخَلَهُ عَلَيْهِ ، و</w:t>
      </w:r>
      <w:r w:rsidR="00AB3602">
        <w:rPr>
          <w:rFonts w:hint="cs"/>
          <w:rtl/>
          <w:lang w:bidi="fa-IR"/>
        </w:rPr>
        <w:t>َ</w:t>
      </w:r>
      <w:r w:rsidRPr="00132E65">
        <w:rPr>
          <w:rtl/>
          <w:lang w:bidi="fa-IR"/>
        </w:rPr>
        <w:t xml:space="preserve">بَيْنَهُ </w:t>
      </w:r>
      <w:r w:rsidR="00AB3602" w:rsidRPr="00132E65">
        <w:rPr>
          <w:rtl/>
          <w:lang w:bidi="fa-IR"/>
        </w:rPr>
        <w:t>و</w:t>
      </w:r>
      <w:r w:rsidR="00AB3602">
        <w:rPr>
          <w:rFonts w:hint="cs"/>
          <w:rtl/>
          <w:lang w:bidi="fa-IR"/>
        </w:rPr>
        <w:t>َ</w:t>
      </w:r>
      <w:r w:rsidRPr="00132E65">
        <w:rPr>
          <w:rtl/>
          <w:lang w:bidi="fa-IR"/>
        </w:rPr>
        <w:t xml:space="preserve">بَيْنَ أَبِي مُحَمَّدٍ </w:t>
      </w:r>
      <w:r w:rsidRPr="00071CF9">
        <w:rPr>
          <w:rStyle w:val="libAlaemChar"/>
          <w:rtl/>
        </w:rPr>
        <w:t>عليه‌السلام</w:t>
      </w:r>
      <w:r w:rsidRPr="00132E65">
        <w:rPr>
          <w:rtl/>
          <w:lang w:bidi="fa-IR"/>
        </w:rPr>
        <w:t xml:space="preserve"> ثَلَاثَةُ أَبْوَابٍ مُقْفَلَةٍ </w:t>
      </w:r>
      <w:r>
        <w:rPr>
          <w:rStyle w:val="libFootnotenumChar"/>
          <w:rtl/>
        </w:rPr>
        <w:t>(4)</w:t>
      </w:r>
      <w:r w:rsidRPr="00132E65">
        <w:rPr>
          <w:rtl/>
          <w:lang w:bidi="fa-IR"/>
        </w:rPr>
        <w:t xml:space="preserve"> ، قَالَ : فَحَدَّثَنِي الْوَكِيلُ ، قَالَ : إِنِّي لَمُنْتَبِهٌ إِذْ أَنَا بِالْأَبْوَابِ تُفْتَحُ حَتّى </w:t>
      </w:r>
      <w:r>
        <w:rPr>
          <w:rStyle w:val="libFootnotenumChar"/>
          <w:rtl/>
        </w:rPr>
        <w:t>(5)</w:t>
      </w:r>
      <w:r w:rsidRPr="00132E65">
        <w:rPr>
          <w:rtl/>
          <w:lang w:bidi="fa-IR"/>
        </w:rPr>
        <w:t xml:space="preserve"> جَاءَ بِنَفْسِهِ ، فَوَقَفَ عَلى بَابِ الْحُجْرَةِ ، ثُمَّ قَالَ : « يَا هؤُلَاءِ ، اتَّقُوا اللهَ ، خَافُوا اللهَ » فَلَمَّا أَصْبَحْنَا ، أَمَرَ بِبَيْعِ الْخَادِمِ ، وَإِخْرَاجِي مِنَ الدَّارِ.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132E65">
        <w:rPr>
          <w:rtl/>
          <w:lang w:bidi="fa-IR"/>
        </w:rPr>
        <w:t>‌</w:t>
      </w:r>
      <w:r w:rsidRPr="00DC71A7">
        <w:rPr>
          <w:rtl/>
        </w:rPr>
        <w:t>1349</w:t>
      </w:r>
      <w:r w:rsidRPr="004325D8">
        <w:rPr>
          <w:rStyle w:val="libBold2Char"/>
          <w:rtl/>
        </w:rPr>
        <w:t xml:space="preserve"> / 20.</w:t>
      </w:r>
      <w:r w:rsidRPr="00132E65">
        <w:rPr>
          <w:rtl/>
          <w:lang w:bidi="fa-IR"/>
        </w:rPr>
        <w:t xml:space="preserve"> إِسْحَاقُ قَالَ : أَخْبَرَنِي </w:t>
      </w:r>
      <w:r>
        <w:rPr>
          <w:rStyle w:val="libFootnotenumChar"/>
          <w:rtl/>
        </w:rPr>
        <w:t>(7)</w:t>
      </w:r>
      <w:r w:rsidRPr="00132E65">
        <w:rPr>
          <w:rtl/>
          <w:lang w:bidi="fa-IR"/>
        </w:rPr>
        <w:t xml:space="preserve"> مُحَمَّدُ بْنُ الرَّبِيعِ السَّائِيُّ </w:t>
      </w:r>
      <w:r>
        <w:rPr>
          <w:rStyle w:val="libFootnotenumChar"/>
          <w:rtl/>
        </w:rPr>
        <w:t>(8)</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نَاظَرْتُ رَجُلاً مِنَ الثَّنَوِيَّةِ </w:t>
      </w:r>
      <w:r>
        <w:rPr>
          <w:rStyle w:val="libFootnotenumChar"/>
          <w:rtl/>
        </w:rPr>
        <w:t>(9)</w:t>
      </w:r>
      <w:r w:rsidRPr="00132E65">
        <w:rPr>
          <w:rtl/>
          <w:lang w:bidi="fa-IR"/>
        </w:rPr>
        <w:t xml:space="preserve"> بِالْأَهْوَازِ ، ثُمَّ قَدِمْتُ سُرَّ مَنْ رَأى وقَدْ عَلِقَ </w:t>
      </w:r>
      <w:r>
        <w:rPr>
          <w:rStyle w:val="libFootnotenumChar"/>
          <w:rtl/>
        </w:rPr>
        <w:t>(10)</w:t>
      </w:r>
      <w:r w:rsidRPr="00132E65">
        <w:rPr>
          <w:rtl/>
          <w:lang w:bidi="fa-IR"/>
        </w:rPr>
        <w:t xml:space="preserve"> بِقَلْبِي شَيْ‌ءٌ مِنْ </w:t>
      </w:r>
      <w:r>
        <w:rPr>
          <w:rStyle w:val="libFootnotenumChar"/>
          <w:rtl/>
        </w:rPr>
        <w:t>(11)</w:t>
      </w:r>
      <w:r w:rsidRPr="00132E65">
        <w:rPr>
          <w:rtl/>
          <w:lang w:bidi="fa-IR"/>
        </w:rPr>
        <w:t xml:space="preserve"> مَقَالَتِهِ ؛ فَإِنِّي لَجَالِسٌ عَلى بَابِ أَحْمَدَ بْنِ الْخَضِيبِ إِذْ أَقْبَلَ أَبُو مُحَمَّدٍ </w:t>
      </w:r>
      <w:r w:rsidRPr="00071CF9">
        <w:rPr>
          <w:rStyle w:val="libAlaemChar"/>
          <w:rtl/>
        </w:rPr>
        <w:t>عليه‌السلام</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ضمّن الإرادة ما يتعدّى</w:t>
      </w:r>
      <w:r w:rsidR="00AB3602">
        <w:rPr>
          <w:rtl/>
        </w:rPr>
        <w:t xml:space="preserve"> ب</w:t>
      </w:r>
      <w:r w:rsidR="00AB3602">
        <w:rPr>
          <w:rFonts w:hint="cs"/>
          <w:rtl/>
        </w:rPr>
        <w:t>ـ</w:t>
      </w:r>
      <w:r>
        <w:rPr>
          <w:rtl/>
        </w:rPr>
        <w:t xml:space="preserve"> «</w:t>
      </w:r>
      <w:r w:rsidRPr="00132E65">
        <w:rPr>
          <w:rtl/>
        </w:rPr>
        <w:t xml:space="preserve"> على » كالتسلّط والركوب ونحوهما فعدّاها بها »</w:t>
      </w:r>
      <w:r>
        <w:rPr>
          <w:rtl/>
        </w:rPr>
        <w:t>.</w:t>
      </w:r>
    </w:p>
    <w:p w:rsidR="000C39D1" w:rsidRPr="00132E65" w:rsidRDefault="000C39D1" w:rsidP="000C39D1">
      <w:pPr>
        <w:pStyle w:val="libFootnote0"/>
        <w:rPr>
          <w:rtl/>
          <w:lang w:bidi="fa-IR"/>
        </w:rPr>
      </w:pPr>
      <w:r>
        <w:rPr>
          <w:rtl/>
        </w:rPr>
        <w:t>(2).</w:t>
      </w:r>
      <w:r w:rsidRPr="00132E65">
        <w:rPr>
          <w:rtl/>
        </w:rPr>
        <w:t xml:space="preserve"> هكذا في النسخ التي قوبلت و</w:t>
      </w:r>
      <w:r w:rsidRPr="009D1ACE">
        <w:rPr>
          <w:rStyle w:val="libFootnoteBoldChar"/>
          <w:rtl/>
        </w:rPr>
        <w:t>الوافي</w:t>
      </w:r>
      <w:r w:rsidRPr="00132E65">
        <w:rPr>
          <w:rtl/>
        </w:rPr>
        <w:t xml:space="preserve">. وفي المطبوع </w:t>
      </w:r>
      <w:r>
        <w:rPr>
          <w:rtl/>
        </w:rPr>
        <w:t xml:space="preserve">: - </w:t>
      </w:r>
      <w:r w:rsidRPr="00132E65">
        <w:rPr>
          <w:rtl/>
        </w:rPr>
        <w:t>« أن »</w:t>
      </w:r>
      <w:r>
        <w:rPr>
          <w:rtl/>
        </w:rPr>
        <w:t>.</w:t>
      </w:r>
    </w:p>
    <w:p w:rsidR="000C39D1" w:rsidRPr="00132E65" w:rsidRDefault="000C39D1" w:rsidP="000C39D1">
      <w:pPr>
        <w:pStyle w:val="libFootnote0"/>
        <w:rPr>
          <w:rtl/>
          <w:lang w:bidi="fa-IR"/>
        </w:rPr>
      </w:pPr>
      <w:r>
        <w:rPr>
          <w:rtl/>
        </w:rPr>
        <w:t>(3).</w:t>
      </w:r>
      <w:r w:rsidRPr="00132E65">
        <w:rPr>
          <w:rtl/>
        </w:rPr>
        <w:t xml:space="preserve"> هكذا في النسخ التي قوبلت و</w:t>
      </w:r>
      <w:r w:rsidRPr="009D1ACE">
        <w:rPr>
          <w:rStyle w:val="libFootnoteBoldChar"/>
          <w:rtl/>
        </w:rPr>
        <w:t>الوافي</w:t>
      </w:r>
      <w:r w:rsidRPr="00132E65">
        <w:rPr>
          <w:rtl/>
        </w:rPr>
        <w:t>. وفي المطبوع : « بنبيدٍ »</w:t>
      </w:r>
      <w:r>
        <w:rPr>
          <w:rtl/>
        </w:rPr>
        <w:t>.</w:t>
      </w:r>
    </w:p>
    <w:p w:rsidR="000C39D1" w:rsidRPr="00132E65" w:rsidRDefault="000C39D1" w:rsidP="000C39D1">
      <w:pPr>
        <w:pStyle w:val="libFootnote0"/>
        <w:rPr>
          <w:rtl/>
          <w:lang w:bidi="fa-IR"/>
        </w:rPr>
      </w:pPr>
      <w:r>
        <w:rPr>
          <w:rtl/>
        </w:rPr>
        <w:t>(4).</w:t>
      </w:r>
      <w:r w:rsidRPr="00132E65">
        <w:rPr>
          <w:rtl/>
        </w:rPr>
        <w:t xml:space="preserve"> هكذا في كثير من النسخ التي عندنا ( 22 نسخة ) و</w:t>
      </w:r>
      <w:r w:rsidRPr="009D1ACE">
        <w:rPr>
          <w:rStyle w:val="libFootnoteBoldChar"/>
          <w:rtl/>
        </w:rPr>
        <w:t>الوافي</w:t>
      </w:r>
      <w:r w:rsidRPr="00132E65">
        <w:rPr>
          <w:rtl/>
        </w:rPr>
        <w:t>. وفي « جح » والمطبوع وشرح المازندراني : « مغلقة »</w:t>
      </w:r>
      <w:r>
        <w:rPr>
          <w:rtl/>
        </w:rPr>
        <w:t>.</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حتّى »</w:t>
      </w:r>
      <w:r>
        <w:rPr>
          <w:rtl/>
        </w:rPr>
        <w:t>.</w:t>
      </w:r>
    </w:p>
    <w:p w:rsidR="000C39D1" w:rsidRPr="00132E65" w:rsidRDefault="000C39D1" w:rsidP="000C39D1">
      <w:pPr>
        <w:pStyle w:val="libFootnote0"/>
        <w:rPr>
          <w:rtl/>
          <w:lang w:bidi="fa-IR"/>
        </w:rPr>
      </w:pPr>
      <w:r>
        <w:rPr>
          <w:rtl/>
        </w:rPr>
        <w:t>(6).</w:t>
      </w:r>
      <w:r w:rsidRPr="00132E65">
        <w:rPr>
          <w:rtl/>
        </w:rPr>
        <w:t xml:space="preserve"> </w:t>
      </w:r>
      <w:r w:rsidRPr="009D1ACE">
        <w:rPr>
          <w:rStyle w:val="libFootnoteBoldChar"/>
          <w:rtl/>
        </w:rPr>
        <w:t>الوافي</w:t>
      </w:r>
      <w:r w:rsidRPr="00132E65">
        <w:rPr>
          <w:rtl/>
        </w:rPr>
        <w:t xml:space="preserve"> ، ج 3 ، ص 857 ، ح 1474.</w:t>
      </w:r>
    </w:p>
    <w:p w:rsidR="000C39D1" w:rsidRPr="00132E65" w:rsidRDefault="000C39D1" w:rsidP="000C39D1">
      <w:pPr>
        <w:pStyle w:val="libFootnote0"/>
        <w:rPr>
          <w:rtl/>
          <w:lang w:bidi="fa-IR"/>
        </w:rPr>
      </w:pPr>
      <w:r>
        <w:rPr>
          <w:rtl/>
        </w:rPr>
        <w:t>(7).</w:t>
      </w:r>
      <w:r w:rsidRPr="00132E65">
        <w:rPr>
          <w:rtl/>
        </w:rPr>
        <w:t xml:space="preserve"> في « ض » : « وأخبرني »</w:t>
      </w:r>
      <w:r>
        <w:rPr>
          <w:rtl/>
        </w:rPr>
        <w:t>.</w:t>
      </w:r>
    </w:p>
    <w:p w:rsidR="000C39D1" w:rsidRPr="00132E65" w:rsidRDefault="000C39D1" w:rsidP="000C39D1">
      <w:pPr>
        <w:pStyle w:val="libFootnote0"/>
        <w:rPr>
          <w:rtl/>
          <w:lang w:bidi="fa-IR"/>
        </w:rPr>
      </w:pPr>
      <w:r>
        <w:rPr>
          <w:rtl/>
        </w:rPr>
        <w:t>(8).</w:t>
      </w:r>
      <w:r w:rsidRPr="00132E65">
        <w:rPr>
          <w:rtl/>
        </w:rPr>
        <w:t xml:space="preserve"> هكذا في حاشية « جو » وهامش المطبوع. وفي « ب » : « النسّائي »</w:t>
      </w:r>
      <w:r>
        <w:rPr>
          <w:rtl/>
        </w:rPr>
        <w:t>.</w:t>
      </w:r>
      <w:r w:rsidRPr="00132E65">
        <w:rPr>
          <w:rtl/>
        </w:rPr>
        <w:t xml:space="preserve"> وفي « ج ، ف ، بر » وهامش المطبوع : « الشيباني »</w:t>
      </w:r>
      <w:r>
        <w:rPr>
          <w:rtl/>
        </w:rPr>
        <w:t>.</w:t>
      </w:r>
      <w:r w:rsidRPr="00132E65">
        <w:rPr>
          <w:rtl/>
        </w:rPr>
        <w:t xml:space="preserve"> وفي « ض » والمطبوع : « الشائي »</w:t>
      </w:r>
      <w:r>
        <w:rPr>
          <w:rtl/>
        </w:rPr>
        <w:t>.</w:t>
      </w:r>
      <w:r w:rsidRPr="00132E65">
        <w:rPr>
          <w:rtl/>
        </w:rPr>
        <w:t xml:space="preserve"> وفي « بح » : « النشائي »</w:t>
      </w:r>
      <w:r>
        <w:rPr>
          <w:rtl/>
        </w:rPr>
        <w:t>.</w:t>
      </w:r>
      <w:r w:rsidRPr="00132E65">
        <w:rPr>
          <w:rtl/>
        </w:rPr>
        <w:t xml:space="preserve"> وفي « بس » : « النشاي »</w:t>
      </w:r>
      <w:r>
        <w:rPr>
          <w:rtl/>
        </w:rPr>
        <w:t>.</w:t>
      </w:r>
      <w:r w:rsidRPr="00132E65">
        <w:rPr>
          <w:rtl/>
        </w:rPr>
        <w:t xml:space="preserve"> وفي « بف » : « النساي »</w:t>
      </w:r>
      <w:r>
        <w:rPr>
          <w:rtl/>
        </w:rPr>
        <w:t>.</w:t>
      </w:r>
      <w:r w:rsidRPr="00132E65">
        <w:rPr>
          <w:rtl/>
        </w:rPr>
        <w:t xml:space="preserve"> وفي حاشية « ض » : « الشامي »</w:t>
      </w:r>
      <w:r>
        <w:rPr>
          <w:rtl/>
        </w:rPr>
        <w:t>.</w:t>
      </w:r>
      <w:r w:rsidRPr="00132E65">
        <w:rPr>
          <w:rtl/>
        </w:rPr>
        <w:t xml:space="preserve"> وما أثبتنا هو الظاهر. والمراد من محمّد بن الربيع هذا ، هو محمّد بن ربيع بن سويد السائي المذكور في </w:t>
      </w:r>
      <w:r w:rsidRPr="00DC71A7">
        <w:rPr>
          <w:rtl/>
        </w:rPr>
        <w:t>رجال الطوسي</w:t>
      </w:r>
      <w:r w:rsidRPr="00132E65">
        <w:rPr>
          <w:rtl/>
        </w:rPr>
        <w:t xml:space="preserve"> ، ص 402 ، الرقم 5907. والمظنون قويّاً أنّ محمّداً هذا ، هو ابن أخي عليّ بن سويد السائي المذكور في كتب الرجال والأسناد. راجع : </w:t>
      </w:r>
      <w:r w:rsidRPr="00DC71A7">
        <w:rPr>
          <w:rtl/>
        </w:rPr>
        <w:t>رجال النجاشي</w:t>
      </w:r>
      <w:r w:rsidRPr="00132E65">
        <w:rPr>
          <w:rtl/>
        </w:rPr>
        <w:t xml:space="preserve"> ، ص 276 ، الرقم 724 ؛ </w:t>
      </w:r>
      <w:r w:rsidRPr="00DC71A7">
        <w:rPr>
          <w:rtl/>
        </w:rPr>
        <w:t>رجال الكشّي</w:t>
      </w:r>
      <w:r w:rsidRPr="00132E65">
        <w:rPr>
          <w:rtl/>
        </w:rPr>
        <w:t xml:space="preserve"> ، ص 456 ، الرقم 859 ؛ </w:t>
      </w:r>
      <w:r w:rsidRPr="00DC71A7">
        <w:rPr>
          <w:rtl/>
        </w:rPr>
        <w:t>معجم رجال الحديث</w:t>
      </w:r>
      <w:r w:rsidRPr="00132E65">
        <w:rPr>
          <w:rtl/>
        </w:rPr>
        <w:t xml:space="preserve"> ، ج 12 ، ص 243 ، الرقم 8601.</w:t>
      </w:r>
    </w:p>
    <w:p w:rsidR="000C39D1" w:rsidRPr="00132E65" w:rsidRDefault="000C39D1" w:rsidP="000C39D1">
      <w:pPr>
        <w:pStyle w:val="libFootnote0"/>
        <w:rPr>
          <w:rtl/>
          <w:lang w:bidi="fa-IR"/>
        </w:rPr>
      </w:pPr>
      <w:r>
        <w:rPr>
          <w:rtl/>
        </w:rPr>
        <w:t>(9).</w:t>
      </w:r>
      <w:r w:rsidRPr="00132E65">
        <w:rPr>
          <w:rtl/>
        </w:rPr>
        <w:t xml:space="preserve"> « الثنويّة » : هم الذين يقولون بأنّ للعالم إلهين : أحدهما النور أو يزدان ، والخيرات كلّها منسوبة إليه. والثاني‌الظلمة ضدّه ، أو أهرمن ، والشرور جميعها منسوبة إليه. راجع : </w:t>
      </w:r>
      <w:r w:rsidRPr="00DC71A7">
        <w:rPr>
          <w:rtl/>
        </w:rPr>
        <w:t>شرح المازندراني</w:t>
      </w:r>
      <w:r w:rsidRPr="00132E65">
        <w:rPr>
          <w:rtl/>
        </w:rPr>
        <w:t xml:space="preserve"> ، ج 7 ، ص 328 ؛ </w:t>
      </w:r>
      <w:r w:rsidRPr="009D1ACE">
        <w:rPr>
          <w:rStyle w:val="libFootnoteBoldChar"/>
          <w:rtl/>
        </w:rPr>
        <w:t>مرآة العقول</w:t>
      </w:r>
      <w:r w:rsidRPr="00132E65">
        <w:rPr>
          <w:rtl/>
        </w:rPr>
        <w:t xml:space="preserve"> ، ج 6 ، ص 162.</w:t>
      </w:r>
    </w:p>
    <w:tbl>
      <w:tblPr>
        <w:tblStyle w:val="TableGrid"/>
        <w:bidiVisual/>
        <w:tblW w:w="0" w:type="auto"/>
        <w:tblLook w:val="04A0" w:firstRow="1" w:lastRow="0" w:firstColumn="1" w:lastColumn="0" w:noHBand="0" w:noVBand="1"/>
      </w:tblPr>
      <w:tblGrid>
        <w:gridCol w:w="4261"/>
        <w:gridCol w:w="4262"/>
      </w:tblGrid>
      <w:tr w:rsidR="00AB3602" w:rsidTr="00AB3602">
        <w:tc>
          <w:tcPr>
            <w:tcW w:w="4261" w:type="dxa"/>
          </w:tcPr>
          <w:p w:rsidR="00AB3602" w:rsidRDefault="00AB3602" w:rsidP="000C39D1">
            <w:pPr>
              <w:pStyle w:val="libFootnote0"/>
              <w:rPr>
                <w:rtl/>
              </w:rPr>
            </w:pPr>
            <w:r>
              <w:rPr>
                <w:rtl/>
              </w:rPr>
              <w:t>(10).</w:t>
            </w:r>
            <w:r w:rsidRPr="00132E65">
              <w:rPr>
                <w:rtl/>
              </w:rPr>
              <w:t xml:space="preserve"> في « ج » : « علّق » بالتشديد.</w:t>
            </w:r>
          </w:p>
        </w:tc>
        <w:tc>
          <w:tcPr>
            <w:tcW w:w="4262" w:type="dxa"/>
          </w:tcPr>
          <w:p w:rsidR="00AB3602" w:rsidRDefault="00AB3602" w:rsidP="000C39D1">
            <w:pPr>
              <w:pStyle w:val="libFootnote0"/>
              <w:rPr>
                <w:rtl/>
              </w:rPr>
            </w:pPr>
            <w:r>
              <w:rPr>
                <w:rtl/>
              </w:rPr>
              <w:t>(11).</w:t>
            </w:r>
            <w:r w:rsidRPr="00132E65">
              <w:rPr>
                <w:rtl/>
              </w:rPr>
              <w:t xml:space="preserve"> في « بر » : « في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مِنْ دَارِ الْعَامَّةِ </w:t>
      </w:r>
      <w:r>
        <w:rPr>
          <w:rStyle w:val="libFootnotenumChar"/>
          <w:rtl/>
        </w:rPr>
        <w:t>(1)</w:t>
      </w:r>
      <w:r w:rsidRPr="00132E65">
        <w:rPr>
          <w:rtl/>
          <w:lang w:bidi="fa-IR"/>
        </w:rPr>
        <w:t xml:space="preserve"> يَؤُمُّ </w:t>
      </w:r>
      <w:r>
        <w:rPr>
          <w:rStyle w:val="libFootnotenumChar"/>
          <w:rtl/>
        </w:rPr>
        <w:t>(2)</w:t>
      </w:r>
      <w:r w:rsidRPr="00132E65">
        <w:rPr>
          <w:rtl/>
          <w:lang w:bidi="fa-IR"/>
        </w:rPr>
        <w:t xml:space="preserve"> الْمَوْكِبَ </w:t>
      </w:r>
      <w:r>
        <w:rPr>
          <w:rStyle w:val="libFootnotenumChar"/>
          <w:rtl/>
        </w:rPr>
        <w:t>(3)</w:t>
      </w:r>
      <w:r w:rsidRPr="00132E65">
        <w:rPr>
          <w:rtl/>
          <w:lang w:bidi="fa-IR"/>
        </w:rPr>
        <w:t xml:space="preserve"> ، فَنَظَرَ إِلَيَّ ، وأَشَارَ بِسَبَّاحَتِهِ </w:t>
      </w:r>
      <w:r>
        <w:rPr>
          <w:rStyle w:val="libFootnotenumChar"/>
          <w:rtl/>
        </w:rPr>
        <w:t>(4)</w:t>
      </w:r>
      <w:r w:rsidRPr="00132E65">
        <w:rPr>
          <w:rtl/>
          <w:lang w:bidi="fa-IR"/>
        </w:rPr>
        <w:t xml:space="preserve"> : « أَحَداً أَحَداً فَرْداً </w:t>
      </w:r>
      <w:r>
        <w:rPr>
          <w:rStyle w:val="libFootnotenumChar"/>
          <w:rtl/>
        </w:rPr>
        <w:t>(5)</w:t>
      </w:r>
      <w:r w:rsidRPr="00132E65">
        <w:rPr>
          <w:rtl/>
          <w:lang w:bidi="fa-IR"/>
        </w:rPr>
        <w:t xml:space="preserve"> »</w:t>
      </w:r>
      <w:r>
        <w:rPr>
          <w:rtl/>
          <w:lang w:bidi="fa-IR"/>
        </w:rPr>
        <w:t>.</w:t>
      </w:r>
      <w:r>
        <w:rPr>
          <w:rFonts w:hint="cs"/>
          <w:rtl/>
          <w:lang w:bidi="fa-IR"/>
        </w:rPr>
        <w:t xml:space="preserve"> </w:t>
      </w:r>
      <w:r w:rsidRPr="00132E65">
        <w:rPr>
          <w:rtl/>
          <w:lang w:bidi="fa-IR"/>
        </w:rPr>
        <w:t xml:space="preserve">فَسَقَطْتُ مَغْشِيّاً عَلَيَّ.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DC71A7">
        <w:rPr>
          <w:rtl/>
        </w:rPr>
        <w:t>1350</w:t>
      </w:r>
      <w:r w:rsidRPr="004325D8">
        <w:rPr>
          <w:rStyle w:val="libBold2Char"/>
          <w:rtl/>
        </w:rPr>
        <w:t xml:space="preserve"> / 21.</w:t>
      </w:r>
      <w:r w:rsidRPr="00132E65">
        <w:rPr>
          <w:rtl/>
          <w:lang w:bidi="fa-IR"/>
        </w:rPr>
        <w:t xml:space="preserve"> إِسْحَاقُ ، عَنْ أَبِي هَاشِمٍ الْجَعْفَرِيِّ ، قَالَ :</w:t>
      </w:r>
    </w:p>
    <w:p w:rsidR="000C39D1" w:rsidRDefault="000C39D1" w:rsidP="000C39D1">
      <w:pPr>
        <w:pStyle w:val="libNormal"/>
        <w:rPr>
          <w:rtl/>
          <w:lang w:bidi="fa-IR"/>
        </w:rPr>
      </w:pPr>
      <w:r w:rsidRPr="00132E65">
        <w:rPr>
          <w:rtl/>
          <w:lang w:bidi="fa-IR"/>
        </w:rPr>
        <w:t xml:space="preserve">دَخَلْتُ عَلى أَبِي مُحَمَّدٍ </w:t>
      </w:r>
      <w:r w:rsidRPr="00071CF9">
        <w:rPr>
          <w:rStyle w:val="libAlaemChar"/>
          <w:rtl/>
        </w:rPr>
        <w:t>عليه‌السلام</w:t>
      </w:r>
      <w:r w:rsidRPr="00132E65">
        <w:rPr>
          <w:rtl/>
          <w:lang w:bidi="fa-IR"/>
        </w:rPr>
        <w:t xml:space="preserve"> يَوْماً وأَنَا أُرِيدُ أَنْ أَسْأَلَهُ مَا أَصُوغُ بِهِ خَاتَماً أَتَبَرَّكُ بِهِ ، فَجَلَسْتُ ، و</w:t>
      </w:r>
      <w:r w:rsidR="00AB3602">
        <w:rPr>
          <w:rFonts w:hint="cs"/>
          <w:rtl/>
          <w:lang w:bidi="fa-IR"/>
        </w:rPr>
        <w:t>َ</w:t>
      </w:r>
      <w:r w:rsidRPr="00132E65">
        <w:rPr>
          <w:rtl/>
          <w:lang w:bidi="fa-IR"/>
        </w:rPr>
        <w:t xml:space="preserve">أُنْسِيتُ مَا جِئْتُ لَهُ ، فَلَمَّا ودَّعْتُهُ </w:t>
      </w:r>
      <w:r>
        <w:rPr>
          <w:rStyle w:val="libFootnotenumChar"/>
          <w:rtl/>
        </w:rPr>
        <w:t>(7)</w:t>
      </w:r>
      <w:r w:rsidRPr="00132E65">
        <w:rPr>
          <w:rtl/>
          <w:lang w:bidi="fa-IR"/>
        </w:rPr>
        <w:t xml:space="preserve"> ونَهَضْتُ رَمى إِلَيَّ بِالْخَاتَمِ ، فَقَالَ : « أَرَدْتَ فِضَّةً </w:t>
      </w:r>
      <w:r>
        <w:rPr>
          <w:rStyle w:val="libFootnotenumChar"/>
          <w:rtl/>
        </w:rPr>
        <w:t>(8)</w:t>
      </w:r>
      <w:r w:rsidRPr="00132E65">
        <w:rPr>
          <w:rtl/>
          <w:lang w:bidi="fa-IR"/>
        </w:rPr>
        <w:t xml:space="preserve"> ، فَأَعْطَيْنَاكَ خَاتَماً ، رَبِحْتَ </w:t>
      </w:r>
      <w:r>
        <w:rPr>
          <w:rStyle w:val="libFootnotenumChar"/>
          <w:rtl/>
        </w:rPr>
        <w:t>(9)</w:t>
      </w:r>
      <w:r w:rsidRPr="00132E65">
        <w:rPr>
          <w:rtl/>
          <w:lang w:bidi="fa-IR"/>
        </w:rPr>
        <w:t xml:space="preserve"> الْفَصَّ و</w:t>
      </w:r>
      <w:r w:rsidR="00EF36E5">
        <w:rPr>
          <w:rFonts w:hint="cs"/>
          <w:rtl/>
          <w:lang w:bidi="fa-IR"/>
        </w:rPr>
        <w:t>َ</w:t>
      </w:r>
      <w:r w:rsidRPr="00132E65">
        <w:rPr>
          <w:rtl/>
          <w:lang w:bidi="fa-IR"/>
        </w:rPr>
        <w:t xml:space="preserve">الْكِرَاءَ ، هَنَأَكَ </w:t>
      </w:r>
      <w:r>
        <w:rPr>
          <w:rStyle w:val="libFootnotenumChar"/>
          <w:rtl/>
        </w:rPr>
        <w:t>(10)</w:t>
      </w:r>
      <w:r w:rsidRPr="00132E65">
        <w:rPr>
          <w:rtl/>
          <w:lang w:bidi="fa-IR"/>
        </w:rPr>
        <w:t xml:space="preserve"> اللهُ يَا أَبَا هَاشِمٍ »</w:t>
      </w:r>
      <w:r>
        <w:rPr>
          <w:rtl/>
          <w:lang w:bidi="fa-IR"/>
        </w:rPr>
        <w:t>.</w:t>
      </w:r>
    </w:p>
    <w:p w:rsidR="000C39D1" w:rsidRPr="00132E65" w:rsidRDefault="000C39D1" w:rsidP="000C39D1">
      <w:pPr>
        <w:pStyle w:val="libNormal"/>
        <w:rPr>
          <w:rtl/>
          <w:lang w:bidi="fa-IR"/>
        </w:rPr>
      </w:pPr>
      <w:r w:rsidRPr="00132E65">
        <w:rPr>
          <w:rtl/>
          <w:lang w:bidi="fa-IR"/>
        </w:rPr>
        <w:t>فَقُلْتُ : يَا سَيِّدِي ، أَشْهَدُ أَنَّكَ ولِيُّ اللهِ وإِمَامِيَ الَّذِي أَدِينُ اللهَ بِطَاعَتِهِ ، فَقَالَ : « غَفَرَ‌</w:t>
      </w:r>
      <w:r>
        <w:rPr>
          <w:rFonts w:hint="cs"/>
          <w:rtl/>
          <w:lang w:bidi="fa-IR"/>
        </w:rPr>
        <w:t xml:space="preserve"> </w:t>
      </w:r>
      <w:r w:rsidRPr="00132E65">
        <w:rPr>
          <w:rtl/>
          <w:lang w:bidi="fa-IR"/>
        </w:rPr>
        <w:t>اللهُ لَكَ يَا أَبَا هَاشِمٍ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DC71A7">
        <w:rPr>
          <w:rtl/>
        </w:rPr>
        <w:t>1351</w:t>
      </w:r>
      <w:r w:rsidRPr="004325D8">
        <w:rPr>
          <w:rStyle w:val="libBold2Char"/>
          <w:rtl/>
        </w:rPr>
        <w:t xml:space="preserve"> / 22.</w:t>
      </w:r>
      <w:r w:rsidRPr="00132E65">
        <w:rPr>
          <w:rtl/>
          <w:lang w:bidi="fa-IR"/>
        </w:rPr>
        <w:t xml:space="preserve"> إِسْحَاقُ قَالَ : حَدَّثَنِي مُحَمَّدُ بْنُ الْقَاسِمِ أَبُو الْعَيْنَاءِ الْهَاشِمِيُّ مَوْلى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دار العلّة »</w:t>
      </w:r>
      <w:r>
        <w:rPr>
          <w:rtl/>
        </w:rPr>
        <w:t>.</w:t>
      </w:r>
      <w:r w:rsidRPr="00132E65">
        <w:rPr>
          <w:rtl/>
        </w:rPr>
        <w:t xml:space="preserve"> ودار العامّة ، أي دار الخلافة.</w:t>
      </w:r>
    </w:p>
    <w:p w:rsidR="000C39D1" w:rsidRPr="00132E65" w:rsidRDefault="000C39D1" w:rsidP="000C39D1">
      <w:pPr>
        <w:pStyle w:val="libFootnote0"/>
        <w:rPr>
          <w:rtl/>
          <w:lang w:bidi="fa-IR"/>
        </w:rPr>
      </w:pPr>
      <w:r>
        <w:rPr>
          <w:rtl/>
        </w:rPr>
        <w:t>(2).</w:t>
      </w:r>
      <w:r w:rsidRPr="00132E65">
        <w:rPr>
          <w:rtl/>
        </w:rPr>
        <w:t xml:space="preserve"> في « ب ، ج ، ض ، ف ، بر ، بس » وشرح المازندراني و</w:t>
      </w:r>
      <w:r w:rsidRPr="009D1ACE">
        <w:rPr>
          <w:rStyle w:val="libFootnoteBoldChar"/>
          <w:rtl/>
        </w:rPr>
        <w:t>مرآة العقول</w:t>
      </w:r>
      <w:r w:rsidRPr="00132E65">
        <w:rPr>
          <w:rtl/>
        </w:rPr>
        <w:t xml:space="preserve"> : « يوم »</w:t>
      </w:r>
      <w:r>
        <w:rPr>
          <w:rtl/>
        </w:rPr>
        <w:t>.</w:t>
      </w:r>
      <w:r w:rsidRPr="00132E65">
        <w:rPr>
          <w:rtl/>
        </w:rPr>
        <w:t xml:space="preserve"> ويؤمّ ، أي يقصد.</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عن بعض النسخ : « مركب »</w:t>
      </w:r>
      <w:r>
        <w:rPr>
          <w:rtl/>
        </w:rPr>
        <w:t>.</w:t>
      </w:r>
      <w:r w:rsidRPr="00132E65">
        <w:rPr>
          <w:rtl/>
        </w:rPr>
        <w:t xml:space="preserve"> </w:t>
      </w:r>
      <w:r>
        <w:rPr>
          <w:rtl/>
        </w:rPr>
        <w:t>و «</w:t>
      </w:r>
      <w:r w:rsidRPr="00132E65">
        <w:rPr>
          <w:rtl/>
        </w:rPr>
        <w:t xml:space="preserve"> ال</w:t>
      </w:r>
      <w:r w:rsidR="00EF36E5">
        <w:rPr>
          <w:rFonts w:hint="cs"/>
          <w:rtl/>
        </w:rPr>
        <w:t>ـ</w:t>
      </w:r>
      <w:r w:rsidRPr="00132E65">
        <w:rPr>
          <w:rtl/>
        </w:rPr>
        <w:t xml:space="preserve">مَوْكِبُ » : جماعة رُكّاب يسيرون برِفْق ، وهم أيضاً القوم الرُكُوبُ للزينة والتنزّه. </w:t>
      </w:r>
      <w:r w:rsidRPr="00DC71A7">
        <w:rPr>
          <w:rtl/>
        </w:rPr>
        <w:t>النهاية</w:t>
      </w:r>
      <w:r w:rsidRPr="00132E65">
        <w:rPr>
          <w:rtl/>
        </w:rPr>
        <w:t xml:space="preserve"> ، ج 5 ، ص 218 ( وكب )</w:t>
      </w:r>
      <w:r>
        <w:rPr>
          <w:rtl/>
        </w:rPr>
        <w:t>.</w:t>
      </w:r>
    </w:p>
    <w:p w:rsidR="000C39D1" w:rsidRPr="00132E65" w:rsidRDefault="000C39D1" w:rsidP="000C39D1">
      <w:pPr>
        <w:pStyle w:val="libFootnote0"/>
        <w:rPr>
          <w:rtl/>
          <w:lang w:bidi="fa-IR"/>
        </w:rPr>
      </w:pPr>
      <w:r>
        <w:rPr>
          <w:rtl/>
        </w:rPr>
        <w:t>(4).</w:t>
      </w:r>
      <w:r w:rsidRPr="00132E65">
        <w:rPr>
          <w:rtl/>
        </w:rPr>
        <w:t xml:space="preserve"> في « ب » وحاشية « ج ، بح » : « بسبّابته »</w:t>
      </w:r>
      <w:r>
        <w:rPr>
          <w:rtl/>
        </w:rPr>
        <w:t>.</w:t>
      </w:r>
      <w:r w:rsidRPr="00132E65">
        <w:rPr>
          <w:rtl/>
        </w:rPr>
        <w:t xml:space="preserve"> و: « السَبّاحة » </w:t>
      </w:r>
      <w:r>
        <w:rPr>
          <w:rtl/>
        </w:rPr>
        <w:t>و «</w:t>
      </w:r>
      <w:r w:rsidRPr="00132E65">
        <w:rPr>
          <w:rtl/>
        </w:rPr>
        <w:t xml:space="preserve"> المسبِّحة » : الإصبع التي تلي الإبهام ، سمّيت بذلك لأنّها يشار بها عند التسبيح ، أو لأنّها كالذاكرة حين الإشارة بها إلى إثبات الإلهيّة. راجع : </w:t>
      </w:r>
      <w:r w:rsidRPr="00DC71A7">
        <w:rPr>
          <w:rtl/>
        </w:rPr>
        <w:t>النهاية</w:t>
      </w:r>
      <w:r w:rsidRPr="00132E65">
        <w:rPr>
          <w:rtl/>
        </w:rPr>
        <w:t xml:space="preserve"> ، ج 2 ، ص 332 ؛ </w:t>
      </w:r>
      <w:r w:rsidRPr="00DC71A7">
        <w:rPr>
          <w:rtl/>
        </w:rPr>
        <w:t>المصباح المنير</w:t>
      </w:r>
      <w:r w:rsidRPr="00132E65">
        <w:rPr>
          <w:rtl/>
        </w:rPr>
        <w:t xml:space="preserve"> ، ص 262 ( سبح )</w:t>
      </w:r>
      <w:r>
        <w:rPr>
          <w:rtl/>
        </w:rPr>
        <w:t>.</w:t>
      </w:r>
    </w:p>
    <w:p w:rsidR="000C39D1" w:rsidRPr="00132E65" w:rsidRDefault="000C39D1" w:rsidP="00EF36E5">
      <w:pPr>
        <w:pStyle w:val="libFootnote0"/>
        <w:rPr>
          <w:rtl/>
          <w:lang w:bidi="fa-IR"/>
        </w:rPr>
      </w:pPr>
      <w:r>
        <w:rPr>
          <w:rtl/>
        </w:rPr>
        <w:t>(5).</w:t>
      </w:r>
      <w:r w:rsidRPr="00132E65">
        <w:rPr>
          <w:rtl/>
        </w:rPr>
        <w:t xml:space="preserve"> هكذا في « ب ، ج ، ض ، ف ، بح ، بر ، بس ، بف » و</w:t>
      </w:r>
      <w:r w:rsidRPr="009D1ACE">
        <w:rPr>
          <w:rStyle w:val="libFootnoteBoldChar"/>
          <w:rtl/>
        </w:rPr>
        <w:t>الوافي</w:t>
      </w:r>
      <w:r w:rsidRPr="00132E65">
        <w:rPr>
          <w:rtl/>
        </w:rPr>
        <w:t>. وفي المطبوع وبعض النسخ على ما في شرح المازندراني و</w:t>
      </w:r>
      <w:r w:rsidRPr="009D1ACE">
        <w:rPr>
          <w:rStyle w:val="libFootnoteBoldChar"/>
          <w:rtl/>
        </w:rPr>
        <w:t>مرآة العقول</w:t>
      </w:r>
      <w:r w:rsidRPr="00132E65">
        <w:rPr>
          <w:rtl/>
        </w:rPr>
        <w:t xml:space="preserve"> : « أحد أحد فرد »</w:t>
      </w:r>
      <w:r>
        <w:rPr>
          <w:rtl/>
        </w:rPr>
        <w:t>.</w:t>
      </w:r>
      <w:r w:rsidR="00EF36E5">
        <w:rPr>
          <w:rFonts w:hint="cs"/>
          <w:rtl/>
        </w:rPr>
        <w:t xml:space="preserve">                     </w:t>
      </w:r>
      <w:r>
        <w:rPr>
          <w:rtl/>
        </w:rPr>
        <w:t>(6).</w:t>
      </w:r>
      <w:r w:rsidRPr="00132E65">
        <w:rPr>
          <w:rtl/>
        </w:rPr>
        <w:t xml:space="preserve"> </w:t>
      </w:r>
      <w:r w:rsidRPr="009D1ACE">
        <w:rPr>
          <w:rStyle w:val="libFootnoteBoldChar"/>
          <w:rtl/>
        </w:rPr>
        <w:t>الوافي</w:t>
      </w:r>
      <w:r w:rsidRPr="00132E65">
        <w:rPr>
          <w:rtl/>
        </w:rPr>
        <w:t xml:space="preserve"> ، ج 3 ، ص 857 ، ح 1475.</w:t>
      </w:r>
    </w:p>
    <w:p w:rsidR="000C39D1" w:rsidRPr="00132E65" w:rsidRDefault="000C39D1" w:rsidP="000C39D1">
      <w:pPr>
        <w:pStyle w:val="libFootnote0"/>
        <w:rPr>
          <w:rtl/>
          <w:lang w:bidi="fa-IR"/>
        </w:rPr>
      </w:pPr>
      <w:r>
        <w:rPr>
          <w:rtl/>
        </w:rPr>
        <w:t>(7).</w:t>
      </w:r>
      <w:r w:rsidRPr="00132E65">
        <w:rPr>
          <w:rtl/>
        </w:rPr>
        <w:t xml:space="preserve"> هكذا في « ب ، ف ، بس ، بف ، بح » و</w:t>
      </w:r>
      <w:r w:rsidRPr="009D1ACE">
        <w:rPr>
          <w:rStyle w:val="libFootnoteBoldChar"/>
          <w:rtl/>
        </w:rPr>
        <w:t>الوافي</w:t>
      </w:r>
      <w:r w:rsidRPr="00132E65">
        <w:rPr>
          <w:rtl/>
        </w:rPr>
        <w:t>. وفي المطبوع وبعض النسخ : « ودّعت »</w:t>
      </w:r>
      <w:r>
        <w:rPr>
          <w:rtl/>
        </w:rPr>
        <w:t>.</w:t>
      </w:r>
    </w:p>
    <w:p w:rsidR="000C39D1" w:rsidRPr="00132E65" w:rsidRDefault="000C39D1" w:rsidP="000C39D1">
      <w:pPr>
        <w:pStyle w:val="libFootnote0"/>
        <w:rPr>
          <w:rtl/>
          <w:lang w:bidi="fa-IR"/>
        </w:rPr>
      </w:pPr>
      <w:r>
        <w:rPr>
          <w:rtl/>
        </w:rPr>
        <w:t>(8).</w:t>
      </w:r>
      <w:r w:rsidRPr="00132E65">
        <w:rPr>
          <w:rtl/>
        </w:rPr>
        <w:t xml:space="preserve"> في « ف » : « فصّة »</w:t>
      </w:r>
      <w:r>
        <w:rPr>
          <w:rtl/>
        </w:rPr>
        <w:t>.</w:t>
      </w:r>
    </w:p>
    <w:p w:rsidR="000C39D1" w:rsidRPr="00132E65" w:rsidRDefault="000C39D1" w:rsidP="000C39D1">
      <w:pPr>
        <w:pStyle w:val="libFootnote0"/>
        <w:rPr>
          <w:rtl/>
          <w:lang w:bidi="fa-IR"/>
        </w:rPr>
      </w:pPr>
      <w:r>
        <w:rPr>
          <w:rtl/>
        </w:rPr>
        <w:t>(9).</w:t>
      </w:r>
      <w:r w:rsidRPr="00132E65">
        <w:rPr>
          <w:rtl/>
        </w:rPr>
        <w:t xml:space="preserve"> في « ب ، ض ، بر ، بف » : « وربحت »</w:t>
      </w:r>
      <w:r>
        <w:rPr>
          <w:rtl/>
        </w:rPr>
        <w:t>.</w:t>
      </w:r>
      <w:r w:rsidRPr="00132E65">
        <w:rPr>
          <w:rtl/>
        </w:rPr>
        <w:t xml:space="preserve"> وفي </w:t>
      </w:r>
      <w:r w:rsidRPr="009D1ACE">
        <w:rPr>
          <w:rStyle w:val="libFootnoteBoldChar"/>
          <w:rtl/>
        </w:rPr>
        <w:t>الوافي</w:t>
      </w:r>
      <w:r w:rsidRPr="00132E65">
        <w:rPr>
          <w:rtl/>
        </w:rPr>
        <w:t xml:space="preserve"> : « فربحت »</w:t>
      </w:r>
      <w:r>
        <w:rPr>
          <w:rtl/>
        </w:rPr>
        <w:t>.</w:t>
      </w:r>
    </w:p>
    <w:p w:rsidR="000C39D1" w:rsidRPr="00132E65" w:rsidRDefault="000C39D1" w:rsidP="000C39D1">
      <w:pPr>
        <w:pStyle w:val="libFootnote0"/>
        <w:rPr>
          <w:rtl/>
          <w:lang w:bidi="fa-IR"/>
        </w:rPr>
      </w:pPr>
      <w:r>
        <w:rPr>
          <w:rtl/>
        </w:rPr>
        <w:t>(10).</w:t>
      </w:r>
      <w:r w:rsidRPr="00132E65">
        <w:rPr>
          <w:rtl/>
        </w:rPr>
        <w:t xml:space="preserve"> يجوز في الكلمة التخفيف والتثقيل ، واختلفت النسخ أيضاً. </w:t>
      </w:r>
      <w:r>
        <w:rPr>
          <w:rtl/>
        </w:rPr>
        <w:t>و «</w:t>
      </w:r>
      <w:r w:rsidRPr="00132E65">
        <w:rPr>
          <w:rtl/>
        </w:rPr>
        <w:t xml:space="preserve"> هَنَأَهُ » : أعطاه وأطعمه ، وهَنَّأَهُ بالأمر وهَنَأَهُ : قال له : لِيَهْنِئْكَ. وهنّأه تهنئة وتهنيئاً : ضِدُّ عزّاه. قال المجلسي : « دعاء بالبركة وحسن العاقبة والانتفاع به في الدين والدنيا »</w:t>
      </w:r>
      <w:r>
        <w:rPr>
          <w:rtl/>
        </w:rPr>
        <w:t>.</w:t>
      </w:r>
      <w:r w:rsidRPr="00132E65">
        <w:rPr>
          <w:rtl/>
        </w:rPr>
        <w:t xml:space="preserve"> راجع : </w:t>
      </w:r>
      <w:r w:rsidRPr="00DC71A7">
        <w:rPr>
          <w:rtl/>
        </w:rPr>
        <w:t>القاموس المحيط</w:t>
      </w:r>
      <w:r w:rsidRPr="00132E65">
        <w:rPr>
          <w:rtl/>
        </w:rPr>
        <w:t xml:space="preserve"> ، ج 1 ، ص 126 ( هنأ ) ؛ </w:t>
      </w:r>
      <w:r w:rsidRPr="009D1ACE">
        <w:rPr>
          <w:rStyle w:val="libFootnoteBoldChar"/>
          <w:rtl/>
        </w:rPr>
        <w:t>مرآة العقول</w:t>
      </w:r>
      <w:r w:rsidRPr="00132E65">
        <w:rPr>
          <w:rtl/>
        </w:rPr>
        <w:t xml:space="preserve"> ، ج 6 ، ص 163.</w:t>
      </w:r>
    </w:p>
    <w:p w:rsidR="000C39D1" w:rsidRPr="00132E65" w:rsidRDefault="000C39D1" w:rsidP="000C39D1">
      <w:pPr>
        <w:pStyle w:val="libFootnote0"/>
        <w:rPr>
          <w:rtl/>
          <w:lang w:bidi="fa-IR"/>
        </w:rPr>
      </w:pPr>
      <w:r>
        <w:rPr>
          <w:rtl/>
        </w:rPr>
        <w:t>(11).</w:t>
      </w:r>
      <w:r w:rsidRPr="00132E65">
        <w:rPr>
          <w:rtl/>
        </w:rPr>
        <w:t xml:space="preserve"> </w:t>
      </w:r>
      <w:r w:rsidRPr="009D1ACE">
        <w:rPr>
          <w:rStyle w:val="libFootnoteBoldChar"/>
          <w:rtl/>
        </w:rPr>
        <w:t>الوافي</w:t>
      </w:r>
      <w:r w:rsidRPr="00132E65">
        <w:rPr>
          <w:rtl/>
        </w:rPr>
        <w:t xml:space="preserve"> ، ج 3 ، ص 858 ، ح 1476.</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عَبْدِ الصَّمَدِ بْنِ عَلِيٍّ عَتَاقَةً </w:t>
      </w:r>
      <w:r>
        <w:rPr>
          <w:rStyle w:val="libFootnotenumChar"/>
          <w:rtl/>
        </w:rPr>
        <w:t>(1)</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كُنْتُ أَدْخُلُ عَلى أَبِي مُحَمَّدٍ </w:t>
      </w:r>
      <w:r w:rsidRPr="00071CF9">
        <w:rPr>
          <w:rStyle w:val="libAlaemChar"/>
          <w:rtl/>
        </w:rPr>
        <w:t>عليه‌السلام</w:t>
      </w:r>
      <w:r w:rsidRPr="00132E65">
        <w:rPr>
          <w:rtl/>
          <w:lang w:bidi="fa-IR"/>
        </w:rPr>
        <w:t xml:space="preserve"> ، فَأَعْطَشُ وأَنَا عِنْدَهُ ، فَأُجِلُّهُ أَنْ أَدْعُوَ بِالْمَاءِ ، فَيَقُولُ : « يَا غُلَامُ ، اسْقِهِ » و</w:t>
      </w:r>
      <w:r w:rsidR="00EF36E5">
        <w:rPr>
          <w:rFonts w:hint="cs"/>
          <w:rtl/>
          <w:lang w:bidi="fa-IR"/>
        </w:rPr>
        <w:t>َ</w:t>
      </w:r>
      <w:r w:rsidRPr="00132E65">
        <w:rPr>
          <w:rtl/>
          <w:lang w:bidi="fa-IR"/>
        </w:rPr>
        <w:t xml:space="preserve">رُبَّمَا حَدَّثْتُ نَفْسِي بِالنُّهُوضِ ، فَأُفَكِّرُ فِي ذلِكَ </w:t>
      </w:r>
      <w:r>
        <w:rPr>
          <w:rStyle w:val="libFootnotenumChar"/>
          <w:rtl/>
        </w:rPr>
        <w:t>(2)</w:t>
      </w:r>
      <w:r w:rsidRPr="00132E65">
        <w:rPr>
          <w:rtl/>
          <w:lang w:bidi="fa-IR"/>
        </w:rPr>
        <w:t xml:space="preserve"> ، فَيَقُولُ :</w:t>
      </w:r>
      <w:r>
        <w:rPr>
          <w:rFonts w:hint="cs"/>
          <w:rtl/>
          <w:lang w:bidi="fa-IR"/>
        </w:rPr>
        <w:t xml:space="preserve"> </w:t>
      </w:r>
      <w:r w:rsidRPr="00132E65">
        <w:rPr>
          <w:rtl/>
          <w:lang w:bidi="fa-IR"/>
        </w:rPr>
        <w:t>« يَا غُلَامُ ، دَابَّتَهُ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DC71A7">
        <w:rPr>
          <w:rtl/>
        </w:rPr>
        <w:t>1352</w:t>
      </w:r>
      <w:r w:rsidRPr="004325D8">
        <w:rPr>
          <w:rStyle w:val="libBold2Char"/>
          <w:rtl/>
        </w:rPr>
        <w:t xml:space="preserve"> / 23.</w:t>
      </w:r>
      <w:r w:rsidRPr="00132E65">
        <w:rPr>
          <w:rtl/>
          <w:lang w:bidi="fa-IR"/>
        </w:rPr>
        <w:t xml:space="preserve"> عَلِيُّ بْنُ مُحَمَّدٍ ، عَنْ مُحَمَّدِ بْنِ إِسْمَاعِيلَ بْنِ إِبْرَاهِيمَ بْنِ مُوسَى بْنِ جَعْفَرِ بْنِ مُحَمَّدٍ ، عَنْ عَلِيِّ بْنِ عَبْدِ الْغَفَّارِ </w:t>
      </w:r>
      <w:r>
        <w:rPr>
          <w:rStyle w:val="libFootnotenumChar"/>
          <w:rtl/>
        </w:rPr>
        <w:t>(4)</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دَخَلَ الْعَبَّاسِيُّونَ عَلى صَالِحِ بْنِ و</w:t>
      </w:r>
      <w:r w:rsidR="00EF36E5">
        <w:rPr>
          <w:rFonts w:hint="cs"/>
          <w:rtl/>
          <w:lang w:bidi="fa-IR"/>
        </w:rPr>
        <w:t>َ</w:t>
      </w:r>
      <w:r w:rsidRPr="00132E65">
        <w:rPr>
          <w:rtl/>
          <w:lang w:bidi="fa-IR"/>
        </w:rPr>
        <w:t>صِيفٍ ، و</w:t>
      </w:r>
      <w:r w:rsidR="00EF36E5">
        <w:rPr>
          <w:rFonts w:hint="cs"/>
          <w:rtl/>
          <w:lang w:bidi="fa-IR"/>
        </w:rPr>
        <w:t>َ</w:t>
      </w:r>
      <w:r w:rsidRPr="00132E65">
        <w:rPr>
          <w:rtl/>
          <w:lang w:bidi="fa-IR"/>
        </w:rPr>
        <w:t>دَخَلَ صَالِحُ بْنُ عَلِيٍّ وغَيْرُهُ</w:t>
      </w:r>
      <w:r>
        <w:rPr>
          <w:rtl/>
          <w:lang w:bidi="fa-IR"/>
        </w:rPr>
        <w:t xml:space="preserve"> - </w:t>
      </w:r>
      <w:r w:rsidRPr="00132E65">
        <w:rPr>
          <w:rtl/>
          <w:lang w:bidi="fa-IR"/>
        </w:rPr>
        <w:t xml:space="preserve">مِنَ الْمُنْحَرِفِينَ </w:t>
      </w:r>
      <w:r>
        <w:rPr>
          <w:rStyle w:val="libFootnotenumChar"/>
          <w:rtl/>
        </w:rPr>
        <w:t>(5)</w:t>
      </w:r>
      <w:r w:rsidRPr="00132E65">
        <w:rPr>
          <w:rtl/>
          <w:lang w:bidi="fa-IR"/>
        </w:rPr>
        <w:t xml:space="preserve"> عَنْ هذِهِ النَّاحِيَةِ</w:t>
      </w:r>
      <w:r>
        <w:rPr>
          <w:rtl/>
          <w:lang w:bidi="fa-IR"/>
        </w:rPr>
        <w:t xml:space="preserve"> - </w:t>
      </w:r>
      <w:r w:rsidRPr="00132E65">
        <w:rPr>
          <w:rtl/>
          <w:lang w:bidi="fa-IR"/>
        </w:rPr>
        <w:t xml:space="preserve">عَلى صَالِحِ بْنِ وصِيفٍ </w:t>
      </w:r>
      <w:r>
        <w:rPr>
          <w:rStyle w:val="libFootnotenumChar"/>
          <w:rtl/>
        </w:rPr>
        <w:t>(6)</w:t>
      </w:r>
      <w:r w:rsidRPr="00132E65">
        <w:rPr>
          <w:rtl/>
          <w:lang w:bidi="fa-IR"/>
        </w:rPr>
        <w:t xml:space="preserve"> عِنْدَ مَا حَبَسَ أَبَا مُحَمَّدٍ </w:t>
      </w:r>
      <w:r w:rsidRPr="00071CF9">
        <w:rPr>
          <w:rStyle w:val="libAlaemChar"/>
          <w:rtl/>
        </w:rPr>
        <w:t>عليه‌السلام</w:t>
      </w:r>
      <w:r w:rsidRPr="00132E65">
        <w:rPr>
          <w:rtl/>
          <w:lang w:bidi="fa-IR"/>
        </w:rPr>
        <w:t xml:space="preserve"> </w:t>
      </w:r>
      <w:r>
        <w:rPr>
          <w:rStyle w:val="libFootnotenumChar"/>
          <w:rtl/>
        </w:rPr>
        <w:t>(7)</w:t>
      </w:r>
      <w:r w:rsidRPr="00132E65">
        <w:rPr>
          <w:rtl/>
          <w:lang w:bidi="fa-IR"/>
        </w:rPr>
        <w:t xml:space="preserve"> ، فَقَالَ لَهُمْ صَالِحٌ : و</w:t>
      </w:r>
      <w:r w:rsidR="00EF36E5">
        <w:rPr>
          <w:rFonts w:hint="cs"/>
          <w:rtl/>
          <w:lang w:bidi="fa-IR"/>
        </w:rPr>
        <w:t>َ</w:t>
      </w:r>
      <w:r>
        <w:rPr>
          <w:rFonts w:hint="cs"/>
          <w:rtl/>
          <w:lang w:bidi="fa-IR"/>
        </w:rPr>
        <w:t xml:space="preserve"> </w:t>
      </w:r>
      <w:r>
        <w:rPr>
          <w:rStyle w:val="libFootnotenumChar"/>
          <w:rtl/>
        </w:rPr>
        <w:t>(8)</w:t>
      </w:r>
      <w:r w:rsidRPr="00132E65">
        <w:rPr>
          <w:rtl/>
          <w:lang w:bidi="fa-IR"/>
        </w:rPr>
        <w:t xml:space="preserve"> مَا أَصْنَعُ </w:t>
      </w:r>
      <w:r>
        <w:rPr>
          <w:rStyle w:val="libFootnotenumChar"/>
          <w:rtl/>
        </w:rPr>
        <w:t>(9)</w:t>
      </w:r>
      <w:r w:rsidRPr="00132E65">
        <w:rPr>
          <w:rtl/>
          <w:lang w:bidi="fa-IR"/>
        </w:rPr>
        <w:t xml:space="preserve"> قَدْ و</w:t>
      </w:r>
      <w:r w:rsidR="00EF36E5">
        <w:rPr>
          <w:rFonts w:hint="cs"/>
          <w:rtl/>
          <w:lang w:bidi="fa-IR"/>
        </w:rPr>
        <w:t>َ</w:t>
      </w:r>
      <w:r w:rsidRPr="00132E65">
        <w:rPr>
          <w:rtl/>
          <w:lang w:bidi="fa-IR"/>
        </w:rPr>
        <w:t xml:space="preserve">كَّلْتُ بِهِ رَجُلَيْنِ مِنْ </w:t>
      </w:r>
      <w:r>
        <w:rPr>
          <w:rStyle w:val="libFootnotenumChar"/>
          <w:rtl/>
        </w:rPr>
        <w:t>(10)</w:t>
      </w:r>
      <w:r w:rsidRPr="00132E65">
        <w:rPr>
          <w:rtl/>
          <w:lang w:bidi="fa-IR"/>
        </w:rPr>
        <w:t xml:space="preserve"> أَشَرِّ </w:t>
      </w:r>
      <w:r>
        <w:rPr>
          <w:rStyle w:val="libFootnotenumChar"/>
          <w:rtl/>
        </w:rPr>
        <w:t>(11)</w:t>
      </w:r>
      <w:r w:rsidRPr="00132E65">
        <w:rPr>
          <w:rtl/>
          <w:lang w:bidi="fa-IR"/>
        </w:rPr>
        <w:t xml:space="preserve"> مَنْ قَدَرْتُ عَلَيْهِ ، فَقَدْ صَارَا مِنَ الْعِبَادَةِ والصَّلَاةِ والصِّيَامِ إِلى أَمْرٍ عَظِيمٍ ، فَقُلْتُ لَهُمَا مَا </w:t>
      </w:r>
      <w:r>
        <w:rPr>
          <w:rStyle w:val="libFootnotenumChar"/>
          <w:rtl/>
        </w:rPr>
        <w:t>(12)</w:t>
      </w:r>
      <w:r w:rsidRPr="00132E65">
        <w:rPr>
          <w:rtl/>
          <w:lang w:bidi="fa-IR"/>
        </w:rPr>
        <w:t xml:space="preserve"> فِيهِ ، فَقَالَا : مَا تَقُولُ </w:t>
      </w:r>
      <w:r w:rsidRPr="00F543F1">
        <w:rPr>
          <w:rStyle w:val="libFootnotenumChar"/>
          <w:rtl/>
        </w:rPr>
        <w:t>(</w:t>
      </w:r>
      <w:r w:rsidRPr="00F543F1">
        <w:rPr>
          <w:rStyle w:val="libFootnotenumChar"/>
          <w:rFonts w:hint="cs"/>
          <w:rtl/>
        </w:rPr>
        <w:t>13</w:t>
      </w:r>
      <w:r w:rsidRPr="00F543F1">
        <w:rPr>
          <w:rStyle w:val="libFootnotenumChar"/>
          <w:rtl/>
        </w:rPr>
        <w:t>)</w:t>
      </w:r>
      <w:r w:rsidRPr="00132E65">
        <w:rPr>
          <w:rtl/>
          <w:lang w:bidi="fa-IR"/>
        </w:rPr>
        <w:t xml:space="preserve"> فِي رَجُلٍ يَصُومُ النَّهَارَ ، ويَقُومُ اللَّيْلَ كُلَّهُ ، لَايَتَكَلَّمُ و</w:t>
      </w:r>
      <w:r w:rsidR="007853C7">
        <w:rPr>
          <w:rFonts w:hint="cs"/>
          <w:rtl/>
          <w:lang w:bidi="fa-IR"/>
        </w:rPr>
        <w:t>َ</w:t>
      </w:r>
      <w:r w:rsidRPr="00132E65">
        <w:rPr>
          <w:rtl/>
          <w:lang w:bidi="fa-IR"/>
        </w:rPr>
        <w:t>لَايَتَشَاغَلُ ، و</w:t>
      </w:r>
      <w:r w:rsidR="007853C7">
        <w:rPr>
          <w:rFonts w:hint="cs"/>
          <w:rtl/>
          <w:lang w:bidi="fa-IR"/>
        </w:rPr>
        <w:t>َ</w:t>
      </w:r>
      <w:r w:rsidRPr="00132E65">
        <w:rPr>
          <w:rtl/>
          <w:lang w:bidi="fa-IR"/>
        </w:rPr>
        <w:t xml:space="preserve">إِذَا نَظَرْنَا إِلَيْهِ </w:t>
      </w:r>
      <w:r w:rsidRPr="00F543F1">
        <w:rPr>
          <w:rStyle w:val="libFootnotenumChar"/>
          <w:rtl/>
        </w:rPr>
        <w:t>(</w:t>
      </w:r>
      <w:r w:rsidRPr="00F543F1">
        <w:rPr>
          <w:rStyle w:val="libFootnotenumChar"/>
          <w:rFonts w:hint="cs"/>
          <w:rtl/>
        </w:rPr>
        <w:t>14</w:t>
      </w:r>
      <w:r w:rsidRPr="00F543F1">
        <w:rPr>
          <w:rStyle w:val="libFootnotenumChar"/>
          <w:rtl/>
        </w:rPr>
        <w:t>)</w:t>
      </w:r>
      <w:r w:rsidRPr="00132E65">
        <w:rPr>
          <w:rtl/>
          <w:lang w:bidi="fa-IR"/>
        </w:rPr>
        <w:t xml:space="preserve"> ‌</w:t>
      </w:r>
    </w:p>
    <w:p w:rsidR="000C39D1" w:rsidRDefault="000C39D1" w:rsidP="000C39D1">
      <w:pPr>
        <w:pStyle w:val="libLine"/>
        <w:rPr>
          <w:rtl/>
          <w:lang w:bidi="fa-IR"/>
        </w:rPr>
      </w:pPr>
      <w:r w:rsidRPr="00132E65">
        <w:rPr>
          <w:rtl/>
          <w:lang w:bidi="fa-IR"/>
        </w:rPr>
        <w:t>__________________</w:t>
      </w:r>
    </w:p>
    <w:p w:rsidR="000C39D1" w:rsidRPr="00132E65" w:rsidRDefault="000C39D1" w:rsidP="007853C7">
      <w:pPr>
        <w:pStyle w:val="libFootnote0"/>
        <w:rPr>
          <w:rtl/>
          <w:lang w:bidi="fa-IR"/>
        </w:rPr>
      </w:pPr>
      <w:r>
        <w:rPr>
          <w:rtl/>
        </w:rPr>
        <w:t>(1).</w:t>
      </w:r>
      <w:r w:rsidRPr="00132E65">
        <w:rPr>
          <w:rtl/>
        </w:rPr>
        <w:t xml:space="preserve"> « عَتاقَةً » : منصوب على التمييز ، للدلالة على أنّ المراد به المعتق ، وأنّ ولايته من جهة العتق ؛ فإنّ للمولى معاني شتّى. يقال : عَتَقَ العبدُ يَعْتِقُ عِتْقاً وعَتاقاً وعَتاقةً ، أي خرج من الرِقّ فهو عتيق وعاتق ، وهو مَوْلى عَتاقَةٍ. راجع : </w:t>
      </w:r>
      <w:r w:rsidRPr="00DC71A7">
        <w:rPr>
          <w:rtl/>
        </w:rPr>
        <w:t>شرح المازندراني</w:t>
      </w:r>
      <w:r w:rsidRPr="00132E65">
        <w:rPr>
          <w:rtl/>
        </w:rPr>
        <w:t xml:space="preserve"> ، ج 7 ، ص 329 ؛ </w:t>
      </w:r>
      <w:r w:rsidRPr="009D1ACE">
        <w:rPr>
          <w:rStyle w:val="libFootnoteBoldChar"/>
          <w:rtl/>
        </w:rPr>
        <w:t>مرآة العقول</w:t>
      </w:r>
      <w:r w:rsidRPr="00132E65">
        <w:rPr>
          <w:rtl/>
        </w:rPr>
        <w:t xml:space="preserve"> ، ج 6 ، ص 164 ؛ </w:t>
      </w:r>
      <w:r w:rsidRPr="00DC71A7">
        <w:rPr>
          <w:rtl/>
        </w:rPr>
        <w:t>القاموس المحيط</w:t>
      </w:r>
      <w:r w:rsidRPr="00132E65">
        <w:rPr>
          <w:rtl/>
        </w:rPr>
        <w:t xml:space="preserve"> ، ج 2 ، ص 1202 ( عتق )</w:t>
      </w:r>
      <w:r>
        <w:rPr>
          <w:rtl/>
        </w:rPr>
        <w:t>.</w:t>
      </w:r>
      <w:r w:rsidR="007853C7">
        <w:rPr>
          <w:rFonts w:hint="cs"/>
          <w:rtl/>
        </w:rPr>
        <w:t xml:space="preserve">    </w:t>
      </w:r>
      <w:r>
        <w:rPr>
          <w:rtl/>
        </w:rPr>
        <w:t>(2).</w:t>
      </w:r>
      <w:r w:rsidRPr="00132E65">
        <w:rPr>
          <w:rtl/>
        </w:rPr>
        <w:t xml:space="preserve"> في « بس ، بف » و</w:t>
      </w:r>
      <w:r w:rsidRPr="009D1ACE">
        <w:rPr>
          <w:rStyle w:val="libFootnoteBoldChar"/>
          <w:rtl/>
        </w:rPr>
        <w:t>الوافي</w:t>
      </w:r>
      <w:r w:rsidRPr="00132E65">
        <w:rPr>
          <w:rtl/>
        </w:rPr>
        <w:t xml:space="preserve"> : « ذاك »</w:t>
      </w:r>
      <w:r>
        <w:rPr>
          <w:rtl/>
        </w:rPr>
        <w:t>.</w:t>
      </w:r>
    </w:p>
    <w:tbl>
      <w:tblPr>
        <w:tblStyle w:val="TableGrid"/>
        <w:bidiVisual/>
        <w:tblW w:w="0" w:type="auto"/>
        <w:tblLook w:val="04A0" w:firstRow="1" w:lastRow="0" w:firstColumn="1" w:lastColumn="0" w:noHBand="0" w:noVBand="1"/>
      </w:tblPr>
      <w:tblGrid>
        <w:gridCol w:w="4261"/>
        <w:gridCol w:w="4262"/>
      </w:tblGrid>
      <w:tr w:rsidR="007853C7" w:rsidTr="007853C7">
        <w:tc>
          <w:tcPr>
            <w:tcW w:w="4261" w:type="dxa"/>
          </w:tcPr>
          <w:p w:rsidR="007853C7" w:rsidRDefault="007853C7" w:rsidP="000C39D1">
            <w:pPr>
              <w:pStyle w:val="libFootnote0"/>
              <w:rPr>
                <w:rtl/>
              </w:rPr>
            </w:pPr>
            <w:r>
              <w:rPr>
                <w:rtl/>
              </w:rPr>
              <w:t>(3).</w:t>
            </w:r>
            <w:r w:rsidRPr="00132E65">
              <w:rPr>
                <w:rtl/>
              </w:rPr>
              <w:t xml:space="preserve"> </w:t>
            </w:r>
            <w:r w:rsidRPr="009D1ACE">
              <w:rPr>
                <w:rStyle w:val="libFootnoteBoldChar"/>
                <w:rtl/>
              </w:rPr>
              <w:t>الوافي</w:t>
            </w:r>
            <w:r w:rsidRPr="00132E65">
              <w:rPr>
                <w:rtl/>
              </w:rPr>
              <w:t xml:space="preserve"> ، ج 3 ، ص 858 ، ح 1477.</w:t>
            </w:r>
          </w:p>
        </w:tc>
        <w:tc>
          <w:tcPr>
            <w:tcW w:w="4262" w:type="dxa"/>
          </w:tcPr>
          <w:p w:rsidR="007853C7" w:rsidRDefault="007853C7" w:rsidP="000C39D1">
            <w:pPr>
              <w:pStyle w:val="libFootnote0"/>
              <w:rPr>
                <w:rtl/>
              </w:rPr>
            </w:pPr>
            <w:r>
              <w:rPr>
                <w:rtl/>
              </w:rPr>
              <w:t>(4).</w:t>
            </w:r>
            <w:r w:rsidRPr="00132E65">
              <w:rPr>
                <w:rtl/>
              </w:rPr>
              <w:t xml:space="preserve"> في الإرشاد </w:t>
            </w:r>
            <w:r>
              <w:rPr>
                <w:rtl/>
              </w:rPr>
              <w:t xml:space="preserve">: - </w:t>
            </w:r>
            <w:r w:rsidRPr="00132E65">
              <w:rPr>
                <w:rtl/>
              </w:rPr>
              <w:t>« بن محمّد عن عليّ بن عبد الغفّار »</w:t>
            </w:r>
            <w:r>
              <w:rPr>
                <w:rtl/>
              </w:rPr>
              <w:t>.</w:t>
            </w:r>
          </w:p>
        </w:tc>
      </w:tr>
      <w:tr w:rsidR="007853C7" w:rsidTr="007853C7">
        <w:tc>
          <w:tcPr>
            <w:tcW w:w="4261" w:type="dxa"/>
          </w:tcPr>
          <w:p w:rsidR="007853C7" w:rsidRDefault="007853C7" w:rsidP="000C39D1">
            <w:pPr>
              <w:pStyle w:val="libFootnote0"/>
              <w:rPr>
                <w:rtl/>
              </w:rPr>
            </w:pPr>
            <w:r>
              <w:rPr>
                <w:rtl/>
              </w:rPr>
              <w:t>(5).</w:t>
            </w:r>
            <w:r w:rsidRPr="00132E65">
              <w:rPr>
                <w:rtl/>
              </w:rPr>
              <w:t xml:space="preserve"> في « بح » : « المتحرّفين »</w:t>
            </w:r>
            <w:r>
              <w:rPr>
                <w:rtl/>
              </w:rPr>
              <w:t>.</w:t>
            </w:r>
          </w:p>
        </w:tc>
        <w:tc>
          <w:tcPr>
            <w:tcW w:w="4262" w:type="dxa"/>
          </w:tcPr>
          <w:p w:rsidR="007853C7" w:rsidRDefault="007853C7" w:rsidP="000C39D1">
            <w:pPr>
              <w:pStyle w:val="libFootnote0"/>
              <w:rPr>
                <w:rtl/>
              </w:rPr>
            </w:pPr>
            <w:r>
              <w:rPr>
                <w:rtl/>
              </w:rPr>
              <w:t>(6). في الإرشاد:- «</w:t>
            </w:r>
            <w:r w:rsidRPr="00132E65">
              <w:rPr>
                <w:rtl/>
              </w:rPr>
              <w:t>ودخل صالح بن عليّ</w:t>
            </w:r>
            <w:r>
              <w:rPr>
                <w:rtl/>
              </w:rPr>
              <w:t xml:space="preserve">- </w:t>
            </w:r>
            <w:r w:rsidRPr="00132E65">
              <w:rPr>
                <w:rtl/>
              </w:rPr>
              <w:t>إلى</w:t>
            </w:r>
            <w:r>
              <w:rPr>
                <w:rtl/>
              </w:rPr>
              <w:t>- وصيف</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في الإرشاد :</w:t>
      </w:r>
      <w:r>
        <w:rPr>
          <w:rtl/>
        </w:rPr>
        <w:t xml:space="preserve"> + </w:t>
      </w:r>
      <w:r w:rsidRPr="00132E65">
        <w:rPr>
          <w:rtl/>
        </w:rPr>
        <w:t>« فقالوا له : ضيّق عليه ولا توسّع »</w:t>
      </w:r>
      <w:r>
        <w:rPr>
          <w:rtl/>
        </w:rPr>
        <w:t>.</w:t>
      </w:r>
    </w:p>
    <w:tbl>
      <w:tblPr>
        <w:tblStyle w:val="TableGrid"/>
        <w:bidiVisual/>
        <w:tblW w:w="0" w:type="auto"/>
        <w:tblLook w:val="04A0" w:firstRow="1" w:lastRow="0" w:firstColumn="1" w:lastColumn="0" w:noHBand="0" w:noVBand="1"/>
      </w:tblPr>
      <w:tblGrid>
        <w:gridCol w:w="4261"/>
        <w:gridCol w:w="4262"/>
      </w:tblGrid>
      <w:tr w:rsidR="00967D33" w:rsidTr="00967D33">
        <w:tc>
          <w:tcPr>
            <w:tcW w:w="4261" w:type="dxa"/>
          </w:tcPr>
          <w:p w:rsidR="00967D33" w:rsidRDefault="00967D33" w:rsidP="000C39D1">
            <w:pPr>
              <w:pStyle w:val="libFootnote0"/>
              <w:rPr>
                <w:rtl/>
                <w:lang w:bidi="fa-IR"/>
              </w:rPr>
            </w:pPr>
            <w:r>
              <w:rPr>
                <w:rtl/>
              </w:rPr>
              <w:t>(8).</w:t>
            </w:r>
            <w:r w:rsidRPr="00132E65">
              <w:rPr>
                <w:rtl/>
              </w:rPr>
              <w:t xml:space="preserve"> في الإرشاد </w:t>
            </w:r>
            <w:r>
              <w:rPr>
                <w:rtl/>
              </w:rPr>
              <w:t xml:space="preserve">: - </w:t>
            </w:r>
            <w:r w:rsidRPr="00132E65">
              <w:rPr>
                <w:rtl/>
              </w:rPr>
              <w:t>«</w:t>
            </w:r>
            <w:r>
              <w:rPr>
                <w:rtl/>
              </w:rPr>
              <w:t xml:space="preserve"> و ».</w:t>
            </w:r>
          </w:p>
        </w:tc>
        <w:tc>
          <w:tcPr>
            <w:tcW w:w="4262" w:type="dxa"/>
          </w:tcPr>
          <w:p w:rsidR="00967D33" w:rsidRDefault="00967D33" w:rsidP="000C39D1">
            <w:pPr>
              <w:pStyle w:val="libFootnote0"/>
              <w:rPr>
                <w:rtl/>
                <w:lang w:bidi="fa-IR"/>
              </w:rPr>
            </w:pPr>
            <w:r>
              <w:rPr>
                <w:rtl/>
              </w:rPr>
              <w:t>(9).</w:t>
            </w:r>
            <w:r w:rsidRPr="00132E65">
              <w:rPr>
                <w:rtl/>
              </w:rPr>
              <w:t xml:space="preserve"> في الإرشاد :</w:t>
            </w:r>
            <w:r>
              <w:rPr>
                <w:rtl/>
              </w:rPr>
              <w:t xml:space="preserve"> + </w:t>
            </w:r>
            <w:r w:rsidRPr="00132E65">
              <w:rPr>
                <w:rtl/>
              </w:rPr>
              <w:t>« به »</w:t>
            </w:r>
            <w:r>
              <w:rPr>
                <w:rtl/>
              </w:rPr>
              <w:t>.</w:t>
            </w:r>
          </w:p>
        </w:tc>
      </w:tr>
    </w:tbl>
    <w:p w:rsidR="000C39D1" w:rsidRPr="00132E65" w:rsidRDefault="000C39D1" w:rsidP="000C39D1">
      <w:pPr>
        <w:pStyle w:val="libFootnote0"/>
        <w:rPr>
          <w:rtl/>
          <w:lang w:bidi="fa-IR"/>
        </w:rPr>
      </w:pPr>
      <w:r>
        <w:rPr>
          <w:rtl/>
        </w:rPr>
        <w:t>(10).</w:t>
      </w:r>
      <w:r w:rsidRPr="00132E65">
        <w:rPr>
          <w:rtl/>
        </w:rPr>
        <w:t xml:space="preserve"> في « ب ، ج ، ض ، بح ، بر ، بس ، بف » والإرشاد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 أشدّ »</w:t>
      </w:r>
      <w:r>
        <w:rPr>
          <w:rtl/>
        </w:rPr>
        <w:t>.</w:t>
      </w:r>
      <w:r w:rsidRPr="00132E65">
        <w:rPr>
          <w:rtl/>
        </w:rPr>
        <w:t xml:space="preserve"> وفي الإرشاد : « شرّ »</w:t>
      </w:r>
      <w:r>
        <w:rPr>
          <w:rtl/>
        </w:rPr>
        <w:t>.</w:t>
      </w:r>
    </w:p>
    <w:p w:rsidR="000C39D1" w:rsidRPr="00132E65" w:rsidRDefault="000C39D1" w:rsidP="000C39D1">
      <w:pPr>
        <w:pStyle w:val="libFootnote0"/>
        <w:rPr>
          <w:rtl/>
          <w:lang w:bidi="fa-IR"/>
        </w:rPr>
      </w:pPr>
      <w:r>
        <w:rPr>
          <w:rtl/>
        </w:rPr>
        <w:t>(12).</w:t>
      </w:r>
      <w:r w:rsidRPr="00132E65">
        <w:rPr>
          <w:rtl/>
        </w:rPr>
        <w:t xml:space="preserve"> « ما » موصولة ، لا استفهاميّة. وفي « ض ، ف ، بح ، بر ، بف » و</w:t>
      </w:r>
      <w:r w:rsidRPr="009D1ACE">
        <w:rPr>
          <w:rStyle w:val="libFootnoteBoldChar"/>
          <w:rtl/>
        </w:rPr>
        <w:t>الوافي</w:t>
      </w:r>
      <w:r w:rsidRPr="00132E65">
        <w:rPr>
          <w:rtl/>
        </w:rPr>
        <w:t xml:space="preserve"> </w:t>
      </w:r>
      <w:r>
        <w:rPr>
          <w:rtl/>
        </w:rPr>
        <w:t xml:space="preserve">: - </w:t>
      </w:r>
      <w:r w:rsidRPr="00132E65">
        <w:rPr>
          <w:rtl/>
        </w:rPr>
        <w:t>« ما »</w:t>
      </w:r>
      <w:r>
        <w:rPr>
          <w:rtl/>
        </w:rPr>
        <w:t>.</w:t>
      </w:r>
    </w:p>
    <w:p w:rsidR="000C39D1" w:rsidRPr="00132E65" w:rsidRDefault="000C39D1" w:rsidP="000C39D1">
      <w:pPr>
        <w:pStyle w:val="libFootnote0"/>
        <w:rPr>
          <w:rtl/>
          <w:lang w:bidi="fa-IR"/>
        </w:rPr>
      </w:pPr>
      <w:r>
        <w:rPr>
          <w:rtl/>
        </w:rPr>
        <w:t>(13)</w:t>
      </w:r>
      <w:r w:rsidRPr="00132E65">
        <w:rPr>
          <w:rtl/>
        </w:rPr>
        <w:t xml:space="preserve"> « ما » استفهاميّة. وفي « بس » : « نقول »</w:t>
      </w:r>
      <w:r>
        <w:rPr>
          <w:rtl/>
        </w:rPr>
        <w:t>.</w:t>
      </w:r>
      <w:r w:rsidRPr="00132E65">
        <w:rPr>
          <w:rtl/>
        </w:rPr>
        <w:t xml:space="preserve"> وفي الإرشاد : « ثمّ أمر بإحضار الموكّلين ، فقال لهما : ويحكهما ما شأنكما في أمر هذا الرجل ، فقالا له : ما نقول » بدل « فقلت لهما ما فيه فقالا : ما تقول »</w:t>
      </w:r>
      <w:r>
        <w:rPr>
          <w:rtl/>
        </w:rPr>
        <w:t>.</w:t>
      </w:r>
    </w:p>
    <w:p w:rsidR="000C39D1" w:rsidRPr="00132E65" w:rsidRDefault="000C39D1" w:rsidP="000C39D1">
      <w:pPr>
        <w:pStyle w:val="libFootnote0"/>
        <w:rPr>
          <w:rtl/>
          <w:lang w:bidi="fa-IR"/>
        </w:rPr>
      </w:pPr>
      <w:r>
        <w:rPr>
          <w:rtl/>
        </w:rPr>
        <w:t>(14)</w:t>
      </w:r>
      <w:r w:rsidRPr="00132E65">
        <w:rPr>
          <w:rtl/>
        </w:rPr>
        <w:t xml:space="preserve"> في الإرشاد : « بغير العبادة فإذا نظر إلينا » بدل « وإذا نظرنا إليه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7555AC">
      <w:pPr>
        <w:pStyle w:val="libNormal0"/>
        <w:tabs>
          <w:tab w:val="left" w:pos="3968"/>
        </w:tabs>
        <w:rPr>
          <w:rtl/>
          <w:lang w:bidi="fa-IR"/>
        </w:rPr>
      </w:pPr>
      <w:r w:rsidRPr="00132E65">
        <w:rPr>
          <w:rtl/>
          <w:lang w:bidi="fa-IR"/>
        </w:rPr>
        <w:t xml:space="preserve">ارْتَعَدَتْ </w:t>
      </w:r>
      <w:r>
        <w:rPr>
          <w:rStyle w:val="libFootnotenumChar"/>
          <w:rtl/>
        </w:rPr>
        <w:t>(1)</w:t>
      </w:r>
      <w:r w:rsidRPr="00132E65">
        <w:rPr>
          <w:rtl/>
          <w:lang w:bidi="fa-IR"/>
        </w:rPr>
        <w:t xml:space="preserve"> فَرَائِصُنَا </w:t>
      </w:r>
      <w:r>
        <w:rPr>
          <w:rStyle w:val="libFootnotenumChar"/>
          <w:rtl/>
        </w:rPr>
        <w:t>(2)</w:t>
      </w:r>
      <w:r w:rsidRPr="00132E65">
        <w:rPr>
          <w:rtl/>
          <w:lang w:bidi="fa-IR"/>
        </w:rPr>
        <w:t xml:space="preserve"> ، و</w:t>
      </w:r>
      <w:r w:rsidR="007555AC">
        <w:rPr>
          <w:rFonts w:hint="cs"/>
          <w:rtl/>
          <w:lang w:bidi="fa-IR"/>
        </w:rPr>
        <w:t>َ</w:t>
      </w:r>
      <w:r w:rsidRPr="00132E65">
        <w:rPr>
          <w:rtl/>
          <w:lang w:bidi="fa-IR"/>
        </w:rPr>
        <w:t xml:space="preserve">يُدَاخِلُنَا </w:t>
      </w:r>
      <w:r>
        <w:rPr>
          <w:rStyle w:val="libFootnotenumChar"/>
          <w:rtl/>
        </w:rPr>
        <w:t>(3)</w:t>
      </w:r>
      <w:r w:rsidRPr="00132E65">
        <w:rPr>
          <w:rtl/>
          <w:lang w:bidi="fa-IR"/>
        </w:rPr>
        <w:t xml:space="preserve"> مَا لَانَمْلِكُهُ مِنْ أَنْفُسِنَا</w:t>
      </w:r>
      <w:r>
        <w:rPr>
          <w:rtl/>
          <w:lang w:bidi="fa-IR"/>
        </w:rPr>
        <w:t>؟</w:t>
      </w:r>
      <w:r w:rsidRPr="00132E65">
        <w:rPr>
          <w:rtl/>
          <w:lang w:bidi="fa-IR"/>
        </w:rPr>
        <w:t xml:space="preserve"> فَلَمَّا سَمِعُوا ذلِكَ </w:t>
      </w:r>
      <w:r>
        <w:rPr>
          <w:rStyle w:val="libFootnotenumChar"/>
          <w:rtl/>
        </w:rPr>
        <w:t>(4)</w:t>
      </w:r>
      <w:r w:rsidRPr="00132E65">
        <w:rPr>
          <w:rtl/>
          <w:lang w:bidi="fa-IR"/>
        </w:rPr>
        <w:t xml:space="preserve"> انْصَرَفُوا خَائِبِينَ </w:t>
      </w:r>
      <w:r>
        <w:rPr>
          <w:rStyle w:val="libFootnotenumChar"/>
          <w:rtl/>
        </w:rPr>
        <w:t>(5)</w:t>
      </w:r>
      <w:r w:rsidR="007555AC">
        <w:rPr>
          <w:rFonts w:hint="cs"/>
          <w:rtl/>
          <w:lang w:bidi="fa-IR"/>
        </w:rPr>
        <w:t>.</w:t>
      </w:r>
      <w:r>
        <w:rPr>
          <w:rStyle w:val="libFootnotenumChar"/>
          <w:rtl/>
        </w:rPr>
        <w:t>(6)</w:t>
      </w:r>
      <w:r w:rsidRPr="00132E65">
        <w:rPr>
          <w:rtl/>
          <w:lang w:bidi="fa-IR"/>
        </w:rPr>
        <w:t>‌</w:t>
      </w:r>
    </w:p>
    <w:p w:rsidR="000C39D1" w:rsidRPr="00132E65" w:rsidRDefault="000C39D1" w:rsidP="000C39D1">
      <w:pPr>
        <w:pStyle w:val="libNormal"/>
        <w:rPr>
          <w:rtl/>
          <w:lang w:bidi="fa-IR"/>
        </w:rPr>
      </w:pPr>
      <w:r w:rsidRPr="00DC71A7">
        <w:rPr>
          <w:rtl/>
        </w:rPr>
        <w:t>1353</w:t>
      </w:r>
      <w:r w:rsidRPr="004325D8">
        <w:rPr>
          <w:rStyle w:val="libBold2Char"/>
          <w:rtl/>
        </w:rPr>
        <w:t xml:space="preserve"> / 24.</w:t>
      </w:r>
      <w:r w:rsidRPr="00132E65">
        <w:rPr>
          <w:rtl/>
          <w:lang w:bidi="fa-IR"/>
        </w:rPr>
        <w:t xml:space="preserve"> عَلِيُّ بْنُ مُحَمَّدٍ ، عَنِ الْحَسَنِ بْنِ الْحُسَيْنِ ، قَالَ : حَدَّثَنِي مُحَمَّدُ بْنُ الْحَسَنِ الْمَكْفُوفُ ، قَالَ : حَدَّثَنِي بَعْضُ أَصْحَابِنَا ، عَنْ بَعْضِ فَصَّادِي </w:t>
      </w:r>
      <w:r>
        <w:rPr>
          <w:rStyle w:val="libFootnotenumChar"/>
          <w:rtl/>
        </w:rPr>
        <w:t>(7)</w:t>
      </w:r>
      <w:r w:rsidRPr="00132E65">
        <w:rPr>
          <w:rtl/>
          <w:lang w:bidi="fa-IR"/>
        </w:rPr>
        <w:t xml:space="preserve"> الْعَسْكَرِ </w:t>
      </w:r>
      <w:r>
        <w:rPr>
          <w:rStyle w:val="libFootnotenumChar"/>
          <w:rtl/>
        </w:rPr>
        <w:t>(8)</w:t>
      </w:r>
      <w:r w:rsidRPr="00132E65">
        <w:rPr>
          <w:rtl/>
          <w:lang w:bidi="fa-IR"/>
        </w:rPr>
        <w:t xml:space="preserve"> مِنَ النَّصَارى :</w:t>
      </w:r>
    </w:p>
    <w:p w:rsidR="000C39D1" w:rsidRPr="00132E65" w:rsidRDefault="000C39D1" w:rsidP="000C39D1">
      <w:pPr>
        <w:pStyle w:val="libNormal"/>
        <w:rPr>
          <w:rtl/>
          <w:lang w:bidi="fa-IR"/>
        </w:rPr>
      </w:pPr>
      <w:r w:rsidRPr="00132E65">
        <w:rPr>
          <w:rtl/>
          <w:lang w:bidi="fa-IR"/>
        </w:rPr>
        <w:t xml:space="preserve">أَنَّ أَبَا مُحَمَّدٍ </w:t>
      </w:r>
      <w:r w:rsidRPr="00071CF9">
        <w:rPr>
          <w:rStyle w:val="libAlaemChar"/>
          <w:rtl/>
        </w:rPr>
        <w:t>عليه‌السلام</w:t>
      </w:r>
      <w:r w:rsidRPr="00132E65">
        <w:rPr>
          <w:rtl/>
          <w:lang w:bidi="fa-IR"/>
        </w:rPr>
        <w:t xml:space="preserve"> بَعَثَ إِلَيْهِ </w:t>
      </w:r>
      <w:r>
        <w:rPr>
          <w:rStyle w:val="libFootnotenumChar"/>
          <w:rtl/>
        </w:rPr>
        <w:t>(9)</w:t>
      </w:r>
      <w:r w:rsidRPr="00132E65">
        <w:rPr>
          <w:rtl/>
          <w:lang w:bidi="fa-IR"/>
        </w:rPr>
        <w:t xml:space="preserve"> يَوْماً فِي وقْتِ صَلَاةِ الظُّهْرِ ، فَقَالَ </w:t>
      </w:r>
      <w:r>
        <w:rPr>
          <w:rStyle w:val="libFootnotenumChar"/>
          <w:rtl/>
        </w:rPr>
        <w:t>(10)</w:t>
      </w:r>
      <w:r w:rsidRPr="00132E65">
        <w:rPr>
          <w:rtl/>
          <w:lang w:bidi="fa-IR"/>
        </w:rPr>
        <w:t xml:space="preserve"> لِيَ : « افْصِدْ هذَا الْعِرْقَ » قَالَ : و</w:t>
      </w:r>
      <w:r w:rsidR="00DF5B2B">
        <w:rPr>
          <w:rFonts w:hint="cs"/>
          <w:rtl/>
          <w:lang w:bidi="fa-IR"/>
        </w:rPr>
        <w:t>َ</w:t>
      </w:r>
      <w:r w:rsidRPr="00132E65">
        <w:rPr>
          <w:rtl/>
          <w:lang w:bidi="fa-IR"/>
        </w:rPr>
        <w:t xml:space="preserve">نَاوَلَنِي عِرْقاً لَمْ أَفْهَمْهُ مِنَ الْعُرُوقِ الَّتِي تُفْصَدُ </w:t>
      </w:r>
      <w:r>
        <w:rPr>
          <w:rStyle w:val="libFootnotenumChar"/>
          <w:rtl/>
        </w:rPr>
        <w:t>(11)</w:t>
      </w:r>
      <w:r w:rsidRPr="00132E65">
        <w:rPr>
          <w:rtl/>
          <w:lang w:bidi="fa-IR"/>
        </w:rPr>
        <w:t xml:space="preserve"> ، فَقُلْتُ فِي نَفْسِي : مَا رَأَيْتُ أَمْراً أَعْجَبَ مِنْ هذَا ، يَأْمُرُنِي </w:t>
      </w:r>
      <w:r>
        <w:rPr>
          <w:rStyle w:val="libFootnotenumChar"/>
          <w:rtl/>
        </w:rPr>
        <w:t>(12)</w:t>
      </w:r>
      <w:r w:rsidRPr="00132E65">
        <w:rPr>
          <w:rtl/>
          <w:lang w:bidi="fa-IR"/>
        </w:rPr>
        <w:t xml:space="preserve"> أَنْ أَفْصِدَ فِي وقْتِ الظُّهْرِ ولَيْسَ بِوَقْتِ فَصْدٍ ، وَالثَّانِيَةُ عِرْقٌ لَا</w:t>
      </w:r>
      <w:r>
        <w:rPr>
          <w:rFonts w:hint="cs"/>
          <w:rtl/>
          <w:lang w:bidi="fa-IR"/>
        </w:rPr>
        <w:t xml:space="preserve"> </w:t>
      </w:r>
      <w:r w:rsidRPr="00132E65">
        <w:rPr>
          <w:rtl/>
          <w:lang w:bidi="fa-IR"/>
        </w:rPr>
        <w:t xml:space="preserve">أَفْهَمُهُ ، ثُمَّ قَالَ لِيَ </w:t>
      </w:r>
      <w:r w:rsidRPr="00F543F1">
        <w:rPr>
          <w:rStyle w:val="libFootnotenumChar"/>
          <w:rtl/>
        </w:rPr>
        <w:t>(13)</w:t>
      </w:r>
      <w:r w:rsidRPr="00132E65">
        <w:rPr>
          <w:rtl/>
          <w:lang w:bidi="fa-IR"/>
        </w:rPr>
        <w:t xml:space="preserve"> : « انْتَظِرْ ، و</w:t>
      </w:r>
      <w:r w:rsidR="00DF5B2B">
        <w:rPr>
          <w:rFonts w:hint="cs"/>
          <w:rtl/>
          <w:lang w:bidi="fa-IR"/>
        </w:rPr>
        <w:t>َ</w:t>
      </w:r>
      <w:r w:rsidRPr="00132E65">
        <w:rPr>
          <w:rtl/>
          <w:lang w:bidi="fa-IR"/>
        </w:rPr>
        <w:t>كُنْ فِي الدَّارِ »</w:t>
      </w:r>
      <w:r>
        <w:rPr>
          <w:rtl/>
          <w:lang w:bidi="fa-IR"/>
        </w:rPr>
        <w:t>.</w:t>
      </w:r>
    </w:p>
    <w:p w:rsidR="000C39D1" w:rsidRPr="00132E65" w:rsidRDefault="000C39D1" w:rsidP="000C39D1">
      <w:pPr>
        <w:pStyle w:val="libNormal"/>
        <w:rPr>
          <w:rtl/>
          <w:lang w:bidi="fa-IR"/>
        </w:rPr>
      </w:pPr>
      <w:r w:rsidRPr="00132E65">
        <w:rPr>
          <w:rtl/>
          <w:lang w:bidi="fa-IR"/>
        </w:rPr>
        <w:t>فَلَمَّا أَمْسى دَعَانِي و</w:t>
      </w:r>
      <w:r w:rsidR="00DF5B2B">
        <w:rPr>
          <w:rFonts w:hint="cs"/>
          <w:rtl/>
          <w:lang w:bidi="fa-IR"/>
        </w:rPr>
        <w:t>َ</w:t>
      </w:r>
      <w:r w:rsidRPr="00132E65">
        <w:rPr>
          <w:rtl/>
          <w:lang w:bidi="fa-IR"/>
        </w:rPr>
        <w:t xml:space="preserve">قَالَ لِي </w:t>
      </w:r>
      <w:r w:rsidRPr="00F543F1">
        <w:rPr>
          <w:rStyle w:val="libFootnotenumChar"/>
          <w:rtl/>
        </w:rPr>
        <w:t>(14)</w:t>
      </w:r>
      <w:r w:rsidRPr="00132E65">
        <w:rPr>
          <w:rtl/>
          <w:lang w:bidi="fa-IR"/>
        </w:rPr>
        <w:t xml:space="preserve"> : « سَرِّحِ الدَّمَ </w:t>
      </w:r>
      <w:r w:rsidRPr="00F543F1">
        <w:rPr>
          <w:rStyle w:val="libFootnotenumChar"/>
          <w:rtl/>
        </w:rPr>
        <w:t>(15)</w:t>
      </w:r>
      <w:r w:rsidRPr="00132E65">
        <w:rPr>
          <w:rtl/>
          <w:lang w:bidi="fa-IR"/>
        </w:rPr>
        <w:t xml:space="preserve"> » فَسَرَّحْتُ </w:t>
      </w:r>
      <w:r w:rsidRPr="00F543F1">
        <w:rPr>
          <w:rStyle w:val="libFootnotenumChar"/>
          <w:rtl/>
        </w:rPr>
        <w:t>(16)</w:t>
      </w:r>
      <w:r w:rsidRPr="00132E65">
        <w:rPr>
          <w:rtl/>
          <w:lang w:bidi="fa-IR"/>
        </w:rPr>
        <w:t xml:space="preserve"> ، ثُمَّ قَالَ لِي </w:t>
      </w:r>
      <w:r w:rsidRPr="00F543F1">
        <w:rPr>
          <w:rStyle w:val="libFootnotenumChar"/>
          <w:rtl/>
        </w:rPr>
        <w:t>(17)</w:t>
      </w:r>
      <w:r w:rsidRPr="00132E65">
        <w:rPr>
          <w:rtl/>
          <w:lang w:bidi="fa-IR"/>
        </w:rPr>
        <w:t xml:space="preserve"> : « أَمْسِكْ » فَأَمْسَكْتُ ، ثُمَّ قَالَ لِي : « كُنْ فِي الدَّارِ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بس » وحاشية « بح » : « ا</w:t>
      </w:r>
      <w:r w:rsidR="00DF5B2B">
        <w:rPr>
          <w:rFonts w:hint="cs"/>
          <w:rtl/>
        </w:rPr>
        <w:t>ُ</w:t>
      </w:r>
      <w:r w:rsidRPr="00132E65">
        <w:rPr>
          <w:rtl/>
        </w:rPr>
        <w:t>رعدت »</w:t>
      </w:r>
      <w:r>
        <w:rPr>
          <w:rtl/>
        </w:rPr>
        <w:t>.</w:t>
      </w:r>
    </w:p>
    <w:p w:rsidR="000C39D1" w:rsidRPr="00132E65" w:rsidRDefault="000C39D1" w:rsidP="000C39D1">
      <w:pPr>
        <w:pStyle w:val="libFootnote0"/>
        <w:rPr>
          <w:rtl/>
          <w:lang w:bidi="fa-IR"/>
        </w:rPr>
      </w:pPr>
      <w:r>
        <w:rPr>
          <w:rtl/>
        </w:rPr>
        <w:t>(2).</w:t>
      </w:r>
      <w:r w:rsidRPr="00132E65">
        <w:rPr>
          <w:rtl/>
        </w:rPr>
        <w:t xml:space="preserve"> أي اضطربت أركاننا. </w:t>
      </w:r>
      <w:r>
        <w:rPr>
          <w:rtl/>
        </w:rPr>
        <w:t>و «</w:t>
      </w:r>
      <w:r w:rsidRPr="00132E65">
        <w:rPr>
          <w:rtl/>
        </w:rPr>
        <w:t xml:space="preserve"> الفَرائصُ » : جمع الفَرِيصَة ، وهي اللَحْمة بين الجنب والكتف التي لا تزال تُرْعَدُ من الدابّة ، والجمع الفَرِيص أيضاً. ا</w:t>
      </w:r>
      <w:r w:rsidR="00DF5B2B">
        <w:rPr>
          <w:rFonts w:hint="cs"/>
          <w:rtl/>
        </w:rPr>
        <w:t>ُ</w:t>
      </w:r>
      <w:r w:rsidRPr="00132E65">
        <w:rPr>
          <w:rtl/>
        </w:rPr>
        <w:t xml:space="preserve">نظر : </w:t>
      </w:r>
      <w:r w:rsidRPr="00DC71A7">
        <w:rPr>
          <w:rtl/>
        </w:rPr>
        <w:t>الصحاح</w:t>
      </w:r>
      <w:r w:rsidRPr="00132E65">
        <w:rPr>
          <w:rtl/>
        </w:rPr>
        <w:t xml:space="preserve"> ، ج 3 ، ص 1048 ( فرص )</w:t>
      </w:r>
      <w:r>
        <w:rPr>
          <w:rtl/>
        </w:rPr>
        <w:t>.</w:t>
      </w:r>
    </w:p>
    <w:p w:rsidR="000C39D1" w:rsidRPr="00132E65" w:rsidRDefault="000C39D1" w:rsidP="000C39D1">
      <w:pPr>
        <w:pStyle w:val="libFootnote0"/>
        <w:rPr>
          <w:rtl/>
          <w:lang w:bidi="fa-IR"/>
        </w:rPr>
      </w:pPr>
      <w:r>
        <w:rPr>
          <w:rtl/>
        </w:rPr>
        <w:t>(3).</w:t>
      </w:r>
      <w:r w:rsidRPr="00132E65">
        <w:rPr>
          <w:rtl/>
        </w:rPr>
        <w:t xml:space="preserve"> في « ب ، ض ، بح ، بر ، بس ، بف » و</w:t>
      </w:r>
      <w:r w:rsidRPr="009D1ACE">
        <w:rPr>
          <w:rStyle w:val="libFootnoteBoldChar"/>
          <w:rtl/>
        </w:rPr>
        <w:t>الوافي</w:t>
      </w:r>
      <w:r w:rsidRPr="00132E65">
        <w:rPr>
          <w:rtl/>
        </w:rPr>
        <w:t xml:space="preserve"> : « وتداخلنا » بصيغة الماضي. وفي الإرشاد : « وداخلنا »</w:t>
      </w:r>
      <w:r>
        <w:rPr>
          <w:rtl/>
        </w:rPr>
        <w:t>.</w:t>
      </w:r>
    </w:p>
    <w:tbl>
      <w:tblPr>
        <w:tblStyle w:val="TableGrid"/>
        <w:bidiVisual/>
        <w:tblW w:w="0" w:type="auto"/>
        <w:tblLook w:val="04A0" w:firstRow="1" w:lastRow="0" w:firstColumn="1" w:lastColumn="0" w:noHBand="0" w:noVBand="1"/>
      </w:tblPr>
      <w:tblGrid>
        <w:gridCol w:w="4261"/>
        <w:gridCol w:w="4262"/>
      </w:tblGrid>
      <w:tr w:rsidR="00DF5B2B" w:rsidTr="00DF5B2B">
        <w:tc>
          <w:tcPr>
            <w:tcW w:w="4261" w:type="dxa"/>
          </w:tcPr>
          <w:p w:rsidR="00DF5B2B" w:rsidRDefault="00DF5B2B" w:rsidP="000C39D1">
            <w:pPr>
              <w:pStyle w:val="libFootnote0"/>
              <w:rPr>
                <w:rtl/>
              </w:rPr>
            </w:pPr>
            <w:r>
              <w:rPr>
                <w:rtl/>
              </w:rPr>
              <w:t>(4).</w:t>
            </w:r>
            <w:r w:rsidRPr="00132E65">
              <w:rPr>
                <w:rtl/>
              </w:rPr>
              <w:t xml:space="preserve"> في الإرشاد :</w:t>
            </w:r>
            <w:r>
              <w:rPr>
                <w:rtl/>
              </w:rPr>
              <w:t xml:space="preserve"> + </w:t>
            </w:r>
            <w:r w:rsidRPr="00132E65">
              <w:rPr>
                <w:rtl/>
              </w:rPr>
              <w:t>« العبّاسيّون »</w:t>
            </w:r>
            <w:r>
              <w:rPr>
                <w:rtl/>
              </w:rPr>
              <w:t>.</w:t>
            </w:r>
          </w:p>
        </w:tc>
        <w:tc>
          <w:tcPr>
            <w:tcW w:w="4262" w:type="dxa"/>
          </w:tcPr>
          <w:p w:rsidR="00DF5B2B" w:rsidRDefault="00DF5B2B" w:rsidP="000C39D1">
            <w:pPr>
              <w:pStyle w:val="libFootnote0"/>
              <w:rPr>
                <w:rtl/>
              </w:rPr>
            </w:pPr>
            <w:r>
              <w:rPr>
                <w:rtl/>
              </w:rPr>
              <w:t>(5).</w:t>
            </w:r>
            <w:r w:rsidRPr="00132E65">
              <w:rPr>
                <w:rtl/>
              </w:rPr>
              <w:t xml:space="preserve"> في الإرشاد : « خاسئين »</w:t>
            </w:r>
            <w:r>
              <w:rPr>
                <w:rtl/>
              </w:rPr>
              <w:t>.</w:t>
            </w:r>
          </w:p>
        </w:tc>
      </w:tr>
    </w:tbl>
    <w:p w:rsidR="000C39D1" w:rsidRPr="00132E65" w:rsidRDefault="000C39D1" w:rsidP="00E37F6E">
      <w:pPr>
        <w:pStyle w:val="libFootnote0"/>
        <w:rPr>
          <w:rtl/>
          <w:lang w:bidi="fa-IR"/>
        </w:rPr>
      </w:pPr>
      <w:r>
        <w:rPr>
          <w:rtl/>
        </w:rPr>
        <w:t>(6).</w:t>
      </w:r>
      <w:r w:rsidRPr="00132E65">
        <w:rPr>
          <w:rtl/>
        </w:rPr>
        <w:t xml:space="preserve"> </w:t>
      </w:r>
      <w:r w:rsidRPr="00DC71A7">
        <w:rPr>
          <w:rtl/>
        </w:rPr>
        <w:t>الإرشاد</w:t>
      </w:r>
      <w:r w:rsidRPr="00132E65">
        <w:rPr>
          <w:rtl/>
        </w:rPr>
        <w:t xml:space="preserve"> ، ج 2 ، ص 334 ، بسنده عن الكليني</w:t>
      </w:r>
      <w:r w:rsidR="00E37F6E">
        <w:rPr>
          <w:rFonts w:hint="cs"/>
          <w:rtl/>
        </w:rPr>
        <w:t>.</w:t>
      </w:r>
      <w:r w:rsidRPr="009D1ACE">
        <w:rPr>
          <w:rStyle w:val="libFootnoteBoldChar"/>
          <w:rtl/>
        </w:rPr>
        <w:t>الوافي</w:t>
      </w:r>
      <w:r w:rsidRPr="00132E65">
        <w:rPr>
          <w:rtl/>
        </w:rPr>
        <w:t xml:space="preserve"> ، ج 3 ، ص 859 ، ح 1478.</w:t>
      </w:r>
    </w:p>
    <w:p w:rsidR="000C39D1" w:rsidRPr="00132E65" w:rsidRDefault="000C39D1" w:rsidP="000C39D1">
      <w:pPr>
        <w:pStyle w:val="libFootnote0"/>
        <w:rPr>
          <w:rtl/>
          <w:lang w:bidi="fa-IR"/>
        </w:rPr>
      </w:pPr>
      <w:r>
        <w:rPr>
          <w:rtl/>
        </w:rPr>
        <w:t>(7).</w:t>
      </w:r>
      <w:r w:rsidRPr="00132E65">
        <w:rPr>
          <w:rtl/>
        </w:rPr>
        <w:t xml:space="preserve"> « الفصّاد » : الذي يشقّ العِرْق ؛ من الفصد وهو شقّ العِرق. راجع : </w:t>
      </w:r>
      <w:r w:rsidRPr="009D1ACE">
        <w:rPr>
          <w:rStyle w:val="libFootnoteBoldChar"/>
          <w:rtl/>
        </w:rPr>
        <w:t>لسان العرب</w:t>
      </w:r>
      <w:r w:rsidRPr="00132E65">
        <w:rPr>
          <w:rtl/>
        </w:rPr>
        <w:t xml:space="preserve"> ، ج 3 ، ص 339 ( فصد )</w:t>
      </w:r>
      <w:r>
        <w:rPr>
          <w:rtl/>
        </w:rPr>
        <w:t>.</w:t>
      </w:r>
    </w:p>
    <w:p w:rsidR="000C39D1" w:rsidRPr="00132E65" w:rsidRDefault="000C39D1" w:rsidP="000C39D1">
      <w:pPr>
        <w:pStyle w:val="libFootnote0"/>
        <w:rPr>
          <w:rtl/>
          <w:lang w:bidi="fa-IR"/>
        </w:rPr>
      </w:pPr>
      <w:r>
        <w:rPr>
          <w:rtl/>
        </w:rPr>
        <w:t>(8).</w:t>
      </w:r>
      <w:r w:rsidRPr="00132E65">
        <w:rPr>
          <w:rtl/>
        </w:rPr>
        <w:t xml:space="preserve"> في « بح » : « العسكري »</w:t>
      </w:r>
      <w:r>
        <w:rPr>
          <w:rtl/>
        </w:rPr>
        <w:t>.</w:t>
      </w:r>
    </w:p>
    <w:p w:rsidR="000C39D1" w:rsidRPr="00132E65" w:rsidRDefault="000C39D1" w:rsidP="000C39D1">
      <w:pPr>
        <w:pStyle w:val="libFootnote0"/>
        <w:rPr>
          <w:rtl/>
          <w:lang w:bidi="fa-IR"/>
        </w:rPr>
      </w:pPr>
      <w:r>
        <w:rPr>
          <w:rtl/>
        </w:rPr>
        <w:t>(9).</w:t>
      </w:r>
      <w:r w:rsidRPr="00132E65">
        <w:rPr>
          <w:rtl/>
        </w:rPr>
        <w:t xml:space="preserve"> هكذا في النسخ التي قوبلت و</w:t>
      </w:r>
      <w:r w:rsidRPr="009D1ACE">
        <w:rPr>
          <w:rStyle w:val="libFootnoteBoldChar"/>
          <w:rtl/>
        </w:rPr>
        <w:t>الوافي</w:t>
      </w:r>
      <w:r w:rsidRPr="00132E65">
        <w:rPr>
          <w:rtl/>
        </w:rPr>
        <w:t xml:space="preserve"> والوسائل والبحار. وفي المطبوع : « إليّ »</w:t>
      </w:r>
      <w:r>
        <w:rPr>
          <w:rtl/>
        </w:rPr>
        <w:t>.</w:t>
      </w:r>
    </w:p>
    <w:tbl>
      <w:tblPr>
        <w:tblStyle w:val="TableGrid"/>
        <w:bidiVisual/>
        <w:tblW w:w="0" w:type="auto"/>
        <w:tblLook w:val="04A0" w:firstRow="1" w:lastRow="0" w:firstColumn="1" w:lastColumn="0" w:noHBand="0" w:noVBand="1"/>
      </w:tblPr>
      <w:tblGrid>
        <w:gridCol w:w="4261"/>
        <w:gridCol w:w="4262"/>
      </w:tblGrid>
      <w:tr w:rsidR="00E37F6E" w:rsidTr="00E37F6E">
        <w:tc>
          <w:tcPr>
            <w:tcW w:w="4261" w:type="dxa"/>
          </w:tcPr>
          <w:p w:rsidR="00E37F6E" w:rsidRDefault="00E37F6E" w:rsidP="000C39D1">
            <w:pPr>
              <w:pStyle w:val="libFootnote0"/>
              <w:rPr>
                <w:rtl/>
              </w:rPr>
            </w:pPr>
            <w:r>
              <w:rPr>
                <w:rtl/>
              </w:rPr>
              <w:t>(10).</w:t>
            </w:r>
            <w:r w:rsidRPr="00132E65">
              <w:rPr>
                <w:rtl/>
              </w:rPr>
              <w:t xml:space="preserve"> في الوسائل : « وقال »</w:t>
            </w:r>
            <w:r>
              <w:rPr>
                <w:rtl/>
              </w:rPr>
              <w:t>.</w:t>
            </w:r>
          </w:p>
        </w:tc>
        <w:tc>
          <w:tcPr>
            <w:tcW w:w="4262" w:type="dxa"/>
          </w:tcPr>
          <w:p w:rsidR="00E37F6E" w:rsidRDefault="00E37F6E" w:rsidP="000C39D1">
            <w:pPr>
              <w:pStyle w:val="libFootnote0"/>
              <w:rPr>
                <w:rtl/>
              </w:rPr>
            </w:pPr>
            <w:r>
              <w:rPr>
                <w:rtl/>
              </w:rPr>
              <w:t>(11).</w:t>
            </w:r>
            <w:r w:rsidRPr="00132E65">
              <w:rPr>
                <w:rtl/>
              </w:rPr>
              <w:t xml:space="preserve"> في « بح » : « نفصد » أي نفصدها.</w:t>
            </w:r>
          </w:p>
        </w:tc>
      </w:tr>
    </w:tbl>
    <w:p w:rsidR="000C39D1" w:rsidRPr="00132E65" w:rsidRDefault="000C39D1" w:rsidP="000C39D1">
      <w:pPr>
        <w:pStyle w:val="libFootnote0"/>
        <w:rPr>
          <w:rtl/>
          <w:lang w:bidi="fa-IR"/>
        </w:rPr>
      </w:pPr>
      <w:r>
        <w:rPr>
          <w:rtl/>
        </w:rPr>
        <w:t>(12).</w:t>
      </w:r>
      <w:r w:rsidRPr="00132E65">
        <w:rPr>
          <w:rtl/>
        </w:rPr>
        <w:t xml:space="preserve"> هكذا في النسخ التي قوبلت و</w:t>
      </w:r>
      <w:r w:rsidRPr="009D1ACE">
        <w:rPr>
          <w:rStyle w:val="libFootnoteBoldChar"/>
          <w:rtl/>
        </w:rPr>
        <w:t>الوافي</w:t>
      </w:r>
      <w:r w:rsidRPr="00132E65">
        <w:rPr>
          <w:rtl/>
        </w:rPr>
        <w:t>. وفي المطبوع : « يأمر لي »</w:t>
      </w:r>
      <w:r>
        <w:rPr>
          <w:rtl/>
        </w:rPr>
        <w:t>.</w:t>
      </w:r>
    </w:p>
    <w:tbl>
      <w:tblPr>
        <w:tblStyle w:val="TableGrid"/>
        <w:bidiVisual/>
        <w:tblW w:w="0" w:type="auto"/>
        <w:tblLook w:val="04A0" w:firstRow="1" w:lastRow="0" w:firstColumn="1" w:lastColumn="0" w:noHBand="0" w:noVBand="1"/>
      </w:tblPr>
      <w:tblGrid>
        <w:gridCol w:w="4261"/>
        <w:gridCol w:w="4262"/>
      </w:tblGrid>
      <w:tr w:rsidR="00E37F6E" w:rsidTr="00E37F6E">
        <w:tc>
          <w:tcPr>
            <w:tcW w:w="4261" w:type="dxa"/>
          </w:tcPr>
          <w:p w:rsidR="00E37F6E" w:rsidRDefault="00E37F6E" w:rsidP="000C39D1">
            <w:pPr>
              <w:pStyle w:val="libFootnote0"/>
              <w:rPr>
                <w:rtl/>
                <w:lang w:bidi="fa-IR"/>
              </w:rPr>
            </w:pPr>
            <w:r>
              <w:rPr>
                <w:rtl/>
              </w:rPr>
              <w:t>(13)</w:t>
            </w:r>
            <w:r w:rsidRPr="00132E65">
              <w:rPr>
                <w:rtl/>
              </w:rPr>
              <w:t xml:space="preserve"> في « بر » </w:t>
            </w:r>
            <w:r>
              <w:rPr>
                <w:rtl/>
              </w:rPr>
              <w:t xml:space="preserve">: - </w:t>
            </w:r>
            <w:r w:rsidRPr="00132E65">
              <w:rPr>
                <w:rtl/>
              </w:rPr>
              <w:t>« لي »</w:t>
            </w:r>
            <w:r>
              <w:rPr>
                <w:rtl/>
              </w:rPr>
              <w:t>.</w:t>
            </w:r>
          </w:p>
        </w:tc>
        <w:tc>
          <w:tcPr>
            <w:tcW w:w="4262" w:type="dxa"/>
          </w:tcPr>
          <w:p w:rsidR="00E37F6E" w:rsidRDefault="00E37F6E" w:rsidP="000C39D1">
            <w:pPr>
              <w:pStyle w:val="libFootnote0"/>
              <w:rPr>
                <w:rtl/>
                <w:lang w:bidi="fa-IR"/>
              </w:rPr>
            </w:pPr>
            <w:r>
              <w:rPr>
                <w:rtl/>
              </w:rPr>
              <w:t>(14)</w:t>
            </w:r>
            <w:r w:rsidRPr="00132E65">
              <w:rPr>
                <w:rtl/>
              </w:rPr>
              <w:t xml:space="preserve"> في « البحار » </w:t>
            </w:r>
            <w:r>
              <w:rPr>
                <w:rtl/>
              </w:rPr>
              <w:t xml:space="preserve">: - </w:t>
            </w:r>
            <w:r w:rsidRPr="00132E65">
              <w:rPr>
                <w:rtl/>
              </w:rPr>
              <w:t>« لي »</w:t>
            </w:r>
            <w:r>
              <w:rPr>
                <w:rtl/>
              </w:rPr>
              <w:t>.</w:t>
            </w:r>
          </w:p>
        </w:tc>
      </w:tr>
    </w:tbl>
    <w:p w:rsidR="000C39D1" w:rsidRPr="00132E65" w:rsidRDefault="000C39D1" w:rsidP="00E37F6E">
      <w:pPr>
        <w:pStyle w:val="libFootnote0"/>
        <w:rPr>
          <w:rtl/>
          <w:lang w:bidi="fa-IR"/>
        </w:rPr>
      </w:pPr>
      <w:r>
        <w:rPr>
          <w:rtl/>
        </w:rPr>
        <w:t>(15)</w:t>
      </w:r>
      <w:r w:rsidRPr="00132E65">
        <w:rPr>
          <w:rtl/>
        </w:rPr>
        <w:t xml:space="preserve"> « سرّح الدم » ، أي أرسله. وتسريح دم العرق المفصود : إرساله بعد ما يسيل منه حين يُفصَد مرّة ثانية. راجع : </w:t>
      </w:r>
      <w:r w:rsidRPr="009D1ACE">
        <w:rPr>
          <w:rStyle w:val="libFootnoteBoldChar"/>
          <w:rtl/>
        </w:rPr>
        <w:t>لسان العرب</w:t>
      </w:r>
      <w:r w:rsidRPr="00132E65">
        <w:rPr>
          <w:rtl/>
        </w:rPr>
        <w:t xml:space="preserve"> ، ج 2 ، ص 479 ( سرح )</w:t>
      </w:r>
      <w:r>
        <w:rPr>
          <w:rtl/>
        </w:rPr>
        <w:t>.</w:t>
      </w:r>
      <w:r w:rsidR="0006034E">
        <w:rPr>
          <w:rFonts w:hint="cs"/>
          <w:rtl/>
        </w:rPr>
        <w:t xml:space="preserve">                </w:t>
      </w:r>
      <w:r w:rsidR="00E37F6E">
        <w:rPr>
          <w:rFonts w:hint="cs"/>
          <w:rtl/>
        </w:rPr>
        <w:t xml:space="preserve">          </w:t>
      </w:r>
      <w:r>
        <w:rPr>
          <w:rtl/>
        </w:rPr>
        <w:t>(16)</w:t>
      </w:r>
      <w:r w:rsidRPr="00132E65">
        <w:rPr>
          <w:rtl/>
        </w:rPr>
        <w:t xml:space="preserve"> في « ف » وحاشية « بح » :</w:t>
      </w:r>
      <w:r>
        <w:rPr>
          <w:rtl/>
        </w:rPr>
        <w:t xml:space="preserve"> + </w:t>
      </w:r>
      <w:r w:rsidRPr="00132E65">
        <w:rPr>
          <w:rtl/>
        </w:rPr>
        <w:t>« الدم »</w:t>
      </w:r>
      <w:r>
        <w:rPr>
          <w:rtl/>
        </w:rPr>
        <w:t>.</w:t>
      </w:r>
    </w:p>
    <w:p w:rsidR="000C39D1" w:rsidRPr="00132E65" w:rsidRDefault="000C39D1" w:rsidP="000C39D1">
      <w:pPr>
        <w:pStyle w:val="libFootnote0"/>
        <w:rPr>
          <w:rtl/>
          <w:lang w:bidi="fa-IR"/>
        </w:rPr>
      </w:pPr>
      <w:r>
        <w:rPr>
          <w:rtl/>
        </w:rPr>
        <w:t>(17)</w:t>
      </w:r>
      <w:r w:rsidRPr="00132E65">
        <w:rPr>
          <w:rtl/>
        </w:rPr>
        <w:t xml:space="preserve"> في « ب ، بر » </w:t>
      </w:r>
      <w:r>
        <w:rPr>
          <w:rtl/>
        </w:rPr>
        <w:t xml:space="preserve">: - </w:t>
      </w:r>
      <w:r w:rsidRPr="00132E65">
        <w:rPr>
          <w:rtl/>
        </w:rPr>
        <w:t>« لي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فَلَمَّا كَانَ نِصْفُ اللَّيْلِ ، أَرْسَلَ إِلَيَّ ، و</w:t>
      </w:r>
      <w:r w:rsidR="008E659C">
        <w:rPr>
          <w:rFonts w:hint="cs"/>
          <w:rtl/>
          <w:lang w:bidi="fa-IR"/>
        </w:rPr>
        <w:t>َ</w:t>
      </w:r>
      <w:r w:rsidRPr="00132E65">
        <w:rPr>
          <w:rtl/>
          <w:lang w:bidi="fa-IR"/>
        </w:rPr>
        <w:t xml:space="preserve">قَالَ </w:t>
      </w:r>
      <w:r>
        <w:rPr>
          <w:rStyle w:val="libFootnotenumChar"/>
          <w:rtl/>
        </w:rPr>
        <w:t>(1)</w:t>
      </w:r>
      <w:r w:rsidRPr="00132E65">
        <w:rPr>
          <w:rtl/>
          <w:lang w:bidi="fa-IR"/>
        </w:rPr>
        <w:t xml:space="preserve"> لِي : « سَرِّحِ الدَّمَ »</w:t>
      </w:r>
      <w:r>
        <w:rPr>
          <w:rtl/>
          <w:lang w:bidi="fa-IR"/>
        </w:rPr>
        <w:t>.</w:t>
      </w:r>
    </w:p>
    <w:p w:rsidR="000C39D1" w:rsidRPr="00132E65" w:rsidRDefault="000C39D1" w:rsidP="000C39D1">
      <w:pPr>
        <w:pStyle w:val="libNormal"/>
        <w:rPr>
          <w:rtl/>
          <w:lang w:bidi="fa-IR"/>
        </w:rPr>
      </w:pPr>
      <w:r w:rsidRPr="00132E65">
        <w:rPr>
          <w:rtl/>
          <w:lang w:bidi="fa-IR"/>
        </w:rPr>
        <w:t>قَالَ : فَتَعَجَّبْتُ أَكْثَرَ مِنْ عَجَبِيَ الْأَوَّلِ ، و</w:t>
      </w:r>
      <w:r w:rsidR="008E659C">
        <w:rPr>
          <w:rFonts w:hint="cs"/>
          <w:rtl/>
          <w:lang w:bidi="fa-IR"/>
        </w:rPr>
        <w:t>َ</w:t>
      </w:r>
      <w:r w:rsidRPr="00132E65">
        <w:rPr>
          <w:rtl/>
          <w:lang w:bidi="fa-IR"/>
        </w:rPr>
        <w:t xml:space="preserve">كَرِهْتُ أَنْ أَسْأَلَهُ ، قَالَ </w:t>
      </w:r>
      <w:r>
        <w:rPr>
          <w:rStyle w:val="libFootnotenumChar"/>
          <w:rtl/>
        </w:rPr>
        <w:t>(2)</w:t>
      </w:r>
      <w:r w:rsidRPr="00132E65">
        <w:rPr>
          <w:rtl/>
          <w:lang w:bidi="fa-IR"/>
        </w:rPr>
        <w:t xml:space="preserve"> : فَسَرَّحْتُ ، فَخَرَجَ دَمٌ أَبْيَضُ كَأَنَّهُ الْمِلْحُ </w:t>
      </w:r>
      <w:r>
        <w:rPr>
          <w:rStyle w:val="libFootnotenumChar"/>
          <w:rtl/>
        </w:rPr>
        <w:t>(3)</w:t>
      </w:r>
      <w:r w:rsidRPr="00132E65">
        <w:rPr>
          <w:rtl/>
          <w:lang w:bidi="fa-IR"/>
        </w:rPr>
        <w:t xml:space="preserve"> ، قَالَ : ثُمَّ قَالَ لِيَ : « احْبِسْ »</w:t>
      </w:r>
      <w:r>
        <w:rPr>
          <w:rtl/>
          <w:lang w:bidi="fa-IR"/>
        </w:rPr>
        <w:t>.</w:t>
      </w:r>
      <w:r w:rsidRPr="00132E65">
        <w:rPr>
          <w:rtl/>
          <w:lang w:bidi="fa-IR"/>
        </w:rPr>
        <w:t xml:space="preserve"> قَالَ : فَحَبَسْتُ ، قَالَ </w:t>
      </w:r>
      <w:r>
        <w:rPr>
          <w:rStyle w:val="libFootnotenumChar"/>
          <w:rtl/>
        </w:rPr>
        <w:t>(4)</w:t>
      </w:r>
      <w:r w:rsidRPr="00132E65">
        <w:rPr>
          <w:rtl/>
          <w:lang w:bidi="fa-IR"/>
        </w:rPr>
        <w:t xml:space="preserve"> : ثُمَّ قَالَ </w:t>
      </w:r>
      <w:r>
        <w:rPr>
          <w:rStyle w:val="libFootnotenumChar"/>
          <w:rtl/>
        </w:rPr>
        <w:t>(5)</w:t>
      </w:r>
      <w:r w:rsidRPr="00132E65">
        <w:rPr>
          <w:rtl/>
          <w:lang w:bidi="fa-IR"/>
        </w:rPr>
        <w:t xml:space="preserve"> : « كُنْ فِي الدَّارِ »</w:t>
      </w:r>
      <w:r>
        <w:rPr>
          <w:rtl/>
          <w:lang w:bidi="fa-IR"/>
        </w:rPr>
        <w:t>.</w:t>
      </w:r>
    </w:p>
    <w:p w:rsidR="000C39D1" w:rsidRPr="00132E65" w:rsidRDefault="000C39D1" w:rsidP="000C39D1">
      <w:pPr>
        <w:pStyle w:val="libNormal"/>
        <w:rPr>
          <w:rtl/>
          <w:lang w:bidi="fa-IR"/>
        </w:rPr>
      </w:pPr>
      <w:r w:rsidRPr="00132E65">
        <w:rPr>
          <w:rtl/>
          <w:lang w:bidi="fa-IR"/>
        </w:rPr>
        <w:t xml:space="preserve">فَلَمَّا أَصْبَحْتُ أَمَرَ قَهْرَمَانَهُ </w:t>
      </w:r>
      <w:r>
        <w:rPr>
          <w:rStyle w:val="libFootnotenumChar"/>
          <w:rtl/>
        </w:rPr>
        <w:t>(6)</w:t>
      </w:r>
      <w:r w:rsidRPr="00132E65">
        <w:rPr>
          <w:rtl/>
          <w:lang w:bidi="fa-IR"/>
        </w:rPr>
        <w:t xml:space="preserve"> أَنْ يُعْطِيَنِي ثَلَاثَةَ دَنَانِيرَ ، فَأَخَذْتُهَا ، و</w:t>
      </w:r>
      <w:r w:rsidR="008E659C">
        <w:rPr>
          <w:rFonts w:hint="cs"/>
          <w:rtl/>
          <w:lang w:bidi="fa-IR"/>
        </w:rPr>
        <w:t>َ</w:t>
      </w:r>
      <w:r w:rsidRPr="00132E65">
        <w:rPr>
          <w:rtl/>
          <w:lang w:bidi="fa-IR"/>
        </w:rPr>
        <w:t xml:space="preserve">خَرَجْتُ </w:t>
      </w:r>
      <w:r>
        <w:rPr>
          <w:rStyle w:val="libFootnotenumChar"/>
          <w:rtl/>
        </w:rPr>
        <w:t>(7)</w:t>
      </w:r>
      <w:r w:rsidRPr="00132E65">
        <w:rPr>
          <w:rtl/>
          <w:lang w:bidi="fa-IR"/>
        </w:rPr>
        <w:t xml:space="preserve"> حَتّى أَتَيْتُ ابْنَ بَخْتِيشُوعَ النَّصْرَانِيَّ ، فَقَصَصْتُ عَلَيْهِ الْقِصَّةَ ، قَالَ : فَقَالَ لِي </w:t>
      </w:r>
      <w:r>
        <w:rPr>
          <w:rStyle w:val="libFootnotenumChar"/>
          <w:rtl/>
        </w:rPr>
        <w:t>(8)</w:t>
      </w:r>
      <w:r w:rsidRPr="00132E65">
        <w:rPr>
          <w:rtl/>
          <w:lang w:bidi="fa-IR"/>
        </w:rPr>
        <w:t xml:space="preserve"> : واللهِ ، مَا أَفْهَمُ مَا تَقُولُ ، و</w:t>
      </w:r>
      <w:r w:rsidR="008E659C">
        <w:rPr>
          <w:rFonts w:hint="cs"/>
          <w:rtl/>
          <w:lang w:bidi="fa-IR"/>
        </w:rPr>
        <w:t>َ</w:t>
      </w:r>
      <w:r w:rsidRPr="00132E65">
        <w:rPr>
          <w:rtl/>
          <w:lang w:bidi="fa-IR"/>
        </w:rPr>
        <w:t>لَا</w:t>
      </w:r>
      <w:r>
        <w:rPr>
          <w:rFonts w:hint="cs"/>
          <w:rtl/>
          <w:lang w:bidi="fa-IR"/>
        </w:rPr>
        <w:t xml:space="preserve"> </w:t>
      </w:r>
      <w:r w:rsidRPr="00132E65">
        <w:rPr>
          <w:rtl/>
          <w:lang w:bidi="fa-IR"/>
        </w:rPr>
        <w:t>أَعْرِفُهُ فِي شَيْ‌ءٍ مِنَ الطِّبِّ ، و</w:t>
      </w:r>
      <w:r w:rsidR="008E659C">
        <w:rPr>
          <w:rFonts w:hint="cs"/>
          <w:rtl/>
          <w:lang w:bidi="fa-IR"/>
        </w:rPr>
        <w:t>َ</w:t>
      </w:r>
      <w:r w:rsidRPr="00132E65">
        <w:rPr>
          <w:rtl/>
          <w:lang w:bidi="fa-IR"/>
        </w:rPr>
        <w:t xml:space="preserve">لَاقَرَأْتُهُ فِي كِتَابٍ </w:t>
      </w:r>
      <w:r>
        <w:rPr>
          <w:rStyle w:val="libFootnotenumChar"/>
          <w:rtl/>
        </w:rPr>
        <w:t>(9)</w:t>
      </w:r>
      <w:r w:rsidRPr="00132E65">
        <w:rPr>
          <w:rtl/>
          <w:lang w:bidi="fa-IR"/>
        </w:rPr>
        <w:t xml:space="preserve"> ، و</w:t>
      </w:r>
      <w:r w:rsidR="008E659C">
        <w:rPr>
          <w:rFonts w:hint="cs"/>
          <w:rtl/>
          <w:lang w:bidi="fa-IR"/>
        </w:rPr>
        <w:t>َ</w:t>
      </w:r>
      <w:r w:rsidRPr="00132E65">
        <w:rPr>
          <w:rtl/>
          <w:lang w:bidi="fa-IR"/>
        </w:rPr>
        <w:t>لَا</w:t>
      </w:r>
      <w:r>
        <w:rPr>
          <w:rFonts w:hint="cs"/>
          <w:rtl/>
          <w:lang w:bidi="fa-IR"/>
        </w:rPr>
        <w:t xml:space="preserve"> </w:t>
      </w:r>
      <w:r w:rsidRPr="00132E65">
        <w:rPr>
          <w:rtl/>
          <w:lang w:bidi="fa-IR"/>
        </w:rPr>
        <w:t xml:space="preserve">أَعْلَمُ فِي </w:t>
      </w:r>
      <w:r>
        <w:rPr>
          <w:rStyle w:val="libFootnotenumChar"/>
          <w:rtl/>
        </w:rPr>
        <w:t>(10)</w:t>
      </w:r>
      <w:r w:rsidRPr="00132E65">
        <w:rPr>
          <w:rtl/>
          <w:lang w:bidi="fa-IR"/>
        </w:rPr>
        <w:t xml:space="preserve"> دَهْرِنَا أَعْلَمَ بِكُتُبِ النَّصْرَانِيَّةِ مِنْ فُلَانٍ الْفَارِسِيِّ ، فَاخْرُجْ إِلَيْهِ.</w:t>
      </w:r>
    </w:p>
    <w:p w:rsidR="000C39D1" w:rsidRPr="00132E65" w:rsidRDefault="000C39D1" w:rsidP="008E659C">
      <w:pPr>
        <w:pStyle w:val="libNormal"/>
        <w:rPr>
          <w:rtl/>
          <w:lang w:bidi="fa-IR"/>
        </w:rPr>
      </w:pPr>
      <w:r w:rsidRPr="00132E65">
        <w:rPr>
          <w:rtl/>
          <w:lang w:bidi="fa-IR"/>
        </w:rPr>
        <w:t xml:space="preserve">قَالَ : فَاكْتَرَيْتُ </w:t>
      </w:r>
      <w:r>
        <w:rPr>
          <w:rStyle w:val="libFootnotenumChar"/>
          <w:rtl/>
        </w:rPr>
        <w:t>(11)</w:t>
      </w:r>
      <w:r w:rsidRPr="00132E65">
        <w:rPr>
          <w:rtl/>
          <w:lang w:bidi="fa-IR"/>
        </w:rPr>
        <w:t xml:space="preserve"> زَوْرَقاً إِلَى الْبَصْرَةِ ، و</w:t>
      </w:r>
      <w:r w:rsidR="008E659C">
        <w:rPr>
          <w:rFonts w:hint="cs"/>
          <w:rtl/>
          <w:lang w:bidi="fa-IR"/>
        </w:rPr>
        <w:t>َ</w:t>
      </w:r>
      <w:r w:rsidRPr="00132E65">
        <w:rPr>
          <w:rtl/>
          <w:lang w:bidi="fa-IR"/>
        </w:rPr>
        <w:t>أَتَيْتُ الْأَهْوَازَ ، ثُمَّ صِرْتُ إِلى فَارِسَ إِلى صَاحِبِي ، فَأَخْبَرْتُهُ الْخَبَرَ ، قَالَ : و</w:t>
      </w:r>
      <w:r w:rsidR="008E659C">
        <w:rPr>
          <w:rFonts w:hint="cs"/>
          <w:rtl/>
          <w:lang w:bidi="fa-IR"/>
        </w:rPr>
        <w:t>َ</w:t>
      </w:r>
      <w:r w:rsidRPr="00132E65">
        <w:rPr>
          <w:rtl/>
          <w:lang w:bidi="fa-IR"/>
        </w:rPr>
        <w:t xml:space="preserve">قَالَ </w:t>
      </w:r>
      <w:r>
        <w:rPr>
          <w:rStyle w:val="libFootnotenumChar"/>
          <w:rtl/>
        </w:rPr>
        <w:t>(12)</w:t>
      </w:r>
      <w:r w:rsidRPr="00132E65">
        <w:rPr>
          <w:rtl/>
          <w:lang w:bidi="fa-IR"/>
        </w:rPr>
        <w:t xml:space="preserve"> : أَنْظِرْنِي أَيَّاماً ، فَأَنْظَرْتُهُ ، ثُمَّ أَتَيْتُهُ مُتَقَاضِياً ، قَالَ : فَقَالَ لِي : إِنَّ </w:t>
      </w:r>
      <w:r w:rsidRPr="00F543F1">
        <w:rPr>
          <w:rStyle w:val="libFootnotenumChar"/>
          <w:rtl/>
        </w:rPr>
        <w:t>(13)</w:t>
      </w:r>
      <w:r w:rsidRPr="00132E65">
        <w:rPr>
          <w:rtl/>
          <w:lang w:bidi="fa-IR"/>
        </w:rPr>
        <w:t xml:space="preserve"> هذَا الَّذِي تَحْكِيهِ عَنْ هذَا الرَّجُلِ فَعَلَهُ الْمَسِيحُ فِي دَهْرِهِ مَرَّةً. </w:t>
      </w:r>
      <w:r w:rsidRPr="00F543F1">
        <w:rPr>
          <w:rStyle w:val="libFootnotenumChar"/>
          <w:rtl/>
        </w:rPr>
        <w:t>(14)</w:t>
      </w:r>
    </w:p>
    <w:p w:rsidR="000C39D1" w:rsidRPr="00132E65" w:rsidRDefault="000C39D1" w:rsidP="000C39D1">
      <w:pPr>
        <w:pStyle w:val="libNormal"/>
        <w:rPr>
          <w:rtl/>
          <w:lang w:bidi="fa-IR"/>
        </w:rPr>
      </w:pPr>
      <w:r w:rsidRPr="00DC71A7">
        <w:rPr>
          <w:rtl/>
        </w:rPr>
        <w:t>1354</w:t>
      </w:r>
      <w:r w:rsidRPr="004325D8">
        <w:rPr>
          <w:rStyle w:val="libBold2Char"/>
          <w:rtl/>
        </w:rPr>
        <w:t xml:space="preserve"> / 25.</w:t>
      </w:r>
      <w:r w:rsidRPr="00132E65">
        <w:rPr>
          <w:rtl/>
          <w:lang w:bidi="fa-IR"/>
        </w:rPr>
        <w:t xml:space="preserve"> عَلِيُّ بْنُ مُحَمَّدٍ ، عَنْ بَعْضِ أَصْحَابِنَا ، قَالَ :</w:t>
      </w:r>
    </w:p>
    <w:p w:rsidR="000C39D1" w:rsidRPr="00132E65" w:rsidRDefault="000C39D1" w:rsidP="000C39D1">
      <w:pPr>
        <w:pStyle w:val="libNormal"/>
        <w:rPr>
          <w:rtl/>
          <w:lang w:bidi="fa-IR"/>
        </w:rPr>
      </w:pPr>
      <w:r w:rsidRPr="00132E65">
        <w:rPr>
          <w:rtl/>
          <w:lang w:bidi="fa-IR"/>
        </w:rPr>
        <w:t xml:space="preserve">كَتَبَ مُحَمَّدُ بْنُ حُجْرٍ إِلى أَبِي مُحَمَّدٍ </w:t>
      </w:r>
      <w:r w:rsidRPr="00071CF9">
        <w:rPr>
          <w:rStyle w:val="libAlaemChar"/>
          <w:rtl/>
        </w:rPr>
        <w:t>عليه‌السلام</w:t>
      </w:r>
      <w:r w:rsidRPr="00132E65">
        <w:rPr>
          <w:rtl/>
          <w:lang w:bidi="fa-IR"/>
        </w:rPr>
        <w:t xml:space="preserve"> يَشْكُو عَبْدَ الْعَزِيزِ بْنَ دُلَفَ ويَزِيدَ بْنَ‌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8E659C" w:rsidTr="008E659C">
        <w:tc>
          <w:tcPr>
            <w:tcW w:w="4261" w:type="dxa"/>
          </w:tcPr>
          <w:p w:rsidR="008E659C" w:rsidRDefault="008E659C"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 « فقال »</w:t>
            </w:r>
            <w:r>
              <w:rPr>
                <w:rtl/>
              </w:rPr>
              <w:t>.</w:t>
            </w:r>
          </w:p>
        </w:tc>
        <w:tc>
          <w:tcPr>
            <w:tcW w:w="4262" w:type="dxa"/>
          </w:tcPr>
          <w:p w:rsidR="008E659C" w:rsidRDefault="008E659C" w:rsidP="000C39D1">
            <w:pPr>
              <w:pStyle w:val="libFootnote0"/>
              <w:rPr>
                <w:rtl/>
              </w:rPr>
            </w:pPr>
            <w:r>
              <w:rPr>
                <w:rtl/>
              </w:rPr>
              <w:t>(2).</w:t>
            </w:r>
            <w:r w:rsidRPr="00132E65">
              <w:rPr>
                <w:rtl/>
              </w:rPr>
              <w:t xml:space="preserve"> في « بر » </w:t>
            </w:r>
            <w:r>
              <w:rPr>
                <w:rtl/>
              </w:rPr>
              <w:t xml:space="preserve">: - </w:t>
            </w:r>
            <w:r w:rsidRPr="00132E65">
              <w:rPr>
                <w:rtl/>
              </w:rPr>
              <w:t>« قال »</w:t>
            </w:r>
            <w:r>
              <w:rPr>
                <w:rtl/>
              </w:rPr>
              <w:t>.</w:t>
            </w:r>
          </w:p>
        </w:tc>
      </w:tr>
      <w:tr w:rsidR="008E659C" w:rsidTr="008E659C">
        <w:tc>
          <w:tcPr>
            <w:tcW w:w="4261" w:type="dxa"/>
          </w:tcPr>
          <w:p w:rsidR="008E659C" w:rsidRDefault="008E659C" w:rsidP="000C39D1">
            <w:pPr>
              <w:pStyle w:val="libFootnote0"/>
              <w:rPr>
                <w:rtl/>
              </w:rPr>
            </w:pPr>
            <w:r>
              <w:rPr>
                <w:rtl/>
              </w:rPr>
              <w:t>(3).</w:t>
            </w:r>
            <w:r w:rsidRPr="00132E65">
              <w:rPr>
                <w:rtl/>
              </w:rPr>
              <w:t xml:space="preserve"> في حاشية « ج » : « الثلج »</w:t>
            </w:r>
            <w:r>
              <w:rPr>
                <w:rtl/>
              </w:rPr>
              <w:t>.</w:t>
            </w:r>
          </w:p>
        </w:tc>
        <w:tc>
          <w:tcPr>
            <w:tcW w:w="4262" w:type="dxa"/>
          </w:tcPr>
          <w:p w:rsidR="008E659C" w:rsidRDefault="008E659C" w:rsidP="000C39D1">
            <w:pPr>
              <w:pStyle w:val="libFootnote0"/>
              <w:rPr>
                <w:rtl/>
              </w:rPr>
            </w:pPr>
            <w:r>
              <w:rPr>
                <w:rtl/>
              </w:rPr>
              <w:t>(4).</w:t>
            </w:r>
            <w:r w:rsidRPr="00132E65">
              <w:rPr>
                <w:rtl/>
              </w:rPr>
              <w:t xml:space="preserve"> في « ج ، ض ، بر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(5).</w:t>
      </w:r>
      <w:r w:rsidRPr="00132E65">
        <w:rPr>
          <w:rtl/>
        </w:rPr>
        <w:t xml:space="preserve"> في الوسائل :</w:t>
      </w:r>
      <w:r>
        <w:rPr>
          <w:rtl/>
        </w:rPr>
        <w:t xml:space="preserve"> + </w:t>
      </w:r>
      <w:r w:rsidRPr="00132E65">
        <w:rPr>
          <w:rtl/>
        </w:rPr>
        <w:t>« لي »</w:t>
      </w:r>
      <w:r>
        <w:rPr>
          <w:rtl/>
        </w:rPr>
        <w:t>.</w:t>
      </w:r>
    </w:p>
    <w:p w:rsidR="000C39D1" w:rsidRPr="00132E65" w:rsidRDefault="000C39D1" w:rsidP="008E659C">
      <w:pPr>
        <w:pStyle w:val="libFootnote0"/>
        <w:rPr>
          <w:rtl/>
          <w:lang w:bidi="fa-IR"/>
        </w:rPr>
      </w:pPr>
      <w:r>
        <w:rPr>
          <w:rtl/>
        </w:rPr>
        <w:t>(6).</w:t>
      </w:r>
      <w:r w:rsidRPr="00132E65">
        <w:rPr>
          <w:rtl/>
        </w:rPr>
        <w:t xml:space="preserve"> « القهرمان » : هو كالخازن والوكيل والحافظ لما تحت يده ، والقائم با</w:t>
      </w:r>
      <w:r w:rsidR="008E659C">
        <w:rPr>
          <w:rFonts w:hint="cs"/>
          <w:rtl/>
        </w:rPr>
        <w:t>ُ</w:t>
      </w:r>
      <w:r w:rsidRPr="00132E65">
        <w:rPr>
          <w:rtl/>
        </w:rPr>
        <w:t xml:space="preserve">مور الرجل بلغة الفرس. </w:t>
      </w:r>
      <w:r w:rsidRPr="00DC71A7">
        <w:rPr>
          <w:rtl/>
        </w:rPr>
        <w:t>النهاية</w:t>
      </w:r>
      <w:r w:rsidRPr="00132E65">
        <w:rPr>
          <w:rtl/>
        </w:rPr>
        <w:t xml:space="preserve"> ، ج 4 ، ص 129 ( قهرم )</w:t>
      </w:r>
      <w:r>
        <w:rPr>
          <w:rtl/>
        </w:rPr>
        <w:t>.</w:t>
      </w:r>
      <w:r w:rsidR="008E659C">
        <w:rPr>
          <w:rFonts w:hint="cs"/>
          <w:rtl/>
        </w:rPr>
        <w:t xml:space="preserve">           </w:t>
      </w:r>
      <w:r w:rsidR="0006034E">
        <w:rPr>
          <w:rFonts w:hint="cs"/>
          <w:rtl/>
        </w:rPr>
        <w:t xml:space="preserve">                          </w:t>
      </w:r>
      <w:r w:rsidR="008E659C">
        <w:rPr>
          <w:rFonts w:hint="cs"/>
          <w:rtl/>
        </w:rPr>
        <w:t xml:space="preserve">                </w:t>
      </w:r>
      <w:r>
        <w:rPr>
          <w:rtl/>
        </w:rPr>
        <w:t>(7).</w:t>
      </w:r>
      <w:r w:rsidRPr="00132E65">
        <w:rPr>
          <w:rtl/>
        </w:rPr>
        <w:t xml:space="preserve"> في « بر » : « فخرجت »</w:t>
      </w:r>
      <w:r>
        <w:rPr>
          <w:rtl/>
        </w:rPr>
        <w:t>.</w:t>
      </w:r>
    </w:p>
    <w:tbl>
      <w:tblPr>
        <w:tblStyle w:val="TableGrid"/>
        <w:bidiVisual/>
        <w:tblW w:w="0" w:type="auto"/>
        <w:tblLook w:val="04A0" w:firstRow="1" w:lastRow="0" w:firstColumn="1" w:lastColumn="0" w:noHBand="0" w:noVBand="1"/>
      </w:tblPr>
      <w:tblGrid>
        <w:gridCol w:w="4261"/>
        <w:gridCol w:w="4262"/>
      </w:tblGrid>
      <w:tr w:rsidR="008E659C" w:rsidTr="008E659C">
        <w:tc>
          <w:tcPr>
            <w:tcW w:w="4261" w:type="dxa"/>
          </w:tcPr>
          <w:p w:rsidR="008E659C" w:rsidRDefault="008E659C" w:rsidP="000C39D1">
            <w:pPr>
              <w:pStyle w:val="libFootnote0"/>
              <w:rPr>
                <w:rtl/>
              </w:rPr>
            </w:pPr>
            <w:r>
              <w:rPr>
                <w:rtl/>
              </w:rPr>
              <w:t>(8).</w:t>
            </w:r>
            <w:r w:rsidRPr="00132E65">
              <w:rPr>
                <w:rtl/>
              </w:rPr>
              <w:t xml:space="preserve"> في « بر » </w:t>
            </w:r>
            <w:r>
              <w:rPr>
                <w:rtl/>
              </w:rPr>
              <w:t xml:space="preserve">: - </w:t>
            </w:r>
            <w:r w:rsidRPr="00132E65">
              <w:rPr>
                <w:rtl/>
              </w:rPr>
              <w:t>« لي »</w:t>
            </w:r>
            <w:r>
              <w:rPr>
                <w:rtl/>
              </w:rPr>
              <w:t>.</w:t>
            </w:r>
          </w:p>
        </w:tc>
        <w:tc>
          <w:tcPr>
            <w:tcW w:w="4262" w:type="dxa"/>
          </w:tcPr>
          <w:p w:rsidR="008E659C" w:rsidRDefault="008E659C" w:rsidP="000C39D1">
            <w:pPr>
              <w:pStyle w:val="libFootnote0"/>
              <w:rPr>
                <w:rtl/>
              </w:rPr>
            </w:pPr>
            <w:r>
              <w:rPr>
                <w:rtl/>
              </w:rPr>
              <w:t>(9).</w:t>
            </w:r>
            <w:r w:rsidRPr="00132E65">
              <w:rPr>
                <w:rtl/>
              </w:rPr>
              <w:t xml:space="preserve"> في « ض » : « كتابه »</w:t>
            </w:r>
            <w:r>
              <w:rPr>
                <w:rtl/>
              </w:rPr>
              <w:t>.</w:t>
            </w:r>
          </w:p>
        </w:tc>
      </w:tr>
      <w:tr w:rsidR="008E659C" w:rsidTr="008E659C">
        <w:tc>
          <w:tcPr>
            <w:tcW w:w="4261" w:type="dxa"/>
          </w:tcPr>
          <w:p w:rsidR="008E659C" w:rsidRDefault="008E659C" w:rsidP="000C39D1">
            <w:pPr>
              <w:pStyle w:val="libFootnote0"/>
              <w:rPr>
                <w:rtl/>
              </w:rPr>
            </w:pPr>
            <w:r>
              <w:rPr>
                <w:rtl/>
              </w:rPr>
              <w:t>(10).</w:t>
            </w:r>
            <w:r w:rsidRPr="00132E65">
              <w:rPr>
                <w:rtl/>
              </w:rPr>
              <w:t xml:space="preserve"> في « بر » : « من »</w:t>
            </w:r>
            <w:r>
              <w:rPr>
                <w:rtl/>
              </w:rPr>
              <w:t>.</w:t>
            </w:r>
          </w:p>
        </w:tc>
        <w:tc>
          <w:tcPr>
            <w:tcW w:w="4262" w:type="dxa"/>
          </w:tcPr>
          <w:p w:rsidR="008E659C" w:rsidRDefault="008E659C" w:rsidP="000C39D1">
            <w:pPr>
              <w:pStyle w:val="libFootnote0"/>
              <w:rPr>
                <w:rtl/>
              </w:rPr>
            </w:pPr>
            <w:r>
              <w:rPr>
                <w:rtl/>
              </w:rPr>
              <w:t>(11).</w:t>
            </w:r>
            <w:r w:rsidRPr="00132E65">
              <w:rPr>
                <w:rtl/>
              </w:rPr>
              <w:t xml:space="preserve"> في « ف » :</w:t>
            </w:r>
            <w:r>
              <w:rPr>
                <w:rtl/>
              </w:rPr>
              <w:t xml:space="preserve"> + </w:t>
            </w:r>
            <w:r w:rsidRPr="00132E65">
              <w:rPr>
                <w:rtl/>
              </w:rPr>
              <w:t>« إليّ »</w:t>
            </w:r>
            <w:r>
              <w:rPr>
                <w:rtl/>
              </w:rPr>
              <w:t>.</w:t>
            </w:r>
          </w:p>
        </w:tc>
      </w:tr>
    </w:tbl>
    <w:p w:rsidR="000C39D1" w:rsidRPr="00132E65" w:rsidRDefault="000C39D1" w:rsidP="000C39D1">
      <w:pPr>
        <w:pStyle w:val="libFootnote0"/>
        <w:rPr>
          <w:rtl/>
          <w:lang w:bidi="fa-IR"/>
        </w:rPr>
      </w:pPr>
      <w:r>
        <w:rPr>
          <w:rtl/>
        </w:rPr>
        <w:t>(12).</w:t>
      </w:r>
      <w:r w:rsidRPr="00132E65">
        <w:rPr>
          <w:rtl/>
        </w:rPr>
        <w:t xml:space="preserve"> في « ب ، ج ، ف ، بس » و</w:t>
      </w:r>
      <w:r w:rsidRPr="009D1ACE">
        <w:rPr>
          <w:rStyle w:val="libFootnoteBoldChar"/>
          <w:rtl/>
        </w:rPr>
        <w:t>الوافي</w:t>
      </w:r>
      <w:r w:rsidRPr="00132E65">
        <w:rPr>
          <w:rtl/>
        </w:rPr>
        <w:t xml:space="preserve"> : « فقال »</w:t>
      </w:r>
      <w:r>
        <w:rPr>
          <w:rtl/>
        </w:rPr>
        <w:t>.</w:t>
      </w:r>
      <w:r w:rsidRPr="00132E65">
        <w:rPr>
          <w:rtl/>
        </w:rPr>
        <w:t xml:space="preserve"> وفي « ض ، بح ، بف » والبحار : « فقال لي »</w:t>
      </w:r>
      <w:r>
        <w:rPr>
          <w:rtl/>
        </w:rPr>
        <w:t>.</w:t>
      </w:r>
    </w:p>
    <w:p w:rsidR="000C39D1" w:rsidRPr="00132E65" w:rsidRDefault="000C39D1" w:rsidP="000C39D1">
      <w:pPr>
        <w:pStyle w:val="libFootnote0"/>
        <w:rPr>
          <w:rtl/>
          <w:lang w:bidi="fa-IR"/>
        </w:rPr>
      </w:pPr>
      <w:r>
        <w:rPr>
          <w:rtl/>
        </w:rPr>
        <w:t>(13)</w:t>
      </w:r>
      <w:r w:rsidRPr="00132E65">
        <w:rPr>
          <w:rtl/>
        </w:rPr>
        <w:t xml:space="preserve"> في « ف ، بر »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(14)</w:t>
      </w:r>
      <w:r w:rsidRPr="00132E65">
        <w:rPr>
          <w:rtl/>
        </w:rPr>
        <w:t xml:space="preserve"> </w:t>
      </w:r>
      <w:r w:rsidRPr="009D1ACE">
        <w:rPr>
          <w:rStyle w:val="libFootnoteBoldChar"/>
          <w:rtl/>
        </w:rPr>
        <w:t>الوافي</w:t>
      </w:r>
      <w:r w:rsidRPr="00132E65">
        <w:rPr>
          <w:rtl/>
        </w:rPr>
        <w:t xml:space="preserve"> ، ج 3 ، ص 859 ، ح 1479 ؛ </w:t>
      </w:r>
      <w:r w:rsidRPr="00DC71A7">
        <w:rPr>
          <w:rtl/>
        </w:rPr>
        <w:t>الوسائل</w:t>
      </w:r>
      <w:r w:rsidRPr="00132E65">
        <w:rPr>
          <w:rtl/>
        </w:rPr>
        <w:t xml:space="preserve"> ، ج 17 ، ص 107 ، ح 22105 ؛ </w:t>
      </w:r>
      <w:r w:rsidRPr="00DC71A7">
        <w:rPr>
          <w:rtl/>
        </w:rPr>
        <w:t>البحار</w:t>
      </w:r>
      <w:r w:rsidRPr="00132E65">
        <w:rPr>
          <w:rtl/>
        </w:rPr>
        <w:t xml:space="preserve"> ، ج 62 ، ص 131 ، ح 101.</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عَبْدِ اللهِ ، فَكَتَبَ إِلَيْهِ : « أَمَّا عَبْدُ الْعَزِيزِ فَقَدْ كُفِيتَهُ ، و</w:t>
      </w:r>
      <w:r w:rsidR="003B49B1">
        <w:rPr>
          <w:rFonts w:hint="cs"/>
          <w:rtl/>
          <w:lang w:bidi="fa-IR"/>
        </w:rPr>
        <w:t>َ</w:t>
      </w:r>
      <w:r w:rsidRPr="00132E65">
        <w:rPr>
          <w:rtl/>
          <w:lang w:bidi="fa-IR"/>
        </w:rPr>
        <w:t>أَمَّا يَزِيدُ فَإِنَّ لَكَ و</w:t>
      </w:r>
      <w:r w:rsidR="003B49B1">
        <w:rPr>
          <w:rFonts w:hint="cs"/>
          <w:rtl/>
          <w:lang w:bidi="fa-IR"/>
        </w:rPr>
        <w:t>َ</w:t>
      </w:r>
      <w:r w:rsidRPr="00132E65">
        <w:rPr>
          <w:rtl/>
          <w:lang w:bidi="fa-IR"/>
        </w:rPr>
        <w:t>لَهُ مَقَاماً بَيْنَ يَدَيِ اللهِ »</w:t>
      </w:r>
      <w:r>
        <w:rPr>
          <w:rtl/>
          <w:lang w:bidi="fa-IR"/>
        </w:rPr>
        <w:t>.</w:t>
      </w:r>
      <w:r w:rsidRPr="00132E65">
        <w:rPr>
          <w:rtl/>
          <w:lang w:bidi="fa-IR"/>
        </w:rPr>
        <w:t xml:space="preserve"> فَمَاتَ عَبْدُ الْعَزِيزِ ، وقَتَلَ يَزِيدُ مُحَمَّدَ بْنَ حُجْرٍ.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DC71A7">
        <w:rPr>
          <w:rtl/>
        </w:rPr>
        <w:t>1355</w:t>
      </w:r>
      <w:r w:rsidRPr="004325D8">
        <w:rPr>
          <w:rStyle w:val="libBold2Char"/>
          <w:rtl/>
        </w:rPr>
        <w:t xml:space="preserve"> / 26.</w:t>
      </w:r>
      <w:r w:rsidRPr="00132E65">
        <w:rPr>
          <w:rtl/>
          <w:lang w:bidi="fa-IR"/>
        </w:rPr>
        <w:t xml:space="preserve"> عَلِيُّ بْنُ مُحَمَّدٍ ، عَنْ بَعْضِ أَصْحَابِنَا ، قَالَ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سُلِّمَ أَبُو مُحَمَّدٍ </w:t>
      </w:r>
      <w:r w:rsidRPr="00071CF9">
        <w:rPr>
          <w:rStyle w:val="libAlaemChar"/>
          <w:rtl/>
        </w:rPr>
        <w:t>عليه‌السلام</w:t>
      </w:r>
      <w:r w:rsidRPr="00132E65">
        <w:rPr>
          <w:rtl/>
          <w:lang w:bidi="fa-IR"/>
        </w:rPr>
        <w:t xml:space="preserve"> إِلى نِحْرِيرٍ </w:t>
      </w:r>
      <w:r>
        <w:rPr>
          <w:rStyle w:val="libFootnotenumChar"/>
          <w:rtl/>
        </w:rPr>
        <w:t>(3)</w:t>
      </w:r>
      <w:r w:rsidRPr="00132E65">
        <w:rPr>
          <w:rtl/>
          <w:lang w:bidi="fa-IR"/>
        </w:rPr>
        <w:t xml:space="preserve"> ، فَكَانَ </w:t>
      </w:r>
      <w:r>
        <w:rPr>
          <w:rStyle w:val="libFootnotenumChar"/>
          <w:rtl/>
        </w:rPr>
        <w:t>(4)</w:t>
      </w:r>
      <w:r w:rsidRPr="00132E65">
        <w:rPr>
          <w:rtl/>
          <w:lang w:bidi="fa-IR"/>
        </w:rPr>
        <w:t xml:space="preserve"> يُضَيِّقُ عَلَيْهِ ويُؤْذِيهِ ، قَالَ </w:t>
      </w:r>
      <w:r>
        <w:rPr>
          <w:rStyle w:val="libFootnotenumChar"/>
          <w:rtl/>
        </w:rPr>
        <w:t>(5)</w:t>
      </w:r>
      <w:r w:rsidRPr="00132E65">
        <w:rPr>
          <w:rtl/>
          <w:lang w:bidi="fa-IR"/>
        </w:rPr>
        <w:t xml:space="preserve"> : فَقَالَتْ لَهُ </w:t>
      </w:r>
      <w:r>
        <w:rPr>
          <w:rStyle w:val="libFootnotenumChar"/>
          <w:rtl/>
        </w:rPr>
        <w:t>(6)</w:t>
      </w:r>
      <w:r w:rsidRPr="00132E65">
        <w:rPr>
          <w:rtl/>
          <w:lang w:bidi="fa-IR"/>
        </w:rPr>
        <w:t xml:space="preserve"> امْرَأَتُهُ : ويْلَكَ </w:t>
      </w:r>
      <w:r>
        <w:rPr>
          <w:rStyle w:val="libFootnotenumChar"/>
          <w:rtl/>
        </w:rPr>
        <w:t>(7)</w:t>
      </w:r>
      <w:r w:rsidRPr="00132E65">
        <w:rPr>
          <w:rtl/>
          <w:lang w:bidi="fa-IR"/>
        </w:rPr>
        <w:t xml:space="preserve"> ، اتَّقِ اللهَ </w:t>
      </w:r>
      <w:r>
        <w:rPr>
          <w:rStyle w:val="libFootnotenumChar"/>
          <w:rtl/>
        </w:rPr>
        <w:t>(8)</w:t>
      </w:r>
      <w:r w:rsidRPr="00132E65">
        <w:rPr>
          <w:rtl/>
          <w:lang w:bidi="fa-IR"/>
        </w:rPr>
        <w:t xml:space="preserve"> ، لَاتَدْرِي </w:t>
      </w:r>
      <w:r>
        <w:rPr>
          <w:rStyle w:val="libFootnotenumChar"/>
          <w:rtl/>
        </w:rPr>
        <w:t>(9)</w:t>
      </w:r>
      <w:r w:rsidRPr="00132E65">
        <w:rPr>
          <w:rtl/>
          <w:lang w:bidi="fa-IR"/>
        </w:rPr>
        <w:t xml:space="preserve"> مَنْ فِي مَنْزِلِكَ</w:t>
      </w:r>
      <w:r>
        <w:rPr>
          <w:rtl/>
          <w:lang w:bidi="fa-IR"/>
        </w:rPr>
        <w:t>؟</w:t>
      </w:r>
      <w:r w:rsidRPr="00132E65">
        <w:rPr>
          <w:rtl/>
          <w:lang w:bidi="fa-IR"/>
        </w:rPr>
        <w:t xml:space="preserve"> وعَرَّفَتْهُ صَلَاحَهُ </w:t>
      </w:r>
      <w:r>
        <w:rPr>
          <w:rStyle w:val="libFootnotenumChar"/>
          <w:rtl/>
        </w:rPr>
        <w:t>(10)</w:t>
      </w:r>
      <w:r w:rsidRPr="00132E65">
        <w:rPr>
          <w:rtl/>
          <w:lang w:bidi="fa-IR"/>
        </w:rPr>
        <w:t xml:space="preserve"> ، وقَالَتْ : إِنِّي أَخَافُ عَلَيْكَ مِنْهُ ، فَقَالَ </w:t>
      </w:r>
      <w:r>
        <w:rPr>
          <w:rStyle w:val="libFootnotenumChar"/>
          <w:rtl/>
        </w:rPr>
        <w:t>(11)</w:t>
      </w:r>
      <w:r w:rsidRPr="00132E65">
        <w:rPr>
          <w:rtl/>
          <w:lang w:bidi="fa-IR"/>
        </w:rPr>
        <w:t xml:space="preserve"> : لَأَرْمِيَنَّهُ بَيْنَ السِّبَاعِ ، ثُمَّ فَعَلَ ذلِكَ بِهِ ، فَرُئِيَ </w:t>
      </w:r>
      <w:r w:rsidRPr="00071CF9">
        <w:rPr>
          <w:rStyle w:val="libAlaemChar"/>
          <w:rtl/>
        </w:rPr>
        <w:t>عليه‌السلام</w:t>
      </w:r>
      <w:r w:rsidRPr="00132E65">
        <w:rPr>
          <w:rtl/>
          <w:lang w:bidi="fa-IR"/>
        </w:rPr>
        <w:t xml:space="preserve"> قَائِماً </w:t>
      </w:r>
      <w:r>
        <w:rPr>
          <w:rStyle w:val="libFootnotenumChar"/>
          <w:rtl/>
        </w:rPr>
        <w:t>(12)</w:t>
      </w:r>
      <w:r w:rsidRPr="00132E65">
        <w:rPr>
          <w:rtl/>
          <w:lang w:bidi="fa-IR"/>
        </w:rPr>
        <w:t xml:space="preserve"> يُصَلِّي وَهِيَ حَوْلَهُ </w:t>
      </w:r>
      <w:r w:rsidRPr="00F543F1">
        <w:rPr>
          <w:rStyle w:val="libFootnotenumChar"/>
          <w:rtl/>
        </w:rPr>
        <w:t>(13)</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DC71A7">
        <w:rPr>
          <w:rtl/>
        </w:rPr>
        <w:t>1356</w:t>
      </w:r>
      <w:r w:rsidRPr="004325D8">
        <w:rPr>
          <w:rStyle w:val="libBold2Char"/>
          <w:rtl/>
        </w:rPr>
        <w:t xml:space="preserve"> / 27.</w:t>
      </w:r>
      <w:r w:rsidRPr="00132E65">
        <w:rPr>
          <w:rtl/>
          <w:lang w:bidi="fa-IR"/>
        </w:rPr>
        <w:t xml:space="preserve"> مُحَمَّدُ بْنُ يَحْيى ، عَنْ أَحْمَدَ بْنِ إِسْحَاقَ ، قَالَ :</w:t>
      </w:r>
    </w:p>
    <w:p w:rsidR="000C39D1" w:rsidRPr="00132E65" w:rsidRDefault="000C39D1" w:rsidP="000C39D1">
      <w:pPr>
        <w:pStyle w:val="libNormal"/>
        <w:rPr>
          <w:rtl/>
          <w:lang w:bidi="fa-IR"/>
        </w:rPr>
      </w:pPr>
      <w:r w:rsidRPr="00132E65">
        <w:rPr>
          <w:rtl/>
          <w:lang w:bidi="fa-IR"/>
        </w:rPr>
        <w:t xml:space="preserve">دَخَلْتُ عَلى </w:t>
      </w:r>
      <w:r w:rsidRPr="00F543F1">
        <w:rPr>
          <w:rStyle w:val="libFootnotenumChar"/>
          <w:rtl/>
        </w:rPr>
        <w:t>(15)</w:t>
      </w:r>
      <w:r w:rsidRPr="00132E65">
        <w:rPr>
          <w:rtl/>
          <w:lang w:bidi="fa-IR"/>
        </w:rPr>
        <w:t xml:space="preserve"> أَبِي مُحَمَّدٍ </w:t>
      </w:r>
      <w:r w:rsidRPr="00071CF9">
        <w:rPr>
          <w:rStyle w:val="libAlaemChar"/>
          <w:rtl/>
        </w:rPr>
        <w:t>عليه‌السلام</w:t>
      </w:r>
      <w:r w:rsidRPr="00132E65">
        <w:rPr>
          <w:rtl/>
          <w:lang w:bidi="fa-IR"/>
        </w:rPr>
        <w:t xml:space="preserve"> ، فَسَأَلْتُهُ أَنْ يَكْتُبَ لِأَنْظُرَ إِلى خَطِّهِ ، فَأَعْرِفَهُ إِذَا ورَدَ ، فَقَالَ : « نَعَمْ »</w:t>
      </w:r>
      <w:r>
        <w:rPr>
          <w:rtl/>
          <w:lang w:bidi="fa-IR"/>
        </w:rPr>
        <w:t>.</w:t>
      </w:r>
      <w:r w:rsidRPr="00132E65">
        <w:rPr>
          <w:rtl/>
          <w:lang w:bidi="fa-IR"/>
        </w:rPr>
        <w:t xml:space="preserve"> ثُمَّ قَالَ </w:t>
      </w:r>
      <w:r w:rsidRPr="00F543F1">
        <w:rPr>
          <w:rStyle w:val="libFootnotenumChar"/>
          <w:rtl/>
        </w:rPr>
        <w:t>(16)</w:t>
      </w:r>
      <w:r w:rsidRPr="00132E65">
        <w:rPr>
          <w:rtl/>
          <w:lang w:bidi="fa-IR"/>
        </w:rPr>
        <w:t xml:space="preserve"> : « يَا أَحْمَدُ ، إِنَّ الْخَطَّ سَيَخْتَلِفُ عَلَيْكَ مِنْ </w:t>
      </w:r>
      <w:r w:rsidRPr="00F543F1">
        <w:rPr>
          <w:rStyle w:val="libFootnotenumChar"/>
          <w:rtl/>
        </w:rPr>
        <w:t>(17)</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w:t>
      </w:r>
      <w:r w:rsidRPr="009D1ACE">
        <w:rPr>
          <w:rStyle w:val="libFootnoteBoldChar"/>
          <w:rtl/>
        </w:rPr>
        <w:t>الوافي</w:t>
      </w:r>
      <w:r w:rsidRPr="00132E65">
        <w:rPr>
          <w:rtl/>
        </w:rPr>
        <w:t xml:space="preserve"> ، ج 3 ، ص 860 ، ح 1480.</w:t>
      </w:r>
    </w:p>
    <w:p w:rsidR="000C39D1" w:rsidRPr="00132E65" w:rsidRDefault="000C39D1" w:rsidP="000C39D1">
      <w:pPr>
        <w:pStyle w:val="libFootnote0"/>
        <w:rPr>
          <w:rtl/>
          <w:lang w:bidi="fa-IR"/>
        </w:rPr>
      </w:pPr>
      <w:r>
        <w:rPr>
          <w:rtl/>
        </w:rPr>
        <w:t>(2).</w:t>
      </w:r>
      <w:r w:rsidRPr="00132E65">
        <w:rPr>
          <w:rtl/>
        </w:rPr>
        <w:t xml:space="preserve"> في الإرشاد : « عن جماعة من أصحابنا ، قالوا » بدل « عن بعض أصحابنا ، قال »</w:t>
      </w:r>
      <w:r>
        <w:rPr>
          <w:rtl/>
        </w:rPr>
        <w:t>.</w:t>
      </w:r>
    </w:p>
    <w:p w:rsidR="000C39D1" w:rsidRPr="00132E65" w:rsidRDefault="000C39D1" w:rsidP="000C39D1">
      <w:pPr>
        <w:pStyle w:val="libFootnote0"/>
        <w:rPr>
          <w:rtl/>
          <w:lang w:bidi="fa-IR"/>
        </w:rPr>
      </w:pPr>
      <w:r>
        <w:rPr>
          <w:rtl/>
        </w:rPr>
        <w:t>(3).</w:t>
      </w:r>
      <w:r w:rsidRPr="00132E65">
        <w:rPr>
          <w:rtl/>
        </w:rPr>
        <w:t xml:space="preserve"> هو الخادم من خدم الخليفة وكان راعيَ سباع الخليفة وكلابه ، وكأنّه</w:t>
      </w:r>
      <w:r>
        <w:rPr>
          <w:rtl/>
        </w:rPr>
        <w:t xml:space="preserve"> - </w:t>
      </w:r>
      <w:r w:rsidRPr="00132E65">
        <w:rPr>
          <w:rtl/>
        </w:rPr>
        <w:t>لعنه الله</w:t>
      </w:r>
      <w:r>
        <w:rPr>
          <w:rtl/>
        </w:rPr>
        <w:t xml:space="preserve"> - </w:t>
      </w:r>
      <w:r w:rsidRPr="00132E65">
        <w:rPr>
          <w:rtl/>
        </w:rPr>
        <w:t xml:space="preserve">كان عدوّاً له </w:t>
      </w:r>
      <w:r w:rsidRPr="003B49B1">
        <w:rPr>
          <w:rStyle w:val="libFootnoteAlaemChar"/>
          <w:rtl/>
        </w:rPr>
        <w:t>عليه‌السلام</w:t>
      </w:r>
      <w:r w:rsidRPr="00132E65">
        <w:rPr>
          <w:rtl/>
        </w:rPr>
        <w:t xml:space="preserve">. راجع : </w:t>
      </w:r>
      <w:r w:rsidRPr="00DC71A7">
        <w:rPr>
          <w:rtl/>
        </w:rPr>
        <w:t>تاريخ‌ابن خلدون</w:t>
      </w:r>
      <w:r w:rsidRPr="00132E65">
        <w:rPr>
          <w:rtl/>
        </w:rPr>
        <w:t xml:space="preserve"> ، ج 4 ، ص 299 ؛ </w:t>
      </w:r>
      <w:r w:rsidRPr="00DC71A7">
        <w:rPr>
          <w:rtl/>
        </w:rPr>
        <w:t>الغيبة</w:t>
      </w:r>
      <w:r w:rsidRPr="00132E65">
        <w:rPr>
          <w:rtl/>
        </w:rPr>
        <w:t xml:space="preserve"> للطوسي ، ص 28 ؛ </w:t>
      </w:r>
      <w:r w:rsidRPr="009D1ACE">
        <w:rPr>
          <w:rStyle w:val="libFootnoteBoldChar"/>
          <w:rtl/>
        </w:rPr>
        <w:t>الوافي</w:t>
      </w:r>
      <w:r w:rsidRPr="00132E65">
        <w:rPr>
          <w:rtl/>
        </w:rPr>
        <w:t xml:space="preserve"> ، ج 3 ، ص 861.</w:t>
      </w:r>
    </w:p>
    <w:tbl>
      <w:tblPr>
        <w:tblStyle w:val="TableGrid"/>
        <w:bidiVisual/>
        <w:tblW w:w="0" w:type="auto"/>
        <w:tblLook w:val="04A0" w:firstRow="1" w:lastRow="0" w:firstColumn="1" w:lastColumn="0" w:noHBand="0" w:noVBand="1"/>
      </w:tblPr>
      <w:tblGrid>
        <w:gridCol w:w="4261"/>
        <w:gridCol w:w="4262"/>
      </w:tblGrid>
      <w:tr w:rsidR="00B81BC0" w:rsidTr="00B81BC0">
        <w:tc>
          <w:tcPr>
            <w:tcW w:w="4261" w:type="dxa"/>
          </w:tcPr>
          <w:p w:rsidR="00B81BC0" w:rsidRDefault="00B81BC0" w:rsidP="000C39D1">
            <w:pPr>
              <w:pStyle w:val="libFootnote0"/>
              <w:rPr>
                <w:rtl/>
              </w:rPr>
            </w:pPr>
            <w:r>
              <w:rPr>
                <w:rtl/>
              </w:rPr>
              <w:t>(4).</w:t>
            </w:r>
            <w:r w:rsidRPr="00132E65">
              <w:rPr>
                <w:rtl/>
              </w:rPr>
              <w:t xml:space="preserve"> في الإرشاد : « وكان »</w:t>
            </w:r>
            <w:r>
              <w:rPr>
                <w:rtl/>
              </w:rPr>
              <w:t>.</w:t>
            </w:r>
          </w:p>
        </w:tc>
        <w:tc>
          <w:tcPr>
            <w:tcW w:w="4262" w:type="dxa"/>
          </w:tcPr>
          <w:p w:rsidR="00B81BC0" w:rsidRDefault="00B81BC0" w:rsidP="000C39D1">
            <w:pPr>
              <w:pStyle w:val="libFootnote0"/>
              <w:rPr>
                <w:rtl/>
              </w:rPr>
            </w:pPr>
            <w:r>
              <w:rPr>
                <w:rtl/>
              </w:rPr>
              <w:t>(5).</w:t>
            </w:r>
            <w:r w:rsidRPr="00132E65">
              <w:rPr>
                <w:rtl/>
              </w:rPr>
              <w:t xml:space="preserve"> في الإرشاد </w:t>
            </w:r>
            <w:r>
              <w:rPr>
                <w:rtl/>
              </w:rPr>
              <w:t xml:space="preserve">: - </w:t>
            </w:r>
            <w:r w:rsidRPr="00132E65">
              <w:rPr>
                <w:rtl/>
              </w:rPr>
              <w:t>« قال »</w:t>
            </w:r>
            <w:r>
              <w:rPr>
                <w:rtl/>
              </w:rPr>
              <w:t>.</w:t>
            </w:r>
          </w:p>
        </w:tc>
      </w:tr>
      <w:tr w:rsidR="00B81BC0" w:rsidTr="00B81BC0">
        <w:tc>
          <w:tcPr>
            <w:tcW w:w="4261" w:type="dxa"/>
          </w:tcPr>
          <w:p w:rsidR="00B81BC0" w:rsidRDefault="00B81BC0" w:rsidP="000C39D1">
            <w:pPr>
              <w:pStyle w:val="libFootnote0"/>
              <w:rPr>
                <w:rtl/>
              </w:rPr>
            </w:pPr>
            <w:r>
              <w:rPr>
                <w:rtl/>
              </w:rPr>
              <w:t>(6).</w:t>
            </w:r>
            <w:r w:rsidRPr="00132E65">
              <w:rPr>
                <w:rtl/>
              </w:rPr>
              <w:t xml:space="preserve"> في « ب ، ف ، بر » </w:t>
            </w:r>
            <w:r>
              <w:rPr>
                <w:rtl/>
              </w:rPr>
              <w:t xml:space="preserve">: - </w:t>
            </w:r>
            <w:r w:rsidRPr="00132E65">
              <w:rPr>
                <w:rtl/>
              </w:rPr>
              <w:t>« له »</w:t>
            </w:r>
            <w:r>
              <w:rPr>
                <w:rtl/>
              </w:rPr>
              <w:t>.</w:t>
            </w:r>
          </w:p>
        </w:tc>
        <w:tc>
          <w:tcPr>
            <w:tcW w:w="4262" w:type="dxa"/>
          </w:tcPr>
          <w:p w:rsidR="00B81BC0" w:rsidRDefault="00B81BC0" w:rsidP="000C39D1">
            <w:pPr>
              <w:pStyle w:val="libFootnote0"/>
              <w:rPr>
                <w:rtl/>
              </w:rPr>
            </w:pPr>
            <w:r>
              <w:rPr>
                <w:rtl/>
              </w:rPr>
              <w:t>(7).</w:t>
            </w:r>
            <w:r w:rsidRPr="00132E65">
              <w:rPr>
                <w:rtl/>
              </w:rPr>
              <w:t xml:space="preserve"> في « بس » : « ويك »</w:t>
            </w:r>
            <w:r>
              <w:rPr>
                <w:rtl/>
              </w:rPr>
              <w:t>.</w:t>
            </w:r>
            <w:r w:rsidRPr="00132E65">
              <w:rPr>
                <w:rtl/>
              </w:rPr>
              <w:t xml:space="preserve"> وفي الإرشاد </w:t>
            </w:r>
            <w:r>
              <w:rPr>
                <w:rtl/>
              </w:rPr>
              <w:t xml:space="preserve">: - </w:t>
            </w:r>
            <w:r w:rsidRPr="00132E65">
              <w:rPr>
                <w:rtl/>
              </w:rPr>
              <w:t>« ويلك »</w:t>
            </w:r>
            <w:r>
              <w:rPr>
                <w:rtl/>
              </w:rPr>
              <w:t>.</w:t>
            </w:r>
          </w:p>
        </w:tc>
      </w:tr>
      <w:tr w:rsidR="00B81BC0" w:rsidTr="00B81BC0">
        <w:tc>
          <w:tcPr>
            <w:tcW w:w="4261" w:type="dxa"/>
          </w:tcPr>
          <w:p w:rsidR="00B81BC0" w:rsidRDefault="00B81BC0" w:rsidP="000C39D1">
            <w:pPr>
              <w:pStyle w:val="libFootnote0"/>
              <w:rPr>
                <w:rtl/>
              </w:rPr>
            </w:pPr>
            <w:r>
              <w:rPr>
                <w:rtl/>
              </w:rPr>
              <w:t>(8).</w:t>
            </w:r>
            <w:r w:rsidRPr="00132E65">
              <w:rPr>
                <w:rtl/>
              </w:rPr>
              <w:t xml:space="preserve"> في الإرشاد :</w:t>
            </w:r>
            <w:r>
              <w:rPr>
                <w:rtl/>
              </w:rPr>
              <w:t xml:space="preserve"> + </w:t>
            </w:r>
            <w:r w:rsidRPr="00132E65">
              <w:rPr>
                <w:rtl/>
              </w:rPr>
              <w:t>« فإنّك »</w:t>
            </w:r>
            <w:r>
              <w:rPr>
                <w:rtl/>
              </w:rPr>
              <w:t>.</w:t>
            </w:r>
          </w:p>
        </w:tc>
        <w:tc>
          <w:tcPr>
            <w:tcW w:w="4262" w:type="dxa"/>
          </w:tcPr>
          <w:p w:rsidR="00B81BC0" w:rsidRDefault="00B81BC0" w:rsidP="000C39D1">
            <w:pPr>
              <w:pStyle w:val="libFootnote0"/>
              <w:rPr>
                <w:rtl/>
              </w:rPr>
            </w:pPr>
            <w:r>
              <w:rPr>
                <w:rtl/>
              </w:rPr>
              <w:t>(9).</w:t>
            </w:r>
            <w:r w:rsidRPr="00132E65">
              <w:rPr>
                <w:rtl/>
              </w:rPr>
              <w:t xml:space="preserve"> في « ف » </w:t>
            </w:r>
            <w:r>
              <w:rPr>
                <w:rtl/>
              </w:rPr>
              <w:t xml:space="preserve">: - </w:t>
            </w:r>
            <w:r w:rsidRPr="00132E65">
              <w:rPr>
                <w:rtl/>
              </w:rPr>
              <w:t>« لا تدري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الإرشاد : « ذكرت له صلاحه وعبادته » بدل « عرفته صلاحه »</w:t>
      </w:r>
      <w:r>
        <w:rPr>
          <w:rtl/>
        </w:rPr>
        <w:t>.</w:t>
      </w:r>
    </w:p>
    <w:p w:rsidR="000C39D1" w:rsidRPr="00132E65" w:rsidRDefault="000C39D1" w:rsidP="000C39D1">
      <w:pPr>
        <w:pStyle w:val="libFootnote0"/>
        <w:rPr>
          <w:rtl/>
          <w:lang w:bidi="fa-IR"/>
        </w:rPr>
      </w:pPr>
      <w:r>
        <w:rPr>
          <w:rtl/>
        </w:rPr>
        <w:t>(11).</w:t>
      </w:r>
      <w:r w:rsidRPr="00132E65">
        <w:rPr>
          <w:rtl/>
        </w:rPr>
        <w:t xml:space="preserve"> في الإرشاد :</w:t>
      </w:r>
      <w:r>
        <w:rPr>
          <w:rtl/>
        </w:rPr>
        <w:t xml:space="preserve"> + </w:t>
      </w:r>
      <w:r w:rsidRPr="00132E65">
        <w:rPr>
          <w:rtl/>
        </w:rPr>
        <w:t>« والله »</w:t>
      </w:r>
      <w:r>
        <w:rPr>
          <w:rtl/>
        </w:rPr>
        <w:t>.</w:t>
      </w:r>
    </w:p>
    <w:p w:rsidR="000C39D1" w:rsidRPr="00132E65" w:rsidRDefault="000C39D1" w:rsidP="000C39D1">
      <w:pPr>
        <w:pStyle w:val="libFootnote0"/>
        <w:rPr>
          <w:rtl/>
          <w:lang w:bidi="fa-IR"/>
        </w:rPr>
      </w:pPr>
      <w:r>
        <w:rPr>
          <w:rtl/>
        </w:rPr>
        <w:t>(12).</w:t>
      </w:r>
      <w:r w:rsidRPr="00132E65">
        <w:rPr>
          <w:rtl/>
        </w:rPr>
        <w:t xml:space="preserve"> في الإرشاد : « ثمّ استأذن في ذلك ، فأذن له فرمى به إليها ولم يشكوا في أكلها له فنظروا إلى الموضع ليعرفوا الحال فوجدوه </w:t>
      </w:r>
      <w:r w:rsidRPr="004B47CA">
        <w:rPr>
          <w:rStyle w:val="libFootnoteAlaemChar"/>
          <w:rtl/>
        </w:rPr>
        <w:t>عليه‌السلام</w:t>
      </w:r>
      <w:r w:rsidRPr="00132E65">
        <w:rPr>
          <w:rtl/>
        </w:rPr>
        <w:t xml:space="preserve"> قائماً » بدل « ثمّ فعل ذلك</w:t>
      </w:r>
      <w:r>
        <w:rPr>
          <w:rtl/>
        </w:rPr>
        <w:t xml:space="preserve"> - </w:t>
      </w:r>
      <w:r w:rsidRPr="00132E65">
        <w:rPr>
          <w:rtl/>
        </w:rPr>
        <w:t>إلى</w:t>
      </w:r>
      <w:r>
        <w:rPr>
          <w:rtl/>
        </w:rPr>
        <w:t xml:space="preserve"> - </w:t>
      </w:r>
      <w:r w:rsidRPr="00132E65">
        <w:rPr>
          <w:rtl/>
        </w:rPr>
        <w:t>قائماً »</w:t>
      </w:r>
      <w:r>
        <w:rPr>
          <w:rtl/>
        </w:rPr>
        <w:t>.</w:t>
      </w:r>
    </w:p>
    <w:p w:rsidR="000C39D1" w:rsidRPr="00132E65" w:rsidRDefault="000C39D1" w:rsidP="000C39D1">
      <w:pPr>
        <w:pStyle w:val="libFootnote0"/>
        <w:rPr>
          <w:rtl/>
          <w:lang w:bidi="fa-IR"/>
        </w:rPr>
      </w:pPr>
      <w:r>
        <w:rPr>
          <w:rtl/>
        </w:rPr>
        <w:t>(13)</w:t>
      </w:r>
      <w:r w:rsidRPr="00132E65">
        <w:rPr>
          <w:rtl/>
        </w:rPr>
        <w:t xml:space="preserve"> في الإرشاد :</w:t>
      </w:r>
      <w:r>
        <w:rPr>
          <w:rtl/>
        </w:rPr>
        <w:t xml:space="preserve"> + </w:t>
      </w:r>
      <w:r w:rsidRPr="00132E65">
        <w:rPr>
          <w:rtl/>
        </w:rPr>
        <w:t>« فأمر بإخراجه إلى داره »</w:t>
      </w:r>
      <w:r>
        <w:rPr>
          <w:rtl/>
        </w:rPr>
        <w:t>.</w:t>
      </w:r>
    </w:p>
    <w:p w:rsidR="000C39D1" w:rsidRPr="00132E65" w:rsidRDefault="000C39D1" w:rsidP="004B47CA">
      <w:pPr>
        <w:pStyle w:val="libFootnote0"/>
        <w:rPr>
          <w:rtl/>
          <w:lang w:bidi="fa-IR"/>
        </w:rPr>
      </w:pPr>
      <w:r>
        <w:rPr>
          <w:rtl/>
        </w:rPr>
        <w:t>(14)</w:t>
      </w:r>
      <w:r w:rsidRPr="00132E65">
        <w:rPr>
          <w:rtl/>
        </w:rPr>
        <w:t xml:space="preserve"> </w:t>
      </w:r>
      <w:r w:rsidRPr="00DC71A7">
        <w:rPr>
          <w:rtl/>
        </w:rPr>
        <w:t>الإرشاد</w:t>
      </w:r>
      <w:r w:rsidRPr="00132E65">
        <w:rPr>
          <w:rtl/>
        </w:rPr>
        <w:t xml:space="preserve"> ، ج 2 ، ص 334 ، بسنده عن الكليني</w:t>
      </w:r>
      <w:r w:rsidR="004B47CA">
        <w:rPr>
          <w:rtl/>
        </w:rPr>
        <w:t>.</w:t>
      </w:r>
      <w:r w:rsidRPr="009D1ACE">
        <w:rPr>
          <w:rStyle w:val="libFootnoteBoldChar"/>
          <w:rtl/>
        </w:rPr>
        <w:t>الوافي</w:t>
      </w:r>
      <w:r w:rsidRPr="00132E65">
        <w:rPr>
          <w:rtl/>
        </w:rPr>
        <w:t xml:space="preserve"> ، ج 3 ، ص 860 ، ح 1481.</w:t>
      </w:r>
    </w:p>
    <w:tbl>
      <w:tblPr>
        <w:tblStyle w:val="TableGrid"/>
        <w:bidiVisual/>
        <w:tblW w:w="0" w:type="auto"/>
        <w:tblLook w:val="04A0" w:firstRow="1" w:lastRow="0" w:firstColumn="1" w:lastColumn="0" w:noHBand="0" w:noVBand="1"/>
      </w:tblPr>
      <w:tblGrid>
        <w:gridCol w:w="4261"/>
        <w:gridCol w:w="4262"/>
      </w:tblGrid>
      <w:tr w:rsidR="004B47CA" w:rsidTr="004B47CA">
        <w:tc>
          <w:tcPr>
            <w:tcW w:w="4261" w:type="dxa"/>
          </w:tcPr>
          <w:p w:rsidR="004B47CA" w:rsidRDefault="004B47CA" w:rsidP="000C39D1">
            <w:pPr>
              <w:pStyle w:val="libFootnote0"/>
              <w:rPr>
                <w:rtl/>
                <w:lang w:bidi="fa-IR"/>
              </w:rPr>
            </w:pPr>
            <w:r>
              <w:rPr>
                <w:rtl/>
              </w:rPr>
              <w:t>(15)</w:t>
            </w:r>
            <w:r w:rsidRPr="00132E65">
              <w:rPr>
                <w:rtl/>
              </w:rPr>
              <w:t xml:space="preserve"> في « بر » : « إلى »</w:t>
            </w:r>
            <w:r>
              <w:rPr>
                <w:rtl/>
              </w:rPr>
              <w:t>.</w:t>
            </w:r>
          </w:p>
        </w:tc>
        <w:tc>
          <w:tcPr>
            <w:tcW w:w="4262" w:type="dxa"/>
          </w:tcPr>
          <w:p w:rsidR="004B47CA" w:rsidRDefault="004B47CA" w:rsidP="000C39D1">
            <w:pPr>
              <w:pStyle w:val="libFootnote0"/>
              <w:rPr>
                <w:rtl/>
                <w:lang w:bidi="fa-IR"/>
              </w:rPr>
            </w:pPr>
            <w:r>
              <w:rPr>
                <w:rtl/>
              </w:rPr>
              <w:t>(16)</w:t>
            </w:r>
            <w:r w:rsidRPr="00132E65">
              <w:rPr>
                <w:rtl/>
              </w:rPr>
              <w:t xml:space="preserve"> في « ب » و</w:t>
            </w:r>
            <w:r w:rsidRPr="009D1ACE">
              <w:rPr>
                <w:rStyle w:val="libFootnoteBoldChar"/>
                <w:rtl/>
              </w:rPr>
              <w:t>الوافي</w:t>
            </w:r>
            <w:r w:rsidRPr="00132E65">
              <w:rPr>
                <w:rtl/>
              </w:rPr>
              <w:t xml:space="preserve"> :</w:t>
            </w:r>
            <w:r>
              <w:rPr>
                <w:rtl/>
              </w:rPr>
              <w:t xml:space="preserve"> + </w:t>
            </w:r>
            <w:r w:rsidRPr="00132E65">
              <w:rPr>
                <w:rtl/>
              </w:rPr>
              <w:t>« لي »</w:t>
            </w:r>
            <w:r>
              <w:rPr>
                <w:rtl/>
              </w:rPr>
              <w:t>.</w:t>
            </w:r>
          </w:p>
        </w:tc>
      </w:tr>
    </w:tbl>
    <w:p w:rsidR="000C39D1" w:rsidRPr="00132E65" w:rsidRDefault="000C39D1" w:rsidP="000C39D1">
      <w:pPr>
        <w:pStyle w:val="libFootnote0"/>
        <w:rPr>
          <w:rtl/>
          <w:lang w:bidi="fa-IR"/>
        </w:rPr>
      </w:pPr>
      <w:r>
        <w:rPr>
          <w:rtl/>
        </w:rPr>
        <w:t>(17)</w:t>
      </w:r>
      <w:r w:rsidRPr="00132E65">
        <w:rPr>
          <w:rtl/>
        </w:rPr>
        <w:t xml:space="preserve"> في « ب ، بر » وحاشية « بح » و</w:t>
      </w:r>
      <w:r w:rsidRPr="009D1ACE">
        <w:rPr>
          <w:rStyle w:val="libFootnoteBoldChar"/>
          <w:rtl/>
        </w:rPr>
        <w:t>الوافي</w:t>
      </w:r>
      <w:r w:rsidRPr="00132E65">
        <w:rPr>
          <w:rtl/>
        </w:rPr>
        <w:t xml:space="preserve"> ، و</w:t>
      </w:r>
      <w:r w:rsidRPr="009D1ACE">
        <w:rPr>
          <w:rStyle w:val="libFootnoteBoldChar"/>
          <w:rtl/>
        </w:rPr>
        <w:t>مرآة العقول</w:t>
      </w:r>
      <w:r w:rsidRPr="00132E65">
        <w:rPr>
          <w:rtl/>
        </w:rPr>
        <w:t xml:space="preserve"> : « ما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بَيْنِ </w:t>
      </w:r>
      <w:r>
        <w:rPr>
          <w:rStyle w:val="libFootnotenumChar"/>
          <w:rtl/>
        </w:rPr>
        <w:t>(1)</w:t>
      </w:r>
      <w:r w:rsidRPr="00132E65">
        <w:rPr>
          <w:rtl/>
          <w:lang w:bidi="fa-IR"/>
        </w:rPr>
        <w:t xml:space="preserve"> الْقَلَمِ </w:t>
      </w:r>
      <w:r>
        <w:rPr>
          <w:rStyle w:val="libFootnotenumChar"/>
          <w:rtl/>
        </w:rPr>
        <w:t>(2)</w:t>
      </w:r>
      <w:r w:rsidRPr="00132E65">
        <w:rPr>
          <w:rtl/>
          <w:lang w:bidi="fa-IR"/>
        </w:rPr>
        <w:t xml:space="preserve"> الْغَلِيظِ إِلَى الْقَلَمِ الدَّقِيقِ ، فَلَا تَشُكَّنَّ »</w:t>
      </w:r>
      <w:r>
        <w:rPr>
          <w:rtl/>
          <w:lang w:bidi="fa-IR"/>
        </w:rPr>
        <w:t>.</w:t>
      </w:r>
    </w:p>
    <w:p w:rsidR="000C39D1" w:rsidRPr="00132E65" w:rsidRDefault="000C39D1" w:rsidP="000C39D1">
      <w:pPr>
        <w:pStyle w:val="libNormal"/>
        <w:rPr>
          <w:rtl/>
          <w:lang w:bidi="fa-IR"/>
        </w:rPr>
      </w:pPr>
      <w:r w:rsidRPr="00132E65">
        <w:rPr>
          <w:rtl/>
          <w:lang w:bidi="fa-IR"/>
        </w:rPr>
        <w:t>ثُمَّ دَعَا بِالدَّوَاةِ فَكَتَبَ ، و</w:t>
      </w:r>
      <w:r w:rsidR="008B3E6E">
        <w:rPr>
          <w:rFonts w:hint="cs"/>
          <w:rtl/>
          <w:lang w:bidi="fa-IR"/>
        </w:rPr>
        <w:t>َ</w:t>
      </w:r>
      <w:r w:rsidRPr="00132E65">
        <w:rPr>
          <w:rtl/>
          <w:lang w:bidi="fa-IR"/>
        </w:rPr>
        <w:t xml:space="preserve">جَعَلَ يَسْتَمِدُّ </w:t>
      </w:r>
      <w:r>
        <w:rPr>
          <w:rStyle w:val="libFootnotenumChar"/>
          <w:rtl/>
        </w:rPr>
        <w:t>(3)</w:t>
      </w:r>
      <w:r w:rsidRPr="00132E65">
        <w:rPr>
          <w:rtl/>
          <w:lang w:bidi="fa-IR"/>
        </w:rPr>
        <w:t xml:space="preserve"> إِلى مَجْرَى الدَّوَاةِ ، فَقُلْتُ فِي نَفْسِي</w:t>
      </w:r>
      <w:r>
        <w:rPr>
          <w:rtl/>
          <w:lang w:bidi="fa-IR"/>
        </w:rPr>
        <w:t xml:space="preserve"> - </w:t>
      </w:r>
      <w:r w:rsidRPr="00132E65">
        <w:rPr>
          <w:rtl/>
          <w:lang w:bidi="fa-IR"/>
        </w:rPr>
        <w:t>و</w:t>
      </w:r>
      <w:r w:rsidR="008B3E6E">
        <w:rPr>
          <w:rFonts w:hint="cs"/>
          <w:rtl/>
          <w:lang w:bidi="fa-IR"/>
        </w:rPr>
        <w:t>َ</w:t>
      </w:r>
      <w:r w:rsidRPr="00132E65">
        <w:rPr>
          <w:rtl/>
          <w:lang w:bidi="fa-IR"/>
        </w:rPr>
        <w:t>هُوَ يَكْتُبُ</w:t>
      </w:r>
      <w:r>
        <w:rPr>
          <w:rtl/>
          <w:lang w:bidi="fa-IR"/>
        </w:rPr>
        <w:t xml:space="preserve"> - </w:t>
      </w:r>
      <w:r w:rsidRPr="00132E65">
        <w:rPr>
          <w:rtl/>
          <w:lang w:bidi="fa-IR"/>
        </w:rPr>
        <w:t xml:space="preserve">: أَسْتَوْهِبُهُ الْقَلَمَ الَّذِي كَتَبَ </w:t>
      </w:r>
      <w:r>
        <w:rPr>
          <w:rStyle w:val="libFootnotenumChar"/>
          <w:rtl/>
        </w:rPr>
        <w:t>(4)</w:t>
      </w:r>
      <w:r w:rsidRPr="00132E65">
        <w:rPr>
          <w:rtl/>
          <w:lang w:bidi="fa-IR"/>
        </w:rPr>
        <w:t xml:space="preserve"> بِهِ ، فَلَمَّا فَرَغَ مِنَ الْكِتَابَةِ أَقْبَلَ يُحَدِّثُنِي</w:t>
      </w:r>
      <w:r>
        <w:rPr>
          <w:rtl/>
          <w:lang w:bidi="fa-IR"/>
        </w:rPr>
        <w:t xml:space="preserve"> - </w:t>
      </w:r>
      <w:r w:rsidRPr="00132E65">
        <w:rPr>
          <w:rtl/>
          <w:lang w:bidi="fa-IR"/>
        </w:rPr>
        <w:t>و</w:t>
      </w:r>
      <w:r w:rsidR="008B3E6E">
        <w:rPr>
          <w:rFonts w:hint="cs"/>
          <w:rtl/>
          <w:lang w:bidi="fa-IR"/>
        </w:rPr>
        <w:t>َ</w:t>
      </w:r>
      <w:r w:rsidRPr="00132E65">
        <w:rPr>
          <w:rtl/>
          <w:lang w:bidi="fa-IR"/>
        </w:rPr>
        <w:t xml:space="preserve">هُوَ يَمْسَحُ الْقَلَمَ بِمِنْدِيلِ الدَّوَاةِ </w:t>
      </w:r>
      <w:r>
        <w:rPr>
          <w:rStyle w:val="libFootnotenumChar"/>
          <w:rtl/>
        </w:rPr>
        <w:t>(5)</w:t>
      </w:r>
      <w:r w:rsidRPr="00132E65">
        <w:rPr>
          <w:rtl/>
          <w:lang w:bidi="fa-IR"/>
        </w:rPr>
        <w:t xml:space="preserve"> سَاعَةً</w:t>
      </w:r>
      <w:r>
        <w:rPr>
          <w:rtl/>
          <w:lang w:bidi="fa-IR"/>
        </w:rPr>
        <w:t xml:space="preserve"> - </w:t>
      </w:r>
      <w:r w:rsidRPr="00132E65">
        <w:rPr>
          <w:rtl/>
          <w:lang w:bidi="fa-IR"/>
        </w:rPr>
        <w:t>ثُمَّ قَالَ : « هَاكَ يَا أَحْمَدُ » فَنَاوَلَنِيهِ.</w:t>
      </w:r>
    </w:p>
    <w:p w:rsidR="000C39D1" w:rsidRPr="00132E65" w:rsidRDefault="000C39D1" w:rsidP="000C39D1">
      <w:pPr>
        <w:pStyle w:val="libNormal"/>
        <w:rPr>
          <w:rtl/>
          <w:lang w:bidi="fa-IR"/>
        </w:rPr>
      </w:pPr>
      <w:r w:rsidRPr="00132E65">
        <w:rPr>
          <w:rtl/>
          <w:lang w:bidi="fa-IR"/>
        </w:rPr>
        <w:t xml:space="preserve">فَقُلْتُ : جُعِلْتُ فِدَاكَ ، إِنِّي مُغْتَمٌّ لِشَيْ‌ءٍ </w:t>
      </w:r>
      <w:r>
        <w:rPr>
          <w:rStyle w:val="libFootnotenumChar"/>
          <w:rtl/>
        </w:rPr>
        <w:t>(6)</w:t>
      </w:r>
      <w:r w:rsidRPr="00132E65">
        <w:rPr>
          <w:rtl/>
          <w:lang w:bidi="fa-IR"/>
        </w:rPr>
        <w:t xml:space="preserve"> يُصِيبُنِي فِي نَفْسِي و</w:t>
      </w:r>
      <w:r w:rsidR="00524226">
        <w:rPr>
          <w:rFonts w:hint="cs"/>
          <w:rtl/>
          <w:lang w:bidi="fa-IR"/>
        </w:rPr>
        <w:t>َ</w:t>
      </w:r>
      <w:r w:rsidRPr="00132E65">
        <w:rPr>
          <w:rtl/>
          <w:lang w:bidi="fa-IR"/>
        </w:rPr>
        <w:t>قَدْ أَرَدْتُ أَنْ أَسْأَلَ أَبَاكَ ، فَلَمْ يُقْضَ لِي ذلِكَ ، فَقَالَ : « وَمَا هُوَ يَا أَحْمَدُ</w:t>
      </w:r>
      <w:r>
        <w:rPr>
          <w:rtl/>
          <w:lang w:bidi="fa-IR"/>
        </w:rPr>
        <w:t>؟</w:t>
      </w:r>
      <w:r w:rsidRPr="00132E65">
        <w:rPr>
          <w:rtl/>
          <w:lang w:bidi="fa-IR"/>
        </w:rPr>
        <w:t xml:space="preserve"> » فَقُلْتُ : يَا </w:t>
      </w:r>
      <w:r>
        <w:rPr>
          <w:rStyle w:val="libFootnotenumChar"/>
          <w:rtl/>
        </w:rPr>
        <w:t>(7)</w:t>
      </w:r>
      <w:r w:rsidRPr="00132E65">
        <w:rPr>
          <w:rtl/>
          <w:lang w:bidi="fa-IR"/>
        </w:rPr>
        <w:t xml:space="preserve"> سَيِّدِي ، رُوِيَ لَنَا </w:t>
      </w:r>
      <w:r>
        <w:rPr>
          <w:rStyle w:val="libFootnotenumChar"/>
          <w:rtl/>
        </w:rPr>
        <w:t>(8)</w:t>
      </w:r>
      <w:r w:rsidRPr="00132E65">
        <w:rPr>
          <w:rtl/>
          <w:lang w:bidi="fa-IR"/>
        </w:rPr>
        <w:t xml:space="preserve"> عَنْ آبَائِكَ أَنَّ نَوْمَ الْأَنْبِيَاءِ عَلى أَقْفِيَتِهِمْ ، ونَوْمَ الْمُؤْمِنِينَ عَلى أَيْمَانِهِمْ ، ونَوْمَ الْمُنَافِقِينَ عَلى شَمَائِلِهِمْ </w:t>
      </w:r>
      <w:r>
        <w:rPr>
          <w:rStyle w:val="libFootnotenumChar"/>
          <w:rtl/>
        </w:rPr>
        <w:t>(9)</w:t>
      </w:r>
      <w:r w:rsidRPr="00132E65">
        <w:rPr>
          <w:rtl/>
          <w:lang w:bidi="fa-IR"/>
        </w:rPr>
        <w:t xml:space="preserve"> ، ونَوْمَ الشَّيَاطِينِ عَلى وجُوهِهِمْ</w:t>
      </w:r>
      <w:r>
        <w:rPr>
          <w:rtl/>
          <w:lang w:bidi="fa-IR"/>
        </w:rPr>
        <w:t>؟</w:t>
      </w:r>
      <w:r w:rsidRPr="00132E65">
        <w:rPr>
          <w:rtl/>
          <w:lang w:bidi="fa-IR"/>
        </w:rPr>
        <w:t xml:space="preserve"> فَقَالَ </w:t>
      </w:r>
      <w:r w:rsidRPr="00071CF9">
        <w:rPr>
          <w:rStyle w:val="libAlaemChar"/>
          <w:rtl/>
        </w:rPr>
        <w:t>عليه‌السلام</w:t>
      </w:r>
      <w:r w:rsidRPr="00132E65">
        <w:rPr>
          <w:rtl/>
          <w:lang w:bidi="fa-IR"/>
        </w:rPr>
        <w:t xml:space="preserve"> : « كَذلِكَ هُوَ </w:t>
      </w:r>
      <w:r>
        <w:rPr>
          <w:rStyle w:val="libFootnotenumChar"/>
          <w:rtl/>
        </w:rPr>
        <w:t>(10)</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فَقُلْتُ : يَا </w:t>
      </w:r>
      <w:r>
        <w:rPr>
          <w:rStyle w:val="libFootnotenumChar"/>
          <w:rtl/>
        </w:rPr>
        <w:t>(11)</w:t>
      </w:r>
      <w:r w:rsidRPr="00132E65">
        <w:rPr>
          <w:rtl/>
          <w:lang w:bidi="fa-IR"/>
        </w:rPr>
        <w:t xml:space="preserve"> سَيِّدِي ، فَإِنِّي </w:t>
      </w:r>
      <w:r>
        <w:rPr>
          <w:rStyle w:val="libFootnotenumChar"/>
          <w:rtl/>
        </w:rPr>
        <w:t>(12)</w:t>
      </w:r>
      <w:r w:rsidRPr="00132E65">
        <w:rPr>
          <w:rtl/>
          <w:lang w:bidi="fa-IR"/>
        </w:rPr>
        <w:t xml:space="preserve"> أَجْهَدُ </w:t>
      </w:r>
      <w:r w:rsidRPr="00F543F1">
        <w:rPr>
          <w:rStyle w:val="libFootnotenumChar"/>
          <w:rtl/>
        </w:rPr>
        <w:t>(13)</w:t>
      </w:r>
      <w:r w:rsidRPr="00132E65">
        <w:rPr>
          <w:rtl/>
          <w:lang w:bidi="fa-IR"/>
        </w:rPr>
        <w:t xml:space="preserve"> أَنْ أَنَامَ عَلى يَمِينِي ، فَمَا يُمْكِنُنِي </w:t>
      </w:r>
      <w:r w:rsidRPr="00F543F1">
        <w:rPr>
          <w:rStyle w:val="libFootnotenumChar"/>
          <w:rtl/>
        </w:rPr>
        <w:t>(14)</w:t>
      </w:r>
      <w:r w:rsidRPr="00132E65">
        <w:rPr>
          <w:rtl/>
          <w:lang w:bidi="fa-IR"/>
        </w:rPr>
        <w:t xml:space="preserve"> ، و</w:t>
      </w:r>
      <w:r w:rsidR="00524226">
        <w:rPr>
          <w:rFonts w:hint="cs"/>
          <w:rtl/>
          <w:lang w:bidi="fa-IR"/>
        </w:rPr>
        <w:t>َ</w:t>
      </w:r>
      <w:r w:rsidRPr="00132E65">
        <w:rPr>
          <w:rtl/>
          <w:lang w:bidi="fa-IR"/>
        </w:rPr>
        <w:t xml:space="preserve">لَا يَأْخُذُنِي النَّوْمُ عَلَيْهَا </w:t>
      </w:r>
      <w:r w:rsidRPr="00F543F1">
        <w:rPr>
          <w:rStyle w:val="libFootnotenumChar"/>
          <w:rtl/>
        </w:rPr>
        <w:t>(15)</w:t>
      </w:r>
      <w:r w:rsidRPr="00132E65">
        <w:rPr>
          <w:rtl/>
          <w:lang w:bidi="fa-IR"/>
        </w:rPr>
        <w:t xml:space="preserve"> ، فَسَكَتَ سَاعَةً ، ثُمَّ قَالَ : « يَا أَحْمَدُ ، ادْنُ مِنِّي »</w:t>
      </w:r>
      <w:r>
        <w:rPr>
          <w:rtl/>
          <w:lang w:bidi="fa-IR"/>
        </w:rPr>
        <w:t>.</w:t>
      </w:r>
      <w:r w:rsidRPr="00132E65">
        <w:rPr>
          <w:rtl/>
          <w:lang w:bidi="fa-IR"/>
        </w:rPr>
        <w:t xml:space="preserve"> فَدَنَوْتُ مِنْهُ ، فَقَالَ : « أَدْخِلْ يَدَكَ تَحْتَ ثِيَابِكَ » ، فَأَدْخَلْتُهَا ، فَأَخْرَجَ يَدَهُ مِنْ تَحْتِ ثِيَابِهِ ، و</w:t>
      </w:r>
      <w:r w:rsidR="00524226">
        <w:rPr>
          <w:rFonts w:hint="cs"/>
          <w:rtl/>
          <w:lang w:bidi="fa-IR"/>
        </w:rPr>
        <w:t>َ</w:t>
      </w:r>
      <w:r w:rsidRPr="00132E65">
        <w:rPr>
          <w:rtl/>
          <w:lang w:bidi="fa-IR"/>
        </w:rPr>
        <w:t>أَدْخَلَهَا تَحْتَ ثِيَابِي ، فَمَسَحَ بِيَدِهِ الْيُمْنى عَلى جَانِبِيَ الْأَيْسَرِ ، و</w:t>
      </w:r>
      <w:r w:rsidR="00524226">
        <w:rPr>
          <w:rFonts w:hint="cs"/>
          <w:rtl/>
          <w:lang w:bidi="fa-IR"/>
        </w:rPr>
        <w:t>َ</w:t>
      </w:r>
      <w:r w:rsidRPr="00132E65">
        <w:rPr>
          <w:rtl/>
          <w:lang w:bidi="fa-IR"/>
        </w:rPr>
        <w:t>بِيَدِهِ الْيُسْرى عَلى جَانِبِيَ‌</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524226" w:rsidTr="00524226">
        <w:tc>
          <w:tcPr>
            <w:tcW w:w="4261" w:type="dxa"/>
          </w:tcPr>
          <w:p w:rsidR="00524226" w:rsidRDefault="00524226" w:rsidP="000C39D1">
            <w:pPr>
              <w:pStyle w:val="libFootnote0"/>
              <w:rPr>
                <w:rtl/>
              </w:rPr>
            </w:pPr>
            <w:r>
              <w:rPr>
                <w:rtl/>
              </w:rPr>
              <w:t>(1).</w:t>
            </w:r>
            <w:r w:rsidRPr="00132E65">
              <w:rPr>
                <w:rtl/>
              </w:rPr>
              <w:t xml:space="preserve"> في « بح » :</w:t>
            </w:r>
            <w:r>
              <w:rPr>
                <w:rtl/>
              </w:rPr>
              <w:t xml:space="preserve"> + </w:t>
            </w:r>
            <w:r w:rsidRPr="00132E65">
              <w:rPr>
                <w:rtl/>
              </w:rPr>
              <w:t>« القلمين »</w:t>
            </w:r>
            <w:r>
              <w:rPr>
                <w:rtl/>
              </w:rPr>
              <w:t>.</w:t>
            </w:r>
          </w:p>
        </w:tc>
        <w:tc>
          <w:tcPr>
            <w:tcW w:w="4262" w:type="dxa"/>
          </w:tcPr>
          <w:p w:rsidR="00524226" w:rsidRDefault="00524226" w:rsidP="000C39D1">
            <w:pPr>
              <w:pStyle w:val="libFootnote0"/>
              <w:rPr>
                <w:rtl/>
              </w:rPr>
            </w:pPr>
            <w:r>
              <w:rPr>
                <w:rtl/>
              </w:rPr>
              <w:t>(2). في</w:t>
            </w:r>
            <w:r w:rsidR="008C4D1B">
              <w:rPr>
                <w:rtl/>
              </w:rPr>
              <w:t>«ب،ج،ف،بس »وحاشية«ض، بف»:«القلمين</w:t>
            </w:r>
            <w:r w:rsidRPr="00132E65">
              <w:rPr>
                <w:rtl/>
              </w:rPr>
              <w:t>»</w:t>
            </w:r>
            <w:r>
              <w:rPr>
                <w:rtl/>
              </w:rPr>
              <w:t>.</w:t>
            </w:r>
          </w:p>
        </w:tc>
      </w:tr>
    </w:tbl>
    <w:p w:rsidR="000C39D1" w:rsidRPr="00132E65" w:rsidRDefault="000C39D1" w:rsidP="000C39D1">
      <w:pPr>
        <w:pStyle w:val="libFootnote0"/>
        <w:rPr>
          <w:rtl/>
          <w:lang w:bidi="fa-IR"/>
        </w:rPr>
      </w:pPr>
      <w:r>
        <w:rPr>
          <w:rtl/>
        </w:rPr>
        <w:t>(3).</w:t>
      </w:r>
      <w:r w:rsidRPr="00132E65">
        <w:rPr>
          <w:rtl/>
        </w:rPr>
        <w:t xml:space="preserve"> قال المازندراني والمجلسي : « يستمدّ ، أي يطلب المدَدَ أو المِدادَ من قعر الدواة إلى مجراها ، أي فمها لقلّةمدادها ، أو لعدم الحاجة سريعاً إلى العود »</w:t>
      </w:r>
      <w:r>
        <w:rPr>
          <w:rtl/>
        </w:rPr>
        <w:t>.</w:t>
      </w:r>
      <w:r w:rsidRPr="00132E65">
        <w:rPr>
          <w:rtl/>
        </w:rPr>
        <w:t xml:space="preserve"> وقال الفيض : « وجعل يستمدّ ، أي يطلب المداد بالقلم. ضمّن الاستمداد معنى الإنهاء ونحوه فعدّاه بعلى »</w:t>
      </w:r>
      <w:r>
        <w:rPr>
          <w:rtl/>
        </w:rPr>
        <w:t>.</w:t>
      </w:r>
      <w:r w:rsidRPr="00132E65">
        <w:rPr>
          <w:rtl/>
        </w:rPr>
        <w:t xml:space="preserve"> راجع : </w:t>
      </w:r>
      <w:r w:rsidRPr="00DC71A7">
        <w:rPr>
          <w:rtl/>
        </w:rPr>
        <w:t>شرح المازندراني</w:t>
      </w:r>
      <w:r w:rsidRPr="00132E65">
        <w:rPr>
          <w:rtl/>
        </w:rPr>
        <w:t xml:space="preserve"> ، ج 7 ، ص 332 ؛ </w:t>
      </w:r>
      <w:r w:rsidRPr="009D1ACE">
        <w:rPr>
          <w:rStyle w:val="libFootnoteBoldChar"/>
          <w:rtl/>
        </w:rPr>
        <w:t>الوافي</w:t>
      </w:r>
      <w:r w:rsidRPr="00132E65">
        <w:rPr>
          <w:rtl/>
        </w:rPr>
        <w:t xml:space="preserve"> ، ج 3 ، ص 862 ؛ </w:t>
      </w:r>
      <w:r w:rsidRPr="009D1ACE">
        <w:rPr>
          <w:rStyle w:val="libFootnoteBoldChar"/>
          <w:rtl/>
        </w:rPr>
        <w:t>مرآة العقول</w:t>
      </w:r>
      <w:r w:rsidRPr="00132E65">
        <w:rPr>
          <w:rtl/>
        </w:rPr>
        <w:t xml:space="preserve"> ، ج 6 ، ص 168 ؛ </w:t>
      </w:r>
      <w:r w:rsidRPr="009D1ACE">
        <w:rPr>
          <w:rStyle w:val="libFootnoteBoldChar"/>
          <w:rtl/>
        </w:rPr>
        <w:t>لسان العرب</w:t>
      </w:r>
      <w:r w:rsidRPr="00132E65">
        <w:rPr>
          <w:rtl/>
        </w:rPr>
        <w:t xml:space="preserve"> ، ج 3 ، ص 398 ( مدد )</w:t>
      </w:r>
      <w:r>
        <w:rPr>
          <w:rtl/>
        </w:rPr>
        <w:t>.</w:t>
      </w:r>
    </w:p>
    <w:tbl>
      <w:tblPr>
        <w:tblStyle w:val="TableGrid"/>
        <w:bidiVisual/>
        <w:tblW w:w="0" w:type="auto"/>
        <w:tblLook w:val="04A0" w:firstRow="1" w:lastRow="0" w:firstColumn="1" w:lastColumn="0" w:noHBand="0" w:noVBand="1"/>
      </w:tblPr>
      <w:tblGrid>
        <w:gridCol w:w="4261"/>
        <w:gridCol w:w="4262"/>
      </w:tblGrid>
      <w:tr w:rsidR="00AD7D50" w:rsidTr="00AD7D50">
        <w:tc>
          <w:tcPr>
            <w:tcW w:w="4261" w:type="dxa"/>
          </w:tcPr>
          <w:p w:rsidR="00AD7D50" w:rsidRDefault="00AD7D50" w:rsidP="000C39D1">
            <w:pPr>
              <w:pStyle w:val="libFootnote0"/>
              <w:rPr>
                <w:rtl/>
              </w:rPr>
            </w:pPr>
            <w:r>
              <w:rPr>
                <w:rtl/>
              </w:rPr>
              <w:t>(4).</w:t>
            </w:r>
            <w:r w:rsidRPr="00132E65">
              <w:rPr>
                <w:rtl/>
              </w:rPr>
              <w:t xml:space="preserve"> في « بر » و</w:t>
            </w:r>
            <w:r w:rsidRPr="009D1ACE">
              <w:rPr>
                <w:rStyle w:val="libFootnoteBoldChar"/>
                <w:rtl/>
              </w:rPr>
              <w:t>الوافي</w:t>
            </w:r>
            <w:r w:rsidRPr="00132E65">
              <w:rPr>
                <w:rtl/>
              </w:rPr>
              <w:t xml:space="preserve"> : « يكتب »</w:t>
            </w:r>
            <w:r>
              <w:rPr>
                <w:rtl/>
              </w:rPr>
              <w:t>.</w:t>
            </w:r>
          </w:p>
        </w:tc>
        <w:tc>
          <w:tcPr>
            <w:tcW w:w="4262" w:type="dxa"/>
          </w:tcPr>
          <w:p w:rsidR="00AD7D50" w:rsidRDefault="00AD7D50" w:rsidP="000C39D1">
            <w:pPr>
              <w:pStyle w:val="libFootnote0"/>
              <w:rPr>
                <w:rtl/>
              </w:rPr>
            </w:pPr>
            <w:r>
              <w:rPr>
                <w:rtl/>
              </w:rPr>
              <w:t>(5).</w:t>
            </w:r>
            <w:r w:rsidRPr="00132E65">
              <w:rPr>
                <w:rtl/>
              </w:rPr>
              <w:t xml:space="preserve"> في « بر » </w:t>
            </w:r>
            <w:r>
              <w:rPr>
                <w:rtl/>
              </w:rPr>
              <w:t xml:space="preserve">: - </w:t>
            </w:r>
            <w:r w:rsidRPr="00132E65">
              <w:rPr>
                <w:rtl/>
              </w:rPr>
              <w:t>« الدواة »</w:t>
            </w:r>
            <w:r>
              <w:rPr>
                <w:rtl/>
              </w:rPr>
              <w:t>.</w:t>
            </w:r>
          </w:p>
        </w:tc>
      </w:tr>
    </w:tbl>
    <w:p w:rsidR="000C39D1" w:rsidRPr="00132E65" w:rsidRDefault="000C39D1" w:rsidP="000C39D1">
      <w:pPr>
        <w:pStyle w:val="libFootnote0"/>
        <w:rPr>
          <w:rtl/>
          <w:lang w:bidi="fa-IR"/>
        </w:rPr>
      </w:pPr>
      <w:r>
        <w:rPr>
          <w:rtl/>
        </w:rPr>
        <w:t>(6).</w:t>
      </w:r>
      <w:r w:rsidRPr="00132E65">
        <w:rPr>
          <w:rtl/>
        </w:rPr>
        <w:t xml:space="preserve"> في البحار : « إنّي أغتمّ بشي‌ء »</w:t>
      </w:r>
      <w:r>
        <w:rPr>
          <w:rtl/>
        </w:rPr>
        <w:t>.</w:t>
      </w:r>
    </w:p>
    <w:p w:rsidR="000C39D1" w:rsidRPr="00132E65" w:rsidRDefault="000C39D1" w:rsidP="000C39D1">
      <w:pPr>
        <w:pStyle w:val="libFootnote0"/>
        <w:rPr>
          <w:rtl/>
          <w:lang w:bidi="fa-IR"/>
        </w:rPr>
      </w:pPr>
      <w:r>
        <w:rPr>
          <w:rtl/>
        </w:rPr>
        <w:t>(7).</w:t>
      </w:r>
      <w:r w:rsidRPr="00132E65">
        <w:rPr>
          <w:rtl/>
        </w:rPr>
        <w:t xml:space="preserve"> في « ب ، ض ، بح ، بر ، بس ، بف » و</w:t>
      </w:r>
      <w:r w:rsidRPr="009D1ACE">
        <w:rPr>
          <w:rStyle w:val="libFootnoteBoldChar"/>
          <w:rtl/>
        </w:rPr>
        <w:t>الوافي</w:t>
      </w:r>
      <w:r w:rsidRPr="00132E65">
        <w:rPr>
          <w:rtl/>
        </w:rPr>
        <w:t xml:space="preserve"> والبحار </w:t>
      </w:r>
      <w:r>
        <w:rPr>
          <w:rtl/>
        </w:rPr>
        <w:t xml:space="preserve">: - </w:t>
      </w:r>
      <w:r w:rsidRPr="00132E65">
        <w:rPr>
          <w:rtl/>
        </w:rPr>
        <w:t>« يا »</w:t>
      </w:r>
      <w:r>
        <w:rPr>
          <w:rtl/>
        </w:rPr>
        <w:t>.</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لنا »</w:t>
      </w:r>
      <w:r>
        <w:rPr>
          <w:rtl/>
        </w:rPr>
        <w:t>.</w:t>
      </w:r>
    </w:p>
    <w:p w:rsidR="000C39D1" w:rsidRPr="00132E65" w:rsidRDefault="000C39D1" w:rsidP="000C39D1">
      <w:pPr>
        <w:pStyle w:val="libFootnote0"/>
        <w:rPr>
          <w:rtl/>
          <w:lang w:bidi="fa-IR"/>
        </w:rPr>
      </w:pPr>
      <w:r>
        <w:rPr>
          <w:rtl/>
        </w:rPr>
        <w:t>(9).</w:t>
      </w:r>
      <w:r w:rsidRPr="00132E65">
        <w:rPr>
          <w:rtl/>
        </w:rPr>
        <w:t xml:space="preserve"> في « ب » : « شمالهم »</w:t>
      </w:r>
      <w:r>
        <w:rPr>
          <w:rtl/>
        </w:rPr>
        <w:t>.</w:t>
      </w:r>
      <w:r w:rsidRPr="00132E65">
        <w:rPr>
          <w:rtl/>
        </w:rPr>
        <w:t xml:space="preserve"> وفي « بر » : « يسار » بدون الضمير. </w:t>
      </w:r>
      <w:r w:rsidRPr="009D1ACE">
        <w:rPr>
          <w:rStyle w:val="libFootnoteBoldChar"/>
          <w:rtl/>
        </w:rPr>
        <w:t>لسان العرب</w:t>
      </w:r>
      <w:r w:rsidRPr="00132E65">
        <w:rPr>
          <w:rtl/>
        </w:rPr>
        <w:t xml:space="preserve"> ، ج 11 ، ص 364 ( شمل )</w:t>
      </w:r>
      <w:r>
        <w:rPr>
          <w:rtl/>
        </w:rPr>
        <w:t>.</w:t>
      </w:r>
    </w:p>
    <w:tbl>
      <w:tblPr>
        <w:tblStyle w:val="TableGrid"/>
        <w:bidiVisual/>
        <w:tblW w:w="0" w:type="auto"/>
        <w:tblLook w:val="04A0" w:firstRow="1" w:lastRow="0" w:firstColumn="1" w:lastColumn="0" w:noHBand="0" w:noVBand="1"/>
      </w:tblPr>
      <w:tblGrid>
        <w:gridCol w:w="4261"/>
        <w:gridCol w:w="4262"/>
      </w:tblGrid>
      <w:tr w:rsidR="0032020D" w:rsidTr="0032020D">
        <w:tc>
          <w:tcPr>
            <w:tcW w:w="4261" w:type="dxa"/>
          </w:tcPr>
          <w:p w:rsidR="0032020D" w:rsidRDefault="0032020D" w:rsidP="000C39D1">
            <w:pPr>
              <w:pStyle w:val="libFootnote0"/>
              <w:rPr>
                <w:rtl/>
              </w:rPr>
            </w:pPr>
            <w:r>
              <w:rPr>
                <w:rtl/>
              </w:rPr>
              <w:t>(10).</w:t>
            </w:r>
            <w:r w:rsidRPr="00132E65">
              <w:rPr>
                <w:rtl/>
              </w:rPr>
              <w:t xml:space="preserve"> في « ف » : « هو كذلك »</w:t>
            </w:r>
            <w:r>
              <w:rPr>
                <w:rtl/>
              </w:rPr>
              <w:t>.</w:t>
            </w:r>
          </w:p>
        </w:tc>
        <w:tc>
          <w:tcPr>
            <w:tcW w:w="4262" w:type="dxa"/>
          </w:tcPr>
          <w:p w:rsidR="0032020D" w:rsidRDefault="0032020D" w:rsidP="000C39D1">
            <w:pPr>
              <w:pStyle w:val="libFootnote0"/>
              <w:rPr>
                <w:rtl/>
              </w:rPr>
            </w:pPr>
            <w:r>
              <w:rPr>
                <w:rtl/>
              </w:rPr>
              <w:t>(11).</w:t>
            </w:r>
            <w:r w:rsidRPr="00132E65">
              <w:rPr>
                <w:rtl/>
              </w:rPr>
              <w:t xml:space="preserve"> في « بر » والبحار </w:t>
            </w:r>
            <w:r>
              <w:rPr>
                <w:rtl/>
              </w:rPr>
              <w:t xml:space="preserve">: - </w:t>
            </w:r>
            <w:r w:rsidRPr="00132E65">
              <w:rPr>
                <w:rtl/>
              </w:rPr>
              <w:t>« يا »</w:t>
            </w:r>
            <w:r>
              <w:rPr>
                <w:rtl/>
              </w:rPr>
              <w:t>.</w:t>
            </w:r>
          </w:p>
        </w:tc>
      </w:tr>
      <w:tr w:rsidR="0032020D" w:rsidTr="0032020D">
        <w:tc>
          <w:tcPr>
            <w:tcW w:w="4261" w:type="dxa"/>
          </w:tcPr>
          <w:p w:rsidR="0032020D" w:rsidRDefault="0032020D" w:rsidP="000C39D1">
            <w:pPr>
              <w:pStyle w:val="libFootnote0"/>
              <w:rPr>
                <w:rtl/>
              </w:rPr>
            </w:pPr>
            <w:r>
              <w:rPr>
                <w:rtl/>
              </w:rPr>
              <w:t>(12).</w:t>
            </w:r>
            <w:r w:rsidRPr="00132E65">
              <w:rPr>
                <w:rtl/>
              </w:rPr>
              <w:t xml:space="preserve"> في الوسائل : « إنّي »</w:t>
            </w:r>
            <w:r>
              <w:rPr>
                <w:rtl/>
              </w:rPr>
              <w:t>.</w:t>
            </w:r>
          </w:p>
        </w:tc>
        <w:tc>
          <w:tcPr>
            <w:tcW w:w="4262" w:type="dxa"/>
          </w:tcPr>
          <w:p w:rsidR="0032020D" w:rsidRDefault="0032020D" w:rsidP="000C39D1">
            <w:pPr>
              <w:pStyle w:val="libFootnote0"/>
              <w:rPr>
                <w:rtl/>
              </w:rPr>
            </w:pPr>
            <w:r>
              <w:rPr>
                <w:rtl/>
              </w:rPr>
              <w:t>(13)</w:t>
            </w:r>
            <w:r w:rsidRPr="00132E65">
              <w:rPr>
                <w:rtl/>
              </w:rPr>
              <w:t xml:space="preserve"> في </w:t>
            </w:r>
            <w:r w:rsidRPr="009D1ACE">
              <w:rPr>
                <w:rStyle w:val="libFootnoteBoldChar"/>
                <w:rtl/>
              </w:rPr>
              <w:t>الوافي</w:t>
            </w:r>
            <w:r w:rsidRPr="00132E65">
              <w:rPr>
                <w:rtl/>
              </w:rPr>
              <w:t xml:space="preserve"> : « أجتهد »</w:t>
            </w:r>
            <w:r>
              <w:rPr>
                <w:rtl/>
              </w:rPr>
              <w:t>.</w:t>
            </w:r>
          </w:p>
        </w:tc>
      </w:tr>
      <w:tr w:rsidR="0032020D" w:rsidTr="0032020D">
        <w:tc>
          <w:tcPr>
            <w:tcW w:w="4261" w:type="dxa"/>
          </w:tcPr>
          <w:p w:rsidR="0032020D" w:rsidRDefault="0032020D" w:rsidP="000C39D1">
            <w:pPr>
              <w:pStyle w:val="libFootnote0"/>
              <w:rPr>
                <w:rtl/>
              </w:rPr>
            </w:pPr>
            <w:r>
              <w:rPr>
                <w:rtl/>
              </w:rPr>
              <w:t>(14)</w:t>
            </w:r>
            <w:r w:rsidRPr="00132E65">
              <w:rPr>
                <w:rtl/>
              </w:rPr>
              <w:t xml:space="preserve"> في « ف » </w:t>
            </w:r>
            <w:r>
              <w:rPr>
                <w:rtl/>
              </w:rPr>
              <w:t xml:space="preserve">: - </w:t>
            </w:r>
            <w:r w:rsidRPr="00132E65">
              <w:rPr>
                <w:rtl/>
              </w:rPr>
              <w:t>« فما يمكنني »</w:t>
            </w:r>
            <w:r>
              <w:rPr>
                <w:rtl/>
              </w:rPr>
              <w:t>.</w:t>
            </w:r>
          </w:p>
        </w:tc>
        <w:tc>
          <w:tcPr>
            <w:tcW w:w="4262" w:type="dxa"/>
          </w:tcPr>
          <w:p w:rsidR="0032020D" w:rsidRDefault="0032020D" w:rsidP="000C39D1">
            <w:pPr>
              <w:pStyle w:val="libFootnote0"/>
              <w:rPr>
                <w:rtl/>
              </w:rPr>
            </w:pPr>
            <w:r>
              <w:rPr>
                <w:rtl/>
              </w:rPr>
              <w:t>(15)</w:t>
            </w:r>
            <w:r w:rsidRPr="00132E65">
              <w:rPr>
                <w:rtl/>
              </w:rPr>
              <w:t xml:space="preserve"> في « بر » </w:t>
            </w:r>
            <w:r>
              <w:rPr>
                <w:rtl/>
              </w:rPr>
              <w:t xml:space="preserve">: - </w:t>
            </w:r>
            <w:r w:rsidRPr="00132E65">
              <w:rPr>
                <w:rtl/>
              </w:rPr>
              <w:t>« عليها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الْأَيْمَنِ ثَلَاثَ مَرَّاتٍ. قَالَ </w:t>
      </w:r>
      <w:r>
        <w:rPr>
          <w:rStyle w:val="libFootnotenumChar"/>
          <w:rtl/>
        </w:rPr>
        <w:t>(1)</w:t>
      </w:r>
      <w:r w:rsidRPr="00132E65">
        <w:rPr>
          <w:rtl/>
          <w:lang w:bidi="fa-IR"/>
        </w:rPr>
        <w:t xml:space="preserve"> أَحْمَدُ : فَمَا أَقْدِرُ أَنْ أَنَامَ عَلى يَسَارِي مُنْذُ فَعَلَ ذلِكَ بِي </w:t>
      </w:r>
      <w:r w:rsidRPr="00071CF9">
        <w:rPr>
          <w:rStyle w:val="libAlaemChar"/>
          <w:rtl/>
        </w:rPr>
        <w:t>عليه‌السلام</w:t>
      </w:r>
      <w:r w:rsidRPr="00132E65">
        <w:rPr>
          <w:rtl/>
          <w:lang w:bidi="fa-IR"/>
        </w:rPr>
        <w:t xml:space="preserve"> </w:t>
      </w:r>
      <w:r>
        <w:rPr>
          <w:rStyle w:val="libFootnotenumChar"/>
          <w:rtl/>
        </w:rPr>
        <w:t>(2)</w:t>
      </w:r>
      <w:r w:rsidRPr="00132E65">
        <w:rPr>
          <w:rtl/>
          <w:lang w:bidi="fa-IR"/>
        </w:rPr>
        <w:t xml:space="preserve"> ، وَمَا يَأْخُذُنِي نَوْمٌ عَلَيْهَا أَصْلاً. </w:t>
      </w:r>
      <w:r>
        <w:rPr>
          <w:rStyle w:val="libFootnotenumChar"/>
          <w:rtl/>
        </w:rPr>
        <w:t>(3)</w:t>
      </w:r>
      <w:r w:rsidRPr="00132E65">
        <w:rPr>
          <w:rtl/>
          <w:lang w:bidi="fa-IR"/>
        </w:rPr>
        <w:t>‌</w:t>
      </w:r>
    </w:p>
    <w:p w:rsidR="000C39D1" w:rsidRPr="00132E65" w:rsidRDefault="000C39D1" w:rsidP="000C39D1">
      <w:pPr>
        <w:pStyle w:val="Heading2Center"/>
        <w:rPr>
          <w:rtl/>
          <w:lang w:bidi="fa-IR"/>
        </w:rPr>
      </w:pPr>
      <w:bookmarkStart w:id="186" w:name="_Toc459459168"/>
      <w:bookmarkStart w:id="187" w:name="_Toc34663137"/>
      <w:r w:rsidRPr="00132E65">
        <w:rPr>
          <w:rtl/>
          <w:lang w:bidi="fa-IR"/>
        </w:rPr>
        <w:t>125</w:t>
      </w:r>
      <w:r>
        <w:rPr>
          <w:rtl/>
          <w:lang w:bidi="fa-IR"/>
        </w:rPr>
        <w:t xml:space="preserve"> - </w:t>
      </w:r>
      <w:r w:rsidRPr="00132E65">
        <w:rPr>
          <w:rtl/>
          <w:lang w:bidi="fa-IR"/>
        </w:rPr>
        <w:t xml:space="preserve">بَابُ </w:t>
      </w:r>
      <w:r>
        <w:rPr>
          <w:rStyle w:val="libFootnotenumChar"/>
          <w:rtl/>
        </w:rPr>
        <w:t>(4)</w:t>
      </w:r>
      <w:r>
        <w:rPr>
          <w:rtl/>
          <w:lang w:bidi="fa-IR"/>
        </w:rPr>
        <w:t xml:space="preserve"> </w:t>
      </w:r>
      <w:r w:rsidRPr="00132E65">
        <w:rPr>
          <w:rtl/>
          <w:lang w:bidi="fa-IR"/>
        </w:rPr>
        <w:t xml:space="preserve">مَوْلِدِ الصَّاحِبِ </w:t>
      </w:r>
      <w:r>
        <w:rPr>
          <w:rStyle w:val="libFootnotenumChar"/>
          <w:rtl/>
        </w:rPr>
        <w:t>(5)</w:t>
      </w:r>
      <w:r>
        <w:rPr>
          <w:rtl/>
          <w:lang w:bidi="fa-IR"/>
        </w:rPr>
        <w:t xml:space="preserve"> </w:t>
      </w:r>
      <w:r w:rsidRPr="00071CF9">
        <w:rPr>
          <w:rStyle w:val="libAlaemChar"/>
          <w:rtl/>
        </w:rPr>
        <w:t>عليه‌السلام</w:t>
      </w:r>
      <w:r w:rsidRPr="00132E65">
        <w:rPr>
          <w:rtl/>
          <w:lang w:bidi="fa-IR"/>
        </w:rPr>
        <w:t>‌</w:t>
      </w:r>
      <w:bookmarkEnd w:id="186"/>
      <w:bookmarkEnd w:id="187"/>
    </w:p>
    <w:p w:rsidR="000C39D1" w:rsidRPr="00132E65" w:rsidRDefault="000C39D1" w:rsidP="000C39D1">
      <w:pPr>
        <w:pStyle w:val="libNormal0"/>
        <w:tabs>
          <w:tab w:val="left" w:pos="3968"/>
        </w:tabs>
        <w:rPr>
          <w:rtl/>
          <w:lang w:bidi="fa-IR"/>
        </w:rPr>
      </w:pPr>
      <w:r w:rsidRPr="00132E65">
        <w:rPr>
          <w:rtl/>
          <w:lang w:bidi="fa-IR"/>
        </w:rPr>
        <w:t xml:space="preserve">وُلِدَ </w:t>
      </w:r>
      <w:r w:rsidRPr="00071CF9">
        <w:rPr>
          <w:rStyle w:val="libAlaemChar"/>
          <w:rtl/>
        </w:rPr>
        <w:t>عليه‌السلام</w:t>
      </w:r>
      <w:r w:rsidRPr="00132E65">
        <w:rPr>
          <w:rtl/>
          <w:lang w:bidi="fa-IR"/>
        </w:rPr>
        <w:t xml:space="preserve"> لِلنِّصْفِ مِنْ شَعْبَانَ سَنَةَ خَمْسٍ وخَمْسِينَ ومِائَتَيْنِ </w:t>
      </w:r>
      <w:r>
        <w:rPr>
          <w:rStyle w:val="libFootnotenumChar"/>
          <w:rtl/>
        </w:rPr>
        <w:t>(6)</w:t>
      </w:r>
    </w:p>
    <w:p w:rsidR="000C39D1" w:rsidRPr="00132E65" w:rsidRDefault="000C39D1" w:rsidP="000C39D1">
      <w:pPr>
        <w:pStyle w:val="libNormal"/>
        <w:rPr>
          <w:rtl/>
          <w:lang w:bidi="fa-IR"/>
        </w:rPr>
      </w:pPr>
      <w:r w:rsidRPr="00DC71A7">
        <w:rPr>
          <w:rtl/>
        </w:rPr>
        <w:t>1357</w:t>
      </w:r>
      <w:r w:rsidRPr="004325D8">
        <w:rPr>
          <w:rStyle w:val="libBold2Char"/>
          <w:rtl/>
        </w:rPr>
        <w:t xml:space="preserve"> / 1.</w:t>
      </w:r>
      <w:r w:rsidRPr="00132E65">
        <w:rPr>
          <w:rtl/>
          <w:lang w:bidi="fa-IR"/>
        </w:rPr>
        <w:t xml:space="preserve"> الْحُسَيْنُ بْنُ مُحَمَّدٍ الْأَشْعَرِيُّ ، عَنْ مُعَلَّى بْنِ مُحَمَّدٍ ، عَنْ أَحْمَدَ بْنِ مُحَمَّدٍ ، قَالَ :</w:t>
      </w:r>
    </w:p>
    <w:p w:rsidR="000C39D1" w:rsidRPr="00132E65" w:rsidRDefault="000C39D1" w:rsidP="000C39D1">
      <w:pPr>
        <w:pStyle w:val="libNormal"/>
        <w:rPr>
          <w:rtl/>
          <w:lang w:bidi="fa-IR"/>
        </w:rPr>
      </w:pPr>
      <w:r w:rsidRPr="00132E65">
        <w:rPr>
          <w:rtl/>
          <w:lang w:bidi="fa-IR"/>
        </w:rPr>
        <w:t xml:space="preserve">خَرَجَ عَنْ </w:t>
      </w:r>
      <w:r>
        <w:rPr>
          <w:rStyle w:val="libFootnotenumChar"/>
          <w:rtl/>
        </w:rPr>
        <w:t>(7)</w:t>
      </w:r>
      <w:r w:rsidRPr="00132E65">
        <w:rPr>
          <w:rtl/>
          <w:lang w:bidi="fa-IR"/>
        </w:rPr>
        <w:t xml:space="preserve"> أَبِي مُحَمَّدٍ </w:t>
      </w:r>
      <w:r w:rsidRPr="00071CF9">
        <w:rPr>
          <w:rStyle w:val="libAlaemChar"/>
          <w:rtl/>
        </w:rPr>
        <w:t>عليه‌السلام</w:t>
      </w:r>
      <w:r w:rsidRPr="00132E65">
        <w:rPr>
          <w:rtl/>
          <w:lang w:bidi="fa-IR"/>
        </w:rPr>
        <w:t xml:space="preserve"> حِينَ قُتِلَ الزُّبَيْرِيُّ </w:t>
      </w:r>
      <w:r>
        <w:rPr>
          <w:rStyle w:val="libFootnotenumChar"/>
          <w:rtl/>
        </w:rPr>
        <w:t>(8)</w:t>
      </w:r>
      <w:r w:rsidRPr="00132E65">
        <w:rPr>
          <w:rtl/>
          <w:lang w:bidi="fa-IR"/>
        </w:rPr>
        <w:t xml:space="preserve"> : « هذَا جَزَاءُ مَنِ افْتَرى </w:t>
      </w:r>
      <w:r>
        <w:rPr>
          <w:rStyle w:val="libFootnotenumChar"/>
          <w:rtl/>
        </w:rPr>
        <w:t>(9)</w:t>
      </w:r>
      <w:r w:rsidRPr="00132E65">
        <w:rPr>
          <w:rtl/>
          <w:lang w:bidi="fa-IR"/>
        </w:rPr>
        <w:t xml:space="preserve"> عَلَى اللهِ فِي </w:t>
      </w:r>
      <w:r>
        <w:rPr>
          <w:rStyle w:val="libFootnotenumChar"/>
          <w:rtl/>
        </w:rPr>
        <w:t>(10)</w:t>
      </w:r>
      <w:r w:rsidRPr="00132E65">
        <w:rPr>
          <w:rtl/>
          <w:lang w:bidi="fa-IR"/>
        </w:rPr>
        <w:t xml:space="preserve"> أَوْلِيَائِهِ ، زَعَمَ </w:t>
      </w:r>
      <w:r>
        <w:rPr>
          <w:rStyle w:val="libFootnotenumChar"/>
          <w:rtl/>
        </w:rPr>
        <w:t>(11)</w:t>
      </w:r>
      <w:r w:rsidRPr="00132E65">
        <w:rPr>
          <w:rtl/>
          <w:lang w:bidi="fa-IR"/>
        </w:rPr>
        <w:t xml:space="preserve"> أَنَّهُ يَقْتُلُنِي </w:t>
      </w:r>
      <w:r>
        <w:rPr>
          <w:rStyle w:val="libFootnotenumChar"/>
          <w:rtl/>
        </w:rPr>
        <w:t>(12)</w:t>
      </w:r>
      <w:r w:rsidRPr="00132E65">
        <w:rPr>
          <w:rtl/>
          <w:lang w:bidi="fa-IR"/>
        </w:rPr>
        <w:t xml:space="preserve"> و</w:t>
      </w:r>
      <w:r w:rsidR="0023370A">
        <w:rPr>
          <w:rFonts w:hint="cs"/>
          <w:rtl/>
          <w:lang w:bidi="fa-IR"/>
        </w:rPr>
        <w:t>َ</w:t>
      </w:r>
      <w:r w:rsidRPr="00132E65">
        <w:rPr>
          <w:rtl/>
          <w:lang w:bidi="fa-IR"/>
        </w:rPr>
        <w:t xml:space="preserve">لَيْسَ لِي عَقِبٌ </w:t>
      </w:r>
      <w:r w:rsidRPr="00F543F1">
        <w:rPr>
          <w:rStyle w:val="libFootnotenumChar"/>
          <w:rtl/>
        </w:rPr>
        <w:t>(13)</w:t>
      </w:r>
      <w:r w:rsidRPr="00132E65">
        <w:rPr>
          <w:rtl/>
          <w:lang w:bidi="fa-IR"/>
        </w:rPr>
        <w:t xml:space="preserve"> ، فَكَيْفَ رَأى قُدْرَةَ اللهِ </w:t>
      </w:r>
      <w:r w:rsidRPr="00F543F1">
        <w:rPr>
          <w:rStyle w:val="libFootnotenumChar"/>
          <w:rtl/>
        </w:rPr>
        <w:t>(14)</w:t>
      </w:r>
      <w:r>
        <w:rPr>
          <w:rtl/>
          <w:lang w:bidi="fa-IR"/>
        </w:rPr>
        <w:t>؟</w:t>
      </w:r>
      <w:r w:rsidRPr="00132E65">
        <w:rPr>
          <w:rtl/>
          <w:lang w:bidi="fa-IR"/>
        </w:rPr>
        <w:t xml:space="preserve"> » ‌</w:t>
      </w:r>
    </w:p>
    <w:p w:rsidR="000C39D1" w:rsidRPr="00132E65" w:rsidRDefault="000C39D1" w:rsidP="0006034E">
      <w:pPr>
        <w:pStyle w:val="libNormal"/>
        <w:rPr>
          <w:rtl/>
          <w:lang w:bidi="fa-IR"/>
        </w:rPr>
      </w:pPr>
      <w:r w:rsidRPr="00132E65">
        <w:rPr>
          <w:rtl/>
          <w:lang w:bidi="fa-IR"/>
        </w:rPr>
        <w:t>وَ</w:t>
      </w:r>
      <w:r w:rsidR="0023370A">
        <w:rPr>
          <w:rFonts w:hint="cs"/>
          <w:rtl/>
          <w:lang w:bidi="fa-IR"/>
        </w:rPr>
        <w:t xml:space="preserve"> </w:t>
      </w:r>
      <w:r w:rsidRPr="00132E65">
        <w:rPr>
          <w:rtl/>
          <w:lang w:bidi="fa-IR"/>
        </w:rPr>
        <w:t>و</w:t>
      </w:r>
      <w:r w:rsidR="0023370A">
        <w:rPr>
          <w:rFonts w:hint="cs"/>
          <w:rtl/>
          <w:lang w:bidi="fa-IR"/>
        </w:rPr>
        <w:t>ُ</w:t>
      </w:r>
      <w:r w:rsidRPr="00132E65">
        <w:rPr>
          <w:rtl/>
          <w:lang w:bidi="fa-IR"/>
        </w:rPr>
        <w:t xml:space="preserve">لِدَ لَهُ ولَدٌ </w:t>
      </w:r>
      <w:r w:rsidRPr="00F543F1">
        <w:rPr>
          <w:rStyle w:val="libFootnotenumChar"/>
          <w:rtl/>
        </w:rPr>
        <w:t>(15)</w:t>
      </w:r>
      <w:r w:rsidRPr="00132E65">
        <w:rPr>
          <w:rtl/>
          <w:lang w:bidi="fa-IR"/>
        </w:rPr>
        <w:t xml:space="preserve"> سَمَّاهُ « م‌ح‌م‌د » </w:t>
      </w:r>
      <w:r w:rsidRPr="00F543F1">
        <w:rPr>
          <w:rStyle w:val="libFootnotenumChar"/>
          <w:rtl/>
        </w:rPr>
        <w:t>(16)</w:t>
      </w:r>
      <w:r w:rsidRPr="00132E65">
        <w:rPr>
          <w:rtl/>
          <w:lang w:bidi="fa-IR"/>
        </w:rPr>
        <w:t xml:space="preserve"> سَنَةَ سِتٍّ وخَمْسِينَ‌</w:t>
      </w:r>
      <w:r w:rsidR="0006034E">
        <w:rPr>
          <w:rFonts w:hint="cs"/>
          <w:rtl/>
          <w:lang w:bidi="fa-IR"/>
        </w:rPr>
        <w:t>...........................</w:t>
      </w:r>
      <w:r w:rsidR="0023370A">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النسخ التي قوبلت و</w:t>
      </w:r>
      <w:r w:rsidRPr="009D1ACE">
        <w:rPr>
          <w:rStyle w:val="libFootnoteBoldChar"/>
          <w:rtl/>
        </w:rPr>
        <w:t>الوافي</w:t>
      </w:r>
      <w:r w:rsidRPr="00132E65">
        <w:rPr>
          <w:rtl/>
        </w:rPr>
        <w:t>. وفي المطبوع : « فقال »</w:t>
      </w:r>
      <w:r>
        <w:rPr>
          <w:rtl/>
        </w:rPr>
        <w:t>.</w:t>
      </w:r>
    </w:p>
    <w:p w:rsidR="000C39D1" w:rsidRPr="00132E65" w:rsidRDefault="000C39D1" w:rsidP="000C39D1">
      <w:pPr>
        <w:pStyle w:val="libFootnote0"/>
        <w:rPr>
          <w:rtl/>
          <w:lang w:bidi="fa-IR"/>
        </w:rPr>
      </w:pPr>
      <w:r>
        <w:rPr>
          <w:rtl/>
        </w:rPr>
        <w:t>(2).</w:t>
      </w:r>
      <w:r w:rsidRPr="00132E65">
        <w:rPr>
          <w:rtl/>
        </w:rPr>
        <w:t xml:space="preserve"> في « ف » والبحار : « فعل </w:t>
      </w:r>
      <w:r w:rsidRPr="00284A0F">
        <w:rPr>
          <w:rStyle w:val="libFootnoteAlaemChar"/>
          <w:rtl/>
        </w:rPr>
        <w:t>عليه‌السلام</w:t>
      </w:r>
      <w:r w:rsidRPr="00132E65">
        <w:rPr>
          <w:rtl/>
        </w:rPr>
        <w:t xml:space="preserve"> بي ذلك » بدل « فعل ذلك بي </w:t>
      </w:r>
      <w:r w:rsidRPr="00284A0F">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3 ، ص 861 ، ح 1482 ؛ </w:t>
      </w:r>
      <w:r w:rsidRPr="00DC71A7">
        <w:rPr>
          <w:rtl/>
        </w:rPr>
        <w:t>الوسائل</w:t>
      </w:r>
      <w:r w:rsidRPr="00132E65">
        <w:rPr>
          <w:rtl/>
        </w:rPr>
        <w:t xml:space="preserve"> ، ج 6 ، ص 502 ، ح 8548 ؛ </w:t>
      </w:r>
      <w:r w:rsidRPr="00DC71A7">
        <w:rPr>
          <w:rtl/>
        </w:rPr>
        <w:t>البحار</w:t>
      </w:r>
      <w:r w:rsidRPr="00132E65">
        <w:rPr>
          <w:rtl/>
        </w:rPr>
        <w:t xml:space="preserve"> ، ج 50 ، ص 286 ، ح 61.</w:t>
      </w:r>
    </w:p>
    <w:p w:rsidR="000C39D1" w:rsidRPr="00132E65" w:rsidRDefault="000C39D1" w:rsidP="000C39D1">
      <w:pPr>
        <w:pStyle w:val="libFootnote0"/>
        <w:rPr>
          <w:rtl/>
          <w:lang w:bidi="fa-IR"/>
        </w:rPr>
      </w:pPr>
      <w:r>
        <w:rPr>
          <w:rtl/>
        </w:rPr>
        <w:t>(4).</w:t>
      </w:r>
      <w:r w:rsidRPr="00132E65">
        <w:rPr>
          <w:rtl/>
        </w:rPr>
        <w:t xml:space="preserve"> في « ب ، ج ، ض ، ف ، بر ، بس ، بف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(5).</w:t>
      </w:r>
      <w:r w:rsidRPr="00132E65">
        <w:rPr>
          <w:rtl/>
        </w:rPr>
        <w:t xml:space="preserve"> في « ف » : « صاحب الزمان »</w:t>
      </w:r>
      <w:r>
        <w:rPr>
          <w:rtl/>
        </w:rPr>
        <w:t>.</w:t>
      </w:r>
    </w:p>
    <w:p w:rsidR="000C39D1" w:rsidRPr="00132E65" w:rsidRDefault="000C39D1" w:rsidP="008B2F68">
      <w:pPr>
        <w:pStyle w:val="libFootnote0"/>
        <w:rPr>
          <w:rtl/>
          <w:lang w:bidi="fa-IR"/>
        </w:rPr>
      </w:pPr>
      <w:r>
        <w:rPr>
          <w:rtl/>
        </w:rPr>
        <w:t>(6).</w:t>
      </w:r>
      <w:r w:rsidRPr="00132E65">
        <w:rPr>
          <w:rtl/>
        </w:rPr>
        <w:t xml:space="preserve"> </w:t>
      </w:r>
      <w:r w:rsidRPr="00DC71A7">
        <w:rPr>
          <w:rtl/>
        </w:rPr>
        <w:t>كمال الدين</w:t>
      </w:r>
      <w:r w:rsidRPr="00132E65">
        <w:rPr>
          <w:rtl/>
        </w:rPr>
        <w:t xml:space="preserve"> ، ص 430 ، ح 4 ، عن محمّد بن محمّد بن عصام ، عن محمّد بن يعقوب الكليني ، عن عليّ بن محمّد. </w:t>
      </w:r>
      <w:r w:rsidRPr="00DC71A7">
        <w:rPr>
          <w:rtl/>
        </w:rPr>
        <w:t>الإرشاد</w:t>
      </w:r>
      <w:r w:rsidRPr="00132E65">
        <w:rPr>
          <w:rtl/>
        </w:rPr>
        <w:t xml:space="preserve"> ، ج 2 ، ص 339</w:t>
      </w:r>
      <w:r w:rsidR="008B2F68">
        <w:rPr>
          <w:rFonts w:hint="cs"/>
          <w:rtl/>
        </w:rPr>
        <w:t>.</w:t>
      </w:r>
      <w:r w:rsidRPr="009D1ACE">
        <w:rPr>
          <w:rStyle w:val="libFootnoteBoldChar"/>
          <w:rtl/>
        </w:rPr>
        <w:t>الوافي</w:t>
      </w:r>
      <w:r w:rsidRPr="00132E65">
        <w:rPr>
          <w:rtl/>
        </w:rPr>
        <w:t xml:space="preserve"> ، ج 3 ، ص 881 ، ذيل ح 1511 ؛ </w:t>
      </w:r>
      <w:r w:rsidRPr="00DC71A7">
        <w:rPr>
          <w:rtl/>
        </w:rPr>
        <w:t>البحار</w:t>
      </w:r>
      <w:r w:rsidRPr="00132E65">
        <w:rPr>
          <w:rtl/>
        </w:rPr>
        <w:t xml:space="preserve"> ، ج 51 ، ص 2 ، ح 1.</w:t>
      </w:r>
    </w:p>
    <w:tbl>
      <w:tblPr>
        <w:tblStyle w:val="TableGrid"/>
        <w:bidiVisual/>
        <w:tblW w:w="0" w:type="auto"/>
        <w:tblLook w:val="04A0" w:firstRow="1" w:lastRow="0" w:firstColumn="1" w:lastColumn="0" w:noHBand="0" w:noVBand="1"/>
      </w:tblPr>
      <w:tblGrid>
        <w:gridCol w:w="4261"/>
        <w:gridCol w:w="4262"/>
      </w:tblGrid>
      <w:tr w:rsidR="008B2F68" w:rsidTr="008B2F68">
        <w:tc>
          <w:tcPr>
            <w:tcW w:w="4261" w:type="dxa"/>
          </w:tcPr>
          <w:p w:rsidR="008B2F68" w:rsidRDefault="008B2F68" w:rsidP="000C39D1">
            <w:pPr>
              <w:pStyle w:val="libFootnote0"/>
              <w:rPr>
                <w:rtl/>
              </w:rPr>
            </w:pPr>
            <w:r>
              <w:rPr>
                <w:rtl/>
              </w:rPr>
              <w:t>(7).</w:t>
            </w:r>
            <w:r w:rsidRPr="00132E65">
              <w:rPr>
                <w:rtl/>
              </w:rPr>
              <w:t xml:space="preserve"> في « بس » : « على »</w:t>
            </w:r>
            <w:r>
              <w:rPr>
                <w:rtl/>
              </w:rPr>
              <w:t>.</w:t>
            </w:r>
          </w:p>
        </w:tc>
        <w:tc>
          <w:tcPr>
            <w:tcW w:w="4262" w:type="dxa"/>
          </w:tcPr>
          <w:p w:rsidR="008B2F68" w:rsidRDefault="008B2F68" w:rsidP="008B2F68">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 ح 867 والإرشاد :</w:t>
            </w:r>
            <w:r>
              <w:rPr>
                <w:rtl/>
              </w:rPr>
              <w:t xml:space="preserve"> + </w:t>
            </w:r>
            <w:r w:rsidRPr="00132E65">
              <w:rPr>
                <w:rtl/>
              </w:rPr>
              <w:t>« لعنه الله »</w:t>
            </w:r>
            <w:r>
              <w:rPr>
                <w:rtl/>
              </w:rPr>
              <w:t>.</w:t>
            </w:r>
          </w:p>
        </w:tc>
      </w:tr>
    </w:tbl>
    <w:p w:rsidR="000C39D1" w:rsidRPr="00132E65" w:rsidRDefault="000C39D1" w:rsidP="000C39D1">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867 والإرشاد : « اجترأ »</w:t>
      </w:r>
      <w:r>
        <w:rPr>
          <w:rtl/>
        </w:rPr>
        <w:t>.</w:t>
      </w:r>
    </w:p>
    <w:p w:rsidR="000C39D1" w:rsidRPr="00132E65" w:rsidRDefault="000C39D1" w:rsidP="000C39D1">
      <w:pPr>
        <w:pStyle w:val="libFootnote0"/>
        <w:rPr>
          <w:rtl/>
          <w:lang w:bidi="fa-IR"/>
        </w:rPr>
      </w:pPr>
      <w:r>
        <w:rPr>
          <w:rtl/>
        </w:rPr>
        <w:t>(10).</w:t>
      </w:r>
      <w:r w:rsidRPr="00132E65">
        <w:rPr>
          <w:rtl/>
        </w:rPr>
        <w:t xml:space="preserve"> في « بف » : «</w:t>
      </w:r>
      <w:r>
        <w:rPr>
          <w:rtl/>
        </w:rPr>
        <w:t xml:space="preserve"> و ».</w:t>
      </w:r>
      <w:r w:rsidRPr="00132E65">
        <w:rPr>
          <w:rtl/>
        </w:rPr>
        <w:t xml:space="preserve"> وفي الغيبة : « وعلى » ، كلاهما بدل « في »</w:t>
      </w:r>
      <w:r>
        <w:rPr>
          <w:rtl/>
        </w:rPr>
        <w:t>.</w:t>
      </w:r>
    </w:p>
    <w:tbl>
      <w:tblPr>
        <w:tblStyle w:val="TableGrid"/>
        <w:bidiVisual/>
        <w:tblW w:w="0" w:type="auto"/>
        <w:tblLook w:val="04A0" w:firstRow="1" w:lastRow="0" w:firstColumn="1" w:lastColumn="0" w:noHBand="0" w:noVBand="1"/>
      </w:tblPr>
      <w:tblGrid>
        <w:gridCol w:w="4261"/>
        <w:gridCol w:w="4262"/>
      </w:tblGrid>
      <w:tr w:rsidR="008E347C" w:rsidTr="008E347C">
        <w:tc>
          <w:tcPr>
            <w:tcW w:w="4261" w:type="dxa"/>
          </w:tcPr>
          <w:p w:rsidR="008E347C" w:rsidRDefault="008E347C" w:rsidP="000C39D1">
            <w:pPr>
              <w:pStyle w:val="libFootnote0"/>
              <w:rPr>
                <w:rtl/>
              </w:rPr>
            </w:pPr>
            <w:r>
              <w:rPr>
                <w:rtl/>
              </w:rPr>
              <w:t>(11).</w:t>
            </w:r>
            <w:r w:rsidRPr="00132E65">
              <w:rPr>
                <w:rtl/>
              </w:rPr>
              <w:t xml:space="preserve"> في </w:t>
            </w:r>
            <w:r w:rsidRPr="000577A7">
              <w:rPr>
                <w:rStyle w:val="libFootnoteBoldChar"/>
                <w:rtl/>
              </w:rPr>
              <w:t>الكافي</w:t>
            </w:r>
            <w:r w:rsidRPr="00132E65">
              <w:rPr>
                <w:rtl/>
              </w:rPr>
              <w:t xml:space="preserve"> ، ح 867 : « يزعم »</w:t>
            </w:r>
            <w:r>
              <w:rPr>
                <w:rtl/>
              </w:rPr>
              <w:t>.</w:t>
            </w:r>
          </w:p>
        </w:tc>
        <w:tc>
          <w:tcPr>
            <w:tcW w:w="4262" w:type="dxa"/>
          </w:tcPr>
          <w:p w:rsidR="008E347C" w:rsidRDefault="008E347C" w:rsidP="000C39D1">
            <w:pPr>
              <w:pStyle w:val="libFootnote0"/>
              <w:rPr>
                <w:rtl/>
              </w:rPr>
            </w:pPr>
            <w:r>
              <w:rPr>
                <w:rtl/>
              </w:rPr>
              <w:t>(12).</w:t>
            </w:r>
            <w:r w:rsidRPr="00132E65">
              <w:rPr>
                <w:rtl/>
              </w:rPr>
              <w:t xml:space="preserve"> في « بر » : « يقتلي »</w:t>
            </w:r>
            <w:r>
              <w:rPr>
                <w:rtl/>
              </w:rPr>
              <w:t>.</w:t>
            </w:r>
          </w:p>
        </w:tc>
      </w:tr>
    </w:tbl>
    <w:p w:rsidR="000C39D1" w:rsidRPr="00132E65" w:rsidRDefault="000C39D1" w:rsidP="000C39D1">
      <w:pPr>
        <w:pStyle w:val="libFootnote0"/>
        <w:rPr>
          <w:rtl/>
          <w:lang w:bidi="fa-IR"/>
        </w:rPr>
      </w:pPr>
      <w:r>
        <w:rPr>
          <w:rtl/>
        </w:rPr>
        <w:t>(13)</w:t>
      </w:r>
      <w:r w:rsidRPr="00132E65">
        <w:rPr>
          <w:rtl/>
        </w:rPr>
        <w:t xml:space="preserve"> « العَقِبُ » </w:t>
      </w:r>
      <w:r>
        <w:rPr>
          <w:rtl/>
        </w:rPr>
        <w:t>و «</w:t>
      </w:r>
      <w:r w:rsidRPr="00132E65">
        <w:rPr>
          <w:rtl/>
        </w:rPr>
        <w:t xml:space="preserve"> العَقْب » </w:t>
      </w:r>
      <w:r>
        <w:rPr>
          <w:rtl/>
        </w:rPr>
        <w:t>و «</w:t>
      </w:r>
      <w:r w:rsidRPr="00132E65">
        <w:rPr>
          <w:rtl/>
        </w:rPr>
        <w:t xml:space="preserve"> العاقبة » : ولد الرجل ، وولد ولده الباقون بعده. وقول العرب : لا عَقِبَ له ، أي لم يبق له ولد ذكر. </w:t>
      </w:r>
      <w:r w:rsidRPr="009D1ACE">
        <w:rPr>
          <w:rStyle w:val="libFootnoteBoldChar"/>
          <w:rtl/>
        </w:rPr>
        <w:t>لسان العرب</w:t>
      </w:r>
      <w:r w:rsidRPr="00132E65">
        <w:rPr>
          <w:rtl/>
        </w:rPr>
        <w:t xml:space="preserve"> ، ج 1 ، ص 613 ( عقب )</w:t>
      </w:r>
      <w:r>
        <w:rPr>
          <w:rtl/>
        </w:rPr>
        <w:t>.</w:t>
      </w:r>
    </w:p>
    <w:tbl>
      <w:tblPr>
        <w:tblStyle w:val="TableGrid"/>
        <w:bidiVisual/>
        <w:tblW w:w="0" w:type="auto"/>
        <w:tblLook w:val="04A0" w:firstRow="1" w:lastRow="0" w:firstColumn="1" w:lastColumn="0" w:noHBand="0" w:noVBand="1"/>
      </w:tblPr>
      <w:tblGrid>
        <w:gridCol w:w="4261"/>
        <w:gridCol w:w="4262"/>
      </w:tblGrid>
      <w:tr w:rsidR="008E347C" w:rsidTr="008E347C">
        <w:tc>
          <w:tcPr>
            <w:tcW w:w="4261" w:type="dxa"/>
          </w:tcPr>
          <w:p w:rsidR="008E347C" w:rsidRDefault="008E347C" w:rsidP="000C39D1">
            <w:pPr>
              <w:pStyle w:val="libFootnote0"/>
              <w:rPr>
                <w:rtl/>
                <w:lang w:bidi="fa-IR"/>
              </w:rPr>
            </w:pPr>
            <w:r>
              <w:rPr>
                <w:rtl/>
              </w:rPr>
              <w:t>(14)</w:t>
            </w:r>
            <w:r w:rsidRPr="00132E65">
              <w:rPr>
                <w:rtl/>
              </w:rPr>
              <w:t xml:space="preserve"> في </w:t>
            </w:r>
            <w:r w:rsidRPr="000577A7">
              <w:rPr>
                <w:rStyle w:val="libFootnoteBoldChar"/>
                <w:rtl/>
              </w:rPr>
              <w:t>الكافي</w:t>
            </w:r>
            <w:r w:rsidRPr="00132E65">
              <w:rPr>
                <w:rtl/>
              </w:rPr>
              <w:t xml:space="preserve"> ، ح 867 والإرشاد :</w:t>
            </w:r>
            <w:r>
              <w:rPr>
                <w:rtl/>
              </w:rPr>
              <w:t xml:space="preserve"> + </w:t>
            </w:r>
            <w:r w:rsidRPr="00132E65">
              <w:rPr>
                <w:rtl/>
              </w:rPr>
              <w:t>« فيه »</w:t>
            </w:r>
            <w:r>
              <w:rPr>
                <w:rtl/>
              </w:rPr>
              <w:t>.</w:t>
            </w:r>
          </w:p>
        </w:tc>
        <w:tc>
          <w:tcPr>
            <w:tcW w:w="4262" w:type="dxa"/>
          </w:tcPr>
          <w:p w:rsidR="008E347C" w:rsidRDefault="008E347C" w:rsidP="000C39D1">
            <w:pPr>
              <w:pStyle w:val="libFootnote0"/>
              <w:rPr>
                <w:rtl/>
                <w:lang w:bidi="fa-IR"/>
              </w:rPr>
            </w:pPr>
            <w:r>
              <w:rPr>
                <w:rtl/>
              </w:rPr>
              <w:t>(15) في«ب ،بر</w:t>
            </w:r>
            <w:r w:rsidRPr="00132E65">
              <w:rPr>
                <w:rtl/>
              </w:rPr>
              <w:t xml:space="preserve">» </w:t>
            </w:r>
            <w:r>
              <w:rPr>
                <w:rtl/>
              </w:rPr>
              <w:t>:-«ولد</w:t>
            </w:r>
            <w:r w:rsidRPr="00132E65">
              <w:rPr>
                <w:rtl/>
              </w:rPr>
              <w:t>»</w:t>
            </w:r>
            <w:r>
              <w:rPr>
                <w:rtl/>
              </w:rPr>
              <w:t>.</w:t>
            </w:r>
            <w:r w:rsidRPr="00132E65">
              <w:rPr>
                <w:rtl/>
              </w:rPr>
              <w:t xml:space="preserve"> وفي كمال الدين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fa-IR"/>
        </w:rPr>
      </w:pPr>
      <w:r>
        <w:rPr>
          <w:rtl/>
        </w:rPr>
        <w:t>(16)</w:t>
      </w:r>
      <w:r w:rsidRPr="00132E65">
        <w:rPr>
          <w:rtl/>
        </w:rPr>
        <w:t xml:space="preserve"> في « ف » : « محمّد »</w:t>
      </w:r>
      <w:r>
        <w:rPr>
          <w:rtl/>
        </w:rPr>
        <w:t>.</w:t>
      </w:r>
      <w:r w:rsidRPr="00132E65">
        <w:rPr>
          <w:rtl/>
        </w:rPr>
        <w:t xml:space="preserve"> وفي </w:t>
      </w:r>
      <w:r w:rsidRPr="000577A7">
        <w:rPr>
          <w:rStyle w:val="libFootnoteBoldChar"/>
          <w:rtl/>
        </w:rPr>
        <w:t>الكافي</w:t>
      </w:r>
      <w:r w:rsidRPr="00132E65">
        <w:rPr>
          <w:rtl/>
        </w:rPr>
        <w:t xml:space="preserve"> ، ح 867 :</w:t>
      </w:r>
      <w:r>
        <w:rPr>
          <w:rtl/>
        </w:rPr>
        <w:t xml:space="preserve"> + </w:t>
      </w:r>
      <w:r w:rsidRPr="00132E65">
        <w:rPr>
          <w:rtl/>
        </w:rPr>
        <w:t>« في »</w:t>
      </w:r>
      <w:r>
        <w:rPr>
          <w:rtl/>
        </w:rPr>
        <w:t>.</w:t>
      </w:r>
      <w:r w:rsidRPr="00132E65">
        <w:rPr>
          <w:rtl/>
        </w:rPr>
        <w:t xml:space="preserve"> وتقطيع الحروف لعدم جواز التسمية ، كما ورد في أخبار كثيرة.</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856F00">
      <w:pPr>
        <w:pStyle w:val="libNormal0"/>
        <w:tabs>
          <w:tab w:val="left" w:pos="3968"/>
        </w:tabs>
        <w:rPr>
          <w:rtl/>
          <w:lang w:bidi="fa-IR"/>
        </w:rPr>
      </w:pPr>
      <w:r w:rsidRPr="00132E65">
        <w:rPr>
          <w:rtl/>
          <w:lang w:bidi="fa-IR"/>
        </w:rPr>
        <w:t xml:space="preserve">وَمِائَتَيْنِ </w:t>
      </w:r>
      <w:r>
        <w:rPr>
          <w:rStyle w:val="libFootnotenumChar"/>
          <w:rtl/>
        </w:rPr>
        <w:t>(1)</w:t>
      </w:r>
      <w:r w:rsidR="00856F00">
        <w:rPr>
          <w:rFonts w:hint="cs"/>
          <w:rtl/>
          <w:lang w:bidi="fa-IR"/>
        </w:rPr>
        <w:t>.</w:t>
      </w:r>
      <w:r>
        <w:rPr>
          <w:rStyle w:val="libFootnotenumChar"/>
          <w:rtl/>
        </w:rPr>
        <w:t>(2)</w:t>
      </w:r>
      <w:r w:rsidRPr="00132E65">
        <w:rPr>
          <w:rtl/>
          <w:lang w:bidi="fa-IR"/>
        </w:rPr>
        <w:t>‌</w:t>
      </w:r>
    </w:p>
    <w:p w:rsidR="000C39D1" w:rsidRPr="00132E65" w:rsidRDefault="000C39D1" w:rsidP="000C39D1">
      <w:pPr>
        <w:pStyle w:val="libNormal"/>
        <w:rPr>
          <w:rtl/>
          <w:lang w:bidi="fa-IR"/>
        </w:rPr>
      </w:pPr>
      <w:r w:rsidRPr="00DC71A7">
        <w:rPr>
          <w:rtl/>
        </w:rPr>
        <w:t>1358</w:t>
      </w:r>
      <w:r w:rsidRPr="004325D8">
        <w:rPr>
          <w:rStyle w:val="libBold2Char"/>
          <w:rtl/>
        </w:rPr>
        <w:t xml:space="preserve"> / 2.</w:t>
      </w:r>
      <w:r w:rsidRPr="00132E65">
        <w:rPr>
          <w:rtl/>
          <w:lang w:bidi="fa-IR"/>
        </w:rPr>
        <w:t xml:space="preserve"> عَلِيُّ بْنُ مُحَمَّدٍ ، قَالَ : حَدَّثَنِي مُحَمَّدٌ والْحَسَنُ </w:t>
      </w:r>
      <w:r>
        <w:rPr>
          <w:rStyle w:val="libFootnotenumChar"/>
          <w:rtl/>
        </w:rPr>
        <w:t>(3)</w:t>
      </w:r>
      <w:r>
        <w:rPr>
          <w:rtl/>
          <w:lang w:bidi="fa-IR"/>
        </w:rPr>
        <w:t xml:space="preserve"> - </w:t>
      </w:r>
      <w:r w:rsidRPr="00132E65">
        <w:rPr>
          <w:rtl/>
          <w:lang w:bidi="fa-IR"/>
        </w:rPr>
        <w:t>ابْنَا عَلِيِّ بْنِ إِبْرَاهِيمَ</w:t>
      </w:r>
      <w:r>
        <w:rPr>
          <w:rtl/>
          <w:lang w:bidi="fa-IR"/>
        </w:rPr>
        <w:t xml:space="preserve"> - </w:t>
      </w:r>
      <w:r w:rsidRPr="00132E65">
        <w:rPr>
          <w:rtl/>
          <w:lang w:bidi="fa-IR"/>
        </w:rPr>
        <w:t xml:space="preserve">فِي سَنَةِ تِسْعٍ وسَبْعِينَ ومِائَتَيْنِ ، قَالَا : حَدَّثَنَا مُحَمَّدُ بْنُ عَلِيِّ بْنِ عَبْدِ الرَّحْمنِ الْعَبْدِيُّ مِنْ عَبْدِ قَيْسٍ ، عَنْ ضَوْءِ بْنِ عَلِيٍّ الْعِجْلِيِّ ، عَنْ رَجُلٍ مِنْ أَهْلِ فَارِسَ سَمَّاهُ </w:t>
      </w:r>
      <w:r>
        <w:rPr>
          <w:rStyle w:val="libFootnotenumChar"/>
          <w:rtl/>
        </w:rPr>
        <w:t>(4)</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أَتَيْتُ سُرَّ مَنْ رَأى ، و</w:t>
      </w:r>
      <w:r w:rsidR="00856F00">
        <w:rPr>
          <w:rFonts w:hint="cs"/>
          <w:rtl/>
          <w:lang w:bidi="fa-IR"/>
        </w:rPr>
        <w:t>َ</w:t>
      </w:r>
      <w:r w:rsidRPr="00132E65">
        <w:rPr>
          <w:rtl/>
          <w:lang w:bidi="fa-IR"/>
        </w:rPr>
        <w:t xml:space="preserve">لَزِمْتُ </w:t>
      </w:r>
      <w:r>
        <w:rPr>
          <w:rStyle w:val="libFootnotenumChar"/>
          <w:rtl/>
        </w:rPr>
        <w:t>(5)</w:t>
      </w:r>
      <w:r w:rsidRPr="00132E65">
        <w:rPr>
          <w:rtl/>
          <w:lang w:bidi="fa-IR"/>
        </w:rPr>
        <w:t xml:space="preserve"> بَابَ أَبِي مُحَمَّدٍ </w:t>
      </w:r>
      <w:r w:rsidRPr="00071CF9">
        <w:rPr>
          <w:rStyle w:val="libAlaemChar"/>
          <w:rtl/>
        </w:rPr>
        <w:t>عليه‌السلام</w:t>
      </w:r>
      <w:r w:rsidRPr="00132E65">
        <w:rPr>
          <w:rtl/>
          <w:lang w:bidi="fa-IR"/>
        </w:rPr>
        <w:t xml:space="preserve"> ، فَدَعَانِي مِنْ غَيْرِ أَنْ أَسْتَأْذِنَ ، فَلَمَّا دَخَلْتُ وسَلَّمْتُ ، قَالَ لِي : « يَا أَبَا </w:t>
      </w:r>
      <w:r>
        <w:rPr>
          <w:rStyle w:val="libFootnotenumChar"/>
          <w:rtl/>
        </w:rPr>
        <w:t>(6)</w:t>
      </w:r>
      <w:r w:rsidRPr="00132E65">
        <w:rPr>
          <w:rtl/>
          <w:lang w:bidi="fa-IR"/>
        </w:rPr>
        <w:t xml:space="preserve"> فُلَانٍ ، كَيْفَ حَالُكَ</w:t>
      </w:r>
      <w:r>
        <w:rPr>
          <w:rtl/>
          <w:lang w:bidi="fa-IR"/>
        </w:rPr>
        <w:t>؟</w:t>
      </w:r>
      <w:r w:rsidRPr="00132E65">
        <w:rPr>
          <w:rtl/>
          <w:lang w:bidi="fa-IR"/>
        </w:rPr>
        <w:t xml:space="preserve"> » ثُمَّ قَالَ لِي : « اقْعُدْ يَا فُلَانُ »</w:t>
      </w:r>
      <w:r>
        <w:rPr>
          <w:rtl/>
          <w:lang w:bidi="fa-IR"/>
        </w:rPr>
        <w:t>.</w:t>
      </w:r>
      <w:r w:rsidRPr="00132E65">
        <w:rPr>
          <w:rtl/>
          <w:lang w:bidi="fa-IR"/>
        </w:rPr>
        <w:t xml:space="preserve"> ثُمَّ سَأَلَنِي عَنْ جَمَاعَةٍ مِنْ </w:t>
      </w:r>
      <w:r>
        <w:rPr>
          <w:rStyle w:val="libFootnotenumChar"/>
          <w:rtl/>
        </w:rPr>
        <w:t>(7)</w:t>
      </w:r>
      <w:r w:rsidRPr="00132E65">
        <w:rPr>
          <w:rtl/>
          <w:lang w:bidi="fa-IR"/>
        </w:rPr>
        <w:t xml:space="preserve"> رِجَالٍ ونِسَاءٍ مِنْ أَهْلِي ، ثُمَّ قَالَ لِي : « مَا الَّذِي أَقْدَمَكَ </w:t>
      </w:r>
      <w:r>
        <w:rPr>
          <w:rStyle w:val="libFootnotenumChar"/>
          <w:rtl/>
        </w:rPr>
        <w:t>(8)</w:t>
      </w:r>
      <w:r>
        <w:rPr>
          <w:rtl/>
          <w:lang w:bidi="fa-IR"/>
        </w:rPr>
        <w:t>؟</w:t>
      </w:r>
      <w:r w:rsidRPr="00132E65">
        <w:rPr>
          <w:rtl/>
          <w:lang w:bidi="fa-IR"/>
        </w:rPr>
        <w:t xml:space="preserve"> » قُلْتُ : رَغْبَةٌ فِي خِدْمَتِكَ ، قَالَ </w:t>
      </w:r>
      <w:r>
        <w:rPr>
          <w:rStyle w:val="libFootnotenumChar"/>
          <w:rtl/>
        </w:rPr>
        <w:t>(9)</w:t>
      </w:r>
      <w:r w:rsidRPr="00132E65">
        <w:rPr>
          <w:rtl/>
          <w:lang w:bidi="fa-IR"/>
        </w:rPr>
        <w:t xml:space="preserve"> : فَقَالَ : « فَالْزَمِ </w:t>
      </w:r>
      <w:r>
        <w:rPr>
          <w:rStyle w:val="libFootnotenumChar"/>
          <w:rtl/>
        </w:rPr>
        <w:t>(10)</w:t>
      </w:r>
      <w:r w:rsidRPr="00132E65">
        <w:rPr>
          <w:rtl/>
          <w:lang w:bidi="fa-IR"/>
        </w:rPr>
        <w:t xml:space="preserve"> الدَّارَ »</w:t>
      </w:r>
      <w:r>
        <w:rPr>
          <w:rtl/>
          <w:lang w:bidi="fa-IR"/>
        </w:rPr>
        <w:t>.</w:t>
      </w:r>
    </w:p>
    <w:p w:rsidR="000C39D1" w:rsidRPr="00132E65" w:rsidRDefault="000C39D1" w:rsidP="000C39D1">
      <w:pPr>
        <w:pStyle w:val="libNormal"/>
        <w:rPr>
          <w:rtl/>
          <w:lang w:bidi="fa-IR"/>
        </w:rPr>
      </w:pPr>
      <w:r w:rsidRPr="00132E65">
        <w:rPr>
          <w:rtl/>
          <w:lang w:bidi="fa-IR"/>
        </w:rPr>
        <w:t xml:space="preserve">قَالَ : فَكُنْتُ فِي الدَّارِ مَعَ الْخَدَمِ ، ثُمَّ صِرْتُ أَشْتَرِي لَهُمُ الْحَوَائِجَ مِنَ السُّوقِ وكُنْتُ أَدْخُلُ عَلَيْهِ مِنْ غَيْرِ إِذْنٍ إِذَا كَانَ فِي دَارِ </w:t>
      </w:r>
      <w:r>
        <w:rPr>
          <w:rStyle w:val="libFootnotenumChar"/>
          <w:rtl/>
        </w:rPr>
        <w:t>(11)</w:t>
      </w:r>
      <w:r w:rsidRPr="00132E65">
        <w:rPr>
          <w:rtl/>
          <w:lang w:bidi="fa-IR"/>
        </w:rPr>
        <w:t xml:space="preserve"> الرِّجَالِ ، فَدَخَلْتُ إِلَيْهِ </w:t>
      </w:r>
      <w:r>
        <w:rPr>
          <w:rStyle w:val="libFootnotenumChar"/>
          <w:rtl/>
        </w:rPr>
        <w:t>(12)</w:t>
      </w:r>
      <w:r w:rsidRPr="00132E65">
        <w:rPr>
          <w:rtl/>
          <w:lang w:bidi="fa-IR"/>
        </w:rPr>
        <w:t xml:space="preserve"> يَوْماً و</w:t>
      </w:r>
      <w:r w:rsidR="00856F00">
        <w:rPr>
          <w:rFonts w:hint="cs"/>
          <w:rtl/>
          <w:lang w:bidi="fa-IR"/>
        </w:rPr>
        <w:t>َ</w:t>
      </w:r>
      <w:r w:rsidRPr="00132E65">
        <w:rPr>
          <w:rtl/>
          <w:lang w:bidi="fa-IR"/>
        </w:rPr>
        <w:t xml:space="preserve">هُوَ فِي دَارِ الرِّجَالِ ، فَسَمِعْتُ حَرَكَةً فِي الْبَيْتِ ، فَنَادَانِي : « مَكَانَكَ لَاتَبْرَحْ » فَلَمْ أَجْسُرْ </w:t>
      </w:r>
      <w:r w:rsidRPr="00F543F1">
        <w:rPr>
          <w:rStyle w:val="libFootnotenumChar"/>
          <w:rtl/>
        </w:rPr>
        <w:t>(13)</w:t>
      </w:r>
      <w:r w:rsidRPr="00132E65">
        <w:rPr>
          <w:rtl/>
          <w:lang w:bidi="fa-IR"/>
        </w:rPr>
        <w:t xml:space="preserve"> أَخْرُجُ‌</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قال محمّد بن عبد الله : وولد له ولد » بدل « وولد له ولد</w:t>
      </w:r>
      <w:r>
        <w:rPr>
          <w:rtl/>
        </w:rPr>
        <w:t xml:space="preserve"> - </w:t>
      </w:r>
      <w:r w:rsidRPr="00132E65">
        <w:rPr>
          <w:rtl/>
        </w:rPr>
        <w:t>إلى</w:t>
      </w:r>
      <w:r>
        <w:rPr>
          <w:rtl/>
        </w:rPr>
        <w:t xml:space="preserve"> - </w:t>
      </w:r>
      <w:r w:rsidRPr="00132E65">
        <w:rPr>
          <w:rtl/>
        </w:rPr>
        <w:t>مائتين »</w:t>
      </w:r>
      <w:r>
        <w:rPr>
          <w:rtl/>
        </w:rPr>
        <w:t>.</w:t>
      </w:r>
    </w:p>
    <w:p w:rsidR="000C39D1" w:rsidRPr="00132E65" w:rsidRDefault="000C39D1" w:rsidP="00856F00">
      <w:pPr>
        <w:pStyle w:val="libFootnote0"/>
        <w:rPr>
          <w:rtl/>
          <w:lang w:bidi="fa-IR"/>
        </w:rPr>
      </w:pPr>
      <w:r>
        <w:rPr>
          <w:rtl/>
        </w:rPr>
        <w:t>(2).</w:t>
      </w:r>
      <w:r w:rsidRPr="00132E65">
        <w:rPr>
          <w:rtl/>
        </w:rPr>
        <w:t xml:space="preserve"> </w:t>
      </w:r>
      <w:r w:rsidRPr="000577A7">
        <w:rPr>
          <w:rStyle w:val="libFootnoteBoldChar"/>
          <w:rtl/>
        </w:rPr>
        <w:t>الكافي</w:t>
      </w:r>
      <w:r w:rsidRPr="00132E65">
        <w:rPr>
          <w:rtl/>
        </w:rPr>
        <w:t xml:space="preserve"> ، كتاب الحجّة ، باب الإشارة والنصّ إلى صاحب الدار </w:t>
      </w:r>
      <w:r w:rsidRPr="00856F00">
        <w:rPr>
          <w:rStyle w:val="libFootnoteAlaemChar"/>
          <w:rtl/>
        </w:rPr>
        <w:t>عليه‌السلام</w:t>
      </w:r>
      <w:r w:rsidRPr="00132E65">
        <w:rPr>
          <w:rtl/>
        </w:rPr>
        <w:t xml:space="preserve"> ، ح 867. وفي </w:t>
      </w:r>
      <w:r w:rsidRPr="00DC71A7">
        <w:rPr>
          <w:rtl/>
        </w:rPr>
        <w:t>الإرشاد</w:t>
      </w:r>
      <w:r w:rsidRPr="00132E65">
        <w:rPr>
          <w:rtl/>
        </w:rPr>
        <w:t xml:space="preserve"> ، ج 2 ، ص 349 ، بسنده عن الكليني ؛ </w:t>
      </w:r>
      <w:r w:rsidRPr="00DC71A7">
        <w:rPr>
          <w:rtl/>
        </w:rPr>
        <w:t>الغيبة</w:t>
      </w:r>
      <w:r w:rsidRPr="00132E65">
        <w:rPr>
          <w:rtl/>
        </w:rPr>
        <w:t xml:space="preserve"> للطوسي ، ص 231 ، ح 198 عن الكليني. وفي </w:t>
      </w:r>
      <w:r w:rsidRPr="00DC71A7">
        <w:rPr>
          <w:rtl/>
        </w:rPr>
        <w:t>كمال الدين</w:t>
      </w:r>
      <w:r w:rsidRPr="00132E65">
        <w:rPr>
          <w:rtl/>
        </w:rPr>
        <w:t xml:space="preserve"> ، ص 430 ، ح 3 ، بسنده عن الحسين بن محمّد بن عامر ، عن معلّى بن محمّد البصري ، قال : خرج عن أبي عبدالله </w:t>
      </w:r>
      <w:r w:rsidRPr="00856F00">
        <w:rPr>
          <w:rStyle w:val="libFootnoteAlaemChar"/>
          <w:rtl/>
        </w:rPr>
        <w:t>عليه‌السلام</w:t>
      </w:r>
      <w:r>
        <w:rPr>
          <w:rtl/>
        </w:rPr>
        <w:t xml:space="preserve"> ..</w:t>
      </w:r>
      <w:r w:rsidRPr="00132E65">
        <w:rPr>
          <w:rtl/>
        </w:rPr>
        <w:t>.</w:t>
      </w:r>
      <w:r w:rsidR="00856F00">
        <w:rPr>
          <w:rFonts w:hint="cs"/>
          <w:rtl/>
        </w:rPr>
        <w:t>.</w:t>
      </w:r>
      <w:r w:rsidRPr="009D1ACE">
        <w:rPr>
          <w:rStyle w:val="libFootnoteBoldChar"/>
          <w:rtl/>
        </w:rPr>
        <w:t>الوافي</w:t>
      </w:r>
      <w:r w:rsidRPr="00132E65">
        <w:rPr>
          <w:rtl/>
        </w:rPr>
        <w:t xml:space="preserve"> ، ج 2 ، ص 391 ، ح 881.</w:t>
      </w:r>
    </w:p>
    <w:p w:rsidR="000C39D1" w:rsidRPr="00132E65" w:rsidRDefault="000C39D1" w:rsidP="000C39D1">
      <w:pPr>
        <w:pStyle w:val="libFootnote0"/>
        <w:rPr>
          <w:rtl/>
          <w:lang w:bidi="fa-IR"/>
        </w:rPr>
      </w:pPr>
      <w:r>
        <w:rPr>
          <w:rtl/>
        </w:rPr>
        <w:t>(3).</w:t>
      </w:r>
      <w:r w:rsidRPr="00132E65">
        <w:rPr>
          <w:rtl/>
        </w:rPr>
        <w:t xml:space="preserve"> تقدّمت قطعة من الخبر في ح 868 ، وفيه « الحسين » مصغّراً. والخبر كلّه أورده الصدوق في </w:t>
      </w:r>
      <w:r w:rsidRPr="00DC71A7">
        <w:rPr>
          <w:rtl/>
        </w:rPr>
        <w:t>كمال الدين</w:t>
      </w:r>
      <w:r w:rsidRPr="00132E65">
        <w:rPr>
          <w:rtl/>
        </w:rPr>
        <w:t xml:space="preserve"> ، ص 435 ، ح 4 كما في ما نحن فيه ، لكن في </w:t>
      </w:r>
      <w:r w:rsidRPr="00DC71A7">
        <w:rPr>
          <w:rtl/>
        </w:rPr>
        <w:t>البحار</w:t>
      </w:r>
      <w:r w:rsidRPr="00132E65">
        <w:rPr>
          <w:rtl/>
        </w:rPr>
        <w:t xml:space="preserve"> ، ج 52 ، ص 26 ، ح 21</w:t>
      </w:r>
      <w:r>
        <w:rPr>
          <w:rtl/>
        </w:rPr>
        <w:t xml:space="preserve"> - </w:t>
      </w:r>
      <w:r w:rsidRPr="00132E65">
        <w:rPr>
          <w:rtl/>
        </w:rPr>
        <w:t xml:space="preserve">نقلاً من </w:t>
      </w:r>
      <w:r w:rsidRPr="00DC71A7">
        <w:rPr>
          <w:rtl/>
        </w:rPr>
        <w:t>كمال الدين</w:t>
      </w:r>
      <w:r>
        <w:rPr>
          <w:rtl/>
        </w:rPr>
        <w:t xml:space="preserve"> - </w:t>
      </w:r>
      <w:r w:rsidRPr="00132E65">
        <w:rPr>
          <w:rtl/>
        </w:rPr>
        <w:t>: « الحسين »</w:t>
      </w:r>
      <w:r>
        <w:rPr>
          <w:rtl/>
        </w:rPr>
        <w:t>.</w:t>
      </w:r>
      <w:r w:rsidRPr="00132E65">
        <w:rPr>
          <w:rtl/>
        </w:rPr>
        <w:t xml:space="preserve"> ثمّ إنّ الخبر تقدّم في </w:t>
      </w:r>
      <w:r w:rsidRPr="000577A7">
        <w:rPr>
          <w:rStyle w:val="libFootnoteBoldChar"/>
          <w:rtl/>
        </w:rPr>
        <w:t>الكافي</w:t>
      </w:r>
      <w:r w:rsidRPr="00132E65">
        <w:rPr>
          <w:rtl/>
        </w:rPr>
        <w:t xml:space="preserve"> ، ح 882 ، مختصراً ، وفيه أيضاً : « الحسن »</w:t>
      </w:r>
      <w:r>
        <w:rPr>
          <w:rtl/>
        </w:rPr>
        <w:t>.</w:t>
      </w:r>
    </w:p>
    <w:tbl>
      <w:tblPr>
        <w:tblStyle w:val="TableGrid"/>
        <w:bidiVisual/>
        <w:tblW w:w="0" w:type="auto"/>
        <w:tblLook w:val="04A0" w:firstRow="1" w:lastRow="0" w:firstColumn="1" w:lastColumn="0" w:noHBand="0" w:noVBand="1"/>
      </w:tblPr>
      <w:tblGrid>
        <w:gridCol w:w="4261"/>
        <w:gridCol w:w="4262"/>
      </w:tblGrid>
      <w:tr w:rsidR="00856F00" w:rsidTr="00856F00">
        <w:tc>
          <w:tcPr>
            <w:tcW w:w="4261" w:type="dxa"/>
          </w:tcPr>
          <w:p w:rsidR="00856F00" w:rsidRDefault="00856F00" w:rsidP="000C39D1">
            <w:pPr>
              <w:pStyle w:val="libFootnote0"/>
              <w:rPr>
                <w:rtl/>
              </w:rPr>
            </w:pPr>
            <w:r>
              <w:rPr>
                <w:rtl/>
              </w:rPr>
              <w:t>(4).</w:t>
            </w:r>
            <w:r w:rsidRPr="00132E65">
              <w:rPr>
                <w:rtl/>
              </w:rPr>
              <w:t xml:space="preserve"> في « ج ، ف » </w:t>
            </w:r>
            <w:r>
              <w:rPr>
                <w:rtl/>
              </w:rPr>
              <w:t xml:space="preserve">: - </w:t>
            </w:r>
            <w:r w:rsidRPr="00132E65">
              <w:rPr>
                <w:rtl/>
              </w:rPr>
              <w:t>« سمّاه »</w:t>
            </w:r>
            <w:r>
              <w:rPr>
                <w:rtl/>
              </w:rPr>
              <w:t>.</w:t>
            </w:r>
          </w:p>
        </w:tc>
        <w:tc>
          <w:tcPr>
            <w:tcW w:w="4262" w:type="dxa"/>
          </w:tcPr>
          <w:p w:rsidR="00856F00" w:rsidRDefault="00B27A91" w:rsidP="000C39D1">
            <w:pPr>
              <w:pStyle w:val="libFootnote0"/>
              <w:rPr>
                <w:rtl/>
              </w:rPr>
            </w:pPr>
            <w:r>
              <w:rPr>
                <w:rtl/>
              </w:rPr>
              <w:t>(5).</w:t>
            </w:r>
            <w:r w:rsidRPr="00132E65">
              <w:rPr>
                <w:rtl/>
              </w:rPr>
              <w:t xml:space="preserve"> في كمال الدين : « فلزمت »</w:t>
            </w:r>
            <w:r>
              <w:rPr>
                <w:rtl/>
              </w:rPr>
              <w:t>.</w:t>
            </w:r>
          </w:p>
        </w:tc>
      </w:tr>
      <w:tr w:rsidR="00856F00" w:rsidTr="00856F00">
        <w:tc>
          <w:tcPr>
            <w:tcW w:w="4261" w:type="dxa"/>
          </w:tcPr>
          <w:p w:rsidR="00856F00" w:rsidRDefault="00B27A91" w:rsidP="000C39D1">
            <w:pPr>
              <w:pStyle w:val="libFootnote0"/>
              <w:rPr>
                <w:rtl/>
              </w:rPr>
            </w:pPr>
            <w:r>
              <w:rPr>
                <w:rtl/>
              </w:rPr>
              <w:t>(6).</w:t>
            </w:r>
            <w:r w:rsidRPr="00132E65">
              <w:rPr>
                <w:rtl/>
              </w:rPr>
              <w:t xml:space="preserve"> في « ف » </w:t>
            </w:r>
            <w:r>
              <w:rPr>
                <w:rtl/>
              </w:rPr>
              <w:t xml:space="preserve">: - </w:t>
            </w:r>
            <w:r w:rsidRPr="00132E65">
              <w:rPr>
                <w:rtl/>
              </w:rPr>
              <w:t>« أبا »</w:t>
            </w:r>
            <w:r>
              <w:rPr>
                <w:rtl/>
              </w:rPr>
              <w:t>.</w:t>
            </w:r>
          </w:p>
        </w:tc>
        <w:tc>
          <w:tcPr>
            <w:tcW w:w="4262" w:type="dxa"/>
          </w:tcPr>
          <w:p w:rsidR="00856F00" w:rsidRDefault="00B27A91" w:rsidP="000C39D1">
            <w:pPr>
              <w:pStyle w:val="libFootnote0"/>
              <w:rPr>
                <w:rtl/>
              </w:rPr>
            </w:pPr>
            <w:r>
              <w:rPr>
                <w:rtl/>
              </w:rPr>
              <w:t>(7).</w:t>
            </w:r>
            <w:r w:rsidRPr="00132E65">
              <w:rPr>
                <w:rtl/>
              </w:rPr>
              <w:t xml:space="preserve"> في كمال الدين </w:t>
            </w:r>
            <w:r>
              <w:rPr>
                <w:rtl/>
              </w:rPr>
              <w:t xml:space="preserve">: - </w:t>
            </w:r>
            <w:r w:rsidRPr="00132E65">
              <w:rPr>
                <w:rtl/>
              </w:rPr>
              <w:t>« جماعة من »</w:t>
            </w:r>
            <w:r>
              <w:rPr>
                <w:rtl/>
              </w:rPr>
              <w:t>.</w:t>
            </w:r>
          </w:p>
        </w:tc>
      </w:tr>
      <w:tr w:rsidR="00856F00" w:rsidTr="00856F00">
        <w:tc>
          <w:tcPr>
            <w:tcW w:w="4261" w:type="dxa"/>
          </w:tcPr>
          <w:p w:rsidR="00856F00" w:rsidRDefault="00B27A91" w:rsidP="000C39D1">
            <w:pPr>
              <w:pStyle w:val="libFootnote0"/>
              <w:rPr>
                <w:rtl/>
              </w:rPr>
            </w:pPr>
            <w:r>
              <w:rPr>
                <w:rtl/>
              </w:rPr>
              <w:t>(8).</w:t>
            </w:r>
            <w:r w:rsidRPr="00132E65">
              <w:rPr>
                <w:rtl/>
              </w:rPr>
              <w:t xml:space="preserve"> في كمال الدين :</w:t>
            </w:r>
            <w:r>
              <w:rPr>
                <w:rtl/>
              </w:rPr>
              <w:t xml:space="preserve"> + </w:t>
            </w:r>
            <w:r w:rsidRPr="00132E65">
              <w:rPr>
                <w:rtl/>
              </w:rPr>
              <w:t>« عليّ »</w:t>
            </w:r>
            <w:r>
              <w:rPr>
                <w:rtl/>
              </w:rPr>
              <w:t>.</w:t>
            </w:r>
          </w:p>
        </w:tc>
        <w:tc>
          <w:tcPr>
            <w:tcW w:w="4262" w:type="dxa"/>
          </w:tcPr>
          <w:p w:rsidR="00856F00" w:rsidRDefault="00B27A91" w:rsidP="000C39D1">
            <w:pPr>
              <w:pStyle w:val="libFootnote0"/>
              <w:rPr>
                <w:rtl/>
              </w:rPr>
            </w:pPr>
            <w:r>
              <w:rPr>
                <w:rtl/>
              </w:rPr>
              <w:t>(9).</w:t>
            </w:r>
            <w:r w:rsidRPr="00132E65">
              <w:rPr>
                <w:rtl/>
              </w:rPr>
              <w:t xml:space="preserve"> في كمال الدين :</w:t>
            </w:r>
            <w:r>
              <w:rPr>
                <w:rtl/>
              </w:rPr>
              <w:t xml:space="preserve"> + </w:t>
            </w:r>
            <w:r w:rsidRPr="00132E65">
              <w:rPr>
                <w:rtl/>
              </w:rPr>
              <w:t>« لي »</w:t>
            </w:r>
            <w:r>
              <w:rPr>
                <w:rtl/>
              </w:rPr>
              <w:t>.</w:t>
            </w:r>
          </w:p>
        </w:tc>
      </w:tr>
      <w:tr w:rsidR="00856F00" w:rsidTr="00856F00">
        <w:tc>
          <w:tcPr>
            <w:tcW w:w="4261" w:type="dxa"/>
          </w:tcPr>
          <w:p w:rsidR="00856F00" w:rsidRDefault="00B27A91" w:rsidP="000C39D1">
            <w:pPr>
              <w:pStyle w:val="libFootnote0"/>
              <w:rPr>
                <w:rtl/>
              </w:rPr>
            </w:pPr>
            <w:r>
              <w:rPr>
                <w:rtl/>
              </w:rPr>
              <w:t>(10).</w:t>
            </w:r>
            <w:r w:rsidRPr="00132E65">
              <w:rPr>
                <w:rtl/>
              </w:rPr>
              <w:t xml:space="preserve"> في « ب » : « والزم »</w:t>
            </w:r>
            <w:r>
              <w:rPr>
                <w:rtl/>
              </w:rPr>
              <w:t>.</w:t>
            </w:r>
            <w:r w:rsidRPr="00132E65">
              <w:rPr>
                <w:rtl/>
              </w:rPr>
              <w:t xml:space="preserve"> وفي كمال الدين : « الزم »</w:t>
            </w:r>
            <w:r>
              <w:rPr>
                <w:rtl/>
              </w:rPr>
              <w:t>.</w:t>
            </w:r>
          </w:p>
        </w:tc>
        <w:tc>
          <w:tcPr>
            <w:tcW w:w="4262" w:type="dxa"/>
          </w:tcPr>
          <w:p w:rsidR="00856F00" w:rsidRDefault="00B27A91" w:rsidP="000C39D1">
            <w:pPr>
              <w:pStyle w:val="libFootnote0"/>
              <w:rPr>
                <w:rtl/>
              </w:rPr>
            </w:pPr>
            <w:r>
              <w:rPr>
                <w:rtl/>
              </w:rPr>
              <w:t>(11).</w:t>
            </w:r>
            <w:r w:rsidRPr="00132E65">
              <w:rPr>
                <w:rtl/>
              </w:rPr>
              <w:t xml:space="preserve"> في « بس ، بف » </w:t>
            </w:r>
            <w:r>
              <w:rPr>
                <w:rtl/>
              </w:rPr>
              <w:t xml:space="preserve">: - </w:t>
            </w:r>
            <w:r w:rsidRPr="00132E65">
              <w:rPr>
                <w:rtl/>
              </w:rPr>
              <w:t>« دار »</w:t>
            </w:r>
            <w:r>
              <w:rPr>
                <w:rtl/>
              </w:rPr>
              <w:t>.</w:t>
            </w:r>
          </w:p>
        </w:tc>
      </w:tr>
    </w:tbl>
    <w:p w:rsidR="000C39D1" w:rsidRPr="00132E65" w:rsidRDefault="000C39D1" w:rsidP="000C39D1">
      <w:pPr>
        <w:pStyle w:val="libFootnote0"/>
        <w:rPr>
          <w:rtl/>
          <w:lang w:bidi="fa-IR"/>
        </w:rPr>
      </w:pPr>
      <w:r>
        <w:rPr>
          <w:rtl/>
        </w:rPr>
        <w:t>(12).</w:t>
      </w:r>
      <w:r w:rsidRPr="00132E65">
        <w:rPr>
          <w:rtl/>
        </w:rPr>
        <w:t xml:space="preserve"> هكذا في « ب ، ج ، ض ، ف ، بح ، بر ، بس ، بف »</w:t>
      </w:r>
      <w:r>
        <w:rPr>
          <w:rtl/>
        </w:rPr>
        <w:t>.</w:t>
      </w:r>
      <w:r w:rsidRPr="00132E65">
        <w:rPr>
          <w:rtl/>
        </w:rPr>
        <w:t xml:space="preserve"> وفي المطبوع : « عليه »</w:t>
      </w:r>
      <w:r>
        <w:rPr>
          <w:rtl/>
        </w:rPr>
        <w:t>.</w:t>
      </w:r>
      <w:r w:rsidRPr="00132E65">
        <w:rPr>
          <w:rtl/>
        </w:rPr>
        <w:t xml:space="preserve"> وهو الأوفق باللغة.</w:t>
      </w:r>
    </w:p>
    <w:p w:rsidR="000C39D1" w:rsidRPr="00132E65" w:rsidRDefault="000C39D1" w:rsidP="000C39D1">
      <w:pPr>
        <w:pStyle w:val="libFootnote0"/>
        <w:rPr>
          <w:rtl/>
          <w:lang w:bidi="fa-IR"/>
        </w:rPr>
      </w:pPr>
      <w:r>
        <w:rPr>
          <w:rtl/>
        </w:rPr>
        <w:t>(13)</w:t>
      </w:r>
      <w:r w:rsidRPr="00132E65">
        <w:rPr>
          <w:rtl/>
        </w:rPr>
        <w:t xml:space="preserve"> هكذا في النسخ التي قوبلت وكمال الدين. وفي المطبوع و</w:t>
      </w:r>
      <w:r w:rsidRPr="000577A7">
        <w:rPr>
          <w:rStyle w:val="libFootnoteBoldChar"/>
          <w:rtl/>
        </w:rPr>
        <w:t>الكافي</w:t>
      </w:r>
      <w:r w:rsidRPr="00132E65">
        <w:rPr>
          <w:rtl/>
        </w:rPr>
        <w:t xml:space="preserve"> ، ح 868 :</w:t>
      </w:r>
      <w:r>
        <w:rPr>
          <w:rtl/>
        </w:rPr>
        <w:t xml:space="preserve"> + </w:t>
      </w:r>
      <w:r w:rsidRPr="00132E65">
        <w:rPr>
          <w:rtl/>
        </w:rPr>
        <w:t>« أن »</w:t>
      </w:r>
      <w:r>
        <w:rPr>
          <w:rtl/>
        </w:rPr>
        <w:t>.</w:t>
      </w:r>
      <w:r w:rsidR="00C6219A">
        <w:rPr>
          <w:rtl/>
        </w:rPr>
        <w:t xml:space="preserve"> وفي « بر » : «فلم أجتر</w:t>
      </w:r>
      <w:r w:rsidRPr="00132E65">
        <w:rPr>
          <w:rtl/>
        </w:rPr>
        <w:t xml:space="preserve">» </w:t>
      </w:r>
      <w:r w:rsidR="00C6219A">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وَلَا</w:t>
      </w:r>
      <w:r>
        <w:rPr>
          <w:rFonts w:hint="cs"/>
          <w:rtl/>
          <w:lang w:bidi="fa-IR"/>
        </w:rPr>
        <w:t xml:space="preserve"> </w:t>
      </w:r>
      <w:r w:rsidRPr="00132E65">
        <w:rPr>
          <w:rtl/>
          <w:lang w:bidi="fa-IR"/>
        </w:rPr>
        <w:t xml:space="preserve">أَدْخُلُ ، فَخَرَجَتْ عَلَيَّ جَارِيَةٌ مَعَهَا </w:t>
      </w:r>
      <w:r>
        <w:rPr>
          <w:rStyle w:val="libFootnotenumChar"/>
          <w:rtl/>
        </w:rPr>
        <w:t>(1)</w:t>
      </w:r>
      <w:r w:rsidRPr="00132E65">
        <w:rPr>
          <w:rtl/>
          <w:lang w:bidi="fa-IR"/>
        </w:rPr>
        <w:t xml:space="preserve"> شَيْ‌ءٌ مُغَطًّى ، ثُمَّ نَادَانِيَ : « ادْخُلْ » فَدَخَلْتُ ، وَنَادَى الْجَارِيَةَ ، فَرَجَعَتْ ، فَقَالَ لَهَا : « اكْشِفِي عَمَّا مَعَكِ » فَكَشَفَتْ عَنْ غُلَامٍ أَبْيَضَ ، حَسَنِ الْوَجْهِ ، و</w:t>
      </w:r>
      <w:r w:rsidR="003B146B">
        <w:rPr>
          <w:rFonts w:hint="cs"/>
          <w:rtl/>
          <w:lang w:bidi="fa-IR"/>
        </w:rPr>
        <w:t xml:space="preserve">َ </w:t>
      </w:r>
      <w:r w:rsidRPr="00132E65">
        <w:rPr>
          <w:rtl/>
          <w:lang w:bidi="fa-IR"/>
        </w:rPr>
        <w:t xml:space="preserve">كَشَفَتْ </w:t>
      </w:r>
      <w:r>
        <w:rPr>
          <w:rStyle w:val="libFootnotenumChar"/>
          <w:rtl/>
        </w:rPr>
        <w:t>(2)</w:t>
      </w:r>
      <w:r w:rsidRPr="00132E65">
        <w:rPr>
          <w:rtl/>
          <w:lang w:bidi="fa-IR"/>
        </w:rPr>
        <w:t xml:space="preserve"> عَنْ بَطْنِهِ ، فَإِذَا شَعْرٌ نَابِتٌ مِنْ لَبَّتِهِ </w:t>
      </w:r>
      <w:r>
        <w:rPr>
          <w:rStyle w:val="libFootnotenumChar"/>
          <w:rtl/>
        </w:rPr>
        <w:t>(3)</w:t>
      </w:r>
      <w:r w:rsidRPr="00132E65">
        <w:rPr>
          <w:rtl/>
          <w:lang w:bidi="fa-IR"/>
        </w:rPr>
        <w:t xml:space="preserve"> إِلى سُرَّتِهِ ، أَخْضَرُ ، لَيْسَ بِأَسْوَدَ ، فَقَالَ : « هذَا صَاحِبُكُمْ »</w:t>
      </w:r>
      <w:r>
        <w:rPr>
          <w:rtl/>
          <w:lang w:bidi="fa-IR"/>
        </w:rPr>
        <w:t>.</w:t>
      </w:r>
    </w:p>
    <w:p w:rsidR="000C39D1" w:rsidRPr="00132E65" w:rsidRDefault="000C39D1" w:rsidP="000C39D1">
      <w:pPr>
        <w:pStyle w:val="libNormal"/>
        <w:rPr>
          <w:rtl/>
          <w:lang w:bidi="fa-IR"/>
        </w:rPr>
      </w:pPr>
      <w:r w:rsidRPr="00132E65">
        <w:rPr>
          <w:rtl/>
          <w:lang w:bidi="fa-IR"/>
        </w:rPr>
        <w:t xml:space="preserve">ثُمَّ أَمَرَهَا فَحَمَلَتْهُ ، فَمَا رَأَيْتُهُ بَعْدَ ذلِكَ حَتّى مَضى أَبُو مُحَمَّدٍ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فَقَالَ </w:t>
      </w:r>
      <w:r>
        <w:rPr>
          <w:rStyle w:val="libFootnotenumChar"/>
          <w:rtl/>
        </w:rPr>
        <w:t>(4)</w:t>
      </w:r>
      <w:r w:rsidRPr="00132E65">
        <w:rPr>
          <w:rtl/>
          <w:lang w:bidi="fa-IR"/>
        </w:rPr>
        <w:t xml:space="preserve"> ضَوْء بْنُ عَلِيٍّ : فَقُلْتُ </w:t>
      </w:r>
      <w:r>
        <w:rPr>
          <w:rStyle w:val="libFootnotenumChar"/>
          <w:rtl/>
        </w:rPr>
        <w:t>(5)</w:t>
      </w:r>
      <w:r w:rsidRPr="00132E65">
        <w:rPr>
          <w:rtl/>
          <w:lang w:bidi="fa-IR"/>
        </w:rPr>
        <w:t xml:space="preserve"> لِلْفَارِسِيِّ : كَمْ كُنْتَ تُقَدِّرُ لَهُ مِنَ السِّنِينَ</w:t>
      </w:r>
      <w:r>
        <w:rPr>
          <w:rtl/>
          <w:lang w:bidi="fa-IR"/>
        </w:rPr>
        <w:t>؟</w:t>
      </w:r>
      <w:r w:rsidRPr="00132E65">
        <w:rPr>
          <w:rtl/>
          <w:lang w:bidi="fa-IR"/>
        </w:rPr>
        <w:t xml:space="preserve"> قَالَ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132E65">
        <w:rPr>
          <w:rtl/>
          <w:lang w:bidi="fa-IR"/>
        </w:rPr>
        <w:t>سَنَتَيْنِ.</w:t>
      </w:r>
    </w:p>
    <w:p w:rsidR="000C39D1" w:rsidRPr="00132E65" w:rsidRDefault="000C39D1" w:rsidP="000C39D1">
      <w:pPr>
        <w:pStyle w:val="libNormal"/>
        <w:rPr>
          <w:rtl/>
          <w:lang w:bidi="fa-IR"/>
        </w:rPr>
      </w:pPr>
      <w:r w:rsidRPr="00132E65">
        <w:rPr>
          <w:rtl/>
          <w:lang w:bidi="fa-IR"/>
        </w:rPr>
        <w:t xml:space="preserve">قَالَ الْعَبْدِيُّ : فَقُلْتُ لِضَوْءٍ : كَمْ تُقَدِّرُ لَهُ أَنْتَ </w:t>
      </w:r>
      <w:r>
        <w:rPr>
          <w:rStyle w:val="libFootnotenumChar"/>
          <w:rtl/>
        </w:rPr>
        <w:t>(7)</w:t>
      </w:r>
      <w:r>
        <w:rPr>
          <w:rtl/>
          <w:lang w:bidi="fa-IR"/>
        </w:rPr>
        <w:t>؟</w:t>
      </w:r>
      <w:r w:rsidRPr="00132E65">
        <w:rPr>
          <w:rtl/>
          <w:lang w:bidi="fa-IR"/>
        </w:rPr>
        <w:t xml:space="preserve"> قَالَ : أَرْبَعَ عَشْرَةَ سَنَةً </w:t>
      </w:r>
      <w:r>
        <w:rPr>
          <w:rStyle w:val="libFootnotenumChar"/>
          <w:rtl/>
        </w:rPr>
        <w:t>(8)</w:t>
      </w:r>
      <w:r w:rsidR="00FD124D" w:rsidRPr="00FD124D">
        <w:rPr>
          <w:rFonts w:hint="cs"/>
          <w:rtl/>
        </w:rPr>
        <w:t>.</w:t>
      </w:r>
    </w:p>
    <w:p w:rsidR="000C39D1" w:rsidRPr="00132E65" w:rsidRDefault="000C39D1" w:rsidP="00FD124D">
      <w:pPr>
        <w:pStyle w:val="libNormal"/>
        <w:rPr>
          <w:rtl/>
          <w:lang w:bidi="fa-IR"/>
        </w:rPr>
      </w:pPr>
      <w:r w:rsidRPr="00132E65">
        <w:rPr>
          <w:rtl/>
          <w:lang w:bidi="fa-IR"/>
        </w:rPr>
        <w:t>قَالَ أَبُو عَلِيٍّ وأَبُو عَبْدِ اللهِ : و</w:t>
      </w:r>
      <w:r w:rsidR="00FD124D">
        <w:rPr>
          <w:rFonts w:hint="cs"/>
          <w:rtl/>
          <w:lang w:bidi="fa-IR"/>
        </w:rPr>
        <w:t>َ</w:t>
      </w:r>
      <w:r w:rsidRPr="00132E65">
        <w:rPr>
          <w:rtl/>
          <w:lang w:bidi="fa-IR"/>
        </w:rPr>
        <w:t xml:space="preserve">نَحْنُ نُقَدِّرُ لَهُ </w:t>
      </w:r>
      <w:r>
        <w:rPr>
          <w:rStyle w:val="libFootnotenumChar"/>
          <w:rtl/>
        </w:rPr>
        <w:t>(9)</w:t>
      </w:r>
      <w:r w:rsidRPr="00132E65">
        <w:rPr>
          <w:rtl/>
          <w:lang w:bidi="fa-IR"/>
        </w:rPr>
        <w:t xml:space="preserve"> إِحْدى وعِشْرِينَ سَنَةً. </w:t>
      </w:r>
      <w:r>
        <w:rPr>
          <w:rStyle w:val="libFootnotenumChar"/>
          <w:rtl/>
        </w:rPr>
        <w:t>(10)</w:t>
      </w:r>
      <w:r w:rsidRPr="00132E65">
        <w:rPr>
          <w:rtl/>
          <w:lang w:bidi="fa-IR"/>
        </w:rPr>
        <w:t>‌</w:t>
      </w:r>
    </w:p>
    <w:p w:rsidR="000C39D1" w:rsidRPr="00132E65" w:rsidRDefault="000C39D1" w:rsidP="000C39D1">
      <w:pPr>
        <w:pStyle w:val="libNormal"/>
        <w:rPr>
          <w:rtl/>
          <w:lang w:bidi="fa-IR"/>
        </w:rPr>
      </w:pPr>
      <w:r w:rsidRPr="00DC71A7">
        <w:rPr>
          <w:rtl/>
        </w:rPr>
        <w:t>1359</w:t>
      </w:r>
      <w:r w:rsidRPr="004325D8">
        <w:rPr>
          <w:rStyle w:val="libBold2Char"/>
          <w:rtl/>
        </w:rPr>
        <w:t xml:space="preserve"> / 3.</w:t>
      </w:r>
      <w:r w:rsidRPr="00132E65">
        <w:rPr>
          <w:rtl/>
          <w:lang w:bidi="fa-IR"/>
        </w:rPr>
        <w:t xml:space="preserve"> عَلِيُّ بْنُ مُحَمَّدٍ وعَنْ غَيْرِ واحِدٍ مِنْ أَصْحَابِنَا الْقُمِّيِّينَ ، عَنْ مُحَمَّدِ بْنِ مُحَمَّدٍ الْعَامِرِيِّ ، عَنْ أَبِي سَعِيدٍ غَانِمٍ الْهِنْدِيِّ ، قَالَ :</w:t>
      </w:r>
    </w:p>
    <w:p w:rsidR="000C39D1" w:rsidRPr="00132E65" w:rsidRDefault="000C39D1" w:rsidP="000C39D1">
      <w:pPr>
        <w:pStyle w:val="libLine"/>
        <w:rPr>
          <w:rtl/>
          <w:lang w:bidi="fa-IR"/>
        </w:rPr>
      </w:pPr>
      <w:r w:rsidRPr="00132E65">
        <w:rPr>
          <w:rtl/>
          <w:lang w:bidi="fa-IR"/>
        </w:rPr>
        <w:t>__________________</w:t>
      </w:r>
    </w:p>
    <w:p w:rsidR="000C39D1" w:rsidRDefault="00FD124D" w:rsidP="000C39D1">
      <w:pPr>
        <w:pStyle w:val="libFootnote0"/>
        <w:rPr>
          <w:rtl/>
        </w:rPr>
      </w:pPr>
      <w:r>
        <w:rPr>
          <w:rFonts w:hint="cs"/>
          <w:rtl/>
        </w:rPr>
        <w:t xml:space="preserve">= </w:t>
      </w:r>
      <w:r w:rsidR="000C39D1" w:rsidRPr="00132E65">
        <w:rPr>
          <w:rtl/>
        </w:rPr>
        <w:t>وأصله اجترئ ، قلبت الهمزة ياءً فحذفت الياء بلم.</w:t>
      </w:r>
    </w:p>
    <w:p w:rsidR="000C39D1" w:rsidRPr="00132E65" w:rsidRDefault="000C39D1" w:rsidP="000C39D1">
      <w:pPr>
        <w:pStyle w:val="libFootnote0"/>
        <w:rPr>
          <w:rtl/>
          <w:lang w:bidi="fa-IR"/>
        </w:rPr>
      </w:pPr>
      <w:r>
        <w:rPr>
          <w:rtl/>
        </w:rPr>
        <w:t>(1).</w:t>
      </w:r>
      <w:r w:rsidRPr="00132E65">
        <w:rPr>
          <w:rtl/>
        </w:rPr>
        <w:t xml:space="preserve"> في « ب » وكمال الدين : « ومعها »</w:t>
      </w:r>
      <w:r>
        <w:rPr>
          <w:rtl/>
        </w:rPr>
        <w:t>.</w:t>
      </w:r>
    </w:p>
    <w:p w:rsidR="000C39D1" w:rsidRPr="00132E65" w:rsidRDefault="000C39D1" w:rsidP="000C39D1">
      <w:pPr>
        <w:pStyle w:val="libFootnote0"/>
        <w:rPr>
          <w:rtl/>
          <w:lang w:bidi="fa-IR"/>
        </w:rPr>
      </w:pPr>
      <w:r>
        <w:rPr>
          <w:rtl/>
        </w:rPr>
        <w:t>(2).</w:t>
      </w:r>
      <w:r w:rsidRPr="00132E65">
        <w:rPr>
          <w:rtl/>
        </w:rPr>
        <w:t xml:space="preserve"> في « ب ، ض ، ف ، بح ، بر ، بس ، بف » : « فكشف »</w:t>
      </w:r>
      <w:r>
        <w:rPr>
          <w:rtl/>
        </w:rPr>
        <w:t>.</w:t>
      </w:r>
    </w:p>
    <w:p w:rsidR="000C39D1" w:rsidRPr="00132E65" w:rsidRDefault="000C39D1" w:rsidP="000C39D1">
      <w:pPr>
        <w:pStyle w:val="libFootnote0"/>
        <w:rPr>
          <w:rtl/>
          <w:lang w:bidi="fa-IR"/>
        </w:rPr>
      </w:pPr>
      <w:r>
        <w:rPr>
          <w:rtl/>
        </w:rPr>
        <w:t>(3).</w:t>
      </w:r>
      <w:r w:rsidRPr="00132E65">
        <w:rPr>
          <w:rtl/>
        </w:rPr>
        <w:t xml:space="preserve"> « اللَبَّة » : ال</w:t>
      </w:r>
      <w:r w:rsidR="00EB4474">
        <w:rPr>
          <w:rFonts w:hint="cs"/>
          <w:rtl/>
        </w:rPr>
        <w:t>ـ</w:t>
      </w:r>
      <w:r w:rsidRPr="00132E65">
        <w:rPr>
          <w:rtl/>
        </w:rPr>
        <w:t xml:space="preserve">مَنْحَر والهَزْمَة التي فوق الصدر ، وفيها تُنحر الإبل ، وموضع القلادة من الصدر. راجع : </w:t>
      </w:r>
      <w:r w:rsidRPr="00DC71A7">
        <w:rPr>
          <w:rtl/>
        </w:rPr>
        <w:t>الصحاح</w:t>
      </w:r>
      <w:r w:rsidRPr="00132E65">
        <w:rPr>
          <w:rtl/>
        </w:rPr>
        <w:t xml:space="preserve"> ، ج 1 ، ص 217 ؛ </w:t>
      </w:r>
      <w:r w:rsidRPr="00DC71A7">
        <w:rPr>
          <w:rtl/>
        </w:rPr>
        <w:t>النهاية</w:t>
      </w:r>
      <w:r w:rsidRPr="00132E65">
        <w:rPr>
          <w:rtl/>
        </w:rPr>
        <w:t xml:space="preserve"> ، ج 4 ، ص 223 ( لبب )</w:t>
      </w:r>
      <w:r>
        <w:rPr>
          <w:rtl/>
        </w:rPr>
        <w:t>.</w:t>
      </w:r>
    </w:p>
    <w:tbl>
      <w:tblPr>
        <w:tblStyle w:val="TableGrid"/>
        <w:bidiVisual/>
        <w:tblW w:w="0" w:type="auto"/>
        <w:tblLook w:val="04A0" w:firstRow="1" w:lastRow="0" w:firstColumn="1" w:lastColumn="0" w:noHBand="0" w:noVBand="1"/>
      </w:tblPr>
      <w:tblGrid>
        <w:gridCol w:w="4261"/>
        <w:gridCol w:w="4262"/>
      </w:tblGrid>
      <w:tr w:rsidR="00EB4474" w:rsidTr="00EB4474">
        <w:tc>
          <w:tcPr>
            <w:tcW w:w="4261" w:type="dxa"/>
          </w:tcPr>
          <w:p w:rsidR="00EB4474" w:rsidRDefault="00EB4474" w:rsidP="000C39D1">
            <w:pPr>
              <w:pStyle w:val="libFootnote0"/>
              <w:rPr>
                <w:rtl/>
              </w:rPr>
            </w:pPr>
            <w:r>
              <w:rPr>
                <w:rtl/>
              </w:rPr>
              <w:t>(4).</w:t>
            </w:r>
            <w:r w:rsidRPr="00132E65">
              <w:rPr>
                <w:rtl/>
              </w:rPr>
              <w:t xml:space="preserve"> في كمال الدين : « قال »</w:t>
            </w:r>
            <w:r>
              <w:rPr>
                <w:rtl/>
              </w:rPr>
              <w:t>.</w:t>
            </w:r>
          </w:p>
        </w:tc>
        <w:tc>
          <w:tcPr>
            <w:tcW w:w="4262" w:type="dxa"/>
          </w:tcPr>
          <w:p w:rsidR="00EB4474" w:rsidRDefault="00EB4474" w:rsidP="000C39D1">
            <w:pPr>
              <w:pStyle w:val="libFootnote0"/>
              <w:rPr>
                <w:rtl/>
              </w:rPr>
            </w:pPr>
            <w:r>
              <w:rPr>
                <w:rtl/>
              </w:rPr>
              <w:t>(5).</w:t>
            </w:r>
            <w:r w:rsidRPr="00132E65">
              <w:rPr>
                <w:rtl/>
              </w:rPr>
              <w:t xml:space="preserve"> في « ب ، ج ، ض ، ف ، بح ، بس » : « قلت »</w:t>
            </w:r>
            <w:r>
              <w:rPr>
                <w:rtl/>
              </w:rPr>
              <w:t>.</w:t>
            </w:r>
          </w:p>
        </w:tc>
      </w:tr>
    </w:tbl>
    <w:p w:rsidR="000C39D1" w:rsidRPr="00132E65" w:rsidRDefault="000C39D1" w:rsidP="000C39D1">
      <w:pPr>
        <w:pStyle w:val="libFootnote0"/>
        <w:rPr>
          <w:rtl/>
          <w:lang w:bidi="fa-IR"/>
        </w:rPr>
      </w:pPr>
      <w:r>
        <w:rPr>
          <w:rtl/>
        </w:rPr>
        <w:t>(6).</w:t>
      </w:r>
      <w:r w:rsidRPr="00132E65">
        <w:rPr>
          <w:rtl/>
        </w:rPr>
        <w:t xml:space="preserve"> في كمال الدين : « فقال »</w:t>
      </w:r>
      <w:r>
        <w:rPr>
          <w:rtl/>
        </w:rPr>
        <w:t>.</w:t>
      </w:r>
    </w:p>
    <w:p w:rsidR="000C39D1" w:rsidRPr="00132E65" w:rsidRDefault="000C39D1" w:rsidP="000C39D1">
      <w:pPr>
        <w:pStyle w:val="libFootnote0"/>
        <w:rPr>
          <w:rtl/>
          <w:lang w:bidi="fa-IR"/>
        </w:rPr>
      </w:pPr>
      <w:r>
        <w:rPr>
          <w:rtl/>
        </w:rPr>
        <w:t>(7).</w:t>
      </w:r>
      <w:r w:rsidRPr="00132E65">
        <w:rPr>
          <w:rtl/>
        </w:rPr>
        <w:t xml:space="preserve"> في « ب » : « أنت له »</w:t>
      </w:r>
      <w:r>
        <w:rPr>
          <w:rtl/>
        </w:rPr>
        <w:t>.</w:t>
      </w:r>
      <w:r w:rsidRPr="00132E65">
        <w:rPr>
          <w:rtl/>
        </w:rPr>
        <w:t xml:space="preserve"> وفي كمال الدين : « له الآن في وقتنا » بدل « له أنت »</w:t>
      </w:r>
      <w:r>
        <w:rPr>
          <w:rtl/>
        </w:rPr>
        <w:t>.</w:t>
      </w:r>
    </w:p>
    <w:p w:rsidR="000C39D1" w:rsidRPr="00132E65" w:rsidRDefault="000C39D1" w:rsidP="000C39D1">
      <w:pPr>
        <w:pStyle w:val="libFootnote0"/>
        <w:rPr>
          <w:rtl/>
          <w:lang w:bidi="fa-IR"/>
        </w:rPr>
      </w:pPr>
      <w:r>
        <w:rPr>
          <w:rtl/>
        </w:rPr>
        <w:t>(8).</w:t>
      </w:r>
      <w:r w:rsidRPr="00132E65">
        <w:rPr>
          <w:rtl/>
        </w:rPr>
        <w:t xml:space="preserve"> في « ج ، ض ، ف ، بر ، بس » وشرح المازندراني </w:t>
      </w:r>
      <w:r>
        <w:rPr>
          <w:rtl/>
        </w:rPr>
        <w:t xml:space="preserve">: - </w:t>
      </w:r>
      <w:r w:rsidRPr="00132E65">
        <w:rPr>
          <w:rtl/>
        </w:rPr>
        <w:t>« سنة »</w:t>
      </w:r>
      <w:r>
        <w:rPr>
          <w:rtl/>
        </w:rPr>
        <w:t>.</w:t>
      </w:r>
    </w:p>
    <w:p w:rsidR="000C39D1" w:rsidRPr="00132E65" w:rsidRDefault="000C39D1" w:rsidP="000C39D1">
      <w:pPr>
        <w:pStyle w:val="libFootnote0"/>
        <w:rPr>
          <w:rtl/>
          <w:lang w:bidi="fa-IR"/>
        </w:rPr>
      </w:pPr>
      <w:r>
        <w:rPr>
          <w:rtl/>
        </w:rPr>
        <w:t>(9).</w:t>
      </w:r>
      <w:r w:rsidRPr="00132E65">
        <w:rPr>
          <w:rtl/>
        </w:rPr>
        <w:t xml:space="preserve"> في كمال الدين :</w:t>
      </w:r>
      <w:r>
        <w:rPr>
          <w:rtl/>
        </w:rPr>
        <w:t xml:space="preserve"> + </w:t>
      </w:r>
      <w:r w:rsidRPr="00132E65">
        <w:rPr>
          <w:rtl/>
        </w:rPr>
        <w:t>« الآن »</w:t>
      </w:r>
      <w:r>
        <w:rPr>
          <w:rtl/>
        </w:rPr>
        <w:t>.</w:t>
      </w:r>
    </w:p>
    <w:p w:rsidR="000C39D1" w:rsidRPr="00132E65" w:rsidRDefault="000C39D1" w:rsidP="00C548F2">
      <w:pPr>
        <w:pStyle w:val="libFootnote0"/>
        <w:rPr>
          <w:rtl/>
          <w:lang w:bidi="fa-IR"/>
        </w:rPr>
      </w:pPr>
      <w:r>
        <w:rPr>
          <w:rtl/>
        </w:rPr>
        <w:t>(10).</w:t>
      </w:r>
      <w:r w:rsidRPr="00132E65">
        <w:rPr>
          <w:rtl/>
        </w:rPr>
        <w:t xml:space="preserve"> </w:t>
      </w:r>
      <w:r w:rsidRPr="000577A7">
        <w:rPr>
          <w:rStyle w:val="libFootnoteBoldChar"/>
          <w:rtl/>
        </w:rPr>
        <w:t>الكافي</w:t>
      </w:r>
      <w:r w:rsidRPr="00132E65">
        <w:rPr>
          <w:rtl/>
        </w:rPr>
        <w:t xml:space="preserve"> ، كتاب الحجّة ، باب الإشارة والنصّ إلى صاحب الدار </w:t>
      </w:r>
      <w:r w:rsidRPr="00C548F2">
        <w:rPr>
          <w:rStyle w:val="libFootnoteAlaemChar"/>
          <w:rtl/>
        </w:rPr>
        <w:t>عليه‌السلام</w:t>
      </w:r>
      <w:r w:rsidRPr="00132E65">
        <w:rPr>
          <w:rtl/>
        </w:rPr>
        <w:t xml:space="preserve"> ، ح 868 ، إلى قوله : « حتّى مضى أبو محمد </w:t>
      </w:r>
      <w:r w:rsidRPr="00C548F2">
        <w:rPr>
          <w:rStyle w:val="libFootnoteAlaemChar"/>
          <w:rtl/>
        </w:rPr>
        <w:t>عليه‌السلام</w:t>
      </w:r>
      <w:r w:rsidRPr="00132E65">
        <w:rPr>
          <w:rtl/>
        </w:rPr>
        <w:t xml:space="preserve"> » مع اختلاف يسير ؛ </w:t>
      </w:r>
      <w:r w:rsidRPr="00DC71A7">
        <w:rPr>
          <w:rtl/>
        </w:rPr>
        <w:t>وفيه</w:t>
      </w:r>
      <w:r w:rsidRPr="00132E65">
        <w:rPr>
          <w:rtl/>
        </w:rPr>
        <w:t xml:space="preserve"> ، باب في تسمية من رآه ، ح 882 ، وتمام الرواية فيه : « أنّ أبا محمّد أراه إيّاه »</w:t>
      </w:r>
      <w:r>
        <w:rPr>
          <w:rtl/>
        </w:rPr>
        <w:t>.</w:t>
      </w:r>
      <w:r w:rsidRPr="00132E65">
        <w:rPr>
          <w:rtl/>
        </w:rPr>
        <w:t xml:space="preserve"> </w:t>
      </w:r>
      <w:r w:rsidRPr="00DC71A7">
        <w:rPr>
          <w:rtl/>
        </w:rPr>
        <w:t>كمال الدين</w:t>
      </w:r>
      <w:r w:rsidRPr="00132E65">
        <w:rPr>
          <w:rtl/>
        </w:rPr>
        <w:t xml:space="preserve"> ، ص 435 ، ح 4 ، بسنده عن الكليني ؛ </w:t>
      </w:r>
      <w:r w:rsidRPr="00DC71A7">
        <w:rPr>
          <w:rtl/>
        </w:rPr>
        <w:t>الغيبة</w:t>
      </w:r>
      <w:r w:rsidRPr="00132E65">
        <w:rPr>
          <w:rtl/>
        </w:rPr>
        <w:t xml:space="preserve"> للطوسي ، ص 233 ، ح 202 ، عن الكليني</w:t>
      </w:r>
      <w:r w:rsidR="00C548F2">
        <w:rPr>
          <w:rFonts w:hint="cs"/>
          <w:rtl/>
        </w:rPr>
        <w:t>.</w:t>
      </w:r>
      <w:r w:rsidRPr="009D1ACE">
        <w:rPr>
          <w:rStyle w:val="libFootnoteBoldChar"/>
          <w:rtl/>
        </w:rPr>
        <w:t>الوافي</w:t>
      </w:r>
      <w:r w:rsidRPr="00132E65">
        <w:rPr>
          <w:rtl/>
        </w:rPr>
        <w:t xml:space="preserve"> ، ج 2 ، ص 392 ، ح 884.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كُنْتُ بِمَدِينَةِ الْهِنْدِ</w:t>
      </w:r>
      <w:r>
        <w:rPr>
          <w:rtl/>
          <w:lang w:bidi="fa-IR"/>
        </w:rPr>
        <w:t xml:space="preserve"> - </w:t>
      </w:r>
      <w:r w:rsidRPr="00132E65">
        <w:rPr>
          <w:rtl/>
          <w:lang w:bidi="fa-IR"/>
        </w:rPr>
        <w:t>الْمَعْرُوفَةِ بِقِشْمِيرَ الدَّاخِلَةِ</w:t>
      </w:r>
      <w:r>
        <w:rPr>
          <w:rtl/>
          <w:lang w:bidi="fa-IR"/>
        </w:rPr>
        <w:t xml:space="preserve"> - </w:t>
      </w:r>
      <w:r w:rsidRPr="00132E65">
        <w:rPr>
          <w:rtl/>
          <w:lang w:bidi="fa-IR"/>
        </w:rPr>
        <w:t>و</w:t>
      </w:r>
      <w:r w:rsidR="00C548F2">
        <w:rPr>
          <w:rFonts w:hint="cs"/>
          <w:rtl/>
          <w:lang w:bidi="fa-IR"/>
        </w:rPr>
        <w:t>َ</w:t>
      </w:r>
      <w:r w:rsidRPr="00132E65">
        <w:rPr>
          <w:rtl/>
          <w:lang w:bidi="fa-IR"/>
        </w:rPr>
        <w:t xml:space="preserve">أَصْحَابٌ لِي يَقْعُدُونَ عَلى كَرَاسِيَّ </w:t>
      </w:r>
      <w:r>
        <w:rPr>
          <w:rStyle w:val="libFootnotenumChar"/>
          <w:rtl/>
        </w:rPr>
        <w:t>(1)</w:t>
      </w:r>
      <w:r w:rsidRPr="00132E65">
        <w:rPr>
          <w:rtl/>
          <w:lang w:bidi="fa-IR"/>
        </w:rPr>
        <w:t xml:space="preserve"> عَنْ يَمِينِ الْمَلِكِ أَرْبَعُونَ رَجُلاً كُلُّهُمْ يَقْرَأُ </w:t>
      </w:r>
      <w:r>
        <w:rPr>
          <w:rStyle w:val="libFootnotenumChar"/>
          <w:rtl/>
        </w:rPr>
        <w:t>(2)</w:t>
      </w:r>
      <w:r w:rsidRPr="00132E65">
        <w:rPr>
          <w:rtl/>
          <w:lang w:bidi="fa-IR"/>
        </w:rPr>
        <w:t xml:space="preserve"> الْكُتُبَ الْأَرْبَعَةَ : التَّوْرَاةَ ، و</w:t>
      </w:r>
      <w:r w:rsidR="00B37571">
        <w:rPr>
          <w:rFonts w:hint="cs"/>
          <w:rtl/>
          <w:lang w:bidi="fa-IR"/>
        </w:rPr>
        <w:t>َ</w:t>
      </w:r>
      <w:r w:rsidRPr="00132E65">
        <w:rPr>
          <w:rtl/>
          <w:lang w:bidi="fa-IR"/>
        </w:rPr>
        <w:t>الْإِنْجِيلَ ، وَالزَّبُورَ ، و</w:t>
      </w:r>
      <w:r w:rsidR="00B37571">
        <w:rPr>
          <w:rFonts w:hint="cs"/>
          <w:rtl/>
          <w:lang w:bidi="fa-IR"/>
        </w:rPr>
        <w:t>َ</w:t>
      </w:r>
      <w:r w:rsidRPr="00132E65">
        <w:rPr>
          <w:rtl/>
          <w:lang w:bidi="fa-IR"/>
        </w:rPr>
        <w:t xml:space="preserve">صُحُفَ إِبْرَاهِيمَ ، نَقْضِي </w:t>
      </w:r>
      <w:r>
        <w:rPr>
          <w:rStyle w:val="libFootnotenumChar"/>
          <w:rtl/>
        </w:rPr>
        <w:t>(3)</w:t>
      </w:r>
      <w:r w:rsidRPr="00132E65">
        <w:rPr>
          <w:rtl/>
          <w:lang w:bidi="fa-IR"/>
        </w:rPr>
        <w:t xml:space="preserve"> بَيْنَ النَّاسِ ، و</w:t>
      </w:r>
      <w:r w:rsidR="00494344">
        <w:rPr>
          <w:rFonts w:hint="cs"/>
          <w:rtl/>
          <w:lang w:bidi="fa-IR"/>
        </w:rPr>
        <w:t>َ</w:t>
      </w:r>
      <w:r w:rsidRPr="00132E65">
        <w:rPr>
          <w:rtl/>
          <w:lang w:bidi="fa-IR"/>
        </w:rPr>
        <w:t xml:space="preserve">نُفَقِّهُهُمْ </w:t>
      </w:r>
      <w:r>
        <w:rPr>
          <w:rStyle w:val="libFootnotenumChar"/>
          <w:rtl/>
        </w:rPr>
        <w:t>(4)</w:t>
      </w:r>
      <w:r w:rsidRPr="00132E65">
        <w:rPr>
          <w:rtl/>
          <w:lang w:bidi="fa-IR"/>
        </w:rPr>
        <w:t xml:space="preserve"> فِي دِينِهِمْ ، ونُفْتِيهِمْ </w:t>
      </w:r>
      <w:r>
        <w:rPr>
          <w:rStyle w:val="libFootnotenumChar"/>
          <w:rtl/>
        </w:rPr>
        <w:t>(5)</w:t>
      </w:r>
      <w:r w:rsidRPr="00132E65">
        <w:rPr>
          <w:rtl/>
          <w:lang w:bidi="fa-IR"/>
        </w:rPr>
        <w:t xml:space="preserve"> فِي حَلَالِهِمْ وحَرَامِهِمْ ، يَفْزَعُ </w:t>
      </w:r>
      <w:r>
        <w:rPr>
          <w:rStyle w:val="libFootnotenumChar"/>
          <w:rtl/>
        </w:rPr>
        <w:t>(6)</w:t>
      </w:r>
      <w:r w:rsidRPr="00132E65">
        <w:rPr>
          <w:rtl/>
          <w:lang w:bidi="fa-IR"/>
        </w:rPr>
        <w:t xml:space="preserve"> النَّاسُ إِلَيْنَا : الْمَلِكُ فَمَنْ دُونَهُ ، فَتَجَارَيْنَا </w:t>
      </w:r>
      <w:r>
        <w:rPr>
          <w:rStyle w:val="libFootnotenumChar"/>
          <w:rtl/>
        </w:rPr>
        <w:t>(7)</w:t>
      </w:r>
      <w:r w:rsidRPr="00132E65">
        <w:rPr>
          <w:rtl/>
          <w:lang w:bidi="fa-IR"/>
        </w:rPr>
        <w:t xml:space="preserve"> ذِكْرَ رَسُولِ اللهِ </w:t>
      </w:r>
      <w:r w:rsidRPr="0093484F">
        <w:rPr>
          <w:rStyle w:val="libAlaemChar"/>
          <w:rFonts w:eastAsiaTheme="minorHAnsi"/>
          <w:rtl/>
        </w:rPr>
        <w:t>صلى‌الله‌عليه‌وآله</w:t>
      </w:r>
      <w:r w:rsidRPr="00132E65">
        <w:rPr>
          <w:rtl/>
          <w:lang w:bidi="fa-IR"/>
        </w:rPr>
        <w:t xml:space="preserve"> ، فَقُلْنَا : هذَا النَّبِيُّ الْمَذْكُورُ فِي الْكُتُبِ </w:t>
      </w:r>
      <w:r>
        <w:rPr>
          <w:rStyle w:val="libFootnotenumChar"/>
          <w:rtl/>
        </w:rPr>
        <w:t>(8)</w:t>
      </w:r>
      <w:r w:rsidRPr="00132E65">
        <w:rPr>
          <w:rtl/>
          <w:lang w:bidi="fa-IR"/>
        </w:rPr>
        <w:t xml:space="preserve"> قَدْ خَفِيَ عَلَيْنَا أَمْرُهُ ، و</w:t>
      </w:r>
      <w:r w:rsidR="00494344">
        <w:rPr>
          <w:rFonts w:hint="cs"/>
          <w:rtl/>
          <w:lang w:bidi="fa-IR"/>
        </w:rPr>
        <w:t>َ</w:t>
      </w:r>
      <w:r w:rsidRPr="00132E65">
        <w:rPr>
          <w:rtl/>
          <w:lang w:bidi="fa-IR"/>
        </w:rPr>
        <w:t>يَجِبُ عَلَيْنَا الْفَحْصُ عَنْهُ و</w:t>
      </w:r>
      <w:r w:rsidR="00494344">
        <w:rPr>
          <w:rFonts w:hint="cs"/>
          <w:rtl/>
          <w:lang w:bidi="fa-IR"/>
        </w:rPr>
        <w:t>َ</w:t>
      </w:r>
      <w:r w:rsidRPr="00132E65">
        <w:rPr>
          <w:rtl/>
          <w:lang w:bidi="fa-IR"/>
        </w:rPr>
        <w:t>طَلَبُ أَثَرِهِ ، و</w:t>
      </w:r>
      <w:r w:rsidR="00494344">
        <w:rPr>
          <w:rFonts w:hint="cs"/>
          <w:rtl/>
          <w:lang w:bidi="fa-IR"/>
        </w:rPr>
        <w:t>َ</w:t>
      </w:r>
      <w:r w:rsidRPr="00132E65">
        <w:rPr>
          <w:rtl/>
          <w:lang w:bidi="fa-IR"/>
        </w:rPr>
        <w:t>اتَّفَقَ رَأْيُنَا و</w:t>
      </w:r>
      <w:r w:rsidR="00494344">
        <w:rPr>
          <w:rFonts w:hint="cs"/>
          <w:rtl/>
          <w:lang w:bidi="fa-IR"/>
        </w:rPr>
        <w:t>َ</w:t>
      </w:r>
      <w:r w:rsidRPr="00132E65">
        <w:rPr>
          <w:rtl/>
          <w:lang w:bidi="fa-IR"/>
        </w:rPr>
        <w:t xml:space="preserve">تَوَافَقْنَا عَلى أَنْ أَخْرُجَ ، فَأَرْتَادَ </w:t>
      </w:r>
      <w:r>
        <w:rPr>
          <w:rStyle w:val="libFootnotenumChar"/>
          <w:rtl/>
        </w:rPr>
        <w:t>(9)</w:t>
      </w:r>
      <w:r w:rsidRPr="00132E65">
        <w:rPr>
          <w:rtl/>
          <w:lang w:bidi="fa-IR"/>
        </w:rPr>
        <w:t xml:space="preserve"> لَهُمْ ، فَخَرَجْتُ و</w:t>
      </w:r>
      <w:r w:rsidR="00494344">
        <w:rPr>
          <w:rFonts w:hint="cs"/>
          <w:rtl/>
          <w:lang w:bidi="fa-IR"/>
        </w:rPr>
        <w:t>َ</w:t>
      </w:r>
      <w:r w:rsidRPr="00132E65">
        <w:rPr>
          <w:rtl/>
          <w:lang w:bidi="fa-IR"/>
        </w:rPr>
        <w:t>مَعِي مَالٌ جَلِيلٌ ، فَسِرْتُ اثْنَيْ عَشَرَ شَهْراً حَتّى قَرُبْتُ مِنْ كَابُلَ ، فَعَرَضَ لِي قَوْمٌ مِنَ التُّرْكِ ، فَقَطَعُوا عَلَيَّ ، و</w:t>
      </w:r>
      <w:r w:rsidR="00494344">
        <w:rPr>
          <w:rFonts w:hint="cs"/>
          <w:rtl/>
          <w:lang w:bidi="fa-IR"/>
        </w:rPr>
        <w:t>َ</w:t>
      </w:r>
      <w:r w:rsidRPr="00132E65">
        <w:rPr>
          <w:rtl/>
          <w:lang w:bidi="fa-IR"/>
        </w:rPr>
        <w:t>أَخَذُوا مَالِي ، و</w:t>
      </w:r>
      <w:r w:rsidR="00494344">
        <w:rPr>
          <w:rFonts w:hint="cs"/>
          <w:rtl/>
          <w:lang w:bidi="fa-IR"/>
        </w:rPr>
        <w:t>َ</w:t>
      </w:r>
      <w:r w:rsidRPr="00132E65">
        <w:rPr>
          <w:rtl/>
          <w:lang w:bidi="fa-IR"/>
        </w:rPr>
        <w:t xml:space="preserve">جُرِحْتُ جِرَاحَاتٍ </w:t>
      </w:r>
      <w:r>
        <w:rPr>
          <w:rStyle w:val="libFootnotenumChar"/>
          <w:rtl/>
        </w:rPr>
        <w:t>(10)</w:t>
      </w:r>
      <w:r w:rsidRPr="00132E65">
        <w:rPr>
          <w:rtl/>
          <w:lang w:bidi="fa-IR"/>
        </w:rPr>
        <w:t xml:space="preserve"> شَدِيدَةً ، و</w:t>
      </w:r>
      <w:r w:rsidR="00494344">
        <w:rPr>
          <w:rFonts w:hint="cs"/>
          <w:rtl/>
          <w:lang w:bidi="fa-IR"/>
        </w:rPr>
        <w:t>َ</w:t>
      </w:r>
      <w:r w:rsidRPr="00132E65">
        <w:rPr>
          <w:rtl/>
          <w:lang w:bidi="fa-IR"/>
        </w:rPr>
        <w:t xml:space="preserve">دُفِعْتُ </w:t>
      </w:r>
      <w:r>
        <w:rPr>
          <w:rStyle w:val="libFootnotenumChar"/>
          <w:rtl/>
        </w:rPr>
        <w:t>(11)</w:t>
      </w:r>
      <w:r w:rsidRPr="00132E65">
        <w:rPr>
          <w:rtl/>
          <w:lang w:bidi="fa-IR"/>
        </w:rPr>
        <w:t xml:space="preserve"> إِلى مَدِينَةِ كَابُلَ ، فَأَنْفَذَنِي </w:t>
      </w:r>
      <w:r>
        <w:rPr>
          <w:rStyle w:val="libFootnotenumChar"/>
          <w:rtl/>
        </w:rPr>
        <w:t>(12)</w:t>
      </w:r>
      <w:r w:rsidRPr="00132E65">
        <w:rPr>
          <w:rtl/>
          <w:lang w:bidi="fa-IR"/>
        </w:rPr>
        <w:t xml:space="preserve"> مَلِكُهَا</w:t>
      </w:r>
      <w:r>
        <w:rPr>
          <w:rtl/>
          <w:lang w:bidi="fa-IR"/>
        </w:rPr>
        <w:t xml:space="preserve"> - </w:t>
      </w:r>
      <w:r w:rsidRPr="00132E65">
        <w:rPr>
          <w:rtl/>
          <w:lang w:bidi="fa-IR"/>
        </w:rPr>
        <w:t>لَمَّا وقَفَ عَلى خَبَرِي</w:t>
      </w:r>
      <w:r>
        <w:rPr>
          <w:rtl/>
          <w:lang w:bidi="fa-IR"/>
        </w:rPr>
        <w:t xml:space="preserve"> - </w:t>
      </w:r>
      <w:r w:rsidRPr="00132E65">
        <w:rPr>
          <w:rtl/>
          <w:lang w:bidi="fa-IR"/>
        </w:rPr>
        <w:t>إِلى مَدِينَةِ بَلْخَ ، و</w:t>
      </w:r>
      <w:r w:rsidR="00494344">
        <w:rPr>
          <w:rFonts w:hint="cs"/>
          <w:rtl/>
          <w:lang w:bidi="fa-IR"/>
        </w:rPr>
        <w:t>َ</w:t>
      </w:r>
      <w:r w:rsidRPr="00132E65">
        <w:rPr>
          <w:rtl/>
          <w:lang w:bidi="fa-IR"/>
        </w:rPr>
        <w:t xml:space="preserve">عَلَيْهَا إِذْ ذَاكَ دَاوُدُ بْنُ الْعَبَّاسِ بْنِ أَبِي أَسْوَدَ </w:t>
      </w:r>
      <w:r w:rsidRPr="00F543F1">
        <w:rPr>
          <w:rStyle w:val="libFootnotenumChar"/>
          <w:rtl/>
        </w:rPr>
        <w:t>(13)</w:t>
      </w:r>
      <w:r w:rsidRPr="00132E65">
        <w:rPr>
          <w:rtl/>
          <w:lang w:bidi="fa-IR"/>
        </w:rPr>
        <w:t xml:space="preserve"> ، فَبَلَغَهُ خَبَرِي ، وأَنِّي خَرَجْتُ مُرْتَاداً مِنَ الْهِنْدِ ، وَتَعَلَّمْتُ الْفَارِسِيَّةَ ، و</w:t>
      </w:r>
      <w:r w:rsidR="00494344">
        <w:rPr>
          <w:rFonts w:hint="cs"/>
          <w:rtl/>
          <w:lang w:bidi="fa-IR"/>
        </w:rPr>
        <w:t>َ</w:t>
      </w:r>
      <w:r w:rsidRPr="00132E65">
        <w:rPr>
          <w:rtl/>
          <w:lang w:bidi="fa-IR"/>
        </w:rPr>
        <w:t>نَاظَرْتُ الْفُقَهَاءَ و</w:t>
      </w:r>
      <w:r w:rsidR="00494344">
        <w:rPr>
          <w:rFonts w:hint="cs"/>
          <w:rtl/>
          <w:lang w:bidi="fa-IR"/>
        </w:rPr>
        <w:t>َ</w:t>
      </w:r>
      <w:r w:rsidRPr="00132E65">
        <w:rPr>
          <w:rtl/>
          <w:lang w:bidi="fa-IR"/>
        </w:rPr>
        <w:t xml:space="preserve">أَصْحَابَ الْكَلَامِ ، فَأَرْسَلَ إِلَيَّ دَاوُدُ بْنُ الْعَبَّاسِ ، فَأَحْضَرَنِي </w:t>
      </w:r>
      <w:r w:rsidRPr="00F543F1">
        <w:rPr>
          <w:rStyle w:val="libFootnotenumChar"/>
          <w:rtl/>
        </w:rPr>
        <w:t>(14)</w:t>
      </w:r>
      <w:r w:rsidRPr="00132E65">
        <w:rPr>
          <w:rtl/>
          <w:lang w:bidi="fa-IR"/>
        </w:rPr>
        <w:t xml:space="preserve"> مَجْلِسَهُ ، وجَمَعَ عَلَيَّ الْفُقَهَاءَ ، فَنَاظَرُونِي ، فَأَعْلَمْتُهُمْ أَنِّي خَرَجْتُ مِنْ‌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494344" w:rsidTr="00494344">
        <w:tc>
          <w:tcPr>
            <w:tcW w:w="4261" w:type="dxa"/>
          </w:tcPr>
          <w:p w:rsidR="00494344" w:rsidRDefault="00494344" w:rsidP="000C39D1">
            <w:pPr>
              <w:pStyle w:val="libFootnote0"/>
              <w:rPr>
                <w:rtl/>
              </w:rPr>
            </w:pPr>
            <w:r>
              <w:rPr>
                <w:rtl/>
              </w:rPr>
              <w:t>(1).</w:t>
            </w:r>
            <w:r w:rsidRPr="00132E65">
              <w:rPr>
                <w:rtl/>
              </w:rPr>
              <w:t xml:space="preserve"> في « ض » :</w:t>
            </w:r>
            <w:r>
              <w:rPr>
                <w:rtl/>
              </w:rPr>
              <w:t xml:space="preserve"> + </w:t>
            </w:r>
            <w:r w:rsidRPr="00132E65">
              <w:rPr>
                <w:rtl/>
              </w:rPr>
              <w:t>« يقعدون »</w:t>
            </w:r>
            <w:r>
              <w:rPr>
                <w:rtl/>
              </w:rPr>
              <w:t>.</w:t>
            </w:r>
          </w:p>
        </w:tc>
        <w:tc>
          <w:tcPr>
            <w:tcW w:w="4262" w:type="dxa"/>
          </w:tcPr>
          <w:p w:rsidR="00494344" w:rsidRDefault="00494344" w:rsidP="000C39D1">
            <w:pPr>
              <w:pStyle w:val="libFootnote0"/>
              <w:rPr>
                <w:rtl/>
              </w:rPr>
            </w:pPr>
            <w:r>
              <w:rPr>
                <w:rtl/>
              </w:rPr>
              <w:t>(2). في«بس» :«تقرأ</w:t>
            </w:r>
            <w:r w:rsidRPr="00132E65">
              <w:rPr>
                <w:rtl/>
              </w:rPr>
              <w:t>»</w:t>
            </w:r>
            <w:r>
              <w:rPr>
                <w:rtl/>
              </w:rPr>
              <w:t>.</w:t>
            </w:r>
            <w:r w:rsidRPr="00132E65">
              <w:rPr>
                <w:rtl/>
              </w:rPr>
              <w:t xml:space="preserve"> وفي حاشية « ب » : « يقرؤون »</w:t>
            </w:r>
            <w:r>
              <w:rPr>
                <w:rtl/>
              </w:rPr>
              <w:t>.</w:t>
            </w:r>
          </w:p>
        </w:tc>
      </w:tr>
    </w:tbl>
    <w:p w:rsidR="000C39D1" w:rsidRPr="00132E65" w:rsidRDefault="000C39D1" w:rsidP="000C39D1">
      <w:pPr>
        <w:pStyle w:val="libFootnote0"/>
        <w:rPr>
          <w:rtl/>
          <w:lang w:bidi="fa-IR"/>
        </w:rPr>
      </w:pPr>
      <w:r>
        <w:rPr>
          <w:rtl/>
        </w:rPr>
        <w:t>(3).</w:t>
      </w:r>
      <w:r w:rsidRPr="00132E65">
        <w:rPr>
          <w:rtl/>
        </w:rPr>
        <w:t xml:space="preserve"> في « ج ، بس » : « تقضي »</w:t>
      </w:r>
      <w:r>
        <w:rPr>
          <w:rtl/>
        </w:rPr>
        <w:t>.</w:t>
      </w:r>
      <w:r w:rsidRPr="00132E65">
        <w:rPr>
          <w:rtl/>
        </w:rPr>
        <w:t xml:space="preserve"> وفي « بر » : « فتقضي »</w:t>
      </w:r>
      <w:r>
        <w:rPr>
          <w:rtl/>
        </w:rPr>
        <w:t>.</w:t>
      </w:r>
    </w:p>
    <w:tbl>
      <w:tblPr>
        <w:tblStyle w:val="TableGrid"/>
        <w:bidiVisual/>
        <w:tblW w:w="0" w:type="auto"/>
        <w:tblLook w:val="04A0" w:firstRow="1" w:lastRow="0" w:firstColumn="1" w:lastColumn="0" w:noHBand="0" w:noVBand="1"/>
      </w:tblPr>
      <w:tblGrid>
        <w:gridCol w:w="4261"/>
        <w:gridCol w:w="4262"/>
      </w:tblGrid>
      <w:tr w:rsidR="002A34AE" w:rsidTr="002A34AE">
        <w:tc>
          <w:tcPr>
            <w:tcW w:w="4261" w:type="dxa"/>
          </w:tcPr>
          <w:p w:rsidR="002A34AE" w:rsidRDefault="002A34AE" w:rsidP="000C39D1">
            <w:pPr>
              <w:pStyle w:val="libFootnote0"/>
              <w:rPr>
                <w:rtl/>
                <w:lang w:bidi="fa-IR"/>
              </w:rPr>
            </w:pPr>
            <w:r>
              <w:rPr>
                <w:rtl/>
              </w:rPr>
              <w:t>(4).</w:t>
            </w:r>
            <w:r w:rsidRPr="00132E65">
              <w:rPr>
                <w:rtl/>
              </w:rPr>
              <w:t xml:space="preserve"> في « ج » : « وتفقّههم »</w:t>
            </w:r>
            <w:r>
              <w:rPr>
                <w:rtl/>
              </w:rPr>
              <w:t>.</w:t>
            </w:r>
          </w:p>
        </w:tc>
        <w:tc>
          <w:tcPr>
            <w:tcW w:w="4262" w:type="dxa"/>
          </w:tcPr>
          <w:p w:rsidR="002A34AE" w:rsidRDefault="002A34AE" w:rsidP="000C39D1">
            <w:pPr>
              <w:pStyle w:val="libFootnote0"/>
              <w:rPr>
                <w:rtl/>
                <w:lang w:bidi="fa-IR"/>
              </w:rPr>
            </w:pPr>
            <w:r>
              <w:rPr>
                <w:rtl/>
              </w:rPr>
              <w:t>(5).</w:t>
            </w:r>
            <w:r w:rsidRPr="00132E65">
              <w:rPr>
                <w:rtl/>
              </w:rPr>
              <w:t xml:space="preserve"> في « ج ، بس » : « وتفتيهم »</w:t>
            </w:r>
            <w:r>
              <w:rPr>
                <w:rtl/>
              </w:rPr>
              <w:t>.</w:t>
            </w:r>
          </w:p>
        </w:tc>
      </w:tr>
    </w:tbl>
    <w:p w:rsidR="000C39D1" w:rsidRPr="00132E65" w:rsidRDefault="000C39D1" w:rsidP="000C39D1">
      <w:pPr>
        <w:pStyle w:val="libFootnote0"/>
        <w:rPr>
          <w:rtl/>
          <w:lang w:bidi="fa-IR"/>
        </w:rPr>
      </w:pPr>
      <w:r>
        <w:rPr>
          <w:rtl/>
        </w:rPr>
        <w:t>(6).</w:t>
      </w:r>
      <w:r w:rsidRPr="00132E65">
        <w:rPr>
          <w:rtl/>
        </w:rPr>
        <w:t xml:space="preserve"> في « ب » : « ليفزع »</w:t>
      </w:r>
      <w:r>
        <w:rPr>
          <w:rtl/>
        </w:rPr>
        <w:t>.</w:t>
      </w:r>
      <w:r w:rsidRPr="00132E65">
        <w:rPr>
          <w:rtl/>
        </w:rPr>
        <w:t xml:space="preserve"> وفي « بس » : « ويفزع »</w:t>
      </w:r>
      <w:r>
        <w:rPr>
          <w:rtl/>
        </w:rPr>
        <w:t>.</w:t>
      </w:r>
    </w:p>
    <w:p w:rsidR="000C39D1" w:rsidRPr="00132E65" w:rsidRDefault="000C39D1" w:rsidP="000C39D1">
      <w:pPr>
        <w:pStyle w:val="libFootnote0"/>
        <w:rPr>
          <w:rtl/>
          <w:lang w:bidi="fa-IR"/>
        </w:rPr>
      </w:pPr>
      <w:r>
        <w:rPr>
          <w:rtl/>
        </w:rPr>
        <w:t>(7).</w:t>
      </w:r>
      <w:r w:rsidRPr="00132E65">
        <w:rPr>
          <w:rtl/>
        </w:rPr>
        <w:t xml:space="preserve"> « فتجارينا » ، أي تذاكرنا ، أو أجرينا فيما بيننا. راجع : </w:t>
      </w:r>
      <w:r w:rsidRPr="00DC71A7">
        <w:rPr>
          <w:rtl/>
        </w:rPr>
        <w:t>مجمع البحرين</w:t>
      </w:r>
      <w:r w:rsidRPr="00132E65">
        <w:rPr>
          <w:rtl/>
        </w:rPr>
        <w:t xml:space="preserve"> ، ج 1 ، ص 83.</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في الكتب »</w:t>
      </w:r>
      <w:r>
        <w:rPr>
          <w:rtl/>
        </w:rPr>
        <w:t>.</w:t>
      </w:r>
    </w:p>
    <w:p w:rsidR="000C39D1" w:rsidRPr="00132E65" w:rsidRDefault="000C39D1" w:rsidP="000C39D1">
      <w:pPr>
        <w:pStyle w:val="libFootnote0"/>
        <w:rPr>
          <w:rtl/>
          <w:lang w:bidi="fa-IR"/>
        </w:rPr>
      </w:pPr>
      <w:r>
        <w:rPr>
          <w:rtl/>
        </w:rPr>
        <w:t>(9).</w:t>
      </w:r>
      <w:r w:rsidRPr="00132E65">
        <w:rPr>
          <w:rtl/>
        </w:rPr>
        <w:t xml:space="preserve"> ارتاد الرجل الشي‌ء : طلبه. </w:t>
      </w:r>
      <w:r w:rsidRPr="00DC71A7">
        <w:rPr>
          <w:rtl/>
        </w:rPr>
        <w:t>المصباح المنير</w:t>
      </w:r>
      <w:r w:rsidRPr="00132E65">
        <w:rPr>
          <w:rtl/>
        </w:rPr>
        <w:t xml:space="preserve"> ، ص 245 ( رود )</w:t>
      </w:r>
      <w:r>
        <w:rPr>
          <w:rtl/>
        </w:rPr>
        <w:t>.</w:t>
      </w:r>
    </w:p>
    <w:p w:rsidR="000C39D1" w:rsidRPr="00132E65" w:rsidRDefault="000C39D1" w:rsidP="000C39D1">
      <w:pPr>
        <w:pStyle w:val="libFootnote0"/>
        <w:rPr>
          <w:rtl/>
          <w:lang w:bidi="fa-IR"/>
        </w:rPr>
      </w:pPr>
      <w:r>
        <w:rPr>
          <w:rtl/>
        </w:rPr>
        <w:t>(10).</w:t>
      </w:r>
      <w:r w:rsidRPr="00132E65">
        <w:rPr>
          <w:rtl/>
        </w:rPr>
        <w:t xml:space="preserve"> في « بر » : « خُرجت خراجات »</w:t>
      </w:r>
      <w:r>
        <w:rPr>
          <w:rtl/>
        </w:rPr>
        <w:t>.</w:t>
      </w:r>
    </w:p>
    <w:p w:rsidR="000C39D1" w:rsidRPr="00132E65" w:rsidRDefault="000C39D1" w:rsidP="000C39D1">
      <w:pPr>
        <w:pStyle w:val="libFootnote0"/>
        <w:rPr>
          <w:rtl/>
          <w:lang w:bidi="fa-IR"/>
        </w:rPr>
      </w:pPr>
      <w:r>
        <w:rPr>
          <w:rtl/>
        </w:rPr>
        <w:t>(11).</w:t>
      </w:r>
      <w:r w:rsidRPr="00132E65">
        <w:rPr>
          <w:rtl/>
        </w:rPr>
        <w:t xml:space="preserve"> دُفِعْتُ إلى كذا : انتهيت إليه. </w:t>
      </w:r>
      <w:r w:rsidRPr="00DC71A7">
        <w:rPr>
          <w:rtl/>
        </w:rPr>
        <w:t>المصباح المنير</w:t>
      </w:r>
      <w:r w:rsidRPr="00132E65">
        <w:rPr>
          <w:rtl/>
        </w:rPr>
        <w:t xml:space="preserve"> ، ص 196 ( دفع )</w:t>
      </w:r>
      <w:r>
        <w:rPr>
          <w:rtl/>
        </w:rPr>
        <w:t>.</w:t>
      </w:r>
    </w:p>
    <w:p w:rsidR="000C39D1" w:rsidRPr="00132E65" w:rsidRDefault="000C39D1" w:rsidP="000C39D1">
      <w:pPr>
        <w:pStyle w:val="libFootnote0"/>
        <w:rPr>
          <w:rtl/>
          <w:lang w:bidi="fa-IR"/>
        </w:rPr>
      </w:pPr>
      <w:r>
        <w:rPr>
          <w:rtl/>
        </w:rPr>
        <w:t>(12).</w:t>
      </w:r>
      <w:r w:rsidRPr="00132E65">
        <w:rPr>
          <w:rtl/>
        </w:rPr>
        <w:t xml:space="preserve"> في « بح » : « فأرسلني »</w:t>
      </w:r>
      <w:r>
        <w:rPr>
          <w:rtl/>
        </w:rPr>
        <w:t>.</w:t>
      </w:r>
      <w:r w:rsidRPr="00132E65">
        <w:rPr>
          <w:rtl/>
        </w:rPr>
        <w:t xml:space="preserve"> وقوله : « فأنفذني » ، أي فأرسلني. راجع : </w:t>
      </w:r>
      <w:r w:rsidRPr="00DC71A7">
        <w:rPr>
          <w:rtl/>
        </w:rPr>
        <w:t>المعجم الوسيط</w:t>
      </w:r>
      <w:r w:rsidRPr="00132E65">
        <w:rPr>
          <w:rtl/>
        </w:rPr>
        <w:t xml:space="preserve"> ، ج 2 ، ص 939 ( نفذ )</w:t>
      </w:r>
      <w:r>
        <w:rPr>
          <w:rtl/>
        </w:rPr>
        <w:t>.</w:t>
      </w:r>
    </w:p>
    <w:p w:rsidR="000C39D1" w:rsidRPr="00132E65" w:rsidRDefault="000C39D1" w:rsidP="000C39D1">
      <w:pPr>
        <w:pStyle w:val="libFootnote0"/>
        <w:rPr>
          <w:rtl/>
          <w:lang w:bidi="fa-IR"/>
        </w:rPr>
      </w:pPr>
      <w:r>
        <w:rPr>
          <w:rtl/>
        </w:rPr>
        <w:t>(13)</w:t>
      </w:r>
      <w:r w:rsidRPr="00132E65">
        <w:rPr>
          <w:rtl/>
        </w:rPr>
        <w:t xml:space="preserve"> هكذا في « ب ، ج ، ض ، ف ، بر »</w:t>
      </w:r>
      <w:r>
        <w:rPr>
          <w:rtl/>
        </w:rPr>
        <w:t>.</w:t>
      </w:r>
      <w:r w:rsidRPr="00132E65">
        <w:rPr>
          <w:rtl/>
        </w:rPr>
        <w:t xml:space="preserve"> وفي « بح ، بس ، بف » : « أبي سود »</w:t>
      </w:r>
      <w:r>
        <w:rPr>
          <w:rtl/>
        </w:rPr>
        <w:t>.</w:t>
      </w:r>
    </w:p>
    <w:p w:rsidR="000C39D1" w:rsidRPr="00132E65" w:rsidRDefault="000C39D1" w:rsidP="000C39D1">
      <w:pPr>
        <w:pStyle w:val="libFootnote0"/>
        <w:rPr>
          <w:rtl/>
          <w:lang w:bidi="fa-IR"/>
        </w:rPr>
      </w:pPr>
      <w:r>
        <w:rPr>
          <w:rtl/>
        </w:rPr>
        <w:t>(14)</w:t>
      </w:r>
      <w:r w:rsidRPr="00132E65">
        <w:rPr>
          <w:rtl/>
        </w:rPr>
        <w:t xml:space="preserve"> في « ب » :</w:t>
      </w:r>
      <w:r>
        <w:rPr>
          <w:rtl/>
        </w:rPr>
        <w:t xml:space="preserve"> + </w:t>
      </w:r>
      <w:r w:rsidRPr="00132E65">
        <w:rPr>
          <w:rtl/>
        </w:rPr>
        <w:t>« في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بَلَدِي أَطْلُبُ هذَا النَّبِيَّ </w:t>
      </w:r>
      <w:r>
        <w:rPr>
          <w:rStyle w:val="libFootnotenumChar"/>
          <w:rtl/>
        </w:rPr>
        <w:t>(1)</w:t>
      </w:r>
      <w:r w:rsidRPr="00132E65">
        <w:rPr>
          <w:rtl/>
          <w:lang w:bidi="fa-IR"/>
        </w:rPr>
        <w:t xml:space="preserve"> الَّذِي و</w:t>
      </w:r>
      <w:r w:rsidR="00FB4F3E">
        <w:rPr>
          <w:rFonts w:hint="cs"/>
          <w:rtl/>
          <w:lang w:bidi="fa-IR"/>
        </w:rPr>
        <w:t>َ</w:t>
      </w:r>
      <w:r w:rsidRPr="00132E65">
        <w:rPr>
          <w:rtl/>
          <w:lang w:bidi="fa-IR"/>
        </w:rPr>
        <w:t xml:space="preserve">جَدْتُهُ فِي الْكُتُبِ ، فَقَالَ </w:t>
      </w:r>
      <w:r>
        <w:rPr>
          <w:rStyle w:val="libFootnotenumChar"/>
          <w:rtl/>
        </w:rPr>
        <w:t>(2)</w:t>
      </w:r>
      <w:r w:rsidRPr="00132E65">
        <w:rPr>
          <w:rtl/>
          <w:lang w:bidi="fa-IR"/>
        </w:rPr>
        <w:t xml:space="preserve"> لِي : مَنْ هُوَ</w:t>
      </w:r>
      <w:r>
        <w:rPr>
          <w:rtl/>
          <w:lang w:bidi="fa-IR"/>
        </w:rPr>
        <w:t>؟</w:t>
      </w:r>
      <w:r w:rsidRPr="00132E65">
        <w:rPr>
          <w:rtl/>
          <w:lang w:bidi="fa-IR"/>
        </w:rPr>
        <w:t xml:space="preserve"> و</w:t>
      </w:r>
      <w:r w:rsidR="00FB4F3E">
        <w:rPr>
          <w:rFonts w:hint="cs"/>
          <w:rtl/>
          <w:lang w:bidi="fa-IR"/>
        </w:rPr>
        <w:t>َ</w:t>
      </w:r>
      <w:r w:rsidRPr="00132E65">
        <w:rPr>
          <w:rtl/>
          <w:lang w:bidi="fa-IR"/>
        </w:rPr>
        <w:t>مَا اسْمُهُ</w:t>
      </w:r>
      <w:r>
        <w:rPr>
          <w:rtl/>
          <w:lang w:bidi="fa-IR"/>
        </w:rPr>
        <w:t>؟</w:t>
      </w:r>
      <w:r>
        <w:rPr>
          <w:rFonts w:hint="cs"/>
          <w:rtl/>
          <w:lang w:bidi="fa-IR"/>
        </w:rPr>
        <w:t xml:space="preserve"> </w:t>
      </w:r>
      <w:r w:rsidRPr="00132E65">
        <w:rPr>
          <w:rtl/>
          <w:lang w:bidi="fa-IR"/>
        </w:rPr>
        <w:t xml:space="preserve">فَقُلْتُ : مُحَمَّدٌ ، فَقَالُوا </w:t>
      </w:r>
      <w:r>
        <w:rPr>
          <w:rStyle w:val="libFootnotenumChar"/>
          <w:rtl/>
        </w:rPr>
        <w:t>(3)</w:t>
      </w:r>
      <w:r w:rsidRPr="00132E65">
        <w:rPr>
          <w:rtl/>
          <w:lang w:bidi="fa-IR"/>
        </w:rPr>
        <w:t xml:space="preserve"> : هُوَ نَبِيُّنَا الَّذِي تَطْلُبُ ، فَسَأَلْتُهُمْ عَنْ شَرَائِعِهِ ، فَأَعْلَمُونِي.</w:t>
      </w:r>
    </w:p>
    <w:p w:rsidR="000C39D1" w:rsidRPr="00132E65" w:rsidRDefault="000C39D1" w:rsidP="000C39D1">
      <w:pPr>
        <w:pStyle w:val="libNormal"/>
        <w:rPr>
          <w:rtl/>
          <w:lang w:bidi="fa-IR"/>
        </w:rPr>
      </w:pPr>
      <w:r w:rsidRPr="00132E65">
        <w:rPr>
          <w:rtl/>
          <w:lang w:bidi="fa-IR"/>
        </w:rPr>
        <w:t>فَقُلْتُ لَهُمْ : أَنَا أَعْلَمُ أَنَّ مُحَمَّداً نَبِيٌّ ، و</w:t>
      </w:r>
      <w:r w:rsidR="00FB4F3E">
        <w:rPr>
          <w:rFonts w:hint="cs"/>
          <w:rtl/>
          <w:lang w:bidi="fa-IR"/>
        </w:rPr>
        <w:t>َ</w:t>
      </w:r>
      <w:r w:rsidRPr="00132E65">
        <w:rPr>
          <w:rtl/>
          <w:lang w:bidi="fa-IR"/>
        </w:rPr>
        <w:t>لَا</w:t>
      </w:r>
      <w:r>
        <w:rPr>
          <w:rFonts w:hint="cs"/>
          <w:rtl/>
          <w:lang w:bidi="fa-IR"/>
        </w:rPr>
        <w:t xml:space="preserve"> </w:t>
      </w:r>
      <w:r w:rsidRPr="00132E65">
        <w:rPr>
          <w:rtl/>
          <w:lang w:bidi="fa-IR"/>
        </w:rPr>
        <w:t xml:space="preserve">أَعْلَمُهُ هذَا الَّذِي تَصِفُونَ أَمْ لَا </w:t>
      </w:r>
      <w:r>
        <w:rPr>
          <w:rStyle w:val="libFootnotenumChar"/>
          <w:rtl/>
        </w:rPr>
        <w:t>(4)</w:t>
      </w:r>
      <w:r>
        <w:rPr>
          <w:rtl/>
          <w:lang w:bidi="fa-IR"/>
        </w:rPr>
        <w:t>؟</w:t>
      </w:r>
      <w:r>
        <w:rPr>
          <w:rFonts w:hint="cs"/>
          <w:rtl/>
          <w:lang w:bidi="fa-IR"/>
        </w:rPr>
        <w:t xml:space="preserve"> </w:t>
      </w:r>
      <w:r w:rsidRPr="00132E65">
        <w:rPr>
          <w:rtl/>
          <w:lang w:bidi="fa-IR"/>
        </w:rPr>
        <w:t xml:space="preserve">فَأَعْلِمُونِي مَوْضِعَهُ لِأَقْصِدَهُ ، فَأُسَائِلَهُ </w:t>
      </w:r>
      <w:r>
        <w:rPr>
          <w:rStyle w:val="libFootnotenumChar"/>
          <w:rtl/>
        </w:rPr>
        <w:t>(5)</w:t>
      </w:r>
      <w:r w:rsidRPr="00132E65">
        <w:rPr>
          <w:rtl/>
          <w:lang w:bidi="fa-IR"/>
        </w:rPr>
        <w:t xml:space="preserve"> عَنْ </w:t>
      </w:r>
      <w:r>
        <w:rPr>
          <w:rStyle w:val="libFootnotenumChar"/>
          <w:rtl/>
        </w:rPr>
        <w:t>(6)</w:t>
      </w:r>
      <w:r w:rsidRPr="00132E65">
        <w:rPr>
          <w:rtl/>
          <w:lang w:bidi="fa-IR"/>
        </w:rPr>
        <w:t xml:space="preserve"> عَلَامَاتٍ عِنْدِي و</w:t>
      </w:r>
      <w:r w:rsidR="00FB4F3E">
        <w:rPr>
          <w:rFonts w:hint="cs"/>
          <w:rtl/>
          <w:lang w:bidi="fa-IR"/>
        </w:rPr>
        <w:t>َ</w:t>
      </w:r>
      <w:r w:rsidRPr="00132E65">
        <w:rPr>
          <w:rtl/>
          <w:lang w:bidi="fa-IR"/>
        </w:rPr>
        <w:t xml:space="preserve">دَلَالَاتٍ ، فَإِنْ كَانَ صَاحِبِيَ الَّذِي طَلَبْتُ آمَنْتُ بِهِ ، فَقَالُوا : قَدْ مَضى </w:t>
      </w:r>
      <w:r w:rsidRPr="00071CF9">
        <w:rPr>
          <w:rStyle w:val="libAlaemChar"/>
          <w:rtl/>
        </w:rPr>
        <w:t>عليه‌السلام</w:t>
      </w:r>
      <w:r w:rsidRPr="00132E65">
        <w:rPr>
          <w:rtl/>
          <w:lang w:bidi="fa-IR"/>
        </w:rPr>
        <w:t xml:space="preserve"> </w:t>
      </w:r>
      <w:r>
        <w:rPr>
          <w:rStyle w:val="libFootnotenumChar"/>
          <w:rtl/>
        </w:rPr>
        <w:t>(7)</w:t>
      </w:r>
      <w:r w:rsidRPr="00132E65">
        <w:rPr>
          <w:rtl/>
          <w:lang w:bidi="fa-IR"/>
        </w:rPr>
        <w:t xml:space="preserve"> ، فَقُلْتُ : فَمَنْ </w:t>
      </w:r>
      <w:r>
        <w:rPr>
          <w:rStyle w:val="libFootnotenumChar"/>
          <w:rtl/>
        </w:rPr>
        <w:t>(8)</w:t>
      </w:r>
      <w:r w:rsidRPr="00132E65">
        <w:rPr>
          <w:rtl/>
          <w:lang w:bidi="fa-IR"/>
        </w:rPr>
        <w:t xml:space="preserve"> وصِيُّهُ وخَلِيفَتُهُ</w:t>
      </w:r>
      <w:r>
        <w:rPr>
          <w:rtl/>
          <w:lang w:bidi="fa-IR"/>
        </w:rPr>
        <w:t>؟</w:t>
      </w:r>
      <w:r w:rsidRPr="00132E65">
        <w:rPr>
          <w:rtl/>
          <w:lang w:bidi="fa-IR"/>
        </w:rPr>
        <w:t xml:space="preserve"> فَقَالُوا : أَبُو بَكْرٍ.</w:t>
      </w:r>
    </w:p>
    <w:p w:rsidR="000C39D1" w:rsidRPr="00132E65" w:rsidRDefault="000C39D1" w:rsidP="000C39D1">
      <w:pPr>
        <w:pStyle w:val="libNormal"/>
        <w:rPr>
          <w:rtl/>
          <w:lang w:bidi="fa-IR"/>
        </w:rPr>
      </w:pPr>
      <w:r w:rsidRPr="00132E65">
        <w:rPr>
          <w:rtl/>
          <w:lang w:bidi="fa-IR"/>
        </w:rPr>
        <w:t>قُلْتُ : فَسَمُّوهُ لِي ؛ فَإِنَّ هذِهِ كُنْيَتُهُ ، قَالُوا : عَبْدُ اللهِ بْنُ عُثْمَانَ ، ونَسَبُوهُ إِلى قُرَيْشٍ.</w:t>
      </w:r>
    </w:p>
    <w:p w:rsidR="000C39D1" w:rsidRPr="00132E65" w:rsidRDefault="000C39D1" w:rsidP="000C39D1">
      <w:pPr>
        <w:pStyle w:val="libNormal"/>
        <w:rPr>
          <w:rtl/>
          <w:lang w:bidi="fa-IR"/>
        </w:rPr>
      </w:pPr>
      <w:r w:rsidRPr="00132E65">
        <w:rPr>
          <w:rtl/>
          <w:lang w:bidi="fa-IR"/>
        </w:rPr>
        <w:t xml:space="preserve">قُلْتُ </w:t>
      </w:r>
      <w:r>
        <w:rPr>
          <w:rStyle w:val="libFootnotenumChar"/>
          <w:rtl/>
        </w:rPr>
        <w:t>(9)</w:t>
      </w:r>
      <w:r w:rsidRPr="00132E65">
        <w:rPr>
          <w:rtl/>
          <w:lang w:bidi="fa-IR"/>
        </w:rPr>
        <w:t xml:space="preserve"> : فَانْسُبُوا لِي مُحَمَّداً نَبِيَّكُمْ ، فَنَسَبُوهُ لِي ، فَقُلْتُ : لَيْسَ هذَا صَاحِبِيَ الَّذِي طَلَبْتُ </w:t>
      </w:r>
      <w:r>
        <w:rPr>
          <w:rStyle w:val="libFootnotenumChar"/>
          <w:rtl/>
        </w:rPr>
        <w:t>(10)</w:t>
      </w:r>
      <w:r w:rsidRPr="00132E65">
        <w:rPr>
          <w:rtl/>
          <w:lang w:bidi="fa-IR"/>
        </w:rPr>
        <w:t xml:space="preserve"> ، صَاحِبِيَ الَّذِي أَطْلُبُهُ خَلِيفَتُهُ أَخُوهُ فِي الدِّينِ ، وابْنُ عَمِّهِ فِي النَّسَبِ ، وزَوْجُ ابْنَتِهِ ، وأَبُو ولْدِهِ ، لَيْسَ </w:t>
      </w:r>
      <w:r>
        <w:rPr>
          <w:rStyle w:val="libFootnotenumChar"/>
          <w:rtl/>
        </w:rPr>
        <w:t>(11)</w:t>
      </w:r>
      <w:r w:rsidRPr="00132E65">
        <w:rPr>
          <w:rtl/>
          <w:lang w:bidi="fa-IR"/>
        </w:rPr>
        <w:t xml:space="preserve"> لِهذَا النَّبِيِّ ذُرِّيَّةٌ عَلَى الْأَرْضِ غَيْرُ ولْدِ هذَا الرَّجُلِ الَّذِي هُوَ خَلِيفَتُهُ.</w:t>
      </w:r>
    </w:p>
    <w:p w:rsidR="000C39D1" w:rsidRPr="00132E65" w:rsidRDefault="000C39D1" w:rsidP="000C39D1">
      <w:pPr>
        <w:pStyle w:val="libNormal"/>
        <w:rPr>
          <w:rtl/>
          <w:lang w:bidi="fa-IR"/>
        </w:rPr>
      </w:pPr>
      <w:r w:rsidRPr="00132E65">
        <w:rPr>
          <w:rtl/>
          <w:lang w:bidi="fa-IR"/>
        </w:rPr>
        <w:t xml:space="preserve">قَالَ </w:t>
      </w:r>
      <w:r>
        <w:rPr>
          <w:rStyle w:val="libFootnotenumChar"/>
          <w:rtl/>
        </w:rPr>
        <w:t>(12)</w:t>
      </w:r>
      <w:r w:rsidRPr="00132E65">
        <w:rPr>
          <w:rtl/>
          <w:lang w:bidi="fa-IR"/>
        </w:rPr>
        <w:t xml:space="preserve"> : فَوَثَبُوا بِي </w:t>
      </w:r>
      <w:r w:rsidRPr="00F543F1">
        <w:rPr>
          <w:rStyle w:val="libFootnotenumChar"/>
          <w:rtl/>
        </w:rPr>
        <w:t>(13)</w:t>
      </w:r>
      <w:r w:rsidRPr="00132E65">
        <w:rPr>
          <w:rtl/>
          <w:lang w:bidi="fa-IR"/>
        </w:rPr>
        <w:t xml:space="preserve"> ، و</w:t>
      </w:r>
      <w:r w:rsidR="007425B1">
        <w:rPr>
          <w:rFonts w:hint="cs"/>
          <w:rtl/>
          <w:lang w:bidi="fa-IR"/>
        </w:rPr>
        <w:t>َ</w:t>
      </w:r>
      <w:r w:rsidRPr="00132E65">
        <w:rPr>
          <w:rtl/>
          <w:lang w:bidi="fa-IR"/>
        </w:rPr>
        <w:t xml:space="preserve">قَالُوا : أَيُّهَا الْأَمِيرُ ، إِنَّ هذَا قَدْ خَرَجَ مِنَ الشِّرْكِ إِلَى الْكُفْرِ ، هذَا حَلَالُ الدَّمِ ، فَقُلْتُ لَهُمْ : يَا قَوْمُ ، أَنَا رَجُلٌ مَعِي دِينٌ ، مُتَمَسِّكٌ </w:t>
      </w:r>
      <w:r w:rsidRPr="00F543F1">
        <w:rPr>
          <w:rStyle w:val="libFootnotenumChar"/>
          <w:rtl/>
        </w:rPr>
        <w:t>(14)</w:t>
      </w:r>
      <w:r w:rsidRPr="00132E65">
        <w:rPr>
          <w:rtl/>
          <w:lang w:bidi="fa-IR"/>
        </w:rPr>
        <w:t xml:space="preserve"> بِهِ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7425B1" w:rsidTr="007425B1">
        <w:tc>
          <w:tcPr>
            <w:tcW w:w="4261" w:type="dxa"/>
          </w:tcPr>
          <w:p w:rsidR="007425B1" w:rsidRDefault="007425B1" w:rsidP="000C39D1">
            <w:pPr>
              <w:pStyle w:val="libFootnote0"/>
              <w:rPr>
                <w:rtl/>
              </w:rPr>
            </w:pPr>
            <w:r>
              <w:rPr>
                <w:rtl/>
              </w:rPr>
              <w:t>(1).</w:t>
            </w:r>
            <w:r w:rsidRPr="00132E65">
              <w:rPr>
                <w:rtl/>
              </w:rPr>
              <w:t xml:space="preserve"> في « ف » : « وهذا النبيّ أطلب »</w:t>
            </w:r>
            <w:r>
              <w:rPr>
                <w:rtl/>
              </w:rPr>
              <w:t>.</w:t>
            </w:r>
          </w:p>
        </w:tc>
        <w:tc>
          <w:tcPr>
            <w:tcW w:w="4262" w:type="dxa"/>
          </w:tcPr>
          <w:p w:rsidR="007425B1" w:rsidRDefault="007425B1" w:rsidP="000C39D1">
            <w:pPr>
              <w:pStyle w:val="libFootnote0"/>
              <w:rPr>
                <w:rtl/>
              </w:rPr>
            </w:pPr>
            <w:r>
              <w:rPr>
                <w:rtl/>
              </w:rPr>
              <w:t>(2).</w:t>
            </w:r>
            <w:r w:rsidRPr="00132E65">
              <w:rPr>
                <w:rtl/>
              </w:rPr>
              <w:t xml:space="preserve"> الأنسب بالمقام : « فقالوا »</w:t>
            </w:r>
            <w:r>
              <w:rPr>
                <w:rtl/>
              </w:rPr>
              <w:t>.</w:t>
            </w:r>
          </w:p>
        </w:tc>
      </w:tr>
    </w:tbl>
    <w:p w:rsidR="000C39D1" w:rsidRPr="00132E65" w:rsidRDefault="000C39D1" w:rsidP="000C39D1">
      <w:pPr>
        <w:pStyle w:val="libFootnote0"/>
        <w:rPr>
          <w:rtl/>
          <w:lang w:bidi="fa-IR"/>
        </w:rPr>
      </w:pPr>
      <w:r>
        <w:rPr>
          <w:rtl/>
        </w:rPr>
        <w:t>(3).</w:t>
      </w:r>
      <w:r w:rsidRPr="00132E65">
        <w:rPr>
          <w:rtl/>
        </w:rPr>
        <w:t xml:space="preserve"> هكذا في « بف ، بر » وحاشية « ج »</w:t>
      </w:r>
      <w:r>
        <w:rPr>
          <w:rtl/>
        </w:rPr>
        <w:t>.</w:t>
      </w:r>
      <w:r w:rsidRPr="00132E65">
        <w:rPr>
          <w:rtl/>
        </w:rPr>
        <w:t xml:space="preserve"> وهو الأنسب بالمقام. وفي « ب ، ض ، ج ، ف ، بس » والمطبوع : « فقال »</w:t>
      </w:r>
      <w:r>
        <w:rPr>
          <w:rtl/>
        </w:rPr>
        <w:t>.</w:t>
      </w:r>
    </w:p>
    <w:p w:rsidR="000C39D1" w:rsidRPr="00132E65" w:rsidRDefault="000C39D1" w:rsidP="000C39D1">
      <w:pPr>
        <w:pStyle w:val="libFootnote0"/>
        <w:rPr>
          <w:rtl/>
          <w:lang w:bidi="fa-IR"/>
        </w:rPr>
      </w:pPr>
      <w:r>
        <w:rPr>
          <w:rtl/>
        </w:rPr>
        <w:t>(4).</w:t>
      </w:r>
      <w:r w:rsidRPr="00132E65">
        <w:rPr>
          <w:rtl/>
        </w:rPr>
        <w:t xml:space="preserve"> أي ولا أعلم أنّه هذا الذي تصفون أم لا.</w:t>
      </w:r>
    </w:p>
    <w:p w:rsidR="000C39D1" w:rsidRPr="00132E65" w:rsidRDefault="000C39D1" w:rsidP="000C39D1">
      <w:pPr>
        <w:pStyle w:val="libFootnote0"/>
        <w:rPr>
          <w:rtl/>
          <w:lang w:bidi="fa-IR"/>
        </w:rPr>
      </w:pPr>
      <w:r>
        <w:rPr>
          <w:rtl/>
        </w:rPr>
        <w:t>(5).</w:t>
      </w:r>
      <w:r w:rsidRPr="00132E65">
        <w:rPr>
          <w:rtl/>
        </w:rPr>
        <w:t xml:space="preserve"> في حاشية « ج ، ف ، بف » : « فأسأله »</w:t>
      </w:r>
      <w:r>
        <w:rPr>
          <w:rtl/>
        </w:rPr>
        <w:t>.</w:t>
      </w:r>
    </w:p>
    <w:p w:rsidR="000C39D1" w:rsidRPr="00132E65" w:rsidRDefault="000C39D1" w:rsidP="000C39D1">
      <w:pPr>
        <w:pStyle w:val="libFootnote0"/>
        <w:rPr>
          <w:rtl/>
          <w:lang w:bidi="fa-IR"/>
        </w:rPr>
      </w:pPr>
      <w:r>
        <w:rPr>
          <w:rtl/>
        </w:rPr>
        <w:t>(6).</w:t>
      </w:r>
      <w:r w:rsidRPr="00132E65">
        <w:rPr>
          <w:rtl/>
        </w:rPr>
        <w:t xml:space="preserve"> في « ف ، بر » : « من »</w:t>
      </w:r>
      <w:r>
        <w:rPr>
          <w:rtl/>
        </w:rPr>
        <w:t>.</w:t>
      </w:r>
    </w:p>
    <w:p w:rsidR="000C39D1" w:rsidRPr="00132E65" w:rsidRDefault="000C39D1" w:rsidP="0006034E">
      <w:pPr>
        <w:pStyle w:val="libFootnote0"/>
        <w:rPr>
          <w:rtl/>
          <w:lang w:bidi="fa-IR"/>
        </w:rPr>
      </w:pPr>
      <w:r>
        <w:rPr>
          <w:rtl/>
        </w:rPr>
        <w:t>(7).</w:t>
      </w:r>
      <w:r w:rsidRPr="00132E65">
        <w:rPr>
          <w:rtl/>
        </w:rPr>
        <w:t xml:space="preserve"> هكذا في « ب ، ج ، ف ، بح ، بر ، بف »</w:t>
      </w:r>
      <w:r>
        <w:rPr>
          <w:rtl/>
        </w:rPr>
        <w:t>.</w:t>
      </w:r>
      <w:r w:rsidRPr="00132E65">
        <w:rPr>
          <w:rtl/>
        </w:rPr>
        <w:t xml:space="preserve"> وفي « بس » : « </w:t>
      </w:r>
      <w:r w:rsidRPr="0006034E">
        <w:rPr>
          <w:rtl/>
        </w:rPr>
        <w:t>عليه</w:t>
      </w:r>
      <w:r w:rsidR="0006034E">
        <w:rPr>
          <w:rFonts w:hint="cs"/>
          <w:rtl/>
        </w:rPr>
        <w:t xml:space="preserve"> </w:t>
      </w:r>
      <w:r w:rsidRPr="0006034E">
        <w:rPr>
          <w:rtl/>
        </w:rPr>
        <w:t>‌السلام</w:t>
      </w:r>
      <w:r w:rsidRPr="00132E65">
        <w:rPr>
          <w:rtl/>
        </w:rPr>
        <w:t xml:space="preserve"> وآله »</w:t>
      </w:r>
      <w:r>
        <w:rPr>
          <w:rtl/>
        </w:rPr>
        <w:t>.</w:t>
      </w:r>
      <w:r w:rsidRPr="00132E65">
        <w:rPr>
          <w:rtl/>
        </w:rPr>
        <w:t xml:space="preserve"> في « ض » </w:t>
      </w:r>
      <w:r>
        <w:rPr>
          <w:rtl/>
        </w:rPr>
        <w:t xml:space="preserve">: - </w:t>
      </w:r>
      <w:r w:rsidRPr="00132E65">
        <w:rPr>
          <w:rtl/>
        </w:rPr>
        <w:t xml:space="preserve">« </w:t>
      </w:r>
      <w:r w:rsidRPr="007425B1">
        <w:rPr>
          <w:rStyle w:val="libFootnoteAlaemChar"/>
          <w:rtl/>
        </w:rPr>
        <w:t>عليه‌السلام</w:t>
      </w:r>
      <w:r w:rsidRPr="00132E65">
        <w:rPr>
          <w:rtl/>
        </w:rPr>
        <w:t xml:space="preserve"> »</w:t>
      </w:r>
      <w:r>
        <w:rPr>
          <w:rtl/>
        </w:rPr>
        <w:t>.</w:t>
      </w:r>
      <w:r w:rsidRPr="00132E65">
        <w:rPr>
          <w:rtl/>
        </w:rPr>
        <w:t xml:space="preserve"> وفي‌المطبوع : « </w:t>
      </w:r>
      <w:r w:rsidRPr="007425B1">
        <w:rPr>
          <w:rStyle w:val="libFootnoteAlaemChar"/>
          <w:rFonts w:eastAsiaTheme="minorHAnsi"/>
          <w:rtl/>
        </w:rPr>
        <w:t>صلى‌الله‌عليه‌وآله</w:t>
      </w:r>
      <w:r w:rsidRPr="00132E65">
        <w:rPr>
          <w:rtl/>
          <w:lang w:bidi="fa-IR"/>
        </w:rPr>
        <w:t xml:space="preserve"> </w:t>
      </w:r>
      <w:r w:rsidRPr="00132E65">
        <w:rPr>
          <w:rtl/>
        </w:rPr>
        <w:t>»</w:t>
      </w:r>
      <w:r>
        <w:rPr>
          <w:rtl/>
        </w:rPr>
        <w:t>.</w:t>
      </w:r>
      <w:r w:rsidR="009263E2">
        <w:rPr>
          <w:rFonts w:hint="cs"/>
          <w:rtl/>
        </w:rPr>
        <w:t xml:space="preserve">                   </w:t>
      </w:r>
      <w:r w:rsidR="0006034E">
        <w:rPr>
          <w:rFonts w:hint="cs"/>
          <w:rtl/>
        </w:rPr>
        <w:t xml:space="preserve">                </w:t>
      </w:r>
      <w:r w:rsidR="009263E2">
        <w:rPr>
          <w:rFonts w:hint="cs"/>
          <w:rtl/>
        </w:rPr>
        <w:t xml:space="preserve">    </w:t>
      </w:r>
      <w:r>
        <w:rPr>
          <w:rtl/>
        </w:rPr>
        <w:t>(8).</w:t>
      </w:r>
      <w:r w:rsidRPr="00132E65">
        <w:rPr>
          <w:rtl/>
        </w:rPr>
        <w:t xml:space="preserve"> في « ب ، بر ، بف » : « ومن »</w:t>
      </w:r>
      <w:r>
        <w:rPr>
          <w:rtl/>
        </w:rPr>
        <w:t>.</w:t>
      </w:r>
    </w:p>
    <w:tbl>
      <w:tblPr>
        <w:tblStyle w:val="TableGrid"/>
        <w:bidiVisual/>
        <w:tblW w:w="0" w:type="auto"/>
        <w:tblLook w:val="04A0" w:firstRow="1" w:lastRow="0" w:firstColumn="1" w:lastColumn="0" w:noHBand="0" w:noVBand="1"/>
      </w:tblPr>
      <w:tblGrid>
        <w:gridCol w:w="4261"/>
        <w:gridCol w:w="4262"/>
      </w:tblGrid>
      <w:tr w:rsidR="009263E2" w:rsidTr="009263E2">
        <w:tc>
          <w:tcPr>
            <w:tcW w:w="4261" w:type="dxa"/>
          </w:tcPr>
          <w:p w:rsidR="009263E2" w:rsidRDefault="009263E2" w:rsidP="000C39D1">
            <w:pPr>
              <w:pStyle w:val="libFootnote0"/>
              <w:rPr>
                <w:rtl/>
              </w:rPr>
            </w:pPr>
            <w:r>
              <w:rPr>
                <w:rtl/>
              </w:rPr>
              <w:t>(9).</w:t>
            </w:r>
            <w:r w:rsidRPr="00132E65">
              <w:rPr>
                <w:rtl/>
              </w:rPr>
              <w:t xml:space="preserve"> في « بر » : « قلنا »</w:t>
            </w:r>
            <w:r>
              <w:rPr>
                <w:rtl/>
              </w:rPr>
              <w:t>.</w:t>
            </w:r>
          </w:p>
        </w:tc>
        <w:tc>
          <w:tcPr>
            <w:tcW w:w="4262" w:type="dxa"/>
          </w:tcPr>
          <w:p w:rsidR="009263E2" w:rsidRDefault="009263E2" w:rsidP="000C39D1">
            <w:pPr>
              <w:pStyle w:val="libFootnote0"/>
              <w:rPr>
                <w:rtl/>
              </w:rPr>
            </w:pPr>
            <w:r>
              <w:rPr>
                <w:rtl/>
              </w:rPr>
              <w:t>(10).</w:t>
            </w:r>
            <w:r w:rsidRPr="00132E65">
              <w:rPr>
                <w:rtl/>
              </w:rPr>
              <w:t xml:space="preserve"> في « بف » :</w:t>
            </w:r>
            <w:r>
              <w:rPr>
                <w:rtl/>
              </w:rPr>
              <w:t xml:space="preserve"> + </w:t>
            </w:r>
            <w:r w:rsidRPr="00132E65">
              <w:rPr>
                <w:rtl/>
              </w:rPr>
              <w:t>«</w:t>
            </w:r>
            <w:r>
              <w:rPr>
                <w:rtl/>
              </w:rPr>
              <w:t xml:space="preserve"> و ».</w:t>
            </w:r>
          </w:p>
        </w:tc>
      </w:tr>
      <w:tr w:rsidR="009263E2" w:rsidTr="009263E2">
        <w:tc>
          <w:tcPr>
            <w:tcW w:w="4261" w:type="dxa"/>
          </w:tcPr>
          <w:p w:rsidR="009263E2" w:rsidRDefault="009263E2" w:rsidP="000C39D1">
            <w:pPr>
              <w:pStyle w:val="libFootnote0"/>
              <w:rPr>
                <w:rtl/>
              </w:rPr>
            </w:pPr>
            <w:r>
              <w:rPr>
                <w:rtl/>
              </w:rPr>
              <w:t>(11).</w:t>
            </w:r>
            <w:r w:rsidRPr="00132E65">
              <w:rPr>
                <w:rtl/>
              </w:rPr>
              <w:t xml:space="preserve"> في « ب ، ج ، بر ، بح » : « وليس »</w:t>
            </w:r>
            <w:r>
              <w:rPr>
                <w:rtl/>
              </w:rPr>
              <w:t>.</w:t>
            </w:r>
          </w:p>
        </w:tc>
        <w:tc>
          <w:tcPr>
            <w:tcW w:w="4262" w:type="dxa"/>
          </w:tcPr>
          <w:p w:rsidR="009263E2" w:rsidRDefault="009263E2" w:rsidP="000C39D1">
            <w:pPr>
              <w:pStyle w:val="libFootnote0"/>
              <w:rPr>
                <w:rtl/>
              </w:rPr>
            </w:pPr>
            <w:r>
              <w:rPr>
                <w:rtl/>
              </w:rPr>
              <w:t>(12).</w:t>
            </w:r>
            <w:r w:rsidRPr="00132E65">
              <w:rPr>
                <w:rtl/>
              </w:rPr>
              <w:t xml:space="preserve"> في « بح » </w:t>
            </w:r>
            <w:r>
              <w:rPr>
                <w:rtl/>
              </w:rPr>
              <w:t xml:space="preserve">: - </w:t>
            </w:r>
            <w:r w:rsidRPr="00132E65">
              <w:rPr>
                <w:rtl/>
              </w:rPr>
              <w:t>« قال »</w:t>
            </w:r>
            <w:r>
              <w:rPr>
                <w:rtl/>
              </w:rPr>
              <w:t>.</w:t>
            </w:r>
          </w:p>
        </w:tc>
      </w:tr>
    </w:tbl>
    <w:p w:rsidR="000C39D1" w:rsidRPr="00132E65" w:rsidRDefault="000C39D1" w:rsidP="000C39D1">
      <w:pPr>
        <w:pStyle w:val="libFootnote0"/>
        <w:rPr>
          <w:rtl/>
          <w:lang w:bidi="fa-IR"/>
        </w:rPr>
      </w:pPr>
      <w:r>
        <w:rPr>
          <w:rtl/>
        </w:rPr>
        <w:t>(13)</w:t>
      </w:r>
      <w:r w:rsidRPr="00132E65">
        <w:rPr>
          <w:rtl/>
        </w:rPr>
        <w:t xml:space="preserve"> في « بر » : « إليّ »</w:t>
      </w:r>
      <w:r>
        <w:rPr>
          <w:rtl/>
        </w:rPr>
        <w:t>.</w:t>
      </w:r>
      <w:r w:rsidRPr="00132E65">
        <w:rPr>
          <w:rtl/>
        </w:rPr>
        <w:t xml:space="preserve"> وفي « ج ، بف » : « لي »</w:t>
      </w:r>
      <w:r>
        <w:rPr>
          <w:rtl/>
        </w:rPr>
        <w:t>.</w:t>
      </w:r>
    </w:p>
    <w:p w:rsidR="000C39D1" w:rsidRPr="00132E65" w:rsidRDefault="000C39D1" w:rsidP="0006034E">
      <w:pPr>
        <w:pStyle w:val="libFootnote0"/>
        <w:rPr>
          <w:rtl/>
          <w:lang w:bidi="fa-IR"/>
        </w:rPr>
      </w:pPr>
      <w:r>
        <w:rPr>
          <w:rtl/>
        </w:rPr>
        <w:t>(14)</w:t>
      </w:r>
      <w:r w:rsidRPr="00132E65">
        <w:rPr>
          <w:rtl/>
        </w:rPr>
        <w:t xml:space="preserve"> في </w:t>
      </w:r>
      <w:r w:rsidRPr="009D1ACE">
        <w:rPr>
          <w:rStyle w:val="libFootnoteBoldChar"/>
          <w:rtl/>
        </w:rPr>
        <w:t>مرآة العقول</w:t>
      </w:r>
      <w:r w:rsidRPr="00132E65">
        <w:rPr>
          <w:rtl/>
        </w:rPr>
        <w:t xml:space="preserve"> : « متمسّك ، بالكسر نعت لِ</w:t>
      </w:r>
      <w:r>
        <w:rPr>
          <w:rFonts w:hint="cs"/>
          <w:rtl/>
        </w:rPr>
        <w:t>-</w:t>
      </w:r>
      <w:r w:rsidRPr="00132E65">
        <w:rPr>
          <w:rtl/>
        </w:rPr>
        <w:t xml:space="preserve"> « رجل » أو بالفتح نعت لِ</w:t>
      </w:r>
      <w:r w:rsidR="0006034E">
        <w:rPr>
          <w:rFonts w:hint="cs"/>
          <w:rtl/>
        </w:rPr>
        <w:t>ـ</w:t>
      </w:r>
      <w:r w:rsidRPr="00132E65">
        <w:rPr>
          <w:rtl/>
        </w:rPr>
        <w:t xml:space="preserve"> « دين » ، </w:t>
      </w:r>
      <w:r>
        <w:rPr>
          <w:rtl/>
        </w:rPr>
        <w:t>و «</w:t>
      </w:r>
      <w:r w:rsidR="0006034E">
        <w:rPr>
          <w:rtl/>
        </w:rPr>
        <w:t xml:space="preserve"> به » نائب الفاعل على</w:t>
      </w:r>
      <w:r w:rsidR="00247BC6">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لَا </w:t>
      </w:r>
      <w:r>
        <w:rPr>
          <w:rStyle w:val="libFootnotenumChar"/>
          <w:rtl/>
        </w:rPr>
        <w:t>(1)</w:t>
      </w:r>
      <w:r w:rsidRPr="00132E65">
        <w:rPr>
          <w:rtl/>
          <w:lang w:bidi="fa-IR"/>
        </w:rPr>
        <w:t xml:space="preserve"> أُفَارِقُهُ حَتّى أَرى مَا هُوَ أَقْوى مِنْهُ ، إِنِّي و</w:t>
      </w:r>
      <w:r w:rsidR="00E50FB1">
        <w:rPr>
          <w:rFonts w:hint="cs"/>
          <w:rtl/>
          <w:lang w:bidi="fa-IR"/>
        </w:rPr>
        <w:t>َ</w:t>
      </w:r>
      <w:r w:rsidRPr="00132E65">
        <w:rPr>
          <w:rtl/>
          <w:lang w:bidi="fa-IR"/>
        </w:rPr>
        <w:t>جَدْتُ صِفَةَ هذَا الرَّجُلِ فِي الْكُتُبِ الَّتِي أَنْزَلَهَا اللهُ عَلى‌أَنْبِيَائِهِ ، و</w:t>
      </w:r>
      <w:r w:rsidR="00E50FB1">
        <w:rPr>
          <w:rFonts w:hint="cs"/>
          <w:rtl/>
          <w:lang w:bidi="fa-IR"/>
        </w:rPr>
        <w:t>َ</w:t>
      </w:r>
      <w:r w:rsidRPr="00132E65">
        <w:rPr>
          <w:rtl/>
          <w:lang w:bidi="fa-IR"/>
        </w:rPr>
        <w:t xml:space="preserve">إِنَّمَا خَرَجْتُ مِنْ بِلَادِ الْهِنْدِ ومِنَ الْعِزِّ الَّذِي كُنْتُ فِيهِ طَلَباً لَهُ ، فَلَمَّا فَحَصْتُ عَنْ أَمْرِ صَاحِبِكُمُ الَّذِي ذَكَرْتُمْ ، لَمْ يَكُنِ النَّبِيَّ الْمَوْصُوفَ فِي الْكُتُبِ ، فَكَفُّوا </w:t>
      </w:r>
      <w:r>
        <w:rPr>
          <w:rStyle w:val="libFootnotenumChar"/>
          <w:rtl/>
        </w:rPr>
        <w:t>(2)</w:t>
      </w:r>
      <w:r w:rsidRPr="00132E65">
        <w:rPr>
          <w:rtl/>
          <w:lang w:bidi="fa-IR"/>
        </w:rPr>
        <w:t xml:space="preserve"> عَنِّي.</w:t>
      </w:r>
    </w:p>
    <w:p w:rsidR="000C39D1" w:rsidRPr="00132E65" w:rsidRDefault="000C39D1" w:rsidP="000C39D1">
      <w:pPr>
        <w:pStyle w:val="libNormal"/>
        <w:rPr>
          <w:rtl/>
          <w:lang w:bidi="fa-IR"/>
        </w:rPr>
      </w:pPr>
      <w:r w:rsidRPr="00132E65">
        <w:rPr>
          <w:rtl/>
          <w:lang w:bidi="fa-IR"/>
        </w:rPr>
        <w:t>وَبَعَثَ الْعَامِلُ إِلى رَجُلٍ</w:t>
      </w:r>
      <w:r>
        <w:rPr>
          <w:rtl/>
          <w:lang w:bidi="fa-IR"/>
        </w:rPr>
        <w:t xml:space="preserve"> - </w:t>
      </w:r>
      <w:r w:rsidRPr="00132E65">
        <w:rPr>
          <w:rtl/>
          <w:lang w:bidi="fa-IR"/>
        </w:rPr>
        <w:t xml:space="preserve">يُقَالُ لَهُ : الْحُسَيْنُ بْنُ إِشْكِيبَ </w:t>
      </w:r>
      <w:r>
        <w:rPr>
          <w:rStyle w:val="libFootnotenumChar"/>
          <w:rtl/>
        </w:rPr>
        <w:t>(3)</w:t>
      </w:r>
      <w:r>
        <w:rPr>
          <w:rtl/>
          <w:lang w:bidi="fa-IR"/>
        </w:rPr>
        <w:t xml:space="preserve"> - </w:t>
      </w:r>
      <w:r w:rsidRPr="00132E65">
        <w:rPr>
          <w:rtl/>
          <w:lang w:bidi="fa-IR"/>
        </w:rPr>
        <w:t xml:space="preserve">فَدَعَاهُ ، فَقَالَ لَهُ : نَاظِرْ هذَا الرَّجُلَ الْهِنْدِيَّ ، فَقَالَ لَهُ الْحُسَيْنُ </w:t>
      </w:r>
      <w:r>
        <w:rPr>
          <w:rStyle w:val="libFootnotenumChar"/>
          <w:rtl/>
        </w:rPr>
        <w:t>(4)</w:t>
      </w:r>
      <w:r w:rsidRPr="00132E65">
        <w:rPr>
          <w:rtl/>
          <w:lang w:bidi="fa-IR"/>
        </w:rPr>
        <w:t xml:space="preserve"> : أَصْلَحَكَ اللهُ ، عِنْدَكَ الْفُقَهَاءُ و</w:t>
      </w:r>
      <w:r w:rsidR="00FA0271">
        <w:rPr>
          <w:rFonts w:hint="cs"/>
          <w:rtl/>
          <w:lang w:bidi="fa-IR"/>
        </w:rPr>
        <w:t>َ</w:t>
      </w:r>
      <w:r w:rsidRPr="00132E65">
        <w:rPr>
          <w:rtl/>
          <w:lang w:bidi="fa-IR"/>
        </w:rPr>
        <w:t>الْعُلَمَاءُ و</w:t>
      </w:r>
      <w:r w:rsidR="00FA0271">
        <w:rPr>
          <w:rFonts w:hint="cs"/>
          <w:rtl/>
          <w:lang w:bidi="fa-IR"/>
        </w:rPr>
        <w:t>َ</w:t>
      </w:r>
      <w:r w:rsidRPr="00132E65">
        <w:rPr>
          <w:rtl/>
          <w:lang w:bidi="fa-IR"/>
        </w:rPr>
        <w:t>هُمْ أَعْلَمُ و</w:t>
      </w:r>
      <w:r w:rsidR="00FA0271">
        <w:rPr>
          <w:rFonts w:hint="cs"/>
          <w:rtl/>
          <w:lang w:bidi="fa-IR"/>
        </w:rPr>
        <w:t>َ</w:t>
      </w:r>
      <w:r w:rsidRPr="00132E65">
        <w:rPr>
          <w:rtl/>
          <w:lang w:bidi="fa-IR"/>
        </w:rPr>
        <w:t xml:space="preserve">أَبْصَرُ بِمُنَاظَرَتِهِ ، فَقَالَ لَهُ </w:t>
      </w:r>
      <w:r>
        <w:rPr>
          <w:rStyle w:val="libFootnotenumChar"/>
          <w:rtl/>
        </w:rPr>
        <w:t>(5)</w:t>
      </w:r>
      <w:r w:rsidRPr="00132E65">
        <w:rPr>
          <w:rtl/>
          <w:lang w:bidi="fa-IR"/>
        </w:rPr>
        <w:t xml:space="preserve"> : نَاظِرْهُ كَمَا أَقُولُ لَكَ ، واخْلُ بِهِ ، والْطُفْ لَهُ ، فَقَالَ لِيَ الْحُسَيْنُ بْنُ إِشْكِيبَ </w:t>
      </w:r>
      <w:r>
        <w:rPr>
          <w:rStyle w:val="libFootnotenumChar"/>
          <w:rtl/>
        </w:rPr>
        <w:t>(6)</w:t>
      </w:r>
      <w:r>
        <w:rPr>
          <w:rtl/>
          <w:lang w:bidi="fa-IR"/>
        </w:rPr>
        <w:t xml:space="preserve"> - </w:t>
      </w:r>
      <w:r w:rsidRPr="00132E65">
        <w:rPr>
          <w:rtl/>
          <w:lang w:bidi="fa-IR"/>
        </w:rPr>
        <w:t xml:space="preserve">بَعْدَ مَا فَاوَضْتُهُ </w:t>
      </w:r>
      <w:r>
        <w:rPr>
          <w:rStyle w:val="libFootnotenumChar"/>
          <w:rtl/>
        </w:rPr>
        <w:t>(7)</w:t>
      </w:r>
      <w:r>
        <w:rPr>
          <w:rtl/>
          <w:lang w:bidi="fa-IR"/>
        </w:rPr>
        <w:t xml:space="preserve"> - </w:t>
      </w:r>
      <w:r w:rsidRPr="00132E65">
        <w:rPr>
          <w:rtl/>
          <w:lang w:bidi="fa-IR"/>
        </w:rPr>
        <w:t>: إِنَّ صَاحِبَكَ الَّذِي تَطْلُبُهُ هُوَ النَّبِيُّ الَّذِي‌</w:t>
      </w:r>
    </w:p>
    <w:p w:rsidR="000C39D1" w:rsidRPr="00132E65" w:rsidRDefault="000C39D1" w:rsidP="000C39D1">
      <w:pPr>
        <w:pStyle w:val="libLine"/>
        <w:rPr>
          <w:rtl/>
          <w:lang w:bidi="fa-IR"/>
        </w:rPr>
      </w:pPr>
      <w:r w:rsidRPr="00132E65">
        <w:rPr>
          <w:rtl/>
          <w:lang w:bidi="fa-IR"/>
        </w:rPr>
        <w:t>__________________</w:t>
      </w:r>
    </w:p>
    <w:p w:rsidR="000C39D1" w:rsidRPr="00132E65" w:rsidRDefault="00FA0271" w:rsidP="000C39D1">
      <w:pPr>
        <w:pStyle w:val="libFootnote0"/>
        <w:rPr>
          <w:rtl/>
          <w:lang w:bidi="fa-IR"/>
        </w:rPr>
      </w:pPr>
      <w:r>
        <w:rPr>
          <w:rFonts w:hint="cs"/>
          <w:rtl/>
        </w:rPr>
        <w:t xml:space="preserve">= </w:t>
      </w:r>
      <w:r w:rsidR="000C39D1" w:rsidRPr="00132E65">
        <w:rPr>
          <w:rtl/>
        </w:rPr>
        <w:t>الأخير. والأوّل أظهر »</w:t>
      </w:r>
      <w:r w:rsidR="000C39D1">
        <w:rPr>
          <w:rtl/>
        </w:rPr>
        <w:t>.</w:t>
      </w:r>
    </w:p>
    <w:p w:rsidR="000C39D1" w:rsidRPr="00132E65" w:rsidRDefault="000C39D1" w:rsidP="000C39D1">
      <w:pPr>
        <w:pStyle w:val="libFootnote0"/>
        <w:rPr>
          <w:rtl/>
          <w:lang w:bidi="fa-IR"/>
        </w:rPr>
      </w:pPr>
      <w:r>
        <w:rPr>
          <w:rtl/>
        </w:rPr>
        <w:t>(1).</w:t>
      </w:r>
      <w:r w:rsidRPr="00132E65">
        <w:rPr>
          <w:rtl/>
        </w:rPr>
        <w:t xml:space="preserve"> في « بر » : « ولا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فكفّوا ، على صيغة الماضي ، ويحتمل الأمر »</w:t>
      </w:r>
      <w:r>
        <w:rPr>
          <w:rtl/>
        </w:rPr>
        <w:t>.</w:t>
      </w:r>
    </w:p>
    <w:p w:rsidR="000C39D1" w:rsidRPr="00132E65" w:rsidRDefault="000C39D1" w:rsidP="000C39D1">
      <w:pPr>
        <w:pStyle w:val="libFootnote0"/>
        <w:rPr>
          <w:rtl/>
          <w:lang w:bidi="fa-IR"/>
        </w:rPr>
      </w:pPr>
      <w:r>
        <w:rPr>
          <w:rtl/>
        </w:rPr>
        <w:t>(3).</w:t>
      </w:r>
      <w:r w:rsidRPr="00132E65">
        <w:rPr>
          <w:rtl/>
        </w:rPr>
        <w:t xml:space="preserve"> في « ج ، ف ، بح ، بر ، بس ، بف » و</w:t>
      </w:r>
      <w:r w:rsidRPr="009D1ACE">
        <w:rPr>
          <w:rStyle w:val="libFootnoteBoldChar"/>
          <w:rtl/>
        </w:rPr>
        <w:t>الوافي</w:t>
      </w:r>
      <w:r w:rsidRPr="00132E65">
        <w:rPr>
          <w:rtl/>
        </w:rPr>
        <w:t xml:space="preserve"> : « إسكيب »</w:t>
      </w:r>
      <w:r>
        <w:rPr>
          <w:rtl/>
        </w:rPr>
        <w:t>.</w:t>
      </w:r>
    </w:p>
    <w:p w:rsidR="000C39D1" w:rsidRPr="009166A5" w:rsidRDefault="000C39D1" w:rsidP="00E55206">
      <w:pPr>
        <w:pStyle w:val="libFootnote0"/>
        <w:rPr>
          <w:rtl/>
        </w:rPr>
      </w:pPr>
      <w:r w:rsidRPr="00F543F1">
        <w:rPr>
          <w:rtl/>
        </w:rPr>
        <w:t xml:space="preserve">والحسين هذا ، هو الحسين بن إشكيب الذي ترجم له النجاشي ، وذكره من مشايخ العيّاشي ، وقال : « قال الكشّي في رجال أبي محمّد : الحسين بن إشكيب المروزيّ المقيم بسمرقند وكشّ ، عالم ، متكلّم ، مؤلّف للكتب ». راجع : </w:t>
      </w:r>
      <w:r w:rsidRPr="009166A5">
        <w:rPr>
          <w:rtl/>
        </w:rPr>
        <w:t>رجال النجاشي ، ص 44 ، الرقم 88.</w:t>
      </w:r>
    </w:p>
    <w:p w:rsidR="000C39D1" w:rsidRPr="009166A5" w:rsidRDefault="000C39D1" w:rsidP="00E55206">
      <w:pPr>
        <w:pStyle w:val="libFootnote0"/>
        <w:rPr>
          <w:rtl/>
        </w:rPr>
      </w:pPr>
      <w:r w:rsidRPr="009166A5">
        <w:rPr>
          <w:rtl/>
        </w:rPr>
        <w:t xml:space="preserve">وعدّه الشيخ الطوسي من أصحاب أبي محمّد العسكري </w:t>
      </w:r>
      <w:r w:rsidRPr="00F83A37">
        <w:rPr>
          <w:rStyle w:val="libFootnoteAlaemChar"/>
          <w:rtl/>
        </w:rPr>
        <w:t>عليه‌السلام</w:t>
      </w:r>
      <w:r w:rsidRPr="00F543F1">
        <w:rPr>
          <w:rtl/>
        </w:rPr>
        <w:t xml:space="preserve"> ، وذكر له الأوصاف المذكورة في </w:t>
      </w:r>
      <w:r w:rsidRPr="009166A5">
        <w:rPr>
          <w:rtl/>
        </w:rPr>
        <w:t>رجال النجاشي</w:t>
      </w:r>
      <w:r w:rsidRPr="00F543F1">
        <w:rPr>
          <w:rtl/>
        </w:rPr>
        <w:t xml:space="preserve"> ، كما ذكره في من لم يرو عن واحد من الأئمّة : وقال : « فاضل ، جليل ، متكلّم ، فقيه ، مناظر ، صاحب تصانيف ، لطيف الكلام ، جيّد النظر ». راجع : </w:t>
      </w:r>
      <w:r w:rsidRPr="009166A5">
        <w:rPr>
          <w:rtl/>
        </w:rPr>
        <w:t>رجال الطوسي ، ص 398 ، الرقم 5838 ، ص 420 ، الرقم 6072.</w:t>
      </w:r>
    </w:p>
    <w:p w:rsidR="000C39D1" w:rsidRPr="009166A5" w:rsidRDefault="000C39D1" w:rsidP="00E55206">
      <w:pPr>
        <w:pStyle w:val="libFootnote0"/>
        <w:rPr>
          <w:rtl/>
        </w:rPr>
      </w:pPr>
      <w:r w:rsidRPr="009166A5">
        <w:rPr>
          <w:rtl/>
        </w:rPr>
        <w:t>وروى عنه العيّاشي في رجال الكشّي ، ص 21 ، الرقم 47 ؛ وص 40 ، الرقم 84 ؛ وص 120 ، الرقم 191 ؛ وص 190 ، الرقم 332 ؛ وص 306 ، الرقم 551 ؛ وص 370 ، الرقم 690 ؛ وص 376 ، الرقم 701 ؛ وص 391 ، الرقم 737 ؛ وص 393 ، الرقم 740 ؛ وص 437 ، الرقم 821 ؛ وص 520 ، ذيل الرقم 961 ، وفي الجميع « إشكيب ».</w:t>
      </w:r>
    </w:p>
    <w:p w:rsidR="000C39D1" w:rsidRPr="00132E65" w:rsidRDefault="000C39D1" w:rsidP="00E55206">
      <w:pPr>
        <w:pStyle w:val="libFootnote0"/>
        <w:rPr>
          <w:rtl/>
          <w:lang w:bidi="fa-IR"/>
        </w:rPr>
      </w:pPr>
      <w:r w:rsidRPr="009166A5">
        <w:rPr>
          <w:rtl/>
        </w:rPr>
        <w:t xml:space="preserve">وأمّا إسكيب </w:t>
      </w:r>
      <w:r>
        <w:rPr>
          <w:rtl/>
        </w:rPr>
        <w:t>-</w:t>
      </w:r>
      <w:r w:rsidRPr="009166A5">
        <w:rPr>
          <w:rtl/>
        </w:rPr>
        <w:t xml:space="preserve"> مهملاً </w:t>
      </w:r>
      <w:r>
        <w:rPr>
          <w:rtl/>
        </w:rPr>
        <w:t>-</w:t>
      </w:r>
      <w:r w:rsidRPr="009166A5">
        <w:rPr>
          <w:rtl/>
        </w:rPr>
        <w:t xml:space="preserve"> فهو إمّا من باب عدم وضع النقطة في بعض الخطوط القديمة ، أو جواز الوجهين في هذا العنوان. وضبطُ ابن داود إيّاه بالسين المهملة لا يعتمد عليه كما يظهر من رجاله ، ص 121 ، الرقمين 465 </w:t>
      </w:r>
      <w:r>
        <w:rPr>
          <w:rtl/>
        </w:rPr>
        <w:t>و 4</w:t>
      </w:r>
      <w:r w:rsidRPr="009166A5">
        <w:rPr>
          <w:rtl/>
        </w:rPr>
        <w:t>67.</w:t>
      </w:r>
      <w:r w:rsidR="00474C48">
        <w:rPr>
          <w:rFonts w:hint="cs"/>
          <w:rtl/>
        </w:rPr>
        <w:t xml:space="preserve">   </w:t>
      </w:r>
      <w:r>
        <w:rPr>
          <w:rtl/>
        </w:rPr>
        <w:t>(4).</w:t>
      </w:r>
      <w:r w:rsidRPr="00132E65">
        <w:rPr>
          <w:rtl/>
        </w:rPr>
        <w:t xml:space="preserve"> في « ف » :</w:t>
      </w:r>
      <w:r>
        <w:rPr>
          <w:rtl/>
        </w:rPr>
        <w:t xml:space="preserve"> + </w:t>
      </w:r>
      <w:r w:rsidRPr="00132E65">
        <w:rPr>
          <w:rtl/>
        </w:rPr>
        <w:t>« بن إسكيب »</w:t>
      </w:r>
      <w:r>
        <w:rPr>
          <w:rtl/>
        </w:rPr>
        <w:t>.</w:t>
      </w:r>
    </w:p>
    <w:tbl>
      <w:tblPr>
        <w:tblStyle w:val="TableGrid"/>
        <w:bidiVisual/>
        <w:tblW w:w="0" w:type="auto"/>
        <w:tblLook w:val="04A0" w:firstRow="1" w:lastRow="0" w:firstColumn="1" w:lastColumn="0" w:noHBand="0" w:noVBand="1"/>
      </w:tblPr>
      <w:tblGrid>
        <w:gridCol w:w="4261"/>
        <w:gridCol w:w="4262"/>
      </w:tblGrid>
      <w:tr w:rsidR="00474C48" w:rsidTr="00474C48">
        <w:tc>
          <w:tcPr>
            <w:tcW w:w="4261" w:type="dxa"/>
          </w:tcPr>
          <w:p w:rsidR="00474C48" w:rsidRDefault="00474C48" w:rsidP="000C39D1">
            <w:pPr>
              <w:pStyle w:val="libFootnote0"/>
              <w:rPr>
                <w:rtl/>
              </w:rPr>
            </w:pPr>
            <w:r>
              <w:rPr>
                <w:rtl/>
              </w:rPr>
              <w:t>(5).</w:t>
            </w:r>
            <w:r w:rsidRPr="00132E65">
              <w:rPr>
                <w:rtl/>
              </w:rPr>
              <w:t xml:space="preserve"> في </w:t>
            </w:r>
            <w:r w:rsidRPr="009D1ACE">
              <w:rPr>
                <w:rStyle w:val="libFootnoteBoldChar"/>
                <w:rtl/>
              </w:rPr>
              <w:t>الوافي</w:t>
            </w:r>
            <w:r w:rsidRPr="00132E65">
              <w:rPr>
                <w:rtl/>
              </w:rPr>
              <w:t xml:space="preserve"> : « لي »</w:t>
            </w:r>
            <w:r>
              <w:rPr>
                <w:rtl/>
              </w:rPr>
              <w:t>.</w:t>
            </w:r>
          </w:p>
        </w:tc>
        <w:tc>
          <w:tcPr>
            <w:tcW w:w="4262" w:type="dxa"/>
          </w:tcPr>
          <w:p w:rsidR="00474C48" w:rsidRDefault="00474C48" w:rsidP="000C39D1">
            <w:pPr>
              <w:pStyle w:val="libFootnote0"/>
              <w:rPr>
                <w:rtl/>
              </w:rPr>
            </w:pPr>
            <w:r>
              <w:rPr>
                <w:rtl/>
              </w:rPr>
              <w:t>(6). في«</w:t>
            </w:r>
            <w:r>
              <w:rPr>
                <w:rFonts w:hint="cs"/>
                <w:rtl/>
              </w:rPr>
              <w:t xml:space="preserve"> </w:t>
            </w:r>
            <w:r>
              <w:rPr>
                <w:rtl/>
              </w:rPr>
              <w:t>ج،ض،ف،بح،بس،بف</w:t>
            </w:r>
            <w:r>
              <w:rPr>
                <w:rFonts w:hint="cs"/>
                <w:rtl/>
              </w:rPr>
              <w:t xml:space="preserve"> </w:t>
            </w:r>
            <w:r>
              <w:rPr>
                <w:rtl/>
              </w:rPr>
              <w:t>»</w:t>
            </w:r>
            <w:r>
              <w:rPr>
                <w:rFonts w:hint="cs"/>
                <w:rtl/>
              </w:rPr>
              <w:t xml:space="preserve"> </w:t>
            </w:r>
            <w:r w:rsidRPr="00132E65">
              <w:rPr>
                <w:rtl/>
              </w:rPr>
              <w:t>و</w:t>
            </w:r>
            <w:r w:rsidRPr="009D1ACE">
              <w:rPr>
                <w:rStyle w:val="libFootnoteBoldChar"/>
                <w:rtl/>
              </w:rPr>
              <w:t>الوافي</w:t>
            </w:r>
            <w:r>
              <w:rPr>
                <w:rtl/>
              </w:rPr>
              <w:t xml:space="preserve"> : «</w:t>
            </w:r>
            <w:r w:rsidRPr="00132E65">
              <w:rPr>
                <w:rtl/>
              </w:rPr>
              <w:t>إسكيب»</w:t>
            </w:r>
            <w:r>
              <w:rPr>
                <w:rtl/>
              </w:rPr>
              <w:t>.</w:t>
            </w:r>
          </w:p>
        </w:tc>
      </w:tr>
    </w:tbl>
    <w:p w:rsidR="000C39D1" w:rsidRPr="00132E65" w:rsidRDefault="000C39D1" w:rsidP="000C39D1">
      <w:pPr>
        <w:pStyle w:val="libFootnote0"/>
        <w:rPr>
          <w:rtl/>
          <w:lang w:bidi="fa-IR"/>
        </w:rPr>
      </w:pPr>
      <w:r>
        <w:rPr>
          <w:rtl/>
        </w:rPr>
        <w:t>(7).</w:t>
      </w:r>
      <w:r w:rsidRPr="00132E65">
        <w:rPr>
          <w:rtl/>
        </w:rPr>
        <w:t xml:space="preserve"> « المفاوضة » : المساواة والمشاركة ، وهي مفاعلة من التفويض ، كأنّ كلّ واحد منهما ردّ ما عنده إلى صاحبه. </w:t>
      </w:r>
      <w:r w:rsidR="0004129A">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وَصَفَهُ هؤُلَاءِ ، و</w:t>
      </w:r>
      <w:r w:rsidR="001C32B0">
        <w:rPr>
          <w:rFonts w:hint="cs"/>
          <w:rtl/>
          <w:lang w:bidi="fa-IR"/>
        </w:rPr>
        <w:t>َ</w:t>
      </w:r>
      <w:r w:rsidRPr="00132E65">
        <w:rPr>
          <w:rtl/>
          <w:lang w:bidi="fa-IR"/>
        </w:rPr>
        <w:t>لَيْسَ الْأَمْرُ فِي خَلِيفَتِهِ كَمَا قَالُوا ، هذَا النَّبِيُّ مُحَمَّدُ بْنُ عَبْدِ الله</w:t>
      </w:r>
      <w:r w:rsidR="001C32B0">
        <w:rPr>
          <w:rtl/>
          <w:lang w:bidi="fa-IR"/>
        </w:rPr>
        <w:t>ِ بْنِ عَبْدِ الْمُطَّلِبِ ، و</w:t>
      </w:r>
      <w:r w:rsidR="001C32B0">
        <w:rPr>
          <w:rFonts w:hint="cs"/>
          <w:rtl/>
          <w:lang w:bidi="fa-IR"/>
        </w:rPr>
        <w:t xml:space="preserve">َ </w:t>
      </w:r>
      <w:r w:rsidR="001C32B0">
        <w:rPr>
          <w:rtl/>
          <w:lang w:bidi="fa-IR"/>
        </w:rPr>
        <w:t>و</w:t>
      </w:r>
      <w:r w:rsidR="001C32B0">
        <w:rPr>
          <w:rFonts w:hint="cs"/>
          <w:rtl/>
          <w:lang w:bidi="fa-IR"/>
        </w:rPr>
        <w:t>َ</w:t>
      </w:r>
      <w:r w:rsidRPr="00132E65">
        <w:rPr>
          <w:rtl/>
          <w:lang w:bidi="fa-IR"/>
        </w:rPr>
        <w:t xml:space="preserve">صِيُّهُ عَلِيُّ بْنُ أَبِي طَالِبِ بْنِ عَبْدِ الْمُطَّلِبِ وهُوَ زَوْجُ فَاطِمَةَ بِنْتِ مُحَمَّدٍ وَأَبُو الْحَسَنِ والْحُسَيْنِ سِبْطَيْ مُحَمَّدٍ </w:t>
      </w:r>
      <w:r w:rsidRPr="0093484F">
        <w:rPr>
          <w:rStyle w:val="libAlaemChar"/>
          <w:rFonts w:eastAsiaTheme="minorHAnsi"/>
          <w:rtl/>
        </w:rPr>
        <w:t>صلى‌الله‌عليه‌وآله</w:t>
      </w:r>
      <w:r w:rsidRPr="00132E65">
        <w:rPr>
          <w:rtl/>
          <w:lang w:bidi="fa-IR"/>
        </w:rPr>
        <w:t>.</w:t>
      </w:r>
    </w:p>
    <w:p w:rsidR="000C39D1" w:rsidRPr="00132E65" w:rsidRDefault="000C39D1" w:rsidP="000C39D1">
      <w:pPr>
        <w:pStyle w:val="libNormal"/>
        <w:rPr>
          <w:rtl/>
          <w:lang w:bidi="fa-IR"/>
        </w:rPr>
      </w:pPr>
      <w:r w:rsidRPr="00132E65">
        <w:rPr>
          <w:rtl/>
          <w:lang w:bidi="fa-IR"/>
        </w:rPr>
        <w:t>قَالَ غَانِمٌ أَبُو سَعِيدٍ : فَقُلْتُ : اللهُ أَكْبَرُ ، هذَا الَّذِي طَلَبْتُ ؛ فَانْصَرَفْتُ إِلى دَاوُدَ بْنِ الْعَبَّاسِ ، فَقُلْتُ لَهُ : أَيُّهَا الْأَمِيرُ ، وجَدْتُ مَا طَلَبْتُ ، و</w:t>
      </w:r>
      <w:r w:rsidR="00A531BA">
        <w:rPr>
          <w:rFonts w:hint="cs"/>
          <w:rtl/>
          <w:lang w:bidi="fa-IR"/>
        </w:rPr>
        <w:t>َ</w:t>
      </w:r>
      <w:r w:rsidRPr="00132E65">
        <w:rPr>
          <w:rtl/>
          <w:lang w:bidi="fa-IR"/>
        </w:rPr>
        <w:t>أَنَا أَشْهَدُ أَنْ لَا</w:t>
      </w:r>
      <w:r>
        <w:rPr>
          <w:rFonts w:hint="cs"/>
          <w:rtl/>
          <w:lang w:bidi="fa-IR"/>
        </w:rPr>
        <w:t xml:space="preserve"> </w:t>
      </w:r>
      <w:r w:rsidR="00A531BA">
        <w:rPr>
          <w:rtl/>
          <w:lang w:bidi="fa-IR"/>
        </w:rPr>
        <w:t>إِلَهَ إِل</w:t>
      </w:r>
      <w:r w:rsidR="00A531BA">
        <w:rPr>
          <w:rFonts w:hint="cs"/>
          <w:rtl/>
          <w:lang w:bidi="fa-IR"/>
        </w:rPr>
        <w:t>َّ</w:t>
      </w:r>
      <w:r w:rsidR="00A531BA">
        <w:rPr>
          <w:rtl/>
          <w:lang w:bidi="fa-IR"/>
        </w:rPr>
        <w:t>ا</w:t>
      </w:r>
      <w:r w:rsidRPr="00132E65">
        <w:rPr>
          <w:rtl/>
          <w:lang w:bidi="fa-IR"/>
        </w:rPr>
        <w:t xml:space="preserve"> اللهُ و</w:t>
      </w:r>
      <w:r>
        <w:rPr>
          <w:rFonts w:hint="cs"/>
          <w:rtl/>
          <w:lang w:bidi="fa-IR"/>
        </w:rPr>
        <w:t xml:space="preserve"> </w:t>
      </w:r>
      <w:r>
        <w:rPr>
          <w:rStyle w:val="libFootnotenumChar"/>
          <w:rtl/>
        </w:rPr>
        <w:t>(1)</w:t>
      </w:r>
      <w:r w:rsidRPr="00132E65">
        <w:rPr>
          <w:rtl/>
          <w:lang w:bidi="fa-IR"/>
        </w:rPr>
        <w:t xml:space="preserve"> أَنَّ مُحَمَّداً رَسُولُ اللهِ.</w:t>
      </w:r>
    </w:p>
    <w:p w:rsidR="000C39D1" w:rsidRPr="00132E65" w:rsidRDefault="000C39D1" w:rsidP="000C39D1">
      <w:pPr>
        <w:pStyle w:val="libNormal"/>
        <w:rPr>
          <w:rtl/>
          <w:lang w:bidi="fa-IR"/>
        </w:rPr>
      </w:pPr>
      <w:r w:rsidRPr="00132E65">
        <w:rPr>
          <w:rtl/>
          <w:lang w:bidi="fa-IR"/>
        </w:rPr>
        <w:t xml:space="preserve">قَالَ : فَبَرَّنِي </w:t>
      </w:r>
      <w:r>
        <w:rPr>
          <w:rStyle w:val="libFootnotenumChar"/>
          <w:rtl/>
        </w:rPr>
        <w:t>(2)</w:t>
      </w:r>
      <w:r w:rsidR="00A531BA">
        <w:rPr>
          <w:rtl/>
          <w:lang w:bidi="fa-IR"/>
        </w:rPr>
        <w:t xml:space="preserve"> ، و</w:t>
      </w:r>
      <w:r w:rsidR="00A531BA">
        <w:rPr>
          <w:rFonts w:hint="cs"/>
          <w:rtl/>
          <w:lang w:bidi="fa-IR"/>
        </w:rPr>
        <w:t xml:space="preserve">َ </w:t>
      </w:r>
      <w:r w:rsidR="00A531BA">
        <w:rPr>
          <w:rtl/>
          <w:lang w:bidi="fa-IR"/>
        </w:rPr>
        <w:t>و</w:t>
      </w:r>
      <w:r w:rsidR="00A531BA">
        <w:rPr>
          <w:rFonts w:hint="cs"/>
          <w:rtl/>
          <w:lang w:bidi="fa-IR"/>
        </w:rPr>
        <w:t>َ</w:t>
      </w:r>
      <w:r w:rsidRPr="00132E65">
        <w:rPr>
          <w:rtl/>
          <w:lang w:bidi="fa-IR"/>
        </w:rPr>
        <w:t>صَلَنِي ، وقَالَ لِلْحُسَيْنِ : تَفَقَّدْهُ. قَالَ : فَمَضَيْتُ إِلَيْهِ حَتّى آنَسْتُ بِهِ ، وفَقَّهَنِي فِيمَا احْتَجْتُ إِلَيْهِ مِنَ الصَّلَاةِ و</w:t>
      </w:r>
      <w:r w:rsidR="00CC700B">
        <w:rPr>
          <w:rFonts w:hint="cs"/>
          <w:rtl/>
          <w:lang w:bidi="fa-IR"/>
        </w:rPr>
        <w:t xml:space="preserve">َ </w:t>
      </w:r>
      <w:r w:rsidRPr="00132E65">
        <w:rPr>
          <w:rtl/>
          <w:lang w:bidi="fa-IR"/>
        </w:rPr>
        <w:t>الصِّيَامِ و</w:t>
      </w:r>
      <w:r w:rsidR="00CC700B">
        <w:rPr>
          <w:rFonts w:hint="cs"/>
          <w:rtl/>
          <w:lang w:bidi="fa-IR"/>
        </w:rPr>
        <w:t xml:space="preserve">َ </w:t>
      </w:r>
      <w:r w:rsidRPr="00132E65">
        <w:rPr>
          <w:rtl/>
          <w:lang w:bidi="fa-IR"/>
        </w:rPr>
        <w:t>الْفَرَائِضِ.</w:t>
      </w:r>
    </w:p>
    <w:p w:rsidR="000C39D1" w:rsidRPr="00132E65" w:rsidRDefault="000C39D1" w:rsidP="00844FC1">
      <w:pPr>
        <w:pStyle w:val="libNormal"/>
        <w:rPr>
          <w:rtl/>
          <w:lang w:bidi="fa-IR"/>
        </w:rPr>
      </w:pPr>
      <w:r w:rsidRPr="00132E65">
        <w:rPr>
          <w:rtl/>
          <w:lang w:bidi="fa-IR"/>
        </w:rPr>
        <w:t>قَالَ : فَقُلْتُ لَهُ : إِنَّا نَقْرَأُ فِي كُتُبِنَا أَنَّ مُحَمَّداً خَاتَمُ النَّبِيِّينَ ، لَانَبِيَّ بَعْدَهُ ، وأَنَّ الْأَمْرَ مِنْ بَعْدِهِ إِلى و</w:t>
      </w:r>
      <w:r w:rsidR="00CC700B">
        <w:rPr>
          <w:rFonts w:hint="cs"/>
          <w:rtl/>
          <w:lang w:bidi="fa-IR"/>
        </w:rPr>
        <w:t>ً</w:t>
      </w:r>
      <w:r w:rsidR="00CC700B">
        <w:rPr>
          <w:rtl/>
          <w:lang w:bidi="fa-IR"/>
        </w:rPr>
        <w:t>صِيِّهِ و</w:t>
      </w:r>
      <w:r w:rsidR="00CC700B">
        <w:rPr>
          <w:rFonts w:hint="cs"/>
          <w:rtl/>
          <w:lang w:bidi="fa-IR"/>
        </w:rPr>
        <w:t xml:space="preserve">َ </w:t>
      </w:r>
      <w:r w:rsidR="00CC700B">
        <w:rPr>
          <w:rtl/>
          <w:lang w:bidi="fa-IR"/>
        </w:rPr>
        <w:t>و</w:t>
      </w:r>
      <w:r w:rsidR="00CC700B">
        <w:rPr>
          <w:rFonts w:hint="cs"/>
          <w:rtl/>
          <w:lang w:bidi="fa-IR"/>
        </w:rPr>
        <w:t>َ</w:t>
      </w:r>
      <w:r w:rsidRPr="00132E65">
        <w:rPr>
          <w:rtl/>
          <w:lang w:bidi="fa-IR"/>
        </w:rPr>
        <w:t xml:space="preserve">ارِثِهِ </w:t>
      </w:r>
      <w:r w:rsidR="00844FC1">
        <w:rPr>
          <w:rtl/>
          <w:lang w:bidi="fa-IR"/>
        </w:rPr>
        <w:t>و</w:t>
      </w:r>
      <w:r w:rsidR="00844FC1">
        <w:rPr>
          <w:rFonts w:hint="cs"/>
          <w:rtl/>
          <w:lang w:bidi="fa-IR"/>
        </w:rPr>
        <w:t xml:space="preserve">َ </w:t>
      </w:r>
      <w:r w:rsidRPr="00132E65">
        <w:rPr>
          <w:rtl/>
          <w:lang w:bidi="fa-IR"/>
        </w:rPr>
        <w:t xml:space="preserve">خَلِيفَتِهِ مِنْ بَعْدِهِ ، ثُمَّ إِلَى </w:t>
      </w:r>
      <w:r>
        <w:rPr>
          <w:rStyle w:val="libFootnotenumChar"/>
          <w:rtl/>
        </w:rPr>
        <w:t>(3)</w:t>
      </w:r>
      <w:r w:rsidRPr="00132E65">
        <w:rPr>
          <w:rtl/>
          <w:lang w:bidi="fa-IR"/>
        </w:rPr>
        <w:t xml:space="preserve"> الْوَصِيِّ بَعْدَ الْوَصِيِّ ، لَا يَزَالُ أَمْرُ اللهِ جَارِياً فِي أَعْقَابِهِمْ حَتّى تَنْقَضِيَ الدُّنْيَا ، فَمَنْ و</w:t>
      </w:r>
      <w:r w:rsidR="00844FC1">
        <w:rPr>
          <w:rFonts w:hint="cs"/>
          <w:rtl/>
          <w:lang w:bidi="fa-IR"/>
        </w:rPr>
        <w:t>َ</w:t>
      </w:r>
      <w:r w:rsidRPr="00132E65">
        <w:rPr>
          <w:rtl/>
          <w:lang w:bidi="fa-IR"/>
        </w:rPr>
        <w:t xml:space="preserve">صِيُّ </w:t>
      </w:r>
      <w:r w:rsidR="00844FC1" w:rsidRPr="00132E65">
        <w:rPr>
          <w:rtl/>
          <w:lang w:bidi="fa-IR"/>
        </w:rPr>
        <w:t>و</w:t>
      </w:r>
      <w:r w:rsidR="00844FC1">
        <w:rPr>
          <w:rFonts w:hint="cs"/>
          <w:rtl/>
          <w:lang w:bidi="fa-IR"/>
        </w:rPr>
        <w:t>َ</w:t>
      </w:r>
      <w:r w:rsidRPr="00132E65">
        <w:rPr>
          <w:rtl/>
          <w:lang w:bidi="fa-IR"/>
        </w:rPr>
        <w:t>صِيِّ مُحَمَّدٍ</w:t>
      </w:r>
      <w:r>
        <w:rPr>
          <w:rtl/>
          <w:lang w:bidi="fa-IR"/>
        </w:rPr>
        <w:t>؟</w:t>
      </w:r>
      <w:r w:rsidRPr="00132E65">
        <w:rPr>
          <w:rtl/>
          <w:lang w:bidi="fa-IR"/>
        </w:rPr>
        <w:t xml:space="preserve"> قَالَ :</w:t>
      </w:r>
      <w:r>
        <w:rPr>
          <w:rFonts w:hint="cs"/>
          <w:rtl/>
          <w:lang w:bidi="fa-IR"/>
        </w:rPr>
        <w:t xml:space="preserve"> </w:t>
      </w:r>
      <w:r w:rsidRPr="00132E65">
        <w:rPr>
          <w:rtl/>
          <w:lang w:bidi="fa-IR"/>
        </w:rPr>
        <w:t>الْحَسَنُ ، ثُمَّ الْحُسَيْنُ</w:t>
      </w:r>
      <w:r>
        <w:rPr>
          <w:rtl/>
          <w:lang w:bidi="fa-IR"/>
        </w:rPr>
        <w:t xml:space="preserve"> - </w:t>
      </w:r>
      <w:r w:rsidRPr="00132E65">
        <w:rPr>
          <w:rtl/>
          <w:lang w:bidi="fa-IR"/>
        </w:rPr>
        <w:t>ابْنَا مُحَمَّدٍ</w:t>
      </w:r>
      <w:r>
        <w:rPr>
          <w:rtl/>
          <w:lang w:bidi="fa-IR"/>
        </w:rPr>
        <w:t xml:space="preserve"> - </w:t>
      </w:r>
      <w:r w:rsidRPr="00132E65">
        <w:rPr>
          <w:rtl/>
          <w:lang w:bidi="fa-IR"/>
        </w:rPr>
        <w:t xml:space="preserve">ثُمَّ سَاقَ الْأَمْرَ فِي الْوَصِيَّةِ حَتَّى انْتَهى إِلى صَاحِبِ الزَّمَانِ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ثُمَّ أَعْلَمَنِي مَا حَدَثَ ؛ </w:t>
      </w:r>
      <w:r w:rsidR="00844FC1">
        <w:rPr>
          <w:rtl/>
          <w:lang w:bidi="fa-IR"/>
        </w:rPr>
        <w:t>فَلَمْ يَكُنْ لِي هِمَّةٌ إِل</w:t>
      </w:r>
      <w:r w:rsidR="00844FC1">
        <w:rPr>
          <w:rFonts w:hint="cs"/>
          <w:rtl/>
          <w:lang w:bidi="fa-IR"/>
        </w:rPr>
        <w:t>َّ</w:t>
      </w:r>
      <w:r w:rsidR="00844FC1">
        <w:rPr>
          <w:rtl/>
          <w:lang w:bidi="fa-IR"/>
        </w:rPr>
        <w:t>ا</w:t>
      </w:r>
      <w:r w:rsidRPr="00132E65">
        <w:rPr>
          <w:rtl/>
          <w:lang w:bidi="fa-IR"/>
        </w:rPr>
        <w:t xml:space="preserve"> طَلَبُ النَّاحِيَةِ.</w:t>
      </w:r>
    </w:p>
    <w:p w:rsidR="000C39D1" w:rsidRPr="00132E65" w:rsidRDefault="000C39D1" w:rsidP="00997B79">
      <w:pPr>
        <w:pStyle w:val="libNormal"/>
        <w:rPr>
          <w:rtl/>
          <w:lang w:bidi="fa-IR"/>
        </w:rPr>
      </w:pPr>
      <w:r w:rsidRPr="00132E65">
        <w:rPr>
          <w:rtl/>
          <w:lang w:bidi="fa-IR"/>
        </w:rPr>
        <w:t xml:space="preserve">فَوَافى قُمَّ </w:t>
      </w:r>
      <w:r>
        <w:rPr>
          <w:rStyle w:val="libFootnotenumChar"/>
          <w:rtl/>
        </w:rPr>
        <w:t>(4)</w:t>
      </w:r>
      <w:r w:rsidRPr="00132E65">
        <w:rPr>
          <w:rtl/>
          <w:lang w:bidi="fa-IR"/>
        </w:rPr>
        <w:t xml:space="preserve"> ، </w:t>
      </w:r>
      <w:r w:rsidR="00844FC1" w:rsidRPr="00132E65">
        <w:rPr>
          <w:rtl/>
          <w:lang w:bidi="fa-IR"/>
        </w:rPr>
        <w:t>و</w:t>
      </w:r>
      <w:r w:rsidR="00844FC1">
        <w:rPr>
          <w:rFonts w:hint="cs"/>
          <w:rtl/>
          <w:lang w:bidi="fa-IR"/>
        </w:rPr>
        <w:t>َ</w:t>
      </w:r>
      <w:r w:rsidRPr="00132E65">
        <w:rPr>
          <w:rtl/>
          <w:lang w:bidi="fa-IR"/>
        </w:rPr>
        <w:t xml:space="preserve">قَعَدَ مَعَ أَصْحَابِنَا فِي سَنَةِ أَرْبَعٍ </w:t>
      </w:r>
      <w:r w:rsidR="00997B79" w:rsidRPr="00132E65">
        <w:rPr>
          <w:rtl/>
          <w:lang w:bidi="fa-IR"/>
        </w:rPr>
        <w:t>و</w:t>
      </w:r>
      <w:r w:rsidR="00997B79">
        <w:rPr>
          <w:rFonts w:hint="cs"/>
          <w:rtl/>
          <w:lang w:bidi="fa-IR"/>
        </w:rPr>
        <w:t>َ</w:t>
      </w:r>
      <w:r w:rsidRPr="00132E65">
        <w:rPr>
          <w:rtl/>
          <w:lang w:bidi="fa-IR"/>
        </w:rPr>
        <w:t xml:space="preserve">سِتِّينَ </w:t>
      </w:r>
      <w:r>
        <w:rPr>
          <w:rStyle w:val="libFootnotenumChar"/>
          <w:rtl/>
        </w:rPr>
        <w:t>(5)</w:t>
      </w:r>
      <w:r w:rsidRPr="00132E65">
        <w:rPr>
          <w:rtl/>
          <w:lang w:bidi="fa-IR"/>
        </w:rPr>
        <w:t xml:space="preserve"> ، </w:t>
      </w:r>
      <w:r w:rsidR="00997B79" w:rsidRPr="00132E65">
        <w:rPr>
          <w:rtl/>
          <w:lang w:bidi="fa-IR"/>
        </w:rPr>
        <w:t>و</w:t>
      </w:r>
      <w:r w:rsidR="00997B79">
        <w:rPr>
          <w:rFonts w:hint="cs"/>
          <w:rtl/>
          <w:lang w:bidi="fa-IR"/>
        </w:rPr>
        <w:t>َ</w:t>
      </w:r>
      <w:r w:rsidRPr="00132E65">
        <w:rPr>
          <w:rtl/>
          <w:lang w:bidi="fa-IR"/>
        </w:rPr>
        <w:t>خَرَجَ مَعَهُمْ حَتّى‌</w:t>
      </w:r>
    </w:p>
    <w:p w:rsidR="000C39D1" w:rsidRPr="00132E65" w:rsidRDefault="000C39D1" w:rsidP="000C39D1">
      <w:pPr>
        <w:pStyle w:val="libLine"/>
        <w:rPr>
          <w:rtl/>
          <w:lang w:bidi="fa-IR"/>
        </w:rPr>
      </w:pPr>
      <w:r w:rsidRPr="00132E65">
        <w:rPr>
          <w:rtl/>
          <w:lang w:bidi="fa-IR"/>
        </w:rPr>
        <w:t>__________________</w:t>
      </w:r>
    </w:p>
    <w:p w:rsidR="000C39D1" w:rsidRPr="00132E65" w:rsidRDefault="00997B79" w:rsidP="000C39D1">
      <w:pPr>
        <w:pStyle w:val="libFootnote0"/>
        <w:rPr>
          <w:rtl/>
          <w:lang w:bidi="fa-IR"/>
        </w:rPr>
      </w:pPr>
      <w:r>
        <w:rPr>
          <w:rFonts w:hint="cs"/>
          <w:rtl/>
        </w:rPr>
        <w:t xml:space="preserve">= </w:t>
      </w:r>
      <w:r w:rsidR="000C39D1" w:rsidRPr="00132E65">
        <w:rPr>
          <w:rtl/>
        </w:rPr>
        <w:t xml:space="preserve">والمراد هنا : المحادثة والمذاكرة في العلم. راجع : </w:t>
      </w:r>
      <w:r w:rsidR="000C39D1" w:rsidRPr="005C7539">
        <w:rPr>
          <w:rtl/>
        </w:rPr>
        <w:t>النهاية</w:t>
      </w:r>
      <w:r w:rsidR="000C39D1" w:rsidRPr="00132E65">
        <w:rPr>
          <w:rtl/>
        </w:rPr>
        <w:t xml:space="preserve"> ، ج 3 ، ص 479 ( فوض )</w:t>
      </w:r>
      <w:r w:rsidR="000C39D1">
        <w:rPr>
          <w:rtl/>
        </w:rPr>
        <w:t>.</w:t>
      </w:r>
    </w:p>
    <w:p w:rsidR="000C39D1" w:rsidRPr="00132E65" w:rsidRDefault="000C39D1" w:rsidP="000C39D1">
      <w:pPr>
        <w:pStyle w:val="libFootnote0"/>
        <w:rPr>
          <w:rtl/>
          <w:lang w:bidi="fa-IR"/>
        </w:rPr>
      </w:pPr>
      <w:r>
        <w:rPr>
          <w:rtl/>
        </w:rPr>
        <w:t>(1).</w:t>
      </w:r>
      <w:r w:rsidRPr="00132E65">
        <w:rPr>
          <w:rtl/>
        </w:rPr>
        <w:t xml:space="preserve"> في « ض » و</w:t>
      </w:r>
      <w:r w:rsidRPr="009D1ACE">
        <w:rPr>
          <w:rStyle w:val="libFootnoteBoldChar"/>
          <w:rtl/>
        </w:rPr>
        <w:t>الوافي</w:t>
      </w:r>
      <w:r w:rsidRPr="00132E65">
        <w:rPr>
          <w:rtl/>
        </w:rPr>
        <w:t xml:space="preserve"> : « وأشهد »</w:t>
      </w:r>
      <w:r>
        <w:rPr>
          <w:rtl/>
        </w:rPr>
        <w:t>.</w:t>
      </w:r>
    </w:p>
    <w:p w:rsidR="000C39D1" w:rsidRPr="00132E65" w:rsidRDefault="000C39D1" w:rsidP="000C39D1">
      <w:pPr>
        <w:pStyle w:val="libFootnote0"/>
        <w:rPr>
          <w:rtl/>
          <w:lang w:bidi="fa-IR"/>
        </w:rPr>
      </w:pPr>
      <w:r>
        <w:rPr>
          <w:rtl/>
        </w:rPr>
        <w:t>(2).</w:t>
      </w:r>
      <w:r w:rsidRPr="00132E65">
        <w:rPr>
          <w:rtl/>
        </w:rPr>
        <w:t xml:space="preserve"> « البِرّ » : الاتّساع في الإحسان والزيادة. راجع : </w:t>
      </w:r>
      <w:r w:rsidRPr="005C7539">
        <w:rPr>
          <w:rtl/>
        </w:rPr>
        <w:t>مجمع البحرين</w:t>
      </w:r>
      <w:r w:rsidRPr="00132E65">
        <w:rPr>
          <w:rtl/>
        </w:rPr>
        <w:t xml:space="preserve"> ، ج 1 ، ص 128 ( برر )</w:t>
      </w:r>
      <w:r>
        <w:rPr>
          <w:rtl/>
        </w:rPr>
        <w:t>.</w:t>
      </w:r>
    </w:p>
    <w:p w:rsidR="000C39D1" w:rsidRPr="00132E65" w:rsidRDefault="000C39D1" w:rsidP="000C39D1">
      <w:pPr>
        <w:pStyle w:val="libFootnote0"/>
        <w:rPr>
          <w:rtl/>
          <w:lang w:bidi="fa-IR"/>
        </w:rPr>
      </w:pPr>
      <w:r>
        <w:rPr>
          <w:rtl/>
        </w:rPr>
        <w:t>(3).</w:t>
      </w:r>
      <w:r w:rsidRPr="00132E65">
        <w:rPr>
          <w:rtl/>
        </w:rPr>
        <w:t xml:space="preserve"> في « بر » </w:t>
      </w:r>
      <w:r>
        <w:rPr>
          <w:rtl/>
        </w:rPr>
        <w:t xml:space="preserve">: - </w:t>
      </w:r>
      <w:r w:rsidRPr="00132E65">
        <w:rPr>
          <w:rtl/>
        </w:rPr>
        <w:t>« إلى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فوافى قمّ ، هذا من كلام محمّد بن محمّد ، وكذا قوله فيما بعد « ثمّ وافانا بعد » فإنّهما رجوع من‌الحكاية إلى التكلّم »</w:t>
      </w:r>
      <w:r>
        <w:rPr>
          <w:rtl/>
        </w:rPr>
        <w:t>.</w:t>
      </w:r>
    </w:p>
    <w:p w:rsidR="000C39D1" w:rsidRPr="00F24C1F" w:rsidRDefault="000C39D1" w:rsidP="000C39D1">
      <w:pPr>
        <w:pStyle w:val="libFootnote0"/>
        <w:rPr>
          <w:rtl/>
        </w:rPr>
      </w:pPr>
      <w:r>
        <w:rPr>
          <w:rtl/>
        </w:rPr>
        <w:t>(5).</w:t>
      </w:r>
      <w:r w:rsidRPr="00132E65">
        <w:rPr>
          <w:rtl/>
        </w:rPr>
        <w:t xml:space="preserve"> هكذا في « ب ، ج ، ض ، بح ، بر ، بس ، بف » و</w:t>
      </w:r>
      <w:r w:rsidRPr="009D1ACE">
        <w:rPr>
          <w:rStyle w:val="libFootnoteBoldChar"/>
          <w:rtl/>
        </w:rPr>
        <w:t>الوافي</w:t>
      </w:r>
      <w:r w:rsidRPr="00132E65">
        <w:rPr>
          <w:rtl/>
        </w:rPr>
        <w:t xml:space="preserve"> وشرح المازندراني و</w:t>
      </w:r>
      <w:r w:rsidRPr="009D1ACE">
        <w:rPr>
          <w:rStyle w:val="libFootnoteBoldChar"/>
          <w:rtl/>
        </w:rPr>
        <w:t>مرآة العقول</w:t>
      </w:r>
      <w:r w:rsidR="006400B5">
        <w:rPr>
          <w:rtl/>
        </w:rPr>
        <w:t>. وفي « ف »</w:t>
      </w:r>
      <w:r w:rsidRPr="00132E65">
        <w:rPr>
          <w:rtl/>
        </w:rPr>
        <w:t>والمطبوع :</w:t>
      </w:r>
      <w:r>
        <w:rPr>
          <w:rtl/>
        </w:rPr>
        <w:t xml:space="preserve"> </w:t>
      </w:r>
      <w:r w:rsidR="006400B5">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956943">
      <w:pPr>
        <w:pStyle w:val="libNormal0"/>
        <w:tabs>
          <w:tab w:val="left" w:pos="3968"/>
        </w:tabs>
        <w:rPr>
          <w:rtl/>
          <w:lang w:bidi="fa-IR"/>
        </w:rPr>
      </w:pPr>
      <w:r w:rsidRPr="00132E65">
        <w:rPr>
          <w:rtl/>
          <w:lang w:bidi="fa-IR"/>
        </w:rPr>
        <w:t xml:space="preserve">وَافى بَغْدَادَ ، </w:t>
      </w:r>
      <w:r w:rsidR="00956943" w:rsidRPr="00132E65">
        <w:rPr>
          <w:rtl/>
          <w:lang w:bidi="fa-IR"/>
        </w:rPr>
        <w:t>و</w:t>
      </w:r>
      <w:r w:rsidR="00956943">
        <w:rPr>
          <w:rFonts w:hint="cs"/>
          <w:rtl/>
          <w:lang w:bidi="fa-IR"/>
        </w:rPr>
        <w:t>َ</w:t>
      </w:r>
      <w:r w:rsidRPr="00132E65">
        <w:rPr>
          <w:rtl/>
          <w:lang w:bidi="fa-IR"/>
        </w:rPr>
        <w:t>مَعَهُ رَفِيقٌ لَهُ مِنْ أَهْلِ السِّنْدِ كَانَ صَحِبَهُ عَلَى الْمَذْهَبِ.</w:t>
      </w:r>
    </w:p>
    <w:p w:rsidR="000C39D1" w:rsidRPr="00132E65" w:rsidRDefault="000C39D1" w:rsidP="00956943">
      <w:pPr>
        <w:pStyle w:val="libNormal"/>
        <w:rPr>
          <w:rtl/>
          <w:lang w:bidi="fa-IR"/>
        </w:rPr>
      </w:pPr>
      <w:r w:rsidRPr="00132E65">
        <w:rPr>
          <w:rtl/>
          <w:lang w:bidi="fa-IR"/>
        </w:rPr>
        <w:t xml:space="preserve">قَالَ : فَحَدَّثَنِي غَانِمٌ ، قَالَ : </w:t>
      </w:r>
      <w:r w:rsidR="00956943" w:rsidRPr="00132E65">
        <w:rPr>
          <w:rtl/>
          <w:lang w:bidi="fa-IR"/>
        </w:rPr>
        <w:t>و</w:t>
      </w:r>
      <w:r w:rsidR="00956943">
        <w:rPr>
          <w:rFonts w:hint="cs"/>
          <w:rtl/>
          <w:lang w:bidi="fa-IR"/>
        </w:rPr>
        <w:t>َ</w:t>
      </w:r>
      <w:r w:rsidRPr="00132E65">
        <w:rPr>
          <w:rtl/>
          <w:lang w:bidi="fa-IR"/>
        </w:rPr>
        <w:t xml:space="preserve">أَنْكَرْتُ </w:t>
      </w:r>
      <w:r>
        <w:rPr>
          <w:rStyle w:val="libFootnotenumChar"/>
          <w:rtl/>
        </w:rPr>
        <w:t>(1)</w:t>
      </w:r>
      <w:r w:rsidRPr="00132E65">
        <w:rPr>
          <w:rtl/>
          <w:lang w:bidi="fa-IR"/>
        </w:rPr>
        <w:t xml:space="preserve"> مِنْ رَفِيقِي بَعْضَ أَخْلَاقِهِ ، فَهَجَرْتُهُ ، </w:t>
      </w:r>
      <w:r w:rsidR="00956943" w:rsidRPr="00132E65">
        <w:rPr>
          <w:rtl/>
          <w:lang w:bidi="fa-IR"/>
        </w:rPr>
        <w:t>و</w:t>
      </w:r>
      <w:r w:rsidR="00956943">
        <w:rPr>
          <w:rFonts w:hint="cs"/>
          <w:rtl/>
          <w:lang w:bidi="fa-IR"/>
        </w:rPr>
        <w:t>َ</w:t>
      </w:r>
      <w:r w:rsidRPr="00132E65">
        <w:rPr>
          <w:rtl/>
          <w:lang w:bidi="fa-IR"/>
        </w:rPr>
        <w:t xml:space="preserve">خَرَجْتُ حَتّى سِرْتُ </w:t>
      </w:r>
      <w:r>
        <w:rPr>
          <w:rStyle w:val="libFootnotenumChar"/>
          <w:rtl/>
        </w:rPr>
        <w:t>(2)</w:t>
      </w:r>
      <w:r w:rsidRPr="00132E65">
        <w:rPr>
          <w:rtl/>
          <w:lang w:bidi="fa-IR"/>
        </w:rPr>
        <w:t xml:space="preserve"> إِلَى الْعَبَّاسِيَّةِ أَتَهَيَّأُ لِلصَّلَاةِ </w:t>
      </w:r>
      <w:r w:rsidR="00956943" w:rsidRPr="00132E65">
        <w:rPr>
          <w:rtl/>
          <w:lang w:bidi="fa-IR"/>
        </w:rPr>
        <w:t>و</w:t>
      </w:r>
      <w:r w:rsidR="00956943">
        <w:rPr>
          <w:rFonts w:hint="cs"/>
          <w:rtl/>
          <w:lang w:bidi="fa-IR"/>
        </w:rPr>
        <w:t>َ</w:t>
      </w:r>
      <w:r w:rsidRPr="00132E65">
        <w:rPr>
          <w:rtl/>
          <w:lang w:bidi="fa-IR"/>
        </w:rPr>
        <w:t xml:space="preserve">أُصَلِّي ، </w:t>
      </w:r>
      <w:r w:rsidR="00956943" w:rsidRPr="00132E65">
        <w:rPr>
          <w:rtl/>
          <w:lang w:bidi="fa-IR"/>
        </w:rPr>
        <w:t>و</w:t>
      </w:r>
      <w:r w:rsidR="00956943">
        <w:rPr>
          <w:rFonts w:hint="cs"/>
          <w:rtl/>
          <w:lang w:bidi="fa-IR"/>
        </w:rPr>
        <w:t>َ</w:t>
      </w:r>
      <w:r w:rsidRPr="00132E65">
        <w:rPr>
          <w:rtl/>
          <w:lang w:bidi="fa-IR"/>
        </w:rPr>
        <w:t xml:space="preserve">إِنِّي لَوَاقِفٌ مُتَفَكِّرٌ </w:t>
      </w:r>
      <w:r>
        <w:rPr>
          <w:rStyle w:val="libFootnotenumChar"/>
          <w:rtl/>
        </w:rPr>
        <w:t>(3)</w:t>
      </w:r>
      <w:r w:rsidRPr="00132E65">
        <w:rPr>
          <w:rtl/>
          <w:lang w:bidi="fa-IR"/>
        </w:rPr>
        <w:t xml:space="preserve"> فِيمَا قَصَدْتُ لِطَلَبِهِ إِذَا </w:t>
      </w:r>
      <w:r>
        <w:rPr>
          <w:rStyle w:val="libFootnotenumChar"/>
          <w:rtl/>
        </w:rPr>
        <w:t>(4)</w:t>
      </w:r>
      <w:r w:rsidRPr="00132E65">
        <w:rPr>
          <w:rtl/>
          <w:lang w:bidi="fa-IR"/>
        </w:rPr>
        <w:t xml:space="preserve"> أَنَا بِآتٍ قَدْ </w:t>
      </w:r>
      <w:r>
        <w:rPr>
          <w:rStyle w:val="libFootnotenumChar"/>
          <w:rtl/>
        </w:rPr>
        <w:t>(5)</w:t>
      </w:r>
      <w:r w:rsidRPr="00132E65">
        <w:rPr>
          <w:rtl/>
          <w:lang w:bidi="fa-IR"/>
        </w:rPr>
        <w:t xml:space="preserve"> أَتَانِي ، فَقَالَ : أَنْتَ فُلَانٌ</w:t>
      </w:r>
      <w:r>
        <w:rPr>
          <w:rtl/>
          <w:lang w:bidi="fa-IR"/>
        </w:rPr>
        <w:t xml:space="preserve">؟ - </w:t>
      </w:r>
      <w:r w:rsidRPr="00132E65">
        <w:rPr>
          <w:rtl/>
          <w:lang w:bidi="fa-IR"/>
        </w:rPr>
        <w:t xml:space="preserve">اسْمُهُ بِالْهِنْدِ </w:t>
      </w:r>
      <w:r>
        <w:rPr>
          <w:rStyle w:val="libFootnotenumChar"/>
          <w:rtl/>
        </w:rPr>
        <w:t>(6)</w:t>
      </w:r>
      <w:r>
        <w:rPr>
          <w:rtl/>
          <w:lang w:bidi="fa-IR"/>
        </w:rPr>
        <w:t xml:space="preserve"> - </w:t>
      </w:r>
      <w:r w:rsidRPr="00132E65">
        <w:rPr>
          <w:rtl/>
          <w:lang w:bidi="fa-IR"/>
        </w:rPr>
        <w:t>فَقُلْتُ : نَعَمْ ، فَقَالَ :</w:t>
      </w:r>
      <w:r>
        <w:rPr>
          <w:rFonts w:hint="cs"/>
          <w:rtl/>
          <w:lang w:bidi="fa-IR"/>
        </w:rPr>
        <w:t xml:space="preserve"> </w:t>
      </w:r>
      <w:r w:rsidRPr="00132E65">
        <w:rPr>
          <w:rtl/>
          <w:lang w:bidi="fa-IR"/>
        </w:rPr>
        <w:t xml:space="preserve">أَجِبْ مَوْلَاكَ ، فَمَضَيْتُ مَعَهُ ، فَلَمْ يَزَلْ يَتَخَلَّلُ بِيَ الطُّرُقَ </w:t>
      </w:r>
      <w:r>
        <w:rPr>
          <w:rStyle w:val="libFootnotenumChar"/>
          <w:rtl/>
        </w:rPr>
        <w:t>(7)</w:t>
      </w:r>
      <w:r w:rsidRPr="00132E65">
        <w:rPr>
          <w:rtl/>
          <w:lang w:bidi="fa-IR"/>
        </w:rPr>
        <w:t xml:space="preserve"> حَتّى أَتى دَاراً </w:t>
      </w:r>
      <w:r w:rsidR="00956943" w:rsidRPr="00132E65">
        <w:rPr>
          <w:rtl/>
          <w:lang w:bidi="fa-IR"/>
        </w:rPr>
        <w:t>و</w:t>
      </w:r>
      <w:r w:rsidR="00956943">
        <w:rPr>
          <w:rFonts w:hint="cs"/>
          <w:rtl/>
          <w:lang w:bidi="fa-IR"/>
        </w:rPr>
        <w:t>َ</w:t>
      </w:r>
      <w:r w:rsidRPr="00132E65">
        <w:rPr>
          <w:rtl/>
          <w:lang w:bidi="fa-IR"/>
        </w:rPr>
        <w:t xml:space="preserve">بُسْتَاناً ، فَإِذَا أَنَا بِهِ </w:t>
      </w:r>
      <w:r w:rsidRPr="00071CF9">
        <w:rPr>
          <w:rStyle w:val="libAlaemChar"/>
          <w:rtl/>
        </w:rPr>
        <w:t>عليه‌السلام</w:t>
      </w:r>
      <w:r w:rsidRPr="00132E65">
        <w:rPr>
          <w:rtl/>
          <w:lang w:bidi="fa-IR"/>
        </w:rPr>
        <w:t xml:space="preserve"> جَالِسٌ ، فَقَالَ : « مَرْحَباً يَا فُلَانُ</w:t>
      </w:r>
      <w:r>
        <w:rPr>
          <w:rtl/>
          <w:lang w:bidi="fa-IR"/>
        </w:rPr>
        <w:t xml:space="preserve"> - </w:t>
      </w:r>
      <w:r w:rsidRPr="00132E65">
        <w:rPr>
          <w:rtl/>
          <w:lang w:bidi="fa-IR"/>
        </w:rPr>
        <w:t>بِكَلَامِ الْهِنْدِ</w:t>
      </w:r>
      <w:r>
        <w:rPr>
          <w:rtl/>
          <w:lang w:bidi="fa-IR"/>
        </w:rPr>
        <w:t xml:space="preserve"> - </w:t>
      </w:r>
      <w:r w:rsidRPr="00132E65">
        <w:rPr>
          <w:rtl/>
          <w:lang w:bidi="fa-IR"/>
        </w:rPr>
        <w:t>كَيْفَ حَالُكَ</w:t>
      </w:r>
      <w:r>
        <w:rPr>
          <w:rtl/>
          <w:lang w:bidi="fa-IR"/>
        </w:rPr>
        <w:t>؟</w:t>
      </w:r>
      <w:r w:rsidRPr="00132E65">
        <w:rPr>
          <w:rtl/>
          <w:lang w:bidi="fa-IR"/>
        </w:rPr>
        <w:t xml:space="preserve"> </w:t>
      </w:r>
      <w:r w:rsidR="00956943" w:rsidRPr="00132E65">
        <w:rPr>
          <w:rtl/>
          <w:lang w:bidi="fa-IR"/>
        </w:rPr>
        <w:t>و</w:t>
      </w:r>
      <w:r w:rsidR="00956943">
        <w:rPr>
          <w:rFonts w:hint="cs"/>
          <w:rtl/>
          <w:lang w:bidi="fa-IR"/>
        </w:rPr>
        <w:t>َ</w:t>
      </w:r>
      <w:r w:rsidRPr="00132E65">
        <w:rPr>
          <w:rtl/>
          <w:lang w:bidi="fa-IR"/>
        </w:rPr>
        <w:t xml:space="preserve">كَيْفَ خَلَّفْتَ فُلَاناً </w:t>
      </w:r>
      <w:r w:rsidR="00956943" w:rsidRPr="00132E65">
        <w:rPr>
          <w:rtl/>
          <w:lang w:bidi="fa-IR"/>
        </w:rPr>
        <w:t>و</w:t>
      </w:r>
      <w:r w:rsidR="00956943">
        <w:rPr>
          <w:rFonts w:hint="cs"/>
          <w:rtl/>
          <w:lang w:bidi="fa-IR"/>
        </w:rPr>
        <w:t>َ</w:t>
      </w:r>
      <w:r w:rsidRPr="00132E65">
        <w:rPr>
          <w:rtl/>
          <w:lang w:bidi="fa-IR"/>
        </w:rPr>
        <w:t xml:space="preserve">فُلَاناً </w:t>
      </w:r>
      <w:r>
        <w:rPr>
          <w:rStyle w:val="libFootnotenumChar"/>
          <w:rtl/>
        </w:rPr>
        <w:t>(8)</w:t>
      </w:r>
      <w:r>
        <w:rPr>
          <w:rtl/>
          <w:lang w:bidi="fa-IR"/>
        </w:rPr>
        <w:t>؟</w:t>
      </w:r>
      <w:r w:rsidRPr="00132E65">
        <w:rPr>
          <w:rtl/>
          <w:lang w:bidi="fa-IR"/>
        </w:rPr>
        <w:t xml:space="preserve"> » حَتّى عَدَّ الْأَرْبَعِينَ كُلَّهُمْ ، فَسَاءَلَنِي </w:t>
      </w:r>
      <w:r>
        <w:rPr>
          <w:rStyle w:val="libFootnotenumChar"/>
          <w:rtl/>
        </w:rPr>
        <w:t>(9)</w:t>
      </w:r>
      <w:r w:rsidRPr="00132E65">
        <w:rPr>
          <w:rtl/>
          <w:lang w:bidi="fa-IR"/>
        </w:rPr>
        <w:t xml:space="preserve"> عَنْهُمْ </w:t>
      </w:r>
      <w:r w:rsidR="00956943" w:rsidRPr="00132E65">
        <w:rPr>
          <w:rtl/>
          <w:lang w:bidi="fa-IR"/>
        </w:rPr>
        <w:t>و</w:t>
      </w:r>
      <w:r w:rsidR="00956943">
        <w:rPr>
          <w:rFonts w:hint="cs"/>
          <w:rtl/>
          <w:lang w:bidi="fa-IR"/>
        </w:rPr>
        <w:t>َ</w:t>
      </w:r>
      <w:r w:rsidRPr="00132E65">
        <w:rPr>
          <w:rtl/>
          <w:lang w:bidi="fa-IR"/>
        </w:rPr>
        <w:t xml:space="preserve">احِداً </w:t>
      </w:r>
      <w:r w:rsidR="00956943" w:rsidRPr="00132E65">
        <w:rPr>
          <w:rtl/>
          <w:lang w:bidi="fa-IR"/>
        </w:rPr>
        <w:t>و</w:t>
      </w:r>
      <w:r w:rsidR="00956943">
        <w:rPr>
          <w:rFonts w:hint="cs"/>
          <w:rtl/>
          <w:lang w:bidi="fa-IR"/>
        </w:rPr>
        <w:t>َ</w:t>
      </w:r>
      <w:r w:rsidRPr="00132E65">
        <w:rPr>
          <w:rtl/>
          <w:lang w:bidi="fa-IR"/>
        </w:rPr>
        <w:t xml:space="preserve">احِداً ، ثُمَّ أَخْبَرَنِي </w:t>
      </w:r>
      <w:r>
        <w:rPr>
          <w:rStyle w:val="libFootnotenumChar"/>
          <w:rtl/>
        </w:rPr>
        <w:t>(10)</w:t>
      </w:r>
      <w:r w:rsidRPr="00132E65">
        <w:rPr>
          <w:rtl/>
          <w:lang w:bidi="fa-IR"/>
        </w:rPr>
        <w:t xml:space="preserve"> بِمَا تَجَارَيْنَا </w:t>
      </w:r>
      <w:r>
        <w:rPr>
          <w:rStyle w:val="libFootnotenumChar"/>
          <w:rtl/>
        </w:rPr>
        <w:t>(11)</w:t>
      </w:r>
      <w:r w:rsidRPr="00132E65">
        <w:rPr>
          <w:rtl/>
          <w:lang w:bidi="fa-IR"/>
        </w:rPr>
        <w:t xml:space="preserve"> ، كُلُّ </w:t>
      </w:r>
      <w:r>
        <w:rPr>
          <w:rStyle w:val="libFootnotenumChar"/>
          <w:rtl/>
        </w:rPr>
        <w:t>(12)</w:t>
      </w:r>
      <w:r w:rsidRPr="00132E65">
        <w:rPr>
          <w:rtl/>
          <w:lang w:bidi="fa-IR"/>
        </w:rPr>
        <w:t xml:space="preserve"> ذلِكَ بِكَلَامِ الْهِنْدِ.</w:t>
      </w:r>
    </w:p>
    <w:p w:rsidR="000C39D1" w:rsidRPr="00132E65" w:rsidRDefault="000C39D1" w:rsidP="004D3272">
      <w:pPr>
        <w:pStyle w:val="libNormal"/>
        <w:rPr>
          <w:rtl/>
          <w:lang w:bidi="fa-IR"/>
        </w:rPr>
      </w:pPr>
      <w:r w:rsidRPr="00132E65">
        <w:rPr>
          <w:rtl/>
          <w:lang w:bidi="fa-IR"/>
        </w:rPr>
        <w:t>ثُمَّ قَالَ : « أَرَدْتَ أَنْ تَحُجَّ مَعَ أَهْلِ قُمَّ</w:t>
      </w:r>
      <w:r>
        <w:rPr>
          <w:rtl/>
          <w:lang w:bidi="fa-IR"/>
        </w:rPr>
        <w:t>؟</w:t>
      </w:r>
      <w:r w:rsidRPr="00132E65">
        <w:rPr>
          <w:rtl/>
          <w:lang w:bidi="fa-IR"/>
        </w:rPr>
        <w:t xml:space="preserve"> » قُلْتُ : نَعَمْ ، يَا سَيِّدِي ، فَقَالَ : « لَا تَحُجَّ مَعَهُمْ ، </w:t>
      </w:r>
      <w:r w:rsidR="004D3272" w:rsidRPr="00132E65">
        <w:rPr>
          <w:rtl/>
          <w:lang w:bidi="fa-IR"/>
        </w:rPr>
        <w:t>و</w:t>
      </w:r>
      <w:r w:rsidR="004D3272">
        <w:rPr>
          <w:rFonts w:hint="cs"/>
          <w:rtl/>
          <w:lang w:bidi="fa-IR"/>
        </w:rPr>
        <w:t>َ</w:t>
      </w:r>
      <w:r w:rsidRPr="00132E65">
        <w:rPr>
          <w:rtl/>
          <w:lang w:bidi="fa-IR"/>
        </w:rPr>
        <w:t xml:space="preserve">انْصَرِفْ سَنَتَكَ هذِهِ ، </w:t>
      </w:r>
      <w:r w:rsidR="004D3272" w:rsidRPr="00132E65">
        <w:rPr>
          <w:rtl/>
          <w:lang w:bidi="fa-IR"/>
        </w:rPr>
        <w:t>و</w:t>
      </w:r>
      <w:r w:rsidR="004D3272">
        <w:rPr>
          <w:rFonts w:hint="cs"/>
          <w:rtl/>
          <w:lang w:bidi="fa-IR"/>
        </w:rPr>
        <w:t>َ</w:t>
      </w:r>
      <w:r w:rsidRPr="00132E65">
        <w:rPr>
          <w:rtl/>
          <w:lang w:bidi="fa-IR"/>
        </w:rPr>
        <w:t xml:space="preserve">حُجَّ فِي </w:t>
      </w:r>
      <w:r w:rsidRPr="00F543F1">
        <w:rPr>
          <w:rStyle w:val="libFootnotenumChar"/>
          <w:rtl/>
        </w:rPr>
        <w:t>(13)</w:t>
      </w:r>
      <w:r w:rsidRPr="00132E65">
        <w:rPr>
          <w:rtl/>
          <w:lang w:bidi="fa-IR"/>
        </w:rPr>
        <w:t xml:space="preserve"> قَابِلٍ </w:t>
      </w:r>
      <w:r w:rsidRPr="00F543F1">
        <w:rPr>
          <w:rStyle w:val="libFootnotenumChar"/>
          <w:rtl/>
        </w:rPr>
        <w:t>(14)</w:t>
      </w:r>
      <w:r w:rsidRPr="00132E65">
        <w:rPr>
          <w:rtl/>
          <w:lang w:bidi="fa-IR"/>
        </w:rPr>
        <w:t xml:space="preserve"> »</w:t>
      </w:r>
      <w:r>
        <w:rPr>
          <w:rtl/>
          <w:lang w:bidi="fa-IR"/>
        </w:rPr>
        <w:t>.</w:t>
      </w:r>
      <w:r w:rsidRPr="00132E65">
        <w:rPr>
          <w:rtl/>
          <w:lang w:bidi="fa-IR"/>
        </w:rPr>
        <w:t xml:space="preserve"> ثُمَّ أَلْقى إِلَيَّ صُرَّةً كَانَتْ بَيْنَ يَدَيْهِ ،</w:t>
      </w:r>
    </w:p>
    <w:p w:rsidR="000C39D1" w:rsidRPr="00132E65" w:rsidRDefault="000C39D1" w:rsidP="000C39D1">
      <w:pPr>
        <w:pStyle w:val="libLine"/>
        <w:rPr>
          <w:rtl/>
          <w:lang w:bidi="fa-IR"/>
        </w:rPr>
      </w:pPr>
      <w:r w:rsidRPr="00132E65">
        <w:rPr>
          <w:rtl/>
          <w:lang w:bidi="fa-IR"/>
        </w:rPr>
        <w:t>__________________</w:t>
      </w:r>
    </w:p>
    <w:p w:rsidR="000C39D1" w:rsidRDefault="004D3272" w:rsidP="000C39D1">
      <w:pPr>
        <w:pStyle w:val="libFootnote0"/>
        <w:rPr>
          <w:rtl/>
        </w:rPr>
      </w:pPr>
      <w:r>
        <w:rPr>
          <w:rFonts w:hint="cs"/>
          <w:rtl/>
        </w:rPr>
        <w:t xml:space="preserve">= </w:t>
      </w:r>
      <w:r w:rsidR="000C39D1">
        <w:rPr>
          <w:rtl/>
        </w:rPr>
        <w:t xml:space="preserve">+ </w:t>
      </w:r>
      <w:r w:rsidR="000C39D1" w:rsidRPr="00132E65">
        <w:rPr>
          <w:rtl/>
        </w:rPr>
        <w:t>« مائتين »</w:t>
      </w:r>
      <w:r w:rsidR="000C39D1">
        <w:rPr>
          <w:rtl/>
        </w:rPr>
        <w:t>.</w:t>
      </w:r>
      <w:r w:rsidR="000C39D1" w:rsidRPr="00132E65">
        <w:rPr>
          <w:rtl/>
        </w:rPr>
        <w:t xml:space="preserve"> قال المازندراني : « قوله : في سنة أربع وستّين ، أي</w:t>
      </w:r>
      <w:r w:rsidR="000C39D1">
        <w:rPr>
          <w:rFonts w:hint="cs"/>
          <w:rtl/>
          <w:lang w:bidi="fa-IR"/>
        </w:rPr>
        <w:t xml:space="preserve"> </w:t>
      </w:r>
      <w:r w:rsidR="000C39D1" w:rsidRPr="00E55206">
        <w:rPr>
          <w:rtl/>
        </w:rPr>
        <w:t>من الغيبة أو بعد مائتين ». وقال المجلسي : « أربع وستّين ، أي بعد المائتين من الهجرة ».</w:t>
      </w:r>
    </w:p>
    <w:p w:rsidR="000C39D1" w:rsidRPr="00132E65" w:rsidRDefault="000C39D1" w:rsidP="000C39D1">
      <w:pPr>
        <w:pStyle w:val="libFootnote0"/>
        <w:rPr>
          <w:rtl/>
          <w:lang w:bidi="fa-IR"/>
        </w:rPr>
      </w:pPr>
      <w:r>
        <w:rPr>
          <w:rtl/>
        </w:rPr>
        <w:t>(1).</w:t>
      </w:r>
      <w:r w:rsidRPr="00132E65">
        <w:rPr>
          <w:rtl/>
        </w:rPr>
        <w:t xml:space="preserve"> في « ج ، ف » : « فأنكرت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صرت »</w:t>
      </w:r>
      <w:r>
        <w:rPr>
          <w:rtl/>
        </w:rPr>
        <w:t>.</w:t>
      </w:r>
    </w:p>
    <w:tbl>
      <w:tblPr>
        <w:tblStyle w:val="TableGrid"/>
        <w:bidiVisual/>
        <w:tblW w:w="0" w:type="auto"/>
        <w:tblLook w:val="04A0" w:firstRow="1" w:lastRow="0" w:firstColumn="1" w:lastColumn="0" w:noHBand="0" w:noVBand="1"/>
      </w:tblPr>
      <w:tblGrid>
        <w:gridCol w:w="4261"/>
        <w:gridCol w:w="4262"/>
      </w:tblGrid>
      <w:tr w:rsidR="00FF6A58" w:rsidTr="00FF6A58">
        <w:tc>
          <w:tcPr>
            <w:tcW w:w="4261" w:type="dxa"/>
          </w:tcPr>
          <w:p w:rsidR="00FF6A58" w:rsidRDefault="00FF6A58" w:rsidP="000C39D1">
            <w:pPr>
              <w:pStyle w:val="libFootnote0"/>
              <w:rPr>
                <w:rtl/>
              </w:rPr>
            </w:pPr>
            <w:r>
              <w:rPr>
                <w:rtl/>
              </w:rPr>
              <w:t>(3).</w:t>
            </w:r>
            <w:r w:rsidRPr="00132E65">
              <w:rPr>
                <w:rtl/>
              </w:rPr>
              <w:t xml:space="preserve"> في « بر » : « متفكّراً »</w:t>
            </w:r>
            <w:r>
              <w:rPr>
                <w:rtl/>
              </w:rPr>
              <w:t>.</w:t>
            </w:r>
          </w:p>
        </w:tc>
        <w:tc>
          <w:tcPr>
            <w:tcW w:w="4262" w:type="dxa"/>
          </w:tcPr>
          <w:p w:rsidR="00FF6A58" w:rsidRDefault="00FF6A58" w:rsidP="000C39D1">
            <w:pPr>
              <w:pStyle w:val="libFootnote0"/>
              <w:rPr>
                <w:rtl/>
              </w:rPr>
            </w:pPr>
            <w:r>
              <w:rPr>
                <w:rtl/>
              </w:rPr>
              <w:t>(4).</w:t>
            </w:r>
            <w:r w:rsidRPr="00132E65">
              <w:rPr>
                <w:rtl/>
              </w:rPr>
              <w:t xml:space="preserve"> في « ب ، ف » : « إذ »</w:t>
            </w:r>
            <w:r>
              <w:rPr>
                <w:rtl/>
              </w:rPr>
              <w:t>.</w:t>
            </w:r>
          </w:p>
        </w:tc>
      </w:tr>
    </w:tbl>
    <w:p w:rsidR="000C39D1" w:rsidRPr="00132E65" w:rsidRDefault="000C39D1" w:rsidP="000C39D1">
      <w:pPr>
        <w:pStyle w:val="libFootnote0"/>
        <w:rPr>
          <w:rtl/>
          <w:lang w:bidi="fa-IR"/>
        </w:rPr>
      </w:pPr>
      <w:r>
        <w:rPr>
          <w:rtl/>
        </w:rPr>
        <w:t>(5).</w:t>
      </w:r>
      <w:r w:rsidRPr="00132E65">
        <w:rPr>
          <w:rtl/>
        </w:rPr>
        <w:t xml:space="preserve"> في « بح » : « فقد »</w:t>
      </w:r>
      <w:r>
        <w:rPr>
          <w:rtl/>
        </w:rPr>
        <w:t>.</w:t>
      </w:r>
    </w:p>
    <w:p w:rsidR="000C39D1" w:rsidRPr="00132E65" w:rsidRDefault="000C39D1" w:rsidP="000C39D1">
      <w:pPr>
        <w:pStyle w:val="libFootnote0"/>
        <w:rPr>
          <w:rtl/>
          <w:lang w:bidi="fa-IR"/>
        </w:rPr>
      </w:pPr>
      <w:r>
        <w:rPr>
          <w:rtl/>
        </w:rPr>
        <w:t>(6).</w:t>
      </w:r>
      <w:r w:rsidRPr="00132E65">
        <w:rPr>
          <w:rtl/>
        </w:rPr>
        <w:t xml:space="preserve"> في « بس » : « في الهند »</w:t>
      </w:r>
      <w:r>
        <w:rPr>
          <w:rtl/>
        </w:rPr>
        <w:t>.</w:t>
      </w:r>
      <w:r w:rsidRPr="00132E65">
        <w:rPr>
          <w:rtl/>
        </w:rPr>
        <w:t xml:space="preserve"> قال في </w:t>
      </w:r>
      <w:r w:rsidRPr="009D1ACE">
        <w:rPr>
          <w:rStyle w:val="libFootnoteBoldChar"/>
          <w:rtl/>
        </w:rPr>
        <w:t>مرآة العقول</w:t>
      </w:r>
      <w:r w:rsidRPr="00132E65">
        <w:rPr>
          <w:rtl/>
        </w:rPr>
        <w:t xml:space="preserve"> : « وقوله : اسمه بالهند ، كلام العامري »</w:t>
      </w:r>
      <w:r>
        <w:rPr>
          <w:rtl/>
        </w:rPr>
        <w:t>.</w:t>
      </w:r>
      <w:r w:rsidRPr="00132E65">
        <w:rPr>
          <w:rtl/>
        </w:rPr>
        <w:t xml:space="preserve"> واسمه خبر لمبتدأ محذوف.</w:t>
      </w:r>
    </w:p>
    <w:p w:rsidR="000C39D1" w:rsidRPr="00132E65" w:rsidRDefault="000C39D1" w:rsidP="000C39D1">
      <w:pPr>
        <w:pStyle w:val="libFootnote0"/>
        <w:rPr>
          <w:rtl/>
          <w:lang w:bidi="fa-IR"/>
        </w:rPr>
      </w:pPr>
      <w:r>
        <w:rPr>
          <w:rtl/>
        </w:rPr>
        <w:t>(7).</w:t>
      </w:r>
      <w:r w:rsidRPr="00132E65">
        <w:rPr>
          <w:rtl/>
        </w:rPr>
        <w:t xml:space="preserve"> في « ب ، ج ، ض ، ف » : « الطريق »</w:t>
      </w:r>
      <w:r>
        <w:rPr>
          <w:rtl/>
        </w:rPr>
        <w:t>.</w:t>
      </w:r>
      <w:r w:rsidRPr="00132E65">
        <w:rPr>
          <w:rtl/>
        </w:rPr>
        <w:t xml:space="preserve"> وفي حاشية « ف » : « يتحلّل بالطريق »</w:t>
      </w:r>
      <w:r>
        <w:rPr>
          <w:rtl/>
        </w:rPr>
        <w:t>.</w:t>
      </w:r>
    </w:p>
    <w:p w:rsidR="000C39D1" w:rsidRPr="00132E65" w:rsidRDefault="000C39D1" w:rsidP="000C39D1">
      <w:pPr>
        <w:pStyle w:val="libFootnote0"/>
        <w:rPr>
          <w:rtl/>
          <w:lang w:bidi="fa-IR"/>
        </w:rPr>
      </w:pPr>
      <w:r>
        <w:rPr>
          <w:rtl/>
        </w:rPr>
        <w:t>(8).</w:t>
      </w:r>
      <w:r w:rsidRPr="00132E65">
        <w:rPr>
          <w:rtl/>
        </w:rPr>
        <w:t xml:space="preserve"> في « ب ، ج ، ض ، بح ، بر ، بس ، بف » و</w:t>
      </w:r>
      <w:r w:rsidRPr="009D1ACE">
        <w:rPr>
          <w:rStyle w:val="libFootnoteBoldChar"/>
          <w:rtl/>
        </w:rPr>
        <w:t>الوافي</w:t>
      </w:r>
      <w:r w:rsidRPr="00132E65">
        <w:rPr>
          <w:rtl/>
        </w:rPr>
        <w:t xml:space="preserve"> :</w:t>
      </w:r>
      <w:r>
        <w:rPr>
          <w:rtl/>
        </w:rPr>
        <w:t xml:space="preserve"> + </w:t>
      </w:r>
      <w:r w:rsidRPr="00132E65">
        <w:rPr>
          <w:rtl/>
        </w:rPr>
        <w:t>« وفلاناً »</w:t>
      </w:r>
      <w:r>
        <w:rPr>
          <w:rtl/>
        </w:rPr>
        <w:t>.</w:t>
      </w:r>
    </w:p>
    <w:tbl>
      <w:tblPr>
        <w:tblStyle w:val="TableGrid"/>
        <w:bidiVisual/>
        <w:tblW w:w="0" w:type="auto"/>
        <w:tblLook w:val="04A0" w:firstRow="1" w:lastRow="0" w:firstColumn="1" w:lastColumn="0" w:noHBand="0" w:noVBand="1"/>
      </w:tblPr>
      <w:tblGrid>
        <w:gridCol w:w="4261"/>
        <w:gridCol w:w="4262"/>
      </w:tblGrid>
      <w:tr w:rsidR="00663DB6" w:rsidTr="00663DB6">
        <w:tc>
          <w:tcPr>
            <w:tcW w:w="4261" w:type="dxa"/>
          </w:tcPr>
          <w:p w:rsidR="00663DB6" w:rsidRDefault="00663DB6" w:rsidP="000C39D1">
            <w:pPr>
              <w:pStyle w:val="libFootnote0"/>
              <w:rPr>
                <w:rtl/>
              </w:rPr>
            </w:pPr>
            <w:r>
              <w:rPr>
                <w:rtl/>
              </w:rPr>
              <w:t>(9).</w:t>
            </w:r>
            <w:r w:rsidRPr="00132E65">
              <w:rPr>
                <w:rtl/>
              </w:rPr>
              <w:t xml:space="preserve"> في « ف » : « فسألني »</w:t>
            </w:r>
            <w:r>
              <w:rPr>
                <w:rtl/>
              </w:rPr>
              <w:t>.</w:t>
            </w:r>
          </w:p>
        </w:tc>
        <w:tc>
          <w:tcPr>
            <w:tcW w:w="4262" w:type="dxa"/>
          </w:tcPr>
          <w:p w:rsidR="00663DB6" w:rsidRDefault="00663DB6" w:rsidP="000C39D1">
            <w:pPr>
              <w:pStyle w:val="libFootnote0"/>
              <w:rPr>
                <w:rtl/>
              </w:rPr>
            </w:pPr>
            <w:r>
              <w:rPr>
                <w:rtl/>
              </w:rPr>
              <w:t>(10).</w:t>
            </w:r>
            <w:r w:rsidRPr="00132E65">
              <w:rPr>
                <w:rtl/>
              </w:rPr>
              <w:t xml:space="preserve"> في « ض » : « أخبرنا »</w:t>
            </w:r>
            <w:r>
              <w:rPr>
                <w:rtl/>
              </w:rPr>
              <w:t>.</w:t>
            </w:r>
          </w:p>
        </w:tc>
      </w:tr>
    </w:tbl>
    <w:p w:rsidR="000C39D1" w:rsidRPr="00132E65" w:rsidRDefault="000C39D1" w:rsidP="000C39D1">
      <w:pPr>
        <w:pStyle w:val="libFootnote0"/>
        <w:rPr>
          <w:rtl/>
          <w:lang w:bidi="fa-IR"/>
        </w:rPr>
      </w:pPr>
      <w:r>
        <w:rPr>
          <w:rtl/>
        </w:rPr>
        <w:t>(11).</w:t>
      </w:r>
      <w:r w:rsidRPr="00132E65">
        <w:rPr>
          <w:rtl/>
        </w:rPr>
        <w:t xml:space="preserve"> في « ب ، ج ، بح ، بس » و</w:t>
      </w:r>
      <w:r w:rsidRPr="009D1ACE">
        <w:rPr>
          <w:rStyle w:val="libFootnoteBoldChar"/>
          <w:rtl/>
        </w:rPr>
        <w:t>الوافي</w:t>
      </w:r>
      <w:r w:rsidRPr="00132E65">
        <w:rPr>
          <w:rtl/>
        </w:rPr>
        <w:t xml:space="preserve"> : « تجاريناه »</w:t>
      </w:r>
      <w:r>
        <w:rPr>
          <w:rtl/>
        </w:rPr>
        <w:t>.</w:t>
      </w:r>
      <w:r w:rsidRPr="00132E65">
        <w:rPr>
          <w:rtl/>
        </w:rPr>
        <w:t xml:space="preserve"> وفي « بر » : « تجاربناه »</w:t>
      </w:r>
      <w:r>
        <w:rPr>
          <w:rtl/>
        </w:rPr>
        <w:t>.</w:t>
      </w:r>
    </w:p>
    <w:p w:rsidR="000C39D1" w:rsidRPr="00132E65" w:rsidRDefault="000C39D1" w:rsidP="000C39D1">
      <w:pPr>
        <w:pStyle w:val="libFootnote0"/>
        <w:rPr>
          <w:rtl/>
          <w:lang w:bidi="fa-IR"/>
        </w:rPr>
      </w:pPr>
      <w:r>
        <w:rPr>
          <w:rtl/>
        </w:rPr>
        <w:t>(12).</w:t>
      </w:r>
      <w:r w:rsidRPr="00132E65">
        <w:rPr>
          <w:rtl/>
        </w:rPr>
        <w:t xml:space="preserve"> في « ب » : « وكلّ »</w:t>
      </w:r>
      <w:r>
        <w:rPr>
          <w:rtl/>
        </w:rPr>
        <w:t>.</w:t>
      </w:r>
    </w:p>
    <w:p w:rsidR="000C39D1" w:rsidRPr="00132E65" w:rsidRDefault="000C39D1" w:rsidP="000C39D1">
      <w:pPr>
        <w:pStyle w:val="libFootnote0"/>
        <w:rPr>
          <w:rtl/>
          <w:lang w:bidi="fa-IR"/>
        </w:rPr>
      </w:pPr>
      <w:r>
        <w:rPr>
          <w:rtl/>
        </w:rPr>
        <w:t>(13)</w:t>
      </w:r>
      <w:r w:rsidRPr="00132E65">
        <w:rPr>
          <w:rtl/>
        </w:rPr>
        <w:t xml:space="preserve"> في « ض ، ف ، بر ، بس ، بف » وشرح المازندراني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(14)</w:t>
      </w:r>
      <w:r w:rsidRPr="00132E65">
        <w:rPr>
          <w:rtl/>
        </w:rPr>
        <w:t xml:space="preserve"> في حاشية « بح » : « القابل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6406A0">
      <w:pPr>
        <w:pStyle w:val="libNormal0"/>
        <w:tabs>
          <w:tab w:val="left" w:pos="3968"/>
        </w:tabs>
        <w:rPr>
          <w:rtl/>
          <w:lang w:bidi="fa-IR"/>
        </w:rPr>
      </w:pPr>
      <w:r w:rsidRPr="00132E65">
        <w:rPr>
          <w:rtl/>
          <w:lang w:bidi="fa-IR"/>
        </w:rPr>
        <w:t xml:space="preserve">فَقَالَ لِيَ </w:t>
      </w:r>
      <w:r>
        <w:rPr>
          <w:rStyle w:val="libFootnotenumChar"/>
          <w:rtl/>
        </w:rPr>
        <w:t>(1)</w:t>
      </w:r>
      <w:r w:rsidRPr="00132E65">
        <w:rPr>
          <w:rtl/>
          <w:lang w:bidi="fa-IR"/>
        </w:rPr>
        <w:t xml:space="preserve"> : « اجْعَلْهَا </w:t>
      </w:r>
      <w:r>
        <w:rPr>
          <w:rStyle w:val="libFootnotenumChar"/>
          <w:rtl/>
        </w:rPr>
        <w:t>(2)</w:t>
      </w:r>
      <w:r w:rsidRPr="00132E65">
        <w:rPr>
          <w:rtl/>
          <w:lang w:bidi="fa-IR"/>
        </w:rPr>
        <w:t xml:space="preserve"> نَفَقَتَكَ ، </w:t>
      </w:r>
      <w:r w:rsidR="006406A0" w:rsidRPr="00132E65">
        <w:rPr>
          <w:rtl/>
          <w:lang w:bidi="fa-IR"/>
        </w:rPr>
        <w:t>و</w:t>
      </w:r>
      <w:r w:rsidR="006406A0">
        <w:rPr>
          <w:rFonts w:hint="cs"/>
          <w:rtl/>
          <w:lang w:bidi="fa-IR"/>
        </w:rPr>
        <w:t>َ</w:t>
      </w:r>
      <w:r w:rsidRPr="00132E65">
        <w:rPr>
          <w:rtl/>
          <w:lang w:bidi="fa-IR"/>
        </w:rPr>
        <w:t>لَاتَدْخُلْ إِلى بَغْدَادَ إِلى فُلَانٍ</w:t>
      </w:r>
      <w:r>
        <w:rPr>
          <w:rtl/>
          <w:lang w:bidi="fa-IR"/>
        </w:rPr>
        <w:t xml:space="preserve"> - </w:t>
      </w:r>
      <w:r w:rsidRPr="00132E65">
        <w:rPr>
          <w:rtl/>
          <w:lang w:bidi="fa-IR"/>
        </w:rPr>
        <w:t>سَمَّاهُ</w:t>
      </w:r>
      <w:r>
        <w:rPr>
          <w:rtl/>
          <w:lang w:bidi="fa-IR"/>
        </w:rPr>
        <w:t xml:space="preserve"> - </w:t>
      </w:r>
      <w:r w:rsidRPr="00132E65">
        <w:rPr>
          <w:rtl/>
          <w:lang w:bidi="fa-IR"/>
        </w:rPr>
        <w:t>و</w:t>
      </w:r>
      <w:r w:rsidR="006406A0">
        <w:rPr>
          <w:rFonts w:hint="cs"/>
          <w:rtl/>
          <w:lang w:bidi="fa-IR"/>
        </w:rPr>
        <w:t>َ</w:t>
      </w:r>
      <w:r w:rsidRPr="00132E65">
        <w:rPr>
          <w:rtl/>
          <w:lang w:bidi="fa-IR"/>
        </w:rPr>
        <w:t xml:space="preserve">لَاتُطْلِعْهُ عَلى شَيْ‌ءٍ » ، </w:t>
      </w:r>
      <w:r w:rsidR="006406A0" w:rsidRPr="00132E65">
        <w:rPr>
          <w:rtl/>
          <w:lang w:bidi="fa-IR"/>
        </w:rPr>
        <w:t>و</w:t>
      </w:r>
      <w:r w:rsidR="006406A0">
        <w:rPr>
          <w:rFonts w:hint="cs"/>
          <w:rtl/>
          <w:lang w:bidi="fa-IR"/>
        </w:rPr>
        <w:t>َ</w:t>
      </w:r>
      <w:r w:rsidRPr="00132E65">
        <w:rPr>
          <w:rtl/>
          <w:lang w:bidi="fa-IR"/>
        </w:rPr>
        <w:t xml:space="preserve">انْصَرِفْ إِلَيْنَا إِلَى الْبَلَدِ </w:t>
      </w:r>
      <w:r>
        <w:rPr>
          <w:rStyle w:val="libFootnotenumChar"/>
          <w:rtl/>
        </w:rPr>
        <w:t>(3)</w:t>
      </w:r>
      <w:r w:rsidR="006406A0" w:rsidRPr="006406A0">
        <w:rPr>
          <w:rStyle w:val="libNormalChar"/>
          <w:rFonts w:hint="cs"/>
          <w:rtl/>
        </w:rPr>
        <w:t>.</w:t>
      </w:r>
    </w:p>
    <w:p w:rsidR="000C39D1" w:rsidRPr="00132E65" w:rsidRDefault="000C39D1" w:rsidP="001343AE">
      <w:pPr>
        <w:pStyle w:val="libNormal"/>
        <w:rPr>
          <w:rtl/>
          <w:lang w:bidi="fa-IR"/>
        </w:rPr>
      </w:pPr>
      <w:r w:rsidRPr="00132E65">
        <w:rPr>
          <w:rtl/>
          <w:lang w:bidi="fa-IR"/>
        </w:rPr>
        <w:t xml:space="preserve">ثُمَّ </w:t>
      </w:r>
      <w:r w:rsidR="001343AE" w:rsidRPr="00132E65">
        <w:rPr>
          <w:rtl/>
          <w:lang w:bidi="fa-IR"/>
        </w:rPr>
        <w:t>و</w:t>
      </w:r>
      <w:r w:rsidR="001343AE">
        <w:rPr>
          <w:rFonts w:hint="cs"/>
          <w:rtl/>
          <w:lang w:bidi="fa-IR"/>
        </w:rPr>
        <w:t>َ</w:t>
      </w:r>
      <w:r w:rsidRPr="00132E65">
        <w:rPr>
          <w:rtl/>
          <w:lang w:bidi="fa-IR"/>
        </w:rPr>
        <w:t xml:space="preserve">افَانَا بَعْضُ </w:t>
      </w:r>
      <w:r>
        <w:rPr>
          <w:rStyle w:val="libFootnotenumChar"/>
          <w:rtl/>
        </w:rPr>
        <w:t>(4)</w:t>
      </w:r>
      <w:r w:rsidRPr="00132E65">
        <w:rPr>
          <w:rtl/>
          <w:lang w:bidi="fa-IR"/>
        </w:rPr>
        <w:t xml:space="preserve"> الْفُيُوجِ </w:t>
      </w:r>
      <w:r>
        <w:rPr>
          <w:rStyle w:val="libFootnotenumChar"/>
          <w:rtl/>
        </w:rPr>
        <w:t>(5)</w:t>
      </w:r>
      <w:r w:rsidRPr="00132E65">
        <w:rPr>
          <w:rtl/>
          <w:lang w:bidi="fa-IR"/>
        </w:rPr>
        <w:t xml:space="preserve"> ، فَأَعْلَمُونَا أَنَّ أَصْحَابَنَا انْصَرَفُوا مِنَ الْعَقَبَةِ </w:t>
      </w:r>
      <w:r>
        <w:rPr>
          <w:rStyle w:val="libFootnotenumChar"/>
          <w:rtl/>
        </w:rPr>
        <w:t>(6)</w:t>
      </w:r>
      <w:r w:rsidRPr="00132E65">
        <w:rPr>
          <w:rtl/>
          <w:lang w:bidi="fa-IR"/>
        </w:rPr>
        <w:t xml:space="preserve"> ، </w:t>
      </w:r>
      <w:r w:rsidR="001343AE" w:rsidRPr="00132E65">
        <w:rPr>
          <w:rtl/>
          <w:lang w:bidi="fa-IR"/>
        </w:rPr>
        <w:t>و</w:t>
      </w:r>
      <w:r w:rsidR="001343AE">
        <w:rPr>
          <w:rFonts w:hint="cs"/>
          <w:rtl/>
          <w:lang w:bidi="fa-IR"/>
        </w:rPr>
        <w:t>َ</w:t>
      </w:r>
      <w:r w:rsidRPr="00132E65">
        <w:rPr>
          <w:rtl/>
          <w:lang w:bidi="fa-IR"/>
        </w:rPr>
        <w:t xml:space="preserve">مَضى </w:t>
      </w:r>
      <w:r>
        <w:rPr>
          <w:rStyle w:val="libFootnotenumChar"/>
          <w:rtl/>
        </w:rPr>
        <w:t>(7)</w:t>
      </w:r>
      <w:r w:rsidRPr="00132E65">
        <w:rPr>
          <w:rtl/>
          <w:lang w:bidi="fa-IR"/>
        </w:rPr>
        <w:t xml:space="preserve"> نَحْوَ خُرَاسَانَ ، فَلَمَّا كَانَ فِي قَابِلٍ حَجَّ ، </w:t>
      </w:r>
      <w:r w:rsidR="001343AE" w:rsidRPr="00132E65">
        <w:rPr>
          <w:rtl/>
          <w:lang w:bidi="fa-IR"/>
        </w:rPr>
        <w:t>و</w:t>
      </w:r>
      <w:r w:rsidR="001343AE">
        <w:rPr>
          <w:rFonts w:hint="cs"/>
          <w:rtl/>
          <w:lang w:bidi="fa-IR"/>
        </w:rPr>
        <w:t>َ</w:t>
      </w:r>
      <w:r w:rsidRPr="00132E65">
        <w:rPr>
          <w:rtl/>
          <w:lang w:bidi="fa-IR"/>
        </w:rPr>
        <w:t xml:space="preserve">أَرْسَلَ إِلَيْنَا بِهَدِيَّةٍ مِنْ طُرَفِ </w:t>
      </w:r>
      <w:r>
        <w:rPr>
          <w:rStyle w:val="libFootnotenumChar"/>
          <w:rtl/>
        </w:rPr>
        <w:t>(8)</w:t>
      </w:r>
      <w:r w:rsidRPr="00132E65">
        <w:rPr>
          <w:rtl/>
          <w:lang w:bidi="fa-IR"/>
        </w:rPr>
        <w:t xml:space="preserve"> خُرَاسَانَ ، فَأَقَامَ بِهَا مُدَّةً ، ثُمَّ </w:t>
      </w:r>
      <w:r>
        <w:rPr>
          <w:rStyle w:val="libFootnotenumChar"/>
          <w:rtl/>
        </w:rPr>
        <w:t>(9)</w:t>
      </w:r>
      <w:r w:rsidRPr="00132E65">
        <w:rPr>
          <w:rtl/>
          <w:lang w:bidi="fa-IR"/>
        </w:rPr>
        <w:t xml:space="preserve"> مَاتَ رَحِمَهُ اللهُ </w:t>
      </w:r>
      <w:r>
        <w:rPr>
          <w:rStyle w:val="libFootnotenumChar"/>
          <w:rtl/>
        </w:rPr>
        <w:t>(10)</w:t>
      </w:r>
      <w:r w:rsidR="001343AE">
        <w:rPr>
          <w:rFonts w:hint="cs"/>
          <w:rtl/>
          <w:lang w:bidi="fa-IR"/>
        </w:rPr>
        <w:t>.</w:t>
      </w:r>
      <w:r>
        <w:rPr>
          <w:rStyle w:val="libFootnotenumChar"/>
          <w:rtl/>
        </w:rPr>
        <w:t>(11)</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E25D42" w:rsidTr="00E25D42">
        <w:tc>
          <w:tcPr>
            <w:tcW w:w="4261" w:type="dxa"/>
          </w:tcPr>
          <w:p w:rsidR="00E25D42" w:rsidRDefault="00E25D42" w:rsidP="000C39D1">
            <w:pPr>
              <w:pStyle w:val="libFootnote0"/>
              <w:rPr>
                <w:rtl/>
              </w:rPr>
            </w:pPr>
            <w:r>
              <w:rPr>
                <w:rtl/>
              </w:rPr>
              <w:t>(1).</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 لي »</w:t>
            </w:r>
            <w:r>
              <w:rPr>
                <w:rtl/>
              </w:rPr>
              <w:t>.</w:t>
            </w:r>
          </w:p>
        </w:tc>
        <w:tc>
          <w:tcPr>
            <w:tcW w:w="4262" w:type="dxa"/>
          </w:tcPr>
          <w:p w:rsidR="00E25D42" w:rsidRDefault="0032135E" w:rsidP="000C39D1">
            <w:pPr>
              <w:pStyle w:val="libFootnote0"/>
              <w:rPr>
                <w:rtl/>
              </w:rPr>
            </w:pPr>
            <w:r>
              <w:rPr>
                <w:rtl/>
              </w:rPr>
              <w:t>(2).</w:t>
            </w:r>
            <w:r w:rsidRPr="00132E65">
              <w:rPr>
                <w:rtl/>
              </w:rPr>
              <w:t xml:space="preserve"> في « ب » :</w:t>
            </w:r>
            <w:r>
              <w:rPr>
                <w:rtl/>
              </w:rPr>
              <w:t xml:space="preserve"> + </w:t>
            </w:r>
            <w:r w:rsidRPr="00132E65">
              <w:rPr>
                <w:rtl/>
              </w:rPr>
              <w:t>« في »</w:t>
            </w:r>
            <w:r>
              <w:rPr>
                <w:rtl/>
              </w:rPr>
              <w:t>.</w:t>
            </w:r>
          </w:p>
        </w:tc>
      </w:tr>
    </w:tbl>
    <w:p w:rsidR="000C39D1" w:rsidRPr="00132E65" w:rsidRDefault="000C39D1" w:rsidP="0032135E">
      <w:pPr>
        <w:pStyle w:val="libFootnote0"/>
        <w:rPr>
          <w:rtl/>
          <w:lang w:bidi="fa-IR"/>
        </w:rPr>
      </w:pPr>
      <w:r>
        <w:rPr>
          <w:rtl/>
        </w:rPr>
        <w:t>(3).</w:t>
      </w:r>
      <w:r w:rsidRPr="00132E65">
        <w:rPr>
          <w:rtl/>
        </w:rPr>
        <w:t xml:space="preserve"> في </w:t>
      </w:r>
      <w:r w:rsidRPr="005C7539">
        <w:rPr>
          <w:rtl/>
        </w:rPr>
        <w:t>شرح المازندراني و</w:t>
      </w:r>
      <w:r w:rsidRPr="009D1ACE">
        <w:rPr>
          <w:rStyle w:val="libFootnoteBoldChar"/>
          <w:rtl/>
        </w:rPr>
        <w:t>مرآة العقول</w:t>
      </w:r>
      <w:r w:rsidRPr="00132E65">
        <w:rPr>
          <w:rtl/>
        </w:rPr>
        <w:t xml:space="preserve"> : « قوله : وانصرف إلينا إلى البلد ، من كلام العامري. و: إلى البلد ، بدل من : إلينا. والمراد به قمّ المقدّسة »</w:t>
      </w:r>
      <w:r>
        <w:rPr>
          <w:rtl/>
        </w:rPr>
        <w:t>.</w:t>
      </w:r>
      <w:r w:rsidR="0032135E">
        <w:rPr>
          <w:rFonts w:hint="cs"/>
          <w:rtl/>
        </w:rPr>
        <w:t xml:space="preserve">   </w:t>
      </w:r>
      <w:r w:rsidR="0006034E">
        <w:rPr>
          <w:rFonts w:hint="cs"/>
          <w:rtl/>
        </w:rPr>
        <w:t xml:space="preserve">                            </w:t>
      </w:r>
      <w:r w:rsidR="0032135E">
        <w:rPr>
          <w:rFonts w:hint="cs"/>
          <w:rtl/>
        </w:rPr>
        <w:t xml:space="preserve">         </w:t>
      </w:r>
      <w:r>
        <w:rPr>
          <w:rtl/>
        </w:rPr>
        <w:t>(4).</w:t>
      </w:r>
      <w:r w:rsidRPr="00132E65">
        <w:rPr>
          <w:rtl/>
        </w:rPr>
        <w:t xml:space="preserve"> في </w:t>
      </w:r>
      <w:r w:rsidRPr="009D1ACE">
        <w:rPr>
          <w:rStyle w:val="libFootnoteBoldChar"/>
          <w:rtl/>
        </w:rPr>
        <w:t>الوافي</w:t>
      </w:r>
      <w:r w:rsidRPr="00132E65">
        <w:rPr>
          <w:rtl/>
        </w:rPr>
        <w:t xml:space="preserve"> : « بعد »</w:t>
      </w:r>
      <w:r>
        <w:rPr>
          <w:rtl/>
        </w:rPr>
        <w:t>.</w:t>
      </w:r>
    </w:p>
    <w:p w:rsidR="000C39D1" w:rsidRPr="00132E65" w:rsidRDefault="000C39D1" w:rsidP="000C39D1">
      <w:pPr>
        <w:pStyle w:val="libFootnote0"/>
        <w:rPr>
          <w:rtl/>
          <w:lang w:bidi="fa-IR"/>
        </w:rPr>
      </w:pPr>
      <w:r>
        <w:rPr>
          <w:rtl/>
        </w:rPr>
        <w:t>(5).</w:t>
      </w:r>
      <w:r w:rsidRPr="00132E65">
        <w:rPr>
          <w:rtl/>
        </w:rPr>
        <w:t xml:space="preserve"> في « ج ، ض ، بر ، بس ، بف » و</w:t>
      </w:r>
      <w:r w:rsidRPr="009D1ACE">
        <w:rPr>
          <w:rStyle w:val="libFootnoteBoldChar"/>
          <w:rtl/>
        </w:rPr>
        <w:t>مرآة العقول</w:t>
      </w:r>
      <w:r w:rsidRPr="00132E65">
        <w:rPr>
          <w:rtl/>
        </w:rPr>
        <w:t xml:space="preserve"> : « بعد الفتوح »</w:t>
      </w:r>
      <w:r>
        <w:rPr>
          <w:rtl/>
        </w:rPr>
        <w:t>.</w:t>
      </w:r>
      <w:r w:rsidRPr="00132E65">
        <w:rPr>
          <w:rtl/>
        </w:rPr>
        <w:t xml:space="preserve"> وقال في </w:t>
      </w:r>
      <w:r w:rsidRPr="005C7539">
        <w:rPr>
          <w:rtl/>
        </w:rPr>
        <w:t>المرآة</w:t>
      </w:r>
      <w:r w:rsidRPr="00132E65">
        <w:rPr>
          <w:rtl/>
        </w:rPr>
        <w:t xml:space="preserve"> : « بعد الفتوح ، أي الفتوح المعنويّة من لقاء الإمام </w:t>
      </w:r>
      <w:r w:rsidRPr="00E25D42">
        <w:rPr>
          <w:rStyle w:val="libFootnoteAlaemChar"/>
          <w:rtl/>
        </w:rPr>
        <w:t>عليه‌السلام</w:t>
      </w:r>
      <w:r w:rsidRPr="00132E65">
        <w:rPr>
          <w:rtl/>
        </w:rPr>
        <w:t xml:space="preserve"> ووصوله إلى بغيته</w:t>
      </w:r>
      <w:r>
        <w:rPr>
          <w:rtl/>
        </w:rPr>
        <w:t xml:space="preserve"> ..</w:t>
      </w:r>
      <w:r w:rsidRPr="00132E65">
        <w:rPr>
          <w:rtl/>
        </w:rPr>
        <w:t>. والأظهر أنّ الفتوح تصحيف الفيوج</w:t>
      </w:r>
      <w:r>
        <w:rPr>
          <w:rtl/>
        </w:rPr>
        <w:t xml:space="preserve"> ..</w:t>
      </w:r>
      <w:r w:rsidRPr="00132E65">
        <w:rPr>
          <w:rtl/>
        </w:rPr>
        <w:t xml:space="preserve">. ومنهم من قرأ : بعدّ ، بتشديد الدال ، وقال : الباء للتعدية ، أي إحصاء ما رأى من إنعامات الصاحب </w:t>
      </w:r>
      <w:r w:rsidRPr="00E25D42">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sidRPr="00F24C1F">
        <w:rPr>
          <w:rtl/>
        </w:rPr>
        <w:t xml:space="preserve">وظاهر المازندراني في شرحه أيضاً : « الفتوح » ؛ حيث قال : « والمراد بالفتوح ملاقاته للإمام </w:t>
      </w:r>
      <w:r w:rsidRPr="00E25D42">
        <w:rPr>
          <w:rStyle w:val="libFootnoteAlaemChar"/>
          <w:rtl/>
        </w:rPr>
        <w:t>عليه‌السلام</w:t>
      </w:r>
      <w:r w:rsidRPr="00F24C1F">
        <w:rPr>
          <w:rtl/>
        </w:rPr>
        <w:t xml:space="preserve"> وتشرّفه برؤيته وتكرّمه بالعطيّة ». ناقلاً عن النسخ التي رآها.</w:t>
      </w:r>
    </w:p>
    <w:p w:rsidR="000C39D1" w:rsidRPr="00132E65" w:rsidRDefault="000C39D1" w:rsidP="000C39D1">
      <w:pPr>
        <w:pStyle w:val="libFootnote0"/>
        <w:rPr>
          <w:rtl/>
          <w:lang w:bidi="fa-IR"/>
        </w:rPr>
      </w:pPr>
      <w:r>
        <w:rPr>
          <w:rtl/>
        </w:rPr>
        <w:t>و «</w:t>
      </w:r>
      <w:r w:rsidRPr="00F24C1F">
        <w:rPr>
          <w:rtl/>
        </w:rPr>
        <w:t xml:space="preserve"> الفيوج » جمع الفيج : فارسي معرّب ، وهو الذي يسعى على رجليه. وقيل : هو رسول السلطان على رجله. وقيل : هو الذي يسعى بالكتب ؛ هذا في اللغة. وفي الشروح : هو فارسيّ معرّب « پيك » ، قال السيّد بدرالدين : « هو المشهور على ألسنة العجم الآن بالشاطر ». </w:t>
      </w:r>
      <w:r w:rsidRPr="005C7539">
        <w:rPr>
          <w:rtl/>
        </w:rPr>
        <w:t>الصحاح</w:t>
      </w:r>
      <w:r w:rsidRPr="00F24C1F">
        <w:rPr>
          <w:rtl/>
        </w:rPr>
        <w:t xml:space="preserve"> ، ج 1 ، ص 336 ؛ </w:t>
      </w:r>
      <w:r w:rsidRPr="009D1ACE">
        <w:rPr>
          <w:rStyle w:val="libFootnoteBoldChar"/>
          <w:rtl/>
        </w:rPr>
        <w:t>لسان العرب</w:t>
      </w:r>
      <w:r w:rsidRPr="00F24C1F">
        <w:rPr>
          <w:rtl/>
        </w:rPr>
        <w:t xml:space="preserve"> ، ج 2 ، ص 350 ؛ </w:t>
      </w:r>
      <w:r w:rsidRPr="005C7539">
        <w:rPr>
          <w:rtl/>
        </w:rPr>
        <w:t xml:space="preserve">حاشية بدرالدين </w:t>
      </w:r>
      <w:r w:rsidRPr="00F24C1F">
        <w:rPr>
          <w:rtl/>
        </w:rPr>
        <w:t xml:space="preserve">، ص 278 ؛ </w:t>
      </w:r>
      <w:r w:rsidRPr="009D1ACE">
        <w:rPr>
          <w:rStyle w:val="libFootnoteBoldChar"/>
          <w:rtl/>
        </w:rPr>
        <w:t>الوافي</w:t>
      </w:r>
      <w:r w:rsidRPr="00F24C1F">
        <w:rPr>
          <w:rtl/>
        </w:rPr>
        <w:t xml:space="preserve"> ، ج 3 ، ص 866 ؛ هامش </w:t>
      </w:r>
      <w:r w:rsidRPr="005C7539">
        <w:rPr>
          <w:rtl/>
        </w:rPr>
        <w:t>شرح المازندراني</w:t>
      </w:r>
      <w:r w:rsidRPr="00F24C1F">
        <w:rPr>
          <w:rtl/>
        </w:rPr>
        <w:t xml:space="preserve"> ، ج 7 ، ص 339 ؛ </w:t>
      </w:r>
      <w:r w:rsidRPr="009D1ACE">
        <w:rPr>
          <w:rStyle w:val="libFootnoteBoldChar"/>
          <w:rtl/>
        </w:rPr>
        <w:t>مرآة العقول</w:t>
      </w:r>
      <w:r w:rsidRPr="00F24C1F">
        <w:rPr>
          <w:rtl/>
        </w:rPr>
        <w:t xml:space="preserve"> ، ج 6 ، ص 178.</w:t>
      </w:r>
    </w:p>
    <w:p w:rsidR="000C39D1" w:rsidRPr="00132E65" w:rsidRDefault="000C39D1" w:rsidP="000C39D1">
      <w:pPr>
        <w:pStyle w:val="libFootnote0"/>
        <w:rPr>
          <w:rtl/>
          <w:lang w:bidi="fa-IR"/>
        </w:rPr>
      </w:pPr>
      <w:r>
        <w:rPr>
          <w:rtl/>
        </w:rPr>
        <w:t>(6).</w:t>
      </w:r>
      <w:r w:rsidRPr="00132E65">
        <w:rPr>
          <w:rtl/>
        </w:rPr>
        <w:t xml:space="preserve"> « العَقَبَة » : مرقئ صَعْبٌ من الجبال ، وجمعها عِقاب. </w:t>
      </w:r>
      <w:r w:rsidRPr="005C7539">
        <w:rPr>
          <w:rtl/>
        </w:rPr>
        <w:t xml:space="preserve">القاموس المحيط </w:t>
      </w:r>
      <w:r w:rsidRPr="00132E65">
        <w:rPr>
          <w:rtl/>
        </w:rPr>
        <w:t>، ج 1 ، ص 106 ( عقب )</w:t>
      </w:r>
      <w:r>
        <w:rPr>
          <w:rtl/>
        </w:rPr>
        <w:t>.</w:t>
      </w:r>
    </w:p>
    <w:p w:rsidR="000C39D1" w:rsidRPr="00132E65" w:rsidRDefault="000C39D1" w:rsidP="000C39D1">
      <w:pPr>
        <w:pStyle w:val="libFootnote0"/>
        <w:rPr>
          <w:rtl/>
          <w:lang w:bidi="fa-IR"/>
        </w:rPr>
      </w:pPr>
      <w:r>
        <w:rPr>
          <w:rtl/>
        </w:rPr>
        <w:t>(7).</w:t>
      </w:r>
      <w:r w:rsidRPr="00132E65">
        <w:rPr>
          <w:rtl/>
        </w:rPr>
        <w:t xml:space="preserve"> أي مضى غانم نحو خراسان ولم ينصرف إلينا. وفي « بف » : « مضوا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من طرف خراسان ، بضمّ الطاء وفتح الراء : جمع طرفة بالضمّ ، وهي الغرائب المستحدتة ، أي تحف خراسان وغرائبه. ويمكن أن يقرأ بالتحريك ، أي من ناحيته ،</w:t>
      </w:r>
      <w:r>
        <w:rPr>
          <w:rtl/>
        </w:rPr>
        <w:t xml:space="preserve"> ف- «</w:t>
      </w:r>
      <w:r w:rsidRPr="00132E65">
        <w:rPr>
          <w:rtl/>
        </w:rPr>
        <w:t xml:space="preserve"> من » على الأوّل تبعيضيّة ، وعلى الثاني ابتدائيّة »</w:t>
      </w:r>
      <w:r>
        <w:rPr>
          <w:rtl/>
        </w:rPr>
        <w:t>.</w:t>
      </w:r>
    </w:p>
    <w:p w:rsidR="000C39D1" w:rsidRPr="00132E65" w:rsidRDefault="000C39D1" w:rsidP="000C39D1">
      <w:pPr>
        <w:pStyle w:val="libFootnote0"/>
        <w:rPr>
          <w:rtl/>
          <w:lang w:bidi="fa-IR"/>
        </w:rPr>
      </w:pPr>
      <w:r>
        <w:rPr>
          <w:rtl/>
        </w:rPr>
        <w:t>(9).</w:t>
      </w:r>
      <w:r w:rsidRPr="00132E65">
        <w:rPr>
          <w:rtl/>
        </w:rPr>
        <w:t xml:space="preserve"> في « ب ، بح ، بر ، بف » و</w:t>
      </w:r>
      <w:r w:rsidRPr="009D1ACE">
        <w:rPr>
          <w:rStyle w:val="libFootnoteBoldChar"/>
          <w:rtl/>
        </w:rPr>
        <w:t>الوافي</w:t>
      </w:r>
      <w:r w:rsidRPr="00132E65">
        <w:rPr>
          <w:rtl/>
        </w:rPr>
        <w:t xml:space="preserve"> : « حتّى »</w:t>
      </w:r>
      <w:r>
        <w:rPr>
          <w:rtl/>
        </w:rPr>
        <w:t>.</w:t>
      </w:r>
    </w:p>
    <w:p w:rsidR="000C39D1" w:rsidRPr="00132E65" w:rsidRDefault="000C39D1" w:rsidP="000C39D1">
      <w:pPr>
        <w:pStyle w:val="libFootnote0"/>
        <w:rPr>
          <w:rtl/>
          <w:lang w:bidi="fa-IR"/>
        </w:rPr>
      </w:pPr>
      <w:r>
        <w:rPr>
          <w:rtl/>
        </w:rPr>
        <w:t>(10).</w:t>
      </w:r>
      <w:r w:rsidRPr="00132E65">
        <w:rPr>
          <w:rtl/>
        </w:rPr>
        <w:t xml:space="preserve"> في « ب » </w:t>
      </w:r>
      <w:r>
        <w:rPr>
          <w:rtl/>
        </w:rPr>
        <w:t xml:space="preserve">: - </w:t>
      </w:r>
      <w:r w:rsidRPr="00132E65">
        <w:rPr>
          <w:rtl/>
        </w:rPr>
        <w:t xml:space="preserve">« </w:t>
      </w:r>
      <w:r w:rsidRPr="00E25D42">
        <w:rPr>
          <w:rStyle w:val="libFootnoteAlaemChar"/>
          <w:rtl/>
        </w:rPr>
        <w:t>رحمه‌الله</w:t>
      </w:r>
      <w:r w:rsidRPr="00132E65">
        <w:rPr>
          <w:rtl/>
        </w:rPr>
        <w:t xml:space="preserve"> »</w:t>
      </w:r>
      <w:r>
        <w:rPr>
          <w:rtl/>
        </w:rPr>
        <w:t>.</w:t>
      </w:r>
      <w:r w:rsidRPr="00132E65">
        <w:rPr>
          <w:rtl/>
        </w:rPr>
        <w:t xml:space="preserve"> وفي « ض » : « رحمة الله عليه »</w:t>
      </w:r>
      <w:r>
        <w:rPr>
          <w:rtl/>
        </w:rPr>
        <w:t>.</w:t>
      </w:r>
    </w:p>
    <w:p w:rsidR="000C39D1" w:rsidRPr="00132E65" w:rsidRDefault="000C39D1" w:rsidP="00564492">
      <w:pPr>
        <w:pStyle w:val="libFootnote0"/>
        <w:rPr>
          <w:rtl/>
          <w:lang w:bidi="fa-IR"/>
        </w:rPr>
      </w:pPr>
      <w:r>
        <w:rPr>
          <w:rtl/>
        </w:rPr>
        <w:t>(11).</w:t>
      </w:r>
      <w:r w:rsidRPr="00132E65">
        <w:rPr>
          <w:rtl/>
        </w:rPr>
        <w:t xml:space="preserve"> </w:t>
      </w:r>
      <w:r w:rsidRPr="005C7539">
        <w:rPr>
          <w:rtl/>
        </w:rPr>
        <w:t>كمال الدين</w:t>
      </w:r>
      <w:r w:rsidRPr="00132E65">
        <w:rPr>
          <w:rtl/>
        </w:rPr>
        <w:t xml:space="preserve"> ، ص 437 ، ح 6 ، بإسناده عن غانم بن سعيد الهندي ، مع زيادة في آخره ؛ </w:t>
      </w:r>
      <w:r w:rsidRPr="005C7539">
        <w:rPr>
          <w:rtl/>
        </w:rPr>
        <w:t>وفيه</w:t>
      </w:r>
      <w:r w:rsidRPr="00132E65">
        <w:rPr>
          <w:rtl/>
        </w:rPr>
        <w:t xml:space="preserve"> ، وص 496 ، ذيل ح 18 ، بسنده عن محمّد بن محمّد الأشعري ، عن غانم بن سعيد ، مع زيادة ، وفيهما مع اختلاف يسير</w:t>
      </w:r>
      <w:r w:rsidR="00564492">
        <w:rPr>
          <w:rFonts w:hint="cs"/>
          <w:rtl/>
        </w:rPr>
        <w:t>.</w:t>
      </w:r>
      <w:r w:rsidRPr="009D1ACE">
        <w:rPr>
          <w:rStyle w:val="libFootnoteBoldChar"/>
          <w:rtl/>
        </w:rPr>
        <w:t>الوافي</w:t>
      </w:r>
      <w:r w:rsidRPr="00132E65">
        <w:rPr>
          <w:rtl/>
        </w:rPr>
        <w:t xml:space="preserve"> ، ج 3 ، ص 863 ، ح 1483.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C7539">
        <w:rPr>
          <w:rtl/>
        </w:rPr>
        <w:t>1360</w:t>
      </w:r>
      <w:r w:rsidRPr="004325D8">
        <w:rPr>
          <w:rStyle w:val="libBold2Char"/>
          <w:rtl/>
        </w:rPr>
        <w:t xml:space="preserve"> / 4.</w:t>
      </w:r>
      <w:r w:rsidRPr="00132E65">
        <w:rPr>
          <w:rtl/>
          <w:lang w:bidi="fa-IR"/>
        </w:rPr>
        <w:t xml:space="preserve"> عَلِيُّ بْنُ مُحَمَّدٍ ، عَنْ سَعْدِ بْنِ عَبْدِ اللهِ ، قَالَ :</w:t>
      </w:r>
    </w:p>
    <w:p w:rsidR="000C39D1" w:rsidRPr="00132E65" w:rsidRDefault="000C39D1" w:rsidP="00327C1D">
      <w:pPr>
        <w:pStyle w:val="libNormal"/>
        <w:rPr>
          <w:rtl/>
          <w:lang w:bidi="fa-IR"/>
        </w:rPr>
      </w:pPr>
      <w:r w:rsidRPr="00132E65">
        <w:rPr>
          <w:rtl/>
          <w:lang w:bidi="fa-IR"/>
        </w:rPr>
        <w:t>إِنَّ الْحَسَنَ بْنَ النَّضْرِ وأَبَا صِدَامٍ و</w:t>
      </w:r>
      <w:r w:rsidR="00327C1D">
        <w:rPr>
          <w:rFonts w:hint="cs"/>
          <w:rtl/>
          <w:lang w:bidi="fa-IR"/>
        </w:rPr>
        <w:t>َ</w:t>
      </w:r>
      <w:r w:rsidRPr="00132E65">
        <w:rPr>
          <w:rtl/>
          <w:lang w:bidi="fa-IR"/>
        </w:rPr>
        <w:t xml:space="preserve">جَمَاعَةً تَكَلَّمُوا بَعْدَ مُضِيِّ أَبِي مُحَمَّدٍ </w:t>
      </w:r>
      <w:r w:rsidRPr="00071CF9">
        <w:rPr>
          <w:rStyle w:val="libAlaemChar"/>
          <w:rtl/>
        </w:rPr>
        <w:t>عليه‌السلام</w:t>
      </w:r>
      <w:r w:rsidRPr="00132E65">
        <w:rPr>
          <w:rtl/>
          <w:lang w:bidi="fa-IR"/>
        </w:rPr>
        <w:t xml:space="preserve"> فِيمَا فِي </w:t>
      </w:r>
      <w:r>
        <w:rPr>
          <w:rStyle w:val="libFootnotenumChar"/>
          <w:rtl/>
        </w:rPr>
        <w:t>(1)</w:t>
      </w:r>
      <w:r w:rsidRPr="00132E65">
        <w:rPr>
          <w:rtl/>
          <w:lang w:bidi="fa-IR"/>
        </w:rPr>
        <w:t xml:space="preserve"> أَيْدِي الْوُكَلَاءِ ، </w:t>
      </w:r>
      <w:r w:rsidR="00327C1D" w:rsidRPr="00132E65">
        <w:rPr>
          <w:rtl/>
          <w:lang w:bidi="fa-IR"/>
        </w:rPr>
        <w:t>و</w:t>
      </w:r>
      <w:r w:rsidR="00327C1D">
        <w:rPr>
          <w:rFonts w:hint="cs"/>
          <w:rtl/>
          <w:lang w:bidi="fa-IR"/>
        </w:rPr>
        <w:t>َ</w:t>
      </w:r>
      <w:r w:rsidRPr="00132E65">
        <w:rPr>
          <w:rtl/>
          <w:lang w:bidi="fa-IR"/>
        </w:rPr>
        <w:t xml:space="preserve">أَرَادُوا الْفَحْصَ ، فَجَاءَ الْحَسَنُ بْنُ النَّضْرِ إِلى أَبِي الصِّدَامِ </w:t>
      </w:r>
      <w:r>
        <w:rPr>
          <w:rStyle w:val="libFootnotenumChar"/>
          <w:rtl/>
        </w:rPr>
        <w:t>(2)</w:t>
      </w:r>
      <w:r w:rsidRPr="00132E65">
        <w:rPr>
          <w:rtl/>
          <w:lang w:bidi="fa-IR"/>
        </w:rPr>
        <w:t xml:space="preserve"> ، فَقَالَ :</w:t>
      </w:r>
      <w:r>
        <w:rPr>
          <w:rFonts w:hint="cs"/>
          <w:rtl/>
          <w:lang w:bidi="fa-IR"/>
        </w:rPr>
        <w:t xml:space="preserve"> </w:t>
      </w:r>
      <w:r w:rsidRPr="00132E65">
        <w:rPr>
          <w:rtl/>
          <w:lang w:bidi="fa-IR"/>
        </w:rPr>
        <w:t xml:space="preserve">إِنِّي أُرِيدُ الْحَجَّ ، فَقَالَ لَهُ </w:t>
      </w:r>
      <w:r>
        <w:rPr>
          <w:rStyle w:val="libFootnotenumChar"/>
          <w:rtl/>
        </w:rPr>
        <w:t>(3)</w:t>
      </w:r>
      <w:r w:rsidRPr="00132E65">
        <w:rPr>
          <w:rtl/>
          <w:lang w:bidi="fa-IR"/>
        </w:rPr>
        <w:t xml:space="preserve"> أَبُو صِدَامٍ : أَخِّرْهُ هذِهِ السَّنَةَ ، فَقَالَ لَهُ الْحَسَنُ بْنُ النَّضْرِ </w:t>
      </w:r>
      <w:r>
        <w:rPr>
          <w:rStyle w:val="libFootnotenumChar"/>
          <w:rtl/>
        </w:rPr>
        <w:t>(4)</w:t>
      </w:r>
      <w:r w:rsidRPr="00132E65">
        <w:rPr>
          <w:rtl/>
          <w:lang w:bidi="fa-IR"/>
        </w:rPr>
        <w:t xml:space="preserve"> : إِنِّي أَفْزَعُ فِي الْمَنَامِ </w:t>
      </w:r>
      <w:r w:rsidR="00327C1D" w:rsidRPr="00132E65">
        <w:rPr>
          <w:rtl/>
          <w:lang w:bidi="fa-IR"/>
        </w:rPr>
        <w:t>و</w:t>
      </w:r>
      <w:r w:rsidR="00327C1D">
        <w:rPr>
          <w:rFonts w:hint="cs"/>
          <w:rtl/>
          <w:lang w:bidi="fa-IR"/>
        </w:rPr>
        <w:t>َ</w:t>
      </w:r>
      <w:r w:rsidRPr="00132E65">
        <w:rPr>
          <w:rtl/>
          <w:lang w:bidi="fa-IR"/>
        </w:rPr>
        <w:t xml:space="preserve">لَابُدَّ </w:t>
      </w:r>
      <w:r>
        <w:rPr>
          <w:rStyle w:val="libFootnotenumChar"/>
          <w:rtl/>
        </w:rPr>
        <w:t>(5)</w:t>
      </w:r>
      <w:r w:rsidRPr="00132E65">
        <w:rPr>
          <w:rtl/>
          <w:lang w:bidi="fa-IR"/>
        </w:rPr>
        <w:t xml:space="preserve"> مِنَ الْخُرُوجِ ، </w:t>
      </w:r>
      <w:r w:rsidR="00327C1D" w:rsidRPr="00132E65">
        <w:rPr>
          <w:rtl/>
          <w:lang w:bidi="fa-IR"/>
        </w:rPr>
        <w:t>و</w:t>
      </w:r>
      <w:r w:rsidR="00327C1D">
        <w:rPr>
          <w:rFonts w:hint="cs"/>
          <w:rtl/>
          <w:lang w:bidi="fa-IR"/>
        </w:rPr>
        <w:t>َ</w:t>
      </w:r>
      <w:r w:rsidRPr="00132E65">
        <w:rPr>
          <w:rtl/>
          <w:lang w:bidi="fa-IR"/>
        </w:rPr>
        <w:t xml:space="preserve">أَوْصى إِلى أَحْمَدَ بْنِ يَعْلَى </w:t>
      </w:r>
      <w:r>
        <w:rPr>
          <w:rStyle w:val="libFootnotenumChar"/>
          <w:rtl/>
        </w:rPr>
        <w:t>(6)</w:t>
      </w:r>
      <w:r w:rsidRPr="00132E65">
        <w:rPr>
          <w:rtl/>
          <w:lang w:bidi="fa-IR"/>
        </w:rPr>
        <w:t xml:space="preserve"> بْنِ حَمَّادٍ ، </w:t>
      </w:r>
      <w:r w:rsidR="00327C1D" w:rsidRPr="00132E65">
        <w:rPr>
          <w:rtl/>
          <w:lang w:bidi="fa-IR"/>
        </w:rPr>
        <w:t>و</w:t>
      </w:r>
      <w:r w:rsidR="00327C1D">
        <w:rPr>
          <w:rFonts w:hint="cs"/>
          <w:rtl/>
          <w:lang w:bidi="fa-IR"/>
        </w:rPr>
        <w:t>َ</w:t>
      </w:r>
      <w:r w:rsidRPr="00132E65">
        <w:rPr>
          <w:rtl/>
          <w:lang w:bidi="fa-IR"/>
        </w:rPr>
        <w:t xml:space="preserve">أَوْصى لِلنَّاحِيَةِ </w:t>
      </w:r>
      <w:r>
        <w:rPr>
          <w:rStyle w:val="libFootnotenumChar"/>
          <w:rtl/>
        </w:rPr>
        <w:t>(7)</w:t>
      </w:r>
      <w:r w:rsidRPr="00132E65">
        <w:rPr>
          <w:rtl/>
          <w:lang w:bidi="fa-IR"/>
        </w:rPr>
        <w:t xml:space="preserve"> بِمَالٍ ، </w:t>
      </w:r>
      <w:r w:rsidR="00327C1D" w:rsidRPr="00132E65">
        <w:rPr>
          <w:rtl/>
          <w:lang w:bidi="fa-IR"/>
        </w:rPr>
        <w:t>و</w:t>
      </w:r>
      <w:r w:rsidR="00327C1D">
        <w:rPr>
          <w:rFonts w:hint="cs"/>
          <w:rtl/>
          <w:lang w:bidi="fa-IR"/>
        </w:rPr>
        <w:t>َ</w:t>
      </w:r>
      <w:r w:rsidRPr="00132E65">
        <w:rPr>
          <w:rtl/>
          <w:lang w:bidi="fa-IR"/>
        </w:rPr>
        <w:t>أَمَرَهُ</w:t>
      </w:r>
      <w:r w:rsidR="00327C1D">
        <w:rPr>
          <w:rtl/>
          <w:lang w:bidi="fa-IR"/>
        </w:rPr>
        <w:t xml:space="preserve"> أَنْ لَايُخْرِجَ شَيْئاً إِل</w:t>
      </w:r>
      <w:r w:rsidR="00327C1D">
        <w:rPr>
          <w:rFonts w:hint="cs"/>
          <w:rtl/>
          <w:lang w:bidi="fa-IR"/>
        </w:rPr>
        <w:t>َّ</w:t>
      </w:r>
      <w:r w:rsidR="00327C1D">
        <w:rPr>
          <w:rtl/>
          <w:lang w:bidi="fa-IR"/>
        </w:rPr>
        <w:t>ا</w:t>
      </w:r>
      <w:r w:rsidRPr="00132E65">
        <w:rPr>
          <w:rtl/>
          <w:lang w:bidi="fa-IR"/>
        </w:rPr>
        <w:t xml:space="preserve"> مِنْ يَدِهِ إِلى يَدِهِ </w:t>
      </w:r>
      <w:r w:rsidRPr="00071CF9">
        <w:rPr>
          <w:rStyle w:val="libAlaemChar"/>
          <w:rtl/>
        </w:rPr>
        <w:t>عليه‌السلام</w:t>
      </w:r>
      <w:r w:rsidRPr="00132E65">
        <w:rPr>
          <w:rtl/>
          <w:lang w:bidi="fa-IR"/>
        </w:rPr>
        <w:t xml:space="preserve"> بَعْدَ </w:t>
      </w:r>
      <w:r>
        <w:rPr>
          <w:rStyle w:val="libFootnotenumChar"/>
          <w:rtl/>
        </w:rPr>
        <w:t>(8)</w:t>
      </w:r>
      <w:r w:rsidRPr="00132E65">
        <w:rPr>
          <w:rtl/>
          <w:lang w:bidi="fa-IR"/>
        </w:rPr>
        <w:t xml:space="preserve"> ظُهُورِهِ.</w:t>
      </w:r>
    </w:p>
    <w:p w:rsidR="000C39D1" w:rsidRPr="00132E65" w:rsidRDefault="000C39D1" w:rsidP="00327C1D">
      <w:pPr>
        <w:pStyle w:val="libNormal"/>
        <w:rPr>
          <w:rtl/>
          <w:lang w:bidi="fa-IR"/>
        </w:rPr>
      </w:pPr>
      <w:r w:rsidRPr="00132E65">
        <w:rPr>
          <w:rtl/>
          <w:lang w:bidi="fa-IR"/>
        </w:rPr>
        <w:t xml:space="preserve">قَالَ : فَقَالَ الْحَسَنُ : لَمَّا </w:t>
      </w:r>
      <w:r w:rsidR="00327C1D" w:rsidRPr="00132E65">
        <w:rPr>
          <w:rtl/>
          <w:lang w:bidi="fa-IR"/>
        </w:rPr>
        <w:t>و</w:t>
      </w:r>
      <w:r w:rsidR="00327C1D">
        <w:rPr>
          <w:rFonts w:hint="cs"/>
          <w:rtl/>
          <w:lang w:bidi="fa-IR"/>
        </w:rPr>
        <w:t>َ</w:t>
      </w:r>
      <w:r w:rsidRPr="00132E65">
        <w:rPr>
          <w:rtl/>
          <w:lang w:bidi="fa-IR"/>
        </w:rPr>
        <w:t xml:space="preserve">افَيْتُ بَغْدَادَ اكْتَرَيْتُ دَاراً فَنَزَلْتُهَا ، فَجَاءَنِي بَعْضُ الْوُكَلَاءِ بِثِيَابٍ </w:t>
      </w:r>
      <w:r w:rsidR="00327C1D" w:rsidRPr="00132E65">
        <w:rPr>
          <w:rtl/>
          <w:lang w:bidi="fa-IR"/>
        </w:rPr>
        <w:t>و</w:t>
      </w:r>
      <w:r w:rsidR="00327C1D">
        <w:rPr>
          <w:rFonts w:hint="cs"/>
          <w:rtl/>
          <w:lang w:bidi="fa-IR"/>
        </w:rPr>
        <w:t>َ</w:t>
      </w:r>
      <w:r w:rsidRPr="00132E65">
        <w:rPr>
          <w:rtl/>
          <w:lang w:bidi="fa-IR"/>
        </w:rPr>
        <w:t xml:space="preserve">دَنَانِيرَ ، </w:t>
      </w:r>
      <w:r w:rsidR="00327C1D" w:rsidRPr="00132E65">
        <w:rPr>
          <w:rtl/>
          <w:lang w:bidi="fa-IR"/>
        </w:rPr>
        <w:t>و</w:t>
      </w:r>
      <w:r w:rsidR="00327C1D">
        <w:rPr>
          <w:rFonts w:hint="cs"/>
          <w:rtl/>
          <w:lang w:bidi="fa-IR"/>
        </w:rPr>
        <w:t>َ</w:t>
      </w:r>
      <w:r w:rsidRPr="00132E65">
        <w:rPr>
          <w:rtl/>
          <w:lang w:bidi="fa-IR"/>
        </w:rPr>
        <w:t>خَلَّفَهَا عِنْدِي ، فَقُلْتُ لَهُ : مَا هذَا</w:t>
      </w:r>
      <w:r>
        <w:rPr>
          <w:rtl/>
          <w:lang w:bidi="fa-IR"/>
        </w:rPr>
        <w:t>؟</w:t>
      </w:r>
      <w:r w:rsidRPr="00132E65">
        <w:rPr>
          <w:rtl/>
          <w:lang w:bidi="fa-IR"/>
        </w:rPr>
        <w:t xml:space="preserve"> قَالَ </w:t>
      </w:r>
      <w:r>
        <w:rPr>
          <w:rStyle w:val="libFootnotenumChar"/>
          <w:rtl/>
        </w:rPr>
        <w:t>(9)</w:t>
      </w:r>
      <w:r w:rsidRPr="00132E65">
        <w:rPr>
          <w:rtl/>
          <w:lang w:bidi="fa-IR"/>
        </w:rPr>
        <w:t xml:space="preserve"> : هُوَ مَا تَرى </w:t>
      </w:r>
      <w:r>
        <w:rPr>
          <w:rStyle w:val="libFootnotenumChar"/>
          <w:rtl/>
        </w:rPr>
        <w:t>(10)</w:t>
      </w:r>
      <w:r w:rsidRPr="00132E65">
        <w:rPr>
          <w:rtl/>
          <w:lang w:bidi="fa-IR"/>
        </w:rPr>
        <w:t xml:space="preserve"> ، ثُمَّ جَاءَنِي آخَرُ بِمِثْلِهَا ، </w:t>
      </w:r>
      <w:r w:rsidR="00327C1D" w:rsidRPr="00132E65">
        <w:rPr>
          <w:rtl/>
          <w:lang w:bidi="fa-IR"/>
        </w:rPr>
        <w:t>و</w:t>
      </w:r>
      <w:r w:rsidR="00327C1D">
        <w:rPr>
          <w:rFonts w:hint="cs"/>
          <w:rtl/>
          <w:lang w:bidi="fa-IR"/>
        </w:rPr>
        <w:t>َ</w:t>
      </w:r>
      <w:r w:rsidRPr="00132E65">
        <w:rPr>
          <w:rtl/>
          <w:lang w:bidi="fa-IR"/>
        </w:rPr>
        <w:t xml:space="preserve">آخَرُ حَتّى كَبَسُوا </w:t>
      </w:r>
      <w:r>
        <w:rPr>
          <w:rStyle w:val="libFootnotenumChar"/>
          <w:rtl/>
        </w:rPr>
        <w:t>(11)</w:t>
      </w:r>
      <w:r w:rsidRPr="00132E65">
        <w:rPr>
          <w:rtl/>
          <w:lang w:bidi="fa-IR"/>
        </w:rPr>
        <w:t xml:space="preserve"> الدَّارَ ، ثُمَّ جَاءَنِي أَحْمَدُ بْنُ إِسْحَاقَ بِجَمِيعِ مَا كَانَ مَعَهُ ، فَتَعَجَّبْتُ ، </w:t>
      </w:r>
      <w:r w:rsidR="00327C1D" w:rsidRPr="00132E65">
        <w:rPr>
          <w:rtl/>
          <w:lang w:bidi="fa-IR"/>
        </w:rPr>
        <w:t>و</w:t>
      </w:r>
      <w:r w:rsidR="00327C1D">
        <w:rPr>
          <w:rFonts w:hint="cs"/>
          <w:rtl/>
          <w:lang w:bidi="fa-IR"/>
        </w:rPr>
        <w:t>َ</w:t>
      </w:r>
      <w:r w:rsidRPr="00132E65">
        <w:rPr>
          <w:rtl/>
          <w:lang w:bidi="fa-IR"/>
        </w:rPr>
        <w:t xml:space="preserve">بَقِيتُ مُتَفَكِّراً ، فَوَرَدَتْ عَلَيَّ رُقْعَةُ الرَّجُلِ </w:t>
      </w:r>
      <w:r w:rsidRPr="00071CF9">
        <w:rPr>
          <w:rStyle w:val="libAlaemChar"/>
          <w:rtl/>
        </w:rPr>
        <w:t>عليه‌السلام</w:t>
      </w:r>
      <w:r w:rsidRPr="00132E65">
        <w:rPr>
          <w:rtl/>
          <w:lang w:bidi="fa-IR"/>
        </w:rPr>
        <w:t xml:space="preserve"> : « إِذَا مَضى مِنَ النَّهَارِ كَذَا </w:t>
      </w:r>
      <w:r w:rsidR="00327C1D" w:rsidRPr="00132E65">
        <w:rPr>
          <w:rtl/>
          <w:lang w:bidi="fa-IR"/>
        </w:rPr>
        <w:t>و</w:t>
      </w:r>
      <w:r w:rsidR="00327C1D">
        <w:rPr>
          <w:rFonts w:hint="cs"/>
          <w:rtl/>
          <w:lang w:bidi="fa-IR"/>
        </w:rPr>
        <w:t>َ</w:t>
      </w:r>
      <w:r w:rsidRPr="00132E65">
        <w:rPr>
          <w:rtl/>
          <w:lang w:bidi="fa-IR"/>
        </w:rPr>
        <w:t>كَذَا ، فَاحْمِلْ مَا مَعَكَ »</w:t>
      </w:r>
      <w:r>
        <w:rPr>
          <w:rtl/>
          <w:lang w:bidi="fa-IR"/>
        </w:rPr>
        <w:t>.</w:t>
      </w:r>
      <w:r w:rsidRPr="00132E65">
        <w:rPr>
          <w:rtl/>
          <w:lang w:bidi="fa-IR"/>
        </w:rPr>
        <w:t xml:space="preserve"> فَرَحَلْتُ ، </w:t>
      </w:r>
      <w:r w:rsidR="00327C1D" w:rsidRPr="00132E65">
        <w:rPr>
          <w:rtl/>
          <w:lang w:bidi="fa-IR"/>
        </w:rPr>
        <w:t>و</w:t>
      </w:r>
      <w:r w:rsidR="00327C1D">
        <w:rPr>
          <w:rFonts w:hint="cs"/>
          <w:rtl/>
          <w:lang w:bidi="fa-IR"/>
        </w:rPr>
        <w:t>َ</w:t>
      </w:r>
      <w:r w:rsidRPr="00132E65">
        <w:rPr>
          <w:rtl/>
          <w:lang w:bidi="fa-IR"/>
        </w:rPr>
        <w:t xml:space="preserve">حَمَلْتُ مَا مَعِي ، </w:t>
      </w:r>
      <w:r w:rsidR="00327C1D" w:rsidRPr="00132E65">
        <w:rPr>
          <w:rtl/>
          <w:lang w:bidi="fa-IR"/>
        </w:rPr>
        <w:t>و</w:t>
      </w:r>
      <w:r w:rsidR="00327C1D">
        <w:rPr>
          <w:rFonts w:hint="cs"/>
          <w:rtl/>
          <w:lang w:bidi="fa-IR"/>
        </w:rPr>
        <w:t>َ</w:t>
      </w:r>
      <w:r w:rsidRPr="00132E65">
        <w:rPr>
          <w:rtl/>
          <w:lang w:bidi="fa-IR"/>
        </w:rPr>
        <w:t xml:space="preserve">فِي الطَّرِيقِ صُعْلُوكٌ </w:t>
      </w:r>
      <w:r>
        <w:rPr>
          <w:rStyle w:val="libFootnotenumChar"/>
          <w:rtl/>
        </w:rPr>
        <w:t>(12)</w:t>
      </w:r>
      <w:r w:rsidRPr="00132E65">
        <w:rPr>
          <w:rtl/>
          <w:lang w:bidi="fa-IR"/>
        </w:rPr>
        <w:t xml:space="preserve"> يَقْطَعُ الطَّرِيقَ فِي سِتِّينَ رَجُلاً ، فَاجْتَزْتُ عَلَيْهِ ، </w:t>
      </w:r>
      <w:r w:rsidR="00327C1D" w:rsidRPr="00132E65">
        <w:rPr>
          <w:rtl/>
          <w:lang w:bidi="fa-IR"/>
        </w:rPr>
        <w:t>و</w:t>
      </w:r>
      <w:r w:rsidR="00327C1D">
        <w:rPr>
          <w:rFonts w:hint="cs"/>
          <w:rtl/>
          <w:lang w:bidi="fa-IR"/>
        </w:rPr>
        <w:t>َ</w:t>
      </w:r>
      <w:r w:rsidRPr="00132E65">
        <w:rPr>
          <w:rtl/>
          <w:lang w:bidi="fa-IR"/>
        </w:rPr>
        <w:t xml:space="preserve">سَلَّمَنِي اللهُ مِنْهُ ، فَوَافَيْتُ الْعَسْكَرَ ، </w:t>
      </w:r>
      <w:r w:rsidR="00327C1D" w:rsidRPr="00132E65">
        <w:rPr>
          <w:rtl/>
          <w:lang w:bidi="fa-IR"/>
        </w:rPr>
        <w:t>و</w:t>
      </w:r>
      <w:r w:rsidR="00327C1D">
        <w:rPr>
          <w:rFonts w:hint="cs"/>
          <w:rtl/>
          <w:lang w:bidi="fa-IR"/>
        </w:rPr>
        <w:t>َ</w:t>
      </w:r>
      <w:r w:rsidRPr="00132E65">
        <w:rPr>
          <w:rtl/>
          <w:lang w:bidi="fa-IR"/>
        </w:rPr>
        <w:t xml:space="preserve">نَزَلْتُ ، فَوَرَدَتْ عَلَيَّ رُقْعَةٌ </w:t>
      </w:r>
      <w:r w:rsidRPr="00F543F1">
        <w:rPr>
          <w:rStyle w:val="libFootnotenumChar"/>
          <w:rtl/>
        </w:rPr>
        <w:t>(13)</w:t>
      </w:r>
      <w:r w:rsidRPr="00132E65">
        <w:rPr>
          <w:rtl/>
          <w:lang w:bidi="fa-IR"/>
        </w:rPr>
        <w:t xml:space="preserve"> أَنِ « احْمِلْ مَا مَعَكَ »</w:t>
      </w:r>
      <w:r>
        <w:rPr>
          <w:rtl/>
          <w:lang w:bidi="fa-IR"/>
        </w:rPr>
        <w:t>.</w:t>
      </w:r>
      <w:r w:rsidRPr="00132E65">
        <w:rPr>
          <w:rtl/>
          <w:lang w:bidi="fa-IR"/>
        </w:rPr>
        <w:t xml:space="preserve"> فَعَبَّيْتُهُ </w:t>
      </w:r>
      <w:r w:rsidRPr="00F543F1">
        <w:rPr>
          <w:rStyle w:val="libFootnotenumChar"/>
          <w:rtl/>
        </w:rPr>
        <w:t>(14)</w:t>
      </w:r>
      <w:r w:rsidRPr="00132E65">
        <w:rPr>
          <w:rtl/>
          <w:lang w:bidi="fa-IR"/>
        </w:rPr>
        <w:t xml:space="preserve"> فِي‌</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327C1D" w:rsidTr="00327C1D">
        <w:tc>
          <w:tcPr>
            <w:tcW w:w="4261" w:type="dxa"/>
          </w:tcPr>
          <w:p w:rsidR="00327C1D" w:rsidRDefault="00327C1D" w:rsidP="000C39D1">
            <w:pPr>
              <w:pStyle w:val="libFootnote0"/>
              <w:rPr>
                <w:rtl/>
              </w:rPr>
            </w:pPr>
            <w:r>
              <w:rPr>
                <w:rtl/>
              </w:rPr>
              <w:t>(1).</w:t>
            </w:r>
            <w:r w:rsidRPr="00132E65">
              <w:rPr>
                <w:rtl/>
              </w:rPr>
              <w:t xml:space="preserve"> في « ب » </w:t>
            </w:r>
            <w:r>
              <w:rPr>
                <w:rtl/>
              </w:rPr>
              <w:t xml:space="preserve">: - </w:t>
            </w:r>
            <w:r w:rsidRPr="00132E65">
              <w:rPr>
                <w:rtl/>
              </w:rPr>
              <w:t>« في »</w:t>
            </w:r>
            <w:r>
              <w:rPr>
                <w:rtl/>
              </w:rPr>
              <w:t>.</w:t>
            </w:r>
          </w:p>
        </w:tc>
        <w:tc>
          <w:tcPr>
            <w:tcW w:w="4262" w:type="dxa"/>
          </w:tcPr>
          <w:p w:rsidR="00327C1D" w:rsidRDefault="00327C1D" w:rsidP="000C39D1">
            <w:pPr>
              <w:pStyle w:val="libFootnote0"/>
              <w:rPr>
                <w:rtl/>
              </w:rPr>
            </w:pPr>
            <w:r>
              <w:rPr>
                <w:rtl/>
              </w:rPr>
              <w:t>(2).</w:t>
            </w:r>
            <w:r w:rsidRPr="00132E65">
              <w:rPr>
                <w:rtl/>
              </w:rPr>
              <w:t xml:space="preserve"> في البحار : « صدام »</w:t>
            </w:r>
            <w:r>
              <w:rPr>
                <w:rtl/>
              </w:rPr>
              <w:t>.</w:t>
            </w:r>
          </w:p>
        </w:tc>
      </w:tr>
      <w:tr w:rsidR="00327C1D" w:rsidTr="00327C1D">
        <w:tc>
          <w:tcPr>
            <w:tcW w:w="4261" w:type="dxa"/>
          </w:tcPr>
          <w:p w:rsidR="00327C1D" w:rsidRDefault="00327C1D" w:rsidP="000C39D1">
            <w:pPr>
              <w:pStyle w:val="libFootnote0"/>
              <w:rPr>
                <w:rtl/>
              </w:rPr>
            </w:pPr>
            <w:r>
              <w:rPr>
                <w:rtl/>
              </w:rPr>
              <w:t>(3).</w:t>
            </w:r>
            <w:r w:rsidRPr="00132E65">
              <w:rPr>
                <w:rtl/>
              </w:rPr>
              <w:t xml:space="preserve"> في البحار </w:t>
            </w:r>
            <w:r>
              <w:rPr>
                <w:rtl/>
              </w:rPr>
              <w:t xml:space="preserve">: - </w:t>
            </w:r>
            <w:r w:rsidRPr="00132E65">
              <w:rPr>
                <w:rtl/>
              </w:rPr>
              <w:t>« له »</w:t>
            </w:r>
            <w:r>
              <w:rPr>
                <w:rtl/>
              </w:rPr>
              <w:t>.</w:t>
            </w:r>
          </w:p>
        </w:tc>
        <w:tc>
          <w:tcPr>
            <w:tcW w:w="4262" w:type="dxa"/>
          </w:tcPr>
          <w:p w:rsidR="00327C1D" w:rsidRDefault="00327C1D" w:rsidP="000C39D1">
            <w:pPr>
              <w:pStyle w:val="libFootnote0"/>
              <w:rPr>
                <w:rtl/>
              </w:rPr>
            </w:pPr>
            <w:r>
              <w:rPr>
                <w:rtl/>
              </w:rPr>
              <w:t>(4).</w:t>
            </w:r>
            <w:r w:rsidRPr="00132E65">
              <w:rPr>
                <w:rtl/>
              </w:rPr>
              <w:t xml:space="preserve"> في </w:t>
            </w:r>
            <w:r w:rsidRPr="009D1ACE">
              <w:rPr>
                <w:rStyle w:val="libFootnoteBoldChar"/>
                <w:rtl/>
              </w:rPr>
              <w:t>الوافي</w:t>
            </w:r>
            <w:r w:rsidRPr="00132E65">
              <w:rPr>
                <w:rtl/>
              </w:rPr>
              <w:t xml:space="preserve"> والبحار </w:t>
            </w:r>
            <w:r>
              <w:rPr>
                <w:rtl/>
              </w:rPr>
              <w:t xml:space="preserve">: - </w:t>
            </w:r>
            <w:r w:rsidRPr="00132E65">
              <w:rPr>
                <w:rtl/>
              </w:rPr>
              <w:t>« بن النضر »</w:t>
            </w:r>
            <w:r>
              <w:rPr>
                <w:rtl/>
              </w:rPr>
              <w:t>.</w:t>
            </w:r>
          </w:p>
        </w:tc>
      </w:tr>
      <w:tr w:rsidR="00327C1D" w:rsidTr="00327C1D">
        <w:tc>
          <w:tcPr>
            <w:tcW w:w="4261" w:type="dxa"/>
          </w:tcPr>
          <w:p w:rsidR="00327C1D" w:rsidRDefault="00327C1D" w:rsidP="000C39D1">
            <w:pPr>
              <w:pStyle w:val="libFootnote0"/>
              <w:rPr>
                <w:rtl/>
              </w:rPr>
            </w:pPr>
            <w:r>
              <w:rPr>
                <w:rtl/>
              </w:rPr>
              <w:t>(5).</w:t>
            </w:r>
            <w:r w:rsidRPr="00132E65">
              <w:rPr>
                <w:rtl/>
              </w:rPr>
              <w:t xml:space="preserve"> في « ض » :</w:t>
            </w:r>
            <w:r>
              <w:rPr>
                <w:rtl/>
              </w:rPr>
              <w:t xml:space="preserve"> + </w:t>
            </w:r>
            <w:r w:rsidRPr="00132E65">
              <w:rPr>
                <w:rtl/>
              </w:rPr>
              <w:t>« لي »</w:t>
            </w:r>
            <w:r>
              <w:rPr>
                <w:rtl/>
              </w:rPr>
              <w:t>.</w:t>
            </w:r>
          </w:p>
        </w:tc>
        <w:tc>
          <w:tcPr>
            <w:tcW w:w="4262" w:type="dxa"/>
          </w:tcPr>
          <w:p w:rsidR="00327C1D" w:rsidRDefault="00327C1D" w:rsidP="000C39D1">
            <w:pPr>
              <w:pStyle w:val="libFootnote0"/>
              <w:rPr>
                <w:rtl/>
              </w:rPr>
            </w:pPr>
            <w:r>
              <w:rPr>
                <w:rtl/>
              </w:rPr>
              <w:t>(6).</w:t>
            </w:r>
            <w:r w:rsidRPr="00132E65">
              <w:rPr>
                <w:rtl/>
              </w:rPr>
              <w:t xml:space="preserve"> في حاشية « ج » : « معلّى »</w:t>
            </w:r>
            <w:r>
              <w:rPr>
                <w:rtl/>
              </w:rPr>
              <w:t>.</w:t>
            </w:r>
          </w:p>
        </w:tc>
      </w:tr>
    </w:tbl>
    <w:p w:rsidR="000C39D1" w:rsidRPr="00132E65" w:rsidRDefault="000C39D1" w:rsidP="000C39D1">
      <w:pPr>
        <w:pStyle w:val="libFootnote0"/>
        <w:rPr>
          <w:rtl/>
          <w:lang w:bidi="fa-IR"/>
        </w:rPr>
      </w:pPr>
      <w:r>
        <w:rPr>
          <w:rtl/>
        </w:rPr>
        <w:t>(7).</w:t>
      </w:r>
      <w:r w:rsidRPr="00132E65">
        <w:rPr>
          <w:rtl/>
        </w:rPr>
        <w:t xml:space="preserve"> « الناحية » : يعبّر بها عن القائم </w:t>
      </w:r>
      <w:r w:rsidRPr="005D3F22">
        <w:rPr>
          <w:rStyle w:val="libFootnoteAlaemChar"/>
          <w:rtl/>
        </w:rPr>
        <w:t>عليه‌السلام</w:t>
      </w:r>
      <w:r w:rsidRPr="00132E65">
        <w:rPr>
          <w:rtl/>
        </w:rPr>
        <w:t xml:space="preserve">. </w:t>
      </w:r>
      <w:r w:rsidRPr="005C7539">
        <w:rPr>
          <w:rtl/>
        </w:rPr>
        <w:t>مجمع البحرين</w:t>
      </w:r>
      <w:r w:rsidRPr="00132E65">
        <w:rPr>
          <w:rtl/>
        </w:rPr>
        <w:t xml:space="preserve"> ، ج 3 ، ص 1761 ( نحا )</w:t>
      </w:r>
      <w:r>
        <w:rPr>
          <w:rtl/>
        </w:rPr>
        <w:t>.</w:t>
      </w:r>
    </w:p>
    <w:tbl>
      <w:tblPr>
        <w:tblStyle w:val="TableGrid"/>
        <w:bidiVisual/>
        <w:tblW w:w="0" w:type="auto"/>
        <w:tblLook w:val="04A0" w:firstRow="1" w:lastRow="0" w:firstColumn="1" w:lastColumn="0" w:noHBand="0" w:noVBand="1"/>
      </w:tblPr>
      <w:tblGrid>
        <w:gridCol w:w="4261"/>
        <w:gridCol w:w="4262"/>
      </w:tblGrid>
      <w:tr w:rsidR="005D3F22" w:rsidTr="005D3F22">
        <w:tc>
          <w:tcPr>
            <w:tcW w:w="4261" w:type="dxa"/>
          </w:tcPr>
          <w:p w:rsidR="005D3F22" w:rsidRDefault="005D3F22" w:rsidP="000C39D1">
            <w:pPr>
              <w:pStyle w:val="libFootnote0"/>
              <w:rPr>
                <w:rtl/>
              </w:rPr>
            </w:pPr>
            <w:r>
              <w:rPr>
                <w:rtl/>
              </w:rPr>
              <w:t>(8).</w:t>
            </w:r>
            <w:r w:rsidRPr="00132E65">
              <w:rPr>
                <w:rtl/>
              </w:rPr>
              <w:t xml:space="preserve"> في « بر » : « وبعد »</w:t>
            </w:r>
            <w:r>
              <w:rPr>
                <w:rtl/>
              </w:rPr>
              <w:t>.</w:t>
            </w:r>
          </w:p>
        </w:tc>
        <w:tc>
          <w:tcPr>
            <w:tcW w:w="4262" w:type="dxa"/>
          </w:tcPr>
          <w:p w:rsidR="005D3F22" w:rsidRDefault="005D3F22" w:rsidP="000C39D1">
            <w:pPr>
              <w:pStyle w:val="libFootnote0"/>
              <w:rPr>
                <w:rtl/>
              </w:rPr>
            </w:pPr>
            <w:r>
              <w:rPr>
                <w:rtl/>
              </w:rPr>
              <w:t>(9).</w:t>
            </w:r>
            <w:r w:rsidRPr="00132E65">
              <w:rPr>
                <w:rtl/>
              </w:rPr>
              <w:t xml:space="preserve"> في « بف » : « فقال »</w:t>
            </w:r>
            <w:r>
              <w:rPr>
                <w:rtl/>
              </w:rPr>
              <w:t>.</w:t>
            </w:r>
          </w:p>
        </w:tc>
      </w:tr>
    </w:tbl>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مرآة العقول</w:t>
      </w:r>
      <w:r w:rsidRPr="00132E65">
        <w:rPr>
          <w:rtl/>
        </w:rPr>
        <w:t xml:space="preserve"> : « وربّما يقرأ بالمجهول ، أي ما يأتيك العلم به من الناحية »</w:t>
      </w:r>
      <w:r>
        <w:rPr>
          <w:rtl/>
        </w:rPr>
        <w:t>.</w:t>
      </w:r>
    </w:p>
    <w:p w:rsidR="000C39D1" w:rsidRPr="005C7539" w:rsidRDefault="000C39D1" w:rsidP="000C39D1">
      <w:pPr>
        <w:pStyle w:val="libFootnote0"/>
        <w:rPr>
          <w:rtl/>
        </w:rPr>
      </w:pPr>
      <w:r>
        <w:rPr>
          <w:rtl/>
        </w:rPr>
        <w:t>(11).</w:t>
      </w:r>
      <w:r w:rsidRPr="00132E65">
        <w:rPr>
          <w:rtl/>
        </w:rPr>
        <w:t xml:space="preserve"> في « بس » وحاشية « ج ، بح » : « كسوا »</w:t>
      </w:r>
      <w:r>
        <w:rPr>
          <w:rtl/>
        </w:rPr>
        <w:t>.</w:t>
      </w:r>
      <w:r w:rsidRPr="00132E65">
        <w:rPr>
          <w:rtl/>
        </w:rPr>
        <w:t xml:space="preserve"> وكبست النهرَ والبئر كبْساً : طممتُها بالتراب. والمراد : ملؤوا الداروستروها من كثرة ما جاؤوا به ، أو هجموا عليها وأحاطوا بها. راجع : </w:t>
      </w:r>
      <w:r w:rsidRPr="005C7539">
        <w:rPr>
          <w:rtl/>
        </w:rPr>
        <w:t>الصحاح</w:t>
      </w:r>
      <w:r w:rsidRPr="00132E65">
        <w:rPr>
          <w:rtl/>
        </w:rPr>
        <w:t xml:space="preserve"> ، ج 3 ، ص 969 ( كبس )</w:t>
      </w:r>
      <w:r>
        <w:rPr>
          <w:rtl/>
        </w:rPr>
        <w:t>.</w:t>
      </w:r>
    </w:p>
    <w:p w:rsidR="000C39D1" w:rsidRPr="00132E65" w:rsidRDefault="000C39D1" w:rsidP="005D3F22">
      <w:pPr>
        <w:pStyle w:val="libFootnote0"/>
        <w:rPr>
          <w:rtl/>
          <w:lang w:bidi="fa-IR"/>
        </w:rPr>
      </w:pPr>
      <w:r>
        <w:rPr>
          <w:rtl/>
        </w:rPr>
        <w:t>(12).</w:t>
      </w:r>
      <w:r w:rsidRPr="00132E65">
        <w:rPr>
          <w:rtl/>
        </w:rPr>
        <w:t xml:space="preserve"> في البحار :</w:t>
      </w:r>
      <w:r>
        <w:rPr>
          <w:rtl/>
        </w:rPr>
        <w:t xml:space="preserve"> + </w:t>
      </w:r>
      <w:r w:rsidRPr="00132E65">
        <w:rPr>
          <w:rtl/>
        </w:rPr>
        <w:t>«</w:t>
      </w:r>
      <w:r>
        <w:rPr>
          <w:rtl/>
        </w:rPr>
        <w:t xml:space="preserve"> و ».</w:t>
      </w:r>
      <w:r w:rsidRPr="00132E65">
        <w:rPr>
          <w:rtl/>
        </w:rPr>
        <w:t xml:space="preserve"> </w:t>
      </w:r>
      <w:r>
        <w:rPr>
          <w:rtl/>
        </w:rPr>
        <w:t>و «</w:t>
      </w:r>
      <w:r w:rsidRPr="00132E65">
        <w:rPr>
          <w:rtl/>
        </w:rPr>
        <w:t xml:space="preserve"> الصعلوك » : الفقير والسارق. وصعاليك العرب : ذؤبانها. </w:t>
      </w:r>
      <w:r w:rsidRPr="005C7539">
        <w:rPr>
          <w:rtl/>
        </w:rPr>
        <w:t>الصحاح</w:t>
      </w:r>
      <w:r w:rsidRPr="00132E65">
        <w:rPr>
          <w:rtl/>
        </w:rPr>
        <w:t xml:space="preserve"> ، ج 4 ، ص 1595 ( صعلك )</w:t>
      </w:r>
      <w:r>
        <w:rPr>
          <w:rtl/>
        </w:rPr>
        <w:t>.</w:t>
      </w:r>
      <w:r w:rsidR="005D3F22">
        <w:rPr>
          <w:rFonts w:hint="cs"/>
          <w:rtl/>
        </w:rPr>
        <w:t xml:space="preserve">                </w:t>
      </w:r>
      <w:r w:rsidR="0006034E">
        <w:rPr>
          <w:rFonts w:hint="cs"/>
          <w:rtl/>
        </w:rPr>
        <w:t xml:space="preserve">                            </w:t>
      </w:r>
      <w:r w:rsidR="005D3F22">
        <w:rPr>
          <w:rFonts w:hint="cs"/>
          <w:rtl/>
        </w:rPr>
        <w:t xml:space="preserve">       </w:t>
      </w:r>
      <w:r>
        <w:rPr>
          <w:rtl/>
        </w:rPr>
        <w:t>(13)</w:t>
      </w:r>
      <w:r w:rsidRPr="00132E65">
        <w:rPr>
          <w:rtl/>
        </w:rPr>
        <w:t xml:space="preserve"> في « بس » :</w:t>
      </w:r>
      <w:r>
        <w:rPr>
          <w:rtl/>
        </w:rPr>
        <w:t xml:space="preserve"> + </w:t>
      </w:r>
      <w:r w:rsidRPr="00132E65">
        <w:rPr>
          <w:rtl/>
        </w:rPr>
        <w:t>« رجل »</w:t>
      </w:r>
      <w:r>
        <w:rPr>
          <w:rtl/>
        </w:rPr>
        <w:t>.</w:t>
      </w:r>
    </w:p>
    <w:p w:rsidR="000C39D1" w:rsidRPr="00132E65" w:rsidRDefault="000C39D1" w:rsidP="000C39D1">
      <w:pPr>
        <w:pStyle w:val="libFootnote0"/>
        <w:rPr>
          <w:rtl/>
          <w:lang w:bidi="fa-IR"/>
        </w:rPr>
      </w:pPr>
      <w:r>
        <w:rPr>
          <w:rtl/>
        </w:rPr>
        <w:t>(14)</w:t>
      </w:r>
      <w:r w:rsidRPr="00132E65">
        <w:rPr>
          <w:rtl/>
        </w:rPr>
        <w:t xml:space="preserve"> في البحار : « فصببته »</w:t>
      </w:r>
      <w:r>
        <w:rPr>
          <w:rtl/>
        </w:rPr>
        <w:t>.</w:t>
      </w:r>
      <w:r w:rsidRPr="00132E65">
        <w:rPr>
          <w:rtl/>
        </w:rPr>
        <w:t xml:space="preserve"> </w:t>
      </w:r>
      <w:r>
        <w:rPr>
          <w:rtl/>
        </w:rPr>
        <w:t>و «</w:t>
      </w:r>
      <w:r w:rsidRPr="00132E65">
        <w:rPr>
          <w:rtl/>
        </w:rPr>
        <w:t xml:space="preserve"> عبّيته » من التعبية.</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صِنَانِ </w:t>
      </w:r>
      <w:r>
        <w:rPr>
          <w:rStyle w:val="libFootnotenumChar"/>
          <w:rtl/>
        </w:rPr>
        <w:t>(1)</w:t>
      </w:r>
      <w:r w:rsidRPr="00132E65">
        <w:rPr>
          <w:rtl/>
          <w:lang w:bidi="fa-IR"/>
        </w:rPr>
        <w:t xml:space="preserve"> الْحَمَّالِينَ </w:t>
      </w:r>
      <w:r>
        <w:rPr>
          <w:rStyle w:val="libFootnotenumChar"/>
          <w:rtl/>
        </w:rPr>
        <w:t>(2)</w:t>
      </w:r>
      <w:r w:rsidR="005D3F22" w:rsidRPr="005D3F22">
        <w:rPr>
          <w:rStyle w:val="libNormalChar"/>
          <w:rFonts w:hint="cs"/>
          <w:rtl/>
        </w:rPr>
        <w:t>.</w:t>
      </w:r>
    </w:p>
    <w:p w:rsidR="000C39D1" w:rsidRPr="00132E65" w:rsidRDefault="000C39D1" w:rsidP="00A01992">
      <w:pPr>
        <w:pStyle w:val="libNormal"/>
        <w:rPr>
          <w:rtl/>
          <w:lang w:bidi="fa-IR"/>
        </w:rPr>
      </w:pPr>
      <w:r w:rsidRPr="00132E65">
        <w:rPr>
          <w:rtl/>
          <w:lang w:bidi="fa-IR"/>
        </w:rPr>
        <w:t xml:space="preserve">فَلَمَّا بَلَغْتُ الدِّهْلِيزَ </w:t>
      </w:r>
      <w:r>
        <w:rPr>
          <w:rStyle w:val="libFootnotenumChar"/>
          <w:rtl/>
        </w:rPr>
        <w:t>(3)</w:t>
      </w:r>
      <w:r w:rsidRPr="00132E65">
        <w:rPr>
          <w:rtl/>
          <w:lang w:bidi="fa-IR"/>
        </w:rPr>
        <w:t xml:space="preserve"> إِذَا </w:t>
      </w:r>
      <w:r>
        <w:rPr>
          <w:rStyle w:val="libFootnotenumChar"/>
          <w:rtl/>
        </w:rPr>
        <w:t>(4)</w:t>
      </w:r>
      <w:r w:rsidRPr="00132E65">
        <w:rPr>
          <w:rtl/>
          <w:lang w:bidi="fa-IR"/>
        </w:rPr>
        <w:t xml:space="preserve"> فِيهِ أَسْوَدُ قَائِمٌ ، فَقَالَ : أَنْتَ الْحَسَنُ بْنُ النَّضْرِ</w:t>
      </w:r>
      <w:r>
        <w:rPr>
          <w:rtl/>
          <w:lang w:bidi="fa-IR"/>
        </w:rPr>
        <w:t>؟</w:t>
      </w:r>
      <w:r w:rsidRPr="00132E65">
        <w:rPr>
          <w:rtl/>
          <w:lang w:bidi="fa-IR"/>
        </w:rPr>
        <w:t xml:space="preserve"> قُلْتُ : نَعَمْ ، قَالَ : ادْخُلْ </w:t>
      </w:r>
      <w:r>
        <w:rPr>
          <w:rStyle w:val="libFootnotenumChar"/>
          <w:rtl/>
        </w:rPr>
        <w:t>(5)</w:t>
      </w:r>
      <w:r w:rsidRPr="00132E65">
        <w:rPr>
          <w:rtl/>
          <w:lang w:bidi="fa-IR"/>
        </w:rPr>
        <w:t xml:space="preserve"> ، فَدَخَلْتُ الدَّارَ ، </w:t>
      </w:r>
      <w:r w:rsidR="00E026DA" w:rsidRPr="00132E65">
        <w:rPr>
          <w:rtl/>
          <w:lang w:bidi="fa-IR"/>
        </w:rPr>
        <w:t>و</w:t>
      </w:r>
      <w:r w:rsidR="00E026DA">
        <w:rPr>
          <w:rFonts w:hint="cs"/>
          <w:rtl/>
          <w:lang w:bidi="fa-IR"/>
        </w:rPr>
        <w:t>َ</w:t>
      </w:r>
      <w:r w:rsidRPr="00132E65">
        <w:rPr>
          <w:rtl/>
          <w:lang w:bidi="fa-IR"/>
        </w:rPr>
        <w:t xml:space="preserve">دَخَلْتُ بَيْتاً </w:t>
      </w:r>
      <w:r>
        <w:rPr>
          <w:rStyle w:val="libFootnotenumChar"/>
          <w:rtl/>
        </w:rPr>
        <w:t>(6)</w:t>
      </w:r>
      <w:r w:rsidRPr="00132E65">
        <w:rPr>
          <w:rtl/>
          <w:lang w:bidi="fa-IR"/>
        </w:rPr>
        <w:t xml:space="preserve"> </w:t>
      </w:r>
      <w:r w:rsidR="00E026DA" w:rsidRPr="00132E65">
        <w:rPr>
          <w:rtl/>
          <w:lang w:bidi="fa-IR"/>
        </w:rPr>
        <w:t>و</w:t>
      </w:r>
      <w:r w:rsidR="00E026DA">
        <w:rPr>
          <w:rFonts w:hint="cs"/>
          <w:rtl/>
          <w:lang w:bidi="fa-IR"/>
        </w:rPr>
        <w:t>َ</w:t>
      </w:r>
      <w:r w:rsidRPr="00132E65">
        <w:rPr>
          <w:rtl/>
          <w:lang w:bidi="fa-IR"/>
        </w:rPr>
        <w:t xml:space="preserve">فَرَّغْتُ صِنَانَ </w:t>
      </w:r>
      <w:r>
        <w:rPr>
          <w:rStyle w:val="libFootnotenumChar"/>
          <w:rtl/>
        </w:rPr>
        <w:t>(7)</w:t>
      </w:r>
      <w:r w:rsidRPr="00132E65">
        <w:rPr>
          <w:rtl/>
          <w:lang w:bidi="fa-IR"/>
        </w:rPr>
        <w:t xml:space="preserve"> الْحَمَّالِينَ </w:t>
      </w:r>
      <w:r>
        <w:rPr>
          <w:rStyle w:val="libFootnotenumChar"/>
          <w:rtl/>
        </w:rPr>
        <w:t>(8)</w:t>
      </w:r>
      <w:r w:rsidRPr="00132E65">
        <w:rPr>
          <w:rtl/>
          <w:lang w:bidi="fa-IR"/>
        </w:rPr>
        <w:t xml:space="preserve"> ، </w:t>
      </w:r>
      <w:r w:rsidR="00E026DA" w:rsidRPr="00132E65">
        <w:rPr>
          <w:rtl/>
          <w:lang w:bidi="fa-IR"/>
        </w:rPr>
        <w:t>و</w:t>
      </w:r>
      <w:r w:rsidR="00E026DA">
        <w:rPr>
          <w:rFonts w:hint="cs"/>
          <w:rtl/>
          <w:lang w:bidi="fa-IR"/>
        </w:rPr>
        <w:t>َ</w:t>
      </w:r>
      <w:r w:rsidRPr="00132E65">
        <w:rPr>
          <w:rtl/>
          <w:lang w:bidi="fa-IR"/>
        </w:rPr>
        <w:t xml:space="preserve">إِذَا </w:t>
      </w:r>
      <w:r>
        <w:rPr>
          <w:rStyle w:val="libFootnotenumChar"/>
          <w:rtl/>
        </w:rPr>
        <w:t>(9)</w:t>
      </w:r>
      <w:r w:rsidRPr="00132E65">
        <w:rPr>
          <w:rtl/>
          <w:lang w:bidi="fa-IR"/>
        </w:rPr>
        <w:t xml:space="preserve"> فِي زَاوِيَةِ الْبَيْتِ خُبْزٌ كَثِيرٌ ، فَأَعْطى </w:t>
      </w:r>
      <w:r>
        <w:rPr>
          <w:rStyle w:val="libFootnotenumChar"/>
          <w:rtl/>
        </w:rPr>
        <w:t>(10)</w:t>
      </w:r>
      <w:r w:rsidRPr="00132E65">
        <w:rPr>
          <w:rtl/>
          <w:lang w:bidi="fa-IR"/>
        </w:rPr>
        <w:t xml:space="preserve"> كُلَّ واحِدٍ مِنَ الْحَمَّالِينَ </w:t>
      </w:r>
      <w:r>
        <w:rPr>
          <w:rStyle w:val="libFootnotenumChar"/>
          <w:rtl/>
        </w:rPr>
        <w:t>(11)</w:t>
      </w:r>
      <w:r w:rsidRPr="00132E65">
        <w:rPr>
          <w:rtl/>
          <w:lang w:bidi="fa-IR"/>
        </w:rPr>
        <w:t xml:space="preserve"> رَغِيفَيْنِ ، </w:t>
      </w:r>
      <w:r w:rsidR="00E026DA" w:rsidRPr="00132E65">
        <w:rPr>
          <w:rtl/>
          <w:lang w:bidi="fa-IR"/>
        </w:rPr>
        <w:t>و</w:t>
      </w:r>
      <w:r w:rsidR="00E026DA">
        <w:rPr>
          <w:rFonts w:hint="cs"/>
          <w:rtl/>
          <w:lang w:bidi="fa-IR"/>
        </w:rPr>
        <w:t>َ</w:t>
      </w:r>
      <w:r w:rsidRPr="00132E65">
        <w:rPr>
          <w:rtl/>
          <w:lang w:bidi="fa-IR"/>
        </w:rPr>
        <w:t xml:space="preserve">أُخْرِجُوا ، </w:t>
      </w:r>
      <w:r w:rsidR="00A01992" w:rsidRPr="00132E65">
        <w:rPr>
          <w:rtl/>
          <w:lang w:bidi="fa-IR"/>
        </w:rPr>
        <w:t>و</w:t>
      </w:r>
      <w:r w:rsidR="00A01992">
        <w:rPr>
          <w:rFonts w:hint="cs"/>
          <w:rtl/>
          <w:lang w:bidi="fa-IR"/>
        </w:rPr>
        <w:t>َ</w:t>
      </w:r>
      <w:r w:rsidRPr="00132E65">
        <w:rPr>
          <w:rtl/>
          <w:lang w:bidi="fa-IR"/>
        </w:rPr>
        <w:t xml:space="preserve">إِذَا بَيْتٌ عَلَيْهِ سِتْرٌ ، فَنُودِيتُ مِنْهُ : « يَا حَسَنَ بْنَ النَّضْرِ ، احْمَدِ اللهَ عَلى مَا مَنَّ بِهِ </w:t>
      </w:r>
      <w:r>
        <w:rPr>
          <w:rStyle w:val="libFootnotenumChar"/>
          <w:rtl/>
        </w:rPr>
        <w:t>(12)</w:t>
      </w:r>
      <w:r w:rsidRPr="00132E65">
        <w:rPr>
          <w:rtl/>
          <w:lang w:bidi="fa-IR"/>
        </w:rPr>
        <w:t xml:space="preserve"> عَلَيْكَ ، وَلَاتَشُكَّنَّ ؛ فَوَدَّ </w:t>
      </w:r>
      <w:r w:rsidRPr="00F543F1">
        <w:rPr>
          <w:rStyle w:val="libFootnotenumChar"/>
          <w:rtl/>
        </w:rPr>
        <w:t>(13)</w:t>
      </w:r>
      <w:r w:rsidRPr="00132E65">
        <w:rPr>
          <w:rtl/>
          <w:lang w:bidi="fa-IR"/>
        </w:rPr>
        <w:t xml:space="preserve"> الشَّيْطَانُ أَنَّكَ </w:t>
      </w:r>
      <w:r w:rsidRPr="00F543F1">
        <w:rPr>
          <w:rStyle w:val="libFootnotenumChar"/>
          <w:rtl/>
        </w:rPr>
        <w:t>(14)</w:t>
      </w:r>
      <w:r w:rsidRPr="00132E65">
        <w:rPr>
          <w:rtl/>
          <w:lang w:bidi="fa-IR"/>
        </w:rPr>
        <w:t xml:space="preserve"> شَكَكْتَ » </w:t>
      </w:r>
      <w:r w:rsidR="00A01992" w:rsidRPr="00132E65">
        <w:rPr>
          <w:rtl/>
          <w:lang w:bidi="fa-IR"/>
        </w:rPr>
        <w:t>و</w:t>
      </w:r>
      <w:r w:rsidR="00A01992">
        <w:rPr>
          <w:rFonts w:hint="cs"/>
          <w:rtl/>
          <w:lang w:bidi="fa-IR"/>
        </w:rPr>
        <w:t>َ</w:t>
      </w:r>
      <w:r w:rsidRPr="00132E65">
        <w:rPr>
          <w:rtl/>
          <w:lang w:bidi="fa-IR"/>
        </w:rPr>
        <w:t xml:space="preserve">أَخْرَجَ إِلَيَّ ثَوْبَيْنِ ، </w:t>
      </w:r>
      <w:r w:rsidR="00A01992" w:rsidRPr="00132E65">
        <w:rPr>
          <w:rtl/>
          <w:lang w:bidi="fa-IR"/>
        </w:rPr>
        <w:t>و</w:t>
      </w:r>
      <w:r w:rsidR="00A01992">
        <w:rPr>
          <w:rFonts w:hint="cs"/>
          <w:rtl/>
          <w:lang w:bidi="fa-IR"/>
        </w:rPr>
        <w:t>َ</w:t>
      </w:r>
      <w:r w:rsidRPr="00132E65">
        <w:rPr>
          <w:rtl/>
          <w:lang w:bidi="fa-IR"/>
        </w:rPr>
        <w:t xml:space="preserve">قِيلَ لِي </w:t>
      </w:r>
      <w:r w:rsidRPr="00F543F1">
        <w:rPr>
          <w:rStyle w:val="libFootnotenumChar"/>
          <w:rtl/>
        </w:rPr>
        <w:t>(15)</w:t>
      </w:r>
      <w:r w:rsidRPr="00132E65">
        <w:rPr>
          <w:rtl/>
          <w:lang w:bidi="fa-IR"/>
        </w:rPr>
        <w:t xml:space="preserve"> :</w:t>
      </w:r>
      <w:r>
        <w:rPr>
          <w:rFonts w:hint="cs"/>
          <w:rtl/>
          <w:lang w:bidi="fa-IR"/>
        </w:rPr>
        <w:t xml:space="preserve"> </w:t>
      </w:r>
      <w:r w:rsidRPr="00132E65">
        <w:rPr>
          <w:rtl/>
          <w:lang w:bidi="fa-IR"/>
        </w:rPr>
        <w:t xml:space="preserve">خُذْهُمَا </w:t>
      </w:r>
      <w:r w:rsidRPr="00F543F1">
        <w:rPr>
          <w:rStyle w:val="libFootnotenumChar"/>
          <w:rtl/>
        </w:rPr>
        <w:t>(16)</w:t>
      </w:r>
      <w:r w:rsidRPr="00132E65">
        <w:rPr>
          <w:rtl/>
          <w:lang w:bidi="fa-IR"/>
        </w:rPr>
        <w:t xml:space="preserve"> ؛ فَسَتَحْتَاجُ </w:t>
      </w:r>
      <w:r w:rsidRPr="00F543F1">
        <w:rPr>
          <w:rStyle w:val="libFootnotenumChar"/>
          <w:rtl/>
        </w:rPr>
        <w:t>(17)</w:t>
      </w:r>
      <w:r w:rsidRPr="00132E65">
        <w:rPr>
          <w:rtl/>
          <w:lang w:bidi="fa-IR"/>
        </w:rPr>
        <w:t xml:space="preserve"> إِلَيْهِمَا ، فَأَخَذْتُهُمَا </w:t>
      </w:r>
      <w:r w:rsidR="00A01992" w:rsidRPr="00132E65">
        <w:rPr>
          <w:rtl/>
          <w:lang w:bidi="fa-IR"/>
        </w:rPr>
        <w:t>و</w:t>
      </w:r>
      <w:r w:rsidR="00A01992">
        <w:rPr>
          <w:rFonts w:hint="cs"/>
          <w:rtl/>
          <w:lang w:bidi="fa-IR"/>
        </w:rPr>
        <w:t>َ</w:t>
      </w:r>
      <w:r w:rsidRPr="00132E65">
        <w:rPr>
          <w:rtl/>
          <w:lang w:bidi="fa-IR"/>
        </w:rPr>
        <w:t>خَرَجْتُ.</w:t>
      </w:r>
    </w:p>
    <w:p w:rsidR="000C39D1" w:rsidRPr="00132E65" w:rsidRDefault="000C39D1" w:rsidP="00A01992">
      <w:pPr>
        <w:pStyle w:val="libNormal"/>
        <w:rPr>
          <w:rtl/>
          <w:lang w:bidi="fa-IR"/>
        </w:rPr>
      </w:pPr>
      <w:r w:rsidRPr="00132E65">
        <w:rPr>
          <w:rtl/>
          <w:lang w:bidi="fa-IR"/>
        </w:rPr>
        <w:t xml:space="preserve">قَالَ سَعْدٌ : فَانْصَرَفَ </w:t>
      </w:r>
      <w:r w:rsidRPr="00F543F1">
        <w:rPr>
          <w:rStyle w:val="libFootnotenumChar"/>
          <w:rtl/>
        </w:rPr>
        <w:t>(18)</w:t>
      </w:r>
      <w:r w:rsidRPr="00132E65">
        <w:rPr>
          <w:rtl/>
          <w:lang w:bidi="fa-IR"/>
        </w:rPr>
        <w:t xml:space="preserve"> الْحَسَنُ بْنُ النَّضْرِ ، </w:t>
      </w:r>
      <w:r w:rsidR="00A01992" w:rsidRPr="00132E65">
        <w:rPr>
          <w:rtl/>
          <w:lang w:bidi="fa-IR"/>
        </w:rPr>
        <w:t>و</w:t>
      </w:r>
      <w:r w:rsidR="00A01992">
        <w:rPr>
          <w:rFonts w:hint="cs"/>
          <w:rtl/>
          <w:lang w:bidi="fa-IR"/>
        </w:rPr>
        <w:t>َ</w:t>
      </w:r>
      <w:r w:rsidRPr="00132E65">
        <w:rPr>
          <w:rtl/>
          <w:lang w:bidi="fa-IR"/>
        </w:rPr>
        <w:t xml:space="preserve">مَاتَ فِي شَهْرِ رَمَضَانَ ، </w:t>
      </w:r>
      <w:r w:rsidR="00A01992" w:rsidRPr="00132E65">
        <w:rPr>
          <w:rtl/>
          <w:lang w:bidi="fa-IR"/>
        </w:rPr>
        <w:t>و</w:t>
      </w:r>
      <w:r w:rsidR="00A01992">
        <w:rPr>
          <w:rFonts w:hint="cs"/>
          <w:rtl/>
          <w:lang w:bidi="fa-IR"/>
        </w:rPr>
        <w:t>َ</w:t>
      </w:r>
      <w:r w:rsidRPr="00132E65">
        <w:rPr>
          <w:rtl/>
          <w:lang w:bidi="fa-IR"/>
        </w:rPr>
        <w:t xml:space="preserve">كُفِّنَ فِي الثَّوْبَيْنِ. </w:t>
      </w:r>
      <w:r w:rsidRPr="00F543F1">
        <w:rPr>
          <w:rStyle w:val="libFootnotenumChar"/>
          <w:rtl/>
        </w:rPr>
        <w:t>(19)</w:t>
      </w:r>
    </w:p>
    <w:p w:rsidR="000C39D1" w:rsidRPr="00132E65" w:rsidRDefault="000C39D1" w:rsidP="000C39D1">
      <w:pPr>
        <w:pStyle w:val="libNormal"/>
        <w:rPr>
          <w:rtl/>
          <w:lang w:bidi="fa-IR"/>
        </w:rPr>
      </w:pPr>
      <w:r w:rsidRPr="005C7539">
        <w:rPr>
          <w:rtl/>
        </w:rPr>
        <w:t>1361</w:t>
      </w:r>
      <w:r w:rsidRPr="004325D8">
        <w:rPr>
          <w:rStyle w:val="libBold2Char"/>
          <w:rtl/>
        </w:rPr>
        <w:t xml:space="preserve"> / 5.</w:t>
      </w:r>
      <w:r w:rsidRPr="00132E65">
        <w:rPr>
          <w:rtl/>
          <w:lang w:bidi="fa-IR"/>
        </w:rPr>
        <w:t xml:space="preserve"> عَلِيُّ بْنُ مُحَمَّدٍ ، عَنْ مُحَمَّدِ بْنِ حَمَّوَيْهِ السُّوَيْدَاوِيِّ </w:t>
      </w:r>
      <w:r w:rsidRPr="00F543F1">
        <w:rPr>
          <w:rStyle w:val="libFootnotenumChar"/>
          <w:rtl/>
        </w:rPr>
        <w:t>(20)</w:t>
      </w:r>
      <w:r w:rsidRPr="00132E65">
        <w:rPr>
          <w:rtl/>
          <w:lang w:bidi="fa-IR"/>
        </w:rPr>
        <w:t xml:space="preserve"> ، عَنْ مُحَمَّدِ بْنِ إِبْرَاهِيمَ بْنِ مَهْزِيَارَ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A01992">
      <w:pPr>
        <w:pStyle w:val="libFootnote0"/>
        <w:rPr>
          <w:rtl/>
          <w:lang w:bidi="fa-IR"/>
        </w:rPr>
      </w:pPr>
      <w:r>
        <w:rPr>
          <w:rtl/>
        </w:rPr>
        <w:t>(1).</w:t>
      </w:r>
      <w:r w:rsidRPr="00132E65">
        <w:rPr>
          <w:rtl/>
        </w:rPr>
        <w:t xml:space="preserve"> « الصَّنّ » : زبّيلٌ كبير. وقيل : هو شِبْه السَّلّة المطبقة. </w:t>
      </w:r>
      <w:r w:rsidRPr="005C7539">
        <w:rPr>
          <w:rtl/>
        </w:rPr>
        <w:t>النهاية</w:t>
      </w:r>
      <w:r w:rsidRPr="00132E65">
        <w:rPr>
          <w:rtl/>
        </w:rPr>
        <w:t xml:space="preserve"> ، ج 3 ، ص 57 ( صنن )</w:t>
      </w:r>
      <w:r>
        <w:rPr>
          <w:rtl/>
        </w:rPr>
        <w:t>.</w:t>
      </w:r>
      <w:r w:rsidRPr="00132E65">
        <w:rPr>
          <w:rtl/>
        </w:rPr>
        <w:t xml:space="preserve"> وفي « بس » : « صيان » ، وهو الوعاء الذي يُصان فيه الثياب أو الكتب.</w:t>
      </w:r>
      <w:r w:rsidR="0006034E">
        <w:rPr>
          <w:rFonts w:hint="cs"/>
          <w:rtl/>
        </w:rPr>
        <w:t xml:space="preserve">             </w:t>
      </w:r>
      <w:r w:rsidR="00A01992">
        <w:rPr>
          <w:rFonts w:hint="cs"/>
          <w:rtl/>
        </w:rPr>
        <w:t xml:space="preserve">   </w:t>
      </w:r>
      <w:r>
        <w:rPr>
          <w:rtl/>
        </w:rPr>
        <w:t>(2).</w:t>
      </w:r>
      <w:r w:rsidRPr="00132E65">
        <w:rPr>
          <w:rtl/>
        </w:rPr>
        <w:t xml:space="preserve"> في « ف » : « الجمّالين »</w:t>
      </w:r>
      <w:r>
        <w:rPr>
          <w:rtl/>
        </w:rPr>
        <w:t>.</w:t>
      </w:r>
    </w:p>
    <w:p w:rsidR="000C39D1" w:rsidRPr="00132E65" w:rsidRDefault="000C39D1" w:rsidP="000C39D1">
      <w:pPr>
        <w:pStyle w:val="libFootnote0"/>
        <w:rPr>
          <w:rtl/>
          <w:lang w:bidi="fa-IR"/>
        </w:rPr>
      </w:pPr>
      <w:r>
        <w:rPr>
          <w:rtl/>
        </w:rPr>
        <w:t>(3).</w:t>
      </w:r>
      <w:r w:rsidRPr="00132E65">
        <w:rPr>
          <w:rtl/>
        </w:rPr>
        <w:t xml:space="preserve"> « الدهليز » : ما بين الباب والدار. فارسي معرّب. والجمع : الدهاليز : </w:t>
      </w:r>
      <w:r w:rsidRPr="005C7539">
        <w:rPr>
          <w:rtl/>
        </w:rPr>
        <w:t>الصحاح</w:t>
      </w:r>
      <w:r w:rsidRPr="00132E65">
        <w:rPr>
          <w:rtl/>
        </w:rPr>
        <w:t xml:space="preserve"> ، ج 2 ، ص 878 ( دهلز )</w:t>
      </w:r>
      <w:r>
        <w:rPr>
          <w:rtl/>
        </w:rPr>
        <w:t>.</w:t>
      </w:r>
    </w:p>
    <w:tbl>
      <w:tblPr>
        <w:tblStyle w:val="TableGrid"/>
        <w:bidiVisual/>
        <w:tblW w:w="0" w:type="auto"/>
        <w:tblLook w:val="04A0" w:firstRow="1" w:lastRow="0" w:firstColumn="1" w:lastColumn="0" w:noHBand="0" w:noVBand="1"/>
      </w:tblPr>
      <w:tblGrid>
        <w:gridCol w:w="4261"/>
        <w:gridCol w:w="4262"/>
      </w:tblGrid>
      <w:tr w:rsidR="00A01992" w:rsidTr="00A01992">
        <w:tc>
          <w:tcPr>
            <w:tcW w:w="4261" w:type="dxa"/>
          </w:tcPr>
          <w:p w:rsidR="00A01992" w:rsidRDefault="00A01992" w:rsidP="000C39D1">
            <w:pPr>
              <w:pStyle w:val="libFootnote0"/>
              <w:rPr>
                <w:rtl/>
              </w:rPr>
            </w:pPr>
            <w:r>
              <w:rPr>
                <w:rtl/>
              </w:rPr>
              <w:t>(4).</w:t>
            </w:r>
            <w:r w:rsidRPr="00132E65">
              <w:rPr>
                <w:rtl/>
              </w:rPr>
              <w:t xml:space="preserve"> في « ف » : « إذاً » بالتنوين. وفي البحار : « فإذا »</w:t>
            </w:r>
            <w:r>
              <w:rPr>
                <w:rtl/>
              </w:rPr>
              <w:t>.</w:t>
            </w:r>
          </w:p>
        </w:tc>
        <w:tc>
          <w:tcPr>
            <w:tcW w:w="4262" w:type="dxa"/>
          </w:tcPr>
          <w:p w:rsidR="00A01992" w:rsidRDefault="00A01992" w:rsidP="000C39D1">
            <w:pPr>
              <w:pStyle w:val="libFootnote0"/>
              <w:rPr>
                <w:rtl/>
              </w:rPr>
            </w:pPr>
            <w:r>
              <w:rPr>
                <w:rtl/>
              </w:rPr>
              <w:t>(5).</w:t>
            </w:r>
            <w:r w:rsidRPr="00132E65">
              <w:rPr>
                <w:rtl/>
              </w:rPr>
              <w:t xml:space="preserve"> في « ف » :</w:t>
            </w:r>
            <w:r>
              <w:rPr>
                <w:rtl/>
              </w:rPr>
              <w:t xml:space="preserve"> + </w:t>
            </w:r>
            <w:r w:rsidRPr="00132E65">
              <w:rPr>
                <w:rtl/>
              </w:rPr>
              <w:t>« الدار »</w:t>
            </w:r>
            <w:r>
              <w:rPr>
                <w:rtl/>
              </w:rPr>
              <w:t>.</w:t>
            </w:r>
          </w:p>
        </w:tc>
      </w:tr>
      <w:tr w:rsidR="00A01992" w:rsidTr="00A01992">
        <w:tc>
          <w:tcPr>
            <w:tcW w:w="4261" w:type="dxa"/>
          </w:tcPr>
          <w:p w:rsidR="00A01992" w:rsidRDefault="00A01992" w:rsidP="000C39D1">
            <w:pPr>
              <w:pStyle w:val="libFootnote0"/>
              <w:rPr>
                <w:rtl/>
              </w:rPr>
            </w:pPr>
            <w:r>
              <w:rPr>
                <w:rtl/>
              </w:rPr>
              <w:t>(6).</w:t>
            </w:r>
            <w:r w:rsidRPr="00132E65">
              <w:rPr>
                <w:rtl/>
              </w:rPr>
              <w:t xml:space="preserve"> في « ف » : « البيت »</w:t>
            </w:r>
            <w:r>
              <w:rPr>
                <w:rtl/>
              </w:rPr>
              <w:t>.</w:t>
            </w:r>
          </w:p>
        </w:tc>
        <w:tc>
          <w:tcPr>
            <w:tcW w:w="4262" w:type="dxa"/>
          </w:tcPr>
          <w:p w:rsidR="00A01992" w:rsidRDefault="00A01992" w:rsidP="000C39D1">
            <w:pPr>
              <w:pStyle w:val="libFootnote0"/>
              <w:rPr>
                <w:rtl/>
              </w:rPr>
            </w:pPr>
            <w:r>
              <w:rPr>
                <w:rtl/>
              </w:rPr>
              <w:t>(7).</w:t>
            </w:r>
            <w:r w:rsidRPr="00132E65">
              <w:rPr>
                <w:rtl/>
              </w:rPr>
              <w:t xml:space="preserve"> في « بس » : « صيان »</w:t>
            </w:r>
            <w:r>
              <w:rPr>
                <w:rtl/>
              </w:rPr>
              <w:t>.</w:t>
            </w:r>
          </w:p>
        </w:tc>
      </w:tr>
      <w:tr w:rsidR="00A01992" w:rsidTr="00A01992">
        <w:tc>
          <w:tcPr>
            <w:tcW w:w="4261" w:type="dxa"/>
          </w:tcPr>
          <w:p w:rsidR="00A01992" w:rsidRDefault="00A01992" w:rsidP="000C39D1">
            <w:pPr>
              <w:pStyle w:val="libFootnote0"/>
              <w:rPr>
                <w:rtl/>
              </w:rPr>
            </w:pPr>
            <w:r>
              <w:rPr>
                <w:rtl/>
              </w:rPr>
              <w:t>(8).</w:t>
            </w:r>
            <w:r w:rsidRPr="00132E65">
              <w:rPr>
                <w:rtl/>
              </w:rPr>
              <w:t xml:space="preserve"> في « ف » : « الجمّالين »</w:t>
            </w:r>
            <w:r>
              <w:rPr>
                <w:rtl/>
              </w:rPr>
              <w:t>.</w:t>
            </w:r>
          </w:p>
        </w:tc>
        <w:tc>
          <w:tcPr>
            <w:tcW w:w="4262" w:type="dxa"/>
          </w:tcPr>
          <w:p w:rsidR="00A01992" w:rsidRDefault="00A01992" w:rsidP="000C39D1">
            <w:pPr>
              <w:pStyle w:val="libFootnote0"/>
              <w:rPr>
                <w:rtl/>
              </w:rPr>
            </w:pPr>
            <w:r>
              <w:rPr>
                <w:rtl/>
              </w:rPr>
              <w:t>(9).</w:t>
            </w:r>
            <w:r w:rsidRPr="00132E65">
              <w:rPr>
                <w:rtl/>
              </w:rPr>
              <w:t xml:space="preserve"> في « بف » : « فإذا »</w:t>
            </w:r>
            <w:r>
              <w:rPr>
                <w:rtl/>
              </w:rPr>
              <w:t>.</w:t>
            </w:r>
          </w:p>
        </w:tc>
      </w:tr>
    </w:tbl>
    <w:p w:rsidR="000C39D1" w:rsidRPr="00132E65" w:rsidRDefault="000C39D1" w:rsidP="000C39D1">
      <w:pPr>
        <w:pStyle w:val="libFootnote0"/>
        <w:rPr>
          <w:rtl/>
          <w:lang w:bidi="fa-IR"/>
        </w:rPr>
      </w:pPr>
      <w:r>
        <w:rPr>
          <w:rtl/>
        </w:rPr>
        <w:t>(10).</w:t>
      </w:r>
      <w:r w:rsidRPr="00132E65">
        <w:rPr>
          <w:rtl/>
        </w:rPr>
        <w:t xml:space="preserve"> الضمير في « أعطى » يرجع إلى المعصوم </w:t>
      </w:r>
      <w:r w:rsidRPr="00533626">
        <w:rPr>
          <w:rStyle w:val="libFootnoteAlaemChar"/>
          <w:rtl/>
        </w:rPr>
        <w:t>عليه‌السلام</w:t>
      </w:r>
      <w:r w:rsidRPr="00132E65">
        <w:rPr>
          <w:rtl/>
        </w:rPr>
        <w:t xml:space="preserve">. وقال في </w:t>
      </w:r>
      <w:r w:rsidRPr="009D1ACE">
        <w:rPr>
          <w:rStyle w:val="libFootnoteBoldChar"/>
          <w:rtl/>
        </w:rPr>
        <w:t>مرآة العقول</w:t>
      </w:r>
      <w:r w:rsidRPr="00132E65">
        <w:rPr>
          <w:rtl/>
        </w:rPr>
        <w:t xml:space="preserve"> : « فاعطي ، على بناء المجهول »</w:t>
      </w:r>
      <w:r>
        <w:rPr>
          <w:rtl/>
        </w:rPr>
        <w:t>.</w:t>
      </w:r>
    </w:p>
    <w:tbl>
      <w:tblPr>
        <w:tblStyle w:val="TableGrid"/>
        <w:bidiVisual/>
        <w:tblW w:w="0" w:type="auto"/>
        <w:tblLook w:val="04A0" w:firstRow="1" w:lastRow="0" w:firstColumn="1" w:lastColumn="0" w:noHBand="0" w:noVBand="1"/>
      </w:tblPr>
      <w:tblGrid>
        <w:gridCol w:w="4261"/>
        <w:gridCol w:w="4262"/>
      </w:tblGrid>
      <w:tr w:rsidR="00533626" w:rsidTr="00533626">
        <w:tc>
          <w:tcPr>
            <w:tcW w:w="4261" w:type="dxa"/>
          </w:tcPr>
          <w:p w:rsidR="00533626" w:rsidRDefault="00533626" w:rsidP="000C39D1">
            <w:pPr>
              <w:pStyle w:val="libFootnote0"/>
              <w:rPr>
                <w:rtl/>
              </w:rPr>
            </w:pPr>
            <w:r>
              <w:rPr>
                <w:rtl/>
              </w:rPr>
              <w:t>(11).</w:t>
            </w:r>
            <w:r w:rsidRPr="00132E65">
              <w:rPr>
                <w:rtl/>
              </w:rPr>
              <w:t xml:space="preserve"> في « ف » : « الجمّالين »</w:t>
            </w:r>
            <w:r>
              <w:rPr>
                <w:rtl/>
              </w:rPr>
              <w:t>.</w:t>
            </w:r>
          </w:p>
        </w:tc>
        <w:tc>
          <w:tcPr>
            <w:tcW w:w="4262" w:type="dxa"/>
          </w:tcPr>
          <w:p w:rsidR="00533626" w:rsidRDefault="00533626" w:rsidP="000C39D1">
            <w:pPr>
              <w:pStyle w:val="libFootnote0"/>
              <w:rPr>
                <w:rtl/>
              </w:rPr>
            </w:pPr>
            <w:r>
              <w:rPr>
                <w:rtl/>
              </w:rPr>
              <w:t>(12).</w:t>
            </w:r>
            <w:r w:rsidRPr="00132E65">
              <w:rPr>
                <w:rtl/>
              </w:rPr>
              <w:t xml:space="preserve"> في « ف » </w:t>
            </w:r>
            <w:r>
              <w:rPr>
                <w:rtl/>
              </w:rPr>
              <w:t xml:space="preserve">: - </w:t>
            </w:r>
            <w:r w:rsidRPr="00132E65">
              <w:rPr>
                <w:rtl/>
              </w:rPr>
              <w:t>« به »</w:t>
            </w:r>
            <w:r>
              <w:rPr>
                <w:rtl/>
              </w:rPr>
              <w:t>.</w:t>
            </w:r>
          </w:p>
        </w:tc>
      </w:tr>
      <w:tr w:rsidR="00533626" w:rsidTr="00533626">
        <w:tc>
          <w:tcPr>
            <w:tcW w:w="4261" w:type="dxa"/>
          </w:tcPr>
          <w:p w:rsidR="00533626" w:rsidRDefault="00533626" w:rsidP="000C39D1">
            <w:pPr>
              <w:pStyle w:val="libFootnote0"/>
              <w:rPr>
                <w:rtl/>
              </w:rPr>
            </w:pPr>
            <w:r>
              <w:rPr>
                <w:rtl/>
              </w:rPr>
              <w:t>(13)</w:t>
            </w:r>
            <w:r w:rsidRPr="00132E65">
              <w:rPr>
                <w:rtl/>
              </w:rPr>
              <w:t xml:space="preserve"> في </w:t>
            </w:r>
            <w:r w:rsidRPr="009D1ACE">
              <w:rPr>
                <w:rStyle w:val="libFootnoteBoldChar"/>
                <w:rtl/>
              </w:rPr>
              <w:t>الوافي</w:t>
            </w:r>
            <w:r w:rsidRPr="00132E65">
              <w:rPr>
                <w:rtl/>
              </w:rPr>
              <w:t xml:space="preserve"> : « ودّ »</w:t>
            </w:r>
            <w:r>
              <w:rPr>
                <w:rtl/>
              </w:rPr>
              <w:t>.</w:t>
            </w:r>
          </w:p>
        </w:tc>
        <w:tc>
          <w:tcPr>
            <w:tcW w:w="4262" w:type="dxa"/>
          </w:tcPr>
          <w:p w:rsidR="00533626" w:rsidRDefault="00533626" w:rsidP="000C39D1">
            <w:pPr>
              <w:pStyle w:val="libFootnote0"/>
              <w:rPr>
                <w:rtl/>
              </w:rPr>
            </w:pPr>
            <w:r>
              <w:rPr>
                <w:rtl/>
              </w:rPr>
              <w:t>(14)</w:t>
            </w:r>
            <w:r w:rsidRPr="00132E65">
              <w:rPr>
                <w:rtl/>
              </w:rPr>
              <w:t xml:space="preserve"> في « بف » : « أنْ »</w:t>
            </w:r>
            <w:r>
              <w:rPr>
                <w:rtl/>
              </w:rPr>
              <w:t>.</w:t>
            </w:r>
          </w:p>
        </w:tc>
      </w:tr>
    </w:tbl>
    <w:p w:rsidR="000C39D1" w:rsidRPr="00132E65" w:rsidRDefault="000C39D1" w:rsidP="000C39D1">
      <w:pPr>
        <w:pStyle w:val="libFootnote0"/>
        <w:rPr>
          <w:rtl/>
          <w:lang w:bidi="fa-IR"/>
        </w:rPr>
      </w:pPr>
      <w:r>
        <w:rPr>
          <w:rtl/>
        </w:rPr>
        <w:t>(15)</w:t>
      </w:r>
      <w:r w:rsidRPr="00132E65">
        <w:rPr>
          <w:rtl/>
        </w:rPr>
        <w:t xml:space="preserve"> هكذا في « ج ، ض ، ف ، بح ، بر ، بس ، بف » و</w:t>
      </w:r>
      <w:r w:rsidRPr="009D1ACE">
        <w:rPr>
          <w:rStyle w:val="libFootnoteBoldChar"/>
          <w:rtl/>
        </w:rPr>
        <w:t>الوافي</w:t>
      </w:r>
      <w:r w:rsidRPr="00132E65">
        <w:rPr>
          <w:rtl/>
        </w:rPr>
        <w:t xml:space="preserve"> والبحار. وفي المطبوع </w:t>
      </w:r>
      <w:r>
        <w:rPr>
          <w:rtl/>
        </w:rPr>
        <w:t xml:space="preserve">: - </w:t>
      </w:r>
      <w:r w:rsidRPr="00132E65">
        <w:rPr>
          <w:rtl/>
        </w:rPr>
        <w:t>« لي »</w:t>
      </w:r>
      <w:r>
        <w:rPr>
          <w:rtl/>
        </w:rPr>
        <w:t>.</w:t>
      </w:r>
      <w:r w:rsidRPr="00132E65">
        <w:rPr>
          <w:rtl/>
        </w:rPr>
        <w:t xml:space="preserve"> وفي « ب » : « قال لي »</w:t>
      </w:r>
      <w:r>
        <w:rPr>
          <w:rtl/>
        </w:rPr>
        <w:t>.</w:t>
      </w:r>
    </w:p>
    <w:p w:rsidR="000C39D1" w:rsidRPr="00132E65" w:rsidRDefault="000C39D1" w:rsidP="000C39D1">
      <w:pPr>
        <w:pStyle w:val="libFootnote0"/>
        <w:rPr>
          <w:rtl/>
          <w:lang w:bidi="fa-IR"/>
        </w:rPr>
      </w:pPr>
      <w:r>
        <w:rPr>
          <w:rtl/>
        </w:rPr>
        <w:t>(16)</w:t>
      </w:r>
      <w:r w:rsidRPr="00132E65">
        <w:rPr>
          <w:rtl/>
        </w:rPr>
        <w:t xml:space="preserve"> هكذا في النسخ التي قوبلت و</w:t>
      </w:r>
      <w:r w:rsidRPr="009D1ACE">
        <w:rPr>
          <w:rStyle w:val="libFootnoteBoldChar"/>
          <w:rtl/>
        </w:rPr>
        <w:t>الوافي</w:t>
      </w:r>
      <w:r w:rsidRPr="00132E65">
        <w:rPr>
          <w:rtl/>
        </w:rPr>
        <w:t xml:space="preserve"> والبحار. وفي المطبوع : « خذها »</w:t>
      </w:r>
      <w:r>
        <w:rPr>
          <w:rtl/>
        </w:rPr>
        <w:t>.</w:t>
      </w:r>
    </w:p>
    <w:tbl>
      <w:tblPr>
        <w:tblStyle w:val="TableGrid"/>
        <w:bidiVisual/>
        <w:tblW w:w="0" w:type="auto"/>
        <w:tblLook w:val="04A0" w:firstRow="1" w:lastRow="0" w:firstColumn="1" w:lastColumn="0" w:noHBand="0" w:noVBand="1"/>
      </w:tblPr>
      <w:tblGrid>
        <w:gridCol w:w="4261"/>
        <w:gridCol w:w="4262"/>
      </w:tblGrid>
      <w:tr w:rsidR="00616A3F" w:rsidTr="00616A3F">
        <w:tc>
          <w:tcPr>
            <w:tcW w:w="4261" w:type="dxa"/>
          </w:tcPr>
          <w:p w:rsidR="00616A3F" w:rsidRDefault="00616A3F" w:rsidP="000C39D1">
            <w:pPr>
              <w:pStyle w:val="libFootnote0"/>
              <w:rPr>
                <w:rtl/>
              </w:rPr>
            </w:pPr>
            <w:r>
              <w:rPr>
                <w:rtl/>
              </w:rPr>
              <w:t>(17)</w:t>
            </w:r>
            <w:r w:rsidRPr="00132E65">
              <w:rPr>
                <w:rtl/>
              </w:rPr>
              <w:t xml:space="preserve"> في « ف » والبحار : « فتحتاج »</w:t>
            </w:r>
            <w:r>
              <w:rPr>
                <w:rtl/>
              </w:rPr>
              <w:t>.</w:t>
            </w:r>
          </w:p>
        </w:tc>
        <w:tc>
          <w:tcPr>
            <w:tcW w:w="4262" w:type="dxa"/>
          </w:tcPr>
          <w:p w:rsidR="00616A3F" w:rsidRDefault="00616A3F" w:rsidP="000C39D1">
            <w:pPr>
              <w:pStyle w:val="libFootnote0"/>
              <w:rPr>
                <w:rtl/>
              </w:rPr>
            </w:pPr>
            <w:r>
              <w:rPr>
                <w:rtl/>
              </w:rPr>
              <w:t>(18)</w:t>
            </w:r>
            <w:r w:rsidRPr="00132E65">
              <w:rPr>
                <w:rtl/>
              </w:rPr>
              <w:t xml:space="preserve"> في « ب ، بر » و</w:t>
            </w:r>
            <w:r w:rsidRPr="009D1ACE">
              <w:rPr>
                <w:rStyle w:val="libFootnoteBoldChar"/>
                <w:rtl/>
              </w:rPr>
              <w:t>الوافي</w:t>
            </w:r>
            <w:r w:rsidRPr="00132E65">
              <w:rPr>
                <w:rtl/>
              </w:rPr>
              <w:t xml:space="preserve"> : « وانصرف »</w:t>
            </w:r>
            <w:r>
              <w:rPr>
                <w:rtl/>
              </w:rPr>
              <w:t>.</w:t>
            </w:r>
          </w:p>
        </w:tc>
      </w:tr>
    </w:tbl>
    <w:p w:rsidR="000C39D1" w:rsidRPr="00132E65" w:rsidRDefault="000C39D1" w:rsidP="000C39D1">
      <w:pPr>
        <w:pStyle w:val="libFootnote0"/>
        <w:rPr>
          <w:rtl/>
          <w:lang w:bidi="fa-IR"/>
        </w:rPr>
      </w:pPr>
      <w:r>
        <w:rPr>
          <w:rtl/>
        </w:rPr>
        <w:t>(19)</w:t>
      </w:r>
      <w:r w:rsidRPr="00132E65">
        <w:rPr>
          <w:rtl/>
        </w:rPr>
        <w:t xml:space="preserve"> </w:t>
      </w:r>
      <w:r w:rsidRPr="009D1ACE">
        <w:rPr>
          <w:rStyle w:val="libFootnoteBoldChar"/>
          <w:rtl/>
        </w:rPr>
        <w:t>الوافي</w:t>
      </w:r>
      <w:r w:rsidRPr="00132E65">
        <w:rPr>
          <w:rtl/>
        </w:rPr>
        <w:t xml:space="preserve"> ، ج 3 ، ص 866 ، ح 1484 ؛ </w:t>
      </w:r>
      <w:r w:rsidRPr="005C7539">
        <w:rPr>
          <w:rtl/>
        </w:rPr>
        <w:t>البحار</w:t>
      </w:r>
      <w:r w:rsidRPr="00132E65">
        <w:rPr>
          <w:rtl/>
        </w:rPr>
        <w:t xml:space="preserve"> ، ج 51 ، ص 308 ، ح 25.</w:t>
      </w:r>
    </w:p>
    <w:p w:rsidR="000C39D1" w:rsidRPr="00132E65" w:rsidRDefault="000C39D1" w:rsidP="000C39D1">
      <w:pPr>
        <w:pStyle w:val="libFootnote0"/>
        <w:rPr>
          <w:rtl/>
          <w:lang w:bidi="fa-IR"/>
        </w:rPr>
      </w:pPr>
      <w:r>
        <w:rPr>
          <w:rtl/>
        </w:rPr>
        <w:t>(20)</w:t>
      </w:r>
      <w:r w:rsidRPr="00132E65">
        <w:rPr>
          <w:rtl/>
        </w:rPr>
        <w:t xml:space="preserve"> في الإرشاد </w:t>
      </w:r>
      <w:r>
        <w:rPr>
          <w:rtl/>
        </w:rPr>
        <w:t xml:space="preserve">: - </w:t>
      </w:r>
      <w:r w:rsidRPr="00132E65">
        <w:rPr>
          <w:rtl/>
        </w:rPr>
        <w:t>« السويداوي »</w:t>
      </w:r>
      <w:r>
        <w:rPr>
          <w:rtl/>
        </w:rPr>
        <w:t>.</w:t>
      </w:r>
    </w:p>
    <w:p w:rsidR="000C39D1" w:rsidRDefault="000C39D1" w:rsidP="000C39D1">
      <w:pPr>
        <w:pStyle w:val="libNormal"/>
        <w:rPr>
          <w:rtl/>
          <w:lang w:bidi="fa-IR"/>
        </w:rPr>
      </w:pPr>
      <w:r>
        <w:rPr>
          <w:rtl/>
          <w:lang w:bidi="fa-IR"/>
        </w:rPr>
        <w:br w:type="page"/>
      </w:r>
    </w:p>
    <w:p w:rsidR="000C39D1" w:rsidRPr="00132E65" w:rsidRDefault="000C39D1" w:rsidP="001F5E05">
      <w:pPr>
        <w:pStyle w:val="libNormal"/>
        <w:rPr>
          <w:rtl/>
          <w:lang w:bidi="fa-IR"/>
        </w:rPr>
      </w:pPr>
      <w:r w:rsidRPr="00132E65">
        <w:rPr>
          <w:rtl/>
          <w:lang w:bidi="fa-IR"/>
        </w:rPr>
        <w:t xml:space="preserve">شَكَكْتُ عِنْدَ مُضِيِّ أَبِي مُحَمَّدٍ </w:t>
      </w:r>
      <w:r>
        <w:rPr>
          <w:rStyle w:val="libFootnotenumChar"/>
          <w:rtl/>
        </w:rPr>
        <w:t>(1)</w:t>
      </w:r>
      <w:r w:rsidRPr="00132E65">
        <w:rPr>
          <w:rtl/>
          <w:lang w:bidi="fa-IR"/>
        </w:rPr>
        <w:t xml:space="preserve"> </w:t>
      </w:r>
      <w:r w:rsidRPr="00071CF9">
        <w:rPr>
          <w:rStyle w:val="libAlaemChar"/>
          <w:rtl/>
        </w:rPr>
        <w:t>عليه‌السلام</w:t>
      </w:r>
      <w:r w:rsidRPr="00132E65">
        <w:rPr>
          <w:rtl/>
          <w:lang w:bidi="fa-IR"/>
        </w:rPr>
        <w:t xml:space="preserve"> ، و</w:t>
      </w:r>
      <w:r w:rsidR="001F5E05">
        <w:rPr>
          <w:rFonts w:hint="cs"/>
          <w:rtl/>
          <w:lang w:bidi="fa-IR"/>
        </w:rPr>
        <w:t>َ</w:t>
      </w:r>
      <w:r>
        <w:rPr>
          <w:rFonts w:hint="cs"/>
          <w:rtl/>
          <w:lang w:bidi="fa-IR"/>
        </w:rPr>
        <w:t xml:space="preserve"> </w:t>
      </w:r>
      <w:r>
        <w:rPr>
          <w:rStyle w:val="libFootnotenumChar"/>
          <w:rtl/>
        </w:rPr>
        <w:t>(2)</w:t>
      </w:r>
      <w:r w:rsidRPr="00132E65">
        <w:rPr>
          <w:rtl/>
          <w:lang w:bidi="fa-IR"/>
        </w:rPr>
        <w:t xml:space="preserve"> اجْتَمَعَ عِنْدَ أَبِي مَالٌ جَلِيلٌ ، فَحَمَلَهُ </w:t>
      </w:r>
      <w:r>
        <w:rPr>
          <w:rStyle w:val="libFootnotenumChar"/>
          <w:rtl/>
        </w:rPr>
        <w:t>(3)</w:t>
      </w:r>
      <w:r w:rsidRPr="00132E65">
        <w:rPr>
          <w:rtl/>
          <w:lang w:bidi="fa-IR"/>
        </w:rPr>
        <w:t xml:space="preserve"> ، وَرَكِبَ </w:t>
      </w:r>
      <w:r>
        <w:rPr>
          <w:rStyle w:val="libFootnotenumChar"/>
          <w:rtl/>
        </w:rPr>
        <w:t>(4)</w:t>
      </w:r>
      <w:r w:rsidRPr="00132E65">
        <w:rPr>
          <w:rtl/>
          <w:lang w:bidi="fa-IR"/>
        </w:rPr>
        <w:t xml:space="preserve"> السَّفِينَةَ ، </w:t>
      </w:r>
      <w:r w:rsidR="001F5E05" w:rsidRPr="00132E65">
        <w:rPr>
          <w:rtl/>
          <w:lang w:bidi="fa-IR"/>
        </w:rPr>
        <w:t>و</w:t>
      </w:r>
      <w:r w:rsidR="001F5E05">
        <w:rPr>
          <w:rFonts w:hint="cs"/>
          <w:rtl/>
          <w:lang w:bidi="fa-IR"/>
        </w:rPr>
        <w:t>َ</w:t>
      </w:r>
      <w:r w:rsidR="001F5E05" w:rsidRPr="00132E65">
        <w:rPr>
          <w:rtl/>
          <w:lang w:bidi="fa-IR"/>
        </w:rPr>
        <w:t xml:space="preserve"> </w:t>
      </w:r>
      <w:r w:rsidRPr="00132E65">
        <w:rPr>
          <w:rtl/>
          <w:lang w:bidi="fa-IR"/>
        </w:rPr>
        <w:t xml:space="preserve">خَرَجْتُ مَعَهُ مُشَيِّعاً </w:t>
      </w:r>
      <w:r>
        <w:rPr>
          <w:rStyle w:val="libFootnotenumChar"/>
          <w:rtl/>
        </w:rPr>
        <w:t>(5)</w:t>
      </w:r>
      <w:r w:rsidRPr="00132E65">
        <w:rPr>
          <w:rtl/>
          <w:lang w:bidi="fa-IR"/>
        </w:rPr>
        <w:t xml:space="preserve"> ، فَوُعِكَ </w:t>
      </w:r>
      <w:r w:rsidR="001F5E05" w:rsidRPr="00132E65">
        <w:rPr>
          <w:rtl/>
          <w:lang w:bidi="fa-IR"/>
        </w:rPr>
        <w:t>و</w:t>
      </w:r>
      <w:r w:rsidR="001F5E05">
        <w:rPr>
          <w:rFonts w:hint="cs"/>
          <w:rtl/>
          <w:lang w:bidi="fa-IR"/>
        </w:rPr>
        <w:t>َ</w:t>
      </w:r>
      <w:r w:rsidRPr="00132E65">
        <w:rPr>
          <w:rtl/>
          <w:lang w:bidi="fa-IR"/>
        </w:rPr>
        <w:t xml:space="preserve">عْكاً </w:t>
      </w:r>
      <w:r>
        <w:rPr>
          <w:rStyle w:val="libFootnotenumChar"/>
          <w:rtl/>
        </w:rPr>
        <w:t>(6)</w:t>
      </w:r>
      <w:r w:rsidRPr="00132E65">
        <w:rPr>
          <w:rtl/>
          <w:lang w:bidi="fa-IR"/>
        </w:rPr>
        <w:t xml:space="preserve"> شَدِيداً ، فَقَالَ </w:t>
      </w:r>
      <w:r>
        <w:rPr>
          <w:rStyle w:val="libFootnotenumChar"/>
          <w:rtl/>
        </w:rPr>
        <w:t>(7)</w:t>
      </w:r>
      <w:r w:rsidRPr="00132E65">
        <w:rPr>
          <w:rtl/>
          <w:lang w:bidi="fa-IR"/>
        </w:rPr>
        <w:t xml:space="preserve"> : يَا بُنَيَّ ، رُدَّنِي </w:t>
      </w:r>
      <w:r>
        <w:rPr>
          <w:rStyle w:val="libFootnotenumChar"/>
          <w:rtl/>
        </w:rPr>
        <w:t>(8)</w:t>
      </w:r>
      <w:r w:rsidRPr="00132E65">
        <w:rPr>
          <w:rtl/>
          <w:lang w:bidi="fa-IR"/>
        </w:rPr>
        <w:t xml:space="preserve"> ، فَهُوَ الْمَوْتُ ، </w:t>
      </w:r>
      <w:r w:rsidR="001F5E05" w:rsidRPr="00132E65">
        <w:rPr>
          <w:rtl/>
          <w:lang w:bidi="fa-IR"/>
        </w:rPr>
        <w:t>و</w:t>
      </w:r>
      <w:r w:rsidR="001F5E05">
        <w:rPr>
          <w:rFonts w:hint="cs"/>
          <w:rtl/>
          <w:lang w:bidi="fa-IR"/>
        </w:rPr>
        <w:t>َ</w:t>
      </w:r>
      <w:r w:rsidRPr="00132E65">
        <w:rPr>
          <w:rtl/>
          <w:lang w:bidi="fa-IR"/>
        </w:rPr>
        <w:t xml:space="preserve">قَالَ </w:t>
      </w:r>
      <w:r>
        <w:rPr>
          <w:rStyle w:val="libFootnotenumChar"/>
          <w:rtl/>
        </w:rPr>
        <w:t>(9)</w:t>
      </w:r>
      <w:r w:rsidRPr="00132E65">
        <w:rPr>
          <w:rtl/>
          <w:lang w:bidi="fa-IR"/>
        </w:rPr>
        <w:t xml:space="preserve"> لِيَ </w:t>
      </w:r>
      <w:r>
        <w:rPr>
          <w:rStyle w:val="libFootnotenumChar"/>
          <w:rtl/>
        </w:rPr>
        <w:t>(10)</w:t>
      </w:r>
      <w:r w:rsidRPr="00132E65">
        <w:rPr>
          <w:rtl/>
          <w:lang w:bidi="fa-IR"/>
        </w:rPr>
        <w:t xml:space="preserve"> : اتَّقِ اللهَ فِي هذَا الْمَالِ ؛ </w:t>
      </w:r>
      <w:r w:rsidR="001F5E05" w:rsidRPr="00132E65">
        <w:rPr>
          <w:rtl/>
          <w:lang w:bidi="fa-IR"/>
        </w:rPr>
        <w:t>و</w:t>
      </w:r>
      <w:r w:rsidR="001F5E05">
        <w:rPr>
          <w:rFonts w:hint="cs"/>
          <w:rtl/>
          <w:lang w:bidi="fa-IR"/>
        </w:rPr>
        <w:t xml:space="preserve">َ </w:t>
      </w:r>
      <w:r w:rsidRPr="00132E65">
        <w:rPr>
          <w:rtl/>
          <w:lang w:bidi="fa-IR"/>
        </w:rPr>
        <w:t xml:space="preserve">أَوْصى إِلَيَّ ، فَمَاتَ </w:t>
      </w:r>
      <w:r>
        <w:rPr>
          <w:rStyle w:val="libFootnotenumChar"/>
          <w:rtl/>
        </w:rPr>
        <w:t>(11)</w:t>
      </w:r>
      <w:r w:rsidR="001F5E05" w:rsidRPr="001F5E05">
        <w:rPr>
          <w:rFonts w:hint="cs"/>
          <w:rtl/>
        </w:rPr>
        <w:t>.</w:t>
      </w:r>
    </w:p>
    <w:p w:rsidR="000C39D1" w:rsidRPr="00132E65" w:rsidRDefault="000C39D1" w:rsidP="00491387">
      <w:pPr>
        <w:pStyle w:val="libNormal"/>
        <w:rPr>
          <w:rtl/>
          <w:lang w:bidi="fa-IR"/>
        </w:rPr>
      </w:pPr>
      <w:r w:rsidRPr="00132E65">
        <w:rPr>
          <w:rtl/>
          <w:lang w:bidi="fa-IR"/>
        </w:rPr>
        <w:t xml:space="preserve">فَقُلْتُ فِي نَفْسِي : لَمْ يَكُنْ أَبِي لِيُوصِيَ بِشَيْ‌ءٍ غَيْرِ صَحِيحٍ ، أَحْمِلُ هذَا الْمَالَ إِلَى الْعِرَاقِ ، </w:t>
      </w:r>
      <w:r w:rsidR="00491387" w:rsidRPr="00132E65">
        <w:rPr>
          <w:rtl/>
          <w:lang w:bidi="fa-IR"/>
        </w:rPr>
        <w:t>و</w:t>
      </w:r>
      <w:r w:rsidR="00491387">
        <w:rPr>
          <w:rFonts w:hint="cs"/>
          <w:rtl/>
          <w:lang w:bidi="fa-IR"/>
        </w:rPr>
        <w:t>َ</w:t>
      </w:r>
      <w:r w:rsidRPr="00132E65">
        <w:rPr>
          <w:rtl/>
          <w:lang w:bidi="fa-IR"/>
        </w:rPr>
        <w:t xml:space="preserve">أَكْتَرِي دَاراً عَلَى الشَّطِّ ، </w:t>
      </w:r>
      <w:r w:rsidR="00491387" w:rsidRPr="00132E65">
        <w:rPr>
          <w:rtl/>
          <w:lang w:bidi="fa-IR"/>
        </w:rPr>
        <w:t>و</w:t>
      </w:r>
      <w:r w:rsidR="00491387">
        <w:rPr>
          <w:rFonts w:hint="cs"/>
          <w:rtl/>
          <w:lang w:bidi="fa-IR"/>
        </w:rPr>
        <w:t>َ</w:t>
      </w:r>
      <w:r w:rsidRPr="00132E65">
        <w:rPr>
          <w:rtl/>
          <w:lang w:bidi="fa-IR"/>
        </w:rPr>
        <w:t>لَا</w:t>
      </w:r>
      <w:r>
        <w:rPr>
          <w:rFonts w:hint="cs"/>
          <w:rtl/>
          <w:lang w:bidi="fa-IR"/>
        </w:rPr>
        <w:t xml:space="preserve"> </w:t>
      </w:r>
      <w:r w:rsidRPr="00132E65">
        <w:rPr>
          <w:rtl/>
          <w:lang w:bidi="fa-IR"/>
        </w:rPr>
        <w:t xml:space="preserve">أُخْبِرُ أَحَداً بِشَيْ‌ءٍ </w:t>
      </w:r>
      <w:r>
        <w:rPr>
          <w:rStyle w:val="libFootnotenumChar"/>
          <w:rtl/>
        </w:rPr>
        <w:t>(12)</w:t>
      </w:r>
      <w:r w:rsidRPr="00132E65">
        <w:rPr>
          <w:rtl/>
          <w:lang w:bidi="fa-IR"/>
        </w:rPr>
        <w:t xml:space="preserve"> ، </w:t>
      </w:r>
      <w:r w:rsidR="00491387" w:rsidRPr="00132E65">
        <w:rPr>
          <w:rtl/>
          <w:lang w:bidi="fa-IR"/>
        </w:rPr>
        <w:t>و</w:t>
      </w:r>
      <w:r w:rsidR="00491387">
        <w:rPr>
          <w:rFonts w:hint="cs"/>
          <w:rtl/>
          <w:lang w:bidi="fa-IR"/>
        </w:rPr>
        <w:t>َ</w:t>
      </w:r>
      <w:r w:rsidRPr="00132E65">
        <w:rPr>
          <w:rtl/>
          <w:lang w:bidi="fa-IR"/>
        </w:rPr>
        <w:t xml:space="preserve">إِنْ </w:t>
      </w:r>
      <w:r w:rsidRPr="00F543F1">
        <w:rPr>
          <w:rStyle w:val="libFootnotenumChar"/>
          <w:rtl/>
        </w:rPr>
        <w:t>(13)</w:t>
      </w:r>
      <w:r w:rsidRPr="00132E65">
        <w:rPr>
          <w:rtl/>
          <w:lang w:bidi="fa-IR"/>
        </w:rPr>
        <w:t xml:space="preserve"> </w:t>
      </w:r>
      <w:r w:rsidR="00491387" w:rsidRPr="00132E65">
        <w:rPr>
          <w:rtl/>
          <w:lang w:bidi="fa-IR"/>
        </w:rPr>
        <w:t>و</w:t>
      </w:r>
      <w:r w:rsidR="00491387">
        <w:rPr>
          <w:rFonts w:hint="cs"/>
          <w:rtl/>
          <w:lang w:bidi="fa-IR"/>
        </w:rPr>
        <w:t>َ</w:t>
      </w:r>
      <w:r w:rsidRPr="00132E65">
        <w:rPr>
          <w:rtl/>
          <w:lang w:bidi="fa-IR"/>
        </w:rPr>
        <w:t xml:space="preserve">ضَحَ </w:t>
      </w:r>
      <w:r w:rsidRPr="00F543F1">
        <w:rPr>
          <w:rStyle w:val="libFootnotenumChar"/>
          <w:rtl/>
        </w:rPr>
        <w:t>(14)</w:t>
      </w:r>
      <w:r w:rsidRPr="00132E65">
        <w:rPr>
          <w:rtl/>
          <w:lang w:bidi="fa-IR"/>
        </w:rPr>
        <w:t xml:space="preserve"> لِي شَيْ‌ءٌ </w:t>
      </w:r>
      <w:r w:rsidRPr="00F543F1">
        <w:rPr>
          <w:rStyle w:val="libFootnotenumChar"/>
          <w:rtl/>
        </w:rPr>
        <w:t>(15)</w:t>
      </w:r>
      <w:r w:rsidRPr="00132E65">
        <w:rPr>
          <w:rtl/>
          <w:lang w:bidi="fa-IR"/>
        </w:rPr>
        <w:t xml:space="preserve"> كَوُضُوحِهِ </w:t>
      </w:r>
      <w:r w:rsidRPr="00F543F1">
        <w:rPr>
          <w:rStyle w:val="libFootnotenumChar"/>
          <w:rtl/>
        </w:rPr>
        <w:t>(16)</w:t>
      </w:r>
      <w:r w:rsidRPr="00132E65">
        <w:rPr>
          <w:rtl/>
          <w:lang w:bidi="fa-IR"/>
        </w:rPr>
        <w:t xml:space="preserve"> أَيَّامَ أَبِي مُحَمَّدٍ </w:t>
      </w:r>
      <w:r w:rsidRPr="00071CF9">
        <w:rPr>
          <w:rStyle w:val="libAlaemChar"/>
          <w:rtl/>
        </w:rPr>
        <w:t>عليه‌السلام</w:t>
      </w:r>
      <w:r w:rsidRPr="00132E65">
        <w:rPr>
          <w:rtl/>
          <w:lang w:bidi="fa-IR"/>
        </w:rPr>
        <w:t xml:space="preserve"> أَنْفَذْتُهُ ، </w:t>
      </w:r>
      <w:r w:rsidR="00491387" w:rsidRPr="00132E65">
        <w:rPr>
          <w:rtl/>
          <w:lang w:bidi="fa-IR"/>
        </w:rPr>
        <w:t>و</w:t>
      </w:r>
      <w:r w:rsidR="00491387">
        <w:rPr>
          <w:rFonts w:hint="cs"/>
          <w:rtl/>
          <w:lang w:bidi="fa-IR"/>
        </w:rPr>
        <w:t>َ</w:t>
      </w:r>
      <w:r w:rsidR="00491387">
        <w:rPr>
          <w:rtl/>
          <w:lang w:bidi="fa-IR"/>
        </w:rPr>
        <w:t>إِل</w:t>
      </w:r>
      <w:r w:rsidR="00491387">
        <w:rPr>
          <w:rFonts w:hint="cs"/>
          <w:rtl/>
          <w:lang w:bidi="fa-IR"/>
        </w:rPr>
        <w:t>َّ</w:t>
      </w:r>
      <w:r w:rsidR="00491387">
        <w:rPr>
          <w:rtl/>
          <w:lang w:bidi="fa-IR"/>
        </w:rPr>
        <w:t>ا</w:t>
      </w:r>
      <w:r w:rsidRPr="00132E65">
        <w:rPr>
          <w:rtl/>
          <w:lang w:bidi="fa-IR"/>
        </w:rPr>
        <w:t xml:space="preserve"> قَصَفْتُ بِهِ </w:t>
      </w:r>
      <w:r w:rsidRPr="00F543F1">
        <w:rPr>
          <w:rStyle w:val="libFootnotenumChar"/>
          <w:rtl/>
        </w:rPr>
        <w:t>(17)</w:t>
      </w:r>
      <w:r w:rsidR="00491387" w:rsidRPr="00491387">
        <w:rPr>
          <w:rFonts w:hint="cs"/>
          <w:rtl/>
        </w:rPr>
        <w:t>.</w:t>
      </w:r>
    </w:p>
    <w:p w:rsidR="000C39D1" w:rsidRPr="00132E65" w:rsidRDefault="000C39D1" w:rsidP="00491387">
      <w:pPr>
        <w:pStyle w:val="libNormal"/>
        <w:rPr>
          <w:rtl/>
          <w:lang w:bidi="fa-IR"/>
        </w:rPr>
      </w:pPr>
      <w:r w:rsidRPr="00132E65">
        <w:rPr>
          <w:rtl/>
          <w:lang w:bidi="fa-IR"/>
        </w:rPr>
        <w:t xml:space="preserve">فَقَدِمْتُ الْعِرَاقَ ، </w:t>
      </w:r>
      <w:r w:rsidR="00491387" w:rsidRPr="00132E65">
        <w:rPr>
          <w:rtl/>
          <w:lang w:bidi="fa-IR"/>
        </w:rPr>
        <w:t>و</w:t>
      </w:r>
      <w:r w:rsidR="00491387">
        <w:rPr>
          <w:rFonts w:hint="cs"/>
          <w:rtl/>
          <w:lang w:bidi="fa-IR"/>
        </w:rPr>
        <w:t>َ</w:t>
      </w:r>
      <w:r w:rsidRPr="00132E65">
        <w:rPr>
          <w:rtl/>
          <w:lang w:bidi="fa-IR"/>
        </w:rPr>
        <w:t xml:space="preserve">اكْتَرَيْتُ دَاراً عَلَى الشَّطِّ ، </w:t>
      </w:r>
      <w:r w:rsidR="00491387" w:rsidRPr="00132E65">
        <w:rPr>
          <w:rtl/>
          <w:lang w:bidi="fa-IR"/>
        </w:rPr>
        <w:t>و</w:t>
      </w:r>
      <w:r w:rsidR="00491387">
        <w:rPr>
          <w:rFonts w:hint="cs"/>
          <w:rtl/>
          <w:lang w:bidi="fa-IR"/>
        </w:rPr>
        <w:t>َ</w:t>
      </w:r>
      <w:r w:rsidRPr="00132E65">
        <w:rPr>
          <w:rtl/>
          <w:lang w:bidi="fa-IR"/>
        </w:rPr>
        <w:t xml:space="preserve">بَقِيتُ أَيَّاماً ، فَإِذَا أَنَا بِرُقْعَةٍ مَعَ رَسُولٍ </w:t>
      </w:r>
      <w:r w:rsidRPr="00F543F1">
        <w:rPr>
          <w:rStyle w:val="libFootnotenumChar"/>
          <w:rtl/>
        </w:rPr>
        <w:t>(18)</w:t>
      </w:r>
      <w:r w:rsidRPr="00132E65">
        <w:rPr>
          <w:rtl/>
          <w:lang w:bidi="fa-IR"/>
        </w:rPr>
        <w:t xml:space="preserve"> ، فِيهَا : « يَا مُحَمَّدُ ، مَعَكَ كَذَا </w:t>
      </w:r>
      <w:r w:rsidR="00491387" w:rsidRPr="00132E65">
        <w:rPr>
          <w:rtl/>
          <w:lang w:bidi="fa-IR"/>
        </w:rPr>
        <w:t>و</w:t>
      </w:r>
      <w:r w:rsidR="00491387">
        <w:rPr>
          <w:rFonts w:hint="cs"/>
          <w:rtl/>
          <w:lang w:bidi="fa-IR"/>
        </w:rPr>
        <w:t>َ</w:t>
      </w:r>
      <w:r w:rsidRPr="00132E65">
        <w:rPr>
          <w:rtl/>
          <w:lang w:bidi="fa-IR"/>
        </w:rPr>
        <w:t xml:space="preserve">كَذَا فِي جَوْفِ كَذَا </w:t>
      </w:r>
      <w:r w:rsidR="00491387" w:rsidRPr="00132E65">
        <w:rPr>
          <w:rtl/>
          <w:lang w:bidi="fa-IR"/>
        </w:rPr>
        <w:t>و</w:t>
      </w:r>
      <w:r w:rsidR="00491387">
        <w:rPr>
          <w:rFonts w:hint="cs"/>
          <w:rtl/>
          <w:lang w:bidi="fa-IR"/>
        </w:rPr>
        <w:t>َ</w:t>
      </w:r>
      <w:r w:rsidRPr="00132E65">
        <w:rPr>
          <w:rtl/>
          <w:lang w:bidi="fa-IR"/>
        </w:rPr>
        <w:t xml:space="preserve">كَذَا </w:t>
      </w:r>
      <w:r w:rsidRPr="00F543F1">
        <w:rPr>
          <w:rStyle w:val="libFootnotenumChar"/>
          <w:rtl/>
        </w:rPr>
        <w:t>(19)</w:t>
      </w:r>
      <w:r w:rsidRPr="00132E65">
        <w:rPr>
          <w:rtl/>
          <w:lang w:bidi="fa-IR"/>
        </w:rPr>
        <w:t xml:space="preserve"> » حَتّى قَصَّ عَلَيَّ‌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w:t>
      </w:r>
      <w:r>
        <w:rPr>
          <w:rtl/>
        </w:rPr>
        <w:t xml:space="preserve"> + </w:t>
      </w:r>
      <w:r w:rsidRPr="00132E65">
        <w:rPr>
          <w:rtl/>
        </w:rPr>
        <w:t>« الحسن بن عليّ »</w:t>
      </w:r>
      <w:r>
        <w:rPr>
          <w:rtl/>
        </w:rPr>
        <w:t>.</w:t>
      </w:r>
    </w:p>
    <w:p w:rsidR="000C39D1" w:rsidRPr="00132E65" w:rsidRDefault="000C39D1" w:rsidP="000C39D1">
      <w:pPr>
        <w:pStyle w:val="libFootnote0"/>
        <w:rPr>
          <w:rtl/>
          <w:lang w:bidi="fa-IR"/>
        </w:rPr>
      </w:pPr>
      <w:r>
        <w:rPr>
          <w:rtl/>
        </w:rPr>
        <w:t>(2).</w:t>
      </w:r>
      <w:r w:rsidRPr="00132E65">
        <w:rPr>
          <w:rtl/>
        </w:rPr>
        <w:t xml:space="preserve"> في الغيبة : « وكان »</w:t>
      </w:r>
      <w:r>
        <w:rPr>
          <w:rtl/>
        </w:rPr>
        <w:t>.</w:t>
      </w:r>
    </w:p>
    <w:p w:rsidR="000C39D1" w:rsidRPr="00132E65" w:rsidRDefault="000C39D1" w:rsidP="000C39D1">
      <w:pPr>
        <w:pStyle w:val="libFootnote0"/>
        <w:rPr>
          <w:rtl/>
          <w:lang w:bidi="fa-IR"/>
        </w:rPr>
      </w:pPr>
      <w:r>
        <w:rPr>
          <w:rtl/>
        </w:rPr>
        <w:t>(3).</w:t>
      </w:r>
      <w:r w:rsidRPr="00132E65">
        <w:rPr>
          <w:rtl/>
        </w:rPr>
        <w:t xml:space="preserve"> في « بر » : « فحملته »</w:t>
      </w:r>
      <w:r>
        <w:rPr>
          <w:rtl/>
        </w:rPr>
        <w:t>.</w:t>
      </w:r>
    </w:p>
    <w:p w:rsidR="000C39D1" w:rsidRPr="00132E65" w:rsidRDefault="000C39D1" w:rsidP="000C39D1">
      <w:pPr>
        <w:pStyle w:val="libFootnote0"/>
        <w:rPr>
          <w:rtl/>
          <w:lang w:bidi="fa-IR"/>
        </w:rPr>
      </w:pPr>
      <w:r>
        <w:rPr>
          <w:rtl/>
        </w:rPr>
        <w:t>(4).</w:t>
      </w:r>
      <w:r w:rsidRPr="00132E65">
        <w:rPr>
          <w:rtl/>
        </w:rPr>
        <w:t xml:space="preserve"> في « ض ، بر ، بس » وحاشية « بح » والإرشاد : « وركبت »</w:t>
      </w:r>
      <w:r>
        <w:rPr>
          <w:rtl/>
        </w:rPr>
        <w:t>.</w:t>
      </w:r>
    </w:p>
    <w:p w:rsidR="000C39D1" w:rsidRPr="00132E65" w:rsidRDefault="000C39D1" w:rsidP="000C39D1">
      <w:pPr>
        <w:pStyle w:val="libFootnote0"/>
        <w:rPr>
          <w:rtl/>
          <w:lang w:bidi="fa-IR"/>
        </w:rPr>
      </w:pPr>
      <w:r>
        <w:rPr>
          <w:rtl/>
        </w:rPr>
        <w:t>(5).</w:t>
      </w:r>
      <w:r w:rsidRPr="00132E65">
        <w:rPr>
          <w:rtl/>
        </w:rPr>
        <w:t xml:space="preserve"> في الإرشاد والغيبة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(6).</w:t>
      </w:r>
      <w:r w:rsidRPr="00132E65">
        <w:rPr>
          <w:rtl/>
        </w:rPr>
        <w:t xml:space="preserve"> « الوعْك » : الحُمّى ، وقيل : ألَمُها. </w:t>
      </w:r>
      <w:r w:rsidRPr="005C7539">
        <w:rPr>
          <w:rtl/>
        </w:rPr>
        <w:t>النهاية</w:t>
      </w:r>
      <w:r w:rsidRPr="00132E65">
        <w:rPr>
          <w:rtl/>
        </w:rPr>
        <w:t xml:space="preserve"> ، ج 5 ، ص 207 ( وعك )</w:t>
      </w:r>
      <w:r>
        <w:rPr>
          <w:rtl/>
        </w:rPr>
        <w:t>.</w:t>
      </w:r>
    </w:p>
    <w:p w:rsidR="000C39D1" w:rsidRPr="00132E65" w:rsidRDefault="000C39D1" w:rsidP="000C39D1">
      <w:pPr>
        <w:pStyle w:val="libFootnote0"/>
        <w:rPr>
          <w:rtl/>
          <w:lang w:bidi="fa-IR"/>
        </w:rPr>
      </w:pPr>
      <w:r>
        <w:rPr>
          <w:rtl/>
        </w:rPr>
        <w:t>(7).</w:t>
      </w:r>
      <w:r w:rsidRPr="00132E65">
        <w:rPr>
          <w:rtl/>
        </w:rPr>
        <w:t xml:space="preserve"> في « ض ، ف » :</w:t>
      </w:r>
      <w:r>
        <w:rPr>
          <w:rtl/>
        </w:rPr>
        <w:t xml:space="preserve"> + </w:t>
      </w:r>
      <w:r w:rsidRPr="00132E65">
        <w:rPr>
          <w:rtl/>
        </w:rPr>
        <w:t>« لي »</w:t>
      </w:r>
      <w:r>
        <w:rPr>
          <w:rtl/>
        </w:rPr>
        <w:t>.</w:t>
      </w:r>
    </w:p>
    <w:tbl>
      <w:tblPr>
        <w:tblStyle w:val="TableGrid"/>
        <w:bidiVisual/>
        <w:tblW w:w="0" w:type="auto"/>
        <w:tblLook w:val="04A0" w:firstRow="1" w:lastRow="0" w:firstColumn="1" w:lastColumn="0" w:noHBand="0" w:noVBand="1"/>
      </w:tblPr>
      <w:tblGrid>
        <w:gridCol w:w="4261"/>
        <w:gridCol w:w="4262"/>
      </w:tblGrid>
      <w:tr w:rsidR="0081157E" w:rsidTr="0081157E">
        <w:tc>
          <w:tcPr>
            <w:tcW w:w="4261" w:type="dxa"/>
          </w:tcPr>
          <w:p w:rsidR="0081157E" w:rsidRDefault="0081157E" w:rsidP="000C39D1">
            <w:pPr>
              <w:pStyle w:val="libFootnote0"/>
              <w:rPr>
                <w:rtl/>
              </w:rPr>
            </w:pPr>
            <w:r>
              <w:rPr>
                <w:rtl/>
              </w:rPr>
              <w:t>(8).</w:t>
            </w:r>
            <w:r w:rsidRPr="00132E65">
              <w:rPr>
                <w:rtl/>
              </w:rPr>
              <w:t xml:space="preserve"> في الغيبة : « رُدّني ، رُدّني »</w:t>
            </w:r>
            <w:r>
              <w:rPr>
                <w:rtl/>
              </w:rPr>
              <w:t>.</w:t>
            </w:r>
          </w:p>
        </w:tc>
        <w:tc>
          <w:tcPr>
            <w:tcW w:w="4262" w:type="dxa"/>
          </w:tcPr>
          <w:p w:rsidR="0081157E" w:rsidRDefault="0081157E" w:rsidP="000C39D1">
            <w:pPr>
              <w:pStyle w:val="libFootnote0"/>
              <w:rPr>
                <w:rtl/>
              </w:rPr>
            </w:pPr>
            <w:r>
              <w:rPr>
                <w:rtl/>
              </w:rPr>
              <w:t>(9).</w:t>
            </w:r>
            <w:r w:rsidRPr="00132E65">
              <w:rPr>
                <w:rtl/>
              </w:rPr>
              <w:t xml:space="preserve"> في « ف » : « فقال »</w:t>
            </w:r>
            <w:r>
              <w:rPr>
                <w:rtl/>
              </w:rPr>
              <w:t>.</w:t>
            </w:r>
          </w:p>
        </w:tc>
      </w:tr>
    </w:tbl>
    <w:p w:rsidR="000C39D1" w:rsidRPr="00132E65" w:rsidRDefault="000C39D1" w:rsidP="000C39D1">
      <w:pPr>
        <w:pStyle w:val="libFootnote0"/>
        <w:rPr>
          <w:rtl/>
          <w:lang w:bidi="fa-IR"/>
        </w:rPr>
      </w:pPr>
      <w:r>
        <w:rPr>
          <w:rtl/>
        </w:rPr>
        <w:t>(10).</w:t>
      </w:r>
      <w:r w:rsidRPr="00132E65">
        <w:rPr>
          <w:rtl/>
        </w:rPr>
        <w:t xml:space="preserve"> في « ب » </w:t>
      </w:r>
      <w:r>
        <w:rPr>
          <w:rtl/>
        </w:rPr>
        <w:t xml:space="preserve">: - </w:t>
      </w:r>
      <w:r w:rsidRPr="00132E65">
        <w:rPr>
          <w:rtl/>
        </w:rPr>
        <w:t>« لي »</w:t>
      </w:r>
      <w:r>
        <w:rPr>
          <w:rtl/>
        </w:rPr>
        <w:t>.</w:t>
      </w:r>
      <w:r w:rsidRPr="00132E65">
        <w:rPr>
          <w:rtl/>
        </w:rPr>
        <w:t xml:space="preserve"> وفي الغيبة </w:t>
      </w:r>
      <w:r>
        <w:rPr>
          <w:rtl/>
        </w:rPr>
        <w:t xml:space="preserve">: - </w:t>
      </w:r>
      <w:r w:rsidRPr="00132E65">
        <w:rPr>
          <w:rtl/>
        </w:rPr>
        <w:t>« قال لي »</w:t>
      </w:r>
      <w:r>
        <w:rPr>
          <w:rtl/>
        </w:rPr>
        <w:t>.</w:t>
      </w:r>
    </w:p>
    <w:p w:rsidR="000C39D1" w:rsidRPr="00132E65" w:rsidRDefault="000C39D1" w:rsidP="000C39D1">
      <w:pPr>
        <w:pStyle w:val="libFootnote0"/>
        <w:rPr>
          <w:rtl/>
          <w:lang w:bidi="fa-IR"/>
        </w:rPr>
      </w:pPr>
      <w:r>
        <w:rPr>
          <w:rtl/>
        </w:rPr>
        <w:t>(11).</w:t>
      </w:r>
      <w:r w:rsidRPr="00132E65">
        <w:rPr>
          <w:rtl/>
        </w:rPr>
        <w:t xml:space="preserve"> في الإرشاد والغيبة : « ومات »</w:t>
      </w:r>
      <w:r>
        <w:rPr>
          <w:rtl/>
        </w:rPr>
        <w:t>.</w:t>
      </w:r>
      <w:r w:rsidRPr="00132E65">
        <w:rPr>
          <w:rtl/>
        </w:rPr>
        <w:t xml:space="preserve"> وفي الإرشاد :</w:t>
      </w:r>
      <w:r>
        <w:rPr>
          <w:rtl/>
        </w:rPr>
        <w:t xml:space="preserve"> + </w:t>
      </w:r>
      <w:r w:rsidRPr="00132E65">
        <w:rPr>
          <w:rtl/>
        </w:rPr>
        <w:t>« بعد ثلاثة أيّام »</w:t>
      </w:r>
      <w:r>
        <w:rPr>
          <w:rtl/>
        </w:rPr>
        <w:t>.</w:t>
      </w:r>
    </w:p>
    <w:tbl>
      <w:tblPr>
        <w:tblStyle w:val="TableGrid"/>
        <w:bidiVisual/>
        <w:tblW w:w="0" w:type="auto"/>
        <w:tblLook w:val="04A0" w:firstRow="1" w:lastRow="0" w:firstColumn="1" w:lastColumn="0" w:noHBand="0" w:noVBand="1"/>
      </w:tblPr>
      <w:tblGrid>
        <w:gridCol w:w="4261"/>
        <w:gridCol w:w="4262"/>
      </w:tblGrid>
      <w:tr w:rsidR="003274EF" w:rsidTr="003274EF">
        <w:tc>
          <w:tcPr>
            <w:tcW w:w="4261" w:type="dxa"/>
          </w:tcPr>
          <w:p w:rsidR="003274EF" w:rsidRDefault="003274EF" w:rsidP="000C39D1">
            <w:pPr>
              <w:pStyle w:val="libFootnote0"/>
              <w:rPr>
                <w:rtl/>
              </w:rPr>
            </w:pPr>
            <w:r>
              <w:rPr>
                <w:rtl/>
              </w:rPr>
              <w:t>(12).</w:t>
            </w:r>
            <w:r w:rsidRPr="00132E65">
              <w:rPr>
                <w:rtl/>
              </w:rPr>
              <w:t xml:space="preserve"> في الغيبة </w:t>
            </w:r>
            <w:r>
              <w:rPr>
                <w:rtl/>
              </w:rPr>
              <w:t xml:space="preserve">: - </w:t>
            </w:r>
            <w:r w:rsidRPr="00132E65">
              <w:rPr>
                <w:rtl/>
              </w:rPr>
              <w:t>« بشي‌ء »</w:t>
            </w:r>
            <w:r>
              <w:rPr>
                <w:rtl/>
              </w:rPr>
              <w:t>.</w:t>
            </w:r>
          </w:p>
        </w:tc>
        <w:tc>
          <w:tcPr>
            <w:tcW w:w="4262" w:type="dxa"/>
          </w:tcPr>
          <w:p w:rsidR="003274EF" w:rsidRDefault="003274EF" w:rsidP="000C39D1">
            <w:pPr>
              <w:pStyle w:val="libFootnote0"/>
              <w:rPr>
                <w:rtl/>
              </w:rPr>
            </w:pPr>
            <w:r>
              <w:rPr>
                <w:rtl/>
              </w:rPr>
              <w:t>(13) في «ب، بح، بر، بف</w:t>
            </w:r>
            <w:r w:rsidRPr="00132E65">
              <w:rPr>
                <w:rtl/>
              </w:rPr>
              <w:t>» والإرشاد والغيبة : « فإن »</w:t>
            </w:r>
            <w:r>
              <w:rPr>
                <w:rtl/>
              </w:rPr>
              <w:t>.</w:t>
            </w:r>
          </w:p>
        </w:tc>
      </w:tr>
      <w:tr w:rsidR="003274EF" w:rsidTr="003274EF">
        <w:tc>
          <w:tcPr>
            <w:tcW w:w="4261" w:type="dxa"/>
          </w:tcPr>
          <w:p w:rsidR="003274EF" w:rsidRDefault="003274EF" w:rsidP="000C39D1">
            <w:pPr>
              <w:pStyle w:val="libFootnote0"/>
              <w:rPr>
                <w:rtl/>
              </w:rPr>
            </w:pPr>
            <w:r>
              <w:rPr>
                <w:rtl/>
              </w:rPr>
              <w:t>(14)</w:t>
            </w:r>
            <w:r w:rsidRPr="00132E65">
              <w:rPr>
                <w:rtl/>
              </w:rPr>
              <w:t xml:space="preserve"> في « ض » : « ا</w:t>
            </w:r>
            <w:r>
              <w:rPr>
                <w:rFonts w:hint="cs"/>
                <w:rtl/>
              </w:rPr>
              <w:t>ُ</w:t>
            </w:r>
            <w:r w:rsidRPr="00132E65">
              <w:rPr>
                <w:rtl/>
              </w:rPr>
              <w:t>وضح »</w:t>
            </w:r>
            <w:r>
              <w:rPr>
                <w:rtl/>
              </w:rPr>
              <w:t>.</w:t>
            </w:r>
          </w:p>
        </w:tc>
        <w:tc>
          <w:tcPr>
            <w:tcW w:w="4262" w:type="dxa"/>
          </w:tcPr>
          <w:p w:rsidR="003274EF" w:rsidRDefault="003274EF" w:rsidP="000C39D1">
            <w:pPr>
              <w:pStyle w:val="libFootnote0"/>
              <w:rPr>
                <w:rtl/>
              </w:rPr>
            </w:pPr>
            <w:r>
              <w:rPr>
                <w:rtl/>
              </w:rPr>
              <w:t>(15)</w:t>
            </w:r>
            <w:r w:rsidRPr="00132E65">
              <w:rPr>
                <w:rtl/>
              </w:rPr>
              <w:t xml:space="preserve"> في الإرشاد </w:t>
            </w:r>
            <w:r>
              <w:rPr>
                <w:rtl/>
              </w:rPr>
              <w:t xml:space="preserve">: - </w:t>
            </w:r>
            <w:r w:rsidRPr="00132E65">
              <w:rPr>
                <w:rtl/>
              </w:rPr>
              <w:t>« شي‌ء »</w:t>
            </w:r>
            <w:r>
              <w:rPr>
                <w:rtl/>
              </w:rPr>
              <w:t>.</w:t>
            </w:r>
          </w:p>
        </w:tc>
      </w:tr>
    </w:tbl>
    <w:p w:rsidR="000C39D1" w:rsidRPr="00132E65" w:rsidRDefault="000C39D1" w:rsidP="000C39D1">
      <w:pPr>
        <w:pStyle w:val="libFootnote0"/>
        <w:rPr>
          <w:rtl/>
          <w:lang w:bidi="fa-IR"/>
        </w:rPr>
      </w:pPr>
      <w:r>
        <w:rPr>
          <w:rtl/>
        </w:rPr>
        <w:t>(16)</w:t>
      </w:r>
      <w:r w:rsidRPr="00132E65">
        <w:rPr>
          <w:rtl/>
        </w:rPr>
        <w:t xml:space="preserve"> هكذا في « ب ، ج ، ض ، ف ، بح ، بر ، بس ، بف » والغيبة و</w:t>
      </w:r>
      <w:r w:rsidRPr="009D1ACE">
        <w:rPr>
          <w:rStyle w:val="libFootnoteBoldChar"/>
          <w:rtl/>
        </w:rPr>
        <w:t>الوافي</w:t>
      </w:r>
      <w:r w:rsidRPr="00132E65">
        <w:rPr>
          <w:rtl/>
        </w:rPr>
        <w:t>. وفي المطبوع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(17)</w:t>
      </w:r>
      <w:r w:rsidRPr="00132E65">
        <w:rPr>
          <w:rtl/>
        </w:rPr>
        <w:t xml:space="preserve"> في الغيبة : « تصدّقت به »</w:t>
      </w:r>
      <w:r>
        <w:rPr>
          <w:rtl/>
        </w:rPr>
        <w:t>.</w:t>
      </w:r>
      <w:r w:rsidRPr="00132E65">
        <w:rPr>
          <w:rtl/>
        </w:rPr>
        <w:t xml:space="preserve"> وفي الإرشاد : « أنفقته في ملاذّي وشهواتي » بدل « قصفت به »</w:t>
      </w:r>
      <w:r>
        <w:rPr>
          <w:rtl/>
        </w:rPr>
        <w:t>.</w:t>
      </w:r>
      <w:r w:rsidRPr="00132E65">
        <w:rPr>
          <w:rtl/>
        </w:rPr>
        <w:t xml:space="preserve"> </w:t>
      </w:r>
      <w:r>
        <w:rPr>
          <w:rtl/>
        </w:rPr>
        <w:t>و «</w:t>
      </w:r>
      <w:r w:rsidRPr="00132E65">
        <w:rPr>
          <w:rtl/>
        </w:rPr>
        <w:t xml:space="preserve"> القصف » : اللهو واللَّعِب. يقال : إنّها مولّدة. </w:t>
      </w:r>
      <w:r w:rsidRPr="005C7539">
        <w:rPr>
          <w:rtl/>
        </w:rPr>
        <w:t>الصحاح</w:t>
      </w:r>
      <w:r w:rsidRPr="00132E65">
        <w:rPr>
          <w:rtl/>
        </w:rPr>
        <w:t xml:space="preserve"> ، ج 4 ، ص 1416 ( قصف )</w:t>
      </w:r>
      <w:r>
        <w:rPr>
          <w:rtl/>
        </w:rPr>
        <w:t>.</w:t>
      </w:r>
      <w:r w:rsidRPr="00132E65">
        <w:rPr>
          <w:rtl/>
        </w:rPr>
        <w:t xml:space="preserve"> والمراد : أنّي لا أدفعه بل أستعين به على ملاذّ الحياة ، أو أتمتّع به طويلاً ، أو أصرفه في الضروريات.</w:t>
      </w:r>
    </w:p>
    <w:tbl>
      <w:tblPr>
        <w:tblStyle w:val="TableGrid"/>
        <w:bidiVisual/>
        <w:tblW w:w="0" w:type="auto"/>
        <w:tblLook w:val="04A0" w:firstRow="1" w:lastRow="0" w:firstColumn="1" w:lastColumn="0" w:noHBand="0" w:noVBand="1"/>
      </w:tblPr>
      <w:tblGrid>
        <w:gridCol w:w="4261"/>
        <w:gridCol w:w="4262"/>
      </w:tblGrid>
      <w:tr w:rsidR="007803AF" w:rsidTr="007803AF">
        <w:tc>
          <w:tcPr>
            <w:tcW w:w="4261" w:type="dxa"/>
          </w:tcPr>
          <w:p w:rsidR="007803AF" w:rsidRDefault="007803AF" w:rsidP="000C39D1">
            <w:pPr>
              <w:pStyle w:val="libFootnote0"/>
              <w:rPr>
                <w:rtl/>
              </w:rPr>
            </w:pPr>
            <w:r>
              <w:rPr>
                <w:rtl/>
              </w:rPr>
              <w:t>(18)</w:t>
            </w:r>
            <w:r w:rsidRPr="00132E65">
              <w:rPr>
                <w:rtl/>
              </w:rPr>
              <w:t xml:space="preserve"> في الغيبة : « برسول معه رقعة »</w:t>
            </w:r>
            <w:r>
              <w:rPr>
                <w:rtl/>
              </w:rPr>
              <w:t>.</w:t>
            </w:r>
          </w:p>
        </w:tc>
        <w:tc>
          <w:tcPr>
            <w:tcW w:w="4262" w:type="dxa"/>
          </w:tcPr>
          <w:p w:rsidR="007803AF" w:rsidRDefault="007803AF" w:rsidP="000C39D1">
            <w:pPr>
              <w:pStyle w:val="libFootnote0"/>
              <w:rPr>
                <w:rtl/>
              </w:rPr>
            </w:pPr>
            <w:r>
              <w:rPr>
                <w:rtl/>
              </w:rPr>
              <w:t>(19)</w:t>
            </w:r>
            <w:r w:rsidRPr="00132E65">
              <w:rPr>
                <w:rtl/>
              </w:rPr>
              <w:t xml:space="preserve"> في الإرشاد </w:t>
            </w:r>
            <w:r>
              <w:rPr>
                <w:rtl/>
              </w:rPr>
              <w:t xml:space="preserve">: - </w:t>
            </w:r>
            <w:r w:rsidRPr="00132E65">
              <w:rPr>
                <w:rtl/>
              </w:rPr>
              <w:t>« في جَوْفِ كذا وكذا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8F47D1">
      <w:pPr>
        <w:pStyle w:val="libNormal0"/>
        <w:tabs>
          <w:tab w:val="left" w:pos="3968"/>
        </w:tabs>
        <w:rPr>
          <w:rtl/>
          <w:lang w:bidi="fa-IR"/>
        </w:rPr>
      </w:pPr>
      <w:r w:rsidRPr="00132E65">
        <w:rPr>
          <w:rtl/>
          <w:lang w:bidi="fa-IR"/>
        </w:rPr>
        <w:t xml:space="preserve">جَمِيعَ مَا مَعِي مِمَّا </w:t>
      </w:r>
      <w:r>
        <w:rPr>
          <w:rStyle w:val="libFootnotenumChar"/>
          <w:rtl/>
        </w:rPr>
        <w:t>(1)</w:t>
      </w:r>
      <w:r w:rsidRPr="00132E65">
        <w:rPr>
          <w:rtl/>
          <w:lang w:bidi="fa-IR"/>
        </w:rPr>
        <w:t xml:space="preserve"> لَمْ أُحِطْ بِهِ عِلْماً ، فَسَلَّمْتُهُ </w:t>
      </w:r>
      <w:r>
        <w:rPr>
          <w:rStyle w:val="libFootnotenumChar"/>
          <w:rtl/>
        </w:rPr>
        <w:t>(2)</w:t>
      </w:r>
      <w:r w:rsidRPr="00132E65">
        <w:rPr>
          <w:rtl/>
          <w:lang w:bidi="fa-IR"/>
        </w:rPr>
        <w:t xml:space="preserve"> إِلَى الرَّسُولِ ، و</w:t>
      </w:r>
      <w:r w:rsidR="008F47D1">
        <w:rPr>
          <w:rFonts w:hint="cs"/>
          <w:rtl/>
          <w:lang w:bidi="fa-IR"/>
        </w:rPr>
        <w:t>َ</w:t>
      </w:r>
      <w:r w:rsidRPr="00132E65">
        <w:rPr>
          <w:rtl/>
          <w:lang w:bidi="fa-IR"/>
        </w:rPr>
        <w:t xml:space="preserve">بَقِيتُ أَيَّاماً لَايُرْفَعُ لِي </w:t>
      </w:r>
      <w:r>
        <w:rPr>
          <w:rStyle w:val="libFootnotenumChar"/>
          <w:rtl/>
        </w:rPr>
        <w:t>(3)</w:t>
      </w:r>
      <w:r w:rsidRPr="00132E65">
        <w:rPr>
          <w:rtl/>
          <w:lang w:bidi="fa-IR"/>
        </w:rPr>
        <w:t xml:space="preserve"> رَأْسٌ ، </w:t>
      </w:r>
      <w:r w:rsidR="008F47D1" w:rsidRPr="00132E65">
        <w:rPr>
          <w:rtl/>
          <w:lang w:bidi="fa-IR"/>
        </w:rPr>
        <w:t>و</w:t>
      </w:r>
      <w:r w:rsidR="008F47D1">
        <w:rPr>
          <w:rFonts w:hint="cs"/>
          <w:rtl/>
          <w:lang w:bidi="fa-IR"/>
        </w:rPr>
        <w:t>َ</w:t>
      </w:r>
      <w:r w:rsidRPr="00132E65">
        <w:rPr>
          <w:rtl/>
          <w:lang w:bidi="fa-IR"/>
        </w:rPr>
        <w:t xml:space="preserve">اغْتَمَمْتُ </w:t>
      </w:r>
      <w:r>
        <w:rPr>
          <w:rStyle w:val="libFootnotenumChar"/>
          <w:rtl/>
        </w:rPr>
        <w:t>(4)</w:t>
      </w:r>
      <w:r w:rsidRPr="00132E65">
        <w:rPr>
          <w:rtl/>
          <w:lang w:bidi="fa-IR"/>
        </w:rPr>
        <w:t xml:space="preserve"> ، فَخَرَجَ إِلَيَّ : « قَدْ أَقَمْنَاكَ مَكَانَ </w:t>
      </w:r>
      <w:r>
        <w:rPr>
          <w:rStyle w:val="libFootnotenumChar"/>
          <w:rtl/>
        </w:rPr>
        <w:t>(5)</w:t>
      </w:r>
      <w:r w:rsidRPr="00132E65">
        <w:rPr>
          <w:rtl/>
          <w:lang w:bidi="fa-IR"/>
        </w:rPr>
        <w:t xml:space="preserve"> أَبِيكَ ، فَاحْمَدِ اللهَ »</w:t>
      </w:r>
      <w:r>
        <w:rPr>
          <w:rtl/>
          <w:lang w:bidi="fa-IR"/>
        </w:rPr>
        <w:t>.</w:t>
      </w:r>
      <w:r w:rsidRPr="00132E65">
        <w:rPr>
          <w:rtl/>
          <w:lang w:bidi="fa-IR"/>
        </w:rPr>
        <w:t xml:space="preserve"> </w:t>
      </w:r>
      <w:r>
        <w:rPr>
          <w:rStyle w:val="libFootnotenumChar"/>
          <w:rtl/>
        </w:rPr>
        <w:t>(6)</w:t>
      </w:r>
    </w:p>
    <w:p w:rsidR="000C39D1" w:rsidRPr="00132E65" w:rsidRDefault="000C39D1" w:rsidP="000C39D1">
      <w:pPr>
        <w:pStyle w:val="libNormal"/>
        <w:rPr>
          <w:rtl/>
          <w:lang w:bidi="fa-IR"/>
        </w:rPr>
      </w:pPr>
      <w:r w:rsidRPr="005C7539">
        <w:rPr>
          <w:rtl/>
        </w:rPr>
        <w:t>1362</w:t>
      </w:r>
      <w:r w:rsidRPr="004325D8">
        <w:rPr>
          <w:rStyle w:val="libBold2Char"/>
          <w:rtl/>
        </w:rPr>
        <w:t xml:space="preserve"> / 6.</w:t>
      </w:r>
      <w:r w:rsidRPr="00132E65">
        <w:rPr>
          <w:rtl/>
          <w:lang w:bidi="fa-IR"/>
        </w:rPr>
        <w:t xml:space="preserve"> مُحَمَّدُ بْنُ أَبِي عَبْدِ اللهِ ، عَنْ أَبِي عَبْدِ اللهِ النَّسَائِيِّ </w:t>
      </w:r>
      <w:r>
        <w:rPr>
          <w:rStyle w:val="libFootnotenumChar"/>
          <w:rtl/>
        </w:rPr>
        <w:t>(7)</w:t>
      </w:r>
      <w:r w:rsidRPr="00132E65">
        <w:rPr>
          <w:rtl/>
          <w:lang w:bidi="fa-IR"/>
        </w:rPr>
        <w:t xml:space="preserve"> ، قَالَ :</w:t>
      </w:r>
    </w:p>
    <w:p w:rsidR="000C39D1" w:rsidRPr="00132E65" w:rsidRDefault="000C39D1" w:rsidP="008F47D1">
      <w:pPr>
        <w:pStyle w:val="libNormal"/>
        <w:rPr>
          <w:rtl/>
          <w:lang w:bidi="fa-IR"/>
        </w:rPr>
      </w:pPr>
      <w:r w:rsidRPr="00132E65">
        <w:rPr>
          <w:rtl/>
          <w:lang w:bidi="fa-IR"/>
        </w:rPr>
        <w:t xml:space="preserve">أَوْصَلْتُ أَشْيَاءَ لِلْمَرْزُبَانِيِّ </w:t>
      </w:r>
      <w:r>
        <w:rPr>
          <w:rStyle w:val="libFootnotenumChar"/>
          <w:rtl/>
        </w:rPr>
        <w:t>(8)</w:t>
      </w:r>
      <w:r w:rsidRPr="00132E65">
        <w:rPr>
          <w:rtl/>
          <w:lang w:bidi="fa-IR"/>
        </w:rPr>
        <w:t xml:space="preserve"> الْحَارِثِيِّ ، فِيهَا </w:t>
      </w:r>
      <w:r>
        <w:rPr>
          <w:rStyle w:val="libFootnotenumChar"/>
          <w:rtl/>
        </w:rPr>
        <w:t>(9)</w:t>
      </w:r>
      <w:r w:rsidRPr="00132E65">
        <w:rPr>
          <w:rtl/>
          <w:lang w:bidi="fa-IR"/>
        </w:rPr>
        <w:t xml:space="preserve"> سِوَارُ ذَهَبٍ ، فَقُبِلَتْ ، و</w:t>
      </w:r>
      <w:r w:rsidR="008F47D1">
        <w:rPr>
          <w:rFonts w:hint="cs"/>
          <w:rtl/>
          <w:lang w:bidi="fa-IR"/>
        </w:rPr>
        <w:t>َ</w:t>
      </w:r>
      <w:r w:rsidRPr="00132E65">
        <w:rPr>
          <w:rtl/>
          <w:lang w:bidi="fa-IR"/>
        </w:rPr>
        <w:t xml:space="preserve">رُدَّ عَلَيَّ السِّوَارُ ، فَأُمِرْتُ </w:t>
      </w:r>
      <w:r>
        <w:rPr>
          <w:rStyle w:val="libFootnotenumChar"/>
          <w:rtl/>
        </w:rPr>
        <w:t>(10)</w:t>
      </w:r>
      <w:r w:rsidRPr="00132E65">
        <w:rPr>
          <w:rtl/>
          <w:lang w:bidi="fa-IR"/>
        </w:rPr>
        <w:t xml:space="preserve"> بِكَسْرِهِ ، فَكَسَرْتُهُ </w:t>
      </w:r>
      <w:r>
        <w:rPr>
          <w:rStyle w:val="libFootnotenumChar"/>
          <w:rtl/>
        </w:rPr>
        <w:t>(11)</w:t>
      </w:r>
      <w:r w:rsidRPr="00132E65">
        <w:rPr>
          <w:rtl/>
          <w:lang w:bidi="fa-IR"/>
        </w:rPr>
        <w:t xml:space="preserve"> ، فَإِذَا فِي </w:t>
      </w:r>
      <w:r w:rsidR="008F47D1" w:rsidRPr="00132E65">
        <w:rPr>
          <w:rtl/>
          <w:lang w:bidi="fa-IR"/>
        </w:rPr>
        <w:t>و</w:t>
      </w:r>
      <w:r w:rsidR="008F47D1">
        <w:rPr>
          <w:rFonts w:hint="cs"/>
          <w:rtl/>
          <w:lang w:bidi="fa-IR"/>
        </w:rPr>
        <w:t>َ</w:t>
      </w:r>
      <w:r w:rsidRPr="00132E65">
        <w:rPr>
          <w:rtl/>
          <w:lang w:bidi="fa-IR"/>
        </w:rPr>
        <w:t xml:space="preserve">سَطِهِ مَثَاقِيلُ حَدِيدٍ </w:t>
      </w:r>
      <w:r w:rsidR="008F47D1" w:rsidRPr="00132E65">
        <w:rPr>
          <w:rtl/>
          <w:lang w:bidi="fa-IR"/>
        </w:rPr>
        <w:t>و</w:t>
      </w:r>
      <w:r w:rsidR="008F47D1">
        <w:rPr>
          <w:rFonts w:hint="cs"/>
          <w:rtl/>
          <w:lang w:bidi="fa-IR"/>
        </w:rPr>
        <w:t>َ</w:t>
      </w:r>
      <w:r w:rsidRPr="00132E65">
        <w:rPr>
          <w:rtl/>
          <w:lang w:bidi="fa-IR"/>
        </w:rPr>
        <w:t xml:space="preserve">نُحَاسٍ أَوْ صُفْرٍ </w:t>
      </w:r>
      <w:r>
        <w:rPr>
          <w:rStyle w:val="libFootnotenumChar"/>
          <w:rtl/>
        </w:rPr>
        <w:t>(12)</w:t>
      </w:r>
      <w:r w:rsidRPr="00132E65">
        <w:rPr>
          <w:rtl/>
          <w:lang w:bidi="fa-IR"/>
        </w:rPr>
        <w:t xml:space="preserve"> ، فَأَخْرَجْتُهُ وَأَنْفَذْتُ الذَّهَبَ </w:t>
      </w:r>
      <w:r w:rsidRPr="00F543F1">
        <w:rPr>
          <w:rStyle w:val="libFootnotenumChar"/>
          <w:rtl/>
        </w:rPr>
        <w:t>(13)</w:t>
      </w:r>
      <w:r w:rsidRPr="00132E65">
        <w:rPr>
          <w:rtl/>
          <w:lang w:bidi="fa-IR"/>
        </w:rPr>
        <w:t xml:space="preserve"> ، فَقُبِلَ </w:t>
      </w:r>
      <w:r w:rsidRPr="00F543F1">
        <w:rPr>
          <w:rStyle w:val="libFootnotenumChar"/>
          <w:rtl/>
        </w:rPr>
        <w:t>(14)</w:t>
      </w:r>
      <w:r w:rsidR="008F47D1">
        <w:rPr>
          <w:rFonts w:hint="cs"/>
          <w:rtl/>
          <w:lang w:bidi="fa-IR"/>
        </w:rPr>
        <w:t>.</w:t>
      </w:r>
      <w:r w:rsidRPr="00F543F1">
        <w:rPr>
          <w:rStyle w:val="libFootnotenumChar"/>
          <w:rtl/>
        </w:rPr>
        <w:t>(15)</w:t>
      </w:r>
    </w:p>
    <w:p w:rsidR="000C39D1" w:rsidRPr="00132E65" w:rsidRDefault="000C39D1" w:rsidP="000C39D1">
      <w:pPr>
        <w:pStyle w:val="libNormal"/>
        <w:rPr>
          <w:rtl/>
          <w:lang w:bidi="fa-IR"/>
        </w:rPr>
      </w:pPr>
      <w:r w:rsidRPr="005C7539">
        <w:rPr>
          <w:rtl/>
        </w:rPr>
        <w:t>1363</w:t>
      </w:r>
      <w:r w:rsidRPr="004325D8">
        <w:rPr>
          <w:rStyle w:val="libBold2Char"/>
          <w:rtl/>
        </w:rPr>
        <w:t xml:space="preserve"> / 7.</w:t>
      </w:r>
      <w:r w:rsidRPr="00132E65">
        <w:rPr>
          <w:rtl/>
          <w:lang w:bidi="fa-IR"/>
        </w:rPr>
        <w:t xml:space="preserve"> عَلِيُّ بْنُ مُحَمَّدٍ ، عَنِ الْفَضْلِ الْخَزَّازِ </w:t>
      </w:r>
      <w:r w:rsidRPr="00F543F1">
        <w:rPr>
          <w:rStyle w:val="libFootnotenumChar"/>
          <w:rtl/>
        </w:rPr>
        <w:t>(16)</w:t>
      </w:r>
      <w:r w:rsidRPr="00132E65">
        <w:rPr>
          <w:rtl/>
          <w:lang w:bidi="fa-IR"/>
        </w:rPr>
        <w:t xml:space="preserve"> الْمَدَائِنِيِّ </w:t>
      </w:r>
      <w:r w:rsidRPr="00F543F1">
        <w:rPr>
          <w:rStyle w:val="libFootnotenumChar"/>
          <w:rtl/>
        </w:rPr>
        <w:t>(17)</w:t>
      </w:r>
      <w:r>
        <w:rPr>
          <w:rtl/>
          <w:lang w:bidi="fa-IR"/>
        </w:rPr>
        <w:t xml:space="preserve"> - </w:t>
      </w:r>
      <w:r w:rsidRPr="00132E65">
        <w:rPr>
          <w:rtl/>
          <w:lang w:bidi="fa-IR"/>
        </w:rPr>
        <w:t>مَوْلى خَدِيجَةَ بِنْتِ‌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بف » : « ما »</w:t>
      </w:r>
      <w:r>
        <w:rPr>
          <w:rtl/>
        </w:rPr>
        <w:t>.</w:t>
      </w:r>
      <w:r w:rsidRPr="00132E65">
        <w:rPr>
          <w:rtl/>
        </w:rPr>
        <w:t xml:space="preserve"> وفي الإرشاد : « وذكر في جملته شيئاً » بدل « ممّا »</w:t>
      </w:r>
      <w:r>
        <w:rPr>
          <w:rtl/>
        </w:rPr>
        <w:t>.</w:t>
      </w:r>
    </w:p>
    <w:tbl>
      <w:tblPr>
        <w:tblStyle w:val="TableGrid"/>
        <w:bidiVisual/>
        <w:tblW w:w="0" w:type="auto"/>
        <w:tblLook w:val="04A0" w:firstRow="1" w:lastRow="0" w:firstColumn="1" w:lastColumn="0" w:noHBand="0" w:noVBand="1"/>
      </w:tblPr>
      <w:tblGrid>
        <w:gridCol w:w="4261"/>
        <w:gridCol w:w="4262"/>
      </w:tblGrid>
      <w:tr w:rsidR="008F47D1" w:rsidTr="008F47D1">
        <w:tc>
          <w:tcPr>
            <w:tcW w:w="4261" w:type="dxa"/>
          </w:tcPr>
          <w:p w:rsidR="008F47D1" w:rsidRDefault="008F47D1" w:rsidP="000C39D1">
            <w:pPr>
              <w:pStyle w:val="libFootnote0"/>
              <w:rPr>
                <w:rtl/>
              </w:rPr>
            </w:pPr>
            <w:r>
              <w:rPr>
                <w:rtl/>
              </w:rPr>
              <w:t>(2).</w:t>
            </w:r>
            <w:r w:rsidRPr="00132E65">
              <w:rPr>
                <w:rtl/>
              </w:rPr>
              <w:t xml:space="preserve"> في الغيبة : « فسلّمت المال »</w:t>
            </w:r>
            <w:r>
              <w:rPr>
                <w:rtl/>
              </w:rPr>
              <w:t>.</w:t>
            </w:r>
          </w:p>
        </w:tc>
        <w:tc>
          <w:tcPr>
            <w:tcW w:w="4262" w:type="dxa"/>
          </w:tcPr>
          <w:p w:rsidR="008F47D1" w:rsidRDefault="008F47D1" w:rsidP="000C39D1">
            <w:pPr>
              <w:pStyle w:val="libFootnote0"/>
              <w:rPr>
                <w:rtl/>
              </w:rPr>
            </w:pPr>
            <w:r>
              <w:rPr>
                <w:rtl/>
              </w:rPr>
              <w:t>(3).</w:t>
            </w:r>
            <w:r w:rsidRPr="00132E65">
              <w:rPr>
                <w:rtl/>
              </w:rPr>
              <w:t xml:space="preserve"> في الإرشاد والغيبة : « بي »</w:t>
            </w:r>
            <w:r>
              <w:rPr>
                <w:rtl/>
              </w:rPr>
              <w:t>.</w:t>
            </w:r>
          </w:p>
        </w:tc>
      </w:tr>
    </w:tbl>
    <w:p w:rsidR="000C39D1" w:rsidRPr="00132E65" w:rsidRDefault="000C39D1" w:rsidP="000C39D1">
      <w:pPr>
        <w:pStyle w:val="libFootnote0"/>
        <w:rPr>
          <w:rtl/>
          <w:lang w:bidi="fa-IR"/>
        </w:rPr>
      </w:pPr>
      <w:r>
        <w:rPr>
          <w:rtl/>
        </w:rPr>
        <w:t>(4).</w:t>
      </w:r>
      <w:r w:rsidRPr="00132E65">
        <w:rPr>
          <w:rtl/>
        </w:rPr>
        <w:t xml:space="preserve"> في الإرشاد والغيبة : « فاغتممت »</w:t>
      </w:r>
      <w:r>
        <w:rPr>
          <w:rtl/>
        </w:rPr>
        <w:t>.</w:t>
      </w:r>
    </w:p>
    <w:p w:rsidR="000C39D1" w:rsidRPr="00132E65" w:rsidRDefault="000C39D1" w:rsidP="000C39D1">
      <w:pPr>
        <w:pStyle w:val="libFootnote0"/>
        <w:rPr>
          <w:rtl/>
          <w:lang w:bidi="fa-IR"/>
        </w:rPr>
      </w:pPr>
      <w:r>
        <w:rPr>
          <w:rtl/>
        </w:rPr>
        <w:t>(5).</w:t>
      </w:r>
      <w:r w:rsidRPr="00132E65">
        <w:rPr>
          <w:rtl/>
        </w:rPr>
        <w:t xml:space="preserve"> في حاشية « ب ، ض » وشرح المازندراني والإرشاد والغيبة : « مقام »</w:t>
      </w:r>
      <w:r>
        <w:rPr>
          <w:rtl/>
        </w:rPr>
        <w:t>.</w:t>
      </w:r>
    </w:p>
    <w:p w:rsidR="000C39D1" w:rsidRPr="00132E65" w:rsidRDefault="000C39D1" w:rsidP="008F47D1">
      <w:pPr>
        <w:pStyle w:val="libFootnote0"/>
        <w:rPr>
          <w:rtl/>
          <w:lang w:bidi="fa-IR"/>
        </w:rPr>
      </w:pPr>
      <w:r>
        <w:rPr>
          <w:rtl/>
        </w:rPr>
        <w:t>(6).</w:t>
      </w:r>
      <w:r w:rsidRPr="00132E65">
        <w:rPr>
          <w:rtl/>
        </w:rPr>
        <w:t xml:space="preserve"> </w:t>
      </w:r>
      <w:r w:rsidRPr="005C7539">
        <w:rPr>
          <w:rtl/>
        </w:rPr>
        <w:t>الإرشاد</w:t>
      </w:r>
      <w:r w:rsidRPr="00132E65">
        <w:rPr>
          <w:rtl/>
        </w:rPr>
        <w:t xml:space="preserve"> ، ج 2 ، ص 355 ؛ و</w:t>
      </w:r>
      <w:r w:rsidRPr="005C7539">
        <w:rPr>
          <w:rtl/>
        </w:rPr>
        <w:t>الغيبة</w:t>
      </w:r>
      <w:r w:rsidRPr="00132E65">
        <w:rPr>
          <w:rtl/>
        </w:rPr>
        <w:t xml:space="preserve"> للطوسي ، ص 281 ، ح 239 ، بسندهما عن الكليني</w:t>
      </w:r>
      <w:r w:rsidR="008F47D1">
        <w:rPr>
          <w:rFonts w:hint="cs"/>
          <w:rtl/>
        </w:rPr>
        <w:t>.</w:t>
      </w:r>
      <w:r w:rsidRPr="009D1ACE">
        <w:rPr>
          <w:rStyle w:val="libFootnoteBoldChar"/>
          <w:rtl/>
        </w:rPr>
        <w:t>الوافي</w:t>
      </w:r>
      <w:r w:rsidRPr="00132E65">
        <w:rPr>
          <w:rtl/>
        </w:rPr>
        <w:t xml:space="preserve"> ، ج 3 ، ص 868 ، ح 1485.</w:t>
      </w:r>
    </w:p>
    <w:p w:rsidR="000C39D1" w:rsidRPr="00132E65" w:rsidRDefault="000C39D1" w:rsidP="000C39D1">
      <w:pPr>
        <w:pStyle w:val="libFootnote0"/>
        <w:rPr>
          <w:rtl/>
          <w:lang w:bidi="fa-IR"/>
        </w:rPr>
      </w:pPr>
      <w:r>
        <w:rPr>
          <w:rtl/>
        </w:rPr>
        <w:t>(7).</w:t>
      </w:r>
      <w:r w:rsidRPr="00132E65">
        <w:rPr>
          <w:rtl/>
        </w:rPr>
        <w:t xml:space="preserve"> في « ب ، بر » وحاشية « ألف » : « الشيباني »</w:t>
      </w:r>
      <w:r>
        <w:rPr>
          <w:rtl/>
        </w:rPr>
        <w:t>.</w:t>
      </w:r>
      <w:r w:rsidRPr="00132E65">
        <w:rPr>
          <w:rtl/>
        </w:rPr>
        <w:t xml:space="preserve"> وفي « ف » : « النسّائي »</w:t>
      </w:r>
      <w:r>
        <w:rPr>
          <w:rtl/>
        </w:rPr>
        <w:t>.</w:t>
      </w:r>
      <w:r w:rsidRPr="00132E65">
        <w:rPr>
          <w:rtl/>
        </w:rPr>
        <w:t xml:space="preserve"> وفي « بس » : « النشابي »</w:t>
      </w:r>
      <w:r>
        <w:rPr>
          <w:rtl/>
        </w:rPr>
        <w:t>.</w:t>
      </w:r>
      <w:r w:rsidRPr="00132E65">
        <w:rPr>
          <w:rtl/>
        </w:rPr>
        <w:t xml:space="preserve"> وفي « بف » : « النساى »</w:t>
      </w:r>
      <w:r>
        <w:rPr>
          <w:rtl/>
        </w:rPr>
        <w:t>.</w:t>
      </w:r>
      <w:r w:rsidRPr="00132E65">
        <w:rPr>
          <w:rtl/>
        </w:rPr>
        <w:t xml:space="preserve"> وفي حاشية « ج » وحاشية المطبوع : « النسابي »</w:t>
      </w:r>
      <w:r>
        <w:rPr>
          <w:rtl/>
        </w:rPr>
        <w:t>.</w:t>
      </w:r>
    </w:p>
    <w:p w:rsidR="000C39D1" w:rsidRPr="00132E65" w:rsidRDefault="000C39D1" w:rsidP="000C39D1">
      <w:pPr>
        <w:pStyle w:val="libFootnote0"/>
        <w:rPr>
          <w:rtl/>
          <w:lang w:bidi="fa-IR"/>
        </w:rPr>
      </w:pPr>
      <w:r w:rsidRPr="00F24C1F">
        <w:rPr>
          <w:rtl/>
        </w:rPr>
        <w:t xml:space="preserve">ثمّ إنّ الخبر رواه المفيد في </w:t>
      </w:r>
      <w:r w:rsidRPr="005C7539">
        <w:rPr>
          <w:rtl/>
        </w:rPr>
        <w:t>الإرشاد</w:t>
      </w:r>
      <w:r w:rsidRPr="00F24C1F">
        <w:rPr>
          <w:rtl/>
        </w:rPr>
        <w:t xml:space="preserve"> ، ج 2 ، ص 356 ، عن محمّد بن أبي عبد الله السيّاري. وفيه سهو ظاهر بجواز النظر من « أبي عبد الله » في « محمّد بن أبي عبد الله » إلى أبي عبد الله الثاني ؛ فإنّ محمّد بن أبي عبد الله في مشايخ الكليني ، هو محمّد بن أبي عبد الله جعفر بن محمّد بن عون الأسدي الكوفي. راجع : </w:t>
      </w:r>
      <w:r w:rsidRPr="005C7539">
        <w:rPr>
          <w:rtl/>
        </w:rPr>
        <w:t>رجال النجاشي</w:t>
      </w:r>
      <w:r w:rsidRPr="00F24C1F">
        <w:rPr>
          <w:rtl/>
        </w:rPr>
        <w:t xml:space="preserve"> ، ص 373 ، الرقم 1020 ؛ </w:t>
      </w:r>
      <w:r w:rsidRPr="005C7539">
        <w:rPr>
          <w:rtl/>
        </w:rPr>
        <w:t>الفهرست</w:t>
      </w:r>
      <w:r w:rsidRPr="00F24C1F">
        <w:rPr>
          <w:rtl/>
        </w:rPr>
        <w:t xml:space="preserve"> للطوسي ، ص 425 ، الرقم 661 ؛ </w:t>
      </w:r>
      <w:r w:rsidRPr="005C7539">
        <w:rPr>
          <w:rtl/>
        </w:rPr>
        <w:t>رجال الطوسي</w:t>
      </w:r>
      <w:r w:rsidRPr="00F24C1F">
        <w:rPr>
          <w:rtl/>
        </w:rPr>
        <w:t xml:space="preserve"> ، ص 439 ، الرقم 6278.</w:t>
      </w:r>
    </w:p>
    <w:p w:rsidR="000C39D1" w:rsidRPr="00132E65" w:rsidRDefault="000C39D1" w:rsidP="000C39D1">
      <w:pPr>
        <w:pStyle w:val="libFootnote0"/>
        <w:rPr>
          <w:rtl/>
          <w:lang w:bidi="fa-IR"/>
        </w:rPr>
      </w:pPr>
      <w:r>
        <w:rPr>
          <w:rtl/>
        </w:rPr>
        <w:t>(8).</w:t>
      </w:r>
      <w:r w:rsidRPr="00132E65">
        <w:rPr>
          <w:rtl/>
        </w:rPr>
        <w:t xml:space="preserve"> يعني إلى الصاحب </w:t>
      </w:r>
      <w:r w:rsidRPr="008F47D1">
        <w:rPr>
          <w:rStyle w:val="libFootnoteAlaemChar"/>
          <w:rtl/>
        </w:rPr>
        <w:t>عليه‌السلام</w:t>
      </w:r>
      <w:r w:rsidRPr="00132E65">
        <w:rPr>
          <w:rtl/>
        </w:rPr>
        <w:t>. وفي « ب ، ف ، بف » و</w:t>
      </w:r>
      <w:r w:rsidRPr="009D1ACE">
        <w:rPr>
          <w:rStyle w:val="libFootnoteBoldChar"/>
          <w:rtl/>
        </w:rPr>
        <w:t>الوافي</w:t>
      </w:r>
      <w:r w:rsidRPr="00132E65">
        <w:rPr>
          <w:rtl/>
        </w:rPr>
        <w:t xml:space="preserve"> : « للمرزبان »</w:t>
      </w:r>
      <w:r>
        <w:rPr>
          <w:rtl/>
        </w:rPr>
        <w:t>.</w:t>
      </w:r>
      <w:r w:rsidRPr="00132E65">
        <w:rPr>
          <w:rtl/>
        </w:rPr>
        <w:t xml:space="preserve"> وفي حاشية « ج » : « للمورياني »</w:t>
      </w:r>
      <w:r>
        <w:rPr>
          <w:rtl/>
        </w:rPr>
        <w:t>.</w:t>
      </w:r>
    </w:p>
    <w:tbl>
      <w:tblPr>
        <w:tblStyle w:val="TableGrid"/>
        <w:bidiVisual/>
        <w:tblW w:w="0" w:type="auto"/>
        <w:tblLook w:val="04A0" w:firstRow="1" w:lastRow="0" w:firstColumn="1" w:lastColumn="0" w:noHBand="0" w:noVBand="1"/>
      </w:tblPr>
      <w:tblGrid>
        <w:gridCol w:w="4261"/>
        <w:gridCol w:w="4262"/>
      </w:tblGrid>
      <w:tr w:rsidR="008F47D1" w:rsidTr="008F47D1">
        <w:tc>
          <w:tcPr>
            <w:tcW w:w="4261" w:type="dxa"/>
          </w:tcPr>
          <w:p w:rsidR="008F47D1" w:rsidRDefault="008F47D1" w:rsidP="000C39D1">
            <w:pPr>
              <w:pStyle w:val="libFootnote0"/>
              <w:rPr>
                <w:rtl/>
              </w:rPr>
            </w:pPr>
            <w:r>
              <w:rPr>
                <w:rtl/>
              </w:rPr>
              <w:t>(9).</w:t>
            </w:r>
            <w:r w:rsidRPr="00132E65">
              <w:rPr>
                <w:rtl/>
              </w:rPr>
              <w:t xml:space="preserve"> في البحار : « في جملتها »</w:t>
            </w:r>
            <w:r>
              <w:rPr>
                <w:rtl/>
              </w:rPr>
              <w:t>.</w:t>
            </w:r>
          </w:p>
        </w:tc>
        <w:tc>
          <w:tcPr>
            <w:tcW w:w="4262" w:type="dxa"/>
          </w:tcPr>
          <w:p w:rsidR="008F47D1" w:rsidRDefault="008F47D1" w:rsidP="000C39D1">
            <w:pPr>
              <w:pStyle w:val="libFootnote0"/>
              <w:rPr>
                <w:rtl/>
              </w:rPr>
            </w:pPr>
            <w:r>
              <w:rPr>
                <w:rtl/>
              </w:rPr>
              <w:t>(10).</w:t>
            </w:r>
            <w:r w:rsidRPr="00132E65">
              <w:rPr>
                <w:rtl/>
              </w:rPr>
              <w:t xml:space="preserve"> في الإرشاد والبحار : « وا</w:t>
            </w:r>
            <w:r>
              <w:rPr>
                <w:rFonts w:hint="cs"/>
                <w:rtl/>
              </w:rPr>
              <w:t>ُ</w:t>
            </w:r>
            <w:r w:rsidRPr="00132E65">
              <w:rPr>
                <w:rtl/>
              </w:rPr>
              <w:t>مرت »</w:t>
            </w:r>
            <w:r>
              <w:rPr>
                <w:rtl/>
              </w:rPr>
              <w:t>.</w:t>
            </w:r>
          </w:p>
        </w:tc>
      </w:tr>
      <w:tr w:rsidR="008F47D1" w:rsidTr="008F47D1">
        <w:tc>
          <w:tcPr>
            <w:tcW w:w="4261" w:type="dxa"/>
          </w:tcPr>
          <w:p w:rsidR="008F47D1" w:rsidRDefault="008F47D1" w:rsidP="000C39D1">
            <w:pPr>
              <w:pStyle w:val="libFootnote0"/>
              <w:rPr>
                <w:rtl/>
              </w:rPr>
            </w:pPr>
            <w:r>
              <w:rPr>
                <w:rtl/>
              </w:rPr>
              <w:t>(11).</w:t>
            </w:r>
            <w:r w:rsidRPr="00132E65">
              <w:rPr>
                <w:rtl/>
              </w:rPr>
              <w:t xml:space="preserve"> في « ب ، ض ، ف » : « فكسّرته » بالتثقيل.</w:t>
            </w:r>
          </w:p>
        </w:tc>
        <w:tc>
          <w:tcPr>
            <w:tcW w:w="4262" w:type="dxa"/>
          </w:tcPr>
          <w:p w:rsidR="008F47D1" w:rsidRDefault="008F47D1" w:rsidP="000C39D1">
            <w:pPr>
              <w:pStyle w:val="libFootnote0"/>
              <w:rPr>
                <w:rtl/>
              </w:rPr>
            </w:pPr>
            <w:r>
              <w:rPr>
                <w:rtl/>
              </w:rPr>
              <w:t>(12).</w:t>
            </w:r>
            <w:r w:rsidRPr="00132E65">
              <w:rPr>
                <w:rtl/>
              </w:rPr>
              <w:t xml:space="preserve"> في « ف » والإرشاد والبحار : « وصفر »</w:t>
            </w:r>
            <w:r>
              <w:rPr>
                <w:rtl/>
              </w:rPr>
              <w:t>.</w:t>
            </w:r>
          </w:p>
        </w:tc>
      </w:tr>
      <w:tr w:rsidR="008F47D1" w:rsidTr="008F47D1">
        <w:tc>
          <w:tcPr>
            <w:tcW w:w="4261" w:type="dxa"/>
          </w:tcPr>
          <w:p w:rsidR="008F47D1" w:rsidRDefault="008F47D1" w:rsidP="000C39D1">
            <w:pPr>
              <w:pStyle w:val="libFootnote0"/>
              <w:rPr>
                <w:rtl/>
              </w:rPr>
            </w:pPr>
            <w:r>
              <w:rPr>
                <w:rtl/>
              </w:rPr>
              <w:t>(13)</w:t>
            </w:r>
            <w:r w:rsidRPr="00132E65">
              <w:rPr>
                <w:rtl/>
              </w:rPr>
              <w:t xml:space="preserve"> في الإرشاد والبحار :</w:t>
            </w:r>
            <w:r>
              <w:rPr>
                <w:rtl/>
              </w:rPr>
              <w:t xml:space="preserve"> + </w:t>
            </w:r>
            <w:r w:rsidRPr="00132E65">
              <w:rPr>
                <w:rtl/>
              </w:rPr>
              <w:t>« بعد ذلك »</w:t>
            </w:r>
            <w:r>
              <w:rPr>
                <w:rtl/>
              </w:rPr>
              <w:t>.</w:t>
            </w:r>
          </w:p>
        </w:tc>
        <w:tc>
          <w:tcPr>
            <w:tcW w:w="4262" w:type="dxa"/>
          </w:tcPr>
          <w:p w:rsidR="008F47D1" w:rsidRDefault="008F47D1" w:rsidP="000C39D1">
            <w:pPr>
              <w:pStyle w:val="libFootnote0"/>
              <w:rPr>
                <w:rtl/>
              </w:rPr>
            </w:pPr>
            <w:r>
              <w:rPr>
                <w:rtl/>
              </w:rPr>
              <w:t>(14)</w:t>
            </w:r>
            <w:r w:rsidRPr="00132E65">
              <w:rPr>
                <w:rtl/>
              </w:rPr>
              <w:t xml:space="preserve"> يجوز فيه المعلوم والمجهول.</w:t>
            </w:r>
          </w:p>
        </w:tc>
      </w:tr>
    </w:tbl>
    <w:p w:rsidR="000C39D1" w:rsidRPr="00132E65" w:rsidRDefault="000C39D1" w:rsidP="00717C80">
      <w:pPr>
        <w:pStyle w:val="libFootnote0"/>
        <w:rPr>
          <w:rtl/>
          <w:lang w:bidi="fa-IR"/>
        </w:rPr>
      </w:pPr>
      <w:r>
        <w:rPr>
          <w:rtl/>
        </w:rPr>
        <w:t>(15)</w:t>
      </w:r>
      <w:r w:rsidRPr="00132E65">
        <w:rPr>
          <w:rtl/>
        </w:rPr>
        <w:t xml:space="preserve"> </w:t>
      </w:r>
      <w:r w:rsidRPr="005C7539">
        <w:rPr>
          <w:rtl/>
        </w:rPr>
        <w:t>الإرشاد</w:t>
      </w:r>
      <w:r w:rsidRPr="00132E65">
        <w:rPr>
          <w:rtl/>
        </w:rPr>
        <w:t xml:space="preserve"> ، ج 2 ، ص 356 ، عن محمّد بن أبي عبد الله السيّاري</w:t>
      </w:r>
      <w:r w:rsidR="00717C80">
        <w:rPr>
          <w:rFonts w:hint="cs"/>
          <w:rtl/>
        </w:rPr>
        <w:t>.</w:t>
      </w:r>
      <w:r w:rsidRPr="009D1ACE">
        <w:rPr>
          <w:rStyle w:val="libFootnoteBoldChar"/>
          <w:rtl/>
        </w:rPr>
        <w:t>الوافي</w:t>
      </w:r>
      <w:r w:rsidRPr="00132E65">
        <w:rPr>
          <w:rtl/>
        </w:rPr>
        <w:t xml:space="preserve"> ، ج 3 ، ص 869 ، ح 1488 ؛ </w:t>
      </w:r>
      <w:r w:rsidRPr="005C7539">
        <w:rPr>
          <w:rtl/>
        </w:rPr>
        <w:t>البحار</w:t>
      </w:r>
      <w:r w:rsidRPr="00132E65">
        <w:rPr>
          <w:rtl/>
        </w:rPr>
        <w:t xml:space="preserve"> ، ج 51 ، ص 297 ، ح 12.</w:t>
      </w:r>
      <w:r w:rsidR="0006034E">
        <w:rPr>
          <w:rFonts w:hint="cs"/>
          <w:rtl/>
        </w:rPr>
        <w:t xml:space="preserve">                  </w:t>
      </w:r>
      <w:r w:rsidR="00717C80">
        <w:rPr>
          <w:rFonts w:hint="cs"/>
          <w:rtl/>
        </w:rPr>
        <w:t xml:space="preserve">                </w:t>
      </w:r>
      <w:r>
        <w:rPr>
          <w:rtl/>
        </w:rPr>
        <w:t>(16)</w:t>
      </w:r>
      <w:r w:rsidRPr="00132E65">
        <w:rPr>
          <w:rtl/>
        </w:rPr>
        <w:t xml:space="preserve"> في « بس ، بف » : « الخرّاز »</w:t>
      </w:r>
      <w:r>
        <w:rPr>
          <w:rtl/>
        </w:rPr>
        <w:t>.</w:t>
      </w:r>
    </w:p>
    <w:p w:rsidR="000C39D1" w:rsidRPr="00132E65" w:rsidRDefault="000C39D1" w:rsidP="000C39D1">
      <w:pPr>
        <w:pStyle w:val="libFootnote0"/>
        <w:rPr>
          <w:rtl/>
          <w:lang w:bidi="fa-IR"/>
        </w:rPr>
      </w:pPr>
      <w:r>
        <w:rPr>
          <w:rtl/>
        </w:rPr>
        <w:t>(17)</w:t>
      </w:r>
      <w:r w:rsidRPr="00132E65">
        <w:rPr>
          <w:rtl/>
        </w:rPr>
        <w:t xml:space="preserve"> في « بف » : « المديني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مُحَمَّدٍ أَبِي جَعْفَرٍ </w:t>
      </w:r>
      <w:r w:rsidRPr="00071CF9">
        <w:rPr>
          <w:rStyle w:val="libAlaemChar"/>
          <w:rtl/>
        </w:rPr>
        <w:t>عليه‌السلام</w:t>
      </w:r>
      <w:r>
        <w:rPr>
          <w:rtl/>
          <w:lang w:bidi="fa-IR"/>
        </w:rPr>
        <w:t xml:space="preserve"> - </w:t>
      </w:r>
      <w:r w:rsidRPr="00132E65">
        <w:rPr>
          <w:rtl/>
          <w:lang w:bidi="fa-IR"/>
        </w:rPr>
        <w:t>قَالَ :</w:t>
      </w:r>
    </w:p>
    <w:p w:rsidR="000C39D1" w:rsidRPr="00132E65" w:rsidRDefault="000C39D1" w:rsidP="00C525C9">
      <w:pPr>
        <w:pStyle w:val="libNormal"/>
        <w:rPr>
          <w:rtl/>
          <w:lang w:bidi="fa-IR"/>
        </w:rPr>
      </w:pPr>
      <w:r w:rsidRPr="00132E65">
        <w:rPr>
          <w:rtl/>
          <w:lang w:bidi="fa-IR"/>
        </w:rPr>
        <w:t xml:space="preserve">إِنَّ قَوْماً مِنْ أَهْلِ </w:t>
      </w:r>
      <w:r>
        <w:rPr>
          <w:rStyle w:val="libFootnotenumChar"/>
          <w:rtl/>
        </w:rPr>
        <w:t>(1)</w:t>
      </w:r>
      <w:r w:rsidRPr="00132E65">
        <w:rPr>
          <w:rtl/>
          <w:lang w:bidi="fa-IR"/>
        </w:rPr>
        <w:t xml:space="preserve"> الْمَدِينَةِ مِنَ الطَّالِبِيِّينَ </w:t>
      </w:r>
      <w:r>
        <w:rPr>
          <w:rStyle w:val="libFootnotenumChar"/>
          <w:rtl/>
        </w:rPr>
        <w:t>(2)</w:t>
      </w:r>
      <w:r w:rsidRPr="00132E65">
        <w:rPr>
          <w:rtl/>
          <w:lang w:bidi="fa-IR"/>
        </w:rPr>
        <w:t xml:space="preserve"> كَانُوا يَقُولُونَ بِالْحَقِّ ، و</w:t>
      </w:r>
      <w:r w:rsidR="00C525C9">
        <w:rPr>
          <w:rFonts w:hint="cs"/>
          <w:rtl/>
          <w:lang w:bidi="fa-IR"/>
        </w:rPr>
        <w:t>َ</w:t>
      </w:r>
      <w:r w:rsidRPr="00132E65">
        <w:rPr>
          <w:rtl/>
          <w:lang w:bidi="fa-IR"/>
        </w:rPr>
        <w:t xml:space="preserve">كَانَتِ </w:t>
      </w:r>
      <w:r>
        <w:rPr>
          <w:rStyle w:val="libFootnotenumChar"/>
          <w:rtl/>
        </w:rPr>
        <w:t>(3)</w:t>
      </w:r>
      <w:r w:rsidRPr="00132E65">
        <w:rPr>
          <w:rtl/>
          <w:lang w:bidi="fa-IR"/>
        </w:rPr>
        <w:t xml:space="preserve"> الْوَظَائِفُ </w:t>
      </w:r>
      <w:r>
        <w:rPr>
          <w:rStyle w:val="libFootnotenumChar"/>
          <w:rtl/>
        </w:rPr>
        <w:t>(4)</w:t>
      </w:r>
      <w:r w:rsidRPr="00132E65">
        <w:rPr>
          <w:rtl/>
          <w:lang w:bidi="fa-IR"/>
        </w:rPr>
        <w:t xml:space="preserve"> تَرِدُ عَلَيْهِمْ فِي و</w:t>
      </w:r>
      <w:r w:rsidR="00C525C9">
        <w:rPr>
          <w:rFonts w:hint="cs"/>
          <w:rtl/>
          <w:lang w:bidi="fa-IR"/>
        </w:rPr>
        <w:t>َ</w:t>
      </w:r>
      <w:r w:rsidRPr="00132E65">
        <w:rPr>
          <w:rtl/>
          <w:lang w:bidi="fa-IR"/>
        </w:rPr>
        <w:t xml:space="preserve">قْتٍ مَعْلُومٍ ، فَلَمَّا مَضى أَبُو مُحَمَّدٍ </w:t>
      </w:r>
      <w:r w:rsidRPr="00071CF9">
        <w:rPr>
          <w:rStyle w:val="libAlaemChar"/>
          <w:rtl/>
        </w:rPr>
        <w:t>عليه‌السلام</w:t>
      </w:r>
      <w:r w:rsidRPr="00132E65">
        <w:rPr>
          <w:rtl/>
          <w:lang w:bidi="fa-IR"/>
        </w:rPr>
        <w:t xml:space="preserve"> ، رَجَعَ قَوْمٌ مِنْهُمْ عَنِ </w:t>
      </w:r>
      <w:r>
        <w:rPr>
          <w:rStyle w:val="libFootnotenumChar"/>
          <w:rtl/>
        </w:rPr>
        <w:t>(5)</w:t>
      </w:r>
      <w:r w:rsidRPr="00132E65">
        <w:rPr>
          <w:rtl/>
          <w:lang w:bidi="fa-IR"/>
        </w:rPr>
        <w:t xml:space="preserve"> الْقَوْلِ بِالْوَلَدِ ، فَوَرَدَتِ الْوَظَائِفُ عَلى مَنْ ثَبَتَ مِنْهُمْ عَلَى الْقَوْلِ بِالْوَلَدِ </w:t>
      </w:r>
      <w:r>
        <w:rPr>
          <w:rStyle w:val="libFootnotenumChar"/>
          <w:rtl/>
        </w:rPr>
        <w:t>(6)</w:t>
      </w:r>
      <w:r w:rsidRPr="00132E65">
        <w:rPr>
          <w:rtl/>
          <w:lang w:bidi="fa-IR"/>
        </w:rPr>
        <w:t xml:space="preserve"> ، </w:t>
      </w:r>
      <w:r w:rsidR="00C525C9" w:rsidRPr="00132E65">
        <w:rPr>
          <w:rtl/>
          <w:lang w:bidi="fa-IR"/>
        </w:rPr>
        <w:t>و</w:t>
      </w:r>
      <w:r w:rsidR="00C525C9">
        <w:rPr>
          <w:rFonts w:hint="cs"/>
          <w:rtl/>
          <w:lang w:bidi="fa-IR"/>
        </w:rPr>
        <w:t>َ</w:t>
      </w:r>
      <w:r w:rsidRPr="00132E65">
        <w:rPr>
          <w:rtl/>
          <w:lang w:bidi="fa-IR"/>
        </w:rPr>
        <w:t xml:space="preserve">قُطِعَ </w:t>
      </w:r>
      <w:r>
        <w:rPr>
          <w:rStyle w:val="libFootnotenumChar"/>
          <w:rtl/>
        </w:rPr>
        <w:t>(7)</w:t>
      </w:r>
      <w:r w:rsidRPr="00132E65">
        <w:rPr>
          <w:rtl/>
          <w:lang w:bidi="fa-IR"/>
        </w:rPr>
        <w:t xml:space="preserve"> عَنِ الْبَاقِينَ ، فَلَا يُذْكَرُونَ فِي الذَّاكِرِينَ ، </w:t>
      </w:r>
      <w:r w:rsidR="00C525C9" w:rsidRPr="00132E65">
        <w:rPr>
          <w:rtl/>
          <w:lang w:bidi="fa-IR"/>
        </w:rPr>
        <w:t>و</w:t>
      </w:r>
      <w:r w:rsidR="00C525C9">
        <w:rPr>
          <w:rFonts w:hint="cs"/>
          <w:rtl/>
          <w:lang w:bidi="fa-IR"/>
        </w:rPr>
        <w:t>َ</w:t>
      </w:r>
      <w:r w:rsidRPr="00132E65">
        <w:rPr>
          <w:rtl/>
          <w:lang w:bidi="fa-IR"/>
        </w:rPr>
        <w:t xml:space="preserve">الْحَمْدُ لِلّهِ رَبِّ الْعَالَمِينَ. </w:t>
      </w:r>
      <w:r>
        <w:rPr>
          <w:rStyle w:val="libFootnotenumChar"/>
          <w:rtl/>
        </w:rPr>
        <w:t>(8)</w:t>
      </w:r>
    </w:p>
    <w:p w:rsidR="000C39D1" w:rsidRPr="00132E65" w:rsidRDefault="000C39D1" w:rsidP="000C39D1">
      <w:pPr>
        <w:pStyle w:val="libNormal"/>
        <w:rPr>
          <w:rtl/>
          <w:lang w:bidi="fa-IR"/>
        </w:rPr>
      </w:pPr>
      <w:r w:rsidRPr="005C7539">
        <w:rPr>
          <w:rtl/>
        </w:rPr>
        <w:t>1364</w:t>
      </w:r>
      <w:r w:rsidRPr="004325D8">
        <w:rPr>
          <w:rStyle w:val="libBold2Char"/>
          <w:rtl/>
        </w:rPr>
        <w:t xml:space="preserve"> / 8.</w:t>
      </w:r>
      <w:r w:rsidRPr="00132E65">
        <w:rPr>
          <w:rtl/>
          <w:lang w:bidi="fa-IR"/>
        </w:rPr>
        <w:t xml:space="preserve"> عَلِيُّ بْنُ مُحَمَّدٍ قَالَ :</w:t>
      </w:r>
    </w:p>
    <w:p w:rsidR="000C39D1" w:rsidRPr="00132E65" w:rsidRDefault="000C39D1" w:rsidP="00C525C9">
      <w:pPr>
        <w:pStyle w:val="libNormal"/>
        <w:rPr>
          <w:rtl/>
          <w:lang w:bidi="fa-IR"/>
        </w:rPr>
      </w:pPr>
      <w:r w:rsidRPr="00132E65">
        <w:rPr>
          <w:rtl/>
          <w:lang w:bidi="fa-IR"/>
        </w:rPr>
        <w:t xml:space="preserve">أَوْصَلَ رَجُلٌ مِنْ أَهْلِ السَّوَادِ مَالاً ، فَرُدَّ عَلَيْهِ ، </w:t>
      </w:r>
      <w:r w:rsidR="00C525C9" w:rsidRPr="00132E65">
        <w:rPr>
          <w:rtl/>
          <w:lang w:bidi="fa-IR"/>
        </w:rPr>
        <w:t>و</w:t>
      </w:r>
      <w:r w:rsidR="00C525C9">
        <w:rPr>
          <w:rFonts w:hint="cs"/>
          <w:rtl/>
          <w:lang w:bidi="fa-IR"/>
        </w:rPr>
        <w:t>َ</w:t>
      </w:r>
      <w:r w:rsidRPr="00132E65">
        <w:rPr>
          <w:rtl/>
          <w:lang w:bidi="fa-IR"/>
        </w:rPr>
        <w:t>قِيلَ لَهُ : أَخْرِجْ حَقَّ و</w:t>
      </w:r>
      <w:r w:rsidR="00C525C9">
        <w:rPr>
          <w:rFonts w:hint="cs"/>
          <w:rtl/>
          <w:lang w:bidi="fa-IR"/>
        </w:rPr>
        <w:t>ُ</w:t>
      </w:r>
      <w:r w:rsidRPr="00132E65">
        <w:rPr>
          <w:rtl/>
          <w:lang w:bidi="fa-IR"/>
        </w:rPr>
        <w:t>لْدِ عَمِّكَ مِنْهُ</w:t>
      </w:r>
      <w:r>
        <w:rPr>
          <w:rtl/>
          <w:lang w:bidi="fa-IR"/>
        </w:rPr>
        <w:t xml:space="preserve"> - </w:t>
      </w:r>
      <w:r w:rsidR="00C525C9" w:rsidRPr="00132E65">
        <w:rPr>
          <w:rtl/>
          <w:lang w:bidi="fa-IR"/>
        </w:rPr>
        <w:t>و</w:t>
      </w:r>
      <w:r w:rsidR="00C525C9">
        <w:rPr>
          <w:rFonts w:hint="cs"/>
          <w:rtl/>
          <w:lang w:bidi="fa-IR"/>
        </w:rPr>
        <w:t>َ</w:t>
      </w:r>
      <w:r w:rsidRPr="00132E65">
        <w:rPr>
          <w:rtl/>
          <w:lang w:bidi="fa-IR"/>
        </w:rPr>
        <w:t>هُوَ أَرْبَعُمِائَةِ دِرْهَمٍ</w:t>
      </w:r>
      <w:r>
        <w:rPr>
          <w:rtl/>
          <w:lang w:bidi="fa-IR"/>
        </w:rPr>
        <w:t xml:space="preserve"> - </w:t>
      </w:r>
      <w:r w:rsidR="00C525C9" w:rsidRPr="00132E65">
        <w:rPr>
          <w:rtl/>
          <w:lang w:bidi="fa-IR"/>
        </w:rPr>
        <w:t>و</w:t>
      </w:r>
      <w:r w:rsidR="00C525C9">
        <w:rPr>
          <w:rFonts w:hint="cs"/>
          <w:rtl/>
          <w:lang w:bidi="fa-IR"/>
        </w:rPr>
        <w:t>َ</w:t>
      </w:r>
      <w:r w:rsidRPr="00132E65">
        <w:rPr>
          <w:rtl/>
          <w:lang w:bidi="fa-IR"/>
        </w:rPr>
        <w:t xml:space="preserve">كَانَ </w:t>
      </w:r>
      <w:r>
        <w:rPr>
          <w:rStyle w:val="libFootnotenumChar"/>
          <w:rtl/>
        </w:rPr>
        <w:t>(9)</w:t>
      </w:r>
      <w:r w:rsidRPr="00132E65">
        <w:rPr>
          <w:rtl/>
          <w:lang w:bidi="fa-IR"/>
        </w:rPr>
        <w:t xml:space="preserve"> الرَّجُلُ فِي يَدِهِ ضَيْعَةٌ لِوُلْدِ عَمِّهِ ، فِيهَا شِرْكَةٌ قَدْ </w:t>
      </w:r>
      <w:r>
        <w:rPr>
          <w:rStyle w:val="libFootnotenumChar"/>
          <w:rtl/>
        </w:rPr>
        <w:t>(10)</w:t>
      </w:r>
      <w:r w:rsidRPr="00132E65">
        <w:rPr>
          <w:rtl/>
          <w:lang w:bidi="fa-IR"/>
        </w:rPr>
        <w:t xml:space="preserve"> حَبَسَهَا عَلَيْهِمْ </w:t>
      </w:r>
      <w:r>
        <w:rPr>
          <w:rStyle w:val="libFootnotenumChar"/>
          <w:rtl/>
        </w:rPr>
        <w:t>(11)</w:t>
      </w:r>
      <w:r w:rsidRPr="00132E65">
        <w:rPr>
          <w:rtl/>
          <w:lang w:bidi="fa-IR"/>
        </w:rPr>
        <w:t xml:space="preserve"> ، فَنَظَرَ فَإِذَا الَّذِي لِوُلْدِ عَمِّهِ مِنْ ذلِكَ الْمَالِ أَرْبَعُمِائَةِ دِرْهَمٍ ؛ فَأَخْرَجَهَا ، </w:t>
      </w:r>
      <w:r w:rsidR="00C525C9" w:rsidRPr="00132E65">
        <w:rPr>
          <w:rtl/>
          <w:lang w:bidi="fa-IR"/>
        </w:rPr>
        <w:t>و</w:t>
      </w:r>
      <w:r w:rsidR="00C525C9">
        <w:rPr>
          <w:rFonts w:hint="cs"/>
          <w:rtl/>
          <w:lang w:bidi="fa-IR"/>
        </w:rPr>
        <w:t>َ</w:t>
      </w:r>
      <w:r w:rsidRPr="00132E65">
        <w:rPr>
          <w:rtl/>
          <w:lang w:bidi="fa-IR"/>
        </w:rPr>
        <w:t xml:space="preserve">أَنْفَذَ الْبَاقِيَ ، فَقُبِلَ </w:t>
      </w:r>
      <w:r>
        <w:rPr>
          <w:rStyle w:val="libFootnotenumChar"/>
          <w:rtl/>
        </w:rPr>
        <w:t>(12)</w:t>
      </w:r>
      <w:r w:rsidR="00C525C9">
        <w:rPr>
          <w:rFonts w:hint="cs"/>
          <w:rtl/>
          <w:lang w:bidi="fa-IR"/>
        </w:rPr>
        <w:t>.</w:t>
      </w:r>
      <w:r w:rsidRPr="00F543F1">
        <w:rPr>
          <w:rStyle w:val="libFootnotenumChar"/>
          <w:rtl/>
        </w:rPr>
        <w:t>(13)</w:t>
      </w:r>
    </w:p>
    <w:p w:rsidR="000C39D1" w:rsidRPr="00132E65" w:rsidRDefault="000C39D1" w:rsidP="000C39D1">
      <w:pPr>
        <w:pStyle w:val="libNormal"/>
        <w:rPr>
          <w:rtl/>
          <w:lang w:bidi="fa-IR"/>
        </w:rPr>
      </w:pPr>
      <w:r w:rsidRPr="005C7539">
        <w:rPr>
          <w:rtl/>
        </w:rPr>
        <w:t>1365</w:t>
      </w:r>
      <w:r w:rsidRPr="004325D8">
        <w:rPr>
          <w:rStyle w:val="libBold2Char"/>
          <w:rtl/>
        </w:rPr>
        <w:t xml:space="preserve"> / 9.</w:t>
      </w:r>
      <w:r w:rsidRPr="00132E65">
        <w:rPr>
          <w:rtl/>
          <w:lang w:bidi="fa-IR"/>
        </w:rPr>
        <w:t xml:space="preserve"> الْقَاسِمُ بْنُ الْعَلَاءِ قَالَ :</w:t>
      </w:r>
    </w:p>
    <w:p w:rsidR="000C39D1" w:rsidRPr="00132E65" w:rsidRDefault="000C39D1" w:rsidP="003300DE">
      <w:pPr>
        <w:pStyle w:val="libNormal"/>
        <w:rPr>
          <w:rtl/>
          <w:lang w:bidi="fa-IR"/>
        </w:rPr>
      </w:pPr>
      <w:r w:rsidRPr="00132E65">
        <w:rPr>
          <w:rtl/>
          <w:lang w:bidi="fa-IR"/>
        </w:rPr>
        <w:t xml:space="preserve">وُلِدَ لِي عِدَّةُ بَنِينَ ، فَكُنْتُ أَكْتُبُ </w:t>
      </w:r>
      <w:r w:rsidR="003300DE" w:rsidRPr="00132E65">
        <w:rPr>
          <w:rtl/>
          <w:lang w:bidi="fa-IR"/>
        </w:rPr>
        <w:t>و</w:t>
      </w:r>
      <w:r w:rsidR="003300DE">
        <w:rPr>
          <w:rFonts w:hint="cs"/>
          <w:rtl/>
          <w:lang w:bidi="fa-IR"/>
        </w:rPr>
        <w:t>َ</w:t>
      </w:r>
      <w:r w:rsidRPr="00132E65">
        <w:rPr>
          <w:rtl/>
          <w:lang w:bidi="fa-IR"/>
        </w:rPr>
        <w:t xml:space="preserve">أَسْأَلُ الدُّعَاءَ </w:t>
      </w:r>
      <w:r w:rsidRPr="00F543F1">
        <w:rPr>
          <w:rStyle w:val="libFootnotenumChar"/>
          <w:rtl/>
        </w:rPr>
        <w:t>(14)</w:t>
      </w:r>
      <w:r w:rsidRPr="00132E65">
        <w:rPr>
          <w:rtl/>
          <w:lang w:bidi="fa-IR"/>
        </w:rPr>
        <w:t xml:space="preserve"> ، فَلَا يُكْتَبُ </w:t>
      </w:r>
      <w:r w:rsidRPr="00F543F1">
        <w:rPr>
          <w:rStyle w:val="libFootnotenumChar"/>
          <w:rtl/>
        </w:rPr>
        <w:t>(15)</w:t>
      </w:r>
      <w:r w:rsidRPr="00132E65">
        <w:rPr>
          <w:rtl/>
          <w:lang w:bidi="fa-IR"/>
        </w:rPr>
        <w:t xml:space="preserve"> إِلَيَّ لَهُمْ </w:t>
      </w:r>
      <w:r w:rsidRPr="00F543F1">
        <w:rPr>
          <w:rStyle w:val="libFootnotenumChar"/>
          <w:rtl/>
        </w:rPr>
        <w:t>(16)</w:t>
      </w:r>
      <w:r w:rsidRPr="00132E65">
        <w:rPr>
          <w:rtl/>
          <w:lang w:bidi="fa-IR"/>
        </w:rPr>
        <w:t xml:space="preserve"> بِشَيْ‌ءٍ </w:t>
      </w:r>
      <w:r w:rsidRPr="00F543F1">
        <w:rPr>
          <w:rStyle w:val="libFootnotenumChar"/>
          <w:rtl/>
        </w:rPr>
        <w:t>(17)</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3300DE" w:rsidTr="003300DE">
        <w:tc>
          <w:tcPr>
            <w:tcW w:w="4261" w:type="dxa"/>
          </w:tcPr>
          <w:p w:rsidR="003300DE" w:rsidRDefault="003300DE" w:rsidP="000C39D1">
            <w:pPr>
              <w:pStyle w:val="libFootnote0"/>
              <w:rPr>
                <w:rtl/>
              </w:rPr>
            </w:pPr>
            <w:r>
              <w:rPr>
                <w:rtl/>
              </w:rPr>
              <w:t>(1).</w:t>
            </w:r>
            <w:r w:rsidRPr="00132E65">
              <w:rPr>
                <w:rtl/>
              </w:rPr>
              <w:t xml:space="preserve"> في « بر » </w:t>
            </w:r>
            <w:r>
              <w:rPr>
                <w:rtl/>
              </w:rPr>
              <w:t xml:space="preserve">: - </w:t>
            </w:r>
            <w:r w:rsidRPr="00132E65">
              <w:rPr>
                <w:rtl/>
              </w:rPr>
              <w:t>« أهل »</w:t>
            </w:r>
            <w:r>
              <w:rPr>
                <w:rtl/>
              </w:rPr>
              <w:t>.</w:t>
            </w:r>
          </w:p>
        </w:tc>
        <w:tc>
          <w:tcPr>
            <w:tcW w:w="4262" w:type="dxa"/>
          </w:tcPr>
          <w:p w:rsidR="003300DE" w:rsidRDefault="003300DE" w:rsidP="000C39D1">
            <w:pPr>
              <w:pStyle w:val="libFootnote0"/>
              <w:rPr>
                <w:rtl/>
              </w:rPr>
            </w:pPr>
            <w:r>
              <w:rPr>
                <w:rtl/>
              </w:rPr>
              <w:t>(2).</w:t>
            </w:r>
            <w:r w:rsidRPr="00132E65">
              <w:rPr>
                <w:rtl/>
              </w:rPr>
              <w:t xml:space="preserve"> في البحار : « الطالبين »</w:t>
            </w:r>
            <w:r>
              <w:rPr>
                <w:rtl/>
              </w:rPr>
              <w:t>.</w:t>
            </w:r>
          </w:p>
        </w:tc>
      </w:tr>
    </w:tbl>
    <w:p w:rsidR="000C39D1" w:rsidRPr="00132E65" w:rsidRDefault="000C39D1" w:rsidP="000C39D1">
      <w:pPr>
        <w:pStyle w:val="libFootnote0"/>
        <w:rPr>
          <w:rtl/>
          <w:lang w:bidi="fa-IR"/>
        </w:rPr>
      </w:pPr>
      <w:r>
        <w:rPr>
          <w:rtl/>
        </w:rPr>
        <w:t>(3).</w:t>
      </w:r>
      <w:r w:rsidRPr="00132E65">
        <w:rPr>
          <w:rtl/>
        </w:rPr>
        <w:t xml:space="preserve"> في « ب ، ج ، ض ، ف ، بح ، بس » والبحار : « فكانت »</w:t>
      </w:r>
      <w:r>
        <w:rPr>
          <w:rtl/>
        </w:rPr>
        <w:t>.</w:t>
      </w:r>
    </w:p>
    <w:p w:rsidR="000C39D1" w:rsidRPr="00132E65" w:rsidRDefault="000C39D1" w:rsidP="000C39D1">
      <w:pPr>
        <w:pStyle w:val="libFootnote0"/>
        <w:rPr>
          <w:rtl/>
          <w:lang w:bidi="fa-IR"/>
        </w:rPr>
      </w:pPr>
      <w:r>
        <w:rPr>
          <w:rtl/>
        </w:rPr>
        <w:t>(4).</w:t>
      </w:r>
      <w:r w:rsidRPr="00132E65">
        <w:rPr>
          <w:rtl/>
        </w:rPr>
        <w:t xml:space="preserve"> « الوظيفة » : ما يقدّر من عمل ورزقٍ وطعام وغير ذلك. </w:t>
      </w:r>
      <w:r w:rsidRPr="005C7539">
        <w:rPr>
          <w:rtl/>
        </w:rPr>
        <w:t>المصباح المنير</w:t>
      </w:r>
      <w:r w:rsidRPr="00132E65">
        <w:rPr>
          <w:rtl/>
        </w:rPr>
        <w:t xml:space="preserve"> ، ص 664 ( وظف )</w:t>
      </w:r>
      <w:r>
        <w:rPr>
          <w:rtl/>
        </w:rPr>
        <w:t>.</w:t>
      </w:r>
      <w:r w:rsidRPr="00132E65">
        <w:rPr>
          <w:rtl/>
        </w:rPr>
        <w:t xml:space="preserve"> والمراد هنا : المال.</w:t>
      </w:r>
    </w:p>
    <w:tbl>
      <w:tblPr>
        <w:tblStyle w:val="TableGrid"/>
        <w:bidiVisual/>
        <w:tblW w:w="0" w:type="auto"/>
        <w:tblLook w:val="04A0" w:firstRow="1" w:lastRow="0" w:firstColumn="1" w:lastColumn="0" w:noHBand="0" w:noVBand="1"/>
      </w:tblPr>
      <w:tblGrid>
        <w:gridCol w:w="4261"/>
        <w:gridCol w:w="4262"/>
      </w:tblGrid>
      <w:tr w:rsidR="00080531" w:rsidTr="00080531">
        <w:tc>
          <w:tcPr>
            <w:tcW w:w="4261" w:type="dxa"/>
          </w:tcPr>
          <w:p w:rsidR="00080531" w:rsidRDefault="00080531" w:rsidP="000C39D1">
            <w:pPr>
              <w:pStyle w:val="libFootnote0"/>
              <w:rPr>
                <w:rtl/>
              </w:rPr>
            </w:pPr>
            <w:r>
              <w:rPr>
                <w:rtl/>
              </w:rPr>
              <w:t>(5).</w:t>
            </w:r>
            <w:r w:rsidRPr="00132E65">
              <w:rPr>
                <w:rtl/>
              </w:rPr>
              <w:t xml:space="preserve"> في « بر » : « من »</w:t>
            </w:r>
            <w:r>
              <w:rPr>
                <w:rtl/>
              </w:rPr>
              <w:t>.</w:t>
            </w:r>
          </w:p>
        </w:tc>
        <w:tc>
          <w:tcPr>
            <w:tcW w:w="4262" w:type="dxa"/>
          </w:tcPr>
          <w:p w:rsidR="00080531" w:rsidRDefault="00080531" w:rsidP="000C39D1">
            <w:pPr>
              <w:pStyle w:val="libFootnote0"/>
              <w:rPr>
                <w:rtl/>
              </w:rPr>
            </w:pPr>
            <w:r>
              <w:rPr>
                <w:rtl/>
              </w:rPr>
              <w:t>(6).</w:t>
            </w:r>
            <w:r w:rsidRPr="00132E65">
              <w:rPr>
                <w:rtl/>
              </w:rPr>
              <w:t xml:space="preserve"> في « ف » : « بالقول على الولد »</w:t>
            </w:r>
            <w:r>
              <w:rPr>
                <w:rtl/>
              </w:rPr>
              <w:t>.</w:t>
            </w:r>
          </w:p>
        </w:tc>
      </w:tr>
    </w:tbl>
    <w:p w:rsidR="000C39D1" w:rsidRPr="00132E65" w:rsidRDefault="000C39D1" w:rsidP="000C39D1">
      <w:pPr>
        <w:pStyle w:val="libFootnote0"/>
        <w:rPr>
          <w:rtl/>
          <w:lang w:bidi="fa-IR"/>
        </w:rPr>
      </w:pPr>
      <w:r>
        <w:rPr>
          <w:rtl/>
        </w:rPr>
        <w:t>(7).</w:t>
      </w:r>
      <w:r w:rsidRPr="00132E65">
        <w:rPr>
          <w:rtl/>
        </w:rPr>
        <w:t xml:space="preserve"> في « ف » : « قطعت » ، أي الوظائف ، وهو الصحيح ، أو كون « قطع » معلوماً بحذف المفعول.</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3 ، ص 870 ، ح 1490 ؛ </w:t>
      </w:r>
      <w:r w:rsidRPr="005C7539">
        <w:rPr>
          <w:rtl/>
        </w:rPr>
        <w:t>البحار</w:t>
      </w:r>
      <w:r w:rsidRPr="00132E65">
        <w:rPr>
          <w:rtl/>
        </w:rPr>
        <w:t xml:space="preserve"> ، ج 51 ، ص 309 ، ح 26.</w:t>
      </w:r>
    </w:p>
    <w:tbl>
      <w:tblPr>
        <w:tblStyle w:val="TableGrid"/>
        <w:bidiVisual/>
        <w:tblW w:w="0" w:type="auto"/>
        <w:tblLook w:val="04A0" w:firstRow="1" w:lastRow="0" w:firstColumn="1" w:lastColumn="0" w:noHBand="0" w:noVBand="1"/>
      </w:tblPr>
      <w:tblGrid>
        <w:gridCol w:w="4261"/>
        <w:gridCol w:w="4262"/>
      </w:tblGrid>
      <w:tr w:rsidR="00A84B4A" w:rsidTr="00A84B4A">
        <w:tc>
          <w:tcPr>
            <w:tcW w:w="4261" w:type="dxa"/>
          </w:tcPr>
          <w:p w:rsidR="00A84B4A" w:rsidRDefault="00A84B4A" w:rsidP="000C39D1">
            <w:pPr>
              <w:pStyle w:val="libFootnote0"/>
              <w:rPr>
                <w:rtl/>
              </w:rPr>
            </w:pPr>
            <w:r>
              <w:rPr>
                <w:rtl/>
              </w:rPr>
              <w:t>(9).</w:t>
            </w:r>
            <w:r w:rsidRPr="00132E65">
              <w:rPr>
                <w:rtl/>
              </w:rPr>
              <w:t xml:space="preserve"> في « ج ، ف ، بس » : « فكان »</w:t>
            </w:r>
            <w:r>
              <w:rPr>
                <w:rtl/>
              </w:rPr>
              <w:t>.</w:t>
            </w:r>
          </w:p>
        </w:tc>
        <w:tc>
          <w:tcPr>
            <w:tcW w:w="4262" w:type="dxa"/>
          </w:tcPr>
          <w:p w:rsidR="00A84B4A" w:rsidRDefault="00A84B4A" w:rsidP="000C39D1">
            <w:pPr>
              <w:pStyle w:val="libFootnote0"/>
              <w:rPr>
                <w:rtl/>
              </w:rPr>
            </w:pPr>
            <w:r>
              <w:rPr>
                <w:rtl/>
              </w:rPr>
              <w:t>(10).</w:t>
            </w:r>
            <w:r w:rsidRPr="00132E65">
              <w:rPr>
                <w:rtl/>
              </w:rPr>
              <w:t xml:space="preserve"> في « بس » : « وقد »</w:t>
            </w:r>
            <w:r>
              <w:rPr>
                <w:rtl/>
              </w:rPr>
              <w:t>.</w:t>
            </w:r>
          </w:p>
        </w:tc>
      </w:tr>
      <w:tr w:rsidR="00A84B4A" w:rsidTr="00A84B4A">
        <w:tc>
          <w:tcPr>
            <w:tcW w:w="4261" w:type="dxa"/>
          </w:tcPr>
          <w:p w:rsidR="00A84B4A" w:rsidRDefault="00A84B4A" w:rsidP="000C39D1">
            <w:pPr>
              <w:pStyle w:val="libFootnote0"/>
              <w:rPr>
                <w:rtl/>
              </w:rPr>
            </w:pPr>
            <w:r>
              <w:rPr>
                <w:rtl/>
              </w:rPr>
              <w:t>(11).</w:t>
            </w:r>
            <w:r w:rsidRPr="00132E65">
              <w:rPr>
                <w:rtl/>
              </w:rPr>
              <w:t xml:space="preserve"> في الإرشاد : « عنهم »</w:t>
            </w:r>
            <w:r>
              <w:rPr>
                <w:rtl/>
              </w:rPr>
              <w:t>.</w:t>
            </w:r>
          </w:p>
        </w:tc>
        <w:tc>
          <w:tcPr>
            <w:tcW w:w="4262" w:type="dxa"/>
          </w:tcPr>
          <w:p w:rsidR="00A84B4A" w:rsidRDefault="00A84B4A" w:rsidP="000C39D1">
            <w:pPr>
              <w:pStyle w:val="libFootnote0"/>
              <w:rPr>
                <w:rtl/>
              </w:rPr>
            </w:pPr>
            <w:r>
              <w:rPr>
                <w:rtl/>
              </w:rPr>
              <w:t>(12).</w:t>
            </w:r>
            <w:r w:rsidRPr="00132E65">
              <w:rPr>
                <w:rtl/>
              </w:rPr>
              <w:t xml:space="preserve"> يجوز فيه المعلوم والمجهول.</w:t>
            </w:r>
          </w:p>
        </w:tc>
      </w:tr>
    </w:tbl>
    <w:p w:rsidR="000C39D1" w:rsidRPr="00132E65" w:rsidRDefault="000C39D1" w:rsidP="009529C9">
      <w:pPr>
        <w:pStyle w:val="libFootnote0"/>
        <w:rPr>
          <w:rtl/>
          <w:lang w:bidi="fa-IR"/>
        </w:rPr>
      </w:pPr>
      <w:r>
        <w:rPr>
          <w:rtl/>
        </w:rPr>
        <w:t>(13)</w:t>
      </w:r>
      <w:r w:rsidRPr="00132E65">
        <w:rPr>
          <w:rtl/>
        </w:rPr>
        <w:t xml:space="preserve"> </w:t>
      </w:r>
      <w:r w:rsidRPr="005C7539">
        <w:rPr>
          <w:rtl/>
        </w:rPr>
        <w:t>الإرشاد</w:t>
      </w:r>
      <w:r w:rsidRPr="00132E65">
        <w:rPr>
          <w:rtl/>
        </w:rPr>
        <w:t xml:space="preserve"> ، ج 2 ، ص 356 ، عن عليّ بن محمّد. وفي </w:t>
      </w:r>
      <w:r w:rsidRPr="005C7539">
        <w:rPr>
          <w:rtl/>
        </w:rPr>
        <w:t>كمال الدين</w:t>
      </w:r>
      <w:r w:rsidRPr="00132E65">
        <w:rPr>
          <w:rtl/>
        </w:rPr>
        <w:t xml:space="preserve"> ، ص 486 ، ح 6 ، بسند آخر ، مع اختلاف يسير</w:t>
      </w:r>
      <w:r w:rsidR="009529C9">
        <w:rPr>
          <w:rFonts w:hint="cs"/>
          <w:rtl/>
        </w:rPr>
        <w:t>.</w:t>
      </w:r>
      <w:r w:rsidRPr="009D1ACE">
        <w:rPr>
          <w:rStyle w:val="libFootnoteBoldChar"/>
          <w:rtl/>
        </w:rPr>
        <w:t>الوافي</w:t>
      </w:r>
      <w:r w:rsidRPr="00132E65">
        <w:rPr>
          <w:rtl/>
        </w:rPr>
        <w:t xml:space="preserve"> ، ج 3 ، ص 869 ، ح 1486.</w:t>
      </w:r>
      <w:r w:rsidR="0006034E">
        <w:rPr>
          <w:rFonts w:hint="cs"/>
          <w:rtl/>
        </w:rPr>
        <w:t xml:space="preserve">    </w:t>
      </w:r>
      <w:r w:rsidR="009529C9">
        <w:rPr>
          <w:rFonts w:hint="cs"/>
          <w:rtl/>
        </w:rPr>
        <w:t xml:space="preserve">            </w:t>
      </w:r>
      <w:r>
        <w:rPr>
          <w:rtl/>
        </w:rPr>
        <w:t>(14)</w:t>
      </w:r>
      <w:r w:rsidRPr="00132E65">
        <w:rPr>
          <w:rtl/>
        </w:rPr>
        <w:t xml:space="preserve"> في الإرشاد :</w:t>
      </w:r>
      <w:r>
        <w:rPr>
          <w:rtl/>
        </w:rPr>
        <w:t xml:space="preserve"> + </w:t>
      </w:r>
      <w:r w:rsidRPr="00132E65">
        <w:rPr>
          <w:rtl/>
        </w:rPr>
        <w:t>« لهم »</w:t>
      </w:r>
      <w:r>
        <w:rPr>
          <w:rtl/>
        </w:rPr>
        <w:t>.</w:t>
      </w:r>
    </w:p>
    <w:tbl>
      <w:tblPr>
        <w:tblStyle w:val="TableGrid"/>
        <w:bidiVisual/>
        <w:tblW w:w="0" w:type="auto"/>
        <w:tblLook w:val="04A0" w:firstRow="1" w:lastRow="0" w:firstColumn="1" w:lastColumn="0" w:noHBand="0" w:noVBand="1"/>
      </w:tblPr>
      <w:tblGrid>
        <w:gridCol w:w="4261"/>
        <w:gridCol w:w="4262"/>
      </w:tblGrid>
      <w:tr w:rsidR="009529C9" w:rsidTr="009529C9">
        <w:tc>
          <w:tcPr>
            <w:tcW w:w="4261" w:type="dxa"/>
          </w:tcPr>
          <w:p w:rsidR="009529C9" w:rsidRDefault="009529C9" w:rsidP="000C39D1">
            <w:pPr>
              <w:pStyle w:val="libFootnote0"/>
              <w:rPr>
                <w:rtl/>
              </w:rPr>
            </w:pPr>
            <w:r>
              <w:rPr>
                <w:rtl/>
              </w:rPr>
              <w:t>(15)</w:t>
            </w:r>
            <w:r w:rsidRPr="00132E65">
              <w:rPr>
                <w:rtl/>
              </w:rPr>
              <w:t xml:space="preserve"> في حاشية « ج » : « فلم يكتب »</w:t>
            </w:r>
            <w:r>
              <w:rPr>
                <w:rtl/>
              </w:rPr>
              <w:t>.</w:t>
            </w:r>
          </w:p>
        </w:tc>
        <w:tc>
          <w:tcPr>
            <w:tcW w:w="4262" w:type="dxa"/>
          </w:tcPr>
          <w:p w:rsidR="009529C9" w:rsidRDefault="009529C9" w:rsidP="000C39D1">
            <w:pPr>
              <w:pStyle w:val="libFootnote0"/>
              <w:rPr>
                <w:rtl/>
              </w:rPr>
            </w:pPr>
            <w:r>
              <w:rPr>
                <w:rtl/>
              </w:rPr>
              <w:t>(16)</w:t>
            </w:r>
            <w:r w:rsidRPr="00132E65">
              <w:rPr>
                <w:rtl/>
              </w:rPr>
              <w:t xml:space="preserve"> في الإرشاد </w:t>
            </w:r>
            <w:r>
              <w:rPr>
                <w:rtl/>
              </w:rPr>
              <w:t xml:space="preserve">: - </w:t>
            </w:r>
            <w:r w:rsidRPr="00132E65">
              <w:rPr>
                <w:rtl/>
              </w:rPr>
              <w:t>« لهم »</w:t>
            </w:r>
            <w:r>
              <w:rPr>
                <w:rtl/>
              </w:rPr>
              <w:t>.</w:t>
            </w:r>
          </w:p>
        </w:tc>
      </w:tr>
    </w:tbl>
    <w:p w:rsidR="000C39D1" w:rsidRPr="00132E65" w:rsidRDefault="000C39D1" w:rsidP="000C39D1">
      <w:pPr>
        <w:pStyle w:val="libFootnote0"/>
        <w:rPr>
          <w:rtl/>
          <w:lang w:bidi="fa-IR"/>
        </w:rPr>
      </w:pPr>
      <w:r>
        <w:rPr>
          <w:rtl/>
        </w:rPr>
        <w:t>(17)</w:t>
      </w:r>
      <w:r w:rsidRPr="00132E65">
        <w:rPr>
          <w:rtl/>
        </w:rPr>
        <w:t xml:space="preserve"> في الإرشاد :</w:t>
      </w:r>
      <w:r>
        <w:rPr>
          <w:rtl/>
        </w:rPr>
        <w:t xml:space="preserve"> + </w:t>
      </w:r>
      <w:r w:rsidRPr="00132E65">
        <w:rPr>
          <w:rtl/>
        </w:rPr>
        <w:t>« من أمرهم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فَمَاتُوا كُلُّهُمْ </w:t>
      </w:r>
      <w:r>
        <w:rPr>
          <w:rStyle w:val="libFootnotenumChar"/>
          <w:rtl/>
        </w:rPr>
        <w:t>(1)</w:t>
      </w:r>
      <w:r w:rsidRPr="00132E65">
        <w:rPr>
          <w:rtl/>
          <w:lang w:bidi="fa-IR"/>
        </w:rPr>
        <w:t xml:space="preserve"> ، فَلَمَّا و</w:t>
      </w:r>
      <w:r w:rsidR="006E268C">
        <w:rPr>
          <w:rFonts w:hint="cs"/>
          <w:rtl/>
          <w:lang w:bidi="fa-IR"/>
        </w:rPr>
        <w:t>ُ</w:t>
      </w:r>
      <w:r w:rsidRPr="00132E65">
        <w:rPr>
          <w:rtl/>
          <w:lang w:bidi="fa-IR"/>
        </w:rPr>
        <w:t xml:space="preserve">لِدَ لِيَ الْحَسَنُ </w:t>
      </w:r>
      <w:r>
        <w:rPr>
          <w:rStyle w:val="libFootnotenumChar"/>
          <w:rtl/>
        </w:rPr>
        <w:t>(2)</w:t>
      </w:r>
      <w:r w:rsidRPr="00132E65">
        <w:rPr>
          <w:rtl/>
          <w:lang w:bidi="fa-IR"/>
        </w:rPr>
        <w:t xml:space="preserve"> ابْنِي ، كَتَبْتُ أَسْأَلُ الدُّعَاءَ ، فَأُجِبْتُ : « يَبْقى </w:t>
      </w:r>
      <w:r>
        <w:rPr>
          <w:rStyle w:val="libFootnotenumChar"/>
          <w:rtl/>
        </w:rPr>
        <w:t>(3)</w:t>
      </w:r>
      <w:r w:rsidR="0006034E">
        <w:rPr>
          <w:rtl/>
          <w:lang w:bidi="fa-IR"/>
        </w:rPr>
        <w:t xml:space="preserve"> ، وَالْحَمْدُ لِلّهِ</w:t>
      </w:r>
      <w:r w:rsidRPr="00132E65">
        <w:rPr>
          <w:rtl/>
          <w:lang w:bidi="fa-IR"/>
        </w:rPr>
        <w:t>»</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5C7539">
        <w:rPr>
          <w:rtl/>
        </w:rPr>
        <w:t>1366</w:t>
      </w:r>
      <w:r w:rsidRPr="004325D8">
        <w:rPr>
          <w:rStyle w:val="libBold2Char"/>
          <w:rtl/>
        </w:rPr>
        <w:t xml:space="preserve"> / 10.</w:t>
      </w:r>
      <w:r w:rsidRPr="00132E65">
        <w:rPr>
          <w:rtl/>
          <w:lang w:bidi="fa-IR"/>
        </w:rPr>
        <w:t xml:space="preserve"> عَلِيُّ بْنُ مُحَمَّدٍ ، عَنْ أَبِي عَبْدِ اللهِ بْنِ صَالِحٍ ، قَالَ :</w:t>
      </w:r>
    </w:p>
    <w:p w:rsidR="000C39D1" w:rsidRPr="00132E65" w:rsidRDefault="000C39D1" w:rsidP="006E268C">
      <w:pPr>
        <w:pStyle w:val="libNormal"/>
        <w:rPr>
          <w:rtl/>
          <w:lang w:bidi="fa-IR"/>
        </w:rPr>
      </w:pPr>
      <w:r w:rsidRPr="00132E65">
        <w:rPr>
          <w:rtl/>
          <w:lang w:bidi="fa-IR"/>
        </w:rPr>
        <w:t xml:space="preserve">كُنْتُ </w:t>
      </w:r>
      <w:r>
        <w:rPr>
          <w:rStyle w:val="libFootnotenumChar"/>
          <w:rtl/>
        </w:rPr>
        <w:t>(5)</w:t>
      </w:r>
      <w:r w:rsidRPr="00132E65">
        <w:rPr>
          <w:rtl/>
          <w:lang w:bidi="fa-IR"/>
        </w:rPr>
        <w:t xml:space="preserve"> خَرَجْتُ </w:t>
      </w:r>
      <w:r>
        <w:rPr>
          <w:rStyle w:val="libFootnotenumChar"/>
          <w:rtl/>
        </w:rPr>
        <w:t>(6)</w:t>
      </w:r>
      <w:r w:rsidRPr="00132E65">
        <w:rPr>
          <w:rtl/>
          <w:lang w:bidi="fa-IR"/>
        </w:rPr>
        <w:t xml:space="preserve"> سَنَةً مِنَ السِّنِينَ بِبَغْدَادَ </w:t>
      </w:r>
      <w:r>
        <w:rPr>
          <w:rStyle w:val="libFootnotenumChar"/>
          <w:rtl/>
        </w:rPr>
        <w:t>(7)</w:t>
      </w:r>
      <w:r w:rsidRPr="00132E65">
        <w:rPr>
          <w:rtl/>
          <w:lang w:bidi="fa-IR"/>
        </w:rPr>
        <w:t xml:space="preserve"> ، فَاسْتَأْذَنْتُ </w:t>
      </w:r>
      <w:r>
        <w:rPr>
          <w:rStyle w:val="libFootnotenumChar"/>
          <w:rtl/>
        </w:rPr>
        <w:t>(8)</w:t>
      </w:r>
      <w:r w:rsidRPr="00132E65">
        <w:rPr>
          <w:rtl/>
          <w:lang w:bidi="fa-IR"/>
        </w:rPr>
        <w:t xml:space="preserve"> فِي الْخُرُوجِ ، فَلَمْ يُؤْذَنْ لِي ، فَأَقَمْتُ اثْنَيْنِ و</w:t>
      </w:r>
      <w:r w:rsidR="006E268C">
        <w:rPr>
          <w:rFonts w:hint="cs"/>
          <w:rtl/>
          <w:lang w:bidi="fa-IR"/>
        </w:rPr>
        <w:t>َ</w:t>
      </w:r>
      <w:r w:rsidRPr="00132E65">
        <w:rPr>
          <w:rtl/>
          <w:lang w:bidi="fa-IR"/>
        </w:rPr>
        <w:t xml:space="preserve">عِشْرِينَ يَوْماً </w:t>
      </w:r>
      <w:r w:rsidR="006E268C" w:rsidRPr="00132E65">
        <w:rPr>
          <w:rtl/>
          <w:lang w:bidi="fa-IR"/>
        </w:rPr>
        <w:t>و</w:t>
      </w:r>
      <w:r w:rsidR="006E268C">
        <w:rPr>
          <w:rFonts w:hint="cs"/>
          <w:rtl/>
          <w:lang w:bidi="fa-IR"/>
        </w:rPr>
        <w:t>َ</w:t>
      </w:r>
      <w:r w:rsidRPr="00132E65">
        <w:rPr>
          <w:rtl/>
          <w:lang w:bidi="fa-IR"/>
        </w:rPr>
        <w:t xml:space="preserve">قَدْ خَرَجَتِ </w:t>
      </w:r>
      <w:r>
        <w:rPr>
          <w:rStyle w:val="libFootnotenumChar"/>
          <w:rtl/>
        </w:rPr>
        <w:t>(9)</w:t>
      </w:r>
      <w:r w:rsidRPr="00132E65">
        <w:rPr>
          <w:rtl/>
          <w:lang w:bidi="fa-IR"/>
        </w:rPr>
        <w:t xml:space="preserve"> الْقَافِلَةُ إِلَى النَّهْرَوَانِ </w:t>
      </w:r>
      <w:r>
        <w:rPr>
          <w:rStyle w:val="libFootnotenumChar"/>
          <w:rtl/>
        </w:rPr>
        <w:t>(10)</w:t>
      </w:r>
      <w:r w:rsidRPr="00132E65">
        <w:rPr>
          <w:rtl/>
          <w:lang w:bidi="fa-IR"/>
        </w:rPr>
        <w:t xml:space="preserve"> ، فَأُذِنَ فِي الْخُرُوجِ لِي </w:t>
      </w:r>
      <w:r>
        <w:rPr>
          <w:rStyle w:val="libFootnotenumChar"/>
          <w:rtl/>
        </w:rPr>
        <w:t>(11)</w:t>
      </w:r>
      <w:r w:rsidRPr="00132E65">
        <w:rPr>
          <w:rtl/>
          <w:lang w:bidi="fa-IR"/>
        </w:rPr>
        <w:t xml:space="preserve"> يَوْمَ الْأَرْبِعَاءِ ، </w:t>
      </w:r>
      <w:r w:rsidR="006E268C" w:rsidRPr="00132E65">
        <w:rPr>
          <w:rtl/>
          <w:lang w:bidi="fa-IR"/>
        </w:rPr>
        <w:t>و</w:t>
      </w:r>
      <w:r w:rsidR="006E268C">
        <w:rPr>
          <w:rFonts w:hint="cs"/>
          <w:rtl/>
          <w:lang w:bidi="fa-IR"/>
        </w:rPr>
        <w:t>َ</w:t>
      </w:r>
      <w:r w:rsidRPr="00132E65">
        <w:rPr>
          <w:rtl/>
          <w:lang w:bidi="fa-IR"/>
        </w:rPr>
        <w:t xml:space="preserve">قِيلَ لِيَ : اخْرُجْ فِيهِ ، فَخَرَجْتُ </w:t>
      </w:r>
      <w:r w:rsidR="006E268C" w:rsidRPr="00132E65">
        <w:rPr>
          <w:rtl/>
          <w:lang w:bidi="fa-IR"/>
        </w:rPr>
        <w:t>و</w:t>
      </w:r>
      <w:r w:rsidR="006E268C">
        <w:rPr>
          <w:rFonts w:hint="cs"/>
          <w:rtl/>
          <w:lang w:bidi="fa-IR"/>
        </w:rPr>
        <w:t>َ</w:t>
      </w:r>
      <w:r w:rsidRPr="00132E65">
        <w:rPr>
          <w:rtl/>
          <w:lang w:bidi="fa-IR"/>
        </w:rPr>
        <w:t xml:space="preserve">أَنَا آيِسٌ مِنَ الْقَافِلَةِ أَنْ أَلْحَقَهَا ، فَوَافَيْتُ النَّهْرَوَانَ </w:t>
      </w:r>
      <w:r w:rsidR="006E268C" w:rsidRPr="00132E65">
        <w:rPr>
          <w:rtl/>
          <w:lang w:bidi="fa-IR"/>
        </w:rPr>
        <w:t>و</w:t>
      </w:r>
      <w:r w:rsidR="006E268C">
        <w:rPr>
          <w:rFonts w:hint="cs"/>
          <w:rtl/>
          <w:lang w:bidi="fa-IR"/>
        </w:rPr>
        <w:t>َ</w:t>
      </w:r>
      <w:r w:rsidRPr="00132E65">
        <w:rPr>
          <w:rtl/>
          <w:lang w:bidi="fa-IR"/>
        </w:rPr>
        <w:t>الْقَافِلَة</w:t>
      </w:r>
      <w:r w:rsidR="006E268C">
        <w:rPr>
          <w:rtl/>
          <w:lang w:bidi="fa-IR"/>
        </w:rPr>
        <w:t>ُ مُقِيمَةٌ ، فَمَا كَانَ إِل</w:t>
      </w:r>
      <w:r w:rsidR="006E268C">
        <w:rPr>
          <w:rFonts w:hint="cs"/>
          <w:rtl/>
          <w:lang w:bidi="fa-IR"/>
        </w:rPr>
        <w:t>َّ</w:t>
      </w:r>
      <w:r w:rsidR="006E268C">
        <w:rPr>
          <w:rtl/>
          <w:lang w:bidi="fa-IR"/>
        </w:rPr>
        <w:t>ا</w:t>
      </w:r>
      <w:r w:rsidRPr="00132E65">
        <w:rPr>
          <w:rtl/>
          <w:lang w:bidi="fa-IR"/>
        </w:rPr>
        <w:t xml:space="preserve"> أَنْ أَعْلَفْتُ جِمَالِي شَيْئاً </w:t>
      </w:r>
      <w:r>
        <w:rPr>
          <w:rStyle w:val="libFootnotenumChar"/>
          <w:rtl/>
        </w:rPr>
        <w:t>(12)</w:t>
      </w:r>
      <w:r w:rsidRPr="00132E65">
        <w:rPr>
          <w:rtl/>
          <w:lang w:bidi="fa-IR"/>
        </w:rPr>
        <w:t xml:space="preserve"> حَتّى رَحَلَتِ الْقَافِلَةُ ، فَرَحَلْتُ </w:t>
      </w:r>
      <w:r w:rsidRPr="00F543F1">
        <w:rPr>
          <w:rStyle w:val="libFootnotenumChar"/>
          <w:rtl/>
        </w:rPr>
        <w:t>(13)</w:t>
      </w:r>
      <w:r w:rsidRPr="00132E65">
        <w:rPr>
          <w:rtl/>
          <w:lang w:bidi="fa-IR"/>
        </w:rPr>
        <w:t xml:space="preserve"> </w:t>
      </w:r>
      <w:r w:rsidR="006E268C" w:rsidRPr="00132E65">
        <w:rPr>
          <w:rtl/>
          <w:lang w:bidi="fa-IR"/>
        </w:rPr>
        <w:t>و</w:t>
      </w:r>
      <w:r w:rsidR="006E268C">
        <w:rPr>
          <w:rFonts w:hint="cs"/>
          <w:rtl/>
          <w:lang w:bidi="fa-IR"/>
        </w:rPr>
        <w:t>َ</w:t>
      </w:r>
      <w:r w:rsidRPr="00132E65">
        <w:rPr>
          <w:rtl/>
          <w:lang w:bidi="fa-IR"/>
        </w:rPr>
        <w:t xml:space="preserve">قَدْ دَعَا لِي بِالسَّلَامَةِ ، فَلَمْ أَلْقَ سُوءاً </w:t>
      </w:r>
      <w:r w:rsidRPr="00F543F1">
        <w:rPr>
          <w:rStyle w:val="libFootnotenumChar"/>
          <w:rtl/>
        </w:rPr>
        <w:t>(14)</w:t>
      </w:r>
      <w:r w:rsidRPr="00132E65">
        <w:rPr>
          <w:rtl/>
          <w:lang w:bidi="fa-IR"/>
        </w:rPr>
        <w:t xml:space="preserve"> ، </w:t>
      </w:r>
      <w:r w:rsidR="006E268C" w:rsidRPr="00132E65">
        <w:rPr>
          <w:rtl/>
          <w:lang w:bidi="fa-IR"/>
        </w:rPr>
        <w:t>و</w:t>
      </w:r>
      <w:r w:rsidR="006E268C">
        <w:rPr>
          <w:rFonts w:hint="cs"/>
          <w:rtl/>
          <w:lang w:bidi="fa-IR"/>
        </w:rPr>
        <w:t>َ</w:t>
      </w:r>
      <w:r w:rsidRPr="00132E65">
        <w:rPr>
          <w:rtl/>
          <w:lang w:bidi="fa-IR"/>
        </w:rPr>
        <w:t xml:space="preserve">الْحَمْدُ لِلّهِ. </w:t>
      </w:r>
      <w:r w:rsidRPr="00F543F1">
        <w:rPr>
          <w:rStyle w:val="libFootnotenumChar"/>
          <w:rtl/>
        </w:rPr>
        <w:t>(15)</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6E268C" w:rsidTr="006E268C">
        <w:tc>
          <w:tcPr>
            <w:tcW w:w="4261" w:type="dxa"/>
          </w:tcPr>
          <w:p w:rsidR="006E268C" w:rsidRDefault="006E268C" w:rsidP="000C39D1">
            <w:pPr>
              <w:pStyle w:val="libFootnote0"/>
              <w:rPr>
                <w:rtl/>
              </w:rPr>
            </w:pPr>
            <w:r>
              <w:rPr>
                <w:rtl/>
              </w:rPr>
              <w:t>(1).</w:t>
            </w:r>
            <w:r w:rsidRPr="00132E65">
              <w:rPr>
                <w:rtl/>
              </w:rPr>
              <w:t xml:space="preserve"> في الإرشاد </w:t>
            </w:r>
            <w:r>
              <w:rPr>
                <w:rtl/>
              </w:rPr>
              <w:t xml:space="preserve">: - </w:t>
            </w:r>
            <w:r w:rsidRPr="00132E65">
              <w:rPr>
                <w:rtl/>
              </w:rPr>
              <w:t>« فماتوا كلّهم »</w:t>
            </w:r>
            <w:r>
              <w:rPr>
                <w:rtl/>
              </w:rPr>
              <w:t>.</w:t>
            </w:r>
          </w:p>
        </w:tc>
        <w:tc>
          <w:tcPr>
            <w:tcW w:w="4262" w:type="dxa"/>
          </w:tcPr>
          <w:p w:rsidR="006E268C" w:rsidRDefault="006E268C" w:rsidP="000C39D1">
            <w:pPr>
              <w:pStyle w:val="libFootnote0"/>
              <w:rPr>
                <w:rtl/>
              </w:rPr>
            </w:pPr>
            <w:r>
              <w:rPr>
                <w:rtl/>
              </w:rPr>
              <w:t>(2).</w:t>
            </w:r>
            <w:r w:rsidRPr="00132E65">
              <w:rPr>
                <w:rtl/>
              </w:rPr>
              <w:t xml:space="preserve"> في الإرشاد : « الحسين »</w:t>
            </w:r>
            <w:r>
              <w:rPr>
                <w:rtl/>
              </w:rPr>
              <w:t>.</w:t>
            </w:r>
          </w:p>
        </w:tc>
      </w:tr>
    </w:tbl>
    <w:p w:rsidR="000C39D1" w:rsidRPr="00132E65" w:rsidRDefault="000C39D1" w:rsidP="000C39D1">
      <w:pPr>
        <w:pStyle w:val="libFootnote0"/>
        <w:rPr>
          <w:rtl/>
          <w:lang w:bidi="fa-IR"/>
        </w:rPr>
      </w:pPr>
      <w:r>
        <w:rPr>
          <w:rtl/>
        </w:rPr>
        <w:t>(3).</w:t>
      </w:r>
      <w:r w:rsidRPr="00132E65">
        <w:rPr>
          <w:rtl/>
        </w:rPr>
        <w:t xml:space="preserve"> الظاهر أنّ ما بعد « فا</w:t>
      </w:r>
      <w:r w:rsidR="005F7FAB">
        <w:rPr>
          <w:rFonts w:hint="cs"/>
          <w:rtl/>
        </w:rPr>
        <w:t>ُ</w:t>
      </w:r>
      <w:r w:rsidRPr="00132E65">
        <w:rPr>
          <w:rtl/>
        </w:rPr>
        <w:t>جبت » كلّه كلام المعصوم. وفي « ف » : « فيبقى »</w:t>
      </w:r>
      <w:r>
        <w:rPr>
          <w:rtl/>
        </w:rPr>
        <w:t>.</w:t>
      </w:r>
      <w:r w:rsidRPr="00132E65">
        <w:rPr>
          <w:rtl/>
        </w:rPr>
        <w:t xml:space="preserve"> وفي الإرشاد : « فبقى »</w:t>
      </w:r>
      <w:r>
        <w:rPr>
          <w:rtl/>
        </w:rPr>
        <w:t>.</w:t>
      </w:r>
    </w:p>
    <w:p w:rsidR="000C39D1" w:rsidRPr="00132E65" w:rsidRDefault="000C39D1" w:rsidP="005F7FAB">
      <w:pPr>
        <w:pStyle w:val="libFootnote0"/>
        <w:rPr>
          <w:rtl/>
          <w:lang w:bidi="fa-IR"/>
        </w:rPr>
      </w:pPr>
      <w:r>
        <w:rPr>
          <w:rtl/>
        </w:rPr>
        <w:t>(4).</w:t>
      </w:r>
      <w:r w:rsidRPr="00132E65">
        <w:rPr>
          <w:rtl/>
        </w:rPr>
        <w:t xml:space="preserve"> </w:t>
      </w:r>
      <w:r w:rsidRPr="005C7539">
        <w:rPr>
          <w:rtl/>
        </w:rPr>
        <w:t>الإرشاد</w:t>
      </w:r>
      <w:r w:rsidRPr="00132E65">
        <w:rPr>
          <w:rtl/>
        </w:rPr>
        <w:t xml:space="preserve"> ، ج 2 ، ص 356 عن القاسم بن العلاء</w:t>
      </w:r>
      <w:r w:rsidR="005F7FAB">
        <w:rPr>
          <w:rFonts w:hint="cs"/>
          <w:rtl/>
        </w:rPr>
        <w:t>.</w:t>
      </w:r>
      <w:r w:rsidRPr="009D1ACE">
        <w:rPr>
          <w:rStyle w:val="libFootnoteBoldChar"/>
          <w:rtl/>
        </w:rPr>
        <w:t>الوافي</w:t>
      </w:r>
      <w:r w:rsidRPr="00132E65">
        <w:rPr>
          <w:rtl/>
        </w:rPr>
        <w:t xml:space="preserve"> ، ج 3 ، ص 869 ، ح 1489 ؛ </w:t>
      </w:r>
      <w:r w:rsidRPr="005C7539">
        <w:rPr>
          <w:rtl/>
        </w:rPr>
        <w:t>البحار</w:t>
      </w:r>
      <w:r w:rsidRPr="00132E65">
        <w:rPr>
          <w:rtl/>
        </w:rPr>
        <w:t xml:space="preserve"> ، ج 51 ، ص 309 ، ح 27.</w:t>
      </w:r>
    </w:p>
    <w:tbl>
      <w:tblPr>
        <w:tblStyle w:val="TableGrid"/>
        <w:bidiVisual/>
        <w:tblW w:w="0" w:type="auto"/>
        <w:tblLook w:val="04A0" w:firstRow="1" w:lastRow="0" w:firstColumn="1" w:lastColumn="0" w:noHBand="0" w:noVBand="1"/>
      </w:tblPr>
      <w:tblGrid>
        <w:gridCol w:w="4261"/>
        <w:gridCol w:w="4262"/>
      </w:tblGrid>
      <w:tr w:rsidR="005F7FAB" w:rsidTr="005F7FAB">
        <w:tc>
          <w:tcPr>
            <w:tcW w:w="4261" w:type="dxa"/>
          </w:tcPr>
          <w:p w:rsidR="005F7FAB" w:rsidRDefault="005F7FAB" w:rsidP="000C39D1">
            <w:pPr>
              <w:pStyle w:val="libFootnote0"/>
              <w:rPr>
                <w:rtl/>
              </w:rPr>
            </w:pPr>
            <w:r>
              <w:rPr>
                <w:rtl/>
              </w:rPr>
              <w:t>(5).</w:t>
            </w:r>
            <w:r w:rsidRPr="00132E65">
              <w:rPr>
                <w:rtl/>
              </w:rPr>
              <w:t xml:space="preserve"> في « ض ، بس » والإرشاد والبحار </w:t>
            </w:r>
            <w:r>
              <w:rPr>
                <w:rtl/>
              </w:rPr>
              <w:t xml:space="preserve">: - </w:t>
            </w:r>
            <w:r w:rsidRPr="00132E65">
              <w:rPr>
                <w:rtl/>
              </w:rPr>
              <w:t>« كنت »</w:t>
            </w:r>
            <w:r>
              <w:rPr>
                <w:rtl/>
              </w:rPr>
              <w:t>.</w:t>
            </w:r>
          </w:p>
        </w:tc>
        <w:tc>
          <w:tcPr>
            <w:tcW w:w="4262" w:type="dxa"/>
          </w:tcPr>
          <w:p w:rsidR="005F7FAB" w:rsidRDefault="005F7FAB" w:rsidP="000C39D1">
            <w:pPr>
              <w:pStyle w:val="libFootnote0"/>
              <w:rPr>
                <w:rtl/>
              </w:rPr>
            </w:pPr>
            <w:r>
              <w:rPr>
                <w:rtl/>
              </w:rPr>
              <w:t>(6).</w:t>
            </w:r>
            <w:r w:rsidRPr="00132E65">
              <w:rPr>
                <w:rtl/>
              </w:rPr>
              <w:t xml:space="preserve"> في « ج » </w:t>
            </w:r>
            <w:r>
              <w:rPr>
                <w:rtl/>
              </w:rPr>
              <w:t xml:space="preserve">: - </w:t>
            </w:r>
            <w:r w:rsidRPr="00132E65">
              <w:rPr>
                <w:rtl/>
              </w:rPr>
              <w:t>« خرجت »</w:t>
            </w:r>
            <w:r>
              <w:rPr>
                <w:rtl/>
              </w:rPr>
              <w:t>.</w:t>
            </w:r>
          </w:p>
        </w:tc>
      </w:tr>
    </w:tbl>
    <w:p w:rsidR="000C39D1" w:rsidRPr="00132E65" w:rsidRDefault="000C39D1" w:rsidP="000C39D1">
      <w:pPr>
        <w:pStyle w:val="libFootnote0"/>
        <w:rPr>
          <w:rtl/>
          <w:lang w:bidi="fa-IR"/>
        </w:rPr>
      </w:pPr>
      <w:r>
        <w:rPr>
          <w:rtl/>
        </w:rPr>
        <w:t>(7).</w:t>
      </w:r>
      <w:r w:rsidRPr="00132E65">
        <w:rPr>
          <w:rtl/>
        </w:rPr>
        <w:t xml:space="preserve"> الباء بمعنى « إلى »</w:t>
      </w:r>
      <w:r>
        <w:rPr>
          <w:rtl/>
        </w:rPr>
        <w:t>.</w:t>
      </w:r>
      <w:r w:rsidRPr="00132E65">
        <w:rPr>
          <w:rtl/>
        </w:rPr>
        <w:t xml:space="preserve"> وفي الإرشاد والبحار : « إلى بغداد »</w:t>
      </w:r>
      <w:r>
        <w:rPr>
          <w:rtl/>
        </w:rPr>
        <w:t>.</w:t>
      </w:r>
    </w:p>
    <w:p w:rsidR="000C39D1" w:rsidRPr="00132E65" w:rsidRDefault="000C39D1" w:rsidP="000C39D1">
      <w:pPr>
        <w:pStyle w:val="libFootnote0"/>
        <w:rPr>
          <w:rtl/>
          <w:lang w:bidi="fa-IR"/>
        </w:rPr>
      </w:pPr>
      <w:r>
        <w:rPr>
          <w:rtl/>
        </w:rPr>
        <w:t>(8).</w:t>
      </w:r>
      <w:r w:rsidRPr="00132E65">
        <w:rPr>
          <w:rtl/>
        </w:rPr>
        <w:t xml:space="preserve"> في الإرشاد والبحار : « واستأذنت »</w:t>
      </w:r>
      <w:r>
        <w:rPr>
          <w:rtl/>
        </w:rPr>
        <w:t>.</w:t>
      </w:r>
    </w:p>
    <w:p w:rsidR="000C39D1" w:rsidRPr="00132E65" w:rsidRDefault="000C39D1" w:rsidP="000C39D1">
      <w:pPr>
        <w:pStyle w:val="libFootnote0"/>
        <w:rPr>
          <w:rtl/>
          <w:lang w:bidi="fa-IR"/>
        </w:rPr>
      </w:pPr>
      <w:r>
        <w:rPr>
          <w:rtl/>
        </w:rPr>
        <w:t>(9).</w:t>
      </w:r>
      <w:r w:rsidRPr="00132E65">
        <w:rPr>
          <w:rtl/>
        </w:rPr>
        <w:t xml:space="preserve"> في الإرشاد والبحار : « بعد خروج » بدل « وقد خرجت »</w:t>
      </w:r>
      <w:r>
        <w:rPr>
          <w:rtl/>
        </w:rPr>
        <w:t>.</w:t>
      </w:r>
    </w:p>
    <w:p w:rsidR="000C39D1" w:rsidRPr="00132E65" w:rsidRDefault="000C39D1" w:rsidP="000C39D1">
      <w:pPr>
        <w:pStyle w:val="libFootnote0"/>
        <w:rPr>
          <w:rtl/>
          <w:lang w:bidi="fa-IR"/>
        </w:rPr>
      </w:pPr>
      <w:r>
        <w:rPr>
          <w:rtl/>
        </w:rPr>
        <w:t>(10).</w:t>
      </w:r>
      <w:r w:rsidRPr="00132E65">
        <w:rPr>
          <w:rtl/>
        </w:rPr>
        <w:t xml:space="preserve"> « النهروان » بفتح النون وتثليث الراء ، وبضمّهما : كورة واسعة بين بغداد وواسط من الجانب الشرقي ، حدّها الأعلى متّصل ببغداد. وفيها عدّة بلاد متوسّطة ، وكان بها وقعةٌ لأمير المؤمنين عليّ بن أبي طالب </w:t>
      </w:r>
      <w:r w:rsidRPr="005318BD">
        <w:rPr>
          <w:rStyle w:val="libFootnoteAlaemChar"/>
          <w:rtl/>
        </w:rPr>
        <w:t>عليه‌السلام</w:t>
      </w:r>
      <w:r w:rsidRPr="00132E65">
        <w:rPr>
          <w:rtl/>
        </w:rPr>
        <w:t xml:space="preserve"> مع الخوارج مشهورة. </w:t>
      </w:r>
      <w:r w:rsidRPr="005C7539">
        <w:rPr>
          <w:rtl/>
        </w:rPr>
        <w:t>القاموس المحيط</w:t>
      </w:r>
      <w:r w:rsidRPr="00132E65">
        <w:rPr>
          <w:rtl/>
        </w:rPr>
        <w:t xml:space="preserve"> ، ج 1 ، ص 677 ( نهر ) ؛ </w:t>
      </w:r>
      <w:r w:rsidRPr="005C7539">
        <w:rPr>
          <w:rtl/>
        </w:rPr>
        <w:t>معجم البلدان</w:t>
      </w:r>
      <w:r w:rsidRPr="00132E65">
        <w:rPr>
          <w:rtl/>
        </w:rPr>
        <w:t xml:space="preserve"> ، ج 5 ، ص 325 ( نهروان )</w:t>
      </w:r>
      <w:r>
        <w:rPr>
          <w:rtl/>
        </w:rPr>
        <w:t>.</w:t>
      </w:r>
    </w:p>
    <w:p w:rsidR="000C39D1" w:rsidRPr="00132E65" w:rsidRDefault="000C39D1" w:rsidP="000C39D1">
      <w:pPr>
        <w:pStyle w:val="libFootnote0"/>
        <w:rPr>
          <w:rtl/>
          <w:lang w:bidi="fa-IR"/>
        </w:rPr>
      </w:pPr>
      <w:r>
        <w:rPr>
          <w:rtl/>
        </w:rPr>
        <w:t>(11).</w:t>
      </w:r>
      <w:r w:rsidRPr="00132E65">
        <w:rPr>
          <w:rtl/>
        </w:rPr>
        <w:t xml:space="preserve"> في « بف » </w:t>
      </w:r>
      <w:r>
        <w:rPr>
          <w:rtl/>
        </w:rPr>
        <w:t xml:space="preserve">: - </w:t>
      </w:r>
      <w:r w:rsidRPr="00132E65">
        <w:rPr>
          <w:rtl/>
        </w:rPr>
        <w:t>« لي »</w:t>
      </w:r>
      <w:r>
        <w:rPr>
          <w:rtl/>
        </w:rPr>
        <w:t>.</w:t>
      </w:r>
      <w:r w:rsidRPr="00132E65">
        <w:rPr>
          <w:rtl/>
        </w:rPr>
        <w:t xml:space="preserve"> وفي « ج ، ف ، بح ، بر ، بس » و</w:t>
      </w:r>
      <w:r w:rsidRPr="009D1ACE">
        <w:rPr>
          <w:rStyle w:val="libFootnoteBoldChar"/>
          <w:rtl/>
        </w:rPr>
        <w:t>الوافي</w:t>
      </w:r>
      <w:r w:rsidRPr="00132E65">
        <w:rPr>
          <w:rtl/>
        </w:rPr>
        <w:t xml:space="preserve"> : « فا</w:t>
      </w:r>
      <w:r w:rsidR="005318BD">
        <w:rPr>
          <w:rFonts w:hint="cs"/>
          <w:rtl/>
        </w:rPr>
        <w:t>ُ</w:t>
      </w:r>
      <w:r w:rsidRPr="00132E65">
        <w:rPr>
          <w:rtl/>
        </w:rPr>
        <w:t>ذن لي في الخروج »</w:t>
      </w:r>
      <w:r>
        <w:rPr>
          <w:rtl/>
        </w:rPr>
        <w:t>.</w:t>
      </w:r>
      <w:r w:rsidRPr="00132E65">
        <w:rPr>
          <w:rtl/>
        </w:rPr>
        <w:t xml:space="preserve"> وفي الإرشاد والبحار : « ثمّ‌أذن لي بالخروج »</w:t>
      </w:r>
      <w:r>
        <w:rPr>
          <w:rtl/>
        </w:rPr>
        <w:t>.</w:t>
      </w:r>
    </w:p>
    <w:p w:rsidR="000C39D1" w:rsidRPr="00132E65" w:rsidRDefault="000C39D1" w:rsidP="000C39D1">
      <w:pPr>
        <w:pStyle w:val="libFootnote0"/>
        <w:rPr>
          <w:rtl/>
          <w:lang w:bidi="fa-IR"/>
        </w:rPr>
      </w:pPr>
      <w:r>
        <w:rPr>
          <w:rtl/>
        </w:rPr>
        <w:t>(12).</w:t>
      </w:r>
      <w:r w:rsidRPr="00132E65">
        <w:rPr>
          <w:rtl/>
        </w:rPr>
        <w:t xml:space="preserve"> في الإرشاد والبحار : « إل</w:t>
      </w:r>
      <w:r w:rsidR="005318BD">
        <w:rPr>
          <w:rFonts w:hint="cs"/>
          <w:rtl/>
        </w:rPr>
        <w:t>ّ</w:t>
      </w:r>
      <w:r w:rsidRPr="00132E65">
        <w:rPr>
          <w:rtl/>
        </w:rPr>
        <w:t>ا</w:t>
      </w:r>
      <w:r w:rsidR="005318BD">
        <w:rPr>
          <w:rtl/>
        </w:rPr>
        <w:t xml:space="preserve"> أن علفت جملي » بدل « إل</w:t>
      </w:r>
      <w:r w:rsidR="005318BD">
        <w:rPr>
          <w:rFonts w:hint="cs"/>
          <w:rtl/>
        </w:rPr>
        <w:t>ّ</w:t>
      </w:r>
      <w:r w:rsidR="005318BD">
        <w:rPr>
          <w:rtl/>
        </w:rPr>
        <w:t>ا</w:t>
      </w:r>
      <w:r w:rsidRPr="00132E65">
        <w:rPr>
          <w:rtl/>
        </w:rPr>
        <w:t xml:space="preserve"> أن أعلفت جمالي شيئاً »</w:t>
      </w:r>
      <w:r>
        <w:rPr>
          <w:rtl/>
        </w:rPr>
        <w:t>.</w:t>
      </w:r>
    </w:p>
    <w:p w:rsidR="000C39D1" w:rsidRPr="00132E65" w:rsidRDefault="000C39D1" w:rsidP="000C39D1">
      <w:pPr>
        <w:pStyle w:val="libFootnote0"/>
        <w:rPr>
          <w:rtl/>
          <w:lang w:bidi="fa-IR"/>
        </w:rPr>
      </w:pPr>
      <w:r>
        <w:rPr>
          <w:rtl/>
        </w:rPr>
        <w:t>(13)</w:t>
      </w:r>
      <w:r w:rsidRPr="00132E65">
        <w:rPr>
          <w:rtl/>
        </w:rPr>
        <w:t xml:space="preserve"> في « بر » : « ورحلت معهم »</w:t>
      </w:r>
      <w:r>
        <w:rPr>
          <w:rtl/>
        </w:rPr>
        <w:t>.</w:t>
      </w:r>
      <w:r w:rsidRPr="00132E65">
        <w:rPr>
          <w:rtl/>
        </w:rPr>
        <w:t xml:space="preserve"> وفي البحار : « ورحلت »</w:t>
      </w:r>
      <w:r>
        <w:rPr>
          <w:rtl/>
        </w:rPr>
        <w:t>.</w:t>
      </w:r>
    </w:p>
    <w:p w:rsidR="000C39D1" w:rsidRPr="00132E65" w:rsidRDefault="000C39D1" w:rsidP="000C39D1">
      <w:pPr>
        <w:pStyle w:val="libFootnote0"/>
        <w:rPr>
          <w:rtl/>
          <w:lang w:bidi="fa-IR"/>
        </w:rPr>
      </w:pPr>
      <w:r>
        <w:rPr>
          <w:rtl/>
        </w:rPr>
        <w:t>(14)</w:t>
      </w:r>
      <w:r w:rsidRPr="00132E65">
        <w:rPr>
          <w:rtl/>
        </w:rPr>
        <w:t xml:space="preserve"> في « ف » : « شرّاً »</w:t>
      </w:r>
      <w:r>
        <w:rPr>
          <w:rtl/>
        </w:rPr>
        <w:t>.</w:t>
      </w:r>
    </w:p>
    <w:p w:rsidR="000C39D1" w:rsidRPr="00132E65" w:rsidRDefault="000C39D1" w:rsidP="005318BD">
      <w:pPr>
        <w:pStyle w:val="libFootnote0"/>
        <w:rPr>
          <w:rtl/>
          <w:lang w:bidi="fa-IR"/>
        </w:rPr>
      </w:pPr>
      <w:r>
        <w:rPr>
          <w:rtl/>
        </w:rPr>
        <w:t>(15)</w:t>
      </w:r>
      <w:r w:rsidRPr="00132E65">
        <w:rPr>
          <w:rtl/>
        </w:rPr>
        <w:t xml:space="preserve"> </w:t>
      </w:r>
      <w:r w:rsidRPr="005C7539">
        <w:rPr>
          <w:rtl/>
        </w:rPr>
        <w:t>الإرشاد</w:t>
      </w:r>
      <w:r w:rsidRPr="00132E65">
        <w:rPr>
          <w:rtl/>
        </w:rPr>
        <w:t xml:space="preserve"> ، ج 2 ، ص 357 ، عن عليّ بن محمّد</w:t>
      </w:r>
      <w:r w:rsidR="005318BD">
        <w:rPr>
          <w:rFonts w:hint="cs"/>
          <w:rtl/>
        </w:rPr>
        <w:t>.</w:t>
      </w:r>
      <w:r w:rsidRPr="009D1ACE">
        <w:rPr>
          <w:rStyle w:val="libFootnoteBoldChar"/>
          <w:rtl/>
        </w:rPr>
        <w:t>الوافي</w:t>
      </w:r>
      <w:r w:rsidRPr="00132E65">
        <w:rPr>
          <w:rtl/>
        </w:rPr>
        <w:t xml:space="preserve"> ، ج 3 ، ص 869 ، ح 1487 ؛ </w:t>
      </w:r>
      <w:r w:rsidRPr="005C7539">
        <w:rPr>
          <w:rtl/>
        </w:rPr>
        <w:t>البحار</w:t>
      </w:r>
      <w:r w:rsidRPr="00132E65">
        <w:rPr>
          <w:rtl/>
        </w:rPr>
        <w:t xml:space="preserve"> ، ج 51 ، ص 297 ، ح 13.</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5C7539">
        <w:rPr>
          <w:rtl/>
        </w:rPr>
        <w:t>1367</w:t>
      </w:r>
      <w:r w:rsidRPr="004325D8">
        <w:rPr>
          <w:rStyle w:val="libBold2Char"/>
          <w:rtl/>
        </w:rPr>
        <w:t xml:space="preserve"> / 11.</w:t>
      </w:r>
      <w:r w:rsidRPr="00132E65">
        <w:rPr>
          <w:rtl/>
          <w:lang w:bidi="fa-IR"/>
        </w:rPr>
        <w:t xml:space="preserve"> عَلِيٌّ ، عَنْ نَصْرِ </w:t>
      </w:r>
      <w:r>
        <w:rPr>
          <w:rStyle w:val="libFootnotenumChar"/>
          <w:rtl/>
        </w:rPr>
        <w:t>(1)</w:t>
      </w:r>
      <w:r w:rsidRPr="00132E65">
        <w:rPr>
          <w:rtl/>
          <w:lang w:bidi="fa-IR"/>
        </w:rPr>
        <w:t xml:space="preserve"> بْنِ صَبَّاحٍ الْبَجَلِيِّ ، عَنْ مُحَمَّدِ بْنِ يُوسُفَ الشَّاشِيِّ ، قَالَ :</w:t>
      </w:r>
      <w:r>
        <w:rPr>
          <w:rFonts w:hint="cs"/>
          <w:rtl/>
          <w:lang w:bidi="fa-IR"/>
        </w:rPr>
        <w:t xml:space="preserve"> </w:t>
      </w:r>
      <w:r w:rsidRPr="00132E65">
        <w:rPr>
          <w:rtl/>
          <w:lang w:bidi="fa-IR"/>
        </w:rPr>
        <w:t xml:space="preserve">خَرَجَ بِي </w:t>
      </w:r>
      <w:r>
        <w:rPr>
          <w:rStyle w:val="libFootnotenumChar"/>
          <w:rtl/>
        </w:rPr>
        <w:t>(2)</w:t>
      </w:r>
      <w:r w:rsidRPr="00132E65">
        <w:rPr>
          <w:rtl/>
          <w:lang w:bidi="fa-IR"/>
        </w:rPr>
        <w:t xml:space="preserve"> نَاصُورٌ </w:t>
      </w:r>
      <w:r>
        <w:rPr>
          <w:rStyle w:val="libFootnotenumChar"/>
          <w:rtl/>
        </w:rPr>
        <w:t>(3)</w:t>
      </w:r>
      <w:r w:rsidRPr="00132E65">
        <w:rPr>
          <w:rtl/>
          <w:lang w:bidi="fa-IR"/>
        </w:rPr>
        <w:t xml:space="preserve"> عَلى مَقْعَدَتِي </w:t>
      </w:r>
      <w:r>
        <w:rPr>
          <w:rStyle w:val="libFootnotenumChar"/>
          <w:rtl/>
        </w:rPr>
        <w:t>(4)</w:t>
      </w:r>
      <w:r w:rsidRPr="00132E65">
        <w:rPr>
          <w:rtl/>
          <w:lang w:bidi="fa-IR"/>
        </w:rPr>
        <w:t xml:space="preserve"> ، فَأَرَيْتُهُ الْأَطِبَّاءَ ، وأَنْفَقْتُ عَلَيْهِ مَالاً ، فَقَالُوا : لَا نَعْرِفُ لَهُ دَوَاءً </w:t>
      </w:r>
      <w:r>
        <w:rPr>
          <w:rStyle w:val="libFootnotenumChar"/>
          <w:rtl/>
        </w:rPr>
        <w:t>(5)</w:t>
      </w:r>
      <w:r w:rsidRPr="00132E65">
        <w:rPr>
          <w:rtl/>
          <w:lang w:bidi="fa-IR"/>
        </w:rPr>
        <w:t xml:space="preserve"> ، فَكَتَبْتُ رُقْعَةً أَسْأَلُ الدُّعَاءَ ، فَوَقَّعَ </w:t>
      </w:r>
      <w:r w:rsidRPr="00071CF9">
        <w:rPr>
          <w:rStyle w:val="libAlaemChar"/>
          <w:rtl/>
        </w:rPr>
        <w:t>عليه‌السلام</w:t>
      </w:r>
      <w:r w:rsidRPr="00132E65">
        <w:rPr>
          <w:rtl/>
          <w:lang w:bidi="fa-IR"/>
        </w:rPr>
        <w:t xml:space="preserve"> إِلَيَّ </w:t>
      </w:r>
      <w:r>
        <w:rPr>
          <w:rStyle w:val="libFootnotenumChar"/>
          <w:rtl/>
        </w:rPr>
        <w:t>(6)</w:t>
      </w:r>
      <w:r w:rsidRPr="00132E65">
        <w:rPr>
          <w:rtl/>
          <w:lang w:bidi="fa-IR"/>
        </w:rPr>
        <w:t xml:space="preserve"> : « أَلْبَسَكَ اللهُ الْعَافِيَةَ ، وَجَعَلَكَ </w:t>
      </w:r>
      <w:r>
        <w:rPr>
          <w:rStyle w:val="libFootnotenumChar"/>
          <w:rtl/>
        </w:rPr>
        <w:t>(7)</w:t>
      </w:r>
      <w:r w:rsidRPr="00132E65">
        <w:rPr>
          <w:rtl/>
          <w:lang w:bidi="fa-IR"/>
        </w:rPr>
        <w:t xml:space="preserve"> مَعَنَا فِي الدُّنْيَا والْآخِرَةِ »</w:t>
      </w:r>
      <w:r>
        <w:rPr>
          <w:rtl/>
          <w:lang w:bidi="fa-IR"/>
        </w:rPr>
        <w:t>.</w:t>
      </w:r>
    </w:p>
    <w:p w:rsidR="000C39D1" w:rsidRPr="00132E65" w:rsidRDefault="000C39D1" w:rsidP="00E67BF5">
      <w:pPr>
        <w:pStyle w:val="libNormal"/>
        <w:rPr>
          <w:rtl/>
          <w:lang w:bidi="fa-IR"/>
        </w:rPr>
      </w:pPr>
      <w:r w:rsidRPr="00132E65">
        <w:rPr>
          <w:rtl/>
          <w:lang w:bidi="fa-IR"/>
        </w:rPr>
        <w:t xml:space="preserve">قَالَ </w:t>
      </w:r>
      <w:r>
        <w:rPr>
          <w:rStyle w:val="libFootnotenumChar"/>
          <w:rtl/>
        </w:rPr>
        <w:t>(8)</w:t>
      </w:r>
      <w:r w:rsidRPr="00132E65">
        <w:rPr>
          <w:rtl/>
          <w:lang w:bidi="fa-IR"/>
        </w:rPr>
        <w:t xml:space="preserve"> : فَمَا أَتَتْ عَلَيَّ جُمْعَةٌ </w:t>
      </w:r>
      <w:r>
        <w:rPr>
          <w:rStyle w:val="libFootnotenumChar"/>
          <w:rtl/>
        </w:rPr>
        <w:t>(9)</w:t>
      </w:r>
      <w:r w:rsidRPr="00132E65">
        <w:rPr>
          <w:rtl/>
          <w:lang w:bidi="fa-IR"/>
        </w:rPr>
        <w:t xml:space="preserve"> حَتّى عُوفِيتُ ، وصَارَ </w:t>
      </w:r>
      <w:r>
        <w:rPr>
          <w:rStyle w:val="libFootnotenumChar"/>
          <w:rtl/>
        </w:rPr>
        <w:t>(10)</w:t>
      </w:r>
      <w:r w:rsidRPr="00132E65">
        <w:rPr>
          <w:rtl/>
          <w:lang w:bidi="fa-IR"/>
        </w:rPr>
        <w:t xml:space="preserve"> مِثْلَ رَاحَتِي ، فَدَعَوْتُ طَبِيباً مِنْ أَصْحَابِنَا ، وأَرَيْتُهُ إِيَّاهُ ، فَقَالَ : مَا عَرَفْنَا لِهذَا دَوَاءً </w:t>
      </w:r>
      <w:r>
        <w:rPr>
          <w:rStyle w:val="libFootnotenumChar"/>
          <w:rtl/>
        </w:rPr>
        <w:t>(11)</w:t>
      </w:r>
      <w:r w:rsidR="00E67BF5">
        <w:rPr>
          <w:rFonts w:hint="cs"/>
          <w:rtl/>
          <w:lang w:bidi="fa-IR"/>
        </w:rPr>
        <w:t>.</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5C7539">
        <w:rPr>
          <w:rtl/>
        </w:rPr>
        <w:t>1368</w:t>
      </w:r>
      <w:r w:rsidRPr="004325D8">
        <w:rPr>
          <w:rStyle w:val="libBold2Char"/>
          <w:rtl/>
        </w:rPr>
        <w:t xml:space="preserve"> / 12.</w:t>
      </w:r>
      <w:r w:rsidRPr="00132E65">
        <w:rPr>
          <w:rtl/>
          <w:lang w:bidi="fa-IR"/>
        </w:rPr>
        <w:t xml:space="preserve"> عَلِيٌّ ، عَنْ عَلِيِّ بْنِ الْحُسَيْنِ الْيَمَانِيِّ </w:t>
      </w:r>
      <w:r w:rsidRPr="00F543F1">
        <w:rPr>
          <w:rStyle w:val="libFootnotenumChar"/>
          <w:rtl/>
        </w:rPr>
        <w:t>(13)</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ج ، ف ، بح ، بس »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والإرشاد والبحار. وفي « ب ، بر ، بف » : « نضر »</w:t>
      </w:r>
      <w:r>
        <w:rPr>
          <w:rtl/>
        </w:rPr>
        <w:t>.</w:t>
      </w:r>
      <w:r w:rsidRPr="00132E65">
        <w:rPr>
          <w:rtl/>
        </w:rPr>
        <w:t xml:space="preserve"> وفي « ألف » والمطبوع : « النضر »</w:t>
      </w:r>
      <w:r>
        <w:rPr>
          <w:rtl/>
        </w:rPr>
        <w:t>.</w:t>
      </w:r>
      <w:r w:rsidRPr="00132E65">
        <w:rPr>
          <w:rtl/>
        </w:rPr>
        <w:t xml:space="preserve"> والظاهر أنّ نصراً هذا هو نصر بن صبّاح البلخي المذكور في </w:t>
      </w:r>
      <w:r w:rsidRPr="005C7539">
        <w:rPr>
          <w:rtl/>
        </w:rPr>
        <w:t>رجال النجاشي</w:t>
      </w:r>
      <w:r w:rsidRPr="00132E65">
        <w:rPr>
          <w:rtl/>
        </w:rPr>
        <w:t xml:space="preserve"> ، ص 428 ، الرقم 1149 ، و</w:t>
      </w:r>
      <w:r w:rsidRPr="005C7539">
        <w:rPr>
          <w:rtl/>
        </w:rPr>
        <w:t xml:space="preserve">رجال الطوسي </w:t>
      </w:r>
      <w:r w:rsidRPr="00132E65">
        <w:rPr>
          <w:rtl/>
        </w:rPr>
        <w:t xml:space="preserve">، ص 449 ، الرقم 6385. يؤيّد ذلك أنّ الخبر رواه الشيخ المفيد في </w:t>
      </w:r>
      <w:r w:rsidRPr="005C7539">
        <w:rPr>
          <w:rtl/>
        </w:rPr>
        <w:t>الإرشاد</w:t>
      </w:r>
      <w:r w:rsidRPr="00132E65">
        <w:rPr>
          <w:rtl/>
        </w:rPr>
        <w:t xml:space="preserve"> ، ج 2 ، ص 357</w:t>
      </w:r>
      <w:r>
        <w:rPr>
          <w:rtl/>
        </w:rPr>
        <w:t xml:space="preserve"> - </w:t>
      </w:r>
      <w:r w:rsidRPr="00132E65">
        <w:rPr>
          <w:rtl/>
        </w:rPr>
        <w:t>مع زيادة يسيرة في آخره</w:t>
      </w:r>
      <w:r>
        <w:rPr>
          <w:rtl/>
        </w:rPr>
        <w:t xml:space="preserve"> - </w:t>
      </w:r>
      <w:r w:rsidRPr="00132E65">
        <w:rPr>
          <w:rtl/>
        </w:rPr>
        <w:t>عن عليّ بن محمّد عن نصر بن صبّاح البلخي.</w:t>
      </w:r>
    </w:p>
    <w:p w:rsidR="000C39D1" w:rsidRPr="00132E65" w:rsidRDefault="000C39D1" w:rsidP="000C39D1">
      <w:pPr>
        <w:pStyle w:val="libFootnote0"/>
        <w:rPr>
          <w:rtl/>
          <w:lang w:bidi="fa-IR"/>
        </w:rPr>
      </w:pPr>
      <w:r>
        <w:rPr>
          <w:rtl/>
        </w:rPr>
        <w:t>(2).</w:t>
      </w:r>
      <w:r w:rsidRPr="00132E65">
        <w:rPr>
          <w:rtl/>
        </w:rPr>
        <w:t xml:space="preserve"> في « ف » </w:t>
      </w:r>
      <w:r>
        <w:rPr>
          <w:rtl/>
        </w:rPr>
        <w:t xml:space="preserve">: - </w:t>
      </w:r>
      <w:r w:rsidRPr="00132E65">
        <w:rPr>
          <w:rtl/>
        </w:rPr>
        <w:t>« بي »</w:t>
      </w:r>
      <w:r>
        <w:rPr>
          <w:rtl/>
        </w:rPr>
        <w:t>.</w:t>
      </w:r>
      <w:r w:rsidRPr="00132E65">
        <w:rPr>
          <w:rtl/>
        </w:rPr>
        <w:t xml:space="preserve"> وفي « ج ، بح ، بس » : « لي »</w:t>
      </w:r>
      <w:r>
        <w:rPr>
          <w:rtl/>
        </w:rPr>
        <w:t>.</w:t>
      </w:r>
    </w:p>
    <w:p w:rsidR="000C39D1" w:rsidRPr="00132E65" w:rsidRDefault="000C39D1" w:rsidP="000C39D1">
      <w:pPr>
        <w:pStyle w:val="libFootnote0"/>
        <w:rPr>
          <w:rtl/>
          <w:lang w:bidi="fa-IR"/>
        </w:rPr>
      </w:pPr>
      <w:r>
        <w:rPr>
          <w:rtl/>
        </w:rPr>
        <w:t>(3).</w:t>
      </w:r>
      <w:r w:rsidRPr="00132E65">
        <w:rPr>
          <w:rtl/>
        </w:rPr>
        <w:t xml:space="preserve"> « الناصور » : علّة تحدث في البدن من المقعدة وغيرها بمادّة خبيثة ضيّقة الفم يعسر بُرؤها ، وتقول الأطبّاء : كلُّ قُرحة تزمن في البدن فهي ناصور ، وقد يقال : ناسور ، بالسين ، كما في </w:t>
      </w:r>
      <w:r w:rsidRPr="005C7539">
        <w:rPr>
          <w:rtl/>
        </w:rPr>
        <w:t>الإرشاد والبحار</w:t>
      </w:r>
      <w:r w:rsidRPr="00132E65">
        <w:rPr>
          <w:rtl/>
        </w:rPr>
        <w:t>. راجع</w:t>
      </w:r>
      <w:r w:rsidR="0006034E">
        <w:rPr>
          <w:rtl/>
        </w:rPr>
        <w:t xml:space="preserve"> : المصباح المنير ، ص 608 (نصر</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في الإرشاد والبحار </w:t>
      </w:r>
      <w:r>
        <w:rPr>
          <w:rtl/>
        </w:rPr>
        <w:t xml:space="preserve">: - </w:t>
      </w:r>
      <w:r w:rsidRPr="00132E65">
        <w:rPr>
          <w:rtl/>
        </w:rPr>
        <w:t>« على مقعدتي »</w:t>
      </w:r>
      <w:r>
        <w:rPr>
          <w:rtl/>
        </w:rPr>
        <w:t>.</w:t>
      </w:r>
    </w:p>
    <w:p w:rsidR="000C39D1" w:rsidRPr="00132E65" w:rsidRDefault="000C39D1" w:rsidP="000C39D1">
      <w:pPr>
        <w:pStyle w:val="libFootnote0"/>
        <w:rPr>
          <w:rtl/>
          <w:lang w:bidi="fa-IR"/>
        </w:rPr>
      </w:pPr>
      <w:r>
        <w:rPr>
          <w:rtl/>
        </w:rPr>
        <w:t>(5).</w:t>
      </w:r>
      <w:r w:rsidRPr="00132E65">
        <w:rPr>
          <w:rtl/>
        </w:rPr>
        <w:t xml:space="preserve"> في الإرشاد والبحار : « عظيماً [ في البحار </w:t>
      </w:r>
      <w:r>
        <w:rPr>
          <w:rtl/>
        </w:rPr>
        <w:t xml:space="preserve">: - </w:t>
      </w:r>
      <w:r w:rsidRPr="00132E65">
        <w:rPr>
          <w:rtl/>
        </w:rPr>
        <w:t>عظيماً ] فلم يصنع الدواء فيه شيئاً »</w:t>
      </w:r>
      <w:r w:rsidR="0006034E">
        <w:rPr>
          <w:rtl/>
        </w:rPr>
        <w:t xml:space="preserve"> بدل « فقالوا : لا نعرف له دواء</w:t>
      </w:r>
      <w:r w:rsidRPr="00132E65">
        <w:rPr>
          <w:rtl/>
        </w:rPr>
        <w:t>»</w:t>
      </w:r>
      <w:r>
        <w:rPr>
          <w:rtl/>
        </w:rPr>
        <w:t>.</w:t>
      </w:r>
    </w:p>
    <w:tbl>
      <w:tblPr>
        <w:tblStyle w:val="TableGrid"/>
        <w:bidiVisual/>
        <w:tblW w:w="0" w:type="auto"/>
        <w:tblLook w:val="04A0" w:firstRow="1" w:lastRow="0" w:firstColumn="1" w:lastColumn="0" w:noHBand="0" w:noVBand="1"/>
      </w:tblPr>
      <w:tblGrid>
        <w:gridCol w:w="4261"/>
        <w:gridCol w:w="4262"/>
      </w:tblGrid>
      <w:tr w:rsidR="00E67BF5" w:rsidTr="00E67BF5">
        <w:tc>
          <w:tcPr>
            <w:tcW w:w="4261" w:type="dxa"/>
          </w:tcPr>
          <w:p w:rsidR="00E67BF5" w:rsidRDefault="00E67BF5" w:rsidP="000C39D1">
            <w:pPr>
              <w:pStyle w:val="libFootnote0"/>
              <w:rPr>
                <w:rtl/>
              </w:rPr>
            </w:pPr>
            <w:r>
              <w:rPr>
                <w:rtl/>
              </w:rPr>
              <w:t>(6).</w:t>
            </w:r>
            <w:r w:rsidRPr="00132E65">
              <w:rPr>
                <w:rtl/>
              </w:rPr>
              <w:t xml:space="preserve"> في « ف » </w:t>
            </w:r>
            <w:r>
              <w:rPr>
                <w:rtl/>
              </w:rPr>
              <w:t xml:space="preserve">: - </w:t>
            </w:r>
            <w:r w:rsidRPr="00132E65">
              <w:rPr>
                <w:rtl/>
              </w:rPr>
              <w:t>« إليّ »</w:t>
            </w:r>
            <w:r>
              <w:rPr>
                <w:rtl/>
              </w:rPr>
              <w:t>.</w:t>
            </w:r>
            <w:r w:rsidRPr="00132E65">
              <w:rPr>
                <w:rtl/>
              </w:rPr>
              <w:t xml:space="preserve"> وفي البحار : « لي »</w:t>
            </w:r>
            <w:r>
              <w:rPr>
                <w:rtl/>
              </w:rPr>
              <w:t>.</w:t>
            </w:r>
          </w:p>
        </w:tc>
        <w:tc>
          <w:tcPr>
            <w:tcW w:w="4262" w:type="dxa"/>
          </w:tcPr>
          <w:p w:rsidR="00E67BF5" w:rsidRDefault="00E67BF5" w:rsidP="000C39D1">
            <w:pPr>
              <w:pStyle w:val="libFootnote0"/>
              <w:rPr>
                <w:rtl/>
              </w:rPr>
            </w:pPr>
            <w:r>
              <w:rPr>
                <w:rtl/>
              </w:rPr>
              <w:t>(7).</w:t>
            </w:r>
            <w:r w:rsidRPr="00132E65">
              <w:rPr>
                <w:rtl/>
              </w:rPr>
              <w:t xml:space="preserve"> في « بس » :</w:t>
            </w:r>
            <w:r>
              <w:rPr>
                <w:rtl/>
              </w:rPr>
              <w:t xml:space="preserve"> + </w:t>
            </w:r>
            <w:r w:rsidRPr="00132E65">
              <w:rPr>
                <w:rtl/>
              </w:rPr>
              <w:t>« الله »</w:t>
            </w:r>
            <w:r>
              <w:rPr>
                <w:rtl/>
              </w:rPr>
              <w:t>.</w:t>
            </w:r>
          </w:p>
        </w:tc>
      </w:tr>
      <w:tr w:rsidR="00E67BF5" w:rsidTr="00E67BF5">
        <w:tc>
          <w:tcPr>
            <w:tcW w:w="4261" w:type="dxa"/>
          </w:tcPr>
          <w:p w:rsidR="00E67BF5" w:rsidRDefault="00E67BF5" w:rsidP="000C39D1">
            <w:pPr>
              <w:pStyle w:val="libFootnote0"/>
              <w:rPr>
                <w:rtl/>
              </w:rPr>
            </w:pPr>
            <w:r>
              <w:rPr>
                <w:rtl/>
              </w:rPr>
              <w:t>(8).</w:t>
            </w:r>
            <w:r w:rsidRPr="00132E65">
              <w:rPr>
                <w:rtl/>
              </w:rPr>
              <w:t xml:space="preserve"> في الإرشاد والبحار </w:t>
            </w:r>
            <w:r>
              <w:rPr>
                <w:rtl/>
              </w:rPr>
              <w:t xml:space="preserve">: - </w:t>
            </w:r>
            <w:r w:rsidRPr="00132E65">
              <w:rPr>
                <w:rtl/>
              </w:rPr>
              <w:t>« قال »</w:t>
            </w:r>
            <w:r>
              <w:rPr>
                <w:rtl/>
              </w:rPr>
              <w:t>.</w:t>
            </w:r>
          </w:p>
        </w:tc>
        <w:tc>
          <w:tcPr>
            <w:tcW w:w="4262" w:type="dxa"/>
          </w:tcPr>
          <w:p w:rsidR="00E67BF5" w:rsidRDefault="00E67BF5" w:rsidP="000C39D1">
            <w:pPr>
              <w:pStyle w:val="libFootnote0"/>
              <w:rPr>
                <w:rtl/>
              </w:rPr>
            </w:pPr>
            <w:r>
              <w:rPr>
                <w:rtl/>
              </w:rPr>
              <w:t>(9).</w:t>
            </w:r>
            <w:r w:rsidRPr="00132E65">
              <w:rPr>
                <w:rtl/>
              </w:rPr>
              <w:t xml:space="preserve"> في البحار : « الجمعة »</w:t>
            </w:r>
            <w:r>
              <w:rPr>
                <w:rtl/>
              </w:rPr>
              <w:t>.</w:t>
            </w:r>
          </w:p>
        </w:tc>
      </w:tr>
    </w:tbl>
    <w:p w:rsidR="000C39D1" w:rsidRPr="00132E65" w:rsidRDefault="000C39D1" w:rsidP="000C39D1">
      <w:pPr>
        <w:pStyle w:val="libFootnote0"/>
        <w:rPr>
          <w:rtl/>
          <w:lang w:bidi="fa-IR"/>
        </w:rPr>
      </w:pPr>
      <w:r>
        <w:rPr>
          <w:rtl/>
        </w:rPr>
        <w:t>(10).</w:t>
      </w:r>
      <w:r w:rsidRPr="00132E65">
        <w:rPr>
          <w:rtl/>
        </w:rPr>
        <w:t xml:space="preserve"> أي صار الموضع. وفي « ب ، بح » : « صارت » أي المقعدة. وفي الإرشاد والبحار :</w:t>
      </w:r>
      <w:r>
        <w:rPr>
          <w:rtl/>
        </w:rPr>
        <w:t xml:space="preserve"> + </w:t>
      </w:r>
      <w:r w:rsidRPr="00132E65">
        <w:rPr>
          <w:rtl/>
        </w:rPr>
        <w:t>« الموضع »</w:t>
      </w:r>
      <w:r>
        <w:rPr>
          <w:rtl/>
        </w:rPr>
        <w:t>.</w:t>
      </w:r>
    </w:p>
    <w:p w:rsidR="000C39D1" w:rsidRPr="00132E65" w:rsidRDefault="000C39D1" w:rsidP="000C39D1">
      <w:pPr>
        <w:pStyle w:val="libFootnote0"/>
        <w:rPr>
          <w:rtl/>
          <w:lang w:bidi="fa-IR"/>
        </w:rPr>
      </w:pPr>
      <w:r>
        <w:rPr>
          <w:rtl/>
        </w:rPr>
        <w:t>(11).</w:t>
      </w:r>
      <w:r w:rsidRPr="00132E65">
        <w:rPr>
          <w:rtl/>
        </w:rPr>
        <w:t xml:space="preserve"> في الإرشاد والبحار :</w:t>
      </w:r>
      <w:r>
        <w:rPr>
          <w:rtl/>
        </w:rPr>
        <w:t xml:space="preserve"> + </w:t>
      </w:r>
      <w:r w:rsidR="004D3A4B">
        <w:rPr>
          <w:rtl/>
        </w:rPr>
        <w:t>« وما جاءتك العافية إل</w:t>
      </w:r>
      <w:r w:rsidR="004D3A4B">
        <w:rPr>
          <w:rFonts w:hint="cs"/>
          <w:rtl/>
        </w:rPr>
        <w:t>ّ</w:t>
      </w:r>
      <w:r w:rsidR="004D3A4B">
        <w:rPr>
          <w:rtl/>
        </w:rPr>
        <w:t>ا</w:t>
      </w:r>
      <w:r w:rsidRPr="00132E65">
        <w:rPr>
          <w:rtl/>
        </w:rPr>
        <w:t>من قبل الله بغير احتساب »</w:t>
      </w:r>
      <w:r>
        <w:rPr>
          <w:rtl/>
        </w:rPr>
        <w:t>.</w:t>
      </w:r>
    </w:p>
    <w:p w:rsidR="000C39D1" w:rsidRPr="00132E65" w:rsidRDefault="000C39D1" w:rsidP="004D3A4B">
      <w:pPr>
        <w:pStyle w:val="libFootnote0"/>
        <w:rPr>
          <w:rtl/>
          <w:lang w:bidi="fa-IR"/>
        </w:rPr>
      </w:pPr>
      <w:r>
        <w:rPr>
          <w:rtl/>
        </w:rPr>
        <w:t>(12).</w:t>
      </w:r>
      <w:r w:rsidRPr="00132E65">
        <w:rPr>
          <w:rtl/>
        </w:rPr>
        <w:t xml:space="preserve"> </w:t>
      </w:r>
      <w:r w:rsidRPr="005C7539">
        <w:rPr>
          <w:rtl/>
        </w:rPr>
        <w:t>الإرشاد</w:t>
      </w:r>
      <w:r w:rsidRPr="00132E65">
        <w:rPr>
          <w:rtl/>
        </w:rPr>
        <w:t xml:space="preserve"> ، ج 2 ، ص 357 ، عن عليّ بن محمّد ، عن نصر بن صبّاح البلخي ، مع زيادة في آخره</w:t>
      </w:r>
      <w:r w:rsidR="004D3A4B">
        <w:rPr>
          <w:rFonts w:hint="cs"/>
          <w:rtl/>
        </w:rPr>
        <w:t>.</w:t>
      </w:r>
      <w:r w:rsidRPr="009D1ACE">
        <w:rPr>
          <w:rStyle w:val="libFootnoteBoldChar"/>
          <w:rtl/>
        </w:rPr>
        <w:t>الوافي</w:t>
      </w:r>
      <w:r w:rsidRPr="00132E65">
        <w:rPr>
          <w:rtl/>
        </w:rPr>
        <w:t xml:space="preserve"> ، ج 3 ، ص 870 ، ح 1491 ؛ </w:t>
      </w:r>
      <w:r w:rsidRPr="005C7539">
        <w:rPr>
          <w:rtl/>
        </w:rPr>
        <w:t>البحار</w:t>
      </w:r>
      <w:r w:rsidRPr="00132E65">
        <w:rPr>
          <w:rtl/>
        </w:rPr>
        <w:t xml:space="preserve"> ، ج 51 ، ص 297 ، ح 14.</w:t>
      </w:r>
    </w:p>
    <w:p w:rsidR="000C39D1" w:rsidRPr="00132E65" w:rsidRDefault="000C39D1" w:rsidP="000C39D1">
      <w:pPr>
        <w:pStyle w:val="libFootnote0"/>
        <w:rPr>
          <w:rtl/>
          <w:lang w:bidi="fa-IR"/>
        </w:rPr>
      </w:pPr>
      <w:r>
        <w:rPr>
          <w:rtl/>
        </w:rPr>
        <w:t>(13)</w:t>
      </w:r>
      <w:r w:rsidRPr="00132E65">
        <w:rPr>
          <w:rtl/>
        </w:rPr>
        <w:t xml:space="preserve"> تقدّمت في ح 1336 ، رواية عليّ بن محمّد عن عليّ بن الحسن بن الفضل اليماني. والظاهر اتّحاد العنوانين ، وأنّ الصواب هو « عليّ بن الحسن »</w:t>
      </w:r>
      <w:r>
        <w:rPr>
          <w:rtl/>
        </w:rPr>
        <w:t>.</w:t>
      </w:r>
      <w:r w:rsidRPr="00132E65">
        <w:rPr>
          <w:rtl/>
        </w:rPr>
        <w:t xml:space="preserve"> والحسن والده هو الحسن بن الفضل بن زيد ( يزيد ) اليماني المذكور في السند الآتي.</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كُنْتُ بِبَغْدَادَ ، فَتَهَيَّأَتْ قَافِلَةٌ لِلْيَمَانِيِّينَ </w:t>
      </w:r>
      <w:r>
        <w:rPr>
          <w:rStyle w:val="libFootnotenumChar"/>
          <w:rtl/>
        </w:rPr>
        <w:t>(1)</w:t>
      </w:r>
      <w:r w:rsidRPr="00132E65">
        <w:rPr>
          <w:rtl/>
          <w:lang w:bidi="fa-IR"/>
        </w:rPr>
        <w:t xml:space="preserve"> ، فَأَرَدْتُ الْخُرُوجَ مَعَهَا </w:t>
      </w:r>
      <w:r>
        <w:rPr>
          <w:rStyle w:val="libFootnotenumChar"/>
          <w:rtl/>
        </w:rPr>
        <w:t>(2)</w:t>
      </w:r>
      <w:r w:rsidRPr="00132E65">
        <w:rPr>
          <w:rtl/>
          <w:lang w:bidi="fa-IR"/>
        </w:rPr>
        <w:t xml:space="preserve"> ، فَكَتَبْتُ أَلْتَمِسُ الْإِذْنَ فِي ذلِكَ ، فَخَرَجَ : « لَا تَخْرُجْ مَعَهُمْ </w:t>
      </w:r>
      <w:r>
        <w:rPr>
          <w:rStyle w:val="libFootnotenumChar"/>
          <w:rtl/>
        </w:rPr>
        <w:t>(3)</w:t>
      </w:r>
      <w:r w:rsidRPr="00132E65">
        <w:rPr>
          <w:rtl/>
          <w:lang w:bidi="fa-IR"/>
        </w:rPr>
        <w:t xml:space="preserve"> ؛ فَلَيْسَ لَكَ فِي الْخُرُوجِ مَعَهُمْ خِيَرَةٌ ، و</w:t>
      </w:r>
      <w:r w:rsidR="00456097">
        <w:rPr>
          <w:rFonts w:hint="cs"/>
          <w:rtl/>
          <w:lang w:bidi="fa-IR"/>
        </w:rPr>
        <w:t>َ</w:t>
      </w:r>
      <w:r w:rsidRPr="00132E65">
        <w:rPr>
          <w:rtl/>
          <w:lang w:bidi="fa-IR"/>
        </w:rPr>
        <w:t>أَقِمْ بِالْكُوفَةِ »</w:t>
      </w:r>
      <w:r>
        <w:rPr>
          <w:rtl/>
          <w:lang w:bidi="fa-IR"/>
        </w:rPr>
        <w:t>.</w:t>
      </w:r>
    </w:p>
    <w:p w:rsidR="000C39D1" w:rsidRPr="00132E65" w:rsidRDefault="000C39D1" w:rsidP="00456097">
      <w:pPr>
        <w:pStyle w:val="libNormal"/>
        <w:rPr>
          <w:rtl/>
          <w:lang w:bidi="fa-IR"/>
        </w:rPr>
      </w:pPr>
      <w:r w:rsidRPr="00132E65">
        <w:rPr>
          <w:rtl/>
          <w:lang w:bidi="fa-IR"/>
        </w:rPr>
        <w:t xml:space="preserve">قَالَ : </w:t>
      </w:r>
      <w:r w:rsidR="00456097" w:rsidRPr="00132E65">
        <w:rPr>
          <w:rtl/>
          <w:lang w:bidi="fa-IR"/>
        </w:rPr>
        <w:t>و</w:t>
      </w:r>
      <w:r w:rsidR="00456097">
        <w:rPr>
          <w:rFonts w:hint="cs"/>
          <w:rtl/>
          <w:lang w:bidi="fa-IR"/>
        </w:rPr>
        <w:t>َ</w:t>
      </w:r>
      <w:r w:rsidRPr="00132E65">
        <w:rPr>
          <w:rtl/>
          <w:lang w:bidi="fa-IR"/>
        </w:rPr>
        <w:t xml:space="preserve">أَقَمْتُ </w:t>
      </w:r>
      <w:r>
        <w:rPr>
          <w:rStyle w:val="libFootnotenumChar"/>
          <w:rtl/>
        </w:rPr>
        <w:t>(4)</w:t>
      </w:r>
      <w:r w:rsidRPr="00132E65">
        <w:rPr>
          <w:rtl/>
          <w:lang w:bidi="fa-IR"/>
        </w:rPr>
        <w:t xml:space="preserve"> ، </w:t>
      </w:r>
      <w:r w:rsidR="00456097" w:rsidRPr="00132E65">
        <w:rPr>
          <w:rtl/>
          <w:lang w:bidi="fa-IR"/>
        </w:rPr>
        <w:t>و</w:t>
      </w:r>
      <w:r w:rsidR="00456097">
        <w:rPr>
          <w:rFonts w:hint="cs"/>
          <w:rtl/>
          <w:lang w:bidi="fa-IR"/>
        </w:rPr>
        <w:t>َ</w:t>
      </w:r>
      <w:r w:rsidRPr="00132E65">
        <w:rPr>
          <w:rtl/>
          <w:lang w:bidi="fa-IR"/>
        </w:rPr>
        <w:t xml:space="preserve">خَرَجَتِ </w:t>
      </w:r>
      <w:r>
        <w:rPr>
          <w:rStyle w:val="libFootnotenumChar"/>
          <w:rtl/>
        </w:rPr>
        <w:t>(5)</w:t>
      </w:r>
      <w:r w:rsidRPr="00132E65">
        <w:rPr>
          <w:rtl/>
          <w:lang w:bidi="fa-IR"/>
        </w:rPr>
        <w:t xml:space="preserve"> الْقَافِلَةُ ، فَخَرَجَتْ عَلَيْهِمْ حَنْظَلَةُ </w:t>
      </w:r>
      <w:r>
        <w:rPr>
          <w:rStyle w:val="libFootnotenumChar"/>
          <w:rtl/>
        </w:rPr>
        <w:t>(6)</w:t>
      </w:r>
      <w:r w:rsidRPr="00132E65">
        <w:rPr>
          <w:rtl/>
          <w:lang w:bidi="fa-IR"/>
        </w:rPr>
        <w:t xml:space="preserve"> ، فَاجْتَاحَتْهُمْ </w:t>
      </w:r>
      <w:r>
        <w:rPr>
          <w:rStyle w:val="libFootnotenumChar"/>
          <w:rtl/>
        </w:rPr>
        <w:t>(7)</w:t>
      </w:r>
      <w:r w:rsidRPr="00132E65">
        <w:rPr>
          <w:rtl/>
          <w:lang w:bidi="fa-IR"/>
        </w:rPr>
        <w:t xml:space="preserve"> ، وَكَتَبْتُ </w:t>
      </w:r>
      <w:r>
        <w:rPr>
          <w:rStyle w:val="libFootnotenumChar"/>
          <w:rtl/>
        </w:rPr>
        <w:t>(8)</w:t>
      </w:r>
      <w:r w:rsidRPr="00132E65">
        <w:rPr>
          <w:rtl/>
          <w:lang w:bidi="fa-IR"/>
        </w:rPr>
        <w:t xml:space="preserve"> أَسْتَأْذِنُ فِي رُكُوبِ الْمَاءِ ، فَلَمْ يُؤْذَنْ لِي ، فَسَأَلْتُ عَنِ </w:t>
      </w:r>
      <w:r>
        <w:rPr>
          <w:rStyle w:val="libFootnotenumChar"/>
          <w:rtl/>
        </w:rPr>
        <w:t>(9)</w:t>
      </w:r>
      <w:r w:rsidRPr="00132E65">
        <w:rPr>
          <w:rtl/>
          <w:lang w:bidi="fa-IR"/>
        </w:rPr>
        <w:t xml:space="preserve"> الْمَرَاكِبِ الَّتِي خَرَجَتْ فِي </w:t>
      </w:r>
      <w:r>
        <w:rPr>
          <w:rStyle w:val="libFootnotenumChar"/>
          <w:rtl/>
        </w:rPr>
        <w:t>(10)</w:t>
      </w:r>
      <w:r w:rsidRPr="00132E65">
        <w:rPr>
          <w:rtl/>
          <w:lang w:bidi="fa-IR"/>
        </w:rPr>
        <w:t xml:space="preserve"> تِلْكَ السَّنَةِ فِي الْبَحْرِ ، فَمَا سَلِمَ مِنْهَا مَرْكَبٌ ، خَرَجَ عَلَيْهَا قَوْمٌ مِنَ الْهِنْدِ</w:t>
      </w:r>
      <w:r>
        <w:rPr>
          <w:rtl/>
          <w:lang w:bidi="fa-IR"/>
        </w:rPr>
        <w:t xml:space="preserve"> - </w:t>
      </w:r>
      <w:r w:rsidRPr="00132E65">
        <w:rPr>
          <w:rtl/>
          <w:lang w:bidi="fa-IR"/>
        </w:rPr>
        <w:t>يُقَالُ لَهُمُ :</w:t>
      </w:r>
      <w:r>
        <w:rPr>
          <w:rFonts w:hint="cs"/>
          <w:rtl/>
          <w:lang w:bidi="fa-IR"/>
        </w:rPr>
        <w:t xml:space="preserve"> </w:t>
      </w:r>
      <w:r w:rsidRPr="00132E65">
        <w:rPr>
          <w:rtl/>
          <w:lang w:bidi="fa-IR"/>
        </w:rPr>
        <w:t xml:space="preserve">الْبَوَارِجُ </w:t>
      </w:r>
      <w:r>
        <w:rPr>
          <w:rStyle w:val="libFootnotenumChar"/>
          <w:rtl/>
        </w:rPr>
        <w:t>(11)</w:t>
      </w:r>
      <w:r>
        <w:rPr>
          <w:rtl/>
          <w:lang w:bidi="fa-IR"/>
        </w:rPr>
        <w:t xml:space="preserve"> - </w:t>
      </w:r>
      <w:r w:rsidRPr="00132E65">
        <w:rPr>
          <w:rtl/>
          <w:lang w:bidi="fa-IR"/>
        </w:rPr>
        <w:t>فَقَطَعُوا عَلَيْهَا.</w:t>
      </w:r>
    </w:p>
    <w:p w:rsidR="000C39D1" w:rsidRPr="00132E65" w:rsidRDefault="000C39D1" w:rsidP="00456097">
      <w:pPr>
        <w:pStyle w:val="libNormal"/>
        <w:rPr>
          <w:rtl/>
          <w:lang w:bidi="fa-IR"/>
        </w:rPr>
      </w:pPr>
      <w:r w:rsidRPr="00132E65">
        <w:rPr>
          <w:rtl/>
          <w:lang w:bidi="fa-IR"/>
        </w:rPr>
        <w:t xml:space="preserve">قَالَ </w:t>
      </w:r>
      <w:r>
        <w:rPr>
          <w:rStyle w:val="libFootnotenumChar"/>
          <w:rtl/>
        </w:rPr>
        <w:t>(12)</w:t>
      </w:r>
      <w:r w:rsidRPr="00132E65">
        <w:rPr>
          <w:rtl/>
          <w:lang w:bidi="fa-IR"/>
        </w:rPr>
        <w:t xml:space="preserve"> : </w:t>
      </w:r>
      <w:r w:rsidR="00456097" w:rsidRPr="00132E65">
        <w:rPr>
          <w:rtl/>
          <w:lang w:bidi="fa-IR"/>
        </w:rPr>
        <w:t>و</w:t>
      </w:r>
      <w:r w:rsidR="00456097">
        <w:rPr>
          <w:rFonts w:hint="cs"/>
          <w:rtl/>
          <w:lang w:bidi="fa-IR"/>
        </w:rPr>
        <w:t>َ</w:t>
      </w:r>
      <w:r w:rsidRPr="00132E65">
        <w:rPr>
          <w:rtl/>
          <w:lang w:bidi="fa-IR"/>
        </w:rPr>
        <w:t xml:space="preserve">زُرْتُ </w:t>
      </w:r>
      <w:r w:rsidRPr="00F543F1">
        <w:rPr>
          <w:rStyle w:val="libFootnotenumChar"/>
          <w:rtl/>
        </w:rPr>
        <w:t>(13)</w:t>
      </w:r>
      <w:r w:rsidRPr="00132E65">
        <w:rPr>
          <w:rtl/>
          <w:lang w:bidi="fa-IR"/>
        </w:rPr>
        <w:t xml:space="preserve"> الْعَسْكَرَ ، فَأَتَيْتُ </w:t>
      </w:r>
      <w:r w:rsidRPr="00F543F1">
        <w:rPr>
          <w:rStyle w:val="libFootnotenumChar"/>
          <w:rtl/>
        </w:rPr>
        <w:t>(14)</w:t>
      </w:r>
      <w:r w:rsidRPr="00132E65">
        <w:rPr>
          <w:rtl/>
          <w:lang w:bidi="fa-IR"/>
        </w:rPr>
        <w:t xml:space="preserve"> الدَّرْبَ مَعَ الْمَغِيبِ ، </w:t>
      </w:r>
      <w:r w:rsidR="00456097" w:rsidRPr="00132E65">
        <w:rPr>
          <w:rtl/>
          <w:lang w:bidi="fa-IR"/>
        </w:rPr>
        <w:t>و</w:t>
      </w:r>
      <w:r w:rsidR="00456097">
        <w:rPr>
          <w:rFonts w:hint="cs"/>
          <w:rtl/>
          <w:lang w:bidi="fa-IR"/>
        </w:rPr>
        <w:t>َ</w:t>
      </w:r>
      <w:r w:rsidRPr="00132E65">
        <w:rPr>
          <w:rtl/>
          <w:lang w:bidi="fa-IR"/>
        </w:rPr>
        <w:t xml:space="preserve">لَمْ أُكَلِّمْ أَحَداً ، </w:t>
      </w:r>
      <w:r w:rsidR="00456097" w:rsidRPr="00132E65">
        <w:rPr>
          <w:rtl/>
          <w:lang w:bidi="fa-IR"/>
        </w:rPr>
        <w:t>و</w:t>
      </w:r>
      <w:r w:rsidR="00456097">
        <w:rPr>
          <w:rFonts w:hint="cs"/>
          <w:rtl/>
          <w:lang w:bidi="fa-IR"/>
        </w:rPr>
        <w:t>َ</w:t>
      </w:r>
      <w:r w:rsidRPr="00132E65">
        <w:rPr>
          <w:rtl/>
          <w:lang w:bidi="fa-IR"/>
        </w:rPr>
        <w:t xml:space="preserve">لَمْ أَتَعَرَّفْ إِلى أَحَدٍ ، </w:t>
      </w:r>
      <w:r w:rsidR="00456097" w:rsidRPr="00132E65">
        <w:rPr>
          <w:rtl/>
          <w:lang w:bidi="fa-IR"/>
        </w:rPr>
        <w:t>و</w:t>
      </w:r>
      <w:r w:rsidR="00456097">
        <w:rPr>
          <w:rFonts w:hint="cs"/>
          <w:rtl/>
          <w:lang w:bidi="fa-IR"/>
        </w:rPr>
        <w:t>َ</w:t>
      </w:r>
      <w:r w:rsidRPr="00132E65">
        <w:rPr>
          <w:rtl/>
          <w:lang w:bidi="fa-IR"/>
        </w:rPr>
        <w:t xml:space="preserve">أَنَا </w:t>
      </w:r>
      <w:r w:rsidRPr="00F543F1">
        <w:rPr>
          <w:rStyle w:val="libFootnotenumChar"/>
          <w:rtl/>
        </w:rPr>
        <w:t>(15)</w:t>
      </w:r>
      <w:r w:rsidRPr="00132E65">
        <w:rPr>
          <w:rtl/>
          <w:lang w:bidi="fa-IR"/>
        </w:rPr>
        <w:t xml:space="preserve"> أُصَلِّي فِي الْمَسْجِدِ بَعْدَ فَرَاغِي مِنَ الزِّيَارَةِ </w:t>
      </w:r>
      <w:r w:rsidRPr="00F543F1">
        <w:rPr>
          <w:rStyle w:val="libFootnotenumChar"/>
          <w:rtl/>
        </w:rPr>
        <w:t>(16)</w:t>
      </w:r>
      <w:r w:rsidRPr="00132E65">
        <w:rPr>
          <w:rtl/>
          <w:lang w:bidi="fa-IR"/>
        </w:rPr>
        <w:t xml:space="preserve"> إِذَا </w:t>
      </w:r>
      <w:r w:rsidRPr="00F543F1">
        <w:rPr>
          <w:rStyle w:val="libFootnotenumChar"/>
          <w:rtl/>
        </w:rPr>
        <w:t>(17)</w:t>
      </w:r>
      <w:r w:rsidRPr="00132E65">
        <w:rPr>
          <w:rtl/>
          <w:lang w:bidi="fa-IR"/>
        </w:rPr>
        <w:t xml:space="preserve"> بِخَادِمٍ‌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بر ، بس » وحاشية « ج » وحاشية بدرالدين : « اليمانين »</w:t>
      </w:r>
      <w:r>
        <w:rPr>
          <w:rtl/>
        </w:rPr>
        <w:t>.</w:t>
      </w:r>
      <w:r w:rsidRPr="00132E65">
        <w:rPr>
          <w:rtl/>
        </w:rPr>
        <w:t xml:space="preserve"> وفي </w:t>
      </w:r>
      <w:r w:rsidRPr="009D1ACE">
        <w:rPr>
          <w:rStyle w:val="libFootnoteBoldChar"/>
          <w:rtl/>
        </w:rPr>
        <w:t>الوافي</w:t>
      </w:r>
      <w:r w:rsidRPr="00132E65">
        <w:rPr>
          <w:rtl/>
        </w:rPr>
        <w:t xml:space="preserve"> : « اليمانيين »</w:t>
      </w:r>
      <w:r>
        <w:rPr>
          <w:rtl/>
        </w:rPr>
        <w:t>.</w:t>
      </w:r>
    </w:p>
    <w:tbl>
      <w:tblPr>
        <w:tblStyle w:val="TableGrid"/>
        <w:bidiVisual/>
        <w:tblW w:w="0" w:type="auto"/>
        <w:tblLook w:val="04A0" w:firstRow="1" w:lastRow="0" w:firstColumn="1" w:lastColumn="0" w:noHBand="0" w:noVBand="1"/>
      </w:tblPr>
      <w:tblGrid>
        <w:gridCol w:w="4261"/>
        <w:gridCol w:w="4262"/>
      </w:tblGrid>
      <w:tr w:rsidR="00456097" w:rsidTr="00456097">
        <w:tc>
          <w:tcPr>
            <w:tcW w:w="4261" w:type="dxa"/>
          </w:tcPr>
          <w:p w:rsidR="00456097" w:rsidRDefault="00456097" w:rsidP="000C39D1">
            <w:pPr>
              <w:pStyle w:val="libFootnote0"/>
              <w:rPr>
                <w:rtl/>
              </w:rPr>
            </w:pPr>
            <w:r>
              <w:rPr>
                <w:rtl/>
              </w:rPr>
              <w:t>(2).</w:t>
            </w:r>
            <w:r w:rsidRPr="00132E65">
              <w:rPr>
                <w:rtl/>
              </w:rPr>
              <w:t xml:space="preserve"> في « ف » والإرشاد و</w:t>
            </w:r>
            <w:r w:rsidRPr="009D1ACE">
              <w:rPr>
                <w:rStyle w:val="libFootnoteBoldChar"/>
                <w:rtl/>
              </w:rPr>
              <w:t>الوافي</w:t>
            </w:r>
            <w:r w:rsidRPr="00132E65">
              <w:rPr>
                <w:rtl/>
              </w:rPr>
              <w:t xml:space="preserve"> : « معهم »</w:t>
            </w:r>
            <w:r>
              <w:rPr>
                <w:rtl/>
              </w:rPr>
              <w:t>.</w:t>
            </w:r>
          </w:p>
        </w:tc>
        <w:tc>
          <w:tcPr>
            <w:tcW w:w="4262" w:type="dxa"/>
          </w:tcPr>
          <w:p w:rsidR="00456097" w:rsidRDefault="00456097" w:rsidP="000C39D1">
            <w:pPr>
              <w:pStyle w:val="libFootnote0"/>
              <w:rPr>
                <w:rtl/>
              </w:rPr>
            </w:pPr>
            <w:r>
              <w:rPr>
                <w:rtl/>
              </w:rPr>
              <w:t>(3).</w:t>
            </w:r>
            <w:r w:rsidRPr="00132E65">
              <w:rPr>
                <w:rtl/>
              </w:rPr>
              <w:t xml:space="preserve"> في « بر » </w:t>
            </w:r>
            <w:r>
              <w:rPr>
                <w:rtl/>
              </w:rPr>
              <w:t xml:space="preserve">: - </w:t>
            </w:r>
            <w:r w:rsidRPr="00132E65">
              <w:rPr>
                <w:rtl/>
              </w:rPr>
              <w:t>« معهم »</w:t>
            </w:r>
            <w:r>
              <w:rPr>
                <w:rtl/>
              </w:rPr>
              <w:t>.</w:t>
            </w:r>
          </w:p>
        </w:tc>
      </w:tr>
      <w:tr w:rsidR="00456097" w:rsidTr="00456097">
        <w:tc>
          <w:tcPr>
            <w:tcW w:w="4261" w:type="dxa"/>
          </w:tcPr>
          <w:p w:rsidR="00456097" w:rsidRDefault="00456097" w:rsidP="000C39D1">
            <w:pPr>
              <w:pStyle w:val="libFootnote0"/>
              <w:rPr>
                <w:rtl/>
              </w:rPr>
            </w:pPr>
            <w:r>
              <w:rPr>
                <w:rtl/>
              </w:rPr>
              <w:t>(4).</w:t>
            </w:r>
            <w:r w:rsidRPr="00132E65">
              <w:rPr>
                <w:rtl/>
              </w:rPr>
              <w:t xml:space="preserve"> في « ب » والإرشاد : « فأقمت »</w:t>
            </w:r>
            <w:r>
              <w:rPr>
                <w:rtl/>
              </w:rPr>
              <w:t>.</w:t>
            </w:r>
          </w:p>
        </w:tc>
        <w:tc>
          <w:tcPr>
            <w:tcW w:w="4262" w:type="dxa"/>
          </w:tcPr>
          <w:p w:rsidR="00456097" w:rsidRDefault="00456097" w:rsidP="000C39D1">
            <w:pPr>
              <w:pStyle w:val="libFootnote0"/>
              <w:rPr>
                <w:rtl/>
              </w:rPr>
            </w:pPr>
            <w:r>
              <w:rPr>
                <w:rtl/>
              </w:rPr>
              <w:t>(5).</w:t>
            </w:r>
            <w:r w:rsidRPr="00132E65">
              <w:rPr>
                <w:rtl/>
              </w:rPr>
              <w:t xml:space="preserve"> في « بح » : « فخرجت »</w:t>
            </w:r>
            <w:r>
              <w:rPr>
                <w:rtl/>
              </w:rPr>
              <w:t>.</w:t>
            </w:r>
          </w:p>
        </w:tc>
      </w:tr>
    </w:tbl>
    <w:p w:rsidR="000C39D1" w:rsidRPr="00132E65" w:rsidRDefault="000C39D1" w:rsidP="000C39D1">
      <w:pPr>
        <w:pStyle w:val="libFootnote0"/>
        <w:rPr>
          <w:rtl/>
          <w:lang w:bidi="fa-IR"/>
        </w:rPr>
      </w:pPr>
      <w:r>
        <w:rPr>
          <w:rtl/>
        </w:rPr>
        <w:t>(6).</w:t>
      </w:r>
      <w:r w:rsidRPr="00132E65">
        <w:rPr>
          <w:rtl/>
        </w:rPr>
        <w:t xml:space="preserve"> في الإرشاد : « بنو حنظلة »</w:t>
      </w:r>
      <w:r>
        <w:rPr>
          <w:rtl/>
        </w:rPr>
        <w:t>.</w:t>
      </w:r>
      <w:r w:rsidRPr="00132E65">
        <w:rPr>
          <w:rtl/>
        </w:rPr>
        <w:t xml:space="preserve"> </w:t>
      </w:r>
      <w:r>
        <w:rPr>
          <w:rtl/>
        </w:rPr>
        <w:t>و «</w:t>
      </w:r>
      <w:r w:rsidRPr="00132E65">
        <w:rPr>
          <w:rtl/>
        </w:rPr>
        <w:t xml:space="preserve"> حنظلة » : أكرم قبيلة من تميم ، يقال لهم : حنظلة الأكرمون. </w:t>
      </w:r>
      <w:r w:rsidRPr="00C20DDB">
        <w:rPr>
          <w:rtl/>
        </w:rPr>
        <w:t>مجمع البحرين</w:t>
      </w:r>
      <w:r w:rsidRPr="00132E65">
        <w:rPr>
          <w:rtl/>
        </w:rPr>
        <w:t xml:space="preserve"> ، ج 1 ، ص 466 ( حنظل )</w:t>
      </w:r>
      <w:r>
        <w:rPr>
          <w:rtl/>
        </w:rPr>
        <w:t>.</w:t>
      </w:r>
    </w:p>
    <w:p w:rsidR="000C39D1" w:rsidRPr="00132E65" w:rsidRDefault="000C39D1" w:rsidP="000C39D1">
      <w:pPr>
        <w:pStyle w:val="libFootnote0"/>
        <w:rPr>
          <w:rtl/>
          <w:lang w:bidi="fa-IR"/>
        </w:rPr>
      </w:pPr>
      <w:r>
        <w:rPr>
          <w:rtl/>
        </w:rPr>
        <w:t>(7).</w:t>
      </w:r>
      <w:r w:rsidRPr="00132E65">
        <w:rPr>
          <w:rtl/>
        </w:rPr>
        <w:t xml:space="preserve"> في « بر » : « فاجتاحهم »</w:t>
      </w:r>
      <w:r>
        <w:rPr>
          <w:rtl/>
        </w:rPr>
        <w:t>.</w:t>
      </w:r>
      <w:r w:rsidRPr="00132E65">
        <w:rPr>
          <w:rtl/>
        </w:rPr>
        <w:t xml:space="preserve"> وفي الإرشاد :</w:t>
      </w:r>
      <w:r>
        <w:rPr>
          <w:rtl/>
        </w:rPr>
        <w:t xml:space="preserve"> + </w:t>
      </w:r>
      <w:r w:rsidRPr="00132E65">
        <w:rPr>
          <w:rtl/>
        </w:rPr>
        <w:t>« قال »</w:t>
      </w:r>
      <w:r>
        <w:rPr>
          <w:rtl/>
        </w:rPr>
        <w:t>.</w:t>
      </w:r>
      <w:r w:rsidRPr="00132E65">
        <w:rPr>
          <w:rtl/>
        </w:rPr>
        <w:t xml:space="preserve"> </w:t>
      </w:r>
      <w:r>
        <w:rPr>
          <w:rtl/>
        </w:rPr>
        <w:t>و «</w:t>
      </w:r>
      <w:r w:rsidRPr="00132E65">
        <w:rPr>
          <w:rtl/>
        </w:rPr>
        <w:t xml:space="preserve"> الاجتياح » : الإهلاك والاستئصال ، من الجائحة ، وهي الآفة التي تهلك الثمار والأموال وتستأصلها. </w:t>
      </w:r>
      <w:r w:rsidRPr="00C20DDB">
        <w:rPr>
          <w:rtl/>
        </w:rPr>
        <w:t>النهاية</w:t>
      </w:r>
      <w:r w:rsidRPr="00132E65">
        <w:rPr>
          <w:rtl/>
        </w:rPr>
        <w:t xml:space="preserve"> ، ج 1 ، ص 312 ( جوح )</w:t>
      </w:r>
      <w:r>
        <w:rPr>
          <w:rtl/>
        </w:rPr>
        <w:t>.</w:t>
      </w:r>
    </w:p>
    <w:tbl>
      <w:tblPr>
        <w:tblStyle w:val="TableGrid"/>
        <w:bidiVisual/>
        <w:tblW w:w="0" w:type="auto"/>
        <w:tblLook w:val="04A0" w:firstRow="1" w:lastRow="0" w:firstColumn="1" w:lastColumn="0" w:noHBand="0" w:noVBand="1"/>
      </w:tblPr>
      <w:tblGrid>
        <w:gridCol w:w="4261"/>
        <w:gridCol w:w="4262"/>
      </w:tblGrid>
      <w:tr w:rsidR="0034286B" w:rsidTr="0034286B">
        <w:tc>
          <w:tcPr>
            <w:tcW w:w="4261" w:type="dxa"/>
          </w:tcPr>
          <w:p w:rsidR="0034286B" w:rsidRDefault="0034286B" w:rsidP="000C39D1">
            <w:pPr>
              <w:pStyle w:val="libFootnote0"/>
              <w:rPr>
                <w:rtl/>
              </w:rPr>
            </w:pPr>
            <w:r>
              <w:rPr>
                <w:rtl/>
              </w:rPr>
              <w:t>(8).</w:t>
            </w:r>
            <w:r w:rsidRPr="00132E65">
              <w:rPr>
                <w:rtl/>
              </w:rPr>
              <w:t xml:space="preserve"> في حاشية « بر » : « كنت »</w:t>
            </w:r>
            <w:r>
              <w:rPr>
                <w:rtl/>
              </w:rPr>
              <w:t>.</w:t>
            </w:r>
          </w:p>
        </w:tc>
        <w:tc>
          <w:tcPr>
            <w:tcW w:w="4262" w:type="dxa"/>
          </w:tcPr>
          <w:p w:rsidR="0034286B" w:rsidRDefault="0034286B" w:rsidP="000C39D1">
            <w:pPr>
              <w:pStyle w:val="libFootnote0"/>
              <w:rPr>
                <w:rtl/>
              </w:rPr>
            </w:pPr>
            <w:r>
              <w:rPr>
                <w:rtl/>
              </w:rPr>
              <w:t>(9).</w:t>
            </w:r>
            <w:r w:rsidRPr="00132E65">
              <w:rPr>
                <w:rtl/>
              </w:rPr>
              <w:t xml:space="preserve"> في « بر » : « من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الإرشاد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(11).</w:t>
      </w:r>
      <w:r w:rsidRPr="00132E65">
        <w:rPr>
          <w:rtl/>
        </w:rPr>
        <w:t xml:space="preserve"> هكذا في « ب ، ج ، ف ، بر ، بس ، بف » و</w:t>
      </w:r>
      <w:r w:rsidRPr="009D1ACE">
        <w:rPr>
          <w:rStyle w:val="libFootnoteBoldChar"/>
          <w:rtl/>
        </w:rPr>
        <w:t>مرآة العقول</w:t>
      </w:r>
      <w:r w:rsidRPr="00132E65">
        <w:rPr>
          <w:rtl/>
        </w:rPr>
        <w:t>. وفي « ض ، بح » والمطبوع : « البوارح »</w:t>
      </w:r>
      <w:r>
        <w:rPr>
          <w:rtl/>
        </w:rPr>
        <w:t>.</w:t>
      </w:r>
      <w:r w:rsidRPr="00132E65">
        <w:rPr>
          <w:rtl/>
        </w:rPr>
        <w:t xml:space="preserve"> قال في </w:t>
      </w:r>
      <w:r w:rsidRPr="00C20DDB">
        <w:rPr>
          <w:rtl/>
        </w:rPr>
        <w:t>المرآة</w:t>
      </w:r>
      <w:r w:rsidRPr="00132E65">
        <w:rPr>
          <w:rtl/>
        </w:rPr>
        <w:t xml:space="preserve"> : « كأنّ البوارج هنا معرّب بواره : طائفة من لصوص الهند »</w:t>
      </w:r>
      <w:r>
        <w:rPr>
          <w:rtl/>
        </w:rPr>
        <w:t>.</w:t>
      </w:r>
    </w:p>
    <w:p w:rsidR="000C39D1" w:rsidRPr="00132E65" w:rsidRDefault="000C39D1" w:rsidP="000C39D1">
      <w:pPr>
        <w:pStyle w:val="libFootnote0"/>
        <w:rPr>
          <w:rtl/>
          <w:lang w:bidi="fa-IR"/>
        </w:rPr>
      </w:pPr>
      <w:r>
        <w:rPr>
          <w:rtl/>
        </w:rPr>
        <w:t>(12).</w:t>
      </w:r>
      <w:r w:rsidRPr="00132E65">
        <w:rPr>
          <w:rtl/>
        </w:rPr>
        <w:t xml:space="preserve"> في الإرشاد : « عليّ بن الحسين قال »</w:t>
      </w:r>
      <w:r>
        <w:rPr>
          <w:rtl/>
        </w:rPr>
        <w:t>.</w:t>
      </w:r>
    </w:p>
    <w:p w:rsidR="000C39D1" w:rsidRPr="00132E65" w:rsidRDefault="000C39D1" w:rsidP="000C39D1">
      <w:pPr>
        <w:pStyle w:val="libFootnote0"/>
        <w:rPr>
          <w:rtl/>
          <w:lang w:bidi="fa-IR"/>
        </w:rPr>
      </w:pPr>
      <w:r>
        <w:rPr>
          <w:rtl/>
        </w:rPr>
        <w:t>(13)</w:t>
      </w:r>
      <w:r w:rsidRPr="00132E65">
        <w:rPr>
          <w:rtl/>
        </w:rPr>
        <w:t xml:space="preserve"> في « ب ، ج » : « ووردت »</w:t>
      </w:r>
      <w:r>
        <w:rPr>
          <w:rtl/>
        </w:rPr>
        <w:t>.</w:t>
      </w:r>
      <w:r w:rsidRPr="00132E65">
        <w:rPr>
          <w:rtl/>
        </w:rPr>
        <w:t xml:space="preserve"> وفي </w:t>
      </w:r>
      <w:r w:rsidRPr="009D1ACE">
        <w:rPr>
          <w:rStyle w:val="libFootnoteBoldChar"/>
          <w:rtl/>
        </w:rPr>
        <w:t>الوافي</w:t>
      </w:r>
      <w:r w:rsidRPr="00132E65">
        <w:rPr>
          <w:rtl/>
        </w:rPr>
        <w:t xml:space="preserve"> : « ودرت »</w:t>
      </w:r>
      <w:r>
        <w:rPr>
          <w:rtl/>
        </w:rPr>
        <w:t>.</w:t>
      </w:r>
      <w:r w:rsidRPr="00132E65">
        <w:rPr>
          <w:rtl/>
        </w:rPr>
        <w:t xml:space="preserve"> وفي الإرشاد : « وردت »</w:t>
      </w:r>
      <w:r>
        <w:rPr>
          <w:rtl/>
        </w:rPr>
        <w:t>.</w:t>
      </w:r>
    </w:p>
    <w:p w:rsidR="000C39D1" w:rsidRPr="00132E65" w:rsidRDefault="000C39D1" w:rsidP="000C39D1">
      <w:pPr>
        <w:pStyle w:val="libFootnote0"/>
        <w:rPr>
          <w:rtl/>
          <w:lang w:bidi="fa-IR"/>
        </w:rPr>
      </w:pPr>
      <w:r>
        <w:rPr>
          <w:rtl/>
        </w:rPr>
        <w:t>(14)</w:t>
      </w:r>
      <w:r w:rsidRPr="00132E65">
        <w:rPr>
          <w:rtl/>
        </w:rPr>
        <w:t xml:space="preserve"> في « بف » : « وأتيت »</w:t>
      </w:r>
      <w:r>
        <w:rPr>
          <w:rtl/>
        </w:rPr>
        <w:t>.</w:t>
      </w:r>
    </w:p>
    <w:p w:rsidR="000C39D1" w:rsidRPr="00132E65" w:rsidRDefault="000C39D1" w:rsidP="000C39D1">
      <w:pPr>
        <w:pStyle w:val="libFootnote0"/>
        <w:rPr>
          <w:rtl/>
          <w:lang w:bidi="fa-IR"/>
        </w:rPr>
      </w:pPr>
      <w:r>
        <w:rPr>
          <w:rtl/>
        </w:rPr>
        <w:t>(15)</w:t>
      </w:r>
      <w:r w:rsidRPr="00132E65">
        <w:rPr>
          <w:rtl/>
        </w:rPr>
        <w:t xml:space="preserve"> في الإرشاد : « فأنا »</w:t>
      </w:r>
      <w:r>
        <w:rPr>
          <w:rtl/>
        </w:rPr>
        <w:t>.</w:t>
      </w:r>
    </w:p>
    <w:p w:rsidR="000C39D1" w:rsidRPr="00132E65" w:rsidRDefault="000C39D1" w:rsidP="001A33C6">
      <w:pPr>
        <w:pStyle w:val="libFootnote0"/>
        <w:rPr>
          <w:rtl/>
          <w:lang w:bidi="fa-IR"/>
        </w:rPr>
      </w:pPr>
      <w:r>
        <w:rPr>
          <w:rtl/>
        </w:rPr>
        <w:t>(16)</w:t>
      </w:r>
      <w:r w:rsidRPr="00132E65">
        <w:rPr>
          <w:rtl/>
        </w:rPr>
        <w:t xml:space="preserve"> في </w:t>
      </w:r>
      <w:r w:rsidRPr="009D1ACE">
        <w:rPr>
          <w:rStyle w:val="libFootnoteBoldChar"/>
          <w:rtl/>
        </w:rPr>
        <w:t>الوافي</w:t>
      </w:r>
      <w:r w:rsidRPr="00132E65">
        <w:rPr>
          <w:rtl/>
        </w:rPr>
        <w:t xml:space="preserve"> : « لعلّه أراد بالزيارة زيارة الصاحب </w:t>
      </w:r>
      <w:r w:rsidRPr="001A33C6">
        <w:rPr>
          <w:rStyle w:val="libFootnoteAlaemChar"/>
          <w:rtl/>
        </w:rPr>
        <w:t>عليه‌السلام</w:t>
      </w:r>
      <w:r w:rsidRPr="00132E65">
        <w:rPr>
          <w:rtl/>
        </w:rPr>
        <w:t xml:space="preserve"> من خارج داره بتبليغ السلام من غير إشعار ، كما يدلّ عليه قوله : « من داخل » في آخر الحديث »</w:t>
      </w:r>
      <w:r>
        <w:rPr>
          <w:rtl/>
        </w:rPr>
        <w:t>.</w:t>
      </w:r>
      <w:r w:rsidR="001A33C6">
        <w:rPr>
          <w:rFonts w:hint="cs"/>
          <w:rtl/>
        </w:rPr>
        <w:t xml:space="preserve">                                 </w:t>
      </w:r>
      <w:r>
        <w:rPr>
          <w:rtl/>
        </w:rPr>
        <w:t>(17)</w:t>
      </w:r>
      <w:r w:rsidRPr="00132E65">
        <w:rPr>
          <w:rtl/>
        </w:rPr>
        <w:t xml:space="preserve"> في الإرشاد : « فإذا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612129">
      <w:pPr>
        <w:pStyle w:val="libNormal0"/>
        <w:tabs>
          <w:tab w:val="left" w:pos="3968"/>
        </w:tabs>
        <w:rPr>
          <w:rtl/>
          <w:lang w:bidi="fa-IR"/>
        </w:rPr>
      </w:pPr>
      <w:r w:rsidRPr="00132E65">
        <w:rPr>
          <w:rtl/>
          <w:lang w:bidi="fa-IR"/>
        </w:rPr>
        <w:t xml:space="preserve">قَدْ جَاءَنِي ، فَقَالَ لِي : قُمْ ، فَقُلْتُ لَهُ : إِذَنْ </w:t>
      </w:r>
      <w:r>
        <w:rPr>
          <w:rStyle w:val="libFootnotenumChar"/>
          <w:rtl/>
        </w:rPr>
        <w:t>(1)</w:t>
      </w:r>
      <w:r w:rsidRPr="00132E65">
        <w:rPr>
          <w:rtl/>
          <w:lang w:bidi="fa-IR"/>
        </w:rPr>
        <w:t xml:space="preserve"> إِلى أَيْنَ</w:t>
      </w:r>
      <w:r>
        <w:rPr>
          <w:rtl/>
          <w:lang w:bidi="fa-IR"/>
        </w:rPr>
        <w:t>؟</w:t>
      </w:r>
      <w:r w:rsidRPr="00132E65">
        <w:rPr>
          <w:rtl/>
          <w:lang w:bidi="fa-IR"/>
        </w:rPr>
        <w:t xml:space="preserve"> فَقَالَ لِي </w:t>
      </w:r>
      <w:r>
        <w:rPr>
          <w:rStyle w:val="libFootnotenumChar"/>
          <w:rtl/>
        </w:rPr>
        <w:t>(2)</w:t>
      </w:r>
      <w:r w:rsidRPr="00132E65">
        <w:rPr>
          <w:rtl/>
          <w:lang w:bidi="fa-IR"/>
        </w:rPr>
        <w:t xml:space="preserve"> : إِلَى الْمَنْزِلِ ، قُلْتُ </w:t>
      </w:r>
      <w:r>
        <w:rPr>
          <w:rStyle w:val="libFootnotenumChar"/>
          <w:rtl/>
        </w:rPr>
        <w:t>(3)</w:t>
      </w:r>
      <w:r w:rsidRPr="00132E65">
        <w:rPr>
          <w:rtl/>
          <w:lang w:bidi="fa-IR"/>
        </w:rPr>
        <w:t xml:space="preserve"> :</w:t>
      </w:r>
      <w:r>
        <w:rPr>
          <w:rFonts w:hint="cs"/>
          <w:rtl/>
          <w:lang w:bidi="fa-IR"/>
        </w:rPr>
        <w:t xml:space="preserve"> </w:t>
      </w:r>
      <w:r w:rsidRPr="00132E65">
        <w:rPr>
          <w:rtl/>
          <w:lang w:bidi="fa-IR"/>
        </w:rPr>
        <w:t>وَمَنْ أَنَا</w:t>
      </w:r>
      <w:r>
        <w:rPr>
          <w:rtl/>
          <w:lang w:bidi="fa-IR"/>
        </w:rPr>
        <w:t>؟</w:t>
      </w:r>
      <w:r w:rsidRPr="00132E65">
        <w:rPr>
          <w:rtl/>
          <w:lang w:bidi="fa-IR"/>
        </w:rPr>
        <w:t xml:space="preserve"> لَعَلَّكَ أُرْسِلْتَ إِلى غَيْرِي ، فَقَالَ </w:t>
      </w:r>
      <w:r>
        <w:rPr>
          <w:rStyle w:val="libFootnotenumChar"/>
          <w:rtl/>
        </w:rPr>
        <w:t>(4)</w:t>
      </w:r>
      <w:r w:rsidR="00612129">
        <w:rPr>
          <w:rtl/>
          <w:lang w:bidi="fa-IR"/>
        </w:rPr>
        <w:t xml:space="preserve"> : لَا ، مَا أُرْسِلْتُ إِل</w:t>
      </w:r>
      <w:r w:rsidR="00612129">
        <w:rPr>
          <w:rFonts w:hint="cs"/>
          <w:rtl/>
          <w:lang w:bidi="fa-IR"/>
        </w:rPr>
        <w:t>َّ</w:t>
      </w:r>
      <w:r w:rsidR="00612129">
        <w:rPr>
          <w:rtl/>
          <w:lang w:bidi="fa-IR"/>
        </w:rPr>
        <w:t>ا</w:t>
      </w:r>
      <w:r w:rsidRPr="00132E65">
        <w:rPr>
          <w:rtl/>
          <w:lang w:bidi="fa-IR"/>
        </w:rPr>
        <w:t xml:space="preserve"> إِلَيْكَ ، أَنْتَ عَلِيُّ بْنُ الْحُسَيْنِ </w:t>
      </w:r>
      <w:r>
        <w:rPr>
          <w:rStyle w:val="libFootnotenumChar"/>
          <w:rtl/>
        </w:rPr>
        <w:t>(5)</w:t>
      </w:r>
      <w:r w:rsidRPr="00132E65">
        <w:rPr>
          <w:rtl/>
          <w:lang w:bidi="fa-IR"/>
        </w:rPr>
        <w:t xml:space="preserve"> رَسُولُ جَعْفَرِ بْنِ إِبْرَاهِيمَ ، فَمَرَّ بِي حَتّى أَنْزَلَنِي فِي بَيْتِ الْحُسَيْنِ بْنِ أَحْمَدَ ، ثُمَّ سَارَّهُ </w:t>
      </w:r>
      <w:r>
        <w:rPr>
          <w:rStyle w:val="libFootnotenumChar"/>
          <w:rtl/>
        </w:rPr>
        <w:t>(6)</w:t>
      </w:r>
      <w:r w:rsidRPr="00132E65">
        <w:rPr>
          <w:rtl/>
          <w:lang w:bidi="fa-IR"/>
        </w:rPr>
        <w:t xml:space="preserve"> ، فَلَمْ أَدْرِ مَا قَالَ لَهُ </w:t>
      </w:r>
      <w:r>
        <w:rPr>
          <w:rStyle w:val="libFootnotenumChar"/>
          <w:rtl/>
        </w:rPr>
        <w:t>(7)</w:t>
      </w:r>
      <w:r w:rsidRPr="00132E65">
        <w:rPr>
          <w:rtl/>
          <w:lang w:bidi="fa-IR"/>
        </w:rPr>
        <w:t xml:space="preserve"> حَتّى آتَانِي </w:t>
      </w:r>
      <w:r>
        <w:rPr>
          <w:rStyle w:val="libFootnotenumChar"/>
          <w:rtl/>
        </w:rPr>
        <w:t>(8)</w:t>
      </w:r>
      <w:r w:rsidRPr="00132E65">
        <w:rPr>
          <w:rtl/>
          <w:lang w:bidi="fa-IR"/>
        </w:rPr>
        <w:t xml:space="preserve"> جَمِيعَ </w:t>
      </w:r>
      <w:r>
        <w:rPr>
          <w:rStyle w:val="libFootnotenumChar"/>
          <w:rtl/>
        </w:rPr>
        <w:t>(9)</w:t>
      </w:r>
      <w:r w:rsidRPr="00132E65">
        <w:rPr>
          <w:rtl/>
          <w:lang w:bidi="fa-IR"/>
        </w:rPr>
        <w:t xml:space="preserve"> مَا أَحْتَاجُ إِلَيْهِ ، و</w:t>
      </w:r>
      <w:r w:rsidR="00612129">
        <w:rPr>
          <w:rFonts w:hint="cs"/>
          <w:rtl/>
          <w:lang w:bidi="fa-IR"/>
        </w:rPr>
        <w:t>َ</w:t>
      </w:r>
      <w:r w:rsidRPr="00132E65">
        <w:rPr>
          <w:rtl/>
          <w:lang w:bidi="fa-IR"/>
        </w:rPr>
        <w:t xml:space="preserve">جَلَسْتُ عِنْدَهُ ثَلَاثَةَ أَيَّامٍ ، </w:t>
      </w:r>
      <w:r w:rsidR="00612129" w:rsidRPr="00132E65">
        <w:rPr>
          <w:rtl/>
          <w:lang w:bidi="fa-IR"/>
        </w:rPr>
        <w:t>و</w:t>
      </w:r>
      <w:r w:rsidR="00612129">
        <w:rPr>
          <w:rFonts w:hint="cs"/>
          <w:rtl/>
          <w:lang w:bidi="fa-IR"/>
        </w:rPr>
        <w:t>َ</w:t>
      </w:r>
      <w:r w:rsidRPr="00132E65">
        <w:rPr>
          <w:rtl/>
          <w:lang w:bidi="fa-IR"/>
        </w:rPr>
        <w:t xml:space="preserve">اسْتَأْذَنْتُهُ فِي الزِّيَارَةِ مِنْ دَاخِلٍ </w:t>
      </w:r>
      <w:r>
        <w:rPr>
          <w:rStyle w:val="libFootnotenumChar"/>
          <w:rtl/>
        </w:rPr>
        <w:t>(10)</w:t>
      </w:r>
      <w:r w:rsidRPr="00132E65">
        <w:rPr>
          <w:rtl/>
          <w:lang w:bidi="fa-IR"/>
        </w:rPr>
        <w:t xml:space="preserve"> ، فَأَذِنَ لِي </w:t>
      </w:r>
      <w:r>
        <w:rPr>
          <w:rStyle w:val="libFootnotenumChar"/>
          <w:rtl/>
        </w:rPr>
        <w:t>(11)</w:t>
      </w:r>
      <w:r w:rsidRPr="00132E65">
        <w:rPr>
          <w:rtl/>
          <w:lang w:bidi="fa-IR"/>
        </w:rPr>
        <w:t xml:space="preserve"> ، فَزُرْتُ لَيْلاً.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C20DDB">
        <w:rPr>
          <w:rtl/>
        </w:rPr>
        <w:t>1369</w:t>
      </w:r>
      <w:r w:rsidRPr="004325D8">
        <w:rPr>
          <w:rStyle w:val="libBold2Char"/>
          <w:rtl/>
        </w:rPr>
        <w:t xml:space="preserve"> / 13.</w:t>
      </w:r>
      <w:r w:rsidRPr="00132E65">
        <w:rPr>
          <w:rtl/>
          <w:lang w:bidi="fa-IR"/>
        </w:rPr>
        <w:t xml:space="preserve"> الْحَسَنُ بْنُ الْفَضْلِ بْنِ زَيْدٍ </w:t>
      </w:r>
      <w:r w:rsidRPr="00F543F1">
        <w:rPr>
          <w:rStyle w:val="libFootnotenumChar"/>
          <w:rtl/>
        </w:rPr>
        <w:t>(13)</w:t>
      </w:r>
      <w:r w:rsidRPr="00132E65">
        <w:rPr>
          <w:rtl/>
          <w:lang w:bidi="fa-IR"/>
        </w:rPr>
        <w:t xml:space="preserve"> الْيَمَانِيُّ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ض ، ف ، بر » : « إذا »</w:t>
      </w:r>
      <w:r>
        <w:rPr>
          <w:rtl/>
        </w:rPr>
        <w:t>.</w:t>
      </w:r>
      <w:r w:rsidRPr="00132E65">
        <w:rPr>
          <w:rtl/>
        </w:rPr>
        <w:t xml:space="preserve"> وفي الإرشاد </w:t>
      </w:r>
      <w:r>
        <w:rPr>
          <w:rtl/>
        </w:rPr>
        <w:t xml:space="preserve">: - </w:t>
      </w:r>
      <w:r w:rsidRPr="00132E65">
        <w:rPr>
          <w:rtl/>
        </w:rPr>
        <w:t>« إذن »</w:t>
      </w:r>
      <w:r>
        <w:rPr>
          <w:rtl/>
        </w:rPr>
        <w:t>.</w:t>
      </w:r>
    </w:p>
    <w:tbl>
      <w:tblPr>
        <w:tblStyle w:val="TableGrid"/>
        <w:bidiVisual/>
        <w:tblW w:w="0" w:type="auto"/>
        <w:tblLook w:val="04A0" w:firstRow="1" w:lastRow="0" w:firstColumn="1" w:lastColumn="0" w:noHBand="0" w:noVBand="1"/>
      </w:tblPr>
      <w:tblGrid>
        <w:gridCol w:w="4261"/>
        <w:gridCol w:w="4262"/>
      </w:tblGrid>
      <w:tr w:rsidR="00612129" w:rsidTr="00612129">
        <w:tc>
          <w:tcPr>
            <w:tcW w:w="4261" w:type="dxa"/>
          </w:tcPr>
          <w:p w:rsidR="00612129" w:rsidRDefault="00612129" w:rsidP="000C39D1">
            <w:pPr>
              <w:pStyle w:val="libFootnote0"/>
              <w:rPr>
                <w:rtl/>
              </w:rPr>
            </w:pPr>
            <w:r>
              <w:rPr>
                <w:rtl/>
              </w:rPr>
              <w:t>(2).</w:t>
            </w:r>
            <w:r w:rsidRPr="00132E65">
              <w:rPr>
                <w:rtl/>
              </w:rPr>
              <w:t xml:space="preserve"> في « ب ، بر » والإرشاد </w:t>
            </w:r>
            <w:r>
              <w:rPr>
                <w:rtl/>
              </w:rPr>
              <w:t xml:space="preserve">: - </w:t>
            </w:r>
            <w:r w:rsidRPr="00132E65">
              <w:rPr>
                <w:rtl/>
              </w:rPr>
              <w:t>« لي »</w:t>
            </w:r>
            <w:r>
              <w:rPr>
                <w:rtl/>
              </w:rPr>
              <w:t>.</w:t>
            </w:r>
          </w:p>
        </w:tc>
        <w:tc>
          <w:tcPr>
            <w:tcW w:w="4262" w:type="dxa"/>
          </w:tcPr>
          <w:p w:rsidR="00612129" w:rsidRDefault="00612129" w:rsidP="000C39D1">
            <w:pPr>
              <w:pStyle w:val="libFootnote0"/>
              <w:rPr>
                <w:rtl/>
              </w:rPr>
            </w:pPr>
            <w:r>
              <w:rPr>
                <w:rtl/>
              </w:rPr>
              <w:t>(3).</w:t>
            </w:r>
            <w:r w:rsidRPr="00132E65">
              <w:rPr>
                <w:rtl/>
              </w:rPr>
              <w:t xml:space="preserve"> في </w:t>
            </w:r>
            <w:r w:rsidRPr="009D1ACE">
              <w:rPr>
                <w:rStyle w:val="libFootnoteBoldChar"/>
                <w:rtl/>
              </w:rPr>
              <w:t>الوافي</w:t>
            </w:r>
            <w:r w:rsidRPr="00132E65">
              <w:rPr>
                <w:rtl/>
              </w:rPr>
              <w:t xml:space="preserve"> : « فقلت »</w:t>
            </w:r>
            <w:r>
              <w:rPr>
                <w:rtl/>
              </w:rPr>
              <w:t>.</w:t>
            </w:r>
          </w:p>
        </w:tc>
      </w:tr>
    </w:tbl>
    <w:p w:rsidR="000C39D1" w:rsidRPr="00132E65" w:rsidRDefault="000C39D1" w:rsidP="000C39D1">
      <w:pPr>
        <w:pStyle w:val="libFootnote0"/>
        <w:rPr>
          <w:rtl/>
          <w:lang w:bidi="fa-IR"/>
        </w:rPr>
      </w:pPr>
      <w:r>
        <w:rPr>
          <w:rtl/>
        </w:rPr>
        <w:t>(4).</w:t>
      </w:r>
      <w:r w:rsidRPr="00132E65">
        <w:rPr>
          <w:rtl/>
        </w:rPr>
        <w:t xml:space="preserve"> في « ب » : « قال »</w:t>
      </w:r>
      <w:r>
        <w:rPr>
          <w:rtl/>
        </w:rPr>
        <w:t>.</w:t>
      </w:r>
    </w:p>
    <w:p w:rsidR="000C39D1" w:rsidRPr="00132E65" w:rsidRDefault="000C39D1" w:rsidP="000C39D1">
      <w:pPr>
        <w:pStyle w:val="libFootnote0"/>
        <w:rPr>
          <w:rtl/>
          <w:lang w:bidi="fa-IR"/>
        </w:rPr>
      </w:pPr>
      <w:r>
        <w:rPr>
          <w:rtl/>
        </w:rPr>
        <w:t>(5).</w:t>
      </w:r>
      <w:r w:rsidRPr="00132E65">
        <w:rPr>
          <w:rtl/>
        </w:rPr>
        <w:t xml:space="preserve"> في « ف ، بر ، بس » : « الحسن »</w:t>
      </w:r>
      <w:r>
        <w:rPr>
          <w:rtl/>
        </w:rPr>
        <w:t>.</w:t>
      </w:r>
      <w:r w:rsidRPr="00132E65">
        <w:rPr>
          <w:rtl/>
        </w:rPr>
        <w:t xml:space="preserve"> وفي « ج » وحاشية « ف » :</w:t>
      </w:r>
      <w:r>
        <w:rPr>
          <w:rtl/>
        </w:rPr>
        <w:t xml:space="preserve"> + </w:t>
      </w:r>
      <w:r w:rsidRPr="00132E65">
        <w:rPr>
          <w:rtl/>
        </w:rPr>
        <w:t>« بن أحمد »</w:t>
      </w:r>
      <w:r>
        <w:rPr>
          <w:rtl/>
        </w:rPr>
        <w:t>.</w:t>
      </w:r>
    </w:p>
    <w:p w:rsidR="000C39D1" w:rsidRPr="00132E65" w:rsidRDefault="000C39D1" w:rsidP="000C39D1">
      <w:pPr>
        <w:pStyle w:val="libFootnote0"/>
        <w:rPr>
          <w:rtl/>
          <w:lang w:bidi="fa-IR"/>
        </w:rPr>
      </w:pPr>
      <w:r>
        <w:rPr>
          <w:rtl/>
        </w:rPr>
        <w:t>(6).</w:t>
      </w:r>
      <w:r w:rsidRPr="00132E65">
        <w:rPr>
          <w:rtl/>
        </w:rPr>
        <w:t xml:space="preserve"> في الإرشاد : « وكان معه غلام فسارّه » بدل « رسول جعفر</w:t>
      </w:r>
      <w:r>
        <w:rPr>
          <w:rtl/>
        </w:rPr>
        <w:t xml:space="preserve"> - </w:t>
      </w:r>
      <w:r w:rsidRPr="00132E65">
        <w:rPr>
          <w:rtl/>
        </w:rPr>
        <w:t>إلى</w:t>
      </w:r>
      <w:r>
        <w:rPr>
          <w:rtl/>
        </w:rPr>
        <w:t xml:space="preserve"> - </w:t>
      </w:r>
      <w:r w:rsidRPr="00132E65">
        <w:rPr>
          <w:rtl/>
        </w:rPr>
        <w:t>ثمّ سارّه »</w:t>
      </w:r>
      <w:r>
        <w:rPr>
          <w:rtl/>
        </w:rPr>
        <w:t>.</w:t>
      </w:r>
      <w:r w:rsidRPr="00132E65">
        <w:rPr>
          <w:rtl/>
        </w:rPr>
        <w:t xml:space="preserve"> وسارّه في ا</w:t>
      </w:r>
      <w:r w:rsidR="00F91A55">
        <w:rPr>
          <w:rFonts w:hint="cs"/>
          <w:rtl/>
        </w:rPr>
        <w:t>ُ</w:t>
      </w:r>
      <w:r w:rsidRPr="00132E65">
        <w:rPr>
          <w:rtl/>
        </w:rPr>
        <w:t xml:space="preserve">ذُنه مسارّة وسِراراً ، وتسارُّوا ، أي تناجَوا. </w:t>
      </w:r>
      <w:r w:rsidRPr="00C20DDB">
        <w:rPr>
          <w:rtl/>
        </w:rPr>
        <w:t>الصحاح</w:t>
      </w:r>
      <w:r w:rsidRPr="00132E65">
        <w:rPr>
          <w:rtl/>
        </w:rPr>
        <w:t xml:space="preserve"> ، ج 2 ، ص 684 ( سرر )</w:t>
      </w:r>
      <w:r>
        <w:rPr>
          <w:rtl/>
        </w:rPr>
        <w:t>.</w:t>
      </w:r>
    </w:p>
    <w:p w:rsidR="000C39D1" w:rsidRPr="00132E65" w:rsidRDefault="000C39D1" w:rsidP="000C39D1">
      <w:pPr>
        <w:pStyle w:val="libFootnote0"/>
        <w:rPr>
          <w:rtl/>
          <w:lang w:bidi="fa-IR"/>
        </w:rPr>
      </w:pPr>
      <w:r>
        <w:rPr>
          <w:rtl/>
        </w:rPr>
        <w:t>(7).</w:t>
      </w:r>
      <w:r w:rsidRPr="00132E65">
        <w:rPr>
          <w:rtl/>
        </w:rPr>
        <w:t xml:space="preserve"> في « ف » : « قاله »</w:t>
      </w:r>
      <w:r>
        <w:rPr>
          <w:rtl/>
        </w:rPr>
        <w:t>.</w:t>
      </w:r>
      <w:r w:rsidRPr="00132E65">
        <w:rPr>
          <w:rtl/>
        </w:rPr>
        <w:t xml:space="preserve"> وفي الإرشاد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(8).</w:t>
      </w:r>
      <w:r w:rsidRPr="00132E65">
        <w:rPr>
          <w:rtl/>
        </w:rPr>
        <w:t xml:space="preserve"> في « ب » وحاشية « ج ، ف » : « أتاني »</w:t>
      </w:r>
      <w:r>
        <w:rPr>
          <w:rtl/>
        </w:rPr>
        <w:t>.</w:t>
      </w:r>
      <w:r w:rsidRPr="00132E65">
        <w:rPr>
          <w:rtl/>
        </w:rPr>
        <w:t xml:space="preserve"> وفي « ض ، ج » : « أنبأني »</w:t>
      </w:r>
      <w:r>
        <w:rPr>
          <w:rtl/>
        </w:rPr>
        <w:t>.</w:t>
      </w:r>
      <w:r w:rsidRPr="00132E65">
        <w:rPr>
          <w:rtl/>
        </w:rPr>
        <w:t xml:space="preserve"> وفي « بر » : « نبّأني »</w:t>
      </w:r>
      <w:r>
        <w:rPr>
          <w:rtl/>
        </w:rPr>
        <w:t>.</w:t>
      </w:r>
    </w:p>
    <w:tbl>
      <w:tblPr>
        <w:tblStyle w:val="TableGrid"/>
        <w:bidiVisual/>
        <w:tblW w:w="0" w:type="auto"/>
        <w:tblLook w:val="04A0" w:firstRow="1" w:lastRow="0" w:firstColumn="1" w:lastColumn="0" w:noHBand="0" w:noVBand="1"/>
      </w:tblPr>
      <w:tblGrid>
        <w:gridCol w:w="4261"/>
        <w:gridCol w:w="4262"/>
      </w:tblGrid>
      <w:tr w:rsidR="00F91A55" w:rsidTr="00F91A55">
        <w:tc>
          <w:tcPr>
            <w:tcW w:w="4261" w:type="dxa"/>
          </w:tcPr>
          <w:p w:rsidR="00F91A55" w:rsidRDefault="00F91A55" w:rsidP="000C39D1">
            <w:pPr>
              <w:pStyle w:val="libFootnote0"/>
              <w:rPr>
                <w:rtl/>
              </w:rPr>
            </w:pPr>
            <w:r>
              <w:rPr>
                <w:rtl/>
              </w:rPr>
              <w:t>(9).</w:t>
            </w:r>
            <w:r w:rsidRPr="00132E65">
              <w:rPr>
                <w:rtl/>
              </w:rPr>
              <w:t xml:space="preserve"> في « ب » والإرشاد : « بجميع »</w:t>
            </w:r>
            <w:r>
              <w:rPr>
                <w:rtl/>
              </w:rPr>
              <w:t>.</w:t>
            </w:r>
          </w:p>
        </w:tc>
        <w:tc>
          <w:tcPr>
            <w:tcW w:w="4262" w:type="dxa"/>
          </w:tcPr>
          <w:p w:rsidR="00F91A55" w:rsidRDefault="00F91A55" w:rsidP="000C39D1">
            <w:pPr>
              <w:pStyle w:val="libFootnote0"/>
              <w:rPr>
                <w:rtl/>
              </w:rPr>
            </w:pPr>
            <w:r>
              <w:rPr>
                <w:rtl/>
              </w:rPr>
              <w:t>(10).</w:t>
            </w:r>
            <w:r w:rsidRPr="00132E65">
              <w:rPr>
                <w:rtl/>
              </w:rPr>
              <w:t xml:space="preserve"> في الإرشاد :</w:t>
            </w:r>
            <w:r>
              <w:rPr>
                <w:rtl/>
              </w:rPr>
              <w:t xml:space="preserve"> + </w:t>
            </w:r>
            <w:r w:rsidRPr="00132E65">
              <w:rPr>
                <w:rtl/>
              </w:rPr>
              <w:t>« الدار »</w:t>
            </w:r>
            <w:r>
              <w:rPr>
                <w:rtl/>
              </w:rPr>
              <w:t>.</w:t>
            </w:r>
          </w:p>
        </w:tc>
      </w:tr>
    </w:tbl>
    <w:p w:rsidR="000C39D1" w:rsidRPr="00132E65" w:rsidRDefault="000C39D1" w:rsidP="000C39D1">
      <w:pPr>
        <w:pStyle w:val="libFootnote0"/>
        <w:rPr>
          <w:rtl/>
          <w:lang w:bidi="fa-IR"/>
        </w:rPr>
      </w:pPr>
      <w:r>
        <w:rPr>
          <w:rtl/>
        </w:rPr>
        <w:t>(11).</w:t>
      </w:r>
      <w:r w:rsidRPr="00132E65">
        <w:rPr>
          <w:rtl/>
        </w:rPr>
        <w:t xml:space="preserve"> في « ب ، ج ، ض ، ف ، بح ، بس » : « لنا »</w:t>
      </w:r>
      <w:r>
        <w:rPr>
          <w:rtl/>
        </w:rPr>
        <w:t>.</w:t>
      </w:r>
    </w:p>
    <w:p w:rsidR="000C39D1" w:rsidRPr="00132E65" w:rsidRDefault="000C39D1" w:rsidP="00120822">
      <w:pPr>
        <w:pStyle w:val="libFootnote0"/>
        <w:rPr>
          <w:rtl/>
          <w:lang w:bidi="fa-IR"/>
        </w:rPr>
      </w:pPr>
      <w:r>
        <w:rPr>
          <w:rtl/>
        </w:rPr>
        <w:t>(12).</w:t>
      </w:r>
      <w:r w:rsidRPr="00132E65">
        <w:rPr>
          <w:rtl/>
        </w:rPr>
        <w:t xml:space="preserve"> </w:t>
      </w:r>
      <w:r w:rsidRPr="00C20DDB">
        <w:rPr>
          <w:rtl/>
        </w:rPr>
        <w:t>الإرشاد</w:t>
      </w:r>
      <w:r w:rsidRPr="00132E65">
        <w:rPr>
          <w:rtl/>
        </w:rPr>
        <w:t xml:space="preserve"> ، ج 2 ، ص 358 ، عن عليّ بن محمّد. وفي </w:t>
      </w:r>
      <w:r w:rsidRPr="00C20DDB">
        <w:rPr>
          <w:rtl/>
        </w:rPr>
        <w:t>كمال الدين</w:t>
      </w:r>
      <w:r w:rsidRPr="00132E65">
        <w:rPr>
          <w:rtl/>
        </w:rPr>
        <w:t xml:space="preserve"> ، ص 491 ، ح 14 ، عن أبيه ، عن سعد بن عبد الله ، عن عليّ بن محمّد الشمشاطي رسول جعفر بن إبراهيم اليماني ، مع اختلاف يسير</w:t>
      </w:r>
      <w:r w:rsidR="00120822">
        <w:rPr>
          <w:rFonts w:hint="cs"/>
          <w:rtl/>
        </w:rPr>
        <w:t>.</w:t>
      </w:r>
      <w:r w:rsidRPr="009D1ACE">
        <w:rPr>
          <w:rStyle w:val="libFootnoteBoldChar"/>
          <w:rtl/>
        </w:rPr>
        <w:t>الوافي</w:t>
      </w:r>
      <w:r w:rsidRPr="00132E65">
        <w:rPr>
          <w:rtl/>
        </w:rPr>
        <w:t xml:space="preserve"> ، ج 3 ، ص 871 ، ح 1492.</w:t>
      </w:r>
    </w:p>
    <w:p w:rsidR="000C39D1" w:rsidRPr="00132E65" w:rsidRDefault="000C39D1" w:rsidP="000C39D1">
      <w:pPr>
        <w:pStyle w:val="libFootnote0"/>
        <w:rPr>
          <w:rtl/>
          <w:lang w:bidi="fa-IR"/>
        </w:rPr>
      </w:pPr>
      <w:r>
        <w:rPr>
          <w:rtl/>
        </w:rPr>
        <w:t>(13)</w:t>
      </w:r>
      <w:r w:rsidRPr="00132E65">
        <w:rPr>
          <w:rtl/>
        </w:rPr>
        <w:t xml:space="preserve"> في « ب ، ف ، بف » وحاشية « ض ، بح » و</w:t>
      </w:r>
      <w:r w:rsidRPr="009D1ACE">
        <w:rPr>
          <w:rStyle w:val="libFootnoteBoldChar"/>
          <w:rtl/>
        </w:rPr>
        <w:t>الوافي</w:t>
      </w:r>
      <w:r w:rsidRPr="00132E65">
        <w:rPr>
          <w:rtl/>
        </w:rPr>
        <w:t xml:space="preserve"> : « يزيد »</w:t>
      </w:r>
      <w:r>
        <w:rPr>
          <w:rtl/>
        </w:rPr>
        <w:t>.</w:t>
      </w:r>
    </w:p>
    <w:p w:rsidR="000C39D1" w:rsidRPr="00132E65" w:rsidRDefault="000C39D1" w:rsidP="000C39D1">
      <w:pPr>
        <w:pStyle w:val="libFootnote0"/>
        <w:rPr>
          <w:rtl/>
          <w:lang w:bidi="fa-IR"/>
        </w:rPr>
      </w:pPr>
      <w:r w:rsidRPr="00F24C1F">
        <w:rPr>
          <w:rtl/>
        </w:rPr>
        <w:t xml:space="preserve">هذا ، وقد ذكر الصدوق في </w:t>
      </w:r>
      <w:r w:rsidRPr="00C20DDB">
        <w:rPr>
          <w:rtl/>
        </w:rPr>
        <w:t>كمال الدين</w:t>
      </w:r>
      <w:r w:rsidRPr="00F24C1F">
        <w:rPr>
          <w:rtl/>
        </w:rPr>
        <w:t xml:space="preserve"> ، ص 442 ، ح 16 ، بسنده عن محمّد بن أبي عبد الله الكوفي ، الفضل بن يزيد والحسنَ ابنه من اليمن ، في جملة من وقف على معجزات صاحب الزمان </w:t>
      </w:r>
      <w:r w:rsidRPr="00120822">
        <w:rPr>
          <w:rStyle w:val="libFootnoteAlaemChar"/>
          <w:rtl/>
        </w:rPr>
        <w:t>عليه‌السلام</w:t>
      </w:r>
      <w:r w:rsidRPr="00F24C1F">
        <w:rPr>
          <w:rtl/>
        </w:rPr>
        <w:t xml:space="preserve">. والظاهر اتّحاد العنوانين ووقوع التصحيف في أحد اللفظين من « زيد » </w:t>
      </w:r>
      <w:r>
        <w:rPr>
          <w:rtl/>
        </w:rPr>
        <w:t>و «</w:t>
      </w:r>
      <w:r w:rsidRPr="00F24C1F">
        <w:rPr>
          <w:rtl/>
        </w:rPr>
        <w:t xml:space="preserve"> يزيد ».</w:t>
      </w:r>
    </w:p>
    <w:p w:rsidR="000C39D1" w:rsidRPr="00026FAE" w:rsidRDefault="000C39D1" w:rsidP="00E55206">
      <w:pPr>
        <w:pStyle w:val="libFootnote0"/>
        <w:rPr>
          <w:rtl/>
        </w:rPr>
      </w:pPr>
      <w:r w:rsidRPr="00026FAE">
        <w:rPr>
          <w:rtl/>
        </w:rPr>
        <w:t>ثمّ إنّ ما ورد في « ب ، بر ، بف » وحاشية « ج ، ض » والوافي والإرشاد من « الهماني » بدل « اليماني » وفي « ف » وحاشية « ج » ؛ من « الهمداني » ، ففيهما تصحيف ، لا يخفى وجهه على العارف بالنُسَخ.</w:t>
      </w:r>
    </w:p>
    <w:p w:rsidR="000C39D1" w:rsidRPr="00132E65" w:rsidRDefault="000C39D1" w:rsidP="000C39D1">
      <w:pPr>
        <w:pStyle w:val="libFootnote0"/>
        <w:rPr>
          <w:rtl/>
          <w:lang w:bidi="fa-IR"/>
        </w:rPr>
      </w:pPr>
      <w:r w:rsidRPr="00F24C1F">
        <w:rPr>
          <w:rtl/>
        </w:rPr>
        <w:t xml:space="preserve">هذا ، والظاهر أنّ السند معلّق على ما قبله. ويروي عن الحسن بن الفضل ، عليّ المراد به عليّ بن محمّد خال </w:t>
      </w:r>
      <w:r w:rsidR="00120822">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كَتَبَ أَبِي بِخَطِّهِ كِتَاباً ، فَوَرَدَ جَوَابُهُ ، ثُمَّ كَتَبْتُ </w:t>
      </w:r>
      <w:r>
        <w:rPr>
          <w:rStyle w:val="libFootnotenumChar"/>
          <w:rtl/>
        </w:rPr>
        <w:t>(1)</w:t>
      </w:r>
      <w:r w:rsidRPr="00132E65">
        <w:rPr>
          <w:rtl/>
          <w:lang w:bidi="fa-IR"/>
        </w:rPr>
        <w:t xml:space="preserve"> بِخَطِّي ، فَوَرَدَ جَوَابُهُ ، ثُمَّ كَتَبَ بِخَطِّهِ رَجُلٌ </w:t>
      </w:r>
      <w:r>
        <w:rPr>
          <w:rStyle w:val="libFootnotenumChar"/>
          <w:rtl/>
        </w:rPr>
        <w:t>(2)</w:t>
      </w:r>
      <w:r w:rsidRPr="00132E65">
        <w:rPr>
          <w:rtl/>
          <w:lang w:bidi="fa-IR"/>
        </w:rPr>
        <w:t xml:space="preserve"> مِنْ فُقَهَاءِ أَصْحَابِنَا ، فَلَمْ يَرِدْ جَوَابُهُ ، فَنَظَرْنَا ، فَكَانَتِ الْعِلَّةُ </w:t>
      </w:r>
      <w:r>
        <w:rPr>
          <w:rStyle w:val="libFootnotenumChar"/>
          <w:rtl/>
        </w:rPr>
        <w:t>(3)</w:t>
      </w:r>
      <w:r w:rsidRPr="00132E65">
        <w:rPr>
          <w:rtl/>
          <w:lang w:bidi="fa-IR"/>
        </w:rPr>
        <w:t xml:space="preserve"> أَنَّ الرَّجُلَ تَحَوَّلَ قَرْمَطِيّاً </w:t>
      </w:r>
      <w:r>
        <w:rPr>
          <w:rStyle w:val="libFootnotenumChar"/>
          <w:rtl/>
        </w:rPr>
        <w:t>(4)</w:t>
      </w:r>
    </w:p>
    <w:p w:rsidR="000C39D1" w:rsidRPr="00132E65" w:rsidRDefault="000C39D1" w:rsidP="000C39D1">
      <w:pPr>
        <w:pStyle w:val="libNormal"/>
        <w:rPr>
          <w:rtl/>
          <w:lang w:bidi="fa-IR"/>
        </w:rPr>
      </w:pPr>
      <w:r w:rsidRPr="00132E65">
        <w:rPr>
          <w:rtl/>
          <w:lang w:bidi="fa-IR"/>
        </w:rPr>
        <w:t xml:space="preserve">قَالَ الْحَسَنُ بْنُ الْفَضْلِ : فَزُرْتُ </w:t>
      </w:r>
      <w:r>
        <w:rPr>
          <w:rStyle w:val="libFootnotenumChar"/>
          <w:rtl/>
        </w:rPr>
        <w:t>(5)</w:t>
      </w:r>
      <w:r w:rsidR="007B7396">
        <w:rPr>
          <w:rtl/>
          <w:lang w:bidi="fa-IR"/>
        </w:rPr>
        <w:t xml:space="preserve"> الْعِرَاقَ ، و</w:t>
      </w:r>
      <w:r w:rsidR="007B7396">
        <w:rPr>
          <w:rFonts w:hint="cs"/>
          <w:rtl/>
          <w:lang w:bidi="fa-IR"/>
        </w:rPr>
        <w:t xml:space="preserve">َ </w:t>
      </w:r>
      <w:r w:rsidR="007B7396">
        <w:rPr>
          <w:rtl/>
          <w:lang w:bidi="fa-IR"/>
        </w:rPr>
        <w:t>و</w:t>
      </w:r>
      <w:r w:rsidR="007B7396">
        <w:rPr>
          <w:rFonts w:hint="cs"/>
          <w:rtl/>
          <w:lang w:bidi="fa-IR"/>
        </w:rPr>
        <w:t>َ</w:t>
      </w:r>
      <w:r w:rsidRPr="00132E65">
        <w:rPr>
          <w:rtl/>
          <w:lang w:bidi="fa-IR"/>
        </w:rPr>
        <w:t xml:space="preserve">رَدْتُ </w:t>
      </w:r>
      <w:r>
        <w:rPr>
          <w:rStyle w:val="libFootnotenumChar"/>
          <w:rtl/>
        </w:rPr>
        <w:t>(6)</w:t>
      </w:r>
      <w:r w:rsidRPr="00132E65">
        <w:rPr>
          <w:rtl/>
          <w:lang w:bidi="fa-IR"/>
        </w:rPr>
        <w:t xml:space="preserve"> طُوسَ ، وعَزَمْتُ أَنْ لَا</w:t>
      </w:r>
      <w:r>
        <w:rPr>
          <w:rFonts w:hint="cs"/>
          <w:rtl/>
          <w:lang w:bidi="fa-IR"/>
        </w:rPr>
        <w:t xml:space="preserve"> </w:t>
      </w:r>
      <w:r w:rsidRPr="00132E65">
        <w:rPr>
          <w:rtl/>
          <w:lang w:bidi="fa-IR"/>
        </w:rPr>
        <w:t xml:space="preserve">أَخْرُجَ </w:t>
      </w:r>
      <w:r>
        <w:rPr>
          <w:rStyle w:val="libFootnotenumChar"/>
          <w:rtl/>
        </w:rPr>
        <w:t>(7)</w:t>
      </w:r>
      <w:r w:rsidR="007B7396">
        <w:rPr>
          <w:rtl/>
          <w:lang w:bidi="fa-IR"/>
        </w:rPr>
        <w:t xml:space="preserve"> إِل</w:t>
      </w:r>
      <w:r w:rsidR="007B7396">
        <w:rPr>
          <w:rFonts w:hint="cs"/>
          <w:rtl/>
          <w:lang w:bidi="fa-IR"/>
        </w:rPr>
        <w:t>َّ</w:t>
      </w:r>
      <w:r w:rsidR="007B7396">
        <w:rPr>
          <w:rtl/>
          <w:lang w:bidi="fa-IR"/>
        </w:rPr>
        <w:t>ا</w:t>
      </w:r>
      <w:r w:rsidRPr="00132E65">
        <w:rPr>
          <w:rtl/>
          <w:lang w:bidi="fa-IR"/>
        </w:rPr>
        <w:t xml:space="preserve"> عَنْ بَيِّنَةٍ مِنْ أَمْرِي ، ونَجَاحٍ مِنْ حَوَائِجِي و</w:t>
      </w:r>
      <w:r w:rsidR="007B7396">
        <w:rPr>
          <w:rFonts w:hint="cs"/>
          <w:rtl/>
          <w:lang w:bidi="fa-IR"/>
        </w:rPr>
        <w:t>َ</w:t>
      </w:r>
      <w:r w:rsidRPr="00132E65">
        <w:rPr>
          <w:rtl/>
          <w:lang w:bidi="fa-IR"/>
        </w:rPr>
        <w:t xml:space="preserve">لَوِ احْتَجْتُ أَنْ أُقِيمَ بِهَا حَتّى أُتَصَدَّقَ </w:t>
      </w:r>
      <w:r>
        <w:rPr>
          <w:rStyle w:val="libFootnotenumChar"/>
          <w:rtl/>
        </w:rPr>
        <w:t>(8)</w:t>
      </w:r>
      <w:r w:rsidR="007B7396" w:rsidRPr="007B7396">
        <w:rPr>
          <w:rFonts w:hint="cs"/>
          <w:rtl/>
        </w:rPr>
        <w:t>.</w:t>
      </w:r>
    </w:p>
    <w:p w:rsidR="000C39D1" w:rsidRPr="00132E65" w:rsidRDefault="000C39D1" w:rsidP="000C39D1">
      <w:pPr>
        <w:pStyle w:val="libNormal"/>
        <w:rPr>
          <w:rtl/>
          <w:lang w:bidi="fa-IR"/>
        </w:rPr>
      </w:pPr>
      <w:r w:rsidRPr="00132E65">
        <w:rPr>
          <w:rtl/>
          <w:lang w:bidi="fa-IR"/>
        </w:rPr>
        <w:t>قَالَ : و</w:t>
      </w:r>
      <w:r w:rsidR="007B7396">
        <w:rPr>
          <w:rFonts w:hint="cs"/>
          <w:rtl/>
          <w:lang w:bidi="fa-IR"/>
        </w:rPr>
        <w:t>َ</w:t>
      </w:r>
      <w:r w:rsidRPr="00132E65">
        <w:rPr>
          <w:rtl/>
          <w:lang w:bidi="fa-IR"/>
        </w:rPr>
        <w:t xml:space="preserve">فِي خِلَالِ ذلِكَ يَضِيقُ صَدْرِي بِالْمُقَامِ ، وأَخَافُ أَنْ يَفُوتَنِيَ الْحَجُّ. قَالَ </w:t>
      </w:r>
      <w:r>
        <w:rPr>
          <w:rStyle w:val="libFootnotenumChar"/>
          <w:rtl/>
        </w:rPr>
        <w:t>(9)</w:t>
      </w:r>
      <w:r w:rsidRPr="00132E65">
        <w:rPr>
          <w:rtl/>
          <w:lang w:bidi="fa-IR"/>
        </w:rPr>
        <w:t xml:space="preserve"> :</w:t>
      </w:r>
      <w:r>
        <w:rPr>
          <w:rFonts w:hint="cs"/>
          <w:rtl/>
          <w:lang w:bidi="fa-IR"/>
        </w:rPr>
        <w:t xml:space="preserve"> </w:t>
      </w:r>
      <w:r w:rsidRPr="00132E65">
        <w:rPr>
          <w:rtl/>
          <w:lang w:bidi="fa-IR"/>
        </w:rPr>
        <w:t xml:space="preserve">فَجِئْتُ يَوْماً إِلى مُحَمَّدِ بْنِ أَحْمَدَ </w:t>
      </w:r>
      <w:r>
        <w:rPr>
          <w:rStyle w:val="libFootnotenumChar"/>
          <w:rtl/>
        </w:rPr>
        <w:t>(10)</w:t>
      </w:r>
      <w:r w:rsidRPr="00132E65">
        <w:rPr>
          <w:rtl/>
          <w:lang w:bidi="fa-IR"/>
        </w:rPr>
        <w:t xml:space="preserve"> أَتَقَاضَاهُ ، فَقَالَ لِي : صِرْ إِلى مَسْجِدِ كَذَا وكَذَا ، وإِنَّهُ </w:t>
      </w:r>
      <w:r>
        <w:rPr>
          <w:rStyle w:val="libFootnotenumChar"/>
          <w:rtl/>
        </w:rPr>
        <w:t>(11)</w:t>
      </w:r>
      <w:r w:rsidRPr="00132E65">
        <w:rPr>
          <w:rtl/>
          <w:lang w:bidi="fa-IR"/>
        </w:rPr>
        <w:t xml:space="preserve"> يَلْقَاكَ رَجُلٌ.</w:t>
      </w:r>
    </w:p>
    <w:p w:rsidR="000C39D1" w:rsidRPr="00132E65" w:rsidRDefault="000C39D1" w:rsidP="000C39D1">
      <w:pPr>
        <w:pStyle w:val="libNormal"/>
        <w:rPr>
          <w:rtl/>
          <w:lang w:bidi="fa-IR"/>
        </w:rPr>
      </w:pPr>
      <w:r w:rsidRPr="00132E65">
        <w:rPr>
          <w:rtl/>
          <w:lang w:bidi="fa-IR"/>
        </w:rPr>
        <w:t xml:space="preserve">قَالَ : فَصِرْتُ إِلَيْهِ ، فَدَخَلَ عَلَيَّ رَجُلٌ ، فَلَمَّا نَظَرَ إِلَيَّ ضَحِكَ ، وقَالَ </w:t>
      </w:r>
      <w:r>
        <w:rPr>
          <w:rStyle w:val="libFootnotenumChar"/>
          <w:rtl/>
        </w:rPr>
        <w:t>(12)</w:t>
      </w:r>
      <w:r w:rsidRPr="00132E65">
        <w:rPr>
          <w:rtl/>
          <w:lang w:bidi="fa-IR"/>
        </w:rPr>
        <w:t xml:space="preserve"> : لَاتَغْتَمَّ ؛</w:t>
      </w:r>
    </w:p>
    <w:p w:rsidR="000C39D1" w:rsidRPr="00132E65" w:rsidRDefault="000C39D1" w:rsidP="000C39D1">
      <w:pPr>
        <w:pStyle w:val="libLine"/>
        <w:rPr>
          <w:rtl/>
          <w:lang w:bidi="fa-IR"/>
        </w:rPr>
      </w:pPr>
      <w:r w:rsidRPr="00132E65">
        <w:rPr>
          <w:rtl/>
          <w:lang w:bidi="fa-IR"/>
        </w:rPr>
        <w:t>__________________</w:t>
      </w:r>
    </w:p>
    <w:p w:rsidR="000C39D1" w:rsidRPr="00132E65" w:rsidRDefault="007B7396" w:rsidP="000C39D1">
      <w:pPr>
        <w:pStyle w:val="libFootnote0"/>
        <w:rPr>
          <w:rtl/>
          <w:lang w:bidi="fa-IR"/>
        </w:rPr>
      </w:pPr>
      <w:r>
        <w:rPr>
          <w:rFonts w:hint="cs"/>
          <w:rtl/>
        </w:rPr>
        <w:t xml:space="preserve">= </w:t>
      </w:r>
      <w:r w:rsidR="000C39D1" w:rsidRPr="00F24C1F">
        <w:rPr>
          <w:rtl/>
        </w:rPr>
        <w:t xml:space="preserve">الكليني ، يؤيّد ذلك ما ورد في </w:t>
      </w:r>
      <w:r w:rsidR="000C39D1" w:rsidRPr="00C20DDB">
        <w:rPr>
          <w:rtl/>
        </w:rPr>
        <w:t>كمال الدين</w:t>
      </w:r>
      <w:r w:rsidR="00C7460D">
        <w:rPr>
          <w:rtl/>
        </w:rPr>
        <w:t xml:space="preserve"> ، ص 490 ، ح 13 من رواية عل</w:t>
      </w:r>
      <w:r w:rsidR="00C7460D">
        <w:rPr>
          <w:rFonts w:hint="cs"/>
          <w:rtl/>
        </w:rPr>
        <w:t>ّ</w:t>
      </w:r>
      <w:r w:rsidR="00C7460D">
        <w:rPr>
          <w:rtl/>
        </w:rPr>
        <w:t>ا</w:t>
      </w:r>
      <w:r w:rsidR="000C39D1" w:rsidRPr="00F24C1F">
        <w:rPr>
          <w:rtl/>
        </w:rPr>
        <w:t xml:space="preserve">ن الكليني </w:t>
      </w:r>
      <w:r w:rsidR="000C39D1">
        <w:rPr>
          <w:rtl/>
        </w:rPr>
        <w:t>-</w:t>
      </w:r>
      <w:r w:rsidR="00C7460D">
        <w:rPr>
          <w:rtl/>
        </w:rPr>
        <w:t xml:space="preserve"> وعل</w:t>
      </w:r>
      <w:r w:rsidR="00C7460D">
        <w:rPr>
          <w:rFonts w:hint="cs"/>
          <w:rtl/>
        </w:rPr>
        <w:t>ّ</w:t>
      </w:r>
      <w:r w:rsidR="00C7460D">
        <w:rPr>
          <w:rtl/>
        </w:rPr>
        <w:t>ا</w:t>
      </w:r>
      <w:r w:rsidR="000C39D1" w:rsidRPr="00F24C1F">
        <w:rPr>
          <w:rtl/>
        </w:rPr>
        <w:t xml:space="preserve">ن لقب عليّ بن محمّد </w:t>
      </w:r>
      <w:r w:rsidR="000C39D1">
        <w:rPr>
          <w:rtl/>
        </w:rPr>
        <w:t>-</w:t>
      </w:r>
      <w:r w:rsidR="000C39D1" w:rsidRPr="00F24C1F">
        <w:rPr>
          <w:rtl/>
        </w:rPr>
        <w:t xml:space="preserve"> عن الحسن بن الفضل اليماني.</w:t>
      </w:r>
    </w:p>
    <w:tbl>
      <w:tblPr>
        <w:tblStyle w:val="TableGrid"/>
        <w:bidiVisual/>
        <w:tblW w:w="0" w:type="auto"/>
        <w:tblLook w:val="04A0" w:firstRow="1" w:lastRow="0" w:firstColumn="1" w:lastColumn="0" w:noHBand="0" w:noVBand="1"/>
      </w:tblPr>
      <w:tblGrid>
        <w:gridCol w:w="4261"/>
        <w:gridCol w:w="4262"/>
      </w:tblGrid>
      <w:tr w:rsidR="008775FF" w:rsidTr="008775FF">
        <w:tc>
          <w:tcPr>
            <w:tcW w:w="4261" w:type="dxa"/>
          </w:tcPr>
          <w:p w:rsidR="008775FF" w:rsidRDefault="008775FF" w:rsidP="000C39D1">
            <w:pPr>
              <w:pStyle w:val="libFootnote0"/>
              <w:rPr>
                <w:rtl/>
              </w:rPr>
            </w:pPr>
            <w:r>
              <w:rPr>
                <w:rtl/>
              </w:rPr>
              <w:t>(1).</w:t>
            </w:r>
            <w:r w:rsidRPr="00132E65">
              <w:rPr>
                <w:rtl/>
              </w:rPr>
              <w:t xml:space="preserve"> في الإرشاد والبحار : « كتب »</w:t>
            </w:r>
            <w:r>
              <w:rPr>
                <w:rtl/>
              </w:rPr>
              <w:t>.</w:t>
            </w:r>
          </w:p>
        </w:tc>
        <w:tc>
          <w:tcPr>
            <w:tcW w:w="4262" w:type="dxa"/>
          </w:tcPr>
          <w:p w:rsidR="008775FF" w:rsidRDefault="008775FF" w:rsidP="000C39D1">
            <w:pPr>
              <w:pStyle w:val="libFootnote0"/>
              <w:rPr>
                <w:rtl/>
              </w:rPr>
            </w:pPr>
            <w:r>
              <w:rPr>
                <w:rtl/>
              </w:rPr>
              <w:t>(2).</w:t>
            </w:r>
            <w:r w:rsidRPr="00132E65">
              <w:rPr>
                <w:rtl/>
              </w:rPr>
              <w:t xml:space="preserve"> في « ب » والإرشاد :</w:t>
            </w:r>
            <w:r>
              <w:rPr>
                <w:rtl/>
              </w:rPr>
              <w:t xml:space="preserve"> + </w:t>
            </w:r>
            <w:r w:rsidRPr="00132E65">
              <w:rPr>
                <w:rtl/>
              </w:rPr>
              <w:t>« جليل »</w:t>
            </w:r>
            <w:r>
              <w:rPr>
                <w:rtl/>
              </w:rPr>
              <w:t>.</w:t>
            </w:r>
          </w:p>
        </w:tc>
      </w:tr>
    </w:tbl>
    <w:p w:rsidR="000C39D1" w:rsidRPr="00132E65" w:rsidRDefault="000C39D1" w:rsidP="000C39D1">
      <w:pPr>
        <w:pStyle w:val="libFootnote0"/>
        <w:rPr>
          <w:rtl/>
          <w:lang w:bidi="fa-IR"/>
        </w:rPr>
      </w:pPr>
      <w:r>
        <w:rPr>
          <w:rtl/>
        </w:rPr>
        <w:t>(3).</w:t>
      </w:r>
      <w:r w:rsidRPr="00132E65">
        <w:rPr>
          <w:rtl/>
        </w:rPr>
        <w:t xml:space="preserve"> في « ب ، ض ، ف » :</w:t>
      </w:r>
      <w:r>
        <w:rPr>
          <w:rtl/>
        </w:rPr>
        <w:t xml:space="preserve"> + </w:t>
      </w:r>
      <w:r w:rsidRPr="00132E65">
        <w:rPr>
          <w:rtl/>
        </w:rPr>
        <w:t>« في ذلك »</w:t>
      </w:r>
      <w:r>
        <w:rPr>
          <w:rtl/>
        </w:rPr>
        <w:t>.</w:t>
      </w:r>
    </w:p>
    <w:p w:rsidR="000C39D1" w:rsidRPr="00132E65" w:rsidRDefault="000C39D1" w:rsidP="000C39D1">
      <w:pPr>
        <w:pStyle w:val="libFootnote0"/>
        <w:rPr>
          <w:rtl/>
          <w:lang w:bidi="fa-IR"/>
        </w:rPr>
      </w:pPr>
      <w:r>
        <w:rPr>
          <w:rtl/>
        </w:rPr>
        <w:t>(4).</w:t>
      </w:r>
      <w:r w:rsidRPr="00132E65">
        <w:rPr>
          <w:rtl/>
        </w:rPr>
        <w:t xml:space="preserve"> « القَرْمَطيّ » : واحد القرامطة ، وهم فرقة من الخوارج. </w:t>
      </w:r>
      <w:r w:rsidRPr="00C20DDB">
        <w:rPr>
          <w:rtl/>
        </w:rPr>
        <w:t>الصحاح</w:t>
      </w:r>
      <w:r w:rsidRPr="00132E65">
        <w:rPr>
          <w:rtl/>
        </w:rPr>
        <w:t xml:space="preserve"> ، ج 3 ، ص 1152 ؛ </w:t>
      </w:r>
      <w:r w:rsidRPr="00C20DDB">
        <w:rPr>
          <w:rtl/>
        </w:rPr>
        <w:t>مجمع البحرين</w:t>
      </w:r>
      <w:r w:rsidRPr="00132E65">
        <w:rPr>
          <w:rtl/>
        </w:rPr>
        <w:t xml:space="preserve"> ، ج 3 ، ص 1470 ( قرمط )</w:t>
      </w:r>
      <w:r>
        <w:rPr>
          <w:rtl/>
        </w:rPr>
        <w:t>.</w:t>
      </w:r>
    </w:p>
    <w:p w:rsidR="000C39D1" w:rsidRPr="00132E65" w:rsidRDefault="000C39D1" w:rsidP="000C39D1">
      <w:pPr>
        <w:pStyle w:val="libFootnote0"/>
        <w:rPr>
          <w:rtl/>
          <w:lang w:bidi="fa-IR"/>
        </w:rPr>
      </w:pPr>
      <w:r>
        <w:rPr>
          <w:rtl/>
        </w:rPr>
        <w:t>(5).</w:t>
      </w:r>
      <w:r w:rsidRPr="00132E65">
        <w:rPr>
          <w:rtl/>
        </w:rPr>
        <w:t xml:space="preserve"> في « ب » : « فوردت »</w:t>
      </w:r>
      <w:r>
        <w:rPr>
          <w:rtl/>
        </w:rPr>
        <w:t>.</w:t>
      </w:r>
      <w:r w:rsidRPr="00132E65">
        <w:rPr>
          <w:rtl/>
        </w:rPr>
        <w:t xml:space="preserve"> وفي حاشية « ض » : « وردت » بدون الفاء. وفي </w:t>
      </w:r>
      <w:r w:rsidRPr="009D1ACE">
        <w:rPr>
          <w:rStyle w:val="libFootnoteBoldChar"/>
          <w:rtl/>
        </w:rPr>
        <w:t>مرآة العقول</w:t>
      </w:r>
      <w:r w:rsidRPr="00132E65">
        <w:rPr>
          <w:rtl/>
        </w:rPr>
        <w:t xml:space="preserve"> : « قوله : وزرت ، الظاهر أنّ‌الواو للحال ، أي وقد زرت قبل ذلك الرضا </w:t>
      </w:r>
      <w:r w:rsidRPr="0067158B">
        <w:rPr>
          <w:rStyle w:val="libFootnoteAlaemChar"/>
          <w:rtl/>
        </w:rPr>
        <w:t>عليه‌السلام</w:t>
      </w:r>
      <w:r w:rsidRPr="00132E65">
        <w:rPr>
          <w:rtl/>
        </w:rPr>
        <w:t xml:space="preserve"> بطوس خراسان ، ثمّ عزمت الحجّ وزرت أئمّة العراق »</w:t>
      </w:r>
      <w:r>
        <w:rPr>
          <w:rtl/>
        </w:rPr>
        <w:t>.</w:t>
      </w:r>
    </w:p>
    <w:p w:rsidR="000C39D1" w:rsidRPr="00132E65" w:rsidRDefault="000C39D1" w:rsidP="000C39D1">
      <w:pPr>
        <w:pStyle w:val="libFootnote0"/>
        <w:rPr>
          <w:rtl/>
          <w:lang w:bidi="fa-IR"/>
        </w:rPr>
      </w:pPr>
      <w:r>
        <w:rPr>
          <w:rtl/>
        </w:rPr>
        <w:t>(6).</w:t>
      </w:r>
      <w:r w:rsidRPr="00132E65">
        <w:rPr>
          <w:rtl/>
        </w:rPr>
        <w:t xml:space="preserve"> في شرح المازندراني : « وزرت »</w:t>
      </w:r>
      <w:r>
        <w:rPr>
          <w:rtl/>
        </w:rPr>
        <w:t>.</w:t>
      </w:r>
    </w:p>
    <w:p w:rsidR="000C39D1" w:rsidRPr="00132E65" w:rsidRDefault="000C39D1" w:rsidP="000C39D1">
      <w:pPr>
        <w:pStyle w:val="libFootnote0"/>
        <w:rPr>
          <w:rtl/>
          <w:lang w:bidi="fa-IR"/>
        </w:rPr>
      </w:pPr>
      <w:r>
        <w:rPr>
          <w:rtl/>
        </w:rPr>
        <w:t>(7).</w:t>
      </w:r>
      <w:r w:rsidRPr="00132E65">
        <w:rPr>
          <w:rtl/>
        </w:rPr>
        <w:t xml:space="preserve"> في الإرشاد : « فإذا ذلك الرجل قد تحوّل قرمطيّاً. وذكر الحسين بن الفضل قال : وردت العراق وعملت على أنّه لا أخرج » بدل « فكانت العلّة</w:t>
      </w:r>
      <w:r>
        <w:rPr>
          <w:rtl/>
        </w:rPr>
        <w:t xml:space="preserve"> - </w:t>
      </w:r>
      <w:r w:rsidRPr="00132E65">
        <w:rPr>
          <w:rtl/>
        </w:rPr>
        <w:t>إلى</w:t>
      </w:r>
      <w:r>
        <w:rPr>
          <w:rtl/>
        </w:rPr>
        <w:t xml:space="preserve"> - </w:t>
      </w:r>
      <w:r w:rsidRPr="00132E65">
        <w:rPr>
          <w:rtl/>
        </w:rPr>
        <w:t>أن لا أخرج »</w:t>
      </w:r>
      <w:r>
        <w:rPr>
          <w:rtl/>
        </w:rPr>
        <w:t>.</w:t>
      </w:r>
    </w:p>
    <w:p w:rsidR="000C39D1" w:rsidRPr="00132E65" w:rsidRDefault="000C39D1" w:rsidP="000C39D1">
      <w:pPr>
        <w:pStyle w:val="libFootnote0"/>
        <w:rPr>
          <w:rtl/>
          <w:lang w:bidi="fa-IR"/>
        </w:rPr>
      </w:pPr>
      <w:r>
        <w:rPr>
          <w:rtl/>
        </w:rPr>
        <w:t>(8).</w:t>
      </w:r>
      <w:r w:rsidRPr="00132E65">
        <w:rPr>
          <w:rtl/>
        </w:rPr>
        <w:t xml:space="preserve"> قرأه الفيض </w:t>
      </w:r>
      <w:r w:rsidRPr="0067158B">
        <w:rPr>
          <w:rStyle w:val="libFootnoteAlaemChar"/>
          <w:rtl/>
        </w:rPr>
        <w:t>قدس‌سره</w:t>
      </w:r>
      <w:r w:rsidRPr="00132E65">
        <w:rPr>
          <w:rtl/>
        </w:rPr>
        <w:t xml:space="preserve"> في </w:t>
      </w:r>
      <w:r w:rsidRPr="009D1ACE">
        <w:rPr>
          <w:rStyle w:val="libFootnoteBoldChar"/>
          <w:rtl/>
        </w:rPr>
        <w:t>الوافي</w:t>
      </w:r>
      <w:r w:rsidRPr="00132E65">
        <w:rPr>
          <w:rtl/>
        </w:rPr>
        <w:t xml:space="preserve"> معلوماً ، ثمّ قال : « أي أسأل الصدقة ، وهو كلام عامّيّ غير فصيح ، قال ابن قتيبة : وما تضعه العامّة غير موضعه قولهم : هو يتصدّق إذا سأل ، وذلك غلط ، إنّما المتصدِّق : المعطي ، وفي التنزيل : </w:t>
      </w:r>
      <w:r w:rsidRPr="0067158B">
        <w:rPr>
          <w:rStyle w:val="libFootnoteAlaemChar"/>
          <w:rtl/>
        </w:rPr>
        <w:t>(</w:t>
      </w:r>
      <w:r>
        <w:rPr>
          <w:rFonts w:hint="cs"/>
          <w:rtl/>
        </w:rPr>
        <w:t xml:space="preserve"> </w:t>
      </w:r>
      <w:r w:rsidRPr="00C2691A">
        <w:rPr>
          <w:rStyle w:val="libFootnoteAieChar"/>
          <w:rtl/>
        </w:rPr>
        <w:t>وَتَصَدَّقْ عَلَيْنا</w:t>
      </w:r>
      <w:r w:rsidRPr="0067158B">
        <w:rPr>
          <w:rStyle w:val="libFootnoteAlaemChar"/>
          <w:rtl/>
        </w:rPr>
        <w:t>)</w:t>
      </w:r>
      <w:r w:rsidRPr="00132E65">
        <w:rPr>
          <w:rtl/>
        </w:rPr>
        <w:t xml:space="preserve"> [ يوسف </w:t>
      </w:r>
      <w:r w:rsidR="0067158B">
        <w:rPr>
          <w:rtl/>
        </w:rPr>
        <w:t>(12)</w:t>
      </w:r>
      <w:r w:rsidRPr="00132E65">
        <w:rPr>
          <w:rtl/>
        </w:rPr>
        <w:t xml:space="preserve"> : 88 ] وأمّا المصدق بتخفيف الصاد فهو الذي يأخذ صدقات النعم »</w:t>
      </w:r>
      <w:r>
        <w:rPr>
          <w:rtl/>
        </w:rPr>
        <w:t>.</w:t>
      </w:r>
      <w:r w:rsidRPr="00132E65">
        <w:rPr>
          <w:rtl/>
        </w:rPr>
        <w:t xml:space="preserve"> وراجع أيضاً : الصحاح ، ج 4 ، ص 1505 ؛ و</w:t>
      </w:r>
      <w:r w:rsidRPr="00C20DDB">
        <w:rPr>
          <w:rtl/>
        </w:rPr>
        <w:t>النهاية</w:t>
      </w:r>
      <w:r w:rsidRPr="00132E65">
        <w:rPr>
          <w:rtl/>
        </w:rPr>
        <w:t xml:space="preserve"> ، ج 3 ، ص 18 ( صدق )</w:t>
      </w:r>
      <w:r>
        <w:rPr>
          <w:rtl/>
        </w:rPr>
        <w:t>.</w:t>
      </w:r>
    </w:p>
    <w:tbl>
      <w:tblPr>
        <w:tblStyle w:val="TableGrid"/>
        <w:bidiVisual/>
        <w:tblW w:w="0" w:type="auto"/>
        <w:tblLook w:val="04A0" w:firstRow="1" w:lastRow="0" w:firstColumn="1" w:lastColumn="0" w:noHBand="0" w:noVBand="1"/>
      </w:tblPr>
      <w:tblGrid>
        <w:gridCol w:w="4261"/>
        <w:gridCol w:w="4262"/>
      </w:tblGrid>
      <w:tr w:rsidR="0067158B" w:rsidTr="0067158B">
        <w:tc>
          <w:tcPr>
            <w:tcW w:w="4261" w:type="dxa"/>
          </w:tcPr>
          <w:p w:rsidR="0067158B" w:rsidRDefault="0067158B" w:rsidP="000C39D1">
            <w:pPr>
              <w:pStyle w:val="libFootnote0"/>
              <w:rPr>
                <w:rtl/>
                <w:lang w:bidi="fa-IR"/>
              </w:rPr>
            </w:pPr>
            <w:r>
              <w:rPr>
                <w:rtl/>
              </w:rPr>
              <w:t>(9).</w:t>
            </w:r>
            <w:r w:rsidRPr="00132E65">
              <w:rPr>
                <w:rtl/>
              </w:rPr>
              <w:t xml:space="preserve"> في « ف » : « فخرجت »</w:t>
            </w:r>
            <w:r>
              <w:rPr>
                <w:rtl/>
              </w:rPr>
              <w:t>.</w:t>
            </w:r>
          </w:p>
        </w:tc>
        <w:tc>
          <w:tcPr>
            <w:tcW w:w="4262" w:type="dxa"/>
          </w:tcPr>
          <w:p w:rsidR="0067158B" w:rsidRDefault="0067158B" w:rsidP="000C39D1">
            <w:pPr>
              <w:pStyle w:val="libFootnote0"/>
              <w:rPr>
                <w:rtl/>
                <w:lang w:bidi="fa-IR"/>
              </w:rPr>
            </w:pPr>
            <w:r>
              <w:rPr>
                <w:rtl/>
              </w:rPr>
              <w:t>(10).</w:t>
            </w:r>
            <w:r w:rsidRPr="00132E65">
              <w:rPr>
                <w:rtl/>
              </w:rPr>
              <w:t xml:space="preserve"> في الإرشاد :</w:t>
            </w:r>
            <w:r>
              <w:rPr>
                <w:rtl/>
              </w:rPr>
              <w:t xml:space="preserve"> + </w:t>
            </w:r>
            <w:r w:rsidRPr="00132E65">
              <w:rPr>
                <w:rtl/>
              </w:rPr>
              <w:t>« وكان السفير يومئذٍ »</w:t>
            </w:r>
            <w:r>
              <w:rPr>
                <w:rtl/>
              </w:rPr>
              <w:t>.</w:t>
            </w:r>
          </w:p>
        </w:tc>
      </w:tr>
      <w:tr w:rsidR="0067158B" w:rsidTr="0067158B">
        <w:tc>
          <w:tcPr>
            <w:tcW w:w="4261" w:type="dxa"/>
          </w:tcPr>
          <w:p w:rsidR="0067158B" w:rsidRDefault="0067158B" w:rsidP="000C39D1">
            <w:pPr>
              <w:pStyle w:val="libFootnote0"/>
              <w:rPr>
                <w:rtl/>
                <w:lang w:bidi="fa-IR"/>
              </w:rPr>
            </w:pPr>
            <w:r>
              <w:rPr>
                <w:rtl/>
              </w:rPr>
              <w:t>(11).</w:t>
            </w:r>
            <w:r w:rsidRPr="00132E65">
              <w:rPr>
                <w:rtl/>
              </w:rPr>
              <w:t xml:space="preserve"> في الإرشاد : « فإنّه »</w:t>
            </w:r>
            <w:r>
              <w:rPr>
                <w:rtl/>
              </w:rPr>
              <w:t>.</w:t>
            </w:r>
          </w:p>
        </w:tc>
        <w:tc>
          <w:tcPr>
            <w:tcW w:w="4262" w:type="dxa"/>
          </w:tcPr>
          <w:p w:rsidR="0067158B" w:rsidRDefault="0067158B" w:rsidP="000C39D1">
            <w:pPr>
              <w:pStyle w:val="libFootnote0"/>
              <w:rPr>
                <w:rtl/>
                <w:lang w:bidi="fa-IR"/>
              </w:rPr>
            </w:pPr>
            <w:r>
              <w:rPr>
                <w:rtl/>
              </w:rPr>
              <w:t>(12).</w:t>
            </w:r>
            <w:r w:rsidRPr="00132E65">
              <w:rPr>
                <w:rtl/>
              </w:rPr>
              <w:t xml:space="preserve"> في الإرشاد :</w:t>
            </w:r>
            <w:r>
              <w:rPr>
                <w:rtl/>
              </w:rPr>
              <w:t xml:space="preserve"> + </w:t>
            </w:r>
            <w:r w:rsidRPr="00132E65">
              <w:rPr>
                <w:rtl/>
              </w:rPr>
              <w:t>« لي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C501BD">
      <w:pPr>
        <w:pStyle w:val="libNormal0"/>
        <w:tabs>
          <w:tab w:val="left" w:pos="3968"/>
        </w:tabs>
        <w:rPr>
          <w:rtl/>
          <w:lang w:bidi="fa-IR"/>
        </w:rPr>
      </w:pPr>
      <w:r w:rsidRPr="00132E65">
        <w:rPr>
          <w:rtl/>
          <w:lang w:bidi="fa-IR"/>
        </w:rPr>
        <w:t>فَإِنَّكَ سَتَحُجُّ فِي هذِهِ السَّنَةِ ، و</w:t>
      </w:r>
      <w:r w:rsidR="00C501BD">
        <w:rPr>
          <w:rFonts w:hint="cs"/>
          <w:rtl/>
          <w:lang w:bidi="fa-IR"/>
        </w:rPr>
        <w:t>َ</w:t>
      </w:r>
      <w:r w:rsidR="00C501BD">
        <w:rPr>
          <w:rtl/>
          <w:lang w:bidi="fa-IR"/>
        </w:rPr>
        <w:t xml:space="preserve">تَنْصَرِفُ إِلى أَهْلِكَ </w:t>
      </w:r>
      <w:r w:rsidR="00C501BD" w:rsidRPr="00132E65">
        <w:rPr>
          <w:rtl/>
          <w:lang w:bidi="fa-IR"/>
        </w:rPr>
        <w:t>و</w:t>
      </w:r>
      <w:r w:rsidR="00C501BD">
        <w:rPr>
          <w:rFonts w:hint="cs"/>
          <w:rtl/>
          <w:lang w:bidi="fa-IR"/>
        </w:rPr>
        <w:t>َ</w:t>
      </w:r>
      <w:r w:rsidR="00C501BD">
        <w:rPr>
          <w:rtl/>
          <w:lang w:bidi="fa-IR"/>
        </w:rPr>
        <w:t>و</w:t>
      </w:r>
      <w:r w:rsidR="00C501BD">
        <w:rPr>
          <w:rFonts w:hint="cs"/>
          <w:rtl/>
          <w:lang w:bidi="fa-IR"/>
        </w:rPr>
        <w:t>ُ</w:t>
      </w:r>
      <w:r w:rsidRPr="00132E65">
        <w:rPr>
          <w:rtl/>
          <w:lang w:bidi="fa-IR"/>
        </w:rPr>
        <w:t xml:space="preserve">لْدِكَ سَالِماً. قَالَ : فَاطْمَأْنَنْتُ ، وَسَكَنَ قَلْبِي ، </w:t>
      </w:r>
      <w:r w:rsidR="00C501BD" w:rsidRPr="00132E65">
        <w:rPr>
          <w:rtl/>
          <w:lang w:bidi="fa-IR"/>
        </w:rPr>
        <w:t>و</w:t>
      </w:r>
      <w:r w:rsidR="00C501BD">
        <w:rPr>
          <w:rFonts w:hint="cs"/>
          <w:rtl/>
          <w:lang w:bidi="fa-IR"/>
        </w:rPr>
        <w:t>َ</w:t>
      </w:r>
      <w:r w:rsidRPr="00132E65">
        <w:rPr>
          <w:rtl/>
          <w:lang w:bidi="fa-IR"/>
        </w:rPr>
        <w:t xml:space="preserve">أَقُولُ : ذَا </w:t>
      </w:r>
      <w:r>
        <w:rPr>
          <w:rStyle w:val="libFootnotenumChar"/>
          <w:rtl/>
        </w:rPr>
        <w:t>(1)</w:t>
      </w:r>
      <w:r w:rsidRPr="00132E65">
        <w:rPr>
          <w:rtl/>
          <w:lang w:bidi="fa-IR"/>
        </w:rPr>
        <w:t xml:space="preserve"> مِصْدَاقُ ذلِكَ ، </w:t>
      </w:r>
      <w:r w:rsidR="00C501BD" w:rsidRPr="00132E65">
        <w:rPr>
          <w:rtl/>
          <w:lang w:bidi="fa-IR"/>
        </w:rPr>
        <w:t>و</w:t>
      </w:r>
      <w:r w:rsidR="00C501BD">
        <w:rPr>
          <w:rFonts w:hint="cs"/>
          <w:rtl/>
          <w:lang w:bidi="fa-IR"/>
        </w:rPr>
        <w:t>َ</w:t>
      </w:r>
      <w:r>
        <w:rPr>
          <w:rFonts w:hint="cs"/>
          <w:rtl/>
          <w:lang w:bidi="fa-IR"/>
        </w:rPr>
        <w:t xml:space="preserve"> </w:t>
      </w:r>
      <w:r>
        <w:rPr>
          <w:rStyle w:val="libFootnotenumChar"/>
          <w:rtl/>
        </w:rPr>
        <w:t>(2)</w:t>
      </w:r>
      <w:r w:rsidRPr="00132E65">
        <w:rPr>
          <w:rtl/>
          <w:lang w:bidi="fa-IR"/>
        </w:rPr>
        <w:t xml:space="preserve"> الْحَمْدُ لِلّهِ </w:t>
      </w:r>
      <w:r>
        <w:rPr>
          <w:rStyle w:val="libFootnotenumChar"/>
          <w:rtl/>
        </w:rPr>
        <w:t>(3)</w:t>
      </w:r>
      <w:r w:rsidR="00C501BD" w:rsidRPr="00C501BD">
        <w:rPr>
          <w:rStyle w:val="libNormalChar"/>
          <w:rFonts w:hint="cs"/>
          <w:rtl/>
        </w:rPr>
        <w:t>.</w:t>
      </w:r>
    </w:p>
    <w:p w:rsidR="000C39D1" w:rsidRPr="00132E65" w:rsidRDefault="000C39D1" w:rsidP="00FE271B">
      <w:pPr>
        <w:pStyle w:val="libNormal"/>
        <w:rPr>
          <w:rtl/>
          <w:lang w:bidi="fa-IR"/>
        </w:rPr>
      </w:pPr>
      <w:r w:rsidRPr="00132E65">
        <w:rPr>
          <w:rtl/>
          <w:lang w:bidi="fa-IR"/>
        </w:rPr>
        <w:t xml:space="preserve">قَالَ : ثُمَّ ورَدْتُ الْعَسْكَرَ ، فَخَرَجَتْ إِلَيَّ صُرَّةٌ فِيهَا دَنَانِيرُ </w:t>
      </w:r>
      <w:r w:rsidR="00FE271B" w:rsidRPr="00132E65">
        <w:rPr>
          <w:rtl/>
          <w:lang w:bidi="fa-IR"/>
        </w:rPr>
        <w:t>و</w:t>
      </w:r>
      <w:r w:rsidR="00FE271B">
        <w:rPr>
          <w:rFonts w:hint="cs"/>
          <w:rtl/>
          <w:lang w:bidi="fa-IR"/>
        </w:rPr>
        <w:t>َ</w:t>
      </w:r>
      <w:r w:rsidRPr="00132E65">
        <w:rPr>
          <w:rtl/>
          <w:lang w:bidi="fa-IR"/>
        </w:rPr>
        <w:t xml:space="preserve">ثَوْبٌ ، فَاغْتَمَمْتُ ، </w:t>
      </w:r>
      <w:r w:rsidR="00FE271B" w:rsidRPr="00132E65">
        <w:rPr>
          <w:rtl/>
          <w:lang w:bidi="fa-IR"/>
        </w:rPr>
        <w:t>و</w:t>
      </w:r>
      <w:r w:rsidR="00FE271B">
        <w:rPr>
          <w:rFonts w:hint="cs"/>
          <w:rtl/>
          <w:lang w:bidi="fa-IR"/>
        </w:rPr>
        <w:t>َ</w:t>
      </w:r>
      <w:r w:rsidRPr="00132E65">
        <w:rPr>
          <w:rtl/>
          <w:lang w:bidi="fa-IR"/>
        </w:rPr>
        <w:t xml:space="preserve">قُلْتُ فِي نَفْسِي : جَزَائِي </w:t>
      </w:r>
      <w:r>
        <w:rPr>
          <w:rStyle w:val="libFootnotenumChar"/>
          <w:rtl/>
        </w:rPr>
        <w:t>(4)</w:t>
      </w:r>
      <w:r w:rsidRPr="00132E65">
        <w:rPr>
          <w:rtl/>
          <w:lang w:bidi="fa-IR"/>
        </w:rPr>
        <w:t xml:space="preserve"> عِنْدَ الْقَوْمِ هذَا</w:t>
      </w:r>
      <w:r>
        <w:rPr>
          <w:rtl/>
          <w:lang w:bidi="fa-IR"/>
        </w:rPr>
        <w:t>؟</w:t>
      </w:r>
      <w:r w:rsidRPr="00132E65">
        <w:rPr>
          <w:rtl/>
          <w:lang w:bidi="fa-IR"/>
        </w:rPr>
        <w:t xml:space="preserve"> </w:t>
      </w:r>
      <w:r w:rsidR="00FE271B" w:rsidRPr="00132E65">
        <w:rPr>
          <w:rtl/>
          <w:lang w:bidi="fa-IR"/>
        </w:rPr>
        <w:t>و</w:t>
      </w:r>
      <w:r w:rsidR="00FE271B">
        <w:rPr>
          <w:rFonts w:hint="cs"/>
          <w:rtl/>
          <w:lang w:bidi="fa-IR"/>
        </w:rPr>
        <w:t>َ</w:t>
      </w:r>
      <w:r w:rsidRPr="00132E65">
        <w:rPr>
          <w:rtl/>
          <w:lang w:bidi="fa-IR"/>
        </w:rPr>
        <w:t xml:space="preserve">اسْتَعْمَلْتُ الْجَهْلَ ، فَرَدَدْتُهَا ، </w:t>
      </w:r>
      <w:r w:rsidR="00FE271B" w:rsidRPr="00132E65">
        <w:rPr>
          <w:rtl/>
          <w:lang w:bidi="fa-IR"/>
        </w:rPr>
        <w:t>و</w:t>
      </w:r>
      <w:r w:rsidR="00FE271B">
        <w:rPr>
          <w:rFonts w:hint="cs"/>
          <w:rtl/>
          <w:lang w:bidi="fa-IR"/>
        </w:rPr>
        <w:t>َ</w:t>
      </w:r>
      <w:r w:rsidRPr="00132E65">
        <w:rPr>
          <w:rtl/>
          <w:lang w:bidi="fa-IR"/>
        </w:rPr>
        <w:t xml:space="preserve">كَتَبْتُ رُقْعَةً ، </w:t>
      </w:r>
      <w:r w:rsidR="00FE271B" w:rsidRPr="00132E65">
        <w:rPr>
          <w:rtl/>
          <w:lang w:bidi="fa-IR"/>
        </w:rPr>
        <w:t>و</w:t>
      </w:r>
      <w:r w:rsidR="00FE271B">
        <w:rPr>
          <w:rFonts w:hint="cs"/>
          <w:rtl/>
          <w:lang w:bidi="fa-IR"/>
        </w:rPr>
        <w:t>َ</w:t>
      </w:r>
      <w:r w:rsidRPr="00132E65">
        <w:rPr>
          <w:rtl/>
          <w:lang w:bidi="fa-IR"/>
        </w:rPr>
        <w:t xml:space="preserve">لَمْ يُشِرِ الَّذِي قَبَضَهَا مِنِّي عَلَيَّ بِشَيْ‌ءٍ ، </w:t>
      </w:r>
      <w:r w:rsidR="00FE271B" w:rsidRPr="00132E65">
        <w:rPr>
          <w:rtl/>
          <w:lang w:bidi="fa-IR"/>
        </w:rPr>
        <w:t>و</w:t>
      </w:r>
      <w:r w:rsidR="00FE271B">
        <w:rPr>
          <w:rFonts w:hint="cs"/>
          <w:rtl/>
          <w:lang w:bidi="fa-IR"/>
        </w:rPr>
        <w:t>َ</w:t>
      </w:r>
      <w:r w:rsidRPr="00132E65">
        <w:rPr>
          <w:rtl/>
          <w:lang w:bidi="fa-IR"/>
        </w:rPr>
        <w:t xml:space="preserve">لَمْ يَتَكَلَّمْ فِيهَا بِحَرْفٍ </w:t>
      </w:r>
      <w:r>
        <w:rPr>
          <w:rStyle w:val="libFootnotenumChar"/>
          <w:rtl/>
        </w:rPr>
        <w:t>(5)</w:t>
      </w:r>
      <w:r w:rsidRPr="00132E65">
        <w:rPr>
          <w:rtl/>
          <w:lang w:bidi="fa-IR"/>
        </w:rPr>
        <w:t xml:space="preserve"> ، ثُمَّ نَدِمْتُ بَعْدَ ذلِكَ نَدَامَةً شَدِيدَةً ، و</w:t>
      </w:r>
      <w:r w:rsidR="00FE271B">
        <w:rPr>
          <w:rFonts w:hint="cs"/>
          <w:rtl/>
          <w:lang w:bidi="fa-IR"/>
        </w:rPr>
        <w:t>َ</w:t>
      </w:r>
      <w:r w:rsidRPr="00132E65">
        <w:rPr>
          <w:rtl/>
          <w:lang w:bidi="fa-IR"/>
        </w:rPr>
        <w:t>قُلْتُ فِي نَفْسِي : كَفَرْتُ بِرَدِّي عَلى مَوْلَايَ.</w:t>
      </w:r>
    </w:p>
    <w:p w:rsidR="000C39D1" w:rsidRPr="00132E65" w:rsidRDefault="000C39D1" w:rsidP="00FE271B">
      <w:pPr>
        <w:pStyle w:val="libNormal"/>
        <w:rPr>
          <w:rtl/>
          <w:lang w:bidi="fa-IR"/>
        </w:rPr>
      </w:pPr>
      <w:r w:rsidRPr="00132E65">
        <w:rPr>
          <w:rtl/>
          <w:lang w:bidi="fa-IR"/>
        </w:rPr>
        <w:t xml:space="preserve">وَكَتَبْتُ رُقْعَةً أَعْتَذِرُ مِنْ فِعْلِي ، </w:t>
      </w:r>
      <w:r w:rsidR="00FE271B" w:rsidRPr="00132E65">
        <w:rPr>
          <w:rtl/>
          <w:lang w:bidi="fa-IR"/>
        </w:rPr>
        <w:t>و</w:t>
      </w:r>
      <w:r w:rsidR="00FE271B">
        <w:rPr>
          <w:rFonts w:hint="cs"/>
          <w:rtl/>
          <w:lang w:bidi="fa-IR"/>
        </w:rPr>
        <w:t>َ</w:t>
      </w:r>
      <w:r w:rsidRPr="00132E65">
        <w:rPr>
          <w:rtl/>
          <w:lang w:bidi="fa-IR"/>
        </w:rPr>
        <w:t xml:space="preserve">أَبُوءُ بِالْإِثْمِ ، </w:t>
      </w:r>
      <w:r w:rsidR="00FE271B" w:rsidRPr="00132E65">
        <w:rPr>
          <w:rtl/>
          <w:lang w:bidi="fa-IR"/>
        </w:rPr>
        <w:t>و</w:t>
      </w:r>
      <w:r w:rsidR="00FE271B">
        <w:rPr>
          <w:rFonts w:hint="cs"/>
          <w:rtl/>
          <w:lang w:bidi="fa-IR"/>
        </w:rPr>
        <w:t>َ</w:t>
      </w:r>
      <w:r w:rsidRPr="00132E65">
        <w:rPr>
          <w:rtl/>
          <w:lang w:bidi="fa-IR"/>
        </w:rPr>
        <w:t xml:space="preserve">أَسْتَغْفِرُ مِنْ ذلِكَ </w:t>
      </w:r>
      <w:r>
        <w:rPr>
          <w:rStyle w:val="libFootnotenumChar"/>
          <w:rtl/>
        </w:rPr>
        <w:t>(6)</w:t>
      </w:r>
      <w:r w:rsidRPr="00132E65">
        <w:rPr>
          <w:rtl/>
          <w:lang w:bidi="fa-IR"/>
        </w:rPr>
        <w:t xml:space="preserve"> ، </w:t>
      </w:r>
      <w:r w:rsidR="00FE271B" w:rsidRPr="00132E65">
        <w:rPr>
          <w:rtl/>
          <w:lang w:bidi="fa-IR"/>
        </w:rPr>
        <w:t>و</w:t>
      </w:r>
      <w:r w:rsidR="00FE271B">
        <w:rPr>
          <w:rFonts w:hint="cs"/>
          <w:rtl/>
          <w:lang w:bidi="fa-IR"/>
        </w:rPr>
        <w:t>َ</w:t>
      </w:r>
      <w:r w:rsidRPr="00132E65">
        <w:rPr>
          <w:rtl/>
          <w:lang w:bidi="fa-IR"/>
        </w:rPr>
        <w:t xml:space="preserve">أَنْفَذْتُهَا ، وَقُمْتُ أَتَمَسَّحُ </w:t>
      </w:r>
      <w:r>
        <w:rPr>
          <w:rStyle w:val="libFootnotenumChar"/>
          <w:rtl/>
        </w:rPr>
        <w:t>(7)</w:t>
      </w:r>
      <w:r w:rsidRPr="00132E65">
        <w:rPr>
          <w:rtl/>
          <w:lang w:bidi="fa-IR"/>
        </w:rPr>
        <w:t xml:space="preserve"> ، فَأَنَا </w:t>
      </w:r>
      <w:r>
        <w:rPr>
          <w:rStyle w:val="libFootnotenumChar"/>
          <w:rtl/>
        </w:rPr>
        <w:t>(8)</w:t>
      </w:r>
      <w:r w:rsidRPr="00132E65">
        <w:rPr>
          <w:rtl/>
          <w:lang w:bidi="fa-IR"/>
        </w:rPr>
        <w:t xml:space="preserve"> فِي ذلِكَ </w:t>
      </w:r>
      <w:r>
        <w:rPr>
          <w:rStyle w:val="libFootnotenumChar"/>
          <w:rtl/>
        </w:rPr>
        <w:t>(9)</w:t>
      </w:r>
      <w:r w:rsidRPr="00132E65">
        <w:rPr>
          <w:rtl/>
          <w:lang w:bidi="fa-IR"/>
        </w:rPr>
        <w:t xml:space="preserve"> أُفَكِّرُ فِي نَفْسِي ، </w:t>
      </w:r>
      <w:r w:rsidR="00FE271B" w:rsidRPr="00132E65">
        <w:rPr>
          <w:rtl/>
          <w:lang w:bidi="fa-IR"/>
        </w:rPr>
        <w:t>و</w:t>
      </w:r>
      <w:r w:rsidR="00FE271B">
        <w:rPr>
          <w:rFonts w:hint="cs"/>
          <w:rtl/>
          <w:lang w:bidi="fa-IR"/>
        </w:rPr>
        <w:t>َ</w:t>
      </w:r>
      <w:r w:rsidRPr="00132E65">
        <w:rPr>
          <w:rtl/>
          <w:lang w:bidi="fa-IR"/>
        </w:rPr>
        <w:t xml:space="preserve">أَقُولُ : إِنْ رُدَّتْ عَلَيَّ الدَّنَانِيرُ لَمْ أَحْلُلْ </w:t>
      </w:r>
      <w:r>
        <w:rPr>
          <w:rStyle w:val="libFootnotenumChar"/>
          <w:rtl/>
        </w:rPr>
        <w:t>(10)</w:t>
      </w:r>
      <w:r w:rsidRPr="00132E65">
        <w:rPr>
          <w:rtl/>
          <w:lang w:bidi="fa-IR"/>
        </w:rPr>
        <w:t xml:space="preserve"> صِرَارَهَا </w:t>
      </w:r>
      <w:r>
        <w:rPr>
          <w:rStyle w:val="libFootnotenumChar"/>
          <w:rtl/>
        </w:rPr>
        <w:t>(11)</w:t>
      </w:r>
      <w:r w:rsidRPr="00132E65">
        <w:rPr>
          <w:rtl/>
          <w:lang w:bidi="fa-IR"/>
        </w:rPr>
        <w:t xml:space="preserve"> </w:t>
      </w:r>
      <w:r w:rsidR="00FE271B" w:rsidRPr="00132E65">
        <w:rPr>
          <w:rtl/>
          <w:lang w:bidi="fa-IR"/>
        </w:rPr>
        <w:t>و</w:t>
      </w:r>
      <w:r w:rsidR="00FE271B">
        <w:rPr>
          <w:rFonts w:hint="cs"/>
          <w:rtl/>
          <w:lang w:bidi="fa-IR"/>
        </w:rPr>
        <w:t>َ</w:t>
      </w:r>
      <w:r w:rsidRPr="00132E65">
        <w:rPr>
          <w:rtl/>
          <w:lang w:bidi="fa-IR"/>
        </w:rPr>
        <w:t xml:space="preserve">لَمْ أُحْدِثْ فِيهَا </w:t>
      </w:r>
      <w:r>
        <w:rPr>
          <w:rStyle w:val="libFootnotenumChar"/>
          <w:rtl/>
        </w:rPr>
        <w:t>(12)</w:t>
      </w:r>
      <w:r w:rsidRPr="00132E65">
        <w:rPr>
          <w:rtl/>
          <w:lang w:bidi="fa-IR"/>
        </w:rPr>
        <w:t xml:space="preserve"> حَتّى أَحْمِلَهَا إِلى أَبِي ؛ فَإِنَّهُ أَعْلَمُ مِنِّي لِيَعْمَلَ فِيهَا بِمَا شَاءَ </w:t>
      </w:r>
      <w:r w:rsidRPr="00F543F1">
        <w:rPr>
          <w:rStyle w:val="libFootnotenumChar"/>
          <w:rtl/>
        </w:rPr>
        <w:t>(13)</w:t>
      </w:r>
      <w:r w:rsidRPr="00132E65">
        <w:rPr>
          <w:rtl/>
          <w:lang w:bidi="fa-IR"/>
        </w:rPr>
        <w:t xml:space="preserve"> ، فَخَرَجَ إِلَى الرَّسُولِ الَّذِي حَمَلَ إِلَيَّ </w:t>
      </w:r>
      <w:r w:rsidRPr="00F543F1">
        <w:rPr>
          <w:rStyle w:val="libFootnotenumChar"/>
          <w:rtl/>
        </w:rPr>
        <w:t>(14)</w:t>
      </w:r>
      <w:r w:rsidRPr="00132E65">
        <w:rPr>
          <w:rtl/>
          <w:lang w:bidi="fa-IR"/>
        </w:rPr>
        <w:t xml:space="preserve"> الصُّرَّةَ </w:t>
      </w:r>
      <w:r w:rsidRPr="00F543F1">
        <w:rPr>
          <w:rStyle w:val="libFootnotenumChar"/>
          <w:rtl/>
        </w:rPr>
        <w:t>(15)</w:t>
      </w:r>
      <w:r w:rsidRPr="00132E65">
        <w:rPr>
          <w:rtl/>
          <w:lang w:bidi="fa-IR"/>
        </w:rPr>
        <w:t xml:space="preserve"> : « أَسَأْتَ ؛ إِذْ لَمْ تُعْلِمِ‌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وقلت هذا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(3).</w:t>
      </w:r>
      <w:r w:rsidRPr="00132E65">
        <w:rPr>
          <w:rtl/>
        </w:rPr>
        <w:t xml:space="preserve"> في الإرشاد </w:t>
      </w:r>
      <w:r>
        <w:rPr>
          <w:rtl/>
        </w:rPr>
        <w:t xml:space="preserve">: - </w:t>
      </w:r>
      <w:r w:rsidRPr="00132E65">
        <w:rPr>
          <w:rtl/>
        </w:rPr>
        <w:t>« والحمد لله »</w:t>
      </w:r>
      <w:r>
        <w:rPr>
          <w:rtl/>
        </w:rPr>
        <w:t>.</w:t>
      </w:r>
    </w:p>
    <w:p w:rsidR="000C39D1" w:rsidRPr="00132E65" w:rsidRDefault="000C39D1" w:rsidP="000C39D1">
      <w:pPr>
        <w:pStyle w:val="libFootnote0"/>
        <w:rPr>
          <w:rtl/>
          <w:lang w:bidi="fa-IR"/>
        </w:rPr>
      </w:pPr>
      <w:r>
        <w:rPr>
          <w:rtl/>
        </w:rPr>
        <w:t>(4).</w:t>
      </w:r>
      <w:r w:rsidRPr="00132E65">
        <w:rPr>
          <w:rtl/>
        </w:rPr>
        <w:t xml:space="preserve"> في « بر ، بف » وحاشية « بح » و</w:t>
      </w:r>
      <w:r w:rsidRPr="009D1ACE">
        <w:rPr>
          <w:rStyle w:val="libFootnoteBoldChar"/>
          <w:rtl/>
        </w:rPr>
        <w:t>الوافي</w:t>
      </w:r>
      <w:r w:rsidRPr="00132E65">
        <w:rPr>
          <w:rtl/>
        </w:rPr>
        <w:t xml:space="preserve"> : « حالي »</w:t>
      </w:r>
      <w:r>
        <w:rPr>
          <w:rtl/>
        </w:rPr>
        <w:t>.</w:t>
      </w:r>
      <w:r w:rsidRPr="00132E65">
        <w:rPr>
          <w:rtl/>
        </w:rPr>
        <w:t xml:space="preserve"> وفي الإرشاد : « جدي »</w:t>
      </w:r>
      <w:r>
        <w:rPr>
          <w:rtl/>
        </w:rPr>
        <w:t>.</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قال »</w:t>
      </w:r>
      <w:r>
        <w:rPr>
          <w:rtl/>
        </w:rPr>
        <w:t>.</w:t>
      </w:r>
      <w:r w:rsidRPr="00132E65">
        <w:rPr>
          <w:rtl/>
        </w:rPr>
        <w:t xml:space="preserve"> وفي الإرشاد </w:t>
      </w:r>
      <w:r>
        <w:rPr>
          <w:rtl/>
        </w:rPr>
        <w:t xml:space="preserve">: - </w:t>
      </w:r>
      <w:r w:rsidRPr="00132E65">
        <w:rPr>
          <w:rtl/>
        </w:rPr>
        <w:t>« وكتبت رقعة</w:t>
      </w:r>
      <w:r>
        <w:rPr>
          <w:rtl/>
        </w:rPr>
        <w:t xml:space="preserve"> - </w:t>
      </w:r>
      <w:r w:rsidRPr="00132E65">
        <w:rPr>
          <w:rtl/>
        </w:rPr>
        <w:t>إلى</w:t>
      </w:r>
      <w:r>
        <w:rPr>
          <w:rtl/>
        </w:rPr>
        <w:t xml:space="preserve"> - </w:t>
      </w:r>
      <w:r w:rsidRPr="00132E65">
        <w:rPr>
          <w:rtl/>
        </w:rPr>
        <w:t>فيها بحرف »</w:t>
      </w:r>
      <w:r>
        <w:rPr>
          <w:rtl/>
        </w:rPr>
        <w:t>.</w:t>
      </w:r>
    </w:p>
    <w:p w:rsidR="000C39D1" w:rsidRPr="00132E65" w:rsidRDefault="000C39D1" w:rsidP="000C39D1">
      <w:pPr>
        <w:pStyle w:val="libFootnote0"/>
        <w:rPr>
          <w:rtl/>
          <w:lang w:bidi="fa-IR"/>
        </w:rPr>
      </w:pPr>
      <w:r>
        <w:rPr>
          <w:rtl/>
        </w:rPr>
        <w:t>(6).</w:t>
      </w:r>
      <w:r w:rsidRPr="00132E65">
        <w:rPr>
          <w:rtl/>
        </w:rPr>
        <w:t xml:space="preserve"> في الإرشاد : « من زللي »</w:t>
      </w:r>
      <w:r>
        <w:rPr>
          <w:rtl/>
        </w:rPr>
        <w:t>.</w:t>
      </w:r>
    </w:p>
    <w:p w:rsidR="000C39D1" w:rsidRPr="00132E65" w:rsidRDefault="000C39D1" w:rsidP="0006034E">
      <w:pPr>
        <w:pStyle w:val="libFootnote0"/>
        <w:rPr>
          <w:rtl/>
          <w:lang w:bidi="fa-IR"/>
        </w:rPr>
      </w:pPr>
      <w:r>
        <w:rPr>
          <w:rtl/>
        </w:rPr>
        <w:t>(7).</w:t>
      </w:r>
      <w:r w:rsidRPr="00132E65">
        <w:rPr>
          <w:rtl/>
        </w:rPr>
        <w:t xml:space="preserve"> « أتمسّح » ، أي قمت أسير في الأرض وأقطعها وأمشي فيها ، أو قمت أتوضّأ ، أو قمت أمرّ اليد على اللحية أوباطن كلّ من الكفّين على باطن الا</w:t>
      </w:r>
      <w:r w:rsidR="00FE271B">
        <w:rPr>
          <w:rFonts w:hint="cs"/>
          <w:rtl/>
        </w:rPr>
        <w:t>ُ</w:t>
      </w:r>
      <w:r w:rsidRPr="00132E65">
        <w:rPr>
          <w:rtl/>
        </w:rPr>
        <w:t xml:space="preserve">خرى مكرّراً كما يفعله النادم الحزين. أو المعنى : لا شي‌ء معي ، يقال : فلان يتمسّح ، أي لا شي‌ء معه كأنّه يمسح ذراعيه. راجع : </w:t>
      </w:r>
      <w:r w:rsidRPr="00C20DDB">
        <w:rPr>
          <w:rtl/>
        </w:rPr>
        <w:t>شرح المازندراني</w:t>
      </w:r>
      <w:r w:rsidRPr="00132E65">
        <w:rPr>
          <w:rtl/>
        </w:rPr>
        <w:t xml:space="preserve"> ، ج 7 ، ص 345 ؛ </w:t>
      </w:r>
      <w:r w:rsidRPr="009D1ACE">
        <w:rPr>
          <w:rStyle w:val="libFootnoteBoldChar"/>
          <w:rtl/>
        </w:rPr>
        <w:t>الوافي</w:t>
      </w:r>
      <w:r w:rsidRPr="00132E65">
        <w:rPr>
          <w:rtl/>
        </w:rPr>
        <w:t xml:space="preserve"> ، ج 13 ، ص 874 ؛ </w:t>
      </w:r>
      <w:r w:rsidRPr="009D1ACE">
        <w:rPr>
          <w:rStyle w:val="libFootnoteBoldChar"/>
          <w:rtl/>
        </w:rPr>
        <w:t>مرآة العقول</w:t>
      </w:r>
      <w:r w:rsidRPr="00132E65">
        <w:rPr>
          <w:rtl/>
        </w:rPr>
        <w:t xml:space="preserve"> ، ج 6 ، ص 187.</w:t>
      </w:r>
      <w:r w:rsidR="00FE271B">
        <w:rPr>
          <w:rFonts w:hint="cs"/>
          <w:rtl/>
        </w:rPr>
        <w:t xml:space="preserve">                                                </w:t>
      </w:r>
      <w:r>
        <w:rPr>
          <w:rtl/>
        </w:rPr>
        <w:t>(8).</w:t>
      </w:r>
      <w:r w:rsidRPr="00132E65">
        <w:rPr>
          <w:rtl/>
        </w:rPr>
        <w:t xml:space="preserve"> في « بح ، بر ، بف » و</w:t>
      </w:r>
      <w:r w:rsidRPr="009D1ACE">
        <w:rPr>
          <w:rStyle w:val="libFootnoteBoldChar"/>
          <w:rtl/>
        </w:rPr>
        <w:t>الوافي</w:t>
      </w:r>
      <w:r w:rsidRPr="00132E65">
        <w:rPr>
          <w:rtl/>
        </w:rPr>
        <w:t xml:space="preserve"> : « وأنا »</w:t>
      </w:r>
      <w:r>
        <w:rPr>
          <w:rtl/>
        </w:rPr>
        <w:t>.</w:t>
      </w:r>
    </w:p>
    <w:p w:rsidR="000C39D1" w:rsidRPr="00132E65" w:rsidRDefault="000C39D1" w:rsidP="000C39D1">
      <w:pPr>
        <w:pStyle w:val="libFootnote0"/>
        <w:rPr>
          <w:rtl/>
          <w:lang w:bidi="fa-IR"/>
        </w:rPr>
      </w:pPr>
      <w:r>
        <w:rPr>
          <w:rtl/>
        </w:rPr>
        <w:t>(9).</w:t>
      </w:r>
      <w:r w:rsidRPr="00132E65">
        <w:rPr>
          <w:rtl/>
        </w:rPr>
        <w:t xml:space="preserve"> في الإرشاد : « أتطهّر للصلاة وأنا ذا ذاك » بدل « أتمسّح فأنا في ذلك »</w:t>
      </w:r>
      <w:r>
        <w:rPr>
          <w:rtl/>
        </w:rPr>
        <w:t>.</w:t>
      </w:r>
    </w:p>
    <w:tbl>
      <w:tblPr>
        <w:tblStyle w:val="TableGrid"/>
        <w:bidiVisual/>
        <w:tblW w:w="0" w:type="auto"/>
        <w:tblLook w:val="04A0" w:firstRow="1" w:lastRow="0" w:firstColumn="1" w:lastColumn="0" w:noHBand="0" w:noVBand="1"/>
      </w:tblPr>
      <w:tblGrid>
        <w:gridCol w:w="4261"/>
        <w:gridCol w:w="4262"/>
      </w:tblGrid>
      <w:tr w:rsidR="00FE271B" w:rsidTr="00FE271B">
        <w:tc>
          <w:tcPr>
            <w:tcW w:w="4261" w:type="dxa"/>
          </w:tcPr>
          <w:p w:rsidR="00FE271B" w:rsidRDefault="00FE271B" w:rsidP="000C39D1">
            <w:pPr>
              <w:pStyle w:val="libFootnote0"/>
              <w:rPr>
                <w:rtl/>
              </w:rPr>
            </w:pPr>
            <w:r>
              <w:rPr>
                <w:rtl/>
              </w:rPr>
              <w:t>(10).</w:t>
            </w:r>
            <w:r w:rsidRPr="00132E65">
              <w:rPr>
                <w:rtl/>
              </w:rPr>
              <w:t xml:space="preserve"> في « بس » : « لم أحلّ »</w:t>
            </w:r>
            <w:r>
              <w:rPr>
                <w:rtl/>
              </w:rPr>
              <w:t>.</w:t>
            </w:r>
          </w:p>
        </w:tc>
        <w:tc>
          <w:tcPr>
            <w:tcW w:w="4262" w:type="dxa"/>
          </w:tcPr>
          <w:p w:rsidR="00FE271B" w:rsidRDefault="00FE271B" w:rsidP="000C39D1">
            <w:pPr>
              <w:pStyle w:val="libFootnote0"/>
              <w:rPr>
                <w:rtl/>
              </w:rPr>
            </w:pPr>
            <w:r>
              <w:rPr>
                <w:rtl/>
              </w:rPr>
              <w:t>(11).</w:t>
            </w:r>
            <w:r w:rsidRPr="00132E65">
              <w:rPr>
                <w:rtl/>
              </w:rPr>
              <w:t xml:space="preserve"> في الإرشاد : « شدّها »</w:t>
            </w:r>
            <w:r>
              <w:rPr>
                <w:rtl/>
              </w:rPr>
              <w:t>.</w:t>
            </w:r>
          </w:p>
        </w:tc>
      </w:tr>
    </w:tbl>
    <w:p w:rsidR="000C39D1" w:rsidRPr="00132E65" w:rsidRDefault="000C39D1" w:rsidP="000C39D1">
      <w:pPr>
        <w:pStyle w:val="libFootnote0"/>
        <w:rPr>
          <w:rtl/>
          <w:lang w:bidi="fa-IR"/>
        </w:rPr>
      </w:pPr>
      <w:r>
        <w:rPr>
          <w:rtl/>
        </w:rPr>
        <w:t>(12).</w:t>
      </w:r>
      <w:r w:rsidRPr="00132E65">
        <w:rPr>
          <w:rtl/>
        </w:rPr>
        <w:t xml:space="preserve"> في الإرشاد :</w:t>
      </w:r>
      <w:r>
        <w:rPr>
          <w:rtl/>
        </w:rPr>
        <w:t xml:space="preserve"> + </w:t>
      </w:r>
      <w:r w:rsidRPr="00132E65">
        <w:rPr>
          <w:rtl/>
        </w:rPr>
        <w:t>« شيئاً »</w:t>
      </w:r>
      <w:r>
        <w:rPr>
          <w:rtl/>
        </w:rPr>
        <w:t>.</w:t>
      </w:r>
    </w:p>
    <w:p w:rsidR="000C39D1" w:rsidRPr="00132E65" w:rsidRDefault="000C39D1" w:rsidP="000C39D1">
      <w:pPr>
        <w:pStyle w:val="libFootnote0"/>
        <w:rPr>
          <w:rtl/>
          <w:lang w:bidi="fa-IR"/>
        </w:rPr>
      </w:pPr>
      <w:r>
        <w:rPr>
          <w:rtl/>
        </w:rPr>
        <w:t>(13)</w:t>
      </w:r>
      <w:r w:rsidRPr="00132E65">
        <w:rPr>
          <w:rtl/>
        </w:rPr>
        <w:t xml:space="preserve"> في « ف » : « بما يشاء »</w:t>
      </w:r>
      <w:r>
        <w:rPr>
          <w:rtl/>
        </w:rPr>
        <w:t>.</w:t>
      </w:r>
      <w:r w:rsidRPr="00132E65">
        <w:rPr>
          <w:rtl/>
        </w:rPr>
        <w:t xml:space="preserve"> وفي الإرشاد </w:t>
      </w:r>
      <w:r>
        <w:rPr>
          <w:rtl/>
        </w:rPr>
        <w:t xml:space="preserve">: - </w:t>
      </w:r>
      <w:r w:rsidRPr="00132E65">
        <w:rPr>
          <w:rtl/>
        </w:rPr>
        <w:t>« ليعمل فيها بما شاء »</w:t>
      </w:r>
      <w:r>
        <w:rPr>
          <w:rtl/>
        </w:rPr>
        <w:t>.</w:t>
      </w:r>
    </w:p>
    <w:tbl>
      <w:tblPr>
        <w:tblStyle w:val="TableGrid"/>
        <w:bidiVisual/>
        <w:tblW w:w="0" w:type="auto"/>
        <w:tblLook w:val="04A0" w:firstRow="1" w:lastRow="0" w:firstColumn="1" w:lastColumn="0" w:noHBand="0" w:noVBand="1"/>
      </w:tblPr>
      <w:tblGrid>
        <w:gridCol w:w="4261"/>
        <w:gridCol w:w="4262"/>
      </w:tblGrid>
      <w:tr w:rsidR="00A658F4" w:rsidTr="00A658F4">
        <w:tc>
          <w:tcPr>
            <w:tcW w:w="4261" w:type="dxa"/>
          </w:tcPr>
          <w:p w:rsidR="00A658F4" w:rsidRDefault="00A658F4" w:rsidP="000C39D1">
            <w:pPr>
              <w:pStyle w:val="libFootnote0"/>
              <w:rPr>
                <w:rtl/>
              </w:rPr>
            </w:pPr>
            <w:r>
              <w:rPr>
                <w:rtl/>
              </w:rPr>
              <w:t>(14)</w:t>
            </w:r>
            <w:r w:rsidRPr="00132E65">
              <w:rPr>
                <w:rtl/>
              </w:rPr>
              <w:t xml:space="preserve"> في الإرشاد </w:t>
            </w:r>
            <w:r>
              <w:rPr>
                <w:rtl/>
              </w:rPr>
              <w:t xml:space="preserve">: - </w:t>
            </w:r>
            <w:r w:rsidRPr="00132E65">
              <w:rPr>
                <w:rtl/>
              </w:rPr>
              <w:t>« إليّ »</w:t>
            </w:r>
            <w:r>
              <w:rPr>
                <w:rtl/>
              </w:rPr>
              <w:t>.</w:t>
            </w:r>
          </w:p>
        </w:tc>
        <w:tc>
          <w:tcPr>
            <w:tcW w:w="4262" w:type="dxa"/>
          </w:tcPr>
          <w:p w:rsidR="00A658F4" w:rsidRDefault="00A658F4" w:rsidP="000C39D1">
            <w:pPr>
              <w:pStyle w:val="libFootnote0"/>
              <w:rPr>
                <w:rtl/>
              </w:rPr>
            </w:pPr>
            <w:r>
              <w:rPr>
                <w:rtl/>
              </w:rPr>
              <w:t>(15)</w:t>
            </w:r>
            <w:r w:rsidRPr="00132E65">
              <w:rPr>
                <w:rtl/>
              </w:rPr>
              <w:t xml:space="preserve"> في الإرشاد :</w:t>
            </w:r>
            <w:r>
              <w:rPr>
                <w:rtl/>
              </w:rPr>
              <w:t xml:space="preserve"> + </w:t>
            </w:r>
            <w:r w:rsidRPr="00132E65">
              <w:rPr>
                <w:rtl/>
              </w:rPr>
              <w:t>« وقال : قيل لي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35146B">
      <w:pPr>
        <w:pStyle w:val="libNormal0"/>
        <w:tabs>
          <w:tab w:val="left" w:pos="3968"/>
        </w:tabs>
        <w:rPr>
          <w:rtl/>
          <w:lang w:bidi="fa-IR"/>
        </w:rPr>
      </w:pPr>
      <w:r w:rsidRPr="00132E65">
        <w:rPr>
          <w:rtl/>
          <w:lang w:bidi="fa-IR"/>
        </w:rPr>
        <w:t xml:space="preserve">الرَّجُلَ أَنَّا </w:t>
      </w:r>
      <w:r>
        <w:rPr>
          <w:rStyle w:val="libFootnotenumChar"/>
          <w:rtl/>
        </w:rPr>
        <w:t>(1)</w:t>
      </w:r>
      <w:r w:rsidRPr="00132E65">
        <w:rPr>
          <w:rtl/>
          <w:lang w:bidi="fa-IR"/>
        </w:rPr>
        <w:t xml:space="preserve"> رُبَّمَا فَعَلْنَا ذلِكَ بِمَوَالِينَا </w:t>
      </w:r>
      <w:r>
        <w:rPr>
          <w:rStyle w:val="libFootnotenumChar"/>
          <w:rtl/>
        </w:rPr>
        <w:t>(2)</w:t>
      </w:r>
      <w:r w:rsidRPr="00132E65">
        <w:rPr>
          <w:rtl/>
          <w:lang w:bidi="fa-IR"/>
        </w:rPr>
        <w:t xml:space="preserve"> ، و</w:t>
      </w:r>
      <w:r w:rsidR="009F1949">
        <w:rPr>
          <w:rFonts w:hint="cs"/>
          <w:rtl/>
          <w:lang w:bidi="fa-IR"/>
        </w:rPr>
        <w:t>َ</w:t>
      </w:r>
      <w:r w:rsidRPr="00132E65">
        <w:rPr>
          <w:rtl/>
          <w:lang w:bidi="fa-IR"/>
        </w:rPr>
        <w:t xml:space="preserve">رُبَّمَا سَأَلُونَا </w:t>
      </w:r>
      <w:r>
        <w:rPr>
          <w:rStyle w:val="libFootnotenumChar"/>
          <w:rtl/>
        </w:rPr>
        <w:t>(3)</w:t>
      </w:r>
      <w:r w:rsidRPr="00132E65">
        <w:rPr>
          <w:rtl/>
          <w:lang w:bidi="fa-IR"/>
        </w:rPr>
        <w:t xml:space="preserve"> ذلِكَ يَتَبَرَّكُونَ بِهِ » </w:t>
      </w:r>
      <w:r w:rsidR="009F1949" w:rsidRPr="00132E65">
        <w:rPr>
          <w:rtl/>
          <w:lang w:bidi="fa-IR"/>
        </w:rPr>
        <w:t>و</w:t>
      </w:r>
      <w:r w:rsidR="009F1949">
        <w:rPr>
          <w:rFonts w:hint="cs"/>
          <w:rtl/>
          <w:lang w:bidi="fa-IR"/>
        </w:rPr>
        <w:t>َ</w:t>
      </w:r>
      <w:r w:rsidRPr="00132E65">
        <w:rPr>
          <w:rtl/>
          <w:lang w:bidi="fa-IR"/>
        </w:rPr>
        <w:t>خَرَجَ إِلَيَّ :</w:t>
      </w:r>
      <w:r>
        <w:rPr>
          <w:rFonts w:hint="cs"/>
          <w:rtl/>
          <w:lang w:bidi="fa-IR"/>
        </w:rPr>
        <w:t xml:space="preserve"> </w:t>
      </w:r>
      <w:r w:rsidRPr="00132E65">
        <w:rPr>
          <w:rtl/>
          <w:lang w:bidi="fa-IR"/>
        </w:rPr>
        <w:t xml:space="preserve">« أَخْطَأْتَ فِي رَدِّكَ بِرَّنَا ، فَإِذَا اسْتَغْفَرْتَ اللهَ فَاللهُ </w:t>
      </w:r>
      <w:r>
        <w:rPr>
          <w:rStyle w:val="libFootnotenumChar"/>
          <w:rtl/>
        </w:rPr>
        <w:t>(4)</w:t>
      </w:r>
      <w:r w:rsidRPr="00132E65">
        <w:rPr>
          <w:rtl/>
          <w:lang w:bidi="fa-IR"/>
        </w:rPr>
        <w:t xml:space="preserve"> يَغْفِرُ لَكَ ، فَأَمَّا </w:t>
      </w:r>
      <w:r>
        <w:rPr>
          <w:rStyle w:val="libFootnotenumChar"/>
          <w:rtl/>
        </w:rPr>
        <w:t>(5)</w:t>
      </w:r>
      <w:r w:rsidRPr="00132E65">
        <w:rPr>
          <w:rtl/>
          <w:lang w:bidi="fa-IR"/>
        </w:rPr>
        <w:t xml:space="preserve"> إِذَا </w:t>
      </w:r>
      <w:r>
        <w:rPr>
          <w:rStyle w:val="libFootnotenumChar"/>
          <w:rtl/>
        </w:rPr>
        <w:t>(6)</w:t>
      </w:r>
      <w:r w:rsidRPr="00132E65">
        <w:rPr>
          <w:rtl/>
          <w:lang w:bidi="fa-IR"/>
        </w:rPr>
        <w:t xml:space="preserve"> كَانَتْ عَزِيمَتُكَ وَعَقْدُ نِيَّتِكَ </w:t>
      </w:r>
      <w:r>
        <w:rPr>
          <w:rStyle w:val="libFootnotenumChar"/>
          <w:rtl/>
        </w:rPr>
        <w:t>(7)</w:t>
      </w:r>
      <w:r w:rsidR="0035146B">
        <w:rPr>
          <w:rtl/>
          <w:lang w:bidi="fa-IR"/>
        </w:rPr>
        <w:t xml:space="preserve"> أَل</w:t>
      </w:r>
      <w:r w:rsidR="0035146B">
        <w:rPr>
          <w:rFonts w:hint="cs"/>
          <w:rtl/>
          <w:lang w:bidi="fa-IR"/>
        </w:rPr>
        <w:t>َّ</w:t>
      </w:r>
      <w:r w:rsidR="0035146B">
        <w:rPr>
          <w:rtl/>
          <w:lang w:bidi="fa-IR"/>
        </w:rPr>
        <w:t>ا</w:t>
      </w:r>
      <w:r w:rsidRPr="00132E65">
        <w:rPr>
          <w:rtl/>
          <w:lang w:bidi="fa-IR"/>
        </w:rPr>
        <w:t xml:space="preserve"> تُحْدِثَ فِيهَا حَدَثاً ، </w:t>
      </w:r>
      <w:r w:rsidR="0035146B" w:rsidRPr="00132E65">
        <w:rPr>
          <w:rtl/>
          <w:lang w:bidi="fa-IR"/>
        </w:rPr>
        <w:t>و</w:t>
      </w:r>
      <w:r w:rsidR="0035146B">
        <w:rPr>
          <w:rFonts w:hint="cs"/>
          <w:rtl/>
          <w:lang w:bidi="fa-IR"/>
        </w:rPr>
        <w:t>َ</w:t>
      </w:r>
      <w:r w:rsidRPr="00132E65">
        <w:rPr>
          <w:rtl/>
          <w:lang w:bidi="fa-IR"/>
        </w:rPr>
        <w:t xml:space="preserve">لَاتُنْفِقَهَا </w:t>
      </w:r>
      <w:r>
        <w:rPr>
          <w:rStyle w:val="libFootnotenumChar"/>
          <w:rtl/>
        </w:rPr>
        <w:t>(8)</w:t>
      </w:r>
      <w:r w:rsidRPr="00132E65">
        <w:rPr>
          <w:rtl/>
          <w:lang w:bidi="fa-IR"/>
        </w:rPr>
        <w:t xml:space="preserve"> فِي طَرِيقِكَ ، فَقَدْ صَرَفْنَاهَا </w:t>
      </w:r>
      <w:r>
        <w:rPr>
          <w:rStyle w:val="libFootnotenumChar"/>
          <w:rtl/>
        </w:rPr>
        <w:t>(9)</w:t>
      </w:r>
      <w:r w:rsidRPr="00132E65">
        <w:rPr>
          <w:rtl/>
          <w:lang w:bidi="fa-IR"/>
        </w:rPr>
        <w:t xml:space="preserve"> عَنْكَ ؛ فَأَمَّا الثَّوْبُ فَلَا بُدَّ مِنْهُ </w:t>
      </w:r>
      <w:r>
        <w:rPr>
          <w:rStyle w:val="libFootnotenumChar"/>
          <w:rtl/>
        </w:rPr>
        <w:t>(10)</w:t>
      </w:r>
      <w:r w:rsidR="0006034E">
        <w:rPr>
          <w:rtl/>
          <w:lang w:bidi="fa-IR"/>
        </w:rPr>
        <w:t xml:space="preserve"> لِتُحْرِمَ فِيهِ</w:t>
      </w:r>
      <w:r w:rsidRPr="00132E65">
        <w:rPr>
          <w:rtl/>
          <w:lang w:bidi="fa-IR"/>
        </w:rPr>
        <w:t>»</w:t>
      </w:r>
      <w:r>
        <w:rPr>
          <w:rtl/>
          <w:lang w:bidi="fa-IR"/>
        </w:rPr>
        <w:t>.</w:t>
      </w:r>
    </w:p>
    <w:p w:rsidR="000C39D1" w:rsidRPr="00132E65" w:rsidRDefault="000C39D1" w:rsidP="00B2224E">
      <w:pPr>
        <w:pStyle w:val="libNormal"/>
        <w:rPr>
          <w:rtl/>
          <w:lang w:bidi="fa-IR"/>
        </w:rPr>
      </w:pPr>
      <w:r w:rsidRPr="00132E65">
        <w:rPr>
          <w:rtl/>
          <w:lang w:bidi="fa-IR"/>
        </w:rPr>
        <w:t xml:space="preserve">قَالَ </w:t>
      </w:r>
      <w:r w:rsidR="00B2224E" w:rsidRPr="00132E65">
        <w:rPr>
          <w:rtl/>
          <w:lang w:bidi="fa-IR"/>
        </w:rPr>
        <w:t>و</w:t>
      </w:r>
      <w:r w:rsidR="00B2224E">
        <w:rPr>
          <w:rFonts w:hint="cs"/>
          <w:rtl/>
          <w:lang w:bidi="fa-IR"/>
        </w:rPr>
        <w:t>َ</w:t>
      </w:r>
      <w:r w:rsidRPr="00132E65">
        <w:rPr>
          <w:rtl/>
          <w:lang w:bidi="fa-IR"/>
        </w:rPr>
        <w:t xml:space="preserve">كَتَبْتُ فِي مَعْنَيَيْنِ ، </w:t>
      </w:r>
      <w:r w:rsidR="00B2224E" w:rsidRPr="00132E65">
        <w:rPr>
          <w:rtl/>
          <w:lang w:bidi="fa-IR"/>
        </w:rPr>
        <w:t>و</w:t>
      </w:r>
      <w:r w:rsidR="00B2224E">
        <w:rPr>
          <w:rFonts w:hint="cs"/>
          <w:rtl/>
          <w:lang w:bidi="fa-IR"/>
        </w:rPr>
        <w:t>َ</w:t>
      </w:r>
      <w:r w:rsidRPr="00132E65">
        <w:rPr>
          <w:rtl/>
          <w:lang w:bidi="fa-IR"/>
        </w:rPr>
        <w:t xml:space="preserve">أَرَدْتُ أَنْ أَكْتُبَ فِي الثَّالِثِ ، </w:t>
      </w:r>
      <w:r w:rsidR="00B2224E" w:rsidRPr="00132E65">
        <w:rPr>
          <w:rtl/>
          <w:lang w:bidi="fa-IR"/>
        </w:rPr>
        <w:t>و</w:t>
      </w:r>
      <w:r w:rsidR="00B2224E">
        <w:rPr>
          <w:rFonts w:hint="cs"/>
          <w:rtl/>
          <w:lang w:bidi="fa-IR"/>
        </w:rPr>
        <w:t>َ</w:t>
      </w:r>
      <w:r w:rsidRPr="00132E65">
        <w:rPr>
          <w:rtl/>
          <w:lang w:bidi="fa-IR"/>
        </w:rPr>
        <w:t xml:space="preserve">امْتَنَعْتُ </w:t>
      </w:r>
      <w:r>
        <w:rPr>
          <w:rStyle w:val="libFootnotenumChar"/>
          <w:rtl/>
        </w:rPr>
        <w:t>(11)</w:t>
      </w:r>
      <w:r w:rsidRPr="00132E65">
        <w:rPr>
          <w:rtl/>
          <w:lang w:bidi="fa-IR"/>
        </w:rPr>
        <w:t xml:space="preserve"> مِنْهُ مَخَافَةَ أَنْ يَكْرَهَ </w:t>
      </w:r>
      <w:r>
        <w:rPr>
          <w:rStyle w:val="libFootnotenumChar"/>
          <w:rtl/>
        </w:rPr>
        <w:t>(12)</w:t>
      </w:r>
      <w:r w:rsidRPr="00132E65">
        <w:rPr>
          <w:rtl/>
          <w:lang w:bidi="fa-IR"/>
        </w:rPr>
        <w:t xml:space="preserve"> ذلِكَ ، فَوَرَدَ جَوَابُ الْمَعْنَيَيْنِ والثَّالِثِ الَّذِي طَوَيْتُ مُفَسَّراً ؛ </w:t>
      </w:r>
      <w:r w:rsidR="00B2224E" w:rsidRPr="00132E65">
        <w:rPr>
          <w:rtl/>
          <w:lang w:bidi="fa-IR"/>
        </w:rPr>
        <w:t>و</w:t>
      </w:r>
      <w:r w:rsidR="00B2224E">
        <w:rPr>
          <w:rFonts w:hint="cs"/>
          <w:rtl/>
          <w:lang w:bidi="fa-IR"/>
        </w:rPr>
        <w:t>َ</w:t>
      </w:r>
      <w:r w:rsidRPr="00132E65">
        <w:rPr>
          <w:rtl/>
          <w:lang w:bidi="fa-IR"/>
        </w:rPr>
        <w:t>الْحَمْدُ لِلّهِ.</w:t>
      </w:r>
    </w:p>
    <w:p w:rsidR="000C39D1" w:rsidRPr="00132E65" w:rsidRDefault="000C39D1" w:rsidP="00B2224E">
      <w:pPr>
        <w:pStyle w:val="libNormal"/>
        <w:rPr>
          <w:rtl/>
          <w:lang w:bidi="fa-IR"/>
        </w:rPr>
      </w:pPr>
      <w:r w:rsidRPr="00132E65">
        <w:rPr>
          <w:rtl/>
          <w:lang w:bidi="fa-IR"/>
        </w:rPr>
        <w:t xml:space="preserve">قَالَ : </w:t>
      </w:r>
      <w:r w:rsidR="00B2224E" w:rsidRPr="00132E65">
        <w:rPr>
          <w:rtl/>
          <w:lang w:bidi="fa-IR"/>
        </w:rPr>
        <w:t>و</w:t>
      </w:r>
      <w:r w:rsidR="00B2224E">
        <w:rPr>
          <w:rFonts w:hint="cs"/>
          <w:rtl/>
          <w:lang w:bidi="fa-IR"/>
        </w:rPr>
        <w:t>َ</w:t>
      </w:r>
      <w:r w:rsidRPr="00132E65">
        <w:rPr>
          <w:rtl/>
          <w:lang w:bidi="fa-IR"/>
        </w:rPr>
        <w:t xml:space="preserve">كُنْتُ </w:t>
      </w:r>
      <w:r w:rsidR="00B2224E" w:rsidRPr="00132E65">
        <w:rPr>
          <w:rtl/>
          <w:lang w:bidi="fa-IR"/>
        </w:rPr>
        <w:t>و</w:t>
      </w:r>
      <w:r w:rsidR="00B2224E">
        <w:rPr>
          <w:rFonts w:hint="cs"/>
          <w:rtl/>
          <w:lang w:bidi="fa-IR"/>
        </w:rPr>
        <w:t>َ</w:t>
      </w:r>
      <w:r w:rsidRPr="00132E65">
        <w:rPr>
          <w:rtl/>
          <w:lang w:bidi="fa-IR"/>
        </w:rPr>
        <w:t xml:space="preserve">افَقْتُ </w:t>
      </w:r>
      <w:r w:rsidRPr="00F543F1">
        <w:rPr>
          <w:rStyle w:val="libFootnotenumChar"/>
          <w:rtl/>
        </w:rPr>
        <w:t>(13)</w:t>
      </w:r>
      <w:r w:rsidRPr="00132E65">
        <w:rPr>
          <w:rtl/>
          <w:lang w:bidi="fa-IR"/>
        </w:rPr>
        <w:t xml:space="preserve"> جَعْفَرَ بْنَ إِبْرَاهِيمَ النَّيْسَابُورِيَّ </w:t>
      </w:r>
      <w:r w:rsidRPr="00F543F1">
        <w:rPr>
          <w:rStyle w:val="libFootnotenumChar"/>
          <w:rtl/>
        </w:rPr>
        <w:t>(14)</w:t>
      </w:r>
      <w:r w:rsidRPr="00132E65">
        <w:rPr>
          <w:rtl/>
          <w:lang w:bidi="fa-IR"/>
        </w:rPr>
        <w:t xml:space="preserve"> بِنَيْسَابُورَ </w:t>
      </w:r>
      <w:r w:rsidRPr="00F543F1">
        <w:rPr>
          <w:rStyle w:val="libFootnotenumChar"/>
          <w:rtl/>
        </w:rPr>
        <w:t>(15)</w:t>
      </w:r>
      <w:r w:rsidRPr="00132E65">
        <w:rPr>
          <w:rtl/>
          <w:lang w:bidi="fa-IR"/>
        </w:rPr>
        <w:t xml:space="preserve"> عَلى أَنْ أَرْكَبَ مَعَهُ </w:t>
      </w:r>
      <w:r w:rsidRPr="00F543F1">
        <w:rPr>
          <w:rStyle w:val="libFootnotenumChar"/>
          <w:rtl/>
        </w:rPr>
        <w:t>(16)</w:t>
      </w:r>
      <w:r w:rsidRPr="00132E65">
        <w:rPr>
          <w:rtl/>
          <w:lang w:bidi="fa-IR"/>
        </w:rPr>
        <w:t xml:space="preserve"> ، و</w:t>
      </w:r>
      <w:r w:rsidR="00C5791B">
        <w:rPr>
          <w:rFonts w:hint="cs"/>
          <w:rtl/>
          <w:lang w:bidi="fa-IR"/>
        </w:rPr>
        <w:t>َ</w:t>
      </w:r>
      <w:r w:rsidRPr="00132E65">
        <w:rPr>
          <w:rtl/>
          <w:lang w:bidi="fa-IR"/>
        </w:rPr>
        <w:t xml:space="preserve">أُزَامِلَهُ </w:t>
      </w:r>
      <w:r w:rsidRPr="00F543F1">
        <w:rPr>
          <w:rStyle w:val="libFootnotenumChar"/>
          <w:rtl/>
        </w:rPr>
        <w:t>(17)</w:t>
      </w:r>
      <w:r w:rsidRPr="00132E65">
        <w:rPr>
          <w:rtl/>
          <w:lang w:bidi="fa-IR"/>
        </w:rPr>
        <w:t xml:space="preserve"> ، فَلَمَّا و</w:t>
      </w:r>
      <w:r w:rsidR="00C5791B">
        <w:rPr>
          <w:rFonts w:hint="cs"/>
          <w:rtl/>
          <w:lang w:bidi="fa-IR"/>
        </w:rPr>
        <w:t>َ</w:t>
      </w:r>
      <w:r w:rsidRPr="00132E65">
        <w:rPr>
          <w:rtl/>
          <w:lang w:bidi="fa-IR"/>
        </w:rPr>
        <w:t xml:space="preserve">افَيْتُ بَغْدَادَ بَدَا </w:t>
      </w:r>
      <w:r w:rsidRPr="00F543F1">
        <w:rPr>
          <w:rStyle w:val="libFootnotenumChar"/>
          <w:rtl/>
        </w:rPr>
        <w:t>(18)</w:t>
      </w:r>
      <w:r w:rsidRPr="00132E65">
        <w:rPr>
          <w:rtl/>
          <w:lang w:bidi="fa-IR"/>
        </w:rPr>
        <w:t xml:space="preserve"> لِي ، فَاسْتَقَلْتُهُ </w:t>
      </w:r>
      <w:r w:rsidRPr="00F543F1">
        <w:rPr>
          <w:rStyle w:val="libFootnotenumChar"/>
          <w:rtl/>
        </w:rPr>
        <w:t>(19)</w:t>
      </w:r>
      <w:r w:rsidRPr="00132E65">
        <w:rPr>
          <w:rtl/>
          <w:lang w:bidi="fa-IR"/>
        </w:rPr>
        <w:t xml:space="preserve"> و</w:t>
      </w:r>
      <w:r w:rsidR="00C5791B">
        <w:rPr>
          <w:rFonts w:hint="cs"/>
          <w:rtl/>
          <w:lang w:bidi="fa-IR"/>
        </w:rPr>
        <w:t>َ</w:t>
      </w:r>
      <w:r w:rsidRPr="00132E65">
        <w:rPr>
          <w:rtl/>
          <w:lang w:bidi="fa-IR"/>
        </w:rPr>
        <w:t xml:space="preserve">ذَهَبْتُ أَطْلُبُ عَدِيلاً ، فَلَقِيَنِي ابْنُ الْوَجْنَاءِ </w:t>
      </w:r>
      <w:r w:rsidRPr="00F543F1">
        <w:rPr>
          <w:rStyle w:val="libFootnotenumChar"/>
          <w:rtl/>
        </w:rPr>
        <w:t>(20)</w:t>
      </w:r>
      <w:r>
        <w:rPr>
          <w:rtl/>
          <w:lang w:bidi="fa-IR"/>
        </w:rPr>
        <w:t xml:space="preserve"> - </w:t>
      </w:r>
      <w:r w:rsidRPr="00132E65">
        <w:rPr>
          <w:rtl/>
          <w:lang w:bidi="fa-IR"/>
        </w:rPr>
        <w:t>بَعْدَ أَنْ كُنْتُ صِرْتُ إِلَيْهِ ، و</w:t>
      </w:r>
      <w:r w:rsidR="00C5791B">
        <w:rPr>
          <w:rFonts w:hint="cs"/>
          <w:rtl/>
          <w:lang w:bidi="fa-IR"/>
        </w:rPr>
        <w:t>َ</w:t>
      </w:r>
      <w:r w:rsidRPr="00132E65">
        <w:rPr>
          <w:rtl/>
          <w:lang w:bidi="fa-IR"/>
        </w:rPr>
        <w:t>سَأَلْتُهُ أَنْ يَكْتَرِيَ لِي ، فَوَجَدْتُهُ‌</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C5791B" w:rsidTr="00C5791B">
        <w:tc>
          <w:tcPr>
            <w:tcW w:w="4261" w:type="dxa"/>
          </w:tcPr>
          <w:p w:rsidR="00C5791B" w:rsidRDefault="00C5791B" w:rsidP="000C39D1">
            <w:pPr>
              <w:pStyle w:val="libFootnote0"/>
              <w:rPr>
                <w:rtl/>
              </w:rPr>
            </w:pPr>
            <w:r>
              <w:rPr>
                <w:rtl/>
              </w:rPr>
              <w:t>(1).</w:t>
            </w:r>
            <w:r w:rsidRPr="00132E65">
              <w:rPr>
                <w:rtl/>
              </w:rPr>
              <w:t xml:space="preserve"> يجوز فيه كسر الهمزة أيضاً.</w:t>
            </w:r>
          </w:p>
        </w:tc>
        <w:tc>
          <w:tcPr>
            <w:tcW w:w="4262" w:type="dxa"/>
          </w:tcPr>
          <w:p w:rsidR="00C5791B" w:rsidRDefault="00C5791B" w:rsidP="000C39D1">
            <w:pPr>
              <w:pStyle w:val="libFootnote0"/>
              <w:rPr>
                <w:rtl/>
              </w:rPr>
            </w:pPr>
            <w:r>
              <w:rPr>
                <w:rtl/>
              </w:rPr>
              <w:t>(2).</w:t>
            </w:r>
            <w:r w:rsidRPr="00132E65">
              <w:rPr>
                <w:rtl/>
              </w:rPr>
              <w:t xml:space="preserve"> في الإرشاد :</w:t>
            </w:r>
            <w:r>
              <w:rPr>
                <w:rtl/>
              </w:rPr>
              <w:t xml:space="preserve"> + </w:t>
            </w:r>
            <w:r w:rsidRPr="00132E65">
              <w:rPr>
                <w:rtl/>
              </w:rPr>
              <w:t>« ابتداءً »</w:t>
            </w:r>
            <w:r>
              <w:rPr>
                <w:rtl/>
              </w:rPr>
              <w:t>.</w:t>
            </w:r>
          </w:p>
        </w:tc>
      </w:tr>
    </w:tbl>
    <w:p w:rsidR="000C39D1" w:rsidRPr="00132E65" w:rsidRDefault="000C39D1" w:rsidP="000C39D1">
      <w:pPr>
        <w:pStyle w:val="libFootnote0"/>
        <w:rPr>
          <w:rtl/>
          <w:lang w:bidi="fa-IR"/>
        </w:rPr>
      </w:pPr>
      <w:r>
        <w:rPr>
          <w:rtl/>
        </w:rPr>
        <w:t>(3).</w:t>
      </w:r>
      <w:r w:rsidRPr="00132E65">
        <w:rPr>
          <w:rtl/>
        </w:rPr>
        <w:t xml:space="preserve"> في « ب ، ج ، ض ، بح ، بر ، بف » و</w:t>
      </w:r>
      <w:r w:rsidRPr="009D1ACE">
        <w:rPr>
          <w:rStyle w:val="libFootnoteBoldChar"/>
          <w:rtl/>
        </w:rPr>
        <w:t>الوافي</w:t>
      </w:r>
      <w:r w:rsidRPr="00132E65">
        <w:rPr>
          <w:rtl/>
        </w:rPr>
        <w:t xml:space="preserve"> : « سألوا »</w:t>
      </w:r>
      <w:r>
        <w:rPr>
          <w:rtl/>
        </w:rPr>
        <w:t>.</w:t>
      </w:r>
    </w:p>
    <w:tbl>
      <w:tblPr>
        <w:tblStyle w:val="TableGrid"/>
        <w:bidiVisual/>
        <w:tblW w:w="0" w:type="auto"/>
        <w:tblLook w:val="04A0" w:firstRow="1" w:lastRow="0" w:firstColumn="1" w:lastColumn="0" w:noHBand="0" w:noVBand="1"/>
      </w:tblPr>
      <w:tblGrid>
        <w:gridCol w:w="4261"/>
        <w:gridCol w:w="4262"/>
      </w:tblGrid>
      <w:tr w:rsidR="00365F94" w:rsidTr="00365F94">
        <w:tc>
          <w:tcPr>
            <w:tcW w:w="4261" w:type="dxa"/>
          </w:tcPr>
          <w:p w:rsidR="00365F94" w:rsidRDefault="00365F94" w:rsidP="000C39D1">
            <w:pPr>
              <w:pStyle w:val="libFootnote0"/>
              <w:rPr>
                <w:rtl/>
                <w:lang w:bidi="fa-IR"/>
              </w:rPr>
            </w:pPr>
            <w:r>
              <w:rPr>
                <w:rtl/>
              </w:rPr>
              <w:t>(4).</w:t>
            </w:r>
            <w:r w:rsidRPr="00132E65">
              <w:rPr>
                <w:rtl/>
              </w:rPr>
              <w:t xml:space="preserve"> في « ف » </w:t>
            </w:r>
            <w:r>
              <w:rPr>
                <w:rtl/>
              </w:rPr>
              <w:t xml:space="preserve">: - </w:t>
            </w:r>
            <w:r w:rsidRPr="00132E65">
              <w:rPr>
                <w:rtl/>
              </w:rPr>
              <w:t>« فالله »</w:t>
            </w:r>
            <w:r>
              <w:rPr>
                <w:rtl/>
              </w:rPr>
              <w:t>.</w:t>
            </w:r>
            <w:r w:rsidRPr="00132E65">
              <w:rPr>
                <w:rtl/>
              </w:rPr>
              <w:t xml:space="preserve"> وفي « بح » : « والله »</w:t>
            </w:r>
            <w:r>
              <w:rPr>
                <w:rtl/>
              </w:rPr>
              <w:t>.</w:t>
            </w:r>
          </w:p>
        </w:tc>
        <w:tc>
          <w:tcPr>
            <w:tcW w:w="4262" w:type="dxa"/>
          </w:tcPr>
          <w:p w:rsidR="00365F94" w:rsidRDefault="00365F94" w:rsidP="000C39D1">
            <w:pPr>
              <w:pStyle w:val="libFootnote0"/>
              <w:rPr>
                <w:rtl/>
                <w:lang w:bidi="fa-IR"/>
              </w:rPr>
            </w:pPr>
            <w:r>
              <w:rPr>
                <w:rtl/>
              </w:rPr>
              <w:t>(5).</w:t>
            </w:r>
            <w:r w:rsidRPr="00132E65">
              <w:rPr>
                <w:rtl/>
              </w:rPr>
              <w:t xml:space="preserve"> في « بر » : « وأمّا »</w:t>
            </w:r>
            <w:r>
              <w:rPr>
                <w:rtl/>
              </w:rPr>
              <w:t>.</w:t>
            </w:r>
          </w:p>
        </w:tc>
      </w:tr>
      <w:tr w:rsidR="00365F94" w:rsidTr="00365F94">
        <w:tc>
          <w:tcPr>
            <w:tcW w:w="4261" w:type="dxa"/>
          </w:tcPr>
          <w:p w:rsidR="00365F94" w:rsidRDefault="00365F94" w:rsidP="000C39D1">
            <w:pPr>
              <w:pStyle w:val="libFootnote0"/>
              <w:rPr>
                <w:rtl/>
                <w:lang w:bidi="fa-IR"/>
              </w:rPr>
            </w:pPr>
            <w:r>
              <w:rPr>
                <w:rtl/>
              </w:rPr>
              <w:t>(6).</w:t>
            </w:r>
            <w:r w:rsidRPr="00132E65">
              <w:rPr>
                <w:rtl/>
              </w:rPr>
              <w:t xml:space="preserve"> في الإرشاد : « وإذا » بدل « فأمّا إذا »</w:t>
            </w:r>
            <w:r>
              <w:rPr>
                <w:rtl/>
              </w:rPr>
              <w:t>.</w:t>
            </w:r>
          </w:p>
        </w:tc>
        <w:tc>
          <w:tcPr>
            <w:tcW w:w="4262" w:type="dxa"/>
          </w:tcPr>
          <w:p w:rsidR="00365F94" w:rsidRDefault="00365F94" w:rsidP="000C39D1">
            <w:pPr>
              <w:pStyle w:val="libFootnote0"/>
              <w:rPr>
                <w:rtl/>
                <w:lang w:bidi="fa-IR"/>
              </w:rPr>
            </w:pPr>
            <w:r>
              <w:rPr>
                <w:rtl/>
              </w:rPr>
              <w:t>(7).</w:t>
            </w:r>
            <w:r w:rsidRPr="00132E65">
              <w:rPr>
                <w:rtl/>
              </w:rPr>
              <w:t xml:space="preserve"> في الإرشاد :</w:t>
            </w:r>
            <w:r>
              <w:rPr>
                <w:rtl/>
              </w:rPr>
              <w:t xml:space="preserve"> + </w:t>
            </w:r>
            <w:r w:rsidRPr="00132E65">
              <w:rPr>
                <w:rtl/>
              </w:rPr>
              <w:t>« فيما حملناه إليك »</w:t>
            </w:r>
            <w:r>
              <w:rPr>
                <w:rtl/>
              </w:rPr>
              <w:t>.</w:t>
            </w:r>
          </w:p>
        </w:tc>
      </w:tr>
    </w:tbl>
    <w:p w:rsidR="000C39D1" w:rsidRPr="00132E65" w:rsidRDefault="000C39D1" w:rsidP="000C39D1">
      <w:pPr>
        <w:pStyle w:val="libFootnote0"/>
        <w:rPr>
          <w:rtl/>
          <w:lang w:bidi="fa-IR"/>
        </w:rPr>
      </w:pPr>
      <w:r>
        <w:rPr>
          <w:rtl/>
        </w:rPr>
        <w:t>(8).</w:t>
      </w:r>
      <w:r w:rsidRPr="00132E65">
        <w:rPr>
          <w:rtl/>
        </w:rPr>
        <w:t xml:space="preserve"> في الإرشاد : « فيه حدثاً إذا رددناه إليك ولا تنتفع به » بدل « فيها حدثاً ولا تنفقها »</w:t>
      </w:r>
      <w:r>
        <w:rPr>
          <w:rtl/>
        </w:rPr>
        <w:t>.</w:t>
      </w:r>
    </w:p>
    <w:tbl>
      <w:tblPr>
        <w:tblStyle w:val="TableGrid"/>
        <w:bidiVisual/>
        <w:tblW w:w="0" w:type="auto"/>
        <w:tblLook w:val="04A0" w:firstRow="1" w:lastRow="0" w:firstColumn="1" w:lastColumn="0" w:noHBand="0" w:noVBand="1"/>
      </w:tblPr>
      <w:tblGrid>
        <w:gridCol w:w="4261"/>
        <w:gridCol w:w="4262"/>
      </w:tblGrid>
      <w:tr w:rsidR="00CC1212" w:rsidTr="00CC1212">
        <w:tc>
          <w:tcPr>
            <w:tcW w:w="4261" w:type="dxa"/>
          </w:tcPr>
          <w:p w:rsidR="00CC1212" w:rsidRDefault="00CC1212" w:rsidP="000C39D1">
            <w:pPr>
              <w:pStyle w:val="libFootnote0"/>
              <w:rPr>
                <w:rtl/>
                <w:lang w:bidi="fa-IR"/>
              </w:rPr>
            </w:pPr>
            <w:r>
              <w:rPr>
                <w:rtl/>
              </w:rPr>
              <w:t>(9).</w:t>
            </w:r>
            <w:r w:rsidRPr="00132E65">
              <w:rPr>
                <w:rtl/>
              </w:rPr>
              <w:t xml:space="preserve"> في الإرشاد : « صرفناه »</w:t>
            </w:r>
            <w:r>
              <w:rPr>
                <w:rtl/>
              </w:rPr>
              <w:t>.</w:t>
            </w:r>
          </w:p>
        </w:tc>
        <w:tc>
          <w:tcPr>
            <w:tcW w:w="4262" w:type="dxa"/>
          </w:tcPr>
          <w:p w:rsidR="00CC1212" w:rsidRDefault="00CC1212" w:rsidP="000C39D1">
            <w:pPr>
              <w:pStyle w:val="libFootnote0"/>
              <w:rPr>
                <w:rtl/>
                <w:lang w:bidi="fa-IR"/>
              </w:rPr>
            </w:pPr>
            <w:r>
              <w:rPr>
                <w:rtl/>
              </w:rPr>
              <w:t>(10).</w:t>
            </w:r>
            <w:r w:rsidRPr="00132E65">
              <w:rPr>
                <w:rtl/>
              </w:rPr>
              <w:t xml:space="preserve"> في الإرشاد : « فخذه » بدل « فلا بدّ منه »</w:t>
            </w:r>
            <w:r>
              <w:rPr>
                <w:rtl/>
              </w:rPr>
              <w:t>.</w:t>
            </w:r>
          </w:p>
        </w:tc>
      </w:tr>
    </w:tbl>
    <w:p w:rsidR="000C39D1" w:rsidRPr="00132E65" w:rsidRDefault="000C39D1" w:rsidP="000C39D1">
      <w:pPr>
        <w:pStyle w:val="libFootnote0"/>
        <w:rPr>
          <w:rtl/>
          <w:lang w:bidi="fa-IR"/>
        </w:rPr>
      </w:pPr>
      <w:r>
        <w:rPr>
          <w:rtl/>
        </w:rPr>
        <w:t>(11).</w:t>
      </w:r>
      <w:r w:rsidRPr="00132E65">
        <w:rPr>
          <w:rtl/>
        </w:rPr>
        <w:t xml:space="preserve"> في الإرشاد : « فامتنعت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أن يكره ، على بناء المعلوم ، ويحتمل المجهول على بناء الإفعال »</w:t>
      </w:r>
      <w:r>
        <w:rPr>
          <w:rtl/>
        </w:rPr>
        <w:t>.</w:t>
      </w:r>
    </w:p>
    <w:tbl>
      <w:tblPr>
        <w:tblStyle w:val="TableGrid"/>
        <w:bidiVisual/>
        <w:tblW w:w="0" w:type="auto"/>
        <w:tblLook w:val="04A0" w:firstRow="1" w:lastRow="0" w:firstColumn="1" w:lastColumn="0" w:noHBand="0" w:noVBand="1"/>
      </w:tblPr>
      <w:tblGrid>
        <w:gridCol w:w="4261"/>
        <w:gridCol w:w="4262"/>
      </w:tblGrid>
      <w:tr w:rsidR="003323CF" w:rsidTr="003323CF">
        <w:tc>
          <w:tcPr>
            <w:tcW w:w="4261" w:type="dxa"/>
          </w:tcPr>
          <w:p w:rsidR="003323CF" w:rsidRDefault="003323CF" w:rsidP="000C39D1">
            <w:pPr>
              <w:pStyle w:val="libFootnote0"/>
              <w:rPr>
                <w:rtl/>
              </w:rPr>
            </w:pPr>
            <w:r>
              <w:rPr>
                <w:rtl/>
              </w:rPr>
              <w:t>(13)</w:t>
            </w:r>
            <w:r w:rsidRPr="00132E65">
              <w:rPr>
                <w:rtl/>
              </w:rPr>
              <w:t xml:space="preserve"> في الإرشاد : « واقفت »</w:t>
            </w:r>
            <w:r>
              <w:rPr>
                <w:rtl/>
              </w:rPr>
              <w:t>.</w:t>
            </w:r>
          </w:p>
        </w:tc>
        <w:tc>
          <w:tcPr>
            <w:tcW w:w="4262" w:type="dxa"/>
          </w:tcPr>
          <w:p w:rsidR="003323CF" w:rsidRDefault="003323CF" w:rsidP="000C39D1">
            <w:pPr>
              <w:pStyle w:val="libFootnote0"/>
              <w:rPr>
                <w:rtl/>
              </w:rPr>
            </w:pPr>
            <w:r>
              <w:rPr>
                <w:rtl/>
              </w:rPr>
              <w:t>(14)</w:t>
            </w:r>
            <w:r w:rsidRPr="00132E65">
              <w:rPr>
                <w:rtl/>
              </w:rPr>
              <w:t xml:space="preserve"> في « ب ، بر » : « النيشابوري »</w:t>
            </w:r>
            <w:r>
              <w:rPr>
                <w:rtl/>
              </w:rPr>
              <w:t>.</w:t>
            </w:r>
          </w:p>
        </w:tc>
      </w:tr>
    </w:tbl>
    <w:p w:rsidR="000C39D1" w:rsidRPr="00132E65" w:rsidRDefault="000C39D1" w:rsidP="000C39D1">
      <w:pPr>
        <w:pStyle w:val="libFootnote0"/>
        <w:rPr>
          <w:rtl/>
          <w:lang w:bidi="fa-IR"/>
        </w:rPr>
      </w:pPr>
      <w:r>
        <w:rPr>
          <w:rtl/>
        </w:rPr>
        <w:t>(15)</w:t>
      </w:r>
      <w:r w:rsidRPr="00132E65">
        <w:rPr>
          <w:rtl/>
        </w:rPr>
        <w:t xml:space="preserve"> في « ب » : « بنيشابور »</w:t>
      </w:r>
      <w:r>
        <w:rPr>
          <w:rtl/>
        </w:rPr>
        <w:t>.</w:t>
      </w:r>
      <w:r w:rsidRPr="00132E65">
        <w:rPr>
          <w:rtl/>
        </w:rPr>
        <w:t xml:space="preserve"> وفي « بر » </w:t>
      </w:r>
      <w:r>
        <w:rPr>
          <w:rtl/>
        </w:rPr>
        <w:t xml:space="preserve">: - </w:t>
      </w:r>
      <w:r w:rsidRPr="00132E65">
        <w:rPr>
          <w:rtl/>
        </w:rPr>
        <w:t>« بنيسابور »</w:t>
      </w:r>
      <w:r>
        <w:rPr>
          <w:rtl/>
        </w:rPr>
        <w:t>.</w:t>
      </w:r>
    </w:p>
    <w:tbl>
      <w:tblPr>
        <w:tblStyle w:val="TableGrid"/>
        <w:bidiVisual/>
        <w:tblW w:w="0" w:type="auto"/>
        <w:tblLook w:val="04A0" w:firstRow="1" w:lastRow="0" w:firstColumn="1" w:lastColumn="0" w:noHBand="0" w:noVBand="1"/>
      </w:tblPr>
      <w:tblGrid>
        <w:gridCol w:w="4261"/>
        <w:gridCol w:w="4262"/>
      </w:tblGrid>
      <w:tr w:rsidR="00AD3963" w:rsidTr="00AD3963">
        <w:tc>
          <w:tcPr>
            <w:tcW w:w="4261" w:type="dxa"/>
          </w:tcPr>
          <w:p w:rsidR="00AD3963" w:rsidRDefault="00AD3963" w:rsidP="000C39D1">
            <w:pPr>
              <w:pStyle w:val="libFootnote0"/>
              <w:rPr>
                <w:rtl/>
              </w:rPr>
            </w:pPr>
            <w:r>
              <w:rPr>
                <w:rtl/>
              </w:rPr>
              <w:t>(16)</w:t>
            </w:r>
            <w:r w:rsidRPr="00132E65">
              <w:rPr>
                <w:rtl/>
              </w:rPr>
              <w:t xml:space="preserve"> في الإرشاد :</w:t>
            </w:r>
            <w:r>
              <w:rPr>
                <w:rtl/>
              </w:rPr>
              <w:t xml:space="preserve"> + </w:t>
            </w:r>
            <w:r w:rsidRPr="00132E65">
              <w:rPr>
                <w:rtl/>
              </w:rPr>
              <w:t>« إلى الحجّ »</w:t>
            </w:r>
            <w:r>
              <w:rPr>
                <w:rtl/>
              </w:rPr>
              <w:t>.</w:t>
            </w:r>
          </w:p>
        </w:tc>
        <w:tc>
          <w:tcPr>
            <w:tcW w:w="4262" w:type="dxa"/>
          </w:tcPr>
          <w:p w:rsidR="00AD3963" w:rsidRDefault="00AD3963" w:rsidP="000C39D1">
            <w:pPr>
              <w:pStyle w:val="libFootnote0"/>
              <w:rPr>
                <w:rtl/>
              </w:rPr>
            </w:pPr>
            <w:r>
              <w:rPr>
                <w:rtl/>
              </w:rPr>
              <w:t>(17)</w:t>
            </w:r>
            <w:r w:rsidRPr="00132E65">
              <w:rPr>
                <w:rtl/>
              </w:rPr>
              <w:t xml:space="preserve"> في « ف » : « وأن ا</w:t>
            </w:r>
            <w:r>
              <w:rPr>
                <w:rFonts w:hint="cs"/>
                <w:rtl/>
              </w:rPr>
              <w:t>ُ</w:t>
            </w:r>
            <w:r w:rsidRPr="00132E65">
              <w:rPr>
                <w:rtl/>
              </w:rPr>
              <w:t>زامله »</w:t>
            </w:r>
            <w:r>
              <w:rPr>
                <w:rtl/>
              </w:rPr>
              <w:t>.</w:t>
            </w:r>
          </w:p>
        </w:tc>
      </w:tr>
    </w:tbl>
    <w:p w:rsidR="000C39D1" w:rsidRPr="00132E65" w:rsidRDefault="000C39D1" w:rsidP="000C39D1">
      <w:pPr>
        <w:pStyle w:val="libFootnote0"/>
        <w:rPr>
          <w:rtl/>
          <w:lang w:bidi="fa-IR"/>
        </w:rPr>
      </w:pPr>
      <w:r>
        <w:rPr>
          <w:rtl/>
        </w:rPr>
        <w:t>(18)</w:t>
      </w:r>
      <w:r w:rsidRPr="00132E65">
        <w:rPr>
          <w:rtl/>
        </w:rPr>
        <w:t xml:space="preserve"> بدا له في الأمر : ظهر له ما لم يظهر أوّلاً ، والاسم : البداء. </w:t>
      </w:r>
      <w:r w:rsidRPr="00C20DDB">
        <w:rPr>
          <w:rtl/>
        </w:rPr>
        <w:t>المصباح المنير</w:t>
      </w:r>
      <w:r w:rsidRPr="00132E65">
        <w:rPr>
          <w:rtl/>
        </w:rPr>
        <w:t xml:space="preserve"> ، ص 40 ( بدا )</w:t>
      </w:r>
      <w:r>
        <w:rPr>
          <w:rtl/>
        </w:rPr>
        <w:t>.</w:t>
      </w:r>
    </w:p>
    <w:p w:rsidR="000C39D1" w:rsidRPr="00132E65" w:rsidRDefault="000C39D1" w:rsidP="000C39D1">
      <w:pPr>
        <w:pStyle w:val="libFootnote0"/>
        <w:rPr>
          <w:rtl/>
          <w:lang w:bidi="fa-IR"/>
        </w:rPr>
      </w:pPr>
      <w:r>
        <w:rPr>
          <w:rtl/>
        </w:rPr>
        <w:t>(19)</w:t>
      </w:r>
      <w:r w:rsidRPr="00132E65">
        <w:rPr>
          <w:rtl/>
        </w:rPr>
        <w:t xml:space="preserve"> في الإرشاد </w:t>
      </w:r>
      <w:r>
        <w:rPr>
          <w:rtl/>
        </w:rPr>
        <w:t xml:space="preserve">: - </w:t>
      </w:r>
      <w:r w:rsidRPr="00132E65">
        <w:rPr>
          <w:rtl/>
        </w:rPr>
        <w:t>« فاستقلته »</w:t>
      </w:r>
      <w:r>
        <w:rPr>
          <w:rtl/>
        </w:rPr>
        <w:t>.</w:t>
      </w:r>
      <w:r w:rsidRPr="00132E65">
        <w:rPr>
          <w:rtl/>
        </w:rPr>
        <w:t xml:space="preserve"> </w:t>
      </w:r>
      <w:r>
        <w:rPr>
          <w:rtl/>
        </w:rPr>
        <w:t>و «</w:t>
      </w:r>
      <w:r w:rsidRPr="00132E65">
        <w:rPr>
          <w:rtl/>
        </w:rPr>
        <w:t xml:space="preserve"> استقاله » : طلب إليه أن يقيله. يقال : أقاله يقيله إقالة وتقايلاً ، إذا فسخا البيع وعاد المبيع إلى مالكه والثمن إلى المشتري ، إذا كان قد ندم أحدهما. وتكون الإقالة في البيعة والعهد. </w:t>
      </w:r>
      <w:r w:rsidRPr="00C20DDB">
        <w:rPr>
          <w:rtl/>
        </w:rPr>
        <w:t>القاموس المحيط</w:t>
      </w:r>
      <w:r w:rsidRPr="00132E65">
        <w:rPr>
          <w:rtl/>
        </w:rPr>
        <w:t xml:space="preserve"> ، ج 4 ، ص 43 ؛ </w:t>
      </w:r>
      <w:r w:rsidRPr="00C20DDB">
        <w:rPr>
          <w:rtl/>
        </w:rPr>
        <w:t>النهاية</w:t>
      </w:r>
      <w:r w:rsidRPr="00132E65">
        <w:rPr>
          <w:rtl/>
        </w:rPr>
        <w:t xml:space="preserve"> ، ج 4 ، ص 134 ( قيل )</w:t>
      </w:r>
      <w:r>
        <w:rPr>
          <w:rtl/>
        </w:rPr>
        <w:t>.</w:t>
      </w:r>
    </w:p>
    <w:p w:rsidR="000C39D1" w:rsidRPr="00132E65" w:rsidRDefault="000C39D1" w:rsidP="000C39D1">
      <w:pPr>
        <w:pStyle w:val="libFootnote0"/>
        <w:rPr>
          <w:rtl/>
          <w:lang w:bidi="fa-IR"/>
        </w:rPr>
      </w:pPr>
      <w:r>
        <w:rPr>
          <w:rtl/>
        </w:rPr>
        <w:t>(20)</w:t>
      </w:r>
      <w:r w:rsidRPr="00132E65">
        <w:rPr>
          <w:rtl/>
        </w:rPr>
        <w:t xml:space="preserve"> في </w:t>
      </w:r>
      <w:r w:rsidRPr="009D1ACE">
        <w:rPr>
          <w:rStyle w:val="libFootnoteBoldChar"/>
          <w:rtl/>
        </w:rPr>
        <w:t>الوافي</w:t>
      </w:r>
      <w:r w:rsidRPr="00132E65">
        <w:rPr>
          <w:rtl/>
        </w:rPr>
        <w:t xml:space="preserve"> : « الوجناء</w:t>
      </w:r>
      <w:r>
        <w:rPr>
          <w:rtl/>
        </w:rPr>
        <w:t xml:space="preserve"> - </w:t>
      </w:r>
      <w:r w:rsidRPr="00132E65">
        <w:rPr>
          <w:rtl/>
        </w:rPr>
        <w:t>الوسنا خ 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5E5AE2">
      <w:pPr>
        <w:pStyle w:val="libNormal0"/>
        <w:tabs>
          <w:tab w:val="left" w:pos="3968"/>
        </w:tabs>
        <w:rPr>
          <w:rtl/>
          <w:lang w:bidi="fa-IR"/>
        </w:rPr>
      </w:pPr>
      <w:r w:rsidRPr="00132E65">
        <w:rPr>
          <w:rtl/>
          <w:lang w:bidi="fa-IR"/>
        </w:rPr>
        <w:t>كَارِهاً</w:t>
      </w:r>
      <w:r>
        <w:rPr>
          <w:rtl/>
          <w:lang w:bidi="fa-IR"/>
        </w:rPr>
        <w:t xml:space="preserve"> - </w:t>
      </w:r>
      <w:r w:rsidRPr="00132E65">
        <w:rPr>
          <w:rtl/>
          <w:lang w:bidi="fa-IR"/>
        </w:rPr>
        <w:t xml:space="preserve">فَقَالَ لِي </w:t>
      </w:r>
      <w:r>
        <w:rPr>
          <w:rStyle w:val="libFootnotenumChar"/>
          <w:rtl/>
        </w:rPr>
        <w:t>(1)</w:t>
      </w:r>
      <w:r w:rsidRPr="00132E65">
        <w:rPr>
          <w:rtl/>
          <w:lang w:bidi="fa-IR"/>
        </w:rPr>
        <w:t xml:space="preserve"> : أَنَا فِي طَلَبِكَ ، و</w:t>
      </w:r>
      <w:r w:rsidR="005E5AE2">
        <w:rPr>
          <w:rFonts w:hint="cs"/>
          <w:rtl/>
          <w:lang w:bidi="fa-IR"/>
        </w:rPr>
        <w:t>َ</w:t>
      </w:r>
      <w:r w:rsidRPr="00132E65">
        <w:rPr>
          <w:rtl/>
          <w:lang w:bidi="fa-IR"/>
        </w:rPr>
        <w:t xml:space="preserve">قَدْ </w:t>
      </w:r>
      <w:r>
        <w:rPr>
          <w:rStyle w:val="libFootnotenumChar"/>
          <w:rtl/>
        </w:rPr>
        <w:t>(2)</w:t>
      </w:r>
      <w:r w:rsidRPr="00132E65">
        <w:rPr>
          <w:rtl/>
          <w:lang w:bidi="fa-IR"/>
        </w:rPr>
        <w:t xml:space="preserve"> قِيلَ لِي </w:t>
      </w:r>
      <w:r>
        <w:rPr>
          <w:rStyle w:val="libFootnotenumChar"/>
          <w:rtl/>
        </w:rPr>
        <w:t>(3)</w:t>
      </w:r>
      <w:r w:rsidRPr="00132E65">
        <w:rPr>
          <w:rtl/>
          <w:lang w:bidi="fa-IR"/>
        </w:rPr>
        <w:t xml:space="preserve"> : إِنَّهُ يَصْحَبُكَ ، فَأَحْسِنْ مُعَاشَرَتَهُ </w:t>
      </w:r>
      <w:r>
        <w:rPr>
          <w:rStyle w:val="libFootnotenumChar"/>
          <w:rtl/>
        </w:rPr>
        <w:t>(4)</w:t>
      </w:r>
      <w:r w:rsidRPr="00132E65">
        <w:rPr>
          <w:rtl/>
          <w:lang w:bidi="fa-IR"/>
        </w:rPr>
        <w:t xml:space="preserve"> ، وَاطْلُبْ لَهُ عَدِيلاً ، </w:t>
      </w:r>
      <w:r w:rsidR="005E5AE2" w:rsidRPr="00132E65">
        <w:rPr>
          <w:rtl/>
          <w:lang w:bidi="fa-IR"/>
        </w:rPr>
        <w:t>و</w:t>
      </w:r>
      <w:r w:rsidR="005E5AE2">
        <w:rPr>
          <w:rFonts w:hint="cs"/>
          <w:rtl/>
          <w:lang w:bidi="fa-IR"/>
        </w:rPr>
        <w:t>َ</w:t>
      </w:r>
      <w:r w:rsidRPr="00132E65">
        <w:rPr>
          <w:rtl/>
          <w:lang w:bidi="fa-IR"/>
        </w:rPr>
        <w:t xml:space="preserve">اكْتَرِ لَهُ. </w:t>
      </w:r>
      <w:r>
        <w:rPr>
          <w:rStyle w:val="libFootnotenumChar"/>
          <w:rtl/>
        </w:rPr>
        <w:t>(5)</w:t>
      </w:r>
      <w:r w:rsidRPr="00132E65">
        <w:rPr>
          <w:rtl/>
          <w:lang w:bidi="fa-IR"/>
        </w:rPr>
        <w:t>‌</w:t>
      </w:r>
    </w:p>
    <w:p w:rsidR="000C39D1" w:rsidRPr="00132E65" w:rsidRDefault="000C39D1" w:rsidP="000C39D1">
      <w:pPr>
        <w:pStyle w:val="libNormal"/>
        <w:rPr>
          <w:rtl/>
          <w:lang w:bidi="fa-IR"/>
        </w:rPr>
      </w:pPr>
      <w:r w:rsidRPr="00C20DDB">
        <w:rPr>
          <w:rtl/>
        </w:rPr>
        <w:t>1370</w:t>
      </w:r>
      <w:r w:rsidRPr="004325D8">
        <w:rPr>
          <w:rStyle w:val="libBold2Char"/>
          <w:rtl/>
        </w:rPr>
        <w:t xml:space="preserve"> / 14.</w:t>
      </w:r>
      <w:r w:rsidRPr="00132E65">
        <w:rPr>
          <w:rtl/>
          <w:lang w:bidi="fa-IR"/>
        </w:rPr>
        <w:t xml:space="preserve"> عَلِيُّ بْنُ مُحَمَّدٍ ، عَنِ الْحَسَنِ بْنِ عَبْدِ الْحَمِيدِ ، قَالَ :</w:t>
      </w:r>
    </w:p>
    <w:p w:rsidR="000C39D1" w:rsidRPr="00132E65" w:rsidRDefault="000C39D1" w:rsidP="005E47AF">
      <w:pPr>
        <w:pStyle w:val="libNormal"/>
        <w:rPr>
          <w:rtl/>
          <w:lang w:bidi="fa-IR"/>
        </w:rPr>
      </w:pPr>
      <w:r w:rsidRPr="00132E65">
        <w:rPr>
          <w:rtl/>
          <w:lang w:bidi="fa-IR"/>
        </w:rPr>
        <w:t xml:space="preserve">شَكَكْتُ فِي أَمْرِ حَاجِزٍ </w:t>
      </w:r>
      <w:r>
        <w:rPr>
          <w:rStyle w:val="libFootnotenumChar"/>
          <w:rtl/>
        </w:rPr>
        <w:t>(6)</w:t>
      </w:r>
      <w:r w:rsidRPr="00132E65">
        <w:rPr>
          <w:rtl/>
          <w:lang w:bidi="fa-IR"/>
        </w:rPr>
        <w:t xml:space="preserve"> ، فَجَمَعْتُ شَيْئاً ، ثُمَّ صِرْتُ إِلَى الْعَسْكَرِ ، فَخَرَجَ إِلَيَّ : « لَيْسَ فِينَا شَكٌّ ، </w:t>
      </w:r>
      <w:r w:rsidR="005E47AF" w:rsidRPr="00132E65">
        <w:rPr>
          <w:rtl/>
          <w:lang w:bidi="fa-IR"/>
        </w:rPr>
        <w:t>و</w:t>
      </w:r>
      <w:r w:rsidR="005E47AF">
        <w:rPr>
          <w:rFonts w:hint="cs"/>
          <w:rtl/>
          <w:lang w:bidi="fa-IR"/>
        </w:rPr>
        <w:t>َ</w:t>
      </w:r>
      <w:r w:rsidRPr="00132E65">
        <w:rPr>
          <w:rtl/>
          <w:lang w:bidi="fa-IR"/>
        </w:rPr>
        <w:t xml:space="preserve">لَافِيمَنْ يَقُومُ مَقَامَنَا بِأَمْرِنَا ، رُدَّ </w:t>
      </w:r>
      <w:r>
        <w:rPr>
          <w:rStyle w:val="libFootnotenumChar"/>
          <w:rtl/>
        </w:rPr>
        <w:t>(7)</w:t>
      </w:r>
      <w:r w:rsidRPr="00132E65">
        <w:rPr>
          <w:rtl/>
          <w:lang w:bidi="fa-IR"/>
        </w:rPr>
        <w:t xml:space="preserve"> مَا مَعَكَ إِلى حَاجِزِ بْنِ يَزِيدَ </w:t>
      </w:r>
      <w:r>
        <w:rPr>
          <w:rStyle w:val="libFootnotenumChar"/>
          <w:rtl/>
        </w:rPr>
        <w:t>(8)</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w:t>
      </w:r>
    </w:p>
    <w:p w:rsidR="000C39D1" w:rsidRPr="00132E65" w:rsidRDefault="000C39D1" w:rsidP="000C39D1">
      <w:pPr>
        <w:pStyle w:val="libNormal"/>
        <w:rPr>
          <w:rtl/>
          <w:lang w:bidi="fa-IR"/>
        </w:rPr>
      </w:pPr>
      <w:r w:rsidRPr="00C20DDB">
        <w:rPr>
          <w:rtl/>
        </w:rPr>
        <w:t>1371</w:t>
      </w:r>
      <w:r w:rsidRPr="004325D8">
        <w:rPr>
          <w:rStyle w:val="libBold2Char"/>
          <w:rtl/>
        </w:rPr>
        <w:t xml:space="preserve"> / 15.</w:t>
      </w:r>
      <w:r w:rsidRPr="00132E65">
        <w:rPr>
          <w:rtl/>
          <w:lang w:bidi="fa-IR"/>
        </w:rPr>
        <w:t xml:space="preserve"> عَلِيُّ بْنُ مُحَمَّدٍ ، عَنْ مُحَمَّدِ بْنِ صَالِحٍ ، قَالَ :</w:t>
      </w:r>
    </w:p>
    <w:p w:rsidR="000C39D1" w:rsidRPr="00132E65" w:rsidRDefault="000C39D1" w:rsidP="000C39D1">
      <w:pPr>
        <w:pStyle w:val="libNormal"/>
        <w:rPr>
          <w:rtl/>
          <w:lang w:bidi="fa-IR"/>
        </w:rPr>
      </w:pPr>
      <w:r w:rsidRPr="00132E65">
        <w:rPr>
          <w:rtl/>
          <w:lang w:bidi="fa-IR"/>
        </w:rPr>
        <w:t xml:space="preserve">لَمَّا مَاتَ أَبِي وصَارَ الْأَمْرُ لِي </w:t>
      </w:r>
      <w:r>
        <w:rPr>
          <w:rStyle w:val="libFootnotenumChar"/>
          <w:rtl/>
        </w:rPr>
        <w:t>(10)</w:t>
      </w:r>
      <w:r w:rsidRPr="00132E65">
        <w:rPr>
          <w:rtl/>
          <w:lang w:bidi="fa-IR"/>
        </w:rPr>
        <w:t xml:space="preserve"> ، كَانَ لِأَبِي عَلَى النَّاسِ سَفَاتِجُ </w:t>
      </w:r>
      <w:r>
        <w:rPr>
          <w:rStyle w:val="libFootnotenumChar"/>
          <w:rtl/>
        </w:rPr>
        <w:t>(11)</w:t>
      </w:r>
      <w:r w:rsidRPr="00132E65">
        <w:rPr>
          <w:rtl/>
          <w:lang w:bidi="fa-IR"/>
        </w:rPr>
        <w:t xml:space="preserve"> مِنْ مَالِ الْغَرِيمِ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وكنت قد صرت إليه</w:t>
      </w:r>
      <w:r>
        <w:rPr>
          <w:rtl/>
        </w:rPr>
        <w:t xml:space="preserve"> ..</w:t>
      </w:r>
      <w:r w:rsidRPr="00132E65">
        <w:rPr>
          <w:rtl/>
        </w:rPr>
        <w:t>. فوجدته كارهاً ، فلمّا لقيني قال لي » بدل « بعد أن كنت</w:t>
      </w:r>
      <w:r>
        <w:rPr>
          <w:rtl/>
        </w:rPr>
        <w:t xml:space="preserve"> - </w:t>
      </w:r>
      <w:r w:rsidRPr="00132E65">
        <w:rPr>
          <w:rtl/>
        </w:rPr>
        <w:t>إلى</w:t>
      </w:r>
      <w:r>
        <w:rPr>
          <w:rtl/>
        </w:rPr>
        <w:t xml:space="preserve"> - </w:t>
      </w:r>
      <w:r w:rsidRPr="00132E65">
        <w:rPr>
          <w:rtl/>
        </w:rPr>
        <w:t>كارهاً ، فقال‌لي »</w:t>
      </w:r>
      <w:r>
        <w:rPr>
          <w:rtl/>
        </w:rPr>
        <w:t>.</w:t>
      </w:r>
    </w:p>
    <w:p w:rsidR="000C39D1" w:rsidRPr="00132E65" w:rsidRDefault="000C39D1" w:rsidP="000C39D1">
      <w:pPr>
        <w:pStyle w:val="libFootnote0"/>
        <w:rPr>
          <w:rtl/>
          <w:lang w:bidi="fa-IR"/>
        </w:rPr>
      </w:pPr>
      <w:r>
        <w:rPr>
          <w:rtl/>
        </w:rPr>
        <w:t>(2).</w:t>
      </w:r>
      <w:r w:rsidRPr="00132E65">
        <w:rPr>
          <w:rtl/>
        </w:rPr>
        <w:t xml:space="preserve"> في « بس » : « فقد »</w:t>
      </w:r>
      <w:r>
        <w:rPr>
          <w:rtl/>
        </w:rPr>
        <w:t>.</w:t>
      </w:r>
    </w:p>
    <w:tbl>
      <w:tblPr>
        <w:tblStyle w:val="TableGrid"/>
        <w:bidiVisual/>
        <w:tblW w:w="0" w:type="auto"/>
        <w:tblLook w:val="04A0" w:firstRow="1" w:lastRow="0" w:firstColumn="1" w:lastColumn="0" w:noHBand="0" w:noVBand="1"/>
      </w:tblPr>
      <w:tblGrid>
        <w:gridCol w:w="4261"/>
        <w:gridCol w:w="4262"/>
      </w:tblGrid>
      <w:tr w:rsidR="005E47AF" w:rsidTr="005E47AF">
        <w:tc>
          <w:tcPr>
            <w:tcW w:w="4261" w:type="dxa"/>
          </w:tcPr>
          <w:p w:rsidR="005E47AF" w:rsidRDefault="005E47AF" w:rsidP="000C39D1">
            <w:pPr>
              <w:pStyle w:val="libFootnote0"/>
              <w:rPr>
                <w:rtl/>
              </w:rPr>
            </w:pPr>
            <w:r>
              <w:rPr>
                <w:rtl/>
              </w:rPr>
              <w:t>(3).</w:t>
            </w:r>
            <w:r w:rsidRPr="00132E65">
              <w:rPr>
                <w:rtl/>
              </w:rPr>
              <w:t xml:space="preserve"> في الإرشاد </w:t>
            </w:r>
            <w:r>
              <w:rPr>
                <w:rtl/>
              </w:rPr>
              <w:t xml:space="preserve">: - </w:t>
            </w:r>
            <w:r w:rsidRPr="00132E65">
              <w:rPr>
                <w:rtl/>
              </w:rPr>
              <w:t>« لي »</w:t>
            </w:r>
            <w:r>
              <w:rPr>
                <w:rtl/>
              </w:rPr>
              <w:t>.</w:t>
            </w:r>
          </w:p>
        </w:tc>
        <w:tc>
          <w:tcPr>
            <w:tcW w:w="4262" w:type="dxa"/>
          </w:tcPr>
          <w:p w:rsidR="005E47AF" w:rsidRDefault="005E47AF" w:rsidP="000C39D1">
            <w:pPr>
              <w:pStyle w:val="libFootnote0"/>
              <w:rPr>
                <w:rtl/>
              </w:rPr>
            </w:pPr>
            <w:r>
              <w:rPr>
                <w:rtl/>
              </w:rPr>
              <w:t>(4).</w:t>
            </w:r>
            <w:r w:rsidRPr="00132E65">
              <w:rPr>
                <w:rtl/>
              </w:rPr>
              <w:t xml:space="preserve"> في الإرشاد : « عشرته »</w:t>
            </w:r>
            <w:r>
              <w:rPr>
                <w:rtl/>
              </w:rPr>
              <w:t>.</w:t>
            </w:r>
          </w:p>
        </w:tc>
      </w:tr>
    </w:tbl>
    <w:p w:rsidR="000C39D1" w:rsidRPr="00132E65" w:rsidRDefault="000C39D1" w:rsidP="00FD7B28">
      <w:pPr>
        <w:pStyle w:val="libFootnote0"/>
        <w:rPr>
          <w:rtl/>
          <w:lang w:bidi="fa-IR"/>
        </w:rPr>
      </w:pPr>
      <w:r>
        <w:rPr>
          <w:rtl/>
        </w:rPr>
        <w:t>(5).</w:t>
      </w:r>
      <w:r w:rsidRPr="00132E65">
        <w:rPr>
          <w:rtl/>
        </w:rPr>
        <w:t xml:space="preserve"> </w:t>
      </w:r>
      <w:r w:rsidRPr="00C20DDB">
        <w:rPr>
          <w:rtl/>
        </w:rPr>
        <w:t>الإرشاد</w:t>
      </w:r>
      <w:r w:rsidRPr="00132E65">
        <w:rPr>
          <w:rtl/>
        </w:rPr>
        <w:t xml:space="preserve"> ، ج 2 ، ص 359 ، عن الحسين بن الفضل الهماني</w:t>
      </w:r>
      <w:r w:rsidR="00FD7B28">
        <w:rPr>
          <w:rFonts w:hint="cs"/>
          <w:rtl/>
        </w:rPr>
        <w:t>.</w:t>
      </w:r>
      <w:r w:rsidRPr="009D1ACE">
        <w:rPr>
          <w:rStyle w:val="libFootnoteBoldChar"/>
          <w:rtl/>
        </w:rPr>
        <w:t>الوافي</w:t>
      </w:r>
      <w:r w:rsidRPr="00132E65">
        <w:rPr>
          <w:rtl/>
        </w:rPr>
        <w:t xml:space="preserve"> ، ج 3 ، ص 872 ، ح 1493 ؛ </w:t>
      </w:r>
      <w:r w:rsidRPr="00C20DDB">
        <w:rPr>
          <w:rtl/>
        </w:rPr>
        <w:t>البحار</w:t>
      </w:r>
      <w:r w:rsidRPr="00132E65">
        <w:rPr>
          <w:rtl/>
        </w:rPr>
        <w:t xml:space="preserve"> ، ج 51 ، ص 309 ، ح 28 ، إلى قوله : « أنّ الرجل تحوّل قَرمَطيّاً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في أمر حاجز ، أي في وكالته للصاحب </w:t>
      </w:r>
      <w:r w:rsidRPr="00705B08">
        <w:rPr>
          <w:rStyle w:val="libFootnoteAlaemChar"/>
          <w:rtl/>
        </w:rPr>
        <w:t>عليه‌السلام</w:t>
      </w:r>
      <w:r w:rsidRPr="00132E65">
        <w:rPr>
          <w:rtl/>
        </w:rPr>
        <w:t xml:space="preserve"> أو ديانته »</w:t>
      </w:r>
      <w:r>
        <w:rPr>
          <w:rtl/>
        </w:rPr>
        <w:t>.</w:t>
      </w:r>
    </w:p>
    <w:tbl>
      <w:tblPr>
        <w:tblStyle w:val="TableGrid"/>
        <w:bidiVisual/>
        <w:tblW w:w="0" w:type="auto"/>
        <w:tblLook w:val="04A0" w:firstRow="1" w:lastRow="0" w:firstColumn="1" w:lastColumn="0" w:noHBand="0" w:noVBand="1"/>
      </w:tblPr>
      <w:tblGrid>
        <w:gridCol w:w="4261"/>
        <w:gridCol w:w="4262"/>
      </w:tblGrid>
      <w:tr w:rsidR="00FD7B28" w:rsidTr="00FD7B28">
        <w:tc>
          <w:tcPr>
            <w:tcW w:w="4261" w:type="dxa"/>
          </w:tcPr>
          <w:p w:rsidR="00FD7B28" w:rsidRDefault="00FD7B28" w:rsidP="000C39D1">
            <w:pPr>
              <w:pStyle w:val="libFootnote0"/>
              <w:rPr>
                <w:rtl/>
              </w:rPr>
            </w:pPr>
            <w:r>
              <w:rPr>
                <w:rtl/>
              </w:rPr>
              <w:t>(7).</w:t>
            </w:r>
            <w:r w:rsidRPr="00132E65">
              <w:rPr>
                <w:rtl/>
              </w:rPr>
              <w:t xml:space="preserve"> في الإرشاد : « فردّ »</w:t>
            </w:r>
            <w:r>
              <w:rPr>
                <w:rtl/>
              </w:rPr>
              <w:t>.</w:t>
            </w:r>
          </w:p>
        </w:tc>
        <w:tc>
          <w:tcPr>
            <w:tcW w:w="4262" w:type="dxa"/>
          </w:tcPr>
          <w:p w:rsidR="00FD7B28" w:rsidRDefault="00FD7B28" w:rsidP="000C39D1">
            <w:pPr>
              <w:pStyle w:val="libFootnote0"/>
              <w:rPr>
                <w:rtl/>
              </w:rPr>
            </w:pPr>
            <w:r>
              <w:rPr>
                <w:rtl/>
              </w:rPr>
              <w:t>(8).</w:t>
            </w:r>
            <w:r w:rsidRPr="00132E65">
              <w:rPr>
                <w:rtl/>
              </w:rPr>
              <w:t xml:space="preserve"> في « ب » : « بريد »</w:t>
            </w:r>
            <w:r>
              <w:rPr>
                <w:rtl/>
              </w:rPr>
              <w:t>.</w:t>
            </w:r>
            <w:r w:rsidRPr="00132E65">
              <w:rPr>
                <w:rtl/>
              </w:rPr>
              <w:t xml:space="preserve"> وفي « ج » : « زيد »</w:t>
            </w:r>
            <w:r>
              <w:rPr>
                <w:rtl/>
              </w:rPr>
              <w:t>.</w:t>
            </w:r>
          </w:p>
        </w:tc>
      </w:tr>
    </w:tbl>
    <w:p w:rsidR="000C39D1" w:rsidRPr="00132E65" w:rsidRDefault="000C39D1" w:rsidP="00705B08">
      <w:pPr>
        <w:pStyle w:val="libFootnote0"/>
        <w:rPr>
          <w:rtl/>
          <w:lang w:bidi="fa-IR"/>
        </w:rPr>
      </w:pPr>
      <w:r>
        <w:rPr>
          <w:rtl/>
        </w:rPr>
        <w:t>(9).</w:t>
      </w:r>
      <w:r w:rsidRPr="00132E65">
        <w:rPr>
          <w:rtl/>
        </w:rPr>
        <w:t xml:space="preserve"> </w:t>
      </w:r>
      <w:r w:rsidRPr="00C20DDB">
        <w:rPr>
          <w:rtl/>
        </w:rPr>
        <w:t>الإرشاد</w:t>
      </w:r>
      <w:r w:rsidRPr="00132E65">
        <w:rPr>
          <w:rtl/>
        </w:rPr>
        <w:t xml:space="preserve"> ، ج 2 ، ص 361 ، عن عليّ بن محمّد. وفي </w:t>
      </w:r>
      <w:r w:rsidRPr="00C20DDB">
        <w:rPr>
          <w:rtl/>
        </w:rPr>
        <w:t>كمال الدين</w:t>
      </w:r>
      <w:r w:rsidRPr="00132E65">
        <w:rPr>
          <w:rtl/>
        </w:rPr>
        <w:t xml:space="preserve"> ، ص 498 ، ح 23 ، بسند آخر ، مع زيادة واختلاف يسير</w:t>
      </w:r>
      <w:r w:rsidR="00705B08">
        <w:rPr>
          <w:rFonts w:hint="cs"/>
          <w:rtl/>
        </w:rPr>
        <w:t>.</w:t>
      </w:r>
      <w:r w:rsidRPr="009D1ACE">
        <w:rPr>
          <w:rStyle w:val="libFootnoteBoldChar"/>
          <w:rtl/>
        </w:rPr>
        <w:t>الوافي</w:t>
      </w:r>
      <w:r w:rsidRPr="00132E65">
        <w:rPr>
          <w:rtl/>
        </w:rPr>
        <w:t xml:space="preserve"> ، ج 3 ، ص 874 ، ح 1494.</w:t>
      </w:r>
    </w:p>
    <w:p w:rsidR="000C39D1" w:rsidRPr="00132E65" w:rsidRDefault="000C39D1" w:rsidP="000C39D1">
      <w:pPr>
        <w:pStyle w:val="libFootnote0"/>
        <w:rPr>
          <w:rtl/>
          <w:lang w:bidi="fa-IR"/>
        </w:rPr>
      </w:pPr>
      <w:r>
        <w:rPr>
          <w:rtl/>
        </w:rPr>
        <w:t>(10).</w:t>
      </w:r>
      <w:r w:rsidRPr="00132E65">
        <w:rPr>
          <w:rtl/>
        </w:rPr>
        <w:t xml:space="preserve"> في « ف » والإرشاد والبحار : « إليّ »</w:t>
      </w:r>
      <w:r>
        <w:rPr>
          <w:rtl/>
        </w:rPr>
        <w:t>.</w:t>
      </w:r>
    </w:p>
    <w:p w:rsidR="000C39D1" w:rsidRPr="00132E65" w:rsidRDefault="000C39D1" w:rsidP="000C39D1">
      <w:pPr>
        <w:pStyle w:val="libFootnote0"/>
        <w:rPr>
          <w:rtl/>
          <w:lang w:bidi="fa-IR"/>
        </w:rPr>
      </w:pPr>
      <w:r>
        <w:rPr>
          <w:rtl/>
        </w:rPr>
        <w:t>(11).</w:t>
      </w:r>
      <w:r w:rsidRPr="00132E65">
        <w:rPr>
          <w:rtl/>
        </w:rPr>
        <w:t xml:space="preserve"> « السفتجة » : قيل بضمّ السين ، وقيل بفتحها. فارسي معرّب. وهي أن يعطي مالاً للآخر ، ولآخر مال في بلد المعطي ، فيوفّيه إيّاه ثَمّ ، فيستفيد أمن الطريق. </w:t>
      </w:r>
      <w:r w:rsidRPr="00C20DDB">
        <w:rPr>
          <w:rtl/>
        </w:rPr>
        <w:t>المصباح المنير</w:t>
      </w:r>
      <w:r w:rsidRPr="00132E65">
        <w:rPr>
          <w:rtl/>
        </w:rPr>
        <w:t xml:space="preserve"> ، ص 278 ؛ </w:t>
      </w:r>
      <w:r w:rsidRPr="00C20DDB">
        <w:rPr>
          <w:rtl/>
        </w:rPr>
        <w:t>القاموس المحيط</w:t>
      </w:r>
      <w:r w:rsidRPr="00132E65">
        <w:rPr>
          <w:rtl/>
        </w:rPr>
        <w:t xml:space="preserve"> ، ج 1 ، ص 301 ( سفتج )</w:t>
      </w:r>
      <w:r>
        <w:rPr>
          <w:rtl/>
        </w:rPr>
        <w:t>.</w:t>
      </w:r>
    </w:p>
    <w:p w:rsidR="000C39D1" w:rsidRPr="00132E65" w:rsidRDefault="000C39D1" w:rsidP="000C39D1">
      <w:pPr>
        <w:pStyle w:val="libFootnote0"/>
        <w:rPr>
          <w:rtl/>
          <w:lang w:bidi="fa-IR"/>
        </w:rPr>
      </w:pPr>
      <w:r>
        <w:rPr>
          <w:rtl/>
        </w:rPr>
        <w:t>(12).</w:t>
      </w:r>
      <w:r w:rsidRPr="00132E65">
        <w:rPr>
          <w:rtl/>
        </w:rPr>
        <w:t xml:space="preserve"> في الإرشاد والبحار :</w:t>
      </w:r>
      <w:r>
        <w:rPr>
          <w:rtl/>
        </w:rPr>
        <w:t xml:space="preserve"> + </w:t>
      </w:r>
      <w:r w:rsidRPr="00132E65">
        <w:rPr>
          <w:rtl/>
        </w:rPr>
        <w:t xml:space="preserve">« يعني صاحب الأمر </w:t>
      </w:r>
      <w:r w:rsidRPr="00705B08">
        <w:rPr>
          <w:rStyle w:val="libFootnoteAlaemChar"/>
          <w:rtl/>
        </w:rPr>
        <w:t>عليه‌السلام</w:t>
      </w:r>
      <w:r w:rsidRPr="00132E65">
        <w:rPr>
          <w:rtl/>
        </w:rPr>
        <w:t xml:space="preserve"> قال »</w:t>
      </w:r>
      <w:r>
        <w:rPr>
          <w:rtl/>
        </w:rPr>
        <w:t>.</w:t>
      </w:r>
      <w:r w:rsidRPr="00132E65">
        <w:rPr>
          <w:rtl/>
        </w:rPr>
        <w:t xml:space="preserve"> </w:t>
      </w:r>
      <w:r>
        <w:rPr>
          <w:rtl/>
        </w:rPr>
        <w:t>و «</w:t>
      </w:r>
      <w:r w:rsidRPr="00132E65">
        <w:rPr>
          <w:rtl/>
        </w:rPr>
        <w:t xml:space="preserve"> الغريم » : الذي عليه الدين ، وقد يكون الغريم أيضاً الذي له الدين. </w:t>
      </w:r>
      <w:r w:rsidRPr="00C20DDB">
        <w:rPr>
          <w:rtl/>
        </w:rPr>
        <w:t>الصحاح</w:t>
      </w:r>
      <w:r w:rsidRPr="00132E65">
        <w:rPr>
          <w:rtl/>
        </w:rPr>
        <w:t xml:space="preserve"> ، ج 5 ، ص 1996 ( غرم )</w:t>
      </w:r>
      <w:r>
        <w:rPr>
          <w:rtl/>
        </w:rPr>
        <w:t>.</w:t>
      </w:r>
      <w:r w:rsidRPr="00132E65">
        <w:rPr>
          <w:rtl/>
        </w:rPr>
        <w:t xml:space="preserve"> وهو هنا كناية عن الإمام القائم</w:t>
      </w:r>
      <w:r>
        <w:rPr>
          <w:rtl/>
        </w:rPr>
        <w:t xml:space="preserve"> - </w:t>
      </w:r>
      <w:r w:rsidRPr="00132E65">
        <w:rPr>
          <w:rtl/>
        </w:rPr>
        <w:t>عجّل الله فرجه</w:t>
      </w:r>
      <w:r>
        <w:rPr>
          <w:rtl/>
        </w:rPr>
        <w:t xml:space="preserve"> - </w:t>
      </w:r>
      <w:r w:rsidRPr="00132E65">
        <w:rPr>
          <w:rtl/>
        </w:rPr>
        <w:t xml:space="preserve">عبّر كذلك تقيّة كما صرّح بذلك المفيد في </w:t>
      </w:r>
      <w:r w:rsidRPr="00C20DDB">
        <w:rPr>
          <w:rtl/>
        </w:rPr>
        <w:t>الإرشاد</w:t>
      </w:r>
      <w:r w:rsidRPr="00132E65">
        <w:rPr>
          <w:rtl/>
        </w:rPr>
        <w:t xml:space="preserve"> في هذا الموضع من الرواية. قال المجلسي في </w:t>
      </w:r>
      <w:r w:rsidRPr="009D1ACE">
        <w:rPr>
          <w:rStyle w:val="libFootnoteBoldChar"/>
          <w:rtl/>
        </w:rPr>
        <w:t>مرآة العقول</w:t>
      </w:r>
      <w:r w:rsidRPr="00132E65">
        <w:rPr>
          <w:rtl/>
        </w:rPr>
        <w:t xml:space="preserve"> : « أقول : الغريم ، يطلق على طالب الحقّ ، وعلى من في ذمّته الحقّ. والمراد هنا الأوّل ؛ لأنّ أمواله </w:t>
      </w:r>
      <w:r w:rsidRPr="00705B08">
        <w:rPr>
          <w:rStyle w:val="libFootnoteAlaemChar"/>
          <w:rtl/>
        </w:rPr>
        <w:t>عليه‌السلام</w:t>
      </w:r>
      <w:r w:rsidRPr="00132E65">
        <w:rPr>
          <w:rtl/>
        </w:rPr>
        <w:t xml:space="preserve"> في أيدي الناس وذممهم ، ويحتمل الثاني</w:t>
      </w:r>
      <w:r>
        <w:rPr>
          <w:rtl/>
        </w:rPr>
        <w:t xml:space="preserve"> ..</w:t>
      </w:r>
      <w:r w:rsidRPr="00132E65">
        <w:rPr>
          <w:rtl/>
        </w:rPr>
        <w:t xml:space="preserve">. فكأنّه </w:t>
      </w:r>
      <w:r w:rsidRPr="00705B08">
        <w:rPr>
          <w:rStyle w:val="libFootnoteAlaemChar"/>
          <w:rtl/>
        </w:rPr>
        <w:t>عليه‌السلام</w:t>
      </w:r>
      <w:r w:rsidRPr="00132E65">
        <w:rPr>
          <w:rtl/>
        </w:rPr>
        <w:t xml:space="preserve"> لغيبته وخفائه غريم لهم »</w:t>
      </w:r>
      <w:r>
        <w:rPr>
          <w:rtl/>
        </w:rPr>
        <w:t>.</w:t>
      </w:r>
      <w:r w:rsidRPr="00132E65">
        <w:rPr>
          <w:rtl/>
        </w:rPr>
        <w:t xml:space="preserve"> ثمّ ذكر وجهاً آخر.</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CB0691">
      <w:pPr>
        <w:pStyle w:val="libNormal0"/>
        <w:tabs>
          <w:tab w:val="left" w:pos="3968"/>
        </w:tabs>
        <w:rPr>
          <w:rtl/>
          <w:lang w:bidi="fa-IR"/>
        </w:rPr>
      </w:pPr>
      <w:r w:rsidRPr="00132E65">
        <w:rPr>
          <w:rtl/>
          <w:lang w:bidi="fa-IR"/>
        </w:rPr>
        <w:t xml:space="preserve">فَكَتَبْتُ إِلَيْهِ أُعْلِمُهُ ، فَكَتَبَ </w:t>
      </w:r>
      <w:r>
        <w:rPr>
          <w:rStyle w:val="libFootnotenumChar"/>
          <w:rtl/>
        </w:rPr>
        <w:t>(1)</w:t>
      </w:r>
      <w:r w:rsidRPr="00132E65">
        <w:rPr>
          <w:rtl/>
          <w:lang w:bidi="fa-IR"/>
        </w:rPr>
        <w:t xml:space="preserve"> : « طَالِبْهُمْ ، و</w:t>
      </w:r>
      <w:r w:rsidR="00705B08">
        <w:rPr>
          <w:rFonts w:hint="cs"/>
          <w:rtl/>
          <w:lang w:bidi="fa-IR"/>
        </w:rPr>
        <w:t>َ</w:t>
      </w:r>
      <w:r w:rsidRPr="00132E65">
        <w:rPr>
          <w:rtl/>
          <w:lang w:bidi="fa-IR"/>
        </w:rPr>
        <w:t xml:space="preserve">اسْتَقْضِ </w:t>
      </w:r>
      <w:r>
        <w:rPr>
          <w:rStyle w:val="libFootnotenumChar"/>
          <w:rtl/>
        </w:rPr>
        <w:t>(2)</w:t>
      </w:r>
      <w:r w:rsidRPr="00132E65">
        <w:rPr>
          <w:rtl/>
          <w:lang w:bidi="fa-IR"/>
        </w:rPr>
        <w:t xml:space="preserve"> عَلَيْهِم</w:t>
      </w:r>
      <w:r w:rsidR="00705B08">
        <w:rPr>
          <w:rtl/>
          <w:lang w:bidi="fa-IR"/>
        </w:rPr>
        <w:t>ْ » فَقَضَّانِيَ النَّاسُ إِل</w:t>
      </w:r>
      <w:r w:rsidR="00705B08">
        <w:rPr>
          <w:rFonts w:hint="cs"/>
          <w:rtl/>
          <w:lang w:bidi="fa-IR"/>
        </w:rPr>
        <w:t>َّ</w:t>
      </w:r>
      <w:r w:rsidR="00705B08">
        <w:rPr>
          <w:rtl/>
          <w:lang w:bidi="fa-IR"/>
        </w:rPr>
        <w:t>ا</w:t>
      </w:r>
      <w:r w:rsidRPr="00132E65">
        <w:rPr>
          <w:rtl/>
          <w:lang w:bidi="fa-IR"/>
        </w:rPr>
        <w:t xml:space="preserve"> رَجُلٌ وَاحِدٌ كَانَتْ </w:t>
      </w:r>
      <w:r>
        <w:rPr>
          <w:rStyle w:val="libFootnotenumChar"/>
          <w:rtl/>
        </w:rPr>
        <w:t>(3)</w:t>
      </w:r>
      <w:r w:rsidRPr="00132E65">
        <w:rPr>
          <w:rtl/>
          <w:lang w:bidi="fa-IR"/>
        </w:rPr>
        <w:t xml:space="preserve"> عَلَيْهِ سَفْتَجَةٌ بِأَرْبَعِمِائَةِ دِينَارٍ ، فَجِئْتُ إِلَيْهِ أُطَالِبُهُ ، فَمَاطَلَنِي </w:t>
      </w:r>
      <w:r>
        <w:rPr>
          <w:rStyle w:val="libFootnotenumChar"/>
          <w:rtl/>
        </w:rPr>
        <w:t>(4)</w:t>
      </w:r>
      <w:r w:rsidRPr="00132E65">
        <w:rPr>
          <w:rtl/>
          <w:lang w:bidi="fa-IR"/>
        </w:rPr>
        <w:t xml:space="preserve"> ، و</w:t>
      </w:r>
      <w:r w:rsidR="00705B08">
        <w:rPr>
          <w:rFonts w:hint="cs"/>
          <w:rtl/>
          <w:lang w:bidi="fa-IR"/>
        </w:rPr>
        <w:t>َ</w:t>
      </w:r>
      <w:r w:rsidRPr="00132E65">
        <w:rPr>
          <w:rtl/>
          <w:lang w:bidi="fa-IR"/>
        </w:rPr>
        <w:t xml:space="preserve">اسْتَخَفَّ بِيَ ابْنُهُ ، </w:t>
      </w:r>
      <w:r w:rsidR="00705B08" w:rsidRPr="00132E65">
        <w:rPr>
          <w:rtl/>
          <w:lang w:bidi="fa-IR"/>
        </w:rPr>
        <w:t>و</w:t>
      </w:r>
      <w:r w:rsidR="00705B08">
        <w:rPr>
          <w:rFonts w:hint="cs"/>
          <w:rtl/>
          <w:lang w:bidi="fa-IR"/>
        </w:rPr>
        <w:t>َ</w:t>
      </w:r>
      <w:r w:rsidRPr="00132E65">
        <w:rPr>
          <w:rtl/>
          <w:lang w:bidi="fa-IR"/>
        </w:rPr>
        <w:t xml:space="preserve">سَفِهَ عَلَيَّ ، فَشَكَوْتُ </w:t>
      </w:r>
      <w:r>
        <w:rPr>
          <w:rStyle w:val="libFootnotenumChar"/>
          <w:rtl/>
        </w:rPr>
        <w:t>(5)</w:t>
      </w:r>
      <w:r w:rsidRPr="00132E65">
        <w:rPr>
          <w:rtl/>
          <w:lang w:bidi="fa-IR"/>
        </w:rPr>
        <w:t xml:space="preserve"> إِلى أَبِيهِ ، فَقَالَ </w:t>
      </w:r>
      <w:r>
        <w:rPr>
          <w:rStyle w:val="libFootnotenumChar"/>
          <w:rtl/>
        </w:rPr>
        <w:t>(6)</w:t>
      </w:r>
      <w:r w:rsidRPr="00132E65">
        <w:rPr>
          <w:rtl/>
          <w:lang w:bidi="fa-IR"/>
        </w:rPr>
        <w:t xml:space="preserve"> : و</w:t>
      </w:r>
      <w:r>
        <w:rPr>
          <w:rFonts w:hint="cs"/>
          <w:rtl/>
          <w:lang w:bidi="fa-IR"/>
        </w:rPr>
        <w:t xml:space="preserve"> </w:t>
      </w:r>
      <w:r>
        <w:rPr>
          <w:rStyle w:val="libFootnotenumChar"/>
          <w:rtl/>
        </w:rPr>
        <w:t>(7)</w:t>
      </w:r>
      <w:r w:rsidRPr="00132E65">
        <w:rPr>
          <w:rtl/>
          <w:lang w:bidi="fa-IR"/>
        </w:rPr>
        <w:t xml:space="preserve"> كَانَ مَا ذَا</w:t>
      </w:r>
      <w:r>
        <w:rPr>
          <w:rtl/>
          <w:lang w:bidi="fa-IR"/>
        </w:rPr>
        <w:t>؟</w:t>
      </w:r>
      <w:r w:rsidRPr="00132E65">
        <w:rPr>
          <w:rtl/>
          <w:lang w:bidi="fa-IR"/>
        </w:rPr>
        <w:t xml:space="preserve"> فَقَبَضْتُ عَلى لِحْيَتِهِ ، وَأَخَذْتُ بِرِجْلِهِ ، </w:t>
      </w:r>
      <w:r w:rsidR="00CB0691" w:rsidRPr="00132E65">
        <w:rPr>
          <w:rtl/>
          <w:lang w:bidi="fa-IR"/>
        </w:rPr>
        <w:t>و</w:t>
      </w:r>
      <w:r w:rsidR="00CB0691">
        <w:rPr>
          <w:rFonts w:hint="cs"/>
          <w:rtl/>
          <w:lang w:bidi="fa-IR"/>
        </w:rPr>
        <w:t>َ</w:t>
      </w:r>
      <w:r w:rsidRPr="00132E65">
        <w:rPr>
          <w:rtl/>
          <w:lang w:bidi="fa-IR"/>
        </w:rPr>
        <w:t xml:space="preserve">سَحَبْتُهُ </w:t>
      </w:r>
      <w:r>
        <w:rPr>
          <w:rStyle w:val="libFootnotenumChar"/>
          <w:rtl/>
        </w:rPr>
        <w:t>(8)</w:t>
      </w:r>
      <w:r w:rsidRPr="00132E65">
        <w:rPr>
          <w:rtl/>
          <w:lang w:bidi="fa-IR"/>
        </w:rPr>
        <w:t xml:space="preserve"> إِلى وسَطِ الدَّارِ ، ورَكَلْتُهُ </w:t>
      </w:r>
      <w:r>
        <w:rPr>
          <w:rStyle w:val="libFootnotenumChar"/>
          <w:rtl/>
        </w:rPr>
        <w:t>(9)</w:t>
      </w:r>
      <w:r w:rsidRPr="00132E65">
        <w:rPr>
          <w:rtl/>
          <w:lang w:bidi="fa-IR"/>
        </w:rPr>
        <w:t xml:space="preserve"> رَكْلاً كَثِيراً </w:t>
      </w:r>
      <w:r>
        <w:rPr>
          <w:rStyle w:val="libFootnotenumChar"/>
          <w:rtl/>
        </w:rPr>
        <w:t>(10)</w:t>
      </w:r>
      <w:r w:rsidRPr="00132E65">
        <w:rPr>
          <w:rtl/>
          <w:lang w:bidi="fa-IR"/>
        </w:rPr>
        <w:t xml:space="preserve"> ، فَخَرَجَ ابْنُهُ يَسْتَغِيثُ </w:t>
      </w:r>
      <w:r>
        <w:rPr>
          <w:rStyle w:val="libFootnotenumChar"/>
          <w:rtl/>
        </w:rPr>
        <w:t>(11)</w:t>
      </w:r>
      <w:r w:rsidRPr="00132E65">
        <w:rPr>
          <w:rtl/>
          <w:lang w:bidi="fa-IR"/>
        </w:rPr>
        <w:t xml:space="preserve"> بِأَهْلِ بَغْدَادَ ، </w:t>
      </w:r>
      <w:r w:rsidR="00CB0691" w:rsidRPr="00132E65">
        <w:rPr>
          <w:rtl/>
          <w:lang w:bidi="fa-IR"/>
        </w:rPr>
        <w:t>و</w:t>
      </w:r>
      <w:r w:rsidR="00CB0691">
        <w:rPr>
          <w:rFonts w:hint="cs"/>
          <w:rtl/>
          <w:lang w:bidi="fa-IR"/>
        </w:rPr>
        <w:t>َ</w:t>
      </w:r>
      <w:r>
        <w:rPr>
          <w:rFonts w:hint="cs"/>
          <w:rtl/>
          <w:lang w:bidi="fa-IR"/>
        </w:rPr>
        <w:t xml:space="preserve"> </w:t>
      </w:r>
      <w:r>
        <w:rPr>
          <w:rStyle w:val="libFootnotenumChar"/>
          <w:rtl/>
        </w:rPr>
        <w:t>(12)</w:t>
      </w:r>
      <w:r w:rsidRPr="00132E65">
        <w:rPr>
          <w:rtl/>
          <w:lang w:bidi="fa-IR"/>
        </w:rPr>
        <w:t xml:space="preserve"> يَقُولُ : قُمِّيٌّ رَافِضِيٌّ قَدْ قَتَلَ والِدِي ، فَاجْتَمَعَ عَلَيَّ مِنْهُمُ الْخَلْقُ </w:t>
      </w:r>
      <w:r w:rsidRPr="00F543F1">
        <w:rPr>
          <w:rStyle w:val="libFootnotenumChar"/>
          <w:rtl/>
        </w:rPr>
        <w:t>(13)</w:t>
      </w:r>
      <w:r w:rsidRPr="00132E65">
        <w:rPr>
          <w:rtl/>
          <w:lang w:bidi="fa-IR"/>
        </w:rPr>
        <w:t xml:space="preserve"> ، فَرَكِبْتُ دَابَّتِي ، </w:t>
      </w:r>
      <w:r w:rsidR="00CB0691" w:rsidRPr="00132E65">
        <w:rPr>
          <w:rtl/>
          <w:lang w:bidi="fa-IR"/>
        </w:rPr>
        <w:t>و</w:t>
      </w:r>
      <w:r w:rsidR="00CB0691">
        <w:rPr>
          <w:rFonts w:hint="cs"/>
          <w:rtl/>
          <w:lang w:bidi="fa-IR"/>
        </w:rPr>
        <w:t>َ</w:t>
      </w:r>
      <w:r w:rsidRPr="00132E65">
        <w:rPr>
          <w:rtl/>
          <w:lang w:bidi="fa-IR"/>
        </w:rPr>
        <w:t xml:space="preserve">قُلْتُ : أَحْسَنْتُمْ يَا أَهْلَ بَغْدَادَ ، تَمِيلُونَ مَعَ الظَّالِمِ عَلَى الْغَرِيبِ الْمَظْلُومِ ، أَنَا رَجُلٌ مِنْ أَهْلِ هَمَذَانَ </w:t>
      </w:r>
      <w:r w:rsidRPr="00F543F1">
        <w:rPr>
          <w:rStyle w:val="libFootnotenumChar"/>
          <w:rtl/>
        </w:rPr>
        <w:t>(14)</w:t>
      </w:r>
      <w:r w:rsidRPr="00132E65">
        <w:rPr>
          <w:rtl/>
          <w:lang w:bidi="fa-IR"/>
        </w:rPr>
        <w:t xml:space="preserve"> مِنْ أَهْلِ السُّنَّةِ ، </w:t>
      </w:r>
      <w:r w:rsidR="00CB0691" w:rsidRPr="00132E65">
        <w:rPr>
          <w:rtl/>
          <w:lang w:bidi="fa-IR"/>
        </w:rPr>
        <w:t>و</w:t>
      </w:r>
      <w:r w:rsidR="00CB0691">
        <w:rPr>
          <w:rFonts w:hint="cs"/>
          <w:rtl/>
          <w:lang w:bidi="fa-IR"/>
        </w:rPr>
        <w:t>َ</w:t>
      </w:r>
      <w:r w:rsidRPr="00132E65">
        <w:rPr>
          <w:rtl/>
          <w:lang w:bidi="fa-IR"/>
        </w:rPr>
        <w:t>هذَا يَنْسُبُنِي إِلى‌</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البحار :</w:t>
      </w:r>
      <w:r>
        <w:rPr>
          <w:rtl/>
        </w:rPr>
        <w:t xml:space="preserve"> + </w:t>
      </w:r>
      <w:r w:rsidRPr="00132E65">
        <w:rPr>
          <w:rtl/>
        </w:rPr>
        <w:t>« إليّ »</w:t>
      </w:r>
      <w:r>
        <w:rPr>
          <w:rtl/>
        </w:rPr>
        <w:t>.</w:t>
      </w:r>
    </w:p>
    <w:p w:rsidR="000C39D1" w:rsidRPr="00132E65" w:rsidRDefault="000C39D1" w:rsidP="000C39D1">
      <w:pPr>
        <w:pStyle w:val="libFootnote0"/>
        <w:rPr>
          <w:rtl/>
          <w:lang w:bidi="fa-IR"/>
        </w:rPr>
      </w:pPr>
      <w:r>
        <w:rPr>
          <w:rtl/>
        </w:rPr>
        <w:t>(2).</w:t>
      </w:r>
      <w:r w:rsidRPr="00132E65">
        <w:rPr>
          <w:rtl/>
        </w:rPr>
        <w:t xml:space="preserve"> في البحار : « واستقص » بالصاد المهملة. وهو المحتمل في شرح المازندراني.</w:t>
      </w:r>
    </w:p>
    <w:p w:rsidR="000C39D1" w:rsidRPr="00132E65" w:rsidRDefault="000C39D1" w:rsidP="000C39D1">
      <w:pPr>
        <w:pStyle w:val="libFootnote0"/>
        <w:rPr>
          <w:rtl/>
          <w:lang w:bidi="fa-IR"/>
        </w:rPr>
      </w:pPr>
      <w:r>
        <w:rPr>
          <w:rtl/>
        </w:rPr>
        <w:t>(3).</w:t>
      </w:r>
      <w:r w:rsidR="00CB0691">
        <w:rPr>
          <w:rtl/>
        </w:rPr>
        <w:t xml:space="preserve"> في الإرشاد : « إل</w:t>
      </w:r>
      <w:r w:rsidR="00CB0691">
        <w:rPr>
          <w:rFonts w:hint="cs"/>
          <w:rtl/>
        </w:rPr>
        <w:t>ّ</w:t>
      </w:r>
      <w:r w:rsidR="00CB0691">
        <w:rPr>
          <w:rtl/>
        </w:rPr>
        <w:t>ا</w:t>
      </w:r>
      <w:r w:rsidRPr="00132E65">
        <w:rPr>
          <w:rtl/>
        </w:rPr>
        <w:t xml:space="preserve"> رجلاً واحداً وكان »</w:t>
      </w:r>
      <w:r>
        <w:rPr>
          <w:rtl/>
        </w:rPr>
        <w:t>.</w:t>
      </w:r>
      <w:r w:rsidRPr="00132E65">
        <w:rPr>
          <w:rtl/>
        </w:rPr>
        <w:t xml:space="preserve"> وفي البحار : « وكانت »</w:t>
      </w:r>
      <w:r>
        <w:rPr>
          <w:rtl/>
        </w:rPr>
        <w:t>.</w:t>
      </w:r>
    </w:p>
    <w:p w:rsidR="000C39D1" w:rsidRPr="00132E65" w:rsidRDefault="000C39D1" w:rsidP="000C39D1">
      <w:pPr>
        <w:pStyle w:val="libFootnote0"/>
        <w:rPr>
          <w:rtl/>
          <w:lang w:bidi="fa-IR"/>
        </w:rPr>
      </w:pPr>
      <w:r>
        <w:rPr>
          <w:rtl/>
        </w:rPr>
        <w:t>(4).</w:t>
      </w:r>
      <w:r w:rsidRPr="00132E65">
        <w:rPr>
          <w:rtl/>
        </w:rPr>
        <w:t xml:space="preserve"> في الإرشاد والبحار : « أطلبه فمطلني »</w:t>
      </w:r>
      <w:r>
        <w:rPr>
          <w:rtl/>
        </w:rPr>
        <w:t>.</w:t>
      </w:r>
      <w:r w:rsidRPr="00132E65">
        <w:rPr>
          <w:rtl/>
        </w:rPr>
        <w:t xml:space="preserve"> ومطله بِدَيْنه مَطْلاً : إذا سوّفه بوعد الوَفاء مرّة بعد ا</w:t>
      </w:r>
      <w:r w:rsidR="00110D5B">
        <w:rPr>
          <w:rFonts w:hint="cs"/>
          <w:rtl/>
        </w:rPr>
        <w:t>ُ</w:t>
      </w:r>
      <w:r w:rsidRPr="00132E65">
        <w:rPr>
          <w:rtl/>
        </w:rPr>
        <w:t xml:space="preserve">خرى ، وماطله مطالاً. </w:t>
      </w:r>
      <w:r w:rsidRPr="00C20DDB">
        <w:rPr>
          <w:rtl/>
        </w:rPr>
        <w:t>المصباح المنير</w:t>
      </w:r>
      <w:r w:rsidRPr="00132E65">
        <w:rPr>
          <w:rtl/>
        </w:rPr>
        <w:t xml:space="preserve"> ، ص 575 ( مطل )</w:t>
      </w:r>
      <w:r>
        <w:rPr>
          <w:rtl/>
        </w:rPr>
        <w:t>.</w:t>
      </w:r>
    </w:p>
    <w:p w:rsidR="000C39D1" w:rsidRPr="00132E65" w:rsidRDefault="000C39D1" w:rsidP="000C39D1">
      <w:pPr>
        <w:pStyle w:val="libFootnote0"/>
        <w:rPr>
          <w:rtl/>
          <w:lang w:bidi="fa-IR"/>
        </w:rPr>
      </w:pPr>
      <w:r>
        <w:rPr>
          <w:rtl/>
        </w:rPr>
        <w:t>(5).</w:t>
      </w:r>
      <w:r w:rsidRPr="00132E65">
        <w:rPr>
          <w:rtl/>
        </w:rPr>
        <w:t xml:space="preserve"> في « ب ، ف ، بح ، بس » والإرشاد والبحار : « فشكوته »</w:t>
      </w:r>
      <w:r>
        <w:rPr>
          <w:rtl/>
        </w:rPr>
        <w:t>.</w:t>
      </w:r>
    </w:p>
    <w:tbl>
      <w:tblPr>
        <w:tblStyle w:val="TableGrid"/>
        <w:bidiVisual/>
        <w:tblW w:w="0" w:type="auto"/>
        <w:tblLook w:val="04A0" w:firstRow="1" w:lastRow="0" w:firstColumn="1" w:lastColumn="0" w:noHBand="0" w:noVBand="1"/>
      </w:tblPr>
      <w:tblGrid>
        <w:gridCol w:w="4261"/>
        <w:gridCol w:w="4262"/>
      </w:tblGrid>
      <w:tr w:rsidR="00110D5B" w:rsidTr="00110D5B">
        <w:tc>
          <w:tcPr>
            <w:tcW w:w="4261" w:type="dxa"/>
          </w:tcPr>
          <w:p w:rsidR="00110D5B" w:rsidRDefault="00110D5B" w:rsidP="000C39D1">
            <w:pPr>
              <w:pStyle w:val="libFootnote0"/>
              <w:rPr>
                <w:rtl/>
              </w:rPr>
            </w:pPr>
            <w:r>
              <w:rPr>
                <w:rtl/>
              </w:rPr>
              <w:t>(6).</w:t>
            </w:r>
            <w:r w:rsidRPr="00132E65">
              <w:rPr>
                <w:rtl/>
              </w:rPr>
              <w:t xml:space="preserve"> في « بف » : « قال »</w:t>
            </w:r>
            <w:r>
              <w:rPr>
                <w:rtl/>
              </w:rPr>
              <w:t>.</w:t>
            </w:r>
          </w:p>
        </w:tc>
        <w:tc>
          <w:tcPr>
            <w:tcW w:w="4262" w:type="dxa"/>
          </w:tcPr>
          <w:p w:rsidR="00110D5B" w:rsidRDefault="00110D5B" w:rsidP="000C39D1">
            <w:pPr>
              <w:pStyle w:val="libFootnote0"/>
              <w:rPr>
                <w:rtl/>
              </w:rPr>
            </w:pPr>
            <w:r>
              <w:rPr>
                <w:rtl/>
              </w:rPr>
              <w:t>(7).</w:t>
            </w:r>
            <w:r w:rsidRPr="00132E65">
              <w:rPr>
                <w:rtl/>
              </w:rPr>
              <w:t xml:space="preserve"> في « بر »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fa-IR"/>
        </w:rPr>
      </w:pPr>
      <w:r>
        <w:rPr>
          <w:rtl/>
        </w:rPr>
        <w:t>(8).</w:t>
      </w:r>
      <w:r w:rsidRPr="00132E65">
        <w:rPr>
          <w:rtl/>
        </w:rPr>
        <w:t xml:space="preserve"> في الإرشاد : « فسحبته »</w:t>
      </w:r>
      <w:r>
        <w:rPr>
          <w:rtl/>
        </w:rPr>
        <w:t>.</w:t>
      </w:r>
    </w:p>
    <w:p w:rsidR="000C39D1" w:rsidRPr="00132E65" w:rsidRDefault="000C39D1" w:rsidP="000C39D1">
      <w:pPr>
        <w:pStyle w:val="libFootnote0"/>
        <w:rPr>
          <w:rtl/>
          <w:lang w:bidi="fa-IR"/>
        </w:rPr>
      </w:pPr>
      <w:r>
        <w:rPr>
          <w:rtl/>
        </w:rPr>
        <w:t>(9).</w:t>
      </w:r>
      <w:r w:rsidRPr="00132E65">
        <w:rPr>
          <w:rtl/>
        </w:rPr>
        <w:t xml:space="preserve"> في « ض » : « ركّلته » بالتثقيل. </w:t>
      </w:r>
      <w:r>
        <w:rPr>
          <w:rtl/>
        </w:rPr>
        <w:t>و «</w:t>
      </w:r>
      <w:r w:rsidRPr="00132E65">
        <w:rPr>
          <w:rtl/>
        </w:rPr>
        <w:t xml:space="preserve"> رَكَل » الضرب بالرجل. </w:t>
      </w:r>
      <w:r w:rsidRPr="00C20DDB">
        <w:rPr>
          <w:rtl/>
        </w:rPr>
        <w:t>النهاية</w:t>
      </w:r>
      <w:r w:rsidRPr="00132E65">
        <w:rPr>
          <w:rtl/>
        </w:rPr>
        <w:t xml:space="preserve"> ، ج 2 ، ص 260 ( ركل )</w:t>
      </w:r>
      <w:r>
        <w:rPr>
          <w:rtl/>
        </w:rPr>
        <w:t>.</w:t>
      </w:r>
    </w:p>
    <w:tbl>
      <w:tblPr>
        <w:tblStyle w:val="TableGrid"/>
        <w:bidiVisual/>
        <w:tblW w:w="0" w:type="auto"/>
        <w:tblLook w:val="04A0" w:firstRow="1" w:lastRow="0" w:firstColumn="1" w:lastColumn="0" w:noHBand="0" w:noVBand="1"/>
      </w:tblPr>
      <w:tblGrid>
        <w:gridCol w:w="4261"/>
        <w:gridCol w:w="4262"/>
      </w:tblGrid>
      <w:tr w:rsidR="00BB7010" w:rsidTr="00BB7010">
        <w:tc>
          <w:tcPr>
            <w:tcW w:w="4261" w:type="dxa"/>
          </w:tcPr>
          <w:p w:rsidR="00BB7010" w:rsidRDefault="00BB7010" w:rsidP="000C39D1">
            <w:pPr>
              <w:pStyle w:val="libFootnote0"/>
              <w:rPr>
                <w:rtl/>
              </w:rPr>
            </w:pPr>
            <w:r>
              <w:rPr>
                <w:rtl/>
              </w:rPr>
              <w:t>(10).</w:t>
            </w:r>
            <w:r w:rsidRPr="00132E65">
              <w:rPr>
                <w:rtl/>
              </w:rPr>
              <w:t xml:space="preserve"> في الإرشاد </w:t>
            </w:r>
            <w:r>
              <w:rPr>
                <w:rtl/>
              </w:rPr>
              <w:t xml:space="preserve">: - </w:t>
            </w:r>
            <w:r w:rsidRPr="00132E65">
              <w:rPr>
                <w:rtl/>
              </w:rPr>
              <w:t>« وركلته ركْلاً كثيراً »</w:t>
            </w:r>
            <w:r>
              <w:rPr>
                <w:rtl/>
              </w:rPr>
              <w:t>.</w:t>
            </w:r>
          </w:p>
        </w:tc>
        <w:tc>
          <w:tcPr>
            <w:tcW w:w="4262" w:type="dxa"/>
          </w:tcPr>
          <w:p w:rsidR="00BB7010" w:rsidRDefault="00BB7010" w:rsidP="000C39D1">
            <w:pPr>
              <w:pStyle w:val="libFootnote0"/>
              <w:rPr>
                <w:rtl/>
              </w:rPr>
            </w:pPr>
            <w:r>
              <w:rPr>
                <w:rtl/>
              </w:rPr>
              <w:t>(11).</w:t>
            </w:r>
            <w:r w:rsidRPr="00132E65">
              <w:rPr>
                <w:rtl/>
              </w:rPr>
              <w:t xml:space="preserve"> في الإرشاد والبحار : « مستغيثاً »</w:t>
            </w:r>
            <w:r>
              <w:rPr>
                <w:rtl/>
              </w:rPr>
              <w:t>.</w:t>
            </w:r>
          </w:p>
        </w:tc>
      </w:tr>
      <w:tr w:rsidR="00BB7010" w:rsidTr="00BB7010">
        <w:tc>
          <w:tcPr>
            <w:tcW w:w="4261" w:type="dxa"/>
          </w:tcPr>
          <w:p w:rsidR="00BB7010" w:rsidRDefault="00BB7010" w:rsidP="000C39D1">
            <w:pPr>
              <w:pStyle w:val="libFootnote0"/>
              <w:rPr>
                <w:rtl/>
              </w:rPr>
            </w:pPr>
            <w:r>
              <w:rPr>
                <w:rtl/>
              </w:rPr>
              <w:t>(12).</w:t>
            </w:r>
            <w:r w:rsidRPr="00132E65">
              <w:rPr>
                <w:rtl/>
              </w:rPr>
              <w:t xml:space="preserve"> في الإرشاد : « وهو »</w:t>
            </w:r>
            <w:r>
              <w:rPr>
                <w:rtl/>
              </w:rPr>
              <w:t>.</w:t>
            </w:r>
            <w:r w:rsidRPr="00132E65">
              <w:rPr>
                <w:rtl/>
              </w:rPr>
              <w:t xml:space="preserve"> وفي البحار </w:t>
            </w:r>
            <w:r>
              <w:rPr>
                <w:rtl/>
              </w:rPr>
              <w:t xml:space="preserve">: - </w:t>
            </w:r>
            <w:r w:rsidRPr="00132E65">
              <w:rPr>
                <w:rtl/>
              </w:rPr>
              <w:t>«</w:t>
            </w:r>
            <w:r>
              <w:rPr>
                <w:rtl/>
              </w:rPr>
              <w:t xml:space="preserve"> و ».</w:t>
            </w:r>
          </w:p>
        </w:tc>
        <w:tc>
          <w:tcPr>
            <w:tcW w:w="4262" w:type="dxa"/>
          </w:tcPr>
          <w:p w:rsidR="00BB7010" w:rsidRDefault="00BB7010" w:rsidP="000C39D1">
            <w:pPr>
              <w:pStyle w:val="libFootnote0"/>
              <w:rPr>
                <w:rtl/>
              </w:rPr>
            </w:pPr>
            <w:r>
              <w:rPr>
                <w:rtl/>
              </w:rPr>
              <w:t>(13)</w:t>
            </w:r>
            <w:r w:rsidRPr="00132E65">
              <w:rPr>
                <w:rtl/>
              </w:rPr>
              <w:t xml:space="preserve"> في الإرشاد والبحار : « خلق كثير »</w:t>
            </w:r>
            <w:r>
              <w:rPr>
                <w:rtl/>
              </w:rPr>
              <w:t>.</w:t>
            </w:r>
          </w:p>
        </w:tc>
      </w:tr>
    </w:tbl>
    <w:p w:rsidR="000C39D1" w:rsidRPr="00132E65" w:rsidRDefault="000C39D1" w:rsidP="000C39D1">
      <w:pPr>
        <w:pStyle w:val="libFootnote0"/>
        <w:rPr>
          <w:rtl/>
          <w:lang w:bidi="fa-IR"/>
        </w:rPr>
      </w:pPr>
      <w:r>
        <w:rPr>
          <w:rtl/>
        </w:rPr>
        <w:t>(14)</w:t>
      </w:r>
      <w:r w:rsidRPr="00132E65">
        <w:rPr>
          <w:rtl/>
        </w:rPr>
        <w:t xml:space="preserve"> هكذا في « بح ، بس » والإرشاد والبحار. وفي سائر النسخ والمطبوع : « همدان » بالدال المهملة. وما أثبتناه هوالظاهر ؛ فقد ذكر الشيخ الطوسي في </w:t>
      </w:r>
      <w:r w:rsidRPr="00C20DDB">
        <w:rPr>
          <w:rtl/>
        </w:rPr>
        <w:t>رجاله</w:t>
      </w:r>
      <w:r w:rsidRPr="00132E65">
        <w:rPr>
          <w:rtl/>
        </w:rPr>
        <w:t xml:space="preserve"> ، ص 402 ، الرقم 5900 ، محمّد بن صالح بن محمّد الهمداني في أصحاب الحسن بن عليّ العسكري </w:t>
      </w:r>
      <w:r w:rsidRPr="00B7434F">
        <w:rPr>
          <w:rStyle w:val="libFootnoteAlaemChar"/>
          <w:rtl/>
        </w:rPr>
        <w:t>عليه‌السلام</w:t>
      </w:r>
      <w:r w:rsidRPr="00132E65">
        <w:rPr>
          <w:rtl/>
        </w:rPr>
        <w:t xml:space="preserve"> وقال : « وكيل »</w:t>
      </w:r>
      <w:r>
        <w:rPr>
          <w:rtl/>
        </w:rPr>
        <w:t>.</w:t>
      </w:r>
      <w:r w:rsidRPr="00132E65">
        <w:rPr>
          <w:rtl/>
        </w:rPr>
        <w:t xml:space="preserve"> والمذكور في بعض نسخ الرجال العتيقة هو « الهمذاني » بالذال المعجمة. ومحمّد بن صالح المذكور في خبرنا هذا ، هو هذا الوكيل ، كما يظهر من متن الخبر حيث صار أمر الوكالة إليه بعد موت أبيه ، وهو هَمَذَاني وليس بهمداني كما يظهر من توصيفه بأنّه قميّ رافضيّ.</w:t>
      </w:r>
    </w:p>
    <w:p w:rsidR="000C39D1" w:rsidRPr="00132E65" w:rsidRDefault="000C39D1" w:rsidP="000C39D1">
      <w:pPr>
        <w:pStyle w:val="libFootnote0"/>
        <w:rPr>
          <w:rtl/>
          <w:lang w:bidi="fa-IR"/>
        </w:rPr>
      </w:pPr>
      <w:r w:rsidRPr="00F24C1F">
        <w:rPr>
          <w:rtl/>
        </w:rPr>
        <w:t xml:space="preserve">يؤيّد ذلك ما ورد في </w:t>
      </w:r>
      <w:r w:rsidRPr="00C20DDB">
        <w:rPr>
          <w:rtl/>
        </w:rPr>
        <w:t>كمال الدين</w:t>
      </w:r>
      <w:r w:rsidRPr="00F24C1F">
        <w:rPr>
          <w:rtl/>
        </w:rPr>
        <w:t xml:space="preserve"> ، ص 422 ، مِن عَدِّ الوكلاء من البلاد المختلفة الذين رأوا صاحب الزمان </w:t>
      </w:r>
      <w:r w:rsidRPr="00B7434F">
        <w:rPr>
          <w:rStyle w:val="libFootnoteAlaemChar"/>
          <w:rtl/>
        </w:rPr>
        <w:t>عليه‌السلام</w:t>
      </w:r>
      <w:r w:rsidRPr="00F24C1F">
        <w:rPr>
          <w:rtl/>
        </w:rPr>
        <w:t xml:space="preserve"> ؛ فقد عُدَّ منهم محمّد بن صالح من أهل همدان كبلدٍ من البلادٍ ، والبلد هو الهَمَذان لاهَمْدان. راجع : </w:t>
      </w:r>
      <w:r w:rsidRPr="00C20DDB">
        <w:rPr>
          <w:rtl/>
        </w:rPr>
        <w:t>الأنساب</w:t>
      </w:r>
      <w:r w:rsidRPr="00F24C1F">
        <w:rPr>
          <w:rtl/>
        </w:rPr>
        <w:t xml:space="preserve"> للسمعاني ، ج 5 ، ص 647 </w:t>
      </w:r>
      <w:r>
        <w:rPr>
          <w:rtl/>
        </w:rPr>
        <w:t>و 6</w:t>
      </w:r>
      <w:r w:rsidRPr="00F24C1F">
        <w:rPr>
          <w:rtl/>
        </w:rPr>
        <w:t>49.</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B7434F">
      <w:pPr>
        <w:pStyle w:val="libNormal0"/>
        <w:tabs>
          <w:tab w:val="left" w:pos="3968"/>
        </w:tabs>
        <w:rPr>
          <w:rtl/>
          <w:lang w:bidi="fa-IR"/>
        </w:rPr>
      </w:pPr>
      <w:r w:rsidRPr="00132E65">
        <w:rPr>
          <w:rtl/>
          <w:lang w:bidi="fa-IR"/>
        </w:rPr>
        <w:t>أَهْلِ قُمَّ و</w:t>
      </w:r>
      <w:r w:rsidR="00B7434F">
        <w:rPr>
          <w:rFonts w:hint="cs"/>
          <w:rtl/>
          <w:lang w:bidi="fa-IR"/>
        </w:rPr>
        <w:t>َ</w:t>
      </w:r>
      <w:r w:rsidRPr="00132E65">
        <w:rPr>
          <w:rtl/>
          <w:lang w:bidi="fa-IR"/>
        </w:rPr>
        <w:t xml:space="preserve">الرَّفْضِ </w:t>
      </w:r>
      <w:r>
        <w:rPr>
          <w:rStyle w:val="libFootnotenumChar"/>
          <w:rtl/>
        </w:rPr>
        <w:t>(1)</w:t>
      </w:r>
      <w:r w:rsidRPr="00132E65">
        <w:rPr>
          <w:rtl/>
          <w:lang w:bidi="fa-IR"/>
        </w:rPr>
        <w:t xml:space="preserve"> لِيَذْهَبَ بِحَقِّي </w:t>
      </w:r>
      <w:r w:rsidR="00B7434F" w:rsidRPr="00132E65">
        <w:rPr>
          <w:rtl/>
          <w:lang w:bidi="fa-IR"/>
        </w:rPr>
        <w:t>و</w:t>
      </w:r>
      <w:r w:rsidR="00B7434F">
        <w:rPr>
          <w:rFonts w:hint="cs"/>
          <w:rtl/>
          <w:lang w:bidi="fa-IR"/>
        </w:rPr>
        <w:t>َ</w:t>
      </w:r>
      <w:r w:rsidRPr="00132E65">
        <w:rPr>
          <w:rtl/>
          <w:lang w:bidi="fa-IR"/>
        </w:rPr>
        <w:t>مَالِي.</w:t>
      </w:r>
    </w:p>
    <w:p w:rsidR="000C39D1" w:rsidRPr="00132E65" w:rsidRDefault="000C39D1" w:rsidP="00B7434F">
      <w:pPr>
        <w:pStyle w:val="libNormal"/>
        <w:rPr>
          <w:rtl/>
          <w:lang w:bidi="fa-IR"/>
        </w:rPr>
      </w:pPr>
      <w:r w:rsidRPr="00132E65">
        <w:rPr>
          <w:rtl/>
          <w:lang w:bidi="fa-IR"/>
        </w:rPr>
        <w:t xml:space="preserve">قَالَ : فَمَالُوا عَلَيْهِ ، </w:t>
      </w:r>
      <w:r w:rsidR="00B7434F" w:rsidRPr="00132E65">
        <w:rPr>
          <w:rtl/>
          <w:lang w:bidi="fa-IR"/>
        </w:rPr>
        <w:t>و</w:t>
      </w:r>
      <w:r w:rsidR="00B7434F">
        <w:rPr>
          <w:rFonts w:hint="cs"/>
          <w:rtl/>
          <w:lang w:bidi="fa-IR"/>
        </w:rPr>
        <w:t>َ</w:t>
      </w:r>
      <w:r w:rsidRPr="00132E65">
        <w:rPr>
          <w:rtl/>
          <w:lang w:bidi="fa-IR"/>
        </w:rPr>
        <w:t xml:space="preserve">أَرَادُوا أَنْ يَدْخُلُوا عَلى </w:t>
      </w:r>
      <w:r>
        <w:rPr>
          <w:rStyle w:val="libFootnotenumChar"/>
          <w:rtl/>
        </w:rPr>
        <w:t>(2)</w:t>
      </w:r>
      <w:r w:rsidRPr="00132E65">
        <w:rPr>
          <w:rtl/>
          <w:lang w:bidi="fa-IR"/>
        </w:rPr>
        <w:t xml:space="preserve"> حَانُوتِهِ </w:t>
      </w:r>
      <w:r>
        <w:rPr>
          <w:rStyle w:val="libFootnotenumChar"/>
          <w:rtl/>
        </w:rPr>
        <w:t>(3)</w:t>
      </w:r>
      <w:r w:rsidRPr="00132E65">
        <w:rPr>
          <w:rtl/>
          <w:lang w:bidi="fa-IR"/>
        </w:rPr>
        <w:t xml:space="preserve"> حَتّى سَكَّنْتُهُمْ ، وطَلَبَ إِلَيَّ صَاحِبُ السَّفْتَجَةِ </w:t>
      </w:r>
      <w:r>
        <w:rPr>
          <w:rStyle w:val="libFootnotenumChar"/>
          <w:rtl/>
        </w:rPr>
        <w:t>(4)</w:t>
      </w:r>
      <w:r w:rsidRPr="00132E65">
        <w:rPr>
          <w:rtl/>
          <w:lang w:bidi="fa-IR"/>
        </w:rPr>
        <w:t xml:space="preserve"> ، </w:t>
      </w:r>
      <w:r w:rsidR="00B7434F" w:rsidRPr="00132E65">
        <w:rPr>
          <w:rtl/>
          <w:lang w:bidi="fa-IR"/>
        </w:rPr>
        <w:t>و</w:t>
      </w:r>
      <w:r w:rsidR="00B7434F">
        <w:rPr>
          <w:rFonts w:hint="cs"/>
          <w:rtl/>
          <w:lang w:bidi="fa-IR"/>
        </w:rPr>
        <w:t>َ</w:t>
      </w:r>
      <w:r w:rsidRPr="00132E65">
        <w:rPr>
          <w:rtl/>
          <w:lang w:bidi="fa-IR"/>
        </w:rPr>
        <w:t xml:space="preserve">حَلَفَ بِالطَّلَاقِ أَنْ </w:t>
      </w:r>
      <w:r>
        <w:rPr>
          <w:rStyle w:val="libFootnotenumChar"/>
          <w:rtl/>
        </w:rPr>
        <w:t>(5)</w:t>
      </w:r>
      <w:r w:rsidRPr="00132E65">
        <w:rPr>
          <w:rtl/>
          <w:lang w:bidi="fa-IR"/>
        </w:rPr>
        <w:t xml:space="preserve"> يُوَفِّيَنِي مَالِي حَتّى أَخْرَجْتُهُمْ عَنْهُ </w:t>
      </w:r>
      <w:r>
        <w:rPr>
          <w:rStyle w:val="libFootnotenumChar"/>
          <w:rtl/>
        </w:rPr>
        <w:t>(6)</w:t>
      </w:r>
      <w:r w:rsidR="00B7434F">
        <w:rPr>
          <w:rFonts w:hint="cs"/>
          <w:rtl/>
          <w:lang w:bidi="fa-IR"/>
        </w:rPr>
        <w:t>.</w:t>
      </w:r>
      <w:r>
        <w:rPr>
          <w:rStyle w:val="libFootnotenumChar"/>
          <w:rtl/>
        </w:rPr>
        <w:t>(7)</w:t>
      </w:r>
      <w:r w:rsidRPr="00132E65">
        <w:rPr>
          <w:rtl/>
          <w:lang w:bidi="fa-IR"/>
        </w:rPr>
        <w:t>‌</w:t>
      </w:r>
    </w:p>
    <w:p w:rsidR="000C39D1" w:rsidRPr="00132E65" w:rsidRDefault="000C39D1" w:rsidP="00B7434F">
      <w:pPr>
        <w:pStyle w:val="libNormal"/>
        <w:rPr>
          <w:rtl/>
          <w:lang w:bidi="fa-IR"/>
        </w:rPr>
      </w:pPr>
      <w:r w:rsidRPr="00C20DDB">
        <w:rPr>
          <w:rtl/>
        </w:rPr>
        <w:t>1372</w:t>
      </w:r>
      <w:r w:rsidRPr="004325D8">
        <w:rPr>
          <w:rStyle w:val="libBold2Char"/>
          <w:rtl/>
        </w:rPr>
        <w:t xml:space="preserve"> / 16.</w:t>
      </w:r>
      <w:r w:rsidRPr="00132E65">
        <w:rPr>
          <w:rtl/>
          <w:lang w:bidi="fa-IR"/>
        </w:rPr>
        <w:t xml:space="preserve"> عَلِيٌّ ، عَنْ عِدَّةٍ مِنْ أَصْحَابِنَا ، عَنْ أَحْمَدَ بْنِ الْحَسَنِ </w:t>
      </w:r>
      <w:r w:rsidR="00B7434F" w:rsidRPr="00132E65">
        <w:rPr>
          <w:rtl/>
          <w:lang w:bidi="fa-IR"/>
        </w:rPr>
        <w:t>و</w:t>
      </w:r>
      <w:r w:rsidR="00B7434F">
        <w:rPr>
          <w:rFonts w:hint="cs"/>
          <w:rtl/>
          <w:lang w:bidi="fa-IR"/>
        </w:rPr>
        <w:t>َ</w:t>
      </w:r>
      <w:r w:rsidRPr="00132E65">
        <w:rPr>
          <w:rtl/>
          <w:lang w:bidi="fa-IR"/>
        </w:rPr>
        <w:t>الْعَلَاءِ بْنِ رِزْقِ اللهِ ، عَنْ بَدْرٍ</w:t>
      </w:r>
      <w:r>
        <w:rPr>
          <w:rtl/>
          <w:lang w:bidi="fa-IR"/>
        </w:rPr>
        <w:t xml:space="preserve"> - </w:t>
      </w:r>
      <w:r w:rsidRPr="00132E65">
        <w:rPr>
          <w:rtl/>
          <w:lang w:bidi="fa-IR"/>
        </w:rPr>
        <w:t xml:space="preserve">غُلَامِ أَحْمَدَ بْنِ الْحَسَنِ </w:t>
      </w:r>
      <w:r>
        <w:rPr>
          <w:rStyle w:val="libFootnotenumChar"/>
          <w:rtl/>
        </w:rPr>
        <w:t>(8)</w:t>
      </w:r>
      <w:r>
        <w:rPr>
          <w:rtl/>
          <w:lang w:bidi="fa-IR"/>
        </w:rPr>
        <w:t xml:space="preserve"> - </w:t>
      </w:r>
      <w:r w:rsidRPr="00132E65">
        <w:rPr>
          <w:rtl/>
          <w:lang w:bidi="fa-IR"/>
        </w:rPr>
        <w:t>قَالَ :</w:t>
      </w:r>
    </w:p>
    <w:p w:rsidR="000C39D1" w:rsidRPr="00132E65" w:rsidRDefault="000C39D1" w:rsidP="00546603">
      <w:pPr>
        <w:pStyle w:val="libNormal"/>
        <w:rPr>
          <w:rtl/>
          <w:lang w:bidi="fa-IR"/>
        </w:rPr>
      </w:pPr>
      <w:r w:rsidRPr="00132E65">
        <w:rPr>
          <w:rtl/>
          <w:lang w:bidi="fa-IR"/>
        </w:rPr>
        <w:t xml:space="preserve">وَرَدْتُ الْجَبَلَ </w:t>
      </w:r>
      <w:r>
        <w:rPr>
          <w:rStyle w:val="libFootnotenumChar"/>
          <w:rtl/>
        </w:rPr>
        <w:t>(9)</w:t>
      </w:r>
      <w:r w:rsidRPr="00132E65">
        <w:rPr>
          <w:rtl/>
          <w:lang w:bidi="fa-IR"/>
        </w:rPr>
        <w:t xml:space="preserve"> </w:t>
      </w:r>
      <w:r w:rsidR="00B7434F" w:rsidRPr="00132E65">
        <w:rPr>
          <w:rtl/>
          <w:lang w:bidi="fa-IR"/>
        </w:rPr>
        <w:t>و</w:t>
      </w:r>
      <w:r w:rsidR="00B7434F">
        <w:rPr>
          <w:rFonts w:hint="cs"/>
          <w:rtl/>
          <w:lang w:bidi="fa-IR"/>
        </w:rPr>
        <w:t>َ</w:t>
      </w:r>
      <w:r w:rsidRPr="00132E65">
        <w:rPr>
          <w:rtl/>
          <w:lang w:bidi="fa-IR"/>
        </w:rPr>
        <w:t>أَنَا لَا</w:t>
      </w:r>
      <w:r>
        <w:rPr>
          <w:rFonts w:hint="cs"/>
          <w:rtl/>
          <w:lang w:bidi="fa-IR"/>
        </w:rPr>
        <w:t xml:space="preserve"> </w:t>
      </w:r>
      <w:r w:rsidRPr="00132E65">
        <w:rPr>
          <w:rtl/>
          <w:lang w:bidi="fa-IR"/>
        </w:rPr>
        <w:t xml:space="preserve">أَقُولُ </w:t>
      </w:r>
      <w:r>
        <w:rPr>
          <w:rStyle w:val="libFootnotenumChar"/>
          <w:rtl/>
        </w:rPr>
        <w:t>(10)</w:t>
      </w:r>
      <w:r w:rsidRPr="00132E65">
        <w:rPr>
          <w:rtl/>
          <w:lang w:bidi="fa-IR"/>
        </w:rPr>
        <w:t xml:space="preserve"> بِالْإِمَامَةِ ، أُحِبُّهُمْ جُمْلَةً إِلى أَنْ مَاتَ يَزِيدُ بْنُ عَبْدِ اللهِ </w:t>
      </w:r>
      <w:r>
        <w:rPr>
          <w:rStyle w:val="libFootnotenumChar"/>
          <w:rtl/>
        </w:rPr>
        <w:t>(11)</w:t>
      </w:r>
      <w:r w:rsidRPr="00132E65">
        <w:rPr>
          <w:rtl/>
          <w:lang w:bidi="fa-IR"/>
        </w:rPr>
        <w:t xml:space="preserve"> ، فَأَوْصى </w:t>
      </w:r>
      <w:r>
        <w:rPr>
          <w:rStyle w:val="libFootnotenumChar"/>
          <w:rtl/>
        </w:rPr>
        <w:t>(12)</w:t>
      </w:r>
      <w:r w:rsidRPr="00132E65">
        <w:rPr>
          <w:rtl/>
          <w:lang w:bidi="fa-IR"/>
        </w:rPr>
        <w:t xml:space="preserve"> فِي عِلَّتِهِ أَنْ يُدْفَعَ الشِّهْرِيُّ السَّمَنْدُ </w:t>
      </w:r>
      <w:r w:rsidRPr="00F543F1">
        <w:rPr>
          <w:rStyle w:val="libFootnotenumChar"/>
          <w:rtl/>
        </w:rPr>
        <w:t>(13)</w:t>
      </w:r>
      <w:r w:rsidRPr="00132E65">
        <w:rPr>
          <w:rtl/>
          <w:lang w:bidi="fa-IR"/>
        </w:rPr>
        <w:t xml:space="preserve"> </w:t>
      </w:r>
      <w:r w:rsidR="00546603" w:rsidRPr="00132E65">
        <w:rPr>
          <w:rtl/>
          <w:lang w:bidi="fa-IR"/>
        </w:rPr>
        <w:t>و</w:t>
      </w:r>
      <w:r w:rsidR="00546603">
        <w:rPr>
          <w:rFonts w:hint="cs"/>
          <w:rtl/>
          <w:lang w:bidi="fa-IR"/>
        </w:rPr>
        <w:t>َ</w:t>
      </w:r>
      <w:r w:rsidRPr="00132E65">
        <w:rPr>
          <w:rtl/>
          <w:lang w:bidi="fa-IR"/>
        </w:rPr>
        <w:t xml:space="preserve">سَيْفُهُ </w:t>
      </w:r>
      <w:r w:rsidR="00546603" w:rsidRPr="00132E65">
        <w:rPr>
          <w:rtl/>
          <w:lang w:bidi="fa-IR"/>
        </w:rPr>
        <w:t>و</w:t>
      </w:r>
      <w:r w:rsidR="00546603">
        <w:rPr>
          <w:rFonts w:hint="cs"/>
          <w:rtl/>
          <w:lang w:bidi="fa-IR"/>
        </w:rPr>
        <w:t>َ</w:t>
      </w:r>
      <w:r w:rsidRPr="00132E65">
        <w:rPr>
          <w:rtl/>
          <w:lang w:bidi="fa-IR"/>
        </w:rPr>
        <w:t xml:space="preserve">مِنْطَقَتُهُ إِلى مَوْلَاهُ ، فَخِفْتُ إِنْ أَنَا </w:t>
      </w:r>
      <w:r w:rsidRPr="00F543F1">
        <w:rPr>
          <w:rStyle w:val="libFootnotenumChar"/>
          <w:rtl/>
        </w:rPr>
        <w:t>(14)</w:t>
      </w:r>
      <w:r w:rsidRPr="00132E65">
        <w:rPr>
          <w:rtl/>
          <w:lang w:bidi="fa-IR"/>
        </w:rPr>
        <w:t xml:space="preserve"> لَمْ أَدْفَعِ الشِّهْرِيَّ إِلى إِذْكُوتَكِينَ </w:t>
      </w:r>
      <w:r w:rsidRPr="00F543F1">
        <w:rPr>
          <w:rStyle w:val="libFootnotenumChar"/>
          <w:rtl/>
        </w:rPr>
        <w:t>(15)</w:t>
      </w:r>
      <w:r w:rsidRPr="00132E65">
        <w:rPr>
          <w:rtl/>
          <w:lang w:bidi="fa-IR"/>
        </w:rPr>
        <w:t xml:space="preserve"> نَالَنِي مِنْهُ اسْتِخْفَافٌ ، فَقَوَّمْتُ‌</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والبحار : « إلى قمّ ويرميني بالرفض » بدل « إلى أهل قمّ والرفض »</w:t>
      </w:r>
      <w:r>
        <w:rPr>
          <w:rtl/>
        </w:rPr>
        <w:t>.</w:t>
      </w:r>
    </w:p>
    <w:p w:rsidR="000C39D1" w:rsidRPr="00132E65" w:rsidRDefault="000C39D1" w:rsidP="000C39D1">
      <w:pPr>
        <w:pStyle w:val="libFootnote0"/>
        <w:rPr>
          <w:rtl/>
          <w:lang w:bidi="fa-IR"/>
        </w:rPr>
      </w:pPr>
      <w:r>
        <w:rPr>
          <w:rtl/>
        </w:rPr>
        <w:t>(2).</w:t>
      </w:r>
      <w:r w:rsidRPr="00132E65">
        <w:rPr>
          <w:rtl/>
        </w:rPr>
        <w:t xml:space="preserve"> في الإرشاد والبحار : « إلى »</w:t>
      </w:r>
      <w:r>
        <w:rPr>
          <w:rtl/>
        </w:rPr>
        <w:t>.</w:t>
      </w:r>
    </w:p>
    <w:p w:rsidR="000C39D1" w:rsidRPr="00132E65" w:rsidRDefault="000C39D1" w:rsidP="000C39D1">
      <w:pPr>
        <w:pStyle w:val="libFootnote0"/>
        <w:rPr>
          <w:rtl/>
          <w:lang w:bidi="fa-IR"/>
        </w:rPr>
      </w:pPr>
      <w:r>
        <w:rPr>
          <w:rtl/>
        </w:rPr>
        <w:t>(3).</w:t>
      </w:r>
      <w:r w:rsidRPr="00132E65">
        <w:rPr>
          <w:rtl/>
        </w:rPr>
        <w:t xml:space="preserve"> « الحانوت » : دكّان البائع ، يذكّر ويؤنّث. وأصله حانَوَةٌ فلمّا سكنت الواو انقلبت هاء التأنيث تاء. والجمع : الحوانيت. </w:t>
      </w:r>
      <w:r w:rsidRPr="00C20DDB">
        <w:rPr>
          <w:rtl/>
        </w:rPr>
        <w:t>مجمع البحرين</w:t>
      </w:r>
      <w:r w:rsidRPr="00132E65">
        <w:rPr>
          <w:rtl/>
        </w:rPr>
        <w:t xml:space="preserve"> ، ج 1 ، ص 464 ( حنت )</w:t>
      </w:r>
      <w:r>
        <w:rPr>
          <w:rtl/>
        </w:rPr>
        <w:t>.</w:t>
      </w:r>
      <w:r w:rsidRPr="00132E65">
        <w:rPr>
          <w:rtl/>
        </w:rPr>
        <w:t xml:space="preserve"> </w:t>
      </w:r>
      <w:r w:rsidRPr="00C20DDB">
        <w:rPr>
          <w:rtl/>
        </w:rPr>
        <w:t>الصحاح</w:t>
      </w:r>
      <w:r w:rsidRPr="00132E65">
        <w:rPr>
          <w:rtl/>
        </w:rPr>
        <w:t xml:space="preserve"> ، ج 5 ، ص 2106 ( حين )</w:t>
      </w:r>
      <w:r>
        <w:rPr>
          <w:rtl/>
        </w:rPr>
        <w:t>.</w:t>
      </w:r>
    </w:p>
    <w:p w:rsidR="000C39D1" w:rsidRPr="00132E65" w:rsidRDefault="000C39D1" w:rsidP="000C39D1">
      <w:pPr>
        <w:pStyle w:val="libFootnote0"/>
        <w:rPr>
          <w:rtl/>
          <w:lang w:bidi="fa-IR"/>
        </w:rPr>
      </w:pPr>
      <w:r>
        <w:rPr>
          <w:rtl/>
        </w:rPr>
        <w:t>(4).</w:t>
      </w:r>
      <w:r w:rsidRPr="00132E65">
        <w:rPr>
          <w:rtl/>
        </w:rPr>
        <w:t xml:space="preserve"> في الإرشاد :</w:t>
      </w:r>
      <w:r>
        <w:rPr>
          <w:rtl/>
        </w:rPr>
        <w:t xml:space="preserve"> + </w:t>
      </w:r>
      <w:r w:rsidRPr="00132E65">
        <w:rPr>
          <w:rtl/>
        </w:rPr>
        <w:t>« أن آخذ مالها »</w:t>
      </w:r>
      <w:r>
        <w:rPr>
          <w:rtl/>
        </w:rPr>
        <w:t>.</w:t>
      </w:r>
      <w:r w:rsidRPr="00132E65">
        <w:rPr>
          <w:rtl/>
        </w:rPr>
        <w:t xml:space="preserve"> وفي البحار :</w:t>
      </w:r>
      <w:r>
        <w:rPr>
          <w:rtl/>
        </w:rPr>
        <w:t xml:space="preserve"> + </w:t>
      </w:r>
      <w:r w:rsidRPr="00132E65">
        <w:rPr>
          <w:rtl/>
        </w:rPr>
        <w:t>« أن آخذ ما فيها »</w:t>
      </w:r>
      <w:r>
        <w:rPr>
          <w:rtl/>
        </w:rPr>
        <w:t>.</w:t>
      </w:r>
    </w:p>
    <w:p w:rsidR="000C39D1" w:rsidRPr="00132E65" w:rsidRDefault="000C39D1" w:rsidP="000C39D1">
      <w:pPr>
        <w:pStyle w:val="libFootnote0"/>
        <w:rPr>
          <w:rtl/>
          <w:lang w:bidi="fa-IR"/>
        </w:rPr>
      </w:pPr>
      <w:r>
        <w:rPr>
          <w:rtl/>
        </w:rPr>
        <w:t>(5).</w:t>
      </w:r>
      <w:r w:rsidRPr="00132E65">
        <w:rPr>
          <w:rtl/>
        </w:rPr>
        <w:t xml:space="preserve"> في البحار : « أنّه »</w:t>
      </w:r>
      <w:r>
        <w:rPr>
          <w:rtl/>
        </w:rPr>
        <w:t>.</w:t>
      </w:r>
    </w:p>
    <w:p w:rsidR="000C39D1" w:rsidRPr="00132E65" w:rsidRDefault="000C39D1" w:rsidP="000C39D1">
      <w:pPr>
        <w:pStyle w:val="libFootnote0"/>
        <w:rPr>
          <w:rtl/>
          <w:lang w:bidi="fa-IR"/>
        </w:rPr>
      </w:pPr>
      <w:r>
        <w:rPr>
          <w:rtl/>
        </w:rPr>
        <w:t>(6).</w:t>
      </w:r>
      <w:r w:rsidRPr="00132E65">
        <w:rPr>
          <w:rtl/>
        </w:rPr>
        <w:t xml:space="preserve"> في الإرشاد والبحار : « في الحال فاستوفيته [ في البحار : فاستوفيت ] منه » بدل « حتّى أخرجتهم عنه »</w:t>
      </w:r>
      <w:r>
        <w:rPr>
          <w:rtl/>
        </w:rPr>
        <w:t>.</w:t>
      </w:r>
    </w:p>
    <w:p w:rsidR="000C39D1" w:rsidRPr="00132E65" w:rsidRDefault="000C39D1" w:rsidP="00546603">
      <w:pPr>
        <w:pStyle w:val="libFootnote0"/>
        <w:rPr>
          <w:rtl/>
          <w:lang w:bidi="fa-IR"/>
        </w:rPr>
      </w:pPr>
      <w:r>
        <w:rPr>
          <w:rtl/>
        </w:rPr>
        <w:t>(7).</w:t>
      </w:r>
      <w:r w:rsidRPr="00132E65">
        <w:rPr>
          <w:rtl/>
        </w:rPr>
        <w:t xml:space="preserve"> </w:t>
      </w:r>
      <w:r w:rsidRPr="00C20DDB">
        <w:rPr>
          <w:rtl/>
        </w:rPr>
        <w:t>الإرشاد</w:t>
      </w:r>
      <w:r w:rsidRPr="00132E65">
        <w:rPr>
          <w:rtl/>
        </w:rPr>
        <w:t xml:space="preserve"> ، ص 362 ، عن عليّ بن محمّد</w:t>
      </w:r>
      <w:r w:rsidR="00546603">
        <w:rPr>
          <w:rFonts w:hint="cs"/>
          <w:rtl/>
        </w:rPr>
        <w:t>.</w:t>
      </w:r>
      <w:r w:rsidRPr="009D1ACE">
        <w:rPr>
          <w:rStyle w:val="libFootnoteBoldChar"/>
          <w:rtl/>
        </w:rPr>
        <w:t>الوافي</w:t>
      </w:r>
      <w:r w:rsidRPr="00132E65">
        <w:rPr>
          <w:rtl/>
        </w:rPr>
        <w:t xml:space="preserve"> ، ج 3 ، ص 874 ، ح 1495 ؛ </w:t>
      </w:r>
      <w:r w:rsidRPr="00C20DDB">
        <w:rPr>
          <w:rtl/>
        </w:rPr>
        <w:t>البحار</w:t>
      </w:r>
      <w:r w:rsidRPr="00132E65">
        <w:rPr>
          <w:rtl/>
        </w:rPr>
        <w:t xml:space="preserve"> ، ج 51 ، ص 297 ، ح 15.</w:t>
      </w:r>
    </w:p>
    <w:p w:rsidR="000C39D1" w:rsidRPr="00132E65" w:rsidRDefault="000C39D1" w:rsidP="000C39D1">
      <w:pPr>
        <w:pStyle w:val="libFootnote0"/>
        <w:rPr>
          <w:rtl/>
          <w:lang w:bidi="fa-IR"/>
        </w:rPr>
      </w:pPr>
      <w:r>
        <w:rPr>
          <w:rtl/>
        </w:rPr>
        <w:t>(8).</w:t>
      </w:r>
      <w:r w:rsidRPr="00132E65">
        <w:rPr>
          <w:rtl/>
        </w:rPr>
        <w:t xml:space="preserve"> في الإرشاد :</w:t>
      </w:r>
      <w:r>
        <w:rPr>
          <w:rtl/>
        </w:rPr>
        <w:t xml:space="preserve"> + </w:t>
      </w:r>
      <w:r w:rsidRPr="00132E65">
        <w:rPr>
          <w:rtl/>
        </w:rPr>
        <w:t>« عنه »</w:t>
      </w:r>
      <w:r>
        <w:rPr>
          <w:rtl/>
        </w:rPr>
        <w:t>.</w:t>
      </w:r>
    </w:p>
    <w:p w:rsidR="000C39D1" w:rsidRPr="00132E65" w:rsidRDefault="000C39D1" w:rsidP="000C39D1">
      <w:pPr>
        <w:pStyle w:val="libFootnote0"/>
        <w:rPr>
          <w:rtl/>
          <w:lang w:bidi="fa-IR"/>
        </w:rPr>
      </w:pPr>
      <w:r>
        <w:rPr>
          <w:rtl/>
        </w:rPr>
        <w:t>(9).</w:t>
      </w:r>
      <w:r w:rsidRPr="00132E65">
        <w:rPr>
          <w:rtl/>
        </w:rPr>
        <w:t xml:space="preserve"> بلاد الجبل : مدن بين أذربيجان وعراق العرب وخوزستان وفارس وبلاد الديلم. </w:t>
      </w:r>
      <w:r w:rsidRPr="00C20DDB">
        <w:rPr>
          <w:rtl/>
        </w:rPr>
        <w:t>القاموس المحيط</w:t>
      </w:r>
      <w:r w:rsidRPr="00132E65">
        <w:rPr>
          <w:rtl/>
        </w:rPr>
        <w:t xml:space="preserve"> ، ج 2 ، ص 1289 ( جبل )</w:t>
      </w:r>
      <w:r>
        <w:rPr>
          <w:rtl/>
        </w:rPr>
        <w:t>.</w:t>
      </w:r>
    </w:p>
    <w:p w:rsidR="000C39D1" w:rsidRPr="00132E65" w:rsidRDefault="000C39D1" w:rsidP="000C39D1">
      <w:pPr>
        <w:pStyle w:val="libFootnote0"/>
        <w:rPr>
          <w:rtl/>
          <w:lang w:bidi="fa-IR"/>
        </w:rPr>
      </w:pPr>
      <w:r>
        <w:rPr>
          <w:rtl/>
        </w:rPr>
        <w:t>(10).</w:t>
      </w:r>
      <w:r w:rsidRPr="00132E65">
        <w:rPr>
          <w:rtl/>
        </w:rPr>
        <w:t xml:space="preserve"> في « بح ، بر » : « وأنا أقول »</w:t>
      </w:r>
      <w:r>
        <w:rPr>
          <w:rtl/>
        </w:rPr>
        <w:t>.</w:t>
      </w:r>
    </w:p>
    <w:p w:rsidR="000C39D1" w:rsidRPr="00132E65" w:rsidRDefault="000C39D1" w:rsidP="000C39D1">
      <w:pPr>
        <w:pStyle w:val="libFootnote0"/>
        <w:rPr>
          <w:rtl/>
          <w:lang w:bidi="fa-IR"/>
        </w:rPr>
      </w:pPr>
      <w:r>
        <w:rPr>
          <w:rtl/>
        </w:rPr>
        <w:t>(11).</w:t>
      </w:r>
      <w:r w:rsidRPr="00132E65">
        <w:rPr>
          <w:rtl/>
        </w:rPr>
        <w:t xml:space="preserve"> في الغيبة : « يزيد بن عبدالملك »</w:t>
      </w:r>
      <w:r>
        <w:rPr>
          <w:rtl/>
        </w:rPr>
        <w:t>.</w:t>
      </w:r>
    </w:p>
    <w:p w:rsidR="000C39D1" w:rsidRPr="00132E65" w:rsidRDefault="000C39D1" w:rsidP="000C39D1">
      <w:pPr>
        <w:pStyle w:val="libFootnote0"/>
        <w:rPr>
          <w:rtl/>
          <w:lang w:bidi="fa-IR"/>
        </w:rPr>
      </w:pPr>
      <w:r>
        <w:rPr>
          <w:rtl/>
        </w:rPr>
        <w:t>(12).</w:t>
      </w:r>
      <w:r w:rsidRPr="00132E65">
        <w:rPr>
          <w:rtl/>
        </w:rPr>
        <w:t xml:space="preserve"> في « بر ، بس ، بف » : « فأوصاني »</w:t>
      </w:r>
      <w:r>
        <w:rPr>
          <w:rtl/>
        </w:rPr>
        <w:t>.</w:t>
      </w:r>
      <w:r w:rsidRPr="00132E65">
        <w:rPr>
          <w:rtl/>
        </w:rPr>
        <w:t xml:space="preserve"> وفي الغيبة : « فأوصى إليّ »</w:t>
      </w:r>
      <w:r>
        <w:rPr>
          <w:rtl/>
        </w:rPr>
        <w:t>.</w:t>
      </w:r>
    </w:p>
    <w:p w:rsidR="000C39D1" w:rsidRPr="00132E65" w:rsidRDefault="000C39D1" w:rsidP="000C39D1">
      <w:pPr>
        <w:pStyle w:val="libFootnote0"/>
        <w:rPr>
          <w:rtl/>
          <w:lang w:bidi="fa-IR"/>
        </w:rPr>
      </w:pPr>
      <w:r>
        <w:rPr>
          <w:rtl/>
        </w:rPr>
        <w:t>(13)</w:t>
      </w:r>
      <w:r w:rsidRPr="00132E65">
        <w:rPr>
          <w:rtl/>
        </w:rPr>
        <w:t xml:space="preserve"> « الشِّهري » بالكسر ، ضربٌ من البراذين. والسمند من الخيل معروف. </w:t>
      </w:r>
      <w:r w:rsidRPr="00C20DDB">
        <w:rPr>
          <w:rtl/>
        </w:rPr>
        <w:t>شرح المازندراني</w:t>
      </w:r>
      <w:r w:rsidRPr="00132E65">
        <w:rPr>
          <w:rtl/>
        </w:rPr>
        <w:t xml:space="preserve"> ، ج 7 ، ص 349.</w:t>
      </w:r>
    </w:p>
    <w:p w:rsidR="000C39D1" w:rsidRPr="00132E65" w:rsidRDefault="000C39D1" w:rsidP="000C39D1">
      <w:pPr>
        <w:pStyle w:val="libFootnote0"/>
        <w:rPr>
          <w:rtl/>
          <w:lang w:bidi="fa-IR"/>
        </w:rPr>
      </w:pPr>
      <w:r>
        <w:rPr>
          <w:rtl/>
        </w:rPr>
        <w:t>(14)</w:t>
      </w:r>
      <w:r w:rsidRPr="00132E65">
        <w:rPr>
          <w:rtl/>
        </w:rPr>
        <w:t xml:space="preserve"> في الإرشاد والغيبة </w:t>
      </w:r>
      <w:r>
        <w:rPr>
          <w:rtl/>
        </w:rPr>
        <w:t xml:space="preserve">: - </w:t>
      </w:r>
      <w:r w:rsidRPr="00132E65">
        <w:rPr>
          <w:rtl/>
        </w:rPr>
        <w:t>« أنا »</w:t>
      </w:r>
      <w:r>
        <w:rPr>
          <w:rtl/>
        </w:rPr>
        <w:t>.</w:t>
      </w:r>
    </w:p>
    <w:p w:rsidR="000C39D1" w:rsidRPr="00132E65" w:rsidRDefault="000C39D1" w:rsidP="000C39D1">
      <w:pPr>
        <w:pStyle w:val="libFootnote0"/>
        <w:rPr>
          <w:rtl/>
          <w:lang w:bidi="fa-IR"/>
        </w:rPr>
      </w:pPr>
      <w:r>
        <w:rPr>
          <w:rtl/>
        </w:rPr>
        <w:t>(15)</w:t>
      </w:r>
      <w:r w:rsidRPr="00132E65">
        <w:rPr>
          <w:rtl/>
        </w:rPr>
        <w:t xml:space="preserve"> في </w:t>
      </w:r>
      <w:r w:rsidRPr="009D1ACE">
        <w:rPr>
          <w:rStyle w:val="libFootnoteBoldChar"/>
          <w:rtl/>
        </w:rPr>
        <w:t>الوافي</w:t>
      </w:r>
      <w:r w:rsidRPr="00132E65">
        <w:rPr>
          <w:rtl/>
        </w:rPr>
        <w:t xml:space="preserve"> : « إدكونين »</w:t>
      </w:r>
      <w:r>
        <w:rPr>
          <w:rtl/>
        </w:rPr>
        <w:t>.</w:t>
      </w:r>
      <w:r w:rsidRPr="00132E65">
        <w:rPr>
          <w:rtl/>
        </w:rPr>
        <w:t xml:space="preserve"> وفي </w:t>
      </w:r>
      <w:r w:rsidRPr="009D1ACE">
        <w:rPr>
          <w:rStyle w:val="libFootnoteBoldChar"/>
          <w:rtl/>
        </w:rPr>
        <w:t>مرآة العقول</w:t>
      </w:r>
      <w:r w:rsidRPr="00132E65">
        <w:rPr>
          <w:rtl/>
        </w:rPr>
        <w:t xml:space="preserve"> : « إذ كوتكين ، كان من ا</w:t>
      </w:r>
      <w:r w:rsidR="00546603">
        <w:rPr>
          <w:rFonts w:hint="cs"/>
          <w:rtl/>
        </w:rPr>
        <w:t>ُ</w:t>
      </w:r>
      <w:r w:rsidRPr="00132E65">
        <w:rPr>
          <w:rtl/>
        </w:rPr>
        <w:t>مراء الترك من أتباع بني العبّاس ، وهو في التواريخ وسائر كتب الحديث بالذال ، وكذا في بعض نسخ الكتاب ، وفي أكثرها بالزاي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3F7E3E">
      <w:pPr>
        <w:pStyle w:val="libNormal0"/>
        <w:tabs>
          <w:tab w:val="left" w:pos="3968"/>
        </w:tabs>
        <w:rPr>
          <w:rtl/>
          <w:lang w:bidi="fa-IR"/>
        </w:rPr>
      </w:pPr>
      <w:r w:rsidRPr="00132E65">
        <w:rPr>
          <w:rtl/>
          <w:lang w:bidi="fa-IR"/>
        </w:rPr>
        <w:t xml:space="preserve">الدَّابَّةَ </w:t>
      </w:r>
      <w:r w:rsidR="00546603" w:rsidRPr="00132E65">
        <w:rPr>
          <w:rtl/>
          <w:lang w:bidi="fa-IR"/>
        </w:rPr>
        <w:t>و</w:t>
      </w:r>
      <w:r w:rsidR="00546603">
        <w:rPr>
          <w:rFonts w:hint="cs"/>
          <w:rtl/>
          <w:lang w:bidi="fa-IR"/>
        </w:rPr>
        <w:t>َ</w:t>
      </w:r>
      <w:r w:rsidRPr="00132E65">
        <w:rPr>
          <w:rtl/>
          <w:lang w:bidi="fa-IR"/>
        </w:rPr>
        <w:t xml:space="preserve">السَّيْفَ </w:t>
      </w:r>
      <w:r w:rsidR="003F7E3E" w:rsidRPr="00132E65">
        <w:rPr>
          <w:rtl/>
          <w:lang w:bidi="fa-IR"/>
        </w:rPr>
        <w:t>و</w:t>
      </w:r>
      <w:r w:rsidR="003F7E3E">
        <w:rPr>
          <w:rFonts w:hint="cs"/>
          <w:rtl/>
          <w:lang w:bidi="fa-IR"/>
        </w:rPr>
        <w:t>َ</w:t>
      </w:r>
      <w:r w:rsidRPr="00132E65">
        <w:rPr>
          <w:rtl/>
          <w:lang w:bidi="fa-IR"/>
        </w:rPr>
        <w:t xml:space="preserve">الْمِنْطَقَةَ بِسَبْعِمِائَةِ </w:t>
      </w:r>
      <w:r>
        <w:rPr>
          <w:rStyle w:val="libFootnotenumChar"/>
          <w:rtl/>
        </w:rPr>
        <w:t>(1)</w:t>
      </w:r>
      <w:r w:rsidRPr="00132E65">
        <w:rPr>
          <w:rtl/>
          <w:lang w:bidi="fa-IR"/>
        </w:rPr>
        <w:t xml:space="preserve"> دِينَارٍ فِي نَفْسِي ، </w:t>
      </w:r>
      <w:r w:rsidR="003F7E3E" w:rsidRPr="00132E65">
        <w:rPr>
          <w:rtl/>
          <w:lang w:bidi="fa-IR"/>
        </w:rPr>
        <w:t>و</w:t>
      </w:r>
      <w:r w:rsidR="003F7E3E">
        <w:rPr>
          <w:rFonts w:hint="cs"/>
          <w:rtl/>
          <w:lang w:bidi="fa-IR"/>
        </w:rPr>
        <w:t>َ</w:t>
      </w:r>
      <w:r w:rsidRPr="00132E65">
        <w:rPr>
          <w:rtl/>
          <w:lang w:bidi="fa-IR"/>
        </w:rPr>
        <w:t xml:space="preserve">لَمْ أُطْلِعْ </w:t>
      </w:r>
      <w:r>
        <w:rPr>
          <w:rStyle w:val="libFootnotenumChar"/>
          <w:rtl/>
        </w:rPr>
        <w:t>(2)</w:t>
      </w:r>
      <w:r w:rsidRPr="00132E65">
        <w:rPr>
          <w:rtl/>
          <w:lang w:bidi="fa-IR"/>
        </w:rPr>
        <w:t xml:space="preserve"> عَلَيْهِ أَحَداً </w:t>
      </w:r>
      <w:r>
        <w:rPr>
          <w:rStyle w:val="libFootnotenumChar"/>
          <w:rtl/>
        </w:rPr>
        <w:t>(3)</w:t>
      </w:r>
      <w:r w:rsidRPr="00132E65">
        <w:rPr>
          <w:rtl/>
          <w:lang w:bidi="fa-IR"/>
        </w:rPr>
        <w:t xml:space="preserve"> ، فَإِذَا </w:t>
      </w:r>
      <w:r>
        <w:rPr>
          <w:rStyle w:val="libFootnotenumChar"/>
          <w:rtl/>
        </w:rPr>
        <w:t>(4)</w:t>
      </w:r>
      <w:r w:rsidRPr="00132E65">
        <w:rPr>
          <w:rtl/>
          <w:lang w:bidi="fa-IR"/>
        </w:rPr>
        <w:t xml:space="preserve"> الْكِتَابُ قَدْ </w:t>
      </w:r>
      <w:r w:rsidR="003F7E3E" w:rsidRPr="00132E65">
        <w:rPr>
          <w:rtl/>
          <w:lang w:bidi="fa-IR"/>
        </w:rPr>
        <w:t>و</w:t>
      </w:r>
      <w:r w:rsidR="003F7E3E">
        <w:rPr>
          <w:rFonts w:hint="cs"/>
          <w:rtl/>
          <w:lang w:bidi="fa-IR"/>
        </w:rPr>
        <w:t>َ</w:t>
      </w:r>
      <w:r w:rsidRPr="00132E65">
        <w:rPr>
          <w:rtl/>
          <w:lang w:bidi="fa-IR"/>
        </w:rPr>
        <w:t xml:space="preserve">رَدَ عَلَيَّ مِنَ الْعِرَاقِ : « وَجِّهِ </w:t>
      </w:r>
      <w:r>
        <w:rPr>
          <w:rStyle w:val="libFootnotenumChar"/>
          <w:rtl/>
        </w:rPr>
        <w:t>(5)</w:t>
      </w:r>
      <w:r w:rsidRPr="00132E65">
        <w:rPr>
          <w:rtl/>
          <w:lang w:bidi="fa-IR"/>
        </w:rPr>
        <w:t xml:space="preserve"> السَّبْعَمِائَةِ دِينَارٍ الَّتِي لَنَا قِبَلَكَ مِنْ ثَمَنِ الشِّهْرِيِّ </w:t>
      </w:r>
      <w:r>
        <w:rPr>
          <w:rStyle w:val="libFootnotenumChar"/>
          <w:rtl/>
        </w:rPr>
        <w:t>(6)</w:t>
      </w:r>
      <w:r w:rsidRPr="00132E65">
        <w:rPr>
          <w:rtl/>
          <w:lang w:bidi="fa-IR"/>
        </w:rPr>
        <w:t xml:space="preserve"> </w:t>
      </w:r>
      <w:r w:rsidR="003F7E3E" w:rsidRPr="00132E65">
        <w:rPr>
          <w:rtl/>
          <w:lang w:bidi="fa-IR"/>
        </w:rPr>
        <w:t>و</w:t>
      </w:r>
      <w:r w:rsidR="003F7E3E">
        <w:rPr>
          <w:rFonts w:hint="cs"/>
          <w:rtl/>
          <w:lang w:bidi="fa-IR"/>
        </w:rPr>
        <w:t>َ</w:t>
      </w:r>
      <w:r w:rsidRPr="00132E65">
        <w:rPr>
          <w:rtl/>
          <w:lang w:bidi="fa-IR"/>
        </w:rPr>
        <w:t xml:space="preserve">السَّيْفِ </w:t>
      </w:r>
      <w:r w:rsidR="003F7E3E" w:rsidRPr="00132E65">
        <w:rPr>
          <w:rtl/>
          <w:lang w:bidi="fa-IR"/>
        </w:rPr>
        <w:t>و</w:t>
      </w:r>
      <w:r w:rsidR="003F7E3E">
        <w:rPr>
          <w:rFonts w:hint="cs"/>
          <w:rtl/>
          <w:lang w:bidi="fa-IR"/>
        </w:rPr>
        <w:t>َ</w:t>
      </w:r>
      <w:r w:rsidR="0006034E">
        <w:rPr>
          <w:rtl/>
          <w:lang w:bidi="fa-IR"/>
        </w:rPr>
        <w:t>الْمِنْطَقَةِ</w:t>
      </w:r>
      <w:r w:rsidRPr="00132E65">
        <w:rPr>
          <w:rtl/>
          <w:lang w:bidi="fa-IR"/>
        </w:rPr>
        <w:t>»</w:t>
      </w:r>
      <w:r>
        <w:rPr>
          <w:rtl/>
          <w:lang w:bidi="fa-IR"/>
        </w:rPr>
        <w:t>.</w:t>
      </w:r>
      <w:r>
        <w:rPr>
          <w:rStyle w:val="libFootnotenumChar"/>
          <w:rtl/>
        </w:rPr>
        <w:t>(7)</w:t>
      </w:r>
      <w:r w:rsidRPr="00132E65">
        <w:rPr>
          <w:rtl/>
          <w:lang w:bidi="fa-IR"/>
        </w:rPr>
        <w:t>‌</w:t>
      </w:r>
    </w:p>
    <w:p w:rsidR="000C39D1" w:rsidRPr="00132E65" w:rsidRDefault="000C39D1" w:rsidP="000C39D1">
      <w:pPr>
        <w:pStyle w:val="libNormal"/>
        <w:rPr>
          <w:rtl/>
          <w:lang w:bidi="fa-IR"/>
        </w:rPr>
      </w:pPr>
      <w:r w:rsidRPr="00C20DDB">
        <w:rPr>
          <w:rtl/>
        </w:rPr>
        <w:t>1373</w:t>
      </w:r>
      <w:r w:rsidRPr="004325D8">
        <w:rPr>
          <w:rStyle w:val="libBold2Char"/>
          <w:rtl/>
        </w:rPr>
        <w:t xml:space="preserve"> / 17.</w:t>
      </w:r>
      <w:r w:rsidRPr="00132E65">
        <w:rPr>
          <w:rtl/>
          <w:lang w:bidi="fa-IR"/>
        </w:rPr>
        <w:t xml:space="preserve"> عَلِيٌّ ، عَمَّنْ حَدَّثَهُ ، قَالَ :</w:t>
      </w:r>
    </w:p>
    <w:p w:rsidR="000C39D1" w:rsidRPr="00132E65" w:rsidRDefault="000C39D1" w:rsidP="00023ED2">
      <w:pPr>
        <w:pStyle w:val="libNormal"/>
        <w:rPr>
          <w:rtl/>
          <w:lang w:bidi="fa-IR"/>
        </w:rPr>
      </w:pPr>
      <w:r w:rsidRPr="00132E65">
        <w:rPr>
          <w:rtl/>
          <w:lang w:bidi="fa-IR"/>
        </w:rPr>
        <w:t xml:space="preserve">وُلِدَ لِي ولَدٌ </w:t>
      </w:r>
      <w:r>
        <w:rPr>
          <w:rStyle w:val="libFootnotenumChar"/>
          <w:rtl/>
        </w:rPr>
        <w:t>(8)</w:t>
      </w:r>
      <w:r w:rsidRPr="00132E65">
        <w:rPr>
          <w:rtl/>
          <w:lang w:bidi="fa-IR"/>
        </w:rPr>
        <w:t xml:space="preserve"> ، فَكَتَبْتُ أَسْتَأْذِنُ فِي طُهْرِهِ </w:t>
      </w:r>
      <w:r>
        <w:rPr>
          <w:rStyle w:val="libFootnotenumChar"/>
          <w:rtl/>
        </w:rPr>
        <w:t>(9)</w:t>
      </w:r>
      <w:r w:rsidRPr="00132E65">
        <w:rPr>
          <w:rtl/>
          <w:lang w:bidi="fa-IR"/>
        </w:rPr>
        <w:t xml:space="preserve"> يَوْمَ السَّابِعِ ، فَوَرَدَ : « لَا تَفْعَلْ » فَمَاتَ يَوْمَ السَّابِعِ أَوِ الثَّامِنِ ، ثُمَّ كَتَبْتُ بِمَوْتِهِ ، فَوَرَدَ : « سَتُخْلَفُ </w:t>
      </w:r>
      <w:r>
        <w:rPr>
          <w:rStyle w:val="libFootnotenumChar"/>
          <w:rtl/>
        </w:rPr>
        <w:t>(10)</w:t>
      </w:r>
      <w:r w:rsidRPr="00132E65">
        <w:rPr>
          <w:rtl/>
          <w:lang w:bidi="fa-IR"/>
        </w:rPr>
        <w:t xml:space="preserve"> غَيْرَهُ </w:t>
      </w:r>
      <w:r w:rsidR="00023ED2" w:rsidRPr="00132E65">
        <w:rPr>
          <w:rtl/>
          <w:lang w:bidi="fa-IR"/>
        </w:rPr>
        <w:t>و</w:t>
      </w:r>
      <w:r w:rsidR="00023ED2">
        <w:rPr>
          <w:rFonts w:hint="cs"/>
          <w:rtl/>
          <w:lang w:bidi="fa-IR"/>
        </w:rPr>
        <w:t>َ</w:t>
      </w:r>
      <w:r w:rsidRPr="00132E65">
        <w:rPr>
          <w:rtl/>
          <w:lang w:bidi="fa-IR"/>
        </w:rPr>
        <w:t xml:space="preserve">غَيْرَهُ </w:t>
      </w:r>
      <w:r>
        <w:rPr>
          <w:rStyle w:val="libFootnotenumChar"/>
          <w:rtl/>
        </w:rPr>
        <w:t>(11)</w:t>
      </w:r>
      <w:r w:rsidRPr="00132E65">
        <w:rPr>
          <w:rtl/>
          <w:lang w:bidi="fa-IR"/>
        </w:rPr>
        <w:t xml:space="preserve"> ، تُسَمِّيهِ </w:t>
      </w:r>
      <w:r>
        <w:rPr>
          <w:rStyle w:val="libFootnotenumChar"/>
          <w:rtl/>
        </w:rPr>
        <w:t>(12)</w:t>
      </w:r>
      <w:r w:rsidRPr="00132E65">
        <w:rPr>
          <w:rtl/>
          <w:lang w:bidi="fa-IR"/>
        </w:rPr>
        <w:t xml:space="preserve"> أَحْمَدَ ، </w:t>
      </w:r>
      <w:r w:rsidR="00023ED2" w:rsidRPr="00132E65">
        <w:rPr>
          <w:rtl/>
          <w:lang w:bidi="fa-IR"/>
        </w:rPr>
        <w:t>و</w:t>
      </w:r>
      <w:r w:rsidR="00023ED2">
        <w:rPr>
          <w:rFonts w:hint="cs"/>
          <w:rtl/>
          <w:lang w:bidi="fa-IR"/>
        </w:rPr>
        <w:t>َ</w:t>
      </w:r>
      <w:r w:rsidRPr="00132E65">
        <w:rPr>
          <w:rtl/>
          <w:lang w:bidi="fa-IR"/>
        </w:rPr>
        <w:t>مِنْ بَعْدِ أَحْمَدَ جَعْفَراً » فَجَاءَ كَمَا قَالَ.</w:t>
      </w:r>
    </w:p>
    <w:p w:rsidR="000C39D1" w:rsidRPr="00132E65" w:rsidRDefault="000C39D1" w:rsidP="00023ED2">
      <w:pPr>
        <w:pStyle w:val="libNormal"/>
        <w:rPr>
          <w:rtl/>
          <w:lang w:bidi="fa-IR"/>
        </w:rPr>
      </w:pPr>
      <w:r w:rsidRPr="00132E65">
        <w:rPr>
          <w:rtl/>
          <w:lang w:bidi="fa-IR"/>
        </w:rPr>
        <w:t xml:space="preserve">قَالَ </w:t>
      </w:r>
      <w:r w:rsidRPr="00F543F1">
        <w:rPr>
          <w:rStyle w:val="libFootnotenumChar"/>
          <w:rtl/>
        </w:rPr>
        <w:t>(13)</w:t>
      </w:r>
      <w:r w:rsidRPr="00132E65">
        <w:rPr>
          <w:rtl/>
          <w:lang w:bidi="fa-IR"/>
        </w:rPr>
        <w:t xml:space="preserve"> : </w:t>
      </w:r>
      <w:r w:rsidR="00023ED2" w:rsidRPr="00132E65">
        <w:rPr>
          <w:rtl/>
          <w:lang w:bidi="fa-IR"/>
        </w:rPr>
        <w:t>و</w:t>
      </w:r>
      <w:r w:rsidR="00023ED2">
        <w:rPr>
          <w:rFonts w:hint="cs"/>
          <w:rtl/>
          <w:lang w:bidi="fa-IR"/>
        </w:rPr>
        <w:t>َ</w:t>
      </w:r>
      <w:r w:rsidR="00023ED2">
        <w:rPr>
          <w:rtl/>
          <w:lang w:bidi="fa-IR"/>
        </w:rPr>
        <w:t>تَهَيَّأْتُ لِلْحَجِّ ، و</w:t>
      </w:r>
      <w:r w:rsidR="00023ED2">
        <w:rPr>
          <w:rFonts w:hint="cs"/>
          <w:rtl/>
          <w:lang w:bidi="fa-IR"/>
        </w:rPr>
        <w:t xml:space="preserve">َ </w:t>
      </w:r>
      <w:r w:rsidR="00023ED2">
        <w:rPr>
          <w:rtl/>
          <w:lang w:bidi="fa-IR"/>
        </w:rPr>
        <w:t>و</w:t>
      </w:r>
      <w:r w:rsidR="00023ED2">
        <w:rPr>
          <w:rFonts w:hint="cs"/>
          <w:rtl/>
          <w:lang w:bidi="fa-IR"/>
        </w:rPr>
        <w:t>َ</w:t>
      </w:r>
      <w:r w:rsidRPr="00132E65">
        <w:rPr>
          <w:rtl/>
          <w:lang w:bidi="fa-IR"/>
        </w:rPr>
        <w:t xml:space="preserve">دَّعْتُ النَّاسَ ، </w:t>
      </w:r>
      <w:r w:rsidR="00023ED2" w:rsidRPr="00132E65">
        <w:rPr>
          <w:rtl/>
          <w:lang w:bidi="fa-IR"/>
        </w:rPr>
        <w:t>و</w:t>
      </w:r>
      <w:r w:rsidR="00023ED2">
        <w:rPr>
          <w:rFonts w:hint="cs"/>
          <w:rtl/>
          <w:lang w:bidi="fa-IR"/>
        </w:rPr>
        <w:t>َ</w:t>
      </w:r>
      <w:r w:rsidRPr="00132E65">
        <w:rPr>
          <w:rtl/>
          <w:lang w:bidi="fa-IR"/>
        </w:rPr>
        <w:t xml:space="preserve">كُنْتُ عَلَى الْخُرُوجِ ، فَوَرَدَ : « نَحْنُ لِذلِكَ كَارِهُونَ ، </w:t>
      </w:r>
      <w:r w:rsidR="00023ED2" w:rsidRPr="00132E65">
        <w:rPr>
          <w:rtl/>
          <w:lang w:bidi="fa-IR"/>
        </w:rPr>
        <w:t>و</w:t>
      </w:r>
      <w:r w:rsidR="00023ED2">
        <w:rPr>
          <w:rFonts w:hint="cs"/>
          <w:rtl/>
          <w:lang w:bidi="fa-IR"/>
        </w:rPr>
        <w:t>َ</w:t>
      </w:r>
      <w:r w:rsidRPr="00132E65">
        <w:rPr>
          <w:rtl/>
          <w:lang w:bidi="fa-IR"/>
        </w:rPr>
        <w:t>الْأَمْرُ إِلَيْكَ »</w:t>
      </w:r>
      <w:r>
        <w:rPr>
          <w:rtl/>
          <w:lang w:bidi="fa-IR"/>
        </w:rPr>
        <w:t>.</w:t>
      </w:r>
    </w:p>
    <w:p w:rsidR="000C39D1" w:rsidRPr="00132E65" w:rsidRDefault="000C39D1" w:rsidP="00023ED2">
      <w:pPr>
        <w:pStyle w:val="libNormal"/>
        <w:rPr>
          <w:rtl/>
          <w:lang w:bidi="fa-IR"/>
        </w:rPr>
      </w:pPr>
      <w:r w:rsidRPr="00132E65">
        <w:rPr>
          <w:rtl/>
          <w:lang w:bidi="fa-IR"/>
        </w:rPr>
        <w:t xml:space="preserve">قَالَ </w:t>
      </w:r>
      <w:r w:rsidRPr="00F543F1">
        <w:rPr>
          <w:rStyle w:val="libFootnotenumChar"/>
          <w:rtl/>
        </w:rPr>
        <w:t>(14)</w:t>
      </w:r>
      <w:r w:rsidRPr="00132E65">
        <w:rPr>
          <w:rtl/>
          <w:lang w:bidi="fa-IR"/>
        </w:rPr>
        <w:t xml:space="preserve"> : فَضَاقَ صَدْرِي ، </w:t>
      </w:r>
      <w:r w:rsidR="00023ED2" w:rsidRPr="00132E65">
        <w:rPr>
          <w:rtl/>
          <w:lang w:bidi="fa-IR"/>
        </w:rPr>
        <w:t>و</w:t>
      </w:r>
      <w:r w:rsidR="00023ED2">
        <w:rPr>
          <w:rFonts w:hint="cs"/>
          <w:rtl/>
          <w:lang w:bidi="fa-IR"/>
        </w:rPr>
        <w:t>َ</w:t>
      </w:r>
      <w:r w:rsidRPr="00132E65">
        <w:rPr>
          <w:rtl/>
          <w:lang w:bidi="fa-IR"/>
        </w:rPr>
        <w:t xml:space="preserve">اغْتَمَمْتُ ، </w:t>
      </w:r>
      <w:r w:rsidR="00023ED2" w:rsidRPr="00132E65">
        <w:rPr>
          <w:rtl/>
          <w:lang w:bidi="fa-IR"/>
        </w:rPr>
        <w:t>و</w:t>
      </w:r>
      <w:r w:rsidR="00023ED2">
        <w:rPr>
          <w:rFonts w:hint="cs"/>
          <w:rtl/>
          <w:lang w:bidi="fa-IR"/>
        </w:rPr>
        <w:t>َ</w:t>
      </w:r>
      <w:r w:rsidRPr="00132E65">
        <w:rPr>
          <w:rtl/>
          <w:lang w:bidi="fa-IR"/>
        </w:rPr>
        <w:t xml:space="preserve">كَتَبْتُ : أَنَا مُقِيمٌ عَلَى السَّمْعِ والطَّاعَةِ غَيْرَ أَنِّي مُغْتَمٌّ بِتَخَلُّفِي عَنِ الْحَجِّ ، فَوَقَّعَ : « لَا يَضِيقَنَّ صَدْرُكَ ؛ فَإِنَّكَ سَتَحُجُّ مِنْ قَابِلٍ </w:t>
      </w:r>
      <w:r w:rsidRPr="00F543F1">
        <w:rPr>
          <w:rStyle w:val="libFootnotenumChar"/>
          <w:rtl/>
        </w:rPr>
        <w:t>(15)</w:t>
      </w:r>
      <w:r w:rsidRPr="00132E65">
        <w:rPr>
          <w:rtl/>
          <w:lang w:bidi="fa-IR"/>
        </w:rPr>
        <w:t xml:space="preserve"> إِنْ شَاءَ اللهُ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سبعمائة »</w:t>
      </w:r>
      <w:r>
        <w:rPr>
          <w:rtl/>
        </w:rPr>
        <w:t>.</w:t>
      </w:r>
    </w:p>
    <w:tbl>
      <w:tblPr>
        <w:tblStyle w:val="TableGrid"/>
        <w:bidiVisual/>
        <w:tblW w:w="0" w:type="auto"/>
        <w:tblLook w:val="04A0" w:firstRow="1" w:lastRow="0" w:firstColumn="1" w:lastColumn="0" w:noHBand="0" w:noVBand="1"/>
      </w:tblPr>
      <w:tblGrid>
        <w:gridCol w:w="4261"/>
        <w:gridCol w:w="4262"/>
      </w:tblGrid>
      <w:tr w:rsidR="00023ED2" w:rsidTr="00023ED2">
        <w:tc>
          <w:tcPr>
            <w:tcW w:w="4261" w:type="dxa"/>
          </w:tcPr>
          <w:p w:rsidR="00023ED2" w:rsidRDefault="00023ED2" w:rsidP="000C39D1">
            <w:pPr>
              <w:pStyle w:val="libFootnote0"/>
              <w:rPr>
                <w:rtl/>
              </w:rPr>
            </w:pPr>
            <w:r>
              <w:rPr>
                <w:rtl/>
              </w:rPr>
              <w:t>(2).</w:t>
            </w:r>
            <w:r w:rsidRPr="00132E65">
              <w:rPr>
                <w:rtl/>
              </w:rPr>
              <w:t xml:space="preserve"> في « ب ، ف » : « لم أطّلع »</w:t>
            </w:r>
            <w:r>
              <w:rPr>
                <w:rtl/>
              </w:rPr>
              <w:t>.</w:t>
            </w:r>
          </w:p>
        </w:tc>
        <w:tc>
          <w:tcPr>
            <w:tcW w:w="4262" w:type="dxa"/>
          </w:tcPr>
          <w:p w:rsidR="00023ED2" w:rsidRDefault="00023ED2" w:rsidP="000C39D1">
            <w:pPr>
              <w:pStyle w:val="libFootnote0"/>
              <w:rPr>
                <w:rtl/>
              </w:rPr>
            </w:pPr>
            <w:r>
              <w:rPr>
                <w:rtl/>
              </w:rPr>
              <w:t>(3).</w:t>
            </w:r>
            <w:r w:rsidRPr="00132E65">
              <w:rPr>
                <w:rtl/>
              </w:rPr>
              <w:t xml:space="preserve"> في الإرشاد :</w:t>
            </w:r>
            <w:r>
              <w:rPr>
                <w:rtl/>
              </w:rPr>
              <w:t xml:space="preserve"> + </w:t>
            </w:r>
            <w:r w:rsidRPr="00132E65">
              <w:rPr>
                <w:rtl/>
              </w:rPr>
              <w:t>« ودفعت الشهريّ إلى إذكوتكين »</w:t>
            </w:r>
            <w:r>
              <w:rPr>
                <w:rtl/>
              </w:rPr>
              <w:t>.</w:t>
            </w:r>
          </w:p>
        </w:tc>
      </w:tr>
      <w:tr w:rsidR="00023ED2" w:rsidTr="00023ED2">
        <w:tc>
          <w:tcPr>
            <w:tcW w:w="4261" w:type="dxa"/>
          </w:tcPr>
          <w:p w:rsidR="00023ED2" w:rsidRDefault="008A5BD6" w:rsidP="000C39D1">
            <w:pPr>
              <w:pStyle w:val="libFootnote0"/>
              <w:rPr>
                <w:rtl/>
              </w:rPr>
            </w:pPr>
            <w:r>
              <w:rPr>
                <w:rtl/>
              </w:rPr>
              <w:t>(4).</w:t>
            </w:r>
            <w:r w:rsidRPr="00132E65">
              <w:rPr>
                <w:rtl/>
              </w:rPr>
              <w:t xml:space="preserve"> في الإرشاد : « وإذا »</w:t>
            </w:r>
            <w:r>
              <w:rPr>
                <w:rtl/>
              </w:rPr>
              <w:t>.</w:t>
            </w:r>
          </w:p>
        </w:tc>
        <w:tc>
          <w:tcPr>
            <w:tcW w:w="4262" w:type="dxa"/>
          </w:tcPr>
          <w:p w:rsidR="00023ED2" w:rsidRDefault="008A5BD6" w:rsidP="000C39D1">
            <w:pPr>
              <w:pStyle w:val="libFootnote0"/>
              <w:rPr>
                <w:rtl/>
              </w:rPr>
            </w:pPr>
            <w:r>
              <w:rPr>
                <w:rtl/>
              </w:rPr>
              <w:t>(5).</w:t>
            </w:r>
            <w:r w:rsidRPr="00132E65">
              <w:rPr>
                <w:rtl/>
              </w:rPr>
              <w:t xml:space="preserve"> في الإرشاد والغيبة : « أن وجّه »</w:t>
            </w:r>
            <w:r>
              <w:rPr>
                <w:rtl/>
              </w:rPr>
              <w:t>.</w:t>
            </w:r>
          </w:p>
        </w:tc>
      </w:tr>
    </w:tbl>
    <w:p w:rsidR="000C39D1" w:rsidRPr="00132E65" w:rsidRDefault="000C39D1" w:rsidP="000C39D1">
      <w:pPr>
        <w:pStyle w:val="libFootnote0"/>
        <w:rPr>
          <w:rtl/>
          <w:lang w:bidi="fa-IR"/>
        </w:rPr>
      </w:pPr>
      <w:r>
        <w:rPr>
          <w:rtl/>
        </w:rPr>
        <w:t>(6).</w:t>
      </w:r>
      <w:r w:rsidRPr="00132E65">
        <w:rPr>
          <w:rtl/>
        </w:rPr>
        <w:t xml:space="preserve"> في الغيبة :</w:t>
      </w:r>
      <w:r>
        <w:rPr>
          <w:rtl/>
        </w:rPr>
        <w:t xml:space="preserve"> + </w:t>
      </w:r>
      <w:r w:rsidRPr="00132E65">
        <w:rPr>
          <w:rtl/>
        </w:rPr>
        <w:t>« السمند »</w:t>
      </w:r>
      <w:r>
        <w:rPr>
          <w:rtl/>
        </w:rPr>
        <w:t>.</w:t>
      </w:r>
    </w:p>
    <w:p w:rsidR="000C39D1" w:rsidRPr="00132E65" w:rsidRDefault="000C39D1" w:rsidP="0008009D">
      <w:pPr>
        <w:pStyle w:val="libFootnote0"/>
        <w:rPr>
          <w:rtl/>
          <w:lang w:bidi="fa-IR"/>
        </w:rPr>
      </w:pPr>
      <w:r>
        <w:rPr>
          <w:rtl/>
        </w:rPr>
        <w:t>(7).</w:t>
      </w:r>
      <w:r w:rsidRPr="00132E65">
        <w:rPr>
          <w:rtl/>
        </w:rPr>
        <w:t xml:space="preserve"> </w:t>
      </w:r>
      <w:r w:rsidRPr="00C20DDB">
        <w:rPr>
          <w:rtl/>
        </w:rPr>
        <w:t>الغيبة</w:t>
      </w:r>
      <w:r w:rsidRPr="00132E65">
        <w:rPr>
          <w:rtl/>
        </w:rPr>
        <w:t xml:space="preserve"> للطوسي ، ص 282 ، ح 241 ، بسنده عن الكليني. </w:t>
      </w:r>
      <w:r w:rsidRPr="00C20DDB">
        <w:rPr>
          <w:rtl/>
        </w:rPr>
        <w:t>الإرشاد</w:t>
      </w:r>
      <w:r w:rsidRPr="00132E65">
        <w:rPr>
          <w:rtl/>
        </w:rPr>
        <w:t xml:space="preserve"> ، ج 2 ، ص 363 عن عليّ بن محمّد</w:t>
      </w:r>
      <w:r w:rsidR="0008009D">
        <w:rPr>
          <w:rFonts w:hint="cs"/>
          <w:rtl/>
        </w:rPr>
        <w:t>.</w:t>
      </w:r>
      <w:r w:rsidRPr="009D1ACE">
        <w:rPr>
          <w:rStyle w:val="libFootnoteBoldChar"/>
          <w:rtl/>
        </w:rPr>
        <w:t>الوافي</w:t>
      </w:r>
      <w:r w:rsidRPr="00132E65">
        <w:rPr>
          <w:rtl/>
        </w:rPr>
        <w:t xml:space="preserve"> ، ج 3 ، ص 875 ، ح 1496.</w:t>
      </w:r>
    </w:p>
    <w:p w:rsidR="000C39D1" w:rsidRPr="00132E65" w:rsidRDefault="000C39D1" w:rsidP="000C39D1">
      <w:pPr>
        <w:pStyle w:val="libFootnote0"/>
        <w:rPr>
          <w:rtl/>
          <w:lang w:bidi="fa-IR"/>
        </w:rPr>
      </w:pPr>
      <w:r>
        <w:rPr>
          <w:rtl/>
        </w:rPr>
        <w:t>(8).</w:t>
      </w:r>
      <w:r w:rsidRPr="00132E65">
        <w:rPr>
          <w:rtl/>
        </w:rPr>
        <w:t xml:space="preserve"> في الغيبة : « مولود »</w:t>
      </w:r>
      <w:r>
        <w:rPr>
          <w:rtl/>
        </w:rPr>
        <w:t>.</w:t>
      </w:r>
    </w:p>
    <w:p w:rsidR="000C39D1" w:rsidRPr="00132E65" w:rsidRDefault="000C39D1" w:rsidP="000C39D1">
      <w:pPr>
        <w:pStyle w:val="libFootnote0"/>
        <w:rPr>
          <w:rtl/>
          <w:lang w:bidi="fa-IR"/>
        </w:rPr>
      </w:pPr>
      <w:r>
        <w:rPr>
          <w:rtl/>
        </w:rPr>
        <w:t>(9).</w:t>
      </w:r>
      <w:r w:rsidRPr="00132E65">
        <w:rPr>
          <w:rtl/>
        </w:rPr>
        <w:t xml:space="preserve"> في « بر ، بف » و</w:t>
      </w:r>
      <w:r w:rsidRPr="009D1ACE">
        <w:rPr>
          <w:rStyle w:val="libFootnoteBoldChar"/>
          <w:rtl/>
        </w:rPr>
        <w:t>الوافي</w:t>
      </w:r>
      <w:r w:rsidRPr="00132E65">
        <w:rPr>
          <w:rtl/>
        </w:rPr>
        <w:t xml:space="preserve"> والإرشاد : « تطهيره »</w:t>
      </w:r>
      <w:r>
        <w:rPr>
          <w:rtl/>
        </w:rPr>
        <w:t>.</w:t>
      </w:r>
      <w:r w:rsidRPr="00132E65">
        <w:rPr>
          <w:rtl/>
        </w:rPr>
        <w:t xml:space="preserve"> وفي الغيبة : « تطهيره في »</w:t>
      </w:r>
      <w:r>
        <w:rPr>
          <w:rtl/>
        </w:rPr>
        <w:t>.</w:t>
      </w:r>
      <w:r w:rsidRPr="00132E65">
        <w:rPr>
          <w:rtl/>
        </w:rPr>
        <w:t xml:space="preserve"> والمراد بالطهر هنا : الختان.</w:t>
      </w:r>
    </w:p>
    <w:p w:rsidR="000C39D1" w:rsidRPr="00132E65" w:rsidRDefault="000C39D1" w:rsidP="0006034E">
      <w:pPr>
        <w:pStyle w:val="libFootnote0"/>
        <w:rPr>
          <w:rtl/>
          <w:lang w:bidi="fa-IR"/>
        </w:rPr>
      </w:pPr>
      <w:r>
        <w:rPr>
          <w:rtl/>
        </w:rPr>
        <w:t>(10).</w:t>
      </w:r>
      <w:r w:rsidRPr="00132E65">
        <w:rPr>
          <w:rtl/>
        </w:rPr>
        <w:t xml:space="preserve"> في </w:t>
      </w:r>
      <w:r w:rsidRPr="009D1ACE">
        <w:rPr>
          <w:rStyle w:val="libFootnoteBoldChar"/>
          <w:rtl/>
        </w:rPr>
        <w:t>مرآة العقول</w:t>
      </w:r>
      <w:r w:rsidRPr="00132E65">
        <w:rPr>
          <w:rtl/>
        </w:rPr>
        <w:t xml:space="preserve"> : « ستخلف ، على بناء المجهول من الإفعال ، أي ستعطى خلفاً منه وعوضاً »</w:t>
      </w:r>
      <w:r>
        <w:rPr>
          <w:rtl/>
        </w:rPr>
        <w:t>.</w:t>
      </w:r>
      <w:r w:rsidRPr="00132E65">
        <w:rPr>
          <w:rtl/>
        </w:rPr>
        <w:t xml:space="preserve"> وفي الغيبة : « سيخلف الله »</w:t>
      </w:r>
      <w:r>
        <w:rPr>
          <w:rtl/>
        </w:rPr>
        <w:t>.</w:t>
      </w:r>
      <w:r w:rsidR="0008009D">
        <w:rPr>
          <w:rFonts w:hint="cs"/>
          <w:rtl/>
        </w:rPr>
        <w:t xml:space="preserve">         </w:t>
      </w:r>
      <w:r w:rsidR="0006034E">
        <w:rPr>
          <w:rFonts w:hint="cs"/>
          <w:rtl/>
        </w:rPr>
        <w:t xml:space="preserve">                               </w:t>
      </w:r>
      <w:r w:rsidR="0008009D">
        <w:rPr>
          <w:rFonts w:hint="cs"/>
          <w:rtl/>
        </w:rPr>
        <w:t xml:space="preserve">      </w:t>
      </w:r>
      <w:r w:rsidR="00F14A0D">
        <w:rPr>
          <w:rFonts w:hint="cs"/>
          <w:rtl/>
        </w:rPr>
        <w:t xml:space="preserve"> </w:t>
      </w:r>
      <w:r>
        <w:rPr>
          <w:rtl/>
        </w:rPr>
        <w:t>(11).</w:t>
      </w:r>
      <w:r w:rsidRPr="00132E65">
        <w:rPr>
          <w:rtl/>
        </w:rPr>
        <w:t xml:space="preserve"> في « ض ، بر » و</w:t>
      </w:r>
      <w:r w:rsidRPr="009D1ACE">
        <w:rPr>
          <w:rStyle w:val="libFootnoteBoldChar"/>
          <w:rtl/>
        </w:rPr>
        <w:t>الوافي</w:t>
      </w:r>
      <w:r w:rsidRPr="00132E65">
        <w:rPr>
          <w:rtl/>
        </w:rPr>
        <w:t xml:space="preserve"> والغيبة </w:t>
      </w:r>
      <w:r>
        <w:rPr>
          <w:rtl/>
        </w:rPr>
        <w:t xml:space="preserve">: - </w:t>
      </w:r>
      <w:r w:rsidRPr="00132E65">
        <w:rPr>
          <w:rtl/>
        </w:rPr>
        <w:t>« وغيره »</w:t>
      </w:r>
      <w:r>
        <w:rPr>
          <w:rtl/>
        </w:rPr>
        <w:t>.</w:t>
      </w:r>
    </w:p>
    <w:tbl>
      <w:tblPr>
        <w:tblStyle w:val="TableGrid"/>
        <w:bidiVisual/>
        <w:tblW w:w="0" w:type="auto"/>
        <w:tblLook w:val="04A0" w:firstRow="1" w:lastRow="0" w:firstColumn="1" w:lastColumn="0" w:noHBand="0" w:noVBand="1"/>
      </w:tblPr>
      <w:tblGrid>
        <w:gridCol w:w="4261"/>
        <w:gridCol w:w="4262"/>
      </w:tblGrid>
      <w:tr w:rsidR="00F14A0D" w:rsidTr="00F14A0D">
        <w:tc>
          <w:tcPr>
            <w:tcW w:w="4261" w:type="dxa"/>
          </w:tcPr>
          <w:p w:rsidR="00F14A0D" w:rsidRDefault="00F14A0D" w:rsidP="000C39D1">
            <w:pPr>
              <w:pStyle w:val="libFootnote0"/>
              <w:rPr>
                <w:rtl/>
              </w:rPr>
            </w:pPr>
            <w:r>
              <w:rPr>
                <w:rtl/>
              </w:rPr>
              <w:t>(12).</w:t>
            </w:r>
            <w:r w:rsidRPr="00132E65">
              <w:rPr>
                <w:rtl/>
              </w:rPr>
              <w:t xml:space="preserve"> في الإرشاد : « فسمّ الأوّل »</w:t>
            </w:r>
            <w:r>
              <w:rPr>
                <w:rtl/>
              </w:rPr>
              <w:t>.</w:t>
            </w:r>
          </w:p>
        </w:tc>
        <w:tc>
          <w:tcPr>
            <w:tcW w:w="4262" w:type="dxa"/>
          </w:tcPr>
          <w:p w:rsidR="00F14A0D" w:rsidRDefault="00F14A0D" w:rsidP="000C39D1">
            <w:pPr>
              <w:pStyle w:val="libFootnote0"/>
              <w:rPr>
                <w:rtl/>
              </w:rPr>
            </w:pPr>
            <w:r>
              <w:rPr>
                <w:rtl/>
              </w:rPr>
              <w:t>(13)</w:t>
            </w:r>
            <w:r w:rsidRPr="00132E65">
              <w:rPr>
                <w:rtl/>
              </w:rPr>
              <w:t xml:space="preserve"> في « ف » : « وقال »</w:t>
            </w:r>
            <w:r>
              <w:rPr>
                <w:rtl/>
              </w:rPr>
              <w:t>.</w:t>
            </w:r>
          </w:p>
        </w:tc>
      </w:tr>
      <w:tr w:rsidR="00F14A0D" w:rsidTr="00F14A0D">
        <w:tc>
          <w:tcPr>
            <w:tcW w:w="4261" w:type="dxa"/>
          </w:tcPr>
          <w:p w:rsidR="00F14A0D" w:rsidRDefault="00F14A0D" w:rsidP="000C39D1">
            <w:pPr>
              <w:pStyle w:val="libFootnote0"/>
              <w:rPr>
                <w:rtl/>
              </w:rPr>
            </w:pPr>
            <w:r>
              <w:rPr>
                <w:rtl/>
              </w:rPr>
              <w:t>(14)</w:t>
            </w:r>
            <w:r w:rsidRPr="00132E65">
              <w:rPr>
                <w:rtl/>
              </w:rPr>
              <w:t xml:space="preserve"> في الإرشاد </w:t>
            </w:r>
            <w:r>
              <w:rPr>
                <w:rtl/>
              </w:rPr>
              <w:t xml:space="preserve">: - </w:t>
            </w:r>
            <w:r w:rsidRPr="00132E65">
              <w:rPr>
                <w:rtl/>
              </w:rPr>
              <w:t>« قال »</w:t>
            </w:r>
            <w:r>
              <w:rPr>
                <w:rtl/>
              </w:rPr>
              <w:t>.</w:t>
            </w:r>
          </w:p>
        </w:tc>
        <w:tc>
          <w:tcPr>
            <w:tcW w:w="4262" w:type="dxa"/>
          </w:tcPr>
          <w:p w:rsidR="00F14A0D" w:rsidRDefault="00F14A0D" w:rsidP="000C39D1">
            <w:pPr>
              <w:pStyle w:val="libFootnote0"/>
              <w:rPr>
                <w:rtl/>
              </w:rPr>
            </w:pPr>
            <w:r>
              <w:rPr>
                <w:rtl/>
              </w:rPr>
              <w:t>(15)</w:t>
            </w:r>
            <w:r w:rsidRPr="00132E65">
              <w:rPr>
                <w:rtl/>
              </w:rPr>
              <w:t xml:space="preserve"> في الإرشاد : « ستحجّ قابلاً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5A4CC1">
      <w:pPr>
        <w:pStyle w:val="libNormal"/>
        <w:rPr>
          <w:rtl/>
          <w:lang w:bidi="fa-IR"/>
        </w:rPr>
      </w:pPr>
      <w:r w:rsidRPr="00132E65">
        <w:rPr>
          <w:rtl/>
          <w:lang w:bidi="fa-IR"/>
        </w:rPr>
        <w:t xml:space="preserve">قَالَ : فَلَمَّا </w:t>
      </w:r>
      <w:r>
        <w:rPr>
          <w:rStyle w:val="libFootnotenumChar"/>
          <w:rtl/>
        </w:rPr>
        <w:t>(1)</w:t>
      </w:r>
      <w:r w:rsidRPr="00132E65">
        <w:rPr>
          <w:rtl/>
          <w:lang w:bidi="fa-IR"/>
        </w:rPr>
        <w:t xml:space="preserve"> كَانَ مِنْ قَابِلٍ ، كَتَبْتُ أَسْتَأْذِنُ ، فَوَرَدَ الْإِذْنُ ، فَكَتَبْتُ : أَنِّي </w:t>
      </w:r>
      <w:r>
        <w:rPr>
          <w:rStyle w:val="libFootnotenumChar"/>
          <w:rtl/>
        </w:rPr>
        <w:t>(2)</w:t>
      </w:r>
      <w:r w:rsidRPr="00132E65">
        <w:rPr>
          <w:rtl/>
          <w:lang w:bidi="fa-IR"/>
        </w:rPr>
        <w:t xml:space="preserve"> عَادَلْتُ مُحَمَّدَ بْنَ الْعَبَّاسِ و</w:t>
      </w:r>
      <w:r w:rsidR="005A4CC1">
        <w:rPr>
          <w:rFonts w:hint="cs"/>
          <w:rtl/>
          <w:lang w:bidi="fa-IR"/>
        </w:rPr>
        <w:t>َ</w:t>
      </w:r>
      <w:r w:rsidRPr="00132E65">
        <w:rPr>
          <w:rtl/>
          <w:lang w:bidi="fa-IR"/>
        </w:rPr>
        <w:t xml:space="preserve">أَنَا </w:t>
      </w:r>
      <w:r w:rsidR="005A4CC1" w:rsidRPr="00132E65">
        <w:rPr>
          <w:rtl/>
          <w:lang w:bidi="fa-IR"/>
        </w:rPr>
        <w:t>و</w:t>
      </w:r>
      <w:r w:rsidR="005A4CC1">
        <w:rPr>
          <w:rFonts w:hint="cs"/>
          <w:rtl/>
          <w:lang w:bidi="fa-IR"/>
        </w:rPr>
        <w:t>َ</w:t>
      </w:r>
      <w:r w:rsidRPr="00132E65">
        <w:rPr>
          <w:rtl/>
          <w:lang w:bidi="fa-IR"/>
        </w:rPr>
        <w:t xml:space="preserve">اثِقٌ بِدِيَانَتِهِ </w:t>
      </w:r>
      <w:r w:rsidR="005A4CC1" w:rsidRPr="00132E65">
        <w:rPr>
          <w:rtl/>
          <w:lang w:bidi="fa-IR"/>
        </w:rPr>
        <w:t>و</w:t>
      </w:r>
      <w:r w:rsidR="005A4CC1">
        <w:rPr>
          <w:rFonts w:hint="cs"/>
          <w:rtl/>
          <w:lang w:bidi="fa-IR"/>
        </w:rPr>
        <w:t>َ</w:t>
      </w:r>
      <w:r w:rsidRPr="00132E65">
        <w:rPr>
          <w:rtl/>
          <w:lang w:bidi="fa-IR"/>
        </w:rPr>
        <w:t xml:space="preserve">صِيَانَتِهِ ، فَوَرَدَ : « الْأَسَدِيُّ نِعْمَ الْعَدِيلُ ، فَإِنْ قَدِمَ فَلَا تَخْتَرْ عَلَيْهِ </w:t>
      </w:r>
      <w:r>
        <w:rPr>
          <w:rStyle w:val="libFootnotenumChar"/>
          <w:rtl/>
        </w:rPr>
        <w:t>(3)</w:t>
      </w:r>
      <w:r w:rsidRPr="00132E65">
        <w:rPr>
          <w:rtl/>
          <w:lang w:bidi="fa-IR"/>
        </w:rPr>
        <w:t xml:space="preserve"> »</w:t>
      </w:r>
      <w:r>
        <w:rPr>
          <w:rtl/>
          <w:lang w:bidi="fa-IR"/>
        </w:rPr>
        <w:t>.</w:t>
      </w:r>
      <w:r w:rsidRPr="00132E65">
        <w:rPr>
          <w:rtl/>
          <w:lang w:bidi="fa-IR"/>
        </w:rPr>
        <w:t xml:space="preserve"> فَقَدِمَ الْأَسَدِيُّ </w:t>
      </w:r>
      <w:r w:rsidR="005A4CC1" w:rsidRPr="00132E65">
        <w:rPr>
          <w:rtl/>
          <w:lang w:bidi="fa-IR"/>
        </w:rPr>
        <w:t>و</w:t>
      </w:r>
      <w:r w:rsidR="005A4CC1">
        <w:rPr>
          <w:rFonts w:hint="cs"/>
          <w:rtl/>
          <w:lang w:bidi="fa-IR"/>
        </w:rPr>
        <w:t>َ</w:t>
      </w:r>
      <w:r w:rsidRPr="00132E65">
        <w:rPr>
          <w:rtl/>
          <w:lang w:bidi="fa-IR"/>
        </w:rPr>
        <w:t xml:space="preserve">عَادَلْتُهُ </w:t>
      </w:r>
      <w:r>
        <w:rPr>
          <w:rStyle w:val="libFootnotenumChar"/>
          <w:rtl/>
        </w:rPr>
        <w:t>(4)</w:t>
      </w:r>
      <w:r w:rsidR="005A4CC1">
        <w:rPr>
          <w:rFonts w:hint="cs"/>
          <w:rtl/>
          <w:lang w:bidi="fa-IR"/>
        </w:rPr>
        <w:t>.</w:t>
      </w:r>
      <w:r>
        <w:rPr>
          <w:rStyle w:val="libFootnotenumChar"/>
          <w:rtl/>
        </w:rPr>
        <w:t>(5)</w:t>
      </w:r>
    </w:p>
    <w:p w:rsidR="000C39D1" w:rsidRPr="00132E65" w:rsidRDefault="000C39D1" w:rsidP="000C39D1">
      <w:pPr>
        <w:pStyle w:val="libNormal"/>
        <w:rPr>
          <w:rtl/>
          <w:lang w:bidi="fa-IR"/>
        </w:rPr>
      </w:pPr>
      <w:r w:rsidRPr="00C20DDB">
        <w:rPr>
          <w:rtl/>
        </w:rPr>
        <w:t>1374</w:t>
      </w:r>
      <w:r w:rsidRPr="004325D8">
        <w:rPr>
          <w:rStyle w:val="libBold2Char"/>
          <w:rtl/>
        </w:rPr>
        <w:t xml:space="preserve"> / 18.</w:t>
      </w:r>
      <w:r w:rsidRPr="00132E65">
        <w:rPr>
          <w:rtl/>
          <w:lang w:bidi="fa-IR"/>
        </w:rPr>
        <w:t xml:space="preserve"> الْحَسَنُ بْنُ عَلِيٍّ الْعَلَوِيُّ </w:t>
      </w:r>
      <w:r>
        <w:rPr>
          <w:rStyle w:val="libFootnotenumChar"/>
          <w:rtl/>
        </w:rPr>
        <w:t>(6)</w:t>
      </w:r>
      <w:r w:rsidRPr="00132E65">
        <w:rPr>
          <w:rtl/>
          <w:lang w:bidi="fa-IR"/>
        </w:rPr>
        <w:t xml:space="preserve"> ، قَالَ :</w:t>
      </w:r>
    </w:p>
    <w:p w:rsidR="000C39D1" w:rsidRPr="00132E65" w:rsidRDefault="000C39D1" w:rsidP="005A4CC1">
      <w:pPr>
        <w:pStyle w:val="libNormal"/>
        <w:rPr>
          <w:rtl/>
          <w:lang w:bidi="fa-IR"/>
        </w:rPr>
      </w:pPr>
      <w:r w:rsidRPr="00132E65">
        <w:rPr>
          <w:rtl/>
          <w:lang w:bidi="fa-IR"/>
        </w:rPr>
        <w:t xml:space="preserve">أَوْدَعَ الْمَجْرُوحُ </w:t>
      </w:r>
      <w:r>
        <w:rPr>
          <w:rStyle w:val="libFootnotenumChar"/>
          <w:rtl/>
        </w:rPr>
        <w:t>(7)</w:t>
      </w:r>
      <w:r w:rsidRPr="00132E65">
        <w:rPr>
          <w:rtl/>
          <w:lang w:bidi="fa-IR"/>
        </w:rPr>
        <w:t xml:space="preserve"> مِرْدَاسَ بْنَ عَلِيٍّ مَالاً لِلنَّاحِيَةِ ، </w:t>
      </w:r>
      <w:r w:rsidR="005A4CC1" w:rsidRPr="00132E65">
        <w:rPr>
          <w:rtl/>
          <w:lang w:bidi="fa-IR"/>
        </w:rPr>
        <w:t>و</w:t>
      </w:r>
      <w:r w:rsidR="005A4CC1">
        <w:rPr>
          <w:rFonts w:hint="cs"/>
          <w:rtl/>
          <w:lang w:bidi="fa-IR"/>
        </w:rPr>
        <w:t>َ</w:t>
      </w:r>
      <w:r w:rsidRPr="00132E65">
        <w:rPr>
          <w:rtl/>
          <w:lang w:bidi="fa-IR"/>
        </w:rPr>
        <w:t>كَانَ عِنْدَ مِرْدَاسٍ مَالٌ لِتَمِيمِ بْنِ حَنْظَلَةَ ، فَوَرَدَ عَلى مِرْدَاسٍ : « أَنْفِذْ مَالَ تَمِيمٍ مَعَ مَا أَوْدَعَكَ الشِّيرَازِيُّ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C20DDB">
        <w:rPr>
          <w:rtl/>
        </w:rPr>
        <w:t>1375</w:t>
      </w:r>
      <w:r w:rsidRPr="004325D8">
        <w:rPr>
          <w:rStyle w:val="libBold2Char"/>
          <w:rtl/>
        </w:rPr>
        <w:t xml:space="preserve"> / 19.</w:t>
      </w:r>
      <w:r w:rsidRPr="00132E65">
        <w:rPr>
          <w:rtl/>
          <w:lang w:bidi="fa-IR"/>
        </w:rPr>
        <w:t xml:space="preserve"> عَلِيُّ بْنُ مُحَمَّدٍ ، عَنِ الْحَسَنِ بْنِ عِيسَى الْعُرَيْضِيِّ أَبِي مُحَمَّدٍ </w:t>
      </w:r>
      <w:r>
        <w:rPr>
          <w:rStyle w:val="libFootnotenumChar"/>
          <w:rtl/>
        </w:rPr>
        <w:t>(9)</w:t>
      </w:r>
      <w:r w:rsidRPr="00132E65">
        <w:rPr>
          <w:rtl/>
          <w:lang w:bidi="fa-IR"/>
        </w:rPr>
        <w:t xml:space="preserve"> ، قَالَ :</w:t>
      </w:r>
    </w:p>
    <w:p w:rsidR="000C39D1" w:rsidRPr="00132E65" w:rsidRDefault="000C39D1" w:rsidP="000170C6">
      <w:pPr>
        <w:pStyle w:val="libNormal"/>
        <w:rPr>
          <w:rtl/>
          <w:lang w:bidi="fa-IR"/>
        </w:rPr>
      </w:pPr>
      <w:r w:rsidRPr="00132E65">
        <w:rPr>
          <w:rtl/>
          <w:lang w:bidi="fa-IR"/>
        </w:rPr>
        <w:t xml:space="preserve">لَمَّا مَضى أَبُو مُحَمَّدٍ </w:t>
      </w:r>
      <w:r>
        <w:rPr>
          <w:rStyle w:val="libFootnotenumChar"/>
          <w:rtl/>
        </w:rPr>
        <w:t>(10)</w:t>
      </w:r>
      <w:r w:rsidRPr="00132E65">
        <w:rPr>
          <w:rtl/>
          <w:lang w:bidi="fa-IR"/>
        </w:rPr>
        <w:t xml:space="preserve"> </w:t>
      </w:r>
      <w:r w:rsidRPr="00071CF9">
        <w:rPr>
          <w:rStyle w:val="libAlaemChar"/>
          <w:rtl/>
        </w:rPr>
        <w:t>عليه‌السلام</w:t>
      </w:r>
      <w:r w:rsidRPr="00132E65">
        <w:rPr>
          <w:rtl/>
          <w:lang w:bidi="fa-IR"/>
        </w:rPr>
        <w:t xml:space="preserve"> ، ورَدَ رَجُلٌ مِنْ أَهْلِ </w:t>
      </w:r>
      <w:r>
        <w:rPr>
          <w:rStyle w:val="libFootnotenumChar"/>
          <w:rtl/>
        </w:rPr>
        <w:t>(11)</w:t>
      </w:r>
      <w:r w:rsidRPr="00132E65">
        <w:rPr>
          <w:rtl/>
          <w:lang w:bidi="fa-IR"/>
        </w:rPr>
        <w:t xml:space="preserve"> مِصْرَ بِمَالٍ إِلى مَكَّةَ لِلنَّاحِيَةِ </w:t>
      </w:r>
      <w:r>
        <w:rPr>
          <w:rStyle w:val="libFootnotenumChar"/>
          <w:rtl/>
        </w:rPr>
        <w:t>(12)</w:t>
      </w:r>
      <w:r w:rsidRPr="00132E65">
        <w:rPr>
          <w:rtl/>
          <w:lang w:bidi="fa-IR"/>
        </w:rPr>
        <w:t xml:space="preserve"> ، فَاخْتُلِفَ عَلَيْهِ ، فَقَالَ </w:t>
      </w:r>
      <w:r w:rsidRPr="00F543F1">
        <w:rPr>
          <w:rStyle w:val="libFootnotenumChar"/>
          <w:rtl/>
        </w:rPr>
        <w:t>(13)</w:t>
      </w:r>
      <w:r w:rsidRPr="00132E65">
        <w:rPr>
          <w:rtl/>
          <w:lang w:bidi="fa-IR"/>
        </w:rPr>
        <w:t xml:space="preserve"> بَعْضُ النَّاسِ : إِنَّ أَبَا مُحَمَّدٍ </w:t>
      </w:r>
      <w:r w:rsidRPr="00071CF9">
        <w:rPr>
          <w:rStyle w:val="libAlaemChar"/>
          <w:rtl/>
        </w:rPr>
        <w:t>عليه‌السلام</w:t>
      </w:r>
      <w:r w:rsidRPr="00132E65">
        <w:rPr>
          <w:rtl/>
          <w:lang w:bidi="fa-IR"/>
        </w:rPr>
        <w:t xml:space="preserve"> مَضى مِنْ غَيْرِ خَلَفٍ ، </w:t>
      </w:r>
      <w:r w:rsidR="000170C6" w:rsidRPr="00132E65">
        <w:rPr>
          <w:rtl/>
          <w:lang w:bidi="fa-IR"/>
        </w:rPr>
        <w:t>و</w:t>
      </w:r>
      <w:r w:rsidR="000170C6">
        <w:rPr>
          <w:rFonts w:hint="cs"/>
          <w:rtl/>
          <w:lang w:bidi="fa-IR"/>
        </w:rPr>
        <w:t>َ</w:t>
      </w:r>
      <w:r w:rsidRPr="00132E65">
        <w:rPr>
          <w:rtl/>
          <w:lang w:bidi="fa-IR"/>
        </w:rPr>
        <w:t xml:space="preserve">الْخَلَفُ جَعْفَرٌ ، </w:t>
      </w:r>
      <w:r w:rsidR="000170C6" w:rsidRPr="00132E65">
        <w:rPr>
          <w:rtl/>
          <w:lang w:bidi="fa-IR"/>
        </w:rPr>
        <w:t>و</w:t>
      </w:r>
      <w:r w:rsidR="000170C6">
        <w:rPr>
          <w:rFonts w:hint="cs"/>
          <w:rtl/>
          <w:lang w:bidi="fa-IR"/>
        </w:rPr>
        <w:t>َ</w:t>
      </w:r>
      <w:r w:rsidRPr="00132E65">
        <w:rPr>
          <w:rtl/>
          <w:lang w:bidi="fa-IR"/>
        </w:rPr>
        <w:t xml:space="preserve">قَالَ بَعْضُهُمْ : مَضى أَبُو مُحَمَّدٍ عَنْ خَلَفٍ </w:t>
      </w:r>
      <w:r w:rsidRPr="00F543F1">
        <w:rPr>
          <w:rStyle w:val="libFootnotenumChar"/>
          <w:rtl/>
        </w:rPr>
        <w:t>(14)</w:t>
      </w:r>
      <w:r w:rsidRPr="00132E65">
        <w:rPr>
          <w:rtl/>
          <w:lang w:bidi="fa-IR"/>
        </w:rPr>
        <w:t xml:space="preserve"> ، فَبَعَثَ رَجُلاً يُكَنّى بِأَبِي طَالِبٍ </w:t>
      </w:r>
      <w:r w:rsidRPr="00F543F1">
        <w:rPr>
          <w:rStyle w:val="libFootnotenumChar"/>
          <w:rtl/>
        </w:rPr>
        <w:t>(15)</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ف ، بح ، بر ، بس ، بف » و</w:t>
      </w:r>
      <w:r w:rsidRPr="009D1ACE">
        <w:rPr>
          <w:rStyle w:val="libFootnoteBoldChar"/>
          <w:rtl/>
        </w:rPr>
        <w:t>الوافي</w:t>
      </w:r>
      <w:r w:rsidRPr="00132E65">
        <w:rPr>
          <w:rtl/>
        </w:rPr>
        <w:t xml:space="preserve"> والإرشاد. وفي المطبوع : « ول</w:t>
      </w:r>
      <w:r w:rsidR="000170C6">
        <w:rPr>
          <w:rFonts w:hint="cs"/>
          <w:rtl/>
        </w:rPr>
        <w:t>ـ</w:t>
      </w:r>
      <w:r w:rsidRPr="00132E65">
        <w:rPr>
          <w:rtl/>
        </w:rPr>
        <w:t>مّا »</w:t>
      </w:r>
      <w:r>
        <w:rPr>
          <w:rtl/>
        </w:rPr>
        <w:t>.</w:t>
      </w:r>
    </w:p>
    <w:p w:rsidR="000C39D1" w:rsidRPr="00132E65" w:rsidRDefault="000C39D1" w:rsidP="000C39D1">
      <w:pPr>
        <w:pStyle w:val="libFootnote0"/>
        <w:rPr>
          <w:rtl/>
          <w:lang w:bidi="fa-IR"/>
        </w:rPr>
      </w:pPr>
      <w:r>
        <w:rPr>
          <w:rtl/>
        </w:rPr>
        <w:t>(2).</w:t>
      </w:r>
      <w:r w:rsidRPr="00132E65">
        <w:rPr>
          <w:rtl/>
        </w:rPr>
        <w:t xml:space="preserve"> في « بح » : « وكتب أنّي »</w:t>
      </w:r>
      <w:r>
        <w:rPr>
          <w:rtl/>
        </w:rPr>
        <w:t>.</w:t>
      </w:r>
      <w:r w:rsidRPr="00132E65">
        <w:rPr>
          <w:rtl/>
        </w:rPr>
        <w:t xml:space="preserve"> وفي الإرشاد : « وكتبت أنّي قد »</w:t>
      </w:r>
      <w:r>
        <w:rPr>
          <w:rtl/>
        </w:rPr>
        <w:t>.</w:t>
      </w:r>
    </w:p>
    <w:tbl>
      <w:tblPr>
        <w:tblStyle w:val="TableGrid"/>
        <w:bidiVisual/>
        <w:tblW w:w="0" w:type="auto"/>
        <w:tblLook w:val="04A0" w:firstRow="1" w:lastRow="0" w:firstColumn="1" w:lastColumn="0" w:noHBand="0" w:noVBand="1"/>
      </w:tblPr>
      <w:tblGrid>
        <w:gridCol w:w="4261"/>
        <w:gridCol w:w="4262"/>
      </w:tblGrid>
      <w:tr w:rsidR="000170C6" w:rsidTr="000170C6">
        <w:tc>
          <w:tcPr>
            <w:tcW w:w="4261" w:type="dxa"/>
          </w:tcPr>
          <w:p w:rsidR="000170C6" w:rsidRDefault="000170C6" w:rsidP="000C39D1">
            <w:pPr>
              <w:pStyle w:val="libFootnote0"/>
              <w:rPr>
                <w:rtl/>
              </w:rPr>
            </w:pPr>
            <w:r>
              <w:rPr>
                <w:rtl/>
              </w:rPr>
              <w:t>(3).</w:t>
            </w:r>
            <w:r w:rsidRPr="00132E65">
              <w:rPr>
                <w:rtl/>
              </w:rPr>
              <w:t xml:space="preserve"> في « ب ، ض » :</w:t>
            </w:r>
            <w:r>
              <w:rPr>
                <w:rtl/>
              </w:rPr>
              <w:t xml:space="preserve"> + </w:t>
            </w:r>
            <w:r w:rsidRPr="00132E65">
              <w:rPr>
                <w:rtl/>
              </w:rPr>
              <w:t>« قال »</w:t>
            </w:r>
            <w:r>
              <w:rPr>
                <w:rtl/>
              </w:rPr>
              <w:t>.</w:t>
            </w:r>
          </w:p>
        </w:tc>
        <w:tc>
          <w:tcPr>
            <w:tcW w:w="4262" w:type="dxa"/>
          </w:tcPr>
          <w:p w:rsidR="000170C6" w:rsidRDefault="000170C6" w:rsidP="000C39D1">
            <w:pPr>
              <w:pStyle w:val="libFootnote0"/>
              <w:rPr>
                <w:rtl/>
              </w:rPr>
            </w:pPr>
            <w:r>
              <w:rPr>
                <w:rtl/>
              </w:rPr>
              <w:t>(4).</w:t>
            </w:r>
            <w:r w:rsidRPr="00132E65">
              <w:rPr>
                <w:rtl/>
              </w:rPr>
              <w:t xml:space="preserve"> في حاشية « بح » : « فعادلته »</w:t>
            </w:r>
            <w:r>
              <w:rPr>
                <w:rtl/>
              </w:rPr>
              <w:t>.</w:t>
            </w:r>
          </w:p>
        </w:tc>
      </w:tr>
    </w:tbl>
    <w:p w:rsidR="000C39D1" w:rsidRPr="00132E65" w:rsidRDefault="000C39D1" w:rsidP="00E2689E">
      <w:pPr>
        <w:pStyle w:val="libFootnote0"/>
        <w:rPr>
          <w:rtl/>
          <w:lang w:bidi="fa-IR"/>
        </w:rPr>
      </w:pPr>
      <w:r>
        <w:rPr>
          <w:rtl/>
        </w:rPr>
        <w:t>(5).</w:t>
      </w:r>
      <w:r w:rsidRPr="00132E65">
        <w:rPr>
          <w:rtl/>
        </w:rPr>
        <w:t xml:space="preserve"> </w:t>
      </w:r>
      <w:r w:rsidRPr="00C20DDB">
        <w:rPr>
          <w:rtl/>
        </w:rPr>
        <w:t>الغيبة</w:t>
      </w:r>
      <w:r w:rsidRPr="00132E65">
        <w:rPr>
          <w:rtl/>
        </w:rPr>
        <w:t xml:space="preserve"> للطوسي ، ص 283 ، ح 242 ، بسنده عن الكليني إلى قوله : « فجاء كما قال »</w:t>
      </w:r>
      <w:r>
        <w:rPr>
          <w:rtl/>
        </w:rPr>
        <w:t>.</w:t>
      </w:r>
      <w:r w:rsidRPr="00132E65">
        <w:rPr>
          <w:rtl/>
        </w:rPr>
        <w:t xml:space="preserve"> </w:t>
      </w:r>
      <w:r w:rsidRPr="00C20DDB">
        <w:rPr>
          <w:rtl/>
        </w:rPr>
        <w:t>الإرشاد</w:t>
      </w:r>
      <w:r w:rsidRPr="00132E65">
        <w:rPr>
          <w:rtl/>
        </w:rPr>
        <w:t xml:space="preserve"> ، ج 2 ، ص 364 عن عليّ بن محمّد ؛ </w:t>
      </w:r>
      <w:r w:rsidRPr="00C20DDB">
        <w:rPr>
          <w:rtl/>
        </w:rPr>
        <w:t>كمال الدين</w:t>
      </w:r>
      <w:r w:rsidRPr="00132E65">
        <w:rPr>
          <w:rtl/>
        </w:rPr>
        <w:t xml:space="preserve"> ، ص 489 ، ح 12 ، بسند آخر عن أبي جعفر ، مع اختلاف</w:t>
      </w:r>
      <w:r w:rsidR="00E2689E">
        <w:rPr>
          <w:rFonts w:hint="cs"/>
          <w:rtl/>
        </w:rPr>
        <w:t>.</w:t>
      </w:r>
      <w:r w:rsidRPr="009D1ACE">
        <w:rPr>
          <w:rStyle w:val="libFootnoteBoldChar"/>
          <w:rtl/>
        </w:rPr>
        <w:t>الوافي</w:t>
      </w:r>
      <w:r w:rsidRPr="00132E65">
        <w:rPr>
          <w:rtl/>
        </w:rPr>
        <w:t xml:space="preserve"> ، ج 3 ، ص 875 ، ح 1497.</w:t>
      </w:r>
    </w:p>
    <w:p w:rsidR="000C39D1" w:rsidRPr="00132E65" w:rsidRDefault="000C39D1" w:rsidP="000C39D1">
      <w:pPr>
        <w:pStyle w:val="libFootnote0"/>
        <w:rPr>
          <w:rtl/>
          <w:lang w:bidi="fa-IR"/>
        </w:rPr>
      </w:pPr>
      <w:r>
        <w:rPr>
          <w:rtl/>
        </w:rPr>
        <w:t>(6).</w:t>
      </w:r>
      <w:r w:rsidRPr="00132E65">
        <w:rPr>
          <w:rtl/>
        </w:rPr>
        <w:t xml:space="preserve"> في « بح » : « الحسين بن عليّ العلوي »</w:t>
      </w:r>
      <w:r>
        <w:rPr>
          <w:rtl/>
        </w:rPr>
        <w:t>.</w:t>
      </w:r>
      <w:r w:rsidRPr="00132E65">
        <w:rPr>
          <w:rtl/>
        </w:rPr>
        <w:t xml:space="preserve"> وفي « بر » وحاشية « بف » : « الحسين بن الحسن »</w:t>
      </w:r>
      <w:r>
        <w:rPr>
          <w:rtl/>
        </w:rPr>
        <w:t>.</w:t>
      </w:r>
    </w:p>
    <w:p w:rsidR="000C39D1" w:rsidRPr="00132E65" w:rsidRDefault="000C39D1" w:rsidP="000C39D1">
      <w:pPr>
        <w:pStyle w:val="libFootnote0"/>
        <w:rPr>
          <w:rtl/>
          <w:lang w:bidi="fa-IR"/>
        </w:rPr>
      </w:pPr>
      <w:r>
        <w:rPr>
          <w:rtl/>
        </w:rPr>
        <w:t>(7).</w:t>
      </w:r>
      <w:r w:rsidRPr="00132E65">
        <w:rPr>
          <w:rtl/>
        </w:rPr>
        <w:t xml:space="preserve"> ذُكِر في </w:t>
      </w:r>
      <w:r w:rsidRPr="00C20DDB">
        <w:rPr>
          <w:rtl/>
        </w:rPr>
        <w:t>كمال الدين</w:t>
      </w:r>
      <w:r w:rsidRPr="00132E65">
        <w:rPr>
          <w:rtl/>
        </w:rPr>
        <w:t xml:space="preserve"> ، ص 442 ، ح 16 : المجروحُ من أهل فارس في جملة من وقف على معجزات صاحب‌الزمان </w:t>
      </w:r>
      <w:r w:rsidRPr="000170C6">
        <w:rPr>
          <w:rStyle w:val="libFootnoteAlaemChar"/>
          <w:rtl/>
        </w:rPr>
        <w:t>عليه‌السلام</w:t>
      </w:r>
      <w:r w:rsidRPr="00132E65">
        <w:rPr>
          <w:rtl/>
        </w:rPr>
        <w:t xml:space="preserve"> ، والظاهر اتّحاده مع المجروح هذا.</w:t>
      </w:r>
    </w:p>
    <w:tbl>
      <w:tblPr>
        <w:tblStyle w:val="TableGrid"/>
        <w:bidiVisual/>
        <w:tblW w:w="0" w:type="auto"/>
        <w:tblLook w:val="04A0" w:firstRow="1" w:lastRow="0" w:firstColumn="1" w:lastColumn="0" w:noHBand="0" w:noVBand="1"/>
      </w:tblPr>
      <w:tblGrid>
        <w:gridCol w:w="4261"/>
        <w:gridCol w:w="4262"/>
      </w:tblGrid>
      <w:tr w:rsidR="00E2689E" w:rsidTr="00E2689E">
        <w:tc>
          <w:tcPr>
            <w:tcW w:w="4261" w:type="dxa"/>
          </w:tcPr>
          <w:p w:rsidR="00E2689E" w:rsidRDefault="00E2689E" w:rsidP="000C39D1">
            <w:pPr>
              <w:pStyle w:val="libFootnote0"/>
              <w:rPr>
                <w:rtl/>
              </w:rPr>
            </w:pPr>
            <w:r>
              <w:rPr>
                <w:rtl/>
              </w:rPr>
              <w:t>(8).</w:t>
            </w:r>
            <w:r w:rsidRPr="00132E65">
              <w:rPr>
                <w:rtl/>
              </w:rPr>
              <w:t xml:space="preserve"> </w:t>
            </w:r>
            <w:r w:rsidRPr="009D1ACE">
              <w:rPr>
                <w:rStyle w:val="libFootnoteBoldChar"/>
                <w:rtl/>
              </w:rPr>
              <w:t>الوافي</w:t>
            </w:r>
            <w:r w:rsidRPr="00132E65">
              <w:rPr>
                <w:rtl/>
              </w:rPr>
              <w:t xml:space="preserve"> ، ج 3 ، ص 876 ، ح 1498.</w:t>
            </w:r>
          </w:p>
        </w:tc>
        <w:tc>
          <w:tcPr>
            <w:tcW w:w="4262" w:type="dxa"/>
          </w:tcPr>
          <w:p w:rsidR="00E2689E" w:rsidRDefault="00E2689E" w:rsidP="000C39D1">
            <w:pPr>
              <w:pStyle w:val="libFootnote0"/>
              <w:rPr>
                <w:rtl/>
              </w:rPr>
            </w:pPr>
            <w:r>
              <w:rPr>
                <w:rtl/>
              </w:rPr>
              <w:t>(9).</w:t>
            </w:r>
            <w:r w:rsidRPr="00132E65">
              <w:rPr>
                <w:rtl/>
              </w:rPr>
              <w:t xml:space="preserve"> في الإرشاد </w:t>
            </w:r>
            <w:r>
              <w:rPr>
                <w:rtl/>
              </w:rPr>
              <w:t xml:space="preserve">: - </w:t>
            </w:r>
            <w:r w:rsidRPr="00132E65">
              <w:rPr>
                <w:rtl/>
              </w:rPr>
              <w:t>« أبي محمّد »</w:t>
            </w:r>
            <w:r>
              <w:rPr>
                <w:rtl/>
              </w:rPr>
              <w:t>.</w:t>
            </w:r>
          </w:p>
        </w:tc>
      </w:tr>
      <w:tr w:rsidR="00E2689E" w:rsidTr="00E2689E">
        <w:tc>
          <w:tcPr>
            <w:tcW w:w="4261" w:type="dxa"/>
          </w:tcPr>
          <w:p w:rsidR="00E2689E" w:rsidRDefault="00E2689E" w:rsidP="000C39D1">
            <w:pPr>
              <w:pStyle w:val="libFootnote0"/>
              <w:rPr>
                <w:rtl/>
              </w:rPr>
            </w:pPr>
            <w:r>
              <w:rPr>
                <w:rtl/>
              </w:rPr>
              <w:t>(10).</w:t>
            </w:r>
            <w:r w:rsidRPr="00132E65">
              <w:rPr>
                <w:rtl/>
              </w:rPr>
              <w:t xml:space="preserve"> في الإرشاد :</w:t>
            </w:r>
            <w:r>
              <w:rPr>
                <w:rtl/>
              </w:rPr>
              <w:t xml:space="preserve"> + </w:t>
            </w:r>
            <w:r w:rsidRPr="00132E65">
              <w:rPr>
                <w:rtl/>
              </w:rPr>
              <w:t>« الحسن بن عليّ »</w:t>
            </w:r>
            <w:r>
              <w:rPr>
                <w:rtl/>
              </w:rPr>
              <w:t>.</w:t>
            </w:r>
          </w:p>
        </w:tc>
        <w:tc>
          <w:tcPr>
            <w:tcW w:w="4262" w:type="dxa"/>
          </w:tcPr>
          <w:p w:rsidR="00E2689E" w:rsidRDefault="00800A2D" w:rsidP="000C39D1">
            <w:pPr>
              <w:pStyle w:val="libFootnote0"/>
              <w:rPr>
                <w:rtl/>
              </w:rPr>
            </w:pPr>
            <w:r>
              <w:rPr>
                <w:rtl/>
              </w:rPr>
              <w:t>(11).</w:t>
            </w:r>
            <w:r w:rsidRPr="00132E65">
              <w:rPr>
                <w:rtl/>
              </w:rPr>
              <w:t xml:space="preserve"> في الإرشاد </w:t>
            </w:r>
            <w:r>
              <w:rPr>
                <w:rtl/>
              </w:rPr>
              <w:t xml:space="preserve">: - </w:t>
            </w:r>
            <w:r w:rsidRPr="00132E65">
              <w:rPr>
                <w:rtl/>
              </w:rPr>
              <w:t>« أهل »</w:t>
            </w:r>
            <w:r>
              <w:rPr>
                <w:rtl/>
              </w:rPr>
              <w:t>.</w:t>
            </w:r>
          </w:p>
        </w:tc>
      </w:tr>
      <w:tr w:rsidR="00E2689E" w:rsidTr="00E2689E">
        <w:tc>
          <w:tcPr>
            <w:tcW w:w="4261" w:type="dxa"/>
          </w:tcPr>
          <w:p w:rsidR="00E2689E" w:rsidRDefault="00800A2D" w:rsidP="000C39D1">
            <w:pPr>
              <w:pStyle w:val="libFootnote0"/>
              <w:rPr>
                <w:rtl/>
              </w:rPr>
            </w:pPr>
            <w:r>
              <w:rPr>
                <w:rtl/>
              </w:rPr>
              <w:t>(12).</w:t>
            </w:r>
            <w:r w:rsidRPr="00132E65">
              <w:rPr>
                <w:rtl/>
              </w:rPr>
              <w:t xml:space="preserve"> في الإرشاد : « لصاحب الأمر »</w:t>
            </w:r>
            <w:r>
              <w:rPr>
                <w:rtl/>
              </w:rPr>
              <w:t>.</w:t>
            </w:r>
          </w:p>
        </w:tc>
        <w:tc>
          <w:tcPr>
            <w:tcW w:w="4262" w:type="dxa"/>
          </w:tcPr>
          <w:p w:rsidR="00E2689E" w:rsidRDefault="00800A2D" w:rsidP="000C39D1">
            <w:pPr>
              <w:pStyle w:val="libFootnote0"/>
              <w:rPr>
                <w:rtl/>
              </w:rPr>
            </w:pPr>
            <w:r>
              <w:rPr>
                <w:rtl/>
              </w:rPr>
              <w:t>(13)</w:t>
            </w:r>
            <w:r w:rsidRPr="00132E65">
              <w:rPr>
                <w:rtl/>
              </w:rPr>
              <w:t xml:space="preserve"> في الإرشاد : « وقال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الإرشاد : « قد مضى من غير خلف ، وقال آخرون : الخلف من بعده جعفر ، وقال آخرون : الخلف من بعده‌</w:t>
      </w:r>
      <w:r w:rsidR="00800A2D">
        <w:rPr>
          <w:rFonts w:hint="cs"/>
          <w:rtl/>
        </w:rPr>
        <w:t xml:space="preserve"> </w:t>
      </w:r>
      <w:r w:rsidR="00800A2D">
        <w:rPr>
          <w:rtl/>
        </w:rPr>
        <w:t>ولده</w:t>
      </w:r>
      <w:r w:rsidRPr="00132E65">
        <w:rPr>
          <w:rtl/>
        </w:rPr>
        <w:t>» بدل « مضى من</w:t>
      </w:r>
      <w:r>
        <w:rPr>
          <w:rtl/>
        </w:rPr>
        <w:t xml:space="preserve"> - </w:t>
      </w:r>
      <w:r w:rsidRPr="00132E65">
        <w:rPr>
          <w:rtl/>
        </w:rPr>
        <w:t>إلى</w:t>
      </w:r>
      <w:r>
        <w:rPr>
          <w:rtl/>
        </w:rPr>
        <w:t xml:space="preserve"> - </w:t>
      </w:r>
      <w:r w:rsidRPr="00132E65">
        <w:rPr>
          <w:rtl/>
        </w:rPr>
        <w:t>عن خلف »</w:t>
      </w:r>
      <w:r>
        <w:rPr>
          <w:rtl/>
        </w:rPr>
        <w:t>.</w:t>
      </w:r>
    </w:p>
    <w:p w:rsidR="000C39D1" w:rsidRPr="00132E65" w:rsidRDefault="000C39D1" w:rsidP="000C39D1">
      <w:pPr>
        <w:pStyle w:val="libFootnote0"/>
        <w:rPr>
          <w:rtl/>
          <w:lang w:bidi="fa-IR"/>
        </w:rPr>
      </w:pPr>
      <w:r>
        <w:rPr>
          <w:rtl/>
        </w:rPr>
        <w:t>(15)</w:t>
      </w:r>
      <w:r w:rsidRPr="00132E65">
        <w:rPr>
          <w:rtl/>
        </w:rPr>
        <w:t xml:space="preserve"> في « بر » وحاشية « بف » : « بأبي غالب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800A2D">
      <w:pPr>
        <w:pStyle w:val="libNormal0"/>
        <w:tabs>
          <w:tab w:val="left" w:pos="3968"/>
        </w:tabs>
        <w:rPr>
          <w:rtl/>
          <w:lang w:bidi="fa-IR"/>
        </w:rPr>
      </w:pPr>
      <w:r w:rsidRPr="00132E65">
        <w:rPr>
          <w:rtl/>
          <w:lang w:bidi="fa-IR"/>
        </w:rPr>
        <w:t xml:space="preserve">فَوَرَدَ الْعَسْكَرَ </w:t>
      </w:r>
      <w:r>
        <w:rPr>
          <w:rStyle w:val="libFootnotenumChar"/>
          <w:rtl/>
        </w:rPr>
        <w:t>(1)</w:t>
      </w:r>
      <w:r w:rsidRPr="00132E65">
        <w:rPr>
          <w:rtl/>
          <w:lang w:bidi="fa-IR"/>
        </w:rPr>
        <w:t xml:space="preserve"> و</w:t>
      </w:r>
      <w:r w:rsidR="00800A2D">
        <w:rPr>
          <w:rFonts w:hint="cs"/>
          <w:rtl/>
          <w:lang w:bidi="fa-IR"/>
        </w:rPr>
        <w:t>َ</w:t>
      </w:r>
      <w:r w:rsidRPr="00132E65">
        <w:rPr>
          <w:rtl/>
          <w:lang w:bidi="fa-IR"/>
        </w:rPr>
        <w:t xml:space="preserve">مَعَهُ كِتَابٌ ، فَصَارَ </w:t>
      </w:r>
      <w:r>
        <w:rPr>
          <w:rStyle w:val="libFootnotenumChar"/>
          <w:rtl/>
        </w:rPr>
        <w:t>(2)</w:t>
      </w:r>
      <w:r w:rsidRPr="00132E65">
        <w:rPr>
          <w:rtl/>
          <w:lang w:bidi="fa-IR"/>
        </w:rPr>
        <w:t xml:space="preserve"> إِلى جَعْفَرٍ ، و</w:t>
      </w:r>
      <w:r w:rsidR="00800A2D">
        <w:rPr>
          <w:rFonts w:hint="cs"/>
          <w:rtl/>
          <w:lang w:bidi="fa-IR"/>
        </w:rPr>
        <w:t>َ</w:t>
      </w:r>
      <w:r w:rsidRPr="00132E65">
        <w:rPr>
          <w:rtl/>
          <w:lang w:bidi="fa-IR"/>
        </w:rPr>
        <w:t xml:space="preserve">سَأَلَهُ عَنْ بُرْهَانٍ ، فَقَالَ </w:t>
      </w:r>
      <w:r>
        <w:rPr>
          <w:rStyle w:val="libFootnotenumChar"/>
          <w:rtl/>
        </w:rPr>
        <w:t>(3)</w:t>
      </w:r>
      <w:r w:rsidRPr="00132E65">
        <w:rPr>
          <w:rtl/>
          <w:lang w:bidi="fa-IR"/>
        </w:rPr>
        <w:t xml:space="preserve"> : لَايَتَهَيَّأُ </w:t>
      </w:r>
      <w:r>
        <w:rPr>
          <w:rStyle w:val="libFootnotenumChar"/>
          <w:rtl/>
        </w:rPr>
        <w:t>(4)</w:t>
      </w:r>
      <w:r w:rsidRPr="00132E65">
        <w:rPr>
          <w:rtl/>
          <w:lang w:bidi="fa-IR"/>
        </w:rPr>
        <w:t xml:space="preserve"> فِي هذَا الْوَقْتِ ، فَصَارَ </w:t>
      </w:r>
      <w:r>
        <w:rPr>
          <w:rStyle w:val="libFootnotenumChar"/>
          <w:rtl/>
        </w:rPr>
        <w:t>(5)</w:t>
      </w:r>
      <w:r w:rsidRPr="00132E65">
        <w:rPr>
          <w:rtl/>
          <w:lang w:bidi="fa-IR"/>
        </w:rPr>
        <w:t xml:space="preserve"> إِلَى الْبَابِ ، و</w:t>
      </w:r>
      <w:r w:rsidR="00800A2D">
        <w:rPr>
          <w:rFonts w:hint="cs"/>
          <w:rtl/>
          <w:lang w:bidi="fa-IR"/>
        </w:rPr>
        <w:t>َ</w:t>
      </w:r>
      <w:r w:rsidRPr="00132E65">
        <w:rPr>
          <w:rtl/>
          <w:lang w:bidi="fa-IR"/>
        </w:rPr>
        <w:t xml:space="preserve">أَنْفَذَ الْكِتَابَ إِلى أَصْحَابِنَا </w:t>
      </w:r>
      <w:r>
        <w:rPr>
          <w:rStyle w:val="libFootnotenumChar"/>
          <w:rtl/>
        </w:rPr>
        <w:t>(6)</w:t>
      </w:r>
      <w:r w:rsidRPr="00132E65">
        <w:rPr>
          <w:rtl/>
          <w:lang w:bidi="fa-IR"/>
        </w:rPr>
        <w:t xml:space="preserve"> ، فَخَرَجَ إِلَيْهِ : « آجَرَكَ اللهُ فِي صَاحِبِكَ ، فَقَدْ مَاتَ و</w:t>
      </w:r>
      <w:r w:rsidR="00800A2D">
        <w:rPr>
          <w:rFonts w:hint="cs"/>
          <w:rtl/>
          <w:lang w:bidi="fa-IR"/>
        </w:rPr>
        <w:t xml:space="preserve">َ </w:t>
      </w:r>
      <w:r w:rsidRPr="00132E65">
        <w:rPr>
          <w:rtl/>
          <w:lang w:bidi="fa-IR"/>
        </w:rPr>
        <w:t xml:space="preserve">أَوْصى بِالْمَالِ الَّذِي كَانَ مَعَهُ إِلى ثِقَةٍ لِيَعْمَلَ </w:t>
      </w:r>
      <w:r>
        <w:rPr>
          <w:rStyle w:val="libFootnotenumChar"/>
          <w:rtl/>
        </w:rPr>
        <w:t>(7)</w:t>
      </w:r>
      <w:r w:rsidRPr="00132E65">
        <w:rPr>
          <w:rtl/>
          <w:lang w:bidi="fa-IR"/>
        </w:rPr>
        <w:t xml:space="preserve"> فِيهِ بِمَا يُحِبُّ </w:t>
      </w:r>
      <w:r>
        <w:rPr>
          <w:rStyle w:val="libFootnotenumChar"/>
          <w:rtl/>
        </w:rPr>
        <w:t>(8)</w:t>
      </w:r>
      <w:r w:rsidRPr="00132E65">
        <w:rPr>
          <w:rtl/>
          <w:lang w:bidi="fa-IR"/>
        </w:rPr>
        <w:t xml:space="preserve"> » وَأُجِيبَ عَنْ كِتَابِهِ </w:t>
      </w:r>
      <w:r>
        <w:rPr>
          <w:rStyle w:val="libFootnotenumChar"/>
          <w:rtl/>
        </w:rPr>
        <w:t>(9)</w:t>
      </w:r>
      <w:r w:rsidR="00800A2D">
        <w:rPr>
          <w:rFonts w:hint="cs"/>
          <w:rtl/>
          <w:lang w:bidi="fa-IR"/>
        </w:rPr>
        <w:t>.</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C20DDB">
        <w:rPr>
          <w:rtl/>
        </w:rPr>
        <w:t>1376</w:t>
      </w:r>
      <w:r w:rsidRPr="004325D8">
        <w:rPr>
          <w:rStyle w:val="libBold2Char"/>
          <w:rtl/>
        </w:rPr>
        <w:t xml:space="preserve"> / 20.</w:t>
      </w:r>
      <w:r w:rsidRPr="00132E65">
        <w:rPr>
          <w:rtl/>
          <w:lang w:bidi="fa-IR"/>
        </w:rPr>
        <w:t xml:space="preserve"> عَلِيُّ بْنُ مُحَمَّدٍ قَالَ :</w:t>
      </w:r>
    </w:p>
    <w:p w:rsidR="000C39D1" w:rsidRPr="00132E65" w:rsidRDefault="000C39D1" w:rsidP="000C39D1">
      <w:pPr>
        <w:pStyle w:val="libNormal"/>
        <w:rPr>
          <w:rtl/>
          <w:lang w:bidi="fa-IR"/>
        </w:rPr>
      </w:pPr>
      <w:r w:rsidRPr="00132E65">
        <w:rPr>
          <w:rtl/>
          <w:lang w:bidi="fa-IR"/>
        </w:rPr>
        <w:t xml:space="preserve">حَمَلَ رَجُلٌ مِنْ أَهْلِ آبَةَ </w:t>
      </w:r>
      <w:r>
        <w:rPr>
          <w:rStyle w:val="libFootnotenumChar"/>
          <w:rtl/>
        </w:rPr>
        <w:t>(11)</w:t>
      </w:r>
      <w:r w:rsidRPr="00132E65">
        <w:rPr>
          <w:rtl/>
          <w:lang w:bidi="fa-IR"/>
        </w:rPr>
        <w:t xml:space="preserve"> شَيْئاً يُوصِلُهُ ، و</w:t>
      </w:r>
      <w:r w:rsidR="00800A2D">
        <w:rPr>
          <w:rFonts w:hint="cs"/>
          <w:rtl/>
          <w:lang w:bidi="fa-IR"/>
        </w:rPr>
        <w:t xml:space="preserve">َ </w:t>
      </w:r>
      <w:r w:rsidRPr="00132E65">
        <w:rPr>
          <w:rtl/>
          <w:lang w:bidi="fa-IR"/>
        </w:rPr>
        <w:t xml:space="preserve">نَسِيَ سَيْفاً بِآبَةَ ، فَأَنْفَذَ مَا كَانَ مَعَهُ ، فَكَتَبَ </w:t>
      </w:r>
      <w:r>
        <w:rPr>
          <w:rStyle w:val="libFootnotenumChar"/>
          <w:rtl/>
        </w:rPr>
        <w:t>(12)</w:t>
      </w:r>
      <w:r w:rsidRPr="00132E65">
        <w:rPr>
          <w:rtl/>
          <w:lang w:bidi="fa-IR"/>
        </w:rPr>
        <w:t xml:space="preserve"> إِلَيْهِ : « مَا خَبَرُ السَّيْفِ الَّذِي نَسِيتَهُ </w:t>
      </w:r>
      <w:r w:rsidRPr="00F543F1">
        <w:rPr>
          <w:rStyle w:val="libFootnotenumChar"/>
          <w:rtl/>
        </w:rPr>
        <w:t>(13)</w:t>
      </w:r>
      <w:r>
        <w:rPr>
          <w:rtl/>
          <w:lang w:bidi="fa-IR"/>
        </w:rPr>
        <w:t>؟</w:t>
      </w:r>
      <w:r w:rsidRPr="00132E65">
        <w:rPr>
          <w:rtl/>
          <w:lang w:bidi="fa-IR"/>
        </w:rPr>
        <w:t xml:space="preserve">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C20DDB">
        <w:rPr>
          <w:rtl/>
        </w:rPr>
        <w:t>1377</w:t>
      </w:r>
      <w:r w:rsidRPr="004325D8">
        <w:rPr>
          <w:rStyle w:val="libBold2Char"/>
          <w:rtl/>
        </w:rPr>
        <w:t xml:space="preserve"> / 21.</w:t>
      </w:r>
      <w:r w:rsidRPr="00132E65">
        <w:rPr>
          <w:rtl/>
          <w:lang w:bidi="fa-IR"/>
        </w:rPr>
        <w:t xml:space="preserve"> الْحَسَنُ </w:t>
      </w:r>
      <w:r w:rsidRPr="00F543F1">
        <w:rPr>
          <w:rStyle w:val="libFootnotenumChar"/>
          <w:rtl/>
        </w:rPr>
        <w:t>(15)</w:t>
      </w:r>
      <w:r w:rsidRPr="00132E65">
        <w:rPr>
          <w:rtl/>
          <w:lang w:bidi="fa-IR"/>
        </w:rPr>
        <w:t xml:space="preserve"> بْنُ خَفِيفٍ ، عَنْ أَبِيهِ ، قَالَ :</w:t>
      </w:r>
    </w:p>
    <w:p w:rsidR="000C39D1" w:rsidRPr="00132E65" w:rsidRDefault="000C39D1" w:rsidP="000C39D1">
      <w:pPr>
        <w:pStyle w:val="libNormal"/>
        <w:rPr>
          <w:rtl/>
          <w:lang w:bidi="fa-IR"/>
        </w:rPr>
      </w:pPr>
      <w:r w:rsidRPr="00132E65">
        <w:rPr>
          <w:rtl/>
          <w:lang w:bidi="fa-IR"/>
        </w:rPr>
        <w:t xml:space="preserve">بَعَثَ بِخَدَمٍ </w:t>
      </w:r>
      <w:r w:rsidRPr="00F543F1">
        <w:rPr>
          <w:rStyle w:val="libFootnotenumChar"/>
          <w:rtl/>
        </w:rPr>
        <w:t>(16)</w:t>
      </w:r>
      <w:r w:rsidRPr="00132E65">
        <w:rPr>
          <w:rtl/>
          <w:lang w:bidi="fa-IR"/>
        </w:rPr>
        <w:t xml:space="preserve"> إِلى مَدِينَةِ الرَّسُولِ </w:t>
      </w:r>
      <w:r w:rsidRPr="00071CF9">
        <w:rPr>
          <w:rStyle w:val="libAlaemChar"/>
          <w:rtl/>
        </w:rPr>
        <w:t>عليه‌السلام</w:t>
      </w:r>
      <w:r w:rsidRPr="00132E65">
        <w:rPr>
          <w:rtl/>
          <w:lang w:bidi="fa-IR"/>
        </w:rPr>
        <w:t xml:space="preserve"> </w:t>
      </w:r>
      <w:r w:rsidRPr="00F543F1">
        <w:rPr>
          <w:rStyle w:val="libFootnotenumChar"/>
          <w:rtl/>
        </w:rPr>
        <w:t>(17)</w:t>
      </w:r>
      <w:r w:rsidRPr="00132E65">
        <w:rPr>
          <w:rtl/>
          <w:lang w:bidi="fa-IR"/>
        </w:rPr>
        <w:t xml:space="preserve"> وَمَعَهُمْ خَادِمَانِ ، و</w:t>
      </w:r>
      <w:r w:rsidR="00800A2D">
        <w:rPr>
          <w:rFonts w:hint="cs"/>
          <w:rtl/>
          <w:lang w:bidi="fa-IR"/>
        </w:rPr>
        <w:t xml:space="preserve">َ </w:t>
      </w:r>
      <w:r w:rsidRPr="00132E65">
        <w:rPr>
          <w:rtl/>
          <w:lang w:bidi="fa-IR"/>
        </w:rPr>
        <w:t>كَتَبَ إِلى خَفِيفٍ أَنْ‌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الإرشاد : « أبا طالب إلى العسكر يبحث عن الأمر وصحّته » بدل « بأبي طالب فورد العسكر »</w:t>
      </w:r>
      <w:r>
        <w:rPr>
          <w:rtl/>
        </w:rPr>
        <w:t>.</w:t>
      </w:r>
    </w:p>
    <w:tbl>
      <w:tblPr>
        <w:tblStyle w:val="TableGrid"/>
        <w:bidiVisual/>
        <w:tblW w:w="0" w:type="auto"/>
        <w:tblLook w:val="04A0" w:firstRow="1" w:lastRow="0" w:firstColumn="1" w:lastColumn="0" w:noHBand="0" w:noVBand="1"/>
      </w:tblPr>
      <w:tblGrid>
        <w:gridCol w:w="4261"/>
        <w:gridCol w:w="4262"/>
      </w:tblGrid>
      <w:tr w:rsidR="00800A2D" w:rsidTr="00800A2D">
        <w:tc>
          <w:tcPr>
            <w:tcW w:w="4261" w:type="dxa"/>
          </w:tcPr>
          <w:p w:rsidR="00800A2D" w:rsidRDefault="00800A2D" w:rsidP="000C39D1">
            <w:pPr>
              <w:pStyle w:val="libFootnote0"/>
              <w:rPr>
                <w:rtl/>
              </w:rPr>
            </w:pPr>
            <w:r>
              <w:rPr>
                <w:rtl/>
              </w:rPr>
              <w:t>(2).</w:t>
            </w:r>
            <w:r w:rsidRPr="00132E65">
              <w:rPr>
                <w:rtl/>
              </w:rPr>
              <w:t xml:space="preserve"> في الإرشاد :</w:t>
            </w:r>
            <w:r>
              <w:rPr>
                <w:rtl/>
              </w:rPr>
              <w:t xml:space="preserve"> + </w:t>
            </w:r>
            <w:r w:rsidRPr="00132E65">
              <w:rPr>
                <w:rtl/>
              </w:rPr>
              <w:t>« الرجل »</w:t>
            </w:r>
            <w:r>
              <w:rPr>
                <w:rtl/>
              </w:rPr>
              <w:t>.</w:t>
            </w:r>
          </w:p>
        </w:tc>
        <w:tc>
          <w:tcPr>
            <w:tcW w:w="4262" w:type="dxa"/>
          </w:tcPr>
          <w:p w:rsidR="00800A2D" w:rsidRDefault="00800A2D" w:rsidP="000C39D1">
            <w:pPr>
              <w:pStyle w:val="libFootnote0"/>
              <w:rPr>
                <w:rtl/>
              </w:rPr>
            </w:pPr>
            <w:r>
              <w:rPr>
                <w:rtl/>
              </w:rPr>
              <w:t>(3).</w:t>
            </w:r>
            <w:r w:rsidRPr="00132E65">
              <w:rPr>
                <w:rtl/>
              </w:rPr>
              <w:t xml:space="preserve"> في الإرشاد :</w:t>
            </w:r>
            <w:r>
              <w:rPr>
                <w:rtl/>
              </w:rPr>
              <w:t xml:space="preserve"> + </w:t>
            </w:r>
            <w:r w:rsidRPr="00132E65">
              <w:rPr>
                <w:rtl/>
              </w:rPr>
              <w:t>« له جعفر »</w:t>
            </w:r>
            <w:r>
              <w:rPr>
                <w:rtl/>
              </w:rPr>
              <w:t>.</w:t>
            </w:r>
          </w:p>
        </w:tc>
      </w:tr>
      <w:tr w:rsidR="00800A2D" w:rsidTr="00800A2D">
        <w:tc>
          <w:tcPr>
            <w:tcW w:w="4261" w:type="dxa"/>
          </w:tcPr>
          <w:p w:rsidR="00800A2D" w:rsidRDefault="00800A2D" w:rsidP="000C39D1">
            <w:pPr>
              <w:pStyle w:val="libFootnote0"/>
              <w:rPr>
                <w:rtl/>
              </w:rPr>
            </w:pPr>
            <w:r>
              <w:rPr>
                <w:rtl/>
              </w:rPr>
              <w:t>(4).</w:t>
            </w:r>
            <w:r w:rsidRPr="00132E65">
              <w:rPr>
                <w:rtl/>
              </w:rPr>
              <w:t xml:space="preserve"> في الإرشاد :</w:t>
            </w:r>
            <w:r>
              <w:rPr>
                <w:rtl/>
              </w:rPr>
              <w:t xml:space="preserve"> + </w:t>
            </w:r>
            <w:r w:rsidRPr="00132E65">
              <w:rPr>
                <w:rtl/>
              </w:rPr>
              <w:t>« لي »</w:t>
            </w:r>
            <w:r>
              <w:rPr>
                <w:rtl/>
              </w:rPr>
              <w:t>.</w:t>
            </w:r>
          </w:p>
        </w:tc>
        <w:tc>
          <w:tcPr>
            <w:tcW w:w="4262" w:type="dxa"/>
          </w:tcPr>
          <w:p w:rsidR="00800A2D" w:rsidRDefault="00800A2D" w:rsidP="000C39D1">
            <w:pPr>
              <w:pStyle w:val="libFootnote0"/>
              <w:rPr>
                <w:rtl/>
              </w:rPr>
            </w:pPr>
            <w:r>
              <w:rPr>
                <w:rtl/>
              </w:rPr>
              <w:t>(5).</w:t>
            </w:r>
            <w:r w:rsidRPr="00132E65">
              <w:rPr>
                <w:rtl/>
              </w:rPr>
              <w:t xml:space="preserve"> في الإرشاد :</w:t>
            </w:r>
            <w:r>
              <w:rPr>
                <w:rtl/>
              </w:rPr>
              <w:t xml:space="preserve"> + </w:t>
            </w:r>
            <w:r w:rsidRPr="00132E65">
              <w:rPr>
                <w:rtl/>
              </w:rPr>
              <w:t>« الرجل »</w:t>
            </w:r>
            <w:r>
              <w:rPr>
                <w:rtl/>
              </w:rPr>
              <w:t>.</w:t>
            </w:r>
          </w:p>
        </w:tc>
      </w:tr>
    </w:tbl>
    <w:p w:rsidR="000C39D1" w:rsidRPr="00132E65" w:rsidRDefault="000C39D1" w:rsidP="000C39D1">
      <w:pPr>
        <w:pStyle w:val="libFootnote0"/>
        <w:rPr>
          <w:rtl/>
          <w:lang w:bidi="fa-IR"/>
        </w:rPr>
      </w:pPr>
      <w:r>
        <w:rPr>
          <w:rtl/>
        </w:rPr>
        <w:t>(6).</w:t>
      </w:r>
      <w:r w:rsidRPr="00132E65">
        <w:rPr>
          <w:rtl/>
        </w:rPr>
        <w:t xml:space="preserve"> في حاشية « بف » : « أصحابه »</w:t>
      </w:r>
      <w:r>
        <w:rPr>
          <w:rtl/>
        </w:rPr>
        <w:t>.</w:t>
      </w:r>
      <w:r w:rsidRPr="00132E65">
        <w:rPr>
          <w:rtl/>
        </w:rPr>
        <w:t xml:space="preserve"> وفي الإرشاد :</w:t>
      </w:r>
      <w:r>
        <w:rPr>
          <w:rtl/>
        </w:rPr>
        <w:t xml:space="preserve"> + </w:t>
      </w:r>
      <w:r w:rsidRPr="00132E65">
        <w:rPr>
          <w:rtl/>
        </w:rPr>
        <w:t>« المرسومين بالسفارة »</w:t>
      </w:r>
      <w:r>
        <w:rPr>
          <w:rtl/>
        </w:rPr>
        <w:t>.</w:t>
      </w:r>
    </w:p>
    <w:tbl>
      <w:tblPr>
        <w:tblStyle w:val="TableGrid"/>
        <w:bidiVisual/>
        <w:tblW w:w="0" w:type="auto"/>
        <w:tblLook w:val="04A0" w:firstRow="1" w:lastRow="0" w:firstColumn="1" w:lastColumn="0" w:noHBand="0" w:noVBand="1"/>
      </w:tblPr>
      <w:tblGrid>
        <w:gridCol w:w="4261"/>
        <w:gridCol w:w="4262"/>
      </w:tblGrid>
      <w:tr w:rsidR="00800A2D" w:rsidTr="00800A2D">
        <w:tc>
          <w:tcPr>
            <w:tcW w:w="4261" w:type="dxa"/>
          </w:tcPr>
          <w:p w:rsidR="00800A2D" w:rsidRDefault="00800A2D" w:rsidP="000C39D1">
            <w:pPr>
              <w:pStyle w:val="libFootnote0"/>
              <w:rPr>
                <w:rtl/>
                <w:lang w:bidi="fa-IR"/>
              </w:rPr>
            </w:pPr>
            <w:r>
              <w:rPr>
                <w:rtl/>
              </w:rPr>
              <w:t>(7).</w:t>
            </w:r>
            <w:r w:rsidRPr="00132E65">
              <w:rPr>
                <w:rtl/>
              </w:rPr>
              <w:t xml:space="preserve"> في الإرشاد : « يعمل »</w:t>
            </w:r>
            <w:r>
              <w:rPr>
                <w:rtl/>
              </w:rPr>
              <w:t>.</w:t>
            </w:r>
          </w:p>
        </w:tc>
        <w:tc>
          <w:tcPr>
            <w:tcW w:w="4262" w:type="dxa"/>
          </w:tcPr>
          <w:p w:rsidR="00800A2D" w:rsidRDefault="00800A2D" w:rsidP="000C39D1">
            <w:pPr>
              <w:pStyle w:val="libFootnote0"/>
              <w:rPr>
                <w:rtl/>
                <w:lang w:bidi="fa-IR"/>
              </w:rPr>
            </w:pPr>
            <w:r>
              <w:rPr>
                <w:rtl/>
              </w:rPr>
              <w:t>(8).</w:t>
            </w:r>
            <w:r w:rsidRPr="00132E65">
              <w:rPr>
                <w:rtl/>
              </w:rPr>
              <w:t xml:space="preserve"> في « ف ، بح ، بر » : « بما يجب »</w:t>
            </w:r>
            <w:r>
              <w:rPr>
                <w:rtl/>
              </w:rPr>
              <w:t>.</w:t>
            </w:r>
          </w:p>
        </w:tc>
      </w:tr>
    </w:tbl>
    <w:p w:rsidR="000C39D1" w:rsidRPr="00132E65" w:rsidRDefault="000C39D1" w:rsidP="000C39D1">
      <w:pPr>
        <w:pStyle w:val="libFootnote0"/>
        <w:rPr>
          <w:rtl/>
          <w:lang w:bidi="fa-IR"/>
        </w:rPr>
      </w:pPr>
      <w:r>
        <w:rPr>
          <w:rtl/>
        </w:rPr>
        <w:t>(9).</w:t>
      </w:r>
      <w:r w:rsidRPr="00132E65">
        <w:rPr>
          <w:rtl/>
        </w:rPr>
        <w:t xml:space="preserve"> في الإرشاد :</w:t>
      </w:r>
      <w:r>
        <w:rPr>
          <w:rtl/>
        </w:rPr>
        <w:t xml:space="preserve"> + </w:t>
      </w:r>
      <w:r w:rsidRPr="00132E65">
        <w:rPr>
          <w:rtl/>
        </w:rPr>
        <w:t>« وكان الأمر كما قيل له »</w:t>
      </w:r>
      <w:r>
        <w:rPr>
          <w:rtl/>
        </w:rPr>
        <w:t>.</w:t>
      </w:r>
    </w:p>
    <w:p w:rsidR="000C39D1" w:rsidRPr="00132E65" w:rsidRDefault="000C39D1" w:rsidP="000C39D1">
      <w:pPr>
        <w:pStyle w:val="libFootnote0"/>
        <w:rPr>
          <w:rtl/>
          <w:lang w:bidi="fa-IR"/>
        </w:rPr>
      </w:pPr>
      <w:r>
        <w:rPr>
          <w:rtl/>
        </w:rPr>
        <w:t>(10).</w:t>
      </w:r>
      <w:r w:rsidRPr="00132E65">
        <w:rPr>
          <w:rtl/>
        </w:rPr>
        <w:t xml:space="preserve"> </w:t>
      </w:r>
      <w:r w:rsidRPr="00800A2D">
        <w:rPr>
          <w:rStyle w:val="libFootnoteBoldChar"/>
          <w:rtl/>
        </w:rPr>
        <w:t>الإرشاد</w:t>
      </w:r>
      <w:r w:rsidRPr="00132E65">
        <w:rPr>
          <w:rtl/>
        </w:rPr>
        <w:t xml:space="preserve"> ، ج 2 ، ص 364 ، بسنده عن الكليني </w:t>
      </w:r>
      <w:r w:rsidR="00800A2D">
        <w:rPr>
          <w:rFonts w:hint="cs"/>
          <w:rtl/>
        </w:rPr>
        <w:t>.</w:t>
      </w:r>
      <w:r w:rsidRPr="009D1ACE">
        <w:rPr>
          <w:rStyle w:val="libFootnoteBoldChar"/>
          <w:rtl/>
        </w:rPr>
        <w:t>الوافي</w:t>
      </w:r>
      <w:r w:rsidRPr="00132E65">
        <w:rPr>
          <w:rtl/>
        </w:rPr>
        <w:t xml:space="preserve"> ، ج 3 ، ص 876 ، ح 1499.</w:t>
      </w:r>
    </w:p>
    <w:p w:rsidR="000C39D1" w:rsidRPr="00132E65" w:rsidRDefault="000C39D1" w:rsidP="000C39D1">
      <w:pPr>
        <w:pStyle w:val="libFootnote0"/>
        <w:rPr>
          <w:rtl/>
          <w:lang w:bidi="fa-IR"/>
        </w:rPr>
      </w:pPr>
      <w:r>
        <w:rPr>
          <w:rtl/>
        </w:rPr>
        <w:t>(11).</w:t>
      </w:r>
      <w:r w:rsidRPr="00132E65">
        <w:rPr>
          <w:rtl/>
        </w:rPr>
        <w:t xml:space="preserve"> « آبة » بليدة تقابل ساوة ، تعرف بين العامة بآوة وأهلها شيعة ، وأهل ساوة سنّيّة ، لا تزال الحروب بين البلدين</w:t>
      </w:r>
      <w:r w:rsidR="00800A2D">
        <w:rPr>
          <w:rFonts w:hint="cs"/>
          <w:rtl/>
        </w:rPr>
        <w:t xml:space="preserve"> </w:t>
      </w:r>
      <w:r w:rsidRPr="00132E65">
        <w:rPr>
          <w:rtl/>
        </w:rPr>
        <w:t xml:space="preserve">‌قائمة على المذهب. </w:t>
      </w:r>
      <w:r w:rsidRPr="00800A2D">
        <w:rPr>
          <w:rStyle w:val="libFootnoteBoldChar"/>
          <w:rtl/>
        </w:rPr>
        <w:t>معجم البلدان</w:t>
      </w:r>
      <w:r w:rsidRPr="00132E65">
        <w:rPr>
          <w:rtl/>
        </w:rPr>
        <w:t xml:space="preserve"> ، ج 1 ، ص 50 ( آبه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فكتب ، على المعلوم أو المجهول »</w:t>
      </w:r>
      <w:r>
        <w:rPr>
          <w:rtl/>
        </w:rPr>
        <w:t>.</w:t>
      </w:r>
    </w:p>
    <w:p w:rsidR="000C39D1" w:rsidRPr="00132E65" w:rsidRDefault="000C39D1" w:rsidP="000C39D1">
      <w:pPr>
        <w:pStyle w:val="libFootnote0"/>
        <w:rPr>
          <w:rtl/>
          <w:lang w:bidi="fa-IR"/>
        </w:rPr>
      </w:pPr>
      <w:r>
        <w:rPr>
          <w:rtl/>
        </w:rPr>
        <w:t>(13)</w:t>
      </w:r>
      <w:r w:rsidRPr="00132E65">
        <w:rPr>
          <w:rtl/>
        </w:rPr>
        <w:t xml:space="preserve"> في الإرشاد : « ونسي شيئاً كان أراد حمله ، فلمّا وصل الشي‌ء كتب إليه بوصوله. وقيل : في الكتاب : ما خبر السيف الذي ا</w:t>
      </w:r>
      <w:r w:rsidR="00DA23C8">
        <w:rPr>
          <w:rFonts w:hint="cs"/>
          <w:rtl/>
        </w:rPr>
        <w:t>ُ</w:t>
      </w:r>
      <w:r w:rsidRPr="00132E65">
        <w:rPr>
          <w:rtl/>
        </w:rPr>
        <w:t>نسيته » بدل « نسي سيفاً بآبة</w:t>
      </w:r>
      <w:r>
        <w:rPr>
          <w:rtl/>
        </w:rPr>
        <w:t xml:space="preserve"> - </w:t>
      </w:r>
      <w:r w:rsidRPr="00132E65">
        <w:rPr>
          <w:rtl/>
        </w:rPr>
        <w:t>إلى</w:t>
      </w:r>
      <w:r>
        <w:rPr>
          <w:rtl/>
        </w:rPr>
        <w:t xml:space="preserve"> - </w:t>
      </w:r>
      <w:r w:rsidRPr="00132E65">
        <w:rPr>
          <w:rtl/>
        </w:rPr>
        <w:t>نسيته »</w:t>
      </w:r>
      <w:r>
        <w:rPr>
          <w:rtl/>
        </w:rPr>
        <w:t>.</w:t>
      </w:r>
    </w:p>
    <w:p w:rsidR="000C39D1" w:rsidRPr="00132E65" w:rsidRDefault="000C39D1" w:rsidP="000C39D1">
      <w:pPr>
        <w:pStyle w:val="libFootnote0"/>
        <w:rPr>
          <w:rtl/>
          <w:lang w:bidi="fa-IR"/>
        </w:rPr>
      </w:pPr>
      <w:r>
        <w:rPr>
          <w:rtl/>
        </w:rPr>
        <w:t>(14)</w:t>
      </w:r>
      <w:r w:rsidRPr="00132E65">
        <w:rPr>
          <w:rtl/>
        </w:rPr>
        <w:t xml:space="preserve"> </w:t>
      </w:r>
      <w:r w:rsidRPr="00DA23C8">
        <w:rPr>
          <w:rStyle w:val="libFootnoteBoldChar"/>
          <w:rtl/>
        </w:rPr>
        <w:t>الإرشاد</w:t>
      </w:r>
      <w:r w:rsidRPr="00132E65">
        <w:rPr>
          <w:rtl/>
        </w:rPr>
        <w:t xml:space="preserve"> ، ج 2 ، ص 365 ، بسنده عن الكليني </w:t>
      </w:r>
      <w:r w:rsidR="00DA23C8">
        <w:rPr>
          <w:rFonts w:hint="cs"/>
          <w:rtl/>
        </w:rPr>
        <w:t>.</w:t>
      </w:r>
      <w:r w:rsidRPr="009D1ACE">
        <w:rPr>
          <w:rStyle w:val="libFootnoteBoldChar"/>
          <w:rtl/>
        </w:rPr>
        <w:t>الوافي</w:t>
      </w:r>
      <w:r w:rsidRPr="00132E65">
        <w:rPr>
          <w:rtl/>
        </w:rPr>
        <w:t xml:space="preserve"> ، ج 3 ، ص 877 ، ح 1500.</w:t>
      </w:r>
    </w:p>
    <w:p w:rsidR="000C39D1" w:rsidRPr="00132E65" w:rsidRDefault="000C39D1" w:rsidP="000C39D1">
      <w:pPr>
        <w:pStyle w:val="libFootnote0"/>
        <w:rPr>
          <w:rtl/>
          <w:lang w:bidi="fa-IR"/>
        </w:rPr>
      </w:pPr>
      <w:r>
        <w:rPr>
          <w:rtl/>
        </w:rPr>
        <w:t>(15)</w:t>
      </w:r>
      <w:r w:rsidRPr="00132E65">
        <w:rPr>
          <w:rtl/>
        </w:rPr>
        <w:t xml:space="preserve"> في « ب ، بر » وحاشية « بف » : « الحسين »</w:t>
      </w:r>
      <w:r>
        <w:rPr>
          <w:rtl/>
        </w:rPr>
        <w:t>.</w:t>
      </w:r>
    </w:p>
    <w:p w:rsidR="000C39D1" w:rsidRPr="00132E65" w:rsidRDefault="000C39D1" w:rsidP="000C39D1">
      <w:pPr>
        <w:pStyle w:val="libFootnote0"/>
        <w:rPr>
          <w:rtl/>
          <w:lang w:bidi="fa-IR"/>
        </w:rPr>
      </w:pPr>
      <w:r>
        <w:rPr>
          <w:rtl/>
        </w:rPr>
        <w:t>(16)</w:t>
      </w:r>
      <w:r w:rsidRPr="00132E65">
        <w:rPr>
          <w:rtl/>
        </w:rPr>
        <w:t xml:space="preserve"> في </w:t>
      </w:r>
      <w:r w:rsidRPr="009D1ACE">
        <w:rPr>
          <w:rStyle w:val="libFootnoteBoldChar"/>
          <w:rtl/>
        </w:rPr>
        <w:t>الوافي</w:t>
      </w:r>
      <w:r w:rsidRPr="00132E65">
        <w:rPr>
          <w:rtl/>
        </w:rPr>
        <w:t xml:space="preserve"> : « يعني أنّ الصاحب </w:t>
      </w:r>
      <w:r w:rsidRPr="00DA23C8">
        <w:rPr>
          <w:rStyle w:val="libFootnoteAlaemChar"/>
          <w:rtl/>
        </w:rPr>
        <w:t>عليه‌السلام</w:t>
      </w:r>
      <w:r w:rsidRPr="00132E65">
        <w:rPr>
          <w:rtl/>
        </w:rPr>
        <w:t xml:space="preserve"> بعث من العسكر إلى المدينة بخدم »</w:t>
      </w:r>
      <w:r>
        <w:rPr>
          <w:rtl/>
        </w:rPr>
        <w:t>.</w:t>
      </w:r>
    </w:p>
    <w:p w:rsidR="000C39D1" w:rsidRPr="00132E65" w:rsidRDefault="000C39D1" w:rsidP="000C39D1">
      <w:pPr>
        <w:pStyle w:val="libFootnote0"/>
        <w:rPr>
          <w:rtl/>
          <w:lang w:bidi="fa-IR"/>
        </w:rPr>
      </w:pPr>
      <w:r>
        <w:rPr>
          <w:rtl/>
        </w:rPr>
        <w:t>(17)</w:t>
      </w:r>
      <w:r w:rsidRPr="00132E65">
        <w:rPr>
          <w:rtl/>
        </w:rPr>
        <w:t xml:space="preserve"> هكذا في النسخ التي قوبلت. وفي المطبوع : « </w:t>
      </w:r>
      <w:r w:rsidRPr="00DA23C8">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يَخْرُجَ مَعَهُمْ ، فَخَرَجَ مَعَهُمْ ، فَلَمَّا و</w:t>
      </w:r>
      <w:r w:rsidR="00DA23C8">
        <w:rPr>
          <w:rFonts w:hint="cs"/>
          <w:rtl/>
          <w:lang w:bidi="fa-IR"/>
        </w:rPr>
        <w:t>َ</w:t>
      </w:r>
      <w:r w:rsidRPr="00132E65">
        <w:rPr>
          <w:rtl/>
          <w:lang w:bidi="fa-IR"/>
        </w:rPr>
        <w:t xml:space="preserve">صَلُوا إِلَى </w:t>
      </w:r>
      <w:r>
        <w:rPr>
          <w:rStyle w:val="libFootnotenumChar"/>
          <w:rtl/>
        </w:rPr>
        <w:t>(1)</w:t>
      </w:r>
      <w:r w:rsidRPr="00132E65">
        <w:rPr>
          <w:rtl/>
          <w:lang w:bidi="fa-IR"/>
        </w:rPr>
        <w:t xml:space="preserve"> الْكُوفَةِ ، شَرِبَ أَحَدُ الْخَادِمَيْنِ مُسْكِراً ، فَمَا خَرَجُوا مِنَ الْكُوفَةِ حَتّى ورَدَ كِتَابٌ مِنَ الْعَسْكَرِ بِرَدِّ الْخَادِمِ الَّذِي شَرِبَ الْمُسْكِرَ ، و</w:t>
      </w:r>
      <w:r w:rsidR="00DA23C8">
        <w:rPr>
          <w:rFonts w:hint="cs"/>
          <w:rtl/>
          <w:lang w:bidi="fa-IR"/>
        </w:rPr>
        <w:t>َ</w:t>
      </w:r>
      <w:r w:rsidRPr="00132E65">
        <w:rPr>
          <w:rtl/>
          <w:lang w:bidi="fa-IR"/>
        </w:rPr>
        <w:t xml:space="preserve">عُزِلَ عَنِ الْخِدْمَةِ.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0D1929">
        <w:rPr>
          <w:rtl/>
        </w:rPr>
        <w:t>1378</w:t>
      </w:r>
      <w:r w:rsidRPr="004325D8">
        <w:rPr>
          <w:rStyle w:val="libBold2Char"/>
          <w:rtl/>
        </w:rPr>
        <w:t xml:space="preserve"> / 22.</w:t>
      </w:r>
      <w:r w:rsidRPr="00132E65">
        <w:rPr>
          <w:rtl/>
          <w:lang w:bidi="fa-IR"/>
        </w:rPr>
        <w:t xml:space="preserve"> عَلِيُّ بْنُ مُحَمَّدٍ </w:t>
      </w:r>
      <w:r>
        <w:rPr>
          <w:rStyle w:val="libFootnotenumChar"/>
          <w:rtl/>
        </w:rPr>
        <w:t>(3)</w:t>
      </w:r>
      <w:r w:rsidRPr="00132E65">
        <w:rPr>
          <w:rtl/>
          <w:lang w:bidi="fa-IR"/>
        </w:rPr>
        <w:t xml:space="preserve"> ، عَنْ أَحْمَدَ أَبِي عَلِيِّ بْنِ غِيَاثٍ </w:t>
      </w:r>
      <w:r>
        <w:rPr>
          <w:rStyle w:val="libFootnotenumChar"/>
          <w:rtl/>
        </w:rPr>
        <w:t>(4)</w:t>
      </w:r>
      <w:r w:rsidRPr="00132E65">
        <w:rPr>
          <w:rtl/>
          <w:lang w:bidi="fa-IR"/>
        </w:rPr>
        <w:t xml:space="preserve"> ، عَنْ أَحْمَدَ بْنِ الْحَسَنِ ، قَالَ :</w:t>
      </w:r>
    </w:p>
    <w:p w:rsidR="000C39D1" w:rsidRPr="00132E65" w:rsidRDefault="000C39D1" w:rsidP="00DA23C8">
      <w:pPr>
        <w:pStyle w:val="libNormal"/>
        <w:rPr>
          <w:rtl/>
          <w:lang w:bidi="fa-IR"/>
        </w:rPr>
      </w:pPr>
      <w:r w:rsidRPr="00132E65">
        <w:rPr>
          <w:rtl/>
          <w:lang w:bidi="fa-IR"/>
        </w:rPr>
        <w:t xml:space="preserve">أَوْصى </w:t>
      </w:r>
      <w:r>
        <w:rPr>
          <w:rStyle w:val="libFootnotenumChar"/>
          <w:rtl/>
        </w:rPr>
        <w:t>(5)</w:t>
      </w:r>
      <w:r w:rsidRPr="00132E65">
        <w:rPr>
          <w:rtl/>
          <w:lang w:bidi="fa-IR"/>
        </w:rPr>
        <w:t xml:space="preserve"> يَزِيدُ بْنُ عَبْدِ اللهِ بِدَابَّةٍ و</w:t>
      </w:r>
      <w:r w:rsidR="00DA23C8">
        <w:rPr>
          <w:rFonts w:hint="cs"/>
          <w:rtl/>
          <w:lang w:bidi="fa-IR"/>
        </w:rPr>
        <w:t xml:space="preserve">َ </w:t>
      </w:r>
      <w:r w:rsidRPr="00132E65">
        <w:rPr>
          <w:rtl/>
          <w:lang w:bidi="fa-IR"/>
        </w:rPr>
        <w:t>سَيْفٍ و</w:t>
      </w:r>
      <w:r w:rsidR="00DA23C8">
        <w:rPr>
          <w:rFonts w:hint="cs"/>
          <w:rtl/>
          <w:lang w:bidi="fa-IR"/>
        </w:rPr>
        <w:t xml:space="preserve">َ </w:t>
      </w:r>
      <w:r w:rsidRPr="00132E65">
        <w:rPr>
          <w:rtl/>
          <w:lang w:bidi="fa-IR"/>
        </w:rPr>
        <w:t>مَالٍ ، و</w:t>
      </w:r>
      <w:r w:rsidR="00DA23C8">
        <w:rPr>
          <w:rFonts w:hint="cs"/>
          <w:rtl/>
          <w:lang w:bidi="fa-IR"/>
        </w:rPr>
        <w:t xml:space="preserve">َ </w:t>
      </w:r>
      <w:r w:rsidRPr="00132E65">
        <w:rPr>
          <w:rtl/>
          <w:lang w:bidi="fa-IR"/>
        </w:rPr>
        <w:t>أُنْفِذَ ثَمَنُ الدَّابَّةِ و</w:t>
      </w:r>
      <w:r w:rsidR="00DA23C8">
        <w:rPr>
          <w:rFonts w:hint="cs"/>
          <w:rtl/>
          <w:lang w:bidi="fa-IR"/>
        </w:rPr>
        <w:t xml:space="preserve">َ </w:t>
      </w:r>
      <w:r w:rsidRPr="00132E65">
        <w:rPr>
          <w:rtl/>
          <w:lang w:bidi="fa-IR"/>
        </w:rPr>
        <w:t>غَيْرُ ذلِكَ ، و</w:t>
      </w:r>
      <w:r w:rsidR="00DA23C8">
        <w:rPr>
          <w:rFonts w:hint="cs"/>
          <w:rtl/>
          <w:lang w:bidi="fa-IR"/>
        </w:rPr>
        <w:t xml:space="preserve">َ </w:t>
      </w:r>
      <w:r w:rsidRPr="00132E65">
        <w:rPr>
          <w:rtl/>
          <w:lang w:bidi="fa-IR"/>
        </w:rPr>
        <w:t xml:space="preserve">لَمْ يُبْعَثِ </w:t>
      </w:r>
      <w:r>
        <w:rPr>
          <w:rStyle w:val="libFootnotenumChar"/>
          <w:rtl/>
        </w:rPr>
        <w:t>(6)</w:t>
      </w:r>
      <w:r w:rsidRPr="00132E65">
        <w:rPr>
          <w:rtl/>
          <w:lang w:bidi="fa-IR"/>
        </w:rPr>
        <w:t xml:space="preserve"> السَّيْفُ ، فَوَرَدَ </w:t>
      </w:r>
      <w:r>
        <w:rPr>
          <w:rStyle w:val="libFootnotenumChar"/>
          <w:rtl/>
        </w:rPr>
        <w:t>(7)</w:t>
      </w:r>
      <w:r w:rsidRPr="00132E65">
        <w:rPr>
          <w:rtl/>
          <w:lang w:bidi="fa-IR"/>
        </w:rPr>
        <w:t xml:space="preserve"> : « كَانَ مَعَ مَا بَعَثْتُمْ سَيْفٌ ، فَلَمْ يَصِلْ » ، أَوْ كَمَا قَالَ </w:t>
      </w:r>
      <w:r>
        <w:rPr>
          <w:rStyle w:val="libFootnotenumChar"/>
          <w:rtl/>
        </w:rPr>
        <w:t>(8)</w:t>
      </w:r>
      <w:r w:rsidR="00DA23C8">
        <w:rPr>
          <w:rFonts w:hint="cs"/>
          <w:rtl/>
          <w:lang w:bidi="fa-IR"/>
        </w:rPr>
        <w:t>.</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0D1929">
        <w:rPr>
          <w:rtl/>
        </w:rPr>
        <w:t>1379</w:t>
      </w:r>
      <w:r w:rsidRPr="004325D8">
        <w:rPr>
          <w:rStyle w:val="libBold2Char"/>
          <w:rtl/>
        </w:rPr>
        <w:t xml:space="preserve"> / 23.</w:t>
      </w:r>
      <w:r w:rsidRPr="00132E65">
        <w:rPr>
          <w:rtl/>
          <w:lang w:bidi="fa-IR"/>
        </w:rPr>
        <w:t xml:space="preserve"> عَلِيُّ بْنُ مُحَمَّدٍ ، عَنْ مُحَمَّدِ بْنِ عَلِيِّ بْنِ </w:t>
      </w:r>
      <w:r>
        <w:rPr>
          <w:rStyle w:val="libFootnotenumChar"/>
          <w:rtl/>
        </w:rPr>
        <w:t>(10)</w:t>
      </w:r>
      <w:r w:rsidRPr="00132E65">
        <w:rPr>
          <w:rtl/>
          <w:lang w:bidi="fa-IR"/>
        </w:rPr>
        <w:t xml:space="preserve"> شَاذَانَ النَّيْسَابُورِيِّ </w:t>
      </w:r>
      <w:r>
        <w:rPr>
          <w:rStyle w:val="libFootnotenumChar"/>
          <w:rtl/>
        </w:rPr>
        <w:t>(11)</w:t>
      </w:r>
      <w:r w:rsidRPr="00132E65">
        <w:rPr>
          <w:rtl/>
          <w:lang w:bidi="fa-IR"/>
        </w:rPr>
        <w:t xml:space="preserve"> ، قَالَ :</w:t>
      </w:r>
      <w:r>
        <w:rPr>
          <w:rFonts w:hint="cs"/>
          <w:rtl/>
          <w:lang w:bidi="fa-IR"/>
        </w:rPr>
        <w:t xml:space="preserve"> </w:t>
      </w:r>
      <w:r w:rsidRPr="00132E65">
        <w:rPr>
          <w:rtl/>
          <w:lang w:bidi="fa-IR"/>
        </w:rPr>
        <w:t xml:space="preserve">اجْتَمَعَ عِنْدِي خَمْسُمِائَةِ دِرْهَمٍ تَنْقُصُ </w:t>
      </w:r>
      <w:r>
        <w:rPr>
          <w:rStyle w:val="libFootnotenumChar"/>
          <w:rtl/>
        </w:rPr>
        <w:t>(12)</w:t>
      </w:r>
      <w:r w:rsidRPr="00132E65">
        <w:rPr>
          <w:rtl/>
          <w:lang w:bidi="fa-IR"/>
        </w:rPr>
        <w:t xml:space="preserve"> عِشْرِينَ دِرْهَماً ، فَأَنِفْتُ أَنْ أَبْعَثَ بِخَمْسِمِائَةٍ تَنْقُصُ </w:t>
      </w:r>
      <w:r w:rsidRPr="00F543F1">
        <w:rPr>
          <w:rStyle w:val="libFootnotenumChar"/>
          <w:rtl/>
        </w:rPr>
        <w:t>(13)</w:t>
      </w:r>
      <w:r w:rsidRPr="00132E65">
        <w:rPr>
          <w:rtl/>
          <w:lang w:bidi="fa-IR"/>
        </w:rPr>
        <w:t xml:space="preserve"> عِشْرِينَ دِرْهَماً </w:t>
      </w:r>
      <w:r w:rsidRPr="00F543F1">
        <w:rPr>
          <w:rStyle w:val="libFootnotenumChar"/>
          <w:rtl/>
        </w:rPr>
        <w:t>(14)</w:t>
      </w:r>
      <w:r w:rsidRPr="00132E65">
        <w:rPr>
          <w:rtl/>
          <w:lang w:bidi="fa-IR"/>
        </w:rPr>
        <w:t xml:space="preserve"> ، فَوَزَنْتُ مِنْ عِنْدِي عِشْرِينَ دِرْهَماً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بف » </w:t>
      </w:r>
      <w:r>
        <w:rPr>
          <w:rtl/>
        </w:rPr>
        <w:t xml:space="preserve">: - </w:t>
      </w:r>
      <w:r w:rsidRPr="00132E65">
        <w:rPr>
          <w:rtl/>
        </w:rPr>
        <w:t>« إلى »</w:t>
      </w:r>
      <w:r>
        <w:rPr>
          <w:rtl/>
        </w:rPr>
        <w:t>.</w:t>
      </w:r>
    </w:p>
    <w:p w:rsidR="000C39D1" w:rsidRPr="00132E65" w:rsidRDefault="000C39D1" w:rsidP="00DA23C8">
      <w:pPr>
        <w:pStyle w:val="libFootnote0"/>
        <w:rPr>
          <w:rtl/>
          <w:lang w:bidi="fa-IR"/>
        </w:rPr>
      </w:pPr>
      <w:r>
        <w:rPr>
          <w:rtl/>
        </w:rPr>
        <w:t>(2).</w:t>
      </w:r>
      <w:r w:rsidRPr="00132E65">
        <w:rPr>
          <w:rtl/>
        </w:rPr>
        <w:t xml:space="preserve"> </w:t>
      </w:r>
      <w:r w:rsidRPr="00DA23C8">
        <w:rPr>
          <w:rStyle w:val="libFootnoteBoldChar"/>
          <w:rtl/>
        </w:rPr>
        <w:t>تقريب المعارف</w:t>
      </w:r>
      <w:r w:rsidRPr="00132E65">
        <w:rPr>
          <w:rtl/>
        </w:rPr>
        <w:t xml:space="preserve"> ، ص 195 ، عن الحسن بن حفيف </w:t>
      </w:r>
      <w:r w:rsidR="00DA23C8">
        <w:rPr>
          <w:rFonts w:hint="cs"/>
          <w:rtl/>
        </w:rPr>
        <w:t>.</w:t>
      </w:r>
      <w:r w:rsidRPr="009D1ACE">
        <w:rPr>
          <w:rStyle w:val="libFootnoteBoldChar"/>
          <w:rtl/>
        </w:rPr>
        <w:t>الوافي</w:t>
      </w:r>
      <w:r w:rsidRPr="00132E65">
        <w:rPr>
          <w:rtl/>
        </w:rPr>
        <w:t xml:space="preserve"> ، ج 3 ، ص 877 ، ح 1501 ؛ </w:t>
      </w:r>
      <w:r w:rsidRPr="00DA23C8">
        <w:rPr>
          <w:rStyle w:val="libFootnoteBoldChar"/>
          <w:rtl/>
        </w:rPr>
        <w:t>البحار</w:t>
      </w:r>
      <w:r w:rsidRPr="00132E65">
        <w:rPr>
          <w:rtl/>
        </w:rPr>
        <w:t xml:space="preserve"> ، ج 51 ، ص 310 ، ح 29.</w:t>
      </w:r>
      <w:r w:rsidR="0006034E">
        <w:rPr>
          <w:rFonts w:hint="cs"/>
          <w:rtl/>
        </w:rPr>
        <w:t xml:space="preserve">                                      </w:t>
      </w:r>
      <w:r w:rsidR="00DA23C8">
        <w:rPr>
          <w:rFonts w:hint="cs"/>
          <w:rtl/>
        </w:rPr>
        <w:t xml:space="preserve">   </w:t>
      </w:r>
      <w:r>
        <w:rPr>
          <w:rtl/>
        </w:rPr>
        <w:t>(3).</w:t>
      </w:r>
      <w:r w:rsidRPr="00132E65">
        <w:rPr>
          <w:rtl/>
        </w:rPr>
        <w:t xml:space="preserve"> في « ف » :</w:t>
      </w:r>
      <w:r>
        <w:rPr>
          <w:rtl/>
        </w:rPr>
        <w:t xml:space="preserve"> + </w:t>
      </w:r>
      <w:r w:rsidRPr="00132E65">
        <w:rPr>
          <w:rtl/>
        </w:rPr>
        <w:t>« عن أحمد بن محمّد »</w:t>
      </w:r>
      <w:r>
        <w:rPr>
          <w:rtl/>
        </w:rPr>
        <w:t>.</w:t>
      </w:r>
    </w:p>
    <w:p w:rsidR="000C39D1" w:rsidRPr="00132E65" w:rsidRDefault="000C39D1" w:rsidP="000C39D1">
      <w:pPr>
        <w:pStyle w:val="libFootnote0"/>
        <w:rPr>
          <w:rtl/>
          <w:lang w:bidi="fa-IR"/>
        </w:rPr>
      </w:pPr>
      <w:r>
        <w:rPr>
          <w:rtl/>
        </w:rPr>
        <w:t>(4).</w:t>
      </w:r>
      <w:r w:rsidRPr="00132E65">
        <w:rPr>
          <w:rtl/>
        </w:rPr>
        <w:t xml:space="preserve"> هكذا في « ف ، بح ، بف » و</w:t>
      </w:r>
      <w:r w:rsidRPr="009D1ACE">
        <w:rPr>
          <w:rStyle w:val="libFootnoteBoldChar"/>
          <w:rtl/>
        </w:rPr>
        <w:t>الوافي</w:t>
      </w:r>
      <w:r w:rsidRPr="00132E65">
        <w:rPr>
          <w:rtl/>
        </w:rPr>
        <w:t xml:space="preserve"> وحاشية المطبوع. وفي « ب » : « أحمد بن أبي عليّ بن عيان »</w:t>
      </w:r>
      <w:r>
        <w:rPr>
          <w:rtl/>
        </w:rPr>
        <w:t>.</w:t>
      </w:r>
      <w:r w:rsidRPr="00132E65">
        <w:rPr>
          <w:rtl/>
        </w:rPr>
        <w:t xml:space="preserve"> وفي « ج » : « أحمد بن أبي عليّ بن عيار »</w:t>
      </w:r>
      <w:r>
        <w:rPr>
          <w:rtl/>
        </w:rPr>
        <w:t>.</w:t>
      </w:r>
      <w:r w:rsidRPr="00132E65">
        <w:rPr>
          <w:rtl/>
        </w:rPr>
        <w:t xml:space="preserve"> وفي « ض » : « أحمد بن أبي عليّ عيّار »</w:t>
      </w:r>
      <w:r>
        <w:rPr>
          <w:rtl/>
        </w:rPr>
        <w:t>.</w:t>
      </w:r>
      <w:r w:rsidRPr="00132E65">
        <w:rPr>
          <w:rtl/>
        </w:rPr>
        <w:t xml:space="preserve"> وفي « بر » : « أحمد بن عليّ بن غياث »</w:t>
      </w:r>
      <w:r>
        <w:rPr>
          <w:rtl/>
        </w:rPr>
        <w:t>.</w:t>
      </w:r>
      <w:r w:rsidRPr="00132E65">
        <w:rPr>
          <w:rtl/>
        </w:rPr>
        <w:t xml:space="preserve"> وفي « بس » : « أحمد أبي عليّ بن عيان »</w:t>
      </w:r>
      <w:r>
        <w:rPr>
          <w:rtl/>
        </w:rPr>
        <w:t>.</w:t>
      </w:r>
      <w:r w:rsidRPr="00132E65">
        <w:rPr>
          <w:rtl/>
        </w:rPr>
        <w:t xml:space="preserve"> وفي المطبوع : [ أحمد بن ] أبي عليّ بن غياث »</w:t>
      </w:r>
      <w:r>
        <w:rPr>
          <w:rtl/>
        </w:rPr>
        <w:t>.</w:t>
      </w:r>
    </w:p>
    <w:p w:rsidR="000C39D1" w:rsidRPr="00132E65" w:rsidRDefault="000C39D1" w:rsidP="000C39D1">
      <w:pPr>
        <w:pStyle w:val="libFootnote0"/>
        <w:rPr>
          <w:rtl/>
          <w:lang w:bidi="fa-IR"/>
        </w:rPr>
      </w:pPr>
      <w:r>
        <w:rPr>
          <w:rtl/>
        </w:rPr>
        <w:t>(5).</w:t>
      </w:r>
      <w:r w:rsidRPr="00132E65">
        <w:rPr>
          <w:rtl/>
        </w:rPr>
        <w:t xml:space="preserve"> في « بر » : « أوصاني »</w:t>
      </w:r>
      <w:r>
        <w:rPr>
          <w:rtl/>
        </w:rPr>
        <w:t>.</w:t>
      </w:r>
    </w:p>
    <w:p w:rsidR="000C39D1" w:rsidRPr="00132E65" w:rsidRDefault="000C39D1" w:rsidP="00DA23C8">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ويمكن أن يقرأ الفعلان [ : أنفذ ، لم يبعث ] على بناء المعلوم بإرجاع الضميرين إلى أحمد ، فيكون من كلام الراوي »</w:t>
      </w:r>
      <w:r>
        <w:rPr>
          <w:rtl/>
        </w:rPr>
        <w:t>.</w:t>
      </w:r>
      <w:r w:rsidR="00DA23C8">
        <w:rPr>
          <w:rFonts w:hint="cs"/>
          <w:rtl/>
        </w:rPr>
        <w:t xml:space="preserve">                               </w:t>
      </w:r>
      <w:r w:rsidR="0006034E">
        <w:rPr>
          <w:rFonts w:hint="cs"/>
          <w:rtl/>
        </w:rPr>
        <w:t xml:space="preserve">         </w:t>
      </w:r>
      <w:r w:rsidR="00DA23C8">
        <w:rPr>
          <w:rFonts w:hint="cs"/>
          <w:rtl/>
        </w:rPr>
        <w:t xml:space="preserve">    </w:t>
      </w:r>
      <w:r>
        <w:rPr>
          <w:rtl/>
        </w:rPr>
        <w:t>(7).</w:t>
      </w:r>
      <w:r w:rsidRPr="00132E65">
        <w:rPr>
          <w:rtl/>
        </w:rPr>
        <w:t xml:space="preserve"> في « بر » و</w:t>
      </w:r>
      <w:r w:rsidRPr="009D1ACE">
        <w:rPr>
          <w:rStyle w:val="libFootnoteBoldChar"/>
          <w:rtl/>
        </w:rPr>
        <w:t>الوافي</w:t>
      </w:r>
      <w:r w:rsidRPr="00132E65">
        <w:rPr>
          <w:rtl/>
        </w:rPr>
        <w:t xml:space="preserve"> :</w:t>
      </w:r>
      <w:r>
        <w:rPr>
          <w:rtl/>
        </w:rPr>
        <w:t xml:space="preserve"> + </w:t>
      </w:r>
      <w:r w:rsidRPr="00132E65">
        <w:rPr>
          <w:rtl/>
        </w:rPr>
        <w:t>« كتاب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قوله : أو كما قال ، شكٌّ من الراوي في خصوص اللفظ مع العلم بالمضمون »</w:t>
      </w:r>
      <w:r>
        <w:rPr>
          <w:rtl/>
        </w:rPr>
        <w:t>.</w:t>
      </w:r>
    </w:p>
    <w:tbl>
      <w:tblPr>
        <w:tblStyle w:val="TableGrid"/>
        <w:bidiVisual/>
        <w:tblW w:w="0" w:type="auto"/>
        <w:tblLook w:val="04A0" w:firstRow="1" w:lastRow="0" w:firstColumn="1" w:lastColumn="0" w:noHBand="0" w:noVBand="1"/>
      </w:tblPr>
      <w:tblGrid>
        <w:gridCol w:w="4261"/>
        <w:gridCol w:w="4262"/>
      </w:tblGrid>
      <w:tr w:rsidR="00DA23C8" w:rsidTr="00DA23C8">
        <w:tc>
          <w:tcPr>
            <w:tcW w:w="4261" w:type="dxa"/>
          </w:tcPr>
          <w:p w:rsidR="00DA23C8" w:rsidRDefault="00DA23C8" w:rsidP="000C39D1">
            <w:pPr>
              <w:pStyle w:val="libFootnote0"/>
              <w:rPr>
                <w:rtl/>
              </w:rPr>
            </w:pPr>
            <w:r>
              <w:rPr>
                <w:rtl/>
              </w:rPr>
              <w:t>(9).</w:t>
            </w:r>
            <w:r w:rsidRPr="00132E65">
              <w:rPr>
                <w:rtl/>
              </w:rPr>
              <w:t xml:space="preserve"> </w:t>
            </w:r>
            <w:r w:rsidRPr="009D1ACE">
              <w:rPr>
                <w:rStyle w:val="libFootnoteBoldChar"/>
                <w:rtl/>
              </w:rPr>
              <w:t>الوافي</w:t>
            </w:r>
            <w:r w:rsidRPr="00132E65">
              <w:rPr>
                <w:rtl/>
              </w:rPr>
              <w:t xml:space="preserve"> ، ج 3 ، ص 877 ، ح 1502.</w:t>
            </w:r>
          </w:p>
        </w:tc>
        <w:tc>
          <w:tcPr>
            <w:tcW w:w="4262" w:type="dxa"/>
          </w:tcPr>
          <w:p w:rsidR="00DA23C8" w:rsidRDefault="00DA23C8" w:rsidP="000C39D1">
            <w:pPr>
              <w:pStyle w:val="libFootnote0"/>
              <w:rPr>
                <w:rtl/>
              </w:rPr>
            </w:pPr>
            <w:r>
              <w:rPr>
                <w:rtl/>
              </w:rPr>
              <w:t>(10).</w:t>
            </w:r>
            <w:r w:rsidRPr="00132E65">
              <w:rPr>
                <w:rtl/>
              </w:rPr>
              <w:t xml:space="preserve"> في الإرشاد والغيبة وكمال الدين </w:t>
            </w:r>
            <w:r>
              <w:rPr>
                <w:rtl/>
              </w:rPr>
              <w:t xml:space="preserve">: - </w:t>
            </w:r>
            <w:r w:rsidRPr="00132E65">
              <w:rPr>
                <w:rtl/>
              </w:rPr>
              <w:t>« عليّ بن »</w:t>
            </w:r>
            <w:r>
              <w:rPr>
                <w:rtl/>
              </w:rPr>
              <w:t>.</w:t>
            </w:r>
          </w:p>
        </w:tc>
      </w:tr>
    </w:tbl>
    <w:p w:rsidR="000C39D1" w:rsidRPr="00132E65" w:rsidRDefault="000C39D1" w:rsidP="000C39D1">
      <w:pPr>
        <w:pStyle w:val="libFootnote0"/>
        <w:rPr>
          <w:rtl/>
          <w:lang w:bidi="fa-IR"/>
        </w:rPr>
      </w:pPr>
      <w:r>
        <w:rPr>
          <w:rtl/>
        </w:rPr>
        <w:t>(11).</w:t>
      </w:r>
      <w:r w:rsidRPr="00132E65">
        <w:rPr>
          <w:rtl/>
        </w:rPr>
        <w:t xml:space="preserve"> في « بر » والغيبة : « النيشابوري »</w:t>
      </w:r>
      <w:r>
        <w:rPr>
          <w:rtl/>
        </w:rPr>
        <w:t>.</w:t>
      </w:r>
    </w:p>
    <w:p w:rsidR="000C39D1" w:rsidRPr="00132E65" w:rsidRDefault="000C39D1" w:rsidP="000C39D1">
      <w:pPr>
        <w:pStyle w:val="libFootnote0"/>
        <w:rPr>
          <w:rtl/>
          <w:lang w:bidi="fa-IR"/>
        </w:rPr>
      </w:pPr>
      <w:r>
        <w:rPr>
          <w:rtl/>
        </w:rPr>
        <w:t>(12).</w:t>
      </w:r>
      <w:r w:rsidRPr="00132E65">
        <w:rPr>
          <w:rtl/>
        </w:rPr>
        <w:t xml:space="preserve"> في « ج ، ف ، بر » والإرشاد وكمال الدين ، ص 509 ، والغيبة : « ينقص »</w:t>
      </w:r>
      <w:r>
        <w:rPr>
          <w:rtl/>
        </w:rPr>
        <w:t>.</w:t>
      </w:r>
    </w:p>
    <w:p w:rsidR="000C39D1" w:rsidRPr="00132E65" w:rsidRDefault="000C39D1" w:rsidP="000C39D1">
      <w:pPr>
        <w:pStyle w:val="libFootnote0"/>
        <w:rPr>
          <w:rtl/>
          <w:lang w:bidi="fa-IR"/>
        </w:rPr>
      </w:pPr>
      <w:r>
        <w:rPr>
          <w:rtl/>
        </w:rPr>
        <w:t>(13)</w:t>
      </w:r>
      <w:r w:rsidRPr="00132E65">
        <w:rPr>
          <w:rtl/>
        </w:rPr>
        <w:t xml:space="preserve"> في « ج ، ف » : « ينقص »</w:t>
      </w:r>
      <w:r>
        <w:rPr>
          <w:rtl/>
        </w:rPr>
        <w:t>.</w:t>
      </w:r>
    </w:p>
    <w:p w:rsidR="000C39D1" w:rsidRPr="00132E65" w:rsidRDefault="000C39D1" w:rsidP="000C39D1">
      <w:pPr>
        <w:pStyle w:val="libFootnote0"/>
        <w:rPr>
          <w:rtl/>
          <w:lang w:bidi="fa-IR"/>
        </w:rPr>
      </w:pPr>
      <w:r>
        <w:rPr>
          <w:rtl/>
        </w:rPr>
        <w:t>(14)</w:t>
      </w:r>
      <w:r w:rsidRPr="00132E65">
        <w:rPr>
          <w:rtl/>
        </w:rPr>
        <w:t xml:space="preserve"> في الإرشاد : « فلم ا</w:t>
      </w:r>
      <w:r w:rsidR="00DA23C8">
        <w:rPr>
          <w:rFonts w:hint="cs"/>
          <w:rtl/>
        </w:rPr>
        <w:t>ُ</w:t>
      </w:r>
      <w:r w:rsidRPr="00132E65">
        <w:rPr>
          <w:rtl/>
        </w:rPr>
        <w:t>حبّ أن انفذها ناقصة »</w:t>
      </w:r>
      <w:r>
        <w:rPr>
          <w:rtl/>
        </w:rPr>
        <w:t>.</w:t>
      </w:r>
      <w:r w:rsidRPr="00132E65">
        <w:rPr>
          <w:rtl/>
        </w:rPr>
        <w:t xml:space="preserve"> وفي الغيبة : « فلم ا</w:t>
      </w:r>
      <w:r w:rsidR="00DA23C8">
        <w:rPr>
          <w:rFonts w:hint="cs"/>
          <w:rtl/>
        </w:rPr>
        <w:t>ُ</w:t>
      </w:r>
      <w:r w:rsidRPr="00132E65">
        <w:rPr>
          <w:rtl/>
        </w:rPr>
        <w:t xml:space="preserve">حبّ أن ينقص هذا المقدار » ، كلاهما بدل </w:t>
      </w:r>
      <w:r w:rsidR="00DA23C8">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وَبَعَثْتُهَا </w:t>
      </w:r>
      <w:r>
        <w:rPr>
          <w:rStyle w:val="libFootnotenumChar"/>
          <w:rtl/>
        </w:rPr>
        <w:t>(1)</w:t>
      </w:r>
      <w:r w:rsidRPr="00132E65">
        <w:rPr>
          <w:rtl/>
          <w:lang w:bidi="fa-IR"/>
        </w:rPr>
        <w:t xml:space="preserve"> إِلَى الْأَسَدِيِّ </w:t>
      </w:r>
      <w:r>
        <w:rPr>
          <w:rStyle w:val="libFootnotenumChar"/>
          <w:rtl/>
        </w:rPr>
        <w:t>(2)</w:t>
      </w:r>
      <w:r w:rsidRPr="00132E65">
        <w:rPr>
          <w:rtl/>
          <w:lang w:bidi="fa-IR"/>
        </w:rPr>
        <w:t xml:space="preserve"> ، و</w:t>
      </w:r>
      <w:r w:rsidR="00DA23C8">
        <w:rPr>
          <w:rFonts w:hint="cs"/>
          <w:rtl/>
          <w:lang w:bidi="fa-IR"/>
        </w:rPr>
        <w:t xml:space="preserve">َ </w:t>
      </w:r>
      <w:r w:rsidRPr="00132E65">
        <w:rPr>
          <w:rtl/>
          <w:lang w:bidi="fa-IR"/>
        </w:rPr>
        <w:t xml:space="preserve">لَمْ أَكْتُبْ مَا لِي فِيهَا </w:t>
      </w:r>
      <w:r>
        <w:rPr>
          <w:rStyle w:val="libFootnotenumChar"/>
          <w:rtl/>
        </w:rPr>
        <w:t>(3)</w:t>
      </w:r>
      <w:r w:rsidRPr="00132E65">
        <w:rPr>
          <w:rtl/>
          <w:lang w:bidi="fa-IR"/>
        </w:rPr>
        <w:t xml:space="preserve"> ، فَوَرَدَ </w:t>
      </w:r>
      <w:r>
        <w:rPr>
          <w:rStyle w:val="libFootnotenumChar"/>
          <w:rtl/>
        </w:rPr>
        <w:t>(4)</w:t>
      </w:r>
      <w:r w:rsidRPr="00132E65">
        <w:rPr>
          <w:rtl/>
          <w:lang w:bidi="fa-IR"/>
        </w:rPr>
        <w:t xml:space="preserve"> : « وَصَلَتْ </w:t>
      </w:r>
      <w:r>
        <w:rPr>
          <w:rStyle w:val="libFootnotenumChar"/>
          <w:rtl/>
        </w:rPr>
        <w:t>(5)</w:t>
      </w:r>
      <w:r w:rsidRPr="00132E65">
        <w:rPr>
          <w:rtl/>
          <w:lang w:bidi="fa-IR"/>
        </w:rPr>
        <w:t xml:space="preserve"> خَمْسُمِائَةِ دِرْهَمٍ ، لَكَ مِنْهَا </w:t>
      </w:r>
      <w:r>
        <w:rPr>
          <w:rStyle w:val="libFootnotenumChar"/>
          <w:rtl/>
        </w:rPr>
        <w:t>(6)</w:t>
      </w:r>
      <w:r w:rsidRPr="00132E65">
        <w:rPr>
          <w:rtl/>
          <w:lang w:bidi="fa-IR"/>
        </w:rPr>
        <w:t xml:space="preserve"> عِشْرُونَ دِرْهَماً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0D1929">
        <w:rPr>
          <w:rtl/>
        </w:rPr>
        <w:t>1380</w:t>
      </w:r>
      <w:r w:rsidRPr="004325D8">
        <w:rPr>
          <w:rStyle w:val="libBold2Char"/>
          <w:rtl/>
        </w:rPr>
        <w:t xml:space="preserve"> / 24.</w:t>
      </w:r>
      <w:r w:rsidRPr="00132E65">
        <w:rPr>
          <w:rtl/>
          <w:lang w:bidi="fa-IR"/>
        </w:rPr>
        <w:t xml:space="preserve"> الْحُسَيْنُ بْنُ مُحَمَّدٍ الْأَشْعَرِيُّ </w:t>
      </w:r>
      <w:r>
        <w:rPr>
          <w:rStyle w:val="libFootnotenumChar"/>
          <w:rtl/>
        </w:rPr>
        <w:t>(9)</w:t>
      </w:r>
      <w:r w:rsidRPr="00132E65">
        <w:rPr>
          <w:rtl/>
          <w:lang w:bidi="fa-IR"/>
        </w:rPr>
        <w:t xml:space="preserve"> قَالَ :</w:t>
      </w:r>
    </w:p>
    <w:p w:rsidR="000C39D1" w:rsidRPr="00132E65" w:rsidRDefault="000C39D1" w:rsidP="000C39D1">
      <w:pPr>
        <w:pStyle w:val="libNormal"/>
        <w:rPr>
          <w:rtl/>
          <w:lang w:bidi="fa-IR"/>
        </w:rPr>
      </w:pPr>
      <w:r w:rsidRPr="00132E65">
        <w:rPr>
          <w:rtl/>
          <w:lang w:bidi="fa-IR"/>
        </w:rPr>
        <w:t xml:space="preserve">كَانَ يَرِدُ كِتَابُ أَبِي مُحَمَّدٍ </w:t>
      </w:r>
      <w:r w:rsidRPr="00071CF9">
        <w:rPr>
          <w:rStyle w:val="libAlaemChar"/>
          <w:rtl/>
        </w:rPr>
        <w:t>عليه‌السلام</w:t>
      </w:r>
      <w:r w:rsidRPr="00132E65">
        <w:rPr>
          <w:rtl/>
          <w:lang w:bidi="fa-IR"/>
        </w:rPr>
        <w:t xml:space="preserve"> فِي الْإِجْرَاءِ عَلَى الْجُنَيْدِ قَاتِلِ فَارِسَ </w:t>
      </w:r>
      <w:r>
        <w:rPr>
          <w:rStyle w:val="libFootnotenumChar"/>
          <w:rtl/>
        </w:rPr>
        <w:t>(10)</w:t>
      </w:r>
      <w:r w:rsidRPr="00132E65">
        <w:rPr>
          <w:rtl/>
          <w:lang w:bidi="fa-IR"/>
        </w:rPr>
        <w:t xml:space="preserve"> و</w:t>
      </w:r>
      <w:r w:rsidR="005D5420">
        <w:rPr>
          <w:rFonts w:hint="cs"/>
          <w:rtl/>
          <w:lang w:bidi="fa-IR"/>
        </w:rPr>
        <w:t xml:space="preserve">َ </w:t>
      </w:r>
      <w:r w:rsidRPr="00132E65">
        <w:rPr>
          <w:rtl/>
          <w:lang w:bidi="fa-IR"/>
        </w:rPr>
        <w:t xml:space="preserve">أَبِي الْحَسَنِ وَآخَرَ ، فَلَمَّا مَضى أَبُو مُحَمَّدٍ </w:t>
      </w:r>
      <w:r w:rsidRPr="00071CF9">
        <w:rPr>
          <w:rStyle w:val="libAlaemChar"/>
          <w:rtl/>
        </w:rPr>
        <w:t>عليه‌السلام</w:t>
      </w:r>
      <w:r w:rsidRPr="00132E65">
        <w:rPr>
          <w:rtl/>
          <w:lang w:bidi="fa-IR"/>
        </w:rPr>
        <w:t xml:space="preserve"> و</w:t>
      </w:r>
      <w:r w:rsidR="005D5420">
        <w:rPr>
          <w:rFonts w:hint="cs"/>
          <w:rtl/>
          <w:lang w:bidi="fa-IR"/>
        </w:rPr>
        <w:t>َ</w:t>
      </w:r>
      <w:r w:rsidRPr="00132E65">
        <w:rPr>
          <w:rtl/>
          <w:lang w:bidi="fa-IR"/>
        </w:rPr>
        <w:t xml:space="preserve">رَدَ اسْتِئْنَافٌ مِنَ الصَّاحِبِ لِإِجْرَاءِ أَبِي الْحَسَنِ </w:t>
      </w:r>
      <w:r>
        <w:rPr>
          <w:rStyle w:val="libFootnotenumChar"/>
          <w:rtl/>
        </w:rPr>
        <w:t>(11)</w:t>
      </w:r>
      <w:r w:rsidRPr="00132E65">
        <w:rPr>
          <w:rtl/>
          <w:lang w:bidi="fa-IR"/>
        </w:rPr>
        <w:t xml:space="preserve"> وَصَاحِبِهِ ، و</w:t>
      </w:r>
      <w:r w:rsidR="005D5420">
        <w:rPr>
          <w:rFonts w:hint="cs"/>
          <w:rtl/>
          <w:lang w:bidi="fa-IR"/>
        </w:rPr>
        <w:t xml:space="preserve">َ </w:t>
      </w:r>
      <w:r w:rsidRPr="00132E65">
        <w:rPr>
          <w:rtl/>
          <w:lang w:bidi="fa-IR"/>
        </w:rPr>
        <w:t xml:space="preserve">لَمْ يَرِدْ فِي أَمْرِ الْجُنَيْدِ بِشَيْ‌ءٍ </w:t>
      </w:r>
      <w:r>
        <w:rPr>
          <w:rStyle w:val="libFootnotenumChar"/>
          <w:rtl/>
        </w:rPr>
        <w:t>(12)</w:t>
      </w:r>
      <w:r w:rsidRPr="00132E65">
        <w:rPr>
          <w:rtl/>
          <w:lang w:bidi="fa-IR"/>
        </w:rPr>
        <w:t xml:space="preserve"> ، قَالَ : فَاغْتَمَمْتُ لِذلِكَ </w:t>
      </w:r>
      <w:r w:rsidRPr="00F543F1">
        <w:rPr>
          <w:rStyle w:val="libFootnotenumChar"/>
          <w:rtl/>
        </w:rPr>
        <w:t>(13)</w:t>
      </w:r>
      <w:r w:rsidRPr="00132E65">
        <w:rPr>
          <w:rtl/>
          <w:lang w:bidi="fa-IR"/>
        </w:rPr>
        <w:t xml:space="preserve"> ، فَوَرَدَ نَعْيُ الْجُنَيْدِ بَعْدَ ذلِكَ. </w:t>
      </w:r>
      <w:r w:rsidRPr="00F543F1">
        <w:rPr>
          <w:rStyle w:val="libFootnotenumChar"/>
          <w:rtl/>
        </w:rPr>
        <w:t>(14)</w:t>
      </w:r>
    </w:p>
    <w:p w:rsidR="000C39D1" w:rsidRPr="00132E65" w:rsidRDefault="000C39D1" w:rsidP="000C39D1">
      <w:pPr>
        <w:pStyle w:val="libLine"/>
        <w:rPr>
          <w:rtl/>
          <w:lang w:bidi="fa-IR"/>
        </w:rPr>
      </w:pPr>
      <w:r w:rsidRPr="00132E65">
        <w:rPr>
          <w:rtl/>
          <w:lang w:bidi="fa-IR"/>
        </w:rPr>
        <w:t>__________________</w:t>
      </w:r>
    </w:p>
    <w:p w:rsidR="000C39D1" w:rsidRPr="00132E65" w:rsidRDefault="005D5420" w:rsidP="000C39D1">
      <w:pPr>
        <w:pStyle w:val="libFootnote0"/>
        <w:rPr>
          <w:rtl/>
          <w:lang w:bidi="fa-IR"/>
        </w:rPr>
      </w:pPr>
      <w:r>
        <w:rPr>
          <w:rFonts w:hint="cs"/>
          <w:rtl/>
        </w:rPr>
        <w:t xml:space="preserve">= </w:t>
      </w:r>
      <w:r w:rsidR="000C39D1" w:rsidRPr="00132E65">
        <w:rPr>
          <w:rtl/>
        </w:rPr>
        <w:t>« فأنفت</w:t>
      </w:r>
      <w:r w:rsidR="000C39D1">
        <w:rPr>
          <w:rtl/>
        </w:rPr>
        <w:t xml:space="preserve"> - </w:t>
      </w:r>
      <w:r w:rsidR="000C39D1" w:rsidRPr="00132E65">
        <w:rPr>
          <w:rtl/>
        </w:rPr>
        <w:t>إلى</w:t>
      </w:r>
      <w:r w:rsidR="000C39D1">
        <w:rPr>
          <w:rtl/>
        </w:rPr>
        <w:t xml:space="preserve"> - </w:t>
      </w:r>
      <w:r w:rsidR="000C39D1" w:rsidRPr="00132E65">
        <w:rPr>
          <w:rtl/>
        </w:rPr>
        <w:t>عشرين درهماً »</w:t>
      </w:r>
      <w:r w:rsidR="000C39D1">
        <w:rPr>
          <w:rtl/>
        </w:rPr>
        <w:t>.</w:t>
      </w:r>
    </w:p>
    <w:p w:rsidR="000C39D1" w:rsidRPr="00132E65" w:rsidRDefault="000C39D1" w:rsidP="000C39D1">
      <w:pPr>
        <w:pStyle w:val="libFootnote0"/>
        <w:rPr>
          <w:rtl/>
          <w:lang w:bidi="fa-IR"/>
        </w:rPr>
      </w:pPr>
      <w:r>
        <w:rPr>
          <w:rtl/>
        </w:rPr>
        <w:t>(1).</w:t>
      </w:r>
      <w:r w:rsidRPr="00132E65">
        <w:rPr>
          <w:rtl/>
        </w:rPr>
        <w:t xml:space="preserve"> في الإرشاد : « بعثت بها »</w:t>
      </w:r>
      <w:r>
        <w:rPr>
          <w:rtl/>
        </w:rPr>
        <w:t>.</w:t>
      </w:r>
      <w:r w:rsidRPr="00132E65">
        <w:rPr>
          <w:rtl/>
        </w:rPr>
        <w:t xml:space="preserve"> وفي الغيبة : « دفعتها »</w:t>
      </w:r>
      <w:r>
        <w:rPr>
          <w:rtl/>
        </w:rPr>
        <w:t>.</w:t>
      </w:r>
    </w:p>
    <w:p w:rsidR="000C39D1" w:rsidRPr="00132E65" w:rsidRDefault="000C39D1" w:rsidP="000C39D1">
      <w:pPr>
        <w:pStyle w:val="libFootnote0"/>
        <w:rPr>
          <w:rtl/>
          <w:lang w:bidi="fa-IR"/>
        </w:rPr>
      </w:pPr>
      <w:r>
        <w:rPr>
          <w:rtl/>
        </w:rPr>
        <w:t>(2).</w:t>
      </w:r>
      <w:r w:rsidRPr="00132E65">
        <w:rPr>
          <w:rtl/>
        </w:rPr>
        <w:t xml:space="preserve"> في كمال الدين ، ص 509 : « إلى أبي الحسين الأسدي »</w:t>
      </w:r>
      <w:r>
        <w:rPr>
          <w:rtl/>
        </w:rPr>
        <w:t>.</w:t>
      </w:r>
    </w:p>
    <w:p w:rsidR="000C39D1" w:rsidRPr="00132E65" w:rsidRDefault="000C39D1" w:rsidP="000C39D1">
      <w:pPr>
        <w:pStyle w:val="libFootnote0"/>
        <w:rPr>
          <w:rtl/>
          <w:lang w:bidi="fa-IR"/>
        </w:rPr>
      </w:pPr>
      <w:r>
        <w:rPr>
          <w:rtl/>
        </w:rPr>
        <w:t>(3).</w:t>
      </w:r>
      <w:r w:rsidRPr="00132E65">
        <w:rPr>
          <w:rtl/>
        </w:rPr>
        <w:t xml:space="preserve"> في كمال الدين ، ص 509 : « ولم أعرفه أمر العشرين » بدل « ولم أكتب ما لي فيها »</w:t>
      </w:r>
      <w:r>
        <w:rPr>
          <w:rtl/>
        </w:rPr>
        <w:t>.</w:t>
      </w:r>
    </w:p>
    <w:p w:rsidR="000C39D1" w:rsidRPr="00132E65" w:rsidRDefault="000C39D1" w:rsidP="000C39D1">
      <w:pPr>
        <w:pStyle w:val="libFootnote0"/>
        <w:rPr>
          <w:rtl/>
          <w:lang w:bidi="fa-IR"/>
        </w:rPr>
      </w:pPr>
      <w:r>
        <w:rPr>
          <w:rtl/>
        </w:rPr>
        <w:t>(4).</w:t>
      </w:r>
      <w:r w:rsidRPr="00132E65">
        <w:rPr>
          <w:rtl/>
        </w:rPr>
        <w:t xml:space="preserve"> في الإرشاد وكمال الدين ، ص 509 :</w:t>
      </w:r>
      <w:r>
        <w:rPr>
          <w:rtl/>
        </w:rPr>
        <w:t xml:space="preserve"> + </w:t>
      </w:r>
      <w:r w:rsidRPr="00132E65">
        <w:rPr>
          <w:rtl/>
        </w:rPr>
        <w:t>« الجواب »</w:t>
      </w:r>
      <w:r>
        <w:rPr>
          <w:rtl/>
        </w:rPr>
        <w:t>.</w:t>
      </w:r>
    </w:p>
    <w:p w:rsidR="000C39D1" w:rsidRPr="00132E65" w:rsidRDefault="000C39D1" w:rsidP="000C39D1">
      <w:pPr>
        <w:pStyle w:val="libFootnote0"/>
        <w:rPr>
          <w:rtl/>
          <w:lang w:bidi="fa-IR"/>
        </w:rPr>
      </w:pPr>
      <w:r>
        <w:rPr>
          <w:rtl/>
        </w:rPr>
        <w:t>(5).</w:t>
      </w:r>
      <w:r w:rsidRPr="00132E65">
        <w:rPr>
          <w:rtl/>
        </w:rPr>
        <w:t xml:space="preserve"> في « بح » : « فوصلت »</w:t>
      </w:r>
      <w:r>
        <w:rPr>
          <w:rtl/>
        </w:rPr>
        <w:t>.</w:t>
      </w:r>
    </w:p>
    <w:p w:rsidR="000C39D1" w:rsidRPr="00132E65" w:rsidRDefault="000C39D1" w:rsidP="000C39D1">
      <w:pPr>
        <w:pStyle w:val="libFootnote0"/>
        <w:rPr>
          <w:rtl/>
          <w:lang w:bidi="fa-IR"/>
        </w:rPr>
      </w:pPr>
      <w:r>
        <w:rPr>
          <w:rtl/>
        </w:rPr>
        <w:t>(6).</w:t>
      </w:r>
      <w:r w:rsidRPr="00132E65">
        <w:rPr>
          <w:rtl/>
        </w:rPr>
        <w:t xml:space="preserve"> في « ض ، بح ، بر ، بف » وكمال الدين ، ص 519 : « فيها »</w:t>
      </w:r>
      <w:r>
        <w:rPr>
          <w:rtl/>
        </w:rPr>
        <w:t>.</w:t>
      </w:r>
    </w:p>
    <w:p w:rsidR="000C39D1" w:rsidRPr="00132E65" w:rsidRDefault="000C39D1" w:rsidP="000C39D1">
      <w:pPr>
        <w:pStyle w:val="libFootnote0"/>
        <w:rPr>
          <w:rtl/>
          <w:lang w:bidi="fa-IR"/>
        </w:rPr>
      </w:pPr>
      <w:r>
        <w:rPr>
          <w:rtl/>
        </w:rPr>
        <w:t>(7).</w:t>
      </w:r>
      <w:r w:rsidRPr="00132E65">
        <w:rPr>
          <w:rtl/>
        </w:rPr>
        <w:t xml:space="preserve"> في الغيبة : « ولم أكتب بخبر نقصانها وأنّي أتممتها من مالي ، فورد الجواب : قد وص</w:t>
      </w:r>
      <w:r w:rsidR="005D5420">
        <w:rPr>
          <w:rtl/>
        </w:rPr>
        <w:t>لت الخمسمائة التي لك فيها عشرون</w:t>
      </w:r>
      <w:r w:rsidRPr="00132E65">
        <w:rPr>
          <w:rtl/>
        </w:rPr>
        <w:t>» بدل « ولم أكتب ما لي فيها</w:t>
      </w:r>
      <w:r>
        <w:rPr>
          <w:rtl/>
        </w:rPr>
        <w:t xml:space="preserve"> - </w:t>
      </w:r>
      <w:r w:rsidRPr="00132E65">
        <w:rPr>
          <w:rtl/>
        </w:rPr>
        <w:t>إلى</w:t>
      </w:r>
      <w:r>
        <w:rPr>
          <w:rtl/>
        </w:rPr>
        <w:t xml:space="preserve"> - </w:t>
      </w:r>
      <w:r w:rsidRPr="00132E65">
        <w:rPr>
          <w:rtl/>
        </w:rPr>
        <w:t>عشرون درهماً »</w:t>
      </w:r>
      <w:r>
        <w:rPr>
          <w:rtl/>
        </w:rPr>
        <w:t>.</w:t>
      </w:r>
    </w:p>
    <w:p w:rsidR="000C39D1" w:rsidRPr="00132E65" w:rsidRDefault="000C39D1" w:rsidP="000C39D1">
      <w:pPr>
        <w:pStyle w:val="libFootnote0"/>
        <w:rPr>
          <w:rtl/>
          <w:lang w:bidi="fa-IR"/>
        </w:rPr>
      </w:pPr>
      <w:r>
        <w:rPr>
          <w:rtl/>
        </w:rPr>
        <w:t>(8).</w:t>
      </w:r>
      <w:r w:rsidRPr="00132E65">
        <w:rPr>
          <w:rtl/>
        </w:rPr>
        <w:t xml:space="preserve"> </w:t>
      </w:r>
      <w:r w:rsidRPr="005D5420">
        <w:rPr>
          <w:rStyle w:val="libFootnoteBoldChar"/>
          <w:rtl/>
        </w:rPr>
        <w:t>الإرشاد</w:t>
      </w:r>
      <w:r w:rsidRPr="00132E65">
        <w:rPr>
          <w:rtl/>
        </w:rPr>
        <w:t xml:space="preserve"> ، ج 2 ، ص 365 بسنده عن الكليني ؛ </w:t>
      </w:r>
      <w:r w:rsidRPr="005D5420">
        <w:rPr>
          <w:rStyle w:val="libFootnoteBoldChar"/>
          <w:rtl/>
        </w:rPr>
        <w:t>الغيبة للطوسي</w:t>
      </w:r>
      <w:r w:rsidRPr="00132E65">
        <w:rPr>
          <w:rtl/>
        </w:rPr>
        <w:t xml:space="preserve"> ، ص 416 ، عن الكليني ، ح 394. وفي </w:t>
      </w:r>
      <w:r w:rsidRPr="005D5420">
        <w:rPr>
          <w:rStyle w:val="libFootnoteBoldChar"/>
          <w:rtl/>
        </w:rPr>
        <w:t>كمال الدين</w:t>
      </w:r>
      <w:r w:rsidRPr="00132E65">
        <w:rPr>
          <w:rtl/>
        </w:rPr>
        <w:t xml:space="preserve"> ، ص 485 ، ح 5 ، بسنده عن عليّ بن محمّد الرازي ، مع اختلاف يسير ؛ </w:t>
      </w:r>
      <w:r w:rsidRPr="000D1929">
        <w:rPr>
          <w:rtl/>
        </w:rPr>
        <w:t>وفيه</w:t>
      </w:r>
      <w:r w:rsidRPr="00132E65">
        <w:rPr>
          <w:rtl/>
        </w:rPr>
        <w:t xml:space="preserve"> ، ص 509 ، ح 38 ، بسنده عن محمّد بن شاذان بن نعيم ، مع زيادة في آخره </w:t>
      </w:r>
      <w:r w:rsidR="005D5420">
        <w:rPr>
          <w:rFonts w:hint="cs"/>
          <w:rtl/>
        </w:rPr>
        <w:t>.</w:t>
      </w:r>
      <w:r w:rsidRPr="009D1ACE">
        <w:rPr>
          <w:rStyle w:val="libFootnoteBoldChar"/>
          <w:rtl/>
        </w:rPr>
        <w:t>الوافي</w:t>
      </w:r>
      <w:r w:rsidRPr="00132E65">
        <w:rPr>
          <w:rtl/>
        </w:rPr>
        <w:t xml:space="preserve"> ، ج 3 ، ص 878 ، ح 1503.</w:t>
      </w:r>
    </w:p>
    <w:p w:rsidR="000C39D1" w:rsidRPr="00132E65" w:rsidRDefault="000C39D1" w:rsidP="000C39D1">
      <w:pPr>
        <w:pStyle w:val="libFootnote0"/>
        <w:rPr>
          <w:rtl/>
          <w:lang w:bidi="fa-IR"/>
        </w:rPr>
      </w:pPr>
      <w:r>
        <w:rPr>
          <w:rtl/>
        </w:rPr>
        <w:t>(9).</w:t>
      </w:r>
      <w:r w:rsidRPr="00132E65">
        <w:rPr>
          <w:rtl/>
        </w:rPr>
        <w:t xml:space="preserve"> ورد الخبر في </w:t>
      </w:r>
      <w:r w:rsidRPr="005D5420">
        <w:rPr>
          <w:rStyle w:val="libFootnoteBoldChar"/>
          <w:rtl/>
        </w:rPr>
        <w:t>الإرشاد</w:t>
      </w:r>
      <w:r w:rsidRPr="00132E65">
        <w:rPr>
          <w:rtl/>
        </w:rPr>
        <w:t xml:space="preserve"> ، ج 2 ، ص 365 ، عن الحسن بن محمّد الأشعري. وهو سهو ظاهراً ؛ فإنّ الحسين بن محمّد هذا ، هو الحسين بن محمّد بن عامر بن عمران الأشعري ، عبّر عنه الكليني </w:t>
      </w:r>
      <w:r w:rsidRPr="0006034E">
        <w:rPr>
          <w:rStyle w:val="libFootnoteAlaemChar"/>
          <w:rtl/>
        </w:rPr>
        <w:t>رحمه‌الله</w:t>
      </w:r>
      <w:r w:rsidRPr="00132E65">
        <w:rPr>
          <w:rtl/>
        </w:rPr>
        <w:t xml:space="preserve"> في بعض الأسناد بالحسين بن محمّد الأشعري ، وفي بعضها بالحسين بن محمّد بن عامر. راجع : </w:t>
      </w:r>
      <w:r w:rsidRPr="000D1929">
        <w:rPr>
          <w:rtl/>
        </w:rPr>
        <w:t>رجال النجاشي</w:t>
      </w:r>
      <w:r w:rsidRPr="00132E65">
        <w:rPr>
          <w:rtl/>
        </w:rPr>
        <w:t xml:space="preserve"> ، ص 66 ، الرقم 156 ؛ وص 218 ، الرقم 570 ؛ </w:t>
      </w:r>
      <w:r w:rsidRPr="005D5420">
        <w:rPr>
          <w:rStyle w:val="libFootnoteBoldChar"/>
          <w:rtl/>
        </w:rPr>
        <w:t>معجم رجال الحديث</w:t>
      </w:r>
      <w:r w:rsidRPr="00132E65">
        <w:rPr>
          <w:rtl/>
        </w:rPr>
        <w:t xml:space="preserve"> ، ج 6 ، ص 349</w:t>
      </w:r>
      <w:r>
        <w:rPr>
          <w:rtl/>
        </w:rPr>
        <w:t xml:space="preserve"> - </w:t>
      </w:r>
      <w:r w:rsidRPr="00132E65">
        <w:rPr>
          <w:rtl/>
        </w:rPr>
        <w:t>351.</w:t>
      </w:r>
    </w:p>
    <w:tbl>
      <w:tblPr>
        <w:tblStyle w:val="TableGrid"/>
        <w:bidiVisual/>
        <w:tblW w:w="0" w:type="auto"/>
        <w:tblLook w:val="04A0" w:firstRow="1" w:lastRow="0" w:firstColumn="1" w:lastColumn="0" w:noHBand="0" w:noVBand="1"/>
      </w:tblPr>
      <w:tblGrid>
        <w:gridCol w:w="4261"/>
        <w:gridCol w:w="4262"/>
      </w:tblGrid>
      <w:tr w:rsidR="005D5420" w:rsidTr="005D5420">
        <w:tc>
          <w:tcPr>
            <w:tcW w:w="4261" w:type="dxa"/>
          </w:tcPr>
          <w:p w:rsidR="005D5420" w:rsidRDefault="005D5420" w:rsidP="000C39D1">
            <w:pPr>
              <w:pStyle w:val="libFootnote0"/>
              <w:rPr>
                <w:rtl/>
              </w:rPr>
            </w:pPr>
            <w:r>
              <w:rPr>
                <w:rtl/>
              </w:rPr>
              <w:t>(10).</w:t>
            </w:r>
            <w:r w:rsidRPr="00132E65">
              <w:rPr>
                <w:rtl/>
              </w:rPr>
              <w:t xml:space="preserve"> في الإرشاد :</w:t>
            </w:r>
            <w:r>
              <w:rPr>
                <w:rtl/>
              </w:rPr>
              <w:t xml:space="preserve"> + </w:t>
            </w:r>
            <w:r w:rsidRPr="00132E65">
              <w:rPr>
                <w:rtl/>
              </w:rPr>
              <w:t>« بن حاتم بن ماهويه »</w:t>
            </w:r>
            <w:r>
              <w:rPr>
                <w:rtl/>
              </w:rPr>
              <w:t>.</w:t>
            </w:r>
          </w:p>
        </w:tc>
        <w:tc>
          <w:tcPr>
            <w:tcW w:w="4262" w:type="dxa"/>
          </w:tcPr>
          <w:p w:rsidR="005D5420" w:rsidRDefault="005D5420" w:rsidP="000C39D1">
            <w:pPr>
              <w:pStyle w:val="libFootnote0"/>
              <w:rPr>
                <w:rtl/>
              </w:rPr>
            </w:pPr>
            <w:r>
              <w:rPr>
                <w:rtl/>
              </w:rPr>
              <w:t>(11).</w:t>
            </w:r>
            <w:r w:rsidRPr="00132E65">
              <w:rPr>
                <w:rtl/>
              </w:rPr>
              <w:t xml:space="preserve"> في الإرشاد : « بالإجراء لأبي الحسن »</w:t>
            </w:r>
            <w:r>
              <w:rPr>
                <w:rtl/>
              </w:rPr>
              <w:t>.</w:t>
            </w:r>
          </w:p>
        </w:tc>
      </w:tr>
    </w:tbl>
    <w:p w:rsidR="000C39D1" w:rsidRPr="00132E65" w:rsidRDefault="000C39D1" w:rsidP="000C39D1">
      <w:pPr>
        <w:pStyle w:val="libFootnote0"/>
        <w:rPr>
          <w:rtl/>
          <w:lang w:bidi="fa-IR"/>
        </w:rPr>
      </w:pPr>
      <w:r>
        <w:rPr>
          <w:rtl/>
        </w:rPr>
        <w:t>(12).</w:t>
      </w:r>
      <w:r w:rsidRPr="00132E65">
        <w:rPr>
          <w:rtl/>
        </w:rPr>
        <w:t xml:space="preserve"> الباء للتعدية. وفي « بر ، بف » والإرشاد و</w:t>
      </w:r>
      <w:r w:rsidRPr="009D1ACE">
        <w:rPr>
          <w:rStyle w:val="libFootnoteBoldChar"/>
          <w:rtl/>
        </w:rPr>
        <w:t>الوافي</w:t>
      </w:r>
      <w:r w:rsidRPr="00132E65">
        <w:rPr>
          <w:rtl/>
        </w:rPr>
        <w:t xml:space="preserve"> : « شي‌ء »</w:t>
      </w:r>
      <w:r>
        <w:rPr>
          <w:rtl/>
        </w:rPr>
        <w:t>.</w:t>
      </w:r>
    </w:p>
    <w:p w:rsidR="000C39D1" w:rsidRPr="00132E65" w:rsidRDefault="000C39D1" w:rsidP="000C39D1">
      <w:pPr>
        <w:pStyle w:val="libFootnote0"/>
        <w:rPr>
          <w:rtl/>
          <w:lang w:bidi="fa-IR"/>
        </w:rPr>
      </w:pPr>
      <w:r>
        <w:rPr>
          <w:rtl/>
        </w:rPr>
        <w:t>(13)</w:t>
      </w:r>
      <w:r w:rsidRPr="00132E65">
        <w:rPr>
          <w:rtl/>
        </w:rPr>
        <w:t xml:space="preserve"> في « ض ، بر » : « بذلك »</w:t>
      </w:r>
      <w:r>
        <w:rPr>
          <w:rtl/>
        </w:rPr>
        <w:t>.</w:t>
      </w:r>
    </w:p>
    <w:p w:rsidR="000C39D1" w:rsidRPr="00132E65" w:rsidRDefault="000C39D1" w:rsidP="000C39D1">
      <w:pPr>
        <w:pStyle w:val="libFootnote0"/>
        <w:rPr>
          <w:rtl/>
          <w:lang w:bidi="fa-IR"/>
        </w:rPr>
      </w:pPr>
      <w:r>
        <w:rPr>
          <w:rtl/>
        </w:rPr>
        <w:t>(14)</w:t>
      </w:r>
      <w:r w:rsidRPr="00132E65">
        <w:rPr>
          <w:rtl/>
        </w:rPr>
        <w:t xml:space="preserve"> </w:t>
      </w:r>
      <w:r w:rsidRPr="005D5420">
        <w:rPr>
          <w:rStyle w:val="libFootnoteBoldChar"/>
          <w:rtl/>
        </w:rPr>
        <w:t>الإرشاد</w:t>
      </w:r>
      <w:r w:rsidRPr="00132E65">
        <w:rPr>
          <w:rtl/>
        </w:rPr>
        <w:t xml:space="preserve"> ، ج 2 ، ص 365 ، عن الحسن بن محمّد الأشعري </w:t>
      </w:r>
      <w:r w:rsidR="005D5420">
        <w:rPr>
          <w:rFonts w:hint="cs"/>
          <w:rtl/>
        </w:rPr>
        <w:t>.</w:t>
      </w:r>
      <w:r w:rsidRPr="009D1ACE">
        <w:rPr>
          <w:rStyle w:val="libFootnoteBoldChar"/>
          <w:rtl/>
        </w:rPr>
        <w:t>الوافي</w:t>
      </w:r>
      <w:r w:rsidRPr="00132E65">
        <w:rPr>
          <w:rtl/>
        </w:rPr>
        <w:t xml:space="preserve"> ، ج 3 ، ص 878 ، ح 1504.</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46530E">
        <w:rPr>
          <w:rtl/>
        </w:rPr>
        <w:t>1381</w:t>
      </w:r>
      <w:r w:rsidRPr="004325D8">
        <w:rPr>
          <w:rStyle w:val="libBold2Char"/>
          <w:rtl/>
        </w:rPr>
        <w:t xml:space="preserve"> / 25.</w:t>
      </w:r>
      <w:r w:rsidRPr="00132E65">
        <w:rPr>
          <w:rtl/>
          <w:lang w:bidi="fa-IR"/>
        </w:rPr>
        <w:t xml:space="preserve"> عَلِيُّ بْنُ مُحَمَّدٍ ، عَنْ مُحَمَّدِ بْنِ صَالِحٍ ، قَالَ :</w:t>
      </w:r>
    </w:p>
    <w:p w:rsidR="000C39D1" w:rsidRPr="00132E65" w:rsidRDefault="000C39D1" w:rsidP="000C39D1">
      <w:pPr>
        <w:pStyle w:val="libNormal"/>
        <w:rPr>
          <w:rtl/>
          <w:lang w:bidi="fa-IR"/>
        </w:rPr>
      </w:pPr>
      <w:r w:rsidRPr="00132E65">
        <w:rPr>
          <w:rtl/>
          <w:lang w:bidi="fa-IR"/>
        </w:rPr>
        <w:t xml:space="preserve">كَانَتْ لِي جَارِيَةٌ كُنْتُ مُعْجَباً بِهَا ، فَكَتَبْتُ أَسْتَأْمِرُ </w:t>
      </w:r>
      <w:r>
        <w:rPr>
          <w:rStyle w:val="libFootnotenumChar"/>
          <w:rtl/>
        </w:rPr>
        <w:t>(1)</w:t>
      </w:r>
      <w:r w:rsidRPr="00132E65">
        <w:rPr>
          <w:rtl/>
          <w:lang w:bidi="fa-IR"/>
        </w:rPr>
        <w:t xml:space="preserve"> فِي اسْتِيلَادِهَا </w:t>
      </w:r>
      <w:r>
        <w:rPr>
          <w:rStyle w:val="libFootnotenumChar"/>
          <w:rtl/>
        </w:rPr>
        <w:t>(2)</w:t>
      </w:r>
      <w:r w:rsidRPr="00132E65">
        <w:rPr>
          <w:rtl/>
          <w:lang w:bidi="fa-IR"/>
        </w:rPr>
        <w:t xml:space="preserve"> ، فَوَرَدَ :</w:t>
      </w:r>
      <w:r>
        <w:rPr>
          <w:rFonts w:hint="cs"/>
          <w:rtl/>
          <w:lang w:bidi="fa-IR"/>
        </w:rPr>
        <w:t xml:space="preserve"> </w:t>
      </w:r>
      <w:r w:rsidRPr="00132E65">
        <w:rPr>
          <w:rtl/>
          <w:lang w:bidi="fa-IR"/>
        </w:rPr>
        <w:t>« اسْتَوْلِدْهَا ، و</w:t>
      </w:r>
      <w:r w:rsidR="005D5420">
        <w:rPr>
          <w:rFonts w:hint="cs"/>
          <w:rtl/>
          <w:lang w:bidi="fa-IR"/>
        </w:rPr>
        <w:t>َ</w:t>
      </w:r>
      <w:r>
        <w:rPr>
          <w:rFonts w:hint="cs"/>
          <w:rtl/>
          <w:lang w:bidi="fa-IR"/>
        </w:rPr>
        <w:t xml:space="preserve"> </w:t>
      </w:r>
      <w:r>
        <w:rPr>
          <w:rStyle w:val="libFootnotenumChar"/>
          <w:rtl/>
        </w:rPr>
        <w:t>(3)</w:t>
      </w:r>
      <w:r w:rsidRPr="00132E65">
        <w:rPr>
          <w:rtl/>
          <w:lang w:bidi="fa-IR"/>
        </w:rPr>
        <w:t xml:space="preserve"> يَفْعَلُ اللهُ مَا يَشَاءُ »</w:t>
      </w:r>
      <w:r>
        <w:rPr>
          <w:rtl/>
          <w:lang w:bidi="fa-IR"/>
        </w:rPr>
        <w:t>.</w:t>
      </w:r>
      <w:r w:rsidRPr="00132E65">
        <w:rPr>
          <w:rtl/>
          <w:lang w:bidi="fa-IR"/>
        </w:rPr>
        <w:t xml:space="preserve"> فَوَطِئْتُهَا </w:t>
      </w:r>
      <w:r>
        <w:rPr>
          <w:rStyle w:val="libFootnotenumChar"/>
          <w:rtl/>
        </w:rPr>
        <w:t>(4)</w:t>
      </w:r>
      <w:r w:rsidRPr="00132E65">
        <w:rPr>
          <w:rtl/>
          <w:lang w:bidi="fa-IR"/>
        </w:rPr>
        <w:t xml:space="preserve"> فَحَبِلَتْ </w:t>
      </w:r>
      <w:r>
        <w:rPr>
          <w:rStyle w:val="libFootnotenumChar"/>
          <w:rtl/>
        </w:rPr>
        <w:t>(5)</w:t>
      </w:r>
      <w:r w:rsidRPr="00132E65">
        <w:rPr>
          <w:rtl/>
          <w:lang w:bidi="fa-IR"/>
        </w:rPr>
        <w:t xml:space="preserve"> ، ثُمَّ أَسْقَطَتْ فَمَاتَتْ.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46530E">
        <w:rPr>
          <w:rtl/>
        </w:rPr>
        <w:t>1382</w:t>
      </w:r>
      <w:r w:rsidRPr="004325D8">
        <w:rPr>
          <w:rStyle w:val="libBold2Char"/>
          <w:rtl/>
        </w:rPr>
        <w:t xml:space="preserve"> / 26.</w:t>
      </w:r>
      <w:r w:rsidRPr="00132E65">
        <w:rPr>
          <w:rtl/>
          <w:lang w:bidi="fa-IR"/>
        </w:rPr>
        <w:t xml:space="preserve"> عَلِيُّ بْنُ مُحَمَّدٍ قَالَ :</w:t>
      </w:r>
    </w:p>
    <w:p w:rsidR="000C39D1" w:rsidRPr="00132E65" w:rsidRDefault="000C39D1" w:rsidP="000C39D1">
      <w:pPr>
        <w:pStyle w:val="libNormal"/>
        <w:rPr>
          <w:rtl/>
          <w:lang w:bidi="fa-IR"/>
        </w:rPr>
      </w:pPr>
      <w:r w:rsidRPr="00132E65">
        <w:rPr>
          <w:rtl/>
          <w:lang w:bidi="fa-IR"/>
        </w:rPr>
        <w:t xml:space="preserve">كَانَ ابْنُ الْعَجَمِيِّ جَعَلَ ثُلُثَهُ لِلنَّاحِيَةِ </w:t>
      </w:r>
      <w:r>
        <w:rPr>
          <w:rStyle w:val="libFootnotenumChar"/>
          <w:rtl/>
        </w:rPr>
        <w:t>(7)</w:t>
      </w:r>
      <w:r w:rsidRPr="00132E65">
        <w:rPr>
          <w:rtl/>
          <w:lang w:bidi="fa-IR"/>
        </w:rPr>
        <w:t xml:space="preserve"> ، و</w:t>
      </w:r>
      <w:r w:rsidR="005D5420">
        <w:rPr>
          <w:rFonts w:hint="cs"/>
          <w:rtl/>
          <w:lang w:bidi="fa-IR"/>
        </w:rPr>
        <w:t xml:space="preserve">َ </w:t>
      </w:r>
      <w:r w:rsidRPr="00132E65">
        <w:rPr>
          <w:rtl/>
          <w:lang w:bidi="fa-IR"/>
        </w:rPr>
        <w:t>كَتَبَ بِذلِكَ ، و</w:t>
      </w:r>
      <w:r w:rsidR="005D5420">
        <w:rPr>
          <w:rFonts w:hint="cs"/>
          <w:rtl/>
          <w:lang w:bidi="fa-IR"/>
        </w:rPr>
        <w:t>َ</w:t>
      </w:r>
      <w:r w:rsidRPr="00132E65">
        <w:rPr>
          <w:rtl/>
          <w:lang w:bidi="fa-IR"/>
        </w:rPr>
        <w:t>قَدْ كَانَ قَبْلَ إِخْرَاجِهِ الثُّلُثَ دَفَعَ مَالاً لِابْنِهِ أَبِي الْمِقْدَامِ لَمْ يَطَّلِعْ عَلَيْهِ أَحَدٌ ، فَكَتَبَ إِلَيْهِ : « فَأَيْنَ الْمَالُ الَّذِي عَزَلْتَهُ لِأَبِي الْمِقْدَامِ</w:t>
      </w:r>
      <w:r>
        <w:rPr>
          <w:rtl/>
          <w:lang w:bidi="fa-IR"/>
        </w:rPr>
        <w:t>؟</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46530E">
        <w:rPr>
          <w:rtl/>
        </w:rPr>
        <w:t>1383</w:t>
      </w:r>
      <w:r w:rsidRPr="004325D8">
        <w:rPr>
          <w:rStyle w:val="libBold2Char"/>
          <w:rtl/>
        </w:rPr>
        <w:t xml:space="preserve"> / 27.</w:t>
      </w:r>
      <w:r w:rsidRPr="00132E65">
        <w:rPr>
          <w:rtl/>
          <w:lang w:bidi="fa-IR"/>
        </w:rPr>
        <w:t xml:space="preserve"> عَلِيُّ بْنُ مُحَمَّدٍ ، عَنْ أَبِي عَقِيلٍ عِيسَى بْنِ نَصْرٍ ، قَالَ :</w:t>
      </w:r>
    </w:p>
    <w:p w:rsidR="000C39D1" w:rsidRPr="00132E65" w:rsidRDefault="000C39D1" w:rsidP="005D5420">
      <w:pPr>
        <w:pStyle w:val="libNormal"/>
        <w:rPr>
          <w:rtl/>
          <w:lang w:bidi="fa-IR"/>
        </w:rPr>
      </w:pPr>
      <w:r w:rsidRPr="00132E65">
        <w:rPr>
          <w:rtl/>
          <w:lang w:bidi="fa-IR"/>
        </w:rPr>
        <w:t xml:space="preserve">كَتَبَ عَلِيُّ بْنُ زِيَادٍ الصَّيْمَرِيُّ يَسْأَلُ </w:t>
      </w:r>
      <w:r>
        <w:rPr>
          <w:rStyle w:val="libFootnotenumChar"/>
          <w:rtl/>
        </w:rPr>
        <w:t>(9)</w:t>
      </w:r>
      <w:r w:rsidRPr="00132E65">
        <w:rPr>
          <w:rtl/>
          <w:lang w:bidi="fa-IR"/>
        </w:rPr>
        <w:t xml:space="preserve"> كَفَناً ، فَكَتَبَ إِلَيْهِ : « إِنَّكَ تَحْتَاجُ إِلَيْهِ فِي سَنَةِ ثَمَانِينَ »</w:t>
      </w:r>
      <w:r>
        <w:rPr>
          <w:rtl/>
          <w:lang w:bidi="fa-IR"/>
        </w:rPr>
        <w:t>.</w:t>
      </w:r>
      <w:r w:rsidRPr="00132E65">
        <w:rPr>
          <w:rtl/>
          <w:lang w:bidi="fa-IR"/>
        </w:rPr>
        <w:t xml:space="preserve"> فَمَاتَ فِي سَنَةِ ثَمَانِينَ ، و</w:t>
      </w:r>
      <w:r w:rsidR="005D5420">
        <w:rPr>
          <w:rFonts w:hint="cs"/>
          <w:rtl/>
          <w:lang w:bidi="fa-IR"/>
        </w:rPr>
        <w:t>َ</w:t>
      </w:r>
      <w:r w:rsidRPr="00132E65">
        <w:rPr>
          <w:rtl/>
          <w:lang w:bidi="fa-IR"/>
        </w:rPr>
        <w:t xml:space="preserve">بَعَثَ إِلَيْهِ بِالْكَفَنِ قَبْلَ مَوْتِهِ بِأَيَّامٍ </w:t>
      </w:r>
      <w:r>
        <w:rPr>
          <w:rStyle w:val="libFootnotenumChar"/>
          <w:rtl/>
        </w:rPr>
        <w:t>(10)</w:t>
      </w:r>
      <w:r w:rsidR="005D5420">
        <w:rPr>
          <w:rFonts w:hint="cs"/>
          <w:rtl/>
          <w:lang w:bidi="fa-IR"/>
        </w:rPr>
        <w:t>.</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46530E">
        <w:rPr>
          <w:rtl/>
        </w:rPr>
        <w:t>1384</w:t>
      </w:r>
      <w:r w:rsidRPr="004325D8">
        <w:rPr>
          <w:rStyle w:val="libBold2Char"/>
          <w:rtl/>
        </w:rPr>
        <w:t xml:space="preserve"> / 28.</w:t>
      </w:r>
      <w:r w:rsidRPr="00132E65">
        <w:rPr>
          <w:rtl/>
          <w:lang w:bidi="fa-IR"/>
        </w:rPr>
        <w:t xml:space="preserve"> عَلِيُّ بْنُ مُحَمَّدٍ ، عَنْ مُحَمَّدِ بْنِ هَارُونَ بْنِ عِمْرَانَ الْهَمَذَانِيِّ </w:t>
      </w:r>
      <w:r>
        <w:rPr>
          <w:rStyle w:val="libFootnotenumChar"/>
          <w:rtl/>
        </w:rPr>
        <w:t>(12)</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 الاستئمار » : المشاورة. </w:t>
      </w:r>
      <w:r w:rsidRPr="005D5420">
        <w:rPr>
          <w:rStyle w:val="libFootnoteBoldChar"/>
          <w:rtl/>
        </w:rPr>
        <w:t>الصحاح</w:t>
      </w:r>
      <w:r w:rsidRPr="00132E65">
        <w:rPr>
          <w:rtl/>
        </w:rPr>
        <w:t xml:space="preserve"> ، ج 2 ، ص 582 ( أمر )</w:t>
      </w:r>
      <w:r>
        <w:rPr>
          <w:rtl/>
        </w:rPr>
        <w:t>.</w:t>
      </w:r>
    </w:p>
    <w:tbl>
      <w:tblPr>
        <w:tblStyle w:val="TableGrid"/>
        <w:bidiVisual/>
        <w:tblW w:w="0" w:type="auto"/>
        <w:tblLook w:val="04A0" w:firstRow="1" w:lastRow="0" w:firstColumn="1" w:lastColumn="0" w:noHBand="0" w:noVBand="1"/>
      </w:tblPr>
      <w:tblGrid>
        <w:gridCol w:w="4261"/>
        <w:gridCol w:w="4262"/>
      </w:tblGrid>
      <w:tr w:rsidR="005D5420" w:rsidTr="005D5420">
        <w:tc>
          <w:tcPr>
            <w:tcW w:w="4261" w:type="dxa"/>
          </w:tcPr>
          <w:p w:rsidR="005D5420" w:rsidRDefault="005D5420" w:rsidP="000C39D1">
            <w:pPr>
              <w:pStyle w:val="libFootnote0"/>
              <w:rPr>
                <w:rtl/>
              </w:rPr>
            </w:pPr>
            <w:r>
              <w:rPr>
                <w:rtl/>
              </w:rPr>
              <w:t>(2).</w:t>
            </w:r>
            <w:r w:rsidRPr="00132E65">
              <w:rPr>
                <w:rtl/>
              </w:rPr>
              <w:t xml:space="preserve"> في « ف » : « إيلادها »</w:t>
            </w:r>
            <w:r>
              <w:rPr>
                <w:rtl/>
              </w:rPr>
              <w:t>.</w:t>
            </w:r>
          </w:p>
        </w:tc>
        <w:tc>
          <w:tcPr>
            <w:tcW w:w="4262" w:type="dxa"/>
          </w:tcPr>
          <w:p w:rsidR="005D5420" w:rsidRDefault="005D5420" w:rsidP="000C39D1">
            <w:pPr>
              <w:pStyle w:val="libFootnote0"/>
              <w:rPr>
                <w:rtl/>
              </w:rPr>
            </w:pPr>
            <w:r>
              <w:rPr>
                <w:rtl/>
              </w:rPr>
              <w:t>(3).</w:t>
            </w:r>
            <w:r w:rsidRPr="00132E65">
              <w:rPr>
                <w:rtl/>
              </w:rPr>
              <w:t xml:space="preserve"> في </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tc>
      </w:tr>
      <w:tr w:rsidR="005D5420" w:rsidTr="005D5420">
        <w:tc>
          <w:tcPr>
            <w:tcW w:w="4261" w:type="dxa"/>
          </w:tcPr>
          <w:p w:rsidR="005D5420" w:rsidRDefault="005D5420" w:rsidP="000C39D1">
            <w:pPr>
              <w:pStyle w:val="libFootnote0"/>
              <w:rPr>
                <w:rtl/>
              </w:rPr>
            </w:pPr>
            <w:r>
              <w:rPr>
                <w:rtl/>
              </w:rPr>
              <w:t>(4).</w:t>
            </w:r>
            <w:r w:rsidRPr="00132E65">
              <w:rPr>
                <w:rtl/>
              </w:rPr>
              <w:t xml:space="preserve"> في « ف » : « فوطئها »</w:t>
            </w:r>
            <w:r>
              <w:rPr>
                <w:rtl/>
              </w:rPr>
              <w:t>.</w:t>
            </w:r>
          </w:p>
        </w:tc>
        <w:tc>
          <w:tcPr>
            <w:tcW w:w="4262" w:type="dxa"/>
          </w:tcPr>
          <w:p w:rsidR="005D5420" w:rsidRDefault="005D5420" w:rsidP="000C39D1">
            <w:pPr>
              <w:pStyle w:val="libFootnote0"/>
              <w:rPr>
                <w:rtl/>
              </w:rPr>
            </w:pPr>
            <w:r>
              <w:rPr>
                <w:rtl/>
              </w:rPr>
              <w:t>(5).في «بح،بر،بس،بف» وحاشية «ج ، ف»:«فحملت</w:t>
            </w:r>
            <w:r w:rsidRPr="00132E65">
              <w:rPr>
                <w:rtl/>
              </w:rPr>
              <w:t>»</w:t>
            </w:r>
            <w:r>
              <w:rPr>
                <w:rtl/>
              </w:rPr>
              <w:t>.</w:t>
            </w:r>
          </w:p>
        </w:tc>
      </w:tr>
    </w:tbl>
    <w:p w:rsidR="000C39D1" w:rsidRPr="00132E65" w:rsidRDefault="000C39D1" w:rsidP="005D5420">
      <w:pPr>
        <w:pStyle w:val="libFootnote0"/>
        <w:rPr>
          <w:rtl/>
          <w:lang w:bidi="fa-IR"/>
        </w:rPr>
      </w:pPr>
      <w:r>
        <w:rPr>
          <w:rtl/>
        </w:rPr>
        <w:t>(6).</w:t>
      </w:r>
      <w:r w:rsidRPr="00132E65">
        <w:rPr>
          <w:rtl/>
        </w:rPr>
        <w:t xml:space="preserve"> </w:t>
      </w:r>
      <w:r w:rsidRPr="005D5420">
        <w:rPr>
          <w:rStyle w:val="libFootnoteBoldChar"/>
          <w:rtl/>
        </w:rPr>
        <w:t>كمال الدين</w:t>
      </w:r>
      <w:r w:rsidRPr="00132E65">
        <w:rPr>
          <w:rtl/>
        </w:rPr>
        <w:t xml:space="preserve"> ، ص 489 ، ح 12 ، بسنده عن محمّد بن الصالح ، مع اختلاف يسير وزيادة </w:t>
      </w:r>
      <w:r w:rsidR="005D5420">
        <w:rPr>
          <w:rFonts w:hint="cs"/>
          <w:rtl/>
        </w:rPr>
        <w:t>.</w:t>
      </w:r>
      <w:r w:rsidRPr="009D1ACE">
        <w:rPr>
          <w:rStyle w:val="libFootnoteBoldChar"/>
          <w:rtl/>
        </w:rPr>
        <w:t>الوافي</w:t>
      </w:r>
      <w:r w:rsidRPr="00132E65">
        <w:rPr>
          <w:rtl/>
        </w:rPr>
        <w:t xml:space="preserve"> ، ج 3 ، ص 878 ، ح 1505.</w:t>
      </w:r>
      <w:r w:rsidR="005D5420">
        <w:rPr>
          <w:rFonts w:hint="cs"/>
          <w:rtl/>
        </w:rPr>
        <w:t xml:space="preserve">   </w:t>
      </w:r>
      <w:r w:rsidR="0006034E">
        <w:rPr>
          <w:rFonts w:hint="cs"/>
          <w:rtl/>
        </w:rPr>
        <w:t xml:space="preserve">                           </w:t>
      </w:r>
      <w:r w:rsidR="005D5420">
        <w:rPr>
          <w:rFonts w:hint="cs"/>
          <w:rtl/>
        </w:rPr>
        <w:t xml:space="preserve">             </w:t>
      </w:r>
      <w:r>
        <w:rPr>
          <w:rtl/>
        </w:rPr>
        <w:t>(7).</w:t>
      </w:r>
      <w:r w:rsidRPr="00132E65">
        <w:rPr>
          <w:rtl/>
        </w:rPr>
        <w:t xml:space="preserve"> في « بر » :</w:t>
      </w:r>
      <w:r>
        <w:rPr>
          <w:rtl/>
        </w:rPr>
        <w:t xml:space="preserve"> + </w:t>
      </w:r>
      <w:r w:rsidRPr="00132E65">
        <w:rPr>
          <w:rtl/>
        </w:rPr>
        <w:t>« في الناحية »</w:t>
      </w:r>
      <w:r>
        <w:rPr>
          <w:rtl/>
        </w:rPr>
        <w:t>.</w:t>
      </w:r>
    </w:p>
    <w:tbl>
      <w:tblPr>
        <w:tblStyle w:val="TableGrid"/>
        <w:bidiVisual/>
        <w:tblW w:w="0" w:type="auto"/>
        <w:tblLook w:val="04A0" w:firstRow="1" w:lastRow="0" w:firstColumn="1" w:lastColumn="0" w:noHBand="0" w:noVBand="1"/>
      </w:tblPr>
      <w:tblGrid>
        <w:gridCol w:w="4261"/>
        <w:gridCol w:w="4262"/>
      </w:tblGrid>
      <w:tr w:rsidR="005D5420" w:rsidTr="005D5420">
        <w:tc>
          <w:tcPr>
            <w:tcW w:w="4261" w:type="dxa"/>
          </w:tcPr>
          <w:p w:rsidR="005D5420" w:rsidRDefault="005D5420" w:rsidP="000C39D1">
            <w:pPr>
              <w:pStyle w:val="libFootnote0"/>
              <w:rPr>
                <w:rtl/>
              </w:rPr>
            </w:pPr>
            <w:r>
              <w:rPr>
                <w:rtl/>
              </w:rPr>
              <w:t>(8).</w:t>
            </w:r>
            <w:r w:rsidRPr="00132E65">
              <w:rPr>
                <w:rtl/>
              </w:rPr>
              <w:t xml:space="preserve"> </w:t>
            </w:r>
            <w:r w:rsidRPr="009D1ACE">
              <w:rPr>
                <w:rStyle w:val="libFootnoteBoldChar"/>
                <w:rtl/>
              </w:rPr>
              <w:t>الوافي</w:t>
            </w:r>
            <w:r w:rsidRPr="00132E65">
              <w:rPr>
                <w:rtl/>
              </w:rPr>
              <w:t xml:space="preserve"> ، ج 3 ، ص 878 ، ح 1506.</w:t>
            </w:r>
          </w:p>
        </w:tc>
        <w:tc>
          <w:tcPr>
            <w:tcW w:w="4262" w:type="dxa"/>
          </w:tcPr>
          <w:p w:rsidR="005D5420" w:rsidRDefault="005D5420" w:rsidP="000C39D1">
            <w:pPr>
              <w:pStyle w:val="libFootnote0"/>
              <w:rPr>
                <w:rtl/>
              </w:rPr>
            </w:pPr>
            <w:r>
              <w:rPr>
                <w:rtl/>
              </w:rPr>
              <w:t>(9).</w:t>
            </w:r>
            <w:r w:rsidRPr="00132E65">
              <w:rPr>
                <w:rtl/>
              </w:rPr>
              <w:t xml:space="preserve">في </w:t>
            </w:r>
            <w:r w:rsidRPr="009D1ACE">
              <w:rPr>
                <w:rStyle w:val="libFootnoteBoldChar"/>
                <w:rtl/>
              </w:rPr>
              <w:t>الوافي</w:t>
            </w:r>
            <w:r>
              <w:rPr>
                <w:rtl/>
              </w:rPr>
              <w:t xml:space="preserve"> : «يسأله</w:t>
            </w:r>
            <w:r w:rsidRPr="00132E65">
              <w:rPr>
                <w:rtl/>
              </w:rPr>
              <w:t>»</w:t>
            </w:r>
            <w:r>
              <w:rPr>
                <w:rtl/>
              </w:rPr>
              <w:t>.وفي الغيبة،ص 281 : «يلتمس</w:t>
            </w:r>
            <w:r w:rsidRPr="00132E65">
              <w:rPr>
                <w:rtl/>
              </w:rPr>
              <w:t>»</w:t>
            </w:r>
            <w:r>
              <w:rPr>
                <w:rtl/>
              </w:rPr>
              <w:t>.</w:t>
            </w:r>
          </w:p>
        </w:tc>
      </w:tr>
    </w:tbl>
    <w:p w:rsidR="000C39D1" w:rsidRPr="00132E65" w:rsidRDefault="000C39D1" w:rsidP="000C39D1">
      <w:pPr>
        <w:pStyle w:val="libFootnote0"/>
        <w:rPr>
          <w:rtl/>
          <w:lang w:bidi="fa-IR"/>
        </w:rPr>
      </w:pPr>
      <w:r>
        <w:rPr>
          <w:rtl/>
        </w:rPr>
        <w:t>(10).</w:t>
      </w:r>
      <w:r w:rsidRPr="00132E65">
        <w:rPr>
          <w:rtl/>
        </w:rPr>
        <w:t xml:space="preserve"> في « بس ، بف » والإرشاد والغيبة ، ص 281 </w:t>
      </w:r>
      <w:r>
        <w:rPr>
          <w:rtl/>
        </w:rPr>
        <w:t xml:space="preserve">: - </w:t>
      </w:r>
      <w:r w:rsidRPr="00132E65">
        <w:rPr>
          <w:rtl/>
        </w:rPr>
        <w:t>« بأيّام »</w:t>
      </w:r>
      <w:r>
        <w:rPr>
          <w:rtl/>
        </w:rPr>
        <w:t>.</w:t>
      </w:r>
      <w:r w:rsidRPr="00132E65">
        <w:rPr>
          <w:rtl/>
        </w:rPr>
        <w:t xml:space="preserve"> وفي « بر » : « أيّام موته »</w:t>
      </w:r>
      <w:r>
        <w:rPr>
          <w:rtl/>
        </w:rPr>
        <w:t>.</w:t>
      </w:r>
      <w:r w:rsidR="005D5420">
        <w:rPr>
          <w:rtl/>
        </w:rPr>
        <w:t xml:space="preserve"> وفي كمال الدين : «</w:t>
      </w:r>
      <w:r w:rsidRPr="00132E65">
        <w:rPr>
          <w:rtl/>
        </w:rPr>
        <w:t>بشهر »</w:t>
      </w:r>
      <w:r>
        <w:rPr>
          <w:rtl/>
        </w:rPr>
        <w:t>.</w:t>
      </w:r>
    </w:p>
    <w:p w:rsidR="000C39D1" w:rsidRPr="00132E65" w:rsidRDefault="000C39D1" w:rsidP="000C39D1">
      <w:pPr>
        <w:pStyle w:val="libFootnote0"/>
        <w:rPr>
          <w:rtl/>
          <w:lang w:bidi="fa-IR"/>
        </w:rPr>
      </w:pPr>
      <w:r>
        <w:rPr>
          <w:rtl/>
        </w:rPr>
        <w:t>(11).</w:t>
      </w:r>
      <w:r w:rsidRPr="00132E65">
        <w:rPr>
          <w:rtl/>
        </w:rPr>
        <w:t xml:space="preserve"> </w:t>
      </w:r>
      <w:r w:rsidRPr="005D5420">
        <w:rPr>
          <w:rStyle w:val="libFootnoteBoldChar"/>
          <w:rtl/>
        </w:rPr>
        <w:t>الغيبة للطوسي</w:t>
      </w:r>
      <w:r w:rsidRPr="00132E65">
        <w:rPr>
          <w:rtl/>
        </w:rPr>
        <w:t xml:space="preserve"> ، ص 283 ، ح 243 ، بسنده عن الكليني. </w:t>
      </w:r>
      <w:r w:rsidRPr="005D5420">
        <w:rPr>
          <w:rStyle w:val="libFootnoteBoldChar"/>
          <w:rtl/>
        </w:rPr>
        <w:t>الإرشاد</w:t>
      </w:r>
      <w:r w:rsidRPr="00132E65">
        <w:rPr>
          <w:rtl/>
        </w:rPr>
        <w:t xml:space="preserve"> ، ج 2 ، ص 366 ؛ عن عليّ بن محمّد. </w:t>
      </w:r>
      <w:r w:rsidRPr="005D5420">
        <w:rPr>
          <w:rStyle w:val="libFootnoteBoldChar"/>
          <w:rtl/>
        </w:rPr>
        <w:t>الغيبة للطوسي</w:t>
      </w:r>
      <w:r w:rsidRPr="00132E65">
        <w:rPr>
          <w:rtl/>
        </w:rPr>
        <w:t xml:space="preserve"> ، </w:t>
      </w:r>
      <w:r w:rsidRPr="0046530E">
        <w:rPr>
          <w:rtl/>
        </w:rPr>
        <w:t>وفيه</w:t>
      </w:r>
      <w:r w:rsidRPr="00132E65">
        <w:rPr>
          <w:rtl/>
        </w:rPr>
        <w:t xml:space="preserve"> ، ص 297 ، ح 253 ، بسنده عن عليّ بن محمّد الكليني ، عن محمّد بن زياد الصيمري ، مع اختلاف يسير. وفي </w:t>
      </w:r>
      <w:r w:rsidRPr="0046530E">
        <w:rPr>
          <w:rtl/>
        </w:rPr>
        <w:t>كمال الدين</w:t>
      </w:r>
      <w:r w:rsidRPr="00132E65">
        <w:rPr>
          <w:rtl/>
        </w:rPr>
        <w:t xml:space="preserve"> ، ص 501 ، ح 26 ، مرسلاً عن عليّ بن محمّد الصيمري </w:t>
      </w:r>
      <w:r w:rsidR="005D5420">
        <w:rPr>
          <w:rFonts w:hint="cs"/>
          <w:rtl/>
        </w:rPr>
        <w:t>.</w:t>
      </w:r>
      <w:r w:rsidRPr="009D1ACE">
        <w:rPr>
          <w:rStyle w:val="libFootnoteBoldChar"/>
          <w:rtl/>
        </w:rPr>
        <w:t>الوافي</w:t>
      </w:r>
      <w:r w:rsidRPr="00132E65">
        <w:rPr>
          <w:rtl/>
        </w:rPr>
        <w:t xml:space="preserve"> ، ج 3 ، ص 879 ، ح 1507.</w:t>
      </w:r>
    </w:p>
    <w:p w:rsidR="000C39D1" w:rsidRPr="00132E65" w:rsidRDefault="000C39D1" w:rsidP="000C39D1">
      <w:pPr>
        <w:pStyle w:val="libFootnote0"/>
        <w:rPr>
          <w:rtl/>
          <w:lang w:bidi="fa-IR"/>
        </w:rPr>
      </w:pPr>
      <w:r>
        <w:rPr>
          <w:rtl/>
        </w:rPr>
        <w:t>(12).</w:t>
      </w:r>
      <w:r w:rsidRPr="00132E65">
        <w:rPr>
          <w:rtl/>
        </w:rPr>
        <w:t xml:space="preserve"> هكذا في « بس »</w:t>
      </w:r>
      <w:r>
        <w:rPr>
          <w:rtl/>
        </w:rPr>
        <w:t>.</w:t>
      </w:r>
      <w:r w:rsidRPr="00132E65">
        <w:rPr>
          <w:rtl/>
        </w:rPr>
        <w:t xml:space="preserve"> وفي « ب ، ج ، ض ، ف ، بح ، بر ، بف » والمطبوع والإرشاد : « الهمداني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كَانَ </w:t>
      </w:r>
      <w:r>
        <w:rPr>
          <w:rStyle w:val="libFootnotenumChar"/>
          <w:rtl/>
        </w:rPr>
        <w:t>(1)</w:t>
      </w:r>
      <w:r w:rsidRPr="00132E65">
        <w:rPr>
          <w:rtl/>
          <w:lang w:bidi="fa-IR"/>
        </w:rPr>
        <w:t xml:space="preserve"> لِلنَّاحِيَةِ عَلَيَّ خَمْسُمِائَةِ دِينَارٍ </w:t>
      </w:r>
      <w:r>
        <w:rPr>
          <w:rStyle w:val="libFootnotenumChar"/>
          <w:rtl/>
        </w:rPr>
        <w:t>(2)</w:t>
      </w:r>
      <w:r w:rsidRPr="00132E65">
        <w:rPr>
          <w:rtl/>
          <w:lang w:bidi="fa-IR"/>
        </w:rPr>
        <w:t xml:space="preserve"> ، فَضِقْتُ بِهَا ذَرْعاً </w:t>
      </w:r>
      <w:r>
        <w:rPr>
          <w:rStyle w:val="libFootnotenumChar"/>
          <w:rtl/>
        </w:rPr>
        <w:t>(3)</w:t>
      </w:r>
      <w:r w:rsidRPr="00132E65">
        <w:rPr>
          <w:rtl/>
          <w:lang w:bidi="fa-IR"/>
        </w:rPr>
        <w:t xml:space="preserve"> ، ثُمَّ قُلْتُ </w:t>
      </w:r>
      <w:r>
        <w:rPr>
          <w:rStyle w:val="libFootnotenumChar"/>
          <w:rtl/>
        </w:rPr>
        <w:t>(4)</w:t>
      </w:r>
      <w:r w:rsidRPr="00132E65">
        <w:rPr>
          <w:rtl/>
          <w:lang w:bidi="fa-IR"/>
        </w:rPr>
        <w:t xml:space="preserve"> فِي نَفْسِي : لِي حَوَانِيتُ اشْتَرَيْتُهَا بِخَمْسِمِائَةٍ </w:t>
      </w:r>
      <w:r>
        <w:rPr>
          <w:rStyle w:val="libFootnotenumChar"/>
          <w:rtl/>
        </w:rPr>
        <w:t>(5)</w:t>
      </w:r>
      <w:r w:rsidRPr="00132E65">
        <w:rPr>
          <w:rtl/>
          <w:lang w:bidi="fa-IR"/>
        </w:rPr>
        <w:t xml:space="preserve"> و</w:t>
      </w:r>
      <w:r w:rsidR="005D5420">
        <w:rPr>
          <w:rFonts w:hint="cs"/>
          <w:rtl/>
          <w:lang w:bidi="fa-IR"/>
        </w:rPr>
        <w:t xml:space="preserve">َ </w:t>
      </w:r>
      <w:r w:rsidRPr="00132E65">
        <w:rPr>
          <w:rtl/>
          <w:lang w:bidi="fa-IR"/>
        </w:rPr>
        <w:t xml:space="preserve">ثَلَاثِينَ دِينَاراً قَدْ جَعَلْتُهَا لِلنَّاحِيَةِ </w:t>
      </w:r>
      <w:r>
        <w:rPr>
          <w:rStyle w:val="libFootnotenumChar"/>
          <w:rtl/>
        </w:rPr>
        <w:t>(6)</w:t>
      </w:r>
      <w:r w:rsidRPr="00132E65">
        <w:rPr>
          <w:rtl/>
          <w:lang w:bidi="fa-IR"/>
        </w:rPr>
        <w:t xml:space="preserve"> بِخَمْسِمِائَةِ دِينَارٍ وَلَمْ أَنْطِقْ </w:t>
      </w:r>
      <w:r>
        <w:rPr>
          <w:rStyle w:val="libFootnotenumChar"/>
          <w:rtl/>
        </w:rPr>
        <w:t>(7)</w:t>
      </w:r>
      <w:r w:rsidRPr="00132E65">
        <w:rPr>
          <w:rtl/>
          <w:lang w:bidi="fa-IR"/>
        </w:rPr>
        <w:t xml:space="preserve"> بِهَا </w:t>
      </w:r>
      <w:r>
        <w:rPr>
          <w:rStyle w:val="libFootnotenumChar"/>
          <w:rtl/>
        </w:rPr>
        <w:t>(8)</w:t>
      </w:r>
      <w:r w:rsidRPr="00132E65">
        <w:rPr>
          <w:rtl/>
          <w:lang w:bidi="fa-IR"/>
        </w:rPr>
        <w:t xml:space="preserve"> ، فَكَتَبَ إِلى مُحَمَّدِ بْنِ جَعْفَرٍ </w:t>
      </w:r>
      <w:r>
        <w:rPr>
          <w:rStyle w:val="libFootnotenumChar"/>
          <w:rtl/>
        </w:rPr>
        <w:t>(9)</w:t>
      </w:r>
      <w:r w:rsidRPr="00132E65">
        <w:rPr>
          <w:rtl/>
          <w:lang w:bidi="fa-IR"/>
        </w:rPr>
        <w:t xml:space="preserve"> : « اقْبِضِ الْحَوَانِيتَ مِنْ مُحَمَّدِ بْنِ هَارُونَ بِالْخَمْسِمِائَةِ </w:t>
      </w:r>
      <w:r w:rsidR="005D5420">
        <w:rPr>
          <w:rtl/>
          <w:lang w:bidi="fa-IR"/>
        </w:rPr>
        <w:t>دِينَارٍ الَّتِي لَنَا عَلَيْهِ</w:t>
      </w:r>
      <w:r w:rsidRPr="00132E65">
        <w:rPr>
          <w:rtl/>
          <w:lang w:bidi="fa-IR"/>
        </w:rPr>
        <w:t>»</w:t>
      </w:r>
      <w:r>
        <w:rPr>
          <w:rtl/>
          <w:lang w:bidi="fa-IR"/>
        </w:rPr>
        <w:t>.</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34138C">
        <w:rPr>
          <w:rtl/>
        </w:rPr>
        <w:t>1385</w:t>
      </w:r>
      <w:r w:rsidRPr="004325D8">
        <w:rPr>
          <w:rStyle w:val="libBold2Char"/>
          <w:rtl/>
        </w:rPr>
        <w:t xml:space="preserve"> / 29.</w:t>
      </w:r>
      <w:r w:rsidRPr="00132E65">
        <w:rPr>
          <w:rtl/>
          <w:lang w:bidi="fa-IR"/>
        </w:rPr>
        <w:t xml:space="preserve"> عَلِيُّ بْنُ مُحَمَّدٍ قَالَ :</w:t>
      </w:r>
    </w:p>
    <w:p w:rsidR="000C39D1" w:rsidRPr="00132E65" w:rsidRDefault="000C39D1" w:rsidP="000C39D1">
      <w:pPr>
        <w:pStyle w:val="libNormal"/>
        <w:rPr>
          <w:rtl/>
          <w:lang w:bidi="fa-IR"/>
        </w:rPr>
      </w:pPr>
      <w:r w:rsidRPr="00132E65">
        <w:rPr>
          <w:rtl/>
          <w:lang w:bidi="fa-IR"/>
        </w:rPr>
        <w:t xml:space="preserve">بَاعَ جَعْفَرٌ </w:t>
      </w:r>
      <w:r>
        <w:rPr>
          <w:rStyle w:val="libFootnotenumChar"/>
          <w:rtl/>
        </w:rPr>
        <w:t>(11)</w:t>
      </w:r>
      <w:r w:rsidRPr="00132E65">
        <w:rPr>
          <w:rtl/>
          <w:lang w:bidi="fa-IR"/>
        </w:rPr>
        <w:t xml:space="preserve"> فِيمَنْ بَاعَ صَبِيَّةً جَعْفَرِيَّةً </w:t>
      </w:r>
      <w:r>
        <w:rPr>
          <w:rStyle w:val="libFootnotenumChar"/>
          <w:rtl/>
        </w:rPr>
        <w:t>(12)</w:t>
      </w:r>
      <w:r w:rsidRPr="00132E65">
        <w:rPr>
          <w:rtl/>
          <w:lang w:bidi="fa-IR"/>
        </w:rPr>
        <w:t xml:space="preserve"> كَانَتْ فِي الدَّارِ يُرَبُّونَهَا </w:t>
      </w:r>
      <w:r w:rsidRPr="00F543F1">
        <w:rPr>
          <w:rStyle w:val="libFootnotenumChar"/>
          <w:rtl/>
        </w:rPr>
        <w:t>(13)</w:t>
      </w:r>
      <w:r w:rsidRPr="00132E65">
        <w:rPr>
          <w:rtl/>
          <w:lang w:bidi="fa-IR"/>
        </w:rPr>
        <w:t xml:space="preserve"> ، فَبَعَثَ بَعْضَ‌</w:t>
      </w:r>
    </w:p>
    <w:p w:rsidR="000C39D1" w:rsidRPr="00132E65" w:rsidRDefault="000C39D1" w:rsidP="000C39D1">
      <w:pPr>
        <w:pStyle w:val="libLine"/>
        <w:rPr>
          <w:rtl/>
          <w:lang w:bidi="fa-IR"/>
        </w:rPr>
      </w:pPr>
      <w:r w:rsidRPr="00132E65">
        <w:rPr>
          <w:rtl/>
          <w:lang w:bidi="fa-IR"/>
        </w:rPr>
        <w:t>__________________</w:t>
      </w:r>
    </w:p>
    <w:p w:rsidR="000C39D1" w:rsidRPr="00513DA8" w:rsidRDefault="005D5420" w:rsidP="000C39D1">
      <w:pPr>
        <w:pStyle w:val="libFootnote0"/>
        <w:rPr>
          <w:rtl/>
        </w:rPr>
      </w:pPr>
      <w:r>
        <w:rPr>
          <w:rFonts w:hint="cs"/>
          <w:rtl/>
        </w:rPr>
        <w:t>=</w:t>
      </w:r>
      <w:r w:rsidR="000C39D1" w:rsidRPr="00513DA8">
        <w:rPr>
          <w:rtl/>
        </w:rPr>
        <w:t xml:space="preserve">والصواب ما أثبتناه ؛ فقد ذكر الشيخ الصدوق في </w:t>
      </w:r>
      <w:r w:rsidR="000C39D1" w:rsidRPr="005D5420">
        <w:rPr>
          <w:rStyle w:val="libFootnoteBoldChar"/>
          <w:rtl/>
        </w:rPr>
        <w:t>كمال الدين</w:t>
      </w:r>
      <w:r w:rsidR="000C39D1" w:rsidRPr="00513DA8">
        <w:rPr>
          <w:rtl/>
        </w:rPr>
        <w:t xml:space="preserve"> ، ص 442 ، ح 16 ، محمّد بن كَشمَرد ، جعفر بن حمدان ومحمّد بن هارون بن عمران ممّن وقف على معجزات صاحب الزمان </w:t>
      </w:r>
      <w:r w:rsidR="000C39D1" w:rsidRPr="005D5420">
        <w:rPr>
          <w:rStyle w:val="libFootnoteAlaemChar"/>
          <w:rtl/>
        </w:rPr>
        <w:t>عليه‌السلام</w:t>
      </w:r>
      <w:r w:rsidR="000C39D1" w:rsidRPr="00513DA8">
        <w:rPr>
          <w:rtl/>
        </w:rPr>
        <w:t xml:space="preserve"> من همدان </w:t>
      </w:r>
      <w:r w:rsidR="000C39D1">
        <w:rPr>
          <w:rtl/>
        </w:rPr>
        <w:t>-</w:t>
      </w:r>
      <w:r w:rsidR="000C39D1" w:rsidRPr="00513DA8">
        <w:rPr>
          <w:rtl/>
        </w:rPr>
        <w:t xml:space="preserve"> بالدال المهملة </w:t>
      </w:r>
      <w:r w:rsidR="000C39D1">
        <w:rPr>
          <w:rtl/>
        </w:rPr>
        <w:t>-</w:t>
      </w:r>
      <w:r w:rsidR="000C39D1" w:rsidRPr="00513DA8">
        <w:rPr>
          <w:rtl/>
        </w:rPr>
        <w:t xml:space="preserve"> ، لكنّ المذكور في </w:t>
      </w:r>
      <w:r w:rsidR="000C39D1" w:rsidRPr="005D5420">
        <w:rPr>
          <w:rStyle w:val="libFootnoteBoldChar"/>
          <w:rtl/>
        </w:rPr>
        <w:t>البحار</w:t>
      </w:r>
      <w:r w:rsidR="000C39D1" w:rsidRPr="00513DA8">
        <w:rPr>
          <w:rtl/>
        </w:rPr>
        <w:t xml:space="preserve"> ، ج 52 ، ص 30 ، ح 26 </w:t>
      </w:r>
      <w:r w:rsidR="000C39D1">
        <w:rPr>
          <w:rtl/>
        </w:rPr>
        <w:t>-</w:t>
      </w:r>
      <w:r w:rsidR="000C39D1" w:rsidRPr="00513DA8">
        <w:rPr>
          <w:rtl/>
        </w:rPr>
        <w:t xml:space="preserve"> نقلاً عن </w:t>
      </w:r>
      <w:r w:rsidR="000C39D1" w:rsidRPr="005D5420">
        <w:rPr>
          <w:rStyle w:val="libFootnoteBoldChar"/>
          <w:rtl/>
        </w:rPr>
        <w:t>كمال الدين</w:t>
      </w:r>
      <w:r w:rsidR="000C39D1" w:rsidRPr="00513DA8">
        <w:rPr>
          <w:rtl/>
        </w:rPr>
        <w:t xml:space="preserve"> : « هَمَذان » ، وهو الصواب ؛ فإنّ النجاشي ذكر في ترجمة محمّد بن عليّ بن إبراهيم بن محمّد الهَمَذاني وكيل الناحية ، العزيز بن زُهير كأحد الوكلاء بهَمَذان وقال : « هو أحد بني كَشْمَرد ». وذكر الحسن بن هارون بن عمران الهَمَذاني أيضاً في جملة وكلاء الناحية بهَمَذان. راجع : </w:t>
      </w:r>
      <w:r w:rsidR="000C39D1" w:rsidRPr="005D5420">
        <w:rPr>
          <w:rStyle w:val="libFootnoteBoldChar"/>
          <w:rtl/>
        </w:rPr>
        <w:t>رجال النجاشي</w:t>
      </w:r>
      <w:r w:rsidR="000C39D1" w:rsidRPr="00513DA8">
        <w:rPr>
          <w:rtl/>
        </w:rPr>
        <w:t xml:space="preserve"> ، ص 344 ، الرقم 928.</w:t>
      </w:r>
    </w:p>
    <w:p w:rsidR="000C39D1" w:rsidRPr="00275167" w:rsidRDefault="000C39D1" w:rsidP="005D5420">
      <w:pPr>
        <w:pStyle w:val="libFootnote0"/>
        <w:rPr>
          <w:rtl/>
        </w:rPr>
      </w:pPr>
      <w:r w:rsidRPr="00275167">
        <w:rPr>
          <w:rtl/>
        </w:rPr>
        <w:t xml:space="preserve">والمحتمل قويّاً أنّ محمّد بن هارون بن عمران هذا ، والحسن بن هارون بن عمران المذكور في </w:t>
      </w:r>
      <w:r w:rsidRPr="005D5420">
        <w:rPr>
          <w:rStyle w:val="libFootnoteBoldChar"/>
          <w:rtl/>
        </w:rPr>
        <w:t>رجال النجاشي</w:t>
      </w:r>
      <w:r w:rsidRPr="00275167">
        <w:rPr>
          <w:rtl/>
        </w:rPr>
        <w:t xml:space="preserve"> أخوان.</w:t>
      </w:r>
    </w:p>
    <w:p w:rsidR="000C39D1" w:rsidRPr="00132E65" w:rsidRDefault="000C39D1" w:rsidP="000C39D1">
      <w:pPr>
        <w:pStyle w:val="libFootnote0"/>
        <w:rPr>
          <w:rtl/>
          <w:lang w:bidi="fa-IR"/>
        </w:rPr>
      </w:pPr>
      <w:r>
        <w:rPr>
          <w:rtl/>
        </w:rPr>
        <w:t>(1).</w:t>
      </w:r>
      <w:r w:rsidRPr="00132E65">
        <w:rPr>
          <w:rtl/>
        </w:rPr>
        <w:t xml:space="preserve"> في « بس » : « كانت »</w:t>
      </w:r>
      <w:r>
        <w:rPr>
          <w:rtl/>
        </w:rPr>
        <w:t>.</w:t>
      </w:r>
    </w:p>
    <w:p w:rsidR="000C39D1" w:rsidRPr="00132E65" w:rsidRDefault="000C39D1" w:rsidP="000C39D1">
      <w:pPr>
        <w:pStyle w:val="libFootnote0"/>
        <w:rPr>
          <w:rtl/>
          <w:lang w:bidi="fa-IR"/>
        </w:rPr>
      </w:pPr>
      <w:r>
        <w:rPr>
          <w:rtl/>
        </w:rPr>
        <w:t>(2).</w:t>
      </w:r>
      <w:r w:rsidRPr="00132E65">
        <w:rPr>
          <w:rtl/>
        </w:rPr>
        <w:t xml:space="preserve"> في « بر » : « خمسمائة وثلاثين ديناراً »</w:t>
      </w:r>
      <w:r>
        <w:rPr>
          <w:rtl/>
        </w:rPr>
        <w:t>.</w:t>
      </w:r>
      <w:r w:rsidRPr="00132E65">
        <w:rPr>
          <w:rtl/>
        </w:rPr>
        <w:t xml:space="preserve"> وفي « بح » :</w:t>
      </w:r>
      <w:r>
        <w:rPr>
          <w:rtl/>
        </w:rPr>
        <w:t xml:space="preserve"> + </w:t>
      </w:r>
      <w:r w:rsidRPr="00132E65">
        <w:rPr>
          <w:rtl/>
        </w:rPr>
        <w:t>« ولم أنطق بها »</w:t>
      </w:r>
      <w:r>
        <w:rPr>
          <w:rtl/>
        </w:rPr>
        <w:t>.</w:t>
      </w:r>
    </w:p>
    <w:p w:rsidR="000C39D1" w:rsidRPr="00132E65" w:rsidRDefault="000C39D1" w:rsidP="000C39D1">
      <w:pPr>
        <w:pStyle w:val="libFootnote0"/>
        <w:rPr>
          <w:rtl/>
          <w:lang w:bidi="fa-IR"/>
        </w:rPr>
      </w:pPr>
      <w:r>
        <w:rPr>
          <w:rtl/>
        </w:rPr>
        <w:t>(3).</w:t>
      </w:r>
      <w:r w:rsidRPr="00132E65">
        <w:rPr>
          <w:rtl/>
        </w:rPr>
        <w:t xml:space="preserve"> « ضاق بالأمر ذَرْعاً » : شقّ عليه. والأصل : ضاق ذرعُه ، أي طاقَتُه وقوّته ، فا</w:t>
      </w:r>
      <w:r w:rsidR="005D5420">
        <w:rPr>
          <w:rFonts w:hint="cs"/>
          <w:rtl/>
        </w:rPr>
        <w:t>ُ</w:t>
      </w:r>
      <w:r w:rsidRPr="00132E65">
        <w:rPr>
          <w:rtl/>
        </w:rPr>
        <w:t xml:space="preserve">سند العقل إلى الشخص. </w:t>
      </w:r>
      <w:r w:rsidRPr="005D5420">
        <w:rPr>
          <w:rStyle w:val="libFootnoteBoldChar"/>
          <w:rtl/>
        </w:rPr>
        <w:t>مجمع البحرين</w:t>
      </w:r>
      <w:r w:rsidRPr="00132E65">
        <w:rPr>
          <w:rtl/>
        </w:rPr>
        <w:t xml:space="preserve"> ، ج 2 ، ص 1091 ؛ </w:t>
      </w:r>
      <w:r w:rsidRPr="005D5420">
        <w:rPr>
          <w:rStyle w:val="libFootnoteBoldChar"/>
          <w:rtl/>
        </w:rPr>
        <w:t>الصحاح</w:t>
      </w:r>
      <w:r w:rsidRPr="00132E65">
        <w:rPr>
          <w:rtl/>
        </w:rPr>
        <w:t xml:space="preserve"> ، ج 4 ، ص 1511 ( ضيق )</w:t>
      </w:r>
      <w:r>
        <w:rPr>
          <w:rtl/>
        </w:rPr>
        <w:t>.</w:t>
      </w:r>
    </w:p>
    <w:tbl>
      <w:tblPr>
        <w:tblStyle w:val="TableGrid"/>
        <w:bidiVisual/>
        <w:tblW w:w="0" w:type="auto"/>
        <w:tblLook w:val="04A0" w:firstRow="1" w:lastRow="0" w:firstColumn="1" w:lastColumn="0" w:noHBand="0" w:noVBand="1"/>
      </w:tblPr>
      <w:tblGrid>
        <w:gridCol w:w="4261"/>
        <w:gridCol w:w="4262"/>
      </w:tblGrid>
      <w:tr w:rsidR="005D5420" w:rsidTr="005D5420">
        <w:tc>
          <w:tcPr>
            <w:tcW w:w="4261" w:type="dxa"/>
          </w:tcPr>
          <w:p w:rsidR="005D5420" w:rsidRDefault="005D5420" w:rsidP="000C39D1">
            <w:pPr>
              <w:pStyle w:val="libFootnote0"/>
              <w:rPr>
                <w:rtl/>
              </w:rPr>
            </w:pPr>
            <w:r>
              <w:rPr>
                <w:rtl/>
              </w:rPr>
              <w:t>(4).</w:t>
            </w:r>
            <w:r w:rsidRPr="00132E65">
              <w:rPr>
                <w:rtl/>
              </w:rPr>
              <w:t xml:space="preserve"> في « بح » : « فقلت »</w:t>
            </w:r>
            <w:r>
              <w:rPr>
                <w:rtl/>
              </w:rPr>
              <w:t>.</w:t>
            </w:r>
          </w:p>
        </w:tc>
        <w:tc>
          <w:tcPr>
            <w:tcW w:w="4262" w:type="dxa"/>
          </w:tcPr>
          <w:p w:rsidR="005D5420" w:rsidRDefault="005D5420" w:rsidP="000C39D1">
            <w:pPr>
              <w:pStyle w:val="libFootnote0"/>
              <w:rPr>
                <w:rtl/>
              </w:rPr>
            </w:pPr>
            <w:r>
              <w:rPr>
                <w:rtl/>
              </w:rPr>
              <w:t>(5).</w:t>
            </w:r>
            <w:r w:rsidRPr="00132E65">
              <w:rPr>
                <w:rtl/>
              </w:rPr>
              <w:t xml:space="preserve"> في الإرشاد :</w:t>
            </w:r>
            <w:r>
              <w:rPr>
                <w:rtl/>
              </w:rPr>
              <w:t xml:space="preserve"> + </w:t>
            </w:r>
            <w:r w:rsidRPr="00132E65">
              <w:rPr>
                <w:rtl/>
              </w:rPr>
              <w:t>« دينار »</w:t>
            </w:r>
            <w:r>
              <w:rPr>
                <w:rtl/>
              </w:rPr>
              <w:t>.</w:t>
            </w:r>
          </w:p>
        </w:tc>
      </w:tr>
      <w:tr w:rsidR="005D5420" w:rsidTr="005D5420">
        <w:tc>
          <w:tcPr>
            <w:tcW w:w="4261" w:type="dxa"/>
          </w:tcPr>
          <w:p w:rsidR="005D5420" w:rsidRDefault="005D5420" w:rsidP="000C39D1">
            <w:pPr>
              <w:pStyle w:val="libFootnote0"/>
              <w:rPr>
                <w:rtl/>
              </w:rPr>
            </w:pPr>
            <w:r>
              <w:rPr>
                <w:rtl/>
              </w:rPr>
              <w:t>(6).</w:t>
            </w:r>
            <w:r w:rsidRPr="00132E65">
              <w:rPr>
                <w:rtl/>
              </w:rPr>
              <w:t xml:space="preserve"> في « ب » :</w:t>
            </w:r>
            <w:r>
              <w:rPr>
                <w:rtl/>
              </w:rPr>
              <w:t xml:space="preserve"> + </w:t>
            </w:r>
            <w:r w:rsidRPr="00132E65">
              <w:rPr>
                <w:rtl/>
              </w:rPr>
              <w:t>« عليّ »</w:t>
            </w:r>
            <w:r>
              <w:rPr>
                <w:rtl/>
              </w:rPr>
              <w:t>.</w:t>
            </w:r>
          </w:p>
        </w:tc>
        <w:tc>
          <w:tcPr>
            <w:tcW w:w="4262" w:type="dxa"/>
          </w:tcPr>
          <w:p w:rsidR="005D5420" w:rsidRDefault="005D5420" w:rsidP="000C39D1">
            <w:pPr>
              <w:pStyle w:val="libFootnote0"/>
              <w:rPr>
                <w:rtl/>
              </w:rPr>
            </w:pPr>
            <w:r>
              <w:rPr>
                <w:rtl/>
              </w:rPr>
              <w:t>(7).</w:t>
            </w:r>
            <w:r w:rsidRPr="00132E65">
              <w:rPr>
                <w:rtl/>
              </w:rPr>
              <w:t xml:space="preserve"> في </w:t>
            </w:r>
            <w:r w:rsidRPr="009D1ACE">
              <w:rPr>
                <w:rStyle w:val="libFootnoteBoldChar"/>
                <w:rtl/>
              </w:rPr>
              <w:t>الوافي</w:t>
            </w:r>
            <w:r w:rsidRPr="00132E65">
              <w:rPr>
                <w:rtl/>
              </w:rPr>
              <w:t xml:space="preserve"> : « ولم أنطلق »</w:t>
            </w:r>
            <w:r>
              <w:rPr>
                <w:rtl/>
              </w:rPr>
              <w:t>.</w:t>
            </w:r>
          </w:p>
        </w:tc>
      </w:tr>
      <w:tr w:rsidR="005D5420" w:rsidTr="005D5420">
        <w:tc>
          <w:tcPr>
            <w:tcW w:w="4261" w:type="dxa"/>
          </w:tcPr>
          <w:p w:rsidR="005D5420" w:rsidRDefault="005D5420" w:rsidP="000C39D1">
            <w:pPr>
              <w:pStyle w:val="libFootnote0"/>
              <w:rPr>
                <w:rtl/>
              </w:rPr>
            </w:pPr>
            <w:r>
              <w:rPr>
                <w:rtl/>
              </w:rPr>
              <w:t>(8).</w:t>
            </w:r>
            <w:r w:rsidRPr="00132E65">
              <w:rPr>
                <w:rtl/>
              </w:rPr>
              <w:t xml:space="preserve"> في الإرشاد : « بذلك »</w:t>
            </w:r>
            <w:r>
              <w:rPr>
                <w:rtl/>
              </w:rPr>
              <w:t>.</w:t>
            </w:r>
          </w:p>
        </w:tc>
        <w:tc>
          <w:tcPr>
            <w:tcW w:w="4262" w:type="dxa"/>
          </w:tcPr>
          <w:p w:rsidR="005D5420" w:rsidRDefault="005D5420" w:rsidP="000C39D1">
            <w:pPr>
              <w:pStyle w:val="libFootnote0"/>
              <w:rPr>
                <w:rtl/>
              </w:rPr>
            </w:pPr>
            <w:r>
              <w:rPr>
                <w:rtl/>
              </w:rPr>
              <w:t>(9).</w:t>
            </w:r>
            <w:r w:rsidRPr="00132E65">
              <w:rPr>
                <w:rtl/>
              </w:rPr>
              <w:t xml:space="preserve"> في « ف » و</w:t>
            </w:r>
            <w:r w:rsidRPr="009D1ACE">
              <w:rPr>
                <w:rStyle w:val="libFootnoteBoldChar"/>
                <w:rtl/>
              </w:rPr>
              <w:t>الوافي</w:t>
            </w:r>
            <w:r w:rsidRPr="00132E65">
              <w:rPr>
                <w:rtl/>
              </w:rPr>
              <w:t xml:space="preserve"> : « جعفر بن محمّد »</w:t>
            </w:r>
            <w:r>
              <w:rPr>
                <w:rtl/>
              </w:rPr>
              <w:t>.</w:t>
            </w:r>
          </w:p>
        </w:tc>
      </w:tr>
    </w:tbl>
    <w:p w:rsidR="000C39D1" w:rsidRPr="00132E65" w:rsidRDefault="000C39D1" w:rsidP="000C39D1">
      <w:pPr>
        <w:pStyle w:val="libFootnote0"/>
        <w:rPr>
          <w:rtl/>
          <w:lang w:bidi="fa-IR"/>
        </w:rPr>
      </w:pPr>
      <w:r>
        <w:rPr>
          <w:rtl/>
        </w:rPr>
        <w:t>(10).</w:t>
      </w:r>
      <w:r w:rsidRPr="00132E65">
        <w:rPr>
          <w:rtl/>
        </w:rPr>
        <w:t xml:space="preserve"> </w:t>
      </w:r>
      <w:r w:rsidRPr="005D5420">
        <w:rPr>
          <w:rStyle w:val="libFootnoteBoldChar"/>
          <w:rtl/>
        </w:rPr>
        <w:t>الإرشاد</w:t>
      </w:r>
      <w:r w:rsidRPr="00132E65">
        <w:rPr>
          <w:rtl/>
        </w:rPr>
        <w:t xml:space="preserve"> ، ج 2 ، ص 366 ، عن عليّ بن محمّد. </w:t>
      </w:r>
      <w:r w:rsidRPr="005D5420">
        <w:rPr>
          <w:rStyle w:val="libFootnoteBoldChar"/>
          <w:rtl/>
        </w:rPr>
        <w:t>كمال الدين</w:t>
      </w:r>
      <w:r w:rsidRPr="00132E65">
        <w:rPr>
          <w:rtl/>
        </w:rPr>
        <w:t xml:space="preserve"> ، ص 492 ، ح 17 ، بسنده عن محمّد بن هارون ، مع اختلاف يسير </w:t>
      </w:r>
      <w:r w:rsidR="005D5420">
        <w:rPr>
          <w:rFonts w:hint="cs"/>
          <w:rtl/>
        </w:rPr>
        <w:t>.</w:t>
      </w:r>
      <w:r w:rsidRPr="009D1ACE">
        <w:rPr>
          <w:rStyle w:val="libFootnoteBoldChar"/>
          <w:rtl/>
        </w:rPr>
        <w:t>الوافي</w:t>
      </w:r>
      <w:r w:rsidRPr="00132E65">
        <w:rPr>
          <w:rtl/>
        </w:rPr>
        <w:t xml:space="preserve"> ، ج 3 ، ص 879 ، ح 1508.</w:t>
      </w:r>
    </w:p>
    <w:p w:rsidR="000C39D1" w:rsidRPr="00132E65" w:rsidRDefault="000C39D1" w:rsidP="000C39D1">
      <w:pPr>
        <w:pStyle w:val="libFootnote0"/>
        <w:rPr>
          <w:rtl/>
          <w:lang w:bidi="fa-IR"/>
        </w:rPr>
      </w:pPr>
      <w:r>
        <w:rPr>
          <w:rtl/>
        </w:rPr>
        <w:t>(11).</w:t>
      </w:r>
      <w:r w:rsidRPr="00132E65">
        <w:rPr>
          <w:rtl/>
        </w:rPr>
        <w:t xml:space="preserve"> يعني به المشهور بالكذّاب.</w:t>
      </w:r>
    </w:p>
    <w:p w:rsidR="000C39D1" w:rsidRPr="00132E65" w:rsidRDefault="000C39D1" w:rsidP="000C39D1">
      <w:pPr>
        <w:pStyle w:val="libFootnote0"/>
        <w:rPr>
          <w:rtl/>
          <w:lang w:bidi="fa-IR"/>
        </w:rPr>
      </w:pPr>
      <w:r>
        <w:rPr>
          <w:rtl/>
        </w:rPr>
        <w:t>(12).</w:t>
      </w:r>
      <w:r w:rsidRPr="00132E65">
        <w:rPr>
          <w:rtl/>
        </w:rPr>
        <w:t xml:space="preserve"> « صبيّة جعفريّة » يعني من أولاد جعفر بن أبي طالب. وفي « بح » : « فيما كانت »</w:t>
      </w:r>
      <w:r>
        <w:rPr>
          <w:rtl/>
        </w:rPr>
        <w:t>.</w:t>
      </w:r>
    </w:p>
    <w:p w:rsidR="000C39D1" w:rsidRPr="00132E65" w:rsidRDefault="000C39D1" w:rsidP="000C39D1">
      <w:pPr>
        <w:pStyle w:val="libFootnote0"/>
        <w:rPr>
          <w:rtl/>
          <w:lang w:bidi="fa-IR"/>
        </w:rPr>
      </w:pPr>
      <w:r>
        <w:rPr>
          <w:rtl/>
        </w:rPr>
        <w:t>(13)</w:t>
      </w:r>
      <w:r w:rsidRPr="00132E65">
        <w:rPr>
          <w:rtl/>
        </w:rPr>
        <w:t xml:space="preserve"> في « ب ، ج ، ض ، بح » : « يَرُبّونها »</w:t>
      </w:r>
      <w:r>
        <w:rPr>
          <w:rtl/>
        </w:rPr>
        <w:t>.</w:t>
      </w:r>
      <w:r w:rsidRPr="00132E65">
        <w:rPr>
          <w:rtl/>
        </w:rPr>
        <w:t xml:space="preserve"> يقال : ربّ الولدَ وربّاه ، وهما بمعنى. والأوّل مضاعف والثاني ناقص واويّ من التفعيل.</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الْعَلَوِيِّينَ ، و</w:t>
      </w:r>
      <w:r w:rsidR="005D5420">
        <w:rPr>
          <w:rFonts w:hint="cs"/>
          <w:rtl/>
          <w:lang w:bidi="fa-IR"/>
        </w:rPr>
        <w:t>َ</w:t>
      </w:r>
      <w:r w:rsidRPr="00132E65">
        <w:rPr>
          <w:rtl/>
          <w:lang w:bidi="fa-IR"/>
        </w:rPr>
        <w:t xml:space="preserve">أَعْلَمَ الْمُشْتَرِيَ خَبَرَهَا </w:t>
      </w:r>
      <w:r>
        <w:rPr>
          <w:rStyle w:val="libFootnotenumChar"/>
          <w:rtl/>
        </w:rPr>
        <w:t>(1)</w:t>
      </w:r>
      <w:r w:rsidRPr="00132E65">
        <w:rPr>
          <w:rtl/>
          <w:lang w:bidi="fa-IR"/>
        </w:rPr>
        <w:t xml:space="preserve"> ، فَقَالَ الْمُشْتَرِي : قَدْ طَابَتْ نَفْسِي بِرَدِّهَا ، و</w:t>
      </w:r>
      <w:r w:rsidR="005D5420">
        <w:rPr>
          <w:rFonts w:hint="cs"/>
          <w:rtl/>
          <w:lang w:bidi="fa-IR"/>
        </w:rPr>
        <w:t>َ</w:t>
      </w:r>
      <w:r w:rsidRPr="00132E65">
        <w:rPr>
          <w:rtl/>
          <w:lang w:bidi="fa-IR"/>
        </w:rPr>
        <w:t xml:space="preserve">أَنْ لَا أُرْزَأَ </w:t>
      </w:r>
      <w:r>
        <w:rPr>
          <w:rStyle w:val="libFootnotenumChar"/>
          <w:rtl/>
        </w:rPr>
        <w:t>(2)</w:t>
      </w:r>
      <w:r w:rsidRPr="00132E65">
        <w:rPr>
          <w:rtl/>
          <w:lang w:bidi="fa-IR"/>
        </w:rPr>
        <w:t xml:space="preserve"> مِنْ ثَمَنِهَا شَيْئاً ، فَخُذْهَا ، فَذَهَبَ الْعَلَوِيُّ ، فَأَعْلَمَ أَهْلَ النَّاحِيَةِ الْخَبَرَ ، فَبَعَثُوا إِلَى الْمُشْتَرِي بِأَحَدٍ و</w:t>
      </w:r>
      <w:r w:rsidR="004B4698">
        <w:rPr>
          <w:rFonts w:hint="cs"/>
          <w:rtl/>
          <w:lang w:bidi="fa-IR"/>
        </w:rPr>
        <w:t xml:space="preserve">َ </w:t>
      </w:r>
      <w:r w:rsidRPr="00132E65">
        <w:rPr>
          <w:rtl/>
          <w:lang w:bidi="fa-IR"/>
        </w:rPr>
        <w:t>أَرْبَعِينَ دِينَاراً ، و</w:t>
      </w:r>
      <w:r w:rsidR="004B4698">
        <w:rPr>
          <w:rFonts w:hint="cs"/>
          <w:rtl/>
          <w:lang w:bidi="fa-IR"/>
        </w:rPr>
        <w:t>َ</w:t>
      </w:r>
      <w:r w:rsidRPr="00132E65">
        <w:rPr>
          <w:rtl/>
          <w:lang w:bidi="fa-IR"/>
        </w:rPr>
        <w:t xml:space="preserve">أَمَرُوهُ </w:t>
      </w:r>
      <w:r>
        <w:rPr>
          <w:rStyle w:val="libFootnotenumChar"/>
          <w:rtl/>
        </w:rPr>
        <w:t>(3)</w:t>
      </w:r>
      <w:r w:rsidRPr="00132E65">
        <w:rPr>
          <w:rtl/>
          <w:lang w:bidi="fa-IR"/>
        </w:rPr>
        <w:t xml:space="preserve"> بِدَفْعِهَا إِلى صَاحِبِهَا.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34138C">
        <w:rPr>
          <w:rtl/>
        </w:rPr>
        <w:t>1386</w:t>
      </w:r>
      <w:r w:rsidRPr="004325D8">
        <w:rPr>
          <w:rStyle w:val="libBold2Char"/>
          <w:rtl/>
        </w:rPr>
        <w:t xml:space="preserve"> / 30.</w:t>
      </w:r>
      <w:r w:rsidRPr="00132E65">
        <w:rPr>
          <w:rtl/>
          <w:lang w:bidi="fa-IR"/>
        </w:rPr>
        <w:t xml:space="preserve"> الْحُسَيْنُ بْنُ الْحَسَنِ الْعَلَوِيُّ قَالَ :</w:t>
      </w:r>
    </w:p>
    <w:p w:rsidR="000C39D1" w:rsidRPr="00132E65" w:rsidRDefault="000C39D1" w:rsidP="000C39D1">
      <w:pPr>
        <w:pStyle w:val="libNormal"/>
        <w:rPr>
          <w:rtl/>
          <w:lang w:bidi="fa-IR"/>
        </w:rPr>
      </w:pPr>
      <w:r w:rsidRPr="00132E65">
        <w:rPr>
          <w:rtl/>
          <w:lang w:bidi="fa-IR"/>
        </w:rPr>
        <w:t xml:space="preserve">كَانَ رَجُلٌ مِنْ نُدَمَاءِ </w:t>
      </w:r>
      <w:r>
        <w:rPr>
          <w:rStyle w:val="libFootnotenumChar"/>
          <w:rtl/>
        </w:rPr>
        <w:t>(5)</w:t>
      </w:r>
      <w:r w:rsidRPr="00132E65">
        <w:rPr>
          <w:rtl/>
          <w:lang w:bidi="fa-IR"/>
        </w:rPr>
        <w:t xml:space="preserve"> « روز حسنى </w:t>
      </w:r>
      <w:r>
        <w:rPr>
          <w:rStyle w:val="libFootnotenumChar"/>
          <w:rtl/>
        </w:rPr>
        <w:t>(6)</w:t>
      </w:r>
      <w:r w:rsidRPr="00132E65">
        <w:rPr>
          <w:rtl/>
          <w:lang w:bidi="fa-IR"/>
        </w:rPr>
        <w:t xml:space="preserve"> » و</w:t>
      </w:r>
      <w:r w:rsidR="004B4698">
        <w:rPr>
          <w:rFonts w:hint="cs"/>
          <w:rtl/>
          <w:lang w:bidi="fa-IR"/>
        </w:rPr>
        <w:t>َ</w:t>
      </w:r>
      <w:r w:rsidRPr="00132E65">
        <w:rPr>
          <w:rtl/>
          <w:lang w:bidi="fa-IR"/>
        </w:rPr>
        <w:t xml:space="preserve">آخَرُ مَعَهُ ، فَقَالَ لَهُ : هُوَ ذَا </w:t>
      </w:r>
      <w:r>
        <w:rPr>
          <w:rStyle w:val="libFootnotenumChar"/>
          <w:rtl/>
        </w:rPr>
        <w:t>(7)</w:t>
      </w:r>
      <w:r w:rsidRPr="00132E65">
        <w:rPr>
          <w:rtl/>
          <w:lang w:bidi="fa-IR"/>
        </w:rPr>
        <w:t xml:space="preserve"> يَجْبِي الْأَمْوَالَ ، وَلَهُ و</w:t>
      </w:r>
      <w:r w:rsidR="004B4698">
        <w:rPr>
          <w:rFonts w:hint="cs"/>
          <w:rtl/>
          <w:lang w:bidi="fa-IR"/>
        </w:rPr>
        <w:t>ُ</w:t>
      </w:r>
      <w:r w:rsidRPr="00132E65">
        <w:rPr>
          <w:rtl/>
          <w:lang w:bidi="fa-IR"/>
        </w:rPr>
        <w:t>كَلَاءُ ، و</w:t>
      </w:r>
      <w:r w:rsidR="004B4698">
        <w:rPr>
          <w:rFonts w:hint="cs"/>
          <w:rtl/>
          <w:lang w:bidi="fa-IR"/>
        </w:rPr>
        <w:t>َ</w:t>
      </w:r>
      <w:r w:rsidRPr="00132E65">
        <w:rPr>
          <w:rtl/>
          <w:lang w:bidi="fa-IR"/>
        </w:rPr>
        <w:t>سَمَّوْا جَمِيعَ الْوُكَلَاءِ فِي النَّوَاحِي ، و</w:t>
      </w:r>
      <w:r w:rsidR="004B4698">
        <w:rPr>
          <w:rFonts w:hint="cs"/>
          <w:rtl/>
          <w:lang w:bidi="fa-IR"/>
        </w:rPr>
        <w:t>َ</w:t>
      </w:r>
      <w:r w:rsidRPr="00132E65">
        <w:rPr>
          <w:rtl/>
          <w:lang w:bidi="fa-IR"/>
        </w:rPr>
        <w:t xml:space="preserve">أُنْهِيَ ذلِكَ إِلى عُبَيْدِ اللهِ بْنِ سُلَيْمَانَ الْوَزِيرِ ، فَهَمَّ الْوَزِيرُ بِالْقَبْضِ عَلَيْهِمْ ، فَقَالَ السُّلْطَانُ : اطْلُبُوا أَيْنَ هذَا الرَّجُلُ ؛ فَإِنَّ هذَا أَمْرٌ غَلِيظٌ ، فَقَالَ عُبَيْدُ اللهِ بْنُ سُلَيْمَانَ : نَقْبِضُ </w:t>
      </w:r>
      <w:r>
        <w:rPr>
          <w:rStyle w:val="libFootnotenumChar"/>
          <w:rtl/>
        </w:rPr>
        <w:t>(8)</w:t>
      </w:r>
      <w:r w:rsidRPr="00132E65">
        <w:rPr>
          <w:rtl/>
          <w:lang w:bidi="fa-IR"/>
        </w:rPr>
        <w:t xml:space="preserve"> عَلَى الْوُكَلَاءِ ، فَقَالَ السُّلْطَانُ :</w:t>
      </w:r>
      <w:r>
        <w:rPr>
          <w:rFonts w:hint="cs"/>
          <w:rtl/>
          <w:lang w:bidi="fa-IR"/>
        </w:rPr>
        <w:t xml:space="preserve"> </w:t>
      </w:r>
      <w:r w:rsidRPr="00132E65">
        <w:rPr>
          <w:rtl/>
          <w:lang w:bidi="fa-IR"/>
        </w:rPr>
        <w:t>لَا ، و</w:t>
      </w:r>
      <w:r w:rsidR="004B4698">
        <w:rPr>
          <w:rFonts w:hint="cs"/>
          <w:rtl/>
          <w:lang w:bidi="fa-IR"/>
        </w:rPr>
        <w:t>َ</w:t>
      </w:r>
      <w:r w:rsidRPr="00132E65">
        <w:rPr>
          <w:rtl/>
          <w:lang w:bidi="fa-IR"/>
        </w:rPr>
        <w:t xml:space="preserve">لكِنْ دُسُّوا </w:t>
      </w:r>
      <w:r>
        <w:rPr>
          <w:rStyle w:val="libFootnotenumChar"/>
          <w:rtl/>
        </w:rPr>
        <w:t>(9)</w:t>
      </w:r>
      <w:r w:rsidRPr="00132E65">
        <w:rPr>
          <w:rtl/>
          <w:lang w:bidi="fa-IR"/>
        </w:rPr>
        <w:t xml:space="preserve"> لَهُمْ </w:t>
      </w:r>
      <w:r>
        <w:rPr>
          <w:rStyle w:val="libFootnotenumChar"/>
          <w:rtl/>
        </w:rPr>
        <w:t>(10)</w:t>
      </w:r>
      <w:r w:rsidRPr="00132E65">
        <w:rPr>
          <w:rtl/>
          <w:lang w:bidi="fa-IR"/>
        </w:rPr>
        <w:t xml:space="preserve"> قَوْماً لَايُعْرَفُونَ بِالْأَمْوَالِ </w:t>
      </w:r>
      <w:r>
        <w:rPr>
          <w:rStyle w:val="libFootnotenumChar"/>
          <w:rtl/>
        </w:rPr>
        <w:t>(11)</w:t>
      </w:r>
      <w:r w:rsidRPr="00132E65">
        <w:rPr>
          <w:rtl/>
          <w:lang w:bidi="fa-IR"/>
        </w:rPr>
        <w:t xml:space="preserve"> ، فَمَنْ قَبَضَ مِنْهُمْ شَيْئاً قُبِضَ عَلَيْهِ.</w:t>
      </w:r>
    </w:p>
    <w:p w:rsidR="000C39D1" w:rsidRPr="00132E65" w:rsidRDefault="000C39D1" w:rsidP="000C39D1">
      <w:pPr>
        <w:pStyle w:val="libNormal"/>
        <w:rPr>
          <w:rtl/>
          <w:lang w:bidi="fa-IR"/>
        </w:rPr>
      </w:pPr>
      <w:r w:rsidRPr="00132E65">
        <w:rPr>
          <w:rtl/>
          <w:lang w:bidi="fa-IR"/>
        </w:rPr>
        <w:t xml:space="preserve">قَالَ : فَخَرَجَ بِأَنْ يَتَقَدَّمَ إِلى جَمِيعِ الْوُكَلَاءِ أَنْ </w:t>
      </w:r>
      <w:r>
        <w:rPr>
          <w:rStyle w:val="libFootnotenumChar"/>
          <w:rtl/>
        </w:rPr>
        <w:t>(12)</w:t>
      </w:r>
      <w:r w:rsidRPr="00132E65">
        <w:rPr>
          <w:rtl/>
          <w:lang w:bidi="fa-IR"/>
        </w:rPr>
        <w:t xml:space="preserve"> لَايَأْخُذُوا مِنْ أَحَدٍ شَيْئاً ، و</w:t>
      </w:r>
      <w:r w:rsidR="004B4698">
        <w:rPr>
          <w:rFonts w:hint="cs"/>
          <w:rtl/>
          <w:lang w:bidi="fa-IR"/>
        </w:rPr>
        <w:t>َ</w:t>
      </w:r>
      <w:r w:rsidRPr="00132E65">
        <w:rPr>
          <w:rtl/>
          <w:lang w:bidi="fa-IR"/>
        </w:rPr>
        <w:t xml:space="preserve">أَنْ يَمْتَنِعُوا </w:t>
      </w:r>
      <w:r w:rsidRPr="00F543F1">
        <w:rPr>
          <w:rStyle w:val="libFootnotenumChar"/>
          <w:rtl/>
        </w:rPr>
        <w:t>(13)</w:t>
      </w:r>
      <w:r w:rsidRPr="00132E65">
        <w:rPr>
          <w:rtl/>
          <w:lang w:bidi="fa-IR"/>
        </w:rPr>
        <w:t xml:space="preserve"> مِنْ ذلِكَ ، و</w:t>
      </w:r>
      <w:r w:rsidR="004B4698">
        <w:rPr>
          <w:rFonts w:hint="cs"/>
          <w:rtl/>
          <w:lang w:bidi="fa-IR"/>
        </w:rPr>
        <w:t>َ</w:t>
      </w:r>
      <w:r w:rsidRPr="00132E65">
        <w:rPr>
          <w:rtl/>
          <w:lang w:bidi="fa-IR"/>
        </w:rPr>
        <w:t xml:space="preserve">يَتَجَاهَلُوا </w:t>
      </w:r>
      <w:r w:rsidRPr="00F543F1">
        <w:rPr>
          <w:rStyle w:val="libFootnotenumChar"/>
          <w:rtl/>
        </w:rPr>
        <w:t>(14)</w:t>
      </w:r>
      <w:r w:rsidRPr="00132E65">
        <w:rPr>
          <w:rtl/>
          <w:lang w:bidi="fa-IR"/>
        </w:rPr>
        <w:t xml:space="preserve"> الْأَمْرَ.</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الوافي</w:t>
      </w:r>
      <w:r w:rsidRPr="00132E65">
        <w:rPr>
          <w:rtl/>
        </w:rPr>
        <w:t xml:space="preserve"> : « بخبرها » وقال : « يعني بأنّها حرّة هاشميّة ، ليست بمملوكة »</w:t>
      </w:r>
      <w:r>
        <w:rPr>
          <w:rtl/>
        </w:rPr>
        <w:t>.</w:t>
      </w:r>
    </w:p>
    <w:p w:rsidR="000C39D1" w:rsidRPr="00132E65" w:rsidRDefault="000C39D1" w:rsidP="000C39D1">
      <w:pPr>
        <w:pStyle w:val="libFootnote0"/>
        <w:rPr>
          <w:rtl/>
          <w:lang w:bidi="fa-IR"/>
        </w:rPr>
      </w:pPr>
      <w:r>
        <w:rPr>
          <w:rtl/>
        </w:rPr>
        <w:t>(2).</w:t>
      </w:r>
      <w:r w:rsidRPr="00132E65">
        <w:rPr>
          <w:rtl/>
        </w:rPr>
        <w:t xml:space="preserve"> أي لا أنقص ، فأصل الرُّزء : النقص. راجع : </w:t>
      </w:r>
      <w:r w:rsidRPr="004B4698">
        <w:rPr>
          <w:rStyle w:val="libFootnoteBoldChar"/>
          <w:rtl/>
        </w:rPr>
        <w:t>النهاية</w:t>
      </w:r>
      <w:r w:rsidRPr="00132E65">
        <w:rPr>
          <w:rtl/>
        </w:rPr>
        <w:t xml:space="preserve"> ، ج 2 ، ص 218 ( رزأ )</w:t>
      </w:r>
      <w:r>
        <w:rPr>
          <w:rtl/>
        </w:rPr>
        <w:t>.</w:t>
      </w:r>
    </w:p>
    <w:p w:rsidR="000C39D1" w:rsidRPr="00132E65" w:rsidRDefault="000C39D1" w:rsidP="000C39D1">
      <w:pPr>
        <w:pStyle w:val="libFootnote0"/>
        <w:rPr>
          <w:rtl/>
          <w:lang w:bidi="fa-IR"/>
        </w:rPr>
      </w:pPr>
      <w:r>
        <w:rPr>
          <w:rtl/>
        </w:rPr>
        <w:t>(3).</w:t>
      </w:r>
      <w:r w:rsidRPr="00132E65">
        <w:rPr>
          <w:rtl/>
        </w:rPr>
        <w:t xml:space="preserve"> في البحار : « فأمروه »</w:t>
      </w:r>
      <w:r>
        <w:rPr>
          <w:rtl/>
        </w:rPr>
        <w:t>.</w:t>
      </w:r>
    </w:p>
    <w:p w:rsidR="000C39D1" w:rsidRPr="00132E65" w:rsidRDefault="000C39D1" w:rsidP="000C39D1">
      <w:pPr>
        <w:pStyle w:val="libFootnote0"/>
        <w:rPr>
          <w:rtl/>
          <w:lang w:bidi="fa-IR"/>
        </w:rPr>
      </w:pPr>
      <w:r>
        <w:rPr>
          <w:rtl/>
        </w:rPr>
        <w:t>(4).</w:t>
      </w:r>
      <w:r w:rsidRPr="00132E65">
        <w:rPr>
          <w:rtl/>
        </w:rPr>
        <w:t xml:space="preserve"> </w:t>
      </w:r>
      <w:r w:rsidRPr="009D1ACE">
        <w:rPr>
          <w:rStyle w:val="libFootnoteBoldChar"/>
          <w:rtl/>
        </w:rPr>
        <w:t>الوافي</w:t>
      </w:r>
      <w:r w:rsidRPr="00132E65">
        <w:rPr>
          <w:rtl/>
        </w:rPr>
        <w:t xml:space="preserve"> ، ج 3 ، ص 879 ، ح 1509 ؛ </w:t>
      </w:r>
      <w:r w:rsidRPr="004B4698">
        <w:rPr>
          <w:rStyle w:val="libFootnoteBoldChar"/>
          <w:rtl/>
        </w:rPr>
        <w:t>البحار</w:t>
      </w:r>
      <w:r w:rsidRPr="00132E65">
        <w:rPr>
          <w:rtl/>
        </w:rPr>
        <w:t xml:space="preserve"> ، ج 50 ، ص 232 ، ح 8.</w:t>
      </w:r>
    </w:p>
    <w:p w:rsidR="000C39D1" w:rsidRPr="00132E65" w:rsidRDefault="000C39D1" w:rsidP="000C39D1">
      <w:pPr>
        <w:pStyle w:val="libFootnote0"/>
        <w:rPr>
          <w:rtl/>
          <w:lang w:bidi="fa-IR"/>
        </w:rPr>
      </w:pPr>
      <w:r>
        <w:rPr>
          <w:rtl/>
        </w:rPr>
        <w:t>(5).</w:t>
      </w:r>
      <w:r w:rsidRPr="00132E65">
        <w:rPr>
          <w:rtl/>
        </w:rPr>
        <w:t xml:space="preserve"> « النديم » : المنادم على الشُرب ، وجمعه : نِدام ونُدَماء. </w:t>
      </w:r>
      <w:r w:rsidRPr="004B4698">
        <w:rPr>
          <w:rStyle w:val="libFootnoteBoldChar"/>
          <w:rtl/>
        </w:rPr>
        <w:t>المصباح المنير</w:t>
      </w:r>
      <w:r w:rsidRPr="00132E65">
        <w:rPr>
          <w:rtl/>
        </w:rPr>
        <w:t xml:space="preserve"> ، ص 598 ( ندم )</w:t>
      </w:r>
      <w:r>
        <w:rPr>
          <w:rtl/>
        </w:rPr>
        <w:t>.</w:t>
      </w:r>
    </w:p>
    <w:p w:rsidR="000C39D1" w:rsidRPr="00132E65" w:rsidRDefault="000C39D1" w:rsidP="000C39D1">
      <w:pPr>
        <w:pStyle w:val="libFootnote0"/>
        <w:rPr>
          <w:rtl/>
          <w:lang w:bidi="fa-IR"/>
        </w:rPr>
      </w:pPr>
      <w:r>
        <w:rPr>
          <w:rtl/>
        </w:rPr>
        <w:t>(6).</w:t>
      </w:r>
      <w:r w:rsidRPr="00132E65">
        <w:rPr>
          <w:rtl/>
        </w:rPr>
        <w:t xml:space="preserve"> في حاشية « ف » : « دورحسنى »</w:t>
      </w:r>
      <w:r>
        <w:rPr>
          <w:rtl/>
        </w:rPr>
        <w:t>.</w:t>
      </w:r>
      <w:r w:rsidRPr="00132E65">
        <w:rPr>
          <w:rtl/>
        </w:rPr>
        <w:t xml:space="preserve"> وفي « بر » وحاشية « ض ، بف » وحاشية المطبوع : « بدرحسنى »</w:t>
      </w:r>
      <w:r>
        <w:rPr>
          <w:rtl/>
        </w:rPr>
        <w:t>.</w:t>
      </w:r>
      <w:r w:rsidRPr="00132E65">
        <w:rPr>
          <w:rtl/>
        </w:rPr>
        <w:t xml:space="preserve"> وفي « بف » : « زورحسنى »</w:t>
      </w:r>
      <w:r>
        <w:rPr>
          <w:rtl/>
        </w:rPr>
        <w:t>.</w:t>
      </w:r>
      <w:r w:rsidRPr="00132E65">
        <w:rPr>
          <w:rtl/>
        </w:rPr>
        <w:t xml:space="preserve"> وفي « ب ، ج » : « روزحُسْنى »</w:t>
      </w:r>
      <w:r>
        <w:rPr>
          <w:rtl/>
        </w:rPr>
        <w:t>.</w:t>
      </w:r>
      <w:r w:rsidRPr="00132E65">
        <w:rPr>
          <w:rtl/>
        </w:rPr>
        <w:t xml:space="preserve"> وفي </w:t>
      </w:r>
      <w:r w:rsidRPr="009D1ACE">
        <w:rPr>
          <w:rStyle w:val="libFootnoteBoldChar"/>
          <w:rtl/>
        </w:rPr>
        <w:t>الوافي</w:t>
      </w:r>
      <w:r w:rsidRPr="00132E65">
        <w:rPr>
          <w:rtl/>
        </w:rPr>
        <w:t xml:space="preserve"> : « روز حسنى ، كأنّه كان والياً بالعسكر »</w:t>
      </w:r>
      <w:r>
        <w:rPr>
          <w:rtl/>
        </w:rPr>
        <w:t>.</w:t>
      </w:r>
    </w:p>
    <w:tbl>
      <w:tblPr>
        <w:tblStyle w:val="TableGrid"/>
        <w:bidiVisual/>
        <w:tblW w:w="0" w:type="auto"/>
        <w:tblLook w:val="04A0" w:firstRow="1" w:lastRow="0" w:firstColumn="1" w:lastColumn="0" w:noHBand="0" w:noVBand="1"/>
      </w:tblPr>
      <w:tblGrid>
        <w:gridCol w:w="4261"/>
        <w:gridCol w:w="4262"/>
      </w:tblGrid>
      <w:tr w:rsidR="004B4698" w:rsidTr="004B4698">
        <w:tc>
          <w:tcPr>
            <w:tcW w:w="4261" w:type="dxa"/>
          </w:tcPr>
          <w:p w:rsidR="004B4698" w:rsidRDefault="004B4698" w:rsidP="000C39D1">
            <w:pPr>
              <w:pStyle w:val="libFootnote0"/>
              <w:rPr>
                <w:rtl/>
              </w:rPr>
            </w:pPr>
            <w:r>
              <w:rPr>
                <w:rtl/>
              </w:rPr>
              <w:t>(7).</w:t>
            </w:r>
            <w:r w:rsidRPr="00132E65">
              <w:rPr>
                <w:rtl/>
              </w:rPr>
              <w:t xml:space="preserve">في </w:t>
            </w:r>
            <w:r w:rsidRPr="009D1ACE">
              <w:rPr>
                <w:rStyle w:val="libFootnoteBoldChar"/>
                <w:rtl/>
              </w:rPr>
              <w:t>الوافي</w:t>
            </w:r>
            <w:r w:rsidRPr="00132E65">
              <w:rPr>
                <w:rtl/>
              </w:rPr>
              <w:t xml:space="preserve"> : « هو ذا ، أشار به إلى الصاحب </w:t>
            </w:r>
            <w:r w:rsidRPr="004B4698">
              <w:rPr>
                <w:rStyle w:val="libFootnoteAlaemChar"/>
                <w:rtl/>
              </w:rPr>
              <w:t>عليه‌السلام</w:t>
            </w:r>
            <w:r w:rsidRPr="00132E65">
              <w:rPr>
                <w:rtl/>
              </w:rPr>
              <w:t xml:space="preserve"> »</w:t>
            </w:r>
            <w:r>
              <w:rPr>
                <w:rtl/>
              </w:rPr>
              <w:t>.</w:t>
            </w:r>
          </w:p>
        </w:tc>
        <w:tc>
          <w:tcPr>
            <w:tcW w:w="4262" w:type="dxa"/>
          </w:tcPr>
          <w:p w:rsidR="004B4698" w:rsidRDefault="004B4698" w:rsidP="000C39D1">
            <w:pPr>
              <w:pStyle w:val="libFootnote0"/>
              <w:rPr>
                <w:rtl/>
              </w:rPr>
            </w:pPr>
            <w:r>
              <w:rPr>
                <w:rtl/>
              </w:rPr>
              <w:t>(8).</w:t>
            </w:r>
            <w:r w:rsidRPr="00132E65">
              <w:rPr>
                <w:rtl/>
              </w:rPr>
              <w:t xml:space="preserve"> في « بس » : « يقبض »</w:t>
            </w:r>
            <w:r>
              <w:rPr>
                <w:rtl/>
              </w:rPr>
              <w:t>.</w:t>
            </w:r>
          </w:p>
        </w:tc>
      </w:tr>
    </w:tbl>
    <w:p w:rsidR="000C39D1" w:rsidRPr="00132E65" w:rsidRDefault="000C39D1" w:rsidP="004B4698">
      <w:pPr>
        <w:pStyle w:val="libFootnote0"/>
        <w:rPr>
          <w:rtl/>
          <w:lang w:bidi="fa-IR"/>
        </w:rPr>
      </w:pPr>
      <w:r>
        <w:rPr>
          <w:rtl/>
        </w:rPr>
        <w:t>(9).</w:t>
      </w:r>
      <w:r w:rsidRPr="00132E65">
        <w:rPr>
          <w:rtl/>
        </w:rPr>
        <w:t xml:space="preserve"> « دسّوا » : أمر من الدسّ ، وهو الإخفاء ودفن الشي‌ء تحت الشي‌ء. راجع : </w:t>
      </w:r>
      <w:r w:rsidRPr="004B4698">
        <w:rPr>
          <w:rStyle w:val="libFootnoteBoldChar"/>
          <w:rtl/>
        </w:rPr>
        <w:t>القاموس المحيط</w:t>
      </w:r>
      <w:r w:rsidRPr="00132E65">
        <w:rPr>
          <w:rtl/>
        </w:rPr>
        <w:t xml:space="preserve"> ، ج 1 ، ص 748 ( دسس )</w:t>
      </w:r>
      <w:r>
        <w:rPr>
          <w:rtl/>
        </w:rPr>
        <w:t>.</w:t>
      </w:r>
      <w:r w:rsidR="004B4698">
        <w:rPr>
          <w:rFonts w:hint="cs"/>
          <w:rtl/>
        </w:rPr>
        <w:t xml:space="preserve">                                </w:t>
      </w:r>
      <w:r w:rsidR="0006034E">
        <w:rPr>
          <w:rFonts w:hint="cs"/>
          <w:rtl/>
        </w:rPr>
        <w:t xml:space="preserve">            </w:t>
      </w:r>
      <w:r w:rsidR="004B4698">
        <w:rPr>
          <w:rFonts w:hint="cs"/>
          <w:rtl/>
        </w:rPr>
        <w:t xml:space="preserve">          </w:t>
      </w:r>
      <w:r>
        <w:rPr>
          <w:rtl/>
        </w:rPr>
        <w:t>(10).</w:t>
      </w:r>
      <w:r w:rsidRPr="00132E65">
        <w:rPr>
          <w:rtl/>
        </w:rPr>
        <w:t xml:space="preserve"> في « بح » : « له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بالأموال متعلّق بدسّوا ، يعني أرسلوا إليهم سرّاً بالأموال على أيدي من لا يعرفهم الوكلاء »</w:t>
      </w:r>
      <w:r>
        <w:rPr>
          <w:rtl/>
        </w:rPr>
        <w:t>.</w:t>
      </w:r>
    </w:p>
    <w:tbl>
      <w:tblPr>
        <w:tblStyle w:val="TableGrid"/>
        <w:bidiVisual/>
        <w:tblW w:w="0" w:type="auto"/>
        <w:tblLook w:val="04A0" w:firstRow="1" w:lastRow="0" w:firstColumn="1" w:lastColumn="0" w:noHBand="0" w:noVBand="1"/>
      </w:tblPr>
      <w:tblGrid>
        <w:gridCol w:w="4261"/>
        <w:gridCol w:w="4262"/>
      </w:tblGrid>
      <w:tr w:rsidR="004B4698" w:rsidTr="004B4698">
        <w:tc>
          <w:tcPr>
            <w:tcW w:w="4261" w:type="dxa"/>
          </w:tcPr>
          <w:p w:rsidR="004B4698" w:rsidRDefault="004B4698" w:rsidP="000C39D1">
            <w:pPr>
              <w:pStyle w:val="libFootnote0"/>
              <w:rPr>
                <w:rtl/>
              </w:rPr>
            </w:pPr>
            <w:r>
              <w:rPr>
                <w:rtl/>
              </w:rPr>
              <w:t>(12).</w:t>
            </w:r>
            <w:r w:rsidRPr="00132E65">
              <w:rPr>
                <w:rtl/>
              </w:rPr>
              <w:t xml:space="preserve"> في « ف ، بف » </w:t>
            </w:r>
            <w:r>
              <w:rPr>
                <w:rtl/>
              </w:rPr>
              <w:t xml:space="preserve">: - </w:t>
            </w:r>
            <w:r w:rsidRPr="00132E65">
              <w:rPr>
                <w:rtl/>
              </w:rPr>
              <w:t>« أن »</w:t>
            </w:r>
            <w:r>
              <w:rPr>
                <w:rtl/>
              </w:rPr>
              <w:t>.</w:t>
            </w:r>
          </w:p>
        </w:tc>
        <w:tc>
          <w:tcPr>
            <w:tcW w:w="4262" w:type="dxa"/>
          </w:tcPr>
          <w:p w:rsidR="004B4698" w:rsidRDefault="004B4698" w:rsidP="000C39D1">
            <w:pPr>
              <w:pStyle w:val="libFootnote0"/>
              <w:rPr>
                <w:rtl/>
              </w:rPr>
            </w:pPr>
            <w:r>
              <w:rPr>
                <w:rtl/>
              </w:rPr>
              <w:t>(13)</w:t>
            </w:r>
            <w:r w:rsidRPr="00132E65">
              <w:rPr>
                <w:rtl/>
              </w:rPr>
              <w:t xml:space="preserve"> في « بس » : « وأن يمنعوا »</w:t>
            </w:r>
            <w:r>
              <w:rPr>
                <w:rtl/>
              </w:rPr>
              <w:t>.</w:t>
            </w:r>
          </w:p>
        </w:tc>
      </w:tr>
    </w:tbl>
    <w:p w:rsidR="000C39D1" w:rsidRPr="00132E65" w:rsidRDefault="000C39D1" w:rsidP="000C39D1">
      <w:pPr>
        <w:pStyle w:val="libFootnote0"/>
        <w:rPr>
          <w:rtl/>
          <w:lang w:bidi="fa-IR"/>
        </w:rPr>
      </w:pPr>
      <w:r>
        <w:rPr>
          <w:rtl/>
        </w:rPr>
        <w:t>(14)</w:t>
      </w:r>
      <w:r w:rsidRPr="00132E65">
        <w:rPr>
          <w:rtl/>
        </w:rPr>
        <w:t xml:space="preserve"> في « ض ، بف » : « ويتجاهل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فَانْدَسَّ لِمُحَمَّدِ بْنِ أَحْمَدَ رَجُلٌ لَايَعْرِفُهُ و</w:t>
      </w:r>
      <w:r w:rsidR="004B4698">
        <w:rPr>
          <w:rFonts w:hint="cs"/>
          <w:rtl/>
          <w:lang w:bidi="fa-IR"/>
        </w:rPr>
        <w:t>َ</w:t>
      </w:r>
      <w:r w:rsidRPr="00132E65">
        <w:rPr>
          <w:rtl/>
          <w:lang w:bidi="fa-IR"/>
        </w:rPr>
        <w:t>خَلَا بِهِ ، فَقَالَ : مَعِي مَالٌ أُرِيدُ أَنْ أُوصِلَهُ ، فَقَالَ لَهُ مُحَمَّدٌ : غَلِطْتَ ، أَنَا لَا</w:t>
      </w:r>
      <w:r>
        <w:rPr>
          <w:rFonts w:hint="cs"/>
          <w:rtl/>
          <w:lang w:bidi="fa-IR"/>
        </w:rPr>
        <w:t xml:space="preserve"> </w:t>
      </w:r>
      <w:r w:rsidRPr="00132E65">
        <w:rPr>
          <w:rtl/>
          <w:lang w:bidi="fa-IR"/>
        </w:rPr>
        <w:t>أَعْرِفُ مِنْ هذَا شَيْئاً فَلَمْ يَزَلْ يَتَلَطَّفُهُ ، و</w:t>
      </w:r>
      <w:r w:rsidR="004B4698">
        <w:rPr>
          <w:rFonts w:hint="cs"/>
          <w:rtl/>
          <w:lang w:bidi="fa-IR"/>
        </w:rPr>
        <w:t>َ</w:t>
      </w:r>
      <w:r w:rsidRPr="00132E65">
        <w:rPr>
          <w:rtl/>
          <w:lang w:bidi="fa-IR"/>
        </w:rPr>
        <w:t>مُحَمَّدٌ يَتَجَاهَلُ عَلَيْهِ ؛ و</w:t>
      </w:r>
      <w:r w:rsidR="004B4698">
        <w:rPr>
          <w:rFonts w:hint="cs"/>
          <w:rtl/>
          <w:lang w:bidi="fa-IR"/>
        </w:rPr>
        <w:t>َ</w:t>
      </w:r>
      <w:r w:rsidRPr="00132E65">
        <w:rPr>
          <w:rtl/>
          <w:lang w:bidi="fa-IR"/>
        </w:rPr>
        <w:t>بَثُّوا الْجَوَاسِيسَ ، و</w:t>
      </w:r>
      <w:r w:rsidR="004B4698">
        <w:rPr>
          <w:rFonts w:hint="cs"/>
          <w:rtl/>
          <w:lang w:bidi="fa-IR"/>
        </w:rPr>
        <w:t>َ</w:t>
      </w:r>
      <w:r w:rsidRPr="00132E65">
        <w:rPr>
          <w:rtl/>
          <w:lang w:bidi="fa-IR"/>
        </w:rPr>
        <w:t xml:space="preserve">امْتَنَعَ الْوُكَلَاءُ كُلُّهُمْ ؛ لِمَا كَانَ تَقَدَّمَ </w:t>
      </w:r>
      <w:r>
        <w:rPr>
          <w:rStyle w:val="libFootnotenumChar"/>
          <w:rtl/>
        </w:rPr>
        <w:t>(1)</w:t>
      </w:r>
      <w:r w:rsidRPr="00132E65">
        <w:rPr>
          <w:rtl/>
          <w:lang w:bidi="fa-IR"/>
        </w:rPr>
        <w:t xml:space="preserve"> إِلَيْهِمْ.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34138C">
        <w:rPr>
          <w:rtl/>
        </w:rPr>
        <w:t>1387</w:t>
      </w:r>
      <w:r w:rsidRPr="004325D8">
        <w:rPr>
          <w:rStyle w:val="libBold2Char"/>
          <w:rtl/>
        </w:rPr>
        <w:t xml:space="preserve"> / 31.</w:t>
      </w:r>
      <w:r w:rsidRPr="00132E65">
        <w:rPr>
          <w:rtl/>
          <w:lang w:bidi="fa-IR"/>
        </w:rPr>
        <w:t xml:space="preserve"> عَلِيُّ بْنُ مُحَمَّدٍ قَالَ :</w:t>
      </w:r>
    </w:p>
    <w:p w:rsidR="000C39D1" w:rsidRPr="00132E65" w:rsidRDefault="000C39D1" w:rsidP="000C39D1">
      <w:pPr>
        <w:pStyle w:val="libNormal"/>
        <w:rPr>
          <w:rtl/>
          <w:lang w:bidi="fa-IR"/>
        </w:rPr>
      </w:pPr>
      <w:r w:rsidRPr="00132E65">
        <w:rPr>
          <w:rtl/>
          <w:lang w:bidi="fa-IR"/>
        </w:rPr>
        <w:t>خَرَجَ نَهْيٌ عَنْ زِيَارَةِ مَقَابِرِ قُرَيْشٍ و</w:t>
      </w:r>
      <w:r w:rsidR="004B4698">
        <w:rPr>
          <w:rFonts w:hint="cs"/>
          <w:rtl/>
          <w:lang w:bidi="fa-IR"/>
        </w:rPr>
        <w:t>َ</w:t>
      </w:r>
      <w:r w:rsidRPr="00132E65">
        <w:rPr>
          <w:rtl/>
          <w:lang w:bidi="fa-IR"/>
        </w:rPr>
        <w:t xml:space="preserve">الْحَيْرِ </w:t>
      </w:r>
      <w:r>
        <w:rPr>
          <w:rStyle w:val="libFootnotenumChar"/>
          <w:rtl/>
        </w:rPr>
        <w:t>(3)</w:t>
      </w:r>
      <w:r w:rsidRPr="00132E65">
        <w:rPr>
          <w:rtl/>
          <w:lang w:bidi="fa-IR"/>
        </w:rPr>
        <w:t xml:space="preserve"> ، فَلَمَّا كَانَ بَعْدَ أَشْهُرٍ دَعَا الْوَزِيرُ الْبَاقَطَائِيَّ ، فَقَالَ لَهُ </w:t>
      </w:r>
      <w:r>
        <w:rPr>
          <w:rStyle w:val="libFootnotenumChar"/>
          <w:rtl/>
        </w:rPr>
        <w:t>(4)</w:t>
      </w:r>
      <w:r w:rsidRPr="00132E65">
        <w:rPr>
          <w:rtl/>
          <w:lang w:bidi="fa-IR"/>
        </w:rPr>
        <w:t xml:space="preserve"> : الْقَ بَنِي الْفُرَاتِ </w:t>
      </w:r>
      <w:r>
        <w:rPr>
          <w:rStyle w:val="libFootnotenumChar"/>
          <w:rtl/>
        </w:rPr>
        <w:t>(5)</w:t>
      </w:r>
      <w:r w:rsidRPr="00132E65">
        <w:rPr>
          <w:rtl/>
          <w:lang w:bidi="fa-IR"/>
        </w:rPr>
        <w:t xml:space="preserve"> والْبُرْسِيِّينَ ، و</w:t>
      </w:r>
      <w:r w:rsidR="004B4698">
        <w:rPr>
          <w:rFonts w:hint="cs"/>
          <w:rtl/>
          <w:lang w:bidi="fa-IR"/>
        </w:rPr>
        <w:t>َ</w:t>
      </w:r>
      <w:r w:rsidRPr="00132E65">
        <w:rPr>
          <w:rtl/>
          <w:lang w:bidi="fa-IR"/>
        </w:rPr>
        <w:t xml:space="preserve">قُلْ لَهُمْ : لَايَزُورُوا </w:t>
      </w:r>
      <w:r>
        <w:rPr>
          <w:rStyle w:val="libFootnotenumChar"/>
          <w:rtl/>
        </w:rPr>
        <w:t>(6)</w:t>
      </w:r>
      <w:r w:rsidRPr="00132E65">
        <w:rPr>
          <w:rtl/>
          <w:lang w:bidi="fa-IR"/>
        </w:rPr>
        <w:t xml:space="preserve"> مَقَابِرَ قُرَيْشٍ ؛ فَقَدْ أَمَرَ الْخَلِيفَةُ أَنْ يُتَفَقَّدَ كُلُّ مَنْ زَارَ </w:t>
      </w:r>
      <w:r>
        <w:rPr>
          <w:rStyle w:val="libFootnotenumChar"/>
          <w:rtl/>
        </w:rPr>
        <w:t>(7)</w:t>
      </w:r>
      <w:r w:rsidRPr="00132E65">
        <w:rPr>
          <w:rtl/>
          <w:lang w:bidi="fa-IR"/>
        </w:rPr>
        <w:t xml:space="preserve"> ، فَيُقْبَضَ عَلَيْهِ. </w:t>
      </w:r>
      <w:r>
        <w:rPr>
          <w:rStyle w:val="libFootnotenumChar"/>
          <w:rtl/>
        </w:rPr>
        <w:t>(8)</w:t>
      </w:r>
      <w:r w:rsidRPr="00132E65">
        <w:rPr>
          <w:rtl/>
          <w:lang w:bidi="fa-IR"/>
        </w:rPr>
        <w:t xml:space="preserve"> ‌</w:t>
      </w:r>
    </w:p>
    <w:p w:rsidR="000C39D1" w:rsidRPr="00132E65" w:rsidRDefault="000C39D1" w:rsidP="000C39D1">
      <w:pPr>
        <w:pStyle w:val="Heading2Center"/>
        <w:rPr>
          <w:rtl/>
          <w:lang w:bidi="fa-IR"/>
        </w:rPr>
      </w:pPr>
      <w:bookmarkStart w:id="188" w:name="_Toc459459169"/>
      <w:bookmarkStart w:id="189" w:name="_Toc34663138"/>
      <w:r w:rsidRPr="00132E65">
        <w:rPr>
          <w:rtl/>
          <w:lang w:bidi="fa-IR"/>
        </w:rPr>
        <w:t>126</w:t>
      </w:r>
      <w:r>
        <w:rPr>
          <w:rtl/>
          <w:lang w:bidi="fa-IR"/>
        </w:rPr>
        <w:t xml:space="preserve"> - </w:t>
      </w:r>
      <w:r w:rsidRPr="00132E65">
        <w:rPr>
          <w:rtl/>
          <w:lang w:bidi="fa-IR"/>
        </w:rPr>
        <w:t xml:space="preserve">بَابُ </w:t>
      </w:r>
      <w:r>
        <w:rPr>
          <w:rStyle w:val="libFootnotenumChar"/>
          <w:rtl/>
        </w:rPr>
        <w:t>(9)</w:t>
      </w:r>
      <w:r>
        <w:rPr>
          <w:rtl/>
          <w:lang w:bidi="fa-IR"/>
        </w:rPr>
        <w:t xml:space="preserve"> </w:t>
      </w:r>
      <w:r w:rsidRPr="00132E65">
        <w:rPr>
          <w:rtl/>
          <w:lang w:bidi="fa-IR"/>
        </w:rPr>
        <w:t>مَا جَاءَ فِي الِاثْنَيْ عَشَرَ و</w:t>
      </w:r>
      <w:r w:rsidR="004B4698">
        <w:rPr>
          <w:rFonts w:hint="cs"/>
          <w:rtl/>
          <w:lang w:bidi="fa-IR"/>
        </w:rPr>
        <w:t>َ</w:t>
      </w:r>
      <w:r w:rsidRPr="00132E65">
        <w:rPr>
          <w:rtl/>
          <w:lang w:bidi="fa-IR"/>
        </w:rPr>
        <w:t xml:space="preserve">النَّصِّ عَلَيْهِمْ </w:t>
      </w:r>
      <w:r w:rsidRPr="00071CF9">
        <w:rPr>
          <w:rStyle w:val="libAlaemChar"/>
          <w:rtl/>
        </w:rPr>
        <w:t>عليهم‌السلام</w:t>
      </w:r>
      <w:r w:rsidRPr="00132E65">
        <w:rPr>
          <w:rtl/>
          <w:lang w:bidi="fa-IR"/>
        </w:rPr>
        <w:t xml:space="preserve"> </w:t>
      </w:r>
      <w:r>
        <w:rPr>
          <w:rStyle w:val="libFootnotenumChar"/>
          <w:rtl/>
        </w:rPr>
        <w:t>(10)</w:t>
      </w:r>
      <w:r w:rsidRPr="00132E65">
        <w:rPr>
          <w:rtl/>
          <w:lang w:bidi="fa-IR"/>
        </w:rPr>
        <w:t xml:space="preserve"> ‌</w:t>
      </w:r>
      <w:bookmarkEnd w:id="188"/>
      <w:bookmarkEnd w:id="189"/>
    </w:p>
    <w:p w:rsidR="000C39D1" w:rsidRPr="00132E65" w:rsidRDefault="000C39D1" w:rsidP="000C39D1">
      <w:pPr>
        <w:pStyle w:val="libNormal"/>
        <w:rPr>
          <w:rtl/>
          <w:lang w:bidi="fa-IR"/>
        </w:rPr>
      </w:pPr>
      <w:r w:rsidRPr="0034138C">
        <w:rPr>
          <w:rtl/>
        </w:rPr>
        <w:t>1388</w:t>
      </w:r>
      <w:r w:rsidRPr="004325D8">
        <w:rPr>
          <w:rStyle w:val="libBold2Char"/>
          <w:rtl/>
        </w:rPr>
        <w:t xml:space="preserve"> / 1.</w:t>
      </w:r>
      <w:r w:rsidRPr="00132E65">
        <w:rPr>
          <w:rtl/>
          <w:lang w:bidi="fa-IR"/>
        </w:rPr>
        <w:t xml:space="preserve"> عِدَّةٌ مِنْ أَصْحَابِنَا ، عَنْ أَحْمَدَ بْنِ مُحَمَّدٍ الْبَرْقِيِّ ، عَنْ أَبِي هَاشِمٍ دَاوُدَ بْنِ الْقَاسِمِ الْجَعْفَرِيِّ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يقدم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3 ، ص 880 ، ح 1510 ؛ </w:t>
      </w:r>
      <w:r w:rsidRPr="00190ABC">
        <w:rPr>
          <w:rStyle w:val="libFootnoteBoldChar"/>
          <w:rtl/>
        </w:rPr>
        <w:t>البحار</w:t>
      </w:r>
      <w:r w:rsidRPr="00132E65">
        <w:rPr>
          <w:rtl/>
        </w:rPr>
        <w:t xml:space="preserve"> ، ج 51 ، ص 310 ، ح 30.</w:t>
      </w:r>
    </w:p>
    <w:p w:rsidR="000C39D1" w:rsidRPr="00132E65" w:rsidRDefault="000C39D1" w:rsidP="000C39D1">
      <w:pPr>
        <w:pStyle w:val="libFootnote0"/>
        <w:rPr>
          <w:rtl/>
          <w:lang w:bidi="fa-IR"/>
        </w:rPr>
      </w:pPr>
      <w:r>
        <w:rPr>
          <w:rtl/>
        </w:rPr>
        <w:t>(3).</w:t>
      </w:r>
      <w:r w:rsidRPr="00132E65">
        <w:rPr>
          <w:rtl/>
        </w:rPr>
        <w:t xml:space="preserve"> في « ب ، ض ، بح ، بس » : « والحيرة »</w:t>
      </w:r>
      <w:r>
        <w:rPr>
          <w:rtl/>
        </w:rPr>
        <w:t>.</w:t>
      </w:r>
      <w:r w:rsidRPr="00132E65">
        <w:rPr>
          <w:rtl/>
        </w:rPr>
        <w:t xml:space="preserve"> وفي « بر ، بف » وحاشية « ض ، بح » : « والحائر »</w:t>
      </w:r>
      <w:r>
        <w:rPr>
          <w:rtl/>
        </w:rPr>
        <w:t>.</w:t>
      </w:r>
      <w:r w:rsidRPr="00132E65">
        <w:rPr>
          <w:rtl/>
        </w:rPr>
        <w:t xml:space="preserve"> وفي الإرشاد : « والحائرعلى ساكنيها السلام » بدل « والحير »</w:t>
      </w:r>
      <w:r>
        <w:rPr>
          <w:rtl/>
        </w:rPr>
        <w:t>.</w:t>
      </w:r>
      <w:r w:rsidRPr="00132E65">
        <w:rPr>
          <w:rtl/>
        </w:rPr>
        <w:t xml:space="preserve"> وفي </w:t>
      </w:r>
      <w:r w:rsidRPr="009D1ACE">
        <w:rPr>
          <w:rStyle w:val="libFootnoteBoldChar"/>
          <w:rtl/>
        </w:rPr>
        <w:t>الوافي</w:t>
      </w:r>
      <w:r w:rsidRPr="00132E65">
        <w:rPr>
          <w:rtl/>
        </w:rPr>
        <w:t xml:space="preserve"> : « الحير والحائر مدفن الحسين </w:t>
      </w:r>
      <w:r w:rsidRPr="00190ABC">
        <w:rPr>
          <w:rStyle w:val="libFootnoteAlaemChar"/>
          <w:rtl/>
        </w:rPr>
        <w:t>عليه‌السلام</w:t>
      </w:r>
      <w:r w:rsidR="0006034E">
        <w:rPr>
          <w:rtl/>
        </w:rPr>
        <w:t xml:space="preserve"> بكربلاء ويقالان لكربلاء كلّها</w:t>
      </w:r>
      <w:r w:rsidRPr="00132E65">
        <w:rPr>
          <w:rtl/>
        </w:rPr>
        <w:t>»</w:t>
      </w:r>
      <w:r>
        <w:rPr>
          <w:rtl/>
        </w:rPr>
        <w:t>.</w:t>
      </w:r>
    </w:p>
    <w:p w:rsidR="000C39D1" w:rsidRPr="00132E65" w:rsidRDefault="000C39D1" w:rsidP="000C39D1">
      <w:pPr>
        <w:pStyle w:val="libFootnote0"/>
        <w:rPr>
          <w:rtl/>
          <w:lang w:bidi="fa-IR"/>
        </w:rPr>
      </w:pPr>
      <w:r>
        <w:rPr>
          <w:rtl/>
        </w:rPr>
        <w:t>(4).</w:t>
      </w:r>
      <w:r w:rsidRPr="00132E65">
        <w:rPr>
          <w:rtl/>
        </w:rPr>
        <w:t xml:space="preserve"> في « بف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الوافي</w:t>
      </w:r>
      <w:r w:rsidRPr="00132E65">
        <w:rPr>
          <w:rtl/>
        </w:rPr>
        <w:t xml:space="preserve"> : « ولعلّ المراد ببني الفرات من كان بحواليه. وقيل : هم قوم من رهط أبي الفتح الفضل بن جعفر بن فرات من وزراء بني العبّاس مشهورين بمحبّة أهل البيت </w:t>
      </w:r>
      <w:r w:rsidRPr="00190ABC">
        <w:rPr>
          <w:rStyle w:val="libFootnoteAlaemChar"/>
          <w:rtl/>
        </w:rPr>
        <w:t>عليهم‌السلام</w:t>
      </w:r>
      <w:r w:rsidRPr="00132E65">
        <w:rPr>
          <w:rtl/>
        </w:rPr>
        <w:t xml:space="preserve">. </w:t>
      </w:r>
      <w:r>
        <w:rPr>
          <w:rtl/>
        </w:rPr>
        <w:t>و «</w:t>
      </w:r>
      <w:r w:rsidRPr="00132E65">
        <w:rPr>
          <w:rtl/>
        </w:rPr>
        <w:t xml:space="preserve"> البرس » بلدة بين الكوفة والحلّة ، وكأنّهم يجعلون زيارة الحسين </w:t>
      </w:r>
      <w:r w:rsidRPr="00190ABC">
        <w:rPr>
          <w:rStyle w:val="libFootnoteAlaemChar"/>
          <w:rtl/>
        </w:rPr>
        <w:t>عليه‌السلام</w:t>
      </w:r>
      <w:r w:rsidRPr="00132E65">
        <w:rPr>
          <w:rtl/>
        </w:rPr>
        <w:t xml:space="preserve"> وزيارة مقابر قريش من علامة التشيّع والرفض »</w:t>
      </w:r>
      <w:r>
        <w:rPr>
          <w:rtl/>
        </w:rPr>
        <w:t>.</w:t>
      </w:r>
    </w:p>
    <w:p w:rsidR="000C39D1" w:rsidRPr="00132E65" w:rsidRDefault="000C39D1" w:rsidP="000C39D1">
      <w:pPr>
        <w:pStyle w:val="libFootnote0"/>
        <w:rPr>
          <w:rtl/>
          <w:lang w:bidi="fa-IR"/>
        </w:rPr>
      </w:pPr>
      <w:r>
        <w:rPr>
          <w:rtl/>
        </w:rPr>
        <w:t>(6).</w:t>
      </w:r>
      <w:r w:rsidRPr="00132E65">
        <w:rPr>
          <w:rtl/>
        </w:rPr>
        <w:t xml:space="preserve"> في « ب ، ج ، بر ، بس ، بف » و</w:t>
      </w:r>
      <w:r w:rsidRPr="009D1ACE">
        <w:rPr>
          <w:rStyle w:val="libFootnoteBoldChar"/>
          <w:rtl/>
        </w:rPr>
        <w:t>الوافي</w:t>
      </w:r>
      <w:r w:rsidRPr="00132E65">
        <w:rPr>
          <w:rtl/>
        </w:rPr>
        <w:t xml:space="preserve"> </w:t>
      </w:r>
      <w:r w:rsidRPr="00190ABC">
        <w:rPr>
          <w:rStyle w:val="libFootnoteBoldChar"/>
          <w:rtl/>
        </w:rPr>
        <w:t>والإرشاد</w:t>
      </w:r>
      <w:r w:rsidRPr="00132E65">
        <w:rPr>
          <w:rtl/>
        </w:rPr>
        <w:t xml:space="preserve"> : « لا تزوروا »</w:t>
      </w:r>
      <w:r>
        <w:rPr>
          <w:rtl/>
        </w:rPr>
        <w:t>.</w:t>
      </w:r>
    </w:p>
    <w:p w:rsidR="000C39D1" w:rsidRPr="00132E65" w:rsidRDefault="000C39D1" w:rsidP="000C39D1">
      <w:pPr>
        <w:pStyle w:val="libFootnote0"/>
        <w:rPr>
          <w:rtl/>
          <w:lang w:bidi="fa-IR"/>
        </w:rPr>
      </w:pPr>
      <w:r>
        <w:rPr>
          <w:rtl/>
        </w:rPr>
        <w:t>(7).</w:t>
      </w:r>
      <w:r w:rsidRPr="00132E65">
        <w:rPr>
          <w:rtl/>
        </w:rPr>
        <w:t xml:space="preserve"> في الإرشاد : « زاره »</w:t>
      </w:r>
      <w:r>
        <w:rPr>
          <w:rtl/>
        </w:rPr>
        <w:t>.</w:t>
      </w:r>
    </w:p>
    <w:p w:rsidR="000C39D1" w:rsidRPr="00132E65" w:rsidRDefault="000C39D1" w:rsidP="00190ABC">
      <w:pPr>
        <w:pStyle w:val="libFootnote0"/>
        <w:rPr>
          <w:rtl/>
          <w:lang w:bidi="fa-IR"/>
        </w:rPr>
      </w:pPr>
      <w:r>
        <w:rPr>
          <w:rtl/>
        </w:rPr>
        <w:t>(8).</w:t>
      </w:r>
      <w:r w:rsidRPr="00132E65">
        <w:rPr>
          <w:rtl/>
        </w:rPr>
        <w:t xml:space="preserve"> </w:t>
      </w:r>
      <w:r w:rsidRPr="00190ABC">
        <w:rPr>
          <w:rStyle w:val="libFootnoteBoldChar"/>
          <w:rtl/>
        </w:rPr>
        <w:t>الإرشاد</w:t>
      </w:r>
      <w:r w:rsidRPr="00132E65">
        <w:rPr>
          <w:rtl/>
        </w:rPr>
        <w:t xml:space="preserve"> ، ج 2 ، ص 367 بسنده عن الكليني ؛ </w:t>
      </w:r>
      <w:r w:rsidRPr="00190ABC">
        <w:rPr>
          <w:rStyle w:val="libFootnoteBoldChar"/>
          <w:rtl/>
        </w:rPr>
        <w:t>الغيبة للطوسي</w:t>
      </w:r>
      <w:r w:rsidRPr="00132E65">
        <w:rPr>
          <w:rtl/>
        </w:rPr>
        <w:t xml:space="preserve"> ، ص 284 ، ح 244 ، عن الكليني </w:t>
      </w:r>
      <w:r w:rsidR="00190ABC">
        <w:rPr>
          <w:rFonts w:hint="cs"/>
          <w:rtl/>
        </w:rPr>
        <w:t>.</w:t>
      </w:r>
      <w:r w:rsidRPr="009D1ACE">
        <w:rPr>
          <w:rStyle w:val="libFootnoteBoldChar"/>
          <w:rtl/>
        </w:rPr>
        <w:t>الوافي</w:t>
      </w:r>
      <w:r w:rsidRPr="00132E65">
        <w:rPr>
          <w:rtl/>
        </w:rPr>
        <w:t xml:space="preserve"> ، ج 3 ، ص 881 ، ح 1511.</w:t>
      </w:r>
      <w:r w:rsidR="00190ABC">
        <w:rPr>
          <w:rFonts w:hint="cs"/>
          <w:rtl/>
        </w:rPr>
        <w:t xml:space="preserve">                              </w:t>
      </w:r>
      <w:r>
        <w:rPr>
          <w:rtl/>
        </w:rPr>
        <w:t>(9).</w:t>
      </w:r>
      <w:r w:rsidRPr="00132E65">
        <w:rPr>
          <w:rtl/>
        </w:rPr>
        <w:t xml:space="preserve"> في « ج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(10).</w:t>
      </w:r>
      <w:r w:rsidRPr="00132E65">
        <w:rPr>
          <w:rtl/>
        </w:rPr>
        <w:t xml:space="preserve"> في « ب ، ج » : « عليهم رحمة من الله وسلام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جَعْفَرٍ الثَّانِي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 قَالَ : « أَقْبَلَ أَمِيرُ الْمُؤْمِنِينَ </w:t>
      </w:r>
      <w:r w:rsidRPr="00071CF9">
        <w:rPr>
          <w:rStyle w:val="libAlaemChar"/>
          <w:rtl/>
        </w:rPr>
        <w:t>عليه‌السلام</w:t>
      </w:r>
      <w:r w:rsidRPr="00132E65">
        <w:rPr>
          <w:rtl/>
          <w:lang w:bidi="fa-IR"/>
        </w:rPr>
        <w:t xml:space="preserve"> </w:t>
      </w:r>
      <w:r>
        <w:rPr>
          <w:rStyle w:val="libFootnotenumChar"/>
          <w:rtl/>
        </w:rPr>
        <w:t>(2)</w:t>
      </w:r>
      <w:r w:rsidRPr="00132E65">
        <w:rPr>
          <w:rtl/>
          <w:lang w:bidi="fa-IR"/>
        </w:rPr>
        <w:t xml:space="preserve"> وَمَعَهُ الْحَسَنُ بْنُ عَلِيٍّ </w:t>
      </w:r>
      <w:r w:rsidRPr="00071CF9">
        <w:rPr>
          <w:rStyle w:val="libAlaemChar"/>
          <w:rtl/>
        </w:rPr>
        <w:t>عليه‌السلام</w:t>
      </w:r>
      <w:r w:rsidRPr="00132E65">
        <w:rPr>
          <w:rtl/>
          <w:lang w:bidi="fa-IR"/>
        </w:rPr>
        <w:t xml:space="preserve"> و</w:t>
      </w:r>
      <w:r w:rsidR="00190ABC">
        <w:rPr>
          <w:rFonts w:hint="cs"/>
          <w:rtl/>
          <w:lang w:bidi="fa-IR"/>
        </w:rPr>
        <w:t>َ</w:t>
      </w:r>
      <w:r w:rsidRPr="00132E65">
        <w:rPr>
          <w:rtl/>
          <w:lang w:bidi="fa-IR"/>
        </w:rPr>
        <w:t xml:space="preserve">هُوَ مُتَّكِئٌ </w:t>
      </w:r>
      <w:r>
        <w:rPr>
          <w:rStyle w:val="libFootnotenumChar"/>
          <w:rtl/>
        </w:rPr>
        <w:t>(3)</w:t>
      </w:r>
      <w:r w:rsidRPr="00132E65">
        <w:rPr>
          <w:rtl/>
          <w:lang w:bidi="fa-IR"/>
        </w:rPr>
        <w:t xml:space="preserve"> عَلى يَدِ سَلْمَانَ ، فَدَخَلَ الْمَسْجِدَ الْحَرَامَ ، فَجَلَسَ </w:t>
      </w:r>
      <w:r>
        <w:rPr>
          <w:rStyle w:val="libFootnotenumChar"/>
          <w:rtl/>
        </w:rPr>
        <w:t>(4)</w:t>
      </w:r>
      <w:r w:rsidRPr="00132E65">
        <w:rPr>
          <w:rtl/>
          <w:lang w:bidi="fa-IR"/>
        </w:rPr>
        <w:t xml:space="preserve"> ، إِذْ أَقْبَلَ رَجُلٌ حَسَنُ الْهَيْئَةِ واللِّبَاسِ ، فَسَلَّمَ عَلى أَمِيرِ الْمُؤْمِنِينَ ، فَرَدَّ عَلَيْهِ السَّلَامَ ، فَجَلَسَ ، ثُمَّ قَالَ : يَا أَمِيرَ الْمُؤْمِنِينَ ، أَسْأَلُكَ عَنْ ثَلَاثِ مَسَائِلَ إِنْ أَخْبَرْتَنِي بِهِنَّ ، عَلِمْتُ أَنَّ الْقَوْمَ رَكِبُوا </w:t>
      </w:r>
      <w:r>
        <w:rPr>
          <w:rStyle w:val="libFootnotenumChar"/>
          <w:rtl/>
        </w:rPr>
        <w:t>(5)</w:t>
      </w:r>
      <w:r w:rsidRPr="00132E65">
        <w:rPr>
          <w:rtl/>
          <w:lang w:bidi="fa-IR"/>
        </w:rPr>
        <w:t xml:space="preserve"> مِنْ أَمْرِكَ مَا قُضِيَ عَلَيْهِمْ </w:t>
      </w:r>
      <w:r>
        <w:rPr>
          <w:rStyle w:val="libFootnotenumChar"/>
          <w:rtl/>
        </w:rPr>
        <w:t>(6)</w:t>
      </w:r>
      <w:r w:rsidRPr="00132E65">
        <w:rPr>
          <w:rtl/>
          <w:lang w:bidi="fa-IR"/>
        </w:rPr>
        <w:t xml:space="preserve"> ، و</w:t>
      </w:r>
      <w:r w:rsidR="00190ABC">
        <w:rPr>
          <w:rFonts w:hint="cs"/>
          <w:rtl/>
          <w:lang w:bidi="fa-IR"/>
        </w:rPr>
        <w:t>َ</w:t>
      </w:r>
      <w:r w:rsidRPr="00132E65">
        <w:rPr>
          <w:rtl/>
          <w:lang w:bidi="fa-IR"/>
        </w:rPr>
        <w:t xml:space="preserve">أَنْ </w:t>
      </w:r>
      <w:r>
        <w:rPr>
          <w:rStyle w:val="libFootnotenumChar"/>
          <w:rtl/>
        </w:rPr>
        <w:t>(7)</w:t>
      </w:r>
      <w:r w:rsidRPr="00132E65">
        <w:rPr>
          <w:rtl/>
          <w:lang w:bidi="fa-IR"/>
        </w:rPr>
        <w:t xml:space="preserve"> لَيْسُوا بِمَأْمُونِينَ فِي دُنْيَاهُمْ و</w:t>
      </w:r>
      <w:r w:rsidR="00190ABC">
        <w:rPr>
          <w:rFonts w:hint="cs"/>
          <w:rtl/>
          <w:lang w:bidi="fa-IR"/>
        </w:rPr>
        <w:t>َ</w:t>
      </w:r>
      <w:r w:rsidRPr="00132E65">
        <w:rPr>
          <w:rtl/>
          <w:lang w:bidi="fa-IR"/>
        </w:rPr>
        <w:t>آخِرَتِهِمْ ؛ وإِنْ تَكُنِ الْأُخْرى ، عَلِمْتُ أَنَّكَ و</w:t>
      </w:r>
      <w:r w:rsidR="00190ABC">
        <w:rPr>
          <w:rFonts w:hint="cs"/>
          <w:rtl/>
          <w:lang w:bidi="fa-IR"/>
        </w:rPr>
        <w:t>َ</w:t>
      </w:r>
      <w:r w:rsidRPr="00132E65">
        <w:rPr>
          <w:rtl/>
          <w:lang w:bidi="fa-IR"/>
        </w:rPr>
        <w:t xml:space="preserve">هُمْ شَرَعٌ </w:t>
      </w:r>
      <w:r>
        <w:rPr>
          <w:rStyle w:val="libFootnotenumChar"/>
          <w:rtl/>
        </w:rPr>
        <w:t>(8)</w:t>
      </w:r>
      <w:r w:rsidRPr="00132E65">
        <w:rPr>
          <w:rtl/>
          <w:lang w:bidi="fa-IR"/>
        </w:rPr>
        <w:t xml:space="preserve"> سَوَاءٌ ، فَقَالَ لَهُ أَمِيرُ الْمُؤْمِنِينَ </w:t>
      </w:r>
      <w:r w:rsidRPr="00071CF9">
        <w:rPr>
          <w:rStyle w:val="libAlaemChar"/>
          <w:rtl/>
        </w:rPr>
        <w:t>عليه‌السلام</w:t>
      </w:r>
      <w:r w:rsidRPr="00132E65">
        <w:rPr>
          <w:rtl/>
          <w:lang w:bidi="fa-IR"/>
        </w:rPr>
        <w:t xml:space="preserve"> : سَلْنِي عَمَّا </w:t>
      </w:r>
      <w:r>
        <w:rPr>
          <w:rStyle w:val="libFootnotenumChar"/>
          <w:rtl/>
        </w:rPr>
        <w:t>(9)</w:t>
      </w:r>
      <w:r w:rsidRPr="00132E65">
        <w:rPr>
          <w:rtl/>
          <w:lang w:bidi="fa-IR"/>
        </w:rPr>
        <w:t xml:space="preserve"> بَدَا لَكَ.</w:t>
      </w:r>
    </w:p>
    <w:p w:rsidR="000C39D1" w:rsidRPr="00132E65" w:rsidRDefault="000C39D1" w:rsidP="000C39D1">
      <w:pPr>
        <w:pStyle w:val="libNormal"/>
        <w:rPr>
          <w:rtl/>
          <w:lang w:bidi="fa-IR"/>
        </w:rPr>
      </w:pPr>
      <w:r w:rsidRPr="00132E65">
        <w:rPr>
          <w:rtl/>
          <w:lang w:bidi="fa-IR"/>
        </w:rPr>
        <w:t xml:space="preserve">قَالَ : أَخْبِرْنِي عَنِ الرَّجُلِ إِذَا نَامَ أَيْنَ تَذْهَبُ </w:t>
      </w:r>
      <w:r>
        <w:rPr>
          <w:rStyle w:val="libFootnotenumChar"/>
          <w:rtl/>
        </w:rPr>
        <w:t>(10)</w:t>
      </w:r>
      <w:r w:rsidRPr="00132E65">
        <w:rPr>
          <w:rtl/>
          <w:lang w:bidi="fa-IR"/>
        </w:rPr>
        <w:t xml:space="preserve"> رُوحُهُ</w:t>
      </w:r>
      <w:r>
        <w:rPr>
          <w:rtl/>
          <w:lang w:bidi="fa-IR"/>
        </w:rPr>
        <w:t>؟</w:t>
      </w:r>
      <w:r w:rsidRPr="00132E65">
        <w:rPr>
          <w:rtl/>
          <w:lang w:bidi="fa-IR"/>
        </w:rPr>
        <w:t xml:space="preserve"> و</w:t>
      </w:r>
      <w:r w:rsidR="00190ABC">
        <w:rPr>
          <w:rFonts w:hint="cs"/>
          <w:rtl/>
          <w:lang w:bidi="fa-IR"/>
        </w:rPr>
        <w:t>َ</w:t>
      </w:r>
      <w:r w:rsidRPr="00132E65">
        <w:rPr>
          <w:rtl/>
          <w:lang w:bidi="fa-IR"/>
        </w:rPr>
        <w:t>عَنِ الرَّجُلِ كَيْفَ يَذْكُرُ وَيَنْسى</w:t>
      </w:r>
      <w:r>
        <w:rPr>
          <w:rtl/>
          <w:lang w:bidi="fa-IR"/>
        </w:rPr>
        <w:t>؟</w:t>
      </w:r>
      <w:r w:rsidRPr="00132E65">
        <w:rPr>
          <w:rtl/>
          <w:lang w:bidi="fa-IR"/>
        </w:rPr>
        <w:t xml:space="preserve"> و</w:t>
      </w:r>
      <w:r w:rsidR="00190ABC">
        <w:rPr>
          <w:rFonts w:hint="cs"/>
          <w:rtl/>
          <w:lang w:bidi="fa-IR"/>
        </w:rPr>
        <w:t>َ</w:t>
      </w:r>
      <w:r w:rsidRPr="00132E65">
        <w:rPr>
          <w:rtl/>
          <w:lang w:bidi="fa-IR"/>
        </w:rPr>
        <w:t>عَنِ الرَّجُلِ كَيْفَ يُشْبِهُ و</w:t>
      </w:r>
      <w:r w:rsidR="00190ABC">
        <w:rPr>
          <w:rFonts w:hint="cs"/>
          <w:rtl/>
          <w:lang w:bidi="fa-IR"/>
        </w:rPr>
        <w:t>َ</w:t>
      </w:r>
      <w:r w:rsidRPr="00132E65">
        <w:rPr>
          <w:rtl/>
          <w:lang w:bidi="fa-IR"/>
        </w:rPr>
        <w:t>لَدُهُ الْأَعْمَامَ و</w:t>
      </w:r>
      <w:r w:rsidR="00190ABC">
        <w:rPr>
          <w:rFonts w:hint="cs"/>
          <w:rtl/>
          <w:lang w:bidi="fa-IR"/>
        </w:rPr>
        <w:t>َ</w:t>
      </w:r>
      <w:r w:rsidRPr="00132E65">
        <w:rPr>
          <w:rtl/>
          <w:lang w:bidi="fa-IR"/>
        </w:rPr>
        <w:t>الْأَخْوَالَ</w:t>
      </w:r>
      <w:r>
        <w:rPr>
          <w:rtl/>
          <w:lang w:bidi="fa-IR"/>
        </w:rPr>
        <w:t>؟</w:t>
      </w:r>
    </w:p>
    <w:p w:rsidR="000C39D1" w:rsidRPr="00132E65" w:rsidRDefault="000C39D1" w:rsidP="000C39D1">
      <w:pPr>
        <w:pStyle w:val="libNormal"/>
        <w:rPr>
          <w:rtl/>
          <w:lang w:bidi="fa-IR"/>
        </w:rPr>
      </w:pPr>
      <w:r w:rsidRPr="00132E65">
        <w:rPr>
          <w:rtl/>
          <w:lang w:bidi="fa-IR"/>
        </w:rPr>
        <w:t xml:space="preserve">فَالْتَفَتَ أَمِيرُ الْمُؤْمِنِينَ </w:t>
      </w:r>
      <w:r w:rsidRPr="00071CF9">
        <w:rPr>
          <w:rStyle w:val="libAlaemChar"/>
          <w:rtl/>
        </w:rPr>
        <w:t>عليه‌السلام</w:t>
      </w:r>
      <w:r w:rsidRPr="00132E65">
        <w:rPr>
          <w:rtl/>
          <w:lang w:bidi="fa-IR"/>
        </w:rPr>
        <w:t xml:space="preserve"> إِلَى الْحَسَنِ ، فَقَالَ : يَا أَبَا مُحَمَّدٍ ، أَجِبْهُ »</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ورد الخبر في </w:t>
      </w:r>
      <w:r w:rsidRPr="00190ABC">
        <w:rPr>
          <w:rStyle w:val="libFootnoteBoldChar"/>
          <w:rtl/>
        </w:rPr>
        <w:t>عيون الأخبار</w:t>
      </w:r>
      <w:r w:rsidRPr="00132E65">
        <w:rPr>
          <w:rtl/>
        </w:rPr>
        <w:t xml:space="preserve"> ، ج 1 ، ص 65 ، ح 35 ، بسنده عن أبي هاشم داود بن القاسم الجعفري عن</w:t>
      </w:r>
      <w:r w:rsidR="00190ABC">
        <w:rPr>
          <w:rFonts w:hint="cs"/>
          <w:rtl/>
        </w:rPr>
        <w:t xml:space="preserve"> </w:t>
      </w:r>
      <w:r w:rsidRPr="00132E65">
        <w:rPr>
          <w:rtl/>
        </w:rPr>
        <w:t xml:space="preserve">‌أبي جعفر محمّد بن عليّ الباقر </w:t>
      </w:r>
      <w:r w:rsidRPr="00190ABC">
        <w:rPr>
          <w:rStyle w:val="libFootnoteAlaemChar"/>
          <w:rtl/>
        </w:rPr>
        <w:t>عليهما‌السلام</w:t>
      </w:r>
      <w:r w:rsidRPr="00132E65">
        <w:rPr>
          <w:rtl/>
        </w:rPr>
        <w:t xml:space="preserve">. والظاهر إمّا زيادة « الباقر » في عنوان الإمام </w:t>
      </w:r>
      <w:r w:rsidRPr="00190ABC">
        <w:rPr>
          <w:rStyle w:val="libFootnoteAlaemChar"/>
          <w:rtl/>
        </w:rPr>
        <w:t>عليه‌السلام</w:t>
      </w:r>
      <w:r w:rsidRPr="00132E65">
        <w:rPr>
          <w:rtl/>
        </w:rPr>
        <w:t xml:space="preserve"> أو كونه محرّفاً من « الثاني » ؛ فإن أبا هاشم الجعفري من أصحاب أبي جعفر محمّد بن علي الجواد </w:t>
      </w:r>
      <w:r w:rsidRPr="00190ABC">
        <w:rPr>
          <w:rStyle w:val="libFootnoteAlaemChar"/>
          <w:rtl/>
        </w:rPr>
        <w:t>عليه‌السلام</w:t>
      </w:r>
      <w:r w:rsidRPr="00132E65">
        <w:rPr>
          <w:rtl/>
        </w:rPr>
        <w:t xml:space="preserve">. راجع : </w:t>
      </w:r>
      <w:r w:rsidRPr="00190ABC">
        <w:rPr>
          <w:rStyle w:val="libFootnoteBoldChar"/>
          <w:rtl/>
        </w:rPr>
        <w:t>رجال البرقي</w:t>
      </w:r>
      <w:r w:rsidRPr="00132E65">
        <w:rPr>
          <w:rtl/>
        </w:rPr>
        <w:t xml:space="preserve"> ، ص 56 ؛ </w:t>
      </w:r>
      <w:r w:rsidRPr="00190ABC">
        <w:rPr>
          <w:rStyle w:val="libFootnoteBoldChar"/>
          <w:rtl/>
        </w:rPr>
        <w:t>رجال الطوسي</w:t>
      </w:r>
      <w:r w:rsidRPr="00132E65">
        <w:rPr>
          <w:rtl/>
        </w:rPr>
        <w:t xml:space="preserve"> ، ص 375 ، الرقم 5553 ؛ </w:t>
      </w:r>
      <w:r w:rsidRPr="00190ABC">
        <w:rPr>
          <w:rStyle w:val="libFootnoteBoldChar"/>
          <w:rtl/>
        </w:rPr>
        <w:t>الفهرست للطوسي</w:t>
      </w:r>
      <w:r w:rsidRPr="00132E65">
        <w:rPr>
          <w:rtl/>
        </w:rPr>
        <w:t xml:space="preserve"> ، ص 181 ، الرقم 277.</w:t>
      </w:r>
    </w:p>
    <w:p w:rsidR="000C39D1" w:rsidRPr="00132E65" w:rsidRDefault="000C39D1" w:rsidP="000C39D1">
      <w:pPr>
        <w:pStyle w:val="libFootnote0"/>
        <w:rPr>
          <w:rtl/>
          <w:lang w:bidi="fa-IR"/>
        </w:rPr>
      </w:pPr>
      <w:r>
        <w:rPr>
          <w:rtl/>
        </w:rPr>
        <w:t>(2).</w:t>
      </w:r>
      <w:r w:rsidRPr="00132E65">
        <w:rPr>
          <w:rtl/>
        </w:rPr>
        <w:t xml:space="preserve"> في العيون وكمال الدين :</w:t>
      </w:r>
      <w:r>
        <w:rPr>
          <w:rtl/>
        </w:rPr>
        <w:t xml:space="preserve"> + </w:t>
      </w:r>
      <w:r w:rsidRPr="00132E65">
        <w:rPr>
          <w:rtl/>
        </w:rPr>
        <w:t>« ذات يوم »</w:t>
      </w:r>
      <w:r>
        <w:rPr>
          <w:rtl/>
        </w:rPr>
        <w:t>.</w:t>
      </w:r>
    </w:p>
    <w:p w:rsidR="000C39D1" w:rsidRPr="00132E65" w:rsidRDefault="000C39D1" w:rsidP="00190ABC">
      <w:pPr>
        <w:pStyle w:val="libFootnote0"/>
        <w:rPr>
          <w:rtl/>
          <w:lang w:bidi="fa-IR"/>
        </w:rPr>
      </w:pPr>
      <w:r>
        <w:rPr>
          <w:rtl/>
        </w:rPr>
        <w:t>(3).</w:t>
      </w:r>
      <w:r w:rsidRPr="00132E65">
        <w:rPr>
          <w:rtl/>
        </w:rPr>
        <w:t xml:space="preserve"> في « ج ، ف » وحاشية « بر » و</w:t>
      </w:r>
      <w:r w:rsidRPr="009D1ACE">
        <w:rPr>
          <w:rStyle w:val="libFootnoteBoldChar"/>
          <w:rtl/>
        </w:rPr>
        <w:t>الوافي</w:t>
      </w:r>
      <w:r w:rsidRPr="00132E65">
        <w:rPr>
          <w:rtl/>
        </w:rPr>
        <w:t xml:space="preserve"> : « متّكٍ »</w:t>
      </w:r>
      <w:r>
        <w:rPr>
          <w:rtl/>
        </w:rPr>
        <w:t>.</w:t>
      </w:r>
      <w:r w:rsidRPr="00132E65">
        <w:rPr>
          <w:rtl/>
        </w:rPr>
        <w:t xml:space="preserve"> أصله متّكئ ، قلبت الهمزة ياءً فحذفت. وفي </w:t>
      </w:r>
      <w:r w:rsidRPr="00190ABC">
        <w:rPr>
          <w:rStyle w:val="libFootnoteBoldChar"/>
          <w:rtl/>
        </w:rPr>
        <w:t>كمال الدين</w:t>
      </w:r>
      <w:r w:rsidRPr="00132E65">
        <w:rPr>
          <w:rtl/>
        </w:rPr>
        <w:t>‌</w:t>
      </w:r>
      <w:r w:rsidR="00190ABC">
        <w:rPr>
          <w:rFonts w:hint="cs"/>
          <w:rtl/>
        </w:rPr>
        <w:t xml:space="preserve"> </w:t>
      </w:r>
      <w:r w:rsidRPr="00132E65">
        <w:rPr>
          <w:rtl/>
        </w:rPr>
        <w:t xml:space="preserve">والعيون : « وسلمان الفارسي </w:t>
      </w:r>
      <w:r w:rsidR="00190ABC" w:rsidRPr="00190ABC">
        <w:rPr>
          <w:rStyle w:val="libFootnoteAlaemChar"/>
          <w:rtl/>
        </w:rPr>
        <w:t>رضي‌الله‌عنه</w:t>
      </w:r>
      <w:r w:rsidRPr="00132E65">
        <w:rPr>
          <w:rtl/>
        </w:rPr>
        <w:t xml:space="preserve"> وأمير المؤمنين </w:t>
      </w:r>
      <w:r w:rsidRPr="00190ABC">
        <w:rPr>
          <w:rStyle w:val="libFootnoteAlaemChar"/>
          <w:rtl/>
        </w:rPr>
        <w:t>عليه‌السلام</w:t>
      </w:r>
      <w:r w:rsidRPr="00132E65">
        <w:rPr>
          <w:rtl/>
        </w:rPr>
        <w:t xml:space="preserve"> متّكئ » بدل « وهو متّكئ »</w:t>
      </w:r>
      <w:r>
        <w:rPr>
          <w:rtl/>
        </w:rPr>
        <w:t>.</w:t>
      </w:r>
    </w:p>
    <w:p w:rsidR="000C39D1" w:rsidRPr="00132E65" w:rsidRDefault="000C39D1" w:rsidP="000C39D1">
      <w:pPr>
        <w:pStyle w:val="libFootnote0"/>
        <w:rPr>
          <w:rtl/>
          <w:lang w:bidi="fa-IR"/>
        </w:rPr>
      </w:pPr>
      <w:r>
        <w:rPr>
          <w:rtl/>
        </w:rPr>
        <w:t>(4).</w:t>
      </w:r>
      <w:r w:rsidRPr="00132E65">
        <w:rPr>
          <w:rtl/>
        </w:rPr>
        <w:t xml:space="preserve"> في العيون والغيبة </w:t>
      </w:r>
      <w:r>
        <w:rPr>
          <w:rtl/>
        </w:rPr>
        <w:t xml:space="preserve">: - </w:t>
      </w:r>
      <w:r w:rsidRPr="00132E65">
        <w:rPr>
          <w:rtl/>
        </w:rPr>
        <w:t>« فجلس »</w:t>
      </w:r>
      <w:r>
        <w:rPr>
          <w:rtl/>
        </w:rPr>
        <w:t>.</w:t>
      </w:r>
    </w:p>
    <w:p w:rsidR="000C39D1" w:rsidRPr="00132E65" w:rsidRDefault="000C39D1" w:rsidP="000C39D1">
      <w:pPr>
        <w:pStyle w:val="libFootnote0"/>
        <w:rPr>
          <w:rtl/>
          <w:lang w:bidi="fa-IR"/>
        </w:rPr>
      </w:pPr>
      <w:r>
        <w:rPr>
          <w:rtl/>
        </w:rPr>
        <w:t>(5).</w:t>
      </w:r>
      <w:r w:rsidRPr="00132E65">
        <w:rPr>
          <w:rtl/>
        </w:rPr>
        <w:t xml:space="preserve"> في العيون والغيبة : « قد ركبوا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ما قضي عليهم ، على بناء المجهول ، أي حكم عليهم بالبطلان ، أو بأنّهم أصحاب النار بسببهم. أو على بناء المعلوم ، والضمير للموصول توسّعاً »</w:t>
      </w:r>
      <w:r>
        <w:rPr>
          <w:rtl/>
        </w:rPr>
        <w:t>.</w:t>
      </w:r>
    </w:p>
    <w:p w:rsidR="000C39D1" w:rsidRPr="00132E65" w:rsidRDefault="000C39D1" w:rsidP="000C39D1">
      <w:pPr>
        <w:pStyle w:val="libFootnote0"/>
        <w:rPr>
          <w:rtl/>
          <w:lang w:bidi="fa-IR"/>
        </w:rPr>
      </w:pPr>
      <w:r>
        <w:rPr>
          <w:rtl/>
        </w:rPr>
        <w:t>(7).</w:t>
      </w:r>
      <w:r w:rsidRPr="00132E65">
        <w:rPr>
          <w:rtl/>
        </w:rPr>
        <w:t xml:space="preserve"> في العيون وكمال الدين والعلل : « ما أقضي عليهم أنّهم »</w:t>
      </w:r>
      <w:r>
        <w:rPr>
          <w:rtl/>
        </w:rPr>
        <w:t>.</w:t>
      </w:r>
    </w:p>
    <w:p w:rsidR="000C39D1" w:rsidRPr="00132E65" w:rsidRDefault="000C39D1" w:rsidP="000C39D1">
      <w:pPr>
        <w:pStyle w:val="libFootnote0"/>
        <w:rPr>
          <w:rtl/>
          <w:lang w:bidi="fa-IR"/>
        </w:rPr>
      </w:pPr>
      <w:r>
        <w:rPr>
          <w:rtl/>
        </w:rPr>
        <w:t>(8).</w:t>
      </w:r>
      <w:r w:rsidRPr="00132E65">
        <w:rPr>
          <w:rtl/>
        </w:rPr>
        <w:t xml:space="preserve"> « شرع » : أي متساوون لا فضلَ لأحد فيه على الآخر. وهو مصدر بفتح الراء وسكونها يستوي فيه الواحد</w:t>
      </w:r>
      <w:r w:rsidR="00190ABC">
        <w:rPr>
          <w:rFonts w:hint="cs"/>
          <w:rtl/>
        </w:rPr>
        <w:t xml:space="preserve"> </w:t>
      </w:r>
      <w:r w:rsidRPr="00132E65">
        <w:rPr>
          <w:rtl/>
        </w:rPr>
        <w:t xml:space="preserve">والاثنان والجمع والمذكّر والمؤنّث. </w:t>
      </w:r>
      <w:r w:rsidRPr="00190ABC">
        <w:rPr>
          <w:rStyle w:val="libFootnoteBoldChar"/>
          <w:rtl/>
        </w:rPr>
        <w:t>النهاية</w:t>
      </w:r>
      <w:r w:rsidRPr="00132E65">
        <w:rPr>
          <w:rtl/>
        </w:rPr>
        <w:t xml:space="preserve"> ، ج 2 ، ص 461 ( شرع )</w:t>
      </w:r>
      <w:r>
        <w:rPr>
          <w:rtl/>
        </w:rPr>
        <w:t>.</w:t>
      </w:r>
    </w:p>
    <w:tbl>
      <w:tblPr>
        <w:tblStyle w:val="TableGrid"/>
        <w:bidiVisual/>
        <w:tblW w:w="0" w:type="auto"/>
        <w:tblLook w:val="04A0" w:firstRow="1" w:lastRow="0" w:firstColumn="1" w:lastColumn="0" w:noHBand="0" w:noVBand="1"/>
      </w:tblPr>
      <w:tblGrid>
        <w:gridCol w:w="4261"/>
        <w:gridCol w:w="4262"/>
      </w:tblGrid>
      <w:tr w:rsidR="00190ABC" w:rsidTr="00190ABC">
        <w:tc>
          <w:tcPr>
            <w:tcW w:w="4261" w:type="dxa"/>
          </w:tcPr>
          <w:p w:rsidR="00190ABC" w:rsidRDefault="00190ABC" w:rsidP="000C39D1">
            <w:pPr>
              <w:pStyle w:val="libFootnote0"/>
              <w:rPr>
                <w:rtl/>
              </w:rPr>
            </w:pPr>
            <w:r>
              <w:rPr>
                <w:rtl/>
              </w:rPr>
              <w:t>(9).</w:t>
            </w:r>
            <w:r w:rsidRPr="00132E65">
              <w:rPr>
                <w:rtl/>
              </w:rPr>
              <w:t xml:space="preserve"> في « بر » : « ما »</w:t>
            </w:r>
            <w:r>
              <w:rPr>
                <w:rtl/>
              </w:rPr>
              <w:t>.</w:t>
            </w:r>
          </w:p>
        </w:tc>
        <w:tc>
          <w:tcPr>
            <w:tcW w:w="4262" w:type="dxa"/>
          </w:tcPr>
          <w:p w:rsidR="00190ABC" w:rsidRDefault="00190ABC" w:rsidP="000C39D1">
            <w:pPr>
              <w:pStyle w:val="libFootnote0"/>
              <w:rPr>
                <w:rtl/>
              </w:rPr>
            </w:pPr>
            <w:r>
              <w:rPr>
                <w:rtl/>
              </w:rPr>
              <w:t>(10).</w:t>
            </w:r>
            <w:r w:rsidRPr="00132E65">
              <w:rPr>
                <w:rtl/>
              </w:rPr>
              <w:t xml:space="preserve"> في « ف ، بف » و</w:t>
            </w:r>
            <w:r w:rsidRPr="009D1ACE">
              <w:rPr>
                <w:rStyle w:val="libFootnoteBoldChar"/>
                <w:rtl/>
              </w:rPr>
              <w:t>الوافي</w:t>
            </w:r>
            <w:r w:rsidRPr="00132E65">
              <w:rPr>
                <w:rtl/>
              </w:rPr>
              <w:t xml:space="preserve"> : « يذهب »</w:t>
            </w:r>
            <w:r>
              <w:rPr>
                <w:rtl/>
              </w:rPr>
              <w:t>.</w:t>
            </w:r>
          </w:p>
        </w:tc>
      </w:tr>
    </w:tbl>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قَالَ </w:t>
      </w:r>
      <w:r>
        <w:rPr>
          <w:rStyle w:val="libFootnotenumChar"/>
          <w:rtl/>
        </w:rPr>
        <w:t>(1)</w:t>
      </w:r>
      <w:r w:rsidRPr="00132E65">
        <w:rPr>
          <w:rtl/>
          <w:lang w:bidi="fa-IR"/>
        </w:rPr>
        <w:t xml:space="preserve"> : « فَأَجَابَهُ الْحَسَنُ </w:t>
      </w:r>
      <w:r w:rsidRPr="00071CF9">
        <w:rPr>
          <w:rStyle w:val="libAlaemChar"/>
          <w:rtl/>
        </w:rPr>
        <w:t>عليه‌السلام</w:t>
      </w:r>
      <w:r w:rsidRPr="00132E65">
        <w:rPr>
          <w:rtl/>
          <w:lang w:bidi="fa-IR"/>
        </w:rPr>
        <w:t xml:space="preserve"> ، فَقَالَ الرَّجُلُ : أَشْهَدُ أَنْ لَا</w:t>
      </w:r>
      <w:r>
        <w:rPr>
          <w:rFonts w:hint="cs"/>
          <w:rtl/>
          <w:lang w:bidi="fa-IR"/>
        </w:rPr>
        <w:t xml:space="preserve"> </w:t>
      </w:r>
      <w:r w:rsidR="00A90BF8">
        <w:rPr>
          <w:rtl/>
          <w:lang w:bidi="fa-IR"/>
        </w:rPr>
        <w:t>إِلهَ إِل</w:t>
      </w:r>
      <w:r w:rsidR="00A90BF8">
        <w:rPr>
          <w:rFonts w:hint="cs"/>
          <w:rtl/>
          <w:lang w:bidi="fa-IR"/>
        </w:rPr>
        <w:t>َّ</w:t>
      </w:r>
      <w:r w:rsidR="00A90BF8">
        <w:rPr>
          <w:rtl/>
          <w:lang w:bidi="fa-IR"/>
        </w:rPr>
        <w:t>ا</w:t>
      </w:r>
      <w:r w:rsidRPr="00132E65">
        <w:rPr>
          <w:rtl/>
          <w:lang w:bidi="fa-IR"/>
        </w:rPr>
        <w:t xml:space="preserve"> اللهُ ، و</w:t>
      </w:r>
      <w:r w:rsidR="00A90BF8">
        <w:rPr>
          <w:rFonts w:hint="cs"/>
          <w:rtl/>
          <w:lang w:bidi="fa-IR"/>
        </w:rPr>
        <w:t>َ</w:t>
      </w:r>
      <w:r w:rsidRPr="00132E65">
        <w:rPr>
          <w:rtl/>
          <w:lang w:bidi="fa-IR"/>
        </w:rPr>
        <w:t>لَمْ أَزَلْ أَشْهَدُ بِهَا ، و</w:t>
      </w:r>
      <w:r w:rsidR="00A90BF8">
        <w:rPr>
          <w:rFonts w:hint="cs"/>
          <w:rtl/>
          <w:lang w:bidi="fa-IR"/>
        </w:rPr>
        <w:t>َ</w:t>
      </w:r>
      <w:r w:rsidRPr="00132E65">
        <w:rPr>
          <w:rtl/>
          <w:lang w:bidi="fa-IR"/>
        </w:rPr>
        <w:t>أَشْهَدُ أَنَّ مُحَمَّداً رَسُولُ اللهِ ، و</w:t>
      </w:r>
      <w:r w:rsidR="00A90BF8">
        <w:rPr>
          <w:rFonts w:hint="cs"/>
          <w:rtl/>
          <w:lang w:bidi="fa-IR"/>
        </w:rPr>
        <w:t>َ</w:t>
      </w:r>
      <w:r w:rsidRPr="00132E65">
        <w:rPr>
          <w:rtl/>
          <w:lang w:bidi="fa-IR"/>
        </w:rPr>
        <w:t>لَمْ أَزَلْ أَشْهَدُ بِذلِكَ ، و</w:t>
      </w:r>
      <w:r w:rsidR="00A90BF8">
        <w:rPr>
          <w:rFonts w:hint="cs"/>
          <w:rtl/>
          <w:lang w:bidi="fa-IR"/>
        </w:rPr>
        <w:t>َ</w:t>
      </w:r>
      <w:r w:rsidRPr="00132E65">
        <w:rPr>
          <w:rtl/>
          <w:lang w:bidi="fa-IR"/>
        </w:rPr>
        <w:t>أَشْهَدُ أَنَّكَ و</w:t>
      </w:r>
      <w:r w:rsidR="00A90BF8">
        <w:rPr>
          <w:rFonts w:hint="cs"/>
          <w:rtl/>
          <w:lang w:bidi="fa-IR"/>
        </w:rPr>
        <w:t>َ</w:t>
      </w:r>
      <w:r w:rsidRPr="00132E65">
        <w:rPr>
          <w:rtl/>
          <w:lang w:bidi="fa-IR"/>
        </w:rPr>
        <w:t xml:space="preserve">صِيُّ رَسُولِ اللهِ </w:t>
      </w:r>
      <w:r w:rsidRPr="0093484F">
        <w:rPr>
          <w:rStyle w:val="libAlaemChar"/>
          <w:rFonts w:eastAsiaTheme="minorHAnsi"/>
          <w:rtl/>
        </w:rPr>
        <w:t>صلى‌الله‌عليه‌وآله</w:t>
      </w:r>
      <w:r w:rsidRPr="00132E65">
        <w:rPr>
          <w:rtl/>
          <w:lang w:bidi="fa-IR"/>
        </w:rPr>
        <w:t xml:space="preserve"> و</w:t>
      </w:r>
      <w:r w:rsidR="00A90BF8">
        <w:rPr>
          <w:rFonts w:hint="cs"/>
          <w:rtl/>
          <w:lang w:bidi="fa-IR"/>
        </w:rPr>
        <w:t>َ</w:t>
      </w:r>
      <w:r w:rsidRPr="00132E65">
        <w:rPr>
          <w:rtl/>
          <w:lang w:bidi="fa-IR"/>
        </w:rPr>
        <w:t>الْقَائِمُ بِحُجَّتِهِ</w:t>
      </w:r>
      <w:r>
        <w:rPr>
          <w:rtl/>
          <w:lang w:bidi="fa-IR"/>
        </w:rPr>
        <w:t xml:space="preserve"> - </w:t>
      </w:r>
      <w:r w:rsidRPr="00132E65">
        <w:rPr>
          <w:rtl/>
          <w:lang w:bidi="fa-IR"/>
        </w:rPr>
        <w:t>و</w:t>
      </w:r>
      <w:r w:rsidR="00A90BF8">
        <w:rPr>
          <w:rFonts w:hint="cs"/>
          <w:rtl/>
          <w:lang w:bidi="fa-IR"/>
        </w:rPr>
        <w:t>َ</w:t>
      </w:r>
      <w:r w:rsidRPr="00132E65">
        <w:rPr>
          <w:rtl/>
          <w:lang w:bidi="fa-IR"/>
        </w:rPr>
        <w:t xml:space="preserve">أَشَارَ إِلى أَمِيرِ الْمُؤْمِنِينَ </w:t>
      </w:r>
      <w:r w:rsidRPr="00071CF9">
        <w:rPr>
          <w:rStyle w:val="libAlaemChar"/>
          <w:rtl/>
        </w:rPr>
        <w:t>عليه‌السلام</w:t>
      </w:r>
      <w:r>
        <w:rPr>
          <w:rtl/>
          <w:lang w:bidi="fa-IR"/>
        </w:rPr>
        <w:t xml:space="preserve"> - </w:t>
      </w:r>
      <w:r w:rsidRPr="00132E65">
        <w:rPr>
          <w:rtl/>
          <w:lang w:bidi="fa-IR"/>
        </w:rPr>
        <w:t>و</w:t>
      </w:r>
      <w:r w:rsidR="00A90BF8">
        <w:rPr>
          <w:rFonts w:hint="cs"/>
          <w:rtl/>
          <w:lang w:bidi="fa-IR"/>
        </w:rPr>
        <w:t>َ</w:t>
      </w:r>
      <w:r w:rsidRPr="00132E65">
        <w:rPr>
          <w:rtl/>
          <w:lang w:bidi="fa-IR"/>
        </w:rPr>
        <w:t>لَمْ أَزَلْ أَشْهَدُ بِهَا ، و</w:t>
      </w:r>
      <w:r w:rsidR="00A90BF8">
        <w:rPr>
          <w:rFonts w:hint="cs"/>
          <w:rtl/>
          <w:lang w:bidi="fa-IR"/>
        </w:rPr>
        <w:t>َ</w:t>
      </w:r>
      <w:r w:rsidRPr="00132E65">
        <w:rPr>
          <w:rtl/>
          <w:lang w:bidi="fa-IR"/>
        </w:rPr>
        <w:t>أَشْهَدُ أَنَّكَ وَصِيُّهُ و</w:t>
      </w:r>
      <w:r w:rsidR="00A90BF8">
        <w:rPr>
          <w:rFonts w:hint="cs"/>
          <w:rtl/>
          <w:lang w:bidi="fa-IR"/>
        </w:rPr>
        <w:t>َ</w:t>
      </w:r>
      <w:r w:rsidRPr="00132E65">
        <w:rPr>
          <w:rtl/>
          <w:lang w:bidi="fa-IR"/>
        </w:rPr>
        <w:t xml:space="preserve">الْقَائِمُ بِحُجَّتِهِ </w:t>
      </w:r>
      <w:r>
        <w:rPr>
          <w:rStyle w:val="libFootnotenumChar"/>
          <w:rtl/>
        </w:rPr>
        <w:t>(2)</w:t>
      </w:r>
      <w:r>
        <w:rPr>
          <w:rtl/>
          <w:lang w:bidi="fa-IR"/>
        </w:rPr>
        <w:t xml:space="preserve"> - </w:t>
      </w:r>
      <w:r w:rsidRPr="00132E65">
        <w:rPr>
          <w:rtl/>
          <w:lang w:bidi="fa-IR"/>
        </w:rPr>
        <w:t>و</w:t>
      </w:r>
      <w:r w:rsidR="00A90BF8">
        <w:rPr>
          <w:rFonts w:hint="cs"/>
          <w:rtl/>
          <w:lang w:bidi="fa-IR"/>
        </w:rPr>
        <w:t>َ</w:t>
      </w:r>
      <w:r w:rsidRPr="00132E65">
        <w:rPr>
          <w:rtl/>
          <w:lang w:bidi="fa-IR"/>
        </w:rPr>
        <w:t xml:space="preserve">أَشَارَ إِلَى الْحَسَنِ </w:t>
      </w:r>
      <w:r w:rsidRPr="00071CF9">
        <w:rPr>
          <w:rStyle w:val="libAlaemChar"/>
          <w:rtl/>
        </w:rPr>
        <w:t>عليه‌السلام</w:t>
      </w:r>
      <w:r>
        <w:rPr>
          <w:rtl/>
          <w:lang w:bidi="fa-IR"/>
        </w:rPr>
        <w:t xml:space="preserve"> - </w:t>
      </w:r>
      <w:r w:rsidRPr="00132E65">
        <w:rPr>
          <w:rtl/>
          <w:lang w:bidi="fa-IR"/>
        </w:rPr>
        <w:t>و</w:t>
      </w:r>
      <w:r w:rsidR="00A90BF8">
        <w:rPr>
          <w:rFonts w:hint="cs"/>
          <w:rtl/>
          <w:lang w:bidi="fa-IR"/>
        </w:rPr>
        <w:t>َ</w:t>
      </w:r>
      <w:r w:rsidRPr="00132E65">
        <w:rPr>
          <w:rtl/>
          <w:lang w:bidi="fa-IR"/>
        </w:rPr>
        <w:t>أَشْهَدُ أَنَّ الْحُسَيْنَ بْنَ عَلِيٍّ و</w:t>
      </w:r>
      <w:r w:rsidR="00A90BF8">
        <w:rPr>
          <w:rFonts w:hint="cs"/>
          <w:rtl/>
          <w:lang w:bidi="fa-IR"/>
        </w:rPr>
        <w:t>َ</w:t>
      </w:r>
      <w:r w:rsidRPr="00132E65">
        <w:rPr>
          <w:rtl/>
          <w:lang w:bidi="fa-IR"/>
        </w:rPr>
        <w:t xml:space="preserve">صِيُّ </w:t>
      </w:r>
      <w:r>
        <w:rPr>
          <w:rStyle w:val="libFootnotenumChar"/>
          <w:rtl/>
        </w:rPr>
        <w:t>(3)</w:t>
      </w:r>
      <w:r w:rsidRPr="00132E65">
        <w:rPr>
          <w:rtl/>
          <w:lang w:bidi="fa-IR"/>
        </w:rPr>
        <w:t xml:space="preserve"> أَخِيهِ </w:t>
      </w:r>
      <w:r>
        <w:rPr>
          <w:rStyle w:val="libFootnotenumChar"/>
          <w:rtl/>
        </w:rPr>
        <w:t>(4)</w:t>
      </w:r>
      <w:r w:rsidRPr="00132E65">
        <w:rPr>
          <w:rtl/>
          <w:lang w:bidi="fa-IR"/>
        </w:rPr>
        <w:t xml:space="preserve"> والْقَائِمُ بِحُجَّتِهِ بَعْدَهُ </w:t>
      </w:r>
      <w:r>
        <w:rPr>
          <w:rStyle w:val="libFootnotenumChar"/>
          <w:rtl/>
        </w:rPr>
        <w:t>(5)</w:t>
      </w:r>
      <w:r w:rsidRPr="00132E65">
        <w:rPr>
          <w:rtl/>
          <w:lang w:bidi="fa-IR"/>
        </w:rPr>
        <w:t xml:space="preserve"> ، و</w:t>
      </w:r>
      <w:r w:rsidR="00A90BF8">
        <w:rPr>
          <w:rFonts w:hint="cs"/>
          <w:rtl/>
          <w:lang w:bidi="fa-IR"/>
        </w:rPr>
        <w:t>َ</w:t>
      </w:r>
      <w:r w:rsidRPr="00132E65">
        <w:rPr>
          <w:rtl/>
          <w:lang w:bidi="fa-IR"/>
        </w:rPr>
        <w:t>أَشْهَدُ عَلى عَلِيِّ بْنِ الْحُسَيْنِ أَنَّهُ الْقَائِمُ بِأَمْرِ الْحُسَيْنِ بَعْدَهُ ، و</w:t>
      </w:r>
      <w:r w:rsidR="00A90BF8">
        <w:rPr>
          <w:rFonts w:hint="cs"/>
          <w:rtl/>
          <w:lang w:bidi="fa-IR"/>
        </w:rPr>
        <w:t>َ</w:t>
      </w:r>
      <w:r w:rsidRPr="00132E65">
        <w:rPr>
          <w:rtl/>
          <w:lang w:bidi="fa-IR"/>
        </w:rPr>
        <w:t>أَشْهَدُ عَلى مُحَمَّدِ بْنِ عَلِيٍّ أَنَّهُ الْقَائِمُ بِأَمْرِ عَلِيِّ بْنِ الْحُسَيْنِ ، و</w:t>
      </w:r>
      <w:r w:rsidR="00A90BF8">
        <w:rPr>
          <w:rFonts w:hint="cs"/>
          <w:rtl/>
          <w:lang w:bidi="fa-IR"/>
        </w:rPr>
        <w:t>َ</w:t>
      </w:r>
      <w:r w:rsidRPr="00132E65">
        <w:rPr>
          <w:rtl/>
          <w:lang w:bidi="fa-IR"/>
        </w:rPr>
        <w:t xml:space="preserve">أَشْهَدُ عَلى جَعْفَرِ بْنِ مُحَمَّدٍ بِأَنَّهُ </w:t>
      </w:r>
      <w:r>
        <w:rPr>
          <w:rStyle w:val="libFootnotenumChar"/>
          <w:rtl/>
        </w:rPr>
        <w:t>(6)</w:t>
      </w:r>
      <w:r w:rsidRPr="00132E65">
        <w:rPr>
          <w:rtl/>
          <w:lang w:bidi="fa-IR"/>
        </w:rPr>
        <w:t xml:space="preserve"> الْقَائِمُ بِأَمْرِ مُحَمَّدٍ </w:t>
      </w:r>
      <w:r>
        <w:rPr>
          <w:rStyle w:val="libFootnotenumChar"/>
          <w:rtl/>
        </w:rPr>
        <w:t>(7)</w:t>
      </w:r>
      <w:r w:rsidRPr="00132E65">
        <w:rPr>
          <w:rtl/>
          <w:lang w:bidi="fa-IR"/>
        </w:rPr>
        <w:t xml:space="preserve"> ، و</w:t>
      </w:r>
      <w:r w:rsidR="00A90BF8">
        <w:rPr>
          <w:rFonts w:hint="cs"/>
          <w:rtl/>
          <w:lang w:bidi="fa-IR"/>
        </w:rPr>
        <w:t>َ</w:t>
      </w:r>
      <w:r w:rsidRPr="00132E65">
        <w:rPr>
          <w:rtl/>
          <w:lang w:bidi="fa-IR"/>
        </w:rPr>
        <w:t>أَشْهَدُ عَلى مُوسى أَنَّهُ الْقَائِمُ بِأَمْرِ جَعْفَرِ بْنِ مُحَمَّدٍ ، و</w:t>
      </w:r>
      <w:r w:rsidR="00A90BF8">
        <w:rPr>
          <w:rFonts w:hint="cs"/>
          <w:rtl/>
          <w:lang w:bidi="fa-IR"/>
        </w:rPr>
        <w:t>َ</w:t>
      </w:r>
      <w:r w:rsidRPr="00132E65">
        <w:rPr>
          <w:rtl/>
          <w:lang w:bidi="fa-IR"/>
        </w:rPr>
        <w:t>أَشْهَدُ عَلى عَلِيِّ بْنِ مُوسى أَنَّهُ الْقَائِمُ بِأَمْرِ مُوسَى بْنِ جَعْفَرٍ ، و</w:t>
      </w:r>
      <w:r w:rsidR="00A90BF8">
        <w:rPr>
          <w:rFonts w:hint="cs"/>
          <w:rtl/>
          <w:lang w:bidi="fa-IR"/>
        </w:rPr>
        <w:t>َ</w:t>
      </w:r>
      <w:r w:rsidRPr="00132E65">
        <w:rPr>
          <w:rtl/>
          <w:lang w:bidi="fa-IR"/>
        </w:rPr>
        <w:t>أَشْهَدُ عَلى مُحَمَّدِ بْنِ عَلِيٍّ أَنَّهُ الْقَائِمُ بِأَمْرِ عَلِيِّ بْنِ مُوسى ، و</w:t>
      </w:r>
      <w:r w:rsidR="00A90BF8">
        <w:rPr>
          <w:rFonts w:hint="cs"/>
          <w:rtl/>
          <w:lang w:bidi="fa-IR"/>
        </w:rPr>
        <w:t>َ</w:t>
      </w:r>
      <w:r w:rsidRPr="00132E65">
        <w:rPr>
          <w:rtl/>
          <w:lang w:bidi="fa-IR"/>
        </w:rPr>
        <w:t xml:space="preserve">أَشْهَدُ عَلى عَلِيِّ بْنِ مُحَمَّدٍ بِأَنَّهُ </w:t>
      </w:r>
      <w:r>
        <w:rPr>
          <w:rStyle w:val="libFootnotenumChar"/>
          <w:rtl/>
        </w:rPr>
        <w:t>(8)</w:t>
      </w:r>
      <w:r w:rsidRPr="00132E65">
        <w:rPr>
          <w:rtl/>
          <w:lang w:bidi="fa-IR"/>
        </w:rPr>
        <w:t xml:space="preserve"> الْقَائِمُ بِأَمْرِ مُحَمَّدِ بْنِ عَلِيٍّ ، و</w:t>
      </w:r>
      <w:r w:rsidR="00A90BF8">
        <w:rPr>
          <w:rFonts w:hint="cs"/>
          <w:rtl/>
          <w:lang w:bidi="fa-IR"/>
        </w:rPr>
        <w:t>َ</w:t>
      </w:r>
      <w:r w:rsidRPr="00132E65">
        <w:rPr>
          <w:rtl/>
          <w:lang w:bidi="fa-IR"/>
        </w:rPr>
        <w:t xml:space="preserve">أَشْهَدُ عَلَى الْحَسَنِ بْنِ عَلِيٍّ بِأَنَّهُ </w:t>
      </w:r>
      <w:r>
        <w:rPr>
          <w:rStyle w:val="libFootnotenumChar"/>
          <w:rtl/>
        </w:rPr>
        <w:t>(9)</w:t>
      </w:r>
      <w:r w:rsidRPr="00132E65">
        <w:rPr>
          <w:rtl/>
          <w:lang w:bidi="fa-IR"/>
        </w:rPr>
        <w:t xml:space="preserve"> الْقَائِمُ بِأَمْرِ عَلِيِّ بْنِ مُحَمَّدٍ ، وَأَشْهَدُ عَلى رَجُلٍ مِنْ و</w:t>
      </w:r>
      <w:r w:rsidR="00A90BF8">
        <w:rPr>
          <w:rFonts w:hint="cs"/>
          <w:rtl/>
          <w:lang w:bidi="fa-IR"/>
        </w:rPr>
        <w:t>ُ</w:t>
      </w:r>
      <w:r w:rsidRPr="00132E65">
        <w:rPr>
          <w:rtl/>
          <w:lang w:bidi="fa-IR"/>
        </w:rPr>
        <w:t xml:space="preserve">لْدِ الْحَسَنِ </w:t>
      </w:r>
      <w:r>
        <w:rPr>
          <w:rStyle w:val="libFootnotenumChar"/>
          <w:rtl/>
        </w:rPr>
        <w:t>(10)</w:t>
      </w:r>
      <w:r w:rsidRPr="00132E65">
        <w:rPr>
          <w:rtl/>
          <w:lang w:bidi="fa-IR"/>
        </w:rPr>
        <w:t xml:space="preserve"> لَايُكَنّى و</w:t>
      </w:r>
      <w:r w:rsidR="00A90BF8">
        <w:rPr>
          <w:rFonts w:hint="cs"/>
          <w:rtl/>
          <w:lang w:bidi="fa-IR"/>
        </w:rPr>
        <w:t>َ</w:t>
      </w:r>
      <w:r w:rsidRPr="00132E65">
        <w:rPr>
          <w:rtl/>
          <w:lang w:bidi="fa-IR"/>
        </w:rPr>
        <w:t xml:space="preserve">لَايُسَمّى حَتّى يَظْهَرَ أَمْرُهُ ، فَيَمْلَأَهَا </w:t>
      </w:r>
      <w:r>
        <w:rPr>
          <w:rStyle w:val="libFootnotenumChar"/>
          <w:rtl/>
        </w:rPr>
        <w:t>(11)</w:t>
      </w:r>
      <w:r w:rsidRPr="00132E65">
        <w:rPr>
          <w:rtl/>
          <w:lang w:bidi="fa-IR"/>
        </w:rPr>
        <w:t xml:space="preserve"> عَدْلاً ، كَمَا مُلِئَتْ </w:t>
      </w:r>
      <w:r>
        <w:rPr>
          <w:rStyle w:val="libFootnotenumChar"/>
          <w:rtl/>
        </w:rPr>
        <w:t>(12)</w:t>
      </w:r>
      <w:r w:rsidRPr="00132E65">
        <w:rPr>
          <w:rtl/>
          <w:lang w:bidi="fa-IR"/>
        </w:rPr>
        <w:t xml:space="preserve"> جَوْراً ، و</w:t>
      </w:r>
      <w:r w:rsidR="00A90BF8">
        <w:rPr>
          <w:rFonts w:hint="cs"/>
          <w:rtl/>
          <w:lang w:bidi="fa-IR"/>
        </w:rPr>
        <w:t>َ</w:t>
      </w:r>
      <w:r w:rsidRPr="00132E65">
        <w:rPr>
          <w:rtl/>
          <w:lang w:bidi="fa-IR"/>
        </w:rPr>
        <w:t>السَّلَامُ عَلَيْكَ يَا أَمِيرَ الْمُؤْمِنِينَ و</w:t>
      </w:r>
      <w:r w:rsidR="00A90BF8">
        <w:rPr>
          <w:rFonts w:hint="cs"/>
          <w:rtl/>
          <w:lang w:bidi="fa-IR"/>
        </w:rPr>
        <w:t>َ</w:t>
      </w:r>
      <w:r w:rsidRPr="00132E65">
        <w:rPr>
          <w:rtl/>
          <w:lang w:bidi="fa-IR"/>
        </w:rPr>
        <w:t>رَحْمَةُ اللهِ وبَرَكَاتُهُ.</w:t>
      </w:r>
    </w:p>
    <w:p w:rsidR="000C39D1" w:rsidRPr="00132E65" w:rsidRDefault="000C39D1" w:rsidP="000C39D1">
      <w:pPr>
        <w:pStyle w:val="libNormal"/>
        <w:rPr>
          <w:rtl/>
          <w:lang w:bidi="fa-IR"/>
        </w:rPr>
      </w:pPr>
      <w:r w:rsidRPr="00132E65">
        <w:rPr>
          <w:rtl/>
          <w:lang w:bidi="fa-IR"/>
        </w:rPr>
        <w:t xml:space="preserve">ثُمَّ قَامَ فَمَضى </w:t>
      </w:r>
      <w:r w:rsidRPr="00F543F1">
        <w:rPr>
          <w:rStyle w:val="libFootnotenumChar"/>
          <w:rtl/>
        </w:rPr>
        <w:t>(13)</w:t>
      </w:r>
      <w:r w:rsidRPr="00132E65">
        <w:rPr>
          <w:rtl/>
          <w:lang w:bidi="fa-IR"/>
        </w:rPr>
        <w:t xml:space="preserve"> ، فَقَالَ أَمِيرُ الْمُؤْمِنِينَ </w:t>
      </w:r>
      <w:r w:rsidRPr="00F543F1">
        <w:rPr>
          <w:rStyle w:val="libFootnotenumChar"/>
          <w:rtl/>
        </w:rPr>
        <w:t>(14)</w:t>
      </w:r>
      <w:r w:rsidRPr="00132E65">
        <w:rPr>
          <w:rtl/>
          <w:lang w:bidi="fa-IR"/>
        </w:rPr>
        <w:t xml:space="preserve"> : يَا أَبَا مُحَمَّدٍ ، اتْبَعْهُ ، فَانْظُرْ أَيْنَ يَقْصِدُ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A90BF8" w:rsidTr="00A90BF8">
        <w:tc>
          <w:tcPr>
            <w:tcW w:w="4261" w:type="dxa"/>
          </w:tcPr>
          <w:p w:rsidR="00A90BF8" w:rsidRDefault="00A90BF8" w:rsidP="000C39D1">
            <w:pPr>
              <w:pStyle w:val="libFootnote0"/>
              <w:rPr>
                <w:rtl/>
              </w:rPr>
            </w:pPr>
            <w:r>
              <w:rPr>
                <w:rtl/>
              </w:rPr>
              <w:t>(1).</w:t>
            </w:r>
            <w:r w:rsidRPr="00132E65">
              <w:rPr>
                <w:rtl/>
              </w:rPr>
              <w:t xml:space="preserve"> في الغيبة </w:t>
            </w:r>
            <w:r>
              <w:rPr>
                <w:rtl/>
              </w:rPr>
              <w:t xml:space="preserve">: - </w:t>
            </w:r>
            <w:r w:rsidRPr="00132E65">
              <w:rPr>
                <w:rtl/>
              </w:rPr>
              <w:t>« قال »</w:t>
            </w:r>
            <w:r>
              <w:rPr>
                <w:rtl/>
              </w:rPr>
              <w:t>.</w:t>
            </w:r>
          </w:p>
        </w:tc>
        <w:tc>
          <w:tcPr>
            <w:tcW w:w="4262" w:type="dxa"/>
          </w:tcPr>
          <w:p w:rsidR="00A90BF8" w:rsidRDefault="00A90BF8" w:rsidP="000C39D1">
            <w:pPr>
              <w:pStyle w:val="libFootnote0"/>
              <w:rPr>
                <w:rtl/>
              </w:rPr>
            </w:pPr>
            <w:r>
              <w:rPr>
                <w:rtl/>
              </w:rPr>
              <w:t>(2).</w:t>
            </w:r>
            <w:r w:rsidRPr="00132E65">
              <w:rPr>
                <w:rtl/>
              </w:rPr>
              <w:t xml:space="preserve"> في العيون :</w:t>
            </w:r>
            <w:r>
              <w:rPr>
                <w:rtl/>
              </w:rPr>
              <w:t xml:space="preserve"> + </w:t>
            </w:r>
            <w:r w:rsidRPr="00132E65">
              <w:rPr>
                <w:rtl/>
              </w:rPr>
              <w:t>« بعدك »</w:t>
            </w:r>
            <w:r>
              <w:rPr>
                <w:rtl/>
              </w:rPr>
              <w:t>.</w:t>
            </w:r>
          </w:p>
        </w:tc>
      </w:tr>
    </w:tbl>
    <w:p w:rsidR="000C39D1" w:rsidRPr="00132E65" w:rsidRDefault="000C39D1" w:rsidP="000C39D1">
      <w:pPr>
        <w:pStyle w:val="libFootnote0"/>
        <w:rPr>
          <w:rtl/>
          <w:lang w:bidi="fa-IR"/>
        </w:rPr>
      </w:pPr>
      <w:r>
        <w:rPr>
          <w:rtl/>
        </w:rPr>
        <w:t>(3).</w:t>
      </w:r>
      <w:r w:rsidRPr="00132E65">
        <w:rPr>
          <w:rtl/>
        </w:rPr>
        <w:t xml:space="preserve"> في « بح ، بس » :</w:t>
      </w:r>
      <w:r>
        <w:rPr>
          <w:rtl/>
        </w:rPr>
        <w:t xml:space="preserve"> + </w:t>
      </w:r>
      <w:r w:rsidRPr="00132E65">
        <w:rPr>
          <w:rtl/>
        </w:rPr>
        <w:t>« أبيه</w:t>
      </w:r>
      <w:r>
        <w:rPr>
          <w:rtl/>
        </w:rPr>
        <w:t xml:space="preserve"> و ».</w:t>
      </w:r>
    </w:p>
    <w:p w:rsidR="000C39D1" w:rsidRPr="00132E65" w:rsidRDefault="000C39D1" w:rsidP="000C39D1">
      <w:pPr>
        <w:pStyle w:val="libFootnote0"/>
        <w:rPr>
          <w:rtl/>
          <w:lang w:bidi="fa-IR"/>
        </w:rPr>
      </w:pPr>
      <w:r>
        <w:rPr>
          <w:rtl/>
        </w:rPr>
        <w:t>(4).</w:t>
      </w:r>
      <w:r w:rsidRPr="00132E65">
        <w:rPr>
          <w:rtl/>
        </w:rPr>
        <w:t xml:space="preserve"> في « ف ، بف » وحاشية « ج » والعلل والغيبة : « أبيه »</w:t>
      </w:r>
      <w:r>
        <w:rPr>
          <w:rtl/>
        </w:rPr>
        <w:t>.</w:t>
      </w:r>
      <w:r w:rsidRPr="00132E65">
        <w:rPr>
          <w:rtl/>
        </w:rPr>
        <w:t xml:space="preserve"> وفي العيون وكمال الدين : « أبيك »</w:t>
      </w:r>
      <w:r>
        <w:rPr>
          <w:rtl/>
        </w:rPr>
        <w:t>.</w:t>
      </w:r>
    </w:p>
    <w:p w:rsidR="000C39D1" w:rsidRPr="00132E65" w:rsidRDefault="000C39D1" w:rsidP="000C39D1">
      <w:pPr>
        <w:pStyle w:val="libFootnote0"/>
        <w:rPr>
          <w:rtl/>
          <w:lang w:bidi="fa-IR"/>
        </w:rPr>
      </w:pPr>
      <w:r>
        <w:rPr>
          <w:rtl/>
        </w:rPr>
        <w:t>(5).</w:t>
      </w:r>
      <w:r w:rsidRPr="00132E65">
        <w:rPr>
          <w:rtl/>
        </w:rPr>
        <w:t xml:space="preserve"> في « ف ، بر ، بس ، بف » والعلل والعيون وكمال الدين والغيبة : « بعدك »</w:t>
      </w:r>
      <w:r>
        <w:rPr>
          <w:rtl/>
        </w:rPr>
        <w:t>.</w:t>
      </w:r>
    </w:p>
    <w:p w:rsidR="000C39D1" w:rsidRPr="00132E65" w:rsidRDefault="000C39D1" w:rsidP="000C39D1">
      <w:pPr>
        <w:pStyle w:val="libFootnote0"/>
        <w:rPr>
          <w:rtl/>
          <w:lang w:bidi="fa-IR"/>
        </w:rPr>
      </w:pPr>
      <w:r>
        <w:rPr>
          <w:rtl/>
        </w:rPr>
        <w:t>(6).</w:t>
      </w:r>
      <w:r w:rsidRPr="00132E65">
        <w:rPr>
          <w:rtl/>
        </w:rPr>
        <w:t xml:space="preserve"> في « ب » والعلل والعيون وكمال الدين والغيبة : « أنّه »</w:t>
      </w:r>
      <w:r>
        <w:rPr>
          <w:rtl/>
        </w:rPr>
        <w:t>.</w:t>
      </w:r>
    </w:p>
    <w:p w:rsidR="000C39D1" w:rsidRPr="00132E65" w:rsidRDefault="000C39D1" w:rsidP="000C39D1">
      <w:pPr>
        <w:pStyle w:val="libFootnote0"/>
        <w:rPr>
          <w:rtl/>
          <w:lang w:bidi="fa-IR"/>
        </w:rPr>
      </w:pPr>
      <w:r>
        <w:rPr>
          <w:rtl/>
        </w:rPr>
        <w:t>(7).</w:t>
      </w:r>
      <w:r w:rsidRPr="00132E65">
        <w:rPr>
          <w:rtl/>
        </w:rPr>
        <w:t xml:space="preserve"> في « ج » و</w:t>
      </w:r>
      <w:r w:rsidRPr="009D1ACE">
        <w:rPr>
          <w:rStyle w:val="libFootnoteBoldChar"/>
          <w:rtl/>
        </w:rPr>
        <w:t>الوافي</w:t>
      </w:r>
      <w:r w:rsidRPr="00132E65">
        <w:rPr>
          <w:rtl/>
        </w:rPr>
        <w:t xml:space="preserve"> والعلل والعيون وكمال الدين والغيبة :</w:t>
      </w:r>
      <w:r>
        <w:rPr>
          <w:rtl/>
        </w:rPr>
        <w:t xml:space="preserve"> + </w:t>
      </w:r>
      <w:r w:rsidRPr="00132E65">
        <w:rPr>
          <w:rtl/>
        </w:rPr>
        <w:t>« بن عليّ »</w:t>
      </w:r>
      <w:r>
        <w:rPr>
          <w:rtl/>
        </w:rPr>
        <w:t>.</w:t>
      </w:r>
      <w:r w:rsidRPr="00132E65">
        <w:rPr>
          <w:rtl/>
        </w:rPr>
        <w:t xml:space="preserve"> وفي « ف » :</w:t>
      </w:r>
      <w:r>
        <w:rPr>
          <w:rtl/>
        </w:rPr>
        <w:t xml:space="preserve"> + </w:t>
      </w:r>
      <w:r w:rsidRPr="00132E65">
        <w:rPr>
          <w:rtl/>
        </w:rPr>
        <w:t>« بعده »</w:t>
      </w:r>
      <w:r>
        <w:rPr>
          <w:rtl/>
        </w:rPr>
        <w:t>.</w:t>
      </w:r>
    </w:p>
    <w:tbl>
      <w:tblPr>
        <w:tblStyle w:val="TableGrid"/>
        <w:bidiVisual/>
        <w:tblW w:w="0" w:type="auto"/>
        <w:tblLook w:val="04A0" w:firstRow="1" w:lastRow="0" w:firstColumn="1" w:lastColumn="0" w:noHBand="0" w:noVBand="1"/>
      </w:tblPr>
      <w:tblGrid>
        <w:gridCol w:w="4261"/>
        <w:gridCol w:w="4262"/>
      </w:tblGrid>
      <w:tr w:rsidR="00A90BF8" w:rsidTr="00A90BF8">
        <w:tc>
          <w:tcPr>
            <w:tcW w:w="4261" w:type="dxa"/>
          </w:tcPr>
          <w:p w:rsidR="00A90BF8" w:rsidRDefault="00A90BF8" w:rsidP="000C39D1">
            <w:pPr>
              <w:pStyle w:val="libFootnote0"/>
              <w:rPr>
                <w:rtl/>
              </w:rPr>
            </w:pPr>
            <w:r>
              <w:rPr>
                <w:rtl/>
              </w:rPr>
              <w:t>(8).</w:t>
            </w:r>
            <w:r w:rsidRPr="00132E65">
              <w:rPr>
                <w:rtl/>
              </w:rPr>
              <w:t xml:space="preserve"> في « ب » والعلل والعيون وكمال الدين : « أنّه »</w:t>
            </w:r>
            <w:r>
              <w:rPr>
                <w:rtl/>
              </w:rPr>
              <w:t>.</w:t>
            </w:r>
          </w:p>
        </w:tc>
        <w:tc>
          <w:tcPr>
            <w:tcW w:w="4262" w:type="dxa"/>
          </w:tcPr>
          <w:p w:rsidR="00A90BF8" w:rsidRDefault="00A90BF8" w:rsidP="000C39D1">
            <w:pPr>
              <w:pStyle w:val="libFootnote0"/>
              <w:rPr>
                <w:rtl/>
              </w:rPr>
            </w:pPr>
            <w:r>
              <w:rPr>
                <w:rtl/>
              </w:rPr>
              <w:t>(9).</w:t>
            </w:r>
            <w:r w:rsidRPr="00132E65">
              <w:rPr>
                <w:rtl/>
              </w:rPr>
              <w:t xml:space="preserve"> في « بر » والعلل والعيون وكمال الدين : « أنّه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العلل : « الحسين »</w:t>
      </w:r>
      <w:r>
        <w:rPr>
          <w:rtl/>
        </w:rPr>
        <w:t>.</w:t>
      </w:r>
      <w:r w:rsidRPr="00132E65">
        <w:rPr>
          <w:rtl/>
        </w:rPr>
        <w:t xml:space="preserve"> وفي العيون وكمال الدين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(11).</w:t>
      </w:r>
      <w:r w:rsidRPr="00132E65">
        <w:rPr>
          <w:rtl/>
        </w:rPr>
        <w:t xml:space="preserve"> في « بس » :</w:t>
      </w:r>
      <w:r>
        <w:rPr>
          <w:rtl/>
        </w:rPr>
        <w:t xml:space="preserve"> + </w:t>
      </w:r>
      <w:r w:rsidRPr="00132E65">
        <w:rPr>
          <w:rtl/>
        </w:rPr>
        <w:t>« قسطاً</w:t>
      </w:r>
      <w:r>
        <w:rPr>
          <w:rtl/>
        </w:rPr>
        <w:t xml:space="preserve"> و ».</w:t>
      </w:r>
      <w:r w:rsidRPr="00132E65">
        <w:rPr>
          <w:rtl/>
        </w:rPr>
        <w:t xml:space="preserve"> وفي كمال الدين : « فيملأ الأرض »</w:t>
      </w:r>
      <w:r>
        <w:rPr>
          <w:rtl/>
        </w:rPr>
        <w:t>.</w:t>
      </w:r>
    </w:p>
    <w:tbl>
      <w:tblPr>
        <w:tblStyle w:val="TableGrid"/>
        <w:bidiVisual/>
        <w:tblW w:w="0" w:type="auto"/>
        <w:tblLook w:val="04A0" w:firstRow="1" w:lastRow="0" w:firstColumn="1" w:lastColumn="0" w:noHBand="0" w:noVBand="1"/>
      </w:tblPr>
      <w:tblGrid>
        <w:gridCol w:w="4261"/>
        <w:gridCol w:w="4262"/>
      </w:tblGrid>
      <w:tr w:rsidR="00A90BF8" w:rsidTr="00A90BF8">
        <w:tc>
          <w:tcPr>
            <w:tcW w:w="4261" w:type="dxa"/>
          </w:tcPr>
          <w:p w:rsidR="00A90BF8" w:rsidRDefault="00A90BF8" w:rsidP="000C39D1">
            <w:pPr>
              <w:pStyle w:val="libFootnote0"/>
              <w:rPr>
                <w:rtl/>
              </w:rPr>
            </w:pPr>
            <w:r>
              <w:rPr>
                <w:rtl/>
              </w:rPr>
              <w:t>(12).</w:t>
            </w:r>
            <w:r w:rsidRPr="00132E65">
              <w:rPr>
                <w:rtl/>
              </w:rPr>
              <w:t xml:space="preserve"> في الغيبة :</w:t>
            </w:r>
            <w:r>
              <w:rPr>
                <w:rtl/>
              </w:rPr>
              <w:t xml:space="preserve"> + </w:t>
            </w:r>
            <w:r w:rsidRPr="00132E65">
              <w:rPr>
                <w:rtl/>
              </w:rPr>
              <w:t>« ظلماً</w:t>
            </w:r>
            <w:r>
              <w:rPr>
                <w:rtl/>
              </w:rPr>
              <w:t xml:space="preserve"> و ».</w:t>
            </w:r>
          </w:p>
        </w:tc>
        <w:tc>
          <w:tcPr>
            <w:tcW w:w="4262" w:type="dxa"/>
          </w:tcPr>
          <w:p w:rsidR="00A90BF8" w:rsidRDefault="00A90BF8" w:rsidP="000C39D1">
            <w:pPr>
              <w:pStyle w:val="libFootnote0"/>
              <w:rPr>
                <w:rtl/>
              </w:rPr>
            </w:pPr>
            <w:r>
              <w:rPr>
                <w:rtl/>
              </w:rPr>
              <w:t>(13)</w:t>
            </w:r>
            <w:r w:rsidRPr="00132E65">
              <w:rPr>
                <w:rtl/>
              </w:rPr>
              <w:t xml:space="preserve"> في العيون : « ومضى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العلل :</w:t>
      </w:r>
      <w:r>
        <w:rPr>
          <w:rtl/>
        </w:rPr>
        <w:t xml:space="preserve"> + </w:t>
      </w:r>
      <w:r w:rsidRPr="00132E65">
        <w:rPr>
          <w:rtl/>
        </w:rPr>
        <w:t xml:space="preserve">« للحسن </w:t>
      </w:r>
      <w:r w:rsidRPr="00A90BF8">
        <w:rPr>
          <w:rStyle w:val="libFootnoteAlaemChar"/>
          <w:rtl/>
        </w:rPr>
        <w:t>عليه‌السلام</w:t>
      </w:r>
      <w:r w:rsidRPr="00132E65">
        <w:rPr>
          <w:rtl/>
        </w:rPr>
        <w:t xml:space="preserve">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فَخَرَجَ الْحَسَنُ بْنُ عَلِيٍّ </w:t>
      </w:r>
      <w:r w:rsidRPr="00071CF9">
        <w:rPr>
          <w:rStyle w:val="libAlaemChar"/>
          <w:rtl/>
        </w:rPr>
        <w:t>عليهما‌السلام</w:t>
      </w:r>
      <w:r w:rsidRPr="00132E65">
        <w:rPr>
          <w:rtl/>
          <w:lang w:bidi="fa-IR"/>
        </w:rPr>
        <w:t xml:space="preserve"> ، فَقَالَ </w:t>
      </w:r>
      <w:r>
        <w:rPr>
          <w:rStyle w:val="libFootnotenumChar"/>
          <w:rtl/>
        </w:rPr>
        <w:t>(1)</w:t>
      </w:r>
      <w:r w:rsidR="006E15B3">
        <w:rPr>
          <w:rtl/>
          <w:lang w:bidi="fa-IR"/>
        </w:rPr>
        <w:t xml:space="preserve"> : مَا كَانَ إِل</w:t>
      </w:r>
      <w:r w:rsidR="006E15B3">
        <w:rPr>
          <w:rFonts w:hint="cs"/>
          <w:rtl/>
          <w:lang w:bidi="fa-IR"/>
        </w:rPr>
        <w:t>َّ</w:t>
      </w:r>
      <w:r w:rsidR="006E15B3">
        <w:rPr>
          <w:rtl/>
          <w:lang w:bidi="fa-IR"/>
        </w:rPr>
        <w:t>ا</w:t>
      </w:r>
      <w:r w:rsidRPr="00132E65">
        <w:rPr>
          <w:rtl/>
          <w:lang w:bidi="fa-IR"/>
        </w:rPr>
        <w:t xml:space="preserve"> أَنْ و</w:t>
      </w:r>
      <w:r w:rsidR="006E15B3">
        <w:rPr>
          <w:rFonts w:hint="cs"/>
          <w:rtl/>
          <w:lang w:bidi="fa-IR"/>
        </w:rPr>
        <w:t>َ</w:t>
      </w:r>
      <w:r w:rsidRPr="00132E65">
        <w:rPr>
          <w:rtl/>
          <w:lang w:bidi="fa-IR"/>
        </w:rPr>
        <w:t xml:space="preserve">ضَعَ رِجْلَهُ خَارِجاً مِنَ الْمَسْجِدِ ، فَمَا دَرَيْتُ أَيْنَ أَخَذَ مِنْ أَرْضِ اللهِ ، فَرَجَعْتُ إِلى أَمِيرِ الْمُؤْمِنِينَ </w:t>
      </w:r>
      <w:r w:rsidRPr="00071CF9">
        <w:rPr>
          <w:rStyle w:val="libAlaemChar"/>
          <w:rtl/>
        </w:rPr>
        <w:t>عليه‌السلام</w:t>
      </w:r>
      <w:r w:rsidRPr="00132E65">
        <w:rPr>
          <w:rtl/>
          <w:lang w:bidi="fa-IR"/>
        </w:rPr>
        <w:t xml:space="preserve"> فَأَعْلَمْتُهُ ، فَق</w:t>
      </w:r>
      <w:r>
        <w:rPr>
          <w:rtl/>
          <w:lang w:bidi="fa-IR"/>
        </w:rPr>
        <w:t>َالَ : يَا أَبَا مُحَمَّدٍ ، أَ</w:t>
      </w:r>
      <w:r w:rsidRPr="00132E65">
        <w:rPr>
          <w:rtl/>
          <w:lang w:bidi="fa-IR"/>
        </w:rPr>
        <w:t>تَعْرِفُهُ</w:t>
      </w:r>
      <w:r>
        <w:rPr>
          <w:rtl/>
          <w:lang w:bidi="fa-IR"/>
        </w:rPr>
        <w:t>؟</w:t>
      </w:r>
      <w:r w:rsidRPr="00132E65">
        <w:rPr>
          <w:rtl/>
          <w:lang w:bidi="fa-IR"/>
        </w:rPr>
        <w:t xml:space="preserve"> قُلْتُ </w:t>
      </w:r>
      <w:r>
        <w:rPr>
          <w:rStyle w:val="libFootnotenumChar"/>
          <w:rtl/>
        </w:rPr>
        <w:t>(2)</w:t>
      </w:r>
      <w:r w:rsidRPr="00132E65">
        <w:rPr>
          <w:rtl/>
          <w:lang w:bidi="fa-IR"/>
        </w:rPr>
        <w:t xml:space="preserve"> : اللهُ و</w:t>
      </w:r>
      <w:r w:rsidR="006E15B3">
        <w:rPr>
          <w:rFonts w:hint="cs"/>
          <w:rtl/>
          <w:lang w:bidi="fa-IR"/>
        </w:rPr>
        <w:t>َ</w:t>
      </w:r>
      <w:r w:rsidRPr="00132E65">
        <w:rPr>
          <w:rtl/>
          <w:lang w:bidi="fa-IR"/>
        </w:rPr>
        <w:t>رَسُولُهُ و</w:t>
      </w:r>
      <w:r w:rsidR="006E15B3">
        <w:rPr>
          <w:rFonts w:hint="cs"/>
          <w:rtl/>
          <w:lang w:bidi="fa-IR"/>
        </w:rPr>
        <w:t>َ</w:t>
      </w:r>
      <w:r w:rsidRPr="00132E65">
        <w:rPr>
          <w:rtl/>
          <w:lang w:bidi="fa-IR"/>
        </w:rPr>
        <w:t>أَمِيرُ الْمُؤْمِنِينَ أَعْلَمُ.</w:t>
      </w:r>
    </w:p>
    <w:p w:rsidR="000C39D1" w:rsidRPr="00132E65" w:rsidRDefault="000C39D1" w:rsidP="000C39D1">
      <w:pPr>
        <w:pStyle w:val="libNormal"/>
        <w:rPr>
          <w:rtl/>
          <w:lang w:bidi="fa-IR"/>
        </w:rPr>
      </w:pPr>
      <w:r w:rsidRPr="00132E65">
        <w:rPr>
          <w:rtl/>
          <w:lang w:bidi="fa-IR"/>
        </w:rPr>
        <w:t xml:space="preserve">قَالَ </w:t>
      </w:r>
      <w:r>
        <w:rPr>
          <w:rStyle w:val="libFootnotenumChar"/>
          <w:rtl/>
        </w:rPr>
        <w:t>(3)</w:t>
      </w:r>
      <w:r w:rsidRPr="00132E65">
        <w:rPr>
          <w:rtl/>
          <w:lang w:bidi="fa-IR"/>
        </w:rPr>
        <w:t xml:space="preserve"> : هُوَ الْخَضِرُ </w:t>
      </w:r>
      <w:r w:rsidRPr="00071CF9">
        <w:rPr>
          <w:rStyle w:val="libAlaemChar"/>
          <w:rtl/>
        </w:rPr>
        <w:t>عليه‌السلام</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34138C">
        <w:rPr>
          <w:rtl/>
        </w:rPr>
        <w:t>1389</w:t>
      </w:r>
      <w:r w:rsidRPr="004325D8">
        <w:rPr>
          <w:rStyle w:val="libBold2Char"/>
          <w:rtl/>
        </w:rPr>
        <w:t xml:space="preserve"> / 2.</w:t>
      </w:r>
      <w:r w:rsidRPr="00132E65">
        <w:rPr>
          <w:rtl/>
          <w:lang w:bidi="fa-IR"/>
        </w:rPr>
        <w:t xml:space="preserve"> و</w:t>
      </w:r>
      <w:r w:rsidR="006E15B3">
        <w:rPr>
          <w:rFonts w:hint="cs"/>
          <w:rtl/>
          <w:lang w:bidi="fa-IR"/>
        </w:rPr>
        <w:t>َ</w:t>
      </w:r>
      <w:r w:rsidRPr="00132E65">
        <w:rPr>
          <w:rtl/>
          <w:lang w:bidi="fa-IR"/>
        </w:rPr>
        <w:t>حَدَّثَنِي مُحَمَّدُ بْنُ يَحْيى ، عَنْ مُحَمَّدِ بْنِ الْحَسَنِ الصَّفَّارِ ، عَنْ أَحْمَدَ بْنِ أَبِي عَبْدِ اللهِ ، عَنْ أَبِي هَاشِمٍ مِثْلَهُ سَوَاءً.</w:t>
      </w:r>
    </w:p>
    <w:p w:rsidR="000C39D1" w:rsidRPr="00132E65" w:rsidRDefault="000C39D1" w:rsidP="000C39D1">
      <w:pPr>
        <w:pStyle w:val="libNormal"/>
        <w:rPr>
          <w:rtl/>
          <w:lang w:bidi="fa-IR"/>
        </w:rPr>
      </w:pPr>
      <w:r w:rsidRPr="00132E65">
        <w:rPr>
          <w:rtl/>
          <w:lang w:bidi="fa-IR"/>
        </w:rPr>
        <w:t xml:space="preserve">قَالَ مُحَمَّدُ بْنُ يَحْيى : فَقُلْتُ لِمُحَمَّدِ بْنِ الْحَسَنِ : يَا أَبَا جَعْفَرٍ </w:t>
      </w:r>
      <w:r>
        <w:rPr>
          <w:rStyle w:val="libFootnotenumChar"/>
          <w:rtl/>
        </w:rPr>
        <w:t>(5)</w:t>
      </w:r>
      <w:r w:rsidRPr="00132E65">
        <w:rPr>
          <w:rtl/>
          <w:lang w:bidi="fa-IR"/>
        </w:rPr>
        <w:t xml:space="preserve"> ، و</w:t>
      </w:r>
      <w:r w:rsidR="006E15B3">
        <w:rPr>
          <w:rFonts w:hint="cs"/>
          <w:rtl/>
          <w:lang w:bidi="fa-IR"/>
        </w:rPr>
        <w:t>َ</w:t>
      </w:r>
      <w:r w:rsidRPr="00132E65">
        <w:rPr>
          <w:rtl/>
          <w:lang w:bidi="fa-IR"/>
        </w:rPr>
        <w:t xml:space="preserve">دِدْتُ أَنَّ هذَا الْخَبَرَ جَاءَ مِنْ غَيْرِ جِهَةِ أَحْمَدَ بْنِ أَبِي عَبْدِ اللهِ </w:t>
      </w:r>
      <w:r>
        <w:rPr>
          <w:rStyle w:val="libFootnotenumChar"/>
          <w:rtl/>
        </w:rPr>
        <w:t>(6)</w:t>
      </w:r>
      <w:r w:rsidRPr="00132E65">
        <w:rPr>
          <w:rtl/>
          <w:lang w:bidi="fa-IR"/>
        </w:rPr>
        <w:t xml:space="preserve"> ، قَالَ : فَقَالَ : لَقَدْ حَدَّثَنِي قَبْلَ الْحَيْرَةِ </w:t>
      </w:r>
      <w:r>
        <w:rPr>
          <w:rStyle w:val="libFootnotenumChar"/>
          <w:rtl/>
        </w:rPr>
        <w:t>(7)</w:t>
      </w:r>
      <w:r w:rsidRPr="00132E65">
        <w:rPr>
          <w:rtl/>
          <w:lang w:bidi="fa-IR"/>
        </w:rPr>
        <w:t xml:space="preserve"> بِعَشْرِ سِنِينَ.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34138C">
        <w:rPr>
          <w:rtl/>
        </w:rPr>
        <w:t>1390</w:t>
      </w:r>
      <w:r w:rsidRPr="004325D8">
        <w:rPr>
          <w:rStyle w:val="libBold2Char"/>
          <w:rtl/>
        </w:rPr>
        <w:t xml:space="preserve"> / 3.</w:t>
      </w:r>
      <w:r w:rsidRPr="00132E65">
        <w:rPr>
          <w:rtl/>
          <w:lang w:bidi="fa-IR"/>
        </w:rPr>
        <w:t xml:space="preserve"> مُحَمَّدُ بْنُ يَحْيى و</w:t>
      </w:r>
      <w:r w:rsidR="006E15B3">
        <w:rPr>
          <w:rFonts w:hint="cs"/>
          <w:rtl/>
          <w:lang w:bidi="fa-IR"/>
        </w:rPr>
        <w:t>َ</w:t>
      </w:r>
      <w:r w:rsidRPr="00132E65">
        <w:rPr>
          <w:rtl/>
          <w:lang w:bidi="fa-IR"/>
        </w:rPr>
        <w:t>مُحَمَّدُ بْنُ عَبْدِ اللهِ ، عَنْ عَبْدِ اللهِ بْنِ جَعْفَرٍ ، عَنِ الْحَسَنِ بْنِ ظَرِيفٍ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6E15B3" w:rsidTr="006E15B3">
        <w:tc>
          <w:tcPr>
            <w:tcW w:w="4261" w:type="dxa"/>
          </w:tcPr>
          <w:p w:rsidR="006E15B3" w:rsidRDefault="006E15B3" w:rsidP="000C39D1">
            <w:pPr>
              <w:pStyle w:val="libFootnote0"/>
              <w:rPr>
                <w:rtl/>
              </w:rPr>
            </w:pPr>
            <w:r>
              <w:rPr>
                <w:rtl/>
              </w:rPr>
              <w:t>(1).</w:t>
            </w:r>
            <w:r w:rsidRPr="00132E65">
              <w:rPr>
                <w:rtl/>
              </w:rPr>
              <w:t xml:space="preserve"> في الغيبة :</w:t>
            </w:r>
            <w:r>
              <w:rPr>
                <w:rtl/>
              </w:rPr>
              <w:t xml:space="preserve"> + </w:t>
            </w:r>
            <w:r w:rsidRPr="00132E65">
              <w:rPr>
                <w:rtl/>
              </w:rPr>
              <w:t>« له »</w:t>
            </w:r>
            <w:r>
              <w:rPr>
                <w:rtl/>
              </w:rPr>
              <w:t>.</w:t>
            </w:r>
          </w:p>
        </w:tc>
        <w:tc>
          <w:tcPr>
            <w:tcW w:w="4262" w:type="dxa"/>
          </w:tcPr>
          <w:p w:rsidR="006E15B3" w:rsidRDefault="006E15B3" w:rsidP="000C39D1">
            <w:pPr>
              <w:pStyle w:val="libFootnote0"/>
              <w:rPr>
                <w:rtl/>
              </w:rPr>
            </w:pPr>
            <w:r>
              <w:rPr>
                <w:rtl/>
              </w:rPr>
              <w:t>(2).</w:t>
            </w:r>
            <w:r w:rsidRPr="00132E65">
              <w:rPr>
                <w:rtl/>
              </w:rPr>
              <w:t xml:space="preserve"> في « ب » والعيون وكمال الدين والغيبة : « فقلت »</w:t>
            </w:r>
            <w:r>
              <w:rPr>
                <w:rtl/>
              </w:rPr>
              <w:t>.</w:t>
            </w:r>
          </w:p>
        </w:tc>
      </w:tr>
    </w:tbl>
    <w:p w:rsidR="000C39D1" w:rsidRPr="00132E65" w:rsidRDefault="000C39D1" w:rsidP="000C39D1">
      <w:pPr>
        <w:pStyle w:val="libFootnote0"/>
        <w:rPr>
          <w:rtl/>
          <w:lang w:bidi="fa-IR"/>
        </w:rPr>
      </w:pPr>
      <w:r>
        <w:rPr>
          <w:rtl/>
        </w:rPr>
        <w:t>(3).</w:t>
      </w:r>
      <w:r w:rsidRPr="00132E65">
        <w:rPr>
          <w:rtl/>
        </w:rPr>
        <w:t xml:space="preserve"> في « بر » والعلل والعيون وكمال الدين والغيبة : « فقال »</w:t>
      </w:r>
      <w:r>
        <w:rPr>
          <w:rtl/>
        </w:rPr>
        <w:t>.</w:t>
      </w:r>
    </w:p>
    <w:p w:rsidR="000C39D1" w:rsidRPr="00132E65" w:rsidRDefault="000C39D1" w:rsidP="000C39D1">
      <w:pPr>
        <w:pStyle w:val="libFootnote0"/>
        <w:rPr>
          <w:rtl/>
          <w:lang w:bidi="fa-IR"/>
        </w:rPr>
      </w:pPr>
      <w:r>
        <w:rPr>
          <w:rtl/>
        </w:rPr>
        <w:t>(4).</w:t>
      </w:r>
      <w:r w:rsidRPr="00132E65">
        <w:rPr>
          <w:rtl/>
        </w:rPr>
        <w:t xml:space="preserve"> </w:t>
      </w:r>
      <w:r w:rsidRPr="006E15B3">
        <w:rPr>
          <w:rStyle w:val="libFootnoteBoldChar"/>
          <w:rtl/>
        </w:rPr>
        <w:t>الغيبة للطوسي</w:t>
      </w:r>
      <w:r w:rsidRPr="00132E65">
        <w:rPr>
          <w:rtl/>
        </w:rPr>
        <w:t xml:space="preserve"> ، ص 154 ، ح 114 </w:t>
      </w:r>
      <w:r w:rsidR="006E15B3">
        <w:rPr>
          <w:rFonts w:hint="cs"/>
          <w:rtl/>
        </w:rPr>
        <w:t>.</w:t>
      </w:r>
      <w:r w:rsidRPr="00132E65">
        <w:rPr>
          <w:rtl/>
        </w:rPr>
        <w:t xml:space="preserve">بسنده عن الكليني. وفي </w:t>
      </w:r>
      <w:r w:rsidRPr="006E15B3">
        <w:rPr>
          <w:rStyle w:val="libFootnoteBoldChar"/>
          <w:rtl/>
        </w:rPr>
        <w:t>الغيبة للنعماني</w:t>
      </w:r>
      <w:r w:rsidRPr="00132E65">
        <w:rPr>
          <w:rtl/>
        </w:rPr>
        <w:t xml:space="preserve"> ، ص 58 ، ح 2 ؛ </w:t>
      </w:r>
      <w:r w:rsidRPr="006E15B3">
        <w:rPr>
          <w:rStyle w:val="libFootnoteBoldChar"/>
          <w:rtl/>
        </w:rPr>
        <w:t>وعلل الشرائع</w:t>
      </w:r>
      <w:r w:rsidRPr="00132E65">
        <w:rPr>
          <w:rtl/>
        </w:rPr>
        <w:t xml:space="preserve"> ، ص 96 ، ح 6 ؛ </w:t>
      </w:r>
      <w:r w:rsidRPr="006E15B3">
        <w:rPr>
          <w:rStyle w:val="libFootnoteBoldChar"/>
          <w:rtl/>
        </w:rPr>
        <w:t>وعيون الأخبار</w:t>
      </w:r>
      <w:r w:rsidRPr="0034138C">
        <w:rPr>
          <w:rtl/>
        </w:rPr>
        <w:t xml:space="preserve"> </w:t>
      </w:r>
      <w:r w:rsidRPr="00132E65">
        <w:rPr>
          <w:rtl/>
        </w:rPr>
        <w:t xml:space="preserve">، ج 1 ، ص 65 ، ح 35 ؛ </w:t>
      </w:r>
      <w:r w:rsidRPr="006E15B3">
        <w:rPr>
          <w:rStyle w:val="libFootnoteBoldChar"/>
          <w:rtl/>
        </w:rPr>
        <w:t>وكمال الدين</w:t>
      </w:r>
      <w:r w:rsidRPr="0034138C">
        <w:rPr>
          <w:rtl/>
        </w:rPr>
        <w:t xml:space="preserve"> </w:t>
      </w:r>
      <w:r w:rsidRPr="00132E65">
        <w:rPr>
          <w:rtl/>
        </w:rPr>
        <w:t xml:space="preserve">، ص 313 ، ح 1 ، بسندها عن أحمد بن محمّد البرقي ، مع زيادة. وفي </w:t>
      </w:r>
      <w:r w:rsidRPr="006E15B3">
        <w:rPr>
          <w:rStyle w:val="libFootnoteBoldChar"/>
          <w:rtl/>
        </w:rPr>
        <w:t>تفسير القمّي</w:t>
      </w:r>
      <w:r w:rsidRPr="00132E65">
        <w:rPr>
          <w:rtl/>
        </w:rPr>
        <w:t xml:space="preserve"> ، ج 2 ، ص 249 ، بسنده عن داود بن القاسم الجعفري ، إلى قوله : « فأجابه الحسن </w:t>
      </w:r>
      <w:r w:rsidRPr="006E15B3">
        <w:rPr>
          <w:rStyle w:val="libFootnoteAlaemChar"/>
          <w:rtl/>
        </w:rPr>
        <w:t>عليه‌السلام</w:t>
      </w:r>
      <w:r w:rsidRPr="00132E65">
        <w:rPr>
          <w:rtl/>
        </w:rPr>
        <w:t xml:space="preserve"> » ؛ </w:t>
      </w:r>
      <w:r w:rsidRPr="0034138C">
        <w:rPr>
          <w:rtl/>
        </w:rPr>
        <w:t>وفيه</w:t>
      </w:r>
      <w:r w:rsidRPr="00132E65">
        <w:rPr>
          <w:rtl/>
        </w:rPr>
        <w:t xml:space="preserve"> ، ص 44 ، مضمراً ، مع اختلاف يسير </w:t>
      </w:r>
      <w:r w:rsidR="006E15B3">
        <w:rPr>
          <w:rFonts w:hint="cs"/>
          <w:rtl/>
        </w:rPr>
        <w:t>.</w:t>
      </w:r>
      <w:r w:rsidRPr="009D1ACE">
        <w:rPr>
          <w:rStyle w:val="libFootnoteBoldChar"/>
          <w:rtl/>
        </w:rPr>
        <w:t>الوافي</w:t>
      </w:r>
      <w:r w:rsidRPr="00132E65">
        <w:rPr>
          <w:rtl/>
        </w:rPr>
        <w:t xml:space="preserve"> ، ج 2 ، ص 299 ، ح 756.</w:t>
      </w:r>
    </w:p>
    <w:p w:rsidR="000C39D1" w:rsidRPr="00132E65" w:rsidRDefault="000C39D1" w:rsidP="000C39D1">
      <w:pPr>
        <w:pStyle w:val="libFootnote0"/>
        <w:rPr>
          <w:rtl/>
          <w:lang w:bidi="fa-IR"/>
        </w:rPr>
      </w:pPr>
      <w:r>
        <w:rPr>
          <w:rtl/>
        </w:rPr>
        <w:t>(5).</w:t>
      </w:r>
      <w:r w:rsidRPr="00132E65">
        <w:rPr>
          <w:rtl/>
        </w:rPr>
        <w:t xml:space="preserve"> في « ف » </w:t>
      </w:r>
      <w:r>
        <w:rPr>
          <w:rtl/>
        </w:rPr>
        <w:t xml:space="preserve">: - </w:t>
      </w:r>
      <w:r w:rsidRPr="00132E65">
        <w:rPr>
          <w:rtl/>
        </w:rPr>
        <w:t>« يا أبا جعفر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وفيه ذمّ لأحمد بن محمّد بن خالد البرقي ، وكان من أفاخم المحدّثين وثقاتهم ، وله‌تصان</w:t>
      </w:r>
      <w:r w:rsidR="006E15B3">
        <w:rPr>
          <w:rtl/>
        </w:rPr>
        <w:t>يف كثيرة مشهورة لم يبق منها إل</w:t>
      </w:r>
      <w:r w:rsidR="006E15B3">
        <w:rPr>
          <w:rFonts w:hint="cs"/>
          <w:rtl/>
        </w:rPr>
        <w:t>ّ</w:t>
      </w:r>
      <w:r w:rsidR="006E15B3">
        <w:rPr>
          <w:rtl/>
        </w:rPr>
        <w:t>ا</w:t>
      </w:r>
      <w:r w:rsidRPr="00132E65">
        <w:rPr>
          <w:rtl/>
        </w:rPr>
        <w:t xml:space="preserve"> كتاب المحاسن »</w:t>
      </w:r>
      <w:r>
        <w:rPr>
          <w:rtl/>
        </w:rPr>
        <w:t>.</w:t>
      </w:r>
      <w:r w:rsidRPr="00132E65">
        <w:rPr>
          <w:rtl/>
        </w:rPr>
        <w:t xml:space="preserve"> وللمزيد راجع مقدمة محاسن البرقي المطبوع بعناية السيّد جلال الدين المحدث </w:t>
      </w:r>
      <w:r w:rsidRPr="006E15B3">
        <w:rPr>
          <w:rStyle w:val="libFootnoteAlaemChar"/>
          <w:rtl/>
        </w:rPr>
        <w:t>رحمه‌الله</w:t>
      </w:r>
      <w:r w:rsidRPr="00132E65">
        <w:rPr>
          <w:rtl/>
        </w:rPr>
        <w:t>.</w:t>
      </w:r>
    </w:p>
    <w:p w:rsidR="000C39D1" w:rsidRPr="00132E65" w:rsidRDefault="000C39D1" w:rsidP="000C39D1">
      <w:pPr>
        <w:pStyle w:val="libFootnote0"/>
        <w:rPr>
          <w:rtl/>
          <w:lang w:bidi="fa-IR"/>
        </w:rPr>
      </w:pPr>
      <w:r>
        <w:rPr>
          <w:rtl/>
        </w:rPr>
        <w:t>(7).</w:t>
      </w:r>
      <w:r w:rsidR="006E15B3">
        <w:rPr>
          <w:rtl/>
        </w:rPr>
        <w:t xml:space="preserve"> قال العل</w:t>
      </w:r>
      <w:r w:rsidR="006E15B3">
        <w:rPr>
          <w:rFonts w:hint="cs"/>
          <w:rtl/>
        </w:rPr>
        <w:t>ّ</w:t>
      </w:r>
      <w:r w:rsidR="006E15B3">
        <w:rPr>
          <w:rtl/>
        </w:rPr>
        <w:t>ا</w:t>
      </w:r>
      <w:r w:rsidRPr="00132E65">
        <w:rPr>
          <w:rtl/>
        </w:rPr>
        <w:t>مة الشعراني : « الأظهر أنّ المراد بها [ الحيرة ] الغيبة ، ومقصود الراوي دفع القدح فيه بأنّ احمد بن أبي عبدالله وإن كان ضعيفاً ، لكنّ الخبر متضمّن للخبر عن الغيب ؛ إذ أخبر بالغيبة قبل عشر سنين من وقوعها »</w:t>
      </w:r>
      <w:r>
        <w:rPr>
          <w:rtl/>
        </w:rPr>
        <w:t>.</w:t>
      </w:r>
      <w:r w:rsidRPr="00132E65">
        <w:rPr>
          <w:rtl/>
        </w:rPr>
        <w:t xml:space="preserve"> راجع : </w:t>
      </w:r>
      <w:r w:rsidRPr="006E15B3">
        <w:rPr>
          <w:rStyle w:val="libFootnoteBoldChar"/>
          <w:rtl/>
        </w:rPr>
        <w:t>حاشية السيّد بدرالدين</w:t>
      </w:r>
      <w:r w:rsidRPr="00132E65">
        <w:rPr>
          <w:rtl/>
        </w:rPr>
        <w:t xml:space="preserve"> ، من 280 ؛ </w:t>
      </w:r>
      <w:r w:rsidRPr="006E15B3">
        <w:rPr>
          <w:rStyle w:val="libFootnoteBoldChar"/>
          <w:rtl/>
        </w:rPr>
        <w:t>شرح المازندراني</w:t>
      </w:r>
      <w:r w:rsidRPr="00132E65">
        <w:rPr>
          <w:rtl/>
        </w:rPr>
        <w:t xml:space="preserve"> ، ج 7 ، ص 360 ؛ </w:t>
      </w:r>
      <w:r w:rsidRPr="009D1ACE">
        <w:rPr>
          <w:rStyle w:val="libFootnoteBoldChar"/>
          <w:rtl/>
        </w:rPr>
        <w:t>مرآة العقول</w:t>
      </w:r>
      <w:r w:rsidRPr="00132E65">
        <w:rPr>
          <w:rtl/>
        </w:rPr>
        <w:t xml:space="preserve"> ، ج 6 ، ص 208.</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2 ، ص 300 ، ح 757.</w:t>
      </w:r>
    </w:p>
    <w:p w:rsidR="000C39D1" w:rsidRDefault="000C39D1" w:rsidP="000C39D1">
      <w:pPr>
        <w:pStyle w:val="libNormal0"/>
        <w:tabs>
          <w:tab w:val="left" w:pos="3968"/>
        </w:tabs>
        <w:rPr>
          <w:rtl/>
          <w:lang w:bidi="fa-IR"/>
        </w:rPr>
      </w:pPr>
      <w:r>
        <w:rPr>
          <w:rtl/>
          <w:lang w:bidi="fa-IR"/>
        </w:rPr>
        <w:br w:type="page"/>
      </w:r>
    </w:p>
    <w:p w:rsidR="000C39D1" w:rsidRPr="00132E65" w:rsidRDefault="006E15B3" w:rsidP="000C39D1">
      <w:pPr>
        <w:pStyle w:val="libNormal0"/>
        <w:tabs>
          <w:tab w:val="left" w:pos="3968"/>
        </w:tabs>
        <w:rPr>
          <w:rtl/>
          <w:lang w:bidi="fa-IR"/>
        </w:rPr>
      </w:pPr>
      <w:r>
        <w:rPr>
          <w:rFonts w:hint="cs"/>
          <w:rtl/>
          <w:lang w:bidi="fa-IR"/>
        </w:rPr>
        <w:t xml:space="preserve">                 </w:t>
      </w:r>
      <w:r w:rsidR="000C39D1" w:rsidRPr="00132E65">
        <w:rPr>
          <w:rtl/>
          <w:lang w:bidi="fa-IR"/>
        </w:rPr>
        <w:t>وَ</w:t>
      </w:r>
      <w:r w:rsidR="000C39D1">
        <w:rPr>
          <w:rFonts w:hint="cs"/>
          <w:rtl/>
          <w:lang w:bidi="fa-IR"/>
        </w:rPr>
        <w:t xml:space="preserve"> </w:t>
      </w:r>
      <w:r w:rsidR="000C39D1">
        <w:rPr>
          <w:rStyle w:val="libFootnotenumChar"/>
          <w:rtl/>
        </w:rPr>
        <w:t>(1)</w:t>
      </w:r>
      <w:r w:rsidR="000C39D1" w:rsidRPr="00132E65">
        <w:rPr>
          <w:rtl/>
          <w:lang w:bidi="fa-IR"/>
        </w:rPr>
        <w:t xml:space="preserve"> عَلِيُّ بْنُ مُحَمَّدٍ ، عَنْ صَالِحِ بْنِ أَبِي حَمَّادٍ ، عَنْ بَكْرِ بْنِ صَالِحٍ ، عَنْ عَبْدِ الرَّحْمنِ بْنِ سَالِمٍ ، عَنْ أَبِي بَصِيرٍ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قَالَ أَبِي لِجَابِرِ بْنِ عَبْدِ اللهِ الْأَنْصَارِيِّ : إِنَّ لِي إِلَيْكَ حَاجَةً ، فَمَتى يَخِفُّ عَلَيْكَ أَنْ أَخْلُوَ بِكَ فَأَسْأَلَكَ عَنْهَا</w:t>
      </w:r>
      <w:r>
        <w:rPr>
          <w:rtl/>
          <w:lang w:bidi="fa-IR"/>
        </w:rPr>
        <w:t>؟</w:t>
      </w:r>
      <w:r w:rsidRPr="00132E65">
        <w:rPr>
          <w:rtl/>
          <w:lang w:bidi="fa-IR"/>
        </w:rPr>
        <w:t xml:space="preserve"> فَقَالَ لَهُ جَابِرٌ : أَيَّ الْأَوْقَاتِ أَحْبَبْتَهُ ، فَخَلَا بِهِ فِي بَعْضِ الْأَيَّامِ ، فَقَالَ لَهُ : يَا جَابِرُ ، أَخْبِرْنِي عَنِ اللَّوْحِ الَّذِي رَأَيْتَهُ فِي يَدِ أُمِّي فَاطِمَةَ </w:t>
      </w:r>
      <w:r w:rsidRPr="00071CF9">
        <w:rPr>
          <w:rStyle w:val="libAlaemChar"/>
          <w:rtl/>
        </w:rPr>
        <w:t>عليها‌السلام</w:t>
      </w:r>
      <w:r w:rsidRPr="00132E65">
        <w:rPr>
          <w:rtl/>
          <w:lang w:bidi="fa-IR"/>
        </w:rPr>
        <w:t xml:space="preserve"> بِنْتِ رَسُولِ اللهِ </w:t>
      </w:r>
      <w:r w:rsidRPr="0093484F">
        <w:rPr>
          <w:rStyle w:val="libAlaemChar"/>
          <w:rFonts w:eastAsiaTheme="minorHAnsi"/>
          <w:rtl/>
        </w:rPr>
        <w:t>صلى‌الله‌عليه‌وآله</w:t>
      </w:r>
      <w:r w:rsidRPr="00132E65">
        <w:rPr>
          <w:rtl/>
          <w:lang w:bidi="fa-IR"/>
        </w:rPr>
        <w:t xml:space="preserve"> ، و</w:t>
      </w:r>
      <w:r w:rsidR="006E15B3">
        <w:rPr>
          <w:rFonts w:hint="cs"/>
          <w:rtl/>
          <w:lang w:bidi="fa-IR"/>
        </w:rPr>
        <w:t>َ</w:t>
      </w:r>
      <w:r w:rsidRPr="00132E65">
        <w:rPr>
          <w:rtl/>
          <w:lang w:bidi="fa-IR"/>
        </w:rPr>
        <w:t>مَا أَخْبَرَتْكَ بِهِ أُمِّي أَنَّهُ فِي ذلِكَ اللَّوْحِ مَكْتُوبٌ.</w:t>
      </w:r>
    </w:p>
    <w:p w:rsidR="000C39D1" w:rsidRPr="00132E65" w:rsidRDefault="000C39D1" w:rsidP="000C39D1">
      <w:pPr>
        <w:pStyle w:val="libNormal"/>
        <w:rPr>
          <w:rtl/>
          <w:lang w:bidi="fa-IR"/>
        </w:rPr>
      </w:pPr>
      <w:r w:rsidRPr="00132E65">
        <w:rPr>
          <w:rtl/>
          <w:lang w:bidi="fa-IR"/>
        </w:rPr>
        <w:t xml:space="preserve">فَقَالَ جَابِرٌ : أَشْهَدُ بِاللهِ </w:t>
      </w:r>
      <w:r>
        <w:rPr>
          <w:rStyle w:val="libFootnotenumChar"/>
          <w:rtl/>
        </w:rPr>
        <w:t>(2)</w:t>
      </w:r>
      <w:r w:rsidRPr="00132E65">
        <w:rPr>
          <w:rtl/>
          <w:lang w:bidi="fa-IR"/>
        </w:rPr>
        <w:t xml:space="preserve"> إِنِّي دَخَلْتُ عَلى أُمِّكَ فَاطِمَةَ </w:t>
      </w:r>
      <w:r w:rsidRPr="00071CF9">
        <w:rPr>
          <w:rStyle w:val="libAlaemChar"/>
          <w:rtl/>
        </w:rPr>
        <w:t>عليها‌السلام</w:t>
      </w:r>
      <w:r w:rsidRPr="00132E65">
        <w:rPr>
          <w:rtl/>
          <w:lang w:bidi="fa-IR"/>
        </w:rPr>
        <w:t xml:space="preserve"> فِي حَيَاةِ رَسُولِ اللهِ </w:t>
      </w:r>
      <w:r w:rsidRPr="0093484F">
        <w:rPr>
          <w:rStyle w:val="libAlaemChar"/>
          <w:rFonts w:eastAsiaTheme="minorHAnsi"/>
          <w:rtl/>
        </w:rPr>
        <w:t>صلى‌الله‌عليه‌وآله</w:t>
      </w:r>
      <w:r w:rsidRPr="00132E65">
        <w:rPr>
          <w:rtl/>
          <w:lang w:bidi="fa-IR"/>
        </w:rPr>
        <w:t xml:space="preserve"> ، فَهَنَّيْتُهَا بِوِلَادَةِ الْحُسَيْنِ </w:t>
      </w:r>
      <w:r w:rsidRPr="00071CF9">
        <w:rPr>
          <w:rStyle w:val="libAlaemChar"/>
          <w:rtl/>
        </w:rPr>
        <w:t>عليه‌السلام</w:t>
      </w:r>
      <w:r w:rsidRPr="00132E65">
        <w:rPr>
          <w:rtl/>
          <w:lang w:bidi="fa-IR"/>
        </w:rPr>
        <w:t xml:space="preserve"> ، و</w:t>
      </w:r>
      <w:r w:rsidR="006E15B3">
        <w:rPr>
          <w:rFonts w:hint="cs"/>
          <w:rtl/>
          <w:lang w:bidi="fa-IR"/>
        </w:rPr>
        <w:t>َ</w:t>
      </w:r>
      <w:r w:rsidRPr="00132E65">
        <w:rPr>
          <w:rtl/>
          <w:lang w:bidi="fa-IR"/>
        </w:rPr>
        <w:t xml:space="preserve">رَأَيْتُ </w:t>
      </w:r>
      <w:r>
        <w:rPr>
          <w:rStyle w:val="libFootnotenumChar"/>
          <w:rtl/>
        </w:rPr>
        <w:t>(3)</w:t>
      </w:r>
      <w:r w:rsidRPr="00132E65">
        <w:rPr>
          <w:rtl/>
          <w:lang w:bidi="fa-IR"/>
        </w:rPr>
        <w:t xml:space="preserve"> فِي يَدَيْهَا لَوْحاً أَخْضَرَ ظَنَنْتُ </w:t>
      </w:r>
      <w:r>
        <w:rPr>
          <w:rStyle w:val="libFootnotenumChar"/>
          <w:rtl/>
        </w:rPr>
        <w:t>(4)</w:t>
      </w:r>
      <w:r w:rsidRPr="00132E65">
        <w:rPr>
          <w:rtl/>
          <w:lang w:bidi="fa-IR"/>
        </w:rPr>
        <w:t xml:space="preserve"> أَنَّهُ مِنْ زُمُرُّدٍ ، وَرَأَيْتُ فِيهِ كِتَاباً أَبْيَضَ شِبْهَ </w:t>
      </w:r>
      <w:r>
        <w:rPr>
          <w:rStyle w:val="libFootnotenumChar"/>
          <w:rtl/>
        </w:rPr>
        <w:t>(5)</w:t>
      </w:r>
      <w:r w:rsidRPr="00132E65">
        <w:rPr>
          <w:rtl/>
          <w:lang w:bidi="fa-IR"/>
        </w:rPr>
        <w:t xml:space="preserve"> لَوْنِ الشَّمْسِ </w:t>
      </w:r>
      <w:r>
        <w:rPr>
          <w:rStyle w:val="libFootnotenumChar"/>
          <w:rtl/>
        </w:rPr>
        <w:t>(6)</w:t>
      </w:r>
      <w:r w:rsidRPr="00132E65">
        <w:rPr>
          <w:rtl/>
          <w:lang w:bidi="fa-IR"/>
        </w:rPr>
        <w:t xml:space="preserve"> ، فَقُلْتُ لَهَا : بِأَبِي </w:t>
      </w:r>
      <w:r>
        <w:rPr>
          <w:rStyle w:val="libFootnotenumChar"/>
          <w:rtl/>
        </w:rPr>
        <w:t>(7)</w:t>
      </w:r>
      <w:r w:rsidRPr="00132E65">
        <w:rPr>
          <w:rtl/>
          <w:lang w:bidi="fa-IR"/>
        </w:rPr>
        <w:t xml:space="preserve"> و</w:t>
      </w:r>
      <w:r w:rsidR="00925B43">
        <w:rPr>
          <w:rFonts w:hint="cs"/>
          <w:rtl/>
          <w:lang w:bidi="fa-IR"/>
        </w:rPr>
        <w:t>َ</w:t>
      </w:r>
      <w:r w:rsidRPr="00132E65">
        <w:rPr>
          <w:rtl/>
          <w:lang w:bidi="fa-IR"/>
        </w:rPr>
        <w:t xml:space="preserve">أُمِّي </w:t>
      </w:r>
      <w:r>
        <w:rPr>
          <w:rStyle w:val="libFootnotenumChar"/>
          <w:rtl/>
        </w:rPr>
        <w:t>(8)</w:t>
      </w:r>
      <w:r w:rsidRPr="00132E65">
        <w:rPr>
          <w:rtl/>
          <w:lang w:bidi="fa-IR"/>
        </w:rPr>
        <w:t xml:space="preserve"> يَا بِنْتَ رَسُولِ اللهِ ، مَا هذَا اللَّوْحُ</w:t>
      </w:r>
      <w:r>
        <w:rPr>
          <w:rtl/>
          <w:lang w:bidi="fa-IR"/>
        </w:rPr>
        <w:t>؟</w:t>
      </w:r>
      <w:r w:rsidRPr="00132E65">
        <w:rPr>
          <w:rtl/>
          <w:lang w:bidi="fa-IR"/>
        </w:rPr>
        <w:t xml:space="preserve"> فَقَالَتْ : هذَا لَوْحٌ </w:t>
      </w:r>
      <w:r>
        <w:rPr>
          <w:rStyle w:val="libFootnotenumChar"/>
          <w:rtl/>
        </w:rPr>
        <w:t>(9)</w:t>
      </w:r>
      <w:r w:rsidRPr="00132E65">
        <w:rPr>
          <w:rtl/>
          <w:lang w:bidi="fa-IR"/>
        </w:rPr>
        <w:t xml:space="preserve"> أَهْدَاهُ اللهُ إِلى رَسُولِهِ </w:t>
      </w:r>
      <w:r>
        <w:rPr>
          <w:rStyle w:val="libFootnotenumChar"/>
          <w:rtl/>
        </w:rPr>
        <w:t>(10)</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فِيهِ اسْمُ‌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السند تحويل. ويروي عن بكر بن صالح ، الحسن بن ظريف وصالح بن أبي حمّاد ؛ فقد ورد الخبر </w:t>
      </w:r>
      <w:r w:rsidRPr="0034138C">
        <w:rPr>
          <w:rtl/>
        </w:rPr>
        <w:t>في‌كمال الدّين</w:t>
      </w:r>
      <w:r w:rsidRPr="00132E65">
        <w:rPr>
          <w:rtl/>
        </w:rPr>
        <w:t xml:space="preserve"> ، ص 308 ، ح 1 ، </w:t>
      </w:r>
      <w:r w:rsidRPr="00925B43">
        <w:rPr>
          <w:rStyle w:val="libFootnoteBoldChar"/>
          <w:rtl/>
        </w:rPr>
        <w:t>والغيبة للطوسي</w:t>
      </w:r>
      <w:r w:rsidRPr="00132E65">
        <w:rPr>
          <w:rtl/>
        </w:rPr>
        <w:t xml:space="preserve"> ، ص 143 ، ح 108 ، عن صالح بن أبي حمّاد [ الرازي ] والحسن بن ظريف عن بكر بن صالح.</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أشهد بالله ، أي ا</w:t>
      </w:r>
      <w:r w:rsidR="00925B43">
        <w:rPr>
          <w:rFonts w:hint="cs"/>
          <w:rtl/>
        </w:rPr>
        <w:t>ُ</w:t>
      </w:r>
      <w:r w:rsidRPr="00132E65">
        <w:rPr>
          <w:rtl/>
        </w:rPr>
        <w:t>قسم به. وقيل : أشهد ، جملة خبريّة ، أي أقول ما أقول بعد هذا عن علم‌</w:t>
      </w:r>
      <w:r w:rsidR="00925B43">
        <w:rPr>
          <w:rFonts w:hint="cs"/>
          <w:rtl/>
        </w:rPr>
        <w:t xml:space="preserve"> </w:t>
      </w:r>
      <w:r w:rsidRPr="00132E65">
        <w:rPr>
          <w:rtl/>
        </w:rPr>
        <w:t>ويقين والباء للقسم ، وإنّي بكسر الهمزة ، والجملة جواب القسم ، ومجموع الجواب والقسم استيناف لبيان أشهد »</w:t>
      </w:r>
      <w:r>
        <w:rPr>
          <w:rtl/>
        </w:rPr>
        <w:t>.</w:t>
      </w:r>
    </w:p>
    <w:p w:rsidR="000C39D1" w:rsidRPr="00132E65" w:rsidRDefault="000C39D1" w:rsidP="000C39D1">
      <w:pPr>
        <w:pStyle w:val="libFootnote0"/>
        <w:rPr>
          <w:rtl/>
          <w:lang w:bidi="fa-IR"/>
        </w:rPr>
      </w:pPr>
      <w:r>
        <w:rPr>
          <w:rtl/>
        </w:rPr>
        <w:t>(3).</w:t>
      </w:r>
      <w:r w:rsidRPr="00132E65">
        <w:rPr>
          <w:rtl/>
        </w:rPr>
        <w:t xml:space="preserve"> في الاختصاص والعيون وكمال الدين </w:t>
      </w:r>
      <w:r w:rsidRPr="00925B43">
        <w:rPr>
          <w:rtl/>
        </w:rPr>
        <w:t>والوافي</w:t>
      </w:r>
      <w:r w:rsidRPr="00132E65">
        <w:rPr>
          <w:rtl/>
        </w:rPr>
        <w:t xml:space="preserve"> : « فرأيت »</w:t>
      </w:r>
      <w:r>
        <w:rPr>
          <w:rtl/>
        </w:rPr>
        <w:t>.</w:t>
      </w:r>
    </w:p>
    <w:tbl>
      <w:tblPr>
        <w:tblStyle w:val="TableGrid"/>
        <w:bidiVisual/>
        <w:tblW w:w="0" w:type="auto"/>
        <w:tblLook w:val="04A0" w:firstRow="1" w:lastRow="0" w:firstColumn="1" w:lastColumn="0" w:noHBand="0" w:noVBand="1"/>
      </w:tblPr>
      <w:tblGrid>
        <w:gridCol w:w="4261"/>
        <w:gridCol w:w="4262"/>
      </w:tblGrid>
      <w:tr w:rsidR="00925B43" w:rsidTr="00925B43">
        <w:tc>
          <w:tcPr>
            <w:tcW w:w="4261" w:type="dxa"/>
          </w:tcPr>
          <w:p w:rsidR="00925B43" w:rsidRDefault="00925B43" w:rsidP="000C39D1">
            <w:pPr>
              <w:pStyle w:val="libFootnote0"/>
              <w:rPr>
                <w:rtl/>
              </w:rPr>
            </w:pPr>
            <w:r>
              <w:rPr>
                <w:rtl/>
              </w:rPr>
              <w:t>(4).</w:t>
            </w:r>
            <w:r w:rsidRPr="00132E65">
              <w:rPr>
                <w:rtl/>
              </w:rPr>
              <w:t xml:space="preserve"> في « ف » : « حتّى ظننت »</w:t>
            </w:r>
            <w:r>
              <w:rPr>
                <w:rtl/>
              </w:rPr>
              <w:t>.</w:t>
            </w:r>
          </w:p>
        </w:tc>
        <w:tc>
          <w:tcPr>
            <w:tcW w:w="4262" w:type="dxa"/>
          </w:tcPr>
          <w:p w:rsidR="00925B43" w:rsidRDefault="00925B43" w:rsidP="000C39D1">
            <w:pPr>
              <w:pStyle w:val="libFootnote0"/>
              <w:rPr>
                <w:rtl/>
              </w:rPr>
            </w:pPr>
            <w:r>
              <w:rPr>
                <w:rtl/>
              </w:rPr>
              <w:t>(5).</w:t>
            </w:r>
            <w:r w:rsidRPr="00132E65">
              <w:rPr>
                <w:rtl/>
              </w:rPr>
              <w:t xml:space="preserve"> في « ف » : « شبيه »</w:t>
            </w:r>
            <w:r>
              <w:rPr>
                <w:rtl/>
              </w:rPr>
              <w:t>.</w:t>
            </w:r>
          </w:p>
        </w:tc>
      </w:tr>
    </w:tbl>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الوافي</w:t>
      </w:r>
      <w:r w:rsidRPr="00132E65">
        <w:rPr>
          <w:rtl/>
        </w:rPr>
        <w:t xml:space="preserve"> : « لوحاً أخضر ، كأنّه كان من عالم الملكوت البرزخي ، وخضرته كناية عن توسّطه بين بياض نور عالم الجبروت وسواد ظلمة عالم الشهادة. وإنّما كانت مكتوبه أبيض لأنّه كان من العالم الأعلى النوري المحض »</w:t>
      </w:r>
      <w:r>
        <w:rPr>
          <w:rtl/>
        </w:rPr>
        <w:t>.</w:t>
      </w:r>
    </w:p>
    <w:p w:rsidR="000C39D1" w:rsidRPr="00132E65" w:rsidRDefault="000C39D1" w:rsidP="000C39D1">
      <w:pPr>
        <w:pStyle w:val="libFootnote0"/>
        <w:rPr>
          <w:rtl/>
          <w:lang w:bidi="fa-IR"/>
        </w:rPr>
      </w:pPr>
      <w:r>
        <w:rPr>
          <w:rtl/>
        </w:rPr>
        <w:t>(7).</w:t>
      </w:r>
      <w:r w:rsidRPr="00132E65">
        <w:rPr>
          <w:rtl/>
        </w:rPr>
        <w:t xml:space="preserve"> في « ف » والاختصاص والعيون وكمال الدين والغيبة للنعماني :</w:t>
      </w:r>
      <w:r>
        <w:rPr>
          <w:rtl/>
        </w:rPr>
        <w:t xml:space="preserve"> + </w:t>
      </w:r>
      <w:r w:rsidRPr="00132E65">
        <w:rPr>
          <w:rtl/>
        </w:rPr>
        <w:t>« أنت »</w:t>
      </w:r>
      <w:r>
        <w:rPr>
          <w:rtl/>
        </w:rPr>
        <w:t>.</w:t>
      </w:r>
    </w:p>
    <w:p w:rsidR="000C39D1" w:rsidRPr="00132E65" w:rsidRDefault="000C39D1" w:rsidP="000C39D1">
      <w:pPr>
        <w:pStyle w:val="libFootnote0"/>
        <w:rPr>
          <w:rtl/>
          <w:lang w:bidi="fa-IR"/>
        </w:rPr>
      </w:pPr>
      <w:r>
        <w:rPr>
          <w:rtl/>
        </w:rPr>
        <w:t>(8).</w:t>
      </w:r>
      <w:r w:rsidRPr="00132E65">
        <w:rPr>
          <w:rtl/>
        </w:rPr>
        <w:t xml:space="preserve"> في « ض ، بر ، بف » وحاشية « ب ، ج » و</w:t>
      </w:r>
      <w:r w:rsidRPr="009D1ACE">
        <w:rPr>
          <w:rStyle w:val="libFootnoteBoldChar"/>
          <w:rtl/>
        </w:rPr>
        <w:t>الوافي</w:t>
      </w:r>
      <w:r w:rsidRPr="00132E65">
        <w:rPr>
          <w:rtl/>
        </w:rPr>
        <w:t xml:space="preserve"> :</w:t>
      </w:r>
      <w:r>
        <w:rPr>
          <w:rtl/>
        </w:rPr>
        <w:t xml:space="preserve"> + </w:t>
      </w:r>
      <w:r w:rsidRPr="00132E65">
        <w:rPr>
          <w:rtl/>
        </w:rPr>
        <w:t>« أنت »</w:t>
      </w:r>
      <w:r>
        <w:rPr>
          <w:rtl/>
        </w:rPr>
        <w:t>.</w:t>
      </w:r>
    </w:p>
    <w:p w:rsidR="000C39D1" w:rsidRPr="00132E65" w:rsidRDefault="000C39D1" w:rsidP="000C39D1">
      <w:pPr>
        <w:pStyle w:val="libFootnote0"/>
        <w:rPr>
          <w:rtl/>
          <w:lang w:bidi="fa-IR"/>
        </w:rPr>
      </w:pPr>
      <w:r>
        <w:rPr>
          <w:rtl/>
        </w:rPr>
        <w:t>(9).</w:t>
      </w:r>
      <w:r w:rsidRPr="00132E65">
        <w:rPr>
          <w:rtl/>
        </w:rPr>
        <w:t xml:space="preserve"> في « بف » وحاشية « بح » والعيون وكمال الدين </w:t>
      </w:r>
      <w:r w:rsidRPr="00925B43">
        <w:rPr>
          <w:rStyle w:val="libFootnoteBoldChar"/>
          <w:rtl/>
        </w:rPr>
        <w:t>والغيبة للطوسي</w:t>
      </w:r>
      <w:r w:rsidRPr="00132E65">
        <w:rPr>
          <w:rtl/>
        </w:rPr>
        <w:t xml:space="preserve"> : « اللوح »</w:t>
      </w:r>
      <w:r>
        <w:rPr>
          <w:rtl/>
        </w:rPr>
        <w:t>.</w:t>
      </w:r>
    </w:p>
    <w:p w:rsidR="000C39D1" w:rsidRPr="00132E65" w:rsidRDefault="000C39D1" w:rsidP="000C39D1">
      <w:pPr>
        <w:pStyle w:val="libFootnote0"/>
        <w:rPr>
          <w:rtl/>
          <w:lang w:bidi="fa-IR"/>
        </w:rPr>
      </w:pPr>
      <w:r>
        <w:rPr>
          <w:rtl/>
        </w:rPr>
        <w:t>(10).</w:t>
      </w:r>
      <w:r w:rsidRPr="00132E65">
        <w:rPr>
          <w:rtl/>
        </w:rPr>
        <w:t xml:space="preserve"> في « ف ، بح » : « رسول الله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و</w:t>
      </w:r>
      <w:r w:rsidR="00925B43">
        <w:rPr>
          <w:rFonts w:hint="cs"/>
          <w:rtl/>
          <w:lang w:bidi="fa-IR"/>
        </w:rPr>
        <w:t>َ</w:t>
      </w:r>
      <w:r w:rsidRPr="00132E65">
        <w:rPr>
          <w:rtl/>
          <w:lang w:bidi="fa-IR"/>
        </w:rPr>
        <w:t>اسْمُ بَعْلِي و</w:t>
      </w:r>
      <w:r w:rsidR="00925B43">
        <w:rPr>
          <w:rFonts w:hint="cs"/>
          <w:rtl/>
          <w:lang w:bidi="fa-IR"/>
        </w:rPr>
        <w:t>َ</w:t>
      </w:r>
      <w:r w:rsidRPr="00132E65">
        <w:rPr>
          <w:rtl/>
          <w:lang w:bidi="fa-IR"/>
        </w:rPr>
        <w:t>اسْمُ ابْنَيَّ و</w:t>
      </w:r>
      <w:r w:rsidR="00925B43">
        <w:rPr>
          <w:rFonts w:hint="cs"/>
          <w:rtl/>
          <w:lang w:bidi="fa-IR"/>
        </w:rPr>
        <w:t>َ</w:t>
      </w:r>
      <w:r w:rsidRPr="00132E65">
        <w:rPr>
          <w:rtl/>
          <w:lang w:bidi="fa-IR"/>
        </w:rPr>
        <w:t xml:space="preserve">اسْمُ </w:t>
      </w:r>
      <w:r>
        <w:rPr>
          <w:rStyle w:val="libFootnotenumChar"/>
          <w:rtl/>
        </w:rPr>
        <w:t>(1)</w:t>
      </w:r>
      <w:r w:rsidRPr="00132E65">
        <w:rPr>
          <w:rtl/>
          <w:lang w:bidi="fa-IR"/>
        </w:rPr>
        <w:t xml:space="preserve"> الْأَوْصِيَاءِ مِنْ ولْدِي ، و</w:t>
      </w:r>
      <w:r w:rsidR="00925B43">
        <w:rPr>
          <w:rFonts w:hint="cs"/>
          <w:rtl/>
          <w:lang w:bidi="fa-IR"/>
        </w:rPr>
        <w:t>َ</w:t>
      </w:r>
      <w:r w:rsidRPr="00132E65">
        <w:rPr>
          <w:rtl/>
          <w:lang w:bidi="fa-IR"/>
        </w:rPr>
        <w:t xml:space="preserve">أَعْطَانِيهِ </w:t>
      </w:r>
      <w:r>
        <w:rPr>
          <w:rStyle w:val="libFootnotenumChar"/>
          <w:rtl/>
        </w:rPr>
        <w:t>(2)</w:t>
      </w:r>
      <w:r w:rsidRPr="00132E65">
        <w:rPr>
          <w:rtl/>
          <w:lang w:bidi="fa-IR"/>
        </w:rPr>
        <w:t xml:space="preserve"> أَبِي لِيُبَشِّرَنِي </w:t>
      </w:r>
      <w:r>
        <w:rPr>
          <w:rStyle w:val="libFootnotenumChar"/>
          <w:rtl/>
        </w:rPr>
        <w:t>(3)</w:t>
      </w:r>
      <w:r w:rsidRPr="00132E65">
        <w:rPr>
          <w:rtl/>
          <w:lang w:bidi="fa-IR"/>
        </w:rPr>
        <w:t xml:space="preserve"> بِذلِكَ.</w:t>
      </w:r>
    </w:p>
    <w:p w:rsidR="000C39D1" w:rsidRPr="00132E65" w:rsidRDefault="000C39D1" w:rsidP="000C39D1">
      <w:pPr>
        <w:pStyle w:val="libNormal"/>
        <w:rPr>
          <w:rtl/>
          <w:lang w:bidi="fa-IR"/>
        </w:rPr>
      </w:pPr>
      <w:r w:rsidRPr="00132E65">
        <w:rPr>
          <w:rtl/>
          <w:lang w:bidi="fa-IR"/>
        </w:rPr>
        <w:t xml:space="preserve">قَالَ جَابِرٌ </w:t>
      </w:r>
      <w:r>
        <w:rPr>
          <w:rStyle w:val="libFootnotenumChar"/>
          <w:rtl/>
        </w:rPr>
        <w:t>(4)</w:t>
      </w:r>
      <w:r w:rsidRPr="00132E65">
        <w:rPr>
          <w:rtl/>
          <w:lang w:bidi="fa-IR"/>
        </w:rPr>
        <w:t xml:space="preserve"> : فَأَعْطَتْنِيهِ </w:t>
      </w:r>
      <w:r>
        <w:rPr>
          <w:rStyle w:val="libFootnotenumChar"/>
          <w:rtl/>
        </w:rPr>
        <w:t>(5)</w:t>
      </w:r>
      <w:r w:rsidRPr="00132E65">
        <w:rPr>
          <w:rtl/>
          <w:lang w:bidi="fa-IR"/>
        </w:rPr>
        <w:t xml:space="preserve"> أُمُّكَ فَاطِمَةُ </w:t>
      </w:r>
      <w:r w:rsidRPr="00071CF9">
        <w:rPr>
          <w:rStyle w:val="libAlaemChar"/>
          <w:rtl/>
        </w:rPr>
        <w:t>عليها‌السلام</w:t>
      </w:r>
      <w:r w:rsidRPr="00132E65">
        <w:rPr>
          <w:rtl/>
          <w:lang w:bidi="fa-IR"/>
        </w:rPr>
        <w:t xml:space="preserve"> ، فَقَرَأْتُهُ ، واسْتَنْسَخْتُهُ </w:t>
      </w:r>
      <w:r>
        <w:rPr>
          <w:rStyle w:val="libFootnotenumChar"/>
          <w:rtl/>
        </w:rPr>
        <w:t>(6)</w:t>
      </w:r>
      <w:r w:rsidRPr="00132E65">
        <w:rPr>
          <w:rtl/>
          <w:lang w:bidi="fa-IR"/>
        </w:rPr>
        <w:t xml:space="preserve"> فَقَالَ </w:t>
      </w:r>
      <w:r>
        <w:rPr>
          <w:rStyle w:val="libFootnotenumChar"/>
          <w:rtl/>
        </w:rPr>
        <w:t>(7)</w:t>
      </w:r>
      <w:r w:rsidRPr="00132E65">
        <w:rPr>
          <w:rtl/>
          <w:lang w:bidi="fa-IR"/>
        </w:rPr>
        <w:t xml:space="preserve"> أَبِي :</w:t>
      </w:r>
      <w:r>
        <w:rPr>
          <w:rFonts w:hint="cs"/>
          <w:rtl/>
          <w:lang w:bidi="fa-IR"/>
        </w:rPr>
        <w:t xml:space="preserve"> </w:t>
      </w:r>
      <w:r w:rsidRPr="00132E65">
        <w:rPr>
          <w:rtl/>
          <w:lang w:bidi="fa-IR"/>
        </w:rPr>
        <w:t xml:space="preserve">فَهَلْ </w:t>
      </w:r>
      <w:r>
        <w:rPr>
          <w:rStyle w:val="libFootnotenumChar"/>
          <w:rtl/>
        </w:rPr>
        <w:t>(8)</w:t>
      </w:r>
      <w:r w:rsidRPr="00132E65">
        <w:rPr>
          <w:rtl/>
          <w:lang w:bidi="fa-IR"/>
        </w:rPr>
        <w:t xml:space="preserve"> لَكَ يَا جَابِرُ أَنْ تَعْرِضَهُ عَلَيَّ</w:t>
      </w:r>
      <w:r>
        <w:rPr>
          <w:rtl/>
          <w:lang w:bidi="fa-IR"/>
        </w:rPr>
        <w:t>؟</w:t>
      </w:r>
      <w:r w:rsidRPr="00132E65">
        <w:rPr>
          <w:rtl/>
          <w:lang w:bidi="fa-IR"/>
        </w:rPr>
        <w:t xml:space="preserve"> قَالَ : نَعَمْ ، فَمَشى مَعَهُ أَبِي </w:t>
      </w:r>
      <w:r>
        <w:rPr>
          <w:rStyle w:val="libFootnotenumChar"/>
          <w:rtl/>
        </w:rPr>
        <w:t>(9)</w:t>
      </w:r>
      <w:r w:rsidRPr="00132E65">
        <w:rPr>
          <w:rtl/>
          <w:lang w:bidi="fa-IR"/>
        </w:rPr>
        <w:t xml:space="preserve"> إِلى مَنْزِلِ جَابِرٍ ، فَأَخْرَجَ صَحِيفَةً مِنْ رَقٍّ </w:t>
      </w:r>
      <w:r>
        <w:rPr>
          <w:rStyle w:val="libFootnotenumChar"/>
          <w:rtl/>
        </w:rPr>
        <w:t>(10)</w:t>
      </w:r>
      <w:r w:rsidRPr="00132E65">
        <w:rPr>
          <w:rtl/>
          <w:lang w:bidi="fa-IR"/>
        </w:rPr>
        <w:t xml:space="preserve"> ، فَقَالَ </w:t>
      </w:r>
      <w:r>
        <w:rPr>
          <w:rStyle w:val="libFootnotenumChar"/>
          <w:rtl/>
        </w:rPr>
        <w:t>(11)</w:t>
      </w:r>
      <w:r w:rsidRPr="00132E65">
        <w:rPr>
          <w:rtl/>
          <w:lang w:bidi="fa-IR"/>
        </w:rPr>
        <w:t xml:space="preserve"> : يَا جَابِرُ ، انْظُرْ فِي كِتَابِكَ لِأَقْرَأَ </w:t>
      </w:r>
      <w:r>
        <w:rPr>
          <w:rStyle w:val="libFootnotenumChar"/>
          <w:rtl/>
        </w:rPr>
        <w:t>(12)</w:t>
      </w:r>
      <w:r w:rsidRPr="00132E65">
        <w:rPr>
          <w:rtl/>
          <w:lang w:bidi="fa-IR"/>
        </w:rPr>
        <w:t xml:space="preserve"> عَلَيْكَ ، فَنَظَرَ جَابِرٌ فِي نُسْخَتِهِ ، فَقَرَأَهُ أَبِي ، فَمَا خَالَفَ </w:t>
      </w:r>
      <w:r w:rsidRPr="00F543F1">
        <w:rPr>
          <w:rStyle w:val="libFootnotenumChar"/>
          <w:rtl/>
        </w:rPr>
        <w:t>(13)</w:t>
      </w:r>
      <w:r w:rsidRPr="00132E65">
        <w:rPr>
          <w:rtl/>
          <w:lang w:bidi="fa-IR"/>
        </w:rPr>
        <w:t xml:space="preserve"> حَرْفٌ حَرْفاً ، فَقَالَ جَابِرٌ : فَأَشْهَدُ </w:t>
      </w:r>
      <w:r w:rsidRPr="00F543F1">
        <w:rPr>
          <w:rStyle w:val="libFootnotenumChar"/>
          <w:rtl/>
        </w:rPr>
        <w:t>(14)</w:t>
      </w:r>
      <w:r w:rsidRPr="00132E65">
        <w:rPr>
          <w:rtl/>
          <w:lang w:bidi="fa-IR"/>
        </w:rPr>
        <w:t xml:space="preserve"> بِاللهِ إِنِّي هكَذَا رَأَيْتُهُ فِي اللَّوْحِ مَكْتُوباً :</w:t>
      </w:r>
    </w:p>
    <w:p w:rsidR="000C39D1" w:rsidRPr="00132E65" w:rsidRDefault="000C39D1" w:rsidP="000C39D1">
      <w:pPr>
        <w:pStyle w:val="libNormal"/>
        <w:rPr>
          <w:rtl/>
          <w:lang w:bidi="fa-IR"/>
        </w:rPr>
      </w:pPr>
      <w:r w:rsidRPr="00132E65">
        <w:rPr>
          <w:rtl/>
          <w:lang w:bidi="fa-IR"/>
        </w:rPr>
        <w:t>بِسْمِ اللهِ الرَّحْمنِ الرَّحِيمِ ، هذَا كِتَابٌ مِنَ اللهِ الْعَزِيزِ الْحَكِيمِ لِمُحَمَّدٍ نَبِيِّهِ و</w:t>
      </w:r>
      <w:r w:rsidR="00925B43">
        <w:rPr>
          <w:rFonts w:hint="cs"/>
          <w:rtl/>
          <w:lang w:bidi="fa-IR"/>
        </w:rPr>
        <w:t>َ</w:t>
      </w:r>
      <w:r w:rsidRPr="00132E65">
        <w:rPr>
          <w:rtl/>
          <w:lang w:bidi="fa-IR"/>
        </w:rPr>
        <w:t>نُورِهِ وَسَفِيرِهِ و</w:t>
      </w:r>
      <w:r w:rsidR="00925B43">
        <w:rPr>
          <w:rFonts w:hint="cs"/>
          <w:rtl/>
          <w:lang w:bidi="fa-IR"/>
        </w:rPr>
        <w:t>َ</w:t>
      </w:r>
      <w:r w:rsidRPr="00132E65">
        <w:rPr>
          <w:rtl/>
          <w:lang w:bidi="fa-IR"/>
        </w:rPr>
        <w:t>حِجَابِهِ و</w:t>
      </w:r>
      <w:r w:rsidR="00925B43">
        <w:rPr>
          <w:rFonts w:hint="cs"/>
          <w:rtl/>
          <w:lang w:bidi="fa-IR"/>
        </w:rPr>
        <w:t>َ</w:t>
      </w:r>
      <w:r w:rsidRPr="00132E65">
        <w:rPr>
          <w:rtl/>
          <w:lang w:bidi="fa-IR"/>
        </w:rPr>
        <w:t>دَلِيلِهِ ، نَزَلَ بِهِ الرُّوحُ الْأَمِينُ مِنْ عِنْدِ رَبِّ الْعَالَمِينَ ، عَظِّمْ يَا مُحَمَّدُ أَسْمَائِي ، و</w:t>
      </w:r>
      <w:r w:rsidR="00925B43">
        <w:rPr>
          <w:rFonts w:hint="cs"/>
          <w:rtl/>
          <w:lang w:bidi="fa-IR"/>
        </w:rPr>
        <w:t>َ</w:t>
      </w:r>
      <w:r w:rsidRPr="00132E65">
        <w:rPr>
          <w:rtl/>
          <w:lang w:bidi="fa-IR"/>
        </w:rPr>
        <w:t>اشْكُرْ نَعْمَائِي ، و</w:t>
      </w:r>
      <w:r w:rsidR="00925B43">
        <w:rPr>
          <w:rFonts w:hint="cs"/>
          <w:rtl/>
          <w:lang w:bidi="fa-IR"/>
        </w:rPr>
        <w:t>َ</w:t>
      </w:r>
      <w:r w:rsidRPr="00132E65">
        <w:rPr>
          <w:rtl/>
          <w:lang w:bidi="fa-IR"/>
        </w:rPr>
        <w:t>لَاتَجْحَدْ آلَائِي ، إِنِّي أَنَا اللهُ ، لَا</w:t>
      </w:r>
      <w:r>
        <w:rPr>
          <w:rFonts w:hint="cs"/>
          <w:rtl/>
          <w:lang w:bidi="fa-IR"/>
        </w:rPr>
        <w:t xml:space="preserve"> </w:t>
      </w:r>
      <w:r w:rsidR="00925B43">
        <w:rPr>
          <w:rtl/>
          <w:lang w:bidi="fa-IR"/>
        </w:rPr>
        <w:t>إِلهَ إِل</w:t>
      </w:r>
      <w:r w:rsidR="00925B43">
        <w:rPr>
          <w:rFonts w:hint="cs"/>
          <w:rtl/>
          <w:lang w:bidi="fa-IR"/>
        </w:rPr>
        <w:t>َّ</w:t>
      </w:r>
      <w:r w:rsidR="00925B43">
        <w:rPr>
          <w:rtl/>
          <w:lang w:bidi="fa-IR"/>
        </w:rPr>
        <w:t>ا</w:t>
      </w:r>
      <w:r w:rsidRPr="00132E65">
        <w:rPr>
          <w:rtl/>
          <w:lang w:bidi="fa-IR"/>
        </w:rPr>
        <w:t xml:space="preserve"> أَنَا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العيون وكمال الدين والاختصاص والغيبة للطوسي : « أسماء »</w:t>
      </w:r>
      <w:r>
        <w:rPr>
          <w:rtl/>
        </w:rPr>
        <w:t>.</w:t>
      </w:r>
    </w:p>
    <w:p w:rsidR="000C39D1" w:rsidRPr="00132E65" w:rsidRDefault="000C39D1" w:rsidP="000C39D1">
      <w:pPr>
        <w:pStyle w:val="libFootnote0"/>
        <w:rPr>
          <w:rtl/>
          <w:lang w:bidi="fa-IR"/>
        </w:rPr>
      </w:pPr>
      <w:r>
        <w:rPr>
          <w:rtl/>
        </w:rPr>
        <w:t>(2).</w:t>
      </w:r>
      <w:r w:rsidRPr="00132E65">
        <w:rPr>
          <w:rtl/>
        </w:rPr>
        <w:t xml:space="preserve"> في العيون وكمال الدين والاختصاص والغيبة للطوسي : « فأعطانيه »</w:t>
      </w:r>
      <w:r>
        <w:rPr>
          <w:rtl/>
        </w:rPr>
        <w:t>.</w:t>
      </w:r>
    </w:p>
    <w:p w:rsidR="000C39D1" w:rsidRPr="00132E65" w:rsidRDefault="000C39D1" w:rsidP="000C39D1">
      <w:pPr>
        <w:pStyle w:val="libFootnote0"/>
        <w:rPr>
          <w:rtl/>
          <w:lang w:bidi="fa-IR"/>
        </w:rPr>
      </w:pPr>
      <w:r>
        <w:rPr>
          <w:rtl/>
        </w:rPr>
        <w:t>(3).</w:t>
      </w:r>
      <w:r w:rsidRPr="00132E65">
        <w:rPr>
          <w:rtl/>
        </w:rPr>
        <w:t xml:space="preserve"> في « بر ، بس » و</w:t>
      </w:r>
      <w:r w:rsidRPr="009D1ACE">
        <w:rPr>
          <w:rStyle w:val="libFootnoteBoldChar"/>
          <w:rtl/>
        </w:rPr>
        <w:t>مرآة العقول</w:t>
      </w:r>
      <w:r w:rsidRPr="00132E65">
        <w:rPr>
          <w:rtl/>
        </w:rPr>
        <w:t xml:space="preserve"> والاختصاص والعيون وكمال الدين والغيبة للطوسي : « ليسرّني »</w:t>
      </w:r>
      <w:r>
        <w:rPr>
          <w:rtl/>
        </w:rPr>
        <w:t>.</w:t>
      </w:r>
    </w:p>
    <w:p w:rsidR="000C39D1" w:rsidRPr="00132E65" w:rsidRDefault="000C39D1" w:rsidP="000C39D1">
      <w:pPr>
        <w:pStyle w:val="libFootnote0"/>
        <w:rPr>
          <w:rtl/>
          <w:lang w:bidi="fa-IR"/>
        </w:rPr>
      </w:pPr>
      <w:r>
        <w:rPr>
          <w:rtl/>
        </w:rPr>
        <w:t>(4).</w:t>
      </w:r>
      <w:r w:rsidRPr="00132E65">
        <w:rPr>
          <w:rtl/>
        </w:rPr>
        <w:t xml:space="preserve"> في « ف » </w:t>
      </w:r>
      <w:r>
        <w:rPr>
          <w:rtl/>
        </w:rPr>
        <w:t xml:space="preserve">: - </w:t>
      </w:r>
      <w:r w:rsidRPr="00132E65">
        <w:rPr>
          <w:rtl/>
        </w:rPr>
        <w:t>« جابر »</w:t>
      </w:r>
      <w:r>
        <w:rPr>
          <w:rtl/>
        </w:rPr>
        <w:t>.</w:t>
      </w:r>
    </w:p>
    <w:p w:rsidR="000C39D1" w:rsidRPr="00132E65" w:rsidRDefault="000C39D1" w:rsidP="000C39D1">
      <w:pPr>
        <w:pStyle w:val="libFootnote0"/>
        <w:rPr>
          <w:rtl/>
          <w:lang w:bidi="fa-IR"/>
        </w:rPr>
      </w:pPr>
      <w:r>
        <w:rPr>
          <w:rtl/>
        </w:rPr>
        <w:t>(5).</w:t>
      </w:r>
      <w:r w:rsidRPr="00132E65">
        <w:rPr>
          <w:rtl/>
        </w:rPr>
        <w:t xml:space="preserve"> في « ف » : « فأعطته »</w:t>
      </w:r>
      <w:r>
        <w:rPr>
          <w:rtl/>
        </w:rPr>
        <w:t>.</w:t>
      </w:r>
      <w:r w:rsidRPr="00132E65">
        <w:rPr>
          <w:rtl/>
        </w:rPr>
        <w:t xml:space="preserve"> وفي الغيبة للنعماني : « فدفعته إليّ » بدل « فأعطتنيه »</w:t>
      </w:r>
      <w:r>
        <w:rPr>
          <w:rtl/>
        </w:rPr>
        <w:t>.</w:t>
      </w:r>
    </w:p>
    <w:p w:rsidR="000C39D1" w:rsidRPr="00132E65" w:rsidRDefault="000C39D1" w:rsidP="000C39D1">
      <w:pPr>
        <w:pStyle w:val="libFootnote0"/>
        <w:rPr>
          <w:rtl/>
          <w:lang w:bidi="fa-IR"/>
        </w:rPr>
      </w:pPr>
      <w:r>
        <w:rPr>
          <w:rtl/>
        </w:rPr>
        <w:t>(6).</w:t>
      </w:r>
      <w:r w:rsidRPr="00132E65">
        <w:rPr>
          <w:rtl/>
        </w:rPr>
        <w:t xml:space="preserve"> في حاشية « ف » : « واستحسنته »</w:t>
      </w:r>
      <w:r>
        <w:rPr>
          <w:rtl/>
        </w:rPr>
        <w:t>.</w:t>
      </w:r>
    </w:p>
    <w:p w:rsidR="000C39D1" w:rsidRPr="00132E65" w:rsidRDefault="000C39D1" w:rsidP="000C39D1">
      <w:pPr>
        <w:pStyle w:val="libFootnote0"/>
        <w:rPr>
          <w:rtl/>
          <w:lang w:bidi="fa-IR"/>
        </w:rPr>
      </w:pPr>
      <w:r>
        <w:rPr>
          <w:rtl/>
        </w:rPr>
        <w:t>(7).</w:t>
      </w:r>
      <w:r w:rsidRPr="00132E65">
        <w:rPr>
          <w:rtl/>
        </w:rPr>
        <w:t xml:space="preserve"> هكذا في النسخ التي قوبلت </w:t>
      </w:r>
      <w:r w:rsidRPr="00925B43">
        <w:rPr>
          <w:rtl/>
        </w:rPr>
        <w:t>والوافي</w:t>
      </w:r>
      <w:r w:rsidRPr="00132E65">
        <w:rPr>
          <w:rtl/>
        </w:rPr>
        <w:t xml:space="preserve"> والاختصاص والعيون. وفي المطبوع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(8).</w:t>
      </w:r>
      <w:r w:rsidRPr="00132E65">
        <w:rPr>
          <w:rtl/>
        </w:rPr>
        <w:t xml:space="preserve"> في « ف » : « هل » بدون الفاء.</w:t>
      </w:r>
    </w:p>
    <w:p w:rsidR="000C39D1" w:rsidRPr="00132E65" w:rsidRDefault="000C39D1" w:rsidP="000C39D1">
      <w:pPr>
        <w:pStyle w:val="libFootnote0"/>
        <w:rPr>
          <w:rtl/>
          <w:lang w:bidi="fa-IR"/>
        </w:rPr>
      </w:pPr>
      <w:r>
        <w:rPr>
          <w:rtl/>
        </w:rPr>
        <w:t>(9).</w:t>
      </w:r>
      <w:r w:rsidRPr="00132E65">
        <w:rPr>
          <w:rtl/>
        </w:rPr>
        <w:t xml:space="preserve"> في العيون وكمال الدين والغيبة للطوسي :</w:t>
      </w:r>
      <w:r>
        <w:rPr>
          <w:rtl/>
        </w:rPr>
        <w:t xml:space="preserve"> + </w:t>
      </w:r>
      <w:r w:rsidRPr="00132E65">
        <w:rPr>
          <w:rtl/>
        </w:rPr>
        <w:t>« حتّى انتهى »</w:t>
      </w:r>
      <w:r>
        <w:rPr>
          <w:rtl/>
        </w:rPr>
        <w:t>.</w:t>
      </w:r>
      <w:r w:rsidRPr="00132E65">
        <w:rPr>
          <w:rtl/>
        </w:rPr>
        <w:t xml:space="preserve"> وفي الاختصاص :</w:t>
      </w:r>
      <w:r>
        <w:rPr>
          <w:rtl/>
        </w:rPr>
        <w:t xml:space="preserve"> + </w:t>
      </w:r>
      <w:r w:rsidRPr="00132E65">
        <w:rPr>
          <w:rtl/>
        </w:rPr>
        <w:t>« حتّى أتى »</w:t>
      </w:r>
      <w:r>
        <w:rPr>
          <w:rtl/>
        </w:rPr>
        <w:t>.</w:t>
      </w:r>
    </w:p>
    <w:p w:rsidR="000C39D1" w:rsidRPr="00132E65" w:rsidRDefault="000C39D1" w:rsidP="000C39D1">
      <w:pPr>
        <w:pStyle w:val="libFootnote0"/>
        <w:rPr>
          <w:rtl/>
          <w:lang w:bidi="fa-IR"/>
        </w:rPr>
      </w:pPr>
      <w:r>
        <w:rPr>
          <w:rtl/>
        </w:rPr>
        <w:t>(10).</w:t>
      </w:r>
      <w:r w:rsidRPr="00132E65">
        <w:rPr>
          <w:rtl/>
        </w:rPr>
        <w:t xml:space="preserve"> « الرَّقّ » بالفتح : الجِلد يكتب فيه. والكسر لغة قليلة فيه. </w:t>
      </w:r>
      <w:r w:rsidRPr="006663AA">
        <w:rPr>
          <w:rStyle w:val="libFootnoteBoldChar"/>
          <w:rtl/>
        </w:rPr>
        <w:t>المصباح المنير</w:t>
      </w:r>
      <w:r w:rsidRPr="00132E65">
        <w:rPr>
          <w:rtl/>
        </w:rPr>
        <w:t xml:space="preserve"> ، ص 235 ( رقق )</w:t>
      </w:r>
      <w:r>
        <w:rPr>
          <w:rtl/>
        </w:rPr>
        <w:t>.</w:t>
      </w:r>
    </w:p>
    <w:p w:rsidR="000C39D1" w:rsidRPr="00132E65" w:rsidRDefault="000C39D1" w:rsidP="000C39D1">
      <w:pPr>
        <w:pStyle w:val="libFootnote0"/>
        <w:rPr>
          <w:rtl/>
          <w:lang w:bidi="fa-IR"/>
        </w:rPr>
      </w:pPr>
      <w:r>
        <w:rPr>
          <w:rtl/>
        </w:rPr>
        <w:t>(11).</w:t>
      </w:r>
      <w:r w:rsidRPr="00132E65">
        <w:rPr>
          <w:rtl/>
        </w:rPr>
        <w:t xml:space="preserve"> في « ف » :</w:t>
      </w:r>
      <w:r>
        <w:rPr>
          <w:rtl/>
        </w:rPr>
        <w:t xml:space="preserve"> + </w:t>
      </w:r>
      <w:r w:rsidRPr="00132E65">
        <w:rPr>
          <w:rtl/>
        </w:rPr>
        <w:t>« أبي »</w:t>
      </w:r>
      <w:r>
        <w:rPr>
          <w:rtl/>
        </w:rPr>
        <w:t>.</w:t>
      </w:r>
    </w:p>
    <w:p w:rsidR="000C39D1" w:rsidRPr="00132E65" w:rsidRDefault="000C39D1" w:rsidP="000C39D1">
      <w:pPr>
        <w:pStyle w:val="libFootnote0"/>
        <w:rPr>
          <w:rtl/>
          <w:lang w:bidi="fa-IR"/>
        </w:rPr>
      </w:pPr>
      <w:r>
        <w:rPr>
          <w:rtl/>
        </w:rPr>
        <w:t>(12).</w:t>
      </w:r>
      <w:r w:rsidRPr="00132E65">
        <w:rPr>
          <w:rtl/>
        </w:rPr>
        <w:t xml:space="preserve"> هكذا في النسخ التي قوبلت </w:t>
      </w:r>
      <w:r w:rsidRPr="006663AA">
        <w:rPr>
          <w:rtl/>
        </w:rPr>
        <w:t>والوافي</w:t>
      </w:r>
      <w:r w:rsidRPr="00132E65">
        <w:rPr>
          <w:rtl/>
        </w:rPr>
        <w:t>. وفي المطبوع :</w:t>
      </w:r>
      <w:r>
        <w:rPr>
          <w:rtl/>
        </w:rPr>
        <w:t xml:space="preserve"> + </w:t>
      </w:r>
      <w:r w:rsidRPr="00132E65">
        <w:rPr>
          <w:rtl/>
        </w:rPr>
        <w:t>« أنا »</w:t>
      </w:r>
      <w:r>
        <w:rPr>
          <w:rtl/>
        </w:rPr>
        <w:t>.</w:t>
      </w:r>
    </w:p>
    <w:p w:rsidR="000C39D1" w:rsidRPr="00132E65" w:rsidRDefault="000C39D1" w:rsidP="000C39D1">
      <w:pPr>
        <w:pStyle w:val="libFootnote0"/>
        <w:rPr>
          <w:rtl/>
          <w:lang w:bidi="fa-IR"/>
        </w:rPr>
      </w:pPr>
      <w:r>
        <w:rPr>
          <w:rtl/>
        </w:rPr>
        <w:t>(13)</w:t>
      </w:r>
      <w:r w:rsidRPr="00132E65">
        <w:rPr>
          <w:rtl/>
        </w:rPr>
        <w:t xml:space="preserve"> في كمال الدين : « فوالله ما خالف »</w:t>
      </w:r>
      <w:r>
        <w:rPr>
          <w:rtl/>
        </w:rPr>
        <w:t>.</w:t>
      </w:r>
    </w:p>
    <w:p w:rsidR="000C39D1" w:rsidRPr="00132E65" w:rsidRDefault="000C39D1" w:rsidP="000C39D1">
      <w:pPr>
        <w:pStyle w:val="libFootnote0"/>
        <w:rPr>
          <w:rtl/>
          <w:lang w:bidi="fa-IR"/>
        </w:rPr>
      </w:pPr>
      <w:r>
        <w:rPr>
          <w:rtl/>
        </w:rPr>
        <w:t>(14)</w:t>
      </w:r>
      <w:r w:rsidRPr="00132E65">
        <w:rPr>
          <w:rtl/>
        </w:rPr>
        <w:t xml:space="preserve"> في « ض ، بر ، بف » و</w:t>
      </w:r>
      <w:r w:rsidRPr="009D1ACE">
        <w:rPr>
          <w:rStyle w:val="libFootnoteBoldChar"/>
          <w:rtl/>
        </w:rPr>
        <w:t>الوافي</w:t>
      </w:r>
      <w:r w:rsidRPr="00132E65">
        <w:rPr>
          <w:rtl/>
        </w:rPr>
        <w:t xml:space="preserve"> والاختصاص وكمال الدين : « أشهد » بدون الفاء.</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قَاصِمُ الْجَبَّارِينَ ، و</w:t>
      </w:r>
      <w:r w:rsidR="006663AA">
        <w:rPr>
          <w:rFonts w:hint="cs"/>
          <w:rtl/>
          <w:lang w:bidi="fa-IR"/>
        </w:rPr>
        <w:t>َ</w:t>
      </w:r>
      <w:r w:rsidRPr="00132E65">
        <w:rPr>
          <w:rtl/>
          <w:lang w:bidi="fa-IR"/>
        </w:rPr>
        <w:t xml:space="preserve">مُدِيلُ </w:t>
      </w:r>
      <w:r>
        <w:rPr>
          <w:rStyle w:val="libFootnotenumChar"/>
          <w:rtl/>
        </w:rPr>
        <w:t>(1)</w:t>
      </w:r>
      <w:r w:rsidRPr="00132E65">
        <w:rPr>
          <w:rtl/>
          <w:lang w:bidi="fa-IR"/>
        </w:rPr>
        <w:t xml:space="preserve"> الْمَظْلُومِينَ ، و</w:t>
      </w:r>
      <w:r w:rsidR="006663AA">
        <w:rPr>
          <w:rFonts w:hint="cs"/>
          <w:rtl/>
          <w:lang w:bidi="fa-IR"/>
        </w:rPr>
        <w:t>َ</w:t>
      </w:r>
      <w:r w:rsidRPr="00132E65">
        <w:rPr>
          <w:rtl/>
          <w:lang w:bidi="fa-IR"/>
        </w:rPr>
        <w:t xml:space="preserve">دَيَّانُ </w:t>
      </w:r>
      <w:r>
        <w:rPr>
          <w:rStyle w:val="libFootnotenumChar"/>
          <w:rtl/>
        </w:rPr>
        <w:t>(2)</w:t>
      </w:r>
      <w:r w:rsidRPr="00132E65">
        <w:rPr>
          <w:rtl/>
          <w:lang w:bidi="fa-IR"/>
        </w:rPr>
        <w:t xml:space="preserve"> الدِّينِ ، إِنِّي أَنَا اللهُ ، لَا</w:t>
      </w:r>
      <w:r>
        <w:rPr>
          <w:rFonts w:hint="cs"/>
          <w:rtl/>
          <w:lang w:bidi="fa-IR"/>
        </w:rPr>
        <w:t xml:space="preserve"> </w:t>
      </w:r>
      <w:r w:rsidR="006663AA">
        <w:rPr>
          <w:rtl/>
          <w:lang w:bidi="fa-IR"/>
        </w:rPr>
        <w:t>إِلهَ إِل</w:t>
      </w:r>
      <w:r w:rsidR="006663AA">
        <w:rPr>
          <w:rFonts w:hint="cs"/>
          <w:rtl/>
          <w:lang w:bidi="fa-IR"/>
        </w:rPr>
        <w:t>َّ</w:t>
      </w:r>
      <w:r w:rsidR="006663AA">
        <w:rPr>
          <w:rtl/>
          <w:lang w:bidi="fa-IR"/>
        </w:rPr>
        <w:t>ا</w:t>
      </w:r>
      <w:r w:rsidRPr="00132E65">
        <w:rPr>
          <w:rtl/>
          <w:lang w:bidi="fa-IR"/>
        </w:rPr>
        <w:t xml:space="preserve"> أَنَا ، فَمَنْ رَجَا غَيْرَ فَضْلِي أَوْ خَافَ غَيْرَ عَدْلِي </w:t>
      </w:r>
      <w:r>
        <w:rPr>
          <w:rStyle w:val="libFootnotenumChar"/>
          <w:rtl/>
        </w:rPr>
        <w:t>(3)</w:t>
      </w:r>
      <w:r w:rsidRPr="00132E65">
        <w:rPr>
          <w:rtl/>
          <w:lang w:bidi="fa-IR"/>
        </w:rPr>
        <w:t xml:space="preserve"> ، عَذَّبْتُهُ عَذَاباً لَا</w:t>
      </w:r>
      <w:r>
        <w:rPr>
          <w:rFonts w:hint="cs"/>
          <w:rtl/>
          <w:lang w:bidi="fa-IR"/>
        </w:rPr>
        <w:t xml:space="preserve"> </w:t>
      </w:r>
      <w:r w:rsidRPr="00132E65">
        <w:rPr>
          <w:rtl/>
          <w:lang w:bidi="fa-IR"/>
        </w:rPr>
        <w:t xml:space="preserve">أُعَذِّبُهُ </w:t>
      </w:r>
      <w:r>
        <w:rPr>
          <w:rStyle w:val="libFootnotenumChar"/>
          <w:rtl/>
        </w:rPr>
        <w:t>(4)</w:t>
      </w:r>
      <w:r w:rsidRPr="00132E65">
        <w:rPr>
          <w:rtl/>
          <w:lang w:bidi="fa-IR"/>
        </w:rPr>
        <w:t xml:space="preserve"> أَحَداً مِنَ الْعَالَمِينَ ، فَإِيَّايَ فَاعْبُدْ ، و</w:t>
      </w:r>
      <w:r w:rsidR="006663AA">
        <w:rPr>
          <w:rFonts w:hint="cs"/>
          <w:rtl/>
          <w:lang w:bidi="fa-IR"/>
        </w:rPr>
        <w:t>َ</w:t>
      </w:r>
      <w:r w:rsidRPr="00132E65">
        <w:rPr>
          <w:rtl/>
          <w:lang w:bidi="fa-IR"/>
        </w:rPr>
        <w:t xml:space="preserve">عَلَيَّ فَتَوَكَّلْ ، إِنِّي لَمْ أَبْعَثْ نَبِيّاً فَأُكْمِلَتْ </w:t>
      </w:r>
      <w:r>
        <w:rPr>
          <w:rStyle w:val="libFootnotenumChar"/>
          <w:rtl/>
        </w:rPr>
        <w:t>(5)</w:t>
      </w:r>
      <w:r w:rsidRPr="00132E65">
        <w:rPr>
          <w:rtl/>
          <w:lang w:bidi="fa-IR"/>
        </w:rPr>
        <w:t xml:space="preserve"> أَيَّا</w:t>
      </w:r>
      <w:r w:rsidR="006663AA">
        <w:rPr>
          <w:rtl/>
          <w:lang w:bidi="fa-IR"/>
        </w:rPr>
        <w:t>مُهُ وانْقَضَتْ مُدَّتُهُ إِل</w:t>
      </w:r>
      <w:r w:rsidR="006663AA">
        <w:rPr>
          <w:rFonts w:hint="cs"/>
          <w:rtl/>
          <w:lang w:bidi="fa-IR"/>
        </w:rPr>
        <w:t>َّ</w:t>
      </w:r>
      <w:r w:rsidR="006663AA">
        <w:rPr>
          <w:rtl/>
          <w:lang w:bidi="fa-IR"/>
        </w:rPr>
        <w:t>ا</w:t>
      </w:r>
      <w:r w:rsidRPr="00132E65">
        <w:rPr>
          <w:rtl/>
          <w:lang w:bidi="fa-IR"/>
        </w:rPr>
        <w:t xml:space="preserve"> جَعَلْتُ لَهُ وَصِيّاً ، و</w:t>
      </w:r>
      <w:r w:rsidR="006663AA">
        <w:rPr>
          <w:rFonts w:hint="cs"/>
          <w:rtl/>
          <w:lang w:bidi="fa-IR"/>
        </w:rPr>
        <w:t>َ</w:t>
      </w:r>
      <w:r w:rsidRPr="00132E65">
        <w:rPr>
          <w:rtl/>
          <w:lang w:bidi="fa-IR"/>
        </w:rPr>
        <w:t>إِنِّي فَضَّلْتُكَ عَلَى الْأَنْبِيَاءِ ، و</w:t>
      </w:r>
      <w:r w:rsidR="006663AA">
        <w:rPr>
          <w:rFonts w:hint="cs"/>
          <w:rtl/>
          <w:lang w:bidi="fa-IR"/>
        </w:rPr>
        <w:t>َ</w:t>
      </w:r>
      <w:r w:rsidRPr="00132E65">
        <w:rPr>
          <w:rtl/>
          <w:lang w:bidi="fa-IR"/>
        </w:rPr>
        <w:t>فَضَّلْتُ و</w:t>
      </w:r>
      <w:r w:rsidR="006663AA">
        <w:rPr>
          <w:rFonts w:hint="cs"/>
          <w:rtl/>
          <w:lang w:bidi="fa-IR"/>
        </w:rPr>
        <w:t>َ</w:t>
      </w:r>
      <w:r w:rsidRPr="00132E65">
        <w:rPr>
          <w:rtl/>
          <w:lang w:bidi="fa-IR"/>
        </w:rPr>
        <w:t xml:space="preserve">صِيَّكَ </w:t>
      </w:r>
      <w:r>
        <w:rPr>
          <w:rStyle w:val="libFootnotenumChar"/>
          <w:rtl/>
        </w:rPr>
        <w:t>(6)</w:t>
      </w:r>
      <w:r w:rsidRPr="00132E65">
        <w:rPr>
          <w:rtl/>
          <w:lang w:bidi="fa-IR"/>
        </w:rPr>
        <w:t xml:space="preserve"> عَلَى الْأَوْصِيَاءِ ، و</w:t>
      </w:r>
      <w:r w:rsidR="006663AA">
        <w:rPr>
          <w:rFonts w:hint="cs"/>
          <w:rtl/>
          <w:lang w:bidi="fa-IR"/>
        </w:rPr>
        <w:t>َ</w:t>
      </w:r>
      <w:r w:rsidRPr="00132E65">
        <w:rPr>
          <w:rtl/>
          <w:lang w:bidi="fa-IR"/>
        </w:rPr>
        <w:t xml:space="preserve">أَكْرَمْتُكَ بِشِبْلَيْكَ </w:t>
      </w:r>
      <w:r>
        <w:rPr>
          <w:rStyle w:val="libFootnotenumChar"/>
          <w:rtl/>
        </w:rPr>
        <w:t>(7)</w:t>
      </w:r>
      <w:r w:rsidRPr="00132E65">
        <w:rPr>
          <w:rtl/>
          <w:lang w:bidi="fa-IR"/>
        </w:rPr>
        <w:t xml:space="preserve"> و</w:t>
      </w:r>
      <w:r w:rsidR="006663AA">
        <w:rPr>
          <w:rFonts w:hint="cs"/>
          <w:rtl/>
          <w:lang w:bidi="fa-IR"/>
        </w:rPr>
        <w:t>َ</w:t>
      </w:r>
      <w:r w:rsidRPr="00132E65">
        <w:rPr>
          <w:rtl/>
          <w:lang w:bidi="fa-IR"/>
        </w:rPr>
        <w:t>سِبْطَيْكَ : حَسَنٍ و</w:t>
      </w:r>
      <w:r w:rsidR="006663AA">
        <w:rPr>
          <w:rFonts w:hint="cs"/>
          <w:rtl/>
          <w:lang w:bidi="fa-IR"/>
        </w:rPr>
        <w:t>َ</w:t>
      </w:r>
      <w:r w:rsidRPr="00132E65">
        <w:rPr>
          <w:rtl/>
          <w:lang w:bidi="fa-IR"/>
        </w:rPr>
        <w:t>حُسَيْنٍ ، فَجَعَلْتُ حَسَناً مَعْدِنَ عِلْمِي بَعْدَ انْقِضَاءِ مُدَّةِ أَبِيهِ ، و</w:t>
      </w:r>
      <w:r w:rsidR="006663AA">
        <w:rPr>
          <w:rFonts w:hint="cs"/>
          <w:rtl/>
          <w:lang w:bidi="fa-IR"/>
        </w:rPr>
        <w:t>َ</w:t>
      </w:r>
      <w:r w:rsidRPr="00132E65">
        <w:rPr>
          <w:rtl/>
          <w:lang w:bidi="fa-IR"/>
        </w:rPr>
        <w:t xml:space="preserve">جَعَلْتُ حُسَيْناً خَازِنَ </w:t>
      </w:r>
      <w:r>
        <w:rPr>
          <w:rStyle w:val="libFootnotenumChar"/>
          <w:rtl/>
        </w:rPr>
        <w:t>(8)</w:t>
      </w:r>
      <w:r w:rsidRPr="00132E65">
        <w:rPr>
          <w:rtl/>
          <w:lang w:bidi="fa-IR"/>
        </w:rPr>
        <w:t xml:space="preserve"> و</w:t>
      </w:r>
      <w:r w:rsidR="006663AA">
        <w:rPr>
          <w:rFonts w:hint="cs"/>
          <w:rtl/>
          <w:lang w:bidi="fa-IR"/>
        </w:rPr>
        <w:t>َ</w:t>
      </w:r>
      <w:r w:rsidRPr="00132E65">
        <w:rPr>
          <w:rtl/>
          <w:lang w:bidi="fa-IR"/>
        </w:rPr>
        <w:t xml:space="preserve">حْيِي </w:t>
      </w:r>
      <w:r>
        <w:rPr>
          <w:rStyle w:val="libFootnotenumChar"/>
          <w:rtl/>
        </w:rPr>
        <w:t>(9)</w:t>
      </w:r>
      <w:r w:rsidRPr="00132E65">
        <w:rPr>
          <w:rtl/>
          <w:lang w:bidi="fa-IR"/>
        </w:rPr>
        <w:t xml:space="preserve"> ، و</w:t>
      </w:r>
      <w:r w:rsidR="006663AA">
        <w:rPr>
          <w:rFonts w:hint="cs"/>
          <w:rtl/>
          <w:lang w:bidi="fa-IR"/>
        </w:rPr>
        <w:t>َ</w:t>
      </w:r>
      <w:r w:rsidRPr="00132E65">
        <w:rPr>
          <w:rtl/>
          <w:lang w:bidi="fa-IR"/>
        </w:rPr>
        <w:t>أَكْرَمْتُهُ بِالشَّهَادَةِ ، و</w:t>
      </w:r>
      <w:r w:rsidR="006663AA">
        <w:rPr>
          <w:rFonts w:hint="cs"/>
          <w:rtl/>
          <w:lang w:bidi="fa-IR"/>
        </w:rPr>
        <w:t>َ</w:t>
      </w:r>
      <w:r w:rsidRPr="00132E65">
        <w:rPr>
          <w:rtl/>
          <w:lang w:bidi="fa-IR"/>
        </w:rPr>
        <w:t xml:space="preserve">خَتَمْتُ لَهُ بِالسَّعَادَةِ ، فَهُوَ أَفْضَلُ مَنِ اسْتُشْهِدَ </w:t>
      </w:r>
      <w:r>
        <w:rPr>
          <w:rStyle w:val="libFootnotenumChar"/>
          <w:rtl/>
        </w:rPr>
        <w:t>(10)</w:t>
      </w:r>
      <w:r w:rsidRPr="00132E65">
        <w:rPr>
          <w:rtl/>
          <w:lang w:bidi="fa-IR"/>
        </w:rPr>
        <w:t xml:space="preserve"> ، و</w:t>
      </w:r>
      <w:r w:rsidR="006663AA">
        <w:rPr>
          <w:rFonts w:hint="cs"/>
          <w:rtl/>
          <w:lang w:bidi="fa-IR"/>
        </w:rPr>
        <w:t>َ</w:t>
      </w:r>
      <w:r w:rsidRPr="00132E65">
        <w:rPr>
          <w:rtl/>
          <w:lang w:bidi="fa-IR"/>
        </w:rPr>
        <w:t xml:space="preserve">أَرْفَعُ الشُّهَدَاءِ دَرَجَةً </w:t>
      </w:r>
      <w:r>
        <w:rPr>
          <w:rStyle w:val="libFootnotenumChar"/>
          <w:rtl/>
        </w:rPr>
        <w:t>(11)</w:t>
      </w:r>
      <w:r w:rsidRPr="00132E65">
        <w:rPr>
          <w:rtl/>
          <w:lang w:bidi="fa-IR"/>
        </w:rPr>
        <w:t xml:space="preserve"> ، جَعَلْتُ </w:t>
      </w:r>
      <w:r>
        <w:rPr>
          <w:rStyle w:val="libFootnotenumChar"/>
          <w:rtl/>
        </w:rPr>
        <w:t>(12)</w:t>
      </w:r>
      <w:r w:rsidRPr="00132E65">
        <w:rPr>
          <w:rtl/>
          <w:lang w:bidi="fa-IR"/>
        </w:rPr>
        <w:t xml:space="preserve"> كَلِمَتِيَ التَّامَّةَ مَعَهُ </w:t>
      </w:r>
      <w:r w:rsidRPr="00F543F1">
        <w:rPr>
          <w:rStyle w:val="libFootnotenumChar"/>
          <w:rtl/>
        </w:rPr>
        <w:t>(13)</w:t>
      </w:r>
      <w:r w:rsidRPr="00132E65">
        <w:rPr>
          <w:rtl/>
          <w:lang w:bidi="fa-IR"/>
        </w:rPr>
        <w:t xml:space="preserve"> و</w:t>
      </w:r>
      <w:r w:rsidR="006663AA">
        <w:rPr>
          <w:rFonts w:hint="cs"/>
          <w:rtl/>
          <w:lang w:bidi="fa-IR"/>
        </w:rPr>
        <w:t>َ</w:t>
      </w:r>
      <w:r w:rsidRPr="00132E65">
        <w:rPr>
          <w:rtl/>
          <w:lang w:bidi="fa-IR"/>
        </w:rPr>
        <w:t xml:space="preserve">حُجَّتِيَ الْبَالِغَةَ </w:t>
      </w:r>
      <w:r w:rsidRPr="00F543F1">
        <w:rPr>
          <w:rStyle w:val="libFootnotenumChar"/>
          <w:rtl/>
        </w:rPr>
        <w:t>(14)</w:t>
      </w:r>
      <w:r w:rsidRPr="00132E65">
        <w:rPr>
          <w:rtl/>
          <w:lang w:bidi="fa-IR"/>
        </w:rPr>
        <w:t xml:space="preserve"> عِنْدَهُ ؛ بِعِتْرَتِهِ </w:t>
      </w:r>
      <w:r w:rsidRPr="00F543F1">
        <w:rPr>
          <w:rStyle w:val="libFootnotenumChar"/>
          <w:rtl/>
        </w:rPr>
        <w:t>(15)</w:t>
      </w:r>
      <w:r w:rsidRPr="00132E65">
        <w:rPr>
          <w:rtl/>
          <w:lang w:bidi="fa-IR"/>
        </w:rPr>
        <w:t xml:space="preserve"> أُثِيبُ و</w:t>
      </w:r>
      <w:r w:rsidR="006663AA">
        <w:rPr>
          <w:rFonts w:hint="cs"/>
          <w:rtl/>
          <w:lang w:bidi="fa-IR"/>
        </w:rPr>
        <w:t>َ</w:t>
      </w:r>
      <w:r w:rsidRPr="00132E65">
        <w:rPr>
          <w:rtl/>
          <w:lang w:bidi="fa-IR"/>
        </w:rPr>
        <w:t>أُعَاقِبُ :</w:t>
      </w:r>
    </w:p>
    <w:p w:rsidR="000C39D1" w:rsidRPr="00132E65" w:rsidRDefault="000C39D1" w:rsidP="0006034E">
      <w:pPr>
        <w:pStyle w:val="libNormal"/>
        <w:rPr>
          <w:rtl/>
          <w:lang w:bidi="fa-IR"/>
        </w:rPr>
      </w:pPr>
      <w:r w:rsidRPr="00132E65">
        <w:rPr>
          <w:rtl/>
          <w:lang w:bidi="fa-IR"/>
        </w:rPr>
        <w:t xml:space="preserve">أَوَّلُهُمْ عَلِيٌّ سَيِّدُ الْعَابِدِينَ وزَيْنُ أَوْلِيَائِيَ </w:t>
      </w:r>
      <w:r w:rsidRPr="00F543F1">
        <w:rPr>
          <w:rStyle w:val="libFootnotenumChar"/>
          <w:rtl/>
        </w:rPr>
        <w:t>(16)</w:t>
      </w:r>
      <w:r w:rsidRPr="00132E65">
        <w:rPr>
          <w:rtl/>
          <w:lang w:bidi="fa-IR"/>
        </w:rPr>
        <w:t xml:space="preserve"> الْمَاضِينَ ، و</w:t>
      </w:r>
      <w:r w:rsidR="006663AA">
        <w:rPr>
          <w:rFonts w:hint="cs"/>
          <w:rtl/>
          <w:lang w:bidi="fa-IR"/>
        </w:rPr>
        <w:t>َ</w:t>
      </w:r>
      <w:r w:rsidRPr="00132E65">
        <w:rPr>
          <w:rtl/>
          <w:lang w:bidi="fa-IR"/>
        </w:rPr>
        <w:t xml:space="preserve">ابْنُهُ شِبْهُ </w:t>
      </w:r>
      <w:r w:rsidRPr="00F543F1">
        <w:rPr>
          <w:rStyle w:val="libFootnotenumChar"/>
          <w:rtl/>
        </w:rPr>
        <w:t>(17)</w:t>
      </w:r>
      <w:r w:rsidRPr="00132E65">
        <w:rPr>
          <w:rtl/>
          <w:lang w:bidi="fa-IR"/>
        </w:rPr>
        <w:t xml:space="preserve"> جَدِّهِ الْمَحْمُودِ مُحَمَّدٌ الْبَاقِرُ </w:t>
      </w:r>
      <w:r w:rsidRPr="00F543F1">
        <w:rPr>
          <w:rStyle w:val="libFootnotenumChar"/>
          <w:rtl/>
        </w:rPr>
        <w:t>(18)</w:t>
      </w:r>
      <w:r w:rsidRPr="00132E65">
        <w:rPr>
          <w:rtl/>
          <w:lang w:bidi="fa-IR"/>
        </w:rPr>
        <w:t xml:space="preserve"> عِلْمِي </w:t>
      </w:r>
      <w:r w:rsidRPr="00F543F1">
        <w:rPr>
          <w:rStyle w:val="libFootnotenumChar"/>
          <w:rtl/>
        </w:rPr>
        <w:t>(19)</w:t>
      </w:r>
      <w:r w:rsidRPr="00132E65">
        <w:rPr>
          <w:rtl/>
          <w:lang w:bidi="fa-IR"/>
        </w:rPr>
        <w:t xml:space="preserve"> والْمَعْدِنُ‌</w:t>
      </w:r>
      <w:r w:rsidR="006663AA">
        <w:rPr>
          <w:rFonts w:hint="cs"/>
          <w:rtl/>
          <w:lang w:bidi="fa-IR"/>
        </w:rPr>
        <w:t>.................................</w:t>
      </w:r>
      <w:r w:rsidR="0006034E">
        <w:rPr>
          <w:rFonts w:hint="cs"/>
          <w:rtl/>
          <w:lang w:bidi="fa-IR"/>
        </w:rPr>
        <w:t>.............................</w:t>
      </w:r>
      <w:r w:rsidR="006663AA">
        <w:rPr>
          <w:rFonts w:hint="cs"/>
          <w:rtl/>
          <w:lang w:bidi="fa-IR"/>
        </w:rPr>
        <w:t>...</w:t>
      </w:r>
      <w:r w:rsidR="006663AA">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العيون : « مذلّ الظالمين » بدل « مديل المظلومين »</w:t>
      </w:r>
      <w:r>
        <w:rPr>
          <w:rtl/>
        </w:rPr>
        <w:t>.</w:t>
      </w:r>
      <w:r w:rsidRPr="00132E65">
        <w:rPr>
          <w:rtl/>
        </w:rPr>
        <w:t xml:space="preserve"> يقال : ا</w:t>
      </w:r>
      <w:r w:rsidR="006663AA">
        <w:rPr>
          <w:rFonts w:hint="cs"/>
          <w:rtl/>
        </w:rPr>
        <w:t>ُ</w:t>
      </w:r>
      <w:r w:rsidRPr="00132E65">
        <w:rPr>
          <w:rtl/>
        </w:rPr>
        <w:t>ديل لنا على أعدائنا ، أي نُصِرنا عليهم وكانت‌</w:t>
      </w:r>
      <w:r w:rsidR="006663AA">
        <w:rPr>
          <w:rFonts w:hint="cs"/>
          <w:rtl/>
        </w:rPr>
        <w:t xml:space="preserve"> </w:t>
      </w:r>
      <w:r w:rsidRPr="00132E65">
        <w:rPr>
          <w:rtl/>
        </w:rPr>
        <w:t xml:space="preserve">الدولة لنا. والدَولة : الانتقال من حال الشدّة إلى الرخاء. راجع : </w:t>
      </w:r>
      <w:r w:rsidRPr="006663AA">
        <w:rPr>
          <w:rStyle w:val="libFootnoteBoldChar"/>
          <w:rtl/>
        </w:rPr>
        <w:t>النهاية</w:t>
      </w:r>
      <w:r w:rsidRPr="00132E65">
        <w:rPr>
          <w:rtl/>
        </w:rPr>
        <w:t xml:space="preserve"> ، ج 2 ، ص 141 ( دول )</w:t>
      </w:r>
      <w:r>
        <w:rPr>
          <w:rtl/>
        </w:rPr>
        <w:t>.</w:t>
      </w:r>
    </w:p>
    <w:p w:rsidR="000C39D1" w:rsidRPr="00132E65" w:rsidRDefault="000C39D1" w:rsidP="000C39D1">
      <w:pPr>
        <w:pStyle w:val="libFootnote0"/>
        <w:rPr>
          <w:rtl/>
          <w:lang w:bidi="fa-IR"/>
        </w:rPr>
      </w:pPr>
      <w:r>
        <w:rPr>
          <w:rtl/>
        </w:rPr>
        <w:t>(2).</w:t>
      </w:r>
      <w:r w:rsidRPr="00132E65">
        <w:rPr>
          <w:rtl/>
        </w:rPr>
        <w:t xml:space="preserve"> في الغيبة للنعماني وكمال الدين والاختصاص :</w:t>
      </w:r>
      <w:r>
        <w:rPr>
          <w:rtl/>
        </w:rPr>
        <w:t xml:space="preserve"> + </w:t>
      </w:r>
      <w:r w:rsidRPr="00132E65">
        <w:rPr>
          <w:rtl/>
        </w:rPr>
        <w:t>« يوم »</w:t>
      </w:r>
      <w:r>
        <w:rPr>
          <w:rtl/>
        </w:rPr>
        <w:t>.</w:t>
      </w:r>
    </w:p>
    <w:tbl>
      <w:tblPr>
        <w:tblStyle w:val="TableGrid"/>
        <w:bidiVisual/>
        <w:tblW w:w="0" w:type="auto"/>
        <w:tblLook w:val="04A0" w:firstRow="1" w:lastRow="0" w:firstColumn="1" w:lastColumn="0" w:noHBand="0" w:noVBand="1"/>
      </w:tblPr>
      <w:tblGrid>
        <w:gridCol w:w="4261"/>
        <w:gridCol w:w="4262"/>
      </w:tblGrid>
      <w:tr w:rsidR="006663AA" w:rsidTr="006663AA">
        <w:tc>
          <w:tcPr>
            <w:tcW w:w="4261" w:type="dxa"/>
          </w:tcPr>
          <w:p w:rsidR="006663AA" w:rsidRDefault="006663AA" w:rsidP="000C39D1">
            <w:pPr>
              <w:pStyle w:val="libFootnote0"/>
              <w:rPr>
                <w:rtl/>
              </w:rPr>
            </w:pPr>
            <w:r>
              <w:rPr>
                <w:rtl/>
              </w:rPr>
              <w:t>(3).</w:t>
            </w:r>
            <w:r w:rsidRPr="00132E65">
              <w:rPr>
                <w:rtl/>
              </w:rPr>
              <w:t xml:space="preserve"> في العيون : « عذابي »</w:t>
            </w:r>
            <w:r>
              <w:rPr>
                <w:rtl/>
              </w:rPr>
              <w:t>.</w:t>
            </w:r>
          </w:p>
        </w:tc>
        <w:tc>
          <w:tcPr>
            <w:tcW w:w="4262" w:type="dxa"/>
          </w:tcPr>
          <w:p w:rsidR="006663AA" w:rsidRDefault="006663AA" w:rsidP="000C39D1">
            <w:pPr>
              <w:pStyle w:val="libFootnote0"/>
              <w:rPr>
                <w:rtl/>
              </w:rPr>
            </w:pPr>
            <w:r>
              <w:rPr>
                <w:rtl/>
              </w:rPr>
              <w:t>(4).</w:t>
            </w:r>
            <w:r w:rsidRPr="00132E65">
              <w:rPr>
                <w:rtl/>
              </w:rPr>
              <w:t xml:space="preserve"> في « ف » : « لا ا</w:t>
            </w:r>
            <w:r>
              <w:rPr>
                <w:rFonts w:hint="cs"/>
                <w:rtl/>
              </w:rPr>
              <w:t>ُ</w:t>
            </w:r>
            <w:r w:rsidRPr="00132E65">
              <w:rPr>
                <w:rtl/>
              </w:rPr>
              <w:t>عذّب عذابه »</w:t>
            </w:r>
            <w:r>
              <w:rPr>
                <w:rtl/>
              </w:rPr>
              <w:t>.</w:t>
            </w:r>
          </w:p>
        </w:tc>
      </w:tr>
    </w:tbl>
    <w:p w:rsidR="000C39D1" w:rsidRPr="00132E65" w:rsidRDefault="000C39D1" w:rsidP="000C39D1">
      <w:pPr>
        <w:pStyle w:val="libFootnote0"/>
        <w:rPr>
          <w:rtl/>
          <w:lang w:bidi="fa-IR"/>
        </w:rPr>
      </w:pPr>
      <w:r>
        <w:rPr>
          <w:rtl/>
        </w:rPr>
        <w:t>(5).</w:t>
      </w:r>
      <w:r w:rsidRPr="00132E65">
        <w:rPr>
          <w:rtl/>
        </w:rPr>
        <w:t xml:space="preserve"> في </w:t>
      </w:r>
      <w:r w:rsidRPr="009D1ACE">
        <w:rPr>
          <w:rStyle w:val="libFootnoteBoldChar"/>
          <w:rtl/>
        </w:rPr>
        <w:t>مرآة العقول</w:t>
      </w:r>
      <w:r w:rsidRPr="00132E65">
        <w:rPr>
          <w:rtl/>
        </w:rPr>
        <w:t xml:space="preserve"> : « فا</w:t>
      </w:r>
      <w:r w:rsidR="006663AA">
        <w:rPr>
          <w:rFonts w:hint="cs"/>
          <w:rtl/>
        </w:rPr>
        <w:t>ُ</w:t>
      </w:r>
      <w:r w:rsidRPr="00132E65">
        <w:rPr>
          <w:rtl/>
        </w:rPr>
        <w:t>كملت ، على بناء المجهول ، ويحتمل المعلوم على صيغة التكلّم »</w:t>
      </w:r>
      <w:r>
        <w:rPr>
          <w:rtl/>
        </w:rPr>
        <w:t>.</w:t>
      </w:r>
    </w:p>
    <w:p w:rsidR="000C39D1" w:rsidRPr="00132E65" w:rsidRDefault="000C39D1" w:rsidP="000C39D1">
      <w:pPr>
        <w:pStyle w:val="libFootnote0"/>
        <w:rPr>
          <w:rtl/>
          <w:lang w:bidi="fa-IR"/>
        </w:rPr>
      </w:pPr>
      <w:r>
        <w:rPr>
          <w:rtl/>
        </w:rPr>
        <w:t>(6).</w:t>
      </w:r>
      <w:r w:rsidRPr="00132E65">
        <w:rPr>
          <w:rtl/>
        </w:rPr>
        <w:t xml:space="preserve"> في الغيبة للطوسي :</w:t>
      </w:r>
      <w:r>
        <w:rPr>
          <w:rtl/>
        </w:rPr>
        <w:t xml:space="preserve"> + </w:t>
      </w:r>
      <w:r w:rsidRPr="00132E65">
        <w:rPr>
          <w:rtl/>
        </w:rPr>
        <w:t>« عليّاً »</w:t>
      </w:r>
      <w:r>
        <w:rPr>
          <w:rtl/>
        </w:rPr>
        <w:t>.</w:t>
      </w:r>
    </w:p>
    <w:p w:rsidR="000C39D1" w:rsidRPr="00132E65" w:rsidRDefault="000C39D1" w:rsidP="000C39D1">
      <w:pPr>
        <w:pStyle w:val="libFootnote0"/>
        <w:rPr>
          <w:rtl/>
          <w:lang w:bidi="fa-IR"/>
        </w:rPr>
      </w:pPr>
      <w:r>
        <w:rPr>
          <w:rtl/>
        </w:rPr>
        <w:t>(7).</w:t>
      </w:r>
      <w:r w:rsidRPr="00132E65">
        <w:rPr>
          <w:rtl/>
        </w:rPr>
        <w:t xml:space="preserve"> في « بف » وحاشية « ج » : « بسليلك »</w:t>
      </w:r>
      <w:r>
        <w:rPr>
          <w:rtl/>
        </w:rPr>
        <w:t>.</w:t>
      </w:r>
      <w:r w:rsidRPr="00132E65">
        <w:rPr>
          <w:rtl/>
        </w:rPr>
        <w:t xml:space="preserve"> وفي حاشية « ب ، ض » : « بسليليك »</w:t>
      </w:r>
      <w:r>
        <w:rPr>
          <w:rtl/>
        </w:rPr>
        <w:t>.</w:t>
      </w:r>
    </w:p>
    <w:tbl>
      <w:tblPr>
        <w:tblStyle w:val="TableGrid"/>
        <w:bidiVisual/>
        <w:tblW w:w="0" w:type="auto"/>
        <w:tblLook w:val="04A0" w:firstRow="1" w:lastRow="0" w:firstColumn="1" w:lastColumn="0" w:noHBand="0" w:noVBand="1"/>
      </w:tblPr>
      <w:tblGrid>
        <w:gridCol w:w="4261"/>
        <w:gridCol w:w="4262"/>
      </w:tblGrid>
      <w:tr w:rsidR="006663AA" w:rsidTr="006663AA">
        <w:tc>
          <w:tcPr>
            <w:tcW w:w="4261" w:type="dxa"/>
          </w:tcPr>
          <w:p w:rsidR="006663AA" w:rsidRDefault="006663AA" w:rsidP="000C39D1">
            <w:pPr>
              <w:pStyle w:val="libFootnote0"/>
              <w:rPr>
                <w:rtl/>
              </w:rPr>
            </w:pPr>
            <w:r>
              <w:rPr>
                <w:rtl/>
              </w:rPr>
              <w:t>(8).</w:t>
            </w:r>
            <w:r w:rsidRPr="00132E65">
              <w:rPr>
                <w:rtl/>
              </w:rPr>
              <w:t xml:space="preserve"> في الغيبة للنعماني : « معدن »</w:t>
            </w:r>
            <w:r>
              <w:rPr>
                <w:rtl/>
              </w:rPr>
              <w:t>.</w:t>
            </w:r>
          </w:p>
        </w:tc>
        <w:tc>
          <w:tcPr>
            <w:tcW w:w="4262" w:type="dxa"/>
          </w:tcPr>
          <w:p w:rsidR="006663AA" w:rsidRDefault="006663AA" w:rsidP="000C39D1">
            <w:pPr>
              <w:pStyle w:val="libFootnote0"/>
              <w:rPr>
                <w:rtl/>
              </w:rPr>
            </w:pPr>
            <w:r>
              <w:rPr>
                <w:rtl/>
              </w:rPr>
              <w:t>(9).</w:t>
            </w:r>
            <w:r w:rsidRPr="00132E65">
              <w:rPr>
                <w:rtl/>
              </w:rPr>
              <w:t xml:space="preserve"> في الغيبة للطوسي : « علمي »</w:t>
            </w:r>
            <w:r>
              <w:rPr>
                <w:rtl/>
              </w:rPr>
              <w:t>.</w:t>
            </w:r>
          </w:p>
        </w:tc>
      </w:tr>
      <w:tr w:rsidR="006663AA" w:rsidTr="006663AA">
        <w:tc>
          <w:tcPr>
            <w:tcW w:w="4261" w:type="dxa"/>
          </w:tcPr>
          <w:p w:rsidR="006663AA" w:rsidRDefault="006663AA" w:rsidP="000C39D1">
            <w:pPr>
              <w:pStyle w:val="libFootnote0"/>
              <w:rPr>
                <w:rtl/>
              </w:rPr>
            </w:pPr>
            <w:r>
              <w:rPr>
                <w:rtl/>
              </w:rPr>
              <w:t>(10).</w:t>
            </w:r>
            <w:r w:rsidRPr="00132E65">
              <w:rPr>
                <w:rtl/>
              </w:rPr>
              <w:t xml:space="preserve"> في الغيبة للنعماني :</w:t>
            </w:r>
            <w:r>
              <w:rPr>
                <w:rtl/>
              </w:rPr>
              <w:t xml:space="preserve"> + </w:t>
            </w:r>
            <w:r w:rsidRPr="00132E65">
              <w:rPr>
                <w:rtl/>
              </w:rPr>
              <w:t>« فيّ »</w:t>
            </w:r>
            <w:r>
              <w:rPr>
                <w:rtl/>
              </w:rPr>
              <w:t>.</w:t>
            </w:r>
          </w:p>
        </w:tc>
        <w:tc>
          <w:tcPr>
            <w:tcW w:w="4262" w:type="dxa"/>
          </w:tcPr>
          <w:p w:rsidR="006663AA" w:rsidRDefault="006663AA" w:rsidP="000C39D1">
            <w:pPr>
              <w:pStyle w:val="libFootnote0"/>
              <w:rPr>
                <w:rtl/>
              </w:rPr>
            </w:pPr>
            <w:r>
              <w:rPr>
                <w:rtl/>
              </w:rPr>
              <w:t>(11).</w:t>
            </w:r>
            <w:r w:rsidRPr="00132E65">
              <w:rPr>
                <w:rtl/>
              </w:rPr>
              <w:t xml:space="preserve"> في الغيبة للنعماني والاختصاص :</w:t>
            </w:r>
            <w:r>
              <w:rPr>
                <w:rtl/>
              </w:rPr>
              <w:t xml:space="preserve"> + </w:t>
            </w:r>
            <w:r w:rsidRPr="00132E65">
              <w:rPr>
                <w:rtl/>
              </w:rPr>
              <w:t>« عندي »</w:t>
            </w:r>
            <w:r>
              <w:rPr>
                <w:rtl/>
              </w:rPr>
              <w:t>.</w:t>
            </w:r>
          </w:p>
        </w:tc>
      </w:tr>
      <w:tr w:rsidR="006663AA" w:rsidTr="006663AA">
        <w:tc>
          <w:tcPr>
            <w:tcW w:w="4261" w:type="dxa"/>
          </w:tcPr>
          <w:p w:rsidR="006663AA" w:rsidRDefault="006663AA" w:rsidP="000C39D1">
            <w:pPr>
              <w:pStyle w:val="libFootnote0"/>
              <w:rPr>
                <w:rtl/>
              </w:rPr>
            </w:pPr>
            <w:r>
              <w:rPr>
                <w:rtl/>
              </w:rPr>
              <w:t>(12).</w:t>
            </w:r>
            <w:r w:rsidRPr="00132E65">
              <w:rPr>
                <w:rtl/>
              </w:rPr>
              <w:t xml:space="preserve"> في « بر » : « فجعلت »</w:t>
            </w:r>
            <w:r>
              <w:rPr>
                <w:rtl/>
              </w:rPr>
              <w:t>.</w:t>
            </w:r>
          </w:p>
        </w:tc>
        <w:tc>
          <w:tcPr>
            <w:tcW w:w="4262" w:type="dxa"/>
          </w:tcPr>
          <w:p w:rsidR="006663AA" w:rsidRDefault="006663AA" w:rsidP="000C39D1">
            <w:pPr>
              <w:pStyle w:val="libFootnote0"/>
              <w:rPr>
                <w:rtl/>
              </w:rPr>
            </w:pPr>
            <w:r>
              <w:rPr>
                <w:rtl/>
              </w:rPr>
              <w:t>(13)</w:t>
            </w:r>
            <w:r w:rsidRPr="00132E65">
              <w:rPr>
                <w:rtl/>
              </w:rPr>
              <w:t xml:space="preserve"> في شرح المازندراني </w:t>
            </w:r>
            <w:r>
              <w:rPr>
                <w:rtl/>
              </w:rPr>
              <w:t xml:space="preserve">: - </w:t>
            </w:r>
            <w:r w:rsidRPr="00132E65">
              <w:rPr>
                <w:rtl/>
              </w:rPr>
              <w:t>« معه »</w:t>
            </w:r>
            <w:r>
              <w:rPr>
                <w:rtl/>
              </w:rPr>
              <w:t>.</w:t>
            </w:r>
          </w:p>
        </w:tc>
      </w:tr>
      <w:tr w:rsidR="006663AA" w:rsidTr="006663AA">
        <w:tc>
          <w:tcPr>
            <w:tcW w:w="4261" w:type="dxa"/>
          </w:tcPr>
          <w:p w:rsidR="006663AA" w:rsidRDefault="006663AA" w:rsidP="000C39D1">
            <w:pPr>
              <w:pStyle w:val="libFootnote0"/>
              <w:rPr>
                <w:rtl/>
              </w:rPr>
            </w:pPr>
            <w:r>
              <w:rPr>
                <w:rtl/>
              </w:rPr>
              <w:t>(14)</w:t>
            </w:r>
            <w:r w:rsidRPr="00132E65">
              <w:rPr>
                <w:rtl/>
              </w:rPr>
              <w:t xml:space="preserve"> في </w:t>
            </w:r>
            <w:r w:rsidRPr="006663AA">
              <w:rPr>
                <w:rtl/>
              </w:rPr>
              <w:t>الوافي</w:t>
            </w:r>
            <w:r w:rsidRPr="00132E65">
              <w:rPr>
                <w:rtl/>
              </w:rPr>
              <w:t xml:space="preserve"> :</w:t>
            </w:r>
            <w:r>
              <w:rPr>
                <w:rtl/>
              </w:rPr>
              <w:t xml:space="preserve"> + </w:t>
            </w:r>
            <w:r w:rsidRPr="00132E65">
              <w:rPr>
                <w:rtl/>
              </w:rPr>
              <w:t>« إليك »</w:t>
            </w:r>
            <w:r>
              <w:rPr>
                <w:rtl/>
              </w:rPr>
              <w:t>.</w:t>
            </w:r>
          </w:p>
        </w:tc>
        <w:tc>
          <w:tcPr>
            <w:tcW w:w="4262" w:type="dxa"/>
          </w:tcPr>
          <w:p w:rsidR="006663AA" w:rsidRDefault="006663AA" w:rsidP="000C39D1">
            <w:pPr>
              <w:pStyle w:val="libFootnote0"/>
              <w:rPr>
                <w:rtl/>
              </w:rPr>
            </w:pPr>
            <w:r>
              <w:rPr>
                <w:rtl/>
              </w:rPr>
              <w:t>(15)</w:t>
            </w:r>
            <w:r w:rsidRPr="00132E65">
              <w:rPr>
                <w:rtl/>
              </w:rPr>
              <w:t xml:space="preserve"> في « بس » : « بعزّته »</w:t>
            </w:r>
            <w:r>
              <w:rPr>
                <w:rtl/>
              </w:rPr>
              <w:t>.</w:t>
            </w:r>
          </w:p>
        </w:tc>
      </w:tr>
    </w:tbl>
    <w:p w:rsidR="000C39D1" w:rsidRPr="00132E65" w:rsidRDefault="000C39D1" w:rsidP="006663AA">
      <w:pPr>
        <w:pStyle w:val="libFootnote0"/>
        <w:rPr>
          <w:rtl/>
          <w:lang w:bidi="fa-IR"/>
        </w:rPr>
      </w:pPr>
      <w:r>
        <w:rPr>
          <w:rtl/>
        </w:rPr>
        <w:t>(16)</w:t>
      </w:r>
      <w:r w:rsidRPr="00132E65">
        <w:rPr>
          <w:rtl/>
        </w:rPr>
        <w:t xml:space="preserve"> في « ض ، بح ، بس » والغيبة للطوسي : « أولياء »</w:t>
      </w:r>
      <w:r>
        <w:rPr>
          <w:rtl/>
        </w:rPr>
        <w:t>. ف</w:t>
      </w:r>
      <w:r w:rsidR="006663AA">
        <w:rPr>
          <w:rFonts w:hint="cs"/>
          <w:rtl/>
        </w:rPr>
        <w:t>ـ</w:t>
      </w:r>
      <w:r>
        <w:rPr>
          <w:rtl/>
        </w:rPr>
        <w:t xml:space="preserve"> «</w:t>
      </w:r>
      <w:r w:rsidRPr="00132E65">
        <w:rPr>
          <w:rtl/>
        </w:rPr>
        <w:t xml:space="preserve"> الماضين » مضاف إليه.</w:t>
      </w:r>
    </w:p>
    <w:p w:rsidR="000C39D1" w:rsidRPr="00132E65" w:rsidRDefault="000C39D1" w:rsidP="000C39D1">
      <w:pPr>
        <w:pStyle w:val="libFootnote0"/>
        <w:rPr>
          <w:rtl/>
          <w:lang w:bidi="fa-IR"/>
        </w:rPr>
      </w:pPr>
      <w:r>
        <w:rPr>
          <w:rtl/>
        </w:rPr>
        <w:t>(17)</w:t>
      </w:r>
      <w:r w:rsidRPr="00132E65">
        <w:rPr>
          <w:rtl/>
        </w:rPr>
        <w:t xml:space="preserve"> في « ض » وحاشية « ج » والعيون والغيبة للطوسي : « شبيه »</w:t>
      </w:r>
      <w:r>
        <w:rPr>
          <w:rtl/>
        </w:rPr>
        <w:t>.</w:t>
      </w:r>
      <w:r w:rsidRPr="00132E65">
        <w:rPr>
          <w:rtl/>
        </w:rPr>
        <w:t xml:space="preserve"> وفي كمال الدين والغيبة للنعماني : « سمّي »</w:t>
      </w:r>
      <w:r>
        <w:rPr>
          <w:rtl/>
        </w:rPr>
        <w:t>.</w:t>
      </w:r>
    </w:p>
    <w:p w:rsidR="000C39D1" w:rsidRPr="00132E65" w:rsidRDefault="000C39D1" w:rsidP="000C39D1">
      <w:pPr>
        <w:pStyle w:val="libFootnote0"/>
        <w:rPr>
          <w:rtl/>
          <w:lang w:bidi="fa-IR"/>
        </w:rPr>
      </w:pPr>
      <w:r>
        <w:rPr>
          <w:rtl/>
        </w:rPr>
        <w:t>(18)</w:t>
      </w:r>
      <w:r w:rsidRPr="00132E65">
        <w:rPr>
          <w:rtl/>
        </w:rPr>
        <w:t xml:space="preserve"> في الغيبة للطوسي :</w:t>
      </w:r>
      <w:r>
        <w:rPr>
          <w:rtl/>
        </w:rPr>
        <w:t xml:space="preserve"> + </w:t>
      </w:r>
      <w:r w:rsidRPr="00132E65">
        <w:rPr>
          <w:rtl/>
        </w:rPr>
        <w:t>« باقر »</w:t>
      </w:r>
      <w:r>
        <w:rPr>
          <w:rtl/>
        </w:rPr>
        <w:t>.</w:t>
      </w:r>
    </w:p>
    <w:p w:rsidR="000C39D1" w:rsidRPr="00132E65" w:rsidRDefault="000C39D1" w:rsidP="006663AA">
      <w:pPr>
        <w:pStyle w:val="libFootnote0"/>
        <w:rPr>
          <w:rtl/>
          <w:lang w:bidi="fa-IR"/>
        </w:rPr>
      </w:pPr>
      <w:r>
        <w:rPr>
          <w:rtl/>
        </w:rPr>
        <w:t>(19)</w:t>
      </w:r>
      <w:r w:rsidRPr="00132E65">
        <w:rPr>
          <w:rtl/>
        </w:rPr>
        <w:t xml:space="preserve"> في الغيبة للنعماني والعيون وكمال الدين والاختصاص : « لعلمي »</w:t>
      </w:r>
      <w:r>
        <w:rPr>
          <w:rtl/>
        </w:rPr>
        <w:t>.</w:t>
      </w:r>
      <w:r w:rsidRPr="00132E65">
        <w:rPr>
          <w:rtl/>
        </w:rPr>
        <w:t xml:space="preserve"> وفي </w:t>
      </w:r>
      <w:r w:rsidRPr="006663AA">
        <w:rPr>
          <w:rStyle w:val="libFootnoteBoldChar"/>
          <w:rtl/>
        </w:rPr>
        <w:t>شرح المازندراني</w:t>
      </w:r>
      <w:r w:rsidRPr="00132E65">
        <w:rPr>
          <w:rtl/>
        </w:rPr>
        <w:t xml:space="preserve"> ، ج 7 ، ص 363 :</w:t>
      </w:r>
      <w:r w:rsidR="006663AA">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لِحِكْمَتِي </w:t>
      </w:r>
      <w:r>
        <w:rPr>
          <w:rStyle w:val="libFootnotenumChar"/>
          <w:rtl/>
        </w:rPr>
        <w:t>(1)</w:t>
      </w:r>
      <w:r w:rsidRPr="00132E65">
        <w:rPr>
          <w:rtl/>
          <w:lang w:bidi="fa-IR"/>
        </w:rPr>
        <w:t xml:space="preserve"> ، سَيَهْلِكُ الْمُرْتَابُونَ فِي جَعْفَرٍ ، الرَّادُّ عَلَيْهِ كَالرَّادِّ عَلَيَّ ، حَقَّ الْقَوْلُ مِنِّي لَأُكْرِمَنَّ مَثْوى جَعْفَرٍ ، و</w:t>
      </w:r>
      <w:r w:rsidR="006663AA">
        <w:rPr>
          <w:rFonts w:hint="cs"/>
          <w:rtl/>
          <w:lang w:bidi="fa-IR"/>
        </w:rPr>
        <w:t>َ</w:t>
      </w:r>
      <w:r w:rsidRPr="00132E65">
        <w:rPr>
          <w:rtl/>
          <w:lang w:bidi="fa-IR"/>
        </w:rPr>
        <w:t>لَأَسُرَّنَّهُ فِي أَشْيَاعِهِ و</w:t>
      </w:r>
      <w:r w:rsidR="006663AA">
        <w:rPr>
          <w:rFonts w:hint="cs"/>
          <w:rtl/>
          <w:lang w:bidi="fa-IR"/>
        </w:rPr>
        <w:t>َ</w:t>
      </w:r>
      <w:r w:rsidRPr="00132E65">
        <w:rPr>
          <w:rtl/>
          <w:lang w:bidi="fa-IR"/>
        </w:rPr>
        <w:t>أَنْصَارِهِ و</w:t>
      </w:r>
      <w:r w:rsidR="006663AA">
        <w:rPr>
          <w:rFonts w:hint="cs"/>
          <w:rtl/>
          <w:lang w:bidi="fa-IR"/>
        </w:rPr>
        <w:t>َ</w:t>
      </w:r>
      <w:r w:rsidRPr="00132E65">
        <w:rPr>
          <w:rtl/>
          <w:lang w:bidi="fa-IR"/>
        </w:rPr>
        <w:t xml:space="preserve">أَوْلِيَائِهِ ، أُتِيحَتْ </w:t>
      </w:r>
      <w:r>
        <w:rPr>
          <w:rStyle w:val="libFootnotenumChar"/>
          <w:rtl/>
        </w:rPr>
        <w:t>(2)</w:t>
      </w:r>
      <w:r w:rsidRPr="00132E65">
        <w:rPr>
          <w:rtl/>
          <w:lang w:bidi="fa-IR"/>
        </w:rPr>
        <w:t xml:space="preserve"> بَعْدَهُ بِمُوسى </w:t>
      </w:r>
      <w:r>
        <w:rPr>
          <w:rStyle w:val="libFootnotenumChar"/>
          <w:rtl/>
        </w:rPr>
        <w:t>(3)</w:t>
      </w:r>
      <w:r w:rsidRPr="00132E65">
        <w:rPr>
          <w:rtl/>
          <w:lang w:bidi="fa-IR"/>
        </w:rPr>
        <w:t xml:space="preserve"> فِتْنَةٌ </w:t>
      </w:r>
      <w:r>
        <w:rPr>
          <w:rStyle w:val="libFootnotenumChar"/>
          <w:rtl/>
        </w:rPr>
        <w:t>(4)</w:t>
      </w:r>
      <w:r w:rsidRPr="00132E65">
        <w:rPr>
          <w:rtl/>
          <w:lang w:bidi="fa-IR"/>
        </w:rPr>
        <w:t xml:space="preserve"> عَمْيَاءُ حِنْدِسٌ </w:t>
      </w:r>
      <w:r>
        <w:rPr>
          <w:rStyle w:val="libFootnotenumChar"/>
          <w:rtl/>
        </w:rPr>
        <w:t>(5)</w:t>
      </w:r>
      <w:r w:rsidRPr="00132E65">
        <w:rPr>
          <w:rtl/>
          <w:lang w:bidi="fa-IR"/>
        </w:rPr>
        <w:t xml:space="preserve"> ؛ لِأَنَّ </w:t>
      </w:r>
      <w:r>
        <w:rPr>
          <w:rStyle w:val="libFootnotenumChar"/>
          <w:rtl/>
        </w:rPr>
        <w:t>(6)</w:t>
      </w:r>
      <w:r w:rsidRPr="00132E65">
        <w:rPr>
          <w:rtl/>
          <w:lang w:bidi="fa-IR"/>
        </w:rPr>
        <w:t xml:space="preserve"> خَيْطَ فَرْضِي </w:t>
      </w:r>
      <w:r>
        <w:rPr>
          <w:rStyle w:val="libFootnotenumChar"/>
          <w:rtl/>
        </w:rPr>
        <w:t>(7)</w:t>
      </w:r>
      <w:r w:rsidRPr="00132E65">
        <w:rPr>
          <w:rtl/>
          <w:lang w:bidi="fa-IR"/>
        </w:rPr>
        <w:t xml:space="preserve"> لَايَنْقَطِعُ ، و</w:t>
      </w:r>
      <w:r w:rsidR="006663AA">
        <w:rPr>
          <w:rFonts w:hint="cs"/>
          <w:rtl/>
          <w:lang w:bidi="fa-IR"/>
        </w:rPr>
        <w:t>َ</w:t>
      </w:r>
      <w:r w:rsidRPr="00132E65">
        <w:rPr>
          <w:rtl/>
          <w:lang w:bidi="fa-IR"/>
        </w:rPr>
        <w:t>حُجَّتِي لَاتَخْفى ، و</w:t>
      </w:r>
      <w:r w:rsidR="006663AA">
        <w:rPr>
          <w:rFonts w:hint="cs"/>
          <w:rtl/>
          <w:lang w:bidi="fa-IR"/>
        </w:rPr>
        <w:t>َ</w:t>
      </w:r>
      <w:r w:rsidRPr="00132E65">
        <w:rPr>
          <w:rtl/>
          <w:lang w:bidi="fa-IR"/>
        </w:rPr>
        <w:t xml:space="preserve">أَنَّ أَوْلِيَائِي يُسْقَوْنَ </w:t>
      </w:r>
      <w:r>
        <w:rPr>
          <w:rStyle w:val="libFootnotenumChar"/>
          <w:rtl/>
        </w:rPr>
        <w:t>(8)</w:t>
      </w:r>
      <w:r w:rsidRPr="00132E65">
        <w:rPr>
          <w:rtl/>
          <w:lang w:bidi="fa-IR"/>
        </w:rPr>
        <w:t xml:space="preserve"> بِالْكَأْسِ الْأَوْفى </w:t>
      </w:r>
      <w:r>
        <w:rPr>
          <w:rStyle w:val="libFootnotenumChar"/>
          <w:rtl/>
        </w:rPr>
        <w:t>(9)</w:t>
      </w:r>
      <w:r w:rsidRPr="00132E65">
        <w:rPr>
          <w:rtl/>
          <w:lang w:bidi="fa-IR"/>
        </w:rPr>
        <w:t xml:space="preserve"> ، مَنْ جَحَدَ </w:t>
      </w:r>
      <w:r>
        <w:rPr>
          <w:rStyle w:val="libFootnotenumChar"/>
          <w:rtl/>
        </w:rPr>
        <w:t>(10)</w:t>
      </w:r>
      <w:r w:rsidRPr="00132E65">
        <w:rPr>
          <w:rtl/>
          <w:lang w:bidi="fa-IR"/>
        </w:rPr>
        <w:t xml:space="preserve"> و</w:t>
      </w:r>
      <w:r w:rsidR="006663AA">
        <w:rPr>
          <w:rFonts w:hint="cs"/>
          <w:rtl/>
          <w:lang w:bidi="fa-IR"/>
        </w:rPr>
        <w:t>َ</w:t>
      </w:r>
      <w:r w:rsidRPr="00132E65">
        <w:rPr>
          <w:rtl/>
          <w:lang w:bidi="fa-IR"/>
        </w:rPr>
        <w:t>احِداً مِنْهُمْ فَقَدْ جَحَدَ نِعْمَتِي ؛ و</w:t>
      </w:r>
      <w:r w:rsidR="00DA4E60">
        <w:rPr>
          <w:rFonts w:hint="cs"/>
          <w:rtl/>
          <w:lang w:bidi="fa-IR"/>
        </w:rPr>
        <w:t>َ</w:t>
      </w:r>
      <w:r w:rsidRPr="00132E65">
        <w:rPr>
          <w:rtl/>
          <w:lang w:bidi="fa-IR"/>
        </w:rPr>
        <w:t>مَنْ غَيَّرَ آيَةً مِنْ كِتَابِي فَقَدِ افْتَرى عَلَيَّ ؛ و</w:t>
      </w:r>
      <w:r w:rsidR="00DA4E60">
        <w:rPr>
          <w:rFonts w:hint="cs"/>
          <w:rtl/>
          <w:lang w:bidi="fa-IR"/>
        </w:rPr>
        <w:t>َ</w:t>
      </w:r>
      <w:r w:rsidRPr="00132E65">
        <w:rPr>
          <w:rtl/>
          <w:lang w:bidi="fa-IR"/>
        </w:rPr>
        <w:t xml:space="preserve">يْلٌ </w:t>
      </w:r>
      <w:r>
        <w:rPr>
          <w:rStyle w:val="libFootnotenumChar"/>
          <w:rtl/>
        </w:rPr>
        <w:t>(11)</w:t>
      </w:r>
      <w:r w:rsidRPr="00132E65">
        <w:rPr>
          <w:rtl/>
          <w:lang w:bidi="fa-IR"/>
        </w:rPr>
        <w:t xml:space="preserve"> لِلْمُفْتَرِينَ الْجَاحِدِينَ</w:t>
      </w:r>
      <w:r>
        <w:rPr>
          <w:rtl/>
          <w:lang w:bidi="fa-IR"/>
        </w:rPr>
        <w:t xml:space="preserve"> - </w:t>
      </w:r>
      <w:r w:rsidRPr="00132E65">
        <w:rPr>
          <w:rtl/>
          <w:lang w:bidi="fa-IR"/>
        </w:rPr>
        <w:t>عِنْدَ انْقِضَاءِ مُدَّةِ‌</w:t>
      </w:r>
    </w:p>
    <w:p w:rsidR="000C39D1" w:rsidRPr="00132E65" w:rsidRDefault="000C39D1" w:rsidP="000C39D1">
      <w:pPr>
        <w:pStyle w:val="libLine"/>
        <w:rPr>
          <w:rtl/>
          <w:lang w:bidi="fa-IR"/>
        </w:rPr>
      </w:pPr>
      <w:r w:rsidRPr="00132E65">
        <w:rPr>
          <w:rtl/>
          <w:lang w:bidi="fa-IR"/>
        </w:rPr>
        <w:t>__________________</w:t>
      </w:r>
    </w:p>
    <w:p w:rsidR="000C39D1" w:rsidRPr="00132E65" w:rsidRDefault="00DA4E60" w:rsidP="000C39D1">
      <w:pPr>
        <w:pStyle w:val="libFootnote0"/>
        <w:rPr>
          <w:rtl/>
          <w:lang w:bidi="fa-IR"/>
        </w:rPr>
      </w:pPr>
      <w:r>
        <w:rPr>
          <w:rFonts w:hint="cs"/>
          <w:rtl/>
        </w:rPr>
        <w:t>=</w:t>
      </w:r>
      <w:r w:rsidR="000C39D1" w:rsidRPr="00132E65">
        <w:rPr>
          <w:rtl/>
        </w:rPr>
        <w:t>« علمي ، إمّا بكسر العين على أنّه مفعول الباقر</w:t>
      </w:r>
      <w:r w:rsidR="000C39D1">
        <w:rPr>
          <w:rtl/>
        </w:rPr>
        <w:t xml:space="preserve"> ..</w:t>
      </w:r>
      <w:r w:rsidR="000C39D1" w:rsidRPr="00132E65">
        <w:rPr>
          <w:rtl/>
        </w:rPr>
        <w:t>. أو بفتح العين واللام على أنّه خبر لقوله : وابنه. وعلى الأوّل خبره : شبه جدّه ، أو محمّد. أو ابنه خبر تقديره : وثانيهم ابنه »</w:t>
      </w:r>
      <w:r w:rsidR="000C39D1">
        <w:rPr>
          <w:rtl/>
        </w:rPr>
        <w:t>.</w:t>
      </w:r>
    </w:p>
    <w:p w:rsidR="000C39D1" w:rsidRPr="00132E65" w:rsidRDefault="000C39D1" w:rsidP="000C39D1">
      <w:pPr>
        <w:pStyle w:val="libFootnote0"/>
        <w:rPr>
          <w:rtl/>
          <w:lang w:bidi="fa-IR"/>
        </w:rPr>
      </w:pPr>
      <w:r>
        <w:rPr>
          <w:rtl/>
        </w:rPr>
        <w:t>(1).</w:t>
      </w:r>
      <w:r w:rsidRPr="00132E65">
        <w:rPr>
          <w:rtl/>
        </w:rPr>
        <w:t xml:space="preserve"> في العيون : « لحكمي »</w:t>
      </w:r>
      <w:r>
        <w:rPr>
          <w:rtl/>
        </w:rPr>
        <w:t>.</w:t>
      </w:r>
    </w:p>
    <w:p w:rsidR="000C39D1" w:rsidRPr="00132E65" w:rsidRDefault="000C39D1" w:rsidP="000C39D1">
      <w:pPr>
        <w:pStyle w:val="libFootnote0"/>
        <w:rPr>
          <w:rtl/>
          <w:lang w:bidi="fa-IR"/>
        </w:rPr>
      </w:pPr>
      <w:r>
        <w:rPr>
          <w:rtl/>
        </w:rPr>
        <w:t>(2).</w:t>
      </w:r>
      <w:r w:rsidRPr="00132E65">
        <w:rPr>
          <w:rtl/>
        </w:rPr>
        <w:t xml:space="preserve"> « ا</w:t>
      </w:r>
      <w:r w:rsidR="00DA4E60">
        <w:rPr>
          <w:rFonts w:hint="cs"/>
          <w:rtl/>
        </w:rPr>
        <w:t>ُ</w:t>
      </w:r>
      <w:r w:rsidRPr="00132E65">
        <w:rPr>
          <w:rtl/>
        </w:rPr>
        <w:t>تيحت » ، أي قدّرت له وا</w:t>
      </w:r>
      <w:r w:rsidR="00DA4E60">
        <w:rPr>
          <w:rFonts w:hint="cs"/>
          <w:rtl/>
        </w:rPr>
        <w:t>ُ</w:t>
      </w:r>
      <w:r w:rsidRPr="00132E65">
        <w:rPr>
          <w:rtl/>
        </w:rPr>
        <w:t>نزلت به ، يقال : تاح له الشي‌ء ، وا</w:t>
      </w:r>
      <w:r w:rsidR="00DA4E60">
        <w:rPr>
          <w:rFonts w:hint="cs"/>
          <w:rtl/>
        </w:rPr>
        <w:t>ُ</w:t>
      </w:r>
      <w:r w:rsidRPr="00132E65">
        <w:rPr>
          <w:rtl/>
        </w:rPr>
        <w:t>تيح له الشي‌ء ، أي قدّر له وأتاح الله له الشي‌ء ، أي</w:t>
      </w:r>
      <w:r w:rsidR="00DA4E60">
        <w:rPr>
          <w:rFonts w:hint="cs"/>
          <w:rtl/>
        </w:rPr>
        <w:t xml:space="preserve"> </w:t>
      </w:r>
      <w:r w:rsidRPr="00132E65">
        <w:rPr>
          <w:rtl/>
        </w:rPr>
        <w:t xml:space="preserve">‌قدّره له وأنزله به. راجع : </w:t>
      </w:r>
      <w:r w:rsidRPr="00DA4E60">
        <w:rPr>
          <w:rStyle w:val="libFootnoteBoldChar"/>
          <w:rtl/>
        </w:rPr>
        <w:t>الصحاح</w:t>
      </w:r>
      <w:r w:rsidRPr="00132E65">
        <w:rPr>
          <w:rtl/>
        </w:rPr>
        <w:t xml:space="preserve"> ، ج 1 ، ص 357 ؛ </w:t>
      </w:r>
      <w:r w:rsidRPr="00DA4E60">
        <w:rPr>
          <w:rStyle w:val="libFootnoteBoldChar"/>
          <w:rtl/>
        </w:rPr>
        <w:t>النهاية</w:t>
      </w:r>
      <w:r w:rsidRPr="00132E65">
        <w:rPr>
          <w:rtl/>
        </w:rPr>
        <w:t xml:space="preserve"> ، ج 1 ، ص 202 ( تيح )</w:t>
      </w:r>
      <w:r>
        <w:rPr>
          <w:rtl/>
        </w:rPr>
        <w:t>.</w:t>
      </w:r>
      <w:r w:rsidRPr="00132E65">
        <w:rPr>
          <w:rtl/>
        </w:rPr>
        <w:t xml:space="preserve"> في « ب » وحاشية « ج » و</w:t>
      </w:r>
      <w:r w:rsidRPr="009D1ACE">
        <w:rPr>
          <w:rStyle w:val="libFootnoteBoldChar"/>
          <w:rtl/>
        </w:rPr>
        <w:t>مرآة العقول</w:t>
      </w:r>
      <w:r w:rsidRPr="00132E65">
        <w:rPr>
          <w:rtl/>
        </w:rPr>
        <w:t xml:space="preserve"> : « ا</w:t>
      </w:r>
      <w:r w:rsidR="00DA4E60">
        <w:rPr>
          <w:rFonts w:hint="cs"/>
          <w:rtl/>
        </w:rPr>
        <w:t>ُ</w:t>
      </w:r>
      <w:r w:rsidRPr="00132E65">
        <w:rPr>
          <w:rtl/>
        </w:rPr>
        <w:t>بيحت »</w:t>
      </w:r>
      <w:r>
        <w:rPr>
          <w:rtl/>
        </w:rPr>
        <w:t>.</w:t>
      </w:r>
      <w:r w:rsidRPr="00132E65">
        <w:rPr>
          <w:rtl/>
        </w:rPr>
        <w:t xml:space="preserve"> بمعنى اظهرت أو ا</w:t>
      </w:r>
      <w:r w:rsidR="00DA4E60">
        <w:rPr>
          <w:rFonts w:hint="cs"/>
          <w:rtl/>
        </w:rPr>
        <w:t>ُ</w:t>
      </w:r>
      <w:r w:rsidRPr="00132E65">
        <w:rPr>
          <w:rtl/>
        </w:rPr>
        <w:t>حلّت. وفي حاشية « ج » أيضاً : « انتجبت »</w:t>
      </w:r>
      <w:r>
        <w:rPr>
          <w:rtl/>
        </w:rPr>
        <w:t>.</w:t>
      </w:r>
      <w:r w:rsidRPr="00132E65">
        <w:rPr>
          <w:rtl/>
        </w:rPr>
        <w:t xml:space="preserve"> وفي « ف » و</w:t>
      </w:r>
      <w:r w:rsidRPr="009D1ACE">
        <w:rPr>
          <w:rStyle w:val="libFootnoteBoldChar"/>
          <w:rtl/>
        </w:rPr>
        <w:t>الوافي</w:t>
      </w:r>
      <w:r w:rsidRPr="00132E65">
        <w:rPr>
          <w:rtl/>
        </w:rPr>
        <w:t xml:space="preserve"> : « انتجب »</w:t>
      </w:r>
      <w:r>
        <w:rPr>
          <w:rtl/>
        </w:rPr>
        <w:t>.</w:t>
      </w:r>
      <w:r w:rsidRPr="00132E65">
        <w:rPr>
          <w:rtl/>
        </w:rPr>
        <w:t xml:space="preserve"> وفي « بس » : « ا</w:t>
      </w:r>
      <w:r w:rsidR="00DA4E60">
        <w:rPr>
          <w:rFonts w:hint="cs"/>
          <w:rtl/>
        </w:rPr>
        <w:t>ُ</w:t>
      </w:r>
      <w:r w:rsidRPr="00132E65">
        <w:rPr>
          <w:rtl/>
        </w:rPr>
        <w:t>نيخت » من الإناخة بمعنى الإسقاط. ونقل المازندراني والمجلسي عن بعض النسخ : « ا</w:t>
      </w:r>
      <w:r w:rsidR="00DA4E60">
        <w:rPr>
          <w:rFonts w:hint="cs"/>
          <w:rtl/>
        </w:rPr>
        <w:t>ُ</w:t>
      </w:r>
      <w:r w:rsidRPr="00132E65">
        <w:rPr>
          <w:rtl/>
        </w:rPr>
        <w:t>نبحت » من النباح وهو صياح الكلب. وفي الغيبة للطوسي : « ا</w:t>
      </w:r>
      <w:r w:rsidR="00DA4E60">
        <w:rPr>
          <w:rFonts w:hint="cs"/>
          <w:rtl/>
        </w:rPr>
        <w:t>ُ</w:t>
      </w:r>
      <w:r w:rsidRPr="00132E65">
        <w:rPr>
          <w:rtl/>
        </w:rPr>
        <w:t>نتج »</w:t>
      </w:r>
      <w:r>
        <w:rPr>
          <w:rtl/>
        </w:rPr>
        <w:t>.</w:t>
      </w:r>
    </w:p>
    <w:p w:rsidR="000C39D1" w:rsidRPr="00132E65" w:rsidRDefault="000C39D1" w:rsidP="000C39D1">
      <w:pPr>
        <w:pStyle w:val="libFootnote0"/>
        <w:rPr>
          <w:rtl/>
          <w:lang w:bidi="fa-IR"/>
        </w:rPr>
      </w:pPr>
      <w:r>
        <w:rPr>
          <w:rtl/>
        </w:rPr>
        <w:t>(3).</w:t>
      </w:r>
      <w:r w:rsidRPr="00132E65">
        <w:rPr>
          <w:rtl/>
        </w:rPr>
        <w:t xml:space="preserve"> هكذا في « ب ، ج ، بح »</w:t>
      </w:r>
      <w:r>
        <w:rPr>
          <w:rtl/>
        </w:rPr>
        <w:t>.</w:t>
      </w:r>
      <w:r w:rsidRPr="00132E65">
        <w:rPr>
          <w:rtl/>
        </w:rPr>
        <w:t xml:space="preserve"> وفي سائر النسخ والمطبوع : « موسى »</w:t>
      </w:r>
      <w:r>
        <w:rPr>
          <w:rtl/>
        </w:rPr>
        <w:t>.</w:t>
      </w:r>
    </w:p>
    <w:p w:rsidR="000C39D1" w:rsidRPr="00132E65" w:rsidRDefault="000C39D1" w:rsidP="000C39D1">
      <w:pPr>
        <w:pStyle w:val="libFootnote0"/>
        <w:rPr>
          <w:rtl/>
          <w:lang w:bidi="fa-IR"/>
        </w:rPr>
      </w:pPr>
      <w:r>
        <w:rPr>
          <w:rtl/>
        </w:rPr>
        <w:t>(4).</w:t>
      </w:r>
      <w:r w:rsidRPr="00132E65">
        <w:rPr>
          <w:rtl/>
        </w:rPr>
        <w:t xml:space="preserve"> في الغيبة للنعماني : « ا</w:t>
      </w:r>
      <w:r w:rsidR="00DA4E60">
        <w:rPr>
          <w:rFonts w:hint="cs"/>
          <w:rtl/>
        </w:rPr>
        <w:t>ُ</w:t>
      </w:r>
      <w:r w:rsidRPr="00132E65">
        <w:rPr>
          <w:rtl/>
        </w:rPr>
        <w:t>تيحت بعده فتنة »</w:t>
      </w:r>
      <w:r>
        <w:rPr>
          <w:rtl/>
        </w:rPr>
        <w:t>.</w:t>
      </w:r>
      <w:r w:rsidRPr="00132E65">
        <w:rPr>
          <w:rtl/>
        </w:rPr>
        <w:t xml:space="preserve"> وفي الغيبة للطوسي : « انتج بعده فتنة »</w:t>
      </w:r>
      <w:r>
        <w:rPr>
          <w:rtl/>
        </w:rPr>
        <w:t>.</w:t>
      </w:r>
      <w:r w:rsidRPr="00132E65">
        <w:rPr>
          <w:rtl/>
        </w:rPr>
        <w:t xml:space="preserve"> وفي العيون : « انتجبت بعده‌</w:t>
      </w:r>
      <w:r w:rsidR="00DA4E60">
        <w:rPr>
          <w:rFonts w:hint="cs"/>
          <w:rtl/>
        </w:rPr>
        <w:t xml:space="preserve"> </w:t>
      </w:r>
      <w:r w:rsidRPr="00132E65">
        <w:rPr>
          <w:rtl/>
        </w:rPr>
        <w:t>موسى وانتحبت بعده فتنة »</w:t>
      </w:r>
      <w:r>
        <w:rPr>
          <w:rtl/>
        </w:rPr>
        <w:t>.</w:t>
      </w:r>
      <w:r w:rsidRPr="00132E65">
        <w:rPr>
          <w:rtl/>
        </w:rPr>
        <w:t xml:space="preserve"> وفي الاختصاص : « انتجبت بعده موسى وا</w:t>
      </w:r>
      <w:r w:rsidR="00DA4E60">
        <w:rPr>
          <w:rFonts w:hint="cs"/>
          <w:rtl/>
        </w:rPr>
        <w:t>ُ</w:t>
      </w:r>
      <w:r w:rsidRPr="00132E65">
        <w:rPr>
          <w:rtl/>
        </w:rPr>
        <w:t>تيحت فتنة »</w:t>
      </w:r>
      <w:r>
        <w:rPr>
          <w:rtl/>
        </w:rPr>
        <w:t>.</w:t>
      </w:r>
      <w:r w:rsidRPr="00132E65">
        <w:rPr>
          <w:rtl/>
        </w:rPr>
        <w:t xml:space="preserve"> وفي كمال الدين : « وانتحبّت بعد موسى فتنة » كلّها بدل « ا</w:t>
      </w:r>
      <w:r w:rsidR="00DA4E60">
        <w:rPr>
          <w:rFonts w:hint="cs"/>
          <w:rtl/>
        </w:rPr>
        <w:t>ُ</w:t>
      </w:r>
      <w:r w:rsidRPr="00132E65">
        <w:rPr>
          <w:rtl/>
        </w:rPr>
        <w:t>تيحت بعده موسى فتنة »</w:t>
      </w:r>
      <w:r>
        <w:rPr>
          <w:rtl/>
        </w:rPr>
        <w:t>.</w:t>
      </w:r>
      <w:r w:rsidRPr="00132E65">
        <w:rPr>
          <w:rtl/>
        </w:rPr>
        <w:t xml:space="preserve"> </w:t>
      </w:r>
      <w:r>
        <w:rPr>
          <w:rtl/>
        </w:rPr>
        <w:t>و «</w:t>
      </w:r>
      <w:r w:rsidRPr="00132E65">
        <w:rPr>
          <w:rtl/>
        </w:rPr>
        <w:t xml:space="preserve"> فتنة » منصوبة على الظرفيّة بتقدير « في » عند الفيض على ما قرأ الفعل : « انتجب » معلوماً ، ومنصوبة عنده أيضاً على المصدر إن قرئ الفعل « ا</w:t>
      </w:r>
      <w:r w:rsidR="00DA4E60">
        <w:rPr>
          <w:rFonts w:hint="cs"/>
          <w:rtl/>
        </w:rPr>
        <w:t>ُ</w:t>
      </w:r>
      <w:r w:rsidRPr="00132E65">
        <w:rPr>
          <w:rtl/>
        </w:rPr>
        <w:t>تيحت »</w:t>
      </w:r>
      <w:r>
        <w:rPr>
          <w:rtl/>
        </w:rPr>
        <w:t>.</w:t>
      </w:r>
    </w:p>
    <w:p w:rsidR="000C39D1" w:rsidRPr="00132E65" w:rsidRDefault="000C39D1" w:rsidP="000C39D1">
      <w:pPr>
        <w:pStyle w:val="libFootnote0"/>
        <w:rPr>
          <w:rtl/>
          <w:lang w:bidi="fa-IR"/>
        </w:rPr>
      </w:pPr>
      <w:r>
        <w:rPr>
          <w:rtl/>
        </w:rPr>
        <w:t>(5).</w:t>
      </w:r>
      <w:r w:rsidRPr="00132E65">
        <w:rPr>
          <w:rtl/>
        </w:rPr>
        <w:t xml:space="preserve"> « الحِنْدِس » : الليل المظلم ، والظُلمة. وجمعه : حناديس. </w:t>
      </w:r>
      <w:r w:rsidRPr="00DA4E60">
        <w:rPr>
          <w:rStyle w:val="libFootnoteBoldChar"/>
          <w:rtl/>
        </w:rPr>
        <w:t>القاموس المحيط</w:t>
      </w:r>
      <w:r w:rsidRPr="00132E65">
        <w:rPr>
          <w:rtl/>
        </w:rPr>
        <w:t xml:space="preserve"> ، ج 2 ، ص 209 ( حندس )</w:t>
      </w:r>
      <w:r>
        <w:rPr>
          <w:rtl/>
        </w:rPr>
        <w:t>.</w:t>
      </w:r>
      <w:r w:rsidRPr="00132E65">
        <w:rPr>
          <w:rtl/>
        </w:rPr>
        <w:t xml:space="preserve"> والمراد شديدة.</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00DA4E60">
        <w:rPr>
          <w:rtl/>
        </w:rPr>
        <w:t xml:space="preserve"> : « والأظهر : إل</w:t>
      </w:r>
      <w:r w:rsidR="00DA4E60">
        <w:rPr>
          <w:rFonts w:hint="cs"/>
          <w:rtl/>
        </w:rPr>
        <w:t>ّ</w:t>
      </w:r>
      <w:r w:rsidR="00DA4E60">
        <w:rPr>
          <w:rtl/>
        </w:rPr>
        <w:t>ا</w:t>
      </w:r>
      <w:r>
        <w:rPr>
          <w:rFonts w:hint="cs"/>
          <w:rtl/>
        </w:rPr>
        <w:t xml:space="preserve"> </w:t>
      </w:r>
      <w:r w:rsidRPr="00132E65">
        <w:rPr>
          <w:rtl/>
        </w:rPr>
        <w:t>أنّ</w:t>
      </w:r>
      <w:r>
        <w:rPr>
          <w:rtl/>
        </w:rPr>
        <w:t xml:space="preserve"> ..</w:t>
      </w:r>
      <w:r w:rsidR="00DA4E60">
        <w:rPr>
          <w:rtl/>
        </w:rPr>
        <w:t>. بتشديد إل</w:t>
      </w:r>
      <w:r w:rsidR="00DA4E60">
        <w:rPr>
          <w:rFonts w:hint="cs"/>
          <w:rtl/>
        </w:rPr>
        <w:t>ّ</w:t>
      </w:r>
      <w:r w:rsidR="00DA4E60">
        <w:rPr>
          <w:rtl/>
        </w:rPr>
        <w:t>ا</w:t>
      </w:r>
      <w:r>
        <w:rPr>
          <w:rFonts w:hint="cs"/>
          <w:rtl/>
        </w:rPr>
        <w:t xml:space="preserve"> </w:t>
      </w:r>
      <w:r w:rsidRPr="00132E65">
        <w:rPr>
          <w:rtl/>
        </w:rPr>
        <w:t>أو تخفيفه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9D1ACE">
        <w:rPr>
          <w:rStyle w:val="libFootnoteBoldChar"/>
          <w:rtl/>
        </w:rPr>
        <w:t>الوافي</w:t>
      </w:r>
      <w:r w:rsidRPr="00132E65">
        <w:rPr>
          <w:rtl/>
        </w:rPr>
        <w:t xml:space="preserve"> : « الفرض : الحجّة أو الإتيان بها. والكلام استعارة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 وأنّ أوليائي ، أي الأئمّة </w:t>
      </w:r>
      <w:r w:rsidRPr="00DA4E60">
        <w:rPr>
          <w:rStyle w:val="libFootnoteAlaemChar"/>
          <w:rtl/>
        </w:rPr>
        <w:t>عليهم‌السلام</w:t>
      </w:r>
      <w:r w:rsidRPr="00132E65">
        <w:rPr>
          <w:rtl/>
        </w:rPr>
        <w:t xml:space="preserve"> أو شيعتهم. يسقون ، على المعلوم أو المجهول ، وعلى الثاني</w:t>
      </w:r>
      <w:r w:rsidR="00DA4E60">
        <w:rPr>
          <w:rFonts w:hint="cs"/>
          <w:rtl/>
        </w:rPr>
        <w:t xml:space="preserve"> </w:t>
      </w:r>
      <w:r w:rsidRPr="00132E65">
        <w:rPr>
          <w:rtl/>
        </w:rPr>
        <w:t>‌المجهول أظهر »</w:t>
      </w:r>
      <w:r>
        <w:rPr>
          <w:rtl/>
        </w:rPr>
        <w:t>.</w:t>
      </w:r>
    </w:p>
    <w:p w:rsidR="000C39D1" w:rsidRPr="00132E65" w:rsidRDefault="000C39D1" w:rsidP="000C39D1">
      <w:pPr>
        <w:pStyle w:val="libFootnote0"/>
        <w:rPr>
          <w:rtl/>
          <w:lang w:bidi="fa-IR"/>
        </w:rPr>
      </w:pPr>
      <w:r>
        <w:rPr>
          <w:rtl/>
        </w:rPr>
        <w:t>(9).</w:t>
      </w:r>
      <w:r w:rsidRPr="00132E65">
        <w:rPr>
          <w:rtl/>
        </w:rPr>
        <w:t xml:space="preserve"> في العيون والغيبة للطوسي : « لا يشقون »</w:t>
      </w:r>
      <w:r>
        <w:rPr>
          <w:rtl/>
        </w:rPr>
        <w:t>.</w:t>
      </w:r>
      <w:r w:rsidRPr="00132E65">
        <w:rPr>
          <w:rtl/>
        </w:rPr>
        <w:t xml:space="preserve"> وفي كمال الدين : « لا يشقون أبداً » كلاهما بدل « يُسقون بالكأس الأوفى »</w:t>
      </w:r>
      <w:r>
        <w:rPr>
          <w:rtl/>
        </w:rPr>
        <w:t>.</w:t>
      </w:r>
    </w:p>
    <w:p w:rsidR="000C39D1" w:rsidRPr="00132E65" w:rsidRDefault="000C39D1" w:rsidP="000C39D1">
      <w:pPr>
        <w:pStyle w:val="libFootnote0"/>
        <w:rPr>
          <w:rtl/>
          <w:lang w:bidi="fa-IR"/>
        </w:rPr>
      </w:pPr>
      <w:r>
        <w:rPr>
          <w:rtl/>
        </w:rPr>
        <w:t>(10).</w:t>
      </w:r>
      <w:r w:rsidRPr="00132E65">
        <w:rPr>
          <w:rtl/>
        </w:rPr>
        <w:t xml:space="preserve"> في الغيبة للنعماني والعيون كمال الدين والاختصاص والغيبة للطوسي : « ألا ومن جحد »</w:t>
      </w:r>
      <w:r>
        <w:rPr>
          <w:rtl/>
        </w:rPr>
        <w:t>.</w:t>
      </w:r>
    </w:p>
    <w:p w:rsidR="000C39D1" w:rsidRPr="00132E65" w:rsidRDefault="000C39D1" w:rsidP="000C39D1">
      <w:pPr>
        <w:pStyle w:val="libFootnote0"/>
        <w:rPr>
          <w:rtl/>
          <w:lang w:bidi="fa-IR"/>
        </w:rPr>
      </w:pPr>
      <w:r>
        <w:rPr>
          <w:rtl/>
        </w:rPr>
        <w:t>(11).</w:t>
      </w:r>
      <w:r w:rsidRPr="00132E65">
        <w:rPr>
          <w:rtl/>
        </w:rPr>
        <w:t xml:space="preserve"> في العيون وكمال الدين والاختصاص والغيبة للطوسي : « وويل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مُوسى عَبْدِي و</w:t>
      </w:r>
      <w:r w:rsidR="00DA4E60">
        <w:rPr>
          <w:rFonts w:hint="cs"/>
          <w:rtl/>
          <w:lang w:bidi="fa-IR"/>
        </w:rPr>
        <w:t>َ</w:t>
      </w:r>
      <w:r w:rsidRPr="00132E65">
        <w:rPr>
          <w:rtl/>
          <w:lang w:bidi="fa-IR"/>
        </w:rPr>
        <w:t>حَبِيبِي و</w:t>
      </w:r>
      <w:r w:rsidR="00DA4E60">
        <w:rPr>
          <w:rFonts w:hint="cs"/>
          <w:rtl/>
          <w:lang w:bidi="fa-IR"/>
        </w:rPr>
        <w:t>َ</w:t>
      </w:r>
      <w:r w:rsidRPr="00132E65">
        <w:rPr>
          <w:rtl/>
          <w:lang w:bidi="fa-IR"/>
        </w:rPr>
        <w:t>خِيَرَتِي</w:t>
      </w:r>
      <w:r>
        <w:rPr>
          <w:rtl/>
          <w:lang w:bidi="fa-IR"/>
        </w:rPr>
        <w:t xml:space="preserve"> - </w:t>
      </w:r>
      <w:r w:rsidRPr="00132E65">
        <w:rPr>
          <w:rtl/>
          <w:lang w:bidi="fa-IR"/>
        </w:rPr>
        <w:t xml:space="preserve">فِي عَلِيٍّ </w:t>
      </w:r>
      <w:r>
        <w:rPr>
          <w:rStyle w:val="libFootnotenumChar"/>
          <w:rtl/>
        </w:rPr>
        <w:t>(1)</w:t>
      </w:r>
      <w:r w:rsidRPr="00132E65">
        <w:rPr>
          <w:rtl/>
          <w:lang w:bidi="fa-IR"/>
        </w:rPr>
        <w:t xml:space="preserve"> و</w:t>
      </w:r>
      <w:r w:rsidR="00DA4E60">
        <w:rPr>
          <w:rFonts w:hint="cs"/>
          <w:rtl/>
          <w:lang w:bidi="fa-IR"/>
        </w:rPr>
        <w:t>َ</w:t>
      </w:r>
      <w:r w:rsidRPr="00132E65">
        <w:rPr>
          <w:rtl/>
          <w:lang w:bidi="fa-IR"/>
        </w:rPr>
        <w:t>لِيِّي و</w:t>
      </w:r>
      <w:r w:rsidR="00DA4E60">
        <w:rPr>
          <w:rFonts w:hint="cs"/>
          <w:rtl/>
          <w:lang w:bidi="fa-IR"/>
        </w:rPr>
        <w:t>َ</w:t>
      </w:r>
      <w:r w:rsidRPr="00132E65">
        <w:rPr>
          <w:rtl/>
          <w:lang w:bidi="fa-IR"/>
        </w:rPr>
        <w:t xml:space="preserve">نَاصِرِي </w:t>
      </w:r>
      <w:r>
        <w:rPr>
          <w:rStyle w:val="libFootnotenumChar"/>
          <w:rtl/>
        </w:rPr>
        <w:t>(2)</w:t>
      </w:r>
      <w:r w:rsidRPr="00132E65">
        <w:rPr>
          <w:rtl/>
          <w:lang w:bidi="fa-IR"/>
        </w:rPr>
        <w:t xml:space="preserve"> ، و</w:t>
      </w:r>
      <w:r w:rsidR="00DA4E60">
        <w:rPr>
          <w:rFonts w:hint="cs"/>
          <w:rtl/>
          <w:lang w:bidi="fa-IR"/>
        </w:rPr>
        <w:t>َ</w:t>
      </w:r>
      <w:r w:rsidRPr="00132E65">
        <w:rPr>
          <w:rtl/>
          <w:lang w:bidi="fa-IR"/>
        </w:rPr>
        <w:t xml:space="preserve">مَنْ أَضَعُ عَلَيْهِ أَعْبَاءَ النُّبُوَّةِ ، وأَمْتَحِنُهُ </w:t>
      </w:r>
      <w:r>
        <w:rPr>
          <w:rStyle w:val="libFootnotenumChar"/>
          <w:rtl/>
        </w:rPr>
        <w:t>(3)</w:t>
      </w:r>
      <w:r w:rsidRPr="00132E65">
        <w:rPr>
          <w:rtl/>
          <w:lang w:bidi="fa-IR"/>
        </w:rPr>
        <w:t xml:space="preserve"> بِالِاضْطِلَاعِ بِهَا </w:t>
      </w:r>
      <w:r>
        <w:rPr>
          <w:rStyle w:val="libFootnotenumChar"/>
          <w:rtl/>
        </w:rPr>
        <w:t>(4)</w:t>
      </w:r>
      <w:r w:rsidRPr="00132E65">
        <w:rPr>
          <w:rtl/>
          <w:lang w:bidi="fa-IR"/>
        </w:rPr>
        <w:t xml:space="preserve"> ، يَقْتُلُهُ عِفْرِيتٌ مُسْتَكْبِرٌ ، يُدْفَنُ فِي الْمَدِينَةِ</w:t>
      </w:r>
      <w:r>
        <w:rPr>
          <w:rtl/>
          <w:lang w:bidi="fa-IR"/>
        </w:rPr>
        <w:t xml:space="preserve"> - </w:t>
      </w:r>
      <w:r w:rsidRPr="00132E65">
        <w:rPr>
          <w:rtl/>
          <w:lang w:bidi="fa-IR"/>
        </w:rPr>
        <w:t xml:space="preserve">الَّتِي بَنَاهَا الْعَبْدُ الصَّالِحُ </w:t>
      </w:r>
      <w:r>
        <w:rPr>
          <w:rStyle w:val="libFootnotenumChar"/>
          <w:rtl/>
        </w:rPr>
        <w:t>(5)</w:t>
      </w:r>
      <w:r>
        <w:rPr>
          <w:rtl/>
          <w:lang w:bidi="fa-IR"/>
        </w:rPr>
        <w:t xml:space="preserve"> - </w:t>
      </w:r>
      <w:r w:rsidRPr="00132E65">
        <w:rPr>
          <w:rtl/>
          <w:lang w:bidi="fa-IR"/>
        </w:rPr>
        <w:t xml:space="preserve">إِلى جَنْبِ شَرِّ خَلْقِي ، حَقَّ </w:t>
      </w:r>
      <w:r>
        <w:rPr>
          <w:rStyle w:val="libFootnotenumChar"/>
          <w:rtl/>
        </w:rPr>
        <w:t>(6)</w:t>
      </w:r>
      <w:r w:rsidRPr="00132E65">
        <w:rPr>
          <w:rtl/>
          <w:lang w:bidi="fa-IR"/>
        </w:rPr>
        <w:t xml:space="preserve"> الْقَوْلُ مِنِّي لَأَسُرَّنَّهُ </w:t>
      </w:r>
      <w:r>
        <w:rPr>
          <w:rStyle w:val="libFootnotenumChar"/>
          <w:rtl/>
        </w:rPr>
        <w:t>(7)</w:t>
      </w:r>
      <w:r w:rsidRPr="00132E65">
        <w:rPr>
          <w:rtl/>
          <w:lang w:bidi="fa-IR"/>
        </w:rPr>
        <w:t xml:space="preserve"> بِمُحَمَّدٍ ابْنِهِ و</w:t>
      </w:r>
      <w:r w:rsidR="00DA4E60">
        <w:rPr>
          <w:rFonts w:hint="cs"/>
          <w:rtl/>
          <w:lang w:bidi="fa-IR"/>
        </w:rPr>
        <w:t>َ</w:t>
      </w:r>
      <w:r w:rsidRPr="00132E65">
        <w:rPr>
          <w:rtl/>
          <w:lang w:bidi="fa-IR"/>
        </w:rPr>
        <w:t>خَلِيفَتِهِ مِنْ بَعْدِهِ و</w:t>
      </w:r>
      <w:r w:rsidR="00DA4E60">
        <w:rPr>
          <w:rFonts w:hint="cs"/>
          <w:rtl/>
          <w:lang w:bidi="fa-IR"/>
        </w:rPr>
        <w:t xml:space="preserve">َ </w:t>
      </w:r>
      <w:r w:rsidR="00DA4E60">
        <w:rPr>
          <w:rtl/>
          <w:lang w:bidi="fa-IR"/>
        </w:rPr>
        <w:t>و</w:t>
      </w:r>
      <w:r w:rsidR="00DA4E60">
        <w:rPr>
          <w:rFonts w:hint="cs"/>
          <w:rtl/>
          <w:lang w:bidi="fa-IR"/>
        </w:rPr>
        <w:t>َ</w:t>
      </w:r>
      <w:r w:rsidRPr="00132E65">
        <w:rPr>
          <w:rtl/>
          <w:lang w:bidi="fa-IR"/>
        </w:rPr>
        <w:t>ارِثِ عِلْمِهِ ، فَهُوَ مَعْدِنُ عِلْمِي و</w:t>
      </w:r>
      <w:r w:rsidR="00DA4E60">
        <w:rPr>
          <w:rFonts w:hint="cs"/>
          <w:rtl/>
          <w:lang w:bidi="fa-IR"/>
        </w:rPr>
        <w:t>َ</w:t>
      </w:r>
      <w:r w:rsidRPr="00132E65">
        <w:rPr>
          <w:rtl/>
          <w:lang w:bidi="fa-IR"/>
        </w:rPr>
        <w:t>مَوْضِعُ سِرِّي و</w:t>
      </w:r>
      <w:r w:rsidR="00DA4E60">
        <w:rPr>
          <w:rFonts w:hint="cs"/>
          <w:rtl/>
          <w:lang w:bidi="fa-IR"/>
        </w:rPr>
        <w:t>َ</w:t>
      </w:r>
      <w:r w:rsidRPr="00132E65">
        <w:rPr>
          <w:rtl/>
          <w:lang w:bidi="fa-IR"/>
        </w:rPr>
        <w:t xml:space="preserve">حُجَّتِي عَلى خَلْقِي </w:t>
      </w:r>
      <w:r w:rsidR="00DA4E60">
        <w:rPr>
          <w:rtl/>
          <w:lang w:bidi="fa-IR"/>
        </w:rPr>
        <w:t>، لَايُؤْمِنُ عَبْدٌ بِهِ إِل</w:t>
      </w:r>
      <w:r w:rsidR="00DA4E60">
        <w:rPr>
          <w:rFonts w:hint="cs"/>
          <w:rtl/>
          <w:lang w:bidi="fa-IR"/>
        </w:rPr>
        <w:t>َّ</w:t>
      </w:r>
      <w:r w:rsidR="00DA4E60">
        <w:rPr>
          <w:rtl/>
          <w:lang w:bidi="fa-IR"/>
        </w:rPr>
        <w:t>ا</w:t>
      </w:r>
      <w:r w:rsidRPr="00132E65">
        <w:rPr>
          <w:rtl/>
          <w:lang w:bidi="fa-IR"/>
        </w:rPr>
        <w:t xml:space="preserve"> </w:t>
      </w:r>
      <w:r>
        <w:rPr>
          <w:rStyle w:val="libFootnotenumChar"/>
          <w:rtl/>
        </w:rPr>
        <w:t>(8)</w:t>
      </w:r>
      <w:r w:rsidRPr="00132E65">
        <w:rPr>
          <w:rtl/>
          <w:lang w:bidi="fa-IR"/>
        </w:rPr>
        <w:t xml:space="preserve"> جَعَلْتُ الْجَنَّةَ مَثْوَاهُ ، و</w:t>
      </w:r>
      <w:r w:rsidR="00DA4E60">
        <w:rPr>
          <w:rFonts w:hint="cs"/>
          <w:rtl/>
          <w:lang w:bidi="fa-IR"/>
        </w:rPr>
        <w:t>َ</w:t>
      </w:r>
      <w:r w:rsidRPr="00132E65">
        <w:rPr>
          <w:rtl/>
          <w:lang w:bidi="fa-IR"/>
        </w:rPr>
        <w:t xml:space="preserve">شَفَّعْتُهُ فِي سَبْعِينَ </w:t>
      </w:r>
      <w:r>
        <w:rPr>
          <w:rStyle w:val="libFootnotenumChar"/>
          <w:rtl/>
        </w:rPr>
        <w:t>(9)</w:t>
      </w:r>
      <w:r w:rsidRPr="00132E65">
        <w:rPr>
          <w:rtl/>
          <w:lang w:bidi="fa-IR"/>
        </w:rPr>
        <w:t xml:space="preserve"> مِنْ أَهْلِ بَيْتِهِ كُلُّهُمْ قَدِ اسْتَوْجَبُوا النَّارَ ، و</w:t>
      </w:r>
      <w:r w:rsidR="00DA4E60">
        <w:rPr>
          <w:rFonts w:hint="cs"/>
          <w:rtl/>
          <w:lang w:bidi="fa-IR"/>
        </w:rPr>
        <w:t>َ</w:t>
      </w:r>
      <w:r w:rsidRPr="00132E65">
        <w:rPr>
          <w:rtl/>
          <w:lang w:bidi="fa-IR"/>
        </w:rPr>
        <w:t>أَخْتِمُ بِالسَّعَادَةِ لِابْنِهِ عَلِيٍّ و</w:t>
      </w:r>
      <w:r w:rsidR="00DA4E60">
        <w:rPr>
          <w:rFonts w:hint="cs"/>
          <w:rtl/>
          <w:lang w:bidi="fa-IR"/>
        </w:rPr>
        <w:t>َ</w:t>
      </w:r>
      <w:r w:rsidRPr="00132E65">
        <w:rPr>
          <w:rtl/>
          <w:lang w:bidi="fa-IR"/>
        </w:rPr>
        <w:t>لِيِّي و</w:t>
      </w:r>
      <w:r w:rsidR="00DA4E60">
        <w:rPr>
          <w:rFonts w:hint="cs"/>
          <w:rtl/>
          <w:lang w:bidi="fa-IR"/>
        </w:rPr>
        <w:t>َ</w:t>
      </w:r>
      <w:r w:rsidRPr="00132E65">
        <w:rPr>
          <w:rtl/>
          <w:lang w:bidi="fa-IR"/>
        </w:rPr>
        <w:t>نَاصِرِي ، والشَّاهِدِ فِي خَلْقِي ، و</w:t>
      </w:r>
      <w:r w:rsidR="00DA4E60">
        <w:rPr>
          <w:rFonts w:hint="cs"/>
          <w:rtl/>
          <w:lang w:bidi="fa-IR"/>
        </w:rPr>
        <w:t>َ</w:t>
      </w:r>
      <w:r w:rsidRPr="00132E65">
        <w:rPr>
          <w:rtl/>
          <w:lang w:bidi="fa-IR"/>
        </w:rPr>
        <w:t>أَمِينِي عَلى و</w:t>
      </w:r>
      <w:r w:rsidR="00DA4E60">
        <w:rPr>
          <w:rFonts w:hint="cs"/>
          <w:rtl/>
          <w:lang w:bidi="fa-IR"/>
        </w:rPr>
        <w:t>َ</w:t>
      </w:r>
      <w:r w:rsidRPr="00132E65">
        <w:rPr>
          <w:rtl/>
          <w:lang w:bidi="fa-IR"/>
        </w:rPr>
        <w:t>حْيِي ، أُخْرِجُ مِنْهُ الدَّاعِيَ إِلى سَبِيلِي و</w:t>
      </w:r>
      <w:r w:rsidR="00DA4E60">
        <w:rPr>
          <w:rFonts w:hint="cs"/>
          <w:rtl/>
          <w:lang w:bidi="fa-IR"/>
        </w:rPr>
        <w:t>َ</w:t>
      </w:r>
      <w:r w:rsidRPr="00132E65">
        <w:rPr>
          <w:rtl/>
          <w:lang w:bidi="fa-IR"/>
        </w:rPr>
        <w:t xml:space="preserve">الْخَازِنَ لِعِلْمِيَ الْحَسَنَ </w:t>
      </w:r>
      <w:r>
        <w:rPr>
          <w:rStyle w:val="libFootnotenumChar"/>
          <w:rtl/>
        </w:rPr>
        <w:t>(10)</w:t>
      </w:r>
      <w:r w:rsidRPr="00132E65">
        <w:rPr>
          <w:rtl/>
          <w:lang w:bidi="fa-IR"/>
        </w:rPr>
        <w:t xml:space="preserve"> ،</w:t>
      </w:r>
      <w:r>
        <w:rPr>
          <w:rFonts w:hint="cs"/>
          <w:rtl/>
          <w:lang w:bidi="fa-IR"/>
        </w:rPr>
        <w:t xml:space="preserve"> </w:t>
      </w:r>
      <w:r w:rsidRPr="00132E65">
        <w:rPr>
          <w:rtl/>
          <w:lang w:bidi="fa-IR"/>
        </w:rPr>
        <w:t>وَ</w:t>
      </w:r>
      <w:r>
        <w:rPr>
          <w:rFonts w:hint="cs"/>
          <w:rtl/>
          <w:lang w:bidi="fa-IR"/>
        </w:rPr>
        <w:t xml:space="preserve"> </w:t>
      </w:r>
      <w:r>
        <w:rPr>
          <w:rStyle w:val="libFootnotenumChar"/>
          <w:rtl/>
        </w:rPr>
        <w:t>(11)</w:t>
      </w:r>
      <w:r w:rsidRPr="00132E65">
        <w:rPr>
          <w:rtl/>
          <w:lang w:bidi="fa-IR"/>
        </w:rPr>
        <w:t xml:space="preserve"> أُكَمِّلُ </w:t>
      </w:r>
      <w:r>
        <w:rPr>
          <w:rStyle w:val="libFootnotenumChar"/>
          <w:rtl/>
        </w:rPr>
        <w:t>(12)</w:t>
      </w:r>
      <w:r w:rsidRPr="00132E65">
        <w:rPr>
          <w:rtl/>
          <w:lang w:bidi="fa-IR"/>
        </w:rPr>
        <w:t xml:space="preserve"> ذلِكَ بِابْنِهِ ( م‌ح‌م‌د ) </w:t>
      </w:r>
      <w:r w:rsidRPr="00F543F1">
        <w:rPr>
          <w:rStyle w:val="libFootnotenumChar"/>
          <w:rtl/>
        </w:rPr>
        <w:t>(</w:t>
      </w:r>
      <w:r w:rsidRPr="00F543F1">
        <w:rPr>
          <w:rStyle w:val="libFootnotenumChar"/>
          <w:rFonts w:hint="cs"/>
          <w:rtl/>
        </w:rPr>
        <w:t>1</w:t>
      </w:r>
      <w:r w:rsidRPr="00F543F1">
        <w:rPr>
          <w:rStyle w:val="libFootnotenumChar"/>
          <w:rtl/>
        </w:rPr>
        <w:t>3)</w:t>
      </w:r>
      <w:r w:rsidRPr="00132E65">
        <w:rPr>
          <w:rtl/>
          <w:lang w:bidi="fa-IR"/>
        </w:rPr>
        <w:t xml:space="preserve"> رَحْمَةً لِلْعَالَمِينَ ، عَلَيْهِ كَمَالُ مُوسى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قال في المرآة : « قوله : في عليّ ، هو في محلّ مفعول الجاحدين ، أي الجاحدين النصّ في عليّ »</w:t>
      </w:r>
      <w:r>
        <w:rPr>
          <w:rtl/>
        </w:rPr>
        <w:t>.</w:t>
      </w:r>
      <w:r w:rsidRPr="00132E65">
        <w:rPr>
          <w:rtl/>
        </w:rPr>
        <w:t xml:space="preserve"> وفي</w:t>
      </w:r>
      <w:r w:rsidR="00DA4E60">
        <w:rPr>
          <w:rFonts w:hint="cs"/>
          <w:rtl/>
        </w:rPr>
        <w:t xml:space="preserve"> </w:t>
      </w:r>
      <w:r w:rsidRPr="00132E65">
        <w:rPr>
          <w:rtl/>
        </w:rPr>
        <w:t>‌</w:t>
      </w:r>
      <w:r w:rsidRPr="009D1ACE">
        <w:rPr>
          <w:rStyle w:val="libFootnoteBoldChar"/>
          <w:rtl/>
        </w:rPr>
        <w:t>الوافي</w:t>
      </w:r>
      <w:r w:rsidRPr="00132E65">
        <w:rPr>
          <w:rtl/>
        </w:rPr>
        <w:t xml:space="preserve"> </w:t>
      </w:r>
      <w:r>
        <w:rPr>
          <w:rtl/>
        </w:rPr>
        <w:t xml:space="preserve">: - </w:t>
      </w:r>
      <w:r w:rsidR="00DA4E60">
        <w:rPr>
          <w:rtl/>
        </w:rPr>
        <w:t>«في</w:t>
      </w:r>
      <w:r w:rsidRPr="00132E65">
        <w:rPr>
          <w:rtl/>
        </w:rPr>
        <w:t>»</w:t>
      </w:r>
      <w:r>
        <w:rPr>
          <w:rtl/>
        </w:rPr>
        <w:t>.</w:t>
      </w:r>
    </w:p>
    <w:p w:rsidR="000C39D1" w:rsidRPr="00132E65" w:rsidRDefault="000C39D1" w:rsidP="000C39D1">
      <w:pPr>
        <w:pStyle w:val="libFootnote0"/>
        <w:rPr>
          <w:rtl/>
          <w:lang w:bidi="fa-IR"/>
        </w:rPr>
      </w:pPr>
      <w:r>
        <w:rPr>
          <w:rtl/>
        </w:rPr>
        <w:t>(2).</w:t>
      </w:r>
      <w:r w:rsidRPr="00132E65">
        <w:rPr>
          <w:rtl/>
        </w:rPr>
        <w:t xml:space="preserve"> في الغيبة للنعماني : « إنّ المكذِّب به كالمكذِّب بكلّ أوليائي ، وهو وليّي وناصري » ؛ وفي العيون وكمال الدين </w:t>
      </w:r>
      <w:r w:rsidRPr="00DA4E60">
        <w:rPr>
          <w:rStyle w:val="libFootnoteBoldChar"/>
          <w:rtl/>
        </w:rPr>
        <w:t>والغيبة للطوسي</w:t>
      </w:r>
      <w:r w:rsidRPr="00132E65">
        <w:rPr>
          <w:rtl/>
        </w:rPr>
        <w:t xml:space="preserve"> : « إنّ المكذّب بالثامن مكذّب بكلّ أوليائي ، وعليّ وليّي وناصري » ؛ وفي الاختصاص : « فإنّ المكذّب لأحدهم المكذّب لكلّ أوليائي ، وعليّ وليّي وناصري » كلّها بدل « في عليّ وليّي وناصري »</w:t>
      </w:r>
      <w:r>
        <w:rPr>
          <w:rtl/>
        </w:rPr>
        <w:t>.</w:t>
      </w:r>
    </w:p>
    <w:p w:rsidR="000C39D1" w:rsidRPr="00132E65" w:rsidRDefault="000C39D1" w:rsidP="000C39D1">
      <w:pPr>
        <w:pStyle w:val="libFootnote0"/>
        <w:rPr>
          <w:rtl/>
          <w:lang w:bidi="fa-IR"/>
        </w:rPr>
      </w:pPr>
      <w:r>
        <w:rPr>
          <w:rtl/>
        </w:rPr>
        <w:t>(3).</w:t>
      </w:r>
      <w:r w:rsidRPr="00132E65">
        <w:rPr>
          <w:rtl/>
        </w:rPr>
        <w:t xml:space="preserve"> في حاشية « ج » : « امتحنته »</w:t>
      </w:r>
      <w:r>
        <w:rPr>
          <w:rtl/>
        </w:rPr>
        <w:t>.</w:t>
      </w:r>
      <w:r w:rsidRPr="00132E65">
        <w:rPr>
          <w:rtl/>
        </w:rPr>
        <w:t xml:space="preserve"> وفي العيون : « أمنحه »</w:t>
      </w:r>
      <w:r>
        <w:rPr>
          <w:rtl/>
        </w:rPr>
        <w:t>.</w:t>
      </w:r>
      <w:r w:rsidRPr="00132E65">
        <w:rPr>
          <w:rtl/>
        </w:rPr>
        <w:t xml:space="preserve"> وفي الغيبة للطوسي : « أمتعه »</w:t>
      </w:r>
      <w:r>
        <w:rPr>
          <w:rtl/>
        </w:rPr>
        <w:t>.</w:t>
      </w:r>
    </w:p>
    <w:p w:rsidR="000C39D1" w:rsidRPr="00132E65" w:rsidRDefault="000C39D1" w:rsidP="000C39D1">
      <w:pPr>
        <w:pStyle w:val="libFootnote0"/>
        <w:rPr>
          <w:rtl/>
          <w:lang w:bidi="fa-IR"/>
        </w:rPr>
      </w:pPr>
      <w:r>
        <w:rPr>
          <w:rtl/>
        </w:rPr>
        <w:t>(4).</w:t>
      </w:r>
      <w:r w:rsidRPr="00132E65">
        <w:rPr>
          <w:rtl/>
        </w:rPr>
        <w:t xml:space="preserve"> في الغيبة للنعماني :</w:t>
      </w:r>
      <w:r>
        <w:rPr>
          <w:rtl/>
        </w:rPr>
        <w:t xml:space="preserve"> + </w:t>
      </w:r>
      <w:r w:rsidRPr="00132E65">
        <w:rPr>
          <w:rtl/>
        </w:rPr>
        <w:t xml:space="preserve">« وبعده خليفتي عليّ بن موسى الرضا </w:t>
      </w:r>
      <w:r w:rsidRPr="00DA4E60">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(5).</w:t>
      </w:r>
      <w:r w:rsidRPr="00132E65">
        <w:rPr>
          <w:rtl/>
        </w:rPr>
        <w:t xml:space="preserve"> المراد بالعبد الصالح ذوالقرنين ، فإنّ بناء طوس ينسب إليه. وشرّ الخلق كناية عن هارون الرشيد ، فإنّه مدفون</w:t>
      </w:r>
      <w:r w:rsidR="00DA4E60">
        <w:rPr>
          <w:rFonts w:hint="cs"/>
          <w:rtl/>
        </w:rPr>
        <w:t xml:space="preserve"> </w:t>
      </w:r>
      <w:r w:rsidRPr="00132E65">
        <w:rPr>
          <w:rtl/>
        </w:rPr>
        <w:t xml:space="preserve">‌هناك. راجع : </w:t>
      </w:r>
      <w:r w:rsidRPr="00DA4E60">
        <w:rPr>
          <w:rStyle w:val="libFootnoteBoldChar"/>
          <w:rtl/>
        </w:rPr>
        <w:t>شرح المازندراني</w:t>
      </w:r>
      <w:r w:rsidRPr="00132E65">
        <w:rPr>
          <w:rtl/>
        </w:rPr>
        <w:t xml:space="preserve"> ، ج 7 ، ص 365 ؛ </w:t>
      </w:r>
      <w:r w:rsidRPr="009D1ACE">
        <w:rPr>
          <w:rStyle w:val="libFootnoteBoldChar"/>
          <w:rtl/>
        </w:rPr>
        <w:t>الوافي</w:t>
      </w:r>
      <w:r w:rsidRPr="00132E65">
        <w:rPr>
          <w:rtl/>
        </w:rPr>
        <w:t xml:space="preserve"> ، ج 2 ، ص 299.</w:t>
      </w:r>
    </w:p>
    <w:p w:rsidR="000C39D1" w:rsidRPr="00132E65" w:rsidRDefault="000C39D1" w:rsidP="000C39D1">
      <w:pPr>
        <w:pStyle w:val="libFootnote0"/>
        <w:rPr>
          <w:rtl/>
          <w:lang w:bidi="fa-IR"/>
        </w:rPr>
      </w:pPr>
      <w:r>
        <w:rPr>
          <w:rtl/>
        </w:rPr>
        <w:t>(6).</w:t>
      </w:r>
      <w:r w:rsidRPr="00132E65">
        <w:rPr>
          <w:rtl/>
        </w:rPr>
        <w:t xml:space="preserve"> في « ج » : « وحقّ »</w:t>
      </w:r>
      <w:r>
        <w:rPr>
          <w:rtl/>
        </w:rPr>
        <w:t>.</w:t>
      </w:r>
    </w:p>
    <w:p w:rsidR="000C39D1" w:rsidRPr="00132E65" w:rsidRDefault="000C39D1" w:rsidP="000C39D1">
      <w:pPr>
        <w:pStyle w:val="libFootnote0"/>
        <w:rPr>
          <w:rtl/>
          <w:lang w:bidi="fa-IR"/>
        </w:rPr>
      </w:pPr>
      <w:r>
        <w:rPr>
          <w:rtl/>
        </w:rPr>
        <w:t>(7).</w:t>
      </w:r>
      <w:r w:rsidRPr="00132E65">
        <w:rPr>
          <w:rtl/>
        </w:rPr>
        <w:t xml:space="preserve"> في الغيبة للنعماني وكمال الدين والاختصاص : « لأقرّنّ عينه »</w:t>
      </w:r>
      <w:r>
        <w:rPr>
          <w:rtl/>
        </w:rPr>
        <w:t>.</w:t>
      </w:r>
      <w:r w:rsidRPr="00132E65">
        <w:rPr>
          <w:rtl/>
        </w:rPr>
        <w:t xml:space="preserve"> وفي العيون </w:t>
      </w:r>
      <w:r w:rsidRPr="00DA4E60">
        <w:rPr>
          <w:rStyle w:val="libFootnoteBoldChar"/>
          <w:rtl/>
        </w:rPr>
        <w:t>والغيبة للطوسي</w:t>
      </w:r>
      <w:r w:rsidRPr="00132E65">
        <w:rPr>
          <w:rtl/>
        </w:rPr>
        <w:t xml:space="preserve"> : « لأقرنّ عينيه »</w:t>
      </w:r>
      <w:r>
        <w:rPr>
          <w:rtl/>
        </w:rPr>
        <w:t>.</w:t>
      </w:r>
    </w:p>
    <w:p w:rsidR="000C39D1" w:rsidRPr="00132E65" w:rsidRDefault="000C39D1" w:rsidP="000C39D1">
      <w:pPr>
        <w:pStyle w:val="libFootnote0"/>
        <w:rPr>
          <w:rtl/>
          <w:lang w:bidi="fa-IR"/>
        </w:rPr>
      </w:pPr>
      <w:r>
        <w:rPr>
          <w:rtl/>
        </w:rPr>
        <w:t>(8).</w:t>
      </w:r>
      <w:r w:rsidRPr="00132E65">
        <w:rPr>
          <w:rtl/>
        </w:rPr>
        <w:t xml:space="preserve"> في الغيبة للنعماني والعيون وكمال الدين والاختصاص والغيبة للطوسي </w:t>
      </w:r>
      <w:r>
        <w:rPr>
          <w:rtl/>
        </w:rPr>
        <w:t xml:space="preserve">: - </w:t>
      </w:r>
      <w:r w:rsidR="00DA4E60">
        <w:rPr>
          <w:rtl/>
        </w:rPr>
        <w:t>« لا يؤمن به عبد إل</w:t>
      </w:r>
      <w:r w:rsidR="00DA4E60">
        <w:rPr>
          <w:rFonts w:hint="cs"/>
          <w:rtl/>
        </w:rPr>
        <w:t>ّ</w:t>
      </w:r>
      <w:r w:rsidR="00DA4E60">
        <w:rPr>
          <w:rtl/>
        </w:rPr>
        <w:t>ا</w:t>
      </w:r>
      <w:r w:rsidRPr="00132E65">
        <w:rPr>
          <w:rtl/>
        </w:rPr>
        <w:t xml:space="preserve"> »</w:t>
      </w:r>
      <w:r>
        <w:rPr>
          <w:rtl/>
        </w:rPr>
        <w:t>.</w:t>
      </w:r>
    </w:p>
    <w:p w:rsidR="000C39D1" w:rsidRPr="00132E65" w:rsidRDefault="000C39D1" w:rsidP="000C39D1">
      <w:pPr>
        <w:pStyle w:val="libFootnote0"/>
        <w:rPr>
          <w:rtl/>
          <w:lang w:bidi="fa-IR"/>
        </w:rPr>
      </w:pPr>
      <w:r>
        <w:rPr>
          <w:rtl/>
        </w:rPr>
        <w:t>(9).</w:t>
      </w:r>
      <w:r w:rsidRPr="00132E65">
        <w:rPr>
          <w:rtl/>
        </w:rPr>
        <w:t xml:space="preserve"> في الاختصاص والغيبة للطوسي وللنعماني :</w:t>
      </w:r>
      <w:r>
        <w:rPr>
          <w:rtl/>
        </w:rPr>
        <w:t xml:space="preserve"> + </w:t>
      </w:r>
      <w:r w:rsidRPr="00132E65">
        <w:rPr>
          <w:rtl/>
        </w:rPr>
        <w:t>« ألف »</w:t>
      </w:r>
      <w:r>
        <w:rPr>
          <w:rtl/>
        </w:rPr>
        <w:t>.</w:t>
      </w:r>
    </w:p>
    <w:p w:rsidR="000C39D1" w:rsidRPr="00132E65" w:rsidRDefault="000C39D1" w:rsidP="000C39D1">
      <w:pPr>
        <w:pStyle w:val="libFootnote0"/>
        <w:rPr>
          <w:rtl/>
          <w:lang w:bidi="fa-IR"/>
        </w:rPr>
      </w:pPr>
      <w:r>
        <w:rPr>
          <w:rtl/>
        </w:rPr>
        <w:t>(10).</w:t>
      </w:r>
      <w:r w:rsidRPr="00132E65">
        <w:rPr>
          <w:rtl/>
        </w:rPr>
        <w:t xml:space="preserve"> في « بس » </w:t>
      </w:r>
      <w:r>
        <w:rPr>
          <w:rtl/>
        </w:rPr>
        <w:t xml:space="preserve">: - </w:t>
      </w:r>
      <w:r w:rsidRPr="00132E65">
        <w:rPr>
          <w:rtl/>
        </w:rPr>
        <w:t>« الحسن »</w:t>
      </w:r>
      <w:r>
        <w:rPr>
          <w:rtl/>
        </w:rPr>
        <w:t>.</w:t>
      </w:r>
    </w:p>
    <w:p w:rsidR="000C39D1" w:rsidRPr="00132E65" w:rsidRDefault="000C39D1" w:rsidP="000C39D1">
      <w:pPr>
        <w:pStyle w:val="libFootnote0"/>
        <w:rPr>
          <w:rtl/>
          <w:lang w:bidi="fa-IR"/>
        </w:rPr>
      </w:pPr>
      <w:r>
        <w:rPr>
          <w:rtl/>
        </w:rPr>
        <w:t>(11).</w:t>
      </w:r>
      <w:r w:rsidRPr="00132E65">
        <w:rPr>
          <w:rtl/>
        </w:rPr>
        <w:t xml:space="preserve"> في الغيبة للنعماني والعيون وكمال الدين والاختصاص والغيبة للطوسي : « ثمّ »</w:t>
      </w:r>
      <w:r>
        <w:rPr>
          <w:rtl/>
        </w:rPr>
        <w:t>.</w:t>
      </w:r>
    </w:p>
    <w:p w:rsidR="000C39D1" w:rsidRPr="00132E65" w:rsidRDefault="000C39D1" w:rsidP="000C39D1">
      <w:pPr>
        <w:pStyle w:val="libFootnote0"/>
        <w:rPr>
          <w:rtl/>
          <w:lang w:bidi="fa-IR"/>
        </w:rPr>
      </w:pPr>
      <w:r>
        <w:rPr>
          <w:rtl/>
        </w:rPr>
        <w:t>(12).</w:t>
      </w:r>
      <w:r w:rsidRPr="00132E65">
        <w:rPr>
          <w:rtl/>
        </w:rPr>
        <w:t xml:space="preserve"> يجوز على بناء الإفعال والتفعيل ، والنسخ أيضاً مختلفة.</w:t>
      </w:r>
    </w:p>
    <w:p w:rsidR="000C39D1" w:rsidRPr="00132E65" w:rsidRDefault="000C39D1" w:rsidP="000C39D1">
      <w:pPr>
        <w:pStyle w:val="libFootnote0"/>
        <w:rPr>
          <w:rtl/>
          <w:lang w:bidi="fa-IR"/>
        </w:rPr>
      </w:pPr>
      <w:r>
        <w:rPr>
          <w:rtl/>
        </w:rPr>
        <w:t>(13)</w:t>
      </w:r>
      <w:r w:rsidRPr="00132E65">
        <w:rPr>
          <w:rtl/>
        </w:rPr>
        <w:t xml:space="preserve"> في « ف » : « محمّد »</w:t>
      </w:r>
      <w:r>
        <w:rPr>
          <w:rtl/>
        </w:rPr>
        <w:t>.</w:t>
      </w:r>
      <w:r w:rsidRPr="00132E65">
        <w:rPr>
          <w:rtl/>
        </w:rPr>
        <w:t xml:space="preserve"> وفي الاختصاص والعيون وكمال الدين والغيبة للطوسي والنعماني </w:t>
      </w:r>
      <w:r>
        <w:rPr>
          <w:rtl/>
        </w:rPr>
        <w:t xml:space="preserve">: - </w:t>
      </w:r>
      <w:r w:rsidRPr="00132E65">
        <w:rPr>
          <w:rtl/>
        </w:rPr>
        <w:t>« م‌ح‌م‌د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وَبَهَاءُ عِيسى ، و</w:t>
      </w:r>
      <w:r w:rsidR="00DA4E60">
        <w:rPr>
          <w:rFonts w:hint="cs"/>
          <w:rtl/>
          <w:lang w:bidi="fa-IR"/>
        </w:rPr>
        <w:t>َ</w:t>
      </w:r>
      <w:r w:rsidRPr="00132E65">
        <w:rPr>
          <w:rtl/>
          <w:lang w:bidi="fa-IR"/>
        </w:rPr>
        <w:t xml:space="preserve">صَبْرُ أَيُّوبَ ، فَيُذَلُّ </w:t>
      </w:r>
      <w:r>
        <w:rPr>
          <w:rStyle w:val="libFootnotenumChar"/>
          <w:rtl/>
        </w:rPr>
        <w:t>(1)</w:t>
      </w:r>
      <w:r w:rsidRPr="00132E65">
        <w:rPr>
          <w:rtl/>
          <w:lang w:bidi="fa-IR"/>
        </w:rPr>
        <w:t xml:space="preserve"> أَوْلِيَائِي فِي زَمَانِهِ ، و</w:t>
      </w:r>
      <w:r w:rsidR="00DA4E60">
        <w:rPr>
          <w:rFonts w:hint="cs"/>
          <w:rtl/>
          <w:lang w:bidi="fa-IR"/>
        </w:rPr>
        <w:t>َ</w:t>
      </w:r>
      <w:r w:rsidRPr="00132E65">
        <w:rPr>
          <w:rtl/>
          <w:lang w:bidi="fa-IR"/>
        </w:rPr>
        <w:t>تُتَهَادى رُؤُوسُهُمْ كَمَا تُتَهَادى رُؤُوسُ التُّرْكِ و</w:t>
      </w:r>
      <w:r w:rsidR="00DA4E60">
        <w:rPr>
          <w:rFonts w:hint="cs"/>
          <w:rtl/>
          <w:lang w:bidi="fa-IR"/>
        </w:rPr>
        <w:t>َ</w:t>
      </w:r>
      <w:r w:rsidRPr="00132E65">
        <w:rPr>
          <w:rtl/>
          <w:lang w:bidi="fa-IR"/>
        </w:rPr>
        <w:t>الدَّيْلَمِ ، فَيُقْتَلُونَ و</w:t>
      </w:r>
      <w:r w:rsidR="00DA4E60">
        <w:rPr>
          <w:rFonts w:hint="cs"/>
          <w:rtl/>
          <w:lang w:bidi="fa-IR"/>
        </w:rPr>
        <w:t>َ</w:t>
      </w:r>
      <w:r w:rsidRPr="00132E65">
        <w:rPr>
          <w:rtl/>
          <w:lang w:bidi="fa-IR"/>
        </w:rPr>
        <w:t>يُحْرَقُونَ و</w:t>
      </w:r>
      <w:r w:rsidR="00DA4E60">
        <w:rPr>
          <w:rFonts w:hint="cs"/>
          <w:rtl/>
          <w:lang w:bidi="fa-IR"/>
        </w:rPr>
        <w:t>َ</w:t>
      </w:r>
      <w:r w:rsidRPr="00132E65">
        <w:rPr>
          <w:rtl/>
          <w:lang w:bidi="fa-IR"/>
        </w:rPr>
        <w:t>يَكُونُونَ خَائِفِينَ مَرْعُوبِينَ و</w:t>
      </w:r>
      <w:r w:rsidR="00DA4E60">
        <w:rPr>
          <w:rFonts w:hint="cs"/>
          <w:rtl/>
          <w:lang w:bidi="fa-IR"/>
        </w:rPr>
        <w:t>َ</w:t>
      </w:r>
      <w:r w:rsidRPr="00132E65">
        <w:rPr>
          <w:rtl/>
          <w:lang w:bidi="fa-IR"/>
        </w:rPr>
        <w:t xml:space="preserve">جِلِينَ </w:t>
      </w:r>
      <w:r>
        <w:rPr>
          <w:rStyle w:val="libFootnotenumChar"/>
          <w:rtl/>
        </w:rPr>
        <w:t>(2)</w:t>
      </w:r>
      <w:r w:rsidRPr="00132E65">
        <w:rPr>
          <w:rtl/>
          <w:lang w:bidi="fa-IR"/>
        </w:rPr>
        <w:t xml:space="preserve"> ، تُصْبَغُ </w:t>
      </w:r>
      <w:r>
        <w:rPr>
          <w:rStyle w:val="libFootnotenumChar"/>
          <w:rtl/>
        </w:rPr>
        <w:t>(3)</w:t>
      </w:r>
      <w:r w:rsidRPr="00132E65">
        <w:rPr>
          <w:rtl/>
          <w:lang w:bidi="fa-IR"/>
        </w:rPr>
        <w:t xml:space="preserve"> الْأَرْضُ بِدِمَائِهِمْ ، و</w:t>
      </w:r>
      <w:r w:rsidR="00DA4E60">
        <w:rPr>
          <w:rFonts w:hint="cs"/>
          <w:rtl/>
          <w:lang w:bidi="fa-IR"/>
        </w:rPr>
        <w:t>َ</w:t>
      </w:r>
      <w:r w:rsidRPr="00132E65">
        <w:rPr>
          <w:rtl/>
          <w:lang w:bidi="fa-IR"/>
        </w:rPr>
        <w:t>يَفْشُو الْوَيْلُ و</w:t>
      </w:r>
      <w:r w:rsidR="00DA4E60">
        <w:rPr>
          <w:rFonts w:hint="cs"/>
          <w:rtl/>
          <w:lang w:bidi="fa-IR"/>
        </w:rPr>
        <w:t>َ</w:t>
      </w:r>
      <w:r w:rsidRPr="00132E65">
        <w:rPr>
          <w:rtl/>
          <w:lang w:bidi="fa-IR"/>
        </w:rPr>
        <w:t xml:space="preserve">الرَّنَّةُ </w:t>
      </w:r>
      <w:r>
        <w:rPr>
          <w:rStyle w:val="libFootnotenumChar"/>
          <w:rtl/>
        </w:rPr>
        <w:t>(4)</w:t>
      </w:r>
      <w:r w:rsidRPr="00132E65">
        <w:rPr>
          <w:rtl/>
          <w:lang w:bidi="fa-IR"/>
        </w:rPr>
        <w:t xml:space="preserve"> فِي نِسَائِهِمْ ، أُولئِكَ أَوْلِيَائِي حَقّاً ، بِهِمْ أَدْفَعُ كُلَّ فِتْنَةٍ عَمْيَاءَ حِنْدِسٍ ، و</w:t>
      </w:r>
      <w:r w:rsidR="00DA4E60">
        <w:rPr>
          <w:rFonts w:hint="cs"/>
          <w:rtl/>
          <w:lang w:bidi="fa-IR"/>
        </w:rPr>
        <w:t>َ</w:t>
      </w:r>
      <w:r w:rsidRPr="00132E65">
        <w:rPr>
          <w:rtl/>
          <w:lang w:bidi="fa-IR"/>
        </w:rPr>
        <w:t>بِهِمْ أَكْشِفُ الزَّلَازِلَ ، و</w:t>
      </w:r>
      <w:r w:rsidR="00DA4E60">
        <w:rPr>
          <w:rFonts w:hint="cs"/>
          <w:rtl/>
          <w:lang w:bidi="fa-IR"/>
        </w:rPr>
        <w:t>َ</w:t>
      </w:r>
      <w:r w:rsidRPr="00132E65">
        <w:rPr>
          <w:rtl/>
          <w:lang w:bidi="fa-IR"/>
        </w:rPr>
        <w:t xml:space="preserve">أَدْفَعُ </w:t>
      </w:r>
      <w:r>
        <w:rPr>
          <w:rStyle w:val="libFootnotenumChar"/>
          <w:rtl/>
        </w:rPr>
        <w:t>(5)</w:t>
      </w:r>
      <w:r w:rsidRPr="00132E65">
        <w:rPr>
          <w:rtl/>
          <w:lang w:bidi="fa-IR"/>
        </w:rPr>
        <w:t xml:space="preserve"> الْآصَارَ </w:t>
      </w:r>
      <w:r>
        <w:rPr>
          <w:rStyle w:val="libFootnotenumChar"/>
          <w:rtl/>
        </w:rPr>
        <w:t>(6)</w:t>
      </w:r>
      <w:r w:rsidRPr="00132E65">
        <w:rPr>
          <w:rtl/>
          <w:lang w:bidi="fa-IR"/>
        </w:rPr>
        <w:t xml:space="preserve"> والْأَغْلَالَ </w:t>
      </w:r>
      <w:r>
        <w:rPr>
          <w:rStyle w:val="libFootnotenumChar"/>
          <w:rtl/>
        </w:rPr>
        <w:t>(7)</w:t>
      </w:r>
      <w:r w:rsidRPr="00132E65">
        <w:rPr>
          <w:rtl/>
          <w:lang w:bidi="fa-IR"/>
        </w:rPr>
        <w:t xml:space="preserve"> </w:t>
      </w:r>
      <w:r w:rsidRPr="00071CF9">
        <w:rPr>
          <w:rStyle w:val="libAlaemChar"/>
          <w:rtl/>
        </w:rPr>
        <w:t>(</w:t>
      </w:r>
      <w:r w:rsidRPr="00071CF9">
        <w:rPr>
          <w:rStyle w:val="libAieChar"/>
          <w:rtl/>
        </w:rPr>
        <w:t xml:space="preserve"> أُولئِكَ عَلَيْهِمْ صَلَواتٌ مِنْ رَبِّهِمْ وَرَحْمَةٌ وَأُولئِكَ هُمُ الْمُهْتَدُونَ </w:t>
      </w:r>
      <w:r w:rsidRPr="00071CF9">
        <w:rPr>
          <w:rStyle w:val="libAlaemChar"/>
          <w:rtl/>
        </w:rPr>
        <w:t>)</w:t>
      </w:r>
      <w:r w:rsidRPr="00132E65">
        <w:rPr>
          <w:rtl/>
          <w:lang w:bidi="fa-IR"/>
        </w:rPr>
        <w:t xml:space="preserve"> </w:t>
      </w:r>
      <w:r>
        <w:rPr>
          <w:rStyle w:val="libFootnotenumChar"/>
          <w:rtl/>
        </w:rPr>
        <w:t>(8)</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عَبْدُ الرَّحْمنِ بْنُ سَالِمٍ : قَالَ أَبُو بَصِيرٍ : لَوْ </w:t>
      </w:r>
      <w:r>
        <w:rPr>
          <w:rStyle w:val="libFootnotenumChar"/>
          <w:rtl/>
        </w:rPr>
        <w:t>(9)</w:t>
      </w:r>
      <w:r w:rsidRPr="00132E65">
        <w:rPr>
          <w:rtl/>
          <w:lang w:bidi="fa-IR"/>
        </w:rPr>
        <w:t xml:space="preserve"> ل</w:t>
      </w:r>
      <w:r w:rsidR="00DA4E60">
        <w:rPr>
          <w:rtl/>
          <w:lang w:bidi="fa-IR"/>
        </w:rPr>
        <w:t>َمْ تَسْمَعْ فِي دَهْرِكَ إِل</w:t>
      </w:r>
      <w:r w:rsidR="00DA4E60">
        <w:rPr>
          <w:rFonts w:hint="cs"/>
          <w:rtl/>
          <w:lang w:bidi="fa-IR"/>
        </w:rPr>
        <w:t>َّ</w:t>
      </w:r>
      <w:r w:rsidR="00DA4E60">
        <w:rPr>
          <w:rtl/>
          <w:lang w:bidi="fa-IR"/>
        </w:rPr>
        <w:t>ا</w:t>
      </w:r>
      <w:r w:rsidRPr="00132E65">
        <w:rPr>
          <w:rtl/>
          <w:lang w:bidi="fa-IR"/>
        </w:rPr>
        <w:t xml:space="preserve"> هذَا الْحَدِيثَ لَكَفَاكَ ، فَصُنْهُ</w:t>
      </w:r>
      <w:r>
        <w:rPr>
          <w:rStyle w:val="libFootnotenumChar"/>
          <w:rtl/>
        </w:rPr>
        <w:t>(10)</w:t>
      </w:r>
      <w:r w:rsidR="00DA4E60">
        <w:rPr>
          <w:rtl/>
          <w:lang w:bidi="fa-IR"/>
        </w:rPr>
        <w:t xml:space="preserve"> إِل</w:t>
      </w:r>
      <w:r w:rsidR="00DA4E60">
        <w:rPr>
          <w:rFonts w:hint="cs"/>
          <w:rtl/>
          <w:lang w:bidi="fa-IR"/>
        </w:rPr>
        <w:t>َّ</w:t>
      </w:r>
      <w:r w:rsidR="00DA4E60">
        <w:rPr>
          <w:rtl/>
          <w:lang w:bidi="fa-IR"/>
        </w:rPr>
        <w:t>ا</w:t>
      </w:r>
      <w:r w:rsidRPr="00132E65">
        <w:rPr>
          <w:rtl/>
          <w:lang w:bidi="fa-IR"/>
        </w:rPr>
        <w:t xml:space="preserve"> عَنْ أَهْلِهِ. </w:t>
      </w:r>
      <w:r>
        <w:rPr>
          <w:rStyle w:val="libFootnotenumChar"/>
          <w:rtl/>
        </w:rPr>
        <w:t>(11)</w:t>
      </w:r>
      <w:r w:rsidRPr="00132E65">
        <w:rPr>
          <w:rtl/>
          <w:lang w:bidi="fa-IR"/>
        </w:rPr>
        <w:t xml:space="preserve"> ‌</w:t>
      </w:r>
    </w:p>
    <w:p w:rsidR="000C39D1"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ف » : « تذلّ »</w:t>
      </w:r>
      <w:r>
        <w:rPr>
          <w:rtl/>
        </w:rPr>
        <w:t>.</w:t>
      </w:r>
      <w:r w:rsidRPr="00132E65">
        <w:rPr>
          <w:rtl/>
        </w:rPr>
        <w:t xml:space="preserve"> وفي « بر ، بف » و</w:t>
      </w:r>
      <w:r w:rsidRPr="009D1ACE">
        <w:rPr>
          <w:rStyle w:val="libFootnoteBoldChar"/>
          <w:rtl/>
        </w:rPr>
        <w:t>الوافي</w:t>
      </w:r>
      <w:r w:rsidRPr="00132E65">
        <w:rPr>
          <w:rtl/>
        </w:rPr>
        <w:t xml:space="preserve"> : « فتذلّ »</w:t>
      </w:r>
      <w:r>
        <w:rPr>
          <w:rtl/>
        </w:rPr>
        <w:t>.</w:t>
      </w:r>
      <w:r w:rsidRPr="00132E65">
        <w:rPr>
          <w:rtl/>
        </w:rPr>
        <w:t xml:space="preserve"> وفي الغيبة للنعماني : « تستذلّ »</w:t>
      </w:r>
      <w:r>
        <w:rPr>
          <w:rtl/>
        </w:rPr>
        <w:t>.</w:t>
      </w:r>
      <w:r w:rsidRPr="00132E65">
        <w:rPr>
          <w:rtl/>
        </w:rPr>
        <w:t xml:space="preserve"> وفي </w:t>
      </w:r>
      <w:r w:rsidRPr="00DA4E60">
        <w:rPr>
          <w:rStyle w:val="libFootnoteBoldChar"/>
          <w:rtl/>
        </w:rPr>
        <w:t>كمال الدين</w:t>
      </w:r>
      <w:r w:rsidRPr="00132E65">
        <w:rPr>
          <w:rtl/>
        </w:rPr>
        <w:t xml:space="preserve"> : « ستذلّ »</w:t>
      </w:r>
      <w:r>
        <w:rPr>
          <w:rtl/>
        </w:rPr>
        <w:t>.</w:t>
      </w:r>
      <w:r w:rsidRPr="00132E65">
        <w:rPr>
          <w:rtl/>
        </w:rPr>
        <w:t xml:space="preserve"> وفي الاختصاص والغيبة للطوسي : « سيذلّ »</w:t>
      </w:r>
      <w:r>
        <w:rPr>
          <w:rtl/>
        </w:rPr>
        <w:t>.</w:t>
      </w:r>
    </w:p>
    <w:p w:rsidR="000C39D1" w:rsidRPr="00132E65" w:rsidRDefault="000C39D1" w:rsidP="000C39D1">
      <w:pPr>
        <w:pStyle w:val="libFootnote0"/>
        <w:rPr>
          <w:rtl/>
          <w:lang w:bidi="fa-IR"/>
        </w:rPr>
      </w:pPr>
      <w:r>
        <w:rPr>
          <w:rtl/>
        </w:rPr>
        <w:t>(2).</w:t>
      </w:r>
      <w:r w:rsidRPr="00132E65">
        <w:rPr>
          <w:rtl/>
        </w:rPr>
        <w:t xml:space="preserve"> « الوَجْل » : الفزع ، وقد وجل يوجل ويَيْجُل ، فهو و</w:t>
      </w:r>
      <w:r w:rsidR="00DA4E60">
        <w:rPr>
          <w:rFonts w:hint="cs"/>
          <w:rtl/>
        </w:rPr>
        <w:t>َ</w:t>
      </w:r>
      <w:r w:rsidRPr="00132E65">
        <w:rPr>
          <w:rtl/>
        </w:rPr>
        <w:t xml:space="preserve">جِلٌ. </w:t>
      </w:r>
      <w:r w:rsidRPr="00DA4E60">
        <w:rPr>
          <w:rStyle w:val="libFootnoteBoldChar"/>
          <w:rtl/>
        </w:rPr>
        <w:t>النهاية</w:t>
      </w:r>
      <w:r w:rsidRPr="00132E65">
        <w:rPr>
          <w:rtl/>
        </w:rPr>
        <w:t xml:space="preserve"> ، ج 5 ، ص 157 ( وجل )</w:t>
      </w:r>
      <w:r>
        <w:rPr>
          <w:rtl/>
        </w:rPr>
        <w:t>.</w:t>
      </w:r>
    </w:p>
    <w:p w:rsidR="000C39D1" w:rsidRPr="00132E65" w:rsidRDefault="000C39D1" w:rsidP="000C39D1">
      <w:pPr>
        <w:pStyle w:val="libFootnote0"/>
        <w:rPr>
          <w:rtl/>
          <w:lang w:bidi="fa-IR"/>
        </w:rPr>
      </w:pPr>
      <w:r>
        <w:rPr>
          <w:rtl/>
        </w:rPr>
        <w:t>(3).</w:t>
      </w:r>
      <w:r w:rsidRPr="00132E65">
        <w:rPr>
          <w:rtl/>
        </w:rPr>
        <w:t xml:space="preserve"> في « ض ، ف » : « تصبّغ » بالتثقيل.</w:t>
      </w:r>
    </w:p>
    <w:p w:rsidR="000C39D1" w:rsidRPr="00132E65" w:rsidRDefault="000C39D1" w:rsidP="000C39D1">
      <w:pPr>
        <w:pStyle w:val="libFootnote0"/>
        <w:rPr>
          <w:rtl/>
          <w:lang w:bidi="fa-IR"/>
        </w:rPr>
      </w:pPr>
      <w:r>
        <w:rPr>
          <w:rtl/>
        </w:rPr>
        <w:t>(4).</w:t>
      </w:r>
      <w:r w:rsidRPr="00132E65">
        <w:rPr>
          <w:rtl/>
        </w:rPr>
        <w:t xml:space="preserve"> في العيون وكمال الدين : « الرنين »</w:t>
      </w:r>
      <w:r>
        <w:rPr>
          <w:rtl/>
        </w:rPr>
        <w:t>.</w:t>
      </w:r>
      <w:r w:rsidRPr="00132E65">
        <w:rPr>
          <w:rtl/>
        </w:rPr>
        <w:t xml:space="preserve"> </w:t>
      </w:r>
      <w:r>
        <w:rPr>
          <w:rtl/>
        </w:rPr>
        <w:t>و «</w:t>
      </w:r>
      <w:r w:rsidRPr="00132E65">
        <w:rPr>
          <w:rtl/>
        </w:rPr>
        <w:t xml:space="preserve"> الرَّنَّة » : الصيحة. </w:t>
      </w:r>
      <w:r w:rsidRPr="00DA4E60">
        <w:rPr>
          <w:rStyle w:val="libFootnoteBoldChar"/>
          <w:rtl/>
        </w:rPr>
        <w:t>المصباح المنير</w:t>
      </w:r>
      <w:r w:rsidRPr="00132E65">
        <w:rPr>
          <w:rtl/>
        </w:rPr>
        <w:t xml:space="preserve"> ، ص 241 ( رنن )</w:t>
      </w:r>
      <w:r>
        <w:rPr>
          <w:rtl/>
        </w:rPr>
        <w:t>.</w:t>
      </w:r>
    </w:p>
    <w:p w:rsidR="000C39D1" w:rsidRPr="00132E65" w:rsidRDefault="000C39D1" w:rsidP="000C39D1">
      <w:pPr>
        <w:pStyle w:val="libFootnote0"/>
        <w:rPr>
          <w:rtl/>
          <w:lang w:bidi="fa-IR"/>
        </w:rPr>
      </w:pPr>
      <w:r>
        <w:rPr>
          <w:rtl/>
        </w:rPr>
        <w:t>(5).</w:t>
      </w:r>
      <w:r w:rsidRPr="00132E65">
        <w:rPr>
          <w:rtl/>
        </w:rPr>
        <w:t xml:space="preserve"> في العيون وكمال الدين والغيبة للطوسي والنعماني : « وأرفع »</w:t>
      </w:r>
      <w:r>
        <w:rPr>
          <w:rtl/>
        </w:rPr>
        <w:t>.</w:t>
      </w:r>
    </w:p>
    <w:p w:rsidR="000C39D1" w:rsidRPr="00132E65" w:rsidRDefault="000C39D1" w:rsidP="000C39D1">
      <w:pPr>
        <w:pStyle w:val="libFootnote0"/>
        <w:rPr>
          <w:rtl/>
          <w:lang w:bidi="fa-IR"/>
        </w:rPr>
      </w:pPr>
      <w:r>
        <w:rPr>
          <w:rtl/>
        </w:rPr>
        <w:t>(6).</w:t>
      </w:r>
      <w:r w:rsidRPr="00132E65">
        <w:rPr>
          <w:rtl/>
        </w:rPr>
        <w:t xml:space="preserve"> في الاختصاص والغيبة للطوسي : « الإصار »</w:t>
      </w:r>
      <w:r>
        <w:rPr>
          <w:rtl/>
        </w:rPr>
        <w:t>.</w:t>
      </w:r>
      <w:r w:rsidRPr="00132E65">
        <w:rPr>
          <w:rtl/>
        </w:rPr>
        <w:t xml:space="preserve"> </w:t>
      </w:r>
      <w:r>
        <w:rPr>
          <w:rtl/>
        </w:rPr>
        <w:t>و «</w:t>
      </w:r>
      <w:r w:rsidRPr="00132E65">
        <w:rPr>
          <w:rtl/>
        </w:rPr>
        <w:t xml:space="preserve"> الأصر » : عقد الشي‌ء وحَبسه بقهره. يقال : أصرته فهو مأصور. قال الله تعالى : </w:t>
      </w:r>
      <w:r w:rsidRPr="00071CF9">
        <w:rPr>
          <w:rStyle w:val="libAlaemChar"/>
          <w:rtl/>
        </w:rPr>
        <w:t>(</w:t>
      </w:r>
      <w:r>
        <w:rPr>
          <w:rFonts w:hint="cs"/>
          <w:rtl/>
        </w:rPr>
        <w:t xml:space="preserve"> </w:t>
      </w:r>
      <w:r w:rsidRPr="00C2691A">
        <w:rPr>
          <w:rStyle w:val="libFootnoteAieChar"/>
          <w:rtl/>
        </w:rPr>
        <w:t>وَيَضَعُ عَنْهُمْ إِصْرَهُمْ</w:t>
      </w:r>
      <w:r>
        <w:rPr>
          <w:rFonts w:hint="cs"/>
          <w:rtl/>
        </w:rPr>
        <w:t xml:space="preserve"> </w:t>
      </w:r>
      <w:r w:rsidRPr="00071CF9">
        <w:rPr>
          <w:rStyle w:val="libAlaemChar"/>
          <w:rtl/>
        </w:rPr>
        <w:t>)</w:t>
      </w:r>
      <w:r w:rsidRPr="00132E65">
        <w:rPr>
          <w:rtl/>
        </w:rPr>
        <w:t xml:space="preserve"> [ الأعراف </w:t>
      </w:r>
      <w:r>
        <w:rPr>
          <w:rtl/>
        </w:rPr>
        <w:t>(7).</w:t>
      </w:r>
      <w:r w:rsidRPr="00132E65">
        <w:rPr>
          <w:rtl/>
        </w:rPr>
        <w:t xml:space="preserve"> : 157 ] أي الا</w:t>
      </w:r>
      <w:r w:rsidR="00DA4E60">
        <w:rPr>
          <w:rFonts w:hint="cs"/>
          <w:rtl/>
        </w:rPr>
        <w:t>ُ</w:t>
      </w:r>
      <w:r w:rsidRPr="00132E65">
        <w:rPr>
          <w:rtl/>
        </w:rPr>
        <w:t xml:space="preserve">مور التى تثبِّطهم وتقيّدهم عن الخيرات وعن الوصول إلى الثواب. </w:t>
      </w:r>
      <w:r w:rsidRPr="00DA4E60">
        <w:rPr>
          <w:rStyle w:val="libFootnoteBoldChar"/>
          <w:rtl/>
        </w:rPr>
        <w:t>المفردات</w:t>
      </w:r>
      <w:r w:rsidRPr="00132E65">
        <w:rPr>
          <w:rtl/>
        </w:rPr>
        <w:t xml:space="preserve"> للراغب ، ص 78 ( أصر )</w:t>
      </w:r>
      <w:r>
        <w:rPr>
          <w:rtl/>
        </w:rPr>
        <w:t>.</w:t>
      </w:r>
    </w:p>
    <w:p w:rsidR="000C39D1" w:rsidRPr="00132E65" w:rsidRDefault="000C39D1" w:rsidP="00DA4E60">
      <w:pPr>
        <w:pStyle w:val="libFootnote0"/>
        <w:rPr>
          <w:rtl/>
          <w:lang w:bidi="fa-IR"/>
        </w:rPr>
      </w:pPr>
      <w:r>
        <w:rPr>
          <w:rtl/>
        </w:rPr>
        <w:t>(7).</w:t>
      </w:r>
      <w:r w:rsidRPr="00132E65">
        <w:rPr>
          <w:rtl/>
        </w:rPr>
        <w:t xml:space="preserve"> في « بر » : « الأصلال والأعلال » بالمهملتين. </w:t>
      </w:r>
      <w:r>
        <w:rPr>
          <w:rtl/>
        </w:rPr>
        <w:t>و «</w:t>
      </w:r>
      <w:r w:rsidRPr="00132E65">
        <w:rPr>
          <w:rtl/>
        </w:rPr>
        <w:t xml:space="preserve"> الأصلال » : جمع الصِّلّ : الداهية. </w:t>
      </w:r>
      <w:r>
        <w:rPr>
          <w:rtl/>
        </w:rPr>
        <w:t>و «</w:t>
      </w:r>
      <w:r w:rsidRPr="00132E65">
        <w:rPr>
          <w:rtl/>
        </w:rPr>
        <w:t xml:space="preserve"> الأعلال » : جمع العلّة : المرض.</w:t>
      </w:r>
      <w:r w:rsidR="00DA4E60">
        <w:rPr>
          <w:rFonts w:hint="cs"/>
          <w:rtl/>
        </w:rPr>
        <w:t xml:space="preserve">                                               </w:t>
      </w:r>
      <w:r>
        <w:rPr>
          <w:rtl/>
        </w:rPr>
        <w:t>(8).</w:t>
      </w:r>
      <w:r w:rsidRPr="00132E65">
        <w:rPr>
          <w:rtl/>
        </w:rPr>
        <w:t xml:space="preserve"> البقرة </w:t>
      </w:r>
      <w:r>
        <w:rPr>
          <w:rtl/>
        </w:rPr>
        <w:t>(2).</w:t>
      </w:r>
      <w:r w:rsidRPr="00132E65">
        <w:rPr>
          <w:rtl/>
        </w:rPr>
        <w:t xml:space="preserve"> : 157.</w:t>
      </w:r>
    </w:p>
    <w:p w:rsidR="000C39D1" w:rsidRPr="00132E65" w:rsidRDefault="000C39D1" w:rsidP="000C39D1">
      <w:pPr>
        <w:pStyle w:val="libFootnote0"/>
        <w:rPr>
          <w:rtl/>
          <w:lang w:bidi="fa-IR"/>
        </w:rPr>
      </w:pPr>
      <w:r>
        <w:rPr>
          <w:rtl/>
        </w:rPr>
        <w:t>(9).</w:t>
      </w:r>
      <w:r w:rsidRPr="00132E65">
        <w:rPr>
          <w:rtl/>
        </w:rPr>
        <w:t xml:space="preserve"> في « بر » : « ولو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34138C">
        <w:rPr>
          <w:rtl/>
        </w:rPr>
        <w:t>شرح المازندراني</w:t>
      </w:r>
      <w:r w:rsidRPr="00132E65">
        <w:rPr>
          <w:rtl/>
        </w:rPr>
        <w:t xml:space="preserve"> : « وفي بعض النسخ : فضنّه ، بالضاد المعجمة وتشديد النون ، أمر من الضنّ ، وهو البخل من إفشاء الشي‌ء »</w:t>
      </w:r>
      <w:r>
        <w:rPr>
          <w:rtl/>
        </w:rPr>
        <w:t>.</w:t>
      </w:r>
    </w:p>
    <w:p w:rsidR="000C39D1" w:rsidRPr="00132E65" w:rsidRDefault="000C39D1" w:rsidP="000C39D1">
      <w:pPr>
        <w:pStyle w:val="libFootnote0"/>
        <w:rPr>
          <w:rtl/>
          <w:lang w:bidi="ar-IQ"/>
        </w:rPr>
      </w:pPr>
      <w:r>
        <w:rPr>
          <w:rtl/>
        </w:rPr>
        <w:t>(11).</w:t>
      </w:r>
      <w:r w:rsidRPr="00132E65">
        <w:rPr>
          <w:rtl/>
        </w:rPr>
        <w:t xml:space="preserve"> </w:t>
      </w:r>
      <w:r w:rsidRPr="00DA4E60">
        <w:rPr>
          <w:rStyle w:val="libFootnoteBoldChar"/>
          <w:rtl/>
        </w:rPr>
        <w:t>الغيبة للنعماني</w:t>
      </w:r>
      <w:r w:rsidRPr="00132E65">
        <w:rPr>
          <w:rtl/>
        </w:rPr>
        <w:t xml:space="preserve"> ، ص 62 ، ح 5 ، بسنده عن بكر بن صالح. وفي </w:t>
      </w:r>
      <w:r w:rsidRPr="00DA4E60">
        <w:rPr>
          <w:rStyle w:val="libFootnoteBoldChar"/>
          <w:rtl/>
        </w:rPr>
        <w:t>عيون الأخبار</w:t>
      </w:r>
      <w:r w:rsidRPr="00132E65">
        <w:rPr>
          <w:rtl/>
        </w:rPr>
        <w:t xml:space="preserve"> ، ج 1 ، ص 41 ، ح 2 ؛ </w:t>
      </w:r>
      <w:r w:rsidRPr="00DA4E60">
        <w:rPr>
          <w:rStyle w:val="libFootnoteBoldChar"/>
          <w:rtl/>
        </w:rPr>
        <w:t>وكمال الدين</w:t>
      </w:r>
      <w:r w:rsidRPr="00132E65">
        <w:rPr>
          <w:rtl/>
        </w:rPr>
        <w:t xml:space="preserve"> ، ص 308 ، ح 1 ، بسنده عن عبد الله بن جعفر الحميري ، عن أبي الخير [ كمال الدين : أبي الحسن ] صالح بن حمّاد والحسن بن ظريف ، عن بكر بن صالح ، وبطريق آخر أيضاً عن بكر بن صالح ؛ </w:t>
      </w:r>
      <w:r w:rsidRPr="00DA4E60">
        <w:rPr>
          <w:rStyle w:val="libFootnoteBoldChar"/>
          <w:rtl/>
        </w:rPr>
        <w:t>الاختصاص</w:t>
      </w:r>
      <w:r w:rsidRPr="00132E65">
        <w:rPr>
          <w:rtl/>
        </w:rPr>
        <w:t xml:space="preserve"> ، ص 210 ، بسنده عن عبد الله بن جعفر الحميري ، عن الحسن بن ظريف بن ناصح ، عن بكر بن صالح ؛ </w:t>
      </w:r>
      <w:r w:rsidRPr="00DA4E60">
        <w:rPr>
          <w:rStyle w:val="libFootnoteBoldChar"/>
          <w:rtl/>
        </w:rPr>
        <w:t>الغيبة للطوسي</w:t>
      </w:r>
      <w:r w:rsidRPr="00132E65">
        <w:rPr>
          <w:rtl/>
        </w:rPr>
        <w:t xml:space="preserve"> ، ص 143 ، ح 108 ، بسنده عن عبد الله بن جعفر الحميري ، عن أبي الخير صالح بن أبي حمّاد الرازي </w:t>
      </w:r>
      <w:r w:rsidR="00DA4E60">
        <w:rPr>
          <w:rFonts w:hint="cs"/>
          <w:rtl/>
        </w:rPr>
        <w:t>=</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34138C">
        <w:rPr>
          <w:rtl/>
        </w:rPr>
        <w:t>1391</w:t>
      </w:r>
      <w:r w:rsidRPr="004325D8">
        <w:rPr>
          <w:rStyle w:val="libBold2Char"/>
          <w:rtl/>
        </w:rPr>
        <w:t xml:space="preserve"> / 4.</w:t>
      </w:r>
      <w:r w:rsidRPr="00132E65">
        <w:rPr>
          <w:rtl/>
          <w:lang w:bidi="fa-IR"/>
        </w:rPr>
        <w:t xml:space="preserve"> عَلِيُّ بْنُ إِبْرَاهِيمَ ، عَنْ أَبِيهِ ، عَنْ حَمَّادِ بْنِ عِيسى ، عَنْ إِبْرَاهِيمَ بْنِ عُمَرَ الْيَمَانِيِّ ، عَنْ أَبَانِ بْنِ أَبِي عَيَّاشٍ ، عَنْ سُلَيْمِ بْنِ قَيْسٍ ؛</w:t>
      </w:r>
    </w:p>
    <w:p w:rsidR="000C39D1" w:rsidRDefault="005E409B" w:rsidP="000C39D1">
      <w:pPr>
        <w:pStyle w:val="libNormal"/>
        <w:rPr>
          <w:rtl/>
          <w:lang w:bidi="fa-IR"/>
        </w:rPr>
      </w:pPr>
      <w:r>
        <w:rPr>
          <w:rFonts w:hint="cs"/>
          <w:rtl/>
          <w:lang w:bidi="fa-IR"/>
        </w:rPr>
        <w:t xml:space="preserve">           </w:t>
      </w:r>
      <w:r w:rsidR="000C39D1" w:rsidRPr="00132E65">
        <w:rPr>
          <w:rtl/>
          <w:lang w:bidi="fa-IR"/>
        </w:rPr>
        <w:t>وَ</w:t>
      </w:r>
      <w:r w:rsidR="000C39D1">
        <w:rPr>
          <w:rFonts w:hint="cs"/>
          <w:rtl/>
          <w:lang w:bidi="fa-IR"/>
        </w:rPr>
        <w:t xml:space="preserve"> </w:t>
      </w:r>
      <w:r w:rsidR="000C39D1">
        <w:rPr>
          <w:rStyle w:val="libFootnotenumChar"/>
          <w:rtl/>
        </w:rPr>
        <w:t>(1)</w:t>
      </w:r>
      <w:r w:rsidR="000C39D1" w:rsidRPr="00132E65">
        <w:rPr>
          <w:rtl/>
          <w:lang w:bidi="fa-IR"/>
        </w:rPr>
        <w:t xml:space="preserve"> مُحَمَّدُ بْنُ يَحْيى ، عَنْ أَحْمَدَ بْنِ مُحَمَّدٍ ، عَنِ ابْنِ أَبِي عُمَيْرٍ ، عَنْ عُمَرَ بْنِ أُذَيْنَةَ ؛ </w:t>
      </w:r>
    </w:p>
    <w:p w:rsidR="000C39D1" w:rsidRPr="00132E65" w:rsidRDefault="005E409B" w:rsidP="000C39D1">
      <w:pPr>
        <w:pStyle w:val="libNormal"/>
        <w:rPr>
          <w:rtl/>
          <w:lang w:bidi="fa-IR"/>
        </w:rPr>
      </w:pPr>
      <w:r>
        <w:rPr>
          <w:rFonts w:hint="cs"/>
          <w:rtl/>
          <w:lang w:bidi="fa-IR"/>
        </w:rPr>
        <w:t xml:space="preserve">          </w:t>
      </w:r>
      <w:r w:rsidR="000C39D1" w:rsidRPr="00132E65">
        <w:rPr>
          <w:rtl/>
          <w:lang w:bidi="fa-IR"/>
        </w:rPr>
        <w:t xml:space="preserve">وَعَلِيُّ بْنُ مُحَمَّدٍ ، عَنْ أَحْمَدَ بْنِ هِلَالٍ ، عَنِ ابْنِ أَبِي عُمَيْرٍ ، عَنْ عُمَرَ بْنِ أُذَيْنَةَ ، عَنْ أَبَانِ بْنِ أَبِي عَيَّاشٍ ، عَنْ سُلَيْمِ بْنِ قَيْسٍ </w:t>
      </w:r>
      <w:r w:rsidR="000C39D1">
        <w:rPr>
          <w:rStyle w:val="libFootnotenumChar"/>
          <w:rtl/>
        </w:rPr>
        <w:t>(2)</w:t>
      </w:r>
      <w:r w:rsidR="000C39D1"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سَمِعْتُ عَبْدَ اللهِ بْنَ جَعْفَرٍ الطَّيَّارِ </w:t>
      </w:r>
      <w:r>
        <w:rPr>
          <w:rStyle w:val="libFootnotenumChar"/>
          <w:rtl/>
        </w:rPr>
        <w:t>(3)</w:t>
      </w:r>
      <w:r w:rsidRPr="00132E65">
        <w:rPr>
          <w:rtl/>
          <w:lang w:bidi="fa-IR"/>
        </w:rPr>
        <w:t xml:space="preserve"> يَقُولُ : كُنَّا </w:t>
      </w:r>
      <w:r>
        <w:rPr>
          <w:rStyle w:val="libFootnotenumChar"/>
          <w:rtl/>
        </w:rPr>
        <w:t>(4)</w:t>
      </w:r>
      <w:r w:rsidRPr="00132E65">
        <w:rPr>
          <w:rtl/>
          <w:lang w:bidi="fa-IR"/>
        </w:rPr>
        <w:t xml:space="preserve"> عِنْدَ مُعَاوِيَةَ أَنَا و</w:t>
      </w:r>
      <w:r w:rsidR="005E409B">
        <w:rPr>
          <w:rFonts w:hint="cs"/>
          <w:rtl/>
          <w:lang w:bidi="fa-IR"/>
        </w:rPr>
        <w:t>َ</w:t>
      </w:r>
      <w:r w:rsidRPr="00132E65">
        <w:rPr>
          <w:rtl/>
          <w:lang w:bidi="fa-IR"/>
        </w:rPr>
        <w:t>الْحَسَنُ و</w:t>
      </w:r>
      <w:r w:rsidR="005E409B">
        <w:rPr>
          <w:rFonts w:hint="cs"/>
          <w:rtl/>
          <w:lang w:bidi="fa-IR"/>
        </w:rPr>
        <w:t>َ</w:t>
      </w:r>
      <w:r w:rsidRPr="00132E65">
        <w:rPr>
          <w:rtl/>
          <w:lang w:bidi="fa-IR"/>
        </w:rPr>
        <w:t>الْحُسَيْنُ وَعَبْدُ اللهِ بْنُ عَبَّاسٍ و</w:t>
      </w:r>
      <w:r w:rsidR="005E409B">
        <w:rPr>
          <w:rFonts w:hint="cs"/>
          <w:rtl/>
          <w:lang w:bidi="fa-IR"/>
        </w:rPr>
        <w:t>َ</w:t>
      </w:r>
      <w:r w:rsidRPr="00132E65">
        <w:rPr>
          <w:rtl/>
          <w:lang w:bidi="fa-IR"/>
        </w:rPr>
        <w:t xml:space="preserve">عُمَرُ ابْنُ أُمِّ سَلَمَةَ </w:t>
      </w:r>
      <w:r>
        <w:rPr>
          <w:rStyle w:val="libFootnotenumChar"/>
          <w:rtl/>
        </w:rPr>
        <w:t>(5)</w:t>
      </w:r>
      <w:r w:rsidRPr="00132E65">
        <w:rPr>
          <w:rtl/>
          <w:lang w:bidi="fa-IR"/>
        </w:rPr>
        <w:t xml:space="preserve"> و</w:t>
      </w:r>
      <w:r w:rsidR="005E409B">
        <w:rPr>
          <w:rFonts w:hint="cs"/>
          <w:rtl/>
          <w:lang w:bidi="fa-IR"/>
        </w:rPr>
        <w:t>َ</w:t>
      </w:r>
      <w:r w:rsidRPr="00132E65">
        <w:rPr>
          <w:rtl/>
          <w:lang w:bidi="fa-IR"/>
        </w:rPr>
        <w:t>أُسَامَةُ بْنُ زَيْدٍ ، فَجَرى بَيْنِي و</w:t>
      </w:r>
      <w:r w:rsidR="005E409B">
        <w:rPr>
          <w:rFonts w:hint="cs"/>
          <w:rtl/>
          <w:lang w:bidi="fa-IR"/>
        </w:rPr>
        <w:t>َ</w:t>
      </w:r>
      <w:r w:rsidRPr="00132E65">
        <w:rPr>
          <w:rtl/>
          <w:lang w:bidi="fa-IR"/>
        </w:rPr>
        <w:t xml:space="preserve">بَيْنَ مُعَاوِيَةَ كَلَامٌ ، فَقُلْتُ لِمُعَاوِيَةَ : سَمِعْتُ رَسُولَ اللهِ </w:t>
      </w:r>
      <w:r w:rsidRPr="0093484F">
        <w:rPr>
          <w:rStyle w:val="libAlaemChar"/>
          <w:rFonts w:eastAsiaTheme="minorHAnsi"/>
          <w:rtl/>
        </w:rPr>
        <w:t>صلى‌الله‌عليه‌وآله</w:t>
      </w:r>
      <w:r w:rsidRPr="00132E65">
        <w:rPr>
          <w:rtl/>
          <w:lang w:bidi="fa-IR"/>
        </w:rPr>
        <w:t xml:space="preserve"> يَقُولُ : « أَنَا أَوْلى بِالْمُؤْمِنِينَ مِنْ أَنْفُسِهِمْ ، ثُمَّ أَخِي عَلِيُّ بْنُ أَبِي طَالِبٍ أَوْلى بِالْمُؤْمِنِينَ مِنْ أَنْفُسِهِمْ ، فَإِذَا اسْتُشْهِدَ عَلِيٌّ </w:t>
      </w:r>
      <w:r>
        <w:rPr>
          <w:rStyle w:val="libFootnotenumChar"/>
          <w:rtl/>
        </w:rPr>
        <w:t>(6)</w:t>
      </w:r>
      <w:r w:rsidRPr="00132E65">
        <w:rPr>
          <w:rtl/>
          <w:lang w:bidi="fa-IR"/>
        </w:rPr>
        <w:t xml:space="preserve"> فَالْحَسَنُ </w:t>
      </w:r>
      <w:r>
        <w:rPr>
          <w:rStyle w:val="libFootnotenumChar"/>
          <w:rtl/>
        </w:rPr>
        <w:t>(7)</w:t>
      </w:r>
      <w:r w:rsidRPr="00132E65">
        <w:rPr>
          <w:rtl/>
          <w:lang w:bidi="fa-IR"/>
        </w:rPr>
        <w:t xml:space="preserve"> بْنُ عَلِيٍّ </w:t>
      </w:r>
      <w:r>
        <w:rPr>
          <w:rStyle w:val="libFootnotenumChar"/>
          <w:rtl/>
        </w:rPr>
        <w:t>(8)</w:t>
      </w:r>
      <w:r w:rsidRPr="00132E65">
        <w:rPr>
          <w:rtl/>
          <w:lang w:bidi="fa-IR"/>
        </w:rPr>
        <w:t xml:space="preserve"> أَوْلى بِالْمُؤْمِنِينَ مِنْ أَنْفُسِهِمْ ، ثُمَّ ابْنِيَ الْحُسَيْنُ مِنْ بَعْدِهِ </w:t>
      </w:r>
      <w:r>
        <w:rPr>
          <w:rStyle w:val="libFootnotenumChar"/>
          <w:rtl/>
        </w:rPr>
        <w:t>(9)</w:t>
      </w:r>
      <w:r w:rsidRPr="00132E65">
        <w:rPr>
          <w:rtl/>
          <w:lang w:bidi="fa-IR"/>
        </w:rPr>
        <w:t xml:space="preserve"> أَوْلى بِالْمُؤْمِنِينَ مِنْ أَنْفُسِهِمْ ، فَإِذَا اسْتُشْهِدَ </w:t>
      </w:r>
      <w:r>
        <w:rPr>
          <w:rStyle w:val="libFootnotenumChar"/>
          <w:rtl/>
        </w:rPr>
        <w:t>(10)</w:t>
      </w:r>
      <w:r w:rsidRPr="00132E65">
        <w:rPr>
          <w:rtl/>
          <w:lang w:bidi="fa-IR"/>
        </w:rPr>
        <w:t xml:space="preserve"> فَابْنُهُ عَلِيُّ بْنُ الْحُسَيْنِ </w:t>
      </w:r>
      <w:r>
        <w:rPr>
          <w:rStyle w:val="libFootnotenumChar"/>
          <w:rtl/>
        </w:rPr>
        <w:t>(11)</w:t>
      </w:r>
      <w:r w:rsidRPr="00132E65">
        <w:rPr>
          <w:rtl/>
          <w:lang w:bidi="fa-IR"/>
        </w:rPr>
        <w:t xml:space="preserve"> أَوْلى بِالْمُؤْمِنِينَ مِنْ أَنْفُسِهِمْ‌</w:t>
      </w:r>
    </w:p>
    <w:p w:rsidR="000C39D1" w:rsidRPr="00132E65" w:rsidRDefault="000C39D1" w:rsidP="000C39D1">
      <w:pPr>
        <w:pStyle w:val="libLine"/>
        <w:rPr>
          <w:rtl/>
          <w:lang w:bidi="fa-IR"/>
        </w:rPr>
      </w:pPr>
      <w:r w:rsidRPr="00132E65">
        <w:rPr>
          <w:rtl/>
          <w:lang w:bidi="fa-IR"/>
        </w:rPr>
        <w:t>__________________</w:t>
      </w:r>
    </w:p>
    <w:p w:rsidR="000C39D1" w:rsidRPr="00132E65" w:rsidRDefault="005E409B" w:rsidP="000C39D1">
      <w:pPr>
        <w:pStyle w:val="libFootnote0"/>
        <w:rPr>
          <w:rtl/>
          <w:lang w:bidi="fa-IR"/>
        </w:rPr>
      </w:pPr>
      <w:r>
        <w:rPr>
          <w:rFonts w:hint="cs"/>
          <w:rtl/>
        </w:rPr>
        <w:t>=</w:t>
      </w:r>
      <w:r w:rsidR="000C39D1" w:rsidRPr="00132E65">
        <w:rPr>
          <w:rtl/>
        </w:rPr>
        <w:t xml:space="preserve">والحسن بن ظريف ، جميعاً ، عن بكر بن صالح. وفي </w:t>
      </w:r>
      <w:r w:rsidR="000C39D1" w:rsidRPr="005E409B">
        <w:rPr>
          <w:rStyle w:val="libFootnoteBoldChar"/>
          <w:rtl/>
        </w:rPr>
        <w:t>الأمالي للطوسي</w:t>
      </w:r>
      <w:r w:rsidR="000C39D1" w:rsidRPr="00132E65">
        <w:rPr>
          <w:rtl/>
        </w:rPr>
        <w:t xml:space="preserve"> ، ص 291 ، المجلس 11 ، ح 13 ، بسند آخر ، مع اختلاف يسير </w:t>
      </w:r>
      <w:r>
        <w:rPr>
          <w:rFonts w:hint="cs"/>
          <w:rtl/>
        </w:rPr>
        <w:t>.</w:t>
      </w:r>
      <w:r w:rsidR="000C39D1" w:rsidRPr="009D1ACE">
        <w:rPr>
          <w:rStyle w:val="libFootnoteBoldChar"/>
          <w:rtl/>
        </w:rPr>
        <w:t>الوافي</w:t>
      </w:r>
      <w:r w:rsidR="000C39D1" w:rsidRPr="00132E65">
        <w:rPr>
          <w:rtl/>
        </w:rPr>
        <w:t xml:space="preserve"> ، ج 2 ، ص 296 ، ح 755.</w:t>
      </w:r>
    </w:p>
    <w:p w:rsidR="000C39D1" w:rsidRPr="00132E65" w:rsidRDefault="000C39D1" w:rsidP="000C39D1">
      <w:pPr>
        <w:pStyle w:val="libFootnote0"/>
        <w:rPr>
          <w:rtl/>
          <w:lang w:bidi="fa-IR"/>
        </w:rPr>
      </w:pPr>
      <w:r>
        <w:rPr>
          <w:rtl/>
        </w:rPr>
        <w:t>(1).</w:t>
      </w:r>
      <w:r w:rsidRPr="00132E65">
        <w:rPr>
          <w:rtl/>
        </w:rPr>
        <w:t xml:space="preserve"> في السند تحويل. ويروي المصنّف عن سليم بن قيس بثلاثة طرق ؛</w:t>
      </w:r>
    </w:p>
    <w:p w:rsidR="000C39D1" w:rsidRPr="0034251B" w:rsidRDefault="000C39D1" w:rsidP="005E409B">
      <w:pPr>
        <w:pStyle w:val="libFootnote0"/>
        <w:rPr>
          <w:rtl/>
        </w:rPr>
      </w:pPr>
      <w:r w:rsidRPr="0034251B">
        <w:rPr>
          <w:rtl/>
        </w:rPr>
        <w:t>الأوّل : عليّ بن إبراهيم ، عن أبيه ، عن حمّاد بن عيسى ، عن إبراهيم بن عمر اليماني ، عن أبان بن أبي عيّاش.</w:t>
      </w:r>
      <w:r w:rsidRPr="0034251B">
        <w:rPr>
          <w:rFonts w:hint="cs"/>
          <w:rtl/>
        </w:rPr>
        <w:t xml:space="preserve"> </w:t>
      </w:r>
    </w:p>
    <w:p w:rsidR="000C39D1" w:rsidRPr="0034251B" w:rsidRDefault="000C39D1" w:rsidP="005E409B">
      <w:pPr>
        <w:pStyle w:val="libFootnote0"/>
        <w:rPr>
          <w:rtl/>
        </w:rPr>
      </w:pPr>
      <w:r w:rsidRPr="0034251B">
        <w:rPr>
          <w:rtl/>
        </w:rPr>
        <w:t>الثاني : محمّد بن يحيى ، عن أحمد بن محمّد ، عن ابن أبي عمير ، عن عُمر بن اذينة ، عن أبان بن أبي عيّاش.</w:t>
      </w:r>
    </w:p>
    <w:p w:rsidR="000C39D1" w:rsidRPr="0034251B" w:rsidRDefault="000C39D1" w:rsidP="005E409B">
      <w:pPr>
        <w:pStyle w:val="libFootnote0"/>
        <w:rPr>
          <w:rtl/>
        </w:rPr>
      </w:pPr>
      <w:r w:rsidRPr="0034251B">
        <w:rPr>
          <w:rtl/>
        </w:rPr>
        <w:t>الثالث : عليّ بن محمّد ، عن أحمد بن هلال ، عن ابن أبي عمير ، عن عُمر بن ا</w:t>
      </w:r>
      <w:r w:rsidR="005D495D">
        <w:rPr>
          <w:rFonts w:hint="cs"/>
          <w:rtl/>
        </w:rPr>
        <w:t>ُ</w:t>
      </w:r>
      <w:r w:rsidRPr="0034251B">
        <w:rPr>
          <w:rtl/>
        </w:rPr>
        <w:t>ذينة ، عن أبان بن أبي عيّاش.</w:t>
      </w:r>
    </w:p>
    <w:p w:rsidR="000C39D1" w:rsidRPr="00132E65" w:rsidRDefault="000C39D1" w:rsidP="000C39D1">
      <w:pPr>
        <w:pStyle w:val="libFootnote0"/>
        <w:rPr>
          <w:rtl/>
          <w:lang w:bidi="fa-IR"/>
        </w:rPr>
      </w:pPr>
      <w:r>
        <w:rPr>
          <w:rtl/>
        </w:rPr>
        <w:t>(2).</w:t>
      </w:r>
      <w:r w:rsidRPr="00132E65">
        <w:rPr>
          <w:rtl/>
        </w:rPr>
        <w:t xml:space="preserve"> في العيون والخصال وكمال الدين والغيبة للنعماني :</w:t>
      </w:r>
      <w:r>
        <w:rPr>
          <w:rtl/>
        </w:rPr>
        <w:t xml:space="preserve"> + </w:t>
      </w:r>
      <w:r w:rsidRPr="00132E65">
        <w:rPr>
          <w:rtl/>
        </w:rPr>
        <w:t>« الهلالي »</w:t>
      </w:r>
      <w:r>
        <w:rPr>
          <w:rtl/>
        </w:rPr>
        <w:t>.</w:t>
      </w:r>
    </w:p>
    <w:tbl>
      <w:tblPr>
        <w:tblStyle w:val="TableGrid"/>
        <w:bidiVisual/>
        <w:tblW w:w="0" w:type="auto"/>
        <w:tblLook w:val="04A0" w:firstRow="1" w:lastRow="0" w:firstColumn="1" w:lastColumn="0" w:noHBand="0" w:noVBand="1"/>
      </w:tblPr>
      <w:tblGrid>
        <w:gridCol w:w="4261"/>
        <w:gridCol w:w="4262"/>
      </w:tblGrid>
      <w:tr w:rsidR="005D495D" w:rsidTr="005D495D">
        <w:tc>
          <w:tcPr>
            <w:tcW w:w="4261" w:type="dxa"/>
          </w:tcPr>
          <w:p w:rsidR="005D495D" w:rsidRDefault="005D495D" w:rsidP="000C39D1">
            <w:pPr>
              <w:pStyle w:val="libFootnote0"/>
              <w:rPr>
                <w:rtl/>
              </w:rPr>
            </w:pPr>
            <w:r>
              <w:rPr>
                <w:rtl/>
              </w:rPr>
              <w:t>(3).</w:t>
            </w:r>
            <w:r w:rsidRPr="00132E65">
              <w:rPr>
                <w:rtl/>
              </w:rPr>
              <w:t xml:space="preserve"> في « ج » :</w:t>
            </w:r>
            <w:r>
              <w:rPr>
                <w:rtl/>
              </w:rPr>
              <w:t xml:space="preserve"> + </w:t>
            </w:r>
            <w:r w:rsidRPr="00132E65">
              <w:rPr>
                <w:rtl/>
              </w:rPr>
              <w:t>« قال »</w:t>
            </w:r>
            <w:r>
              <w:rPr>
                <w:rtl/>
              </w:rPr>
              <w:t>.</w:t>
            </w:r>
          </w:p>
        </w:tc>
        <w:tc>
          <w:tcPr>
            <w:tcW w:w="4262" w:type="dxa"/>
          </w:tcPr>
          <w:p w:rsidR="005D495D" w:rsidRDefault="005D495D" w:rsidP="000C39D1">
            <w:pPr>
              <w:pStyle w:val="libFootnote0"/>
              <w:rPr>
                <w:rtl/>
              </w:rPr>
            </w:pPr>
            <w:r>
              <w:rPr>
                <w:rtl/>
              </w:rPr>
              <w:t>(4).</w:t>
            </w:r>
            <w:r w:rsidRPr="00132E65">
              <w:rPr>
                <w:rtl/>
              </w:rPr>
              <w:t xml:space="preserve"> في « ف » : « كان »</w:t>
            </w:r>
            <w:r>
              <w:rPr>
                <w:rtl/>
              </w:rPr>
              <w:t>.</w:t>
            </w:r>
          </w:p>
        </w:tc>
      </w:tr>
    </w:tbl>
    <w:p w:rsidR="000C39D1" w:rsidRPr="00132E65" w:rsidRDefault="000C39D1" w:rsidP="000C39D1">
      <w:pPr>
        <w:pStyle w:val="libFootnote0"/>
        <w:rPr>
          <w:rtl/>
          <w:lang w:bidi="fa-IR"/>
        </w:rPr>
      </w:pPr>
      <w:r>
        <w:rPr>
          <w:rtl/>
        </w:rPr>
        <w:t>(5).</w:t>
      </w:r>
      <w:r w:rsidRPr="00132E65">
        <w:rPr>
          <w:rtl/>
        </w:rPr>
        <w:t xml:space="preserve"> في حاشية « بح » : « أسلم »</w:t>
      </w:r>
      <w:r>
        <w:rPr>
          <w:rtl/>
        </w:rPr>
        <w:t>.</w:t>
      </w:r>
      <w:r w:rsidRPr="00132E65">
        <w:rPr>
          <w:rtl/>
        </w:rPr>
        <w:t xml:space="preserve"> وفي العيون والخصال وكمال الدين : « أبي سلمة »</w:t>
      </w:r>
      <w:r>
        <w:rPr>
          <w:rtl/>
        </w:rPr>
        <w:t>.</w:t>
      </w:r>
    </w:p>
    <w:tbl>
      <w:tblPr>
        <w:tblStyle w:val="TableGrid"/>
        <w:bidiVisual/>
        <w:tblW w:w="0" w:type="auto"/>
        <w:tblLook w:val="04A0" w:firstRow="1" w:lastRow="0" w:firstColumn="1" w:lastColumn="0" w:noHBand="0" w:noVBand="1"/>
      </w:tblPr>
      <w:tblGrid>
        <w:gridCol w:w="4261"/>
        <w:gridCol w:w="4262"/>
      </w:tblGrid>
      <w:tr w:rsidR="005D495D" w:rsidTr="005D495D">
        <w:tc>
          <w:tcPr>
            <w:tcW w:w="4261" w:type="dxa"/>
          </w:tcPr>
          <w:p w:rsidR="005D495D" w:rsidRDefault="005D495D" w:rsidP="000C39D1">
            <w:pPr>
              <w:pStyle w:val="libFootnote0"/>
              <w:rPr>
                <w:rtl/>
                <w:lang w:bidi="fa-IR"/>
              </w:rPr>
            </w:pPr>
            <w:r>
              <w:rPr>
                <w:rtl/>
              </w:rPr>
              <w:t>(6).</w:t>
            </w:r>
            <w:r w:rsidRPr="00132E65">
              <w:rPr>
                <w:rtl/>
              </w:rPr>
              <w:t xml:space="preserve"> في « بس » </w:t>
            </w:r>
            <w:r>
              <w:rPr>
                <w:rtl/>
              </w:rPr>
              <w:t xml:space="preserve">: - </w:t>
            </w:r>
            <w:r w:rsidRPr="00132E65">
              <w:rPr>
                <w:rtl/>
              </w:rPr>
              <w:t>« عليّ »</w:t>
            </w:r>
            <w:r>
              <w:rPr>
                <w:rtl/>
              </w:rPr>
              <w:t>.</w:t>
            </w:r>
          </w:p>
        </w:tc>
        <w:tc>
          <w:tcPr>
            <w:tcW w:w="4262" w:type="dxa"/>
          </w:tcPr>
          <w:p w:rsidR="005D495D" w:rsidRDefault="005D495D" w:rsidP="000C39D1">
            <w:pPr>
              <w:pStyle w:val="libFootnote0"/>
              <w:rPr>
                <w:rtl/>
                <w:lang w:bidi="fa-IR"/>
              </w:rPr>
            </w:pPr>
            <w:r>
              <w:rPr>
                <w:rtl/>
              </w:rPr>
              <w:t>(7).</w:t>
            </w:r>
            <w:r w:rsidRPr="00132E65">
              <w:rPr>
                <w:rtl/>
              </w:rPr>
              <w:t xml:space="preserve"> في « ب » : « فابني الحسن » بدل « فالحسن »</w:t>
            </w:r>
            <w:r>
              <w:rPr>
                <w:rtl/>
              </w:rPr>
              <w:t>.</w:t>
            </w:r>
          </w:p>
        </w:tc>
      </w:tr>
    </w:tbl>
    <w:p w:rsidR="000C39D1" w:rsidRPr="00132E65" w:rsidRDefault="000C39D1" w:rsidP="000C39D1">
      <w:pPr>
        <w:pStyle w:val="libFootnote0"/>
        <w:rPr>
          <w:rtl/>
          <w:lang w:bidi="fa-IR"/>
        </w:rPr>
      </w:pPr>
      <w:r>
        <w:rPr>
          <w:rtl/>
        </w:rPr>
        <w:t>(8).</w:t>
      </w:r>
      <w:r w:rsidRPr="00132E65">
        <w:rPr>
          <w:rtl/>
        </w:rPr>
        <w:t xml:space="preserve"> في الغيبة للطوسي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(9).</w:t>
      </w:r>
      <w:r w:rsidRPr="00132E65">
        <w:rPr>
          <w:rtl/>
        </w:rPr>
        <w:t xml:space="preserve"> في الغيبة للطوسي : « فإذا مضى الحسن الحسين » بدل « ثمّ ابني الحسين من بعده »</w:t>
      </w:r>
      <w:r>
        <w:rPr>
          <w:rtl/>
        </w:rPr>
        <w:t>.</w:t>
      </w:r>
    </w:p>
    <w:tbl>
      <w:tblPr>
        <w:tblStyle w:val="TableGrid"/>
        <w:bidiVisual/>
        <w:tblW w:w="0" w:type="auto"/>
        <w:tblLook w:val="04A0" w:firstRow="1" w:lastRow="0" w:firstColumn="1" w:lastColumn="0" w:noHBand="0" w:noVBand="1"/>
      </w:tblPr>
      <w:tblGrid>
        <w:gridCol w:w="4261"/>
        <w:gridCol w:w="4262"/>
      </w:tblGrid>
      <w:tr w:rsidR="005D495D" w:rsidTr="005D495D">
        <w:tc>
          <w:tcPr>
            <w:tcW w:w="4261" w:type="dxa"/>
          </w:tcPr>
          <w:p w:rsidR="005D495D" w:rsidRDefault="005D495D" w:rsidP="000C39D1">
            <w:pPr>
              <w:pStyle w:val="libFootnote0"/>
              <w:rPr>
                <w:rtl/>
              </w:rPr>
            </w:pPr>
            <w:r>
              <w:rPr>
                <w:rtl/>
              </w:rPr>
              <w:t>(10).</w:t>
            </w:r>
            <w:r w:rsidRPr="00132E65">
              <w:rPr>
                <w:rtl/>
              </w:rPr>
              <w:t xml:space="preserve"> في « ف » : « استشهدا »</w:t>
            </w:r>
            <w:r>
              <w:rPr>
                <w:rtl/>
              </w:rPr>
              <w:t>.</w:t>
            </w:r>
          </w:p>
        </w:tc>
        <w:tc>
          <w:tcPr>
            <w:tcW w:w="4262" w:type="dxa"/>
          </w:tcPr>
          <w:p w:rsidR="005D495D" w:rsidRDefault="005D495D" w:rsidP="000C39D1">
            <w:pPr>
              <w:pStyle w:val="libFootnote0"/>
              <w:rPr>
                <w:rtl/>
              </w:rPr>
            </w:pPr>
            <w:r>
              <w:rPr>
                <w:rtl/>
              </w:rPr>
              <w:t>(11).</w:t>
            </w:r>
            <w:r w:rsidRPr="00132E65">
              <w:rPr>
                <w:rtl/>
              </w:rPr>
              <w:t xml:space="preserve"> في الخصال :</w:t>
            </w:r>
            <w:r>
              <w:rPr>
                <w:rtl/>
              </w:rPr>
              <w:t xml:space="preserve"> + </w:t>
            </w:r>
            <w:r w:rsidRPr="00132E65">
              <w:rPr>
                <w:rtl/>
              </w:rPr>
              <w:t>« الأكبر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Pr>
          <w:rtl/>
          <w:lang w:bidi="fa-IR"/>
        </w:rPr>
        <w:t>-</w:t>
      </w:r>
      <w:r w:rsidRPr="00132E65">
        <w:rPr>
          <w:rtl/>
          <w:lang w:bidi="fa-IR"/>
        </w:rPr>
        <w:t xml:space="preserve"> و</w:t>
      </w:r>
      <w:r w:rsidR="005D495D">
        <w:rPr>
          <w:rFonts w:hint="cs"/>
          <w:rtl/>
          <w:lang w:bidi="fa-IR"/>
        </w:rPr>
        <w:t>َ</w:t>
      </w:r>
      <w:r w:rsidRPr="00132E65">
        <w:rPr>
          <w:rtl/>
          <w:lang w:bidi="fa-IR"/>
        </w:rPr>
        <w:t xml:space="preserve">سَتُدْرِكُهُ يَا عَلِيُّ </w:t>
      </w:r>
      <w:r>
        <w:rPr>
          <w:rStyle w:val="libFootnotenumChar"/>
          <w:rtl/>
        </w:rPr>
        <w:t>(1)</w:t>
      </w:r>
      <w:r>
        <w:rPr>
          <w:rtl/>
          <w:lang w:bidi="fa-IR"/>
        </w:rPr>
        <w:t xml:space="preserve"> - </w:t>
      </w:r>
      <w:r w:rsidRPr="00132E65">
        <w:rPr>
          <w:rtl/>
          <w:lang w:bidi="fa-IR"/>
        </w:rPr>
        <w:t>ثُمَّ ابْنُهُ مُحَمَّدُ بْنُ عَلِيٍّ أَوْلى بِالْمُؤْمِنِينَ مِنْ أَنْفُسِهِمْ</w:t>
      </w:r>
      <w:r>
        <w:rPr>
          <w:rtl/>
          <w:lang w:bidi="fa-IR"/>
        </w:rPr>
        <w:t xml:space="preserve"> - </w:t>
      </w:r>
      <w:r w:rsidRPr="00132E65">
        <w:rPr>
          <w:rtl/>
          <w:lang w:bidi="fa-IR"/>
        </w:rPr>
        <w:t>و</w:t>
      </w:r>
      <w:r w:rsidR="005D495D">
        <w:rPr>
          <w:rFonts w:hint="cs"/>
          <w:rtl/>
          <w:lang w:bidi="fa-IR"/>
        </w:rPr>
        <w:t>َ</w:t>
      </w:r>
      <w:r w:rsidRPr="00132E65">
        <w:rPr>
          <w:rtl/>
          <w:lang w:bidi="fa-IR"/>
        </w:rPr>
        <w:t xml:space="preserve">سَتُدْرِكُهُ يَا حُسَيْنُ </w:t>
      </w:r>
      <w:r>
        <w:rPr>
          <w:rStyle w:val="libFootnotenumChar"/>
          <w:rtl/>
        </w:rPr>
        <w:t>(2)</w:t>
      </w:r>
      <w:r>
        <w:rPr>
          <w:rtl/>
          <w:lang w:bidi="fa-IR"/>
        </w:rPr>
        <w:t xml:space="preserve"> - </w:t>
      </w:r>
      <w:r w:rsidRPr="00132E65">
        <w:rPr>
          <w:rtl/>
          <w:lang w:bidi="fa-IR"/>
        </w:rPr>
        <w:t xml:space="preserve">ثُمَّ يُكَمِّلُهُ </w:t>
      </w:r>
      <w:r>
        <w:rPr>
          <w:rStyle w:val="libFootnotenumChar"/>
          <w:rtl/>
        </w:rPr>
        <w:t>(3)</w:t>
      </w:r>
      <w:r w:rsidRPr="00132E65">
        <w:rPr>
          <w:rtl/>
          <w:lang w:bidi="fa-IR"/>
        </w:rPr>
        <w:t xml:space="preserve"> اثْنَيْ عَشَرَ إِمَاماً تِسْعَةً </w:t>
      </w:r>
      <w:r>
        <w:rPr>
          <w:rStyle w:val="libFootnotenumChar"/>
          <w:rtl/>
        </w:rPr>
        <w:t>(4)</w:t>
      </w:r>
      <w:r w:rsidRPr="00132E65">
        <w:rPr>
          <w:rtl/>
          <w:lang w:bidi="fa-IR"/>
        </w:rPr>
        <w:t xml:space="preserve"> مِنْ ولْدِ الْحُسَيْنِ »</w:t>
      </w:r>
      <w:r>
        <w:rPr>
          <w:rtl/>
          <w:lang w:bidi="fa-IR"/>
        </w:rPr>
        <w:t>.</w:t>
      </w:r>
    </w:p>
    <w:p w:rsidR="000C39D1" w:rsidRPr="00132E65" w:rsidRDefault="000C39D1" w:rsidP="000C39D1">
      <w:pPr>
        <w:pStyle w:val="libNormal"/>
        <w:rPr>
          <w:rtl/>
          <w:lang w:bidi="fa-IR"/>
        </w:rPr>
      </w:pPr>
      <w:r w:rsidRPr="00132E65">
        <w:rPr>
          <w:rtl/>
          <w:lang w:bidi="fa-IR"/>
        </w:rPr>
        <w:t>قَالَ عَبْدُ اللهِ بْنُ جَعْفَرٍ : و</w:t>
      </w:r>
      <w:r w:rsidR="005D495D">
        <w:rPr>
          <w:rFonts w:hint="cs"/>
          <w:rtl/>
          <w:lang w:bidi="fa-IR"/>
        </w:rPr>
        <w:t>َ</w:t>
      </w:r>
      <w:r>
        <w:rPr>
          <w:rFonts w:hint="cs"/>
          <w:rtl/>
          <w:lang w:bidi="fa-IR"/>
        </w:rPr>
        <w:t xml:space="preserve"> </w:t>
      </w:r>
      <w:r>
        <w:rPr>
          <w:rStyle w:val="libFootnotenumChar"/>
          <w:rtl/>
        </w:rPr>
        <w:t>(5)</w:t>
      </w:r>
      <w:r w:rsidRPr="00132E65">
        <w:rPr>
          <w:rtl/>
          <w:lang w:bidi="fa-IR"/>
        </w:rPr>
        <w:t xml:space="preserve"> اسْتَشْهَدْتُ </w:t>
      </w:r>
      <w:r>
        <w:rPr>
          <w:rStyle w:val="libFootnotenumChar"/>
          <w:rtl/>
        </w:rPr>
        <w:t>(6)</w:t>
      </w:r>
      <w:r w:rsidRPr="00132E65">
        <w:rPr>
          <w:rtl/>
          <w:lang w:bidi="fa-IR"/>
        </w:rPr>
        <w:t xml:space="preserve"> الْحَسَنَ والْحُسَيْنَ و</w:t>
      </w:r>
      <w:r w:rsidR="005D495D">
        <w:rPr>
          <w:rFonts w:hint="cs"/>
          <w:rtl/>
          <w:lang w:bidi="fa-IR"/>
        </w:rPr>
        <w:t>َ</w:t>
      </w:r>
      <w:r w:rsidRPr="00132E65">
        <w:rPr>
          <w:rtl/>
          <w:lang w:bidi="fa-IR"/>
        </w:rPr>
        <w:t xml:space="preserve">عَبْدَ اللهِ بْنَ عَبَّاسٍ وَعُمَرَ ابْنَ أُمِّ سَلَمَةَ </w:t>
      </w:r>
      <w:r>
        <w:rPr>
          <w:rStyle w:val="libFootnotenumChar"/>
          <w:rtl/>
        </w:rPr>
        <w:t>(7)</w:t>
      </w:r>
      <w:r w:rsidRPr="00132E65">
        <w:rPr>
          <w:rtl/>
          <w:lang w:bidi="fa-IR"/>
        </w:rPr>
        <w:t xml:space="preserve"> و</w:t>
      </w:r>
      <w:r w:rsidR="005D495D">
        <w:rPr>
          <w:rFonts w:hint="cs"/>
          <w:rtl/>
          <w:lang w:bidi="fa-IR"/>
        </w:rPr>
        <w:t>َ</w:t>
      </w:r>
      <w:r w:rsidRPr="00132E65">
        <w:rPr>
          <w:rtl/>
          <w:lang w:bidi="fa-IR"/>
        </w:rPr>
        <w:t xml:space="preserve">أُسَامَةَ بْنَ زَيْدٍ ، فَشَهِدُوا لِي عِنْدَ مُعَاوِيَةَ </w:t>
      </w:r>
      <w:r>
        <w:rPr>
          <w:rStyle w:val="libFootnotenumChar"/>
          <w:rtl/>
        </w:rPr>
        <w:t>(8)</w:t>
      </w:r>
      <w:r w:rsidR="005D495D" w:rsidRPr="005D495D">
        <w:rPr>
          <w:rFonts w:hint="cs"/>
          <w:rtl/>
        </w:rPr>
        <w:t>.</w:t>
      </w:r>
    </w:p>
    <w:p w:rsidR="000C39D1" w:rsidRPr="00132E65" w:rsidRDefault="000C39D1" w:rsidP="000C39D1">
      <w:pPr>
        <w:pStyle w:val="libNormal"/>
        <w:rPr>
          <w:rtl/>
          <w:lang w:bidi="fa-IR"/>
        </w:rPr>
      </w:pPr>
      <w:r w:rsidRPr="00132E65">
        <w:rPr>
          <w:rtl/>
          <w:lang w:bidi="fa-IR"/>
        </w:rPr>
        <w:t>قَالَ سُلَيْمٌ : و</w:t>
      </w:r>
      <w:r w:rsidR="005D495D">
        <w:rPr>
          <w:rFonts w:hint="cs"/>
          <w:rtl/>
          <w:lang w:bidi="fa-IR"/>
        </w:rPr>
        <w:t>َ</w:t>
      </w:r>
      <w:r w:rsidRPr="00132E65">
        <w:rPr>
          <w:rtl/>
          <w:lang w:bidi="fa-IR"/>
        </w:rPr>
        <w:t xml:space="preserve">قَدْ سَمِعْتُ ذلِكَ مِنْ سَلْمَانَ </w:t>
      </w:r>
      <w:r>
        <w:rPr>
          <w:rStyle w:val="libFootnotenumChar"/>
          <w:rtl/>
        </w:rPr>
        <w:t>(9)</w:t>
      </w:r>
      <w:r w:rsidRPr="00132E65">
        <w:rPr>
          <w:rtl/>
          <w:lang w:bidi="fa-IR"/>
        </w:rPr>
        <w:t xml:space="preserve"> و</w:t>
      </w:r>
      <w:r w:rsidR="005D495D">
        <w:rPr>
          <w:rFonts w:hint="cs"/>
          <w:rtl/>
          <w:lang w:bidi="fa-IR"/>
        </w:rPr>
        <w:t>َ</w:t>
      </w:r>
      <w:r w:rsidRPr="00132E65">
        <w:rPr>
          <w:rtl/>
          <w:lang w:bidi="fa-IR"/>
        </w:rPr>
        <w:t xml:space="preserve">أَبِي ذَرٍّ والْمِقْدَادِ </w:t>
      </w:r>
      <w:r>
        <w:rPr>
          <w:rStyle w:val="libFootnotenumChar"/>
          <w:rtl/>
        </w:rPr>
        <w:t>(10)</w:t>
      </w:r>
      <w:r w:rsidRPr="00132E65">
        <w:rPr>
          <w:rtl/>
          <w:lang w:bidi="fa-IR"/>
        </w:rPr>
        <w:t xml:space="preserve"> ، و</w:t>
      </w:r>
      <w:r w:rsidR="005D495D">
        <w:rPr>
          <w:rFonts w:hint="cs"/>
          <w:rtl/>
          <w:lang w:bidi="fa-IR"/>
        </w:rPr>
        <w:t>َ</w:t>
      </w:r>
      <w:r w:rsidRPr="00132E65">
        <w:rPr>
          <w:rtl/>
          <w:lang w:bidi="fa-IR"/>
        </w:rPr>
        <w:t xml:space="preserve">ذَكَرُوا أَنَّهُمْ سَمِعُوا ذلِكَ مِنْ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(11)</w:t>
      </w:r>
    </w:p>
    <w:p w:rsidR="000C39D1" w:rsidRPr="00132E65" w:rsidRDefault="000C39D1" w:rsidP="000C39D1">
      <w:pPr>
        <w:pStyle w:val="libNormal"/>
        <w:rPr>
          <w:rtl/>
          <w:lang w:bidi="fa-IR"/>
        </w:rPr>
      </w:pPr>
      <w:r w:rsidRPr="00DC7D06">
        <w:rPr>
          <w:rtl/>
        </w:rPr>
        <w:t>1392</w:t>
      </w:r>
      <w:r w:rsidRPr="004325D8">
        <w:rPr>
          <w:rStyle w:val="libBold2Char"/>
          <w:rtl/>
        </w:rPr>
        <w:t xml:space="preserve"> / 5.</w:t>
      </w:r>
      <w:r w:rsidRPr="00132E65">
        <w:rPr>
          <w:rtl/>
          <w:lang w:bidi="fa-IR"/>
        </w:rPr>
        <w:t xml:space="preserve"> عِدَّةٌ مِنْ أَصْحَابِنَا ، عَنْ أَحْمَدَ بْنِ مُحَمَّدِ بْنِ خَالِدٍ ، عَنْ أَبِيهِ ، عَنْ عَبْدِ اللهِ بْنِ‌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DC7D06">
        <w:rPr>
          <w:rtl/>
        </w:rPr>
        <w:t>شرح المازندراني</w:t>
      </w:r>
      <w:r w:rsidRPr="00132E65">
        <w:rPr>
          <w:rtl/>
        </w:rPr>
        <w:t xml:space="preserve"> : « كانت له عند وفاة عليّ </w:t>
      </w:r>
      <w:r w:rsidRPr="005D495D">
        <w:rPr>
          <w:rStyle w:val="libFootnoteAlaemChar"/>
          <w:rtl/>
        </w:rPr>
        <w:t>عليه‌السلام</w:t>
      </w:r>
      <w:r w:rsidRPr="00132E65">
        <w:rPr>
          <w:rtl/>
        </w:rPr>
        <w:t xml:space="preserve"> سنتان »</w:t>
      </w:r>
      <w:r>
        <w:rPr>
          <w:rtl/>
        </w:rPr>
        <w:t>.</w:t>
      </w:r>
      <w:r w:rsidRPr="00132E65">
        <w:rPr>
          <w:rtl/>
        </w:rPr>
        <w:t xml:space="preserve"> وفي الخصال </w:t>
      </w:r>
      <w:r>
        <w:rPr>
          <w:rtl/>
        </w:rPr>
        <w:t xml:space="preserve">: - </w:t>
      </w:r>
      <w:r w:rsidRPr="00132E65">
        <w:rPr>
          <w:rtl/>
        </w:rPr>
        <w:t>« وستدركه يا عليّ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DC7D06">
        <w:rPr>
          <w:rtl/>
        </w:rPr>
        <w:t>شرح المازندراني</w:t>
      </w:r>
      <w:r w:rsidRPr="00132E65">
        <w:rPr>
          <w:rtl/>
        </w:rPr>
        <w:t xml:space="preserve"> : « كانت له عند قتل الحسين </w:t>
      </w:r>
      <w:r w:rsidRPr="005D495D">
        <w:rPr>
          <w:rStyle w:val="libFootnoteAlaemChar"/>
          <w:rtl/>
        </w:rPr>
        <w:t>عليه‌السلام</w:t>
      </w:r>
      <w:r w:rsidRPr="00132E65">
        <w:rPr>
          <w:rtl/>
        </w:rPr>
        <w:t xml:space="preserve"> ستّ سنين »</w:t>
      </w:r>
      <w:r>
        <w:rPr>
          <w:rtl/>
        </w:rPr>
        <w:t>.</w:t>
      </w:r>
    </w:p>
    <w:p w:rsidR="000C39D1" w:rsidRPr="00132E65" w:rsidRDefault="000C39D1" w:rsidP="000C39D1">
      <w:pPr>
        <w:pStyle w:val="libFootnote0"/>
        <w:rPr>
          <w:rtl/>
          <w:lang w:bidi="fa-IR"/>
        </w:rPr>
      </w:pPr>
      <w:r>
        <w:rPr>
          <w:rtl/>
        </w:rPr>
        <w:t>(3).</w:t>
      </w:r>
      <w:r w:rsidRPr="00132E65">
        <w:rPr>
          <w:rtl/>
        </w:rPr>
        <w:t xml:space="preserve"> في « ج » : « فتكمّله »</w:t>
      </w:r>
      <w:r>
        <w:rPr>
          <w:rtl/>
        </w:rPr>
        <w:t>.</w:t>
      </w:r>
      <w:r w:rsidRPr="00132E65">
        <w:rPr>
          <w:rtl/>
        </w:rPr>
        <w:t xml:space="preserve"> وفي « ف » : « فتكلّمه »</w:t>
      </w:r>
      <w:r>
        <w:rPr>
          <w:rtl/>
        </w:rPr>
        <w:t>.</w:t>
      </w:r>
      <w:r w:rsidRPr="00132E65">
        <w:rPr>
          <w:rtl/>
        </w:rPr>
        <w:t xml:space="preserve"> وفي حاشية « ج » : « ثمّ تكلّمه »</w:t>
      </w:r>
      <w:r>
        <w:rPr>
          <w:rtl/>
        </w:rPr>
        <w:t>.</w:t>
      </w:r>
      <w:r w:rsidRPr="00132E65">
        <w:rPr>
          <w:rtl/>
        </w:rPr>
        <w:t xml:space="preserve"> وفي « ب ، بس ، بف » و</w:t>
      </w:r>
      <w:r w:rsidRPr="009D1ACE">
        <w:rPr>
          <w:rStyle w:val="libFootnoteBoldChar"/>
          <w:rtl/>
        </w:rPr>
        <w:t>مرآة العقول</w:t>
      </w:r>
      <w:r w:rsidRPr="00132E65">
        <w:rPr>
          <w:rtl/>
        </w:rPr>
        <w:t xml:space="preserve"> وكمال الدين : « ثمّ تكملة »</w:t>
      </w:r>
      <w:r>
        <w:rPr>
          <w:rtl/>
        </w:rPr>
        <w:t>.</w:t>
      </w:r>
      <w:r w:rsidRPr="00132E65">
        <w:rPr>
          <w:rtl/>
        </w:rPr>
        <w:t xml:space="preserve"> قال في المرآة : « وقوله : ثمّ تكملة ، كلام عبد الله بن جعفر ، والتكملة : التتمّة ، أي ثمّ ذكرت عند معاوية تتمّتهم تفصيلاً. أو من كلام رسول الله </w:t>
      </w:r>
      <w:r w:rsidRPr="005D495D">
        <w:rPr>
          <w:rStyle w:val="libFootnoteAlaemChar"/>
          <w:rFonts w:eastAsiaTheme="minorHAnsi"/>
          <w:rtl/>
        </w:rPr>
        <w:t>صلى‌الله‌عليه‌وآله</w:t>
      </w:r>
      <w:r w:rsidRPr="00132E65">
        <w:rPr>
          <w:rtl/>
          <w:lang w:bidi="fa-IR"/>
        </w:rPr>
        <w:t xml:space="preserve"> </w:t>
      </w:r>
      <w:r w:rsidRPr="00132E65">
        <w:rPr>
          <w:rtl/>
        </w:rPr>
        <w:t xml:space="preserve">، أي ثمّ تكملتهم أولى بالمؤمنين من أنفسهم. والأوّل أظهر. وفي بعض النسخ بالياء على صيغة المضارع ، أي ثمّ يكمّل الرسول </w:t>
      </w:r>
      <w:r w:rsidRPr="005D495D">
        <w:rPr>
          <w:rStyle w:val="libFootnoteAlaemChar"/>
          <w:rFonts w:eastAsiaTheme="minorHAnsi"/>
          <w:rtl/>
        </w:rPr>
        <w:t>صلى‌الله‌عليه‌وآله</w:t>
      </w:r>
      <w:r w:rsidRPr="00132E65">
        <w:rPr>
          <w:rtl/>
          <w:lang w:bidi="fa-IR"/>
        </w:rPr>
        <w:t xml:space="preserve"> </w:t>
      </w:r>
      <w:r w:rsidRPr="00132E65">
        <w:rPr>
          <w:rtl/>
        </w:rPr>
        <w:t>اثني عشر يسمّيهم »</w:t>
      </w:r>
      <w:r>
        <w:rPr>
          <w:rtl/>
        </w:rPr>
        <w:t>.</w:t>
      </w:r>
      <w:r w:rsidRPr="00132E65">
        <w:rPr>
          <w:rtl/>
        </w:rPr>
        <w:t xml:space="preserve"> وفي المطبوع والعيون والخصال والغيبة للنعماني : « ثمّ تكمله »</w:t>
      </w:r>
      <w:r>
        <w:rPr>
          <w:rtl/>
        </w:rPr>
        <w:t>.</w:t>
      </w:r>
    </w:p>
    <w:tbl>
      <w:tblPr>
        <w:tblStyle w:val="TableGrid"/>
        <w:bidiVisual/>
        <w:tblW w:w="0" w:type="auto"/>
        <w:tblLook w:val="04A0" w:firstRow="1" w:lastRow="0" w:firstColumn="1" w:lastColumn="0" w:noHBand="0" w:noVBand="1"/>
      </w:tblPr>
      <w:tblGrid>
        <w:gridCol w:w="4261"/>
        <w:gridCol w:w="4262"/>
      </w:tblGrid>
      <w:tr w:rsidR="005D495D" w:rsidTr="005D495D">
        <w:tc>
          <w:tcPr>
            <w:tcW w:w="4261" w:type="dxa"/>
          </w:tcPr>
          <w:p w:rsidR="005D495D" w:rsidRDefault="005D495D" w:rsidP="000C39D1">
            <w:pPr>
              <w:pStyle w:val="libFootnote0"/>
              <w:rPr>
                <w:rtl/>
              </w:rPr>
            </w:pPr>
            <w:r>
              <w:rPr>
                <w:rtl/>
              </w:rPr>
              <w:t>(4).</w:t>
            </w:r>
            <w:r w:rsidRPr="00132E65">
              <w:rPr>
                <w:rtl/>
              </w:rPr>
              <w:t xml:space="preserve"> في « ف » </w:t>
            </w:r>
            <w:r>
              <w:rPr>
                <w:rtl/>
              </w:rPr>
              <w:t xml:space="preserve">: - </w:t>
            </w:r>
            <w:r w:rsidRPr="00132E65">
              <w:rPr>
                <w:rtl/>
              </w:rPr>
              <w:t>« تسعة »</w:t>
            </w:r>
            <w:r>
              <w:rPr>
                <w:rtl/>
              </w:rPr>
              <w:t>.</w:t>
            </w:r>
          </w:p>
        </w:tc>
        <w:tc>
          <w:tcPr>
            <w:tcW w:w="4262" w:type="dxa"/>
          </w:tcPr>
          <w:p w:rsidR="005D495D" w:rsidRDefault="005D495D" w:rsidP="000C39D1">
            <w:pPr>
              <w:pStyle w:val="libFootnote0"/>
              <w:rPr>
                <w:rtl/>
              </w:rPr>
            </w:pPr>
            <w:r>
              <w:rPr>
                <w:rtl/>
              </w:rPr>
              <w:t>(5).</w:t>
            </w:r>
            <w:r w:rsidRPr="00132E65">
              <w:rPr>
                <w:rtl/>
              </w:rPr>
              <w:t xml:space="preserve"> في الغيبة للطوسي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fa-IR"/>
        </w:rPr>
      </w:pPr>
      <w:r>
        <w:rPr>
          <w:rtl/>
        </w:rPr>
        <w:t>(6).</w:t>
      </w:r>
      <w:r w:rsidRPr="00132E65">
        <w:rPr>
          <w:rtl/>
        </w:rPr>
        <w:t xml:space="preserve"> في الغيبة للنعماني : « فاستشهدت »</w:t>
      </w:r>
      <w:r>
        <w:rPr>
          <w:rtl/>
        </w:rPr>
        <w:t>.</w:t>
      </w:r>
    </w:p>
    <w:p w:rsidR="000C39D1" w:rsidRPr="00132E65" w:rsidRDefault="000C39D1" w:rsidP="000C39D1">
      <w:pPr>
        <w:pStyle w:val="libFootnote0"/>
        <w:rPr>
          <w:rtl/>
          <w:lang w:bidi="fa-IR"/>
        </w:rPr>
      </w:pPr>
      <w:r>
        <w:rPr>
          <w:rtl/>
        </w:rPr>
        <w:t>(7).</w:t>
      </w:r>
      <w:r w:rsidRPr="00132E65">
        <w:rPr>
          <w:rtl/>
        </w:rPr>
        <w:t xml:space="preserve"> في « بس » وحاشية « بح » : « امّ أسلم »</w:t>
      </w:r>
      <w:r>
        <w:rPr>
          <w:rtl/>
        </w:rPr>
        <w:t>.</w:t>
      </w:r>
      <w:r w:rsidRPr="00132E65">
        <w:rPr>
          <w:rtl/>
        </w:rPr>
        <w:t xml:space="preserve"> وفي العيون والخصال وكمال الدين : « أبي سلمة »</w:t>
      </w:r>
      <w:r>
        <w:rPr>
          <w:rtl/>
        </w:rPr>
        <w:t>.</w:t>
      </w:r>
    </w:p>
    <w:tbl>
      <w:tblPr>
        <w:tblStyle w:val="TableGrid"/>
        <w:bidiVisual/>
        <w:tblW w:w="0" w:type="auto"/>
        <w:tblLook w:val="04A0" w:firstRow="1" w:lastRow="0" w:firstColumn="1" w:lastColumn="0" w:noHBand="0" w:noVBand="1"/>
      </w:tblPr>
      <w:tblGrid>
        <w:gridCol w:w="4261"/>
        <w:gridCol w:w="4262"/>
      </w:tblGrid>
      <w:tr w:rsidR="005E23DD" w:rsidTr="005E23DD">
        <w:tc>
          <w:tcPr>
            <w:tcW w:w="4261" w:type="dxa"/>
          </w:tcPr>
          <w:p w:rsidR="005E23DD" w:rsidRDefault="005E23DD" w:rsidP="000C39D1">
            <w:pPr>
              <w:pStyle w:val="libFootnote0"/>
              <w:rPr>
                <w:rtl/>
              </w:rPr>
            </w:pPr>
            <w:r>
              <w:rPr>
                <w:rtl/>
              </w:rPr>
              <w:t>(8).</w:t>
            </w:r>
            <w:r w:rsidRPr="00132E65">
              <w:rPr>
                <w:rtl/>
              </w:rPr>
              <w:t xml:space="preserve"> في الغيبة للنعماني </w:t>
            </w:r>
            <w:r>
              <w:rPr>
                <w:rtl/>
              </w:rPr>
              <w:t xml:space="preserve">: - </w:t>
            </w:r>
            <w:r w:rsidRPr="00132E65">
              <w:rPr>
                <w:rtl/>
              </w:rPr>
              <w:t>« لي عند معاوية »</w:t>
            </w:r>
            <w:r>
              <w:rPr>
                <w:rtl/>
              </w:rPr>
              <w:t>.</w:t>
            </w:r>
          </w:p>
        </w:tc>
        <w:tc>
          <w:tcPr>
            <w:tcW w:w="4262" w:type="dxa"/>
          </w:tcPr>
          <w:p w:rsidR="005E23DD" w:rsidRDefault="005E23DD" w:rsidP="000C39D1">
            <w:pPr>
              <w:pStyle w:val="libFootnote0"/>
              <w:rPr>
                <w:rtl/>
              </w:rPr>
            </w:pPr>
            <w:r>
              <w:rPr>
                <w:rtl/>
              </w:rPr>
              <w:t>(9).</w:t>
            </w:r>
            <w:r w:rsidRPr="00132E65">
              <w:rPr>
                <w:rtl/>
              </w:rPr>
              <w:t xml:space="preserve"> في الغيبة للنعماني :</w:t>
            </w:r>
            <w:r>
              <w:rPr>
                <w:rtl/>
              </w:rPr>
              <w:t xml:space="preserve"> + </w:t>
            </w:r>
            <w:r w:rsidRPr="00132E65">
              <w:rPr>
                <w:rtl/>
              </w:rPr>
              <w:t>« الفارسي »</w:t>
            </w:r>
            <w:r>
              <w:rPr>
                <w:rtl/>
              </w:rPr>
              <w:t>.</w:t>
            </w:r>
          </w:p>
        </w:tc>
      </w:tr>
    </w:tbl>
    <w:p w:rsidR="000C39D1" w:rsidRPr="00132E65" w:rsidRDefault="000C39D1" w:rsidP="000C39D1">
      <w:pPr>
        <w:pStyle w:val="libFootnote0"/>
        <w:rPr>
          <w:rtl/>
          <w:lang w:bidi="fa-IR"/>
        </w:rPr>
      </w:pPr>
      <w:r>
        <w:rPr>
          <w:rtl/>
        </w:rPr>
        <w:t>(10).</w:t>
      </w:r>
      <w:r w:rsidRPr="00132E65">
        <w:rPr>
          <w:rtl/>
        </w:rPr>
        <w:t xml:space="preserve"> في العيون :</w:t>
      </w:r>
      <w:r>
        <w:rPr>
          <w:rtl/>
        </w:rPr>
        <w:t xml:space="preserve"> + </w:t>
      </w:r>
      <w:r w:rsidRPr="00132E65">
        <w:rPr>
          <w:rtl/>
        </w:rPr>
        <w:t>« وا</w:t>
      </w:r>
      <w:r w:rsidR="005E23DD">
        <w:rPr>
          <w:rFonts w:hint="cs"/>
          <w:rtl/>
        </w:rPr>
        <w:t>ُ</w:t>
      </w:r>
      <w:r w:rsidRPr="00132E65">
        <w:rPr>
          <w:rtl/>
        </w:rPr>
        <w:t>سامة »</w:t>
      </w:r>
      <w:r>
        <w:rPr>
          <w:rtl/>
        </w:rPr>
        <w:t>.</w:t>
      </w:r>
      <w:r w:rsidRPr="00132E65">
        <w:rPr>
          <w:rtl/>
        </w:rPr>
        <w:t xml:space="preserve"> وفي كمال الدين :</w:t>
      </w:r>
      <w:r>
        <w:rPr>
          <w:rtl/>
        </w:rPr>
        <w:t xml:space="preserve"> + </w:t>
      </w:r>
      <w:r w:rsidRPr="00132E65">
        <w:rPr>
          <w:rtl/>
        </w:rPr>
        <w:t>« وا</w:t>
      </w:r>
      <w:r w:rsidR="005E23DD">
        <w:rPr>
          <w:rFonts w:hint="cs"/>
          <w:rtl/>
        </w:rPr>
        <w:t>ُ</w:t>
      </w:r>
      <w:r w:rsidRPr="00132E65">
        <w:rPr>
          <w:rtl/>
        </w:rPr>
        <w:t>سامة بن زيد »</w:t>
      </w:r>
      <w:r>
        <w:rPr>
          <w:rtl/>
        </w:rPr>
        <w:t>.</w:t>
      </w:r>
      <w:r w:rsidRPr="00132E65">
        <w:rPr>
          <w:rtl/>
        </w:rPr>
        <w:t xml:space="preserve"> وفي الغيبة للنعماني : « المقداد وأبي ذرّ »</w:t>
      </w:r>
      <w:r>
        <w:rPr>
          <w:rtl/>
        </w:rPr>
        <w:t>.</w:t>
      </w:r>
    </w:p>
    <w:p w:rsidR="000C39D1" w:rsidRPr="00132E65" w:rsidRDefault="000C39D1" w:rsidP="000C39D1">
      <w:pPr>
        <w:pStyle w:val="libFootnote0"/>
        <w:rPr>
          <w:rtl/>
          <w:lang w:bidi="fa-IR"/>
        </w:rPr>
      </w:pPr>
      <w:r>
        <w:rPr>
          <w:rtl/>
        </w:rPr>
        <w:t>(11).</w:t>
      </w:r>
      <w:r w:rsidRPr="00132E65">
        <w:rPr>
          <w:rtl/>
        </w:rPr>
        <w:t xml:space="preserve"> </w:t>
      </w:r>
      <w:r w:rsidRPr="00DC7D06">
        <w:rPr>
          <w:rtl/>
        </w:rPr>
        <w:t>كتاب سليم بن قيس</w:t>
      </w:r>
      <w:r w:rsidRPr="00132E65">
        <w:rPr>
          <w:rtl/>
        </w:rPr>
        <w:t xml:space="preserve"> ، ص 834 ، ح 42 ، عن أبان ، عن سليم ، مع اختلاف يسير وزيادة. </w:t>
      </w:r>
      <w:r w:rsidRPr="005E23DD">
        <w:rPr>
          <w:rStyle w:val="libFootnoteBoldChar"/>
          <w:rtl/>
        </w:rPr>
        <w:t>الغيبة للنعماني</w:t>
      </w:r>
      <w:r w:rsidRPr="00132E65">
        <w:rPr>
          <w:rtl/>
        </w:rPr>
        <w:t xml:space="preserve"> ، ص 95 ، ح 27 ، عن محمّد بن يعقوب ، عن عليّ بن إبراهيم ، عن أبيه ، عن ابن أبي عمير ، عن ابن ا</w:t>
      </w:r>
      <w:r w:rsidR="005E23DD">
        <w:rPr>
          <w:rFonts w:hint="cs"/>
          <w:rtl/>
        </w:rPr>
        <w:t>ُ</w:t>
      </w:r>
      <w:r w:rsidRPr="00132E65">
        <w:rPr>
          <w:rtl/>
        </w:rPr>
        <w:t xml:space="preserve">ذينة ، عن أبان بن أبي عيّاش ، عن سليم بن قيس الهلالي ؛ </w:t>
      </w:r>
      <w:r w:rsidRPr="005E23DD">
        <w:rPr>
          <w:rStyle w:val="libFootnoteBoldChar"/>
          <w:rtl/>
        </w:rPr>
        <w:t>الغيبة للطوسي</w:t>
      </w:r>
      <w:r w:rsidRPr="00132E65">
        <w:rPr>
          <w:rtl/>
        </w:rPr>
        <w:t xml:space="preserve"> ، ص 137 ، ح 101 ، بسنده عن محمّد بن يعقوب ، عن محمّد بن يحيى ، عن أحمد بن محمّد ، عن ابن أبي عمير</w:t>
      </w:r>
      <w:r>
        <w:rPr>
          <w:rtl/>
        </w:rPr>
        <w:t xml:space="preserve"> ..</w:t>
      </w:r>
      <w:r w:rsidRPr="00132E65">
        <w:rPr>
          <w:rtl/>
        </w:rPr>
        <w:t xml:space="preserve">. ، وأيضاً بطريق آخر عن محمّد بن أبي عمير. </w:t>
      </w:r>
      <w:r w:rsidRPr="005E23DD">
        <w:rPr>
          <w:rStyle w:val="libFootnoteBoldChar"/>
          <w:rtl/>
        </w:rPr>
        <w:t>الخصال</w:t>
      </w:r>
      <w:r w:rsidRPr="00132E65">
        <w:rPr>
          <w:rtl/>
        </w:rPr>
        <w:t xml:space="preserve"> ، ص 477 ، أبواب الإثني عشر ، ح 41 ، بسنده عن حمّاد بن عيسى</w:t>
      </w:r>
      <w:r>
        <w:rPr>
          <w:rtl/>
        </w:rPr>
        <w:t xml:space="preserve"> ..</w:t>
      </w:r>
      <w:r w:rsidRPr="00132E65">
        <w:rPr>
          <w:rtl/>
        </w:rPr>
        <w:t xml:space="preserve">. وأيضاً بطريق آخر عن أحمد بن محمّد بن عيسى. وفي </w:t>
      </w:r>
      <w:r w:rsidRPr="005E23DD">
        <w:rPr>
          <w:rStyle w:val="libFootnoteBoldChar"/>
          <w:rtl/>
        </w:rPr>
        <w:t>عيون الأخبار</w:t>
      </w:r>
      <w:r w:rsidRPr="00132E65">
        <w:rPr>
          <w:rtl/>
        </w:rPr>
        <w:t xml:space="preserve"> ، ج 1 ، ص 47 ، ح 8 ؛ </w:t>
      </w:r>
      <w:r w:rsidRPr="005E23DD">
        <w:rPr>
          <w:rStyle w:val="libFootnoteBoldChar"/>
          <w:rtl/>
        </w:rPr>
        <w:t>وكمال الدين</w:t>
      </w:r>
      <w:r w:rsidRPr="00132E65">
        <w:rPr>
          <w:rtl/>
        </w:rPr>
        <w:t xml:space="preserve"> ، ص 270 ، ح 15 ، بسنده عن أحمد بن محمّد بن عيسى ، عن محمّد بن أبي عمير </w:t>
      </w:r>
      <w:r w:rsidR="005E23DD">
        <w:rPr>
          <w:rFonts w:hint="cs"/>
          <w:rtl/>
        </w:rPr>
        <w:t>.</w:t>
      </w:r>
      <w:r w:rsidRPr="009D1ACE">
        <w:rPr>
          <w:rStyle w:val="libFootnoteBoldChar"/>
          <w:rtl/>
        </w:rPr>
        <w:t>الوافي</w:t>
      </w:r>
      <w:r w:rsidRPr="00132E65">
        <w:rPr>
          <w:rtl/>
        </w:rPr>
        <w:t xml:space="preserve"> ، ج 2 ، ص 302 ، ح 758.</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الْقَاسِمِ ، عَنْ حَيَّانَ السَّرَّاجِ </w:t>
      </w:r>
      <w:r>
        <w:rPr>
          <w:rStyle w:val="libFootnotenumChar"/>
          <w:rtl/>
        </w:rPr>
        <w:t>(1)</w:t>
      </w:r>
      <w:r w:rsidRPr="00132E65">
        <w:rPr>
          <w:rtl/>
          <w:lang w:bidi="fa-IR"/>
        </w:rPr>
        <w:t xml:space="preserve"> ، عَنْ دَاوُدَ بْنِ سُلَيْمَانَ الْكِسَائِيِّ </w:t>
      </w:r>
      <w:r>
        <w:rPr>
          <w:rStyle w:val="libFootnotenumChar"/>
          <w:rtl/>
        </w:rPr>
        <w:t>(2)</w:t>
      </w:r>
      <w:r w:rsidRPr="00132E65">
        <w:rPr>
          <w:rtl/>
          <w:lang w:bidi="fa-IR"/>
        </w:rPr>
        <w:t xml:space="preserve"> ، عَنْ أَبِي الطُّفَيْلِ ، قَالَ :</w:t>
      </w:r>
    </w:p>
    <w:p w:rsidR="000C39D1" w:rsidRPr="00132E65" w:rsidRDefault="000C39D1" w:rsidP="000C39D1">
      <w:pPr>
        <w:pStyle w:val="libNormal"/>
        <w:rPr>
          <w:rtl/>
          <w:lang w:bidi="fa-IR"/>
        </w:rPr>
      </w:pPr>
      <w:r w:rsidRPr="00132E65">
        <w:rPr>
          <w:rtl/>
          <w:lang w:bidi="fa-IR"/>
        </w:rPr>
        <w:t>شَهِدْتُ جِنَازَةَ أَبِي بَكْرٍ يَوْمَ مَاتَ ، و</w:t>
      </w:r>
      <w:r w:rsidR="005E23DD">
        <w:rPr>
          <w:rFonts w:hint="cs"/>
          <w:rtl/>
          <w:lang w:bidi="fa-IR"/>
        </w:rPr>
        <w:t>َ</w:t>
      </w:r>
      <w:r w:rsidRPr="00132E65">
        <w:rPr>
          <w:rtl/>
          <w:lang w:bidi="fa-IR"/>
        </w:rPr>
        <w:t>شَهِدْتُ عُمَرَ حِينَ بُويِعَ و</w:t>
      </w:r>
      <w:r w:rsidR="005E23DD">
        <w:rPr>
          <w:rFonts w:hint="cs"/>
          <w:rtl/>
          <w:lang w:bidi="fa-IR"/>
        </w:rPr>
        <w:t>َ</w:t>
      </w:r>
      <w:r w:rsidRPr="00132E65">
        <w:rPr>
          <w:rtl/>
          <w:lang w:bidi="fa-IR"/>
        </w:rPr>
        <w:t xml:space="preserve">عَلِيٌّ </w:t>
      </w:r>
      <w:r w:rsidRPr="00071CF9">
        <w:rPr>
          <w:rStyle w:val="libAlaemChar"/>
          <w:rtl/>
        </w:rPr>
        <w:t>عليه‌السلام</w:t>
      </w:r>
      <w:r w:rsidRPr="00132E65">
        <w:rPr>
          <w:rtl/>
          <w:lang w:bidi="fa-IR"/>
        </w:rPr>
        <w:t xml:space="preserve"> جَالِسٌ نَاحِيَةً ، فَأَقْبَلَ غُلَامٌ يَهُودِيٌّ جَمِيلُ الْوَجْهِ </w:t>
      </w:r>
      <w:r>
        <w:rPr>
          <w:rStyle w:val="libFootnotenumChar"/>
          <w:rtl/>
        </w:rPr>
        <w:t>(3)</w:t>
      </w:r>
      <w:r w:rsidRPr="00132E65">
        <w:rPr>
          <w:rtl/>
          <w:lang w:bidi="fa-IR"/>
        </w:rPr>
        <w:t xml:space="preserve"> ، بَهِيٌّ </w:t>
      </w:r>
      <w:r>
        <w:rPr>
          <w:rStyle w:val="libFootnotenumChar"/>
          <w:rtl/>
        </w:rPr>
        <w:t>(4)</w:t>
      </w:r>
      <w:r w:rsidRPr="00132E65">
        <w:rPr>
          <w:rtl/>
          <w:lang w:bidi="fa-IR"/>
        </w:rPr>
        <w:t xml:space="preserve"> ، عَلَيْهِ ثِيَابٌ حِسَانٌ و</w:t>
      </w:r>
      <w:r w:rsidR="005E23DD">
        <w:rPr>
          <w:rFonts w:hint="cs"/>
          <w:rtl/>
          <w:lang w:bidi="fa-IR"/>
        </w:rPr>
        <w:t>َ</w:t>
      </w:r>
      <w:r w:rsidRPr="00132E65">
        <w:rPr>
          <w:rtl/>
          <w:lang w:bidi="fa-IR"/>
        </w:rPr>
        <w:t>هُوَ مِنْ و</w:t>
      </w:r>
      <w:r w:rsidR="005E23DD">
        <w:rPr>
          <w:rFonts w:hint="cs"/>
          <w:rtl/>
          <w:lang w:bidi="fa-IR"/>
        </w:rPr>
        <w:t>ُ</w:t>
      </w:r>
      <w:r w:rsidRPr="00132E65">
        <w:rPr>
          <w:rtl/>
          <w:lang w:bidi="fa-IR"/>
        </w:rPr>
        <w:t>لْدِ هَارُونَ حَتّى قَامَ عَلى رَأْسِ عُمَرَ ، فَقَالَ : يَا أَمِيرَ الْمُؤْمِنِينَ ، أَنْتَ أَعْلَمُ هذِهِ الْأُمَّةِ بِكِتَابِهِمْ وَأَمْرِ نَبِيِّهِمْ</w:t>
      </w:r>
      <w:r>
        <w:rPr>
          <w:rtl/>
          <w:lang w:bidi="fa-IR"/>
        </w:rPr>
        <w:t>؟</w:t>
      </w:r>
      <w:r w:rsidRPr="00132E65">
        <w:rPr>
          <w:rtl/>
          <w:lang w:bidi="fa-IR"/>
        </w:rPr>
        <w:t xml:space="preserve"> قَالَ : فَطَأْطَأَ عُمَرُ رَأْسَهُ ، فَقَالَ : إِيَّاكَ أَعْنِي ، و</w:t>
      </w:r>
      <w:r w:rsidR="005E23DD">
        <w:rPr>
          <w:rFonts w:hint="cs"/>
          <w:rtl/>
          <w:lang w:bidi="fa-IR"/>
        </w:rPr>
        <w:t>َ</w:t>
      </w:r>
      <w:r w:rsidRPr="00132E65">
        <w:rPr>
          <w:rtl/>
          <w:lang w:bidi="fa-IR"/>
        </w:rPr>
        <w:t xml:space="preserve">أَعَادَ عَلَيْهِ الْقَوْلَ ، فَقَالَ لَهُ عُمَرُ : لِمَ ذَاكَ </w:t>
      </w:r>
      <w:r>
        <w:rPr>
          <w:rStyle w:val="libFootnotenumChar"/>
          <w:rtl/>
        </w:rPr>
        <w:t>(5)</w:t>
      </w:r>
      <w:r>
        <w:rPr>
          <w:rtl/>
          <w:lang w:bidi="fa-IR"/>
        </w:rPr>
        <w:t>؟</w:t>
      </w:r>
      <w:r w:rsidRPr="00132E65">
        <w:rPr>
          <w:rtl/>
          <w:lang w:bidi="fa-IR"/>
        </w:rPr>
        <w:t xml:space="preserve"> قَالَ </w:t>
      </w:r>
      <w:r>
        <w:rPr>
          <w:rStyle w:val="libFootnotenumChar"/>
          <w:rtl/>
        </w:rPr>
        <w:t>(6)</w:t>
      </w:r>
      <w:r w:rsidRPr="00132E65">
        <w:rPr>
          <w:rtl/>
          <w:lang w:bidi="fa-IR"/>
        </w:rPr>
        <w:t xml:space="preserve"> : إِنِّي جِئْتُكَ مُرْتَاداً </w:t>
      </w:r>
      <w:r>
        <w:rPr>
          <w:rStyle w:val="libFootnotenumChar"/>
          <w:rtl/>
        </w:rPr>
        <w:t>(7)</w:t>
      </w:r>
      <w:r w:rsidRPr="00132E65">
        <w:rPr>
          <w:rtl/>
          <w:lang w:bidi="fa-IR"/>
        </w:rPr>
        <w:t xml:space="preserve"> لِنَفْسِي ، شَاكّاً فِي دِينِي ، فَقَالَ : دُونَكَ هذَا الشَّابَّ ، قَالَ : ومَنْ هذَا الشَّابُّ</w:t>
      </w:r>
      <w:r>
        <w:rPr>
          <w:rtl/>
          <w:lang w:bidi="fa-IR"/>
        </w:rPr>
        <w:t>؟</w:t>
      </w:r>
      <w:r w:rsidRPr="00132E65">
        <w:rPr>
          <w:rtl/>
          <w:lang w:bidi="fa-IR"/>
        </w:rPr>
        <w:t xml:space="preserve"> قَالَ : هذَا عَلِيُّ بْنُ أَبِي طَالِبٍ ابْنُ عَمِّ رَسُولِ اللهِ ، وَهذَا </w:t>
      </w:r>
      <w:r>
        <w:rPr>
          <w:rStyle w:val="libFootnotenumChar"/>
          <w:rtl/>
        </w:rPr>
        <w:t>(8)</w:t>
      </w:r>
      <w:r w:rsidRPr="00132E65">
        <w:rPr>
          <w:rtl/>
          <w:lang w:bidi="fa-IR"/>
        </w:rPr>
        <w:t xml:space="preserve"> أَبُو الْحَسَنِ والْحُسَيْنِ ابْنَيْ رَسُولِ اللهِ ، وهذَا زَوْجُ فَاطِمَةَ بِنْتِ رَسُولِ اللهِ.</w:t>
      </w:r>
    </w:p>
    <w:p w:rsidR="000C39D1" w:rsidRPr="00132E65" w:rsidRDefault="000C39D1" w:rsidP="000C39D1">
      <w:pPr>
        <w:pStyle w:val="libNormal"/>
        <w:rPr>
          <w:rtl/>
          <w:lang w:bidi="fa-IR"/>
        </w:rPr>
      </w:pPr>
      <w:r w:rsidRPr="00132E65">
        <w:rPr>
          <w:rtl/>
          <w:lang w:bidi="fa-IR"/>
        </w:rPr>
        <w:t xml:space="preserve">فَأَقْبَلَ الْيَهُودِيُّ عَلى عَلِيٍّ </w:t>
      </w:r>
      <w:r w:rsidRPr="00071CF9">
        <w:rPr>
          <w:rStyle w:val="libAlaemChar"/>
          <w:rtl/>
        </w:rPr>
        <w:t>عليه‌السلام</w:t>
      </w:r>
      <w:r>
        <w:rPr>
          <w:rtl/>
          <w:lang w:bidi="fa-IR"/>
        </w:rPr>
        <w:t xml:space="preserve"> ، فَقَالَ : أَ</w:t>
      </w:r>
      <w:r w:rsidRPr="00132E65">
        <w:rPr>
          <w:rtl/>
          <w:lang w:bidi="fa-IR"/>
        </w:rPr>
        <w:t xml:space="preserve">كَذَاكَ </w:t>
      </w:r>
      <w:r>
        <w:rPr>
          <w:rStyle w:val="libFootnotenumChar"/>
          <w:rtl/>
        </w:rPr>
        <w:t>(9)</w:t>
      </w:r>
      <w:r w:rsidRPr="00132E65">
        <w:rPr>
          <w:rtl/>
          <w:lang w:bidi="fa-IR"/>
        </w:rPr>
        <w:t xml:space="preserve"> أَنْتَ</w:t>
      </w:r>
      <w:r>
        <w:rPr>
          <w:rtl/>
          <w:lang w:bidi="fa-IR"/>
        </w:rPr>
        <w:t>؟</w:t>
      </w:r>
      <w:r w:rsidRPr="00132E65">
        <w:rPr>
          <w:rtl/>
          <w:lang w:bidi="fa-IR"/>
        </w:rPr>
        <w:t xml:space="preserve"> قَالَ : « نَعَمْ »</w:t>
      </w:r>
      <w:r>
        <w:rPr>
          <w:rtl/>
          <w:lang w:bidi="fa-IR"/>
        </w:rPr>
        <w:t>.</w:t>
      </w:r>
    </w:p>
    <w:p w:rsidR="000C39D1" w:rsidRPr="00132E65" w:rsidRDefault="000C39D1" w:rsidP="000C39D1">
      <w:pPr>
        <w:pStyle w:val="libNormal"/>
        <w:rPr>
          <w:rtl/>
          <w:lang w:bidi="fa-IR"/>
        </w:rPr>
      </w:pPr>
      <w:r w:rsidRPr="00132E65">
        <w:rPr>
          <w:rtl/>
          <w:lang w:bidi="fa-IR"/>
        </w:rPr>
        <w:t>قَالَ : إِنِّي أُرِيدُ أَنْ أَسْأَلَكَ عَنْ ثَلَاثٍ و</w:t>
      </w:r>
      <w:r w:rsidR="005E23DD">
        <w:rPr>
          <w:rFonts w:hint="cs"/>
          <w:rtl/>
          <w:lang w:bidi="fa-IR"/>
        </w:rPr>
        <w:t>َ</w:t>
      </w:r>
      <w:r w:rsidRPr="00132E65">
        <w:rPr>
          <w:rtl/>
          <w:lang w:bidi="fa-IR"/>
        </w:rPr>
        <w:t>ثَلَاثٍ و</w:t>
      </w:r>
      <w:r w:rsidR="005E23DD">
        <w:rPr>
          <w:rFonts w:hint="cs"/>
          <w:rtl/>
          <w:lang w:bidi="fa-IR"/>
        </w:rPr>
        <w:t xml:space="preserve">َ </w:t>
      </w:r>
      <w:r w:rsidR="005E23DD">
        <w:rPr>
          <w:rtl/>
          <w:lang w:bidi="fa-IR"/>
        </w:rPr>
        <w:t>و</w:t>
      </w:r>
      <w:r w:rsidR="005E23DD">
        <w:rPr>
          <w:rFonts w:hint="cs"/>
          <w:rtl/>
          <w:lang w:bidi="fa-IR"/>
        </w:rPr>
        <w:t>َ</w:t>
      </w:r>
      <w:r w:rsidRPr="00132E65">
        <w:rPr>
          <w:rtl/>
          <w:lang w:bidi="fa-IR"/>
        </w:rPr>
        <w:t>احِدَةٍ ، قَالَ : فَتَبَسَّمَ‌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بف ، جر » و</w:t>
      </w:r>
      <w:r w:rsidRPr="009D1ACE">
        <w:rPr>
          <w:rStyle w:val="libFootnoteBoldChar"/>
          <w:rtl/>
        </w:rPr>
        <w:t>الوافي</w:t>
      </w:r>
      <w:r w:rsidRPr="00132E65">
        <w:rPr>
          <w:rtl/>
        </w:rPr>
        <w:t>. وفي « ب » : « حنان ابن السرّاج »</w:t>
      </w:r>
      <w:r>
        <w:rPr>
          <w:rtl/>
        </w:rPr>
        <w:t>.</w:t>
      </w:r>
      <w:r w:rsidRPr="00132E65">
        <w:rPr>
          <w:rtl/>
        </w:rPr>
        <w:t xml:space="preserve"> وفي « ج ، ض ، بح ، بر » والمطبوع : « حنان بن السرّاج »</w:t>
      </w:r>
      <w:r>
        <w:rPr>
          <w:rtl/>
        </w:rPr>
        <w:t>.</w:t>
      </w:r>
      <w:r w:rsidRPr="00132E65">
        <w:rPr>
          <w:rtl/>
        </w:rPr>
        <w:t xml:space="preserve"> وفي « ف » : « حسّان بن السرّاج »</w:t>
      </w:r>
      <w:r>
        <w:rPr>
          <w:rtl/>
        </w:rPr>
        <w:t>.</w:t>
      </w:r>
      <w:r w:rsidRPr="00132E65">
        <w:rPr>
          <w:rtl/>
        </w:rPr>
        <w:t xml:space="preserve"> وفي « بس » : « حنان بن سدير السرّاج »</w:t>
      </w:r>
      <w:r>
        <w:rPr>
          <w:rtl/>
        </w:rPr>
        <w:t>.</w:t>
      </w:r>
    </w:p>
    <w:p w:rsidR="000C39D1" w:rsidRPr="00132E65" w:rsidRDefault="000C39D1" w:rsidP="000C39D1">
      <w:pPr>
        <w:pStyle w:val="libFootnote0"/>
        <w:rPr>
          <w:rtl/>
          <w:lang w:bidi="fa-IR"/>
        </w:rPr>
      </w:pPr>
      <w:r w:rsidRPr="00F24C1F">
        <w:rPr>
          <w:rtl/>
        </w:rPr>
        <w:t xml:space="preserve">والصواب ما أثبتناه ، فإنّ حيّان السرّاج هو المذكور في كتب الرجال. راجع : </w:t>
      </w:r>
      <w:r w:rsidRPr="005E23DD">
        <w:rPr>
          <w:rStyle w:val="libFootnoteBoldChar"/>
          <w:rtl/>
        </w:rPr>
        <w:t>رجال الكشّي</w:t>
      </w:r>
      <w:r w:rsidRPr="00F24C1F">
        <w:rPr>
          <w:rtl/>
        </w:rPr>
        <w:t xml:space="preserve"> ، ص 314 ، الرقمين 568 </w:t>
      </w:r>
      <w:r>
        <w:rPr>
          <w:rtl/>
        </w:rPr>
        <w:t>و 5</w:t>
      </w:r>
      <w:r w:rsidRPr="00F24C1F">
        <w:rPr>
          <w:rtl/>
        </w:rPr>
        <w:t xml:space="preserve">69 ؛ وص 315 ، الرقم 570 ؛ وص 459 ، الرقم 871 ؛ </w:t>
      </w:r>
      <w:r w:rsidRPr="005E23DD">
        <w:rPr>
          <w:rStyle w:val="libFootnoteBoldChar"/>
          <w:rtl/>
        </w:rPr>
        <w:t>رجال ابن داود</w:t>
      </w:r>
      <w:r w:rsidRPr="00F24C1F">
        <w:rPr>
          <w:rtl/>
        </w:rPr>
        <w:t xml:space="preserve"> ، ص 451 ، الرقم 164 ؛ </w:t>
      </w:r>
      <w:r w:rsidRPr="005E23DD">
        <w:rPr>
          <w:rStyle w:val="libFootnoteBoldChar"/>
          <w:rtl/>
        </w:rPr>
        <w:t>خلاصة الأقوال</w:t>
      </w:r>
      <w:r w:rsidRPr="00F24C1F">
        <w:rPr>
          <w:rtl/>
        </w:rPr>
        <w:t xml:space="preserve"> ، ص 219 ، الرقم 5.</w:t>
      </w:r>
    </w:p>
    <w:p w:rsidR="000C39D1" w:rsidRPr="00132E65" w:rsidRDefault="000C39D1" w:rsidP="000C39D1">
      <w:pPr>
        <w:pStyle w:val="libFootnote0"/>
        <w:rPr>
          <w:rtl/>
          <w:lang w:bidi="fa-IR"/>
        </w:rPr>
      </w:pPr>
      <w:r>
        <w:rPr>
          <w:rtl/>
        </w:rPr>
        <w:t>(2).</w:t>
      </w:r>
      <w:r w:rsidRPr="00132E65">
        <w:rPr>
          <w:rtl/>
        </w:rPr>
        <w:t xml:space="preserve"> في « بس » : « الكناسي »</w:t>
      </w:r>
      <w:r>
        <w:rPr>
          <w:rtl/>
        </w:rPr>
        <w:t>.</w:t>
      </w:r>
      <w:r w:rsidRPr="00132E65">
        <w:rPr>
          <w:rtl/>
        </w:rPr>
        <w:t xml:space="preserve"> وفي كمال الدين : « الغسّاني »</w:t>
      </w:r>
      <w:r>
        <w:rPr>
          <w:rtl/>
        </w:rPr>
        <w:t>.</w:t>
      </w:r>
    </w:p>
    <w:p w:rsidR="000C39D1" w:rsidRPr="00132E65" w:rsidRDefault="000C39D1" w:rsidP="000C39D1">
      <w:pPr>
        <w:pStyle w:val="libFootnote0"/>
        <w:rPr>
          <w:rtl/>
          <w:lang w:bidi="fa-IR"/>
        </w:rPr>
      </w:pPr>
      <w:r>
        <w:rPr>
          <w:rtl/>
        </w:rPr>
        <w:t>(3).</w:t>
      </w:r>
      <w:r w:rsidRPr="00132E65">
        <w:rPr>
          <w:rtl/>
        </w:rPr>
        <w:t xml:space="preserve"> في « ج ، ض ، ف ، بح ، بس » </w:t>
      </w:r>
      <w:r>
        <w:rPr>
          <w:rtl/>
        </w:rPr>
        <w:t xml:space="preserve">: - </w:t>
      </w:r>
      <w:r w:rsidRPr="00132E65">
        <w:rPr>
          <w:rtl/>
        </w:rPr>
        <w:t>« الوجه »</w:t>
      </w:r>
      <w:r>
        <w:rPr>
          <w:rtl/>
        </w:rPr>
        <w:t>.</w:t>
      </w:r>
    </w:p>
    <w:p w:rsidR="000C39D1" w:rsidRPr="00132E65" w:rsidRDefault="000C39D1" w:rsidP="000C39D1">
      <w:pPr>
        <w:pStyle w:val="libFootnote0"/>
        <w:rPr>
          <w:rtl/>
          <w:lang w:bidi="fa-IR"/>
        </w:rPr>
      </w:pPr>
      <w:r>
        <w:rPr>
          <w:rtl/>
        </w:rPr>
        <w:t>(4).</w:t>
      </w:r>
      <w:r w:rsidRPr="00132E65">
        <w:rPr>
          <w:rtl/>
        </w:rPr>
        <w:t xml:space="preserve"> في كمال الدين </w:t>
      </w:r>
      <w:r>
        <w:rPr>
          <w:rtl/>
        </w:rPr>
        <w:t xml:space="preserve">: - </w:t>
      </w:r>
      <w:r w:rsidRPr="00132E65">
        <w:rPr>
          <w:rtl/>
        </w:rPr>
        <w:t>« جميل الوجه بهيّ »</w:t>
      </w:r>
      <w:r>
        <w:rPr>
          <w:rtl/>
        </w:rPr>
        <w:t>.</w:t>
      </w:r>
      <w:r w:rsidRPr="00132E65">
        <w:rPr>
          <w:rtl/>
        </w:rPr>
        <w:t xml:space="preserve"> </w:t>
      </w:r>
      <w:r>
        <w:rPr>
          <w:rtl/>
        </w:rPr>
        <w:t>و «</w:t>
      </w:r>
      <w:r w:rsidRPr="00132E65">
        <w:rPr>
          <w:rtl/>
        </w:rPr>
        <w:t xml:space="preserve"> البهاء » : الحُسْن والجمال. يقال : بها يبهو ، إذا جَمُلَ فهو بهيٌّ فعيل بمعنى فاعل. ويكون البهاء حُسن الهيئة. </w:t>
      </w:r>
      <w:r w:rsidRPr="005E23DD">
        <w:rPr>
          <w:rStyle w:val="libFootnoteBoldChar"/>
          <w:rtl/>
        </w:rPr>
        <w:t>المصباح المنير</w:t>
      </w:r>
      <w:r w:rsidRPr="00132E65">
        <w:rPr>
          <w:rtl/>
        </w:rPr>
        <w:t xml:space="preserve"> ، ص 65 ( بهو )</w:t>
      </w:r>
      <w:r>
        <w:rPr>
          <w:rtl/>
        </w:rPr>
        <w:t>.</w:t>
      </w:r>
    </w:p>
    <w:p w:rsidR="000C39D1" w:rsidRPr="00132E65" w:rsidRDefault="000C39D1" w:rsidP="000C39D1">
      <w:pPr>
        <w:pStyle w:val="libFootnote0"/>
        <w:rPr>
          <w:rtl/>
          <w:lang w:bidi="fa-IR"/>
        </w:rPr>
      </w:pPr>
      <w:r>
        <w:rPr>
          <w:rtl/>
        </w:rPr>
        <w:t>(5).</w:t>
      </w:r>
      <w:r w:rsidRPr="00132E65">
        <w:rPr>
          <w:rtl/>
        </w:rPr>
        <w:t xml:space="preserve"> في « ف » : « ثمّ ذاك »</w:t>
      </w:r>
      <w:r>
        <w:rPr>
          <w:rtl/>
        </w:rPr>
        <w:t>.</w:t>
      </w:r>
      <w:r w:rsidRPr="00132E65">
        <w:rPr>
          <w:rtl/>
        </w:rPr>
        <w:t xml:space="preserve"> وفي « بر » </w:t>
      </w:r>
      <w:r>
        <w:rPr>
          <w:rtl/>
        </w:rPr>
        <w:t xml:space="preserve">: - </w:t>
      </w:r>
      <w:r w:rsidRPr="00132E65">
        <w:rPr>
          <w:rtl/>
        </w:rPr>
        <w:t>« لم »</w:t>
      </w:r>
      <w:r>
        <w:rPr>
          <w:rtl/>
        </w:rPr>
        <w:t>.</w:t>
      </w:r>
      <w:r w:rsidRPr="00132E65">
        <w:rPr>
          <w:rtl/>
        </w:rPr>
        <w:t xml:space="preserve"> وفي </w:t>
      </w:r>
      <w:r w:rsidRPr="009D1ACE">
        <w:rPr>
          <w:rStyle w:val="libFootnoteBoldChar"/>
          <w:rtl/>
        </w:rPr>
        <w:t>الوافي</w:t>
      </w:r>
      <w:r w:rsidRPr="00132E65">
        <w:rPr>
          <w:rtl/>
        </w:rPr>
        <w:t xml:space="preserve"> : « لم ذاك ، أي لم تسألني عن هذا »</w:t>
      </w:r>
      <w:r>
        <w:rPr>
          <w:rtl/>
        </w:rPr>
        <w:t>.</w:t>
      </w:r>
    </w:p>
    <w:p w:rsidR="000C39D1" w:rsidRPr="00132E65" w:rsidRDefault="000C39D1" w:rsidP="000C39D1">
      <w:pPr>
        <w:pStyle w:val="libFootnote0"/>
        <w:rPr>
          <w:rtl/>
          <w:lang w:bidi="fa-IR"/>
        </w:rPr>
      </w:pPr>
      <w:r>
        <w:rPr>
          <w:rtl/>
        </w:rPr>
        <w:t>(6).</w:t>
      </w:r>
      <w:r w:rsidRPr="00132E65">
        <w:rPr>
          <w:rtl/>
        </w:rPr>
        <w:t xml:space="preserve"> في كمال الدين : « ما شأنك فقال » بدل « لم ذاك قال »</w:t>
      </w:r>
      <w:r>
        <w:rPr>
          <w:rtl/>
        </w:rPr>
        <w:t>.</w:t>
      </w:r>
    </w:p>
    <w:p w:rsidR="000C39D1" w:rsidRPr="00132E65" w:rsidRDefault="000C39D1" w:rsidP="000C39D1">
      <w:pPr>
        <w:pStyle w:val="libFootnote0"/>
        <w:rPr>
          <w:rtl/>
          <w:lang w:bidi="fa-IR"/>
        </w:rPr>
      </w:pPr>
      <w:r>
        <w:rPr>
          <w:rtl/>
        </w:rPr>
        <w:t>(7).</w:t>
      </w:r>
      <w:r w:rsidRPr="00132E65">
        <w:rPr>
          <w:rtl/>
        </w:rPr>
        <w:t xml:space="preserve"> ارتاد الرجل الشي‌ء : طلبه. أي طالباً لنفسي ما فيه صلاحها من أمر الدين. راجع : </w:t>
      </w:r>
      <w:r w:rsidRPr="005E23DD">
        <w:rPr>
          <w:rStyle w:val="libFootnoteBoldChar"/>
          <w:rtl/>
        </w:rPr>
        <w:t>المصباح المنير</w:t>
      </w:r>
      <w:r w:rsidR="005E23DD">
        <w:rPr>
          <w:rtl/>
        </w:rPr>
        <w:t xml:space="preserve"> ، ص 245 (رود</w:t>
      </w:r>
      <w:r w:rsidRPr="00132E65">
        <w:rPr>
          <w:rtl/>
        </w:rPr>
        <w:t>)</w:t>
      </w:r>
      <w:r>
        <w:rPr>
          <w:rtl/>
        </w:rPr>
        <w:t>.</w:t>
      </w:r>
    </w:p>
    <w:p w:rsidR="000C39D1" w:rsidRPr="00132E65" w:rsidRDefault="000C39D1" w:rsidP="000C39D1">
      <w:pPr>
        <w:pStyle w:val="libFootnote0"/>
        <w:rPr>
          <w:rtl/>
          <w:lang w:bidi="fa-IR"/>
        </w:rPr>
      </w:pPr>
      <w:r>
        <w:rPr>
          <w:rtl/>
        </w:rPr>
        <w:t>(8).</w:t>
      </w:r>
      <w:r w:rsidRPr="00132E65">
        <w:rPr>
          <w:rtl/>
        </w:rPr>
        <w:t xml:space="preserve"> في كمال الدين : « هو »</w:t>
      </w:r>
      <w:r>
        <w:rPr>
          <w:rtl/>
        </w:rPr>
        <w:t>.</w:t>
      </w:r>
    </w:p>
    <w:p w:rsidR="000C39D1" w:rsidRPr="00132E65" w:rsidRDefault="000C39D1" w:rsidP="000C39D1">
      <w:pPr>
        <w:pStyle w:val="libFootnote0"/>
        <w:rPr>
          <w:rtl/>
          <w:lang w:bidi="fa-IR"/>
        </w:rPr>
      </w:pPr>
      <w:r>
        <w:rPr>
          <w:rtl/>
        </w:rPr>
        <w:t>(9).</w:t>
      </w:r>
      <w:r w:rsidRPr="00132E65">
        <w:rPr>
          <w:rtl/>
        </w:rPr>
        <w:t xml:space="preserve"> في « بر » وحاشية « ج » و</w:t>
      </w:r>
      <w:r w:rsidRPr="009D1ACE">
        <w:rPr>
          <w:rStyle w:val="libFootnoteBoldChar"/>
          <w:rtl/>
        </w:rPr>
        <w:t>الوافي</w:t>
      </w:r>
      <w:r>
        <w:rPr>
          <w:rtl/>
        </w:rPr>
        <w:t xml:space="preserve"> وكمال الدين والبحار : « أ</w:t>
      </w:r>
      <w:r w:rsidRPr="00132E65">
        <w:rPr>
          <w:rtl/>
        </w:rPr>
        <w:t>كذلك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أَمِيرُ الْمُؤْمِنِينَ </w:t>
      </w:r>
      <w:r w:rsidRPr="00071CF9">
        <w:rPr>
          <w:rStyle w:val="libAlaemChar"/>
          <w:rtl/>
        </w:rPr>
        <w:t>عليه‌السلام</w:t>
      </w:r>
      <w:r w:rsidRPr="00132E65">
        <w:rPr>
          <w:rtl/>
          <w:lang w:bidi="fa-IR"/>
        </w:rPr>
        <w:t xml:space="preserve"> مِنْ غَيْرِ تَبَسُّمٍ </w:t>
      </w:r>
      <w:r>
        <w:rPr>
          <w:rStyle w:val="libFootnotenumChar"/>
          <w:rtl/>
        </w:rPr>
        <w:t>(1)</w:t>
      </w:r>
      <w:r w:rsidRPr="00132E65">
        <w:rPr>
          <w:rtl/>
          <w:lang w:bidi="fa-IR"/>
        </w:rPr>
        <w:t xml:space="preserve"> ، و</w:t>
      </w:r>
      <w:r w:rsidR="005E23DD">
        <w:rPr>
          <w:rFonts w:hint="cs"/>
          <w:rtl/>
          <w:lang w:bidi="fa-IR"/>
        </w:rPr>
        <w:t>َ</w:t>
      </w:r>
      <w:r w:rsidRPr="00132E65">
        <w:rPr>
          <w:rtl/>
          <w:lang w:bidi="fa-IR"/>
        </w:rPr>
        <w:t xml:space="preserve">قَالَ </w:t>
      </w:r>
      <w:r>
        <w:rPr>
          <w:rStyle w:val="libFootnotenumChar"/>
          <w:rtl/>
        </w:rPr>
        <w:t>(2)</w:t>
      </w:r>
      <w:r w:rsidRPr="00132E65">
        <w:rPr>
          <w:rtl/>
          <w:lang w:bidi="fa-IR"/>
        </w:rPr>
        <w:t xml:space="preserve"> : « يَا هَارُونِيُّ ، مَا مَنَعَكَ أَنْ </w:t>
      </w:r>
      <w:r>
        <w:rPr>
          <w:rStyle w:val="libFootnotenumChar"/>
          <w:rtl/>
        </w:rPr>
        <w:t>(3)</w:t>
      </w:r>
      <w:r w:rsidRPr="00132E65">
        <w:rPr>
          <w:rtl/>
          <w:lang w:bidi="fa-IR"/>
        </w:rPr>
        <w:t xml:space="preserve"> تَقُولَ سَبْعاً</w:t>
      </w:r>
      <w:r>
        <w:rPr>
          <w:rtl/>
          <w:lang w:bidi="fa-IR"/>
        </w:rPr>
        <w:t>؟</w:t>
      </w:r>
      <w:r w:rsidRPr="00132E65">
        <w:rPr>
          <w:rtl/>
          <w:lang w:bidi="fa-IR"/>
        </w:rPr>
        <w:t xml:space="preserve"> » قَالَ </w:t>
      </w:r>
      <w:r>
        <w:rPr>
          <w:rStyle w:val="libFootnotenumChar"/>
          <w:rtl/>
        </w:rPr>
        <w:t>(4)</w:t>
      </w:r>
      <w:r w:rsidRPr="00132E65">
        <w:rPr>
          <w:rtl/>
          <w:lang w:bidi="fa-IR"/>
        </w:rPr>
        <w:t xml:space="preserve"> : أَسْأَلُكَ عَنْ ثَلَاثٍ ، فَإِنْ أَجَبْتَنِي سَأَلْتُ </w:t>
      </w:r>
      <w:r>
        <w:rPr>
          <w:rStyle w:val="libFootnotenumChar"/>
          <w:rtl/>
        </w:rPr>
        <w:t>(5)</w:t>
      </w:r>
      <w:r w:rsidRPr="00132E65">
        <w:rPr>
          <w:rtl/>
          <w:lang w:bidi="fa-IR"/>
        </w:rPr>
        <w:t xml:space="preserve"> عَمَّا بَعْدَهُنَّ ، و</w:t>
      </w:r>
      <w:r w:rsidR="005E23DD">
        <w:rPr>
          <w:rFonts w:hint="cs"/>
          <w:rtl/>
          <w:lang w:bidi="fa-IR"/>
        </w:rPr>
        <w:t>َ</w:t>
      </w:r>
      <w:r w:rsidRPr="00132E65">
        <w:rPr>
          <w:rtl/>
          <w:lang w:bidi="fa-IR"/>
        </w:rPr>
        <w:t xml:space="preserve">إِنْ لَمْ تَعْلَمْهُنَّ عَلِمْتُ أَنَّهُ </w:t>
      </w:r>
      <w:r>
        <w:rPr>
          <w:rStyle w:val="libFootnotenumChar"/>
          <w:rtl/>
        </w:rPr>
        <w:t>(6)</w:t>
      </w:r>
      <w:r w:rsidRPr="00132E65">
        <w:rPr>
          <w:rtl/>
          <w:lang w:bidi="fa-IR"/>
        </w:rPr>
        <w:t xml:space="preserve"> لَيْسَ فِيكُمْ عَالِمٌ </w:t>
      </w:r>
      <w:r>
        <w:rPr>
          <w:rStyle w:val="libFootnotenumChar"/>
          <w:rtl/>
        </w:rPr>
        <w:t>(7)</w:t>
      </w:r>
      <w:r w:rsidR="005E23DD" w:rsidRPr="005E23DD">
        <w:rPr>
          <w:rStyle w:val="libNormalChar"/>
          <w:rFonts w:hint="cs"/>
          <w:rtl/>
        </w:rPr>
        <w:t>.</w:t>
      </w:r>
    </w:p>
    <w:p w:rsidR="000C39D1" w:rsidRPr="00132E65" w:rsidRDefault="000C39D1" w:rsidP="000C39D1">
      <w:pPr>
        <w:pStyle w:val="libNormal"/>
        <w:rPr>
          <w:rtl/>
          <w:lang w:bidi="fa-IR"/>
        </w:rPr>
      </w:pPr>
      <w:r w:rsidRPr="00132E65">
        <w:rPr>
          <w:rtl/>
          <w:lang w:bidi="fa-IR"/>
        </w:rPr>
        <w:t xml:space="preserve">قَالَ عَلِيٌّ </w:t>
      </w:r>
      <w:r w:rsidRPr="00071CF9">
        <w:rPr>
          <w:rStyle w:val="libAlaemChar"/>
          <w:rtl/>
        </w:rPr>
        <w:t>عليه‌السلام</w:t>
      </w:r>
      <w:r w:rsidRPr="00132E65">
        <w:rPr>
          <w:rtl/>
          <w:lang w:bidi="fa-IR"/>
        </w:rPr>
        <w:t xml:space="preserve"> : « فَإِنِّي أَسْأَلُكَ بِالْإِلهِ الَّذِي تَعْبُدُهُ </w:t>
      </w:r>
      <w:r>
        <w:rPr>
          <w:rStyle w:val="libFootnotenumChar"/>
          <w:rtl/>
        </w:rPr>
        <w:t>(8)</w:t>
      </w:r>
      <w:r w:rsidRPr="00132E65">
        <w:rPr>
          <w:rtl/>
          <w:lang w:bidi="fa-IR"/>
        </w:rPr>
        <w:t xml:space="preserve"> ؛ لَئِنْ أَنَا </w:t>
      </w:r>
      <w:r>
        <w:rPr>
          <w:rStyle w:val="libFootnotenumChar"/>
          <w:rtl/>
        </w:rPr>
        <w:t>(9)</w:t>
      </w:r>
      <w:r w:rsidRPr="00132E65">
        <w:rPr>
          <w:rtl/>
          <w:lang w:bidi="fa-IR"/>
        </w:rPr>
        <w:t xml:space="preserve"> أَجَبْتُكَ فِي كُلِّ مَا تُرِيدُ لَتَدَعَنَّ دِينَكَ ، و</w:t>
      </w:r>
      <w:r w:rsidR="005E23DD">
        <w:rPr>
          <w:rFonts w:hint="cs"/>
          <w:rtl/>
          <w:lang w:bidi="fa-IR"/>
        </w:rPr>
        <w:t>َ</w:t>
      </w:r>
      <w:r w:rsidRPr="00132E65">
        <w:rPr>
          <w:rtl/>
          <w:lang w:bidi="fa-IR"/>
        </w:rPr>
        <w:t>لَتَدْخُلَنَّ فِي دِينِي</w:t>
      </w:r>
      <w:r>
        <w:rPr>
          <w:rtl/>
          <w:lang w:bidi="fa-IR"/>
        </w:rPr>
        <w:t>؟</w:t>
      </w:r>
      <w:r w:rsidR="005E23DD">
        <w:rPr>
          <w:rtl/>
          <w:lang w:bidi="fa-IR"/>
        </w:rPr>
        <w:t xml:space="preserve"> » قَالَ : مَا جِئْتُ إِل</w:t>
      </w:r>
      <w:r w:rsidR="005E23DD">
        <w:rPr>
          <w:rFonts w:hint="cs"/>
          <w:rtl/>
          <w:lang w:bidi="fa-IR"/>
        </w:rPr>
        <w:t>َّ</w:t>
      </w:r>
      <w:r w:rsidR="005E23DD">
        <w:rPr>
          <w:rtl/>
          <w:lang w:bidi="fa-IR"/>
        </w:rPr>
        <w:t>ا</w:t>
      </w:r>
      <w:r w:rsidRPr="00132E65">
        <w:rPr>
          <w:rtl/>
          <w:lang w:bidi="fa-IR"/>
        </w:rPr>
        <w:t xml:space="preserve"> لِذَاكَ </w:t>
      </w:r>
      <w:r>
        <w:rPr>
          <w:rStyle w:val="libFootnotenumChar"/>
          <w:rtl/>
        </w:rPr>
        <w:t>(10)</w:t>
      </w:r>
      <w:r w:rsidRPr="00132E65">
        <w:rPr>
          <w:rtl/>
          <w:lang w:bidi="fa-IR"/>
        </w:rPr>
        <w:t xml:space="preserve"> ، قَالَ : « فَسَلْ </w:t>
      </w:r>
      <w:r>
        <w:rPr>
          <w:rStyle w:val="libFootnotenumChar"/>
          <w:rtl/>
        </w:rPr>
        <w:t>(11)</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 أَخْبِرْنِي عَنْ أَوَّلِ قَطْرَةِ دَمٍ قَطَرَتْ </w:t>
      </w:r>
      <w:r>
        <w:rPr>
          <w:rStyle w:val="libFootnotenumChar"/>
          <w:rtl/>
        </w:rPr>
        <w:t>(12)</w:t>
      </w:r>
      <w:r w:rsidRPr="00132E65">
        <w:rPr>
          <w:rtl/>
          <w:lang w:bidi="fa-IR"/>
        </w:rPr>
        <w:t xml:space="preserve"> عَلى و</w:t>
      </w:r>
      <w:r w:rsidR="005E23DD">
        <w:rPr>
          <w:rFonts w:hint="cs"/>
          <w:rtl/>
          <w:lang w:bidi="fa-IR"/>
        </w:rPr>
        <w:t>َ</w:t>
      </w:r>
      <w:r w:rsidRPr="00132E65">
        <w:rPr>
          <w:rtl/>
          <w:lang w:bidi="fa-IR"/>
        </w:rPr>
        <w:t>جْهِ الْأَرْضِ : أَيُّ قَطْرَةٍ هِيَ</w:t>
      </w:r>
      <w:r>
        <w:rPr>
          <w:rtl/>
          <w:lang w:bidi="fa-IR"/>
        </w:rPr>
        <w:t>؟</w:t>
      </w:r>
      <w:r w:rsidRPr="00132E65">
        <w:rPr>
          <w:rtl/>
          <w:lang w:bidi="fa-IR"/>
        </w:rPr>
        <w:t xml:space="preserve"> و</w:t>
      </w:r>
      <w:r w:rsidR="005E23DD">
        <w:rPr>
          <w:rFonts w:hint="cs"/>
          <w:rtl/>
          <w:lang w:bidi="fa-IR"/>
        </w:rPr>
        <w:t>َ</w:t>
      </w:r>
      <w:r w:rsidRPr="00132E65">
        <w:rPr>
          <w:rtl/>
          <w:lang w:bidi="fa-IR"/>
        </w:rPr>
        <w:t>أَوَّلِ عَيْنٍ فَاضَتْ عَلى و</w:t>
      </w:r>
      <w:r w:rsidR="005E23DD">
        <w:rPr>
          <w:rFonts w:hint="cs"/>
          <w:rtl/>
          <w:lang w:bidi="fa-IR"/>
        </w:rPr>
        <w:t>َ</w:t>
      </w:r>
      <w:r w:rsidRPr="00132E65">
        <w:rPr>
          <w:rtl/>
          <w:lang w:bidi="fa-IR"/>
        </w:rPr>
        <w:t>جْهِ الْأَرْضِ : أَيُّ عَيْنٍ هِيَ</w:t>
      </w:r>
      <w:r>
        <w:rPr>
          <w:rtl/>
          <w:lang w:bidi="fa-IR"/>
        </w:rPr>
        <w:t>؟</w:t>
      </w:r>
      <w:r w:rsidRPr="00132E65">
        <w:rPr>
          <w:rtl/>
          <w:lang w:bidi="fa-IR"/>
        </w:rPr>
        <w:t xml:space="preserve"> و</w:t>
      </w:r>
      <w:r w:rsidR="005E23DD">
        <w:rPr>
          <w:rFonts w:hint="cs"/>
          <w:rtl/>
          <w:lang w:bidi="fa-IR"/>
        </w:rPr>
        <w:t xml:space="preserve">َ </w:t>
      </w:r>
      <w:r w:rsidRPr="00132E65">
        <w:rPr>
          <w:rtl/>
          <w:lang w:bidi="fa-IR"/>
        </w:rPr>
        <w:t xml:space="preserve">أَوَّلِ شَيْ‌ءٍ </w:t>
      </w:r>
      <w:r w:rsidRPr="00F543F1">
        <w:rPr>
          <w:rStyle w:val="libFootnotenumChar"/>
          <w:rtl/>
        </w:rPr>
        <w:t>(13)</w:t>
      </w:r>
      <w:r w:rsidRPr="00132E65">
        <w:rPr>
          <w:rtl/>
          <w:lang w:bidi="fa-IR"/>
        </w:rPr>
        <w:t xml:space="preserve"> اهْتَزَّ </w:t>
      </w:r>
      <w:r w:rsidRPr="00F543F1">
        <w:rPr>
          <w:rStyle w:val="libFootnotenumChar"/>
          <w:rtl/>
        </w:rPr>
        <w:t>(14)</w:t>
      </w:r>
      <w:r w:rsidRPr="00132E65">
        <w:rPr>
          <w:rtl/>
          <w:lang w:bidi="fa-IR"/>
        </w:rPr>
        <w:t xml:space="preserve"> عَلى وجْهِ الْأَرْضِ :</w:t>
      </w:r>
      <w:r>
        <w:rPr>
          <w:rFonts w:hint="cs"/>
          <w:rtl/>
          <w:lang w:bidi="fa-IR"/>
        </w:rPr>
        <w:t xml:space="preserve"> </w:t>
      </w:r>
      <w:r w:rsidRPr="00132E65">
        <w:rPr>
          <w:rtl/>
          <w:lang w:bidi="fa-IR"/>
        </w:rPr>
        <w:t>أَيُّ شَيْ‌ءٍ هُوَ</w:t>
      </w:r>
      <w:r>
        <w:rPr>
          <w:rtl/>
          <w:lang w:bidi="fa-IR"/>
        </w:rPr>
        <w:t>؟</w:t>
      </w:r>
    </w:p>
    <w:p w:rsidR="000C39D1" w:rsidRPr="00132E65" w:rsidRDefault="000C39D1" w:rsidP="000C39D1">
      <w:pPr>
        <w:pStyle w:val="libNormal"/>
        <w:rPr>
          <w:rtl/>
          <w:lang w:bidi="fa-IR"/>
        </w:rPr>
      </w:pPr>
      <w:r w:rsidRPr="00132E65">
        <w:rPr>
          <w:rtl/>
          <w:lang w:bidi="fa-IR"/>
        </w:rPr>
        <w:t xml:space="preserve">فَأَجَابَهُ أَمِيرُ الْمُؤْمِنِينَ </w:t>
      </w:r>
      <w:r w:rsidRPr="00071CF9">
        <w:rPr>
          <w:rStyle w:val="libAlaemChar"/>
          <w:rtl/>
        </w:rPr>
        <w:t>عليه‌السلام</w:t>
      </w:r>
      <w:r w:rsidRPr="00132E65">
        <w:rPr>
          <w:rtl/>
          <w:lang w:bidi="fa-IR"/>
        </w:rPr>
        <w:t xml:space="preserve"> ، فَقَالَ لَهُ </w:t>
      </w:r>
      <w:r w:rsidRPr="00F543F1">
        <w:rPr>
          <w:rStyle w:val="libFootnotenumChar"/>
          <w:rtl/>
        </w:rPr>
        <w:t>(15)</w:t>
      </w:r>
      <w:r w:rsidRPr="00132E65">
        <w:rPr>
          <w:rtl/>
          <w:lang w:bidi="fa-IR"/>
        </w:rPr>
        <w:t xml:space="preserve"> : أَخْبِرْنِي عَنِ الثَّلَاثِ الْأُخَرِ : أَخْبِرْنِي عَنْ مُحَمَّدٍ : كَمْ لَهُ </w:t>
      </w:r>
      <w:r w:rsidRPr="00F543F1">
        <w:rPr>
          <w:rStyle w:val="libFootnotenumChar"/>
          <w:rtl/>
        </w:rPr>
        <w:t>(16)</w:t>
      </w:r>
      <w:r w:rsidRPr="00132E65">
        <w:rPr>
          <w:rtl/>
          <w:lang w:bidi="fa-IR"/>
        </w:rPr>
        <w:t xml:space="preserve"> مِنْ إِمَامٍ عَدْلٍ</w:t>
      </w:r>
      <w:r>
        <w:rPr>
          <w:rtl/>
          <w:lang w:bidi="fa-IR"/>
        </w:rPr>
        <w:t>؟</w:t>
      </w:r>
      <w:r w:rsidRPr="00132E65">
        <w:rPr>
          <w:rtl/>
          <w:lang w:bidi="fa-IR"/>
        </w:rPr>
        <w:t xml:space="preserve"> وفِي أَيِّ جَنَّةٍ يَكُونُ</w:t>
      </w:r>
      <w:r>
        <w:rPr>
          <w:rtl/>
          <w:lang w:bidi="fa-IR"/>
        </w:rPr>
        <w:t>؟</w:t>
      </w:r>
      <w:r w:rsidRPr="00132E65">
        <w:rPr>
          <w:rtl/>
          <w:lang w:bidi="fa-IR"/>
        </w:rPr>
        <w:t xml:space="preserve"> و</w:t>
      </w:r>
      <w:r w:rsidR="005E23DD">
        <w:rPr>
          <w:rFonts w:hint="cs"/>
          <w:rtl/>
          <w:lang w:bidi="fa-IR"/>
        </w:rPr>
        <w:t>َ</w:t>
      </w:r>
      <w:r w:rsidRPr="00132E65">
        <w:rPr>
          <w:rtl/>
          <w:lang w:bidi="fa-IR"/>
        </w:rPr>
        <w:t xml:space="preserve">مَنْ سَاكَنَهُ </w:t>
      </w:r>
      <w:r w:rsidRPr="00F543F1">
        <w:rPr>
          <w:rStyle w:val="libFootnotenumChar"/>
          <w:rtl/>
        </w:rPr>
        <w:t>(17)</w:t>
      </w:r>
      <w:r w:rsidRPr="00132E65">
        <w:rPr>
          <w:rtl/>
          <w:lang w:bidi="fa-IR"/>
        </w:rPr>
        <w:t xml:space="preserve"> مَعَهُ فِي جَنَّتِهِ</w:t>
      </w:r>
      <w:r>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6034E">
      <w:pPr>
        <w:pStyle w:val="libFootnote0"/>
        <w:rPr>
          <w:rtl/>
          <w:lang w:bidi="fa-IR"/>
        </w:rPr>
      </w:pPr>
      <w:r>
        <w:rPr>
          <w:rtl/>
        </w:rPr>
        <w:t>(1).</w:t>
      </w:r>
      <w:r w:rsidRPr="00132E65">
        <w:rPr>
          <w:rtl/>
        </w:rPr>
        <w:t xml:space="preserve"> في كمال الدين </w:t>
      </w:r>
      <w:r>
        <w:rPr>
          <w:rtl/>
        </w:rPr>
        <w:t xml:space="preserve">: - </w:t>
      </w:r>
      <w:r w:rsidRPr="00132E65">
        <w:rPr>
          <w:rtl/>
        </w:rPr>
        <w:t>« من غير تبسّم »</w:t>
      </w:r>
      <w:r>
        <w:rPr>
          <w:rtl/>
        </w:rPr>
        <w:t>.</w:t>
      </w:r>
      <w:r w:rsidRPr="00132E65">
        <w:rPr>
          <w:rtl/>
        </w:rPr>
        <w:t xml:space="preserve"> </w:t>
      </w:r>
      <w:r>
        <w:rPr>
          <w:rtl/>
        </w:rPr>
        <w:t>و «</w:t>
      </w:r>
      <w:r w:rsidRPr="00132E65">
        <w:rPr>
          <w:rtl/>
        </w:rPr>
        <w:t xml:space="preserve"> التبسّم » : دون الضحك. وله مراتب ، فقوله : من غير تبسّم ، أي من غير</w:t>
      </w:r>
      <w:r w:rsidR="005E23DD">
        <w:rPr>
          <w:rFonts w:hint="cs"/>
          <w:rtl/>
        </w:rPr>
        <w:t xml:space="preserve"> </w:t>
      </w:r>
      <w:r w:rsidRPr="00132E65">
        <w:rPr>
          <w:rtl/>
        </w:rPr>
        <w:t xml:space="preserve">تبسّم عظيم ، أو واضح بيّن ، أو من غير أن يكون مقتضى حاله التبسّم لحزنه ، أو ضحكاً غير ذي صوت ، أو غير كاشف عن أسنانه. راجع : </w:t>
      </w:r>
      <w:r w:rsidRPr="005E23DD">
        <w:rPr>
          <w:rStyle w:val="libFootnoteBoldChar"/>
          <w:rtl/>
        </w:rPr>
        <w:t>شرح المازندراني</w:t>
      </w:r>
      <w:r w:rsidRPr="00132E65">
        <w:rPr>
          <w:rtl/>
        </w:rPr>
        <w:t xml:space="preserve"> ، ج 7 ، ص 368 ؛ </w:t>
      </w:r>
      <w:r w:rsidRPr="009D1ACE">
        <w:rPr>
          <w:rStyle w:val="libFootnoteBoldChar"/>
          <w:rtl/>
        </w:rPr>
        <w:t>الوافي</w:t>
      </w:r>
      <w:r w:rsidRPr="00132E65">
        <w:rPr>
          <w:rtl/>
        </w:rPr>
        <w:t xml:space="preserve"> ، ج 2 ، ص 305 ؛ </w:t>
      </w:r>
      <w:r w:rsidRPr="009D1ACE">
        <w:rPr>
          <w:rStyle w:val="libFootnoteBoldChar"/>
          <w:rtl/>
        </w:rPr>
        <w:t>مرآة العقول</w:t>
      </w:r>
      <w:r w:rsidRPr="00132E65">
        <w:rPr>
          <w:rtl/>
        </w:rPr>
        <w:t xml:space="preserve"> ، ج 6 ، ص 218.</w:t>
      </w:r>
      <w:r w:rsidR="005E23DD">
        <w:rPr>
          <w:rFonts w:hint="cs"/>
          <w:rtl/>
        </w:rPr>
        <w:t xml:space="preserve">   </w:t>
      </w:r>
      <w:r w:rsidR="0006034E">
        <w:rPr>
          <w:rFonts w:hint="cs"/>
          <w:rtl/>
        </w:rPr>
        <w:t xml:space="preserve">                            </w:t>
      </w:r>
      <w:r w:rsidR="005E23DD">
        <w:rPr>
          <w:rFonts w:hint="cs"/>
          <w:rtl/>
        </w:rPr>
        <w:t xml:space="preserve">                         </w:t>
      </w:r>
      <w:r>
        <w:rPr>
          <w:rtl/>
        </w:rPr>
        <w:t>(2).</w:t>
      </w:r>
      <w:r w:rsidRPr="00132E65">
        <w:rPr>
          <w:rtl/>
        </w:rPr>
        <w:t xml:space="preserve"> في « بح » والبحار : « فقال »</w:t>
      </w:r>
      <w:r>
        <w:rPr>
          <w:rtl/>
        </w:rPr>
        <w:t>.</w:t>
      </w:r>
    </w:p>
    <w:tbl>
      <w:tblPr>
        <w:tblStyle w:val="TableGrid"/>
        <w:bidiVisual/>
        <w:tblW w:w="0" w:type="auto"/>
        <w:tblLook w:val="04A0" w:firstRow="1" w:lastRow="0" w:firstColumn="1" w:lastColumn="0" w:noHBand="0" w:noVBand="1"/>
      </w:tblPr>
      <w:tblGrid>
        <w:gridCol w:w="4261"/>
        <w:gridCol w:w="4262"/>
      </w:tblGrid>
      <w:tr w:rsidR="005E23DD" w:rsidTr="005E23DD">
        <w:tc>
          <w:tcPr>
            <w:tcW w:w="4261" w:type="dxa"/>
          </w:tcPr>
          <w:p w:rsidR="005E23DD" w:rsidRDefault="005E23DD" w:rsidP="000C39D1">
            <w:pPr>
              <w:pStyle w:val="libFootnote0"/>
              <w:rPr>
                <w:rtl/>
              </w:rPr>
            </w:pPr>
            <w:r>
              <w:rPr>
                <w:rtl/>
              </w:rPr>
              <w:t>(3).</w:t>
            </w:r>
            <w:r w:rsidRPr="00132E65">
              <w:rPr>
                <w:rtl/>
              </w:rPr>
              <w:t xml:space="preserve"> في « بح » </w:t>
            </w:r>
            <w:r>
              <w:rPr>
                <w:rtl/>
              </w:rPr>
              <w:t xml:space="preserve">: - </w:t>
            </w:r>
            <w:r w:rsidRPr="00132E65">
              <w:rPr>
                <w:rtl/>
              </w:rPr>
              <w:t>« أن »</w:t>
            </w:r>
            <w:r>
              <w:rPr>
                <w:rtl/>
              </w:rPr>
              <w:t>.</w:t>
            </w:r>
          </w:p>
        </w:tc>
        <w:tc>
          <w:tcPr>
            <w:tcW w:w="4262" w:type="dxa"/>
          </w:tcPr>
          <w:p w:rsidR="005E23DD" w:rsidRDefault="005E23DD" w:rsidP="000C39D1">
            <w:pPr>
              <w:pStyle w:val="libFootnote0"/>
              <w:rPr>
                <w:rtl/>
              </w:rPr>
            </w:pPr>
            <w:r>
              <w:rPr>
                <w:rtl/>
              </w:rPr>
              <w:t>(4).</w:t>
            </w:r>
            <w:r w:rsidRPr="00132E65">
              <w:rPr>
                <w:rtl/>
              </w:rPr>
              <w:t xml:space="preserve"> في « ب » :</w:t>
            </w:r>
            <w:r>
              <w:rPr>
                <w:rtl/>
              </w:rPr>
              <w:t xml:space="preserve"> + </w:t>
            </w:r>
            <w:r w:rsidRPr="00132E65">
              <w:rPr>
                <w:rtl/>
              </w:rPr>
              <w:t>« إنّي »</w:t>
            </w:r>
            <w:r>
              <w:rPr>
                <w:rtl/>
              </w:rPr>
              <w:t>.</w:t>
            </w:r>
          </w:p>
        </w:tc>
      </w:tr>
    </w:tbl>
    <w:p w:rsidR="000C39D1" w:rsidRPr="00132E65" w:rsidRDefault="000C39D1" w:rsidP="000C39D1">
      <w:pPr>
        <w:pStyle w:val="libFootnote0"/>
        <w:rPr>
          <w:rtl/>
          <w:lang w:bidi="fa-IR"/>
        </w:rPr>
      </w:pPr>
      <w:r>
        <w:rPr>
          <w:rtl/>
        </w:rPr>
        <w:t>(5).</w:t>
      </w:r>
      <w:r w:rsidRPr="00132E65">
        <w:rPr>
          <w:rtl/>
        </w:rPr>
        <w:t xml:space="preserve"> في كمال الدين : « فإن علمتهنّ سألتك » بدل « فإن أجبتني سألت »</w:t>
      </w:r>
      <w:r>
        <w:rPr>
          <w:rtl/>
        </w:rPr>
        <w:t>.</w:t>
      </w:r>
    </w:p>
    <w:tbl>
      <w:tblPr>
        <w:tblStyle w:val="TableGrid"/>
        <w:bidiVisual/>
        <w:tblW w:w="0" w:type="auto"/>
        <w:tblLook w:val="04A0" w:firstRow="1" w:lastRow="0" w:firstColumn="1" w:lastColumn="0" w:noHBand="0" w:noVBand="1"/>
      </w:tblPr>
      <w:tblGrid>
        <w:gridCol w:w="4261"/>
        <w:gridCol w:w="4262"/>
      </w:tblGrid>
      <w:tr w:rsidR="005E23DD" w:rsidTr="005E23DD">
        <w:tc>
          <w:tcPr>
            <w:tcW w:w="4261" w:type="dxa"/>
          </w:tcPr>
          <w:p w:rsidR="005E23DD" w:rsidRDefault="005E23DD" w:rsidP="000C39D1">
            <w:pPr>
              <w:pStyle w:val="libFootnote0"/>
              <w:rPr>
                <w:rtl/>
                <w:lang w:bidi="fa-IR"/>
              </w:rPr>
            </w:pPr>
            <w:r>
              <w:rPr>
                <w:rtl/>
              </w:rPr>
              <w:t>(6).</w:t>
            </w:r>
            <w:r w:rsidRPr="00132E65">
              <w:rPr>
                <w:rtl/>
              </w:rPr>
              <w:t xml:space="preserve"> في « بس » : « أن »</w:t>
            </w:r>
            <w:r>
              <w:rPr>
                <w:rtl/>
              </w:rPr>
              <w:t>.</w:t>
            </w:r>
          </w:p>
        </w:tc>
        <w:tc>
          <w:tcPr>
            <w:tcW w:w="4262" w:type="dxa"/>
          </w:tcPr>
          <w:p w:rsidR="005E23DD" w:rsidRDefault="005E23DD" w:rsidP="000C39D1">
            <w:pPr>
              <w:pStyle w:val="libFootnote0"/>
              <w:rPr>
                <w:rtl/>
                <w:lang w:bidi="fa-IR"/>
              </w:rPr>
            </w:pPr>
            <w:r>
              <w:rPr>
                <w:rtl/>
              </w:rPr>
              <w:t>(7).</w:t>
            </w:r>
            <w:r w:rsidRPr="00132E65">
              <w:rPr>
                <w:rtl/>
              </w:rPr>
              <w:t xml:space="preserve"> في كمال الدين : « ليس لك علم »</w:t>
            </w:r>
            <w:r>
              <w:rPr>
                <w:rtl/>
              </w:rPr>
              <w:t>.</w:t>
            </w:r>
          </w:p>
        </w:tc>
      </w:tr>
      <w:tr w:rsidR="005E23DD" w:rsidTr="005E23DD">
        <w:tc>
          <w:tcPr>
            <w:tcW w:w="4261" w:type="dxa"/>
          </w:tcPr>
          <w:p w:rsidR="005E23DD" w:rsidRDefault="005E23DD" w:rsidP="000C39D1">
            <w:pPr>
              <w:pStyle w:val="libFootnote0"/>
              <w:rPr>
                <w:rtl/>
                <w:lang w:bidi="fa-IR"/>
              </w:rPr>
            </w:pPr>
            <w:r>
              <w:rPr>
                <w:rtl/>
              </w:rPr>
              <w:t>(8).</w:t>
            </w:r>
            <w:r w:rsidRPr="00132E65">
              <w:rPr>
                <w:rtl/>
              </w:rPr>
              <w:t xml:space="preserve"> في « بح ، بس ، بف » : « تعبد » بدون الضمير.</w:t>
            </w:r>
          </w:p>
        </w:tc>
        <w:tc>
          <w:tcPr>
            <w:tcW w:w="4262" w:type="dxa"/>
          </w:tcPr>
          <w:p w:rsidR="005E23DD" w:rsidRDefault="005E23DD" w:rsidP="000C39D1">
            <w:pPr>
              <w:pStyle w:val="libFootnote0"/>
              <w:rPr>
                <w:rtl/>
                <w:lang w:bidi="fa-IR"/>
              </w:rPr>
            </w:pPr>
            <w:r>
              <w:rPr>
                <w:rtl/>
              </w:rPr>
              <w:t>(9).</w:t>
            </w:r>
            <w:r w:rsidRPr="00132E65">
              <w:rPr>
                <w:rtl/>
              </w:rPr>
              <w:t xml:space="preserve"> في « بر ، بف » </w:t>
            </w:r>
            <w:r>
              <w:rPr>
                <w:rtl/>
              </w:rPr>
              <w:t xml:space="preserve">: - </w:t>
            </w:r>
            <w:r w:rsidRPr="00132E65">
              <w:rPr>
                <w:rtl/>
              </w:rPr>
              <w:t>« أنا »</w:t>
            </w:r>
            <w:r>
              <w:rPr>
                <w:rtl/>
              </w:rPr>
              <w:t>.</w:t>
            </w:r>
          </w:p>
        </w:tc>
      </w:tr>
      <w:tr w:rsidR="005E23DD" w:rsidTr="005E23DD">
        <w:tc>
          <w:tcPr>
            <w:tcW w:w="4261" w:type="dxa"/>
          </w:tcPr>
          <w:p w:rsidR="005E23DD" w:rsidRDefault="005E23DD" w:rsidP="000C39D1">
            <w:pPr>
              <w:pStyle w:val="libFootnote0"/>
              <w:rPr>
                <w:rtl/>
                <w:lang w:bidi="fa-IR"/>
              </w:rPr>
            </w:pPr>
            <w:r>
              <w:rPr>
                <w:rtl/>
              </w:rPr>
              <w:t>(10).</w:t>
            </w:r>
            <w:r w:rsidRPr="00132E65">
              <w:rPr>
                <w:rtl/>
              </w:rPr>
              <w:t xml:space="preserve"> في « ب ، بف » وكمال الدين : « لذلك »</w:t>
            </w:r>
            <w:r>
              <w:rPr>
                <w:rtl/>
              </w:rPr>
              <w:t>.</w:t>
            </w:r>
          </w:p>
        </w:tc>
        <w:tc>
          <w:tcPr>
            <w:tcW w:w="4262" w:type="dxa"/>
          </w:tcPr>
          <w:p w:rsidR="005E23DD" w:rsidRDefault="005E23DD" w:rsidP="000C39D1">
            <w:pPr>
              <w:pStyle w:val="libFootnote0"/>
              <w:rPr>
                <w:rtl/>
                <w:lang w:bidi="fa-IR"/>
              </w:rPr>
            </w:pPr>
            <w:r>
              <w:rPr>
                <w:rtl/>
              </w:rPr>
              <w:t>(11).</w:t>
            </w:r>
            <w:r w:rsidRPr="00132E65">
              <w:rPr>
                <w:rtl/>
              </w:rPr>
              <w:t xml:space="preserve"> في « ج » : « فاسأل »</w:t>
            </w:r>
            <w:r>
              <w:rPr>
                <w:rtl/>
              </w:rPr>
              <w:t>.</w:t>
            </w:r>
          </w:p>
        </w:tc>
      </w:tr>
    </w:tbl>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قطرت ، على المعلوم من باب نصر ، أو على المجهول من باب التفعيل »</w:t>
      </w:r>
      <w:r>
        <w:rPr>
          <w:rtl/>
        </w:rPr>
        <w:t>.</w:t>
      </w:r>
    </w:p>
    <w:p w:rsidR="000C39D1" w:rsidRPr="00132E65" w:rsidRDefault="000C39D1" w:rsidP="000C39D1">
      <w:pPr>
        <w:pStyle w:val="libFootnote0"/>
        <w:rPr>
          <w:rtl/>
          <w:lang w:bidi="fa-IR"/>
        </w:rPr>
      </w:pPr>
      <w:r>
        <w:rPr>
          <w:rtl/>
        </w:rPr>
        <w:t>(13)</w:t>
      </w:r>
      <w:r w:rsidRPr="00132E65">
        <w:rPr>
          <w:rtl/>
        </w:rPr>
        <w:t xml:space="preserve"> في « ج »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(14)</w:t>
      </w:r>
      <w:r w:rsidRPr="00132E65">
        <w:rPr>
          <w:rtl/>
        </w:rPr>
        <w:t xml:space="preserve"> في « ج ، بر ، بس » وحاشية « بح » وشرح المازندراني : « ا</w:t>
      </w:r>
      <w:r w:rsidR="005E23DD">
        <w:rPr>
          <w:rFonts w:hint="cs"/>
          <w:rtl/>
        </w:rPr>
        <w:t>ُ</w:t>
      </w:r>
      <w:r w:rsidRPr="00132E65">
        <w:rPr>
          <w:rtl/>
        </w:rPr>
        <w:t>هين »</w:t>
      </w:r>
      <w:r>
        <w:rPr>
          <w:rtl/>
        </w:rPr>
        <w:t>.</w:t>
      </w:r>
    </w:p>
    <w:tbl>
      <w:tblPr>
        <w:tblStyle w:val="TableGrid"/>
        <w:bidiVisual/>
        <w:tblW w:w="0" w:type="auto"/>
        <w:tblLook w:val="04A0" w:firstRow="1" w:lastRow="0" w:firstColumn="1" w:lastColumn="0" w:noHBand="0" w:noVBand="1"/>
      </w:tblPr>
      <w:tblGrid>
        <w:gridCol w:w="4261"/>
        <w:gridCol w:w="4262"/>
      </w:tblGrid>
      <w:tr w:rsidR="005E23DD" w:rsidTr="005E23DD">
        <w:tc>
          <w:tcPr>
            <w:tcW w:w="4261" w:type="dxa"/>
          </w:tcPr>
          <w:p w:rsidR="005E23DD" w:rsidRDefault="005E23DD" w:rsidP="000C39D1">
            <w:pPr>
              <w:pStyle w:val="libFootnote0"/>
              <w:rPr>
                <w:rtl/>
              </w:rPr>
            </w:pPr>
            <w:r>
              <w:rPr>
                <w:rtl/>
              </w:rPr>
              <w:t>(15)</w:t>
            </w:r>
            <w:r w:rsidRPr="00132E65">
              <w:rPr>
                <w:rtl/>
              </w:rPr>
              <w:t xml:space="preserve"> في « ب ، ف » وكمال الدين والبحار </w:t>
            </w:r>
            <w:r>
              <w:rPr>
                <w:rtl/>
              </w:rPr>
              <w:t xml:space="preserve">: - </w:t>
            </w:r>
            <w:r w:rsidRPr="00132E65">
              <w:rPr>
                <w:rtl/>
              </w:rPr>
              <w:t>« له »</w:t>
            </w:r>
            <w:r>
              <w:rPr>
                <w:rtl/>
              </w:rPr>
              <w:t>.</w:t>
            </w:r>
          </w:p>
        </w:tc>
        <w:tc>
          <w:tcPr>
            <w:tcW w:w="4262" w:type="dxa"/>
          </w:tcPr>
          <w:p w:rsidR="005E23DD" w:rsidRDefault="005E23DD" w:rsidP="000C39D1">
            <w:pPr>
              <w:pStyle w:val="libFootnote0"/>
              <w:rPr>
                <w:rtl/>
              </w:rPr>
            </w:pPr>
            <w:r>
              <w:rPr>
                <w:rtl/>
              </w:rPr>
              <w:t>(16)</w:t>
            </w:r>
            <w:r w:rsidRPr="00132E65">
              <w:rPr>
                <w:rtl/>
              </w:rPr>
              <w:t xml:space="preserve"> في كمال الدين : « بعده »</w:t>
            </w:r>
            <w:r>
              <w:rPr>
                <w:rtl/>
              </w:rPr>
              <w:t>.</w:t>
            </w:r>
          </w:p>
        </w:tc>
      </w:tr>
    </w:tbl>
    <w:p w:rsidR="000C39D1" w:rsidRPr="00132E65" w:rsidRDefault="000C39D1" w:rsidP="000C39D1">
      <w:pPr>
        <w:pStyle w:val="libFootnote0"/>
        <w:rPr>
          <w:rtl/>
          <w:lang w:bidi="fa-IR"/>
        </w:rPr>
      </w:pPr>
      <w:r>
        <w:rPr>
          <w:rtl/>
        </w:rPr>
        <w:t>(17)</w:t>
      </w:r>
      <w:r w:rsidRPr="00132E65">
        <w:rPr>
          <w:rtl/>
        </w:rPr>
        <w:t xml:space="preserve"> في « ف » : « ساكِنُه » على صيغة اسم الفاعل. وفي </w:t>
      </w:r>
      <w:r w:rsidRPr="009D1ACE">
        <w:rPr>
          <w:rStyle w:val="libFootnoteBoldChar"/>
          <w:rtl/>
        </w:rPr>
        <w:t>مرآة العقول</w:t>
      </w:r>
      <w:r w:rsidRPr="00132E65">
        <w:rPr>
          <w:rtl/>
        </w:rPr>
        <w:t xml:space="preserve"> : « قوله : ومن ساكنه ، اسم فاعل من باب نصر ، أو ماضي باب المفاعلة. والماضي لتحقّق الوقوع كما قيل »</w:t>
      </w:r>
      <w:r>
        <w:rPr>
          <w:rtl/>
        </w:rPr>
        <w:t>.</w:t>
      </w:r>
      <w:r w:rsidRPr="00132E65">
        <w:rPr>
          <w:rtl/>
        </w:rPr>
        <w:t xml:space="preserve"> وفي كمال الدين : « الساكن » ، واستظهره في </w:t>
      </w:r>
      <w:r w:rsidRPr="005E23DD">
        <w:rPr>
          <w:rStyle w:val="libFootnoteBoldChar"/>
          <w:rtl/>
        </w:rPr>
        <w:t>المرآة</w:t>
      </w:r>
      <w:r w:rsidRPr="00132E65">
        <w:rPr>
          <w:rtl/>
        </w:rPr>
        <w:t>. وفي البحار : « يساكنه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فَقَالَ </w:t>
      </w:r>
      <w:r>
        <w:rPr>
          <w:rStyle w:val="libFootnotenumChar"/>
          <w:rtl/>
        </w:rPr>
        <w:t>(1)</w:t>
      </w:r>
      <w:r w:rsidRPr="00132E65">
        <w:rPr>
          <w:rtl/>
          <w:lang w:bidi="fa-IR"/>
        </w:rPr>
        <w:t xml:space="preserve"> : « يَا هَارُونِيُّ ، إِنَّ لِمُحَمَّدٍ </w:t>
      </w:r>
      <w:r>
        <w:rPr>
          <w:rStyle w:val="libFootnotenumChar"/>
          <w:rtl/>
        </w:rPr>
        <w:t>(2)</w:t>
      </w:r>
      <w:r w:rsidRPr="00132E65">
        <w:rPr>
          <w:rtl/>
          <w:lang w:bidi="fa-IR"/>
        </w:rPr>
        <w:t xml:space="preserve"> اثْنَيْ عَشَرَ إِمَامَ عَدْلٍ ، لَايَضُرُّهُمْ خِذْلَانُ مَنْ خَذَلَهُمْ ، و</w:t>
      </w:r>
      <w:r w:rsidR="005E23DD">
        <w:rPr>
          <w:rFonts w:hint="cs"/>
          <w:rtl/>
          <w:lang w:bidi="fa-IR"/>
        </w:rPr>
        <w:t>َ</w:t>
      </w:r>
      <w:r w:rsidRPr="00132E65">
        <w:rPr>
          <w:rtl/>
          <w:lang w:bidi="fa-IR"/>
        </w:rPr>
        <w:t>لَايَسْتَوْحِشُونَ بِخِلَافِ مَنْ خَالَفَهُمْ ، و</w:t>
      </w:r>
      <w:r w:rsidR="005E23DD">
        <w:rPr>
          <w:rFonts w:hint="cs"/>
          <w:rtl/>
          <w:lang w:bidi="fa-IR"/>
        </w:rPr>
        <w:t>َ</w:t>
      </w:r>
      <w:r w:rsidRPr="00132E65">
        <w:rPr>
          <w:rtl/>
          <w:lang w:bidi="fa-IR"/>
        </w:rPr>
        <w:t xml:space="preserve">إِنَّهُمْ فِي الدِّينِ أَرْسَبُ </w:t>
      </w:r>
      <w:r>
        <w:rPr>
          <w:rStyle w:val="libFootnotenumChar"/>
          <w:rtl/>
        </w:rPr>
        <w:t>(3)</w:t>
      </w:r>
      <w:r w:rsidRPr="00132E65">
        <w:rPr>
          <w:rtl/>
          <w:lang w:bidi="fa-IR"/>
        </w:rPr>
        <w:t xml:space="preserve"> مِنَ الْجِبَالِ الرَّوَاسِي فِي الْأَرْضِ ؛ و</w:t>
      </w:r>
      <w:r w:rsidR="005E23DD">
        <w:rPr>
          <w:rFonts w:hint="cs"/>
          <w:rtl/>
          <w:lang w:bidi="fa-IR"/>
        </w:rPr>
        <w:t>َ</w:t>
      </w:r>
      <w:r w:rsidRPr="00132E65">
        <w:rPr>
          <w:rtl/>
          <w:lang w:bidi="fa-IR"/>
        </w:rPr>
        <w:t xml:space="preserve">مَسْكَنُ </w:t>
      </w:r>
      <w:r>
        <w:rPr>
          <w:rStyle w:val="libFootnotenumChar"/>
          <w:rtl/>
        </w:rPr>
        <w:t>(4)</w:t>
      </w:r>
      <w:r w:rsidRPr="00132E65">
        <w:rPr>
          <w:rtl/>
          <w:lang w:bidi="fa-IR"/>
        </w:rPr>
        <w:t xml:space="preserve"> مُحَمَّدٍ فِي جَنَّتِهِ </w:t>
      </w:r>
      <w:r>
        <w:rPr>
          <w:rStyle w:val="libFootnotenumChar"/>
          <w:rtl/>
        </w:rPr>
        <w:t>(5)</w:t>
      </w:r>
      <w:r w:rsidRPr="00132E65">
        <w:rPr>
          <w:rtl/>
          <w:lang w:bidi="fa-IR"/>
        </w:rPr>
        <w:t xml:space="preserve"> ، مَعَهُ أُولئِكَ الِاثْنَا عَشَرَ الْإِمَامَ </w:t>
      </w:r>
      <w:r>
        <w:rPr>
          <w:rStyle w:val="libFootnotenumChar"/>
          <w:rtl/>
        </w:rPr>
        <w:t>(6)</w:t>
      </w:r>
      <w:r w:rsidRPr="00132E65">
        <w:rPr>
          <w:rtl/>
          <w:lang w:bidi="fa-IR"/>
        </w:rPr>
        <w:t xml:space="preserve"> الْعَدْلَ »</w:t>
      </w:r>
      <w:r>
        <w:rPr>
          <w:rtl/>
          <w:lang w:bidi="fa-IR"/>
        </w:rPr>
        <w:t>.</w:t>
      </w:r>
    </w:p>
    <w:p w:rsidR="000C39D1" w:rsidRPr="00132E65" w:rsidRDefault="000C39D1" w:rsidP="000C39D1">
      <w:pPr>
        <w:pStyle w:val="libNormal"/>
        <w:rPr>
          <w:rtl/>
          <w:lang w:bidi="fa-IR"/>
        </w:rPr>
      </w:pPr>
      <w:r w:rsidRPr="00132E65">
        <w:rPr>
          <w:rtl/>
          <w:lang w:bidi="fa-IR"/>
        </w:rPr>
        <w:t>فَقَالَ : صَدَقْتَ و</w:t>
      </w:r>
      <w:r w:rsidR="005E23DD">
        <w:rPr>
          <w:rFonts w:hint="cs"/>
          <w:rtl/>
          <w:lang w:bidi="fa-IR"/>
        </w:rPr>
        <w:t>َ</w:t>
      </w:r>
      <w:r w:rsidRPr="00132E65">
        <w:rPr>
          <w:rtl/>
          <w:lang w:bidi="fa-IR"/>
        </w:rPr>
        <w:t>اللهِ الَّذِي لَا</w:t>
      </w:r>
      <w:r>
        <w:rPr>
          <w:rFonts w:hint="cs"/>
          <w:rtl/>
          <w:lang w:bidi="fa-IR"/>
        </w:rPr>
        <w:t xml:space="preserve"> </w:t>
      </w:r>
      <w:r w:rsidR="005E23DD">
        <w:rPr>
          <w:rtl/>
          <w:lang w:bidi="fa-IR"/>
        </w:rPr>
        <w:t>إِلهَ إِل</w:t>
      </w:r>
      <w:r w:rsidR="005E23DD">
        <w:rPr>
          <w:rFonts w:hint="cs"/>
          <w:rtl/>
          <w:lang w:bidi="fa-IR"/>
        </w:rPr>
        <w:t>َّ</w:t>
      </w:r>
      <w:r w:rsidR="005E23DD">
        <w:rPr>
          <w:rtl/>
          <w:lang w:bidi="fa-IR"/>
        </w:rPr>
        <w:t>ا</w:t>
      </w:r>
      <w:r w:rsidRPr="00132E65">
        <w:rPr>
          <w:rtl/>
          <w:lang w:bidi="fa-IR"/>
        </w:rPr>
        <w:t xml:space="preserve"> هُوَ ؛ إِنِّي لَأَجِدُهَا فِي كُتُبِ </w:t>
      </w:r>
      <w:r>
        <w:rPr>
          <w:rStyle w:val="libFootnotenumChar"/>
          <w:rtl/>
        </w:rPr>
        <w:t>(7)</w:t>
      </w:r>
      <w:r w:rsidRPr="00132E65">
        <w:rPr>
          <w:rtl/>
          <w:lang w:bidi="fa-IR"/>
        </w:rPr>
        <w:t xml:space="preserve"> أَبِي هَارُونَ ، كَتَبَهُ بِيَدِهِ و</w:t>
      </w:r>
      <w:r w:rsidR="005E23DD">
        <w:rPr>
          <w:rFonts w:hint="cs"/>
          <w:rtl/>
          <w:lang w:bidi="fa-IR"/>
        </w:rPr>
        <w:t>َ</w:t>
      </w:r>
      <w:r w:rsidRPr="00132E65">
        <w:rPr>
          <w:rtl/>
          <w:lang w:bidi="fa-IR"/>
        </w:rPr>
        <w:t xml:space="preserve">أَمْلَاهُ مُوسى عَمِّي </w:t>
      </w:r>
      <w:r w:rsidRPr="00071CF9">
        <w:rPr>
          <w:rStyle w:val="libAlaemChar"/>
          <w:rtl/>
        </w:rPr>
        <w:t>عليهما‌السلام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قَالَ : فَأَخْبِرْنِي </w:t>
      </w:r>
      <w:r>
        <w:rPr>
          <w:rStyle w:val="libFootnotenumChar"/>
          <w:rtl/>
        </w:rPr>
        <w:t>(8)</w:t>
      </w:r>
      <w:r w:rsidRPr="00132E65">
        <w:rPr>
          <w:rtl/>
          <w:lang w:bidi="fa-IR"/>
        </w:rPr>
        <w:t xml:space="preserve"> عَنِ الْوَاحِدَةِ : أَخْبِرْنِي عَنْ و</w:t>
      </w:r>
      <w:r w:rsidR="005E23DD">
        <w:rPr>
          <w:rFonts w:hint="cs"/>
          <w:rtl/>
          <w:lang w:bidi="fa-IR"/>
        </w:rPr>
        <w:t>َ</w:t>
      </w:r>
      <w:r w:rsidRPr="00132E65">
        <w:rPr>
          <w:rtl/>
          <w:lang w:bidi="fa-IR"/>
        </w:rPr>
        <w:t>صِيِّ مُحَمَّدٍ كَمْ يَعِيشُ مِنْ بَعْدِهِ</w:t>
      </w:r>
      <w:r>
        <w:rPr>
          <w:rtl/>
          <w:lang w:bidi="fa-IR"/>
        </w:rPr>
        <w:t>؟</w:t>
      </w:r>
      <w:r>
        <w:rPr>
          <w:rFonts w:hint="cs"/>
          <w:rtl/>
          <w:lang w:bidi="fa-IR"/>
        </w:rPr>
        <w:t xml:space="preserve"> </w:t>
      </w:r>
      <w:r w:rsidRPr="00132E65">
        <w:rPr>
          <w:rtl/>
          <w:lang w:bidi="fa-IR"/>
        </w:rPr>
        <w:t>وَهَلْ يَمُوتُ أَوْ يُقْتَلُ</w:t>
      </w:r>
      <w:r>
        <w:rPr>
          <w:rtl/>
          <w:lang w:bidi="fa-IR"/>
        </w:rPr>
        <w:t>؟</w:t>
      </w:r>
    </w:p>
    <w:p w:rsidR="000C39D1" w:rsidRPr="00132E65" w:rsidRDefault="000C39D1" w:rsidP="000C39D1">
      <w:pPr>
        <w:pStyle w:val="libNormal"/>
        <w:rPr>
          <w:rtl/>
          <w:lang w:bidi="fa-IR"/>
        </w:rPr>
      </w:pPr>
      <w:r w:rsidRPr="00132E65">
        <w:rPr>
          <w:rtl/>
          <w:lang w:bidi="fa-IR"/>
        </w:rPr>
        <w:t xml:space="preserve">قَالَ : « يَا هَارُونِيُّ ، يَعِيشُ بَعْدَهُ ثَلَاثِينَ سَنَةً لَايَزِيدُ </w:t>
      </w:r>
      <w:r>
        <w:rPr>
          <w:rStyle w:val="libFootnotenumChar"/>
          <w:rtl/>
        </w:rPr>
        <w:t>(9)</w:t>
      </w:r>
      <w:r w:rsidRPr="00132E65">
        <w:rPr>
          <w:rtl/>
          <w:lang w:bidi="fa-IR"/>
        </w:rPr>
        <w:t xml:space="preserve"> يَوْماً و</w:t>
      </w:r>
      <w:r w:rsidR="005E23DD">
        <w:rPr>
          <w:rFonts w:hint="cs"/>
          <w:rtl/>
          <w:lang w:bidi="fa-IR"/>
        </w:rPr>
        <w:t>َ</w:t>
      </w:r>
      <w:r w:rsidRPr="00132E65">
        <w:rPr>
          <w:rtl/>
          <w:lang w:bidi="fa-IR"/>
        </w:rPr>
        <w:t xml:space="preserve">لَايَنْقُصُ </w:t>
      </w:r>
      <w:r>
        <w:rPr>
          <w:rStyle w:val="libFootnotenumChar"/>
          <w:rtl/>
        </w:rPr>
        <w:t>(10)</w:t>
      </w:r>
      <w:r w:rsidRPr="00132E65">
        <w:rPr>
          <w:rtl/>
          <w:lang w:bidi="fa-IR"/>
        </w:rPr>
        <w:t xml:space="preserve"> يَوْماً </w:t>
      </w:r>
      <w:r>
        <w:rPr>
          <w:rStyle w:val="libFootnotenumChar"/>
          <w:rtl/>
        </w:rPr>
        <w:t>(11)</w:t>
      </w:r>
      <w:r w:rsidRPr="00132E65">
        <w:rPr>
          <w:rtl/>
          <w:lang w:bidi="fa-IR"/>
        </w:rPr>
        <w:t xml:space="preserve"> ، ثُمَّ يُضْرَبُ ضَرْبَةً هاهُنَا</w:t>
      </w:r>
      <w:r>
        <w:rPr>
          <w:rtl/>
          <w:lang w:bidi="fa-IR"/>
        </w:rPr>
        <w:t xml:space="preserve"> - </w:t>
      </w:r>
      <w:r w:rsidRPr="00132E65">
        <w:rPr>
          <w:rtl/>
          <w:lang w:bidi="fa-IR"/>
        </w:rPr>
        <w:t xml:space="preserve">يَعْنِي عَلى قَرْنِهِ </w:t>
      </w:r>
      <w:r>
        <w:rPr>
          <w:rStyle w:val="libFootnotenumChar"/>
          <w:rtl/>
        </w:rPr>
        <w:t>(12)</w:t>
      </w:r>
      <w:r>
        <w:rPr>
          <w:rtl/>
          <w:lang w:bidi="fa-IR"/>
        </w:rPr>
        <w:t xml:space="preserve"> - </w:t>
      </w:r>
      <w:r w:rsidRPr="00132E65">
        <w:rPr>
          <w:rtl/>
          <w:lang w:bidi="fa-IR"/>
        </w:rPr>
        <w:t xml:space="preserve">فَتُخْضَبُ </w:t>
      </w:r>
      <w:r w:rsidRPr="00F543F1">
        <w:rPr>
          <w:rStyle w:val="libFootnotenumChar"/>
          <w:rtl/>
        </w:rPr>
        <w:t>(13)</w:t>
      </w:r>
      <w:r w:rsidRPr="00132E65">
        <w:rPr>
          <w:rtl/>
          <w:lang w:bidi="fa-IR"/>
        </w:rPr>
        <w:t xml:space="preserve"> هذِهِ مِنْ هذَا »</w:t>
      </w:r>
      <w:r>
        <w:rPr>
          <w:rtl/>
          <w:lang w:bidi="fa-IR"/>
        </w:rPr>
        <w:t>.</w:t>
      </w:r>
    </w:p>
    <w:p w:rsidR="000C39D1" w:rsidRPr="00132E65" w:rsidRDefault="000C39D1" w:rsidP="000C39D1">
      <w:pPr>
        <w:pStyle w:val="libNormal"/>
        <w:rPr>
          <w:rtl/>
          <w:lang w:bidi="fa-IR"/>
        </w:rPr>
      </w:pPr>
      <w:r w:rsidRPr="00132E65">
        <w:rPr>
          <w:rtl/>
          <w:lang w:bidi="fa-IR"/>
        </w:rPr>
        <w:t>قَالَ : فَصَاحَ الْهَارُونِيُّ ، و</w:t>
      </w:r>
      <w:r w:rsidR="005E23DD">
        <w:rPr>
          <w:rFonts w:hint="cs"/>
          <w:rtl/>
          <w:lang w:bidi="fa-IR"/>
        </w:rPr>
        <w:t>َ</w:t>
      </w:r>
      <w:r w:rsidRPr="00132E65">
        <w:rPr>
          <w:rtl/>
          <w:lang w:bidi="fa-IR"/>
        </w:rPr>
        <w:t xml:space="preserve">قَطَعَ كُسْتِيجَهُ </w:t>
      </w:r>
      <w:r w:rsidRPr="00F543F1">
        <w:rPr>
          <w:rStyle w:val="libFootnotenumChar"/>
          <w:rtl/>
        </w:rPr>
        <w:t>(14)</w:t>
      </w:r>
      <w:r w:rsidRPr="00132E65">
        <w:rPr>
          <w:rtl/>
          <w:lang w:bidi="fa-IR"/>
        </w:rPr>
        <w:t xml:space="preserve"> و</w:t>
      </w:r>
      <w:r w:rsidR="005E23DD">
        <w:rPr>
          <w:rFonts w:hint="cs"/>
          <w:rtl/>
          <w:lang w:bidi="fa-IR"/>
        </w:rPr>
        <w:t>َ</w:t>
      </w:r>
      <w:r w:rsidRPr="00132E65">
        <w:rPr>
          <w:rtl/>
          <w:lang w:bidi="fa-IR"/>
        </w:rPr>
        <w:t>هُوَ يَقُولُ : أَشْهَدُ أَنْ لَا</w:t>
      </w:r>
      <w:r>
        <w:rPr>
          <w:rFonts w:hint="cs"/>
          <w:rtl/>
          <w:lang w:bidi="fa-IR"/>
        </w:rPr>
        <w:t xml:space="preserve"> </w:t>
      </w:r>
      <w:r w:rsidR="005E23DD">
        <w:rPr>
          <w:rtl/>
          <w:lang w:bidi="fa-IR"/>
        </w:rPr>
        <w:t>إِلهَ إِل</w:t>
      </w:r>
      <w:r w:rsidR="005E23DD">
        <w:rPr>
          <w:rFonts w:hint="cs"/>
          <w:rtl/>
          <w:lang w:bidi="fa-IR"/>
        </w:rPr>
        <w:t>َّ</w:t>
      </w:r>
      <w:r w:rsidR="005E23DD">
        <w:rPr>
          <w:rtl/>
          <w:lang w:bidi="fa-IR"/>
        </w:rPr>
        <w:t>ا</w:t>
      </w:r>
      <w:r w:rsidRPr="00132E65">
        <w:rPr>
          <w:rtl/>
          <w:lang w:bidi="fa-IR"/>
        </w:rPr>
        <w:t xml:space="preserve"> اللهُ و</w:t>
      </w:r>
      <w:r w:rsidR="005E23DD">
        <w:rPr>
          <w:rFonts w:hint="cs"/>
          <w:rtl/>
          <w:lang w:bidi="fa-IR"/>
        </w:rPr>
        <w:t>َ</w:t>
      </w:r>
      <w:r w:rsidRPr="00132E65">
        <w:rPr>
          <w:rtl/>
          <w:lang w:bidi="fa-IR"/>
        </w:rPr>
        <w:t>حْدَهُ لَا شَرِيكَ لَهُ ، و</w:t>
      </w:r>
      <w:r w:rsidR="005E23DD">
        <w:rPr>
          <w:rFonts w:hint="cs"/>
          <w:rtl/>
          <w:lang w:bidi="fa-IR"/>
        </w:rPr>
        <w:t>َ</w:t>
      </w:r>
      <w:r w:rsidRPr="00132E65">
        <w:rPr>
          <w:rtl/>
          <w:lang w:bidi="fa-IR"/>
        </w:rPr>
        <w:t>أَشْهَدُ أَنَّ مُحَمَّداً عَبْدُهُ و</w:t>
      </w:r>
      <w:r w:rsidR="005E23DD">
        <w:rPr>
          <w:rFonts w:hint="cs"/>
          <w:rtl/>
          <w:lang w:bidi="fa-IR"/>
        </w:rPr>
        <w:t>َ</w:t>
      </w:r>
      <w:r w:rsidRPr="00132E65">
        <w:rPr>
          <w:rtl/>
          <w:lang w:bidi="fa-IR"/>
        </w:rPr>
        <w:t>رَسُولُهُ ، و</w:t>
      </w:r>
      <w:r w:rsidR="005E23DD">
        <w:rPr>
          <w:rFonts w:hint="cs"/>
          <w:rtl/>
          <w:lang w:bidi="fa-IR"/>
        </w:rPr>
        <w:t>َ</w:t>
      </w:r>
      <w:r w:rsidRPr="00132E65">
        <w:rPr>
          <w:rtl/>
          <w:lang w:bidi="fa-IR"/>
        </w:rPr>
        <w:t>أَنَّكَ و</w:t>
      </w:r>
      <w:r w:rsidR="005E23DD">
        <w:rPr>
          <w:rFonts w:hint="cs"/>
          <w:rtl/>
          <w:lang w:bidi="fa-IR"/>
        </w:rPr>
        <w:t>َ</w:t>
      </w:r>
      <w:r w:rsidRPr="00132E65">
        <w:rPr>
          <w:rtl/>
          <w:lang w:bidi="fa-IR"/>
        </w:rPr>
        <w:t>صِيُّهُ ، يَنْبَغِي أَنْ تَفُوقَ و</w:t>
      </w:r>
      <w:r w:rsidR="005E23DD">
        <w:rPr>
          <w:rFonts w:hint="cs"/>
          <w:rtl/>
          <w:lang w:bidi="fa-IR"/>
        </w:rPr>
        <w:t>َ</w:t>
      </w:r>
      <w:r w:rsidRPr="00132E65">
        <w:rPr>
          <w:rtl/>
          <w:lang w:bidi="fa-IR"/>
        </w:rPr>
        <w:t>لَا‌</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ج ، ض ، ف ، بس » والبحار : « قال »</w:t>
      </w:r>
      <w:r>
        <w:rPr>
          <w:rtl/>
        </w:rPr>
        <w:t>.</w:t>
      </w:r>
    </w:p>
    <w:p w:rsidR="000C39D1" w:rsidRPr="00132E65" w:rsidRDefault="000C39D1" w:rsidP="000C39D1">
      <w:pPr>
        <w:pStyle w:val="libFootnote0"/>
        <w:rPr>
          <w:rtl/>
          <w:lang w:bidi="fa-IR"/>
        </w:rPr>
      </w:pPr>
      <w:r>
        <w:rPr>
          <w:rtl/>
        </w:rPr>
        <w:t>(2).</w:t>
      </w:r>
      <w:r w:rsidRPr="00132E65">
        <w:rPr>
          <w:rtl/>
        </w:rPr>
        <w:t xml:space="preserve"> في كمال الدين :</w:t>
      </w:r>
      <w:r>
        <w:rPr>
          <w:rtl/>
        </w:rPr>
        <w:t xml:space="preserve"> + </w:t>
      </w:r>
      <w:r w:rsidRPr="00132E65">
        <w:rPr>
          <w:rtl/>
        </w:rPr>
        <w:t>« من الخلفاء »</w:t>
      </w:r>
      <w:r>
        <w:rPr>
          <w:rtl/>
        </w:rPr>
        <w:t>.</w:t>
      </w:r>
    </w:p>
    <w:p w:rsidR="000C39D1" w:rsidRPr="00132E65" w:rsidRDefault="000C39D1" w:rsidP="000C39D1">
      <w:pPr>
        <w:pStyle w:val="libFootnote0"/>
        <w:rPr>
          <w:rtl/>
          <w:lang w:bidi="fa-IR"/>
        </w:rPr>
      </w:pPr>
      <w:r>
        <w:rPr>
          <w:rtl/>
        </w:rPr>
        <w:t>(3).</w:t>
      </w:r>
      <w:r w:rsidRPr="00132E65">
        <w:rPr>
          <w:rtl/>
        </w:rPr>
        <w:t xml:space="preserve"> يقال : رسب يَرْسُب ، إذا ذهب إلى أسفل وإذا ثبت. </w:t>
      </w:r>
      <w:r w:rsidRPr="005E23DD">
        <w:rPr>
          <w:rStyle w:val="libFootnoteBoldChar"/>
          <w:rtl/>
        </w:rPr>
        <w:t>النهاية</w:t>
      </w:r>
      <w:r w:rsidRPr="00132E65">
        <w:rPr>
          <w:rtl/>
        </w:rPr>
        <w:t xml:space="preserve"> ، ج 2 ، ص 220 ( رسب )</w:t>
      </w:r>
      <w:r>
        <w:rPr>
          <w:rtl/>
        </w:rPr>
        <w:t>.</w:t>
      </w:r>
    </w:p>
    <w:p w:rsidR="000C39D1" w:rsidRPr="00132E65" w:rsidRDefault="000C39D1" w:rsidP="000C39D1">
      <w:pPr>
        <w:pStyle w:val="libFootnote0"/>
        <w:rPr>
          <w:rtl/>
          <w:lang w:bidi="fa-IR"/>
        </w:rPr>
      </w:pPr>
      <w:r>
        <w:rPr>
          <w:rtl/>
        </w:rPr>
        <w:t>(4).</w:t>
      </w:r>
      <w:r w:rsidRPr="00132E65">
        <w:rPr>
          <w:rtl/>
        </w:rPr>
        <w:t xml:space="preserve"> في « بح » : « وسكن »</w:t>
      </w:r>
      <w:r>
        <w:rPr>
          <w:rtl/>
        </w:rPr>
        <w:t>.</w:t>
      </w:r>
      <w:r w:rsidRPr="00132E65">
        <w:rPr>
          <w:rtl/>
        </w:rPr>
        <w:t xml:space="preserve"> وفي « بر ، بف » : « ويسكن »</w:t>
      </w:r>
      <w:r>
        <w:rPr>
          <w:rtl/>
        </w:rPr>
        <w:t>.</w:t>
      </w:r>
    </w:p>
    <w:p w:rsidR="000C39D1" w:rsidRPr="00132E65" w:rsidRDefault="000C39D1" w:rsidP="000C39D1">
      <w:pPr>
        <w:pStyle w:val="libFootnote0"/>
        <w:rPr>
          <w:rtl/>
          <w:lang w:bidi="fa-IR"/>
        </w:rPr>
      </w:pPr>
      <w:r>
        <w:rPr>
          <w:rtl/>
        </w:rPr>
        <w:t>(5).</w:t>
      </w:r>
      <w:r w:rsidRPr="00132E65">
        <w:rPr>
          <w:rtl/>
        </w:rPr>
        <w:t xml:space="preserve"> في « ف » : « جنّة »</w:t>
      </w:r>
      <w:r>
        <w:rPr>
          <w:rtl/>
        </w:rPr>
        <w:t>.</w:t>
      </w:r>
      <w:r w:rsidRPr="00132E65">
        <w:rPr>
          <w:rtl/>
        </w:rPr>
        <w:t xml:space="preserve"> وفي كمال الدين : « جنّة عدن »</w:t>
      </w:r>
      <w:r>
        <w:rPr>
          <w:rtl/>
        </w:rPr>
        <w:t>.</w:t>
      </w:r>
    </w:p>
    <w:tbl>
      <w:tblPr>
        <w:tblStyle w:val="TableGrid"/>
        <w:bidiVisual/>
        <w:tblW w:w="0" w:type="auto"/>
        <w:tblLook w:val="04A0" w:firstRow="1" w:lastRow="0" w:firstColumn="1" w:lastColumn="0" w:noHBand="0" w:noVBand="1"/>
      </w:tblPr>
      <w:tblGrid>
        <w:gridCol w:w="4261"/>
        <w:gridCol w:w="4262"/>
      </w:tblGrid>
      <w:tr w:rsidR="005E23DD" w:rsidTr="005E23DD">
        <w:tc>
          <w:tcPr>
            <w:tcW w:w="4261" w:type="dxa"/>
          </w:tcPr>
          <w:p w:rsidR="005E23DD" w:rsidRDefault="005E23DD" w:rsidP="000C39D1">
            <w:pPr>
              <w:pStyle w:val="libFootnote0"/>
              <w:rPr>
                <w:rtl/>
              </w:rPr>
            </w:pPr>
            <w:r>
              <w:rPr>
                <w:rtl/>
              </w:rPr>
              <w:t>(6).</w:t>
            </w:r>
            <w:r w:rsidRPr="00132E65">
              <w:rPr>
                <w:rtl/>
              </w:rPr>
              <w:t xml:space="preserve"> في كمال الدين : « الأئمّة »</w:t>
            </w:r>
            <w:r>
              <w:rPr>
                <w:rtl/>
              </w:rPr>
              <w:t>.</w:t>
            </w:r>
          </w:p>
        </w:tc>
        <w:tc>
          <w:tcPr>
            <w:tcW w:w="4262" w:type="dxa"/>
          </w:tcPr>
          <w:p w:rsidR="005E23DD" w:rsidRDefault="005E23DD" w:rsidP="000C39D1">
            <w:pPr>
              <w:pStyle w:val="libFootnote0"/>
              <w:rPr>
                <w:rtl/>
              </w:rPr>
            </w:pPr>
            <w:r>
              <w:rPr>
                <w:rtl/>
              </w:rPr>
              <w:t>(7).</w:t>
            </w:r>
            <w:r w:rsidRPr="00132E65">
              <w:rPr>
                <w:rtl/>
              </w:rPr>
              <w:t xml:space="preserve"> في حاشية « بر ، بح » وكمال الدين : « كتاب »</w:t>
            </w:r>
            <w:r>
              <w:rPr>
                <w:rtl/>
              </w:rPr>
              <w:t>.</w:t>
            </w:r>
          </w:p>
        </w:tc>
      </w:tr>
      <w:tr w:rsidR="005E23DD" w:rsidTr="005E23DD">
        <w:tc>
          <w:tcPr>
            <w:tcW w:w="4261" w:type="dxa"/>
          </w:tcPr>
          <w:p w:rsidR="005E23DD" w:rsidRDefault="005E23DD" w:rsidP="000C39D1">
            <w:pPr>
              <w:pStyle w:val="libFootnote0"/>
              <w:rPr>
                <w:rtl/>
              </w:rPr>
            </w:pPr>
            <w:r>
              <w:rPr>
                <w:rtl/>
              </w:rPr>
              <w:t>(8).</w:t>
            </w:r>
            <w:r w:rsidRPr="00132E65">
              <w:rPr>
                <w:rtl/>
              </w:rPr>
              <w:t xml:space="preserve"> في « بس » : « أخبرني » بدون الفاء.</w:t>
            </w:r>
          </w:p>
        </w:tc>
        <w:tc>
          <w:tcPr>
            <w:tcW w:w="4262" w:type="dxa"/>
          </w:tcPr>
          <w:p w:rsidR="005E23DD" w:rsidRDefault="005E23DD" w:rsidP="000C39D1">
            <w:pPr>
              <w:pStyle w:val="libFootnote0"/>
              <w:rPr>
                <w:rtl/>
              </w:rPr>
            </w:pPr>
            <w:r>
              <w:rPr>
                <w:rtl/>
              </w:rPr>
              <w:t>(9).</w:t>
            </w:r>
            <w:r w:rsidRPr="00132E65">
              <w:rPr>
                <w:rtl/>
              </w:rPr>
              <w:t xml:space="preserve"> في « ب ، بح » : « لا تزيد »</w:t>
            </w:r>
            <w:r>
              <w:rPr>
                <w:rtl/>
              </w:rPr>
              <w:t>.</w:t>
            </w:r>
          </w:p>
        </w:tc>
      </w:tr>
      <w:tr w:rsidR="005E23DD" w:rsidTr="005E23DD">
        <w:tc>
          <w:tcPr>
            <w:tcW w:w="4261" w:type="dxa"/>
          </w:tcPr>
          <w:p w:rsidR="005E23DD" w:rsidRDefault="005E23DD" w:rsidP="000C39D1">
            <w:pPr>
              <w:pStyle w:val="libFootnote0"/>
              <w:rPr>
                <w:rtl/>
              </w:rPr>
            </w:pPr>
            <w:r>
              <w:rPr>
                <w:rtl/>
              </w:rPr>
              <w:t>(10).</w:t>
            </w:r>
            <w:r w:rsidRPr="00132E65">
              <w:rPr>
                <w:rtl/>
              </w:rPr>
              <w:t xml:space="preserve"> في « ب » : « لا تنقص »</w:t>
            </w:r>
            <w:r>
              <w:rPr>
                <w:rtl/>
              </w:rPr>
              <w:t>.</w:t>
            </w:r>
          </w:p>
        </w:tc>
        <w:tc>
          <w:tcPr>
            <w:tcW w:w="4262" w:type="dxa"/>
          </w:tcPr>
          <w:p w:rsidR="005E23DD" w:rsidRDefault="005E23DD" w:rsidP="000C39D1">
            <w:pPr>
              <w:pStyle w:val="libFootnote0"/>
              <w:rPr>
                <w:rtl/>
              </w:rPr>
            </w:pPr>
            <w:r>
              <w:rPr>
                <w:rtl/>
              </w:rPr>
              <w:t>(11).</w:t>
            </w:r>
            <w:r w:rsidRPr="00132E65">
              <w:rPr>
                <w:rtl/>
              </w:rPr>
              <w:t xml:space="preserve"> في « بف » </w:t>
            </w:r>
            <w:r>
              <w:rPr>
                <w:rtl/>
              </w:rPr>
              <w:t xml:space="preserve">: - </w:t>
            </w:r>
            <w:r w:rsidRPr="00132E65">
              <w:rPr>
                <w:rtl/>
              </w:rPr>
              <w:t>« يوماً »</w:t>
            </w:r>
            <w:r>
              <w:rPr>
                <w:rtl/>
              </w:rPr>
              <w:t>.</w:t>
            </w:r>
          </w:p>
        </w:tc>
      </w:tr>
    </w:tbl>
    <w:p w:rsidR="000C39D1" w:rsidRPr="00132E65" w:rsidRDefault="000C39D1" w:rsidP="000C39D1">
      <w:pPr>
        <w:pStyle w:val="libFootnote0"/>
        <w:rPr>
          <w:rtl/>
          <w:lang w:bidi="fa-IR"/>
        </w:rPr>
      </w:pPr>
      <w:r>
        <w:rPr>
          <w:rtl/>
        </w:rPr>
        <w:t>(12).</w:t>
      </w:r>
      <w:r w:rsidRPr="00132E65">
        <w:rPr>
          <w:rtl/>
        </w:rPr>
        <w:t xml:space="preserve"> « القَرْن » : الجانب الأعلى من الرأس ، وجمعه : قرون. </w:t>
      </w:r>
      <w:r w:rsidRPr="005E23DD">
        <w:rPr>
          <w:rStyle w:val="libFootnoteBoldChar"/>
          <w:rtl/>
        </w:rPr>
        <w:t>القاموس المحيط</w:t>
      </w:r>
      <w:r w:rsidRPr="00DC7D06">
        <w:rPr>
          <w:rtl/>
        </w:rPr>
        <w:t xml:space="preserve"> </w:t>
      </w:r>
      <w:r w:rsidRPr="00132E65">
        <w:rPr>
          <w:rtl/>
        </w:rPr>
        <w:t>، ج 4 ، ص 257 ( قرن )</w:t>
      </w:r>
      <w:r>
        <w:rPr>
          <w:rtl/>
        </w:rPr>
        <w:t>.</w:t>
      </w:r>
    </w:p>
    <w:p w:rsidR="000C39D1" w:rsidRPr="00132E65" w:rsidRDefault="000C39D1" w:rsidP="000C39D1">
      <w:pPr>
        <w:pStyle w:val="libFootnote0"/>
        <w:rPr>
          <w:rtl/>
          <w:lang w:bidi="fa-IR"/>
        </w:rPr>
      </w:pPr>
      <w:r>
        <w:rPr>
          <w:rtl/>
        </w:rPr>
        <w:t>(13)</w:t>
      </w:r>
      <w:r w:rsidRPr="00132E65">
        <w:rPr>
          <w:rtl/>
        </w:rPr>
        <w:t xml:space="preserve"> في « ض ، بر » والبحار : « فيخضب »</w:t>
      </w:r>
      <w:r>
        <w:rPr>
          <w:rtl/>
        </w:rPr>
        <w:t>.</w:t>
      </w:r>
    </w:p>
    <w:p w:rsidR="000C39D1" w:rsidRPr="00132E65" w:rsidRDefault="000C39D1" w:rsidP="000C39D1">
      <w:pPr>
        <w:pStyle w:val="libFootnote0"/>
        <w:rPr>
          <w:rtl/>
          <w:lang w:bidi="fa-IR"/>
        </w:rPr>
      </w:pPr>
      <w:r>
        <w:rPr>
          <w:rtl/>
        </w:rPr>
        <w:t>(14)</w:t>
      </w:r>
      <w:r w:rsidRPr="00132E65">
        <w:rPr>
          <w:rtl/>
        </w:rPr>
        <w:t xml:space="preserve"> « الكُسْتيج » : خيط غليظ يشدّه الذمّي فوق ثيابه دون الزُنّار ، معرّبُ كُسْتي. هذا في اللغة ، ولكنّ الفيض صرّح‌</w:t>
      </w:r>
      <w:r w:rsidR="005E23DD">
        <w:rPr>
          <w:rFonts w:hint="cs"/>
          <w:rtl/>
        </w:rPr>
        <w:t xml:space="preserve"> </w:t>
      </w:r>
      <w:r w:rsidRPr="00132E65">
        <w:rPr>
          <w:rtl/>
        </w:rPr>
        <w:t xml:space="preserve">بتقديم الياء على التاء ثمّ ترجمه بنفس المعنى المذكور. راجع : </w:t>
      </w:r>
      <w:r w:rsidRPr="005E23DD">
        <w:rPr>
          <w:rStyle w:val="libFootnoteBoldChar"/>
          <w:rtl/>
        </w:rPr>
        <w:t>القاموس المحيط</w:t>
      </w:r>
      <w:r w:rsidRPr="00132E65">
        <w:rPr>
          <w:rtl/>
        </w:rPr>
        <w:t xml:space="preserve"> ، ج 1 ، ص 313 ( كستيج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تُفَاقَ ، و</w:t>
      </w:r>
      <w:r w:rsidR="005E23DD">
        <w:rPr>
          <w:rFonts w:hint="cs"/>
          <w:rtl/>
          <w:lang w:bidi="fa-IR"/>
        </w:rPr>
        <w:t>َ</w:t>
      </w:r>
      <w:r w:rsidRPr="00132E65">
        <w:rPr>
          <w:rtl/>
          <w:lang w:bidi="fa-IR"/>
        </w:rPr>
        <w:t>أَنْ تُعَظَّمَ و</w:t>
      </w:r>
      <w:r w:rsidR="005E23DD">
        <w:rPr>
          <w:rFonts w:hint="cs"/>
          <w:rtl/>
          <w:lang w:bidi="fa-IR"/>
        </w:rPr>
        <w:t>َ</w:t>
      </w:r>
      <w:r w:rsidRPr="00132E65">
        <w:rPr>
          <w:rtl/>
          <w:lang w:bidi="fa-IR"/>
        </w:rPr>
        <w:t xml:space="preserve">لَاتُسْتَضْعَفَ </w:t>
      </w:r>
      <w:r>
        <w:rPr>
          <w:rStyle w:val="libFootnotenumChar"/>
          <w:rtl/>
        </w:rPr>
        <w:t>(1)</w:t>
      </w:r>
    </w:p>
    <w:p w:rsidR="000C39D1" w:rsidRPr="00132E65" w:rsidRDefault="000C39D1" w:rsidP="000C39D1">
      <w:pPr>
        <w:pStyle w:val="libNormal"/>
        <w:rPr>
          <w:rtl/>
          <w:lang w:bidi="fa-IR"/>
        </w:rPr>
      </w:pPr>
      <w:r w:rsidRPr="00132E65">
        <w:rPr>
          <w:rtl/>
          <w:lang w:bidi="fa-IR"/>
        </w:rPr>
        <w:t xml:space="preserve">قَالَ : ثُمَّ مَضى بِهِ عَلِيٌّ </w:t>
      </w:r>
      <w:r w:rsidRPr="00071CF9">
        <w:rPr>
          <w:rStyle w:val="libAlaemChar"/>
          <w:rtl/>
        </w:rPr>
        <w:t>عليه‌السلام</w:t>
      </w:r>
      <w:r w:rsidRPr="00132E65">
        <w:rPr>
          <w:rtl/>
          <w:lang w:bidi="fa-IR"/>
        </w:rPr>
        <w:t xml:space="preserve"> إِلى مَنْزِلِهِ ، فَعَلَّمَهُ مَعَالِمَ الدِّينِ.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DC7D06">
        <w:rPr>
          <w:rtl/>
        </w:rPr>
        <w:t>1393</w:t>
      </w:r>
      <w:r w:rsidRPr="004325D8">
        <w:rPr>
          <w:rStyle w:val="libBold2Char"/>
          <w:rtl/>
        </w:rPr>
        <w:t xml:space="preserve"> / 6.</w:t>
      </w:r>
      <w:r w:rsidRPr="00132E65">
        <w:rPr>
          <w:rtl/>
          <w:lang w:bidi="fa-IR"/>
        </w:rPr>
        <w:t xml:space="preserve"> مُحَمَّدُ بْنُ يَحْيى ، عَنْ مُحَمَّدِ بْنِ أَحْمَدَ ، عَنْ مُحَمَّدِ بْنِ الْحُسَيْنِ </w:t>
      </w:r>
      <w:r>
        <w:rPr>
          <w:rStyle w:val="libFootnotenumChar"/>
          <w:rtl/>
        </w:rPr>
        <w:t>(3)</w:t>
      </w:r>
      <w:r w:rsidRPr="00132E65">
        <w:rPr>
          <w:rtl/>
          <w:lang w:bidi="fa-IR"/>
        </w:rPr>
        <w:t xml:space="preserve"> ، عَنْ أَبِي سَعِيدٍ الْعُصْفُورِيِّ </w:t>
      </w:r>
      <w:r>
        <w:rPr>
          <w:rStyle w:val="libFootnotenumChar"/>
          <w:rtl/>
        </w:rPr>
        <w:t>(4)</w:t>
      </w:r>
      <w:r w:rsidRPr="00132E65">
        <w:rPr>
          <w:rtl/>
          <w:lang w:bidi="fa-IR"/>
        </w:rPr>
        <w:t xml:space="preserve"> ، عَنْ عَمْرِو </w:t>
      </w:r>
      <w:r>
        <w:rPr>
          <w:rStyle w:val="libFootnotenumChar"/>
          <w:rtl/>
        </w:rPr>
        <w:t>(5)</w:t>
      </w:r>
      <w:r w:rsidRPr="00132E65">
        <w:rPr>
          <w:rtl/>
          <w:lang w:bidi="fa-IR"/>
        </w:rPr>
        <w:t xml:space="preserve"> بْنِ ثَابِتٍ ، عَنْ أَبِي حَمْزَةَ ، قَالَ :</w:t>
      </w:r>
    </w:p>
    <w:p w:rsidR="000C39D1" w:rsidRPr="00132E65" w:rsidRDefault="000C39D1" w:rsidP="000C39D1">
      <w:pPr>
        <w:pStyle w:val="libNormal"/>
        <w:rPr>
          <w:rtl/>
          <w:lang w:bidi="fa-IR"/>
        </w:rPr>
      </w:pPr>
      <w:r w:rsidRPr="00132E65">
        <w:rPr>
          <w:rtl/>
          <w:lang w:bidi="fa-IR"/>
        </w:rPr>
        <w:t xml:space="preserve">سَمِعْتُ عَلِيَّ بْنَ الْحُسَيْنِ </w:t>
      </w:r>
      <w:r w:rsidRPr="00071CF9">
        <w:rPr>
          <w:rStyle w:val="libAlaemChar"/>
          <w:rtl/>
        </w:rPr>
        <w:t>عليه‌السلام</w:t>
      </w:r>
      <w:r w:rsidRPr="00132E65">
        <w:rPr>
          <w:rtl/>
          <w:lang w:bidi="fa-IR"/>
        </w:rPr>
        <w:t xml:space="preserve"> يَقُولُ : « إِنَّ اللهَ خَلَقَ مُحَمَّداً و</w:t>
      </w:r>
      <w:r w:rsidR="005E23DD">
        <w:rPr>
          <w:rFonts w:hint="cs"/>
          <w:rtl/>
          <w:lang w:bidi="fa-IR"/>
        </w:rPr>
        <w:t>َ</w:t>
      </w:r>
      <w:r w:rsidRPr="00132E65">
        <w:rPr>
          <w:rtl/>
          <w:lang w:bidi="fa-IR"/>
        </w:rPr>
        <w:t>عَلِيّاً و</w:t>
      </w:r>
      <w:r w:rsidR="005E23DD">
        <w:rPr>
          <w:rFonts w:hint="cs"/>
          <w:rtl/>
          <w:lang w:bidi="fa-IR"/>
        </w:rPr>
        <w:t>َ</w:t>
      </w:r>
      <w:r w:rsidRPr="00132E65">
        <w:rPr>
          <w:rtl/>
          <w:lang w:bidi="fa-IR"/>
        </w:rPr>
        <w:t xml:space="preserve">أَحَدَ عَشَرَ مِنْ وُلْدِهِ مِنْ نُورِ عَظَمَتِهِ ، فَأَقَامَهُمْ أَشْبَاحاً </w:t>
      </w:r>
      <w:r>
        <w:rPr>
          <w:rStyle w:val="libFootnotenumChar"/>
          <w:rtl/>
        </w:rPr>
        <w:t>(6)</w:t>
      </w:r>
      <w:r w:rsidRPr="00132E65">
        <w:rPr>
          <w:rtl/>
          <w:lang w:bidi="fa-IR"/>
        </w:rPr>
        <w:t xml:space="preserve"> فِي ضِيَاءِ نُورِهِ ، يَعْبُدُونَهُ قَبْلَ خَلْقِ </w:t>
      </w:r>
      <w:r>
        <w:rPr>
          <w:rStyle w:val="libFootnotenumChar"/>
          <w:rtl/>
        </w:rPr>
        <w:t>(7)</w:t>
      </w:r>
      <w:r w:rsidRPr="00132E65">
        <w:rPr>
          <w:rtl/>
          <w:lang w:bidi="fa-IR"/>
        </w:rPr>
        <w:t xml:space="preserve"> الْخَلْقِ </w:t>
      </w:r>
      <w:r>
        <w:rPr>
          <w:rStyle w:val="libFootnotenumChar"/>
          <w:rtl/>
        </w:rPr>
        <w:t>(8)</w:t>
      </w:r>
      <w:r w:rsidRPr="00132E65">
        <w:rPr>
          <w:rtl/>
          <w:lang w:bidi="fa-IR"/>
        </w:rPr>
        <w:t xml:space="preserve"> ، يُسَبِّحُونَ اللهَ و</w:t>
      </w:r>
      <w:r w:rsidR="005E23DD">
        <w:rPr>
          <w:rFonts w:hint="cs"/>
          <w:rtl/>
          <w:lang w:bidi="fa-IR"/>
        </w:rPr>
        <w:t>َ</w:t>
      </w:r>
      <w:r w:rsidRPr="00132E65">
        <w:rPr>
          <w:rtl/>
          <w:lang w:bidi="fa-IR"/>
        </w:rPr>
        <w:t>يُقَدِّسُونَهُ ، و</w:t>
      </w:r>
      <w:r w:rsidR="005E23DD">
        <w:rPr>
          <w:rFonts w:hint="cs"/>
          <w:rtl/>
          <w:lang w:bidi="fa-IR"/>
        </w:rPr>
        <w:t>َ</w:t>
      </w:r>
      <w:r w:rsidRPr="00132E65">
        <w:rPr>
          <w:rtl/>
          <w:lang w:bidi="fa-IR"/>
        </w:rPr>
        <w:t>هُمُ الْأَئِمَّةُ مِنْ و</w:t>
      </w:r>
      <w:r w:rsidR="005E23DD">
        <w:rPr>
          <w:rFonts w:hint="cs"/>
          <w:rtl/>
          <w:lang w:bidi="fa-IR"/>
        </w:rPr>
        <w:t>ُ</w:t>
      </w:r>
      <w:r w:rsidRPr="00132E65">
        <w:rPr>
          <w:rtl/>
          <w:lang w:bidi="fa-IR"/>
        </w:rPr>
        <w:t xml:space="preserve">لْدِ رَسُولِ اللهِ </w:t>
      </w:r>
      <w:r w:rsidRPr="0093484F">
        <w:rPr>
          <w:rStyle w:val="libAlaemChar"/>
          <w:rFonts w:eastAsiaTheme="minorHAnsi"/>
          <w:rtl/>
        </w:rPr>
        <w:t>صلى‌الله‌عليه‌وآله</w:t>
      </w:r>
      <w:r w:rsidRPr="00132E65">
        <w:rPr>
          <w:rtl/>
          <w:lang w:bidi="fa-IR"/>
        </w:rPr>
        <w:t xml:space="preserve">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ج ، بس » : « ولا تستصغر »</w:t>
      </w:r>
      <w:r>
        <w:rPr>
          <w:rtl/>
        </w:rPr>
        <w:t>.</w:t>
      </w:r>
    </w:p>
    <w:p w:rsidR="000C39D1" w:rsidRPr="00132E65" w:rsidRDefault="000C39D1" w:rsidP="000C39D1">
      <w:pPr>
        <w:pStyle w:val="libFootnote0"/>
        <w:rPr>
          <w:rtl/>
          <w:lang w:bidi="fa-IR"/>
        </w:rPr>
      </w:pPr>
      <w:r>
        <w:rPr>
          <w:rtl/>
        </w:rPr>
        <w:t>(2).</w:t>
      </w:r>
      <w:r w:rsidRPr="00132E65">
        <w:rPr>
          <w:rtl/>
        </w:rPr>
        <w:t xml:space="preserve"> </w:t>
      </w:r>
      <w:r w:rsidRPr="005E23DD">
        <w:rPr>
          <w:rStyle w:val="libFootnoteBoldChar"/>
          <w:rtl/>
        </w:rPr>
        <w:t>كمال الدين</w:t>
      </w:r>
      <w:r w:rsidRPr="00132E65">
        <w:rPr>
          <w:rtl/>
        </w:rPr>
        <w:t xml:space="preserve"> ، ص 299 ، ح 6 ، بسنده عن أحمد بن محمّد بن خالد البرقي </w:t>
      </w:r>
      <w:r w:rsidR="005E23DD">
        <w:rPr>
          <w:rFonts w:hint="cs"/>
          <w:rtl/>
        </w:rPr>
        <w:t>.</w:t>
      </w:r>
      <w:r w:rsidRPr="009D1ACE">
        <w:rPr>
          <w:rStyle w:val="libFootnoteBoldChar"/>
          <w:rtl/>
        </w:rPr>
        <w:t>الوافي</w:t>
      </w:r>
      <w:r w:rsidRPr="00132E65">
        <w:rPr>
          <w:rtl/>
        </w:rPr>
        <w:t xml:space="preserve"> ، ج 2 ، ص 303 ، ح 760 ؛ </w:t>
      </w:r>
      <w:r w:rsidRPr="005E23DD">
        <w:rPr>
          <w:rStyle w:val="libFootnoteBoldChar"/>
          <w:rtl/>
        </w:rPr>
        <w:t>البحار</w:t>
      </w:r>
      <w:r w:rsidRPr="00132E65">
        <w:rPr>
          <w:rtl/>
        </w:rPr>
        <w:t xml:space="preserve"> ، ج 30 ، ص 103 ، ح 7.</w:t>
      </w:r>
    </w:p>
    <w:p w:rsidR="000C39D1" w:rsidRPr="00132E65" w:rsidRDefault="000C39D1" w:rsidP="000C39D1">
      <w:pPr>
        <w:pStyle w:val="libFootnote0"/>
        <w:rPr>
          <w:rtl/>
          <w:lang w:bidi="fa-IR"/>
        </w:rPr>
      </w:pPr>
      <w:r>
        <w:rPr>
          <w:rtl/>
        </w:rPr>
        <w:t>(3).</w:t>
      </w:r>
      <w:r w:rsidRPr="00132E65">
        <w:rPr>
          <w:rtl/>
        </w:rPr>
        <w:t xml:space="preserve"> ورد الخبر في </w:t>
      </w:r>
      <w:r w:rsidRPr="005E23DD">
        <w:rPr>
          <w:rStyle w:val="libFootnoteBoldChar"/>
          <w:rtl/>
        </w:rPr>
        <w:t>كمال الدين</w:t>
      </w:r>
      <w:r w:rsidRPr="00DC7D06">
        <w:rPr>
          <w:rtl/>
        </w:rPr>
        <w:t xml:space="preserve"> </w:t>
      </w:r>
      <w:r w:rsidRPr="00132E65">
        <w:rPr>
          <w:rtl/>
        </w:rPr>
        <w:t>، ص 318 ، ح 1 ، بسنده عن محمّد بن أحمد بن يحيى بن عمران الأشعري ، عن‌محمّد بن الحسين بن أبي الخطّاب ، عن محمّد بن الحسن ، عن أبي سعيد العصفري. والظاهر زيادة « عن مح</w:t>
      </w:r>
      <w:r w:rsidR="005E23DD">
        <w:rPr>
          <w:rtl/>
        </w:rPr>
        <w:t>مّد بن الحسن » ؛ فقد أورد العل</w:t>
      </w:r>
      <w:r w:rsidR="005E23DD">
        <w:rPr>
          <w:rFonts w:hint="cs"/>
          <w:rtl/>
        </w:rPr>
        <w:t>ّ</w:t>
      </w:r>
      <w:r w:rsidR="005E23DD">
        <w:rPr>
          <w:rtl/>
        </w:rPr>
        <w:t>ا</w:t>
      </w:r>
      <w:r w:rsidRPr="00132E65">
        <w:rPr>
          <w:rtl/>
        </w:rPr>
        <w:t xml:space="preserve">مة المجلسي الخبر في </w:t>
      </w:r>
      <w:r w:rsidRPr="005E23DD">
        <w:rPr>
          <w:rStyle w:val="libFootnoteBoldChar"/>
          <w:rtl/>
        </w:rPr>
        <w:t>البحار</w:t>
      </w:r>
      <w:r w:rsidRPr="00132E65">
        <w:rPr>
          <w:rtl/>
        </w:rPr>
        <w:t xml:space="preserve"> ، ج 15 ، ص 23 ، ح 39 ؛ وج 25 ، ص 15 ، ح 19 ، نقلاً من كمال الدين من دون ذكر « عن محمّد بن الحسن »</w:t>
      </w:r>
      <w:r>
        <w:rPr>
          <w:rtl/>
        </w:rPr>
        <w:t>.</w:t>
      </w:r>
    </w:p>
    <w:p w:rsidR="000C39D1" w:rsidRPr="00132E65" w:rsidRDefault="000C39D1" w:rsidP="000C39D1">
      <w:pPr>
        <w:pStyle w:val="libFootnote0"/>
        <w:rPr>
          <w:rtl/>
          <w:lang w:bidi="fa-IR"/>
        </w:rPr>
      </w:pPr>
      <w:r>
        <w:rPr>
          <w:rtl/>
        </w:rPr>
        <w:t>(4).</w:t>
      </w:r>
      <w:r w:rsidRPr="00132E65">
        <w:rPr>
          <w:rtl/>
        </w:rPr>
        <w:t xml:space="preserve"> كذا في النسخ والمطبوع ، والظاهر وقوع التحريف في العنوان. والصواب : « العصفري » ؛ فإنّ الخبر ورد بعين الألفاظ في أصل عبّاد أبي سعيد</w:t>
      </w:r>
      <w:r>
        <w:rPr>
          <w:rtl/>
        </w:rPr>
        <w:t xml:space="preserve"> - </w:t>
      </w:r>
      <w:r w:rsidRPr="00132E65">
        <w:rPr>
          <w:rtl/>
        </w:rPr>
        <w:t>العصفري المطبوع ضمن الا</w:t>
      </w:r>
      <w:r w:rsidR="005E23DD">
        <w:rPr>
          <w:rFonts w:hint="cs"/>
          <w:rtl/>
        </w:rPr>
        <w:t>ُ</w:t>
      </w:r>
      <w:r w:rsidRPr="00132E65">
        <w:rPr>
          <w:rtl/>
        </w:rPr>
        <w:t xml:space="preserve">صول الستّة عشر ، ص 16. والمذكور في كتب الرجال أيضاً ، هو عبّاد أبو سعيد العصفري. راجع : </w:t>
      </w:r>
      <w:r w:rsidRPr="005E23DD">
        <w:rPr>
          <w:rStyle w:val="libFootnoteBoldChar"/>
          <w:rtl/>
        </w:rPr>
        <w:t>رجال النجاشي</w:t>
      </w:r>
      <w:r w:rsidRPr="00132E65">
        <w:rPr>
          <w:rtl/>
        </w:rPr>
        <w:t xml:space="preserve"> ، ص 293 ، الرقم 793 ؛ </w:t>
      </w:r>
      <w:r w:rsidRPr="005E23DD">
        <w:rPr>
          <w:rStyle w:val="libFootnoteBoldChar"/>
          <w:rtl/>
        </w:rPr>
        <w:t>الفهرست للطوسي</w:t>
      </w:r>
      <w:r w:rsidRPr="00132E65">
        <w:rPr>
          <w:rtl/>
        </w:rPr>
        <w:t xml:space="preserve"> ، ص 343 ، الرقم 541.</w:t>
      </w:r>
    </w:p>
    <w:p w:rsidR="000C39D1" w:rsidRPr="00132E65" w:rsidRDefault="000C39D1" w:rsidP="000C39D1">
      <w:pPr>
        <w:pStyle w:val="libFootnote0"/>
        <w:rPr>
          <w:rtl/>
          <w:lang w:bidi="fa-IR"/>
        </w:rPr>
      </w:pPr>
      <w:r w:rsidRPr="00F24C1F">
        <w:rPr>
          <w:rtl/>
        </w:rPr>
        <w:t xml:space="preserve">ثمّ إنّ العصفري والعصفوري لقبان مختلفان ؛ الأوّل نسبة إلى « العصفر » وبيعه وشرائه ، وهي شي‌ء تُصبَغ به الثياب. والثاني نسبة إلى « عصفور » ، وهو اسم لبعض أجداد المنتسب إليه. راجع : </w:t>
      </w:r>
      <w:r w:rsidRPr="005E23DD">
        <w:rPr>
          <w:rStyle w:val="libFootnoteBoldChar"/>
          <w:rtl/>
        </w:rPr>
        <w:t>الأنساب للسمعاني</w:t>
      </w:r>
      <w:r w:rsidRPr="00F24C1F">
        <w:rPr>
          <w:rtl/>
        </w:rPr>
        <w:t xml:space="preserve"> ، ج 4 ، ص 202 ، ص 204.</w:t>
      </w:r>
    </w:p>
    <w:p w:rsidR="000C39D1" w:rsidRPr="00132E65" w:rsidRDefault="000C39D1" w:rsidP="000C39D1">
      <w:pPr>
        <w:pStyle w:val="libFootnote0"/>
        <w:rPr>
          <w:rtl/>
          <w:lang w:bidi="fa-IR"/>
        </w:rPr>
      </w:pPr>
      <w:r>
        <w:rPr>
          <w:rtl/>
        </w:rPr>
        <w:t>(5).</w:t>
      </w:r>
      <w:r w:rsidRPr="00132E65">
        <w:rPr>
          <w:rtl/>
        </w:rPr>
        <w:t xml:space="preserve"> في « ب ، ف ، بر ، بس ، بف » : « عمر » ، وهو سهو. راجع : </w:t>
      </w:r>
      <w:r w:rsidRPr="005E23DD">
        <w:rPr>
          <w:rStyle w:val="libFootnoteBoldChar"/>
          <w:rtl/>
        </w:rPr>
        <w:t>رجال النجاشي</w:t>
      </w:r>
      <w:r w:rsidRPr="00132E65">
        <w:rPr>
          <w:rtl/>
        </w:rPr>
        <w:t xml:space="preserve"> ، ص 290 ، الرقم 777.</w:t>
      </w:r>
    </w:p>
    <w:p w:rsidR="000C39D1" w:rsidRPr="00132E65" w:rsidRDefault="000C39D1" w:rsidP="000C39D1">
      <w:pPr>
        <w:pStyle w:val="libFootnote0"/>
        <w:rPr>
          <w:rtl/>
          <w:lang w:bidi="fa-IR"/>
        </w:rPr>
      </w:pPr>
      <w:r>
        <w:rPr>
          <w:rtl/>
        </w:rPr>
        <w:t>(6).</w:t>
      </w:r>
      <w:r w:rsidRPr="00132E65">
        <w:rPr>
          <w:rtl/>
        </w:rPr>
        <w:t xml:space="preserve"> في كمال الدين : « والأئمّة الأحد عشر من نور عظمته أرواحاً » بدل « وأحد عشر</w:t>
      </w:r>
      <w:r>
        <w:rPr>
          <w:rtl/>
        </w:rPr>
        <w:t xml:space="preserve"> - </w:t>
      </w:r>
      <w:r w:rsidRPr="00132E65">
        <w:rPr>
          <w:rtl/>
        </w:rPr>
        <w:t>إلى</w:t>
      </w:r>
      <w:r>
        <w:rPr>
          <w:rtl/>
        </w:rPr>
        <w:t xml:space="preserve"> - </w:t>
      </w:r>
      <w:r w:rsidRPr="00132E65">
        <w:rPr>
          <w:rtl/>
        </w:rPr>
        <w:t>أشباحاً »</w:t>
      </w:r>
      <w:r>
        <w:rPr>
          <w:rtl/>
        </w:rPr>
        <w:t>.</w:t>
      </w:r>
      <w:r w:rsidRPr="00132E65">
        <w:rPr>
          <w:rtl/>
        </w:rPr>
        <w:t xml:space="preserve"> </w:t>
      </w:r>
      <w:r>
        <w:rPr>
          <w:rtl/>
        </w:rPr>
        <w:t>و «</w:t>
      </w:r>
      <w:r w:rsidRPr="00132E65">
        <w:rPr>
          <w:rtl/>
        </w:rPr>
        <w:t xml:space="preserve"> الشبح » : الشخص. والجمع : أشباح. </w:t>
      </w:r>
      <w:r w:rsidRPr="005E23DD">
        <w:rPr>
          <w:rStyle w:val="libFootnoteBoldChar"/>
          <w:rtl/>
        </w:rPr>
        <w:t>المصباح المنير</w:t>
      </w:r>
      <w:r w:rsidRPr="00132E65">
        <w:rPr>
          <w:rtl/>
        </w:rPr>
        <w:t xml:space="preserve"> ، ص 302 ( شبح )</w:t>
      </w:r>
      <w:r>
        <w:rPr>
          <w:rtl/>
        </w:rPr>
        <w:t>.</w:t>
      </w:r>
    </w:p>
    <w:tbl>
      <w:tblPr>
        <w:tblStyle w:val="TableGrid"/>
        <w:bidiVisual/>
        <w:tblW w:w="0" w:type="auto"/>
        <w:tblLook w:val="04A0" w:firstRow="1" w:lastRow="0" w:firstColumn="1" w:lastColumn="0" w:noHBand="0" w:noVBand="1"/>
      </w:tblPr>
      <w:tblGrid>
        <w:gridCol w:w="4261"/>
        <w:gridCol w:w="4262"/>
      </w:tblGrid>
      <w:tr w:rsidR="005E23DD" w:rsidTr="005E23DD">
        <w:tc>
          <w:tcPr>
            <w:tcW w:w="4261" w:type="dxa"/>
          </w:tcPr>
          <w:p w:rsidR="005E23DD" w:rsidRDefault="005E23DD" w:rsidP="000C39D1">
            <w:pPr>
              <w:pStyle w:val="libFootnote0"/>
              <w:rPr>
                <w:rtl/>
              </w:rPr>
            </w:pPr>
            <w:r>
              <w:rPr>
                <w:rtl/>
              </w:rPr>
              <w:t>(7).</w:t>
            </w:r>
            <w:r w:rsidRPr="00132E65">
              <w:rPr>
                <w:rtl/>
              </w:rPr>
              <w:t xml:space="preserve"> في « بر » </w:t>
            </w:r>
            <w:r>
              <w:rPr>
                <w:rtl/>
              </w:rPr>
              <w:t xml:space="preserve">: - </w:t>
            </w:r>
            <w:r w:rsidRPr="00132E65">
              <w:rPr>
                <w:rtl/>
              </w:rPr>
              <w:t>« خلق »</w:t>
            </w:r>
            <w:r>
              <w:rPr>
                <w:rtl/>
              </w:rPr>
              <w:t>.</w:t>
            </w:r>
          </w:p>
        </w:tc>
        <w:tc>
          <w:tcPr>
            <w:tcW w:w="4262" w:type="dxa"/>
          </w:tcPr>
          <w:p w:rsidR="005E23DD" w:rsidRDefault="005E23DD" w:rsidP="000C39D1">
            <w:pPr>
              <w:pStyle w:val="libFootnote0"/>
              <w:rPr>
                <w:rtl/>
              </w:rPr>
            </w:pPr>
            <w:r>
              <w:rPr>
                <w:rtl/>
              </w:rPr>
              <w:t>(8).</w:t>
            </w:r>
            <w:r w:rsidRPr="00132E65">
              <w:rPr>
                <w:rtl/>
              </w:rPr>
              <w:t xml:space="preserve"> في « ب »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ar-IQ"/>
        </w:rPr>
      </w:pPr>
      <w:r>
        <w:rPr>
          <w:rtl/>
        </w:rPr>
        <w:t>(9).</w:t>
      </w:r>
      <w:r w:rsidRPr="00132E65">
        <w:rPr>
          <w:rtl/>
        </w:rPr>
        <w:t xml:space="preserve"> </w:t>
      </w:r>
      <w:r w:rsidRPr="005E23DD">
        <w:rPr>
          <w:rStyle w:val="libFootnoteBoldChar"/>
          <w:rtl/>
        </w:rPr>
        <w:t>كمال الدين</w:t>
      </w:r>
      <w:r w:rsidRPr="00132E65">
        <w:rPr>
          <w:rtl/>
        </w:rPr>
        <w:t xml:space="preserve"> ، ص 318 ، ح 1 ، بسنده عن محمّد بن يحيى ، عن محمّد بن </w:t>
      </w:r>
      <w:r w:rsidR="005E23DD">
        <w:rPr>
          <w:rtl/>
        </w:rPr>
        <w:t>أحمد بن يحيى بن عمران الأشعري ،</w:t>
      </w:r>
      <w:r w:rsidR="005E23DD">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DC7D06">
        <w:rPr>
          <w:rtl/>
        </w:rPr>
        <w:t>1394</w:t>
      </w:r>
      <w:r w:rsidRPr="004325D8">
        <w:rPr>
          <w:rStyle w:val="libBold2Char"/>
          <w:rtl/>
        </w:rPr>
        <w:t xml:space="preserve"> / 7.</w:t>
      </w:r>
      <w:r w:rsidRPr="00132E65">
        <w:rPr>
          <w:rtl/>
          <w:lang w:bidi="fa-IR"/>
        </w:rPr>
        <w:t xml:space="preserve"> مُحَمَّدُ بْنُ يَحْيى ، عَنْ عَبْدِ اللهِ بْنِ مُحَمَّدٍ ، عَنِ </w:t>
      </w:r>
      <w:r>
        <w:rPr>
          <w:rStyle w:val="libFootnotenumChar"/>
          <w:rtl/>
        </w:rPr>
        <w:t>(1)</w:t>
      </w:r>
      <w:r w:rsidRPr="00132E65">
        <w:rPr>
          <w:rtl/>
          <w:lang w:bidi="fa-IR"/>
        </w:rPr>
        <w:t xml:space="preserve"> الْخَشَّابِ ، عَنِ ابْنِ سَمَاعَةَ ، عَنْ عَلِيِّ بْنِ الْحَسَنِ بْنِ رِبَاطٍ ، عَنِ ابْنِ أُذَيْنَةَ ، عَنْ زُرَارَةَ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الِاثْنَا عَشَرَ الْإِمَامَ </w:t>
      </w:r>
      <w:r>
        <w:rPr>
          <w:rStyle w:val="libFootnotenumChar"/>
          <w:rtl/>
        </w:rPr>
        <w:t>(2)</w:t>
      </w:r>
      <w:r w:rsidRPr="00132E65">
        <w:rPr>
          <w:rtl/>
          <w:lang w:bidi="fa-IR"/>
        </w:rPr>
        <w:t xml:space="preserve"> مِنْ آلِ مُحَمَّدٍ </w:t>
      </w:r>
      <w:r w:rsidRPr="00071CF9">
        <w:rPr>
          <w:rStyle w:val="libAlaemChar"/>
          <w:rtl/>
        </w:rPr>
        <w:t>عليهم‌السلام</w:t>
      </w:r>
      <w:r w:rsidRPr="00132E65">
        <w:rPr>
          <w:rtl/>
          <w:lang w:bidi="fa-IR"/>
        </w:rPr>
        <w:t xml:space="preserve"> كُلُّهُمْ مُحَدَّثٌ مِنْ وُلْدِ رَسُولِ اللهِ </w:t>
      </w:r>
      <w:r w:rsidRPr="0093484F">
        <w:rPr>
          <w:rStyle w:val="libAlaemChar"/>
          <w:rFonts w:eastAsiaTheme="minorHAnsi"/>
          <w:rtl/>
        </w:rPr>
        <w:t>صلى‌الله‌عليه‌وآله</w:t>
      </w:r>
      <w:r w:rsidRPr="00132E65">
        <w:rPr>
          <w:rtl/>
          <w:lang w:bidi="fa-IR"/>
        </w:rPr>
        <w:t xml:space="preserve"> و</w:t>
      </w:r>
      <w:r w:rsidR="005E23DD">
        <w:rPr>
          <w:rFonts w:hint="cs"/>
          <w:rtl/>
          <w:lang w:bidi="fa-IR"/>
        </w:rPr>
        <w:t>َ</w:t>
      </w:r>
      <w:r w:rsidRPr="00132E65">
        <w:rPr>
          <w:rtl/>
          <w:lang w:bidi="fa-IR"/>
        </w:rPr>
        <w:t xml:space="preserve">مِنْ </w:t>
      </w:r>
      <w:r>
        <w:rPr>
          <w:rStyle w:val="libFootnotenumChar"/>
          <w:rtl/>
        </w:rPr>
        <w:t>(3)</w:t>
      </w:r>
      <w:r w:rsidRPr="00132E65">
        <w:rPr>
          <w:rtl/>
          <w:lang w:bidi="fa-IR"/>
        </w:rPr>
        <w:t xml:space="preserve"> و</w:t>
      </w:r>
      <w:r w:rsidR="005E23DD">
        <w:rPr>
          <w:rFonts w:hint="cs"/>
          <w:rtl/>
          <w:lang w:bidi="fa-IR"/>
        </w:rPr>
        <w:t>ُ</w:t>
      </w:r>
      <w:r w:rsidRPr="00132E65">
        <w:rPr>
          <w:rtl/>
          <w:lang w:bidi="fa-IR"/>
        </w:rPr>
        <w:t xml:space="preserve">لْدِ عَلِيٍّ </w:t>
      </w:r>
      <w:r w:rsidRPr="00071CF9">
        <w:rPr>
          <w:rStyle w:val="libAlaemChar"/>
          <w:rtl/>
        </w:rPr>
        <w:t>عليه‌السلام</w:t>
      </w:r>
      <w:r w:rsidRPr="00132E65">
        <w:rPr>
          <w:rtl/>
          <w:lang w:bidi="fa-IR"/>
        </w:rPr>
        <w:t xml:space="preserve"> </w:t>
      </w:r>
      <w:r>
        <w:rPr>
          <w:rStyle w:val="libFootnotenumChar"/>
          <w:rtl/>
        </w:rPr>
        <w:t>(4)</w:t>
      </w:r>
      <w:r w:rsidRPr="00132E65">
        <w:rPr>
          <w:rtl/>
          <w:lang w:bidi="fa-IR"/>
        </w:rPr>
        <w:t xml:space="preserve"> ، و</w:t>
      </w:r>
      <w:r w:rsidR="005E23DD">
        <w:rPr>
          <w:rFonts w:hint="cs"/>
          <w:rtl/>
          <w:lang w:bidi="fa-IR"/>
        </w:rPr>
        <w:t>َ</w:t>
      </w:r>
      <w:r w:rsidRPr="00132E65">
        <w:rPr>
          <w:rtl/>
          <w:lang w:bidi="fa-IR"/>
        </w:rPr>
        <w:t xml:space="preserve">رَسُولُ </w:t>
      </w:r>
      <w:r>
        <w:rPr>
          <w:rStyle w:val="libFootnotenumChar"/>
          <w:rtl/>
        </w:rPr>
        <w:t>(5)</w:t>
      </w:r>
      <w:r w:rsidRPr="00132E65">
        <w:rPr>
          <w:rtl/>
          <w:lang w:bidi="fa-IR"/>
        </w:rPr>
        <w:t xml:space="preserve"> اللهِ و</w:t>
      </w:r>
      <w:r w:rsidR="005E23DD">
        <w:rPr>
          <w:rFonts w:hint="cs"/>
          <w:rtl/>
          <w:lang w:bidi="fa-IR"/>
        </w:rPr>
        <w:t>َ</w:t>
      </w:r>
      <w:r w:rsidRPr="00132E65">
        <w:rPr>
          <w:rtl/>
          <w:lang w:bidi="fa-IR"/>
        </w:rPr>
        <w:t xml:space="preserve">عَلِيٌّ </w:t>
      </w:r>
      <w:r w:rsidRPr="00071CF9">
        <w:rPr>
          <w:rStyle w:val="libAlaemChar"/>
          <w:rtl/>
        </w:rPr>
        <w:t>عليهما‌السلام</w:t>
      </w:r>
      <w:r w:rsidRPr="00132E65">
        <w:rPr>
          <w:rtl/>
          <w:lang w:bidi="fa-IR"/>
        </w:rPr>
        <w:t xml:space="preserve"> هُمَا الْوَالِدَانِ »</w:t>
      </w:r>
      <w:r>
        <w:rPr>
          <w:rtl/>
          <w:lang w:bidi="fa-IR"/>
        </w:rPr>
        <w:t>.</w:t>
      </w:r>
      <w:r w:rsidRPr="00132E65">
        <w:rPr>
          <w:rtl/>
          <w:lang w:bidi="fa-IR"/>
        </w:rPr>
        <w:t xml:space="preserve"> فَقَالَ </w:t>
      </w:r>
      <w:r>
        <w:rPr>
          <w:rStyle w:val="libFootnotenumChar"/>
          <w:rtl/>
        </w:rPr>
        <w:t>(6)</w:t>
      </w:r>
      <w:r w:rsidRPr="00132E65">
        <w:rPr>
          <w:rtl/>
          <w:lang w:bidi="fa-IR"/>
        </w:rPr>
        <w:t xml:space="preserve"> عَلِيُّ </w:t>
      </w:r>
      <w:r>
        <w:rPr>
          <w:rStyle w:val="libFootnotenumChar"/>
          <w:rtl/>
        </w:rPr>
        <w:t>(7)</w:t>
      </w:r>
      <w:r w:rsidRPr="00132E65">
        <w:rPr>
          <w:rtl/>
          <w:lang w:bidi="fa-IR"/>
        </w:rPr>
        <w:t xml:space="preserve"> بْنُ رَاشِدٍ</w:t>
      </w:r>
      <w:r>
        <w:rPr>
          <w:rtl/>
          <w:lang w:bidi="fa-IR"/>
        </w:rPr>
        <w:t xml:space="preserve"> - </w:t>
      </w:r>
      <w:r w:rsidRPr="00132E65">
        <w:rPr>
          <w:rtl/>
          <w:lang w:bidi="fa-IR"/>
        </w:rPr>
        <w:t>وكَانَ أَخَا عَلِيِّ بْنِ الْحُسَيْنِ لِأُمِّهِ</w:t>
      </w:r>
      <w:r>
        <w:rPr>
          <w:rtl/>
          <w:lang w:bidi="fa-IR"/>
        </w:rPr>
        <w:t xml:space="preserve"> - </w:t>
      </w:r>
      <w:r w:rsidRPr="00132E65">
        <w:rPr>
          <w:rtl/>
          <w:lang w:bidi="fa-IR"/>
        </w:rPr>
        <w:t>و</w:t>
      </w:r>
      <w:r w:rsidR="005E23DD">
        <w:rPr>
          <w:rFonts w:hint="cs"/>
          <w:rtl/>
          <w:lang w:bidi="fa-IR"/>
        </w:rPr>
        <w:t>َ</w:t>
      </w:r>
      <w:r w:rsidRPr="00132E65">
        <w:rPr>
          <w:rtl/>
          <w:lang w:bidi="fa-IR"/>
        </w:rPr>
        <w:t xml:space="preserve">أَنْكَرَ ذلِكَ ، فَصَرَّرَ </w:t>
      </w:r>
      <w:r>
        <w:rPr>
          <w:rStyle w:val="libFootnotenumChar"/>
          <w:rtl/>
        </w:rPr>
        <w:t>(8)</w:t>
      </w:r>
      <w:r w:rsidRPr="00132E65">
        <w:rPr>
          <w:rtl/>
          <w:lang w:bidi="fa-IR"/>
        </w:rPr>
        <w:t xml:space="preserve"> أَبُو جَعْفَرٍ </w:t>
      </w:r>
      <w:r w:rsidRPr="00071CF9">
        <w:rPr>
          <w:rStyle w:val="libAlaemChar"/>
          <w:rtl/>
        </w:rPr>
        <w:t>عليه‌السلام</w:t>
      </w:r>
      <w:r w:rsidRPr="00132E65">
        <w:rPr>
          <w:rtl/>
          <w:lang w:bidi="fa-IR"/>
        </w:rPr>
        <w:t xml:space="preserve"> ، وَقَالَ </w:t>
      </w:r>
      <w:r>
        <w:rPr>
          <w:rStyle w:val="libFootnotenumChar"/>
          <w:rtl/>
        </w:rPr>
        <w:t>(9)</w:t>
      </w:r>
      <w:r w:rsidRPr="00132E65">
        <w:rPr>
          <w:rtl/>
          <w:lang w:bidi="fa-IR"/>
        </w:rPr>
        <w:t xml:space="preserve"> : « أَمَا إِنَّ </w:t>
      </w:r>
      <w:r>
        <w:rPr>
          <w:rStyle w:val="libFootnotenumChar"/>
          <w:rtl/>
        </w:rPr>
        <w:t>(10)</w:t>
      </w:r>
      <w:r w:rsidRPr="00132E65">
        <w:rPr>
          <w:rtl/>
          <w:lang w:bidi="fa-IR"/>
        </w:rPr>
        <w:t xml:space="preserve"> ابْنَ أُمِّكَ كَانَ أَحَدَهُمْ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5E23DD" w:rsidP="000C39D1">
      <w:pPr>
        <w:pStyle w:val="libFootnote0"/>
        <w:rPr>
          <w:rtl/>
          <w:lang w:bidi="fa-IR"/>
        </w:rPr>
      </w:pPr>
      <w:r>
        <w:rPr>
          <w:rFonts w:hint="cs"/>
          <w:rtl/>
        </w:rPr>
        <w:t>=</w:t>
      </w:r>
      <w:r w:rsidR="000C39D1" w:rsidRPr="00132E65">
        <w:rPr>
          <w:rtl/>
        </w:rPr>
        <w:t xml:space="preserve">عن محمّد بن الحسين بن أبي الخطّاب ، عن محمّد بن الحسن ، عن أبي سعيد العصفري ؛ </w:t>
      </w:r>
      <w:r w:rsidR="000C39D1" w:rsidRPr="005E23DD">
        <w:rPr>
          <w:rStyle w:val="libFootnoteBoldChar"/>
          <w:rtl/>
        </w:rPr>
        <w:t>تقريب المعارف</w:t>
      </w:r>
      <w:r w:rsidR="000C39D1" w:rsidRPr="00132E65">
        <w:rPr>
          <w:rtl/>
        </w:rPr>
        <w:t xml:space="preserve"> ، ص 182 ، عن أبي حمزة الثمالي </w:t>
      </w:r>
      <w:r>
        <w:rPr>
          <w:rFonts w:hint="cs"/>
          <w:rtl/>
        </w:rPr>
        <w:t>.</w:t>
      </w:r>
      <w:r w:rsidR="000C39D1" w:rsidRPr="009D1ACE">
        <w:rPr>
          <w:rStyle w:val="libFootnoteBoldChar"/>
          <w:rtl/>
        </w:rPr>
        <w:t>الوافي</w:t>
      </w:r>
      <w:r w:rsidR="000C39D1" w:rsidRPr="00132E65">
        <w:rPr>
          <w:rtl/>
        </w:rPr>
        <w:t xml:space="preserve"> ، ج 2 ، ص 307 ، ح 762.</w:t>
      </w:r>
    </w:p>
    <w:p w:rsidR="000C39D1" w:rsidRPr="00132E65" w:rsidRDefault="000C39D1" w:rsidP="000C39D1">
      <w:pPr>
        <w:pStyle w:val="libFootnote0"/>
        <w:rPr>
          <w:rtl/>
          <w:lang w:bidi="fa-IR"/>
        </w:rPr>
      </w:pPr>
      <w:r>
        <w:rPr>
          <w:rtl/>
        </w:rPr>
        <w:t>(1).</w:t>
      </w:r>
      <w:r w:rsidRPr="00132E65">
        <w:rPr>
          <w:rtl/>
        </w:rPr>
        <w:t xml:space="preserve"> هكذا في « جس » وفي </w:t>
      </w:r>
      <w:r w:rsidRPr="00BE0E63">
        <w:rPr>
          <w:rStyle w:val="libFootnoteBoldChar"/>
          <w:rtl/>
        </w:rPr>
        <w:t>إعلام الورى</w:t>
      </w:r>
      <w:r w:rsidRPr="00132E65">
        <w:rPr>
          <w:rtl/>
        </w:rPr>
        <w:t xml:space="preserve"> ، ج 2 ، ص 171 ، نقلاً من </w:t>
      </w:r>
      <w:r w:rsidRPr="000577A7">
        <w:rPr>
          <w:rStyle w:val="libFootnoteBoldChar"/>
          <w:rtl/>
        </w:rPr>
        <w:t>الكافي</w:t>
      </w:r>
      <w:r w:rsidRPr="00132E65">
        <w:rPr>
          <w:rtl/>
        </w:rPr>
        <w:t xml:space="preserve">. وفي سائر النسخ والمطبوع </w:t>
      </w:r>
      <w:r>
        <w:rPr>
          <w:rtl/>
        </w:rPr>
        <w:t xml:space="preserve">: - </w:t>
      </w:r>
      <w:r w:rsidRPr="00132E65">
        <w:rPr>
          <w:rtl/>
        </w:rPr>
        <w:t>« عن »</w:t>
      </w:r>
      <w:r>
        <w:rPr>
          <w:rtl/>
        </w:rPr>
        <w:t>.</w:t>
      </w:r>
    </w:p>
    <w:p w:rsidR="000C39D1" w:rsidRPr="0034251B" w:rsidRDefault="000C39D1" w:rsidP="00BE0E63">
      <w:pPr>
        <w:pStyle w:val="libFootnote0"/>
        <w:rPr>
          <w:rtl/>
          <w:lang w:bidi="ar-IQ"/>
        </w:rPr>
      </w:pPr>
      <w:r w:rsidRPr="00F543F1">
        <w:rPr>
          <w:rtl/>
        </w:rPr>
        <w:t xml:space="preserve">وما أثبتناه هو الصواب ؛ فقد روى محمّد بن يحيى العطّار عن عبد الله بن محمّد بن عيسى ، عن الحسن بن موسى الخشّاب في </w:t>
      </w:r>
      <w:r w:rsidRPr="00BE0E63">
        <w:rPr>
          <w:rStyle w:val="libFootnoteBoldChar"/>
          <w:rtl/>
        </w:rPr>
        <w:t>كمال الدين</w:t>
      </w:r>
      <w:r w:rsidRPr="00F543F1">
        <w:rPr>
          <w:rtl/>
        </w:rPr>
        <w:t xml:space="preserve"> ، ص 412 ، ح 9. وتكرّرت أيضاً رواية عبد الله بن محمّد عن الحسن بن موسى الخشّاب في </w:t>
      </w:r>
      <w:r w:rsidRPr="00BE0E63">
        <w:rPr>
          <w:rStyle w:val="libFootnoteBoldChar"/>
          <w:rtl/>
        </w:rPr>
        <w:t>بصائر الدرجات</w:t>
      </w:r>
      <w:r w:rsidRPr="0034251B">
        <w:rPr>
          <w:rtl/>
        </w:rPr>
        <w:t xml:space="preserve"> ، ص 57 ، ح 6 ، وص 123 ، ح 1 ، وص 158 ، ح 24 ، وص 226 ، ح 4 ، وص 293 ، ح 4 ، وص 423 ، ح 3.</w:t>
      </w:r>
    </w:p>
    <w:p w:rsidR="000C39D1" w:rsidRPr="00E55206" w:rsidRDefault="000C39D1" w:rsidP="00BE0E63">
      <w:pPr>
        <w:pStyle w:val="libFootnote0"/>
        <w:rPr>
          <w:rtl/>
        </w:rPr>
      </w:pPr>
      <w:r w:rsidRPr="0034251B">
        <w:rPr>
          <w:rtl/>
        </w:rPr>
        <w:t xml:space="preserve">هذا ، والخبر رواه الصفّار في </w:t>
      </w:r>
      <w:r w:rsidRPr="00BE0E63">
        <w:rPr>
          <w:rStyle w:val="libFootnoteBoldChar"/>
          <w:rtl/>
        </w:rPr>
        <w:t>بصائر الدرجات</w:t>
      </w:r>
      <w:r w:rsidRPr="00E55206">
        <w:rPr>
          <w:rtl/>
        </w:rPr>
        <w:t xml:space="preserve"> ، ص 320 ، ح 5 - مع اختلاف في الألفاظ - عن عبد الله ، عن الحسن بن موسى الخشّاب ، عن ابن سماعة و</w:t>
      </w:r>
      <w:r w:rsidRPr="00E55206">
        <w:rPr>
          <w:rFonts w:hint="cs"/>
          <w:rtl/>
        </w:rPr>
        <w:t xml:space="preserve"> </w:t>
      </w:r>
      <w:r w:rsidRPr="00E55206">
        <w:rPr>
          <w:rtl/>
        </w:rPr>
        <w:t>( عن خ ل ) عليّ بن الحسين ( الحسن خ ل ) بن رباط.</w:t>
      </w:r>
    </w:p>
    <w:tbl>
      <w:tblPr>
        <w:tblStyle w:val="TableGrid"/>
        <w:bidiVisual/>
        <w:tblW w:w="0" w:type="auto"/>
        <w:tblLook w:val="04A0" w:firstRow="1" w:lastRow="0" w:firstColumn="1" w:lastColumn="0" w:noHBand="0" w:noVBand="1"/>
      </w:tblPr>
      <w:tblGrid>
        <w:gridCol w:w="4261"/>
        <w:gridCol w:w="4262"/>
      </w:tblGrid>
      <w:tr w:rsidR="00BE0E63" w:rsidTr="00BE0E63">
        <w:tc>
          <w:tcPr>
            <w:tcW w:w="4261" w:type="dxa"/>
          </w:tcPr>
          <w:p w:rsidR="00BE0E63" w:rsidRDefault="00BE0E63" w:rsidP="000C39D1">
            <w:pPr>
              <w:pStyle w:val="libFootnote0"/>
              <w:rPr>
                <w:rtl/>
              </w:rPr>
            </w:pPr>
            <w:r>
              <w:rPr>
                <w:rtl/>
              </w:rPr>
              <w:t>(2).</w:t>
            </w:r>
            <w:r w:rsidRPr="00132E65">
              <w:rPr>
                <w:rtl/>
              </w:rPr>
              <w:t xml:space="preserve"> في البصائر : « الأئمّة »</w:t>
            </w:r>
            <w:r>
              <w:rPr>
                <w:rtl/>
              </w:rPr>
              <w:t>.</w:t>
            </w:r>
          </w:p>
        </w:tc>
        <w:tc>
          <w:tcPr>
            <w:tcW w:w="4262" w:type="dxa"/>
          </w:tcPr>
          <w:p w:rsidR="00BE0E63" w:rsidRDefault="00BE0E63" w:rsidP="000C39D1">
            <w:pPr>
              <w:pStyle w:val="libFootnote0"/>
              <w:rPr>
                <w:rtl/>
              </w:rPr>
            </w:pPr>
            <w:r>
              <w:rPr>
                <w:rtl/>
              </w:rPr>
              <w:t>(3).</w:t>
            </w:r>
            <w:r w:rsidRPr="00132E65">
              <w:rPr>
                <w:rtl/>
              </w:rPr>
              <w:t xml:space="preserve"> في البصائر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(4).</w:t>
      </w:r>
      <w:r w:rsidRPr="00132E65">
        <w:rPr>
          <w:rtl/>
        </w:rPr>
        <w:t xml:space="preserve"> في </w:t>
      </w:r>
      <w:r w:rsidRPr="00BE0E63">
        <w:rPr>
          <w:rStyle w:val="libFootnoteBoldChar"/>
          <w:rtl/>
        </w:rPr>
        <w:t>شرح المازندراني</w:t>
      </w:r>
      <w:r w:rsidRPr="00132E65">
        <w:rPr>
          <w:rtl/>
        </w:rPr>
        <w:t xml:space="preserve"> : « قوله : من ولد رسول الله </w:t>
      </w:r>
      <w:r w:rsidRPr="00BE0E63">
        <w:rPr>
          <w:rStyle w:val="libFootnoteAlaemChar"/>
          <w:rFonts w:eastAsiaTheme="minorHAnsi"/>
          <w:rtl/>
        </w:rPr>
        <w:t>صلى‌الله‌عليه‌وآله</w:t>
      </w:r>
      <w:r w:rsidRPr="00132E65">
        <w:rPr>
          <w:rtl/>
          <w:lang w:bidi="fa-IR"/>
        </w:rPr>
        <w:t xml:space="preserve"> </w:t>
      </w:r>
      <w:r w:rsidRPr="00132E65">
        <w:rPr>
          <w:rtl/>
        </w:rPr>
        <w:t xml:space="preserve">ومن ولد عليّ </w:t>
      </w:r>
      <w:r w:rsidRPr="00BE0E63">
        <w:rPr>
          <w:rStyle w:val="libFootnoteAlaemChar"/>
          <w:rtl/>
        </w:rPr>
        <w:t>عليه‌السلام</w:t>
      </w:r>
      <w:r w:rsidRPr="00132E65">
        <w:rPr>
          <w:rtl/>
        </w:rPr>
        <w:t xml:space="preserve"> ، خبر بعد خبر على الظاهر. وهذا الحكم باعتبار الأكثر ، والقرينة علم المخاطب به »</w:t>
      </w:r>
      <w:r>
        <w:rPr>
          <w:rtl/>
        </w:rPr>
        <w:t>.</w:t>
      </w:r>
      <w:r w:rsidRPr="00132E65">
        <w:rPr>
          <w:rtl/>
        </w:rPr>
        <w:t xml:space="preserve"> وللمزيد راجع ما نقلناه عن </w:t>
      </w:r>
      <w:r w:rsidRPr="009D1ACE">
        <w:rPr>
          <w:rStyle w:val="libFootnoteBoldChar"/>
          <w:rtl/>
        </w:rPr>
        <w:t>مرآة العقول</w:t>
      </w:r>
      <w:r w:rsidRPr="00132E65">
        <w:rPr>
          <w:rtl/>
        </w:rPr>
        <w:t xml:space="preserve"> ذيل الحديث الآتي.</w:t>
      </w:r>
    </w:p>
    <w:p w:rsidR="000C39D1" w:rsidRPr="00132E65" w:rsidRDefault="000C39D1" w:rsidP="000C39D1">
      <w:pPr>
        <w:pStyle w:val="libFootnote0"/>
        <w:rPr>
          <w:rtl/>
          <w:lang w:bidi="fa-IR"/>
        </w:rPr>
      </w:pPr>
      <w:r>
        <w:rPr>
          <w:rtl/>
        </w:rPr>
        <w:t>(5).</w:t>
      </w:r>
      <w:r w:rsidRPr="00132E65">
        <w:rPr>
          <w:rtl/>
        </w:rPr>
        <w:t xml:space="preserve"> في البصائر : « فرسول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 « قوله : فقال. هذا الكلام كلام زرارة ، أي قال قولاً يشعر بالإنكار ، فحذف وا</w:t>
      </w:r>
      <w:r w:rsidR="00BE0E63">
        <w:rPr>
          <w:rFonts w:hint="cs"/>
          <w:rtl/>
        </w:rPr>
        <w:t>ُ</w:t>
      </w:r>
      <w:r w:rsidRPr="00132E65">
        <w:rPr>
          <w:rtl/>
        </w:rPr>
        <w:t>قيم « وأنكر ذلك » مقامه. ويمكن أن يقرأ : ا</w:t>
      </w:r>
      <w:r w:rsidR="00BE0E63">
        <w:rPr>
          <w:rFonts w:hint="cs"/>
          <w:rtl/>
        </w:rPr>
        <w:t>ُ</w:t>
      </w:r>
      <w:r w:rsidRPr="00132E65">
        <w:rPr>
          <w:rtl/>
        </w:rPr>
        <w:t>نكر على صيغة المتكلّم ، فيكون مفعول القول »</w:t>
      </w:r>
      <w:r>
        <w:rPr>
          <w:rtl/>
        </w:rPr>
        <w:t>.</w:t>
      </w:r>
      <w:r w:rsidRPr="00132E65">
        <w:rPr>
          <w:rtl/>
        </w:rPr>
        <w:t xml:space="preserve"> أي مقوله.</w:t>
      </w:r>
    </w:p>
    <w:p w:rsidR="000C39D1" w:rsidRPr="00132E65" w:rsidRDefault="000C39D1" w:rsidP="000C39D1">
      <w:pPr>
        <w:pStyle w:val="libFootnote0"/>
        <w:rPr>
          <w:rtl/>
          <w:lang w:bidi="fa-IR"/>
        </w:rPr>
      </w:pPr>
      <w:r>
        <w:rPr>
          <w:rtl/>
        </w:rPr>
        <w:t>(7).</w:t>
      </w:r>
      <w:r w:rsidRPr="00132E65">
        <w:rPr>
          <w:rtl/>
        </w:rPr>
        <w:t xml:space="preserve"> في « ب ، ض ، ف ، بح ، بر ، بف » وحاشية « ج » وشرح المازندراني و</w:t>
      </w:r>
      <w:r w:rsidRPr="009D1ACE">
        <w:rPr>
          <w:rStyle w:val="libFootnoteBoldChar"/>
          <w:rtl/>
        </w:rPr>
        <w:t>الوافي</w:t>
      </w:r>
      <w:r w:rsidRPr="00132E65">
        <w:rPr>
          <w:rtl/>
        </w:rPr>
        <w:t xml:space="preserve"> وحاشية المطبوع : « عبد الله »</w:t>
      </w:r>
      <w:r>
        <w:rPr>
          <w:rtl/>
        </w:rPr>
        <w:t>.</w:t>
      </w:r>
      <w:r w:rsidRPr="00132E65">
        <w:rPr>
          <w:rtl/>
        </w:rPr>
        <w:t xml:space="preserve"> وفي « بس » :</w:t>
      </w:r>
      <w:r>
        <w:rPr>
          <w:rtl/>
        </w:rPr>
        <w:t xml:space="preserve"> + </w:t>
      </w:r>
      <w:r w:rsidRPr="00132E65">
        <w:rPr>
          <w:rtl/>
        </w:rPr>
        <w:t>« بن عبد الله »</w:t>
      </w:r>
      <w:r>
        <w:rPr>
          <w:rtl/>
        </w:rPr>
        <w:t>.</w:t>
      </w:r>
      <w:r w:rsidRPr="00132E65">
        <w:rPr>
          <w:rtl/>
        </w:rPr>
        <w:t xml:space="preserve"> وفي البصائر : « عبد الرحمن بن زيد ، وذكر ذلك » بدل « عليّ بن راشد »</w:t>
      </w:r>
      <w:r>
        <w:rPr>
          <w:rtl/>
        </w:rPr>
        <w:t>.</w:t>
      </w:r>
    </w:p>
    <w:p w:rsidR="000C39D1" w:rsidRPr="00132E65" w:rsidRDefault="000C39D1" w:rsidP="000C39D1">
      <w:pPr>
        <w:pStyle w:val="libFootnote0"/>
        <w:rPr>
          <w:rtl/>
          <w:lang w:bidi="fa-IR"/>
        </w:rPr>
      </w:pPr>
      <w:r>
        <w:rPr>
          <w:rtl/>
        </w:rPr>
        <w:t>(8).</w:t>
      </w:r>
      <w:r w:rsidRPr="00132E65">
        <w:rPr>
          <w:rtl/>
        </w:rPr>
        <w:t xml:space="preserve"> في « بر ، بف » : « فضرب »</w:t>
      </w:r>
      <w:r>
        <w:rPr>
          <w:rtl/>
        </w:rPr>
        <w:t>.</w:t>
      </w:r>
      <w:r w:rsidRPr="00132E65">
        <w:rPr>
          <w:rtl/>
        </w:rPr>
        <w:t xml:space="preserve"> </w:t>
      </w:r>
      <w:r>
        <w:rPr>
          <w:rtl/>
        </w:rPr>
        <w:t>و «</w:t>
      </w:r>
      <w:r w:rsidRPr="00132E65">
        <w:rPr>
          <w:rtl/>
        </w:rPr>
        <w:t xml:space="preserve"> صرَّر » : تقدّم. </w:t>
      </w:r>
      <w:r w:rsidRPr="00BE0E63">
        <w:rPr>
          <w:rStyle w:val="libFootnoteBoldChar"/>
          <w:rtl/>
        </w:rPr>
        <w:t>القاموس المحيط</w:t>
      </w:r>
      <w:r w:rsidRPr="00132E65">
        <w:rPr>
          <w:rtl/>
        </w:rPr>
        <w:t xml:space="preserve"> ، ج 2 ، ص 69 ( صرر )</w:t>
      </w:r>
      <w:r>
        <w:rPr>
          <w:rtl/>
        </w:rPr>
        <w:t>.</w:t>
      </w:r>
    </w:p>
    <w:p w:rsidR="000C39D1" w:rsidRPr="00132E65" w:rsidRDefault="000C39D1" w:rsidP="00BE0E63">
      <w:pPr>
        <w:pStyle w:val="libFootnote0"/>
        <w:rPr>
          <w:rtl/>
          <w:lang w:bidi="fa-IR"/>
        </w:rPr>
      </w:pPr>
      <w:r>
        <w:rPr>
          <w:rtl/>
        </w:rPr>
        <w:t>(9).</w:t>
      </w:r>
      <w:r w:rsidRPr="00132E65">
        <w:rPr>
          <w:rtl/>
        </w:rPr>
        <w:t xml:space="preserve"> في « ض ، بر » : « فقال »</w:t>
      </w:r>
      <w:r>
        <w:rPr>
          <w:rtl/>
        </w:rPr>
        <w:t>.</w:t>
      </w:r>
      <w:r w:rsidRPr="00132E65">
        <w:rPr>
          <w:rtl/>
        </w:rPr>
        <w:t xml:space="preserve"> وفي البصائر : « فضرب أبو جعفر </w:t>
      </w:r>
      <w:r w:rsidRPr="00BE0E63">
        <w:rPr>
          <w:rStyle w:val="libFootnoteAlaemChar"/>
          <w:rtl/>
        </w:rPr>
        <w:t>عليه‌السلام</w:t>
      </w:r>
      <w:r w:rsidRPr="00132E65">
        <w:rPr>
          <w:rtl/>
        </w:rPr>
        <w:t xml:space="preserve"> فخذه فقال » بدل « وأنكر ذلك فصرّر أبو جعفر </w:t>
      </w:r>
      <w:r w:rsidRPr="00BE0E63">
        <w:rPr>
          <w:rStyle w:val="libFootnoteAlaemChar"/>
          <w:rtl/>
        </w:rPr>
        <w:t>عليه‌السلام</w:t>
      </w:r>
      <w:r w:rsidRPr="00132E65">
        <w:rPr>
          <w:rtl/>
        </w:rPr>
        <w:t xml:space="preserve"> وقال »</w:t>
      </w:r>
      <w:r>
        <w:rPr>
          <w:rtl/>
        </w:rPr>
        <w:t>.</w:t>
      </w:r>
      <w:r w:rsidR="00BE0E63">
        <w:rPr>
          <w:rFonts w:hint="cs"/>
          <w:rtl/>
        </w:rPr>
        <w:t xml:space="preserve">                                            </w:t>
      </w:r>
      <w:r>
        <w:rPr>
          <w:rtl/>
        </w:rPr>
        <w:t>(10).</w:t>
      </w:r>
      <w:r w:rsidRPr="00132E65">
        <w:rPr>
          <w:rtl/>
        </w:rPr>
        <w:t xml:space="preserve"> في « بس » والبصائر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320 ، ح 5 ، عن عبد الله ، عن الحسن بن موسى بن الخشّاب ، عن ابن سماعة وعليّ بن </w:t>
      </w:r>
      <w:r w:rsidR="00BE0E63">
        <w:rPr>
          <w:rFonts w:hint="cs"/>
          <w:rtl/>
        </w:rPr>
        <w:t>=</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DC7D06">
        <w:rPr>
          <w:rtl/>
        </w:rPr>
        <w:t>1395</w:t>
      </w:r>
      <w:r w:rsidRPr="004325D8">
        <w:rPr>
          <w:rStyle w:val="libBold2Char"/>
          <w:rtl/>
        </w:rPr>
        <w:t xml:space="preserve"> / 8.</w:t>
      </w:r>
      <w:r w:rsidRPr="00132E65">
        <w:rPr>
          <w:rtl/>
          <w:lang w:bidi="fa-IR"/>
        </w:rPr>
        <w:t xml:space="preserve"> مُحَمَّدُ بْنُ يَحْيى ، عَنْ مُحَمَّدِ بْنِ الْحُسَيْنِ ، عَنْ مَسْعَدَةَ بْنِ زِيَادٍ ، عَنْ أَبِي عَبْدِ اللهِ </w:t>
      </w:r>
      <w:r w:rsidRPr="00071CF9">
        <w:rPr>
          <w:rStyle w:val="libAlaemChar"/>
          <w:rtl/>
        </w:rPr>
        <w:t>عليه‌السلام</w:t>
      </w:r>
      <w:r w:rsidRPr="00132E65">
        <w:rPr>
          <w:rtl/>
          <w:lang w:bidi="fa-IR"/>
        </w:rPr>
        <w:t xml:space="preserve"> ؛</w:t>
      </w:r>
    </w:p>
    <w:p w:rsidR="000C39D1" w:rsidRPr="00132E65" w:rsidRDefault="00BE0E63" w:rsidP="000C39D1">
      <w:pPr>
        <w:pStyle w:val="libNormal"/>
        <w:rPr>
          <w:rtl/>
          <w:lang w:bidi="fa-IR"/>
        </w:rPr>
      </w:pPr>
      <w:r>
        <w:rPr>
          <w:rFonts w:hint="cs"/>
          <w:rtl/>
          <w:lang w:bidi="fa-IR"/>
        </w:rPr>
        <w:t xml:space="preserve">           </w:t>
      </w:r>
      <w:r w:rsidR="000C39D1" w:rsidRPr="00132E65">
        <w:rPr>
          <w:rtl/>
          <w:lang w:bidi="fa-IR"/>
        </w:rPr>
        <w:t>وَ</w:t>
      </w:r>
      <w:r w:rsidR="000C39D1">
        <w:rPr>
          <w:rFonts w:hint="cs"/>
          <w:rtl/>
          <w:lang w:bidi="fa-IR"/>
        </w:rPr>
        <w:t xml:space="preserve"> </w:t>
      </w:r>
      <w:r w:rsidR="000C39D1">
        <w:rPr>
          <w:rStyle w:val="libFootnotenumChar"/>
          <w:rtl/>
        </w:rPr>
        <w:t>(1)</w:t>
      </w:r>
      <w:r w:rsidR="000C39D1" w:rsidRPr="00132E65">
        <w:rPr>
          <w:rtl/>
          <w:lang w:bidi="fa-IR"/>
        </w:rPr>
        <w:t xml:space="preserve"> مُحَمَّدِ بْنِ الْحُسَيْنِ ، عَنْ إِبْرَاهِيمَ بْنِ أَبِي يَحْيَى الْمَدِينِيِّ </w:t>
      </w:r>
      <w:r w:rsidR="000C39D1">
        <w:rPr>
          <w:rStyle w:val="libFootnotenumChar"/>
          <w:rtl/>
        </w:rPr>
        <w:t>(2)</w:t>
      </w:r>
      <w:r w:rsidR="000C39D1" w:rsidRPr="00132E65">
        <w:rPr>
          <w:rtl/>
          <w:lang w:bidi="fa-IR"/>
        </w:rPr>
        <w:t xml:space="preserve"> ، عَنْ أَبِي هَارُونَ الْعَبْدِيِّ ، عَنْ أَبِي سَعِيدٍ الْخُدْرِيِّ ، قَالَ :</w:t>
      </w:r>
    </w:p>
    <w:p w:rsidR="000C39D1" w:rsidRPr="00132E65" w:rsidRDefault="000C39D1" w:rsidP="000C39D1">
      <w:pPr>
        <w:pStyle w:val="libNormal"/>
        <w:rPr>
          <w:rtl/>
          <w:lang w:bidi="fa-IR"/>
        </w:rPr>
      </w:pPr>
      <w:r w:rsidRPr="00132E65">
        <w:rPr>
          <w:rtl/>
          <w:lang w:bidi="fa-IR"/>
        </w:rPr>
        <w:t xml:space="preserve">كُنْتُ حَاضِراً </w:t>
      </w:r>
      <w:r>
        <w:rPr>
          <w:rStyle w:val="libFootnotenumChar"/>
          <w:rtl/>
        </w:rPr>
        <w:t>(3)</w:t>
      </w:r>
      <w:r w:rsidRPr="00132E65">
        <w:rPr>
          <w:rtl/>
          <w:lang w:bidi="fa-IR"/>
        </w:rPr>
        <w:t xml:space="preserve"> لَمَّا هَلَكَ أَبُو بَكْرٍ و</w:t>
      </w:r>
      <w:r w:rsidR="00207882">
        <w:rPr>
          <w:rFonts w:hint="cs"/>
          <w:rtl/>
          <w:lang w:bidi="fa-IR"/>
        </w:rPr>
        <w:t>َ</w:t>
      </w:r>
      <w:r w:rsidRPr="00132E65">
        <w:rPr>
          <w:rtl/>
          <w:lang w:bidi="fa-IR"/>
        </w:rPr>
        <w:t>اسْتَخْلَفَ عُمَرَ ، أَقْبَلَ يَهُودِيٌّ مِنْ عُظَمَاءِ يَهُودِ‌</w:t>
      </w:r>
    </w:p>
    <w:p w:rsidR="000C39D1" w:rsidRPr="00132E65" w:rsidRDefault="000C39D1" w:rsidP="000C39D1">
      <w:pPr>
        <w:pStyle w:val="libLine"/>
        <w:rPr>
          <w:rtl/>
          <w:lang w:bidi="fa-IR"/>
        </w:rPr>
      </w:pPr>
      <w:r w:rsidRPr="00132E65">
        <w:rPr>
          <w:rtl/>
          <w:lang w:bidi="fa-IR"/>
        </w:rPr>
        <w:t>__________________</w:t>
      </w:r>
    </w:p>
    <w:p w:rsidR="000C39D1" w:rsidRPr="00132E65" w:rsidRDefault="00207882" w:rsidP="000C39D1">
      <w:pPr>
        <w:pStyle w:val="libFootnote0"/>
        <w:rPr>
          <w:rtl/>
          <w:lang w:bidi="fa-IR"/>
        </w:rPr>
      </w:pPr>
      <w:r>
        <w:rPr>
          <w:rFonts w:hint="cs"/>
          <w:rtl/>
        </w:rPr>
        <w:t>=</w:t>
      </w:r>
      <w:r w:rsidR="000C39D1" w:rsidRPr="00132E65">
        <w:rPr>
          <w:rtl/>
        </w:rPr>
        <w:t xml:space="preserve">الحسين بن رباط. </w:t>
      </w:r>
      <w:r w:rsidR="000C39D1" w:rsidRPr="00207882">
        <w:rPr>
          <w:rStyle w:val="libFootnoteBoldChar"/>
          <w:rtl/>
        </w:rPr>
        <w:t>الغيبة للنعماني</w:t>
      </w:r>
      <w:r w:rsidR="000C39D1" w:rsidRPr="00132E65">
        <w:rPr>
          <w:rtl/>
        </w:rPr>
        <w:t xml:space="preserve"> ، ص 66 ، ح 6 ، بسنده عن زرارة ، عن أبي جعفر الباقر </w:t>
      </w:r>
      <w:r w:rsidR="000C39D1" w:rsidRPr="00207882">
        <w:rPr>
          <w:rStyle w:val="libFootnoteAlaemChar"/>
          <w:rtl/>
        </w:rPr>
        <w:t>عليه‌السلام</w:t>
      </w:r>
      <w:r w:rsidR="000C39D1" w:rsidRPr="00132E65">
        <w:rPr>
          <w:rtl/>
        </w:rPr>
        <w:t xml:space="preserve"> ، عن آبائه ، عن رسول الله </w:t>
      </w:r>
      <w:r w:rsidR="000C39D1" w:rsidRPr="00207882">
        <w:rPr>
          <w:rStyle w:val="libFootnoteAlaemChar"/>
          <w:rFonts w:eastAsiaTheme="minorHAnsi"/>
          <w:rtl/>
        </w:rPr>
        <w:t>صلى‌الله‌عليه‌وآله</w:t>
      </w:r>
      <w:r w:rsidR="000C39D1" w:rsidRPr="00132E65">
        <w:rPr>
          <w:rtl/>
          <w:lang w:bidi="fa-IR"/>
        </w:rPr>
        <w:t xml:space="preserve"> </w:t>
      </w:r>
      <w:r w:rsidR="000C39D1" w:rsidRPr="00132E65">
        <w:rPr>
          <w:rtl/>
        </w:rPr>
        <w:t xml:space="preserve">، مع اختلاف يسير. وراجع : </w:t>
      </w:r>
      <w:r w:rsidR="000C39D1" w:rsidRPr="00207882">
        <w:rPr>
          <w:rStyle w:val="libFootnoteBoldChar"/>
          <w:rtl/>
        </w:rPr>
        <w:t>تفسير فرات</w:t>
      </w:r>
      <w:r w:rsidR="000C39D1" w:rsidRPr="00132E65">
        <w:rPr>
          <w:rtl/>
        </w:rPr>
        <w:t xml:space="preserve"> ، ص 104 ، ح 93 </w:t>
      </w:r>
      <w:r w:rsidR="000C39D1">
        <w:rPr>
          <w:rtl/>
        </w:rPr>
        <w:t>و 9</w:t>
      </w:r>
      <w:r w:rsidR="000C39D1" w:rsidRPr="00132E65">
        <w:rPr>
          <w:rtl/>
        </w:rPr>
        <w:t xml:space="preserve">4 </w:t>
      </w:r>
      <w:r>
        <w:rPr>
          <w:rFonts w:hint="cs"/>
          <w:rtl/>
        </w:rPr>
        <w:t>.</w:t>
      </w:r>
      <w:r w:rsidR="000C39D1" w:rsidRPr="009D1ACE">
        <w:rPr>
          <w:rStyle w:val="libFootnoteBoldChar"/>
          <w:rtl/>
        </w:rPr>
        <w:t>الوافي</w:t>
      </w:r>
      <w:r w:rsidR="000C39D1" w:rsidRPr="00132E65">
        <w:rPr>
          <w:rtl/>
        </w:rPr>
        <w:t xml:space="preserve"> ، ج 2 ، ص 308 ، ح 764.</w:t>
      </w:r>
    </w:p>
    <w:p w:rsidR="000C39D1" w:rsidRPr="00132E65" w:rsidRDefault="000C39D1" w:rsidP="000C39D1">
      <w:pPr>
        <w:pStyle w:val="libFootnote0"/>
        <w:rPr>
          <w:rtl/>
          <w:lang w:bidi="fa-IR"/>
        </w:rPr>
      </w:pPr>
      <w:r>
        <w:rPr>
          <w:rtl/>
        </w:rPr>
        <w:t>(1).</w:t>
      </w:r>
      <w:r w:rsidRPr="00132E65">
        <w:rPr>
          <w:rtl/>
        </w:rPr>
        <w:t xml:space="preserve"> في السند تحويل بعطف « محمّد بن الحسين عن إبراهيم بن أبي يحيى المديني ، عن أبي هارون العبدي ، عن‌أبي سعيد الخدري » على : « محمّد بن الحسين عن مسعدة بن زياد ، عن أبي عبد الله »</w:t>
      </w:r>
      <w:r>
        <w:rPr>
          <w:rtl/>
        </w:rPr>
        <w:t>.</w:t>
      </w:r>
      <w:r w:rsidRPr="00132E65">
        <w:rPr>
          <w:rtl/>
        </w:rPr>
        <w:t xml:space="preserve"> فيكون للخبر طريقان ، وألفاظ الخبر للطريق الثاني كما لا يخفى.</w:t>
      </w:r>
    </w:p>
    <w:p w:rsidR="000C39D1" w:rsidRPr="00132E65" w:rsidRDefault="000C39D1" w:rsidP="000C39D1">
      <w:pPr>
        <w:pStyle w:val="libFootnote0"/>
        <w:rPr>
          <w:rtl/>
          <w:lang w:bidi="fa-IR"/>
        </w:rPr>
      </w:pPr>
      <w:r>
        <w:rPr>
          <w:rtl/>
        </w:rPr>
        <w:t>(2).</w:t>
      </w:r>
      <w:r w:rsidRPr="00132E65">
        <w:rPr>
          <w:rtl/>
        </w:rPr>
        <w:t xml:space="preserve"> هكذا في « بر ، بس ، بف »</w:t>
      </w:r>
      <w:r>
        <w:rPr>
          <w:rtl/>
        </w:rPr>
        <w:t>.</w:t>
      </w:r>
      <w:r w:rsidRPr="00132E65">
        <w:rPr>
          <w:rtl/>
        </w:rPr>
        <w:t xml:space="preserve"> وفي « ب ، ض ، بح ، جر » </w:t>
      </w:r>
      <w:r w:rsidRPr="00207882">
        <w:rPr>
          <w:rtl/>
        </w:rPr>
        <w:t>والوافي</w:t>
      </w:r>
      <w:r w:rsidRPr="00132E65">
        <w:rPr>
          <w:rtl/>
        </w:rPr>
        <w:t xml:space="preserve"> والبحار : « إبراهيم عن ابن أبي يحيى المديني »</w:t>
      </w:r>
      <w:r>
        <w:rPr>
          <w:rtl/>
        </w:rPr>
        <w:t>.</w:t>
      </w:r>
      <w:r w:rsidRPr="00132E65">
        <w:rPr>
          <w:rtl/>
        </w:rPr>
        <w:t xml:space="preserve"> وفي « ج » : « إبراهيم عن ابن أبي يحيى المدني »</w:t>
      </w:r>
      <w:r>
        <w:rPr>
          <w:rtl/>
        </w:rPr>
        <w:t>.</w:t>
      </w:r>
      <w:r w:rsidRPr="00132E65">
        <w:rPr>
          <w:rtl/>
        </w:rPr>
        <w:t xml:space="preserve"> وفي « ف » : « إبراهيم عن إبراهيم بن أبي يحيى المديني »</w:t>
      </w:r>
      <w:r>
        <w:rPr>
          <w:rtl/>
        </w:rPr>
        <w:t>.</w:t>
      </w:r>
      <w:r w:rsidRPr="00132E65">
        <w:rPr>
          <w:rtl/>
        </w:rPr>
        <w:t xml:space="preserve"> وفي المطبوع : « إبراهيم عن أبي يحيى المدائني »</w:t>
      </w:r>
      <w:r>
        <w:rPr>
          <w:rtl/>
        </w:rPr>
        <w:t>.</w:t>
      </w:r>
    </w:p>
    <w:p w:rsidR="000C39D1" w:rsidRPr="00552259" w:rsidRDefault="000C39D1" w:rsidP="00207882">
      <w:pPr>
        <w:pStyle w:val="libFootnote0"/>
        <w:rPr>
          <w:rtl/>
          <w:lang w:bidi="ar-IQ"/>
        </w:rPr>
      </w:pPr>
      <w:r w:rsidRPr="00F543F1">
        <w:rPr>
          <w:rtl/>
        </w:rPr>
        <w:t xml:space="preserve">والصواب ما أثبتناه ؛ فإنّ الخبر أورده </w:t>
      </w:r>
      <w:r w:rsidRPr="00207882">
        <w:rPr>
          <w:rStyle w:val="libFootnoteBoldChar"/>
          <w:rtl/>
        </w:rPr>
        <w:t>الشيخ الطوسي</w:t>
      </w:r>
      <w:r w:rsidRPr="00F543F1">
        <w:rPr>
          <w:rtl/>
        </w:rPr>
        <w:t xml:space="preserve"> في كتابه </w:t>
      </w:r>
      <w:r w:rsidRPr="00207882">
        <w:rPr>
          <w:rStyle w:val="libFootnoteBoldChar"/>
          <w:rtl/>
        </w:rPr>
        <w:t>الغيبة</w:t>
      </w:r>
      <w:r w:rsidRPr="00F543F1">
        <w:rPr>
          <w:rtl/>
        </w:rPr>
        <w:t xml:space="preserve"> ، ص 152 ، نقلاً عن المصنّف ، وفيه : « إبراهيم بن أبي يحيى المدني ». وكذا الطبرسي في </w:t>
      </w:r>
      <w:r w:rsidRPr="00207882">
        <w:rPr>
          <w:rStyle w:val="libFootnoteBoldChar"/>
          <w:rtl/>
        </w:rPr>
        <w:t>إعلام الورى</w:t>
      </w:r>
      <w:r w:rsidRPr="00F543F1">
        <w:rPr>
          <w:rtl/>
        </w:rPr>
        <w:t xml:space="preserve"> ، ج 2 ، ص 167 ، وفيه : « إبراهيم بن أبي يحيى المديني » </w:t>
      </w:r>
      <w:r>
        <w:rPr>
          <w:rtl/>
        </w:rPr>
        <w:t>-</w:t>
      </w:r>
      <w:r w:rsidRPr="00F543F1">
        <w:rPr>
          <w:rtl/>
        </w:rPr>
        <w:t xml:space="preserve"> والمدني والمديني ، لقبان بمعنى واحد. راجع : </w:t>
      </w:r>
      <w:r w:rsidRPr="00207882">
        <w:rPr>
          <w:rStyle w:val="libFootnoteBoldChar"/>
          <w:rtl/>
        </w:rPr>
        <w:t>الأنساب للسمعاني</w:t>
      </w:r>
      <w:r w:rsidRPr="00F543F1">
        <w:rPr>
          <w:rtl/>
        </w:rPr>
        <w:t xml:space="preserve"> ، ج 5 ، ص 235 </w:t>
      </w:r>
      <w:r>
        <w:rPr>
          <w:rtl/>
        </w:rPr>
        <w:t>-</w:t>
      </w:r>
      <w:r w:rsidRPr="00F543F1">
        <w:rPr>
          <w:rtl/>
        </w:rPr>
        <w:t xml:space="preserve"> كما أنّ الخبر أورده النعماني في كتابه </w:t>
      </w:r>
      <w:r w:rsidRPr="00207882">
        <w:rPr>
          <w:rStyle w:val="libFootnoteBoldChar"/>
          <w:rtl/>
        </w:rPr>
        <w:t>الغيبة</w:t>
      </w:r>
      <w:r w:rsidRPr="00F543F1">
        <w:rPr>
          <w:rtl/>
        </w:rPr>
        <w:t xml:space="preserve"> ، ص 97 ، ح 29 </w:t>
      </w:r>
      <w:r>
        <w:rPr>
          <w:rtl/>
        </w:rPr>
        <w:t>-</w:t>
      </w:r>
      <w:r w:rsidRPr="00F543F1">
        <w:rPr>
          <w:rtl/>
        </w:rPr>
        <w:t xml:space="preserve"> مع تفصيل </w:t>
      </w:r>
      <w:r>
        <w:rPr>
          <w:rtl/>
        </w:rPr>
        <w:t>-</w:t>
      </w:r>
      <w:r w:rsidRPr="00F543F1">
        <w:rPr>
          <w:rtl/>
        </w:rPr>
        <w:t xml:space="preserve"> بسنده عن إبراهيم بن أبي يحيى المدني عن أبي هارون العبدي ، عن عمر بن أبي سلمة ربيب رسول الله </w:t>
      </w:r>
      <w:r w:rsidRPr="00207882">
        <w:rPr>
          <w:rStyle w:val="libFootnoteAlaemChar"/>
          <w:rFonts w:eastAsiaTheme="minorHAnsi"/>
          <w:rtl/>
        </w:rPr>
        <w:t>صلى‌الله‌عليه‌وآله</w:t>
      </w:r>
      <w:r w:rsidRPr="00132E65">
        <w:rPr>
          <w:rtl/>
          <w:lang w:bidi="fa-IR"/>
        </w:rPr>
        <w:t xml:space="preserve"> </w:t>
      </w:r>
      <w:r w:rsidRPr="00552259">
        <w:rPr>
          <w:rtl/>
        </w:rPr>
        <w:t>، وعن أبي الطفيل عامر بن واثلة.</w:t>
      </w:r>
    </w:p>
    <w:p w:rsidR="000C39D1" w:rsidRPr="00E55206" w:rsidRDefault="000C39D1" w:rsidP="00E55206">
      <w:pPr>
        <w:pStyle w:val="libFootnote0"/>
        <w:rPr>
          <w:rtl/>
        </w:rPr>
      </w:pPr>
      <w:r w:rsidRPr="00552259">
        <w:rPr>
          <w:rtl/>
        </w:rPr>
        <w:t xml:space="preserve">وأمّا ما ورد في </w:t>
      </w:r>
      <w:r w:rsidRPr="00207882">
        <w:rPr>
          <w:rStyle w:val="libFootnoteBoldChar"/>
          <w:rtl/>
        </w:rPr>
        <w:t>كمال الدين</w:t>
      </w:r>
      <w:r w:rsidRPr="00E55206">
        <w:rPr>
          <w:rtl/>
        </w:rPr>
        <w:t xml:space="preserve"> ، ص 294 ، ح 3 ؛ من نقل الخبر مفصّلاً عن إبراهيم بن يحيى الأسلمي المدني ، عن عمارة بن جوين - وعمارة بن جوين هو أبو هارون العبدي. راجع : </w:t>
      </w:r>
      <w:r w:rsidRPr="00207882">
        <w:rPr>
          <w:rStyle w:val="libFootnoteBoldChar"/>
          <w:rtl/>
        </w:rPr>
        <w:t>تهذيب الكمال</w:t>
      </w:r>
      <w:r w:rsidRPr="00E55206">
        <w:rPr>
          <w:rtl/>
        </w:rPr>
        <w:t xml:space="preserve"> ، ج 21 ، ص 232 - فالظاهر وقوع التحريف فيه ، والصواب « إبراهيم بن أبي يحيى الأسلمي المدني » ؛ فإنّ إبراهيم هذا ، هو إبراهيم بن محمّد بن أبي يحيى الأسلمي المدني. وقد ينسب إلى جدّه ويعبَّر عنه في كثير من الأسناد ب</w:t>
      </w:r>
      <w:r w:rsidR="00207882" w:rsidRPr="00E55206">
        <w:rPr>
          <w:rFonts w:hint="cs"/>
          <w:rtl/>
        </w:rPr>
        <w:t>ـ</w:t>
      </w:r>
      <w:r w:rsidRPr="00E55206">
        <w:rPr>
          <w:rtl/>
        </w:rPr>
        <w:t xml:space="preserve"> « إبراهيم بن أبي يحيى » ، راجع : </w:t>
      </w:r>
      <w:r w:rsidRPr="00207882">
        <w:rPr>
          <w:rStyle w:val="libFootnoteBoldChar"/>
          <w:rtl/>
        </w:rPr>
        <w:t>التاريخ الكبير</w:t>
      </w:r>
      <w:r w:rsidRPr="00E55206">
        <w:rPr>
          <w:rtl/>
        </w:rPr>
        <w:t xml:space="preserve"> ، ج 1 ، ص 321 ، الرقم 1013 ؛ </w:t>
      </w:r>
      <w:r w:rsidRPr="00207882">
        <w:rPr>
          <w:rStyle w:val="libFootnoteBoldChar"/>
          <w:rtl/>
        </w:rPr>
        <w:t>الجرح والتعديل</w:t>
      </w:r>
      <w:r w:rsidRPr="00E55206">
        <w:rPr>
          <w:rtl/>
        </w:rPr>
        <w:t xml:space="preserve"> ، ج 2 ، ص 125 - 127 ، الرقم 390 ؛ </w:t>
      </w:r>
      <w:r w:rsidRPr="00552259">
        <w:rPr>
          <w:rtl/>
        </w:rPr>
        <w:t xml:space="preserve">الكامل في </w:t>
      </w:r>
      <w:r w:rsidRPr="00207882">
        <w:rPr>
          <w:rStyle w:val="libFootnoteBoldChar"/>
          <w:rtl/>
        </w:rPr>
        <w:t>ضعفاء الرجال</w:t>
      </w:r>
      <w:r w:rsidRPr="00E55206">
        <w:rPr>
          <w:rtl/>
        </w:rPr>
        <w:t xml:space="preserve"> ، ج 1 ، ص 217 - 225 ، الرقم 61 ؛ </w:t>
      </w:r>
      <w:r w:rsidRPr="00207882">
        <w:rPr>
          <w:rStyle w:val="libFootnoteBoldChar"/>
          <w:rtl/>
        </w:rPr>
        <w:t>تهذيب الكمال</w:t>
      </w:r>
      <w:r w:rsidRPr="00E55206">
        <w:rPr>
          <w:rtl/>
        </w:rPr>
        <w:t xml:space="preserve"> ، ج 2 ، ص 184 - 191 ، الرقم 236.</w:t>
      </w:r>
    </w:p>
    <w:p w:rsidR="000C39D1" w:rsidRPr="00132E65" w:rsidRDefault="000C39D1" w:rsidP="000C39D1">
      <w:pPr>
        <w:pStyle w:val="libFootnote0"/>
        <w:rPr>
          <w:rtl/>
          <w:lang w:bidi="fa-IR"/>
        </w:rPr>
      </w:pPr>
      <w:r>
        <w:rPr>
          <w:rtl/>
        </w:rPr>
        <w:t>(3).</w:t>
      </w:r>
      <w:r w:rsidRPr="00132E65">
        <w:rPr>
          <w:rtl/>
        </w:rPr>
        <w:t xml:space="preserve"> في « ج ، ف ، بح » وشرح المازندراني و</w:t>
      </w:r>
      <w:r w:rsidRPr="009D1ACE">
        <w:rPr>
          <w:rStyle w:val="libFootnoteBoldChar"/>
          <w:rtl/>
        </w:rPr>
        <w:t>الوافي</w:t>
      </w:r>
      <w:r w:rsidRPr="00132E65">
        <w:rPr>
          <w:rtl/>
        </w:rPr>
        <w:t xml:space="preserve"> و</w:t>
      </w:r>
      <w:r w:rsidRPr="009D1ACE">
        <w:rPr>
          <w:rStyle w:val="libFootnoteBoldChar"/>
          <w:rtl/>
        </w:rPr>
        <w:t>مرآة العقول</w:t>
      </w:r>
      <w:r w:rsidRPr="00132E65">
        <w:rPr>
          <w:rtl/>
        </w:rPr>
        <w:t xml:space="preserve"> :</w:t>
      </w:r>
      <w:r>
        <w:rPr>
          <w:rtl/>
        </w:rPr>
        <w:t xml:space="preserve"> + </w:t>
      </w:r>
      <w:r w:rsidRPr="00132E65">
        <w:rPr>
          <w:rtl/>
        </w:rPr>
        <w:t>« قال »</w:t>
      </w:r>
      <w:r>
        <w:rPr>
          <w:rtl/>
        </w:rPr>
        <w:t>.</w:t>
      </w:r>
      <w:r w:rsidRPr="00132E65">
        <w:rPr>
          <w:rtl/>
        </w:rPr>
        <w:t xml:space="preserve"> ولا حاجة إلى « قال » كما </w:t>
      </w:r>
      <w:r w:rsidRPr="00207882">
        <w:rPr>
          <w:rtl/>
        </w:rPr>
        <w:t>قالوا</w:t>
      </w:r>
      <w:r w:rsidR="00207882" w:rsidRPr="00207882">
        <w:rPr>
          <w:rFonts w:hint="cs"/>
          <w:rtl/>
        </w:rPr>
        <w:t xml:space="preserve"> </w:t>
      </w:r>
      <w:r w:rsidRPr="00207882">
        <w:rPr>
          <w:rtl/>
        </w:rPr>
        <w:t>في</w:t>
      </w:r>
      <w:r w:rsidRPr="00132E65">
        <w:rPr>
          <w:rtl/>
        </w:rPr>
        <w:t xml:space="preserve"> الشروح. فكأنّه تأكيد ، أو عطف على « قال » بحذف العائد ، ونظير ذلك كثير ، أو كأنّ المستتر فيها لأبي عبد الله </w:t>
      </w:r>
      <w:r w:rsidRPr="00207882">
        <w:rPr>
          <w:rStyle w:val="libFootnoteAlaemChar"/>
          <w:rtl/>
        </w:rPr>
        <w:t>عليه‌السلام</w:t>
      </w:r>
      <w:r w:rsidRPr="00132E65">
        <w:rPr>
          <w:rtl/>
        </w:rPr>
        <w:t xml:space="preserve"> ، أو كأنّه زيد من النسّاخ.</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يَثْرِبَ ، و</w:t>
      </w:r>
      <w:r w:rsidR="00207882">
        <w:rPr>
          <w:rFonts w:hint="cs"/>
          <w:rtl/>
          <w:lang w:bidi="fa-IR"/>
        </w:rPr>
        <w:t>َ</w:t>
      </w:r>
      <w:r w:rsidRPr="00132E65">
        <w:rPr>
          <w:rtl/>
          <w:lang w:bidi="fa-IR"/>
        </w:rPr>
        <w:t xml:space="preserve">تَزْعُمُ </w:t>
      </w:r>
      <w:r>
        <w:rPr>
          <w:rStyle w:val="libFootnotenumChar"/>
          <w:rtl/>
        </w:rPr>
        <w:t>(1)</w:t>
      </w:r>
      <w:r w:rsidRPr="00132E65">
        <w:rPr>
          <w:rtl/>
          <w:lang w:bidi="fa-IR"/>
        </w:rPr>
        <w:t xml:space="preserve"> يَهُودُ الْمَدِينَةِ أَنَّهُ أَعْلَمُ أَهْلِ زَمَانِهِ حَتّى رُفِعَ </w:t>
      </w:r>
      <w:r>
        <w:rPr>
          <w:rStyle w:val="libFootnotenumChar"/>
          <w:rtl/>
        </w:rPr>
        <w:t>(2)</w:t>
      </w:r>
      <w:r w:rsidRPr="00132E65">
        <w:rPr>
          <w:rtl/>
          <w:lang w:bidi="fa-IR"/>
        </w:rPr>
        <w:t xml:space="preserve"> إِلى عُمَرَ ، فَقَالَ لَهُ </w:t>
      </w:r>
      <w:r>
        <w:rPr>
          <w:rStyle w:val="libFootnotenumChar"/>
          <w:rtl/>
        </w:rPr>
        <w:t>(3)</w:t>
      </w:r>
      <w:r w:rsidRPr="00132E65">
        <w:rPr>
          <w:rtl/>
          <w:lang w:bidi="fa-IR"/>
        </w:rPr>
        <w:t xml:space="preserve"> : يَا عُمَرُ ، إِنِّي جِئْتُكَ أُرِيدُ الْإِسْلَامَ ، فَإِنْ أَخْبَرْتَنِي </w:t>
      </w:r>
      <w:r>
        <w:rPr>
          <w:rStyle w:val="libFootnotenumChar"/>
          <w:rtl/>
        </w:rPr>
        <w:t>(4)</w:t>
      </w:r>
      <w:r w:rsidRPr="00132E65">
        <w:rPr>
          <w:rtl/>
          <w:lang w:bidi="fa-IR"/>
        </w:rPr>
        <w:t xml:space="preserve"> عَمَّا أَسْأَلُكَ عَنْهُ ، فَأَنْتَ أَعْلَمُ أَصْحَابِ مُحَمَّدٍ بِالْكِتَابِ </w:t>
      </w:r>
      <w:r>
        <w:rPr>
          <w:rStyle w:val="libFootnotenumChar"/>
          <w:rtl/>
        </w:rPr>
        <w:t>(5)</w:t>
      </w:r>
      <w:r w:rsidRPr="00132E65">
        <w:rPr>
          <w:rtl/>
          <w:lang w:bidi="fa-IR"/>
        </w:rPr>
        <w:t xml:space="preserve"> والسُّنَّةِ و</w:t>
      </w:r>
      <w:r w:rsidR="00B23873">
        <w:rPr>
          <w:rFonts w:hint="cs"/>
          <w:rtl/>
          <w:lang w:bidi="fa-IR"/>
        </w:rPr>
        <w:t>َ</w:t>
      </w:r>
      <w:r w:rsidRPr="00132E65">
        <w:rPr>
          <w:rtl/>
          <w:lang w:bidi="fa-IR"/>
        </w:rPr>
        <w:t xml:space="preserve">جَمِيعِ مَا أُرِيدُ أَنْ أَسْأَلَ </w:t>
      </w:r>
      <w:r>
        <w:rPr>
          <w:rStyle w:val="libFootnotenumChar"/>
          <w:rtl/>
        </w:rPr>
        <w:t>(6)</w:t>
      </w:r>
      <w:r w:rsidRPr="00132E65">
        <w:rPr>
          <w:rtl/>
          <w:lang w:bidi="fa-IR"/>
        </w:rPr>
        <w:t xml:space="preserve"> عَنْهُ.</w:t>
      </w:r>
    </w:p>
    <w:p w:rsidR="000C39D1" w:rsidRPr="00132E65" w:rsidRDefault="000C39D1" w:rsidP="000C39D1">
      <w:pPr>
        <w:pStyle w:val="libNormal"/>
        <w:rPr>
          <w:rtl/>
          <w:lang w:bidi="fa-IR"/>
        </w:rPr>
      </w:pPr>
      <w:r w:rsidRPr="00132E65">
        <w:rPr>
          <w:rtl/>
          <w:lang w:bidi="fa-IR"/>
        </w:rPr>
        <w:t xml:space="preserve">قَالَ : فَقَالَ لَهُ عُمَرُ : إِنِّي لَسْتُ هُنَاكَ ، لكِنِّي </w:t>
      </w:r>
      <w:r>
        <w:rPr>
          <w:rStyle w:val="libFootnotenumChar"/>
          <w:rtl/>
        </w:rPr>
        <w:t>(7)</w:t>
      </w:r>
      <w:r w:rsidRPr="00132E65">
        <w:rPr>
          <w:rtl/>
          <w:lang w:bidi="fa-IR"/>
        </w:rPr>
        <w:t xml:space="preserve"> أُرْشِدُكَ إِلى مَنْ هُوَ أَعْلَمُ أُمَّتِنَا بِالْكِتَابِ وَالسُّنَّةِ و</w:t>
      </w:r>
      <w:r w:rsidR="00B23873">
        <w:rPr>
          <w:rFonts w:hint="cs"/>
          <w:rtl/>
          <w:lang w:bidi="fa-IR"/>
        </w:rPr>
        <w:t>َ</w:t>
      </w:r>
      <w:r w:rsidRPr="00132E65">
        <w:rPr>
          <w:rtl/>
          <w:lang w:bidi="fa-IR"/>
        </w:rPr>
        <w:t xml:space="preserve">جَمِيعِ مَا قَدْ </w:t>
      </w:r>
      <w:r>
        <w:rPr>
          <w:rStyle w:val="libFootnotenumChar"/>
          <w:rtl/>
        </w:rPr>
        <w:t>(8)</w:t>
      </w:r>
      <w:r w:rsidRPr="00132E65">
        <w:rPr>
          <w:rtl/>
          <w:lang w:bidi="fa-IR"/>
        </w:rPr>
        <w:t xml:space="preserve"> تَسْأَلُ عَنْهُ ، و</w:t>
      </w:r>
      <w:r w:rsidR="00B23873">
        <w:rPr>
          <w:rFonts w:hint="cs"/>
          <w:rtl/>
          <w:lang w:bidi="fa-IR"/>
        </w:rPr>
        <w:t xml:space="preserve">َ </w:t>
      </w:r>
      <w:r w:rsidRPr="00132E65">
        <w:rPr>
          <w:rtl/>
          <w:lang w:bidi="fa-IR"/>
        </w:rPr>
        <w:t xml:space="preserve">هُوَ ذَاكَ ، فَأَوْمَأَ </w:t>
      </w:r>
      <w:r>
        <w:rPr>
          <w:rStyle w:val="libFootnotenumChar"/>
          <w:rtl/>
        </w:rPr>
        <w:t>(9)</w:t>
      </w:r>
      <w:r w:rsidRPr="00132E65">
        <w:rPr>
          <w:rtl/>
          <w:lang w:bidi="fa-IR"/>
        </w:rPr>
        <w:t xml:space="preserve"> إِلى عَلِيٍّ </w:t>
      </w:r>
      <w:r w:rsidRPr="00071CF9">
        <w:rPr>
          <w:rStyle w:val="libAlaemChar"/>
          <w:rtl/>
        </w:rPr>
        <w:t>عليه‌السلام</w:t>
      </w:r>
      <w:r w:rsidRPr="00132E65">
        <w:rPr>
          <w:rtl/>
          <w:lang w:bidi="fa-IR"/>
        </w:rPr>
        <w:t>. فَقَالَ لَهُ الْيَهُودِيُّ :</w:t>
      </w:r>
      <w:r>
        <w:rPr>
          <w:rFonts w:hint="cs"/>
          <w:rtl/>
          <w:lang w:bidi="fa-IR"/>
        </w:rPr>
        <w:t xml:space="preserve"> </w:t>
      </w:r>
      <w:r w:rsidRPr="00132E65">
        <w:rPr>
          <w:rtl/>
          <w:lang w:bidi="fa-IR"/>
        </w:rPr>
        <w:t>يَا عُمَرُ ، إِنْ كَانَ هذَا كَمَا تَقُولُ ، فَمَا لَكَ و</w:t>
      </w:r>
      <w:r w:rsidR="00B23873">
        <w:rPr>
          <w:rFonts w:hint="cs"/>
          <w:rtl/>
          <w:lang w:bidi="fa-IR"/>
        </w:rPr>
        <w:t>َ</w:t>
      </w:r>
      <w:r w:rsidRPr="00132E65">
        <w:rPr>
          <w:rtl/>
          <w:lang w:bidi="fa-IR"/>
        </w:rPr>
        <w:t xml:space="preserve">لِبَيْعَةِ </w:t>
      </w:r>
      <w:r>
        <w:rPr>
          <w:rStyle w:val="libFootnotenumChar"/>
          <w:rtl/>
        </w:rPr>
        <w:t>(10)</w:t>
      </w:r>
      <w:r w:rsidRPr="00132E65">
        <w:rPr>
          <w:rtl/>
          <w:lang w:bidi="fa-IR"/>
        </w:rPr>
        <w:t xml:space="preserve"> النَّاسِ ، و</w:t>
      </w:r>
      <w:r w:rsidR="00B23873">
        <w:rPr>
          <w:rFonts w:hint="cs"/>
          <w:rtl/>
          <w:lang w:bidi="fa-IR"/>
        </w:rPr>
        <w:t>َ</w:t>
      </w:r>
      <w:r w:rsidRPr="00132E65">
        <w:rPr>
          <w:rtl/>
          <w:lang w:bidi="fa-IR"/>
        </w:rPr>
        <w:t>إِنَّمَا ذَاكَ أَعْلَمُكُمْ</w:t>
      </w:r>
      <w:r>
        <w:rPr>
          <w:rtl/>
          <w:lang w:bidi="fa-IR"/>
        </w:rPr>
        <w:t>؟!</w:t>
      </w:r>
      <w:r w:rsidRPr="00132E65">
        <w:rPr>
          <w:rtl/>
          <w:lang w:bidi="fa-IR"/>
        </w:rPr>
        <w:t xml:space="preserve"> فَزَبَرَهُ </w:t>
      </w:r>
      <w:r>
        <w:rPr>
          <w:rStyle w:val="libFootnotenumChar"/>
          <w:rtl/>
        </w:rPr>
        <w:t>(11)</w:t>
      </w:r>
      <w:r w:rsidRPr="00132E65">
        <w:rPr>
          <w:rtl/>
          <w:lang w:bidi="fa-IR"/>
        </w:rPr>
        <w:t xml:space="preserve"> عُمَرُ.</w:t>
      </w:r>
    </w:p>
    <w:p w:rsidR="000C39D1" w:rsidRPr="00132E65" w:rsidRDefault="000C39D1" w:rsidP="000C39D1">
      <w:pPr>
        <w:pStyle w:val="libNormal"/>
        <w:rPr>
          <w:rtl/>
          <w:lang w:bidi="fa-IR"/>
        </w:rPr>
      </w:pPr>
      <w:r w:rsidRPr="00132E65">
        <w:rPr>
          <w:rtl/>
          <w:lang w:bidi="fa-IR"/>
        </w:rPr>
        <w:t xml:space="preserve">ثُمَّ إِنَّ الْيَهُودِيَّ قَامَ إِلى عَلِيٍّ </w:t>
      </w:r>
      <w:r w:rsidRPr="00071CF9">
        <w:rPr>
          <w:rStyle w:val="libAlaemChar"/>
          <w:rtl/>
        </w:rPr>
        <w:t>عليه‌السلام</w:t>
      </w:r>
      <w:r w:rsidRPr="00132E65">
        <w:rPr>
          <w:rtl/>
          <w:lang w:bidi="fa-IR"/>
        </w:rPr>
        <w:t xml:space="preserve"> ، فَقَالَ </w:t>
      </w:r>
      <w:r>
        <w:rPr>
          <w:rStyle w:val="libFootnotenumChar"/>
          <w:rtl/>
        </w:rPr>
        <w:t>(12)</w:t>
      </w:r>
      <w:r w:rsidRPr="00132E65">
        <w:rPr>
          <w:rtl/>
          <w:lang w:bidi="fa-IR"/>
        </w:rPr>
        <w:t xml:space="preserve"> : أَنْتَ كَمَا ذَكَرَ عُمَرُ</w:t>
      </w:r>
      <w:r>
        <w:rPr>
          <w:rtl/>
          <w:lang w:bidi="fa-IR"/>
        </w:rPr>
        <w:t>؟</w:t>
      </w:r>
      <w:r w:rsidRPr="00132E65">
        <w:rPr>
          <w:rtl/>
          <w:lang w:bidi="fa-IR"/>
        </w:rPr>
        <w:t xml:space="preserve"> فَقَالَ </w:t>
      </w:r>
      <w:r w:rsidRPr="00F543F1">
        <w:rPr>
          <w:rStyle w:val="libFootnotenumChar"/>
          <w:rtl/>
        </w:rPr>
        <w:t>(13)</w:t>
      </w:r>
      <w:r w:rsidRPr="00132E65">
        <w:rPr>
          <w:rtl/>
          <w:lang w:bidi="fa-IR"/>
        </w:rPr>
        <w:t xml:space="preserve"> : « وَمَا قَالَ عُمَرُ</w:t>
      </w:r>
      <w:r>
        <w:rPr>
          <w:rtl/>
          <w:lang w:bidi="fa-IR"/>
        </w:rPr>
        <w:t>؟</w:t>
      </w:r>
      <w:r w:rsidRPr="00132E65">
        <w:rPr>
          <w:rtl/>
          <w:lang w:bidi="fa-IR"/>
        </w:rPr>
        <w:t xml:space="preserve"> » فَأَخْبَرَهُ. قَالَ : فَإِنْ </w:t>
      </w:r>
      <w:r w:rsidRPr="00F543F1">
        <w:rPr>
          <w:rStyle w:val="libFootnotenumChar"/>
          <w:rtl/>
        </w:rPr>
        <w:t>(14)</w:t>
      </w:r>
      <w:r w:rsidRPr="00132E65">
        <w:rPr>
          <w:rtl/>
          <w:lang w:bidi="fa-IR"/>
        </w:rPr>
        <w:t xml:space="preserve"> كُنْتَ كَمَا قَالَ </w:t>
      </w:r>
      <w:r w:rsidRPr="00F543F1">
        <w:rPr>
          <w:rStyle w:val="libFootnotenumChar"/>
          <w:rtl/>
        </w:rPr>
        <w:t>(15)</w:t>
      </w:r>
      <w:r w:rsidRPr="00132E65">
        <w:rPr>
          <w:rtl/>
          <w:lang w:bidi="fa-IR"/>
        </w:rPr>
        <w:t xml:space="preserve"> ، سَأَلْتُكَ عَنْ أَشْيَاءَ أُرِيدُ أَنْ أَعْلَمَ هَلْ يَعْلَمُهُ </w:t>
      </w:r>
      <w:r w:rsidRPr="00F543F1">
        <w:rPr>
          <w:rStyle w:val="libFootnotenumChar"/>
          <w:rtl/>
        </w:rPr>
        <w:t>(16)</w:t>
      </w:r>
      <w:r w:rsidRPr="00132E65">
        <w:rPr>
          <w:rtl/>
          <w:lang w:bidi="fa-IR"/>
        </w:rPr>
        <w:t xml:space="preserve"> أَحَدٌ مِنْكُمْ ، فَأَعْلَمَ أَنَّكُمْ فِي دَعْوَاكُمْ خَيْرُ الْأُمَمِ </w:t>
      </w:r>
      <w:r w:rsidRPr="00F543F1">
        <w:rPr>
          <w:rStyle w:val="libFootnotenumChar"/>
          <w:rtl/>
        </w:rPr>
        <w:t>(17)</w:t>
      </w:r>
      <w:r w:rsidRPr="00132E65">
        <w:rPr>
          <w:rtl/>
          <w:lang w:bidi="fa-IR"/>
        </w:rPr>
        <w:t xml:space="preserve"> و</w:t>
      </w:r>
      <w:r w:rsidR="00B23873">
        <w:rPr>
          <w:rFonts w:hint="cs"/>
          <w:rtl/>
          <w:lang w:bidi="fa-IR"/>
        </w:rPr>
        <w:t>َ</w:t>
      </w:r>
      <w:r w:rsidRPr="00132E65">
        <w:rPr>
          <w:rtl/>
          <w:lang w:bidi="fa-IR"/>
        </w:rPr>
        <w:t xml:space="preserve">أَعْلَمُهَا صَادِقُونَ </w:t>
      </w:r>
      <w:r w:rsidRPr="00F543F1">
        <w:rPr>
          <w:rStyle w:val="libFootnotenumChar"/>
          <w:rtl/>
        </w:rPr>
        <w:t>(18)</w:t>
      </w:r>
      <w:r w:rsidRPr="00132E65">
        <w:rPr>
          <w:rtl/>
          <w:lang w:bidi="fa-IR"/>
        </w:rPr>
        <w:t xml:space="preserve"> ، و</w:t>
      </w:r>
      <w:r w:rsidR="00B23873">
        <w:rPr>
          <w:rFonts w:hint="cs"/>
          <w:rtl/>
          <w:lang w:bidi="fa-IR"/>
        </w:rPr>
        <w:t>َ</w:t>
      </w:r>
      <w:r w:rsidRPr="00132E65">
        <w:rPr>
          <w:rtl/>
          <w:lang w:bidi="fa-IR"/>
        </w:rPr>
        <w:t xml:space="preserve">مَعَ ذلِكَ أَدْخُلُ فِي دِينِكُمُ الْإِسْلَامِ. فَقَالَ أَمِيرُ الْمُؤْمِنِينَ </w:t>
      </w:r>
      <w:r w:rsidRPr="00071CF9">
        <w:rPr>
          <w:rStyle w:val="libAlaemChar"/>
          <w:rtl/>
        </w:rPr>
        <w:t>عليه‌السلام</w:t>
      </w:r>
      <w:r w:rsidRPr="00132E65">
        <w:rPr>
          <w:rtl/>
          <w:lang w:bidi="fa-IR"/>
        </w:rPr>
        <w:t xml:space="preserve"> : « نَعَمْ ، أَنَا كَمَا ذَكَرَ لَكَ عُمَرُ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والغيبة للطوسي والبحار : « ويزعم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مرآة العقول</w:t>
      </w:r>
      <w:r w:rsidRPr="00132E65">
        <w:rPr>
          <w:rtl/>
        </w:rPr>
        <w:t xml:space="preserve"> : « وقيل : هو على بناء الفاعل ، أي رفع صوته ، ولا يخفى بُعده »</w:t>
      </w:r>
      <w:r>
        <w:rPr>
          <w:rtl/>
        </w:rPr>
        <w:t>.</w:t>
      </w:r>
    </w:p>
    <w:tbl>
      <w:tblPr>
        <w:tblStyle w:val="TableGrid"/>
        <w:bidiVisual/>
        <w:tblW w:w="0" w:type="auto"/>
        <w:tblLook w:val="04A0" w:firstRow="1" w:lastRow="0" w:firstColumn="1" w:lastColumn="0" w:noHBand="0" w:noVBand="1"/>
      </w:tblPr>
      <w:tblGrid>
        <w:gridCol w:w="4261"/>
        <w:gridCol w:w="4262"/>
      </w:tblGrid>
      <w:tr w:rsidR="00B23873" w:rsidTr="00B23873">
        <w:tc>
          <w:tcPr>
            <w:tcW w:w="4261" w:type="dxa"/>
          </w:tcPr>
          <w:p w:rsidR="00B23873" w:rsidRDefault="00B23873" w:rsidP="000C39D1">
            <w:pPr>
              <w:pStyle w:val="libFootnote0"/>
              <w:rPr>
                <w:rtl/>
              </w:rPr>
            </w:pPr>
            <w:r>
              <w:rPr>
                <w:rtl/>
              </w:rPr>
              <w:t>(3).</w:t>
            </w:r>
            <w:r w:rsidRPr="00132E65">
              <w:rPr>
                <w:rtl/>
              </w:rPr>
              <w:t xml:space="preserve"> في « بر » </w:t>
            </w:r>
            <w:r>
              <w:rPr>
                <w:rtl/>
              </w:rPr>
              <w:t xml:space="preserve">: - </w:t>
            </w:r>
            <w:r w:rsidRPr="00132E65">
              <w:rPr>
                <w:rtl/>
              </w:rPr>
              <w:t>« له »</w:t>
            </w:r>
            <w:r>
              <w:rPr>
                <w:rtl/>
              </w:rPr>
              <w:t>.</w:t>
            </w:r>
          </w:p>
        </w:tc>
        <w:tc>
          <w:tcPr>
            <w:tcW w:w="4262" w:type="dxa"/>
          </w:tcPr>
          <w:p w:rsidR="00B23873" w:rsidRDefault="00B23873" w:rsidP="000C39D1">
            <w:pPr>
              <w:pStyle w:val="libFootnote0"/>
              <w:rPr>
                <w:rtl/>
              </w:rPr>
            </w:pPr>
            <w:r>
              <w:rPr>
                <w:rtl/>
              </w:rPr>
              <w:t>(4).</w:t>
            </w:r>
            <w:r w:rsidRPr="00132E65">
              <w:rPr>
                <w:rtl/>
              </w:rPr>
              <w:t xml:space="preserve"> في الغيبة للطوسي : « خبّرتني »</w:t>
            </w:r>
            <w:r>
              <w:rPr>
                <w:rtl/>
              </w:rPr>
              <w:t>.</w:t>
            </w:r>
          </w:p>
        </w:tc>
      </w:tr>
    </w:tbl>
    <w:p w:rsidR="000C39D1" w:rsidRPr="00132E65" w:rsidRDefault="000C39D1" w:rsidP="000C39D1">
      <w:pPr>
        <w:pStyle w:val="libFootnote0"/>
        <w:rPr>
          <w:rtl/>
          <w:lang w:bidi="fa-IR"/>
        </w:rPr>
      </w:pPr>
      <w:r>
        <w:rPr>
          <w:rtl/>
        </w:rPr>
        <w:t>(5).</w:t>
      </w:r>
      <w:r w:rsidRPr="00132E65">
        <w:rPr>
          <w:rtl/>
        </w:rPr>
        <w:t xml:space="preserve"> في الغيبة للطوسي : « هذا الكتاب » بدل « محمّد بالكتاب »</w:t>
      </w:r>
      <w:r>
        <w:rPr>
          <w:rtl/>
        </w:rPr>
        <w:t>.</w:t>
      </w:r>
    </w:p>
    <w:tbl>
      <w:tblPr>
        <w:tblStyle w:val="TableGrid"/>
        <w:bidiVisual/>
        <w:tblW w:w="0" w:type="auto"/>
        <w:tblLook w:val="04A0" w:firstRow="1" w:lastRow="0" w:firstColumn="1" w:lastColumn="0" w:noHBand="0" w:noVBand="1"/>
      </w:tblPr>
      <w:tblGrid>
        <w:gridCol w:w="4261"/>
        <w:gridCol w:w="4262"/>
      </w:tblGrid>
      <w:tr w:rsidR="00B23873" w:rsidTr="00B23873">
        <w:tc>
          <w:tcPr>
            <w:tcW w:w="4261" w:type="dxa"/>
          </w:tcPr>
          <w:p w:rsidR="00B23873" w:rsidRDefault="00B23873" w:rsidP="000C39D1">
            <w:pPr>
              <w:pStyle w:val="libFootnote0"/>
              <w:rPr>
                <w:rtl/>
              </w:rPr>
            </w:pPr>
            <w:r>
              <w:rPr>
                <w:rtl/>
              </w:rPr>
              <w:t>(6).</w:t>
            </w:r>
            <w:r w:rsidRPr="00132E65">
              <w:rPr>
                <w:rtl/>
              </w:rPr>
              <w:t xml:space="preserve"> في « ب » : « أسألك »</w:t>
            </w:r>
            <w:r>
              <w:rPr>
                <w:rtl/>
              </w:rPr>
              <w:t>.</w:t>
            </w:r>
          </w:p>
        </w:tc>
        <w:tc>
          <w:tcPr>
            <w:tcW w:w="4262" w:type="dxa"/>
          </w:tcPr>
          <w:p w:rsidR="00B23873" w:rsidRDefault="00B23873" w:rsidP="000C39D1">
            <w:pPr>
              <w:pStyle w:val="libFootnote0"/>
              <w:rPr>
                <w:rtl/>
              </w:rPr>
            </w:pPr>
            <w:r>
              <w:rPr>
                <w:rtl/>
              </w:rPr>
              <w:t>(7).</w:t>
            </w:r>
            <w:r w:rsidRPr="00132E65">
              <w:rPr>
                <w:rtl/>
              </w:rPr>
              <w:t xml:space="preserve"> في </w:t>
            </w:r>
            <w:r w:rsidRPr="00B23873">
              <w:rPr>
                <w:rtl/>
              </w:rPr>
              <w:t>الوافي</w:t>
            </w:r>
            <w:r w:rsidRPr="00132E65">
              <w:rPr>
                <w:rtl/>
              </w:rPr>
              <w:t xml:space="preserve"> : « ولكنّي »</w:t>
            </w:r>
            <w:r>
              <w:rPr>
                <w:rtl/>
              </w:rPr>
              <w:t>.</w:t>
            </w:r>
          </w:p>
        </w:tc>
      </w:tr>
      <w:tr w:rsidR="00B23873" w:rsidTr="00B23873">
        <w:tc>
          <w:tcPr>
            <w:tcW w:w="4261" w:type="dxa"/>
          </w:tcPr>
          <w:p w:rsidR="00B23873" w:rsidRDefault="00B23873" w:rsidP="000C39D1">
            <w:pPr>
              <w:pStyle w:val="libFootnote0"/>
              <w:rPr>
                <w:rtl/>
              </w:rPr>
            </w:pPr>
            <w:r>
              <w:rPr>
                <w:rtl/>
              </w:rPr>
              <w:t>(8).</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قد »</w:t>
            </w:r>
            <w:r>
              <w:rPr>
                <w:rtl/>
              </w:rPr>
              <w:t>.</w:t>
            </w:r>
          </w:p>
        </w:tc>
        <w:tc>
          <w:tcPr>
            <w:tcW w:w="4262" w:type="dxa"/>
          </w:tcPr>
          <w:p w:rsidR="00B23873" w:rsidRDefault="00B23873" w:rsidP="000C39D1">
            <w:pPr>
              <w:pStyle w:val="libFootnote0"/>
              <w:rPr>
                <w:rtl/>
              </w:rPr>
            </w:pPr>
            <w:r>
              <w:rPr>
                <w:rtl/>
              </w:rPr>
              <w:t>(9).</w:t>
            </w:r>
            <w:r w:rsidRPr="00132E65">
              <w:rPr>
                <w:rtl/>
              </w:rPr>
              <w:t xml:space="preserve"> في الغيبة للطوسي : « وأومأ »</w:t>
            </w:r>
            <w:r>
              <w:rPr>
                <w:rtl/>
              </w:rPr>
              <w:t>.</w:t>
            </w:r>
          </w:p>
        </w:tc>
      </w:tr>
    </w:tbl>
    <w:p w:rsidR="000C39D1" w:rsidRPr="00132E65" w:rsidRDefault="000C39D1" w:rsidP="000C39D1">
      <w:pPr>
        <w:pStyle w:val="libFootnote0"/>
        <w:rPr>
          <w:rtl/>
          <w:lang w:bidi="fa-IR"/>
        </w:rPr>
      </w:pPr>
      <w:r>
        <w:rPr>
          <w:rtl/>
        </w:rPr>
        <w:t>(10).</w:t>
      </w:r>
      <w:r w:rsidRPr="00132E65">
        <w:rPr>
          <w:rtl/>
        </w:rPr>
        <w:t xml:space="preserve"> في </w:t>
      </w:r>
      <w:r w:rsidRPr="00B23873">
        <w:rPr>
          <w:rStyle w:val="libFootnoteBoldChar"/>
          <w:rtl/>
        </w:rPr>
        <w:t>الغيبة للطوسي</w:t>
      </w:r>
      <w:r w:rsidRPr="00132E65">
        <w:rPr>
          <w:rtl/>
        </w:rPr>
        <w:t xml:space="preserve"> : « وبيعة »</w:t>
      </w:r>
      <w:r>
        <w:rPr>
          <w:rtl/>
        </w:rPr>
        <w:t>.</w:t>
      </w:r>
    </w:p>
    <w:p w:rsidR="000C39D1" w:rsidRPr="00132E65" w:rsidRDefault="000C39D1" w:rsidP="000C39D1">
      <w:pPr>
        <w:pStyle w:val="libFootnote0"/>
        <w:rPr>
          <w:rtl/>
          <w:lang w:bidi="fa-IR"/>
        </w:rPr>
      </w:pPr>
      <w:r>
        <w:rPr>
          <w:rtl/>
        </w:rPr>
        <w:t>(11).</w:t>
      </w:r>
      <w:r w:rsidRPr="00132E65">
        <w:rPr>
          <w:rtl/>
        </w:rPr>
        <w:t xml:space="preserve"> « الزَبْر » : الزَجْر والمنع. يقال : زبره يزبره زَبْراً ، إذا انتهره. </w:t>
      </w:r>
      <w:r w:rsidRPr="00B23873">
        <w:rPr>
          <w:rStyle w:val="libFootnoteBoldChar"/>
          <w:rtl/>
        </w:rPr>
        <w:t>الصحاح</w:t>
      </w:r>
      <w:r w:rsidRPr="00132E65">
        <w:rPr>
          <w:rtl/>
        </w:rPr>
        <w:t xml:space="preserve"> ، ج 2 ، ص 667 ( زبر )</w:t>
      </w:r>
      <w:r>
        <w:rPr>
          <w:rtl/>
        </w:rPr>
        <w:t>.</w:t>
      </w:r>
    </w:p>
    <w:p w:rsidR="000C39D1" w:rsidRPr="00132E65" w:rsidRDefault="000C39D1" w:rsidP="000C39D1">
      <w:pPr>
        <w:pStyle w:val="libFootnote0"/>
        <w:rPr>
          <w:rtl/>
          <w:lang w:bidi="fa-IR"/>
        </w:rPr>
      </w:pPr>
      <w:r>
        <w:rPr>
          <w:rtl/>
        </w:rPr>
        <w:t>(12).</w:t>
      </w:r>
      <w:r w:rsidRPr="00132E65">
        <w:rPr>
          <w:rtl/>
        </w:rPr>
        <w:t xml:space="preserve"> هكذا في النسخ التي قوبلت </w:t>
      </w:r>
      <w:r w:rsidRPr="00B23873">
        <w:rPr>
          <w:rStyle w:val="libFootnoteBoldChar"/>
          <w:rtl/>
        </w:rPr>
        <w:t>والغيبة للطوسي</w:t>
      </w:r>
      <w:r w:rsidRPr="00132E65">
        <w:rPr>
          <w:rtl/>
        </w:rPr>
        <w:t xml:space="preserve"> و</w:t>
      </w:r>
      <w:r w:rsidRPr="009D1ACE">
        <w:rPr>
          <w:rStyle w:val="libFootnoteBoldChar"/>
          <w:rtl/>
        </w:rPr>
        <w:t>الوافي</w:t>
      </w:r>
      <w:r w:rsidRPr="00132E65">
        <w:rPr>
          <w:rtl/>
        </w:rPr>
        <w:t xml:space="preserve"> والبحار. وفي المطبوع :</w:t>
      </w:r>
      <w:r>
        <w:rPr>
          <w:rtl/>
        </w:rPr>
        <w:t xml:space="preserve"> + </w:t>
      </w:r>
      <w:r w:rsidRPr="00132E65">
        <w:rPr>
          <w:rtl/>
        </w:rPr>
        <w:t>« له »</w:t>
      </w:r>
      <w:r>
        <w:rPr>
          <w:rtl/>
        </w:rPr>
        <w:t>.</w:t>
      </w:r>
    </w:p>
    <w:tbl>
      <w:tblPr>
        <w:tblStyle w:val="TableGrid"/>
        <w:bidiVisual/>
        <w:tblW w:w="0" w:type="auto"/>
        <w:tblLook w:val="04A0" w:firstRow="1" w:lastRow="0" w:firstColumn="1" w:lastColumn="0" w:noHBand="0" w:noVBand="1"/>
      </w:tblPr>
      <w:tblGrid>
        <w:gridCol w:w="4261"/>
        <w:gridCol w:w="4262"/>
      </w:tblGrid>
      <w:tr w:rsidR="00B23873" w:rsidTr="00B23873">
        <w:tc>
          <w:tcPr>
            <w:tcW w:w="4261" w:type="dxa"/>
          </w:tcPr>
          <w:p w:rsidR="00B23873" w:rsidRDefault="00B23873" w:rsidP="000C39D1">
            <w:pPr>
              <w:pStyle w:val="libFootnote0"/>
              <w:rPr>
                <w:rtl/>
              </w:rPr>
            </w:pPr>
            <w:r>
              <w:rPr>
                <w:rtl/>
              </w:rPr>
              <w:t>(13)</w:t>
            </w:r>
            <w:r w:rsidRPr="00132E65">
              <w:rPr>
                <w:rtl/>
              </w:rPr>
              <w:t xml:space="preserve"> في « بر ، بف » </w:t>
            </w:r>
            <w:r w:rsidRPr="00B23873">
              <w:rPr>
                <w:rtl/>
              </w:rPr>
              <w:t>والوافي</w:t>
            </w:r>
            <w:r w:rsidRPr="00132E65">
              <w:rPr>
                <w:rtl/>
              </w:rPr>
              <w:t xml:space="preserve"> : « قال »</w:t>
            </w:r>
            <w:r>
              <w:rPr>
                <w:rtl/>
              </w:rPr>
              <w:t>.</w:t>
            </w:r>
          </w:p>
        </w:tc>
        <w:tc>
          <w:tcPr>
            <w:tcW w:w="4262" w:type="dxa"/>
          </w:tcPr>
          <w:p w:rsidR="00B23873" w:rsidRDefault="00B23873" w:rsidP="000C39D1">
            <w:pPr>
              <w:pStyle w:val="libFootnote0"/>
              <w:rPr>
                <w:rtl/>
              </w:rPr>
            </w:pPr>
            <w:r>
              <w:rPr>
                <w:rtl/>
              </w:rPr>
              <w:t>(14)</w:t>
            </w:r>
            <w:r w:rsidRPr="00132E65">
              <w:rPr>
                <w:rtl/>
              </w:rPr>
              <w:t xml:space="preserve"> في « ب » </w:t>
            </w:r>
            <w:r w:rsidRPr="00B23873">
              <w:rPr>
                <w:rtl/>
              </w:rPr>
              <w:t>والوافي</w:t>
            </w:r>
            <w:r w:rsidRPr="00132E65">
              <w:rPr>
                <w:rtl/>
              </w:rPr>
              <w:t xml:space="preserve"> : « إن »</w:t>
            </w:r>
            <w:r>
              <w:rPr>
                <w:rtl/>
              </w:rPr>
              <w:t>.</w:t>
            </w:r>
          </w:p>
        </w:tc>
      </w:tr>
    </w:tbl>
    <w:p w:rsidR="000C39D1" w:rsidRPr="00132E65" w:rsidRDefault="000C39D1" w:rsidP="000C39D1">
      <w:pPr>
        <w:pStyle w:val="libFootnote0"/>
        <w:rPr>
          <w:rtl/>
          <w:lang w:bidi="fa-IR"/>
        </w:rPr>
      </w:pPr>
      <w:r>
        <w:rPr>
          <w:rtl/>
        </w:rPr>
        <w:t>(15)</w:t>
      </w:r>
      <w:r w:rsidRPr="00132E65">
        <w:rPr>
          <w:rtl/>
        </w:rPr>
        <w:t xml:space="preserve"> في </w:t>
      </w:r>
      <w:r w:rsidRPr="00B23873">
        <w:rPr>
          <w:rStyle w:val="libFootnoteBoldChar"/>
          <w:rtl/>
        </w:rPr>
        <w:t>الغيبة للطوسي</w:t>
      </w:r>
      <w:r w:rsidRPr="00132E65">
        <w:rPr>
          <w:rtl/>
        </w:rPr>
        <w:t xml:space="preserve"> :</w:t>
      </w:r>
      <w:r>
        <w:rPr>
          <w:rtl/>
        </w:rPr>
        <w:t xml:space="preserve"> + </w:t>
      </w:r>
      <w:r w:rsidRPr="00132E65">
        <w:rPr>
          <w:rtl/>
        </w:rPr>
        <w:t>« عمر »</w:t>
      </w:r>
      <w:r>
        <w:rPr>
          <w:rtl/>
        </w:rPr>
        <w:t>.</w:t>
      </w:r>
    </w:p>
    <w:p w:rsidR="000C39D1" w:rsidRPr="00132E65" w:rsidRDefault="000C39D1" w:rsidP="000C39D1">
      <w:pPr>
        <w:pStyle w:val="libFootnote0"/>
        <w:rPr>
          <w:rtl/>
          <w:lang w:bidi="fa-IR"/>
        </w:rPr>
      </w:pPr>
      <w:r>
        <w:rPr>
          <w:rtl/>
        </w:rPr>
        <w:t>(16)</w:t>
      </w:r>
      <w:r w:rsidRPr="00132E65">
        <w:rPr>
          <w:rtl/>
        </w:rPr>
        <w:t xml:space="preserve"> في « ض » : « يعلم » بدون الضمير. وفي حاشية « بح » والغيبة للطوسي » : « يعلمها » وهو الأنسب بالأشياء.</w:t>
      </w:r>
    </w:p>
    <w:p w:rsidR="000C39D1" w:rsidRPr="00132E65" w:rsidRDefault="000C39D1" w:rsidP="000C39D1">
      <w:pPr>
        <w:pStyle w:val="libFootnote0"/>
        <w:rPr>
          <w:rtl/>
          <w:lang w:bidi="fa-IR"/>
        </w:rPr>
      </w:pPr>
      <w:r>
        <w:rPr>
          <w:rtl/>
        </w:rPr>
        <w:t>(17)</w:t>
      </w:r>
      <w:r w:rsidRPr="00132E65">
        <w:rPr>
          <w:rtl/>
        </w:rPr>
        <w:t xml:space="preserve"> في </w:t>
      </w:r>
      <w:r w:rsidRPr="009D1ACE">
        <w:rPr>
          <w:rStyle w:val="libFootnoteBoldChar"/>
          <w:rtl/>
        </w:rPr>
        <w:t>مرآة العقول</w:t>
      </w:r>
      <w:r w:rsidRPr="00132E65">
        <w:rPr>
          <w:rtl/>
        </w:rPr>
        <w:t xml:space="preserve"> : « خير الا</w:t>
      </w:r>
      <w:r w:rsidR="00B23873">
        <w:rPr>
          <w:rFonts w:hint="cs"/>
          <w:rtl/>
        </w:rPr>
        <w:t>ُ</w:t>
      </w:r>
      <w:r w:rsidRPr="00132E65">
        <w:rPr>
          <w:rtl/>
        </w:rPr>
        <w:t>مم ، خبر مبتدأ محذوف ، أي نحن خير الا</w:t>
      </w:r>
      <w:r w:rsidR="00B23873">
        <w:rPr>
          <w:rFonts w:hint="cs"/>
          <w:rtl/>
        </w:rPr>
        <w:t>ُ</w:t>
      </w:r>
      <w:r w:rsidRPr="00132E65">
        <w:rPr>
          <w:rtl/>
        </w:rPr>
        <w:t xml:space="preserve">مم. </w:t>
      </w:r>
      <w:r>
        <w:rPr>
          <w:rtl/>
        </w:rPr>
        <w:t>و «</w:t>
      </w:r>
      <w:r w:rsidRPr="00132E65">
        <w:rPr>
          <w:rtl/>
        </w:rPr>
        <w:t xml:space="preserve"> صادقون » خبر أنّ »</w:t>
      </w:r>
      <w:r>
        <w:rPr>
          <w:rtl/>
        </w:rPr>
        <w:t>.</w:t>
      </w:r>
    </w:p>
    <w:p w:rsidR="000C39D1" w:rsidRPr="00132E65" w:rsidRDefault="000C39D1" w:rsidP="000C39D1">
      <w:pPr>
        <w:pStyle w:val="libFootnote0"/>
        <w:rPr>
          <w:rtl/>
          <w:lang w:bidi="fa-IR"/>
        </w:rPr>
      </w:pPr>
      <w:r>
        <w:rPr>
          <w:rtl/>
        </w:rPr>
        <w:t>(18)</w:t>
      </w:r>
      <w:r w:rsidRPr="00132E65">
        <w:rPr>
          <w:rtl/>
        </w:rPr>
        <w:t xml:space="preserve"> في « ج ، ض ، ف ، بح ، بس » : « صادقين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سَلْ عَمَّا بَدَا لَكَ ؛ أُخْبِرْكَ بِهِ </w:t>
      </w:r>
      <w:r>
        <w:rPr>
          <w:rStyle w:val="libFootnotenumChar"/>
          <w:rtl/>
        </w:rPr>
        <w:t>(1)</w:t>
      </w:r>
      <w:r w:rsidRPr="00132E65">
        <w:rPr>
          <w:rtl/>
          <w:lang w:bidi="fa-IR"/>
        </w:rPr>
        <w:t xml:space="preserve"> إِنْ شَاءَ اللهُ »</w:t>
      </w:r>
      <w:r>
        <w:rPr>
          <w:rtl/>
          <w:lang w:bidi="fa-IR"/>
        </w:rPr>
        <w:t>.</w:t>
      </w:r>
    </w:p>
    <w:p w:rsidR="000C39D1" w:rsidRPr="00132E65" w:rsidRDefault="000C39D1" w:rsidP="000C39D1">
      <w:pPr>
        <w:pStyle w:val="libNormal"/>
        <w:rPr>
          <w:rtl/>
          <w:lang w:bidi="fa-IR"/>
        </w:rPr>
      </w:pPr>
      <w:r w:rsidRPr="00132E65">
        <w:rPr>
          <w:rtl/>
          <w:lang w:bidi="fa-IR"/>
        </w:rPr>
        <w:t>قَالَ : أَخْبِرْنِي عَنْ ثَلَاثٍ و</w:t>
      </w:r>
      <w:r w:rsidR="00B23873">
        <w:rPr>
          <w:rFonts w:hint="cs"/>
          <w:rtl/>
          <w:lang w:bidi="fa-IR"/>
        </w:rPr>
        <w:t>َ</w:t>
      </w:r>
      <w:r w:rsidRPr="00132E65">
        <w:rPr>
          <w:rtl/>
          <w:lang w:bidi="fa-IR"/>
        </w:rPr>
        <w:t xml:space="preserve">ثَلَاثٍ </w:t>
      </w:r>
      <w:r>
        <w:rPr>
          <w:rStyle w:val="libFootnotenumChar"/>
          <w:rtl/>
        </w:rPr>
        <w:t>(2)</w:t>
      </w:r>
      <w:r w:rsidRPr="00132E65">
        <w:rPr>
          <w:rtl/>
          <w:lang w:bidi="fa-IR"/>
        </w:rPr>
        <w:t xml:space="preserve"> و</w:t>
      </w:r>
      <w:r w:rsidR="00B23873">
        <w:rPr>
          <w:rFonts w:hint="cs"/>
          <w:rtl/>
          <w:lang w:bidi="fa-IR"/>
        </w:rPr>
        <w:t xml:space="preserve">َ </w:t>
      </w:r>
      <w:r w:rsidR="00B23873">
        <w:rPr>
          <w:rtl/>
          <w:lang w:bidi="fa-IR"/>
        </w:rPr>
        <w:t>و</w:t>
      </w:r>
      <w:r w:rsidR="00B23873">
        <w:rPr>
          <w:rFonts w:hint="cs"/>
          <w:rtl/>
          <w:lang w:bidi="fa-IR"/>
        </w:rPr>
        <w:t>َ</w:t>
      </w:r>
      <w:r w:rsidRPr="00132E65">
        <w:rPr>
          <w:rtl/>
          <w:lang w:bidi="fa-IR"/>
        </w:rPr>
        <w:t xml:space="preserve">احِدَةٍ ، فَقَالَ لَهُ عَلِيٌّ </w:t>
      </w:r>
      <w:r w:rsidRPr="00071CF9">
        <w:rPr>
          <w:rStyle w:val="libAlaemChar"/>
          <w:rtl/>
        </w:rPr>
        <w:t>عليه‌السلام</w:t>
      </w:r>
      <w:r w:rsidRPr="00132E65">
        <w:rPr>
          <w:rtl/>
          <w:lang w:bidi="fa-IR"/>
        </w:rPr>
        <w:t xml:space="preserve"> : « يَا يَهُودِيُّ ، و</w:t>
      </w:r>
      <w:r w:rsidR="00B23873">
        <w:rPr>
          <w:rFonts w:hint="cs"/>
          <w:rtl/>
          <w:lang w:bidi="fa-IR"/>
        </w:rPr>
        <w:t>َ</w:t>
      </w:r>
      <w:r w:rsidRPr="00132E65">
        <w:rPr>
          <w:rtl/>
          <w:lang w:bidi="fa-IR"/>
        </w:rPr>
        <w:t>لِمَ لَمْ تَقُلْ : أَخْبِرْنِي عَنْ سَبْعٍ</w:t>
      </w:r>
      <w:r>
        <w:rPr>
          <w:rtl/>
          <w:lang w:bidi="fa-IR"/>
        </w:rPr>
        <w:t>؟</w:t>
      </w:r>
      <w:r w:rsidRPr="00132E65">
        <w:rPr>
          <w:rtl/>
          <w:lang w:bidi="fa-IR"/>
        </w:rPr>
        <w:t xml:space="preserve"> » فَقَالَ لَهُ الْيَهُودِيُّ : إِنَّكَ إِنْ أَخْبَرْتَنِي بِالثَّلَاثِ سَأَلْتُكَ عَنِ الْبَقِيَّةِ </w:t>
      </w:r>
      <w:r>
        <w:rPr>
          <w:rStyle w:val="libFootnotenumChar"/>
          <w:rtl/>
        </w:rPr>
        <w:t>(3)</w:t>
      </w:r>
      <w:r w:rsidRPr="00132E65">
        <w:rPr>
          <w:rtl/>
          <w:lang w:bidi="fa-IR"/>
        </w:rPr>
        <w:t xml:space="preserve"> ، و</w:t>
      </w:r>
      <w:r w:rsidR="00B23873">
        <w:rPr>
          <w:rFonts w:hint="cs"/>
          <w:rtl/>
          <w:lang w:bidi="fa-IR"/>
        </w:rPr>
        <w:t>َ</w:t>
      </w:r>
      <w:r w:rsidR="00B23873">
        <w:rPr>
          <w:rtl/>
          <w:lang w:bidi="fa-IR"/>
        </w:rPr>
        <w:t>إِل</w:t>
      </w:r>
      <w:r w:rsidR="00B23873">
        <w:rPr>
          <w:rFonts w:hint="cs"/>
          <w:rtl/>
          <w:lang w:bidi="fa-IR"/>
        </w:rPr>
        <w:t>َّ</w:t>
      </w:r>
      <w:r w:rsidR="00B23873">
        <w:rPr>
          <w:rtl/>
          <w:lang w:bidi="fa-IR"/>
        </w:rPr>
        <w:t>ا</w:t>
      </w:r>
      <w:r w:rsidRPr="00132E65">
        <w:rPr>
          <w:rtl/>
          <w:lang w:bidi="fa-IR"/>
        </w:rPr>
        <w:t xml:space="preserve"> كَفَفْتُ ، فَإِنْ أَنْتَ </w:t>
      </w:r>
      <w:r>
        <w:rPr>
          <w:rStyle w:val="libFootnotenumChar"/>
          <w:rtl/>
        </w:rPr>
        <w:t>(4)</w:t>
      </w:r>
      <w:r w:rsidRPr="00132E65">
        <w:rPr>
          <w:rtl/>
          <w:lang w:bidi="fa-IR"/>
        </w:rPr>
        <w:t xml:space="preserve"> أَجَبْتَنِي فِي هذِهِ السَّبْعِ ، فَأَنْتَ أَعْلَمُ أَهْلِ الْأَرْضِ وَأَفْضَلُهُمْ ، و</w:t>
      </w:r>
      <w:r w:rsidR="00B23873">
        <w:rPr>
          <w:rFonts w:hint="cs"/>
          <w:rtl/>
          <w:lang w:bidi="fa-IR"/>
        </w:rPr>
        <w:t>َ</w:t>
      </w:r>
      <w:r w:rsidRPr="00132E65">
        <w:rPr>
          <w:rtl/>
          <w:lang w:bidi="fa-IR"/>
        </w:rPr>
        <w:t xml:space="preserve">أَوْلَى النَّاسِ بِالنَّاسِ ، فَقَالَ لَهُ : « سَلْ عَمَّا بَدَا لَكَ يَا يَهُودِيُّ </w:t>
      </w:r>
      <w:r>
        <w:rPr>
          <w:rStyle w:val="libFootnotenumChar"/>
          <w:rtl/>
        </w:rPr>
        <w:t>(5)</w:t>
      </w:r>
      <w:r w:rsidRPr="00132E65">
        <w:rPr>
          <w:rtl/>
          <w:lang w:bidi="fa-IR"/>
        </w:rPr>
        <w:t xml:space="preserve"> »</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(6)</w:t>
      </w:r>
      <w:r w:rsidRPr="00132E65">
        <w:rPr>
          <w:rtl/>
          <w:lang w:bidi="fa-IR"/>
        </w:rPr>
        <w:t xml:space="preserve"> : أَخْبِرْنِي عَنْ أَوَّلِ حَجَرٍ و</w:t>
      </w:r>
      <w:r w:rsidR="00B23873">
        <w:rPr>
          <w:rFonts w:hint="cs"/>
          <w:rtl/>
          <w:lang w:bidi="fa-IR"/>
        </w:rPr>
        <w:t>ُ</w:t>
      </w:r>
      <w:r w:rsidRPr="00132E65">
        <w:rPr>
          <w:rtl/>
          <w:lang w:bidi="fa-IR"/>
        </w:rPr>
        <w:t>ضِعَ عَلى و</w:t>
      </w:r>
      <w:r w:rsidR="00B23873">
        <w:rPr>
          <w:rFonts w:hint="cs"/>
          <w:rtl/>
          <w:lang w:bidi="fa-IR"/>
        </w:rPr>
        <w:t>َ</w:t>
      </w:r>
      <w:r w:rsidRPr="00132E65">
        <w:rPr>
          <w:rtl/>
          <w:lang w:bidi="fa-IR"/>
        </w:rPr>
        <w:t>جْهِ الْأَرْضِ ، و</w:t>
      </w:r>
      <w:r w:rsidR="00B23873">
        <w:rPr>
          <w:rFonts w:hint="cs"/>
          <w:rtl/>
          <w:lang w:bidi="fa-IR"/>
        </w:rPr>
        <w:t>َ</w:t>
      </w:r>
      <w:r w:rsidRPr="00132E65">
        <w:rPr>
          <w:rtl/>
          <w:lang w:bidi="fa-IR"/>
        </w:rPr>
        <w:t>أَوَّلِ شَجَرَةٍ غُرِسَتْ عَلى وَجْهِ الْأَرْضِ ، و</w:t>
      </w:r>
      <w:r w:rsidR="00B23873">
        <w:rPr>
          <w:rFonts w:hint="cs"/>
          <w:rtl/>
          <w:lang w:bidi="fa-IR"/>
        </w:rPr>
        <w:t xml:space="preserve">َ </w:t>
      </w:r>
      <w:r w:rsidRPr="00132E65">
        <w:rPr>
          <w:rtl/>
          <w:lang w:bidi="fa-IR"/>
        </w:rPr>
        <w:t>أَوَّلِ عَيْنٍ نَبَعَتْ عَلى و</w:t>
      </w:r>
      <w:r w:rsidR="00B23873">
        <w:rPr>
          <w:rFonts w:hint="cs"/>
          <w:rtl/>
          <w:lang w:bidi="fa-IR"/>
        </w:rPr>
        <w:t>َ</w:t>
      </w:r>
      <w:r w:rsidRPr="00132E65">
        <w:rPr>
          <w:rtl/>
          <w:lang w:bidi="fa-IR"/>
        </w:rPr>
        <w:t xml:space="preserve">جْهِ الْأَرْضِ ، فَأَخْبَرَهُ أَمِيرُ الْمُؤْمِنِينَ </w:t>
      </w:r>
      <w:r w:rsidRPr="00071CF9">
        <w:rPr>
          <w:rStyle w:val="libAlaemChar"/>
          <w:rtl/>
        </w:rPr>
        <w:t>عليه‌السلام</w:t>
      </w:r>
      <w:r w:rsidRPr="00132E65">
        <w:rPr>
          <w:rtl/>
          <w:lang w:bidi="fa-IR"/>
        </w:rPr>
        <w:t>.</w:t>
      </w:r>
    </w:p>
    <w:p w:rsidR="000C39D1" w:rsidRPr="00132E65" w:rsidRDefault="000C39D1" w:rsidP="000C39D1">
      <w:pPr>
        <w:pStyle w:val="libNormal"/>
        <w:rPr>
          <w:rtl/>
          <w:lang w:bidi="fa-IR"/>
        </w:rPr>
      </w:pPr>
      <w:r w:rsidRPr="00132E65">
        <w:rPr>
          <w:rtl/>
          <w:lang w:bidi="fa-IR"/>
        </w:rPr>
        <w:t xml:space="preserve">ثُمَّ قَالَ لَهُ الْيَهُودِيُّ : أَخْبِرْنِي </w:t>
      </w:r>
      <w:r>
        <w:rPr>
          <w:rStyle w:val="libFootnotenumChar"/>
          <w:rtl/>
        </w:rPr>
        <w:t>(7)</w:t>
      </w:r>
      <w:r w:rsidRPr="00132E65">
        <w:rPr>
          <w:rtl/>
          <w:lang w:bidi="fa-IR"/>
        </w:rPr>
        <w:t xml:space="preserve"> عَنْ هذِهِ الْأُمَّةِ : كَمْ لَهَا </w:t>
      </w:r>
      <w:r>
        <w:rPr>
          <w:rStyle w:val="libFootnotenumChar"/>
          <w:rtl/>
        </w:rPr>
        <w:t>(8)</w:t>
      </w:r>
      <w:r w:rsidRPr="00132E65">
        <w:rPr>
          <w:rtl/>
          <w:lang w:bidi="fa-IR"/>
        </w:rPr>
        <w:t xml:space="preserve"> مِنْ </w:t>
      </w:r>
      <w:r>
        <w:rPr>
          <w:rStyle w:val="libFootnotenumChar"/>
          <w:rtl/>
        </w:rPr>
        <w:t>(9)</w:t>
      </w:r>
      <w:r w:rsidRPr="00132E65">
        <w:rPr>
          <w:rtl/>
          <w:lang w:bidi="fa-IR"/>
        </w:rPr>
        <w:t xml:space="preserve"> إِمَامٍ هُدًى</w:t>
      </w:r>
      <w:r>
        <w:rPr>
          <w:rtl/>
          <w:lang w:bidi="fa-IR"/>
        </w:rPr>
        <w:t>؟</w:t>
      </w:r>
      <w:r>
        <w:rPr>
          <w:rFonts w:hint="cs"/>
          <w:rtl/>
          <w:lang w:bidi="fa-IR"/>
        </w:rPr>
        <w:t xml:space="preserve"> </w:t>
      </w:r>
      <w:r w:rsidRPr="00132E65">
        <w:rPr>
          <w:rtl/>
          <w:lang w:bidi="fa-IR"/>
        </w:rPr>
        <w:t>وَأَخْبِرْنِي عَنْ نَبِيِّكُمْ مُحَمَّدٍ : أَيْنَ مَنْزِلُهُ فِي الْجَنَّةِ</w:t>
      </w:r>
      <w:r>
        <w:rPr>
          <w:rtl/>
          <w:lang w:bidi="fa-IR"/>
        </w:rPr>
        <w:t>؟</w:t>
      </w:r>
      <w:r w:rsidRPr="00132E65">
        <w:rPr>
          <w:rtl/>
          <w:lang w:bidi="fa-IR"/>
        </w:rPr>
        <w:t xml:space="preserve"> و</w:t>
      </w:r>
      <w:r w:rsidR="00B23873">
        <w:rPr>
          <w:rFonts w:hint="cs"/>
          <w:rtl/>
          <w:lang w:bidi="fa-IR"/>
        </w:rPr>
        <w:t>َ</w:t>
      </w:r>
      <w:r w:rsidRPr="00132E65">
        <w:rPr>
          <w:rtl/>
          <w:lang w:bidi="fa-IR"/>
        </w:rPr>
        <w:t xml:space="preserve">أَخْبِرْنِي </w:t>
      </w:r>
      <w:r>
        <w:rPr>
          <w:rStyle w:val="libFootnotenumChar"/>
          <w:rtl/>
        </w:rPr>
        <w:t>(10)</w:t>
      </w:r>
      <w:r w:rsidRPr="00132E65">
        <w:rPr>
          <w:rtl/>
          <w:lang w:bidi="fa-IR"/>
        </w:rPr>
        <w:t xml:space="preserve"> مَنْ مَعَهُ فِي الْجَنَّةِ</w:t>
      </w:r>
      <w:r>
        <w:rPr>
          <w:rtl/>
          <w:lang w:bidi="fa-IR"/>
        </w:rPr>
        <w:t>؟</w:t>
      </w:r>
    </w:p>
    <w:p w:rsidR="000C39D1" w:rsidRPr="00132E65" w:rsidRDefault="000C39D1" w:rsidP="000C39D1">
      <w:pPr>
        <w:pStyle w:val="libNormal"/>
        <w:rPr>
          <w:rtl/>
          <w:lang w:bidi="fa-IR"/>
        </w:rPr>
      </w:pPr>
      <w:r w:rsidRPr="00132E65">
        <w:rPr>
          <w:rtl/>
          <w:lang w:bidi="fa-IR"/>
        </w:rPr>
        <w:t xml:space="preserve">فَقَالَ لَهُ </w:t>
      </w:r>
      <w:r>
        <w:rPr>
          <w:rStyle w:val="libFootnotenumChar"/>
          <w:rtl/>
        </w:rPr>
        <w:t>(11)</w:t>
      </w:r>
      <w:r w:rsidRPr="00132E65">
        <w:rPr>
          <w:rtl/>
          <w:lang w:bidi="fa-IR"/>
        </w:rPr>
        <w:t xml:space="preserve"> أَمِيرُ الْمُؤْمِنِينَ </w:t>
      </w:r>
      <w:r w:rsidRPr="00071CF9">
        <w:rPr>
          <w:rStyle w:val="libAlaemChar"/>
          <w:rtl/>
        </w:rPr>
        <w:t>عليه‌السلام</w:t>
      </w:r>
      <w:r w:rsidRPr="00132E65">
        <w:rPr>
          <w:rtl/>
          <w:lang w:bidi="fa-IR"/>
        </w:rPr>
        <w:t xml:space="preserve"> : « إِنَّ لِهذِهِ الْأُمَّةِ اثْنَيْ عَشَرَ إِمَاماً هُدًى مِنْ ذُرِّيَّةِ نَبِيِّهَا </w:t>
      </w:r>
      <w:r>
        <w:rPr>
          <w:rStyle w:val="libFootnotenumChar"/>
          <w:rtl/>
        </w:rPr>
        <w:t>(12)</w:t>
      </w:r>
      <w:r w:rsidRPr="00132E65">
        <w:rPr>
          <w:rtl/>
          <w:lang w:bidi="fa-IR"/>
        </w:rPr>
        <w:t xml:space="preserve"> و</w:t>
      </w:r>
      <w:r w:rsidR="00B23873">
        <w:rPr>
          <w:rFonts w:hint="cs"/>
          <w:rtl/>
          <w:lang w:bidi="fa-IR"/>
        </w:rPr>
        <w:t>َ</w:t>
      </w:r>
      <w:r w:rsidRPr="00132E65">
        <w:rPr>
          <w:rtl/>
          <w:lang w:bidi="fa-IR"/>
        </w:rPr>
        <w:t>هُمْ مِنِّي ؛ و</w:t>
      </w:r>
      <w:r w:rsidR="00B23873">
        <w:rPr>
          <w:rFonts w:hint="cs"/>
          <w:rtl/>
          <w:lang w:bidi="fa-IR"/>
        </w:rPr>
        <w:t>َ</w:t>
      </w:r>
      <w:r w:rsidRPr="00132E65">
        <w:rPr>
          <w:rtl/>
          <w:lang w:bidi="fa-IR"/>
        </w:rPr>
        <w:t>أَمَّا مَنْزِلُ نَبِيِّنَا فِي الْجَنَّةِ ،</w:t>
      </w:r>
      <w:r w:rsidR="00B23873">
        <w:rPr>
          <w:rFonts w:hint="cs"/>
          <w:rtl/>
          <w:lang w:bidi="fa-IR"/>
        </w:rPr>
        <w:t>........................................................</w:t>
      </w:r>
      <w:r w:rsidR="00B23873">
        <w:rPr>
          <w:rFonts w:hint="cs"/>
          <w:rtl/>
          <w:lang w:bidi="fa-IR"/>
        </w:rPr>
        <w:tab/>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B23873" w:rsidTr="00B23873">
        <w:tc>
          <w:tcPr>
            <w:tcW w:w="4261" w:type="dxa"/>
          </w:tcPr>
          <w:p w:rsidR="00B23873" w:rsidRDefault="00B23873" w:rsidP="000C39D1">
            <w:pPr>
              <w:pStyle w:val="libFootnote0"/>
              <w:rPr>
                <w:rtl/>
              </w:rPr>
            </w:pPr>
            <w:r>
              <w:rPr>
                <w:rtl/>
              </w:rPr>
              <w:t>(1).</w:t>
            </w:r>
            <w:r w:rsidRPr="00132E65">
              <w:rPr>
                <w:rtl/>
              </w:rPr>
              <w:t xml:space="preserve"> في الغيبة للطوسي : « عنه »</w:t>
            </w:r>
            <w:r>
              <w:rPr>
                <w:rtl/>
              </w:rPr>
              <w:t>.</w:t>
            </w:r>
          </w:p>
        </w:tc>
        <w:tc>
          <w:tcPr>
            <w:tcW w:w="4262" w:type="dxa"/>
          </w:tcPr>
          <w:p w:rsidR="00B23873" w:rsidRDefault="00B23873" w:rsidP="000C39D1">
            <w:pPr>
              <w:pStyle w:val="libFootnote0"/>
              <w:rPr>
                <w:rtl/>
              </w:rPr>
            </w:pPr>
            <w:r>
              <w:rPr>
                <w:rtl/>
              </w:rPr>
              <w:t>(2).</w:t>
            </w:r>
            <w:r w:rsidRPr="00132E65">
              <w:rPr>
                <w:rtl/>
              </w:rPr>
              <w:t xml:space="preserve"> في الغيبة للطوسي : « ثلاثة »</w:t>
            </w:r>
            <w:r>
              <w:rPr>
                <w:rtl/>
              </w:rPr>
              <w:t>.</w:t>
            </w:r>
          </w:p>
        </w:tc>
      </w:tr>
      <w:tr w:rsidR="00B23873" w:rsidTr="00B23873">
        <w:tc>
          <w:tcPr>
            <w:tcW w:w="4261" w:type="dxa"/>
          </w:tcPr>
          <w:p w:rsidR="00B23873" w:rsidRDefault="00B23873" w:rsidP="000C39D1">
            <w:pPr>
              <w:pStyle w:val="libFootnote0"/>
              <w:rPr>
                <w:rtl/>
              </w:rPr>
            </w:pPr>
            <w:r>
              <w:rPr>
                <w:rtl/>
              </w:rPr>
              <w:t>(3).</w:t>
            </w:r>
            <w:r w:rsidRPr="00132E65">
              <w:rPr>
                <w:rtl/>
              </w:rPr>
              <w:t xml:space="preserve"> في الغيبة : « الثلاث »</w:t>
            </w:r>
            <w:r>
              <w:rPr>
                <w:rtl/>
              </w:rPr>
              <w:t>.</w:t>
            </w:r>
          </w:p>
        </w:tc>
        <w:tc>
          <w:tcPr>
            <w:tcW w:w="4262" w:type="dxa"/>
          </w:tcPr>
          <w:p w:rsidR="00B23873" w:rsidRDefault="00B23873" w:rsidP="000C39D1">
            <w:pPr>
              <w:pStyle w:val="libFootnote0"/>
              <w:rPr>
                <w:rtl/>
              </w:rPr>
            </w:pPr>
            <w:r>
              <w:rPr>
                <w:rtl/>
              </w:rPr>
              <w:t>(4).</w:t>
            </w:r>
            <w:r w:rsidRPr="00132E65">
              <w:rPr>
                <w:rtl/>
              </w:rPr>
              <w:t xml:space="preserve"> في الغيبة : « وإن » بدل « فإن أنت »</w:t>
            </w:r>
            <w:r>
              <w:rPr>
                <w:rtl/>
              </w:rPr>
              <w:t>.</w:t>
            </w:r>
          </w:p>
        </w:tc>
      </w:tr>
    </w:tbl>
    <w:p w:rsidR="000C39D1" w:rsidRPr="00132E65" w:rsidRDefault="000C39D1" w:rsidP="000C39D1">
      <w:pPr>
        <w:pStyle w:val="libFootnote0"/>
        <w:rPr>
          <w:rtl/>
          <w:lang w:bidi="fa-IR"/>
        </w:rPr>
      </w:pPr>
      <w:r>
        <w:rPr>
          <w:rtl/>
        </w:rPr>
        <w:t>(5).</w:t>
      </w:r>
      <w:r w:rsidRPr="00132E65">
        <w:rPr>
          <w:rtl/>
        </w:rPr>
        <w:t xml:space="preserve"> في البحار : « ا</w:t>
      </w:r>
      <w:r w:rsidR="00B23873">
        <w:rPr>
          <w:rFonts w:hint="cs"/>
          <w:rtl/>
        </w:rPr>
        <w:t>ُ</w:t>
      </w:r>
      <w:r w:rsidRPr="00132E65">
        <w:rPr>
          <w:rtl/>
        </w:rPr>
        <w:t>خبرك به إن شاء الله تعالى » بدل « يا يهودي »</w:t>
      </w:r>
      <w:r>
        <w:rPr>
          <w:rtl/>
        </w:rPr>
        <w:t>.</w:t>
      </w:r>
    </w:p>
    <w:tbl>
      <w:tblPr>
        <w:tblStyle w:val="TableGrid"/>
        <w:bidiVisual/>
        <w:tblW w:w="0" w:type="auto"/>
        <w:tblLook w:val="04A0" w:firstRow="1" w:lastRow="0" w:firstColumn="1" w:lastColumn="0" w:noHBand="0" w:noVBand="1"/>
      </w:tblPr>
      <w:tblGrid>
        <w:gridCol w:w="4261"/>
        <w:gridCol w:w="4262"/>
      </w:tblGrid>
      <w:tr w:rsidR="00B23873" w:rsidTr="00B23873">
        <w:tc>
          <w:tcPr>
            <w:tcW w:w="4261" w:type="dxa"/>
          </w:tcPr>
          <w:p w:rsidR="00B23873" w:rsidRDefault="00B23873" w:rsidP="000C39D1">
            <w:pPr>
              <w:pStyle w:val="libFootnote0"/>
              <w:rPr>
                <w:rtl/>
                <w:lang w:bidi="fa-IR"/>
              </w:rPr>
            </w:pPr>
            <w:r>
              <w:rPr>
                <w:rtl/>
              </w:rPr>
              <w:t>(6).</w:t>
            </w:r>
            <w:r w:rsidRPr="00132E65">
              <w:rPr>
                <w:rtl/>
              </w:rPr>
              <w:t xml:space="preserve"> في « ض » : « فقال »</w:t>
            </w:r>
            <w:r>
              <w:rPr>
                <w:rtl/>
              </w:rPr>
              <w:t>.</w:t>
            </w:r>
          </w:p>
        </w:tc>
        <w:tc>
          <w:tcPr>
            <w:tcW w:w="4262" w:type="dxa"/>
          </w:tcPr>
          <w:p w:rsidR="00B23873" w:rsidRDefault="00B23873" w:rsidP="000C39D1">
            <w:pPr>
              <w:pStyle w:val="libFootnote0"/>
              <w:rPr>
                <w:rtl/>
                <w:lang w:bidi="fa-IR"/>
              </w:rPr>
            </w:pPr>
            <w:r>
              <w:rPr>
                <w:rtl/>
              </w:rPr>
              <w:t>(7).</w:t>
            </w:r>
            <w:r w:rsidRPr="00132E65">
              <w:rPr>
                <w:rtl/>
              </w:rPr>
              <w:t xml:space="preserve"> في الغيبة : « فأخبرني »</w:t>
            </w:r>
            <w:r>
              <w:rPr>
                <w:rtl/>
              </w:rPr>
              <w:t>.</w:t>
            </w:r>
          </w:p>
        </w:tc>
      </w:tr>
      <w:tr w:rsidR="00B23873" w:rsidTr="00B23873">
        <w:tc>
          <w:tcPr>
            <w:tcW w:w="4261" w:type="dxa"/>
          </w:tcPr>
          <w:p w:rsidR="00B23873" w:rsidRDefault="00B23873" w:rsidP="000C39D1">
            <w:pPr>
              <w:pStyle w:val="libFootnote0"/>
              <w:rPr>
                <w:rtl/>
                <w:lang w:bidi="fa-IR"/>
              </w:rPr>
            </w:pPr>
            <w:r>
              <w:rPr>
                <w:rtl/>
              </w:rPr>
              <w:t>(8).</w:t>
            </w:r>
            <w:r w:rsidRPr="00132E65">
              <w:rPr>
                <w:rtl/>
              </w:rPr>
              <w:t xml:space="preserve"> في « بر ، بف » : « لهم »</w:t>
            </w:r>
            <w:r>
              <w:rPr>
                <w:rtl/>
              </w:rPr>
              <w:t>.</w:t>
            </w:r>
          </w:p>
        </w:tc>
        <w:tc>
          <w:tcPr>
            <w:tcW w:w="4262" w:type="dxa"/>
          </w:tcPr>
          <w:p w:rsidR="00B23873" w:rsidRDefault="00B23873" w:rsidP="000C39D1">
            <w:pPr>
              <w:pStyle w:val="libFootnote0"/>
              <w:rPr>
                <w:rtl/>
                <w:lang w:bidi="fa-IR"/>
              </w:rPr>
            </w:pPr>
            <w:r>
              <w:rPr>
                <w:rtl/>
              </w:rPr>
              <w:t>(9).</w:t>
            </w:r>
            <w:r w:rsidRPr="00132E65">
              <w:rPr>
                <w:rtl/>
              </w:rPr>
              <w:t xml:space="preserve"> في « بر » </w:t>
            </w:r>
            <w:r>
              <w:rPr>
                <w:rtl/>
              </w:rPr>
              <w:t xml:space="preserve">: - </w:t>
            </w:r>
            <w:r w:rsidRPr="00132E65">
              <w:rPr>
                <w:rtl/>
              </w:rPr>
              <w:t>« من »</w:t>
            </w:r>
            <w:r>
              <w:rPr>
                <w:rtl/>
              </w:rPr>
              <w:t>.</w:t>
            </w:r>
          </w:p>
        </w:tc>
      </w:tr>
      <w:tr w:rsidR="00B23873" w:rsidTr="00B23873">
        <w:tc>
          <w:tcPr>
            <w:tcW w:w="4261" w:type="dxa"/>
          </w:tcPr>
          <w:p w:rsidR="00B23873" w:rsidRDefault="00B23873" w:rsidP="000C39D1">
            <w:pPr>
              <w:pStyle w:val="libFootnote0"/>
              <w:rPr>
                <w:rtl/>
                <w:lang w:bidi="fa-IR"/>
              </w:rPr>
            </w:pPr>
            <w:r>
              <w:rPr>
                <w:rtl/>
              </w:rPr>
              <w:t>(10).</w:t>
            </w:r>
            <w:r w:rsidRPr="00132E65">
              <w:rPr>
                <w:rtl/>
              </w:rPr>
              <w:t xml:space="preserve"> في « ف » :</w:t>
            </w:r>
            <w:r>
              <w:rPr>
                <w:rtl/>
              </w:rPr>
              <w:t xml:space="preserve"> + </w:t>
            </w:r>
            <w:r w:rsidRPr="00132E65">
              <w:rPr>
                <w:rtl/>
              </w:rPr>
              <w:t>« عن »</w:t>
            </w:r>
            <w:r>
              <w:rPr>
                <w:rtl/>
              </w:rPr>
              <w:t>.</w:t>
            </w:r>
          </w:p>
        </w:tc>
        <w:tc>
          <w:tcPr>
            <w:tcW w:w="4262" w:type="dxa"/>
          </w:tcPr>
          <w:p w:rsidR="00B23873" w:rsidRDefault="00B23873" w:rsidP="000C39D1">
            <w:pPr>
              <w:pStyle w:val="libFootnote0"/>
              <w:rPr>
                <w:rtl/>
                <w:lang w:bidi="fa-IR"/>
              </w:rPr>
            </w:pPr>
            <w:r>
              <w:rPr>
                <w:rtl/>
              </w:rPr>
              <w:t>(11).</w:t>
            </w:r>
            <w:r w:rsidRPr="00132E65">
              <w:rPr>
                <w:rtl/>
              </w:rPr>
              <w:t xml:space="preserve"> في « بر » </w:t>
            </w:r>
            <w:r>
              <w:rPr>
                <w:rtl/>
              </w:rPr>
              <w:t xml:space="preserve">: - </w:t>
            </w:r>
            <w:r w:rsidRPr="00132E65">
              <w:rPr>
                <w:rtl/>
              </w:rPr>
              <w:t>« له »</w:t>
            </w:r>
            <w:r>
              <w:rPr>
                <w:rtl/>
              </w:rPr>
              <w:t>.</w:t>
            </w:r>
          </w:p>
        </w:tc>
      </w:tr>
    </w:tbl>
    <w:p w:rsidR="000C39D1" w:rsidRPr="0051620B" w:rsidRDefault="000C39D1" w:rsidP="00B23873">
      <w:pPr>
        <w:pStyle w:val="libFootnote0"/>
        <w:rPr>
          <w:rtl/>
        </w:rPr>
      </w:pPr>
      <w:r>
        <w:rPr>
          <w:rtl/>
        </w:rPr>
        <w:t>(12).</w:t>
      </w:r>
      <w:r w:rsidRPr="00132E65">
        <w:rPr>
          <w:rtl/>
        </w:rPr>
        <w:t xml:space="preserve"> في « بح » : « نبيّنا »</w:t>
      </w:r>
      <w:r>
        <w:rPr>
          <w:rtl/>
        </w:rPr>
        <w:t>.</w:t>
      </w:r>
      <w:r w:rsidRPr="00132E65">
        <w:rPr>
          <w:rtl/>
        </w:rPr>
        <w:t xml:space="preserve"> وفي </w:t>
      </w:r>
      <w:r w:rsidRPr="00B23873">
        <w:rPr>
          <w:rStyle w:val="libFootnoteBoldChar"/>
          <w:rtl/>
        </w:rPr>
        <w:t>مرآة العقول</w:t>
      </w:r>
      <w:r w:rsidRPr="00132E65">
        <w:rPr>
          <w:rtl/>
        </w:rPr>
        <w:t xml:space="preserve"> ، ج 6 ، ص 226 : « قوله </w:t>
      </w:r>
      <w:r w:rsidRPr="00B23873">
        <w:rPr>
          <w:rStyle w:val="libFootnoteAlaemChar"/>
          <w:rtl/>
        </w:rPr>
        <w:t>عليه‌السلام</w:t>
      </w:r>
      <w:r w:rsidRPr="00132E65">
        <w:rPr>
          <w:rtl/>
        </w:rPr>
        <w:t xml:space="preserve"> : من ذرّيّة نبيّها ، ظاهره أنّ جميع </w:t>
      </w:r>
      <w:r w:rsidRPr="00F543F1">
        <w:rPr>
          <w:rtl/>
        </w:rPr>
        <w:t xml:space="preserve">الاثني عشر من‌ذرّيّة النبيّ </w:t>
      </w:r>
      <w:r w:rsidRPr="00B23873">
        <w:rPr>
          <w:rStyle w:val="libFootnoteAlaemChar"/>
          <w:rFonts w:eastAsiaTheme="minorHAnsi"/>
          <w:rtl/>
        </w:rPr>
        <w:t>صلى‌الله‌عليه‌وآله</w:t>
      </w:r>
      <w:r w:rsidRPr="00132E65">
        <w:rPr>
          <w:rtl/>
          <w:lang w:bidi="fa-IR"/>
        </w:rPr>
        <w:t xml:space="preserve"> </w:t>
      </w:r>
      <w:r w:rsidRPr="0051620B">
        <w:rPr>
          <w:rtl/>
        </w:rPr>
        <w:t>، وهو غير مستقيم. ويمكن تصحيحه على ما خطر بالبال بوجوه :</w:t>
      </w:r>
    </w:p>
    <w:p w:rsidR="000C39D1" w:rsidRPr="0051620B" w:rsidRDefault="00B23873" w:rsidP="00B23873">
      <w:pPr>
        <w:pStyle w:val="libFootnote0"/>
        <w:rPr>
          <w:rtl/>
        </w:rPr>
      </w:pPr>
      <w:r>
        <w:rPr>
          <w:rtl/>
        </w:rPr>
        <w:t>الأوّل : أنّ السائل لم</w:t>
      </w:r>
      <w:r>
        <w:rPr>
          <w:rFonts w:hint="cs"/>
          <w:rtl/>
        </w:rPr>
        <w:t>ـّ</w:t>
      </w:r>
      <w:r w:rsidR="000C39D1" w:rsidRPr="0051620B">
        <w:rPr>
          <w:rtl/>
        </w:rPr>
        <w:t xml:space="preserve">ا علم بوفور علمه </w:t>
      </w:r>
      <w:r w:rsidR="000C39D1" w:rsidRPr="00B23873">
        <w:rPr>
          <w:rStyle w:val="libFootnoteAlaemChar"/>
          <w:rtl/>
        </w:rPr>
        <w:t>عليه‌السلام</w:t>
      </w:r>
      <w:r w:rsidR="000C39D1" w:rsidRPr="00F543F1">
        <w:rPr>
          <w:rtl/>
        </w:rPr>
        <w:t xml:space="preserve"> وما شاهد من آثار الإمامة والوصاية فيه ، علم أنّه أوّل الأوصياء </w:t>
      </w:r>
      <w:r w:rsidR="000C39D1" w:rsidRPr="00B23873">
        <w:rPr>
          <w:rStyle w:val="libFootnoteAlaemChar"/>
          <w:rtl/>
        </w:rPr>
        <w:t>عليه‌السلام</w:t>
      </w:r>
      <w:r w:rsidR="000C39D1" w:rsidRPr="0051620B">
        <w:rPr>
          <w:rtl/>
        </w:rPr>
        <w:t xml:space="preserve"> ، فكأنّه سأل عن التتمّة ، فكان المراد بالاثني عشر تتمّةَ الاثني عشر لا كلَّهم ، ولاريب أنّهم من ذرّيّة النبيّ وذرّيّته صلوات الله عليهم.</w:t>
      </w:r>
    </w:p>
    <w:p w:rsidR="000C39D1" w:rsidRPr="0051620B" w:rsidRDefault="000C39D1" w:rsidP="00B23873">
      <w:pPr>
        <w:pStyle w:val="libFootnote0"/>
        <w:rPr>
          <w:rtl/>
          <w:lang w:bidi="ar-IQ"/>
        </w:rPr>
      </w:pPr>
      <w:r w:rsidRPr="0051620B">
        <w:rPr>
          <w:rtl/>
        </w:rPr>
        <w:t>الثاني : أن يكون قوله : « من ذرّيّة نبيّنا » على المجا</w:t>
      </w:r>
      <w:r w:rsidR="00B23873">
        <w:rPr>
          <w:rtl/>
        </w:rPr>
        <w:t>ز والتغليب ؛ فإنّه لم</w:t>
      </w:r>
      <w:r w:rsidR="00B23873">
        <w:rPr>
          <w:rFonts w:hint="cs"/>
          <w:rtl/>
        </w:rPr>
        <w:t>ـّ</w:t>
      </w:r>
      <w:r w:rsidRPr="0051620B">
        <w:rPr>
          <w:rtl/>
        </w:rPr>
        <w:t>ا كان أكثرهم من الذرّيّة ، أطلق على الجميع الذرّيّة تغليباً.</w:t>
      </w:r>
      <w:r w:rsidR="00D562E7">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فَفِي </w:t>
      </w:r>
      <w:r>
        <w:rPr>
          <w:rStyle w:val="libFootnotenumChar"/>
          <w:rtl/>
        </w:rPr>
        <w:t>(1)</w:t>
      </w:r>
      <w:r w:rsidRPr="00132E65">
        <w:rPr>
          <w:rtl/>
          <w:lang w:bidi="fa-IR"/>
        </w:rPr>
        <w:t xml:space="preserve"> أَفْضَلِهَا و</w:t>
      </w:r>
      <w:r w:rsidR="00D562E7">
        <w:rPr>
          <w:rFonts w:hint="cs"/>
          <w:rtl/>
          <w:lang w:bidi="fa-IR"/>
        </w:rPr>
        <w:t>َ</w:t>
      </w:r>
      <w:r w:rsidRPr="00132E65">
        <w:rPr>
          <w:rtl/>
          <w:lang w:bidi="fa-IR"/>
        </w:rPr>
        <w:t>أَشْرَفِهَا جَنَّةِ عَدْنٍ ؛ و</w:t>
      </w:r>
      <w:r w:rsidR="00D562E7">
        <w:rPr>
          <w:rFonts w:hint="cs"/>
          <w:rtl/>
          <w:lang w:bidi="fa-IR"/>
        </w:rPr>
        <w:t>َ</w:t>
      </w:r>
      <w:r w:rsidRPr="00132E65">
        <w:rPr>
          <w:rtl/>
          <w:lang w:bidi="fa-IR"/>
        </w:rPr>
        <w:t xml:space="preserve">أَمَّا مَنْ مَعَهُ فِي مَنْزِلِهِ فِيهَا </w:t>
      </w:r>
      <w:r>
        <w:rPr>
          <w:rStyle w:val="libFootnotenumChar"/>
          <w:rtl/>
        </w:rPr>
        <w:t>(2)</w:t>
      </w:r>
      <w:r w:rsidRPr="00132E65">
        <w:rPr>
          <w:rtl/>
          <w:lang w:bidi="fa-IR"/>
        </w:rPr>
        <w:t xml:space="preserve"> ، فَهؤُلَاءِ الِاثْنَا عَشَرَ مِنْ ذُرِّيَّتِهِ و</w:t>
      </w:r>
      <w:r w:rsidR="00D562E7">
        <w:rPr>
          <w:rFonts w:hint="cs"/>
          <w:rtl/>
          <w:lang w:bidi="fa-IR"/>
        </w:rPr>
        <w:t>َ</w:t>
      </w:r>
      <w:r w:rsidRPr="00132E65">
        <w:rPr>
          <w:rtl/>
          <w:lang w:bidi="fa-IR"/>
        </w:rPr>
        <w:t>أُمُّهُمْ و</w:t>
      </w:r>
      <w:r w:rsidR="00D562E7">
        <w:rPr>
          <w:rFonts w:hint="cs"/>
          <w:rtl/>
          <w:lang w:bidi="fa-IR"/>
        </w:rPr>
        <w:t>َ</w:t>
      </w:r>
      <w:r w:rsidRPr="00132E65">
        <w:rPr>
          <w:rtl/>
          <w:lang w:bidi="fa-IR"/>
        </w:rPr>
        <w:t>جَدَّتُهُمْ و</w:t>
      </w:r>
      <w:r w:rsidR="00D562E7">
        <w:rPr>
          <w:rFonts w:hint="cs"/>
          <w:rtl/>
          <w:lang w:bidi="fa-IR"/>
        </w:rPr>
        <w:t>َ</w:t>
      </w:r>
      <w:r>
        <w:rPr>
          <w:rFonts w:hint="cs"/>
          <w:rtl/>
          <w:lang w:bidi="fa-IR"/>
        </w:rPr>
        <w:t xml:space="preserve"> </w:t>
      </w:r>
      <w:r>
        <w:rPr>
          <w:rStyle w:val="libFootnotenumChar"/>
          <w:rtl/>
        </w:rPr>
        <w:t>(3)</w:t>
      </w:r>
      <w:r w:rsidRPr="00132E65">
        <w:rPr>
          <w:rtl/>
          <w:lang w:bidi="fa-IR"/>
        </w:rPr>
        <w:t xml:space="preserve"> أُمُّ أُمِّهِمْ و</w:t>
      </w:r>
      <w:r w:rsidR="00D562E7">
        <w:rPr>
          <w:rFonts w:hint="cs"/>
          <w:rtl/>
          <w:lang w:bidi="fa-IR"/>
        </w:rPr>
        <w:t xml:space="preserve">َ </w:t>
      </w:r>
      <w:r w:rsidRPr="00132E65">
        <w:rPr>
          <w:rtl/>
          <w:lang w:bidi="fa-IR"/>
        </w:rPr>
        <w:t>ذَرَارِيُّهُمْ لَايَشْرَكُهُمْ فِيهَا أَحَدٌ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DC7D06">
        <w:rPr>
          <w:rtl/>
        </w:rPr>
        <w:t>1396</w:t>
      </w:r>
      <w:r w:rsidRPr="004325D8">
        <w:rPr>
          <w:rStyle w:val="libBold2Char"/>
          <w:rtl/>
        </w:rPr>
        <w:t xml:space="preserve"> / 9.</w:t>
      </w:r>
      <w:r w:rsidRPr="00132E65">
        <w:rPr>
          <w:rtl/>
          <w:lang w:bidi="fa-IR"/>
        </w:rPr>
        <w:t xml:space="preserve"> مُحَمَّدُ بْنُ يَحْيى ، عَنْ مُحَمَّدِ بْنِ الْحُسَيْنِ ، عَنِ ابْنِ مَحْبُوبٍ ، عَنْ أَبِي الْجَارُودِ :</w:t>
      </w:r>
    </w:p>
    <w:p w:rsidR="000C39D1" w:rsidRPr="00132E65" w:rsidRDefault="000C39D1" w:rsidP="000C39D1">
      <w:pPr>
        <w:pStyle w:val="libNormal"/>
        <w:rPr>
          <w:rtl/>
          <w:lang w:bidi="fa-IR"/>
        </w:rPr>
      </w:pPr>
      <w:r w:rsidRPr="00132E65">
        <w:rPr>
          <w:rtl/>
          <w:lang w:bidi="fa-IR"/>
        </w:rPr>
        <w:t xml:space="preserve">عَنْ أَبِي جَعْفَرٍ </w:t>
      </w:r>
      <w:r>
        <w:rPr>
          <w:rStyle w:val="libFootnotenumChar"/>
          <w:rtl/>
        </w:rPr>
        <w:t>(5)</w:t>
      </w:r>
      <w:r w:rsidRPr="00132E65">
        <w:rPr>
          <w:rtl/>
          <w:lang w:bidi="fa-IR"/>
        </w:rPr>
        <w:t xml:space="preserve"> </w:t>
      </w:r>
      <w:r w:rsidRPr="00071CF9">
        <w:rPr>
          <w:rStyle w:val="libAlaemChar"/>
          <w:rtl/>
        </w:rPr>
        <w:t>عليه‌السلام</w:t>
      </w:r>
      <w:r w:rsidRPr="00132E65">
        <w:rPr>
          <w:rtl/>
          <w:lang w:bidi="fa-IR"/>
        </w:rPr>
        <w:t xml:space="preserve"> ، عَنْ جَابِرِ بْنِ عَبْدِ اللهِ الْأَنْصَارِيِّ ، قَالَ : دَخَلْتُ عَلى فَاطِمَةَ </w:t>
      </w:r>
      <w:r w:rsidRPr="00071CF9">
        <w:rPr>
          <w:rStyle w:val="libAlaemChar"/>
          <w:rtl/>
        </w:rPr>
        <w:t>عليها‌السلام</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51620B" w:rsidRDefault="00D562E7" w:rsidP="00D562E7">
      <w:pPr>
        <w:pStyle w:val="libFootnote0"/>
        <w:rPr>
          <w:rtl/>
        </w:rPr>
      </w:pPr>
      <w:r>
        <w:rPr>
          <w:rFonts w:hint="cs"/>
          <w:rtl/>
        </w:rPr>
        <w:t>=</w:t>
      </w:r>
      <w:r w:rsidR="000C39D1" w:rsidRPr="00F543F1">
        <w:rPr>
          <w:rtl/>
        </w:rPr>
        <w:t xml:space="preserve">الثالث : أن يكون التجوّز في لفظ الذرّيّة ، فاريد بها العشيرة مجازاً ، أو يراد بها ما يعمّ الولادة الحقيقيّة والمجازيّة ، فإنّ النبيّ </w:t>
      </w:r>
      <w:r w:rsidR="000C39D1" w:rsidRPr="00F24963">
        <w:rPr>
          <w:rStyle w:val="libFootnoteAlaemChar"/>
          <w:rFonts w:eastAsiaTheme="minorHAnsi"/>
          <w:rtl/>
        </w:rPr>
        <w:t>صلى‌الله‌عليه‌وآله</w:t>
      </w:r>
      <w:r w:rsidR="000C39D1" w:rsidRPr="00132E65">
        <w:rPr>
          <w:rtl/>
          <w:lang w:bidi="fa-IR"/>
        </w:rPr>
        <w:t xml:space="preserve"> </w:t>
      </w:r>
      <w:r w:rsidR="000C39D1" w:rsidRPr="00F543F1">
        <w:rPr>
          <w:rtl/>
        </w:rPr>
        <w:t>كان والد جميع الا</w:t>
      </w:r>
      <w:r w:rsidR="00F24963">
        <w:rPr>
          <w:rFonts w:hint="cs"/>
          <w:rtl/>
        </w:rPr>
        <w:t>ُ</w:t>
      </w:r>
      <w:r w:rsidR="000C39D1" w:rsidRPr="00F543F1">
        <w:rPr>
          <w:rtl/>
        </w:rPr>
        <w:t xml:space="preserve">مّة ، لا سيّما بالنسبة إلى أميرالمؤمنين </w:t>
      </w:r>
      <w:r w:rsidR="000C39D1" w:rsidRPr="00F24963">
        <w:rPr>
          <w:rStyle w:val="libFootnoteAlaemChar"/>
          <w:rtl/>
        </w:rPr>
        <w:t>عليه‌السلام</w:t>
      </w:r>
      <w:r w:rsidR="000C39D1" w:rsidRPr="0051620B">
        <w:rPr>
          <w:rtl/>
        </w:rPr>
        <w:t xml:space="preserve"> ؛ فانّه كان مربّيه ومعلّمه كما أنّ النبيّ كان يقول لفاطمة بنت أسد : ا</w:t>
      </w:r>
      <w:r w:rsidR="00F24963">
        <w:rPr>
          <w:rFonts w:hint="cs"/>
          <w:rtl/>
        </w:rPr>
        <w:t>ُ</w:t>
      </w:r>
      <w:r w:rsidR="000C39D1" w:rsidRPr="0051620B">
        <w:rPr>
          <w:rtl/>
        </w:rPr>
        <w:t>مّي ، وقد مرّ أنّ النبيّ وأميرالمؤمنين والدا هذه الا</w:t>
      </w:r>
      <w:r w:rsidR="00F24963">
        <w:rPr>
          <w:rFonts w:hint="cs"/>
          <w:rtl/>
        </w:rPr>
        <w:t>ُ</w:t>
      </w:r>
      <w:r w:rsidR="000C39D1" w:rsidRPr="0051620B">
        <w:rPr>
          <w:rtl/>
        </w:rPr>
        <w:t>مّة ؛ لأنّهما ولداهم العلمَ والحكمةَ. وعلاقة المجاز هنا كثيرة.</w:t>
      </w:r>
    </w:p>
    <w:p w:rsidR="000C39D1" w:rsidRPr="008210F7" w:rsidRDefault="000C39D1" w:rsidP="006F6A53">
      <w:pPr>
        <w:pStyle w:val="libFootnote0"/>
        <w:rPr>
          <w:rtl/>
        </w:rPr>
      </w:pPr>
      <w:r w:rsidRPr="00F24963">
        <w:rPr>
          <w:rStyle w:val="libFootnoteBoldChar"/>
          <w:rtl/>
        </w:rPr>
        <w:t>الرابع</w:t>
      </w:r>
      <w:r w:rsidRPr="008210F7">
        <w:rPr>
          <w:rtl/>
        </w:rPr>
        <w:t xml:space="preserve"> : أن يكون « من ذرّيّة نبيّها » خبرَ مبتدأ محذوف ، أي بقيّتهم من ذريّة نبيّنا ، أو هم من الذرّيّة بارتكاب استخدام في الضمير ، بأن يرجع الضمير إلى الأغلب تجوّزاً. وأكثر تلك الوجوه يجري في قوله : « من ذرّيّته » وكذا قوله : « ا</w:t>
      </w:r>
      <w:r w:rsidR="006F6A53">
        <w:rPr>
          <w:rFonts w:hint="cs"/>
          <w:rtl/>
        </w:rPr>
        <w:t>ُ</w:t>
      </w:r>
      <w:r w:rsidRPr="008210F7">
        <w:rPr>
          <w:rtl/>
        </w:rPr>
        <w:t xml:space="preserve">مّهم » يعني فاطمة </w:t>
      </w:r>
      <w:r>
        <w:rPr>
          <w:rtl/>
        </w:rPr>
        <w:t>و «</w:t>
      </w:r>
      <w:r w:rsidRPr="008210F7">
        <w:rPr>
          <w:rtl/>
        </w:rPr>
        <w:t xml:space="preserve"> جدّتهم » يعني خديجة ؛ فإنّه لابدّ من ارتكاب بعض التجوّزات المتقدّمة فيها.</w:t>
      </w:r>
    </w:p>
    <w:p w:rsidR="000C39D1" w:rsidRPr="00E55206" w:rsidRDefault="000C39D1" w:rsidP="00D562E7">
      <w:pPr>
        <w:pStyle w:val="libFootnote0"/>
        <w:rPr>
          <w:rtl/>
        </w:rPr>
      </w:pPr>
      <w:r w:rsidRPr="008210F7">
        <w:rPr>
          <w:rtl/>
        </w:rPr>
        <w:t xml:space="preserve">وقوله : « وهم منّي » علي الأوّل والأخير ظاهر ، وعلى سائر الوجوه يمكن أن يرتكب تجوّز في كلمة « مِن » ليشمل العينيّة ، ويمكن إرجاع ضمير « هم » إلى الذرّيّة كما قال النبيّ </w:t>
      </w:r>
      <w:r w:rsidRPr="006F6A53">
        <w:rPr>
          <w:rStyle w:val="libFootnoteAlaemChar"/>
          <w:rFonts w:eastAsiaTheme="minorHAnsi"/>
          <w:rtl/>
        </w:rPr>
        <w:t>صلى‌الله‌عليه‌وآله</w:t>
      </w:r>
      <w:r w:rsidRPr="00E55206">
        <w:rPr>
          <w:rtl/>
        </w:rPr>
        <w:t>: « هو أبو ذرّيّتي ، أو أبو ولدي » أو المعنى ابتدؤوا منّي ، أي أنا أوّلهم ».</w:t>
      </w:r>
    </w:p>
    <w:p w:rsidR="000C39D1" w:rsidRPr="00132E65" w:rsidRDefault="000C39D1" w:rsidP="000C39D1">
      <w:pPr>
        <w:pStyle w:val="libFootnote0"/>
        <w:rPr>
          <w:rtl/>
          <w:lang w:bidi="fa-IR"/>
        </w:rPr>
      </w:pPr>
      <w:r>
        <w:rPr>
          <w:rtl/>
        </w:rPr>
        <w:t>(1).</w:t>
      </w:r>
      <w:r w:rsidRPr="00132E65">
        <w:rPr>
          <w:rtl/>
        </w:rPr>
        <w:t xml:space="preserve"> في الغيبة : « فهو »</w:t>
      </w:r>
      <w:r>
        <w:rPr>
          <w:rtl/>
        </w:rPr>
        <w:t>.</w:t>
      </w:r>
    </w:p>
    <w:p w:rsidR="000C39D1" w:rsidRPr="00132E65" w:rsidRDefault="000C39D1" w:rsidP="000C39D1">
      <w:pPr>
        <w:pStyle w:val="libFootnote0"/>
        <w:rPr>
          <w:rtl/>
          <w:lang w:bidi="fa-IR"/>
        </w:rPr>
      </w:pPr>
      <w:r>
        <w:rPr>
          <w:rtl/>
        </w:rPr>
        <w:t>(2).</w:t>
      </w:r>
      <w:r w:rsidRPr="00132E65">
        <w:rPr>
          <w:rtl/>
        </w:rPr>
        <w:t xml:space="preserve"> في الغيبة : « منها »</w:t>
      </w:r>
      <w:r>
        <w:rPr>
          <w:rtl/>
        </w:rPr>
        <w:t>.</w:t>
      </w:r>
    </w:p>
    <w:p w:rsidR="000C39D1" w:rsidRPr="00132E65" w:rsidRDefault="000C39D1" w:rsidP="000C39D1">
      <w:pPr>
        <w:pStyle w:val="libFootnote0"/>
        <w:rPr>
          <w:rtl/>
          <w:lang w:bidi="fa-IR"/>
        </w:rPr>
      </w:pPr>
      <w:r>
        <w:rPr>
          <w:rtl/>
        </w:rPr>
        <w:t>(3).</w:t>
      </w:r>
      <w:r w:rsidRPr="00132E65">
        <w:rPr>
          <w:rtl/>
        </w:rPr>
        <w:t xml:space="preserve"> في « ب ، ج ، ف ، بح ، بس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(4).</w:t>
      </w:r>
      <w:r w:rsidRPr="00132E65">
        <w:rPr>
          <w:rtl/>
        </w:rPr>
        <w:t xml:space="preserve"> </w:t>
      </w:r>
      <w:r w:rsidRPr="006F6A53">
        <w:rPr>
          <w:rStyle w:val="libFootnoteBoldChar"/>
          <w:rtl/>
        </w:rPr>
        <w:t>الغيبة للطوسي</w:t>
      </w:r>
      <w:r w:rsidRPr="00132E65">
        <w:rPr>
          <w:rtl/>
        </w:rPr>
        <w:t xml:space="preserve"> ، ص 152 ، ح 113 ، بسنده عن الكليني. وفي </w:t>
      </w:r>
      <w:r w:rsidRPr="006F6A53">
        <w:rPr>
          <w:rStyle w:val="libFootnoteBoldChar"/>
          <w:rtl/>
        </w:rPr>
        <w:t>الغيبة للنعماني</w:t>
      </w:r>
      <w:r w:rsidRPr="00132E65">
        <w:rPr>
          <w:rtl/>
        </w:rPr>
        <w:t xml:space="preserve"> ، ص 97 ، ح 29 ، بسنده عن إبراهيم بن أبي يحيى المدني ، عن أبي هارون العبدي ، عن عمر بن أبي سلمة ربيب رسول الله </w:t>
      </w:r>
      <w:r w:rsidRPr="006F6A53">
        <w:rPr>
          <w:rStyle w:val="libFootnoteAlaemChar"/>
          <w:rFonts w:eastAsiaTheme="minorHAnsi"/>
          <w:rtl/>
        </w:rPr>
        <w:t>صلى‌الله‌عليه‌وآله</w:t>
      </w:r>
      <w:r w:rsidRPr="00132E65">
        <w:rPr>
          <w:rtl/>
          <w:lang w:bidi="fa-IR"/>
        </w:rPr>
        <w:t xml:space="preserve"> </w:t>
      </w:r>
      <w:r w:rsidRPr="00132E65">
        <w:rPr>
          <w:rtl/>
        </w:rPr>
        <w:t xml:space="preserve">وعن أبي الطفيل عامر بن واثلة. وفي </w:t>
      </w:r>
      <w:r w:rsidRPr="006F6A53">
        <w:rPr>
          <w:rStyle w:val="libFootnoteBoldChar"/>
          <w:rtl/>
        </w:rPr>
        <w:t>كمال الدين</w:t>
      </w:r>
      <w:r w:rsidRPr="00132E65">
        <w:rPr>
          <w:rtl/>
        </w:rPr>
        <w:t xml:space="preserve"> ، ص 294 ، ح 3 ، بسنده عن إبراهيم بن يحيى الأسلمي المديني ، عن عمارة بن جوين ، عن أبي الطفيل عامر بن واثلة ؛ </w:t>
      </w:r>
      <w:r w:rsidRPr="00DC7D06">
        <w:rPr>
          <w:rtl/>
        </w:rPr>
        <w:t>وفيه</w:t>
      </w:r>
      <w:r w:rsidRPr="00132E65">
        <w:rPr>
          <w:rtl/>
        </w:rPr>
        <w:t xml:space="preserve"> ، وص 297 ، ح 5 ، بسنده عن إبراهيم بن يحيى المديني ، عن أبي عبد الله </w:t>
      </w:r>
      <w:r w:rsidRPr="00071CF9">
        <w:rPr>
          <w:rStyle w:val="libAlaemChar"/>
          <w:rtl/>
        </w:rPr>
        <w:t>عليه‌السلام</w:t>
      </w:r>
      <w:r w:rsidRPr="00132E65">
        <w:rPr>
          <w:rtl/>
        </w:rPr>
        <w:t xml:space="preserve">. وفي </w:t>
      </w:r>
      <w:r w:rsidRPr="006F6A53">
        <w:rPr>
          <w:rStyle w:val="libFootnoteBoldChar"/>
          <w:rtl/>
        </w:rPr>
        <w:t>كمال الدين</w:t>
      </w:r>
      <w:r w:rsidRPr="00132E65">
        <w:rPr>
          <w:rtl/>
        </w:rPr>
        <w:t xml:space="preserve"> ، ص 300 ، ح 8 ؛ </w:t>
      </w:r>
      <w:r w:rsidRPr="006F6A53">
        <w:rPr>
          <w:rStyle w:val="libFootnoteBoldChar"/>
          <w:rtl/>
        </w:rPr>
        <w:t>والخصال</w:t>
      </w:r>
      <w:r w:rsidRPr="00132E65">
        <w:rPr>
          <w:rtl/>
        </w:rPr>
        <w:t xml:space="preserve"> ، ص 476 ، أبواب الاثني عشر ، ح 40 ؛ </w:t>
      </w:r>
      <w:r w:rsidRPr="006F6A53">
        <w:rPr>
          <w:rStyle w:val="libFootnoteBoldChar"/>
          <w:rtl/>
        </w:rPr>
        <w:t>وعيون الأخبار</w:t>
      </w:r>
      <w:r w:rsidRPr="00DC7D06">
        <w:rPr>
          <w:rtl/>
        </w:rPr>
        <w:t xml:space="preserve"> </w:t>
      </w:r>
      <w:r w:rsidRPr="00132E65">
        <w:rPr>
          <w:rtl/>
        </w:rPr>
        <w:t xml:space="preserve">، ص 52 ، ح 19 ، بسند آخر عن جعفر بن محمّد </w:t>
      </w:r>
      <w:r w:rsidRPr="006F6A53">
        <w:rPr>
          <w:rStyle w:val="libFootnoteAlaemChar"/>
          <w:rtl/>
        </w:rPr>
        <w:t>عليه‌السلام</w:t>
      </w:r>
      <w:r w:rsidRPr="00132E65">
        <w:rPr>
          <w:rtl/>
        </w:rPr>
        <w:t xml:space="preserve"> ؛ وفي كلّها جاء الخبر بالتفصيل </w:t>
      </w:r>
      <w:r w:rsidR="006F6A53">
        <w:rPr>
          <w:rFonts w:hint="cs"/>
          <w:rtl/>
        </w:rPr>
        <w:t>.</w:t>
      </w:r>
      <w:r w:rsidRPr="009D1ACE">
        <w:rPr>
          <w:rStyle w:val="libFootnoteBoldChar"/>
          <w:rtl/>
        </w:rPr>
        <w:t>الوافي</w:t>
      </w:r>
      <w:r w:rsidRPr="00132E65">
        <w:rPr>
          <w:rtl/>
        </w:rPr>
        <w:t xml:space="preserve"> ، ج 2 ، ص 305 ، ح 761 ؛ </w:t>
      </w:r>
      <w:r w:rsidRPr="006F6A53">
        <w:rPr>
          <w:rStyle w:val="libFootnoteBoldChar"/>
          <w:rtl/>
        </w:rPr>
        <w:t>البحار</w:t>
      </w:r>
      <w:r w:rsidRPr="00132E65">
        <w:rPr>
          <w:rtl/>
        </w:rPr>
        <w:t xml:space="preserve"> ، ج 30 ، ص 106 ، ح 8.</w:t>
      </w:r>
    </w:p>
    <w:tbl>
      <w:tblPr>
        <w:tblStyle w:val="TableGrid"/>
        <w:bidiVisual/>
        <w:tblW w:w="0" w:type="auto"/>
        <w:tblLook w:val="04A0" w:firstRow="1" w:lastRow="0" w:firstColumn="1" w:lastColumn="0" w:noHBand="0" w:noVBand="1"/>
      </w:tblPr>
      <w:tblGrid>
        <w:gridCol w:w="4261"/>
        <w:gridCol w:w="4262"/>
      </w:tblGrid>
      <w:tr w:rsidR="006F6A53" w:rsidTr="006F6A53">
        <w:tc>
          <w:tcPr>
            <w:tcW w:w="4261" w:type="dxa"/>
          </w:tcPr>
          <w:p w:rsidR="006F6A53" w:rsidRDefault="006F6A53" w:rsidP="000C39D1">
            <w:pPr>
              <w:pStyle w:val="libFootnote0"/>
              <w:rPr>
                <w:rtl/>
              </w:rPr>
            </w:pPr>
            <w:r>
              <w:rPr>
                <w:rtl/>
              </w:rPr>
              <w:t>(5).</w:t>
            </w:r>
            <w:r w:rsidRPr="00132E65">
              <w:rPr>
                <w:rtl/>
              </w:rPr>
              <w:t xml:space="preserve"> في الإرشاد :</w:t>
            </w:r>
            <w:r>
              <w:rPr>
                <w:rtl/>
              </w:rPr>
              <w:t xml:space="preserve"> + </w:t>
            </w:r>
            <w:r w:rsidRPr="00132E65">
              <w:rPr>
                <w:rtl/>
              </w:rPr>
              <w:t>« محمّد بن عليّ »</w:t>
            </w:r>
            <w:r>
              <w:rPr>
                <w:rtl/>
              </w:rPr>
              <w:t>.</w:t>
            </w:r>
          </w:p>
        </w:tc>
        <w:tc>
          <w:tcPr>
            <w:tcW w:w="4262" w:type="dxa"/>
          </w:tcPr>
          <w:p w:rsidR="006F6A53" w:rsidRDefault="006F6A53" w:rsidP="000C39D1">
            <w:pPr>
              <w:pStyle w:val="libFootnote0"/>
              <w:rPr>
                <w:rtl/>
              </w:rPr>
            </w:pPr>
            <w:r>
              <w:rPr>
                <w:rtl/>
              </w:rPr>
              <w:t>(6).</w:t>
            </w:r>
            <w:r w:rsidRPr="00132E65">
              <w:rPr>
                <w:rtl/>
              </w:rPr>
              <w:t xml:space="preserve"> في الإرشاد :</w:t>
            </w:r>
            <w:r>
              <w:rPr>
                <w:rtl/>
              </w:rPr>
              <w:t xml:space="preserve"> + </w:t>
            </w:r>
            <w:r w:rsidRPr="00132E65">
              <w:rPr>
                <w:rtl/>
              </w:rPr>
              <w:t xml:space="preserve">« بنت رسول الله </w:t>
            </w:r>
            <w:r w:rsidRPr="006F6A53">
              <w:rPr>
                <w:rStyle w:val="libFootnoteAlaemChar"/>
                <w:rFonts w:eastAsiaTheme="minorHAnsi"/>
                <w:rtl/>
              </w:rPr>
              <w:t>صلى‌الله‌عليه‌وآله</w:t>
            </w:r>
            <w:r w:rsidRPr="00132E65">
              <w:rPr>
                <w:rtl/>
                <w:lang w:bidi="fa-IR"/>
              </w:rPr>
              <w:t xml:space="preserve"> </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وَبَيْنَ يَدَيْهَا لَوْحٌ ، فِيهِ </w:t>
      </w:r>
      <w:r>
        <w:rPr>
          <w:rStyle w:val="libFootnotenumChar"/>
          <w:rtl/>
        </w:rPr>
        <w:t>(1)</w:t>
      </w:r>
      <w:r w:rsidRPr="00132E65">
        <w:rPr>
          <w:rtl/>
          <w:lang w:bidi="fa-IR"/>
        </w:rPr>
        <w:t xml:space="preserve"> أَسْمَاءُ الْأَوْصِيَاءِ </w:t>
      </w:r>
      <w:r>
        <w:rPr>
          <w:rStyle w:val="libFootnotenumChar"/>
          <w:rtl/>
        </w:rPr>
        <w:t>(2)</w:t>
      </w:r>
      <w:r w:rsidRPr="00132E65">
        <w:rPr>
          <w:rtl/>
          <w:lang w:bidi="fa-IR"/>
        </w:rPr>
        <w:t xml:space="preserve"> مِنْ و</w:t>
      </w:r>
      <w:r w:rsidR="006F6A53">
        <w:rPr>
          <w:rFonts w:hint="cs"/>
          <w:rtl/>
          <w:lang w:bidi="fa-IR"/>
        </w:rPr>
        <w:t>ُ</w:t>
      </w:r>
      <w:r w:rsidRPr="00132E65">
        <w:rPr>
          <w:rtl/>
          <w:lang w:bidi="fa-IR"/>
        </w:rPr>
        <w:t xml:space="preserve">لْدِهَا </w:t>
      </w:r>
      <w:r>
        <w:rPr>
          <w:rStyle w:val="libFootnotenumChar"/>
          <w:rtl/>
        </w:rPr>
        <w:t>(3)</w:t>
      </w:r>
      <w:r w:rsidRPr="00132E65">
        <w:rPr>
          <w:rtl/>
          <w:lang w:bidi="fa-IR"/>
        </w:rPr>
        <w:t xml:space="preserve"> ، فَعَدَدْتُ </w:t>
      </w:r>
      <w:r>
        <w:rPr>
          <w:rStyle w:val="libFootnotenumChar"/>
          <w:rtl/>
        </w:rPr>
        <w:t>(4)</w:t>
      </w:r>
      <w:r w:rsidRPr="00132E65">
        <w:rPr>
          <w:rtl/>
          <w:lang w:bidi="fa-IR"/>
        </w:rPr>
        <w:t xml:space="preserve"> اثْنَيْ عَشَرَ آخِرُهُمُ الْقَائِمُ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ثَلَاثَةٌ مِنْهُمْ مُحَمَّدٌ ، و</w:t>
      </w:r>
      <w:r w:rsidR="006F6A53">
        <w:rPr>
          <w:rFonts w:hint="cs"/>
          <w:rtl/>
          <w:lang w:bidi="fa-IR"/>
        </w:rPr>
        <w:t>َ</w:t>
      </w:r>
      <w:r w:rsidRPr="00132E65">
        <w:rPr>
          <w:rtl/>
          <w:lang w:bidi="fa-IR"/>
        </w:rPr>
        <w:t xml:space="preserve">ثَلَاثَةٌ </w:t>
      </w:r>
      <w:r>
        <w:rPr>
          <w:rStyle w:val="libFootnotenumChar"/>
          <w:rtl/>
        </w:rPr>
        <w:t>(6)</w:t>
      </w:r>
      <w:r w:rsidRPr="00132E65">
        <w:rPr>
          <w:rtl/>
          <w:lang w:bidi="fa-IR"/>
        </w:rPr>
        <w:t xml:space="preserve"> مِنْهُمْ عَلِيٌّ.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DC7D06">
        <w:rPr>
          <w:rtl/>
        </w:rPr>
        <w:t>1397</w:t>
      </w:r>
      <w:r w:rsidRPr="004325D8">
        <w:rPr>
          <w:rStyle w:val="libBold2Char"/>
          <w:rtl/>
        </w:rPr>
        <w:t xml:space="preserve"> / 10.</w:t>
      </w:r>
      <w:r w:rsidRPr="00132E65">
        <w:rPr>
          <w:rtl/>
          <w:lang w:bidi="fa-IR"/>
        </w:rPr>
        <w:t xml:space="preserve"> عَلِيُّ بْنُ إِبْرَاهِيمَ ، عَنْ مُحَمَّدِ بْنِ عِيسَى بْنِ عُبَيْدٍ </w:t>
      </w:r>
      <w:r>
        <w:rPr>
          <w:rStyle w:val="libFootnotenumChar"/>
          <w:rtl/>
        </w:rPr>
        <w:t>(8)</w:t>
      </w:r>
      <w:r w:rsidRPr="00132E65">
        <w:rPr>
          <w:rtl/>
          <w:lang w:bidi="fa-IR"/>
        </w:rPr>
        <w:t xml:space="preserve"> ، عَنْ مُحَمَّدِ بْنِ الْفُضَيْلِ </w:t>
      </w:r>
      <w:r>
        <w:rPr>
          <w:rStyle w:val="libFootnotenumChar"/>
          <w:rtl/>
        </w:rPr>
        <w:t>(9)</w:t>
      </w:r>
      <w:r w:rsidRPr="00132E65">
        <w:rPr>
          <w:rtl/>
          <w:lang w:bidi="fa-IR"/>
        </w:rPr>
        <w:t xml:space="preserve"> ، عَنْ أَبِي حَمْزَةَ </w:t>
      </w:r>
      <w:r>
        <w:rPr>
          <w:rStyle w:val="libFootnotenumChar"/>
          <w:rtl/>
        </w:rPr>
        <w:t>(10)</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إِنَّ اللهَ أَرْسَلَ مُحَمَّداً </w:t>
      </w:r>
      <w:r w:rsidRPr="0093484F">
        <w:rPr>
          <w:rStyle w:val="libAlaemChar"/>
          <w:rFonts w:eastAsiaTheme="minorHAnsi"/>
          <w:rtl/>
        </w:rPr>
        <w:t>صلى‌الله‌عليه‌وآله</w:t>
      </w:r>
      <w:r w:rsidRPr="00132E65">
        <w:rPr>
          <w:rtl/>
          <w:lang w:bidi="fa-IR"/>
        </w:rPr>
        <w:t xml:space="preserve"> إِلَى الْجِنِّ والْإِنْسِ ، و</w:t>
      </w:r>
      <w:r w:rsidR="006F6A53">
        <w:rPr>
          <w:rFonts w:hint="cs"/>
          <w:rtl/>
          <w:lang w:bidi="fa-IR"/>
        </w:rPr>
        <w:t>َ</w:t>
      </w:r>
      <w:r w:rsidRPr="00132E65">
        <w:rPr>
          <w:rtl/>
          <w:lang w:bidi="fa-IR"/>
        </w:rPr>
        <w:t>جَعَلَ مِنْ بَعْدِهِ اثْنَيْ عَشَرَ و</w:t>
      </w:r>
      <w:r w:rsidR="006F6A53">
        <w:rPr>
          <w:rFonts w:hint="cs"/>
          <w:rtl/>
          <w:lang w:bidi="fa-IR"/>
        </w:rPr>
        <w:t>َ</w:t>
      </w:r>
      <w:r w:rsidRPr="00132E65">
        <w:rPr>
          <w:rtl/>
          <w:lang w:bidi="fa-IR"/>
        </w:rPr>
        <w:t>صِيّاً : مِنْهُمْ مَنْ سَبَقَ ، و</w:t>
      </w:r>
      <w:r w:rsidR="006F6A53">
        <w:rPr>
          <w:rFonts w:hint="cs"/>
          <w:rtl/>
          <w:lang w:bidi="fa-IR"/>
        </w:rPr>
        <w:t>َ</w:t>
      </w:r>
      <w:r w:rsidRPr="00132E65">
        <w:rPr>
          <w:rtl/>
          <w:lang w:bidi="fa-IR"/>
        </w:rPr>
        <w:t>مِنْهُمْ مَنْ بَقِيَ ، و</w:t>
      </w:r>
      <w:r w:rsidR="006F6A53">
        <w:rPr>
          <w:rFonts w:hint="cs"/>
          <w:rtl/>
          <w:lang w:bidi="fa-IR"/>
        </w:rPr>
        <w:t>َ</w:t>
      </w:r>
      <w:r w:rsidRPr="00132E65">
        <w:rPr>
          <w:rtl/>
          <w:lang w:bidi="fa-IR"/>
        </w:rPr>
        <w:t>كُلُّ و</w:t>
      </w:r>
      <w:r w:rsidR="006F6A53">
        <w:rPr>
          <w:rFonts w:hint="cs"/>
          <w:rtl/>
          <w:lang w:bidi="fa-IR"/>
        </w:rPr>
        <w:t>َ</w:t>
      </w:r>
      <w:r w:rsidRPr="00132E65">
        <w:rPr>
          <w:rtl/>
          <w:lang w:bidi="fa-IR"/>
        </w:rPr>
        <w:t xml:space="preserve">صِيٍّ جَرَتْ بِهِ </w:t>
      </w:r>
      <w:r>
        <w:rPr>
          <w:rStyle w:val="libFootnotenumChar"/>
          <w:rtl/>
        </w:rPr>
        <w:t>(11)</w:t>
      </w:r>
      <w:r w:rsidRPr="00132E65">
        <w:rPr>
          <w:rtl/>
          <w:lang w:bidi="fa-IR"/>
        </w:rPr>
        <w:t xml:space="preserve"> سُنَّةٌ ، وَالْأَوْصِيَاءُ </w:t>
      </w:r>
      <w:r>
        <w:rPr>
          <w:rStyle w:val="libFootnotenumChar"/>
          <w:rtl/>
        </w:rPr>
        <w:t>(12)</w:t>
      </w:r>
      <w:r w:rsidRPr="00132E65">
        <w:rPr>
          <w:rtl/>
          <w:lang w:bidi="fa-IR"/>
        </w:rPr>
        <w:t xml:space="preserve"> الَّذِينَ مِنْ بَعْدِ مُحَمَّدٍ </w:t>
      </w:r>
      <w:r w:rsidRPr="00071CF9">
        <w:rPr>
          <w:rStyle w:val="libAlaemChar"/>
          <w:rtl/>
        </w:rPr>
        <w:t>عليهم‌السلام</w:t>
      </w:r>
      <w:r w:rsidRPr="00132E65">
        <w:rPr>
          <w:rtl/>
          <w:lang w:bidi="fa-IR"/>
        </w:rPr>
        <w:t xml:space="preserve"> عَلى سُنَّةِ أَوْصِيَاءِ عِيسى ، و</w:t>
      </w:r>
      <w:r w:rsidR="006F6A53">
        <w:rPr>
          <w:rFonts w:hint="cs"/>
          <w:rtl/>
          <w:lang w:bidi="fa-IR"/>
        </w:rPr>
        <w:t>َ</w:t>
      </w:r>
      <w:r w:rsidRPr="00132E65">
        <w:rPr>
          <w:rtl/>
          <w:lang w:bidi="fa-IR"/>
        </w:rPr>
        <w:t xml:space="preserve">كَانُوا اثْنَيْ عَشَرَ ، وَكَانَ أَمِيرُ الْمُؤْمِنِينَ </w:t>
      </w:r>
      <w:r w:rsidRPr="00071CF9">
        <w:rPr>
          <w:rStyle w:val="libAlaemChar"/>
          <w:rtl/>
        </w:rPr>
        <w:t>عليه‌السلام</w:t>
      </w:r>
      <w:r w:rsidRPr="00132E65">
        <w:rPr>
          <w:rtl/>
          <w:lang w:bidi="fa-IR"/>
        </w:rPr>
        <w:t xml:space="preserve"> عَلى سُنَّةِ الْمَسِيحِ »</w:t>
      </w:r>
      <w:r>
        <w:rPr>
          <w:rtl/>
          <w:lang w:bidi="fa-IR"/>
        </w:rPr>
        <w:t>.</w:t>
      </w:r>
      <w:r w:rsidRPr="00132E65">
        <w:rPr>
          <w:rtl/>
          <w:lang w:bidi="fa-IR"/>
        </w:rPr>
        <w:t xml:space="preserve">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6F6A53" w:rsidTr="006F6A53">
        <w:tc>
          <w:tcPr>
            <w:tcW w:w="4261" w:type="dxa"/>
          </w:tcPr>
          <w:p w:rsidR="006F6A53" w:rsidRDefault="006F6A53" w:rsidP="000C39D1">
            <w:pPr>
              <w:pStyle w:val="libFootnote0"/>
              <w:rPr>
                <w:rtl/>
              </w:rPr>
            </w:pPr>
            <w:r>
              <w:rPr>
                <w:rtl/>
              </w:rPr>
              <w:t>(1).</w:t>
            </w:r>
            <w:r w:rsidRPr="00132E65">
              <w:rPr>
                <w:rtl/>
              </w:rPr>
              <w:t xml:space="preserve"> في حاشية « ج » : « فيها »</w:t>
            </w:r>
            <w:r>
              <w:rPr>
                <w:rtl/>
              </w:rPr>
              <w:t>.</w:t>
            </w:r>
          </w:p>
        </w:tc>
        <w:tc>
          <w:tcPr>
            <w:tcW w:w="4262" w:type="dxa"/>
          </w:tcPr>
          <w:p w:rsidR="006F6A53" w:rsidRDefault="006F6A53" w:rsidP="000C39D1">
            <w:pPr>
              <w:pStyle w:val="libFootnote0"/>
              <w:rPr>
                <w:rtl/>
              </w:rPr>
            </w:pPr>
            <w:r>
              <w:rPr>
                <w:rtl/>
              </w:rPr>
              <w:t>(2).</w:t>
            </w:r>
            <w:r w:rsidRPr="00132E65">
              <w:rPr>
                <w:rtl/>
              </w:rPr>
              <w:t xml:space="preserve"> في الإرشاد :</w:t>
            </w:r>
            <w:r>
              <w:rPr>
                <w:rtl/>
              </w:rPr>
              <w:t xml:space="preserve"> + </w:t>
            </w:r>
            <w:r w:rsidRPr="00132E65">
              <w:rPr>
                <w:rtl/>
              </w:rPr>
              <w:t>« والأئمّة »</w:t>
            </w:r>
            <w:r>
              <w:rPr>
                <w:rtl/>
              </w:rPr>
              <w:t>.</w:t>
            </w:r>
          </w:p>
        </w:tc>
      </w:tr>
    </w:tbl>
    <w:p w:rsidR="000C39D1" w:rsidRPr="00132E65" w:rsidRDefault="000C39D1" w:rsidP="006F6A53">
      <w:pPr>
        <w:pStyle w:val="libFootnote0"/>
        <w:rPr>
          <w:rtl/>
          <w:lang w:bidi="fa-IR"/>
        </w:rPr>
      </w:pPr>
      <w:r>
        <w:rPr>
          <w:rtl/>
        </w:rPr>
        <w:t>(3).</w:t>
      </w:r>
      <w:r w:rsidRPr="00132E65">
        <w:rPr>
          <w:rtl/>
        </w:rPr>
        <w:t xml:space="preserve"> في الخصال والعيون وكمال الدين ، ص 311 </w:t>
      </w:r>
      <w:r>
        <w:rPr>
          <w:rtl/>
        </w:rPr>
        <w:t>و 3</w:t>
      </w:r>
      <w:r w:rsidRPr="00132E65">
        <w:rPr>
          <w:rtl/>
        </w:rPr>
        <w:t xml:space="preserve">13 </w:t>
      </w:r>
      <w:r>
        <w:rPr>
          <w:rtl/>
        </w:rPr>
        <w:t xml:space="preserve">: - </w:t>
      </w:r>
      <w:r w:rsidRPr="00132E65">
        <w:rPr>
          <w:rtl/>
        </w:rPr>
        <w:t>« من ولدها »</w:t>
      </w:r>
      <w:r>
        <w:rPr>
          <w:rtl/>
        </w:rPr>
        <w:t>.</w:t>
      </w:r>
      <w:r w:rsidRPr="00132E65">
        <w:rPr>
          <w:rtl/>
        </w:rPr>
        <w:t xml:space="preserve"> وفي </w:t>
      </w:r>
      <w:r w:rsidRPr="009D1ACE">
        <w:rPr>
          <w:rStyle w:val="libFootnoteBoldChar"/>
          <w:rtl/>
        </w:rPr>
        <w:t>مرآة العقول</w:t>
      </w:r>
      <w:r w:rsidRPr="00132E65">
        <w:rPr>
          <w:rtl/>
        </w:rPr>
        <w:t xml:space="preserve"> : « قوله : من ولدها ، أي الأحد عشر ، أو على المجاز والتغليب »</w:t>
      </w:r>
      <w:r>
        <w:rPr>
          <w:rtl/>
        </w:rPr>
        <w:t>.</w:t>
      </w:r>
      <w:r w:rsidR="0006034E">
        <w:rPr>
          <w:rFonts w:hint="cs"/>
          <w:rtl/>
        </w:rPr>
        <w:t xml:space="preserve">                 </w:t>
      </w:r>
      <w:r w:rsidR="006F6A53">
        <w:rPr>
          <w:rFonts w:hint="cs"/>
          <w:rtl/>
        </w:rPr>
        <w:t xml:space="preserve">      </w:t>
      </w:r>
      <w:r>
        <w:rPr>
          <w:rtl/>
        </w:rPr>
        <w:t>(4).</w:t>
      </w:r>
      <w:r w:rsidRPr="00132E65">
        <w:rPr>
          <w:rtl/>
        </w:rPr>
        <w:t xml:space="preserve"> في « ف » : « فعدّدت » بالتثقيل.</w:t>
      </w:r>
    </w:p>
    <w:p w:rsidR="000C39D1" w:rsidRPr="00132E65" w:rsidRDefault="000C39D1" w:rsidP="000C39D1">
      <w:pPr>
        <w:pStyle w:val="libFootnote0"/>
        <w:rPr>
          <w:rtl/>
          <w:lang w:bidi="fa-IR"/>
        </w:rPr>
      </w:pPr>
      <w:r>
        <w:rPr>
          <w:rtl/>
        </w:rPr>
        <w:t>(5).</w:t>
      </w:r>
      <w:r w:rsidRPr="00132E65">
        <w:rPr>
          <w:rtl/>
        </w:rPr>
        <w:t xml:space="preserve"> في </w:t>
      </w:r>
      <w:r w:rsidRPr="006F6A53">
        <w:rPr>
          <w:rStyle w:val="libFootnoteBoldChar"/>
          <w:rtl/>
        </w:rPr>
        <w:t>الإرشاد</w:t>
      </w:r>
      <w:r w:rsidRPr="00132E65">
        <w:rPr>
          <w:rtl/>
        </w:rPr>
        <w:t xml:space="preserve"> : « اثني عشر اسماً آخرهم القائم من ولد فاطمة » بدل « اثني عشر آخرهم القائم </w:t>
      </w:r>
      <w:r w:rsidRPr="006F6A53">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(6).</w:t>
      </w:r>
      <w:r w:rsidRPr="00132E65">
        <w:rPr>
          <w:rtl/>
        </w:rPr>
        <w:t xml:space="preserve"> « ثلاثة منهم » أي من الأولاد ، لا من الجميع ؛ فإنّ المسمّى بعليّ من الجميع أربعة. وفي حاشية « بج » والإرشاد والفقيه والعيون وكمال الدين و</w:t>
      </w:r>
      <w:r w:rsidRPr="009D1ACE">
        <w:rPr>
          <w:rStyle w:val="libFootnoteBoldChar"/>
          <w:rtl/>
        </w:rPr>
        <w:t>الوافي</w:t>
      </w:r>
      <w:r w:rsidRPr="00132E65">
        <w:rPr>
          <w:rtl/>
        </w:rPr>
        <w:t xml:space="preserve"> : « أربعة »</w:t>
      </w:r>
      <w:r>
        <w:rPr>
          <w:rtl/>
        </w:rPr>
        <w:t>.</w:t>
      </w:r>
    </w:p>
    <w:p w:rsidR="000C39D1" w:rsidRPr="00132E65" w:rsidRDefault="000C39D1" w:rsidP="000C39D1">
      <w:pPr>
        <w:pStyle w:val="libFootnote0"/>
        <w:rPr>
          <w:rtl/>
          <w:lang w:bidi="fa-IR"/>
        </w:rPr>
      </w:pPr>
      <w:r>
        <w:rPr>
          <w:rtl/>
        </w:rPr>
        <w:t>(7).</w:t>
      </w:r>
      <w:r w:rsidRPr="00132E65">
        <w:rPr>
          <w:rtl/>
        </w:rPr>
        <w:t xml:space="preserve"> </w:t>
      </w:r>
      <w:r w:rsidRPr="00431D96">
        <w:rPr>
          <w:rStyle w:val="libFootnoteBoldChar"/>
          <w:rtl/>
        </w:rPr>
        <w:t>الإرشاد</w:t>
      </w:r>
      <w:r w:rsidRPr="00132E65">
        <w:rPr>
          <w:rtl/>
        </w:rPr>
        <w:t xml:space="preserve"> ، ج 2 ، ص 346 ، بسنده عن الكليني. وفي </w:t>
      </w:r>
      <w:r w:rsidRPr="00431D96">
        <w:rPr>
          <w:rStyle w:val="libFootnoteBoldChar"/>
          <w:rtl/>
        </w:rPr>
        <w:t>عيون الأخبار</w:t>
      </w:r>
      <w:r w:rsidRPr="00132E65">
        <w:rPr>
          <w:rtl/>
        </w:rPr>
        <w:t xml:space="preserve"> ، ج 1 ، ص 46 ، ح 6 ؛ </w:t>
      </w:r>
      <w:r w:rsidRPr="00431D96">
        <w:rPr>
          <w:rStyle w:val="libFootnoteBoldChar"/>
          <w:rtl/>
        </w:rPr>
        <w:t>وكمال الدين</w:t>
      </w:r>
      <w:r w:rsidRPr="00DC7D06">
        <w:rPr>
          <w:rtl/>
        </w:rPr>
        <w:t xml:space="preserve"> </w:t>
      </w:r>
      <w:r w:rsidRPr="00132E65">
        <w:rPr>
          <w:rtl/>
        </w:rPr>
        <w:t xml:space="preserve">، ص 269 ، ح 13 ؛ وص 311 ، ح 3 ، عن محمّد بن يحيى العطّار. وفي </w:t>
      </w:r>
      <w:r w:rsidRPr="00431D96">
        <w:rPr>
          <w:rStyle w:val="libFootnoteBoldChar"/>
          <w:rtl/>
        </w:rPr>
        <w:t>الخصال</w:t>
      </w:r>
      <w:r w:rsidRPr="00132E65">
        <w:rPr>
          <w:rtl/>
        </w:rPr>
        <w:t xml:space="preserve"> ، ص 477 ، أبواب الاثني عشر ، ح 42 ، بسنده محمّد بن الحسين بن أبي الخطّاب. وفي </w:t>
      </w:r>
      <w:r w:rsidRPr="00431D96">
        <w:rPr>
          <w:rStyle w:val="libFootnoteBoldChar"/>
          <w:rtl/>
        </w:rPr>
        <w:t>الفقيه</w:t>
      </w:r>
      <w:r w:rsidRPr="00132E65">
        <w:rPr>
          <w:rtl/>
        </w:rPr>
        <w:t xml:space="preserve"> ، ج 4 ، ص 180 ، ح 5408 ؛ </w:t>
      </w:r>
      <w:r w:rsidRPr="00431D96">
        <w:rPr>
          <w:rStyle w:val="libFootnoteBoldChar"/>
          <w:rtl/>
        </w:rPr>
        <w:t>وعيون الأخبار</w:t>
      </w:r>
      <w:r w:rsidRPr="00132E65">
        <w:rPr>
          <w:rtl/>
        </w:rPr>
        <w:t xml:space="preserve"> ، ج 1 ، ص 47 ، ح 7 ؛ </w:t>
      </w:r>
      <w:r w:rsidRPr="00431D96">
        <w:rPr>
          <w:rStyle w:val="libFootnoteBoldChar"/>
          <w:rtl/>
        </w:rPr>
        <w:t>وكمال الدين</w:t>
      </w:r>
      <w:r w:rsidRPr="00132E65">
        <w:rPr>
          <w:rtl/>
        </w:rPr>
        <w:t xml:space="preserve"> ، ص 313 ، ح 4 ، بسنده عن الحسن بن محبوب. </w:t>
      </w:r>
      <w:r w:rsidRPr="00431D96">
        <w:rPr>
          <w:rStyle w:val="libFootnoteBoldChar"/>
          <w:rtl/>
        </w:rPr>
        <w:t>الغيبة للطوسي</w:t>
      </w:r>
      <w:r w:rsidRPr="00132E65">
        <w:rPr>
          <w:rtl/>
        </w:rPr>
        <w:t xml:space="preserve"> ، ص 139 ، ح 103 ، بسند آخر </w:t>
      </w:r>
      <w:r w:rsidR="00431D96">
        <w:rPr>
          <w:rFonts w:hint="cs"/>
          <w:rtl/>
        </w:rPr>
        <w:t>.</w:t>
      </w:r>
      <w:r w:rsidRPr="009D1ACE">
        <w:rPr>
          <w:rStyle w:val="libFootnoteBoldChar"/>
          <w:rtl/>
        </w:rPr>
        <w:t>الوافي</w:t>
      </w:r>
      <w:r w:rsidRPr="00132E65">
        <w:rPr>
          <w:rtl/>
        </w:rPr>
        <w:t xml:space="preserve"> ، ج 2 ، ص 309 ، ح 765 ؛ </w:t>
      </w:r>
      <w:r w:rsidRPr="00431D96">
        <w:rPr>
          <w:rStyle w:val="libFootnoteBoldChar"/>
          <w:rtl/>
        </w:rPr>
        <w:t>الوسائل</w:t>
      </w:r>
      <w:r w:rsidRPr="00132E65">
        <w:rPr>
          <w:rtl/>
        </w:rPr>
        <w:t xml:space="preserve"> ، ج 16 ، ص 244 ، ذيل ح 21472.</w:t>
      </w:r>
    </w:p>
    <w:tbl>
      <w:tblPr>
        <w:tblStyle w:val="TableGrid"/>
        <w:bidiVisual/>
        <w:tblW w:w="0" w:type="auto"/>
        <w:tblLook w:val="04A0" w:firstRow="1" w:lastRow="0" w:firstColumn="1" w:lastColumn="0" w:noHBand="0" w:noVBand="1"/>
      </w:tblPr>
      <w:tblGrid>
        <w:gridCol w:w="4261"/>
        <w:gridCol w:w="4262"/>
      </w:tblGrid>
      <w:tr w:rsidR="00431D96" w:rsidTr="00431D96">
        <w:tc>
          <w:tcPr>
            <w:tcW w:w="4261" w:type="dxa"/>
          </w:tcPr>
          <w:p w:rsidR="00431D96" w:rsidRDefault="00431D96" w:rsidP="000C39D1">
            <w:pPr>
              <w:pStyle w:val="libFootnote0"/>
              <w:rPr>
                <w:rtl/>
              </w:rPr>
            </w:pPr>
            <w:r>
              <w:rPr>
                <w:rtl/>
              </w:rPr>
              <w:t>(8).</w:t>
            </w:r>
            <w:r w:rsidRPr="00132E65">
              <w:rPr>
                <w:rtl/>
              </w:rPr>
              <w:t xml:space="preserve"> في الإرشاد </w:t>
            </w:r>
            <w:r>
              <w:rPr>
                <w:rtl/>
              </w:rPr>
              <w:t xml:space="preserve">: - </w:t>
            </w:r>
            <w:r w:rsidRPr="00132E65">
              <w:rPr>
                <w:rtl/>
              </w:rPr>
              <w:t>« بن عبيد »</w:t>
            </w:r>
            <w:r>
              <w:rPr>
                <w:rtl/>
              </w:rPr>
              <w:t>.</w:t>
            </w:r>
          </w:p>
        </w:tc>
        <w:tc>
          <w:tcPr>
            <w:tcW w:w="4262" w:type="dxa"/>
          </w:tcPr>
          <w:p w:rsidR="00431D96" w:rsidRDefault="00431D96" w:rsidP="000C39D1">
            <w:pPr>
              <w:pStyle w:val="libFootnote0"/>
              <w:rPr>
                <w:rtl/>
              </w:rPr>
            </w:pPr>
            <w:r>
              <w:rPr>
                <w:rtl/>
              </w:rPr>
              <w:t>(9).</w:t>
            </w:r>
            <w:r w:rsidRPr="00132E65">
              <w:rPr>
                <w:rtl/>
              </w:rPr>
              <w:t xml:space="preserve"> في الخصال والعيون :</w:t>
            </w:r>
            <w:r>
              <w:rPr>
                <w:rtl/>
              </w:rPr>
              <w:t xml:space="preserve"> + </w:t>
            </w:r>
            <w:r w:rsidRPr="00132E65">
              <w:rPr>
                <w:rtl/>
              </w:rPr>
              <w:t>« الصيرفي »</w:t>
            </w:r>
            <w:r>
              <w:rPr>
                <w:rtl/>
              </w:rPr>
              <w:t>.</w:t>
            </w:r>
          </w:p>
        </w:tc>
      </w:tr>
      <w:tr w:rsidR="00431D96" w:rsidTr="00431D96">
        <w:tc>
          <w:tcPr>
            <w:tcW w:w="4261" w:type="dxa"/>
          </w:tcPr>
          <w:p w:rsidR="00431D96" w:rsidRDefault="00431D96" w:rsidP="000C39D1">
            <w:pPr>
              <w:pStyle w:val="libFootnote0"/>
              <w:rPr>
                <w:rtl/>
              </w:rPr>
            </w:pPr>
            <w:r>
              <w:rPr>
                <w:rtl/>
              </w:rPr>
              <w:t>(10).</w:t>
            </w:r>
            <w:r w:rsidRPr="00132E65">
              <w:rPr>
                <w:rtl/>
              </w:rPr>
              <w:t xml:space="preserve"> في الإرشاد والخصال والعيون :</w:t>
            </w:r>
            <w:r>
              <w:rPr>
                <w:rtl/>
              </w:rPr>
              <w:t xml:space="preserve"> + </w:t>
            </w:r>
            <w:r w:rsidRPr="00132E65">
              <w:rPr>
                <w:rtl/>
              </w:rPr>
              <w:t>« الثمالي »</w:t>
            </w:r>
            <w:r>
              <w:rPr>
                <w:rtl/>
              </w:rPr>
              <w:t>.</w:t>
            </w:r>
          </w:p>
        </w:tc>
        <w:tc>
          <w:tcPr>
            <w:tcW w:w="4262" w:type="dxa"/>
          </w:tcPr>
          <w:p w:rsidR="00431D96" w:rsidRDefault="00431D96" w:rsidP="000C39D1">
            <w:pPr>
              <w:pStyle w:val="libFootnote0"/>
              <w:rPr>
                <w:rtl/>
              </w:rPr>
            </w:pPr>
            <w:r>
              <w:rPr>
                <w:rtl/>
              </w:rPr>
              <w:t>(11).</w:t>
            </w:r>
            <w:r w:rsidRPr="00132E65">
              <w:rPr>
                <w:rtl/>
              </w:rPr>
              <w:t xml:space="preserve"> في </w:t>
            </w:r>
            <w:r w:rsidRPr="009D1ACE">
              <w:rPr>
                <w:rStyle w:val="libFootnoteBoldChar"/>
                <w:rtl/>
              </w:rPr>
              <w:t>الوافي</w:t>
            </w:r>
            <w:r w:rsidRPr="00132E65">
              <w:rPr>
                <w:rtl/>
              </w:rPr>
              <w:t xml:space="preserve"> : « جرت له »</w:t>
            </w:r>
            <w:r>
              <w:rPr>
                <w:rtl/>
              </w:rPr>
              <w:t>.</w:t>
            </w:r>
          </w:p>
        </w:tc>
      </w:tr>
    </w:tbl>
    <w:p w:rsidR="000C39D1" w:rsidRPr="00132E65" w:rsidRDefault="000C39D1" w:rsidP="000C39D1">
      <w:pPr>
        <w:pStyle w:val="libFootnote0"/>
        <w:rPr>
          <w:rtl/>
          <w:lang w:bidi="fa-IR"/>
        </w:rPr>
      </w:pPr>
      <w:r>
        <w:rPr>
          <w:rtl/>
        </w:rPr>
        <w:t>(12).</w:t>
      </w:r>
      <w:r w:rsidRPr="00132E65">
        <w:rPr>
          <w:rtl/>
        </w:rPr>
        <w:t xml:space="preserve"> في الإرشاد : « فالأوصياء »</w:t>
      </w:r>
      <w:r>
        <w:rPr>
          <w:rtl/>
        </w:rPr>
        <w:t>.</w:t>
      </w:r>
    </w:p>
    <w:p w:rsidR="000C39D1" w:rsidRPr="00132E65" w:rsidRDefault="000C39D1" w:rsidP="000C39D1">
      <w:pPr>
        <w:pStyle w:val="libFootnote0"/>
        <w:rPr>
          <w:rtl/>
          <w:lang w:bidi="fa-IR"/>
        </w:rPr>
      </w:pPr>
      <w:r>
        <w:rPr>
          <w:rtl/>
        </w:rPr>
        <w:t>(13)</w:t>
      </w:r>
      <w:r w:rsidRPr="00132E65">
        <w:rPr>
          <w:rtl/>
        </w:rPr>
        <w:t xml:space="preserve"> </w:t>
      </w:r>
      <w:r w:rsidRPr="00431D96">
        <w:rPr>
          <w:rStyle w:val="libFootnoteBoldChar"/>
          <w:rtl/>
        </w:rPr>
        <w:t>الإرشاد</w:t>
      </w:r>
      <w:r w:rsidRPr="00132E65">
        <w:rPr>
          <w:rtl/>
        </w:rPr>
        <w:t xml:space="preserve"> ، ج 2 ، ص 345 ، بسنده عن الكليني. وفي </w:t>
      </w:r>
      <w:r w:rsidRPr="00431D96">
        <w:rPr>
          <w:rStyle w:val="libFootnoteBoldChar"/>
          <w:rtl/>
        </w:rPr>
        <w:t>الخصال</w:t>
      </w:r>
      <w:r w:rsidRPr="00132E65">
        <w:rPr>
          <w:rtl/>
        </w:rPr>
        <w:t xml:space="preserve"> ، ص 478 ، أبواب الاثنى عشر ، ح 43 ؛ </w:t>
      </w:r>
      <w:r w:rsidRPr="00431D96">
        <w:rPr>
          <w:rStyle w:val="libFootnoteBoldChar"/>
          <w:rtl/>
        </w:rPr>
        <w:t>وعيون الأخبار</w:t>
      </w:r>
      <w:r w:rsidRPr="00132E65">
        <w:rPr>
          <w:rtl/>
        </w:rPr>
        <w:t xml:space="preserve"> ، ج 1 ، ص 55 ، ح 21 ، عن أبيه ، عن عليّ بن إبراهيم. وفي </w:t>
      </w:r>
      <w:r w:rsidRPr="00431D96">
        <w:rPr>
          <w:rStyle w:val="libFootnoteBoldChar"/>
          <w:rtl/>
        </w:rPr>
        <w:t>كمال الدين</w:t>
      </w:r>
      <w:r w:rsidRPr="00132E65">
        <w:rPr>
          <w:rtl/>
        </w:rPr>
        <w:t xml:space="preserve"> ، ص 326 ، ح 4 ، </w:t>
      </w:r>
      <w:r w:rsidRPr="00431D96">
        <w:rPr>
          <w:rStyle w:val="libFootnoteBoldChar"/>
          <w:rtl/>
        </w:rPr>
        <w:t>والغيبة للطوسي</w:t>
      </w:r>
      <w:r w:rsidRPr="00132E65">
        <w:rPr>
          <w:rtl/>
        </w:rPr>
        <w:t xml:space="preserve"> ، ص 141 ، ح 105 ، بسندهما عن محمّد بن عيسى بن عبيد. </w:t>
      </w:r>
      <w:r w:rsidRPr="00431D96">
        <w:rPr>
          <w:rStyle w:val="libFootnoteBoldChar"/>
          <w:rtl/>
        </w:rPr>
        <w:t>كمال الدين</w:t>
      </w:r>
      <w:r w:rsidRPr="00132E65">
        <w:rPr>
          <w:rtl/>
        </w:rPr>
        <w:t xml:space="preserve"> ، ص 219 ، ح 2 ، بسند آخر عن محمّد بن الفضيل ، مع اختلاف يسير وزيادة في أوّله </w:t>
      </w:r>
      <w:r w:rsidR="00431D96">
        <w:rPr>
          <w:rFonts w:hint="cs"/>
          <w:rtl/>
        </w:rPr>
        <w:t>.</w:t>
      </w:r>
      <w:r w:rsidRPr="009D1ACE">
        <w:rPr>
          <w:rStyle w:val="libFootnoteBoldChar"/>
          <w:rtl/>
        </w:rPr>
        <w:t>الوافي</w:t>
      </w:r>
      <w:r w:rsidRPr="00132E65">
        <w:rPr>
          <w:rtl/>
        </w:rPr>
        <w:t xml:space="preserve"> ، ج 2 ، ص 309 ، ح 766.</w:t>
      </w:r>
    </w:p>
    <w:p w:rsidR="000C39D1" w:rsidRDefault="000C39D1" w:rsidP="000C39D1">
      <w:pPr>
        <w:pStyle w:val="libNormal"/>
        <w:rPr>
          <w:rtl/>
          <w:lang w:bidi="fa-IR"/>
        </w:rPr>
      </w:pPr>
      <w:r>
        <w:rPr>
          <w:rtl/>
          <w:lang w:bidi="fa-IR"/>
        </w:rPr>
        <w:br w:type="page"/>
      </w:r>
    </w:p>
    <w:p w:rsidR="000C39D1" w:rsidRDefault="000C39D1" w:rsidP="000C39D1">
      <w:pPr>
        <w:pStyle w:val="libNormal"/>
        <w:rPr>
          <w:rtl/>
          <w:lang w:bidi="fa-IR"/>
        </w:rPr>
      </w:pPr>
      <w:r w:rsidRPr="00C41A07">
        <w:rPr>
          <w:rtl/>
        </w:rPr>
        <w:t>1398</w:t>
      </w:r>
      <w:r w:rsidRPr="004325D8">
        <w:rPr>
          <w:rStyle w:val="libBold2Char"/>
          <w:rtl/>
        </w:rPr>
        <w:t xml:space="preserve"> / 11.</w:t>
      </w:r>
      <w:r w:rsidRPr="00132E65">
        <w:rPr>
          <w:rtl/>
          <w:lang w:bidi="fa-IR"/>
        </w:rPr>
        <w:t xml:space="preserve"> مُحَمَّدُ بْنُ يَحْيى ، عَنْ أَحْمَدَ بْنِ مُحَمَّدِ بْنِ عِيسى ؛ </w:t>
      </w:r>
    </w:p>
    <w:p w:rsidR="000C39D1" w:rsidRPr="00132E65" w:rsidRDefault="00431D96" w:rsidP="000C39D1">
      <w:pPr>
        <w:pStyle w:val="libNormal"/>
        <w:rPr>
          <w:rtl/>
          <w:lang w:bidi="fa-IR"/>
        </w:rPr>
      </w:pPr>
      <w:r>
        <w:rPr>
          <w:rFonts w:hint="cs"/>
          <w:rtl/>
          <w:lang w:bidi="fa-IR"/>
        </w:rPr>
        <w:t xml:space="preserve">              </w:t>
      </w:r>
      <w:r w:rsidR="000C39D1" w:rsidRPr="00132E65">
        <w:rPr>
          <w:rtl/>
          <w:lang w:bidi="fa-IR"/>
        </w:rPr>
        <w:t>وَ</w:t>
      </w:r>
      <w:r w:rsidR="000C39D1">
        <w:rPr>
          <w:rFonts w:hint="cs"/>
          <w:rtl/>
          <w:lang w:bidi="fa-IR"/>
        </w:rPr>
        <w:t xml:space="preserve"> </w:t>
      </w:r>
      <w:r w:rsidR="000C39D1">
        <w:rPr>
          <w:rStyle w:val="libFootnotenumChar"/>
          <w:rtl/>
        </w:rPr>
        <w:t>(1)</w:t>
      </w:r>
      <w:r w:rsidR="000C39D1" w:rsidRPr="00132E65">
        <w:rPr>
          <w:rtl/>
          <w:lang w:bidi="fa-IR"/>
        </w:rPr>
        <w:t xml:space="preserve"> مُحَمَّدُ بْنُ أَبِي عَبْدِ اللهِ و</w:t>
      </w:r>
      <w:r>
        <w:rPr>
          <w:rFonts w:hint="cs"/>
          <w:rtl/>
          <w:lang w:bidi="fa-IR"/>
        </w:rPr>
        <w:t>َ</w:t>
      </w:r>
      <w:r w:rsidR="000C39D1" w:rsidRPr="00132E65">
        <w:rPr>
          <w:rtl/>
          <w:lang w:bidi="fa-IR"/>
        </w:rPr>
        <w:t xml:space="preserve">مُحَمَّدُ بْنُ الْحَسَنِ ، عَنْ سَهْلِ بْنِ زِيَادٍ جَمِيعاً ، عَنِ الْحَسَنِ بْنِ الْعَبَّاسِ بْنِ الْحَرِيشِ </w:t>
      </w:r>
      <w:r w:rsidR="000C39D1">
        <w:rPr>
          <w:rStyle w:val="libFootnotenumChar"/>
          <w:rtl/>
        </w:rPr>
        <w:t>(2)</w:t>
      </w:r>
      <w:r w:rsidR="000C39D1"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عَنْ أَبِي جَعْفَرٍ الثَّانِي </w:t>
      </w:r>
      <w:r w:rsidRPr="00071CF9">
        <w:rPr>
          <w:rStyle w:val="libAlaemChar"/>
          <w:rtl/>
        </w:rPr>
        <w:t>عليه‌السلام</w:t>
      </w:r>
      <w:r w:rsidRPr="00132E65">
        <w:rPr>
          <w:rtl/>
          <w:lang w:bidi="fa-IR"/>
        </w:rPr>
        <w:t xml:space="preserve"> : « أَنَّ أَمِيرَ الْمُؤْمِنِينَ </w:t>
      </w:r>
      <w:r w:rsidRPr="00071CF9">
        <w:rPr>
          <w:rStyle w:val="libAlaemChar"/>
          <w:rtl/>
        </w:rPr>
        <w:t>عليه‌السلام</w:t>
      </w:r>
      <w:r w:rsidRPr="00132E65">
        <w:rPr>
          <w:rtl/>
          <w:lang w:bidi="fa-IR"/>
        </w:rPr>
        <w:t xml:space="preserve"> قَالَ لِابْنِ عَبَّاسٍ </w:t>
      </w:r>
      <w:r>
        <w:rPr>
          <w:rStyle w:val="libFootnotenumChar"/>
          <w:rtl/>
        </w:rPr>
        <w:t>(3)</w:t>
      </w:r>
      <w:r w:rsidRPr="00132E65">
        <w:rPr>
          <w:rtl/>
          <w:lang w:bidi="fa-IR"/>
        </w:rPr>
        <w:t xml:space="preserve"> : إِنَّ لَيْلَةَ الْقَدْرِ فِي كُلِّ سَنَةٍ ، و</w:t>
      </w:r>
      <w:r w:rsidR="00431D96">
        <w:rPr>
          <w:rFonts w:hint="cs"/>
          <w:rtl/>
          <w:lang w:bidi="fa-IR"/>
        </w:rPr>
        <w:t>َ</w:t>
      </w:r>
      <w:r w:rsidRPr="00132E65">
        <w:rPr>
          <w:rtl/>
          <w:lang w:bidi="fa-IR"/>
        </w:rPr>
        <w:t xml:space="preserve">إِنَّهُ يَنْزِلُ فِي تِلْكَ اللَّيْلَةِ أَمْرُ السَّنَةِ </w:t>
      </w:r>
      <w:r>
        <w:rPr>
          <w:rStyle w:val="libFootnotenumChar"/>
          <w:rtl/>
        </w:rPr>
        <w:t>(4)</w:t>
      </w:r>
      <w:r w:rsidRPr="00132E65">
        <w:rPr>
          <w:rtl/>
          <w:lang w:bidi="fa-IR"/>
        </w:rPr>
        <w:t xml:space="preserve"> ، و</w:t>
      </w:r>
      <w:r w:rsidR="00431D96">
        <w:rPr>
          <w:rFonts w:hint="cs"/>
          <w:rtl/>
          <w:lang w:bidi="fa-IR"/>
        </w:rPr>
        <w:t>َ</w:t>
      </w:r>
      <w:r>
        <w:rPr>
          <w:rFonts w:hint="cs"/>
          <w:rtl/>
          <w:lang w:bidi="fa-IR"/>
        </w:rPr>
        <w:t xml:space="preserve"> </w:t>
      </w:r>
      <w:r>
        <w:rPr>
          <w:rStyle w:val="libFootnotenumChar"/>
          <w:rtl/>
        </w:rPr>
        <w:t>(5)</w:t>
      </w:r>
      <w:r w:rsidRPr="00132E65">
        <w:rPr>
          <w:rtl/>
          <w:lang w:bidi="fa-IR"/>
        </w:rPr>
        <w:t xml:space="preserve"> لِذلِكَ الْأَمْرِ و</w:t>
      </w:r>
      <w:r w:rsidR="00431D96">
        <w:rPr>
          <w:rFonts w:hint="cs"/>
          <w:rtl/>
          <w:lang w:bidi="fa-IR"/>
        </w:rPr>
        <w:t>ُ</w:t>
      </w:r>
      <w:r w:rsidRPr="00132E65">
        <w:rPr>
          <w:rtl/>
          <w:lang w:bidi="fa-IR"/>
        </w:rPr>
        <w:t xml:space="preserve">لَاةٌ بَعْدَ </w:t>
      </w:r>
      <w:r>
        <w:rPr>
          <w:rStyle w:val="libFootnotenumChar"/>
          <w:rtl/>
        </w:rPr>
        <w:t>(6)</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 فَقَالَ </w:t>
      </w:r>
      <w:r>
        <w:rPr>
          <w:rStyle w:val="libFootnotenumChar"/>
          <w:rtl/>
        </w:rPr>
        <w:t>(7)</w:t>
      </w:r>
      <w:r w:rsidRPr="00132E65">
        <w:rPr>
          <w:rtl/>
          <w:lang w:bidi="fa-IR"/>
        </w:rPr>
        <w:t xml:space="preserve"> ابْنُ عَبَّاسٍ : مَنْ هُمْ </w:t>
      </w:r>
      <w:r>
        <w:rPr>
          <w:rStyle w:val="libFootnotenumChar"/>
          <w:rtl/>
        </w:rPr>
        <w:t>(8)</w:t>
      </w:r>
      <w:r>
        <w:rPr>
          <w:rtl/>
          <w:lang w:bidi="fa-IR"/>
        </w:rPr>
        <w:t>؟</w:t>
      </w:r>
      <w:r w:rsidRPr="00132E65">
        <w:rPr>
          <w:rtl/>
          <w:lang w:bidi="fa-IR"/>
        </w:rPr>
        <w:t xml:space="preserve"> قَالَ : أَنَا و</w:t>
      </w:r>
      <w:r w:rsidR="00431D96">
        <w:rPr>
          <w:rFonts w:hint="cs"/>
          <w:rtl/>
          <w:lang w:bidi="fa-IR"/>
        </w:rPr>
        <w:t>َ</w:t>
      </w:r>
      <w:r w:rsidRPr="00132E65">
        <w:rPr>
          <w:rtl/>
          <w:lang w:bidi="fa-IR"/>
        </w:rPr>
        <w:t>أَحَدَ عَشَرَ مِنْ صُلْبِي أَئِمَّةٌ مُحَدَّثُونَ »</w:t>
      </w:r>
      <w:r>
        <w:rPr>
          <w:rtl/>
          <w:lang w:bidi="fa-IR"/>
        </w:rPr>
        <w:t>.</w:t>
      </w:r>
      <w:r w:rsidRPr="00132E65">
        <w:rPr>
          <w:rtl/>
          <w:lang w:bidi="fa-IR"/>
        </w:rPr>
        <w:t xml:space="preserve">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C41A07">
        <w:rPr>
          <w:rtl/>
        </w:rPr>
        <w:t>1399</w:t>
      </w:r>
      <w:r w:rsidRPr="004325D8">
        <w:rPr>
          <w:rStyle w:val="libBold2Char"/>
          <w:rtl/>
        </w:rPr>
        <w:t xml:space="preserve"> / 12.</w:t>
      </w:r>
      <w:r w:rsidRPr="00132E65">
        <w:rPr>
          <w:rtl/>
          <w:lang w:bidi="fa-IR"/>
        </w:rPr>
        <w:t xml:space="preserve"> و</w:t>
      </w:r>
      <w:r w:rsidR="00431D96">
        <w:rPr>
          <w:rFonts w:hint="cs"/>
          <w:rtl/>
          <w:lang w:bidi="fa-IR"/>
        </w:rPr>
        <w:t>َ</w:t>
      </w:r>
      <w:r w:rsidRPr="00132E65">
        <w:rPr>
          <w:rtl/>
          <w:lang w:bidi="fa-IR"/>
        </w:rPr>
        <w:t xml:space="preserve">بِهذَا الْإِسْنَادِ ، قَالَ </w:t>
      </w:r>
      <w:r>
        <w:rPr>
          <w:rStyle w:val="libFootnotenumChar"/>
          <w:rtl/>
        </w:rPr>
        <w:t>(10)</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السند تحويل بعطف « محمّد بن أبي عبد الله ومحمّد بن الحسن عن سهل بن زياد » على « محمّد بن يحيى‌عن أحمد بن محمّد بن عيسى »</w:t>
      </w:r>
      <w:r>
        <w:rPr>
          <w:rtl/>
        </w:rPr>
        <w:t>.</w:t>
      </w:r>
    </w:p>
    <w:p w:rsidR="000C39D1" w:rsidRPr="00132E65" w:rsidRDefault="000C39D1" w:rsidP="000C39D1">
      <w:pPr>
        <w:pStyle w:val="libFootnote0"/>
        <w:rPr>
          <w:rtl/>
          <w:lang w:bidi="fa-IR"/>
        </w:rPr>
      </w:pPr>
      <w:r>
        <w:rPr>
          <w:rtl/>
        </w:rPr>
        <w:t>(2).</w:t>
      </w:r>
      <w:r w:rsidRPr="00132E65">
        <w:rPr>
          <w:rtl/>
        </w:rPr>
        <w:t xml:space="preserve"> هكذا في النسخ. وفي المطبوع : « الجريش »</w:t>
      </w:r>
      <w:r>
        <w:rPr>
          <w:rtl/>
        </w:rPr>
        <w:t>.</w:t>
      </w:r>
      <w:r w:rsidRPr="00132E65">
        <w:rPr>
          <w:rtl/>
        </w:rPr>
        <w:t xml:space="preserve"> وهو سهو. والحسن هذا ، هو الحسن بن العبّاس بن الحريش الرازي. راجع : </w:t>
      </w:r>
      <w:r w:rsidRPr="00431D96">
        <w:rPr>
          <w:rStyle w:val="libFootnoteBoldChar"/>
          <w:rtl/>
        </w:rPr>
        <w:t>رجال النجاشي</w:t>
      </w:r>
      <w:r w:rsidRPr="00132E65">
        <w:rPr>
          <w:rtl/>
        </w:rPr>
        <w:t xml:space="preserve"> ، ص 60 ، الرقم 138 ؛ </w:t>
      </w:r>
      <w:r w:rsidRPr="00431D96">
        <w:rPr>
          <w:rStyle w:val="libFootnoteBoldChar"/>
          <w:rtl/>
        </w:rPr>
        <w:t>رجال الطوسي</w:t>
      </w:r>
      <w:r w:rsidRPr="00132E65">
        <w:rPr>
          <w:rtl/>
        </w:rPr>
        <w:t xml:space="preserve"> ، ص 374 ، الرقم 5544 ؛ </w:t>
      </w:r>
      <w:r w:rsidRPr="00431D96">
        <w:rPr>
          <w:rStyle w:val="libFootnoteBoldChar"/>
          <w:rtl/>
        </w:rPr>
        <w:t>الفهرست للطوسي</w:t>
      </w:r>
      <w:r w:rsidRPr="00132E65">
        <w:rPr>
          <w:rtl/>
        </w:rPr>
        <w:t xml:space="preserve"> ، ص 136 ، الرقم 198 ؛ </w:t>
      </w:r>
      <w:r w:rsidRPr="00431D96">
        <w:rPr>
          <w:rStyle w:val="libFootnoteBoldChar"/>
          <w:rtl/>
        </w:rPr>
        <w:t>الرجال لابن الغضائري</w:t>
      </w:r>
      <w:r w:rsidRPr="00132E65">
        <w:rPr>
          <w:rtl/>
        </w:rPr>
        <w:t xml:space="preserve"> ، ص 51 ، الرقم 34.</w:t>
      </w:r>
    </w:p>
    <w:tbl>
      <w:tblPr>
        <w:tblStyle w:val="TableGrid"/>
        <w:bidiVisual/>
        <w:tblW w:w="0" w:type="auto"/>
        <w:tblLook w:val="04A0" w:firstRow="1" w:lastRow="0" w:firstColumn="1" w:lastColumn="0" w:noHBand="0" w:noVBand="1"/>
      </w:tblPr>
      <w:tblGrid>
        <w:gridCol w:w="4261"/>
        <w:gridCol w:w="4262"/>
      </w:tblGrid>
      <w:tr w:rsidR="00431D96" w:rsidTr="00431D96">
        <w:tc>
          <w:tcPr>
            <w:tcW w:w="4261" w:type="dxa"/>
          </w:tcPr>
          <w:p w:rsidR="00431D96" w:rsidRDefault="00431D96" w:rsidP="000C39D1">
            <w:pPr>
              <w:pStyle w:val="libFootnote0"/>
              <w:rPr>
                <w:rtl/>
              </w:rPr>
            </w:pPr>
            <w:r>
              <w:rPr>
                <w:rtl/>
              </w:rPr>
              <w:t>(3).</w:t>
            </w:r>
            <w:r w:rsidRPr="00132E65">
              <w:rPr>
                <w:rtl/>
              </w:rPr>
              <w:t xml:space="preserve"> في « ض ، بح ، بر ، بس ، بف » : « العبّاس »</w:t>
            </w:r>
            <w:r>
              <w:rPr>
                <w:rtl/>
              </w:rPr>
              <w:t>.</w:t>
            </w:r>
          </w:p>
        </w:tc>
        <w:tc>
          <w:tcPr>
            <w:tcW w:w="4262" w:type="dxa"/>
          </w:tcPr>
          <w:p w:rsidR="00431D96" w:rsidRDefault="00491A5B" w:rsidP="000C39D1">
            <w:pPr>
              <w:pStyle w:val="libFootnote0"/>
              <w:rPr>
                <w:rtl/>
              </w:rPr>
            </w:pPr>
            <w:r>
              <w:rPr>
                <w:rtl/>
              </w:rPr>
              <w:t>(4).</w:t>
            </w:r>
            <w:r w:rsidRPr="00132E65">
              <w:rPr>
                <w:rtl/>
              </w:rPr>
              <w:t xml:space="preserve"> في الغيبة للنعماني :</w:t>
            </w:r>
            <w:r>
              <w:rPr>
                <w:rtl/>
              </w:rPr>
              <w:t xml:space="preserve"> + </w:t>
            </w:r>
            <w:r w:rsidRPr="00132E65">
              <w:rPr>
                <w:rtl/>
              </w:rPr>
              <w:t>« وما قضي فيها »</w:t>
            </w:r>
            <w:r>
              <w:rPr>
                <w:rtl/>
              </w:rPr>
              <w:t>.</w:t>
            </w:r>
          </w:p>
        </w:tc>
      </w:tr>
    </w:tbl>
    <w:p w:rsidR="000C39D1" w:rsidRPr="00132E65" w:rsidRDefault="000C39D1" w:rsidP="000C39D1">
      <w:pPr>
        <w:pStyle w:val="libFootnote0"/>
        <w:rPr>
          <w:rtl/>
          <w:lang w:bidi="fa-IR"/>
        </w:rPr>
      </w:pPr>
      <w:r>
        <w:rPr>
          <w:rtl/>
        </w:rPr>
        <w:t>(5).</w:t>
      </w:r>
      <w:r w:rsidRPr="00132E65">
        <w:rPr>
          <w:rtl/>
        </w:rPr>
        <w:t xml:space="preserve"> في « بس ، بف » </w:t>
      </w:r>
      <w:r>
        <w:rPr>
          <w:rtl/>
        </w:rPr>
        <w:t xml:space="preserve">: - </w:t>
      </w:r>
      <w:r w:rsidRPr="00132E65">
        <w:rPr>
          <w:rtl/>
        </w:rPr>
        <w:t>«</w:t>
      </w:r>
      <w:r>
        <w:rPr>
          <w:rtl/>
        </w:rPr>
        <w:t xml:space="preserve"> و ».</w:t>
      </w:r>
      <w:r w:rsidRPr="00132E65">
        <w:rPr>
          <w:rtl/>
        </w:rPr>
        <w:t xml:space="preserve"> وفي </w:t>
      </w:r>
      <w:r w:rsidRPr="000577A7">
        <w:rPr>
          <w:rStyle w:val="libFootnoteBoldChar"/>
          <w:rtl/>
        </w:rPr>
        <w:t>الكافي</w:t>
      </w:r>
      <w:r w:rsidRPr="00132E65">
        <w:rPr>
          <w:rtl/>
        </w:rPr>
        <w:t xml:space="preserve"> ، ح 646 :</w:t>
      </w:r>
      <w:r>
        <w:rPr>
          <w:rtl/>
        </w:rPr>
        <w:t xml:space="preserve"> + </w:t>
      </w:r>
      <w:r w:rsidRPr="00132E65">
        <w:rPr>
          <w:rtl/>
        </w:rPr>
        <w:t>« إنّ »</w:t>
      </w:r>
      <w:r>
        <w:rPr>
          <w:rtl/>
        </w:rPr>
        <w:t>.</w:t>
      </w:r>
    </w:p>
    <w:tbl>
      <w:tblPr>
        <w:tblStyle w:val="TableGrid"/>
        <w:bidiVisual/>
        <w:tblW w:w="0" w:type="auto"/>
        <w:tblLook w:val="04A0" w:firstRow="1" w:lastRow="0" w:firstColumn="1" w:lastColumn="0" w:noHBand="0" w:noVBand="1"/>
      </w:tblPr>
      <w:tblGrid>
        <w:gridCol w:w="4261"/>
        <w:gridCol w:w="4262"/>
      </w:tblGrid>
      <w:tr w:rsidR="00491A5B" w:rsidTr="00491A5B">
        <w:tc>
          <w:tcPr>
            <w:tcW w:w="4261" w:type="dxa"/>
          </w:tcPr>
          <w:p w:rsidR="00491A5B" w:rsidRDefault="00491A5B" w:rsidP="000C39D1">
            <w:pPr>
              <w:pStyle w:val="libFootnote0"/>
              <w:rPr>
                <w:rtl/>
                <w:lang w:bidi="fa-IR"/>
              </w:rPr>
            </w:pPr>
            <w:r>
              <w:rPr>
                <w:rtl/>
              </w:rPr>
              <w:t>(6).</w:t>
            </w:r>
            <w:r w:rsidRPr="00132E65">
              <w:rPr>
                <w:rtl/>
              </w:rPr>
              <w:t xml:space="preserve"> في الإرشاد : « من بعد »</w:t>
            </w:r>
            <w:r>
              <w:rPr>
                <w:rtl/>
              </w:rPr>
              <w:t>.</w:t>
            </w:r>
          </w:p>
        </w:tc>
        <w:tc>
          <w:tcPr>
            <w:tcW w:w="4262" w:type="dxa"/>
          </w:tcPr>
          <w:p w:rsidR="00491A5B" w:rsidRDefault="00491A5B" w:rsidP="000C39D1">
            <w:pPr>
              <w:pStyle w:val="libFootnote0"/>
              <w:rPr>
                <w:rtl/>
                <w:lang w:bidi="fa-IR"/>
              </w:rPr>
            </w:pPr>
            <w:r>
              <w:rPr>
                <w:rtl/>
              </w:rPr>
              <w:t>(7).</w:t>
            </w:r>
            <w:r w:rsidRPr="00132E65">
              <w:rPr>
                <w:rtl/>
              </w:rPr>
              <w:t xml:space="preserve"> في الإرشاد :</w:t>
            </w:r>
            <w:r>
              <w:rPr>
                <w:rtl/>
              </w:rPr>
              <w:t xml:space="preserve"> + </w:t>
            </w:r>
            <w:r w:rsidRPr="00132E65">
              <w:rPr>
                <w:rtl/>
              </w:rPr>
              <w:t>« له »</w:t>
            </w:r>
            <w:r>
              <w:rPr>
                <w:rtl/>
              </w:rPr>
              <w:t>.</w:t>
            </w:r>
          </w:p>
        </w:tc>
      </w:tr>
    </w:tbl>
    <w:p w:rsidR="000C39D1" w:rsidRPr="00132E65" w:rsidRDefault="000C39D1" w:rsidP="000C39D1">
      <w:pPr>
        <w:pStyle w:val="libFootnote0"/>
        <w:rPr>
          <w:rtl/>
          <w:lang w:bidi="fa-IR"/>
        </w:rPr>
      </w:pPr>
      <w:r>
        <w:rPr>
          <w:rtl/>
        </w:rPr>
        <w:t>(8).</w:t>
      </w:r>
      <w:r w:rsidRPr="00132E65">
        <w:rPr>
          <w:rtl/>
        </w:rPr>
        <w:t xml:space="preserve"> في </w:t>
      </w:r>
      <w:r w:rsidRPr="00491A5B">
        <w:rPr>
          <w:rStyle w:val="libFootnoteBoldChar"/>
          <w:rtl/>
        </w:rPr>
        <w:t>الغيبة للنعماني</w:t>
      </w:r>
      <w:r w:rsidRPr="00132E65">
        <w:rPr>
          <w:rtl/>
        </w:rPr>
        <w:t xml:space="preserve"> :</w:t>
      </w:r>
      <w:r>
        <w:rPr>
          <w:rtl/>
        </w:rPr>
        <w:t xml:space="preserve"> + </w:t>
      </w:r>
      <w:r w:rsidRPr="00132E65">
        <w:rPr>
          <w:rtl/>
        </w:rPr>
        <w:t xml:space="preserve">« يا أمير المؤمنين </w:t>
      </w:r>
      <w:r w:rsidRPr="00491A5B">
        <w:rPr>
          <w:rStyle w:val="libFootnoteAlaemChar"/>
          <w:rtl/>
        </w:rPr>
        <w:t>عليه‌السلام</w:t>
      </w:r>
      <w:r w:rsidRPr="00132E65">
        <w:rPr>
          <w:rtl/>
        </w:rPr>
        <w:t xml:space="preserve"> »</w:t>
      </w:r>
      <w:r>
        <w:rPr>
          <w:rtl/>
        </w:rPr>
        <w:t>.</w:t>
      </w:r>
    </w:p>
    <w:p w:rsidR="000C39D1" w:rsidRPr="00132E65" w:rsidRDefault="000C39D1" w:rsidP="00491A5B">
      <w:pPr>
        <w:pStyle w:val="libFootnote0"/>
        <w:rPr>
          <w:rtl/>
          <w:lang w:bidi="fa-IR"/>
        </w:rPr>
      </w:pPr>
      <w:r>
        <w:rPr>
          <w:rtl/>
        </w:rPr>
        <w:t>(9).</w:t>
      </w:r>
      <w:r w:rsidRPr="00132E65">
        <w:rPr>
          <w:rtl/>
        </w:rPr>
        <w:t xml:space="preserve"> </w:t>
      </w:r>
      <w:r w:rsidRPr="000577A7">
        <w:rPr>
          <w:rStyle w:val="libFootnoteBoldChar"/>
          <w:rtl/>
        </w:rPr>
        <w:t>الكافي</w:t>
      </w:r>
      <w:r w:rsidRPr="00132E65">
        <w:rPr>
          <w:rtl/>
        </w:rPr>
        <w:t xml:space="preserve"> ، كتاب الحجّة ، باب في شأن </w:t>
      </w:r>
      <w:r w:rsidR="00491A5B" w:rsidRPr="00491A5B">
        <w:rPr>
          <w:rStyle w:val="libFootnoteAlaemChar"/>
          <w:rFonts w:hint="cs"/>
          <w:rtl/>
        </w:rPr>
        <w:t>(</w:t>
      </w:r>
      <w:r w:rsidRPr="00491A5B">
        <w:rPr>
          <w:rStyle w:val="libFootnoteAieChar"/>
          <w:rtl/>
        </w:rPr>
        <w:t xml:space="preserve"> إِنَّآ أَنزَلْنهُ فِى لَيْلَةِ الْقَدْرِ </w:t>
      </w:r>
      <w:r w:rsidR="00491A5B" w:rsidRPr="00491A5B">
        <w:rPr>
          <w:rStyle w:val="libFootnoteAlaemChar"/>
          <w:rFonts w:hint="cs"/>
          <w:rtl/>
        </w:rPr>
        <w:t>)</w:t>
      </w:r>
      <w:r w:rsidRPr="00132E65">
        <w:rPr>
          <w:rtl/>
        </w:rPr>
        <w:t xml:space="preserve"> وتفسيرها ، ضمن ح 646 ، بهذا الإسناد عن أبي عبدالله </w:t>
      </w:r>
      <w:r w:rsidRPr="00491A5B">
        <w:rPr>
          <w:rStyle w:val="libFootnoteAlaemChar"/>
          <w:rtl/>
        </w:rPr>
        <w:t>عليه‌السلام</w:t>
      </w:r>
      <w:r w:rsidRPr="00132E65">
        <w:rPr>
          <w:rtl/>
        </w:rPr>
        <w:t xml:space="preserve">. </w:t>
      </w:r>
      <w:r w:rsidRPr="00491A5B">
        <w:rPr>
          <w:rStyle w:val="libFootnoteBoldChar"/>
          <w:rtl/>
        </w:rPr>
        <w:t>الإرشاد</w:t>
      </w:r>
      <w:r w:rsidRPr="00132E65">
        <w:rPr>
          <w:rtl/>
        </w:rPr>
        <w:t xml:space="preserve"> ، 2 ، ص 346 بسنده عن الكليني. </w:t>
      </w:r>
      <w:r w:rsidRPr="00491A5B">
        <w:rPr>
          <w:rStyle w:val="libFootnoteBoldChar"/>
          <w:rtl/>
        </w:rPr>
        <w:t>الغيبة للنعماني</w:t>
      </w:r>
      <w:r w:rsidRPr="00132E65">
        <w:rPr>
          <w:rtl/>
        </w:rPr>
        <w:t xml:space="preserve"> ، ص 60 ، ح 3 ، عن محمّد بن يعقوب الكليني ، عن عدّة من رجاله ، عن أحمد بن أبي عبد الله محمّد بن خالد البرقي ، عن الحسن بن العبّاس بن الجريش. وفي </w:t>
      </w:r>
      <w:r w:rsidRPr="00491A5B">
        <w:rPr>
          <w:rStyle w:val="libFootnoteBoldChar"/>
          <w:rtl/>
        </w:rPr>
        <w:t>الخصال</w:t>
      </w:r>
      <w:r w:rsidRPr="00132E65">
        <w:rPr>
          <w:rtl/>
        </w:rPr>
        <w:t xml:space="preserve"> ، ص 479 ، أبواب الاثني عشر ، ح 47 ؛ </w:t>
      </w:r>
      <w:r w:rsidRPr="00491A5B">
        <w:rPr>
          <w:rStyle w:val="libFootnoteBoldChar"/>
          <w:rtl/>
        </w:rPr>
        <w:t>وكمال الدين</w:t>
      </w:r>
      <w:r w:rsidRPr="00132E65">
        <w:rPr>
          <w:rtl/>
        </w:rPr>
        <w:t xml:space="preserve"> ، ص 304 ، ح 19 ؛ </w:t>
      </w:r>
      <w:r w:rsidRPr="00491A5B">
        <w:rPr>
          <w:rStyle w:val="libFootnoteBoldChar"/>
          <w:rtl/>
        </w:rPr>
        <w:t>وكفاية الأثر</w:t>
      </w:r>
      <w:r w:rsidRPr="00132E65">
        <w:rPr>
          <w:rtl/>
        </w:rPr>
        <w:t xml:space="preserve"> ، ص 220 ، بسندها عن محمّد بن يحيى العطّار ، عن [ في كمال الدين وكفاية الأثر : سهل بن زياد الآدمي و ] أحمد بن محمّد بن عيسى ، عن الحسن بن العبّاس بن الحريش. </w:t>
      </w:r>
      <w:r w:rsidRPr="00491A5B">
        <w:rPr>
          <w:rStyle w:val="libFootnoteBoldChar"/>
          <w:rtl/>
        </w:rPr>
        <w:t>الغيبة للطوسي</w:t>
      </w:r>
      <w:r w:rsidRPr="00132E65">
        <w:rPr>
          <w:rtl/>
        </w:rPr>
        <w:t xml:space="preserve"> ، ص 141 ، ح 106 ، بسنده عن سهل بن زياد الآدمي. وفي </w:t>
      </w:r>
      <w:r w:rsidRPr="000577A7">
        <w:rPr>
          <w:rStyle w:val="libFootnoteBoldChar"/>
          <w:rtl/>
        </w:rPr>
        <w:t>الكافي</w:t>
      </w:r>
      <w:r w:rsidRPr="00132E65">
        <w:rPr>
          <w:rtl/>
        </w:rPr>
        <w:t xml:space="preserve"> ، كتاب الحجّة ، باب أنّ الأئمّة محدّثون مفهّمون ، ح 711 ، بسند آخر عن أبي جعفر </w:t>
      </w:r>
      <w:r w:rsidRPr="00491A5B">
        <w:rPr>
          <w:rStyle w:val="libFootnoteAlaemChar"/>
          <w:rtl/>
        </w:rPr>
        <w:t>عليه‌السلام</w:t>
      </w:r>
      <w:r w:rsidRPr="00132E65">
        <w:rPr>
          <w:rtl/>
        </w:rPr>
        <w:t xml:space="preserve"> هكذا : « إنّ أوصياء محمّد عليه </w:t>
      </w:r>
      <w:r w:rsidRPr="00491A5B">
        <w:rPr>
          <w:rtl/>
        </w:rPr>
        <w:t>وعليهم</w:t>
      </w:r>
      <w:r w:rsidR="00491A5B">
        <w:rPr>
          <w:rFonts w:hint="cs"/>
          <w:rtl/>
        </w:rPr>
        <w:t xml:space="preserve"> </w:t>
      </w:r>
      <w:r w:rsidRPr="00491A5B">
        <w:rPr>
          <w:rtl/>
        </w:rPr>
        <w:t>‌السلام</w:t>
      </w:r>
      <w:r w:rsidRPr="00132E65">
        <w:rPr>
          <w:rtl/>
        </w:rPr>
        <w:t xml:space="preserve"> محدّثون » ، مع زيادة في أوّله </w:t>
      </w:r>
      <w:r w:rsidR="00491A5B">
        <w:rPr>
          <w:rFonts w:hint="cs"/>
          <w:rtl/>
        </w:rPr>
        <w:t>.</w:t>
      </w:r>
      <w:r w:rsidRPr="009D1ACE">
        <w:rPr>
          <w:rStyle w:val="libFootnoteBoldChar"/>
          <w:rtl/>
        </w:rPr>
        <w:t>الوافي</w:t>
      </w:r>
      <w:r w:rsidRPr="00132E65">
        <w:rPr>
          <w:rtl/>
        </w:rPr>
        <w:t xml:space="preserve"> ، ج 2 ، ص 310 ، ح 767 ؛ </w:t>
      </w:r>
      <w:r w:rsidRPr="00491A5B">
        <w:rPr>
          <w:rStyle w:val="libFootnoteBoldChar"/>
          <w:rtl/>
        </w:rPr>
        <w:t>البحار</w:t>
      </w:r>
      <w:r w:rsidRPr="00132E65">
        <w:rPr>
          <w:rtl/>
        </w:rPr>
        <w:t xml:space="preserve"> ، ج 25 ، ص 78 ، ح 65.</w:t>
      </w:r>
    </w:p>
    <w:p w:rsidR="000C39D1" w:rsidRPr="00132E65" w:rsidRDefault="000C39D1" w:rsidP="000C39D1">
      <w:pPr>
        <w:pStyle w:val="libFootnote0"/>
        <w:rPr>
          <w:rtl/>
          <w:lang w:bidi="fa-IR"/>
        </w:rPr>
      </w:pPr>
      <w:r>
        <w:rPr>
          <w:rtl/>
        </w:rPr>
        <w:t>(10).</w:t>
      </w:r>
      <w:r w:rsidRPr="00132E65">
        <w:rPr>
          <w:rtl/>
        </w:rPr>
        <w:t xml:space="preserve"> الضمير المستتر في « قال » راجع إلى أبي جعفر الثاني </w:t>
      </w:r>
      <w:r w:rsidRPr="00491A5B">
        <w:rPr>
          <w:rStyle w:val="libFootnoteAlaemChar"/>
          <w:rtl/>
        </w:rPr>
        <w:t>عليه‌السلام</w:t>
      </w:r>
      <w:r w:rsidRPr="00132E65">
        <w:rPr>
          <w:rtl/>
        </w:rPr>
        <w:t xml:space="preserve"> ، فالمراد بهذا الإسناد : الطريقان المذكوران إليه </w:t>
      </w:r>
      <w:r w:rsidRPr="00491A5B">
        <w:rPr>
          <w:rStyle w:val="libFootnoteAlaemChar"/>
          <w:rtl/>
        </w:rPr>
        <w:t>عليه‌السلام</w:t>
      </w:r>
      <w:r w:rsidRPr="00132E65">
        <w:rPr>
          <w:rtl/>
        </w:rPr>
        <w:t xml:space="preserve"> في الحديث السابق.</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 قَالَ رَسُولُ اللهِ </w:t>
      </w:r>
      <w:r w:rsidRPr="0093484F">
        <w:rPr>
          <w:rStyle w:val="libAlaemChar"/>
          <w:rFonts w:eastAsiaTheme="minorHAnsi"/>
          <w:rtl/>
        </w:rPr>
        <w:t>صلى‌الله‌عليه‌وآله</w:t>
      </w:r>
      <w:r w:rsidRPr="00132E65">
        <w:rPr>
          <w:rtl/>
          <w:lang w:bidi="fa-IR"/>
        </w:rPr>
        <w:t xml:space="preserve"> لِأَصْحَابِهِ : آمِنُوا بِلَيْلَةِ الْقَدْرِ ، أَنَّهَا </w:t>
      </w:r>
      <w:r>
        <w:rPr>
          <w:rStyle w:val="libFootnotenumChar"/>
          <w:rtl/>
        </w:rPr>
        <w:t>(1)</w:t>
      </w:r>
      <w:r w:rsidRPr="00132E65">
        <w:rPr>
          <w:rtl/>
          <w:lang w:bidi="fa-IR"/>
        </w:rPr>
        <w:t xml:space="preserve"> تَكُونُ لِعَلِيِّ بْنِ أَبِي طَالِبٍ ، وَلِوُلْدِهِ</w:t>
      </w:r>
      <w:r>
        <w:rPr>
          <w:rStyle w:val="libFootnotenumChar"/>
          <w:rtl/>
        </w:rPr>
        <w:t>(2)</w:t>
      </w:r>
      <w:r w:rsidRPr="00132E65">
        <w:rPr>
          <w:rtl/>
          <w:lang w:bidi="fa-IR"/>
        </w:rPr>
        <w:t xml:space="preserve"> الْأَحَدَ عَشَرَ مِنْ بَعْدِي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C41A07">
        <w:rPr>
          <w:rtl/>
        </w:rPr>
        <w:t>1400</w:t>
      </w:r>
      <w:r w:rsidRPr="004325D8">
        <w:rPr>
          <w:rStyle w:val="libBold2Char"/>
          <w:rtl/>
        </w:rPr>
        <w:t xml:space="preserve"> / 13.</w:t>
      </w:r>
      <w:r w:rsidRPr="00132E65">
        <w:rPr>
          <w:rtl/>
          <w:lang w:bidi="fa-IR"/>
        </w:rPr>
        <w:t xml:space="preserve"> و</w:t>
      </w:r>
      <w:r w:rsidR="00491A5B">
        <w:rPr>
          <w:rFonts w:hint="cs"/>
          <w:rtl/>
          <w:lang w:bidi="fa-IR"/>
        </w:rPr>
        <w:t>َ</w:t>
      </w:r>
      <w:r w:rsidRPr="00132E65">
        <w:rPr>
          <w:rtl/>
          <w:lang w:bidi="fa-IR"/>
        </w:rPr>
        <w:t>بِهذَا الْإِسْنَادِ :</w:t>
      </w:r>
    </w:p>
    <w:p w:rsidR="000C39D1" w:rsidRPr="00132E65" w:rsidRDefault="000C39D1" w:rsidP="000C39D1">
      <w:pPr>
        <w:pStyle w:val="libNormal"/>
        <w:rPr>
          <w:rtl/>
          <w:lang w:bidi="fa-IR"/>
        </w:rPr>
      </w:pPr>
      <w:r w:rsidRPr="00132E65">
        <w:rPr>
          <w:rtl/>
          <w:lang w:bidi="fa-IR"/>
        </w:rPr>
        <w:t xml:space="preserve">« أَنَّ أَمِيرَ الْمُؤْمِنِينَ </w:t>
      </w:r>
      <w:r w:rsidRPr="00071CF9">
        <w:rPr>
          <w:rStyle w:val="libAlaemChar"/>
          <w:rtl/>
        </w:rPr>
        <w:t>عليه‌السلام</w:t>
      </w:r>
      <w:r w:rsidRPr="00132E65">
        <w:rPr>
          <w:rtl/>
          <w:lang w:bidi="fa-IR"/>
        </w:rPr>
        <w:t xml:space="preserve"> قَالَ لِأَبِي بَكْرٍ يَوْماً </w:t>
      </w:r>
      <w:r>
        <w:rPr>
          <w:rStyle w:val="libFootnotenumChar"/>
          <w:rtl/>
        </w:rPr>
        <w:t>(5)</w:t>
      </w:r>
      <w:r w:rsidRPr="00132E65">
        <w:rPr>
          <w:rtl/>
          <w:lang w:bidi="fa-IR"/>
        </w:rPr>
        <w:t xml:space="preserve"> : </w:t>
      </w:r>
      <w:r w:rsidRPr="00071CF9">
        <w:rPr>
          <w:rStyle w:val="libAlaemChar"/>
          <w:rtl/>
        </w:rPr>
        <w:t>(</w:t>
      </w:r>
      <w:r w:rsidRPr="00071CF9">
        <w:rPr>
          <w:rStyle w:val="libAieChar"/>
          <w:rtl/>
        </w:rPr>
        <w:t xml:space="preserve"> لا تَحْسَبَنَّ الَّذِينَ قُتِلُوا فِي سَبِيلِ اللهِ أَمْواتاً بَلْ أَحْياءٌ عِنْدَ رَبِّهِمْ يُرْزَقُونَ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و</w:t>
      </w:r>
      <w:r w:rsidR="00491A5B">
        <w:rPr>
          <w:rFonts w:hint="cs"/>
          <w:rtl/>
          <w:lang w:bidi="fa-IR"/>
        </w:rPr>
        <w:t>َ</w:t>
      </w:r>
      <w:r w:rsidRPr="00132E65">
        <w:rPr>
          <w:rtl/>
          <w:lang w:bidi="fa-IR"/>
        </w:rPr>
        <w:t xml:space="preserve">أَشْهَدُ أَنَّ مُحَمَّداً </w:t>
      </w:r>
      <w:r>
        <w:rPr>
          <w:rStyle w:val="libFootnotenumChar"/>
          <w:rtl/>
        </w:rPr>
        <w:t>(7)</w:t>
      </w:r>
      <w:r w:rsidRPr="00132E65">
        <w:rPr>
          <w:rtl/>
          <w:lang w:bidi="fa-IR"/>
        </w:rPr>
        <w:t xml:space="preserve"> رَسُولُ اللهِ مَاتَ شَهِيداً ، و</w:t>
      </w:r>
      <w:r w:rsidR="00491A5B">
        <w:rPr>
          <w:rFonts w:hint="cs"/>
          <w:rtl/>
          <w:lang w:bidi="fa-IR"/>
        </w:rPr>
        <w:t>َ</w:t>
      </w:r>
      <w:r w:rsidRPr="00132E65">
        <w:rPr>
          <w:rtl/>
          <w:lang w:bidi="fa-IR"/>
        </w:rPr>
        <w:t xml:space="preserve">اللهِ لَيَأْتِيَنَّكَ ، فَأَيْقِنْ إِذَا جَاءَكَ فَإِنَّ الشَّيْطَانَ غَيْرُ مُتَخَيِّلٍ </w:t>
      </w:r>
      <w:r>
        <w:rPr>
          <w:rStyle w:val="libFootnotenumChar"/>
          <w:rtl/>
        </w:rPr>
        <w:t>(8)</w:t>
      </w:r>
      <w:r w:rsidRPr="00132E65">
        <w:rPr>
          <w:rtl/>
          <w:lang w:bidi="fa-IR"/>
        </w:rPr>
        <w:t xml:space="preserve"> بِهِ ، فَأَخَذَ عَلِيٌّ </w:t>
      </w:r>
      <w:r w:rsidRPr="00071CF9">
        <w:rPr>
          <w:rStyle w:val="libAlaemChar"/>
          <w:rtl/>
        </w:rPr>
        <w:t>عليه‌السلام</w:t>
      </w:r>
      <w:r w:rsidRPr="00132E65">
        <w:rPr>
          <w:rtl/>
          <w:lang w:bidi="fa-IR"/>
        </w:rPr>
        <w:t xml:space="preserve"> بِيَدِ أَبِي بَكْرٍ ، فَأَرَاهُ النَّبِيَّ </w:t>
      </w:r>
      <w:r w:rsidRPr="0093484F">
        <w:rPr>
          <w:rStyle w:val="libAlaemChar"/>
          <w:rFonts w:eastAsiaTheme="minorHAnsi"/>
          <w:rtl/>
        </w:rPr>
        <w:t>صلى‌الله‌عليه‌وآله</w:t>
      </w:r>
      <w:r w:rsidRPr="00132E65">
        <w:rPr>
          <w:rtl/>
          <w:lang w:bidi="fa-IR"/>
        </w:rPr>
        <w:t xml:space="preserve"> ، فَقَالَ لَهُ </w:t>
      </w:r>
      <w:r>
        <w:rPr>
          <w:rStyle w:val="libFootnotenumChar"/>
          <w:rtl/>
        </w:rPr>
        <w:t>(9)</w:t>
      </w:r>
      <w:r w:rsidRPr="00132E65">
        <w:rPr>
          <w:rtl/>
          <w:lang w:bidi="fa-IR"/>
        </w:rPr>
        <w:t xml:space="preserve"> : يَا أَبَا بَكْرٍ ، آمِنْ بِعَلِيٍّ و</w:t>
      </w:r>
      <w:r w:rsidR="00491A5B">
        <w:rPr>
          <w:rFonts w:hint="cs"/>
          <w:rtl/>
          <w:lang w:bidi="fa-IR"/>
        </w:rPr>
        <w:t>َ</w:t>
      </w:r>
      <w:r w:rsidRPr="00132E65">
        <w:rPr>
          <w:rtl/>
          <w:lang w:bidi="fa-IR"/>
        </w:rPr>
        <w:t>بِأَحَدَ عَشَرَ مِنْ و</w:t>
      </w:r>
      <w:r w:rsidR="00491A5B">
        <w:rPr>
          <w:rFonts w:hint="cs"/>
          <w:rtl/>
          <w:lang w:bidi="fa-IR"/>
        </w:rPr>
        <w:t>ُ</w:t>
      </w:r>
      <w:r w:rsidRPr="00132E65">
        <w:rPr>
          <w:rtl/>
          <w:lang w:bidi="fa-IR"/>
        </w:rPr>
        <w:t xml:space="preserve">لْدِهِ ، أَنَّهُمْ </w:t>
      </w:r>
      <w:r>
        <w:rPr>
          <w:rStyle w:val="libFootnotenumChar"/>
          <w:rtl/>
        </w:rPr>
        <w:t>(10)</w:t>
      </w:r>
      <w:r w:rsidR="00491A5B">
        <w:rPr>
          <w:rtl/>
          <w:lang w:bidi="fa-IR"/>
        </w:rPr>
        <w:t xml:space="preserve"> مِثْلِي إِل</w:t>
      </w:r>
      <w:r w:rsidR="00491A5B">
        <w:rPr>
          <w:rFonts w:hint="cs"/>
          <w:rtl/>
          <w:lang w:bidi="fa-IR"/>
        </w:rPr>
        <w:t>َّ</w:t>
      </w:r>
      <w:r w:rsidR="00491A5B">
        <w:rPr>
          <w:rtl/>
          <w:lang w:bidi="fa-IR"/>
        </w:rPr>
        <w:t>ا</w:t>
      </w:r>
      <w:r w:rsidRPr="00132E65">
        <w:rPr>
          <w:rtl/>
          <w:lang w:bidi="fa-IR"/>
        </w:rPr>
        <w:t xml:space="preserve"> النُّبُوَّةَ ، وَتُبْ إِلَى اللهِ مِمَّا فِي يَدِكَ ؛ فَإِنَّهُ لَاحَقَّ لَكَ فِيهِ »</w:t>
      </w:r>
      <w:r>
        <w:rPr>
          <w:rtl/>
          <w:lang w:bidi="fa-IR"/>
        </w:rPr>
        <w:t>.</w:t>
      </w:r>
      <w:r w:rsidRPr="00132E65">
        <w:rPr>
          <w:rtl/>
          <w:lang w:bidi="fa-IR"/>
        </w:rPr>
        <w:t xml:space="preserve"> قَالَ : « ثُمَّ ذَهَبَ ، فَلَمْ يُرَ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491A5B">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أنّها ، بفتح الهمزة بدل ليلة القدر. وفيه ردّ على من زعم من المخالفين أنّ ليلة القدر لم تبق‌بعد رسول الله </w:t>
      </w:r>
      <w:r w:rsidRPr="00491A5B">
        <w:rPr>
          <w:rStyle w:val="libFootnoteAlaemChar"/>
          <w:rFonts w:eastAsiaTheme="minorHAnsi"/>
          <w:rtl/>
        </w:rPr>
        <w:t>صلى‌الله‌عليه‌وآله</w:t>
      </w:r>
      <w:r w:rsidRPr="00132E65">
        <w:rPr>
          <w:rtl/>
          <w:lang w:bidi="fa-IR"/>
        </w:rPr>
        <w:t xml:space="preserve"> </w:t>
      </w:r>
      <w:r w:rsidRPr="00132E65">
        <w:rPr>
          <w:rtl/>
        </w:rPr>
        <w:t>»</w:t>
      </w:r>
      <w:r>
        <w:rPr>
          <w:rtl/>
        </w:rPr>
        <w:t>.</w:t>
      </w:r>
      <w:r w:rsidR="00491A5B">
        <w:rPr>
          <w:rFonts w:hint="cs"/>
          <w:rtl/>
        </w:rPr>
        <w:t xml:space="preserve">                                  </w:t>
      </w:r>
      <w:r>
        <w:rPr>
          <w:rtl/>
        </w:rPr>
        <w:t>(2).</w:t>
      </w:r>
      <w:r w:rsidRPr="00132E65">
        <w:rPr>
          <w:rtl/>
        </w:rPr>
        <w:t xml:space="preserve"> في الخصال وكمال الدين : « وولده »</w:t>
      </w:r>
      <w:r>
        <w:rPr>
          <w:rtl/>
        </w:rPr>
        <w:t>.</w:t>
      </w:r>
    </w:p>
    <w:p w:rsidR="000C39D1" w:rsidRPr="00132E65" w:rsidRDefault="000C39D1" w:rsidP="000C39D1">
      <w:pPr>
        <w:pStyle w:val="libFootnote0"/>
        <w:rPr>
          <w:rtl/>
          <w:lang w:bidi="fa-IR"/>
        </w:rPr>
      </w:pPr>
      <w:r>
        <w:rPr>
          <w:rtl/>
        </w:rPr>
        <w:t>(3).</w:t>
      </w:r>
      <w:r w:rsidRPr="00132E65">
        <w:rPr>
          <w:rtl/>
        </w:rPr>
        <w:t xml:space="preserve"> في « ج » وحاشية « ب » وكمال الدين : « بعده »</w:t>
      </w:r>
      <w:r>
        <w:rPr>
          <w:rtl/>
        </w:rPr>
        <w:t>.</w:t>
      </w:r>
      <w:r w:rsidRPr="00132E65">
        <w:rPr>
          <w:rtl/>
        </w:rPr>
        <w:t xml:space="preserve"> وفي الإرشاد : « فإنّه ينزل فيها أمر السنة وإنّ لذلك ولاة من بعدي عليّ بن أبي طالب وأحد عشر من ولده » بدل « إنّها تكون</w:t>
      </w:r>
      <w:r>
        <w:rPr>
          <w:rtl/>
        </w:rPr>
        <w:t xml:space="preserve"> - </w:t>
      </w:r>
      <w:r w:rsidRPr="00132E65">
        <w:rPr>
          <w:rtl/>
        </w:rPr>
        <w:t>إلى</w:t>
      </w:r>
      <w:r>
        <w:rPr>
          <w:rtl/>
        </w:rPr>
        <w:t xml:space="preserve"> - </w:t>
      </w:r>
      <w:r w:rsidRPr="00132E65">
        <w:rPr>
          <w:rtl/>
        </w:rPr>
        <w:t>من بعدي »</w:t>
      </w:r>
      <w:r>
        <w:rPr>
          <w:rtl/>
        </w:rPr>
        <w:t>.</w:t>
      </w:r>
    </w:p>
    <w:p w:rsidR="000C39D1" w:rsidRPr="00132E65" w:rsidRDefault="000C39D1" w:rsidP="000C39D1">
      <w:pPr>
        <w:pStyle w:val="libFootnote0"/>
        <w:rPr>
          <w:rtl/>
          <w:lang w:bidi="fa-IR"/>
        </w:rPr>
      </w:pPr>
      <w:r>
        <w:rPr>
          <w:rtl/>
        </w:rPr>
        <w:t>(4).</w:t>
      </w:r>
      <w:r w:rsidRPr="00132E65">
        <w:rPr>
          <w:rtl/>
        </w:rPr>
        <w:t xml:space="preserve"> </w:t>
      </w:r>
      <w:r w:rsidRPr="00491A5B">
        <w:rPr>
          <w:rStyle w:val="libFootnoteBoldChar"/>
          <w:rtl/>
        </w:rPr>
        <w:t>الإرشاد</w:t>
      </w:r>
      <w:r w:rsidRPr="00132E65">
        <w:rPr>
          <w:rtl/>
        </w:rPr>
        <w:t xml:space="preserve"> ، ج 2 ، ص 345 ، بسنده عن الكليني. </w:t>
      </w:r>
      <w:r w:rsidRPr="00491A5B">
        <w:rPr>
          <w:rStyle w:val="libFootnoteBoldChar"/>
          <w:rtl/>
        </w:rPr>
        <w:t>الخصال</w:t>
      </w:r>
      <w:r w:rsidRPr="00132E65">
        <w:rPr>
          <w:rtl/>
        </w:rPr>
        <w:t xml:space="preserve"> ، ص 480 ، أبواب الاثني عشر ، ح 48 ، بسنده عن محمّد بن يحيى العطّار ، عن أحمد بن محمّد بن عيسى ، عن الحسن بن العبّاس بن الحريش الرازي. </w:t>
      </w:r>
      <w:r w:rsidRPr="00491A5B">
        <w:rPr>
          <w:rStyle w:val="libFootnoteBoldChar"/>
          <w:rtl/>
        </w:rPr>
        <w:t>كمال الدين</w:t>
      </w:r>
      <w:r w:rsidRPr="00132E65">
        <w:rPr>
          <w:rtl/>
        </w:rPr>
        <w:t xml:space="preserve"> ، ص 280 ، ح 30 ، بسنده عن محمّد بن يحيى العطّار ، عن سهل بن زياد الآدمي وأحمد بن محمّد بن عيسى ، عن الحسن بن العبّاس بن حريش الرازي ، عن أبي جعفر الثانى ، عن أبائه ، عن أمير المؤمنين </w:t>
      </w:r>
      <w:r w:rsidRPr="00491A5B">
        <w:rPr>
          <w:rStyle w:val="libFootnoteAlaemChar"/>
          <w:rtl/>
        </w:rPr>
        <w:t>عليهم‌السلام</w:t>
      </w:r>
      <w:r w:rsidRPr="00132E65">
        <w:rPr>
          <w:rtl/>
        </w:rPr>
        <w:t xml:space="preserve"> </w:t>
      </w:r>
      <w:r w:rsidR="00AB4C17">
        <w:rPr>
          <w:rFonts w:hint="cs"/>
          <w:rtl/>
        </w:rPr>
        <w:t>.</w:t>
      </w:r>
      <w:r w:rsidRPr="009D1ACE">
        <w:rPr>
          <w:rStyle w:val="libFootnoteBoldChar"/>
          <w:rtl/>
        </w:rPr>
        <w:t>الوافي</w:t>
      </w:r>
      <w:r w:rsidRPr="00132E65">
        <w:rPr>
          <w:rtl/>
        </w:rPr>
        <w:t xml:space="preserve"> ، ج 2 ، ص 310 ، ح 768.</w:t>
      </w:r>
    </w:p>
    <w:p w:rsidR="000C39D1" w:rsidRPr="00132E65" w:rsidRDefault="000C39D1" w:rsidP="000C39D1">
      <w:pPr>
        <w:pStyle w:val="libFootnote0"/>
        <w:rPr>
          <w:rtl/>
          <w:lang w:bidi="fa-IR"/>
        </w:rPr>
      </w:pPr>
      <w:r>
        <w:rPr>
          <w:rtl/>
        </w:rPr>
        <w:t>(5).</w:t>
      </w:r>
      <w:r w:rsidRPr="00132E65">
        <w:rPr>
          <w:rtl/>
        </w:rPr>
        <w:t xml:space="preserve"> في « بح » </w:t>
      </w:r>
      <w:r>
        <w:rPr>
          <w:rtl/>
        </w:rPr>
        <w:t xml:space="preserve">: - </w:t>
      </w:r>
      <w:r w:rsidRPr="00132E65">
        <w:rPr>
          <w:rtl/>
        </w:rPr>
        <w:t>« يوماً »</w:t>
      </w:r>
      <w:r>
        <w:rPr>
          <w:rtl/>
        </w:rPr>
        <w:t>.</w:t>
      </w:r>
    </w:p>
    <w:p w:rsidR="000C39D1" w:rsidRPr="00132E65" w:rsidRDefault="000C39D1" w:rsidP="000C39D1">
      <w:pPr>
        <w:pStyle w:val="libFootnote0"/>
        <w:rPr>
          <w:rtl/>
          <w:lang w:bidi="fa-IR"/>
        </w:rPr>
      </w:pPr>
      <w:r>
        <w:rPr>
          <w:rtl/>
        </w:rPr>
        <w:t>(6).</w:t>
      </w:r>
      <w:r w:rsidRPr="00132E65">
        <w:rPr>
          <w:rtl/>
        </w:rPr>
        <w:t xml:space="preserve"> آل عمران </w:t>
      </w:r>
      <w:r>
        <w:rPr>
          <w:rtl/>
        </w:rPr>
        <w:t>(3).</w:t>
      </w:r>
      <w:r w:rsidRPr="00132E65">
        <w:rPr>
          <w:rtl/>
        </w:rPr>
        <w:t xml:space="preserve"> : 169. وفي « بح » </w:t>
      </w:r>
      <w:r w:rsidRPr="00AB4C17">
        <w:rPr>
          <w:rtl/>
        </w:rPr>
        <w:t>والوافي</w:t>
      </w:r>
      <w:r w:rsidRPr="00132E65">
        <w:rPr>
          <w:rtl/>
        </w:rPr>
        <w:t xml:space="preserve"> :</w:t>
      </w:r>
      <w:r>
        <w:rPr>
          <w:rtl/>
        </w:rPr>
        <w:t xml:space="preserve"> + </w:t>
      </w:r>
      <w:r w:rsidRPr="00132E65">
        <w:rPr>
          <w:rtl/>
        </w:rPr>
        <w:t>« فرحين »</w:t>
      </w:r>
      <w:r>
        <w:rPr>
          <w:rtl/>
        </w:rPr>
        <w:t>.</w:t>
      </w:r>
    </w:p>
    <w:p w:rsidR="000C39D1" w:rsidRPr="00132E65" w:rsidRDefault="000C39D1" w:rsidP="000C39D1">
      <w:pPr>
        <w:pStyle w:val="libFootnote0"/>
        <w:rPr>
          <w:rtl/>
          <w:lang w:bidi="fa-IR"/>
        </w:rPr>
      </w:pPr>
      <w:r>
        <w:rPr>
          <w:rtl/>
        </w:rPr>
        <w:t>(7).</w:t>
      </w:r>
      <w:r w:rsidRPr="00132E65">
        <w:rPr>
          <w:rtl/>
        </w:rPr>
        <w:t xml:space="preserve"> في « ب ، ج ، ض ، ف ، بس » و</w:t>
      </w:r>
      <w:r w:rsidRPr="009D1ACE">
        <w:rPr>
          <w:rStyle w:val="libFootnoteBoldChar"/>
          <w:rtl/>
        </w:rPr>
        <w:t>الوافي</w:t>
      </w:r>
      <w:r w:rsidRPr="00132E65">
        <w:rPr>
          <w:rtl/>
        </w:rPr>
        <w:t xml:space="preserve"> </w:t>
      </w:r>
      <w:r>
        <w:rPr>
          <w:rtl/>
        </w:rPr>
        <w:t xml:space="preserve">: - </w:t>
      </w:r>
      <w:r w:rsidRPr="00132E65">
        <w:rPr>
          <w:rtl/>
        </w:rPr>
        <w:t>« محمّداً »</w:t>
      </w:r>
      <w:r>
        <w:rPr>
          <w:rtl/>
        </w:rPr>
        <w:t>.</w:t>
      </w:r>
    </w:p>
    <w:p w:rsidR="000C39D1" w:rsidRPr="00132E65" w:rsidRDefault="000C39D1" w:rsidP="000C39D1">
      <w:pPr>
        <w:pStyle w:val="libFootnote0"/>
        <w:rPr>
          <w:rtl/>
          <w:lang w:bidi="fa-IR"/>
        </w:rPr>
      </w:pPr>
      <w:r>
        <w:rPr>
          <w:rtl/>
        </w:rPr>
        <w:t>(8).</w:t>
      </w:r>
      <w:r w:rsidRPr="00132E65">
        <w:rPr>
          <w:rtl/>
        </w:rPr>
        <w:t xml:space="preserve"> في « بر ، بف » وحاشية « ج ، ف » و</w:t>
      </w:r>
      <w:r w:rsidRPr="009D1ACE">
        <w:rPr>
          <w:rStyle w:val="libFootnoteBoldChar"/>
          <w:rtl/>
        </w:rPr>
        <w:t>الوافي</w:t>
      </w:r>
      <w:r w:rsidRPr="00132E65">
        <w:rPr>
          <w:rtl/>
        </w:rPr>
        <w:t xml:space="preserve"> : « متمثّل »</w:t>
      </w:r>
      <w:r>
        <w:rPr>
          <w:rtl/>
        </w:rPr>
        <w:t>.</w:t>
      </w:r>
    </w:p>
    <w:p w:rsidR="000C39D1" w:rsidRPr="00132E65" w:rsidRDefault="000C39D1" w:rsidP="000C39D1">
      <w:pPr>
        <w:pStyle w:val="libFootnote0"/>
        <w:rPr>
          <w:rtl/>
          <w:lang w:bidi="fa-IR"/>
        </w:rPr>
      </w:pPr>
      <w:r>
        <w:rPr>
          <w:rtl/>
        </w:rPr>
        <w:t>(9).</w:t>
      </w:r>
      <w:r w:rsidRPr="00132E65">
        <w:rPr>
          <w:rtl/>
        </w:rPr>
        <w:t xml:space="preserve"> في « ب ، بس »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مرآة العقول</w:t>
      </w:r>
      <w:r w:rsidRPr="00132E65">
        <w:rPr>
          <w:rtl/>
        </w:rPr>
        <w:t xml:space="preserve"> : « قوله : أنّهم ، بفتح الهمزة بدل « عليّ وأحد عشر »</w:t>
      </w:r>
      <w:r>
        <w:rPr>
          <w:rtl/>
        </w:rPr>
        <w:t>.</w:t>
      </w:r>
      <w:r w:rsidRPr="00132E65">
        <w:rPr>
          <w:rtl/>
        </w:rPr>
        <w:t xml:space="preserve"> ويمكن أن يقرأ بكسر الهمزة ليكون استينافاً بيانياً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مرآة العقول</w:t>
      </w:r>
      <w:r w:rsidRPr="00132E65">
        <w:rPr>
          <w:rtl/>
        </w:rPr>
        <w:t xml:space="preserve"> : « ثمّ ذهب ، أي الرسول </w:t>
      </w:r>
      <w:r w:rsidRPr="00AB4C17">
        <w:rPr>
          <w:rStyle w:val="libFootnoteAlaemChar"/>
          <w:rFonts w:eastAsiaTheme="minorHAnsi"/>
          <w:rtl/>
        </w:rPr>
        <w:t>صلى‌الله‌عليه‌وآله</w:t>
      </w:r>
      <w:r w:rsidRPr="00132E65">
        <w:rPr>
          <w:rtl/>
        </w:rPr>
        <w:t>. فلم يُر ، على المجهول ، أي لم يره غير المعصومين. وقيل : ضمير « ذهب » لأبي بكر ، وكذا ضمير « لم ير » على بناء المعلوم ، أي لم يختر الإيمان والتوبة. ولا يخفى بُعده »</w:t>
      </w:r>
      <w:r>
        <w:rPr>
          <w:rtl/>
        </w:rPr>
        <w:t>.</w:t>
      </w:r>
    </w:p>
    <w:p w:rsidR="000C39D1" w:rsidRPr="00132E65" w:rsidRDefault="000C39D1" w:rsidP="000C39D1">
      <w:pPr>
        <w:pStyle w:val="libFootnote0"/>
        <w:rPr>
          <w:rtl/>
          <w:lang w:bidi="ar-IQ"/>
        </w:rPr>
      </w:pPr>
      <w:r>
        <w:rPr>
          <w:rtl/>
        </w:rPr>
        <w:t>(12).</w:t>
      </w:r>
      <w:r w:rsidRPr="00132E65">
        <w:rPr>
          <w:rtl/>
        </w:rPr>
        <w:t xml:space="preserve"> </w:t>
      </w:r>
      <w:r w:rsidRPr="007A1104">
        <w:rPr>
          <w:rStyle w:val="libFootnoteBoldChar"/>
          <w:rtl/>
        </w:rPr>
        <w:t>بصائر الدرجات</w:t>
      </w:r>
      <w:r w:rsidRPr="00132E65">
        <w:rPr>
          <w:rtl/>
        </w:rPr>
        <w:t xml:space="preserve"> ، ص 280 ، ضمن ح 15 عن أحمد بن إسحاق ، عن الحسن بن عبّاس بن حريش ، مع </w:t>
      </w:r>
      <w:r w:rsidR="00AB4C17">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C41A07">
        <w:rPr>
          <w:rtl/>
        </w:rPr>
        <w:t>1401</w:t>
      </w:r>
      <w:r w:rsidRPr="004325D8">
        <w:rPr>
          <w:rStyle w:val="libBold2Char"/>
          <w:rtl/>
        </w:rPr>
        <w:t xml:space="preserve"> / 14.</w:t>
      </w:r>
      <w:r w:rsidRPr="00132E65">
        <w:rPr>
          <w:rtl/>
          <w:lang w:bidi="fa-IR"/>
        </w:rPr>
        <w:t xml:space="preserve"> أَبُو عَلِيٍّ الْأَشْعَرِيُّ ، عَنِ الْحُسَيْنِ بْنِ عُبَيْدِ اللهِ </w:t>
      </w:r>
      <w:r>
        <w:rPr>
          <w:rStyle w:val="libFootnotenumChar"/>
          <w:rtl/>
        </w:rPr>
        <w:t>(1)</w:t>
      </w:r>
      <w:r w:rsidRPr="00132E65">
        <w:rPr>
          <w:rtl/>
          <w:lang w:bidi="fa-IR"/>
        </w:rPr>
        <w:t xml:space="preserve"> ، عَنِ الْحَسَنِ بْنِ مُوسَى الْخَشَّابِ ، عَنْ عَلِيِّ بْنِ سَمَاعَةَ </w:t>
      </w:r>
      <w:r>
        <w:rPr>
          <w:rStyle w:val="libFootnotenumChar"/>
          <w:rtl/>
        </w:rPr>
        <w:t>(2)</w:t>
      </w:r>
      <w:r w:rsidRPr="00132E65">
        <w:rPr>
          <w:rtl/>
          <w:lang w:bidi="fa-IR"/>
        </w:rPr>
        <w:t xml:space="preserve"> ، عَنْ عَلِيِّ بْنِ الْحَسَنِ بْنِ رِبَاطٍ </w:t>
      </w:r>
      <w:r>
        <w:rPr>
          <w:rStyle w:val="libFootnotenumChar"/>
          <w:rtl/>
        </w:rPr>
        <w:t>(3)</w:t>
      </w:r>
      <w:r w:rsidRPr="00132E65">
        <w:rPr>
          <w:rtl/>
          <w:lang w:bidi="fa-IR"/>
        </w:rPr>
        <w:t xml:space="preserve"> ، عَنِ </w:t>
      </w:r>
      <w:r>
        <w:rPr>
          <w:rStyle w:val="libFootnotenumChar"/>
          <w:rtl/>
        </w:rPr>
        <w:t>(4)</w:t>
      </w:r>
      <w:r w:rsidRPr="00132E65">
        <w:rPr>
          <w:rtl/>
          <w:lang w:bidi="fa-IR"/>
        </w:rPr>
        <w:t xml:space="preserve"> ابْنِ أُذَيْنَةَ ، عَنْ زُرَارَةَ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الِاثْنَا عَشَرَ الْإِمَامَ </w:t>
      </w:r>
      <w:r>
        <w:rPr>
          <w:rStyle w:val="libFootnotenumChar"/>
          <w:rtl/>
        </w:rPr>
        <w:t>(5)</w:t>
      </w:r>
      <w:r w:rsidRPr="00132E65">
        <w:rPr>
          <w:rtl/>
          <w:lang w:bidi="fa-IR"/>
        </w:rPr>
        <w:t xml:space="preserve"> مِنْ آلِ مُحَمَّدٍ كُلُّهُمْ مُحَدَّثٌ مِنْ و</w:t>
      </w:r>
      <w:r w:rsidR="00983D52">
        <w:rPr>
          <w:rFonts w:hint="cs"/>
          <w:rtl/>
          <w:lang w:bidi="fa-IR"/>
        </w:rPr>
        <w:t>ُ</w:t>
      </w:r>
      <w:r w:rsidRPr="00132E65">
        <w:rPr>
          <w:rtl/>
          <w:lang w:bidi="fa-IR"/>
        </w:rPr>
        <w:t xml:space="preserve">لْدِ رَسُولِ اللهِ </w:t>
      </w:r>
      <w:r w:rsidRPr="0093484F">
        <w:rPr>
          <w:rStyle w:val="libAlaemChar"/>
          <w:rFonts w:eastAsiaTheme="minorHAnsi"/>
          <w:rtl/>
        </w:rPr>
        <w:t>صلى‌الله‌عليه‌وآله</w:t>
      </w:r>
      <w:r w:rsidRPr="00132E65">
        <w:rPr>
          <w:rtl/>
          <w:lang w:bidi="fa-IR"/>
        </w:rPr>
        <w:t xml:space="preserve"> و</w:t>
      </w:r>
      <w:r w:rsidR="00983D52">
        <w:rPr>
          <w:rFonts w:hint="cs"/>
          <w:rtl/>
          <w:lang w:bidi="fa-IR"/>
        </w:rPr>
        <w:t xml:space="preserve">َ </w:t>
      </w:r>
      <w:r w:rsidR="00983D52">
        <w:rPr>
          <w:rtl/>
          <w:lang w:bidi="fa-IR"/>
        </w:rPr>
        <w:t>و</w:t>
      </w:r>
      <w:r w:rsidR="00983D52">
        <w:rPr>
          <w:rFonts w:hint="cs"/>
          <w:rtl/>
          <w:lang w:bidi="fa-IR"/>
        </w:rPr>
        <w:t>ُ</w:t>
      </w:r>
      <w:r w:rsidRPr="00132E65">
        <w:rPr>
          <w:rtl/>
          <w:lang w:bidi="fa-IR"/>
        </w:rPr>
        <w:t xml:space="preserve">لْدِ عَلِيِّ بْنِ أَبِي طَالِبٍ </w:t>
      </w:r>
      <w:r w:rsidRPr="00071CF9">
        <w:rPr>
          <w:rStyle w:val="libAlaemChar"/>
          <w:rtl/>
        </w:rPr>
        <w:t>عليه‌السلام</w:t>
      </w:r>
      <w:r w:rsidRPr="00132E65">
        <w:rPr>
          <w:rtl/>
          <w:lang w:bidi="fa-IR"/>
        </w:rPr>
        <w:t xml:space="preserve"> ، فَرَسُولُ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(6)</w:t>
      </w:r>
      <w:r w:rsidRPr="00132E65">
        <w:rPr>
          <w:rtl/>
          <w:lang w:bidi="fa-IR"/>
        </w:rPr>
        <w:t xml:space="preserve"> وَعَلِيٌّ </w:t>
      </w:r>
      <w:r w:rsidRPr="00071CF9">
        <w:rPr>
          <w:rStyle w:val="libAlaemChar"/>
          <w:rtl/>
        </w:rPr>
        <w:t>عليهما‌السلام</w:t>
      </w:r>
      <w:r w:rsidRPr="00132E65">
        <w:rPr>
          <w:rtl/>
          <w:lang w:bidi="fa-IR"/>
        </w:rPr>
        <w:t xml:space="preserve"> هُمَا الْوَالِدَانِ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C41A07">
        <w:rPr>
          <w:rtl/>
        </w:rPr>
        <w:t>1402</w:t>
      </w:r>
      <w:r w:rsidRPr="004325D8">
        <w:rPr>
          <w:rStyle w:val="libBold2Char"/>
          <w:rtl/>
        </w:rPr>
        <w:t xml:space="preserve"> / 15.</w:t>
      </w:r>
      <w:r w:rsidRPr="00132E65">
        <w:rPr>
          <w:rtl/>
          <w:lang w:bidi="fa-IR"/>
        </w:rPr>
        <w:t xml:space="preserve"> عَلِيُّ بْنُ إِبْرَاهِيمَ ، عَنْ أَبِيهِ ، عَنِ ابْنِ أَبِي عُمَيْرٍ </w:t>
      </w:r>
      <w:r>
        <w:rPr>
          <w:rStyle w:val="libFootnotenumChar"/>
          <w:rtl/>
        </w:rPr>
        <w:t>(8)</w:t>
      </w:r>
      <w:r w:rsidRPr="00132E65">
        <w:rPr>
          <w:rtl/>
          <w:lang w:bidi="fa-IR"/>
        </w:rPr>
        <w:t xml:space="preserve"> ، عَنْ سَعِيدِ بْنِ غَزْوَانَ ، عَنْ‌</w:t>
      </w:r>
    </w:p>
    <w:p w:rsidR="000C39D1" w:rsidRPr="00132E65" w:rsidRDefault="000C39D1" w:rsidP="000C39D1">
      <w:pPr>
        <w:pStyle w:val="libLine"/>
        <w:rPr>
          <w:rtl/>
          <w:lang w:bidi="fa-IR"/>
        </w:rPr>
      </w:pPr>
      <w:r w:rsidRPr="00132E65">
        <w:rPr>
          <w:rtl/>
          <w:lang w:bidi="fa-IR"/>
        </w:rPr>
        <w:t>__________________</w:t>
      </w:r>
    </w:p>
    <w:p w:rsidR="000C39D1" w:rsidRPr="00132E65" w:rsidRDefault="00983D52" w:rsidP="000C39D1">
      <w:pPr>
        <w:pStyle w:val="libFootnote0"/>
        <w:rPr>
          <w:rtl/>
          <w:lang w:bidi="fa-IR"/>
        </w:rPr>
      </w:pPr>
      <w:r>
        <w:rPr>
          <w:rFonts w:hint="cs"/>
          <w:rtl/>
        </w:rPr>
        <w:t>=</w:t>
      </w:r>
      <w:r w:rsidR="000C39D1" w:rsidRPr="00132E65">
        <w:rPr>
          <w:rtl/>
        </w:rPr>
        <w:t xml:space="preserve">اختلاف يسير </w:t>
      </w:r>
      <w:r>
        <w:rPr>
          <w:rFonts w:hint="cs"/>
          <w:rtl/>
        </w:rPr>
        <w:t>.</w:t>
      </w:r>
      <w:r w:rsidR="000C39D1" w:rsidRPr="009D1ACE">
        <w:rPr>
          <w:rStyle w:val="libFootnoteBoldChar"/>
          <w:rtl/>
        </w:rPr>
        <w:t>الوافي</w:t>
      </w:r>
      <w:r w:rsidR="000C39D1" w:rsidRPr="00132E65">
        <w:rPr>
          <w:rtl/>
        </w:rPr>
        <w:t xml:space="preserve"> ، ج 2 ، ص 310 ، ح 769.</w:t>
      </w:r>
    </w:p>
    <w:p w:rsidR="000C39D1" w:rsidRPr="00132E65" w:rsidRDefault="000C39D1" w:rsidP="000C39D1">
      <w:pPr>
        <w:pStyle w:val="libFootnote0"/>
        <w:rPr>
          <w:rtl/>
          <w:lang w:bidi="fa-IR"/>
        </w:rPr>
      </w:pPr>
      <w:r>
        <w:rPr>
          <w:rtl/>
        </w:rPr>
        <w:t>(1).</w:t>
      </w:r>
      <w:r w:rsidRPr="00132E65">
        <w:rPr>
          <w:rtl/>
        </w:rPr>
        <w:t xml:space="preserve"> هكذا في « حاشية « بف » و</w:t>
      </w:r>
      <w:r w:rsidRPr="009D1ACE">
        <w:rPr>
          <w:rStyle w:val="libFootnoteBoldChar"/>
          <w:rtl/>
        </w:rPr>
        <w:t>الوافي</w:t>
      </w:r>
      <w:r w:rsidRPr="00132E65">
        <w:rPr>
          <w:rtl/>
        </w:rPr>
        <w:t>. وفي « ب ، ج ، ض ، ف ، بح ، بس ، بف » والمطبوع : « الحسن بن عبيد الله »</w:t>
      </w:r>
      <w:r>
        <w:rPr>
          <w:rtl/>
        </w:rPr>
        <w:t>.</w:t>
      </w:r>
      <w:r w:rsidRPr="00132E65">
        <w:rPr>
          <w:rtl/>
        </w:rPr>
        <w:t xml:space="preserve"> وفي « بر » : « الحسن بن عبد الله »</w:t>
      </w:r>
      <w:r>
        <w:rPr>
          <w:rtl/>
        </w:rPr>
        <w:t>.</w:t>
      </w:r>
    </w:p>
    <w:p w:rsidR="000C39D1" w:rsidRPr="008210F7" w:rsidRDefault="000C39D1" w:rsidP="00E55206">
      <w:pPr>
        <w:pStyle w:val="libFootnote0"/>
        <w:rPr>
          <w:rtl/>
        </w:rPr>
      </w:pPr>
      <w:r w:rsidRPr="008210F7">
        <w:rPr>
          <w:rtl/>
        </w:rPr>
        <w:t>والصواب ما أثبتناه ؛ فقد تقدّم في ذيل ح 1194 ، أنّ الحسين بن عبيد الله بن سهل روى عنه أحمد بن إدريس المعبّر عنه هنا بأبي عليّ الأشعري.</w:t>
      </w:r>
    </w:p>
    <w:p w:rsidR="000C39D1" w:rsidRPr="008210F7" w:rsidRDefault="000C39D1" w:rsidP="00E55206">
      <w:pPr>
        <w:pStyle w:val="libFootnote0"/>
        <w:rPr>
          <w:rtl/>
        </w:rPr>
      </w:pPr>
      <w:r w:rsidRPr="008210F7">
        <w:rPr>
          <w:rtl/>
        </w:rPr>
        <w:t xml:space="preserve">يؤيّد ذلك أنّ الخبر أورده الشيخ الصدوق في </w:t>
      </w:r>
      <w:r w:rsidRPr="00983D52">
        <w:rPr>
          <w:rStyle w:val="libFootnoteBoldChar"/>
          <w:rtl/>
        </w:rPr>
        <w:t>الخصال</w:t>
      </w:r>
      <w:r w:rsidRPr="008210F7">
        <w:rPr>
          <w:rtl/>
        </w:rPr>
        <w:t xml:space="preserve"> ، ص 480 ، ح 49 ، </w:t>
      </w:r>
      <w:r w:rsidRPr="00983D52">
        <w:rPr>
          <w:rStyle w:val="libFootnoteBoldChar"/>
          <w:rtl/>
        </w:rPr>
        <w:t>وعيون الأخبار</w:t>
      </w:r>
      <w:r w:rsidRPr="008210F7">
        <w:rPr>
          <w:rtl/>
        </w:rPr>
        <w:t xml:space="preserve"> ، ج 1 ، ص 56 ، ح 24 </w:t>
      </w:r>
      <w:r>
        <w:rPr>
          <w:rtl/>
        </w:rPr>
        <w:t>-</w:t>
      </w:r>
      <w:r w:rsidRPr="008210F7">
        <w:rPr>
          <w:rtl/>
        </w:rPr>
        <w:t xml:space="preserve"> نقلاً من المصنّف باختلاف في الألفاظ </w:t>
      </w:r>
      <w:r>
        <w:rPr>
          <w:rtl/>
        </w:rPr>
        <w:t>-</w:t>
      </w:r>
      <w:r w:rsidRPr="008210F7">
        <w:rPr>
          <w:rtl/>
        </w:rPr>
        <w:t xml:space="preserve"> وفيهما : « الحسين بن عبيد الله » ، وأورده الشيخ الطوسي في الغيبة ، ص 151 ، ح 112 </w:t>
      </w:r>
      <w:r>
        <w:rPr>
          <w:rtl/>
        </w:rPr>
        <w:t>-</w:t>
      </w:r>
      <w:r w:rsidRPr="008210F7">
        <w:rPr>
          <w:rtl/>
        </w:rPr>
        <w:t xml:space="preserve"> بعين الألفاظ </w:t>
      </w:r>
      <w:r>
        <w:rPr>
          <w:rtl/>
        </w:rPr>
        <w:t>-</w:t>
      </w:r>
      <w:r w:rsidRPr="008210F7">
        <w:rPr>
          <w:rtl/>
        </w:rPr>
        <w:t xml:space="preserve"> وفيه : « الحسين بن عبد الله ».</w:t>
      </w:r>
    </w:p>
    <w:p w:rsidR="000C39D1" w:rsidRPr="00132E65" w:rsidRDefault="000C39D1" w:rsidP="000C39D1">
      <w:pPr>
        <w:pStyle w:val="libFootnote0"/>
        <w:rPr>
          <w:rtl/>
          <w:lang w:bidi="fa-IR"/>
        </w:rPr>
      </w:pPr>
      <w:r>
        <w:rPr>
          <w:rtl/>
        </w:rPr>
        <w:t>(2).</w:t>
      </w:r>
      <w:r w:rsidRPr="00132E65">
        <w:rPr>
          <w:rtl/>
        </w:rPr>
        <w:t xml:space="preserve"> في </w:t>
      </w:r>
      <w:r w:rsidRPr="00983D52">
        <w:rPr>
          <w:rStyle w:val="libFootnoteBoldChar"/>
          <w:rtl/>
        </w:rPr>
        <w:t>الغيبة للطوسي</w:t>
      </w:r>
      <w:r w:rsidRPr="00132E65">
        <w:rPr>
          <w:rtl/>
        </w:rPr>
        <w:t xml:space="preserve"> : « الحسن بن سماعة »</w:t>
      </w:r>
      <w:r>
        <w:rPr>
          <w:rtl/>
        </w:rPr>
        <w:t>.</w:t>
      </w:r>
      <w:r w:rsidRPr="00132E65">
        <w:rPr>
          <w:rtl/>
        </w:rPr>
        <w:t xml:space="preserve"> وهو الظاهر ، والمراد به الحسن بن محمّد بن سماعة ؛ فقد روى‌الحسن بن محمّد بن سماعة كتاب عليّ بن الحسن بن رباط وتكرّرت روايته عنه في الأسناد والطرق. راجع : </w:t>
      </w:r>
      <w:r w:rsidRPr="00983D52">
        <w:rPr>
          <w:rStyle w:val="libFootnoteBoldChar"/>
          <w:rtl/>
        </w:rPr>
        <w:t>رجال النجاشي</w:t>
      </w:r>
      <w:r w:rsidRPr="00132E65">
        <w:rPr>
          <w:rtl/>
        </w:rPr>
        <w:t xml:space="preserve"> ، ص 130 ، الرقم 334 ؛ وص 251 ، الرقم 659 ، ص 408 ، الرقم 1086 ؛ </w:t>
      </w:r>
      <w:r w:rsidRPr="00983D52">
        <w:rPr>
          <w:rStyle w:val="libFootnoteBoldChar"/>
          <w:rtl/>
        </w:rPr>
        <w:t>معجم رجال الحديث</w:t>
      </w:r>
      <w:r w:rsidRPr="00132E65">
        <w:rPr>
          <w:rtl/>
        </w:rPr>
        <w:t xml:space="preserve"> ، ج 5 ، ص 378 ، ص 385 ، ج 22 ، ص 388.</w:t>
      </w:r>
    </w:p>
    <w:p w:rsidR="000C39D1" w:rsidRPr="00132E65" w:rsidRDefault="000C39D1" w:rsidP="000C39D1">
      <w:pPr>
        <w:pStyle w:val="libFootnote0"/>
        <w:rPr>
          <w:rtl/>
          <w:lang w:bidi="fa-IR"/>
        </w:rPr>
      </w:pPr>
      <w:r>
        <w:rPr>
          <w:rtl/>
        </w:rPr>
        <w:t>(3).</w:t>
      </w:r>
      <w:r w:rsidRPr="00132E65">
        <w:rPr>
          <w:rtl/>
        </w:rPr>
        <w:t xml:space="preserve"> في الخصال والعيون :</w:t>
      </w:r>
      <w:r>
        <w:rPr>
          <w:rtl/>
        </w:rPr>
        <w:t xml:space="preserve"> + </w:t>
      </w:r>
      <w:r w:rsidRPr="00132E65">
        <w:rPr>
          <w:rtl/>
        </w:rPr>
        <w:t>« عن أبيه » ، واحتمال زيادته غير منفيّ ؛ فإنّه لم يثبت توسّط الحسن بن رباط البجلي والد عليّ ، بين ولَده وبين ابن ا</w:t>
      </w:r>
      <w:r w:rsidR="00983D52">
        <w:rPr>
          <w:rFonts w:hint="cs"/>
          <w:rtl/>
        </w:rPr>
        <w:t>ُ</w:t>
      </w:r>
      <w:r w:rsidRPr="00132E65">
        <w:rPr>
          <w:rtl/>
        </w:rPr>
        <w:t>ذينة المراد منه عمر بن ا</w:t>
      </w:r>
      <w:r w:rsidR="00983D52">
        <w:rPr>
          <w:rFonts w:hint="cs"/>
          <w:rtl/>
        </w:rPr>
        <w:t>ُ</w:t>
      </w:r>
      <w:r w:rsidRPr="00132E65">
        <w:rPr>
          <w:rtl/>
        </w:rPr>
        <w:t>ذينة.</w:t>
      </w:r>
    </w:p>
    <w:tbl>
      <w:tblPr>
        <w:tblStyle w:val="TableGrid"/>
        <w:bidiVisual/>
        <w:tblW w:w="0" w:type="auto"/>
        <w:tblLook w:val="04A0" w:firstRow="1" w:lastRow="0" w:firstColumn="1" w:lastColumn="0" w:noHBand="0" w:noVBand="1"/>
      </w:tblPr>
      <w:tblGrid>
        <w:gridCol w:w="4261"/>
        <w:gridCol w:w="4262"/>
      </w:tblGrid>
      <w:tr w:rsidR="00983D52" w:rsidTr="00983D52">
        <w:tc>
          <w:tcPr>
            <w:tcW w:w="4261" w:type="dxa"/>
          </w:tcPr>
          <w:p w:rsidR="00983D52" w:rsidRDefault="00983D52" w:rsidP="000C39D1">
            <w:pPr>
              <w:pStyle w:val="libFootnote0"/>
              <w:rPr>
                <w:rtl/>
              </w:rPr>
            </w:pPr>
            <w:r>
              <w:rPr>
                <w:rtl/>
              </w:rPr>
              <w:t>(4).</w:t>
            </w:r>
            <w:r w:rsidRPr="00132E65">
              <w:rPr>
                <w:rtl/>
              </w:rPr>
              <w:t xml:space="preserve"> في الإرشاد :</w:t>
            </w:r>
            <w:r>
              <w:rPr>
                <w:rtl/>
              </w:rPr>
              <w:t xml:space="preserve"> + </w:t>
            </w:r>
            <w:r w:rsidRPr="00132E65">
              <w:rPr>
                <w:rtl/>
              </w:rPr>
              <w:t>« عمر »</w:t>
            </w:r>
            <w:r>
              <w:rPr>
                <w:rtl/>
              </w:rPr>
              <w:t>.</w:t>
            </w:r>
          </w:p>
        </w:tc>
        <w:tc>
          <w:tcPr>
            <w:tcW w:w="4262" w:type="dxa"/>
          </w:tcPr>
          <w:p w:rsidR="00983D52" w:rsidRDefault="00983D52" w:rsidP="000C39D1">
            <w:pPr>
              <w:pStyle w:val="libFootnote0"/>
              <w:rPr>
                <w:rtl/>
              </w:rPr>
            </w:pPr>
            <w:r>
              <w:rPr>
                <w:rtl/>
              </w:rPr>
              <w:t>(5).</w:t>
            </w:r>
            <w:r w:rsidRPr="00132E65">
              <w:rPr>
                <w:rtl/>
              </w:rPr>
              <w:t xml:space="preserve"> في الإرشاد : « الأئمّة »</w:t>
            </w:r>
            <w:r>
              <w:rPr>
                <w:rtl/>
              </w:rPr>
              <w:t>.</w:t>
            </w:r>
          </w:p>
        </w:tc>
      </w:tr>
    </w:tbl>
    <w:p w:rsidR="000C39D1" w:rsidRPr="00132E65" w:rsidRDefault="000C39D1" w:rsidP="000C39D1">
      <w:pPr>
        <w:pStyle w:val="libFootnote0"/>
        <w:rPr>
          <w:rtl/>
          <w:lang w:bidi="fa-IR"/>
        </w:rPr>
      </w:pPr>
      <w:r>
        <w:rPr>
          <w:rtl/>
        </w:rPr>
        <w:t>(6).</w:t>
      </w:r>
      <w:r w:rsidRPr="00132E65">
        <w:rPr>
          <w:rtl/>
        </w:rPr>
        <w:t xml:space="preserve"> في الإرشاد : « عليّ بن أبي طالب وأحد عشر من ولده ورسول الله </w:t>
      </w:r>
      <w:r w:rsidRPr="00983D52">
        <w:rPr>
          <w:rStyle w:val="libFootnoteAlaemChar"/>
          <w:rFonts w:eastAsiaTheme="minorHAnsi"/>
          <w:rtl/>
        </w:rPr>
        <w:t>صلى‌الله‌عليه‌وآله</w:t>
      </w:r>
      <w:r w:rsidRPr="00132E65">
        <w:rPr>
          <w:rtl/>
          <w:lang w:bidi="fa-IR"/>
        </w:rPr>
        <w:t xml:space="preserve"> </w:t>
      </w:r>
      <w:r w:rsidRPr="00132E65">
        <w:rPr>
          <w:rtl/>
        </w:rPr>
        <w:t>» بدل « من ولد رسول الله</w:t>
      </w:r>
      <w:r>
        <w:rPr>
          <w:rtl/>
        </w:rPr>
        <w:t xml:space="preserve"> - </w:t>
      </w:r>
      <w:r w:rsidRPr="00132E65">
        <w:rPr>
          <w:rtl/>
        </w:rPr>
        <w:t>إلى</w:t>
      </w:r>
      <w:r>
        <w:rPr>
          <w:rtl/>
        </w:rPr>
        <w:t xml:space="preserve"> - </w:t>
      </w:r>
      <w:r w:rsidRPr="00132E65">
        <w:rPr>
          <w:rtl/>
        </w:rPr>
        <w:t xml:space="preserve">فرسول الله </w:t>
      </w:r>
      <w:r w:rsidRPr="00983D52">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Pr="00132E65" w:rsidRDefault="000C39D1" w:rsidP="000C39D1">
      <w:pPr>
        <w:pStyle w:val="libFootnote0"/>
        <w:rPr>
          <w:rtl/>
          <w:lang w:bidi="fa-IR"/>
        </w:rPr>
      </w:pPr>
      <w:r>
        <w:rPr>
          <w:rtl/>
        </w:rPr>
        <w:t>(7).</w:t>
      </w:r>
      <w:r w:rsidRPr="00132E65">
        <w:rPr>
          <w:rtl/>
        </w:rPr>
        <w:t xml:space="preserve"> </w:t>
      </w:r>
      <w:r w:rsidRPr="00983D52">
        <w:rPr>
          <w:rStyle w:val="libFootnoteBoldChar"/>
          <w:rtl/>
        </w:rPr>
        <w:t>الخصال</w:t>
      </w:r>
      <w:r w:rsidRPr="00132E65">
        <w:rPr>
          <w:rtl/>
        </w:rPr>
        <w:t xml:space="preserve"> ، ص 480 ، باب الاثنى عشر ، ح 49 ؛ </w:t>
      </w:r>
      <w:r w:rsidRPr="00983D52">
        <w:rPr>
          <w:rStyle w:val="libFootnoteBoldChar"/>
          <w:rtl/>
        </w:rPr>
        <w:t>وعيون الأخبار</w:t>
      </w:r>
      <w:r w:rsidRPr="00C41A07">
        <w:rPr>
          <w:rtl/>
        </w:rPr>
        <w:t xml:space="preserve"> </w:t>
      </w:r>
      <w:r w:rsidRPr="00132E65">
        <w:rPr>
          <w:rtl/>
        </w:rPr>
        <w:t xml:space="preserve">، ج 1 ، ص 56 ، ح 24 ، </w:t>
      </w:r>
      <w:r w:rsidRPr="00983D52">
        <w:rPr>
          <w:rStyle w:val="libFootnoteBoldChar"/>
          <w:rtl/>
        </w:rPr>
        <w:t>مع اختلاف يسير</w:t>
      </w:r>
      <w:r w:rsidRPr="00132E65">
        <w:rPr>
          <w:rtl/>
        </w:rPr>
        <w:t xml:space="preserve"> ؛ </w:t>
      </w:r>
      <w:r w:rsidRPr="00983D52">
        <w:rPr>
          <w:rStyle w:val="libFootnoteBoldChar"/>
          <w:rtl/>
        </w:rPr>
        <w:t>الإرشاد</w:t>
      </w:r>
      <w:r w:rsidRPr="00132E65">
        <w:rPr>
          <w:rtl/>
        </w:rPr>
        <w:t xml:space="preserve"> ، ج 2 ، ص 347 ؛ </w:t>
      </w:r>
      <w:r w:rsidRPr="00983D52">
        <w:rPr>
          <w:rStyle w:val="libFootnoteBoldChar"/>
          <w:rtl/>
        </w:rPr>
        <w:t>الغيبة للطوسي</w:t>
      </w:r>
      <w:r w:rsidRPr="00132E65">
        <w:rPr>
          <w:rtl/>
        </w:rPr>
        <w:t xml:space="preserve"> ، ص 151 ، ح 112 ، وفي كلّها بسندها عن الكليني. وراجع المصادر التي ذكرنا ذيل ح 7 من نفس الباب </w:t>
      </w:r>
      <w:r w:rsidR="00983D52">
        <w:rPr>
          <w:rFonts w:hint="cs"/>
          <w:rtl/>
        </w:rPr>
        <w:t>.</w:t>
      </w:r>
      <w:r w:rsidRPr="009D1ACE">
        <w:rPr>
          <w:rStyle w:val="libFootnoteBoldChar"/>
          <w:rtl/>
        </w:rPr>
        <w:t>الوافي</w:t>
      </w:r>
      <w:r w:rsidRPr="00132E65">
        <w:rPr>
          <w:rtl/>
        </w:rPr>
        <w:t xml:space="preserve"> ، ج 2 ، ص 308 ، ح 763.</w:t>
      </w:r>
    </w:p>
    <w:p w:rsidR="000C39D1" w:rsidRPr="00132E65" w:rsidRDefault="000C39D1" w:rsidP="000C39D1">
      <w:pPr>
        <w:pStyle w:val="libFootnote0"/>
        <w:rPr>
          <w:rtl/>
          <w:lang w:bidi="fa-IR"/>
        </w:rPr>
      </w:pPr>
      <w:r>
        <w:rPr>
          <w:rtl/>
        </w:rPr>
        <w:t>(8).</w:t>
      </w:r>
      <w:r w:rsidRPr="00132E65">
        <w:rPr>
          <w:rtl/>
        </w:rPr>
        <w:t xml:space="preserve"> في </w:t>
      </w:r>
      <w:r w:rsidRPr="00983D52">
        <w:rPr>
          <w:rStyle w:val="libFootnoteBoldChar"/>
          <w:rtl/>
        </w:rPr>
        <w:t>الغيبة للطوسي</w:t>
      </w:r>
      <w:r w:rsidRPr="00132E65">
        <w:rPr>
          <w:rtl/>
        </w:rPr>
        <w:t xml:space="preserve"> : « محمّد بن أبي عمير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بَصِيرٍ :</w:t>
      </w:r>
    </w:p>
    <w:p w:rsidR="000C39D1" w:rsidRPr="00132E65" w:rsidRDefault="000C39D1" w:rsidP="000C39D1">
      <w:pPr>
        <w:pStyle w:val="libNormal"/>
        <w:rPr>
          <w:rtl/>
          <w:lang w:bidi="fa-IR"/>
        </w:rPr>
      </w:pPr>
      <w:r w:rsidRPr="00132E65">
        <w:rPr>
          <w:rtl/>
          <w:lang w:bidi="fa-IR"/>
        </w:rPr>
        <w:t xml:space="preserve">عَنْ أَبِي جَعْفَرٍ </w:t>
      </w:r>
      <w:r>
        <w:rPr>
          <w:rStyle w:val="libFootnotenumChar"/>
          <w:rtl/>
        </w:rPr>
        <w:t>(1)</w:t>
      </w:r>
      <w:r w:rsidRPr="00132E65">
        <w:rPr>
          <w:rtl/>
          <w:lang w:bidi="fa-IR"/>
        </w:rPr>
        <w:t xml:space="preserve"> </w:t>
      </w:r>
      <w:r w:rsidRPr="00071CF9">
        <w:rPr>
          <w:rStyle w:val="libAlaemChar"/>
          <w:rtl/>
        </w:rPr>
        <w:t>عليه‌السلام</w:t>
      </w:r>
      <w:r w:rsidRPr="00132E65">
        <w:rPr>
          <w:rtl/>
          <w:lang w:bidi="fa-IR"/>
        </w:rPr>
        <w:t xml:space="preserve"> ، قَالَ : « يَكُونُ </w:t>
      </w:r>
      <w:r>
        <w:rPr>
          <w:rStyle w:val="libFootnotenumChar"/>
          <w:rtl/>
        </w:rPr>
        <w:t>(2)</w:t>
      </w:r>
      <w:r w:rsidRPr="00132E65">
        <w:rPr>
          <w:rtl/>
          <w:lang w:bidi="fa-IR"/>
        </w:rPr>
        <w:t xml:space="preserve"> تِسْعَةُ أَئِمَّةٍ بَعْدَ الْحُسَيْنِ بْنِ عَلِيٍّ </w:t>
      </w:r>
      <w:r>
        <w:rPr>
          <w:rStyle w:val="libFootnotenumChar"/>
          <w:rtl/>
        </w:rPr>
        <w:t>(3)</w:t>
      </w:r>
      <w:r w:rsidR="00983D52">
        <w:rPr>
          <w:rtl/>
          <w:lang w:bidi="fa-IR"/>
        </w:rPr>
        <w:t xml:space="preserve"> ، تَاسِعُهُمْ قَائِمُهُمْ</w:t>
      </w:r>
      <w:r w:rsidRPr="00132E65">
        <w:rPr>
          <w:rtl/>
          <w:lang w:bidi="fa-IR"/>
        </w:rPr>
        <w:t>»</w:t>
      </w:r>
      <w:r>
        <w:rPr>
          <w:rtl/>
          <w:lang w:bidi="fa-IR"/>
        </w:rPr>
        <w:t>.</w:t>
      </w:r>
      <w:r>
        <w:rPr>
          <w:rStyle w:val="libFootnotenumChar"/>
          <w:rtl/>
        </w:rPr>
        <w:t>(4)</w:t>
      </w:r>
      <w:r w:rsidRPr="00132E65">
        <w:rPr>
          <w:rtl/>
          <w:lang w:bidi="fa-IR"/>
        </w:rPr>
        <w:t xml:space="preserve"> ‌</w:t>
      </w:r>
    </w:p>
    <w:p w:rsidR="000C39D1" w:rsidRPr="00E31EF1" w:rsidRDefault="000C39D1" w:rsidP="000C39D1">
      <w:pPr>
        <w:pStyle w:val="libNormal"/>
        <w:rPr>
          <w:rtl/>
        </w:rPr>
      </w:pPr>
      <w:r w:rsidRPr="00E31EF1">
        <w:rPr>
          <w:rtl/>
        </w:rPr>
        <w:t>1403 / 16. الْحُسَيْنُ بْنُ مُحَمَّدٍ ، عَنْ مُعَلَّى بْنِ مُحَمَّدٍ ، عَنِ الْوَشَّاءِ ، عَنْ أَبَانٍ ، عَنْ زُرَارَةَ ، قَالَ :</w:t>
      </w:r>
    </w:p>
    <w:p w:rsidR="000C39D1" w:rsidRPr="00132E65" w:rsidRDefault="000C39D1" w:rsidP="00DB68DF">
      <w:pPr>
        <w:pStyle w:val="libNormal"/>
        <w:rPr>
          <w:rtl/>
          <w:lang w:bidi="fa-IR"/>
        </w:rPr>
      </w:pPr>
      <w:r w:rsidRPr="00132E65">
        <w:rPr>
          <w:rtl/>
          <w:lang w:bidi="fa-IR"/>
        </w:rPr>
        <w:t xml:space="preserve">سَمِعْتُ أَبَا جَعْفَرٍ </w:t>
      </w:r>
      <w:r w:rsidR="00DB68DF" w:rsidRPr="00071CF9">
        <w:rPr>
          <w:rStyle w:val="libAlaemChar"/>
          <w:rtl/>
        </w:rPr>
        <w:t>عليه‌السلام</w:t>
      </w:r>
      <w:r w:rsidR="00DB68DF" w:rsidRPr="00132E65">
        <w:rPr>
          <w:rtl/>
          <w:lang w:bidi="fa-IR"/>
        </w:rPr>
        <w:t xml:space="preserve"> </w:t>
      </w:r>
      <w:r w:rsidRPr="00132E65">
        <w:rPr>
          <w:rtl/>
          <w:lang w:bidi="fa-IR"/>
        </w:rPr>
        <w:t xml:space="preserve">يَقُولُ : « نَحْنُ اثْنَا عَشَرَ إِمَاماً ، مِنْهُمْ حَسَنٌ وحُسَيْنٌ </w:t>
      </w:r>
      <w:r>
        <w:rPr>
          <w:rStyle w:val="libFootnotenumChar"/>
          <w:rtl/>
        </w:rPr>
        <w:t>(5)</w:t>
      </w:r>
      <w:r w:rsidRPr="00132E65">
        <w:rPr>
          <w:rtl/>
          <w:lang w:bidi="fa-IR"/>
        </w:rPr>
        <w:t xml:space="preserve"> ، ثُمَّ الْأَئِمَّةُ مِنْ و</w:t>
      </w:r>
      <w:r w:rsidR="00DB68DF">
        <w:rPr>
          <w:rFonts w:hint="cs"/>
          <w:rtl/>
          <w:lang w:bidi="fa-IR"/>
        </w:rPr>
        <w:t>ُ</w:t>
      </w:r>
      <w:r w:rsidRPr="00132E65">
        <w:rPr>
          <w:rtl/>
          <w:lang w:bidi="fa-IR"/>
        </w:rPr>
        <w:t xml:space="preserve">لْدِ الْحُسَيْنِ </w:t>
      </w:r>
      <w:r w:rsidRPr="00071CF9">
        <w:rPr>
          <w:rStyle w:val="libAlaemChar"/>
          <w:rtl/>
        </w:rPr>
        <w:t>عليهم‌السلام</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0"/>
        <w:tabs>
          <w:tab w:val="left" w:pos="3968"/>
        </w:tabs>
        <w:rPr>
          <w:rtl/>
          <w:lang w:bidi="fa-IR"/>
        </w:rPr>
      </w:pPr>
      <w:r w:rsidRPr="004325D8">
        <w:rPr>
          <w:rStyle w:val="libBold2Char"/>
          <w:rtl/>
        </w:rPr>
        <w:t>1404 / 17.</w:t>
      </w:r>
      <w:r w:rsidRPr="00132E65">
        <w:rPr>
          <w:rtl/>
          <w:lang w:bidi="fa-IR"/>
        </w:rPr>
        <w:t xml:space="preserve"> مُحَمَّدُ بْنُ يَحْيى ، عَنْ مُحَمَّدِ بْنِ أَحْمَدَ ، عَنْ مُحَمَّدِ بْنِ الْحُسَيْنِ ، عَنْ‌</w:t>
      </w:r>
      <w:r>
        <w:rPr>
          <w:rFonts w:hint="cs"/>
          <w:rtl/>
          <w:lang w:bidi="fa-IR"/>
        </w:rPr>
        <w:t xml:space="preserve"> </w:t>
      </w:r>
      <w:r w:rsidRPr="00132E65">
        <w:rPr>
          <w:rtl/>
          <w:lang w:bidi="fa-IR"/>
        </w:rPr>
        <w:t xml:space="preserve">أَبِي سَعِيدٍ الْعُصْفُرِيِّ </w:t>
      </w:r>
      <w:r>
        <w:rPr>
          <w:rStyle w:val="libFootnotenumChar"/>
          <w:rtl/>
        </w:rPr>
        <w:t>(7)</w:t>
      </w:r>
      <w:r w:rsidRPr="00132E65">
        <w:rPr>
          <w:rtl/>
          <w:lang w:bidi="fa-IR"/>
        </w:rPr>
        <w:t xml:space="preserve"> ، عَنْ عَمْرِو بْنِ ثَابِتٍ ، عَنْ أَبِي الْجَارُودِ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كمال الدين : « أبي عبد الله »</w:t>
      </w:r>
      <w:r>
        <w:rPr>
          <w:rtl/>
        </w:rPr>
        <w:t>.</w:t>
      </w:r>
    </w:p>
    <w:p w:rsidR="000C39D1" w:rsidRPr="00132E65" w:rsidRDefault="000C39D1" w:rsidP="000C39D1">
      <w:pPr>
        <w:pStyle w:val="libFootnote0"/>
        <w:rPr>
          <w:rtl/>
          <w:lang w:bidi="fa-IR"/>
        </w:rPr>
      </w:pPr>
      <w:r>
        <w:rPr>
          <w:rtl/>
        </w:rPr>
        <w:t>(2).</w:t>
      </w:r>
      <w:r w:rsidRPr="00132E65">
        <w:rPr>
          <w:rtl/>
        </w:rPr>
        <w:t xml:space="preserve"> في « بس » والخصال ، ص 419 : « تكون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DB68DF">
        <w:rPr>
          <w:rStyle w:val="libFootnoteBoldChar"/>
          <w:rtl/>
        </w:rPr>
        <w:t>الغيبة للطوسي</w:t>
      </w:r>
      <w:r w:rsidRPr="00132E65">
        <w:rPr>
          <w:rtl/>
        </w:rPr>
        <w:t xml:space="preserve"> </w:t>
      </w:r>
      <w:r>
        <w:rPr>
          <w:rtl/>
        </w:rPr>
        <w:t xml:space="preserve">: - </w:t>
      </w:r>
      <w:r w:rsidRPr="00132E65">
        <w:rPr>
          <w:rtl/>
        </w:rPr>
        <w:t>« بن عليّ »</w:t>
      </w:r>
      <w:r>
        <w:rPr>
          <w:rtl/>
        </w:rPr>
        <w:t>.</w:t>
      </w:r>
    </w:p>
    <w:p w:rsidR="000C39D1" w:rsidRPr="00132E65" w:rsidRDefault="000C39D1" w:rsidP="000C39D1">
      <w:pPr>
        <w:pStyle w:val="libFootnote0"/>
        <w:rPr>
          <w:rtl/>
          <w:lang w:bidi="fa-IR"/>
        </w:rPr>
      </w:pPr>
      <w:r>
        <w:rPr>
          <w:rtl/>
        </w:rPr>
        <w:t>(4).</w:t>
      </w:r>
      <w:r w:rsidRPr="00132E65">
        <w:rPr>
          <w:rtl/>
        </w:rPr>
        <w:t xml:space="preserve"> </w:t>
      </w:r>
      <w:r w:rsidRPr="00DB68DF">
        <w:rPr>
          <w:rStyle w:val="libFootnoteBoldChar"/>
          <w:rtl/>
        </w:rPr>
        <w:t>الغيبة للنعماني</w:t>
      </w:r>
      <w:r w:rsidRPr="00132E65">
        <w:rPr>
          <w:rtl/>
        </w:rPr>
        <w:t xml:space="preserve"> ، ص 94 ، ح 25 ، عن الكليني. وفي </w:t>
      </w:r>
      <w:r w:rsidRPr="00DB68DF">
        <w:rPr>
          <w:rStyle w:val="libFootnoteBoldChar"/>
          <w:rtl/>
        </w:rPr>
        <w:t>الإرشاد</w:t>
      </w:r>
      <w:r w:rsidRPr="00132E65">
        <w:rPr>
          <w:rtl/>
        </w:rPr>
        <w:t xml:space="preserve"> ، ج 2 ، ص 347 ؛ </w:t>
      </w:r>
      <w:r w:rsidRPr="00DB68DF">
        <w:rPr>
          <w:rStyle w:val="libFootnoteBoldChar"/>
          <w:rtl/>
        </w:rPr>
        <w:t>والغيبة للطوسي</w:t>
      </w:r>
      <w:r w:rsidRPr="00132E65">
        <w:rPr>
          <w:rtl/>
        </w:rPr>
        <w:t xml:space="preserve"> ، ص 140 ، ح 104 ، بسندهما عن الكليني. </w:t>
      </w:r>
      <w:r w:rsidRPr="00DB68DF">
        <w:rPr>
          <w:rStyle w:val="libFootnoteBoldChar"/>
          <w:rtl/>
        </w:rPr>
        <w:t>الخصال</w:t>
      </w:r>
      <w:r w:rsidRPr="00132E65">
        <w:rPr>
          <w:rtl/>
        </w:rPr>
        <w:t xml:space="preserve"> ، ص 419 ، أبواب التسعة ، ح 12 ؛ وص 480 ، أبواب الاثني عشر ، ح 50 ، بسنده عن عليّ بن إبراهيم ؛ </w:t>
      </w:r>
      <w:r w:rsidRPr="00DB68DF">
        <w:rPr>
          <w:rStyle w:val="libFootnoteBoldChar"/>
          <w:rtl/>
        </w:rPr>
        <w:t>كمال الدين</w:t>
      </w:r>
      <w:r w:rsidRPr="00132E65">
        <w:rPr>
          <w:rtl/>
        </w:rPr>
        <w:t xml:space="preserve"> ، ص 350 ، ح 45 ، بسنده عن ابن أبي عمير ، عن سعيدبن غزوان ، عن أبي بصير ، عن أبي عبد الله </w:t>
      </w:r>
      <w:r w:rsidRPr="00DB68DF">
        <w:rPr>
          <w:rStyle w:val="libFootnoteAlaemChar"/>
          <w:rtl/>
        </w:rPr>
        <w:t>عليه‌السلام</w:t>
      </w:r>
      <w:r w:rsidRPr="00132E65">
        <w:rPr>
          <w:rtl/>
        </w:rPr>
        <w:t xml:space="preserve"> ؛ </w:t>
      </w:r>
      <w:r w:rsidRPr="00C41A07">
        <w:rPr>
          <w:rtl/>
        </w:rPr>
        <w:t>معاني الأخبار</w:t>
      </w:r>
      <w:r w:rsidRPr="00132E65">
        <w:rPr>
          <w:rtl/>
        </w:rPr>
        <w:t xml:space="preserve"> ، ص 90 ، ح 4 ، بسنده عن عليّ بن إبراهيم ، عن أبيه ، عن محمّد بن أبي عمير ، عن غياث بن إبراهيم ، عن الصادق ، عن آبائه ، عن أمير المؤمنين </w:t>
      </w:r>
      <w:r w:rsidRPr="00DB68DF">
        <w:rPr>
          <w:rStyle w:val="libFootnoteAlaemChar"/>
          <w:rtl/>
        </w:rPr>
        <w:t>عليه‌السلام</w:t>
      </w:r>
      <w:r w:rsidRPr="00132E65">
        <w:rPr>
          <w:rtl/>
        </w:rPr>
        <w:t xml:space="preserve"> ، مع اختلاف يسير وزيادة ؛ </w:t>
      </w:r>
      <w:r w:rsidRPr="00DB68DF">
        <w:rPr>
          <w:rStyle w:val="libFootnoteBoldChar"/>
          <w:rtl/>
        </w:rPr>
        <w:t>تقريب المعارف</w:t>
      </w:r>
      <w:r w:rsidRPr="00132E65">
        <w:rPr>
          <w:rtl/>
        </w:rPr>
        <w:t xml:space="preserve"> ، ص 183 ، عن أبي بصير. </w:t>
      </w:r>
      <w:r w:rsidRPr="00DB68DF">
        <w:rPr>
          <w:rStyle w:val="libFootnoteBoldChar"/>
          <w:rtl/>
        </w:rPr>
        <w:t>كفاية الأثر</w:t>
      </w:r>
      <w:r w:rsidRPr="00132E65">
        <w:rPr>
          <w:rtl/>
        </w:rPr>
        <w:t xml:space="preserve"> ، ص 30 ؛ وص 32 ؛ وص 38 ، بسند آخر عن رسول الله </w:t>
      </w:r>
      <w:r w:rsidRPr="00DB68DF">
        <w:rPr>
          <w:rStyle w:val="libFootnoteAlaemChar"/>
          <w:rFonts w:eastAsiaTheme="minorHAnsi"/>
          <w:rtl/>
        </w:rPr>
        <w:t>صلى‌الله‌عليه‌وآله</w:t>
      </w:r>
      <w:r w:rsidRPr="00132E65">
        <w:rPr>
          <w:rtl/>
          <w:lang w:bidi="fa-IR"/>
        </w:rPr>
        <w:t xml:space="preserve"> </w:t>
      </w:r>
      <w:r w:rsidRPr="00132E65">
        <w:rPr>
          <w:rtl/>
        </w:rPr>
        <w:t xml:space="preserve">، مع اختلاف يسير وزيادة </w:t>
      </w:r>
      <w:r w:rsidR="00DB68DF">
        <w:rPr>
          <w:rFonts w:hint="cs"/>
          <w:rtl/>
        </w:rPr>
        <w:t>.</w:t>
      </w:r>
      <w:r w:rsidRPr="009D1ACE">
        <w:rPr>
          <w:rStyle w:val="libFootnoteBoldChar"/>
          <w:rtl/>
        </w:rPr>
        <w:t>الوافي</w:t>
      </w:r>
      <w:r w:rsidRPr="00132E65">
        <w:rPr>
          <w:rtl/>
        </w:rPr>
        <w:t xml:space="preserve"> ، ج 2 ، ص 310 ، ح 770.</w:t>
      </w:r>
    </w:p>
    <w:p w:rsidR="000C39D1" w:rsidRPr="00132E65" w:rsidRDefault="000C39D1" w:rsidP="000C39D1">
      <w:pPr>
        <w:pStyle w:val="libFootnote0"/>
        <w:rPr>
          <w:rtl/>
          <w:lang w:bidi="fa-IR"/>
        </w:rPr>
      </w:pPr>
      <w:r>
        <w:rPr>
          <w:rtl/>
        </w:rPr>
        <w:t>(5).</w:t>
      </w:r>
      <w:r w:rsidRPr="00132E65">
        <w:rPr>
          <w:rtl/>
        </w:rPr>
        <w:t xml:space="preserve"> في « ف » والعيون : « الحسن والحسين »</w:t>
      </w:r>
      <w:r>
        <w:rPr>
          <w:rtl/>
        </w:rPr>
        <w:t>.</w:t>
      </w:r>
    </w:p>
    <w:p w:rsidR="000C39D1" w:rsidRPr="00132E65" w:rsidRDefault="000C39D1" w:rsidP="000C39D1">
      <w:pPr>
        <w:pStyle w:val="libFootnote0"/>
        <w:rPr>
          <w:rtl/>
          <w:lang w:bidi="fa-IR"/>
        </w:rPr>
      </w:pPr>
      <w:r>
        <w:rPr>
          <w:rtl/>
        </w:rPr>
        <w:t>(6).</w:t>
      </w:r>
      <w:r w:rsidRPr="00132E65">
        <w:rPr>
          <w:rtl/>
        </w:rPr>
        <w:t xml:space="preserve"> </w:t>
      </w:r>
      <w:r w:rsidRPr="00DB68DF">
        <w:rPr>
          <w:rStyle w:val="libFootnoteBoldChar"/>
          <w:rtl/>
        </w:rPr>
        <w:t>الخصال</w:t>
      </w:r>
      <w:r w:rsidRPr="00132E65">
        <w:rPr>
          <w:rtl/>
        </w:rPr>
        <w:t xml:space="preserve"> ، ص 478 ، ح 44 ؛ </w:t>
      </w:r>
      <w:r w:rsidRPr="00DB68DF">
        <w:rPr>
          <w:rStyle w:val="libFootnoteBoldChar"/>
          <w:rtl/>
        </w:rPr>
        <w:t>وعيون الأخبار</w:t>
      </w:r>
      <w:r w:rsidRPr="00132E65">
        <w:rPr>
          <w:rtl/>
        </w:rPr>
        <w:t xml:space="preserve"> ، ج 1 ، ص 56 ، ح 22 ، بسندهما عن الحسين بن محمّد الأشعري </w:t>
      </w:r>
      <w:r w:rsidR="00DB68DF">
        <w:rPr>
          <w:rFonts w:hint="cs"/>
          <w:rtl/>
        </w:rPr>
        <w:t>.</w:t>
      </w:r>
      <w:r w:rsidRPr="009D1ACE">
        <w:rPr>
          <w:rStyle w:val="libFootnoteBoldChar"/>
          <w:rtl/>
        </w:rPr>
        <w:t>الوافي</w:t>
      </w:r>
      <w:r w:rsidRPr="00132E65">
        <w:rPr>
          <w:rtl/>
        </w:rPr>
        <w:t xml:space="preserve"> ، ج 2 ، ص 311 ، ح 771.</w:t>
      </w:r>
    </w:p>
    <w:p w:rsidR="000C39D1" w:rsidRPr="00132E65" w:rsidRDefault="000C39D1" w:rsidP="000C39D1">
      <w:pPr>
        <w:pStyle w:val="libFootnote0"/>
        <w:rPr>
          <w:rtl/>
          <w:lang w:bidi="fa-IR"/>
        </w:rPr>
      </w:pPr>
      <w:r>
        <w:rPr>
          <w:rtl/>
        </w:rPr>
        <w:t>(7).</w:t>
      </w:r>
      <w:r w:rsidRPr="00132E65">
        <w:rPr>
          <w:rtl/>
        </w:rPr>
        <w:t xml:space="preserve"> هكذا في « ب ، ج ، ف ، بر ، بس ، بف »</w:t>
      </w:r>
      <w:r>
        <w:rPr>
          <w:rtl/>
        </w:rPr>
        <w:t>.</w:t>
      </w:r>
      <w:r w:rsidRPr="00132E65">
        <w:rPr>
          <w:rtl/>
        </w:rPr>
        <w:t xml:space="preserve"> وفي « ض ، بح ، جر » والمطبوع : « العصفوري »</w:t>
      </w:r>
      <w:r>
        <w:rPr>
          <w:rtl/>
        </w:rPr>
        <w:t>.</w:t>
      </w:r>
    </w:p>
    <w:p w:rsidR="000C39D1" w:rsidRPr="00F24C1F" w:rsidRDefault="000C39D1" w:rsidP="00E55206">
      <w:pPr>
        <w:pStyle w:val="libFootnote0"/>
        <w:rPr>
          <w:rtl/>
        </w:rPr>
      </w:pPr>
      <w:r w:rsidRPr="00F24C1F">
        <w:rPr>
          <w:rtl/>
        </w:rPr>
        <w:t>وتقدّم ذيل ح 6 من نفس الباب أنّ الصواب هو العصفري.</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رَسُولُ اللهِ </w:t>
      </w:r>
      <w:r w:rsidRPr="0093484F">
        <w:rPr>
          <w:rStyle w:val="libAlaemChar"/>
          <w:rFonts w:eastAsiaTheme="minorHAnsi"/>
          <w:rtl/>
        </w:rPr>
        <w:t>صلى‌الله‌عليه‌وآله</w:t>
      </w:r>
      <w:r w:rsidRPr="00132E65">
        <w:rPr>
          <w:rtl/>
          <w:lang w:bidi="fa-IR"/>
        </w:rPr>
        <w:t>: إِنِّي و</w:t>
      </w:r>
      <w:r w:rsidR="00DB68DF">
        <w:rPr>
          <w:rFonts w:hint="cs"/>
          <w:rtl/>
          <w:lang w:bidi="fa-IR"/>
        </w:rPr>
        <w:t>َ</w:t>
      </w:r>
      <w:r w:rsidRPr="00132E65">
        <w:rPr>
          <w:rtl/>
          <w:lang w:bidi="fa-IR"/>
        </w:rPr>
        <w:t xml:space="preserve">اثْنَيْ عَشَرَ </w:t>
      </w:r>
      <w:r>
        <w:rPr>
          <w:rStyle w:val="libFootnotenumChar"/>
          <w:rtl/>
        </w:rPr>
        <w:t>(1)</w:t>
      </w:r>
      <w:r w:rsidRPr="00132E65">
        <w:rPr>
          <w:rtl/>
          <w:lang w:bidi="fa-IR"/>
        </w:rPr>
        <w:t xml:space="preserve"> مِنْ وُلْدِي </w:t>
      </w:r>
      <w:r>
        <w:rPr>
          <w:rStyle w:val="libFootnotenumChar"/>
          <w:rtl/>
        </w:rPr>
        <w:t>(2)</w:t>
      </w:r>
      <w:r w:rsidRPr="00132E65">
        <w:rPr>
          <w:rtl/>
          <w:lang w:bidi="fa-IR"/>
        </w:rPr>
        <w:t xml:space="preserve"> و</w:t>
      </w:r>
      <w:r w:rsidR="00DB68DF">
        <w:rPr>
          <w:rFonts w:hint="cs"/>
          <w:rtl/>
          <w:lang w:bidi="fa-IR"/>
        </w:rPr>
        <w:t>َ</w:t>
      </w:r>
      <w:r w:rsidRPr="00132E65">
        <w:rPr>
          <w:rtl/>
          <w:lang w:bidi="fa-IR"/>
        </w:rPr>
        <w:t xml:space="preserve">أَنْتَ يَا عَلِيُّ </w:t>
      </w:r>
      <w:r>
        <w:rPr>
          <w:rStyle w:val="libFootnotenumChar"/>
          <w:rtl/>
        </w:rPr>
        <w:t>(3)</w:t>
      </w:r>
      <w:r w:rsidRPr="00132E65">
        <w:rPr>
          <w:rtl/>
          <w:lang w:bidi="fa-IR"/>
        </w:rPr>
        <w:t xml:space="preserve"> زِرُّ </w:t>
      </w:r>
      <w:r>
        <w:rPr>
          <w:rStyle w:val="libFootnotenumChar"/>
          <w:rtl/>
        </w:rPr>
        <w:t>(4)</w:t>
      </w:r>
      <w:r w:rsidRPr="00132E65">
        <w:rPr>
          <w:rtl/>
          <w:lang w:bidi="fa-IR"/>
        </w:rPr>
        <w:t xml:space="preserve"> الْأَرْضِ</w:t>
      </w:r>
      <w:r>
        <w:rPr>
          <w:rtl/>
          <w:lang w:bidi="fa-IR"/>
        </w:rPr>
        <w:t xml:space="preserve"> - </w:t>
      </w:r>
      <w:r w:rsidRPr="00132E65">
        <w:rPr>
          <w:rtl/>
          <w:lang w:bidi="fa-IR"/>
        </w:rPr>
        <w:t xml:space="preserve">يَعْنِي أَوْتَادَهَا </w:t>
      </w:r>
      <w:r>
        <w:rPr>
          <w:rStyle w:val="libFootnotenumChar"/>
          <w:rtl/>
        </w:rPr>
        <w:t>(5)</w:t>
      </w:r>
      <w:r w:rsidRPr="00132E65">
        <w:rPr>
          <w:rtl/>
          <w:lang w:bidi="fa-IR"/>
        </w:rPr>
        <w:t xml:space="preserve"> و</w:t>
      </w:r>
      <w:r w:rsidR="00DB68DF">
        <w:rPr>
          <w:rFonts w:hint="cs"/>
          <w:rtl/>
          <w:lang w:bidi="fa-IR"/>
        </w:rPr>
        <w:t>َ</w:t>
      </w:r>
      <w:r w:rsidRPr="00132E65">
        <w:rPr>
          <w:rtl/>
          <w:lang w:bidi="fa-IR"/>
        </w:rPr>
        <w:t>جِبَالَهَا</w:t>
      </w:r>
      <w:r>
        <w:rPr>
          <w:rtl/>
          <w:lang w:bidi="fa-IR"/>
        </w:rPr>
        <w:t xml:space="preserve"> - </w:t>
      </w:r>
      <w:r w:rsidRPr="00132E65">
        <w:rPr>
          <w:rtl/>
          <w:lang w:bidi="fa-IR"/>
        </w:rPr>
        <w:t xml:space="preserve">بِنَا أَوْتَدَ اللهُ الْأَرْضَ أَنْ تَسِيخَ </w:t>
      </w:r>
      <w:r>
        <w:rPr>
          <w:rStyle w:val="libFootnotenumChar"/>
          <w:rtl/>
        </w:rPr>
        <w:t>(6)</w:t>
      </w:r>
      <w:r w:rsidRPr="00132E65">
        <w:rPr>
          <w:rtl/>
          <w:lang w:bidi="fa-IR"/>
        </w:rPr>
        <w:t xml:space="preserve"> بِأَهْلِهَا ، فَإِذَا ذَهَبَ الِاثْنَا عَشَرَ مِنْ و</w:t>
      </w:r>
      <w:r w:rsidR="006050A0">
        <w:rPr>
          <w:rFonts w:hint="cs"/>
          <w:rtl/>
          <w:lang w:bidi="fa-IR"/>
        </w:rPr>
        <w:t>ُ</w:t>
      </w:r>
      <w:r w:rsidRPr="00132E65">
        <w:rPr>
          <w:rtl/>
          <w:lang w:bidi="fa-IR"/>
        </w:rPr>
        <w:t>لْدِي ، سَاخَتِ الْأَرْضُ بِأَهْلِهَا ، و</w:t>
      </w:r>
      <w:r w:rsidR="006050A0">
        <w:rPr>
          <w:rFonts w:hint="cs"/>
          <w:rtl/>
          <w:lang w:bidi="fa-IR"/>
        </w:rPr>
        <w:t>َ</w:t>
      </w:r>
      <w:r w:rsidRPr="00132E65">
        <w:rPr>
          <w:rtl/>
          <w:lang w:bidi="fa-IR"/>
        </w:rPr>
        <w:t xml:space="preserve">لَمْ يُنْظَرُوا </w:t>
      </w:r>
      <w:r>
        <w:rPr>
          <w:rStyle w:val="libFootnotenumChar"/>
          <w:rtl/>
        </w:rPr>
        <w:t>(7)</w:t>
      </w:r>
      <w:r w:rsidRPr="00132E65">
        <w:rPr>
          <w:rtl/>
          <w:lang w:bidi="fa-IR"/>
        </w:rPr>
        <w:t xml:space="preserve">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C41A07">
        <w:rPr>
          <w:rtl/>
        </w:rPr>
        <w:t>1405</w:t>
      </w:r>
      <w:r w:rsidRPr="004325D8">
        <w:rPr>
          <w:rStyle w:val="libBold2Char"/>
          <w:rtl/>
        </w:rPr>
        <w:t xml:space="preserve"> / 18.</w:t>
      </w:r>
      <w:r w:rsidRPr="00132E65">
        <w:rPr>
          <w:rtl/>
          <w:lang w:bidi="fa-IR"/>
        </w:rPr>
        <w:t xml:space="preserve"> و</w:t>
      </w:r>
      <w:r w:rsidR="006050A0">
        <w:rPr>
          <w:rFonts w:hint="cs"/>
          <w:rtl/>
          <w:lang w:bidi="fa-IR"/>
        </w:rPr>
        <w:t>َ</w:t>
      </w:r>
      <w:r w:rsidRPr="00132E65">
        <w:rPr>
          <w:rtl/>
          <w:lang w:bidi="fa-IR"/>
        </w:rPr>
        <w:t>بِهذَا الْإِسْنَادِ ، عَنْ أَبِي سَعِيدٍ رَفَعَهُ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قَالَ رَسُولُ اللهِ </w:t>
      </w:r>
      <w:r w:rsidRPr="0093484F">
        <w:rPr>
          <w:rStyle w:val="libAlaemChar"/>
          <w:rFonts w:eastAsiaTheme="minorHAnsi"/>
          <w:rtl/>
        </w:rPr>
        <w:t>صلى‌الله‌عليه‌وآله</w:t>
      </w:r>
      <w:r w:rsidRPr="00132E65">
        <w:rPr>
          <w:rtl/>
          <w:lang w:bidi="fa-IR"/>
        </w:rPr>
        <w:t>: مِنْ و</w:t>
      </w:r>
      <w:r w:rsidR="006050A0">
        <w:rPr>
          <w:rFonts w:hint="cs"/>
          <w:rtl/>
          <w:lang w:bidi="fa-IR"/>
        </w:rPr>
        <w:t>ُ</w:t>
      </w:r>
      <w:r w:rsidRPr="00132E65">
        <w:rPr>
          <w:rtl/>
          <w:lang w:bidi="fa-IR"/>
        </w:rPr>
        <w:t xml:space="preserve">لْدِيَ اثْنَا عَشَرَ نَقِيباً </w:t>
      </w:r>
      <w:r>
        <w:rPr>
          <w:rStyle w:val="libFootnotenumChar"/>
          <w:rtl/>
        </w:rPr>
        <w:t>(9)</w:t>
      </w:r>
      <w:r w:rsidRPr="00132E65">
        <w:rPr>
          <w:rtl/>
          <w:lang w:bidi="fa-IR"/>
        </w:rPr>
        <w:t xml:space="preserve"> ، نُجَبَاءُ ،</w:t>
      </w:r>
    </w:p>
    <w:p w:rsidR="000C39D1"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الغيبة للطوسي : « وأحد عشر »</w:t>
      </w:r>
      <w:r>
        <w:rPr>
          <w:rtl/>
        </w:rPr>
        <w:t>.</w:t>
      </w:r>
    </w:p>
    <w:p w:rsidR="000C39D1" w:rsidRPr="00132E65" w:rsidRDefault="000C39D1" w:rsidP="000C39D1">
      <w:pPr>
        <w:pStyle w:val="libFootnote0"/>
        <w:rPr>
          <w:rtl/>
          <w:lang w:bidi="fa-IR"/>
        </w:rPr>
      </w:pPr>
      <w:r>
        <w:rPr>
          <w:rtl/>
        </w:rPr>
        <w:t>(2).</w:t>
      </w:r>
      <w:r w:rsidRPr="00132E65">
        <w:rPr>
          <w:rtl/>
        </w:rPr>
        <w:t xml:space="preserve"> أي مع فاطمة </w:t>
      </w:r>
      <w:r w:rsidRPr="006050A0">
        <w:rPr>
          <w:rStyle w:val="libFootnoteAlaemChar"/>
          <w:rtl/>
        </w:rPr>
        <w:t>عليها‌السلام</w:t>
      </w:r>
      <w:r w:rsidRPr="00132E65">
        <w:rPr>
          <w:rtl/>
        </w:rPr>
        <w:t xml:space="preserve">. راجع : </w:t>
      </w:r>
      <w:r w:rsidRPr="00C41A07">
        <w:rPr>
          <w:rtl/>
        </w:rPr>
        <w:t>شرح المازندراني</w:t>
      </w:r>
      <w:r w:rsidRPr="00132E65">
        <w:rPr>
          <w:rtl/>
        </w:rPr>
        <w:t xml:space="preserve"> ، ج 7 ، ص 381 ؛ </w:t>
      </w:r>
      <w:r w:rsidRPr="009D1ACE">
        <w:rPr>
          <w:rStyle w:val="libFootnoteBoldChar"/>
          <w:rtl/>
        </w:rPr>
        <w:t>الوافي</w:t>
      </w:r>
      <w:r w:rsidRPr="00132E65">
        <w:rPr>
          <w:rtl/>
        </w:rPr>
        <w:t xml:space="preserve"> ، ج 2 ، ص 311 ؛ </w:t>
      </w:r>
      <w:r w:rsidRPr="009D1ACE">
        <w:rPr>
          <w:rStyle w:val="libFootnoteBoldChar"/>
          <w:rtl/>
        </w:rPr>
        <w:t>مرآة العقول</w:t>
      </w:r>
      <w:r w:rsidRPr="00132E65">
        <w:rPr>
          <w:rtl/>
        </w:rPr>
        <w:t xml:space="preserve"> ، ج 6 ، ص 232.</w:t>
      </w:r>
    </w:p>
    <w:p w:rsidR="000C39D1" w:rsidRPr="00132E65" w:rsidRDefault="000C39D1" w:rsidP="000C39D1">
      <w:pPr>
        <w:pStyle w:val="libFootnote0"/>
        <w:rPr>
          <w:rtl/>
          <w:lang w:bidi="fa-IR"/>
        </w:rPr>
      </w:pPr>
      <w:r>
        <w:rPr>
          <w:rtl/>
        </w:rPr>
        <w:t>(3).</w:t>
      </w:r>
      <w:r w:rsidRPr="00132E65">
        <w:rPr>
          <w:rtl/>
        </w:rPr>
        <w:t xml:space="preserve"> في تقريب المعارف : « إنّي واثني عشر من أهل بيتي أوّلهم عليّ بن أبي طالب »</w:t>
      </w:r>
      <w:r>
        <w:rPr>
          <w:rtl/>
        </w:rPr>
        <w:t>.</w:t>
      </w:r>
    </w:p>
    <w:p w:rsidR="000C39D1" w:rsidRPr="00132E65" w:rsidRDefault="000C39D1" w:rsidP="000C39D1">
      <w:pPr>
        <w:pStyle w:val="libFootnote0"/>
        <w:rPr>
          <w:rtl/>
          <w:lang w:bidi="fa-IR"/>
        </w:rPr>
      </w:pPr>
      <w:r>
        <w:rPr>
          <w:rtl/>
        </w:rPr>
        <w:t>(4).</w:t>
      </w:r>
      <w:r w:rsidRPr="00132E65">
        <w:rPr>
          <w:rtl/>
        </w:rPr>
        <w:t xml:space="preserve"> في « ب ، ج ، ض ، ف ، بس ، بف » وشرح المازندراني : « رزّ » بتقديم المهملة. وفي « بح ، بر » </w:t>
      </w:r>
      <w:r w:rsidRPr="006050A0">
        <w:rPr>
          <w:rtl/>
        </w:rPr>
        <w:t>والوافي</w:t>
      </w:r>
      <w:r w:rsidRPr="00132E65">
        <w:rPr>
          <w:rtl/>
        </w:rPr>
        <w:t xml:space="preserve"> والمطبوع بتقديم المعجمة ، كما في المتن. وجعله في </w:t>
      </w:r>
      <w:r w:rsidRPr="006050A0">
        <w:rPr>
          <w:rStyle w:val="libFootnoteBoldChar"/>
          <w:rtl/>
        </w:rPr>
        <w:t>المرآة</w:t>
      </w:r>
      <w:r w:rsidRPr="00132E65">
        <w:rPr>
          <w:rtl/>
        </w:rPr>
        <w:t xml:space="preserve"> ذا الوجه بل أظهر. وقال ابن الأثير : « زِرّ الأرض : قوامها ، وأصله من زِرّ القلب ، وهو عُظَيم صغير يكون قوام القلب به »</w:t>
      </w:r>
      <w:r>
        <w:rPr>
          <w:rtl/>
        </w:rPr>
        <w:t>.</w:t>
      </w:r>
      <w:r w:rsidRPr="00132E65">
        <w:rPr>
          <w:rtl/>
        </w:rPr>
        <w:t xml:space="preserve"> ورزّ الأرض : عمادها ، من الرِزّ بمعنى الإثبات ، يقال : رَزَزْتُ الشي‌ء في الأرض رَزّاً ، أي أثبتّه فيها. ورَزَّت الجرادة رَزّاً ، وهو أن تُدخل ذَنَبها في الأرض فتلقي بيضها. والرَزَّة : الحديدة التي يُدْخَل فيها القفل. وكيف كان فالمعنيان كلاهما يناسبان تفسيره بالأوتاد</w:t>
      </w:r>
      <w:r>
        <w:rPr>
          <w:rtl/>
        </w:rPr>
        <w:t xml:space="preserve"> - </w:t>
      </w:r>
      <w:r w:rsidRPr="00132E65">
        <w:rPr>
          <w:rtl/>
        </w:rPr>
        <w:t>كما لا يخفى</w:t>
      </w:r>
      <w:r>
        <w:rPr>
          <w:rtl/>
        </w:rPr>
        <w:t xml:space="preserve"> - </w:t>
      </w:r>
      <w:r w:rsidRPr="00132E65">
        <w:rPr>
          <w:rtl/>
        </w:rPr>
        <w:t xml:space="preserve">سواء كان التفسير من المعصوم </w:t>
      </w:r>
      <w:r w:rsidRPr="006050A0">
        <w:rPr>
          <w:rStyle w:val="libFootnoteAlaemChar"/>
          <w:rtl/>
        </w:rPr>
        <w:t>عليه‌السلام</w:t>
      </w:r>
      <w:r w:rsidRPr="00132E65">
        <w:rPr>
          <w:rtl/>
        </w:rPr>
        <w:t xml:space="preserve"> أو الراوي. راجع : </w:t>
      </w:r>
      <w:r w:rsidRPr="00C41A07">
        <w:rPr>
          <w:rtl/>
        </w:rPr>
        <w:t>الصحاح</w:t>
      </w:r>
      <w:r w:rsidRPr="00132E65">
        <w:rPr>
          <w:rtl/>
        </w:rPr>
        <w:t xml:space="preserve"> ، ج 3 ، ص 879 ؛ </w:t>
      </w:r>
      <w:r w:rsidRPr="00C41A07">
        <w:rPr>
          <w:rtl/>
        </w:rPr>
        <w:t>مجمع البحرين</w:t>
      </w:r>
      <w:r w:rsidRPr="00132E65">
        <w:rPr>
          <w:rtl/>
        </w:rPr>
        <w:t xml:space="preserve"> ، ج 4 ، ص 21 ( رزز ) ؛ </w:t>
      </w:r>
      <w:r w:rsidRPr="00C41A07">
        <w:rPr>
          <w:rtl/>
        </w:rPr>
        <w:t>النهاية</w:t>
      </w:r>
      <w:r w:rsidRPr="00132E65">
        <w:rPr>
          <w:rtl/>
        </w:rPr>
        <w:t xml:space="preserve"> ، ج 2 ، ص 300 ( زرر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C41A07">
        <w:rPr>
          <w:rtl/>
        </w:rPr>
        <w:t>المرآة</w:t>
      </w:r>
      <w:r w:rsidRPr="00132E65">
        <w:rPr>
          <w:rtl/>
        </w:rPr>
        <w:t xml:space="preserve"> : « فقوله : يعني أوتادها ، كلام أبي جعفر أو بعض الرواة »</w:t>
      </w:r>
      <w:r>
        <w:rPr>
          <w:rtl/>
        </w:rPr>
        <w:t>.</w:t>
      </w:r>
      <w:r w:rsidRPr="00132E65">
        <w:rPr>
          <w:rtl/>
        </w:rPr>
        <w:t xml:space="preserve"> ثمّ قرأ : جبالها بدون الواو</w:t>
      </w:r>
      <w:r>
        <w:rPr>
          <w:rtl/>
        </w:rPr>
        <w:t xml:space="preserve"> - </w:t>
      </w:r>
      <w:r w:rsidRPr="00132E65">
        <w:rPr>
          <w:rtl/>
        </w:rPr>
        <w:t>كما في « ج ، ض ، ف ، بر ، بس ، بف » و</w:t>
      </w:r>
      <w:r w:rsidRPr="009D1ACE">
        <w:rPr>
          <w:rStyle w:val="libFootnoteBoldChar"/>
          <w:rtl/>
        </w:rPr>
        <w:t>الوافي</w:t>
      </w:r>
      <w:r w:rsidRPr="00132E65">
        <w:rPr>
          <w:rtl/>
        </w:rPr>
        <w:t xml:space="preserve"> ، وجعله عطف بيان للأوتاد. ثمّ استظهر الواو وقال : « فيكون</w:t>
      </w:r>
      <w:r>
        <w:rPr>
          <w:rtl/>
        </w:rPr>
        <w:t xml:space="preserve"> - </w:t>
      </w:r>
      <w:r w:rsidRPr="00132E65">
        <w:rPr>
          <w:rtl/>
        </w:rPr>
        <w:t>أي الجبال</w:t>
      </w:r>
      <w:r>
        <w:rPr>
          <w:rtl/>
        </w:rPr>
        <w:t xml:space="preserve"> - </w:t>
      </w:r>
      <w:r w:rsidRPr="00132E65">
        <w:rPr>
          <w:rtl/>
        </w:rPr>
        <w:t xml:space="preserve">عطفاً على « رزّ » من كلام الرسول </w:t>
      </w:r>
      <w:r w:rsidRPr="00C50204">
        <w:rPr>
          <w:rStyle w:val="libFootnoteAlaemChar"/>
          <w:rtl/>
        </w:rPr>
        <w:t>صلى‌الله‌عليه‌وآله‌وسلم</w:t>
      </w:r>
      <w:r w:rsidRPr="00132E65">
        <w:rPr>
          <w:rtl/>
        </w:rPr>
        <w:t xml:space="preserve"> ، أو على « أوتادها » فيكون من كلام الإمام </w:t>
      </w:r>
      <w:r w:rsidRPr="00C50204">
        <w:rPr>
          <w:rStyle w:val="libFootnoteAlaemChar"/>
          <w:rtl/>
        </w:rPr>
        <w:t>عليه‌السلام</w:t>
      </w:r>
      <w:r w:rsidRPr="00132E65">
        <w:rPr>
          <w:rtl/>
        </w:rPr>
        <w:t>. والأوّل على هذا أصوب »</w:t>
      </w:r>
      <w:r>
        <w:rPr>
          <w:rtl/>
        </w:rPr>
        <w:t>.</w:t>
      </w:r>
    </w:p>
    <w:p w:rsidR="000C39D1" w:rsidRPr="00132E65" w:rsidRDefault="000C39D1" w:rsidP="000C39D1">
      <w:pPr>
        <w:pStyle w:val="libFootnote0"/>
        <w:rPr>
          <w:rtl/>
          <w:lang w:bidi="fa-IR"/>
        </w:rPr>
      </w:pPr>
      <w:r>
        <w:rPr>
          <w:rtl/>
        </w:rPr>
        <w:t>(6).</w:t>
      </w:r>
      <w:r w:rsidRPr="00132E65">
        <w:rPr>
          <w:rtl/>
        </w:rPr>
        <w:t xml:space="preserve"> ساخت بهم الأرض : خَسَفت. ويعدّى بالهمزة فيقال : أساخه الله. </w:t>
      </w:r>
      <w:r w:rsidRPr="006050A0">
        <w:rPr>
          <w:rStyle w:val="libFootnoteBoldChar"/>
          <w:rtl/>
        </w:rPr>
        <w:t>المصباح المنير</w:t>
      </w:r>
      <w:r w:rsidRPr="00132E65">
        <w:rPr>
          <w:rtl/>
        </w:rPr>
        <w:t xml:space="preserve"> ، ص 294 ( سوخ )</w:t>
      </w:r>
      <w:r>
        <w:rPr>
          <w:rtl/>
        </w:rPr>
        <w:t>.</w:t>
      </w:r>
      <w:r w:rsidRPr="00132E65">
        <w:rPr>
          <w:rtl/>
        </w:rPr>
        <w:t xml:space="preserve"> وفي‌المرآة : « وربّما يقرأ بالحاء المهملة من السياحة كناية عن زلزلة الأرض »</w:t>
      </w:r>
      <w:r>
        <w:rPr>
          <w:rtl/>
        </w:rPr>
        <w:t>.</w:t>
      </w:r>
    </w:p>
    <w:p w:rsidR="000C39D1" w:rsidRPr="00132E65" w:rsidRDefault="000C39D1" w:rsidP="000C39D1">
      <w:pPr>
        <w:pStyle w:val="libFootnote0"/>
        <w:rPr>
          <w:rtl/>
          <w:lang w:bidi="fa-IR"/>
        </w:rPr>
      </w:pPr>
      <w:r>
        <w:rPr>
          <w:rtl/>
        </w:rPr>
        <w:t>(7).</w:t>
      </w:r>
      <w:r w:rsidRPr="00132E65">
        <w:rPr>
          <w:rtl/>
        </w:rPr>
        <w:t xml:space="preserve"> « الإنظار » : التأخير والإمهال. </w:t>
      </w:r>
      <w:r w:rsidRPr="006050A0">
        <w:rPr>
          <w:rStyle w:val="libFootnoteBoldChar"/>
          <w:rtl/>
        </w:rPr>
        <w:t>النهاية</w:t>
      </w:r>
      <w:r w:rsidRPr="00132E65">
        <w:rPr>
          <w:rtl/>
        </w:rPr>
        <w:t xml:space="preserve"> ، ج 5 ، ص 78 ( نظر )</w:t>
      </w:r>
      <w:r>
        <w:rPr>
          <w:rtl/>
        </w:rPr>
        <w:t>.</w:t>
      </w:r>
    </w:p>
    <w:p w:rsidR="000C39D1" w:rsidRPr="00132E65" w:rsidRDefault="000C39D1" w:rsidP="000C39D1">
      <w:pPr>
        <w:pStyle w:val="libFootnote0"/>
        <w:rPr>
          <w:rtl/>
          <w:lang w:bidi="fa-IR"/>
        </w:rPr>
      </w:pPr>
      <w:r>
        <w:rPr>
          <w:rtl/>
        </w:rPr>
        <w:t>(8).</w:t>
      </w:r>
      <w:r w:rsidRPr="00132E65">
        <w:rPr>
          <w:rtl/>
        </w:rPr>
        <w:t xml:space="preserve"> </w:t>
      </w:r>
      <w:r w:rsidRPr="006050A0">
        <w:rPr>
          <w:rStyle w:val="libFootnoteBoldChar"/>
          <w:rtl/>
        </w:rPr>
        <w:t>الغيبة للطوسي</w:t>
      </w:r>
      <w:r w:rsidRPr="00132E65">
        <w:rPr>
          <w:rtl/>
        </w:rPr>
        <w:t xml:space="preserve"> ، ص 138 ، ح 102 ، بسنده عن محمّد بن أحمد بن يحيى ، عن محمّد بن الحسين ؛ </w:t>
      </w:r>
      <w:r w:rsidRPr="00C41A07">
        <w:rPr>
          <w:rtl/>
        </w:rPr>
        <w:t xml:space="preserve">تقريب </w:t>
      </w:r>
      <w:r w:rsidRPr="006050A0">
        <w:rPr>
          <w:rStyle w:val="libFootnoteBoldChar"/>
          <w:rtl/>
        </w:rPr>
        <w:t>المعارف</w:t>
      </w:r>
      <w:r w:rsidRPr="00132E65">
        <w:rPr>
          <w:rtl/>
        </w:rPr>
        <w:t xml:space="preserve"> ، ص 175 ، عن أبي الجارود </w:t>
      </w:r>
      <w:r w:rsidR="006050A0">
        <w:rPr>
          <w:rFonts w:hint="cs"/>
          <w:rtl/>
        </w:rPr>
        <w:t>.</w:t>
      </w:r>
      <w:r w:rsidRPr="009D1ACE">
        <w:rPr>
          <w:rStyle w:val="libFootnoteBoldChar"/>
          <w:rtl/>
        </w:rPr>
        <w:t>الوافي</w:t>
      </w:r>
      <w:r w:rsidRPr="00132E65">
        <w:rPr>
          <w:rtl/>
        </w:rPr>
        <w:t xml:space="preserve"> ، ج 2 ، ص 311 ، ح 772.</w:t>
      </w:r>
    </w:p>
    <w:p w:rsidR="000C39D1" w:rsidRPr="00132E65" w:rsidRDefault="000C39D1" w:rsidP="000C39D1">
      <w:pPr>
        <w:pStyle w:val="libFootnote0"/>
        <w:rPr>
          <w:rtl/>
          <w:lang w:bidi="fa-IR"/>
        </w:rPr>
      </w:pPr>
      <w:r>
        <w:rPr>
          <w:rtl/>
        </w:rPr>
        <w:t>(9).</w:t>
      </w:r>
      <w:r w:rsidRPr="00132E65">
        <w:rPr>
          <w:rtl/>
        </w:rPr>
        <w:t xml:space="preserve"> في « بر » : « نقباء » وعليه فتميز العدد محذوف. والعدد المذكور إمّا مبنيّ على التغليب ، أو إطلاق الولد على‌</w:t>
      </w:r>
      <w:r w:rsidR="006050A0">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مُحَدَّثُونَ ، مُفَهَّمُونَ ، آخِرُهُمُ الْقَائِمُ بِالْحَقِّ ، يَمْلَؤُهَا عَدْلاً كَمَا مُلِئَتْ جَوْراً »</w:t>
      </w:r>
      <w:r>
        <w:rPr>
          <w:rtl/>
          <w:lang w:bidi="fa-IR"/>
        </w:rPr>
        <w:t>.</w:t>
      </w:r>
      <w:r w:rsidRPr="00132E65">
        <w:rPr>
          <w:rtl/>
          <w:lang w:bidi="fa-IR"/>
        </w:rPr>
        <w:t xml:space="preserve"> </w:t>
      </w:r>
      <w:r>
        <w:rPr>
          <w:rStyle w:val="libFootnotenumChar"/>
          <w:rtl/>
        </w:rPr>
        <w:t>(1)</w:t>
      </w:r>
      <w:r w:rsidRPr="00132E65">
        <w:rPr>
          <w:rtl/>
          <w:lang w:bidi="fa-IR"/>
        </w:rPr>
        <w:t xml:space="preserve"> ‌</w:t>
      </w:r>
    </w:p>
    <w:p w:rsidR="000C39D1" w:rsidRPr="00132E65" w:rsidRDefault="000C39D1" w:rsidP="000C39D1">
      <w:pPr>
        <w:pStyle w:val="libNormal"/>
        <w:rPr>
          <w:rtl/>
          <w:lang w:bidi="fa-IR"/>
        </w:rPr>
      </w:pPr>
      <w:r w:rsidRPr="00C41A07">
        <w:rPr>
          <w:rtl/>
        </w:rPr>
        <w:t>1406</w:t>
      </w:r>
      <w:r w:rsidRPr="004325D8">
        <w:rPr>
          <w:rStyle w:val="libBold2Char"/>
          <w:rtl/>
        </w:rPr>
        <w:t xml:space="preserve"> / 19.</w:t>
      </w:r>
      <w:r w:rsidRPr="00132E65">
        <w:rPr>
          <w:rtl/>
          <w:lang w:bidi="fa-IR"/>
        </w:rPr>
        <w:t xml:space="preserve"> عَلِيُّ بْنُ مُحَمَّدٍ و</w:t>
      </w:r>
      <w:r w:rsidR="006050A0">
        <w:rPr>
          <w:rFonts w:hint="cs"/>
          <w:rtl/>
          <w:lang w:bidi="fa-IR"/>
        </w:rPr>
        <w:t>َ</w:t>
      </w:r>
      <w:r w:rsidRPr="00132E65">
        <w:rPr>
          <w:rtl/>
          <w:lang w:bidi="fa-IR"/>
        </w:rPr>
        <w:t xml:space="preserve">مُحَمَّدُ بْنُ الْحَسَنِ </w:t>
      </w:r>
      <w:r>
        <w:rPr>
          <w:rStyle w:val="libFootnotenumChar"/>
          <w:rtl/>
        </w:rPr>
        <w:t>(2)</w:t>
      </w:r>
      <w:r w:rsidRPr="00132E65">
        <w:rPr>
          <w:rtl/>
          <w:lang w:bidi="fa-IR"/>
        </w:rPr>
        <w:t xml:space="preserve"> ، عَنْ سَهْلِ بْنِ زِيَادٍ ، عَنْ مُحَمَّدِ بْنِ الْحَسَنِ بْنِ شَمُّونٍ ، عَنْ عَبْدِ اللهِ بْنِ عَبْدِ الرَّحْمنِ الْأَصَمِّ ، عَنْ كَرَّامٍ ، قَالَ :</w:t>
      </w:r>
    </w:p>
    <w:p w:rsidR="000C39D1" w:rsidRPr="00132E65" w:rsidRDefault="000C39D1" w:rsidP="000C39D1">
      <w:pPr>
        <w:pStyle w:val="libNormal"/>
        <w:rPr>
          <w:rtl/>
          <w:lang w:bidi="fa-IR"/>
        </w:rPr>
      </w:pPr>
      <w:r w:rsidRPr="00132E65">
        <w:rPr>
          <w:rtl/>
          <w:lang w:bidi="fa-IR"/>
        </w:rPr>
        <w:t>حَلَفْتُ فِيمَا بَيْنِي و</w:t>
      </w:r>
      <w:r w:rsidR="006050A0">
        <w:rPr>
          <w:rFonts w:hint="cs"/>
          <w:rtl/>
          <w:lang w:bidi="fa-IR"/>
        </w:rPr>
        <w:t>َ</w:t>
      </w:r>
      <w:r w:rsidR="006050A0">
        <w:rPr>
          <w:rtl/>
          <w:lang w:bidi="fa-IR"/>
        </w:rPr>
        <w:t>بَيْنَ نَفْسِي أَل</w:t>
      </w:r>
      <w:r w:rsidR="006050A0">
        <w:rPr>
          <w:rFonts w:hint="cs"/>
          <w:rtl/>
          <w:lang w:bidi="fa-IR"/>
        </w:rPr>
        <w:t>َّ</w:t>
      </w:r>
      <w:r w:rsidR="006050A0">
        <w:rPr>
          <w:rtl/>
          <w:lang w:bidi="fa-IR"/>
        </w:rPr>
        <w:t>ا</w:t>
      </w:r>
      <w:r w:rsidRPr="00132E65">
        <w:rPr>
          <w:rtl/>
          <w:lang w:bidi="fa-IR"/>
        </w:rPr>
        <w:t xml:space="preserve"> آكُلَ طَعَاماً بِنَهَارٍ أَبَداً حَتّى يَقُومَ قَائِمُ آلِ مُحَمَّدٍ ، فَدَخَلْتُ عَلى أَبِي عَبْدِ اللهِ </w:t>
      </w:r>
      <w:r w:rsidRPr="00071CF9">
        <w:rPr>
          <w:rStyle w:val="libAlaemChar"/>
          <w:rtl/>
        </w:rPr>
        <w:t>عليه‌السلام</w:t>
      </w:r>
      <w:r w:rsidRPr="00132E65">
        <w:rPr>
          <w:rtl/>
          <w:lang w:bidi="fa-IR"/>
        </w:rPr>
        <w:t xml:space="preserve"> ، قَالَ </w:t>
      </w:r>
      <w:r>
        <w:rPr>
          <w:rStyle w:val="libFootnotenumChar"/>
          <w:rtl/>
        </w:rPr>
        <w:t>(3)</w:t>
      </w:r>
      <w:r w:rsidRPr="00132E65">
        <w:rPr>
          <w:rtl/>
          <w:lang w:bidi="fa-IR"/>
        </w:rPr>
        <w:t xml:space="preserve"> : فَقُلْتُ لَهُ : رَجُلٌ مِنْ شِيعَتِكُمْ </w:t>
      </w:r>
      <w:r>
        <w:rPr>
          <w:rStyle w:val="libFootnotenumChar"/>
          <w:rtl/>
        </w:rPr>
        <w:t>(4)</w:t>
      </w:r>
      <w:r w:rsidRPr="00132E65">
        <w:rPr>
          <w:rtl/>
          <w:lang w:bidi="fa-IR"/>
        </w:rPr>
        <w:t xml:space="preserve"> جَعَلَ لِلّهِ </w:t>
      </w:r>
      <w:r>
        <w:rPr>
          <w:rStyle w:val="libFootnotenumChar"/>
          <w:rtl/>
        </w:rPr>
        <w:t>(5)</w:t>
      </w:r>
      <w:r w:rsidR="006050A0">
        <w:rPr>
          <w:rtl/>
          <w:lang w:bidi="fa-IR"/>
        </w:rPr>
        <w:t xml:space="preserve"> عَلَيْهِ أَل</w:t>
      </w:r>
      <w:r w:rsidR="006050A0">
        <w:rPr>
          <w:rFonts w:hint="cs"/>
          <w:rtl/>
          <w:lang w:bidi="fa-IR"/>
        </w:rPr>
        <w:t>َّ</w:t>
      </w:r>
      <w:r w:rsidR="006050A0">
        <w:rPr>
          <w:rtl/>
          <w:lang w:bidi="fa-IR"/>
        </w:rPr>
        <w:t>ا</w:t>
      </w:r>
      <w:r w:rsidRPr="00132E65">
        <w:rPr>
          <w:rtl/>
          <w:lang w:bidi="fa-IR"/>
        </w:rPr>
        <w:t xml:space="preserve"> يَأْكُلَ طَعَاماً بِنَهَارٍ أَبَداً حَتّى يَقُومَ قَائِمُ آلِ مُحَمَّدٍ</w:t>
      </w:r>
      <w:r>
        <w:rPr>
          <w:rtl/>
          <w:lang w:bidi="fa-IR"/>
        </w:rPr>
        <w:t>؟</w:t>
      </w:r>
    </w:p>
    <w:p w:rsidR="000C39D1" w:rsidRPr="00132E65" w:rsidRDefault="000C39D1" w:rsidP="000C39D1">
      <w:pPr>
        <w:pStyle w:val="libNormal"/>
        <w:rPr>
          <w:rtl/>
          <w:lang w:bidi="fa-IR"/>
        </w:rPr>
      </w:pPr>
      <w:r w:rsidRPr="00132E65">
        <w:rPr>
          <w:rtl/>
          <w:lang w:bidi="fa-IR"/>
        </w:rPr>
        <w:t xml:space="preserve">قَالَ : « فَصُمْ </w:t>
      </w:r>
      <w:r>
        <w:rPr>
          <w:rStyle w:val="libFootnotenumChar"/>
          <w:rtl/>
        </w:rPr>
        <w:t>(6)</w:t>
      </w:r>
      <w:r w:rsidRPr="00132E65">
        <w:rPr>
          <w:rtl/>
          <w:lang w:bidi="fa-IR"/>
        </w:rPr>
        <w:t xml:space="preserve"> إِذاً </w:t>
      </w:r>
      <w:r>
        <w:rPr>
          <w:rStyle w:val="libFootnotenumChar"/>
          <w:rtl/>
        </w:rPr>
        <w:t>(7)</w:t>
      </w:r>
      <w:r w:rsidRPr="00132E65">
        <w:rPr>
          <w:rtl/>
          <w:lang w:bidi="fa-IR"/>
        </w:rPr>
        <w:t xml:space="preserve"> يَا كَرَّامُ ، و</w:t>
      </w:r>
      <w:r w:rsidR="00D644C7">
        <w:rPr>
          <w:rFonts w:hint="cs"/>
          <w:rtl/>
          <w:lang w:bidi="fa-IR"/>
        </w:rPr>
        <w:t>َ</w:t>
      </w:r>
      <w:r w:rsidRPr="00132E65">
        <w:rPr>
          <w:rtl/>
          <w:lang w:bidi="fa-IR"/>
        </w:rPr>
        <w:t>لَاتَصُمِ الْعِيدَيْنِ ، و</w:t>
      </w:r>
      <w:r w:rsidR="00D644C7">
        <w:rPr>
          <w:rFonts w:hint="cs"/>
          <w:rtl/>
          <w:lang w:bidi="fa-IR"/>
        </w:rPr>
        <w:t>َ</w:t>
      </w:r>
      <w:r w:rsidRPr="00132E65">
        <w:rPr>
          <w:rtl/>
          <w:lang w:bidi="fa-IR"/>
        </w:rPr>
        <w:t xml:space="preserve">لَاثَلَاثَةَ </w:t>
      </w:r>
      <w:r>
        <w:rPr>
          <w:rStyle w:val="libFootnotenumChar"/>
          <w:rtl/>
        </w:rPr>
        <w:t>(8)</w:t>
      </w:r>
      <w:r w:rsidRPr="00132E65">
        <w:rPr>
          <w:rtl/>
          <w:lang w:bidi="fa-IR"/>
        </w:rPr>
        <w:t xml:space="preserve"> التَّشْرِيقِ ، و</w:t>
      </w:r>
      <w:r w:rsidR="00D644C7">
        <w:rPr>
          <w:rFonts w:hint="cs"/>
          <w:rtl/>
          <w:lang w:bidi="fa-IR"/>
        </w:rPr>
        <w:t>َ</w:t>
      </w:r>
      <w:r w:rsidRPr="00132E65">
        <w:rPr>
          <w:rtl/>
          <w:lang w:bidi="fa-IR"/>
        </w:rPr>
        <w:t>لَا</w:t>
      </w:r>
      <w:r>
        <w:rPr>
          <w:rFonts w:hint="cs"/>
          <w:rtl/>
          <w:lang w:bidi="fa-IR"/>
        </w:rPr>
        <w:t xml:space="preserve"> </w:t>
      </w:r>
      <w:r w:rsidRPr="00132E65">
        <w:rPr>
          <w:rtl/>
          <w:lang w:bidi="fa-IR"/>
        </w:rPr>
        <w:t>إِذَا كُنْتَ مُسَافِراً و</w:t>
      </w:r>
      <w:r w:rsidR="00D644C7">
        <w:rPr>
          <w:rFonts w:hint="cs"/>
          <w:rtl/>
          <w:lang w:bidi="fa-IR"/>
        </w:rPr>
        <w:t>َ</w:t>
      </w:r>
      <w:r w:rsidRPr="00132E65">
        <w:rPr>
          <w:rtl/>
          <w:lang w:bidi="fa-IR"/>
        </w:rPr>
        <w:t xml:space="preserve">لَامَرِيضاً </w:t>
      </w:r>
      <w:r>
        <w:rPr>
          <w:rStyle w:val="libFootnotenumChar"/>
          <w:rtl/>
        </w:rPr>
        <w:t>(9)</w:t>
      </w:r>
      <w:r w:rsidRPr="00132E65">
        <w:rPr>
          <w:rtl/>
          <w:lang w:bidi="fa-IR"/>
        </w:rPr>
        <w:t xml:space="preserve"> ؛ فَإِنَّ الْحُسَيْنَ </w:t>
      </w:r>
      <w:r w:rsidRPr="00071CF9">
        <w:rPr>
          <w:rStyle w:val="libAlaemChar"/>
          <w:rtl/>
        </w:rPr>
        <w:t>عليه‌السلام</w:t>
      </w:r>
      <w:r w:rsidRPr="00132E65">
        <w:rPr>
          <w:rtl/>
          <w:lang w:bidi="fa-IR"/>
        </w:rPr>
        <w:t xml:space="preserve"> لَمَّا قُتِلَ عَجَّتِ السَّمَاوَاتُ و</w:t>
      </w:r>
      <w:r w:rsidR="00D644C7">
        <w:rPr>
          <w:rFonts w:hint="cs"/>
          <w:rtl/>
          <w:lang w:bidi="fa-IR"/>
        </w:rPr>
        <w:t>َ</w:t>
      </w:r>
      <w:r w:rsidRPr="00132E65">
        <w:rPr>
          <w:rtl/>
          <w:lang w:bidi="fa-IR"/>
        </w:rPr>
        <w:t>الْأَرْضُ و</w:t>
      </w:r>
      <w:r w:rsidR="00D644C7">
        <w:rPr>
          <w:rFonts w:hint="cs"/>
          <w:rtl/>
          <w:lang w:bidi="fa-IR"/>
        </w:rPr>
        <w:t>َ</w:t>
      </w:r>
      <w:r w:rsidRPr="00132E65">
        <w:rPr>
          <w:rtl/>
          <w:lang w:bidi="fa-IR"/>
        </w:rPr>
        <w:t xml:space="preserve">مَنْ عَلَيْهِمَا </w:t>
      </w:r>
      <w:r>
        <w:rPr>
          <w:rStyle w:val="libFootnotenumChar"/>
          <w:rtl/>
        </w:rPr>
        <w:t>(10)</w:t>
      </w:r>
      <w:r w:rsidRPr="00132E65">
        <w:rPr>
          <w:rtl/>
          <w:lang w:bidi="fa-IR"/>
        </w:rPr>
        <w:t xml:space="preserve"> و</w:t>
      </w:r>
      <w:r w:rsidR="00D644C7">
        <w:rPr>
          <w:rFonts w:hint="cs"/>
          <w:rtl/>
          <w:lang w:bidi="fa-IR"/>
        </w:rPr>
        <w:t>َ</w:t>
      </w:r>
      <w:r w:rsidRPr="00132E65">
        <w:rPr>
          <w:rtl/>
          <w:lang w:bidi="fa-IR"/>
        </w:rPr>
        <w:t xml:space="preserve">الْمَلَائِكَةُ ، فَقَالُوا : يَا رَبَّنَا ، ائْذَنْ </w:t>
      </w:r>
      <w:r>
        <w:rPr>
          <w:rStyle w:val="libFootnotenumChar"/>
          <w:rtl/>
        </w:rPr>
        <w:t>(11)</w:t>
      </w:r>
      <w:r w:rsidRPr="00132E65">
        <w:rPr>
          <w:rtl/>
          <w:lang w:bidi="fa-IR"/>
        </w:rPr>
        <w:t xml:space="preserve"> لَنَا فِي هَلَاكِ </w:t>
      </w:r>
      <w:r>
        <w:rPr>
          <w:rStyle w:val="libFootnotenumChar"/>
          <w:rtl/>
        </w:rPr>
        <w:t>(12)</w:t>
      </w:r>
      <w:r w:rsidRPr="00132E65">
        <w:rPr>
          <w:rtl/>
          <w:lang w:bidi="fa-IR"/>
        </w:rPr>
        <w:t xml:space="preserve"> الْخَلْقِ حَتّى نَجُدَّهُمْ </w:t>
      </w:r>
      <w:r w:rsidRPr="00F543F1">
        <w:rPr>
          <w:rStyle w:val="libFootnotenumChar"/>
          <w:rtl/>
        </w:rPr>
        <w:t>(13)</w:t>
      </w:r>
      <w:r w:rsidRPr="00132E65">
        <w:rPr>
          <w:rtl/>
          <w:lang w:bidi="fa-IR"/>
        </w:rPr>
        <w:t xml:space="preserve"> عَنْ </w:t>
      </w:r>
      <w:r w:rsidRPr="00F543F1">
        <w:rPr>
          <w:rStyle w:val="libFootnotenumChar"/>
          <w:rtl/>
        </w:rPr>
        <w:t>(14)</w:t>
      </w:r>
      <w:r w:rsidRPr="00132E65">
        <w:rPr>
          <w:rtl/>
          <w:lang w:bidi="fa-IR"/>
        </w:rPr>
        <w:t xml:space="preserve"> جَدِيدِ </w:t>
      </w:r>
      <w:r w:rsidRPr="00F543F1">
        <w:rPr>
          <w:rStyle w:val="libFootnotenumChar"/>
          <w:rtl/>
        </w:rPr>
        <w:t>(15)</w:t>
      </w:r>
      <w:r w:rsidRPr="00132E65">
        <w:rPr>
          <w:rtl/>
          <w:lang w:bidi="fa-IR"/>
        </w:rPr>
        <w:t xml:space="preserve"> الْأَرْضِ بِمَا اسْتَحَلُّوا حُرْمَتَكَ ، و</w:t>
      </w:r>
      <w:r w:rsidR="00D644C7">
        <w:rPr>
          <w:rFonts w:hint="cs"/>
          <w:rtl/>
          <w:lang w:bidi="fa-IR"/>
        </w:rPr>
        <w:t>َ</w:t>
      </w:r>
      <w:r w:rsidRPr="00132E65">
        <w:rPr>
          <w:rtl/>
          <w:lang w:bidi="fa-IR"/>
        </w:rPr>
        <w:t>قَتَلُوا صَفْوَتَكَ ؛ فَأَوْحَى اللهُ إِلَيْهِمْ : يَا مَلَائِكَتِي‌</w:t>
      </w:r>
    </w:p>
    <w:p w:rsidR="000C39D1" w:rsidRPr="00132E65" w:rsidRDefault="000C39D1" w:rsidP="000C39D1">
      <w:pPr>
        <w:pStyle w:val="libLine"/>
        <w:rPr>
          <w:rtl/>
          <w:lang w:bidi="fa-IR"/>
        </w:rPr>
      </w:pPr>
      <w:r w:rsidRPr="00132E65">
        <w:rPr>
          <w:rtl/>
          <w:lang w:bidi="fa-IR"/>
        </w:rPr>
        <w:t>__________________</w:t>
      </w:r>
    </w:p>
    <w:p w:rsidR="000C39D1" w:rsidRPr="00132E65" w:rsidRDefault="00D644C7" w:rsidP="000C39D1">
      <w:pPr>
        <w:pStyle w:val="libFootnote0"/>
        <w:rPr>
          <w:rtl/>
          <w:lang w:bidi="fa-IR"/>
        </w:rPr>
      </w:pPr>
      <w:r>
        <w:rPr>
          <w:rFonts w:hint="cs"/>
          <w:rtl/>
        </w:rPr>
        <w:t>=</w:t>
      </w:r>
      <w:r w:rsidR="000C39D1" w:rsidRPr="00132E65">
        <w:rPr>
          <w:rtl/>
        </w:rPr>
        <w:t xml:space="preserve">عليّ </w:t>
      </w:r>
      <w:r w:rsidR="000C39D1" w:rsidRPr="00C50204">
        <w:rPr>
          <w:rStyle w:val="libFootnoteAlaemChar"/>
          <w:rtl/>
        </w:rPr>
        <w:t>عليه‌السلام</w:t>
      </w:r>
      <w:r w:rsidR="000C39D1" w:rsidRPr="00132E65">
        <w:rPr>
          <w:rtl/>
        </w:rPr>
        <w:t xml:space="preserve"> مجازاً ، واحتمال دخول فاطمة </w:t>
      </w:r>
      <w:r w:rsidR="000C39D1" w:rsidRPr="00D644C7">
        <w:rPr>
          <w:rStyle w:val="libFootnoteAlaemChar"/>
          <w:rtl/>
        </w:rPr>
        <w:t>عليها‌السلام</w:t>
      </w:r>
      <w:r w:rsidR="000C39D1" w:rsidRPr="00132E65">
        <w:rPr>
          <w:rtl/>
        </w:rPr>
        <w:t xml:space="preserve"> في العدد. واستبعده في </w:t>
      </w:r>
      <w:r w:rsidR="000C39D1" w:rsidRPr="009D1ACE">
        <w:rPr>
          <w:rStyle w:val="libFootnoteBoldChar"/>
          <w:rtl/>
        </w:rPr>
        <w:t>مرآة العقول</w:t>
      </w:r>
      <w:r w:rsidR="000C39D1" w:rsidRPr="00132E65">
        <w:rPr>
          <w:rtl/>
        </w:rPr>
        <w:t xml:space="preserve"> ، ج 6 ، ص 233. وراجع : </w:t>
      </w:r>
      <w:r w:rsidR="000C39D1" w:rsidRPr="00D644C7">
        <w:rPr>
          <w:rStyle w:val="libFootnoteBoldChar"/>
          <w:rtl/>
        </w:rPr>
        <w:t>شرح المازندراني</w:t>
      </w:r>
      <w:r w:rsidR="000C39D1" w:rsidRPr="00132E65">
        <w:rPr>
          <w:rtl/>
        </w:rPr>
        <w:t xml:space="preserve"> ، ج 7 ، ص 381.</w:t>
      </w:r>
    </w:p>
    <w:p w:rsidR="000C39D1" w:rsidRPr="00132E65" w:rsidRDefault="000C39D1" w:rsidP="000C39D1">
      <w:pPr>
        <w:pStyle w:val="libFootnote0"/>
        <w:rPr>
          <w:rtl/>
          <w:lang w:bidi="fa-IR"/>
        </w:rPr>
      </w:pPr>
      <w:r>
        <w:rPr>
          <w:rtl/>
        </w:rPr>
        <w:t>(1).</w:t>
      </w:r>
      <w:r w:rsidRPr="00132E65">
        <w:rPr>
          <w:rtl/>
        </w:rPr>
        <w:t xml:space="preserve"> </w:t>
      </w:r>
      <w:r w:rsidRPr="00D644C7">
        <w:rPr>
          <w:rStyle w:val="libFootnoteBoldChar"/>
          <w:rtl/>
        </w:rPr>
        <w:t>تقريب المعارف</w:t>
      </w:r>
      <w:r w:rsidRPr="00132E65">
        <w:rPr>
          <w:rtl/>
        </w:rPr>
        <w:t xml:space="preserve"> ، ص 176 مرسلاً عن أبي جعفر </w:t>
      </w:r>
      <w:r w:rsidRPr="00D644C7">
        <w:rPr>
          <w:rStyle w:val="libFootnoteAlaemChar"/>
          <w:rtl/>
        </w:rPr>
        <w:t>عليه‌السلام</w:t>
      </w:r>
      <w:r w:rsidRPr="00132E65">
        <w:rPr>
          <w:rtl/>
        </w:rPr>
        <w:t xml:space="preserve"> </w:t>
      </w:r>
      <w:r w:rsidR="00D644C7">
        <w:rPr>
          <w:rFonts w:hint="cs"/>
          <w:rtl/>
        </w:rPr>
        <w:t>.</w:t>
      </w:r>
      <w:r w:rsidRPr="009D1ACE">
        <w:rPr>
          <w:rStyle w:val="libFootnoteBoldChar"/>
          <w:rtl/>
        </w:rPr>
        <w:t>الوافي</w:t>
      </w:r>
      <w:r w:rsidRPr="00132E65">
        <w:rPr>
          <w:rtl/>
        </w:rPr>
        <w:t xml:space="preserve"> ، ج 2 ، ص 311 ، ح 773.</w:t>
      </w:r>
    </w:p>
    <w:tbl>
      <w:tblPr>
        <w:tblStyle w:val="TableGrid"/>
        <w:bidiVisual/>
        <w:tblW w:w="0" w:type="auto"/>
        <w:tblLook w:val="04A0" w:firstRow="1" w:lastRow="0" w:firstColumn="1" w:lastColumn="0" w:noHBand="0" w:noVBand="1"/>
      </w:tblPr>
      <w:tblGrid>
        <w:gridCol w:w="4261"/>
        <w:gridCol w:w="4262"/>
      </w:tblGrid>
      <w:tr w:rsidR="00D644C7" w:rsidTr="00D644C7">
        <w:tc>
          <w:tcPr>
            <w:tcW w:w="4261" w:type="dxa"/>
          </w:tcPr>
          <w:p w:rsidR="00D644C7" w:rsidRDefault="00D644C7" w:rsidP="000C39D1">
            <w:pPr>
              <w:pStyle w:val="libFootnote0"/>
              <w:rPr>
                <w:rtl/>
              </w:rPr>
            </w:pPr>
            <w:r>
              <w:rPr>
                <w:rtl/>
              </w:rPr>
              <w:t>(2).</w:t>
            </w:r>
            <w:r w:rsidRPr="00132E65">
              <w:rPr>
                <w:rtl/>
              </w:rPr>
              <w:t xml:space="preserve"> في الغيبة للنعماني </w:t>
            </w:r>
            <w:r>
              <w:rPr>
                <w:rtl/>
              </w:rPr>
              <w:t xml:space="preserve">: - </w:t>
            </w:r>
            <w:r w:rsidRPr="00132E65">
              <w:rPr>
                <w:rtl/>
              </w:rPr>
              <w:t>« ومحمّد بن الحسن »</w:t>
            </w:r>
            <w:r>
              <w:rPr>
                <w:rtl/>
              </w:rPr>
              <w:t>.</w:t>
            </w:r>
          </w:p>
        </w:tc>
        <w:tc>
          <w:tcPr>
            <w:tcW w:w="4262" w:type="dxa"/>
          </w:tcPr>
          <w:p w:rsidR="00D644C7" w:rsidRDefault="00D644C7" w:rsidP="000C39D1">
            <w:pPr>
              <w:pStyle w:val="libFootnote0"/>
              <w:rPr>
                <w:rtl/>
              </w:rPr>
            </w:pPr>
            <w:r>
              <w:rPr>
                <w:rtl/>
              </w:rPr>
              <w:t>(3).</w:t>
            </w:r>
            <w:r w:rsidRPr="00132E65">
              <w:rPr>
                <w:rtl/>
              </w:rPr>
              <w:t xml:space="preserve"> في الغيبة للنعماني </w:t>
            </w:r>
            <w:r>
              <w:rPr>
                <w:rtl/>
              </w:rPr>
              <w:t xml:space="preserve">: - </w:t>
            </w:r>
            <w:r w:rsidRPr="00132E65">
              <w:rPr>
                <w:rtl/>
              </w:rPr>
              <w:t>« قال »</w:t>
            </w:r>
            <w:r>
              <w:rPr>
                <w:rtl/>
              </w:rPr>
              <w:t>.</w:t>
            </w:r>
          </w:p>
        </w:tc>
      </w:tr>
      <w:tr w:rsidR="00D644C7" w:rsidTr="00D644C7">
        <w:tc>
          <w:tcPr>
            <w:tcW w:w="4261" w:type="dxa"/>
          </w:tcPr>
          <w:p w:rsidR="00D644C7" w:rsidRDefault="00D644C7" w:rsidP="000C39D1">
            <w:pPr>
              <w:pStyle w:val="libFootnote0"/>
              <w:rPr>
                <w:rtl/>
              </w:rPr>
            </w:pPr>
            <w:r>
              <w:rPr>
                <w:rtl/>
              </w:rPr>
              <w:t>(4).</w:t>
            </w:r>
            <w:r w:rsidRPr="00132E65">
              <w:rPr>
                <w:rtl/>
              </w:rPr>
              <w:t xml:space="preserve"> في الغيبة للنعماني : « شيعتك »</w:t>
            </w:r>
            <w:r>
              <w:rPr>
                <w:rtl/>
              </w:rPr>
              <w:t>.</w:t>
            </w:r>
          </w:p>
        </w:tc>
        <w:tc>
          <w:tcPr>
            <w:tcW w:w="4262" w:type="dxa"/>
          </w:tcPr>
          <w:p w:rsidR="00D644C7" w:rsidRDefault="00D644C7" w:rsidP="000C39D1">
            <w:pPr>
              <w:pStyle w:val="libFootnote0"/>
              <w:rPr>
                <w:rtl/>
              </w:rPr>
            </w:pPr>
            <w:r>
              <w:rPr>
                <w:rtl/>
              </w:rPr>
              <w:t>(5).</w:t>
            </w:r>
            <w:r w:rsidRPr="00132E65">
              <w:rPr>
                <w:rtl/>
              </w:rPr>
              <w:t xml:space="preserve"> في البحار : « الله »</w:t>
            </w:r>
            <w:r>
              <w:rPr>
                <w:rtl/>
              </w:rPr>
              <w:t>.</w:t>
            </w:r>
          </w:p>
        </w:tc>
      </w:tr>
    </w:tbl>
    <w:p w:rsidR="000C39D1" w:rsidRPr="00132E65" w:rsidRDefault="000C39D1" w:rsidP="00D644C7">
      <w:pPr>
        <w:pStyle w:val="libFootnote0"/>
        <w:rPr>
          <w:rtl/>
          <w:lang w:bidi="fa-IR"/>
        </w:rPr>
      </w:pPr>
      <w:r>
        <w:rPr>
          <w:rtl/>
        </w:rPr>
        <w:t>(6).</w:t>
      </w:r>
      <w:r w:rsidRPr="00132E65">
        <w:rPr>
          <w:rtl/>
        </w:rPr>
        <w:t xml:space="preserve"> في الغيبة للنعماني : « فقال : صم »</w:t>
      </w:r>
      <w:r>
        <w:rPr>
          <w:rtl/>
        </w:rPr>
        <w:t>.</w:t>
      </w:r>
      <w:r w:rsidRPr="00132E65">
        <w:rPr>
          <w:rtl/>
        </w:rPr>
        <w:t xml:space="preserve"> وفي الوسائل ، ح 13652 : « فسألته فقال : صم » بدل « قال : فقلت له : رجل</w:t>
      </w:r>
      <w:r>
        <w:rPr>
          <w:rtl/>
        </w:rPr>
        <w:t xml:space="preserve"> - </w:t>
      </w:r>
      <w:r w:rsidRPr="00132E65">
        <w:rPr>
          <w:rtl/>
        </w:rPr>
        <w:t>إلى</w:t>
      </w:r>
      <w:r>
        <w:rPr>
          <w:rtl/>
        </w:rPr>
        <w:t xml:space="preserve"> - </w:t>
      </w:r>
      <w:r w:rsidRPr="00132E65">
        <w:rPr>
          <w:rtl/>
        </w:rPr>
        <w:t>فصم »</w:t>
      </w:r>
      <w:r>
        <w:rPr>
          <w:rtl/>
        </w:rPr>
        <w:t>.</w:t>
      </w:r>
      <w:r w:rsidR="00C50204">
        <w:rPr>
          <w:rFonts w:hint="cs"/>
          <w:rtl/>
        </w:rPr>
        <w:t xml:space="preserve">            </w:t>
      </w:r>
      <w:r w:rsidR="00D644C7">
        <w:rPr>
          <w:rFonts w:hint="cs"/>
          <w:rtl/>
        </w:rPr>
        <w:t xml:space="preserve">                             </w:t>
      </w:r>
      <w:r>
        <w:rPr>
          <w:rtl/>
        </w:rPr>
        <w:t>(7).</w:t>
      </w:r>
      <w:r w:rsidRPr="00132E65">
        <w:rPr>
          <w:rtl/>
        </w:rPr>
        <w:t xml:space="preserve"> في الغيبة للنعماني </w:t>
      </w:r>
      <w:r>
        <w:rPr>
          <w:rtl/>
        </w:rPr>
        <w:t xml:space="preserve">: - </w:t>
      </w:r>
      <w:r w:rsidRPr="00132E65">
        <w:rPr>
          <w:rtl/>
        </w:rPr>
        <w:t>« إذاً »</w:t>
      </w:r>
      <w:r>
        <w:rPr>
          <w:rtl/>
        </w:rPr>
        <w:t>.</w:t>
      </w:r>
    </w:p>
    <w:p w:rsidR="000C39D1" w:rsidRPr="00132E65" w:rsidRDefault="000C39D1" w:rsidP="000C39D1">
      <w:pPr>
        <w:pStyle w:val="libFootnote0"/>
        <w:rPr>
          <w:rtl/>
          <w:lang w:bidi="fa-IR"/>
        </w:rPr>
      </w:pPr>
      <w:r>
        <w:rPr>
          <w:rtl/>
        </w:rPr>
        <w:t>(8).</w:t>
      </w:r>
      <w:r w:rsidRPr="00132E65">
        <w:rPr>
          <w:rtl/>
        </w:rPr>
        <w:t xml:space="preserve"> في « ف » :</w:t>
      </w:r>
      <w:r>
        <w:rPr>
          <w:rtl/>
        </w:rPr>
        <w:t xml:space="preserve"> + </w:t>
      </w:r>
      <w:r w:rsidRPr="00132E65">
        <w:rPr>
          <w:rtl/>
        </w:rPr>
        <w:t>« من أيّام »</w:t>
      </w:r>
      <w:r>
        <w:rPr>
          <w:rtl/>
        </w:rPr>
        <w:t>.</w:t>
      </w:r>
      <w:r w:rsidRPr="00132E65">
        <w:rPr>
          <w:rtl/>
        </w:rPr>
        <w:t xml:space="preserve"> وفي الغيبة للنعماني :</w:t>
      </w:r>
      <w:r>
        <w:rPr>
          <w:rtl/>
        </w:rPr>
        <w:t xml:space="preserve"> + </w:t>
      </w:r>
      <w:r w:rsidRPr="00132E65">
        <w:rPr>
          <w:rtl/>
        </w:rPr>
        <w:t>« أيّام »</w:t>
      </w:r>
      <w:r>
        <w:rPr>
          <w:rtl/>
        </w:rPr>
        <w:t>.</w:t>
      </w:r>
    </w:p>
    <w:tbl>
      <w:tblPr>
        <w:tblStyle w:val="TableGrid"/>
        <w:bidiVisual/>
        <w:tblW w:w="0" w:type="auto"/>
        <w:tblLook w:val="04A0" w:firstRow="1" w:lastRow="0" w:firstColumn="1" w:lastColumn="0" w:noHBand="0" w:noVBand="1"/>
      </w:tblPr>
      <w:tblGrid>
        <w:gridCol w:w="4261"/>
        <w:gridCol w:w="4262"/>
      </w:tblGrid>
      <w:tr w:rsidR="00D644C7" w:rsidTr="00D644C7">
        <w:tc>
          <w:tcPr>
            <w:tcW w:w="4261" w:type="dxa"/>
          </w:tcPr>
          <w:p w:rsidR="00D644C7" w:rsidRDefault="00D644C7" w:rsidP="000C39D1">
            <w:pPr>
              <w:pStyle w:val="libFootnote0"/>
              <w:rPr>
                <w:rtl/>
              </w:rPr>
            </w:pPr>
            <w:r>
              <w:rPr>
                <w:rtl/>
              </w:rPr>
              <w:t>(9).</w:t>
            </w:r>
            <w:r w:rsidRPr="00132E65">
              <w:rPr>
                <w:rtl/>
              </w:rPr>
              <w:t xml:space="preserve"> في الغيبة للنعماني </w:t>
            </w:r>
            <w:r>
              <w:rPr>
                <w:rtl/>
              </w:rPr>
              <w:t xml:space="preserve">: - </w:t>
            </w:r>
            <w:r w:rsidRPr="00132E65">
              <w:rPr>
                <w:rtl/>
              </w:rPr>
              <w:t>« ولا مريضاً »</w:t>
            </w:r>
            <w:r>
              <w:rPr>
                <w:rtl/>
              </w:rPr>
              <w:t>.</w:t>
            </w:r>
          </w:p>
        </w:tc>
        <w:tc>
          <w:tcPr>
            <w:tcW w:w="4262" w:type="dxa"/>
          </w:tcPr>
          <w:p w:rsidR="00D644C7" w:rsidRDefault="00D644C7" w:rsidP="000C39D1">
            <w:pPr>
              <w:pStyle w:val="libFootnote0"/>
              <w:rPr>
                <w:rtl/>
              </w:rPr>
            </w:pPr>
            <w:r>
              <w:rPr>
                <w:rtl/>
              </w:rPr>
              <w:t>(10).في «ج،ف،</w:t>
            </w:r>
            <w:r w:rsidRPr="00132E65">
              <w:rPr>
                <w:rtl/>
              </w:rPr>
              <w:t>بح » و</w:t>
            </w:r>
            <w:r w:rsidRPr="009D1ACE">
              <w:rPr>
                <w:rStyle w:val="libFootnoteBoldChar"/>
                <w:rtl/>
              </w:rPr>
              <w:t>الوافي</w:t>
            </w:r>
            <w:r>
              <w:rPr>
                <w:rtl/>
              </w:rPr>
              <w:t>:«عليها</w:t>
            </w:r>
            <w:r w:rsidRPr="00132E65">
              <w:rPr>
                <w:rtl/>
              </w:rPr>
              <w:t>» أي على الأرض.</w:t>
            </w:r>
          </w:p>
        </w:tc>
      </w:tr>
      <w:tr w:rsidR="00D644C7" w:rsidTr="00D644C7">
        <w:tc>
          <w:tcPr>
            <w:tcW w:w="4261" w:type="dxa"/>
          </w:tcPr>
          <w:p w:rsidR="00D644C7" w:rsidRDefault="00D644C7" w:rsidP="000C39D1">
            <w:pPr>
              <w:pStyle w:val="libFootnote0"/>
              <w:rPr>
                <w:rtl/>
              </w:rPr>
            </w:pPr>
            <w:r>
              <w:rPr>
                <w:rtl/>
              </w:rPr>
              <w:t>(11).</w:t>
            </w:r>
            <w:r w:rsidRPr="00132E65">
              <w:rPr>
                <w:rtl/>
              </w:rPr>
              <w:t xml:space="preserve"> في الغيبة للنعماني : « أتأذن »</w:t>
            </w:r>
            <w:r>
              <w:rPr>
                <w:rtl/>
              </w:rPr>
              <w:t>.</w:t>
            </w:r>
          </w:p>
        </w:tc>
        <w:tc>
          <w:tcPr>
            <w:tcW w:w="4262" w:type="dxa"/>
          </w:tcPr>
          <w:p w:rsidR="00D644C7" w:rsidRDefault="00D644C7" w:rsidP="000C39D1">
            <w:pPr>
              <w:pStyle w:val="libFootnote0"/>
              <w:rPr>
                <w:rtl/>
              </w:rPr>
            </w:pPr>
            <w:r>
              <w:rPr>
                <w:rtl/>
              </w:rPr>
              <w:t>(12).</w:t>
            </w:r>
            <w:r w:rsidRPr="00132E65">
              <w:rPr>
                <w:rtl/>
              </w:rPr>
              <w:t xml:space="preserve"> في « ض » : « إهلاك »</w:t>
            </w:r>
            <w:r>
              <w:rPr>
                <w:rtl/>
              </w:rPr>
              <w:t>.</w:t>
            </w:r>
          </w:p>
        </w:tc>
      </w:tr>
    </w:tbl>
    <w:p w:rsidR="000C39D1" w:rsidRPr="00132E65" w:rsidRDefault="000C39D1" w:rsidP="000C39D1">
      <w:pPr>
        <w:pStyle w:val="libFootnote0"/>
        <w:rPr>
          <w:rtl/>
          <w:lang w:bidi="fa-IR"/>
        </w:rPr>
      </w:pPr>
      <w:r>
        <w:rPr>
          <w:rtl/>
        </w:rPr>
        <w:t>(13)</w:t>
      </w:r>
      <w:r w:rsidRPr="00132E65">
        <w:rPr>
          <w:rtl/>
        </w:rPr>
        <w:t xml:space="preserve"> في « بح ، بف » وحاشية « ج ، ض » وشرح المازندراني و</w:t>
      </w:r>
      <w:r w:rsidRPr="009D1ACE">
        <w:rPr>
          <w:rStyle w:val="libFootnoteBoldChar"/>
          <w:rtl/>
        </w:rPr>
        <w:t>الوافي</w:t>
      </w:r>
      <w:r w:rsidRPr="00132E65">
        <w:rPr>
          <w:rtl/>
        </w:rPr>
        <w:t xml:space="preserve"> : « نجليهم » من الإجلاء. وفي « ج » والغيبة للنعماني : « نجذّهم »</w:t>
      </w:r>
      <w:r>
        <w:rPr>
          <w:rtl/>
        </w:rPr>
        <w:t>.</w:t>
      </w:r>
      <w:r w:rsidRPr="00132E65">
        <w:rPr>
          <w:rtl/>
        </w:rPr>
        <w:t xml:space="preserve"> « جدّه » بالمهملة ، </w:t>
      </w:r>
      <w:r>
        <w:rPr>
          <w:rtl/>
        </w:rPr>
        <w:t>و «</w:t>
      </w:r>
      <w:r w:rsidRPr="00132E65">
        <w:rPr>
          <w:rtl/>
        </w:rPr>
        <w:t xml:space="preserve"> جذّه » بالمعجمة بمعنى واحد. وجددت الشي‌ء أجُدّه جدّاً : قطعته. والمراد : نستأصلهم. </w:t>
      </w:r>
      <w:r w:rsidRPr="00D644C7">
        <w:rPr>
          <w:rStyle w:val="libFootnoteBoldChar"/>
          <w:rtl/>
        </w:rPr>
        <w:t>الصحاح</w:t>
      </w:r>
      <w:r w:rsidRPr="00132E65">
        <w:rPr>
          <w:rtl/>
        </w:rPr>
        <w:t xml:space="preserve"> ، ج 2 ، ص 454 ( جدد )</w:t>
      </w:r>
      <w:r>
        <w:rPr>
          <w:rtl/>
        </w:rPr>
        <w:t>.</w:t>
      </w:r>
    </w:p>
    <w:p w:rsidR="000C39D1" w:rsidRPr="00132E65" w:rsidRDefault="000C39D1" w:rsidP="000C39D1">
      <w:pPr>
        <w:pStyle w:val="libFootnote0"/>
        <w:rPr>
          <w:rtl/>
          <w:lang w:bidi="fa-IR"/>
        </w:rPr>
      </w:pPr>
      <w:r>
        <w:rPr>
          <w:rtl/>
        </w:rPr>
        <w:t>(14)</w:t>
      </w:r>
      <w:r w:rsidRPr="00132E65">
        <w:rPr>
          <w:rtl/>
        </w:rPr>
        <w:t xml:space="preserve"> في « بس » وحاشية « ج » : « على »</w:t>
      </w:r>
      <w:r>
        <w:rPr>
          <w:rtl/>
        </w:rPr>
        <w:t>.</w:t>
      </w:r>
      <w:r w:rsidRPr="00132E65">
        <w:rPr>
          <w:rtl/>
        </w:rPr>
        <w:t xml:space="preserve"> وفي الغيبة للنعماني والبحار : « من »</w:t>
      </w:r>
      <w:r>
        <w:rPr>
          <w:rtl/>
        </w:rPr>
        <w:t>.</w:t>
      </w:r>
    </w:p>
    <w:p w:rsidR="000C39D1" w:rsidRPr="00132E65" w:rsidRDefault="000C39D1" w:rsidP="000C39D1">
      <w:pPr>
        <w:pStyle w:val="libFootnote0"/>
        <w:rPr>
          <w:rtl/>
          <w:lang w:bidi="fa-IR"/>
        </w:rPr>
      </w:pPr>
      <w:r>
        <w:rPr>
          <w:rtl/>
        </w:rPr>
        <w:t>(15)</w:t>
      </w:r>
      <w:r w:rsidRPr="00132E65">
        <w:rPr>
          <w:rtl/>
        </w:rPr>
        <w:t xml:space="preserve"> « جديد الأرض » ، أي وجهها. </w:t>
      </w:r>
      <w:r w:rsidRPr="00D644C7">
        <w:rPr>
          <w:rStyle w:val="libFootnoteBoldChar"/>
          <w:rtl/>
        </w:rPr>
        <w:t>النهاية</w:t>
      </w:r>
      <w:r w:rsidRPr="00132E65">
        <w:rPr>
          <w:rtl/>
        </w:rPr>
        <w:t xml:space="preserve"> ، ج 1 ، ص 246 ( جدد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وَيَا سَمَاوَاتِي </w:t>
      </w:r>
      <w:r>
        <w:rPr>
          <w:rStyle w:val="libFootnotenumChar"/>
          <w:rtl/>
        </w:rPr>
        <w:t>(1)</w:t>
      </w:r>
      <w:r w:rsidRPr="00132E65">
        <w:rPr>
          <w:rtl/>
          <w:lang w:bidi="fa-IR"/>
        </w:rPr>
        <w:t xml:space="preserve"> و</w:t>
      </w:r>
      <w:r w:rsidR="00D644C7">
        <w:rPr>
          <w:rFonts w:hint="cs"/>
          <w:rtl/>
          <w:lang w:bidi="fa-IR"/>
        </w:rPr>
        <w:t>َ</w:t>
      </w:r>
      <w:r w:rsidRPr="00132E65">
        <w:rPr>
          <w:rtl/>
          <w:lang w:bidi="fa-IR"/>
        </w:rPr>
        <w:t xml:space="preserve">يَا أَرْضِيَ ، اسْكُنُوا </w:t>
      </w:r>
      <w:r>
        <w:rPr>
          <w:rStyle w:val="libFootnotenumChar"/>
          <w:rtl/>
        </w:rPr>
        <w:t>(2)</w:t>
      </w:r>
      <w:r w:rsidRPr="00132E65">
        <w:rPr>
          <w:rtl/>
          <w:lang w:bidi="fa-IR"/>
        </w:rPr>
        <w:t xml:space="preserve"> ، ثُمَّ كَشَفَ </w:t>
      </w:r>
      <w:r>
        <w:rPr>
          <w:rStyle w:val="libFootnotenumChar"/>
          <w:rtl/>
        </w:rPr>
        <w:t>(3)</w:t>
      </w:r>
      <w:r w:rsidRPr="00132E65">
        <w:rPr>
          <w:rtl/>
          <w:lang w:bidi="fa-IR"/>
        </w:rPr>
        <w:t xml:space="preserve"> حِجَاباً مِنَ الْحُجُبِ ، فَإِذَا خَلْفَهُ مُحَمَّدٌ وَاثْنَا عَشَرَ </w:t>
      </w:r>
      <w:r>
        <w:rPr>
          <w:rStyle w:val="libFootnotenumChar"/>
          <w:rtl/>
        </w:rPr>
        <w:t>(4)</w:t>
      </w:r>
      <w:r w:rsidRPr="00132E65">
        <w:rPr>
          <w:rtl/>
          <w:lang w:bidi="fa-IR"/>
        </w:rPr>
        <w:t xml:space="preserve"> و</w:t>
      </w:r>
      <w:r w:rsidR="00D644C7">
        <w:rPr>
          <w:rFonts w:hint="cs"/>
          <w:rtl/>
          <w:lang w:bidi="fa-IR"/>
        </w:rPr>
        <w:t>َ</w:t>
      </w:r>
      <w:r w:rsidRPr="00132E65">
        <w:rPr>
          <w:rtl/>
          <w:lang w:bidi="fa-IR"/>
        </w:rPr>
        <w:t xml:space="preserve">صِيّاً لَهُ </w:t>
      </w:r>
      <w:r w:rsidRPr="00071CF9">
        <w:rPr>
          <w:rStyle w:val="libAlaemChar"/>
          <w:rtl/>
        </w:rPr>
        <w:t>عليهم‌السلام</w:t>
      </w:r>
      <w:r w:rsidRPr="00132E65">
        <w:rPr>
          <w:rtl/>
          <w:lang w:bidi="fa-IR"/>
        </w:rPr>
        <w:t xml:space="preserve"> ، و</w:t>
      </w:r>
      <w:r w:rsidR="00D644C7">
        <w:rPr>
          <w:rFonts w:hint="cs"/>
          <w:rtl/>
          <w:lang w:bidi="fa-IR"/>
        </w:rPr>
        <w:t>َ</w:t>
      </w:r>
      <w:r w:rsidRPr="00132E65">
        <w:rPr>
          <w:rtl/>
          <w:lang w:bidi="fa-IR"/>
        </w:rPr>
        <w:t xml:space="preserve">أَخَذَ </w:t>
      </w:r>
      <w:r>
        <w:rPr>
          <w:rStyle w:val="libFootnotenumChar"/>
          <w:rtl/>
        </w:rPr>
        <w:t>(5)</w:t>
      </w:r>
      <w:r w:rsidRPr="00132E65">
        <w:rPr>
          <w:rtl/>
          <w:lang w:bidi="fa-IR"/>
        </w:rPr>
        <w:t xml:space="preserve"> بِيَدِ فُلَانٍ الْقَائِمِ </w:t>
      </w:r>
      <w:r>
        <w:rPr>
          <w:rStyle w:val="libFootnotenumChar"/>
          <w:rtl/>
        </w:rPr>
        <w:t>(6)</w:t>
      </w:r>
      <w:r w:rsidRPr="00132E65">
        <w:rPr>
          <w:rtl/>
          <w:lang w:bidi="fa-IR"/>
        </w:rPr>
        <w:t xml:space="preserve"> مِنْ بَيْنِهِمْ </w:t>
      </w:r>
      <w:r>
        <w:rPr>
          <w:rStyle w:val="libFootnotenumChar"/>
          <w:rtl/>
        </w:rPr>
        <w:t>(7)</w:t>
      </w:r>
      <w:r w:rsidRPr="00132E65">
        <w:rPr>
          <w:rtl/>
          <w:lang w:bidi="fa-IR"/>
        </w:rPr>
        <w:t xml:space="preserve"> ، فَقَالَ : يَا مَلَائِكَتِي و</w:t>
      </w:r>
      <w:r w:rsidR="00D644C7">
        <w:rPr>
          <w:rFonts w:hint="cs"/>
          <w:rtl/>
          <w:lang w:bidi="fa-IR"/>
        </w:rPr>
        <w:t>َ</w:t>
      </w:r>
      <w:r w:rsidRPr="00132E65">
        <w:rPr>
          <w:rtl/>
          <w:lang w:bidi="fa-IR"/>
        </w:rPr>
        <w:t>يَا سَمَاوَاتِي و</w:t>
      </w:r>
      <w:r w:rsidR="00D644C7">
        <w:rPr>
          <w:rFonts w:hint="cs"/>
          <w:rtl/>
          <w:lang w:bidi="fa-IR"/>
        </w:rPr>
        <w:t>َ</w:t>
      </w:r>
      <w:r w:rsidRPr="00132E65">
        <w:rPr>
          <w:rtl/>
          <w:lang w:bidi="fa-IR"/>
        </w:rPr>
        <w:t xml:space="preserve">يَا أَرْضِي </w:t>
      </w:r>
      <w:r>
        <w:rPr>
          <w:rStyle w:val="libFootnotenumChar"/>
          <w:rtl/>
        </w:rPr>
        <w:t>(8)</w:t>
      </w:r>
      <w:r w:rsidRPr="00132E65">
        <w:rPr>
          <w:rtl/>
          <w:lang w:bidi="fa-IR"/>
        </w:rPr>
        <w:t xml:space="preserve"> ، بِهذَا أَنْتَصِرُ </w:t>
      </w:r>
      <w:r>
        <w:rPr>
          <w:rStyle w:val="libFootnotenumChar"/>
          <w:rtl/>
        </w:rPr>
        <w:t>(9)</w:t>
      </w:r>
      <w:r w:rsidRPr="00132E65">
        <w:rPr>
          <w:rtl/>
          <w:lang w:bidi="fa-IR"/>
        </w:rPr>
        <w:t xml:space="preserve"> لِهذَا </w:t>
      </w:r>
      <w:r>
        <w:rPr>
          <w:rStyle w:val="libFootnotenumChar"/>
          <w:rtl/>
        </w:rPr>
        <w:t>(10)</w:t>
      </w:r>
      <w:r w:rsidRPr="00132E65">
        <w:rPr>
          <w:rtl/>
          <w:lang w:bidi="fa-IR"/>
        </w:rPr>
        <w:t xml:space="preserve"> ، قَالَهَا ثَلَاثَ مَرَّاتٍ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C41A07">
        <w:rPr>
          <w:rtl/>
        </w:rPr>
        <w:t>1407</w:t>
      </w:r>
      <w:r w:rsidRPr="004325D8">
        <w:rPr>
          <w:rStyle w:val="libBold2Char"/>
          <w:rtl/>
        </w:rPr>
        <w:t xml:space="preserve"> / 20.</w:t>
      </w:r>
      <w:r w:rsidRPr="00132E65">
        <w:rPr>
          <w:rtl/>
          <w:lang w:bidi="fa-IR"/>
        </w:rPr>
        <w:t xml:space="preserve"> مُحَمَّدُ بْنُ يَحْيى و</w:t>
      </w:r>
      <w:r w:rsidR="00D644C7">
        <w:rPr>
          <w:rFonts w:hint="cs"/>
          <w:rtl/>
          <w:lang w:bidi="fa-IR"/>
        </w:rPr>
        <w:t>َ</w:t>
      </w:r>
      <w:r w:rsidRPr="00132E65">
        <w:rPr>
          <w:rtl/>
          <w:lang w:bidi="fa-IR"/>
        </w:rPr>
        <w:t xml:space="preserve">أَحْمَدُ بْنُ مُحَمَّدٍ ، عَنْ مُحَمَّدِ بْنِ الْحُسَيْنِ </w:t>
      </w:r>
      <w:r>
        <w:rPr>
          <w:rStyle w:val="libFootnotenumChar"/>
          <w:rtl/>
        </w:rPr>
        <w:t>(12)</w:t>
      </w:r>
      <w:r w:rsidRPr="00132E65">
        <w:rPr>
          <w:rtl/>
          <w:lang w:bidi="fa-IR"/>
        </w:rPr>
        <w:t xml:space="preserve"> ، عَنْ أَبِي طَالِبٍ ، عَنْ عُثْمَانَ بْنِ عِيسى ، عَنْ سَمَاعَةَ بْنِ مِهْرَانَ ، قَالَ :</w:t>
      </w:r>
    </w:p>
    <w:p w:rsidR="000C39D1" w:rsidRPr="00132E65" w:rsidRDefault="000C39D1" w:rsidP="000C39D1">
      <w:pPr>
        <w:pStyle w:val="libNormal"/>
        <w:rPr>
          <w:rtl/>
          <w:lang w:bidi="fa-IR"/>
        </w:rPr>
      </w:pPr>
      <w:r w:rsidRPr="00132E65">
        <w:rPr>
          <w:rtl/>
          <w:lang w:bidi="fa-IR"/>
        </w:rPr>
        <w:t>كُنْتُ أَنَا و</w:t>
      </w:r>
      <w:r w:rsidR="00D644C7">
        <w:rPr>
          <w:rFonts w:hint="cs"/>
          <w:rtl/>
          <w:lang w:bidi="fa-IR"/>
        </w:rPr>
        <w:t>َ</w:t>
      </w:r>
      <w:r w:rsidRPr="00132E65">
        <w:rPr>
          <w:rtl/>
          <w:lang w:bidi="fa-IR"/>
        </w:rPr>
        <w:t>أَبُو بَصِيرٍ و</w:t>
      </w:r>
      <w:r w:rsidR="00D644C7">
        <w:rPr>
          <w:rFonts w:hint="cs"/>
          <w:rtl/>
          <w:lang w:bidi="fa-IR"/>
        </w:rPr>
        <w:t>َ</w:t>
      </w:r>
      <w:r w:rsidRPr="00132E65">
        <w:rPr>
          <w:rtl/>
          <w:lang w:bidi="fa-IR"/>
        </w:rPr>
        <w:t xml:space="preserve">مُحَمَّدُ بْنُ عِمْرَانَ مَوْلى أَبِي جَعْفَرٍ </w:t>
      </w:r>
      <w:r w:rsidRPr="00071CF9">
        <w:rPr>
          <w:rStyle w:val="libAlaemChar"/>
          <w:rtl/>
        </w:rPr>
        <w:t>عليه‌السلام</w:t>
      </w:r>
      <w:r w:rsidRPr="00132E65">
        <w:rPr>
          <w:rtl/>
          <w:lang w:bidi="fa-IR"/>
        </w:rPr>
        <w:t xml:space="preserve"> فِي مَنْزِلِهِ </w:t>
      </w:r>
      <w:r w:rsidRPr="00F543F1">
        <w:rPr>
          <w:rStyle w:val="libFootnotenumChar"/>
          <w:rtl/>
        </w:rPr>
        <w:t>(13)</w:t>
      </w:r>
      <w:r w:rsidRPr="00132E65">
        <w:rPr>
          <w:rtl/>
          <w:lang w:bidi="fa-IR"/>
        </w:rPr>
        <w:t xml:space="preserve"> بِمَكَّةَ </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D644C7" w:rsidTr="00D644C7">
        <w:tc>
          <w:tcPr>
            <w:tcW w:w="4261" w:type="dxa"/>
          </w:tcPr>
          <w:p w:rsidR="00D644C7" w:rsidRDefault="00D644C7" w:rsidP="000C39D1">
            <w:pPr>
              <w:pStyle w:val="libFootnote0"/>
              <w:rPr>
                <w:rtl/>
              </w:rPr>
            </w:pPr>
            <w:r>
              <w:rPr>
                <w:rtl/>
              </w:rPr>
              <w:t>(1).</w:t>
            </w:r>
            <w:r w:rsidRPr="00132E65">
              <w:rPr>
                <w:rtl/>
              </w:rPr>
              <w:t xml:space="preserve"> في الغيبة للنعماني : « سمائي »</w:t>
            </w:r>
            <w:r>
              <w:rPr>
                <w:rtl/>
              </w:rPr>
              <w:t>.</w:t>
            </w:r>
          </w:p>
        </w:tc>
        <w:tc>
          <w:tcPr>
            <w:tcW w:w="4262" w:type="dxa"/>
          </w:tcPr>
          <w:p w:rsidR="00D644C7" w:rsidRDefault="00D644C7" w:rsidP="000C39D1">
            <w:pPr>
              <w:pStyle w:val="libFootnote0"/>
              <w:rPr>
                <w:rtl/>
              </w:rPr>
            </w:pPr>
            <w:r>
              <w:rPr>
                <w:rtl/>
              </w:rPr>
              <w:t>(2).</w:t>
            </w:r>
            <w:r w:rsidRPr="00132E65">
              <w:rPr>
                <w:rtl/>
              </w:rPr>
              <w:t xml:space="preserve"> في حاشية « ض » : « اسكتوا »</w:t>
            </w:r>
            <w:r>
              <w:rPr>
                <w:rtl/>
              </w:rPr>
              <w:t>.</w:t>
            </w:r>
          </w:p>
        </w:tc>
      </w:tr>
    </w:tbl>
    <w:p w:rsidR="000C39D1" w:rsidRPr="00132E65" w:rsidRDefault="000C39D1" w:rsidP="000C39D1">
      <w:pPr>
        <w:pStyle w:val="libFootnote0"/>
        <w:rPr>
          <w:rtl/>
          <w:lang w:bidi="fa-IR"/>
        </w:rPr>
      </w:pPr>
      <w:r>
        <w:rPr>
          <w:rtl/>
        </w:rPr>
        <w:t>(3).</w:t>
      </w:r>
      <w:r w:rsidRPr="00132E65">
        <w:rPr>
          <w:rtl/>
        </w:rPr>
        <w:t xml:space="preserve"> في حاشية « ض » :</w:t>
      </w:r>
      <w:r>
        <w:rPr>
          <w:rtl/>
        </w:rPr>
        <w:t xml:space="preserve"> + </w:t>
      </w:r>
      <w:r w:rsidRPr="00132E65">
        <w:rPr>
          <w:rtl/>
        </w:rPr>
        <w:t>« لهم »</w:t>
      </w:r>
      <w:r>
        <w:rPr>
          <w:rtl/>
        </w:rPr>
        <w:t>.</w:t>
      </w:r>
    </w:p>
    <w:p w:rsidR="000C39D1" w:rsidRPr="00132E65" w:rsidRDefault="000C39D1" w:rsidP="000C39D1">
      <w:pPr>
        <w:pStyle w:val="libFootnote0"/>
        <w:rPr>
          <w:rtl/>
          <w:lang w:bidi="fa-IR"/>
        </w:rPr>
      </w:pPr>
      <w:r>
        <w:rPr>
          <w:rtl/>
        </w:rPr>
        <w:t>(4).</w:t>
      </w:r>
      <w:r w:rsidRPr="00132E65">
        <w:rPr>
          <w:rtl/>
        </w:rPr>
        <w:t xml:space="preserve"> في </w:t>
      </w:r>
      <w:r w:rsidRPr="009D1ACE">
        <w:rPr>
          <w:rStyle w:val="libFootnoteBoldChar"/>
          <w:rtl/>
        </w:rPr>
        <w:t>الوافي</w:t>
      </w:r>
      <w:r w:rsidRPr="00132E65">
        <w:rPr>
          <w:rtl/>
        </w:rPr>
        <w:t xml:space="preserve"> : « خلقة محمّد واثني عشر ، كأنّها بكسر المعجمة والقاف والإضافة ؛ يعني هيئتهم وصورتهم. ويحتمل الفتح والفاء والضمير ورفع ما بعدها ، أي خلف الحجاب »</w:t>
      </w:r>
      <w:r>
        <w:rPr>
          <w:rtl/>
        </w:rPr>
        <w:t>.</w:t>
      </w:r>
    </w:p>
    <w:p w:rsidR="000C39D1" w:rsidRPr="00132E65" w:rsidRDefault="000C39D1" w:rsidP="000C39D1">
      <w:pPr>
        <w:pStyle w:val="libFootnote0"/>
        <w:rPr>
          <w:rtl/>
          <w:lang w:bidi="fa-IR"/>
        </w:rPr>
      </w:pPr>
      <w:r>
        <w:rPr>
          <w:rtl/>
        </w:rPr>
        <w:t>(5).</w:t>
      </w:r>
      <w:r w:rsidRPr="00132E65">
        <w:rPr>
          <w:rtl/>
        </w:rPr>
        <w:t xml:space="preserve"> في الغيبة للنعماني : « فأخذ »</w:t>
      </w:r>
      <w:r>
        <w:rPr>
          <w:rtl/>
        </w:rPr>
        <w:t>.</w:t>
      </w:r>
      <w:r w:rsidRPr="00132E65">
        <w:rPr>
          <w:rtl/>
        </w:rPr>
        <w:t xml:space="preserve"> وفي البحار : « ثمّ أخذ »</w:t>
      </w:r>
      <w:r>
        <w:rPr>
          <w:rtl/>
        </w:rPr>
        <w:t>.</w:t>
      </w:r>
    </w:p>
    <w:tbl>
      <w:tblPr>
        <w:tblStyle w:val="TableGrid"/>
        <w:bidiVisual/>
        <w:tblW w:w="0" w:type="auto"/>
        <w:tblLook w:val="04A0" w:firstRow="1" w:lastRow="0" w:firstColumn="1" w:lastColumn="0" w:noHBand="0" w:noVBand="1"/>
      </w:tblPr>
      <w:tblGrid>
        <w:gridCol w:w="4261"/>
        <w:gridCol w:w="4262"/>
      </w:tblGrid>
      <w:tr w:rsidR="00D644C7" w:rsidTr="00D644C7">
        <w:tc>
          <w:tcPr>
            <w:tcW w:w="4261" w:type="dxa"/>
          </w:tcPr>
          <w:p w:rsidR="00D644C7" w:rsidRDefault="00D644C7" w:rsidP="000C39D1">
            <w:pPr>
              <w:pStyle w:val="libFootnote0"/>
              <w:rPr>
                <w:rtl/>
              </w:rPr>
            </w:pPr>
            <w:r>
              <w:rPr>
                <w:rtl/>
              </w:rPr>
              <w:t>(6).</w:t>
            </w:r>
            <w:r w:rsidRPr="00132E65">
              <w:rPr>
                <w:rtl/>
              </w:rPr>
              <w:t xml:space="preserve"> في « بس » والغيبة للنعماني </w:t>
            </w:r>
            <w:r>
              <w:rPr>
                <w:rtl/>
              </w:rPr>
              <w:t xml:space="preserve">: - </w:t>
            </w:r>
            <w:r w:rsidRPr="00132E65">
              <w:rPr>
                <w:rtl/>
              </w:rPr>
              <w:t>« القائم »</w:t>
            </w:r>
            <w:r>
              <w:rPr>
                <w:rtl/>
              </w:rPr>
              <w:t>.</w:t>
            </w:r>
          </w:p>
        </w:tc>
        <w:tc>
          <w:tcPr>
            <w:tcW w:w="4262" w:type="dxa"/>
          </w:tcPr>
          <w:p w:rsidR="00D644C7" w:rsidRDefault="00D644C7" w:rsidP="000C39D1">
            <w:pPr>
              <w:pStyle w:val="libFootnote0"/>
              <w:rPr>
                <w:rtl/>
              </w:rPr>
            </w:pPr>
            <w:r>
              <w:rPr>
                <w:rtl/>
              </w:rPr>
              <w:t>(7).</w:t>
            </w:r>
            <w:r w:rsidRPr="00132E65">
              <w:rPr>
                <w:rtl/>
              </w:rPr>
              <w:t xml:space="preserve"> في « بر » </w:t>
            </w:r>
            <w:r>
              <w:rPr>
                <w:rtl/>
              </w:rPr>
              <w:t xml:space="preserve">: - </w:t>
            </w:r>
            <w:r w:rsidRPr="00132E65">
              <w:rPr>
                <w:rtl/>
              </w:rPr>
              <w:t>« من بينهم »</w:t>
            </w:r>
            <w:r>
              <w:rPr>
                <w:rtl/>
              </w:rPr>
              <w:t>.</w:t>
            </w:r>
          </w:p>
        </w:tc>
      </w:tr>
    </w:tbl>
    <w:p w:rsidR="000C39D1" w:rsidRPr="00132E65" w:rsidRDefault="000C39D1" w:rsidP="000C39D1">
      <w:pPr>
        <w:pStyle w:val="libFootnote0"/>
        <w:rPr>
          <w:rtl/>
          <w:lang w:bidi="fa-IR"/>
        </w:rPr>
      </w:pPr>
      <w:r>
        <w:rPr>
          <w:rtl/>
        </w:rPr>
        <w:t>(8).</w:t>
      </w:r>
      <w:r w:rsidRPr="00132E65">
        <w:rPr>
          <w:rtl/>
        </w:rPr>
        <w:t xml:space="preserve"> في « ف » : « ويا أرضي ويا سماواتي »</w:t>
      </w:r>
      <w:r>
        <w:rPr>
          <w:rtl/>
        </w:rPr>
        <w:t>.</w:t>
      </w:r>
      <w:r w:rsidRPr="00132E65">
        <w:rPr>
          <w:rtl/>
        </w:rPr>
        <w:t xml:space="preserve"> وفي « بر ، بف » :</w:t>
      </w:r>
      <w:r>
        <w:rPr>
          <w:rtl/>
        </w:rPr>
        <w:t xml:space="preserve"> + </w:t>
      </w:r>
      <w:r w:rsidRPr="00132E65">
        <w:rPr>
          <w:rtl/>
        </w:rPr>
        <w:t>«</w:t>
      </w:r>
      <w:r>
        <w:rPr>
          <w:rtl/>
        </w:rPr>
        <w:t xml:space="preserve"> و ».</w:t>
      </w:r>
    </w:p>
    <w:tbl>
      <w:tblPr>
        <w:tblStyle w:val="TableGrid"/>
        <w:bidiVisual/>
        <w:tblW w:w="0" w:type="auto"/>
        <w:tblLook w:val="04A0" w:firstRow="1" w:lastRow="0" w:firstColumn="1" w:lastColumn="0" w:noHBand="0" w:noVBand="1"/>
      </w:tblPr>
      <w:tblGrid>
        <w:gridCol w:w="4261"/>
        <w:gridCol w:w="4262"/>
      </w:tblGrid>
      <w:tr w:rsidR="00D644C7" w:rsidTr="00D644C7">
        <w:tc>
          <w:tcPr>
            <w:tcW w:w="4261" w:type="dxa"/>
          </w:tcPr>
          <w:p w:rsidR="00D644C7" w:rsidRDefault="00D644C7" w:rsidP="000C39D1">
            <w:pPr>
              <w:pStyle w:val="libFootnote0"/>
              <w:rPr>
                <w:rtl/>
                <w:lang w:bidi="fa-IR"/>
              </w:rPr>
            </w:pPr>
            <w:r>
              <w:rPr>
                <w:rtl/>
              </w:rPr>
              <w:t>(9).</w:t>
            </w:r>
            <w:r w:rsidRPr="00132E65">
              <w:rPr>
                <w:rtl/>
              </w:rPr>
              <w:t xml:space="preserve"> في الغيبة للنعماني :</w:t>
            </w:r>
            <w:r>
              <w:rPr>
                <w:rtl/>
              </w:rPr>
              <w:t xml:space="preserve"> + </w:t>
            </w:r>
            <w:r w:rsidRPr="00132E65">
              <w:rPr>
                <w:rtl/>
              </w:rPr>
              <w:t>« منهم »</w:t>
            </w:r>
            <w:r>
              <w:rPr>
                <w:rtl/>
              </w:rPr>
              <w:t>.</w:t>
            </w:r>
          </w:p>
        </w:tc>
        <w:tc>
          <w:tcPr>
            <w:tcW w:w="4262" w:type="dxa"/>
          </w:tcPr>
          <w:p w:rsidR="00D644C7" w:rsidRDefault="00D644C7" w:rsidP="000C39D1">
            <w:pPr>
              <w:pStyle w:val="libFootnote0"/>
              <w:rPr>
                <w:rtl/>
                <w:lang w:bidi="fa-IR"/>
              </w:rPr>
            </w:pPr>
            <w:r>
              <w:rPr>
                <w:rtl/>
              </w:rPr>
              <w:t>(10).</w:t>
            </w:r>
            <w:r w:rsidRPr="00132E65">
              <w:rPr>
                <w:rtl/>
              </w:rPr>
              <w:t xml:space="preserve"> في « ف » </w:t>
            </w:r>
            <w:r>
              <w:rPr>
                <w:rtl/>
              </w:rPr>
              <w:t xml:space="preserve">: - </w:t>
            </w:r>
            <w:r w:rsidRPr="00132E65">
              <w:rPr>
                <w:rtl/>
              </w:rPr>
              <w:t>« لهذا »</w:t>
            </w:r>
            <w:r>
              <w:rPr>
                <w:rtl/>
              </w:rPr>
              <w:t>.</w:t>
            </w:r>
          </w:p>
        </w:tc>
      </w:tr>
    </w:tbl>
    <w:p w:rsidR="000C39D1" w:rsidRPr="00132E65" w:rsidRDefault="000C39D1" w:rsidP="000C39D1">
      <w:pPr>
        <w:pStyle w:val="libFootnote0"/>
        <w:rPr>
          <w:rtl/>
          <w:lang w:bidi="fa-IR"/>
        </w:rPr>
      </w:pPr>
      <w:r>
        <w:rPr>
          <w:rtl/>
        </w:rPr>
        <w:t>(11).</w:t>
      </w:r>
      <w:r w:rsidRPr="00132E65">
        <w:rPr>
          <w:rtl/>
        </w:rPr>
        <w:t xml:space="preserve"> </w:t>
      </w:r>
      <w:r w:rsidRPr="00D644C7">
        <w:rPr>
          <w:rStyle w:val="libFootnoteBoldChar"/>
          <w:rtl/>
        </w:rPr>
        <w:t>الغيبة للنعماني</w:t>
      </w:r>
      <w:r w:rsidRPr="00132E65">
        <w:rPr>
          <w:rtl/>
        </w:rPr>
        <w:t xml:space="preserve"> ، ص 94 ، ح 26 ، عن الكليني. وفي </w:t>
      </w:r>
      <w:r w:rsidRPr="000577A7">
        <w:rPr>
          <w:rStyle w:val="libFootnoteBoldChar"/>
          <w:rtl/>
        </w:rPr>
        <w:t>الكافي</w:t>
      </w:r>
      <w:r w:rsidRPr="00132E65">
        <w:rPr>
          <w:rtl/>
        </w:rPr>
        <w:t xml:space="preserve"> ، كتاب الصيام ، باب من جعل على نفسه صوماً معلوماً</w:t>
      </w:r>
      <w:r>
        <w:rPr>
          <w:rtl/>
        </w:rPr>
        <w:t xml:space="preserve"> ..</w:t>
      </w:r>
      <w:r w:rsidRPr="00132E65">
        <w:rPr>
          <w:rtl/>
        </w:rPr>
        <w:t xml:space="preserve">. ، ح 6558 ، </w:t>
      </w:r>
      <w:r w:rsidRPr="00D644C7">
        <w:rPr>
          <w:rStyle w:val="libFootnoteBoldChar"/>
          <w:rtl/>
        </w:rPr>
        <w:t>والتهذيب</w:t>
      </w:r>
      <w:r w:rsidRPr="00132E65">
        <w:rPr>
          <w:rtl/>
        </w:rPr>
        <w:t xml:space="preserve"> ، ج 4 ، ص 233 ، ح 683 ؛ و</w:t>
      </w:r>
      <w:r w:rsidRPr="007A1104">
        <w:rPr>
          <w:rStyle w:val="libFootnoteBoldChar"/>
          <w:rtl/>
        </w:rPr>
        <w:t>الاستبصار</w:t>
      </w:r>
      <w:r w:rsidRPr="00132E65">
        <w:rPr>
          <w:rtl/>
        </w:rPr>
        <w:t xml:space="preserve"> ، ج 2 ، ص 100 ، ح 325 ، بسند آخر عن كرّام ، عن أبي عبد الله </w:t>
      </w:r>
      <w:r w:rsidRPr="00D644C7">
        <w:rPr>
          <w:rStyle w:val="libFootnoteAlaemChar"/>
          <w:rtl/>
        </w:rPr>
        <w:t>عليه‌السلام</w:t>
      </w:r>
      <w:r w:rsidRPr="00132E65">
        <w:rPr>
          <w:rtl/>
        </w:rPr>
        <w:t xml:space="preserve">. وفي </w:t>
      </w:r>
      <w:r w:rsidRPr="00D644C7">
        <w:rPr>
          <w:rStyle w:val="libFootnoteBoldChar"/>
          <w:rtl/>
        </w:rPr>
        <w:t>الفقيه</w:t>
      </w:r>
      <w:r w:rsidRPr="00132E65">
        <w:rPr>
          <w:rtl/>
        </w:rPr>
        <w:t xml:space="preserve"> ، ج 2 ، ص 127 ، ح 1925 ؛ </w:t>
      </w:r>
      <w:r w:rsidRPr="00D644C7">
        <w:rPr>
          <w:rStyle w:val="libFootnoteBoldChar"/>
          <w:rtl/>
        </w:rPr>
        <w:t>والتهذيب</w:t>
      </w:r>
      <w:r w:rsidRPr="00132E65">
        <w:rPr>
          <w:rtl/>
        </w:rPr>
        <w:t xml:space="preserve"> ، ج 4 ، ص 183 ، ح 510 ؛ و</w:t>
      </w:r>
      <w:r w:rsidRPr="007A1104">
        <w:rPr>
          <w:rStyle w:val="libFootnoteBoldChar"/>
          <w:rtl/>
        </w:rPr>
        <w:t>الاستبصار</w:t>
      </w:r>
      <w:r w:rsidRPr="00132E65">
        <w:rPr>
          <w:rtl/>
        </w:rPr>
        <w:t xml:space="preserve"> ، ج 2 ، ص 79 ، بسند آخر ، وفي الستّة الأخيرة من قوله : « رجل من شيعتكم</w:t>
      </w:r>
      <w:r>
        <w:rPr>
          <w:rtl/>
        </w:rPr>
        <w:t xml:space="preserve"> ..</w:t>
      </w:r>
      <w:r w:rsidRPr="00132E65">
        <w:rPr>
          <w:rtl/>
        </w:rPr>
        <w:t xml:space="preserve">. » إلى « ولا مريضاً » مع اختلاف يسير </w:t>
      </w:r>
      <w:r w:rsidR="00D644C7">
        <w:rPr>
          <w:rFonts w:hint="cs"/>
          <w:rtl/>
        </w:rPr>
        <w:t>.</w:t>
      </w:r>
      <w:r w:rsidRPr="009D1ACE">
        <w:rPr>
          <w:rStyle w:val="libFootnoteBoldChar"/>
          <w:rtl/>
        </w:rPr>
        <w:t>الوافي</w:t>
      </w:r>
      <w:r w:rsidRPr="00132E65">
        <w:rPr>
          <w:rtl/>
        </w:rPr>
        <w:t xml:space="preserve"> ، ج 2 ، ص 312 ، ح 774 ؛ وفي </w:t>
      </w:r>
      <w:r w:rsidRPr="00D644C7">
        <w:rPr>
          <w:rStyle w:val="libFootnoteBoldChar"/>
          <w:rtl/>
        </w:rPr>
        <w:t>الوسائل</w:t>
      </w:r>
      <w:r w:rsidRPr="00132E65">
        <w:rPr>
          <w:rtl/>
        </w:rPr>
        <w:t xml:space="preserve"> ، ج 10 ، ص 384 ، ح 13652 ؛ وص 515 ، ذيل ح 13996 ، إلى قوله : « إذا كنت مسافراً ولا مريضاً » ؛ </w:t>
      </w:r>
      <w:r w:rsidRPr="00D644C7">
        <w:rPr>
          <w:rStyle w:val="libFootnoteBoldChar"/>
          <w:rtl/>
        </w:rPr>
        <w:t>البحار</w:t>
      </w:r>
      <w:r w:rsidRPr="00132E65">
        <w:rPr>
          <w:rtl/>
        </w:rPr>
        <w:t xml:space="preserve"> ، ج 45 ، ص 228 ، ح 23.</w:t>
      </w:r>
    </w:p>
    <w:p w:rsidR="000C39D1" w:rsidRPr="00132E65" w:rsidRDefault="000C39D1" w:rsidP="000C39D1">
      <w:pPr>
        <w:pStyle w:val="libFootnote0"/>
        <w:rPr>
          <w:rtl/>
          <w:lang w:bidi="fa-IR"/>
        </w:rPr>
      </w:pPr>
      <w:r>
        <w:rPr>
          <w:rtl/>
        </w:rPr>
        <w:t>(12).</w:t>
      </w:r>
      <w:r w:rsidRPr="00132E65">
        <w:rPr>
          <w:rtl/>
        </w:rPr>
        <w:t xml:space="preserve"> كذا في النسخ والمطبوع. والظاهر أنّ الصواب « محمّد بن الحسن » ، والمراد به هو محمّد بن الحسن الصفّار. ا</w:t>
      </w:r>
      <w:r w:rsidR="00D644C7">
        <w:rPr>
          <w:rFonts w:hint="cs"/>
          <w:rtl/>
        </w:rPr>
        <w:t>ُ</w:t>
      </w:r>
      <w:r w:rsidRPr="00132E65">
        <w:rPr>
          <w:rtl/>
        </w:rPr>
        <w:t xml:space="preserve">نظر : ما تقدّم ، في </w:t>
      </w:r>
      <w:r w:rsidRPr="000577A7">
        <w:rPr>
          <w:rStyle w:val="libFootnoteBoldChar"/>
          <w:rtl/>
        </w:rPr>
        <w:t>الكافي</w:t>
      </w:r>
      <w:r w:rsidRPr="00132E65">
        <w:rPr>
          <w:rtl/>
        </w:rPr>
        <w:t xml:space="preserve"> ، ذيل ح 446 </w:t>
      </w:r>
      <w:r>
        <w:rPr>
          <w:rtl/>
        </w:rPr>
        <w:t>و 5</w:t>
      </w:r>
      <w:r w:rsidRPr="00132E65">
        <w:rPr>
          <w:rtl/>
        </w:rPr>
        <w:t xml:space="preserve">42 </w:t>
      </w:r>
      <w:r>
        <w:rPr>
          <w:rtl/>
        </w:rPr>
        <w:t>و 6</w:t>
      </w:r>
      <w:r w:rsidRPr="00132E65">
        <w:rPr>
          <w:rtl/>
        </w:rPr>
        <w:t>80 و</w:t>
      </w:r>
      <w:r>
        <w:rPr>
          <w:rtl/>
        </w:rPr>
        <w:t xml:space="preserve"> ....</w:t>
      </w:r>
    </w:p>
    <w:p w:rsidR="000C39D1" w:rsidRPr="00132E65" w:rsidRDefault="000C39D1" w:rsidP="00D644C7">
      <w:pPr>
        <w:pStyle w:val="libFootnote0"/>
        <w:rPr>
          <w:rtl/>
          <w:lang w:bidi="fa-IR"/>
        </w:rPr>
      </w:pPr>
      <w:r w:rsidRPr="00F24C1F">
        <w:rPr>
          <w:rtl/>
        </w:rPr>
        <w:t xml:space="preserve">والخبر رواه الصفّار في </w:t>
      </w:r>
      <w:r w:rsidRPr="007A1104">
        <w:rPr>
          <w:rStyle w:val="libFootnoteBoldChar"/>
          <w:rtl/>
        </w:rPr>
        <w:t>بصائر الدرجات</w:t>
      </w:r>
      <w:r w:rsidRPr="00F24C1F">
        <w:rPr>
          <w:rtl/>
        </w:rPr>
        <w:t xml:space="preserve"> ، ص 319 ، ح 2 ، عن أبي طالب عن عثمان بن عيسى ، وأورده </w:t>
      </w:r>
      <w:r w:rsidRPr="00D644C7">
        <w:rPr>
          <w:rStyle w:val="libFootnoteBoldChar"/>
          <w:rtl/>
        </w:rPr>
        <w:t>الشيخ الصدوق في الخصال</w:t>
      </w:r>
      <w:r w:rsidRPr="00F24C1F">
        <w:rPr>
          <w:rtl/>
        </w:rPr>
        <w:t xml:space="preserve"> ، ص 478 ، ح 45 ؛ </w:t>
      </w:r>
      <w:r w:rsidRPr="00D644C7">
        <w:rPr>
          <w:rStyle w:val="libFootnoteBoldChar"/>
          <w:rtl/>
        </w:rPr>
        <w:t>وعيون الأخبار</w:t>
      </w:r>
      <w:r w:rsidRPr="00F24C1F">
        <w:rPr>
          <w:rtl/>
        </w:rPr>
        <w:t xml:space="preserve"> ، ج 1 ، ص 56 ، ح 23 ، </w:t>
      </w:r>
      <w:r w:rsidRPr="00D644C7">
        <w:rPr>
          <w:rStyle w:val="libFootnoteBoldChar"/>
          <w:rtl/>
        </w:rPr>
        <w:t>وكمال الدين</w:t>
      </w:r>
      <w:r w:rsidRPr="00C41A07">
        <w:rPr>
          <w:rtl/>
        </w:rPr>
        <w:t xml:space="preserve"> </w:t>
      </w:r>
      <w:r w:rsidRPr="00F24C1F">
        <w:rPr>
          <w:rtl/>
        </w:rPr>
        <w:t>، ص 335 ، ح 6 ، بسنده عن محمّد بن يحيى العطّار ، عن محمّد بن الحسن الصفّار ، عن أبي طالب عبد الله بن الصلت القمّي ، عن عثمان بن عيسى.</w:t>
      </w:r>
      <w:r w:rsidR="00D644C7">
        <w:rPr>
          <w:rFonts w:hint="cs"/>
          <w:rtl/>
        </w:rPr>
        <w:t xml:space="preserve">                                                  </w:t>
      </w:r>
      <w:r>
        <w:rPr>
          <w:rtl/>
        </w:rPr>
        <w:t>(13)</w:t>
      </w:r>
      <w:r w:rsidRPr="00132E65">
        <w:rPr>
          <w:rtl/>
        </w:rPr>
        <w:t xml:space="preserve"> في العيون وكمال الدين : « منزل »</w:t>
      </w:r>
      <w:r>
        <w:rPr>
          <w:rtl/>
        </w:rPr>
        <w:t>.</w:t>
      </w:r>
    </w:p>
    <w:p w:rsidR="000C39D1" w:rsidRPr="00132E65" w:rsidRDefault="000C39D1" w:rsidP="000C39D1">
      <w:pPr>
        <w:pStyle w:val="libFootnote0"/>
        <w:rPr>
          <w:rtl/>
          <w:lang w:bidi="fa-IR"/>
        </w:rPr>
      </w:pPr>
      <w:r>
        <w:rPr>
          <w:rtl/>
        </w:rPr>
        <w:t>(14)</w:t>
      </w:r>
      <w:r w:rsidRPr="00132E65">
        <w:rPr>
          <w:rtl/>
        </w:rPr>
        <w:t xml:space="preserve"> في العيون </w:t>
      </w:r>
      <w:r w:rsidRPr="00D644C7">
        <w:rPr>
          <w:rStyle w:val="libFootnoteBoldChar"/>
          <w:rtl/>
        </w:rPr>
        <w:t>والخصال</w:t>
      </w:r>
      <w:r w:rsidRPr="00132E65">
        <w:rPr>
          <w:rtl/>
        </w:rPr>
        <w:t xml:space="preserve"> </w:t>
      </w:r>
      <w:r>
        <w:rPr>
          <w:rtl/>
        </w:rPr>
        <w:t xml:space="preserve">: - </w:t>
      </w:r>
      <w:r w:rsidRPr="00132E65">
        <w:rPr>
          <w:rtl/>
        </w:rPr>
        <w:t>« بمكّة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فَقَالَ مُحَمَّدُ بْنُ عِمْرَانَ : سَمِعْتُ أَبَا عَبْدِ اللهِ </w:t>
      </w:r>
      <w:r w:rsidRPr="00071CF9">
        <w:rPr>
          <w:rStyle w:val="libAlaemChar"/>
          <w:rtl/>
        </w:rPr>
        <w:t>عليه‌السلام</w:t>
      </w:r>
      <w:r w:rsidRPr="00132E65">
        <w:rPr>
          <w:rtl/>
          <w:lang w:bidi="fa-IR"/>
        </w:rPr>
        <w:t xml:space="preserve"> يَقُولُ : « نَحْنُ اثْنَا عَشَرَ مُحَدَّثاً </w:t>
      </w:r>
      <w:r>
        <w:rPr>
          <w:rStyle w:val="libFootnotenumChar"/>
          <w:rtl/>
        </w:rPr>
        <w:t>(1)</w:t>
      </w:r>
      <w:r w:rsidRPr="00132E65">
        <w:rPr>
          <w:rtl/>
          <w:lang w:bidi="fa-IR"/>
        </w:rPr>
        <w:t xml:space="preserve"> »</w:t>
      </w:r>
      <w:r>
        <w:rPr>
          <w:rtl/>
          <w:lang w:bidi="fa-IR"/>
        </w:rPr>
        <w:t>.</w:t>
      </w:r>
    </w:p>
    <w:p w:rsidR="000C39D1" w:rsidRPr="00132E65" w:rsidRDefault="000C39D1" w:rsidP="00DB0062">
      <w:pPr>
        <w:pStyle w:val="libNormal"/>
        <w:rPr>
          <w:rtl/>
          <w:lang w:bidi="fa-IR"/>
        </w:rPr>
      </w:pPr>
      <w:r w:rsidRPr="00132E65">
        <w:rPr>
          <w:rtl/>
          <w:lang w:bidi="fa-IR"/>
        </w:rPr>
        <w:t xml:space="preserve">فَقَالَ </w:t>
      </w:r>
      <w:r>
        <w:rPr>
          <w:rStyle w:val="libFootnotenumChar"/>
          <w:rtl/>
        </w:rPr>
        <w:t>(2)</w:t>
      </w:r>
      <w:r w:rsidRPr="00132E65">
        <w:rPr>
          <w:rtl/>
          <w:lang w:bidi="fa-IR"/>
        </w:rPr>
        <w:t xml:space="preserve"> لَهُ أَبُو بَصِيرٍ : سَمِعْتَ </w:t>
      </w:r>
      <w:r>
        <w:rPr>
          <w:rStyle w:val="libFootnotenumChar"/>
          <w:rtl/>
        </w:rPr>
        <w:t>(3)</w:t>
      </w:r>
      <w:r w:rsidRPr="00132E65">
        <w:rPr>
          <w:rtl/>
          <w:lang w:bidi="fa-IR"/>
        </w:rPr>
        <w:t xml:space="preserve"> مِنْ </w:t>
      </w:r>
      <w:r>
        <w:rPr>
          <w:rStyle w:val="libFootnotenumChar"/>
          <w:rtl/>
        </w:rPr>
        <w:t>(4)</w:t>
      </w:r>
      <w:r w:rsidRPr="00132E65">
        <w:rPr>
          <w:rtl/>
          <w:lang w:bidi="fa-IR"/>
        </w:rPr>
        <w:t xml:space="preserve"> أَبِي عَبْدِ اللهِ </w:t>
      </w:r>
      <w:r w:rsidRPr="00071CF9">
        <w:rPr>
          <w:rStyle w:val="libAlaemChar"/>
          <w:rtl/>
        </w:rPr>
        <w:t>عليه‌السلام</w:t>
      </w:r>
      <w:r>
        <w:rPr>
          <w:rtl/>
          <w:lang w:bidi="fa-IR"/>
        </w:rPr>
        <w:t>؟</w:t>
      </w:r>
      <w:r w:rsidRPr="00132E65">
        <w:rPr>
          <w:rtl/>
          <w:lang w:bidi="fa-IR"/>
        </w:rPr>
        <w:t xml:space="preserve"> فَحَلَّفَهُ </w:t>
      </w:r>
      <w:r>
        <w:rPr>
          <w:rStyle w:val="libFootnotenumChar"/>
          <w:rtl/>
        </w:rPr>
        <w:t>(5)</w:t>
      </w:r>
      <w:r w:rsidRPr="00132E65">
        <w:rPr>
          <w:rtl/>
          <w:lang w:bidi="fa-IR"/>
        </w:rPr>
        <w:t xml:space="preserve"> مَرَّةً أَوْ مَرَّتَيْنِ </w:t>
      </w:r>
      <w:r>
        <w:rPr>
          <w:rStyle w:val="libFootnotenumChar"/>
          <w:rtl/>
        </w:rPr>
        <w:t>(6)</w:t>
      </w:r>
      <w:r w:rsidRPr="00132E65">
        <w:rPr>
          <w:rtl/>
          <w:lang w:bidi="fa-IR"/>
        </w:rPr>
        <w:t xml:space="preserve"> أَنَّهُ سَمِعَهُ </w:t>
      </w:r>
      <w:r>
        <w:rPr>
          <w:rStyle w:val="libFootnotenumChar"/>
          <w:rtl/>
        </w:rPr>
        <w:t>(7)</w:t>
      </w:r>
      <w:r w:rsidRPr="00132E65">
        <w:rPr>
          <w:rtl/>
          <w:lang w:bidi="fa-IR"/>
        </w:rPr>
        <w:t xml:space="preserve"> ، فَقَالَ </w:t>
      </w:r>
      <w:r>
        <w:rPr>
          <w:rStyle w:val="libFootnotenumChar"/>
          <w:rtl/>
        </w:rPr>
        <w:t>(8)</w:t>
      </w:r>
      <w:r w:rsidRPr="00132E65">
        <w:rPr>
          <w:rtl/>
          <w:lang w:bidi="fa-IR"/>
        </w:rPr>
        <w:t xml:space="preserve"> أَبُو بَصِيرٍ : لكِنِّي سَمِعْتُهُ مِنْ </w:t>
      </w:r>
      <w:r>
        <w:rPr>
          <w:rStyle w:val="libFootnotenumChar"/>
          <w:rtl/>
        </w:rPr>
        <w:t>(9)</w:t>
      </w:r>
      <w:r w:rsidRPr="00132E65">
        <w:rPr>
          <w:rtl/>
          <w:lang w:bidi="fa-IR"/>
        </w:rPr>
        <w:t xml:space="preserve"> أَبِي جَعْفَرٍ </w:t>
      </w:r>
      <w:r w:rsidRPr="00071CF9">
        <w:rPr>
          <w:rStyle w:val="libAlaemChar"/>
          <w:rtl/>
        </w:rPr>
        <w:t>عليه‌السلام</w:t>
      </w:r>
      <w:r w:rsidRPr="00132E65">
        <w:rPr>
          <w:rtl/>
          <w:lang w:bidi="fa-IR"/>
        </w:rPr>
        <w:t xml:space="preserve"> </w:t>
      </w:r>
      <w:r>
        <w:rPr>
          <w:rStyle w:val="libFootnotenumChar"/>
          <w:rtl/>
        </w:rPr>
        <w:t>(10)</w:t>
      </w:r>
      <w:r w:rsidR="00DB0062">
        <w:rPr>
          <w:rFonts w:hint="cs"/>
          <w:rtl/>
          <w:lang w:bidi="fa-IR"/>
        </w:rPr>
        <w:t>.</w:t>
      </w:r>
      <w:r>
        <w:rPr>
          <w:rStyle w:val="libFootnotenumChar"/>
          <w:rtl/>
        </w:rPr>
        <w:t>(11)</w:t>
      </w:r>
      <w:r w:rsidRPr="00132E65">
        <w:rPr>
          <w:rtl/>
          <w:lang w:bidi="fa-IR"/>
        </w:rPr>
        <w:t xml:space="preserve"> ‌</w:t>
      </w:r>
    </w:p>
    <w:p w:rsidR="000C39D1" w:rsidRDefault="000C39D1" w:rsidP="000C39D1">
      <w:pPr>
        <w:pStyle w:val="Heading2Center"/>
        <w:rPr>
          <w:rtl/>
          <w:lang w:bidi="fa-IR"/>
        </w:rPr>
      </w:pPr>
      <w:bookmarkStart w:id="190" w:name="_Toc459459170"/>
      <w:bookmarkStart w:id="191" w:name="_Toc34663139"/>
      <w:r w:rsidRPr="00132E65">
        <w:rPr>
          <w:rtl/>
          <w:lang w:bidi="fa-IR"/>
        </w:rPr>
        <w:t>127</w:t>
      </w:r>
      <w:r>
        <w:rPr>
          <w:rtl/>
          <w:lang w:bidi="fa-IR"/>
        </w:rPr>
        <w:t xml:space="preserve"> - </w:t>
      </w:r>
      <w:r w:rsidRPr="00132E65">
        <w:rPr>
          <w:rtl/>
          <w:lang w:bidi="fa-IR"/>
        </w:rPr>
        <w:t xml:space="preserve">بَابٌ </w:t>
      </w:r>
      <w:r>
        <w:rPr>
          <w:rStyle w:val="libFootnotenumChar"/>
          <w:rtl/>
        </w:rPr>
        <w:t>(12)</w:t>
      </w:r>
      <w:r>
        <w:rPr>
          <w:rtl/>
          <w:lang w:bidi="fa-IR"/>
        </w:rPr>
        <w:t xml:space="preserve"> </w:t>
      </w:r>
      <w:r w:rsidRPr="00132E65">
        <w:rPr>
          <w:rtl/>
          <w:lang w:bidi="fa-IR"/>
        </w:rPr>
        <w:t>فِي أَنَّهُ إِذَا قِيلَ فِي الرَّجُلِ شَيْ‌ءٌ فَلَمْ يَكُنْ فِيهِ</w:t>
      </w:r>
      <w:bookmarkEnd w:id="190"/>
      <w:bookmarkEnd w:id="191"/>
    </w:p>
    <w:p w:rsidR="000C39D1" w:rsidRPr="00132E65" w:rsidRDefault="000C39D1" w:rsidP="000C39D1">
      <w:pPr>
        <w:pStyle w:val="Heading2Center"/>
        <w:rPr>
          <w:rtl/>
          <w:lang w:bidi="fa-IR"/>
        </w:rPr>
      </w:pPr>
      <w:bookmarkStart w:id="192" w:name="_Toc459293683"/>
      <w:bookmarkStart w:id="193" w:name="_Toc459455152"/>
      <w:bookmarkStart w:id="194" w:name="_Toc459459171"/>
      <w:bookmarkStart w:id="195" w:name="_Toc34663140"/>
      <w:r w:rsidRPr="00132E65">
        <w:rPr>
          <w:rtl/>
          <w:lang w:bidi="fa-IR"/>
        </w:rPr>
        <w:t>و</w:t>
      </w:r>
      <w:r w:rsidR="00DB0062">
        <w:rPr>
          <w:rFonts w:hint="cs"/>
          <w:rtl/>
          <w:lang w:bidi="fa-IR"/>
        </w:rPr>
        <w:t>َ</w:t>
      </w:r>
      <w:r w:rsidRPr="00132E65">
        <w:rPr>
          <w:rtl/>
          <w:lang w:bidi="fa-IR"/>
        </w:rPr>
        <w:t>كَانَ فِي و</w:t>
      </w:r>
      <w:r w:rsidR="00DB0062">
        <w:rPr>
          <w:rFonts w:hint="cs"/>
          <w:rtl/>
          <w:lang w:bidi="fa-IR"/>
        </w:rPr>
        <w:t>َ</w:t>
      </w:r>
      <w:r w:rsidRPr="00132E65">
        <w:rPr>
          <w:rtl/>
          <w:lang w:bidi="fa-IR"/>
        </w:rPr>
        <w:t>لَدِهِ أَوْ و</w:t>
      </w:r>
      <w:r w:rsidR="00DB0062">
        <w:rPr>
          <w:rFonts w:hint="cs"/>
          <w:rtl/>
          <w:lang w:bidi="fa-IR"/>
        </w:rPr>
        <w:t>َ</w:t>
      </w:r>
      <w:r w:rsidRPr="00132E65">
        <w:rPr>
          <w:rtl/>
          <w:lang w:bidi="fa-IR"/>
        </w:rPr>
        <w:t>لَدِ و</w:t>
      </w:r>
      <w:r w:rsidR="00DB0062">
        <w:rPr>
          <w:rFonts w:hint="cs"/>
          <w:rtl/>
          <w:lang w:bidi="fa-IR"/>
        </w:rPr>
        <w:t>َ</w:t>
      </w:r>
      <w:r w:rsidRPr="00132E65">
        <w:rPr>
          <w:rtl/>
          <w:lang w:bidi="fa-IR"/>
        </w:rPr>
        <w:t>لَدِهِ فَإِنَّهُ هُوَ الَّذِي قِيلَ فِيهِ‌</w:t>
      </w:r>
      <w:bookmarkEnd w:id="192"/>
      <w:bookmarkEnd w:id="193"/>
      <w:bookmarkEnd w:id="194"/>
      <w:bookmarkEnd w:id="195"/>
    </w:p>
    <w:p w:rsidR="000C39D1" w:rsidRDefault="000C39D1" w:rsidP="000C39D1">
      <w:pPr>
        <w:pStyle w:val="libNormal"/>
        <w:rPr>
          <w:rtl/>
          <w:lang w:bidi="fa-IR"/>
        </w:rPr>
      </w:pPr>
      <w:r w:rsidRPr="0030274E">
        <w:rPr>
          <w:rtl/>
        </w:rPr>
        <w:t>1408</w:t>
      </w:r>
      <w:r w:rsidRPr="004325D8">
        <w:rPr>
          <w:rStyle w:val="libBold2Char"/>
          <w:rtl/>
        </w:rPr>
        <w:t xml:space="preserve"> / 1.</w:t>
      </w:r>
      <w:r w:rsidRPr="00132E65">
        <w:rPr>
          <w:rtl/>
          <w:lang w:bidi="fa-IR"/>
        </w:rPr>
        <w:t xml:space="preserve"> مُحَمَّدُ بْنُ يَحْيى ، عَنْ أَحْمَدَ بْنِ مُحَمَّدٍ ؛ </w:t>
      </w:r>
    </w:p>
    <w:p w:rsidR="000C39D1" w:rsidRPr="00132E65" w:rsidRDefault="00DB0062" w:rsidP="000C39D1">
      <w:pPr>
        <w:pStyle w:val="libNormal"/>
        <w:rPr>
          <w:rtl/>
          <w:lang w:bidi="fa-IR"/>
        </w:rPr>
      </w:pPr>
      <w:r>
        <w:rPr>
          <w:rFonts w:hint="cs"/>
          <w:rtl/>
          <w:lang w:bidi="fa-IR"/>
        </w:rPr>
        <w:t xml:space="preserve">            </w:t>
      </w:r>
      <w:r w:rsidR="000C39D1" w:rsidRPr="00132E65">
        <w:rPr>
          <w:rtl/>
          <w:lang w:bidi="fa-IR"/>
        </w:rPr>
        <w:t>وَ</w:t>
      </w:r>
      <w:r w:rsidR="000C39D1">
        <w:rPr>
          <w:rFonts w:hint="cs"/>
          <w:rtl/>
          <w:lang w:bidi="fa-IR"/>
        </w:rPr>
        <w:t xml:space="preserve"> </w:t>
      </w:r>
      <w:r w:rsidR="000C39D1" w:rsidRPr="00F543F1">
        <w:rPr>
          <w:rStyle w:val="libFootnotenumChar"/>
          <w:rtl/>
        </w:rPr>
        <w:t>(13)</w:t>
      </w:r>
      <w:r w:rsidR="000C39D1" w:rsidRPr="00132E65">
        <w:rPr>
          <w:rtl/>
          <w:lang w:bidi="fa-IR"/>
        </w:rPr>
        <w:t xml:space="preserve"> عَلِيُّ بْنُ إِبْرَاهِيمَ ، عَنْ أَبِيهِ جَمِيعاً ، عَنِ ابْنِ مَحْبُوبٍ ، عَنِ ابْنِ رِئَابٍ ، عَنْ أَبِي بَصِيرٍ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البصائر : « مهديّاً »</w:t>
      </w:r>
      <w:r>
        <w:rPr>
          <w:rtl/>
        </w:rPr>
        <w:t>.</w:t>
      </w:r>
    </w:p>
    <w:p w:rsidR="000C39D1" w:rsidRPr="00132E65" w:rsidRDefault="000C39D1" w:rsidP="000C39D1">
      <w:pPr>
        <w:pStyle w:val="libFootnote0"/>
        <w:rPr>
          <w:rtl/>
          <w:lang w:bidi="fa-IR"/>
        </w:rPr>
      </w:pPr>
      <w:r>
        <w:rPr>
          <w:rtl/>
        </w:rPr>
        <w:t>(2).</w:t>
      </w:r>
      <w:r w:rsidRPr="00132E65">
        <w:rPr>
          <w:rtl/>
        </w:rPr>
        <w:t xml:space="preserve"> في البصائر : « قال »</w:t>
      </w:r>
      <w:r>
        <w:rPr>
          <w:rtl/>
        </w:rPr>
        <w:t>.</w:t>
      </w:r>
    </w:p>
    <w:p w:rsidR="000C39D1" w:rsidRPr="00132E65" w:rsidRDefault="000C39D1" w:rsidP="00DB0062">
      <w:pPr>
        <w:pStyle w:val="libFootnote0"/>
        <w:rPr>
          <w:rtl/>
          <w:lang w:bidi="fa-IR"/>
        </w:rPr>
      </w:pPr>
      <w:r>
        <w:rPr>
          <w:rtl/>
        </w:rPr>
        <w:t>(3).</w:t>
      </w:r>
      <w:r w:rsidRPr="00132E65">
        <w:rPr>
          <w:rtl/>
        </w:rPr>
        <w:t xml:space="preserve"> في البصائر : « والله لسمعت »</w:t>
      </w:r>
      <w:r>
        <w:rPr>
          <w:rtl/>
        </w:rPr>
        <w:t>.</w:t>
      </w:r>
      <w:r w:rsidRPr="00132E65">
        <w:rPr>
          <w:rtl/>
        </w:rPr>
        <w:t xml:space="preserve"> وفي العيون والخصال وكمال الدين : « تالله [ في العيون : بالله ] لقد سمعت ذلك » كلاهما بدل « سمعت »</w:t>
      </w:r>
      <w:r>
        <w:rPr>
          <w:rtl/>
        </w:rPr>
        <w:t>.</w:t>
      </w:r>
      <w:r w:rsidR="00DB0062">
        <w:rPr>
          <w:rFonts w:hint="cs"/>
          <w:rtl/>
        </w:rPr>
        <w:t xml:space="preserve">                                 </w:t>
      </w:r>
      <w:r>
        <w:rPr>
          <w:rtl/>
        </w:rPr>
        <w:t>(4).</w:t>
      </w:r>
      <w:r w:rsidRPr="00132E65">
        <w:rPr>
          <w:rtl/>
        </w:rPr>
        <w:t xml:space="preserve"> في « بح » : « عن »</w:t>
      </w:r>
      <w:r>
        <w:rPr>
          <w:rtl/>
        </w:rPr>
        <w:t>.</w:t>
      </w:r>
    </w:p>
    <w:p w:rsidR="000C39D1" w:rsidRPr="00132E65" w:rsidRDefault="000C39D1" w:rsidP="000C39D1">
      <w:pPr>
        <w:pStyle w:val="libFootnote0"/>
        <w:rPr>
          <w:rtl/>
          <w:lang w:bidi="fa-IR"/>
        </w:rPr>
      </w:pPr>
      <w:r>
        <w:rPr>
          <w:rtl/>
        </w:rPr>
        <w:t>(5).</w:t>
      </w:r>
      <w:r w:rsidRPr="00132E65">
        <w:rPr>
          <w:rtl/>
        </w:rPr>
        <w:t xml:space="preserve"> في البصائر : « قال : فحلّفه »</w:t>
      </w:r>
      <w:r>
        <w:rPr>
          <w:rtl/>
        </w:rPr>
        <w:t>.</w:t>
      </w:r>
      <w:r w:rsidRPr="00132E65">
        <w:rPr>
          <w:rtl/>
        </w:rPr>
        <w:t xml:space="preserve"> وفي كمال الدين : « فحلّف »</w:t>
      </w:r>
      <w:r>
        <w:rPr>
          <w:rtl/>
        </w:rPr>
        <w:t>.</w:t>
      </w:r>
    </w:p>
    <w:p w:rsidR="000C39D1" w:rsidRPr="00132E65" w:rsidRDefault="000C39D1" w:rsidP="000C39D1">
      <w:pPr>
        <w:pStyle w:val="libFootnote0"/>
        <w:rPr>
          <w:rtl/>
          <w:lang w:bidi="fa-IR"/>
        </w:rPr>
      </w:pPr>
      <w:r>
        <w:rPr>
          <w:rtl/>
        </w:rPr>
        <w:t>(6).</w:t>
      </w:r>
      <w:r w:rsidRPr="00132E65">
        <w:rPr>
          <w:rtl/>
        </w:rPr>
        <w:t xml:space="preserve"> في البصائر : « واثنين »</w:t>
      </w:r>
      <w:r>
        <w:rPr>
          <w:rtl/>
        </w:rPr>
        <w:t>.</w:t>
      </w:r>
      <w:r w:rsidRPr="00132E65">
        <w:rPr>
          <w:rtl/>
        </w:rPr>
        <w:t xml:space="preserve"> وفي العيون والخصال :</w:t>
      </w:r>
      <w:r>
        <w:rPr>
          <w:rtl/>
        </w:rPr>
        <w:t xml:space="preserve"> + </w:t>
      </w:r>
      <w:r w:rsidRPr="00132E65">
        <w:rPr>
          <w:rtl/>
        </w:rPr>
        <w:t>« فحلف »</w:t>
      </w:r>
      <w:r>
        <w:rPr>
          <w:rtl/>
        </w:rPr>
        <w:t>.</w:t>
      </w:r>
    </w:p>
    <w:p w:rsidR="000C39D1" w:rsidRPr="00132E65" w:rsidRDefault="000C39D1" w:rsidP="000C39D1">
      <w:pPr>
        <w:pStyle w:val="libFootnote0"/>
        <w:rPr>
          <w:rtl/>
          <w:lang w:bidi="fa-IR"/>
        </w:rPr>
      </w:pPr>
      <w:r>
        <w:rPr>
          <w:rtl/>
        </w:rPr>
        <w:t>(7).</w:t>
      </w:r>
      <w:r w:rsidRPr="00132E65">
        <w:rPr>
          <w:rtl/>
        </w:rPr>
        <w:t xml:space="preserve"> في البصائر : « سمعت »</w:t>
      </w:r>
      <w:r>
        <w:rPr>
          <w:rtl/>
        </w:rPr>
        <w:t>.</w:t>
      </w:r>
      <w:r w:rsidRPr="00132E65">
        <w:rPr>
          <w:rtl/>
        </w:rPr>
        <w:t xml:space="preserve"> وفي كمال الدين : « سمع ذلك منه »</w:t>
      </w:r>
      <w:r>
        <w:rPr>
          <w:rtl/>
        </w:rPr>
        <w:t>.</w:t>
      </w:r>
      <w:r w:rsidRPr="00132E65">
        <w:rPr>
          <w:rtl/>
        </w:rPr>
        <w:t xml:space="preserve"> وفي العيون : « سمعته »</w:t>
      </w:r>
      <w:r>
        <w:rPr>
          <w:rtl/>
        </w:rPr>
        <w:t>.</w:t>
      </w:r>
      <w:r w:rsidRPr="00132E65">
        <w:rPr>
          <w:rtl/>
        </w:rPr>
        <w:t xml:space="preserve"> وفي الخصال : « قد سمعه »</w:t>
      </w:r>
      <w:r>
        <w:rPr>
          <w:rtl/>
        </w:rPr>
        <w:t>.</w:t>
      </w:r>
    </w:p>
    <w:p w:rsidR="000C39D1" w:rsidRPr="00132E65" w:rsidRDefault="000C39D1" w:rsidP="000C39D1">
      <w:pPr>
        <w:pStyle w:val="libFootnote0"/>
        <w:rPr>
          <w:rtl/>
          <w:lang w:bidi="fa-IR"/>
        </w:rPr>
      </w:pPr>
      <w:r>
        <w:rPr>
          <w:rtl/>
        </w:rPr>
        <w:t>(8).</w:t>
      </w:r>
      <w:r w:rsidRPr="00132E65">
        <w:rPr>
          <w:rtl/>
        </w:rPr>
        <w:t xml:space="preserve"> في البصائر : « قال »</w:t>
      </w:r>
      <w:r>
        <w:rPr>
          <w:rtl/>
        </w:rPr>
        <w:t>.</w:t>
      </w:r>
      <w:r w:rsidRPr="00132E65">
        <w:rPr>
          <w:rtl/>
        </w:rPr>
        <w:t xml:space="preserve"> وفي العيون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(9).</w:t>
      </w:r>
      <w:r w:rsidRPr="00132E65">
        <w:rPr>
          <w:rtl/>
        </w:rPr>
        <w:t xml:space="preserve"> في « ض » : « عن »</w:t>
      </w:r>
      <w:r>
        <w:rPr>
          <w:rtl/>
        </w:rPr>
        <w:t>.</w:t>
      </w:r>
    </w:p>
    <w:p w:rsidR="000C39D1" w:rsidRPr="00132E65" w:rsidRDefault="000C39D1" w:rsidP="000C39D1">
      <w:pPr>
        <w:pStyle w:val="libFootnote0"/>
        <w:rPr>
          <w:rtl/>
          <w:lang w:bidi="fa-IR"/>
        </w:rPr>
      </w:pPr>
      <w:r>
        <w:rPr>
          <w:rtl/>
        </w:rPr>
        <w:t>(10).</w:t>
      </w:r>
      <w:r w:rsidRPr="00132E65">
        <w:rPr>
          <w:rtl/>
        </w:rPr>
        <w:t xml:space="preserve"> في البصائر : « كذا سمعت أبا جعفر يقول » بدل « لكنّي سمعته من أبي جعفر »</w:t>
      </w:r>
      <w:r>
        <w:rPr>
          <w:rtl/>
        </w:rPr>
        <w:t>.</w:t>
      </w:r>
    </w:p>
    <w:p w:rsidR="000C39D1" w:rsidRPr="00132E65" w:rsidRDefault="000C39D1" w:rsidP="000C39D1">
      <w:pPr>
        <w:pStyle w:val="libFootnote0"/>
        <w:rPr>
          <w:rtl/>
          <w:lang w:bidi="fa-IR"/>
        </w:rPr>
      </w:pPr>
      <w:r>
        <w:rPr>
          <w:rtl/>
        </w:rPr>
        <w:t>(11).</w:t>
      </w:r>
      <w:r w:rsidRPr="00132E65">
        <w:rPr>
          <w:rtl/>
        </w:rPr>
        <w:t xml:space="preserve"> </w:t>
      </w:r>
      <w:r w:rsidRPr="007A1104">
        <w:rPr>
          <w:rStyle w:val="libFootnoteBoldChar"/>
          <w:rtl/>
        </w:rPr>
        <w:t>بصائر الدرجات</w:t>
      </w:r>
      <w:r w:rsidRPr="00132E65">
        <w:rPr>
          <w:rtl/>
        </w:rPr>
        <w:t xml:space="preserve"> ، ص 319 ، ح 2 ، عن أبي طالب ، عن عثمان بن عيسى ، قال : كنت أنا وأبو بصير</w:t>
      </w:r>
      <w:r>
        <w:rPr>
          <w:rtl/>
        </w:rPr>
        <w:t xml:space="preserve"> ....</w:t>
      </w:r>
      <w:r w:rsidRPr="00132E65">
        <w:rPr>
          <w:rtl/>
        </w:rPr>
        <w:t xml:space="preserve"> وفي </w:t>
      </w:r>
      <w:r w:rsidRPr="00DB0062">
        <w:rPr>
          <w:rStyle w:val="libFootnoteBoldChar"/>
          <w:rtl/>
        </w:rPr>
        <w:t>الخصال</w:t>
      </w:r>
      <w:r w:rsidRPr="00132E65">
        <w:rPr>
          <w:rtl/>
        </w:rPr>
        <w:t xml:space="preserve"> ، ص 478 ، أبواب الاثني عشر ، ح 45 ؛ </w:t>
      </w:r>
      <w:r w:rsidRPr="00DB0062">
        <w:rPr>
          <w:rStyle w:val="libFootnoteBoldChar"/>
          <w:rtl/>
        </w:rPr>
        <w:t>وعيون الأخبار</w:t>
      </w:r>
      <w:r w:rsidRPr="00132E65">
        <w:rPr>
          <w:rtl/>
        </w:rPr>
        <w:t xml:space="preserve"> ، ج 1 ، ص 56 ، ح 23 ؛ </w:t>
      </w:r>
      <w:r w:rsidRPr="00DB0062">
        <w:rPr>
          <w:rStyle w:val="libFootnoteBoldChar"/>
          <w:rtl/>
        </w:rPr>
        <w:t>وكمال الدين</w:t>
      </w:r>
      <w:r w:rsidRPr="0030274E">
        <w:rPr>
          <w:rtl/>
        </w:rPr>
        <w:t xml:space="preserve"> </w:t>
      </w:r>
      <w:r w:rsidRPr="00132E65">
        <w:rPr>
          <w:rtl/>
        </w:rPr>
        <w:t xml:space="preserve">، ص 335 ، ح 6 ، بسنده عن محمّد بن يحيى العطّار ، عن محمّد بن الحسن الصفّار ، عن أبي طالب عبد الله بن الصلت القمّي عن عثمان بن عيسى ، عن سماعة بن مهران. وراجع : </w:t>
      </w:r>
      <w:r w:rsidRPr="00DB0062">
        <w:rPr>
          <w:rStyle w:val="libFootnoteBoldChar"/>
          <w:rtl/>
        </w:rPr>
        <w:t>الغيبة للنعماني</w:t>
      </w:r>
      <w:r w:rsidRPr="00132E65">
        <w:rPr>
          <w:rtl/>
        </w:rPr>
        <w:t xml:space="preserve"> ، ص 85 ، ح 14 ؛ وص 96 ، ح 28 </w:t>
      </w:r>
      <w:r w:rsidR="00DB0062">
        <w:rPr>
          <w:rFonts w:hint="cs"/>
          <w:rtl/>
        </w:rPr>
        <w:t>.</w:t>
      </w:r>
      <w:r w:rsidRPr="009D1ACE">
        <w:rPr>
          <w:rStyle w:val="libFootnoteBoldChar"/>
          <w:rtl/>
        </w:rPr>
        <w:t>الوافي</w:t>
      </w:r>
      <w:r w:rsidRPr="00132E65">
        <w:rPr>
          <w:rtl/>
        </w:rPr>
        <w:t xml:space="preserve"> ، ج 2 ، ص 313 ، ح 775.</w:t>
      </w:r>
    </w:p>
    <w:p w:rsidR="000C39D1" w:rsidRPr="00132E65" w:rsidRDefault="000C39D1" w:rsidP="000C39D1">
      <w:pPr>
        <w:pStyle w:val="libFootnote0"/>
        <w:rPr>
          <w:rtl/>
          <w:lang w:bidi="fa-IR"/>
        </w:rPr>
      </w:pPr>
      <w:r>
        <w:rPr>
          <w:rtl/>
        </w:rPr>
        <w:t>(12).</w:t>
      </w:r>
      <w:r w:rsidRPr="00132E65">
        <w:rPr>
          <w:rtl/>
        </w:rPr>
        <w:t xml:space="preserve"> في « ج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(13)</w:t>
      </w:r>
      <w:r w:rsidRPr="00132E65">
        <w:rPr>
          <w:rtl/>
        </w:rPr>
        <w:t xml:space="preserve"> في السند تحويل بعطف « عليّ بن إبراهيم عن أبيه » على « محمّد بن يحيى عن أحمد بن محمّد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w:t>
      </w:r>
      <w:r>
        <w:rPr>
          <w:rStyle w:val="libFootnotenumChar"/>
          <w:rtl/>
        </w:rPr>
        <w:t>(1)</w:t>
      </w:r>
      <w:r w:rsidRPr="00132E65">
        <w:rPr>
          <w:rtl/>
          <w:lang w:bidi="fa-IR"/>
        </w:rPr>
        <w:t xml:space="preserve"> : « إِنَّ </w:t>
      </w:r>
      <w:r>
        <w:rPr>
          <w:rStyle w:val="libFootnotenumChar"/>
          <w:rtl/>
        </w:rPr>
        <w:t>(2)</w:t>
      </w:r>
      <w:r w:rsidRPr="00132E65">
        <w:rPr>
          <w:rtl/>
          <w:lang w:bidi="fa-IR"/>
        </w:rPr>
        <w:t xml:space="preserve"> اللهَ تَعَالى أَوْحى </w:t>
      </w:r>
      <w:r>
        <w:rPr>
          <w:rStyle w:val="libFootnotenumChar"/>
          <w:rtl/>
        </w:rPr>
        <w:t>(3)</w:t>
      </w:r>
      <w:r w:rsidRPr="00132E65">
        <w:rPr>
          <w:rtl/>
          <w:lang w:bidi="fa-IR"/>
        </w:rPr>
        <w:t xml:space="preserve"> إِلى عِمْرَانَ : أَنِّي و</w:t>
      </w:r>
      <w:r w:rsidR="00DB0062">
        <w:rPr>
          <w:rFonts w:hint="cs"/>
          <w:rtl/>
          <w:lang w:bidi="fa-IR"/>
        </w:rPr>
        <w:t>َ</w:t>
      </w:r>
      <w:r w:rsidRPr="00132E65">
        <w:rPr>
          <w:rtl/>
          <w:lang w:bidi="fa-IR"/>
        </w:rPr>
        <w:t xml:space="preserve">اهِبٌ لَكَ ذَكَراً سَوِيّاً </w:t>
      </w:r>
      <w:r>
        <w:rPr>
          <w:rStyle w:val="libFootnotenumChar"/>
          <w:rtl/>
        </w:rPr>
        <w:t>(4)</w:t>
      </w:r>
      <w:r w:rsidRPr="00132E65">
        <w:rPr>
          <w:rtl/>
          <w:lang w:bidi="fa-IR"/>
        </w:rPr>
        <w:t xml:space="preserve"> مُبَارَكاً ، يُبْرِئُ الْأَكْمَهَ </w:t>
      </w:r>
      <w:r>
        <w:rPr>
          <w:rStyle w:val="libFootnotenumChar"/>
          <w:rtl/>
        </w:rPr>
        <w:t>(5)</w:t>
      </w:r>
      <w:r w:rsidRPr="00132E65">
        <w:rPr>
          <w:rtl/>
          <w:lang w:bidi="fa-IR"/>
        </w:rPr>
        <w:t xml:space="preserve"> و</w:t>
      </w:r>
      <w:r w:rsidR="00DB0062">
        <w:rPr>
          <w:rFonts w:hint="cs"/>
          <w:rtl/>
          <w:lang w:bidi="fa-IR"/>
        </w:rPr>
        <w:t>َ</w:t>
      </w:r>
      <w:r w:rsidRPr="00132E65">
        <w:rPr>
          <w:rtl/>
          <w:lang w:bidi="fa-IR"/>
        </w:rPr>
        <w:t xml:space="preserve">الْأَبْرَصَ </w:t>
      </w:r>
      <w:r>
        <w:rPr>
          <w:rStyle w:val="libFootnotenumChar"/>
          <w:rtl/>
        </w:rPr>
        <w:t>(6)</w:t>
      </w:r>
      <w:r w:rsidRPr="00132E65">
        <w:rPr>
          <w:rtl/>
          <w:lang w:bidi="fa-IR"/>
        </w:rPr>
        <w:t xml:space="preserve"> و</w:t>
      </w:r>
      <w:r w:rsidR="00DB0062">
        <w:rPr>
          <w:rFonts w:hint="cs"/>
          <w:rtl/>
          <w:lang w:bidi="fa-IR"/>
        </w:rPr>
        <w:t>َ</w:t>
      </w:r>
      <w:r w:rsidRPr="00132E65">
        <w:rPr>
          <w:rtl/>
          <w:lang w:bidi="fa-IR"/>
        </w:rPr>
        <w:t xml:space="preserve">يُحْيِي الْمَوْتى بِإِذْنِ اللهِ </w:t>
      </w:r>
      <w:r>
        <w:rPr>
          <w:rStyle w:val="libFootnotenumChar"/>
          <w:rtl/>
        </w:rPr>
        <w:t>(7)</w:t>
      </w:r>
      <w:r w:rsidRPr="00132E65">
        <w:rPr>
          <w:rtl/>
          <w:lang w:bidi="fa-IR"/>
        </w:rPr>
        <w:t xml:space="preserve"> ، و</w:t>
      </w:r>
      <w:r w:rsidR="00DB0062">
        <w:rPr>
          <w:rFonts w:hint="cs"/>
          <w:rtl/>
          <w:lang w:bidi="fa-IR"/>
        </w:rPr>
        <w:t>َ</w:t>
      </w:r>
      <w:r w:rsidRPr="00132E65">
        <w:rPr>
          <w:rtl/>
          <w:lang w:bidi="fa-IR"/>
        </w:rPr>
        <w:t xml:space="preserve">جَاعِلُهُ رَسُولاً إِلى بَنِي إِسْرَائِيلَ ، فَحَدَّثَ عِمْرَانُ امْرَأَتَهُ حَنَّةَ </w:t>
      </w:r>
      <w:r>
        <w:rPr>
          <w:rStyle w:val="libFootnotenumChar"/>
          <w:rtl/>
        </w:rPr>
        <w:t>(8)</w:t>
      </w:r>
      <w:r w:rsidRPr="00132E65">
        <w:rPr>
          <w:rtl/>
          <w:lang w:bidi="fa-IR"/>
        </w:rPr>
        <w:t xml:space="preserve"> بِذلِكَ </w:t>
      </w:r>
      <w:r>
        <w:rPr>
          <w:rStyle w:val="libFootnotenumChar"/>
          <w:rtl/>
        </w:rPr>
        <w:t>(9)</w:t>
      </w:r>
      <w:r w:rsidRPr="00132E65">
        <w:rPr>
          <w:rtl/>
          <w:lang w:bidi="fa-IR"/>
        </w:rPr>
        <w:t xml:space="preserve"> و</w:t>
      </w:r>
      <w:r w:rsidR="00DB0062">
        <w:rPr>
          <w:rFonts w:hint="cs"/>
          <w:rtl/>
          <w:lang w:bidi="fa-IR"/>
        </w:rPr>
        <w:t>َ</w:t>
      </w:r>
      <w:r w:rsidRPr="00132E65">
        <w:rPr>
          <w:rtl/>
          <w:lang w:bidi="fa-IR"/>
        </w:rPr>
        <w:t xml:space="preserve">هِيَ أُمُّ مَرْيَمَ ، فَلَمَّا </w:t>
      </w:r>
      <w:r>
        <w:rPr>
          <w:rStyle w:val="libFootnotenumChar"/>
          <w:rtl/>
        </w:rPr>
        <w:t>(10)</w:t>
      </w:r>
      <w:r w:rsidRPr="00132E65">
        <w:rPr>
          <w:rtl/>
          <w:lang w:bidi="fa-IR"/>
        </w:rPr>
        <w:t xml:space="preserve"> حَمَلَتْ كَانَ حَمْلُهَا بِهَا </w:t>
      </w:r>
      <w:r>
        <w:rPr>
          <w:rStyle w:val="libFootnotenumChar"/>
          <w:rtl/>
        </w:rPr>
        <w:t>(11)</w:t>
      </w:r>
      <w:r w:rsidRPr="00132E65">
        <w:rPr>
          <w:rtl/>
          <w:lang w:bidi="fa-IR"/>
        </w:rPr>
        <w:t xml:space="preserve"> عِنْدَ نَفْسِهَا غُلَاماً ، فَلَمَّا و</w:t>
      </w:r>
      <w:r w:rsidR="00DB0062">
        <w:rPr>
          <w:rFonts w:hint="cs"/>
          <w:rtl/>
          <w:lang w:bidi="fa-IR"/>
        </w:rPr>
        <w:t>َ</w:t>
      </w:r>
      <w:r w:rsidRPr="00132E65">
        <w:rPr>
          <w:rtl/>
          <w:lang w:bidi="fa-IR"/>
        </w:rPr>
        <w:t xml:space="preserve">ضَعَتْهَا </w:t>
      </w:r>
      <w:r>
        <w:rPr>
          <w:rStyle w:val="libFootnotenumChar"/>
          <w:rtl/>
        </w:rPr>
        <w:t>(12)</w:t>
      </w:r>
      <w:r w:rsidRPr="00132E65">
        <w:rPr>
          <w:rtl/>
          <w:lang w:bidi="fa-IR"/>
        </w:rPr>
        <w:t xml:space="preserve"> قَالَتْ : رَبِّ إِنِّي و</w:t>
      </w:r>
      <w:r w:rsidR="00DB0062">
        <w:rPr>
          <w:rFonts w:hint="cs"/>
          <w:rtl/>
          <w:lang w:bidi="fa-IR"/>
        </w:rPr>
        <w:t>َ</w:t>
      </w:r>
      <w:r w:rsidRPr="00132E65">
        <w:rPr>
          <w:rtl/>
          <w:lang w:bidi="fa-IR"/>
        </w:rPr>
        <w:t>ضَعْتُهَا أُنْثى و</w:t>
      </w:r>
      <w:r w:rsidR="00DB0062">
        <w:rPr>
          <w:rFonts w:hint="cs"/>
          <w:rtl/>
          <w:lang w:bidi="fa-IR"/>
        </w:rPr>
        <w:t>َ</w:t>
      </w:r>
      <w:r w:rsidRPr="00132E65">
        <w:rPr>
          <w:rtl/>
          <w:lang w:bidi="fa-IR"/>
        </w:rPr>
        <w:t xml:space="preserve">لَيْسَ الذَّكَرُ كَالْأُنْثى </w:t>
      </w:r>
      <w:r w:rsidRPr="00F543F1">
        <w:rPr>
          <w:rStyle w:val="libFootnotenumChar"/>
          <w:rtl/>
        </w:rPr>
        <w:t>(13)</w:t>
      </w:r>
      <w:r w:rsidRPr="00132E65">
        <w:rPr>
          <w:rtl/>
          <w:lang w:bidi="fa-IR"/>
        </w:rPr>
        <w:t xml:space="preserve"> أَيْ لَايَكُونُ </w:t>
      </w:r>
      <w:r w:rsidRPr="00F543F1">
        <w:rPr>
          <w:rStyle w:val="libFootnotenumChar"/>
          <w:rtl/>
        </w:rPr>
        <w:t>(14)</w:t>
      </w:r>
      <w:r w:rsidRPr="00132E65">
        <w:rPr>
          <w:rtl/>
          <w:lang w:bidi="fa-IR"/>
        </w:rPr>
        <w:t xml:space="preserve"> الْبِنْتُ </w:t>
      </w:r>
      <w:r w:rsidRPr="00F543F1">
        <w:rPr>
          <w:rStyle w:val="libFootnotenumChar"/>
          <w:rtl/>
        </w:rPr>
        <w:t>(15)</w:t>
      </w:r>
      <w:r w:rsidRPr="00132E65">
        <w:rPr>
          <w:rtl/>
          <w:lang w:bidi="fa-IR"/>
        </w:rPr>
        <w:t xml:space="preserve"> رَسُولاً ، يَقُولُ اللهُ عَزَّ وجَلَّ : </w:t>
      </w:r>
      <w:r w:rsidRPr="00071CF9">
        <w:rPr>
          <w:rStyle w:val="libAlaemChar"/>
          <w:rtl/>
        </w:rPr>
        <w:t>(</w:t>
      </w:r>
      <w:r w:rsidRPr="00071CF9">
        <w:rPr>
          <w:rStyle w:val="libAieChar"/>
          <w:rtl/>
        </w:rPr>
        <w:t xml:space="preserve"> وَاللهُ أَعْلَمُ بِما وَضَعَتْ </w:t>
      </w:r>
      <w:r w:rsidRPr="00071CF9">
        <w:rPr>
          <w:rStyle w:val="libAlaemChar"/>
          <w:rtl/>
        </w:rPr>
        <w:t>)</w:t>
      </w:r>
      <w:r w:rsidRPr="00132E65">
        <w:rPr>
          <w:rtl/>
          <w:lang w:bidi="fa-IR"/>
        </w:rPr>
        <w:t xml:space="preserve"> </w:t>
      </w:r>
      <w:r w:rsidRPr="00F543F1">
        <w:rPr>
          <w:rStyle w:val="libFootnotenumChar"/>
          <w:rtl/>
        </w:rPr>
        <w:t>(16)</w:t>
      </w:r>
      <w:r w:rsidRPr="00132E65">
        <w:rPr>
          <w:rtl/>
          <w:lang w:bidi="fa-IR"/>
        </w:rPr>
        <w:t xml:space="preserve"> فَلَمَّا و</w:t>
      </w:r>
      <w:r w:rsidR="00DB0062">
        <w:rPr>
          <w:rFonts w:hint="cs"/>
          <w:rtl/>
          <w:lang w:bidi="fa-IR"/>
        </w:rPr>
        <w:t>َ</w:t>
      </w:r>
      <w:r w:rsidRPr="00132E65">
        <w:rPr>
          <w:rtl/>
          <w:lang w:bidi="fa-IR"/>
        </w:rPr>
        <w:t xml:space="preserve">هَبَ اللهُ </w:t>
      </w:r>
      <w:r w:rsidRPr="00F543F1">
        <w:rPr>
          <w:rStyle w:val="libFootnotenumChar"/>
          <w:rtl/>
        </w:rPr>
        <w:t>(17)</w:t>
      </w:r>
      <w:r w:rsidRPr="00132E65">
        <w:rPr>
          <w:rtl/>
          <w:lang w:bidi="fa-IR"/>
        </w:rPr>
        <w:t xml:space="preserve"> تَعَالى لِمَرْيَمَ عِيسى ، كَانَ هُوَ الَّذِي بَشَّرَ </w:t>
      </w:r>
      <w:r w:rsidRPr="00F543F1">
        <w:rPr>
          <w:rStyle w:val="libFootnotenumChar"/>
          <w:rtl/>
        </w:rPr>
        <w:t>(18)</w:t>
      </w:r>
      <w:r w:rsidRPr="00132E65">
        <w:rPr>
          <w:rtl/>
          <w:lang w:bidi="fa-IR"/>
        </w:rPr>
        <w:t xml:space="preserve"> بِهِ عِمْرَانَ ، و</w:t>
      </w:r>
      <w:r w:rsidR="00DB0062">
        <w:rPr>
          <w:rFonts w:hint="cs"/>
          <w:rtl/>
          <w:lang w:bidi="fa-IR"/>
        </w:rPr>
        <w:t xml:space="preserve">َ </w:t>
      </w:r>
      <w:r w:rsidRPr="00132E65">
        <w:rPr>
          <w:rtl/>
          <w:lang w:bidi="fa-IR"/>
        </w:rPr>
        <w:t>و</w:t>
      </w:r>
      <w:r w:rsidR="00DB0062">
        <w:rPr>
          <w:rFonts w:hint="cs"/>
          <w:rtl/>
          <w:lang w:bidi="fa-IR"/>
        </w:rPr>
        <w:t>َ</w:t>
      </w:r>
      <w:r w:rsidRPr="00132E65">
        <w:rPr>
          <w:rtl/>
          <w:lang w:bidi="fa-IR"/>
        </w:rPr>
        <w:t xml:space="preserve">عَدَهُ إِيَّاهُ ، فَإِذَا </w:t>
      </w:r>
      <w:r w:rsidRPr="00F543F1">
        <w:rPr>
          <w:rStyle w:val="libFootnotenumChar"/>
          <w:rtl/>
        </w:rPr>
        <w:t>(19)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DB0062">
      <w:pPr>
        <w:pStyle w:val="libFootnote0"/>
        <w:rPr>
          <w:rtl/>
          <w:lang w:bidi="fa-IR"/>
        </w:rPr>
      </w:pPr>
      <w:r>
        <w:rPr>
          <w:rtl/>
        </w:rPr>
        <w:t>(1).</w:t>
      </w:r>
      <w:r w:rsidRPr="00132E65">
        <w:rPr>
          <w:rtl/>
        </w:rPr>
        <w:t xml:space="preserve"> في تفسير القمّي :</w:t>
      </w:r>
      <w:r>
        <w:rPr>
          <w:rtl/>
        </w:rPr>
        <w:t xml:space="preserve"> + </w:t>
      </w:r>
      <w:r w:rsidRPr="00132E65">
        <w:rPr>
          <w:rtl/>
        </w:rPr>
        <w:t>« إن قلنا لكم في الرجل منّا قولاً فلم يكن فيه وكان في ولده أو ولد ولده ، فلا تنكروا ذلك ، إنّ الله »</w:t>
      </w:r>
      <w:r>
        <w:rPr>
          <w:rtl/>
        </w:rPr>
        <w:t>.</w:t>
      </w:r>
      <w:r w:rsidR="00DB0062">
        <w:rPr>
          <w:rFonts w:hint="cs"/>
          <w:rtl/>
        </w:rPr>
        <w:t xml:space="preserve">                                               </w:t>
      </w:r>
      <w:r>
        <w:rPr>
          <w:rtl/>
        </w:rPr>
        <w:t>(2).</w:t>
      </w:r>
      <w:r w:rsidRPr="00132E65">
        <w:rPr>
          <w:rtl/>
        </w:rPr>
        <w:t xml:space="preserve"> في « ض » </w:t>
      </w:r>
      <w:r>
        <w:rPr>
          <w:rtl/>
        </w:rPr>
        <w:t xml:space="preserve">: - </w:t>
      </w:r>
      <w:r w:rsidRPr="00132E65">
        <w:rPr>
          <w:rtl/>
        </w:rPr>
        <w:t>« إنّ »</w:t>
      </w:r>
      <w:r>
        <w:rPr>
          <w:rtl/>
        </w:rPr>
        <w:t>.</w:t>
      </w:r>
    </w:p>
    <w:p w:rsidR="000C39D1" w:rsidRPr="00132E65" w:rsidRDefault="000C39D1" w:rsidP="000C39D1">
      <w:pPr>
        <w:pStyle w:val="libFootnote0"/>
        <w:rPr>
          <w:rtl/>
          <w:lang w:bidi="fa-IR"/>
        </w:rPr>
      </w:pPr>
      <w:r>
        <w:rPr>
          <w:rtl/>
        </w:rPr>
        <w:t>(3).</w:t>
      </w:r>
      <w:r w:rsidRPr="00132E65">
        <w:rPr>
          <w:rtl/>
        </w:rPr>
        <w:t xml:space="preserve"> في « بر » : « وصّى »</w:t>
      </w:r>
      <w:r>
        <w:rPr>
          <w:rtl/>
        </w:rPr>
        <w:t>.</w:t>
      </w:r>
    </w:p>
    <w:p w:rsidR="000C39D1" w:rsidRPr="00132E65" w:rsidRDefault="000C39D1" w:rsidP="000C39D1">
      <w:pPr>
        <w:pStyle w:val="libFootnote0"/>
        <w:rPr>
          <w:rtl/>
          <w:lang w:bidi="fa-IR"/>
        </w:rPr>
      </w:pPr>
      <w:r>
        <w:rPr>
          <w:rtl/>
        </w:rPr>
        <w:t>(4).</w:t>
      </w:r>
      <w:r w:rsidRPr="00132E65">
        <w:rPr>
          <w:rtl/>
        </w:rPr>
        <w:t xml:space="preserve"> في تفسير القمّي </w:t>
      </w:r>
      <w:r>
        <w:rPr>
          <w:rtl/>
        </w:rPr>
        <w:t xml:space="preserve">: - </w:t>
      </w:r>
      <w:r w:rsidRPr="00132E65">
        <w:rPr>
          <w:rtl/>
        </w:rPr>
        <w:t>« سويّاً »</w:t>
      </w:r>
      <w:r>
        <w:rPr>
          <w:rtl/>
        </w:rPr>
        <w:t>.</w:t>
      </w:r>
      <w:r w:rsidRPr="00132E65">
        <w:rPr>
          <w:rtl/>
        </w:rPr>
        <w:t xml:space="preserve"> ورجل سويّ : استوت أخلاقه وخلقته عن الإفراط والتفريط. المفردات</w:t>
      </w:r>
      <w:r w:rsidR="00DB0062">
        <w:rPr>
          <w:rFonts w:hint="cs"/>
          <w:rtl/>
        </w:rPr>
        <w:t xml:space="preserve"> </w:t>
      </w:r>
      <w:r w:rsidRPr="00132E65">
        <w:rPr>
          <w:rtl/>
        </w:rPr>
        <w:t>‌للراغب ، ص 440 ( سوا )</w:t>
      </w:r>
      <w:r>
        <w:rPr>
          <w:rtl/>
        </w:rPr>
        <w:t>.</w:t>
      </w:r>
    </w:p>
    <w:p w:rsidR="000C39D1" w:rsidRPr="00132E65" w:rsidRDefault="000C39D1" w:rsidP="000C39D1">
      <w:pPr>
        <w:pStyle w:val="libFootnote0"/>
        <w:rPr>
          <w:rtl/>
          <w:lang w:bidi="fa-IR"/>
        </w:rPr>
      </w:pPr>
      <w:r>
        <w:rPr>
          <w:rtl/>
        </w:rPr>
        <w:t>(5).</w:t>
      </w:r>
      <w:r w:rsidRPr="00132E65">
        <w:rPr>
          <w:rtl/>
        </w:rPr>
        <w:t xml:space="preserve"> « الأكمه » : الذي يولد أعمى. </w:t>
      </w:r>
      <w:r w:rsidRPr="00AB2B6C">
        <w:rPr>
          <w:rStyle w:val="libFootnoteBoldChar"/>
          <w:rtl/>
        </w:rPr>
        <w:t>الصحاح</w:t>
      </w:r>
      <w:r w:rsidRPr="00132E65">
        <w:rPr>
          <w:rtl/>
        </w:rPr>
        <w:t xml:space="preserve"> ، ج 6 ، ص 2247 ( كمه )</w:t>
      </w:r>
      <w:r>
        <w:rPr>
          <w:rtl/>
        </w:rPr>
        <w:t>.</w:t>
      </w:r>
    </w:p>
    <w:p w:rsidR="000C39D1" w:rsidRPr="00132E65" w:rsidRDefault="000C39D1" w:rsidP="000C39D1">
      <w:pPr>
        <w:pStyle w:val="libFootnote0"/>
        <w:rPr>
          <w:rtl/>
          <w:lang w:bidi="fa-IR"/>
        </w:rPr>
      </w:pPr>
      <w:r>
        <w:rPr>
          <w:rtl/>
        </w:rPr>
        <w:t>(6).</w:t>
      </w:r>
      <w:r w:rsidRPr="00132E65">
        <w:rPr>
          <w:rtl/>
        </w:rPr>
        <w:t xml:space="preserve"> « البَرَص » : داءٌ ، وهو بياض ، وقد بَرِص الرجل فهو أبرص. </w:t>
      </w:r>
      <w:r w:rsidRPr="00AB2B6C">
        <w:rPr>
          <w:rStyle w:val="libFootnoteBoldChar"/>
          <w:rtl/>
        </w:rPr>
        <w:t>الصحاح</w:t>
      </w:r>
      <w:r w:rsidRPr="00132E65">
        <w:rPr>
          <w:rtl/>
        </w:rPr>
        <w:t xml:space="preserve"> ، ج 3 ، ص 1029 ( برص )</w:t>
      </w:r>
      <w:r>
        <w:rPr>
          <w:rtl/>
        </w:rPr>
        <w:t>.</w:t>
      </w:r>
    </w:p>
    <w:p w:rsidR="000C39D1" w:rsidRPr="00132E65" w:rsidRDefault="000C39D1" w:rsidP="000C39D1">
      <w:pPr>
        <w:pStyle w:val="libFootnote0"/>
        <w:rPr>
          <w:rtl/>
          <w:lang w:bidi="fa-IR"/>
        </w:rPr>
      </w:pPr>
      <w:r>
        <w:rPr>
          <w:rtl/>
        </w:rPr>
        <w:t>(7).</w:t>
      </w:r>
      <w:r w:rsidRPr="00132E65">
        <w:rPr>
          <w:rtl/>
        </w:rPr>
        <w:t xml:space="preserve"> في تفسير القمّي : « بإذني »</w:t>
      </w:r>
      <w:r>
        <w:rPr>
          <w:rtl/>
        </w:rPr>
        <w:t>.</w:t>
      </w:r>
      <w:r w:rsidRPr="00132E65">
        <w:rPr>
          <w:rtl/>
        </w:rPr>
        <w:t xml:space="preserve"> وهذا إشارة إلى الآية 49 من سورة آل عمراه </w:t>
      </w:r>
      <w:r>
        <w:rPr>
          <w:rtl/>
        </w:rPr>
        <w:t>(3). :</w:t>
      </w:r>
      <w:r w:rsidRPr="00132E65">
        <w:rPr>
          <w:rtl/>
        </w:rPr>
        <w:t xml:space="preserve"> </w:t>
      </w:r>
      <w:r w:rsidRPr="00AB2B6C">
        <w:rPr>
          <w:rStyle w:val="libFootnoteAlaemChar"/>
          <w:rtl/>
        </w:rPr>
        <w:t>(</w:t>
      </w:r>
      <w:r w:rsidRPr="002E691D">
        <w:rPr>
          <w:rFonts w:hint="cs"/>
          <w:rtl/>
        </w:rPr>
        <w:t xml:space="preserve"> </w:t>
      </w:r>
      <w:r w:rsidRPr="00C2691A">
        <w:rPr>
          <w:rStyle w:val="libFootnoteAieChar"/>
          <w:rtl/>
        </w:rPr>
        <w:t>وَأُبْرِئُ الْأَكْمَهَ وَالْأَبْرَصَ وَأُحْيِ الْمَوْتى بِإِذْنِ اللهِ</w:t>
      </w:r>
      <w:r w:rsidRPr="002E691D">
        <w:rPr>
          <w:rFonts w:hint="cs"/>
          <w:rtl/>
        </w:rPr>
        <w:t xml:space="preserve"> </w:t>
      </w:r>
      <w:r w:rsidRPr="00AB2B6C">
        <w:rPr>
          <w:rStyle w:val="libFootnoteAlaemChar"/>
          <w:rtl/>
        </w:rPr>
        <w:t>)</w:t>
      </w:r>
      <w:r w:rsidRPr="00132E65">
        <w:rPr>
          <w:rtl/>
        </w:rPr>
        <w:t xml:space="preserve"> الآية ؛ ونظيره مع اختلاف في الألفاظ في الآية 110 من سورة المائدة </w:t>
      </w:r>
      <w:r>
        <w:rPr>
          <w:rtl/>
        </w:rPr>
        <w:t>(5).</w:t>
      </w:r>
    </w:p>
    <w:p w:rsidR="000C39D1" w:rsidRPr="00132E65" w:rsidRDefault="000C39D1" w:rsidP="000C39D1">
      <w:pPr>
        <w:pStyle w:val="libFootnote0"/>
        <w:rPr>
          <w:rtl/>
          <w:lang w:bidi="fa-IR"/>
        </w:rPr>
      </w:pPr>
      <w:r>
        <w:rPr>
          <w:rtl/>
        </w:rPr>
        <w:t>(8).</w:t>
      </w:r>
      <w:r w:rsidRPr="00132E65">
        <w:rPr>
          <w:rtl/>
        </w:rPr>
        <w:t xml:space="preserve"> في </w:t>
      </w:r>
      <w:r w:rsidRPr="009D1ACE">
        <w:rPr>
          <w:rStyle w:val="libFootnoteBoldChar"/>
          <w:rtl/>
        </w:rPr>
        <w:t>مرآة العقول</w:t>
      </w:r>
      <w:r w:rsidRPr="00132E65">
        <w:rPr>
          <w:rtl/>
        </w:rPr>
        <w:t xml:space="preserve"> ، ج 6 ، ص 236 : « كون اسم مريم « حنّة » موافق لما ذكره أكثر المفسّرين وأهل الكتاب. وقد مرّفي باب مولد أبي الحسن موسى </w:t>
      </w:r>
      <w:r w:rsidRPr="00AB2B6C">
        <w:rPr>
          <w:rStyle w:val="libFootnoteAlaemChar"/>
          <w:rtl/>
        </w:rPr>
        <w:t>عليه‌السلام</w:t>
      </w:r>
      <w:r w:rsidRPr="00132E65">
        <w:rPr>
          <w:rtl/>
        </w:rPr>
        <w:t xml:space="preserve"> ، [ ذيل ح 1292 ] أنّ اسمها « مرثا » وهي وهيبة بالعربية. فيمكن أن يكون أحدهما اسماً والآخر لقباً ، أو يكون أحدهما موافقاً للواقع ، والآخر لها اشتهر بين أهل الكتاب أو العامّة »</w:t>
      </w:r>
      <w:r>
        <w:rPr>
          <w:rtl/>
        </w:rPr>
        <w:t>.</w:t>
      </w:r>
    </w:p>
    <w:p w:rsidR="000C39D1" w:rsidRPr="00132E65" w:rsidRDefault="000C39D1" w:rsidP="000C39D1">
      <w:pPr>
        <w:pStyle w:val="libFootnote0"/>
        <w:rPr>
          <w:rtl/>
          <w:lang w:bidi="fa-IR"/>
        </w:rPr>
      </w:pPr>
      <w:r>
        <w:rPr>
          <w:rtl/>
        </w:rPr>
        <w:t>(9).</w:t>
      </w:r>
      <w:r w:rsidRPr="00132E65">
        <w:rPr>
          <w:rtl/>
        </w:rPr>
        <w:t xml:space="preserve"> في تفسير القمّي : « فحدّث بذلك امرأته حنّة »</w:t>
      </w:r>
      <w:r>
        <w:rPr>
          <w:rtl/>
        </w:rPr>
        <w:t>.</w:t>
      </w:r>
    </w:p>
    <w:tbl>
      <w:tblPr>
        <w:tblStyle w:val="TableGrid"/>
        <w:bidiVisual/>
        <w:tblW w:w="0" w:type="auto"/>
        <w:tblLook w:val="04A0" w:firstRow="1" w:lastRow="0" w:firstColumn="1" w:lastColumn="0" w:noHBand="0" w:noVBand="1"/>
      </w:tblPr>
      <w:tblGrid>
        <w:gridCol w:w="4261"/>
        <w:gridCol w:w="4262"/>
      </w:tblGrid>
      <w:tr w:rsidR="00AB2B6C" w:rsidTr="00AB2B6C">
        <w:tc>
          <w:tcPr>
            <w:tcW w:w="4261" w:type="dxa"/>
          </w:tcPr>
          <w:p w:rsidR="00AB2B6C" w:rsidRDefault="00AB2B6C" w:rsidP="000C39D1">
            <w:pPr>
              <w:pStyle w:val="libFootnote0"/>
              <w:rPr>
                <w:rtl/>
              </w:rPr>
            </w:pPr>
            <w:r>
              <w:rPr>
                <w:rtl/>
              </w:rPr>
              <w:t>(10).</w:t>
            </w:r>
            <w:r w:rsidRPr="00132E65">
              <w:rPr>
                <w:rtl/>
              </w:rPr>
              <w:t xml:space="preserve"> في حاشية « بف » : « ثمّ »</w:t>
            </w:r>
            <w:r>
              <w:rPr>
                <w:rtl/>
              </w:rPr>
              <w:t>.</w:t>
            </w:r>
          </w:p>
        </w:tc>
        <w:tc>
          <w:tcPr>
            <w:tcW w:w="4262" w:type="dxa"/>
          </w:tcPr>
          <w:p w:rsidR="00AB2B6C" w:rsidRDefault="00AB2B6C" w:rsidP="000C39D1">
            <w:pPr>
              <w:pStyle w:val="libFootnote0"/>
              <w:rPr>
                <w:rtl/>
              </w:rPr>
            </w:pPr>
            <w:r>
              <w:rPr>
                <w:rtl/>
              </w:rPr>
              <w:t>(11).</w:t>
            </w:r>
            <w:r w:rsidRPr="00132E65">
              <w:rPr>
                <w:rtl/>
              </w:rPr>
              <w:t xml:space="preserve"> في تفسير القمّي : « فلمّا حملت بها ، كان حملها »</w:t>
            </w:r>
            <w:r>
              <w:rPr>
                <w:rtl/>
              </w:rPr>
              <w:t>.</w:t>
            </w:r>
          </w:p>
        </w:tc>
      </w:tr>
    </w:tbl>
    <w:p w:rsidR="000C39D1" w:rsidRPr="00132E65" w:rsidRDefault="000C39D1" w:rsidP="000C39D1">
      <w:pPr>
        <w:pStyle w:val="libFootnote0"/>
        <w:rPr>
          <w:rtl/>
          <w:lang w:bidi="fa-IR"/>
        </w:rPr>
      </w:pPr>
      <w:r>
        <w:rPr>
          <w:rtl/>
        </w:rPr>
        <w:t>(12).</w:t>
      </w:r>
      <w:r w:rsidRPr="00132E65">
        <w:rPr>
          <w:rtl/>
        </w:rPr>
        <w:t xml:space="preserve"> في تفسير القمّي :</w:t>
      </w:r>
      <w:r>
        <w:rPr>
          <w:rtl/>
        </w:rPr>
        <w:t xml:space="preserve"> + </w:t>
      </w:r>
      <w:r w:rsidRPr="00132E65">
        <w:rPr>
          <w:rtl/>
        </w:rPr>
        <w:t>« ا</w:t>
      </w:r>
      <w:r w:rsidR="00AB2B6C">
        <w:rPr>
          <w:rFonts w:hint="cs"/>
          <w:rtl/>
        </w:rPr>
        <w:t>ُ</w:t>
      </w:r>
      <w:r w:rsidRPr="00132E65">
        <w:rPr>
          <w:rtl/>
        </w:rPr>
        <w:t>نثى »</w:t>
      </w:r>
      <w:r>
        <w:rPr>
          <w:rtl/>
        </w:rPr>
        <w:t>.</w:t>
      </w:r>
    </w:p>
    <w:p w:rsidR="000C39D1" w:rsidRPr="00132E65" w:rsidRDefault="000C39D1" w:rsidP="000C39D1">
      <w:pPr>
        <w:pStyle w:val="libFootnote0"/>
        <w:rPr>
          <w:rtl/>
          <w:lang w:bidi="fa-IR"/>
        </w:rPr>
      </w:pPr>
      <w:r>
        <w:rPr>
          <w:rtl/>
        </w:rPr>
        <w:t>(13)</w:t>
      </w:r>
      <w:r w:rsidRPr="00132E65">
        <w:rPr>
          <w:rtl/>
        </w:rPr>
        <w:t xml:space="preserve"> إشارة إلى الآية 36 من سورة آل عمران </w:t>
      </w:r>
      <w:r>
        <w:rPr>
          <w:rtl/>
        </w:rPr>
        <w:t>(3). :</w:t>
      </w:r>
      <w:r w:rsidRPr="00132E65">
        <w:rPr>
          <w:rtl/>
        </w:rPr>
        <w:t xml:space="preserve"> </w:t>
      </w:r>
      <w:r w:rsidRPr="00071CF9">
        <w:rPr>
          <w:rStyle w:val="libAlaemChar"/>
          <w:rtl/>
        </w:rPr>
        <w:t>(</w:t>
      </w:r>
      <w:r>
        <w:rPr>
          <w:rFonts w:hint="cs"/>
          <w:rtl/>
        </w:rPr>
        <w:t xml:space="preserve"> </w:t>
      </w:r>
      <w:r w:rsidRPr="00C2691A">
        <w:rPr>
          <w:rStyle w:val="libFootnoteAieChar"/>
          <w:rtl/>
        </w:rPr>
        <w:t>فَلَمّ</w:t>
      </w:r>
      <w:r w:rsidR="00AB2B6C">
        <w:rPr>
          <w:rStyle w:val="libFootnoteAieChar"/>
          <w:rFonts w:hint="cs"/>
          <w:rtl/>
        </w:rPr>
        <w:t>َ</w:t>
      </w:r>
      <w:r w:rsidRPr="00C2691A">
        <w:rPr>
          <w:rStyle w:val="libFootnoteAieChar"/>
          <w:rtl/>
        </w:rPr>
        <w:t>ا وَضَعَتْها قالَتْ رَبِّ إِنِّي وَضَعْتُها أُنْث</w:t>
      </w:r>
      <w:r w:rsidR="00AB2B6C">
        <w:rPr>
          <w:rStyle w:val="libFootnoteAieChar"/>
          <w:rFonts w:hint="cs"/>
          <w:rtl/>
        </w:rPr>
        <w:t>َ</w:t>
      </w:r>
      <w:r w:rsidRPr="00C2691A">
        <w:rPr>
          <w:rStyle w:val="libFootnoteAieChar"/>
          <w:rtl/>
        </w:rPr>
        <w:t>ى وَاللهُ أَعْلَمُ بِم</w:t>
      </w:r>
      <w:r w:rsidR="00AB2B6C">
        <w:rPr>
          <w:rStyle w:val="libFootnoteAieChar"/>
          <w:rFonts w:hint="cs"/>
          <w:rtl/>
        </w:rPr>
        <w:t>َ</w:t>
      </w:r>
      <w:r w:rsidRPr="00C2691A">
        <w:rPr>
          <w:rStyle w:val="libFootnoteAieChar"/>
          <w:rtl/>
        </w:rPr>
        <w:t>ا وَضَعَتْ وَلَيْسَ الذَّكَرُ كَالْأُنْثى</w:t>
      </w:r>
      <w:r>
        <w:rPr>
          <w:rFonts w:hint="cs"/>
          <w:rtl/>
        </w:rPr>
        <w:t xml:space="preserve"> </w:t>
      </w:r>
      <w:r w:rsidRPr="00071CF9">
        <w:rPr>
          <w:rStyle w:val="libAlaemChar"/>
          <w:rtl/>
        </w:rPr>
        <w:t>)</w:t>
      </w:r>
      <w:r w:rsidRPr="00132E65">
        <w:rPr>
          <w:rtl/>
        </w:rPr>
        <w:t>.</w:t>
      </w:r>
    </w:p>
    <w:p w:rsidR="000C39D1" w:rsidRPr="00132E65" w:rsidRDefault="000C39D1" w:rsidP="000C39D1">
      <w:pPr>
        <w:pStyle w:val="libFootnote0"/>
        <w:rPr>
          <w:rtl/>
          <w:lang w:bidi="fa-IR"/>
        </w:rPr>
      </w:pPr>
      <w:r>
        <w:rPr>
          <w:rtl/>
        </w:rPr>
        <w:t>(14)</w:t>
      </w:r>
      <w:r w:rsidRPr="00132E65">
        <w:rPr>
          <w:rtl/>
        </w:rPr>
        <w:t xml:space="preserve"> في « ب ، ج ، ض ، ف ، بس » </w:t>
      </w:r>
      <w:r w:rsidRPr="00AB2B6C">
        <w:rPr>
          <w:rtl/>
        </w:rPr>
        <w:t>والوافي</w:t>
      </w:r>
      <w:r w:rsidRPr="00132E65">
        <w:rPr>
          <w:rtl/>
        </w:rPr>
        <w:t xml:space="preserve"> والبحار : « لا تكون »</w:t>
      </w:r>
      <w:r>
        <w:rPr>
          <w:rtl/>
        </w:rPr>
        <w:t>.</w:t>
      </w:r>
    </w:p>
    <w:tbl>
      <w:tblPr>
        <w:tblStyle w:val="TableGrid"/>
        <w:bidiVisual/>
        <w:tblW w:w="0" w:type="auto"/>
        <w:tblLook w:val="04A0" w:firstRow="1" w:lastRow="0" w:firstColumn="1" w:lastColumn="0" w:noHBand="0" w:noVBand="1"/>
      </w:tblPr>
      <w:tblGrid>
        <w:gridCol w:w="4261"/>
        <w:gridCol w:w="4262"/>
      </w:tblGrid>
      <w:tr w:rsidR="00AB2B6C" w:rsidTr="00AB2B6C">
        <w:tc>
          <w:tcPr>
            <w:tcW w:w="4261" w:type="dxa"/>
          </w:tcPr>
          <w:p w:rsidR="00AB2B6C" w:rsidRDefault="00AB2B6C" w:rsidP="000C39D1">
            <w:pPr>
              <w:pStyle w:val="libFootnote0"/>
              <w:rPr>
                <w:rtl/>
              </w:rPr>
            </w:pPr>
            <w:r>
              <w:rPr>
                <w:rtl/>
              </w:rPr>
              <w:t>(15)</w:t>
            </w:r>
            <w:r w:rsidRPr="00132E65">
              <w:rPr>
                <w:rtl/>
              </w:rPr>
              <w:t xml:space="preserve"> في تفسير القمّي : « لأنّ البنت لا تكون »</w:t>
            </w:r>
            <w:r>
              <w:rPr>
                <w:rtl/>
              </w:rPr>
              <w:t>.</w:t>
            </w:r>
          </w:p>
        </w:tc>
        <w:tc>
          <w:tcPr>
            <w:tcW w:w="4262" w:type="dxa"/>
          </w:tcPr>
          <w:p w:rsidR="00AB2B6C" w:rsidRDefault="00AB2B6C" w:rsidP="000C39D1">
            <w:pPr>
              <w:pStyle w:val="libFootnote0"/>
              <w:rPr>
                <w:rtl/>
              </w:rPr>
            </w:pPr>
            <w:r>
              <w:rPr>
                <w:rtl/>
              </w:rPr>
              <w:t>(16)</w:t>
            </w:r>
            <w:r w:rsidRPr="00132E65">
              <w:rPr>
                <w:rtl/>
              </w:rPr>
              <w:t xml:space="preserve"> آل عمران </w:t>
            </w:r>
            <w:r>
              <w:rPr>
                <w:rtl/>
              </w:rPr>
              <w:t>(3)</w:t>
            </w:r>
            <w:r w:rsidRPr="00132E65">
              <w:rPr>
                <w:rtl/>
              </w:rPr>
              <w:t xml:space="preserve"> : 36.</w:t>
            </w:r>
          </w:p>
        </w:tc>
      </w:tr>
    </w:tbl>
    <w:p w:rsidR="000C39D1" w:rsidRPr="00132E65" w:rsidRDefault="000C39D1" w:rsidP="000C39D1">
      <w:pPr>
        <w:pStyle w:val="libFootnote0"/>
        <w:rPr>
          <w:rtl/>
          <w:lang w:bidi="fa-IR"/>
        </w:rPr>
      </w:pPr>
      <w:r>
        <w:rPr>
          <w:rtl/>
        </w:rPr>
        <w:t>(17)</w:t>
      </w:r>
      <w:r w:rsidRPr="00132E65">
        <w:rPr>
          <w:rtl/>
        </w:rPr>
        <w:t xml:space="preserve"> في « ب ، ج ، ض ، ف ، بر ، بس ، بف » </w:t>
      </w:r>
      <w:r>
        <w:rPr>
          <w:rtl/>
        </w:rPr>
        <w:t xml:space="preserve">: - </w:t>
      </w:r>
      <w:r w:rsidRPr="00132E65">
        <w:rPr>
          <w:rtl/>
        </w:rPr>
        <w:t>« الله »</w:t>
      </w:r>
      <w:r>
        <w:rPr>
          <w:rtl/>
        </w:rPr>
        <w:t>.</w:t>
      </w:r>
    </w:p>
    <w:tbl>
      <w:tblPr>
        <w:tblStyle w:val="TableGrid"/>
        <w:bidiVisual/>
        <w:tblW w:w="0" w:type="auto"/>
        <w:tblLook w:val="04A0" w:firstRow="1" w:lastRow="0" w:firstColumn="1" w:lastColumn="0" w:noHBand="0" w:noVBand="1"/>
      </w:tblPr>
      <w:tblGrid>
        <w:gridCol w:w="4261"/>
        <w:gridCol w:w="4262"/>
      </w:tblGrid>
      <w:tr w:rsidR="00AB2B6C" w:rsidTr="00AB2B6C">
        <w:tc>
          <w:tcPr>
            <w:tcW w:w="4261" w:type="dxa"/>
          </w:tcPr>
          <w:p w:rsidR="00AB2B6C" w:rsidRDefault="00AB2B6C" w:rsidP="000C39D1">
            <w:pPr>
              <w:pStyle w:val="libFootnote0"/>
              <w:rPr>
                <w:rtl/>
              </w:rPr>
            </w:pPr>
            <w:r>
              <w:rPr>
                <w:rtl/>
              </w:rPr>
              <w:t>(18)</w:t>
            </w:r>
            <w:r w:rsidRPr="00132E65">
              <w:rPr>
                <w:rtl/>
              </w:rPr>
              <w:t xml:space="preserve"> في تفسير القمّي :</w:t>
            </w:r>
            <w:r>
              <w:rPr>
                <w:rtl/>
              </w:rPr>
              <w:t xml:space="preserve"> + </w:t>
            </w:r>
            <w:r w:rsidRPr="00132E65">
              <w:rPr>
                <w:rtl/>
              </w:rPr>
              <w:t>« الله »</w:t>
            </w:r>
            <w:r>
              <w:rPr>
                <w:rtl/>
              </w:rPr>
              <w:t>.</w:t>
            </w:r>
          </w:p>
        </w:tc>
        <w:tc>
          <w:tcPr>
            <w:tcW w:w="4262" w:type="dxa"/>
          </w:tcPr>
          <w:p w:rsidR="00AB2B6C" w:rsidRDefault="00AB2B6C" w:rsidP="000C39D1">
            <w:pPr>
              <w:pStyle w:val="libFootnote0"/>
              <w:rPr>
                <w:rtl/>
              </w:rPr>
            </w:pPr>
            <w:r>
              <w:rPr>
                <w:rtl/>
              </w:rPr>
              <w:t>(19)</w:t>
            </w:r>
            <w:r w:rsidRPr="00132E65">
              <w:rPr>
                <w:rtl/>
              </w:rPr>
              <w:t xml:space="preserve"> في « بس » : « فإن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قُلْنَا </w:t>
      </w:r>
      <w:r>
        <w:rPr>
          <w:rStyle w:val="libFootnotenumChar"/>
          <w:rtl/>
        </w:rPr>
        <w:t>(1)</w:t>
      </w:r>
      <w:r w:rsidRPr="00132E65">
        <w:rPr>
          <w:rtl/>
          <w:lang w:bidi="fa-IR"/>
        </w:rPr>
        <w:t xml:space="preserve"> فِي الرَّجُلِ مِنَّا شَيْئاً و</w:t>
      </w:r>
      <w:r w:rsidR="00AB2B6C">
        <w:rPr>
          <w:rFonts w:hint="cs"/>
          <w:rtl/>
          <w:lang w:bidi="fa-IR"/>
        </w:rPr>
        <w:t>َ</w:t>
      </w:r>
      <w:r w:rsidRPr="00132E65">
        <w:rPr>
          <w:rtl/>
          <w:lang w:bidi="fa-IR"/>
        </w:rPr>
        <w:t xml:space="preserve">كَانَ </w:t>
      </w:r>
      <w:r>
        <w:rPr>
          <w:rStyle w:val="libFootnotenumChar"/>
          <w:rtl/>
        </w:rPr>
        <w:t>(2)</w:t>
      </w:r>
      <w:r w:rsidRPr="00132E65">
        <w:rPr>
          <w:rtl/>
          <w:lang w:bidi="fa-IR"/>
        </w:rPr>
        <w:t xml:space="preserve"> فِي و</w:t>
      </w:r>
      <w:r w:rsidR="00AB2B6C">
        <w:rPr>
          <w:rFonts w:hint="cs"/>
          <w:rtl/>
          <w:lang w:bidi="fa-IR"/>
        </w:rPr>
        <w:t>َ</w:t>
      </w:r>
      <w:r w:rsidRPr="00132E65">
        <w:rPr>
          <w:rtl/>
          <w:lang w:bidi="fa-IR"/>
        </w:rPr>
        <w:t>لَدِهِ أَوْ و</w:t>
      </w:r>
      <w:r w:rsidR="00AB2B6C">
        <w:rPr>
          <w:rFonts w:hint="cs"/>
          <w:rtl/>
          <w:lang w:bidi="fa-IR"/>
        </w:rPr>
        <w:t>َ</w:t>
      </w:r>
      <w:r w:rsidRPr="00132E65">
        <w:rPr>
          <w:rtl/>
          <w:lang w:bidi="fa-IR"/>
        </w:rPr>
        <w:t>لَدِ و</w:t>
      </w:r>
      <w:r w:rsidR="00AB2B6C">
        <w:rPr>
          <w:rFonts w:hint="cs"/>
          <w:rtl/>
          <w:lang w:bidi="fa-IR"/>
        </w:rPr>
        <w:t>َ</w:t>
      </w:r>
      <w:r w:rsidRPr="00132E65">
        <w:rPr>
          <w:rtl/>
          <w:lang w:bidi="fa-IR"/>
        </w:rPr>
        <w:t xml:space="preserve">لَدِهِ ، فَلَا تُنْكِرُوا </w:t>
      </w:r>
      <w:r>
        <w:rPr>
          <w:rStyle w:val="libFootnotenumChar"/>
          <w:rtl/>
        </w:rPr>
        <w:t>(3)</w:t>
      </w:r>
      <w:r w:rsidRPr="00132E65">
        <w:rPr>
          <w:rtl/>
          <w:lang w:bidi="fa-IR"/>
        </w:rPr>
        <w:t xml:space="preserve"> ذلِكَ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30274E">
        <w:rPr>
          <w:rtl/>
        </w:rPr>
        <w:t>1409</w:t>
      </w:r>
      <w:r w:rsidRPr="004325D8">
        <w:rPr>
          <w:rStyle w:val="libBold2Char"/>
          <w:rtl/>
        </w:rPr>
        <w:t xml:space="preserve"> / 2.</w:t>
      </w:r>
      <w:r w:rsidRPr="00132E65">
        <w:rPr>
          <w:rtl/>
          <w:lang w:bidi="fa-IR"/>
        </w:rPr>
        <w:t xml:space="preserve"> مُحَمَّدُ بْنُ إِسْمَاعِيلَ ، عَنِ الْفَضْلِ بْنِ شَاذَانَ ، عَنْ حَمَّادِ بْنِ عِيسى ، عَنْ إِبْرَاهِيمَ بْنِ عُمَرَ الْيَمَانِيِّ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إِذَا قُلْنَا فِي رَجُلٍ قَوْلاً ، فَلَمْ يَكُنْ فِيهِ و</w:t>
      </w:r>
      <w:r w:rsidR="00AB2B6C">
        <w:rPr>
          <w:rFonts w:hint="cs"/>
          <w:rtl/>
          <w:lang w:bidi="fa-IR"/>
        </w:rPr>
        <w:t>َ</w:t>
      </w:r>
      <w:r w:rsidRPr="00132E65">
        <w:rPr>
          <w:rtl/>
          <w:lang w:bidi="fa-IR"/>
        </w:rPr>
        <w:t>كَانَ فِي و</w:t>
      </w:r>
      <w:r w:rsidR="00AB2B6C">
        <w:rPr>
          <w:rFonts w:hint="cs"/>
          <w:rtl/>
          <w:lang w:bidi="fa-IR"/>
        </w:rPr>
        <w:t>َ</w:t>
      </w:r>
      <w:r w:rsidRPr="00132E65">
        <w:rPr>
          <w:rtl/>
          <w:lang w:bidi="fa-IR"/>
        </w:rPr>
        <w:t xml:space="preserve">لَدِهِ أَوْ وَلَدِ </w:t>
      </w:r>
      <w:r>
        <w:rPr>
          <w:rStyle w:val="libFootnotenumChar"/>
          <w:rtl/>
        </w:rPr>
        <w:t>(5)</w:t>
      </w:r>
      <w:r w:rsidRPr="00132E65">
        <w:rPr>
          <w:rtl/>
          <w:lang w:bidi="fa-IR"/>
        </w:rPr>
        <w:t xml:space="preserve"> و</w:t>
      </w:r>
      <w:r w:rsidR="00AB2B6C">
        <w:rPr>
          <w:rFonts w:hint="cs"/>
          <w:rtl/>
          <w:lang w:bidi="fa-IR"/>
        </w:rPr>
        <w:t>َ</w:t>
      </w:r>
      <w:r w:rsidRPr="00132E65">
        <w:rPr>
          <w:rtl/>
          <w:lang w:bidi="fa-IR"/>
        </w:rPr>
        <w:t xml:space="preserve">لَدِهِ ، فَلَا تُنْكِرُوا </w:t>
      </w:r>
      <w:r>
        <w:rPr>
          <w:rStyle w:val="libFootnotenumChar"/>
          <w:rtl/>
        </w:rPr>
        <w:t>(6)</w:t>
      </w:r>
      <w:r w:rsidRPr="00132E65">
        <w:rPr>
          <w:rtl/>
          <w:lang w:bidi="fa-IR"/>
        </w:rPr>
        <w:t xml:space="preserve"> ذلِكَ ؛ فَإِنَّ اللهَ يَفْعَلُ مَا يَشَاءُ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30274E">
        <w:rPr>
          <w:rtl/>
        </w:rPr>
        <w:t>1410</w:t>
      </w:r>
      <w:r w:rsidRPr="004325D8">
        <w:rPr>
          <w:rStyle w:val="libBold2Char"/>
          <w:rtl/>
        </w:rPr>
        <w:t xml:space="preserve"> / 3.</w:t>
      </w:r>
      <w:r w:rsidRPr="00132E65">
        <w:rPr>
          <w:rtl/>
          <w:lang w:bidi="fa-IR"/>
        </w:rPr>
        <w:t xml:space="preserve"> الْحُسَيْنُ بْنُ مُحَمَّدٍ ، عَنْ مُعَلَّى بْنِ مُحَمَّدٍ ، عَنِ الْوَشَّاءِ ، عَنْ أَحْمَدَ بْنِ عَائِذٍ ، عَنْ أَبِي خَدِيجَةَ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قَدْ يَقُومُ الرَّجُلُ بِعَدْلٍ أَوْ بِجَوْرٍ </w:t>
      </w:r>
      <w:r>
        <w:rPr>
          <w:rStyle w:val="libFootnotenumChar"/>
          <w:rtl/>
        </w:rPr>
        <w:t>(8)</w:t>
      </w:r>
      <w:r w:rsidRPr="00132E65">
        <w:rPr>
          <w:rtl/>
          <w:lang w:bidi="fa-IR"/>
        </w:rPr>
        <w:t xml:space="preserve"> ، و</w:t>
      </w:r>
      <w:r w:rsidR="00AB2B6C">
        <w:rPr>
          <w:rFonts w:hint="cs"/>
          <w:rtl/>
          <w:lang w:bidi="fa-IR"/>
        </w:rPr>
        <w:t>َ</w:t>
      </w:r>
      <w:r w:rsidRPr="00132E65">
        <w:rPr>
          <w:rtl/>
          <w:lang w:bidi="fa-IR"/>
        </w:rPr>
        <w:t xml:space="preserve">يُنْسَبُ </w:t>
      </w:r>
      <w:r>
        <w:rPr>
          <w:rStyle w:val="libFootnotenumChar"/>
          <w:rtl/>
        </w:rPr>
        <w:t>(9)</w:t>
      </w:r>
      <w:r w:rsidRPr="00132E65">
        <w:rPr>
          <w:rtl/>
          <w:lang w:bidi="fa-IR"/>
        </w:rPr>
        <w:t xml:space="preserve"> إِلَيْهِ وَلَمْ يَكُنْ </w:t>
      </w:r>
      <w:r>
        <w:rPr>
          <w:rStyle w:val="libFootnotenumChar"/>
          <w:rtl/>
        </w:rPr>
        <w:t>(10)</w:t>
      </w:r>
      <w:r w:rsidRPr="00132E65">
        <w:rPr>
          <w:rtl/>
          <w:lang w:bidi="fa-IR"/>
        </w:rPr>
        <w:t xml:space="preserve"> قَامَ بِهِ ، فَيَكُونُ ذلِكَ ابْنَهُ أَوِ ابْنَ ابْنِهِ مِنْ بَعْدِهِ ، فَهُوَ هُوَ </w:t>
      </w:r>
      <w:r>
        <w:rPr>
          <w:rStyle w:val="libFootnotenumChar"/>
          <w:rtl/>
        </w:rPr>
        <w:t>(11)</w:t>
      </w:r>
      <w:r w:rsidRPr="00132E65">
        <w:rPr>
          <w:rtl/>
          <w:lang w:bidi="fa-IR"/>
        </w:rPr>
        <w:t xml:space="preserve">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تفسير القمّي :</w:t>
      </w:r>
      <w:r>
        <w:rPr>
          <w:rtl/>
        </w:rPr>
        <w:t xml:space="preserve"> + </w:t>
      </w:r>
      <w:r w:rsidRPr="00132E65">
        <w:rPr>
          <w:rtl/>
        </w:rPr>
        <w:t>« لكم »</w:t>
      </w:r>
      <w:r>
        <w:rPr>
          <w:rtl/>
        </w:rPr>
        <w:t>.</w:t>
      </w:r>
    </w:p>
    <w:p w:rsidR="000C39D1" w:rsidRPr="00132E65" w:rsidRDefault="000C39D1" w:rsidP="000C39D1">
      <w:pPr>
        <w:pStyle w:val="libFootnote0"/>
        <w:rPr>
          <w:rtl/>
          <w:lang w:bidi="fa-IR"/>
        </w:rPr>
      </w:pPr>
      <w:r>
        <w:rPr>
          <w:rtl/>
        </w:rPr>
        <w:t>(2).</w:t>
      </w:r>
      <w:r w:rsidRPr="00132E65">
        <w:rPr>
          <w:rtl/>
        </w:rPr>
        <w:t xml:space="preserve"> في « ج ، ض ، ف ، بر ، بس ، بف » و</w:t>
      </w:r>
      <w:r w:rsidRPr="009D1ACE">
        <w:rPr>
          <w:rStyle w:val="libFootnoteBoldChar"/>
          <w:rtl/>
        </w:rPr>
        <w:t>الوافي</w:t>
      </w:r>
      <w:r w:rsidRPr="00132E65">
        <w:rPr>
          <w:rtl/>
        </w:rPr>
        <w:t xml:space="preserve"> وتفسير القمّي والبحار : « فكان »</w:t>
      </w:r>
      <w:r>
        <w:rPr>
          <w:rtl/>
        </w:rPr>
        <w:t>.</w:t>
      </w:r>
    </w:p>
    <w:p w:rsidR="000C39D1" w:rsidRPr="00132E65" w:rsidRDefault="000C39D1" w:rsidP="000C39D1">
      <w:pPr>
        <w:pStyle w:val="libFootnote0"/>
        <w:rPr>
          <w:rtl/>
          <w:lang w:bidi="fa-IR"/>
        </w:rPr>
      </w:pPr>
      <w:r>
        <w:rPr>
          <w:rtl/>
        </w:rPr>
        <w:t>(3).</w:t>
      </w:r>
      <w:r w:rsidRPr="00132E65">
        <w:rPr>
          <w:rtl/>
        </w:rPr>
        <w:t xml:space="preserve"> في « بر » : « فلا ينكروا »</w:t>
      </w:r>
      <w:r>
        <w:rPr>
          <w:rtl/>
        </w:rPr>
        <w:t>.</w:t>
      </w:r>
    </w:p>
    <w:p w:rsidR="000C39D1" w:rsidRPr="00132E65" w:rsidRDefault="000C39D1" w:rsidP="000C39D1">
      <w:pPr>
        <w:pStyle w:val="libFootnote0"/>
        <w:rPr>
          <w:rtl/>
          <w:lang w:bidi="fa-IR"/>
        </w:rPr>
      </w:pPr>
      <w:r>
        <w:rPr>
          <w:rtl/>
        </w:rPr>
        <w:t>(4).</w:t>
      </w:r>
      <w:r w:rsidRPr="00132E65">
        <w:rPr>
          <w:rtl/>
        </w:rPr>
        <w:t xml:space="preserve"> </w:t>
      </w:r>
      <w:r w:rsidRPr="00AB2B6C">
        <w:rPr>
          <w:rStyle w:val="libFootnoteBoldChar"/>
          <w:rtl/>
        </w:rPr>
        <w:t>تفسير القمّي</w:t>
      </w:r>
      <w:r w:rsidRPr="00132E65">
        <w:rPr>
          <w:rtl/>
        </w:rPr>
        <w:t xml:space="preserve"> ، ج 1 ، ص 101 ، عن إبراهيم بن هاشم. </w:t>
      </w:r>
      <w:r w:rsidRPr="00AB2B6C">
        <w:rPr>
          <w:rStyle w:val="libFootnoteBoldChar"/>
          <w:rtl/>
        </w:rPr>
        <w:t>تفسير العيّاشي</w:t>
      </w:r>
      <w:r w:rsidRPr="00132E65">
        <w:rPr>
          <w:rtl/>
        </w:rPr>
        <w:t xml:space="preserve"> ، ج 1 ، ص 171 ، ح 39 ، عن جابر ، عن أبي جعفر </w:t>
      </w:r>
      <w:r w:rsidRPr="00AB2B6C">
        <w:rPr>
          <w:rStyle w:val="libFootnoteAlaemChar"/>
          <w:rtl/>
        </w:rPr>
        <w:t>عليه‌السلام</w:t>
      </w:r>
      <w:r w:rsidRPr="00132E65">
        <w:rPr>
          <w:rtl/>
        </w:rPr>
        <w:t xml:space="preserve"> ، مع اختلاف يسير </w:t>
      </w:r>
      <w:r w:rsidR="00AB2B6C">
        <w:rPr>
          <w:rFonts w:hint="cs"/>
          <w:rtl/>
        </w:rPr>
        <w:t>.</w:t>
      </w:r>
      <w:r w:rsidRPr="009D1ACE">
        <w:rPr>
          <w:rStyle w:val="libFootnoteBoldChar"/>
          <w:rtl/>
        </w:rPr>
        <w:t>الوافي</w:t>
      </w:r>
      <w:r w:rsidRPr="00132E65">
        <w:rPr>
          <w:rtl/>
        </w:rPr>
        <w:t xml:space="preserve"> ، ج 2 ، ص 473 ، ح 982 ؛ </w:t>
      </w:r>
      <w:r w:rsidRPr="00AB2B6C">
        <w:rPr>
          <w:rStyle w:val="libFootnoteBoldChar"/>
          <w:rtl/>
        </w:rPr>
        <w:t>البحار</w:t>
      </w:r>
      <w:r w:rsidRPr="00132E65">
        <w:rPr>
          <w:rtl/>
        </w:rPr>
        <w:t xml:space="preserve"> ، ج 52 ، ص 119 ، ح 49.</w:t>
      </w:r>
    </w:p>
    <w:p w:rsidR="000C39D1" w:rsidRPr="00132E65" w:rsidRDefault="000C39D1" w:rsidP="000C39D1">
      <w:pPr>
        <w:pStyle w:val="libFootnote0"/>
        <w:rPr>
          <w:rtl/>
          <w:lang w:bidi="fa-IR"/>
        </w:rPr>
      </w:pPr>
      <w:r>
        <w:rPr>
          <w:rtl/>
        </w:rPr>
        <w:t>(5).</w:t>
      </w:r>
      <w:r w:rsidRPr="00132E65">
        <w:rPr>
          <w:rtl/>
        </w:rPr>
        <w:t xml:space="preserve"> في « ض » </w:t>
      </w:r>
      <w:r>
        <w:rPr>
          <w:rtl/>
        </w:rPr>
        <w:t xml:space="preserve">: - </w:t>
      </w:r>
      <w:r w:rsidRPr="00132E65">
        <w:rPr>
          <w:rtl/>
        </w:rPr>
        <w:t>« ولد »</w:t>
      </w:r>
      <w:r>
        <w:rPr>
          <w:rtl/>
        </w:rPr>
        <w:t>.</w:t>
      </w:r>
    </w:p>
    <w:p w:rsidR="000C39D1" w:rsidRPr="00132E65" w:rsidRDefault="000C39D1" w:rsidP="000C39D1">
      <w:pPr>
        <w:pStyle w:val="libFootnote0"/>
        <w:rPr>
          <w:rtl/>
          <w:lang w:bidi="fa-IR"/>
        </w:rPr>
      </w:pPr>
      <w:r>
        <w:rPr>
          <w:rtl/>
        </w:rPr>
        <w:t>(6).</w:t>
      </w:r>
      <w:r w:rsidRPr="00132E65">
        <w:rPr>
          <w:rtl/>
        </w:rPr>
        <w:t xml:space="preserve"> في « بر » : « فلا ينكروا »</w:t>
      </w:r>
      <w:r>
        <w:rPr>
          <w:rtl/>
        </w:rPr>
        <w:t>.</w:t>
      </w:r>
    </w:p>
    <w:p w:rsidR="000C39D1" w:rsidRPr="00132E65" w:rsidRDefault="000C39D1" w:rsidP="000C39D1">
      <w:pPr>
        <w:pStyle w:val="libFootnote0"/>
        <w:rPr>
          <w:rtl/>
          <w:lang w:bidi="fa-IR"/>
        </w:rPr>
      </w:pPr>
      <w:r>
        <w:rPr>
          <w:rtl/>
        </w:rPr>
        <w:t>(7).</w:t>
      </w:r>
      <w:r w:rsidRPr="00132E65">
        <w:rPr>
          <w:rtl/>
        </w:rPr>
        <w:t xml:space="preserve"> </w:t>
      </w:r>
      <w:r w:rsidRPr="00AB2B6C">
        <w:rPr>
          <w:rStyle w:val="libFootnoteBoldChar"/>
          <w:rtl/>
        </w:rPr>
        <w:t>قرب الإسناد</w:t>
      </w:r>
      <w:r w:rsidRPr="00132E65">
        <w:rPr>
          <w:rtl/>
        </w:rPr>
        <w:t xml:space="preserve"> ، ص 351 ، ح 1260 مرسلاً ، مع اختلاف يسير </w:t>
      </w:r>
      <w:r w:rsidR="00AB2B6C">
        <w:rPr>
          <w:rFonts w:hint="cs"/>
          <w:rtl/>
        </w:rPr>
        <w:t>.</w:t>
      </w:r>
      <w:r w:rsidRPr="009D1ACE">
        <w:rPr>
          <w:rStyle w:val="libFootnoteBoldChar"/>
          <w:rtl/>
        </w:rPr>
        <w:t>الوافي</w:t>
      </w:r>
      <w:r w:rsidRPr="00132E65">
        <w:rPr>
          <w:rtl/>
        </w:rPr>
        <w:t xml:space="preserve"> ، ج 2 ، ص 474 ، ح 983 ؛ </w:t>
      </w:r>
      <w:r w:rsidRPr="00AB2B6C">
        <w:rPr>
          <w:rStyle w:val="libFootnoteBoldChar"/>
          <w:rtl/>
        </w:rPr>
        <w:t>البحار</w:t>
      </w:r>
      <w:r w:rsidRPr="00132E65">
        <w:rPr>
          <w:rtl/>
        </w:rPr>
        <w:t xml:space="preserve"> ، ج 26 ، ص 223 ، ح 1.</w:t>
      </w:r>
    </w:p>
    <w:p w:rsidR="000C39D1" w:rsidRPr="00132E65" w:rsidRDefault="000C39D1" w:rsidP="000C39D1">
      <w:pPr>
        <w:pStyle w:val="libFootnote0"/>
        <w:rPr>
          <w:rtl/>
          <w:lang w:bidi="fa-IR"/>
        </w:rPr>
      </w:pPr>
      <w:r>
        <w:rPr>
          <w:rtl/>
        </w:rPr>
        <w:t>(8).</w:t>
      </w:r>
      <w:r w:rsidRPr="00132E65">
        <w:rPr>
          <w:rtl/>
        </w:rPr>
        <w:t xml:space="preserve"> في « ف » : « يعدل أو يجوز »</w:t>
      </w:r>
      <w:r>
        <w:rPr>
          <w:rtl/>
        </w:rPr>
        <w:t>.</w:t>
      </w:r>
    </w:p>
    <w:p w:rsidR="000C39D1" w:rsidRPr="00132E65" w:rsidRDefault="000C39D1" w:rsidP="000C39D1">
      <w:pPr>
        <w:pStyle w:val="libFootnote0"/>
        <w:rPr>
          <w:rtl/>
          <w:lang w:bidi="fa-IR"/>
        </w:rPr>
      </w:pPr>
      <w:r>
        <w:rPr>
          <w:rtl/>
        </w:rPr>
        <w:t>(9).</w:t>
      </w:r>
      <w:r w:rsidRPr="00132E65">
        <w:rPr>
          <w:rtl/>
        </w:rPr>
        <w:t xml:space="preserve"> قوله : « ينسب » عطف على « يقوم » أي وقد ينسب. والضمير المستتر راجع إلى العدل أو الجور. وجملة « لم يكن » حال. </w:t>
      </w:r>
      <w:r>
        <w:rPr>
          <w:rtl/>
        </w:rPr>
        <w:t>و «</w:t>
      </w:r>
      <w:r w:rsidRPr="00132E65">
        <w:rPr>
          <w:rtl/>
        </w:rPr>
        <w:t xml:space="preserve"> ذلك » إشارة إلى القائم بالعدل أو الجور حقيقةً.</w:t>
      </w:r>
    </w:p>
    <w:p w:rsidR="000C39D1" w:rsidRPr="00132E65" w:rsidRDefault="000C39D1" w:rsidP="000C39D1">
      <w:pPr>
        <w:pStyle w:val="libFootnote0"/>
        <w:rPr>
          <w:rtl/>
          <w:lang w:bidi="fa-IR"/>
        </w:rPr>
      </w:pPr>
      <w:r>
        <w:rPr>
          <w:rtl/>
        </w:rPr>
        <w:t>(10).</w:t>
      </w:r>
      <w:r w:rsidRPr="00132E65">
        <w:rPr>
          <w:rtl/>
        </w:rPr>
        <w:t xml:space="preserve"> في « ف » :</w:t>
      </w:r>
      <w:r>
        <w:rPr>
          <w:rtl/>
        </w:rPr>
        <w:t xml:space="preserve"> + </w:t>
      </w:r>
      <w:r w:rsidRPr="00132E65">
        <w:rPr>
          <w:rtl/>
        </w:rPr>
        <w:t>« فيه »</w:t>
      </w:r>
      <w:r>
        <w:rPr>
          <w:rtl/>
        </w:rPr>
        <w:t>.</w:t>
      </w:r>
    </w:p>
    <w:p w:rsidR="000C39D1" w:rsidRPr="00132E65" w:rsidRDefault="000C39D1" w:rsidP="000C39D1">
      <w:pPr>
        <w:pStyle w:val="libFootnote0"/>
        <w:rPr>
          <w:rtl/>
          <w:lang w:bidi="fa-IR"/>
        </w:rPr>
      </w:pPr>
      <w:r>
        <w:rPr>
          <w:rtl/>
        </w:rPr>
        <w:t>(11).</w:t>
      </w:r>
      <w:r w:rsidRPr="00132E65">
        <w:rPr>
          <w:rtl/>
        </w:rPr>
        <w:t xml:space="preserve"> أي يكون القائم بالعدل أو الجور حقيقةً هو المنسوبَ إليه.</w:t>
      </w:r>
    </w:p>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2 ، ص 474 ، ح 984 ؛ </w:t>
      </w:r>
      <w:r w:rsidRPr="00106B69">
        <w:rPr>
          <w:rStyle w:val="libFootnoteBoldChar"/>
          <w:rtl/>
        </w:rPr>
        <w:t>البحار</w:t>
      </w:r>
      <w:r w:rsidRPr="00132E65">
        <w:rPr>
          <w:rtl/>
        </w:rPr>
        <w:t xml:space="preserve"> ، ج 26 ، ص 223 ، ح 2.</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96" w:name="_Toc459459172"/>
      <w:bookmarkStart w:id="197" w:name="_Toc34663141"/>
      <w:r w:rsidRPr="00132E65">
        <w:rPr>
          <w:rtl/>
          <w:lang w:bidi="fa-IR"/>
        </w:rPr>
        <w:t>128</w:t>
      </w:r>
      <w:r>
        <w:rPr>
          <w:rtl/>
          <w:lang w:bidi="fa-IR"/>
        </w:rPr>
        <w:t xml:space="preserve"> - </w:t>
      </w:r>
      <w:r w:rsidRPr="00132E65">
        <w:rPr>
          <w:rtl/>
          <w:lang w:bidi="fa-IR"/>
        </w:rPr>
        <w:t xml:space="preserve">بَابُ </w:t>
      </w:r>
      <w:r>
        <w:rPr>
          <w:rStyle w:val="libFootnotenumChar"/>
          <w:rtl/>
        </w:rPr>
        <w:t>(1)</w:t>
      </w:r>
      <w:r>
        <w:rPr>
          <w:rtl/>
        </w:rPr>
        <w:t xml:space="preserve"> </w:t>
      </w:r>
      <w:r w:rsidRPr="00132E65">
        <w:rPr>
          <w:rtl/>
          <w:lang w:bidi="fa-IR"/>
        </w:rPr>
        <w:t xml:space="preserve">أَنَّ الْأَئِمَّةَ </w:t>
      </w:r>
      <w:r w:rsidRPr="00071CF9">
        <w:rPr>
          <w:rStyle w:val="libAlaemChar"/>
          <w:rtl/>
        </w:rPr>
        <w:t>عليهم‌السلام</w:t>
      </w:r>
      <w:r w:rsidRPr="00132E65">
        <w:rPr>
          <w:rtl/>
          <w:lang w:bidi="fa-IR"/>
        </w:rPr>
        <w:t xml:space="preserve"> </w:t>
      </w:r>
      <w:r>
        <w:rPr>
          <w:rStyle w:val="libFootnotenumChar"/>
          <w:rtl/>
        </w:rPr>
        <w:t>(2)</w:t>
      </w:r>
      <w:r>
        <w:rPr>
          <w:rtl/>
        </w:rPr>
        <w:t xml:space="preserve"> </w:t>
      </w:r>
      <w:r w:rsidRPr="00132E65">
        <w:rPr>
          <w:rtl/>
          <w:lang w:bidi="fa-IR"/>
        </w:rPr>
        <w:t>كُلَّهُمْ قَائِمُونَ بِأَمْرِ اللهِ تَعَالى هَادُونَ إِلَيْهِ‌</w:t>
      </w:r>
      <w:bookmarkEnd w:id="196"/>
      <w:bookmarkEnd w:id="197"/>
    </w:p>
    <w:p w:rsidR="000C39D1" w:rsidRPr="00132E65" w:rsidRDefault="000C39D1" w:rsidP="000C39D1">
      <w:pPr>
        <w:pStyle w:val="libNormal"/>
        <w:rPr>
          <w:rtl/>
          <w:lang w:bidi="fa-IR"/>
        </w:rPr>
      </w:pPr>
      <w:r w:rsidRPr="0030274E">
        <w:rPr>
          <w:rtl/>
        </w:rPr>
        <w:t>1411</w:t>
      </w:r>
      <w:r w:rsidRPr="004325D8">
        <w:rPr>
          <w:rStyle w:val="libBold2Char"/>
          <w:rtl/>
        </w:rPr>
        <w:t xml:space="preserve"> / 1.</w:t>
      </w:r>
      <w:r w:rsidRPr="00132E65">
        <w:rPr>
          <w:rtl/>
          <w:lang w:bidi="fa-IR"/>
        </w:rPr>
        <w:t xml:space="preserve"> عِدَّةٌ مِنْ أَصْحَابِنَا ، عَنْ أَحْمَدَ بْنِ مُحَمَّدِ بْنِ عِيسى ، عَنْ عَلِيِّ بْنِ الْحَكَمِ ، عَنْ زَيْدٍ أَبِي الْحَسَنِ ، عَنِ الْحَكَمِ بْنِ أَبِي نُعَيْمٍ ، قَالَ :</w:t>
      </w:r>
    </w:p>
    <w:p w:rsidR="000C39D1" w:rsidRPr="00132E65" w:rsidRDefault="000C39D1" w:rsidP="000C39D1">
      <w:pPr>
        <w:pStyle w:val="libNormal"/>
        <w:rPr>
          <w:rtl/>
          <w:lang w:bidi="fa-IR"/>
        </w:rPr>
      </w:pPr>
      <w:r w:rsidRPr="00132E65">
        <w:rPr>
          <w:rtl/>
          <w:lang w:bidi="fa-IR"/>
        </w:rPr>
        <w:t xml:space="preserve">أَتَيْتُ أَبَا جَعْفَرٍ </w:t>
      </w:r>
      <w:r w:rsidRPr="00071CF9">
        <w:rPr>
          <w:rStyle w:val="libAlaemChar"/>
          <w:rtl/>
        </w:rPr>
        <w:t>عليه‌السلام</w:t>
      </w:r>
      <w:r w:rsidRPr="00132E65">
        <w:rPr>
          <w:rtl/>
          <w:lang w:bidi="fa-IR"/>
        </w:rPr>
        <w:t xml:space="preserve"> و</w:t>
      </w:r>
      <w:r w:rsidR="00106B69">
        <w:rPr>
          <w:rFonts w:hint="cs"/>
          <w:rtl/>
          <w:lang w:bidi="fa-IR"/>
        </w:rPr>
        <w:t>َ</w:t>
      </w:r>
      <w:r w:rsidRPr="00132E65">
        <w:rPr>
          <w:rtl/>
          <w:lang w:bidi="fa-IR"/>
        </w:rPr>
        <w:t>هُوَ بِالْمَدِينَةِ ، فَقُلْتُ لَهُ : عَلَيَّ نَذْرٌ بَيْنَ الرُّكْنِ و</w:t>
      </w:r>
      <w:r w:rsidR="00106B69">
        <w:rPr>
          <w:rFonts w:hint="cs"/>
          <w:rtl/>
          <w:lang w:bidi="fa-IR"/>
        </w:rPr>
        <w:t>َ</w:t>
      </w:r>
      <w:r w:rsidRPr="00132E65">
        <w:rPr>
          <w:rtl/>
          <w:lang w:bidi="fa-IR"/>
        </w:rPr>
        <w:t xml:space="preserve">الْمَقَامِ إِنْ </w:t>
      </w:r>
      <w:r>
        <w:rPr>
          <w:rStyle w:val="libFootnotenumChar"/>
          <w:rtl/>
        </w:rPr>
        <w:t>(3)</w:t>
      </w:r>
      <w:r w:rsidRPr="00132E65">
        <w:rPr>
          <w:rtl/>
          <w:lang w:bidi="fa-IR"/>
        </w:rPr>
        <w:t xml:space="preserve"> أَنَا لَقِيتُكَ أَنْ لَا</w:t>
      </w:r>
      <w:r>
        <w:rPr>
          <w:rFonts w:hint="cs"/>
          <w:rtl/>
          <w:lang w:bidi="fa-IR"/>
        </w:rPr>
        <w:t xml:space="preserve"> </w:t>
      </w:r>
      <w:r w:rsidRPr="00132E65">
        <w:rPr>
          <w:rtl/>
          <w:lang w:bidi="fa-IR"/>
        </w:rPr>
        <w:t>أَخْرُجَ مِنَ الْمَدِينَةِ حَتّى أَعْلَمَ أَنَّكَ قَائِمُ آلِ مُحَمَّدٍ أَمْ لَا</w:t>
      </w:r>
      <w:r>
        <w:rPr>
          <w:rtl/>
          <w:lang w:bidi="fa-IR"/>
        </w:rPr>
        <w:t>؟</w:t>
      </w:r>
    </w:p>
    <w:p w:rsidR="000C39D1" w:rsidRPr="00132E65" w:rsidRDefault="000C39D1" w:rsidP="000C39D1">
      <w:pPr>
        <w:pStyle w:val="libNormal"/>
        <w:rPr>
          <w:rtl/>
          <w:lang w:bidi="fa-IR"/>
        </w:rPr>
      </w:pPr>
      <w:r w:rsidRPr="00132E65">
        <w:rPr>
          <w:rtl/>
          <w:lang w:bidi="fa-IR"/>
        </w:rPr>
        <w:t>فَلَمْ يُجِبْنِي بِشَيْ‌ءٍ ، فَأَقَمْتُ ثَلَاثِينَ يَوْماً ، ثُمَّ اسْتَقْبَلَنِي فِي طَرِيقٍ ، فَقَالَ : « يَا حَكَمُ ، و</w:t>
      </w:r>
      <w:r w:rsidR="00106B69">
        <w:rPr>
          <w:rFonts w:hint="cs"/>
          <w:rtl/>
          <w:lang w:bidi="fa-IR"/>
        </w:rPr>
        <w:t>َ</w:t>
      </w:r>
      <w:r w:rsidRPr="00132E65">
        <w:rPr>
          <w:rtl/>
          <w:lang w:bidi="fa-IR"/>
        </w:rPr>
        <w:t xml:space="preserve">إِنَّكَ </w:t>
      </w:r>
      <w:r>
        <w:rPr>
          <w:rStyle w:val="libFootnotenumChar"/>
          <w:rtl/>
        </w:rPr>
        <w:t>(4)</w:t>
      </w:r>
      <w:r w:rsidRPr="00132E65">
        <w:rPr>
          <w:rtl/>
          <w:lang w:bidi="fa-IR"/>
        </w:rPr>
        <w:t xml:space="preserve"> لَهاهُنَا </w:t>
      </w:r>
      <w:r>
        <w:rPr>
          <w:rStyle w:val="libFootnotenumChar"/>
          <w:rtl/>
        </w:rPr>
        <w:t>(5)</w:t>
      </w:r>
      <w:r w:rsidRPr="00132E65">
        <w:rPr>
          <w:rtl/>
          <w:lang w:bidi="fa-IR"/>
        </w:rPr>
        <w:t xml:space="preserve"> بَعْدُ</w:t>
      </w:r>
      <w:r>
        <w:rPr>
          <w:rtl/>
          <w:lang w:bidi="fa-IR"/>
        </w:rPr>
        <w:t>؟</w:t>
      </w:r>
      <w:r w:rsidRPr="00132E65">
        <w:rPr>
          <w:rtl/>
          <w:lang w:bidi="fa-IR"/>
        </w:rPr>
        <w:t xml:space="preserve"> » فَقُلْتُ : نَعَمْ </w:t>
      </w:r>
      <w:r>
        <w:rPr>
          <w:rStyle w:val="libFootnotenumChar"/>
          <w:rtl/>
        </w:rPr>
        <w:t>(6)</w:t>
      </w:r>
      <w:r w:rsidRPr="00132E65">
        <w:rPr>
          <w:rtl/>
          <w:lang w:bidi="fa-IR"/>
        </w:rPr>
        <w:t xml:space="preserve"> ، إِنِّي أَخْبَرْتُكَ بِمَا جَعَلْتُ لِلّهِ عَلَيَّ ، فَلَمْ تَأْمُرْنِي </w:t>
      </w:r>
      <w:r>
        <w:rPr>
          <w:rStyle w:val="libFootnotenumChar"/>
          <w:rtl/>
        </w:rPr>
        <w:t>(7)</w:t>
      </w:r>
      <w:r w:rsidRPr="00132E65">
        <w:rPr>
          <w:rtl/>
          <w:lang w:bidi="fa-IR"/>
        </w:rPr>
        <w:t xml:space="preserve"> ، و</w:t>
      </w:r>
      <w:r w:rsidR="00106B69">
        <w:rPr>
          <w:rFonts w:hint="cs"/>
          <w:rtl/>
          <w:lang w:bidi="fa-IR"/>
        </w:rPr>
        <w:t>َ</w:t>
      </w:r>
      <w:r w:rsidRPr="00132E65">
        <w:rPr>
          <w:rtl/>
          <w:lang w:bidi="fa-IR"/>
        </w:rPr>
        <w:t xml:space="preserve">لَمْ تَنْهَنِي </w:t>
      </w:r>
      <w:r>
        <w:rPr>
          <w:rStyle w:val="libFootnotenumChar"/>
          <w:rtl/>
        </w:rPr>
        <w:t>(8)</w:t>
      </w:r>
      <w:r w:rsidRPr="00132E65">
        <w:rPr>
          <w:rtl/>
          <w:lang w:bidi="fa-IR"/>
        </w:rPr>
        <w:t xml:space="preserve"> عَنْ شَيْ‌ءٍ ، و</w:t>
      </w:r>
      <w:r w:rsidR="00106B69">
        <w:rPr>
          <w:rFonts w:hint="cs"/>
          <w:rtl/>
          <w:lang w:bidi="fa-IR"/>
        </w:rPr>
        <w:t>َ</w:t>
      </w:r>
      <w:r w:rsidRPr="00132E65">
        <w:rPr>
          <w:rtl/>
          <w:lang w:bidi="fa-IR"/>
        </w:rPr>
        <w:t xml:space="preserve">لَمْ تُجِبْنِي بِشَيْ‌ءٍ ، فَقَالَ : « بَكِّرْ عَلَيَّ غُدْوَةً الْمَنْزِلَ » فَغَدَوْتُ عَلَيْهِ ، فَقَالَ </w:t>
      </w:r>
      <w:r w:rsidRPr="00071CF9">
        <w:rPr>
          <w:rStyle w:val="libAlaemChar"/>
          <w:rtl/>
        </w:rPr>
        <w:t>عليه‌السلام</w:t>
      </w:r>
      <w:r w:rsidRPr="00132E65">
        <w:rPr>
          <w:rtl/>
          <w:lang w:bidi="fa-IR"/>
        </w:rPr>
        <w:t xml:space="preserve"> : « سَلْ عَنْ </w:t>
      </w:r>
      <w:r>
        <w:rPr>
          <w:rStyle w:val="libFootnotenumChar"/>
          <w:rtl/>
        </w:rPr>
        <w:t>(9)</w:t>
      </w:r>
      <w:r w:rsidRPr="00132E65">
        <w:rPr>
          <w:rtl/>
          <w:lang w:bidi="fa-IR"/>
        </w:rPr>
        <w:t xml:space="preserve"> حَاجَتِكَ » فَقُلْتُ : إِنِّي جَعَلْتُ لِلّهِ عَلَيَّ </w:t>
      </w:r>
      <w:r>
        <w:rPr>
          <w:rStyle w:val="libFootnotenumChar"/>
          <w:rtl/>
        </w:rPr>
        <w:t>(10)</w:t>
      </w:r>
      <w:r w:rsidRPr="00132E65">
        <w:rPr>
          <w:rtl/>
          <w:lang w:bidi="fa-IR"/>
        </w:rPr>
        <w:t xml:space="preserve"> نَذْراً و</w:t>
      </w:r>
      <w:r w:rsidR="00106B69">
        <w:rPr>
          <w:rFonts w:hint="cs"/>
          <w:rtl/>
          <w:lang w:bidi="fa-IR"/>
        </w:rPr>
        <w:t>َ</w:t>
      </w:r>
      <w:r w:rsidRPr="00132E65">
        <w:rPr>
          <w:rtl/>
          <w:lang w:bidi="fa-IR"/>
        </w:rPr>
        <w:t>صِيَاماً وَصَدَقَةً بَيْنَ الرُّكْنِ والْمَقَامِ إِنْ أَنَا لَقِيتُكَ أَنْ لَا</w:t>
      </w:r>
      <w:r>
        <w:rPr>
          <w:rFonts w:hint="cs"/>
          <w:rtl/>
          <w:lang w:bidi="fa-IR"/>
        </w:rPr>
        <w:t xml:space="preserve"> </w:t>
      </w:r>
      <w:r w:rsidRPr="00132E65">
        <w:rPr>
          <w:rtl/>
          <w:lang w:bidi="fa-IR"/>
        </w:rPr>
        <w:t xml:space="preserve">أَخْرُجَ مِنَ الْمَدِينَةِ حَتّى أَعْلَمَ أَنَّكَ قَائِمُ آلِ مُحَمَّدٍ أَمْ لَا ، فَإِنْ كُنْتَ أَنْتَ رَابَطْتُكَ </w:t>
      </w:r>
      <w:r>
        <w:rPr>
          <w:rStyle w:val="libFootnotenumChar"/>
          <w:rtl/>
        </w:rPr>
        <w:t>(11)</w:t>
      </w:r>
      <w:r w:rsidRPr="00132E65">
        <w:rPr>
          <w:rtl/>
          <w:lang w:bidi="fa-IR"/>
        </w:rPr>
        <w:t xml:space="preserve"> ، و</w:t>
      </w:r>
      <w:r w:rsidR="00106B69">
        <w:rPr>
          <w:rFonts w:hint="cs"/>
          <w:rtl/>
          <w:lang w:bidi="fa-IR"/>
        </w:rPr>
        <w:t>َ</w:t>
      </w:r>
      <w:r w:rsidRPr="00132E65">
        <w:rPr>
          <w:rtl/>
          <w:lang w:bidi="fa-IR"/>
        </w:rPr>
        <w:t>إِنْ لَمْ تَكُنْ أَنْتَ سِرْتُ فِي الْأَرْضِ فَطَلَبْتُ الْمَعَاشَ.</w:t>
      </w:r>
    </w:p>
    <w:p w:rsidR="000C39D1" w:rsidRPr="00132E65" w:rsidRDefault="000C39D1" w:rsidP="000C39D1">
      <w:pPr>
        <w:pStyle w:val="libNormal"/>
        <w:rPr>
          <w:rtl/>
          <w:lang w:bidi="fa-IR"/>
        </w:rPr>
      </w:pPr>
      <w:r w:rsidRPr="00132E65">
        <w:rPr>
          <w:rtl/>
          <w:lang w:bidi="fa-IR"/>
        </w:rPr>
        <w:t xml:space="preserve">فَقَالَ : « يَا حَكَمُ ، كُلُّنَا قَائِمٌ </w:t>
      </w:r>
      <w:r>
        <w:rPr>
          <w:rStyle w:val="libFootnotenumChar"/>
          <w:rtl/>
        </w:rPr>
        <w:t>(12)</w:t>
      </w:r>
      <w:r w:rsidRPr="00132E65">
        <w:rPr>
          <w:rtl/>
          <w:lang w:bidi="fa-IR"/>
        </w:rPr>
        <w:t xml:space="preserve"> بِأَمْرِ اللهِ »</w:t>
      </w:r>
      <w:r>
        <w:rPr>
          <w:rtl/>
          <w:lang w:bidi="fa-IR"/>
        </w:rPr>
        <w:t>.</w:t>
      </w:r>
      <w:r w:rsidRPr="00132E65">
        <w:rPr>
          <w:rtl/>
          <w:lang w:bidi="fa-IR"/>
        </w:rPr>
        <w:t xml:space="preserve"> قُلْتُ : فَأَنْتَ الْمَهْدِيُّ</w:t>
      </w:r>
      <w:r>
        <w:rPr>
          <w:rtl/>
          <w:lang w:bidi="fa-IR"/>
        </w:rPr>
        <w:t>؟</w:t>
      </w:r>
      <w:r w:rsidRPr="00132E65">
        <w:rPr>
          <w:rtl/>
          <w:lang w:bidi="fa-IR"/>
        </w:rPr>
        <w:t xml:space="preserve"> قَالَ : « كُلُّنَا نَهْدِي </w:t>
      </w:r>
      <w:r w:rsidRPr="00F543F1">
        <w:rPr>
          <w:rStyle w:val="libFootnotenumChar"/>
          <w:rtl/>
        </w:rPr>
        <w:t>(13)</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106B69" w:rsidTr="00106B69">
        <w:tc>
          <w:tcPr>
            <w:tcW w:w="4261" w:type="dxa"/>
          </w:tcPr>
          <w:p w:rsidR="00106B69" w:rsidRDefault="00106B69" w:rsidP="000C39D1">
            <w:pPr>
              <w:pStyle w:val="libFootnote0"/>
              <w:rPr>
                <w:rtl/>
              </w:rPr>
            </w:pPr>
            <w:r>
              <w:rPr>
                <w:rtl/>
              </w:rPr>
              <w:t>(1).</w:t>
            </w:r>
            <w:r w:rsidRPr="00132E65">
              <w:rPr>
                <w:rtl/>
              </w:rPr>
              <w:t xml:space="preserve"> في « ج » </w:t>
            </w:r>
            <w:r>
              <w:rPr>
                <w:rtl/>
              </w:rPr>
              <w:t xml:space="preserve">: - </w:t>
            </w:r>
            <w:r w:rsidRPr="00132E65">
              <w:rPr>
                <w:rtl/>
              </w:rPr>
              <w:t>« باب »</w:t>
            </w:r>
            <w:r>
              <w:rPr>
                <w:rtl/>
              </w:rPr>
              <w:t>.</w:t>
            </w:r>
          </w:p>
        </w:tc>
        <w:tc>
          <w:tcPr>
            <w:tcW w:w="4262" w:type="dxa"/>
          </w:tcPr>
          <w:p w:rsidR="00106B69" w:rsidRDefault="00106B69" w:rsidP="000C39D1">
            <w:pPr>
              <w:pStyle w:val="libFootnote0"/>
              <w:rPr>
                <w:rtl/>
              </w:rPr>
            </w:pPr>
            <w:r>
              <w:rPr>
                <w:rtl/>
              </w:rPr>
              <w:t>(2).</w:t>
            </w:r>
            <w:r w:rsidRPr="00132E65">
              <w:rPr>
                <w:rtl/>
              </w:rPr>
              <w:t xml:space="preserve"> في حاشية « ج » :</w:t>
            </w:r>
            <w:r>
              <w:rPr>
                <w:rtl/>
              </w:rPr>
              <w:t xml:space="preserve"> + </w:t>
            </w:r>
            <w:r w:rsidRPr="00132E65">
              <w:rPr>
                <w:rtl/>
              </w:rPr>
              <w:t>« والرضوان »</w:t>
            </w:r>
            <w:r>
              <w:rPr>
                <w:rtl/>
              </w:rPr>
              <w:t>.</w:t>
            </w:r>
          </w:p>
        </w:tc>
      </w:tr>
      <w:tr w:rsidR="00106B69" w:rsidTr="00106B69">
        <w:tc>
          <w:tcPr>
            <w:tcW w:w="4261" w:type="dxa"/>
          </w:tcPr>
          <w:p w:rsidR="00106B69" w:rsidRDefault="00106B69" w:rsidP="000C39D1">
            <w:pPr>
              <w:pStyle w:val="libFootnote0"/>
              <w:rPr>
                <w:rtl/>
              </w:rPr>
            </w:pPr>
            <w:r>
              <w:rPr>
                <w:rtl/>
              </w:rPr>
              <w:t>(3).</w:t>
            </w:r>
            <w:r w:rsidRPr="00132E65">
              <w:rPr>
                <w:rtl/>
              </w:rPr>
              <w:t xml:space="preserve"> في البحار : « إذا »</w:t>
            </w:r>
            <w:r>
              <w:rPr>
                <w:rtl/>
              </w:rPr>
              <w:t>.</w:t>
            </w:r>
          </w:p>
        </w:tc>
        <w:tc>
          <w:tcPr>
            <w:tcW w:w="4262" w:type="dxa"/>
          </w:tcPr>
          <w:p w:rsidR="00106B69" w:rsidRDefault="00106B69" w:rsidP="000C39D1">
            <w:pPr>
              <w:pStyle w:val="libFootnote0"/>
              <w:rPr>
                <w:rtl/>
              </w:rPr>
            </w:pPr>
            <w:r>
              <w:rPr>
                <w:rtl/>
              </w:rPr>
              <w:t>(4).</w:t>
            </w:r>
            <w:r w:rsidRPr="00132E65">
              <w:rPr>
                <w:rtl/>
              </w:rPr>
              <w:t xml:space="preserve"> في « ب » : « وإنّكم »</w:t>
            </w:r>
            <w:r>
              <w:rPr>
                <w:rtl/>
              </w:rPr>
              <w:t>.</w:t>
            </w:r>
          </w:p>
        </w:tc>
      </w:tr>
    </w:tbl>
    <w:p w:rsidR="000C39D1" w:rsidRPr="00132E65" w:rsidRDefault="000C39D1" w:rsidP="000C39D1">
      <w:pPr>
        <w:pStyle w:val="libFootnote0"/>
        <w:rPr>
          <w:rtl/>
          <w:lang w:bidi="fa-IR"/>
        </w:rPr>
      </w:pPr>
      <w:r>
        <w:rPr>
          <w:rtl/>
        </w:rPr>
        <w:t>(5).</w:t>
      </w:r>
      <w:r w:rsidRPr="00132E65">
        <w:rPr>
          <w:rtl/>
        </w:rPr>
        <w:t xml:space="preserve"> في « ض » : « هنا » بدل « لهاهنا »</w:t>
      </w:r>
      <w:r>
        <w:rPr>
          <w:rtl/>
        </w:rPr>
        <w:t>.</w:t>
      </w:r>
    </w:p>
    <w:p w:rsidR="000C39D1" w:rsidRPr="00132E65" w:rsidRDefault="000C39D1" w:rsidP="000C39D1">
      <w:pPr>
        <w:pStyle w:val="libFootnote0"/>
        <w:rPr>
          <w:rtl/>
          <w:lang w:bidi="fa-IR"/>
        </w:rPr>
      </w:pPr>
      <w:r>
        <w:rPr>
          <w:rtl/>
        </w:rPr>
        <w:t>(6).</w:t>
      </w:r>
      <w:r w:rsidRPr="00132E65">
        <w:rPr>
          <w:rtl/>
        </w:rPr>
        <w:t xml:space="preserve"> في « ج ، ض ، ف ، بح ، بر ، بس ، بف » و</w:t>
      </w:r>
      <w:r w:rsidRPr="009D1ACE">
        <w:rPr>
          <w:rStyle w:val="libFootnoteBoldChar"/>
          <w:rtl/>
        </w:rPr>
        <w:t>الوافي</w:t>
      </w:r>
      <w:r w:rsidRPr="00132E65">
        <w:rPr>
          <w:rtl/>
        </w:rPr>
        <w:t xml:space="preserve"> والبحار </w:t>
      </w:r>
      <w:r>
        <w:rPr>
          <w:rtl/>
        </w:rPr>
        <w:t xml:space="preserve">: - </w:t>
      </w:r>
      <w:r w:rsidRPr="00132E65">
        <w:rPr>
          <w:rtl/>
        </w:rPr>
        <w:t>« نعم »</w:t>
      </w:r>
      <w:r>
        <w:rPr>
          <w:rtl/>
        </w:rPr>
        <w:t>.</w:t>
      </w:r>
    </w:p>
    <w:tbl>
      <w:tblPr>
        <w:tblStyle w:val="TableGrid"/>
        <w:bidiVisual/>
        <w:tblW w:w="0" w:type="auto"/>
        <w:tblLook w:val="04A0" w:firstRow="1" w:lastRow="0" w:firstColumn="1" w:lastColumn="0" w:noHBand="0" w:noVBand="1"/>
      </w:tblPr>
      <w:tblGrid>
        <w:gridCol w:w="4261"/>
        <w:gridCol w:w="4262"/>
      </w:tblGrid>
      <w:tr w:rsidR="00106B69" w:rsidTr="00106B69">
        <w:tc>
          <w:tcPr>
            <w:tcW w:w="4261" w:type="dxa"/>
          </w:tcPr>
          <w:p w:rsidR="00106B69" w:rsidRDefault="00106B69" w:rsidP="000C39D1">
            <w:pPr>
              <w:pStyle w:val="libFootnote0"/>
              <w:rPr>
                <w:rtl/>
              </w:rPr>
            </w:pPr>
            <w:r>
              <w:rPr>
                <w:rtl/>
              </w:rPr>
              <w:t>(7).</w:t>
            </w:r>
            <w:r w:rsidRPr="00132E65">
              <w:rPr>
                <w:rtl/>
              </w:rPr>
              <w:t xml:space="preserve"> في </w:t>
            </w:r>
            <w:r w:rsidRPr="009D1ACE">
              <w:rPr>
                <w:rStyle w:val="libFootnoteBoldChar"/>
                <w:rtl/>
              </w:rPr>
              <w:t>مرآة العقول</w:t>
            </w:r>
            <w:r w:rsidRPr="00132E65">
              <w:rPr>
                <w:rtl/>
              </w:rPr>
              <w:t xml:space="preserve"> :</w:t>
            </w:r>
            <w:r>
              <w:rPr>
                <w:rtl/>
              </w:rPr>
              <w:t xml:space="preserve"> + </w:t>
            </w:r>
            <w:r w:rsidRPr="00132E65">
              <w:rPr>
                <w:rtl/>
              </w:rPr>
              <w:t>« بشي‌ء »</w:t>
            </w:r>
            <w:r>
              <w:rPr>
                <w:rtl/>
              </w:rPr>
              <w:t>.</w:t>
            </w:r>
          </w:p>
        </w:tc>
        <w:tc>
          <w:tcPr>
            <w:tcW w:w="4262" w:type="dxa"/>
          </w:tcPr>
          <w:p w:rsidR="00106B69" w:rsidRDefault="00106B69" w:rsidP="000C39D1">
            <w:pPr>
              <w:pStyle w:val="libFootnote0"/>
              <w:rPr>
                <w:rtl/>
              </w:rPr>
            </w:pPr>
            <w:r>
              <w:rPr>
                <w:rtl/>
              </w:rPr>
              <w:t>(8).</w:t>
            </w:r>
            <w:r w:rsidRPr="00132E65">
              <w:rPr>
                <w:rtl/>
              </w:rPr>
              <w:t xml:space="preserve"> في « بر » : « ولا تنهني »</w:t>
            </w:r>
            <w:r>
              <w:rPr>
                <w:rtl/>
              </w:rPr>
              <w:t>.</w:t>
            </w:r>
          </w:p>
        </w:tc>
      </w:tr>
      <w:tr w:rsidR="00106B69" w:rsidTr="00106B69">
        <w:tc>
          <w:tcPr>
            <w:tcW w:w="4261" w:type="dxa"/>
          </w:tcPr>
          <w:p w:rsidR="00106B69" w:rsidRDefault="00106B69" w:rsidP="000C39D1">
            <w:pPr>
              <w:pStyle w:val="libFootnote0"/>
              <w:rPr>
                <w:rtl/>
              </w:rPr>
            </w:pPr>
            <w:r>
              <w:rPr>
                <w:rtl/>
              </w:rPr>
              <w:t>(9). في «ب ، ض»:-«عن</w:t>
            </w:r>
            <w:r w:rsidRPr="00132E65">
              <w:rPr>
                <w:rtl/>
              </w:rPr>
              <w:t>»</w:t>
            </w:r>
            <w:r>
              <w:rPr>
                <w:rtl/>
              </w:rPr>
              <w:t>.</w:t>
            </w:r>
            <w:r w:rsidRPr="00132E65">
              <w:rPr>
                <w:rtl/>
              </w:rPr>
              <w:t xml:space="preserve"> وفي « بر » : « من »</w:t>
            </w:r>
            <w:r>
              <w:rPr>
                <w:rtl/>
              </w:rPr>
              <w:t>.</w:t>
            </w:r>
          </w:p>
        </w:tc>
        <w:tc>
          <w:tcPr>
            <w:tcW w:w="4262" w:type="dxa"/>
          </w:tcPr>
          <w:p w:rsidR="00106B69" w:rsidRDefault="00106B69" w:rsidP="000C39D1">
            <w:pPr>
              <w:pStyle w:val="libFootnote0"/>
              <w:rPr>
                <w:rtl/>
              </w:rPr>
            </w:pPr>
            <w:r>
              <w:rPr>
                <w:rtl/>
              </w:rPr>
              <w:t>(10).</w:t>
            </w:r>
            <w:r w:rsidRPr="00132E65">
              <w:rPr>
                <w:rtl/>
              </w:rPr>
              <w:t xml:space="preserve"> في « ب » </w:t>
            </w:r>
            <w:r>
              <w:rPr>
                <w:rtl/>
              </w:rPr>
              <w:t xml:space="preserve">: - </w:t>
            </w:r>
            <w:r w:rsidRPr="00132E65">
              <w:rPr>
                <w:rtl/>
              </w:rPr>
              <w:t>« عليّ »</w:t>
            </w:r>
            <w:r>
              <w:rPr>
                <w:rtl/>
              </w:rPr>
              <w:t>.</w:t>
            </w:r>
          </w:p>
        </w:tc>
      </w:tr>
    </w:tbl>
    <w:p w:rsidR="000C39D1" w:rsidRPr="00132E65" w:rsidRDefault="000C39D1" w:rsidP="000C39D1">
      <w:pPr>
        <w:pStyle w:val="libFootnote0"/>
        <w:rPr>
          <w:rtl/>
          <w:lang w:bidi="fa-IR"/>
        </w:rPr>
      </w:pPr>
      <w:r>
        <w:rPr>
          <w:rtl/>
        </w:rPr>
        <w:t>(11).</w:t>
      </w:r>
      <w:r w:rsidRPr="00132E65">
        <w:rPr>
          <w:rtl/>
        </w:rPr>
        <w:t xml:space="preserve"> أي حبست نفسي على نصرتك وموالاة أوليائك ومجاهدة أعدائك.</w:t>
      </w:r>
    </w:p>
    <w:p w:rsidR="000C39D1" w:rsidRPr="00132E65" w:rsidRDefault="000C39D1" w:rsidP="000C39D1">
      <w:pPr>
        <w:pStyle w:val="libFootnote0"/>
        <w:rPr>
          <w:rtl/>
          <w:lang w:bidi="fa-IR"/>
        </w:rPr>
      </w:pPr>
      <w:r>
        <w:rPr>
          <w:rtl/>
        </w:rPr>
        <w:t>(12).</w:t>
      </w:r>
      <w:r w:rsidRPr="00132E65">
        <w:rPr>
          <w:rtl/>
        </w:rPr>
        <w:t xml:space="preserve"> في « ف » : « يا حكم كنّا كلّنا قائم آل محمّد »</w:t>
      </w:r>
      <w:r>
        <w:rPr>
          <w:rtl/>
        </w:rPr>
        <w:t>.</w:t>
      </w:r>
    </w:p>
    <w:p w:rsidR="000C39D1" w:rsidRPr="00132E65" w:rsidRDefault="000C39D1" w:rsidP="000C39D1">
      <w:pPr>
        <w:pStyle w:val="libFootnote0"/>
        <w:rPr>
          <w:rtl/>
          <w:lang w:bidi="ar-IQ"/>
        </w:rPr>
      </w:pPr>
      <w:r>
        <w:rPr>
          <w:rtl/>
        </w:rPr>
        <w:t>(13)</w:t>
      </w:r>
      <w:r w:rsidRPr="00132E65">
        <w:rPr>
          <w:rtl/>
        </w:rPr>
        <w:t xml:space="preserve"> في « ب ، ض ، بح ، بس » و</w:t>
      </w:r>
      <w:r w:rsidRPr="009D1ACE">
        <w:rPr>
          <w:rStyle w:val="libFootnoteBoldChar"/>
          <w:rtl/>
        </w:rPr>
        <w:t>مرآة العقول</w:t>
      </w:r>
      <w:r w:rsidRPr="00132E65">
        <w:rPr>
          <w:rtl/>
        </w:rPr>
        <w:t xml:space="preserve"> ، والبحار : « يهدي » بالياء. وقوله : </w:t>
      </w:r>
      <w:r w:rsidR="00106B69">
        <w:rPr>
          <w:rtl/>
        </w:rPr>
        <w:t>« نهدي » أو « يهدي » إمّا مجرّد</w:t>
      </w:r>
      <w:r w:rsidR="00106B69">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إِلَى اللهِ »</w:t>
      </w:r>
      <w:r>
        <w:rPr>
          <w:rtl/>
          <w:lang w:bidi="fa-IR"/>
        </w:rPr>
        <w:t>.</w:t>
      </w:r>
      <w:r w:rsidRPr="00132E65">
        <w:rPr>
          <w:rtl/>
          <w:lang w:bidi="fa-IR"/>
        </w:rPr>
        <w:t xml:space="preserve"> قُلْتُ : فَأَنْتَ </w:t>
      </w:r>
      <w:r>
        <w:rPr>
          <w:rStyle w:val="libFootnotenumChar"/>
          <w:rtl/>
        </w:rPr>
        <w:t>(1)</w:t>
      </w:r>
      <w:r w:rsidRPr="00132E65">
        <w:rPr>
          <w:rtl/>
          <w:lang w:bidi="fa-IR"/>
        </w:rPr>
        <w:t xml:space="preserve"> صَاحِبُ السَّيْفِ </w:t>
      </w:r>
      <w:r>
        <w:rPr>
          <w:rStyle w:val="libFootnotenumChar"/>
          <w:rtl/>
        </w:rPr>
        <w:t>(2)</w:t>
      </w:r>
      <w:r>
        <w:rPr>
          <w:rtl/>
          <w:lang w:bidi="fa-IR"/>
        </w:rPr>
        <w:t>؟</w:t>
      </w:r>
      <w:r w:rsidRPr="00132E65">
        <w:rPr>
          <w:rtl/>
          <w:lang w:bidi="fa-IR"/>
        </w:rPr>
        <w:t xml:space="preserve"> قَالَ : « كُلُّنَا صَاحِبُ السَّيْفِ ، و</w:t>
      </w:r>
      <w:r w:rsidR="00106B69">
        <w:rPr>
          <w:rFonts w:hint="cs"/>
          <w:rtl/>
          <w:lang w:bidi="fa-IR"/>
        </w:rPr>
        <w:t xml:space="preserve">َ </w:t>
      </w:r>
      <w:r w:rsidR="00106B69">
        <w:rPr>
          <w:rtl/>
          <w:lang w:bidi="fa-IR"/>
        </w:rPr>
        <w:t>و</w:t>
      </w:r>
      <w:r w:rsidR="00106B69">
        <w:rPr>
          <w:rFonts w:hint="cs"/>
          <w:rtl/>
          <w:lang w:bidi="fa-IR"/>
        </w:rPr>
        <w:t>َ</w:t>
      </w:r>
      <w:r w:rsidRPr="00132E65">
        <w:rPr>
          <w:rtl/>
          <w:lang w:bidi="fa-IR"/>
        </w:rPr>
        <w:t>ارِثُ السَّيْفِ »</w:t>
      </w:r>
      <w:r>
        <w:rPr>
          <w:rtl/>
          <w:lang w:bidi="fa-IR"/>
        </w:rPr>
        <w:t>.</w:t>
      </w:r>
      <w:r>
        <w:rPr>
          <w:rFonts w:hint="cs"/>
          <w:rtl/>
          <w:lang w:bidi="fa-IR"/>
        </w:rPr>
        <w:t xml:space="preserve"> </w:t>
      </w:r>
      <w:r w:rsidRPr="00132E65">
        <w:rPr>
          <w:rtl/>
          <w:lang w:bidi="fa-IR"/>
        </w:rPr>
        <w:t>قُلْتُ : فَأَنْتَ الَّذِي تَقْتُلُ أَعْدَاءَ اللهِ ، و</w:t>
      </w:r>
      <w:r w:rsidR="00106B69">
        <w:rPr>
          <w:rFonts w:hint="cs"/>
          <w:rtl/>
          <w:lang w:bidi="fa-IR"/>
        </w:rPr>
        <w:t>َ</w:t>
      </w:r>
      <w:r w:rsidRPr="00132E65">
        <w:rPr>
          <w:rtl/>
          <w:lang w:bidi="fa-IR"/>
        </w:rPr>
        <w:t xml:space="preserve">يَعِزُّ </w:t>
      </w:r>
      <w:r>
        <w:rPr>
          <w:rStyle w:val="libFootnotenumChar"/>
          <w:rtl/>
        </w:rPr>
        <w:t>(3)</w:t>
      </w:r>
      <w:r w:rsidRPr="00132E65">
        <w:rPr>
          <w:rtl/>
          <w:lang w:bidi="fa-IR"/>
        </w:rPr>
        <w:t xml:space="preserve"> بِكَ أَوْلِيَاءُ اللهِ ، و</w:t>
      </w:r>
      <w:r w:rsidR="00EF2BBB">
        <w:rPr>
          <w:rFonts w:hint="cs"/>
          <w:rtl/>
          <w:lang w:bidi="fa-IR"/>
        </w:rPr>
        <w:t>َ</w:t>
      </w:r>
      <w:r w:rsidRPr="00132E65">
        <w:rPr>
          <w:rtl/>
          <w:lang w:bidi="fa-IR"/>
        </w:rPr>
        <w:t>يَظْهَرُ بِكَ دِينُ اللهِ</w:t>
      </w:r>
      <w:r>
        <w:rPr>
          <w:rtl/>
          <w:lang w:bidi="fa-IR"/>
        </w:rPr>
        <w:t>؟</w:t>
      </w:r>
    </w:p>
    <w:p w:rsidR="000C39D1" w:rsidRPr="00132E65" w:rsidRDefault="000C39D1" w:rsidP="000C39D1">
      <w:pPr>
        <w:pStyle w:val="libNormal"/>
        <w:rPr>
          <w:rtl/>
          <w:lang w:bidi="fa-IR"/>
        </w:rPr>
      </w:pPr>
      <w:r w:rsidRPr="00132E65">
        <w:rPr>
          <w:rtl/>
          <w:lang w:bidi="fa-IR"/>
        </w:rPr>
        <w:t>فَقَالَ : « يَا حَكَمُ ، كَيْفَ أَكُونُ أَنَا و</w:t>
      </w:r>
      <w:r w:rsidR="00EF2BBB">
        <w:rPr>
          <w:rFonts w:hint="cs"/>
          <w:rtl/>
          <w:lang w:bidi="fa-IR"/>
        </w:rPr>
        <w:t>َ</w:t>
      </w:r>
      <w:r w:rsidRPr="00132E65">
        <w:rPr>
          <w:rtl/>
          <w:lang w:bidi="fa-IR"/>
        </w:rPr>
        <w:t xml:space="preserve">قَدْ </w:t>
      </w:r>
      <w:r>
        <w:rPr>
          <w:rStyle w:val="libFootnotenumChar"/>
          <w:rtl/>
        </w:rPr>
        <w:t>(4)</w:t>
      </w:r>
      <w:r w:rsidRPr="00132E65">
        <w:rPr>
          <w:rtl/>
          <w:lang w:bidi="fa-IR"/>
        </w:rPr>
        <w:t xml:space="preserve"> بَلَغْتُ خَمْساً و</w:t>
      </w:r>
      <w:r w:rsidR="00EF2BBB">
        <w:rPr>
          <w:rFonts w:hint="cs"/>
          <w:rtl/>
          <w:lang w:bidi="fa-IR"/>
        </w:rPr>
        <w:t>َ</w:t>
      </w:r>
      <w:r w:rsidRPr="00132E65">
        <w:rPr>
          <w:rtl/>
          <w:lang w:bidi="fa-IR"/>
        </w:rPr>
        <w:t xml:space="preserve">أَرْبَعِينَ سَنَةً </w:t>
      </w:r>
      <w:r>
        <w:rPr>
          <w:rStyle w:val="libFootnotenumChar"/>
          <w:rtl/>
        </w:rPr>
        <w:t>(5)</w:t>
      </w:r>
      <w:r>
        <w:rPr>
          <w:rtl/>
          <w:lang w:bidi="fa-IR"/>
        </w:rPr>
        <w:t>؟!</w:t>
      </w:r>
      <w:r w:rsidRPr="00132E65">
        <w:rPr>
          <w:rtl/>
          <w:lang w:bidi="fa-IR"/>
        </w:rPr>
        <w:t xml:space="preserve"> و</w:t>
      </w:r>
      <w:r w:rsidR="00EF2BBB">
        <w:rPr>
          <w:rFonts w:hint="cs"/>
          <w:rtl/>
          <w:lang w:bidi="fa-IR"/>
        </w:rPr>
        <w:t>َ</w:t>
      </w:r>
      <w:r w:rsidRPr="00132E65">
        <w:rPr>
          <w:rtl/>
          <w:lang w:bidi="fa-IR"/>
        </w:rPr>
        <w:t xml:space="preserve">إِنَّ صَاحِبَ هذَا الْأَمْرِ </w:t>
      </w:r>
      <w:r>
        <w:rPr>
          <w:rStyle w:val="libFootnotenumChar"/>
          <w:rtl/>
        </w:rPr>
        <w:t>(6)</w:t>
      </w:r>
      <w:r w:rsidRPr="00132E65">
        <w:rPr>
          <w:rtl/>
          <w:lang w:bidi="fa-IR"/>
        </w:rPr>
        <w:t xml:space="preserve"> أَقْرَبُ عَهْداً بِاللَّبَنِ </w:t>
      </w:r>
      <w:r>
        <w:rPr>
          <w:rStyle w:val="libFootnotenumChar"/>
          <w:rtl/>
        </w:rPr>
        <w:t>(7)</w:t>
      </w:r>
      <w:r w:rsidRPr="00132E65">
        <w:rPr>
          <w:rtl/>
          <w:lang w:bidi="fa-IR"/>
        </w:rPr>
        <w:t xml:space="preserve"> مِنِّي ، و</w:t>
      </w:r>
      <w:r w:rsidR="00EF2BBB">
        <w:rPr>
          <w:rFonts w:hint="cs"/>
          <w:rtl/>
          <w:lang w:bidi="fa-IR"/>
        </w:rPr>
        <w:t>َ</w:t>
      </w:r>
      <w:r w:rsidRPr="00132E65">
        <w:rPr>
          <w:rtl/>
          <w:lang w:bidi="fa-IR"/>
        </w:rPr>
        <w:t>أَخَفُّ عَلى ظَهْرِ الدَّابَّةِ »</w:t>
      </w:r>
      <w:r>
        <w:rPr>
          <w:rtl/>
          <w:lang w:bidi="fa-IR"/>
        </w:rPr>
        <w:t>.</w:t>
      </w:r>
      <w:r w:rsidRPr="00132E65">
        <w:rPr>
          <w:rtl/>
          <w:lang w:bidi="fa-IR"/>
        </w:rPr>
        <w:t xml:space="preserve"> </w:t>
      </w:r>
      <w:r>
        <w:rPr>
          <w:rStyle w:val="libFootnotenumChar"/>
          <w:rtl/>
        </w:rPr>
        <w:t>(8)</w:t>
      </w:r>
    </w:p>
    <w:p w:rsidR="000C39D1" w:rsidRPr="00132E65" w:rsidRDefault="000C39D1" w:rsidP="000C39D1">
      <w:pPr>
        <w:pStyle w:val="libNormal"/>
        <w:rPr>
          <w:rtl/>
          <w:lang w:bidi="fa-IR"/>
        </w:rPr>
      </w:pPr>
      <w:r w:rsidRPr="0030274E">
        <w:rPr>
          <w:rtl/>
        </w:rPr>
        <w:t>1412</w:t>
      </w:r>
      <w:r w:rsidRPr="004325D8">
        <w:rPr>
          <w:rStyle w:val="libBold2Char"/>
          <w:rtl/>
        </w:rPr>
        <w:t xml:space="preserve"> / 2.</w:t>
      </w:r>
      <w:r w:rsidRPr="00132E65">
        <w:rPr>
          <w:rtl/>
          <w:lang w:bidi="fa-IR"/>
        </w:rPr>
        <w:t xml:space="preserve"> الْحُسَيْنُ بْنُ مُحَمَّدٍ الْأَشْعَرِيُّ ، عَنْ مُعَلَّى بْنِ مُحَمَّدٍ ، عَنِ الْوَشَّاءِ ، عَنْ أَحْمَدَ بْنِ عَائِذٍ ، عَنْ أَبِي خَدِيجَةَ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أَنَّهُ سُئِلَ عَنِ الْقَائِمِ ، فَقَالَ : « كُلُّنَا قَائِمٌ بِأَمْرِ اللهِ ، و</w:t>
      </w:r>
      <w:r w:rsidR="00EF2BBB">
        <w:rPr>
          <w:rFonts w:hint="cs"/>
          <w:rtl/>
          <w:lang w:bidi="fa-IR"/>
        </w:rPr>
        <w:t>َ</w:t>
      </w:r>
      <w:r w:rsidRPr="00132E65">
        <w:rPr>
          <w:rtl/>
          <w:lang w:bidi="fa-IR"/>
        </w:rPr>
        <w:t xml:space="preserve">احِدٌ </w:t>
      </w:r>
      <w:r>
        <w:rPr>
          <w:rStyle w:val="libFootnotenumChar"/>
          <w:rtl/>
        </w:rPr>
        <w:t>(9)</w:t>
      </w:r>
      <w:r w:rsidRPr="00132E65">
        <w:rPr>
          <w:rtl/>
          <w:lang w:bidi="fa-IR"/>
        </w:rPr>
        <w:t xml:space="preserve"> بَعْدَ و</w:t>
      </w:r>
      <w:r w:rsidR="00EF2BBB">
        <w:rPr>
          <w:rFonts w:hint="cs"/>
          <w:rtl/>
          <w:lang w:bidi="fa-IR"/>
        </w:rPr>
        <w:t>َ</w:t>
      </w:r>
      <w:r w:rsidRPr="00132E65">
        <w:rPr>
          <w:rtl/>
          <w:lang w:bidi="fa-IR"/>
        </w:rPr>
        <w:t xml:space="preserve">احِدٍ ، حَتّى يَجِي‌ءَ صَاحِبُ السَّيْفِ ، فَإِذَا جَاءَ صَاحِبُ </w:t>
      </w:r>
      <w:r>
        <w:rPr>
          <w:rStyle w:val="libFootnotenumChar"/>
          <w:rtl/>
        </w:rPr>
        <w:t>(10)</w:t>
      </w:r>
      <w:r w:rsidRPr="00132E65">
        <w:rPr>
          <w:rtl/>
          <w:lang w:bidi="fa-IR"/>
        </w:rPr>
        <w:t xml:space="preserve"> السَّيْفِ ، جَاءَ بِأَمْرٍ غَيْرِ الَّذِي كَانَ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30274E">
        <w:rPr>
          <w:rtl/>
        </w:rPr>
        <w:t>1413</w:t>
      </w:r>
      <w:r w:rsidRPr="004325D8">
        <w:rPr>
          <w:rStyle w:val="libBold2Char"/>
          <w:rtl/>
        </w:rPr>
        <w:t xml:space="preserve"> / 3.</w:t>
      </w:r>
      <w:r w:rsidRPr="00132E65">
        <w:rPr>
          <w:rtl/>
          <w:lang w:bidi="fa-IR"/>
        </w:rPr>
        <w:t xml:space="preserve"> عَلِيُّ بْنُ مُحَمَّدٍ ، عَنْ سَهْلِ بْنِ زِيَادٍ ، عَنْ مُحَمَّدِ بْنِ الْحَسَنِ بْنِ شَمُّونٍ ، عَنْ عَبْدِ اللهِ بْنِ عَبْدِ الرَّحْمنِ ، عَنْ عَبْدِ اللهِ بْنِ الْقَاسِمِ الْبَطَلِ ، عَنْ عَبْدِ اللهِ بْنِ سِنَانٍ ، قَالَ :</w:t>
      </w:r>
    </w:p>
    <w:p w:rsidR="000C39D1" w:rsidRPr="00132E65" w:rsidRDefault="000C39D1" w:rsidP="000C39D1">
      <w:pPr>
        <w:pStyle w:val="libNormal"/>
        <w:rPr>
          <w:rtl/>
          <w:lang w:bidi="fa-IR"/>
        </w:rPr>
      </w:pPr>
      <w:r w:rsidRPr="00132E65">
        <w:rPr>
          <w:rtl/>
          <w:lang w:bidi="fa-IR"/>
        </w:rPr>
        <w:t xml:space="preserve">قُلْتُ لِأَبِي عَبْدِ اللهِ </w:t>
      </w:r>
      <w:r w:rsidRPr="00071CF9">
        <w:rPr>
          <w:rStyle w:val="libAlaemChar"/>
          <w:rtl/>
        </w:rPr>
        <w:t>عليه‌السلام</w:t>
      </w:r>
      <w:r w:rsidRPr="00132E65">
        <w:rPr>
          <w:rtl/>
          <w:lang w:bidi="fa-IR"/>
        </w:rPr>
        <w:t xml:space="preserve"> : </w:t>
      </w:r>
      <w:r w:rsidRPr="00071CF9">
        <w:rPr>
          <w:rStyle w:val="libAlaemChar"/>
          <w:rtl/>
        </w:rPr>
        <w:t>(</w:t>
      </w:r>
      <w:r w:rsidRPr="00071CF9">
        <w:rPr>
          <w:rStyle w:val="libAieChar"/>
          <w:rtl/>
        </w:rPr>
        <w:t xml:space="preserve"> يَوْمَ نَدْعُوا كُلَّ أُناسٍ بِإِمامِهِمْ </w:t>
      </w:r>
      <w:r w:rsidRPr="00071CF9">
        <w:rPr>
          <w:rStyle w:val="libAlaemChar"/>
          <w:rtl/>
        </w:rPr>
        <w:t>)</w:t>
      </w:r>
      <w:r w:rsidRPr="00132E65">
        <w:rPr>
          <w:rtl/>
          <w:lang w:bidi="fa-IR"/>
        </w:rPr>
        <w:t xml:space="preserve"> </w:t>
      </w:r>
      <w:r>
        <w:rPr>
          <w:rStyle w:val="libFootnotenumChar"/>
          <w:rtl/>
        </w:rPr>
        <w:t>(12)</w:t>
      </w:r>
      <w:r>
        <w:rPr>
          <w:rtl/>
          <w:lang w:bidi="fa-IR"/>
        </w:rPr>
        <w:t>؟</w:t>
      </w:r>
      <w:r w:rsidRPr="00132E65">
        <w:rPr>
          <w:rtl/>
          <w:lang w:bidi="fa-IR"/>
        </w:rPr>
        <w:t xml:space="preserve"> قَالَ : « إِمَامِهِمُ الَّذِي بَيْنَ أَظْهُرِهِمْ ، و</w:t>
      </w:r>
      <w:r w:rsidR="00EF2BBB">
        <w:rPr>
          <w:rFonts w:hint="cs"/>
          <w:rtl/>
          <w:lang w:bidi="fa-IR"/>
        </w:rPr>
        <w:t>َ</w:t>
      </w:r>
      <w:r w:rsidRPr="00132E65">
        <w:rPr>
          <w:rtl/>
          <w:lang w:bidi="fa-IR"/>
        </w:rPr>
        <w:t xml:space="preserve">هُوَ قَائِمُ أَهْلِ زَمَانِهِ </w:t>
      </w:r>
      <w:r w:rsidRPr="00F543F1">
        <w:rPr>
          <w:rStyle w:val="libFootnotenumChar"/>
          <w:rtl/>
        </w:rPr>
        <w:t>(13)</w:t>
      </w:r>
      <w:r w:rsidRPr="00132E65">
        <w:rPr>
          <w:rtl/>
          <w:lang w:bidi="fa-IR"/>
        </w:rPr>
        <w:t xml:space="preserve">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EF2BBB" w:rsidP="000C39D1">
      <w:pPr>
        <w:pStyle w:val="libFootnote0"/>
        <w:rPr>
          <w:rtl/>
          <w:lang w:bidi="fa-IR"/>
        </w:rPr>
      </w:pPr>
      <w:r>
        <w:rPr>
          <w:rFonts w:hint="cs"/>
          <w:rtl/>
        </w:rPr>
        <w:t>=</w:t>
      </w:r>
      <w:r w:rsidR="000C39D1" w:rsidRPr="00132E65">
        <w:rPr>
          <w:rtl/>
        </w:rPr>
        <w:t xml:space="preserve">معلوم ، أو من باب الافتعال بتشديد الدال. والأنسب بالمهديّ هو المجرّد المعلوم. قال في </w:t>
      </w:r>
      <w:r w:rsidR="000C39D1" w:rsidRPr="0030274E">
        <w:rPr>
          <w:rtl/>
        </w:rPr>
        <w:t>المرآة</w:t>
      </w:r>
      <w:r w:rsidR="000C39D1" w:rsidRPr="00132E65">
        <w:rPr>
          <w:rtl/>
        </w:rPr>
        <w:t xml:space="preserve"> : « يهدي إلى الله على بناء المجرّد المعلوم ؛ لأنّ الهادي يكون مهديّاً لا محالة ، فأجاب عنه بلازمه »</w:t>
      </w:r>
      <w:r w:rsidR="000C39D1">
        <w:rPr>
          <w:rtl/>
        </w:rPr>
        <w:t>.</w:t>
      </w:r>
    </w:p>
    <w:tbl>
      <w:tblPr>
        <w:tblStyle w:val="TableGrid"/>
        <w:bidiVisual/>
        <w:tblW w:w="0" w:type="auto"/>
        <w:tblLook w:val="04A0" w:firstRow="1" w:lastRow="0" w:firstColumn="1" w:lastColumn="0" w:noHBand="0" w:noVBand="1"/>
      </w:tblPr>
      <w:tblGrid>
        <w:gridCol w:w="4261"/>
        <w:gridCol w:w="4262"/>
      </w:tblGrid>
      <w:tr w:rsidR="00EF2BBB" w:rsidTr="00EF2BBB">
        <w:tc>
          <w:tcPr>
            <w:tcW w:w="4261" w:type="dxa"/>
          </w:tcPr>
          <w:p w:rsidR="00EF2BBB" w:rsidRDefault="00EF2BBB" w:rsidP="000C39D1">
            <w:pPr>
              <w:pStyle w:val="libFootnote0"/>
              <w:rPr>
                <w:rtl/>
                <w:lang w:bidi="fa-IR"/>
              </w:rPr>
            </w:pPr>
            <w:r>
              <w:rPr>
                <w:rtl/>
              </w:rPr>
              <w:t>(1).</w:t>
            </w:r>
            <w:r w:rsidRPr="00132E65">
              <w:rPr>
                <w:rtl/>
              </w:rPr>
              <w:t xml:space="preserve"> في « ب ، ف ، بف » </w:t>
            </w:r>
            <w:r>
              <w:rPr>
                <w:rtl/>
              </w:rPr>
              <w:t xml:space="preserve">: - </w:t>
            </w:r>
            <w:r w:rsidRPr="00132E65">
              <w:rPr>
                <w:rtl/>
              </w:rPr>
              <w:t>« فأنت »</w:t>
            </w:r>
            <w:r>
              <w:rPr>
                <w:rtl/>
              </w:rPr>
              <w:t>.</w:t>
            </w:r>
          </w:p>
        </w:tc>
        <w:tc>
          <w:tcPr>
            <w:tcW w:w="4262" w:type="dxa"/>
          </w:tcPr>
          <w:p w:rsidR="00EF2BBB" w:rsidRDefault="00EF2BBB" w:rsidP="000C39D1">
            <w:pPr>
              <w:pStyle w:val="libFootnote0"/>
              <w:rPr>
                <w:rtl/>
                <w:lang w:bidi="fa-IR"/>
              </w:rPr>
            </w:pPr>
            <w:r>
              <w:rPr>
                <w:rtl/>
              </w:rPr>
              <w:t>(2).</w:t>
            </w:r>
            <w:r w:rsidRPr="00132E65">
              <w:rPr>
                <w:rtl/>
              </w:rPr>
              <w:t xml:space="preserve"> في « ف » :</w:t>
            </w:r>
            <w:r>
              <w:rPr>
                <w:rtl/>
              </w:rPr>
              <w:t xml:space="preserve"> + </w:t>
            </w:r>
            <w:r w:rsidRPr="00132E65">
              <w:rPr>
                <w:rtl/>
              </w:rPr>
              <w:t>« و</w:t>
            </w:r>
            <w:r>
              <w:rPr>
                <w:rFonts w:hint="cs"/>
                <w:rtl/>
              </w:rPr>
              <w:t xml:space="preserve"> </w:t>
            </w:r>
            <w:r w:rsidRPr="00132E65">
              <w:rPr>
                <w:rtl/>
              </w:rPr>
              <w:t>وارث السيف »</w:t>
            </w:r>
            <w:r>
              <w:rPr>
                <w:rtl/>
              </w:rPr>
              <w:t>.</w:t>
            </w:r>
          </w:p>
        </w:tc>
      </w:tr>
      <w:tr w:rsidR="00EF2BBB" w:rsidTr="00EF2BBB">
        <w:tc>
          <w:tcPr>
            <w:tcW w:w="4261" w:type="dxa"/>
          </w:tcPr>
          <w:p w:rsidR="00EF2BBB" w:rsidRDefault="00EF2BBB" w:rsidP="000C39D1">
            <w:pPr>
              <w:pStyle w:val="libFootnote0"/>
              <w:rPr>
                <w:rtl/>
                <w:lang w:bidi="fa-IR"/>
              </w:rPr>
            </w:pPr>
            <w:r>
              <w:rPr>
                <w:rtl/>
              </w:rPr>
              <w:t>(3).</w:t>
            </w:r>
            <w:r w:rsidRPr="00132E65">
              <w:rPr>
                <w:rtl/>
              </w:rPr>
              <w:t xml:space="preserve"> في « ف ، بح » : « تعزّ »</w:t>
            </w:r>
            <w:r>
              <w:rPr>
                <w:rtl/>
              </w:rPr>
              <w:t>.</w:t>
            </w:r>
          </w:p>
        </w:tc>
        <w:tc>
          <w:tcPr>
            <w:tcW w:w="4262" w:type="dxa"/>
          </w:tcPr>
          <w:p w:rsidR="00EF2BBB" w:rsidRDefault="00EF2BBB" w:rsidP="000C39D1">
            <w:pPr>
              <w:pStyle w:val="libFootnote0"/>
              <w:rPr>
                <w:rtl/>
                <w:lang w:bidi="fa-IR"/>
              </w:rPr>
            </w:pPr>
            <w:r>
              <w:rPr>
                <w:rtl/>
              </w:rPr>
              <w:t>(4).</w:t>
            </w:r>
            <w:r w:rsidRPr="00132E65">
              <w:rPr>
                <w:rtl/>
              </w:rPr>
              <w:t xml:space="preserve"> في البحار </w:t>
            </w:r>
            <w:r>
              <w:rPr>
                <w:rtl/>
              </w:rPr>
              <w:t xml:space="preserve">: - </w:t>
            </w:r>
            <w:r w:rsidRPr="00132E65">
              <w:rPr>
                <w:rtl/>
              </w:rPr>
              <w:t>« قد »</w:t>
            </w:r>
            <w:r>
              <w:rPr>
                <w:rtl/>
              </w:rPr>
              <w:t>.</w:t>
            </w:r>
          </w:p>
        </w:tc>
      </w:tr>
    </w:tbl>
    <w:p w:rsidR="000C39D1" w:rsidRPr="00132E65" w:rsidRDefault="000C39D1" w:rsidP="000C39D1">
      <w:pPr>
        <w:pStyle w:val="libFootnote0"/>
        <w:rPr>
          <w:rtl/>
          <w:lang w:bidi="fa-IR"/>
        </w:rPr>
      </w:pPr>
      <w:r>
        <w:rPr>
          <w:rtl/>
        </w:rPr>
        <w:t>(5).</w:t>
      </w:r>
      <w:r w:rsidRPr="00132E65">
        <w:rPr>
          <w:rtl/>
        </w:rPr>
        <w:t xml:space="preserve"> في « ض ، ف ، بح ، بر » </w:t>
      </w:r>
      <w:r w:rsidRPr="00EF2BBB">
        <w:rPr>
          <w:rtl/>
        </w:rPr>
        <w:t>والوافي</w:t>
      </w:r>
      <w:r w:rsidRPr="00132E65">
        <w:rPr>
          <w:rtl/>
        </w:rPr>
        <w:t xml:space="preserve"> والبحار </w:t>
      </w:r>
      <w:r>
        <w:rPr>
          <w:rtl/>
        </w:rPr>
        <w:t xml:space="preserve">: - </w:t>
      </w:r>
      <w:r w:rsidRPr="00132E65">
        <w:rPr>
          <w:rtl/>
        </w:rPr>
        <w:t>« سنة »</w:t>
      </w:r>
      <w:r>
        <w:rPr>
          <w:rtl/>
        </w:rPr>
        <w:t>.</w:t>
      </w:r>
    </w:p>
    <w:tbl>
      <w:tblPr>
        <w:tblStyle w:val="TableGrid"/>
        <w:bidiVisual/>
        <w:tblW w:w="0" w:type="auto"/>
        <w:tblLook w:val="04A0" w:firstRow="1" w:lastRow="0" w:firstColumn="1" w:lastColumn="0" w:noHBand="0" w:noVBand="1"/>
      </w:tblPr>
      <w:tblGrid>
        <w:gridCol w:w="4261"/>
        <w:gridCol w:w="4262"/>
      </w:tblGrid>
      <w:tr w:rsidR="00EF2BBB" w:rsidTr="00EF2BBB">
        <w:tc>
          <w:tcPr>
            <w:tcW w:w="4261" w:type="dxa"/>
          </w:tcPr>
          <w:p w:rsidR="00EF2BBB" w:rsidRDefault="00EF2BBB" w:rsidP="000C39D1">
            <w:pPr>
              <w:pStyle w:val="libFootnote0"/>
              <w:rPr>
                <w:rtl/>
              </w:rPr>
            </w:pPr>
            <w:r>
              <w:rPr>
                <w:rtl/>
              </w:rPr>
              <w:t>(6).</w:t>
            </w:r>
            <w:r w:rsidRPr="00132E65">
              <w:rPr>
                <w:rtl/>
              </w:rPr>
              <w:t xml:space="preserve"> في البحار </w:t>
            </w:r>
            <w:r>
              <w:rPr>
                <w:rtl/>
              </w:rPr>
              <w:t xml:space="preserve">: - </w:t>
            </w:r>
            <w:r w:rsidRPr="00132E65">
              <w:rPr>
                <w:rtl/>
              </w:rPr>
              <w:t>« الأمر »</w:t>
            </w:r>
            <w:r>
              <w:rPr>
                <w:rtl/>
              </w:rPr>
              <w:t>.</w:t>
            </w:r>
          </w:p>
        </w:tc>
        <w:tc>
          <w:tcPr>
            <w:tcW w:w="4262" w:type="dxa"/>
          </w:tcPr>
          <w:p w:rsidR="00EF2BBB" w:rsidRDefault="00EF2BBB" w:rsidP="000C39D1">
            <w:pPr>
              <w:pStyle w:val="libFootnote0"/>
              <w:rPr>
                <w:rtl/>
              </w:rPr>
            </w:pPr>
            <w:r>
              <w:rPr>
                <w:rtl/>
              </w:rPr>
              <w:t>(7).</w:t>
            </w:r>
            <w:r w:rsidRPr="00132E65">
              <w:rPr>
                <w:rtl/>
              </w:rPr>
              <w:t xml:space="preserve"> في « بر ، بف » : « بالدين »</w:t>
            </w:r>
            <w:r>
              <w:rPr>
                <w:rtl/>
              </w:rPr>
              <w:t>.</w:t>
            </w:r>
          </w:p>
        </w:tc>
      </w:tr>
    </w:tbl>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2 ، ص 474 ، ح 985 ؛ </w:t>
      </w:r>
      <w:r w:rsidRPr="00EF2BBB">
        <w:rPr>
          <w:rStyle w:val="libFootnoteBoldChar"/>
          <w:rtl/>
        </w:rPr>
        <w:t>البحار</w:t>
      </w:r>
      <w:r w:rsidRPr="00132E65">
        <w:rPr>
          <w:rtl/>
        </w:rPr>
        <w:t xml:space="preserve"> ، ج 51 ، ص 140 ، ح 14.</w:t>
      </w:r>
    </w:p>
    <w:tbl>
      <w:tblPr>
        <w:tblStyle w:val="TableGrid"/>
        <w:bidiVisual/>
        <w:tblW w:w="0" w:type="auto"/>
        <w:tblLook w:val="04A0" w:firstRow="1" w:lastRow="0" w:firstColumn="1" w:lastColumn="0" w:noHBand="0" w:noVBand="1"/>
      </w:tblPr>
      <w:tblGrid>
        <w:gridCol w:w="4261"/>
        <w:gridCol w:w="4262"/>
      </w:tblGrid>
      <w:tr w:rsidR="00EF2BBB" w:rsidTr="00EF2BBB">
        <w:tc>
          <w:tcPr>
            <w:tcW w:w="4261" w:type="dxa"/>
          </w:tcPr>
          <w:p w:rsidR="00EF2BBB" w:rsidRDefault="00EF2BBB" w:rsidP="000C39D1">
            <w:pPr>
              <w:pStyle w:val="libFootnote0"/>
              <w:rPr>
                <w:rtl/>
              </w:rPr>
            </w:pPr>
            <w:r>
              <w:rPr>
                <w:rtl/>
              </w:rPr>
              <w:t>(9).</w:t>
            </w:r>
            <w:r w:rsidRPr="00132E65">
              <w:rPr>
                <w:rtl/>
              </w:rPr>
              <w:t xml:space="preserve"> في « ف » : « واحداً »</w:t>
            </w:r>
            <w:r>
              <w:rPr>
                <w:rtl/>
              </w:rPr>
              <w:t>.</w:t>
            </w:r>
          </w:p>
        </w:tc>
        <w:tc>
          <w:tcPr>
            <w:tcW w:w="4262" w:type="dxa"/>
          </w:tcPr>
          <w:p w:rsidR="00EF2BBB" w:rsidRDefault="00EF2BBB" w:rsidP="000C39D1">
            <w:pPr>
              <w:pStyle w:val="libFootnote0"/>
              <w:rPr>
                <w:rtl/>
              </w:rPr>
            </w:pPr>
            <w:r>
              <w:rPr>
                <w:rtl/>
              </w:rPr>
              <w:t>(10).</w:t>
            </w:r>
            <w:r w:rsidRPr="00132E65">
              <w:rPr>
                <w:rtl/>
              </w:rPr>
              <w:t xml:space="preserve"> في « ف » </w:t>
            </w:r>
            <w:r>
              <w:rPr>
                <w:rtl/>
              </w:rPr>
              <w:t xml:space="preserve">: - </w:t>
            </w:r>
            <w:r w:rsidRPr="00132E65">
              <w:rPr>
                <w:rtl/>
              </w:rPr>
              <w:t>« صاحب »</w:t>
            </w:r>
            <w:r>
              <w:rPr>
                <w:rtl/>
              </w:rPr>
              <w:t>.</w:t>
            </w:r>
          </w:p>
        </w:tc>
      </w:tr>
      <w:tr w:rsidR="00EF2BBB" w:rsidTr="00EF2BBB">
        <w:tc>
          <w:tcPr>
            <w:tcW w:w="4261" w:type="dxa"/>
          </w:tcPr>
          <w:p w:rsidR="00EF2BBB" w:rsidRDefault="00EF2BBB" w:rsidP="000C39D1">
            <w:pPr>
              <w:pStyle w:val="libFootnote0"/>
              <w:rPr>
                <w:rtl/>
              </w:rPr>
            </w:pPr>
            <w:r>
              <w:rPr>
                <w:rtl/>
              </w:rPr>
              <w:t>(11).</w:t>
            </w:r>
            <w:r w:rsidRPr="00132E65">
              <w:rPr>
                <w:rtl/>
              </w:rPr>
              <w:t xml:space="preserve"> </w:t>
            </w:r>
            <w:r w:rsidRPr="009D1ACE">
              <w:rPr>
                <w:rStyle w:val="libFootnoteBoldChar"/>
                <w:rtl/>
              </w:rPr>
              <w:t>الوافي</w:t>
            </w:r>
            <w:r w:rsidRPr="00132E65">
              <w:rPr>
                <w:rtl/>
              </w:rPr>
              <w:t xml:space="preserve"> ، ج 2 ، ص 475 ، ح 986.</w:t>
            </w:r>
          </w:p>
        </w:tc>
        <w:tc>
          <w:tcPr>
            <w:tcW w:w="4262" w:type="dxa"/>
          </w:tcPr>
          <w:p w:rsidR="00EF2BBB" w:rsidRDefault="00EF2BBB" w:rsidP="000C39D1">
            <w:pPr>
              <w:pStyle w:val="libFootnote0"/>
              <w:rPr>
                <w:rtl/>
              </w:rPr>
            </w:pPr>
            <w:r>
              <w:rPr>
                <w:rtl/>
              </w:rPr>
              <w:t>(12).</w:t>
            </w:r>
            <w:r w:rsidRPr="00132E65">
              <w:rPr>
                <w:rtl/>
              </w:rPr>
              <w:t xml:space="preserve"> الإسراء (17) : 71.</w:t>
            </w:r>
          </w:p>
        </w:tc>
      </w:tr>
    </w:tbl>
    <w:p w:rsidR="000C39D1" w:rsidRPr="00132E65" w:rsidRDefault="000C39D1" w:rsidP="000C39D1">
      <w:pPr>
        <w:pStyle w:val="libFootnote0"/>
        <w:rPr>
          <w:rtl/>
          <w:lang w:bidi="fa-IR"/>
        </w:rPr>
      </w:pPr>
      <w:r>
        <w:rPr>
          <w:rtl/>
        </w:rPr>
        <w:t>(13)</w:t>
      </w:r>
      <w:r w:rsidRPr="00132E65">
        <w:rPr>
          <w:rtl/>
        </w:rPr>
        <w:t xml:space="preserve"> في </w:t>
      </w:r>
      <w:r w:rsidRPr="00EF2BBB">
        <w:rPr>
          <w:rStyle w:val="libFootnoteBoldChar"/>
          <w:rtl/>
        </w:rPr>
        <w:t>المرآة</w:t>
      </w:r>
      <w:r w:rsidRPr="00132E65">
        <w:rPr>
          <w:rtl/>
        </w:rPr>
        <w:t xml:space="preserve"> : « ذكره في الباب لإطلاق القائم على كلّ إمام »</w:t>
      </w:r>
      <w:r>
        <w:rPr>
          <w:rtl/>
        </w:rPr>
        <w:t>.</w:t>
      </w:r>
    </w:p>
    <w:p w:rsidR="000C39D1" w:rsidRPr="00132E65" w:rsidRDefault="000C39D1" w:rsidP="000C39D1">
      <w:pPr>
        <w:pStyle w:val="libFootnote0"/>
        <w:rPr>
          <w:rtl/>
          <w:lang w:bidi="fa-IR"/>
        </w:rPr>
      </w:pPr>
      <w:r>
        <w:rPr>
          <w:rtl/>
        </w:rPr>
        <w:t>(14)</w:t>
      </w:r>
      <w:r w:rsidRPr="00132E65">
        <w:rPr>
          <w:rtl/>
        </w:rPr>
        <w:t xml:space="preserve"> </w:t>
      </w:r>
      <w:r w:rsidRPr="009D1ACE">
        <w:rPr>
          <w:rStyle w:val="libFootnoteBoldChar"/>
          <w:rtl/>
        </w:rPr>
        <w:t>الوافي</w:t>
      </w:r>
      <w:r w:rsidRPr="00132E65">
        <w:rPr>
          <w:rtl/>
        </w:rPr>
        <w:t xml:space="preserve"> ، ج 2 ، ص 476 ، ح 988.</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198" w:name="_Toc459459173"/>
      <w:bookmarkStart w:id="199" w:name="_Toc34663142"/>
      <w:r w:rsidRPr="00132E65">
        <w:rPr>
          <w:rtl/>
          <w:lang w:bidi="fa-IR"/>
        </w:rPr>
        <w:t>129</w:t>
      </w:r>
      <w:r>
        <w:rPr>
          <w:rtl/>
          <w:lang w:bidi="fa-IR"/>
        </w:rPr>
        <w:t xml:space="preserve"> - </w:t>
      </w:r>
      <w:r w:rsidRPr="00132E65">
        <w:rPr>
          <w:rtl/>
          <w:lang w:bidi="fa-IR"/>
        </w:rPr>
        <w:t>بَابُ صِلَةِ الْإِمَامِ‌</w:t>
      </w:r>
      <w:bookmarkEnd w:id="198"/>
      <w:bookmarkEnd w:id="199"/>
    </w:p>
    <w:p w:rsidR="000C39D1" w:rsidRPr="00132E65" w:rsidRDefault="000C39D1" w:rsidP="000C39D1">
      <w:pPr>
        <w:pStyle w:val="libNormal"/>
        <w:rPr>
          <w:rtl/>
          <w:lang w:bidi="fa-IR"/>
        </w:rPr>
      </w:pPr>
      <w:r w:rsidRPr="0030274E">
        <w:rPr>
          <w:rtl/>
        </w:rPr>
        <w:t>1414</w:t>
      </w:r>
      <w:r w:rsidRPr="004325D8">
        <w:rPr>
          <w:rStyle w:val="libBold2Char"/>
          <w:rtl/>
        </w:rPr>
        <w:t xml:space="preserve"> / 1.</w:t>
      </w:r>
      <w:r w:rsidRPr="00132E65">
        <w:rPr>
          <w:rtl/>
          <w:lang w:bidi="fa-IR"/>
        </w:rPr>
        <w:t xml:space="preserve"> الْحُسَيْنُ بْنُ مُحَمَّدِ بْنِ عَامِرٍ بِإِسْنَادِهِ رَفَعَهُ ، قَالَ :</w:t>
      </w:r>
    </w:p>
    <w:p w:rsidR="000C39D1" w:rsidRPr="00132E65" w:rsidRDefault="000C39D1" w:rsidP="000C39D1">
      <w:pPr>
        <w:pStyle w:val="libNormal"/>
        <w:rPr>
          <w:rtl/>
          <w:lang w:bidi="fa-IR"/>
        </w:rPr>
      </w:pPr>
      <w:r w:rsidRPr="00132E65">
        <w:rPr>
          <w:rtl/>
          <w:lang w:bidi="fa-IR"/>
        </w:rPr>
        <w:t xml:space="preserve">قَالَ أَبُو عَبْدِ اللهِ </w:t>
      </w:r>
      <w:r w:rsidRPr="00071CF9">
        <w:rPr>
          <w:rStyle w:val="libAlaemChar"/>
          <w:rtl/>
        </w:rPr>
        <w:t>عليه‌السلام</w:t>
      </w:r>
      <w:r w:rsidRPr="00132E65">
        <w:rPr>
          <w:rtl/>
          <w:lang w:bidi="fa-IR"/>
        </w:rPr>
        <w:t xml:space="preserve"> : « مَنْ زَعَمَ أَنَّ الْإِمَامَ يَحْتَاجُ إِلى مَا فِي أَيْدِي النَّاسِ ، فَهُوَ كَافِرٌ </w:t>
      </w:r>
      <w:r>
        <w:rPr>
          <w:rStyle w:val="libFootnotenumChar"/>
          <w:rtl/>
        </w:rPr>
        <w:t>(1)</w:t>
      </w:r>
      <w:r w:rsidRPr="00132E65">
        <w:rPr>
          <w:rtl/>
          <w:lang w:bidi="fa-IR"/>
        </w:rPr>
        <w:t xml:space="preserve"> ؛ إِنَّمَا النَّاسُ يَحْتَاجُونَ أَنْ يَقْبَلَ </w:t>
      </w:r>
      <w:r>
        <w:rPr>
          <w:rStyle w:val="libFootnotenumChar"/>
          <w:rtl/>
        </w:rPr>
        <w:t>(2)</w:t>
      </w:r>
      <w:r w:rsidRPr="00132E65">
        <w:rPr>
          <w:rtl/>
          <w:lang w:bidi="fa-IR"/>
        </w:rPr>
        <w:t xml:space="preserve"> مِنْهُمُ الْإِمَامُ ؛ قَالَ </w:t>
      </w:r>
      <w:r>
        <w:rPr>
          <w:rStyle w:val="libFootnotenumChar"/>
          <w:rtl/>
        </w:rPr>
        <w:t>(3)</w:t>
      </w:r>
      <w:r w:rsidRPr="00132E65">
        <w:rPr>
          <w:rtl/>
          <w:lang w:bidi="fa-IR"/>
        </w:rPr>
        <w:t xml:space="preserve"> اللهُ عَزَّ وجَلَّ : </w:t>
      </w:r>
      <w:r w:rsidRPr="00071CF9">
        <w:rPr>
          <w:rStyle w:val="libAlaemChar"/>
          <w:rtl/>
        </w:rPr>
        <w:t>(</w:t>
      </w:r>
      <w:r w:rsidRPr="00071CF9">
        <w:rPr>
          <w:rStyle w:val="libAieChar"/>
          <w:rtl/>
        </w:rPr>
        <w:t xml:space="preserve"> خُذْ مِنْ أَمْوالِهِمْ صَدَقَةً تُطَهِّرُهُمْ وَتُزَكِّيهِمْ بِها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30274E">
        <w:rPr>
          <w:rtl/>
        </w:rPr>
        <w:t>1415</w:t>
      </w:r>
      <w:r w:rsidRPr="004325D8">
        <w:rPr>
          <w:rStyle w:val="libBold2Char"/>
          <w:rtl/>
        </w:rPr>
        <w:t xml:space="preserve"> / 2.</w:t>
      </w:r>
      <w:r w:rsidRPr="00132E65">
        <w:rPr>
          <w:rtl/>
          <w:lang w:bidi="fa-IR"/>
        </w:rPr>
        <w:t xml:space="preserve"> عِدَّةٌ مِنْ أَصْحَابِنَا ، عَنْ أَحْمَدَ بْنِ مُحَمَّدٍ ، عَنِ الْوَشَّاءِ ، عَنْ عِيسَى بْنِ سُلَيْمَانَ النَّحَّاسِ </w:t>
      </w:r>
      <w:r>
        <w:rPr>
          <w:rStyle w:val="libFootnotenumChar"/>
          <w:rtl/>
        </w:rPr>
        <w:t>(6)</w:t>
      </w:r>
      <w:r w:rsidRPr="00132E65">
        <w:rPr>
          <w:rtl/>
          <w:lang w:bidi="fa-IR"/>
        </w:rPr>
        <w:t xml:space="preserve"> ، عَنِ الْمُفَضَّلِ بْنِ عُمَرَ ، عَنِ الْخَيْبَرِيِّ و</w:t>
      </w:r>
      <w:r w:rsidR="00EF2BBB">
        <w:rPr>
          <w:rFonts w:hint="cs"/>
          <w:rtl/>
          <w:lang w:bidi="fa-IR"/>
        </w:rPr>
        <w:t>َ</w:t>
      </w:r>
      <w:r>
        <w:rPr>
          <w:rFonts w:hint="cs"/>
          <w:rtl/>
          <w:lang w:bidi="fa-IR"/>
        </w:rPr>
        <w:t xml:space="preserve"> </w:t>
      </w:r>
      <w:r>
        <w:rPr>
          <w:rStyle w:val="libFootnotenumChar"/>
          <w:rtl/>
        </w:rPr>
        <w:t>(7)</w:t>
      </w:r>
      <w:r w:rsidRPr="00132E65">
        <w:rPr>
          <w:rtl/>
          <w:lang w:bidi="fa-IR"/>
        </w:rPr>
        <w:t xml:space="preserve"> يُونُسَ بْنِ ظَبْيَانَ ، قَالَا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فهو كافر ، أي غير عارف بفضل الإمام وأنّه قادر على قلب الجبال ذهباً بدعائه ؛ فالكفر في</w:t>
      </w:r>
      <w:r w:rsidR="00874F47">
        <w:rPr>
          <w:rFonts w:hint="cs"/>
          <w:rtl/>
        </w:rPr>
        <w:t xml:space="preserve"> </w:t>
      </w:r>
      <w:r w:rsidRPr="00132E65">
        <w:rPr>
          <w:rtl/>
        </w:rPr>
        <w:t xml:space="preserve">‌مقابلة الإيمان الكامل. أو محمول على ما إذا كان ذلك على وجه التحقير والإزراء بشأنه </w:t>
      </w:r>
      <w:r w:rsidRPr="00874F47">
        <w:rPr>
          <w:rStyle w:val="libFootnoteAlaemChar"/>
          <w:rtl/>
        </w:rPr>
        <w:t>عليه‌السلام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261"/>
        <w:gridCol w:w="4262"/>
      </w:tblGrid>
      <w:tr w:rsidR="00874F47" w:rsidTr="00874F47">
        <w:tc>
          <w:tcPr>
            <w:tcW w:w="4261" w:type="dxa"/>
          </w:tcPr>
          <w:p w:rsidR="00874F47" w:rsidRDefault="00874F47" w:rsidP="000C39D1">
            <w:pPr>
              <w:pStyle w:val="libFootnote0"/>
              <w:rPr>
                <w:rtl/>
              </w:rPr>
            </w:pPr>
            <w:r>
              <w:rPr>
                <w:rtl/>
              </w:rPr>
              <w:t>(2).</w:t>
            </w:r>
            <w:r w:rsidRPr="00132E65">
              <w:rPr>
                <w:rtl/>
              </w:rPr>
              <w:t xml:space="preserve"> في « ض » : « تقبّل »</w:t>
            </w:r>
            <w:r>
              <w:rPr>
                <w:rtl/>
              </w:rPr>
              <w:t>.</w:t>
            </w:r>
          </w:p>
        </w:tc>
        <w:tc>
          <w:tcPr>
            <w:tcW w:w="4262" w:type="dxa"/>
          </w:tcPr>
          <w:p w:rsidR="00874F47" w:rsidRDefault="00874F47" w:rsidP="000C39D1">
            <w:pPr>
              <w:pStyle w:val="libFootnote0"/>
              <w:rPr>
                <w:rtl/>
              </w:rPr>
            </w:pPr>
            <w:r>
              <w:rPr>
                <w:rtl/>
              </w:rPr>
              <w:t>(3).</w:t>
            </w:r>
            <w:r w:rsidRPr="00132E65">
              <w:rPr>
                <w:rtl/>
              </w:rPr>
              <w:t xml:space="preserve"> في « ج ، بح ، بر » : « وقال »</w:t>
            </w:r>
            <w:r>
              <w:rPr>
                <w:rtl/>
              </w:rPr>
              <w:t>.</w:t>
            </w:r>
          </w:p>
        </w:tc>
      </w:tr>
      <w:tr w:rsidR="00874F47" w:rsidTr="00874F47">
        <w:tc>
          <w:tcPr>
            <w:tcW w:w="4261" w:type="dxa"/>
          </w:tcPr>
          <w:p w:rsidR="00874F47" w:rsidRDefault="00874F47" w:rsidP="000C39D1">
            <w:pPr>
              <w:pStyle w:val="libFootnote0"/>
              <w:rPr>
                <w:rtl/>
              </w:rPr>
            </w:pPr>
            <w:r>
              <w:rPr>
                <w:rtl/>
              </w:rPr>
              <w:t>(4).</w:t>
            </w:r>
            <w:r w:rsidRPr="00132E65">
              <w:rPr>
                <w:rtl/>
              </w:rPr>
              <w:t xml:space="preserve"> التوبة </w:t>
            </w:r>
            <w:r>
              <w:rPr>
                <w:rtl/>
              </w:rPr>
              <w:t>(9)</w:t>
            </w:r>
            <w:r w:rsidRPr="00132E65">
              <w:rPr>
                <w:rtl/>
              </w:rPr>
              <w:t xml:space="preserve"> : 103. وفي « ف » :</w:t>
            </w:r>
            <w:r>
              <w:rPr>
                <w:rtl/>
              </w:rPr>
              <w:t xml:space="preserve"> + </w:t>
            </w:r>
            <w:r w:rsidRPr="00132E65">
              <w:rPr>
                <w:rtl/>
              </w:rPr>
              <w:t>« الآية »</w:t>
            </w:r>
            <w:r>
              <w:rPr>
                <w:rtl/>
              </w:rPr>
              <w:t>.</w:t>
            </w:r>
          </w:p>
        </w:tc>
        <w:tc>
          <w:tcPr>
            <w:tcW w:w="4262" w:type="dxa"/>
          </w:tcPr>
          <w:p w:rsidR="00874F47" w:rsidRDefault="00874F47" w:rsidP="000C39D1">
            <w:pPr>
              <w:pStyle w:val="libFootnote0"/>
              <w:rPr>
                <w:rtl/>
              </w:rPr>
            </w:pPr>
            <w:r>
              <w:rPr>
                <w:rtl/>
              </w:rPr>
              <w:t>(5).</w:t>
            </w:r>
            <w:r w:rsidRPr="00132E65">
              <w:rPr>
                <w:rtl/>
              </w:rPr>
              <w:t xml:space="preserve"> </w:t>
            </w:r>
            <w:r w:rsidRPr="009D1ACE">
              <w:rPr>
                <w:rStyle w:val="libFootnoteBoldChar"/>
                <w:rtl/>
              </w:rPr>
              <w:t>الوافي</w:t>
            </w:r>
            <w:r w:rsidRPr="00132E65">
              <w:rPr>
                <w:rtl/>
              </w:rPr>
              <w:t xml:space="preserve"> ، ج 10 ، ص 279 ، ح 9580.</w:t>
            </w:r>
          </w:p>
        </w:tc>
      </w:tr>
    </w:tbl>
    <w:p w:rsidR="000C39D1" w:rsidRPr="00132E65" w:rsidRDefault="000C39D1" w:rsidP="000C39D1">
      <w:pPr>
        <w:pStyle w:val="libFootnote0"/>
        <w:rPr>
          <w:rtl/>
          <w:lang w:bidi="fa-IR"/>
        </w:rPr>
      </w:pPr>
      <w:r>
        <w:rPr>
          <w:rtl/>
        </w:rPr>
        <w:t>(6).</w:t>
      </w:r>
      <w:r w:rsidRPr="00132E65">
        <w:rPr>
          <w:rtl/>
        </w:rPr>
        <w:t xml:space="preserve"> في « ج ، بح ، بر ، بس » </w:t>
      </w:r>
      <w:r w:rsidRPr="00874F47">
        <w:rPr>
          <w:rtl/>
        </w:rPr>
        <w:t>والوافي</w:t>
      </w:r>
      <w:r w:rsidRPr="00132E65">
        <w:rPr>
          <w:rtl/>
        </w:rPr>
        <w:t xml:space="preserve"> : « النخّاس »</w:t>
      </w:r>
      <w:r>
        <w:rPr>
          <w:rtl/>
        </w:rPr>
        <w:t>.</w:t>
      </w:r>
    </w:p>
    <w:p w:rsidR="000C39D1" w:rsidRPr="00132E65" w:rsidRDefault="000C39D1" w:rsidP="000C39D1">
      <w:pPr>
        <w:pStyle w:val="libFootnote0"/>
        <w:rPr>
          <w:rtl/>
          <w:lang w:bidi="fa-IR"/>
        </w:rPr>
      </w:pPr>
      <w:r>
        <w:rPr>
          <w:rtl/>
        </w:rPr>
        <w:t>(7).</w:t>
      </w:r>
      <w:r w:rsidRPr="00132E65">
        <w:rPr>
          <w:rtl/>
        </w:rPr>
        <w:t xml:space="preserve"> في البحار </w:t>
      </w:r>
      <w:r>
        <w:rPr>
          <w:rtl/>
        </w:rPr>
        <w:t xml:space="preserve">: - </w:t>
      </w:r>
      <w:r w:rsidRPr="00132E65">
        <w:rPr>
          <w:rtl/>
        </w:rPr>
        <w:t>« الخيبري</w:t>
      </w:r>
      <w:r>
        <w:rPr>
          <w:rtl/>
        </w:rPr>
        <w:t xml:space="preserve"> و ».</w:t>
      </w:r>
      <w:r w:rsidRPr="00132E65">
        <w:rPr>
          <w:rtl/>
        </w:rPr>
        <w:t xml:space="preserve"> ولم نجد رواية المفضّل بن عمر عن الخيبري في غير هذا المورد ، بل وردت رواية الخيبري عن المفضّل ، في </w:t>
      </w:r>
      <w:r w:rsidRPr="0030274E">
        <w:rPr>
          <w:rtl/>
        </w:rPr>
        <w:t>التهذيب</w:t>
      </w:r>
      <w:r w:rsidRPr="00132E65">
        <w:rPr>
          <w:rtl/>
        </w:rPr>
        <w:t xml:space="preserve"> ، ج 7 ، ص 470 ، ح 1882 ، كما وردت روايته عن يونس بن ظبيان في </w:t>
      </w:r>
      <w:r w:rsidRPr="000577A7">
        <w:rPr>
          <w:rStyle w:val="libFootnoteBoldChar"/>
          <w:rtl/>
        </w:rPr>
        <w:t>الكافي</w:t>
      </w:r>
      <w:r w:rsidRPr="00132E65">
        <w:rPr>
          <w:rtl/>
        </w:rPr>
        <w:t xml:space="preserve"> ، ح 1253 ؛ و</w:t>
      </w:r>
      <w:r w:rsidRPr="007A1104">
        <w:rPr>
          <w:rStyle w:val="libFootnoteBoldChar"/>
          <w:rtl/>
        </w:rPr>
        <w:t>بصائر الدرجات</w:t>
      </w:r>
      <w:r w:rsidRPr="00132E65">
        <w:rPr>
          <w:rtl/>
        </w:rPr>
        <w:t xml:space="preserve"> ، ص 438 ، ح 3 ؛ </w:t>
      </w:r>
      <w:r w:rsidRPr="00874F47">
        <w:rPr>
          <w:rStyle w:val="libFootnoteBoldChar"/>
          <w:rtl/>
        </w:rPr>
        <w:t>وكامل الزيارات</w:t>
      </w:r>
      <w:r w:rsidRPr="0030274E">
        <w:rPr>
          <w:rtl/>
        </w:rPr>
        <w:t xml:space="preserve"> </w:t>
      </w:r>
      <w:r w:rsidRPr="00132E65">
        <w:rPr>
          <w:rtl/>
        </w:rPr>
        <w:t>، ص 126 ، ح 4 ، وص 138 ، ح 3. ووردت أيضاً روايته عن يونس بن ظبيان ومفضّل بن عمر</w:t>
      </w:r>
      <w:r>
        <w:rPr>
          <w:rtl/>
        </w:rPr>
        <w:t xml:space="preserve"> - </w:t>
      </w:r>
      <w:r w:rsidRPr="00132E65">
        <w:rPr>
          <w:rtl/>
        </w:rPr>
        <w:t>معطوفين</w:t>
      </w:r>
      <w:r>
        <w:rPr>
          <w:rtl/>
        </w:rPr>
        <w:t xml:space="preserve"> - </w:t>
      </w:r>
      <w:r w:rsidRPr="00132E65">
        <w:rPr>
          <w:rtl/>
        </w:rPr>
        <w:t xml:space="preserve">في </w:t>
      </w:r>
      <w:r w:rsidRPr="000577A7">
        <w:rPr>
          <w:rStyle w:val="libFootnoteBoldChar"/>
          <w:rtl/>
        </w:rPr>
        <w:t>الكافي</w:t>
      </w:r>
      <w:r w:rsidRPr="00132E65">
        <w:rPr>
          <w:rtl/>
        </w:rPr>
        <w:t xml:space="preserve"> ، ح 1284 ؛ </w:t>
      </w:r>
      <w:r w:rsidRPr="00874F47">
        <w:rPr>
          <w:rStyle w:val="libFootnoteBoldChar"/>
          <w:rtl/>
        </w:rPr>
        <w:t>والخصال</w:t>
      </w:r>
      <w:r w:rsidRPr="00132E65">
        <w:rPr>
          <w:rtl/>
        </w:rPr>
        <w:t xml:space="preserve"> ، ص 47 ، ح 5. وصرّح ابن الغضائري في ترجمة خيبري أنّه : « كان يصحب يونس بن ظبيان ويكثر الرواية عنه »</w:t>
      </w:r>
      <w:r>
        <w:rPr>
          <w:rtl/>
        </w:rPr>
        <w:t>.</w:t>
      </w:r>
      <w:r w:rsidRPr="00132E65">
        <w:rPr>
          <w:rtl/>
        </w:rPr>
        <w:t xml:space="preserve"> راجع : </w:t>
      </w:r>
      <w:r w:rsidRPr="0030274E">
        <w:rPr>
          <w:rtl/>
        </w:rPr>
        <w:t>الرجال</w:t>
      </w:r>
      <w:r w:rsidRPr="00132E65">
        <w:rPr>
          <w:rtl/>
        </w:rPr>
        <w:t xml:space="preserve"> لابن الغضائري ، ص 56 ، الرقم 43.</w:t>
      </w:r>
    </w:p>
    <w:p w:rsidR="000C39D1" w:rsidRPr="00132E65" w:rsidRDefault="000C39D1" w:rsidP="000C39D1">
      <w:pPr>
        <w:pStyle w:val="libFootnote0"/>
        <w:rPr>
          <w:rtl/>
          <w:lang w:bidi="fa-IR"/>
        </w:rPr>
      </w:pPr>
      <w:r w:rsidRPr="00F24C1F">
        <w:rPr>
          <w:rtl/>
        </w:rPr>
        <w:t xml:space="preserve">هذا ، وقد روى عيسى بن سليمان عن المفضّل بن عمر في </w:t>
      </w:r>
      <w:r w:rsidRPr="00874F47">
        <w:rPr>
          <w:rStyle w:val="libFootnoteBoldChar"/>
          <w:rtl/>
        </w:rPr>
        <w:t>الغيبة للنعماني</w:t>
      </w:r>
      <w:r w:rsidRPr="00F24C1F">
        <w:rPr>
          <w:rtl/>
        </w:rPr>
        <w:t xml:space="preserve"> ، ص 284 ، ح 3. ويظهر من </w:t>
      </w:r>
      <w:r w:rsidRPr="00874F47">
        <w:rPr>
          <w:rStyle w:val="libFootnoteBoldChar"/>
          <w:rtl/>
        </w:rPr>
        <w:t>رجال الكشّي</w:t>
      </w:r>
      <w:r w:rsidRPr="00F24C1F">
        <w:rPr>
          <w:rtl/>
        </w:rPr>
        <w:t xml:space="preserve"> ، ص 329 ، الرقم 598 ، أنّ عيسى بن سليمان كان في طبقة رواة المفضّل. ووردت في </w:t>
      </w:r>
      <w:r w:rsidRPr="000577A7">
        <w:rPr>
          <w:rStyle w:val="libFootnoteBoldChar"/>
          <w:rtl/>
        </w:rPr>
        <w:t>الكافي</w:t>
      </w:r>
      <w:r w:rsidRPr="00F24C1F">
        <w:rPr>
          <w:rtl/>
        </w:rPr>
        <w:t xml:space="preserve"> ، ح 3787 ، رواية عثمان بن سليمان النخّاس عن مفضّل بن عمر ويونس بن ظبيان. ولا يبعد اتّحاد ابن سليمان هذا مع عيسى بن سليمان ووقوع التصحيف في أحد العنوانين.</w:t>
      </w:r>
    </w:p>
    <w:p w:rsidR="000C39D1" w:rsidRPr="00F24C1F" w:rsidRDefault="000C39D1" w:rsidP="00E55206">
      <w:pPr>
        <w:pStyle w:val="libFootnote0"/>
        <w:rPr>
          <w:rtl/>
        </w:rPr>
      </w:pPr>
      <w:r w:rsidRPr="00F24C1F">
        <w:rPr>
          <w:rtl/>
        </w:rPr>
        <w:t>إذا تبيّن هذا ، فلا يبعد القول بوقوع التحريف في السند ، وأنّ الصواب « عيسى بن سليمان النحّاس والخيبري عن المفضّل بن عمر ويونس بن ظبيان ».</w:t>
      </w:r>
    </w:p>
    <w:p w:rsidR="000C39D1" w:rsidRPr="00F24C1F" w:rsidRDefault="000C39D1" w:rsidP="00E55206">
      <w:pPr>
        <w:pStyle w:val="libFootnote0"/>
        <w:rPr>
          <w:rtl/>
        </w:rPr>
      </w:pPr>
      <w:r w:rsidRPr="00F24C1F">
        <w:rPr>
          <w:rtl/>
        </w:rPr>
        <w:t>ه</w:t>
      </w:r>
      <w:r w:rsidR="00874F47">
        <w:rPr>
          <w:rtl/>
        </w:rPr>
        <w:t>ذا ما استفدناه ممّا أفاده العل</w:t>
      </w:r>
      <w:r w:rsidR="00874F47">
        <w:rPr>
          <w:rFonts w:hint="cs"/>
          <w:rtl/>
        </w:rPr>
        <w:t>ّ</w:t>
      </w:r>
      <w:r w:rsidR="00874F47">
        <w:rPr>
          <w:rtl/>
        </w:rPr>
        <w:t>ا</w:t>
      </w:r>
      <w:r w:rsidRPr="00F24C1F">
        <w:rPr>
          <w:rtl/>
        </w:rPr>
        <w:t xml:space="preserve">مة الخبير السيّد موسى‌الشبيريّ </w:t>
      </w:r>
      <w:r>
        <w:rPr>
          <w:rtl/>
        </w:rPr>
        <w:t>-</w:t>
      </w:r>
      <w:r w:rsidRPr="00F24C1F">
        <w:rPr>
          <w:rtl/>
        </w:rPr>
        <w:t xml:space="preserve"> دام ظلّه </w:t>
      </w:r>
      <w:r>
        <w:rPr>
          <w:rtl/>
        </w:rPr>
        <w:t>-</w:t>
      </w:r>
      <w:r w:rsidRPr="00F24C1F">
        <w:rPr>
          <w:rtl/>
        </w:rPr>
        <w:t xml:space="preserve"> في تعليقته على السند ، مع شي‌ء من الزيادة.</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سَمِعْنَا أَبَا عَبْدِ اللهِ </w:t>
      </w:r>
      <w:r w:rsidRPr="00071CF9">
        <w:rPr>
          <w:rStyle w:val="libAlaemChar"/>
          <w:rtl/>
        </w:rPr>
        <w:t>عليه‌السلام</w:t>
      </w:r>
      <w:r w:rsidRPr="00132E65">
        <w:rPr>
          <w:rtl/>
          <w:lang w:bidi="fa-IR"/>
        </w:rPr>
        <w:t xml:space="preserve"> يَقُولُ : « مَا مِنْ شَيْ‌ءٍ أَحَبَّ </w:t>
      </w:r>
      <w:r>
        <w:rPr>
          <w:rStyle w:val="libFootnotenumChar"/>
          <w:rtl/>
        </w:rPr>
        <w:t>(1)</w:t>
      </w:r>
      <w:r w:rsidRPr="00132E65">
        <w:rPr>
          <w:rtl/>
          <w:lang w:bidi="fa-IR"/>
        </w:rPr>
        <w:t xml:space="preserve"> إِلَى اللهِ مِنْ إِخْرَاجِ الدَّرَاهِمِ </w:t>
      </w:r>
      <w:r>
        <w:rPr>
          <w:rStyle w:val="libFootnotenumChar"/>
          <w:rtl/>
        </w:rPr>
        <w:t>(2)</w:t>
      </w:r>
      <w:r w:rsidRPr="00132E65">
        <w:rPr>
          <w:rtl/>
          <w:lang w:bidi="fa-IR"/>
        </w:rPr>
        <w:t xml:space="preserve"> إِلَى الْإِمَامِ ، و</w:t>
      </w:r>
      <w:r w:rsidR="00874F47">
        <w:rPr>
          <w:rFonts w:hint="cs"/>
          <w:rtl/>
          <w:lang w:bidi="fa-IR"/>
        </w:rPr>
        <w:t>َ</w:t>
      </w:r>
      <w:r w:rsidRPr="00132E65">
        <w:rPr>
          <w:rtl/>
          <w:lang w:bidi="fa-IR"/>
        </w:rPr>
        <w:t xml:space="preserve">إِنَّ </w:t>
      </w:r>
      <w:r>
        <w:rPr>
          <w:rStyle w:val="libFootnotenumChar"/>
          <w:rtl/>
        </w:rPr>
        <w:t>(3)</w:t>
      </w:r>
      <w:r w:rsidRPr="00132E65">
        <w:rPr>
          <w:rtl/>
          <w:lang w:bidi="fa-IR"/>
        </w:rPr>
        <w:t xml:space="preserve"> اللهَ لَيَجْعَلُ لَهُ </w:t>
      </w:r>
      <w:r>
        <w:rPr>
          <w:rStyle w:val="libFootnotenumChar"/>
          <w:rtl/>
        </w:rPr>
        <w:t>(4)</w:t>
      </w:r>
      <w:r w:rsidRPr="00132E65">
        <w:rPr>
          <w:rtl/>
          <w:lang w:bidi="fa-IR"/>
        </w:rPr>
        <w:t xml:space="preserve"> الدِّرْهَمَ </w:t>
      </w:r>
      <w:r>
        <w:rPr>
          <w:rStyle w:val="libFootnotenumChar"/>
          <w:rtl/>
        </w:rPr>
        <w:t>(5)</w:t>
      </w:r>
      <w:r w:rsidRPr="00132E65">
        <w:rPr>
          <w:rtl/>
          <w:lang w:bidi="fa-IR"/>
        </w:rPr>
        <w:t xml:space="preserve"> فِي الْجَنَّةِ مِثْلَ جَبَلِ أُحُدٍ »</w:t>
      </w:r>
      <w:r>
        <w:rPr>
          <w:rtl/>
          <w:lang w:bidi="fa-IR"/>
        </w:rPr>
        <w:t>.</w:t>
      </w:r>
      <w:r w:rsidRPr="00132E65">
        <w:rPr>
          <w:rtl/>
          <w:lang w:bidi="fa-IR"/>
        </w:rPr>
        <w:t xml:space="preserve"> ثُمَّ قَالَ : « إِنَّ اللهَ يَقُولُ فِي كِتَابِهِ : </w:t>
      </w:r>
      <w:r w:rsidRPr="00071CF9">
        <w:rPr>
          <w:rStyle w:val="libAlaemChar"/>
          <w:rtl/>
        </w:rPr>
        <w:t>(</w:t>
      </w:r>
      <w:r w:rsidRPr="00071CF9">
        <w:rPr>
          <w:rStyle w:val="libAieChar"/>
          <w:rtl/>
        </w:rPr>
        <w:t xml:space="preserve"> مَنْ ذَا الَّذِي يُقْرِضُ اللهَ قَرْضاً حَسَناً فَيُضاعِفَهُ لَهُ أَضْعافاً كَثِيرَةً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w:t>
      </w:r>
      <w:r>
        <w:rPr>
          <w:rtl/>
          <w:lang w:bidi="fa-IR"/>
        </w:rPr>
        <w:t>.</w:t>
      </w:r>
      <w:r w:rsidRPr="00132E65">
        <w:rPr>
          <w:rtl/>
          <w:lang w:bidi="fa-IR"/>
        </w:rPr>
        <w:t xml:space="preserve"> قَالَ </w:t>
      </w:r>
      <w:r>
        <w:rPr>
          <w:rStyle w:val="libFootnotenumChar"/>
          <w:rtl/>
        </w:rPr>
        <w:t>(7)</w:t>
      </w:r>
      <w:r w:rsidRPr="00132E65">
        <w:rPr>
          <w:rtl/>
          <w:lang w:bidi="fa-IR"/>
        </w:rPr>
        <w:t xml:space="preserve"> :</w:t>
      </w:r>
      <w:r>
        <w:rPr>
          <w:rFonts w:hint="cs"/>
          <w:rtl/>
          <w:lang w:bidi="fa-IR"/>
        </w:rPr>
        <w:t xml:space="preserve"> </w:t>
      </w:r>
      <w:r w:rsidRPr="00132E65">
        <w:rPr>
          <w:rtl/>
          <w:lang w:bidi="fa-IR"/>
        </w:rPr>
        <w:t>« هُوَ و</w:t>
      </w:r>
      <w:r w:rsidR="00874F47">
        <w:rPr>
          <w:rFonts w:hint="cs"/>
          <w:rtl/>
          <w:lang w:bidi="fa-IR"/>
        </w:rPr>
        <w:t>َ</w:t>
      </w:r>
      <w:r w:rsidRPr="00132E65">
        <w:rPr>
          <w:rtl/>
          <w:lang w:bidi="fa-IR"/>
        </w:rPr>
        <w:t>اللهِ فِي صِلَةِ الْإِمَامِ خَاصَّةً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30274E">
        <w:rPr>
          <w:rtl/>
        </w:rPr>
        <w:t>1416</w:t>
      </w:r>
      <w:r w:rsidRPr="004325D8">
        <w:rPr>
          <w:rStyle w:val="libBold2Char"/>
          <w:rtl/>
        </w:rPr>
        <w:t xml:space="preserve"> / 3.</w:t>
      </w:r>
      <w:r w:rsidRPr="00132E65">
        <w:rPr>
          <w:rtl/>
          <w:lang w:bidi="fa-IR"/>
        </w:rPr>
        <w:t xml:space="preserve"> و</w:t>
      </w:r>
      <w:r w:rsidR="00874F47">
        <w:rPr>
          <w:rFonts w:hint="cs"/>
          <w:rtl/>
          <w:lang w:bidi="fa-IR"/>
        </w:rPr>
        <w:t>َ</w:t>
      </w:r>
      <w:r w:rsidRPr="00132E65">
        <w:rPr>
          <w:rtl/>
          <w:lang w:bidi="fa-IR"/>
        </w:rPr>
        <w:t xml:space="preserve">بِهذَا الْإِسْنَادِ ، عَنْ أَحْمَدَ بْنِ مُحَمَّدٍ ، عَنْ مُحَمَّدِ بْنِ سِنَانٍ ، عَنْ حَمَّادِ بْنِ أَبِي طَلْحَةَ ، عَنْ مُعَاذٍ صَاحِبِ الْأَكْسِيَةِ ، قَالَ </w:t>
      </w:r>
      <w:r>
        <w:rPr>
          <w:rStyle w:val="libFootnotenumChar"/>
          <w:rtl/>
        </w:rPr>
        <w:t>(9)</w:t>
      </w:r>
      <w:r w:rsidRPr="00132E65">
        <w:rPr>
          <w:rtl/>
          <w:lang w:bidi="fa-IR"/>
        </w:rPr>
        <w:t xml:space="preserve">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 اللهَ لَمْ يَسْأَلْ خَلْقَهُ مَا </w:t>
      </w:r>
      <w:r>
        <w:rPr>
          <w:rStyle w:val="libFootnotenumChar"/>
          <w:rtl/>
        </w:rPr>
        <w:t>(10)</w:t>
      </w:r>
      <w:r w:rsidRPr="00132E65">
        <w:rPr>
          <w:rtl/>
          <w:lang w:bidi="fa-IR"/>
        </w:rPr>
        <w:t xml:space="preserve"> فِي أَيْدِيهِمْ </w:t>
      </w:r>
      <w:r>
        <w:rPr>
          <w:rStyle w:val="libFootnotenumChar"/>
          <w:rtl/>
        </w:rPr>
        <w:t>(11)</w:t>
      </w:r>
      <w:r w:rsidRPr="00132E65">
        <w:rPr>
          <w:rtl/>
          <w:lang w:bidi="fa-IR"/>
        </w:rPr>
        <w:t xml:space="preserve"> قَرْضاً مِنْ حَاجَةٍ بِهِ إِلى ذلِكَ ، و</w:t>
      </w:r>
      <w:r w:rsidR="00874F47">
        <w:rPr>
          <w:rFonts w:hint="cs"/>
          <w:rtl/>
          <w:lang w:bidi="fa-IR"/>
        </w:rPr>
        <w:t>َ</w:t>
      </w:r>
      <w:r w:rsidRPr="00132E65">
        <w:rPr>
          <w:rtl/>
          <w:lang w:bidi="fa-IR"/>
        </w:rPr>
        <w:t>مَا كَانَ لِلّهِ مِنْ حَقٍّ فَإِنَّمَا هُوَ لِوَلِيِّهِ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Normal"/>
        <w:rPr>
          <w:rtl/>
          <w:lang w:bidi="fa-IR"/>
        </w:rPr>
      </w:pPr>
      <w:r w:rsidRPr="0030274E">
        <w:rPr>
          <w:rtl/>
        </w:rPr>
        <w:t>1417</w:t>
      </w:r>
      <w:r w:rsidRPr="004325D8">
        <w:rPr>
          <w:rStyle w:val="libBold2Char"/>
          <w:rtl/>
        </w:rPr>
        <w:t xml:space="preserve"> / 4.</w:t>
      </w:r>
      <w:r w:rsidRPr="00132E65">
        <w:rPr>
          <w:rtl/>
          <w:lang w:bidi="fa-IR"/>
        </w:rPr>
        <w:t xml:space="preserve"> أَحْمَدُ بْنُ مُحَمَّدٍ </w:t>
      </w:r>
      <w:r w:rsidRPr="00F543F1">
        <w:rPr>
          <w:rStyle w:val="libFootnotenumChar"/>
          <w:rtl/>
        </w:rPr>
        <w:t>(13)</w:t>
      </w:r>
      <w:r w:rsidRPr="00132E65">
        <w:rPr>
          <w:rtl/>
          <w:lang w:bidi="fa-IR"/>
        </w:rPr>
        <w:t xml:space="preserve"> ، عَنْ عَلِيِّ بْنِ الْحَكَمِ ، عَنْ أَبِي الْمَغْرَاءِ ، عَنْ إِسْحَاقَ بْنِ عَمَّارٍ :</w:t>
      </w:r>
    </w:p>
    <w:p w:rsidR="000C39D1" w:rsidRPr="00132E65" w:rsidRDefault="000C39D1" w:rsidP="000C39D1">
      <w:pPr>
        <w:pStyle w:val="libNormal"/>
        <w:rPr>
          <w:rtl/>
          <w:lang w:bidi="fa-IR"/>
        </w:rPr>
      </w:pPr>
      <w:r w:rsidRPr="00132E65">
        <w:rPr>
          <w:rtl/>
          <w:lang w:bidi="fa-IR"/>
        </w:rPr>
        <w:t xml:space="preserve">عَنْ أَبِي إِبْرَاهِيمَ </w:t>
      </w:r>
      <w:r w:rsidRPr="00071CF9">
        <w:rPr>
          <w:rStyle w:val="libAlaemChar"/>
          <w:rtl/>
        </w:rPr>
        <w:t>عليه‌السلام</w:t>
      </w:r>
      <w:r w:rsidRPr="00132E65">
        <w:rPr>
          <w:rtl/>
          <w:lang w:bidi="fa-IR"/>
        </w:rPr>
        <w:t xml:space="preserve"> ، قَالَ : سَأَلْتُهُ </w:t>
      </w:r>
      <w:r w:rsidRPr="00F543F1">
        <w:rPr>
          <w:rStyle w:val="libFootnotenumChar"/>
          <w:rtl/>
        </w:rPr>
        <w:t>(14)</w:t>
      </w:r>
      <w:r w:rsidRPr="00132E65">
        <w:rPr>
          <w:rtl/>
          <w:lang w:bidi="fa-IR"/>
        </w:rPr>
        <w:t xml:space="preserve"> عَنْ قَوْلِ اللهِ عَزَّ وجَلَّ : </w:t>
      </w:r>
      <w:r w:rsidRPr="00071CF9">
        <w:rPr>
          <w:rStyle w:val="libAlaemChar"/>
          <w:rtl/>
        </w:rPr>
        <w:t>(</w:t>
      </w:r>
      <w:r w:rsidRPr="00071CF9">
        <w:rPr>
          <w:rStyle w:val="libAieChar"/>
          <w:rtl/>
        </w:rPr>
        <w:t xml:space="preserve"> مَنْ ذَا الَّذِي يُقْرِضُ اللهَ</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D1ACE">
        <w:rPr>
          <w:rStyle w:val="libFootnoteBoldChar"/>
          <w:rtl/>
        </w:rPr>
        <w:t>مرآة العقول</w:t>
      </w:r>
      <w:r w:rsidRPr="00132E65">
        <w:rPr>
          <w:rtl/>
        </w:rPr>
        <w:t xml:space="preserve"> : « ما من شي‌ء ، « من » مزيدة لتأكيد العموم ، أي من جملة الإخراجات والعطايا والصدقات. « أحبّ » بالنصب ، أي أشدّ محبوبيّة »</w:t>
      </w:r>
      <w:r>
        <w:rPr>
          <w:rtl/>
        </w:rPr>
        <w:t>.</w:t>
      </w:r>
    </w:p>
    <w:p w:rsidR="000C39D1" w:rsidRPr="00132E65" w:rsidRDefault="000C39D1" w:rsidP="000C39D1">
      <w:pPr>
        <w:pStyle w:val="libFootnote0"/>
        <w:rPr>
          <w:rtl/>
          <w:lang w:bidi="fa-IR"/>
        </w:rPr>
      </w:pPr>
      <w:r>
        <w:rPr>
          <w:rtl/>
        </w:rPr>
        <w:t>(2).</w:t>
      </w:r>
      <w:r w:rsidRPr="00132E65">
        <w:rPr>
          <w:rtl/>
        </w:rPr>
        <w:t xml:space="preserve"> في « ف » : « الدرهم »</w:t>
      </w:r>
      <w:r>
        <w:rPr>
          <w:rtl/>
        </w:rPr>
        <w:t>.</w:t>
      </w:r>
    </w:p>
    <w:p w:rsidR="000C39D1" w:rsidRPr="00132E65" w:rsidRDefault="000C39D1" w:rsidP="000C39D1">
      <w:pPr>
        <w:pStyle w:val="libFootnote0"/>
        <w:rPr>
          <w:rtl/>
          <w:lang w:bidi="fa-IR"/>
        </w:rPr>
      </w:pPr>
      <w:r>
        <w:rPr>
          <w:rtl/>
        </w:rPr>
        <w:t>(3).</w:t>
      </w:r>
      <w:r w:rsidRPr="00132E65">
        <w:rPr>
          <w:rtl/>
        </w:rPr>
        <w:t xml:space="preserve"> في « ف » : « فإنّ »</w:t>
      </w:r>
      <w:r>
        <w:rPr>
          <w:rtl/>
        </w:rPr>
        <w:t>.</w:t>
      </w:r>
    </w:p>
    <w:p w:rsidR="000C39D1" w:rsidRPr="00132E65" w:rsidRDefault="000C39D1" w:rsidP="000C39D1">
      <w:pPr>
        <w:pStyle w:val="libFootnote0"/>
        <w:rPr>
          <w:rtl/>
          <w:lang w:bidi="fa-IR"/>
        </w:rPr>
      </w:pPr>
      <w:r>
        <w:rPr>
          <w:rtl/>
        </w:rPr>
        <w:t>(4).</w:t>
      </w:r>
      <w:r w:rsidRPr="00132E65">
        <w:rPr>
          <w:rtl/>
        </w:rPr>
        <w:t xml:space="preserve"> في « بر » : « لهم »</w:t>
      </w:r>
      <w:r>
        <w:rPr>
          <w:rtl/>
        </w:rPr>
        <w:t>.</w:t>
      </w:r>
    </w:p>
    <w:p w:rsidR="000C39D1" w:rsidRPr="00132E65" w:rsidRDefault="000C39D1" w:rsidP="000C39D1">
      <w:pPr>
        <w:pStyle w:val="libFootnote0"/>
        <w:rPr>
          <w:rtl/>
          <w:lang w:bidi="fa-IR"/>
        </w:rPr>
      </w:pPr>
      <w:r>
        <w:rPr>
          <w:rtl/>
        </w:rPr>
        <w:t>(5).</w:t>
      </w:r>
      <w:r w:rsidRPr="00132E65">
        <w:rPr>
          <w:rtl/>
        </w:rPr>
        <w:t xml:space="preserve"> في « ف » : « الدراهم »</w:t>
      </w:r>
      <w:r>
        <w:rPr>
          <w:rtl/>
        </w:rPr>
        <w:t>.</w:t>
      </w:r>
    </w:p>
    <w:p w:rsidR="000C39D1" w:rsidRPr="00132E65" w:rsidRDefault="000C39D1" w:rsidP="000C39D1">
      <w:pPr>
        <w:pStyle w:val="libFootnote0"/>
        <w:rPr>
          <w:rtl/>
          <w:lang w:bidi="fa-IR"/>
        </w:rPr>
      </w:pPr>
      <w:r>
        <w:rPr>
          <w:rtl/>
        </w:rPr>
        <w:t>(6).</w:t>
      </w:r>
      <w:r w:rsidRPr="00132E65">
        <w:rPr>
          <w:rtl/>
        </w:rPr>
        <w:t xml:space="preserve"> البقرة </w:t>
      </w:r>
      <w:r w:rsidR="00B70A02">
        <w:rPr>
          <w:rtl/>
        </w:rPr>
        <w:t>(2)</w:t>
      </w:r>
      <w:r w:rsidRPr="00132E65">
        <w:rPr>
          <w:rtl/>
        </w:rPr>
        <w:t xml:space="preserve"> : 245. وفي البحار : </w:t>
      </w:r>
      <w:r w:rsidRPr="00B70A02">
        <w:rPr>
          <w:rStyle w:val="libFootnoteAlaemChar"/>
          <w:rtl/>
        </w:rPr>
        <w:t>(</w:t>
      </w:r>
      <w:r>
        <w:rPr>
          <w:rFonts w:hint="cs"/>
          <w:rtl/>
        </w:rPr>
        <w:t xml:space="preserve"> </w:t>
      </w:r>
      <w:r w:rsidRPr="00C2691A">
        <w:rPr>
          <w:rStyle w:val="libFootnoteAieChar"/>
          <w:rtl/>
        </w:rPr>
        <w:t>وَلَهُ أَجْرٌ كَرِيمٌ</w:t>
      </w:r>
      <w:r>
        <w:rPr>
          <w:rFonts w:hint="cs"/>
          <w:rtl/>
        </w:rPr>
        <w:t xml:space="preserve"> </w:t>
      </w:r>
      <w:r w:rsidRPr="00B70A02">
        <w:rPr>
          <w:rStyle w:val="libFootnoteAlaemChar"/>
          <w:rtl/>
        </w:rPr>
        <w:t>)</w:t>
      </w:r>
      <w:r w:rsidRPr="00132E65">
        <w:rPr>
          <w:rtl/>
        </w:rPr>
        <w:t xml:space="preserve"> بدل</w:t>
      </w:r>
      <w:r>
        <w:rPr>
          <w:rFonts w:hint="cs"/>
          <w:rtl/>
        </w:rPr>
        <w:t xml:space="preserve"> </w:t>
      </w:r>
      <w:r w:rsidRPr="00B70A02">
        <w:rPr>
          <w:rStyle w:val="libFootnoteAlaemChar"/>
          <w:rtl/>
        </w:rPr>
        <w:t>(</w:t>
      </w:r>
      <w:r>
        <w:rPr>
          <w:rFonts w:hint="cs"/>
          <w:rtl/>
        </w:rPr>
        <w:t xml:space="preserve"> </w:t>
      </w:r>
      <w:r w:rsidRPr="00C2691A">
        <w:rPr>
          <w:rStyle w:val="libFootnoteAieChar"/>
          <w:rtl/>
        </w:rPr>
        <w:t>أَضْع</w:t>
      </w:r>
      <w:r w:rsidR="00B70A02">
        <w:rPr>
          <w:rStyle w:val="libFootnoteAieChar"/>
          <w:rFonts w:hint="cs"/>
          <w:rtl/>
        </w:rPr>
        <w:t>َ</w:t>
      </w:r>
      <w:r w:rsidRPr="00C2691A">
        <w:rPr>
          <w:rStyle w:val="libFootnoteAieChar"/>
          <w:rtl/>
        </w:rPr>
        <w:t>افاً كَثِيرَةً</w:t>
      </w:r>
      <w:r>
        <w:rPr>
          <w:rFonts w:hint="cs"/>
          <w:rtl/>
        </w:rPr>
        <w:t xml:space="preserve"> </w:t>
      </w:r>
      <w:r w:rsidRPr="00B70A02">
        <w:rPr>
          <w:rStyle w:val="libFootnoteAlaemChar"/>
          <w:rtl/>
        </w:rPr>
        <w:t>)</w:t>
      </w:r>
      <w:r w:rsidRPr="00132E65">
        <w:rPr>
          <w:rtl/>
        </w:rPr>
        <w:t>. وهي الآية 11 من سورة الحديد (57)</w:t>
      </w:r>
      <w:r>
        <w:rPr>
          <w:rtl/>
        </w:rPr>
        <w:t>.</w:t>
      </w:r>
    </w:p>
    <w:p w:rsidR="000C39D1" w:rsidRPr="00132E65" w:rsidRDefault="000C39D1" w:rsidP="000C39D1">
      <w:pPr>
        <w:pStyle w:val="libFootnote0"/>
        <w:rPr>
          <w:rtl/>
          <w:lang w:bidi="fa-IR"/>
        </w:rPr>
      </w:pPr>
      <w:r>
        <w:rPr>
          <w:rtl/>
        </w:rPr>
        <w:t>(7).</w:t>
      </w:r>
      <w:r w:rsidRPr="00132E65">
        <w:rPr>
          <w:rtl/>
        </w:rPr>
        <w:t xml:space="preserve"> في البحار : « ثمّ قال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10 ، ص 361 ، ح 9698 ؛ </w:t>
      </w:r>
      <w:r w:rsidRPr="00B70A02">
        <w:rPr>
          <w:rStyle w:val="libFootnoteBoldChar"/>
          <w:rtl/>
        </w:rPr>
        <w:t>البحار</w:t>
      </w:r>
      <w:r w:rsidRPr="00132E65">
        <w:rPr>
          <w:rtl/>
        </w:rPr>
        <w:t xml:space="preserve"> ، ج 24 ، ص 279 ، ح 7.</w:t>
      </w:r>
    </w:p>
    <w:p w:rsidR="000C39D1" w:rsidRPr="00132E65" w:rsidRDefault="000C39D1" w:rsidP="000C39D1">
      <w:pPr>
        <w:pStyle w:val="libFootnote0"/>
        <w:rPr>
          <w:rtl/>
          <w:lang w:bidi="fa-IR"/>
        </w:rPr>
      </w:pPr>
      <w:r>
        <w:rPr>
          <w:rtl/>
        </w:rPr>
        <w:t>(9).</w:t>
      </w:r>
      <w:r w:rsidRPr="00132E65">
        <w:rPr>
          <w:rtl/>
        </w:rPr>
        <w:t xml:space="preserve"> في « بح » :</w:t>
      </w:r>
      <w:r>
        <w:rPr>
          <w:rtl/>
        </w:rPr>
        <w:t xml:space="preserve"> + </w:t>
      </w:r>
      <w:r w:rsidRPr="00132E65">
        <w:rPr>
          <w:rtl/>
        </w:rPr>
        <w:t>« قال »</w:t>
      </w:r>
      <w:r>
        <w:rPr>
          <w:rtl/>
        </w:rPr>
        <w:t>.</w:t>
      </w:r>
    </w:p>
    <w:tbl>
      <w:tblPr>
        <w:tblStyle w:val="TableGrid"/>
        <w:bidiVisual/>
        <w:tblW w:w="0" w:type="auto"/>
        <w:tblLook w:val="04A0" w:firstRow="1" w:lastRow="0" w:firstColumn="1" w:lastColumn="0" w:noHBand="0" w:noVBand="1"/>
      </w:tblPr>
      <w:tblGrid>
        <w:gridCol w:w="4261"/>
        <w:gridCol w:w="4262"/>
      </w:tblGrid>
      <w:tr w:rsidR="00B70A02" w:rsidTr="00B70A02">
        <w:tc>
          <w:tcPr>
            <w:tcW w:w="4261" w:type="dxa"/>
          </w:tcPr>
          <w:p w:rsidR="00B70A02" w:rsidRDefault="00B70A02" w:rsidP="000C39D1">
            <w:pPr>
              <w:pStyle w:val="libFootnote0"/>
              <w:rPr>
                <w:rtl/>
              </w:rPr>
            </w:pPr>
            <w:r>
              <w:rPr>
                <w:rtl/>
              </w:rPr>
              <w:t>(10).</w:t>
            </w:r>
            <w:r w:rsidRPr="00132E65">
              <w:rPr>
                <w:rtl/>
              </w:rPr>
              <w:t xml:space="preserve"> في </w:t>
            </w:r>
            <w:r w:rsidRPr="00B70A02">
              <w:rPr>
                <w:rtl/>
              </w:rPr>
              <w:t>الوافي</w:t>
            </w:r>
            <w:r w:rsidRPr="00132E65">
              <w:rPr>
                <w:rtl/>
              </w:rPr>
              <w:t xml:space="preserve"> : « ممّا »</w:t>
            </w:r>
            <w:r>
              <w:rPr>
                <w:rtl/>
              </w:rPr>
              <w:t>.</w:t>
            </w:r>
          </w:p>
        </w:tc>
        <w:tc>
          <w:tcPr>
            <w:tcW w:w="4262" w:type="dxa"/>
          </w:tcPr>
          <w:p w:rsidR="00B70A02" w:rsidRDefault="00B70A02" w:rsidP="000C39D1">
            <w:pPr>
              <w:pStyle w:val="libFootnote0"/>
              <w:rPr>
                <w:rtl/>
              </w:rPr>
            </w:pPr>
            <w:r>
              <w:rPr>
                <w:rtl/>
              </w:rPr>
              <w:t>(11).</w:t>
            </w:r>
            <w:r w:rsidRPr="00132E65">
              <w:rPr>
                <w:rtl/>
              </w:rPr>
              <w:t xml:space="preserve"> في « بر » : « يديهم »</w:t>
            </w:r>
            <w:r>
              <w:rPr>
                <w:rtl/>
              </w:rPr>
              <w:t>.</w:t>
            </w:r>
          </w:p>
        </w:tc>
      </w:tr>
    </w:tbl>
    <w:p w:rsidR="000C39D1" w:rsidRPr="00132E65" w:rsidRDefault="000C39D1" w:rsidP="000C39D1">
      <w:pPr>
        <w:pStyle w:val="libFootnote0"/>
        <w:rPr>
          <w:rtl/>
          <w:lang w:bidi="fa-IR"/>
        </w:rPr>
      </w:pPr>
      <w:r>
        <w:rPr>
          <w:rtl/>
        </w:rPr>
        <w:t>(12).</w:t>
      </w:r>
      <w:r w:rsidRPr="00132E65">
        <w:rPr>
          <w:rtl/>
        </w:rPr>
        <w:t xml:space="preserve"> </w:t>
      </w:r>
      <w:r w:rsidRPr="009D1ACE">
        <w:rPr>
          <w:rStyle w:val="libFootnoteBoldChar"/>
          <w:rtl/>
        </w:rPr>
        <w:t>الوافي</w:t>
      </w:r>
      <w:r w:rsidRPr="00132E65">
        <w:rPr>
          <w:rtl/>
        </w:rPr>
        <w:t xml:space="preserve"> ، ج 10 ، ص 279 ، ح 9582.</w:t>
      </w:r>
    </w:p>
    <w:p w:rsidR="000C39D1" w:rsidRPr="00132E65" w:rsidRDefault="000C39D1" w:rsidP="000C39D1">
      <w:pPr>
        <w:pStyle w:val="libFootnote0"/>
        <w:rPr>
          <w:rtl/>
          <w:lang w:bidi="fa-IR"/>
        </w:rPr>
      </w:pPr>
      <w:r>
        <w:rPr>
          <w:rtl/>
        </w:rPr>
        <w:t>(13)</w:t>
      </w:r>
      <w:r w:rsidRPr="00132E65">
        <w:rPr>
          <w:rtl/>
        </w:rPr>
        <w:t xml:space="preserve"> السند معلّق ، ويروي عن أحمد بن محمّد ، عدّة من أصحابنا.</w:t>
      </w:r>
    </w:p>
    <w:p w:rsidR="000C39D1" w:rsidRPr="00132E65" w:rsidRDefault="000C39D1" w:rsidP="000C39D1">
      <w:pPr>
        <w:pStyle w:val="libFootnote0"/>
        <w:rPr>
          <w:rtl/>
          <w:lang w:bidi="fa-IR"/>
        </w:rPr>
      </w:pPr>
      <w:r>
        <w:rPr>
          <w:rtl/>
        </w:rPr>
        <w:t>(14)</w:t>
      </w:r>
      <w:r w:rsidRPr="00132E65">
        <w:rPr>
          <w:rtl/>
        </w:rPr>
        <w:t xml:space="preserve"> في « بر » : « سألت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B70A02">
      <w:pPr>
        <w:pStyle w:val="libNormal0"/>
        <w:rPr>
          <w:rtl/>
          <w:lang w:bidi="fa-IR"/>
        </w:rPr>
      </w:pPr>
      <w:r w:rsidRPr="00071CF9">
        <w:rPr>
          <w:rStyle w:val="libAieChar"/>
          <w:rtl/>
        </w:rPr>
        <w:t xml:space="preserve">قَرْضاً حَسَناً فَيُضاعِفَهُ لَهُ وَلَهُ أَجْرٌ كَرِيمٌ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قَالَ : « نَزَلَتْ </w:t>
      </w:r>
      <w:r>
        <w:rPr>
          <w:rStyle w:val="libFootnotenumChar"/>
          <w:rtl/>
        </w:rPr>
        <w:t>(2)</w:t>
      </w:r>
      <w:r w:rsidRPr="00132E65">
        <w:rPr>
          <w:rtl/>
          <w:lang w:bidi="fa-IR"/>
        </w:rPr>
        <w:t xml:space="preserve"> فِي صِلَةِ الْإِمَامِ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30274E">
        <w:rPr>
          <w:rtl/>
        </w:rPr>
        <w:t>1418</w:t>
      </w:r>
      <w:r w:rsidRPr="004325D8">
        <w:rPr>
          <w:rStyle w:val="libBold2Char"/>
          <w:rtl/>
        </w:rPr>
        <w:t xml:space="preserve"> / 5.</w:t>
      </w:r>
      <w:r w:rsidRPr="00132E65">
        <w:rPr>
          <w:rtl/>
          <w:lang w:bidi="fa-IR"/>
        </w:rPr>
        <w:t xml:space="preserve"> عَلِيُّ بْنُ إِبْرَاهِيمَ ، عَنْ مُحَمَّدِ بْنِ عِيسى ، عَنِ الْحَسَنِ بْنِ مَيَّاحٍ ، عَنْ أَبِيهِ ، قَالَ :</w:t>
      </w:r>
    </w:p>
    <w:p w:rsidR="000C39D1" w:rsidRPr="00132E65" w:rsidRDefault="000C39D1" w:rsidP="000C39D1">
      <w:pPr>
        <w:pStyle w:val="libNormal"/>
        <w:rPr>
          <w:rtl/>
          <w:lang w:bidi="fa-IR"/>
        </w:rPr>
      </w:pPr>
      <w:r w:rsidRPr="00132E65">
        <w:rPr>
          <w:rtl/>
          <w:lang w:bidi="fa-IR"/>
        </w:rPr>
        <w:t xml:space="preserve">قَالَ لِي أَبُو عَبْدِ اللهِ </w:t>
      </w:r>
      <w:r w:rsidRPr="00071CF9">
        <w:rPr>
          <w:rStyle w:val="libAlaemChar"/>
          <w:rtl/>
        </w:rPr>
        <w:t>عليه‌السلام</w:t>
      </w:r>
      <w:r w:rsidRPr="00132E65">
        <w:rPr>
          <w:rtl/>
          <w:lang w:bidi="fa-IR"/>
        </w:rPr>
        <w:t xml:space="preserve"> : « يَا مَيَّاحُ ، دِرْهَمٌ يُوصَلُ بِهِ </w:t>
      </w:r>
      <w:r>
        <w:rPr>
          <w:rStyle w:val="libFootnotenumChar"/>
          <w:rtl/>
        </w:rPr>
        <w:t>(5)</w:t>
      </w:r>
      <w:r w:rsidRPr="00132E65">
        <w:rPr>
          <w:rtl/>
          <w:lang w:bidi="fa-IR"/>
        </w:rPr>
        <w:t xml:space="preserve"> الْإِمَامُ أَعْظَمُ وزْناً مِنْ </w:t>
      </w:r>
      <w:r>
        <w:rPr>
          <w:rStyle w:val="libFootnotenumChar"/>
          <w:rtl/>
        </w:rPr>
        <w:t>(6)</w:t>
      </w:r>
      <w:r w:rsidRPr="00132E65">
        <w:rPr>
          <w:rtl/>
          <w:lang w:bidi="fa-IR"/>
        </w:rPr>
        <w:t xml:space="preserve"> أُحُدٍ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30274E">
        <w:rPr>
          <w:rtl/>
        </w:rPr>
        <w:t>1419</w:t>
      </w:r>
      <w:r w:rsidRPr="004325D8">
        <w:rPr>
          <w:rStyle w:val="libBold2Char"/>
          <w:rtl/>
        </w:rPr>
        <w:t xml:space="preserve"> / 6.</w:t>
      </w:r>
      <w:r w:rsidRPr="00132E65">
        <w:rPr>
          <w:rtl/>
          <w:lang w:bidi="fa-IR"/>
        </w:rPr>
        <w:t xml:space="preserve"> عَلِيُّ بْنُ إِبْرَاهِيمَ ، عَنْ مُحَمَّدِ بْنِ عِيسى ، عَنْ يُونُسَ ، عَنْ بَعْضِ رِجَالِهِ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دِرْهَمٌ يُوصَلُ بِهِ </w:t>
      </w:r>
      <w:r>
        <w:rPr>
          <w:rStyle w:val="libFootnotenumChar"/>
          <w:rtl/>
        </w:rPr>
        <w:t>(8)</w:t>
      </w:r>
      <w:r w:rsidRPr="00132E65">
        <w:rPr>
          <w:rtl/>
          <w:lang w:bidi="fa-IR"/>
        </w:rPr>
        <w:t xml:space="preserve"> الْإِمَامُ أَفْضَلُ مِنْ أَلْفَيْ أَلْفِ </w:t>
      </w:r>
      <w:r>
        <w:rPr>
          <w:rStyle w:val="libFootnotenumChar"/>
          <w:rtl/>
        </w:rPr>
        <w:t>(9)</w:t>
      </w:r>
      <w:r w:rsidRPr="00132E65">
        <w:rPr>
          <w:rtl/>
          <w:lang w:bidi="fa-IR"/>
        </w:rPr>
        <w:t xml:space="preserve"> دِرْهَمٍ فِيمَا سِوَاهُ مِنْ وجُوهِ الْبِرِّ </w:t>
      </w:r>
      <w:r>
        <w:rPr>
          <w:rStyle w:val="libFootnotenumChar"/>
          <w:rtl/>
        </w:rPr>
        <w:t>(10)</w:t>
      </w:r>
      <w:r w:rsidRPr="00132E65">
        <w:rPr>
          <w:rtl/>
          <w:lang w:bidi="fa-IR"/>
        </w:rPr>
        <w:t xml:space="preserve">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Normal"/>
        <w:rPr>
          <w:rtl/>
          <w:lang w:bidi="fa-IR"/>
        </w:rPr>
      </w:pPr>
      <w:r w:rsidRPr="0030274E">
        <w:rPr>
          <w:rtl/>
        </w:rPr>
        <w:t>1420</w:t>
      </w:r>
      <w:r w:rsidRPr="004325D8">
        <w:rPr>
          <w:rStyle w:val="libBold2Char"/>
          <w:rtl/>
        </w:rPr>
        <w:t xml:space="preserve"> / 7.</w:t>
      </w:r>
      <w:r w:rsidRPr="00132E65">
        <w:rPr>
          <w:rtl/>
          <w:lang w:bidi="fa-IR"/>
        </w:rPr>
        <w:t xml:space="preserve"> مُحَمَّدُ بْنُ يَحْيى ، عَنْ أَحْمَدَ بْنِ مُحَمَّدٍ ، عَنِ ابْنِ فَضَّالٍ ، عَنِ ابْنِ بُكَيْرٍ ، قَالَ :</w:t>
      </w:r>
    </w:p>
    <w:p w:rsidR="000C39D1" w:rsidRPr="00132E65" w:rsidRDefault="000C39D1" w:rsidP="000C39D1">
      <w:pPr>
        <w:pStyle w:val="libNormal"/>
        <w:rPr>
          <w:rtl/>
          <w:lang w:bidi="fa-IR"/>
        </w:rPr>
      </w:pPr>
      <w:r w:rsidRPr="00132E65">
        <w:rPr>
          <w:rtl/>
          <w:lang w:bidi="fa-IR"/>
        </w:rPr>
        <w:t xml:space="preserve">سَمِعْتُ أَبَا عَبْدِ اللهِ </w:t>
      </w:r>
      <w:r w:rsidRPr="00071CF9">
        <w:rPr>
          <w:rStyle w:val="libAlaemChar"/>
          <w:rtl/>
        </w:rPr>
        <w:t>عليه‌السلام</w:t>
      </w:r>
      <w:r w:rsidRPr="00132E65">
        <w:rPr>
          <w:rtl/>
          <w:lang w:bidi="fa-IR"/>
        </w:rPr>
        <w:t xml:space="preserve"> يَقُولُ : « إِنِّي لَآخُذُ مِنْ أَحَدِكُمُ الدِّرْهَمَ</w:t>
      </w:r>
      <w:r>
        <w:rPr>
          <w:rtl/>
          <w:lang w:bidi="fa-IR"/>
        </w:rPr>
        <w:t xml:space="preserve"> - </w:t>
      </w:r>
      <w:r w:rsidRPr="00132E65">
        <w:rPr>
          <w:rtl/>
          <w:lang w:bidi="fa-IR"/>
        </w:rPr>
        <w:t>و</w:t>
      </w:r>
      <w:r w:rsidR="00B70A02">
        <w:rPr>
          <w:rFonts w:hint="cs"/>
          <w:rtl/>
          <w:lang w:bidi="fa-IR"/>
        </w:rPr>
        <w:t>َ</w:t>
      </w:r>
      <w:r w:rsidRPr="00132E65">
        <w:rPr>
          <w:rtl/>
          <w:lang w:bidi="fa-IR"/>
        </w:rPr>
        <w:t>إِنِّي لَمِنْ أَكْثَرِ أَهْلِ الْمَدِينَةِ مَالاً</w:t>
      </w:r>
      <w:r>
        <w:rPr>
          <w:rtl/>
          <w:lang w:bidi="fa-IR"/>
        </w:rPr>
        <w:t xml:space="preserve"> - </w:t>
      </w:r>
      <w:r w:rsidR="00B70A02">
        <w:rPr>
          <w:rtl/>
          <w:lang w:bidi="fa-IR"/>
        </w:rPr>
        <w:t>مَا أُرِيدُ بِذلِكَ إِل</w:t>
      </w:r>
      <w:r w:rsidR="00B70A02">
        <w:rPr>
          <w:rFonts w:hint="cs"/>
          <w:rtl/>
          <w:lang w:bidi="fa-IR"/>
        </w:rPr>
        <w:t>َّ</w:t>
      </w:r>
      <w:r w:rsidR="00B70A02">
        <w:rPr>
          <w:rtl/>
          <w:lang w:bidi="fa-IR"/>
        </w:rPr>
        <w:t>ا</w:t>
      </w:r>
      <w:r w:rsidRPr="00132E65">
        <w:rPr>
          <w:rtl/>
          <w:lang w:bidi="fa-IR"/>
        </w:rPr>
        <w:t xml:space="preserve"> أَنْ تُطَهَّرُوا »</w:t>
      </w:r>
      <w:r>
        <w:rPr>
          <w:rtl/>
          <w:lang w:bidi="fa-IR"/>
        </w:rPr>
        <w:t>.</w:t>
      </w:r>
      <w:r w:rsidRPr="00132E65">
        <w:rPr>
          <w:rtl/>
          <w:lang w:bidi="fa-IR"/>
        </w:rPr>
        <w:t xml:space="preserve"> </w:t>
      </w:r>
      <w:r>
        <w:rPr>
          <w:rStyle w:val="libFootnotenumChar"/>
          <w:rtl/>
        </w:rPr>
        <w:t>(12)</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B70A02">
      <w:pPr>
        <w:pStyle w:val="libFootnote0"/>
        <w:rPr>
          <w:rtl/>
          <w:lang w:bidi="fa-IR"/>
        </w:rPr>
      </w:pPr>
      <w:r>
        <w:rPr>
          <w:rtl/>
        </w:rPr>
        <w:t>(1).</w:t>
      </w:r>
      <w:r w:rsidRPr="00132E65">
        <w:rPr>
          <w:rtl/>
        </w:rPr>
        <w:t xml:space="preserve"> الحديد (57) : 11. وفي ثواب الأعمال : </w:t>
      </w:r>
      <w:r w:rsidRPr="00071CF9">
        <w:rPr>
          <w:rStyle w:val="libAlaemChar"/>
          <w:rtl/>
        </w:rPr>
        <w:t>(</w:t>
      </w:r>
      <w:r>
        <w:rPr>
          <w:rFonts w:hint="cs"/>
          <w:rtl/>
        </w:rPr>
        <w:t xml:space="preserve"> </w:t>
      </w:r>
      <w:r w:rsidRPr="00C2691A">
        <w:rPr>
          <w:rStyle w:val="libFootnoteAieChar"/>
          <w:rtl/>
        </w:rPr>
        <w:t>أَضْعافاً كَثِيرَةً</w:t>
      </w:r>
      <w:r>
        <w:rPr>
          <w:rFonts w:hint="cs"/>
          <w:rtl/>
        </w:rPr>
        <w:t xml:space="preserve"> </w:t>
      </w:r>
      <w:r w:rsidRPr="00071CF9">
        <w:rPr>
          <w:rStyle w:val="libAlaemChar"/>
          <w:rtl/>
        </w:rPr>
        <w:t>)</w:t>
      </w:r>
      <w:r w:rsidRPr="00132E65">
        <w:rPr>
          <w:rtl/>
        </w:rPr>
        <w:t xml:space="preserve"> بدل</w:t>
      </w:r>
      <w:r>
        <w:rPr>
          <w:rFonts w:hint="cs"/>
          <w:rtl/>
        </w:rPr>
        <w:t xml:space="preserve"> </w:t>
      </w:r>
      <w:r w:rsidRPr="00071CF9">
        <w:rPr>
          <w:rStyle w:val="libAlaemChar"/>
          <w:rtl/>
        </w:rPr>
        <w:t>(</w:t>
      </w:r>
      <w:r>
        <w:rPr>
          <w:rFonts w:hint="cs"/>
          <w:rtl/>
        </w:rPr>
        <w:t xml:space="preserve"> </w:t>
      </w:r>
      <w:r w:rsidRPr="00C2691A">
        <w:rPr>
          <w:rStyle w:val="libFootnoteAieChar"/>
          <w:rtl/>
        </w:rPr>
        <w:t>وَلَهُ أَجْرٌ كَرِيمٌ</w:t>
      </w:r>
      <w:r>
        <w:rPr>
          <w:rFonts w:hint="cs"/>
          <w:rtl/>
        </w:rPr>
        <w:t xml:space="preserve"> </w:t>
      </w:r>
      <w:r w:rsidRPr="00071CF9">
        <w:rPr>
          <w:rStyle w:val="libAlaemChar"/>
          <w:rtl/>
        </w:rPr>
        <w:t>)</w:t>
      </w:r>
      <w:r w:rsidRPr="00132E65">
        <w:rPr>
          <w:rtl/>
        </w:rPr>
        <w:t xml:space="preserve">. وهي الآية 245 من سورة البقرة </w:t>
      </w:r>
      <w:r>
        <w:rPr>
          <w:rtl/>
        </w:rPr>
        <w:t>(2).</w:t>
      </w:r>
      <w:r w:rsidR="00B70A02">
        <w:rPr>
          <w:rFonts w:hint="cs"/>
          <w:rtl/>
        </w:rPr>
        <w:t xml:space="preserve">                                       </w:t>
      </w:r>
      <w:r w:rsidR="00C50204">
        <w:rPr>
          <w:rFonts w:hint="cs"/>
          <w:rtl/>
        </w:rPr>
        <w:t xml:space="preserve">     </w:t>
      </w:r>
      <w:r w:rsidR="00B70A02">
        <w:rPr>
          <w:rFonts w:hint="cs"/>
          <w:rtl/>
        </w:rPr>
        <w:t xml:space="preserve">      </w:t>
      </w:r>
      <w:r>
        <w:rPr>
          <w:rtl/>
        </w:rPr>
        <w:t>(2).</w:t>
      </w:r>
      <w:r w:rsidRPr="00132E65">
        <w:rPr>
          <w:rtl/>
        </w:rPr>
        <w:t xml:space="preserve"> في تفسير القمّي </w:t>
      </w:r>
      <w:r>
        <w:rPr>
          <w:rtl/>
        </w:rPr>
        <w:t xml:space="preserve">: - </w:t>
      </w:r>
      <w:r w:rsidRPr="00132E65">
        <w:rPr>
          <w:rtl/>
        </w:rPr>
        <w:t>« نزلت »</w:t>
      </w:r>
      <w:r>
        <w:rPr>
          <w:rtl/>
        </w:rPr>
        <w:t>.</w:t>
      </w:r>
    </w:p>
    <w:p w:rsidR="000C39D1" w:rsidRPr="00132E65" w:rsidRDefault="000C39D1" w:rsidP="000C39D1">
      <w:pPr>
        <w:pStyle w:val="libFootnote0"/>
        <w:rPr>
          <w:rtl/>
          <w:lang w:bidi="fa-IR"/>
        </w:rPr>
      </w:pPr>
      <w:r>
        <w:rPr>
          <w:rtl/>
        </w:rPr>
        <w:t>(3).</w:t>
      </w:r>
      <w:r w:rsidRPr="00132E65">
        <w:rPr>
          <w:rtl/>
        </w:rPr>
        <w:t xml:space="preserve"> في تفسير القمّي : « الأرحام » وفي القوسين : « الإمام »</w:t>
      </w:r>
      <w:r>
        <w:rPr>
          <w:rtl/>
        </w:rPr>
        <w:t>.</w:t>
      </w:r>
    </w:p>
    <w:p w:rsidR="000C39D1" w:rsidRPr="00132E65" w:rsidRDefault="000C39D1" w:rsidP="000C39D1">
      <w:pPr>
        <w:pStyle w:val="libFootnote0"/>
        <w:rPr>
          <w:rtl/>
          <w:lang w:bidi="fa-IR"/>
        </w:rPr>
      </w:pPr>
      <w:r>
        <w:rPr>
          <w:rtl/>
        </w:rPr>
        <w:t>(4).</w:t>
      </w:r>
      <w:r w:rsidRPr="00132E65">
        <w:rPr>
          <w:rtl/>
        </w:rPr>
        <w:t xml:space="preserve"> </w:t>
      </w:r>
      <w:r w:rsidRPr="00B70A02">
        <w:rPr>
          <w:rStyle w:val="libFootnoteBoldChar"/>
          <w:rtl/>
        </w:rPr>
        <w:t>تفسير القمّي</w:t>
      </w:r>
      <w:r w:rsidRPr="00132E65">
        <w:rPr>
          <w:rtl/>
        </w:rPr>
        <w:t xml:space="preserve"> ، ج 2 ، ص 351 ، بسنده عن أحمد بن محمّد ؛ </w:t>
      </w:r>
      <w:r w:rsidRPr="00B70A02">
        <w:rPr>
          <w:rStyle w:val="libFootnoteBoldChar"/>
          <w:rtl/>
        </w:rPr>
        <w:t>ثواب الأعمال</w:t>
      </w:r>
      <w:r w:rsidRPr="00132E65">
        <w:rPr>
          <w:rtl/>
        </w:rPr>
        <w:t xml:space="preserve"> ، ص 124 ، ح 1 ، بسنده عن أحمد بن محمّد بن أبي نصر ، عن حمّاد بن عثمان ، عن إسحاق بن عمّار ، عن الصادق </w:t>
      </w:r>
      <w:r w:rsidRPr="0044459B">
        <w:rPr>
          <w:rStyle w:val="libFootnoteAlaemChar"/>
          <w:rtl/>
        </w:rPr>
        <w:t>عليه‌السلام</w:t>
      </w:r>
      <w:r w:rsidRPr="00132E65">
        <w:rPr>
          <w:rtl/>
        </w:rPr>
        <w:t xml:space="preserve">. </w:t>
      </w:r>
      <w:r w:rsidRPr="0030274E">
        <w:rPr>
          <w:rtl/>
        </w:rPr>
        <w:t>وفيه</w:t>
      </w:r>
      <w:r w:rsidRPr="00132E65">
        <w:rPr>
          <w:rtl/>
        </w:rPr>
        <w:t xml:space="preserve"> ، ص 125 ، ح 2 ، بسند آخر عن إسحاق بن عمّار ، عن أبي عبد الله </w:t>
      </w:r>
      <w:r w:rsidRPr="0044459B">
        <w:rPr>
          <w:rStyle w:val="libFootnoteAlaemChar"/>
          <w:rtl/>
        </w:rPr>
        <w:t>عليه‌السلام</w:t>
      </w:r>
      <w:r w:rsidRPr="00132E65">
        <w:rPr>
          <w:rtl/>
        </w:rPr>
        <w:t xml:space="preserve"> وفيهما مع اختلاف يسير. </w:t>
      </w:r>
      <w:r w:rsidRPr="000577A7">
        <w:rPr>
          <w:rStyle w:val="libFootnoteBoldChar"/>
          <w:rtl/>
        </w:rPr>
        <w:t>الكافي</w:t>
      </w:r>
      <w:r w:rsidRPr="00132E65">
        <w:rPr>
          <w:rtl/>
        </w:rPr>
        <w:t xml:space="preserve"> ، كتاب الروضة ، ح 15276 ، بسند آخر عن رجل ، عن أبي الحسن الماضي </w:t>
      </w:r>
      <w:r w:rsidRPr="0044459B">
        <w:rPr>
          <w:rStyle w:val="libFootnoteAlaemChar"/>
          <w:rtl/>
        </w:rPr>
        <w:t>عليه‌السلام</w:t>
      </w:r>
      <w:r w:rsidRPr="00132E65">
        <w:rPr>
          <w:rtl/>
        </w:rPr>
        <w:t xml:space="preserve">. </w:t>
      </w:r>
      <w:r w:rsidRPr="0044459B">
        <w:rPr>
          <w:rStyle w:val="libFootnoteBoldChar"/>
          <w:rtl/>
        </w:rPr>
        <w:t>تفسير العيّاشي</w:t>
      </w:r>
      <w:r w:rsidRPr="00132E65">
        <w:rPr>
          <w:rtl/>
        </w:rPr>
        <w:t xml:space="preserve"> ، ج 1 ، ص 131 ، ح 435 ، عن إسحاق بن عمّار ، عن أبي الحسن </w:t>
      </w:r>
      <w:r w:rsidRPr="0044459B">
        <w:rPr>
          <w:rStyle w:val="libFootnoteAlaemChar"/>
          <w:rtl/>
        </w:rPr>
        <w:t>عليه‌السلام</w:t>
      </w:r>
      <w:r w:rsidRPr="00132E65">
        <w:rPr>
          <w:rtl/>
        </w:rPr>
        <w:t xml:space="preserve"> ، مع اختلاف يسير ؛ </w:t>
      </w:r>
      <w:r w:rsidRPr="0044459B">
        <w:rPr>
          <w:rStyle w:val="libFootnoteBoldChar"/>
          <w:rtl/>
        </w:rPr>
        <w:t>الفقيه</w:t>
      </w:r>
      <w:r w:rsidRPr="00132E65">
        <w:rPr>
          <w:rtl/>
        </w:rPr>
        <w:t xml:space="preserve"> ، ج 2 ، ص 72 ، ح 1763 ، مرسلاً عن الصادق </w:t>
      </w:r>
      <w:r w:rsidRPr="0044459B">
        <w:rPr>
          <w:rStyle w:val="libFootnoteAlaemChar"/>
          <w:rtl/>
        </w:rPr>
        <w:t>عليه‌السلام</w:t>
      </w:r>
      <w:r w:rsidRPr="00132E65">
        <w:rPr>
          <w:rtl/>
        </w:rPr>
        <w:t xml:space="preserve"> </w:t>
      </w:r>
      <w:r w:rsidR="0044459B">
        <w:rPr>
          <w:rFonts w:hint="cs"/>
          <w:rtl/>
        </w:rPr>
        <w:t>.</w:t>
      </w:r>
      <w:r w:rsidRPr="009D1ACE">
        <w:rPr>
          <w:rStyle w:val="libFootnoteBoldChar"/>
          <w:rtl/>
        </w:rPr>
        <w:t>الوافي</w:t>
      </w:r>
      <w:r w:rsidRPr="00132E65">
        <w:rPr>
          <w:rtl/>
        </w:rPr>
        <w:t xml:space="preserve"> ، ج 10 ، ص 362 ، ح 9701 ؛ </w:t>
      </w:r>
      <w:r w:rsidRPr="0044459B">
        <w:rPr>
          <w:rStyle w:val="libFootnoteBoldChar"/>
          <w:rtl/>
        </w:rPr>
        <w:t>البحار</w:t>
      </w:r>
      <w:r w:rsidRPr="00132E65">
        <w:rPr>
          <w:rtl/>
        </w:rPr>
        <w:t xml:space="preserve"> ، ج 24 ، ص 278 ، ح 2 ، عن </w:t>
      </w:r>
      <w:r w:rsidRPr="000577A7">
        <w:rPr>
          <w:rStyle w:val="libFootnoteBoldChar"/>
          <w:rtl/>
        </w:rPr>
        <w:t>الكافي</w:t>
      </w:r>
      <w:r w:rsidRPr="00132E65">
        <w:rPr>
          <w:rtl/>
        </w:rPr>
        <w:t xml:space="preserve"> ، ج 8.</w:t>
      </w:r>
    </w:p>
    <w:tbl>
      <w:tblPr>
        <w:tblStyle w:val="TableGrid"/>
        <w:bidiVisual/>
        <w:tblW w:w="0" w:type="auto"/>
        <w:tblLook w:val="04A0" w:firstRow="1" w:lastRow="0" w:firstColumn="1" w:lastColumn="0" w:noHBand="0" w:noVBand="1"/>
      </w:tblPr>
      <w:tblGrid>
        <w:gridCol w:w="4261"/>
        <w:gridCol w:w="4262"/>
      </w:tblGrid>
      <w:tr w:rsidR="0044459B" w:rsidTr="0044459B">
        <w:tc>
          <w:tcPr>
            <w:tcW w:w="4261" w:type="dxa"/>
          </w:tcPr>
          <w:p w:rsidR="0044459B" w:rsidRDefault="0044459B" w:rsidP="000C39D1">
            <w:pPr>
              <w:pStyle w:val="libFootnote0"/>
              <w:rPr>
                <w:rtl/>
              </w:rPr>
            </w:pPr>
            <w:r>
              <w:rPr>
                <w:rtl/>
              </w:rPr>
              <w:t>(5).</w:t>
            </w:r>
            <w:r w:rsidRPr="00132E65">
              <w:rPr>
                <w:rtl/>
              </w:rPr>
              <w:t xml:space="preserve"> في « ف » : « إلى »</w:t>
            </w:r>
            <w:r>
              <w:rPr>
                <w:rtl/>
              </w:rPr>
              <w:t>.</w:t>
            </w:r>
          </w:p>
        </w:tc>
        <w:tc>
          <w:tcPr>
            <w:tcW w:w="4262" w:type="dxa"/>
          </w:tcPr>
          <w:p w:rsidR="0044459B" w:rsidRDefault="0044459B" w:rsidP="000C39D1">
            <w:pPr>
              <w:pStyle w:val="libFootnote0"/>
              <w:rPr>
                <w:rtl/>
              </w:rPr>
            </w:pPr>
            <w:r>
              <w:rPr>
                <w:rtl/>
              </w:rPr>
              <w:t>(6).</w:t>
            </w:r>
            <w:r w:rsidRPr="00132E65">
              <w:rPr>
                <w:rtl/>
              </w:rPr>
              <w:t xml:space="preserve"> في « ف » :</w:t>
            </w:r>
            <w:r>
              <w:rPr>
                <w:rtl/>
              </w:rPr>
              <w:t xml:space="preserve"> + </w:t>
            </w:r>
            <w:r w:rsidRPr="00132E65">
              <w:rPr>
                <w:rtl/>
              </w:rPr>
              <w:t>« جبل »</w:t>
            </w:r>
            <w:r>
              <w:rPr>
                <w:rtl/>
              </w:rPr>
              <w:t>.</w:t>
            </w:r>
          </w:p>
        </w:tc>
      </w:tr>
      <w:tr w:rsidR="0044459B" w:rsidTr="0044459B">
        <w:tc>
          <w:tcPr>
            <w:tcW w:w="4261" w:type="dxa"/>
          </w:tcPr>
          <w:p w:rsidR="0044459B" w:rsidRDefault="0044459B" w:rsidP="000C39D1">
            <w:pPr>
              <w:pStyle w:val="libFootnote0"/>
              <w:rPr>
                <w:rtl/>
              </w:rPr>
            </w:pPr>
            <w:r>
              <w:rPr>
                <w:rtl/>
              </w:rPr>
              <w:t>(7).</w:t>
            </w:r>
            <w:r w:rsidRPr="00132E65">
              <w:rPr>
                <w:rtl/>
              </w:rPr>
              <w:t xml:space="preserve"> </w:t>
            </w:r>
            <w:r w:rsidRPr="009D1ACE">
              <w:rPr>
                <w:rStyle w:val="libFootnoteBoldChar"/>
                <w:rtl/>
              </w:rPr>
              <w:t>الوافي</w:t>
            </w:r>
            <w:r w:rsidRPr="00132E65">
              <w:rPr>
                <w:rtl/>
              </w:rPr>
              <w:t xml:space="preserve"> ، ج 10 ، ص 361 ، ح 9699.</w:t>
            </w:r>
          </w:p>
        </w:tc>
        <w:tc>
          <w:tcPr>
            <w:tcW w:w="4262" w:type="dxa"/>
          </w:tcPr>
          <w:p w:rsidR="0044459B" w:rsidRDefault="0044459B" w:rsidP="000C39D1">
            <w:pPr>
              <w:pStyle w:val="libFootnote0"/>
              <w:rPr>
                <w:rtl/>
              </w:rPr>
            </w:pPr>
            <w:r>
              <w:rPr>
                <w:rtl/>
              </w:rPr>
              <w:t>(8).</w:t>
            </w:r>
            <w:r w:rsidRPr="00132E65">
              <w:rPr>
                <w:rtl/>
              </w:rPr>
              <w:t xml:space="preserve"> في « ف » :</w:t>
            </w:r>
            <w:r>
              <w:rPr>
                <w:rtl/>
              </w:rPr>
              <w:t xml:space="preserve"> + </w:t>
            </w:r>
            <w:r w:rsidRPr="00132E65">
              <w:rPr>
                <w:rtl/>
              </w:rPr>
              <w:t>« إلى »</w:t>
            </w:r>
            <w:r>
              <w:rPr>
                <w:rtl/>
              </w:rPr>
              <w:t>.</w:t>
            </w:r>
          </w:p>
        </w:tc>
      </w:tr>
    </w:tbl>
    <w:p w:rsidR="000C39D1" w:rsidRPr="00132E65" w:rsidRDefault="000C39D1" w:rsidP="000C39D1">
      <w:pPr>
        <w:pStyle w:val="libFootnote0"/>
        <w:rPr>
          <w:rtl/>
          <w:lang w:bidi="fa-IR"/>
        </w:rPr>
      </w:pPr>
      <w:r>
        <w:rPr>
          <w:rtl/>
        </w:rPr>
        <w:t>(9).</w:t>
      </w:r>
      <w:r w:rsidRPr="00132E65">
        <w:rPr>
          <w:rtl/>
        </w:rPr>
        <w:t xml:space="preserve"> في الفقيه : « ألف ألف »</w:t>
      </w:r>
      <w:r>
        <w:rPr>
          <w:rtl/>
        </w:rPr>
        <w:t>.</w:t>
      </w:r>
      <w:r w:rsidRPr="00132E65">
        <w:rPr>
          <w:rtl/>
        </w:rPr>
        <w:t xml:space="preserve"> وفي « ض » : « ألف »</w:t>
      </w:r>
      <w:r>
        <w:rPr>
          <w:rtl/>
        </w:rPr>
        <w:t>.</w:t>
      </w:r>
      <w:r w:rsidRPr="00132E65">
        <w:rPr>
          <w:rtl/>
        </w:rPr>
        <w:t xml:space="preserve"> وفي « بر » : « ألفي »</w:t>
      </w:r>
      <w:r>
        <w:rPr>
          <w:rtl/>
        </w:rPr>
        <w:t>.</w:t>
      </w:r>
    </w:p>
    <w:p w:rsidR="000C39D1" w:rsidRPr="00132E65" w:rsidRDefault="000C39D1" w:rsidP="000C39D1">
      <w:pPr>
        <w:pStyle w:val="libFootnote0"/>
        <w:rPr>
          <w:rtl/>
          <w:lang w:bidi="fa-IR"/>
        </w:rPr>
      </w:pPr>
      <w:r>
        <w:rPr>
          <w:rtl/>
        </w:rPr>
        <w:t>(10).</w:t>
      </w:r>
      <w:r w:rsidRPr="00132E65">
        <w:rPr>
          <w:rtl/>
        </w:rPr>
        <w:t xml:space="preserve"> في الفقيه : « ينفق في غيره في سبيل الله عزّ وجلّ » بدل « فيما سواه من وجوه البرّ »</w:t>
      </w:r>
      <w:r>
        <w:rPr>
          <w:rtl/>
        </w:rPr>
        <w:t>.</w:t>
      </w:r>
      <w:r w:rsidRPr="00132E65">
        <w:rPr>
          <w:rtl/>
        </w:rPr>
        <w:t xml:space="preserve"> </w:t>
      </w:r>
      <w:r>
        <w:rPr>
          <w:rtl/>
        </w:rPr>
        <w:t>و «</w:t>
      </w:r>
      <w:r w:rsidRPr="00132E65">
        <w:rPr>
          <w:rtl/>
        </w:rPr>
        <w:t xml:space="preserve"> البرّ » : الخير والفضل. </w:t>
      </w:r>
      <w:r w:rsidRPr="0044459B">
        <w:rPr>
          <w:rStyle w:val="libFootnoteBoldChar"/>
          <w:rtl/>
        </w:rPr>
        <w:t>المصباح المنير</w:t>
      </w:r>
      <w:r w:rsidRPr="00132E65">
        <w:rPr>
          <w:rtl/>
        </w:rPr>
        <w:t xml:space="preserve"> ، ص 43 ( برر )</w:t>
      </w:r>
      <w:r>
        <w:rPr>
          <w:rtl/>
        </w:rPr>
        <w:t>.</w:t>
      </w:r>
    </w:p>
    <w:p w:rsidR="000C39D1" w:rsidRPr="00132E65" w:rsidRDefault="000C39D1" w:rsidP="000C39D1">
      <w:pPr>
        <w:pStyle w:val="libFootnote0"/>
        <w:rPr>
          <w:rtl/>
          <w:lang w:bidi="fa-IR"/>
        </w:rPr>
      </w:pPr>
      <w:r>
        <w:rPr>
          <w:rtl/>
        </w:rPr>
        <w:t>(11).</w:t>
      </w:r>
      <w:r w:rsidRPr="00132E65">
        <w:rPr>
          <w:rtl/>
        </w:rPr>
        <w:t xml:space="preserve"> </w:t>
      </w:r>
      <w:r w:rsidRPr="0044459B">
        <w:rPr>
          <w:rStyle w:val="libFootnoteBoldChar"/>
          <w:rtl/>
        </w:rPr>
        <w:t>الفقيه</w:t>
      </w:r>
      <w:r w:rsidRPr="00132E65">
        <w:rPr>
          <w:rtl/>
        </w:rPr>
        <w:t xml:space="preserve"> ، ج 2 ، ص 73 ، ح 1764 ، مرسلاً </w:t>
      </w:r>
      <w:r w:rsidR="0044459B">
        <w:rPr>
          <w:rFonts w:hint="cs"/>
          <w:rtl/>
        </w:rPr>
        <w:t>.</w:t>
      </w:r>
      <w:r w:rsidRPr="009D1ACE">
        <w:rPr>
          <w:rStyle w:val="libFootnoteBoldChar"/>
          <w:rtl/>
        </w:rPr>
        <w:t>الوافي</w:t>
      </w:r>
      <w:r w:rsidRPr="00132E65">
        <w:rPr>
          <w:rtl/>
        </w:rPr>
        <w:t xml:space="preserve"> ، ج 10 ، ص 362 ، ح 9700.</w:t>
      </w:r>
    </w:p>
    <w:p w:rsidR="000C39D1" w:rsidRPr="00132E65" w:rsidRDefault="000C39D1" w:rsidP="000C39D1">
      <w:pPr>
        <w:pStyle w:val="libFootnote0"/>
        <w:rPr>
          <w:rtl/>
          <w:lang w:bidi="fa-IR"/>
        </w:rPr>
      </w:pPr>
      <w:r>
        <w:rPr>
          <w:rtl/>
        </w:rPr>
        <w:t>(12).</w:t>
      </w:r>
      <w:r w:rsidRPr="00132E65">
        <w:rPr>
          <w:rtl/>
        </w:rPr>
        <w:t xml:space="preserve"> </w:t>
      </w:r>
      <w:r w:rsidRPr="0044459B">
        <w:rPr>
          <w:rStyle w:val="libFootnoteBoldChar"/>
          <w:rtl/>
        </w:rPr>
        <w:t>الفقيه</w:t>
      </w:r>
      <w:r w:rsidRPr="00132E65">
        <w:rPr>
          <w:rtl/>
        </w:rPr>
        <w:t xml:space="preserve"> ، ج 2 ، ص 44 ، ح 1658 ؛ </w:t>
      </w:r>
      <w:r w:rsidRPr="0044459B">
        <w:rPr>
          <w:rStyle w:val="libFootnoteBoldChar"/>
          <w:rtl/>
        </w:rPr>
        <w:t>وعلل الشرائع</w:t>
      </w:r>
      <w:r w:rsidRPr="0030274E">
        <w:rPr>
          <w:rtl/>
        </w:rPr>
        <w:t xml:space="preserve"> </w:t>
      </w:r>
      <w:r w:rsidRPr="00132E65">
        <w:rPr>
          <w:rtl/>
        </w:rPr>
        <w:t xml:space="preserve">، ص 377 ، ح 1 ، بسنده فيهما عن أحمد بن محمّد بن </w:t>
      </w:r>
      <w:r w:rsidR="0044459B">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Heading2Center"/>
        <w:rPr>
          <w:rtl/>
          <w:lang w:bidi="fa-IR"/>
        </w:rPr>
      </w:pPr>
      <w:bookmarkStart w:id="200" w:name="_Toc459459174"/>
      <w:bookmarkStart w:id="201" w:name="_Toc34663143"/>
      <w:r w:rsidRPr="00132E65">
        <w:rPr>
          <w:rtl/>
          <w:lang w:bidi="fa-IR"/>
        </w:rPr>
        <w:t>130</w:t>
      </w:r>
      <w:r>
        <w:rPr>
          <w:rtl/>
          <w:lang w:bidi="fa-IR"/>
        </w:rPr>
        <w:t xml:space="preserve"> - </w:t>
      </w:r>
      <w:r w:rsidRPr="00132E65">
        <w:rPr>
          <w:rtl/>
          <w:lang w:bidi="fa-IR"/>
        </w:rPr>
        <w:t xml:space="preserve">بَابُ </w:t>
      </w:r>
      <w:r>
        <w:rPr>
          <w:rStyle w:val="libFootnotenumChar"/>
          <w:rtl/>
        </w:rPr>
        <w:t>(1)</w:t>
      </w:r>
      <w:r>
        <w:rPr>
          <w:rtl/>
          <w:lang w:bidi="fa-IR"/>
        </w:rPr>
        <w:t xml:space="preserve"> </w:t>
      </w:r>
      <w:r w:rsidRPr="00132E65">
        <w:rPr>
          <w:rtl/>
          <w:lang w:bidi="fa-IR"/>
        </w:rPr>
        <w:t>الْفَيْ‌ءِ و</w:t>
      </w:r>
      <w:r w:rsidR="0044459B">
        <w:rPr>
          <w:rFonts w:hint="cs"/>
          <w:rtl/>
          <w:lang w:bidi="fa-IR"/>
        </w:rPr>
        <w:t>َ</w:t>
      </w:r>
      <w:r w:rsidRPr="00132E65">
        <w:rPr>
          <w:rtl/>
          <w:lang w:bidi="fa-IR"/>
        </w:rPr>
        <w:t>الْأَنْفَالِ و</w:t>
      </w:r>
      <w:r w:rsidR="0044459B">
        <w:rPr>
          <w:rFonts w:hint="cs"/>
          <w:rtl/>
          <w:lang w:bidi="fa-IR"/>
        </w:rPr>
        <w:t>َ</w:t>
      </w:r>
      <w:r w:rsidRPr="00132E65">
        <w:rPr>
          <w:rtl/>
          <w:lang w:bidi="fa-IR"/>
        </w:rPr>
        <w:t>تَفْسِيرِ الْخُمُسِ و</w:t>
      </w:r>
      <w:r w:rsidR="0044459B">
        <w:rPr>
          <w:rFonts w:hint="cs"/>
          <w:rtl/>
          <w:lang w:bidi="fa-IR"/>
        </w:rPr>
        <w:t>َ</w:t>
      </w:r>
      <w:r w:rsidRPr="00132E65">
        <w:rPr>
          <w:rtl/>
          <w:lang w:bidi="fa-IR"/>
        </w:rPr>
        <w:t>حُدُودِهِ و</w:t>
      </w:r>
      <w:r w:rsidR="0044459B">
        <w:rPr>
          <w:rFonts w:hint="cs"/>
          <w:rtl/>
          <w:lang w:bidi="fa-IR"/>
        </w:rPr>
        <w:t>َ</w:t>
      </w:r>
      <w:r w:rsidRPr="00132E65">
        <w:rPr>
          <w:rtl/>
          <w:lang w:bidi="fa-IR"/>
        </w:rPr>
        <w:t>مَا يَجِبُ فِيهِ‌</w:t>
      </w:r>
      <w:bookmarkEnd w:id="200"/>
      <w:bookmarkEnd w:id="201"/>
    </w:p>
    <w:p w:rsidR="000C39D1" w:rsidRPr="00132E65" w:rsidRDefault="000C39D1" w:rsidP="000C39D1">
      <w:pPr>
        <w:pStyle w:val="libNormal0"/>
        <w:tabs>
          <w:tab w:val="left" w:pos="3968"/>
        </w:tabs>
        <w:rPr>
          <w:rtl/>
          <w:lang w:bidi="fa-IR"/>
        </w:rPr>
      </w:pPr>
      <w:r w:rsidRPr="00132E65">
        <w:rPr>
          <w:rtl/>
          <w:lang w:bidi="fa-IR"/>
        </w:rPr>
        <w:t>إِنَّ اللهَ</w:t>
      </w:r>
      <w:r>
        <w:rPr>
          <w:rtl/>
          <w:lang w:bidi="fa-IR"/>
        </w:rPr>
        <w:t xml:space="preserve"> - </w:t>
      </w:r>
      <w:r w:rsidRPr="00132E65">
        <w:rPr>
          <w:rtl/>
          <w:lang w:bidi="fa-IR"/>
        </w:rPr>
        <w:t>تَبَارَكَ و</w:t>
      </w:r>
      <w:r w:rsidR="0044459B">
        <w:rPr>
          <w:rFonts w:hint="cs"/>
          <w:rtl/>
          <w:lang w:bidi="fa-IR"/>
        </w:rPr>
        <w:t>َ</w:t>
      </w:r>
      <w:r w:rsidRPr="00132E65">
        <w:rPr>
          <w:rtl/>
          <w:lang w:bidi="fa-IR"/>
        </w:rPr>
        <w:t>تَعَالى</w:t>
      </w:r>
      <w:r>
        <w:rPr>
          <w:rtl/>
          <w:lang w:bidi="fa-IR"/>
        </w:rPr>
        <w:t xml:space="preserve"> - </w:t>
      </w:r>
      <w:r w:rsidRPr="00132E65">
        <w:rPr>
          <w:rtl/>
          <w:lang w:bidi="fa-IR"/>
        </w:rPr>
        <w:t>جَعَلَ الدُّنْيَا كُلَّهَا بِأَسْرِهَا لِخَلِيفَتِهِ ؛ حَيْثُ يَقُولُ لِلْمَلَائِكَةِ :</w:t>
      </w:r>
    </w:p>
    <w:p w:rsidR="000C39D1" w:rsidRPr="00132E65" w:rsidRDefault="000C39D1" w:rsidP="000C39D1">
      <w:pPr>
        <w:pStyle w:val="libNormal0"/>
        <w:tabs>
          <w:tab w:val="left" w:pos="3968"/>
        </w:tabs>
        <w:rPr>
          <w:rtl/>
          <w:lang w:bidi="fa-IR"/>
        </w:rPr>
      </w:pPr>
      <w:r w:rsidRPr="00071CF9">
        <w:rPr>
          <w:rStyle w:val="libAlaemChar"/>
          <w:rtl/>
        </w:rPr>
        <w:t>(</w:t>
      </w:r>
      <w:r w:rsidRPr="00071CF9">
        <w:rPr>
          <w:rStyle w:val="libAieChar"/>
          <w:rtl/>
        </w:rPr>
        <w:t xml:space="preserve"> إِنِّي جاعِلٌ فِي الْأَرْضِ خَلِيفَةً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فَكَانَتِ الدُّنْيَا بِأَسْرِهَا لآِدَمَ ، و</w:t>
      </w:r>
      <w:r w:rsidR="0044459B">
        <w:rPr>
          <w:rFonts w:hint="cs"/>
          <w:rtl/>
          <w:lang w:bidi="fa-IR"/>
        </w:rPr>
        <w:t>َ</w:t>
      </w:r>
      <w:r w:rsidRPr="00132E65">
        <w:rPr>
          <w:rtl/>
          <w:lang w:bidi="fa-IR"/>
        </w:rPr>
        <w:t>صَارَتْ بَعْدَهُ لِأَبْرَارِ وُلْدِهِ و</w:t>
      </w:r>
      <w:r w:rsidR="0044459B">
        <w:rPr>
          <w:rFonts w:hint="cs"/>
          <w:rtl/>
          <w:lang w:bidi="fa-IR"/>
        </w:rPr>
        <w:t>َ</w:t>
      </w:r>
      <w:r w:rsidRPr="00132E65">
        <w:rPr>
          <w:rtl/>
          <w:lang w:bidi="fa-IR"/>
        </w:rPr>
        <w:t>خُلَفَائِهِ ، فَمَا غَلَبَ عَلَيْهِ أَعْدَاؤُهُمْ ، ثُمَّ رَجَعَ إِلَيْهِمْ بِحَرْبٍ أَوْ غَلَبَةٍ ، سُمِّيَ فَيْئاً ، وَهُوَ أَنْ يَفِي‌ءَ إِلَيْهِمْ بِغَلَبَةٍ و</w:t>
      </w:r>
      <w:r w:rsidR="0044459B">
        <w:rPr>
          <w:rFonts w:hint="cs"/>
          <w:rtl/>
          <w:lang w:bidi="fa-IR"/>
        </w:rPr>
        <w:t>َ</w:t>
      </w:r>
      <w:r w:rsidRPr="00132E65">
        <w:rPr>
          <w:rtl/>
          <w:lang w:bidi="fa-IR"/>
        </w:rPr>
        <w:t>حَرْبٍ ، و</w:t>
      </w:r>
      <w:r w:rsidR="0044459B">
        <w:rPr>
          <w:rFonts w:hint="cs"/>
          <w:rtl/>
          <w:lang w:bidi="fa-IR"/>
        </w:rPr>
        <w:t>َ</w:t>
      </w:r>
      <w:r w:rsidRPr="00132E65">
        <w:rPr>
          <w:rtl/>
          <w:lang w:bidi="fa-IR"/>
        </w:rPr>
        <w:t xml:space="preserve">كَانَ حُكْمُهُ </w:t>
      </w:r>
      <w:r>
        <w:rPr>
          <w:rStyle w:val="libFootnotenumChar"/>
          <w:rtl/>
        </w:rPr>
        <w:t>(3)</w:t>
      </w:r>
      <w:r w:rsidRPr="00132E65">
        <w:rPr>
          <w:rtl/>
          <w:lang w:bidi="fa-IR"/>
        </w:rPr>
        <w:t xml:space="preserve"> فِيهِ مَا قَالَ اللهُ تَعَالى : </w:t>
      </w:r>
      <w:r w:rsidRPr="00071CF9">
        <w:rPr>
          <w:rStyle w:val="libAlaemChar"/>
          <w:rtl/>
        </w:rPr>
        <w:t>(</w:t>
      </w:r>
      <w:r w:rsidRPr="00071CF9">
        <w:rPr>
          <w:rStyle w:val="libAieChar"/>
          <w:rtl/>
        </w:rPr>
        <w:t xml:space="preserve"> وَاعْلَمُوا أَنَّما غَنِمْتُمْ مِنْ شَيْ‌ءٍ فَأَنَّ لِلّهِ خُمُسَهُ وَلِلرَّسُولِ وَلِذِي الْقُرْبى وَالْيَتامى وَالْمَساكِينِ وَابْنِ السَّبِيلِ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فَهُوَ لِلّهِ و</w:t>
      </w:r>
      <w:r w:rsidR="0044459B">
        <w:rPr>
          <w:rFonts w:hint="cs"/>
          <w:rtl/>
          <w:lang w:bidi="fa-IR"/>
        </w:rPr>
        <w:t>َ</w:t>
      </w:r>
      <w:r w:rsidRPr="00132E65">
        <w:rPr>
          <w:rtl/>
          <w:lang w:bidi="fa-IR"/>
        </w:rPr>
        <w:t>لِلرَّسُولِ ولِقَرَابَةِ الرَّسُولِ ؛ فَهذَا هُوَ الْفَيْ‌ءُ الرَّاجِعُ ، و</w:t>
      </w:r>
      <w:r w:rsidR="0044459B">
        <w:rPr>
          <w:rFonts w:hint="cs"/>
          <w:rtl/>
          <w:lang w:bidi="fa-IR"/>
        </w:rPr>
        <w:t>َ</w:t>
      </w:r>
      <w:r w:rsidRPr="00132E65">
        <w:rPr>
          <w:rtl/>
          <w:lang w:bidi="fa-IR"/>
        </w:rPr>
        <w:t>إِنَّمَا يَكُونُ الرَّاجِعُ مَا كَانَ فِي يَدِ غَيْرِهِمْ ، فَأُخِذَ مِنْهُمْ بِالسَّيْفِ.</w:t>
      </w:r>
    </w:p>
    <w:p w:rsidR="000C39D1" w:rsidRPr="00132E65" w:rsidRDefault="000C39D1" w:rsidP="000C39D1">
      <w:pPr>
        <w:pStyle w:val="libNormal0"/>
        <w:tabs>
          <w:tab w:val="left" w:pos="3968"/>
        </w:tabs>
        <w:rPr>
          <w:rtl/>
          <w:lang w:bidi="fa-IR"/>
        </w:rPr>
      </w:pPr>
      <w:r w:rsidRPr="00132E65">
        <w:rPr>
          <w:rtl/>
          <w:lang w:bidi="fa-IR"/>
        </w:rPr>
        <w:t>وَأَمَّا مَا رَجَعَ إِلَيْهِمْ مِنْ غَيْرِ أَنْ يُوجَفَ عَلَيْهِ بِخَيْلٍ و</w:t>
      </w:r>
      <w:r w:rsidR="0044459B">
        <w:rPr>
          <w:rFonts w:hint="cs"/>
          <w:rtl/>
          <w:lang w:bidi="fa-IR"/>
        </w:rPr>
        <w:t>َ</w:t>
      </w:r>
      <w:r w:rsidRPr="00132E65">
        <w:rPr>
          <w:rtl/>
          <w:lang w:bidi="fa-IR"/>
        </w:rPr>
        <w:t xml:space="preserve">لَارِكَابٍ ، فَهُوَ الْأَنْفَالُ ، هُوَ لِلّهِ وَلِلرَّسُولِ خَاصَّةً ، لَيْسَ </w:t>
      </w:r>
      <w:r>
        <w:rPr>
          <w:rStyle w:val="libFootnotenumChar"/>
          <w:rtl/>
        </w:rPr>
        <w:t>(5)</w:t>
      </w:r>
      <w:r w:rsidRPr="00132E65">
        <w:rPr>
          <w:rtl/>
          <w:lang w:bidi="fa-IR"/>
        </w:rPr>
        <w:t xml:space="preserve"> لِأَحَدٍ فِيهِ </w:t>
      </w:r>
      <w:r>
        <w:rPr>
          <w:rStyle w:val="libFootnotenumChar"/>
          <w:rtl/>
        </w:rPr>
        <w:t>(6)</w:t>
      </w:r>
      <w:r w:rsidRPr="00132E65">
        <w:rPr>
          <w:rtl/>
          <w:lang w:bidi="fa-IR"/>
        </w:rPr>
        <w:t xml:space="preserve"> الشِّرْكَةُ </w:t>
      </w:r>
      <w:r>
        <w:rPr>
          <w:rStyle w:val="libFootnotenumChar"/>
          <w:rtl/>
        </w:rPr>
        <w:t>(7)</w:t>
      </w:r>
      <w:r w:rsidRPr="00132E65">
        <w:rPr>
          <w:rtl/>
          <w:lang w:bidi="fa-IR"/>
        </w:rPr>
        <w:t xml:space="preserve"> ، و</w:t>
      </w:r>
      <w:r w:rsidR="0044459B">
        <w:rPr>
          <w:rFonts w:hint="cs"/>
          <w:rtl/>
          <w:lang w:bidi="fa-IR"/>
        </w:rPr>
        <w:t>َ</w:t>
      </w:r>
      <w:r w:rsidRPr="00132E65">
        <w:rPr>
          <w:rtl/>
          <w:lang w:bidi="fa-IR"/>
        </w:rPr>
        <w:t xml:space="preserve">إِنَّمَا جُعِلَ </w:t>
      </w:r>
      <w:r>
        <w:rPr>
          <w:rStyle w:val="libFootnotenumChar"/>
          <w:rtl/>
        </w:rPr>
        <w:t>(8)</w:t>
      </w:r>
      <w:r w:rsidRPr="00132E65">
        <w:rPr>
          <w:rtl/>
          <w:lang w:bidi="fa-IR"/>
        </w:rPr>
        <w:t xml:space="preserve"> الشِّرْكَةُ فِي شَيْ‌ءٍ قُوتِلَ عَلَيْهِ ، فَجُعِلَ لِمَنْ قَاتَلَ مِنَ الْغَنَائِمِ أَرْبَعَةُ أَسْهُمٍ ، و</w:t>
      </w:r>
      <w:r w:rsidR="0044459B">
        <w:rPr>
          <w:rFonts w:hint="cs"/>
          <w:rtl/>
          <w:lang w:bidi="fa-IR"/>
        </w:rPr>
        <w:t>َ</w:t>
      </w:r>
      <w:r w:rsidRPr="00132E65">
        <w:rPr>
          <w:rtl/>
          <w:lang w:bidi="fa-IR"/>
        </w:rPr>
        <w:t>لِلرَّسُولِ سَهْمٌ ، و</w:t>
      </w:r>
      <w:r w:rsidR="0044459B">
        <w:rPr>
          <w:rFonts w:hint="cs"/>
          <w:rtl/>
          <w:lang w:bidi="fa-IR"/>
        </w:rPr>
        <w:t>َ</w:t>
      </w:r>
      <w:r w:rsidRPr="00132E65">
        <w:rPr>
          <w:rtl/>
          <w:lang w:bidi="fa-IR"/>
        </w:rPr>
        <w:t xml:space="preserve">الَّذِي لِلرَّسُولِ </w:t>
      </w:r>
      <w:r w:rsidRPr="0093484F">
        <w:rPr>
          <w:rStyle w:val="libAlaemChar"/>
          <w:rFonts w:eastAsiaTheme="minorHAnsi"/>
          <w:rtl/>
        </w:rPr>
        <w:t>صلى‌الله‌عليه‌وآله</w:t>
      </w:r>
      <w:r w:rsidRPr="00132E65">
        <w:rPr>
          <w:rtl/>
          <w:lang w:bidi="fa-IR"/>
        </w:rPr>
        <w:t xml:space="preserve"> يَقْسِمُهُ </w:t>
      </w:r>
      <w:r>
        <w:rPr>
          <w:rStyle w:val="libFootnotenumChar"/>
          <w:rtl/>
        </w:rPr>
        <w:t>(9)</w:t>
      </w:r>
      <w:r w:rsidRPr="00132E65">
        <w:rPr>
          <w:rtl/>
          <w:lang w:bidi="fa-IR"/>
        </w:rPr>
        <w:t xml:space="preserve"> عَلى </w:t>
      </w:r>
      <w:r>
        <w:rPr>
          <w:rStyle w:val="libFootnotenumChar"/>
          <w:rtl/>
        </w:rPr>
        <w:t>(10)</w:t>
      </w:r>
      <w:r w:rsidRPr="00132E65">
        <w:rPr>
          <w:rtl/>
          <w:lang w:bidi="fa-IR"/>
        </w:rPr>
        <w:t xml:space="preserve"> سِتَّةِ أَسْهُمٍ : ثَلَاثَةٌ </w:t>
      </w:r>
      <w:r>
        <w:rPr>
          <w:rStyle w:val="libFootnotenumChar"/>
          <w:rtl/>
        </w:rPr>
        <w:t>(11)</w:t>
      </w:r>
      <w:r w:rsidRPr="00132E65">
        <w:rPr>
          <w:rtl/>
          <w:lang w:bidi="fa-IR"/>
        </w:rPr>
        <w:t xml:space="preserve"> لَهُ ، و</w:t>
      </w:r>
      <w:r w:rsidR="0044459B">
        <w:rPr>
          <w:rFonts w:hint="cs"/>
          <w:rtl/>
          <w:lang w:bidi="fa-IR"/>
        </w:rPr>
        <w:t>َ</w:t>
      </w:r>
      <w:r w:rsidRPr="00132E65">
        <w:rPr>
          <w:rtl/>
          <w:lang w:bidi="fa-IR"/>
        </w:rPr>
        <w:t>ثَلَاثَةٌ لِلْيَتَامى و</w:t>
      </w:r>
      <w:r w:rsidR="0044459B">
        <w:rPr>
          <w:rFonts w:hint="cs"/>
          <w:rtl/>
          <w:lang w:bidi="fa-IR"/>
        </w:rPr>
        <w:t>َ</w:t>
      </w:r>
      <w:r w:rsidRPr="00132E65">
        <w:rPr>
          <w:rtl/>
          <w:lang w:bidi="fa-IR"/>
        </w:rPr>
        <w:t>الْمَسَاكِينِ و</w:t>
      </w:r>
      <w:r w:rsidR="0044459B">
        <w:rPr>
          <w:rFonts w:hint="cs"/>
          <w:rtl/>
          <w:lang w:bidi="fa-IR"/>
        </w:rPr>
        <w:t>َ</w:t>
      </w:r>
      <w:r w:rsidRPr="00132E65">
        <w:rPr>
          <w:rtl/>
          <w:lang w:bidi="fa-IR"/>
        </w:rPr>
        <w:t>ابْنِ السَّبِيلِ.</w:t>
      </w:r>
    </w:p>
    <w:p w:rsidR="000C39D1" w:rsidRPr="00132E65" w:rsidRDefault="000C39D1" w:rsidP="000C39D1">
      <w:pPr>
        <w:pStyle w:val="libNormal0"/>
        <w:tabs>
          <w:tab w:val="left" w:pos="3968"/>
        </w:tabs>
        <w:rPr>
          <w:rtl/>
          <w:lang w:bidi="fa-IR"/>
        </w:rPr>
      </w:pPr>
      <w:r w:rsidRPr="00132E65">
        <w:rPr>
          <w:rtl/>
          <w:lang w:bidi="fa-IR"/>
        </w:rPr>
        <w:t xml:space="preserve">وَأَمَّا الْأَنْفَالُ ، فَلَيْسَ هذِهِ سَبِيلَهَا ، كَانَتْ </w:t>
      </w:r>
      <w:r>
        <w:rPr>
          <w:rStyle w:val="libFootnotenumChar"/>
          <w:rtl/>
        </w:rPr>
        <w:t>(12)</w:t>
      </w:r>
      <w:r w:rsidRPr="00132E65">
        <w:rPr>
          <w:rtl/>
          <w:lang w:bidi="fa-IR"/>
        </w:rPr>
        <w:t xml:space="preserve"> لِلرَّسُولِ </w:t>
      </w:r>
      <w:r w:rsidRPr="00071CF9">
        <w:rPr>
          <w:rStyle w:val="libAlaemChar"/>
          <w:rtl/>
        </w:rPr>
        <w:t>عليه‌السلام</w:t>
      </w:r>
      <w:r w:rsidRPr="00132E65">
        <w:rPr>
          <w:rtl/>
          <w:lang w:bidi="fa-IR"/>
        </w:rPr>
        <w:t xml:space="preserve"> خَاصَّةً ، و</w:t>
      </w:r>
      <w:r w:rsidR="0044459B">
        <w:rPr>
          <w:rFonts w:hint="cs"/>
          <w:rtl/>
          <w:lang w:bidi="fa-IR"/>
        </w:rPr>
        <w:t>َ</w:t>
      </w:r>
      <w:r w:rsidRPr="00132E65">
        <w:rPr>
          <w:rtl/>
          <w:lang w:bidi="fa-IR"/>
        </w:rPr>
        <w:t xml:space="preserve">كَانَتْ </w:t>
      </w:r>
      <w:r w:rsidRPr="00F543F1">
        <w:rPr>
          <w:rStyle w:val="libFootnotenumChar"/>
          <w:rtl/>
        </w:rPr>
        <w:t>(13)</w:t>
      </w:r>
      <w:r w:rsidRPr="00132E65">
        <w:rPr>
          <w:rtl/>
          <w:lang w:bidi="fa-IR"/>
        </w:rPr>
        <w:t xml:space="preserve"> فَدَكُ‌</w:t>
      </w:r>
    </w:p>
    <w:p w:rsidR="000C39D1" w:rsidRPr="00132E65" w:rsidRDefault="000C39D1" w:rsidP="000C39D1">
      <w:pPr>
        <w:pStyle w:val="libLine"/>
        <w:rPr>
          <w:rtl/>
          <w:lang w:bidi="fa-IR"/>
        </w:rPr>
      </w:pPr>
      <w:r w:rsidRPr="00132E65">
        <w:rPr>
          <w:rtl/>
          <w:lang w:bidi="fa-IR"/>
        </w:rPr>
        <w:t>__________________</w:t>
      </w:r>
    </w:p>
    <w:p w:rsidR="000C39D1" w:rsidRPr="00132E65" w:rsidRDefault="0044459B" w:rsidP="000C39D1">
      <w:pPr>
        <w:pStyle w:val="libFootnote0"/>
        <w:rPr>
          <w:rtl/>
          <w:lang w:bidi="fa-IR"/>
        </w:rPr>
      </w:pPr>
      <w:r>
        <w:rPr>
          <w:rFonts w:hint="cs"/>
          <w:rtl/>
        </w:rPr>
        <w:t>=</w:t>
      </w:r>
      <w:r w:rsidR="000C39D1" w:rsidRPr="00132E65">
        <w:rPr>
          <w:rtl/>
        </w:rPr>
        <w:t>عيسى</w:t>
      </w:r>
      <w:r>
        <w:rPr>
          <w:rFonts w:hint="cs"/>
          <w:rtl/>
        </w:rPr>
        <w:t>.</w:t>
      </w:r>
      <w:r w:rsidR="000C39D1" w:rsidRPr="00132E65">
        <w:rPr>
          <w:rtl/>
        </w:rPr>
        <w:t xml:space="preserve"> </w:t>
      </w:r>
      <w:r w:rsidR="000C39D1" w:rsidRPr="009D1ACE">
        <w:rPr>
          <w:rStyle w:val="libFootnoteBoldChar"/>
          <w:rtl/>
        </w:rPr>
        <w:t>الوافي</w:t>
      </w:r>
      <w:r w:rsidR="000C39D1" w:rsidRPr="00132E65">
        <w:rPr>
          <w:rtl/>
        </w:rPr>
        <w:t xml:space="preserve"> ، ج 10 ، ص 279 ، ح 9581 ؛ </w:t>
      </w:r>
      <w:r w:rsidR="000C39D1" w:rsidRPr="0044459B">
        <w:rPr>
          <w:rStyle w:val="libFootnoteBoldChar"/>
          <w:rtl/>
        </w:rPr>
        <w:t>الوسائل</w:t>
      </w:r>
      <w:r w:rsidR="000C39D1" w:rsidRPr="00132E65">
        <w:rPr>
          <w:rtl/>
        </w:rPr>
        <w:t xml:space="preserve"> ، ج 9 ، ص 483 ، ذيل ح 12542.</w:t>
      </w:r>
    </w:p>
    <w:p w:rsidR="000C39D1" w:rsidRPr="00132E65" w:rsidRDefault="000C39D1" w:rsidP="000C39D1">
      <w:pPr>
        <w:pStyle w:val="libFootnote0"/>
        <w:rPr>
          <w:rtl/>
          <w:lang w:bidi="fa-IR"/>
        </w:rPr>
      </w:pPr>
      <w:r>
        <w:rPr>
          <w:rtl/>
        </w:rPr>
        <w:t>(1).</w:t>
      </w:r>
      <w:r w:rsidRPr="00132E65">
        <w:rPr>
          <w:rtl/>
        </w:rPr>
        <w:t xml:space="preserve"> في « ج » </w:t>
      </w:r>
      <w:r>
        <w:rPr>
          <w:rtl/>
        </w:rPr>
        <w:t xml:space="preserve">: - </w:t>
      </w:r>
      <w:r w:rsidRPr="00132E65">
        <w:rPr>
          <w:rtl/>
        </w:rPr>
        <w:t>« باب »</w:t>
      </w:r>
      <w:r>
        <w:rPr>
          <w:rtl/>
        </w:rPr>
        <w:t>.</w:t>
      </w:r>
    </w:p>
    <w:p w:rsidR="000C39D1" w:rsidRPr="00132E65" w:rsidRDefault="000C39D1" w:rsidP="000C39D1">
      <w:pPr>
        <w:pStyle w:val="libFootnote0"/>
        <w:rPr>
          <w:rtl/>
          <w:lang w:bidi="fa-IR"/>
        </w:rPr>
      </w:pPr>
      <w:r>
        <w:rPr>
          <w:rtl/>
        </w:rPr>
        <w:t>(2).</w:t>
      </w:r>
      <w:r w:rsidRPr="00132E65">
        <w:rPr>
          <w:rtl/>
        </w:rPr>
        <w:t xml:space="preserve"> البقرة </w:t>
      </w:r>
      <w:r w:rsidR="0044459B">
        <w:rPr>
          <w:rtl/>
        </w:rPr>
        <w:t>(2)</w:t>
      </w:r>
      <w:r w:rsidRPr="00132E65">
        <w:rPr>
          <w:rtl/>
        </w:rPr>
        <w:t xml:space="preserve"> : 30.</w:t>
      </w:r>
    </w:p>
    <w:tbl>
      <w:tblPr>
        <w:tblStyle w:val="TableGrid"/>
        <w:bidiVisual/>
        <w:tblW w:w="0" w:type="auto"/>
        <w:tblLook w:val="04A0" w:firstRow="1" w:lastRow="0" w:firstColumn="1" w:lastColumn="0" w:noHBand="0" w:noVBand="1"/>
      </w:tblPr>
      <w:tblGrid>
        <w:gridCol w:w="4261"/>
        <w:gridCol w:w="4262"/>
      </w:tblGrid>
      <w:tr w:rsidR="0044459B" w:rsidTr="0044459B">
        <w:tc>
          <w:tcPr>
            <w:tcW w:w="4261" w:type="dxa"/>
          </w:tcPr>
          <w:p w:rsidR="0044459B" w:rsidRDefault="0044459B" w:rsidP="000C39D1">
            <w:pPr>
              <w:pStyle w:val="libFootnote0"/>
              <w:rPr>
                <w:rtl/>
              </w:rPr>
            </w:pPr>
            <w:r>
              <w:rPr>
                <w:rtl/>
              </w:rPr>
              <w:t>(3).</w:t>
            </w:r>
            <w:r w:rsidRPr="00132E65">
              <w:rPr>
                <w:rtl/>
              </w:rPr>
              <w:t xml:space="preserve"> في « بر » وحاشية « بف » : « حكم الله »</w:t>
            </w:r>
            <w:r>
              <w:rPr>
                <w:rtl/>
              </w:rPr>
              <w:t>.</w:t>
            </w:r>
          </w:p>
        </w:tc>
        <w:tc>
          <w:tcPr>
            <w:tcW w:w="4262" w:type="dxa"/>
          </w:tcPr>
          <w:p w:rsidR="0044459B" w:rsidRDefault="0044459B" w:rsidP="000C39D1">
            <w:pPr>
              <w:pStyle w:val="libFootnote0"/>
              <w:rPr>
                <w:rtl/>
              </w:rPr>
            </w:pPr>
            <w:r>
              <w:rPr>
                <w:rtl/>
              </w:rPr>
              <w:t>(4).</w:t>
            </w:r>
            <w:r w:rsidRPr="00132E65">
              <w:rPr>
                <w:rtl/>
              </w:rPr>
              <w:t xml:space="preserve"> الأنفال </w:t>
            </w:r>
            <w:r>
              <w:rPr>
                <w:rtl/>
              </w:rPr>
              <w:t>(8)</w:t>
            </w:r>
            <w:r w:rsidRPr="00132E65">
              <w:rPr>
                <w:rtl/>
              </w:rPr>
              <w:t xml:space="preserve"> : 41.</w:t>
            </w:r>
          </w:p>
        </w:tc>
      </w:tr>
      <w:tr w:rsidR="0044459B" w:rsidTr="0044459B">
        <w:tc>
          <w:tcPr>
            <w:tcW w:w="4261" w:type="dxa"/>
          </w:tcPr>
          <w:p w:rsidR="0044459B" w:rsidRDefault="0044459B" w:rsidP="000C39D1">
            <w:pPr>
              <w:pStyle w:val="libFootnote0"/>
              <w:rPr>
                <w:rtl/>
              </w:rPr>
            </w:pPr>
            <w:r>
              <w:rPr>
                <w:rtl/>
              </w:rPr>
              <w:t>(5).</w:t>
            </w:r>
            <w:r w:rsidRPr="00132E65">
              <w:rPr>
                <w:rtl/>
              </w:rPr>
              <w:t xml:space="preserve"> في « بر » و</w:t>
            </w:r>
            <w:r w:rsidRPr="009D1ACE">
              <w:rPr>
                <w:rStyle w:val="libFootnoteBoldChar"/>
                <w:rtl/>
              </w:rPr>
              <w:t>الوافي</w:t>
            </w:r>
            <w:r w:rsidRPr="00132E65">
              <w:rPr>
                <w:rtl/>
              </w:rPr>
              <w:t xml:space="preserve"> : « وليس »</w:t>
            </w:r>
            <w:r>
              <w:rPr>
                <w:rtl/>
              </w:rPr>
              <w:t>.</w:t>
            </w:r>
          </w:p>
        </w:tc>
        <w:tc>
          <w:tcPr>
            <w:tcW w:w="4262" w:type="dxa"/>
          </w:tcPr>
          <w:p w:rsidR="0044459B" w:rsidRDefault="0044459B" w:rsidP="000C39D1">
            <w:pPr>
              <w:pStyle w:val="libFootnote0"/>
              <w:rPr>
                <w:rtl/>
              </w:rPr>
            </w:pPr>
            <w:r>
              <w:rPr>
                <w:rtl/>
              </w:rPr>
              <w:t>(6).</w:t>
            </w:r>
            <w:r w:rsidRPr="00132E65">
              <w:rPr>
                <w:rtl/>
              </w:rPr>
              <w:t xml:space="preserve"> في « ج » : « فيها » أي الأنفال.</w:t>
            </w:r>
          </w:p>
        </w:tc>
      </w:tr>
      <w:tr w:rsidR="0044459B" w:rsidTr="0044459B">
        <w:tc>
          <w:tcPr>
            <w:tcW w:w="4261" w:type="dxa"/>
          </w:tcPr>
          <w:p w:rsidR="0044459B" w:rsidRDefault="0044459B" w:rsidP="000C39D1">
            <w:pPr>
              <w:pStyle w:val="libFootnote0"/>
              <w:rPr>
                <w:rtl/>
              </w:rPr>
            </w:pPr>
            <w:r>
              <w:rPr>
                <w:rtl/>
              </w:rPr>
              <w:t>(7).</w:t>
            </w:r>
            <w:r w:rsidRPr="00132E65">
              <w:rPr>
                <w:rtl/>
              </w:rPr>
              <w:t xml:space="preserve"> في « بح ، بس ، بف » : « شركة »</w:t>
            </w:r>
            <w:r>
              <w:rPr>
                <w:rtl/>
              </w:rPr>
              <w:t>.</w:t>
            </w:r>
          </w:p>
        </w:tc>
        <w:tc>
          <w:tcPr>
            <w:tcW w:w="4262" w:type="dxa"/>
          </w:tcPr>
          <w:p w:rsidR="0044459B" w:rsidRDefault="0044459B" w:rsidP="000C39D1">
            <w:pPr>
              <w:pStyle w:val="libFootnote0"/>
              <w:rPr>
                <w:rtl/>
              </w:rPr>
            </w:pPr>
            <w:r>
              <w:rPr>
                <w:rtl/>
              </w:rPr>
              <w:t>(8).</w:t>
            </w:r>
            <w:r w:rsidRPr="00132E65">
              <w:rPr>
                <w:rtl/>
              </w:rPr>
              <w:t xml:space="preserve"> في « ف » : « جعلت »</w:t>
            </w:r>
            <w:r>
              <w:rPr>
                <w:rtl/>
              </w:rPr>
              <w:t>.</w:t>
            </w:r>
          </w:p>
        </w:tc>
      </w:tr>
      <w:tr w:rsidR="0044459B" w:rsidTr="0044459B">
        <w:tc>
          <w:tcPr>
            <w:tcW w:w="4261" w:type="dxa"/>
          </w:tcPr>
          <w:p w:rsidR="0044459B" w:rsidRDefault="0044459B" w:rsidP="000C39D1">
            <w:pPr>
              <w:pStyle w:val="libFootnote0"/>
              <w:rPr>
                <w:rtl/>
              </w:rPr>
            </w:pPr>
            <w:r>
              <w:rPr>
                <w:rtl/>
              </w:rPr>
              <w:t>(9).</w:t>
            </w:r>
            <w:r w:rsidRPr="00132E65">
              <w:rPr>
                <w:rtl/>
              </w:rPr>
              <w:t xml:space="preserve"> في « ض » : « يقسّمه » بالتضعيف.</w:t>
            </w:r>
          </w:p>
        </w:tc>
        <w:tc>
          <w:tcPr>
            <w:tcW w:w="4262" w:type="dxa"/>
          </w:tcPr>
          <w:p w:rsidR="0044459B" w:rsidRDefault="0044459B" w:rsidP="000C39D1">
            <w:pPr>
              <w:pStyle w:val="libFootnote0"/>
              <w:rPr>
                <w:rtl/>
              </w:rPr>
            </w:pPr>
            <w:r>
              <w:rPr>
                <w:rtl/>
              </w:rPr>
              <w:t>(10).</w:t>
            </w:r>
            <w:r w:rsidRPr="00132E65">
              <w:rPr>
                <w:rtl/>
              </w:rPr>
              <w:t xml:space="preserve"> في شرح المازندراني و</w:t>
            </w:r>
            <w:r w:rsidRPr="009D1ACE">
              <w:rPr>
                <w:rStyle w:val="libFootnoteBoldChar"/>
                <w:rtl/>
              </w:rPr>
              <w:t>مرآة العقول</w:t>
            </w:r>
            <w:r w:rsidRPr="00132E65">
              <w:rPr>
                <w:rtl/>
              </w:rPr>
              <w:t xml:space="preserve"> </w:t>
            </w:r>
            <w:r>
              <w:rPr>
                <w:rtl/>
              </w:rPr>
              <w:t xml:space="preserve">: - </w:t>
            </w:r>
            <w:r w:rsidRPr="00132E65">
              <w:rPr>
                <w:rtl/>
              </w:rPr>
              <w:t>« على »</w:t>
            </w:r>
            <w:r>
              <w:rPr>
                <w:rtl/>
              </w:rPr>
              <w:t>.</w:t>
            </w:r>
          </w:p>
        </w:tc>
      </w:tr>
      <w:tr w:rsidR="0044459B" w:rsidTr="0044459B">
        <w:tc>
          <w:tcPr>
            <w:tcW w:w="4261" w:type="dxa"/>
          </w:tcPr>
          <w:p w:rsidR="0044459B" w:rsidRDefault="0044459B" w:rsidP="000C39D1">
            <w:pPr>
              <w:pStyle w:val="libFootnote0"/>
              <w:rPr>
                <w:rtl/>
              </w:rPr>
            </w:pPr>
            <w:r>
              <w:rPr>
                <w:rtl/>
              </w:rPr>
              <w:t>(11).</w:t>
            </w:r>
            <w:r w:rsidRPr="00132E65">
              <w:rPr>
                <w:rtl/>
              </w:rPr>
              <w:t xml:space="preserve"> يجوز فيه البدليّة.</w:t>
            </w:r>
          </w:p>
        </w:tc>
        <w:tc>
          <w:tcPr>
            <w:tcW w:w="4262" w:type="dxa"/>
          </w:tcPr>
          <w:p w:rsidR="0044459B" w:rsidRDefault="0044459B" w:rsidP="000C39D1">
            <w:pPr>
              <w:pStyle w:val="libFootnote0"/>
              <w:rPr>
                <w:rtl/>
              </w:rPr>
            </w:pPr>
            <w:r>
              <w:rPr>
                <w:rtl/>
              </w:rPr>
              <w:t>(12).</w:t>
            </w:r>
            <w:r w:rsidRPr="00132E65">
              <w:rPr>
                <w:rtl/>
              </w:rPr>
              <w:t xml:space="preserve"> هكذا في ال</w:t>
            </w:r>
            <w:r w:rsidR="001E679F">
              <w:rPr>
                <w:rtl/>
              </w:rPr>
              <w:t>نسخ التي قوبلت. وفي المطبوع : «كان</w:t>
            </w:r>
            <w:r w:rsidRPr="00132E65">
              <w:rPr>
                <w:rtl/>
              </w:rPr>
              <w:t>»</w:t>
            </w:r>
            <w:r>
              <w:rPr>
                <w:rtl/>
              </w:rPr>
              <w:t>.</w:t>
            </w:r>
          </w:p>
        </w:tc>
      </w:tr>
    </w:tbl>
    <w:p w:rsidR="000C39D1" w:rsidRPr="00132E65" w:rsidRDefault="000C39D1" w:rsidP="000C39D1">
      <w:pPr>
        <w:pStyle w:val="libFootnote0"/>
        <w:rPr>
          <w:rtl/>
          <w:lang w:bidi="fa-IR"/>
        </w:rPr>
      </w:pPr>
      <w:r>
        <w:rPr>
          <w:rtl/>
        </w:rPr>
        <w:t>(13)</w:t>
      </w:r>
      <w:r w:rsidRPr="00132E65">
        <w:rPr>
          <w:rtl/>
        </w:rPr>
        <w:t xml:space="preserve"> في شرح المازندراني : « كان »</w:t>
      </w:r>
      <w:r>
        <w:rPr>
          <w:rtl/>
        </w:rPr>
        <w:t>.</w:t>
      </w:r>
      <w:r w:rsidRPr="00132E65">
        <w:rPr>
          <w:rtl/>
        </w:rPr>
        <w:t xml:space="preserve"> واختلف في انصراف فدك وعدمه واخترنا عدم الانصراف.</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1E679F">
      <w:pPr>
        <w:pStyle w:val="libNormal0"/>
        <w:tabs>
          <w:tab w:val="left" w:pos="3968"/>
        </w:tabs>
        <w:rPr>
          <w:rtl/>
          <w:lang w:bidi="fa-IR"/>
        </w:rPr>
      </w:pPr>
      <w:r w:rsidRPr="00132E65">
        <w:rPr>
          <w:rtl/>
          <w:lang w:bidi="fa-IR"/>
        </w:rPr>
        <w:t xml:space="preserve">لِرَسُولِ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w:t>
      </w:r>
      <w:r w:rsidRPr="00132E65">
        <w:rPr>
          <w:rtl/>
          <w:lang w:bidi="fa-IR"/>
        </w:rPr>
        <w:t xml:space="preserve"> خَاصَّةً ؛ لِأَنَّهُ </w:t>
      </w:r>
      <w:r w:rsidRPr="0093484F">
        <w:rPr>
          <w:rStyle w:val="libAlaemChar"/>
          <w:rFonts w:eastAsiaTheme="minorHAnsi"/>
          <w:rtl/>
        </w:rPr>
        <w:t>صلى‌الله‌عليه‌وآله</w:t>
      </w:r>
      <w:r w:rsidRPr="00132E65">
        <w:rPr>
          <w:rtl/>
          <w:lang w:bidi="fa-IR"/>
        </w:rPr>
        <w:t xml:space="preserve"> فَتَحَهَا و</w:t>
      </w:r>
      <w:r w:rsidR="001E679F">
        <w:rPr>
          <w:rFonts w:hint="cs"/>
          <w:rtl/>
          <w:lang w:bidi="fa-IR"/>
        </w:rPr>
        <w:t>َ</w:t>
      </w:r>
      <w:r w:rsidRPr="00132E65">
        <w:rPr>
          <w:rtl/>
          <w:lang w:bidi="fa-IR"/>
        </w:rPr>
        <w:t xml:space="preserve">أَمِيرَ الْمُؤْمِنِينَ </w:t>
      </w:r>
      <w:r w:rsidRPr="00071CF9">
        <w:rPr>
          <w:rStyle w:val="libAlaemChar"/>
          <w:rtl/>
        </w:rPr>
        <w:t>عليه‌السلام</w:t>
      </w:r>
      <w:r w:rsidRPr="00132E65">
        <w:rPr>
          <w:rtl/>
          <w:lang w:bidi="fa-IR"/>
        </w:rPr>
        <w:t xml:space="preserve"> ، لَمْ </w:t>
      </w:r>
      <w:r>
        <w:rPr>
          <w:rStyle w:val="libFootnotenumChar"/>
          <w:rtl/>
        </w:rPr>
        <w:t>(2)</w:t>
      </w:r>
      <w:r w:rsidRPr="00132E65">
        <w:rPr>
          <w:rtl/>
          <w:lang w:bidi="fa-IR"/>
        </w:rPr>
        <w:t xml:space="preserve"> يَكُنْ مَعَهُمَا أَحَدٌ ، فَزَالَ عَنْهَا اسْمُ الْفَيْ‌ءِ ، و</w:t>
      </w:r>
      <w:r w:rsidR="001E679F">
        <w:rPr>
          <w:rFonts w:hint="cs"/>
          <w:rtl/>
          <w:lang w:bidi="fa-IR"/>
        </w:rPr>
        <w:t>َ</w:t>
      </w:r>
      <w:r w:rsidRPr="00132E65">
        <w:rPr>
          <w:rtl/>
          <w:lang w:bidi="fa-IR"/>
        </w:rPr>
        <w:t>لَزِمَهَا اسْمُ الْأَنْفَالِ ؛ و</w:t>
      </w:r>
      <w:r w:rsidR="001E679F">
        <w:rPr>
          <w:rFonts w:hint="cs"/>
          <w:rtl/>
          <w:lang w:bidi="fa-IR"/>
        </w:rPr>
        <w:t>َ</w:t>
      </w:r>
      <w:r w:rsidRPr="00132E65">
        <w:rPr>
          <w:rtl/>
          <w:lang w:bidi="fa-IR"/>
        </w:rPr>
        <w:t xml:space="preserve">كَذلِكَ الْآجَامُ </w:t>
      </w:r>
      <w:r>
        <w:rPr>
          <w:rStyle w:val="libFootnotenumChar"/>
          <w:rtl/>
        </w:rPr>
        <w:t>(3)</w:t>
      </w:r>
      <w:r w:rsidRPr="00132E65">
        <w:rPr>
          <w:rtl/>
          <w:lang w:bidi="fa-IR"/>
        </w:rPr>
        <w:t xml:space="preserve"> و</w:t>
      </w:r>
      <w:r w:rsidR="001E679F">
        <w:rPr>
          <w:rFonts w:hint="cs"/>
          <w:rtl/>
          <w:lang w:bidi="fa-IR"/>
        </w:rPr>
        <w:t>َ</w:t>
      </w:r>
      <w:r w:rsidRPr="00132E65">
        <w:rPr>
          <w:rtl/>
          <w:lang w:bidi="fa-IR"/>
        </w:rPr>
        <w:t>الْمَعَادِنُ و</w:t>
      </w:r>
      <w:r w:rsidR="001E679F">
        <w:rPr>
          <w:rFonts w:hint="cs"/>
          <w:rtl/>
          <w:lang w:bidi="fa-IR"/>
        </w:rPr>
        <w:t>َ</w:t>
      </w:r>
      <w:r w:rsidRPr="00132E65">
        <w:rPr>
          <w:rtl/>
          <w:lang w:bidi="fa-IR"/>
        </w:rPr>
        <w:t xml:space="preserve">الْبِحَارُ وَالْمَفَاوِزُ </w:t>
      </w:r>
      <w:r>
        <w:rPr>
          <w:rStyle w:val="libFootnotenumChar"/>
          <w:rtl/>
        </w:rPr>
        <w:t>(4)</w:t>
      </w:r>
      <w:r w:rsidRPr="00132E65">
        <w:rPr>
          <w:rtl/>
          <w:lang w:bidi="fa-IR"/>
        </w:rPr>
        <w:t xml:space="preserve"> هِيَ لِلْإِمَامِ خَاصَّةً ، فَإِنْ عَمِلَ فِيهَا قَوْمٌ بِإِذْنِ الْإِمَامِ ، فَلَهُمْ أَرْبَعَةُ أَخْمَاسٍ ، وَلِلْإِمَامِ خُمُسٌ ، و</w:t>
      </w:r>
      <w:r w:rsidR="001E679F">
        <w:rPr>
          <w:rFonts w:hint="cs"/>
          <w:rtl/>
          <w:lang w:bidi="fa-IR"/>
        </w:rPr>
        <w:t>َ</w:t>
      </w:r>
      <w:r w:rsidRPr="00132E65">
        <w:rPr>
          <w:rtl/>
          <w:lang w:bidi="fa-IR"/>
        </w:rPr>
        <w:t>الَّذِي لِلْإِمَامِ يَجْرِي مَجْرَى</w:t>
      </w:r>
      <w:r w:rsidR="001E679F">
        <w:rPr>
          <w:rFonts w:hint="cs"/>
          <w:rtl/>
          <w:lang w:bidi="fa-IR"/>
        </w:rPr>
        <w:t xml:space="preserve"> </w:t>
      </w:r>
      <w:r w:rsidRPr="00132E65">
        <w:rPr>
          <w:rtl/>
          <w:lang w:bidi="fa-IR"/>
        </w:rPr>
        <w:t>‌الْخُمُسِ ، و</w:t>
      </w:r>
      <w:r w:rsidR="001E679F">
        <w:rPr>
          <w:rFonts w:hint="cs"/>
          <w:rtl/>
          <w:lang w:bidi="fa-IR"/>
        </w:rPr>
        <w:t>َ</w:t>
      </w:r>
      <w:r w:rsidRPr="00132E65">
        <w:rPr>
          <w:rtl/>
          <w:lang w:bidi="fa-IR"/>
        </w:rPr>
        <w:t xml:space="preserve">مَنْ عَمِلَ فِيهَا بِغَيْرِ إِذْنِ الْإِمَامِ ، فَالْإِمَامُ </w:t>
      </w:r>
      <w:r>
        <w:rPr>
          <w:rStyle w:val="libFootnotenumChar"/>
          <w:rtl/>
        </w:rPr>
        <w:t>(5)</w:t>
      </w:r>
      <w:r w:rsidRPr="00132E65">
        <w:rPr>
          <w:rtl/>
          <w:lang w:bidi="fa-IR"/>
        </w:rPr>
        <w:t xml:space="preserve"> يَأْخُذُهُ كُلَّهُ ، لَيْسَ لِأَحَدٍ فِيهِ شَيْ‌ءٌ ، و</w:t>
      </w:r>
      <w:r w:rsidR="001E679F">
        <w:rPr>
          <w:rFonts w:hint="cs"/>
          <w:rtl/>
          <w:lang w:bidi="fa-IR"/>
        </w:rPr>
        <w:t>َ</w:t>
      </w:r>
      <w:r w:rsidRPr="00132E65">
        <w:rPr>
          <w:rtl/>
          <w:lang w:bidi="fa-IR"/>
        </w:rPr>
        <w:t xml:space="preserve">كَذلِكَ مَنْ عَمَّرَ شَيْئاً ، أَوْ أَجْرى قَنَاةً ، أَوْ عَمِلَ فِي أَرْضٍ خَرَابٍ بِغَيْرِ إِذْنِ صَاحِبِ الْأَرْضِ ، فَلَيْسَ لَهُ ذلِكَ ، فَإِنْ شَاءَ أَخَذَهَا مِنْهُ كُلَّهَا </w:t>
      </w:r>
      <w:r>
        <w:rPr>
          <w:rStyle w:val="libFootnotenumChar"/>
          <w:rtl/>
        </w:rPr>
        <w:t>(6)</w:t>
      </w:r>
      <w:r w:rsidRPr="00132E65">
        <w:rPr>
          <w:rtl/>
          <w:lang w:bidi="fa-IR"/>
        </w:rPr>
        <w:t xml:space="preserve"> ، و</w:t>
      </w:r>
      <w:r w:rsidR="001E679F">
        <w:rPr>
          <w:rFonts w:hint="cs"/>
          <w:rtl/>
          <w:lang w:bidi="fa-IR"/>
        </w:rPr>
        <w:t>َ</w:t>
      </w:r>
      <w:r w:rsidRPr="00132E65">
        <w:rPr>
          <w:rtl/>
          <w:lang w:bidi="fa-IR"/>
        </w:rPr>
        <w:t xml:space="preserve">إِنْ شَاءَ تَرَكَهَا فِي يَدِهِ </w:t>
      </w:r>
      <w:r>
        <w:rPr>
          <w:rStyle w:val="libFootnotenumChar"/>
          <w:rtl/>
        </w:rPr>
        <w:t>(7)</w:t>
      </w:r>
      <w:r w:rsidR="001E679F">
        <w:rPr>
          <w:rFonts w:hint="cs"/>
          <w:rtl/>
          <w:lang w:bidi="fa-IR"/>
        </w:rPr>
        <w:t>.</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30274E">
        <w:rPr>
          <w:rtl/>
        </w:rPr>
        <w:t>1421</w:t>
      </w:r>
      <w:r w:rsidRPr="004325D8">
        <w:rPr>
          <w:rStyle w:val="libBold2Char"/>
          <w:rtl/>
        </w:rPr>
        <w:t xml:space="preserve"> / 1.</w:t>
      </w:r>
      <w:r w:rsidRPr="00132E65">
        <w:rPr>
          <w:rtl/>
          <w:lang w:bidi="fa-IR"/>
        </w:rPr>
        <w:t xml:space="preserve"> عَلِيُّ بْنُ إِبْرَاهِيمَ ، عَنْ أَبِيهِ ، عَنْ حَمَّادِ بْنِ عِيسى </w:t>
      </w:r>
      <w:r>
        <w:rPr>
          <w:rStyle w:val="libFootnotenumChar"/>
          <w:rtl/>
        </w:rPr>
        <w:t>(9)</w:t>
      </w:r>
      <w:r w:rsidRPr="00132E65">
        <w:rPr>
          <w:rtl/>
          <w:lang w:bidi="fa-IR"/>
        </w:rPr>
        <w:t xml:space="preserve"> ، عَنْ إِبْرَاهِيمَ بْنِ عُمَرَ الْيَمَانِيِّ ، عَنْ أَبَانِ بْنِ أَبِي عَيَّاشٍ ، عَنْ سُلَيْمِ بْنِ قَيْسٍ ، قَالَ :</w:t>
      </w:r>
    </w:p>
    <w:p w:rsidR="000C39D1" w:rsidRPr="00132E65" w:rsidRDefault="000C39D1" w:rsidP="000C39D1">
      <w:pPr>
        <w:pStyle w:val="libNormal"/>
        <w:rPr>
          <w:rtl/>
          <w:lang w:bidi="fa-IR"/>
        </w:rPr>
      </w:pPr>
      <w:r w:rsidRPr="00132E65">
        <w:rPr>
          <w:rtl/>
          <w:lang w:bidi="fa-IR"/>
        </w:rPr>
        <w:t xml:space="preserve">سَمِعْتُ أَمِيرَ الْمُؤْمِنِينَ </w:t>
      </w:r>
      <w:r w:rsidRPr="00071CF9">
        <w:rPr>
          <w:rStyle w:val="libAlaemChar"/>
          <w:rtl/>
        </w:rPr>
        <w:t>عليه‌السلام</w:t>
      </w:r>
      <w:r w:rsidRPr="00132E65">
        <w:rPr>
          <w:rtl/>
          <w:lang w:bidi="fa-IR"/>
        </w:rPr>
        <w:t xml:space="preserve"> يَقُولُ : « نَحْنُ و</w:t>
      </w:r>
      <w:r w:rsidR="001E679F">
        <w:rPr>
          <w:rFonts w:hint="cs"/>
          <w:rtl/>
          <w:lang w:bidi="fa-IR"/>
        </w:rPr>
        <w:t>َ</w:t>
      </w:r>
      <w:r w:rsidRPr="00132E65">
        <w:rPr>
          <w:rtl/>
          <w:lang w:bidi="fa-IR"/>
        </w:rPr>
        <w:t xml:space="preserve">اللهِ الَّذِينَ </w:t>
      </w:r>
      <w:r>
        <w:rPr>
          <w:rStyle w:val="libFootnotenumChar"/>
          <w:rtl/>
        </w:rPr>
        <w:t>(10)</w:t>
      </w:r>
      <w:r w:rsidRPr="00132E65">
        <w:rPr>
          <w:rtl/>
          <w:lang w:bidi="fa-IR"/>
        </w:rPr>
        <w:t xml:space="preserve"> عَنَى اللهُ بِذِي </w:t>
      </w:r>
      <w:r>
        <w:rPr>
          <w:rStyle w:val="libFootnotenumChar"/>
          <w:rtl/>
        </w:rPr>
        <w:t>(11)</w:t>
      </w:r>
      <w:r w:rsidRPr="00132E65">
        <w:rPr>
          <w:rtl/>
          <w:lang w:bidi="fa-IR"/>
        </w:rPr>
        <w:t xml:space="preserve"> الْقُرْبَى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بف » :</w:t>
      </w:r>
      <w:r>
        <w:rPr>
          <w:rtl/>
        </w:rPr>
        <w:t xml:space="preserve"> + </w:t>
      </w:r>
      <w:r w:rsidRPr="00132E65">
        <w:rPr>
          <w:rtl/>
        </w:rPr>
        <w:t>« له »</w:t>
      </w:r>
      <w:r>
        <w:rPr>
          <w:rtl/>
        </w:rPr>
        <w:t>.</w:t>
      </w:r>
      <w:r w:rsidRPr="00132E65">
        <w:rPr>
          <w:rtl/>
        </w:rPr>
        <w:t xml:space="preserve"> وفي « بس » : « للرسول » بدل « لرسول الله </w:t>
      </w:r>
      <w:r w:rsidRPr="001E679F">
        <w:rPr>
          <w:rStyle w:val="libFootnoteAlaemChar"/>
          <w:rFonts w:eastAsiaTheme="minorHAnsi"/>
          <w:rtl/>
        </w:rPr>
        <w:t>صلى‌الله‌عليه‌وآله</w:t>
      </w:r>
      <w:r w:rsidRPr="00132E65">
        <w:rPr>
          <w:rtl/>
          <w:lang w:bidi="fa-IR"/>
        </w:rPr>
        <w:t xml:space="preserve"> </w:t>
      </w:r>
      <w:r w:rsidRPr="00132E65">
        <w:rPr>
          <w:rtl/>
        </w:rPr>
        <w:t>»</w:t>
      </w:r>
      <w:r>
        <w:rPr>
          <w:rtl/>
        </w:rPr>
        <w:t>.</w:t>
      </w:r>
    </w:p>
    <w:p w:rsidR="000C39D1" w:rsidRPr="00132E65" w:rsidRDefault="000C39D1" w:rsidP="000C39D1">
      <w:pPr>
        <w:pStyle w:val="libFootnote0"/>
        <w:rPr>
          <w:rtl/>
          <w:lang w:bidi="fa-IR"/>
        </w:rPr>
      </w:pPr>
      <w:r>
        <w:rPr>
          <w:rtl/>
        </w:rPr>
        <w:t>(2).</w:t>
      </w:r>
      <w:r w:rsidRPr="00132E65">
        <w:rPr>
          <w:rtl/>
        </w:rPr>
        <w:t xml:space="preserve"> في « بس » : « ولم »</w:t>
      </w:r>
      <w:r>
        <w:rPr>
          <w:rtl/>
        </w:rPr>
        <w:t>.</w:t>
      </w:r>
    </w:p>
    <w:p w:rsidR="000C39D1" w:rsidRPr="00132E65" w:rsidRDefault="000C39D1" w:rsidP="000C39D1">
      <w:pPr>
        <w:pStyle w:val="libFootnote0"/>
        <w:rPr>
          <w:rtl/>
          <w:lang w:bidi="fa-IR"/>
        </w:rPr>
      </w:pPr>
      <w:r>
        <w:rPr>
          <w:rtl/>
        </w:rPr>
        <w:t>(3).</w:t>
      </w:r>
      <w:r w:rsidRPr="00132E65">
        <w:rPr>
          <w:rtl/>
        </w:rPr>
        <w:t xml:space="preserve"> « الآجام » : جم</w:t>
      </w:r>
      <w:r w:rsidR="001E679F">
        <w:rPr>
          <w:rtl/>
        </w:rPr>
        <w:t>ع الجمع لأجَمَة ، وهي الشجر الم</w:t>
      </w:r>
      <w:r w:rsidR="001E679F">
        <w:rPr>
          <w:rFonts w:hint="cs"/>
          <w:rtl/>
        </w:rPr>
        <w:t>ـُ</w:t>
      </w:r>
      <w:r w:rsidRPr="00132E65">
        <w:rPr>
          <w:rtl/>
        </w:rPr>
        <w:t xml:space="preserve">لْتَفّ. </w:t>
      </w:r>
      <w:r w:rsidRPr="001E679F">
        <w:rPr>
          <w:rStyle w:val="libFootnoteBoldChar"/>
          <w:rtl/>
        </w:rPr>
        <w:t>المصباح المنير</w:t>
      </w:r>
      <w:r w:rsidRPr="00132E65">
        <w:rPr>
          <w:rtl/>
        </w:rPr>
        <w:t xml:space="preserve"> ، ص 6 ( أجم )</w:t>
      </w:r>
      <w:r>
        <w:rPr>
          <w:rtl/>
        </w:rPr>
        <w:t>.</w:t>
      </w:r>
    </w:p>
    <w:p w:rsidR="000C39D1" w:rsidRPr="00132E65" w:rsidRDefault="000C39D1" w:rsidP="000C39D1">
      <w:pPr>
        <w:pStyle w:val="libFootnote0"/>
        <w:rPr>
          <w:rtl/>
          <w:lang w:bidi="fa-IR"/>
        </w:rPr>
      </w:pPr>
      <w:r>
        <w:rPr>
          <w:rtl/>
        </w:rPr>
        <w:t>(4).</w:t>
      </w:r>
      <w:r w:rsidRPr="00132E65">
        <w:rPr>
          <w:rtl/>
        </w:rPr>
        <w:t xml:space="preserve"> « المفازة » : البَرّيّة القفر ، وهي الخلأ من الأرض ، لا ماء فيه ولا ناس ولا كلأ. قال ابن الأعرابي : سمّيت بذلك</w:t>
      </w:r>
      <w:r w:rsidR="001E679F">
        <w:rPr>
          <w:rFonts w:hint="cs"/>
          <w:rtl/>
        </w:rPr>
        <w:t xml:space="preserve"> </w:t>
      </w:r>
      <w:r w:rsidRPr="00132E65">
        <w:rPr>
          <w:rtl/>
        </w:rPr>
        <w:t xml:space="preserve">‌لأنّها مهلكة من فوّز ، أي هلك. وقال الأصمعي : سمّيت بذلك تفاؤلاً بالسلامة والفوز. </w:t>
      </w:r>
      <w:r w:rsidRPr="001E679F">
        <w:rPr>
          <w:rStyle w:val="libFootnoteBoldChar"/>
          <w:rtl/>
        </w:rPr>
        <w:t>الصحاح</w:t>
      </w:r>
      <w:r w:rsidRPr="00132E65">
        <w:rPr>
          <w:rtl/>
        </w:rPr>
        <w:t xml:space="preserve"> ، ج 3 ، ص 890 ؛ </w:t>
      </w:r>
      <w:r w:rsidRPr="001E679F">
        <w:rPr>
          <w:rStyle w:val="libFootnoteBoldChar"/>
          <w:rtl/>
        </w:rPr>
        <w:t>النهاية</w:t>
      </w:r>
      <w:r w:rsidRPr="00132E65">
        <w:rPr>
          <w:rtl/>
        </w:rPr>
        <w:t xml:space="preserve"> ، ج 3 ، ص 478 ( فوز )</w:t>
      </w:r>
      <w:r>
        <w:rPr>
          <w:rtl/>
        </w:rPr>
        <w:t>.</w:t>
      </w:r>
    </w:p>
    <w:p w:rsidR="000C39D1" w:rsidRPr="00132E65" w:rsidRDefault="000C39D1" w:rsidP="000C39D1">
      <w:pPr>
        <w:pStyle w:val="libFootnote0"/>
        <w:rPr>
          <w:rtl/>
          <w:lang w:bidi="fa-IR"/>
        </w:rPr>
      </w:pPr>
      <w:r>
        <w:rPr>
          <w:rtl/>
        </w:rPr>
        <w:t>(5).</w:t>
      </w:r>
      <w:r w:rsidRPr="00132E65">
        <w:rPr>
          <w:rtl/>
        </w:rPr>
        <w:t xml:space="preserve"> في « ب » : « فللإمام أن »</w:t>
      </w:r>
      <w:r>
        <w:rPr>
          <w:rtl/>
        </w:rPr>
        <w:t>.</w:t>
      </w:r>
      <w:r w:rsidRPr="00132E65">
        <w:rPr>
          <w:rtl/>
        </w:rPr>
        <w:t xml:space="preserve"> وفي « ف » : « فإنّ الإمام »</w:t>
      </w:r>
      <w:r>
        <w:rPr>
          <w:rtl/>
        </w:rPr>
        <w:t>.</w:t>
      </w:r>
    </w:p>
    <w:p w:rsidR="000C39D1" w:rsidRPr="00132E65" w:rsidRDefault="000C39D1" w:rsidP="000C39D1">
      <w:pPr>
        <w:pStyle w:val="libFootnote0"/>
        <w:rPr>
          <w:rtl/>
          <w:lang w:bidi="fa-IR"/>
        </w:rPr>
      </w:pPr>
      <w:r>
        <w:rPr>
          <w:rtl/>
        </w:rPr>
        <w:t>(6).</w:t>
      </w:r>
      <w:r w:rsidRPr="00132E65">
        <w:rPr>
          <w:rtl/>
        </w:rPr>
        <w:t xml:space="preserve"> في « ف » </w:t>
      </w:r>
      <w:r>
        <w:rPr>
          <w:rtl/>
        </w:rPr>
        <w:t xml:space="preserve">: - </w:t>
      </w:r>
      <w:r w:rsidRPr="00132E65">
        <w:rPr>
          <w:rtl/>
        </w:rPr>
        <w:t>« كلّها »</w:t>
      </w:r>
      <w:r>
        <w:rPr>
          <w:rtl/>
        </w:rPr>
        <w:t>.</w:t>
      </w:r>
    </w:p>
    <w:p w:rsidR="000C39D1" w:rsidRPr="00132E65" w:rsidRDefault="000C39D1" w:rsidP="000C39D1">
      <w:pPr>
        <w:pStyle w:val="libFootnote0"/>
        <w:rPr>
          <w:rtl/>
          <w:lang w:bidi="fa-IR"/>
        </w:rPr>
      </w:pPr>
      <w:r>
        <w:rPr>
          <w:rtl/>
        </w:rPr>
        <w:t>(7).</w:t>
      </w:r>
      <w:r w:rsidRPr="00132E65">
        <w:rPr>
          <w:rtl/>
        </w:rPr>
        <w:t xml:space="preserve"> في « ب ، ج ، ف ، بس » وحاشية « بح » : « يديه »</w:t>
      </w:r>
      <w:r>
        <w:rPr>
          <w:rtl/>
        </w:rPr>
        <w:t>.</w:t>
      </w:r>
    </w:p>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10 ، ص 282 ، ذيل ح 9588.</w:t>
      </w:r>
    </w:p>
    <w:p w:rsidR="000C39D1" w:rsidRPr="00132E65" w:rsidRDefault="000C39D1" w:rsidP="000C39D1">
      <w:pPr>
        <w:pStyle w:val="libFootnote0"/>
        <w:rPr>
          <w:rtl/>
          <w:lang w:bidi="fa-IR"/>
        </w:rPr>
      </w:pPr>
      <w:r>
        <w:rPr>
          <w:rtl/>
        </w:rPr>
        <w:t>(9).</w:t>
      </w:r>
      <w:r w:rsidRPr="00132E65">
        <w:rPr>
          <w:rtl/>
        </w:rPr>
        <w:t xml:space="preserve"> في الوسائل :</w:t>
      </w:r>
      <w:r>
        <w:rPr>
          <w:rtl/>
        </w:rPr>
        <w:t xml:space="preserve"> + </w:t>
      </w:r>
      <w:r w:rsidRPr="00132E65">
        <w:rPr>
          <w:rtl/>
        </w:rPr>
        <w:t>« عن عمر بن اذينة »</w:t>
      </w:r>
      <w:r>
        <w:rPr>
          <w:rtl/>
        </w:rPr>
        <w:t>.</w:t>
      </w:r>
      <w:r w:rsidRPr="00132E65">
        <w:rPr>
          <w:rtl/>
        </w:rPr>
        <w:t xml:space="preserve"> وهو سهو ؛ فقد روى حمّاد بن عيسى كتاب إبراهيم بن عمر اليماني</w:t>
      </w:r>
      <w:r w:rsidR="001E679F">
        <w:rPr>
          <w:rFonts w:hint="cs"/>
          <w:rtl/>
        </w:rPr>
        <w:t xml:space="preserve"> </w:t>
      </w:r>
      <w:r w:rsidRPr="00132E65">
        <w:rPr>
          <w:rtl/>
        </w:rPr>
        <w:t xml:space="preserve">‌وتكرّرت روايته عنه في الأسناد مباشرةً. راجع : </w:t>
      </w:r>
      <w:r w:rsidRPr="001E679F">
        <w:rPr>
          <w:rStyle w:val="libFootnoteBoldChar"/>
          <w:rtl/>
        </w:rPr>
        <w:t>رجال النجاشي</w:t>
      </w:r>
      <w:r w:rsidRPr="00132E65">
        <w:rPr>
          <w:rtl/>
        </w:rPr>
        <w:t xml:space="preserve"> ، ص 20 ، الرقم 26 ؛ </w:t>
      </w:r>
      <w:r w:rsidRPr="001E679F">
        <w:rPr>
          <w:rStyle w:val="libFootnoteBoldChar"/>
          <w:rtl/>
        </w:rPr>
        <w:t>الفهرست للطوسي</w:t>
      </w:r>
      <w:r w:rsidRPr="00132E65">
        <w:rPr>
          <w:rtl/>
        </w:rPr>
        <w:t xml:space="preserve"> ، ص 21 ، الرقم 20 ؛ </w:t>
      </w:r>
      <w:r w:rsidRPr="001E679F">
        <w:rPr>
          <w:rStyle w:val="libFootnoteBoldChar"/>
          <w:rtl/>
        </w:rPr>
        <w:t>معجم رجال الحديث</w:t>
      </w:r>
      <w:r w:rsidRPr="00132E65">
        <w:rPr>
          <w:rtl/>
        </w:rPr>
        <w:t xml:space="preserve"> ، ج 6 ، ص 425</w:t>
      </w:r>
      <w:r>
        <w:rPr>
          <w:rtl/>
        </w:rPr>
        <w:t xml:space="preserve"> - </w:t>
      </w:r>
      <w:r w:rsidRPr="00132E65">
        <w:rPr>
          <w:rtl/>
        </w:rPr>
        <w:t>/ 426.</w:t>
      </w:r>
    </w:p>
    <w:p w:rsidR="000C39D1" w:rsidRPr="00132E65" w:rsidRDefault="000C39D1" w:rsidP="000C39D1">
      <w:pPr>
        <w:pStyle w:val="libFootnote0"/>
        <w:rPr>
          <w:rtl/>
          <w:lang w:bidi="fa-IR"/>
        </w:rPr>
      </w:pPr>
      <w:r w:rsidRPr="00F24C1F">
        <w:rPr>
          <w:rtl/>
        </w:rPr>
        <w:t xml:space="preserve">أضف إلى ذلك ما تقدّم في </w:t>
      </w:r>
      <w:r w:rsidRPr="000577A7">
        <w:rPr>
          <w:rStyle w:val="libFootnoteBoldChar"/>
          <w:rtl/>
        </w:rPr>
        <w:t>الكافي</w:t>
      </w:r>
      <w:r w:rsidRPr="00F24C1F">
        <w:rPr>
          <w:rtl/>
        </w:rPr>
        <w:t xml:space="preserve"> ، ذيل ح 504 ، من أنّ هذا السند أحد الطرق إلى كتاب سليم بن قيس.</w:t>
      </w:r>
    </w:p>
    <w:tbl>
      <w:tblPr>
        <w:tblStyle w:val="TableGrid"/>
        <w:bidiVisual/>
        <w:tblW w:w="0" w:type="auto"/>
        <w:tblLook w:val="04A0" w:firstRow="1" w:lastRow="0" w:firstColumn="1" w:lastColumn="0" w:noHBand="0" w:noVBand="1"/>
      </w:tblPr>
      <w:tblGrid>
        <w:gridCol w:w="4261"/>
        <w:gridCol w:w="4262"/>
      </w:tblGrid>
      <w:tr w:rsidR="001E679F" w:rsidTr="001E679F">
        <w:tc>
          <w:tcPr>
            <w:tcW w:w="4261" w:type="dxa"/>
          </w:tcPr>
          <w:p w:rsidR="001E679F" w:rsidRDefault="001E679F" w:rsidP="000C39D1">
            <w:pPr>
              <w:pStyle w:val="libFootnote0"/>
              <w:rPr>
                <w:rtl/>
              </w:rPr>
            </w:pPr>
            <w:r>
              <w:rPr>
                <w:rtl/>
              </w:rPr>
              <w:t>(10).</w:t>
            </w:r>
            <w:r w:rsidRPr="00132E65">
              <w:rPr>
                <w:rtl/>
              </w:rPr>
              <w:t xml:space="preserve"> في « ض ، بح » : « الذي »</w:t>
            </w:r>
            <w:r>
              <w:rPr>
                <w:rtl/>
              </w:rPr>
              <w:t>.</w:t>
            </w:r>
          </w:p>
        </w:tc>
        <w:tc>
          <w:tcPr>
            <w:tcW w:w="4262" w:type="dxa"/>
          </w:tcPr>
          <w:p w:rsidR="001E679F" w:rsidRDefault="001E679F" w:rsidP="000C39D1">
            <w:pPr>
              <w:pStyle w:val="libFootnote0"/>
              <w:rPr>
                <w:rtl/>
              </w:rPr>
            </w:pPr>
            <w:r>
              <w:rPr>
                <w:rtl/>
              </w:rPr>
              <w:t>(11).</w:t>
            </w:r>
            <w:r w:rsidRPr="00132E65">
              <w:rPr>
                <w:rtl/>
              </w:rPr>
              <w:t xml:space="preserve"> في « ف » : « بذوي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الَّذِينَ </w:t>
      </w:r>
      <w:r>
        <w:rPr>
          <w:rStyle w:val="libFootnotenumChar"/>
          <w:rtl/>
        </w:rPr>
        <w:t>(1)</w:t>
      </w:r>
      <w:r w:rsidRPr="00132E65">
        <w:rPr>
          <w:rtl/>
          <w:lang w:bidi="fa-IR"/>
        </w:rPr>
        <w:t xml:space="preserve"> قَرَنَهُمُ </w:t>
      </w:r>
      <w:r>
        <w:rPr>
          <w:rStyle w:val="libFootnotenumChar"/>
          <w:rtl/>
        </w:rPr>
        <w:t>(2)</w:t>
      </w:r>
      <w:r w:rsidRPr="00132E65">
        <w:rPr>
          <w:rtl/>
          <w:lang w:bidi="fa-IR"/>
        </w:rPr>
        <w:t xml:space="preserve"> اللهُ بِنَفْسِهِ و</w:t>
      </w:r>
      <w:r w:rsidR="001E679F">
        <w:rPr>
          <w:rFonts w:hint="cs"/>
          <w:rtl/>
          <w:lang w:bidi="fa-IR"/>
        </w:rPr>
        <w:t>َ</w:t>
      </w:r>
      <w:r w:rsidRPr="00132E65">
        <w:rPr>
          <w:rtl/>
          <w:lang w:bidi="fa-IR"/>
        </w:rPr>
        <w:t xml:space="preserve">نَبِيِّهِ </w:t>
      </w:r>
      <w:r>
        <w:rPr>
          <w:rStyle w:val="libFootnotenumChar"/>
          <w:rtl/>
        </w:rPr>
        <w:t>(3)</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 فَقَالَ : </w:t>
      </w:r>
      <w:r w:rsidRPr="00071CF9">
        <w:rPr>
          <w:rStyle w:val="libAlaemChar"/>
          <w:rtl/>
        </w:rPr>
        <w:t>(</w:t>
      </w:r>
      <w:r w:rsidRPr="00071CF9">
        <w:rPr>
          <w:rStyle w:val="libAieChar"/>
          <w:rtl/>
        </w:rPr>
        <w:t xml:space="preserve"> ما أَفاءَ اللهُ عَلى رَسُولِهِ مِنْ أَهْلِ الْقُرى فَلِلّهِ وَلِلرَّسُولِ وَلِذِي الْقُرْبى وَالْيَتامى وَالْمَساكِينِ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مِنَّا خَاصَّةً ، و</w:t>
      </w:r>
      <w:r w:rsidR="001E679F">
        <w:rPr>
          <w:rFonts w:hint="cs"/>
          <w:rtl/>
          <w:lang w:bidi="fa-IR"/>
        </w:rPr>
        <w:t>َ</w:t>
      </w:r>
      <w:r>
        <w:rPr>
          <w:rFonts w:hint="cs"/>
          <w:rtl/>
          <w:lang w:bidi="fa-IR"/>
        </w:rPr>
        <w:t xml:space="preserve"> </w:t>
      </w:r>
      <w:r>
        <w:rPr>
          <w:rStyle w:val="libFootnotenumChar"/>
          <w:rtl/>
        </w:rPr>
        <w:t>(5)</w:t>
      </w:r>
      <w:r w:rsidRPr="00132E65">
        <w:rPr>
          <w:rtl/>
          <w:lang w:bidi="fa-IR"/>
        </w:rPr>
        <w:t xml:space="preserve"> لَمْ يَجْعَلْ لَنَا سَهْماً فِي الصَّدَقَةِ </w:t>
      </w:r>
      <w:r>
        <w:rPr>
          <w:rStyle w:val="libFootnotenumChar"/>
          <w:rtl/>
        </w:rPr>
        <w:t>(6)</w:t>
      </w:r>
      <w:r w:rsidRPr="00132E65">
        <w:rPr>
          <w:rtl/>
          <w:lang w:bidi="fa-IR"/>
        </w:rPr>
        <w:t xml:space="preserve"> ، أَكْرَمَ اللهُ نَبِيَّهُ و</w:t>
      </w:r>
      <w:r w:rsidR="001E679F">
        <w:rPr>
          <w:rFonts w:hint="cs"/>
          <w:rtl/>
          <w:lang w:bidi="fa-IR"/>
        </w:rPr>
        <w:t>َ</w:t>
      </w:r>
      <w:r w:rsidRPr="00132E65">
        <w:rPr>
          <w:rtl/>
          <w:lang w:bidi="fa-IR"/>
        </w:rPr>
        <w:t xml:space="preserve">أَكْرَمَنَا أَنْ يُطْعِمَنَا أَوْسَاخَ مَا فِي </w:t>
      </w:r>
      <w:r>
        <w:rPr>
          <w:rStyle w:val="libFootnotenumChar"/>
          <w:rtl/>
        </w:rPr>
        <w:t>(7)</w:t>
      </w:r>
      <w:r w:rsidRPr="00132E65">
        <w:rPr>
          <w:rtl/>
          <w:lang w:bidi="fa-IR"/>
        </w:rPr>
        <w:t xml:space="preserve"> أَيْدِي النَّاسِ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85745F">
        <w:rPr>
          <w:rtl/>
        </w:rPr>
        <w:t>1422</w:t>
      </w:r>
      <w:r w:rsidRPr="004325D8">
        <w:rPr>
          <w:rStyle w:val="libBold2Char"/>
          <w:rtl/>
        </w:rPr>
        <w:t xml:space="preserve"> / 2.</w:t>
      </w:r>
      <w:r w:rsidRPr="00132E65">
        <w:rPr>
          <w:rtl/>
          <w:lang w:bidi="fa-IR"/>
        </w:rPr>
        <w:t xml:space="preserve"> الْحُسَيْنُ بْنُ مُحَمَّدٍ ، عَنْ مُعَلَّى بْنِ مُحَمَّدٍ ، عَنِ الْوَشَّاءِ ، عَنْ أَبَانٍ ، عَنْ مُحَمَّدِ</w:t>
      </w:r>
      <w:r w:rsidR="00C50204">
        <w:rPr>
          <w:rtl/>
          <w:lang w:bidi="fa-IR"/>
        </w:rPr>
        <w:t xml:space="preserve"> بْنِ مُسْلِمٍ</w:t>
      </w:r>
      <w:r w:rsidRPr="00132E65">
        <w:rPr>
          <w:rtl/>
          <w:lang w:bidi="fa-IR"/>
        </w:rPr>
        <w:t>:</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فِي قَوْلِ اللهِ عَزَّوَجَلَّ : </w:t>
      </w:r>
      <w:r w:rsidRPr="00071CF9">
        <w:rPr>
          <w:rStyle w:val="libAlaemChar"/>
          <w:rtl/>
        </w:rPr>
        <w:t>(</w:t>
      </w:r>
      <w:r w:rsidRPr="00071CF9">
        <w:rPr>
          <w:rStyle w:val="libAieChar"/>
          <w:rtl/>
        </w:rPr>
        <w:t xml:space="preserve"> وَاعْلَمُوا أَنَّما غَنِمْتُمْ مِنْ شَيْ‌ءٍ فَأَنَّ لِلّهِ خُمُسَهُ وَلِلرَّسُولِ وَلِذِي الْقُرْبى </w:t>
      </w:r>
      <w:r w:rsidRPr="00071CF9">
        <w:rPr>
          <w:rStyle w:val="libAlaemChar"/>
          <w:rtl/>
        </w:rPr>
        <w:t>)</w:t>
      </w:r>
      <w:r w:rsidRPr="00132E65">
        <w:rPr>
          <w:rtl/>
          <w:lang w:bidi="fa-IR"/>
        </w:rPr>
        <w:t xml:space="preserve"> </w:t>
      </w:r>
      <w:r>
        <w:rPr>
          <w:rStyle w:val="libFootnotenumChar"/>
          <w:rtl/>
        </w:rPr>
        <w:t>(9)</w:t>
      </w:r>
      <w:r w:rsidRPr="00132E65">
        <w:rPr>
          <w:rtl/>
          <w:lang w:bidi="fa-IR"/>
        </w:rPr>
        <w:t xml:space="preserve"> قَالَ : « هُمْ قَرَابَةُ رَسُولِ اللهِ </w:t>
      </w:r>
      <w:r w:rsidRPr="0093484F">
        <w:rPr>
          <w:rStyle w:val="libAlaemChar"/>
          <w:rFonts w:eastAsiaTheme="minorHAnsi"/>
          <w:rtl/>
        </w:rPr>
        <w:t>صلى‌الله‌عليه‌وآله</w:t>
      </w:r>
      <w:r w:rsidRPr="00132E65">
        <w:rPr>
          <w:rtl/>
          <w:lang w:bidi="fa-IR"/>
        </w:rPr>
        <w:t xml:space="preserve"> ، و</w:t>
      </w:r>
      <w:r w:rsidR="000A3F05">
        <w:rPr>
          <w:rFonts w:hint="cs"/>
          <w:rtl/>
          <w:lang w:bidi="fa-IR"/>
        </w:rPr>
        <w:t>َ</w:t>
      </w:r>
      <w:r w:rsidRPr="00132E65">
        <w:rPr>
          <w:rtl/>
          <w:lang w:bidi="fa-IR"/>
        </w:rPr>
        <w:t xml:space="preserve">الْخُمُسُ </w:t>
      </w:r>
      <w:r>
        <w:rPr>
          <w:rStyle w:val="libFootnotenumChar"/>
          <w:rtl/>
        </w:rPr>
        <w:t>(10)</w:t>
      </w:r>
      <w:r w:rsidRPr="00132E65">
        <w:rPr>
          <w:rtl/>
          <w:lang w:bidi="fa-IR"/>
        </w:rPr>
        <w:t xml:space="preserve"> لِلّهِ و</w:t>
      </w:r>
      <w:r w:rsidR="000A3F05">
        <w:rPr>
          <w:rFonts w:hint="cs"/>
          <w:rtl/>
          <w:lang w:bidi="fa-IR"/>
        </w:rPr>
        <w:t>َ</w:t>
      </w:r>
      <w:r w:rsidRPr="00132E65">
        <w:rPr>
          <w:rtl/>
          <w:lang w:bidi="fa-IR"/>
        </w:rPr>
        <w:t xml:space="preserve">لِلرَّسُولِ </w:t>
      </w:r>
      <w:r w:rsidRPr="0093484F">
        <w:rPr>
          <w:rStyle w:val="libAlaemChar"/>
          <w:rFonts w:eastAsiaTheme="minorHAnsi"/>
          <w:rtl/>
        </w:rPr>
        <w:t>صلى‌الله‌عليه‌وآله</w:t>
      </w:r>
      <w:r w:rsidRPr="00132E65">
        <w:rPr>
          <w:rtl/>
          <w:lang w:bidi="fa-IR"/>
        </w:rPr>
        <w:t xml:space="preserve"> وَلَنَا »</w:t>
      </w:r>
      <w:r>
        <w:rPr>
          <w:rtl/>
          <w:lang w:bidi="fa-IR"/>
        </w:rPr>
        <w:t>.</w:t>
      </w:r>
      <w:r w:rsidRPr="00132E65">
        <w:rPr>
          <w:rtl/>
          <w:lang w:bidi="fa-IR"/>
        </w:rPr>
        <w:t xml:space="preserve"> </w:t>
      </w:r>
      <w:r>
        <w:rPr>
          <w:rStyle w:val="libFootnotenumChar"/>
          <w:rtl/>
        </w:rPr>
        <w:t>(11)</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0A3F05" w:rsidTr="000A3F05">
        <w:tc>
          <w:tcPr>
            <w:tcW w:w="4261" w:type="dxa"/>
          </w:tcPr>
          <w:p w:rsidR="000A3F05" w:rsidRDefault="000A3F05" w:rsidP="000C39D1">
            <w:pPr>
              <w:pStyle w:val="libFootnote0"/>
              <w:rPr>
                <w:rtl/>
              </w:rPr>
            </w:pPr>
            <w:r>
              <w:rPr>
                <w:rtl/>
              </w:rPr>
              <w:t>(1).</w:t>
            </w:r>
            <w:r w:rsidRPr="00132E65">
              <w:rPr>
                <w:rtl/>
              </w:rPr>
              <w:t xml:space="preserve"> في « ض ، بف » : « والذين »</w:t>
            </w:r>
            <w:r>
              <w:rPr>
                <w:rtl/>
              </w:rPr>
              <w:t>.</w:t>
            </w:r>
          </w:p>
        </w:tc>
        <w:tc>
          <w:tcPr>
            <w:tcW w:w="4262" w:type="dxa"/>
          </w:tcPr>
          <w:p w:rsidR="000A3F05" w:rsidRDefault="000A3F05" w:rsidP="000C39D1">
            <w:pPr>
              <w:pStyle w:val="libFootnote0"/>
              <w:rPr>
                <w:rtl/>
              </w:rPr>
            </w:pPr>
            <w:r>
              <w:rPr>
                <w:rtl/>
              </w:rPr>
              <w:t>(2).</w:t>
            </w:r>
            <w:r w:rsidRPr="00132E65">
              <w:rPr>
                <w:rtl/>
              </w:rPr>
              <w:t xml:space="preserve"> في « ف » : « قرّبهم »</w:t>
            </w:r>
            <w:r>
              <w:rPr>
                <w:rtl/>
              </w:rPr>
              <w:t>.</w:t>
            </w:r>
          </w:p>
        </w:tc>
      </w:tr>
      <w:tr w:rsidR="000A3F05" w:rsidTr="000A3F05">
        <w:tc>
          <w:tcPr>
            <w:tcW w:w="4261" w:type="dxa"/>
          </w:tcPr>
          <w:p w:rsidR="000A3F05" w:rsidRDefault="000A3F05" w:rsidP="000C39D1">
            <w:pPr>
              <w:pStyle w:val="libFootnote0"/>
              <w:rPr>
                <w:rtl/>
              </w:rPr>
            </w:pPr>
            <w:r>
              <w:rPr>
                <w:rtl/>
              </w:rPr>
              <w:t>(3).</w:t>
            </w:r>
            <w:r w:rsidRPr="00132E65">
              <w:rPr>
                <w:rtl/>
              </w:rPr>
              <w:t xml:space="preserve"> في الوسائل : « بنبيّه »</w:t>
            </w:r>
            <w:r>
              <w:rPr>
                <w:rtl/>
              </w:rPr>
              <w:t>.</w:t>
            </w:r>
          </w:p>
        </w:tc>
        <w:tc>
          <w:tcPr>
            <w:tcW w:w="4262" w:type="dxa"/>
          </w:tcPr>
          <w:p w:rsidR="000A3F05" w:rsidRDefault="000A3F05" w:rsidP="000C39D1">
            <w:pPr>
              <w:pStyle w:val="libFootnote0"/>
              <w:rPr>
                <w:rtl/>
              </w:rPr>
            </w:pPr>
            <w:r>
              <w:rPr>
                <w:rtl/>
              </w:rPr>
              <w:t>(4).</w:t>
            </w:r>
            <w:r w:rsidRPr="00132E65">
              <w:rPr>
                <w:rtl/>
              </w:rPr>
              <w:t xml:space="preserve"> الحشر (59) : 7.</w:t>
            </w:r>
          </w:p>
        </w:tc>
      </w:tr>
    </w:tbl>
    <w:p w:rsidR="000C39D1" w:rsidRPr="00132E65" w:rsidRDefault="000C39D1" w:rsidP="000C39D1">
      <w:pPr>
        <w:pStyle w:val="libFootnote0"/>
        <w:rPr>
          <w:rtl/>
          <w:lang w:bidi="fa-IR"/>
        </w:rPr>
      </w:pPr>
      <w:r>
        <w:rPr>
          <w:rtl/>
        </w:rPr>
        <w:t>(5).</w:t>
      </w:r>
      <w:r w:rsidRPr="00132E65">
        <w:rPr>
          <w:rtl/>
        </w:rPr>
        <w:t xml:space="preserve"> في </w:t>
      </w:r>
      <w:r w:rsidRPr="000A3F05">
        <w:rPr>
          <w:rtl/>
        </w:rPr>
        <w:t>الوافي</w:t>
      </w:r>
      <w:r w:rsidRPr="00132E65">
        <w:rPr>
          <w:rtl/>
        </w:rPr>
        <w:t xml:space="preserve"> وكتاب سليم : « لأنّه » بدل «</w:t>
      </w:r>
      <w:r>
        <w:rPr>
          <w:rtl/>
        </w:rPr>
        <w:t xml:space="preserve"> و ».</w:t>
      </w:r>
    </w:p>
    <w:p w:rsidR="000C39D1" w:rsidRPr="00132E65" w:rsidRDefault="000C39D1" w:rsidP="000C39D1">
      <w:pPr>
        <w:pStyle w:val="libFootnote0"/>
        <w:rPr>
          <w:rtl/>
          <w:lang w:bidi="fa-IR"/>
        </w:rPr>
      </w:pPr>
      <w:r>
        <w:rPr>
          <w:rtl/>
        </w:rPr>
        <w:t>(6).</w:t>
      </w:r>
      <w:r w:rsidRPr="00132E65">
        <w:rPr>
          <w:rtl/>
        </w:rPr>
        <w:t xml:space="preserve"> في كتاب سليم : « في سهم الصدقة نصيباً</w:t>
      </w:r>
      <w:r>
        <w:rPr>
          <w:rtl/>
        </w:rPr>
        <w:t xml:space="preserve"> و »</w:t>
      </w:r>
      <w:r w:rsidRPr="00132E65">
        <w:rPr>
          <w:rtl/>
        </w:rPr>
        <w:t xml:space="preserve"> بدل « سهماً في الصدقة »</w:t>
      </w:r>
      <w:r>
        <w:rPr>
          <w:rtl/>
        </w:rPr>
        <w:t>.</w:t>
      </w:r>
    </w:p>
    <w:p w:rsidR="000C39D1" w:rsidRPr="00132E65" w:rsidRDefault="000C39D1" w:rsidP="000C39D1">
      <w:pPr>
        <w:pStyle w:val="libFootnote0"/>
        <w:rPr>
          <w:rtl/>
          <w:lang w:bidi="fa-IR"/>
        </w:rPr>
      </w:pPr>
      <w:r>
        <w:rPr>
          <w:rtl/>
        </w:rPr>
        <w:t>(7).</w:t>
      </w:r>
      <w:r w:rsidRPr="00132E65">
        <w:rPr>
          <w:rtl/>
        </w:rPr>
        <w:t xml:space="preserve"> في كتاب سليم </w:t>
      </w:r>
      <w:r>
        <w:rPr>
          <w:rtl/>
        </w:rPr>
        <w:t xml:space="preserve">: - </w:t>
      </w:r>
      <w:r w:rsidRPr="00132E65">
        <w:rPr>
          <w:rtl/>
        </w:rPr>
        <w:t>« ما في »</w:t>
      </w:r>
      <w:r>
        <w:rPr>
          <w:rtl/>
        </w:rPr>
        <w:t>.</w:t>
      </w:r>
    </w:p>
    <w:p w:rsidR="000C39D1" w:rsidRPr="00132E65" w:rsidRDefault="000C39D1" w:rsidP="000C39D1">
      <w:pPr>
        <w:pStyle w:val="libFootnote0"/>
        <w:rPr>
          <w:rtl/>
          <w:lang w:bidi="fa-IR"/>
        </w:rPr>
      </w:pPr>
      <w:r>
        <w:rPr>
          <w:rtl/>
        </w:rPr>
        <w:t>(8).</w:t>
      </w:r>
      <w:r w:rsidRPr="00132E65">
        <w:rPr>
          <w:rtl/>
        </w:rPr>
        <w:t xml:space="preserve"> </w:t>
      </w:r>
      <w:r w:rsidRPr="000A3F05">
        <w:rPr>
          <w:rStyle w:val="libFootnoteBoldChar"/>
          <w:rtl/>
        </w:rPr>
        <w:t>كتاب سليم بن قيس</w:t>
      </w:r>
      <w:r w:rsidRPr="00132E65">
        <w:rPr>
          <w:rtl/>
        </w:rPr>
        <w:t xml:space="preserve"> ، ص 718 ، ح 18 ، ذيل خطبة الإمام ، عن سليم بن قيس. </w:t>
      </w:r>
      <w:r w:rsidRPr="000577A7">
        <w:rPr>
          <w:rStyle w:val="libFootnoteBoldChar"/>
          <w:rtl/>
        </w:rPr>
        <w:t>الكافي</w:t>
      </w:r>
      <w:r w:rsidRPr="00132E65">
        <w:rPr>
          <w:rtl/>
        </w:rPr>
        <w:t xml:space="preserve"> ، كتاب الروضة ، ح 14832 ، ضمن خطبة الإمام ، عن عليّ بن إبراهيم ، عن أبيه ، عن حمّاد بن عيسى ، عن إبراهيم بن عثمان ، عن سليم بن قيس ، وفيهما مع اختلاف يسير. </w:t>
      </w:r>
      <w:r w:rsidRPr="000A3F05">
        <w:rPr>
          <w:rStyle w:val="libFootnoteBoldChar"/>
          <w:rtl/>
        </w:rPr>
        <w:t>التهذيب</w:t>
      </w:r>
      <w:r w:rsidRPr="00132E65">
        <w:rPr>
          <w:rtl/>
        </w:rPr>
        <w:t xml:space="preserve"> ، ج 4 ، ص 126 ، ح 362 ، بسنده عن حمّاد بن عيسى ، عن عمر بن ا</w:t>
      </w:r>
      <w:r w:rsidR="000A3F05">
        <w:rPr>
          <w:rFonts w:hint="cs"/>
          <w:rtl/>
        </w:rPr>
        <w:t>ُ</w:t>
      </w:r>
      <w:r w:rsidRPr="00132E65">
        <w:rPr>
          <w:rtl/>
        </w:rPr>
        <w:t xml:space="preserve">ذينة ، عن أبان بن أبي عيّاش ، مع زيادة في أوّله. </w:t>
      </w:r>
      <w:r w:rsidRPr="000A3F05">
        <w:rPr>
          <w:rStyle w:val="libFootnoteBoldChar"/>
          <w:rtl/>
        </w:rPr>
        <w:t>المقنعة</w:t>
      </w:r>
      <w:r w:rsidRPr="00132E65">
        <w:rPr>
          <w:rtl/>
        </w:rPr>
        <w:t xml:space="preserve"> ، ص 277 ، مرسلاً عن أبان بن أبي عياش </w:t>
      </w:r>
      <w:r w:rsidR="000A3F05">
        <w:rPr>
          <w:rFonts w:hint="cs"/>
          <w:rtl/>
        </w:rPr>
        <w:t>.</w:t>
      </w:r>
      <w:r w:rsidRPr="009D1ACE">
        <w:rPr>
          <w:rStyle w:val="libFootnoteBoldChar"/>
          <w:rtl/>
        </w:rPr>
        <w:t>الوافي</w:t>
      </w:r>
      <w:r w:rsidRPr="00132E65">
        <w:rPr>
          <w:rtl/>
        </w:rPr>
        <w:t xml:space="preserve"> ، ج 10 ، ص 281 ، ح 9587 ؛ </w:t>
      </w:r>
      <w:r w:rsidRPr="000A3F05">
        <w:rPr>
          <w:rStyle w:val="libFootnoteBoldChar"/>
          <w:rtl/>
        </w:rPr>
        <w:t>الوسائل</w:t>
      </w:r>
      <w:r w:rsidRPr="00132E65">
        <w:rPr>
          <w:rtl/>
        </w:rPr>
        <w:t xml:space="preserve"> ، ج 9 ، ص 511 ، ح 12603.</w:t>
      </w:r>
    </w:p>
    <w:p w:rsidR="000C39D1" w:rsidRPr="00132E65" w:rsidRDefault="000C39D1" w:rsidP="000C39D1">
      <w:pPr>
        <w:pStyle w:val="libFootnote0"/>
        <w:rPr>
          <w:rtl/>
          <w:lang w:bidi="fa-IR"/>
        </w:rPr>
      </w:pPr>
      <w:r>
        <w:rPr>
          <w:rtl/>
        </w:rPr>
        <w:t>(9).</w:t>
      </w:r>
      <w:r w:rsidRPr="00132E65">
        <w:rPr>
          <w:rtl/>
        </w:rPr>
        <w:t xml:space="preserve"> الأنفال </w:t>
      </w:r>
      <w:r w:rsidR="000A3F05">
        <w:rPr>
          <w:rtl/>
        </w:rPr>
        <w:t>(8)</w:t>
      </w:r>
      <w:r w:rsidRPr="00132E65">
        <w:rPr>
          <w:rtl/>
        </w:rPr>
        <w:t xml:space="preserve"> : 41.</w:t>
      </w:r>
    </w:p>
    <w:p w:rsidR="000C39D1" w:rsidRPr="00132E65" w:rsidRDefault="000C39D1" w:rsidP="000C39D1">
      <w:pPr>
        <w:pStyle w:val="libFootnote0"/>
        <w:rPr>
          <w:rtl/>
          <w:lang w:bidi="fa-IR"/>
        </w:rPr>
      </w:pPr>
      <w:r>
        <w:rPr>
          <w:rtl/>
        </w:rPr>
        <w:t>(10).</w:t>
      </w:r>
      <w:r w:rsidRPr="00132E65">
        <w:rPr>
          <w:rtl/>
        </w:rPr>
        <w:t xml:space="preserve"> في « بر ، بف » وشرح المازندراني </w:t>
      </w:r>
      <w:r w:rsidRPr="000A3F05">
        <w:rPr>
          <w:rtl/>
        </w:rPr>
        <w:t>والوافي</w:t>
      </w:r>
      <w:r w:rsidRPr="00132E65">
        <w:rPr>
          <w:rtl/>
        </w:rPr>
        <w:t xml:space="preserve"> : « فالخمس »</w:t>
      </w:r>
      <w:r>
        <w:rPr>
          <w:rtl/>
        </w:rPr>
        <w:t>.</w:t>
      </w:r>
    </w:p>
    <w:p w:rsidR="000C39D1" w:rsidRPr="00132E65" w:rsidRDefault="000C39D1" w:rsidP="000C39D1">
      <w:pPr>
        <w:pStyle w:val="libFootnote0"/>
        <w:rPr>
          <w:rtl/>
          <w:lang w:bidi="fa-IR"/>
        </w:rPr>
      </w:pPr>
      <w:r>
        <w:rPr>
          <w:rtl/>
        </w:rPr>
        <w:t>(11).</w:t>
      </w:r>
      <w:r w:rsidRPr="00132E65">
        <w:rPr>
          <w:rtl/>
        </w:rPr>
        <w:t xml:space="preserve"> </w:t>
      </w:r>
      <w:r w:rsidRPr="000577A7">
        <w:rPr>
          <w:rStyle w:val="libFootnoteBoldChar"/>
          <w:rtl/>
        </w:rPr>
        <w:t>الكافي</w:t>
      </w:r>
      <w:r w:rsidRPr="00132E65">
        <w:rPr>
          <w:rtl/>
        </w:rPr>
        <w:t xml:space="preserve"> ، كتاب الحجّة ، باب فيه نكت ونتف من التنزيل في الولاية ، ح 1099 ، وفيه بعد الآية هكذا : « قال : أمير المؤمنين والأئمّة » ؛ </w:t>
      </w:r>
      <w:r w:rsidRPr="000A3F05">
        <w:rPr>
          <w:rStyle w:val="libFootnoteBoldChar"/>
          <w:rtl/>
        </w:rPr>
        <w:t>الفقيه</w:t>
      </w:r>
      <w:r w:rsidRPr="00132E65">
        <w:rPr>
          <w:rtl/>
        </w:rPr>
        <w:t xml:space="preserve"> ، ج 2 ، ص 42 ، ح 1651 ؛ </w:t>
      </w:r>
      <w:r w:rsidRPr="000A3F05">
        <w:rPr>
          <w:rStyle w:val="libFootnoteBoldChar"/>
          <w:rtl/>
        </w:rPr>
        <w:t>التهذيب</w:t>
      </w:r>
      <w:r w:rsidRPr="00132E65">
        <w:rPr>
          <w:rtl/>
        </w:rPr>
        <w:t xml:space="preserve"> ، ج 4 ، ص 125 ، ح 360 ، وفيهما مع زيادة واختلاف ؛ وفي كلّها بسند آخر عن أبي عبد الله </w:t>
      </w:r>
      <w:r w:rsidRPr="000A3F05">
        <w:rPr>
          <w:rStyle w:val="libFootnoteAlaemChar"/>
          <w:rtl/>
        </w:rPr>
        <w:t>عليه‌السلام</w:t>
      </w:r>
      <w:r w:rsidRPr="00132E65">
        <w:rPr>
          <w:rtl/>
        </w:rPr>
        <w:t xml:space="preserve">. </w:t>
      </w:r>
      <w:r w:rsidRPr="000A3F05">
        <w:rPr>
          <w:rStyle w:val="libFootnoteBoldChar"/>
          <w:rtl/>
        </w:rPr>
        <w:t>تفسير العيّاشي</w:t>
      </w:r>
      <w:r w:rsidRPr="00132E65">
        <w:rPr>
          <w:rtl/>
        </w:rPr>
        <w:t xml:space="preserve"> ، ج 2 ، ص 61 ، ح 50 ، عن محمّد بن مسلم ، عن أحدهما </w:t>
      </w:r>
      <w:r w:rsidRPr="000A3F05">
        <w:rPr>
          <w:rStyle w:val="libFootnoteAlaemChar"/>
          <w:rtl/>
        </w:rPr>
        <w:t>عليهما‌السلام</w:t>
      </w:r>
      <w:r w:rsidRPr="00132E65">
        <w:rPr>
          <w:rtl/>
        </w:rPr>
        <w:t xml:space="preserve"> مع زيادة في آخره ؛ </w:t>
      </w:r>
      <w:r w:rsidRPr="0085745F">
        <w:rPr>
          <w:rtl/>
        </w:rPr>
        <w:t>وفيه</w:t>
      </w:r>
      <w:r w:rsidRPr="00132E65">
        <w:rPr>
          <w:rtl/>
        </w:rPr>
        <w:t xml:space="preserve"> ، ص 62 ، ح 55 ، عن محمّد بن مسلم ، عن أبي جعفر </w:t>
      </w:r>
      <w:r w:rsidRPr="000A3F05">
        <w:rPr>
          <w:rStyle w:val="libFootnoteAlaemChar"/>
          <w:rtl/>
        </w:rPr>
        <w:t>عليه‌السلام</w:t>
      </w:r>
      <w:r w:rsidRPr="00132E65">
        <w:rPr>
          <w:rtl/>
        </w:rPr>
        <w:t xml:space="preserve"> وفيها إلى قوله : « هم قرابة رسول الله </w:t>
      </w:r>
      <w:r w:rsidRPr="000A3F05">
        <w:rPr>
          <w:rStyle w:val="libFootnoteAlaemChar"/>
          <w:rFonts w:eastAsiaTheme="minorHAnsi"/>
          <w:rtl/>
        </w:rPr>
        <w:t>صلى‌الله‌عليه‌وآله</w:t>
      </w:r>
      <w:r w:rsidRPr="00132E65">
        <w:rPr>
          <w:rtl/>
          <w:lang w:bidi="fa-IR"/>
        </w:rPr>
        <w:t xml:space="preserve"> </w:t>
      </w:r>
      <w:r w:rsidRPr="00132E65">
        <w:rPr>
          <w:rtl/>
        </w:rPr>
        <w:t xml:space="preserve">» مع اختلاف يسير ؛ </w:t>
      </w:r>
      <w:r w:rsidRPr="0085745F">
        <w:rPr>
          <w:rtl/>
        </w:rPr>
        <w:t>وفيه</w:t>
      </w:r>
      <w:r w:rsidRPr="00132E65">
        <w:rPr>
          <w:rtl/>
        </w:rPr>
        <w:t xml:space="preserve"> ، ص 62 ، ح 56 ، عن محمّد بن الفضيل عن الرضا </w:t>
      </w:r>
      <w:r w:rsidRPr="000A3F05">
        <w:rPr>
          <w:rStyle w:val="libFootnoteAlaemChar"/>
          <w:rtl/>
        </w:rPr>
        <w:t>عليه‌السلام</w:t>
      </w:r>
      <w:r w:rsidRPr="00132E65">
        <w:rPr>
          <w:rtl/>
        </w:rPr>
        <w:t xml:space="preserve"> ، </w:t>
      </w:r>
      <w:r w:rsidR="000A3F05">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85745F">
        <w:rPr>
          <w:rtl/>
        </w:rPr>
        <w:t>1423</w:t>
      </w:r>
      <w:r w:rsidRPr="004325D8">
        <w:rPr>
          <w:rStyle w:val="libBold2Char"/>
          <w:rtl/>
        </w:rPr>
        <w:t xml:space="preserve"> / 3.</w:t>
      </w:r>
      <w:r w:rsidRPr="00132E65">
        <w:rPr>
          <w:rtl/>
          <w:lang w:bidi="fa-IR"/>
        </w:rPr>
        <w:t xml:space="preserve"> عَلِيُّ بْنُ إِبْرَاهِيمَ ، عَنْ أَبِيهِ ، عَنِ ابْنِ أَبِي عُمَيْرٍ ، عَنْ حَفْصِ بْنِ الْبَخْتَرِيِّ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 قَالَ : « الْأَنْفَالُ مَا لَمْ يُوجَفْ </w:t>
      </w:r>
      <w:r>
        <w:rPr>
          <w:rStyle w:val="libFootnotenumChar"/>
          <w:rtl/>
        </w:rPr>
        <w:t>(1)</w:t>
      </w:r>
      <w:r w:rsidRPr="00132E65">
        <w:rPr>
          <w:rtl/>
          <w:lang w:bidi="fa-IR"/>
        </w:rPr>
        <w:t xml:space="preserve"> عَلَيْهِ بِخَيْلٍ و</w:t>
      </w:r>
      <w:r w:rsidR="000A3F05">
        <w:rPr>
          <w:rFonts w:hint="cs"/>
          <w:rtl/>
          <w:lang w:bidi="fa-IR"/>
        </w:rPr>
        <w:t xml:space="preserve">َ </w:t>
      </w:r>
      <w:r w:rsidRPr="00132E65">
        <w:rPr>
          <w:rtl/>
          <w:lang w:bidi="fa-IR"/>
        </w:rPr>
        <w:t>لَا</w:t>
      </w:r>
      <w:r w:rsidR="000A3F05">
        <w:rPr>
          <w:rFonts w:hint="cs"/>
          <w:rtl/>
          <w:lang w:bidi="fa-IR"/>
        </w:rPr>
        <w:t xml:space="preserve"> </w:t>
      </w:r>
      <w:r w:rsidRPr="00132E65">
        <w:rPr>
          <w:rtl/>
          <w:lang w:bidi="fa-IR"/>
        </w:rPr>
        <w:t>رِكَابٍ ، أَوْ قَوْمٌ صَالَحُوا ، أَوْ قَوْمٌ أَعْطَوْا بِأَيْدِيهِمْ ، و</w:t>
      </w:r>
      <w:r w:rsidR="000A3F05">
        <w:rPr>
          <w:rFonts w:hint="cs"/>
          <w:rtl/>
          <w:lang w:bidi="fa-IR"/>
        </w:rPr>
        <w:t>َ</w:t>
      </w:r>
      <w:r w:rsidRPr="00132E65">
        <w:rPr>
          <w:rtl/>
          <w:lang w:bidi="fa-IR"/>
        </w:rPr>
        <w:t>كُلُّ أَرْضٍ خَرِبَةٍ ، و</w:t>
      </w:r>
      <w:r w:rsidR="000A3F05">
        <w:rPr>
          <w:rFonts w:hint="cs"/>
          <w:rtl/>
          <w:lang w:bidi="fa-IR"/>
        </w:rPr>
        <w:t>َ</w:t>
      </w:r>
      <w:r w:rsidRPr="00132E65">
        <w:rPr>
          <w:rtl/>
          <w:lang w:bidi="fa-IR"/>
        </w:rPr>
        <w:t xml:space="preserve">بُطُونُ الْأَوْدِيَةِ ، فَهُوَ لِرَسُولِ اللهِ </w:t>
      </w:r>
      <w:r w:rsidRPr="0093484F">
        <w:rPr>
          <w:rStyle w:val="libAlaemChar"/>
          <w:rFonts w:eastAsiaTheme="minorHAnsi"/>
          <w:rtl/>
        </w:rPr>
        <w:t>صلى‌الله‌عليه‌وآله</w:t>
      </w:r>
      <w:r w:rsidRPr="00132E65">
        <w:rPr>
          <w:rtl/>
          <w:lang w:bidi="fa-IR"/>
        </w:rPr>
        <w:t xml:space="preserve"> ، و</w:t>
      </w:r>
      <w:r w:rsidR="000A3F05">
        <w:rPr>
          <w:rFonts w:hint="cs"/>
          <w:rtl/>
          <w:lang w:bidi="fa-IR"/>
        </w:rPr>
        <w:t>َ</w:t>
      </w:r>
      <w:r w:rsidRPr="00132E65">
        <w:rPr>
          <w:rtl/>
          <w:lang w:bidi="fa-IR"/>
        </w:rPr>
        <w:t xml:space="preserve">هُوَ لِلْإِمَامِ مِنْ بَعْدِهِ يَضَعُهُ حَيْثُ يَشَاءُ </w:t>
      </w:r>
      <w:r>
        <w:rPr>
          <w:rStyle w:val="libFootnotenumChar"/>
          <w:rtl/>
        </w:rPr>
        <w:t>(2)</w:t>
      </w:r>
      <w:r w:rsidRPr="00132E65">
        <w:rPr>
          <w:rtl/>
          <w:lang w:bidi="fa-IR"/>
        </w:rPr>
        <w:t xml:space="preserve">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85745F">
        <w:rPr>
          <w:rtl/>
        </w:rPr>
        <w:t>1424</w:t>
      </w:r>
      <w:r w:rsidRPr="004325D8">
        <w:rPr>
          <w:rStyle w:val="libBold2Char"/>
          <w:rtl/>
        </w:rPr>
        <w:t xml:space="preserve"> / 4.</w:t>
      </w:r>
      <w:r w:rsidRPr="00132E65">
        <w:rPr>
          <w:rtl/>
          <w:lang w:bidi="fa-IR"/>
        </w:rPr>
        <w:t xml:space="preserve"> عَلِيُّ بْنُ إِبْرَاهِيمَ بْنِ هَاشِمٍ </w:t>
      </w:r>
      <w:r>
        <w:rPr>
          <w:rStyle w:val="libFootnotenumChar"/>
          <w:rtl/>
        </w:rPr>
        <w:t>(4)</w:t>
      </w:r>
      <w:r w:rsidRPr="00132E65">
        <w:rPr>
          <w:rtl/>
          <w:lang w:bidi="fa-IR"/>
        </w:rPr>
        <w:t xml:space="preserve"> ، عَنْ أَبِيهِ ، عَنْ حَمَّادِ بْنِ عِيسى ، عَنْ بَعْضِ أَصْحَابِنَا :</w:t>
      </w:r>
    </w:p>
    <w:p w:rsidR="000C39D1" w:rsidRPr="00132E65" w:rsidRDefault="000C39D1" w:rsidP="000C39D1">
      <w:pPr>
        <w:pStyle w:val="libNormal"/>
        <w:rPr>
          <w:rtl/>
          <w:lang w:bidi="fa-IR"/>
        </w:rPr>
      </w:pPr>
      <w:r w:rsidRPr="00132E65">
        <w:rPr>
          <w:rtl/>
          <w:lang w:bidi="fa-IR"/>
        </w:rPr>
        <w:t xml:space="preserve">عَنِ الْعَبْدِ الصَّالِحِ </w:t>
      </w:r>
      <w:r w:rsidRPr="00071CF9">
        <w:rPr>
          <w:rStyle w:val="libAlaemChar"/>
          <w:rtl/>
        </w:rPr>
        <w:t>عليه‌السلام</w:t>
      </w:r>
      <w:r w:rsidRPr="00132E65">
        <w:rPr>
          <w:rtl/>
          <w:lang w:bidi="fa-IR"/>
        </w:rPr>
        <w:t xml:space="preserve"> </w:t>
      </w:r>
      <w:r>
        <w:rPr>
          <w:rStyle w:val="libFootnotenumChar"/>
          <w:rtl/>
        </w:rPr>
        <w:t>(5)</w:t>
      </w:r>
      <w:r w:rsidRPr="00132E65">
        <w:rPr>
          <w:rtl/>
          <w:lang w:bidi="fa-IR"/>
        </w:rPr>
        <w:t xml:space="preserve"> ، قَالَ : « الْخُمُسُ مِنْ خَمْسَةِ أَشْيَاءَ </w:t>
      </w:r>
      <w:r>
        <w:rPr>
          <w:rStyle w:val="libFootnotenumChar"/>
          <w:rtl/>
        </w:rPr>
        <w:t>(6)</w:t>
      </w:r>
      <w:r w:rsidRPr="00132E65">
        <w:rPr>
          <w:rtl/>
          <w:lang w:bidi="fa-IR"/>
        </w:rPr>
        <w:t xml:space="preserve"> : مِنَ الْغَنَائِمِ ، والْغَوْصِ ، وَمِنَ الْكُنُوزِ ، و</w:t>
      </w:r>
      <w:r w:rsidR="000A3F05">
        <w:rPr>
          <w:rFonts w:hint="cs"/>
          <w:rtl/>
          <w:lang w:bidi="fa-IR"/>
        </w:rPr>
        <w:t>َ</w:t>
      </w:r>
      <w:r w:rsidRPr="00132E65">
        <w:rPr>
          <w:rtl/>
          <w:lang w:bidi="fa-IR"/>
        </w:rPr>
        <w:t>مِنَ الْمَعَادِنِ ، و</w:t>
      </w:r>
      <w:r w:rsidR="000A3F05">
        <w:rPr>
          <w:rFonts w:hint="cs"/>
          <w:rtl/>
          <w:lang w:bidi="fa-IR"/>
        </w:rPr>
        <w:t>َ</w:t>
      </w:r>
      <w:r w:rsidR="000A3F05">
        <w:rPr>
          <w:rtl/>
          <w:lang w:bidi="fa-IR"/>
        </w:rPr>
        <w:t>الْمَل</w:t>
      </w:r>
      <w:r w:rsidR="000A3F05">
        <w:rPr>
          <w:rFonts w:hint="cs"/>
          <w:rtl/>
          <w:lang w:bidi="fa-IR"/>
        </w:rPr>
        <w:t>َّ</w:t>
      </w:r>
      <w:r w:rsidR="000A3F05">
        <w:rPr>
          <w:rtl/>
          <w:lang w:bidi="fa-IR"/>
        </w:rPr>
        <w:t>ا</w:t>
      </w:r>
      <w:r w:rsidRPr="00132E65">
        <w:rPr>
          <w:rtl/>
          <w:lang w:bidi="fa-IR"/>
        </w:rPr>
        <w:t xml:space="preserve">حَةِ </w:t>
      </w:r>
      <w:r>
        <w:rPr>
          <w:rStyle w:val="libFootnotenumChar"/>
          <w:rtl/>
        </w:rPr>
        <w:t>(7)</w:t>
      </w:r>
      <w:r w:rsidR="000A3F05" w:rsidRPr="000A3F05">
        <w:rPr>
          <w:rFonts w:hint="cs"/>
          <w:rtl/>
        </w:rPr>
        <w:t>.</w:t>
      </w:r>
    </w:p>
    <w:p w:rsidR="000C39D1" w:rsidRPr="00132E65" w:rsidRDefault="000C39D1" w:rsidP="000C39D1">
      <w:pPr>
        <w:pStyle w:val="libNormal"/>
        <w:rPr>
          <w:rtl/>
          <w:lang w:bidi="fa-IR"/>
        </w:rPr>
      </w:pPr>
      <w:r w:rsidRPr="00132E65">
        <w:rPr>
          <w:rtl/>
          <w:lang w:bidi="fa-IR"/>
        </w:rPr>
        <w:t xml:space="preserve">يُؤْخَذُ مِنْ كُلِّ هذِهِ الصُّنُوفِ الْخُمُسُ ، فَيُجْعَلُ لِمَنْ جَعَلَهُ اللهُ تَعَالى لَهُ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A3F05" w:rsidP="000C39D1">
      <w:pPr>
        <w:pStyle w:val="libFootnote0"/>
        <w:rPr>
          <w:rtl/>
          <w:lang w:bidi="fa-IR"/>
        </w:rPr>
      </w:pPr>
      <w:r>
        <w:rPr>
          <w:rFonts w:hint="cs"/>
          <w:rtl/>
        </w:rPr>
        <w:t>=</w:t>
      </w:r>
      <w:r w:rsidR="000C39D1" w:rsidRPr="00132E65">
        <w:rPr>
          <w:rtl/>
        </w:rPr>
        <w:t>وفيه بعد الآية هكذا : « الخمس لله</w:t>
      </w:r>
      <w:r>
        <w:rPr>
          <w:rFonts w:hint="cs"/>
          <w:rtl/>
        </w:rPr>
        <w:t xml:space="preserve"> </w:t>
      </w:r>
      <w:r w:rsidR="000C39D1" w:rsidRPr="00132E65">
        <w:rPr>
          <w:rtl/>
        </w:rPr>
        <w:t xml:space="preserve">‌وللرسول وهو لنا » </w:t>
      </w:r>
      <w:r>
        <w:rPr>
          <w:rFonts w:hint="cs"/>
          <w:rtl/>
        </w:rPr>
        <w:t>.</w:t>
      </w:r>
      <w:r w:rsidR="000C39D1" w:rsidRPr="009D1ACE">
        <w:rPr>
          <w:rStyle w:val="libFootnoteBoldChar"/>
          <w:rtl/>
        </w:rPr>
        <w:t>الوافي</w:t>
      </w:r>
      <w:r w:rsidR="000C39D1" w:rsidRPr="00132E65">
        <w:rPr>
          <w:rtl/>
        </w:rPr>
        <w:t xml:space="preserve"> ، ج 10 ، ص 280 ، ح 9585 ؛ </w:t>
      </w:r>
      <w:r w:rsidR="000C39D1" w:rsidRPr="000A3F05">
        <w:rPr>
          <w:rStyle w:val="libFootnoteBoldChar"/>
          <w:rtl/>
        </w:rPr>
        <w:t>الوسائل</w:t>
      </w:r>
      <w:r w:rsidR="000C39D1" w:rsidRPr="00132E65">
        <w:rPr>
          <w:rtl/>
        </w:rPr>
        <w:t xml:space="preserve"> ، ج 9 ، ص 511 ، ح 12604.</w:t>
      </w:r>
    </w:p>
    <w:p w:rsidR="000C39D1" w:rsidRPr="00132E65" w:rsidRDefault="000C39D1" w:rsidP="000C39D1">
      <w:pPr>
        <w:pStyle w:val="libFootnote0"/>
        <w:rPr>
          <w:rtl/>
          <w:lang w:bidi="fa-IR"/>
        </w:rPr>
      </w:pPr>
      <w:r>
        <w:rPr>
          <w:rtl/>
        </w:rPr>
        <w:t>(1).</w:t>
      </w:r>
      <w:r w:rsidRPr="00132E65">
        <w:rPr>
          <w:rtl/>
        </w:rPr>
        <w:t xml:space="preserve"> الوجف والإيجاف : سرعة السير ، يقال : راكب الفرس يوجف. راجع : </w:t>
      </w:r>
      <w:r w:rsidRPr="000A3F05">
        <w:rPr>
          <w:rStyle w:val="libFootnoteBoldChar"/>
          <w:rtl/>
        </w:rPr>
        <w:t>ترتيب كتاب العين</w:t>
      </w:r>
      <w:r w:rsidRPr="00132E65">
        <w:rPr>
          <w:rtl/>
        </w:rPr>
        <w:t xml:space="preserve"> ، ج 6 ، ص 190 ؛ </w:t>
      </w:r>
      <w:r w:rsidRPr="009D1ACE">
        <w:rPr>
          <w:rStyle w:val="libFootnoteBoldChar"/>
          <w:rtl/>
        </w:rPr>
        <w:t>لسان العرب</w:t>
      </w:r>
      <w:r w:rsidRPr="00132E65">
        <w:rPr>
          <w:rtl/>
        </w:rPr>
        <w:t xml:space="preserve"> ، ج 9 ، ص 352 ( وجف )</w:t>
      </w:r>
      <w:r>
        <w:rPr>
          <w:rtl/>
        </w:rPr>
        <w:t>.</w:t>
      </w:r>
    </w:p>
    <w:p w:rsidR="000C39D1" w:rsidRPr="00132E65" w:rsidRDefault="000C39D1" w:rsidP="000C39D1">
      <w:pPr>
        <w:pStyle w:val="libFootnote0"/>
        <w:rPr>
          <w:rtl/>
          <w:lang w:bidi="fa-IR"/>
        </w:rPr>
      </w:pPr>
      <w:r>
        <w:rPr>
          <w:rtl/>
        </w:rPr>
        <w:t>(2).</w:t>
      </w:r>
      <w:r w:rsidRPr="00132E65">
        <w:rPr>
          <w:rtl/>
        </w:rPr>
        <w:t xml:space="preserve"> في حاشية « ج » : « شاء »</w:t>
      </w:r>
      <w:r>
        <w:rPr>
          <w:rtl/>
        </w:rPr>
        <w:t>.</w:t>
      </w:r>
    </w:p>
    <w:p w:rsidR="000C39D1" w:rsidRPr="00132E65" w:rsidRDefault="000C39D1" w:rsidP="000C39D1">
      <w:pPr>
        <w:pStyle w:val="libFootnote0"/>
        <w:rPr>
          <w:rtl/>
          <w:lang w:bidi="fa-IR"/>
        </w:rPr>
      </w:pPr>
      <w:r>
        <w:rPr>
          <w:rtl/>
        </w:rPr>
        <w:t>(3).</w:t>
      </w:r>
      <w:r w:rsidRPr="00132E65">
        <w:rPr>
          <w:rtl/>
        </w:rPr>
        <w:t xml:space="preserve"> </w:t>
      </w:r>
      <w:r w:rsidRPr="003813CD">
        <w:rPr>
          <w:rStyle w:val="libFootnoteBoldChar"/>
          <w:rtl/>
        </w:rPr>
        <w:t>التهذيب</w:t>
      </w:r>
      <w:r w:rsidRPr="00132E65">
        <w:rPr>
          <w:rtl/>
        </w:rPr>
        <w:t xml:space="preserve"> ، ج 4 ، ص 133 ، ح 370 ؛ وص 149 ، ح 416 ، بسند آخر ؛ </w:t>
      </w:r>
      <w:r w:rsidRPr="003813CD">
        <w:rPr>
          <w:rStyle w:val="libFootnoteBoldChar"/>
          <w:rtl/>
        </w:rPr>
        <w:t>وفيه</w:t>
      </w:r>
      <w:r w:rsidRPr="00132E65">
        <w:rPr>
          <w:rtl/>
        </w:rPr>
        <w:t xml:space="preserve"> ، ص 134 ، ح 376 ، بسند آخر عن أبي جعفر </w:t>
      </w:r>
      <w:r w:rsidRPr="003813CD">
        <w:rPr>
          <w:rStyle w:val="libFootnoteAlaemChar"/>
          <w:rtl/>
        </w:rPr>
        <w:t>عليه‌السلام</w:t>
      </w:r>
      <w:r w:rsidRPr="00132E65">
        <w:rPr>
          <w:rtl/>
        </w:rPr>
        <w:t xml:space="preserve"> ، مع زيادة في آخره ؛ </w:t>
      </w:r>
      <w:r w:rsidRPr="003813CD">
        <w:rPr>
          <w:rStyle w:val="libFootnoteBoldChar"/>
          <w:rtl/>
        </w:rPr>
        <w:t>تفسير القمّي</w:t>
      </w:r>
      <w:r w:rsidRPr="00132E65">
        <w:rPr>
          <w:rtl/>
        </w:rPr>
        <w:t xml:space="preserve"> ، ج 1 ، ص 254 بسند آخر ، مع اختلاف وزيادة. وفي </w:t>
      </w:r>
      <w:r w:rsidRPr="003813CD">
        <w:rPr>
          <w:rStyle w:val="libFootnoteBoldChar"/>
          <w:rtl/>
        </w:rPr>
        <w:t>المقنعة</w:t>
      </w:r>
      <w:r w:rsidRPr="00132E65">
        <w:rPr>
          <w:rtl/>
        </w:rPr>
        <w:t xml:space="preserve"> ، ص 290 ؛ </w:t>
      </w:r>
      <w:r w:rsidRPr="003813CD">
        <w:rPr>
          <w:rStyle w:val="libFootnoteBoldChar"/>
          <w:rtl/>
        </w:rPr>
        <w:t>وتفسير العيّاشي</w:t>
      </w:r>
      <w:r w:rsidRPr="00132E65">
        <w:rPr>
          <w:rtl/>
        </w:rPr>
        <w:t xml:space="preserve"> ، ج 2 ، ص 47 ، ح 7 ، مرسلاً عن محمّد بن مسلم ، عن أبي جعفر </w:t>
      </w:r>
      <w:r w:rsidRPr="003813CD">
        <w:rPr>
          <w:rStyle w:val="libFootnoteAlaemChar"/>
          <w:rtl/>
        </w:rPr>
        <w:t>عليه‌السلام</w:t>
      </w:r>
      <w:r w:rsidRPr="00132E65">
        <w:rPr>
          <w:rtl/>
        </w:rPr>
        <w:t xml:space="preserve"> ، مع اختلاف يسير ؛ </w:t>
      </w:r>
      <w:r w:rsidRPr="00DE57D7">
        <w:rPr>
          <w:rtl/>
        </w:rPr>
        <w:t>وفيه</w:t>
      </w:r>
      <w:r w:rsidRPr="00132E65">
        <w:rPr>
          <w:rtl/>
        </w:rPr>
        <w:t xml:space="preserve"> ، ح 5 ، مرسلاً عن زرارة ، عن أبي جعفر </w:t>
      </w:r>
      <w:r w:rsidRPr="003813CD">
        <w:rPr>
          <w:rStyle w:val="libFootnoteAlaemChar"/>
          <w:rtl/>
        </w:rPr>
        <w:t>عليه‌السلام</w:t>
      </w:r>
      <w:r w:rsidRPr="00132E65">
        <w:rPr>
          <w:rtl/>
        </w:rPr>
        <w:t xml:space="preserve"> ؛ </w:t>
      </w:r>
      <w:r w:rsidRPr="00DE57D7">
        <w:rPr>
          <w:rtl/>
        </w:rPr>
        <w:t>وفيه</w:t>
      </w:r>
      <w:r w:rsidRPr="00132E65">
        <w:rPr>
          <w:rtl/>
        </w:rPr>
        <w:t xml:space="preserve"> ، ح 10 ، عن أبي ا</w:t>
      </w:r>
      <w:r w:rsidR="003813CD">
        <w:rPr>
          <w:rFonts w:hint="cs"/>
          <w:rtl/>
        </w:rPr>
        <w:t>ُ</w:t>
      </w:r>
      <w:r w:rsidRPr="00132E65">
        <w:rPr>
          <w:rtl/>
        </w:rPr>
        <w:t xml:space="preserve">سامة بن زيد عن أبي عبد الله </w:t>
      </w:r>
      <w:r w:rsidRPr="003813CD">
        <w:rPr>
          <w:rStyle w:val="libFootnoteAlaemChar"/>
          <w:rtl/>
        </w:rPr>
        <w:t>عليه‌السلام</w:t>
      </w:r>
      <w:r w:rsidRPr="00132E65">
        <w:rPr>
          <w:rtl/>
        </w:rPr>
        <w:t xml:space="preserve"> ؛ </w:t>
      </w:r>
      <w:r w:rsidRPr="00DE57D7">
        <w:rPr>
          <w:rtl/>
        </w:rPr>
        <w:t>وفيه</w:t>
      </w:r>
      <w:r w:rsidRPr="00132E65">
        <w:rPr>
          <w:rtl/>
        </w:rPr>
        <w:t xml:space="preserve"> ، ص 48 ، ح 18 ، عن سماعة عن أبي عبد الله </w:t>
      </w:r>
      <w:r w:rsidRPr="003813CD">
        <w:rPr>
          <w:rStyle w:val="libFootnoteAlaemChar"/>
          <w:rtl/>
        </w:rPr>
        <w:t>عليه‌السلام</w:t>
      </w:r>
      <w:r w:rsidRPr="00132E65">
        <w:rPr>
          <w:rtl/>
        </w:rPr>
        <w:t xml:space="preserve"> ؛ </w:t>
      </w:r>
      <w:r w:rsidRPr="003813CD">
        <w:rPr>
          <w:rStyle w:val="libFootnoteBoldChar"/>
          <w:rtl/>
        </w:rPr>
        <w:t>وفيه</w:t>
      </w:r>
      <w:r w:rsidRPr="00132E65">
        <w:rPr>
          <w:rtl/>
        </w:rPr>
        <w:t xml:space="preserve"> ، ص 49 ، ح 21 ، عن داود بن فرقد عن أبي عبد الله </w:t>
      </w:r>
      <w:r w:rsidRPr="003813CD">
        <w:rPr>
          <w:rStyle w:val="libFootnoteAlaemChar"/>
          <w:rtl/>
        </w:rPr>
        <w:t>عليه‌السلام</w:t>
      </w:r>
      <w:r w:rsidRPr="00132E65">
        <w:rPr>
          <w:rtl/>
        </w:rPr>
        <w:t xml:space="preserve"> ، مع اختلاف </w:t>
      </w:r>
      <w:r w:rsidR="003813CD">
        <w:rPr>
          <w:rFonts w:hint="cs"/>
          <w:rtl/>
        </w:rPr>
        <w:t>.</w:t>
      </w:r>
      <w:r w:rsidRPr="009D1ACE">
        <w:rPr>
          <w:rStyle w:val="libFootnoteBoldChar"/>
          <w:rtl/>
        </w:rPr>
        <w:t>الوافي</w:t>
      </w:r>
      <w:r w:rsidRPr="00132E65">
        <w:rPr>
          <w:rtl/>
        </w:rPr>
        <w:t xml:space="preserve"> ، ج 10 ، ص 301 ، ح 9600 ؛ </w:t>
      </w:r>
      <w:r w:rsidRPr="003813CD">
        <w:rPr>
          <w:rStyle w:val="libFootnoteBoldChar"/>
          <w:rtl/>
        </w:rPr>
        <w:t>الوسائل</w:t>
      </w:r>
      <w:r w:rsidRPr="00132E65">
        <w:rPr>
          <w:rtl/>
        </w:rPr>
        <w:t xml:space="preserve"> ، ج 9 ، ص 523 ، ح 12625.</w:t>
      </w:r>
    </w:p>
    <w:p w:rsidR="000C39D1" w:rsidRPr="00132E65" w:rsidRDefault="000C39D1" w:rsidP="000C39D1">
      <w:pPr>
        <w:pStyle w:val="libFootnote0"/>
        <w:rPr>
          <w:rtl/>
          <w:lang w:bidi="fa-IR"/>
        </w:rPr>
      </w:pPr>
      <w:r>
        <w:rPr>
          <w:rtl/>
        </w:rPr>
        <w:t>(4).</w:t>
      </w:r>
      <w:r w:rsidRPr="00132E65">
        <w:rPr>
          <w:rtl/>
        </w:rPr>
        <w:t xml:space="preserve"> في « بر » </w:t>
      </w:r>
      <w:r>
        <w:rPr>
          <w:rtl/>
        </w:rPr>
        <w:t xml:space="preserve">: - </w:t>
      </w:r>
      <w:r w:rsidRPr="00132E65">
        <w:rPr>
          <w:rtl/>
        </w:rPr>
        <w:t>« بن هاشم »</w:t>
      </w:r>
      <w:r>
        <w:rPr>
          <w:rtl/>
        </w:rPr>
        <w:t>.</w:t>
      </w:r>
    </w:p>
    <w:p w:rsidR="000C39D1" w:rsidRPr="00132E65" w:rsidRDefault="000C39D1" w:rsidP="000C39D1">
      <w:pPr>
        <w:pStyle w:val="libFootnote0"/>
        <w:rPr>
          <w:rtl/>
          <w:lang w:bidi="fa-IR"/>
        </w:rPr>
      </w:pPr>
      <w:r>
        <w:rPr>
          <w:rtl/>
        </w:rPr>
        <w:t>(5).</w:t>
      </w:r>
      <w:r w:rsidRPr="00132E65">
        <w:rPr>
          <w:rtl/>
        </w:rPr>
        <w:t xml:space="preserve"> في </w:t>
      </w:r>
      <w:r w:rsidRPr="000577A7">
        <w:rPr>
          <w:rStyle w:val="libFootnoteBoldChar"/>
          <w:rtl/>
        </w:rPr>
        <w:t>الكافي</w:t>
      </w:r>
      <w:r w:rsidRPr="00132E65">
        <w:rPr>
          <w:rtl/>
        </w:rPr>
        <w:t xml:space="preserve"> ، ح 8271 : « أبي الحسن </w:t>
      </w:r>
      <w:r w:rsidRPr="003813CD">
        <w:rPr>
          <w:rStyle w:val="libFootnoteAlaemChar"/>
          <w:rtl/>
        </w:rPr>
        <w:t>عليه‌السلام</w:t>
      </w:r>
      <w:r w:rsidRPr="00132E65">
        <w:rPr>
          <w:rtl/>
        </w:rPr>
        <w:t xml:space="preserve"> » بدل « العبد الصالح »</w:t>
      </w:r>
      <w:r>
        <w:rPr>
          <w:rtl/>
        </w:rPr>
        <w:t>.</w:t>
      </w:r>
      <w:r w:rsidRPr="00132E65">
        <w:rPr>
          <w:rtl/>
        </w:rPr>
        <w:t xml:space="preserve"> وفي التهذيب و</w:t>
      </w:r>
      <w:r w:rsidRPr="009D1ACE">
        <w:rPr>
          <w:rStyle w:val="libFootnoteBoldChar"/>
          <w:rtl/>
        </w:rPr>
        <w:t>الوافي</w:t>
      </w:r>
      <w:r w:rsidRPr="00132E65">
        <w:rPr>
          <w:rtl/>
        </w:rPr>
        <w:t xml:space="preserve"> :</w:t>
      </w:r>
      <w:r>
        <w:rPr>
          <w:rtl/>
        </w:rPr>
        <w:t xml:space="preserve"> + </w:t>
      </w:r>
      <w:r w:rsidRPr="00132E65">
        <w:rPr>
          <w:rtl/>
        </w:rPr>
        <w:t xml:space="preserve">« أبي الحسن‌الأوّل </w:t>
      </w:r>
      <w:r w:rsidRPr="003813CD">
        <w:rPr>
          <w:rStyle w:val="libFootnoteAlaemChar"/>
          <w:rtl/>
        </w:rPr>
        <w:t>عليه‌السلام</w:t>
      </w:r>
      <w:r w:rsidRPr="00132E65">
        <w:rPr>
          <w:rtl/>
        </w:rPr>
        <w:t xml:space="preserve">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0577A7">
        <w:rPr>
          <w:rStyle w:val="libFootnoteBoldChar"/>
          <w:rtl/>
        </w:rPr>
        <w:t>الكافي</w:t>
      </w:r>
      <w:r w:rsidRPr="00132E65">
        <w:rPr>
          <w:rtl/>
        </w:rPr>
        <w:t xml:space="preserve"> ، ح 8271 : « يؤخذ الخمس » بدل « الخمس من خمسة أشياء »</w:t>
      </w:r>
      <w:r>
        <w:rPr>
          <w:rtl/>
        </w:rPr>
        <w:t>.</w:t>
      </w:r>
    </w:p>
    <w:p w:rsidR="000C39D1" w:rsidRPr="00132E65" w:rsidRDefault="000C39D1" w:rsidP="000C39D1">
      <w:pPr>
        <w:pStyle w:val="libFootnote0"/>
        <w:rPr>
          <w:rtl/>
          <w:lang w:bidi="fa-IR"/>
        </w:rPr>
      </w:pPr>
      <w:r>
        <w:rPr>
          <w:rtl/>
        </w:rPr>
        <w:t>(7).</w:t>
      </w:r>
      <w:r w:rsidR="003813CD">
        <w:rPr>
          <w:rtl/>
        </w:rPr>
        <w:t xml:space="preserve"> « المل</w:t>
      </w:r>
      <w:r w:rsidR="003813CD">
        <w:rPr>
          <w:rFonts w:hint="cs"/>
          <w:rtl/>
        </w:rPr>
        <w:t>ّ</w:t>
      </w:r>
      <w:r w:rsidR="003813CD">
        <w:rPr>
          <w:rtl/>
        </w:rPr>
        <w:t>ا</w:t>
      </w:r>
      <w:r w:rsidRPr="00132E65">
        <w:rPr>
          <w:rtl/>
        </w:rPr>
        <w:t xml:space="preserve">حة » : منبت الملح. </w:t>
      </w:r>
      <w:r w:rsidRPr="009D1ACE">
        <w:rPr>
          <w:rStyle w:val="libFootnoteBoldChar"/>
          <w:rtl/>
        </w:rPr>
        <w:t>لسان العرب</w:t>
      </w:r>
      <w:r w:rsidRPr="00132E65">
        <w:rPr>
          <w:rtl/>
        </w:rPr>
        <w:t xml:space="preserve"> ، ج 2 ، ص 600 ( ملح )</w:t>
      </w:r>
      <w:r>
        <w:rPr>
          <w:rtl/>
        </w:rPr>
        <w:t>.</w:t>
      </w:r>
    </w:p>
    <w:p w:rsidR="000C39D1" w:rsidRPr="00132E65" w:rsidRDefault="000C39D1" w:rsidP="000C39D1">
      <w:pPr>
        <w:pStyle w:val="libFootnote0"/>
        <w:rPr>
          <w:rtl/>
          <w:lang w:bidi="fa-IR"/>
        </w:rPr>
      </w:pPr>
      <w:r>
        <w:rPr>
          <w:rtl/>
        </w:rPr>
        <w:t>(8).</w:t>
      </w:r>
      <w:r w:rsidRPr="00132E65">
        <w:rPr>
          <w:rtl/>
        </w:rPr>
        <w:t xml:space="preserve"> في </w:t>
      </w:r>
      <w:r w:rsidRPr="000577A7">
        <w:rPr>
          <w:rStyle w:val="libFootnoteBoldChar"/>
          <w:rtl/>
        </w:rPr>
        <w:t>الكافي</w:t>
      </w:r>
      <w:r w:rsidRPr="00132E65">
        <w:rPr>
          <w:rtl/>
        </w:rPr>
        <w:t xml:space="preserve"> ح 8271 </w:t>
      </w:r>
      <w:r>
        <w:rPr>
          <w:rtl/>
        </w:rPr>
        <w:t xml:space="preserve">: - </w:t>
      </w:r>
      <w:r w:rsidRPr="00132E65">
        <w:rPr>
          <w:rtl/>
        </w:rPr>
        <w:t>« له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وَيُقْسَمُ </w:t>
      </w:r>
      <w:r>
        <w:rPr>
          <w:rStyle w:val="libFootnotenumChar"/>
          <w:rtl/>
        </w:rPr>
        <w:t>(1)</w:t>
      </w:r>
      <w:r w:rsidRPr="00132E65">
        <w:rPr>
          <w:rtl/>
          <w:lang w:bidi="fa-IR"/>
        </w:rPr>
        <w:t xml:space="preserve"> الْأَرْبَعَةُ الْأَخْمَاسِ </w:t>
      </w:r>
      <w:r>
        <w:rPr>
          <w:rStyle w:val="libFootnotenumChar"/>
          <w:rtl/>
        </w:rPr>
        <w:t>(2)</w:t>
      </w:r>
      <w:r w:rsidRPr="00132E65">
        <w:rPr>
          <w:rtl/>
          <w:lang w:bidi="fa-IR"/>
        </w:rPr>
        <w:t xml:space="preserve"> بَيْنَ مَنْ قَاتَلَ عَلَيْهِ و</w:t>
      </w:r>
      <w:r w:rsidR="003813CD">
        <w:rPr>
          <w:rFonts w:hint="cs"/>
          <w:rtl/>
          <w:lang w:bidi="fa-IR"/>
        </w:rPr>
        <w:t xml:space="preserve">َ </w:t>
      </w:r>
      <w:r w:rsidR="003813CD">
        <w:rPr>
          <w:rtl/>
          <w:lang w:bidi="fa-IR"/>
        </w:rPr>
        <w:t>و</w:t>
      </w:r>
      <w:r w:rsidR="003813CD">
        <w:rPr>
          <w:rFonts w:hint="cs"/>
          <w:rtl/>
          <w:lang w:bidi="fa-IR"/>
        </w:rPr>
        <w:t>َ</w:t>
      </w:r>
      <w:r w:rsidRPr="00132E65">
        <w:rPr>
          <w:rtl/>
          <w:lang w:bidi="fa-IR"/>
        </w:rPr>
        <w:t>لِيَ ذلِكَ ، و</w:t>
      </w:r>
      <w:r w:rsidR="003813CD">
        <w:rPr>
          <w:rFonts w:hint="cs"/>
          <w:rtl/>
          <w:lang w:bidi="fa-IR"/>
        </w:rPr>
        <w:t>َ</w:t>
      </w:r>
      <w:r w:rsidRPr="00132E65">
        <w:rPr>
          <w:rtl/>
          <w:lang w:bidi="fa-IR"/>
        </w:rPr>
        <w:t>يُقْسَمُ بَيْنَهُمُ الْخُمُسُ عَلى سِتَّةِ أَسْهُمٍ : سَهْمٌ لِلّهِ ، و</w:t>
      </w:r>
      <w:r w:rsidR="003813CD">
        <w:rPr>
          <w:rFonts w:hint="cs"/>
          <w:rtl/>
          <w:lang w:bidi="fa-IR"/>
        </w:rPr>
        <w:t>َ</w:t>
      </w:r>
      <w:r w:rsidRPr="00132E65">
        <w:rPr>
          <w:rtl/>
          <w:lang w:bidi="fa-IR"/>
        </w:rPr>
        <w:t xml:space="preserve">سَهْمٌ لِرَسُولِ اللهِ </w:t>
      </w:r>
      <w:r w:rsidRPr="0093484F">
        <w:rPr>
          <w:rStyle w:val="libAlaemChar"/>
          <w:rFonts w:eastAsiaTheme="minorHAnsi"/>
          <w:rtl/>
        </w:rPr>
        <w:t>صلى‌الله‌عليه‌وآله</w:t>
      </w:r>
      <w:r w:rsidRPr="00132E65">
        <w:rPr>
          <w:rtl/>
          <w:lang w:bidi="fa-IR"/>
        </w:rPr>
        <w:t xml:space="preserve"> ، و</w:t>
      </w:r>
      <w:r w:rsidR="003813CD">
        <w:rPr>
          <w:rFonts w:hint="cs"/>
          <w:rtl/>
          <w:lang w:bidi="fa-IR"/>
        </w:rPr>
        <w:t>َ</w:t>
      </w:r>
      <w:r w:rsidRPr="00132E65">
        <w:rPr>
          <w:rtl/>
          <w:lang w:bidi="fa-IR"/>
        </w:rPr>
        <w:t>سَهْمٌ لِذِي الْقُرْبى ، و</w:t>
      </w:r>
      <w:r w:rsidR="003813CD">
        <w:rPr>
          <w:rFonts w:hint="cs"/>
          <w:rtl/>
          <w:lang w:bidi="fa-IR"/>
        </w:rPr>
        <w:t>َ</w:t>
      </w:r>
      <w:r w:rsidRPr="00132E65">
        <w:rPr>
          <w:rtl/>
          <w:lang w:bidi="fa-IR"/>
        </w:rPr>
        <w:t>سَهْمٌ لِلْيَتَامى ، و</w:t>
      </w:r>
      <w:r w:rsidR="003813CD">
        <w:rPr>
          <w:rFonts w:hint="cs"/>
          <w:rtl/>
          <w:lang w:bidi="fa-IR"/>
        </w:rPr>
        <w:t>َ</w:t>
      </w:r>
      <w:r w:rsidRPr="00132E65">
        <w:rPr>
          <w:rtl/>
          <w:lang w:bidi="fa-IR"/>
        </w:rPr>
        <w:t>سَهْمٌ لِلْمَسَاكِينِ ، و</w:t>
      </w:r>
      <w:r w:rsidR="003813CD">
        <w:rPr>
          <w:rFonts w:hint="cs"/>
          <w:rtl/>
          <w:lang w:bidi="fa-IR"/>
        </w:rPr>
        <w:t>َ</w:t>
      </w:r>
      <w:r w:rsidRPr="00132E65">
        <w:rPr>
          <w:rtl/>
          <w:lang w:bidi="fa-IR"/>
        </w:rPr>
        <w:t>سَهْمٌ لِأَبْنَاءِ السَّبِيلِ.</w:t>
      </w:r>
    </w:p>
    <w:p w:rsidR="000C39D1" w:rsidRPr="00132E65" w:rsidRDefault="000C39D1" w:rsidP="00034079">
      <w:pPr>
        <w:pStyle w:val="libNormal"/>
        <w:rPr>
          <w:rtl/>
          <w:lang w:bidi="fa-IR"/>
        </w:rPr>
      </w:pPr>
      <w:r w:rsidRPr="00132E65">
        <w:rPr>
          <w:rtl/>
          <w:lang w:bidi="fa-IR"/>
        </w:rPr>
        <w:t>فَسَهْمُ اللهِ و</w:t>
      </w:r>
      <w:r w:rsidR="003813CD">
        <w:rPr>
          <w:rFonts w:hint="cs"/>
          <w:rtl/>
          <w:lang w:bidi="fa-IR"/>
        </w:rPr>
        <w:t>َ</w:t>
      </w:r>
      <w:r w:rsidRPr="00132E65">
        <w:rPr>
          <w:rtl/>
          <w:lang w:bidi="fa-IR"/>
        </w:rPr>
        <w:t xml:space="preserve">سَهْمُ رَسُولِ اللهِ لِأُولِي الْأَمْرِ مِنْ بَعْدِ رَسُولِ اللهِ </w:t>
      </w:r>
      <w:r w:rsidRPr="0093484F">
        <w:rPr>
          <w:rStyle w:val="libAlaemChar"/>
          <w:rFonts w:eastAsiaTheme="minorHAnsi"/>
          <w:rtl/>
        </w:rPr>
        <w:t>صلى‌الله‌عليه‌وآله</w:t>
      </w:r>
      <w:r w:rsidRPr="00132E65">
        <w:rPr>
          <w:rtl/>
          <w:lang w:bidi="fa-IR"/>
        </w:rPr>
        <w:t xml:space="preserve"> و</w:t>
      </w:r>
      <w:r w:rsidR="003813CD">
        <w:rPr>
          <w:rFonts w:hint="cs"/>
          <w:rtl/>
          <w:lang w:bidi="fa-IR"/>
        </w:rPr>
        <w:t>ِ</w:t>
      </w:r>
      <w:r w:rsidRPr="00132E65">
        <w:rPr>
          <w:rtl/>
          <w:lang w:bidi="fa-IR"/>
        </w:rPr>
        <w:t xml:space="preserve">رَاثَةً ؛ فَلَهُ </w:t>
      </w:r>
      <w:r>
        <w:rPr>
          <w:rStyle w:val="libFootnotenumChar"/>
          <w:rtl/>
        </w:rPr>
        <w:t>(3)</w:t>
      </w:r>
      <w:r w:rsidRPr="00132E65">
        <w:rPr>
          <w:rtl/>
          <w:lang w:bidi="fa-IR"/>
        </w:rPr>
        <w:t xml:space="preserve"> ثَلَاثَةُ أَسْهُمٍ : سَهْمَانِ ورَاثَةً </w:t>
      </w:r>
      <w:r>
        <w:rPr>
          <w:rStyle w:val="libFootnotenumChar"/>
          <w:rtl/>
        </w:rPr>
        <w:t>(4)</w:t>
      </w:r>
      <w:r w:rsidRPr="00132E65">
        <w:rPr>
          <w:rtl/>
          <w:lang w:bidi="fa-IR"/>
        </w:rPr>
        <w:t xml:space="preserve"> ، وسَهْمٌ مَقْسُومٌ لَهُ مِنَ اللهِ ، و</w:t>
      </w:r>
      <w:r w:rsidR="00034079">
        <w:rPr>
          <w:rFonts w:hint="cs"/>
          <w:rtl/>
          <w:lang w:bidi="fa-IR"/>
        </w:rPr>
        <w:t>َ</w:t>
      </w:r>
      <w:r w:rsidRPr="00132E65">
        <w:rPr>
          <w:rtl/>
          <w:lang w:bidi="fa-IR"/>
        </w:rPr>
        <w:t xml:space="preserve">لَهُ </w:t>
      </w:r>
      <w:r>
        <w:rPr>
          <w:rStyle w:val="libFootnotenumChar"/>
          <w:rtl/>
        </w:rPr>
        <w:t>(5)</w:t>
      </w:r>
      <w:r w:rsidRPr="00132E65">
        <w:rPr>
          <w:rtl/>
          <w:lang w:bidi="fa-IR"/>
        </w:rPr>
        <w:t xml:space="preserve"> نِصْفُ الْخُمُسِ كَمَلاً ، و</w:t>
      </w:r>
      <w:r w:rsidR="00034079">
        <w:rPr>
          <w:rFonts w:hint="cs"/>
          <w:rtl/>
          <w:lang w:bidi="fa-IR"/>
        </w:rPr>
        <w:t>َ</w:t>
      </w:r>
      <w:r w:rsidRPr="00132E65">
        <w:rPr>
          <w:rtl/>
          <w:lang w:bidi="fa-IR"/>
        </w:rPr>
        <w:t xml:space="preserve">نِصْفُ الْخُمُسِ الْبَاقِي بَيْنَ أَهْلِ بَيْتِهِ ، فَسَهْمٌ </w:t>
      </w:r>
      <w:r>
        <w:rPr>
          <w:rStyle w:val="libFootnotenumChar"/>
          <w:rtl/>
        </w:rPr>
        <w:t>(6)</w:t>
      </w:r>
      <w:r w:rsidRPr="00132E65">
        <w:rPr>
          <w:rtl/>
          <w:lang w:bidi="fa-IR"/>
        </w:rPr>
        <w:t xml:space="preserve"> لِيَتَامَاهُمْ ، و</w:t>
      </w:r>
      <w:r w:rsidR="00034079">
        <w:rPr>
          <w:rFonts w:hint="cs"/>
          <w:rtl/>
          <w:lang w:bidi="fa-IR"/>
        </w:rPr>
        <w:t>َ</w:t>
      </w:r>
      <w:r w:rsidRPr="00132E65">
        <w:rPr>
          <w:rtl/>
          <w:lang w:bidi="fa-IR"/>
        </w:rPr>
        <w:t>سَهْمٌ لِمَسَاكِينِهِمْ ، و</w:t>
      </w:r>
      <w:r w:rsidR="00034079">
        <w:rPr>
          <w:rFonts w:hint="cs"/>
          <w:rtl/>
          <w:lang w:bidi="fa-IR"/>
        </w:rPr>
        <w:t>َ</w:t>
      </w:r>
      <w:r w:rsidRPr="00132E65">
        <w:rPr>
          <w:rtl/>
          <w:lang w:bidi="fa-IR"/>
        </w:rPr>
        <w:t>سَهْمٌ لِأَبْنَاءِ سَبِيلِهِمْ ، يُقْسَمُ بَيْنَهُمْ عَلَى الْكِتَابِ و</w:t>
      </w:r>
      <w:r w:rsidR="00034079">
        <w:rPr>
          <w:rFonts w:hint="cs"/>
          <w:rtl/>
          <w:lang w:bidi="fa-IR"/>
        </w:rPr>
        <w:t>َ</w:t>
      </w:r>
      <w:r w:rsidRPr="00132E65">
        <w:rPr>
          <w:rtl/>
          <w:lang w:bidi="fa-IR"/>
        </w:rPr>
        <w:t xml:space="preserve">السُّنَّةِ </w:t>
      </w:r>
      <w:r>
        <w:rPr>
          <w:rStyle w:val="libFootnotenumChar"/>
          <w:rtl/>
        </w:rPr>
        <w:t>(7)</w:t>
      </w:r>
      <w:r w:rsidRPr="00132E65">
        <w:rPr>
          <w:rtl/>
          <w:lang w:bidi="fa-IR"/>
        </w:rPr>
        <w:t xml:space="preserve"> مَا يَسْتَغْنُونَ بِهِ </w:t>
      </w:r>
      <w:r>
        <w:rPr>
          <w:rStyle w:val="libFootnotenumChar"/>
          <w:rtl/>
        </w:rPr>
        <w:t>(8)</w:t>
      </w:r>
      <w:r w:rsidRPr="00132E65">
        <w:rPr>
          <w:rtl/>
          <w:lang w:bidi="fa-IR"/>
        </w:rPr>
        <w:t xml:space="preserve"> فِي سَنَتِهِمْ ، فَإِنْ فَضَلَ عَنْهُمْ شَيْ‌ءٌ فَهُوَ لِلْوَالِي ، و</w:t>
      </w:r>
      <w:r w:rsidR="00034079">
        <w:rPr>
          <w:rFonts w:hint="cs"/>
          <w:rtl/>
          <w:lang w:bidi="fa-IR"/>
        </w:rPr>
        <w:t>َ</w:t>
      </w:r>
      <w:r w:rsidRPr="00132E65">
        <w:rPr>
          <w:rtl/>
          <w:lang w:bidi="fa-IR"/>
        </w:rPr>
        <w:t>إِنْ عَجَزَ أَوْ نَقَصَ عَنِ اسْتِغْنَائِهِمْ ، كَانَ عَلَى الْوَالِي أَنْ يُنْفِقَ مِنْ عِنْدِهِ بِقَدْرِ مَا يَسْتَغْنُونَ بِهِ ، و</w:t>
      </w:r>
      <w:r w:rsidR="00034079">
        <w:rPr>
          <w:rFonts w:hint="cs"/>
          <w:rtl/>
          <w:lang w:bidi="fa-IR"/>
        </w:rPr>
        <w:t>َ</w:t>
      </w:r>
      <w:r w:rsidRPr="00132E65">
        <w:rPr>
          <w:rtl/>
          <w:lang w:bidi="fa-IR"/>
        </w:rPr>
        <w:t xml:space="preserve">إِنَّمَا صَارَ عَلَيْهِ أَنْ يَمُونَهُمْ </w:t>
      </w:r>
      <w:r>
        <w:rPr>
          <w:rStyle w:val="libFootnotenumChar"/>
          <w:rtl/>
        </w:rPr>
        <w:t>(9)</w:t>
      </w:r>
      <w:r w:rsidRPr="00132E65">
        <w:rPr>
          <w:rtl/>
          <w:lang w:bidi="fa-IR"/>
        </w:rPr>
        <w:t xml:space="preserve"> لِأَنَّ لَهُ مَا فَضَلَ عَنْهُمْ.</w:t>
      </w:r>
    </w:p>
    <w:p w:rsidR="000C39D1" w:rsidRPr="00132E65" w:rsidRDefault="000C39D1" w:rsidP="000C39D1">
      <w:pPr>
        <w:pStyle w:val="libNormal"/>
        <w:rPr>
          <w:rtl/>
          <w:lang w:bidi="fa-IR"/>
        </w:rPr>
      </w:pPr>
      <w:r w:rsidRPr="00132E65">
        <w:rPr>
          <w:rtl/>
          <w:lang w:bidi="fa-IR"/>
        </w:rPr>
        <w:t xml:space="preserve">وَإِنَّمَا جَعَلَ اللهُ هذَا الْخُمُسَ خَاصَّةً لَهُمْ دُونَ مَسَاكِينِ النَّاسِ وأَبْنَاءِ سَبِيلِهِمْ ؛ عِوَضاً لَهُمْ مِنْ </w:t>
      </w:r>
      <w:r>
        <w:rPr>
          <w:rStyle w:val="libFootnotenumChar"/>
          <w:rtl/>
        </w:rPr>
        <w:t>(10)</w:t>
      </w:r>
      <w:r w:rsidRPr="00132E65">
        <w:rPr>
          <w:rtl/>
          <w:lang w:bidi="fa-IR"/>
        </w:rPr>
        <w:t xml:space="preserve"> صَدَقَاتِ النَّاسِ ؛ تَنْزِيهاً مِنَ اللهِ لَهُمْ لِقَرَابَتِهِمْ بِرَسُولِ اللهِ </w:t>
      </w:r>
      <w:r>
        <w:rPr>
          <w:rStyle w:val="libFootnotenumChar"/>
          <w:rtl/>
        </w:rPr>
        <w:t>(11)</w:t>
      </w:r>
      <w:r w:rsidRPr="00132E65">
        <w:rPr>
          <w:rtl/>
          <w:lang w:bidi="fa-IR"/>
        </w:rPr>
        <w:t xml:space="preserve"> </w:t>
      </w:r>
      <w:r w:rsidRPr="0093484F">
        <w:rPr>
          <w:rStyle w:val="libAlaemChar"/>
          <w:rFonts w:eastAsiaTheme="minorHAnsi"/>
          <w:rtl/>
        </w:rPr>
        <w:t>صلى‌الله‌عليه‌وآله</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وتقسم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0577A7">
        <w:rPr>
          <w:rStyle w:val="libFootnoteBoldChar"/>
          <w:rtl/>
        </w:rPr>
        <w:t>الكافي</w:t>
      </w:r>
      <w:r w:rsidRPr="00132E65">
        <w:rPr>
          <w:rtl/>
        </w:rPr>
        <w:t xml:space="preserve"> ، ح 8271 والتهذيب : « أربعة أخماس »</w:t>
      </w:r>
      <w:r>
        <w:rPr>
          <w:rtl/>
        </w:rPr>
        <w:t>.</w:t>
      </w:r>
    </w:p>
    <w:p w:rsidR="000C39D1" w:rsidRPr="00132E65" w:rsidRDefault="000C39D1" w:rsidP="000C39D1">
      <w:pPr>
        <w:pStyle w:val="libFootnote0"/>
        <w:rPr>
          <w:rtl/>
          <w:lang w:bidi="fa-IR"/>
        </w:rPr>
      </w:pPr>
      <w:r>
        <w:rPr>
          <w:rtl/>
        </w:rPr>
        <w:t>(3).</w:t>
      </w:r>
      <w:r w:rsidRPr="00132E65">
        <w:rPr>
          <w:rtl/>
        </w:rPr>
        <w:t xml:space="preserve"> في « ج ، ض ، ف ، بس » وحاشية « بر » والوسائل ، ح 12607 : « وله »</w:t>
      </w:r>
      <w:r>
        <w:rPr>
          <w:rtl/>
        </w:rPr>
        <w:t>.</w:t>
      </w:r>
    </w:p>
    <w:p w:rsidR="000C39D1" w:rsidRPr="00132E65" w:rsidRDefault="000C39D1" w:rsidP="000C39D1">
      <w:pPr>
        <w:pStyle w:val="libFootnote0"/>
        <w:rPr>
          <w:rtl/>
          <w:lang w:bidi="fa-IR"/>
        </w:rPr>
      </w:pPr>
      <w:r>
        <w:rPr>
          <w:rtl/>
        </w:rPr>
        <w:t>(4).</w:t>
      </w:r>
      <w:r w:rsidRPr="00132E65">
        <w:rPr>
          <w:rtl/>
        </w:rPr>
        <w:t xml:space="preserve"> في « ض » : « وراثته »</w:t>
      </w:r>
      <w:r>
        <w:rPr>
          <w:rtl/>
        </w:rPr>
        <w:t>.</w:t>
      </w:r>
    </w:p>
    <w:p w:rsidR="000C39D1" w:rsidRPr="00132E65" w:rsidRDefault="000C39D1" w:rsidP="000C39D1">
      <w:pPr>
        <w:pStyle w:val="libFootnote0"/>
        <w:rPr>
          <w:rtl/>
          <w:lang w:bidi="fa-IR"/>
        </w:rPr>
      </w:pPr>
      <w:r>
        <w:rPr>
          <w:rtl/>
        </w:rPr>
        <w:t>(5).</w:t>
      </w:r>
      <w:r w:rsidRPr="00132E65">
        <w:rPr>
          <w:rtl/>
        </w:rPr>
        <w:t xml:space="preserve"> في « بر ، بف » وحاشية « ف » والتهذيب ، ح 366 : « فله »</w:t>
      </w:r>
      <w:r>
        <w:rPr>
          <w:rtl/>
        </w:rPr>
        <w:t>.</w:t>
      </w:r>
    </w:p>
    <w:p w:rsidR="000C39D1" w:rsidRPr="00132E65" w:rsidRDefault="000C39D1" w:rsidP="000C39D1">
      <w:pPr>
        <w:pStyle w:val="libFootnote0"/>
        <w:rPr>
          <w:rtl/>
          <w:lang w:bidi="fa-IR"/>
        </w:rPr>
      </w:pPr>
      <w:r>
        <w:rPr>
          <w:rtl/>
        </w:rPr>
        <w:t>(6).</w:t>
      </w:r>
      <w:r w:rsidRPr="00132E65">
        <w:rPr>
          <w:rtl/>
        </w:rPr>
        <w:t xml:space="preserve"> في « بر » : « وسهم »</w:t>
      </w:r>
      <w:r>
        <w:rPr>
          <w:rtl/>
        </w:rPr>
        <w:t>.</w:t>
      </w:r>
    </w:p>
    <w:p w:rsidR="000C39D1" w:rsidRPr="00132E65" w:rsidRDefault="000C39D1" w:rsidP="000C39D1">
      <w:pPr>
        <w:pStyle w:val="libFootnote0"/>
        <w:rPr>
          <w:rtl/>
          <w:lang w:bidi="fa-IR"/>
        </w:rPr>
      </w:pPr>
      <w:r>
        <w:rPr>
          <w:rtl/>
        </w:rPr>
        <w:t>(7).</w:t>
      </w:r>
      <w:r w:rsidRPr="00132E65">
        <w:rPr>
          <w:rtl/>
        </w:rPr>
        <w:t xml:space="preserve"> في </w:t>
      </w:r>
      <w:r w:rsidRPr="00034079">
        <w:rPr>
          <w:rtl/>
        </w:rPr>
        <w:t>الوافي</w:t>
      </w:r>
      <w:r w:rsidRPr="00132E65">
        <w:rPr>
          <w:rtl/>
        </w:rPr>
        <w:t xml:space="preserve"> والتهذيب ، ح 366 : « الكفاف والسعة » بدل « الكتاب والسنّة »</w:t>
      </w:r>
      <w:r>
        <w:rPr>
          <w:rtl/>
        </w:rPr>
        <w:t>.</w:t>
      </w:r>
      <w:r w:rsidRPr="00132E65">
        <w:rPr>
          <w:rtl/>
        </w:rPr>
        <w:t xml:space="preserve"> وقال في </w:t>
      </w:r>
      <w:r w:rsidRPr="00034079">
        <w:rPr>
          <w:rtl/>
        </w:rPr>
        <w:t>الوافي</w:t>
      </w:r>
      <w:r w:rsidRPr="00132E65">
        <w:rPr>
          <w:rtl/>
        </w:rPr>
        <w:t xml:space="preserve"> : « ويشبه أن يكون‌</w:t>
      </w:r>
      <w:r w:rsidR="00034079">
        <w:rPr>
          <w:rFonts w:hint="cs"/>
          <w:rtl/>
        </w:rPr>
        <w:t xml:space="preserve"> </w:t>
      </w:r>
      <w:r w:rsidRPr="00132E65">
        <w:rPr>
          <w:rtl/>
        </w:rPr>
        <w:t>أحدهما تصحيف الآخر »</w:t>
      </w:r>
      <w:r>
        <w:rPr>
          <w:rtl/>
        </w:rPr>
        <w:t>.</w:t>
      </w:r>
    </w:p>
    <w:p w:rsidR="000C39D1" w:rsidRPr="00132E65" w:rsidRDefault="000C39D1" w:rsidP="000C39D1">
      <w:pPr>
        <w:pStyle w:val="libFootnote0"/>
        <w:rPr>
          <w:rtl/>
          <w:lang w:bidi="fa-IR"/>
        </w:rPr>
      </w:pPr>
      <w:r>
        <w:rPr>
          <w:rtl/>
        </w:rPr>
        <w:t>(8).</w:t>
      </w:r>
      <w:r w:rsidRPr="00132E65">
        <w:rPr>
          <w:rtl/>
        </w:rPr>
        <w:t xml:space="preserve"> في شرح المازندراني </w:t>
      </w:r>
      <w:r>
        <w:rPr>
          <w:rtl/>
        </w:rPr>
        <w:t xml:space="preserve">: - </w:t>
      </w:r>
      <w:r w:rsidRPr="00132E65">
        <w:rPr>
          <w:rtl/>
        </w:rPr>
        <w:t>« به »</w:t>
      </w:r>
      <w:r>
        <w:rPr>
          <w:rtl/>
        </w:rPr>
        <w:t>.</w:t>
      </w:r>
    </w:p>
    <w:p w:rsidR="000C39D1" w:rsidRPr="00132E65" w:rsidRDefault="000C39D1" w:rsidP="000C39D1">
      <w:pPr>
        <w:pStyle w:val="libFootnote0"/>
        <w:rPr>
          <w:rtl/>
          <w:lang w:bidi="fa-IR"/>
        </w:rPr>
      </w:pPr>
      <w:r>
        <w:rPr>
          <w:rtl/>
        </w:rPr>
        <w:t>(9).</w:t>
      </w:r>
      <w:r w:rsidRPr="00132E65">
        <w:rPr>
          <w:rtl/>
        </w:rPr>
        <w:t xml:space="preserve"> « المؤُونة » : تهمز ولا تهمز. وهي فَعولة. وقال الفرّاء : هي مَفْعلة من الأين ، وهو التعب والشدّة. ويقال : هي مَفْعلة من الأوْن ، وهو الخُرْج والعِدْل ؛ لأنّها ثقل على الإنسان. ومأنْتُ القومَ أمْؤُنُهُم مأناً ، إذا احتملتَ مَؤونتَهم ؛ أي قُوتَهم. </w:t>
      </w:r>
      <w:r w:rsidRPr="00034079">
        <w:rPr>
          <w:rStyle w:val="libFootnoteBoldChar"/>
          <w:rtl/>
        </w:rPr>
        <w:t>القاموس المحيط</w:t>
      </w:r>
      <w:r w:rsidRPr="00132E65">
        <w:rPr>
          <w:rtl/>
        </w:rPr>
        <w:t xml:space="preserve"> ، ج 4 ، ص 269 ( مأن )</w:t>
      </w:r>
      <w:r>
        <w:rPr>
          <w:rtl/>
        </w:rPr>
        <w:t>.</w:t>
      </w:r>
    </w:p>
    <w:p w:rsidR="000C39D1" w:rsidRPr="00132E65" w:rsidRDefault="000C39D1" w:rsidP="000C39D1">
      <w:pPr>
        <w:pStyle w:val="libFootnote0"/>
        <w:rPr>
          <w:rtl/>
          <w:lang w:bidi="fa-IR"/>
        </w:rPr>
      </w:pPr>
      <w:r>
        <w:rPr>
          <w:rtl/>
        </w:rPr>
        <w:t>(10).</w:t>
      </w:r>
      <w:r w:rsidRPr="00132E65">
        <w:rPr>
          <w:rtl/>
        </w:rPr>
        <w:t xml:space="preserve"> في « ب ، ف » : « عن »</w:t>
      </w:r>
      <w:r>
        <w:rPr>
          <w:rtl/>
        </w:rPr>
        <w:t>.</w:t>
      </w:r>
    </w:p>
    <w:p w:rsidR="000C39D1" w:rsidRPr="00132E65" w:rsidRDefault="000C39D1" w:rsidP="000C39D1">
      <w:pPr>
        <w:pStyle w:val="libFootnote0"/>
        <w:rPr>
          <w:rtl/>
          <w:lang w:bidi="fa-IR"/>
        </w:rPr>
      </w:pPr>
      <w:r>
        <w:rPr>
          <w:rtl/>
        </w:rPr>
        <w:t>(11).</w:t>
      </w:r>
      <w:r w:rsidRPr="00132E65">
        <w:rPr>
          <w:rtl/>
        </w:rPr>
        <w:t xml:space="preserve"> في « بح » : « رسول »</w:t>
      </w:r>
      <w:r>
        <w:rPr>
          <w:rtl/>
        </w:rPr>
        <w:t>.</w:t>
      </w:r>
      <w:r w:rsidRPr="00132E65">
        <w:rPr>
          <w:rtl/>
        </w:rPr>
        <w:t xml:space="preserve"> وفي </w:t>
      </w:r>
      <w:r w:rsidRPr="00034079">
        <w:rPr>
          <w:rtl/>
        </w:rPr>
        <w:t>الوافي</w:t>
      </w:r>
      <w:r w:rsidRPr="00132E65">
        <w:rPr>
          <w:rtl/>
        </w:rPr>
        <w:t xml:space="preserve"> والتهذيب ، ح 366 : « من رسول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وَكَرَامَةً مِنَ اللهِ لَهُمْ عَنْ </w:t>
      </w:r>
      <w:r>
        <w:rPr>
          <w:rStyle w:val="libFootnotenumChar"/>
          <w:rtl/>
        </w:rPr>
        <w:t>(1)</w:t>
      </w:r>
      <w:r w:rsidRPr="00132E65">
        <w:rPr>
          <w:rtl/>
          <w:lang w:bidi="fa-IR"/>
        </w:rPr>
        <w:t xml:space="preserve"> أَوْسَاخِ النَّاسِ ، فَجَعَلَ لَهُمْ خَاصَّةً مِنْ عِنْدِهِ مَا يُغْنِيهِمْ بِهِ عَنْ أَنْ يُصَيِّرَهُمْ فِي مَوْضِعِ الذُّلِّ والْمَسْكَنَةِ ، و</w:t>
      </w:r>
      <w:r w:rsidR="00034079">
        <w:rPr>
          <w:rFonts w:hint="cs"/>
          <w:rtl/>
          <w:lang w:bidi="fa-IR"/>
        </w:rPr>
        <w:t>َ</w:t>
      </w:r>
      <w:r w:rsidRPr="00132E65">
        <w:rPr>
          <w:rtl/>
          <w:lang w:bidi="fa-IR"/>
        </w:rPr>
        <w:t>لَابَأْسَ بِصَدَقَاتِ بَعْضِهِمْ عَلى بَعْضٍ.</w:t>
      </w:r>
    </w:p>
    <w:p w:rsidR="000C39D1" w:rsidRPr="00132E65" w:rsidRDefault="000C39D1" w:rsidP="000C39D1">
      <w:pPr>
        <w:pStyle w:val="libNormal"/>
        <w:rPr>
          <w:rtl/>
          <w:lang w:bidi="fa-IR"/>
        </w:rPr>
      </w:pPr>
      <w:r w:rsidRPr="00132E65">
        <w:rPr>
          <w:rtl/>
          <w:lang w:bidi="fa-IR"/>
        </w:rPr>
        <w:t>وَهؤُلَاءِ الَّذِينَ جَعَلَ اللهُ لَهُمُ الْخُمُسَ هُمْ قَرَابَةُ النَّبِيِّ ، الَّذِينَ ذَكَرَهُمُ اللهُ ، فَقَالَ :</w:t>
      </w:r>
      <w:r>
        <w:rPr>
          <w:rFonts w:hint="cs"/>
          <w:rtl/>
          <w:lang w:bidi="fa-IR"/>
        </w:rPr>
        <w:t xml:space="preserve"> </w:t>
      </w:r>
      <w:r w:rsidRPr="00071CF9">
        <w:rPr>
          <w:rStyle w:val="libAlaemChar"/>
          <w:rtl/>
        </w:rPr>
        <w:t>(</w:t>
      </w:r>
      <w:r w:rsidRPr="00071CF9">
        <w:rPr>
          <w:rStyle w:val="libAieChar"/>
          <w:rtl/>
        </w:rPr>
        <w:t xml:space="preserve"> وَأَنْذِرْ عَشِيرَتَكَ الْأَقْرَبِينَ </w:t>
      </w:r>
      <w:r w:rsidRPr="00071CF9">
        <w:rPr>
          <w:rStyle w:val="libAlaemChar"/>
          <w:rtl/>
        </w:rPr>
        <w:t>)</w:t>
      </w:r>
      <w:r w:rsidRPr="00132E65">
        <w:rPr>
          <w:rtl/>
          <w:lang w:bidi="fa-IR"/>
        </w:rPr>
        <w:t xml:space="preserve"> </w:t>
      </w:r>
      <w:r>
        <w:rPr>
          <w:rStyle w:val="libFootnotenumChar"/>
          <w:rtl/>
        </w:rPr>
        <w:t>(2)</w:t>
      </w:r>
      <w:r w:rsidRPr="00132E65">
        <w:rPr>
          <w:rtl/>
          <w:lang w:bidi="fa-IR"/>
        </w:rPr>
        <w:t xml:space="preserve"> و</w:t>
      </w:r>
      <w:r w:rsidR="00034079">
        <w:rPr>
          <w:rFonts w:hint="cs"/>
          <w:rtl/>
          <w:lang w:bidi="fa-IR"/>
        </w:rPr>
        <w:t>َ</w:t>
      </w:r>
      <w:r w:rsidRPr="00132E65">
        <w:rPr>
          <w:rtl/>
          <w:lang w:bidi="fa-IR"/>
        </w:rPr>
        <w:t xml:space="preserve">هُمْ بَنُو عَبْدِ الْمُطَّلِبِ أَنْفُسُهُمْ ، الذَّكَرُ مِنْهُمْ والْأُنْثى ، لَيْسَ فِيهِمْ مِنْ أَهْلِ </w:t>
      </w:r>
      <w:r>
        <w:rPr>
          <w:rStyle w:val="libFootnotenumChar"/>
          <w:rtl/>
        </w:rPr>
        <w:t>(3)</w:t>
      </w:r>
      <w:r w:rsidRPr="00132E65">
        <w:rPr>
          <w:rtl/>
          <w:lang w:bidi="fa-IR"/>
        </w:rPr>
        <w:t xml:space="preserve"> بُيُوتَاتِ قُرَيْشٍ ، و</w:t>
      </w:r>
      <w:r w:rsidR="00034079">
        <w:rPr>
          <w:rFonts w:hint="cs"/>
          <w:rtl/>
          <w:lang w:bidi="fa-IR"/>
        </w:rPr>
        <w:t>َ</w:t>
      </w:r>
      <w:r w:rsidRPr="00132E65">
        <w:rPr>
          <w:rtl/>
          <w:lang w:bidi="fa-IR"/>
        </w:rPr>
        <w:t>لَامِنَ الْعَرَبِ أَحَدٌ ، و</w:t>
      </w:r>
      <w:r w:rsidR="00034079">
        <w:rPr>
          <w:rFonts w:hint="cs"/>
          <w:rtl/>
          <w:lang w:bidi="fa-IR"/>
        </w:rPr>
        <w:t>َ</w:t>
      </w:r>
      <w:r w:rsidRPr="00132E65">
        <w:rPr>
          <w:rtl/>
          <w:lang w:bidi="fa-IR"/>
        </w:rPr>
        <w:t>لَافِيهِمْ و</w:t>
      </w:r>
      <w:r w:rsidR="00034079">
        <w:rPr>
          <w:rFonts w:hint="cs"/>
          <w:rtl/>
          <w:lang w:bidi="fa-IR"/>
        </w:rPr>
        <w:t>َ</w:t>
      </w:r>
      <w:r w:rsidRPr="00132E65">
        <w:rPr>
          <w:rtl/>
          <w:lang w:bidi="fa-IR"/>
        </w:rPr>
        <w:t xml:space="preserve">لَامِنْهُمْ فِي هذَا الْخُمُسِ مِنْ </w:t>
      </w:r>
      <w:r>
        <w:rPr>
          <w:rStyle w:val="libFootnotenumChar"/>
          <w:rtl/>
        </w:rPr>
        <w:t>(4)</w:t>
      </w:r>
      <w:r w:rsidRPr="00132E65">
        <w:rPr>
          <w:rtl/>
          <w:lang w:bidi="fa-IR"/>
        </w:rPr>
        <w:t xml:space="preserve"> مَوَالِيهِمْ ، و</w:t>
      </w:r>
      <w:r w:rsidR="00034079">
        <w:rPr>
          <w:rFonts w:hint="cs"/>
          <w:rtl/>
          <w:lang w:bidi="fa-IR"/>
        </w:rPr>
        <w:t>َ</w:t>
      </w:r>
      <w:r w:rsidRPr="00132E65">
        <w:rPr>
          <w:rtl/>
          <w:lang w:bidi="fa-IR"/>
        </w:rPr>
        <w:t>قَدْ تَحِلُّ صَدَقَاتُ النَّاسِ لِمَوَالِيهِمْ ، و</w:t>
      </w:r>
      <w:r w:rsidR="00C82635">
        <w:rPr>
          <w:rFonts w:hint="cs"/>
          <w:rtl/>
          <w:lang w:bidi="fa-IR"/>
        </w:rPr>
        <w:t>َ</w:t>
      </w:r>
      <w:r w:rsidRPr="00132E65">
        <w:rPr>
          <w:rtl/>
          <w:lang w:bidi="fa-IR"/>
        </w:rPr>
        <w:t>هُمْ و</w:t>
      </w:r>
      <w:r w:rsidR="00C82635">
        <w:rPr>
          <w:rFonts w:hint="cs"/>
          <w:rtl/>
          <w:lang w:bidi="fa-IR"/>
        </w:rPr>
        <w:t>َ</w:t>
      </w:r>
      <w:r w:rsidRPr="00132E65">
        <w:rPr>
          <w:rtl/>
          <w:lang w:bidi="fa-IR"/>
        </w:rPr>
        <w:t>النَّاسُ سَوَاءٌ.</w:t>
      </w:r>
    </w:p>
    <w:p w:rsidR="000C39D1" w:rsidRPr="00132E65" w:rsidRDefault="000C39D1" w:rsidP="000C39D1">
      <w:pPr>
        <w:pStyle w:val="libNormal"/>
        <w:rPr>
          <w:rtl/>
          <w:lang w:bidi="fa-IR"/>
        </w:rPr>
      </w:pPr>
      <w:r w:rsidRPr="00132E65">
        <w:rPr>
          <w:rtl/>
          <w:lang w:bidi="fa-IR"/>
        </w:rPr>
        <w:t>وَمَنْ كَانَتْ أُمُّهُ مِنْ بَنِي هَاشِمٍ ، و</w:t>
      </w:r>
      <w:r w:rsidR="00C82635">
        <w:rPr>
          <w:rFonts w:hint="cs"/>
          <w:rtl/>
          <w:lang w:bidi="fa-IR"/>
        </w:rPr>
        <w:t>َ</w:t>
      </w:r>
      <w:r w:rsidRPr="00132E65">
        <w:rPr>
          <w:rtl/>
          <w:lang w:bidi="fa-IR"/>
        </w:rPr>
        <w:t xml:space="preserve">أَبُوهُ مِنْ سَائِرِ قُرَيْشٍ ، فَإِنَّ الصَّدَقَاتِ تَحِلُّ لَهُ ، وَلَيْسَ لَهُ مِنَ الْخُمُسِ شَيْ‌ءٌ ؛ لِأَنَّ اللهَ تَعَالى يَقُولُ : </w:t>
      </w:r>
      <w:r w:rsidRPr="00071CF9">
        <w:rPr>
          <w:rStyle w:val="libAlaemChar"/>
          <w:rtl/>
        </w:rPr>
        <w:t>(</w:t>
      </w:r>
      <w:r w:rsidRPr="00071CF9">
        <w:rPr>
          <w:rStyle w:val="libAieChar"/>
          <w:rtl/>
        </w:rPr>
        <w:t xml:space="preserve"> ادْعُوهُمْ لِآبائِهِمْ </w:t>
      </w:r>
      <w:r w:rsidRPr="00071CF9">
        <w:rPr>
          <w:rStyle w:val="libAlaemChar"/>
          <w:rtl/>
        </w:rPr>
        <w:t>)</w:t>
      </w:r>
      <w:r w:rsidRPr="00132E65">
        <w:rPr>
          <w:rtl/>
          <w:lang w:bidi="fa-IR"/>
        </w:rPr>
        <w:t xml:space="preserve"> </w:t>
      </w:r>
      <w:r>
        <w:rPr>
          <w:rStyle w:val="libFootnotenumChar"/>
          <w:rtl/>
        </w:rPr>
        <w:t>(5)</w:t>
      </w:r>
      <w:r w:rsidR="00C82635" w:rsidRPr="00C82635">
        <w:rPr>
          <w:rFonts w:hint="cs"/>
          <w:rtl/>
        </w:rPr>
        <w:t>.</w:t>
      </w:r>
    </w:p>
    <w:p w:rsidR="000C39D1" w:rsidRPr="00132E65" w:rsidRDefault="000C39D1" w:rsidP="000C39D1">
      <w:pPr>
        <w:pStyle w:val="libNormal"/>
        <w:rPr>
          <w:rtl/>
          <w:lang w:bidi="fa-IR"/>
        </w:rPr>
      </w:pPr>
      <w:r w:rsidRPr="00132E65">
        <w:rPr>
          <w:rtl/>
          <w:lang w:bidi="fa-IR"/>
        </w:rPr>
        <w:t xml:space="preserve">وَلِلْإِمَامِ صَفْوُ الْمَالِ أَنْ يَأْخُذَ </w:t>
      </w:r>
      <w:r>
        <w:rPr>
          <w:rStyle w:val="libFootnotenumChar"/>
          <w:rtl/>
        </w:rPr>
        <w:t>(6)</w:t>
      </w:r>
      <w:r w:rsidRPr="00132E65">
        <w:rPr>
          <w:rtl/>
          <w:lang w:bidi="fa-IR"/>
        </w:rPr>
        <w:t xml:space="preserve"> مِنْ هذِهِ الْأَمْوَالِ صَفْوَهَا </w:t>
      </w:r>
      <w:r>
        <w:rPr>
          <w:rStyle w:val="libFootnotenumChar"/>
          <w:rtl/>
        </w:rPr>
        <w:t>(7)</w:t>
      </w:r>
      <w:r>
        <w:rPr>
          <w:rtl/>
          <w:lang w:bidi="fa-IR"/>
        </w:rPr>
        <w:t xml:space="preserve"> - </w:t>
      </w:r>
      <w:r w:rsidRPr="00132E65">
        <w:rPr>
          <w:rtl/>
          <w:lang w:bidi="fa-IR"/>
        </w:rPr>
        <w:t xml:space="preserve">: الْجَارِيَةَ الْفَارِهَةَ ، وَالدَّابَّةَ الْفَارِهَةَ </w:t>
      </w:r>
      <w:r>
        <w:rPr>
          <w:rStyle w:val="libFootnotenumChar"/>
          <w:rtl/>
        </w:rPr>
        <w:t>(8)</w:t>
      </w:r>
      <w:r w:rsidRPr="00132E65">
        <w:rPr>
          <w:rtl/>
          <w:lang w:bidi="fa-IR"/>
        </w:rPr>
        <w:t xml:space="preserve"> ، و</w:t>
      </w:r>
      <w:r w:rsidR="00C82635">
        <w:rPr>
          <w:rFonts w:hint="cs"/>
          <w:rtl/>
          <w:lang w:bidi="fa-IR"/>
        </w:rPr>
        <w:t>َ</w:t>
      </w:r>
      <w:r w:rsidRPr="00132E65">
        <w:rPr>
          <w:rtl/>
          <w:lang w:bidi="fa-IR"/>
        </w:rPr>
        <w:t>الثَّوْبَ ، و</w:t>
      </w:r>
      <w:r w:rsidR="00C82635">
        <w:rPr>
          <w:rFonts w:hint="cs"/>
          <w:rtl/>
          <w:lang w:bidi="fa-IR"/>
        </w:rPr>
        <w:t>َ</w:t>
      </w:r>
      <w:r w:rsidRPr="00132E65">
        <w:rPr>
          <w:rtl/>
          <w:lang w:bidi="fa-IR"/>
        </w:rPr>
        <w:t>الْمَتَاعَ</w:t>
      </w:r>
      <w:r>
        <w:rPr>
          <w:rtl/>
          <w:lang w:bidi="fa-IR"/>
        </w:rPr>
        <w:t xml:space="preserve"> - </w:t>
      </w:r>
      <w:r w:rsidRPr="00132E65">
        <w:rPr>
          <w:rtl/>
          <w:lang w:bidi="fa-IR"/>
        </w:rPr>
        <w:t xml:space="preserve">بِمَا </w:t>
      </w:r>
      <w:r>
        <w:rPr>
          <w:rStyle w:val="libFootnotenumChar"/>
          <w:rtl/>
        </w:rPr>
        <w:t>(9)</w:t>
      </w:r>
      <w:r w:rsidRPr="00132E65">
        <w:rPr>
          <w:rtl/>
          <w:lang w:bidi="fa-IR"/>
        </w:rPr>
        <w:t xml:space="preserve"> يُحِبُّ </w:t>
      </w:r>
      <w:r>
        <w:rPr>
          <w:rStyle w:val="libFootnotenumChar"/>
          <w:rtl/>
        </w:rPr>
        <w:t>(10)</w:t>
      </w:r>
      <w:r w:rsidRPr="00132E65">
        <w:rPr>
          <w:rtl/>
          <w:lang w:bidi="fa-IR"/>
        </w:rPr>
        <w:t xml:space="preserve"> أَوْ </w:t>
      </w:r>
      <w:r>
        <w:rPr>
          <w:rStyle w:val="libFootnotenumChar"/>
          <w:rtl/>
        </w:rPr>
        <w:t>(11)</w:t>
      </w:r>
      <w:r w:rsidRPr="00132E65">
        <w:rPr>
          <w:rtl/>
          <w:lang w:bidi="fa-IR"/>
        </w:rPr>
        <w:t xml:space="preserve"> يَشْتَهِي ، فَذلِكَ لَهُ قَبْلَ الْقِسْمَةِ </w:t>
      </w:r>
      <w:r>
        <w:rPr>
          <w:rStyle w:val="libFootnotenumChar"/>
          <w:rtl/>
        </w:rPr>
        <w:t>(12)</w:t>
      </w:r>
      <w:r w:rsidRPr="00132E65">
        <w:rPr>
          <w:rtl/>
          <w:lang w:bidi="fa-IR"/>
        </w:rPr>
        <w:t xml:space="preserve"> وَقَبْلَ إِخْرَاجِ الْخُمُسِ ، و</w:t>
      </w:r>
      <w:r w:rsidR="00C82635">
        <w:rPr>
          <w:rFonts w:hint="cs"/>
          <w:rtl/>
          <w:lang w:bidi="fa-IR"/>
        </w:rPr>
        <w:t>َ</w:t>
      </w:r>
      <w:r w:rsidRPr="00132E65">
        <w:rPr>
          <w:rtl/>
          <w:lang w:bidi="fa-IR"/>
        </w:rPr>
        <w:t xml:space="preserve">لَهُ أَنْ يَسُدَّ بِذلِكَ الْمَالِ جَمِيعَ مَا يَنُوبُهُ </w:t>
      </w:r>
      <w:r w:rsidRPr="00F543F1">
        <w:rPr>
          <w:rStyle w:val="libFootnotenumChar"/>
          <w:rtl/>
        </w:rPr>
        <w:t>(13)</w:t>
      </w:r>
      <w:r w:rsidRPr="00132E65">
        <w:rPr>
          <w:rtl/>
          <w:lang w:bidi="fa-IR"/>
        </w:rPr>
        <w:t xml:space="preserve"> مِنْ مِثْلِ إِعْطَاءِ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 « من »</w:t>
      </w:r>
      <w:r>
        <w:rPr>
          <w:rtl/>
        </w:rPr>
        <w:t>.</w:t>
      </w:r>
    </w:p>
    <w:tbl>
      <w:tblPr>
        <w:tblStyle w:val="TableGrid"/>
        <w:bidiVisual/>
        <w:tblW w:w="0" w:type="auto"/>
        <w:tblLook w:val="04A0" w:firstRow="1" w:lastRow="0" w:firstColumn="1" w:lastColumn="0" w:noHBand="0" w:noVBand="1"/>
      </w:tblPr>
      <w:tblGrid>
        <w:gridCol w:w="4261"/>
        <w:gridCol w:w="4262"/>
      </w:tblGrid>
      <w:tr w:rsidR="00C82635" w:rsidTr="00C82635">
        <w:tc>
          <w:tcPr>
            <w:tcW w:w="4261" w:type="dxa"/>
          </w:tcPr>
          <w:p w:rsidR="00C82635" w:rsidRDefault="00C82635" w:rsidP="000C39D1">
            <w:pPr>
              <w:pStyle w:val="libFootnote0"/>
              <w:rPr>
                <w:rtl/>
              </w:rPr>
            </w:pPr>
            <w:r>
              <w:rPr>
                <w:rtl/>
              </w:rPr>
              <w:t>(2).</w:t>
            </w:r>
            <w:r w:rsidRPr="00132E65">
              <w:rPr>
                <w:rtl/>
              </w:rPr>
              <w:t xml:space="preserve"> الشعراء (26) : 214.</w:t>
            </w:r>
          </w:p>
        </w:tc>
        <w:tc>
          <w:tcPr>
            <w:tcW w:w="4262" w:type="dxa"/>
          </w:tcPr>
          <w:p w:rsidR="00C82635" w:rsidRDefault="00C82635" w:rsidP="000C39D1">
            <w:pPr>
              <w:pStyle w:val="libFootnote0"/>
              <w:rPr>
                <w:rtl/>
              </w:rPr>
            </w:pPr>
            <w:r>
              <w:rPr>
                <w:rtl/>
              </w:rPr>
              <w:t>(3).</w:t>
            </w:r>
            <w:r w:rsidRPr="00132E65">
              <w:rPr>
                <w:rtl/>
              </w:rPr>
              <w:t xml:space="preserve"> في « ف » : « أصل »</w:t>
            </w:r>
            <w:r>
              <w:rPr>
                <w:rtl/>
              </w:rPr>
              <w:t>.</w:t>
            </w:r>
          </w:p>
        </w:tc>
      </w:tr>
    </w:tbl>
    <w:p w:rsidR="000C39D1" w:rsidRPr="00132E65" w:rsidRDefault="000C39D1" w:rsidP="000C39D1">
      <w:pPr>
        <w:pStyle w:val="libFootnote0"/>
        <w:rPr>
          <w:rtl/>
          <w:lang w:bidi="fa-IR"/>
        </w:rPr>
      </w:pPr>
      <w:r>
        <w:rPr>
          <w:rtl/>
        </w:rPr>
        <w:t>(4).</w:t>
      </w:r>
      <w:r w:rsidRPr="00132E65">
        <w:rPr>
          <w:rtl/>
        </w:rPr>
        <w:t xml:space="preserve"> في « بف » والتهذيب ، ح 366 </w:t>
      </w:r>
      <w:r>
        <w:rPr>
          <w:rtl/>
        </w:rPr>
        <w:t xml:space="preserve">: - </w:t>
      </w:r>
      <w:r w:rsidRPr="00132E65">
        <w:rPr>
          <w:rtl/>
        </w:rPr>
        <w:t>« من »</w:t>
      </w:r>
      <w:r>
        <w:rPr>
          <w:rtl/>
        </w:rPr>
        <w:t>.</w:t>
      </w:r>
      <w:r w:rsidRPr="00132E65">
        <w:rPr>
          <w:rtl/>
        </w:rPr>
        <w:t xml:space="preserve"> وفي </w:t>
      </w:r>
      <w:r w:rsidRPr="009D1ACE">
        <w:rPr>
          <w:rStyle w:val="libFootnoteBoldChar"/>
          <w:rtl/>
        </w:rPr>
        <w:t>مرآة العقول</w:t>
      </w:r>
      <w:r w:rsidRPr="00132E65">
        <w:rPr>
          <w:rtl/>
        </w:rPr>
        <w:t xml:space="preserve"> : « وفي بعض النسخ كما في التهذيب : مواليهم ، بدون من ، فهو مبتدأ </w:t>
      </w:r>
      <w:r>
        <w:rPr>
          <w:rtl/>
        </w:rPr>
        <w:t>و «</w:t>
      </w:r>
      <w:r w:rsidRPr="00132E65">
        <w:rPr>
          <w:rtl/>
        </w:rPr>
        <w:t xml:space="preserve"> لا فيهم » خبره قدّم عليه ، أي ليس داخلاً فيهم حقيقة »</w:t>
      </w:r>
      <w:r>
        <w:rPr>
          <w:rtl/>
        </w:rPr>
        <w:t>.</w:t>
      </w:r>
    </w:p>
    <w:tbl>
      <w:tblPr>
        <w:tblStyle w:val="TableGrid"/>
        <w:bidiVisual/>
        <w:tblW w:w="0" w:type="auto"/>
        <w:tblLook w:val="04A0" w:firstRow="1" w:lastRow="0" w:firstColumn="1" w:lastColumn="0" w:noHBand="0" w:noVBand="1"/>
      </w:tblPr>
      <w:tblGrid>
        <w:gridCol w:w="4261"/>
        <w:gridCol w:w="4262"/>
      </w:tblGrid>
      <w:tr w:rsidR="00C82635" w:rsidTr="00C82635">
        <w:tc>
          <w:tcPr>
            <w:tcW w:w="4261" w:type="dxa"/>
          </w:tcPr>
          <w:p w:rsidR="00C82635" w:rsidRDefault="00C82635" w:rsidP="000C39D1">
            <w:pPr>
              <w:pStyle w:val="libFootnote0"/>
              <w:rPr>
                <w:rtl/>
                <w:lang w:bidi="fa-IR"/>
              </w:rPr>
            </w:pPr>
            <w:r>
              <w:rPr>
                <w:rtl/>
              </w:rPr>
              <w:t>(5).</w:t>
            </w:r>
            <w:r w:rsidRPr="00132E65">
              <w:rPr>
                <w:rtl/>
              </w:rPr>
              <w:t xml:space="preserve"> الأحزاب (33) : 5.</w:t>
            </w:r>
          </w:p>
        </w:tc>
        <w:tc>
          <w:tcPr>
            <w:tcW w:w="4262" w:type="dxa"/>
          </w:tcPr>
          <w:p w:rsidR="00C82635" w:rsidRDefault="00C82635" w:rsidP="000C39D1">
            <w:pPr>
              <w:pStyle w:val="libFootnote0"/>
              <w:rPr>
                <w:rtl/>
                <w:lang w:bidi="fa-IR"/>
              </w:rPr>
            </w:pPr>
            <w:r>
              <w:rPr>
                <w:rtl/>
              </w:rPr>
              <w:t>(6).</w:t>
            </w:r>
            <w:r w:rsidRPr="00132E65">
              <w:rPr>
                <w:rtl/>
              </w:rPr>
              <w:t xml:space="preserve"> قوله : « أن يأخذ » بدل لصفو المال.</w:t>
            </w:r>
          </w:p>
        </w:tc>
      </w:tr>
    </w:tbl>
    <w:p w:rsidR="000C39D1" w:rsidRPr="00132E65" w:rsidRDefault="000C39D1" w:rsidP="000C39D1">
      <w:pPr>
        <w:pStyle w:val="libFootnote0"/>
        <w:rPr>
          <w:rtl/>
          <w:lang w:bidi="fa-IR"/>
        </w:rPr>
      </w:pPr>
      <w:r>
        <w:rPr>
          <w:rtl/>
        </w:rPr>
        <w:t>(7).</w:t>
      </w:r>
      <w:r w:rsidRPr="00132E65">
        <w:rPr>
          <w:rtl/>
        </w:rPr>
        <w:t xml:space="preserve"> في </w:t>
      </w:r>
      <w:r w:rsidRPr="000577A7">
        <w:rPr>
          <w:rStyle w:val="libFootnoteBoldChar"/>
          <w:rtl/>
        </w:rPr>
        <w:t>الكافي</w:t>
      </w:r>
      <w:r w:rsidRPr="00132E65">
        <w:rPr>
          <w:rtl/>
        </w:rPr>
        <w:t xml:space="preserve"> ، ح 8271 </w:t>
      </w:r>
      <w:r>
        <w:rPr>
          <w:rtl/>
        </w:rPr>
        <w:t xml:space="preserve">: - </w:t>
      </w:r>
      <w:r w:rsidRPr="00132E65">
        <w:rPr>
          <w:rtl/>
        </w:rPr>
        <w:t>« من هذه الأموال صفوها »</w:t>
      </w:r>
      <w:r>
        <w:rPr>
          <w:rtl/>
        </w:rPr>
        <w:t>.</w:t>
      </w:r>
    </w:p>
    <w:p w:rsidR="000C39D1" w:rsidRPr="00132E65" w:rsidRDefault="000C39D1" w:rsidP="000C39D1">
      <w:pPr>
        <w:pStyle w:val="libFootnote0"/>
        <w:rPr>
          <w:rtl/>
          <w:lang w:bidi="fa-IR"/>
        </w:rPr>
      </w:pPr>
      <w:r>
        <w:rPr>
          <w:rtl/>
        </w:rPr>
        <w:t>(8).</w:t>
      </w:r>
      <w:r w:rsidRPr="00132E65">
        <w:rPr>
          <w:rtl/>
        </w:rPr>
        <w:t xml:space="preserve"> « الجارية الفارهة » : المليحة الحسناء. </w:t>
      </w:r>
      <w:r>
        <w:rPr>
          <w:rtl/>
        </w:rPr>
        <w:t>و «</w:t>
      </w:r>
      <w:r w:rsidRPr="00132E65">
        <w:rPr>
          <w:rtl/>
        </w:rPr>
        <w:t xml:space="preserve"> الدابّة الفارهة » : الحاذقة النشيطة القويّة.</w:t>
      </w:r>
    </w:p>
    <w:p w:rsidR="000C39D1" w:rsidRPr="00132E65" w:rsidRDefault="000C39D1" w:rsidP="00C82635">
      <w:pPr>
        <w:pStyle w:val="libFootnote0"/>
        <w:rPr>
          <w:rtl/>
          <w:lang w:bidi="fa-IR"/>
        </w:rPr>
      </w:pPr>
      <w:r>
        <w:rPr>
          <w:rtl/>
        </w:rPr>
        <w:t>(9).</w:t>
      </w:r>
      <w:r w:rsidRPr="00132E65">
        <w:rPr>
          <w:rtl/>
        </w:rPr>
        <w:t xml:space="preserve"> في </w:t>
      </w:r>
      <w:r w:rsidRPr="000577A7">
        <w:rPr>
          <w:rStyle w:val="libFootnoteBoldChar"/>
          <w:rtl/>
        </w:rPr>
        <w:t>الكافي</w:t>
      </w:r>
      <w:r w:rsidRPr="00132E65">
        <w:rPr>
          <w:rtl/>
        </w:rPr>
        <w:t xml:space="preserve"> ، ح 8271 و</w:t>
      </w:r>
      <w:r w:rsidRPr="009D1ACE">
        <w:rPr>
          <w:rStyle w:val="libFootnoteBoldChar"/>
          <w:rtl/>
        </w:rPr>
        <w:t>الوافي</w:t>
      </w:r>
      <w:r w:rsidRPr="00132E65">
        <w:rPr>
          <w:rtl/>
        </w:rPr>
        <w:t xml:space="preserve"> </w:t>
      </w:r>
      <w:r w:rsidRPr="00C82635">
        <w:rPr>
          <w:rStyle w:val="libFootnoteBoldChar"/>
          <w:rtl/>
        </w:rPr>
        <w:t>والوسائل</w:t>
      </w:r>
      <w:r w:rsidRPr="00132E65">
        <w:rPr>
          <w:rtl/>
        </w:rPr>
        <w:t xml:space="preserve"> ، ح 12628 ، والتهذيب ، ح 366 : « ممّا »</w:t>
      </w:r>
      <w:r>
        <w:rPr>
          <w:rtl/>
        </w:rPr>
        <w:t>.</w:t>
      </w:r>
      <w:r w:rsidRPr="00132E65">
        <w:rPr>
          <w:rtl/>
        </w:rPr>
        <w:t xml:space="preserve"> وفي </w:t>
      </w:r>
      <w:r w:rsidRPr="009D1ACE">
        <w:rPr>
          <w:rStyle w:val="libFootnoteBoldChar"/>
          <w:rtl/>
        </w:rPr>
        <w:t>مرآة العقول</w:t>
      </w:r>
      <w:r w:rsidRPr="00132E65">
        <w:rPr>
          <w:rtl/>
        </w:rPr>
        <w:t xml:space="preserve"> : « قوله </w:t>
      </w:r>
      <w:r w:rsidRPr="00C82635">
        <w:rPr>
          <w:rStyle w:val="libFootnoteAlaemChar"/>
          <w:rtl/>
        </w:rPr>
        <w:t>عليه‌السلام</w:t>
      </w:r>
      <w:r w:rsidRPr="00132E65">
        <w:rPr>
          <w:rtl/>
        </w:rPr>
        <w:t xml:space="preserve"> : بما يحبّ ، كأنّ الباء للمصاحبة ، أي مع ما يحبّ ويشتهي من غيرها. أو سببيّة. أو مصدريّة. وقيل : المتاع ، بالفتح اسم التمتّع أي الانتفاع. وهو مرفوع بالعطف على « صفو المال » والظرف متعلّق بالمتاع. أقول : وفي التهذيب : ممّا يجب ، فلا يحتاج إلى تكلّف »</w:t>
      </w:r>
      <w:r>
        <w:rPr>
          <w:rtl/>
        </w:rPr>
        <w:t>.</w:t>
      </w:r>
      <w:r w:rsidR="00C82635">
        <w:rPr>
          <w:rFonts w:hint="cs"/>
          <w:rtl/>
        </w:rPr>
        <w:t xml:space="preserve">  </w:t>
      </w:r>
      <w:r w:rsidR="00C50204">
        <w:rPr>
          <w:rFonts w:hint="cs"/>
          <w:rtl/>
        </w:rPr>
        <w:t xml:space="preserve">                           </w:t>
      </w:r>
      <w:r w:rsidR="00C82635">
        <w:rPr>
          <w:rFonts w:hint="cs"/>
          <w:rtl/>
        </w:rPr>
        <w:t xml:space="preserve">              </w:t>
      </w:r>
      <w:r>
        <w:rPr>
          <w:rtl/>
        </w:rPr>
        <w:t>(10).</w:t>
      </w:r>
      <w:r w:rsidRPr="00132E65">
        <w:rPr>
          <w:rtl/>
        </w:rPr>
        <w:t xml:space="preserve"> في « بح » : « يجب »</w:t>
      </w:r>
      <w:r>
        <w:rPr>
          <w:rtl/>
        </w:rPr>
        <w:t>.</w:t>
      </w:r>
    </w:p>
    <w:tbl>
      <w:tblPr>
        <w:tblStyle w:val="TableGrid"/>
        <w:bidiVisual/>
        <w:tblW w:w="0" w:type="auto"/>
        <w:tblLook w:val="04A0" w:firstRow="1" w:lastRow="0" w:firstColumn="1" w:lastColumn="0" w:noHBand="0" w:noVBand="1"/>
      </w:tblPr>
      <w:tblGrid>
        <w:gridCol w:w="4261"/>
        <w:gridCol w:w="4262"/>
      </w:tblGrid>
      <w:tr w:rsidR="00C82635" w:rsidTr="00C82635">
        <w:tc>
          <w:tcPr>
            <w:tcW w:w="4261" w:type="dxa"/>
          </w:tcPr>
          <w:p w:rsidR="00C82635" w:rsidRDefault="00C82635" w:rsidP="000C39D1">
            <w:pPr>
              <w:pStyle w:val="libFootnote0"/>
              <w:rPr>
                <w:rtl/>
              </w:rPr>
            </w:pPr>
            <w:r>
              <w:rPr>
                <w:rtl/>
              </w:rPr>
              <w:t>(11).</w:t>
            </w:r>
            <w:r w:rsidRPr="00132E65">
              <w:rPr>
                <w:rtl/>
              </w:rPr>
              <w:t xml:space="preserve"> في </w:t>
            </w:r>
            <w:r w:rsidRPr="000577A7">
              <w:rPr>
                <w:rStyle w:val="libFootnoteBoldChar"/>
                <w:rtl/>
              </w:rPr>
              <w:t>الكافي</w:t>
            </w:r>
            <w:r w:rsidRPr="00132E65">
              <w:rPr>
                <w:rtl/>
              </w:rPr>
              <w:t xml:space="preserve"> ، ح 8271 : «</w:t>
            </w:r>
            <w:r>
              <w:rPr>
                <w:rtl/>
              </w:rPr>
              <w:t xml:space="preserve"> و ».</w:t>
            </w:r>
          </w:p>
        </w:tc>
        <w:tc>
          <w:tcPr>
            <w:tcW w:w="4262" w:type="dxa"/>
          </w:tcPr>
          <w:p w:rsidR="00C82635" w:rsidRDefault="00C82635" w:rsidP="000C39D1">
            <w:pPr>
              <w:pStyle w:val="libFootnote0"/>
              <w:rPr>
                <w:rtl/>
              </w:rPr>
            </w:pPr>
            <w:r>
              <w:rPr>
                <w:rtl/>
              </w:rPr>
              <w:t>(12).</w:t>
            </w:r>
            <w:r w:rsidRPr="00132E65">
              <w:rPr>
                <w:rtl/>
              </w:rPr>
              <w:t xml:space="preserve"> في </w:t>
            </w:r>
            <w:r w:rsidRPr="000577A7">
              <w:rPr>
                <w:rStyle w:val="libFootnoteBoldChar"/>
                <w:rtl/>
              </w:rPr>
              <w:t>الكافي</w:t>
            </w:r>
            <w:r w:rsidRPr="00132E65">
              <w:rPr>
                <w:rtl/>
              </w:rPr>
              <w:t xml:space="preserve"> ، ح 8271 : « قسمة المال »</w:t>
            </w:r>
            <w:r>
              <w:rPr>
                <w:rtl/>
              </w:rPr>
              <w:t>.</w:t>
            </w:r>
          </w:p>
        </w:tc>
      </w:tr>
    </w:tbl>
    <w:p w:rsidR="000C39D1" w:rsidRPr="00132E65" w:rsidRDefault="000C39D1" w:rsidP="000C39D1">
      <w:pPr>
        <w:pStyle w:val="libFootnote0"/>
        <w:rPr>
          <w:rtl/>
          <w:lang w:bidi="fa-IR"/>
        </w:rPr>
      </w:pPr>
      <w:r>
        <w:rPr>
          <w:rtl/>
        </w:rPr>
        <w:t>(13)</w:t>
      </w:r>
      <w:r w:rsidRPr="00132E65">
        <w:rPr>
          <w:rtl/>
        </w:rPr>
        <w:t xml:space="preserve"> نابه أمرٌ ينوبه : أصابه. </w:t>
      </w:r>
      <w:r w:rsidRPr="00C82635">
        <w:rPr>
          <w:rStyle w:val="libFootnoteBoldChar"/>
          <w:rtl/>
        </w:rPr>
        <w:t>المصباح المنير</w:t>
      </w:r>
      <w:r w:rsidRPr="00132E65">
        <w:rPr>
          <w:rtl/>
        </w:rPr>
        <w:t xml:space="preserve"> ، ص 621 ( نوب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C82635">
      <w:pPr>
        <w:pStyle w:val="libNormal0"/>
        <w:rPr>
          <w:rtl/>
          <w:lang w:bidi="fa-IR"/>
        </w:rPr>
      </w:pPr>
      <w:r w:rsidRPr="00132E65">
        <w:rPr>
          <w:rtl/>
          <w:lang w:bidi="fa-IR"/>
        </w:rPr>
        <w:t>الْمُؤَلَّفَةِ قُلُوبُهُمْ و</w:t>
      </w:r>
      <w:r w:rsidR="00C82635">
        <w:rPr>
          <w:rFonts w:hint="cs"/>
          <w:rtl/>
          <w:lang w:bidi="fa-IR"/>
        </w:rPr>
        <w:t>َ</w:t>
      </w:r>
      <w:r w:rsidRPr="00132E65">
        <w:rPr>
          <w:rtl/>
          <w:lang w:bidi="fa-IR"/>
        </w:rPr>
        <w:t xml:space="preserve">غَيْرِ ذلِكَ مِمَّا </w:t>
      </w:r>
      <w:r>
        <w:rPr>
          <w:rStyle w:val="libFootnotenumChar"/>
          <w:rtl/>
        </w:rPr>
        <w:t>(1)</w:t>
      </w:r>
      <w:r w:rsidRPr="00132E65">
        <w:rPr>
          <w:rtl/>
          <w:lang w:bidi="fa-IR"/>
        </w:rPr>
        <w:t xml:space="preserve"> يَنُوبُهُ ، فَإِنْ بَقِيَ بَعْدَ ذلِكَ شَيْ‌ءٌ ، أَخْرَجَ الْخُمُسَ مِنْهُ ، فَقَسَمَهُ </w:t>
      </w:r>
      <w:r>
        <w:rPr>
          <w:rStyle w:val="libFootnotenumChar"/>
          <w:rtl/>
        </w:rPr>
        <w:t>(2)</w:t>
      </w:r>
      <w:r w:rsidRPr="00132E65">
        <w:rPr>
          <w:rtl/>
          <w:lang w:bidi="fa-IR"/>
        </w:rPr>
        <w:t xml:space="preserve"> فِي أَهْلِهِ ، و</w:t>
      </w:r>
      <w:r w:rsidR="00C82635">
        <w:rPr>
          <w:rFonts w:hint="cs"/>
          <w:rtl/>
          <w:lang w:bidi="fa-IR"/>
        </w:rPr>
        <w:t>َ</w:t>
      </w:r>
      <w:r w:rsidRPr="00132E65">
        <w:rPr>
          <w:rtl/>
          <w:lang w:bidi="fa-IR"/>
        </w:rPr>
        <w:t>قَسَمَ الْبَاقِيَ عَلى مَنْ و</w:t>
      </w:r>
      <w:r w:rsidR="00C82635">
        <w:rPr>
          <w:rFonts w:hint="cs"/>
          <w:rtl/>
          <w:lang w:bidi="fa-IR"/>
        </w:rPr>
        <w:t>َ</w:t>
      </w:r>
      <w:r w:rsidRPr="00132E65">
        <w:rPr>
          <w:rtl/>
          <w:lang w:bidi="fa-IR"/>
        </w:rPr>
        <w:t xml:space="preserve">لِيَ </w:t>
      </w:r>
      <w:r>
        <w:rPr>
          <w:rStyle w:val="libFootnotenumChar"/>
          <w:rtl/>
        </w:rPr>
        <w:t>(3)</w:t>
      </w:r>
      <w:r w:rsidRPr="00132E65">
        <w:rPr>
          <w:rtl/>
          <w:lang w:bidi="fa-IR"/>
        </w:rPr>
        <w:t xml:space="preserve"> ذلِكَ ، و</w:t>
      </w:r>
      <w:r w:rsidR="00C82635">
        <w:rPr>
          <w:rFonts w:hint="cs"/>
          <w:rtl/>
          <w:lang w:bidi="fa-IR"/>
        </w:rPr>
        <w:t>َ</w:t>
      </w:r>
      <w:r w:rsidRPr="00132E65">
        <w:rPr>
          <w:rtl/>
          <w:lang w:bidi="fa-IR"/>
        </w:rPr>
        <w:t xml:space="preserve">إِنْ لَمْ يَبْقَ بَعْدَ سَدِّ النَّوَائِبِ </w:t>
      </w:r>
      <w:r>
        <w:rPr>
          <w:rStyle w:val="libFootnotenumChar"/>
          <w:rtl/>
        </w:rPr>
        <w:t>(4)</w:t>
      </w:r>
      <w:r w:rsidRPr="00132E65">
        <w:rPr>
          <w:rtl/>
          <w:lang w:bidi="fa-IR"/>
        </w:rPr>
        <w:t xml:space="preserve"> شَيْ‌ءٌ فَلَا شَيْ‌ءَ لَهُمْ.</w:t>
      </w:r>
    </w:p>
    <w:p w:rsidR="000C39D1" w:rsidRPr="00132E65" w:rsidRDefault="000C39D1" w:rsidP="000C39D1">
      <w:pPr>
        <w:pStyle w:val="libNormal"/>
        <w:rPr>
          <w:rtl/>
          <w:lang w:bidi="fa-IR"/>
        </w:rPr>
      </w:pPr>
      <w:r w:rsidRPr="00132E65">
        <w:rPr>
          <w:rtl/>
          <w:lang w:bidi="fa-IR"/>
        </w:rPr>
        <w:t>وَلَيْسَ لِمَنْ قَاتَلَ شَيْ‌ءٌ مِنَ الْأَرَضِينَ ، و</w:t>
      </w:r>
      <w:r w:rsidR="00C82635">
        <w:rPr>
          <w:rFonts w:hint="cs"/>
          <w:rtl/>
          <w:lang w:bidi="fa-IR"/>
        </w:rPr>
        <w:t>َ</w:t>
      </w:r>
      <w:r w:rsidRPr="00132E65">
        <w:rPr>
          <w:rtl/>
          <w:lang w:bidi="fa-IR"/>
        </w:rPr>
        <w:t xml:space="preserve">لَا </w:t>
      </w:r>
      <w:r>
        <w:rPr>
          <w:rStyle w:val="libFootnotenumChar"/>
          <w:rtl/>
        </w:rPr>
        <w:t>(5)</w:t>
      </w:r>
      <w:r w:rsidR="00C82635">
        <w:rPr>
          <w:rtl/>
          <w:lang w:bidi="fa-IR"/>
        </w:rPr>
        <w:t xml:space="preserve"> مَا غَلَبُوا عَلَيْهِ إِل</w:t>
      </w:r>
      <w:r w:rsidR="00C82635">
        <w:rPr>
          <w:rFonts w:hint="cs"/>
          <w:rtl/>
          <w:lang w:bidi="fa-IR"/>
        </w:rPr>
        <w:t>َّ</w:t>
      </w:r>
      <w:r w:rsidR="00C82635">
        <w:rPr>
          <w:rtl/>
          <w:lang w:bidi="fa-IR"/>
        </w:rPr>
        <w:t>ا</w:t>
      </w:r>
      <w:r w:rsidRPr="00132E65">
        <w:rPr>
          <w:rtl/>
          <w:lang w:bidi="fa-IR"/>
        </w:rPr>
        <w:t xml:space="preserve"> مَا احْتَوى عَلَيْهِ </w:t>
      </w:r>
      <w:r>
        <w:rPr>
          <w:rStyle w:val="libFootnotenumChar"/>
          <w:rtl/>
        </w:rPr>
        <w:t>(6)</w:t>
      </w:r>
      <w:r w:rsidRPr="00132E65">
        <w:rPr>
          <w:rtl/>
          <w:lang w:bidi="fa-IR"/>
        </w:rPr>
        <w:t xml:space="preserve"> الْعَسْكَرُ.</w:t>
      </w:r>
    </w:p>
    <w:p w:rsidR="000C39D1" w:rsidRPr="00132E65" w:rsidRDefault="000C39D1" w:rsidP="000C39D1">
      <w:pPr>
        <w:pStyle w:val="libNormal"/>
        <w:rPr>
          <w:rtl/>
          <w:lang w:bidi="fa-IR"/>
        </w:rPr>
      </w:pPr>
      <w:r w:rsidRPr="00132E65">
        <w:rPr>
          <w:rtl/>
          <w:lang w:bidi="fa-IR"/>
        </w:rPr>
        <w:t xml:space="preserve">وَلَيْسَ لِلْأَعْرَابِ مِنَ الْقِسْمَةِ </w:t>
      </w:r>
      <w:r>
        <w:rPr>
          <w:rStyle w:val="libFootnotenumChar"/>
          <w:rtl/>
        </w:rPr>
        <w:t>(7)</w:t>
      </w:r>
      <w:r w:rsidRPr="00132E65">
        <w:rPr>
          <w:rtl/>
          <w:lang w:bidi="fa-IR"/>
        </w:rPr>
        <w:t xml:space="preserve"> شَيْ‌ءٌ و</w:t>
      </w:r>
      <w:r w:rsidR="00C82635">
        <w:rPr>
          <w:rFonts w:hint="cs"/>
          <w:rtl/>
          <w:lang w:bidi="fa-IR"/>
        </w:rPr>
        <w:t>َ</w:t>
      </w:r>
      <w:r w:rsidRPr="00132E65">
        <w:rPr>
          <w:rtl/>
          <w:lang w:bidi="fa-IR"/>
        </w:rPr>
        <w:t xml:space="preserve">إِنْ قَاتَلُوا مَعَ الْوَالِي </w:t>
      </w:r>
      <w:r>
        <w:rPr>
          <w:rStyle w:val="libFootnotenumChar"/>
          <w:rtl/>
        </w:rPr>
        <w:t>(8)</w:t>
      </w:r>
      <w:r w:rsidRPr="00132E65">
        <w:rPr>
          <w:rtl/>
          <w:lang w:bidi="fa-IR"/>
        </w:rPr>
        <w:t xml:space="preserve"> ؛ لِأَنَّ رَسُولَ اللهِ </w:t>
      </w:r>
      <w:r w:rsidRPr="0093484F">
        <w:rPr>
          <w:rStyle w:val="libAlaemChar"/>
          <w:rFonts w:eastAsiaTheme="minorHAnsi"/>
          <w:rtl/>
        </w:rPr>
        <w:t>صلى‌الله‌عليه‌وآله</w:t>
      </w:r>
      <w:r w:rsidRPr="00132E65">
        <w:rPr>
          <w:rtl/>
          <w:lang w:bidi="fa-IR"/>
        </w:rPr>
        <w:t xml:space="preserve"> صَالَحَ الْأَعْرَابَ أَنْ يَدَعَهُمْ فِي دِيَارِهِمْ و</w:t>
      </w:r>
      <w:r w:rsidR="00C82635">
        <w:rPr>
          <w:rFonts w:hint="cs"/>
          <w:rtl/>
          <w:lang w:bidi="fa-IR"/>
        </w:rPr>
        <w:t>َ</w:t>
      </w:r>
      <w:r w:rsidRPr="00132E65">
        <w:rPr>
          <w:rtl/>
          <w:lang w:bidi="fa-IR"/>
        </w:rPr>
        <w:t xml:space="preserve">لَايُهَاجِرُوا ، عَلى أَنَّهُ إِنْ دَهِمَ </w:t>
      </w:r>
      <w:r>
        <w:rPr>
          <w:rStyle w:val="libFootnotenumChar"/>
          <w:rtl/>
        </w:rPr>
        <w:t>(9)</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(10)</w:t>
      </w:r>
      <w:r w:rsidRPr="00132E65">
        <w:rPr>
          <w:rtl/>
          <w:lang w:bidi="fa-IR"/>
        </w:rPr>
        <w:t xml:space="preserve"> مِنْ عَدُوِّهِ </w:t>
      </w:r>
      <w:r>
        <w:rPr>
          <w:rStyle w:val="libFootnotenumChar"/>
          <w:rtl/>
        </w:rPr>
        <w:t>(11)</w:t>
      </w:r>
      <w:r w:rsidRPr="00132E65">
        <w:rPr>
          <w:rtl/>
          <w:lang w:bidi="fa-IR"/>
        </w:rPr>
        <w:t xml:space="preserve"> دَهْمٌ أَنْ يَسْتَنْفِرَهُمْ </w:t>
      </w:r>
      <w:r>
        <w:rPr>
          <w:rStyle w:val="libFootnotenumChar"/>
          <w:rtl/>
        </w:rPr>
        <w:t>(12)</w:t>
      </w:r>
      <w:r w:rsidRPr="00132E65">
        <w:rPr>
          <w:rtl/>
          <w:lang w:bidi="fa-IR"/>
        </w:rPr>
        <w:t xml:space="preserve"> ، فَيُقَاتِلَ بِهِمْ ، و</w:t>
      </w:r>
      <w:r w:rsidR="00C82635">
        <w:rPr>
          <w:rFonts w:hint="cs"/>
          <w:rtl/>
          <w:lang w:bidi="fa-IR"/>
        </w:rPr>
        <w:t>َ</w:t>
      </w:r>
      <w:r w:rsidRPr="00132E65">
        <w:rPr>
          <w:rtl/>
          <w:lang w:bidi="fa-IR"/>
        </w:rPr>
        <w:t xml:space="preserve">لَيْسَ لَهُمْ فِي الْغَنِيمَةِ نَصِيبٌ ، وَسُنَّتُهُ </w:t>
      </w:r>
      <w:r w:rsidRPr="00F543F1">
        <w:rPr>
          <w:rStyle w:val="libFootnotenumChar"/>
          <w:rtl/>
        </w:rPr>
        <w:t>(13)</w:t>
      </w:r>
      <w:r w:rsidRPr="00132E65">
        <w:rPr>
          <w:rtl/>
          <w:lang w:bidi="fa-IR"/>
        </w:rPr>
        <w:t xml:space="preserve"> جَارِيَةٌ فِيهِمْ و</w:t>
      </w:r>
      <w:r w:rsidR="00C82635">
        <w:rPr>
          <w:rFonts w:hint="cs"/>
          <w:rtl/>
          <w:lang w:bidi="fa-IR"/>
        </w:rPr>
        <w:t>َ</w:t>
      </w:r>
      <w:r w:rsidRPr="00132E65">
        <w:rPr>
          <w:rtl/>
          <w:lang w:bidi="fa-IR"/>
        </w:rPr>
        <w:t>فِي غَيْرِهِمْ.</w:t>
      </w:r>
    </w:p>
    <w:p w:rsidR="000C39D1" w:rsidRPr="00132E65" w:rsidRDefault="000C39D1" w:rsidP="000C39D1">
      <w:pPr>
        <w:pStyle w:val="libNormal"/>
        <w:rPr>
          <w:rtl/>
          <w:lang w:bidi="fa-IR"/>
        </w:rPr>
      </w:pPr>
      <w:r w:rsidRPr="00132E65">
        <w:rPr>
          <w:rtl/>
          <w:lang w:bidi="fa-IR"/>
        </w:rPr>
        <w:t xml:space="preserve">وَالْأَرَضُونَ </w:t>
      </w:r>
      <w:r w:rsidRPr="00F543F1">
        <w:rPr>
          <w:rStyle w:val="libFootnotenumChar"/>
          <w:rtl/>
        </w:rPr>
        <w:t>(14)</w:t>
      </w:r>
      <w:r w:rsidRPr="00132E65">
        <w:rPr>
          <w:rtl/>
          <w:lang w:bidi="fa-IR"/>
        </w:rPr>
        <w:t xml:space="preserve"> الَّتِي أُخِذَتْ عَنْوَةً </w:t>
      </w:r>
      <w:r w:rsidRPr="00F543F1">
        <w:rPr>
          <w:rStyle w:val="libFootnotenumChar"/>
          <w:rtl/>
        </w:rPr>
        <w:t>(15)</w:t>
      </w:r>
      <w:r w:rsidRPr="00132E65">
        <w:rPr>
          <w:rtl/>
          <w:lang w:bidi="fa-IR"/>
        </w:rPr>
        <w:t xml:space="preserve"> بِخَيْلٍ و</w:t>
      </w:r>
      <w:r w:rsidR="00C82635">
        <w:rPr>
          <w:rFonts w:hint="cs"/>
          <w:rtl/>
          <w:lang w:bidi="fa-IR"/>
        </w:rPr>
        <w:t>َ</w:t>
      </w:r>
      <w:r>
        <w:rPr>
          <w:rFonts w:hint="cs"/>
          <w:rtl/>
          <w:lang w:bidi="fa-IR"/>
        </w:rPr>
        <w:t xml:space="preserve"> </w:t>
      </w:r>
      <w:r w:rsidRPr="00F543F1">
        <w:rPr>
          <w:rStyle w:val="libFootnotenumChar"/>
          <w:rtl/>
        </w:rPr>
        <w:t>(16)</w:t>
      </w:r>
      <w:r w:rsidRPr="00132E65">
        <w:rPr>
          <w:rtl/>
          <w:lang w:bidi="fa-IR"/>
        </w:rPr>
        <w:t xml:space="preserve"> رِجَالٍ </w:t>
      </w:r>
      <w:r w:rsidRPr="00F543F1">
        <w:rPr>
          <w:rStyle w:val="libFootnotenumChar"/>
          <w:rtl/>
        </w:rPr>
        <w:t>(17)</w:t>
      </w:r>
      <w:r w:rsidRPr="00132E65">
        <w:rPr>
          <w:rtl/>
          <w:lang w:bidi="fa-IR"/>
        </w:rPr>
        <w:t xml:space="preserve"> ، فَهِيَ مَوْقُوفَةٌ مَتْرُوكَةٌ فِي‌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التهذيب : « غير ذلك من صنوف ما » بدل « غير ذلك ممّا »</w:t>
      </w:r>
      <w:r>
        <w:rPr>
          <w:rtl/>
        </w:rPr>
        <w:t>.</w:t>
      </w:r>
    </w:p>
    <w:tbl>
      <w:tblPr>
        <w:tblStyle w:val="TableGrid"/>
        <w:bidiVisual/>
        <w:tblW w:w="0" w:type="auto"/>
        <w:tblLook w:val="04A0" w:firstRow="1" w:lastRow="0" w:firstColumn="1" w:lastColumn="0" w:noHBand="0" w:noVBand="1"/>
      </w:tblPr>
      <w:tblGrid>
        <w:gridCol w:w="4261"/>
        <w:gridCol w:w="4262"/>
      </w:tblGrid>
      <w:tr w:rsidR="00C82635" w:rsidTr="00C82635">
        <w:tc>
          <w:tcPr>
            <w:tcW w:w="4261" w:type="dxa"/>
          </w:tcPr>
          <w:p w:rsidR="00C82635" w:rsidRDefault="00C82635" w:rsidP="000C39D1">
            <w:pPr>
              <w:pStyle w:val="libFootnote0"/>
              <w:rPr>
                <w:rtl/>
              </w:rPr>
            </w:pPr>
            <w:r>
              <w:rPr>
                <w:rtl/>
              </w:rPr>
              <w:t>(2).</w:t>
            </w:r>
            <w:r w:rsidRPr="00132E65">
              <w:rPr>
                <w:rtl/>
              </w:rPr>
              <w:t xml:space="preserve"> يجوز فيه التثقيل أيضاً ، والنسخ مختلفة.</w:t>
            </w:r>
          </w:p>
        </w:tc>
        <w:tc>
          <w:tcPr>
            <w:tcW w:w="4262" w:type="dxa"/>
          </w:tcPr>
          <w:p w:rsidR="00C82635" w:rsidRDefault="00C82635" w:rsidP="000C39D1">
            <w:pPr>
              <w:pStyle w:val="libFootnote0"/>
              <w:rPr>
                <w:rtl/>
              </w:rPr>
            </w:pPr>
            <w:r>
              <w:rPr>
                <w:rtl/>
              </w:rPr>
              <w:t>(3).</w:t>
            </w:r>
            <w:r w:rsidRPr="00132E65">
              <w:rPr>
                <w:rtl/>
              </w:rPr>
              <w:t xml:space="preserve"> في </w:t>
            </w:r>
            <w:r w:rsidRPr="00C82635">
              <w:rPr>
                <w:rtl/>
              </w:rPr>
              <w:t>الوافي</w:t>
            </w:r>
            <w:r w:rsidRPr="00132E65">
              <w:rPr>
                <w:rtl/>
              </w:rPr>
              <w:t xml:space="preserve"> :</w:t>
            </w:r>
            <w:r>
              <w:rPr>
                <w:rtl/>
              </w:rPr>
              <w:t xml:space="preserve"> + </w:t>
            </w:r>
            <w:r w:rsidRPr="00132E65">
              <w:rPr>
                <w:rtl/>
              </w:rPr>
              <w:t>« من »</w:t>
            </w:r>
            <w:r>
              <w:rPr>
                <w:rtl/>
              </w:rPr>
              <w:t>.</w:t>
            </w:r>
          </w:p>
        </w:tc>
      </w:tr>
    </w:tbl>
    <w:p w:rsidR="000C39D1" w:rsidRPr="00132E65" w:rsidRDefault="000C39D1" w:rsidP="00C82635">
      <w:pPr>
        <w:pStyle w:val="libFootnote0"/>
        <w:rPr>
          <w:rtl/>
          <w:lang w:bidi="fa-IR"/>
        </w:rPr>
      </w:pPr>
      <w:r>
        <w:rPr>
          <w:rtl/>
        </w:rPr>
        <w:t>(4).</w:t>
      </w:r>
      <w:r w:rsidRPr="00132E65">
        <w:rPr>
          <w:rtl/>
        </w:rPr>
        <w:t xml:space="preserve"> « النوائب » : جمع نائبة ؛ وهي ما ينوب الإنسان ، أي ينزل به من المهمّات والحوادث. </w:t>
      </w:r>
      <w:r w:rsidRPr="00C82635">
        <w:rPr>
          <w:rStyle w:val="libFootnoteBoldChar"/>
          <w:rtl/>
        </w:rPr>
        <w:t>النهاية</w:t>
      </w:r>
      <w:r w:rsidRPr="00132E65">
        <w:rPr>
          <w:rtl/>
        </w:rPr>
        <w:t xml:space="preserve"> ، ج 5 ، ص 123 ( نوب )</w:t>
      </w:r>
      <w:r>
        <w:rPr>
          <w:rtl/>
        </w:rPr>
        <w:t>.</w:t>
      </w:r>
      <w:r w:rsidR="00C82635">
        <w:rPr>
          <w:rFonts w:hint="cs"/>
          <w:rtl/>
        </w:rPr>
        <w:t xml:space="preserve">                                     </w:t>
      </w:r>
      <w:r w:rsidR="00C50204">
        <w:rPr>
          <w:rFonts w:hint="cs"/>
          <w:rtl/>
        </w:rPr>
        <w:t xml:space="preserve">            </w:t>
      </w:r>
      <w:r w:rsidR="00C82635">
        <w:rPr>
          <w:rFonts w:hint="cs"/>
          <w:rtl/>
        </w:rPr>
        <w:t xml:space="preserve">      </w:t>
      </w:r>
      <w:r>
        <w:rPr>
          <w:rtl/>
        </w:rPr>
        <w:t>(5).</w:t>
      </w:r>
      <w:r w:rsidRPr="00132E65">
        <w:rPr>
          <w:rtl/>
        </w:rPr>
        <w:t xml:space="preserve">في </w:t>
      </w:r>
      <w:r w:rsidRPr="00026D37">
        <w:rPr>
          <w:rtl/>
        </w:rPr>
        <w:t>مرآة العقول</w:t>
      </w:r>
      <w:r w:rsidR="00C82635">
        <w:rPr>
          <w:rtl/>
        </w:rPr>
        <w:t xml:space="preserve"> والتهذيب،ج 4،ص 128</w:t>
      </w:r>
      <w:r>
        <w:rPr>
          <w:rtl/>
        </w:rPr>
        <w:t xml:space="preserve">: - </w:t>
      </w:r>
      <w:r w:rsidR="00C82635">
        <w:rPr>
          <w:rtl/>
        </w:rPr>
        <w:t>«لا</w:t>
      </w:r>
      <w:r w:rsidRPr="00132E65">
        <w:rPr>
          <w:rtl/>
        </w:rPr>
        <w:t>»</w:t>
      </w:r>
      <w:r>
        <w:rPr>
          <w:rtl/>
        </w:rPr>
        <w:t>.</w:t>
      </w:r>
    </w:p>
    <w:p w:rsidR="000C39D1" w:rsidRPr="00132E65" w:rsidRDefault="000C39D1" w:rsidP="000C39D1">
      <w:pPr>
        <w:pStyle w:val="libFootnote0"/>
        <w:rPr>
          <w:rtl/>
          <w:lang w:bidi="fa-IR"/>
        </w:rPr>
      </w:pPr>
      <w:r>
        <w:rPr>
          <w:rtl/>
        </w:rPr>
        <w:t>(6).</w:t>
      </w:r>
      <w:r w:rsidRPr="00132E65">
        <w:rPr>
          <w:rtl/>
        </w:rPr>
        <w:t xml:space="preserve"> في </w:t>
      </w:r>
      <w:r w:rsidRPr="009D1ACE">
        <w:rPr>
          <w:rStyle w:val="libFootnoteBoldChar"/>
          <w:rtl/>
        </w:rPr>
        <w:t>مرآة العقول</w:t>
      </w:r>
      <w:r w:rsidRPr="00132E65">
        <w:rPr>
          <w:rtl/>
        </w:rPr>
        <w:t xml:space="preserve"> </w:t>
      </w:r>
      <w:r w:rsidRPr="00026D37">
        <w:rPr>
          <w:rStyle w:val="libFootnoteBoldChar"/>
          <w:rtl/>
        </w:rPr>
        <w:t>والتهذيب</w:t>
      </w:r>
      <w:r w:rsidRPr="00132E65">
        <w:rPr>
          <w:rtl/>
        </w:rPr>
        <w:t xml:space="preserve"> ، ح 366 </w:t>
      </w:r>
      <w:r>
        <w:rPr>
          <w:rtl/>
        </w:rPr>
        <w:t xml:space="preserve">: - </w:t>
      </w:r>
      <w:r w:rsidRPr="00132E65">
        <w:rPr>
          <w:rtl/>
        </w:rPr>
        <w:t>« عليه »</w:t>
      </w:r>
      <w:r>
        <w:rPr>
          <w:rtl/>
        </w:rPr>
        <w:t>.</w:t>
      </w:r>
    </w:p>
    <w:tbl>
      <w:tblPr>
        <w:tblStyle w:val="TableGrid"/>
        <w:bidiVisual/>
        <w:tblW w:w="0" w:type="auto"/>
        <w:tblLook w:val="04A0" w:firstRow="1" w:lastRow="0" w:firstColumn="1" w:lastColumn="0" w:noHBand="0" w:noVBand="1"/>
      </w:tblPr>
      <w:tblGrid>
        <w:gridCol w:w="4261"/>
        <w:gridCol w:w="4262"/>
      </w:tblGrid>
      <w:tr w:rsidR="00026D37" w:rsidTr="00026D37">
        <w:tc>
          <w:tcPr>
            <w:tcW w:w="4261" w:type="dxa"/>
          </w:tcPr>
          <w:p w:rsidR="00026D37" w:rsidRDefault="00026D37" w:rsidP="000C39D1">
            <w:pPr>
              <w:pStyle w:val="libFootnote0"/>
              <w:rPr>
                <w:rtl/>
              </w:rPr>
            </w:pPr>
            <w:r>
              <w:rPr>
                <w:rtl/>
              </w:rPr>
              <w:t>(7).</w:t>
            </w:r>
            <w:r w:rsidRPr="00132E65">
              <w:rPr>
                <w:rtl/>
              </w:rPr>
              <w:t xml:space="preserve"> في </w:t>
            </w:r>
            <w:r w:rsidRPr="000577A7">
              <w:rPr>
                <w:rStyle w:val="libFootnoteBoldChar"/>
                <w:rtl/>
              </w:rPr>
              <w:t>الكافي</w:t>
            </w:r>
            <w:r w:rsidRPr="00132E65">
              <w:rPr>
                <w:rtl/>
              </w:rPr>
              <w:t xml:space="preserve"> ، ح 8271 ، و</w:t>
            </w:r>
            <w:r w:rsidRPr="009D1ACE">
              <w:rPr>
                <w:rStyle w:val="libFootnoteBoldChar"/>
                <w:rtl/>
              </w:rPr>
              <w:t>الوافي</w:t>
            </w:r>
            <w:r w:rsidRPr="00132E65">
              <w:rPr>
                <w:rtl/>
              </w:rPr>
              <w:t xml:space="preserve"> : « الغنيمة »</w:t>
            </w:r>
            <w:r>
              <w:rPr>
                <w:rtl/>
              </w:rPr>
              <w:t>.</w:t>
            </w:r>
          </w:p>
        </w:tc>
        <w:tc>
          <w:tcPr>
            <w:tcW w:w="4262" w:type="dxa"/>
          </w:tcPr>
          <w:p w:rsidR="00026D37" w:rsidRDefault="00026D37" w:rsidP="000C39D1">
            <w:pPr>
              <w:pStyle w:val="libFootnote0"/>
              <w:rPr>
                <w:rtl/>
              </w:rPr>
            </w:pPr>
            <w:r>
              <w:rPr>
                <w:rtl/>
              </w:rPr>
              <w:t>(8).</w:t>
            </w:r>
            <w:r w:rsidRPr="00132E65">
              <w:rPr>
                <w:rtl/>
              </w:rPr>
              <w:t xml:space="preserve"> في </w:t>
            </w:r>
            <w:r w:rsidRPr="000577A7">
              <w:rPr>
                <w:rStyle w:val="libFootnoteBoldChar"/>
                <w:rtl/>
              </w:rPr>
              <w:t>الكافي</w:t>
            </w:r>
            <w:r w:rsidRPr="00132E65">
              <w:rPr>
                <w:rtl/>
              </w:rPr>
              <w:t xml:space="preserve"> ، ح 8271 : « الإمام »</w:t>
            </w:r>
            <w:r>
              <w:rPr>
                <w:rtl/>
              </w:rPr>
              <w:t>.</w:t>
            </w:r>
          </w:p>
        </w:tc>
      </w:tr>
    </w:tbl>
    <w:p w:rsidR="000C39D1" w:rsidRPr="00132E65" w:rsidRDefault="000C39D1" w:rsidP="000C39D1">
      <w:pPr>
        <w:pStyle w:val="libFootnote0"/>
        <w:rPr>
          <w:rtl/>
          <w:lang w:bidi="fa-IR"/>
        </w:rPr>
      </w:pPr>
      <w:r>
        <w:rPr>
          <w:rtl/>
        </w:rPr>
        <w:t>(9).</w:t>
      </w:r>
      <w:r w:rsidRPr="00132E65">
        <w:rPr>
          <w:rtl/>
        </w:rPr>
        <w:t xml:space="preserve"> « دَهِمَكَ » : غَشِيَكَ. </w:t>
      </w:r>
      <w:r w:rsidRPr="00026D37">
        <w:rPr>
          <w:rStyle w:val="libFootnoteBoldChar"/>
          <w:rtl/>
        </w:rPr>
        <w:t>القاموس المحيط</w:t>
      </w:r>
      <w:r w:rsidRPr="00132E65">
        <w:rPr>
          <w:rtl/>
        </w:rPr>
        <w:t xml:space="preserve"> ، ج 4 ، ص 115 ( دهم )</w:t>
      </w:r>
      <w:r>
        <w:rPr>
          <w:rtl/>
        </w:rPr>
        <w:t>.</w:t>
      </w:r>
    </w:p>
    <w:tbl>
      <w:tblPr>
        <w:tblStyle w:val="TableGrid"/>
        <w:bidiVisual/>
        <w:tblW w:w="0" w:type="auto"/>
        <w:tblLook w:val="04A0" w:firstRow="1" w:lastRow="0" w:firstColumn="1" w:lastColumn="0" w:noHBand="0" w:noVBand="1"/>
      </w:tblPr>
      <w:tblGrid>
        <w:gridCol w:w="4261"/>
        <w:gridCol w:w="4262"/>
      </w:tblGrid>
      <w:tr w:rsidR="00026D37" w:rsidTr="00026D37">
        <w:tc>
          <w:tcPr>
            <w:tcW w:w="4261" w:type="dxa"/>
          </w:tcPr>
          <w:p w:rsidR="00026D37" w:rsidRDefault="00026D37" w:rsidP="000C39D1">
            <w:pPr>
              <w:pStyle w:val="libFootnote0"/>
              <w:rPr>
                <w:rtl/>
              </w:rPr>
            </w:pPr>
            <w:r>
              <w:rPr>
                <w:rtl/>
              </w:rPr>
              <w:t>(10).</w:t>
            </w:r>
            <w:r w:rsidRPr="00132E65">
              <w:rPr>
                <w:rtl/>
              </w:rPr>
              <w:t xml:space="preserve"> في « بس » :</w:t>
            </w:r>
            <w:r>
              <w:rPr>
                <w:rtl/>
              </w:rPr>
              <w:t xml:space="preserve"> + </w:t>
            </w:r>
            <w:r w:rsidRPr="00132E65">
              <w:rPr>
                <w:rtl/>
              </w:rPr>
              <w:t>« دهم »</w:t>
            </w:r>
            <w:r>
              <w:rPr>
                <w:rtl/>
              </w:rPr>
              <w:t>.</w:t>
            </w:r>
          </w:p>
        </w:tc>
        <w:tc>
          <w:tcPr>
            <w:tcW w:w="4262" w:type="dxa"/>
          </w:tcPr>
          <w:p w:rsidR="00026D37" w:rsidRDefault="00026D37" w:rsidP="000C39D1">
            <w:pPr>
              <w:pStyle w:val="libFootnote0"/>
              <w:rPr>
                <w:rtl/>
              </w:rPr>
            </w:pPr>
            <w:r>
              <w:rPr>
                <w:rtl/>
              </w:rPr>
              <w:t>(11).</w:t>
            </w:r>
            <w:r w:rsidRPr="00132E65">
              <w:rPr>
                <w:rtl/>
              </w:rPr>
              <w:t xml:space="preserve"> في « بح » : « عدوّ »</w:t>
            </w:r>
            <w:r>
              <w:rPr>
                <w:rtl/>
              </w:rPr>
              <w:t>.</w:t>
            </w:r>
          </w:p>
        </w:tc>
      </w:tr>
    </w:tbl>
    <w:p w:rsidR="000C39D1" w:rsidRPr="00132E65" w:rsidRDefault="000C39D1" w:rsidP="000C39D1">
      <w:pPr>
        <w:pStyle w:val="libFootnote0"/>
        <w:rPr>
          <w:rtl/>
          <w:lang w:bidi="fa-IR"/>
        </w:rPr>
      </w:pPr>
      <w:r>
        <w:rPr>
          <w:rtl/>
        </w:rPr>
        <w:t>(12).</w:t>
      </w:r>
      <w:r w:rsidRPr="00132E65">
        <w:rPr>
          <w:rtl/>
        </w:rPr>
        <w:t xml:space="preserve"> في « ج ، ض ، بر ، بح ، بس ، بف » وحاشية « ب » و</w:t>
      </w:r>
      <w:r w:rsidRPr="000577A7">
        <w:rPr>
          <w:rStyle w:val="libFootnoteBoldChar"/>
          <w:rtl/>
        </w:rPr>
        <w:t>الكافي</w:t>
      </w:r>
      <w:r w:rsidRPr="00132E65">
        <w:rPr>
          <w:rtl/>
        </w:rPr>
        <w:t xml:space="preserve"> ، ح 8271 ، والتهذيب ، ح 366 : « يستفزّهم » والاستغفزار : الإزعاج والاستخفاف. والاستنفار : الاستنجار والاستنصار. </w:t>
      </w:r>
      <w:r w:rsidRPr="00026D37">
        <w:rPr>
          <w:rStyle w:val="libFootnoteBoldChar"/>
          <w:rtl/>
        </w:rPr>
        <w:t>النهاية</w:t>
      </w:r>
      <w:r w:rsidRPr="00132E65">
        <w:rPr>
          <w:rtl/>
        </w:rPr>
        <w:t xml:space="preserve"> ، ج 5 ، ص 92 ( نفر )</w:t>
      </w:r>
      <w:r>
        <w:rPr>
          <w:rtl/>
        </w:rPr>
        <w:t>.</w:t>
      </w:r>
    </w:p>
    <w:p w:rsidR="000C39D1" w:rsidRPr="00132E65" w:rsidRDefault="000C39D1" w:rsidP="000C39D1">
      <w:pPr>
        <w:pStyle w:val="libFootnote0"/>
        <w:rPr>
          <w:rtl/>
          <w:lang w:bidi="fa-IR"/>
        </w:rPr>
      </w:pPr>
      <w:r>
        <w:rPr>
          <w:rtl/>
        </w:rPr>
        <w:t>(13)</w:t>
      </w:r>
      <w:r w:rsidRPr="00132E65">
        <w:rPr>
          <w:rtl/>
        </w:rPr>
        <w:t xml:space="preserve"> في « ب ، ج ، ض ، بر » وحاشية بدرالدين و</w:t>
      </w:r>
      <w:r w:rsidRPr="000577A7">
        <w:rPr>
          <w:rStyle w:val="libFootnoteBoldChar"/>
          <w:rtl/>
        </w:rPr>
        <w:t>الكافي</w:t>
      </w:r>
      <w:r w:rsidRPr="00132E65">
        <w:rPr>
          <w:rtl/>
        </w:rPr>
        <w:t xml:space="preserve"> ، ح 8271 : « سنّة » خبر مبتدأ محذوف.</w:t>
      </w:r>
    </w:p>
    <w:p w:rsidR="000C39D1" w:rsidRPr="00132E65" w:rsidRDefault="000C39D1" w:rsidP="000C39D1">
      <w:pPr>
        <w:pStyle w:val="libFootnote0"/>
        <w:rPr>
          <w:rtl/>
          <w:lang w:bidi="fa-IR"/>
        </w:rPr>
      </w:pPr>
      <w:r>
        <w:rPr>
          <w:rtl/>
        </w:rPr>
        <w:t>(14)</w:t>
      </w:r>
      <w:r w:rsidRPr="00132E65">
        <w:rPr>
          <w:rtl/>
        </w:rPr>
        <w:t xml:space="preserve"> في </w:t>
      </w:r>
      <w:r w:rsidRPr="000577A7">
        <w:rPr>
          <w:rStyle w:val="libFootnoteBoldChar"/>
          <w:rtl/>
        </w:rPr>
        <w:t>الكافي</w:t>
      </w:r>
      <w:r w:rsidRPr="00132E65">
        <w:rPr>
          <w:rtl/>
        </w:rPr>
        <w:t xml:space="preserve"> ، ح 8271 </w:t>
      </w:r>
      <w:r w:rsidRPr="00026D37">
        <w:rPr>
          <w:rStyle w:val="libFootnoteBoldChar"/>
          <w:rtl/>
        </w:rPr>
        <w:t>والتهذيب</w:t>
      </w:r>
      <w:r w:rsidRPr="00132E65">
        <w:rPr>
          <w:rtl/>
        </w:rPr>
        <w:t xml:space="preserve"> ، ح 366 : « الأرض »</w:t>
      </w:r>
      <w:r>
        <w:rPr>
          <w:rtl/>
        </w:rPr>
        <w:t>.</w:t>
      </w:r>
    </w:p>
    <w:p w:rsidR="000C39D1" w:rsidRPr="00132E65" w:rsidRDefault="000C39D1" w:rsidP="000C39D1">
      <w:pPr>
        <w:pStyle w:val="libFootnote0"/>
        <w:rPr>
          <w:rtl/>
          <w:lang w:bidi="fa-IR"/>
        </w:rPr>
      </w:pPr>
      <w:r>
        <w:rPr>
          <w:rtl/>
        </w:rPr>
        <w:t>(15)</w:t>
      </w:r>
      <w:r w:rsidRPr="00132E65">
        <w:rPr>
          <w:rtl/>
        </w:rPr>
        <w:t xml:space="preserve"> العنوة » : التذلّل. وا</w:t>
      </w:r>
      <w:r w:rsidR="00026D37">
        <w:rPr>
          <w:rFonts w:hint="cs"/>
          <w:rtl/>
        </w:rPr>
        <w:t>ُ</w:t>
      </w:r>
      <w:r w:rsidRPr="00132E65">
        <w:rPr>
          <w:rtl/>
        </w:rPr>
        <w:t xml:space="preserve">خذت عنوة ، أي خضعت أهلها فأسلموها. راجع : </w:t>
      </w:r>
      <w:r w:rsidRPr="00026D37">
        <w:rPr>
          <w:rStyle w:val="libFootnoteBoldChar"/>
          <w:rtl/>
        </w:rPr>
        <w:t>النهاية</w:t>
      </w:r>
      <w:r w:rsidRPr="00132E65">
        <w:rPr>
          <w:rtl/>
        </w:rPr>
        <w:t xml:space="preserve"> ، ج 3 ، ص 315 ( عنا )</w:t>
      </w:r>
      <w:r>
        <w:rPr>
          <w:rtl/>
        </w:rPr>
        <w:t>.</w:t>
      </w:r>
    </w:p>
    <w:p w:rsidR="000C39D1" w:rsidRPr="00132E65" w:rsidRDefault="000C39D1" w:rsidP="000C39D1">
      <w:pPr>
        <w:pStyle w:val="libFootnote0"/>
        <w:rPr>
          <w:rtl/>
          <w:lang w:bidi="fa-IR"/>
        </w:rPr>
      </w:pPr>
      <w:r>
        <w:rPr>
          <w:rtl/>
        </w:rPr>
        <w:t>(16)</w:t>
      </w:r>
      <w:r w:rsidRPr="00132E65">
        <w:rPr>
          <w:rtl/>
        </w:rPr>
        <w:t xml:space="preserve"> في </w:t>
      </w:r>
      <w:r w:rsidRPr="000577A7">
        <w:rPr>
          <w:rStyle w:val="libFootnoteBoldChar"/>
          <w:rtl/>
        </w:rPr>
        <w:t>الكافي</w:t>
      </w:r>
      <w:r w:rsidRPr="00132E65">
        <w:rPr>
          <w:rtl/>
        </w:rPr>
        <w:t xml:space="preserve"> ، ح 8271 : « أو »</w:t>
      </w:r>
      <w:r>
        <w:rPr>
          <w:rtl/>
        </w:rPr>
        <w:t>.</w:t>
      </w:r>
    </w:p>
    <w:p w:rsidR="000C39D1" w:rsidRPr="00132E65" w:rsidRDefault="000C39D1" w:rsidP="000C39D1">
      <w:pPr>
        <w:pStyle w:val="libFootnote0"/>
        <w:rPr>
          <w:rtl/>
          <w:lang w:bidi="fa-IR"/>
        </w:rPr>
      </w:pPr>
      <w:r>
        <w:rPr>
          <w:rtl/>
        </w:rPr>
        <w:t>(17)</w:t>
      </w:r>
      <w:r w:rsidRPr="00132E65">
        <w:rPr>
          <w:rtl/>
        </w:rPr>
        <w:t xml:space="preserve"> في </w:t>
      </w:r>
      <w:r w:rsidRPr="000577A7">
        <w:rPr>
          <w:rStyle w:val="libFootnoteBoldChar"/>
          <w:rtl/>
        </w:rPr>
        <w:t>الكافي</w:t>
      </w:r>
      <w:r w:rsidRPr="00132E65">
        <w:rPr>
          <w:rtl/>
        </w:rPr>
        <w:t xml:space="preserve"> ، ح 8271 ، </w:t>
      </w:r>
      <w:r w:rsidRPr="00026D37">
        <w:rPr>
          <w:rStyle w:val="libFootnoteBoldChar"/>
          <w:rtl/>
        </w:rPr>
        <w:t>والتهذيب</w:t>
      </w:r>
      <w:r w:rsidRPr="00132E65">
        <w:rPr>
          <w:rtl/>
        </w:rPr>
        <w:t xml:space="preserve"> ، ح 366 : « وركاب »</w:t>
      </w:r>
      <w:r>
        <w:rPr>
          <w:rtl/>
        </w:rPr>
        <w:t>.</w:t>
      </w:r>
      <w:r w:rsidRPr="00132E65">
        <w:rPr>
          <w:rtl/>
        </w:rPr>
        <w:t xml:space="preserve"> وفي </w:t>
      </w:r>
      <w:r w:rsidRPr="009D1ACE">
        <w:rPr>
          <w:rStyle w:val="libFootnoteBoldChar"/>
          <w:rtl/>
        </w:rPr>
        <w:t>مرآة العقول</w:t>
      </w:r>
      <w:r w:rsidRPr="00132E65">
        <w:rPr>
          <w:rtl/>
        </w:rPr>
        <w:t xml:space="preserve"> ، ج 6 ، ص 262 : « ورجال ، أي مشاة. وربما يقرأ بالحاء المهملة جمع رحل : مراكب للإبل. وفي التهذيب : وركاب ، وهو أظهر وأوفق بالآية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يَدِ </w:t>
      </w:r>
      <w:r>
        <w:rPr>
          <w:rStyle w:val="libFootnotenumChar"/>
          <w:rtl/>
        </w:rPr>
        <w:t>(1)</w:t>
      </w:r>
      <w:r w:rsidRPr="00132E65">
        <w:rPr>
          <w:rtl/>
          <w:lang w:bidi="fa-IR"/>
        </w:rPr>
        <w:t xml:space="preserve"> مَنْ يَعْمُرُهَا </w:t>
      </w:r>
      <w:r>
        <w:rPr>
          <w:rStyle w:val="libFootnotenumChar"/>
          <w:rtl/>
        </w:rPr>
        <w:t>(2)</w:t>
      </w:r>
      <w:r w:rsidRPr="00132E65">
        <w:rPr>
          <w:rtl/>
          <w:lang w:bidi="fa-IR"/>
        </w:rPr>
        <w:t xml:space="preserve"> و</w:t>
      </w:r>
      <w:r w:rsidR="00026D37">
        <w:rPr>
          <w:rFonts w:hint="cs"/>
          <w:rtl/>
          <w:lang w:bidi="fa-IR"/>
        </w:rPr>
        <w:t>َ</w:t>
      </w:r>
      <w:r w:rsidRPr="00132E65">
        <w:rPr>
          <w:rtl/>
          <w:lang w:bidi="fa-IR"/>
        </w:rPr>
        <w:t>يُحْيِيهَا و</w:t>
      </w:r>
      <w:r w:rsidR="00026D37">
        <w:rPr>
          <w:rFonts w:hint="cs"/>
          <w:rtl/>
          <w:lang w:bidi="fa-IR"/>
        </w:rPr>
        <w:t>َ</w:t>
      </w:r>
      <w:r w:rsidRPr="00132E65">
        <w:rPr>
          <w:rtl/>
          <w:lang w:bidi="fa-IR"/>
        </w:rPr>
        <w:t xml:space="preserve">يَقُومُ عَلَيْهَا عَلى مَا يُصَالِحُهُمُ الْوَالِي عَلى قَدْرِ طَاقَتِهِمْ مِنَ الْحَقِّ </w:t>
      </w:r>
      <w:r>
        <w:rPr>
          <w:rStyle w:val="libFootnotenumChar"/>
          <w:rtl/>
        </w:rPr>
        <w:t>(3)</w:t>
      </w:r>
      <w:r w:rsidRPr="00132E65">
        <w:rPr>
          <w:rtl/>
          <w:lang w:bidi="fa-IR"/>
        </w:rPr>
        <w:t xml:space="preserve"> : النِّصْفِ ، أَوِ الثُّلُثِ ، أَوِ الثُّلُثَيْنِ </w:t>
      </w:r>
      <w:r>
        <w:rPr>
          <w:rStyle w:val="libFootnotenumChar"/>
          <w:rtl/>
        </w:rPr>
        <w:t>(4)</w:t>
      </w:r>
      <w:r w:rsidRPr="00132E65">
        <w:rPr>
          <w:rtl/>
          <w:lang w:bidi="fa-IR"/>
        </w:rPr>
        <w:t xml:space="preserve"> ، و</w:t>
      </w:r>
      <w:r w:rsidR="00026D37">
        <w:rPr>
          <w:rFonts w:hint="cs"/>
          <w:rtl/>
          <w:lang w:bidi="fa-IR"/>
        </w:rPr>
        <w:t>َ</w:t>
      </w:r>
      <w:r>
        <w:rPr>
          <w:rFonts w:hint="cs"/>
          <w:rtl/>
          <w:lang w:bidi="fa-IR"/>
        </w:rPr>
        <w:t xml:space="preserve"> </w:t>
      </w:r>
      <w:r>
        <w:rPr>
          <w:rStyle w:val="libFootnotenumChar"/>
          <w:rtl/>
        </w:rPr>
        <w:t>(5)</w:t>
      </w:r>
      <w:r w:rsidRPr="00132E65">
        <w:rPr>
          <w:rtl/>
          <w:lang w:bidi="fa-IR"/>
        </w:rPr>
        <w:t xml:space="preserve"> عَلى قَدْرِ مَا يَكُونُ لَهُمْ صَلَاحاً </w:t>
      </w:r>
      <w:r>
        <w:rPr>
          <w:rStyle w:val="libFootnotenumChar"/>
          <w:rtl/>
        </w:rPr>
        <w:t>(6)</w:t>
      </w:r>
      <w:r w:rsidRPr="00132E65">
        <w:rPr>
          <w:rtl/>
          <w:lang w:bidi="fa-IR"/>
        </w:rPr>
        <w:t xml:space="preserve"> و</w:t>
      </w:r>
      <w:r w:rsidR="00026D37">
        <w:rPr>
          <w:rFonts w:hint="cs"/>
          <w:rtl/>
          <w:lang w:bidi="fa-IR"/>
        </w:rPr>
        <w:t>َ</w:t>
      </w:r>
      <w:r w:rsidRPr="00132E65">
        <w:rPr>
          <w:rtl/>
          <w:lang w:bidi="fa-IR"/>
        </w:rPr>
        <w:t>لَا يَضُرُّهُمْ.</w:t>
      </w:r>
    </w:p>
    <w:p w:rsidR="000C39D1" w:rsidRPr="00132E65" w:rsidRDefault="000C39D1" w:rsidP="00C15EB9">
      <w:pPr>
        <w:pStyle w:val="libNormal"/>
        <w:rPr>
          <w:rtl/>
          <w:lang w:bidi="fa-IR"/>
        </w:rPr>
      </w:pPr>
      <w:r w:rsidRPr="00132E65">
        <w:rPr>
          <w:rtl/>
          <w:lang w:bidi="fa-IR"/>
        </w:rPr>
        <w:t xml:space="preserve">فَإِذَا أُخْرِجَ مِنْهَا مَا أُخْرِجَ </w:t>
      </w:r>
      <w:r>
        <w:rPr>
          <w:rStyle w:val="libFootnotenumChar"/>
          <w:rtl/>
        </w:rPr>
        <w:t>(7)</w:t>
      </w:r>
      <w:r w:rsidRPr="00132E65">
        <w:rPr>
          <w:rtl/>
          <w:lang w:bidi="fa-IR"/>
        </w:rPr>
        <w:t xml:space="preserve"> بَدَأَ ، فَأَخْرَجَ مِنْهُ الْعُشْرَ مِنَ الْجَمِيعِ </w:t>
      </w:r>
      <w:r>
        <w:rPr>
          <w:rStyle w:val="libFootnotenumChar"/>
          <w:rtl/>
        </w:rPr>
        <w:t>(8)</w:t>
      </w:r>
      <w:r w:rsidRPr="00132E65">
        <w:rPr>
          <w:rtl/>
          <w:lang w:bidi="fa-IR"/>
        </w:rPr>
        <w:t xml:space="preserve"> مِمَّا سَقَتِ السَّمَاءُ ، أَوْ سُقِيَ سَيْحاً </w:t>
      </w:r>
      <w:r>
        <w:rPr>
          <w:rStyle w:val="libFootnotenumChar"/>
          <w:rtl/>
        </w:rPr>
        <w:t>(9)</w:t>
      </w:r>
      <w:r w:rsidRPr="00132E65">
        <w:rPr>
          <w:rtl/>
          <w:lang w:bidi="fa-IR"/>
        </w:rPr>
        <w:t xml:space="preserve"> ، و</w:t>
      </w:r>
      <w:r w:rsidR="00C15EB9">
        <w:rPr>
          <w:rFonts w:hint="cs"/>
          <w:rtl/>
          <w:lang w:bidi="fa-IR"/>
        </w:rPr>
        <w:t>َ</w:t>
      </w:r>
      <w:r w:rsidRPr="00132E65">
        <w:rPr>
          <w:rtl/>
          <w:lang w:bidi="fa-IR"/>
        </w:rPr>
        <w:t xml:space="preserve">نِصْفَ الْعُشْرِ مِمَّا سُقِيَ بِالدَّوَالِي </w:t>
      </w:r>
      <w:r>
        <w:rPr>
          <w:rStyle w:val="libFootnotenumChar"/>
          <w:rtl/>
        </w:rPr>
        <w:t>(10)</w:t>
      </w:r>
      <w:r w:rsidRPr="00132E65">
        <w:rPr>
          <w:rtl/>
          <w:lang w:bidi="fa-IR"/>
        </w:rPr>
        <w:t xml:space="preserve"> و</w:t>
      </w:r>
      <w:r w:rsidR="00C15EB9">
        <w:rPr>
          <w:rFonts w:hint="cs"/>
          <w:rtl/>
          <w:lang w:bidi="fa-IR"/>
        </w:rPr>
        <w:t>َ</w:t>
      </w:r>
      <w:r w:rsidRPr="00132E65">
        <w:rPr>
          <w:rtl/>
          <w:lang w:bidi="fa-IR"/>
        </w:rPr>
        <w:t xml:space="preserve">النَّوَاضِحِ </w:t>
      </w:r>
      <w:r>
        <w:rPr>
          <w:rStyle w:val="libFootnotenumChar"/>
          <w:rtl/>
        </w:rPr>
        <w:t>(11)</w:t>
      </w:r>
      <w:r w:rsidRPr="00132E65">
        <w:rPr>
          <w:rtl/>
          <w:lang w:bidi="fa-IR"/>
        </w:rPr>
        <w:t xml:space="preserve"> ، فَأَخَذَهُ الْوَالِي ، فَوَجَّهَهُ فِي الْجِهَةِ الَّتِي و</w:t>
      </w:r>
      <w:r w:rsidR="00C15EB9">
        <w:rPr>
          <w:rFonts w:hint="cs"/>
          <w:rtl/>
          <w:lang w:bidi="fa-IR"/>
        </w:rPr>
        <w:t>َ</w:t>
      </w:r>
      <w:r w:rsidRPr="00132E65">
        <w:rPr>
          <w:rtl/>
          <w:lang w:bidi="fa-IR"/>
        </w:rPr>
        <w:t xml:space="preserve">جَّهَهَا اللهُ عَلى ثَمَانِيَةِ أَسْهُمٍ : </w:t>
      </w:r>
      <w:r w:rsidRPr="00C15EB9">
        <w:rPr>
          <w:rtl/>
        </w:rPr>
        <w:t>لِلْفُقَراءِ ، وَالْمَس</w:t>
      </w:r>
      <w:r w:rsidR="00C15EB9">
        <w:rPr>
          <w:rFonts w:hint="cs"/>
          <w:rtl/>
        </w:rPr>
        <w:t>َ</w:t>
      </w:r>
      <w:r w:rsidRPr="00C15EB9">
        <w:rPr>
          <w:rtl/>
        </w:rPr>
        <w:t>اكِينِ ، وَالْعامِلِينَ عَلَيْها ، وَالْمُؤَلَّفَةِ قُلُوبُهُمْ ، وَفِي الرِّقابِ ، وَالْغارِمِينَ ، وَفِي سَب</w:t>
      </w:r>
      <w:r w:rsidR="00C15EB9">
        <w:rPr>
          <w:rtl/>
        </w:rPr>
        <w:t>ِيلِ اللهِ ، وَابْنِ السَّبِيلِ</w:t>
      </w:r>
      <w:r w:rsidRPr="00132E65">
        <w:rPr>
          <w:rtl/>
          <w:lang w:bidi="fa-IR"/>
        </w:rPr>
        <w:t xml:space="preserve"> ؛ ثَمَانِيَةَ </w:t>
      </w:r>
      <w:r>
        <w:rPr>
          <w:rStyle w:val="libFootnotenumChar"/>
          <w:rtl/>
        </w:rPr>
        <w:t>(12)</w:t>
      </w:r>
      <w:r w:rsidRPr="00132E65">
        <w:rPr>
          <w:rtl/>
          <w:lang w:bidi="fa-IR"/>
        </w:rPr>
        <w:t xml:space="preserve"> أَسْهُمٍ يَقْسِمُ </w:t>
      </w:r>
      <w:r w:rsidRPr="00F543F1">
        <w:rPr>
          <w:rStyle w:val="libFootnotenumChar"/>
          <w:rtl/>
        </w:rPr>
        <w:t>(13)</w:t>
      </w:r>
      <w:r w:rsidRPr="00132E65">
        <w:rPr>
          <w:rtl/>
          <w:lang w:bidi="fa-IR"/>
        </w:rPr>
        <w:t xml:space="preserve"> بَيْنَهُمْ فِي مَوَاضِعِهِمْ بِقَدْرِ مَا يَسْتَغْنُونَ بِهِ فِي سَنَتِهِمْ بِلَا ضِيقٍ وَلَاتَقْتِيرٍ ، فَإِنْ فَضَلَ مِنْ ذلِكَ شَيْ‌ءٌ ، رُدَّ إِلَى الْوَالِي ، و</w:t>
      </w:r>
      <w:r w:rsidR="00C15EB9">
        <w:rPr>
          <w:rFonts w:hint="cs"/>
          <w:rtl/>
          <w:lang w:bidi="fa-IR"/>
        </w:rPr>
        <w:t>َ</w:t>
      </w:r>
      <w:r w:rsidRPr="00132E65">
        <w:rPr>
          <w:rtl/>
          <w:lang w:bidi="fa-IR"/>
        </w:rPr>
        <w:t>إِنْ نَقَصَ مِنْ‌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w:t>
      </w:r>
      <w:r w:rsidRPr="00C15EB9">
        <w:rPr>
          <w:rtl/>
        </w:rPr>
        <w:t>والكافي</w:t>
      </w:r>
      <w:r w:rsidRPr="00132E65">
        <w:rPr>
          <w:rtl/>
        </w:rPr>
        <w:t xml:space="preserve"> ، ح 8271 : « يدي »</w:t>
      </w:r>
      <w:r>
        <w:rPr>
          <w:rtl/>
        </w:rPr>
        <w:t>.</w:t>
      </w:r>
      <w:r w:rsidRPr="00132E65">
        <w:rPr>
          <w:rtl/>
        </w:rPr>
        <w:t xml:space="preserve"> وفي « بر » </w:t>
      </w:r>
      <w:r w:rsidRPr="00C15EB9">
        <w:rPr>
          <w:rtl/>
        </w:rPr>
        <w:t>والوافي</w:t>
      </w:r>
      <w:r w:rsidRPr="00132E65">
        <w:rPr>
          <w:rtl/>
        </w:rPr>
        <w:t xml:space="preserve"> : « أيدي »</w:t>
      </w:r>
      <w:r>
        <w:rPr>
          <w:rtl/>
        </w:rPr>
        <w:t>.</w:t>
      </w:r>
    </w:p>
    <w:p w:rsidR="000C39D1" w:rsidRPr="00132E65" w:rsidRDefault="000C39D1" w:rsidP="000C39D1">
      <w:pPr>
        <w:pStyle w:val="libFootnote0"/>
        <w:rPr>
          <w:rtl/>
          <w:lang w:bidi="fa-IR"/>
        </w:rPr>
      </w:pPr>
      <w:r>
        <w:rPr>
          <w:rtl/>
        </w:rPr>
        <w:t>(2).</w:t>
      </w:r>
      <w:r w:rsidRPr="00132E65">
        <w:rPr>
          <w:rtl/>
        </w:rPr>
        <w:t xml:space="preserve"> في « ف ، بف » : « يعمّرها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في بعض النسخ : من الخراج »</w:t>
      </w:r>
      <w:r>
        <w:rPr>
          <w:rtl/>
        </w:rPr>
        <w:t>.</w:t>
      </w:r>
    </w:p>
    <w:p w:rsidR="000C39D1" w:rsidRPr="00132E65" w:rsidRDefault="000C39D1" w:rsidP="000C39D1">
      <w:pPr>
        <w:pStyle w:val="libFootnote0"/>
        <w:rPr>
          <w:rtl/>
          <w:lang w:bidi="fa-IR"/>
        </w:rPr>
      </w:pPr>
      <w:r>
        <w:rPr>
          <w:rtl/>
        </w:rPr>
        <w:t>(4).</w:t>
      </w:r>
      <w:r w:rsidRPr="00132E65">
        <w:rPr>
          <w:rtl/>
        </w:rPr>
        <w:t xml:space="preserve"> في « ج ، ض ، ف ، بح ، بر ، بس » و</w:t>
      </w:r>
      <w:r w:rsidRPr="000577A7">
        <w:rPr>
          <w:rStyle w:val="libFootnoteBoldChar"/>
          <w:rtl/>
        </w:rPr>
        <w:t>الكافي</w:t>
      </w:r>
      <w:r w:rsidRPr="00132E65">
        <w:rPr>
          <w:rtl/>
        </w:rPr>
        <w:t xml:space="preserve"> ، ح 8271 و</w:t>
      </w:r>
      <w:r w:rsidRPr="009D1ACE">
        <w:rPr>
          <w:rStyle w:val="libFootnoteBoldChar"/>
          <w:rtl/>
        </w:rPr>
        <w:t>الوافي</w:t>
      </w:r>
      <w:r w:rsidRPr="00132E65">
        <w:rPr>
          <w:rtl/>
        </w:rPr>
        <w:t xml:space="preserve"> : « والثلث والثلثين »</w:t>
      </w:r>
      <w:r>
        <w:rPr>
          <w:rtl/>
        </w:rPr>
        <w:t>.</w:t>
      </w:r>
    </w:p>
    <w:tbl>
      <w:tblPr>
        <w:tblStyle w:val="TableGrid"/>
        <w:bidiVisual/>
        <w:tblW w:w="0" w:type="auto"/>
        <w:tblLook w:val="04A0" w:firstRow="1" w:lastRow="0" w:firstColumn="1" w:lastColumn="0" w:noHBand="0" w:noVBand="1"/>
      </w:tblPr>
      <w:tblGrid>
        <w:gridCol w:w="4261"/>
        <w:gridCol w:w="4262"/>
      </w:tblGrid>
      <w:tr w:rsidR="00C15EB9" w:rsidTr="00C15EB9">
        <w:tc>
          <w:tcPr>
            <w:tcW w:w="4261" w:type="dxa"/>
          </w:tcPr>
          <w:p w:rsidR="00C15EB9" w:rsidRDefault="00C15EB9" w:rsidP="000C39D1">
            <w:pPr>
              <w:pStyle w:val="libFootnote0"/>
              <w:rPr>
                <w:rtl/>
              </w:rPr>
            </w:pPr>
            <w:r>
              <w:rPr>
                <w:rtl/>
              </w:rPr>
              <w:t>(5).</w:t>
            </w:r>
            <w:r w:rsidRPr="00132E65">
              <w:rPr>
                <w:rtl/>
              </w:rPr>
              <w:t xml:space="preserve"> في </w:t>
            </w:r>
            <w:r w:rsidRPr="000577A7">
              <w:rPr>
                <w:rStyle w:val="libFootnoteBoldChar"/>
                <w:rtl/>
              </w:rPr>
              <w:t>الكافي</w:t>
            </w:r>
            <w:r w:rsidRPr="00132E65">
              <w:rPr>
                <w:rtl/>
              </w:rPr>
              <w:t xml:space="preserve"> ، ح 8271 ، و</w:t>
            </w:r>
            <w:r w:rsidRPr="009D1ACE">
              <w:rPr>
                <w:rStyle w:val="libFootnoteBoldChar"/>
                <w:rtl/>
              </w:rPr>
              <w:t>الوافي</w:t>
            </w:r>
            <w:r w:rsidRPr="00132E65">
              <w:rPr>
                <w:rtl/>
              </w:rPr>
              <w:t xml:space="preserve"> </w:t>
            </w:r>
            <w:r>
              <w:rPr>
                <w:rtl/>
              </w:rPr>
              <w:t xml:space="preserve">: - </w:t>
            </w:r>
            <w:r w:rsidRPr="00132E65">
              <w:rPr>
                <w:rtl/>
              </w:rPr>
              <w:t>«</w:t>
            </w:r>
            <w:r>
              <w:rPr>
                <w:rtl/>
              </w:rPr>
              <w:t xml:space="preserve"> و ».</w:t>
            </w:r>
          </w:p>
        </w:tc>
        <w:tc>
          <w:tcPr>
            <w:tcW w:w="4262" w:type="dxa"/>
          </w:tcPr>
          <w:p w:rsidR="00C15EB9" w:rsidRDefault="00C15EB9" w:rsidP="000C39D1">
            <w:pPr>
              <w:pStyle w:val="libFootnote0"/>
              <w:rPr>
                <w:rtl/>
              </w:rPr>
            </w:pPr>
            <w:r>
              <w:rPr>
                <w:rtl/>
              </w:rPr>
              <w:t>(6).</w:t>
            </w:r>
            <w:r w:rsidRPr="00132E65">
              <w:rPr>
                <w:rtl/>
              </w:rPr>
              <w:t xml:space="preserve">في </w:t>
            </w:r>
            <w:r w:rsidRPr="000577A7">
              <w:rPr>
                <w:rStyle w:val="libFootnoteBoldChar"/>
                <w:rtl/>
              </w:rPr>
              <w:t>الكافي</w:t>
            </w:r>
            <w:r>
              <w:rPr>
                <w:rtl/>
              </w:rPr>
              <w:t>،ح 8271، والتهذيب،ح 366 : «صالحاً</w:t>
            </w:r>
            <w:r w:rsidRPr="00132E65">
              <w:rPr>
                <w:rtl/>
              </w:rPr>
              <w:t>»</w:t>
            </w:r>
            <w:r>
              <w:rPr>
                <w:rtl/>
              </w:rPr>
              <w:t>.</w:t>
            </w:r>
          </w:p>
        </w:tc>
      </w:tr>
    </w:tbl>
    <w:p w:rsidR="000C39D1" w:rsidRPr="00132E65" w:rsidRDefault="000C39D1" w:rsidP="000C39D1">
      <w:pPr>
        <w:pStyle w:val="libFootnote0"/>
        <w:rPr>
          <w:rtl/>
          <w:lang w:bidi="fa-IR"/>
        </w:rPr>
      </w:pPr>
      <w:r>
        <w:rPr>
          <w:rtl/>
        </w:rPr>
        <w:t>(7).</w:t>
      </w:r>
      <w:r w:rsidRPr="00132E65">
        <w:rPr>
          <w:rtl/>
        </w:rPr>
        <w:t xml:space="preserve"> ظاهر </w:t>
      </w:r>
      <w:r w:rsidRPr="009D1ACE">
        <w:rPr>
          <w:rStyle w:val="libFootnoteBoldChar"/>
          <w:rtl/>
        </w:rPr>
        <w:t>مرآة العقول</w:t>
      </w:r>
      <w:r w:rsidRPr="00132E65">
        <w:rPr>
          <w:rtl/>
        </w:rPr>
        <w:t xml:space="preserve"> كون الفعلين معلومين ؛ حيث قال : « وقال الشيخ في النهاية باستثناء المؤن كلّها</w:t>
      </w:r>
      <w:r>
        <w:rPr>
          <w:rtl/>
        </w:rPr>
        <w:t xml:space="preserve"> ..</w:t>
      </w:r>
      <w:r w:rsidRPr="00132E65">
        <w:rPr>
          <w:rtl/>
        </w:rPr>
        <w:t>. وهذه</w:t>
      </w:r>
      <w:r w:rsidR="00C15EB9">
        <w:rPr>
          <w:rFonts w:hint="cs"/>
          <w:rtl/>
        </w:rPr>
        <w:t xml:space="preserve"> </w:t>
      </w:r>
      <w:r w:rsidRPr="00132E65">
        <w:rPr>
          <w:rtl/>
        </w:rPr>
        <w:t>‌العبارة ليست بصريحةٍ في الاستثناء ؛ إذ يمكن أن يقرأ الفعلان على بناء المجهول ، أي أخرج الله من الأرض ما أخرج »</w:t>
      </w:r>
      <w:r>
        <w:rPr>
          <w:rtl/>
        </w:rPr>
        <w:t>.</w:t>
      </w:r>
    </w:p>
    <w:p w:rsidR="000C39D1" w:rsidRPr="00132E65" w:rsidRDefault="000C39D1" w:rsidP="000C39D1">
      <w:pPr>
        <w:pStyle w:val="libFootnote0"/>
        <w:rPr>
          <w:rtl/>
          <w:lang w:bidi="fa-IR"/>
        </w:rPr>
      </w:pPr>
      <w:r>
        <w:rPr>
          <w:rtl/>
        </w:rPr>
        <w:t>(8).</w:t>
      </w:r>
      <w:r w:rsidRPr="00132E65">
        <w:rPr>
          <w:rtl/>
        </w:rPr>
        <w:t xml:space="preserve"> في « بر » : « الجمع »</w:t>
      </w:r>
      <w:r>
        <w:rPr>
          <w:rtl/>
        </w:rPr>
        <w:t>.</w:t>
      </w:r>
    </w:p>
    <w:p w:rsidR="000C39D1" w:rsidRPr="00132E65" w:rsidRDefault="000C39D1" w:rsidP="000C39D1">
      <w:pPr>
        <w:pStyle w:val="libFootnote0"/>
        <w:rPr>
          <w:rtl/>
          <w:lang w:bidi="fa-IR"/>
        </w:rPr>
      </w:pPr>
      <w:r>
        <w:rPr>
          <w:rtl/>
        </w:rPr>
        <w:t>(9).</w:t>
      </w:r>
      <w:r w:rsidRPr="00132E65">
        <w:rPr>
          <w:rtl/>
        </w:rPr>
        <w:t xml:space="preserve"> أي بالماء الجاري. </w:t>
      </w:r>
      <w:r>
        <w:rPr>
          <w:rtl/>
        </w:rPr>
        <w:t>و «</w:t>
      </w:r>
      <w:r w:rsidRPr="00132E65">
        <w:rPr>
          <w:rtl/>
        </w:rPr>
        <w:t xml:space="preserve"> السيح » : الماء الجاري المنبسط على وجه الأرض. </w:t>
      </w:r>
      <w:r w:rsidRPr="00C15EB9">
        <w:rPr>
          <w:rStyle w:val="libFootnoteBoldChar"/>
          <w:rtl/>
        </w:rPr>
        <w:t>النهاية</w:t>
      </w:r>
      <w:r w:rsidRPr="00132E65">
        <w:rPr>
          <w:rtl/>
        </w:rPr>
        <w:t xml:space="preserve"> ، ج 2 ، ص 432 ( سيح )</w:t>
      </w:r>
      <w:r>
        <w:rPr>
          <w:rtl/>
        </w:rPr>
        <w:t>.</w:t>
      </w:r>
    </w:p>
    <w:p w:rsidR="000C39D1" w:rsidRPr="00132E65" w:rsidRDefault="000C39D1" w:rsidP="000C39D1">
      <w:pPr>
        <w:pStyle w:val="libFootnote0"/>
        <w:rPr>
          <w:rtl/>
          <w:lang w:bidi="fa-IR"/>
        </w:rPr>
      </w:pPr>
      <w:r>
        <w:rPr>
          <w:rtl/>
        </w:rPr>
        <w:t>(10).</w:t>
      </w:r>
      <w:r w:rsidRPr="00132E65">
        <w:rPr>
          <w:rtl/>
        </w:rPr>
        <w:t xml:space="preserve"> « الدوالي » : جمع الدالية ، وهي دَلْوٌ ونحوها ، وخشب يُصْنَع كهيئة الصليب ويشدّ برأس الدلو ثمّ يؤخذ حبل يربط طرفه بذلك وطرفه بجذع قائم على رأس البئر ويسقى بها ، فهي فاعلة بمعنى مفعولة. </w:t>
      </w:r>
      <w:r w:rsidRPr="00C15EB9">
        <w:rPr>
          <w:rStyle w:val="libFootnoteBoldChar"/>
          <w:rtl/>
        </w:rPr>
        <w:t>المصباح المنير</w:t>
      </w:r>
      <w:r w:rsidRPr="00132E65">
        <w:rPr>
          <w:rtl/>
        </w:rPr>
        <w:t xml:space="preserve"> ، ص 199 ( دلو )</w:t>
      </w:r>
      <w:r>
        <w:rPr>
          <w:rtl/>
        </w:rPr>
        <w:t>.</w:t>
      </w:r>
    </w:p>
    <w:p w:rsidR="000C39D1" w:rsidRPr="00132E65" w:rsidRDefault="000C39D1" w:rsidP="000C39D1">
      <w:pPr>
        <w:pStyle w:val="libFootnote0"/>
        <w:rPr>
          <w:rtl/>
          <w:lang w:bidi="fa-IR"/>
        </w:rPr>
      </w:pPr>
      <w:r>
        <w:rPr>
          <w:rtl/>
        </w:rPr>
        <w:t>(11).</w:t>
      </w:r>
      <w:r w:rsidRPr="00132E65">
        <w:rPr>
          <w:rtl/>
        </w:rPr>
        <w:t xml:space="preserve"> نضح البعير الماء : حمله من نهر أو بئرٍ لسقي الزرع ، فهو ناضح. سمّي ناضحاً لأنّه يَنضَح العطشَ أي يبُلُّه بالماء الذي يحمله. هذا أصله ، ثمّ استعمل الناضح في كلّ بعير وإن لم يحمل الماء. والجمع : نواضح. وفيما سقي بالنضح : أي بالماء الذي ينضحه الناضح. </w:t>
      </w:r>
      <w:r w:rsidRPr="00C15EB9">
        <w:rPr>
          <w:rStyle w:val="libFootnoteBoldChar"/>
          <w:rtl/>
        </w:rPr>
        <w:t>المصباح المنير</w:t>
      </w:r>
      <w:r w:rsidRPr="00132E65">
        <w:rPr>
          <w:rtl/>
        </w:rPr>
        <w:t xml:space="preserve"> ، ص 610 ( نضح )</w:t>
      </w:r>
      <w:r>
        <w:rPr>
          <w:rtl/>
        </w:rPr>
        <w:t>.</w:t>
      </w:r>
    </w:p>
    <w:p w:rsidR="000C39D1" w:rsidRPr="00132E65" w:rsidRDefault="000C39D1" w:rsidP="00C15EB9">
      <w:pPr>
        <w:pStyle w:val="libFootnote0"/>
        <w:rPr>
          <w:rtl/>
          <w:lang w:bidi="fa-IR"/>
        </w:rPr>
      </w:pPr>
      <w:r>
        <w:rPr>
          <w:rtl/>
        </w:rPr>
        <w:t>(12).</w:t>
      </w:r>
      <w:r w:rsidRPr="00132E65">
        <w:rPr>
          <w:rtl/>
        </w:rPr>
        <w:t xml:space="preserve"> « ثمانية » : مفعول مقدّم ل</w:t>
      </w:r>
      <w:r w:rsidR="00C15EB9">
        <w:rPr>
          <w:rFonts w:hint="cs"/>
          <w:rtl/>
        </w:rPr>
        <w:t>ـ</w:t>
      </w:r>
      <w:r w:rsidRPr="00132E65">
        <w:rPr>
          <w:rtl/>
        </w:rPr>
        <w:t xml:space="preserve"> « يقسم »</w:t>
      </w:r>
      <w:r>
        <w:rPr>
          <w:rtl/>
        </w:rPr>
        <w:t>.</w:t>
      </w:r>
      <w:r w:rsidRPr="00132E65">
        <w:rPr>
          <w:rtl/>
        </w:rPr>
        <w:t xml:space="preserve"> وفي </w:t>
      </w:r>
      <w:r w:rsidRPr="009D1ACE">
        <w:rPr>
          <w:rStyle w:val="libFootnoteBoldChar"/>
          <w:rtl/>
        </w:rPr>
        <w:t>مرآة العقول</w:t>
      </w:r>
      <w:r w:rsidRPr="00132E65">
        <w:rPr>
          <w:rtl/>
        </w:rPr>
        <w:t xml:space="preserve"> : « ثمانية أسهم ، مبتدأ ، قسم خبره »</w:t>
      </w:r>
      <w:r>
        <w:rPr>
          <w:rtl/>
        </w:rPr>
        <w:t>.</w:t>
      </w:r>
    </w:p>
    <w:p w:rsidR="000C39D1" w:rsidRPr="00132E65" w:rsidRDefault="000C39D1" w:rsidP="000C39D1">
      <w:pPr>
        <w:pStyle w:val="libFootnote0"/>
        <w:rPr>
          <w:rtl/>
          <w:lang w:bidi="fa-IR"/>
        </w:rPr>
      </w:pPr>
      <w:r>
        <w:rPr>
          <w:rtl/>
        </w:rPr>
        <w:t>(13)</w:t>
      </w:r>
      <w:r w:rsidRPr="00132E65">
        <w:rPr>
          <w:rtl/>
        </w:rPr>
        <w:t xml:space="preserve"> في « بح ، بر » : « يقسمهم »</w:t>
      </w:r>
      <w:r>
        <w:rPr>
          <w:rtl/>
        </w:rPr>
        <w:t>.</w:t>
      </w:r>
      <w:r w:rsidRPr="00132E65">
        <w:rPr>
          <w:rtl/>
        </w:rPr>
        <w:t xml:space="preserve"> وفي </w:t>
      </w:r>
      <w:r w:rsidRPr="009D1ACE">
        <w:rPr>
          <w:rStyle w:val="libFootnoteBoldChar"/>
          <w:rtl/>
        </w:rPr>
        <w:t>مرآة العقول</w:t>
      </w:r>
      <w:r w:rsidRPr="00132E65">
        <w:rPr>
          <w:rtl/>
        </w:rPr>
        <w:t xml:space="preserve"> : « تقسم »</w:t>
      </w:r>
      <w:r>
        <w:rPr>
          <w:rtl/>
        </w:rPr>
        <w:t>.</w:t>
      </w:r>
      <w:r w:rsidRPr="00132E65">
        <w:rPr>
          <w:rtl/>
        </w:rPr>
        <w:t xml:space="preserve"> وفي التهذيب ، ح 366 : « يقسمها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ذلِكَ شَيْ‌ءٌ و</w:t>
      </w:r>
      <w:r w:rsidR="00C15EB9">
        <w:rPr>
          <w:rFonts w:hint="cs"/>
          <w:rtl/>
          <w:lang w:bidi="fa-IR"/>
        </w:rPr>
        <w:t>َ</w:t>
      </w:r>
      <w:r w:rsidRPr="00132E65">
        <w:rPr>
          <w:rtl/>
          <w:lang w:bidi="fa-IR"/>
        </w:rPr>
        <w:t xml:space="preserve">لَمْ يَكْتَفُوا </w:t>
      </w:r>
      <w:r>
        <w:rPr>
          <w:rStyle w:val="libFootnotenumChar"/>
          <w:rtl/>
        </w:rPr>
        <w:t>(1)</w:t>
      </w:r>
      <w:r w:rsidRPr="00132E65">
        <w:rPr>
          <w:rtl/>
          <w:lang w:bidi="fa-IR"/>
        </w:rPr>
        <w:t xml:space="preserve"> بِهِ ، كَانَ عَلَى الْوَالِي أَنْ يَمُونَهُمْ </w:t>
      </w:r>
      <w:r>
        <w:rPr>
          <w:rStyle w:val="libFootnotenumChar"/>
          <w:rtl/>
        </w:rPr>
        <w:t>(2)</w:t>
      </w:r>
      <w:r w:rsidRPr="00132E65">
        <w:rPr>
          <w:rtl/>
          <w:lang w:bidi="fa-IR"/>
        </w:rPr>
        <w:t xml:space="preserve"> مِنْ عِنْدِهِ بِقَدْرِ سَعَتِهِمْ </w:t>
      </w:r>
      <w:r>
        <w:rPr>
          <w:rStyle w:val="libFootnotenumChar"/>
          <w:rtl/>
        </w:rPr>
        <w:t>(3)</w:t>
      </w:r>
      <w:r w:rsidRPr="00132E65">
        <w:rPr>
          <w:rtl/>
          <w:lang w:bidi="fa-IR"/>
        </w:rPr>
        <w:t xml:space="preserve"> حَتّى يَسْتَغْنُوا ، و</w:t>
      </w:r>
      <w:r w:rsidR="00C15EB9">
        <w:rPr>
          <w:rFonts w:hint="cs"/>
          <w:rtl/>
          <w:lang w:bidi="fa-IR"/>
        </w:rPr>
        <w:t>َ</w:t>
      </w:r>
      <w:r w:rsidRPr="00132E65">
        <w:rPr>
          <w:rtl/>
          <w:lang w:bidi="fa-IR"/>
        </w:rPr>
        <w:t>يُؤْخَذُ بَعْدُ مَا بَقِيَ مِنَ الْعُشْرِ ، فَيُقْسَمُ بَيْنَ الْوَالِي و</w:t>
      </w:r>
      <w:r w:rsidR="00065AA9">
        <w:rPr>
          <w:rFonts w:hint="cs"/>
          <w:rtl/>
          <w:lang w:bidi="fa-IR"/>
        </w:rPr>
        <w:t>َ</w:t>
      </w:r>
      <w:r w:rsidRPr="00132E65">
        <w:rPr>
          <w:rtl/>
          <w:lang w:bidi="fa-IR"/>
        </w:rPr>
        <w:t>بَيْنَ شُرَكَائِهِ الَّذِينَ هُمْ عُمَّالُ الْأَرْضِ و</w:t>
      </w:r>
      <w:r w:rsidR="00065AA9">
        <w:rPr>
          <w:rFonts w:hint="cs"/>
          <w:rtl/>
          <w:lang w:bidi="fa-IR"/>
        </w:rPr>
        <w:t>َ</w:t>
      </w:r>
      <w:r w:rsidRPr="00132E65">
        <w:rPr>
          <w:rtl/>
          <w:lang w:bidi="fa-IR"/>
        </w:rPr>
        <w:t xml:space="preserve">أَكَرَتُهَا </w:t>
      </w:r>
      <w:r>
        <w:rPr>
          <w:rStyle w:val="libFootnotenumChar"/>
          <w:rtl/>
        </w:rPr>
        <w:t>(4)</w:t>
      </w:r>
      <w:r w:rsidRPr="00132E65">
        <w:rPr>
          <w:rtl/>
          <w:lang w:bidi="fa-IR"/>
        </w:rPr>
        <w:t xml:space="preserve"> ، فَيُدْفَعُ إِلَيْهِمْ أَنْصِبَاؤُهُمْ </w:t>
      </w:r>
      <w:r>
        <w:rPr>
          <w:rStyle w:val="libFootnotenumChar"/>
          <w:rtl/>
        </w:rPr>
        <w:t>(5)</w:t>
      </w:r>
      <w:r w:rsidRPr="00132E65">
        <w:rPr>
          <w:rtl/>
          <w:lang w:bidi="fa-IR"/>
        </w:rPr>
        <w:t xml:space="preserve"> عَلى </w:t>
      </w:r>
      <w:r>
        <w:rPr>
          <w:rStyle w:val="libFootnotenumChar"/>
          <w:rtl/>
        </w:rPr>
        <w:t>(6)</w:t>
      </w:r>
      <w:r w:rsidRPr="00132E65">
        <w:rPr>
          <w:rtl/>
          <w:lang w:bidi="fa-IR"/>
        </w:rPr>
        <w:t xml:space="preserve"> مَا صَالَحَهُمْ عَلَيْهِ ، و</w:t>
      </w:r>
      <w:r w:rsidR="00065AA9">
        <w:rPr>
          <w:rFonts w:hint="cs"/>
          <w:rtl/>
          <w:lang w:bidi="fa-IR"/>
        </w:rPr>
        <w:t>َ</w:t>
      </w:r>
      <w:r w:rsidRPr="00132E65">
        <w:rPr>
          <w:rtl/>
          <w:lang w:bidi="fa-IR"/>
        </w:rPr>
        <w:t xml:space="preserve">يُؤْخَذُ </w:t>
      </w:r>
      <w:r>
        <w:rPr>
          <w:rStyle w:val="libFootnotenumChar"/>
          <w:rtl/>
        </w:rPr>
        <w:t>(7)</w:t>
      </w:r>
      <w:r w:rsidRPr="00132E65">
        <w:rPr>
          <w:rtl/>
          <w:lang w:bidi="fa-IR"/>
        </w:rPr>
        <w:t xml:space="preserve"> الْبَاقِي ، فَيَكُونُ بَعْدَ </w:t>
      </w:r>
      <w:r>
        <w:rPr>
          <w:rStyle w:val="libFootnotenumChar"/>
          <w:rtl/>
        </w:rPr>
        <w:t>(8)</w:t>
      </w:r>
      <w:r w:rsidRPr="00132E65">
        <w:rPr>
          <w:rtl/>
          <w:lang w:bidi="fa-IR"/>
        </w:rPr>
        <w:t xml:space="preserve"> ذلِكَ أَرْزَاقَ أَعْوَانِهِ عَلى‌دِينِ اللهِ ، و</w:t>
      </w:r>
      <w:r w:rsidR="00065AA9">
        <w:rPr>
          <w:rFonts w:hint="cs"/>
          <w:rtl/>
          <w:lang w:bidi="fa-IR"/>
        </w:rPr>
        <w:t>َ</w:t>
      </w:r>
      <w:r w:rsidRPr="00132E65">
        <w:rPr>
          <w:rtl/>
          <w:lang w:bidi="fa-IR"/>
        </w:rPr>
        <w:t xml:space="preserve">فِي مَصْلَحَةِ مَا يَنُوبُهُ </w:t>
      </w:r>
      <w:r>
        <w:rPr>
          <w:rStyle w:val="libFootnotenumChar"/>
          <w:rtl/>
        </w:rPr>
        <w:t>(9)</w:t>
      </w:r>
      <w:r w:rsidRPr="00132E65">
        <w:rPr>
          <w:rtl/>
          <w:lang w:bidi="fa-IR"/>
        </w:rPr>
        <w:t xml:space="preserve"> مِنْ تَقْوِيَةِ الْإِسْلَامِ و</w:t>
      </w:r>
      <w:r w:rsidR="00065AA9">
        <w:rPr>
          <w:rFonts w:hint="cs"/>
          <w:rtl/>
          <w:lang w:bidi="fa-IR"/>
        </w:rPr>
        <w:t>َ</w:t>
      </w:r>
      <w:r w:rsidRPr="00132E65">
        <w:rPr>
          <w:rtl/>
          <w:lang w:bidi="fa-IR"/>
        </w:rPr>
        <w:t>تَقْوِيَةِ الدِّينِ فِي وجُوهِ الْجِهَادِ و</w:t>
      </w:r>
      <w:r w:rsidR="00065AA9">
        <w:rPr>
          <w:rFonts w:hint="cs"/>
          <w:rtl/>
          <w:lang w:bidi="fa-IR"/>
        </w:rPr>
        <w:t>َ</w:t>
      </w:r>
      <w:r w:rsidRPr="00132E65">
        <w:rPr>
          <w:rtl/>
          <w:lang w:bidi="fa-IR"/>
        </w:rPr>
        <w:t>غَيْرِ ذلِكَ مِمَّا فِيهِ مَصْلَحَةُ الْعَامَّةِ ، لَيْسَ لِنَفْسِهِ مِنْ ذلِكَ قَلِيلٌ و</w:t>
      </w:r>
      <w:r w:rsidR="00065AA9">
        <w:rPr>
          <w:rFonts w:hint="cs"/>
          <w:rtl/>
          <w:lang w:bidi="fa-IR"/>
        </w:rPr>
        <w:t>َ</w:t>
      </w:r>
      <w:r w:rsidRPr="00132E65">
        <w:rPr>
          <w:rtl/>
          <w:lang w:bidi="fa-IR"/>
        </w:rPr>
        <w:t>لَاكَثِيرٌ.</w:t>
      </w:r>
    </w:p>
    <w:p w:rsidR="000C39D1" w:rsidRPr="00132E65" w:rsidRDefault="000C39D1" w:rsidP="000C39D1">
      <w:pPr>
        <w:pStyle w:val="libNormal"/>
        <w:rPr>
          <w:rtl/>
          <w:lang w:bidi="fa-IR"/>
        </w:rPr>
      </w:pPr>
      <w:r w:rsidRPr="00132E65">
        <w:rPr>
          <w:rtl/>
          <w:lang w:bidi="fa-IR"/>
        </w:rPr>
        <w:t>وَلَهُ بَعْدَ الْخُمُسِ الْأَنْفَالُ ، و</w:t>
      </w:r>
      <w:r w:rsidR="00065AA9">
        <w:rPr>
          <w:rFonts w:hint="cs"/>
          <w:rtl/>
          <w:lang w:bidi="fa-IR"/>
        </w:rPr>
        <w:t>َ</w:t>
      </w:r>
      <w:r w:rsidRPr="00132E65">
        <w:rPr>
          <w:rtl/>
          <w:lang w:bidi="fa-IR"/>
        </w:rPr>
        <w:t>الْأَنْفَالُ كُلُّ أَرْضٍ خَرِبَةٍ قَدْ بَادَ أَهْلُهَا ، و</w:t>
      </w:r>
      <w:r w:rsidR="00065AA9">
        <w:rPr>
          <w:rFonts w:hint="cs"/>
          <w:rtl/>
          <w:lang w:bidi="fa-IR"/>
        </w:rPr>
        <w:t>َ</w:t>
      </w:r>
      <w:r w:rsidRPr="00132E65">
        <w:rPr>
          <w:rtl/>
          <w:lang w:bidi="fa-IR"/>
        </w:rPr>
        <w:t xml:space="preserve">كُلُّ أَرْضٍ لَمْ يُوجَفْ عَلَيْهَا </w:t>
      </w:r>
      <w:r>
        <w:rPr>
          <w:rStyle w:val="libFootnotenumChar"/>
          <w:rtl/>
        </w:rPr>
        <w:t>(10)</w:t>
      </w:r>
      <w:r w:rsidRPr="00132E65">
        <w:rPr>
          <w:rtl/>
          <w:lang w:bidi="fa-IR"/>
        </w:rPr>
        <w:t xml:space="preserve"> بِخَيْلٍ ولَارِكَابٍ ، و</w:t>
      </w:r>
      <w:r w:rsidR="00065AA9">
        <w:rPr>
          <w:rFonts w:hint="cs"/>
          <w:rtl/>
          <w:lang w:bidi="fa-IR"/>
        </w:rPr>
        <w:t>َ</w:t>
      </w:r>
      <w:r w:rsidRPr="00132E65">
        <w:rPr>
          <w:rtl/>
          <w:lang w:bidi="fa-IR"/>
        </w:rPr>
        <w:t xml:space="preserve">لكِنْ صَالَحُوا صُلْحاً </w:t>
      </w:r>
      <w:r>
        <w:rPr>
          <w:rStyle w:val="libFootnotenumChar"/>
          <w:rtl/>
        </w:rPr>
        <w:t>(11)</w:t>
      </w:r>
      <w:r w:rsidRPr="00132E65">
        <w:rPr>
          <w:rtl/>
          <w:lang w:bidi="fa-IR"/>
        </w:rPr>
        <w:t xml:space="preserve"> ، و</w:t>
      </w:r>
      <w:r w:rsidR="00065AA9">
        <w:rPr>
          <w:rFonts w:hint="cs"/>
          <w:rtl/>
          <w:lang w:bidi="fa-IR"/>
        </w:rPr>
        <w:t>َ</w:t>
      </w:r>
      <w:r w:rsidRPr="00132E65">
        <w:rPr>
          <w:rtl/>
          <w:lang w:bidi="fa-IR"/>
        </w:rPr>
        <w:t>أَعْطَوْا بِأَيْدِيهِمْ عَلى غَيْرِ قِتَالٍ ؛ و</w:t>
      </w:r>
      <w:r w:rsidR="00065AA9">
        <w:rPr>
          <w:rFonts w:hint="cs"/>
          <w:rtl/>
          <w:lang w:bidi="fa-IR"/>
        </w:rPr>
        <w:t>َ</w:t>
      </w:r>
      <w:r w:rsidRPr="00132E65">
        <w:rPr>
          <w:rtl/>
          <w:lang w:bidi="fa-IR"/>
        </w:rPr>
        <w:t>لَهُ رُؤُوسُ الْجِبَالِ ، و</w:t>
      </w:r>
      <w:r w:rsidR="00065AA9">
        <w:rPr>
          <w:rFonts w:hint="cs"/>
          <w:rtl/>
          <w:lang w:bidi="fa-IR"/>
        </w:rPr>
        <w:t>َ</w:t>
      </w:r>
      <w:r w:rsidRPr="00132E65">
        <w:rPr>
          <w:rtl/>
          <w:lang w:bidi="fa-IR"/>
        </w:rPr>
        <w:t>بُطُونُ الْأَوْدِيَةِ ، والْآجَامُ ، و</w:t>
      </w:r>
      <w:r w:rsidR="00065AA9">
        <w:rPr>
          <w:rFonts w:hint="cs"/>
          <w:rtl/>
          <w:lang w:bidi="fa-IR"/>
        </w:rPr>
        <w:t>َ</w:t>
      </w:r>
      <w:r w:rsidRPr="00132E65">
        <w:rPr>
          <w:rtl/>
          <w:lang w:bidi="fa-IR"/>
        </w:rPr>
        <w:t xml:space="preserve">كُلُّ أَرْضٍ مَيْتَةٍ </w:t>
      </w:r>
      <w:r>
        <w:rPr>
          <w:rStyle w:val="libFootnotenumChar"/>
          <w:rtl/>
        </w:rPr>
        <w:t>(12)</w:t>
      </w:r>
      <w:r w:rsidRPr="00132E65">
        <w:rPr>
          <w:rtl/>
          <w:lang w:bidi="fa-IR"/>
        </w:rPr>
        <w:t xml:space="preserve"> لَارَبَّ لَهَا ؛ وَلَهُ صَوَافِي الْمُلُوكِ مَا </w:t>
      </w:r>
      <w:r w:rsidRPr="00F543F1">
        <w:rPr>
          <w:rStyle w:val="libFootnotenumChar"/>
          <w:rtl/>
        </w:rPr>
        <w:t>(13)</w:t>
      </w:r>
      <w:r w:rsidRPr="00132E65">
        <w:rPr>
          <w:rtl/>
          <w:lang w:bidi="fa-IR"/>
        </w:rPr>
        <w:t xml:space="preserve"> كَانَ فِي أَيْدِيهِمْ مِنْ غَيْرِ وجْهِ الْغَصْبِ ؛ لِأَنَّ الْغَصْبَ كُلَّهُ مَرْدُودٌ ؛ وَهُوَ وارِثُ مَنْ لَاوَارِثَ لَهُ ، يَعُولُ </w:t>
      </w:r>
      <w:r w:rsidRPr="00F543F1">
        <w:rPr>
          <w:rStyle w:val="libFootnotenumChar"/>
          <w:rtl/>
        </w:rPr>
        <w:t>(14)</w:t>
      </w:r>
      <w:r w:rsidRPr="00132E65">
        <w:rPr>
          <w:rtl/>
          <w:lang w:bidi="fa-IR"/>
        </w:rPr>
        <w:t xml:space="preserve"> مَنْ لَاحِيلَةَ لَهُ »</w:t>
      </w:r>
      <w:r>
        <w:rPr>
          <w:rtl/>
          <w:lang w:bidi="fa-IR"/>
        </w:rPr>
        <w:t>.</w:t>
      </w:r>
    </w:p>
    <w:p w:rsidR="000C39D1" w:rsidRPr="00132E65" w:rsidRDefault="000C39D1" w:rsidP="000C39D1">
      <w:pPr>
        <w:pStyle w:val="libNormal"/>
        <w:rPr>
          <w:rtl/>
          <w:lang w:bidi="fa-IR"/>
        </w:rPr>
      </w:pPr>
      <w:r w:rsidRPr="00132E65">
        <w:rPr>
          <w:rtl/>
          <w:lang w:bidi="fa-IR"/>
        </w:rPr>
        <w:t xml:space="preserve">وَقَالَ </w:t>
      </w:r>
      <w:r w:rsidRPr="00F543F1">
        <w:rPr>
          <w:rStyle w:val="libFootnotenumChar"/>
          <w:rtl/>
        </w:rPr>
        <w:t>(15)</w:t>
      </w:r>
      <w:r w:rsidRPr="00132E65">
        <w:rPr>
          <w:rtl/>
          <w:lang w:bidi="fa-IR"/>
        </w:rPr>
        <w:t xml:space="preserve"> : « إِنَّ اللهَ لَمْ يَتْرُكُ شَيْئاً </w:t>
      </w:r>
      <w:r w:rsidR="00065AA9">
        <w:rPr>
          <w:rtl/>
          <w:lang w:bidi="fa-IR"/>
        </w:rPr>
        <w:t>مِنْ صُنُوفِ الْأَمْوَالِ إِل</w:t>
      </w:r>
      <w:r w:rsidR="00065AA9">
        <w:rPr>
          <w:rFonts w:hint="cs"/>
          <w:rtl/>
          <w:lang w:bidi="fa-IR"/>
        </w:rPr>
        <w:t>َّ</w:t>
      </w:r>
      <w:r w:rsidR="00065AA9">
        <w:rPr>
          <w:rtl/>
          <w:lang w:bidi="fa-IR"/>
        </w:rPr>
        <w:t>ا</w:t>
      </w:r>
      <w:r w:rsidRPr="00132E65">
        <w:rPr>
          <w:rtl/>
          <w:lang w:bidi="fa-IR"/>
        </w:rPr>
        <w:t xml:space="preserve"> و</w:t>
      </w:r>
      <w:r w:rsidR="00065AA9">
        <w:rPr>
          <w:rFonts w:hint="cs"/>
          <w:rtl/>
          <w:lang w:bidi="fa-IR"/>
        </w:rPr>
        <w:t>َ</w:t>
      </w:r>
      <w:r w:rsidRPr="00132E65">
        <w:rPr>
          <w:rtl/>
          <w:lang w:bidi="fa-IR"/>
        </w:rPr>
        <w:t xml:space="preserve">قَدْ قَسَمَهُ </w:t>
      </w:r>
      <w:r w:rsidRPr="00F543F1">
        <w:rPr>
          <w:rStyle w:val="libFootnotenumChar"/>
          <w:rtl/>
        </w:rPr>
        <w:t>(16)</w:t>
      </w:r>
      <w:r w:rsidRPr="00132E65">
        <w:rPr>
          <w:rtl/>
          <w:lang w:bidi="fa-IR"/>
        </w:rPr>
        <w:t xml:space="preserve"> ، فَأَعْطى </w:t>
      </w:r>
      <w:r w:rsidRPr="00F543F1">
        <w:rPr>
          <w:rStyle w:val="libFootnotenumChar"/>
          <w:rtl/>
        </w:rPr>
        <w:t>(17)</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هكذا في « ب ، ج ، ض ، ف ، بح ، بر ، بس ، بف »</w:t>
      </w:r>
      <w:r>
        <w:rPr>
          <w:rtl/>
        </w:rPr>
        <w:t>.</w:t>
      </w:r>
      <w:r w:rsidRPr="00132E65">
        <w:rPr>
          <w:rtl/>
        </w:rPr>
        <w:t xml:space="preserve"> وفي المطبوع : « لم تكتفوا »</w:t>
      </w:r>
      <w:r>
        <w:rPr>
          <w:rtl/>
        </w:rPr>
        <w:t>.</w:t>
      </w:r>
    </w:p>
    <w:p w:rsidR="000C39D1" w:rsidRPr="00132E65" w:rsidRDefault="000C39D1" w:rsidP="000C39D1">
      <w:pPr>
        <w:pStyle w:val="libFootnote0"/>
        <w:rPr>
          <w:rtl/>
          <w:lang w:bidi="fa-IR"/>
        </w:rPr>
      </w:pPr>
      <w:r>
        <w:rPr>
          <w:rtl/>
        </w:rPr>
        <w:t>(2).</w:t>
      </w:r>
      <w:r w:rsidRPr="00132E65">
        <w:rPr>
          <w:rtl/>
        </w:rPr>
        <w:t xml:space="preserve"> في « ج ، ف » : « يَمْأنَهم »</w:t>
      </w:r>
      <w:r>
        <w:rPr>
          <w:rtl/>
        </w:rPr>
        <w:t>.</w:t>
      </w:r>
      <w:r w:rsidRPr="00132E65">
        <w:rPr>
          <w:rtl/>
        </w:rPr>
        <w:t xml:space="preserve"> ومأن يمأن ، ومان يمون ، بمعنى.</w:t>
      </w:r>
    </w:p>
    <w:p w:rsidR="000C39D1" w:rsidRPr="00132E65" w:rsidRDefault="000C39D1" w:rsidP="000C39D1">
      <w:pPr>
        <w:pStyle w:val="libFootnote0"/>
        <w:rPr>
          <w:rtl/>
          <w:lang w:bidi="fa-IR"/>
        </w:rPr>
      </w:pPr>
      <w:r>
        <w:rPr>
          <w:rtl/>
        </w:rPr>
        <w:t>(3).</w:t>
      </w:r>
      <w:r w:rsidRPr="00132E65">
        <w:rPr>
          <w:rtl/>
        </w:rPr>
        <w:t xml:space="preserve"> في التهذيب : « شبعهم »</w:t>
      </w:r>
      <w:r>
        <w:rPr>
          <w:rtl/>
        </w:rPr>
        <w:t>.</w:t>
      </w:r>
    </w:p>
    <w:p w:rsidR="000C39D1" w:rsidRPr="00132E65" w:rsidRDefault="000C39D1" w:rsidP="000C39D1">
      <w:pPr>
        <w:pStyle w:val="libFootnote0"/>
        <w:rPr>
          <w:rtl/>
          <w:lang w:bidi="fa-IR"/>
        </w:rPr>
      </w:pPr>
      <w:r>
        <w:rPr>
          <w:rtl/>
        </w:rPr>
        <w:t>(4).</w:t>
      </w:r>
      <w:r w:rsidRPr="00132E65">
        <w:rPr>
          <w:rtl/>
        </w:rPr>
        <w:t xml:space="preserve"> « الأكَرَة » : جمع أكّار ؛ اسم فاعل من أكَرْتُ الأرض : حرثتُها. </w:t>
      </w:r>
      <w:r w:rsidRPr="000B2B62">
        <w:rPr>
          <w:rStyle w:val="libFootnoteBoldChar"/>
          <w:rtl/>
        </w:rPr>
        <w:t>المصباح المنير</w:t>
      </w:r>
      <w:r w:rsidRPr="00132E65">
        <w:rPr>
          <w:rtl/>
        </w:rPr>
        <w:t xml:space="preserve"> ، ص 17 ( أكر )</w:t>
      </w:r>
      <w:r>
        <w:rPr>
          <w:rtl/>
        </w:rPr>
        <w:t>.</w:t>
      </w:r>
    </w:p>
    <w:p w:rsidR="000C39D1" w:rsidRPr="00132E65" w:rsidRDefault="000C39D1" w:rsidP="000C39D1">
      <w:pPr>
        <w:pStyle w:val="libFootnote0"/>
        <w:rPr>
          <w:rtl/>
          <w:lang w:bidi="fa-IR"/>
        </w:rPr>
      </w:pPr>
      <w:r>
        <w:rPr>
          <w:rtl/>
        </w:rPr>
        <w:t>(5).</w:t>
      </w:r>
      <w:r w:rsidRPr="00132E65">
        <w:rPr>
          <w:rtl/>
        </w:rPr>
        <w:t xml:space="preserve"> « النصيب » : الحصّة ، والجمع : أنصِبَة وأنصباء ونُصُب. </w:t>
      </w:r>
      <w:r w:rsidRPr="000B2B62">
        <w:rPr>
          <w:rStyle w:val="libFootnoteBoldChar"/>
          <w:rtl/>
        </w:rPr>
        <w:t>المصباح المنير</w:t>
      </w:r>
      <w:r w:rsidRPr="00132E65">
        <w:rPr>
          <w:rtl/>
        </w:rPr>
        <w:t xml:space="preserve"> ، ص 606 ( نصب )</w:t>
      </w:r>
      <w:r>
        <w:rPr>
          <w:rtl/>
        </w:rPr>
        <w:t>.</w:t>
      </w:r>
    </w:p>
    <w:tbl>
      <w:tblPr>
        <w:tblStyle w:val="TableGrid"/>
        <w:bidiVisual/>
        <w:tblW w:w="0" w:type="auto"/>
        <w:tblLook w:val="04A0" w:firstRow="1" w:lastRow="0" w:firstColumn="1" w:lastColumn="0" w:noHBand="0" w:noVBand="1"/>
      </w:tblPr>
      <w:tblGrid>
        <w:gridCol w:w="4261"/>
        <w:gridCol w:w="4262"/>
      </w:tblGrid>
      <w:tr w:rsidR="000B2B62" w:rsidTr="000B2B62">
        <w:tc>
          <w:tcPr>
            <w:tcW w:w="4261" w:type="dxa"/>
          </w:tcPr>
          <w:p w:rsidR="000B2B62" w:rsidRDefault="000B2B62" w:rsidP="000C39D1">
            <w:pPr>
              <w:pStyle w:val="libFootnote0"/>
              <w:rPr>
                <w:rtl/>
              </w:rPr>
            </w:pPr>
            <w:r>
              <w:rPr>
                <w:rtl/>
              </w:rPr>
              <w:t>(6).</w:t>
            </w:r>
            <w:r w:rsidRPr="00132E65">
              <w:rPr>
                <w:rtl/>
              </w:rPr>
              <w:t xml:space="preserve"> في التهذيب :</w:t>
            </w:r>
            <w:r>
              <w:rPr>
                <w:rtl/>
              </w:rPr>
              <w:t xml:space="preserve"> + </w:t>
            </w:r>
            <w:r w:rsidRPr="00132E65">
              <w:rPr>
                <w:rtl/>
              </w:rPr>
              <w:t>« قدر »</w:t>
            </w:r>
            <w:r>
              <w:rPr>
                <w:rtl/>
              </w:rPr>
              <w:t>.</w:t>
            </w:r>
          </w:p>
        </w:tc>
        <w:tc>
          <w:tcPr>
            <w:tcW w:w="4262" w:type="dxa"/>
          </w:tcPr>
          <w:p w:rsidR="000B2B62" w:rsidRDefault="000B2B62" w:rsidP="000C39D1">
            <w:pPr>
              <w:pStyle w:val="libFootnote0"/>
              <w:rPr>
                <w:rtl/>
              </w:rPr>
            </w:pPr>
            <w:r>
              <w:rPr>
                <w:rtl/>
              </w:rPr>
              <w:t>(7).</w:t>
            </w:r>
            <w:r w:rsidRPr="00132E65">
              <w:rPr>
                <w:rtl/>
              </w:rPr>
              <w:t xml:space="preserve"> في التهذيب : « ويأخذ »</w:t>
            </w:r>
            <w:r>
              <w:rPr>
                <w:rtl/>
              </w:rPr>
              <w:t>.</w:t>
            </w:r>
          </w:p>
        </w:tc>
      </w:tr>
      <w:tr w:rsidR="000B2B62" w:rsidTr="000B2B62">
        <w:tc>
          <w:tcPr>
            <w:tcW w:w="4261" w:type="dxa"/>
          </w:tcPr>
          <w:p w:rsidR="000B2B62" w:rsidRDefault="000B2B62" w:rsidP="000C39D1">
            <w:pPr>
              <w:pStyle w:val="libFootnote0"/>
              <w:rPr>
                <w:rtl/>
              </w:rPr>
            </w:pPr>
            <w:r>
              <w:rPr>
                <w:rtl/>
              </w:rPr>
              <w:t>(8).</w:t>
            </w:r>
            <w:r w:rsidRPr="00132E65">
              <w:rPr>
                <w:rtl/>
              </w:rPr>
              <w:t xml:space="preserve"> في </w:t>
            </w:r>
            <w:r w:rsidRPr="000B2B62">
              <w:rPr>
                <w:rtl/>
              </w:rPr>
              <w:t>الوافي</w:t>
            </w:r>
            <w:r w:rsidRPr="00132E65">
              <w:rPr>
                <w:rtl/>
              </w:rPr>
              <w:t xml:space="preserve"> والتهذيب ، ح 366 </w:t>
            </w:r>
            <w:r>
              <w:rPr>
                <w:rtl/>
              </w:rPr>
              <w:t xml:space="preserve">: - </w:t>
            </w:r>
            <w:r w:rsidRPr="00132E65">
              <w:rPr>
                <w:rtl/>
              </w:rPr>
              <w:t>« بعد »</w:t>
            </w:r>
            <w:r>
              <w:rPr>
                <w:rtl/>
              </w:rPr>
              <w:t>.</w:t>
            </w:r>
          </w:p>
        </w:tc>
        <w:tc>
          <w:tcPr>
            <w:tcW w:w="4262" w:type="dxa"/>
          </w:tcPr>
          <w:p w:rsidR="000B2B62" w:rsidRDefault="000B2B62" w:rsidP="000C39D1">
            <w:pPr>
              <w:pStyle w:val="libFootnote0"/>
              <w:rPr>
                <w:rtl/>
              </w:rPr>
            </w:pPr>
            <w:r>
              <w:rPr>
                <w:rtl/>
              </w:rPr>
              <w:t>(9).</w:t>
            </w:r>
            <w:r w:rsidRPr="00132E65">
              <w:rPr>
                <w:rtl/>
              </w:rPr>
              <w:t xml:space="preserve"> في « بر » : « ينويه »</w:t>
            </w:r>
            <w:r>
              <w:rPr>
                <w:rtl/>
              </w:rPr>
              <w:t>.</w:t>
            </w:r>
          </w:p>
        </w:tc>
      </w:tr>
    </w:tbl>
    <w:p w:rsidR="000C39D1" w:rsidRPr="00132E65" w:rsidRDefault="000C39D1" w:rsidP="000C39D1">
      <w:pPr>
        <w:pStyle w:val="libFootnote0"/>
        <w:rPr>
          <w:rtl/>
          <w:lang w:bidi="fa-IR"/>
        </w:rPr>
      </w:pPr>
      <w:r>
        <w:rPr>
          <w:rtl/>
        </w:rPr>
        <w:t>(10).</w:t>
      </w:r>
      <w:r w:rsidRPr="00132E65">
        <w:rPr>
          <w:rtl/>
        </w:rPr>
        <w:t xml:space="preserve"> في </w:t>
      </w:r>
      <w:r w:rsidRPr="000B2B62">
        <w:rPr>
          <w:rtl/>
        </w:rPr>
        <w:t>الوافي</w:t>
      </w:r>
      <w:r w:rsidRPr="00132E65">
        <w:rPr>
          <w:rtl/>
        </w:rPr>
        <w:t xml:space="preserve"> : « عليه »</w:t>
      </w:r>
      <w:r>
        <w:rPr>
          <w:rtl/>
        </w:rPr>
        <w:t>.</w:t>
      </w:r>
    </w:p>
    <w:p w:rsidR="000C39D1" w:rsidRPr="00132E65" w:rsidRDefault="000C39D1" w:rsidP="000C39D1">
      <w:pPr>
        <w:pStyle w:val="libFootnote0"/>
        <w:rPr>
          <w:rtl/>
          <w:lang w:bidi="fa-IR"/>
        </w:rPr>
      </w:pPr>
      <w:r>
        <w:rPr>
          <w:rtl/>
        </w:rPr>
        <w:t>(11).</w:t>
      </w:r>
      <w:r w:rsidRPr="00132E65">
        <w:rPr>
          <w:rtl/>
        </w:rPr>
        <w:t xml:space="preserve"> في التهذيب : « صولحوا عليها » بدل « صالحوا صلحاً »</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مرآة العقول</w:t>
      </w:r>
      <w:r w:rsidRPr="00132E65">
        <w:rPr>
          <w:rtl/>
        </w:rPr>
        <w:t xml:space="preserve"> : « وكلّ أرض ميتة ، بالتشديد والتخفيف »</w:t>
      </w:r>
      <w:r>
        <w:rPr>
          <w:rtl/>
        </w:rPr>
        <w:t>.</w:t>
      </w:r>
    </w:p>
    <w:tbl>
      <w:tblPr>
        <w:tblStyle w:val="TableGrid"/>
        <w:bidiVisual/>
        <w:tblW w:w="0" w:type="auto"/>
        <w:tblLook w:val="04A0" w:firstRow="1" w:lastRow="0" w:firstColumn="1" w:lastColumn="0" w:noHBand="0" w:noVBand="1"/>
      </w:tblPr>
      <w:tblGrid>
        <w:gridCol w:w="4261"/>
        <w:gridCol w:w="4262"/>
      </w:tblGrid>
      <w:tr w:rsidR="000B2B62" w:rsidTr="000B2B62">
        <w:tc>
          <w:tcPr>
            <w:tcW w:w="4261" w:type="dxa"/>
          </w:tcPr>
          <w:p w:rsidR="000B2B62" w:rsidRDefault="000B2B62" w:rsidP="000C39D1">
            <w:pPr>
              <w:pStyle w:val="libFootnote0"/>
              <w:rPr>
                <w:rtl/>
              </w:rPr>
            </w:pPr>
            <w:r>
              <w:rPr>
                <w:rtl/>
              </w:rPr>
              <w:t>(13)</w:t>
            </w:r>
            <w:r w:rsidRPr="00132E65">
              <w:rPr>
                <w:rtl/>
              </w:rPr>
              <w:t xml:space="preserve"> في « بف » والتهذيب ، ح 366 : « ممّا »</w:t>
            </w:r>
            <w:r>
              <w:rPr>
                <w:rtl/>
              </w:rPr>
              <w:t>.</w:t>
            </w:r>
          </w:p>
        </w:tc>
        <w:tc>
          <w:tcPr>
            <w:tcW w:w="4262" w:type="dxa"/>
          </w:tcPr>
          <w:p w:rsidR="000B2B62" w:rsidRDefault="000B2B62" w:rsidP="000C39D1">
            <w:pPr>
              <w:pStyle w:val="libFootnote0"/>
              <w:rPr>
                <w:rtl/>
              </w:rPr>
            </w:pPr>
            <w:r>
              <w:rPr>
                <w:rtl/>
              </w:rPr>
              <w:t>(14)</w:t>
            </w:r>
            <w:r w:rsidRPr="00132E65">
              <w:rPr>
                <w:rtl/>
              </w:rPr>
              <w:t xml:space="preserve"> في التهذيب : « وعليه ينزل كلّ » بدل « يعول »</w:t>
            </w:r>
            <w:r>
              <w:rPr>
                <w:rtl/>
              </w:rPr>
              <w:t>.</w:t>
            </w:r>
          </w:p>
        </w:tc>
      </w:tr>
      <w:tr w:rsidR="000B2B62" w:rsidTr="000B2B62">
        <w:tc>
          <w:tcPr>
            <w:tcW w:w="4261" w:type="dxa"/>
          </w:tcPr>
          <w:p w:rsidR="000B2B62" w:rsidRDefault="000B2B62" w:rsidP="000C39D1">
            <w:pPr>
              <w:pStyle w:val="libFootnote0"/>
              <w:rPr>
                <w:rtl/>
              </w:rPr>
            </w:pPr>
            <w:r>
              <w:rPr>
                <w:rtl/>
              </w:rPr>
              <w:t>(15)</w:t>
            </w:r>
            <w:r w:rsidRPr="00132E65">
              <w:rPr>
                <w:rtl/>
              </w:rPr>
              <w:t xml:space="preserve"> في التهذيب :</w:t>
            </w:r>
            <w:r>
              <w:rPr>
                <w:rtl/>
              </w:rPr>
              <w:t xml:space="preserve"> + </w:t>
            </w:r>
            <w:r w:rsidRPr="00132E65">
              <w:rPr>
                <w:rtl/>
              </w:rPr>
              <w:t xml:space="preserve">« الفقيه </w:t>
            </w:r>
            <w:r w:rsidRPr="000B2B62">
              <w:rPr>
                <w:rStyle w:val="libFootnoteAlaemChar"/>
                <w:rtl/>
              </w:rPr>
              <w:t>عليه‌السلام</w:t>
            </w:r>
            <w:r w:rsidRPr="00132E65">
              <w:rPr>
                <w:rtl/>
              </w:rPr>
              <w:t xml:space="preserve"> »</w:t>
            </w:r>
            <w:r>
              <w:rPr>
                <w:rtl/>
              </w:rPr>
              <w:t>.</w:t>
            </w:r>
          </w:p>
        </w:tc>
        <w:tc>
          <w:tcPr>
            <w:tcW w:w="4262" w:type="dxa"/>
          </w:tcPr>
          <w:p w:rsidR="000B2B62" w:rsidRDefault="000B2B62" w:rsidP="000C39D1">
            <w:pPr>
              <w:pStyle w:val="libFootnote0"/>
              <w:rPr>
                <w:rtl/>
              </w:rPr>
            </w:pPr>
            <w:r>
              <w:rPr>
                <w:rtl/>
              </w:rPr>
              <w:t>(16)</w:t>
            </w:r>
            <w:r w:rsidRPr="00132E65">
              <w:rPr>
                <w:rtl/>
              </w:rPr>
              <w:t xml:space="preserve"> يجوز بالتخفيف والتثقيل.</w:t>
            </w:r>
          </w:p>
        </w:tc>
      </w:tr>
    </w:tbl>
    <w:p w:rsidR="000C39D1" w:rsidRPr="00132E65" w:rsidRDefault="000C39D1" w:rsidP="000C39D1">
      <w:pPr>
        <w:pStyle w:val="libFootnote0"/>
        <w:rPr>
          <w:rtl/>
          <w:lang w:bidi="fa-IR"/>
        </w:rPr>
      </w:pPr>
      <w:r>
        <w:rPr>
          <w:rtl/>
        </w:rPr>
        <w:t>(17)</w:t>
      </w:r>
      <w:r w:rsidRPr="00132E65">
        <w:rPr>
          <w:rtl/>
        </w:rPr>
        <w:t xml:space="preserve"> هكذا في « ب ، ج ، ض ، ف ، بح ، بر ، بس ، بف » والوسائل ، ح 12628. وفي المطبوع : « وأعطى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كُلَّ ذِي حَقٍّ حَقَّهُ : الْخَاصَّةَ ، و</w:t>
      </w:r>
      <w:r w:rsidR="000B2B62">
        <w:rPr>
          <w:rFonts w:hint="cs"/>
          <w:rtl/>
          <w:lang w:bidi="fa-IR"/>
        </w:rPr>
        <w:t>َ</w:t>
      </w:r>
      <w:r w:rsidRPr="00132E65">
        <w:rPr>
          <w:rtl/>
          <w:lang w:bidi="fa-IR"/>
        </w:rPr>
        <w:t>الْعَامَّةَ ، و</w:t>
      </w:r>
      <w:r w:rsidR="000B2B62">
        <w:rPr>
          <w:rFonts w:hint="cs"/>
          <w:rtl/>
          <w:lang w:bidi="fa-IR"/>
        </w:rPr>
        <w:t>َ</w:t>
      </w:r>
      <w:r w:rsidRPr="00132E65">
        <w:rPr>
          <w:rtl/>
          <w:lang w:bidi="fa-IR"/>
        </w:rPr>
        <w:t>الْفُقَرَاءَ ، و</w:t>
      </w:r>
      <w:r w:rsidR="000B2B62">
        <w:rPr>
          <w:rFonts w:hint="cs"/>
          <w:rtl/>
          <w:lang w:bidi="fa-IR"/>
        </w:rPr>
        <w:t>َ</w:t>
      </w:r>
      <w:r w:rsidRPr="00132E65">
        <w:rPr>
          <w:rtl/>
          <w:lang w:bidi="fa-IR"/>
        </w:rPr>
        <w:t>الْمَسَاكِينَ ، و</w:t>
      </w:r>
      <w:r w:rsidR="000B2B62">
        <w:rPr>
          <w:rFonts w:hint="cs"/>
          <w:rtl/>
          <w:lang w:bidi="fa-IR"/>
        </w:rPr>
        <w:t>َ</w:t>
      </w:r>
      <w:r w:rsidRPr="00132E65">
        <w:rPr>
          <w:rtl/>
          <w:lang w:bidi="fa-IR"/>
        </w:rPr>
        <w:t>كُلَّ صِنْفٍ مِنْ صُنُوفِ النَّاسِ »</w:t>
      </w:r>
      <w:r>
        <w:rPr>
          <w:rtl/>
          <w:lang w:bidi="fa-IR"/>
        </w:rPr>
        <w:t>.</w:t>
      </w:r>
      <w:r w:rsidRPr="00132E65">
        <w:rPr>
          <w:rtl/>
          <w:lang w:bidi="fa-IR"/>
        </w:rPr>
        <w:t xml:space="preserve"> فَقَالَ </w:t>
      </w:r>
      <w:r>
        <w:rPr>
          <w:rStyle w:val="libFootnotenumChar"/>
          <w:rtl/>
        </w:rPr>
        <w:t>(1)</w:t>
      </w:r>
      <w:r w:rsidRPr="00132E65">
        <w:rPr>
          <w:rtl/>
          <w:lang w:bidi="fa-IR"/>
        </w:rPr>
        <w:t xml:space="preserve"> : « لَوْ عُدِلَ فِي النَّاسِ لَاسْتَغْنَوْا »</w:t>
      </w:r>
      <w:r>
        <w:rPr>
          <w:rtl/>
          <w:lang w:bidi="fa-IR"/>
        </w:rPr>
        <w:t>.</w:t>
      </w:r>
    </w:p>
    <w:p w:rsidR="000C39D1" w:rsidRPr="00132E65" w:rsidRDefault="000C39D1" w:rsidP="000C39D1">
      <w:pPr>
        <w:pStyle w:val="libNormal"/>
        <w:rPr>
          <w:rtl/>
          <w:lang w:bidi="fa-IR"/>
        </w:rPr>
      </w:pPr>
      <w:r w:rsidRPr="00132E65">
        <w:rPr>
          <w:rtl/>
          <w:lang w:bidi="fa-IR"/>
        </w:rPr>
        <w:t>ثُمَّ قَالَ : « إِنَّ الْعَدْلَ أَحْلى مِنَ الْعَسَلِ ، و</w:t>
      </w:r>
      <w:r w:rsidR="000B2B62">
        <w:rPr>
          <w:rFonts w:hint="cs"/>
          <w:rtl/>
          <w:lang w:bidi="fa-IR"/>
        </w:rPr>
        <w:t>َ</w:t>
      </w:r>
      <w:r w:rsidR="000B2B62">
        <w:rPr>
          <w:rtl/>
          <w:lang w:bidi="fa-IR"/>
        </w:rPr>
        <w:t>لَايَعْدِلُ إِل</w:t>
      </w:r>
      <w:r w:rsidR="000B2B62">
        <w:rPr>
          <w:rFonts w:hint="cs"/>
          <w:rtl/>
          <w:lang w:bidi="fa-IR"/>
        </w:rPr>
        <w:t>َّ</w:t>
      </w:r>
      <w:r w:rsidR="000B2B62">
        <w:rPr>
          <w:rtl/>
          <w:lang w:bidi="fa-IR"/>
        </w:rPr>
        <w:t>ا</w:t>
      </w:r>
      <w:r w:rsidRPr="00132E65">
        <w:rPr>
          <w:rtl/>
          <w:lang w:bidi="fa-IR"/>
        </w:rPr>
        <w:t xml:space="preserve"> مَنْ يُحْسِنُ الْعَدْلَ »</w:t>
      </w:r>
      <w:r>
        <w:rPr>
          <w:rtl/>
          <w:lang w:bidi="fa-IR"/>
        </w:rPr>
        <w:t>.</w:t>
      </w:r>
    </w:p>
    <w:p w:rsidR="000C39D1" w:rsidRPr="00132E65" w:rsidRDefault="000C39D1" w:rsidP="000C39D1">
      <w:pPr>
        <w:pStyle w:val="libNormal"/>
        <w:rPr>
          <w:rtl/>
          <w:lang w:bidi="fa-IR"/>
        </w:rPr>
      </w:pPr>
      <w:r w:rsidRPr="00132E65">
        <w:rPr>
          <w:rtl/>
          <w:lang w:bidi="fa-IR"/>
        </w:rPr>
        <w:t xml:space="preserve">قَالَ : « وَكَانَ رَسُولُ اللهِ </w:t>
      </w:r>
      <w:r w:rsidRPr="0093484F">
        <w:rPr>
          <w:rStyle w:val="libAlaemChar"/>
          <w:rFonts w:eastAsiaTheme="minorHAnsi"/>
          <w:rtl/>
        </w:rPr>
        <w:t>صلى‌الله‌عليه‌وآله</w:t>
      </w:r>
      <w:r w:rsidRPr="00132E65">
        <w:rPr>
          <w:rtl/>
          <w:lang w:bidi="fa-IR"/>
        </w:rPr>
        <w:t xml:space="preserve"> يَقْسِمُ صَدَقَاتِ الْبَوَادِي فِي الْبَوَادِي ، و</w:t>
      </w:r>
      <w:r w:rsidR="000B2B62">
        <w:rPr>
          <w:rFonts w:hint="cs"/>
          <w:rtl/>
          <w:lang w:bidi="fa-IR"/>
        </w:rPr>
        <w:t>َ</w:t>
      </w:r>
      <w:r w:rsidRPr="00132E65">
        <w:rPr>
          <w:rtl/>
          <w:lang w:bidi="fa-IR"/>
        </w:rPr>
        <w:t>صَدَقَاتِ أَهْلِ الْحَضَرِ فِي أَهْلِ الْحَضَرِ ، و</w:t>
      </w:r>
      <w:r w:rsidR="000B2B62">
        <w:rPr>
          <w:rFonts w:hint="cs"/>
          <w:rtl/>
          <w:lang w:bidi="fa-IR"/>
        </w:rPr>
        <w:t>َ</w:t>
      </w:r>
      <w:r w:rsidRPr="00132E65">
        <w:rPr>
          <w:rtl/>
          <w:lang w:bidi="fa-IR"/>
        </w:rPr>
        <w:t xml:space="preserve">لَايَقْسِمُ بَيْنَهُمْ بِالسَّوِيَّةِ </w:t>
      </w:r>
      <w:r>
        <w:rPr>
          <w:rStyle w:val="libFootnotenumChar"/>
          <w:rtl/>
        </w:rPr>
        <w:t>(2)</w:t>
      </w:r>
      <w:r w:rsidRPr="00132E65">
        <w:rPr>
          <w:rtl/>
          <w:lang w:bidi="fa-IR"/>
        </w:rPr>
        <w:t xml:space="preserve"> عَلى ثَمَانِيَةٍ </w:t>
      </w:r>
      <w:r>
        <w:rPr>
          <w:rStyle w:val="libFootnotenumChar"/>
          <w:rtl/>
        </w:rPr>
        <w:t>(3)</w:t>
      </w:r>
      <w:r w:rsidRPr="00132E65">
        <w:rPr>
          <w:rtl/>
          <w:lang w:bidi="fa-IR"/>
        </w:rPr>
        <w:t xml:space="preserve"> حَتّى يُعْطِيَ أَهْلَ كُلِّ سَهْمٍ ثُمُناً ، و</w:t>
      </w:r>
      <w:r w:rsidR="000B2B62">
        <w:rPr>
          <w:rFonts w:hint="cs"/>
          <w:rtl/>
          <w:lang w:bidi="fa-IR"/>
        </w:rPr>
        <w:t>َ</w:t>
      </w:r>
      <w:r w:rsidRPr="00132E65">
        <w:rPr>
          <w:rtl/>
          <w:lang w:bidi="fa-IR"/>
        </w:rPr>
        <w:t xml:space="preserve">لكِنْ يَقْسِمُهَا </w:t>
      </w:r>
      <w:r>
        <w:rPr>
          <w:rStyle w:val="libFootnotenumChar"/>
          <w:rtl/>
        </w:rPr>
        <w:t>(4)</w:t>
      </w:r>
      <w:r w:rsidRPr="00132E65">
        <w:rPr>
          <w:rtl/>
          <w:lang w:bidi="fa-IR"/>
        </w:rPr>
        <w:t xml:space="preserve"> عَلى قَدْرِ مَنْ يَحْضُرُهُ مِنْ أَصْنَافِ </w:t>
      </w:r>
      <w:r>
        <w:rPr>
          <w:rStyle w:val="libFootnotenumChar"/>
          <w:rtl/>
        </w:rPr>
        <w:t>(5)</w:t>
      </w:r>
      <w:r w:rsidRPr="00132E65">
        <w:rPr>
          <w:rtl/>
          <w:lang w:bidi="fa-IR"/>
        </w:rPr>
        <w:t xml:space="preserve"> الثَّمَانِيَةِ عَلى قَدْرِ مَا يُقِيمُ </w:t>
      </w:r>
      <w:r>
        <w:rPr>
          <w:rStyle w:val="libFootnotenumChar"/>
          <w:rtl/>
        </w:rPr>
        <w:t>(6)</w:t>
      </w:r>
      <w:r w:rsidRPr="00132E65">
        <w:rPr>
          <w:rtl/>
          <w:lang w:bidi="fa-IR"/>
        </w:rPr>
        <w:t xml:space="preserve"> كُلَّ صِنْفٍ مِنْهُمْ </w:t>
      </w:r>
      <w:r>
        <w:rPr>
          <w:rStyle w:val="libFootnotenumChar"/>
          <w:rtl/>
        </w:rPr>
        <w:t>(7)</w:t>
      </w:r>
      <w:r w:rsidRPr="00132E65">
        <w:rPr>
          <w:rtl/>
          <w:lang w:bidi="fa-IR"/>
        </w:rPr>
        <w:t xml:space="preserve"> يُقَدِّرُ </w:t>
      </w:r>
      <w:r>
        <w:rPr>
          <w:rStyle w:val="libFootnotenumChar"/>
          <w:rtl/>
        </w:rPr>
        <w:t>(8)</w:t>
      </w:r>
      <w:r w:rsidRPr="00132E65">
        <w:rPr>
          <w:rtl/>
          <w:lang w:bidi="fa-IR"/>
        </w:rPr>
        <w:t xml:space="preserve"> لِسَنَتِهِ </w:t>
      </w:r>
      <w:r>
        <w:rPr>
          <w:rStyle w:val="libFootnotenumChar"/>
          <w:rtl/>
        </w:rPr>
        <w:t>(9)</w:t>
      </w:r>
      <w:r w:rsidRPr="00132E65">
        <w:rPr>
          <w:rtl/>
          <w:lang w:bidi="fa-IR"/>
        </w:rPr>
        <w:t xml:space="preserve"> ، لَيْسَ فِي ذلِكَ شَيْ‌ءٌ مَوْقُوتٌ </w:t>
      </w:r>
      <w:r>
        <w:rPr>
          <w:rStyle w:val="libFootnotenumChar"/>
          <w:rtl/>
        </w:rPr>
        <w:t>(10)</w:t>
      </w:r>
      <w:r w:rsidRPr="00132E65">
        <w:rPr>
          <w:rtl/>
          <w:lang w:bidi="fa-IR"/>
        </w:rPr>
        <w:t xml:space="preserve"> و</w:t>
      </w:r>
      <w:r w:rsidR="000B2B62">
        <w:rPr>
          <w:rFonts w:hint="cs"/>
          <w:rtl/>
          <w:lang w:bidi="fa-IR"/>
        </w:rPr>
        <w:t>َ</w:t>
      </w:r>
      <w:r w:rsidRPr="00132E65">
        <w:rPr>
          <w:rtl/>
          <w:lang w:bidi="fa-IR"/>
        </w:rPr>
        <w:t xml:space="preserve">لَامُسَمًّى وَلَامُؤَلَّفٌ </w:t>
      </w:r>
      <w:r>
        <w:rPr>
          <w:rStyle w:val="libFootnotenumChar"/>
          <w:rtl/>
        </w:rPr>
        <w:t>(11)</w:t>
      </w:r>
      <w:r w:rsidRPr="00132E65">
        <w:rPr>
          <w:rtl/>
          <w:lang w:bidi="fa-IR"/>
        </w:rPr>
        <w:t xml:space="preserve"> ، إِنَّمَا يَضَعُ </w:t>
      </w:r>
      <w:r>
        <w:rPr>
          <w:rStyle w:val="libFootnotenumChar"/>
          <w:rtl/>
        </w:rPr>
        <w:t>(12)</w:t>
      </w:r>
      <w:r w:rsidRPr="00132E65">
        <w:rPr>
          <w:rtl/>
          <w:lang w:bidi="fa-IR"/>
        </w:rPr>
        <w:t xml:space="preserve"> ذلِكَ عَلى قَدْرِ مَا يَرى و</w:t>
      </w:r>
      <w:r w:rsidR="000B2B62">
        <w:rPr>
          <w:rFonts w:hint="cs"/>
          <w:rtl/>
          <w:lang w:bidi="fa-IR"/>
        </w:rPr>
        <w:t>َ</w:t>
      </w:r>
      <w:r w:rsidRPr="00132E65">
        <w:rPr>
          <w:rtl/>
          <w:lang w:bidi="fa-IR"/>
        </w:rPr>
        <w:t xml:space="preserve">مَا يَحْضُرُهُ حَتّى يَسُدَّ كُلَّ </w:t>
      </w:r>
      <w:r w:rsidRPr="00F543F1">
        <w:rPr>
          <w:rStyle w:val="libFootnotenumChar"/>
          <w:rtl/>
        </w:rPr>
        <w:t>(13)</w:t>
      </w:r>
      <w:r w:rsidRPr="00132E65">
        <w:rPr>
          <w:rtl/>
          <w:lang w:bidi="fa-IR"/>
        </w:rPr>
        <w:t xml:space="preserve"> فَاقَةِ كُلِّ قَوْمٍ مِنْهُمْ ، و</w:t>
      </w:r>
      <w:r w:rsidR="000B2B62">
        <w:rPr>
          <w:rFonts w:hint="cs"/>
          <w:rtl/>
          <w:lang w:bidi="fa-IR"/>
        </w:rPr>
        <w:t>َ</w:t>
      </w:r>
      <w:r w:rsidRPr="00132E65">
        <w:rPr>
          <w:rtl/>
          <w:lang w:bidi="fa-IR"/>
        </w:rPr>
        <w:t xml:space="preserve">إِنْ فَضَلَ مِنْ </w:t>
      </w:r>
      <w:r w:rsidRPr="00F543F1">
        <w:rPr>
          <w:rStyle w:val="libFootnotenumChar"/>
          <w:rtl/>
        </w:rPr>
        <w:t>(14)</w:t>
      </w:r>
      <w:r w:rsidRPr="00132E65">
        <w:rPr>
          <w:rtl/>
          <w:lang w:bidi="fa-IR"/>
        </w:rPr>
        <w:t xml:space="preserve"> ذلِكَ فَضْلٌ ، عَرَضُوا الْمَالَ جُمْلَةً </w:t>
      </w:r>
      <w:r w:rsidRPr="00F543F1">
        <w:rPr>
          <w:rStyle w:val="libFootnotenumChar"/>
          <w:rtl/>
        </w:rPr>
        <w:t>(15)</w:t>
      </w:r>
      <w:r w:rsidRPr="00132E65">
        <w:rPr>
          <w:rtl/>
          <w:lang w:bidi="fa-IR"/>
        </w:rPr>
        <w:t xml:space="preserve"> إِلى </w:t>
      </w:r>
      <w:r w:rsidRPr="00F543F1">
        <w:rPr>
          <w:rStyle w:val="libFootnotenumChar"/>
          <w:rtl/>
        </w:rPr>
        <w:t>(16)</w:t>
      </w:r>
      <w:r w:rsidRPr="00132E65">
        <w:rPr>
          <w:rtl/>
          <w:lang w:bidi="fa-IR"/>
        </w:rPr>
        <w:t xml:space="preserve"> غَيْرِهِمْ.</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0B2B62">
        <w:rPr>
          <w:rtl/>
        </w:rPr>
        <w:t>الوافي</w:t>
      </w:r>
      <w:r w:rsidRPr="00132E65">
        <w:rPr>
          <w:rtl/>
        </w:rPr>
        <w:t xml:space="preserve"> والتهذيب ، ج 4 ، ص 128 : « وقال »</w:t>
      </w:r>
      <w:r>
        <w:rPr>
          <w:rtl/>
        </w:rPr>
        <w:t>.</w:t>
      </w:r>
    </w:p>
    <w:tbl>
      <w:tblPr>
        <w:tblStyle w:val="TableGrid"/>
        <w:bidiVisual/>
        <w:tblW w:w="0" w:type="auto"/>
        <w:tblLook w:val="04A0" w:firstRow="1" w:lastRow="0" w:firstColumn="1" w:lastColumn="0" w:noHBand="0" w:noVBand="1"/>
      </w:tblPr>
      <w:tblGrid>
        <w:gridCol w:w="4261"/>
        <w:gridCol w:w="4262"/>
      </w:tblGrid>
      <w:tr w:rsidR="000B2B62" w:rsidTr="000B2B62">
        <w:tc>
          <w:tcPr>
            <w:tcW w:w="4261" w:type="dxa"/>
          </w:tcPr>
          <w:p w:rsidR="000B2B62" w:rsidRDefault="000B2B62" w:rsidP="000C39D1">
            <w:pPr>
              <w:pStyle w:val="libFootnote0"/>
              <w:rPr>
                <w:rtl/>
              </w:rPr>
            </w:pPr>
            <w:r>
              <w:rPr>
                <w:rtl/>
              </w:rPr>
              <w:t>(2).</w:t>
            </w:r>
            <w:r w:rsidRPr="00132E65">
              <w:rPr>
                <w:rtl/>
              </w:rPr>
              <w:t xml:space="preserve"> في شرح المازندراني : « بالتسوية »</w:t>
            </w:r>
            <w:r>
              <w:rPr>
                <w:rtl/>
              </w:rPr>
              <w:t>.</w:t>
            </w:r>
          </w:p>
        </w:tc>
        <w:tc>
          <w:tcPr>
            <w:tcW w:w="4262" w:type="dxa"/>
          </w:tcPr>
          <w:p w:rsidR="000B2B62" w:rsidRDefault="000B2B62" w:rsidP="000C39D1">
            <w:pPr>
              <w:pStyle w:val="libFootnote0"/>
              <w:rPr>
                <w:rtl/>
              </w:rPr>
            </w:pPr>
            <w:r>
              <w:rPr>
                <w:rtl/>
              </w:rPr>
              <w:t>(3).</w:t>
            </w:r>
            <w:r w:rsidRPr="00132E65">
              <w:rPr>
                <w:rtl/>
              </w:rPr>
              <w:t xml:space="preserve"> في « ف » والتهذيب ، ح 366 :</w:t>
            </w:r>
            <w:r>
              <w:rPr>
                <w:rtl/>
              </w:rPr>
              <w:t xml:space="preserve"> + </w:t>
            </w:r>
            <w:r w:rsidRPr="00132E65">
              <w:rPr>
                <w:rtl/>
              </w:rPr>
              <w:t>« أسهم »</w:t>
            </w:r>
            <w:r>
              <w:rPr>
                <w:rtl/>
              </w:rPr>
              <w:t>.</w:t>
            </w:r>
          </w:p>
        </w:tc>
      </w:tr>
      <w:tr w:rsidR="000B2B62" w:rsidTr="000B2B62">
        <w:tc>
          <w:tcPr>
            <w:tcW w:w="4261" w:type="dxa"/>
          </w:tcPr>
          <w:p w:rsidR="000B2B62" w:rsidRDefault="000B2B62" w:rsidP="000C39D1">
            <w:pPr>
              <w:pStyle w:val="libFootnote0"/>
              <w:rPr>
                <w:rtl/>
              </w:rPr>
            </w:pPr>
            <w:r>
              <w:rPr>
                <w:rtl/>
              </w:rPr>
              <w:t>(4).</w:t>
            </w:r>
            <w:r w:rsidRPr="00132E65">
              <w:rPr>
                <w:rtl/>
              </w:rPr>
              <w:t xml:space="preserve"> يجوز فيه التخفيف والتشديد.</w:t>
            </w:r>
          </w:p>
        </w:tc>
        <w:tc>
          <w:tcPr>
            <w:tcW w:w="4262" w:type="dxa"/>
          </w:tcPr>
          <w:p w:rsidR="000B2B62" w:rsidRDefault="000B2B62" w:rsidP="000C39D1">
            <w:pPr>
              <w:pStyle w:val="libFootnote0"/>
              <w:rPr>
                <w:rtl/>
              </w:rPr>
            </w:pPr>
            <w:r>
              <w:rPr>
                <w:rtl/>
              </w:rPr>
              <w:t>(5).</w:t>
            </w:r>
            <w:r w:rsidRPr="00132E65">
              <w:rPr>
                <w:rtl/>
              </w:rPr>
              <w:t xml:space="preserve"> في </w:t>
            </w:r>
            <w:r w:rsidRPr="000B2B62">
              <w:rPr>
                <w:rtl/>
              </w:rPr>
              <w:t>الوافي</w:t>
            </w:r>
            <w:r w:rsidRPr="00132E65">
              <w:rPr>
                <w:rtl/>
              </w:rPr>
              <w:t xml:space="preserve"> : « الأصناف »</w:t>
            </w:r>
            <w:r>
              <w:rPr>
                <w:rtl/>
              </w:rPr>
              <w:t>.</w:t>
            </w:r>
          </w:p>
        </w:tc>
      </w:tr>
      <w:tr w:rsidR="000B2B62" w:rsidTr="000B2B62">
        <w:tc>
          <w:tcPr>
            <w:tcW w:w="4261" w:type="dxa"/>
          </w:tcPr>
          <w:p w:rsidR="000B2B62" w:rsidRDefault="000B2B62" w:rsidP="000C39D1">
            <w:pPr>
              <w:pStyle w:val="libFootnote0"/>
              <w:rPr>
                <w:rtl/>
              </w:rPr>
            </w:pPr>
            <w:r>
              <w:rPr>
                <w:rtl/>
              </w:rPr>
              <w:t>(6).</w:t>
            </w:r>
            <w:r w:rsidRPr="00132E65">
              <w:rPr>
                <w:rtl/>
              </w:rPr>
              <w:t xml:space="preserve"> في التهذيب : « ما يغني »</w:t>
            </w:r>
            <w:r>
              <w:rPr>
                <w:rtl/>
              </w:rPr>
              <w:t>.</w:t>
            </w:r>
          </w:p>
        </w:tc>
        <w:tc>
          <w:tcPr>
            <w:tcW w:w="4262" w:type="dxa"/>
          </w:tcPr>
          <w:p w:rsidR="000B2B62" w:rsidRDefault="000B2B62" w:rsidP="000C39D1">
            <w:pPr>
              <w:pStyle w:val="libFootnote0"/>
              <w:rPr>
                <w:rtl/>
              </w:rPr>
            </w:pPr>
            <w:r>
              <w:rPr>
                <w:rtl/>
              </w:rPr>
              <w:t>(7).</w:t>
            </w:r>
            <w:r w:rsidRPr="00132E65">
              <w:rPr>
                <w:rtl/>
              </w:rPr>
              <w:t xml:space="preserve"> في « ض » </w:t>
            </w:r>
            <w:r>
              <w:rPr>
                <w:rtl/>
              </w:rPr>
              <w:t xml:space="preserve">: - </w:t>
            </w:r>
            <w:r w:rsidRPr="00132E65">
              <w:rPr>
                <w:rtl/>
              </w:rPr>
              <w:t>« منهم »</w:t>
            </w:r>
            <w:r>
              <w:rPr>
                <w:rtl/>
              </w:rPr>
              <w:t>.</w:t>
            </w:r>
          </w:p>
        </w:tc>
      </w:tr>
      <w:tr w:rsidR="000B2B62" w:rsidTr="000B2B62">
        <w:tc>
          <w:tcPr>
            <w:tcW w:w="4261" w:type="dxa"/>
          </w:tcPr>
          <w:p w:rsidR="000B2B62" w:rsidRDefault="000B2B62" w:rsidP="000C39D1">
            <w:pPr>
              <w:pStyle w:val="libFootnote0"/>
              <w:rPr>
                <w:rtl/>
              </w:rPr>
            </w:pPr>
            <w:r>
              <w:rPr>
                <w:rtl/>
              </w:rPr>
              <w:t>(8).</w:t>
            </w:r>
            <w:r w:rsidRPr="00132E65">
              <w:rPr>
                <w:rtl/>
              </w:rPr>
              <w:t xml:space="preserve"> في التهذيب : « بقدره »</w:t>
            </w:r>
            <w:r>
              <w:rPr>
                <w:rtl/>
              </w:rPr>
              <w:t>.</w:t>
            </w:r>
          </w:p>
        </w:tc>
        <w:tc>
          <w:tcPr>
            <w:tcW w:w="4262" w:type="dxa"/>
          </w:tcPr>
          <w:p w:rsidR="000B2B62" w:rsidRDefault="000B2B62" w:rsidP="000C39D1">
            <w:pPr>
              <w:pStyle w:val="libFootnote0"/>
              <w:rPr>
                <w:rtl/>
              </w:rPr>
            </w:pPr>
            <w:r>
              <w:rPr>
                <w:rtl/>
              </w:rPr>
              <w:t>(9).</w:t>
            </w:r>
            <w:r w:rsidRPr="00132E65">
              <w:rPr>
                <w:rtl/>
              </w:rPr>
              <w:t xml:space="preserve"> في « ف » : « بقدر السنة »</w:t>
            </w:r>
            <w:r>
              <w:rPr>
                <w:rtl/>
              </w:rPr>
              <w:t>.</w:t>
            </w:r>
          </w:p>
        </w:tc>
      </w:tr>
    </w:tbl>
    <w:p w:rsidR="000C39D1" w:rsidRPr="00132E65" w:rsidRDefault="000C39D1" w:rsidP="000C39D1">
      <w:pPr>
        <w:pStyle w:val="libFootnote0"/>
        <w:rPr>
          <w:rtl/>
          <w:lang w:bidi="fa-IR"/>
        </w:rPr>
      </w:pPr>
      <w:r>
        <w:rPr>
          <w:rtl/>
        </w:rPr>
        <w:t>(10).</w:t>
      </w:r>
      <w:r w:rsidRPr="00132E65">
        <w:rPr>
          <w:rtl/>
        </w:rPr>
        <w:t xml:space="preserve"> في « ف ، بر » : « موقوف »</w:t>
      </w:r>
      <w:r>
        <w:rPr>
          <w:rtl/>
        </w:rPr>
        <w:t>.</w:t>
      </w:r>
      <w:r w:rsidRPr="00132E65">
        <w:rPr>
          <w:rtl/>
        </w:rPr>
        <w:t xml:space="preserve"> وفي « بس » والتهذيب ، ح 366 : « موقّت »</w:t>
      </w:r>
      <w:r>
        <w:rPr>
          <w:rtl/>
        </w:rPr>
        <w:t>.</w:t>
      </w:r>
      <w:r w:rsidRPr="00132E65">
        <w:rPr>
          <w:rtl/>
        </w:rPr>
        <w:t xml:space="preserve"> وشي‌ء مَوقوت وموقّت : محدود. أي لايكون لأدائه إلى الفقير وقت معيّن ، أو لايكون له قدر معيّن بالتعيين النوعي ؛ فالمسمّي المعيّن بالتعيين الشخصي. راجع : </w:t>
      </w:r>
      <w:r w:rsidRPr="009D1ACE">
        <w:rPr>
          <w:rStyle w:val="libFootnoteBoldChar"/>
          <w:rtl/>
        </w:rPr>
        <w:t>مرآة العقول</w:t>
      </w:r>
      <w:r w:rsidRPr="00132E65">
        <w:rPr>
          <w:rtl/>
        </w:rPr>
        <w:t xml:space="preserve"> ، ج 6 ، ص 266 ؛ </w:t>
      </w:r>
      <w:r w:rsidRPr="000B2B62">
        <w:rPr>
          <w:rStyle w:val="libFootnoteBoldChar"/>
          <w:rtl/>
        </w:rPr>
        <w:t>وأساس البلاغة</w:t>
      </w:r>
      <w:r w:rsidRPr="00406B0F">
        <w:rPr>
          <w:rtl/>
        </w:rPr>
        <w:t xml:space="preserve"> </w:t>
      </w:r>
      <w:r w:rsidRPr="00132E65">
        <w:rPr>
          <w:rtl/>
        </w:rPr>
        <w:t>، ص 506 ( وقت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9D1ACE">
        <w:rPr>
          <w:rStyle w:val="libFootnoteBoldChar"/>
          <w:rtl/>
        </w:rPr>
        <w:t>الوافي</w:t>
      </w:r>
      <w:r w:rsidRPr="00132E65">
        <w:rPr>
          <w:rtl/>
        </w:rPr>
        <w:t xml:space="preserve"> : « مؤلّف ، بفتح اللام : معهود ؛ من الإيلاف بمعنى العهد ، كما في التنزيل : </w:t>
      </w:r>
      <w:r w:rsidRPr="00071CF9">
        <w:rPr>
          <w:rStyle w:val="libAlaemChar"/>
          <w:rtl/>
        </w:rPr>
        <w:t>(</w:t>
      </w:r>
      <w:r>
        <w:rPr>
          <w:rFonts w:hint="cs"/>
          <w:rtl/>
        </w:rPr>
        <w:t xml:space="preserve"> </w:t>
      </w:r>
      <w:r w:rsidRPr="00C2691A">
        <w:rPr>
          <w:rStyle w:val="libFootnoteAieChar"/>
          <w:rtl/>
        </w:rPr>
        <w:t>لِإِيل</w:t>
      </w:r>
      <w:r w:rsidR="000B2B62">
        <w:rPr>
          <w:rStyle w:val="libFootnoteAieChar"/>
          <w:rFonts w:hint="cs"/>
          <w:rtl/>
        </w:rPr>
        <w:t>َ</w:t>
      </w:r>
      <w:r w:rsidRPr="00C2691A">
        <w:rPr>
          <w:rStyle w:val="libFootnoteAieChar"/>
          <w:rtl/>
        </w:rPr>
        <w:t>افِ قُرَيْشٍ</w:t>
      </w:r>
      <w:r>
        <w:rPr>
          <w:rFonts w:hint="cs"/>
          <w:rtl/>
        </w:rPr>
        <w:t xml:space="preserve"> </w:t>
      </w:r>
      <w:r w:rsidRPr="00071CF9">
        <w:rPr>
          <w:rStyle w:val="libAlaemChar"/>
          <w:rtl/>
        </w:rPr>
        <w:t>)</w:t>
      </w:r>
      <w:r w:rsidRPr="00132E65">
        <w:rPr>
          <w:rtl/>
        </w:rPr>
        <w:t xml:space="preserve"> [ قريش (106) : 1 ] أي عهدهم »</w:t>
      </w:r>
      <w:r>
        <w:rPr>
          <w:rtl/>
        </w:rPr>
        <w:t>.</w:t>
      </w:r>
      <w:r w:rsidRPr="00132E65">
        <w:rPr>
          <w:rtl/>
        </w:rPr>
        <w:t xml:space="preserve"> وفي </w:t>
      </w:r>
      <w:r w:rsidRPr="000B2B62">
        <w:rPr>
          <w:rStyle w:val="libFootnoteBoldChar"/>
          <w:rtl/>
        </w:rPr>
        <w:t>المرآة</w:t>
      </w:r>
      <w:r w:rsidRPr="00132E65">
        <w:rPr>
          <w:rtl/>
        </w:rPr>
        <w:t xml:space="preserve"> : « ولامؤلّف ، أي لا شي‌ء مكتوب في الكتب. أو المراد بالمؤلّف المتشابه والمتناسب ؛ من الا</w:t>
      </w:r>
      <w:r w:rsidR="000B2B62">
        <w:rPr>
          <w:rFonts w:hint="cs"/>
          <w:rtl/>
        </w:rPr>
        <w:t>ُ</w:t>
      </w:r>
      <w:r w:rsidRPr="00132E65">
        <w:rPr>
          <w:rtl/>
        </w:rPr>
        <w:t>لفة ، أي لايكون عطاء آحاد كلّ صنف متناسباً متشابهاً »</w:t>
      </w:r>
      <w:r>
        <w:rPr>
          <w:rtl/>
        </w:rPr>
        <w:t>.</w:t>
      </w:r>
    </w:p>
    <w:p w:rsidR="000C39D1" w:rsidRPr="00132E65" w:rsidRDefault="000C39D1" w:rsidP="000C39D1">
      <w:pPr>
        <w:pStyle w:val="libFootnote0"/>
        <w:rPr>
          <w:rtl/>
          <w:lang w:bidi="fa-IR"/>
        </w:rPr>
      </w:pPr>
      <w:r>
        <w:rPr>
          <w:rtl/>
        </w:rPr>
        <w:t>(12).</w:t>
      </w:r>
      <w:r w:rsidRPr="00132E65">
        <w:rPr>
          <w:rtl/>
        </w:rPr>
        <w:t xml:space="preserve"> في « ف » وحاشية « ج » والتهذيب ، ح 366 : « يصنع »</w:t>
      </w:r>
      <w:r>
        <w:rPr>
          <w:rtl/>
        </w:rPr>
        <w:t>.</w:t>
      </w:r>
    </w:p>
    <w:tbl>
      <w:tblPr>
        <w:tblStyle w:val="TableGrid"/>
        <w:bidiVisual/>
        <w:tblW w:w="0" w:type="auto"/>
        <w:tblLook w:val="04A0" w:firstRow="1" w:lastRow="0" w:firstColumn="1" w:lastColumn="0" w:noHBand="0" w:noVBand="1"/>
      </w:tblPr>
      <w:tblGrid>
        <w:gridCol w:w="4261"/>
        <w:gridCol w:w="4262"/>
      </w:tblGrid>
      <w:tr w:rsidR="000B2B62" w:rsidTr="000B2B62">
        <w:tc>
          <w:tcPr>
            <w:tcW w:w="4261" w:type="dxa"/>
          </w:tcPr>
          <w:p w:rsidR="000B2B62" w:rsidRDefault="000B2B62" w:rsidP="000C39D1">
            <w:pPr>
              <w:pStyle w:val="libFootnote0"/>
              <w:rPr>
                <w:rtl/>
              </w:rPr>
            </w:pPr>
            <w:r>
              <w:rPr>
                <w:rtl/>
              </w:rPr>
              <w:t>(13)</w:t>
            </w:r>
            <w:r w:rsidRPr="00132E65">
              <w:rPr>
                <w:rtl/>
              </w:rPr>
              <w:t xml:space="preserve"> في « ب ، ض ، بر » </w:t>
            </w:r>
            <w:r>
              <w:rPr>
                <w:rtl/>
              </w:rPr>
              <w:t xml:space="preserve">: - </w:t>
            </w:r>
            <w:r w:rsidRPr="00132E65">
              <w:rPr>
                <w:rtl/>
              </w:rPr>
              <w:t>« كلّ »</w:t>
            </w:r>
            <w:r>
              <w:rPr>
                <w:rtl/>
              </w:rPr>
              <w:t>.</w:t>
            </w:r>
          </w:p>
        </w:tc>
        <w:tc>
          <w:tcPr>
            <w:tcW w:w="4262" w:type="dxa"/>
          </w:tcPr>
          <w:p w:rsidR="000B2B62" w:rsidRDefault="000B2B62" w:rsidP="000C39D1">
            <w:pPr>
              <w:pStyle w:val="libFootnote0"/>
              <w:rPr>
                <w:rtl/>
              </w:rPr>
            </w:pPr>
            <w:r>
              <w:rPr>
                <w:rtl/>
              </w:rPr>
              <w:t>(14)</w:t>
            </w:r>
            <w:r w:rsidRPr="00132E65">
              <w:rPr>
                <w:rtl/>
              </w:rPr>
              <w:t xml:space="preserve"> في « ف » : « عن »</w:t>
            </w:r>
            <w:r>
              <w:rPr>
                <w:rtl/>
              </w:rPr>
              <w:t>.</w:t>
            </w:r>
          </w:p>
        </w:tc>
      </w:tr>
    </w:tbl>
    <w:p w:rsidR="000C39D1" w:rsidRPr="00132E65" w:rsidRDefault="000C39D1" w:rsidP="000C39D1">
      <w:pPr>
        <w:pStyle w:val="libFootnote0"/>
        <w:rPr>
          <w:rtl/>
          <w:lang w:bidi="fa-IR"/>
        </w:rPr>
      </w:pPr>
      <w:r>
        <w:rPr>
          <w:rtl/>
        </w:rPr>
        <w:t>(15)</w:t>
      </w:r>
      <w:r w:rsidRPr="00132E65">
        <w:rPr>
          <w:rtl/>
        </w:rPr>
        <w:t xml:space="preserve"> في </w:t>
      </w:r>
      <w:r w:rsidRPr="000B2B62">
        <w:rPr>
          <w:rtl/>
        </w:rPr>
        <w:t>الوافي</w:t>
      </w:r>
      <w:r w:rsidRPr="00132E65">
        <w:rPr>
          <w:rtl/>
        </w:rPr>
        <w:t xml:space="preserve"> والتهذيب ، ح 366 : « عن فقراء أهل المال حمله » بدل « عرضوا المال جملة »</w:t>
      </w:r>
      <w:r>
        <w:rPr>
          <w:rtl/>
        </w:rPr>
        <w:t>.</w:t>
      </w:r>
      <w:r w:rsidRPr="00132E65">
        <w:rPr>
          <w:rtl/>
        </w:rPr>
        <w:t xml:space="preserve"> وجعل في </w:t>
      </w:r>
      <w:r w:rsidRPr="009D1ACE">
        <w:rPr>
          <w:rStyle w:val="libFootnoteBoldChar"/>
          <w:rtl/>
        </w:rPr>
        <w:t>الوافي</w:t>
      </w:r>
      <w:r w:rsidRPr="00132E65">
        <w:rPr>
          <w:rtl/>
        </w:rPr>
        <w:t xml:space="preserve"> ما في المتن من التصحيف البيّن ، والمازندراني في شرحه بعد ما استظهر ما في </w:t>
      </w:r>
      <w:r w:rsidRPr="000B2B62">
        <w:rPr>
          <w:rStyle w:val="libFootnoteBoldChar"/>
          <w:rtl/>
        </w:rPr>
        <w:t>التهذيب</w:t>
      </w:r>
      <w:r w:rsidRPr="00132E65">
        <w:rPr>
          <w:rtl/>
        </w:rPr>
        <w:t xml:space="preserve"> قال : « والمآل واحد »</w:t>
      </w:r>
      <w:r>
        <w:rPr>
          <w:rtl/>
        </w:rPr>
        <w:t>.</w:t>
      </w:r>
    </w:p>
    <w:p w:rsidR="000C39D1" w:rsidRPr="00132E65" w:rsidRDefault="000C39D1" w:rsidP="000C39D1">
      <w:pPr>
        <w:pStyle w:val="libFootnote0"/>
        <w:rPr>
          <w:rtl/>
          <w:lang w:bidi="fa-IR"/>
        </w:rPr>
      </w:pPr>
      <w:r>
        <w:rPr>
          <w:rtl/>
        </w:rPr>
        <w:t>(16)</w:t>
      </w:r>
      <w:r w:rsidRPr="00132E65">
        <w:rPr>
          <w:rtl/>
        </w:rPr>
        <w:t xml:space="preserve"> في حاشية « ج » : « على »</w:t>
      </w:r>
      <w:r>
        <w:rPr>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وَالْأَنْفَالُ إِلَى الْوَالِي </w:t>
      </w:r>
      <w:r>
        <w:rPr>
          <w:rStyle w:val="libFootnotenumChar"/>
          <w:rtl/>
        </w:rPr>
        <w:t>(1)</w:t>
      </w:r>
      <w:r w:rsidRPr="00132E65">
        <w:rPr>
          <w:rtl/>
          <w:lang w:bidi="fa-IR"/>
        </w:rPr>
        <w:t xml:space="preserve"> ، و</w:t>
      </w:r>
      <w:r w:rsidR="000B2B62">
        <w:rPr>
          <w:rFonts w:hint="cs"/>
          <w:rtl/>
          <w:lang w:bidi="fa-IR"/>
        </w:rPr>
        <w:t>َ</w:t>
      </w:r>
      <w:r w:rsidRPr="00132E65">
        <w:rPr>
          <w:rtl/>
          <w:lang w:bidi="fa-IR"/>
        </w:rPr>
        <w:t xml:space="preserve">كُلُّ أَرْضٍ فُتِحَتْ </w:t>
      </w:r>
      <w:r>
        <w:rPr>
          <w:rStyle w:val="libFootnotenumChar"/>
          <w:rtl/>
        </w:rPr>
        <w:t>(2)</w:t>
      </w:r>
      <w:r w:rsidRPr="00132E65">
        <w:rPr>
          <w:rtl/>
          <w:lang w:bidi="fa-IR"/>
        </w:rPr>
        <w:t xml:space="preserve"> أَيَّامَ النَّبِيِّ </w:t>
      </w:r>
      <w:r w:rsidRPr="0093484F">
        <w:rPr>
          <w:rStyle w:val="libAlaemChar"/>
          <w:rFonts w:eastAsiaTheme="minorHAnsi"/>
          <w:rtl/>
        </w:rPr>
        <w:t>صلى‌الله‌عليه‌وآله</w:t>
      </w:r>
      <w:r w:rsidRPr="00132E65">
        <w:rPr>
          <w:rtl/>
          <w:lang w:bidi="fa-IR"/>
        </w:rPr>
        <w:t xml:space="preserve"> إِلى آخِرِ الْأَبَدِ ، و</w:t>
      </w:r>
      <w:r w:rsidR="000B2B62">
        <w:rPr>
          <w:rFonts w:hint="cs"/>
          <w:rtl/>
          <w:lang w:bidi="fa-IR"/>
        </w:rPr>
        <w:t>َ</w:t>
      </w:r>
      <w:r>
        <w:rPr>
          <w:rFonts w:hint="cs"/>
          <w:rtl/>
          <w:lang w:bidi="fa-IR"/>
        </w:rPr>
        <w:t xml:space="preserve"> </w:t>
      </w:r>
      <w:r>
        <w:rPr>
          <w:rStyle w:val="libFootnotenumChar"/>
          <w:rtl/>
        </w:rPr>
        <w:t>(3)</w:t>
      </w:r>
      <w:r w:rsidRPr="00132E65">
        <w:rPr>
          <w:rtl/>
          <w:lang w:bidi="fa-IR"/>
        </w:rPr>
        <w:t xml:space="preserve"> مَا كَانَ افْتِتَاحاً بِدَعْوَةِ أَهْلِ الْجَوْرِ و</w:t>
      </w:r>
      <w:r w:rsidR="00FC4BDC">
        <w:rPr>
          <w:rFonts w:hint="cs"/>
          <w:rtl/>
          <w:lang w:bidi="fa-IR"/>
        </w:rPr>
        <w:t>َ</w:t>
      </w:r>
      <w:r w:rsidRPr="00132E65">
        <w:rPr>
          <w:rtl/>
          <w:lang w:bidi="fa-IR"/>
        </w:rPr>
        <w:t xml:space="preserve">أَهْلِ الْعَدْلِ </w:t>
      </w:r>
      <w:r>
        <w:rPr>
          <w:rStyle w:val="libFootnotenumChar"/>
          <w:rtl/>
        </w:rPr>
        <w:t>(4)</w:t>
      </w:r>
      <w:r w:rsidRPr="00132E65">
        <w:rPr>
          <w:rtl/>
          <w:lang w:bidi="fa-IR"/>
        </w:rPr>
        <w:t xml:space="preserve"> ؛ لِأَنَّ ذِمَّةَ رَسُولِ اللهِ </w:t>
      </w:r>
      <w:r w:rsidRPr="0093484F">
        <w:rPr>
          <w:rStyle w:val="libAlaemChar"/>
          <w:rFonts w:eastAsiaTheme="minorHAnsi"/>
          <w:rtl/>
        </w:rPr>
        <w:t>صلى‌الله‌عليه‌وآله</w:t>
      </w:r>
      <w:r w:rsidRPr="00132E65">
        <w:rPr>
          <w:rtl/>
          <w:lang w:bidi="fa-IR"/>
        </w:rPr>
        <w:t xml:space="preserve"> فِي الْأَوَّلِينَ والْآخِرِينَ ذِمَّةٌ و</w:t>
      </w:r>
      <w:r w:rsidR="00FC4BDC">
        <w:rPr>
          <w:rFonts w:hint="cs"/>
          <w:rtl/>
          <w:lang w:bidi="fa-IR"/>
        </w:rPr>
        <w:t>َ</w:t>
      </w:r>
      <w:r w:rsidRPr="00132E65">
        <w:rPr>
          <w:rtl/>
          <w:lang w:bidi="fa-IR"/>
        </w:rPr>
        <w:t xml:space="preserve">احِدَةٌ ؛ لِأَنَّ رَسُولَ اللهِ </w:t>
      </w:r>
      <w:r w:rsidRPr="0093484F">
        <w:rPr>
          <w:rStyle w:val="libAlaemChar"/>
          <w:rFonts w:eastAsiaTheme="minorHAnsi"/>
          <w:rtl/>
        </w:rPr>
        <w:t>صلى‌الله‌عليه‌وآله</w:t>
      </w:r>
      <w:r w:rsidRPr="00132E65">
        <w:rPr>
          <w:rtl/>
          <w:lang w:bidi="fa-IR"/>
        </w:rPr>
        <w:t xml:space="preserve"> قَالَ : الْمُسْلِمُونَ إِخْوَةٌ تَتَكَافى </w:t>
      </w:r>
      <w:r>
        <w:rPr>
          <w:rStyle w:val="libFootnotenumChar"/>
          <w:rtl/>
        </w:rPr>
        <w:t>(5)</w:t>
      </w:r>
      <w:r w:rsidRPr="00132E65">
        <w:rPr>
          <w:rtl/>
          <w:lang w:bidi="fa-IR"/>
        </w:rPr>
        <w:t xml:space="preserve"> دِمَاؤُهُمْ ، و</w:t>
      </w:r>
      <w:r w:rsidR="00FC4BDC">
        <w:rPr>
          <w:rFonts w:hint="cs"/>
          <w:rtl/>
          <w:lang w:bidi="fa-IR"/>
        </w:rPr>
        <w:t>َ</w:t>
      </w:r>
      <w:r>
        <w:rPr>
          <w:rFonts w:hint="cs"/>
          <w:rtl/>
          <w:lang w:bidi="fa-IR"/>
        </w:rPr>
        <w:t xml:space="preserve"> </w:t>
      </w:r>
      <w:r>
        <w:rPr>
          <w:rStyle w:val="libFootnotenumChar"/>
          <w:rtl/>
        </w:rPr>
        <w:t>(6)</w:t>
      </w:r>
      <w:r w:rsidRPr="00132E65">
        <w:rPr>
          <w:rtl/>
          <w:lang w:bidi="fa-IR"/>
        </w:rPr>
        <w:t xml:space="preserve"> يَسْعى بِذِمَّتِهِمْ أَدْنَاهُمْ </w:t>
      </w:r>
      <w:r>
        <w:rPr>
          <w:rStyle w:val="libFootnotenumChar"/>
          <w:rtl/>
        </w:rPr>
        <w:t>(7)</w:t>
      </w:r>
    </w:p>
    <w:p w:rsidR="000C39D1" w:rsidRPr="00132E65" w:rsidRDefault="000C39D1" w:rsidP="000C39D1">
      <w:pPr>
        <w:pStyle w:val="libNormal"/>
        <w:rPr>
          <w:rtl/>
          <w:lang w:bidi="fa-IR"/>
        </w:rPr>
      </w:pPr>
      <w:r w:rsidRPr="00132E65">
        <w:rPr>
          <w:rtl/>
          <w:lang w:bidi="fa-IR"/>
        </w:rPr>
        <w:t xml:space="preserve">وَلَيْسَ فِي مَالِ الْخُمُسِ زَكَاةٌ ؛ لِأَنَّ فُقَرَاءَ النَّاسِ جُعِلَ أَرْزَاقُهُمْ فِي أَمْوَالِ النَّاسِ عَلى ثَمَانِيَةِ أَسْهُمٍ ، فَلَمْ يَبْقَ مِنْهُمْ </w:t>
      </w:r>
      <w:r>
        <w:rPr>
          <w:rStyle w:val="libFootnotenumChar"/>
          <w:rtl/>
        </w:rPr>
        <w:t>(8)</w:t>
      </w:r>
      <w:r w:rsidRPr="00132E65">
        <w:rPr>
          <w:rtl/>
          <w:lang w:bidi="fa-IR"/>
        </w:rPr>
        <w:t xml:space="preserve"> أَحَدٌ ، و</w:t>
      </w:r>
      <w:r w:rsidR="00FC4BDC">
        <w:rPr>
          <w:rFonts w:hint="cs"/>
          <w:rtl/>
          <w:lang w:bidi="fa-IR"/>
        </w:rPr>
        <w:t>َ</w:t>
      </w:r>
      <w:r w:rsidRPr="00132E65">
        <w:rPr>
          <w:rtl/>
          <w:lang w:bidi="fa-IR"/>
        </w:rPr>
        <w:t xml:space="preserve">جَعَلَ لِلْفُقَرَاءِ </w:t>
      </w:r>
      <w:r>
        <w:rPr>
          <w:rStyle w:val="libFootnotenumChar"/>
          <w:rtl/>
        </w:rPr>
        <w:t>(9)</w:t>
      </w:r>
      <w:r w:rsidRPr="00132E65">
        <w:rPr>
          <w:rtl/>
          <w:lang w:bidi="fa-IR"/>
        </w:rPr>
        <w:t xml:space="preserve"> قَرَابَةِ الرَّسُولِ </w:t>
      </w:r>
      <w:r w:rsidRPr="0093484F">
        <w:rPr>
          <w:rStyle w:val="libAlaemChar"/>
          <w:rFonts w:eastAsiaTheme="minorHAnsi"/>
          <w:rtl/>
        </w:rPr>
        <w:t>صلى‌الله‌عليه‌وآله</w:t>
      </w:r>
      <w:r w:rsidRPr="00132E65">
        <w:rPr>
          <w:rtl/>
          <w:lang w:bidi="fa-IR"/>
        </w:rPr>
        <w:t xml:space="preserve"> نِصْفَ الْخُمُسِ ، فَأَغْنَاهُمْ بِهِ عَنْ صَدَقَاتِ النَّاسِ و</w:t>
      </w:r>
      <w:r w:rsidR="00FC4BDC">
        <w:rPr>
          <w:rFonts w:hint="cs"/>
          <w:rtl/>
          <w:lang w:bidi="fa-IR"/>
        </w:rPr>
        <w:t>َ</w:t>
      </w:r>
      <w:r w:rsidRPr="00132E65">
        <w:rPr>
          <w:rtl/>
          <w:lang w:bidi="fa-IR"/>
        </w:rPr>
        <w:t xml:space="preserve">صَدَقَاتِ النَّبِيِّ </w:t>
      </w:r>
      <w:r w:rsidRPr="0093484F">
        <w:rPr>
          <w:rStyle w:val="libAlaemChar"/>
          <w:rFonts w:eastAsiaTheme="minorHAnsi"/>
          <w:rtl/>
        </w:rPr>
        <w:t>صلى‌الله‌عليه‌وآله</w:t>
      </w:r>
      <w:r w:rsidRPr="00132E65">
        <w:rPr>
          <w:rtl/>
          <w:lang w:bidi="fa-IR"/>
        </w:rPr>
        <w:t xml:space="preserve"> و</w:t>
      </w:r>
      <w:r w:rsidR="00FC4BDC">
        <w:rPr>
          <w:rFonts w:hint="cs"/>
          <w:rtl/>
          <w:lang w:bidi="fa-IR"/>
        </w:rPr>
        <w:t xml:space="preserve">َ </w:t>
      </w:r>
      <w:r w:rsidR="00FC4BDC">
        <w:rPr>
          <w:rtl/>
          <w:lang w:bidi="fa-IR"/>
        </w:rPr>
        <w:t>و</w:t>
      </w:r>
      <w:r w:rsidR="00FC4BDC">
        <w:rPr>
          <w:rFonts w:hint="cs"/>
          <w:rtl/>
          <w:lang w:bidi="fa-IR"/>
        </w:rPr>
        <w:t>َ</w:t>
      </w:r>
      <w:r w:rsidRPr="00132E65">
        <w:rPr>
          <w:rtl/>
          <w:lang w:bidi="fa-IR"/>
        </w:rPr>
        <w:t>لِيِّ الْأَمْرِ ، فَلَمْ يَبْقَ فَقِيرٌ مِنْ فُقَرَاءِ النَّاسِ ، و</w:t>
      </w:r>
      <w:r w:rsidR="00FC4BDC">
        <w:rPr>
          <w:rFonts w:hint="cs"/>
          <w:rtl/>
          <w:lang w:bidi="fa-IR"/>
        </w:rPr>
        <w:t>َ</w:t>
      </w:r>
      <w:r w:rsidRPr="00132E65">
        <w:rPr>
          <w:rtl/>
          <w:lang w:bidi="fa-IR"/>
        </w:rPr>
        <w:t xml:space="preserve">لَمْ يَبْقَ فَقِيرٌ مِنْ فُقَرَاءِ قَرَابَةِ رَسُولِ اللهِ </w:t>
      </w:r>
      <w:r w:rsidRPr="0093484F">
        <w:rPr>
          <w:rStyle w:val="libAlaemChar"/>
          <w:rFonts w:eastAsiaTheme="minorHAnsi"/>
          <w:rtl/>
        </w:rPr>
        <w:t>صلى‌الله‌عليه‌وآله</w:t>
      </w:r>
      <w:r w:rsidR="00FC4BDC">
        <w:rPr>
          <w:rtl/>
          <w:lang w:bidi="fa-IR"/>
        </w:rPr>
        <w:t xml:space="preserve"> إِل</w:t>
      </w:r>
      <w:r w:rsidR="00FC4BDC">
        <w:rPr>
          <w:rFonts w:hint="cs"/>
          <w:rtl/>
          <w:lang w:bidi="fa-IR"/>
        </w:rPr>
        <w:t>َّ</w:t>
      </w:r>
      <w:r w:rsidR="00FC4BDC">
        <w:rPr>
          <w:rtl/>
          <w:lang w:bidi="fa-IR"/>
        </w:rPr>
        <w:t>ا</w:t>
      </w:r>
      <w:r w:rsidRPr="00132E65">
        <w:rPr>
          <w:rtl/>
          <w:lang w:bidi="fa-IR"/>
        </w:rPr>
        <w:t xml:space="preserve"> و</w:t>
      </w:r>
      <w:r w:rsidR="00FC4BDC">
        <w:rPr>
          <w:rFonts w:hint="cs"/>
          <w:rtl/>
          <w:lang w:bidi="fa-IR"/>
        </w:rPr>
        <w:t>َ</w:t>
      </w:r>
      <w:r w:rsidRPr="00132E65">
        <w:rPr>
          <w:rtl/>
          <w:lang w:bidi="fa-IR"/>
        </w:rPr>
        <w:t>قَدِ اسْتَغْنى ، فَلَا فَقِيرَ ، و</w:t>
      </w:r>
      <w:r w:rsidR="00FC4BDC">
        <w:rPr>
          <w:rFonts w:hint="cs"/>
          <w:rtl/>
          <w:lang w:bidi="fa-IR"/>
        </w:rPr>
        <w:t>َ</w:t>
      </w:r>
      <w:r w:rsidRPr="00132E65">
        <w:rPr>
          <w:rtl/>
          <w:lang w:bidi="fa-IR"/>
        </w:rPr>
        <w:t xml:space="preserve">لِذلِكَ لَمْ يَكُنْ عَلى مَالِ النَّبِيِّ </w:t>
      </w:r>
      <w:r w:rsidRPr="0093484F">
        <w:rPr>
          <w:rStyle w:val="libAlaemChar"/>
          <w:rFonts w:eastAsiaTheme="minorHAnsi"/>
          <w:rtl/>
        </w:rPr>
        <w:t>صلى‌الله‌عليه‌وآله</w:t>
      </w:r>
      <w:r w:rsidRPr="00132E65">
        <w:rPr>
          <w:rtl/>
          <w:lang w:bidi="fa-IR"/>
        </w:rPr>
        <w:t xml:space="preserve"> و</w:t>
      </w:r>
      <w:r w:rsidR="00FC4BDC">
        <w:rPr>
          <w:rFonts w:hint="cs"/>
          <w:rtl/>
          <w:lang w:bidi="fa-IR"/>
        </w:rPr>
        <w:t>َ</w:t>
      </w:r>
      <w:r w:rsidRPr="00132E65">
        <w:rPr>
          <w:rtl/>
          <w:lang w:bidi="fa-IR"/>
        </w:rPr>
        <w:t xml:space="preserve">الْوَالِي </w:t>
      </w:r>
      <w:r>
        <w:rPr>
          <w:rStyle w:val="libFootnotenumChar"/>
          <w:rtl/>
        </w:rPr>
        <w:t>(10)</w:t>
      </w:r>
      <w:r w:rsidRPr="00132E65">
        <w:rPr>
          <w:rtl/>
          <w:lang w:bidi="fa-IR"/>
        </w:rPr>
        <w:t xml:space="preserve"> زَكَاةٌ ؛ لِأَنَّهُ لَمْ يَبْقَ فَقِيرٌ مُحْتَاجٌ ، و</w:t>
      </w:r>
      <w:r w:rsidR="00FC4BDC">
        <w:rPr>
          <w:rFonts w:hint="cs"/>
          <w:rtl/>
          <w:lang w:bidi="fa-IR"/>
        </w:rPr>
        <w:t>َ</w:t>
      </w:r>
      <w:r w:rsidRPr="00132E65">
        <w:rPr>
          <w:rtl/>
          <w:lang w:bidi="fa-IR"/>
        </w:rPr>
        <w:t xml:space="preserve">لكِنْ عَلَيْهِمْ أَشْيَاءُ </w:t>
      </w:r>
      <w:r>
        <w:rPr>
          <w:rStyle w:val="libFootnotenumChar"/>
          <w:rtl/>
        </w:rPr>
        <w:t>(11)</w:t>
      </w:r>
      <w:r w:rsidRPr="00132E65">
        <w:rPr>
          <w:rtl/>
          <w:lang w:bidi="fa-IR"/>
        </w:rPr>
        <w:t xml:space="preserve"> تَنُوبُهُمْ مِنْ و</w:t>
      </w:r>
      <w:r w:rsidR="00FC4BDC">
        <w:rPr>
          <w:rFonts w:hint="cs"/>
          <w:rtl/>
          <w:lang w:bidi="fa-IR"/>
        </w:rPr>
        <w:t>ُ</w:t>
      </w:r>
      <w:r w:rsidRPr="00132E65">
        <w:rPr>
          <w:rtl/>
          <w:lang w:bidi="fa-IR"/>
        </w:rPr>
        <w:t>جُوهٍ ، و</w:t>
      </w:r>
      <w:r w:rsidR="00FC4BDC">
        <w:rPr>
          <w:rFonts w:hint="cs"/>
          <w:rtl/>
          <w:lang w:bidi="fa-IR"/>
        </w:rPr>
        <w:t>َ</w:t>
      </w:r>
      <w:r w:rsidRPr="00132E65">
        <w:rPr>
          <w:rtl/>
          <w:lang w:bidi="fa-IR"/>
        </w:rPr>
        <w:t>لَهُمْ مِنْ تِل</w:t>
      </w:r>
      <w:r w:rsidR="00FC4BDC">
        <w:rPr>
          <w:rtl/>
          <w:lang w:bidi="fa-IR"/>
        </w:rPr>
        <w:t>ْكَ الْوُجُوهِ كَمَا عَلَيْهِمْ</w:t>
      </w:r>
      <w:r w:rsidRPr="00132E65">
        <w:rPr>
          <w:rtl/>
          <w:lang w:bidi="fa-IR"/>
        </w:rPr>
        <w:t>»</w:t>
      </w:r>
      <w:r>
        <w:rPr>
          <w:rtl/>
          <w:lang w:bidi="fa-IR"/>
        </w:rPr>
        <w:t>.</w:t>
      </w:r>
      <w:r>
        <w:rPr>
          <w:rStyle w:val="libFootnotenumChar"/>
          <w:rtl/>
        </w:rPr>
        <w:t>(12)</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أي الأنفال مفوّضة إلى الوالي. </w:t>
      </w:r>
      <w:r>
        <w:rPr>
          <w:rtl/>
        </w:rPr>
        <w:t>و «</w:t>
      </w:r>
      <w:r w:rsidRPr="00132E65">
        <w:rPr>
          <w:rtl/>
        </w:rPr>
        <w:t xml:space="preserve"> كلّ أرض » عطف على الأنفال. وفي « ض ، ف ، بح ، بر ، بس ، بف » </w:t>
      </w:r>
      <w:r w:rsidRPr="00FC4BDC">
        <w:rPr>
          <w:rtl/>
        </w:rPr>
        <w:t>والوافي‌</w:t>
      </w:r>
      <w:r w:rsidR="00FC4BDC">
        <w:rPr>
          <w:rFonts w:hint="cs"/>
          <w:rtl/>
        </w:rPr>
        <w:t xml:space="preserve"> </w:t>
      </w:r>
      <w:r w:rsidRPr="00FC4BDC">
        <w:rPr>
          <w:rtl/>
        </w:rPr>
        <w:t>والتهذيب</w:t>
      </w:r>
      <w:r w:rsidRPr="00132E65">
        <w:rPr>
          <w:rtl/>
        </w:rPr>
        <w:t xml:space="preserve"> ، ح 366 ، والوسائل ، ح 12628 : « كلّ أرض » بدون الواو. وقال في </w:t>
      </w:r>
      <w:r w:rsidRPr="009D1ACE">
        <w:rPr>
          <w:rStyle w:val="libFootnoteBoldChar"/>
          <w:rtl/>
        </w:rPr>
        <w:t>الوافي</w:t>
      </w:r>
      <w:r w:rsidRPr="00132E65">
        <w:rPr>
          <w:rtl/>
        </w:rPr>
        <w:t xml:space="preserve"> : « في بعض النسخ : « وكلّ أرض » بالعطف ، وهو أوضح »</w:t>
      </w:r>
      <w:r>
        <w:rPr>
          <w:rtl/>
        </w:rPr>
        <w:t>.</w:t>
      </w:r>
    </w:p>
    <w:p w:rsidR="000C39D1" w:rsidRPr="00132E65" w:rsidRDefault="000C39D1" w:rsidP="000C39D1">
      <w:pPr>
        <w:pStyle w:val="libFootnote0"/>
        <w:rPr>
          <w:rtl/>
          <w:lang w:bidi="fa-IR"/>
        </w:rPr>
      </w:pPr>
      <w:r>
        <w:rPr>
          <w:rtl/>
        </w:rPr>
        <w:t>(2).</w:t>
      </w:r>
      <w:r w:rsidRPr="00132E65">
        <w:rPr>
          <w:rtl/>
        </w:rPr>
        <w:t xml:space="preserve"> هكذا في « ب ، ج ، ض ، ف ، بح ، بر ، بس ، بف » </w:t>
      </w:r>
      <w:r w:rsidRPr="00FC4BDC">
        <w:rPr>
          <w:rtl/>
        </w:rPr>
        <w:t>والوافي</w:t>
      </w:r>
      <w:r w:rsidRPr="00132E65">
        <w:rPr>
          <w:rtl/>
        </w:rPr>
        <w:t xml:space="preserve"> والوسائل ، ح 12628. وفي المطبوع :</w:t>
      </w:r>
      <w:r>
        <w:rPr>
          <w:rtl/>
        </w:rPr>
        <w:t xml:space="preserve"> + </w:t>
      </w:r>
      <w:r w:rsidRPr="00132E65">
        <w:rPr>
          <w:rtl/>
        </w:rPr>
        <w:t>« في »</w:t>
      </w:r>
      <w:r>
        <w:rPr>
          <w:rtl/>
        </w:rPr>
        <w:t>.</w:t>
      </w:r>
    </w:p>
    <w:p w:rsidR="000C39D1" w:rsidRPr="00132E65" w:rsidRDefault="000C39D1" w:rsidP="000C39D1">
      <w:pPr>
        <w:pStyle w:val="libFootnote0"/>
        <w:rPr>
          <w:rtl/>
          <w:lang w:bidi="fa-IR"/>
        </w:rPr>
      </w:pPr>
      <w:r>
        <w:rPr>
          <w:rtl/>
        </w:rPr>
        <w:t>(3).</w:t>
      </w:r>
      <w:r w:rsidRPr="00132E65">
        <w:rPr>
          <w:rtl/>
        </w:rPr>
        <w:t xml:space="preserve"> في « ب ، ض ، ف ، بس ، بف » </w:t>
      </w:r>
      <w:r w:rsidRPr="00FC4BDC">
        <w:rPr>
          <w:rtl/>
        </w:rPr>
        <w:t>والوافي</w:t>
      </w:r>
      <w:r w:rsidRPr="00132E65">
        <w:rPr>
          <w:rtl/>
        </w:rPr>
        <w:t xml:space="preserve"> والتهذيب ، ح 366 </w:t>
      </w:r>
      <w:r>
        <w:rPr>
          <w:rtl/>
        </w:rPr>
        <w:t xml:space="preserve">: - </w:t>
      </w:r>
      <w:r w:rsidRPr="00132E65">
        <w:rPr>
          <w:rtl/>
        </w:rPr>
        <w:t>«</w:t>
      </w:r>
      <w:r>
        <w:rPr>
          <w:rtl/>
        </w:rPr>
        <w:t xml:space="preserve"> و ».</w:t>
      </w:r>
    </w:p>
    <w:p w:rsidR="000C39D1" w:rsidRPr="00132E65" w:rsidRDefault="000C39D1" w:rsidP="00FC4BDC">
      <w:pPr>
        <w:pStyle w:val="libFootnote0"/>
        <w:rPr>
          <w:rtl/>
          <w:lang w:bidi="fa-IR"/>
        </w:rPr>
      </w:pPr>
      <w:r>
        <w:rPr>
          <w:rtl/>
        </w:rPr>
        <w:t>(4).</w:t>
      </w:r>
      <w:r w:rsidRPr="00132E65">
        <w:rPr>
          <w:rtl/>
        </w:rPr>
        <w:t xml:space="preserve"> في التهذيب ، ح 366 : « ما كان افتتح بدعوة النبيّ </w:t>
      </w:r>
      <w:r w:rsidRPr="00FC4BDC">
        <w:rPr>
          <w:rStyle w:val="libFootnoteAlaemChar"/>
          <w:rFonts w:eastAsiaTheme="minorHAnsi"/>
          <w:rtl/>
        </w:rPr>
        <w:t>صلى‌الله‌عليه‌وآله</w:t>
      </w:r>
      <w:r w:rsidRPr="00132E65">
        <w:rPr>
          <w:rtl/>
          <w:lang w:bidi="fa-IR"/>
        </w:rPr>
        <w:t xml:space="preserve"> </w:t>
      </w:r>
      <w:r w:rsidRPr="00132E65">
        <w:rPr>
          <w:rtl/>
        </w:rPr>
        <w:t>من أهل الجور وأهل العدل » أي بالدعوة إلى النبيّ‌</w:t>
      </w:r>
      <w:r w:rsidR="00FC4BDC">
        <w:rPr>
          <w:rFonts w:hint="cs"/>
          <w:rtl/>
        </w:rPr>
        <w:t xml:space="preserve"> </w:t>
      </w:r>
      <w:r w:rsidRPr="00132E65">
        <w:rPr>
          <w:rtl/>
        </w:rPr>
        <w:t>الصادرة منهما.</w:t>
      </w:r>
      <w:r w:rsidR="00FC4BDC">
        <w:rPr>
          <w:rFonts w:hint="cs"/>
          <w:rtl/>
        </w:rPr>
        <w:t xml:space="preserve">                             </w:t>
      </w:r>
      <w:r w:rsidR="00C50204">
        <w:rPr>
          <w:rFonts w:hint="cs"/>
          <w:rtl/>
        </w:rPr>
        <w:t xml:space="preserve">                         </w:t>
      </w:r>
      <w:r w:rsidR="00FC4BDC">
        <w:rPr>
          <w:rFonts w:hint="cs"/>
          <w:rtl/>
        </w:rPr>
        <w:t xml:space="preserve">   </w:t>
      </w:r>
      <w:r>
        <w:rPr>
          <w:rtl/>
        </w:rPr>
        <w:t>(5).</w:t>
      </w:r>
      <w:r w:rsidRPr="00132E65">
        <w:rPr>
          <w:rtl/>
        </w:rPr>
        <w:t xml:space="preserve"> في « بح » : « يتكافى »</w:t>
      </w:r>
      <w:r>
        <w:rPr>
          <w:rtl/>
        </w:rPr>
        <w:t>.</w:t>
      </w:r>
    </w:p>
    <w:p w:rsidR="000C39D1" w:rsidRPr="00132E65" w:rsidRDefault="000C39D1" w:rsidP="000C39D1">
      <w:pPr>
        <w:pStyle w:val="libFootnote0"/>
        <w:rPr>
          <w:rtl/>
          <w:lang w:bidi="fa-IR"/>
        </w:rPr>
      </w:pPr>
      <w:r>
        <w:rPr>
          <w:rtl/>
        </w:rPr>
        <w:t>(6).</w:t>
      </w:r>
      <w:r w:rsidRPr="00132E65">
        <w:rPr>
          <w:rtl/>
        </w:rPr>
        <w:t xml:space="preserve"> في الوسائل ، ح 12628 </w:t>
      </w:r>
      <w:r>
        <w:rPr>
          <w:rtl/>
        </w:rPr>
        <w:t xml:space="preserve">: - </w:t>
      </w:r>
      <w:r w:rsidRPr="00132E65">
        <w:rPr>
          <w:rtl/>
        </w:rPr>
        <w:t>«</w:t>
      </w:r>
      <w:r>
        <w:rPr>
          <w:rtl/>
        </w:rPr>
        <w:t xml:space="preserve"> و ».</w:t>
      </w:r>
    </w:p>
    <w:p w:rsidR="000C39D1" w:rsidRPr="00132E65" w:rsidRDefault="000C39D1" w:rsidP="00FC4BDC">
      <w:pPr>
        <w:pStyle w:val="libFootnote0"/>
        <w:rPr>
          <w:rtl/>
          <w:lang w:bidi="fa-IR"/>
        </w:rPr>
      </w:pPr>
      <w:r>
        <w:rPr>
          <w:rtl/>
        </w:rPr>
        <w:t>(7).</w:t>
      </w:r>
      <w:r w:rsidRPr="00132E65">
        <w:rPr>
          <w:rtl/>
        </w:rPr>
        <w:t xml:space="preserve"> في « ض ، ف ، بح ، بر ، بس ، بف » وحاشية « ب ، ج » وشرح المازندراني : « آخرهم »</w:t>
      </w:r>
      <w:r>
        <w:rPr>
          <w:rtl/>
        </w:rPr>
        <w:t>.</w:t>
      </w:r>
      <w:r w:rsidRPr="00132E65">
        <w:rPr>
          <w:rtl/>
        </w:rPr>
        <w:t xml:space="preserve"> وفي </w:t>
      </w:r>
      <w:r w:rsidRPr="009D1ACE">
        <w:rPr>
          <w:rStyle w:val="libFootnoteBoldChar"/>
          <w:rtl/>
        </w:rPr>
        <w:t>الوافي</w:t>
      </w:r>
      <w:r w:rsidRPr="00132E65">
        <w:rPr>
          <w:rtl/>
        </w:rPr>
        <w:t xml:space="preserve"> : « يعني إذا أعطى واحد من الجيش العدوّ أماناً ، جاز ذلك على جميع المسلمين ، وليس لهم أن ينقضوا عليه عهده ، سواء كان عادلاً أو جائراً »</w:t>
      </w:r>
      <w:r>
        <w:rPr>
          <w:rtl/>
        </w:rPr>
        <w:t>.</w:t>
      </w:r>
      <w:r w:rsidR="00FC4BDC">
        <w:rPr>
          <w:rFonts w:hint="cs"/>
          <w:rtl/>
        </w:rPr>
        <w:t xml:space="preserve">                    </w:t>
      </w:r>
      <w:r w:rsidR="00C50204">
        <w:rPr>
          <w:rFonts w:hint="cs"/>
          <w:rtl/>
        </w:rPr>
        <w:t xml:space="preserve">                          </w:t>
      </w:r>
      <w:r w:rsidR="00FC4BDC">
        <w:rPr>
          <w:rFonts w:hint="cs"/>
          <w:rtl/>
        </w:rPr>
        <w:t xml:space="preserve">     </w:t>
      </w:r>
      <w:r>
        <w:rPr>
          <w:rtl/>
        </w:rPr>
        <w:t>(8).</w:t>
      </w:r>
      <w:r w:rsidRPr="00132E65">
        <w:rPr>
          <w:rtl/>
        </w:rPr>
        <w:t xml:space="preserve"> في « ب » : « فيهم »</w:t>
      </w:r>
      <w:r>
        <w:rPr>
          <w:rtl/>
        </w:rPr>
        <w:t>.</w:t>
      </w:r>
    </w:p>
    <w:tbl>
      <w:tblPr>
        <w:tblStyle w:val="TableGrid"/>
        <w:bidiVisual/>
        <w:tblW w:w="0" w:type="auto"/>
        <w:tblLook w:val="04A0" w:firstRow="1" w:lastRow="0" w:firstColumn="1" w:lastColumn="0" w:noHBand="0" w:noVBand="1"/>
      </w:tblPr>
      <w:tblGrid>
        <w:gridCol w:w="4261"/>
        <w:gridCol w:w="4262"/>
      </w:tblGrid>
      <w:tr w:rsidR="00FC4BDC" w:rsidTr="00FC4BDC">
        <w:tc>
          <w:tcPr>
            <w:tcW w:w="4261" w:type="dxa"/>
          </w:tcPr>
          <w:p w:rsidR="00FC4BDC" w:rsidRDefault="00FC4BDC" w:rsidP="000C39D1">
            <w:pPr>
              <w:pStyle w:val="libFootnote0"/>
              <w:rPr>
                <w:rtl/>
              </w:rPr>
            </w:pPr>
            <w:r>
              <w:rPr>
                <w:rtl/>
              </w:rPr>
              <w:t>(9).</w:t>
            </w:r>
            <w:r w:rsidRPr="00132E65">
              <w:rPr>
                <w:rtl/>
              </w:rPr>
              <w:t xml:space="preserve"> في </w:t>
            </w:r>
            <w:r w:rsidRPr="00FC4BDC">
              <w:rPr>
                <w:rtl/>
              </w:rPr>
              <w:t>الوافي</w:t>
            </w:r>
            <w:r w:rsidRPr="00132E65">
              <w:rPr>
                <w:rtl/>
              </w:rPr>
              <w:t xml:space="preserve"> : « لفقراء »</w:t>
            </w:r>
            <w:r>
              <w:rPr>
                <w:rtl/>
              </w:rPr>
              <w:t>.</w:t>
            </w:r>
          </w:p>
        </w:tc>
        <w:tc>
          <w:tcPr>
            <w:tcW w:w="4262" w:type="dxa"/>
          </w:tcPr>
          <w:p w:rsidR="00FC4BDC" w:rsidRDefault="00FC4BDC" w:rsidP="000C39D1">
            <w:pPr>
              <w:pStyle w:val="libFootnote0"/>
              <w:rPr>
                <w:rtl/>
              </w:rPr>
            </w:pPr>
            <w:r>
              <w:rPr>
                <w:rtl/>
              </w:rPr>
              <w:t>(10).</w:t>
            </w:r>
            <w:r w:rsidRPr="00132E65">
              <w:rPr>
                <w:rtl/>
              </w:rPr>
              <w:t xml:space="preserve"> في الوسائل ، ح 12628 : « والوليّ »</w:t>
            </w:r>
            <w:r>
              <w:rPr>
                <w:rtl/>
              </w:rPr>
              <w:t>.</w:t>
            </w:r>
          </w:p>
        </w:tc>
      </w:tr>
    </w:tbl>
    <w:p w:rsidR="000C39D1" w:rsidRPr="00132E65" w:rsidRDefault="000C39D1" w:rsidP="000C39D1">
      <w:pPr>
        <w:pStyle w:val="libFootnote0"/>
        <w:rPr>
          <w:rtl/>
          <w:lang w:bidi="fa-IR"/>
        </w:rPr>
      </w:pPr>
      <w:r>
        <w:rPr>
          <w:rtl/>
        </w:rPr>
        <w:t>(11).</w:t>
      </w:r>
      <w:r w:rsidRPr="00132E65">
        <w:rPr>
          <w:rtl/>
        </w:rPr>
        <w:t xml:space="preserve"> في </w:t>
      </w:r>
      <w:r w:rsidRPr="00FC4BDC">
        <w:rPr>
          <w:rtl/>
        </w:rPr>
        <w:t>الوافي</w:t>
      </w:r>
      <w:r w:rsidRPr="00132E65">
        <w:rPr>
          <w:rtl/>
        </w:rPr>
        <w:t xml:space="preserve"> : « أشياء</w:t>
      </w:r>
      <w:r>
        <w:rPr>
          <w:rtl/>
        </w:rPr>
        <w:t xml:space="preserve"> - </w:t>
      </w:r>
      <w:r w:rsidRPr="00132E65">
        <w:rPr>
          <w:rtl/>
        </w:rPr>
        <w:t>نوائب خ ل</w:t>
      </w:r>
      <w:r>
        <w:rPr>
          <w:rtl/>
        </w:rPr>
        <w:t xml:space="preserve"> - </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w:t>
      </w:r>
      <w:r w:rsidRPr="000577A7">
        <w:rPr>
          <w:rStyle w:val="libFootnoteBoldChar"/>
          <w:rtl/>
        </w:rPr>
        <w:t>الكافي</w:t>
      </w:r>
      <w:r w:rsidRPr="00132E65">
        <w:rPr>
          <w:rtl/>
        </w:rPr>
        <w:t xml:space="preserve"> ، كتاب الجهاد ، باب قسمة الغنيمة ، ح 8271 ، والموجود فيه فقرات منه إلى قوله : « على قدر ما يكون </w:t>
      </w:r>
      <w:r w:rsidR="00FC4BDC">
        <w:rPr>
          <w:rFonts w:hint="cs"/>
          <w:rtl/>
        </w:rPr>
        <w:t>=</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406B0F">
        <w:rPr>
          <w:rtl/>
        </w:rPr>
        <w:t>1425</w:t>
      </w:r>
      <w:r w:rsidRPr="004325D8">
        <w:rPr>
          <w:rStyle w:val="libBold2Char"/>
          <w:rtl/>
        </w:rPr>
        <w:t xml:space="preserve"> / 5.</w:t>
      </w:r>
      <w:r w:rsidRPr="00132E65">
        <w:rPr>
          <w:rtl/>
          <w:lang w:bidi="fa-IR"/>
        </w:rPr>
        <w:t xml:space="preserve"> عَلِيُّ بْنُ مُحَمَّدِ بْنِ عَبْدِ اللهِ ، عَنْ بَعْضِ أَصْحَابِنَا</w:t>
      </w:r>
      <w:r>
        <w:rPr>
          <w:rtl/>
          <w:lang w:bidi="fa-IR"/>
        </w:rPr>
        <w:t xml:space="preserve"> - </w:t>
      </w:r>
      <w:r w:rsidRPr="00132E65">
        <w:rPr>
          <w:rtl/>
          <w:lang w:bidi="fa-IR"/>
        </w:rPr>
        <w:t>أَظُنُّهُ السَّيَّارِيَّ</w:t>
      </w:r>
      <w:r>
        <w:rPr>
          <w:rtl/>
          <w:lang w:bidi="fa-IR"/>
        </w:rPr>
        <w:t xml:space="preserve"> - </w:t>
      </w:r>
      <w:r w:rsidRPr="00132E65">
        <w:rPr>
          <w:rtl/>
          <w:lang w:bidi="fa-IR"/>
        </w:rPr>
        <w:t>عَنْ عَلِيِّ بْنِ أَسْبَاطٍ ، قَالَ :</w:t>
      </w:r>
    </w:p>
    <w:p w:rsidR="000C39D1" w:rsidRPr="00132E65" w:rsidRDefault="000C39D1" w:rsidP="000C39D1">
      <w:pPr>
        <w:pStyle w:val="libNormal"/>
        <w:rPr>
          <w:rtl/>
          <w:lang w:bidi="fa-IR"/>
        </w:rPr>
      </w:pPr>
      <w:r w:rsidRPr="00132E65">
        <w:rPr>
          <w:rtl/>
          <w:lang w:bidi="fa-IR"/>
        </w:rPr>
        <w:t>لَمَّا و</w:t>
      </w:r>
      <w:r w:rsidR="00FC4BDC">
        <w:rPr>
          <w:rFonts w:hint="cs"/>
          <w:rtl/>
          <w:lang w:bidi="fa-IR"/>
        </w:rPr>
        <w:t>َ</w:t>
      </w:r>
      <w:r w:rsidRPr="00132E65">
        <w:rPr>
          <w:rtl/>
          <w:lang w:bidi="fa-IR"/>
        </w:rPr>
        <w:t xml:space="preserve">رَدَ أَبُو الْحَسَنِ مُوسى </w:t>
      </w:r>
      <w:r w:rsidRPr="00071CF9">
        <w:rPr>
          <w:rStyle w:val="libAlaemChar"/>
          <w:rtl/>
        </w:rPr>
        <w:t>عليه‌السلام</w:t>
      </w:r>
      <w:r w:rsidRPr="00132E65">
        <w:rPr>
          <w:rtl/>
          <w:lang w:bidi="fa-IR"/>
        </w:rPr>
        <w:t xml:space="preserve"> عَلَى الْمَهْدِيِّ رَآهُ يَرُدُّ الْمَظَالِمَ </w:t>
      </w:r>
      <w:r>
        <w:rPr>
          <w:rStyle w:val="libFootnotenumChar"/>
          <w:rtl/>
        </w:rPr>
        <w:t>(1)</w:t>
      </w:r>
      <w:r w:rsidRPr="00132E65">
        <w:rPr>
          <w:rtl/>
          <w:lang w:bidi="fa-IR"/>
        </w:rPr>
        <w:t xml:space="preserve"> ، فَقَالَ : « يَا أَمِيرَ الْمُؤْمِنِينَ ، مَا بَالُ مَظْلِمَتِنَا لَاتُرَدُّ </w:t>
      </w:r>
      <w:r>
        <w:rPr>
          <w:rStyle w:val="libFootnotenumChar"/>
          <w:rtl/>
        </w:rPr>
        <w:t>(2)</w:t>
      </w:r>
      <w:r>
        <w:rPr>
          <w:rtl/>
          <w:lang w:bidi="fa-IR"/>
        </w:rPr>
        <w:t>؟</w:t>
      </w:r>
      <w:r w:rsidRPr="00132E65">
        <w:rPr>
          <w:rtl/>
          <w:lang w:bidi="fa-IR"/>
        </w:rPr>
        <w:t xml:space="preserve"> » فَقَالَ لَهُ : و</w:t>
      </w:r>
      <w:r w:rsidR="00CF6DFF">
        <w:rPr>
          <w:rFonts w:hint="cs"/>
          <w:rtl/>
          <w:lang w:bidi="fa-IR"/>
        </w:rPr>
        <w:t>َ</w:t>
      </w:r>
      <w:r w:rsidRPr="00132E65">
        <w:rPr>
          <w:rtl/>
          <w:lang w:bidi="fa-IR"/>
        </w:rPr>
        <w:t>مَا ذَاكَ يَا أَبَا الْحَسَنِ</w:t>
      </w:r>
      <w:r>
        <w:rPr>
          <w:rtl/>
          <w:lang w:bidi="fa-IR"/>
        </w:rPr>
        <w:t>؟</w:t>
      </w:r>
    </w:p>
    <w:p w:rsidR="000C39D1" w:rsidRPr="00132E65" w:rsidRDefault="000C39D1" w:rsidP="000C39D1">
      <w:pPr>
        <w:pStyle w:val="libNormal"/>
        <w:rPr>
          <w:rtl/>
          <w:lang w:bidi="fa-IR"/>
        </w:rPr>
      </w:pPr>
      <w:r w:rsidRPr="00132E65">
        <w:rPr>
          <w:rtl/>
          <w:lang w:bidi="fa-IR"/>
        </w:rPr>
        <w:t>قَالَ : « إِنَّ اللهَ</w:t>
      </w:r>
      <w:r>
        <w:rPr>
          <w:rtl/>
          <w:lang w:bidi="fa-IR"/>
        </w:rPr>
        <w:t xml:space="preserve"> - </w:t>
      </w:r>
      <w:r w:rsidRPr="00132E65">
        <w:rPr>
          <w:rtl/>
          <w:lang w:bidi="fa-IR"/>
        </w:rPr>
        <w:t>تَبَارَكَ و</w:t>
      </w:r>
      <w:r w:rsidR="00CF6DFF">
        <w:rPr>
          <w:rFonts w:hint="cs"/>
          <w:rtl/>
          <w:lang w:bidi="fa-IR"/>
        </w:rPr>
        <w:t>َ</w:t>
      </w:r>
      <w:r w:rsidRPr="00132E65">
        <w:rPr>
          <w:rtl/>
          <w:lang w:bidi="fa-IR"/>
        </w:rPr>
        <w:t>تَعَالى</w:t>
      </w:r>
      <w:r>
        <w:rPr>
          <w:rtl/>
          <w:lang w:bidi="fa-IR"/>
        </w:rPr>
        <w:t xml:space="preserve"> - </w:t>
      </w:r>
      <w:r w:rsidRPr="00132E65">
        <w:rPr>
          <w:rtl/>
          <w:lang w:bidi="fa-IR"/>
        </w:rPr>
        <w:t xml:space="preserve">لَمَّا فَتَحَ عَلى نَبِيِّهِ </w:t>
      </w:r>
      <w:r w:rsidRPr="0093484F">
        <w:rPr>
          <w:rStyle w:val="libAlaemChar"/>
          <w:rFonts w:eastAsiaTheme="minorHAnsi"/>
          <w:rtl/>
        </w:rPr>
        <w:t>صلى‌الله‌عليه‌وآله</w:t>
      </w:r>
      <w:r w:rsidRPr="00132E65">
        <w:rPr>
          <w:rtl/>
          <w:lang w:bidi="fa-IR"/>
        </w:rPr>
        <w:t xml:space="preserve"> فَدَكَ </w:t>
      </w:r>
      <w:r>
        <w:rPr>
          <w:rStyle w:val="libFootnotenumChar"/>
          <w:rtl/>
        </w:rPr>
        <w:t>(3)</w:t>
      </w:r>
      <w:r w:rsidRPr="00132E65">
        <w:rPr>
          <w:rtl/>
          <w:lang w:bidi="fa-IR"/>
        </w:rPr>
        <w:t xml:space="preserve"> و</w:t>
      </w:r>
      <w:r w:rsidR="00CF6DFF">
        <w:rPr>
          <w:rFonts w:hint="cs"/>
          <w:rtl/>
          <w:lang w:bidi="fa-IR"/>
        </w:rPr>
        <w:t>َ</w:t>
      </w:r>
      <w:r w:rsidRPr="00132E65">
        <w:rPr>
          <w:rtl/>
          <w:lang w:bidi="fa-IR"/>
        </w:rPr>
        <w:t>مَا و</w:t>
      </w:r>
      <w:r w:rsidR="00CF6DFF">
        <w:rPr>
          <w:rFonts w:hint="cs"/>
          <w:rtl/>
          <w:lang w:bidi="fa-IR"/>
        </w:rPr>
        <w:t>َ</w:t>
      </w:r>
      <w:r w:rsidRPr="00132E65">
        <w:rPr>
          <w:rtl/>
          <w:lang w:bidi="fa-IR"/>
        </w:rPr>
        <w:t xml:space="preserve">الَاهَا ، لَمْ يُوجَفْ عَلَيْهِ </w:t>
      </w:r>
      <w:r>
        <w:rPr>
          <w:rStyle w:val="libFootnotenumChar"/>
          <w:rtl/>
        </w:rPr>
        <w:t>(4)</w:t>
      </w:r>
      <w:r w:rsidRPr="00132E65">
        <w:rPr>
          <w:rtl/>
          <w:lang w:bidi="fa-IR"/>
        </w:rPr>
        <w:t xml:space="preserve"> بِخَيْلٍ و</w:t>
      </w:r>
      <w:r w:rsidR="00CF6DFF">
        <w:rPr>
          <w:rFonts w:hint="cs"/>
          <w:rtl/>
          <w:lang w:bidi="fa-IR"/>
        </w:rPr>
        <w:t>َ</w:t>
      </w:r>
      <w:r w:rsidRPr="00132E65">
        <w:rPr>
          <w:rtl/>
          <w:lang w:bidi="fa-IR"/>
        </w:rPr>
        <w:t>لَا</w:t>
      </w:r>
      <w:r w:rsidR="00CF6DFF">
        <w:rPr>
          <w:rFonts w:hint="cs"/>
          <w:rtl/>
          <w:lang w:bidi="fa-IR"/>
        </w:rPr>
        <w:t xml:space="preserve"> </w:t>
      </w:r>
      <w:r w:rsidRPr="00132E65">
        <w:rPr>
          <w:rtl/>
          <w:lang w:bidi="fa-IR"/>
        </w:rPr>
        <w:t xml:space="preserve">رِكَابٍ ، فَأَنْزَلَ اللهُ عَلى نَبِيِّهِ </w:t>
      </w:r>
      <w:r w:rsidRPr="0093484F">
        <w:rPr>
          <w:rStyle w:val="libAlaemChar"/>
          <w:rFonts w:eastAsiaTheme="minorHAnsi"/>
          <w:rtl/>
        </w:rPr>
        <w:t>صلى‌الله‌عليه‌وآله</w:t>
      </w:r>
      <w:r w:rsidRPr="00132E65">
        <w:rPr>
          <w:rtl/>
          <w:lang w:bidi="fa-IR"/>
        </w:rPr>
        <w:t xml:space="preserve"> : </w:t>
      </w:r>
      <w:r w:rsidRPr="00071CF9">
        <w:rPr>
          <w:rStyle w:val="libAlaemChar"/>
          <w:rtl/>
        </w:rPr>
        <w:t>(</w:t>
      </w:r>
      <w:r w:rsidRPr="00071CF9">
        <w:rPr>
          <w:rStyle w:val="libAieChar"/>
          <w:rtl/>
        </w:rPr>
        <w:t xml:space="preserve"> وَآتِ ذَا الْقُرْبى حَقَّهُ </w:t>
      </w:r>
      <w:r w:rsidRPr="00071CF9">
        <w:rPr>
          <w:rStyle w:val="libAlaemChar"/>
          <w:rtl/>
        </w:rPr>
        <w:t>)</w:t>
      </w:r>
      <w:r w:rsidRPr="00132E65">
        <w:rPr>
          <w:rtl/>
          <w:lang w:bidi="fa-IR"/>
        </w:rPr>
        <w:t xml:space="preserve"> </w:t>
      </w:r>
      <w:r>
        <w:rPr>
          <w:rStyle w:val="libFootnotenumChar"/>
          <w:rtl/>
        </w:rPr>
        <w:t>(5)</w:t>
      </w:r>
      <w:r w:rsidRPr="00132E65">
        <w:rPr>
          <w:rtl/>
          <w:lang w:bidi="fa-IR"/>
        </w:rPr>
        <w:t xml:space="preserve"> فَلَمْ يَدْرِ رَسُولُ اللهِ </w:t>
      </w:r>
      <w:r w:rsidRPr="0093484F">
        <w:rPr>
          <w:rStyle w:val="libAlaemChar"/>
          <w:rFonts w:eastAsiaTheme="minorHAnsi"/>
          <w:rtl/>
        </w:rPr>
        <w:t>صلى‌الله‌عليه‌وآله</w:t>
      </w:r>
      <w:r w:rsidRPr="00132E65">
        <w:rPr>
          <w:rtl/>
          <w:lang w:bidi="fa-IR"/>
        </w:rPr>
        <w:t xml:space="preserve"> مَنْ هُمْ ، فَرَاجَعَ فِي ذلِكَ جَبْرَئِيلَ </w:t>
      </w:r>
      <w:r w:rsidRPr="00071CF9">
        <w:rPr>
          <w:rStyle w:val="libAlaemChar"/>
          <w:rtl/>
        </w:rPr>
        <w:t>عليه‌السلام</w:t>
      </w:r>
      <w:r w:rsidRPr="00132E65">
        <w:rPr>
          <w:rtl/>
          <w:lang w:bidi="fa-IR"/>
        </w:rPr>
        <w:t xml:space="preserve"> ، و</w:t>
      </w:r>
      <w:r w:rsidR="00CF6DFF">
        <w:rPr>
          <w:rFonts w:hint="cs"/>
          <w:rtl/>
          <w:lang w:bidi="fa-IR"/>
        </w:rPr>
        <w:t>َ</w:t>
      </w:r>
      <w:r w:rsidRPr="00132E65">
        <w:rPr>
          <w:rtl/>
          <w:lang w:bidi="fa-IR"/>
        </w:rPr>
        <w:t xml:space="preserve">رَاجَعَ جَبْرَئِيلُ رَبَّهُ ، فَأَوْحَى اللهُ إِلَيْهِ : أَنِ ادْفَعْ فَدَكَ إِلى فَاطِمَةَ </w:t>
      </w:r>
      <w:r w:rsidRPr="00071CF9">
        <w:rPr>
          <w:rStyle w:val="libAlaemChar"/>
          <w:rtl/>
        </w:rPr>
        <w:t>عليها‌السلام</w:t>
      </w:r>
      <w:r w:rsidRPr="00132E65">
        <w:rPr>
          <w:rtl/>
          <w:lang w:bidi="fa-IR"/>
        </w:rPr>
        <w:t xml:space="preserve"> ، فَدَعَاهَا رَسُولُ اللهِ </w:t>
      </w:r>
      <w:r w:rsidRPr="0093484F">
        <w:rPr>
          <w:rStyle w:val="libAlaemChar"/>
          <w:rFonts w:eastAsiaTheme="minorHAnsi"/>
          <w:rtl/>
        </w:rPr>
        <w:t>صلى‌الله‌عليه‌وآله</w:t>
      </w:r>
      <w:r w:rsidRPr="00132E65">
        <w:rPr>
          <w:rtl/>
          <w:lang w:bidi="fa-IR"/>
        </w:rPr>
        <w:t xml:space="preserve"> ، فَقَالَ لَهَا : يَا فَاطِمَةُ ، إِنَّ اللهَ أَمَرَنِي أَنْ أَدْفَعَ إِلَيْكِ فَدَكَ ، فَقَالَتْ : قَدْ قَبِلْتُ يَا رَسُولَ اللهِ مِنَ اللهِ و</w:t>
      </w:r>
      <w:r w:rsidR="00CF6DFF">
        <w:rPr>
          <w:rFonts w:hint="cs"/>
          <w:rtl/>
          <w:lang w:bidi="fa-IR"/>
        </w:rPr>
        <w:t>َ</w:t>
      </w:r>
      <w:r w:rsidRPr="00132E65">
        <w:rPr>
          <w:rtl/>
          <w:lang w:bidi="fa-IR"/>
        </w:rPr>
        <w:t xml:space="preserve">مِنْكَ ، فَلَمْ يَزَلْ وُكَلَاؤُهَا فِيهَا حَيَاةَ رَسُولِ اللهِ </w:t>
      </w:r>
      <w:r w:rsidRPr="0093484F">
        <w:rPr>
          <w:rStyle w:val="libAlaemChar"/>
          <w:rFonts w:eastAsiaTheme="minorHAnsi"/>
          <w:rtl/>
        </w:rPr>
        <w:t>صلى‌الله‌عليه‌وآله</w:t>
      </w:r>
      <w:r w:rsidRPr="00132E65">
        <w:rPr>
          <w:rtl/>
          <w:lang w:bidi="fa-IR"/>
        </w:rPr>
        <w:t xml:space="preserve"> ، فَلَمَّا و</w:t>
      </w:r>
      <w:r w:rsidR="00CF6DFF">
        <w:rPr>
          <w:rFonts w:hint="cs"/>
          <w:rtl/>
          <w:lang w:bidi="fa-IR"/>
        </w:rPr>
        <w:t>ُ</w:t>
      </w:r>
      <w:r w:rsidRPr="00132E65">
        <w:rPr>
          <w:rtl/>
          <w:lang w:bidi="fa-IR"/>
        </w:rPr>
        <w:t>لِّيَ أَبُو بَكْرٍ ، أَخْرَجَ عَنْهَا و</w:t>
      </w:r>
      <w:r w:rsidR="00CF6DFF">
        <w:rPr>
          <w:rFonts w:hint="cs"/>
          <w:rtl/>
          <w:lang w:bidi="fa-IR"/>
        </w:rPr>
        <w:t>ُ</w:t>
      </w:r>
      <w:r w:rsidRPr="00132E65">
        <w:rPr>
          <w:rtl/>
          <w:lang w:bidi="fa-IR"/>
        </w:rPr>
        <w:t xml:space="preserve">كَلَاءَهَا ، فَأَتَتْهُ ، فَسَأَلَتْهُ أَنْ يَرُدَّهَا عَلَيْهَا ، فَقَالَ لَهَا : ائْتِينِي بِأَسْوَدَ أَوْ </w:t>
      </w:r>
      <w:r>
        <w:rPr>
          <w:rStyle w:val="libFootnotenumChar"/>
          <w:rtl/>
        </w:rPr>
        <w:t>(6)</w:t>
      </w:r>
      <w:r w:rsidRPr="00132E65">
        <w:rPr>
          <w:rtl/>
          <w:lang w:bidi="fa-IR"/>
        </w:rPr>
        <w:t xml:space="preserve"> أَحْمَرَ يَشْهَدُ لَكِ بِذلِكِ ، فَجَاءَتْ بِأَمِيرِ الْمُؤْمِنِينَ </w:t>
      </w:r>
      <w:r w:rsidRPr="00071CF9">
        <w:rPr>
          <w:rStyle w:val="libAlaemChar"/>
          <w:rtl/>
        </w:rPr>
        <w:t>عليه‌السلام</w:t>
      </w:r>
      <w:r w:rsidRPr="00132E65">
        <w:rPr>
          <w:rtl/>
          <w:lang w:bidi="fa-IR"/>
        </w:rPr>
        <w:t xml:space="preserve"> و</w:t>
      </w:r>
      <w:r w:rsidR="00CF6DFF">
        <w:rPr>
          <w:rFonts w:hint="cs"/>
          <w:rtl/>
          <w:lang w:bidi="fa-IR"/>
        </w:rPr>
        <w:t>َ</w:t>
      </w:r>
      <w:r w:rsidRPr="00132E65">
        <w:rPr>
          <w:rtl/>
          <w:lang w:bidi="fa-IR"/>
        </w:rPr>
        <w:t xml:space="preserve">أُمِّ أَيْمَنَ ، فَشَهِدَا </w:t>
      </w:r>
      <w:r>
        <w:rPr>
          <w:rStyle w:val="libFootnotenumChar"/>
          <w:rtl/>
        </w:rPr>
        <w:t>(7)</w:t>
      </w:r>
      <w:r w:rsidRPr="00132E65">
        <w:rPr>
          <w:rtl/>
          <w:lang w:bidi="fa-IR"/>
        </w:rPr>
        <w:t xml:space="preserve"> لَهَا </w:t>
      </w:r>
      <w:r>
        <w:rPr>
          <w:rStyle w:val="libFootnotenumChar"/>
          <w:rtl/>
        </w:rPr>
        <w:t>(8)</w:t>
      </w:r>
      <w:r w:rsidRPr="00132E65">
        <w:rPr>
          <w:rtl/>
          <w:lang w:bidi="fa-IR"/>
        </w:rPr>
        <w:t xml:space="preserve"> ، فَكَتَبَ لَهَا بِتَرْكِ التَّعَرُّضِ</w:t>
      </w:r>
      <w:r>
        <w:rPr>
          <w:rStyle w:val="libFootnotenumChar"/>
          <w:rtl/>
        </w:rPr>
        <w:t>(9)</w:t>
      </w:r>
      <w:r w:rsidRPr="00132E65">
        <w:rPr>
          <w:rtl/>
          <w:lang w:bidi="fa-IR"/>
        </w:rPr>
        <w:t xml:space="preserve"> ، فَخَرَجَتْ‌</w:t>
      </w:r>
    </w:p>
    <w:p w:rsidR="000C39D1" w:rsidRDefault="000C39D1" w:rsidP="000C39D1">
      <w:pPr>
        <w:pStyle w:val="libLine"/>
        <w:rPr>
          <w:rtl/>
          <w:lang w:bidi="fa-IR"/>
        </w:rPr>
      </w:pPr>
      <w:r w:rsidRPr="00132E65">
        <w:rPr>
          <w:rtl/>
          <w:lang w:bidi="fa-IR"/>
        </w:rPr>
        <w:t>__________________</w:t>
      </w:r>
    </w:p>
    <w:p w:rsidR="000C39D1" w:rsidRPr="00132E65" w:rsidRDefault="00CF6DFF" w:rsidP="000C39D1">
      <w:pPr>
        <w:pStyle w:val="libFootnote0"/>
        <w:rPr>
          <w:rtl/>
          <w:lang w:bidi="fa-IR"/>
        </w:rPr>
      </w:pPr>
      <w:r>
        <w:rPr>
          <w:rFonts w:hint="cs"/>
          <w:rtl/>
        </w:rPr>
        <w:t xml:space="preserve">= </w:t>
      </w:r>
      <w:r w:rsidR="000C39D1" w:rsidRPr="00132E65">
        <w:rPr>
          <w:rtl/>
        </w:rPr>
        <w:t>لهم صلاحاً ولا يضرّهم »</w:t>
      </w:r>
      <w:r w:rsidR="000C39D1">
        <w:rPr>
          <w:rtl/>
        </w:rPr>
        <w:t>.</w:t>
      </w:r>
      <w:r w:rsidR="000C39D1" w:rsidRPr="00132E65">
        <w:rPr>
          <w:rtl/>
        </w:rPr>
        <w:t xml:space="preserve"> </w:t>
      </w:r>
      <w:r w:rsidR="000C39D1" w:rsidRPr="00CF6DFF">
        <w:rPr>
          <w:rStyle w:val="libFootnoteBoldChar"/>
          <w:rtl/>
        </w:rPr>
        <w:t>التهذيب</w:t>
      </w:r>
      <w:r w:rsidR="000C39D1" w:rsidRPr="00132E65">
        <w:rPr>
          <w:rtl/>
        </w:rPr>
        <w:t xml:space="preserve"> ، ج 4 ، ص 128 ، ح 366 ، بسنده عن حمّاد بن عيسى ؛ </w:t>
      </w:r>
      <w:r w:rsidR="000C39D1" w:rsidRPr="00CF6DFF">
        <w:rPr>
          <w:rStyle w:val="libFootnoteBoldChar"/>
          <w:rtl/>
        </w:rPr>
        <w:t>الخصال</w:t>
      </w:r>
      <w:r w:rsidR="000C39D1" w:rsidRPr="00132E65">
        <w:rPr>
          <w:rtl/>
        </w:rPr>
        <w:t xml:space="preserve"> ، ص 291 ، باب الخمسة ، ح 53 ، بسنده عن عليّ بن إبراهيم ، عن أبيه ، عن محمّد بن أبي عمير ، عن غير واحد ، عن أبي عبد الله </w:t>
      </w:r>
      <w:r w:rsidR="000C39D1" w:rsidRPr="00CF6DFF">
        <w:rPr>
          <w:rStyle w:val="libFootnoteAlaemChar"/>
          <w:rtl/>
        </w:rPr>
        <w:t>عليه‌السلام</w:t>
      </w:r>
      <w:r w:rsidR="000C39D1" w:rsidRPr="00132E65">
        <w:rPr>
          <w:rtl/>
        </w:rPr>
        <w:t xml:space="preserve"> ، وتمام الرواية فيه : « الخمس على خمسة أشياء : على الكنوز والمعادن والغوص والغنيمة</w:t>
      </w:r>
      <w:r w:rsidR="000C39D1">
        <w:rPr>
          <w:rtl/>
        </w:rPr>
        <w:t xml:space="preserve"> - </w:t>
      </w:r>
      <w:r w:rsidR="000C39D1" w:rsidRPr="00132E65">
        <w:rPr>
          <w:rtl/>
        </w:rPr>
        <w:t>ونسي ابن أبي عمير الخامس »</w:t>
      </w:r>
      <w:r w:rsidR="000C39D1">
        <w:rPr>
          <w:rtl/>
        </w:rPr>
        <w:t>.</w:t>
      </w:r>
      <w:r w:rsidR="000C39D1" w:rsidRPr="00132E65">
        <w:rPr>
          <w:rtl/>
        </w:rPr>
        <w:t xml:space="preserve"> وراجع : </w:t>
      </w:r>
      <w:r w:rsidR="000C39D1" w:rsidRPr="00CF6DFF">
        <w:rPr>
          <w:rStyle w:val="libFootnoteBoldChar"/>
          <w:rtl/>
        </w:rPr>
        <w:t>التهذيب</w:t>
      </w:r>
      <w:r w:rsidR="000C39D1" w:rsidRPr="00132E65">
        <w:rPr>
          <w:rtl/>
        </w:rPr>
        <w:t xml:space="preserve"> ، ج 4 ، ص 126 ، ح 364 </w:t>
      </w:r>
      <w:r>
        <w:rPr>
          <w:rFonts w:hint="cs"/>
          <w:rtl/>
        </w:rPr>
        <w:t>.</w:t>
      </w:r>
      <w:r w:rsidR="000C39D1" w:rsidRPr="009D1ACE">
        <w:rPr>
          <w:rStyle w:val="libFootnoteBoldChar"/>
          <w:rtl/>
        </w:rPr>
        <w:t>الوافي</w:t>
      </w:r>
      <w:r w:rsidR="000C39D1" w:rsidRPr="00132E65">
        <w:rPr>
          <w:rtl/>
        </w:rPr>
        <w:t xml:space="preserve"> ، ج 10 ، ص 293 ، ح 9599 ؛ </w:t>
      </w:r>
      <w:r w:rsidR="000C39D1" w:rsidRPr="00CF6DFF">
        <w:rPr>
          <w:rStyle w:val="libFootnoteBoldChar"/>
          <w:rtl/>
        </w:rPr>
        <w:t>الوسائل</w:t>
      </w:r>
      <w:r w:rsidR="000C39D1" w:rsidRPr="00132E65">
        <w:rPr>
          <w:rtl/>
        </w:rPr>
        <w:t xml:space="preserve"> ، ج 9 ، ص 487 ، ح 12549 ، إلى قوله : « ومن المعادن والملاحة » ؛ </w:t>
      </w:r>
      <w:r w:rsidR="000C39D1" w:rsidRPr="00406B0F">
        <w:rPr>
          <w:rtl/>
        </w:rPr>
        <w:t>وفيه</w:t>
      </w:r>
      <w:r w:rsidR="000C39D1" w:rsidRPr="00132E65">
        <w:rPr>
          <w:rtl/>
        </w:rPr>
        <w:t xml:space="preserve"> ، ص 513 ، ح 12607 ؛ </w:t>
      </w:r>
      <w:r w:rsidR="000C39D1" w:rsidRPr="00406B0F">
        <w:rPr>
          <w:rtl/>
        </w:rPr>
        <w:t>وفيه</w:t>
      </w:r>
      <w:r w:rsidR="000C39D1" w:rsidRPr="00132E65">
        <w:rPr>
          <w:rtl/>
        </w:rPr>
        <w:t xml:space="preserve"> أيضاً ، ص 524 ، ح 12628 ، من قوله : « وللإمام صفو المال » إلى قوله : « يسعى بذمّتهم أدناهم »</w:t>
      </w:r>
      <w:r w:rsidR="000C39D1">
        <w:rPr>
          <w:rtl/>
        </w:rPr>
        <w:t>.</w:t>
      </w:r>
    </w:p>
    <w:p w:rsidR="000C39D1" w:rsidRPr="00132E65" w:rsidRDefault="000C39D1" w:rsidP="000C39D1">
      <w:pPr>
        <w:pStyle w:val="libFootnote0"/>
        <w:rPr>
          <w:rtl/>
          <w:lang w:bidi="fa-IR"/>
        </w:rPr>
      </w:pPr>
      <w:r>
        <w:rPr>
          <w:rtl/>
        </w:rPr>
        <w:t>(1).</w:t>
      </w:r>
      <w:r w:rsidR="00CF6DFF">
        <w:rPr>
          <w:rtl/>
        </w:rPr>
        <w:t xml:space="preserve"> « الم</w:t>
      </w:r>
      <w:r w:rsidR="00CF6DFF">
        <w:rPr>
          <w:rFonts w:hint="cs"/>
          <w:rtl/>
        </w:rPr>
        <w:t>ـَ</w:t>
      </w:r>
      <w:r w:rsidRPr="00132E65">
        <w:rPr>
          <w:rtl/>
        </w:rPr>
        <w:t xml:space="preserve">ظلِمَة » : اسم لما تطلبه عند الظالم. </w:t>
      </w:r>
      <w:r w:rsidRPr="00CF6DFF">
        <w:rPr>
          <w:rStyle w:val="libFootnoteBoldChar"/>
          <w:rtl/>
        </w:rPr>
        <w:t>المصباح المنير</w:t>
      </w:r>
      <w:r w:rsidRPr="00132E65">
        <w:rPr>
          <w:rtl/>
        </w:rPr>
        <w:t xml:space="preserve"> ، ص 268 ( ظلم )</w:t>
      </w:r>
      <w:r>
        <w:rPr>
          <w:rtl/>
        </w:rPr>
        <w:t>.</w:t>
      </w:r>
    </w:p>
    <w:tbl>
      <w:tblPr>
        <w:tblStyle w:val="TableGrid"/>
        <w:bidiVisual/>
        <w:tblW w:w="0" w:type="auto"/>
        <w:tblLook w:val="04A0" w:firstRow="1" w:lastRow="0" w:firstColumn="1" w:lastColumn="0" w:noHBand="0" w:noVBand="1"/>
      </w:tblPr>
      <w:tblGrid>
        <w:gridCol w:w="4261"/>
        <w:gridCol w:w="4262"/>
      </w:tblGrid>
      <w:tr w:rsidR="00CF6DFF" w:rsidTr="00CF6DFF">
        <w:tc>
          <w:tcPr>
            <w:tcW w:w="4261" w:type="dxa"/>
          </w:tcPr>
          <w:p w:rsidR="00CF6DFF" w:rsidRDefault="00CF6DFF" w:rsidP="000C39D1">
            <w:pPr>
              <w:pStyle w:val="libFootnote0"/>
              <w:rPr>
                <w:rtl/>
              </w:rPr>
            </w:pPr>
            <w:r>
              <w:rPr>
                <w:rtl/>
              </w:rPr>
              <w:t>(2).</w:t>
            </w:r>
            <w:r w:rsidRPr="00132E65">
              <w:rPr>
                <w:rtl/>
              </w:rPr>
              <w:t xml:space="preserve"> في « ب </w:t>
            </w:r>
            <w:r>
              <w:rPr>
                <w:rtl/>
              </w:rPr>
              <w:t>» : « أ</w:t>
            </w:r>
            <w:r w:rsidRPr="00132E65">
              <w:rPr>
                <w:rtl/>
              </w:rPr>
              <w:t>لا تردّ »</w:t>
            </w:r>
            <w:r>
              <w:rPr>
                <w:rtl/>
              </w:rPr>
              <w:t>.</w:t>
            </w:r>
          </w:p>
        </w:tc>
        <w:tc>
          <w:tcPr>
            <w:tcW w:w="4262" w:type="dxa"/>
          </w:tcPr>
          <w:p w:rsidR="00CF6DFF" w:rsidRDefault="00CF6DFF" w:rsidP="000C39D1">
            <w:pPr>
              <w:pStyle w:val="libFootnote0"/>
              <w:rPr>
                <w:rtl/>
              </w:rPr>
            </w:pPr>
            <w:r>
              <w:rPr>
                <w:rtl/>
              </w:rPr>
              <w:t>(3).</w:t>
            </w:r>
            <w:r w:rsidRPr="00132E65">
              <w:rPr>
                <w:rtl/>
              </w:rPr>
              <w:t xml:space="preserve"> اخترنا عدم الانصراف.</w:t>
            </w:r>
          </w:p>
        </w:tc>
      </w:tr>
    </w:tbl>
    <w:p w:rsidR="000C39D1" w:rsidRPr="00132E65" w:rsidRDefault="000C39D1" w:rsidP="000C39D1">
      <w:pPr>
        <w:pStyle w:val="libFootnote0"/>
        <w:rPr>
          <w:rtl/>
          <w:lang w:bidi="fa-IR"/>
        </w:rPr>
      </w:pPr>
      <w:r>
        <w:rPr>
          <w:rtl/>
        </w:rPr>
        <w:t>(4).</w:t>
      </w:r>
      <w:r w:rsidRPr="00132E65">
        <w:rPr>
          <w:rtl/>
        </w:rPr>
        <w:t xml:space="preserve"> في « ف » : « عليهما »</w:t>
      </w:r>
      <w:r>
        <w:rPr>
          <w:rtl/>
        </w:rPr>
        <w:t>.</w:t>
      </w:r>
      <w:r w:rsidRPr="00132E65">
        <w:rPr>
          <w:rtl/>
        </w:rPr>
        <w:t xml:space="preserve"> وفي </w:t>
      </w:r>
      <w:r w:rsidRPr="009D1ACE">
        <w:rPr>
          <w:rStyle w:val="libFootnoteBoldChar"/>
          <w:rtl/>
        </w:rPr>
        <w:t>مرآة العقول</w:t>
      </w:r>
      <w:r w:rsidRPr="00132E65">
        <w:rPr>
          <w:rtl/>
        </w:rPr>
        <w:t xml:space="preserve"> والمقنعة والتهذيب : « عليها »</w:t>
      </w:r>
      <w:r>
        <w:rPr>
          <w:rtl/>
        </w:rPr>
        <w:t>.</w:t>
      </w:r>
    </w:p>
    <w:tbl>
      <w:tblPr>
        <w:tblStyle w:val="TableGrid"/>
        <w:bidiVisual/>
        <w:tblW w:w="0" w:type="auto"/>
        <w:tblLook w:val="04A0" w:firstRow="1" w:lastRow="0" w:firstColumn="1" w:lastColumn="0" w:noHBand="0" w:noVBand="1"/>
      </w:tblPr>
      <w:tblGrid>
        <w:gridCol w:w="4261"/>
        <w:gridCol w:w="4262"/>
      </w:tblGrid>
      <w:tr w:rsidR="00CF6DFF" w:rsidTr="00CF6DFF">
        <w:tc>
          <w:tcPr>
            <w:tcW w:w="4261" w:type="dxa"/>
          </w:tcPr>
          <w:p w:rsidR="00CF6DFF" w:rsidRDefault="00CF6DFF" w:rsidP="000C39D1">
            <w:pPr>
              <w:pStyle w:val="libFootnote0"/>
              <w:rPr>
                <w:rtl/>
                <w:lang w:bidi="fa-IR"/>
              </w:rPr>
            </w:pPr>
            <w:r>
              <w:rPr>
                <w:rtl/>
              </w:rPr>
              <w:t>(5).</w:t>
            </w:r>
            <w:r w:rsidRPr="00132E65">
              <w:rPr>
                <w:rtl/>
              </w:rPr>
              <w:t xml:space="preserve"> الإسراء (17) : 26.</w:t>
            </w:r>
          </w:p>
        </w:tc>
        <w:tc>
          <w:tcPr>
            <w:tcW w:w="4262" w:type="dxa"/>
          </w:tcPr>
          <w:p w:rsidR="00CF6DFF" w:rsidRDefault="00CF6DFF" w:rsidP="000C39D1">
            <w:pPr>
              <w:pStyle w:val="libFootnote0"/>
              <w:rPr>
                <w:rtl/>
                <w:lang w:bidi="fa-IR"/>
              </w:rPr>
            </w:pPr>
            <w:r>
              <w:rPr>
                <w:rtl/>
              </w:rPr>
              <w:t>(6).</w:t>
            </w:r>
            <w:r w:rsidRPr="00132E65">
              <w:rPr>
                <w:rtl/>
              </w:rPr>
              <w:t xml:space="preserve"> في « ض » : «</w:t>
            </w:r>
            <w:r>
              <w:rPr>
                <w:rtl/>
              </w:rPr>
              <w:t xml:space="preserve"> و ».</w:t>
            </w:r>
          </w:p>
        </w:tc>
      </w:tr>
    </w:tbl>
    <w:p w:rsidR="000C39D1" w:rsidRPr="00132E65" w:rsidRDefault="000C39D1" w:rsidP="000C39D1">
      <w:pPr>
        <w:pStyle w:val="libFootnote0"/>
        <w:rPr>
          <w:rtl/>
          <w:lang w:bidi="fa-IR"/>
        </w:rPr>
      </w:pPr>
      <w:r>
        <w:rPr>
          <w:rtl/>
        </w:rPr>
        <w:t>(7).</w:t>
      </w:r>
      <w:r w:rsidRPr="00132E65">
        <w:rPr>
          <w:rtl/>
        </w:rPr>
        <w:t xml:space="preserve"> في « ب ، ج ، ف ، بح ، بر ، بس ، بف » و</w:t>
      </w:r>
      <w:r w:rsidRPr="009D1ACE">
        <w:rPr>
          <w:rStyle w:val="libFootnoteBoldChar"/>
          <w:rtl/>
        </w:rPr>
        <w:t>الوافي</w:t>
      </w:r>
      <w:r w:rsidRPr="00132E65">
        <w:rPr>
          <w:rtl/>
        </w:rPr>
        <w:t xml:space="preserve"> والمقنعة والتهذيب : « فشهدوا »</w:t>
      </w:r>
      <w:r>
        <w:rPr>
          <w:rtl/>
        </w:rPr>
        <w:t>.</w:t>
      </w:r>
    </w:p>
    <w:tbl>
      <w:tblPr>
        <w:tblStyle w:val="TableGrid"/>
        <w:bidiVisual/>
        <w:tblW w:w="0" w:type="auto"/>
        <w:tblLook w:val="04A0" w:firstRow="1" w:lastRow="0" w:firstColumn="1" w:lastColumn="0" w:noHBand="0" w:noVBand="1"/>
      </w:tblPr>
      <w:tblGrid>
        <w:gridCol w:w="4261"/>
        <w:gridCol w:w="4262"/>
      </w:tblGrid>
      <w:tr w:rsidR="00CF6DFF" w:rsidTr="00CF6DFF">
        <w:tc>
          <w:tcPr>
            <w:tcW w:w="4261" w:type="dxa"/>
          </w:tcPr>
          <w:p w:rsidR="00CF6DFF" w:rsidRDefault="00CF6DFF" w:rsidP="000C39D1">
            <w:pPr>
              <w:pStyle w:val="libFootnote0"/>
              <w:rPr>
                <w:rtl/>
                <w:lang w:bidi="fa-IR"/>
              </w:rPr>
            </w:pPr>
            <w:r>
              <w:rPr>
                <w:rtl/>
              </w:rPr>
              <w:t>(8).</w:t>
            </w:r>
            <w:r w:rsidRPr="00132E65">
              <w:rPr>
                <w:rtl/>
              </w:rPr>
              <w:t xml:space="preserve"> في « ج » </w:t>
            </w:r>
            <w:r>
              <w:rPr>
                <w:rtl/>
              </w:rPr>
              <w:t xml:space="preserve">: - </w:t>
            </w:r>
            <w:r w:rsidRPr="00132E65">
              <w:rPr>
                <w:rtl/>
              </w:rPr>
              <w:t>« لها »</w:t>
            </w:r>
            <w:r>
              <w:rPr>
                <w:rtl/>
              </w:rPr>
              <w:t>.</w:t>
            </w:r>
          </w:p>
        </w:tc>
        <w:tc>
          <w:tcPr>
            <w:tcW w:w="4262" w:type="dxa"/>
          </w:tcPr>
          <w:p w:rsidR="00CF6DFF" w:rsidRDefault="00CF6DFF" w:rsidP="000C39D1">
            <w:pPr>
              <w:pStyle w:val="libFootnote0"/>
              <w:rPr>
                <w:rtl/>
                <w:lang w:bidi="fa-IR"/>
              </w:rPr>
            </w:pPr>
            <w:r>
              <w:rPr>
                <w:rtl/>
              </w:rPr>
              <w:t>(9).في «ف ، بر ، بف» وحاشية «ج ، بس» : «العرض</w:t>
            </w:r>
            <w:r w:rsidRPr="00132E65">
              <w:rPr>
                <w:rtl/>
              </w:rPr>
              <w:t>»</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وَالْكِتَابُ مَعَهَا ، فَلَقِيَهَا عُمَرُ ، فَقَالَ : مَا هذَا مَعَكِ يَا بِنْتَ مُحَمَّدٍ</w:t>
      </w:r>
      <w:r>
        <w:rPr>
          <w:rtl/>
          <w:lang w:bidi="fa-IR"/>
        </w:rPr>
        <w:t>؟</w:t>
      </w:r>
      <w:r w:rsidRPr="00132E65">
        <w:rPr>
          <w:rtl/>
          <w:lang w:bidi="fa-IR"/>
        </w:rPr>
        <w:t xml:space="preserve"> قَالَتْ : كِتَابٌ كَتَبَهُ </w:t>
      </w:r>
      <w:r>
        <w:rPr>
          <w:rStyle w:val="libFootnotenumChar"/>
          <w:rtl/>
        </w:rPr>
        <w:t>(1)</w:t>
      </w:r>
      <w:r w:rsidRPr="00132E65">
        <w:rPr>
          <w:rtl/>
          <w:lang w:bidi="fa-IR"/>
        </w:rPr>
        <w:t xml:space="preserve"> لِيَ </w:t>
      </w:r>
      <w:r>
        <w:rPr>
          <w:rStyle w:val="libFootnotenumChar"/>
          <w:rtl/>
        </w:rPr>
        <w:t>(2)</w:t>
      </w:r>
      <w:r w:rsidRPr="00132E65">
        <w:rPr>
          <w:rtl/>
          <w:lang w:bidi="fa-IR"/>
        </w:rPr>
        <w:t xml:space="preserve"> ابْنُ أَبِي قُحَافَةَ ، قَالَ </w:t>
      </w:r>
      <w:r>
        <w:rPr>
          <w:rStyle w:val="libFootnotenumChar"/>
          <w:rtl/>
        </w:rPr>
        <w:t>(3)</w:t>
      </w:r>
      <w:r w:rsidRPr="00132E65">
        <w:rPr>
          <w:rtl/>
          <w:lang w:bidi="fa-IR"/>
        </w:rPr>
        <w:t xml:space="preserve"> : أَرِينِيهِ ، فَأَبَتْ ، فَانْتَزَعَهُ مِنْ يَدِهَا ، و</w:t>
      </w:r>
      <w:r w:rsidR="00CF6DFF">
        <w:rPr>
          <w:rFonts w:hint="cs"/>
          <w:rtl/>
          <w:lang w:bidi="fa-IR"/>
        </w:rPr>
        <w:t>َ</w:t>
      </w:r>
      <w:r w:rsidRPr="00132E65">
        <w:rPr>
          <w:rtl/>
          <w:lang w:bidi="fa-IR"/>
        </w:rPr>
        <w:t>نَظَرَ فِيهِ ، ثُمَّ تَفَلَ فِيهِ ، و</w:t>
      </w:r>
      <w:r w:rsidR="00CF6DFF">
        <w:rPr>
          <w:rFonts w:hint="cs"/>
          <w:rtl/>
          <w:lang w:bidi="fa-IR"/>
        </w:rPr>
        <w:t>َ</w:t>
      </w:r>
      <w:r w:rsidRPr="00132E65">
        <w:rPr>
          <w:rtl/>
          <w:lang w:bidi="fa-IR"/>
        </w:rPr>
        <w:t>مَحَاهُ و</w:t>
      </w:r>
      <w:r w:rsidR="00CF6DFF">
        <w:rPr>
          <w:rFonts w:hint="cs"/>
          <w:rtl/>
          <w:lang w:bidi="fa-IR"/>
        </w:rPr>
        <w:t>َ</w:t>
      </w:r>
      <w:r w:rsidRPr="00132E65">
        <w:rPr>
          <w:rtl/>
          <w:lang w:bidi="fa-IR"/>
        </w:rPr>
        <w:t xml:space="preserve">خَرَقَهُ ، فَقَالَ لَهَا : هذَا </w:t>
      </w:r>
      <w:r>
        <w:rPr>
          <w:rStyle w:val="libFootnotenumChar"/>
          <w:rtl/>
        </w:rPr>
        <w:t>(4)</w:t>
      </w:r>
      <w:r w:rsidRPr="00132E65">
        <w:rPr>
          <w:rtl/>
          <w:lang w:bidi="fa-IR"/>
        </w:rPr>
        <w:t xml:space="preserve"> لَمْ يُوجِفْ عَلَيْهِ أَبُوكِ بِخَيْلٍ و</w:t>
      </w:r>
      <w:r w:rsidR="00CF6DFF">
        <w:rPr>
          <w:rFonts w:hint="cs"/>
          <w:rtl/>
          <w:lang w:bidi="fa-IR"/>
        </w:rPr>
        <w:t>َ</w:t>
      </w:r>
      <w:r w:rsidRPr="00132E65">
        <w:rPr>
          <w:rtl/>
          <w:lang w:bidi="fa-IR"/>
        </w:rPr>
        <w:t xml:space="preserve">لَارِكَابٍ ، فَضَعِي الْحِبَالَ </w:t>
      </w:r>
      <w:r>
        <w:rPr>
          <w:rStyle w:val="libFootnotenumChar"/>
          <w:rtl/>
        </w:rPr>
        <w:t>(5)</w:t>
      </w:r>
      <w:r w:rsidRPr="00132E65">
        <w:rPr>
          <w:rtl/>
          <w:lang w:bidi="fa-IR"/>
        </w:rPr>
        <w:t xml:space="preserve"> فِي رِقَابِنَا »</w:t>
      </w:r>
      <w:r>
        <w:rPr>
          <w:rtl/>
          <w:lang w:bidi="fa-IR"/>
        </w:rPr>
        <w:t>.</w:t>
      </w:r>
    </w:p>
    <w:p w:rsidR="000C39D1" w:rsidRPr="00132E65" w:rsidRDefault="000C39D1" w:rsidP="000C39D1">
      <w:pPr>
        <w:pStyle w:val="libNormal"/>
        <w:rPr>
          <w:rtl/>
          <w:lang w:bidi="fa-IR"/>
        </w:rPr>
      </w:pPr>
      <w:r w:rsidRPr="00132E65">
        <w:rPr>
          <w:rtl/>
          <w:lang w:bidi="fa-IR"/>
        </w:rPr>
        <w:t xml:space="preserve">فَقَالَ لَهُ الْمَهْدِيُّ : يَا أَبَا الْحَسَنِ ، حُدَّهَا لِي </w:t>
      </w:r>
      <w:r>
        <w:rPr>
          <w:rStyle w:val="libFootnotenumChar"/>
          <w:rtl/>
        </w:rPr>
        <w:t>(6)</w:t>
      </w:r>
      <w:r w:rsidRPr="00132E65">
        <w:rPr>
          <w:rtl/>
          <w:lang w:bidi="fa-IR"/>
        </w:rPr>
        <w:t xml:space="preserve"> ، فَقَالَ : « حَدٌّ مِنْهَا جَبَلُ أُحُدٍ ، و</w:t>
      </w:r>
      <w:r w:rsidR="00CF6DFF">
        <w:rPr>
          <w:rFonts w:hint="cs"/>
          <w:rtl/>
          <w:lang w:bidi="fa-IR"/>
        </w:rPr>
        <w:t>َ</w:t>
      </w:r>
      <w:r w:rsidRPr="00132E65">
        <w:rPr>
          <w:rtl/>
          <w:lang w:bidi="fa-IR"/>
        </w:rPr>
        <w:t>حَدٌّ مِنْهَا عَرِيشُ مِصْرَ ، و</w:t>
      </w:r>
      <w:r w:rsidR="00CF6DFF">
        <w:rPr>
          <w:rFonts w:hint="cs"/>
          <w:rtl/>
          <w:lang w:bidi="fa-IR"/>
        </w:rPr>
        <w:t>َ</w:t>
      </w:r>
      <w:r w:rsidRPr="00132E65">
        <w:rPr>
          <w:rtl/>
          <w:lang w:bidi="fa-IR"/>
        </w:rPr>
        <w:t>حَدٌّ مِنْهَا سِيفُ الْبَحْرِ ، و</w:t>
      </w:r>
      <w:r w:rsidR="00CF6DFF">
        <w:rPr>
          <w:rFonts w:hint="cs"/>
          <w:rtl/>
          <w:lang w:bidi="fa-IR"/>
        </w:rPr>
        <w:t>َ</w:t>
      </w:r>
      <w:r w:rsidRPr="00132E65">
        <w:rPr>
          <w:rtl/>
          <w:lang w:bidi="fa-IR"/>
        </w:rPr>
        <w:t>حَدٌّ مِنْهَا دُومَةُ الْجَنْدَلِ »</w:t>
      </w:r>
      <w:r>
        <w:rPr>
          <w:rtl/>
          <w:lang w:bidi="fa-IR"/>
        </w:rPr>
        <w:t>.</w:t>
      </w:r>
      <w:r w:rsidRPr="00132E65">
        <w:rPr>
          <w:rtl/>
          <w:lang w:bidi="fa-IR"/>
        </w:rPr>
        <w:t xml:space="preserve"> فَقَالَ </w:t>
      </w:r>
      <w:r>
        <w:rPr>
          <w:rStyle w:val="libFootnotenumChar"/>
          <w:rtl/>
        </w:rPr>
        <w:t>(7)</w:t>
      </w:r>
      <w:r w:rsidRPr="00132E65">
        <w:rPr>
          <w:rtl/>
          <w:lang w:bidi="fa-IR"/>
        </w:rPr>
        <w:t xml:space="preserve"> لَهُ </w:t>
      </w:r>
      <w:r>
        <w:rPr>
          <w:rStyle w:val="libFootnotenumChar"/>
          <w:rtl/>
        </w:rPr>
        <w:t>(8)</w:t>
      </w:r>
      <w:r w:rsidRPr="00132E65">
        <w:rPr>
          <w:rtl/>
          <w:lang w:bidi="fa-IR"/>
        </w:rPr>
        <w:t xml:space="preserve"> :</w:t>
      </w:r>
      <w:r>
        <w:rPr>
          <w:rFonts w:hint="cs"/>
          <w:rtl/>
          <w:lang w:bidi="fa-IR"/>
        </w:rPr>
        <w:t xml:space="preserve"> </w:t>
      </w:r>
      <w:r w:rsidRPr="00132E65">
        <w:rPr>
          <w:rtl/>
          <w:lang w:bidi="fa-IR"/>
        </w:rPr>
        <w:t>كُلُّ هذَا</w:t>
      </w:r>
      <w:r>
        <w:rPr>
          <w:rtl/>
          <w:lang w:bidi="fa-IR"/>
        </w:rPr>
        <w:t>؟</w:t>
      </w:r>
      <w:r w:rsidRPr="00132E65">
        <w:rPr>
          <w:rtl/>
          <w:lang w:bidi="fa-IR"/>
        </w:rPr>
        <w:t xml:space="preserve"> قَالَ : « نَعَمْ يَا أَمِيرَ الْمُؤْمِنِينَ ، هذَا كُلُّهُ </w:t>
      </w:r>
      <w:r>
        <w:rPr>
          <w:rStyle w:val="libFootnotenumChar"/>
          <w:rtl/>
        </w:rPr>
        <w:t>(9)</w:t>
      </w:r>
      <w:r w:rsidRPr="00132E65">
        <w:rPr>
          <w:rtl/>
          <w:lang w:bidi="fa-IR"/>
        </w:rPr>
        <w:t xml:space="preserve"> ، إِنَّ هذَا كُلَّهُ </w:t>
      </w:r>
      <w:r>
        <w:rPr>
          <w:rStyle w:val="libFootnotenumChar"/>
          <w:rtl/>
        </w:rPr>
        <w:t>(10)</w:t>
      </w:r>
      <w:r w:rsidRPr="00132E65">
        <w:rPr>
          <w:rtl/>
          <w:lang w:bidi="fa-IR"/>
        </w:rPr>
        <w:t xml:space="preserve"> مِمَّا لَمْ يُوجِفْ عَلى أَهْلِهِ </w:t>
      </w:r>
      <w:r>
        <w:rPr>
          <w:rStyle w:val="libFootnotenumChar"/>
          <w:rtl/>
        </w:rPr>
        <w:t>(11)</w:t>
      </w:r>
      <w:r w:rsidRPr="00132E65">
        <w:rPr>
          <w:rtl/>
          <w:lang w:bidi="fa-IR"/>
        </w:rPr>
        <w:t xml:space="preserve"> رَسُولُ اللهِ </w:t>
      </w:r>
      <w:r w:rsidRPr="0093484F">
        <w:rPr>
          <w:rStyle w:val="libAlaemChar"/>
          <w:rFonts w:eastAsiaTheme="minorHAnsi"/>
          <w:rtl/>
        </w:rPr>
        <w:t>صلى‌الله‌عليه‌وآله</w:t>
      </w:r>
      <w:r w:rsidRPr="00132E65">
        <w:rPr>
          <w:rtl/>
          <w:lang w:bidi="fa-IR"/>
        </w:rPr>
        <w:t xml:space="preserve"> بِخَيْلٍ و</w:t>
      </w:r>
      <w:r w:rsidR="00CF6DFF">
        <w:rPr>
          <w:rFonts w:hint="cs"/>
          <w:rtl/>
          <w:lang w:bidi="fa-IR"/>
        </w:rPr>
        <w:t>َ</w:t>
      </w:r>
      <w:r w:rsidRPr="00132E65">
        <w:rPr>
          <w:rtl/>
          <w:lang w:bidi="fa-IR"/>
        </w:rPr>
        <w:t>لَارِكَابٍ »</w:t>
      </w:r>
      <w:r>
        <w:rPr>
          <w:rtl/>
          <w:lang w:bidi="fa-IR"/>
        </w:rPr>
        <w:t>.</w:t>
      </w:r>
      <w:r w:rsidRPr="00132E65">
        <w:rPr>
          <w:rtl/>
          <w:lang w:bidi="fa-IR"/>
        </w:rPr>
        <w:t xml:space="preserve"> فَقَالَ : كَثِيرٌ ، و</w:t>
      </w:r>
      <w:r w:rsidR="00CF6DFF">
        <w:rPr>
          <w:rFonts w:hint="cs"/>
          <w:rtl/>
          <w:lang w:bidi="fa-IR"/>
        </w:rPr>
        <w:t>َ</w:t>
      </w:r>
      <w:r w:rsidRPr="00132E65">
        <w:rPr>
          <w:rtl/>
          <w:lang w:bidi="fa-IR"/>
        </w:rPr>
        <w:t xml:space="preserve">أَنْظُرُ فِيهِ </w:t>
      </w:r>
      <w:r>
        <w:rPr>
          <w:rStyle w:val="libFootnotenumChar"/>
          <w:rtl/>
        </w:rPr>
        <w:t>(12)</w:t>
      </w:r>
      <w:r w:rsidRPr="00132E65">
        <w:rPr>
          <w:rtl/>
          <w:lang w:bidi="fa-IR"/>
        </w:rPr>
        <w:t xml:space="preserve"> </w:t>
      </w:r>
      <w:r w:rsidR="00CF6DFF">
        <w:rPr>
          <w:rFonts w:hint="cs"/>
          <w:rtl/>
          <w:lang w:bidi="fa-IR"/>
        </w:rPr>
        <w:t>.</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406B0F">
        <w:rPr>
          <w:rtl/>
        </w:rPr>
        <w:t>1426</w:t>
      </w:r>
      <w:r w:rsidRPr="004325D8">
        <w:rPr>
          <w:rStyle w:val="libBold2Char"/>
          <w:rtl/>
        </w:rPr>
        <w:t xml:space="preserve"> / 6.</w:t>
      </w:r>
      <w:r w:rsidRPr="00132E65">
        <w:rPr>
          <w:rtl/>
          <w:lang w:bidi="fa-IR"/>
        </w:rPr>
        <w:t xml:space="preserve"> عِدَّةٌ مِنْ أَصْحَابِنَا ، عَنْ أَحْمَدَ بْنِ مُحَمَّدٍ ، عَنْ عَلِيِّ بْنِ الْحَكَمِ ، عَنْ عَلِيِّ بْنِ </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CF6DFF" w:rsidTr="00CF6DFF">
        <w:tc>
          <w:tcPr>
            <w:tcW w:w="4261" w:type="dxa"/>
          </w:tcPr>
          <w:p w:rsidR="00CF6DFF" w:rsidRDefault="00CF6DFF" w:rsidP="000C39D1">
            <w:pPr>
              <w:pStyle w:val="libFootnote0"/>
              <w:rPr>
                <w:rtl/>
              </w:rPr>
            </w:pPr>
            <w:r>
              <w:rPr>
                <w:rtl/>
              </w:rPr>
              <w:t>(1).</w:t>
            </w:r>
            <w:r w:rsidRPr="00132E65">
              <w:rPr>
                <w:rtl/>
              </w:rPr>
              <w:t xml:space="preserve"> في البحار : « كتب »</w:t>
            </w:r>
            <w:r>
              <w:rPr>
                <w:rtl/>
              </w:rPr>
              <w:t>.</w:t>
            </w:r>
          </w:p>
        </w:tc>
        <w:tc>
          <w:tcPr>
            <w:tcW w:w="4262" w:type="dxa"/>
          </w:tcPr>
          <w:p w:rsidR="00CF6DFF" w:rsidRDefault="00CF6DFF" w:rsidP="000C39D1">
            <w:pPr>
              <w:pStyle w:val="libFootnote0"/>
              <w:rPr>
                <w:rtl/>
              </w:rPr>
            </w:pPr>
            <w:r>
              <w:rPr>
                <w:rtl/>
              </w:rPr>
              <w:t>(2).</w:t>
            </w:r>
            <w:r w:rsidRPr="00132E65">
              <w:rPr>
                <w:rtl/>
              </w:rPr>
              <w:t xml:space="preserve"> في « بر » </w:t>
            </w:r>
            <w:r>
              <w:rPr>
                <w:rtl/>
              </w:rPr>
              <w:t xml:space="preserve">: - </w:t>
            </w:r>
            <w:r w:rsidRPr="00132E65">
              <w:rPr>
                <w:rtl/>
              </w:rPr>
              <w:t>« لي »</w:t>
            </w:r>
            <w:r>
              <w:rPr>
                <w:rtl/>
              </w:rPr>
              <w:t>.</w:t>
            </w:r>
          </w:p>
        </w:tc>
      </w:tr>
      <w:tr w:rsidR="00CF6DFF" w:rsidTr="00CF6DFF">
        <w:tc>
          <w:tcPr>
            <w:tcW w:w="4261" w:type="dxa"/>
          </w:tcPr>
          <w:p w:rsidR="00CF6DFF" w:rsidRDefault="00CF6DFF" w:rsidP="000C39D1">
            <w:pPr>
              <w:pStyle w:val="libFootnote0"/>
              <w:rPr>
                <w:rtl/>
              </w:rPr>
            </w:pPr>
            <w:r>
              <w:rPr>
                <w:rtl/>
              </w:rPr>
              <w:t>(3).</w:t>
            </w:r>
            <w:r w:rsidRPr="00132E65">
              <w:rPr>
                <w:rtl/>
              </w:rPr>
              <w:t xml:space="preserve"> في </w:t>
            </w:r>
            <w:r w:rsidRPr="00CF6DFF">
              <w:rPr>
                <w:rtl/>
              </w:rPr>
              <w:t>الوافي</w:t>
            </w:r>
            <w:r w:rsidRPr="00132E65">
              <w:rPr>
                <w:rtl/>
              </w:rPr>
              <w:t xml:space="preserve"> :</w:t>
            </w:r>
            <w:r>
              <w:rPr>
                <w:rtl/>
              </w:rPr>
              <w:t xml:space="preserve"> + </w:t>
            </w:r>
            <w:r w:rsidRPr="00132E65">
              <w:rPr>
                <w:rtl/>
              </w:rPr>
              <w:t>« لها »</w:t>
            </w:r>
            <w:r>
              <w:rPr>
                <w:rtl/>
              </w:rPr>
              <w:t>.</w:t>
            </w:r>
          </w:p>
        </w:tc>
        <w:tc>
          <w:tcPr>
            <w:tcW w:w="4262" w:type="dxa"/>
          </w:tcPr>
          <w:p w:rsidR="00CF6DFF" w:rsidRDefault="00CF6DFF" w:rsidP="000C39D1">
            <w:pPr>
              <w:pStyle w:val="libFootnote0"/>
              <w:rPr>
                <w:rtl/>
              </w:rPr>
            </w:pPr>
            <w:r>
              <w:rPr>
                <w:rtl/>
              </w:rPr>
              <w:t>(4).</w:t>
            </w:r>
            <w:r w:rsidRPr="00132E65">
              <w:rPr>
                <w:rtl/>
              </w:rPr>
              <w:t xml:space="preserve"> في حاشية « ف » :</w:t>
            </w:r>
            <w:r>
              <w:rPr>
                <w:rtl/>
              </w:rPr>
              <w:t xml:space="preserve"> + </w:t>
            </w:r>
            <w:r w:rsidRPr="00132E65">
              <w:rPr>
                <w:rtl/>
              </w:rPr>
              <w:t>« ممّا »</w:t>
            </w:r>
            <w:r>
              <w:rPr>
                <w:rtl/>
              </w:rPr>
              <w:t>.</w:t>
            </w:r>
          </w:p>
        </w:tc>
      </w:tr>
    </w:tbl>
    <w:p w:rsidR="000C39D1" w:rsidRPr="00132E65" w:rsidRDefault="000C39D1" w:rsidP="000C39D1">
      <w:pPr>
        <w:pStyle w:val="libFootnote0"/>
        <w:rPr>
          <w:rtl/>
          <w:lang w:bidi="fa-IR"/>
        </w:rPr>
      </w:pPr>
      <w:r>
        <w:rPr>
          <w:rtl/>
        </w:rPr>
        <w:t>(5).</w:t>
      </w:r>
      <w:r w:rsidRPr="00132E65">
        <w:rPr>
          <w:rtl/>
        </w:rPr>
        <w:t xml:space="preserve"> في « بح ، بر ، بف » « الجبال » بالمعجمة. وفي </w:t>
      </w:r>
      <w:r w:rsidRPr="009D1ACE">
        <w:rPr>
          <w:rStyle w:val="libFootnoteBoldChar"/>
          <w:rtl/>
        </w:rPr>
        <w:t>مرآة العقول</w:t>
      </w:r>
      <w:r w:rsidRPr="00132E65">
        <w:rPr>
          <w:rtl/>
        </w:rPr>
        <w:t xml:space="preserve"> ، ج 6 ، ص 269 : « في بعض النسخ بالحاء المهملة ، أي ضعي الحبال في رقابنا لترفيعنا إلى حاكم ، قاله تحقيراً وتعجيزاً ، وقاله تفريعاً على المحال بزعمه ، أي إنّك إذا أعطيت ذلك وضعت الحبل على رقابنا وجعلتنا عبيداً لك ، أو إنّك إذا حكمت على ما لم يوجف عليها أبوك بأنّها ملكٌ ، فاحكمي على رقابنا أيضاً بالملكيّة. وفي بعض النسخ بالجيم ، أي قدرت على وضع الجبال على رقابنا جزاءً لما فعلنا فضعي ، أو الجبال كناية عن الإثم والوزر ، وعلى التقديرين فالكلام أيضاً على الاستهزاء والتعجيز »</w:t>
      </w:r>
      <w:r>
        <w:rPr>
          <w:rtl/>
        </w:rPr>
        <w:t>.</w:t>
      </w:r>
    </w:p>
    <w:p w:rsidR="000C39D1" w:rsidRPr="00132E65" w:rsidRDefault="000C39D1" w:rsidP="000C39D1">
      <w:pPr>
        <w:pStyle w:val="libFootnote0"/>
        <w:rPr>
          <w:rtl/>
          <w:lang w:bidi="fa-IR"/>
        </w:rPr>
      </w:pPr>
      <w:r>
        <w:rPr>
          <w:rtl/>
        </w:rPr>
        <w:t>(6).</w:t>
      </w:r>
      <w:r w:rsidRPr="00132E65">
        <w:rPr>
          <w:rtl/>
        </w:rPr>
        <w:t xml:space="preserve"> في البحار : « إلى »</w:t>
      </w:r>
      <w:r>
        <w:rPr>
          <w:rtl/>
        </w:rPr>
        <w:t>.</w:t>
      </w:r>
    </w:p>
    <w:tbl>
      <w:tblPr>
        <w:tblStyle w:val="TableGrid"/>
        <w:bidiVisual/>
        <w:tblW w:w="0" w:type="auto"/>
        <w:tblLook w:val="04A0" w:firstRow="1" w:lastRow="0" w:firstColumn="1" w:lastColumn="0" w:noHBand="0" w:noVBand="1"/>
      </w:tblPr>
      <w:tblGrid>
        <w:gridCol w:w="4261"/>
        <w:gridCol w:w="4262"/>
      </w:tblGrid>
      <w:tr w:rsidR="00CF6DFF" w:rsidTr="00CF6DFF">
        <w:tc>
          <w:tcPr>
            <w:tcW w:w="4261" w:type="dxa"/>
          </w:tcPr>
          <w:p w:rsidR="00CF6DFF" w:rsidRDefault="00CF6DFF" w:rsidP="000C39D1">
            <w:pPr>
              <w:pStyle w:val="libFootnote0"/>
              <w:rPr>
                <w:rtl/>
              </w:rPr>
            </w:pPr>
            <w:r>
              <w:rPr>
                <w:rtl/>
              </w:rPr>
              <w:t>(7).</w:t>
            </w:r>
            <w:r w:rsidRPr="00132E65">
              <w:rPr>
                <w:rtl/>
              </w:rPr>
              <w:t xml:space="preserve"> في الوسائل : « قيل »</w:t>
            </w:r>
            <w:r>
              <w:rPr>
                <w:rtl/>
              </w:rPr>
              <w:t>.</w:t>
            </w:r>
          </w:p>
        </w:tc>
        <w:tc>
          <w:tcPr>
            <w:tcW w:w="4262" w:type="dxa"/>
          </w:tcPr>
          <w:p w:rsidR="00CF6DFF" w:rsidRDefault="00CF6DFF" w:rsidP="000C39D1">
            <w:pPr>
              <w:pStyle w:val="libFootnote0"/>
              <w:rPr>
                <w:rtl/>
              </w:rPr>
            </w:pPr>
            <w:r>
              <w:rPr>
                <w:rtl/>
              </w:rPr>
              <w:t>(8).</w:t>
            </w:r>
            <w:r w:rsidRPr="00132E65">
              <w:rPr>
                <w:rtl/>
              </w:rPr>
              <w:t xml:space="preserve"> في « ج » </w:t>
            </w:r>
            <w:r w:rsidRPr="00CF6DFF">
              <w:rPr>
                <w:rtl/>
              </w:rPr>
              <w:t>والوافي</w:t>
            </w:r>
            <w:r w:rsidRPr="00132E65">
              <w:rPr>
                <w:rtl/>
              </w:rPr>
              <w:t xml:space="preserve"> </w:t>
            </w:r>
            <w:r>
              <w:rPr>
                <w:rtl/>
              </w:rPr>
              <w:t xml:space="preserve">: - </w:t>
            </w:r>
            <w:r w:rsidRPr="00132E65">
              <w:rPr>
                <w:rtl/>
              </w:rPr>
              <w:t>« له »</w:t>
            </w:r>
            <w:r>
              <w:rPr>
                <w:rtl/>
              </w:rPr>
              <w:t>.</w:t>
            </w:r>
          </w:p>
        </w:tc>
      </w:tr>
      <w:tr w:rsidR="00CF6DFF" w:rsidTr="00CF6DFF">
        <w:tc>
          <w:tcPr>
            <w:tcW w:w="4261" w:type="dxa"/>
          </w:tcPr>
          <w:p w:rsidR="00CF6DFF" w:rsidRDefault="00CF6DFF" w:rsidP="000C39D1">
            <w:pPr>
              <w:pStyle w:val="libFootnote0"/>
              <w:rPr>
                <w:rtl/>
              </w:rPr>
            </w:pPr>
            <w:r>
              <w:rPr>
                <w:rtl/>
              </w:rPr>
              <w:t>(9).</w:t>
            </w:r>
            <w:r w:rsidRPr="00132E65">
              <w:rPr>
                <w:rtl/>
              </w:rPr>
              <w:t xml:space="preserve"> في الوسائل </w:t>
            </w:r>
            <w:r>
              <w:rPr>
                <w:rtl/>
              </w:rPr>
              <w:t xml:space="preserve">: - </w:t>
            </w:r>
            <w:r w:rsidRPr="00132E65">
              <w:rPr>
                <w:rtl/>
              </w:rPr>
              <w:t>« يا أمير المؤمنين هذا كلّه »</w:t>
            </w:r>
            <w:r>
              <w:rPr>
                <w:rtl/>
              </w:rPr>
              <w:t>.</w:t>
            </w:r>
          </w:p>
        </w:tc>
        <w:tc>
          <w:tcPr>
            <w:tcW w:w="4262" w:type="dxa"/>
          </w:tcPr>
          <w:p w:rsidR="00CF6DFF" w:rsidRDefault="00CF6DFF" w:rsidP="000C39D1">
            <w:pPr>
              <w:pStyle w:val="libFootnote0"/>
              <w:rPr>
                <w:rtl/>
              </w:rPr>
            </w:pPr>
            <w:r>
              <w:rPr>
                <w:rtl/>
              </w:rPr>
              <w:t>(10).</w:t>
            </w:r>
            <w:r w:rsidRPr="00132E65">
              <w:rPr>
                <w:rtl/>
              </w:rPr>
              <w:t xml:space="preserve"> في البحار </w:t>
            </w:r>
            <w:r>
              <w:rPr>
                <w:rtl/>
              </w:rPr>
              <w:t xml:space="preserve">: - </w:t>
            </w:r>
            <w:r w:rsidRPr="00132E65">
              <w:rPr>
                <w:rtl/>
              </w:rPr>
              <w:t>« كلّه »</w:t>
            </w:r>
            <w:r>
              <w:rPr>
                <w:rtl/>
              </w:rPr>
              <w:t>.</w:t>
            </w:r>
          </w:p>
        </w:tc>
      </w:tr>
    </w:tbl>
    <w:p w:rsidR="000C39D1" w:rsidRPr="00132E65" w:rsidRDefault="000C39D1" w:rsidP="000C39D1">
      <w:pPr>
        <w:pStyle w:val="libFootnote0"/>
        <w:rPr>
          <w:rtl/>
          <w:lang w:bidi="fa-IR"/>
        </w:rPr>
      </w:pPr>
      <w:r>
        <w:rPr>
          <w:rtl/>
        </w:rPr>
        <w:t>(11).</w:t>
      </w:r>
      <w:r w:rsidRPr="00132E65">
        <w:rPr>
          <w:rtl/>
        </w:rPr>
        <w:t xml:space="preserve"> هكذا في « بج » والمطبوع. وسائر النسخ و</w:t>
      </w:r>
      <w:r w:rsidRPr="009D1ACE">
        <w:rPr>
          <w:rStyle w:val="libFootnoteBoldChar"/>
          <w:rtl/>
        </w:rPr>
        <w:t>الوافي</w:t>
      </w:r>
      <w:r w:rsidRPr="00132E65">
        <w:rPr>
          <w:rtl/>
        </w:rPr>
        <w:t xml:space="preserve"> والوسائل والبحار : « أهله على »</w:t>
      </w:r>
      <w:r>
        <w:rPr>
          <w:rtl/>
        </w:rPr>
        <w:t>.</w:t>
      </w:r>
    </w:p>
    <w:p w:rsidR="000C39D1" w:rsidRPr="00132E65" w:rsidRDefault="000C39D1" w:rsidP="000C39D1">
      <w:pPr>
        <w:pStyle w:val="libFootnote0"/>
        <w:rPr>
          <w:rtl/>
          <w:lang w:bidi="fa-IR"/>
        </w:rPr>
      </w:pPr>
      <w:r>
        <w:rPr>
          <w:rtl/>
        </w:rPr>
        <w:t>(12).</w:t>
      </w:r>
      <w:r w:rsidRPr="00132E65">
        <w:rPr>
          <w:rtl/>
        </w:rPr>
        <w:t xml:space="preserve"> في الوسائل </w:t>
      </w:r>
      <w:r>
        <w:rPr>
          <w:rtl/>
        </w:rPr>
        <w:t xml:space="preserve">: - </w:t>
      </w:r>
      <w:r w:rsidRPr="00132E65">
        <w:rPr>
          <w:rtl/>
        </w:rPr>
        <w:t>« فقال : كثير وا</w:t>
      </w:r>
      <w:r w:rsidR="00CF6DFF">
        <w:rPr>
          <w:rFonts w:hint="cs"/>
          <w:rtl/>
        </w:rPr>
        <w:t>ُ</w:t>
      </w:r>
      <w:r w:rsidRPr="00132E65">
        <w:rPr>
          <w:rtl/>
        </w:rPr>
        <w:t>نظر فيه »</w:t>
      </w:r>
      <w:r>
        <w:rPr>
          <w:rtl/>
        </w:rPr>
        <w:t>.</w:t>
      </w:r>
    </w:p>
    <w:p w:rsidR="000C39D1" w:rsidRPr="00132E65" w:rsidRDefault="000C39D1" w:rsidP="000C39D1">
      <w:pPr>
        <w:pStyle w:val="libFootnote0"/>
        <w:rPr>
          <w:rtl/>
          <w:lang w:bidi="fa-IR"/>
        </w:rPr>
      </w:pPr>
      <w:r>
        <w:rPr>
          <w:rtl/>
        </w:rPr>
        <w:t>(13)</w:t>
      </w:r>
      <w:r w:rsidRPr="00132E65">
        <w:rPr>
          <w:rtl/>
        </w:rPr>
        <w:t xml:space="preserve"> </w:t>
      </w:r>
      <w:r w:rsidRPr="00CF6DFF">
        <w:rPr>
          <w:rStyle w:val="libFootnoteBoldChar"/>
          <w:rtl/>
        </w:rPr>
        <w:t>التهذيب</w:t>
      </w:r>
      <w:r w:rsidRPr="00132E65">
        <w:rPr>
          <w:rtl/>
        </w:rPr>
        <w:t xml:space="preserve"> ، ج 4 ، ص 148 ، ح 414 بإسناده عن السيّاري ؛ </w:t>
      </w:r>
      <w:r w:rsidRPr="00CF6DFF">
        <w:rPr>
          <w:rStyle w:val="libFootnoteBoldChar"/>
          <w:rtl/>
        </w:rPr>
        <w:t>المقنعة</w:t>
      </w:r>
      <w:r w:rsidRPr="00132E65">
        <w:rPr>
          <w:rtl/>
        </w:rPr>
        <w:t xml:space="preserve"> ، ص 288 ، مرسلاً عن السيّاري. راجع : </w:t>
      </w:r>
      <w:r w:rsidRPr="00CF6DFF">
        <w:rPr>
          <w:rStyle w:val="libFootnoteBoldChar"/>
          <w:rtl/>
        </w:rPr>
        <w:t>تفسير العيّاشي</w:t>
      </w:r>
      <w:r w:rsidRPr="00132E65">
        <w:rPr>
          <w:rtl/>
        </w:rPr>
        <w:t xml:space="preserve"> ، ج 2 ، ص 287 ، ح 49 ؛ </w:t>
      </w:r>
      <w:r w:rsidRPr="00CF6DFF">
        <w:rPr>
          <w:rStyle w:val="libFootnoteBoldChar"/>
          <w:rtl/>
        </w:rPr>
        <w:t>وتفسير فرات</w:t>
      </w:r>
      <w:r w:rsidRPr="00406B0F">
        <w:rPr>
          <w:rtl/>
        </w:rPr>
        <w:t xml:space="preserve"> </w:t>
      </w:r>
      <w:r w:rsidRPr="00132E65">
        <w:rPr>
          <w:rtl/>
        </w:rPr>
        <w:t xml:space="preserve">، ص 239 ، ح 322 </w:t>
      </w:r>
      <w:r>
        <w:rPr>
          <w:rtl/>
        </w:rPr>
        <w:t>و 3</w:t>
      </w:r>
      <w:r w:rsidRPr="00132E65">
        <w:rPr>
          <w:rtl/>
        </w:rPr>
        <w:t xml:space="preserve">23 ؛ وص 322 ، ح 437 </w:t>
      </w:r>
      <w:r>
        <w:rPr>
          <w:rtl/>
        </w:rPr>
        <w:t>و 4</w:t>
      </w:r>
      <w:r w:rsidRPr="00132E65">
        <w:rPr>
          <w:rtl/>
        </w:rPr>
        <w:t xml:space="preserve">38 ؛ وص 323 ، ح 439 </w:t>
      </w:r>
      <w:r>
        <w:rPr>
          <w:rtl/>
        </w:rPr>
        <w:t>و 4</w:t>
      </w:r>
      <w:r w:rsidRPr="00132E65">
        <w:rPr>
          <w:rtl/>
        </w:rPr>
        <w:t xml:space="preserve">40 </w:t>
      </w:r>
      <w:r w:rsidR="00CF6DFF">
        <w:rPr>
          <w:rFonts w:hint="cs"/>
          <w:rtl/>
        </w:rPr>
        <w:t>.</w:t>
      </w:r>
      <w:r w:rsidRPr="009D1ACE">
        <w:rPr>
          <w:rStyle w:val="libFootnoteBoldChar"/>
          <w:rtl/>
        </w:rPr>
        <w:t>الوافي</w:t>
      </w:r>
      <w:r w:rsidRPr="00132E65">
        <w:rPr>
          <w:rtl/>
        </w:rPr>
        <w:t xml:space="preserve"> ، ج 10 ، ص 306 ، ح 9612 ؛ </w:t>
      </w:r>
      <w:r w:rsidRPr="00CF6DFF">
        <w:rPr>
          <w:rStyle w:val="libFootnoteBoldChar"/>
          <w:rtl/>
        </w:rPr>
        <w:t>الوسائل</w:t>
      </w:r>
      <w:r w:rsidRPr="00132E65">
        <w:rPr>
          <w:rtl/>
        </w:rPr>
        <w:t xml:space="preserve"> ، ج 9 ، ص 525 ، ح 12629 ، من قوله : «</w:t>
      </w:r>
      <w:r w:rsidR="00CF6DFF">
        <w:rPr>
          <w:rtl/>
        </w:rPr>
        <w:t xml:space="preserve"> قال : إنّ الله تبارك وتعالى لم</w:t>
      </w:r>
      <w:r w:rsidR="00CF6DFF">
        <w:rPr>
          <w:rFonts w:hint="cs"/>
          <w:rtl/>
        </w:rPr>
        <w:t>ـّ</w:t>
      </w:r>
      <w:r w:rsidRPr="00132E65">
        <w:rPr>
          <w:rtl/>
        </w:rPr>
        <w:t>ا فتح</w:t>
      </w:r>
      <w:r>
        <w:rPr>
          <w:rtl/>
        </w:rPr>
        <w:t xml:space="preserve"> ..</w:t>
      </w:r>
      <w:r w:rsidRPr="00132E65">
        <w:rPr>
          <w:rtl/>
        </w:rPr>
        <w:t xml:space="preserve">. » ؛ </w:t>
      </w:r>
      <w:r w:rsidRPr="00CF6DFF">
        <w:rPr>
          <w:rStyle w:val="libFootnoteBoldChar"/>
          <w:rtl/>
        </w:rPr>
        <w:t>البحار</w:t>
      </w:r>
      <w:r w:rsidRPr="00132E65">
        <w:rPr>
          <w:rtl/>
        </w:rPr>
        <w:t xml:space="preserve"> ، ج 48 ، ص 156 ، ح 29.</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أَبِي حَمْزَةَ ، عَنْ مُحَمَّدِ بْنِ مُسْلِمٍ ، قَالَ :</w:t>
      </w:r>
    </w:p>
    <w:p w:rsidR="000C39D1" w:rsidRPr="00132E65" w:rsidRDefault="000C39D1" w:rsidP="000C39D1">
      <w:pPr>
        <w:pStyle w:val="libNormal"/>
        <w:rPr>
          <w:rtl/>
          <w:lang w:bidi="fa-IR"/>
        </w:rPr>
      </w:pPr>
      <w:r w:rsidRPr="00132E65">
        <w:rPr>
          <w:rtl/>
          <w:lang w:bidi="fa-IR"/>
        </w:rPr>
        <w:t xml:space="preserve">سَمِعْتُ أَبَا جَعْفَرٍ </w:t>
      </w:r>
      <w:r w:rsidRPr="00071CF9">
        <w:rPr>
          <w:rStyle w:val="libAlaemChar"/>
          <w:rtl/>
        </w:rPr>
        <w:t>عليه‌السلام</w:t>
      </w:r>
      <w:r w:rsidRPr="00132E65">
        <w:rPr>
          <w:rtl/>
          <w:lang w:bidi="fa-IR"/>
        </w:rPr>
        <w:t xml:space="preserve"> يَقُولُ : « الْأَنْفَالُ هُوَ </w:t>
      </w:r>
      <w:r>
        <w:rPr>
          <w:rStyle w:val="libFootnotenumChar"/>
          <w:rtl/>
        </w:rPr>
        <w:t>(1)</w:t>
      </w:r>
      <w:r w:rsidRPr="00132E65">
        <w:rPr>
          <w:rtl/>
          <w:lang w:bidi="fa-IR"/>
        </w:rPr>
        <w:t xml:space="preserve"> النَّفْلُ </w:t>
      </w:r>
      <w:r>
        <w:rPr>
          <w:rStyle w:val="libFootnotenumChar"/>
          <w:rtl/>
        </w:rPr>
        <w:t>(2)</w:t>
      </w:r>
      <w:r w:rsidRPr="00132E65">
        <w:rPr>
          <w:rtl/>
          <w:lang w:bidi="fa-IR"/>
        </w:rPr>
        <w:t xml:space="preserve"> ، و</w:t>
      </w:r>
      <w:r w:rsidR="00CF6DFF">
        <w:rPr>
          <w:rFonts w:hint="cs"/>
          <w:rtl/>
          <w:lang w:bidi="fa-IR"/>
        </w:rPr>
        <w:t>َ</w:t>
      </w:r>
      <w:r w:rsidRPr="00132E65">
        <w:rPr>
          <w:rtl/>
          <w:lang w:bidi="fa-IR"/>
        </w:rPr>
        <w:t xml:space="preserve">فِي سُورَةِ الْأَنْفَالِ جَدْعُ الْأَنْفِ </w:t>
      </w:r>
      <w:r>
        <w:rPr>
          <w:rStyle w:val="libFootnotenumChar"/>
          <w:rtl/>
        </w:rPr>
        <w:t>(3)</w:t>
      </w:r>
      <w:r w:rsidRPr="00132E65">
        <w:rPr>
          <w:rtl/>
          <w:lang w:bidi="fa-IR"/>
        </w:rPr>
        <w:t xml:space="preserve"> »</w:t>
      </w:r>
      <w:r>
        <w:rPr>
          <w:rtl/>
          <w:lang w:bidi="fa-IR"/>
        </w:rPr>
        <w:t>.</w:t>
      </w:r>
      <w:r w:rsidRPr="00132E65">
        <w:rPr>
          <w:rtl/>
          <w:lang w:bidi="fa-IR"/>
        </w:rPr>
        <w:t xml:space="preserve"> </w:t>
      </w:r>
      <w:r>
        <w:rPr>
          <w:rStyle w:val="libFootnotenumChar"/>
          <w:rtl/>
        </w:rPr>
        <w:t>(4)</w:t>
      </w:r>
      <w:r w:rsidRPr="00132E65">
        <w:rPr>
          <w:rtl/>
          <w:lang w:bidi="fa-IR"/>
        </w:rPr>
        <w:t>‌</w:t>
      </w:r>
    </w:p>
    <w:p w:rsidR="000C39D1" w:rsidRPr="00132E65" w:rsidRDefault="000C39D1" w:rsidP="000C39D1">
      <w:pPr>
        <w:pStyle w:val="libNormal"/>
        <w:rPr>
          <w:rtl/>
          <w:lang w:bidi="fa-IR"/>
        </w:rPr>
      </w:pPr>
      <w:r w:rsidRPr="00E1636F">
        <w:rPr>
          <w:rtl/>
        </w:rPr>
        <w:t>1427</w:t>
      </w:r>
      <w:r w:rsidRPr="004325D8">
        <w:rPr>
          <w:rStyle w:val="libBold2Char"/>
          <w:rtl/>
        </w:rPr>
        <w:t xml:space="preserve"> / 7.</w:t>
      </w:r>
      <w:r w:rsidRPr="00132E65">
        <w:rPr>
          <w:rtl/>
          <w:lang w:bidi="fa-IR"/>
        </w:rPr>
        <w:t xml:space="preserve"> أَحْمَدُ </w:t>
      </w:r>
      <w:r>
        <w:rPr>
          <w:rStyle w:val="libFootnotenumChar"/>
          <w:rtl/>
        </w:rPr>
        <w:t>(5)</w:t>
      </w:r>
      <w:r w:rsidRPr="00132E65">
        <w:rPr>
          <w:rtl/>
          <w:lang w:bidi="fa-IR"/>
        </w:rPr>
        <w:t xml:space="preserve"> ، عَنْ أَحْمَدَ بْنِ مُحَمَّدِ بْنِ أَبِي نَصْرٍ :</w:t>
      </w:r>
    </w:p>
    <w:p w:rsidR="000C39D1" w:rsidRPr="00132E65" w:rsidRDefault="000C39D1" w:rsidP="000C39D1">
      <w:pPr>
        <w:pStyle w:val="libNormal"/>
        <w:rPr>
          <w:rtl/>
          <w:lang w:bidi="fa-IR"/>
        </w:rPr>
      </w:pPr>
      <w:r w:rsidRPr="00132E65">
        <w:rPr>
          <w:rtl/>
          <w:lang w:bidi="fa-IR"/>
        </w:rPr>
        <w:t xml:space="preserve">عَنِ الرِّضَا </w:t>
      </w:r>
      <w:r w:rsidRPr="00071CF9">
        <w:rPr>
          <w:rStyle w:val="libAlaemChar"/>
          <w:rtl/>
        </w:rPr>
        <w:t>عليه‌السلام</w:t>
      </w:r>
      <w:r w:rsidRPr="00132E65">
        <w:rPr>
          <w:rtl/>
          <w:lang w:bidi="fa-IR"/>
        </w:rPr>
        <w:t xml:space="preserve"> ، قَالَ : سُئِلَ عَنْ قَوْلِ اللهِ عَزَّ و</w:t>
      </w:r>
      <w:r w:rsidR="008A5A4A">
        <w:rPr>
          <w:rFonts w:hint="cs"/>
          <w:rtl/>
          <w:lang w:bidi="fa-IR"/>
        </w:rPr>
        <w:t>َ</w:t>
      </w:r>
      <w:r w:rsidRPr="00132E65">
        <w:rPr>
          <w:rtl/>
          <w:lang w:bidi="fa-IR"/>
        </w:rPr>
        <w:t xml:space="preserve">جَلَّ : </w:t>
      </w:r>
      <w:r w:rsidRPr="00071CF9">
        <w:rPr>
          <w:rStyle w:val="libAlaemChar"/>
          <w:rtl/>
        </w:rPr>
        <w:t>(</w:t>
      </w:r>
      <w:r w:rsidRPr="00071CF9">
        <w:rPr>
          <w:rStyle w:val="libAieChar"/>
          <w:rtl/>
        </w:rPr>
        <w:t xml:space="preserve"> وَاعْلَمُوا أَنَّما غَنِمْتُمْ مِنْ شَيْ‌ءٍ فَأَنَّ لِلّهِ خُمُسَهُ وَلِلرَّسُولِ وَلِذِي الْقُرْبى </w:t>
      </w:r>
      <w:r w:rsidRPr="00071CF9">
        <w:rPr>
          <w:rStyle w:val="libAlaemChar"/>
          <w:rtl/>
        </w:rPr>
        <w:t>)</w:t>
      </w:r>
      <w:r w:rsidRPr="00132E65">
        <w:rPr>
          <w:rtl/>
          <w:lang w:bidi="fa-IR"/>
        </w:rPr>
        <w:t xml:space="preserve"> </w:t>
      </w:r>
      <w:r>
        <w:rPr>
          <w:rStyle w:val="libFootnotenumChar"/>
          <w:rtl/>
        </w:rPr>
        <w:t>(6)</w:t>
      </w:r>
      <w:r w:rsidRPr="00132E65">
        <w:rPr>
          <w:rtl/>
          <w:lang w:bidi="fa-IR"/>
        </w:rPr>
        <w:t xml:space="preserve"> فَقِيلَ لَهُ : فَمَا كَانَ لِلّهِ فَلِمَنْ هُوَ</w:t>
      </w:r>
      <w:r>
        <w:rPr>
          <w:rtl/>
          <w:lang w:bidi="fa-IR"/>
        </w:rPr>
        <w:t>؟</w:t>
      </w:r>
    </w:p>
    <w:p w:rsidR="000C39D1" w:rsidRPr="00132E65" w:rsidRDefault="000C39D1" w:rsidP="000C39D1">
      <w:pPr>
        <w:pStyle w:val="libNormal"/>
        <w:rPr>
          <w:rtl/>
          <w:lang w:bidi="fa-IR"/>
        </w:rPr>
      </w:pPr>
      <w:r w:rsidRPr="00132E65">
        <w:rPr>
          <w:rtl/>
          <w:lang w:bidi="fa-IR"/>
        </w:rPr>
        <w:t xml:space="preserve">فَقَالَ : « لِرَسُولِ اللهِ </w:t>
      </w:r>
      <w:r w:rsidRPr="0093484F">
        <w:rPr>
          <w:rStyle w:val="libAlaemChar"/>
          <w:rFonts w:eastAsiaTheme="minorHAnsi"/>
          <w:rtl/>
        </w:rPr>
        <w:t>صلى‌الله‌عليه‌وآله</w:t>
      </w:r>
      <w:r w:rsidRPr="00132E65">
        <w:rPr>
          <w:rtl/>
          <w:lang w:bidi="fa-IR"/>
        </w:rPr>
        <w:t xml:space="preserve"> </w:t>
      </w:r>
      <w:r>
        <w:rPr>
          <w:rStyle w:val="libFootnotenumChar"/>
          <w:rtl/>
        </w:rPr>
        <w:t>(7)</w:t>
      </w:r>
      <w:r w:rsidRPr="00132E65">
        <w:rPr>
          <w:rtl/>
          <w:lang w:bidi="fa-IR"/>
        </w:rPr>
        <w:t xml:space="preserve"> ، و</w:t>
      </w:r>
      <w:r w:rsidR="008A5A4A">
        <w:rPr>
          <w:rFonts w:hint="cs"/>
          <w:rtl/>
          <w:lang w:bidi="fa-IR"/>
        </w:rPr>
        <w:t>َ</w:t>
      </w:r>
      <w:r w:rsidRPr="00132E65">
        <w:rPr>
          <w:rtl/>
          <w:lang w:bidi="fa-IR"/>
        </w:rPr>
        <w:t xml:space="preserve">مَا كَانَ لِرَسُولِ اللهِ </w:t>
      </w:r>
      <w:r>
        <w:rPr>
          <w:rStyle w:val="libFootnotenumChar"/>
          <w:rtl/>
        </w:rPr>
        <w:t>(8)</w:t>
      </w:r>
      <w:r w:rsidRPr="00132E65">
        <w:rPr>
          <w:rtl/>
          <w:lang w:bidi="fa-IR"/>
        </w:rPr>
        <w:t xml:space="preserve"> فَهُوَ لِلْإِمَامِ »</w:t>
      </w:r>
      <w:r>
        <w:rPr>
          <w:rtl/>
          <w:lang w:bidi="fa-IR"/>
        </w:rPr>
        <w:t>.</w:t>
      </w:r>
    </w:p>
    <w:p w:rsidR="000C39D1" w:rsidRPr="00132E65" w:rsidRDefault="000C39D1" w:rsidP="000C39D1">
      <w:pPr>
        <w:pStyle w:val="libNormal"/>
        <w:rPr>
          <w:rtl/>
          <w:lang w:bidi="fa-IR"/>
        </w:rPr>
      </w:pPr>
      <w:r>
        <w:rPr>
          <w:rtl/>
          <w:lang w:bidi="fa-IR"/>
        </w:rPr>
        <w:t>فَقِيلَ لَهُ : أَ</w:t>
      </w:r>
      <w:r w:rsidRPr="00132E65">
        <w:rPr>
          <w:rtl/>
          <w:lang w:bidi="fa-IR"/>
        </w:rPr>
        <w:t xml:space="preserve">فَرَأَيْتَ إِنْ كَانَ صِنْفٌ مِنَ الْأَصْنَافِ أَكْثَرَ </w:t>
      </w:r>
      <w:r>
        <w:rPr>
          <w:rStyle w:val="libFootnotenumChar"/>
          <w:rtl/>
        </w:rPr>
        <w:t>(9)</w:t>
      </w:r>
      <w:r w:rsidRPr="00132E65">
        <w:rPr>
          <w:rtl/>
          <w:lang w:bidi="fa-IR"/>
        </w:rPr>
        <w:t xml:space="preserve"> و</w:t>
      </w:r>
      <w:r w:rsidR="008A5A4A">
        <w:rPr>
          <w:rFonts w:hint="cs"/>
          <w:rtl/>
          <w:lang w:bidi="fa-IR"/>
        </w:rPr>
        <w:t>َ</w:t>
      </w:r>
      <w:r w:rsidRPr="00132E65">
        <w:rPr>
          <w:rtl/>
          <w:lang w:bidi="fa-IR"/>
        </w:rPr>
        <w:t xml:space="preserve">صِنْفٌ أَقَلَّ ، مَا يُصْنَعُ </w:t>
      </w:r>
      <w:r>
        <w:rPr>
          <w:rStyle w:val="libFootnotenumChar"/>
          <w:rtl/>
        </w:rPr>
        <w:t>(10)</w:t>
      </w:r>
      <w:r w:rsidRPr="00132E65">
        <w:rPr>
          <w:rtl/>
          <w:lang w:bidi="fa-IR"/>
        </w:rPr>
        <w:t xml:space="preserve"> بِهِ</w:t>
      </w:r>
      <w:r>
        <w:rPr>
          <w:rtl/>
          <w:lang w:bidi="fa-IR"/>
        </w:rPr>
        <w:t>؟</w:t>
      </w:r>
    </w:p>
    <w:p w:rsidR="000C39D1" w:rsidRPr="00132E65" w:rsidRDefault="000C39D1" w:rsidP="000C39D1">
      <w:pPr>
        <w:pStyle w:val="libNormal"/>
        <w:rPr>
          <w:rtl/>
          <w:lang w:bidi="fa-IR"/>
        </w:rPr>
      </w:pPr>
      <w:r w:rsidRPr="00132E65">
        <w:rPr>
          <w:rtl/>
          <w:lang w:bidi="fa-IR"/>
        </w:rPr>
        <w:t xml:space="preserve">قَالَ </w:t>
      </w:r>
      <w:r>
        <w:rPr>
          <w:rStyle w:val="libFootnotenumChar"/>
          <w:rtl/>
        </w:rPr>
        <w:t>(11)</w:t>
      </w:r>
      <w:r w:rsidRPr="00132E65">
        <w:rPr>
          <w:rtl/>
          <w:lang w:bidi="fa-IR"/>
        </w:rPr>
        <w:t xml:space="preserve"> </w:t>
      </w:r>
      <w:r>
        <w:rPr>
          <w:rtl/>
          <w:lang w:bidi="fa-IR"/>
        </w:rPr>
        <w:t>: « ذَاكَ إِلَى الْإِمَامِ ، أَ</w:t>
      </w:r>
      <w:r w:rsidRPr="00132E65">
        <w:rPr>
          <w:rtl/>
          <w:lang w:bidi="fa-IR"/>
        </w:rPr>
        <w:t xml:space="preserve">رَأَيْتَ رَسُولَ اللهِ </w:t>
      </w:r>
      <w:r w:rsidRPr="0093484F">
        <w:rPr>
          <w:rStyle w:val="libAlaemChar"/>
          <w:rFonts w:eastAsiaTheme="minorHAnsi"/>
          <w:rtl/>
        </w:rPr>
        <w:t>صلى‌الله‌عليه‌وآله</w:t>
      </w:r>
      <w:r w:rsidRPr="00132E65">
        <w:rPr>
          <w:rtl/>
          <w:lang w:bidi="fa-IR"/>
        </w:rPr>
        <w:t xml:space="preserve"> كَيْفَ يَصْنَعُ </w:t>
      </w:r>
      <w:r>
        <w:rPr>
          <w:rStyle w:val="libFootnotenumChar"/>
          <w:rtl/>
        </w:rPr>
        <w:t>(12)</w:t>
      </w:r>
      <w:r>
        <w:rPr>
          <w:rtl/>
          <w:lang w:bidi="fa-IR"/>
        </w:rPr>
        <w:t>؟ أَ</w:t>
      </w:r>
      <w:r w:rsidRPr="00132E65">
        <w:rPr>
          <w:rtl/>
          <w:lang w:bidi="fa-IR"/>
        </w:rPr>
        <w:t xml:space="preserve">لَيْسَ </w:t>
      </w:r>
      <w:r w:rsidRPr="00F543F1">
        <w:rPr>
          <w:rStyle w:val="libFootnotenumChar"/>
          <w:rtl/>
        </w:rPr>
        <w:t>(13)</w:t>
      </w:r>
      <w:r w:rsidRPr="00132E65">
        <w:rPr>
          <w:rtl/>
          <w:lang w:bidi="fa-IR"/>
        </w:rPr>
        <w:t xml:space="preserve"> إِنَّمَا كَانَ‌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8A5A4A">
        <w:rPr>
          <w:rtl/>
        </w:rPr>
        <w:t>الوافي</w:t>
      </w:r>
      <w:r w:rsidRPr="00132E65">
        <w:rPr>
          <w:rtl/>
        </w:rPr>
        <w:t xml:space="preserve"> والتهذيب ، ح 415 : « من »</w:t>
      </w:r>
      <w:r>
        <w:rPr>
          <w:rtl/>
        </w:rPr>
        <w:t>.</w:t>
      </w:r>
    </w:p>
    <w:p w:rsidR="000C39D1" w:rsidRPr="00132E65" w:rsidRDefault="000C39D1" w:rsidP="000C39D1">
      <w:pPr>
        <w:pStyle w:val="libFootnote0"/>
        <w:rPr>
          <w:rtl/>
          <w:lang w:bidi="fa-IR"/>
        </w:rPr>
      </w:pPr>
      <w:r>
        <w:rPr>
          <w:rtl/>
        </w:rPr>
        <w:t>(2).</w:t>
      </w:r>
      <w:r w:rsidRPr="00132E65">
        <w:rPr>
          <w:rtl/>
        </w:rPr>
        <w:t xml:space="preserve"> « النَفَل » بالتحريك : الغنيمة. وجمعه : أنفال. </w:t>
      </w:r>
      <w:r>
        <w:rPr>
          <w:rtl/>
        </w:rPr>
        <w:t>و «</w:t>
      </w:r>
      <w:r w:rsidRPr="00132E65">
        <w:rPr>
          <w:rtl/>
        </w:rPr>
        <w:t xml:space="preserve"> النَفْل » بالسكون وقد يحرّك : الزيادة. </w:t>
      </w:r>
      <w:r w:rsidRPr="008A5A4A">
        <w:rPr>
          <w:rStyle w:val="libFootnoteBoldChar"/>
          <w:rtl/>
        </w:rPr>
        <w:t>النهاية</w:t>
      </w:r>
      <w:r w:rsidRPr="00132E65">
        <w:rPr>
          <w:rtl/>
        </w:rPr>
        <w:t xml:space="preserve"> ، ج 5 ، ص 99 ( نفل )</w:t>
      </w:r>
      <w:r>
        <w:rPr>
          <w:rtl/>
        </w:rPr>
        <w:t>.</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الوافي</w:t>
      </w:r>
      <w:r w:rsidRPr="00132E65">
        <w:rPr>
          <w:rtl/>
        </w:rPr>
        <w:t xml:space="preserve"> : « وجدع الأنف : قطعه ، يعني في هذه السورة قطع أنف الجاحدين لحقوقنا وإرغامهم »</w:t>
      </w:r>
      <w:r>
        <w:rPr>
          <w:rtl/>
        </w:rPr>
        <w:t>.</w:t>
      </w:r>
      <w:r w:rsidRPr="00132E65">
        <w:rPr>
          <w:rtl/>
        </w:rPr>
        <w:t xml:space="preserve"> وفي المطبوع : « جذع الأنف » بالذال المعجمة ، وهو سهو.</w:t>
      </w:r>
    </w:p>
    <w:p w:rsidR="000C39D1" w:rsidRPr="00132E65" w:rsidRDefault="000C39D1" w:rsidP="000C39D1">
      <w:pPr>
        <w:pStyle w:val="libFootnote0"/>
        <w:rPr>
          <w:rtl/>
          <w:lang w:bidi="fa-IR"/>
        </w:rPr>
      </w:pPr>
      <w:r>
        <w:rPr>
          <w:rtl/>
        </w:rPr>
        <w:t>(4).</w:t>
      </w:r>
      <w:r w:rsidRPr="00132E65">
        <w:rPr>
          <w:rtl/>
        </w:rPr>
        <w:t xml:space="preserve"> </w:t>
      </w:r>
      <w:r w:rsidRPr="008A5A4A">
        <w:rPr>
          <w:rStyle w:val="libFootnoteBoldChar"/>
          <w:rtl/>
        </w:rPr>
        <w:t>التهذيب</w:t>
      </w:r>
      <w:r w:rsidRPr="00132E65">
        <w:rPr>
          <w:rtl/>
        </w:rPr>
        <w:t xml:space="preserve"> ، ج 4 ، ص 149 ، ح 415 ، بسنده عن محمّد بن مسلم. </w:t>
      </w:r>
      <w:r w:rsidRPr="00E1636F">
        <w:rPr>
          <w:rtl/>
        </w:rPr>
        <w:t>وفيه</w:t>
      </w:r>
      <w:r w:rsidRPr="00132E65">
        <w:rPr>
          <w:rtl/>
        </w:rPr>
        <w:t xml:space="preserve"> ، ص 133 ، ضمن ح 371 ، بسند آخر عن أبي عبد الله </w:t>
      </w:r>
      <w:r w:rsidRPr="008A5A4A">
        <w:rPr>
          <w:rStyle w:val="libFootnoteAlaemChar"/>
          <w:rtl/>
        </w:rPr>
        <w:t>عليه‌السلام</w:t>
      </w:r>
      <w:r w:rsidRPr="00132E65">
        <w:rPr>
          <w:rtl/>
        </w:rPr>
        <w:t xml:space="preserve"> وفيه : « سورة الأنفال فيها جدع الأنف »</w:t>
      </w:r>
      <w:r>
        <w:rPr>
          <w:rtl/>
        </w:rPr>
        <w:t>.</w:t>
      </w:r>
      <w:r w:rsidRPr="00132E65">
        <w:rPr>
          <w:rtl/>
        </w:rPr>
        <w:t xml:space="preserve"> </w:t>
      </w:r>
      <w:r w:rsidRPr="008A5A4A">
        <w:rPr>
          <w:rStyle w:val="libFootnoteBoldChar"/>
          <w:rtl/>
        </w:rPr>
        <w:t>المقنعة</w:t>
      </w:r>
      <w:r w:rsidRPr="00132E65">
        <w:rPr>
          <w:rtl/>
        </w:rPr>
        <w:t xml:space="preserve"> ، ص 290 ، مرسلاً عن محمّد بن مسلم </w:t>
      </w:r>
      <w:r w:rsidR="008A5A4A">
        <w:rPr>
          <w:rFonts w:hint="cs"/>
          <w:rtl/>
        </w:rPr>
        <w:t>.</w:t>
      </w:r>
      <w:r w:rsidRPr="009D1ACE">
        <w:rPr>
          <w:rStyle w:val="libFootnoteBoldChar"/>
          <w:rtl/>
        </w:rPr>
        <w:t>الوافي</w:t>
      </w:r>
      <w:r w:rsidRPr="00132E65">
        <w:rPr>
          <w:rtl/>
        </w:rPr>
        <w:t xml:space="preserve"> ، ج 10 ، ص 301 ، ح 9601 ؛ </w:t>
      </w:r>
      <w:r w:rsidRPr="008A5A4A">
        <w:rPr>
          <w:rStyle w:val="libFootnoteBoldChar"/>
          <w:rtl/>
        </w:rPr>
        <w:t>الوسائل</w:t>
      </w:r>
      <w:r w:rsidRPr="00132E65">
        <w:rPr>
          <w:rtl/>
        </w:rPr>
        <w:t xml:space="preserve"> ، ج 9 ، ص 535 ، ح 12658.</w:t>
      </w:r>
    </w:p>
    <w:p w:rsidR="000C39D1" w:rsidRPr="00132E65" w:rsidRDefault="000C39D1" w:rsidP="000C39D1">
      <w:pPr>
        <w:pStyle w:val="libFootnote0"/>
        <w:rPr>
          <w:rtl/>
          <w:lang w:bidi="fa-IR"/>
        </w:rPr>
      </w:pPr>
      <w:r>
        <w:rPr>
          <w:rtl/>
        </w:rPr>
        <w:t>(5).</w:t>
      </w:r>
      <w:r w:rsidRPr="00132E65">
        <w:rPr>
          <w:rtl/>
        </w:rPr>
        <w:t xml:space="preserve"> السند معلّق على سابقه. ويروي عن أحمد ، عدّة من أصحابنا.</w:t>
      </w:r>
    </w:p>
    <w:p w:rsidR="000C39D1" w:rsidRPr="00132E65" w:rsidRDefault="000C39D1" w:rsidP="008A5A4A">
      <w:pPr>
        <w:pStyle w:val="libFootnote0"/>
        <w:rPr>
          <w:rtl/>
          <w:lang w:bidi="fa-IR"/>
        </w:rPr>
      </w:pPr>
      <w:r>
        <w:rPr>
          <w:rtl/>
        </w:rPr>
        <w:t>(6).</w:t>
      </w:r>
      <w:r w:rsidRPr="00132E65">
        <w:rPr>
          <w:rtl/>
        </w:rPr>
        <w:t xml:space="preserve"> الأنفال </w:t>
      </w:r>
      <w:r>
        <w:rPr>
          <w:rtl/>
        </w:rPr>
        <w:t>(8).</w:t>
      </w:r>
      <w:r w:rsidRPr="00132E65">
        <w:rPr>
          <w:rtl/>
        </w:rPr>
        <w:t xml:space="preserve"> : 41. وفي قرب الإسناد والتهذيب :</w:t>
      </w:r>
      <w:r>
        <w:rPr>
          <w:rtl/>
        </w:rPr>
        <w:t xml:space="preserve"> + </w:t>
      </w:r>
      <w:r w:rsidR="008A5A4A" w:rsidRPr="008A5A4A">
        <w:rPr>
          <w:rStyle w:val="libFootnoteAlaemChar"/>
          <w:rFonts w:hint="cs"/>
          <w:rtl/>
        </w:rPr>
        <w:t>(</w:t>
      </w:r>
      <w:r w:rsidRPr="008A5A4A">
        <w:rPr>
          <w:rStyle w:val="libFootnoteAieChar"/>
          <w:rtl/>
        </w:rPr>
        <w:t xml:space="preserve"> وَالْيَت</w:t>
      </w:r>
      <w:r w:rsidR="008A5A4A" w:rsidRPr="008A5A4A">
        <w:rPr>
          <w:rStyle w:val="libFootnoteAieChar"/>
          <w:rFonts w:hint="cs"/>
          <w:rtl/>
        </w:rPr>
        <w:t>َا</w:t>
      </w:r>
      <w:r w:rsidRPr="008A5A4A">
        <w:rPr>
          <w:rStyle w:val="libFootnoteAieChar"/>
          <w:rtl/>
        </w:rPr>
        <w:t>مَى و</w:t>
      </w:r>
      <w:r w:rsidR="008A5A4A" w:rsidRPr="008A5A4A">
        <w:rPr>
          <w:rStyle w:val="libFootnoteAieChar"/>
          <w:rFonts w:hint="cs"/>
          <w:rtl/>
        </w:rPr>
        <w:t>َ</w:t>
      </w:r>
      <w:r w:rsidRPr="008A5A4A">
        <w:rPr>
          <w:rStyle w:val="libFootnoteAieChar"/>
          <w:rtl/>
        </w:rPr>
        <w:t xml:space="preserve">الْمَسكِينِ </w:t>
      </w:r>
      <w:r w:rsidR="008A5A4A" w:rsidRPr="008A5A4A">
        <w:rPr>
          <w:rStyle w:val="libFootnoteAlaemChar"/>
          <w:rFonts w:hint="cs"/>
          <w:rtl/>
        </w:rPr>
        <w:t>)</w:t>
      </w:r>
      <w:r>
        <w:rPr>
          <w:rtl/>
        </w:rPr>
        <w:t>.</w:t>
      </w:r>
      <w:r w:rsidRPr="00132E65">
        <w:rPr>
          <w:rtl/>
        </w:rPr>
        <w:t xml:space="preserve"> وفي </w:t>
      </w:r>
      <w:r w:rsidRPr="009D1ACE">
        <w:rPr>
          <w:rStyle w:val="libFootnoteBoldChar"/>
          <w:rtl/>
        </w:rPr>
        <w:t>الوافي</w:t>
      </w:r>
      <w:r w:rsidRPr="00132E65">
        <w:rPr>
          <w:rtl/>
        </w:rPr>
        <w:t xml:space="preserve"> :</w:t>
      </w:r>
      <w:r>
        <w:rPr>
          <w:rtl/>
        </w:rPr>
        <w:t xml:space="preserve"> + </w:t>
      </w:r>
      <w:r w:rsidR="008A5A4A" w:rsidRPr="008A5A4A">
        <w:rPr>
          <w:rStyle w:val="libFootnoteAlaemChar"/>
          <w:rFonts w:hint="cs"/>
          <w:rtl/>
        </w:rPr>
        <w:t>(</w:t>
      </w:r>
      <w:r w:rsidR="008A5A4A" w:rsidRPr="008A5A4A">
        <w:rPr>
          <w:rStyle w:val="libFootnoteAieChar"/>
          <w:rtl/>
        </w:rPr>
        <w:t>وَالْيَت</w:t>
      </w:r>
      <w:r w:rsidR="008A5A4A" w:rsidRPr="008A5A4A">
        <w:rPr>
          <w:rStyle w:val="libFootnoteAieChar"/>
          <w:rFonts w:hint="cs"/>
          <w:rtl/>
        </w:rPr>
        <w:t>َا</w:t>
      </w:r>
      <w:r w:rsidR="008A5A4A" w:rsidRPr="008A5A4A">
        <w:rPr>
          <w:rStyle w:val="libFootnoteAieChar"/>
          <w:rtl/>
        </w:rPr>
        <w:t>مَى</w:t>
      </w:r>
      <w:r w:rsidR="008A5A4A" w:rsidRPr="008A5A4A">
        <w:rPr>
          <w:rStyle w:val="libFootnoteAlaemChar"/>
          <w:rFonts w:hint="cs"/>
          <w:rtl/>
        </w:rPr>
        <w:t>)</w:t>
      </w:r>
      <w:r>
        <w:rPr>
          <w:rtl/>
        </w:rPr>
        <w:t>.</w:t>
      </w:r>
    </w:p>
    <w:p w:rsidR="000C39D1" w:rsidRPr="00132E65" w:rsidRDefault="000C39D1" w:rsidP="000C39D1">
      <w:pPr>
        <w:pStyle w:val="libFootnote0"/>
        <w:rPr>
          <w:rtl/>
          <w:lang w:bidi="fa-IR"/>
        </w:rPr>
      </w:pPr>
      <w:r>
        <w:rPr>
          <w:rtl/>
        </w:rPr>
        <w:t>(7).</w:t>
      </w:r>
      <w:r w:rsidRPr="00132E65">
        <w:rPr>
          <w:rtl/>
        </w:rPr>
        <w:t xml:space="preserve"> في التهذيب : « قال الرسول » بدل « فقال لرسول الله »</w:t>
      </w:r>
      <w:r>
        <w:rPr>
          <w:rtl/>
        </w:rPr>
        <w:t>.</w:t>
      </w:r>
    </w:p>
    <w:p w:rsidR="000C39D1" w:rsidRPr="00132E65" w:rsidRDefault="000C39D1" w:rsidP="000C39D1">
      <w:pPr>
        <w:pStyle w:val="libFootnote0"/>
        <w:rPr>
          <w:rtl/>
          <w:lang w:bidi="fa-IR"/>
        </w:rPr>
      </w:pPr>
      <w:r>
        <w:rPr>
          <w:rtl/>
        </w:rPr>
        <w:t>(8).</w:t>
      </w:r>
      <w:r w:rsidRPr="00132E65">
        <w:rPr>
          <w:rtl/>
        </w:rPr>
        <w:t xml:space="preserve"> في التهذيب : « للرسول » بدل « لرسول الله »</w:t>
      </w:r>
      <w:r>
        <w:rPr>
          <w:rtl/>
        </w:rPr>
        <w:t>.</w:t>
      </w:r>
    </w:p>
    <w:p w:rsidR="000C39D1" w:rsidRPr="00132E65" w:rsidRDefault="000C39D1" w:rsidP="000C39D1">
      <w:pPr>
        <w:pStyle w:val="libFootnote0"/>
        <w:rPr>
          <w:rtl/>
          <w:lang w:bidi="fa-IR"/>
        </w:rPr>
      </w:pPr>
      <w:r>
        <w:rPr>
          <w:rtl/>
        </w:rPr>
        <w:t>(9).</w:t>
      </w:r>
      <w:r w:rsidRPr="00132E65">
        <w:rPr>
          <w:rtl/>
        </w:rPr>
        <w:t xml:space="preserve"> في « التهذيب » : « أكثر من صنف » بدل « من الأصناف أكثر »</w:t>
      </w:r>
      <w:r>
        <w:rPr>
          <w:rtl/>
        </w:rPr>
        <w:t>.</w:t>
      </w:r>
    </w:p>
    <w:p w:rsidR="000C39D1" w:rsidRPr="00132E65" w:rsidRDefault="000C39D1" w:rsidP="000C39D1">
      <w:pPr>
        <w:pStyle w:val="libFootnote0"/>
        <w:rPr>
          <w:rtl/>
          <w:lang w:bidi="fa-IR"/>
        </w:rPr>
      </w:pPr>
      <w:r>
        <w:rPr>
          <w:rtl/>
        </w:rPr>
        <w:t>(10).</w:t>
      </w:r>
      <w:r w:rsidRPr="00132E65">
        <w:rPr>
          <w:rtl/>
        </w:rPr>
        <w:t xml:space="preserve"> في « بس » : « تصنع »</w:t>
      </w:r>
      <w:r>
        <w:rPr>
          <w:rtl/>
        </w:rPr>
        <w:t>.</w:t>
      </w:r>
    </w:p>
    <w:p w:rsidR="000C39D1" w:rsidRPr="00132E65" w:rsidRDefault="000C39D1" w:rsidP="000C39D1">
      <w:pPr>
        <w:pStyle w:val="libFootnote0"/>
        <w:rPr>
          <w:rtl/>
          <w:lang w:bidi="fa-IR"/>
        </w:rPr>
      </w:pPr>
      <w:r>
        <w:rPr>
          <w:rtl/>
        </w:rPr>
        <w:t>(11).</w:t>
      </w:r>
      <w:r w:rsidRPr="00132E65">
        <w:rPr>
          <w:rtl/>
        </w:rPr>
        <w:t xml:space="preserve"> في التهذيب : « من صنف فكيف نصنع به ، فقال » بدل « ما يصنع به قال »</w:t>
      </w:r>
      <w:r>
        <w:rPr>
          <w:rtl/>
        </w:rPr>
        <w:t>.</w:t>
      </w:r>
    </w:p>
    <w:tbl>
      <w:tblPr>
        <w:tblStyle w:val="TableGrid"/>
        <w:bidiVisual/>
        <w:tblW w:w="0" w:type="auto"/>
        <w:tblLook w:val="04A0" w:firstRow="1" w:lastRow="0" w:firstColumn="1" w:lastColumn="0" w:noHBand="0" w:noVBand="1"/>
      </w:tblPr>
      <w:tblGrid>
        <w:gridCol w:w="4261"/>
        <w:gridCol w:w="4262"/>
      </w:tblGrid>
      <w:tr w:rsidR="008A5A4A" w:rsidTr="008A5A4A">
        <w:tc>
          <w:tcPr>
            <w:tcW w:w="4261" w:type="dxa"/>
          </w:tcPr>
          <w:p w:rsidR="008A5A4A" w:rsidRDefault="008A5A4A" w:rsidP="000C39D1">
            <w:pPr>
              <w:pStyle w:val="libFootnote0"/>
              <w:rPr>
                <w:rtl/>
              </w:rPr>
            </w:pPr>
            <w:r>
              <w:rPr>
                <w:rtl/>
              </w:rPr>
              <w:t>(12).</w:t>
            </w:r>
            <w:r w:rsidRPr="00132E65">
              <w:rPr>
                <w:rtl/>
              </w:rPr>
              <w:t xml:space="preserve"> في قرب الإسناد والتهذيب : « صنع »</w:t>
            </w:r>
            <w:r>
              <w:rPr>
                <w:rtl/>
              </w:rPr>
              <w:t>.</w:t>
            </w:r>
          </w:p>
        </w:tc>
        <w:tc>
          <w:tcPr>
            <w:tcW w:w="4262" w:type="dxa"/>
          </w:tcPr>
          <w:p w:rsidR="008A5A4A" w:rsidRDefault="008A5A4A" w:rsidP="000C39D1">
            <w:pPr>
              <w:pStyle w:val="libFootnote0"/>
              <w:rPr>
                <w:rtl/>
              </w:rPr>
            </w:pPr>
            <w:r>
              <w:rPr>
                <w:rtl/>
              </w:rPr>
              <w:t>(13)</w:t>
            </w:r>
            <w:r w:rsidRPr="00132E65">
              <w:rPr>
                <w:rtl/>
              </w:rPr>
              <w:t xml:space="preserve"> في التهذيب </w:t>
            </w:r>
            <w:r>
              <w:rPr>
                <w:rtl/>
              </w:rPr>
              <w:t>: - « أ</w:t>
            </w:r>
            <w:r w:rsidRPr="00132E65">
              <w:rPr>
                <w:rtl/>
              </w:rPr>
              <w:t>ليس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يُعْطِي عَلى مَا يَرى </w:t>
      </w:r>
      <w:r>
        <w:rPr>
          <w:rStyle w:val="libFootnotenumChar"/>
          <w:rtl/>
        </w:rPr>
        <w:t>(1)</w:t>
      </w:r>
      <w:r>
        <w:rPr>
          <w:rtl/>
          <w:lang w:bidi="fa-IR"/>
        </w:rPr>
        <w:t>؟</w:t>
      </w:r>
      <w:r w:rsidRPr="00132E65">
        <w:rPr>
          <w:rtl/>
          <w:lang w:bidi="fa-IR"/>
        </w:rPr>
        <w:t xml:space="preserve"> كَذلِكَ الْإِمَامُ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E1636F">
        <w:rPr>
          <w:rtl/>
        </w:rPr>
        <w:t>1428</w:t>
      </w:r>
      <w:r w:rsidRPr="004325D8">
        <w:rPr>
          <w:rStyle w:val="libBold2Char"/>
          <w:rtl/>
        </w:rPr>
        <w:t xml:space="preserve"> / 8.</w:t>
      </w:r>
      <w:r w:rsidRPr="00132E65">
        <w:rPr>
          <w:rtl/>
          <w:lang w:bidi="fa-IR"/>
        </w:rPr>
        <w:t xml:space="preserve"> عَلِيُّ بْنُ إِبْرَاهِيمَ بْنِ هَاشِمٍ ، عَنْ أَبِيهِ ، عَنِ ابْنِ أَبِي عُمَيْرٍ ، عَنْ جَمِيلِ بْنِ دَرَّاجٍ ، عَنْ مُحَمَّدِ بْنِ مُسْلِمٍ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أَنَّهُ سُئِلَ عَنْ مَعَادِنِ الذَّهَبِ و</w:t>
      </w:r>
      <w:r w:rsidR="00A14D2B">
        <w:rPr>
          <w:rFonts w:hint="cs"/>
          <w:rtl/>
          <w:lang w:bidi="fa-IR"/>
        </w:rPr>
        <w:t>َ</w:t>
      </w:r>
      <w:r w:rsidRPr="00132E65">
        <w:rPr>
          <w:rtl/>
          <w:lang w:bidi="fa-IR"/>
        </w:rPr>
        <w:t>الْفِضَّةِ و</w:t>
      </w:r>
      <w:r w:rsidR="00A14D2B">
        <w:rPr>
          <w:rFonts w:hint="cs"/>
          <w:rtl/>
          <w:lang w:bidi="fa-IR"/>
        </w:rPr>
        <w:t>َ</w:t>
      </w:r>
      <w:r w:rsidRPr="00132E65">
        <w:rPr>
          <w:rtl/>
          <w:lang w:bidi="fa-IR"/>
        </w:rPr>
        <w:t>الْحَدِيدِ و</w:t>
      </w:r>
      <w:r w:rsidR="00A14D2B">
        <w:rPr>
          <w:rFonts w:hint="cs"/>
          <w:rtl/>
          <w:lang w:bidi="fa-IR"/>
        </w:rPr>
        <w:t>َ</w:t>
      </w:r>
      <w:r w:rsidRPr="00132E65">
        <w:rPr>
          <w:rtl/>
          <w:lang w:bidi="fa-IR"/>
        </w:rPr>
        <w:t>الرَّصَاصِ وَالصُّفْرِ ، فَقَالَ : « عَلَيْهَا الْخُمُسُ »</w:t>
      </w:r>
      <w:r>
        <w:rPr>
          <w:rtl/>
          <w:lang w:bidi="fa-IR"/>
        </w:rPr>
        <w:t>.</w:t>
      </w:r>
      <w:r w:rsidRPr="00132E65">
        <w:rPr>
          <w:rtl/>
          <w:lang w:bidi="fa-IR"/>
        </w:rPr>
        <w:t xml:space="preserve"> </w:t>
      </w:r>
      <w:r>
        <w:rPr>
          <w:rStyle w:val="libFootnotenumChar"/>
          <w:rtl/>
        </w:rPr>
        <w:t>(3)</w:t>
      </w:r>
    </w:p>
    <w:p w:rsidR="000C39D1" w:rsidRPr="00132E65" w:rsidRDefault="000C39D1" w:rsidP="000C39D1">
      <w:pPr>
        <w:pStyle w:val="libNormal"/>
        <w:rPr>
          <w:rtl/>
          <w:lang w:bidi="fa-IR"/>
        </w:rPr>
      </w:pPr>
      <w:r w:rsidRPr="00E1636F">
        <w:rPr>
          <w:rtl/>
        </w:rPr>
        <w:t>1429</w:t>
      </w:r>
      <w:r w:rsidRPr="004325D8">
        <w:rPr>
          <w:rStyle w:val="libBold2Char"/>
          <w:rtl/>
        </w:rPr>
        <w:t xml:space="preserve"> / 9.</w:t>
      </w:r>
      <w:r w:rsidRPr="00132E65">
        <w:rPr>
          <w:rtl/>
          <w:lang w:bidi="fa-IR"/>
        </w:rPr>
        <w:t xml:space="preserve"> عَلِيٌّ ، عَنْ أَبِيهِ ، عَنِ ابْنِ أَبِي عُمَيْرٍ ، عَنْ جَمِيلٍ ، عَنْ زُرَارَةَ ، قَالَ :</w:t>
      </w:r>
    </w:p>
    <w:p w:rsidR="000C39D1" w:rsidRPr="00132E65" w:rsidRDefault="000C39D1" w:rsidP="000C39D1">
      <w:pPr>
        <w:pStyle w:val="libNormal"/>
        <w:rPr>
          <w:rtl/>
          <w:lang w:bidi="fa-IR"/>
        </w:rPr>
      </w:pPr>
      <w:r w:rsidRPr="00132E65">
        <w:rPr>
          <w:rtl/>
          <w:lang w:bidi="fa-IR"/>
        </w:rPr>
        <w:t xml:space="preserve">الْإِمَامُ يُجْرِي </w:t>
      </w:r>
      <w:r>
        <w:rPr>
          <w:rStyle w:val="libFootnotenumChar"/>
          <w:rtl/>
        </w:rPr>
        <w:t>(4)</w:t>
      </w:r>
      <w:r w:rsidRPr="00132E65">
        <w:rPr>
          <w:rtl/>
          <w:lang w:bidi="fa-IR"/>
        </w:rPr>
        <w:t xml:space="preserve"> و</w:t>
      </w:r>
      <w:r w:rsidR="00A14D2B">
        <w:rPr>
          <w:rFonts w:hint="cs"/>
          <w:rtl/>
          <w:lang w:bidi="fa-IR"/>
        </w:rPr>
        <w:t>َ</w:t>
      </w:r>
      <w:r w:rsidRPr="00132E65">
        <w:rPr>
          <w:rtl/>
          <w:lang w:bidi="fa-IR"/>
        </w:rPr>
        <w:t>يُنَفِّلُ و</w:t>
      </w:r>
      <w:r w:rsidR="00A14D2B">
        <w:rPr>
          <w:rFonts w:hint="cs"/>
          <w:rtl/>
          <w:lang w:bidi="fa-IR"/>
        </w:rPr>
        <w:t>َ</w:t>
      </w:r>
      <w:r w:rsidRPr="00132E65">
        <w:rPr>
          <w:rtl/>
          <w:lang w:bidi="fa-IR"/>
        </w:rPr>
        <w:t xml:space="preserve">يُعْطِي مَا شَاءَ </w:t>
      </w:r>
      <w:r>
        <w:rPr>
          <w:rStyle w:val="libFootnotenumChar"/>
          <w:rtl/>
        </w:rPr>
        <w:t>(5)</w:t>
      </w:r>
      <w:r w:rsidRPr="00132E65">
        <w:rPr>
          <w:rtl/>
          <w:lang w:bidi="fa-IR"/>
        </w:rPr>
        <w:t xml:space="preserve"> قَبْلَ أَنْ تَقَعَ </w:t>
      </w:r>
      <w:r>
        <w:rPr>
          <w:rStyle w:val="libFootnotenumChar"/>
          <w:rtl/>
        </w:rPr>
        <w:t>(6)</w:t>
      </w:r>
      <w:r w:rsidRPr="00132E65">
        <w:rPr>
          <w:rtl/>
          <w:lang w:bidi="fa-IR"/>
        </w:rPr>
        <w:t xml:space="preserve"> السِّهَامُ ، و</w:t>
      </w:r>
      <w:r w:rsidR="00A14D2B">
        <w:rPr>
          <w:rFonts w:hint="cs"/>
          <w:rtl/>
          <w:lang w:bidi="fa-IR"/>
        </w:rPr>
        <w:t>َ</w:t>
      </w:r>
      <w:r w:rsidRPr="00132E65">
        <w:rPr>
          <w:rtl/>
          <w:lang w:bidi="fa-IR"/>
        </w:rPr>
        <w:t xml:space="preserve">قَدْ قَاتَلَ رَسُولُ اللهِ </w:t>
      </w:r>
      <w:r w:rsidRPr="0093484F">
        <w:rPr>
          <w:rStyle w:val="libAlaemChar"/>
          <w:rFonts w:eastAsiaTheme="minorHAnsi"/>
          <w:rtl/>
        </w:rPr>
        <w:t>صلى‌الله‌عليه‌وآله</w:t>
      </w:r>
      <w:r w:rsidRPr="00132E65">
        <w:rPr>
          <w:rtl/>
          <w:lang w:bidi="fa-IR"/>
        </w:rPr>
        <w:t xml:space="preserve"> بِقَوْمٍ لَمْ يَجْعَلْ لَهُمْ فِي الْفَيْ‌ءِ نَصِيباً ، و</w:t>
      </w:r>
      <w:r w:rsidR="00A14D2B">
        <w:rPr>
          <w:rFonts w:hint="cs"/>
          <w:rtl/>
          <w:lang w:bidi="fa-IR"/>
        </w:rPr>
        <w:t>َ</w:t>
      </w:r>
      <w:r w:rsidRPr="00132E65">
        <w:rPr>
          <w:rtl/>
          <w:lang w:bidi="fa-IR"/>
        </w:rPr>
        <w:t xml:space="preserve">إِنْ شَاءَ قَسَمَ </w:t>
      </w:r>
      <w:r>
        <w:rPr>
          <w:rStyle w:val="libFootnotenumChar"/>
          <w:rtl/>
        </w:rPr>
        <w:t>(7)</w:t>
      </w:r>
      <w:r w:rsidRPr="00132E65">
        <w:rPr>
          <w:rtl/>
          <w:lang w:bidi="fa-IR"/>
        </w:rPr>
        <w:t xml:space="preserve"> ذلِكَ بَيْنَهُمْ. </w:t>
      </w:r>
      <w:r>
        <w:rPr>
          <w:rStyle w:val="libFootnotenumChar"/>
          <w:rtl/>
        </w:rPr>
        <w:t>(8)</w:t>
      </w:r>
      <w:r w:rsidRPr="00132E65">
        <w:rPr>
          <w:rtl/>
          <w:lang w:bidi="fa-IR"/>
        </w:rPr>
        <w:t xml:space="preserve"> ‌</w:t>
      </w:r>
    </w:p>
    <w:p w:rsidR="000C39D1" w:rsidRPr="00132E65" w:rsidRDefault="000C39D1" w:rsidP="000C39D1">
      <w:pPr>
        <w:pStyle w:val="libNormal"/>
        <w:rPr>
          <w:rtl/>
          <w:lang w:bidi="fa-IR"/>
        </w:rPr>
      </w:pPr>
      <w:r w:rsidRPr="00E1636F">
        <w:rPr>
          <w:rtl/>
        </w:rPr>
        <w:t>1430</w:t>
      </w:r>
      <w:r w:rsidRPr="004325D8">
        <w:rPr>
          <w:rStyle w:val="libBold2Char"/>
          <w:rtl/>
        </w:rPr>
        <w:t xml:space="preserve"> / 10.</w:t>
      </w:r>
      <w:r w:rsidRPr="00132E65">
        <w:rPr>
          <w:rtl/>
          <w:lang w:bidi="fa-IR"/>
        </w:rPr>
        <w:t xml:space="preserve"> مُحَمَّدُ بْنُ يَحْيى ، عَنْ أَحْمَدَ بْنِ مُحَمَّدٍ ، عَنْ مُحَمَّدِ بْنِ سِنَانٍ ، عَنْ عَبْدِ الصَّمَدِ بْنِ بَشِيرٍ ، عَنْ حُكَيْمٍ مُؤَذِّنِ ابْنِ عِيسى </w:t>
      </w:r>
      <w:r>
        <w:rPr>
          <w:rStyle w:val="libFootnotenumChar"/>
          <w:rtl/>
        </w:rPr>
        <w:t>(9)</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وقرب الإسناد والتهذيب :</w:t>
      </w:r>
      <w:r>
        <w:rPr>
          <w:rtl/>
        </w:rPr>
        <w:t xml:space="preserve"> + </w:t>
      </w:r>
      <w:r w:rsidRPr="00132E65">
        <w:rPr>
          <w:rtl/>
        </w:rPr>
        <w:t>« هو »</w:t>
      </w:r>
      <w:r>
        <w:rPr>
          <w:rtl/>
        </w:rPr>
        <w:t>.</w:t>
      </w:r>
    </w:p>
    <w:p w:rsidR="000C39D1" w:rsidRPr="00132E65" w:rsidRDefault="000C39D1" w:rsidP="000C39D1">
      <w:pPr>
        <w:pStyle w:val="libFootnote0"/>
        <w:rPr>
          <w:rtl/>
          <w:lang w:bidi="fa-IR"/>
        </w:rPr>
      </w:pPr>
      <w:r>
        <w:rPr>
          <w:rtl/>
        </w:rPr>
        <w:t>(2).</w:t>
      </w:r>
      <w:r w:rsidRPr="00132E65">
        <w:rPr>
          <w:rtl/>
        </w:rPr>
        <w:t xml:space="preserve"> </w:t>
      </w:r>
      <w:r w:rsidRPr="00A14D2B">
        <w:rPr>
          <w:rStyle w:val="libFootnoteBoldChar"/>
          <w:rtl/>
        </w:rPr>
        <w:t>التهذيب</w:t>
      </w:r>
      <w:r w:rsidRPr="00132E65">
        <w:rPr>
          <w:rtl/>
        </w:rPr>
        <w:t xml:space="preserve"> ، ج 4 ، ص 126 ، ح 363 ، بسنده عن أحمد بن الحسن ، عن أحمد بن محمّد بن أبي نصر. </w:t>
      </w:r>
      <w:r w:rsidRPr="00A14D2B">
        <w:rPr>
          <w:rStyle w:val="libFootnoteBoldChar"/>
          <w:rtl/>
        </w:rPr>
        <w:t>قرب الإسناد</w:t>
      </w:r>
      <w:r w:rsidRPr="00132E65">
        <w:rPr>
          <w:rtl/>
        </w:rPr>
        <w:t xml:space="preserve"> ، ص 170 ، ح 1351 ، عن أحمد بن محمّد بن عيسى ، عن أحمد بن محمّد بن أبي نصر ، مع </w:t>
      </w:r>
      <w:r w:rsidRPr="00A14D2B">
        <w:rPr>
          <w:rStyle w:val="libFootnoteBoldChar"/>
          <w:rtl/>
        </w:rPr>
        <w:t>اختلاف يسير</w:t>
      </w:r>
      <w:r w:rsidR="00A14D2B">
        <w:rPr>
          <w:rStyle w:val="libFootnoteBoldChar"/>
          <w:rFonts w:hint="cs"/>
          <w:rtl/>
        </w:rPr>
        <w:t>.</w:t>
      </w:r>
      <w:r w:rsidRPr="00132E65">
        <w:rPr>
          <w:rtl/>
        </w:rPr>
        <w:t xml:space="preserve"> </w:t>
      </w:r>
      <w:r w:rsidRPr="009D1ACE">
        <w:rPr>
          <w:rStyle w:val="libFootnoteBoldChar"/>
          <w:rtl/>
        </w:rPr>
        <w:t>الوافي</w:t>
      </w:r>
      <w:r w:rsidRPr="00132E65">
        <w:rPr>
          <w:rtl/>
        </w:rPr>
        <w:t xml:space="preserve"> ، ج 10 ، ص 323 ، ح 9642 ؛ </w:t>
      </w:r>
      <w:r w:rsidRPr="00A14D2B">
        <w:rPr>
          <w:rStyle w:val="libFootnoteBoldChar"/>
          <w:rtl/>
        </w:rPr>
        <w:t>الوسائل</w:t>
      </w:r>
      <w:r w:rsidRPr="00132E65">
        <w:rPr>
          <w:rtl/>
        </w:rPr>
        <w:t xml:space="preserve"> ، ج 9 ، ص 519 ، ح 12620.</w:t>
      </w:r>
    </w:p>
    <w:p w:rsidR="000C39D1" w:rsidRPr="00132E65" w:rsidRDefault="000C39D1" w:rsidP="000C39D1">
      <w:pPr>
        <w:pStyle w:val="libFootnote0"/>
        <w:rPr>
          <w:rtl/>
          <w:lang w:bidi="fa-IR"/>
        </w:rPr>
      </w:pPr>
      <w:r>
        <w:rPr>
          <w:rtl/>
        </w:rPr>
        <w:t>(3).</w:t>
      </w:r>
      <w:r w:rsidRPr="00132E65">
        <w:rPr>
          <w:rtl/>
        </w:rPr>
        <w:t xml:space="preserve"> </w:t>
      </w:r>
      <w:r w:rsidRPr="00A14D2B">
        <w:rPr>
          <w:rStyle w:val="libFootnoteBoldChar"/>
          <w:rtl/>
        </w:rPr>
        <w:t>التهذيب</w:t>
      </w:r>
      <w:r w:rsidRPr="00132E65">
        <w:rPr>
          <w:rtl/>
        </w:rPr>
        <w:t xml:space="preserve"> ، ج 4 ، ص 121 ، ح 345 ، بسنده عن فضالة وابن أبي عمير ، </w:t>
      </w:r>
      <w:r w:rsidRPr="00A14D2B">
        <w:rPr>
          <w:rStyle w:val="libFootnoteBoldChar"/>
          <w:rtl/>
        </w:rPr>
        <w:t>مع اختلاف يسير</w:t>
      </w:r>
      <w:r w:rsidR="00A14D2B">
        <w:rPr>
          <w:rStyle w:val="libFootnoteBoldChar"/>
          <w:rFonts w:hint="cs"/>
          <w:rtl/>
        </w:rPr>
        <w:t>.</w:t>
      </w:r>
      <w:r w:rsidRPr="00132E65">
        <w:rPr>
          <w:rtl/>
        </w:rPr>
        <w:t xml:space="preserve"> </w:t>
      </w:r>
      <w:r w:rsidRPr="009D1ACE">
        <w:rPr>
          <w:rStyle w:val="libFootnoteBoldChar"/>
          <w:rtl/>
        </w:rPr>
        <w:t>الوافي</w:t>
      </w:r>
      <w:r w:rsidRPr="00132E65">
        <w:rPr>
          <w:rtl/>
        </w:rPr>
        <w:t xml:space="preserve"> ، ج 10 ، ص 310 ، ح 9616 ؛ </w:t>
      </w:r>
      <w:r w:rsidRPr="00A14D2B">
        <w:rPr>
          <w:rStyle w:val="libFootnoteBoldChar"/>
          <w:rtl/>
        </w:rPr>
        <w:t>الوسائل</w:t>
      </w:r>
      <w:r w:rsidRPr="00132E65">
        <w:rPr>
          <w:rtl/>
        </w:rPr>
        <w:t xml:space="preserve"> ، ج 9 ، ص 491 ، ذيل ح 12561.</w:t>
      </w:r>
    </w:p>
    <w:p w:rsidR="000C39D1" w:rsidRPr="00132E65" w:rsidRDefault="000C39D1" w:rsidP="00A14D2B">
      <w:pPr>
        <w:pStyle w:val="libFootnote0"/>
        <w:rPr>
          <w:rtl/>
          <w:lang w:bidi="fa-IR"/>
        </w:rPr>
      </w:pPr>
      <w:r>
        <w:rPr>
          <w:rtl/>
        </w:rPr>
        <w:t>(4).</w:t>
      </w:r>
      <w:r w:rsidRPr="00132E65">
        <w:rPr>
          <w:rtl/>
        </w:rPr>
        <w:t xml:space="preserve"> في « ب ، بس ، بف » : « يجزي » بالمعجمتين ، وفي </w:t>
      </w:r>
      <w:r w:rsidRPr="009D1ACE">
        <w:rPr>
          <w:rStyle w:val="libFootnoteBoldChar"/>
          <w:rtl/>
        </w:rPr>
        <w:t>مرآة العقول</w:t>
      </w:r>
      <w:r w:rsidRPr="00132E65">
        <w:rPr>
          <w:rtl/>
        </w:rPr>
        <w:t xml:space="preserve"> : « ومنهم من قرأ بالزاي ، أي يعطي جزاء من‌عمل شيئاً »</w:t>
      </w:r>
      <w:r>
        <w:rPr>
          <w:rtl/>
        </w:rPr>
        <w:t>.</w:t>
      </w:r>
      <w:r w:rsidR="00A14D2B">
        <w:rPr>
          <w:rFonts w:hint="cs"/>
          <w:rtl/>
        </w:rPr>
        <w:t xml:space="preserve">         </w:t>
      </w:r>
      <w:r w:rsidR="00C50204">
        <w:rPr>
          <w:rFonts w:hint="cs"/>
          <w:rtl/>
        </w:rPr>
        <w:t xml:space="preserve">                           </w:t>
      </w:r>
      <w:r w:rsidR="00A14D2B">
        <w:rPr>
          <w:rFonts w:hint="cs"/>
          <w:rtl/>
        </w:rPr>
        <w:t xml:space="preserve">          </w:t>
      </w:r>
      <w:r>
        <w:rPr>
          <w:rtl/>
        </w:rPr>
        <w:t>(5).</w:t>
      </w:r>
      <w:r w:rsidRPr="00132E65">
        <w:rPr>
          <w:rtl/>
        </w:rPr>
        <w:t xml:space="preserve"> في « ج » وفي شرح المازندراني : « ما يشاء »</w:t>
      </w:r>
      <w:r>
        <w:rPr>
          <w:rtl/>
        </w:rPr>
        <w:t>.</w:t>
      </w:r>
    </w:p>
    <w:tbl>
      <w:tblPr>
        <w:tblStyle w:val="TableGrid"/>
        <w:bidiVisual/>
        <w:tblW w:w="0" w:type="auto"/>
        <w:tblLook w:val="04A0" w:firstRow="1" w:lastRow="0" w:firstColumn="1" w:lastColumn="0" w:noHBand="0" w:noVBand="1"/>
      </w:tblPr>
      <w:tblGrid>
        <w:gridCol w:w="4261"/>
        <w:gridCol w:w="4262"/>
      </w:tblGrid>
      <w:tr w:rsidR="00A14D2B" w:rsidTr="00A14D2B">
        <w:tc>
          <w:tcPr>
            <w:tcW w:w="4261" w:type="dxa"/>
          </w:tcPr>
          <w:p w:rsidR="00A14D2B" w:rsidRDefault="00A14D2B" w:rsidP="000C39D1">
            <w:pPr>
              <w:pStyle w:val="libFootnote0"/>
              <w:rPr>
                <w:rtl/>
              </w:rPr>
            </w:pPr>
            <w:r>
              <w:rPr>
                <w:rtl/>
              </w:rPr>
              <w:t>(6).</w:t>
            </w:r>
            <w:r w:rsidRPr="00132E65">
              <w:rPr>
                <w:rtl/>
              </w:rPr>
              <w:t xml:space="preserve"> في « ف » و</w:t>
            </w:r>
            <w:r w:rsidRPr="009D1ACE">
              <w:rPr>
                <w:rStyle w:val="libFootnoteBoldChar"/>
                <w:rtl/>
              </w:rPr>
              <w:t>الوافي</w:t>
            </w:r>
            <w:r w:rsidRPr="00132E65">
              <w:rPr>
                <w:rtl/>
              </w:rPr>
              <w:t xml:space="preserve"> : « أن يقع »</w:t>
            </w:r>
            <w:r>
              <w:rPr>
                <w:rtl/>
              </w:rPr>
              <w:t>.</w:t>
            </w:r>
          </w:p>
        </w:tc>
        <w:tc>
          <w:tcPr>
            <w:tcW w:w="4262" w:type="dxa"/>
          </w:tcPr>
          <w:p w:rsidR="00A14D2B" w:rsidRDefault="00A14D2B" w:rsidP="000C39D1">
            <w:pPr>
              <w:pStyle w:val="libFootnote0"/>
              <w:rPr>
                <w:rtl/>
              </w:rPr>
            </w:pPr>
            <w:r>
              <w:rPr>
                <w:rtl/>
              </w:rPr>
              <w:t>(7).</w:t>
            </w:r>
            <w:r w:rsidRPr="00132E65">
              <w:rPr>
                <w:rtl/>
              </w:rPr>
              <w:t xml:space="preserve"> يجوز فيه التخفيف والتشديد.</w:t>
            </w:r>
          </w:p>
        </w:tc>
      </w:tr>
    </w:tbl>
    <w:p w:rsidR="000C39D1" w:rsidRPr="00132E65" w:rsidRDefault="000C39D1" w:rsidP="000C39D1">
      <w:pPr>
        <w:pStyle w:val="libFootnote0"/>
        <w:rPr>
          <w:rtl/>
          <w:lang w:bidi="fa-IR"/>
        </w:rPr>
      </w:pPr>
      <w:r>
        <w:rPr>
          <w:rtl/>
        </w:rPr>
        <w:t>(8).</w:t>
      </w:r>
      <w:r w:rsidRPr="00132E65">
        <w:rPr>
          <w:rtl/>
        </w:rPr>
        <w:t xml:space="preserve"> </w:t>
      </w:r>
      <w:r w:rsidRPr="009D1ACE">
        <w:rPr>
          <w:rStyle w:val="libFootnoteBoldChar"/>
          <w:rtl/>
        </w:rPr>
        <w:t>الوافي</w:t>
      </w:r>
      <w:r w:rsidRPr="00132E65">
        <w:rPr>
          <w:rtl/>
        </w:rPr>
        <w:t xml:space="preserve"> ، ج 10 ، ص 281 ، ح 9588 ؛ </w:t>
      </w:r>
      <w:r w:rsidRPr="00E1636F">
        <w:rPr>
          <w:rtl/>
        </w:rPr>
        <w:t>الوسائل</w:t>
      </w:r>
      <w:r w:rsidRPr="00132E65">
        <w:rPr>
          <w:rtl/>
        </w:rPr>
        <w:t xml:space="preserve"> ، ج 9 ، ص 523 ، ح 12626.</w:t>
      </w:r>
    </w:p>
    <w:p w:rsidR="000C39D1" w:rsidRPr="00132E65" w:rsidRDefault="000C39D1" w:rsidP="000C39D1">
      <w:pPr>
        <w:pStyle w:val="libFootnote0"/>
        <w:rPr>
          <w:rtl/>
          <w:lang w:bidi="fa-IR"/>
        </w:rPr>
      </w:pPr>
      <w:r>
        <w:rPr>
          <w:rtl/>
        </w:rPr>
        <w:t>(9).</w:t>
      </w:r>
      <w:r w:rsidRPr="00132E65">
        <w:rPr>
          <w:rtl/>
        </w:rPr>
        <w:t xml:space="preserve"> في « ب ، ج ، ض ، ف ، بر ، بس ، بف » : « مؤذّن بن عيسى »</w:t>
      </w:r>
      <w:r>
        <w:rPr>
          <w:rtl/>
        </w:rPr>
        <w:t>.</w:t>
      </w:r>
      <w:r w:rsidRPr="00132E65">
        <w:rPr>
          <w:rtl/>
        </w:rPr>
        <w:t xml:space="preserve"> وفي حاشية « بر » : « مؤذّن بني عيسى »</w:t>
      </w:r>
      <w:r>
        <w:rPr>
          <w:rtl/>
        </w:rPr>
        <w:t>.</w:t>
      </w:r>
      <w:r w:rsidRPr="00132E65">
        <w:rPr>
          <w:rtl/>
        </w:rPr>
        <w:t xml:space="preserve"> وفي </w:t>
      </w:r>
      <w:r w:rsidRPr="00A14D2B">
        <w:rPr>
          <w:rtl/>
        </w:rPr>
        <w:t>الوافي</w:t>
      </w:r>
      <w:r w:rsidRPr="00132E65">
        <w:rPr>
          <w:rtl/>
        </w:rPr>
        <w:t xml:space="preserve"> : « بني عبس »</w:t>
      </w:r>
      <w:r>
        <w:rPr>
          <w:rtl/>
        </w:rPr>
        <w:t>.</w:t>
      </w:r>
    </w:p>
    <w:p w:rsidR="000C39D1" w:rsidRPr="00132E65" w:rsidRDefault="000C39D1" w:rsidP="000C39D1">
      <w:pPr>
        <w:pStyle w:val="libFootnote0"/>
        <w:rPr>
          <w:rtl/>
          <w:lang w:bidi="fa-IR"/>
        </w:rPr>
      </w:pPr>
      <w:r w:rsidRPr="00F24C1F">
        <w:rPr>
          <w:rtl/>
        </w:rPr>
        <w:t xml:space="preserve">والخبر رواه الشيخ الطوسي في </w:t>
      </w:r>
      <w:r w:rsidRPr="00A14D2B">
        <w:rPr>
          <w:rStyle w:val="libFootnoteBoldChar"/>
          <w:rtl/>
        </w:rPr>
        <w:t>التهذيب</w:t>
      </w:r>
      <w:r w:rsidRPr="00F24C1F">
        <w:rPr>
          <w:rtl/>
        </w:rPr>
        <w:t xml:space="preserve"> ، ج 4 ، ص 121 ، ح 344 ، و</w:t>
      </w:r>
      <w:r w:rsidRPr="007A1104">
        <w:rPr>
          <w:rStyle w:val="libFootnoteBoldChar"/>
          <w:rtl/>
        </w:rPr>
        <w:t>الاستبصار</w:t>
      </w:r>
      <w:r w:rsidRPr="00F24C1F">
        <w:rPr>
          <w:rtl/>
        </w:rPr>
        <w:t xml:space="preserve"> ، ج 2 ، ص 54 ، ح 179 ، بسنده عن محمّد بن سنان ، عن عبد الصمد بن بشير ، عن حكيم مؤذّن بني عبس ، وحكيم هذا ، هو المذكور في أصحاب أبي عبد الله </w:t>
      </w:r>
      <w:r w:rsidRPr="00A14D2B">
        <w:rPr>
          <w:rStyle w:val="libFootnoteAlaemChar"/>
          <w:rtl/>
        </w:rPr>
        <w:t>عليه‌السلام</w:t>
      </w:r>
      <w:r w:rsidRPr="00F24C1F">
        <w:rPr>
          <w:rtl/>
        </w:rPr>
        <w:t xml:space="preserve">. راجع : </w:t>
      </w:r>
      <w:r w:rsidRPr="00A14D2B">
        <w:rPr>
          <w:rStyle w:val="libFootnoteBoldChar"/>
          <w:rtl/>
        </w:rPr>
        <w:t>رجال البرقي</w:t>
      </w:r>
      <w:r w:rsidRPr="00F24C1F">
        <w:rPr>
          <w:rtl/>
        </w:rPr>
        <w:t xml:space="preserve"> ، ص 39 ؛ </w:t>
      </w:r>
      <w:r w:rsidRPr="00A14D2B">
        <w:rPr>
          <w:rStyle w:val="libFootnoteBoldChar"/>
          <w:rtl/>
        </w:rPr>
        <w:t>رجال الطوسي</w:t>
      </w:r>
      <w:r w:rsidRPr="00F24C1F">
        <w:rPr>
          <w:rtl/>
        </w:rPr>
        <w:t xml:space="preserve"> ، ص 196 ، الرقم 2460.</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قَوْلِ اللهِ تَعَالى : </w:t>
      </w:r>
      <w:r w:rsidRPr="00071CF9">
        <w:rPr>
          <w:rStyle w:val="libAlaemChar"/>
          <w:rtl/>
        </w:rPr>
        <w:t>(</w:t>
      </w:r>
      <w:r w:rsidRPr="00071CF9">
        <w:rPr>
          <w:rStyle w:val="libAieChar"/>
          <w:rtl/>
        </w:rPr>
        <w:t xml:space="preserve"> وَاعْلَمُوا أَنَّما غَنِمْتُمْ مِنْ شَيْ‌ءٍ فَأَنَّ لِلّهِ خُمُسَهُ وَلِلرَّسُولِ وَلِذِي الْقُرْبى </w:t>
      </w:r>
      <w:r w:rsidRPr="00071CF9">
        <w:rPr>
          <w:rStyle w:val="libAlaemChar"/>
          <w:rtl/>
        </w:rPr>
        <w:t>)</w:t>
      </w:r>
      <w:r w:rsidRPr="00132E65">
        <w:rPr>
          <w:rtl/>
          <w:lang w:bidi="fa-IR"/>
        </w:rPr>
        <w:t xml:space="preserve"> </w:t>
      </w:r>
      <w:r>
        <w:rPr>
          <w:rStyle w:val="libFootnotenumChar"/>
          <w:rtl/>
        </w:rPr>
        <w:t>(1)</w:t>
      </w:r>
      <w:r w:rsidRPr="00132E65">
        <w:rPr>
          <w:rtl/>
          <w:lang w:bidi="fa-IR"/>
        </w:rPr>
        <w:t xml:space="preserve"> فَقَالَ أَبُو عَبْدِ اللهِ </w:t>
      </w:r>
      <w:r w:rsidRPr="00071CF9">
        <w:rPr>
          <w:rStyle w:val="libAlaemChar"/>
          <w:rtl/>
        </w:rPr>
        <w:t>عليه‌السلام</w:t>
      </w:r>
      <w:r w:rsidRPr="00132E65">
        <w:rPr>
          <w:rtl/>
          <w:lang w:bidi="fa-IR"/>
        </w:rPr>
        <w:t xml:space="preserve"> بِمِرْفَقَيْهِ عَلى رُكْبَتَيْهِ ، ثُمَّ أَشَارَ بِيَدِهِ ، ثُمَّ قَالَ : « هِيَ و</w:t>
      </w:r>
      <w:r w:rsidR="00A14D2B">
        <w:rPr>
          <w:rFonts w:hint="cs"/>
          <w:rtl/>
          <w:lang w:bidi="fa-IR"/>
        </w:rPr>
        <w:t>َ</w:t>
      </w:r>
      <w:r w:rsidRPr="00132E65">
        <w:rPr>
          <w:rtl/>
          <w:lang w:bidi="fa-IR"/>
        </w:rPr>
        <w:t xml:space="preserve">اللهِ الْإِفَادَةُ </w:t>
      </w:r>
      <w:r>
        <w:rPr>
          <w:rStyle w:val="libFootnotenumChar"/>
          <w:rtl/>
        </w:rPr>
        <w:t>(2)</w:t>
      </w:r>
      <w:r w:rsidRPr="00132E65">
        <w:rPr>
          <w:rtl/>
          <w:lang w:bidi="fa-IR"/>
        </w:rPr>
        <w:t xml:space="preserve"> يَوْماً </w:t>
      </w:r>
      <w:r>
        <w:rPr>
          <w:rStyle w:val="libFootnotenumChar"/>
          <w:rtl/>
        </w:rPr>
        <w:t>(3)</w:t>
      </w:r>
      <w:r w:rsidR="00A14D2B">
        <w:rPr>
          <w:rtl/>
          <w:lang w:bidi="fa-IR"/>
        </w:rPr>
        <w:t xml:space="preserve"> بِيَوْمٍ ، إِل</w:t>
      </w:r>
      <w:r w:rsidR="00A14D2B">
        <w:rPr>
          <w:rFonts w:hint="cs"/>
          <w:rtl/>
          <w:lang w:bidi="fa-IR"/>
        </w:rPr>
        <w:t>َّ</w:t>
      </w:r>
      <w:r w:rsidR="00A14D2B">
        <w:rPr>
          <w:rtl/>
          <w:lang w:bidi="fa-IR"/>
        </w:rPr>
        <w:t>ا</w:t>
      </w:r>
      <w:r w:rsidRPr="00132E65">
        <w:rPr>
          <w:rtl/>
          <w:lang w:bidi="fa-IR"/>
        </w:rPr>
        <w:t xml:space="preserve"> أَنَّ أَبِي </w:t>
      </w:r>
      <w:r w:rsidRPr="00071CF9">
        <w:rPr>
          <w:rStyle w:val="libAlaemChar"/>
          <w:rtl/>
        </w:rPr>
        <w:t>عليه‌السلام</w:t>
      </w:r>
      <w:r w:rsidRPr="00132E65">
        <w:rPr>
          <w:rtl/>
          <w:lang w:bidi="fa-IR"/>
        </w:rPr>
        <w:t xml:space="preserve"> جَعَلَ شِيعَتَهُ فِي حِلٍّ لِيَزْكُوا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A3767B">
        <w:rPr>
          <w:rtl/>
        </w:rPr>
        <w:t>1431</w:t>
      </w:r>
      <w:r w:rsidRPr="004325D8">
        <w:rPr>
          <w:rStyle w:val="libBold2Char"/>
          <w:rtl/>
        </w:rPr>
        <w:t xml:space="preserve"> / 11.</w:t>
      </w:r>
      <w:r w:rsidRPr="00132E65">
        <w:rPr>
          <w:rtl/>
          <w:lang w:bidi="fa-IR"/>
        </w:rPr>
        <w:t xml:space="preserve"> عَلِيُّ بْنُ إِبْرَاهِيمَ ، عَنْ أَبِيهِ ، عَنِ ابْنِ أَبِي عُمَيْرٍ ، عَنِ الْحُسَيْنِ بْنِ عُثْمَانَ ، عَنْ سَمَاعَةَ ، قَالَ :</w:t>
      </w:r>
    </w:p>
    <w:p w:rsidR="000C39D1" w:rsidRPr="00132E65" w:rsidRDefault="000C39D1" w:rsidP="000C39D1">
      <w:pPr>
        <w:pStyle w:val="libNormal"/>
        <w:rPr>
          <w:rtl/>
          <w:lang w:bidi="fa-IR"/>
        </w:rPr>
      </w:pPr>
      <w:r w:rsidRPr="00132E65">
        <w:rPr>
          <w:rtl/>
          <w:lang w:bidi="fa-IR"/>
        </w:rPr>
        <w:t xml:space="preserve">سَأَلْتُ أَبَا الْحَسَنِ </w:t>
      </w:r>
      <w:r w:rsidRPr="00071CF9">
        <w:rPr>
          <w:rStyle w:val="libAlaemChar"/>
          <w:rtl/>
        </w:rPr>
        <w:t>عليه‌السلام</w:t>
      </w:r>
      <w:r w:rsidRPr="00132E65">
        <w:rPr>
          <w:rtl/>
          <w:lang w:bidi="fa-IR"/>
        </w:rPr>
        <w:t xml:space="preserve"> عَنِ الْخُمُسِ ، فَقَالَ : « فِي كُلِّ مَا أَفَادَ النَّاسُ مِنْ </w:t>
      </w:r>
      <w:r>
        <w:rPr>
          <w:rStyle w:val="libFootnotenumChar"/>
          <w:rtl/>
        </w:rPr>
        <w:t>(6)</w:t>
      </w:r>
      <w:r w:rsidRPr="00132E65">
        <w:rPr>
          <w:rtl/>
          <w:lang w:bidi="fa-IR"/>
        </w:rPr>
        <w:t xml:space="preserve"> قَلِيلٍ أَوْ كَثِيرٍ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A3767B">
        <w:rPr>
          <w:rtl/>
        </w:rPr>
        <w:t>1432</w:t>
      </w:r>
      <w:r w:rsidRPr="004325D8">
        <w:rPr>
          <w:rStyle w:val="libBold2Char"/>
          <w:rtl/>
        </w:rPr>
        <w:t xml:space="preserve"> / 12.</w:t>
      </w:r>
      <w:r w:rsidRPr="00132E65">
        <w:rPr>
          <w:rtl/>
          <w:lang w:bidi="fa-IR"/>
        </w:rPr>
        <w:t xml:space="preserve"> عِدَّةٌ مِنْ أَصْحَابِنَا ، عَنْ أَحْمَدَ بْنِ مُحَمَّدِ بْنِ عِيسَى بْنِ </w:t>
      </w:r>
      <w:r>
        <w:rPr>
          <w:rStyle w:val="libFootnotenumChar"/>
          <w:rtl/>
        </w:rPr>
        <w:t>(8)</w:t>
      </w:r>
      <w:r w:rsidRPr="00132E65">
        <w:rPr>
          <w:rtl/>
          <w:lang w:bidi="fa-IR"/>
        </w:rPr>
        <w:t xml:space="preserve"> يَزِيدَ </w:t>
      </w:r>
      <w:r>
        <w:rPr>
          <w:rStyle w:val="libFootnotenumChar"/>
          <w:rtl/>
        </w:rPr>
        <w:t>(9)</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كَتَبْتُ </w:t>
      </w:r>
      <w:r>
        <w:rPr>
          <w:rStyle w:val="libFootnotenumChar"/>
          <w:rtl/>
        </w:rPr>
        <w:t>(10)</w:t>
      </w:r>
      <w:r w:rsidRPr="00132E65">
        <w:rPr>
          <w:rtl/>
          <w:lang w:bidi="fa-IR"/>
        </w:rPr>
        <w:t xml:space="preserve"> : جُعِلْتُ لَكَ الْفِدَاءَ ، تُعَلِّمُنِي مَا الْفَائِدَةُ</w:t>
      </w:r>
      <w:r>
        <w:rPr>
          <w:rtl/>
          <w:lang w:bidi="fa-IR"/>
        </w:rPr>
        <w:t>؟</w:t>
      </w:r>
      <w:r w:rsidRPr="00132E65">
        <w:rPr>
          <w:rtl/>
          <w:lang w:bidi="fa-IR"/>
        </w:rPr>
        <w:t xml:space="preserve"> و</w:t>
      </w:r>
      <w:r w:rsidR="00A14D2B">
        <w:rPr>
          <w:rFonts w:hint="cs"/>
          <w:rtl/>
          <w:lang w:bidi="fa-IR"/>
        </w:rPr>
        <w:t>َ</w:t>
      </w:r>
      <w:r w:rsidRPr="00132E65">
        <w:rPr>
          <w:rtl/>
          <w:lang w:bidi="fa-IR"/>
        </w:rPr>
        <w:t>مَا حَدُّهَا</w:t>
      </w:r>
      <w:r>
        <w:rPr>
          <w:rtl/>
          <w:lang w:bidi="fa-IR"/>
        </w:rPr>
        <w:t>؟</w:t>
      </w:r>
      <w:r w:rsidRPr="00132E65">
        <w:rPr>
          <w:rtl/>
          <w:lang w:bidi="fa-IR"/>
        </w:rPr>
        <w:t xml:space="preserve"> رَأْيَكَ</w:t>
      </w:r>
      <w:r>
        <w:rPr>
          <w:rtl/>
          <w:lang w:bidi="fa-IR"/>
        </w:rPr>
        <w:t xml:space="preserve"> - </w:t>
      </w:r>
      <w:r w:rsidRPr="00132E65">
        <w:rPr>
          <w:rtl/>
          <w:lang w:bidi="fa-IR"/>
        </w:rPr>
        <w:t>أَبْقَاكَ اللهُ تَعَالى</w:t>
      </w:r>
      <w:r>
        <w:rPr>
          <w:rtl/>
          <w:lang w:bidi="fa-IR"/>
        </w:rPr>
        <w:t xml:space="preserve"> - </w:t>
      </w:r>
      <w:r w:rsidRPr="00132E65">
        <w:rPr>
          <w:rtl/>
          <w:lang w:bidi="fa-IR"/>
        </w:rPr>
        <w:t xml:space="preserve">أَنْ تَمُنَّ عَلَيَّ بِبَيَانِ </w:t>
      </w:r>
      <w:r>
        <w:rPr>
          <w:rStyle w:val="libFootnotenumChar"/>
          <w:rtl/>
        </w:rPr>
        <w:t>(11)</w:t>
      </w:r>
      <w:r w:rsidRPr="00132E65">
        <w:rPr>
          <w:rtl/>
          <w:lang w:bidi="fa-IR"/>
        </w:rPr>
        <w:t xml:space="preserve"> ذلِكَ </w:t>
      </w:r>
      <w:r>
        <w:rPr>
          <w:rStyle w:val="libFootnotenumChar"/>
          <w:rtl/>
        </w:rPr>
        <w:t>(12)</w:t>
      </w:r>
      <w:r w:rsidRPr="00132E65">
        <w:rPr>
          <w:rtl/>
          <w:lang w:bidi="fa-IR"/>
        </w:rPr>
        <w:t xml:space="preserve"> لِكَيْلَا أَكُونَ مُقِيماً عَلى حَرَامٍ ، لَاصَلَاةَ لِي‌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الأنفال </w:t>
      </w:r>
      <w:r w:rsidR="00BF5FB0">
        <w:rPr>
          <w:rtl/>
        </w:rPr>
        <w:t>(8)</w:t>
      </w:r>
      <w:r w:rsidRPr="00132E65">
        <w:rPr>
          <w:rtl/>
        </w:rPr>
        <w:t xml:space="preserve"> : 41.</w:t>
      </w:r>
    </w:p>
    <w:p w:rsidR="000C39D1" w:rsidRPr="00132E65" w:rsidRDefault="000C39D1" w:rsidP="000C39D1">
      <w:pPr>
        <w:pStyle w:val="libFootnote0"/>
        <w:rPr>
          <w:rtl/>
          <w:lang w:bidi="fa-IR"/>
        </w:rPr>
      </w:pPr>
      <w:r>
        <w:rPr>
          <w:rtl/>
        </w:rPr>
        <w:t>(2).</w:t>
      </w:r>
      <w:r w:rsidRPr="00132E65">
        <w:rPr>
          <w:rtl/>
        </w:rPr>
        <w:t xml:space="preserve"> « الفائدة » : الزيادة التي تحصل للإنسان ، وهي اسم فاعل من قولك : فادت له فائدة. وقالوا : استفاد مالاً استفادة ، وكرهوا أن يقال : أفاد الرجل مالاً إفادةً ، إذا استفاده ، وبعض العرب يقوله. </w:t>
      </w:r>
      <w:r w:rsidRPr="00BF5FB0">
        <w:rPr>
          <w:rStyle w:val="libFootnoteBoldChar"/>
          <w:rtl/>
        </w:rPr>
        <w:t>المصباح المنير</w:t>
      </w:r>
      <w:r w:rsidRPr="00132E65">
        <w:rPr>
          <w:rtl/>
        </w:rPr>
        <w:t xml:space="preserve"> ، ص 485 ( فيد )</w:t>
      </w:r>
      <w:r>
        <w:rPr>
          <w:rtl/>
        </w:rPr>
        <w:t>.</w:t>
      </w:r>
    </w:p>
    <w:p w:rsidR="000C39D1" w:rsidRPr="00132E65" w:rsidRDefault="000C39D1" w:rsidP="000C39D1">
      <w:pPr>
        <w:pStyle w:val="libFootnote0"/>
        <w:rPr>
          <w:rtl/>
          <w:lang w:bidi="fa-IR"/>
        </w:rPr>
      </w:pPr>
      <w:r>
        <w:rPr>
          <w:rtl/>
        </w:rPr>
        <w:t>(3).</w:t>
      </w:r>
      <w:r w:rsidRPr="00132E65">
        <w:rPr>
          <w:rtl/>
        </w:rPr>
        <w:t xml:space="preserve"> في « ف » : « يوم »</w:t>
      </w:r>
      <w:r>
        <w:rPr>
          <w:rtl/>
        </w:rPr>
        <w:t>.</w:t>
      </w:r>
    </w:p>
    <w:p w:rsidR="000C39D1" w:rsidRPr="00132E65" w:rsidRDefault="000C39D1" w:rsidP="000C39D1">
      <w:pPr>
        <w:pStyle w:val="libFootnote0"/>
        <w:rPr>
          <w:rtl/>
          <w:lang w:bidi="fa-IR"/>
        </w:rPr>
      </w:pPr>
      <w:r>
        <w:rPr>
          <w:rtl/>
        </w:rPr>
        <w:t>(4).</w:t>
      </w:r>
      <w:r w:rsidRPr="00132E65">
        <w:rPr>
          <w:rtl/>
        </w:rPr>
        <w:t xml:space="preserve"> في « بر » : « لتزكوا »</w:t>
      </w:r>
      <w:r>
        <w:rPr>
          <w:rtl/>
        </w:rPr>
        <w:t>.</w:t>
      </w:r>
      <w:r w:rsidRPr="00132E65">
        <w:rPr>
          <w:rtl/>
        </w:rPr>
        <w:t xml:space="preserve"> وفي « بف » وحاشية « بر » و</w:t>
      </w:r>
      <w:r w:rsidRPr="009D1ACE">
        <w:rPr>
          <w:rStyle w:val="libFootnoteBoldChar"/>
          <w:rtl/>
        </w:rPr>
        <w:t>الوافي</w:t>
      </w:r>
      <w:r w:rsidRPr="00132E65">
        <w:rPr>
          <w:rtl/>
        </w:rPr>
        <w:t xml:space="preserve"> : « ليزكّيهم »</w:t>
      </w:r>
      <w:r>
        <w:rPr>
          <w:rtl/>
        </w:rPr>
        <w:t>.</w:t>
      </w:r>
    </w:p>
    <w:p w:rsidR="000C39D1" w:rsidRPr="00132E65" w:rsidRDefault="000C39D1" w:rsidP="000C39D1">
      <w:pPr>
        <w:pStyle w:val="libFootnote0"/>
        <w:rPr>
          <w:rtl/>
          <w:lang w:bidi="fa-IR"/>
        </w:rPr>
      </w:pPr>
      <w:r>
        <w:rPr>
          <w:rtl/>
        </w:rPr>
        <w:t>(5).</w:t>
      </w:r>
      <w:r w:rsidRPr="00132E65">
        <w:rPr>
          <w:rtl/>
        </w:rPr>
        <w:t xml:space="preserve"> </w:t>
      </w:r>
      <w:r w:rsidRPr="00BF5FB0">
        <w:rPr>
          <w:rStyle w:val="libFootnoteBoldChar"/>
          <w:rtl/>
        </w:rPr>
        <w:t>التهذيب</w:t>
      </w:r>
      <w:r w:rsidRPr="00132E65">
        <w:rPr>
          <w:rtl/>
        </w:rPr>
        <w:t xml:space="preserve"> ، ج 4 ، ص 121 ، ح 344 ؛ و</w:t>
      </w:r>
      <w:r w:rsidRPr="007A1104">
        <w:rPr>
          <w:rStyle w:val="libFootnoteBoldChar"/>
          <w:rtl/>
        </w:rPr>
        <w:t>الاستبصار</w:t>
      </w:r>
      <w:r w:rsidRPr="00132E65">
        <w:rPr>
          <w:rtl/>
        </w:rPr>
        <w:t xml:space="preserve"> ، ج 2 ، ص 54 ، ح 179 ، بسنده عن محمّد بن سنان </w:t>
      </w:r>
      <w:r w:rsidR="00BF5FB0">
        <w:rPr>
          <w:rFonts w:hint="cs"/>
          <w:rtl/>
        </w:rPr>
        <w:t>.</w:t>
      </w:r>
      <w:r w:rsidRPr="009D1ACE">
        <w:rPr>
          <w:rStyle w:val="libFootnoteBoldChar"/>
          <w:rtl/>
        </w:rPr>
        <w:t>الوافي</w:t>
      </w:r>
      <w:r w:rsidRPr="00132E65">
        <w:rPr>
          <w:rtl/>
        </w:rPr>
        <w:t xml:space="preserve"> ، ج 10 ، ص 329 ، ح 9650 ؛ </w:t>
      </w:r>
      <w:r w:rsidRPr="00BF5FB0">
        <w:rPr>
          <w:rStyle w:val="libFootnoteBoldChar"/>
          <w:rtl/>
        </w:rPr>
        <w:t>الوسائل</w:t>
      </w:r>
      <w:r w:rsidRPr="00132E65">
        <w:rPr>
          <w:rtl/>
        </w:rPr>
        <w:t xml:space="preserve"> ، ج 9 ، ص 546 ، ذيل ح 12682.</w:t>
      </w:r>
    </w:p>
    <w:p w:rsidR="000C39D1" w:rsidRPr="00132E65" w:rsidRDefault="000C39D1" w:rsidP="000C39D1">
      <w:pPr>
        <w:pStyle w:val="libFootnote0"/>
        <w:rPr>
          <w:rtl/>
          <w:lang w:bidi="fa-IR"/>
        </w:rPr>
      </w:pPr>
      <w:r>
        <w:rPr>
          <w:rtl/>
        </w:rPr>
        <w:t>(6).</w:t>
      </w:r>
      <w:r w:rsidRPr="00132E65">
        <w:rPr>
          <w:rtl/>
        </w:rPr>
        <w:t xml:space="preserve"> في « بح » </w:t>
      </w:r>
      <w:r>
        <w:rPr>
          <w:rtl/>
        </w:rPr>
        <w:t xml:space="preserve">: - </w:t>
      </w:r>
      <w:r w:rsidRPr="00132E65">
        <w:rPr>
          <w:rtl/>
        </w:rPr>
        <w:t>« من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10 ، ص 309 ، ح 9613 ؛ </w:t>
      </w:r>
      <w:r w:rsidRPr="00BF5FB0">
        <w:rPr>
          <w:rStyle w:val="libFootnoteBoldChar"/>
          <w:rtl/>
        </w:rPr>
        <w:t>الوسائل</w:t>
      </w:r>
      <w:r w:rsidRPr="00132E65">
        <w:rPr>
          <w:rtl/>
        </w:rPr>
        <w:t xml:space="preserve"> ، ج 9 ، ص 503 ، ح 12584.</w:t>
      </w:r>
    </w:p>
    <w:p w:rsidR="000C39D1" w:rsidRPr="00132E65" w:rsidRDefault="000C39D1" w:rsidP="000C39D1">
      <w:pPr>
        <w:pStyle w:val="libFootnote0"/>
        <w:rPr>
          <w:rtl/>
          <w:lang w:bidi="fa-IR"/>
        </w:rPr>
      </w:pPr>
      <w:r>
        <w:rPr>
          <w:rtl/>
        </w:rPr>
        <w:t>(8).</w:t>
      </w:r>
      <w:r w:rsidRPr="00132E65">
        <w:rPr>
          <w:rtl/>
        </w:rPr>
        <w:t xml:space="preserve"> في حاشية « ب ، بح » و</w:t>
      </w:r>
      <w:r w:rsidRPr="009D1ACE">
        <w:rPr>
          <w:rStyle w:val="libFootnoteBoldChar"/>
          <w:rtl/>
        </w:rPr>
        <w:t>الوافي</w:t>
      </w:r>
      <w:r w:rsidRPr="00132E65">
        <w:rPr>
          <w:rtl/>
        </w:rPr>
        <w:t xml:space="preserve"> والوسائل وحاشية المطبوع : « عن »</w:t>
      </w:r>
      <w:r>
        <w:rPr>
          <w:rtl/>
        </w:rPr>
        <w:t>.</w:t>
      </w:r>
      <w:r w:rsidRPr="00132E65">
        <w:rPr>
          <w:rtl/>
        </w:rPr>
        <w:t xml:space="preserve"> هذا ، وقد أشار علم الهدى ولد الفيض الكاشاني في حاشية </w:t>
      </w:r>
      <w:r w:rsidRPr="009D1ACE">
        <w:rPr>
          <w:rStyle w:val="libFootnoteBoldChar"/>
          <w:rtl/>
        </w:rPr>
        <w:t>الوافي</w:t>
      </w:r>
      <w:r w:rsidRPr="00132E65">
        <w:rPr>
          <w:rtl/>
        </w:rPr>
        <w:t xml:space="preserve"> إلى نسخة ا</w:t>
      </w:r>
      <w:r w:rsidR="00BF5FB0">
        <w:rPr>
          <w:rFonts w:hint="cs"/>
          <w:rtl/>
        </w:rPr>
        <w:t>ُ</w:t>
      </w:r>
      <w:r w:rsidRPr="00132E65">
        <w:rPr>
          <w:rtl/>
        </w:rPr>
        <w:t>خرى وهي « أحمد عن عيسى بن يزيد »</w:t>
      </w:r>
      <w:r>
        <w:rPr>
          <w:rtl/>
        </w:rPr>
        <w:t>.</w:t>
      </w:r>
      <w:r w:rsidRPr="00132E65">
        <w:rPr>
          <w:rtl/>
        </w:rPr>
        <w:t xml:space="preserve"> وعليه ، فالقول بصحّة إحدى النسخ مشكل جدّاً ؛ لعدم قيام القرينة على ذلك.</w:t>
      </w:r>
    </w:p>
    <w:p w:rsidR="000C39D1" w:rsidRPr="00132E65" w:rsidRDefault="000C39D1" w:rsidP="000C39D1">
      <w:pPr>
        <w:pStyle w:val="libFootnote0"/>
        <w:rPr>
          <w:rtl/>
          <w:lang w:bidi="fa-IR"/>
        </w:rPr>
      </w:pPr>
      <w:r>
        <w:rPr>
          <w:rtl/>
        </w:rPr>
        <w:t>(9).</w:t>
      </w:r>
      <w:r w:rsidRPr="00132E65">
        <w:rPr>
          <w:rtl/>
        </w:rPr>
        <w:t xml:space="preserve"> في « ب » : « زيد »</w:t>
      </w:r>
      <w:r>
        <w:rPr>
          <w:rtl/>
        </w:rPr>
        <w:t>.</w:t>
      </w:r>
    </w:p>
    <w:p w:rsidR="000C39D1" w:rsidRPr="00132E65" w:rsidRDefault="000C39D1" w:rsidP="000C39D1">
      <w:pPr>
        <w:pStyle w:val="libFootnote0"/>
        <w:rPr>
          <w:rtl/>
          <w:lang w:bidi="fa-IR"/>
        </w:rPr>
      </w:pPr>
      <w:r>
        <w:rPr>
          <w:rtl/>
        </w:rPr>
        <w:t>(10).</w:t>
      </w:r>
      <w:r w:rsidRPr="00132E65">
        <w:rPr>
          <w:rtl/>
        </w:rPr>
        <w:t xml:space="preserve"> في </w:t>
      </w:r>
      <w:r w:rsidRPr="009D1ACE">
        <w:rPr>
          <w:rStyle w:val="libFootnoteBoldChar"/>
          <w:rtl/>
        </w:rPr>
        <w:t>مرآة العقول</w:t>
      </w:r>
      <w:r w:rsidRPr="00132E65">
        <w:rPr>
          <w:rtl/>
        </w:rPr>
        <w:t xml:space="preserve"> : « وكان المكتوب إليه الهادي أو الجواد أو الرضا </w:t>
      </w:r>
      <w:r w:rsidRPr="00BF5FB0">
        <w:rPr>
          <w:rStyle w:val="libFootnoteAlaemChar"/>
          <w:rtl/>
        </w:rPr>
        <w:t>عليهم‌السلام</w:t>
      </w:r>
      <w:r w:rsidRPr="00132E65">
        <w:rPr>
          <w:rtl/>
        </w:rPr>
        <w:t xml:space="preserve"> »</w:t>
      </w:r>
      <w:r>
        <w:rPr>
          <w:rtl/>
        </w:rPr>
        <w:t>.</w:t>
      </w:r>
    </w:p>
    <w:tbl>
      <w:tblPr>
        <w:tblStyle w:val="TableGrid"/>
        <w:bidiVisual/>
        <w:tblW w:w="0" w:type="auto"/>
        <w:tblLook w:val="04A0" w:firstRow="1" w:lastRow="0" w:firstColumn="1" w:lastColumn="0" w:noHBand="0" w:noVBand="1"/>
      </w:tblPr>
      <w:tblGrid>
        <w:gridCol w:w="4261"/>
        <w:gridCol w:w="4262"/>
      </w:tblGrid>
      <w:tr w:rsidR="00BF5FB0" w:rsidTr="00BF5FB0">
        <w:tc>
          <w:tcPr>
            <w:tcW w:w="4261" w:type="dxa"/>
          </w:tcPr>
          <w:p w:rsidR="00BF5FB0" w:rsidRDefault="00BF5FB0" w:rsidP="000C39D1">
            <w:pPr>
              <w:pStyle w:val="libFootnote0"/>
              <w:rPr>
                <w:rtl/>
              </w:rPr>
            </w:pPr>
            <w:r>
              <w:rPr>
                <w:rtl/>
              </w:rPr>
              <w:t>(11).</w:t>
            </w:r>
            <w:r w:rsidRPr="00132E65">
              <w:rPr>
                <w:rtl/>
              </w:rPr>
              <w:t xml:space="preserve"> في « ض » : « تبيان »</w:t>
            </w:r>
            <w:r>
              <w:rPr>
                <w:rtl/>
              </w:rPr>
              <w:t>.</w:t>
            </w:r>
          </w:p>
        </w:tc>
        <w:tc>
          <w:tcPr>
            <w:tcW w:w="4262" w:type="dxa"/>
          </w:tcPr>
          <w:p w:rsidR="00BF5FB0" w:rsidRDefault="00BF5FB0" w:rsidP="000C39D1">
            <w:pPr>
              <w:pStyle w:val="libFootnote0"/>
              <w:rPr>
                <w:rtl/>
              </w:rPr>
            </w:pPr>
            <w:r>
              <w:rPr>
                <w:rtl/>
              </w:rPr>
              <w:t>(12).</w:t>
            </w:r>
            <w:r w:rsidRPr="00132E65">
              <w:rPr>
                <w:rtl/>
              </w:rPr>
              <w:t xml:space="preserve"> في « ج ، ض » وحاشية « بح ، بر » : « تلك »</w:t>
            </w:r>
            <w:r>
              <w:rPr>
                <w:rtl/>
              </w:rPr>
              <w:t>.</w:t>
            </w:r>
          </w:p>
        </w:tc>
      </w:tr>
    </w:tbl>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وَلَاصَوْمَ.</w:t>
      </w:r>
    </w:p>
    <w:p w:rsidR="000C39D1" w:rsidRPr="00132E65" w:rsidRDefault="000C39D1" w:rsidP="000C39D1">
      <w:pPr>
        <w:pStyle w:val="libNormal"/>
        <w:rPr>
          <w:rtl/>
          <w:lang w:bidi="fa-IR"/>
        </w:rPr>
      </w:pPr>
      <w:r w:rsidRPr="00132E65">
        <w:rPr>
          <w:rtl/>
          <w:lang w:bidi="fa-IR"/>
        </w:rPr>
        <w:t xml:space="preserve">فَكَتَبَ : « الْفَائِدَةُ مِمَّا يُفِيدُ </w:t>
      </w:r>
      <w:r>
        <w:rPr>
          <w:rStyle w:val="libFootnotenumChar"/>
          <w:rtl/>
        </w:rPr>
        <w:t>(1)</w:t>
      </w:r>
      <w:r w:rsidRPr="00132E65">
        <w:rPr>
          <w:rtl/>
          <w:lang w:bidi="fa-IR"/>
        </w:rPr>
        <w:t xml:space="preserve"> إِلَيْكَ فِي تِجَارَةٍ مِنْ رِبْحِهَا و</w:t>
      </w:r>
      <w:r>
        <w:rPr>
          <w:rFonts w:hint="cs"/>
          <w:rtl/>
          <w:lang w:bidi="fa-IR"/>
        </w:rPr>
        <w:t xml:space="preserve"> </w:t>
      </w:r>
      <w:r>
        <w:rPr>
          <w:rStyle w:val="libFootnotenumChar"/>
          <w:rtl/>
        </w:rPr>
        <w:t>(2)</w:t>
      </w:r>
      <w:r w:rsidRPr="00132E65">
        <w:rPr>
          <w:rtl/>
          <w:lang w:bidi="fa-IR"/>
        </w:rPr>
        <w:t xml:space="preserve"> حَرْثٍ بَعْدَ الْغَرَامِ أَوْ جَائِزَةٍ »</w:t>
      </w:r>
      <w:r>
        <w:rPr>
          <w:rtl/>
          <w:lang w:bidi="fa-IR"/>
        </w:rPr>
        <w:t>.</w:t>
      </w:r>
      <w:r w:rsidRPr="00132E65">
        <w:rPr>
          <w:rtl/>
          <w:lang w:bidi="fa-IR"/>
        </w:rPr>
        <w:t xml:space="preserve"> </w:t>
      </w:r>
      <w:r>
        <w:rPr>
          <w:rStyle w:val="libFootnotenumChar"/>
          <w:rtl/>
        </w:rPr>
        <w:t>(3)</w:t>
      </w:r>
      <w:r w:rsidRPr="00132E65">
        <w:rPr>
          <w:rtl/>
          <w:lang w:bidi="fa-IR"/>
        </w:rPr>
        <w:t xml:space="preserve"> ‌</w:t>
      </w:r>
    </w:p>
    <w:p w:rsidR="000C39D1" w:rsidRPr="00132E65" w:rsidRDefault="000C39D1" w:rsidP="000C39D1">
      <w:pPr>
        <w:pStyle w:val="libNormal"/>
        <w:rPr>
          <w:rtl/>
          <w:lang w:bidi="fa-IR"/>
        </w:rPr>
      </w:pPr>
      <w:r w:rsidRPr="00A3767B">
        <w:rPr>
          <w:rtl/>
        </w:rPr>
        <w:t>1433</w:t>
      </w:r>
      <w:r w:rsidRPr="004325D8">
        <w:rPr>
          <w:rStyle w:val="libBold2Char"/>
          <w:rtl/>
        </w:rPr>
        <w:t xml:space="preserve"> / 13.</w:t>
      </w:r>
      <w:r w:rsidRPr="00132E65">
        <w:rPr>
          <w:rtl/>
          <w:lang w:bidi="fa-IR"/>
        </w:rPr>
        <w:t xml:space="preserve"> عِدَّةٌ مِنْ أَصْحَابِنَا ، عَنْ أَحْمَدَ بْنِ مُحَمَّدٍ ، عَنِ ابْنِ أَبِي نَصْرٍ ، قَالَ :</w:t>
      </w:r>
    </w:p>
    <w:p w:rsidR="000C39D1" w:rsidRPr="00132E65" w:rsidRDefault="000C39D1" w:rsidP="000C39D1">
      <w:pPr>
        <w:pStyle w:val="libNormal"/>
        <w:rPr>
          <w:rtl/>
          <w:lang w:bidi="fa-IR"/>
        </w:rPr>
      </w:pPr>
      <w:r w:rsidRPr="00132E65">
        <w:rPr>
          <w:rtl/>
          <w:lang w:bidi="fa-IR"/>
        </w:rPr>
        <w:t xml:space="preserve">كَتَبْتُ إِلى أَبِي جَعْفَرٍ </w:t>
      </w:r>
      <w:r w:rsidRPr="00071CF9">
        <w:rPr>
          <w:rStyle w:val="libAlaemChar"/>
          <w:rtl/>
        </w:rPr>
        <w:t>عليه‌السلام</w:t>
      </w:r>
      <w:r w:rsidRPr="00132E65">
        <w:rPr>
          <w:rtl/>
          <w:lang w:bidi="fa-IR"/>
        </w:rPr>
        <w:t xml:space="preserve"> : الْخُمُسُ أُخْرِجُهُ قَبْلَ الْمَؤُونَةِ أَوْ بَعْدَ الْمَؤُونَةِ</w:t>
      </w:r>
      <w:r>
        <w:rPr>
          <w:rtl/>
          <w:lang w:bidi="fa-IR"/>
        </w:rPr>
        <w:t>؟</w:t>
      </w:r>
      <w:r w:rsidRPr="00132E65">
        <w:rPr>
          <w:rtl/>
          <w:lang w:bidi="fa-IR"/>
        </w:rPr>
        <w:t xml:space="preserve"> فَكَتَبَ :</w:t>
      </w:r>
      <w:r>
        <w:rPr>
          <w:rFonts w:hint="cs"/>
          <w:rtl/>
          <w:lang w:bidi="fa-IR"/>
        </w:rPr>
        <w:t xml:space="preserve"> </w:t>
      </w:r>
      <w:r w:rsidR="00BF5FB0">
        <w:rPr>
          <w:rtl/>
          <w:lang w:bidi="fa-IR"/>
        </w:rPr>
        <w:t>« بَعْدَ الْمَؤُونَةِ</w:t>
      </w:r>
      <w:r w:rsidRPr="00132E65">
        <w:rPr>
          <w:rtl/>
          <w:lang w:bidi="fa-IR"/>
        </w:rPr>
        <w:t>»</w:t>
      </w:r>
      <w:r>
        <w:rPr>
          <w:rtl/>
          <w:lang w:bidi="fa-IR"/>
        </w:rPr>
        <w:t>.</w:t>
      </w:r>
      <w:r>
        <w:rPr>
          <w:rStyle w:val="libFootnotenumChar"/>
          <w:rtl/>
        </w:rPr>
        <w:t>(4)</w:t>
      </w:r>
      <w:r w:rsidRPr="00132E65">
        <w:rPr>
          <w:rtl/>
          <w:lang w:bidi="fa-IR"/>
        </w:rPr>
        <w:t xml:space="preserve"> ‌</w:t>
      </w:r>
    </w:p>
    <w:p w:rsidR="000C39D1" w:rsidRPr="00132E65" w:rsidRDefault="000C39D1" w:rsidP="000C39D1">
      <w:pPr>
        <w:pStyle w:val="libNormal"/>
        <w:rPr>
          <w:rtl/>
          <w:lang w:bidi="fa-IR"/>
        </w:rPr>
      </w:pPr>
      <w:r w:rsidRPr="00A3767B">
        <w:rPr>
          <w:rtl/>
        </w:rPr>
        <w:t>1434</w:t>
      </w:r>
      <w:r w:rsidRPr="004325D8">
        <w:rPr>
          <w:rStyle w:val="libBold2Char"/>
          <w:rtl/>
        </w:rPr>
        <w:t xml:space="preserve"> / 14.</w:t>
      </w:r>
      <w:r w:rsidRPr="00132E65">
        <w:rPr>
          <w:rtl/>
          <w:lang w:bidi="fa-IR"/>
        </w:rPr>
        <w:t xml:space="preserve"> أَحْمَدُ بْنُ مُحَمَّدٍ </w:t>
      </w:r>
      <w:r>
        <w:rPr>
          <w:rStyle w:val="libFootnotenumChar"/>
          <w:rtl/>
        </w:rPr>
        <w:t>(5)</w:t>
      </w:r>
      <w:r w:rsidRPr="00132E65">
        <w:rPr>
          <w:rtl/>
          <w:lang w:bidi="fa-IR"/>
        </w:rPr>
        <w:t xml:space="preserve"> ، عَنْ عَلِيِّ بْنِ الْحَكَمِ ، عَنْ عَلِيِّ بْنِ أَبِي حَمْزَةَ ، عَنْ أَبِي بَصِيرٍ :</w:t>
      </w:r>
    </w:p>
    <w:p w:rsidR="000C39D1" w:rsidRPr="00132E65" w:rsidRDefault="000C39D1" w:rsidP="000C39D1">
      <w:pPr>
        <w:pStyle w:val="libNormal"/>
        <w:rPr>
          <w:rtl/>
          <w:lang w:bidi="fa-IR"/>
        </w:rPr>
      </w:pPr>
      <w:r w:rsidRPr="00132E65">
        <w:rPr>
          <w:rtl/>
          <w:lang w:bidi="fa-IR"/>
        </w:rPr>
        <w:t xml:space="preserve">عَنْ أَبِي جَعْفَرٍ </w:t>
      </w:r>
      <w:r w:rsidRPr="00071CF9">
        <w:rPr>
          <w:rStyle w:val="libAlaemChar"/>
          <w:rtl/>
        </w:rPr>
        <w:t>عليه‌السلام</w:t>
      </w:r>
      <w:r w:rsidRPr="00132E65">
        <w:rPr>
          <w:rtl/>
          <w:lang w:bidi="fa-IR"/>
        </w:rPr>
        <w:t xml:space="preserve"> ، قَالَ : « كُلُّ شَيْ‌ءٍ قُوتِلَ عَلَيْهِ عَلى </w:t>
      </w:r>
      <w:r>
        <w:rPr>
          <w:rStyle w:val="libFootnotenumChar"/>
          <w:rtl/>
        </w:rPr>
        <w:t>(6)</w:t>
      </w:r>
      <w:r w:rsidRPr="00132E65">
        <w:rPr>
          <w:rtl/>
          <w:lang w:bidi="fa-IR"/>
        </w:rPr>
        <w:t xml:space="preserve"> شَهَادَةِ أَنْ لَا</w:t>
      </w:r>
      <w:r>
        <w:rPr>
          <w:rFonts w:hint="cs"/>
          <w:rtl/>
          <w:lang w:bidi="fa-IR"/>
        </w:rPr>
        <w:t xml:space="preserve"> </w:t>
      </w:r>
      <w:r w:rsidR="00BF5FB0">
        <w:rPr>
          <w:rtl/>
          <w:lang w:bidi="fa-IR"/>
        </w:rPr>
        <w:t>إِله إِل</w:t>
      </w:r>
      <w:r w:rsidR="00BF5FB0">
        <w:rPr>
          <w:rFonts w:hint="cs"/>
          <w:rtl/>
          <w:lang w:bidi="fa-IR"/>
        </w:rPr>
        <w:t>َّ</w:t>
      </w:r>
      <w:r w:rsidR="00BF5FB0">
        <w:rPr>
          <w:rtl/>
          <w:lang w:bidi="fa-IR"/>
        </w:rPr>
        <w:t>ا</w:t>
      </w:r>
      <w:r w:rsidRPr="00132E65">
        <w:rPr>
          <w:rtl/>
          <w:lang w:bidi="fa-IR"/>
        </w:rPr>
        <w:t xml:space="preserve"> اللهُ و</w:t>
      </w:r>
      <w:r w:rsidR="00BF5FB0">
        <w:rPr>
          <w:rFonts w:hint="cs"/>
          <w:rtl/>
          <w:lang w:bidi="fa-IR"/>
        </w:rPr>
        <w:t>َ</w:t>
      </w:r>
      <w:r w:rsidRPr="00132E65">
        <w:rPr>
          <w:rtl/>
          <w:lang w:bidi="fa-IR"/>
        </w:rPr>
        <w:t>أَنَّ مُحَمَّداً رَسُولُ اللهِ ، فَإِنَّ لَنَا خُمُسَهُ ، و</w:t>
      </w:r>
      <w:r w:rsidR="00BF5FB0">
        <w:rPr>
          <w:rFonts w:hint="cs"/>
          <w:rtl/>
          <w:lang w:bidi="fa-IR"/>
        </w:rPr>
        <w:t>َ</w:t>
      </w:r>
      <w:r w:rsidRPr="00132E65">
        <w:rPr>
          <w:rtl/>
          <w:lang w:bidi="fa-IR"/>
        </w:rPr>
        <w:t>لَايَحِلُّ لِأَحَدٍ أَنْ يَشْتَرِيَ مِنَ الْخُمُسِ شَيْئاً حَتّى يَصِلَ إِلَيْنَا حَقَّنَا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A3767B">
        <w:rPr>
          <w:rtl/>
        </w:rPr>
        <w:t>1435</w:t>
      </w:r>
      <w:r w:rsidRPr="004325D8">
        <w:rPr>
          <w:rStyle w:val="libBold2Char"/>
          <w:rtl/>
        </w:rPr>
        <w:t xml:space="preserve"> / 15.</w:t>
      </w:r>
      <w:r w:rsidRPr="00132E65">
        <w:rPr>
          <w:rtl/>
          <w:lang w:bidi="fa-IR"/>
        </w:rPr>
        <w:t xml:space="preserve"> أَحْمَدُ بْنُ مُحَمَّدٍ </w:t>
      </w:r>
      <w:r>
        <w:rPr>
          <w:rStyle w:val="libFootnotenumChar"/>
          <w:rtl/>
        </w:rPr>
        <w:t>(8)</w:t>
      </w:r>
      <w:r w:rsidRPr="00132E65">
        <w:rPr>
          <w:rtl/>
          <w:lang w:bidi="fa-IR"/>
        </w:rPr>
        <w:t xml:space="preserve"> ، عَنْ مُحَمَّدِ بْنِ سِنَانٍ ، عَنْ يُونُسَ بْنِ يَعْقُوبَ ، عَنْ عَبْدِ‌</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ف » : « تفيد »</w:t>
      </w:r>
      <w:r>
        <w:rPr>
          <w:rtl/>
        </w:rPr>
        <w:t>.</w:t>
      </w:r>
      <w:r w:rsidRPr="00132E65">
        <w:rPr>
          <w:rtl/>
        </w:rPr>
        <w:t xml:space="preserve"> وقرأه الفيض على بناء المجرّد ، من فادت الفائدة إذا حصلت. وهو المحتمل عندالمجلسي.</w:t>
      </w:r>
    </w:p>
    <w:p w:rsidR="000C39D1" w:rsidRPr="00132E65" w:rsidRDefault="000C39D1" w:rsidP="000C39D1">
      <w:pPr>
        <w:pStyle w:val="libFootnote0"/>
        <w:rPr>
          <w:rtl/>
          <w:lang w:bidi="fa-IR"/>
        </w:rPr>
      </w:pPr>
      <w:r>
        <w:rPr>
          <w:rtl/>
        </w:rPr>
        <w:t>(2).</w:t>
      </w:r>
      <w:r w:rsidRPr="00132E65">
        <w:rPr>
          <w:rtl/>
        </w:rPr>
        <w:t xml:space="preserve"> في </w:t>
      </w:r>
      <w:r w:rsidRPr="009D1ACE">
        <w:rPr>
          <w:rStyle w:val="libFootnoteBoldChar"/>
          <w:rtl/>
        </w:rPr>
        <w:t>الوافي</w:t>
      </w:r>
      <w:r w:rsidRPr="00132E65">
        <w:rPr>
          <w:rtl/>
        </w:rPr>
        <w:t xml:space="preserve"> : « أو »</w:t>
      </w:r>
      <w:r>
        <w:rPr>
          <w:rtl/>
        </w:rPr>
        <w:t>.</w:t>
      </w:r>
    </w:p>
    <w:p w:rsidR="000C39D1" w:rsidRPr="00132E65" w:rsidRDefault="000C39D1" w:rsidP="000C39D1">
      <w:pPr>
        <w:pStyle w:val="libFootnote0"/>
        <w:rPr>
          <w:rtl/>
          <w:lang w:bidi="fa-IR"/>
        </w:rPr>
      </w:pPr>
      <w:r>
        <w:rPr>
          <w:rtl/>
        </w:rPr>
        <w:t>(3).</w:t>
      </w:r>
      <w:r w:rsidRPr="00132E65">
        <w:rPr>
          <w:rtl/>
        </w:rPr>
        <w:t xml:space="preserve"> </w:t>
      </w:r>
      <w:r w:rsidRPr="009D1ACE">
        <w:rPr>
          <w:rStyle w:val="libFootnoteBoldChar"/>
          <w:rtl/>
        </w:rPr>
        <w:t>الوافي</w:t>
      </w:r>
      <w:r w:rsidRPr="00132E65">
        <w:rPr>
          <w:rtl/>
        </w:rPr>
        <w:t xml:space="preserve"> ، ج 10 ، ص 309 ، ح 9614 ؛ </w:t>
      </w:r>
      <w:r w:rsidRPr="00BF5FB0">
        <w:rPr>
          <w:rStyle w:val="libFootnoteBoldChar"/>
          <w:rtl/>
        </w:rPr>
        <w:t>الوسائل</w:t>
      </w:r>
      <w:r w:rsidRPr="00132E65">
        <w:rPr>
          <w:rtl/>
        </w:rPr>
        <w:t xml:space="preserve"> ، ج 9 ، ص 503 ، ح 12585.</w:t>
      </w:r>
    </w:p>
    <w:p w:rsidR="000C39D1" w:rsidRPr="00132E65" w:rsidRDefault="000C39D1" w:rsidP="000C39D1">
      <w:pPr>
        <w:pStyle w:val="libFootnote0"/>
        <w:rPr>
          <w:rtl/>
          <w:lang w:bidi="fa-IR"/>
        </w:rPr>
      </w:pPr>
      <w:r>
        <w:rPr>
          <w:rtl/>
        </w:rPr>
        <w:t>(4).</w:t>
      </w:r>
      <w:r w:rsidRPr="00132E65">
        <w:rPr>
          <w:rtl/>
        </w:rPr>
        <w:t xml:space="preserve"> </w:t>
      </w:r>
      <w:r w:rsidRPr="00BF5FB0">
        <w:rPr>
          <w:rStyle w:val="libFootnoteBoldChar"/>
          <w:rtl/>
        </w:rPr>
        <w:t>التهذيب</w:t>
      </w:r>
      <w:r w:rsidRPr="00132E65">
        <w:rPr>
          <w:rtl/>
        </w:rPr>
        <w:t xml:space="preserve"> ، ج 4 ، ص 123 ، ح 352 ؛ </w:t>
      </w:r>
      <w:r w:rsidRPr="00BF5FB0">
        <w:rPr>
          <w:rStyle w:val="libFootnoteBoldChar"/>
          <w:rtl/>
        </w:rPr>
        <w:t>و</w:t>
      </w:r>
      <w:r w:rsidRPr="007A1104">
        <w:rPr>
          <w:rStyle w:val="libFootnoteBoldChar"/>
          <w:rtl/>
        </w:rPr>
        <w:t>الاستبصار</w:t>
      </w:r>
      <w:r w:rsidRPr="00A3767B">
        <w:rPr>
          <w:rtl/>
        </w:rPr>
        <w:t xml:space="preserve"> </w:t>
      </w:r>
      <w:r w:rsidRPr="00132E65">
        <w:rPr>
          <w:rtl/>
        </w:rPr>
        <w:t xml:space="preserve">، ج 2 ، ص 55 ، ح 181 ، بسند آخر ، عن أبي جعفر الثاني </w:t>
      </w:r>
      <w:r w:rsidRPr="00BF5FB0">
        <w:rPr>
          <w:rStyle w:val="libFootnoteAlaemChar"/>
          <w:rtl/>
        </w:rPr>
        <w:t>عليه‌السلام</w:t>
      </w:r>
      <w:r w:rsidRPr="00132E65">
        <w:rPr>
          <w:rtl/>
        </w:rPr>
        <w:t xml:space="preserve"> ، مع زيادة في أوّله. </w:t>
      </w:r>
      <w:r w:rsidRPr="00BF5FB0">
        <w:rPr>
          <w:rStyle w:val="libFootnoteBoldChar"/>
          <w:rtl/>
        </w:rPr>
        <w:t>الفقيه</w:t>
      </w:r>
      <w:r w:rsidRPr="00132E65">
        <w:rPr>
          <w:rtl/>
        </w:rPr>
        <w:t xml:space="preserve"> ، ج 2 ، ص 42 ، ح 1652 ، مرسلاً عن إبراهيم بن محمّد ، عن الرضا </w:t>
      </w:r>
      <w:r w:rsidRPr="00BF5FB0">
        <w:rPr>
          <w:rStyle w:val="libFootnoteAlaemChar"/>
          <w:rtl/>
        </w:rPr>
        <w:t>عليه‌السلام</w:t>
      </w:r>
      <w:r w:rsidRPr="00132E65">
        <w:rPr>
          <w:rtl/>
        </w:rPr>
        <w:t xml:space="preserve"> ؛ </w:t>
      </w:r>
      <w:r w:rsidRPr="00BF5FB0">
        <w:rPr>
          <w:rStyle w:val="libFootnoteBoldChar"/>
          <w:rtl/>
        </w:rPr>
        <w:t>تفسير العيّاشي</w:t>
      </w:r>
      <w:r w:rsidRPr="00132E65">
        <w:rPr>
          <w:rtl/>
        </w:rPr>
        <w:t xml:space="preserve"> ، ج 2 ، ص 63 ، ح 61 ، عن إبراهيم بن محمّد ، عن أبي الحسن الثالث </w:t>
      </w:r>
      <w:r w:rsidRPr="00BF5FB0">
        <w:rPr>
          <w:rStyle w:val="libFootnoteAlaemChar"/>
          <w:rtl/>
        </w:rPr>
        <w:t>عليه‌السلام</w:t>
      </w:r>
      <w:r w:rsidRPr="00132E65">
        <w:rPr>
          <w:rtl/>
        </w:rPr>
        <w:t xml:space="preserve"> ، وفيهما مع زيادة ، وفي كلّها : « الخمس بعد المؤونة » </w:t>
      </w:r>
      <w:r w:rsidR="00BF5FB0">
        <w:rPr>
          <w:rFonts w:hint="cs"/>
          <w:rtl/>
        </w:rPr>
        <w:t>.</w:t>
      </w:r>
      <w:r w:rsidRPr="009D1ACE">
        <w:rPr>
          <w:rStyle w:val="libFootnoteBoldChar"/>
          <w:rtl/>
        </w:rPr>
        <w:t>الوافي</w:t>
      </w:r>
      <w:r w:rsidRPr="00132E65">
        <w:rPr>
          <w:rtl/>
        </w:rPr>
        <w:t xml:space="preserve"> ، ج 10 ، ص 320 ، ح 9635 ؛ </w:t>
      </w:r>
      <w:r w:rsidRPr="005D623A">
        <w:rPr>
          <w:rStyle w:val="libFootnoteBoldChar"/>
          <w:rtl/>
        </w:rPr>
        <w:t>الوسائل</w:t>
      </w:r>
      <w:r w:rsidRPr="00132E65">
        <w:rPr>
          <w:rtl/>
        </w:rPr>
        <w:t xml:space="preserve"> ، ج 9 ، ص 508 ، ح 12597.</w:t>
      </w:r>
    </w:p>
    <w:p w:rsidR="000C39D1" w:rsidRPr="00132E65" w:rsidRDefault="000C39D1" w:rsidP="005D623A">
      <w:pPr>
        <w:pStyle w:val="libFootnote0"/>
        <w:rPr>
          <w:rtl/>
          <w:lang w:bidi="fa-IR"/>
        </w:rPr>
      </w:pPr>
      <w:r>
        <w:rPr>
          <w:rtl/>
        </w:rPr>
        <w:t>(5).</w:t>
      </w:r>
      <w:r w:rsidRPr="00132E65">
        <w:rPr>
          <w:rtl/>
        </w:rPr>
        <w:t xml:space="preserve"> السند معلّق على سابقه. ويروي عن أحمد بن محمّد ، عدّة من أصحابنا. وفي الوسائل : « محمّد بن يحيى عن‌أحمد بن محمّد »</w:t>
      </w:r>
      <w:r>
        <w:rPr>
          <w:rtl/>
        </w:rPr>
        <w:t>.</w:t>
      </w:r>
      <w:r w:rsidR="005D623A">
        <w:rPr>
          <w:rFonts w:hint="cs"/>
          <w:rtl/>
        </w:rPr>
        <w:t xml:space="preserve">                                         </w:t>
      </w:r>
      <w:r>
        <w:rPr>
          <w:rtl/>
        </w:rPr>
        <w:t>(6).</w:t>
      </w:r>
      <w:r w:rsidRPr="00132E65">
        <w:rPr>
          <w:rtl/>
        </w:rPr>
        <w:t xml:space="preserve"> في « بح » </w:t>
      </w:r>
      <w:r>
        <w:rPr>
          <w:rtl/>
        </w:rPr>
        <w:t xml:space="preserve">: - </w:t>
      </w:r>
      <w:r w:rsidRPr="00132E65">
        <w:rPr>
          <w:rtl/>
        </w:rPr>
        <w:t>« على »</w:t>
      </w:r>
      <w:r>
        <w:rPr>
          <w:rtl/>
        </w:rPr>
        <w:t>.</w:t>
      </w:r>
    </w:p>
    <w:p w:rsidR="000C39D1" w:rsidRPr="00132E65" w:rsidRDefault="000C39D1" w:rsidP="000C39D1">
      <w:pPr>
        <w:pStyle w:val="libFootnote0"/>
        <w:rPr>
          <w:rtl/>
          <w:lang w:bidi="fa-IR"/>
        </w:rPr>
      </w:pPr>
      <w:r>
        <w:rPr>
          <w:rtl/>
        </w:rPr>
        <w:t>(7).</w:t>
      </w:r>
      <w:r w:rsidRPr="00132E65">
        <w:rPr>
          <w:rtl/>
        </w:rPr>
        <w:t xml:space="preserve"> </w:t>
      </w:r>
      <w:r w:rsidRPr="005D623A">
        <w:rPr>
          <w:rStyle w:val="libFootnoteBoldChar"/>
          <w:rtl/>
        </w:rPr>
        <w:t>المقنعة</w:t>
      </w:r>
      <w:r w:rsidRPr="00132E65">
        <w:rPr>
          <w:rtl/>
        </w:rPr>
        <w:t xml:space="preserve"> ، ص 280 ، مرسلاً عن أبي بصير </w:t>
      </w:r>
      <w:r w:rsidR="005D623A">
        <w:rPr>
          <w:rFonts w:hint="cs"/>
          <w:rtl/>
        </w:rPr>
        <w:t>.</w:t>
      </w:r>
      <w:r w:rsidRPr="009D1ACE">
        <w:rPr>
          <w:rStyle w:val="libFootnoteBoldChar"/>
          <w:rtl/>
        </w:rPr>
        <w:t>الوافي</w:t>
      </w:r>
      <w:r w:rsidRPr="00132E65">
        <w:rPr>
          <w:rtl/>
        </w:rPr>
        <w:t xml:space="preserve"> ، ج 10 ، ص 330 ، ح 9652 ؛ </w:t>
      </w:r>
      <w:r w:rsidRPr="005D623A">
        <w:rPr>
          <w:rStyle w:val="libFootnoteBoldChar"/>
          <w:rtl/>
        </w:rPr>
        <w:t>الوسائل</w:t>
      </w:r>
      <w:r w:rsidRPr="00132E65">
        <w:rPr>
          <w:rtl/>
        </w:rPr>
        <w:t xml:space="preserve"> ، ج 9 ، ص 484 ، ح 12543 ، من قوله : « لا يحلّ لأحد أن يشتري » ؛ وص 487 ، ح 12550.</w:t>
      </w:r>
    </w:p>
    <w:p w:rsidR="000C39D1" w:rsidRPr="00132E65" w:rsidRDefault="000C39D1" w:rsidP="000C39D1">
      <w:pPr>
        <w:pStyle w:val="libFootnote0"/>
        <w:rPr>
          <w:rtl/>
          <w:lang w:bidi="fa-IR"/>
        </w:rPr>
      </w:pPr>
      <w:r>
        <w:rPr>
          <w:rtl/>
        </w:rPr>
        <w:t>(8).</w:t>
      </w:r>
      <w:r w:rsidRPr="00132E65">
        <w:rPr>
          <w:rtl/>
        </w:rPr>
        <w:t xml:space="preserve"> هذا السند أيضاً معلّق على سند الحديث 13.</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الْعَزِيزِ بْنِ نَافِعٍ ، قَالَ :</w:t>
      </w:r>
    </w:p>
    <w:p w:rsidR="000C39D1" w:rsidRPr="00132E65" w:rsidRDefault="000C39D1" w:rsidP="000C39D1">
      <w:pPr>
        <w:pStyle w:val="libNormal"/>
        <w:rPr>
          <w:rtl/>
          <w:lang w:bidi="fa-IR"/>
        </w:rPr>
      </w:pPr>
      <w:r w:rsidRPr="00132E65">
        <w:rPr>
          <w:rtl/>
          <w:lang w:bidi="fa-IR"/>
        </w:rPr>
        <w:t xml:space="preserve">طَلَبْنَا الْإِذْنَ عَلى أَبِي عَبْدِ اللهِ </w:t>
      </w:r>
      <w:r w:rsidRPr="00071CF9">
        <w:rPr>
          <w:rStyle w:val="libAlaemChar"/>
          <w:rtl/>
        </w:rPr>
        <w:t>عليه‌السلام</w:t>
      </w:r>
      <w:r w:rsidRPr="00132E65">
        <w:rPr>
          <w:rtl/>
          <w:lang w:bidi="fa-IR"/>
        </w:rPr>
        <w:t xml:space="preserve"> ، و</w:t>
      </w:r>
      <w:r w:rsidR="005D623A">
        <w:rPr>
          <w:rFonts w:hint="cs"/>
          <w:rtl/>
          <w:lang w:bidi="fa-IR"/>
        </w:rPr>
        <w:t>َ</w:t>
      </w:r>
      <w:r w:rsidRPr="00132E65">
        <w:rPr>
          <w:rtl/>
          <w:lang w:bidi="fa-IR"/>
        </w:rPr>
        <w:t>أَرْسَلْنَا إِلَيْهِ ، فَأَرْسَلَ إِلَيْنَا : « ادْخُلُوا اثْنَيْنِ اثْنَيْنِ » فَدَخَلْتُ أَنَا و</w:t>
      </w:r>
      <w:r w:rsidR="005D623A">
        <w:rPr>
          <w:rFonts w:hint="cs"/>
          <w:rtl/>
          <w:lang w:bidi="fa-IR"/>
        </w:rPr>
        <w:t>َ</w:t>
      </w:r>
      <w:r w:rsidRPr="00132E65">
        <w:rPr>
          <w:rtl/>
          <w:lang w:bidi="fa-IR"/>
        </w:rPr>
        <w:t xml:space="preserve">رَجُلٌ مَعِي ، فَقُلْتُ لِلرَّجُلِ : أُحِبُّ أَنْ تَسْتَأْذِنَ </w:t>
      </w:r>
      <w:r>
        <w:rPr>
          <w:rStyle w:val="libFootnotenumChar"/>
          <w:rtl/>
        </w:rPr>
        <w:t>(1)</w:t>
      </w:r>
      <w:r w:rsidRPr="00132E65">
        <w:rPr>
          <w:rtl/>
          <w:lang w:bidi="fa-IR"/>
        </w:rPr>
        <w:t xml:space="preserve"> بِالْمَسْأَلَةِ </w:t>
      </w:r>
      <w:r>
        <w:rPr>
          <w:rStyle w:val="libFootnotenumChar"/>
          <w:rtl/>
        </w:rPr>
        <w:t>(2)</w:t>
      </w:r>
      <w:r w:rsidRPr="00132E65">
        <w:rPr>
          <w:rtl/>
          <w:lang w:bidi="fa-IR"/>
        </w:rPr>
        <w:t xml:space="preserve"> ، فَقَالَ :</w:t>
      </w:r>
      <w:r>
        <w:rPr>
          <w:rFonts w:hint="cs"/>
          <w:rtl/>
          <w:lang w:bidi="fa-IR"/>
        </w:rPr>
        <w:t xml:space="preserve"> </w:t>
      </w:r>
      <w:r w:rsidRPr="00132E65">
        <w:rPr>
          <w:rtl/>
          <w:lang w:bidi="fa-IR"/>
        </w:rPr>
        <w:t xml:space="preserve">نَعَمْ ، فَقَالَ </w:t>
      </w:r>
      <w:r>
        <w:rPr>
          <w:rStyle w:val="libFootnotenumChar"/>
          <w:rtl/>
        </w:rPr>
        <w:t>(3)</w:t>
      </w:r>
      <w:r w:rsidRPr="00132E65">
        <w:rPr>
          <w:rtl/>
          <w:lang w:bidi="fa-IR"/>
        </w:rPr>
        <w:t xml:space="preserve"> لَهُ </w:t>
      </w:r>
      <w:r>
        <w:rPr>
          <w:rStyle w:val="libFootnotenumChar"/>
          <w:rtl/>
        </w:rPr>
        <w:t>(4)</w:t>
      </w:r>
      <w:r w:rsidRPr="00132E65">
        <w:rPr>
          <w:rtl/>
          <w:lang w:bidi="fa-IR"/>
        </w:rPr>
        <w:t xml:space="preserve"> : جُعِلْتُ فِدَاكَ </w:t>
      </w:r>
      <w:r>
        <w:rPr>
          <w:rStyle w:val="libFootnotenumChar"/>
          <w:rtl/>
        </w:rPr>
        <w:t>(5)</w:t>
      </w:r>
      <w:r w:rsidRPr="00132E65">
        <w:rPr>
          <w:rtl/>
          <w:lang w:bidi="fa-IR"/>
        </w:rPr>
        <w:t xml:space="preserve"> ، إِنَّ </w:t>
      </w:r>
      <w:r>
        <w:rPr>
          <w:rStyle w:val="libFootnotenumChar"/>
          <w:rtl/>
        </w:rPr>
        <w:t>(6)</w:t>
      </w:r>
      <w:r w:rsidRPr="00132E65">
        <w:rPr>
          <w:rtl/>
          <w:lang w:bidi="fa-IR"/>
        </w:rPr>
        <w:t xml:space="preserve"> أَبِي كَانَ مِمَّنْ سَبَاهُ بَنُو أُمَيَّةَ ، قَدْ </w:t>
      </w:r>
      <w:r>
        <w:rPr>
          <w:rStyle w:val="libFootnotenumChar"/>
          <w:rtl/>
        </w:rPr>
        <w:t>(7)</w:t>
      </w:r>
      <w:r w:rsidRPr="00132E65">
        <w:rPr>
          <w:rtl/>
          <w:lang w:bidi="fa-IR"/>
        </w:rPr>
        <w:t xml:space="preserve"> عَلِمْتُ أَنَّ بَنِي أُمَيَّةَ لَمْ يَكُنْ لَهُمْ أَنْ يُحَرِّمُوا و</w:t>
      </w:r>
      <w:r w:rsidR="005D623A">
        <w:rPr>
          <w:rFonts w:hint="cs"/>
          <w:rtl/>
          <w:lang w:bidi="fa-IR"/>
        </w:rPr>
        <w:t>َ</w:t>
      </w:r>
      <w:r w:rsidRPr="00132E65">
        <w:rPr>
          <w:rtl/>
          <w:lang w:bidi="fa-IR"/>
        </w:rPr>
        <w:t>لَايُحَلِّلُوا ، و</w:t>
      </w:r>
      <w:r w:rsidR="005D623A">
        <w:rPr>
          <w:rFonts w:hint="cs"/>
          <w:rtl/>
          <w:lang w:bidi="fa-IR"/>
        </w:rPr>
        <w:t>َ</w:t>
      </w:r>
      <w:r w:rsidRPr="00132E65">
        <w:rPr>
          <w:rtl/>
          <w:lang w:bidi="fa-IR"/>
        </w:rPr>
        <w:t>لَمْ يَكُنْ لَهُمْ مِمَّا فِي أَيْدِيهِمْ قَلِيلٌ و</w:t>
      </w:r>
      <w:r w:rsidR="005D623A">
        <w:rPr>
          <w:rFonts w:hint="cs"/>
          <w:rtl/>
          <w:lang w:bidi="fa-IR"/>
        </w:rPr>
        <w:t>َ</w:t>
      </w:r>
      <w:r w:rsidRPr="00132E65">
        <w:rPr>
          <w:rtl/>
          <w:lang w:bidi="fa-IR"/>
        </w:rPr>
        <w:t>لَا كَثِيرٌ ، و</w:t>
      </w:r>
      <w:r w:rsidR="005D623A">
        <w:rPr>
          <w:rFonts w:hint="cs"/>
          <w:rtl/>
          <w:lang w:bidi="fa-IR"/>
        </w:rPr>
        <w:t>َ</w:t>
      </w:r>
      <w:r w:rsidRPr="00132E65">
        <w:rPr>
          <w:rtl/>
          <w:lang w:bidi="fa-IR"/>
        </w:rPr>
        <w:t xml:space="preserve">إِنَّمَا ذلِكَ لَكُمْ ، فَإِذَا ذَكَرْتُ رَدَّ </w:t>
      </w:r>
      <w:r>
        <w:rPr>
          <w:rStyle w:val="libFootnotenumChar"/>
          <w:rtl/>
        </w:rPr>
        <w:t>(8)</w:t>
      </w:r>
      <w:r w:rsidRPr="00132E65">
        <w:rPr>
          <w:rtl/>
          <w:lang w:bidi="fa-IR"/>
        </w:rPr>
        <w:t xml:space="preserve"> الَّذِي كُنْتُ فِيهِ ، دَخَلَنِي مِنْ ذلِكَ مَا يَكَادُ يُفْسِدُ عَلَيَّ عَقْلِي </w:t>
      </w:r>
      <w:r>
        <w:rPr>
          <w:rStyle w:val="libFootnotenumChar"/>
          <w:rtl/>
        </w:rPr>
        <w:t>(9)</w:t>
      </w:r>
      <w:r w:rsidRPr="00132E65">
        <w:rPr>
          <w:rtl/>
          <w:lang w:bidi="fa-IR"/>
        </w:rPr>
        <w:t xml:space="preserve"> مَا </w:t>
      </w:r>
      <w:r>
        <w:rPr>
          <w:rStyle w:val="libFootnotenumChar"/>
          <w:rtl/>
        </w:rPr>
        <w:t>(10)</w:t>
      </w:r>
      <w:r w:rsidRPr="00132E65">
        <w:rPr>
          <w:rtl/>
          <w:lang w:bidi="fa-IR"/>
        </w:rPr>
        <w:t xml:space="preserve"> أَنَا فِيهِ.</w:t>
      </w:r>
    </w:p>
    <w:p w:rsidR="000C39D1" w:rsidRPr="00132E65" w:rsidRDefault="000C39D1" w:rsidP="000C39D1">
      <w:pPr>
        <w:pStyle w:val="libNormal"/>
        <w:rPr>
          <w:rtl/>
          <w:lang w:bidi="fa-IR"/>
        </w:rPr>
      </w:pPr>
      <w:r w:rsidRPr="00132E65">
        <w:rPr>
          <w:rtl/>
          <w:lang w:bidi="fa-IR"/>
        </w:rPr>
        <w:t>فَقَالَ لَهُ : « أَنْتَ فِي حِلٍّ مِمَّا كَانَ مِنْ ذلِكَ ، و</w:t>
      </w:r>
      <w:r w:rsidR="005D623A">
        <w:rPr>
          <w:rFonts w:hint="cs"/>
          <w:rtl/>
          <w:lang w:bidi="fa-IR"/>
        </w:rPr>
        <w:t>َ</w:t>
      </w:r>
      <w:r w:rsidRPr="00132E65">
        <w:rPr>
          <w:rtl/>
          <w:lang w:bidi="fa-IR"/>
        </w:rPr>
        <w:t xml:space="preserve">كُلُّ مَنْ كَانَ فِي مِثْلِ حَالِكَ مِنْ وَرَائِي </w:t>
      </w:r>
      <w:r>
        <w:rPr>
          <w:rStyle w:val="libFootnotenumChar"/>
          <w:rtl/>
        </w:rPr>
        <w:t>(11)</w:t>
      </w:r>
      <w:r w:rsidRPr="00132E65">
        <w:rPr>
          <w:rtl/>
          <w:lang w:bidi="fa-IR"/>
        </w:rPr>
        <w:t xml:space="preserve"> ، فَهُوَ فِي حِلٍّ مِنْ ذلِكَ »</w:t>
      </w:r>
      <w:r>
        <w:rPr>
          <w:rtl/>
          <w:lang w:bidi="fa-IR"/>
        </w:rPr>
        <w:t>.</w:t>
      </w:r>
    </w:p>
    <w:p w:rsidR="000C39D1" w:rsidRPr="00132E65" w:rsidRDefault="000C39D1" w:rsidP="000C39D1">
      <w:pPr>
        <w:pStyle w:val="libNormal"/>
        <w:rPr>
          <w:rtl/>
          <w:lang w:bidi="fa-IR"/>
        </w:rPr>
      </w:pPr>
      <w:r w:rsidRPr="00132E65">
        <w:rPr>
          <w:rtl/>
          <w:lang w:bidi="fa-IR"/>
        </w:rPr>
        <w:t>قَالَ : فَقُمْنَا و</w:t>
      </w:r>
      <w:r w:rsidR="005D623A">
        <w:rPr>
          <w:rFonts w:hint="cs"/>
          <w:rtl/>
          <w:lang w:bidi="fa-IR"/>
        </w:rPr>
        <w:t>َ</w:t>
      </w:r>
      <w:r w:rsidRPr="00132E65">
        <w:rPr>
          <w:rtl/>
          <w:lang w:bidi="fa-IR"/>
        </w:rPr>
        <w:t xml:space="preserve">خَرَجْنَا ، فَسَبَقَنَا </w:t>
      </w:r>
      <w:r>
        <w:rPr>
          <w:rStyle w:val="libFootnotenumChar"/>
          <w:rtl/>
        </w:rPr>
        <w:t>(12)</w:t>
      </w:r>
      <w:r w:rsidRPr="00132E65">
        <w:rPr>
          <w:rtl/>
          <w:lang w:bidi="fa-IR"/>
        </w:rPr>
        <w:t xml:space="preserve"> مُعَتِّبٌ </w:t>
      </w:r>
      <w:r w:rsidRPr="00F543F1">
        <w:rPr>
          <w:rStyle w:val="libFootnotenumChar"/>
          <w:rtl/>
        </w:rPr>
        <w:t>(13)</w:t>
      </w:r>
      <w:r w:rsidRPr="00132E65">
        <w:rPr>
          <w:rtl/>
          <w:lang w:bidi="fa-IR"/>
        </w:rPr>
        <w:t xml:space="preserve"> إِلَى النَّفَرِ الْقُعُودِ الَّذِينَ يَنْتَظِرُونَ إِذْنَ‌</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بف » </w:t>
      </w:r>
      <w:r w:rsidRPr="005D623A">
        <w:rPr>
          <w:rtl/>
        </w:rPr>
        <w:t>والوافي</w:t>
      </w:r>
      <w:r w:rsidRPr="00132E65">
        <w:rPr>
          <w:rtl/>
        </w:rPr>
        <w:t xml:space="preserve"> : « أن تستأذنه »</w:t>
      </w:r>
      <w:r>
        <w:rPr>
          <w:rtl/>
        </w:rPr>
        <w:t>.</w:t>
      </w:r>
      <w:r w:rsidRPr="00132E65">
        <w:rPr>
          <w:rtl/>
        </w:rPr>
        <w:t xml:space="preserve"> وفي « ب ، ج ، بس » وحاشية « بح » و</w:t>
      </w:r>
      <w:r w:rsidRPr="009D1ACE">
        <w:rPr>
          <w:rStyle w:val="libFootnoteBoldChar"/>
          <w:rtl/>
        </w:rPr>
        <w:t>مرآة العقول</w:t>
      </w:r>
      <w:r w:rsidRPr="00132E65">
        <w:rPr>
          <w:rtl/>
        </w:rPr>
        <w:t xml:space="preserve"> والوسائل : « أن تحلّ » بصيغة المجرّد والإفعال.</w:t>
      </w:r>
    </w:p>
    <w:p w:rsidR="000C39D1" w:rsidRPr="00132E65" w:rsidRDefault="000C39D1" w:rsidP="000C39D1">
      <w:pPr>
        <w:pStyle w:val="libFootnote0"/>
        <w:rPr>
          <w:rtl/>
          <w:lang w:bidi="fa-IR"/>
        </w:rPr>
      </w:pPr>
      <w:r>
        <w:rPr>
          <w:rtl/>
        </w:rPr>
        <w:t>(2).</w:t>
      </w:r>
      <w:r w:rsidRPr="00132E65">
        <w:rPr>
          <w:rtl/>
        </w:rPr>
        <w:t xml:space="preserve"> في البحار : « تسأل المسألة » بدل « تستأذن بالمسألة »</w:t>
      </w:r>
      <w:r>
        <w:rPr>
          <w:rtl/>
        </w:rPr>
        <w:t>.</w:t>
      </w:r>
    </w:p>
    <w:tbl>
      <w:tblPr>
        <w:tblStyle w:val="TableGrid"/>
        <w:bidiVisual/>
        <w:tblW w:w="0" w:type="auto"/>
        <w:tblLook w:val="04A0" w:firstRow="1" w:lastRow="0" w:firstColumn="1" w:lastColumn="0" w:noHBand="0" w:noVBand="1"/>
      </w:tblPr>
      <w:tblGrid>
        <w:gridCol w:w="4261"/>
        <w:gridCol w:w="4262"/>
      </w:tblGrid>
      <w:tr w:rsidR="005D623A" w:rsidTr="005D623A">
        <w:tc>
          <w:tcPr>
            <w:tcW w:w="4261" w:type="dxa"/>
          </w:tcPr>
          <w:p w:rsidR="005D623A" w:rsidRDefault="005D623A" w:rsidP="000C39D1">
            <w:pPr>
              <w:pStyle w:val="libFootnote0"/>
              <w:rPr>
                <w:rtl/>
              </w:rPr>
            </w:pPr>
            <w:r>
              <w:rPr>
                <w:rtl/>
              </w:rPr>
              <w:t>(3).</w:t>
            </w:r>
            <w:r w:rsidRPr="00132E65">
              <w:rPr>
                <w:rtl/>
              </w:rPr>
              <w:t xml:space="preserve"> في « بح ، بر » و</w:t>
            </w:r>
            <w:r w:rsidRPr="009D1ACE">
              <w:rPr>
                <w:rStyle w:val="libFootnoteBoldChar"/>
                <w:rtl/>
              </w:rPr>
              <w:t>الوافي</w:t>
            </w:r>
            <w:r w:rsidRPr="00132E65">
              <w:rPr>
                <w:rtl/>
              </w:rPr>
              <w:t xml:space="preserve"> : « فقلت »</w:t>
            </w:r>
            <w:r>
              <w:rPr>
                <w:rtl/>
              </w:rPr>
              <w:t>.</w:t>
            </w:r>
          </w:p>
        </w:tc>
        <w:tc>
          <w:tcPr>
            <w:tcW w:w="4262" w:type="dxa"/>
          </w:tcPr>
          <w:p w:rsidR="005D623A" w:rsidRDefault="005D623A" w:rsidP="000C39D1">
            <w:pPr>
              <w:pStyle w:val="libFootnote0"/>
              <w:rPr>
                <w:rtl/>
              </w:rPr>
            </w:pPr>
            <w:r>
              <w:rPr>
                <w:rtl/>
              </w:rPr>
              <w:t>(4).</w:t>
            </w:r>
            <w:r w:rsidRPr="00132E65">
              <w:rPr>
                <w:rtl/>
              </w:rPr>
              <w:t xml:space="preserve"> في « بح » </w:t>
            </w:r>
            <w:r>
              <w:rPr>
                <w:rtl/>
              </w:rPr>
              <w:t xml:space="preserve">: - </w:t>
            </w:r>
            <w:r w:rsidRPr="00132E65">
              <w:rPr>
                <w:rtl/>
              </w:rPr>
              <w:t>« له »</w:t>
            </w:r>
            <w:r>
              <w:rPr>
                <w:rtl/>
              </w:rPr>
              <w:t>.</w:t>
            </w:r>
          </w:p>
        </w:tc>
      </w:tr>
      <w:tr w:rsidR="005D623A" w:rsidTr="005D623A">
        <w:tc>
          <w:tcPr>
            <w:tcW w:w="4261" w:type="dxa"/>
          </w:tcPr>
          <w:p w:rsidR="005D623A" w:rsidRDefault="005D623A" w:rsidP="000C39D1">
            <w:pPr>
              <w:pStyle w:val="libFootnote0"/>
              <w:rPr>
                <w:rtl/>
              </w:rPr>
            </w:pPr>
            <w:r>
              <w:rPr>
                <w:rtl/>
              </w:rPr>
              <w:t>(5).</w:t>
            </w:r>
            <w:r w:rsidRPr="00132E65">
              <w:rPr>
                <w:rtl/>
              </w:rPr>
              <w:t xml:space="preserve"> في شرح المازندراني </w:t>
            </w:r>
            <w:r>
              <w:rPr>
                <w:rtl/>
              </w:rPr>
              <w:t xml:space="preserve">: - </w:t>
            </w:r>
            <w:r w:rsidRPr="00132E65">
              <w:rPr>
                <w:rtl/>
              </w:rPr>
              <w:t>« جعلت فداك »</w:t>
            </w:r>
            <w:r>
              <w:rPr>
                <w:rtl/>
              </w:rPr>
              <w:t>.</w:t>
            </w:r>
          </w:p>
        </w:tc>
        <w:tc>
          <w:tcPr>
            <w:tcW w:w="4262" w:type="dxa"/>
          </w:tcPr>
          <w:p w:rsidR="005D623A" w:rsidRDefault="005D623A" w:rsidP="000C39D1">
            <w:pPr>
              <w:pStyle w:val="libFootnote0"/>
              <w:rPr>
                <w:rtl/>
              </w:rPr>
            </w:pPr>
            <w:r>
              <w:rPr>
                <w:rtl/>
              </w:rPr>
              <w:t>(6).</w:t>
            </w:r>
            <w:r w:rsidRPr="00132E65">
              <w:rPr>
                <w:rtl/>
              </w:rPr>
              <w:t xml:space="preserve"> في « بر » </w:t>
            </w:r>
            <w:r>
              <w:rPr>
                <w:rtl/>
              </w:rPr>
              <w:t xml:space="preserve">: - </w:t>
            </w:r>
            <w:r w:rsidRPr="00132E65">
              <w:rPr>
                <w:rtl/>
              </w:rPr>
              <w:t>« إنّ »</w:t>
            </w:r>
            <w:r>
              <w:rPr>
                <w:rtl/>
              </w:rPr>
              <w:t>.</w:t>
            </w:r>
          </w:p>
        </w:tc>
      </w:tr>
    </w:tbl>
    <w:p w:rsidR="000C39D1" w:rsidRPr="00132E65" w:rsidRDefault="000C39D1" w:rsidP="000C39D1">
      <w:pPr>
        <w:pStyle w:val="libFootnote0"/>
        <w:rPr>
          <w:rtl/>
          <w:lang w:bidi="fa-IR"/>
        </w:rPr>
      </w:pPr>
      <w:r>
        <w:rPr>
          <w:rtl/>
        </w:rPr>
        <w:t>(7).</w:t>
      </w:r>
      <w:r w:rsidRPr="00132E65">
        <w:rPr>
          <w:rtl/>
        </w:rPr>
        <w:t xml:space="preserve"> في الوسائل والبحار : « وقد »</w:t>
      </w:r>
      <w:r>
        <w:rPr>
          <w:rtl/>
        </w:rPr>
        <w:t>.</w:t>
      </w:r>
    </w:p>
    <w:p w:rsidR="000C39D1" w:rsidRPr="00132E65" w:rsidRDefault="000C39D1" w:rsidP="000C39D1">
      <w:pPr>
        <w:pStyle w:val="libFootnote0"/>
        <w:rPr>
          <w:rtl/>
          <w:lang w:bidi="fa-IR"/>
        </w:rPr>
      </w:pPr>
      <w:r>
        <w:rPr>
          <w:rtl/>
        </w:rPr>
        <w:t>(8).</w:t>
      </w:r>
      <w:r w:rsidRPr="00132E65">
        <w:rPr>
          <w:rtl/>
        </w:rPr>
        <w:t xml:space="preserve"> في « ب ، ج ، ض ، بح ، بس ، بف » </w:t>
      </w:r>
      <w:r w:rsidRPr="005D623A">
        <w:rPr>
          <w:rtl/>
        </w:rPr>
        <w:t>والوافي</w:t>
      </w:r>
      <w:r w:rsidRPr="00132E65">
        <w:rPr>
          <w:rtl/>
        </w:rPr>
        <w:t xml:space="preserve"> والوسائل والبحار </w:t>
      </w:r>
      <w:r>
        <w:rPr>
          <w:rtl/>
        </w:rPr>
        <w:t xml:space="preserve">: - </w:t>
      </w:r>
      <w:r w:rsidRPr="00132E65">
        <w:rPr>
          <w:rtl/>
        </w:rPr>
        <w:t>« ردّ »</w:t>
      </w:r>
      <w:r>
        <w:rPr>
          <w:rtl/>
        </w:rPr>
        <w:t>.</w:t>
      </w:r>
      <w:r w:rsidRPr="00132E65">
        <w:rPr>
          <w:rtl/>
        </w:rPr>
        <w:t xml:space="preserve"> وفي « بر » : « ذا »</w:t>
      </w:r>
      <w:r>
        <w:rPr>
          <w:rtl/>
        </w:rPr>
        <w:t>.</w:t>
      </w:r>
      <w:r w:rsidRPr="00132E65">
        <w:rPr>
          <w:rtl/>
        </w:rPr>
        <w:t xml:space="preserve"> وفي </w:t>
      </w:r>
      <w:r w:rsidRPr="005D623A">
        <w:rPr>
          <w:rStyle w:val="libFootnoteBoldChar"/>
          <w:rtl/>
        </w:rPr>
        <w:t>شرح المازندراني</w:t>
      </w:r>
      <w:r w:rsidRPr="00132E65">
        <w:rPr>
          <w:rtl/>
        </w:rPr>
        <w:t xml:space="preserve"> : « ولفظ ردّ ليست في بعض النسخ. وفي بعضها « ما » بدله وهو موصولة بمعنى شيئاً ، ومآل الكلّ واحد »</w:t>
      </w:r>
      <w:r>
        <w:rPr>
          <w:rtl/>
        </w:rPr>
        <w:t>.</w:t>
      </w:r>
    </w:p>
    <w:p w:rsidR="000C39D1" w:rsidRPr="00132E65" w:rsidRDefault="000C39D1" w:rsidP="000C39D1">
      <w:pPr>
        <w:pStyle w:val="libFootnote0"/>
        <w:rPr>
          <w:rtl/>
          <w:lang w:bidi="fa-IR"/>
        </w:rPr>
      </w:pPr>
      <w:r>
        <w:rPr>
          <w:rtl/>
        </w:rPr>
        <w:t>(9).</w:t>
      </w:r>
      <w:r w:rsidRPr="00132E65">
        <w:rPr>
          <w:rtl/>
        </w:rPr>
        <w:t xml:space="preserve"> في « بر ، بف » و</w:t>
      </w:r>
      <w:r w:rsidRPr="009D1ACE">
        <w:rPr>
          <w:rStyle w:val="libFootnoteBoldChar"/>
          <w:rtl/>
        </w:rPr>
        <w:t>الوافي</w:t>
      </w:r>
      <w:r w:rsidRPr="00132E65">
        <w:rPr>
          <w:rtl/>
        </w:rPr>
        <w:t xml:space="preserve"> </w:t>
      </w:r>
      <w:r>
        <w:rPr>
          <w:rtl/>
        </w:rPr>
        <w:t xml:space="preserve">: - </w:t>
      </w:r>
      <w:r w:rsidRPr="00132E65">
        <w:rPr>
          <w:rtl/>
        </w:rPr>
        <w:t>« عقلي »</w:t>
      </w:r>
      <w:r>
        <w:rPr>
          <w:rtl/>
        </w:rPr>
        <w:t>.</w:t>
      </w:r>
      <w:r w:rsidRPr="00132E65">
        <w:rPr>
          <w:rtl/>
        </w:rPr>
        <w:t xml:space="preserve"> وفي « بح » :</w:t>
      </w:r>
      <w:r>
        <w:rPr>
          <w:rtl/>
        </w:rPr>
        <w:t xml:space="preserve"> + </w:t>
      </w:r>
      <w:r w:rsidRPr="00132E65">
        <w:rPr>
          <w:rtl/>
        </w:rPr>
        <w:t>«</w:t>
      </w:r>
      <w:r>
        <w:rPr>
          <w:rtl/>
        </w:rPr>
        <w:t xml:space="preserve"> و ».</w:t>
      </w:r>
    </w:p>
    <w:p w:rsidR="000C39D1" w:rsidRPr="00132E65" w:rsidRDefault="000C39D1" w:rsidP="005D623A">
      <w:pPr>
        <w:pStyle w:val="libFootnote0"/>
        <w:rPr>
          <w:rtl/>
          <w:lang w:bidi="fa-IR"/>
        </w:rPr>
      </w:pPr>
      <w:r>
        <w:rPr>
          <w:rtl/>
        </w:rPr>
        <w:t>(10).</w:t>
      </w:r>
      <w:r w:rsidRPr="00132E65">
        <w:rPr>
          <w:rtl/>
        </w:rPr>
        <w:t xml:space="preserve"> في « بف » : « ممّا »</w:t>
      </w:r>
      <w:r>
        <w:rPr>
          <w:rtl/>
        </w:rPr>
        <w:t>.</w:t>
      </w:r>
      <w:r w:rsidRPr="00132E65">
        <w:rPr>
          <w:rtl/>
        </w:rPr>
        <w:t xml:space="preserve"> </w:t>
      </w:r>
      <w:r>
        <w:rPr>
          <w:rtl/>
        </w:rPr>
        <w:t>و «</w:t>
      </w:r>
      <w:r w:rsidRPr="00132E65">
        <w:rPr>
          <w:rtl/>
        </w:rPr>
        <w:t xml:space="preserve"> ما » بدل عن الردّ ، أو عن عقلي ، أو عن قوله : ما ، أو عن فاعل يكاد ، أو فاعل</w:t>
      </w:r>
      <w:r>
        <w:rPr>
          <w:rtl/>
        </w:rPr>
        <w:t xml:space="preserve"> ل</w:t>
      </w:r>
      <w:r w:rsidR="005D623A">
        <w:rPr>
          <w:rFonts w:hint="cs"/>
          <w:rtl/>
        </w:rPr>
        <w:t>ـ</w:t>
      </w:r>
      <w:r>
        <w:rPr>
          <w:rtl/>
        </w:rPr>
        <w:t xml:space="preserve"> «</w:t>
      </w:r>
      <w:r w:rsidRPr="00132E65">
        <w:rPr>
          <w:rtl/>
        </w:rPr>
        <w:t xml:space="preserve"> يفسد » وهو بعيد ؛ لبقاء خبر يكاد بلا عائد إلى اسمه. أو استفهام للتعجّب عن حاله ، أو التوبيخ لنفسه. قاله المازندراني. وقال المجلسي : « أقول : لعلّ الأظهر أنّه فاعل يفسد من قبيل وضع الظاهر موضع المضمر وهو شائع »</w:t>
      </w:r>
      <w:r>
        <w:rPr>
          <w:rtl/>
        </w:rPr>
        <w:t>.</w:t>
      </w:r>
      <w:r w:rsidRPr="00132E65">
        <w:rPr>
          <w:rtl/>
        </w:rPr>
        <w:t xml:space="preserve"> راجع : </w:t>
      </w:r>
      <w:r w:rsidRPr="005D623A">
        <w:rPr>
          <w:rStyle w:val="libFootnoteBoldChar"/>
          <w:rtl/>
        </w:rPr>
        <w:t>شرح المازندراني</w:t>
      </w:r>
      <w:r w:rsidRPr="00132E65">
        <w:rPr>
          <w:rtl/>
        </w:rPr>
        <w:t xml:space="preserve"> ، ج 7 ، ص 409 ؛ </w:t>
      </w:r>
      <w:r w:rsidRPr="009D1ACE">
        <w:rPr>
          <w:rStyle w:val="libFootnoteBoldChar"/>
          <w:rtl/>
        </w:rPr>
        <w:t>مرآة العقول</w:t>
      </w:r>
      <w:r w:rsidRPr="00132E65">
        <w:rPr>
          <w:rtl/>
        </w:rPr>
        <w:t xml:space="preserve"> ، ج 6 ، ص 276.</w:t>
      </w:r>
    </w:p>
    <w:tbl>
      <w:tblPr>
        <w:tblStyle w:val="TableGrid"/>
        <w:bidiVisual/>
        <w:tblW w:w="0" w:type="auto"/>
        <w:tblLook w:val="04A0" w:firstRow="1" w:lastRow="0" w:firstColumn="1" w:lastColumn="0" w:noHBand="0" w:noVBand="1"/>
      </w:tblPr>
      <w:tblGrid>
        <w:gridCol w:w="4261"/>
        <w:gridCol w:w="4262"/>
      </w:tblGrid>
      <w:tr w:rsidR="005D623A" w:rsidTr="005D623A">
        <w:tc>
          <w:tcPr>
            <w:tcW w:w="4261" w:type="dxa"/>
          </w:tcPr>
          <w:p w:rsidR="005D623A" w:rsidRDefault="005D623A" w:rsidP="000C39D1">
            <w:pPr>
              <w:pStyle w:val="libFootnote0"/>
              <w:rPr>
                <w:rtl/>
              </w:rPr>
            </w:pPr>
            <w:r>
              <w:rPr>
                <w:rtl/>
              </w:rPr>
              <w:t>(11).</w:t>
            </w:r>
            <w:r w:rsidRPr="00132E65">
              <w:rPr>
                <w:rtl/>
              </w:rPr>
              <w:t xml:space="preserve"> في « ف » : « ورّاثي »</w:t>
            </w:r>
            <w:r>
              <w:rPr>
                <w:rtl/>
              </w:rPr>
              <w:t>.</w:t>
            </w:r>
          </w:p>
        </w:tc>
        <w:tc>
          <w:tcPr>
            <w:tcW w:w="4262" w:type="dxa"/>
          </w:tcPr>
          <w:p w:rsidR="005D623A" w:rsidRDefault="005D623A" w:rsidP="000C39D1">
            <w:pPr>
              <w:pStyle w:val="libFootnote0"/>
              <w:rPr>
                <w:rtl/>
              </w:rPr>
            </w:pPr>
            <w:r>
              <w:rPr>
                <w:rtl/>
              </w:rPr>
              <w:t>(12).</w:t>
            </w:r>
            <w:r w:rsidRPr="00132E65">
              <w:rPr>
                <w:rtl/>
              </w:rPr>
              <w:t xml:space="preserve"> في « ف » : « وسبقنا »</w:t>
            </w:r>
            <w:r>
              <w:rPr>
                <w:rtl/>
              </w:rPr>
              <w:t>.</w:t>
            </w:r>
          </w:p>
        </w:tc>
      </w:tr>
    </w:tbl>
    <w:p w:rsidR="000C39D1" w:rsidRPr="00132E65" w:rsidRDefault="000C39D1" w:rsidP="000C39D1">
      <w:pPr>
        <w:pStyle w:val="libFootnote0"/>
        <w:rPr>
          <w:rtl/>
          <w:lang w:bidi="fa-IR"/>
        </w:rPr>
      </w:pPr>
      <w:r>
        <w:rPr>
          <w:rtl/>
        </w:rPr>
        <w:t>(13)</w:t>
      </w:r>
      <w:r w:rsidRPr="00132E65">
        <w:rPr>
          <w:rtl/>
        </w:rPr>
        <w:t xml:space="preserve"> « معتّب » هو مولى أبي عبدالله </w:t>
      </w:r>
      <w:r w:rsidRPr="005D623A">
        <w:rPr>
          <w:rStyle w:val="libFootnoteAlaemChar"/>
          <w:rtl/>
        </w:rPr>
        <w:t>عليه‌السلام</w:t>
      </w:r>
      <w:r w:rsidRPr="00132E65">
        <w:rPr>
          <w:rtl/>
        </w:rPr>
        <w:t xml:space="preserve"> ، كما في </w:t>
      </w:r>
      <w:r w:rsidRPr="005D623A">
        <w:rPr>
          <w:rStyle w:val="libFootnoteBoldChar"/>
          <w:rtl/>
        </w:rPr>
        <w:t>المرآة</w:t>
      </w:r>
      <w:r w:rsidRPr="00132E65">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أَبِي عَبْدِ اللهِ </w:t>
      </w:r>
      <w:r w:rsidRPr="00071CF9">
        <w:rPr>
          <w:rStyle w:val="libAlaemChar"/>
          <w:rtl/>
        </w:rPr>
        <w:t>عليه‌السلام</w:t>
      </w:r>
      <w:r w:rsidRPr="00132E65">
        <w:rPr>
          <w:rtl/>
          <w:lang w:bidi="fa-IR"/>
        </w:rPr>
        <w:t xml:space="preserve"> ، فَقَالَ لَهُمْ : قَدْ ظَفِرَ عَبْدُ الْعَزِيزِ بْنُ نَافِعٍ بِشَيْ‌ءٍ مَا ظَفِرَ بِمِثْلِهِ أَحَدٌ قَطُّ ، قَدْ </w:t>
      </w:r>
      <w:r>
        <w:rPr>
          <w:rStyle w:val="libFootnotenumChar"/>
          <w:rtl/>
        </w:rPr>
        <w:t>(1)</w:t>
      </w:r>
      <w:r w:rsidRPr="00132E65">
        <w:rPr>
          <w:rtl/>
          <w:lang w:bidi="fa-IR"/>
        </w:rPr>
        <w:t xml:space="preserve"> قِيلَ لَهُ : و</w:t>
      </w:r>
      <w:r w:rsidR="005D623A">
        <w:rPr>
          <w:rFonts w:hint="cs"/>
          <w:rtl/>
          <w:lang w:bidi="fa-IR"/>
        </w:rPr>
        <w:t>َ</w:t>
      </w:r>
      <w:r w:rsidRPr="00132E65">
        <w:rPr>
          <w:rtl/>
          <w:lang w:bidi="fa-IR"/>
        </w:rPr>
        <w:t xml:space="preserve">مَا ذَاكَ </w:t>
      </w:r>
      <w:r>
        <w:rPr>
          <w:rStyle w:val="libFootnotenumChar"/>
          <w:rtl/>
        </w:rPr>
        <w:t>(2)</w:t>
      </w:r>
      <w:r>
        <w:rPr>
          <w:rtl/>
          <w:lang w:bidi="fa-IR"/>
        </w:rPr>
        <w:t>؟</w:t>
      </w:r>
      <w:r w:rsidRPr="00132E65">
        <w:rPr>
          <w:rtl/>
          <w:lang w:bidi="fa-IR"/>
        </w:rPr>
        <w:t xml:space="preserve"> فَفَسَّرَهُ لَهُمْ ، فَقَامَ اثْنَانِ ، فَدَخَلَا عَلى أَبِي عَبْدِ اللهِ </w:t>
      </w:r>
      <w:r w:rsidRPr="00071CF9">
        <w:rPr>
          <w:rStyle w:val="libAlaemChar"/>
          <w:rtl/>
        </w:rPr>
        <w:t>عليه‌السلام</w:t>
      </w:r>
      <w:r w:rsidRPr="00132E65">
        <w:rPr>
          <w:rtl/>
          <w:lang w:bidi="fa-IR"/>
        </w:rPr>
        <w:t xml:space="preserve"> ، فَقَالَ أَحَدُهُمَا : جُعِلْتُ فِدَاكَ ، إِنَّ أَبِي كَانَ مِنْ سَبَايَا بَنِي أُمَيَّةَ ، و</w:t>
      </w:r>
      <w:r w:rsidR="005D623A">
        <w:rPr>
          <w:rFonts w:hint="cs"/>
          <w:rtl/>
          <w:lang w:bidi="fa-IR"/>
        </w:rPr>
        <w:t>َ</w:t>
      </w:r>
      <w:r w:rsidRPr="00132E65">
        <w:rPr>
          <w:rtl/>
          <w:lang w:bidi="fa-IR"/>
        </w:rPr>
        <w:t>قَدْ عَلِمْتُ أَنَّ بَنِي أُمَيَّةَ لَمْ يَكُنْ لَهُمْ مِنْ ذلِكَ قَلِيلٌ و</w:t>
      </w:r>
      <w:r w:rsidR="00DE4EA9">
        <w:rPr>
          <w:rFonts w:hint="cs"/>
          <w:rtl/>
          <w:lang w:bidi="fa-IR"/>
        </w:rPr>
        <w:t>َ</w:t>
      </w:r>
      <w:r w:rsidRPr="00132E65">
        <w:rPr>
          <w:rtl/>
          <w:lang w:bidi="fa-IR"/>
        </w:rPr>
        <w:t>لَاكَثِيرٌ ، و</w:t>
      </w:r>
      <w:r w:rsidR="00DE4EA9">
        <w:rPr>
          <w:rFonts w:hint="cs"/>
          <w:rtl/>
          <w:lang w:bidi="fa-IR"/>
        </w:rPr>
        <w:t>َ</w:t>
      </w:r>
      <w:r w:rsidRPr="00132E65">
        <w:rPr>
          <w:rtl/>
          <w:lang w:bidi="fa-IR"/>
        </w:rPr>
        <w:t>أَنَا أُحِبُّ أَنْ تَجْعَلَنِي مِنْ ذلِكَ فِي حِلٍّ.</w:t>
      </w:r>
    </w:p>
    <w:p w:rsidR="000C39D1" w:rsidRPr="00132E65" w:rsidRDefault="000C39D1" w:rsidP="000C39D1">
      <w:pPr>
        <w:pStyle w:val="libNormal"/>
        <w:rPr>
          <w:rtl/>
          <w:lang w:bidi="fa-IR"/>
        </w:rPr>
      </w:pPr>
      <w:r w:rsidRPr="00132E65">
        <w:rPr>
          <w:rtl/>
          <w:lang w:bidi="fa-IR"/>
        </w:rPr>
        <w:t>فَقَالَ : « وَ</w:t>
      </w:r>
      <w:r>
        <w:rPr>
          <w:rFonts w:hint="cs"/>
          <w:rtl/>
          <w:lang w:bidi="fa-IR"/>
        </w:rPr>
        <w:t xml:space="preserve"> </w:t>
      </w:r>
      <w:r>
        <w:rPr>
          <w:rStyle w:val="libFootnotenumChar"/>
          <w:rtl/>
        </w:rPr>
        <w:t>(3)</w:t>
      </w:r>
      <w:r w:rsidRPr="00132E65">
        <w:rPr>
          <w:rtl/>
          <w:lang w:bidi="fa-IR"/>
        </w:rPr>
        <w:t xml:space="preserve"> ذلِكَ </w:t>
      </w:r>
      <w:r>
        <w:rPr>
          <w:rStyle w:val="libFootnotenumChar"/>
          <w:rtl/>
        </w:rPr>
        <w:t>(4)</w:t>
      </w:r>
      <w:r w:rsidRPr="00132E65">
        <w:rPr>
          <w:rtl/>
          <w:lang w:bidi="fa-IR"/>
        </w:rPr>
        <w:t xml:space="preserve"> إِلَيْنَا </w:t>
      </w:r>
      <w:r>
        <w:rPr>
          <w:rStyle w:val="libFootnotenumChar"/>
          <w:rtl/>
        </w:rPr>
        <w:t>(5)</w:t>
      </w:r>
      <w:r>
        <w:rPr>
          <w:rtl/>
          <w:lang w:bidi="fa-IR"/>
        </w:rPr>
        <w:t>؟</w:t>
      </w:r>
      <w:r w:rsidRPr="00132E65">
        <w:rPr>
          <w:rtl/>
          <w:lang w:bidi="fa-IR"/>
        </w:rPr>
        <w:t xml:space="preserve"> مَا ذالِكَ </w:t>
      </w:r>
      <w:r>
        <w:rPr>
          <w:rStyle w:val="libFootnotenumChar"/>
          <w:rtl/>
        </w:rPr>
        <w:t>(6)</w:t>
      </w:r>
      <w:r w:rsidRPr="00132E65">
        <w:rPr>
          <w:rtl/>
          <w:lang w:bidi="fa-IR"/>
        </w:rPr>
        <w:t xml:space="preserve"> إِلَيْنَا </w:t>
      </w:r>
      <w:r>
        <w:rPr>
          <w:rStyle w:val="libFootnotenumChar"/>
          <w:rtl/>
        </w:rPr>
        <w:t>(7)</w:t>
      </w:r>
      <w:r w:rsidRPr="00132E65">
        <w:rPr>
          <w:rtl/>
          <w:lang w:bidi="fa-IR"/>
        </w:rPr>
        <w:t xml:space="preserve"> ، مَا لَنَا أَنْ نُحِلَّ </w:t>
      </w:r>
      <w:r>
        <w:rPr>
          <w:rStyle w:val="libFootnotenumChar"/>
          <w:rtl/>
        </w:rPr>
        <w:t>(8)</w:t>
      </w:r>
      <w:r w:rsidRPr="00132E65">
        <w:rPr>
          <w:rtl/>
          <w:lang w:bidi="fa-IR"/>
        </w:rPr>
        <w:t xml:space="preserve"> ، و</w:t>
      </w:r>
      <w:r w:rsidR="00DE4EA9">
        <w:rPr>
          <w:rFonts w:hint="cs"/>
          <w:rtl/>
          <w:lang w:bidi="fa-IR"/>
        </w:rPr>
        <w:t>َ</w:t>
      </w:r>
      <w:r w:rsidRPr="00132E65">
        <w:rPr>
          <w:rtl/>
          <w:lang w:bidi="fa-IR"/>
        </w:rPr>
        <w:t>لَا</w:t>
      </w:r>
      <w:r>
        <w:rPr>
          <w:rFonts w:hint="cs"/>
          <w:rtl/>
          <w:lang w:bidi="fa-IR"/>
        </w:rPr>
        <w:t xml:space="preserve"> </w:t>
      </w:r>
      <w:r w:rsidRPr="00132E65">
        <w:rPr>
          <w:rtl/>
          <w:lang w:bidi="fa-IR"/>
        </w:rPr>
        <w:t>أَنْ نُحَرِّمَ » فَخَرَجَ الرَّجُلَانِ ، و</w:t>
      </w:r>
      <w:r w:rsidR="00DE4EA9">
        <w:rPr>
          <w:rFonts w:hint="cs"/>
          <w:rtl/>
          <w:lang w:bidi="fa-IR"/>
        </w:rPr>
        <w:t>َ</w:t>
      </w:r>
      <w:r w:rsidRPr="00132E65">
        <w:rPr>
          <w:rtl/>
          <w:lang w:bidi="fa-IR"/>
        </w:rPr>
        <w:t xml:space="preserve">غَضِبَ أَبُو عَبْدِ اللهِ </w:t>
      </w:r>
      <w:r w:rsidRPr="00071CF9">
        <w:rPr>
          <w:rStyle w:val="libAlaemChar"/>
          <w:rtl/>
        </w:rPr>
        <w:t>عليه‌السلام</w:t>
      </w:r>
      <w:r w:rsidRPr="00132E65">
        <w:rPr>
          <w:rtl/>
          <w:lang w:bidi="fa-IR"/>
        </w:rPr>
        <w:t xml:space="preserve"> ، فَلَمْ يَدْخُلْ عَلَيْهِ أَحَدٌ فِي تِلْكَ اللَّيْلَةِ إِ</w:t>
      </w:r>
      <w:r w:rsidR="00DE4EA9">
        <w:rPr>
          <w:rtl/>
          <w:lang w:bidi="fa-IR"/>
        </w:rPr>
        <w:t>ل</w:t>
      </w:r>
      <w:r w:rsidR="00DE4EA9">
        <w:rPr>
          <w:rFonts w:hint="cs"/>
          <w:rtl/>
          <w:lang w:bidi="fa-IR"/>
        </w:rPr>
        <w:t>َّ</w:t>
      </w:r>
      <w:r w:rsidR="00DE4EA9">
        <w:rPr>
          <w:rtl/>
          <w:lang w:bidi="fa-IR"/>
        </w:rPr>
        <w:t>ا</w:t>
      </w:r>
      <w:r w:rsidRPr="00132E65">
        <w:rPr>
          <w:rtl/>
          <w:lang w:bidi="fa-IR"/>
        </w:rPr>
        <w:t xml:space="preserve"> بَدَأَهُ أَبُو عَبْدِ اللهِ </w:t>
      </w:r>
      <w:r w:rsidRPr="00071CF9">
        <w:rPr>
          <w:rStyle w:val="libAlaemChar"/>
          <w:rtl/>
        </w:rPr>
        <w:t>عليه‌السلام</w:t>
      </w:r>
      <w:r>
        <w:rPr>
          <w:rtl/>
          <w:lang w:bidi="fa-IR"/>
        </w:rPr>
        <w:t xml:space="preserve"> ، فَقَالَ : « أَ</w:t>
      </w:r>
      <w:r w:rsidRPr="00132E65">
        <w:rPr>
          <w:rtl/>
          <w:lang w:bidi="fa-IR"/>
        </w:rPr>
        <w:t xml:space="preserve">لَاتَعْجَبُونَ </w:t>
      </w:r>
      <w:r>
        <w:rPr>
          <w:rStyle w:val="libFootnotenumChar"/>
          <w:rtl/>
        </w:rPr>
        <w:t>(9)</w:t>
      </w:r>
      <w:r w:rsidRPr="00132E65">
        <w:rPr>
          <w:rtl/>
          <w:lang w:bidi="fa-IR"/>
        </w:rPr>
        <w:t xml:space="preserve"> مِنْ فُلَانٍ يَجِيئُنِي ، فَيَسْتَحِلُّنِي مِمَّا صَنَعَتْ بَنُو أُمَيَّةَ ، كَأَنَّهُ يَرى أَنَّ ذلِكَ لَنَا </w:t>
      </w:r>
      <w:r>
        <w:rPr>
          <w:rStyle w:val="libFootnotenumChar"/>
          <w:rtl/>
        </w:rPr>
        <w:t>(10)</w:t>
      </w:r>
      <w:r w:rsidRPr="00132E65">
        <w:rPr>
          <w:rtl/>
          <w:lang w:bidi="fa-IR"/>
        </w:rPr>
        <w:t xml:space="preserve"> » و</w:t>
      </w:r>
      <w:r w:rsidR="00DE4EA9">
        <w:rPr>
          <w:rFonts w:hint="cs"/>
          <w:rtl/>
          <w:lang w:bidi="fa-IR"/>
        </w:rPr>
        <w:t>َ</w:t>
      </w:r>
      <w:r w:rsidRPr="00132E65">
        <w:rPr>
          <w:rtl/>
          <w:lang w:bidi="fa-IR"/>
        </w:rPr>
        <w:t xml:space="preserve">لَمْ يَنْتَفِعْ أَحَدٌ فِي </w:t>
      </w:r>
      <w:r>
        <w:rPr>
          <w:rStyle w:val="libFootnotenumChar"/>
          <w:rtl/>
        </w:rPr>
        <w:t>(11)</w:t>
      </w:r>
      <w:r w:rsidRPr="00132E65">
        <w:rPr>
          <w:rtl/>
          <w:lang w:bidi="fa-IR"/>
        </w:rPr>
        <w:t xml:space="preserve"> تِلْكَ اللَّيْلَةِ بِقَلِي</w:t>
      </w:r>
      <w:r w:rsidR="00DE4EA9">
        <w:rPr>
          <w:rtl/>
          <w:lang w:bidi="fa-IR"/>
        </w:rPr>
        <w:t>لٍ ولَاكَثِيرٍ إِل</w:t>
      </w:r>
      <w:r w:rsidR="00DE4EA9">
        <w:rPr>
          <w:rFonts w:hint="cs"/>
          <w:rtl/>
          <w:lang w:bidi="fa-IR"/>
        </w:rPr>
        <w:t>َّ</w:t>
      </w:r>
      <w:r w:rsidR="00DE4EA9">
        <w:rPr>
          <w:rtl/>
          <w:lang w:bidi="fa-IR"/>
        </w:rPr>
        <w:t>ا</w:t>
      </w:r>
      <w:r w:rsidRPr="00132E65">
        <w:rPr>
          <w:rtl/>
          <w:lang w:bidi="fa-IR"/>
        </w:rPr>
        <w:t xml:space="preserve"> الْأَوَّلَيْنِ ؛ فَإِنَّهُمَا عُنِيَا </w:t>
      </w:r>
      <w:r>
        <w:rPr>
          <w:rStyle w:val="libFootnotenumChar"/>
          <w:rtl/>
        </w:rPr>
        <w:t>(12)</w:t>
      </w:r>
      <w:r w:rsidRPr="00132E65">
        <w:rPr>
          <w:rtl/>
          <w:lang w:bidi="fa-IR"/>
        </w:rPr>
        <w:t xml:space="preserve"> بِحَاجَتِهِمَا. </w:t>
      </w:r>
      <w:r w:rsidRPr="00F543F1">
        <w:rPr>
          <w:rStyle w:val="libFootnotenumChar"/>
          <w:rtl/>
        </w:rPr>
        <w:t>(13)</w:t>
      </w:r>
      <w:r w:rsidRPr="00132E65">
        <w:rPr>
          <w:rtl/>
          <w:lang w:bidi="fa-IR"/>
        </w:rPr>
        <w:t xml:space="preserve"> ‌</w:t>
      </w:r>
    </w:p>
    <w:p w:rsidR="000C39D1" w:rsidRPr="00132E65" w:rsidRDefault="000C39D1" w:rsidP="000C39D1">
      <w:pPr>
        <w:pStyle w:val="libNormal"/>
        <w:rPr>
          <w:rtl/>
          <w:lang w:bidi="fa-IR"/>
        </w:rPr>
      </w:pPr>
      <w:r w:rsidRPr="00A3767B">
        <w:rPr>
          <w:rtl/>
        </w:rPr>
        <w:t>1436</w:t>
      </w:r>
      <w:r w:rsidRPr="004325D8">
        <w:rPr>
          <w:rStyle w:val="libBold2Char"/>
          <w:rtl/>
        </w:rPr>
        <w:t xml:space="preserve"> / 16.</w:t>
      </w:r>
      <w:r w:rsidRPr="00132E65">
        <w:rPr>
          <w:rtl/>
          <w:lang w:bidi="fa-IR"/>
        </w:rPr>
        <w:t xml:space="preserve"> عَلِيُّ بْنُ إِبْرَاهِيمَ ، عَنْ أَبِيهِ ، عَنِ ابْنِ مَحْبُوبٍ ، عَنْ ضُرَيْسٍ الْكُنَاسِيِّ ، قَالَ :</w:t>
      </w:r>
    </w:p>
    <w:p w:rsidR="000C39D1" w:rsidRPr="00132E65" w:rsidRDefault="000C39D1" w:rsidP="000C39D1">
      <w:pPr>
        <w:pStyle w:val="libNormal"/>
        <w:rPr>
          <w:rtl/>
          <w:lang w:bidi="fa-IR"/>
        </w:rPr>
      </w:pPr>
      <w:r w:rsidRPr="00132E65">
        <w:rPr>
          <w:rtl/>
          <w:lang w:bidi="fa-IR"/>
        </w:rPr>
        <w:t xml:space="preserve">قَالَ </w:t>
      </w:r>
      <w:r w:rsidRPr="00F543F1">
        <w:rPr>
          <w:rStyle w:val="libFootnotenumChar"/>
          <w:rtl/>
        </w:rPr>
        <w:t>(14)</w:t>
      </w:r>
      <w:r w:rsidRPr="00132E65">
        <w:rPr>
          <w:rtl/>
          <w:lang w:bidi="fa-IR"/>
        </w:rPr>
        <w:t xml:space="preserve"> أَبُو عَبْدِ اللهِ </w:t>
      </w:r>
      <w:r w:rsidRPr="00071CF9">
        <w:rPr>
          <w:rStyle w:val="libAlaemChar"/>
          <w:rtl/>
        </w:rPr>
        <w:t>عليه‌السلام</w:t>
      </w:r>
      <w:r w:rsidRPr="00132E65">
        <w:rPr>
          <w:rtl/>
          <w:lang w:bidi="fa-IR"/>
        </w:rPr>
        <w:t xml:space="preserve"> </w:t>
      </w:r>
      <w:r w:rsidRPr="00F543F1">
        <w:rPr>
          <w:rStyle w:val="libFootnotenumChar"/>
          <w:rtl/>
        </w:rPr>
        <w:t>(15)</w:t>
      </w:r>
      <w:r w:rsidRPr="00132E65">
        <w:rPr>
          <w:rtl/>
          <w:lang w:bidi="fa-IR"/>
        </w:rPr>
        <w:t xml:space="preserve"> : « مِنْ أَيْنَ دَخَلَ عَلَى النَّاسِ الزِّنى</w:t>
      </w:r>
      <w:r>
        <w:rPr>
          <w:rtl/>
          <w:lang w:bidi="fa-IR"/>
        </w:rPr>
        <w:t>؟</w:t>
      </w:r>
      <w:r w:rsidRPr="00132E65">
        <w:rPr>
          <w:rtl/>
          <w:lang w:bidi="fa-IR"/>
        </w:rPr>
        <w:t xml:space="preserve"> » قُلْتُ </w:t>
      </w:r>
      <w:r w:rsidRPr="00F543F1">
        <w:rPr>
          <w:rStyle w:val="libFootnotenumChar"/>
          <w:rtl/>
        </w:rPr>
        <w:t>(16)</w:t>
      </w:r>
      <w:r w:rsidRPr="00132E65">
        <w:rPr>
          <w:rtl/>
          <w:lang w:bidi="fa-IR"/>
        </w:rPr>
        <w:t xml:space="preserve"> : لَا</w:t>
      </w:r>
      <w:r>
        <w:rPr>
          <w:rFonts w:hint="cs"/>
          <w:rtl/>
          <w:lang w:bidi="fa-IR"/>
        </w:rPr>
        <w:t xml:space="preserve"> </w:t>
      </w:r>
      <w:r w:rsidRPr="00132E65">
        <w:rPr>
          <w:rtl/>
          <w:lang w:bidi="fa-IR"/>
        </w:rPr>
        <w:t>أَدْرِي‌</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ف ، بر » </w:t>
      </w:r>
      <w:r w:rsidRPr="00DE4EA9">
        <w:rPr>
          <w:rtl/>
        </w:rPr>
        <w:t>والوافي</w:t>
      </w:r>
      <w:r w:rsidRPr="00132E65">
        <w:rPr>
          <w:rtl/>
        </w:rPr>
        <w:t xml:space="preserve"> والوسائل والبحار </w:t>
      </w:r>
      <w:r>
        <w:rPr>
          <w:rtl/>
        </w:rPr>
        <w:t xml:space="preserve">: - </w:t>
      </w:r>
      <w:r w:rsidRPr="00132E65">
        <w:rPr>
          <w:rtl/>
        </w:rPr>
        <w:t>« قد »</w:t>
      </w:r>
      <w:r>
        <w:rPr>
          <w:rtl/>
        </w:rPr>
        <w:t>.</w:t>
      </w:r>
    </w:p>
    <w:tbl>
      <w:tblPr>
        <w:tblStyle w:val="TableGrid"/>
        <w:bidiVisual/>
        <w:tblW w:w="0" w:type="auto"/>
        <w:tblLook w:val="04A0" w:firstRow="1" w:lastRow="0" w:firstColumn="1" w:lastColumn="0" w:noHBand="0" w:noVBand="1"/>
      </w:tblPr>
      <w:tblGrid>
        <w:gridCol w:w="4261"/>
        <w:gridCol w:w="4262"/>
      </w:tblGrid>
      <w:tr w:rsidR="00DE4EA9" w:rsidTr="00DE4EA9">
        <w:tc>
          <w:tcPr>
            <w:tcW w:w="4261" w:type="dxa"/>
          </w:tcPr>
          <w:p w:rsidR="00DE4EA9" w:rsidRDefault="00DE4EA9" w:rsidP="000C39D1">
            <w:pPr>
              <w:pStyle w:val="libFootnote0"/>
              <w:rPr>
                <w:rtl/>
              </w:rPr>
            </w:pPr>
            <w:r>
              <w:rPr>
                <w:rtl/>
              </w:rPr>
              <w:t>(2).</w:t>
            </w:r>
            <w:r w:rsidRPr="00132E65">
              <w:rPr>
                <w:rtl/>
              </w:rPr>
              <w:t xml:space="preserve"> في « بر » : « ذلك »</w:t>
            </w:r>
            <w:r>
              <w:rPr>
                <w:rtl/>
              </w:rPr>
              <w:t>.</w:t>
            </w:r>
          </w:p>
        </w:tc>
        <w:tc>
          <w:tcPr>
            <w:tcW w:w="4262" w:type="dxa"/>
          </w:tcPr>
          <w:p w:rsidR="00DE4EA9" w:rsidRDefault="00DE4EA9" w:rsidP="000C39D1">
            <w:pPr>
              <w:pStyle w:val="libFootnote0"/>
              <w:rPr>
                <w:rtl/>
              </w:rPr>
            </w:pPr>
            <w:r>
              <w:rPr>
                <w:rtl/>
              </w:rPr>
              <w:t>(3).في «ض</w:t>
            </w:r>
            <w:r w:rsidRPr="00132E65">
              <w:rPr>
                <w:rtl/>
              </w:rPr>
              <w:t>» و</w:t>
            </w:r>
            <w:r w:rsidRPr="009D1ACE">
              <w:rPr>
                <w:rStyle w:val="libFootnoteBoldChar"/>
                <w:rtl/>
              </w:rPr>
              <w:t>الوافي</w:t>
            </w:r>
            <w:r>
              <w:rPr>
                <w:rtl/>
              </w:rPr>
              <w:t xml:space="preserve">: - </w:t>
            </w:r>
            <w:r w:rsidRPr="00132E65">
              <w:rPr>
                <w:rtl/>
              </w:rPr>
              <w:t>«</w:t>
            </w:r>
            <w:r>
              <w:rPr>
                <w:rtl/>
              </w:rPr>
              <w:t xml:space="preserve"> و ».</w:t>
            </w:r>
            <w:r w:rsidRPr="00132E65">
              <w:rPr>
                <w:rtl/>
              </w:rPr>
              <w:t xml:space="preserve"> وفي « بف » : « ما »</w:t>
            </w:r>
            <w:r>
              <w:rPr>
                <w:rtl/>
              </w:rPr>
              <w:t>.</w:t>
            </w:r>
          </w:p>
        </w:tc>
      </w:tr>
    </w:tbl>
    <w:p w:rsidR="000C39D1" w:rsidRPr="00132E65" w:rsidRDefault="000C39D1" w:rsidP="000C39D1">
      <w:pPr>
        <w:pStyle w:val="libFootnote0"/>
        <w:rPr>
          <w:rtl/>
          <w:lang w:bidi="fa-IR"/>
        </w:rPr>
      </w:pPr>
      <w:r>
        <w:rPr>
          <w:rtl/>
        </w:rPr>
        <w:t>(4).</w:t>
      </w:r>
      <w:r w:rsidRPr="00132E65">
        <w:rPr>
          <w:rtl/>
        </w:rPr>
        <w:t xml:space="preserve"> هكذا في « ج ، ض ، ف ، بح ، بر ، بس ، بف » </w:t>
      </w:r>
      <w:r w:rsidRPr="00DE4EA9">
        <w:rPr>
          <w:rtl/>
        </w:rPr>
        <w:t>والوافي</w:t>
      </w:r>
      <w:r w:rsidRPr="00132E65">
        <w:rPr>
          <w:rtl/>
        </w:rPr>
        <w:t xml:space="preserve"> والوسائل والبحار. وفي المطبوع وبعض النسخ : ذاك »</w:t>
      </w:r>
      <w:r>
        <w:rPr>
          <w:rtl/>
        </w:rPr>
        <w:t>.</w:t>
      </w:r>
    </w:p>
    <w:p w:rsidR="000C39D1" w:rsidRPr="00132E65" w:rsidRDefault="000C39D1" w:rsidP="000C39D1">
      <w:pPr>
        <w:pStyle w:val="libFootnote0"/>
        <w:rPr>
          <w:rtl/>
          <w:lang w:bidi="fa-IR"/>
        </w:rPr>
      </w:pPr>
      <w:r>
        <w:rPr>
          <w:rtl/>
        </w:rPr>
        <w:t>(5).</w:t>
      </w:r>
      <w:r w:rsidRPr="00132E65">
        <w:rPr>
          <w:rtl/>
        </w:rPr>
        <w:t xml:space="preserve"> في البحار </w:t>
      </w:r>
      <w:r>
        <w:rPr>
          <w:rtl/>
        </w:rPr>
        <w:t xml:space="preserve">: - </w:t>
      </w:r>
      <w:r w:rsidRPr="00132E65">
        <w:rPr>
          <w:rtl/>
        </w:rPr>
        <w:t>« وذاك إلينا »</w:t>
      </w:r>
      <w:r>
        <w:rPr>
          <w:rtl/>
        </w:rPr>
        <w:t>.</w:t>
      </w:r>
    </w:p>
    <w:p w:rsidR="000C39D1" w:rsidRPr="00132E65" w:rsidRDefault="000C39D1" w:rsidP="000C39D1">
      <w:pPr>
        <w:pStyle w:val="libFootnote0"/>
        <w:rPr>
          <w:rtl/>
          <w:lang w:bidi="fa-IR"/>
        </w:rPr>
      </w:pPr>
      <w:r>
        <w:rPr>
          <w:rtl/>
        </w:rPr>
        <w:t>(6).</w:t>
      </w:r>
      <w:r w:rsidRPr="00132E65">
        <w:rPr>
          <w:rtl/>
        </w:rPr>
        <w:t xml:space="preserve"> في « ج ، ض ، ف ، بح ، بر ، بس ، بف » </w:t>
      </w:r>
      <w:r w:rsidRPr="00DE4EA9">
        <w:rPr>
          <w:rtl/>
        </w:rPr>
        <w:t>والوافي</w:t>
      </w:r>
      <w:r w:rsidRPr="00132E65">
        <w:rPr>
          <w:rtl/>
        </w:rPr>
        <w:t xml:space="preserve"> والوسائل والبحار : « ذلك »</w:t>
      </w:r>
      <w:r>
        <w:rPr>
          <w:rtl/>
        </w:rPr>
        <w:t>.</w:t>
      </w:r>
    </w:p>
    <w:p w:rsidR="000C39D1" w:rsidRPr="00132E65" w:rsidRDefault="000C39D1" w:rsidP="000C39D1">
      <w:pPr>
        <w:pStyle w:val="libFootnote0"/>
        <w:rPr>
          <w:rtl/>
          <w:lang w:bidi="fa-IR"/>
        </w:rPr>
      </w:pPr>
      <w:r>
        <w:rPr>
          <w:rtl/>
        </w:rPr>
        <w:t>(7).</w:t>
      </w:r>
      <w:r w:rsidRPr="00132E65">
        <w:rPr>
          <w:rtl/>
        </w:rPr>
        <w:t xml:space="preserve"> في « ب » : « ما ذلك إلينا وذلك إلينا » بدل « وذلك</w:t>
      </w:r>
      <w:r>
        <w:rPr>
          <w:rtl/>
        </w:rPr>
        <w:t xml:space="preserve"> - </w:t>
      </w:r>
      <w:r w:rsidRPr="00132E65">
        <w:rPr>
          <w:rtl/>
        </w:rPr>
        <w:t>إلى</w:t>
      </w:r>
      <w:r>
        <w:rPr>
          <w:rtl/>
        </w:rPr>
        <w:t xml:space="preserve"> - </w:t>
      </w:r>
      <w:r w:rsidRPr="00132E65">
        <w:rPr>
          <w:rtl/>
        </w:rPr>
        <w:t>إلينا »</w:t>
      </w:r>
      <w:r>
        <w:rPr>
          <w:rtl/>
        </w:rPr>
        <w:t>.</w:t>
      </w:r>
    </w:p>
    <w:tbl>
      <w:tblPr>
        <w:tblStyle w:val="TableGrid"/>
        <w:bidiVisual/>
        <w:tblW w:w="0" w:type="auto"/>
        <w:tblLook w:val="04A0" w:firstRow="1" w:lastRow="0" w:firstColumn="1" w:lastColumn="0" w:noHBand="0" w:noVBand="1"/>
      </w:tblPr>
      <w:tblGrid>
        <w:gridCol w:w="4261"/>
        <w:gridCol w:w="4262"/>
      </w:tblGrid>
      <w:tr w:rsidR="009F566A" w:rsidTr="009F566A">
        <w:tc>
          <w:tcPr>
            <w:tcW w:w="4261" w:type="dxa"/>
          </w:tcPr>
          <w:p w:rsidR="009F566A" w:rsidRDefault="009F566A" w:rsidP="000C39D1">
            <w:pPr>
              <w:pStyle w:val="libFootnote0"/>
              <w:rPr>
                <w:rtl/>
              </w:rPr>
            </w:pPr>
            <w:r>
              <w:rPr>
                <w:rtl/>
              </w:rPr>
              <w:t>(8).</w:t>
            </w:r>
            <w:r w:rsidRPr="00132E65">
              <w:rPr>
                <w:rtl/>
              </w:rPr>
              <w:t xml:space="preserve"> في </w:t>
            </w:r>
            <w:r w:rsidRPr="009D1ACE">
              <w:rPr>
                <w:rStyle w:val="libFootnoteBoldChar"/>
                <w:rtl/>
              </w:rPr>
              <w:t>الوافي</w:t>
            </w:r>
            <w:r w:rsidRPr="00132E65">
              <w:rPr>
                <w:rtl/>
              </w:rPr>
              <w:t xml:space="preserve"> : « أن نحلّل »</w:t>
            </w:r>
            <w:r>
              <w:rPr>
                <w:rtl/>
              </w:rPr>
              <w:t>.</w:t>
            </w:r>
          </w:p>
        </w:tc>
        <w:tc>
          <w:tcPr>
            <w:tcW w:w="4262" w:type="dxa"/>
          </w:tcPr>
          <w:p w:rsidR="009F566A" w:rsidRDefault="009F566A" w:rsidP="000C39D1">
            <w:pPr>
              <w:pStyle w:val="libFootnote0"/>
              <w:rPr>
                <w:rtl/>
              </w:rPr>
            </w:pPr>
            <w:r>
              <w:rPr>
                <w:rtl/>
              </w:rPr>
              <w:t>(9).</w:t>
            </w:r>
            <w:r w:rsidRPr="00132E65">
              <w:rPr>
                <w:rtl/>
              </w:rPr>
              <w:t xml:space="preserve"> في « بر » : « لا تعجبون » بدون الهمزة.</w:t>
            </w:r>
          </w:p>
        </w:tc>
      </w:tr>
      <w:tr w:rsidR="009F566A" w:rsidTr="009F566A">
        <w:tc>
          <w:tcPr>
            <w:tcW w:w="4261" w:type="dxa"/>
          </w:tcPr>
          <w:p w:rsidR="009F566A" w:rsidRDefault="009F566A" w:rsidP="000C39D1">
            <w:pPr>
              <w:pStyle w:val="libFootnote0"/>
              <w:rPr>
                <w:rtl/>
              </w:rPr>
            </w:pPr>
            <w:r>
              <w:rPr>
                <w:rtl/>
              </w:rPr>
              <w:t>(10).</w:t>
            </w:r>
            <w:r w:rsidRPr="00132E65">
              <w:rPr>
                <w:rtl/>
              </w:rPr>
              <w:t xml:space="preserve"> في « بر ، بس ، بف » و</w:t>
            </w:r>
            <w:r w:rsidRPr="009D1ACE">
              <w:rPr>
                <w:rStyle w:val="libFootnoteBoldChar"/>
                <w:rtl/>
              </w:rPr>
              <w:t>الوافي</w:t>
            </w:r>
            <w:r w:rsidRPr="00132E65">
              <w:rPr>
                <w:rtl/>
              </w:rPr>
              <w:t xml:space="preserve"> : « إلينا »</w:t>
            </w:r>
            <w:r>
              <w:rPr>
                <w:rtl/>
              </w:rPr>
              <w:t>.</w:t>
            </w:r>
          </w:p>
        </w:tc>
        <w:tc>
          <w:tcPr>
            <w:tcW w:w="4262" w:type="dxa"/>
          </w:tcPr>
          <w:p w:rsidR="009F566A" w:rsidRDefault="009F566A" w:rsidP="000C39D1">
            <w:pPr>
              <w:pStyle w:val="libFootnote0"/>
              <w:rPr>
                <w:rtl/>
              </w:rPr>
            </w:pPr>
            <w:r>
              <w:rPr>
                <w:rtl/>
              </w:rPr>
              <w:t>(11).</w:t>
            </w:r>
            <w:r w:rsidRPr="00132E65">
              <w:rPr>
                <w:rtl/>
              </w:rPr>
              <w:t xml:space="preserve"> في « ب ، بر » و</w:t>
            </w:r>
            <w:r w:rsidRPr="009D1ACE">
              <w:rPr>
                <w:rStyle w:val="libFootnoteBoldChar"/>
                <w:rtl/>
              </w:rPr>
              <w:t>الوافي</w:t>
            </w:r>
            <w:r w:rsidRPr="00132E65">
              <w:rPr>
                <w:rtl/>
              </w:rPr>
              <w:t xml:space="preserve"> </w:t>
            </w:r>
            <w:r>
              <w:rPr>
                <w:rtl/>
              </w:rPr>
              <w:t xml:space="preserve">: - </w:t>
            </w:r>
            <w:r w:rsidRPr="00132E65">
              <w:rPr>
                <w:rtl/>
              </w:rPr>
              <w:t>« في »</w:t>
            </w:r>
            <w:r>
              <w:rPr>
                <w:rtl/>
              </w:rPr>
              <w:t>.</w:t>
            </w:r>
          </w:p>
        </w:tc>
      </w:tr>
    </w:tbl>
    <w:p w:rsidR="000C39D1" w:rsidRPr="00132E65" w:rsidRDefault="000C39D1" w:rsidP="000C39D1">
      <w:pPr>
        <w:pStyle w:val="libFootnote0"/>
        <w:rPr>
          <w:rtl/>
          <w:lang w:bidi="fa-IR"/>
        </w:rPr>
      </w:pPr>
      <w:r>
        <w:rPr>
          <w:rtl/>
        </w:rPr>
        <w:t>(12).</w:t>
      </w:r>
      <w:r w:rsidRPr="00132E65">
        <w:rPr>
          <w:rtl/>
        </w:rPr>
        <w:t xml:space="preserve"> هكذا في « ض ، بح ، بر ، بس » و</w:t>
      </w:r>
      <w:r w:rsidRPr="009D1ACE">
        <w:rPr>
          <w:rStyle w:val="libFootnoteBoldChar"/>
          <w:rtl/>
        </w:rPr>
        <w:t>الوافي</w:t>
      </w:r>
      <w:r w:rsidRPr="00132E65">
        <w:rPr>
          <w:rtl/>
        </w:rPr>
        <w:t xml:space="preserve"> وحاشية بدر الدين. وفي المطبوع وسائر النسخ : « غَنِيا »</w:t>
      </w:r>
      <w:r>
        <w:rPr>
          <w:rtl/>
        </w:rPr>
        <w:t>.</w:t>
      </w:r>
      <w:r w:rsidRPr="00132E65">
        <w:rPr>
          <w:rtl/>
        </w:rPr>
        <w:t xml:space="preserve"> </w:t>
      </w:r>
      <w:r>
        <w:rPr>
          <w:rtl/>
        </w:rPr>
        <w:t>و</w:t>
      </w:r>
      <w:r w:rsidR="009F566A">
        <w:rPr>
          <w:rFonts w:hint="cs"/>
          <w:rtl/>
        </w:rPr>
        <w:t>َ</w:t>
      </w:r>
      <w:r>
        <w:rPr>
          <w:rtl/>
        </w:rPr>
        <w:t xml:space="preserve"> «</w:t>
      </w:r>
      <w:r w:rsidRPr="00132E65">
        <w:rPr>
          <w:rtl/>
        </w:rPr>
        <w:t xml:space="preserve"> عُني بحاجته » : قُضيت له. </w:t>
      </w:r>
      <w:r>
        <w:rPr>
          <w:rtl/>
        </w:rPr>
        <w:t>و «</w:t>
      </w:r>
      <w:r w:rsidRPr="00132E65">
        <w:rPr>
          <w:rtl/>
        </w:rPr>
        <w:t xml:space="preserve"> غنيا » أي استغنيا بقضاء حاجتهما ، أو فازا بها.</w:t>
      </w:r>
    </w:p>
    <w:p w:rsidR="000C39D1" w:rsidRPr="00132E65" w:rsidRDefault="000C39D1" w:rsidP="000C39D1">
      <w:pPr>
        <w:pStyle w:val="libFootnote0"/>
        <w:rPr>
          <w:rtl/>
          <w:lang w:bidi="fa-IR"/>
        </w:rPr>
      </w:pPr>
      <w:r>
        <w:rPr>
          <w:rtl/>
        </w:rPr>
        <w:t>(13)</w:t>
      </w:r>
      <w:r w:rsidRPr="00132E65">
        <w:rPr>
          <w:rtl/>
        </w:rPr>
        <w:t xml:space="preserve"> </w:t>
      </w:r>
      <w:r w:rsidRPr="009D1ACE">
        <w:rPr>
          <w:rStyle w:val="libFootnoteBoldChar"/>
          <w:rtl/>
        </w:rPr>
        <w:t>الوافي</w:t>
      </w:r>
      <w:r w:rsidRPr="00132E65">
        <w:rPr>
          <w:rtl/>
        </w:rPr>
        <w:t xml:space="preserve"> ، ج 10 ، ص 333 ، ح 9655 ؛ </w:t>
      </w:r>
      <w:r w:rsidRPr="009F566A">
        <w:rPr>
          <w:rStyle w:val="libFootnoteBoldChar"/>
          <w:rtl/>
        </w:rPr>
        <w:t>الوسائل</w:t>
      </w:r>
      <w:r w:rsidRPr="00132E65">
        <w:rPr>
          <w:rtl/>
        </w:rPr>
        <w:t xml:space="preserve"> ، ج 9 ، ص 551 ، ح 12692 ؛ </w:t>
      </w:r>
      <w:r w:rsidRPr="009F566A">
        <w:rPr>
          <w:rStyle w:val="libFootnoteBoldChar"/>
          <w:rtl/>
        </w:rPr>
        <w:t>البحار</w:t>
      </w:r>
      <w:r w:rsidRPr="00132E65">
        <w:rPr>
          <w:rtl/>
        </w:rPr>
        <w:t xml:space="preserve"> ، ج 47 ، ص 366 ، ح 83.</w:t>
      </w:r>
    </w:p>
    <w:tbl>
      <w:tblPr>
        <w:tblStyle w:val="TableGrid"/>
        <w:bidiVisual/>
        <w:tblW w:w="0" w:type="auto"/>
        <w:tblLook w:val="04A0" w:firstRow="1" w:lastRow="0" w:firstColumn="1" w:lastColumn="0" w:noHBand="0" w:noVBand="1"/>
      </w:tblPr>
      <w:tblGrid>
        <w:gridCol w:w="4261"/>
        <w:gridCol w:w="4262"/>
      </w:tblGrid>
      <w:tr w:rsidR="009F566A" w:rsidTr="009F566A">
        <w:tc>
          <w:tcPr>
            <w:tcW w:w="4261" w:type="dxa"/>
          </w:tcPr>
          <w:p w:rsidR="009F566A" w:rsidRDefault="009F566A" w:rsidP="000C39D1">
            <w:pPr>
              <w:pStyle w:val="libFootnote0"/>
              <w:rPr>
                <w:rtl/>
              </w:rPr>
            </w:pPr>
            <w:r>
              <w:rPr>
                <w:rtl/>
              </w:rPr>
              <w:t>(14)</w:t>
            </w:r>
            <w:r w:rsidRPr="00132E65">
              <w:rPr>
                <w:rtl/>
              </w:rPr>
              <w:t xml:space="preserve"> في </w:t>
            </w:r>
            <w:r w:rsidRPr="009F566A">
              <w:rPr>
                <w:rtl/>
              </w:rPr>
              <w:t>الوافي</w:t>
            </w:r>
            <w:r w:rsidRPr="00132E65">
              <w:rPr>
                <w:rtl/>
              </w:rPr>
              <w:t xml:space="preserve"> :</w:t>
            </w:r>
            <w:r>
              <w:rPr>
                <w:rtl/>
              </w:rPr>
              <w:t xml:space="preserve"> + </w:t>
            </w:r>
            <w:r w:rsidRPr="00132E65">
              <w:rPr>
                <w:rtl/>
              </w:rPr>
              <w:t>« لي »</w:t>
            </w:r>
            <w:r>
              <w:rPr>
                <w:rtl/>
              </w:rPr>
              <w:t>.</w:t>
            </w:r>
          </w:p>
        </w:tc>
        <w:tc>
          <w:tcPr>
            <w:tcW w:w="4262" w:type="dxa"/>
          </w:tcPr>
          <w:p w:rsidR="009F566A" w:rsidRDefault="009F566A" w:rsidP="000C39D1">
            <w:pPr>
              <w:pStyle w:val="libFootnote0"/>
              <w:rPr>
                <w:rtl/>
              </w:rPr>
            </w:pPr>
            <w:r>
              <w:rPr>
                <w:rtl/>
              </w:rPr>
              <w:t>(15)</w:t>
            </w:r>
            <w:r w:rsidRPr="00132E65">
              <w:rPr>
                <w:rtl/>
              </w:rPr>
              <w:t xml:space="preserve"> في </w:t>
            </w:r>
            <w:r w:rsidRPr="009F566A">
              <w:rPr>
                <w:rtl/>
              </w:rPr>
              <w:t>الوافي</w:t>
            </w:r>
            <w:r w:rsidRPr="00132E65">
              <w:rPr>
                <w:rtl/>
              </w:rPr>
              <w:t xml:space="preserve"> والتهذيب </w:t>
            </w:r>
            <w:r w:rsidRPr="009F566A">
              <w:rPr>
                <w:rtl/>
              </w:rPr>
              <w:t>والاستبصار</w:t>
            </w:r>
            <w:r w:rsidRPr="00132E65">
              <w:rPr>
                <w:rtl/>
              </w:rPr>
              <w:t xml:space="preserve"> :</w:t>
            </w:r>
            <w:r>
              <w:rPr>
                <w:rtl/>
              </w:rPr>
              <w:t xml:space="preserve"> + « أ</w:t>
            </w:r>
            <w:r w:rsidRPr="00132E65">
              <w:rPr>
                <w:rtl/>
              </w:rPr>
              <w:t>تدري »</w:t>
            </w:r>
            <w:r>
              <w:rPr>
                <w:rtl/>
              </w:rPr>
              <w:t>.</w:t>
            </w:r>
          </w:p>
        </w:tc>
      </w:tr>
    </w:tbl>
    <w:p w:rsidR="000C39D1" w:rsidRPr="00132E65" w:rsidRDefault="000C39D1" w:rsidP="000C39D1">
      <w:pPr>
        <w:pStyle w:val="libFootnote0"/>
        <w:rPr>
          <w:rtl/>
          <w:lang w:bidi="fa-IR"/>
        </w:rPr>
      </w:pPr>
      <w:r>
        <w:rPr>
          <w:rtl/>
        </w:rPr>
        <w:t>(16)</w:t>
      </w:r>
      <w:r w:rsidRPr="00132E65">
        <w:rPr>
          <w:rtl/>
        </w:rPr>
        <w:t xml:space="preserve"> في </w:t>
      </w:r>
      <w:r w:rsidRPr="009F566A">
        <w:rPr>
          <w:rtl/>
        </w:rPr>
        <w:t>الوافي</w:t>
      </w:r>
      <w:r w:rsidRPr="00132E65">
        <w:rPr>
          <w:rtl/>
        </w:rPr>
        <w:t xml:space="preserve"> والتهذيب </w:t>
      </w:r>
      <w:r w:rsidRPr="009F566A">
        <w:rPr>
          <w:rtl/>
        </w:rPr>
        <w:t>والاستبصار</w:t>
      </w:r>
      <w:r w:rsidRPr="00132E65">
        <w:rPr>
          <w:rtl/>
        </w:rPr>
        <w:t xml:space="preserve"> : « فقلت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جُعِلْتُ فِدَاكَ </w:t>
      </w:r>
      <w:r>
        <w:rPr>
          <w:rStyle w:val="libFootnotenumChar"/>
          <w:rtl/>
        </w:rPr>
        <w:t>(1)</w:t>
      </w:r>
      <w:r w:rsidRPr="00132E65">
        <w:rPr>
          <w:rtl/>
          <w:lang w:bidi="fa-IR"/>
        </w:rPr>
        <w:t xml:space="preserve"> ، قَالَ </w:t>
      </w:r>
      <w:r>
        <w:rPr>
          <w:rStyle w:val="libFootnotenumChar"/>
          <w:rtl/>
        </w:rPr>
        <w:t>(2)</w:t>
      </w:r>
      <w:r w:rsidRPr="00132E65">
        <w:rPr>
          <w:rtl/>
          <w:lang w:bidi="fa-IR"/>
        </w:rPr>
        <w:t xml:space="preserve"> : « مِنْ قِبَلِ خُمُسِنَا </w:t>
      </w:r>
      <w:r>
        <w:rPr>
          <w:rStyle w:val="libFootnotenumChar"/>
          <w:rtl/>
        </w:rPr>
        <w:t>(3)</w:t>
      </w:r>
      <w:r w:rsidR="009F566A">
        <w:rPr>
          <w:rtl/>
          <w:lang w:bidi="fa-IR"/>
        </w:rPr>
        <w:t xml:space="preserve"> أَهْلَ الْبَيْتِ إِل</w:t>
      </w:r>
      <w:r w:rsidR="009F566A">
        <w:rPr>
          <w:rFonts w:hint="cs"/>
          <w:rtl/>
          <w:lang w:bidi="fa-IR"/>
        </w:rPr>
        <w:t>َّ</w:t>
      </w:r>
      <w:r w:rsidR="009F566A">
        <w:rPr>
          <w:rtl/>
          <w:lang w:bidi="fa-IR"/>
        </w:rPr>
        <w:t>ا</w:t>
      </w:r>
      <w:r w:rsidRPr="00132E65">
        <w:rPr>
          <w:rtl/>
          <w:lang w:bidi="fa-IR"/>
        </w:rPr>
        <w:t xml:space="preserve"> شِيعَتَنَا </w:t>
      </w:r>
      <w:r>
        <w:rPr>
          <w:rStyle w:val="libFootnotenumChar"/>
          <w:rtl/>
        </w:rPr>
        <w:t>(4)</w:t>
      </w:r>
      <w:r w:rsidRPr="00132E65">
        <w:rPr>
          <w:rtl/>
          <w:lang w:bidi="fa-IR"/>
        </w:rPr>
        <w:t xml:space="preserve"> الْأَطْيَبِينَ ؛ فَإِنَّهُ مُحَلَّلٌ لَهُمْ ؛ لِمِيلَادِهِمْ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A3767B">
        <w:rPr>
          <w:rtl/>
        </w:rPr>
        <w:t>1437</w:t>
      </w:r>
      <w:r w:rsidRPr="004325D8">
        <w:rPr>
          <w:rStyle w:val="libBold2Char"/>
          <w:rtl/>
        </w:rPr>
        <w:t xml:space="preserve"> / 17.</w:t>
      </w:r>
      <w:r w:rsidRPr="00132E65">
        <w:rPr>
          <w:rtl/>
          <w:lang w:bidi="fa-IR"/>
        </w:rPr>
        <w:t xml:space="preserve"> عَلِيُّ بْنُ إِبْرَاهِيمَ ، عَنْ أَبِيهِ ، عَنِ ابْنِ أَبِي عُمَيْرٍ ، عَنْ شُعَيْبٍ </w:t>
      </w:r>
      <w:r>
        <w:rPr>
          <w:rStyle w:val="libFootnotenumChar"/>
          <w:rtl/>
        </w:rPr>
        <w:t>(6)</w:t>
      </w:r>
      <w:r w:rsidRPr="00132E65">
        <w:rPr>
          <w:rtl/>
          <w:lang w:bidi="fa-IR"/>
        </w:rPr>
        <w:t xml:space="preserve"> ، عَنْ أَبِي الصَّبَّاحِ ، قَالَ :</w:t>
      </w:r>
    </w:p>
    <w:p w:rsidR="000C39D1" w:rsidRPr="00132E65" w:rsidRDefault="000C39D1" w:rsidP="000C39D1">
      <w:pPr>
        <w:pStyle w:val="libNormal"/>
        <w:rPr>
          <w:rtl/>
          <w:lang w:bidi="fa-IR"/>
        </w:rPr>
      </w:pPr>
      <w:r w:rsidRPr="00132E65">
        <w:rPr>
          <w:rtl/>
          <w:lang w:bidi="fa-IR"/>
        </w:rPr>
        <w:t xml:space="preserve">قَالَ لِي </w:t>
      </w:r>
      <w:r>
        <w:rPr>
          <w:rStyle w:val="libFootnotenumChar"/>
          <w:rtl/>
        </w:rPr>
        <w:t>(7)</w:t>
      </w:r>
      <w:r w:rsidRPr="00132E65">
        <w:rPr>
          <w:rtl/>
          <w:lang w:bidi="fa-IR"/>
        </w:rPr>
        <w:t xml:space="preserve"> أَبُو عَبْدِ اللهِ </w:t>
      </w:r>
      <w:r w:rsidRPr="00071CF9">
        <w:rPr>
          <w:rStyle w:val="libAlaemChar"/>
          <w:rtl/>
        </w:rPr>
        <w:t>عليه‌السلام</w:t>
      </w:r>
      <w:r w:rsidRPr="00132E65">
        <w:rPr>
          <w:rtl/>
          <w:lang w:bidi="fa-IR"/>
        </w:rPr>
        <w:t xml:space="preserve"> : « نَحْنُ قَوْمٌ فَرَضَ اللهُ طَاعَتَنَا ؛ لَنَا الْأَنْفَالُ ، و</w:t>
      </w:r>
      <w:r w:rsidR="009F566A">
        <w:rPr>
          <w:rFonts w:hint="cs"/>
          <w:rtl/>
          <w:lang w:bidi="fa-IR"/>
        </w:rPr>
        <w:t>َ</w:t>
      </w:r>
      <w:r w:rsidRPr="00132E65">
        <w:rPr>
          <w:rtl/>
          <w:lang w:bidi="fa-IR"/>
        </w:rPr>
        <w:t xml:space="preserve">لَنَا صَفْوُ الْمَالِ </w:t>
      </w:r>
      <w:r>
        <w:rPr>
          <w:rStyle w:val="libFootnotenumChar"/>
          <w:rtl/>
        </w:rPr>
        <w:t>(8)</w:t>
      </w:r>
      <w:r w:rsidRPr="00132E65">
        <w:rPr>
          <w:rtl/>
          <w:lang w:bidi="fa-IR"/>
        </w:rPr>
        <w:t>»</w:t>
      </w:r>
      <w:r>
        <w:rPr>
          <w:rtl/>
          <w:lang w:bidi="fa-IR"/>
        </w:rPr>
        <w:t>.</w:t>
      </w:r>
      <w:r>
        <w:rPr>
          <w:rStyle w:val="libFootnotenumChar"/>
          <w:rtl/>
        </w:rPr>
        <w:t>(9)</w:t>
      </w:r>
      <w:r w:rsidRPr="00132E65">
        <w:rPr>
          <w:rtl/>
          <w:lang w:bidi="fa-IR"/>
        </w:rPr>
        <w:t>‌</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w:t>
      </w:r>
      <w:r w:rsidRPr="009F566A">
        <w:rPr>
          <w:rtl/>
        </w:rPr>
        <w:t>الوافي</w:t>
      </w:r>
      <w:r w:rsidRPr="00132E65">
        <w:rPr>
          <w:rtl/>
        </w:rPr>
        <w:t xml:space="preserve"> والتهذيب </w:t>
      </w:r>
      <w:r w:rsidRPr="009F566A">
        <w:rPr>
          <w:rtl/>
        </w:rPr>
        <w:t>والاستبصار</w:t>
      </w:r>
      <w:r w:rsidRPr="00132E65">
        <w:rPr>
          <w:rtl/>
        </w:rPr>
        <w:t xml:space="preserve"> </w:t>
      </w:r>
      <w:r>
        <w:rPr>
          <w:rtl/>
        </w:rPr>
        <w:t xml:space="preserve">: - </w:t>
      </w:r>
      <w:r w:rsidRPr="00132E65">
        <w:rPr>
          <w:rtl/>
        </w:rPr>
        <w:t>« جعلت فداك »</w:t>
      </w:r>
      <w:r>
        <w:rPr>
          <w:rtl/>
        </w:rPr>
        <w:t>.</w:t>
      </w:r>
    </w:p>
    <w:tbl>
      <w:tblPr>
        <w:tblStyle w:val="TableGrid"/>
        <w:bidiVisual/>
        <w:tblW w:w="0" w:type="auto"/>
        <w:tblLook w:val="04A0" w:firstRow="1" w:lastRow="0" w:firstColumn="1" w:lastColumn="0" w:noHBand="0" w:noVBand="1"/>
      </w:tblPr>
      <w:tblGrid>
        <w:gridCol w:w="4261"/>
        <w:gridCol w:w="4262"/>
      </w:tblGrid>
      <w:tr w:rsidR="009F566A" w:rsidTr="009F566A">
        <w:tc>
          <w:tcPr>
            <w:tcW w:w="4261" w:type="dxa"/>
          </w:tcPr>
          <w:p w:rsidR="009F566A" w:rsidRDefault="009F566A" w:rsidP="000C39D1">
            <w:pPr>
              <w:pStyle w:val="libFootnote0"/>
              <w:rPr>
                <w:rtl/>
              </w:rPr>
            </w:pPr>
            <w:r>
              <w:rPr>
                <w:rtl/>
              </w:rPr>
              <w:t>(2).</w:t>
            </w:r>
            <w:r w:rsidRPr="00132E65">
              <w:rPr>
                <w:rtl/>
              </w:rPr>
              <w:t xml:space="preserve"> في </w:t>
            </w:r>
            <w:r w:rsidRPr="009F566A">
              <w:rPr>
                <w:rtl/>
              </w:rPr>
              <w:t>الوافي</w:t>
            </w:r>
            <w:r w:rsidRPr="00132E65">
              <w:rPr>
                <w:rtl/>
              </w:rPr>
              <w:t xml:space="preserve"> والتهذيب </w:t>
            </w:r>
            <w:r w:rsidRPr="009F566A">
              <w:rPr>
                <w:rtl/>
              </w:rPr>
              <w:t>والاستبصار</w:t>
            </w:r>
            <w:r w:rsidRPr="00132E65">
              <w:rPr>
                <w:rtl/>
              </w:rPr>
              <w:t xml:space="preserve"> : « فقال »</w:t>
            </w:r>
            <w:r>
              <w:rPr>
                <w:rtl/>
              </w:rPr>
              <w:t>.</w:t>
            </w:r>
          </w:p>
        </w:tc>
        <w:tc>
          <w:tcPr>
            <w:tcW w:w="4262" w:type="dxa"/>
          </w:tcPr>
          <w:p w:rsidR="009F566A" w:rsidRDefault="009F566A" w:rsidP="000C39D1">
            <w:pPr>
              <w:pStyle w:val="libFootnote0"/>
              <w:rPr>
                <w:rtl/>
              </w:rPr>
            </w:pPr>
            <w:r>
              <w:rPr>
                <w:rtl/>
              </w:rPr>
              <w:t>(3).</w:t>
            </w:r>
            <w:r w:rsidRPr="00132E65">
              <w:rPr>
                <w:rtl/>
              </w:rPr>
              <w:t xml:space="preserve"> في « بح » :</w:t>
            </w:r>
            <w:r>
              <w:rPr>
                <w:rtl/>
              </w:rPr>
              <w:t xml:space="preserve"> + </w:t>
            </w:r>
            <w:r w:rsidRPr="00132E65">
              <w:rPr>
                <w:rtl/>
              </w:rPr>
              <w:t>« من »</w:t>
            </w:r>
            <w:r>
              <w:rPr>
                <w:rtl/>
              </w:rPr>
              <w:t>.</w:t>
            </w:r>
          </w:p>
        </w:tc>
      </w:tr>
    </w:tbl>
    <w:p w:rsidR="000C39D1" w:rsidRPr="00132E65" w:rsidRDefault="000C39D1" w:rsidP="000C39D1">
      <w:pPr>
        <w:pStyle w:val="libFootnote0"/>
        <w:rPr>
          <w:rtl/>
          <w:lang w:bidi="fa-IR"/>
        </w:rPr>
      </w:pPr>
      <w:r>
        <w:rPr>
          <w:rtl/>
        </w:rPr>
        <w:t>(4).</w:t>
      </w:r>
      <w:r w:rsidRPr="00132E65">
        <w:rPr>
          <w:rtl/>
        </w:rPr>
        <w:t xml:space="preserve"> في </w:t>
      </w:r>
      <w:r w:rsidRPr="009F566A">
        <w:rPr>
          <w:rtl/>
        </w:rPr>
        <w:t>الوافي</w:t>
      </w:r>
      <w:r w:rsidRPr="00132E65">
        <w:rPr>
          <w:rtl/>
        </w:rPr>
        <w:t xml:space="preserve"> والتهذيب </w:t>
      </w:r>
      <w:r w:rsidRPr="009F566A">
        <w:rPr>
          <w:rtl/>
        </w:rPr>
        <w:t>والاستبصار</w:t>
      </w:r>
      <w:r w:rsidRPr="00132E65">
        <w:rPr>
          <w:rtl/>
        </w:rPr>
        <w:t xml:space="preserve"> : « لشيعتنا »</w:t>
      </w:r>
      <w:r>
        <w:rPr>
          <w:rtl/>
        </w:rPr>
        <w:t>.</w:t>
      </w:r>
    </w:p>
    <w:p w:rsidR="000C39D1" w:rsidRPr="00132E65" w:rsidRDefault="000C39D1" w:rsidP="000C39D1">
      <w:pPr>
        <w:pStyle w:val="libFootnote0"/>
        <w:rPr>
          <w:rtl/>
          <w:lang w:bidi="fa-IR"/>
        </w:rPr>
      </w:pPr>
      <w:r>
        <w:rPr>
          <w:rtl/>
        </w:rPr>
        <w:t>(5).</w:t>
      </w:r>
      <w:r w:rsidRPr="00132E65">
        <w:rPr>
          <w:rtl/>
        </w:rPr>
        <w:t xml:space="preserve"> </w:t>
      </w:r>
      <w:r w:rsidRPr="009F566A">
        <w:rPr>
          <w:rStyle w:val="libFootnoteBoldChar"/>
          <w:rtl/>
        </w:rPr>
        <w:t>التهذيب</w:t>
      </w:r>
      <w:r w:rsidRPr="00132E65">
        <w:rPr>
          <w:rtl/>
        </w:rPr>
        <w:t xml:space="preserve"> ، ج 4 ، ص 136 ، ح 383 ؛ </w:t>
      </w:r>
      <w:r w:rsidRPr="007A1104">
        <w:rPr>
          <w:rStyle w:val="libFootnoteBoldChar"/>
          <w:rtl/>
        </w:rPr>
        <w:t>الاستبصار</w:t>
      </w:r>
      <w:r w:rsidRPr="00132E65">
        <w:rPr>
          <w:rtl/>
        </w:rPr>
        <w:t xml:space="preserve"> ، ج 2 ، ص 57 ، ح 188 ، بسندهما عن ضريس الكناسي. </w:t>
      </w:r>
      <w:r w:rsidRPr="009F566A">
        <w:rPr>
          <w:rStyle w:val="libFootnoteBoldChar"/>
          <w:rtl/>
        </w:rPr>
        <w:t>المقنعة</w:t>
      </w:r>
      <w:r w:rsidRPr="00132E65">
        <w:rPr>
          <w:rtl/>
        </w:rPr>
        <w:t xml:space="preserve"> ، ص 280 ، مرسلاً عن ضريس الكناسي </w:t>
      </w:r>
      <w:r w:rsidR="009F566A">
        <w:rPr>
          <w:rFonts w:hint="cs"/>
          <w:rtl/>
        </w:rPr>
        <w:t>.</w:t>
      </w:r>
      <w:r w:rsidRPr="009D1ACE">
        <w:rPr>
          <w:rStyle w:val="libFootnoteBoldChar"/>
          <w:rtl/>
        </w:rPr>
        <w:t>الوافي</w:t>
      </w:r>
      <w:r w:rsidRPr="00132E65">
        <w:rPr>
          <w:rtl/>
        </w:rPr>
        <w:t xml:space="preserve"> ، ج 10 ، ص 331 ، ح 9653 ؛ </w:t>
      </w:r>
      <w:r w:rsidRPr="009F566A">
        <w:rPr>
          <w:rStyle w:val="libFootnoteBoldChar"/>
          <w:rtl/>
        </w:rPr>
        <w:t>الوسائل</w:t>
      </w:r>
      <w:r w:rsidRPr="00132E65">
        <w:rPr>
          <w:rtl/>
        </w:rPr>
        <w:t xml:space="preserve"> ، ج 9 ، ص 544 ، ذيل ح 12677.</w:t>
      </w:r>
    </w:p>
    <w:p w:rsidR="000C39D1" w:rsidRPr="00132E65" w:rsidRDefault="000C39D1" w:rsidP="000C39D1">
      <w:pPr>
        <w:pStyle w:val="libFootnote0"/>
        <w:rPr>
          <w:rtl/>
          <w:lang w:bidi="fa-IR"/>
        </w:rPr>
      </w:pPr>
      <w:r>
        <w:rPr>
          <w:rtl/>
        </w:rPr>
        <w:t>(6).</w:t>
      </w:r>
      <w:r w:rsidRPr="00132E65">
        <w:rPr>
          <w:rtl/>
        </w:rPr>
        <w:t xml:space="preserve"> كذا في النسخ والمطبوع ، لكنّ الظاهر وقوع التصحيف في العنوان. والصواب هو « سيف » ؛ فقد تقدّم الخبر</w:t>
      </w:r>
      <w:r>
        <w:rPr>
          <w:rtl/>
        </w:rPr>
        <w:t xml:space="preserve"> - </w:t>
      </w:r>
      <w:r w:rsidRPr="00132E65">
        <w:rPr>
          <w:rtl/>
        </w:rPr>
        <w:t>مع زيادة</w:t>
      </w:r>
      <w:r>
        <w:rPr>
          <w:rtl/>
        </w:rPr>
        <w:t xml:space="preserve"> - </w:t>
      </w:r>
      <w:r w:rsidRPr="00132E65">
        <w:rPr>
          <w:rtl/>
        </w:rPr>
        <w:t xml:space="preserve">في ح 488 بسند آخر عن محمّد بن أبي عمير ، عن سيف بن عميرة ، عن أبي الصبّاح الكناني ، وكذا ورد في </w:t>
      </w:r>
      <w:r w:rsidRPr="009F566A">
        <w:rPr>
          <w:rStyle w:val="libFootnoteBoldChar"/>
          <w:rtl/>
        </w:rPr>
        <w:t>التهذيب</w:t>
      </w:r>
      <w:r w:rsidRPr="00132E65">
        <w:rPr>
          <w:rtl/>
        </w:rPr>
        <w:t xml:space="preserve"> ، ج 4 ، ص 132 ، ح 307 ، بسند ثالث عن ابن أبي عمير ، عن سيف بن عميرة ، عن أبي الصبّاح.</w:t>
      </w:r>
    </w:p>
    <w:p w:rsidR="000C39D1" w:rsidRPr="00132E65" w:rsidRDefault="000C39D1" w:rsidP="000C39D1">
      <w:pPr>
        <w:pStyle w:val="libFootnote0"/>
        <w:rPr>
          <w:rtl/>
          <w:lang w:bidi="fa-IR"/>
        </w:rPr>
      </w:pPr>
      <w:r w:rsidRPr="00F24C1F">
        <w:rPr>
          <w:rtl/>
        </w:rPr>
        <w:t xml:space="preserve">هذا ، وقد روى سيف بن عميرة عن أبي الصبّاح [ الكناني ] في بعض الأسناد. راجع : </w:t>
      </w:r>
      <w:r w:rsidRPr="009F566A">
        <w:rPr>
          <w:rStyle w:val="libFootnoteBoldChar"/>
          <w:rtl/>
        </w:rPr>
        <w:t>معجم رجال الحديث</w:t>
      </w:r>
      <w:r w:rsidRPr="00F24C1F">
        <w:rPr>
          <w:rtl/>
        </w:rPr>
        <w:t xml:space="preserve"> ، ج 8 ، ص 544.</w:t>
      </w:r>
    </w:p>
    <w:p w:rsidR="000C39D1" w:rsidRPr="00132E65" w:rsidRDefault="000C39D1" w:rsidP="000C39D1">
      <w:pPr>
        <w:pStyle w:val="libFootnote0"/>
        <w:rPr>
          <w:rtl/>
          <w:lang w:bidi="fa-IR"/>
        </w:rPr>
      </w:pPr>
      <w:r w:rsidRPr="00F24C1F">
        <w:rPr>
          <w:rtl/>
        </w:rPr>
        <w:t xml:space="preserve">وأمّا رواية شعيب </w:t>
      </w:r>
      <w:r>
        <w:rPr>
          <w:rtl/>
        </w:rPr>
        <w:t>-</w:t>
      </w:r>
      <w:r w:rsidRPr="00F24C1F">
        <w:rPr>
          <w:rtl/>
        </w:rPr>
        <w:t xml:space="preserve"> وهو في مشايخ ابن أبي عمير منصرف إلى شعيب العقرقوفي </w:t>
      </w:r>
      <w:r>
        <w:rPr>
          <w:rtl/>
        </w:rPr>
        <w:t>-</w:t>
      </w:r>
      <w:r w:rsidRPr="00F24C1F">
        <w:rPr>
          <w:rtl/>
        </w:rPr>
        <w:t xml:space="preserve"> عن أبي الصبّاح فلم نجدها في غير سندهذا الخبر. راجع : </w:t>
      </w:r>
      <w:r w:rsidRPr="009F566A">
        <w:rPr>
          <w:rStyle w:val="libFootnoteBoldChar"/>
          <w:rtl/>
        </w:rPr>
        <w:t>معجم رجال الحديث</w:t>
      </w:r>
      <w:r w:rsidRPr="00F24C1F">
        <w:rPr>
          <w:rtl/>
        </w:rPr>
        <w:t xml:space="preserve"> ، ج 22 ، ص 104.</w:t>
      </w:r>
    </w:p>
    <w:p w:rsidR="000C39D1" w:rsidRPr="00132E65" w:rsidRDefault="000C39D1" w:rsidP="000C39D1">
      <w:pPr>
        <w:pStyle w:val="libFootnote0"/>
        <w:rPr>
          <w:rtl/>
          <w:lang w:bidi="fa-IR"/>
        </w:rPr>
      </w:pPr>
      <w:r>
        <w:rPr>
          <w:rtl/>
        </w:rPr>
        <w:t>(7).</w:t>
      </w:r>
      <w:r w:rsidRPr="00132E65">
        <w:rPr>
          <w:rtl/>
        </w:rPr>
        <w:t xml:space="preserve"> في « بر » و</w:t>
      </w:r>
      <w:r w:rsidRPr="000577A7">
        <w:rPr>
          <w:rStyle w:val="libFootnoteBoldChar"/>
          <w:rtl/>
        </w:rPr>
        <w:t>الكافي</w:t>
      </w:r>
      <w:r w:rsidRPr="00132E65">
        <w:rPr>
          <w:rtl/>
        </w:rPr>
        <w:t xml:space="preserve"> ، ح 488 والبصائر ، ص 202 </w:t>
      </w:r>
      <w:r w:rsidRPr="009F566A">
        <w:rPr>
          <w:rStyle w:val="libFootnoteBoldChar"/>
          <w:rtl/>
        </w:rPr>
        <w:t>وتفسير العيّاشي</w:t>
      </w:r>
      <w:r w:rsidRPr="00132E65">
        <w:rPr>
          <w:rtl/>
        </w:rPr>
        <w:t xml:space="preserve"> ، ج 1 </w:t>
      </w:r>
      <w:r w:rsidRPr="009F566A">
        <w:rPr>
          <w:rStyle w:val="libFootnoteBoldChar"/>
          <w:rtl/>
        </w:rPr>
        <w:t>والوسائل</w:t>
      </w:r>
      <w:r w:rsidRPr="00132E65">
        <w:rPr>
          <w:rtl/>
        </w:rPr>
        <w:t xml:space="preserve"> ، ج 9 ، ص 535 </w:t>
      </w:r>
      <w:r>
        <w:rPr>
          <w:rtl/>
        </w:rPr>
        <w:t xml:space="preserve">: - </w:t>
      </w:r>
      <w:r w:rsidR="009F566A">
        <w:rPr>
          <w:rtl/>
        </w:rPr>
        <w:t>«لي</w:t>
      </w:r>
      <w:r w:rsidRPr="00132E65">
        <w:rPr>
          <w:rtl/>
        </w:rPr>
        <w:t>»</w:t>
      </w:r>
      <w:r>
        <w:rPr>
          <w:rtl/>
        </w:rPr>
        <w:t>.</w:t>
      </w:r>
    </w:p>
    <w:p w:rsidR="000C39D1" w:rsidRPr="00132E65" w:rsidRDefault="000C39D1" w:rsidP="000C39D1">
      <w:pPr>
        <w:pStyle w:val="libFootnote0"/>
        <w:rPr>
          <w:rtl/>
          <w:lang w:bidi="fa-IR"/>
        </w:rPr>
      </w:pPr>
      <w:r>
        <w:rPr>
          <w:rtl/>
        </w:rPr>
        <w:t>(8).</w:t>
      </w:r>
      <w:r w:rsidRPr="00132E65">
        <w:rPr>
          <w:rtl/>
        </w:rPr>
        <w:t xml:space="preserve"> في « بس » : « الأموال »</w:t>
      </w:r>
      <w:r>
        <w:rPr>
          <w:rtl/>
        </w:rPr>
        <w:t>.</w:t>
      </w:r>
      <w:r w:rsidRPr="00132E65">
        <w:rPr>
          <w:rtl/>
        </w:rPr>
        <w:t xml:space="preserve"> وصَفْو الشي‌ء : خالصه وخياره. والمراد هنا : جيّده وأحسنه كالجارية الفارهة ، والسيف القاطع والدرع. </w:t>
      </w:r>
      <w:r w:rsidRPr="009F566A">
        <w:rPr>
          <w:rStyle w:val="libFootnoteBoldChar"/>
          <w:rtl/>
        </w:rPr>
        <w:t>مجمع البحرين</w:t>
      </w:r>
      <w:r w:rsidRPr="00132E65">
        <w:rPr>
          <w:rtl/>
        </w:rPr>
        <w:t xml:space="preserve"> ، ج 2 ، ص 1039 ( صفا )</w:t>
      </w:r>
      <w:r>
        <w:rPr>
          <w:rtl/>
        </w:rPr>
        <w:t>.</w:t>
      </w:r>
    </w:p>
    <w:p w:rsidR="000C39D1" w:rsidRDefault="000C39D1" w:rsidP="000C39D1">
      <w:pPr>
        <w:pStyle w:val="libFootnote0"/>
        <w:rPr>
          <w:rtl/>
          <w:lang w:bidi="fa-IR"/>
        </w:rPr>
      </w:pPr>
      <w:r>
        <w:rPr>
          <w:rtl/>
        </w:rPr>
        <w:t>(9).</w:t>
      </w:r>
      <w:r w:rsidRPr="00132E65">
        <w:rPr>
          <w:rtl/>
        </w:rPr>
        <w:t xml:space="preserve"> </w:t>
      </w:r>
      <w:r w:rsidRPr="007A1104">
        <w:rPr>
          <w:rStyle w:val="libFootnoteBoldChar"/>
          <w:rtl/>
        </w:rPr>
        <w:t>بصائر الدرجات</w:t>
      </w:r>
      <w:r w:rsidRPr="00132E65">
        <w:rPr>
          <w:rtl/>
        </w:rPr>
        <w:t xml:space="preserve"> ، ص 202 ، ح 1 ؛ و</w:t>
      </w:r>
      <w:r w:rsidRPr="000577A7">
        <w:rPr>
          <w:rStyle w:val="libFootnoteBoldChar"/>
          <w:rtl/>
        </w:rPr>
        <w:t>الكافي</w:t>
      </w:r>
      <w:r w:rsidRPr="00132E65">
        <w:rPr>
          <w:rtl/>
        </w:rPr>
        <w:t xml:space="preserve"> ، </w:t>
      </w:r>
      <w:r w:rsidRPr="009F566A">
        <w:rPr>
          <w:rStyle w:val="libFootnoteBoldChar"/>
          <w:rtl/>
        </w:rPr>
        <w:t>كتاب الحجّة</w:t>
      </w:r>
      <w:r w:rsidRPr="00132E65">
        <w:rPr>
          <w:rtl/>
        </w:rPr>
        <w:t xml:space="preserve"> ، باب فرض طاعة الأئمّة ، ح 488 ؛ </w:t>
      </w:r>
      <w:r w:rsidRPr="009F566A">
        <w:rPr>
          <w:rStyle w:val="libFootnoteBoldChar"/>
          <w:rtl/>
        </w:rPr>
        <w:t>والتهذيب</w:t>
      </w:r>
      <w:r w:rsidRPr="00A3767B">
        <w:rPr>
          <w:rtl/>
        </w:rPr>
        <w:t xml:space="preserve"> </w:t>
      </w:r>
      <w:r w:rsidRPr="00132E65">
        <w:rPr>
          <w:rtl/>
        </w:rPr>
        <w:t xml:space="preserve">، ج 3 ، ص 132 ، ح 367 ، بسند آخر عن محمّد بن أبي عمير ، عن سيف بن عميرة ، عن أبي الصبّاح الكناني. وفي </w:t>
      </w:r>
      <w:r w:rsidRPr="007A1104">
        <w:rPr>
          <w:rStyle w:val="libFootnoteBoldChar"/>
          <w:rtl/>
        </w:rPr>
        <w:t>بصائر الدرجات</w:t>
      </w:r>
      <w:r w:rsidRPr="00132E65">
        <w:rPr>
          <w:rtl/>
        </w:rPr>
        <w:t xml:space="preserve"> ، ص 204 ، ح 6 ، بسنده عن ابن أبي عمير ، عن أبي الصبّاح الكناني ، وفي كلّها مع زيادة في </w:t>
      </w:r>
      <w:r w:rsidR="009F566A">
        <w:rPr>
          <w:rFonts w:hint="cs"/>
          <w:rtl/>
        </w:rPr>
        <w:t>=</w:t>
      </w:r>
    </w:p>
    <w:p w:rsidR="000C39D1" w:rsidRDefault="000C39D1" w:rsidP="000C39D1">
      <w:pPr>
        <w:pStyle w:val="libFootnote0"/>
        <w:rPr>
          <w:rtl/>
          <w:lang w:bidi="fa-IR"/>
        </w:rPr>
      </w:pPr>
      <w:r>
        <w:rPr>
          <w:rtl/>
          <w:lang w:bidi="fa-IR"/>
        </w:rPr>
        <w:br w:type="page"/>
      </w:r>
    </w:p>
    <w:p w:rsidR="000C39D1" w:rsidRPr="00132E65" w:rsidRDefault="000C39D1" w:rsidP="000C39D1">
      <w:pPr>
        <w:pStyle w:val="libNormal"/>
        <w:rPr>
          <w:rtl/>
          <w:lang w:bidi="fa-IR"/>
        </w:rPr>
      </w:pPr>
      <w:r w:rsidRPr="00A3767B">
        <w:rPr>
          <w:rtl/>
        </w:rPr>
        <w:t>1438</w:t>
      </w:r>
      <w:r w:rsidRPr="004325D8">
        <w:rPr>
          <w:rStyle w:val="libBold2Char"/>
          <w:rtl/>
        </w:rPr>
        <w:t xml:space="preserve"> / 18.</w:t>
      </w:r>
      <w:r w:rsidRPr="00132E65">
        <w:rPr>
          <w:rtl/>
          <w:lang w:bidi="fa-IR"/>
        </w:rPr>
        <w:t xml:space="preserve"> عِدَّةٌ مِنْ أَصْحَابِنَا ، عَنْ أَحْمَدَ بْنِ مُحَمَّدٍ ، عَنِ الْحُسَيْنِ بْنِ سَعِيدٍ ، عَنِ الْقَاسِمِ بْنِ مُحَمَّدٍ ، عَنْ رِفَاعَةَ ، عَنْ أَبَانِ بْنِ تَغْلِبَ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فِي الرَّجُلِ يَمُوتُ </w:t>
      </w:r>
      <w:r>
        <w:rPr>
          <w:rStyle w:val="libFootnotenumChar"/>
          <w:rtl/>
        </w:rPr>
        <w:t>(1)</w:t>
      </w:r>
      <w:r w:rsidRPr="00132E65">
        <w:rPr>
          <w:rtl/>
          <w:lang w:bidi="fa-IR"/>
        </w:rPr>
        <w:t xml:space="preserve"> لَاوَارِثَ لَهُ و</w:t>
      </w:r>
      <w:r w:rsidR="009F566A">
        <w:rPr>
          <w:rFonts w:hint="cs"/>
          <w:rtl/>
          <w:lang w:bidi="fa-IR"/>
        </w:rPr>
        <w:t>َ</w:t>
      </w:r>
      <w:r w:rsidRPr="00132E65">
        <w:rPr>
          <w:rtl/>
          <w:lang w:bidi="fa-IR"/>
        </w:rPr>
        <w:t xml:space="preserve">لَامَوْلى </w:t>
      </w:r>
      <w:r>
        <w:rPr>
          <w:rStyle w:val="libFootnotenumChar"/>
          <w:rtl/>
        </w:rPr>
        <w:t>(2)</w:t>
      </w:r>
      <w:r w:rsidRPr="00132E65">
        <w:rPr>
          <w:rtl/>
          <w:lang w:bidi="fa-IR"/>
        </w:rPr>
        <w:t xml:space="preserve"> ، قَالَ </w:t>
      </w:r>
      <w:r>
        <w:rPr>
          <w:rStyle w:val="libFootnotenumChar"/>
          <w:rtl/>
        </w:rPr>
        <w:t>(3)</w:t>
      </w:r>
      <w:r w:rsidRPr="00132E65">
        <w:rPr>
          <w:rtl/>
          <w:lang w:bidi="fa-IR"/>
        </w:rPr>
        <w:t xml:space="preserve"> : « هُوَ مِنْ أَهْلِ هذِهِ الْآيَةِ : </w:t>
      </w:r>
      <w:r w:rsidRPr="00071CF9">
        <w:rPr>
          <w:rStyle w:val="libAlaemChar"/>
          <w:rtl/>
        </w:rPr>
        <w:t>(</w:t>
      </w:r>
      <w:r w:rsidRPr="00071CF9">
        <w:rPr>
          <w:rStyle w:val="libAieChar"/>
          <w:rtl/>
        </w:rPr>
        <w:t xml:space="preserve"> يَسْئَلُونَكَ عَنِ الْأَنْفالِ </w:t>
      </w:r>
      <w:r w:rsidRPr="00071CF9">
        <w:rPr>
          <w:rStyle w:val="libAlaemChar"/>
          <w:rtl/>
        </w:rPr>
        <w:t>)</w:t>
      </w:r>
      <w:r w:rsidRPr="00132E65">
        <w:rPr>
          <w:rtl/>
          <w:lang w:bidi="fa-IR"/>
        </w:rPr>
        <w:t xml:space="preserve">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A3767B">
        <w:rPr>
          <w:rtl/>
        </w:rPr>
        <w:t>1439</w:t>
      </w:r>
      <w:r w:rsidRPr="004325D8">
        <w:rPr>
          <w:rStyle w:val="libBold2Char"/>
          <w:rtl/>
        </w:rPr>
        <w:t xml:space="preserve"> / 19.</w:t>
      </w:r>
      <w:r w:rsidRPr="00132E65">
        <w:rPr>
          <w:rtl/>
          <w:lang w:bidi="fa-IR"/>
        </w:rPr>
        <w:t xml:space="preserve"> عَلِيُّ بْنُ إِبْرَاهِيمَ ، عَنْ أَبِيهِ ، عَنِ ابْنِ أَبِي عُمَيْرٍ ، عَنْ حَمَّادٍ ، عَنِ الْحَلَبِيِّ :</w:t>
      </w:r>
    </w:p>
    <w:p w:rsidR="000C39D1" w:rsidRPr="00132E65" w:rsidRDefault="000C39D1" w:rsidP="000C39D1">
      <w:pPr>
        <w:pStyle w:val="libNormal"/>
        <w:rPr>
          <w:rtl/>
          <w:lang w:bidi="fa-IR"/>
        </w:rPr>
      </w:pPr>
      <w:r w:rsidRPr="00132E65">
        <w:rPr>
          <w:rtl/>
          <w:lang w:bidi="fa-IR"/>
        </w:rPr>
        <w:t xml:space="preserve">عَنْ أَبِي عَبْدِ اللهِ </w:t>
      </w:r>
      <w:r w:rsidRPr="00071CF9">
        <w:rPr>
          <w:rStyle w:val="libAlaemChar"/>
          <w:rtl/>
        </w:rPr>
        <w:t>عليه‌السلام</w:t>
      </w:r>
      <w:r w:rsidRPr="00132E65">
        <w:rPr>
          <w:rtl/>
          <w:lang w:bidi="fa-IR"/>
        </w:rPr>
        <w:t xml:space="preserve"> </w:t>
      </w:r>
      <w:r>
        <w:rPr>
          <w:rStyle w:val="libFootnotenumChar"/>
          <w:rtl/>
        </w:rPr>
        <w:t>(6)</w:t>
      </w:r>
      <w:r w:rsidRPr="00132E65">
        <w:rPr>
          <w:rtl/>
          <w:lang w:bidi="fa-IR"/>
        </w:rPr>
        <w:t xml:space="preserve"> عَنِ الْكَنْزِ : كَمْ فِيهِ</w:t>
      </w:r>
      <w:r>
        <w:rPr>
          <w:rtl/>
          <w:lang w:bidi="fa-IR"/>
        </w:rPr>
        <w:t>؟</w:t>
      </w:r>
      <w:r w:rsidRPr="00132E65">
        <w:rPr>
          <w:rtl/>
          <w:lang w:bidi="fa-IR"/>
        </w:rPr>
        <w:t xml:space="preserve"> قَالَ : « الْخُمُسُ » ، و</w:t>
      </w:r>
      <w:r w:rsidR="009F566A">
        <w:rPr>
          <w:rFonts w:hint="cs"/>
          <w:rtl/>
          <w:lang w:bidi="fa-IR"/>
        </w:rPr>
        <w:t>َ</w:t>
      </w:r>
      <w:r w:rsidRPr="00132E65">
        <w:rPr>
          <w:rtl/>
          <w:lang w:bidi="fa-IR"/>
        </w:rPr>
        <w:t>عَنِ الْمَعَادِنِ كَمْ فِيهَا</w:t>
      </w:r>
      <w:r>
        <w:rPr>
          <w:rtl/>
          <w:lang w:bidi="fa-IR"/>
        </w:rPr>
        <w:t>؟</w:t>
      </w:r>
      <w:r w:rsidRPr="00132E65">
        <w:rPr>
          <w:rtl/>
          <w:lang w:bidi="fa-IR"/>
        </w:rPr>
        <w:t xml:space="preserve"> قَالَ </w:t>
      </w:r>
      <w:r>
        <w:rPr>
          <w:rStyle w:val="libFootnotenumChar"/>
          <w:rtl/>
        </w:rPr>
        <w:t>(7)</w:t>
      </w:r>
      <w:r w:rsidRPr="00132E65">
        <w:rPr>
          <w:rtl/>
          <w:lang w:bidi="fa-IR"/>
        </w:rPr>
        <w:t xml:space="preserve"> : « الْخُمُسُ ، و</w:t>
      </w:r>
      <w:r w:rsidR="009F566A">
        <w:rPr>
          <w:rFonts w:hint="cs"/>
          <w:rtl/>
          <w:lang w:bidi="fa-IR"/>
        </w:rPr>
        <w:t>َ</w:t>
      </w:r>
      <w:r w:rsidRPr="00132E65">
        <w:rPr>
          <w:rtl/>
          <w:lang w:bidi="fa-IR"/>
        </w:rPr>
        <w:t>كَذلِكَ الرَّصَاصُ و</w:t>
      </w:r>
      <w:r w:rsidR="009F566A">
        <w:rPr>
          <w:rFonts w:hint="cs"/>
          <w:rtl/>
          <w:lang w:bidi="fa-IR"/>
        </w:rPr>
        <w:t>َ</w:t>
      </w:r>
      <w:r w:rsidRPr="00132E65">
        <w:rPr>
          <w:rtl/>
          <w:lang w:bidi="fa-IR"/>
        </w:rPr>
        <w:t>الصُّفْرُ و</w:t>
      </w:r>
      <w:r w:rsidR="009F566A">
        <w:rPr>
          <w:rFonts w:hint="cs"/>
          <w:rtl/>
          <w:lang w:bidi="fa-IR"/>
        </w:rPr>
        <w:t>َ</w:t>
      </w:r>
      <w:r w:rsidRPr="00132E65">
        <w:rPr>
          <w:rtl/>
          <w:lang w:bidi="fa-IR"/>
        </w:rPr>
        <w:t>الْحَدِيدُ ، و</w:t>
      </w:r>
      <w:r w:rsidR="009F566A">
        <w:rPr>
          <w:rFonts w:hint="cs"/>
          <w:rtl/>
          <w:lang w:bidi="fa-IR"/>
        </w:rPr>
        <w:t>َ</w:t>
      </w:r>
      <w:r w:rsidRPr="00132E65">
        <w:rPr>
          <w:rtl/>
          <w:lang w:bidi="fa-IR"/>
        </w:rPr>
        <w:t>كُلُّ مَا كَانَ مِنَ الْمَعَادِنِ يُؤْخَذُ مِنْهَا مَا يُؤْخَذُ مِنَ الذَّهَبِ و</w:t>
      </w:r>
      <w:r w:rsidR="009F566A">
        <w:rPr>
          <w:rFonts w:hint="cs"/>
          <w:rtl/>
          <w:lang w:bidi="fa-IR"/>
        </w:rPr>
        <w:t>َ</w:t>
      </w:r>
      <w:r w:rsidRPr="00132E65">
        <w:rPr>
          <w:rtl/>
          <w:lang w:bidi="fa-IR"/>
        </w:rPr>
        <w:t>الْفِضَّةِ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9F566A" w:rsidP="000C39D1">
      <w:pPr>
        <w:pStyle w:val="libFootnote0"/>
        <w:rPr>
          <w:rtl/>
          <w:lang w:bidi="fa-IR"/>
        </w:rPr>
      </w:pPr>
      <w:r>
        <w:rPr>
          <w:rFonts w:hint="cs"/>
          <w:rtl/>
        </w:rPr>
        <w:t xml:space="preserve">= </w:t>
      </w:r>
      <w:r w:rsidR="000C39D1" w:rsidRPr="00132E65">
        <w:rPr>
          <w:rtl/>
        </w:rPr>
        <w:t xml:space="preserve">آخره. </w:t>
      </w:r>
      <w:r w:rsidR="000C39D1" w:rsidRPr="000577A7">
        <w:rPr>
          <w:rStyle w:val="libFootnoteBoldChar"/>
          <w:rtl/>
        </w:rPr>
        <w:t>الكافي</w:t>
      </w:r>
      <w:r w:rsidR="000C39D1" w:rsidRPr="00132E65">
        <w:rPr>
          <w:rtl/>
        </w:rPr>
        <w:t xml:space="preserve"> ، كتاب الروضة ، ضمن ح 14938 ، بسند آخر ؛ </w:t>
      </w:r>
      <w:r w:rsidR="000C39D1" w:rsidRPr="009F566A">
        <w:rPr>
          <w:rStyle w:val="libFootnoteBoldChar"/>
          <w:rtl/>
        </w:rPr>
        <w:t>المحاسن</w:t>
      </w:r>
      <w:r w:rsidR="000C39D1" w:rsidRPr="00132E65">
        <w:rPr>
          <w:rtl/>
        </w:rPr>
        <w:t xml:space="preserve"> ، ص 153 ، كتاب صفوة ، ضمن ح 78 ، بسند آخر عن الصادق </w:t>
      </w:r>
      <w:r w:rsidR="000C39D1" w:rsidRPr="009F566A">
        <w:rPr>
          <w:rStyle w:val="libFootnoteAlaemChar"/>
          <w:rtl/>
        </w:rPr>
        <w:t>عليه‌السلام</w:t>
      </w:r>
      <w:r w:rsidR="000C39D1" w:rsidRPr="00132E65">
        <w:rPr>
          <w:rtl/>
        </w:rPr>
        <w:t xml:space="preserve"> ، عن النبيّ </w:t>
      </w:r>
      <w:r w:rsidR="000C39D1" w:rsidRPr="009F566A">
        <w:rPr>
          <w:rStyle w:val="libFootnoteAlaemChar"/>
          <w:rFonts w:eastAsiaTheme="minorHAnsi"/>
          <w:rtl/>
        </w:rPr>
        <w:t>صلى‌الله‌عليه‌وآله</w:t>
      </w:r>
      <w:r w:rsidR="000C39D1" w:rsidRPr="00132E65">
        <w:rPr>
          <w:rtl/>
          <w:lang w:bidi="fa-IR"/>
        </w:rPr>
        <w:t xml:space="preserve"> </w:t>
      </w:r>
      <w:r w:rsidR="000C39D1" w:rsidRPr="00132E65">
        <w:rPr>
          <w:rtl/>
        </w:rPr>
        <w:t xml:space="preserve">، وفيهما مع اختلاف يسير. </w:t>
      </w:r>
      <w:r w:rsidR="000C39D1" w:rsidRPr="009F566A">
        <w:rPr>
          <w:rStyle w:val="libFootnoteBoldChar"/>
          <w:rtl/>
        </w:rPr>
        <w:t>تفسير العيّاشي</w:t>
      </w:r>
      <w:r w:rsidR="000C39D1" w:rsidRPr="00132E65">
        <w:rPr>
          <w:rtl/>
        </w:rPr>
        <w:t xml:space="preserve"> ، ج 1 ، ص 247 ، ح 155 ، عن أبي الصبّاح الكناني ، مع زيادة في آخره. </w:t>
      </w:r>
      <w:r w:rsidR="000C39D1" w:rsidRPr="00A3767B">
        <w:rPr>
          <w:rtl/>
        </w:rPr>
        <w:t>وفيه</w:t>
      </w:r>
      <w:r w:rsidR="000C39D1" w:rsidRPr="00132E65">
        <w:rPr>
          <w:rtl/>
        </w:rPr>
        <w:t xml:space="preserve"> ، ص 16 ، ح 7 ؛ وج 2 ، ص 47 ، ح 8 ، وفيهما مع زيادة في آخره ؛ </w:t>
      </w:r>
      <w:r w:rsidR="000C39D1" w:rsidRPr="00A3767B">
        <w:rPr>
          <w:rtl/>
        </w:rPr>
        <w:t>وفيه</w:t>
      </w:r>
      <w:r w:rsidR="000C39D1" w:rsidRPr="00132E65">
        <w:rPr>
          <w:rtl/>
        </w:rPr>
        <w:t xml:space="preserve"> أيضاً ، ص 48 ، ضمن ح 19 ؛ وفي الثلاثة الأخيرة مرسلاً عن بشير الدهّان ، عن الصادق </w:t>
      </w:r>
      <w:r w:rsidR="000C39D1" w:rsidRPr="009F566A">
        <w:rPr>
          <w:rStyle w:val="libFootnoteAlaemChar"/>
          <w:rtl/>
        </w:rPr>
        <w:t>عليه‌السلام</w:t>
      </w:r>
      <w:r w:rsidR="000C39D1" w:rsidRPr="00132E65">
        <w:rPr>
          <w:rtl/>
        </w:rPr>
        <w:t xml:space="preserve"> ؛ </w:t>
      </w:r>
      <w:r w:rsidR="000C39D1" w:rsidRPr="009F566A">
        <w:rPr>
          <w:rStyle w:val="libFootnoteBoldChar"/>
          <w:rtl/>
        </w:rPr>
        <w:t>المقنعة</w:t>
      </w:r>
      <w:r w:rsidR="000C39D1" w:rsidRPr="00132E65">
        <w:rPr>
          <w:rtl/>
        </w:rPr>
        <w:t xml:space="preserve"> ، ص 278 ، مرسلاً ، مع زيادة في آخره ، وفي الأربعة الأخيرة مع اختلاف يسير. راجع : </w:t>
      </w:r>
      <w:r w:rsidR="000C39D1" w:rsidRPr="000577A7">
        <w:rPr>
          <w:rStyle w:val="libFootnoteBoldChar"/>
          <w:rtl/>
        </w:rPr>
        <w:t>الكافي</w:t>
      </w:r>
      <w:r w:rsidR="000C39D1" w:rsidRPr="00132E65">
        <w:rPr>
          <w:rtl/>
        </w:rPr>
        <w:t xml:space="preserve"> ، كتاب الحجّة ، باب فرض طاعة الأئمّة ، ح 485 ؛ </w:t>
      </w:r>
      <w:r w:rsidR="000C39D1" w:rsidRPr="009F566A">
        <w:rPr>
          <w:rStyle w:val="libFootnoteBoldChar"/>
          <w:rtl/>
        </w:rPr>
        <w:t>والتهذيب</w:t>
      </w:r>
      <w:r w:rsidR="000C39D1" w:rsidRPr="00132E65">
        <w:rPr>
          <w:rtl/>
        </w:rPr>
        <w:t xml:space="preserve"> ، ج 4 ، ص 145 ، ح 405 </w:t>
      </w:r>
      <w:r>
        <w:rPr>
          <w:rFonts w:hint="cs"/>
          <w:rtl/>
        </w:rPr>
        <w:t>.</w:t>
      </w:r>
      <w:r w:rsidR="000C39D1" w:rsidRPr="009D1ACE">
        <w:rPr>
          <w:rStyle w:val="libFootnoteBoldChar"/>
          <w:rtl/>
        </w:rPr>
        <w:t>الوافي</w:t>
      </w:r>
      <w:r w:rsidR="000C39D1" w:rsidRPr="00132E65">
        <w:rPr>
          <w:rtl/>
        </w:rPr>
        <w:t xml:space="preserve"> ، ج 10 ، ص 280 ، ح 9584 ؛ </w:t>
      </w:r>
      <w:r w:rsidR="000C39D1" w:rsidRPr="009F566A">
        <w:rPr>
          <w:rStyle w:val="libFootnoteBoldChar"/>
          <w:rtl/>
        </w:rPr>
        <w:t>الوسائل</w:t>
      </w:r>
      <w:r w:rsidR="000C39D1" w:rsidRPr="00132E65">
        <w:rPr>
          <w:rtl/>
        </w:rPr>
        <w:t xml:space="preserve"> ، ج 9 ، ص 535 ، ح 12659.</w:t>
      </w:r>
    </w:p>
    <w:tbl>
      <w:tblPr>
        <w:tblStyle w:val="TableGrid"/>
        <w:bidiVisual/>
        <w:tblW w:w="0" w:type="auto"/>
        <w:tblLook w:val="04A0" w:firstRow="1" w:lastRow="0" w:firstColumn="1" w:lastColumn="0" w:noHBand="0" w:noVBand="1"/>
      </w:tblPr>
      <w:tblGrid>
        <w:gridCol w:w="4261"/>
        <w:gridCol w:w="4262"/>
      </w:tblGrid>
      <w:tr w:rsidR="009F566A" w:rsidTr="009F566A">
        <w:tc>
          <w:tcPr>
            <w:tcW w:w="4261" w:type="dxa"/>
          </w:tcPr>
          <w:p w:rsidR="009F566A" w:rsidRDefault="009F566A" w:rsidP="000C39D1">
            <w:pPr>
              <w:pStyle w:val="libFootnote0"/>
              <w:rPr>
                <w:rtl/>
              </w:rPr>
            </w:pPr>
            <w:r>
              <w:rPr>
                <w:rtl/>
              </w:rPr>
              <w:t>(1).</w:t>
            </w:r>
            <w:r w:rsidRPr="00132E65">
              <w:rPr>
                <w:rtl/>
              </w:rPr>
              <w:t xml:space="preserve"> في « ب ، ج ، ف ، بح ، بف » :</w:t>
            </w:r>
            <w:r>
              <w:rPr>
                <w:rtl/>
              </w:rPr>
              <w:t xml:space="preserve"> + </w:t>
            </w:r>
            <w:r w:rsidRPr="00132E65">
              <w:rPr>
                <w:rtl/>
              </w:rPr>
              <w:t>«</w:t>
            </w:r>
            <w:r>
              <w:rPr>
                <w:rtl/>
              </w:rPr>
              <w:t xml:space="preserve"> و ».</w:t>
            </w:r>
          </w:p>
        </w:tc>
        <w:tc>
          <w:tcPr>
            <w:tcW w:w="4262" w:type="dxa"/>
          </w:tcPr>
          <w:p w:rsidR="009F566A" w:rsidRDefault="009F566A" w:rsidP="000C39D1">
            <w:pPr>
              <w:pStyle w:val="libFootnote0"/>
              <w:rPr>
                <w:rtl/>
              </w:rPr>
            </w:pPr>
            <w:r>
              <w:rPr>
                <w:rtl/>
              </w:rPr>
              <w:t>(2).</w:t>
            </w:r>
            <w:r w:rsidRPr="00132E65">
              <w:rPr>
                <w:rtl/>
              </w:rPr>
              <w:t xml:space="preserve"> في « ب ، بر ، بف » </w:t>
            </w:r>
            <w:r w:rsidRPr="009F566A">
              <w:rPr>
                <w:rtl/>
              </w:rPr>
              <w:t>والوافي</w:t>
            </w:r>
            <w:r w:rsidRPr="00132E65">
              <w:rPr>
                <w:rtl/>
              </w:rPr>
              <w:t xml:space="preserve"> والفقيه :</w:t>
            </w:r>
            <w:r>
              <w:rPr>
                <w:rtl/>
              </w:rPr>
              <w:t xml:space="preserve"> + </w:t>
            </w:r>
            <w:r w:rsidRPr="00132E65">
              <w:rPr>
                <w:rtl/>
              </w:rPr>
              <w:t>« له »</w:t>
            </w:r>
            <w:r>
              <w:rPr>
                <w:rtl/>
              </w:rPr>
              <w:t>.</w:t>
            </w:r>
          </w:p>
        </w:tc>
      </w:tr>
      <w:tr w:rsidR="009F566A" w:rsidTr="009F566A">
        <w:tc>
          <w:tcPr>
            <w:tcW w:w="4261" w:type="dxa"/>
          </w:tcPr>
          <w:p w:rsidR="009F566A" w:rsidRDefault="009F566A" w:rsidP="000C39D1">
            <w:pPr>
              <w:pStyle w:val="libFootnote0"/>
              <w:rPr>
                <w:rtl/>
              </w:rPr>
            </w:pPr>
            <w:r>
              <w:rPr>
                <w:rtl/>
              </w:rPr>
              <w:t>(3).</w:t>
            </w:r>
            <w:r w:rsidRPr="00132E65">
              <w:rPr>
                <w:rtl/>
              </w:rPr>
              <w:t xml:space="preserve"> في </w:t>
            </w:r>
            <w:r w:rsidRPr="009F566A">
              <w:rPr>
                <w:rtl/>
              </w:rPr>
              <w:t>الوافي</w:t>
            </w:r>
            <w:r w:rsidRPr="00132E65">
              <w:rPr>
                <w:rtl/>
              </w:rPr>
              <w:t xml:space="preserve"> والفقيه والتهذيب ، ج 4 : « فقال »</w:t>
            </w:r>
            <w:r>
              <w:rPr>
                <w:rtl/>
              </w:rPr>
              <w:t>.</w:t>
            </w:r>
          </w:p>
        </w:tc>
        <w:tc>
          <w:tcPr>
            <w:tcW w:w="4262" w:type="dxa"/>
          </w:tcPr>
          <w:p w:rsidR="009F566A" w:rsidRDefault="009F566A" w:rsidP="000C39D1">
            <w:pPr>
              <w:pStyle w:val="libFootnote0"/>
              <w:rPr>
                <w:rtl/>
              </w:rPr>
            </w:pPr>
            <w:r>
              <w:rPr>
                <w:rtl/>
              </w:rPr>
              <w:t>(4).</w:t>
            </w:r>
            <w:r w:rsidRPr="00132E65">
              <w:rPr>
                <w:rtl/>
              </w:rPr>
              <w:t xml:space="preserve"> الأنفال </w:t>
            </w:r>
            <w:r>
              <w:rPr>
                <w:rtl/>
              </w:rPr>
              <w:t>(8)</w:t>
            </w:r>
            <w:r w:rsidRPr="00132E65">
              <w:rPr>
                <w:rtl/>
              </w:rPr>
              <w:t xml:space="preserve"> : 1. وفي « ف » :</w:t>
            </w:r>
            <w:r>
              <w:rPr>
                <w:rtl/>
              </w:rPr>
              <w:t xml:space="preserve"> + </w:t>
            </w:r>
            <w:r w:rsidRPr="00132E65">
              <w:rPr>
                <w:rtl/>
              </w:rPr>
              <w:t>« الآية »</w:t>
            </w:r>
            <w:r>
              <w:rPr>
                <w:rtl/>
              </w:rPr>
              <w:t>.</w:t>
            </w:r>
          </w:p>
        </w:tc>
      </w:tr>
    </w:tbl>
    <w:p w:rsidR="000C39D1" w:rsidRPr="00132E65" w:rsidRDefault="000C39D1" w:rsidP="009F566A">
      <w:pPr>
        <w:pStyle w:val="libFootnote0"/>
        <w:rPr>
          <w:rtl/>
          <w:lang w:bidi="fa-IR"/>
        </w:rPr>
      </w:pPr>
      <w:r>
        <w:rPr>
          <w:rtl/>
        </w:rPr>
        <w:t>(5).</w:t>
      </w:r>
      <w:r w:rsidRPr="00132E65">
        <w:rPr>
          <w:rtl/>
        </w:rPr>
        <w:t xml:space="preserve"> </w:t>
      </w:r>
      <w:r w:rsidRPr="009F566A">
        <w:rPr>
          <w:rStyle w:val="libFootnoteBoldChar"/>
          <w:rtl/>
        </w:rPr>
        <w:t>التهذيب</w:t>
      </w:r>
      <w:r w:rsidRPr="00132E65">
        <w:rPr>
          <w:rtl/>
        </w:rPr>
        <w:t xml:space="preserve"> ، ج 4 ، ص 134 ، ح 274 ، بإسناده عن الحسين بن سعيد ؛ </w:t>
      </w:r>
      <w:r w:rsidRPr="00A3767B">
        <w:rPr>
          <w:rtl/>
        </w:rPr>
        <w:t>وفيه</w:t>
      </w:r>
      <w:r w:rsidRPr="00132E65">
        <w:rPr>
          <w:rtl/>
        </w:rPr>
        <w:t xml:space="preserve"> ، ج 9 ، ص 386 ، ح 1380 ؛ </w:t>
      </w:r>
      <w:r w:rsidRPr="009F566A">
        <w:rPr>
          <w:rStyle w:val="libFootnoteBoldChar"/>
          <w:rtl/>
        </w:rPr>
        <w:t>و</w:t>
      </w:r>
      <w:r w:rsidRPr="007A1104">
        <w:rPr>
          <w:rStyle w:val="libFootnoteBoldChar"/>
          <w:rtl/>
        </w:rPr>
        <w:t>الاستبصار</w:t>
      </w:r>
      <w:r w:rsidRPr="00132E65">
        <w:rPr>
          <w:rtl/>
        </w:rPr>
        <w:t xml:space="preserve"> ، ج 4 ، ص 195 ، ح 733 ، بسندهما عن رفاعة ، مع اختلاف يسير. </w:t>
      </w:r>
      <w:r w:rsidRPr="009F566A">
        <w:rPr>
          <w:rStyle w:val="libFootnoteBoldChar"/>
          <w:rtl/>
        </w:rPr>
        <w:t>الفقيه</w:t>
      </w:r>
      <w:r w:rsidRPr="00132E65">
        <w:rPr>
          <w:rtl/>
        </w:rPr>
        <w:t xml:space="preserve"> ، ج 2 ، ص 44 ، ح 1661 ، بإسناده عن أبان بن تغلب. </w:t>
      </w:r>
      <w:r w:rsidRPr="009F566A">
        <w:rPr>
          <w:rStyle w:val="libFootnoteBoldChar"/>
          <w:rtl/>
        </w:rPr>
        <w:t>تفسير العيّاشي</w:t>
      </w:r>
      <w:r w:rsidRPr="00132E65">
        <w:rPr>
          <w:rtl/>
        </w:rPr>
        <w:t xml:space="preserve"> ، ج 2 ، ص 48 ، ح 12 ، عن أبان بن تغلب ، مع اختلاف يسير. </w:t>
      </w:r>
      <w:r w:rsidRPr="00A3767B">
        <w:rPr>
          <w:rtl/>
        </w:rPr>
        <w:t>وفيه</w:t>
      </w:r>
      <w:r w:rsidRPr="00132E65">
        <w:rPr>
          <w:rtl/>
        </w:rPr>
        <w:t xml:space="preserve"> ، ص 48 ، ح 14 ، عن ابن سنان والحلبي ، عن الصادق </w:t>
      </w:r>
      <w:r w:rsidRPr="009F566A">
        <w:rPr>
          <w:rStyle w:val="libFootnoteAlaemChar"/>
          <w:rtl/>
        </w:rPr>
        <w:t>عليه‌السلام</w:t>
      </w:r>
      <w:r w:rsidRPr="00132E65">
        <w:rPr>
          <w:rtl/>
        </w:rPr>
        <w:t xml:space="preserve"> مع اختلاف </w:t>
      </w:r>
      <w:r w:rsidR="009F566A">
        <w:rPr>
          <w:rFonts w:hint="cs"/>
          <w:rtl/>
        </w:rPr>
        <w:t>.</w:t>
      </w:r>
      <w:r w:rsidRPr="009D1ACE">
        <w:rPr>
          <w:rStyle w:val="libFootnoteBoldChar"/>
          <w:rtl/>
        </w:rPr>
        <w:t>الوافي</w:t>
      </w:r>
      <w:r w:rsidRPr="00132E65">
        <w:rPr>
          <w:rtl/>
        </w:rPr>
        <w:t xml:space="preserve"> ، ج 10 ، ص 302 ، ح 9602 ؛ </w:t>
      </w:r>
      <w:r w:rsidRPr="009F566A">
        <w:rPr>
          <w:rStyle w:val="libFootnoteBoldChar"/>
          <w:rtl/>
        </w:rPr>
        <w:t>الوسائل</w:t>
      </w:r>
      <w:r w:rsidRPr="00132E65">
        <w:rPr>
          <w:rtl/>
        </w:rPr>
        <w:t xml:space="preserve"> ، ج 9 ، ص 528 ، ذيل ح 12638.</w:t>
      </w:r>
      <w:r w:rsidR="009F566A">
        <w:rPr>
          <w:rFonts w:hint="cs"/>
          <w:rtl/>
        </w:rPr>
        <w:t xml:space="preserve">                 </w:t>
      </w:r>
      <w:r>
        <w:rPr>
          <w:rtl/>
        </w:rPr>
        <w:t>(6).</w:t>
      </w:r>
      <w:r w:rsidRPr="00132E65">
        <w:rPr>
          <w:rtl/>
        </w:rPr>
        <w:t xml:space="preserve"> احتمال سقوط : « قال سألته » غير بعيد.</w:t>
      </w:r>
    </w:p>
    <w:p w:rsidR="000C39D1" w:rsidRPr="00132E65" w:rsidRDefault="000C39D1" w:rsidP="000C39D1">
      <w:pPr>
        <w:pStyle w:val="libFootnote0"/>
        <w:rPr>
          <w:rtl/>
          <w:lang w:bidi="fa-IR"/>
        </w:rPr>
      </w:pPr>
      <w:r>
        <w:rPr>
          <w:rtl/>
        </w:rPr>
        <w:t>(7).</w:t>
      </w:r>
      <w:r w:rsidRPr="00132E65">
        <w:rPr>
          <w:rtl/>
        </w:rPr>
        <w:t xml:space="preserve"> في « ب » والفقيه : « فقال »</w:t>
      </w:r>
      <w:r>
        <w:rPr>
          <w:rtl/>
        </w:rPr>
        <w:t>.</w:t>
      </w:r>
    </w:p>
    <w:p w:rsidR="000C39D1" w:rsidRPr="00132E65" w:rsidRDefault="000C39D1" w:rsidP="000C39D1">
      <w:pPr>
        <w:pStyle w:val="libFootnote0"/>
        <w:rPr>
          <w:rtl/>
          <w:lang w:bidi="fa-IR"/>
        </w:rPr>
      </w:pPr>
      <w:r>
        <w:rPr>
          <w:rtl/>
        </w:rPr>
        <w:t>(8).</w:t>
      </w:r>
      <w:r w:rsidRPr="00132E65">
        <w:rPr>
          <w:rtl/>
        </w:rPr>
        <w:t xml:space="preserve"> </w:t>
      </w:r>
      <w:r w:rsidRPr="009F566A">
        <w:rPr>
          <w:rStyle w:val="libFootnoteBoldChar"/>
          <w:rtl/>
        </w:rPr>
        <w:t>التهذيب</w:t>
      </w:r>
      <w:r w:rsidRPr="00132E65">
        <w:rPr>
          <w:rtl/>
        </w:rPr>
        <w:t xml:space="preserve"> ، ج 4 ، ص 121 ، ح 346 ، بسنده عن ابن أبي عمير ؛ </w:t>
      </w:r>
      <w:r w:rsidRPr="009F566A">
        <w:rPr>
          <w:rStyle w:val="libFootnoteBoldChar"/>
          <w:rtl/>
        </w:rPr>
        <w:t>الفقيه</w:t>
      </w:r>
      <w:r w:rsidRPr="00132E65">
        <w:rPr>
          <w:rtl/>
        </w:rPr>
        <w:t xml:space="preserve"> ، ج 2 ، ص 40 ، ح 1645 ، بسنده عن الحلبي</w:t>
      </w:r>
      <w:r w:rsidR="009F566A">
        <w:rPr>
          <w:rFonts w:hint="cs"/>
          <w:rtl/>
        </w:rPr>
        <w:t>.</w:t>
      </w:r>
      <w:r w:rsidRPr="00132E65">
        <w:rPr>
          <w:rtl/>
        </w:rPr>
        <w:t xml:space="preserve"> </w:t>
      </w:r>
      <w:r w:rsidRPr="009D1ACE">
        <w:rPr>
          <w:rStyle w:val="libFootnoteBoldChar"/>
          <w:rtl/>
        </w:rPr>
        <w:t>الوافي</w:t>
      </w:r>
      <w:r w:rsidRPr="00132E65">
        <w:rPr>
          <w:rtl/>
        </w:rPr>
        <w:t xml:space="preserve"> ، ج 10 ، ص 310 ، ح 9615 ؛ </w:t>
      </w:r>
      <w:r w:rsidRPr="009F566A">
        <w:rPr>
          <w:rStyle w:val="libFootnoteBoldChar"/>
          <w:rtl/>
        </w:rPr>
        <w:t>الوسائل</w:t>
      </w:r>
      <w:r w:rsidRPr="00132E65">
        <w:rPr>
          <w:rtl/>
        </w:rPr>
        <w:t xml:space="preserve"> ، ج 9 ، ص 492 ، ذيل ح 12562 ؛ وص 495 ، ذيل ح 12569.</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A3767B">
        <w:rPr>
          <w:rtl/>
        </w:rPr>
        <w:t>1440</w:t>
      </w:r>
      <w:r w:rsidRPr="004325D8">
        <w:rPr>
          <w:rStyle w:val="libBold2Char"/>
          <w:rtl/>
        </w:rPr>
        <w:t xml:space="preserve"> / 20.</w:t>
      </w:r>
      <w:r w:rsidRPr="00132E65">
        <w:rPr>
          <w:rtl/>
          <w:lang w:bidi="fa-IR"/>
        </w:rPr>
        <w:t xml:space="preserve"> مُحَمَّدُ بْنُ يَحْيى ، عَنْ أَحْمَدَ بْنِ مُحَمَّدٍ ، عَنْ مُحَمَّدِ بْنِ سِنَانٍ ، عَنْ صَبَّاحٍ الْأَزْرَقِ ، عَنْ مُحَمَّدِ بْنِ مُسْلِمٍ :</w:t>
      </w:r>
    </w:p>
    <w:p w:rsidR="000C39D1" w:rsidRPr="00132E65" w:rsidRDefault="000C39D1" w:rsidP="000C39D1">
      <w:pPr>
        <w:pStyle w:val="libNormal"/>
        <w:rPr>
          <w:rtl/>
          <w:lang w:bidi="fa-IR"/>
        </w:rPr>
      </w:pPr>
      <w:r w:rsidRPr="00132E65">
        <w:rPr>
          <w:rtl/>
          <w:lang w:bidi="fa-IR"/>
        </w:rPr>
        <w:t xml:space="preserve">عَنْ أَحَدِهِمَا </w:t>
      </w:r>
      <w:r w:rsidRPr="00071CF9">
        <w:rPr>
          <w:rStyle w:val="libAlaemChar"/>
          <w:rtl/>
        </w:rPr>
        <w:t>عليهما‌السلام</w:t>
      </w:r>
      <w:r w:rsidRPr="00132E65">
        <w:rPr>
          <w:rtl/>
          <w:lang w:bidi="fa-IR"/>
        </w:rPr>
        <w:t xml:space="preserve"> ، قَالَ : « إِنَّ أَشَدَّ مَا فِيهِ النَّاسُ يَوْمَ الْقِيَامَةِ أَنْ يَقُومَ صَاحِبُ الْخُمُسِ ، فَيَقُولَ : يَا رَبِّ خُمُسِي ، و</w:t>
      </w:r>
      <w:r w:rsidR="009F566A">
        <w:rPr>
          <w:rFonts w:hint="cs"/>
          <w:rtl/>
          <w:lang w:bidi="fa-IR"/>
        </w:rPr>
        <w:t>َ</w:t>
      </w:r>
      <w:r w:rsidRPr="00132E65">
        <w:rPr>
          <w:rtl/>
          <w:lang w:bidi="fa-IR"/>
        </w:rPr>
        <w:t xml:space="preserve">قَدْ </w:t>
      </w:r>
      <w:r>
        <w:rPr>
          <w:rStyle w:val="libFootnotenumChar"/>
          <w:rtl/>
        </w:rPr>
        <w:t>(1)</w:t>
      </w:r>
      <w:r w:rsidRPr="00132E65">
        <w:rPr>
          <w:rtl/>
          <w:lang w:bidi="fa-IR"/>
        </w:rPr>
        <w:t xml:space="preserve"> طَيَّبْنَا ذلِكَ لِشِيعَتِنَا ؛ لِتَطِيبَ </w:t>
      </w:r>
      <w:r>
        <w:rPr>
          <w:rStyle w:val="libFootnotenumChar"/>
          <w:rtl/>
        </w:rPr>
        <w:t>(2)</w:t>
      </w:r>
      <w:r w:rsidRPr="00132E65">
        <w:rPr>
          <w:rtl/>
          <w:lang w:bidi="fa-IR"/>
        </w:rPr>
        <w:t xml:space="preserve"> و</w:t>
      </w:r>
      <w:r w:rsidR="009F566A">
        <w:rPr>
          <w:rFonts w:hint="cs"/>
          <w:rtl/>
          <w:lang w:bidi="fa-IR"/>
        </w:rPr>
        <w:t>ِ</w:t>
      </w:r>
      <w:r w:rsidRPr="00132E65">
        <w:rPr>
          <w:rtl/>
          <w:lang w:bidi="fa-IR"/>
        </w:rPr>
        <w:t xml:space="preserve">لَادَتُهُمْ ، وَلِتَزْكُوَ </w:t>
      </w:r>
      <w:r>
        <w:rPr>
          <w:rStyle w:val="libFootnotenumChar"/>
          <w:rtl/>
        </w:rPr>
        <w:t>(3)</w:t>
      </w:r>
      <w:r w:rsidRPr="00132E65">
        <w:rPr>
          <w:rtl/>
          <w:lang w:bidi="fa-IR"/>
        </w:rPr>
        <w:t xml:space="preserve"> و</w:t>
      </w:r>
      <w:r w:rsidR="009F566A">
        <w:rPr>
          <w:rFonts w:hint="cs"/>
          <w:rtl/>
          <w:lang w:bidi="fa-IR"/>
        </w:rPr>
        <w:t>ِ</w:t>
      </w:r>
      <w:r w:rsidRPr="00132E65">
        <w:rPr>
          <w:rtl/>
          <w:lang w:bidi="fa-IR"/>
        </w:rPr>
        <w:t xml:space="preserve">لَادَتُهُمْ </w:t>
      </w:r>
      <w:r>
        <w:rPr>
          <w:rStyle w:val="libFootnotenumChar"/>
          <w:rtl/>
        </w:rPr>
        <w:t>(4)</w:t>
      </w:r>
      <w:r w:rsidRPr="00132E65">
        <w:rPr>
          <w:rtl/>
          <w:lang w:bidi="fa-IR"/>
        </w:rPr>
        <w:t xml:space="preserve"> »</w:t>
      </w:r>
      <w:r>
        <w:rPr>
          <w:rtl/>
          <w:lang w:bidi="fa-IR"/>
        </w:rPr>
        <w:t>.</w:t>
      </w:r>
      <w:r w:rsidRPr="00132E65">
        <w:rPr>
          <w:rtl/>
          <w:lang w:bidi="fa-IR"/>
        </w:rPr>
        <w:t xml:space="preserve"> </w:t>
      </w:r>
      <w:r>
        <w:rPr>
          <w:rStyle w:val="libFootnotenumChar"/>
          <w:rtl/>
        </w:rPr>
        <w:t>(5)</w:t>
      </w:r>
      <w:r w:rsidRPr="00132E65">
        <w:rPr>
          <w:rtl/>
          <w:lang w:bidi="fa-IR"/>
        </w:rPr>
        <w:t xml:space="preserve"> ‌</w:t>
      </w:r>
    </w:p>
    <w:p w:rsidR="000C39D1" w:rsidRPr="00132E65" w:rsidRDefault="000C39D1" w:rsidP="000C39D1">
      <w:pPr>
        <w:pStyle w:val="libNormal"/>
        <w:rPr>
          <w:rtl/>
          <w:lang w:bidi="fa-IR"/>
        </w:rPr>
      </w:pPr>
      <w:r w:rsidRPr="00A3767B">
        <w:rPr>
          <w:rtl/>
        </w:rPr>
        <w:t>1441</w:t>
      </w:r>
      <w:r w:rsidRPr="004325D8">
        <w:rPr>
          <w:rStyle w:val="libBold2Char"/>
          <w:rtl/>
        </w:rPr>
        <w:t xml:space="preserve"> / 21.</w:t>
      </w:r>
      <w:r w:rsidRPr="00132E65">
        <w:rPr>
          <w:rtl/>
          <w:lang w:bidi="fa-IR"/>
        </w:rPr>
        <w:t xml:space="preserve"> مُحَمَّدُ بْنُ يَحْيى ، عَنْ مُحَمَّدِ بْنِ الْحُسَيْنِ ، عَنْ أَحْمَدَ بْنِ مُحَمَّدِ بْنِ أَبِي نَصْرٍ ، عَنْ مُحَمَّدِ بْنِ عَلِيٍّ :</w:t>
      </w:r>
    </w:p>
    <w:p w:rsidR="000C39D1" w:rsidRPr="00132E65" w:rsidRDefault="000C39D1" w:rsidP="000C39D1">
      <w:pPr>
        <w:pStyle w:val="libNormal"/>
        <w:rPr>
          <w:rtl/>
          <w:lang w:bidi="fa-IR"/>
        </w:rPr>
      </w:pPr>
      <w:r w:rsidRPr="00132E65">
        <w:rPr>
          <w:rtl/>
          <w:lang w:bidi="fa-IR"/>
        </w:rPr>
        <w:t xml:space="preserve">عَنْ أَبِي الْحَسَنِ </w:t>
      </w:r>
      <w:r w:rsidRPr="00071CF9">
        <w:rPr>
          <w:rStyle w:val="libAlaemChar"/>
          <w:rtl/>
        </w:rPr>
        <w:t>عليه‌السلام</w:t>
      </w:r>
      <w:r w:rsidRPr="00132E65">
        <w:rPr>
          <w:rtl/>
          <w:lang w:bidi="fa-IR"/>
        </w:rPr>
        <w:t xml:space="preserve"> ، قَالَ : سَأَلْتُهُ عَمَّا يُخْرَجُ مِنَ الْبَحْرِ مِنَ اللُّؤْلُؤِ و</w:t>
      </w:r>
      <w:r w:rsidR="009F566A">
        <w:rPr>
          <w:rFonts w:hint="cs"/>
          <w:rtl/>
          <w:lang w:bidi="fa-IR"/>
        </w:rPr>
        <w:t>َ</w:t>
      </w:r>
      <w:r w:rsidRPr="00132E65">
        <w:rPr>
          <w:rtl/>
          <w:lang w:bidi="fa-IR"/>
        </w:rPr>
        <w:t>الْيَاقُوتِ وَالزَّبَرْجَدِ ، و</w:t>
      </w:r>
      <w:r w:rsidR="009F566A">
        <w:rPr>
          <w:rFonts w:hint="cs"/>
          <w:rtl/>
          <w:lang w:bidi="fa-IR"/>
        </w:rPr>
        <w:t>َ</w:t>
      </w:r>
      <w:r w:rsidRPr="00132E65">
        <w:rPr>
          <w:rtl/>
          <w:lang w:bidi="fa-IR"/>
        </w:rPr>
        <w:t>عَنْ مَعَادِنِ الذَّهَبِ و</w:t>
      </w:r>
      <w:r w:rsidR="009F566A">
        <w:rPr>
          <w:rFonts w:hint="cs"/>
          <w:rtl/>
          <w:lang w:bidi="fa-IR"/>
        </w:rPr>
        <w:t>َ</w:t>
      </w:r>
      <w:r w:rsidRPr="00132E65">
        <w:rPr>
          <w:rtl/>
          <w:lang w:bidi="fa-IR"/>
        </w:rPr>
        <w:t>الْفِضَّةِ : مَا فِيهِ</w:t>
      </w:r>
      <w:r>
        <w:rPr>
          <w:rtl/>
          <w:lang w:bidi="fa-IR"/>
        </w:rPr>
        <w:t>؟</w:t>
      </w:r>
      <w:r w:rsidRPr="00132E65">
        <w:rPr>
          <w:rtl/>
          <w:lang w:bidi="fa-IR"/>
        </w:rPr>
        <w:t xml:space="preserve"> قَالَ : « إِذَا بَلَغَ ثَمَنُهُ دِينَاراً فَفِيهِ الْخُمُسُ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Normal"/>
        <w:rPr>
          <w:rtl/>
          <w:lang w:bidi="fa-IR"/>
        </w:rPr>
      </w:pPr>
      <w:r w:rsidRPr="00A3767B">
        <w:rPr>
          <w:rtl/>
        </w:rPr>
        <w:t>1442</w:t>
      </w:r>
      <w:r w:rsidRPr="004325D8">
        <w:rPr>
          <w:rStyle w:val="libBold2Char"/>
          <w:rtl/>
        </w:rPr>
        <w:t xml:space="preserve"> / 22.</w:t>
      </w:r>
      <w:r w:rsidRPr="00132E65">
        <w:rPr>
          <w:rtl/>
          <w:lang w:bidi="fa-IR"/>
        </w:rPr>
        <w:t xml:space="preserve"> مُحَمَّدُ بْنُ الْحَسَنِ </w:t>
      </w:r>
      <w:r>
        <w:rPr>
          <w:rStyle w:val="libFootnotenumChar"/>
          <w:rtl/>
        </w:rPr>
        <w:t>(7)</w:t>
      </w:r>
      <w:r w:rsidRPr="00132E65">
        <w:rPr>
          <w:rtl/>
          <w:lang w:bidi="fa-IR"/>
        </w:rPr>
        <w:t xml:space="preserve"> و</w:t>
      </w:r>
      <w:r w:rsidR="009F566A">
        <w:rPr>
          <w:rFonts w:hint="cs"/>
          <w:rtl/>
          <w:lang w:bidi="fa-IR"/>
        </w:rPr>
        <w:t>َ</w:t>
      </w:r>
      <w:r w:rsidRPr="00132E65">
        <w:rPr>
          <w:rtl/>
          <w:lang w:bidi="fa-IR"/>
        </w:rPr>
        <w:t>عَلِيُّ بْنُ مُحَمَّدٍ ، عَنْ سَهْلِ بْنِ زِيَادٍ ، عَنْ عَلِيِّ بْنِ‌</w:t>
      </w:r>
    </w:p>
    <w:p w:rsidR="000C39D1" w:rsidRPr="00132E65" w:rsidRDefault="000C39D1" w:rsidP="000C39D1">
      <w:pPr>
        <w:pStyle w:val="libLine"/>
        <w:rPr>
          <w:rtl/>
          <w:lang w:bidi="fa-IR"/>
        </w:rPr>
      </w:pPr>
      <w:r w:rsidRPr="00132E65">
        <w:rPr>
          <w:rtl/>
          <w:lang w:bidi="fa-IR"/>
        </w:rPr>
        <w:t>__________________</w:t>
      </w:r>
    </w:p>
    <w:tbl>
      <w:tblPr>
        <w:tblStyle w:val="TableGrid"/>
        <w:bidiVisual/>
        <w:tblW w:w="0" w:type="auto"/>
        <w:tblLook w:val="04A0" w:firstRow="1" w:lastRow="0" w:firstColumn="1" w:lastColumn="0" w:noHBand="0" w:noVBand="1"/>
      </w:tblPr>
      <w:tblGrid>
        <w:gridCol w:w="4261"/>
        <w:gridCol w:w="4262"/>
      </w:tblGrid>
      <w:tr w:rsidR="009F566A" w:rsidTr="009F566A">
        <w:tc>
          <w:tcPr>
            <w:tcW w:w="4261" w:type="dxa"/>
          </w:tcPr>
          <w:p w:rsidR="009F566A" w:rsidRDefault="009F566A" w:rsidP="000C39D1">
            <w:pPr>
              <w:pStyle w:val="libFootnote0"/>
              <w:rPr>
                <w:rtl/>
              </w:rPr>
            </w:pPr>
            <w:r>
              <w:rPr>
                <w:rtl/>
              </w:rPr>
              <w:t>(1).</w:t>
            </w:r>
            <w:r w:rsidRPr="00132E65">
              <w:rPr>
                <w:rtl/>
              </w:rPr>
              <w:t xml:space="preserve"> في « ب ، ج ، ض ، ف » : « فقد »</w:t>
            </w:r>
            <w:r>
              <w:rPr>
                <w:rtl/>
              </w:rPr>
              <w:t>.</w:t>
            </w:r>
          </w:p>
        </w:tc>
        <w:tc>
          <w:tcPr>
            <w:tcW w:w="4262" w:type="dxa"/>
          </w:tcPr>
          <w:p w:rsidR="009F566A" w:rsidRDefault="009F566A" w:rsidP="000C39D1">
            <w:pPr>
              <w:pStyle w:val="libFootnote0"/>
              <w:rPr>
                <w:rtl/>
              </w:rPr>
            </w:pPr>
            <w:r>
              <w:rPr>
                <w:rtl/>
              </w:rPr>
              <w:t>(2).</w:t>
            </w:r>
            <w:r w:rsidRPr="00132E65">
              <w:rPr>
                <w:rtl/>
              </w:rPr>
              <w:t xml:space="preserve"> في « ض » : « ليطيب »</w:t>
            </w:r>
            <w:r>
              <w:rPr>
                <w:rtl/>
              </w:rPr>
              <w:t>.</w:t>
            </w:r>
          </w:p>
        </w:tc>
      </w:tr>
      <w:tr w:rsidR="009F566A" w:rsidTr="009F566A">
        <w:tc>
          <w:tcPr>
            <w:tcW w:w="4261" w:type="dxa"/>
          </w:tcPr>
          <w:p w:rsidR="009F566A" w:rsidRDefault="009F566A" w:rsidP="000C39D1">
            <w:pPr>
              <w:pStyle w:val="libFootnote0"/>
              <w:rPr>
                <w:rtl/>
              </w:rPr>
            </w:pPr>
            <w:r>
              <w:rPr>
                <w:rtl/>
              </w:rPr>
              <w:t>(3).</w:t>
            </w:r>
            <w:r w:rsidRPr="00132E65">
              <w:rPr>
                <w:rtl/>
              </w:rPr>
              <w:t xml:space="preserve"> في </w:t>
            </w:r>
            <w:r w:rsidRPr="009D1ACE">
              <w:rPr>
                <w:rStyle w:val="libFootnoteBoldChar"/>
                <w:rtl/>
              </w:rPr>
              <w:t>الوافي</w:t>
            </w:r>
            <w:r w:rsidRPr="00132E65">
              <w:rPr>
                <w:rtl/>
              </w:rPr>
              <w:t xml:space="preserve"> : « وليزكوا »</w:t>
            </w:r>
            <w:r>
              <w:rPr>
                <w:rtl/>
              </w:rPr>
              <w:t>.</w:t>
            </w:r>
          </w:p>
        </w:tc>
        <w:tc>
          <w:tcPr>
            <w:tcW w:w="4262" w:type="dxa"/>
          </w:tcPr>
          <w:p w:rsidR="009F566A" w:rsidRDefault="009F566A" w:rsidP="000C39D1">
            <w:pPr>
              <w:pStyle w:val="libFootnote0"/>
              <w:rPr>
                <w:rtl/>
              </w:rPr>
            </w:pPr>
            <w:r>
              <w:rPr>
                <w:rtl/>
              </w:rPr>
              <w:t>(4).في «ب</w:t>
            </w:r>
            <w:r w:rsidRPr="00132E65">
              <w:rPr>
                <w:rtl/>
              </w:rPr>
              <w:t xml:space="preserve">» </w:t>
            </w:r>
            <w:r w:rsidRPr="009F566A">
              <w:rPr>
                <w:rtl/>
              </w:rPr>
              <w:t>والوافي</w:t>
            </w:r>
            <w:r w:rsidRPr="00132E65">
              <w:rPr>
                <w:rtl/>
              </w:rPr>
              <w:t xml:space="preserve"> والتهذيب </w:t>
            </w:r>
            <w:r w:rsidRPr="009F566A">
              <w:rPr>
                <w:rStyle w:val="libFootnoteBoldChar"/>
                <w:rtl/>
              </w:rPr>
              <w:t>و</w:t>
            </w:r>
            <w:r w:rsidRPr="007A1104">
              <w:rPr>
                <w:rStyle w:val="libFootnoteBoldChar"/>
                <w:rtl/>
              </w:rPr>
              <w:t>الاستبصار</w:t>
            </w:r>
            <w:r w:rsidRPr="00132E65">
              <w:rPr>
                <w:rtl/>
              </w:rPr>
              <w:t xml:space="preserve"> : « أولادهم »</w:t>
            </w:r>
            <w:r>
              <w:rPr>
                <w:rFonts w:hint="cs"/>
                <w:rtl/>
              </w:rPr>
              <w:t>.</w:t>
            </w:r>
          </w:p>
        </w:tc>
      </w:tr>
    </w:tbl>
    <w:p w:rsidR="000C39D1" w:rsidRPr="00132E65" w:rsidRDefault="000C39D1" w:rsidP="000C39D1">
      <w:pPr>
        <w:pStyle w:val="libFootnote0"/>
        <w:rPr>
          <w:rtl/>
          <w:lang w:bidi="fa-IR"/>
        </w:rPr>
      </w:pPr>
      <w:r>
        <w:rPr>
          <w:rtl/>
        </w:rPr>
        <w:t>(5).</w:t>
      </w:r>
      <w:r w:rsidRPr="00132E65">
        <w:rPr>
          <w:rtl/>
        </w:rPr>
        <w:t xml:space="preserve"> </w:t>
      </w:r>
      <w:r w:rsidRPr="009F566A">
        <w:rPr>
          <w:rStyle w:val="libFootnoteBoldChar"/>
          <w:rtl/>
        </w:rPr>
        <w:t>التهذيب</w:t>
      </w:r>
      <w:r w:rsidRPr="00132E65">
        <w:rPr>
          <w:rtl/>
        </w:rPr>
        <w:t xml:space="preserve"> ، ج 4 ، ص 136 ، ح 382 ؛ </w:t>
      </w:r>
      <w:r w:rsidRPr="009F566A">
        <w:rPr>
          <w:rStyle w:val="libFootnoteBoldChar"/>
          <w:rtl/>
        </w:rPr>
        <w:t>و</w:t>
      </w:r>
      <w:r w:rsidRPr="007A1104">
        <w:rPr>
          <w:rStyle w:val="libFootnoteBoldChar"/>
          <w:rtl/>
        </w:rPr>
        <w:t>الاستبصار</w:t>
      </w:r>
      <w:r w:rsidRPr="00132E65">
        <w:rPr>
          <w:rtl/>
        </w:rPr>
        <w:t xml:space="preserve"> ، ج 2 ، ص 57 ، ح 187 ، بسندهما عن محمّد بن سنان ؛ </w:t>
      </w:r>
      <w:r w:rsidRPr="009F566A">
        <w:rPr>
          <w:rStyle w:val="libFootnoteBoldChar"/>
          <w:rtl/>
        </w:rPr>
        <w:t>الفقيه</w:t>
      </w:r>
      <w:r w:rsidRPr="00132E65">
        <w:rPr>
          <w:rtl/>
        </w:rPr>
        <w:t xml:space="preserve"> ، ج 2 ، ص 43 ، ح 1654 ، بإسناده عن محمّد بن مسلم. </w:t>
      </w:r>
      <w:r w:rsidRPr="009F566A">
        <w:rPr>
          <w:rStyle w:val="libFootnoteBoldChar"/>
          <w:rtl/>
        </w:rPr>
        <w:t>المقنعة</w:t>
      </w:r>
      <w:r w:rsidRPr="00132E65">
        <w:rPr>
          <w:rtl/>
        </w:rPr>
        <w:t xml:space="preserve"> ، ص 280 ، مرسلاً عن محمّد بن مسلم. </w:t>
      </w:r>
      <w:r w:rsidRPr="009F566A">
        <w:rPr>
          <w:rStyle w:val="libFootnoteBoldChar"/>
          <w:rtl/>
        </w:rPr>
        <w:t>تفسير العيّاشي</w:t>
      </w:r>
      <w:r w:rsidRPr="00132E65">
        <w:rPr>
          <w:rtl/>
        </w:rPr>
        <w:t xml:space="preserve"> ، ج 2 ، ص 62 ، ح 59 ، عن فيض بن أبي شيبة ، عن رجل ، عن الصادق </w:t>
      </w:r>
      <w:r w:rsidRPr="00C50204">
        <w:rPr>
          <w:rStyle w:val="libFootnoteAlaemChar"/>
          <w:rtl/>
        </w:rPr>
        <w:t>عليه‌السلام</w:t>
      </w:r>
      <w:r w:rsidRPr="00132E65">
        <w:rPr>
          <w:rtl/>
        </w:rPr>
        <w:t xml:space="preserve"> مع اختلاف يسير </w:t>
      </w:r>
      <w:r w:rsidRPr="009D1ACE">
        <w:rPr>
          <w:rStyle w:val="libFootnoteBoldChar"/>
          <w:rtl/>
        </w:rPr>
        <w:t>الوافي</w:t>
      </w:r>
      <w:r w:rsidRPr="00132E65">
        <w:rPr>
          <w:rtl/>
        </w:rPr>
        <w:t xml:space="preserve"> ، ج 10 ، ص 330 ، ح 9651 ؛ </w:t>
      </w:r>
      <w:r w:rsidRPr="009F566A">
        <w:rPr>
          <w:rStyle w:val="libFootnoteBoldChar"/>
          <w:rtl/>
        </w:rPr>
        <w:t>الوسائل</w:t>
      </w:r>
      <w:r w:rsidRPr="00132E65">
        <w:rPr>
          <w:rtl/>
        </w:rPr>
        <w:t xml:space="preserve"> ، ج 9 ، ص 545 ، ذيل ح 12679.</w:t>
      </w:r>
    </w:p>
    <w:p w:rsidR="000C39D1" w:rsidRPr="00132E65" w:rsidRDefault="000C39D1" w:rsidP="000C39D1">
      <w:pPr>
        <w:pStyle w:val="libFootnote0"/>
        <w:rPr>
          <w:rtl/>
          <w:lang w:bidi="fa-IR"/>
        </w:rPr>
      </w:pPr>
      <w:r>
        <w:rPr>
          <w:rtl/>
        </w:rPr>
        <w:t>(6).</w:t>
      </w:r>
      <w:r w:rsidRPr="00132E65">
        <w:rPr>
          <w:rtl/>
        </w:rPr>
        <w:t xml:space="preserve"> </w:t>
      </w:r>
      <w:r w:rsidRPr="009F566A">
        <w:rPr>
          <w:rStyle w:val="libFootnoteBoldChar"/>
          <w:rtl/>
        </w:rPr>
        <w:t>التهذيب</w:t>
      </w:r>
      <w:r w:rsidRPr="00132E65">
        <w:rPr>
          <w:rtl/>
        </w:rPr>
        <w:t xml:space="preserve"> ، ج 4 ، ص 124 ، ح 356 ؛ وص 139 ، ح 392 ، بسندهما عن محمّد بن الحسين بن أبي الخطّاب. </w:t>
      </w:r>
      <w:r w:rsidRPr="009F566A">
        <w:rPr>
          <w:rStyle w:val="libFootnoteBoldChar"/>
          <w:rtl/>
        </w:rPr>
        <w:t>الفقيه</w:t>
      </w:r>
      <w:r w:rsidRPr="00132E65">
        <w:rPr>
          <w:rtl/>
        </w:rPr>
        <w:t xml:space="preserve"> ، ج 2 ، ص 39 ، ح 1644 ، مرسلاً عن أبي الحسن موسى </w:t>
      </w:r>
      <w:r w:rsidRPr="009F566A">
        <w:rPr>
          <w:rStyle w:val="libFootnoteAlaemChar"/>
          <w:rtl/>
        </w:rPr>
        <w:t>عليه‌السلام</w:t>
      </w:r>
      <w:r w:rsidRPr="00132E65">
        <w:rPr>
          <w:rtl/>
        </w:rPr>
        <w:t xml:space="preserve"> ؛ </w:t>
      </w:r>
      <w:r w:rsidRPr="009F566A">
        <w:rPr>
          <w:rStyle w:val="libFootnoteBoldChar"/>
          <w:rtl/>
        </w:rPr>
        <w:t>المقنعة</w:t>
      </w:r>
      <w:r w:rsidRPr="00132E65">
        <w:rPr>
          <w:rtl/>
        </w:rPr>
        <w:t xml:space="preserve"> ، ص 283 ، مرسلاً عن الصادق </w:t>
      </w:r>
      <w:r w:rsidRPr="009F566A">
        <w:rPr>
          <w:rStyle w:val="libFootnoteAlaemChar"/>
          <w:rtl/>
        </w:rPr>
        <w:t>عليه‌السلام</w:t>
      </w:r>
      <w:r w:rsidRPr="00132E65">
        <w:rPr>
          <w:rtl/>
        </w:rPr>
        <w:t xml:space="preserve"> ؛ </w:t>
      </w:r>
      <w:r w:rsidRPr="009F566A">
        <w:rPr>
          <w:rStyle w:val="libFootnoteBoldChar"/>
          <w:rtl/>
        </w:rPr>
        <w:t>المقنع</w:t>
      </w:r>
      <w:r w:rsidRPr="00132E65">
        <w:rPr>
          <w:rtl/>
        </w:rPr>
        <w:t xml:space="preserve"> ، ص 172 ، مرسلاً عن الرضا </w:t>
      </w:r>
      <w:r w:rsidRPr="009F566A">
        <w:rPr>
          <w:rStyle w:val="libFootnoteAlaemChar"/>
          <w:rtl/>
        </w:rPr>
        <w:t>عليه‌السلام</w:t>
      </w:r>
      <w:r w:rsidRPr="00132E65">
        <w:rPr>
          <w:rtl/>
        </w:rPr>
        <w:t xml:space="preserve"> ، وفي الثلاثة الأخيرة مع اختلاف يسير</w:t>
      </w:r>
      <w:r w:rsidR="009F566A">
        <w:rPr>
          <w:rFonts w:hint="cs"/>
          <w:rtl/>
        </w:rPr>
        <w:t>.</w:t>
      </w:r>
      <w:r w:rsidRPr="00132E65">
        <w:rPr>
          <w:rtl/>
        </w:rPr>
        <w:t xml:space="preserve"> </w:t>
      </w:r>
      <w:r w:rsidRPr="009D1ACE">
        <w:rPr>
          <w:rStyle w:val="libFootnoteBoldChar"/>
          <w:rtl/>
        </w:rPr>
        <w:t>الوافي</w:t>
      </w:r>
      <w:r w:rsidRPr="00132E65">
        <w:rPr>
          <w:rtl/>
        </w:rPr>
        <w:t xml:space="preserve"> ، ج 10 ، ص 319 ، ح 9632 ؛ </w:t>
      </w:r>
      <w:r w:rsidRPr="009F566A">
        <w:rPr>
          <w:rStyle w:val="libFootnoteBoldChar"/>
          <w:rtl/>
        </w:rPr>
        <w:t>الوسائل</w:t>
      </w:r>
      <w:r w:rsidRPr="00132E65">
        <w:rPr>
          <w:rtl/>
        </w:rPr>
        <w:t xml:space="preserve"> ، ج 9 ، ص 493 ، ذيل ح 12565 ؛ وص 499 ، ذيل ح 12577.</w:t>
      </w:r>
    </w:p>
    <w:p w:rsidR="000C39D1" w:rsidRPr="005E0B03" w:rsidRDefault="000C39D1" w:rsidP="00E55206">
      <w:pPr>
        <w:pStyle w:val="libFootnote0"/>
        <w:rPr>
          <w:rtl/>
        </w:rPr>
      </w:pPr>
      <w:r>
        <w:rPr>
          <w:rtl/>
        </w:rPr>
        <w:t>(7).</w:t>
      </w:r>
      <w:r w:rsidRPr="00132E65">
        <w:rPr>
          <w:rtl/>
        </w:rPr>
        <w:t xml:space="preserve"> هكذا في « ف ، بر ، بف » وحاشية « بح »</w:t>
      </w:r>
      <w:r>
        <w:rPr>
          <w:rtl/>
        </w:rPr>
        <w:t>.</w:t>
      </w:r>
      <w:r w:rsidRPr="00132E65">
        <w:rPr>
          <w:rtl/>
        </w:rPr>
        <w:t xml:space="preserve"> وفي « ب ، ج ، ض ، بح ، بس ، جر » والمطبوع : « محمّد بن الحسين »</w:t>
      </w:r>
      <w:r>
        <w:rPr>
          <w:rtl/>
        </w:rPr>
        <w:t>.</w:t>
      </w:r>
      <w:r>
        <w:rPr>
          <w:rFonts w:hint="cs"/>
          <w:rtl/>
          <w:lang w:bidi="fa-IR"/>
        </w:rPr>
        <w:t xml:space="preserve"> </w:t>
      </w:r>
      <w:r w:rsidRPr="00F543F1">
        <w:rPr>
          <w:rtl/>
        </w:rPr>
        <w:t>والصواب ما أثبتناه ، ا</w:t>
      </w:r>
      <w:r w:rsidR="009F566A">
        <w:rPr>
          <w:rFonts w:hint="cs"/>
          <w:rtl/>
        </w:rPr>
        <w:t>ُ</w:t>
      </w:r>
      <w:r w:rsidRPr="00F543F1">
        <w:rPr>
          <w:rtl/>
        </w:rPr>
        <w:t xml:space="preserve">نظر ما قدّمناه في </w:t>
      </w:r>
      <w:r w:rsidRPr="009F566A">
        <w:rPr>
          <w:rStyle w:val="libFootnoteBoldChar"/>
          <w:rtl/>
        </w:rPr>
        <w:t>الكافي</w:t>
      </w:r>
      <w:r w:rsidRPr="005E0B03">
        <w:rPr>
          <w:rtl/>
        </w:rPr>
        <w:t xml:space="preserve"> ، ذيل ح 250 </w:t>
      </w:r>
      <w:r>
        <w:rPr>
          <w:rtl/>
        </w:rPr>
        <w:t>و 5</w:t>
      </w:r>
      <w:r w:rsidRPr="005E0B03">
        <w:rPr>
          <w:rtl/>
        </w:rPr>
        <w:t>25.</w:t>
      </w:r>
    </w:p>
    <w:p w:rsidR="000C39D1" w:rsidRPr="00E55206" w:rsidRDefault="000C39D1" w:rsidP="00E55206">
      <w:pPr>
        <w:pStyle w:val="libFootnote0"/>
        <w:rPr>
          <w:rtl/>
        </w:rPr>
      </w:pPr>
      <w:r w:rsidRPr="001F7465">
        <w:rPr>
          <w:rtl/>
        </w:rPr>
        <w:t xml:space="preserve">هذا ، وقد أورد الشيخ الحرّ الخبر في </w:t>
      </w:r>
      <w:r w:rsidRPr="009F566A">
        <w:rPr>
          <w:rStyle w:val="libFootnoteBoldChar"/>
          <w:rtl/>
        </w:rPr>
        <w:t>الوسائل</w:t>
      </w:r>
      <w:r w:rsidRPr="00E55206">
        <w:rPr>
          <w:rtl/>
        </w:rPr>
        <w:t xml:space="preserve"> ، ج 9 ، ص 507 ، ح 12595 هكذا : « محمّد بن يعقوب ، عن </w:t>
      </w:r>
      <w:r w:rsidR="009F566A">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مَهْزِيَارَ ، قَالَ :</w:t>
      </w:r>
    </w:p>
    <w:p w:rsidR="000C39D1" w:rsidRPr="00132E65" w:rsidRDefault="000C39D1" w:rsidP="000C39D1">
      <w:pPr>
        <w:pStyle w:val="libNormal"/>
        <w:rPr>
          <w:rtl/>
          <w:lang w:bidi="fa-IR"/>
        </w:rPr>
      </w:pPr>
      <w:r w:rsidRPr="00132E65">
        <w:rPr>
          <w:rtl/>
          <w:lang w:bidi="fa-IR"/>
        </w:rPr>
        <w:t xml:space="preserve">كَتَبْتُ إِلَيْهِ </w:t>
      </w:r>
      <w:r w:rsidRPr="00071CF9">
        <w:rPr>
          <w:rStyle w:val="libAlaemChar"/>
          <w:rtl/>
        </w:rPr>
        <w:t>عليه‌السلام</w:t>
      </w:r>
      <w:r w:rsidRPr="00132E65">
        <w:rPr>
          <w:rtl/>
          <w:lang w:bidi="fa-IR"/>
        </w:rPr>
        <w:t xml:space="preserve"> </w:t>
      </w:r>
      <w:r>
        <w:rPr>
          <w:rStyle w:val="libFootnotenumChar"/>
          <w:rtl/>
        </w:rPr>
        <w:t>(1)</w:t>
      </w:r>
      <w:r w:rsidRPr="00132E65">
        <w:rPr>
          <w:rtl/>
          <w:lang w:bidi="fa-IR"/>
        </w:rPr>
        <w:t xml:space="preserve"> : يَا سَيِّدِي ، رَجُلٌ دُفِعَ إِلَيْهِ مَالٌ يَحُجُّ بِهِ ، هَلْ عَلَيْهِ فِي ذلِكَ الْمَالِ حِينَ يَصِيرُ إِلَيْهِ الْخُمُسُ ، أَوْ عَلى مَا فَضَلَ فِي يَدِهِ بَعْدَ الْحَجِّ</w:t>
      </w:r>
      <w:r>
        <w:rPr>
          <w:rtl/>
          <w:lang w:bidi="fa-IR"/>
        </w:rPr>
        <w:t>؟</w:t>
      </w:r>
      <w:r w:rsidRPr="00132E65">
        <w:rPr>
          <w:rtl/>
          <w:lang w:bidi="fa-IR"/>
        </w:rPr>
        <w:t xml:space="preserve"> فَكَتَبَ </w:t>
      </w:r>
      <w:r w:rsidRPr="00071CF9">
        <w:rPr>
          <w:rStyle w:val="libAlaemChar"/>
          <w:rtl/>
        </w:rPr>
        <w:t>عليه‌السلام</w:t>
      </w:r>
      <w:r w:rsidRPr="00132E65">
        <w:rPr>
          <w:rtl/>
          <w:lang w:bidi="fa-IR"/>
        </w:rPr>
        <w:t xml:space="preserve"> : « لَيْسَ عَلَيْهِ الْخُمُسُ »</w:t>
      </w:r>
      <w:r>
        <w:rPr>
          <w:rtl/>
          <w:lang w:bidi="fa-IR"/>
        </w:rPr>
        <w:t>.</w:t>
      </w:r>
      <w:r w:rsidRPr="00132E65">
        <w:rPr>
          <w:rtl/>
          <w:lang w:bidi="fa-IR"/>
        </w:rPr>
        <w:t xml:space="preserve"> </w:t>
      </w:r>
      <w:r>
        <w:rPr>
          <w:rStyle w:val="libFootnotenumChar"/>
          <w:rtl/>
        </w:rPr>
        <w:t>(2)</w:t>
      </w:r>
      <w:r w:rsidRPr="00132E65">
        <w:rPr>
          <w:rtl/>
          <w:lang w:bidi="fa-IR"/>
        </w:rPr>
        <w:t xml:space="preserve"> ‌</w:t>
      </w:r>
    </w:p>
    <w:p w:rsidR="000C39D1" w:rsidRPr="00132E65" w:rsidRDefault="000C39D1" w:rsidP="000C39D1">
      <w:pPr>
        <w:pStyle w:val="libNormal"/>
        <w:rPr>
          <w:rtl/>
          <w:lang w:bidi="fa-IR"/>
        </w:rPr>
      </w:pPr>
      <w:r w:rsidRPr="00A3767B">
        <w:rPr>
          <w:rtl/>
        </w:rPr>
        <w:t>1443</w:t>
      </w:r>
      <w:r w:rsidRPr="004325D8">
        <w:rPr>
          <w:rStyle w:val="libBold2Char"/>
          <w:rtl/>
        </w:rPr>
        <w:t xml:space="preserve"> / 23.</w:t>
      </w:r>
      <w:r w:rsidRPr="00132E65">
        <w:rPr>
          <w:rtl/>
          <w:lang w:bidi="fa-IR"/>
        </w:rPr>
        <w:t xml:space="preserve"> سَهْلُ بْنُ زِيَادٍ </w:t>
      </w:r>
      <w:r>
        <w:rPr>
          <w:rStyle w:val="libFootnotenumChar"/>
          <w:rtl/>
        </w:rPr>
        <w:t>(3)</w:t>
      </w:r>
      <w:r w:rsidRPr="00132E65">
        <w:rPr>
          <w:rtl/>
          <w:lang w:bidi="fa-IR"/>
        </w:rPr>
        <w:t xml:space="preserve"> ، عَنْ مُحَمَّدِ بْنِ عِيسى ، عَنْ عَلِيِّ بْنِ الْحُسَيْنِ بْنِ عَبْدِ رَبِّهِ ، قَالَ :</w:t>
      </w:r>
    </w:p>
    <w:p w:rsidR="000C39D1" w:rsidRPr="00132E65" w:rsidRDefault="000C39D1" w:rsidP="000C39D1">
      <w:pPr>
        <w:pStyle w:val="libNormal"/>
        <w:rPr>
          <w:rtl/>
          <w:lang w:bidi="fa-IR"/>
        </w:rPr>
      </w:pPr>
      <w:r w:rsidRPr="00132E65">
        <w:rPr>
          <w:rtl/>
          <w:lang w:bidi="fa-IR"/>
        </w:rPr>
        <w:t xml:space="preserve">سَرَّحَ </w:t>
      </w:r>
      <w:r>
        <w:rPr>
          <w:rStyle w:val="libFootnotenumChar"/>
          <w:rtl/>
        </w:rPr>
        <w:t>(4)</w:t>
      </w:r>
      <w:r w:rsidRPr="00132E65">
        <w:rPr>
          <w:rtl/>
          <w:lang w:bidi="fa-IR"/>
        </w:rPr>
        <w:t xml:space="preserve"> الرِّضَا </w:t>
      </w:r>
      <w:r w:rsidRPr="00071CF9">
        <w:rPr>
          <w:rStyle w:val="libAlaemChar"/>
          <w:rtl/>
        </w:rPr>
        <w:t>عليه‌السلام</w:t>
      </w:r>
      <w:r w:rsidRPr="00132E65">
        <w:rPr>
          <w:rtl/>
          <w:lang w:bidi="fa-IR"/>
        </w:rPr>
        <w:t xml:space="preserve"> بِصِلَةٍ إِلى أَبِي ، فَكَتَبَ </w:t>
      </w:r>
      <w:r>
        <w:rPr>
          <w:rStyle w:val="libFootnotenumChar"/>
          <w:rtl/>
        </w:rPr>
        <w:t>(5)</w:t>
      </w:r>
      <w:r w:rsidRPr="00132E65">
        <w:rPr>
          <w:rtl/>
          <w:lang w:bidi="fa-IR"/>
        </w:rPr>
        <w:t xml:space="preserve"> إِلَيْهِ أَبِي : هَلْ عَلَيَّ فِيمَا سَرَّحْتَ إِلَيَّ خُمُسٌ</w:t>
      </w:r>
      <w:r>
        <w:rPr>
          <w:rtl/>
          <w:lang w:bidi="fa-IR"/>
        </w:rPr>
        <w:t>؟</w:t>
      </w:r>
      <w:r w:rsidRPr="00132E65">
        <w:rPr>
          <w:rtl/>
          <w:lang w:bidi="fa-IR"/>
        </w:rPr>
        <w:t xml:space="preserve"> فَكَتَبَ إِلَيْهِ : « لَا خُمُسَ عَلَيْكَ </w:t>
      </w:r>
      <w:r>
        <w:rPr>
          <w:rStyle w:val="libFootnotenumChar"/>
          <w:rtl/>
        </w:rPr>
        <w:t>(6)</w:t>
      </w:r>
      <w:r w:rsidRPr="00132E65">
        <w:rPr>
          <w:rtl/>
          <w:lang w:bidi="fa-IR"/>
        </w:rPr>
        <w:t xml:space="preserve"> فِيمَا سَرَّحَ بِهِ صَاحِبُ الْخُمُسِ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A3767B">
        <w:rPr>
          <w:rtl/>
        </w:rPr>
        <w:t>1444</w:t>
      </w:r>
      <w:r w:rsidRPr="004325D8">
        <w:rPr>
          <w:rStyle w:val="libBold2Char"/>
          <w:rtl/>
        </w:rPr>
        <w:t xml:space="preserve"> / 24.</w:t>
      </w:r>
      <w:r w:rsidRPr="00132E65">
        <w:rPr>
          <w:rtl/>
          <w:lang w:bidi="fa-IR"/>
        </w:rPr>
        <w:t xml:space="preserve"> سَهْلٌ </w:t>
      </w:r>
      <w:r>
        <w:rPr>
          <w:rStyle w:val="libFootnotenumChar"/>
          <w:rtl/>
        </w:rPr>
        <w:t>(8)</w:t>
      </w:r>
      <w:r w:rsidRPr="00132E65">
        <w:rPr>
          <w:rtl/>
          <w:lang w:bidi="fa-IR"/>
        </w:rPr>
        <w:t xml:space="preserve"> ، عَنْ إِبْرَاهِيمَ بْنِ مُحَمَّدٍ الْهَمَذَانِيِّ </w:t>
      </w:r>
      <w:r>
        <w:rPr>
          <w:rStyle w:val="libFootnotenumChar"/>
          <w:rtl/>
        </w:rPr>
        <w:t>(9)</w:t>
      </w:r>
      <w:r w:rsidRPr="00132E65">
        <w:rPr>
          <w:rtl/>
          <w:lang w:bidi="fa-IR"/>
        </w:rPr>
        <w:t xml:space="preserve"> ، قَالَ :</w:t>
      </w:r>
    </w:p>
    <w:p w:rsidR="000C39D1" w:rsidRPr="00132E65" w:rsidRDefault="000C39D1" w:rsidP="000C39D1">
      <w:pPr>
        <w:pStyle w:val="libLine"/>
        <w:rPr>
          <w:rtl/>
          <w:lang w:bidi="fa-IR"/>
        </w:rPr>
      </w:pPr>
      <w:r w:rsidRPr="00132E65">
        <w:rPr>
          <w:rtl/>
          <w:lang w:bidi="fa-IR"/>
        </w:rPr>
        <w:t>__________________</w:t>
      </w:r>
    </w:p>
    <w:p w:rsidR="000C39D1" w:rsidRPr="005E0B03" w:rsidRDefault="008A122A" w:rsidP="00E55206">
      <w:pPr>
        <w:pStyle w:val="libFootnote0"/>
        <w:rPr>
          <w:rtl/>
        </w:rPr>
      </w:pPr>
      <w:r>
        <w:rPr>
          <w:rFonts w:hint="cs"/>
          <w:rtl/>
        </w:rPr>
        <w:t>=</w:t>
      </w:r>
      <w:r w:rsidR="000C39D1" w:rsidRPr="005E0B03">
        <w:rPr>
          <w:rtl/>
        </w:rPr>
        <w:t>محمّد بن يحيى ، عن محمّد بن الحسين ؛ وعن عليّ بن محمّد بن عبد الله ، عن سهل بن زياد جميعاً عن عليّ بن مهزيار ».</w:t>
      </w:r>
    </w:p>
    <w:p w:rsidR="000C39D1" w:rsidRPr="00E55206" w:rsidRDefault="000C39D1" w:rsidP="00E55206">
      <w:pPr>
        <w:pStyle w:val="libFootnote0"/>
        <w:rPr>
          <w:rtl/>
        </w:rPr>
      </w:pPr>
      <w:r w:rsidRPr="001F7465">
        <w:rPr>
          <w:rtl/>
        </w:rPr>
        <w:t>والتأمّل في سند الوسائل</w:t>
      </w:r>
      <w:r w:rsidRPr="00E55206">
        <w:rPr>
          <w:rtl/>
        </w:rPr>
        <w:t xml:space="preserve"> يقضي بأنّ الشيخ الحرّ أخذ الخبر من نسخة مصحّفة ، ففهم السند معلّقاً على سابقه - لِتقدّم رواية محمّد بن يحيى عن محمّد بن الحسين في السند السابق في المصدر - ، فأضاف محمّد بن يحيى إلى صدر السند ، ثمّ أضاف لفظة « جميعاً » بعد سهل بن زياد بتخيّل وقوع التحويل في السند ، وأنّ الراوي عن عليّ بن مهزيار اثنان ، وهما محمّد بن الحسين وسهل بن زياد. فتأمّل.</w:t>
      </w:r>
    </w:p>
    <w:p w:rsidR="000C39D1" w:rsidRPr="00132E65" w:rsidRDefault="000C39D1" w:rsidP="000C39D1">
      <w:pPr>
        <w:pStyle w:val="libFootnote0"/>
        <w:rPr>
          <w:rtl/>
          <w:lang w:bidi="fa-IR"/>
        </w:rPr>
      </w:pPr>
      <w:r>
        <w:rPr>
          <w:rtl/>
        </w:rPr>
        <w:t>(1).</w:t>
      </w:r>
      <w:r w:rsidRPr="00132E65">
        <w:rPr>
          <w:rtl/>
        </w:rPr>
        <w:t xml:space="preserve"> وفي </w:t>
      </w:r>
      <w:r w:rsidRPr="009D1ACE">
        <w:rPr>
          <w:rStyle w:val="libFootnoteBoldChar"/>
          <w:rtl/>
        </w:rPr>
        <w:t>مرآة العقول</w:t>
      </w:r>
      <w:r w:rsidRPr="00132E65">
        <w:rPr>
          <w:rtl/>
        </w:rPr>
        <w:t xml:space="preserve"> : « والمسؤول عنه يحتمل الرضا والجواد والهادي </w:t>
      </w:r>
      <w:r w:rsidRPr="008A122A">
        <w:rPr>
          <w:rStyle w:val="libFootnoteAlaemChar"/>
          <w:rtl/>
        </w:rPr>
        <w:t>عليهم‌السلام</w:t>
      </w:r>
      <w:r w:rsidRPr="00132E65">
        <w:rPr>
          <w:rtl/>
        </w:rPr>
        <w:t xml:space="preserve"> »</w:t>
      </w:r>
      <w:r>
        <w:rPr>
          <w:rtl/>
        </w:rPr>
        <w:t>.</w:t>
      </w:r>
    </w:p>
    <w:p w:rsidR="000C39D1" w:rsidRPr="00132E65" w:rsidRDefault="000C39D1" w:rsidP="000C39D1">
      <w:pPr>
        <w:pStyle w:val="libFootnote0"/>
        <w:rPr>
          <w:rtl/>
          <w:lang w:bidi="fa-IR"/>
        </w:rPr>
      </w:pPr>
      <w:r>
        <w:rPr>
          <w:rtl/>
        </w:rPr>
        <w:t>(2).</w:t>
      </w:r>
      <w:r w:rsidRPr="00132E65">
        <w:rPr>
          <w:rtl/>
        </w:rPr>
        <w:t xml:space="preserve"> </w:t>
      </w:r>
      <w:r w:rsidRPr="009D1ACE">
        <w:rPr>
          <w:rStyle w:val="libFootnoteBoldChar"/>
          <w:rtl/>
        </w:rPr>
        <w:t>الوافي</w:t>
      </w:r>
      <w:r w:rsidRPr="00132E65">
        <w:rPr>
          <w:rtl/>
        </w:rPr>
        <w:t xml:space="preserve"> ، ج 10 ، ص 317 ، ح 9631 ؛ </w:t>
      </w:r>
      <w:r w:rsidRPr="008A122A">
        <w:rPr>
          <w:rStyle w:val="libFootnoteBoldChar"/>
          <w:rtl/>
        </w:rPr>
        <w:t>الوسائل</w:t>
      </w:r>
      <w:r w:rsidRPr="00132E65">
        <w:rPr>
          <w:rtl/>
        </w:rPr>
        <w:t xml:space="preserve"> ، ج 9 ، ص 507 ، ح 12595.</w:t>
      </w:r>
    </w:p>
    <w:p w:rsidR="000C39D1" w:rsidRPr="00132E65" w:rsidRDefault="000C39D1" w:rsidP="000C39D1">
      <w:pPr>
        <w:pStyle w:val="libFootnote0"/>
        <w:rPr>
          <w:rtl/>
          <w:lang w:bidi="fa-IR"/>
        </w:rPr>
      </w:pPr>
      <w:r>
        <w:rPr>
          <w:rtl/>
        </w:rPr>
        <w:t>(3).</w:t>
      </w:r>
      <w:r w:rsidRPr="00132E65">
        <w:rPr>
          <w:rtl/>
        </w:rPr>
        <w:t xml:space="preserve"> السند معلّق على سابقه. ويروي عن سهل بن زياد : محمّد بن الحسن وعليّ بن محمّد.</w:t>
      </w:r>
    </w:p>
    <w:p w:rsidR="000C39D1" w:rsidRPr="00132E65" w:rsidRDefault="000C39D1" w:rsidP="008A122A">
      <w:pPr>
        <w:pStyle w:val="libFootnote0"/>
        <w:rPr>
          <w:rtl/>
          <w:lang w:bidi="fa-IR"/>
        </w:rPr>
      </w:pPr>
      <w:r>
        <w:rPr>
          <w:rtl/>
        </w:rPr>
        <w:t>(4).</w:t>
      </w:r>
      <w:r w:rsidRPr="00132E65">
        <w:rPr>
          <w:rtl/>
        </w:rPr>
        <w:t xml:space="preserve"> يجوز فيه وفيما يأتي التخفيف والتشديد. وسرّحت فلاناً إلى موضع كذا ، أي أرسلته. </w:t>
      </w:r>
      <w:r w:rsidRPr="008A122A">
        <w:rPr>
          <w:rStyle w:val="libFootnoteBoldChar"/>
          <w:rtl/>
        </w:rPr>
        <w:t>الصحاح</w:t>
      </w:r>
      <w:r w:rsidRPr="00132E65">
        <w:rPr>
          <w:rtl/>
        </w:rPr>
        <w:t xml:space="preserve"> ، ج 1 ، ص 374 ( سرح )</w:t>
      </w:r>
      <w:r>
        <w:rPr>
          <w:rtl/>
        </w:rPr>
        <w:t>.</w:t>
      </w:r>
      <w:r w:rsidR="008A122A">
        <w:rPr>
          <w:rFonts w:hint="cs"/>
          <w:rtl/>
        </w:rPr>
        <w:t xml:space="preserve">                                                       </w:t>
      </w:r>
      <w:r>
        <w:rPr>
          <w:rtl/>
        </w:rPr>
        <w:t>(5).</w:t>
      </w:r>
      <w:r w:rsidRPr="00132E65">
        <w:rPr>
          <w:rtl/>
        </w:rPr>
        <w:t xml:space="preserve"> في « بف » </w:t>
      </w:r>
      <w:r w:rsidRPr="008A122A">
        <w:rPr>
          <w:rtl/>
        </w:rPr>
        <w:t>والوافي</w:t>
      </w:r>
      <w:r w:rsidRPr="00132E65">
        <w:rPr>
          <w:rtl/>
        </w:rPr>
        <w:t xml:space="preserve"> : « وكتب »</w:t>
      </w:r>
      <w:r>
        <w:rPr>
          <w:rtl/>
        </w:rPr>
        <w:t>.</w:t>
      </w:r>
    </w:p>
    <w:p w:rsidR="000C39D1" w:rsidRPr="00132E65" w:rsidRDefault="000C39D1" w:rsidP="000C39D1">
      <w:pPr>
        <w:pStyle w:val="libFootnote0"/>
        <w:rPr>
          <w:rtl/>
          <w:lang w:bidi="fa-IR"/>
        </w:rPr>
      </w:pPr>
      <w:r>
        <w:rPr>
          <w:rtl/>
        </w:rPr>
        <w:t>(6).</w:t>
      </w:r>
      <w:r w:rsidRPr="00132E65">
        <w:rPr>
          <w:rtl/>
        </w:rPr>
        <w:t xml:space="preserve"> في </w:t>
      </w:r>
      <w:r w:rsidRPr="008A122A">
        <w:rPr>
          <w:rtl/>
        </w:rPr>
        <w:t>الوافي</w:t>
      </w:r>
      <w:r w:rsidRPr="00132E65">
        <w:rPr>
          <w:rtl/>
        </w:rPr>
        <w:t xml:space="preserve"> </w:t>
      </w:r>
      <w:r>
        <w:rPr>
          <w:rtl/>
        </w:rPr>
        <w:t xml:space="preserve">: - </w:t>
      </w:r>
      <w:r w:rsidRPr="00132E65">
        <w:rPr>
          <w:rtl/>
        </w:rPr>
        <w:t>« عليك »</w:t>
      </w:r>
      <w:r>
        <w:rPr>
          <w:rtl/>
        </w:rPr>
        <w:t>.</w:t>
      </w:r>
    </w:p>
    <w:p w:rsidR="000C39D1" w:rsidRPr="00132E65" w:rsidRDefault="000C39D1" w:rsidP="000C39D1">
      <w:pPr>
        <w:pStyle w:val="libFootnote0"/>
        <w:rPr>
          <w:rtl/>
          <w:lang w:bidi="fa-IR"/>
        </w:rPr>
      </w:pPr>
      <w:r>
        <w:rPr>
          <w:rtl/>
        </w:rPr>
        <w:t>(7).</w:t>
      </w:r>
      <w:r w:rsidRPr="00132E65">
        <w:rPr>
          <w:rtl/>
        </w:rPr>
        <w:t xml:space="preserve"> </w:t>
      </w:r>
      <w:r w:rsidRPr="009D1ACE">
        <w:rPr>
          <w:rStyle w:val="libFootnoteBoldChar"/>
          <w:rtl/>
        </w:rPr>
        <w:t>الوافي</w:t>
      </w:r>
      <w:r w:rsidRPr="00132E65">
        <w:rPr>
          <w:rtl/>
        </w:rPr>
        <w:t xml:space="preserve"> ، ج 10 ، ص 317 ، ح 9630 ؛ </w:t>
      </w:r>
      <w:r w:rsidRPr="008A122A">
        <w:rPr>
          <w:rStyle w:val="libFootnoteBoldChar"/>
          <w:rtl/>
        </w:rPr>
        <w:t>الوسائل</w:t>
      </w:r>
      <w:r w:rsidRPr="00132E65">
        <w:rPr>
          <w:rtl/>
        </w:rPr>
        <w:t xml:space="preserve"> ، ج 9 ، ص 508 ، ح 12596.</w:t>
      </w:r>
    </w:p>
    <w:p w:rsidR="000C39D1" w:rsidRPr="00132E65" w:rsidRDefault="000C39D1" w:rsidP="000C39D1">
      <w:pPr>
        <w:pStyle w:val="libFootnote0"/>
        <w:rPr>
          <w:rtl/>
          <w:lang w:bidi="fa-IR"/>
        </w:rPr>
      </w:pPr>
      <w:r>
        <w:rPr>
          <w:rtl/>
        </w:rPr>
        <w:t>(8).</w:t>
      </w:r>
      <w:r w:rsidRPr="00132E65">
        <w:rPr>
          <w:rtl/>
        </w:rPr>
        <w:t xml:space="preserve"> في « ض » :</w:t>
      </w:r>
      <w:r>
        <w:rPr>
          <w:rtl/>
        </w:rPr>
        <w:t xml:space="preserve"> + </w:t>
      </w:r>
      <w:r w:rsidRPr="00132E65">
        <w:rPr>
          <w:rtl/>
        </w:rPr>
        <w:t>« بن زياد »</w:t>
      </w:r>
      <w:r>
        <w:rPr>
          <w:rtl/>
        </w:rPr>
        <w:t>.</w:t>
      </w:r>
      <w:r w:rsidRPr="00132E65">
        <w:rPr>
          <w:rtl/>
        </w:rPr>
        <w:t xml:space="preserve"> هذا ، ووقوع التعليق في السند واضح.</w:t>
      </w:r>
    </w:p>
    <w:p w:rsidR="000C39D1" w:rsidRPr="00132E65" w:rsidRDefault="000C39D1" w:rsidP="000C39D1">
      <w:pPr>
        <w:pStyle w:val="libFootnote0"/>
        <w:rPr>
          <w:rtl/>
          <w:lang w:bidi="fa-IR"/>
        </w:rPr>
      </w:pPr>
      <w:r>
        <w:rPr>
          <w:rtl/>
        </w:rPr>
        <w:t>(9).</w:t>
      </w:r>
      <w:r w:rsidRPr="00132E65">
        <w:rPr>
          <w:rtl/>
        </w:rPr>
        <w:t xml:space="preserve"> هكذا في « بس »</w:t>
      </w:r>
      <w:r>
        <w:rPr>
          <w:rtl/>
        </w:rPr>
        <w:t>.</w:t>
      </w:r>
      <w:r w:rsidRPr="00132E65">
        <w:rPr>
          <w:rtl/>
        </w:rPr>
        <w:t xml:space="preserve"> وفي « ب ، ج ، ض ، ف ، بح ، بر ، بف ، جر » والمطبوع : « الهمداني »</w:t>
      </w:r>
      <w:r>
        <w:rPr>
          <w:rtl/>
        </w:rPr>
        <w:t>.</w:t>
      </w:r>
      <w:r w:rsidRPr="00132E65">
        <w:rPr>
          <w:rtl/>
        </w:rPr>
        <w:t xml:space="preserve"> وإبراهيم هذا ، هو إبراهيم بن محمّد الهَمَذاني الوكيل بناحية هَمَذان هو وجمع من أولاده. راجع : </w:t>
      </w:r>
      <w:r w:rsidRPr="008A122A">
        <w:rPr>
          <w:rStyle w:val="libFootnoteBoldChar"/>
          <w:rtl/>
        </w:rPr>
        <w:t>رجال النجاشي</w:t>
      </w:r>
      <w:r w:rsidRPr="00132E65">
        <w:rPr>
          <w:rtl/>
        </w:rPr>
        <w:t xml:space="preserve"> ، ص 344 ، الرقم 928.</w:t>
      </w:r>
    </w:p>
    <w:p w:rsidR="000C39D1" w:rsidRDefault="000C39D1" w:rsidP="000C39D1">
      <w:pPr>
        <w:pStyle w:val="libNormal"/>
        <w:rPr>
          <w:rtl/>
          <w:lang w:bidi="fa-IR"/>
        </w:rPr>
      </w:pPr>
      <w:r>
        <w:rPr>
          <w:rtl/>
          <w:lang w:bidi="fa-IR"/>
        </w:rPr>
        <w:br w:type="page"/>
      </w:r>
    </w:p>
    <w:p w:rsidR="000C39D1" w:rsidRPr="00132E65" w:rsidRDefault="000C39D1" w:rsidP="000C39D1">
      <w:pPr>
        <w:pStyle w:val="libNormal"/>
        <w:rPr>
          <w:rtl/>
          <w:lang w:bidi="fa-IR"/>
        </w:rPr>
      </w:pPr>
      <w:r w:rsidRPr="00132E65">
        <w:rPr>
          <w:rtl/>
          <w:lang w:bidi="fa-IR"/>
        </w:rPr>
        <w:t xml:space="preserve">كَتَبْتُ إِلى أَبِي الْحَسَنِ </w:t>
      </w:r>
      <w:r w:rsidRPr="00071CF9">
        <w:rPr>
          <w:rStyle w:val="libAlaemChar"/>
          <w:rtl/>
        </w:rPr>
        <w:t>عليه‌السلام</w:t>
      </w:r>
      <w:r w:rsidRPr="00132E65">
        <w:rPr>
          <w:rtl/>
          <w:lang w:bidi="fa-IR"/>
        </w:rPr>
        <w:t xml:space="preserve"> : أَقْرَأَنِي عَلِيُّ بْنُ مَهْزِيَارَ كِتَابَ أَبِيكَ </w:t>
      </w:r>
      <w:r w:rsidRPr="00071CF9">
        <w:rPr>
          <w:rStyle w:val="libAlaemChar"/>
          <w:rtl/>
        </w:rPr>
        <w:t>عليه‌السلام</w:t>
      </w:r>
      <w:r w:rsidRPr="00132E65">
        <w:rPr>
          <w:rtl/>
          <w:lang w:bidi="fa-IR"/>
        </w:rPr>
        <w:t xml:space="preserve"> فِيمَا أَوْجَبَهُ عَلى أَصْحَابِ الضِّيَاعِ </w:t>
      </w:r>
      <w:r>
        <w:rPr>
          <w:rStyle w:val="libFootnotenumChar"/>
          <w:rtl/>
        </w:rPr>
        <w:t>(1)</w:t>
      </w:r>
      <w:r w:rsidRPr="00132E65">
        <w:rPr>
          <w:rtl/>
          <w:lang w:bidi="fa-IR"/>
        </w:rPr>
        <w:t xml:space="preserve"> : نِصْفُ السُّدُسِ بَعْدَ الْمَؤُونَةِ ، و</w:t>
      </w:r>
      <w:r w:rsidR="008A122A">
        <w:rPr>
          <w:rFonts w:hint="cs"/>
          <w:rtl/>
          <w:lang w:bidi="fa-IR"/>
        </w:rPr>
        <w:t>َ</w:t>
      </w:r>
      <w:r w:rsidRPr="00132E65">
        <w:rPr>
          <w:rtl/>
          <w:lang w:bidi="fa-IR"/>
        </w:rPr>
        <w:t xml:space="preserve">أَنَّهُ لَيْسَ عَلى مَنْ لَمْ تَقُمْ </w:t>
      </w:r>
      <w:r>
        <w:rPr>
          <w:rStyle w:val="libFootnotenumChar"/>
          <w:rtl/>
        </w:rPr>
        <w:t>(2)</w:t>
      </w:r>
      <w:r w:rsidRPr="00132E65">
        <w:rPr>
          <w:rtl/>
          <w:lang w:bidi="fa-IR"/>
        </w:rPr>
        <w:t xml:space="preserve"> ضَيْعَتُهُ بِمَؤُونَتِهِ </w:t>
      </w:r>
      <w:r>
        <w:rPr>
          <w:rStyle w:val="libFootnotenumChar"/>
          <w:rtl/>
        </w:rPr>
        <w:t>(3)</w:t>
      </w:r>
      <w:r w:rsidRPr="00132E65">
        <w:rPr>
          <w:rtl/>
          <w:lang w:bidi="fa-IR"/>
        </w:rPr>
        <w:t xml:space="preserve"> نِصْفُ السُّدُسِ و</w:t>
      </w:r>
      <w:r w:rsidR="008A122A">
        <w:rPr>
          <w:rFonts w:hint="cs"/>
          <w:rtl/>
          <w:lang w:bidi="fa-IR"/>
        </w:rPr>
        <w:t>َ</w:t>
      </w:r>
      <w:r w:rsidRPr="00132E65">
        <w:rPr>
          <w:rtl/>
          <w:lang w:bidi="fa-IR"/>
        </w:rPr>
        <w:t xml:space="preserve">لَاغَيْرُ ذلِكَ ، فَاخْتَلَفَ </w:t>
      </w:r>
      <w:r>
        <w:rPr>
          <w:rStyle w:val="libFootnotenumChar"/>
          <w:rtl/>
        </w:rPr>
        <w:t>(4)</w:t>
      </w:r>
      <w:r w:rsidRPr="00132E65">
        <w:rPr>
          <w:rtl/>
          <w:lang w:bidi="fa-IR"/>
        </w:rPr>
        <w:t xml:space="preserve"> مَنْ قِبَلَنَا فِي ذلِكَ ، فَقَالُوا : يَجِبُ عَلَى الضِّيَاعِ الْخُمُسُ بَعْدَ الْمَؤُونَةِ ، مَؤُونَةِ </w:t>
      </w:r>
      <w:r>
        <w:rPr>
          <w:rStyle w:val="libFootnotenumChar"/>
          <w:rtl/>
        </w:rPr>
        <w:t>(5)</w:t>
      </w:r>
      <w:r w:rsidRPr="00132E65">
        <w:rPr>
          <w:rtl/>
          <w:lang w:bidi="fa-IR"/>
        </w:rPr>
        <w:t xml:space="preserve"> الضَّيْعَةِ و</w:t>
      </w:r>
      <w:r w:rsidR="008A122A">
        <w:rPr>
          <w:rFonts w:hint="cs"/>
          <w:rtl/>
          <w:lang w:bidi="fa-IR"/>
        </w:rPr>
        <w:t>َ</w:t>
      </w:r>
      <w:r w:rsidRPr="00132E65">
        <w:rPr>
          <w:rtl/>
          <w:lang w:bidi="fa-IR"/>
        </w:rPr>
        <w:t>خَرَاجِهَا ، لَامَؤُونَةِ الرَّجُلِ و</w:t>
      </w:r>
      <w:r w:rsidR="008A122A">
        <w:rPr>
          <w:rFonts w:hint="cs"/>
          <w:rtl/>
          <w:lang w:bidi="fa-IR"/>
        </w:rPr>
        <w:t>َ</w:t>
      </w:r>
      <w:r w:rsidRPr="00132E65">
        <w:rPr>
          <w:rtl/>
          <w:lang w:bidi="fa-IR"/>
        </w:rPr>
        <w:t>عِيَالِهِ.</w:t>
      </w:r>
    </w:p>
    <w:p w:rsidR="000C39D1" w:rsidRPr="00132E65" w:rsidRDefault="000C39D1" w:rsidP="000C39D1">
      <w:pPr>
        <w:pStyle w:val="libNormal"/>
        <w:rPr>
          <w:rtl/>
          <w:lang w:bidi="fa-IR"/>
        </w:rPr>
      </w:pPr>
      <w:r w:rsidRPr="00132E65">
        <w:rPr>
          <w:rtl/>
          <w:lang w:bidi="fa-IR"/>
        </w:rPr>
        <w:t xml:space="preserve">فَكَتَبَ </w:t>
      </w:r>
      <w:r w:rsidRPr="00071CF9">
        <w:rPr>
          <w:rStyle w:val="libAlaemChar"/>
          <w:rtl/>
        </w:rPr>
        <w:t>عليه‌السلام</w:t>
      </w:r>
      <w:r w:rsidRPr="00132E65">
        <w:rPr>
          <w:rtl/>
          <w:lang w:bidi="fa-IR"/>
        </w:rPr>
        <w:t xml:space="preserve"> : « بَعْدَ مَؤُونَتِهِ و</w:t>
      </w:r>
      <w:r w:rsidR="008A122A">
        <w:rPr>
          <w:rFonts w:hint="cs"/>
          <w:rtl/>
          <w:lang w:bidi="fa-IR"/>
        </w:rPr>
        <w:t>َ</w:t>
      </w:r>
      <w:r>
        <w:rPr>
          <w:rFonts w:hint="cs"/>
          <w:rtl/>
          <w:lang w:bidi="fa-IR"/>
        </w:rPr>
        <w:t xml:space="preserve"> </w:t>
      </w:r>
      <w:r>
        <w:rPr>
          <w:rStyle w:val="libFootnotenumChar"/>
          <w:rtl/>
        </w:rPr>
        <w:t>(6)</w:t>
      </w:r>
      <w:r w:rsidRPr="00132E65">
        <w:rPr>
          <w:rtl/>
          <w:lang w:bidi="fa-IR"/>
        </w:rPr>
        <w:t xml:space="preserve"> مَؤُونَةِ عِيَالِهِ ، و</w:t>
      </w:r>
      <w:r w:rsidR="008A122A">
        <w:rPr>
          <w:rFonts w:hint="cs"/>
          <w:rtl/>
          <w:lang w:bidi="fa-IR"/>
        </w:rPr>
        <w:t>َ</w:t>
      </w:r>
      <w:r w:rsidRPr="00132E65">
        <w:rPr>
          <w:rtl/>
          <w:lang w:bidi="fa-IR"/>
        </w:rPr>
        <w:t>بَعْدَ خَرَاجِ السُّلْطَانِ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A3767B">
        <w:rPr>
          <w:rtl/>
        </w:rPr>
        <w:t>1445</w:t>
      </w:r>
      <w:r w:rsidRPr="004325D8">
        <w:rPr>
          <w:rStyle w:val="libBold2Char"/>
          <w:rtl/>
        </w:rPr>
        <w:t xml:space="preserve"> / 25.</w:t>
      </w:r>
      <w:r w:rsidRPr="00132E65">
        <w:rPr>
          <w:rtl/>
          <w:lang w:bidi="fa-IR"/>
        </w:rPr>
        <w:t xml:space="preserve"> سَهْلٌ </w:t>
      </w:r>
      <w:r>
        <w:rPr>
          <w:rStyle w:val="libFootnotenumChar"/>
          <w:rtl/>
        </w:rPr>
        <w:t>(8)</w:t>
      </w:r>
      <w:r w:rsidRPr="00132E65">
        <w:rPr>
          <w:rtl/>
          <w:lang w:bidi="fa-IR"/>
        </w:rPr>
        <w:t xml:space="preserve"> ، عَنْ أَحْمَدَ بْنِ الْمُثَنّى ، قَالَ : حَدَّثَنِي مُحَمَّدُ بْنُ زَيْدٍ </w:t>
      </w:r>
      <w:r>
        <w:rPr>
          <w:rStyle w:val="libFootnotenumChar"/>
          <w:rtl/>
        </w:rPr>
        <w:t>(9)</w:t>
      </w:r>
      <w:r w:rsidRPr="00132E65">
        <w:rPr>
          <w:rtl/>
          <w:lang w:bidi="fa-IR"/>
        </w:rPr>
        <w:t xml:space="preserve"> الطَّبَرِيُّ ، قَالَ :</w:t>
      </w:r>
    </w:p>
    <w:p w:rsidR="000C39D1" w:rsidRPr="00132E65" w:rsidRDefault="000C39D1" w:rsidP="000C39D1">
      <w:pPr>
        <w:pStyle w:val="libNormal"/>
        <w:rPr>
          <w:rtl/>
          <w:lang w:bidi="fa-IR"/>
        </w:rPr>
      </w:pPr>
      <w:r w:rsidRPr="00132E65">
        <w:rPr>
          <w:rtl/>
          <w:lang w:bidi="fa-IR"/>
        </w:rPr>
        <w:t xml:space="preserve">كَتَبَ </w:t>
      </w:r>
      <w:r>
        <w:rPr>
          <w:rStyle w:val="libFootnotenumChar"/>
          <w:rtl/>
        </w:rPr>
        <w:t>(10)</w:t>
      </w:r>
      <w:r w:rsidRPr="00132E65">
        <w:rPr>
          <w:rtl/>
          <w:lang w:bidi="fa-IR"/>
        </w:rPr>
        <w:t xml:space="preserve"> رَجُلٌ مِنْ تُجَّارِ فَارِسَ مِنْ </w:t>
      </w:r>
      <w:r>
        <w:rPr>
          <w:rStyle w:val="libFootnotenumChar"/>
          <w:rtl/>
        </w:rPr>
        <w:t>(11)</w:t>
      </w:r>
      <w:r w:rsidRPr="00132E65">
        <w:rPr>
          <w:rtl/>
          <w:lang w:bidi="fa-IR"/>
        </w:rPr>
        <w:t xml:space="preserve"> بَعْضِ مَوَالِي أَبِي الْحَسَنِ الرِّضَا </w:t>
      </w:r>
      <w:r w:rsidRPr="00071CF9">
        <w:rPr>
          <w:rStyle w:val="libAlaemChar"/>
          <w:rtl/>
        </w:rPr>
        <w:t>عليه‌السلام</w:t>
      </w:r>
      <w:r w:rsidRPr="00132E65">
        <w:rPr>
          <w:rtl/>
          <w:lang w:bidi="fa-IR"/>
        </w:rPr>
        <w:t xml:space="preserve"> يَسْأَلُهُ الْإِذْنَ فِي الْخُمُسِ ، فَكَتَبَ إِلَيْهِ :</w:t>
      </w:r>
    </w:p>
    <w:p w:rsidR="000C39D1" w:rsidRPr="00132E65" w:rsidRDefault="000C39D1" w:rsidP="000C39D1">
      <w:pPr>
        <w:pStyle w:val="libNormal"/>
        <w:rPr>
          <w:rtl/>
          <w:lang w:bidi="fa-IR"/>
        </w:rPr>
      </w:pPr>
      <w:r w:rsidRPr="00132E65">
        <w:rPr>
          <w:rtl/>
          <w:lang w:bidi="fa-IR"/>
        </w:rPr>
        <w:t>« بِسْمِ اللهِ الرَّحْمنِ الرَّحِيمِ ، إِنَّ اللهَ و</w:t>
      </w:r>
      <w:r w:rsidR="008A122A">
        <w:rPr>
          <w:rFonts w:hint="cs"/>
          <w:rtl/>
          <w:lang w:bidi="fa-IR"/>
        </w:rPr>
        <w:t>َ</w:t>
      </w:r>
      <w:r w:rsidRPr="00132E65">
        <w:rPr>
          <w:rtl/>
          <w:lang w:bidi="fa-IR"/>
        </w:rPr>
        <w:t xml:space="preserve">اسِعٌ كَرِيمٌ ، ضَمِنَ عَلَى الْعَمَلِ الثَّوَابَ ، وَعَلَى الضِّيقِ الْهَمَّ </w:t>
      </w:r>
      <w:r>
        <w:rPr>
          <w:rStyle w:val="libFootnotenumChar"/>
          <w:rtl/>
        </w:rPr>
        <w:t>(12)</w:t>
      </w:r>
      <w:r w:rsidR="008A122A">
        <w:rPr>
          <w:rtl/>
          <w:lang w:bidi="fa-IR"/>
        </w:rPr>
        <w:t xml:space="preserve"> ، لَايَحِلُّ مَالٌ إِل</w:t>
      </w:r>
      <w:r w:rsidR="008A122A">
        <w:rPr>
          <w:rFonts w:hint="cs"/>
          <w:rtl/>
          <w:lang w:bidi="fa-IR"/>
        </w:rPr>
        <w:t>َّ</w:t>
      </w:r>
      <w:r w:rsidR="008A122A">
        <w:rPr>
          <w:rtl/>
          <w:lang w:bidi="fa-IR"/>
        </w:rPr>
        <w:t>ا</w:t>
      </w:r>
      <w:r w:rsidRPr="00132E65">
        <w:rPr>
          <w:rtl/>
          <w:lang w:bidi="fa-IR"/>
        </w:rPr>
        <w:t xml:space="preserve"> مِنْ و</w:t>
      </w:r>
      <w:r w:rsidR="008A122A">
        <w:rPr>
          <w:rFonts w:hint="cs"/>
          <w:rtl/>
          <w:lang w:bidi="fa-IR"/>
        </w:rPr>
        <w:t>َ</w:t>
      </w:r>
      <w:r w:rsidRPr="00132E65">
        <w:rPr>
          <w:rtl/>
          <w:lang w:bidi="fa-IR"/>
        </w:rPr>
        <w:t>جْهٍ‌</w:t>
      </w:r>
      <w:r w:rsidR="008A122A">
        <w:rPr>
          <w:rFonts w:hint="cs"/>
          <w:rtl/>
          <w:lang w:bidi="fa-IR"/>
        </w:rPr>
        <w:t>.....................</w:t>
      </w:r>
      <w:r w:rsidR="00C50204">
        <w:rPr>
          <w:rFonts w:hint="cs"/>
          <w:rtl/>
          <w:lang w:bidi="fa-IR"/>
        </w:rPr>
        <w:t>.....</w:t>
      </w:r>
      <w:r w:rsidR="008A122A">
        <w:rPr>
          <w:rFonts w:hint="cs"/>
          <w:rtl/>
          <w:lang w:bidi="fa-IR"/>
        </w:rPr>
        <w:t>....................................</w:t>
      </w:r>
      <w:r w:rsidR="008A122A">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 » وحاشية « ج ، بس » : « المتاع »</w:t>
      </w:r>
      <w:r>
        <w:rPr>
          <w:rtl/>
        </w:rPr>
        <w:t>.</w:t>
      </w:r>
      <w:r w:rsidRPr="00132E65">
        <w:rPr>
          <w:rtl/>
        </w:rPr>
        <w:t xml:space="preserve"> وفي « بر »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(2).</w:t>
      </w:r>
      <w:r w:rsidRPr="00132E65">
        <w:rPr>
          <w:rtl/>
        </w:rPr>
        <w:t xml:space="preserve"> في « ف » وحاشية « بر » </w:t>
      </w:r>
      <w:r w:rsidRPr="008A122A">
        <w:rPr>
          <w:rtl/>
        </w:rPr>
        <w:t>والوافي</w:t>
      </w:r>
      <w:r w:rsidRPr="00132E65">
        <w:rPr>
          <w:rtl/>
        </w:rPr>
        <w:t xml:space="preserve"> : « لم يقم »</w:t>
      </w:r>
      <w:r>
        <w:rPr>
          <w:rtl/>
        </w:rPr>
        <w:t>.</w:t>
      </w:r>
      <w:r w:rsidRPr="00132E65">
        <w:rPr>
          <w:rtl/>
        </w:rPr>
        <w:t xml:space="preserve"> وفي « بر ، بف ، بس » : « لم يعمر »</w:t>
      </w:r>
      <w:r>
        <w:rPr>
          <w:rtl/>
        </w:rPr>
        <w:t>.</w:t>
      </w:r>
    </w:p>
    <w:tbl>
      <w:tblPr>
        <w:tblStyle w:val="TableGrid"/>
        <w:bidiVisual/>
        <w:tblW w:w="0" w:type="auto"/>
        <w:tblLook w:val="04A0" w:firstRow="1" w:lastRow="0" w:firstColumn="1" w:lastColumn="0" w:noHBand="0" w:noVBand="1"/>
      </w:tblPr>
      <w:tblGrid>
        <w:gridCol w:w="4261"/>
        <w:gridCol w:w="4262"/>
      </w:tblGrid>
      <w:tr w:rsidR="008A122A" w:rsidTr="008A122A">
        <w:tc>
          <w:tcPr>
            <w:tcW w:w="4261" w:type="dxa"/>
          </w:tcPr>
          <w:p w:rsidR="008A122A" w:rsidRDefault="008A122A" w:rsidP="000C39D1">
            <w:pPr>
              <w:pStyle w:val="libFootnote0"/>
              <w:rPr>
                <w:rtl/>
              </w:rPr>
            </w:pPr>
            <w:r>
              <w:rPr>
                <w:rtl/>
              </w:rPr>
              <w:t>(3).</w:t>
            </w:r>
            <w:r w:rsidRPr="00132E65">
              <w:rPr>
                <w:rtl/>
              </w:rPr>
              <w:t xml:space="preserve"> في « بر » : « لمؤونته »</w:t>
            </w:r>
            <w:r>
              <w:rPr>
                <w:rtl/>
              </w:rPr>
              <w:t>.</w:t>
            </w:r>
          </w:p>
        </w:tc>
        <w:tc>
          <w:tcPr>
            <w:tcW w:w="4262" w:type="dxa"/>
          </w:tcPr>
          <w:p w:rsidR="008A122A" w:rsidRDefault="008A122A" w:rsidP="000C39D1">
            <w:pPr>
              <w:pStyle w:val="libFootnote0"/>
              <w:rPr>
                <w:rtl/>
              </w:rPr>
            </w:pPr>
            <w:r>
              <w:rPr>
                <w:rtl/>
              </w:rPr>
              <w:t>(4).</w:t>
            </w:r>
            <w:r w:rsidRPr="00132E65">
              <w:rPr>
                <w:rtl/>
              </w:rPr>
              <w:t xml:space="preserve"> في </w:t>
            </w:r>
            <w:r w:rsidRPr="008A122A">
              <w:rPr>
                <w:rtl/>
              </w:rPr>
              <w:t>الوافي</w:t>
            </w:r>
            <w:r w:rsidRPr="00132E65">
              <w:rPr>
                <w:rtl/>
              </w:rPr>
              <w:t xml:space="preserve"> : « واختلف »</w:t>
            </w:r>
            <w:r>
              <w:rPr>
                <w:rtl/>
              </w:rPr>
              <w:t>.</w:t>
            </w:r>
          </w:p>
        </w:tc>
      </w:tr>
      <w:tr w:rsidR="008A122A" w:rsidTr="008A122A">
        <w:tc>
          <w:tcPr>
            <w:tcW w:w="4261" w:type="dxa"/>
          </w:tcPr>
          <w:p w:rsidR="008A122A" w:rsidRDefault="008A122A" w:rsidP="000C39D1">
            <w:pPr>
              <w:pStyle w:val="libFootnote0"/>
              <w:rPr>
                <w:rtl/>
              </w:rPr>
            </w:pPr>
            <w:r>
              <w:rPr>
                <w:rtl/>
              </w:rPr>
              <w:t>(5).</w:t>
            </w:r>
            <w:r w:rsidRPr="00132E65">
              <w:rPr>
                <w:rtl/>
              </w:rPr>
              <w:t xml:space="preserve"> في </w:t>
            </w:r>
            <w:r w:rsidRPr="008A122A">
              <w:rPr>
                <w:rtl/>
              </w:rPr>
              <w:t>الوافي</w:t>
            </w:r>
            <w:r w:rsidRPr="00132E65">
              <w:rPr>
                <w:rtl/>
              </w:rPr>
              <w:t xml:space="preserve"> </w:t>
            </w:r>
            <w:r>
              <w:rPr>
                <w:rtl/>
              </w:rPr>
              <w:t xml:space="preserve">: - </w:t>
            </w:r>
            <w:r w:rsidRPr="00132E65">
              <w:rPr>
                <w:rtl/>
              </w:rPr>
              <w:t>« مؤونة »</w:t>
            </w:r>
            <w:r>
              <w:rPr>
                <w:rtl/>
              </w:rPr>
              <w:t>.</w:t>
            </w:r>
          </w:p>
        </w:tc>
        <w:tc>
          <w:tcPr>
            <w:tcW w:w="4262" w:type="dxa"/>
          </w:tcPr>
          <w:p w:rsidR="008A122A" w:rsidRDefault="008A122A" w:rsidP="000C39D1">
            <w:pPr>
              <w:pStyle w:val="libFootnote0"/>
              <w:rPr>
                <w:rtl/>
              </w:rPr>
            </w:pPr>
            <w:r>
              <w:rPr>
                <w:rtl/>
              </w:rPr>
              <w:t>(6).</w:t>
            </w:r>
            <w:r w:rsidRPr="00132E65">
              <w:rPr>
                <w:rtl/>
              </w:rPr>
              <w:t xml:space="preserve"> في « بر » </w:t>
            </w:r>
            <w:r>
              <w:rPr>
                <w:rtl/>
              </w:rPr>
              <w:t xml:space="preserve">: - </w:t>
            </w:r>
            <w:r w:rsidRPr="00132E65">
              <w:rPr>
                <w:rtl/>
              </w:rPr>
              <w:t>«</w:t>
            </w:r>
            <w:r>
              <w:rPr>
                <w:rtl/>
              </w:rPr>
              <w:t xml:space="preserve"> و ».</w:t>
            </w:r>
          </w:p>
        </w:tc>
      </w:tr>
    </w:tbl>
    <w:p w:rsidR="000C39D1" w:rsidRPr="00132E65" w:rsidRDefault="000C39D1" w:rsidP="000C39D1">
      <w:pPr>
        <w:pStyle w:val="libFootnote0"/>
        <w:rPr>
          <w:rtl/>
          <w:lang w:bidi="fa-IR"/>
        </w:rPr>
      </w:pPr>
      <w:r>
        <w:rPr>
          <w:rtl/>
        </w:rPr>
        <w:t>(7).</w:t>
      </w:r>
      <w:r w:rsidRPr="00132E65">
        <w:rPr>
          <w:rtl/>
        </w:rPr>
        <w:t xml:space="preserve"> </w:t>
      </w:r>
      <w:r w:rsidRPr="008A122A">
        <w:rPr>
          <w:rStyle w:val="libFootnoteBoldChar"/>
          <w:rtl/>
        </w:rPr>
        <w:t>التهذيب</w:t>
      </w:r>
      <w:r w:rsidRPr="00132E65">
        <w:rPr>
          <w:rtl/>
        </w:rPr>
        <w:t xml:space="preserve"> ، ج 4 ، ص 123 ، ح 354 ؛ </w:t>
      </w:r>
      <w:r w:rsidRPr="008A122A">
        <w:rPr>
          <w:rStyle w:val="libFootnoteBoldChar"/>
          <w:rtl/>
        </w:rPr>
        <w:t>و</w:t>
      </w:r>
      <w:r w:rsidRPr="007A1104">
        <w:rPr>
          <w:rStyle w:val="libFootnoteBoldChar"/>
          <w:rtl/>
        </w:rPr>
        <w:t>الاستبصار</w:t>
      </w:r>
      <w:r w:rsidRPr="00132E65">
        <w:rPr>
          <w:rtl/>
        </w:rPr>
        <w:t xml:space="preserve"> ، ج 2 ، ص 55 ، ح 183 ، بسندهما عن إبراهيم بن محمّد الهمداني. وفي </w:t>
      </w:r>
      <w:r w:rsidRPr="008A122A">
        <w:rPr>
          <w:rStyle w:val="libFootnoteBoldChar"/>
          <w:rtl/>
        </w:rPr>
        <w:t>التهذيب</w:t>
      </w:r>
      <w:r w:rsidRPr="00132E65">
        <w:rPr>
          <w:rtl/>
        </w:rPr>
        <w:t xml:space="preserve"> ، ج 4 ، ص 141 ، ضمن الحديث الطويل 398 ؛ </w:t>
      </w:r>
      <w:r w:rsidRPr="008A122A">
        <w:rPr>
          <w:rStyle w:val="libFootnoteBoldChar"/>
          <w:rtl/>
        </w:rPr>
        <w:t>و</w:t>
      </w:r>
      <w:r w:rsidRPr="007A1104">
        <w:rPr>
          <w:rStyle w:val="libFootnoteBoldChar"/>
          <w:rtl/>
        </w:rPr>
        <w:t>الاستبصار</w:t>
      </w:r>
      <w:r w:rsidRPr="00132E65">
        <w:rPr>
          <w:rtl/>
        </w:rPr>
        <w:t xml:space="preserve"> ، ج 2 ، ص 60 ، ضمن الحديث الطويل 198 ، بسند آخر عن عليّ بن مهزيار ، عن الباقر </w:t>
      </w:r>
      <w:r w:rsidRPr="008A122A">
        <w:rPr>
          <w:rStyle w:val="libFootnoteAlaemChar"/>
          <w:rtl/>
        </w:rPr>
        <w:t>عليه‌السلام</w:t>
      </w:r>
      <w:r w:rsidRPr="00132E65">
        <w:rPr>
          <w:rtl/>
        </w:rPr>
        <w:t xml:space="preserve"> ، وفيهما تفصيل مكاتبته </w:t>
      </w:r>
      <w:r w:rsidRPr="008A122A">
        <w:rPr>
          <w:rStyle w:val="libFootnoteAlaemChar"/>
          <w:rtl/>
        </w:rPr>
        <w:t>عليه‌السلام</w:t>
      </w:r>
      <w:r w:rsidRPr="00132E65">
        <w:rPr>
          <w:rtl/>
        </w:rPr>
        <w:t xml:space="preserve"> </w:t>
      </w:r>
      <w:r w:rsidR="008A122A">
        <w:rPr>
          <w:rFonts w:hint="cs"/>
          <w:rtl/>
        </w:rPr>
        <w:t>.</w:t>
      </w:r>
      <w:r w:rsidRPr="009D1ACE">
        <w:rPr>
          <w:rStyle w:val="libFootnoteBoldChar"/>
          <w:rtl/>
        </w:rPr>
        <w:t>الوافي</w:t>
      </w:r>
      <w:r w:rsidRPr="00132E65">
        <w:rPr>
          <w:rtl/>
        </w:rPr>
        <w:t xml:space="preserve"> ، ج 10 ، ص 320 ، ح 9636 ؛ </w:t>
      </w:r>
      <w:r w:rsidRPr="008A122A">
        <w:rPr>
          <w:rStyle w:val="libFootnoteBoldChar"/>
          <w:rtl/>
        </w:rPr>
        <w:t>الوسائل</w:t>
      </w:r>
      <w:r w:rsidRPr="00132E65">
        <w:rPr>
          <w:rtl/>
        </w:rPr>
        <w:t xml:space="preserve"> ، ج 9 ، ص 500 ، ذيل ح 12582.</w:t>
      </w:r>
    </w:p>
    <w:p w:rsidR="000C39D1" w:rsidRPr="00132E65" w:rsidRDefault="000C39D1" w:rsidP="000C39D1">
      <w:pPr>
        <w:pStyle w:val="libFootnote0"/>
        <w:rPr>
          <w:rtl/>
          <w:lang w:bidi="fa-IR"/>
        </w:rPr>
      </w:pPr>
      <w:r>
        <w:rPr>
          <w:rtl/>
        </w:rPr>
        <w:t>(8).</w:t>
      </w:r>
      <w:r w:rsidRPr="00132E65">
        <w:rPr>
          <w:rtl/>
        </w:rPr>
        <w:t xml:space="preserve"> في « بر ، بف » :</w:t>
      </w:r>
      <w:r>
        <w:rPr>
          <w:rtl/>
        </w:rPr>
        <w:t xml:space="preserve"> + </w:t>
      </w:r>
      <w:r w:rsidRPr="00132E65">
        <w:rPr>
          <w:rtl/>
        </w:rPr>
        <w:t>« بن زياد »</w:t>
      </w:r>
      <w:r>
        <w:rPr>
          <w:rtl/>
        </w:rPr>
        <w:t>.</w:t>
      </w:r>
      <w:r w:rsidRPr="00132E65">
        <w:rPr>
          <w:rtl/>
        </w:rPr>
        <w:t xml:space="preserve"> والسند معلّق على سند الحديث 23.</w:t>
      </w:r>
    </w:p>
    <w:p w:rsidR="000C39D1" w:rsidRPr="00132E65" w:rsidRDefault="000C39D1" w:rsidP="008A122A">
      <w:pPr>
        <w:pStyle w:val="libFootnote0"/>
        <w:rPr>
          <w:rtl/>
          <w:lang w:bidi="fa-IR"/>
        </w:rPr>
      </w:pPr>
      <w:r>
        <w:rPr>
          <w:rtl/>
        </w:rPr>
        <w:t>(9).</w:t>
      </w:r>
      <w:r w:rsidRPr="00132E65">
        <w:rPr>
          <w:rtl/>
        </w:rPr>
        <w:t xml:space="preserve"> في « ب ، بر ، بف » : « يزيد »</w:t>
      </w:r>
      <w:r>
        <w:rPr>
          <w:rtl/>
        </w:rPr>
        <w:t>.</w:t>
      </w:r>
      <w:r w:rsidRPr="00132E65">
        <w:rPr>
          <w:rtl/>
        </w:rPr>
        <w:t xml:space="preserve"> والمذكور في </w:t>
      </w:r>
      <w:r w:rsidRPr="008A122A">
        <w:rPr>
          <w:rStyle w:val="libFootnoteBoldChar"/>
          <w:rtl/>
        </w:rPr>
        <w:t>رجال الطوسي</w:t>
      </w:r>
      <w:r w:rsidRPr="00132E65">
        <w:rPr>
          <w:rtl/>
        </w:rPr>
        <w:t xml:space="preserve"> ، ص 365 ، الرقم 5403 : محمّد بن زيد الطبري في أصحاب الرضا </w:t>
      </w:r>
      <w:r w:rsidRPr="008A122A">
        <w:rPr>
          <w:rStyle w:val="libFootnoteAlaemChar"/>
          <w:rtl/>
        </w:rPr>
        <w:t>عليه‌السلام</w:t>
      </w:r>
      <w:r w:rsidRPr="00132E65">
        <w:rPr>
          <w:rtl/>
        </w:rPr>
        <w:t>.</w:t>
      </w:r>
      <w:r w:rsidR="008A122A">
        <w:rPr>
          <w:rFonts w:hint="cs"/>
          <w:rtl/>
        </w:rPr>
        <w:t xml:space="preserve">                                                 </w:t>
      </w:r>
      <w:r>
        <w:rPr>
          <w:rtl/>
        </w:rPr>
        <w:t>(10).</w:t>
      </w:r>
      <w:r w:rsidRPr="00132E65">
        <w:rPr>
          <w:rtl/>
        </w:rPr>
        <w:t xml:space="preserve"> في « بف » :</w:t>
      </w:r>
      <w:r>
        <w:rPr>
          <w:rtl/>
        </w:rPr>
        <w:t xml:space="preserve"> + </w:t>
      </w:r>
      <w:r w:rsidRPr="00132E65">
        <w:rPr>
          <w:rtl/>
        </w:rPr>
        <w:t>« إليّ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8A122A">
        <w:rPr>
          <w:rtl/>
        </w:rPr>
        <w:t>الوافي</w:t>
      </w:r>
      <w:r w:rsidRPr="00132E65">
        <w:rPr>
          <w:rtl/>
        </w:rPr>
        <w:t xml:space="preserve"> : « من</w:t>
      </w:r>
      <w:r>
        <w:rPr>
          <w:rtl/>
        </w:rPr>
        <w:t xml:space="preserve"> - </w:t>
      </w:r>
      <w:r w:rsidRPr="00132E65">
        <w:rPr>
          <w:rtl/>
        </w:rPr>
        <w:t>إلى خ ل</w:t>
      </w:r>
      <w:r>
        <w:rPr>
          <w:rtl/>
        </w:rPr>
        <w:t xml:space="preserve"> - </w:t>
      </w:r>
      <w:r w:rsidRPr="00132E65">
        <w:rPr>
          <w:rtl/>
        </w:rPr>
        <w:t>»</w:t>
      </w:r>
      <w:r>
        <w:rPr>
          <w:rtl/>
        </w:rPr>
        <w:t>.</w:t>
      </w:r>
    </w:p>
    <w:p w:rsidR="000C39D1" w:rsidRPr="00132E65" w:rsidRDefault="000C39D1" w:rsidP="000C39D1">
      <w:pPr>
        <w:pStyle w:val="libFootnote0"/>
        <w:rPr>
          <w:rtl/>
          <w:lang w:bidi="fa-IR"/>
        </w:rPr>
      </w:pPr>
      <w:r>
        <w:rPr>
          <w:rtl/>
        </w:rPr>
        <w:t>(12).</w:t>
      </w:r>
      <w:r w:rsidRPr="00132E65">
        <w:rPr>
          <w:rtl/>
        </w:rPr>
        <w:t xml:space="preserve"> في </w:t>
      </w:r>
      <w:r w:rsidRPr="009D1ACE">
        <w:rPr>
          <w:rStyle w:val="libFootnoteBoldChar"/>
          <w:rtl/>
        </w:rPr>
        <w:t>الوافي</w:t>
      </w:r>
      <w:r w:rsidRPr="00132E65">
        <w:rPr>
          <w:rtl/>
        </w:rPr>
        <w:t xml:space="preserve"> : « لعلّه </w:t>
      </w:r>
      <w:r w:rsidRPr="008A122A">
        <w:rPr>
          <w:rStyle w:val="libFootnoteAlaemChar"/>
          <w:rtl/>
        </w:rPr>
        <w:t>عليه‌السلام</w:t>
      </w:r>
      <w:r w:rsidRPr="00132E65">
        <w:rPr>
          <w:rtl/>
        </w:rPr>
        <w:t xml:space="preserve"> عبّر عن مخالفة الله التي منها منع الخمس بالضيق ؛ لأنّ الباعث عليها ضيق الصدر ، وهوالذي يدعو إلى خوف الفقر وسوء الظنّ بالله في إعطاء الرزق. وهذه الخصال بعينها هي الباعثة على الهمّ ؛ وعلى ذلك نبّه قوله </w:t>
      </w:r>
      <w:r w:rsidRPr="008A122A">
        <w:rPr>
          <w:rStyle w:val="libFootnoteAlaemChar"/>
          <w:rtl/>
        </w:rPr>
        <w:t>عليه‌السلام</w:t>
      </w:r>
      <w:r w:rsidRPr="00132E65">
        <w:rPr>
          <w:rtl/>
        </w:rPr>
        <w:t xml:space="preserve"> : إنّ الله واسع كريم ؛ وقوله : فإنّ إخراجه مفتاح رزقكم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أَحَلَّهُ </w:t>
      </w:r>
      <w:r>
        <w:rPr>
          <w:rStyle w:val="libFootnotenumChar"/>
          <w:rtl/>
        </w:rPr>
        <w:t>(1)</w:t>
      </w:r>
      <w:r w:rsidRPr="00132E65">
        <w:rPr>
          <w:rtl/>
          <w:lang w:bidi="fa-IR"/>
        </w:rPr>
        <w:t xml:space="preserve"> اللهُ ، و</w:t>
      </w:r>
      <w:r w:rsidR="008A122A">
        <w:rPr>
          <w:rFonts w:hint="cs"/>
          <w:rtl/>
          <w:lang w:bidi="fa-IR"/>
        </w:rPr>
        <w:t>َ</w:t>
      </w:r>
      <w:r>
        <w:rPr>
          <w:rFonts w:hint="cs"/>
          <w:rtl/>
          <w:lang w:bidi="fa-IR"/>
        </w:rPr>
        <w:t xml:space="preserve"> </w:t>
      </w:r>
      <w:r>
        <w:rPr>
          <w:rStyle w:val="libFootnotenumChar"/>
          <w:rtl/>
        </w:rPr>
        <w:t>(2)</w:t>
      </w:r>
      <w:r w:rsidRPr="00132E65">
        <w:rPr>
          <w:rtl/>
          <w:lang w:bidi="fa-IR"/>
        </w:rPr>
        <w:t xml:space="preserve"> إِنَّ الْخُمُسَ عَوْنُنَا عَلى دِينِنَا </w:t>
      </w:r>
      <w:r>
        <w:rPr>
          <w:rStyle w:val="libFootnotenumChar"/>
          <w:rtl/>
        </w:rPr>
        <w:t>(3)</w:t>
      </w:r>
      <w:r w:rsidRPr="00132E65">
        <w:rPr>
          <w:rtl/>
          <w:lang w:bidi="fa-IR"/>
        </w:rPr>
        <w:t xml:space="preserve"> ، و</w:t>
      </w:r>
      <w:r w:rsidR="008A122A">
        <w:rPr>
          <w:rFonts w:hint="cs"/>
          <w:rtl/>
          <w:lang w:bidi="fa-IR"/>
        </w:rPr>
        <w:t>َ</w:t>
      </w:r>
      <w:r w:rsidRPr="00132E65">
        <w:rPr>
          <w:rtl/>
          <w:lang w:bidi="fa-IR"/>
        </w:rPr>
        <w:t xml:space="preserve">عَلى عِيَالَاتِنَا </w:t>
      </w:r>
      <w:r>
        <w:rPr>
          <w:rStyle w:val="libFootnotenumChar"/>
          <w:rtl/>
        </w:rPr>
        <w:t>(4)</w:t>
      </w:r>
      <w:r w:rsidRPr="00132E65">
        <w:rPr>
          <w:rtl/>
          <w:lang w:bidi="fa-IR"/>
        </w:rPr>
        <w:t xml:space="preserve"> ، و</w:t>
      </w:r>
      <w:r w:rsidR="008A122A">
        <w:rPr>
          <w:rFonts w:hint="cs"/>
          <w:rtl/>
          <w:lang w:bidi="fa-IR"/>
        </w:rPr>
        <w:t>َ</w:t>
      </w:r>
      <w:r w:rsidRPr="00132E65">
        <w:rPr>
          <w:rtl/>
          <w:lang w:bidi="fa-IR"/>
        </w:rPr>
        <w:t xml:space="preserve">عَلى مَوَالِينَا </w:t>
      </w:r>
      <w:r>
        <w:rPr>
          <w:rStyle w:val="libFootnotenumChar"/>
          <w:rtl/>
        </w:rPr>
        <w:t>(5)</w:t>
      </w:r>
      <w:r w:rsidRPr="00132E65">
        <w:rPr>
          <w:rtl/>
          <w:lang w:bidi="fa-IR"/>
        </w:rPr>
        <w:t xml:space="preserve"> ، و</w:t>
      </w:r>
      <w:r w:rsidR="008A122A">
        <w:rPr>
          <w:rFonts w:hint="cs"/>
          <w:rtl/>
          <w:lang w:bidi="fa-IR"/>
        </w:rPr>
        <w:t>َ</w:t>
      </w:r>
      <w:r w:rsidRPr="00132E65">
        <w:rPr>
          <w:rtl/>
          <w:lang w:bidi="fa-IR"/>
        </w:rPr>
        <w:t xml:space="preserve">مَا نَبْذُلُهُ </w:t>
      </w:r>
      <w:r>
        <w:rPr>
          <w:rStyle w:val="libFootnotenumChar"/>
          <w:rtl/>
        </w:rPr>
        <w:t>(6)</w:t>
      </w:r>
      <w:r w:rsidRPr="00132E65">
        <w:rPr>
          <w:rtl/>
          <w:lang w:bidi="fa-IR"/>
        </w:rPr>
        <w:t xml:space="preserve"> و</w:t>
      </w:r>
      <w:r w:rsidR="008A122A">
        <w:rPr>
          <w:rFonts w:hint="cs"/>
          <w:rtl/>
          <w:lang w:bidi="fa-IR"/>
        </w:rPr>
        <w:t>َ</w:t>
      </w:r>
      <w:r w:rsidRPr="00132E65">
        <w:rPr>
          <w:rtl/>
          <w:lang w:bidi="fa-IR"/>
        </w:rPr>
        <w:t xml:space="preserve">نَشْتَرِي مِنْ أَعْرَاضِنَا مِمَّنْ نَخَافُ </w:t>
      </w:r>
      <w:r>
        <w:rPr>
          <w:rStyle w:val="libFootnotenumChar"/>
          <w:rtl/>
        </w:rPr>
        <w:t>(7)</w:t>
      </w:r>
      <w:r w:rsidRPr="00132E65">
        <w:rPr>
          <w:rtl/>
          <w:lang w:bidi="fa-IR"/>
        </w:rPr>
        <w:t xml:space="preserve"> سَطْوَتَهُ ، فَلَا تَزْوُوهُ </w:t>
      </w:r>
      <w:r>
        <w:rPr>
          <w:rStyle w:val="libFootnotenumChar"/>
          <w:rtl/>
        </w:rPr>
        <w:t>(8)</w:t>
      </w:r>
      <w:r w:rsidRPr="00132E65">
        <w:rPr>
          <w:rtl/>
          <w:lang w:bidi="fa-IR"/>
        </w:rPr>
        <w:t xml:space="preserve"> عَنَّا ، و</w:t>
      </w:r>
      <w:r w:rsidR="008A122A">
        <w:rPr>
          <w:rFonts w:hint="cs"/>
          <w:rtl/>
          <w:lang w:bidi="fa-IR"/>
        </w:rPr>
        <w:t>َ</w:t>
      </w:r>
      <w:r w:rsidRPr="00132E65">
        <w:rPr>
          <w:rtl/>
          <w:lang w:bidi="fa-IR"/>
        </w:rPr>
        <w:t xml:space="preserve">لَاتَحْرِمُوا أَنْفُسَكُمْ دُعَاءَنَا </w:t>
      </w:r>
      <w:r>
        <w:rPr>
          <w:rStyle w:val="libFootnotenumChar"/>
          <w:rtl/>
        </w:rPr>
        <w:t>(9)</w:t>
      </w:r>
      <w:r w:rsidRPr="00132E65">
        <w:rPr>
          <w:rtl/>
          <w:lang w:bidi="fa-IR"/>
        </w:rPr>
        <w:t xml:space="preserve"> مَا قَدَرْتُمْ عَلَيْهِ ؛ فَإِنَّ إِخْرَاجَهُ مِفْتَاحُ رِزْقِكُمْ ، و</w:t>
      </w:r>
      <w:r w:rsidR="008A122A">
        <w:rPr>
          <w:rFonts w:hint="cs"/>
          <w:rtl/>
          <w:lang w:bidi="fa-IR"/>
        </w:rPr>
        <w:t>َ</w:t>
      </w:r>
      <w:r w:rsidRPr="00132E65">
        <w:rPr>
          <w:rtl/>
          <w:lang w:bidi="fa-IR"/>
        </w:rPr>
        <w:t xml:space="preserve">تَمْحِيصُ </w:t>
      </w:r>
      <w:r>
        <w:rPr>
          <w:rStyle w:val="libFootnotenumChar"/>
          <w:rtl/>
        </w:rPr>
        <w:t>(10)</w:t>
      </w:r>
      <w:r w:rsidRPr="00132E65">
        <w:rPr>
          <w:rtl/>
          <w:lang w:bidi="fa-IR"/>
        </w:rPr>
        <w:t xml:space="preserve"> ذُنُوبِكُمْ ، و</w:t>
      </w:r>
      <w:r w:rsidR="008A122A">
        <w:rPr>
          <w:rFonts w:hint="cs"/>
          <w:rtl/>
          <w:lang w:bidi="fa-IR"/>
        </w:rPr>
        <w:t>َ</w:t>
      </w:r>
      <w:r w:rsidRPr="00132E65">
        <w:rPr>
          <w:rtl/>
          <w:lang w:bidi="fa-IR"/>
        </w:rPr>
        <w:t xml:space="preserve">مَا تُمَهِّدُونَ </w:t>
      </w:r>
      <w:r>
        <w:rPr>
          <w:rStyle w:val="libFootnotenumChar"/>
          <w:rtl/>
        </w:rPr>
        <w:t>(11)</w:t>
      </w:r>
      <w:r w:rsidRPr="00132E65">
        <w:rPr>
          <w:rtl/>
          <w:lang w:bidi="fa-IR"/>
        </w:rPr>
        <w:t xml:space="preserve"> لِأَنْفُسِكُمْ لِيَوْمِ فَاقَتِكُمْ ، و</w:t>
      </w:r>
      <w:r w:rsidR="008A122A">
        <w:rPr>
          <w:rFonts w:hint="cs"/>
          <w:rtl/>
          <w:lang w:bidi="fa-IR"/>
        </w:rPr>
        <w:t>َ</w:t>
      </w:r>
      <w:r w:rsidRPr="00132E65">
        <w:rPr>
          <w:rtl/>
          <w:lang w:bidi="fa-IR"/>
        </w:rPr>
        <w:t xml:space="preserve">الْمُسْلِمُ مَنْ يَفِي لِلّهِ بِمَا </w:t>
      </w:r>
      <w:r>
        <w:rPr>
          <w:rStyle w:val="libFootnotenumChar"/>
          <w:rtl/>
        </w:rPr>
        <w:t>(12)</w:t>
      </w:r>
      <w:r w:rsidRPr="00132E65">
        <w:rPr>
          <w:rtl/>
          <w:lang w:bidi="fa-IR"/>
        </w:rPr>
        <w:t xml:space="preserve"> عَهِدَ </w:t>
      </w:r>
      <w:r w:rsidRPr="00F543F1">
        <w:rPr>
          <w:rStyle w:val="libFootnotenumChar"/>
          <w:rtl/>
        </w:rPr>
        <w:t>(13)</w:t>
      </w:r>
      <w:r w:rsidRPr="00132E65">
        <w:rPr>
          <w:rtl/>
          <w:lang w:bidi="fa-IR"/>
        </w:rPr>
        <w:t xml:space="preserve"> إِلَيْهِ ، و</w:t>
      </w:r>
      <w:r w:rsidR="008A122A">
        <w:rPr>
          <w:rFonts w:hint="cs"/>
          <w:rtl/>
          <w:lang w:bidi="fa-IR"/>
        </w:rPr>
        <w:t>َ</w:t>
      </w:r>
      <w:r w:rsidRPr="00132E65">
        <w:rPr>
          <w:rtl/>
          <w:lang w:bidi="fa-IR"/>
        </w:rPr>
        <w:t>لَيْسَ الْمُسْلِمُ مَنْ أَجَابَ بِاللِّسَانِ و</w:t>
      </w:r>
      <w:r w:rsidR="009D0A4F">
        <w:rPr>
          <w:rFonts w:hint="cs"/>
          <w:rtl/>
          <w:lang w:bidi="fa-IR"/>
        </w:rPr>
        <w:t>َ</w:t>
      </w:r>
      <w:r w:rsidRPr="00132E65">
        <w:rPr>
          <w:rtl/>
          <w:lang w:bidi="fa-IR"/>
        </w:rPr>
        <w:t>خَالَفَ بِالْقَلْبِ ؛ و</w:t>
      </w:r>
      <w:r w:rsidR="009D0A4F">
        <w:rPr>
          <w:rFonts w:hint="cs"/>
          <w:rtl/>
          <w:lang w:bidi="fa-IR"/>
        </w:rPr>
        <w:t>َ</w:t>
      </w:r>
      <w:r w:rsidRPr="00132E65">
        <w:rPr>
          <w:rtl/>
          <w:lang w:bidi="fa-IR"/>
        </w:rPr>
        <w:t>السَّلَامُ »</w:t>
      </w:r>
      <w:r>
        <w:rPr>
          <w:rtl/>
          <w:lang w:bidi="fa-IR"/>
        </w:rPr>
        <w:t>.</w:t>
      </w:r>
      <w:r w:rsidRPr="00132E65">
        <w:rPr>
          <w:rtl/>
          <w:lang w:bidi="fa-IR"/>
        </w:rPr>
        <w:t xml:space="preserve"> </w:t>
      </w:r>
      <w:r w:rsidRPr="00F543F1">
        <w:rPr>
          <w:rStyle w:val="libFootnotenumChar"/>
          <w:rtl/>
        </w:rPr>
        <w:t>(14)</w:t>
      </w:r>
      <w:r w:rsidRPr="00132E65">
        <w:rPr>
          <w:rtl/>
          <w:lang w:bidi="fa-IR"/>
        </w:rPr>
        <w:t xml:space="preserve"> ‌</w:t>
      </w:r>
    </w:p>
    <w:p w:rsidR="000C39D1" w:rsidRPr="00132E65" w:rsidRDefault="000C39D1" w:rsidP="000C39D1">
      <w:pPr>
        <w:pStyle w:val="libNormal"/>
        <w:rPr>
          <w:rtl/>
          <w:lang w:bidi="fa-IR"/>
        </w:rPr>
      </w:pPr>
      <w:r w:rsidRPr="00D45583">
        <w:rPr>
          <w:rtl/>
        </w:rPr>
        <w:t>1446</w:t>
      </w:r>
      <w:r w:rsidRPr="004325D8">
        <w:rPr>
          <w:rStyle w:val="libBold2Char"/>
          <w:rtl/>
        </w:rPr>
        <w:t xml:space="preserve"> / 26.</w:t>
      </w:r>
      <w:r w:rsidRPr="00132E65">
        <w:rPr>
          <w:rtl/>
          <w:lang w:bidi="fa-IR"/>
        </w:rPr>
        <w:t xml:space="preserve"> و</w:t>
      </w:r>
      <w:r w:rsidR="009D0A4F">
        <w:rPr>
          <w:rFonts w:hint="cs"/>
          <w:rtl/>
          <w:lang w:bidi="fa-IR"/>
        </w:rPr>
        <w:t>َ</w:t>
      </w:r>
      <w:r w:rsidRPr="00132E65">
        <w:rPr>
          <w:rtl/>
          <w:lang w:bidi="fa-IR"/>
        </w:rPr>
        <w:t xml:space="preserve">بِهذَا الْإِسْنَادِ ، عَنْ مُحَمَّدِ بْنِ زَيْدٍ </w:t>
      </w:r>
      <w:r w:rsidRPr="00F543F1">
        <w:rPr>
          <w:rStyle w:val="libFootnotenumChar"/>
          <w:rtl/>
        </w:rPr>
        <w:t>(15)</w:t>
      </w:r>
      <w:r w:rsidRPr="00132E65">
        <w:rPr>
          <w:rtl/>
          <w:lang w:bidi="fa-IR"/>
        </w:rPr>
        <w:t xml:space="preserve"> ، قَالَ :</w:t>
      </w:r>
    </w:p>
    <w:p w:rsidR="000C39D1" w:rsidRPr="00132E65" w:rsidRDefault="000C39D1" w:rsidP="000C39D1">
      <w:pPr>
        <w:pStyle w:val="libNormal"/>
        <w:rPr>
          <w:rtl/>
          <w:lang w:bidi="fa-IR"/>
        </w:rPr>
      </w:pPr>
      <w:r w:rsidRPr="00132E65">
        <w:rPr>
          <w:rtl/>
          <w:lang w:bidi="fa-IR"/>
        </w:rPr>
        <w:t xml:space="preserve">قَدِمَ قَوْمٌ مِنْ خُرَاسَانَ عَلى أَبِي الْحَسَنِ الرِّضَا </w:t>
      </w:r>
      <w:r w:rsidRPr="00071CF9">
        <w:rPr>
          <w:rStyle w:val="libAlaemChar"/>
          <w:rtl/>
        </w:rPr>
        <w:t>عليه‌السلام</w:t>
      </w:r>
      <w:r w:rsidRPr="00132E65">
        <w:rPr>
          <w:rtl/>
          <w:lang w:bidi="fa-IR"/>
        </w:rPr>
        <w:t xml:space="preserve"> ، فَسَأَلُوهُ أَنْ يَجْعَلَهُمْ فِي حِلٍّ مِنَ الْخُمُسِ ، فَقَالَ : « مَا أَمْحَلَ </w:t>
      </w:r>
      <w:r w:rsidRPr="00F543F1">
        <w:rPr>
          <w:rStyle w:val="libFootnotenumChar"/>
          <w:rtl/>
        </w:rPr>
        <w:t>(16)</w:t>
      </w:r>
      <w:r w:rsidRPr="00132E65">
        <w:rPr>
          <w:rtl/>
          <w:lang w:bidi="fa-IR"/>
        </w:rPr>
        <w:t xml:space="preserve"> هذَا</w:t>
      </w:r>
      <w:r>
        <w:rPr>
          <w:rtl/>
          <w:lang w:bidi="fa-IR"/>
        </w:rPr>
        <w:t>!</w:t>
      </w:r>
      <w:r w:rsidRPr="00132E65">
        <w:rPr>
          <w:rtl/>
          <w:lang w:bidi="fa-IR"/>
        </w:rPr>
        <w:t xml:space="preserve"> تَمْحَضُونَّا </w:t>
      </w:r>
      <w:r w:rsidRPr="00F543F1">
        <w:rPr>
          <w:rStyle w:val="libFootnotenumChar"/>
          <w:rtl/>
        </w:rPr>
        <w:t>(17)</w:t>
      </w:r>
      <w:r w:rsidRPr="00132E65">
        <w:rPr>
          <w:rtl/>
          <w:lang w:bidi="fa-IR"/>
        </w:rPr>
        <w:t xml:space="preserve"> ‌</w:t>
      </w:r>
      <w:r w:rsidR="00C50204">
        <w:rPr>
          <w:rFonts w:hint="cs"/>
          <w:rtl/>
          <w:lang w:bidi="fa-IR"/>
        </w:rPr>
        <w:t>.............................</w:t>
      </w:r>
      <w:r w:rsidR="009D0A4F">
        <w:rPr>
          <w:rFonts w:hint="cs"/>
          <w:rtl/>
          <w:lang w:bidi="fa-IR"/>
        </w:rPr>
        <w:t>.......................</w:t>
      </w:r>
      <w:r w:rsidR="009D0A4F">
        <w:rPr>
          <w:rFonts w:hint="cs"/>
          <w:rtl/>
          <w:lang w:bidi="fa-IR"/>
        </w:rPr>
        <w:tab/>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بح » : « أحلّ »</w:t>
      </w:r>
      <w:r>
        <w:rPr>
          <w:rtl/>
        </w:rPr>
        <w:t>.</w:t>
      </w:r>
    </w:p>
    <w:p w:rsidR="000C39D1" w:rsidRPr="00132E65" w:rsidRDefault="000C39D1" w:rsidP="000C39D1">
      <w:pPr>
        <w:pStyle w:val="libFootnote0"/>
        <w:rPr>
          <w:rtl/>
          <w:lang w:bidi="fa-IR"/>
        </w:rPr>
      </w:pPr>
      <w:r>
        <w:rPr>
          <w:rtl/>
        </w:rPr>
        <w:t>(2).</w:t>
      </w:r>
      <w:r w:rsidRPr="00132E65">
        <w:rPr>
          <w:rtl/>
        </w:rPr>
        <w:t xml:space="preserve"> في </w:t>
      </w:r>
      <w:r w:rsidRPr="009D0A4F">
        <w:rPr>
          <w:rtl/>
        </w:rPr>
        <w:t>الوافي</w:t>
      </w:r>
      <w:r w:rsidRPr="00132E65">
        <w:rPr>
          <w:rtl/>
        </w:rPr>
        <w:t xml:space="preserve"> والمقنعة والتهذيب </w:t>
      </w:r>
      <w:r w:rsidRPr="009D0A4F">
        <w:rPr>
          <w:rtl/>
        </w:rPr>
        <w:t>والاستبصار</w:t>
      </w:r>
      <w:r w:rsidRPr="00132E65">
        <w:rPr>
          <w:rtl/>
        </w:rPr>
        <w:t xml:space="preserve"> والوسائل </w:t>
      </w:r>
      <w:r>
        <w:rPr>
          <w:rtl/>
        </w:rPr>
        <w:t xml:space="preserve">: - </w:t>
      </w:r>
      <w:r w:rsidRPr="00132E65">
        <w:rPr>
          <w:rtl/>
        </w:rPr>
        <w:t>«</w:t>
      </w:r>
      <w:r>
        <w:rPr>
          <w:rtl/>
        </w:rPr>
        <w:t xml:space="preserve"> و ».</w:t>
      </w:r>
    </w:p>
    <w:p w:rsidR="000C39D1" w:rsidRPr="00132E65" w:rsidRDefault="000C39D1" w:rsidP="000C39D1">
      <w:pPr>
        <w:pStyle w:val="libFootnote0"/>
        <w:rPr>
          <w:rtl/>
          <w:lang w:bidi="fa-IR"/>
        </w:rPr>
      </w:pPr>
      <w:r>
        <w:rPr>
          <w:rtl/>
        </w:rPr>
        <w:t>(3).</w:t>
      </w:r>
      <w:r w:rsidRPr="00132E65">
        <w:rPr>
          <w:rtl/>
        </w:rPr>
        <w:t xml:space="preserve"> في </w:t>
      </w:r>
      <w:r w:rsidRPr="009D1ACE">
        <w:rPr>
          <w:rStyle w:val="libFootnoteBoldChar"/>
          <w:rtl/>
        </w:rPr>
        <w:t>مرآة العقول</w:t>
      </w:r>
      <w:r w:rsidRPr="00132E65">
        <w:rPr>
          <w:rtl/>
        </w:rPr>
        <w:t xml:space="preserve"> : « على ديننا ، بكسر المهملة</w:t>
      </w:r>
      <w:r>
        <w:rPr>
          <w:rtl/>
        </w:rPr>
        <w:t xml:space="preserve"> ..</w:t>
      </w:r>
      <w:r w:rsidRPr="00132E65">
        <w:rPr>
          <w:rtl/>
        </w:rPr>
        <w:t>. أو بفتحها ، أي على أداء ديننا »</w:t>
      </w:r>
      <w:r>
        <w:rPr>
          <w:rtl/>
        </w:rPr>
        <w:t>.</w:t>
      </w:r>
    </w:p>
    <w:tbl>
      <w:tblPr>
        <w:tblStyle w:val="TableGrid"/>
        <w:bidiVisual/>
        <w:tblW w:w="0" w:type="auto"/>
        <w:tblLook w:val="04A0" w:firstRow="1" w:lastRow="0" w:firstColumn="1" w:lastColumn="0" w:noHBand="0" w:noVBand="1"/>
      </w:tblPr>
      <w:tblGrid>
        <w:gridCol w:w="4261"/>
        <w:gridCol w:w="4262"/>
      </w:tblGrid>
      <w:tr w:rsidR="009D0A4F" w:rsidTr="009D0A4F">
        <w:tc>
          <w:tcPr>
            <w:tcW w:w="4261" w:type="dxa"/>
          </w:tcPr>
          <w:p w:rsidR="009D0A4F" w:rsidRDefault="009D0A4F" w:rsidP="000C39D1">
            <w:pPr>
              <w:pStyle w:val="libFootnote0"/>
              <w:rPr>
                <w:rtl/>
              </w:rPr>
            </w:pPr>
            <w:r>
              <w:rPr>
                <w:rtl/>
              </w:rPr>
              <w:t>(4).</w:t>
            </w:r>
            <w:r w:rsidRPr="00132E65">
              <w:rPr>
                <w:rtl/>
              </w:rPr>
              <w:t xml:space="preserve"> في </w:t>
            </w:r>
            <w:r w:rsidRPr="009D1ACE">
              <w:rPr>
                <w:rStyle w:val="libFootnoteBoldChar"/>
                <w:rtl/>
              </w:rPr>
              <w:t>مرآة العقول</w:t>
            </w:r>
            <w:r w:rsidRPr="00132E65">
              <w:rPr>
                <w:rtl/>
              </w:rPr>
              <w:t xml:space="preserve"> : « عيالنا »</w:t>
            </w:r>
            <w:r>
              <w:rPr>
                <w:rtl/>
              </w:rPr>
              <w:t>.</w:t>
            </w:r>
          </w:p>
        </w:tc>
        <w:tc>
          <w:tcPr>
            <w:tcW w:w="4262" w:type="dxa"/>
          </w:tcPr>
          <w:p w:rsidR="009D0A4F" w:rsidRDefault="009D0A4F" w:rsidP="000C39D1">
            <w:pPr>
              <w:pStyle w:val="libFootnote0"/>
              <w:rPr>
                <w:rtl/>
              </w:rPr>
            </w:pPr>
            <w:r>
              <w:rPr>
                <w:rtl/>
              </w:rPr>
              <w:t>(5).</w:t>
            </w:r>
            <w:r w:rsidRPr="00132E65">
              <w:rPr>
                <w:rtl/>
              </w:rPr>
              <w:t xml:space="preserve"> في الوسائل : « أموالنا »</w:t>
            </w:r>
            <w:r>
              <w:rPr>
                <w:rtl/>
              </w:rPr>
              <w:t>.</w:t>
            </w:r>
          </w:p>
        </w:tc>
      </w:tr>
      <w:tr w:rsidR="009D0A4F" w:rsidTr="009D0A4F">
        <w:tc>
          <w:tcPr>
            <w:tcW w:w="4261" w:type="dxa"/>
          </w:tcPr>
          <w:p w:rsidR="009D0A4F" w:rsidRDefault="009D0A4F" w:rsidP="000C39D1">
            <w:pPr>
              <w:pStyle w:val="libFootnote0"/>
              <w:rPr>
                <w:rtl/>
              </w:rPr>
            </w:pPr>
            <w:r>
              <w:rPr>
                <w:rtl/>
              </w:rPr>
              <w:t>(6).</w:t>
            </w:r>
            <w:r w:rsidRPr="00132E65">
              <w:rPr>
                <w:rtl/>
              </w:rPr>
              <w:t xml:space="preserve"> في </w:t>
            </w:r>
            <w:r w:rsidRPr="009D0A4F">
              <w:rPr>
                <w:rtl/>
              </w:rPr>
              <w:t>الوافي</w:t>
            </w:r>
            <w:r w:rsidRPr="00132E65">
              <w:rPr>
                <w:rtl/>
              </w:rPr>
              <w:t xml:space="preserve"> والمقنعة والتهذيب : « وما نبذل »</w:t>
            </w:r>
            <w:r>
              <w:rPr>
                <w:rtl/>
              </w:rPr>
              <w:t>.</w:t>
            </w:r>
          </w:p>
        </w:tc>
        <w:tc>
          <w:tcPr>
            <w:tcW w:w="4262" w:type="dxa"/>
          </w:tcPr>
          <w:p w:rsidR="009D0A4F" w:rsidRDefault="009D0A4F" w:rsidP="000C39D1">
            <w:pPr>
              <w:pStyle w:val="libFootnote0"/>
              <w:rPr>
                <w:rtl/>
              </w:rPr>
            </w:pPr>
            <w:r>
              <w:rPr>
                <w:rtl/>
              </w:rPr>
              <w:t>(7).</w:t>
            </w:r>
            <w:r w:rsidRPr="00132E65">
              <w:rPr>
                <w:rtl/>
              </w:rPr>
              <w:t xml:space="preserve"> في « بر » والتهذيب : « تخاف »</w:t>
            </w:r>
            <w:r>
              <w:rPr>
                <w:rtl/>
              </w:rPr>
              <w:t>.</w:t>
            </w:r>
          </w:p>
        </w:tc>
      </w:tr>
    </w:tbl>
    <w:p w:rsidR="000C39D1" w:rsidRPr="00132E65" w:rsidRDefault="000C39D1" w:rsidP="009D0A4F">
      <w:pPr>
        <w:pStyle w:val="libFootnote0"/>
        <w:rPr>
          <w:rtl/>
          <w:lang w:bidi="fa-IR"/>
        </w:rPr>
      </w:pPr>
      <w:r>
        <w:rPr>
          <w:rtl/>
        </w:rPr>
        <w:t>(8).</w:t>
      </w:r>
      <w:r w:rsidRPr="00132E65">
        <w:rPr>
          <w:rtl/>
        </w:rPr>
        <w:t xml:space="preserve"> في « ب ، ف » : « ولا تزووه »</w:t>
      </w:r>
      <w:r>
        <w:rPr>
          <w:rtl/>
        </w:rPr>
        <w:t>.</w:t>
      </w:r>
      <w:r w:rsidRPr="00132E65">
        <w:rPr>
          <w:rtl/>
        </w:rPr>
        <w:t xml:space="preserve"> وفي « ض » : « فلا تردّوه »</w:t>
      </w:r>
      <w:r>
        <w:rPr>
          <w:rtl/>
        </w:rPr>
        <w:t>.</w:t>
      </w:r>
      <w:r w:rsidRPr="00132E65">
        <w:rPr>
          <w:rtl/>
        </w:rPr>
        <w:t xml:space="preserve"> وزويتُ الشي‌ء : جمعته وقبضته. </w:t>
      </w:r>
      <w:r w:rsidRPr="009D0A4F">
        <w:rPr>
          <w:rStyle w:val="libFootnoteBoldChar"/>
          <w:rtl/>
        </w:rPr>
        <w:t>الصحاح</w:t>
      </w:r>
      <w:r w:rsidRPr="00132E65">
        <w:rPr>
          <w:rtl/>
        </w:rPr>
        <w:t xml:space="preserve"> ، ج 6 ، ص 2369 ( زوا )</w:t>
      </w:r>
      <w:r>
        <w:rPr>
          <w:rtl/>
        </w:rPr>
        <w:t>.</w:t>
      </w:r>
      <w:r w:rsidR="009D0A4F">
        <w:rPr>
          <w:rFonts w:hint="cs"/>
          <w:rtl/>
        </w:rPr>
        <w:t xml:space="preserve">       </w:t>
      </w:r>
      <w:r w:rsidR="00C50204">
        <w:rPr>
          <w:rFonts w:hint="cs"/>
          <w:rtl/>
        </w:rPr>
        <w:t xml:space="preserve">                           </w:t>
      </w:r>
      <w:r w:rsidR="009D0A4F">
        <w:rPr>
          <w:rFonts w:hint="cs"/>
          <w:rtl/>
        </w:rPr>
        <w:t xml:space="preserve">         </w:t>
      </w:r>
      <w:r>
        <w:rPr>
          <w:rtl/>
        </w:rPr>
        <w:t>(9).</w:t>
      </w:r>
      <w:r w:rsidRPr="00132E65">
        <w:rPr>
          <w:rtl/>
        </w:rPr>
        <w:t xml:space="preserve"> في « ج » : « دعانا »</w:t>
      </w:r>
      <w:r>
        <w:rPr>
          <w:rtl/>
        </w:rPr>
        <w:t>.</w:t>
      </w:r>
    </w:p>
    <w:p w:rsidR="000C39D1" w:rsidRPr="00132E65" w:rsidRDefault="000C39D1" w:rsidP="000C39D1">
      <w:pPr>
        <w:pStyle w:val="libFootnote0"/>
        <w:rPr>
          <w:rtl/>
          <w:lang w:bidi="fa-IR"/>
        </w:rPr>
      </w:pPr>
      <w:r>
        <w:rPr>
          <w:rtl/>
        </w:rPr>
        <w:t>(10).</w:t>
      </w:r>
      <w:r w:rsidR="009D0A4F">
        <w:rPr>
          <w:rtl/>
        </w:rPr>
        <w:t xml:space="preserve"> أصل الم</w:t>
      </w:r>
      <w:r w:rsidR="009D0A4F">
        <w:rPr>
          <w:rFonts w:hint="cs"/>
          <w:rtl/>
        </w:rPr>
        <w:t>ـَ</w:t>
      </w:r>
      <w:r w:rsidRPr="00132E65">
        <w:rPr>
          <w:rtl/>
        </w:rPr>
        <w:t xml:space="preserve">حْص : التخليص ، ومنه تمحيص الذنوب ، أي إزالتها. </w:t>
      </w:r>
      <w:r w:rsidRPr="009D0A4F">
        <w:rPr>
          <w:rStyle w:val="libFootnoteBoldChar"/>
          <w:rtl/>
        </w:rPr>
        <w:t>النهاية</w:t>
      </w:r>
      <w:r w:rsidRPr="00132E65">
        <w:rPr>
          <w:rtl/>
        </w:rPr>
        <w:t xml:space="preserve"> ، ج 4 ، ص 302 ( محص )</w:t>
      </w:r>
      <w:r>
        <w:rPr>
          <w:rtl/>
        </w:rPr>
        <w:t>.</w:t>
      </w:r>
    </w:p>
    <w:p w:rsidR="000C39D1" w:rsidRPr="00132E65" w:rsidRDefault="000C39D1" w:rsidP="000C39D1">
      <w:pPr>
        <w:pStyle w:val="libFootnote0"/>
        <w:rPr>
          <w:rtl/>
          <w:lang w:bidi="fa-IR"/>
        </w:rPr>
      </w:pPr>
      <w:r>
        <w:rPr>
          <w:rtl/>
        </w:rPr>
        <w:t>(11).</w:t>
      </w:r>
      <w:r w:rsidRPr="00132E65">
        <w:rPr>
          <w:rtl/>
        </w:rPr>
        <w:t xml:space="preserve"> « المهاد » : الفِراش. يقال : مهّدتُ الفِراشَ مهداً ، إذا بسطتَه ووطّأته. ومهّدتُ الأمر تمهيداً : وطّأته وسهّلتُه. والمراد هنا : ما تهّيئون. </w:t>
      </w:r>
      <w:r w:rsidRPr="009D0A4F">
        <w:rPr>
          <w:rStyle w:val="libFootnoteBoldChar"/>
          <w:rtl/>
        </w:rPr>
        <w:t>مجمع البحرين</w:t>
      </w:r>
      <w:r w:rsidRPr="00132E65">
        <w:rPr>
          <w:rtl/>
        </w:rPr>
        <w:t xml:space="preserve"> ، ج 3 ، ص 1729 ( مهد )</w:t>
      </w:r>
      <w:r>
        <w:rPr>
          <w:rtl/>
        </w:rPr>
        <w:t>.</w:t>
      </w:r>
    </w:p>
    <w:tbl>
      <w:tblPr>
        <w:tblStyle w:val="TableGrid"/>
        <w:bidiVisual/>
        <w:tblW w:w="0" w:type="auto"/>
        <w:tblLook w:val="04A0" w:firstRow="1" w:lastRow="0" w:firstColumn="1" w:lastColumn="0" w:noHBand="0" w:noVBand="1"/>
      </w:tblPr>
      <w:tblGrid>
        <w:gridCol w:w="4261"/>
        <w:gridCol w:w="4262"/>
      </w:tblGrid>
      <w:tr w:rsidR="009D0A4F" w:rsidTr="009D0A4F">
        <w:tc>
          <w:tcPr>
            <w:tcW w:w="4261" w:type="dxa"/>
          </w:tcPr>
          <w:p w:rsidR="009D0A4F" w:rsidRDefault="009D0A4F" w:rsidP="000C39D1">
            <w:pPr>
              <w:pStyle w:val="libFootnote0"/>
              <w:rPr>
                <w:rtl/>
              </w:rPr>
            </w:pPr>
            <w:r>
              <w:rPr>
                <w:rtl/>
              </w:rPr>
              <w:t>(12).</w:t>
            </w:r>
            <w:r w:rsidRPr="00132E65">
              <w:rPr>
                <w:rtl/>
              </w:rPr>
              <w:t xml:space="preserve"> في « بح » : « وبما »</w:t>
            </w:r>
            <w:r>
              <w:rPr>
                <w:rtl/>
              </w:rPr>
              <w:t>.</w:t>
            </w:r>
          </w:p>
        </w:tc>
        <w:tc>
          <w:tcPr>
            <w:tcW w:w="4262" w:type="dxa"/>
          </w:tcPr>
          <w:p w:rsidR="009D0A4F" w:rsidRDefault="009D0A4F" w:rsidP="000C39D1">
            <w:pPr>
              <w:pStyle w:val="libFootnote0"/>
              <w:rPr>
                <w:rtl/>
              </w:rPr>
            </w:pPr>
            <w:r>
              <w:rPr>
                <w:rtl/>
              </w:rPr>
              <w:t>(13)</w:t>
            </w:r>
            <w:r w:rsidRPr="00132E65">
              <w:rPr>
                <w:rtl/>
              </w:rPr>
              <w:t xml:space="preserve"> في </w:t>
            </w:r>
            <w:r w:rsidRPr="009D0A4F">
              <w:rPr>
                <w:rtl/>
              </w:rPr>
              <w:t>الوافي</w:t>
            </w:r>
            <w:r w:rsidRPr="00132E65">
              <w:rPr>
                <w:rtl/>
              </w:rPr>
              <w:t xml:space="preserve"> والتهذيب </w:t>
            </w:r>
            <w:r w:rsidRPr="009D0A4F">
              <w:rPr>
                <w:rtl/>
              </w:rPr>
              <w:t>والاستبصار</w:t>
            </w:r>
            <w:r w:rsidRPr="00132E65">
              <w:rPr>
                <w:rtl/>
              </w:rPr>
              <w:t xml:space="preserve"> : « عاهد »</w:t>
            </w:r>
            <w:r>
              <w:rPr>
                <w:rtl/>
              </w:rPr>
              <w:t>.</w:t>
            </w:r>
          </w:p>
        </w:tc>
      </w:tr>
    </w:tbl>
    <w:p w:rsidR="000C39D1" w:rsidRPr="00132E65" w:rsidRDefault="000C39D1" w:rsidP="000C39D1">
      <w:pPr>
        <w:pStyle w:val="libFootnote0"/>
        <w:rPr>
          <w:rtl/>
          <w:lang w:bidi="fa-IR"/>
        </w:rPr>
      </w:pPr>
      <w:r>
        <w:rPr>
          <w:rtl/>
        </w:rPr>
        <w:t>(14)</w:t>
      </w:r>
      <w:r w:rsidRPr="00132E65">
        <w:rPr>
          <w:rtl/>
        </w:rPr>
        <w:t xml:space="preserve"> </w:t>
      </w:r>
      <w:r w:rsidRPr="009D0A4F">
        <w:rPr>
          <w:rStyle w:val="libFootnoteBoldChar"/>
          <w:rtl/>
        </w:rPr>
        <w:t>التهذيب</w:t>
      </w:r>
      <w:r w:rsidRPr="00132E65">
        <w:rPr>
          <w:rtl/>
        </w:rPr>
        <w:t xml:space="preserve"> ، ج 4 ، ص 139 ، ح 395 ؛ و</w:t>
      </w:r>
      <w:r w:rsidRPr="007A1104">
        <w:rPr>
          <w:rStyle w:val="libFootnoteBoldChar"/>
          <w:rtl/>
        </w:rPr>
        <w:t>الاستبصار</w:t>
      </w:r>
      <w:r w:rsidRPr="00132E65">
        <w:rPr>
          <w:rtl/>
        </w:rPr>
        <w:t xml:space="preserve"> ، ج 2 ، ص 59 ، ح 195 ، بإسنادهما عن محمّد بن يزيد الطبري. </w:t>
      </w:r>
      <w:r w:rsidRPr="009D0A4F">
        <w:rPr>
          <w:rStyle w:val="libFootnoteBoldChar"/>
          <w:rtl/>
        </w:rPr>
        <w:t>المقنعة</w:t>
      </w:r>
      <w:r w:rsidRPr="00132E65">
        <w:rPr>
          <w:rtl/>
        </w:rPr>
        <w:t xml:space="preserve"> ، ص 283 ، مرسلاً عن محمّد بن يزيد الطبري </w:t>
      </w:r>
      <w:r w:rsidR="009D0A4F">
        <w:rPr>
          <w:rFonts w:hint="cs"/>
          <w:rtl/>
        </w:rPr>
        <w:t>.</w:t>
      </w:r>
      <w:r w:rsidRPr="009D1ACE">
        <w:rPr>
          <w:rStyle w:val="libFootnoteBoldChar"/>
          <w:rtl/>
        </w:rPr>
        <w:t>الوافي</w:t>
      </w:r>
      <w:r w:rsidRPr="00132E65">
        <w:rPr>
          <w:rtl/>
        </w:rPr>
        <w:t xml:space="preserve"> ، ج 10 ، ص 334 ، ح 9656 ؛ </w:t>
      </w:r>
      <w:r w:rsidRPr="009D0A4F">
        <w:rPr>
          <w:rStyle w:val="libFootnoteBoldChar"/>
          <w:rtl/>
        </w:rPr>
        <w:t>الوسائل</w:t>
      </w:r>
      <w:r w:rsidRPr="00132E65">
        <w:rPr>
          <w:rtl/>
        </w:rPr>
        <w:t xml:space="preserve"> ، ج 9 ، ص 538 ، ح 12665.</w:t>
      </w:r>
    </w:p>
    <w:p w:rsidR="000C39D1" w:rsidRPr="00132E65" w:rsidRDefault="000C39D1" w:rsidP="000C39D1">
      <w:pPr>
        <w:pStyle w:val="libFootnote0"/>
        <w:rPr>
          <w:rtl/>
          <w:lang w:bidi="fa-IR"/>
        </w:rPr>
      </w:pPr>
      <w:r>
        <w:rPr>
          <w:rtl/>
        </w:rPr>
        <w:t>(15)</w:t>
      </w:r>
      <w:r w:rsidRPr="00132E65">
        <w:rPr>
          <w:rtl/>
        </w:rPr>
        <w:t xml:space="preserve"> محمّد بن زيد : هو الطبري المذكور في السند السابق ، فالمراد بهذا الإسناد واضح.</w:t>
      </w:r>
    </w:p>
    <w:p w:rsidR="000C39D1" w:rsidRPr="00132E65" w:rsidRDefault="000C39D1" w:rsidP="000C39D1">
      <w:pPr>
        <w:pStyle w:val="libFootnote0"/>
        <w:rPr>
          <w:rtl/>
          <w:lang w:bidi="fa-IR"/>
        </w:rPr>
      </w:pPr>
      <w:r>
        <w:rPr>
          <w:rtl/>
        </w:rPr>
        <w:t>(16)</w:t>
      </w:r>
      <w:r w:rsidRPr="00132E65">
        <w:rPr>
          <w:rtl/>
        </w:rPr>
        <w:t xml:space="preserve"> قولهم : ما أمحل هذا : إنكارٌ لوقوعه. </w:t>
      </w:r>
      <w:r w:rsidRPr="009D0A4F">
        <w:rPr>
          <w:rStyle w:val="libFootnoteBoldChar"/>
          <w:rtl/>
        </w:rPr>
        <w:t>مجمع البحرين</w:t>
      </w:r>
      <w:r w:rsidRPr="00132E65">
        <w:rPr>
          <w:rtl/>
        </w:rPr>
        <w:t xml:space="preserve"> ، ج 3 ، ص 1677 ( محل )</w:t>
      </w:r>
      <w:r>
        <w:rPr>
          <w:rtl/>
        </w:rPr>
        <w:t>.</w:t>
      </w:r>
    </w:p>
    <w:p w:rsidR="000C39D1" w:rsidRPr="00132E65" w:rsidRDefault="000C39D1" w:rsidP="000C39D1">
      <w:pPr>
        <w:pStyle w:val="libFootnote0"/>
        <w:rPr>
          <w:rtl/>
          <w:lang w:bidi="fa-IR"/>
        </w:rPr>
      </w:pPr>
      <w:r>
        <w:rPr>
          <w:rtl/>
        </w:rPr>
        <w:t>(17)</w:t>
      </w:r>
      <w:r w:rsidRPr="00132E65">
        <w:rPr>
          <w:rtl/>
        </w:rPr>
        <w:t xml:space="preserve"> احتمل المجلسي كونه من المحض أو الإمحاض ؛ حيث قال في </w:t>
      </w:r>
      <w:r w:rsidRPr="009D1ACE">
        <w:rPr>
          <w:rStyle w:val="libFootnoteBoldChar"/>
          <w:rtl/>
        </w:rPr>
        <w:t>مرآة العقول</w:t>
      </w:r>
      <w:r w:rsidRPr="00132E65">
        <w:rPr>
          <w:rtl/>
        </w:rPr>
        <w:t xml:space="preserve"> : « والمحْض والإمحاض : </w:t>
      </w:r>
      <w:r w:rsidR="009D0A4F">
        <w:rPr>
          <w:rFonts w:hint="cs"/>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بِالْمَوَدَّةِ </w:t>
      </w:r>
      <w:r>
        <w:rPr>
          <w:rStyle w:val="libFootnotenumChar"/>
          <w:rtl/>
        </w:rPr>
        <w:t>(1)</w:t>
      </w:r>
      <w:r w:rsidRPr="00132E65">
        <w:rPr>
          <w:rtl/>
          <w:lang w:bidi="fa-IR"/>
        </w:rPr>
        <w:t xml:space="preserve"> بِأَلْسِنَتِكُمْ ، وتَزْوُونَ عَنَّا حَقّاً </w:t>
      </w:r>
      <w:r>
        <w:rPr>
          <w:rStyle w:val="libFootnotenumChar"/>
          <w:rtl/>
        </w:rPr>
        <w:t>(2)</w:t>
      </w:r>
      <w:r w:rsidRPr="00132E65">
        <w:rPr>
          <w:rtl/>
          <w:lang w:bidi="fa-IR"/>
        </w:rPr>
        <w:t xml:space="preserve"> جَعَلَهُ اللهُ لَنَا وجَعَلَنَا لَهُ ، وهُوَ الْخُمُسُ </w:t>
      </w:r>
      <w:r>
        <w:rPr>
          <w:rStyle w:val="libFootnotenumChar"/>
          <w:rtl/>
        </w:rPr>
        <w:t>(3)</w:t>
      </w:r>
      <w:r w:rsidRPr="00132E65">
        <w:rPr>
          <w:rtl/>
          <w:lang w:bidi="fa-IR"/>
        </w:rPr>
        <w:t xml:space="preserve"> ، لَا نَجْعَلُ ، لَانَجْعَلُ ، </w:t>
      </w:r>
      <w:r>
        <w:rPr>
          <w:rStyle w:val="libFootnotenumChar"/>
          <w:rtl/>
        </w:rPr>
        <w:t>(4)</w:t>
      </w:r>
      <w:r w:rsidRPr="00132E65">
        <w:rPr>
          <w:rtl/>
          <w:lang w:bidi="fa-IR"/>
        </w:rPr>
        <w:t xml:space="preserve"> لَانَجْعَلُ </w:t>
      </w:r>
      <w:r>
        <w:rPr>
          <w:rStyle w:val="libFootnotenumChar"/>
          <w:rtl/>
        </w:rPr>
        <w:t>(5)</w:t>
      </w:r>
      <w:r w:rsidRPr="00132E65">
        <w:rPr>
          <w:rtl/>
          <w:lang w:bidi="fa-IR"/>
        </w:rPr>
        <w:t xml:space="preserve"> لِأَحَدٍ </w:t>
      </w:r>
      <w:r>
        <w:rPr>
          <w:rStyle w:val="libFootnotenumChar"/>
          <w:rtl/>
        </w:rPr>
        <w:t>(6)</w:t>
      </w:r>
      <w:r w:rsidRPr="00132E65">
        <w:rPr>
          <w:rtl/>
          <w:lang w:bidi="fa-IR"/>
        </w:rPr>
        <w:t xml:space="preserve"> مِنْكُمْ فِي حِلٍّ »</w:t>
      </w:r>
      <w:r>
        <w:rPr>
          <w:rtl/>
          <w:lang w:bidi="fa-IR"/>
        </w:rPr>
        <w:t>.</w:t>
      </w:r>
      <w:r w:rsidRPr="00132E65">
        <w:rPr>
          <w:rtl/>
          <w:lang w:bidi="fa-IR"/>
        </w:rPr>
        <w:t xml:space="preserve"> </w:t>
      </w:r>
      <w:r>
        <w:rPr>
          <w:rStyle w:val="libFootnotenumChar"/>
          <w:rtl/>
        </w:rPr>
        <w:t>(7)</w:t>
      </w:r>
      <w:r w:rsidRPr="00132E65">
        <w:rPr>
          <w:rtl/>
          <w:lang w:bidi="fa-IR"/>
        </w:rPr>
        <w:t xml:space="preserve"> ‌</w:t>
      </w:r>
    </w:p>
    <w:p w:rsidR="000C39D1" w:rsidRPr="00132E65" w:rsidRDefault="000C39D1" w:rsidP="000C39D1">
      <w:pPr>
        <w:pStyle w:val="libNormal"/>
        <w:rPr>
          <w:rtl/>
          <w:lang w:bidi="fa-IR"/>
        </w:rPr>
      </w:pPr>
      <w:r w:rsidRPr="00D45583">
        <w:rPr>
          <w:rtl/>
        </w:rPr>
        <w:t>1447</w:t>
      </w:r>
      <w:r w:rsidRPr="004325D8">
        <w:rPr>
          <w:rStyle w:val="libBold2Char"/>
          <w:rtl/>
        </w:rPr>
        <w:t xml:space="preserve"> / 27.</w:t>
      </w:r>
      <w:r w:rsidRPr="00132E65">
        <w:rPr>
          <w:rtl/>
          <w:lang w:bidi="fa-IR"/>
        </w:rPr>
        <w:t xml:space="preserve"> عَلِيُّ بْنُ إِبْرَاهِيمَ ، عَنْ أَبِيهِ ، قَالَ :</w:t>
      </w:r>
    </w:p>
    <w:p w:rsidR="000C39D1" w:rsidRPr="00132E65" w:rsidRDefault="000C39D1" w:rsidP="000C39D1">
      <w:pPr>
        <w:pStyle w:val="libNormal"/>
        <w:rPr>
          <w:rtl/>
          <w:lang w:bidi="fa-IR"/>
        </w:rPr>
      </w:pPr>
      <w:r w:rsidRPr="00132E65">
        <w:rPr>
          <w:rtl/>
          <w:lang w:bidi="fa-IR"/>
        </w:rPr>
        <w:t xml:space="preserve">كُنْتُ عِنْدَ أَبِي جَعْفَرٍ الثَّانِي </w:t>
      </w:r>
      <w:r w:rsidRPr="00071CF9">
        <w:rPr>
          <w:rStyle w:val="libAlaemChar"/>
          <w:rtl/>
        </w:rPr>
        <w:t>عليه‌السلام</w:t>
      </w:r>
      <w:r w:rsidRPr="00132E65">
        <w:rPr>
          <w:rtl/>
          <w:lang w:bidi="fa-IR"/>
        </w:rPr>
        <w:t xml:space="preserve"> إِذْ دَخَلَ عَلَيْهِ صَالِحُ بْنُ مُحَمَّدِ بْنِ سَهْلٍ </w:t>
      </w:r>
      <w:r>
        <w:rPr>
          <w:rStyle w:val="libFootnotenumChar"/>
          <w:rtl/>
        </w:rPr>
        <w:t>(8)</w:t>
      </w:r>
      <w:r>
        <w:rPr>
          <w:rtl/>
          <w:lang w:bidi="fa-IR"/>
        </w:rPr>
        <w:t xml:space="preserve"> - </w:t>
      </w:r>
      <w:r w:rsidRPr="00132E65">
        <w:rPr>
          <w:rtl/>
          <w:lang w:bidi="fa-IR"/>
        </w:rPr>
        <w:t>و</w:t>
      </w:r>
      <w:r w:rsidR="009D0A4F">
        <w:rPr>
          <w:rFonts w:hint="cs"/>
          <w:rtl/>
          <w:lang w:bidi="fa-IR"/>
        </w:rPr>
        <w:t>َ</w:t>
      </w:r>
      <w:r w:rsidRPr="00132E65">
        <w:rPr>
          <w:rtl/>
          <w:lang w:bidi="fa-IR"/>
        </w:rPr>
        <w:t xml:space="preserve">كَانَ يَتَوَلّى لَهُ الْوَقْفَ بِقُمَّ </w:t>
      </w:r>
      <w:r>
        <w:rPr>
          <w:rStyle w:val="libFootnotenumChar"/>
          <w:rtl/>
        </w:rPr>
        <w:t>(9)</w:t>
      </w:r>
      <w:r>
        <w:rPr>
          <w:rtl/>
          <w:lang w:bidi="fa-IR"/>
        </w:rPr>
        <w:t xml:space="preserve"> - </w:t>
      </w:r>
      <w:r w:rsidRPr="00132E65">
        <w:rPr>
          <w:rtl/>
          <w:lang w:bidi="fa-IR"/>
        </w:rPr>
        <w:t xml:space="preserve">فَقَالَ : يَا سَيِّدِي </w:t>
      </w:r>
      <w:r>
        <w:rPr>
          <w:rStyle w:val="libFootnotenumChar"/>
          <w:rtl/>
        </w:rPr>
        <w:t>(10)</w:t>
      </w:r>
      <w:r w:rsidRPr="00132E65">
        <w:rPr>
          <w:rtl/>
          <w:lang w:bidi="fa-IR"/>
        </w:rPr>
        <w:t xml:space="preserve"> ، اجْعَلْنِي مِنْ عَشَرَةِ آلَافٍ </w:t>
      </w:r>
      <w:r>
        <w:rPr>
          <w:rStyle w:val="libFootnotenumChar"/>
          <w:rtl/>
        </w:rPr>
        <w:t>(11)</w:t>
      </w:r>
      <w:r w:rsidRPr="00132E65">
        <w:rPr>
          <w:rtl/>
          <w:lang w:bidi="fa-IR"/>
        </w:rPr>
        <w:t xml:space="preserve"> فِي حِلٍّ ؛ فَإِنِّي </w:t>
      </w:r>
      <w:r>
        <w:rPr>
          <w:rStyle w:val="libFootnotenumChar"/>
          <w:rtl/>
        </w:rPr>
        <w:t>(12)</w:t>
      </w:r>
      <w:r w:rsidRPr="00132E65">
        <w:rPr>
          <w:rtl/>
          <w:lang w:bidi="fa-IR"/>
        </w:rPr>
        <w:t xml:space="preserve"> أَنْفَقْتُهَا ، فَقَالَ لَهُ </w:t>
      </w:r>
      <w:r w:rsidRPr="00F543F1">
        <w:rPr>
          <w:rStyle w:val="libFootnotenumChar"/>
          <w:rtl/>
        </w:rPr>
        <w:t>(13)</w:t>
      </w:r>
      <w:r w:rsidRPr="00132E65">
        <w:rPr>
          <w:rtl/>
          <w:lang w:bidi="fa-IR"/>
        </w:rPr>
        <w:t xml:space="preserve"> : « أَنْتَ فِي حِلٍّ »</w:t>
      </w:r>
      <w:r>
        <w:rPr>
          <w:rtl/>
          <w:lang w:bidi="fa-IR"/>
        </w:rPr>
        <w:t>.</w:t>
      </w:r>
    </w:p>
    <w:p w:rsidR="000C39D1" w:rsidRPr="00132E65" w:rsidRDefault="000C39D1" w:rsidP="000C39D1">
      <w:pPr>
        <w:pStyle w:val="libNormal"/>
        <w:rPr>
          <w:rtl/>
          <w:lang w:bidi="fa-IR"/>
        </w:rPr>
      </w:pPr>
      <w:r w:rsidRPr="00132E65">
        <w:rPr>
          <w:rtl/>
          <w:lang w:bidi="fa-IR"/>
        </w:rPr>
        <w:t xml:space="preserve">فَلَمَّا خَرَجَ صَالِحٌ </w:t>
      </w:r>
      <w:r w:rsidRPr="00F543F1">
        <w:rPr>
          <w:rStyle w:val="libFootnotenumChar"/>
          <w:rtl/>
        </w:rPr>
        <w:t>(14)</w:t>
      </w:r>
      <w:r w:rsidRPr="00132E65">
        <w:rPr>
          <w:rtl/>
          <w:lang w:bidi="fa-IR"/>
        </w:rPr>
        <w:t xml:space="preserve"> ، قَالَ أَبُو جَعْفَرٍ </w:t>
      </w:r>
      <w:r w:rsidRPr="00071CF9">
        <w:rPr>
          <w:rStyle w:val="libAlaemChar"/>
          <w:rtl/>
        </w:rPr>
        <w:t>عليه‌السلام</w:t>
      </w:r>
      <w:r w:rsidRPr="00132E65">
        <w:rPr>
          <w:rtl/>
          <w:lang w:bidi="fa-IR"/>
        </w:rPr>
        <w:t xml:space="preserve"> : « أَحَدُهُمْ يَثِبُ عَلى أَمْوَالِ حَقِّ </w:t>
      </w:r>
      <w:r w:rsidRPr="00F543F1">
        <w:rPr>
          <w:rStyle w:val="libFootnotenumChar"/>
          <w:rtl/>
        </w:rPr>
        <w:t>(15)</w:t>
      </w:r>
      <w:r w:rsidRPr="00132E65">
        <w:rPr>
          <w:rtl/>
          <w:lang w:bidi="fa-IR"/>
        </w:rPr>
        <w:t xml:space="preserve"> آلِ مُحَمَّدٍ وَأَيْتَامِهِمْ و</w:t>
      </w:r>
      <w:r w:rsidR="00555F2B">
        <w:rPr>
          <w:rFonts w:hint="cs"/>
          <w:rtl/>
          <w:lang w:bidi="fa-IR"/>
        </w:rPr>
        <w:t>َ</w:t>
      </w:r>
      <w:r w:rsidRPr="00132E65">
        <w:rPr>
          <w:rtl/>
          <w:lang w:bidi="fa-IR"/>
        </w:rPr>
        <w:t>مَسَاكِينِهِمْ و</w:t>
      </w:r>
      <w:r w:rsidR="00555F2B">
        <w:rPr>
          <w:rFonts w:hint="cs"/>
          <w:rtl/>
          <w:lang w:bidi="fa-IR"/>
        </w:rPr>
        <w:t>َ</w:t>
      </w:r>
      <w:r w:rsidRPr="00132E65">
        <w:rPr>
          <w:rtl/>
          <w:lang w:bidi="fa-IR"/>
        </w:rPr>
        <w:t xml:space="preserve">فُقَرَائِهِمْ </w:t>
      </w:r>
      <w:r w:rsidRPr="00F543F1">
        <w:rPr>
          <w:rStyle w:val="libFootnotenumChar"/>
          <w:rtl/>
        </w:rPr>
        <w:t>(16)</w:t>
      </w:r>
      <w:r w:rsidRPr="00132E65">
        <w:rPr>
          <w:rtl/>
          <w:lang w:bidi="fa-IR"/>
        </w:rPr>
        <w:t xml:space="preserve"> و</w:t>
      </w:r>
      <w:r w:rsidR="00555F2B">
        <w:rPr>
          <w:rFonts w:hint="cs"/>
          <w:rtl/>
          <w:lang w:bidi="fa-IR"/>
        </w:rPr>
        <w:t>َ</w:t>
      </w:r>
      <w:r w:rsidRPr="00132E65">
        <w:rPr>
          <w:rtl/>
          <w:lang w:bidi="fa-IR"/>
        </w:rPr>
        <w:t xml:space="preserve">أَبْنَاءِ سَبِيلِهِمْ ، فَيَأْخُذُهُ </w:t>
      </w:r>
      <w:r w:rsidRPr="00F543F1">
        <w:rPr>
          <w:rStyle w:val="libFootnotenumChar"/>
          <w:rtl/>
        </w:rPr>
        <w:t>(17)</w:t>
      </w:r>
      <w:r w:rsidRPr="00132E65">
        <w:rPr>
          <w:rtl/>
          <w:lang w:bidi="fa-IR"/>
        </w:rPr>
        <w:t xml:space="preserve"> ، ثُمَّ يَجِي‌ءُ ، فَيَقُولُ :</w:t>
      </w:r>
    </w:p>
    <w:p w:rsidR="000C39D1" w:rsidRPr="00132E65" w:rsidRDefault="000C39D1" w:rsidP="000C39D1">
      <w:pPr>
        <w:pStyle w:val="libLine"/>
        <w:rPr>
          <w:rtl/>
          <w:lang w:bidi="fa-IR"/>
        </w:rPr>
      </w:pPr>
      <w:r w:rsidRPr="00132E65">
        <w:rPr>
          <w:rtl/>
          <w:lang w:bidi="fa-IR"/>
        </w:rPr>
        <w:t>__________________</w:t>
      </w:r>
    </w:p>
    <w:p w:rsidR="000C39D1" w:rsidRPr="00132E65" w:rsidRDefault="00555F2B" w:rsidP="000C39D1">
      <w:pPr>
        <w:pStyle w:val="libFootnote0"/>
        <w:rPr>
          <w:rtl/>
          <w:lang w:bidi="fa-IR"/>
        </w:rPr>
      </w:pPr>
      <w:r>
        <w:rPr>
          <w:rFonts w:hint="cs"/>
          <w:rtl/>
        </w:rPr>
        <w:t xml:space="preserve">= </w:t>
      </w:r>
      <w:r w:rsidR="000C39D1" w:rsidRPr="00132E65">
        <w:rPr>
          <w:rtl/>
        </w:rPr>
        <w:t>الإخلاص ، والباء في « بالمودّة » زائدة للتقوية »</w:t>
      </w:r>
      <w:r w:rsidR="000C39D1">
        <w:rPr>
          <w:rtl/>
        </w:rPr>
        <w:t>.</w:t>
      </w:r>
      <w:r w:rsidR="000C39D1" w:rsidRPr="00132E65">
        <w:rPr>
          <w:rtl/>
        </w:rPr>
        <w:t xml:space="preserve"> وراجع : أيضاً : </w:t>
      </w:r>
      <w:r w:rsidR="000C39D1" w:rsidRPr="00555F2B">
        <w:rPr>
          <w:rStyle w:val="libFootnoteBoldChar"/>
          <w:rtl/>
        </w:rPr>
        <w:t>المصباح المنير</w:t>
      </w:r>
      <w:r w:rsidR="000C39D1" w:rsidRPr="00132E65">
        <w:rPr>
          <w:rtl/>
        </w:rPr>
        <w:t xml:space="preserve"> ، ص 565. قال في </w:t>
      </w:r>
      <w:r w:rsidR="000C39D1" w:rsidRPr="00555F2B">
        <w:rPr>
          <w:rStyle w:val="libFootnoteBoldChar"/>
          <w:rtl/>
        </w:rPr>
        <w:t>النحو</w:t>
      </w:r>
      <w:r w:rsidR="000C39D1" w:rsidRPr="00132E65">
        <w:rPr>
          <w:rtl/>
        </w:rPr>
        <w:t xml:space="preserve"> </w:t>
      </w:r>
      <w:r w:rsidR="000C39D1" w:rsidRPr="009D1ACE">
        <w:rPr>
          <w:rStyle w:val="libFootnoteBoldChar"/>
          <w:rtl/>
        </w:rPr>
        <w:t>الوافي</w:t>
      </w:r>
      <w:r w:rsidR="000C39D1" w:rsidRPr="00132E65">
        <w:rPr>
          <w:rtl/>
        </w:rPr>
        <w:t xml:space="preserve"> ، ج 1 ، ص 163 : « هنا لغة تحذف نون الرفع بلا جازم وناصب ، فلا يلزم شدّ النون »</w:t>
      </w:r>
      <w:r w:rsidR="000C39D1">
        <w:rPr>
          <w:rtl/>
        </w:rPr>
        <w:t>.</w:t>
      </w:r>
    </w:p>
    <w:p w:rsidR="000C39D1" w:rsidRPr="00132E65" w:rsidRDefault="000C39D1" w:rsidP="000C39D1">
      <w:pPr>
        <w:pStyle w:val="libFootnote0"/>
        <w:rPr>
          <w:rtl/>
          <w:lang w:bidi="fa-IR"/>
        </w:rPr>
      </w:pPr>
      <w:r>
        <w:rPr>
          <w:rtl/>
        </w:rPr>
        <w:t>(1).</w:t>
      </w:r>
      <w:r w:rsidRPr="00132E65">
        <w:rPr>
          <w:rtl/>
        </w:rPr>
        <w:t xml:space="preserve"> في </w:t>
      </w:r>
      <w:r w:rsidRPr="00555F2B">
        <w:rPr>
          <w:rtl/>
        </w:rPr>
        <w:t>الوافي</w:t>
      </w:r>
      <w:r w:rsidRPr="00132E65">
        <w:rPr>
          <w:rtl/>
        </w:rPr>
        <w:t xml:space="preserve"> والمقنعة والتهذيب </w:t>
      </w:r>
      <w:r w:rsidRPr="00555F2B">
        <w:rPr>
          <w:rtl/>
        </w:rPr>
        <w:t>والاستبصار</w:t>
      </w:r>
      <w:r w:rsidRPr="00132E65">
        <w:rPr>
          <w:rtl/>
        </w:rPr>
        <w:t xml:space="preserve"> والوسائل : « المودّة »</w:t>
      </w:r>
      <w:r>
        <w:rPr>
          <w:rtl/>
        </w:rPr>
        <w:t>.</w:t>
      </w:r>
    </w:p>
    <w:p w:rsidR="000C39D1" w:rsidRPr="00132E65" w:rsidRDefault="000C39D1" w:rsidP="000C39D1">
      <w:pPr>
        <w:pStyle w:val="libFootnote0"/>
        <w:rPr>
          <w:rtl/>
          <w:lang w:bidi="fa-IR"/>
        </w:rPr>
      </w:pPr>
      <w:r>
        <w:rPr>
          <w:rtl/>
        </w:rPr>
        <w:t>(2).</w:t>
      </w:r>
      <w:r w:rsidRPr="00132E65">
        <w:rPr>
          <w:rtl/>
        </w:rPr>
        <w:t xml:space="preserve"> في « ف » : « حقّنا »</w:t>
      </w:r>
      <w:r>
        <w:rPr>
          <w:rtl/>
        </w:rPr>
        <w:t>.</w:t>
      </w:r>
    </w:p>
    <w:p w:rsidR="000C39D1" w:rsidRPr="00132E65" w:rsidRDefault="000C39D1" w:rsidP="000C39D1">
      <w:pPr>
        <w:pStyle w:val="libFootnote0"/>
        <w:rPr>
          <w:rtl/>
          <w:lang w:bidi="fa-IR"/>
        </w:rPr>
      </w:pPr>
      <w:r>
        <w:rPr>
          <w:rtl/>
        </w:rPr>
        <w:t>(3).</w:t>
      </w:r>
      <w:r w:rsidRPr="00132E65">
        <w:rPr>
          <w:rtl/>
        </w:rPr>
        <w:t xml:space="preserve"> في « بس » والوسائل </w:t>
      </w:r>
      <w:r>
        <w:rPr>
          <w:rtl/>
        </w:rPr>
        <w:t xml:space="preserve">: - </w:t>
      </w:r>
      <w:r w:rsidRPr="00132E65">
        <w:rPr>
          <w:rtl/>
        </w:rPr>
        <w:t>« وهو الخمس »</w:t>
      </w:r>
      <w:r>
        <w:rPr>
          <w:rtl/>
        </w:rPr>
        <w:t>.</w:t>
      </w:r>
    </w:p>
    <w:tbl>
      <w:tblPr>
        <w:tblStyle w:val="TableGrid"/>
        <w:bidiVisual/>
        <w:tblW w:w="0" w:type="auto"/>
        <w:tblLook w:val="04A0" w:firstRow="1" w:lastRow="0" w:firstColumn="1" w:lastColumn="0" w:noHBand="0" w:noVBand="1"/>
      </w:tblPr>
      <w:tblGrid>
        <w:gridCol w:w="4261"/>
        <w:gridCol w:w="4262"/>
      </w:tblGrid>
      <w:tr w:rsidR="00555F2B" w:rsidTr="00555F2B">
        <w:tc>
          <w:tcPr>
            <w:tcW w:w="4261" w:type="dxa"/>
          </w:tcPr>
          <w:p w:rsidR="00555F2B" w:rsidRDefault="00555F2B" w:rsidP="000C39D1">
            <w:pPr>
              <w:pStyle w:val="libFootnote0"/>
              <w:rPr>
                <w:rtl/>
              </w:rPr>
            </w:pPr>
            <w:r>
              <w:rPr>
                <w:rtl/>
              </w:rPr>
              <w:t>(4).</w:t>
            </w:r>
            <w:r w:rsidRPr="00132E65">
              <w:rPr>
                <w:rtl/>
              </w:rPr>
              <w:t xml:space="preserve"> في « ض » </w:t>
            </w:r>
            <w:r>
              <w:rPr>
                <w:rtl/>
              </w:rPr>
              <w:t xml:space="preserve">: - </w:t>
            </w:r>
            <w:r w:rsidRPr="00132E65">
              <w:rPr>
                <w:rtl/>
              </w:rPr>
              <w:t>« لا نجعل لا نجعل »</w:t>
            </w:r>
            <w:r>
              <w:rPr>
                <w:rtl/>
              </w:rPr>
              <w:t>.</w:t>
            </w:r>
          </w:p>
        </w:tc>
        <w:tc>
          <w:tcPr>
            <w:tcW w:w="4262" w:type="dxa"/>
          </w:tcPr>
          <w:p w:rsidR="00555F2B" w:rsidRDefault="00555F2B" w:rsidP="000C39D1">
            <w:pPr>
              <w:pStyle w:val="libFootnote0"/>
              <w:rPr>
                <w:rtl/>
              </w:rPr>
            </w:pPr>
            <w:r>
              <w:rPr>
                <w:rtl/>
              </w:rPr>
              <w:t>(5).</w:t>
            </w:r>
            <w:r w:rsidRPr="00132E65">
              <w:rPr>
                <w:rtl/>
              </w:rPr>
              <w:t xml:space="preserve"> في « بر » : « لا يجعل »</w:t>
            </w:r>
            <w:r>
              <w:rPr>
                <w:rtl/>
              </w:rPr>
              <w:t>.</w:t>
            </w:r>
          </w:p>
        </w:tc>
      </w:tr>
    </w:tbl>
    <w:p w:rsidR="000C39D1" w:rsidRPr="00132E65" w:rsidRDefault="000C39D1" w:rsidP="000C39D1">
      <w:pPr>
        <w:pStyle w:val="libFootnote0"/>
        <w:rPr>
          <w:rtl/>
          <w:lang w:bidi="fa-IR"/>
        </w:rPr>
      </w:pPr>
      <w:r>
        <w:rPr>
          <w:rtl/>
        </w:rPr>
        <w:t>(6).</w:t>
      </w:r>
      <w:r w:rsidRPr="00132E65">
        <w:rPr>
          <w:rtl/>
        </w:rPr>
        <w:t xml:space="preserve"> الظاهر زيادة اللام في المفعول به.</w:t>
      </w:r>
    </w:p>
    <w:p w:rsidR="000C39D1" w:rsidRPr="00132E65" w:rsidRDefault="000C39D1" w:rsidP="000C39D1">
      <w:pPr>
        <w:pStyle w:val="libFootnote0"/>
        <w:rPr>
          <w:rtl/>
          <w:lang w:bidi="fa-IR"/>
        </w:rPr>
      </w:pPr>
      <w:r>
        <w:rPr>
          <w:rtl/>
        </w:rPr>
        <w:t>(7).</w:t>
      </w:r>
      <w:r w:rsidRPr="00132E65">
        <w:rPr>
          <w:rtl/>
        </w:rPr>
        <w:t xml:space="preserve"> </w:t>
      </w:r>
      <w:r w:rsidRPr="00555F2B">
        <w:rPr>
          <w:rStyle w:val="libFootnoteBoldChar"/>
          <w:rtl/>
        </w:rPr>
        <w:t>التهذيب</w:t>
      </w:r>
      <w:r w:rsidRPr="00132E65">
        <w:rPr>
          <w:rtl/>
        </w:rPr>
        <w:t xml:space="preserve"> ، ج 4 ، ص 140 ، ص 396 ؛ </w:t>
      </w:r>
      <w:r w:rsidRPr="00555F2B">
        <w:rPr>
          <w:rStyle w:val="libFootnoteBoldChar"/>
          <w:rtl/>
        </w:rPr>
        <w:t>و</w:t>
      </w:r>
      <w:r w:rsidRPr="007A1104">
        <w:rPr>
          <w:rStyle w:val="libFootnoteBoldChar"/>
          <w:rtl/>
        </w:rPr>
        <w:t>الاستبصار</w:t>
      </w:r>
      <w:r w:rsidRPr="00D45583">
        <w:rPr>
          <w:rtl/>
        </w:rPr>
        <w:t xml:space="preserve"> </w:t>
      </w:r>
      <w:r w:rsidRPr="00132E65">
        <w:rPr>
          <w:rtl/>
        </w:rPr>
        <w:t xml:space="preserve">، ج 2 ، ص 60 ، ح 196 ، بإسنادهما عن محمّد بن يزيد الطبري ؛ </w:t>
      </w:r>
      <w:r w:rsidRPr="00555F2B">
        <w:rPr>
          <w:rStyle w:val="libFootnoteBoldChar"/>
          <w:rtl/>
        </w:rPr>
        <w:t>المقنعة</w:t>
      </w:r>
      <w:r w:rsidRPr="00132E65">
        <w:rPr>
          <w:rtl/>
        </w:rPr>
        <w:t xml:space="preserve"> ، ص 284 ، مرسلاً عن محمّد بن يزيد </w:t>
      </w:r>
      <w:r w:rsidR="00555F2B">
        <w:rPr>
          <w:rFonts w:hint="cs"/>
          <w:rtl/>
        </w:rPr>
        <w:t>.</w:t>
      </w:r>
      <w:r w:rsidRPr="009D1ACE">
        <w:rPr>
          <w:rStyle w:val="libFootnoteBoldChar"/>
          <w:rtl/>
        </w:rPr>
        <w:t>الوافي</w:t>
      </w:r>
      <w:r w:rsidRPr="00132E65">
        <w:rPr>
          <w:rtl/>
        </w:rPr>
        <w:t xml:space="preserve"> ، ج 10 ، ص 335 ، ح 9657 ؛ </w:t>
      </w:r>
      <w:r w:rsidRPr="00555F2B">
        <w:rPr>
          <w:rStyle w:val="libFootnoteBoldChar"/>
          <w:rtl/>
        </w:rPr>
        <w:t>الوسائل</w:t>
      </w:r>
      <w:r w:rsidRPr="00132E65">
        <w:rPr>
          <w:rtl/>
        </w:rPr>
        <w:t xml:space="preserve"> ، ج 9 ، ص 539 ، ح 12666.</w:t>
      </w:r>
    </w:p>
    <w:p w:rsidR="000C39D1" w:rsidRPr="00132E65" w:rsidRDefault="000C39D1" w:rsidP="000C39D1">
      <w:pPr>
        <w:pStyle w:val="libFootnote0"/>
        <w:rPr>
          <w:rtl/>
          <w:lang w:bidi="fa-IR"/>
        </w:rPr>
      </w:pPr>
      <w:r>
        <w:rPr>
          <w:rtl/>
        </w:rPr>
        <w:t>(8).</w:t>
      </w:r>
      <w:r w:rsidRPr="00132E65">
        <w:rPr>
          <w:rtl/>
        </w:rPr>
        <w:t xml:space="preserve"> في الغيبة :</w:t>
      </w:r>
      <w:r>
        <w:rPr>
          <w:rtl/>
        </w:rPr>
        <w:t xml:space="preserve"> + </w:t>
      </w:r>
      <w:r w:rsidRPr="00132E65">
        <w:rPr>
          <w:rtl/>
        </w:rPr>
        <w:t>« الهمداني »</w:t>
      </w:r>
      <w:r>
        <w:rPr>
          <w:rtl/>
        </w:rPr>
        <w:t>.</w:t>
      </w:r>
    </w:p>
    <w:p w:rsidR="000C39D1" w:rsidRPr="00132E65" w:rsidRDefault="000C39D1" w:rsidP="000C39D1">
      <w:pPr>
        <w:pStyle w:val="libFootnote0"/>
        <w:rPr>
          <w:rtl/>
          <w:lang w:bidi="fa-IR"/>
        </w:rPr>
      </w:pPr>
      <w:r>
        <w:rPr>
          <w:rtl/>
        </w:rPr>
        <w:t>(9).</w:t>
      </w:r>
      <w:r w:rsidRPr="00132E65">
        <w:rPr>
          <w:rtl/>
        </w:rPr>
        <w:t xml:space="preserve"> في الغيبة </w:t>
      </w:r>
      <w:r>
        <w:rPr>
          <w:rtl/>
        </w:rPr>
        <w:t xml:space="preserve">: - </w:t>
      </w:r>
      <w:r w:rsidRPr="00132E65">
        <w:rPr>
          <w:rtl/>
        </w:rPr>
        <w:t>« الوقف بقمّ »</w:t>
      </w:r>
      <w:r>
        <w:rPr>
          <w:rtl/>
        </w:rPr>
        <w:t>.</w:t>
      </w:r>
    </w:p>
    <w:p w:rsidR="000C39D1" w:rsidRPr="00132E65" w:rsidRDefault="000C39D1" w:rsidP="000C39D1">
      <w:pPr>
        <w:pStyle w:val="libFootnote0"/>
        <w:rPr>
          <w:rtl/>
          <w:lang w:bidi="fa-IR"/>
        </w:rPr>
      </w:pPr>
      <w:r>
        <w:rPr>
          <w:rtl/>
        </w:rPr>
        <w:t>(10).</w:t>
      </w:r>
      <w:r w:rsidRPr="00132E65">
        <w:rPr>
          <w:rtl/>
        </w:rPr>
        <w:t xml:space="preserve"> في الغيبة : « فقال له : جعلت فداك » بدل « فقال : يا سيّدي »</w:t>
      </w:r>
      <w:r>
        <w:rPr>
          <w:rtl/>
        </w:rPr>
        <w:t>.</w:t>
      </w:r>
    </w:p>
    <w:p w:rsidR="000C39D1" w:rsidRPr="00132E65" w:rsidRDefault="000C39D1" w:rsidP="000C39D1">
      <w:pPr>
        <w:pStyle w:val="libFootnote0"/>
        <w:rPr>
          <w:rtl/>
          <w:lang w:bidi="fa-IR"/>
        </w:rPr>
      </w:pPr>
      <w:r>
        <w:rPr>
          <w:rtl/>
        </w:rPr>
        <w:t>(11).</w:t>
      </w:r>
      <w:r w:rsidRPr="00132E65">
        <w:rPr>
          <w:rtl/>
        </w:rPr>
        <w:t xml:space="preserve"> في </w:t>
      </w:r>
      <w:r w:rsidRPr="00555F2B">
        <w:rPr>
          <w:rtl/>
        </w:rPr>
        <w:t>الوافي</w:t>
      </w:r>
      <w:r w:rsidRPr="00132E65">
        <w:rPr>
          <w:rtl/>
        </w:rPr>
        <w:t xml:space="preserve"> والمقنعة والتهذيب </w:t>
      </w:r>
      <w:r w:rsidRPr="00555F2B">
        <w:rPr>
          <w:rtl/>
        </w:rPr>
        <w:t>والاستبصار</w:t>
      </w:r>
      <w:r w:rsidRPr="00132E65">
        <w:rPr>
          <w:rtl/>
        </w:rPr>
        <w:t xml:space="preserve"> والغيبة :</w:t>
      </w:r>
      <w:r>
        <w:rPr>
          <w:rtl/>
        </w:rPr>
        <w:t xml:space="preserve"> + </w:t>
      </w:r>
      <w:r w:rsidRPr="00132E65">
        <w:rPr>
          <w:rtl/>
        </w:rPr>
        <w:t>« درهم »</w:t>
      </w:r>
      <w:r>
        <w:rPr>
          <w:rtl/>
        </w:rPr>
        <w:t>.</w:t>
      </w:r>
    </w:p>
    <w:tbl>
      <w:tblPr>
        <w:tblStyle w:val="TableGrid"/>
        <w:bidiVisual/>
        <w:tblW w:w="0" w:type="auto"/>
        <w:tblLook w:val="04A0" w:firstRow="1" w:lastRow="0" w:firstColumn="1" w:lastColumn="0" w:noHBand="0" w:noVBand="1"/>
      </w:tblPr>
      <w:tblGrid>
        <w:gridCol w:w="4261"/>
        <w:gridCol w:w="4262"/>
      </w:tblGrid>
      <w:tr w:rsidR="00555F2B" w:rsidTr="00555F2B">
        <w:tc>
          <w:tcPr>
            <w:tcW w:w="4261" w:type="dxa"/>
          </w:tcPr>
          <w:p w:rsidR="00555F2B" w:rsidRDefault="00555F2B" w:rsidP="000C39D1">
            <w:pPr>
              <w:pStyle w:val="libFootnote0"/>
              <w:rPr>
                <w:rtl/>
              </w:rPr>
            </w:pPr>
            <w:r>
              <w:rPr>
                <w:rtl/>
              </w:rPr>
              <w:t>(12).</w:t>
            </w:r>
            <w:r w:rsidRPr="00132E65">
              <w:rPr>
                <w:rtl/>
              </w:rPr>
              <w:t xml:space="preserve"> في الوسائل :</w:t>
            </w:r>
            <w:r>
              <w:rPr>
                <w:rtl/>
              </w:rPr>
              <w:t xml:space="preserve"> + </w:t>
            </w:r>
            <w:r w:rsidRPr="00132E65">
              <w:rPr>
                <w:rtl/>
              </w:rPr>
              <w:t>« قد »</w:t>
            </w:r>
            <w:r>
              <w:rPr>
                <w:rtl/>
              </w:rPr>
              <w:t>.</w:t>
            </w:r>
          </w:p>
        </w:tc>
        <w:tc>
          <w:tcPr>
            <w:tcW w:w="4262" w:type="dxa"/>
          </w:tcPr>
          <w:p w:rsidR="00555F2B" w:rsidRDefault="00555F2B" w:rsidP="000C39D1">
            <w:pPr>
              <w:pStyle w:val="libFootnote0"/>
              <w:rPr>
                <w:rtl/>
              </w:rPr>
            </w:pPr>
            <w:r>
              <w:rPr>
                <w:rtl/>
              </w:rPr>
              <w:t>(13)</w:t>
            </w:r>
            <w:r w:rsidRPr="00132E65">
              <w:rPr>
                <w:rtl/>
              </w:rPr>
              <w:t xml:space="preserve"> في الغيبة :</w:t>
            </w:r>
            <w:r>
              <w:rPr>
                <w:rtl/>
              </w:rPr>
              <w:t xml:space="preserve"> + </w:t>
            </w:r>
            <w:r w:rsidRPr="00132E65">
              <w:rPr>
                <w:rtl/>
              </w:rPr>
              <w:t>« أبو جعفر »</w:t>
            </w:r>
            <w:r>
              <w:rPr>
                <w:rtl/>
              </w:rPr>
              <w:t>.</w:t>
            </w:r>
          </w:p>
        </w:tc>
      </w:tr>
    </w:tbl>
    <w:p w:rsidR="000C39D1" w:rsidRPr="00132E65" w:rsidRDefault="000C39D1" w:rsidP="000C39D1">
      <w:pPr>
        <w:pStyle w:val="libFootnote0"/>
        <w:rPr>
          <w:rtl/>
          <w:lang w:bidi="fa-IR"/>
        </w:rPr>
      </w:pPr>
      <w:r>
        <w:rPr>
          <w:rtl/>
        </w:rPr>
        <w:t>(14)</w:t>
      </w:r>
      <w:r w:rsidRPr="00132E65">
        <w:rPr>
          <w:rtl/>
        </w:rPr>
        <w:t xml:space="preserve"> في الغيبة :</w:t>
      </w:r>
      <w:r>
        <w:rPr>
          <w:rtl/>
        </w:rPr>
        <w:t xml:space="preserve"> + </w:t>
      </w:r>
      <w:r w:rsidRPr="00132E65">
        <w:rPr>
          <w:rtl/>
        </w:rPr>
        <w:t>« من عنده »</w:t>
      </w:r>
      <w:r>
        <w:rPr>
          <w:rtl/>
        </w:rPr>
        <w:t>.</w:t>
      </w:r>
    </w:p>
    <w:p w:rsidR="000C39D1" w:rsidRPr="00132E65" w:rsidRDefault="000C39D1" w:rsidP="000C39D1">
      <w:pPr>
        <w:pStyle w:val="libFootnote0"/>
        <w:rPr>
          <w:rtl/>
          <w:lang w:bidi="fa-IR"/>
        </w:rPr>
      </w:pPr>
      <w:r>
        <w:rPr>
          <w:rtl/>
        </w:rPr>
        <w:t>(15)</w:t>
      </w:r>
      <w:r w:rsidRPr="00132E65">
        <w:rPr>
          <w:rtl/>
        </w:rPr>
        <w:t xml:space="preserve"> في « ب » </w:t>
      </w:r>
      <w:r w:rsidRPr="00555F2B">
        <w:rPr>
          <w:rtl/>
        </w:rPr>
        <w:t>والوافي</w:t>
      </w:r>
      <w:r w:rsidRPr="00132E65">
        <w:rPr>
          <w:rtl/>
        </w:rPr>
        <w:t xml:space="preserve"> والمقنعة والتهذيب </w:t>
      </w:r>
      <w:r w:rsidRPr="00555F2B">
        <w:rPr>
          <w:rtl/>
        </w:rPr>
        <w:t>والاستبصار</w:t>
      </w:r>
      <w:r w:rsidRPr="00132E65">
        <w:rPr>
          <w:rtl/>
        </w:rPr>
        <w:t xml:space="preserve"> والوسائل </w:t>
      </w:r>
      <w:r>
        <w:rPr>
          <w:rtl/>
        </w:rPr>
        <w:t xml:space="preserve">: - </w:t>
      </w:r>
      <w:r w:rsidRPr="00132E65">
        <w:rPr>
          <w:rtl/>
        </w:rPr>
        <w:t>« حقّ »</w:t>
      </w:r>
      <w:r>
        <w:rPr>
          <w:rtl/>
        </w:rPr>
        <w:t>.</w:t>
      </w:r>
    </w:p>
    <w:p w:rsidR="000C39D1" w:rsidRPr="00132E65" w:rsidRDefault="000C39D1" w:rsidP="000C39D1">
      <w:pPr>
        <w:pStyle w:val="libFootnote0"/>
        <w:rPr>
          <w:rtl/>
          <w:lang w:bidi="fa-IR"/>
        </w:rPr>
      </w:pPr>
      <w:r>
        <w:rPr>
          <w:rtl/>
        </w:rPr>
        <w:t>(16)</w:t>
      </w:r>
      <w:r w:rsidRPr="00132E65">
        <w:rPr>
          <w:rtl/>
        </w:rPr>
        <w:t xml:space="preserve"> في الغيبة : « وفقرائهم ومساكينهم » بدل « وأيتامهم ومساكينهم وفقرائهم »</w:t>
      </w:r>
      <w:r>
        <w:rPr>
          <w:rtl/>
        </w:rPr>
        <w:t>.</w:t>
      </w:r>
    </w:p>
    <w:p w:rsidR="000C39D1" w:rsidRPr="00132E65" w:rsidRDefault="000C39D1" w:rsidP="000C39D1">
      <w:pPr>
        <w:pStyle w:val="libFootnote0"/>
        <w:rPr>
          <w:rtl/>
          <w:lang w:bidi="fa-IR"/>
        </w:rPr>
      </w:pPr>
      <w:r>
        <w:rPr>
          <w:rtl/>
        </w:rPr>
        <w:t>(17)</w:t>
      </w:r>
      <w:r w:rsidRPr="00132E65">
        <w:rPr>
          <w:rtl/>
        </w:rPr>
        <w:t xml:space="preserve"> في </w:t>
      </w:r>
      <w:r w:rsidRPr="00555F2B">
        <w:rPr>
          <w:rtl/>
        </w:rPr>
        <w:t>الوافي</w:t>
      </w:r>
      <w:r w:rsidRPr="00132E65">
        <w:rPr>
          <w:rtl/>
        </w:rPr>
        <w:t xml:space="preserve"> والمقنعة والتهذيب </w:t>
      </w:r>
      <w:r w:rsidRPr="00555F2B">
        <w:rPr>
          <w:rtl/>
        </w:rPr>
        <w:t>والاستبصار</w:t>
      </w:r>
      <w:r w:rsidRPr="00132E65">
        <w:rPr>
          <w:rtl/>
        </w:rPr>
        <w:t xml:space="preserve"> : « فيأخذها »</w:t>
      </w:r>
      <w:r>
        <w:rPr>
          <w:rtl/>
        </w:rPr>
        <w:t>.</w:t>
      </w:r>
    </w:p>
    <w:p w:rsidR="000C39D1" w:rsidRDefault="000C39D1" w:rsidP="000C39D1">
      <w:pPr>
        <w:pStyle w:val="libNormal0"/>
        <w:tabs>
          <w:tab w:val="left" w:pos="3968"/>
        </w:tabs>
        <w:rPr>
          <w:rtl/>
          <w:lang w:bidi="fa-IR"/>
        </w:rPr>
      </w:pPr>
      <w:r>
        <w:rPr>
          <w:rtl/>
          <w:lang w:bidi="fa-IR"/>
        </w:rPr>
        <w:br w:type="page"/>
      </w:r>
    </w:p>
    <w:p w:rsidR="000C39D1" w:rsidRPr="00132E65" w:rsidRDefault="000C39D1" w:rsidP="000C39D1">
      <w:pPr>
        <w:pStyle w:val="libNormal0"/>
        <w:tabs>
          <w:tab w:val="left" w:pos="3968"/>
        </w:tabs>
        <w:rPr>
          <w:rtl/>
          <w:lang w:bidi="fa-IR"/>
        </w:rPr>
      </w:pPr>
      <w:r w:rsidRPr="00132E65">
        <w:rPr>
          <w:rtl/>
          <w:lang w:bidi="fa-IR"/>
        </w:rPr>
        <w:t xml:space="preserve">اجْعَلْنِي فِي </w:t>
      </w:r>
      <w:r>
        <w:rPr>
          <w:rStyle w:val="libFootnotenumChar"/>
          <w:rtl/>
        </w:rPr>
        <w:t>(1)</w:t>
      </w:r>
      <w:r>
        <w:rPr>
          <w:rtl/>
          <w:lang w:bidi="fa-IR"/>
        </w:rPr>
        <w:t xml:space="preserve"> حِلٍّ ، أَ</w:t>
      </w:r>
      <w:r w:rsidRPr="00132E65">
        <w:rPr>
          <w:rtl/>
          <w:lang w:bidi="fa-IR"/>
        </w:rPr>
        <w:t xml:space="preserve">تَرَاهُ ظَنَّ </w:t>
      </w:r>
      <w:r>
        <w:rPr>
          <w:rStyle w:val="libFootnotenumChar"/>
          <w:rtl/>
        </w:rPr>
        <w:t>(2)</w:t>
      </w:r>
      <w:r w:rsidRPr="00132E65">
        <w:rPr>
          <w:rtl/>
          <w:lang w:bidi="fa-IR"/>
        </w:rPr>
        <w:t xml:space="preserve"> أَنِّي أَقُولُ </w:t>
      </w:r>
      <w:r>
        <w:rPr>
          <w:rStyle w:val="libFootnotenumChar"/>
          <w:rtl/>
        </w:rPr>
        <w:t>(3)</w:t>
      </w:r>
      <w:r w:rsidRPr="00132E65">
        <w:rPr>
          <w:rtl/>
          <w:lang w:bidi="fa-IR"/>
        </w:rPr>
        <w:t xml:space="preserve"> : لَا</w:t>
      </w:r>
      <w:r>
        <w:rPr>
          <w:rFonts w:hint="cs"/>
          <w:rtl/>
          <w:lang w:bidi="fa-IR"/>
        </w:rPr>
        <w:t xml:space="preserve"> </w:t>
      </w:r>
      <w:r w:rsidRPr="00132E65">
        <w:rPr>
          <w:rtl/>
          <w:lang w:bidi="fa-IR"/>
        </w:rPr>
        <w:t>أَفْعَلُ ، و</w:t>
      </w:r>
      <w:r w:rsidR="00555F2B">
        <w:rPr>
          <w:rFonts w:hint="cs"/>
          <w:rtl/>
          <w:lang w:bidi="fa-IR"/>
        </w:rPr>
        <w:t>َ</w:t>
      </w:r>
      <w:r w:rsidRPr="00132E65">
        <w:rPr>
          <w:rtl/>
          <w:lang w:bidi="fa-IR"/>
        </w:rPr>
        <w:t xml:space="preserve">اللهِ لَيَسْأَلَنَّهُمُ اللهُ يَوْمَ الْقِيَامَةِ عَنْ </w:t>
      </w:r>
      <w:r>
        <w:rPr>
          <w:rStyle w:val="libFootnotenumChar"/>
          <w:rtl/>
        </w:rPr>
        <w:t>(4)</w:t>
      </w:r>
      <w:r w:rsidRPr="00132E65">
        <w:rPr>
          <w:rtl/>
          <w:lang w:bidi="fa-IR"/>
        </w:rPr>
        <w:t xml:space="preserve"> ذلِكَ سُؤَالاً حَثِيثاً </w:t>
      </w:r>
      <w:r>
        <w:rPr>
          <w:rStyle w:val="libFootnotenumChar"/>
          <w:rtl/>
        </w:rPr>
        <w:t>(5)</w:t>
      </w:r>
      <w:r w:rsidRPr="00132E65">
        <w:rPr>
          <w:rtl/>
          <w:lang w:bidi="fa-IR"/>
        </w:rPr>
        <w:t xml:space="preserve"> »</w:t>
      </w:r>
      <w:r>
        <w:rPr>
          <w:rtl/>
          <w:lang w:bidi="fa-IR"/>
        </w:rPr>
        <w:t>.</w:t>
      </w:r>
      <w:r w:rsidRPr="00132E65">
        <w:rPr>
          <w:rtl/>
          <w:lang w:bidi="fa-IR"/>
        </w:rPr>
        <w:t xml:space="preserve"> </w:t>
      </w:r>
      <w:r>
        <w:rPr>
          <w:rStyle w:val="libFootnotenumChar"/>
          <w:rtl/>
        </w:rPr>
        <w:t>(6)</w:t>
      </w:r>
      <w:r w:rsidRPr="00132E65">
        <w:rPr>
          <w:rtl/>
          <w:lang w:bidi="fa-IR"/>
        </w:rPr>
        <w:t xml:space="preserve"> ‌</w:t>
      </w:r>
    </w:p>
    <w:p w:rsidR="000C39D1" w:rsidRPr="00132E65" w:rsidRDefault="000C39D1" w:rsidP="000C39D1">
      <w:pPr>
        <w:pStyle w:val="libCenter"/>
        <w:rPr>
          <w:rtl/>
          <w:lang w:bidi="fa-IR"/>
        </w:rPr>
      </w:pPr>
      <w:r w:rsidRPr="00D45583">
        <w:rPr>
          <w:rtl/>
        </w:rPr>
        <w:t>1448</w:t>
      </w:r>
      <w:r w:rsidRPr="004325D8">
        <w:rPr>
          <w:rStyle w:val="libBold2Char"/>
          <w:rtl/>
        </w:rPr>
        <w:t xml:space="preserve"> / 28.</w:t>
      </w:r>
      <w:r w:rsidRPr="00132E65">
        <w:rPr>
          <w:rtl/>
          <w:lang w:bidi="fa-IR"/>
        </w:rPr>
        <w:t xml:space="preserve"> عَلِيٌّ ، عَنْ أَبِيهِ ، عَنِ ابْنِ أَبِي عُمَيْرٍ ، عَنْ حَمَّادٍ ، عَنِ الْحَلَبِيِّ ، قَالَ :</w:t>
      </w:r>
    </w:p>
    <w:p w:rsidR="000C39D1" w:rsidRPr="00132E65" w:rsidRDefault="000C39D1" w:rsidP="000C39D1">
      <w:pPr>
        <w:pStyle w:val="libCenter"/>
        <w:rPr>
          <w:rtl/>
          <w:lang w:bidi="fa-IR"/>
        </w:rPr>
      </w:pPr>
      <w:r w:rsidRPr="00132E65">
        <w:rPr>
          <w:rtl/>
          <w:lang w:bidi="fa-IR"/>
        </w:rPr>
        <w:t xml:space="preserve">سَأَلْتُ أَبَا عَبْدِ اللهِ </w:t>
      </w:r>
      <w:r w:rsidRPr="00071CF9">
        <w:rPr>
          <w:rStyle w:val="libAlaemChar"/>
          <w:rtl/>
        </w:rPr>
        <w:t>عليه‌السلام</w:t>
      </w:r>
      <w:r w:rsidRPr="00132E65">
        <w:rPr>
          <w:rtl/>
          <w:lang w:bidi="fa-IR"/>
        </w:rPr>
        <w:t xml:space="preserve"> عَنِ الْعَنْبَرِ </w:t>
      </w:r>
      <w:r>
        <w:rPr>
          <w:rStyle w:val="libFootnotenumChar"/>
          <w:rtl/>
        </w:rPr>
        <w:t>(7)</w:t>
      </w:r>
      <w:r w:rsidRPr="00132E65">
        <w:rPr>
          <w:rtl/>
          <w:lang w:bidi="fa-IR"/>
        </w:rPr>
        <w:t xml:space="preserve"> و</w:t>
      </w:r>
      <w:r w:rsidR="00555F2B">
        <w:rPr>
          <w:rFonts w:hint="cs"/>
          <w:rtl/>
          <w:lang w:bidi="fa-IR"/>
        </w:rPr>
        <w:t>َ</w:t>
      </w:r>
      <w:r w:rsidRPr="00132E65">
        <w:rPr>
          <w:rtl/>
          <w:lang w:bidi="fa-IR"/>
        </w:rPr>
        <w:t xml:space="preserve">غَوْصِ اللُّؤْلُؤِ ، فَقَالَ </w:t>
      </w:r>
      <w:r w:rsidRPr="00071CF9">
        <w:rPr>
          <w:rStyle w:val="libAlaemChar"/>
          <w:rtl/>
        </w:rPr>
        <w:t>عليه‌السلام</w:t>
      </w:r>
      <w:r w:rsidRPr="00132E65">
        <w:rPr>
          <w:rtl/>
          <w:lang w:bidi="fa-IR"/>
        </w:rPr>
        <w:t xml:space="preserve"> : « عَلَيْهِ الْخُمُسُ »</w:t>
      </w:r>
      <w:r>
        <w:rPr>
          <w:rtl/>
          <w:lang w:bidi="fa-IR"/>
        </w:rPr>
        <w:t>.</w:t>
      </w:r>
      <w:r w:rsidRPr="00132E65">
        <w:rPr>
          <w:rtl/>
          <w:lang w:bidi="fa-IR"/>
        </w:rPr>
        <w:t xml:space="preserve"> </w:t>
      </w:r>
      <w:r>
        <w:rPr>
          <w:rStyle w:val="libFootnotenumChar"/>
          <w:rtl/>
        </w:rPr>
        <w:t>(8)</w:t>
      </w:r>
      <w:r w:rsidRPr="00132E65">
        <w:rPr>
          <w:rtl/>
          <w:lang w:bidi="fa-IR"/>
        </w:rPr>
        <w:t xml:space="preserve"> ‌</w:t>
      </w:r>
    </w:p>
    <w:p w:rsidR="000C39D1" w:rsidRDefault="000C39D1" w:rsidP="000C39D1">
      <w:pPr>
        <w:pStyle w:val="libCenter"/>
        <w:rPr>
          <w:rtl/>
          <w:lang w:bidi="fa-IR"/>
        </w:rPr>
      </w:pPr>
      <w:r w:rsidRPr="00132E65">
        <w:rPr>
          <w:rtl/>
          <w:lang w:bidi="fa-IR"/>
        </w:rPr>
        <w:t>كَمَلَ الْجُزْءُ الثَّانِي مِنْ كِتَابِ الْحُجَّةِ مِنْ كِتَابِ الْكَافِي ، و</w:t>
      </w:r>
      <w:r w:rsidR="00555F2B">
        <w:rPr>
          <w:rFonts w:hint="cs"/>
          <w:rtl/>
          <w:lang w:bidi="fa-IR"/>
        </w:rPr>
        <w:t>َ</w:t>
      </w:r>
      <w:r w:rsidRPr="00132E65">
        <w:rPr>
          <w:rtl/>
          <w:lang w:bidi="fa-IR"/>
        </w:rPr>
        <w:t xml:space="preserve">يَتْلُوهُ كِتَابُ الْإِيمَانِ </w:t>
      </w:r>
    </w:p>
    <w:p w:rsidR="000C39D1" w:rsidRDefault="000C39D1" w:rsidP="000C39D1">
      <w:pPr>
        <w:pStyle w:val="libCenter"/>
        <w:rPr>
          <w:rtl/>
          <w:lang w:bidi="fa-IR"/>
        </w:rPr>
      </w:pPr>
      <w:r w:rsidRPr="00132E65">
        <w:rPr>
          <w:rtl/>
          <w:lang w:bidi="fa-IR"/>
        </w:rPr>
        <w:t>وَالْكُفْرِ ، و</w:t>
      </w:r>
      <w:r w:rsidR="00555F2B">
        <w:rPr>
          <w:rFonts w:hint="cs"/>
          <w:rtl/>
          <w:lang w:bidi="fa-IR"/>
        </w:rPr>
        <w:t>َ</w:t>
      </w:r>
      <w:r w:rsidRPr="00132E65">
        <w:rPr>
          <w:rtl/>
          <w:lang w:bidi="fa-IR"/>
        </w:rPr>
        <w:t>الْحَمْدُ لِلّهِ رَبِّ الْعَالَمِينَ ، و</w:t>
      </w:r>
      <w:r w:rsidR="00555F2B">
        <w:rPr>
          <w:rFonts w:hint="cs"/>
          <w:rtl/>
          <w:lang w:bidi="fa-IR"/>
        </w:rPr>
        <w:t>َ</w:t>
      </w:r>
      <w:r w:rsidRPr="00132E65">
        <w:rPr>
          <w:rtl/>
          <w:lang w:bidi="fa-IR"/>
        </w:rPr>
        <w:t>السَّلَامُ عَلى مُحَمَّدٍ و</w:t>
      </w:r>
      <w:r w:rsidR="00555F2B">
        <w:rPr>
          <w:rFonts w:hint="cs"/>
          <w:rtl/>
          <w:lang w:bidi="fa-IR"/>
        </w:rPr>
        <w:t>َ</w:t>
      </w:r>
      <w:r w:rsidRPr="00132E65">
        <w:rPr>
          <w:rtl/>
          <w:lang w:bidi="fa-IR"/>
        </w:rPr>
        <w:t>آلِهِ الطَّيِّبِينَ</w:t>
      </w:r>
    </w:p>
    <w:p w:rsidR="000C39D1" w:rsidRPr="00132E65" w:rsidRDefault="000C39D1" w:rsidP="000C39D1">
      <w:pPr>
        <w:pStyle w:val="libCenter"/>
        <w:rPr>
          <w:rtl/>
          <w:lang w:bidi="fa-IR"/>
        </w:rPr>
      </w:pPr>
      <w:r w:rsidRPr="00132E65">
        <w:rPr>
          <w:rtl/>
          <w:lang w:bidi="fa-IR"/>
        </w:rPr>
        <w:t xml:space="preserve">الطَّاهِرِينَ. </w:t>
      </w:r>
      <w:r>
        <w:rPr>
          <w:rStyle w:val="libFootnotenumChar"/>
          <w:rtl/>
        </w:rPr>
        <w:t>(9)</w:t>
      </w:r>
      <w:r w:rsidRPr="00132E65">
        <w:rPr>
          <w:rtl/>
          <w:lang w:bidi="fa-IR"/>
        </w:rPr>
        <w:t xml:space="preserve"> ‌</w:t>
      </w:r>
    </w:p>
    <w:p w:rsidR="000C39D1" w:rsidRPr="00132E65" w:rsidRDefault="000C39D1" w:rsidP="000C39D1">
      <w:pPr>
        <w:pStyle w:val="libLine"/>
        <w:rPr>
          <w:rtl/>
          <w:lang w:bidi="fa-IR"/>
        </w:rPr>
      </w:pPr>
      <w:r w:rsidRPr="00132E65">
        <w:rPr>
          <w:rtl/>
          <w:lang w:bidi="fa-IR"/>
        </w:rPr>
        <w:t>__________________</w:t>
      </w:r>
    </w:p>
    <w:p w:rsidR="000C39D1" w:rsidRPr="00132E65" w:rsidRDefault="000C39D1" w:rsidP="000C39D1">
      <w:pPr>
        <w:pStyle w:val="libFootnote0"/>
        <w:rPr>
          <w:rtl/>
          <w:lang w:bidi="fa-IR"/>
        </w:rPr>
      </w:pPr>
      <w:r>
        <w:rPr>
          <w:rtl/>
        </w:rPr>
        <w:t>(1).</w:t>
      </w:r>
      <w:r w:rsidRPr="00132E65">
        <w:rPr>
          <w:rtl/>
        </w:rPr>
        <w:t xml:space="preserve"> في « بر » : « من »</w:t>
      </w:r>
      <w:r>
        <w:rPr>
          <w:rtl/>
        </w:rPr>
        <w:t>.</w:t>
      </w:r>
    </w:p>
    <w:p w:rsidR="000C39D1" w:rsidRPr="00132E65" w:rsidRDefault="000C39D1" w:rsidP="000C39D1">
      <w:pPr>
        <w:pStyle w:val="libFootnote0"/>
        <w:rPr>
          <w:rtl/>
          <w:lang w:bidi="fa-IR"/>
        </w:rPr>
      </w:pPr>
      <w:r>
        <w:rPr>
          <w:rtl/>
        </w:rPr>
        <w:t>(2).</w:t>
      </w:r>
      <w:r w:rsidRPr="00132E65">
        <w:rPr>
          <w:rtl/>
        </w:rPr>
        <w:t xml:space="preserve"> في الغيبة : « ظنّ بي »</w:t>
      </w:r>
      <w:r>
        <w:rPr>
          <w:rtl/>
        </w:rPr>
        <w:t>.</w:t>
      </w:r>
    </w:p>
    <w:p w:rsidR="000C39D1" w:rsidRPr="00132E65" w:rsidRDefault="000C39D1" w:rsidP="000C39D1">
      <w:pPr>
        <w:pStyle w:val="libFootnote0"/>
        <w:rPr>
          <w:rtl/>
          <w:lang w:bidi="fa-IR"/>
        </w:rPr>
      </w:pPr>
      <w:r>
        <w:rPr>
          <w:rtl/>
        </w:rPr>
        <w:t>(3).</w:t>
      </w:r>
      <w:r w:rsidRPr="00132E65">
        <w:rPr>
          <w:rtl/>
        </w:rPr>
        <w:t xml:space="preserve"> في الغيبة :</w:t>
      </w:r>
      <w:r>
        <w:rPr>
          <w:rtl/>
        </w:rPr>
        <w:t xml:space="preserve"> + </w:t>
      </w:r>
      <w:r w:rsidRPr="00132E65">
        <w:rPr>
          <w:rtl/>
        </w:rPr>
        <w:t>« له »</w:t>
      </w:r>
      <w:r>
        <w:rPr>
          <w:rtl/>
        </w:rPr>
        <w:t>.</w:t>
      </w:r>
    </w:p>
    <w:p w:rsidR="000C39D1" w:rsidRPr="00132E65" w:rsidRDefault="000C39D1" w:rsidP="000C39D1">
      <w:pPr>
        <w:pStyle w:val="libFootnote0"/>
        <w:rPr>
          <w:rtl/>
          <w:lang w:bidi="fa-IR"/>
        </w:rPr>
      </w:pPr>
      <w:r>
        <w:rPr>
          <w:rtl/>
        </w:rPr>
        <w:t>(4).</w:t>
      </w:r>
      <w:r w:rsidRPr="00132E65">
        <w:rPr>
          <w:rtl/>
        </w:rPr>
        <w:t xml:space="preserve"> في « بر » : « من »</w:t>
      </w:r>
      <w:r>
        <w:rPr>
          <w:rtl/>
        </w:rPr>
        <w:t>.</w:t>
      </w:r>
    </w:p>
    <w:p w:rsidR="000C39D1" w:rsidRPr="00132E65" w:rsidRDefault="000C39D1" w:rsidP="000C39D1">
      <w:pPr>
        <w:pStyle w:val="libFootnote0"/>
        <w:rPr>
          <w:rtl/>
          <w:lang w:bidi="fa-IR"/>
        </w:rPr>
      </w:pPr>
      <w:r>
        <w:rPr>
          <w:rtl/>
        </w:rPr>
        <w:t>(5).</w:t>
      </w:r>
      <w:r w:rsidRPr="00132E65">
        <w:rPr>
          <w:rtl/>
        </w:rPr>
        <w:t xml:space="preserve"> أي متواصلاً. </w:t>
      </w:r>
      <w:r>
        <w:rPr>
          <w:rtl/>
        </w:rPr>
        <w:t>و «</w:t>
      </w:r>
      <w:r w:rsidRPr="00132E65">
        <w:rPr>
          <w:rtl/>
        </w:rPr>
        <w:t xml:space="preserve"> الحثيث » : فعيل من الحَثّ ، أي يتعقّبه سريعاً ، كأنّ أحدهما يطلب الآخر بسرعة. راجع : </w:t>
      </w:r>
      <w:r w:rsidRPr="00555F2B">
        <w:rPr>
          <w:rStyle w:val="libFootnoteBoldChar"/>
          <w:rtl/>
        </w:rPr>
        <w:t>مجمع البحرين</w:t>
      </w:r>
      <w:r w:rsidRPr="00132E65">
        <w:rPr>
          <w:rtl/>
        </w:rPr>
        <w:t xml:space="preserve"> ، ج 1 ، ص 539 ( حثث )</w:t>
      </w:r>
      <w:r>
        <w:rPr>
          <w:rtl/>
        </w:rPr>
        <w:t>.</w:t>
      </w:r>
    </w:p>
    <w:p w:rsidR="000C39D1" w:rsidRPr="00132E65" w:rsidRDefault="000C39D1" w:rsidP="000C39D1">
      <w:pPr>
        <w:pStyle w:val="libFootnote0"/>
        <w:rPr>
          <w:rtl/>
          <w:lang w:bidi="fa-IR"/>
        </w:rPr>
      </w:pPr>
      <w:r>
        <w:rPr>
          <w:rtl/>
        </w:rPr>
        <w:t>(6).</w:t>
      </w:r>
      <w:r w:rsidRPr="00132E65">
        <w:rPr>
          <w:rtl/>
        </w:rPr>
        <w:t xml:space="preserve"> </w:t>
      </w:r>
      <w:r w:rsidRPr="00555F2B">
        <w:rPr>
          <w:rStyle w:val="libFootnoteBoldChar"/>
          <w:rtl/>
        </w:rPr>
        <w:t>التهذيب</w:t>
      </w:r>
      <w:r w:rsidRPr="00132E65">
        <w:rPr>
          <w:rtl/>
        </w:rPr>
        <w:t xml:space="preserve"> ، ج 4 ، ص 140 ، ح 397 ؛ </w:t>
      </w:r>
      <w:r w:rsidRPr="007A1104">
        <w:rPr>
          <w:rStyle w:val="libFootnoteBoldChar"/>
          <w:rtl/>
        </w:rPr>
        <w:t>الاستبصار</w:t>
      </w:r>
      <w:r w:rsidRPr="00132E65">
        <w:rPr>
          <w:rtl/>
        </w:rPr>
        <w:t xml:space="preserve"> ، ج 2 ، ص 60 ، ح 197 ؛ </w:t>
      </w:r>
      <w:r w:rsidRPr="00555F2B">
        <w:rPr>
          <w:rStyle w:val="libFootnoteBoldChar"/>
          <w:rtl/>
        </w:rPr>
        <w:t>الغيبة للطوسي</w:t>
      </w:r>
      <w:r w:rsidRPr="00132E65">
        <w:rPr>
          <w:rtl/>
        </w:rPr>
        <w:t xml:space="preserve"> ، ص 351 ، ح 311 ؛ </w:t>
      </w:r>
      <w:r w:rsidRPr="00555F2B">
        <w:rPr>
          <w:rStyle w:val="libFootnoteBoldChar"/>
          <w:rtl/>
        </w:rPr>
        <w:t>المقنعة</w:t>
      </w:r>
      <w:r w:rsidRPr="00132E65">
        <w:rPr>
          <w:rtl/>
        </w:rPr>
        <w:t xml:space="preserve"> ، ص 284 ، وفي كلّها عن إبراهيم بن هاشم </w:t>
      </w:r>
      <w:r w:rsidR="00555F2B">
        <w:rPr>
          <w:rFonts w:hint="cs"/>
          <w:rtl/>
        </w:rPr>
        <w:t>.</w:t>
      </w:r>
      <w:r w:rsidRPr="009D1ACE">
        <w:rPr>
          <w:rStyle w:val="libFootnoteBoldChar"/>
          <w:rtl/>
        </w:rPr>
        <w:t>الوافي</w:t>
      </w:r>
      <w:r w:rsidRPr="00132E65">
        <w:rPr>
          <w:rtl/>
        </w:rPr>
        <w:t xml:space="preserve"> ، ج 10 ، ص 336 ، ح 9658 ؛ </w:t>
      </w:r>
      <w:r w:rsidRPr="00555F2B">
        <w:rPr>
          <w:rStyle w:val="libFootnoteBoldChar"/>
          <w:rtl/>
        </w:rPr>
        <w:t>الوسائل</w:t>
      </w:r>
      <w:r w:rsidRPr="00132E65">
        <w:rPr>
          <w:rtl/>
        </w:rPr>
        <w:t xml:space="preserve"> ، ج 9 ، ص 537 ، ح 12664 ؛ </w:t>
      </w:r>
      <w:r w:rsidRPr="00555F2B">
        <w:rPr>
          <w:rStyle w:val="libFootnoteBoldChar"/>
          <w:rtl/>
        </w:rPr>
        <w:t>البحار</w:t>
      </w:r>
      <w:r w:rsidRPr="00132E65">
        <w:rPr>
          <w:rtl/>
        </w:rPr>
        <w:t xml:space="preserve"> ، ج 50 ، ص 105 ، ح 23.</w:t>
      </w:r>
    </w:p>
    <w:p w:rsidR="000C39D1" w:rsidRPr="00132E65" w:rsidRDefault="000C39D1" w:rsidP="000C39D1">
      <w:pPr>
        <w:pStyle w:val="libFootnote0"/>
        <w:rPr>
          <w:rtl/>
          <w:lang w:bidi="fa-IR"/>
        </w:rPr>
      </w:pPr>
      <w:r>
        <w:rPr>
          <w:rtl/>
        </w:rPr>
        <w:t>(7).</w:t>
      </w:r>
      <w:r w:rsidRPr="00132E65">
        <w:rPr>
          <w:rtl/>
        </w:rPr>
        <w:t xml:space="preserve"> « العنبر » : ضرب من الطِيب معروف. قيل : إنّه يخرج من قعر البحر يأكله بعض دوابّه لدُسومته ، فيقذفه رجيعاً فيطفو على الماء ، فتلقيه الريح إلى الساحل. </w:t>
      </w:r>
      <w:r w:rsidRPr="00555F2B">
        <w:rPr>
          <w:rStyle w:val="libFootnoteBoldChar"/>
          <w:rtl/>
        </w:rPr>
        <w:t>مجمع البحرين</w:t>
      </w:r>
      <w:r w:rsidRPr="00132E65">
        <w:rPr>
          <w:rtl/>
        </w:rPr>
        <w:t xml:space="preserve"> ، ج 2 ، ص 1276 ( عنبر )</w:t>
      </w:r>
      <w:r>
        <w:rPr>
          <w:rtl/>
        </w:rPr>
        <w:t>.</w:t>
      </w:r>
    </w:p>
    <w:p w:rsidR="000C39D1" w:rsidRPr="00132E65" w:rsidRDefault="000C39D1" w:rsidP="000C39D1">
      <w:pPr>
        <w:pStyle w:val="libFootnote0"/>
        <w:rPr>
          <w:rtl/>
          <w:lang w:bidi="fa-IR"/>
        </w:rPr>
      </w:pPr>
      <w:r>
        <w:rPr>
          <w:rtl/>
        </w:rPr>
        <w:t>(8).</w:t>
      </w:r>
      <w:r w:rsidRPr="00132E65">
        <w:rPr>
          <w:rtl/>
        </w:rPr>
        <w:t xml:space="preserve"> </w:t>
      </w:r>
      <w:r w:rsidRPr="00555F2B">
        <w:rPr>
          <w:rStyle w:val="libFootnoteBoldChar"/>
          <w:rtl/>
        </w:rPr>
        <w:t>التهذيب</w:t>
      </w:r>
      <w:r w:rsidRPr="00132E65">
        <w:rPr>
          <w:rtl/>
        </w:rPr>
        <w:t xml:space="preserve"> ، ج 4 ، ص 121 ، صدر ح 346 ، بسنده عن ابن أبي عمير. </w:t>
      </w:r>
      <w:r w:rsidRPr="00555F2B">
        <w:rPr>
          <w:rStyle w:val="libFootnoteBoldChar"/>
          <w:rtl/>
        </w:rPr>
        <w:t>المقنعة</w:t>
      </w:r>
      <w:r w:rsidRPr="00132E65">
        <w:rPr>
          <w:rtl/>
        </w:rPr>
        <w:t xml:space="preserve"> ، ص 283 ، مرسلاً وتمام الرواية فيه : « في العنبر الخمس » </w:t>
      </w:r>
      <w:r w:rsidR="00555F2B">
        <w:rPr>
          <w:rFonts w:hint="cs"/>
          <w:rtl/>
        </w:rPr>
        <w:t>.</w:t>
      </w:r>
      <w:r w:rsidRPr="009D1ACE">
        <w:rPr>
          <w:rStyle w:val="libFootnoteBoldChar"/>
          <w:rtl/>
        </w:rPr>
        <w:t>الوافي</w:t>
      </w:r>
      <w:r w:rsidRPr="00132E65">
        <w:rPr>
          <w:rtl/>
        </w:rPr>
        <w:t xml:space="preserve"> ، ج 10 ، ص 311 ، ح 9617 ؛ </w:t>
      </w:r>
      <w:r w:rsidRPr="00555F2B">
        <w:rPr>
          <w:rStyle w:val="libFootnoteBoldChar"/>
          <w:rtl/>
        </w:rPr>
        <w:t>الوسائل</w:t>
      </w:r>
      <w:r w:rsidRPr="00132E65">
        <w:rPr>
          <w:rtl/>
        </w:rPr>
        <w:t xml:space="preserve"> ، ج 9 ، ص 498 ، ذيل ح 12576.</w:t>
      </w:r>
    </w:p>
    <w:p w:rsidR="000C39D1" w:rsidRDefault="000C39D1" w:rsidP="000C39D1">
      <w:pPr>
        <w:pStyle w:val="libFootnote0"/>
        <w:rPr>
          <w:rtl/>
        </w:rPr>
      </w:pPr>
      <w:r>
        <w:rPr>
          <w:rtl/>
        </w:rPr>
        <w:t>(9).</w:t>
      </w:r>
      <w:r w:rsidRPr="00132E65">
        <w:rPr>
          <w:rtl/>
        </w:rPr>
        <w:t xml:space="preserve"> في أكثر النسخ بعد كلمة. « الخمس » عبارات مختلفة.</w:t>
      </w:r>
    </w:p>
    <w:p w:rsidR="00C50204" w:rsidRDefault="00C50204" w:rsidP="00C50204">
      <w:pPr>
        <w:pStyle w:val="libNormal"/>
        <w:rPr>
          <w:rtl/>
        </w:rPr>
      </w:pPr>
      <w:r>
        <w:rPr>
          <w:rtl/>
        </w:rPr>
        <w:br w:type="page"/>
      </w:r>
    </w:p>
    <w:p w:rsidR="00C50204" w:rsidRDefault="00C50204" w:rsidP="00C50204">
      <w:pPr>
        <w:pStyle w:val="Heading2Center"/>
        <w:rPr>
          <w:rtl/>
        </w:rPr>
      </w:pPr>
      <w:bookmarkStart w:id="202" w:name="_Toc34663144"/>
      <w:r>
        <w:rPr>
          <w:rFonts w:hint="cs"/>
          <w:rtl/>
        </w:rPr>
        <w:t>الفهرس</w:t>
      </w:r>
      <w:bookmarkEnd w:id="202"/>
    </w:p>
    <w:sdt>
      <w:sdtPr>
        <w:rPr>
          <w:rFonts w:ascii="Times New Roman" w:eastAsia="Times New Roman" w:hAnsi="Times New Roman" w:cs="Traditional Arabic"/>
          <w:b w:val="0"/>
          <w:bCs w:val="0"/>
          <w:color w:val="000000"/>
          <w:sz w:val="24"/>
          <w:szCs w:val="30"/>
        </w:rPr>
        <w:id w:val="-1099090943"/>
        <w:docPartObj>
          <w:docPartGallery w:val="Table of Contents"/>
          <w:docPartUnique/>
        </w:docPartObj>
      </w:sdtPr>
      <w:sdtEndPr>
        <w:rPr>
          <w:noProof/>
          <w:rtl/>
        </w:rPr>
      </w:sdtEndPr>
      <w:sdtContent>
        <w:p w:rsidR="003235BF" w:rsidRDefault="003235BF" w:rsidP="003235BF">
          <w:pPr>
            <w:pStyle w:val="TOCHeading"/>
          </w:pPr>
        </w:p>
        <w:p w:rsidR="003235BF" w:rsidRDefault="003235BF">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34663058" w:history="1">
            <w:r w:rsidRPr="002A1249">
              <w:rPr>
                <w:rStyle w:val="Hyperlink"/>
                <w:noProof/>
                <w:rtl/>
              </w:rPr>
              <w:t xml:space="preserve">[ </w:t>
            </w:r>
            <w:r w:rsidRPr="002A1249">
              <w:rPr>
                <w:rStyle w:val="Hyperlink"/>
                <w:rFonts w:hint="eastAsia"/>
                <w:noProof/>
                <w:rtl/>
              </w:rPr>
              <w:t>تتمّة</w:t>
            </w:r>
            <w:r w:rsidRPr="002A1249">
              <w:rPr>
                <w:rStyle w:val="Hyperlink"/>
                <w:noProof/>
                <w:rtl/>
              </w:rPr>
              <w:t xml:space="preserve"> </w:t>
            </w:r>
            <w:r w:rsidRPr="002A1249">
              <w:rPr>
                <w:rStyle w:val="Hyperlink"/>
                <w:rFonts w:hint="eastAsia"/>
                <w:noProof/>
                <w:rtl/>
              </w:rPr>
              <w:t>كتاب</w:t>
            </w:r>
            <w:r w:rsidRPr="002A1249">
              <w:rPr>
                <w:rStyle w:val="Hyperlink"/>
                <w:noProof/>
                <w:rtl/>
              </w:rPr>
              <w:t xml:space="preserve"> </w:t>
            </w:r>
            <w:r w:rsidRPr="002A1249">
              <w:rPr>
                <w:rStyle w:val="Hyperlink"/>
                <w:rFonts w:hint="eastAsia"/>
                <w:noProof/>
                <w:rtl/>
              </w:rPr>
              <w:t>الحجّة</w:t>
            </w:r>
            <w:r w:rsidRPr="002A1249">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Toc34663058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59" w:history="1">
            <w:r w:rsidR="003235BF" w:rsidRPr="002A1249">
              <w:rPr>
                <w:rStyle w:val="Hyperlink"/>
                <w:rFonts w:ascii="Arial" w:hAnsi="Arial"/>
                <w:noProof/>
                <w:rtl/>
              </w:rPr>
              <w:t>64</w:t>
            </w:r>
            <w:r w:rsidR="003235BF" w:rsidRPr="002A1249">
              <w:rPr>
                <w:rStyle w:val="Hyperlink"/>
                <w:noProof/>
                <w:rtl/>
                <w:lang w:bidi="fa-IR"/>
              </w:rPr>
              <w:t xml:space="preserve"> - </w:t>
            </w:r>
            <w:r w:rsidR="003235BF" w:rsidRPr="002A1249">
              <w:rPr>
                <w:rStyle w:val="Hyperlink"/>
                <w:rFonts w:hint="eastAsia"/>
                <w:noProof/>
                <w:rtl/>
              </w:rPr>
              <w:t>بَابُ</w:t>
            </w:r>
            <w:r w:rsidR="003235BF" w:rsidRPr="002A1249">
              <w:rPr>
                <w:rStyle w:val="Hyperlink"/>
                <w:noProof/>
                <w:rtl/>
              </w:rPr>
              <w:t xml:space="preserve"> </w:t>
            </w:r>
            <w:r w:rsidR="003235BF" w:rsidRPr="002A1249">
              <w:rPr>
                <w:rStyle w:val="Hyperlink"/>
                <w:rFonts w:hint="eastAsia"/>
                <w:noProof/>
                <w:rtl/>
              </w:rPr>
              <w:t>مَا</w:t>
            </w:r>
            <w:r w:rsidR="003235BF" w:rsidRPr="002A1249">
              <w:rPr>
                <w:rStyle w:val="Hyperlink"/>
                <w:noProof/>
                <w:rtl/>
              </w:rPr>
              <w:t xml:space="preserve"> </w:t>
            </w:r>
            <w:r w:rsidR="003235BF" w:rsidRPr="002A1249">
              <w:rPr>
                <w:rStyle w:val="Hyperlink"/>
                <w:rFonts w:hint="eastAsia"/>
                <w:noProof/>
                <w:rtl/>
              </w:rPr>
              <w:t>نَصَّ</w:t>
            </w:r>
            <w:r w:rsidR="003235BF" w:rsidRPr="002A1249">
              <w:rPr>
                <w:rStyle w:val="Hyperlink"/>
                <w:noProof/>
                <w:rtl/>
              </w:rPr>
              <w:t xml:space="preserve"> </w:t>
            </w:r>
            <w:r w:rsidR="003235BF" w:rsidRPr="002A1249">
              <w:rPr>
                <w:rStyle w:val="Hyperlink"/>
                <w:rFonts w:hint="eastAsia"/>
                <w:noProof/>
                <w:rtl/>
              </w:rPr>
              <w:t>اللهُ</w:t>
            </w:r>
            <w:r w:rsidR="003235BF" w:rsidRPr="002A1249">
              <w:rPr>
                <w:rStyle w:val="Hyperlink"/>
                <w:noProof/>
                <w:rtl/>
              </w:rPr>
              <w:t xml:space="preserve"> </w:t>
            </w:r>
            <w:r w:rsidR="003235BF" w:rsidRPr="002A1249">
              <w:rPr>
                <w:rStyle w:val="Hyperlink"/>
                <w:rFonts w:hint="eastAsia"/>
                <w:noProof/>
                <w:rtl/>
              </w:rPr>
              <w:t>عَزَّ</w:t>
            </w:r>
            <w:r w:rsidR="003235BF" w:rsidRPr="002A1249">
              <w:rPr>
                <w:rStyle w:val="Hyperlink"/>
                <w:noProof/>
                <w:rtl/>
              </w:rPr>
              <w:t xml:space="preserve"> </w:t>
            </w:r>
            <w:r w:rsidR="003235BF" w:rsidRPr="002A1249">
              <w:rPr>
                <w:rStyle w:val="Hyperlink"/>
                <w:rFonts w:hint="eastAsia"/>
                <w:noProof/>
                <w:rtl/>
              </w:rPr>
              <w:t>وَجَلَّ</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Toc34663059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0" w:history="1">
            <w:r w:rsidR="003235BF" w:rsidRPr="002A1249">
              <w:rPr>
                <w:rStyle w:val="Hyperlink"/>
                <w:rFonts w:hint="eastAsia"/>
                <w:noProof/>
                <w:rtl/>
              </w:rPr>
              <w:t>وَرَسُولُهُ</w:t>
            </w:r>
            <w:r w:rsidR="003235BF" w:rsidRPr="002A1249">
              <w:rPr>
                <w:rStyle w:val="Hyperlink"/>
                <w:noProof/>
                <w:rtl/>
              </w:rPr>
              <w:t xml:space="preserve"> </w:t>
            </w:r>
            <w:r w:rsidR="003235BF" w:rsidRPr="002A1249">
              <w:rPr>
                <w:rStyle w:val="Hyperlink"/>
                <w:rFonts w:hint="eastAsia"/>
                <w:noProof/>
                <w:rtl/>
              </w:rPr>
              <w:t>عَلَى</w:t>
            </w:r>
            <w:r w:rsidR="003235BF" w:rsidRPr="002A1249">
              <w:rPr>
                <w:rStyle w:val="Hyperlink"/>
                <w:noProof/>
                <w:rtl/>
              </w:rPr>
              <w:t xml:space="preserve"> </w:t>
            </w:r>
            <w:r w:rsidR="003235BF" w:rsidRPr="002A1249">
              <w:rPr>
                <w:rStyle w:val="Hyperlink"/>
                <w:rFonts w:hint="eastAsia"/>
                <w:noProof/>
                <w:rtl/>
              </w:rPr>
              <w:t>الْأَئِمَّةِ</w:t>
            </w:r>
            <w:r w:rsidR="003235BF" w:rsidRPr="002A1249">
              <w:rPr>
                <w:rStyle w:val="Hyperlink"/>
                <w:noProof/>
                <w:rtl/>
              </w:rPr>
              <w:t xml:space="preserve"> </w:t>
            </w:r>
            <w:r w:rsidR="003235BF" w:rsidRPr="002A1249">
              <w:rPr>
                <w:rStyle w:val="Hyperlink"/>
                <w:rFonts w:cs="Rafed Alaem" w:hint="eastAsia"/>
                <w:noProof/>
                <w:rtl/>
              </w:rPr>
              <w:t>عليهم‌السلام</w:t>
            </w:r>
            <w:r w:rsidR="003235BF" w:rsidRPr="002A1249">
              <w:rPr>
                <w:rStyle w:val="Hyperlink"/>
                <w:noProof/>
                <w:rtl/>
              </w:rPr>
              <w:t xml:space="preserve"> </w:t>
            </w:r>
            <w:r w:rsidR="003235BF" w:rsidRPr="002A1249">
              <w:rPr>
                <w:rStyle w:val="Hyperlink"/>
                <w:rFonts w:hint="eastAsia"/>
                <w:noProof/>
                <w:rtl/>
              </w:rPr>
              <w:t>وَاحِداً</w:t>
            </w:r>
            <w:r w:rsidR="003235BF" w:rsidRPr="002A1249">
              <w:rPr>
                <w:rStyle w:val="Hyperlink"/>
                <w:noProof/>
                <w:rtl/>
              </w:rPr>
              <w:t xml:space="preserve"> </w:t>
            </w:r>
            <w:r w:rsidR="003235BF" w:rsidRPr="002A1249">
              <w:rPr>
                <w:rStyle w:val="Hyperlink"/>
                <w:rFonts w:hint="eastAsia"/>
                <w:noProof/>
                <w:rtl/>
              </w:rPr>
              <w:t>فَوَاحِداً‌</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1" w:history="1">
            <w:r w:rsidR="003235BF" w:rsidRPr="002A1249">
              <w:rPr>
                <w:rStyle w:val="Hyperlink"/>
                <w:noProof/>
                <w:rtl/>
              </w:rPr>
              <w:t xml:space="preserve">65 - </w:t>
            </w:r>
            <w:r w:rsidR="003235BF" w:rsidRPr="002A1249">
              <w:rPr>
                <w:rStyle w:val="Hyperlink"/>
                <w:rFonts w:hint="eastAsia"/>
                <w:noProof/>
                <w:rtl/>
              </w:rPr>
              <w:t>بَابُ</w:t>
            </w:r>
            <w:r w:rsidR="003235BF" w:rsidRPr="002A1249">
              <w:rPr>
                <w:rStyle w:val="Hyperlink"/>
                <w:noProof/>
                <w:rtl/>
              </w:rPr>
              <w:t xml:space="preserve"> </w:t>
            </w:r>
            <w:r w:rsidR="003235BF" w:rsidRPr="002A1249">
              <w:rPr>
                <w:rStyle w:val="Hyperlink"/>
                <w:rFonts w:hint="eastAsia"/>
                <w:noProof/>
                <w:rtl/>
              </w:rPr>
              <w:t>الْإِشَارَةِ</w:t>
            </w:r>
            <w:r w:rsidR="003235BF" w:rsidRPr="002A1249">
              <w:rPr>
                <w:rStyle w:val="Hyperlink"/>
                <w:noProof/>
                <w:rtl/>
              </w:rPr>
              <w:t xml:space="preserve"> </w:t>
            </w:r>
            <w:r w:rsidR="003235BF" w:rsidRPr="002A1249">
              <w:rPr>
                <w:rStyle w:val="Hyperlink"/>
                <w:rFonts w:hint="eastAsia"/>
                <w:noProof/>
                <w:rtl/>
              </w:rPr>
              <w:t>والنَّصِّ</w:t>
            </w:r>
            <w:r w:rsidR="003235BF" w:rsidRPr="002A1249">
              <w:rPr>
                <w:rStyle w:val="Hyperlink"/>
                <w:noProof/>
                <w:rtl/>
              </w:rPr>
              <w:t xml:space="preserve"> </w:t>
            </w:r>
            <w:r w:rsidR="003235BF" w:rsidRPr="002A1249">
              <w:rPr>
                <w:rStyle w:val="Hyperlink"/>
                <w:rFonts w:hint="eastAsia"/>
                <w:noProof/>
                <w:rtl/>
              </w:rPr>
              <w:t>عَلى</w:t>
            </w:r>
            <w:r w:rsidR="003235BF" w:rsidRPr="002A1249">
              <w:rPr>
                <w:rStyle w:val="Hyperlink"/>
                <w:noProof/>
                <w:rtl/>
              </w:rPr>
              <w:t xml:space="preserve"> </w:t>
            </w:r>
            <w:r w:rsidR="003235BF" w:rsidRPr="002A1249">
              <w:rPr>
                <w:rStyle w:val="Hyperlink"/>
                <w:rFonts w:hint="eastAsia"/>
                <w:noProof/>
                <w:rtl/>
              </w:rPr>
              <w:t>أَمِيرِ</w:t>
            </w:r>
            <w:r w:rsidR="003235BF" w:rsidRPr="002A1249">
              <w:rPr>
                <w:rStyle w:val="Hyperlink"/>
                <w:noProof/>
                <w:rtl/>
              </w:rPr>
              <w:t xml:space="preserve"> </w:t>
            </w:r>
            <w:r w:rsidR="003235BF" w:rsidRPr="002A1249">
              <w:rPr>
                <w:rStyle w:val="Hyperlink"/>
                <w:rFonts w:hint="eastAsia"/>
                <w:noProof/>
                <w:rtl/>
              </w:rPr>
              <w:t>الْمُؤْمِنِينَ</w:t>
            </w:r>
            <w:r w:rsidR="003235BF" w:rsidRPr="002A1249">
              <w:rPr>
                <w:rStyle w:val="Hyperlink"/>
                <w:noProof/>
                <w:rtl/>
              </w:rPr>
              <w:t xml:space="preserve"> </w:t>
            </w:r>
            <w:r w:rsidR="003235BF" w:rsidRPr="002A1249">
              <w:rPr>
                <w:rStyle w:val="Hyperlink"/>
                <w:rFonts w:cs="Rafed Alaem" w:hint="eastAsia"/>
                <w:noProof/>
                <w:rtl/>
              </w:rPr>
              <w:t>عليه‌السلام</w:t>
            </w:r>
            <w:r w:rsidR="003235BF" w:rsidRPr="002A1249">
              <w:rPr>
                <w:rStyle w:val="Hyperlink"/>
                <w:noProof/>
                <w:rtl/>
              </w:rPr>
              <w:t xml:space="preserve"> </w:t>
            </w:r>
            <w:r w:rsidR="003235BF" w:rsidRPr="002A1249">
              <w:rPr>
                <w:rStyle w:val="Hyperlink"/>
                <w:noProof/>
                <w:vertAlign w:val="superscript"/>
                <w:rtl/>
              </w:rPr>
              <w:t>(12)</w:t>
            </w:r>
            <w:r w:rsidR="003235BF" w:rsidRPr="002A1249">
              <w:rPr>
                <w:rStyle w:val="Hyperlink"/>
                <w:noProof/>
                <w:rtl/>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2" w:history="1">
            <w:r w:rsidR="003235BF" w:rsidRPr="002A1249">
              <w:rPr>
                <w:rStyle w:val="Hyperlink"/>
                <w:noProof/>
                <w:rtl/>
                <w:lang w:bidi="fa-IR"/>
              </w:rPr>
              <w:t xml:space="preserve">66 -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cs="Rafed Alaem" w:hint="eastAsia"/>
                <w:noProof/>
                <w:rtl/>
              </w:rPr>
              <w:t>عليهما‌السلام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34</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3" w:history="1">
            <w:r w:rsidR="003235BF" w:rsidRPr="002A1249">
              <w:rPr>
                <w:rStyle w:val="Hyperlink"/>
                <w:noProof/>
                <w:rtl/>
                <w:lang w:bidi="fa-IR"/>
              </w:rPr>
              <w:t xml:space="preserve">67 -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noProof/>
                <w:vertAlign w:val="superscript"/>
                <w:rtl/>
              </w:rPr>
              <w:t>(3)</w:t>
            </w:r>
            <w:r w:rsidR="003235BF" w:rsidRPr="002A1249">
              <w:rPr>
                <w:rStyle w:val="Hyperlink"/>
                <w:noProof/>
                <w:rtl/>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rPr>
              <w:t xml:space="preserve"> </w:t>
            </w:r>
            <w:r w:rsidR="003235BF" w:rsidRPr="002A1249">
              <w:rPr>
                <w:rStyle w:val="Hyperlink"/>
                <w:rFonts w:hint="eastAsia"/>
                <w:noProof/>
                <w:rtl/>
                <w:lang w:bidi="fa-IR"/>
              </w:rPr>
              <w:t>الْحُسَيْنِ</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cs="Rafed Alaem" w:hint="eastAsia"/>
                <w:noProof/>
                <w:rtl/>
              </w:rPr>
              <w:t>عليهما‌السلام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4" w:history="1">
            <w:r w:rsidR="003235BF" w:rsidRPr="002A1249">
              <w:rPr>
                <w:rStyle w:val="Hyperlink"/>
                <w:noProof/>
                <w:rtl/>
                <w:lang w:bidi="fa-IR"/>
              </w:rPr>
              <w:t xml:space="preserve">68 -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الْحُسَيْنِ</w:t>
            </w:r>
            <w:r w:rsidR="003235BF" w:rsidRPr="002A1249">
              <w:rPr>
                <w:rStyle w:val="Hyperlink"/>
                <w:noProof/>
                <w:rtl/>
                <w:lang w:bidi="fa-IR"/>
              </w:rPr>
              <w:t xml:space="preserve"> </w:t>
            </w:r>
            <w:r w:rsidR="003235BF" w:rsidRPr="002A1249">
              <w:rPr>
                <w:rStyle w:val="Hyperlink"/>
                <w:rFonts w:hint="eastAsia"/>
                <w:noProof/>
                <w:rtl/>
                <w:lang w:bidi="fa-IR"/>
              </w:rPr>
              <w:t>صَلَوَاتُ</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عَلَيْهِمَا‌</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5" w:history="1">
            <w:r w:rsidR="003235BF" w:rsidRPr="002A1249">
              <w:rPr>
                <w:rStyle w:val="Hyperlink"/>
                <w:noProof/>
                <w:rtl/>
                <w:lang w:bidi="fa-IR"/>
              </w:rPr>
              <w:t xml:space="preserve">69 -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جَعْفَرٍ</w:t>
            </w:r>
            <w:r w:rsidR="003235BF" w:rsidRPr="002A1249">
              <w:rPr>
                <w:rStyle w:val="Hyperlink"/>
                <w:noProof/>
                <w:rtl/>
                <w:lang w:bidi="fa-IR"/>
              </w:rPr>
              <w:t xml:space="preserve"> </w:t>
            </w:r>
            <w:r w:rsidR="003235BF" w:rsidRPr="002A1249">
              <w:rPr>
                <w:rStyle w:val="Hyperlink"/>
                <w:noProof/>
                <w:vertAlign w:val="superscript"/>
                <w:rtl/>
              </w:rPr>
              <w:t>(9)</w:t>
            </w:r>
            <w:r w:rsidR="003235BF" w:rsidRPr="002A1249">
              <w:rPr>
                <w:rStyle w:val="Hyperlink"/>
                <w:noProof/>
                <w:rtl/>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6" w:history="1">
            <w:r w:rsidR="003235BF" w:rsidRPr="002A1249">
              <w:rPr>
                <w:rStyle w:val="Hyperlink"/>
                <w:noProof/>
                <w:rtl/>
              </w:rPr>
              <w:t xml:space="preserve">70 - </w:t>
            </w:r>
            <w:r w:rsidR="003235BF" w:rsidRPr="002A1249">
              <w:rPr>
                <w:rStyle w:val="Hyperlink"/>
                <w:rFonts w:hint="eastAsia"/>
                <w:noProof/>
                <w:rtl/>
              </w:rPr>
              <w:t>بَابُ</w:t>
            </w:r>
            <w:r w:rsidR="003235BF" w:rsidRPr="002A1249">
              <w:rPr>
                <w:rStyle w:val="Hyperlink"/>
                <w:noProof/>
                <w:rtl/>
              </w:rPr>
              <w:t xml:space="preserve"> </w:t>
            </w:r>
            <w:r w:rsidR="003235BF" w:rsidRPr="002A1249">
              <w:rPr>
                <w:rStyle w:val="Hyperlink"/>
                <w:rFonts w:hint="eastAsia"/>
                <w:noProof/>
                <w:rtl/>
              </w:rPr>
              <w:t>الْإِشَارَةِ</w:t>
            </w:r>
            <w:r w:rsidR="003235BF" w:rsidRPr="002A1249">
              <w:rPr>
                <w:rStyle w:val="Hyperlink"/>
                <w:noProof/>
                <w:rtl/>
              </w:rPr>
              <w:t xml:space="preserve"> </w:t>
            </w:r>
            <w:r w:rsidR="003235BF" w:rsidRPr="002A1249">
              <w:rPr>
                <w:rStyle w:val="Hyperlink"/>
                <w:rFonts w:hint="eastAsia"/>
                <w:noProof/>
                <w:rtl/>
              </w:rPr>
              <w:t>والنَّصِّ</w:t>
            </w:r>
            <w:r w:rsidR="003235BF" w:rsidRPr="002A1249">
              <w:rPr>
                <w:rStyle w:val="Hyperlink"/>
                <w:noProof/>
                <w:rtl/>
              </w:rPr>
              <w:t xml:space="preserve"> </w:t>
            </w:r>
            <w:r w:rsidR="003235BF" w:rsidRPr="002A1249">
              <w:rPr>
                <w:rStyle w:val="Hyperlink"/>
                <w:rFonts w:hint="eastAsia"/>
                <w:noProof/>
                <w:rtl/>
              </w:rPr>
              <w:t>عَلى</w:t>
            </w:r>
            <w:r w:rsidR="003235BF" w:rsidRPr="002A1249">
              <w:rPr>
                <w:rStyle w:val="Hyperlink"/>
                <w:noProof/>
                <w:rtl/>
              </w:rPr>
              <w:t xml:space="preserve"> </w:t>
            </w:r>
            <w:r w:rsidR="003235BF" w:rsidRPr="002A1249">
              <w:rPr>
                <w:rStyle w:val="Hyperlink"/>
                <w:rFonts w:hint="eastAsia"/>
                <w:noProof/>
                <w:rtl/>
              </w:rPr>
              <w:t>أَبِي</w:t>
            </w:r>
            <w:r w:rsidR="003235BF" w:rsidRPr="002A1249">
              <w:rPr>
                <w:rStyle w:val="Hyperlink"/>
                <w:noProof/>
                <w:rtl/>
              </w:rPr>
              <w:t xml:space="preserve"> </w:t>
            </w:r>
            <w:r w:rsidR="003235BF" w:rsidRPr="002A1249">
              <w:rPr>
                <w:rStyle w:val="Hyperlink"/>
                <w:rFonts w:hint="eastAsia"/>
                <w:noProof/>
                <w:rtl/>
              </w:rPr>
              <w:t>عَبْدِ</w:t>
            </w:r>
            <w:r w:rsidR="003235BF" w:rsidRPr="002A1249">
              <w:rPr>
                <w:rStyle w:val="Hyperlink"/>
                <w:noProof/>
                <w:rtl/>
              </w:rPr>
              <w:t xml:space="preserve"> </w:t>
            </w:r>
            <w:r w:rsidR="003235BF" w:rsidRPr="002A1249">
              <w:rPr>
                <w:rStyle w:val="Hyperlink"/>
                <w:rFonts w:hint="eastAsia"/>
                <w:noProof/>
                <w:rtl/>
              </w:rPr>
              <w:t>اللهِ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7" w:history="1">
            <w:r w:rsidR="003235BF" w:rsidRPr="002A1249">
              <w:rPr>
                <w:rStyle w:val="Hyperlink"/>
                <w:rFonts w:hint="eastAsia"/>
                <w:noProof/>
                <w:rtl/>
              </w:rPr>
              <w:t>جَعْفَرِ</w:t>
            </w:r>
            <w:r w:rsidR="003235BF" w:rsidRPr="002A1249">
              <w:rPr>
                <w:rStyle w:val="Hyperlink"/>
                <w:noProof/>
                <w:rtl/>
              </w:rPr>
              <w:t xml:space="preserve"> </w:t>
            </w:r>
            <w:r w:rsidR="003235BF" w:rsidRPr="002A1249">
              <w:rPr>
                <w:rStyle w:val="Hyperlink"/>
                <w:rFonts w:hint="eastAsia"/>
                <w:noProof/>
                <w:rtl/>
              </w:rPr>
              <w:t>بْنِ</w:t>
            </w:r>
            <w:r w:rsidR="003235BF" w:rsidRPr="002A1249">
              <w:rPr>
                <w:rStyle w:val="Hyperlink"/>
                <w:noProof/>
                <w:rtl/>
              </w:rPr>
              <w:t xml:space="preserve"> </w:t>
            </w:r>
            <w:r w:rsidR="003235BF" w:rsidRPr="002A1249">
              <w:rPr>
                <w:rStyle w:val="Hyperlink"/>
                <w:rFonts w:hint="eastAsia"/>
                <w:noProof/>
                <w:rtl/>
              </w:rPr>
              <w:t>مُحَمَّدٍ</w:t>
            </w:r>
            <w:r w:rsidR="003235BF" w:rsidRPr="002A1249">
              <w:rPr>
                <w:rStyle w:val="Hyperlink"/>
                <w:noProof/>
                <w:rtl/>
              </w:rPr>
              <w:t xml:space="preserve"> </w:t>
            </w:r>
            <w:r w:rsidR="003235BF" w:rsidRPr="002A1249">
              <w:rPr>
                <w:rStyle w:val="Hyperlink"/>
                <w:rFonts w:hint="eastAsia"/>
                <w:noProof/>
                <w:rtl/>
              </w:rPr>
              <w:t>الصَّادِقِ</w:t>
            </w:r>
            <w:r w:rsidR="003235BF" w:rsidRPr="002A1249">
              <w:rPr>
                <w:rStyle w:val="Hyperlink"/>
                <w:noProof/>
                <w:rtl/>
              </w:rPr>
              <w:t xml:space="preserve"> </w:t>
            </w:r>
            <w:r w:rsidR="003235BF" w:rsidRPr="002A1249">
              <w:rPr>
                <w:rStyle w:val="Hyperlink"/>
                <w:rFonts w:hint="eastAsia"/>
                <w:noProof/>
                <w:rtl/>
              </w:rPr>
              <w:t>صَلَوَاتُ</w:t>
            </w:r>
            <w:r w:rsidR="003235BF" w:rsidRPr="002A1249">
              <w:rPr>
                <w:rStyle w:val="Hyperlink"/>
                <w:noProof/>
                <w:rtl/>
              </w:rPr>
              <w:t xml:space="preserve"> </w:t>
            </w:r>
            <w:r w:rsidR="003235BF" w:rsidRPr="002A1249">
              <w:rPr>
                <w:rStyle w:val="Hyperlink"/>
                <w:rFonts w:hint="eastAsia"/>
                <w:noProof/>
                <w:rtl/>
              </w:rPr>
              <w:t>اللهِ</w:t>
            </w:r>
            <w:r w:rsidR="003235BF" w:rsidRPr="002A1249">
              <w:rPr>
                <w:rStyle w:val="Hyperlink"/>
                <w:noProof/>
                <w:rtl/>
              </w:rPr>
              <w:t xml:space="preserve"> </w:t>
            </w:r>
            <w:r w:rsidR="003235BF" w:rsidRPr="002A1249">
              <w:rPr>
                <w:rStyle w:val="Hyperlink"/>
                <w:rFonts w:hint="eastAsia"/>
                <w:noProof/>
                <w:rtl/>
              </w:rPr>
              <w:t>عَلَيْهِمَا‌</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8" w:history="1">
            <w:r w:rsidR="003235BF" w:rsidRPr="002A1249">
              <w:rPr>
                <w:rStyle w:val="Hyperlink"/>
                <w:noProof/>
                <w:rtl/>
                <w:lang w:bidi="fa-IR"/>
              </w:rPr>
              <w:t xml:space="preserve">71 -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مُوسى</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63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69" w:history="1">
            <w:r w:rsidR="003235BF" w:rsidRPr="002A1249">
              <w:rPr>
                <w:rStyle w:val="Hyperlink"/>
                <w:noProof/>
                <w:rtl/>
                <w:lang w:bidi="fa-IR"/>
              </w:rPr>
              <w:t xml:space="preserve">72 -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الرِّضَا</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Toc34663069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0" w:history="1">
            <w:r w:rsidR="003235BF" w:rsidRPr="002A1249">
              <w:rPr>
                <w:rStyle w:val="Hyperlink"/>
                <w:noProof/>
                <w:rtl/>
                <w:lang w:bidi="fa-IR"/>
              </w:rPr>
              <w:t xml:space="preserve">73 -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جَعْفَرٍ</w:t>
            </w:r>
            <w:r w:rsidR="003235BF" w:rsidRPr="002A1249">
              <w:rPr>
                <w:rStyle w:val="Hyperlink"/>
                <w:noProof/>
                <w:rtl/>
                <w:lang w:bidi="fa-IR"/>
              </w:rPr>
              <w:t xml:space="preserve"> </w:t>
            </w:r>
            <w:r w:rsidR="003235BF" w:rsidRPr="002A1249">
              <w:rPr>
                <w:rStyle w:val="Hyperlink"/>
                <w:rFonts w:hint="eastAsia"/>
                <w:noProof/>
                <w:rtl/>
                <w:lang w:bidi="fa-IR"/>
              </w:rPr>
              <w:t>الثَّانِي</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98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1" w:history="1">
            <w:r w:rsidR="003235BF" w:rsidRPr="002A1249">
              <w:rPr>
                <w:rStyle w:val="Hyperlink"/>
                <w:noProof/>
                <w:rtl/>
                <w:lang w:bidi="fa-IR"/>
              </w:rPr>
              <w:t xml:space="preserve">74 -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الثَّالِثِ</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107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2" w:history="1">
            <w:r w:rsidR="003235BF" w:rsidRPr="002A1249">
              <w:rPr>
                <w:rStyle w:val="Hyperlink"/>
                <w:noProof/>
                <w:rtl/>
                <w:lang w:bidi="fa-IR"/>
              </w:rPr>
              <w:t xml:space="preserve">75 -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w:t>
            </w:r>
            <w:r w:rsidR="003235BF" w:rsidRPr="002A1249">
              <w:rPr>
                <w:rStyle w:val="Hyperlink"/>
                <w:rFonts w:hint="eastAsia"/>
                <w:noProof/>
                <w:rtl/>
              </w:rPr>
              <w:t>َ</w:t>
            </w:r>
            <w:r w:rsidR="003235BF" w:rsidRPr="002A1249">
              <w:rPr>
                <w:rStyle w:val="Hyperlink"/>
                <w:rFonts w:hint="eastAsia"/>
                <w:noProof/>
                <w:rtl/>
                <w:lang w:bidi="fa-IR"/>
              </w:rPr>
              <w:t>النَّصِّ</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113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3" w:history="1">
            <w:r w:rsidR="003235BF" w:rsidRPr="002A1249">
              <w:rPr>
                <w:rStyle w:val="Hyperlink"/>
                <w:noProof/>
                <w:rtl/>
                <w:lang w:bidi="fa-IR"/>
              </w:rPr>
              <w:t xml:space="preserve">76 -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الْإِشَارَةِ</w:t>
            </w:r>
            <w:r w:rsidR="003235BF" w:rsidRPr="002A1249">
              <w:rPr>
                <w:rStyle w:val="Hyperlink"/>
                <w:noProof/>
                <w:rtl/>
                <w:lang w:bidi="fa-IR"/>
              </w:rPr>
              <w:t xml:space="preserve"> </w:t>
            </w:r>
            <w:r w:rsidR="003235BF" w:rsidRPr="002A1249">
              <w:rPr>
                <w:rStyle w:val="Hyperlink"/>
                <w:rFonts w:hint="eastAsia"/>
                <w:noProof/>
                <w:rtl/>
                <w:lang w:bidi="fa-IR"/>
              </w:rPr>
              <w:t>وَ</w:t>
            </w:r>
            <w:r w:rsidR="003235BF" w:rsidRPr="002A1249">
              <w:rPr>
                <w:rStyle w:val="Hyperlink"/>
                <w:noProof/>
                <w:rtl/>
                <w:lang w:bidi="fa-IR"/>
              </w:rPr>
              <w:t xml:space="preserve"> </w:t>
            </w:r>
            <w:r w:rsidR="003235BF" w:rsidRPr="002A1249">
              <w:rPr>
                <w:rStyle w:val="Hyperlink"/>
                <w:rFonts w:hint="eastAsia"/>
                <w:noProof/>
                <w:rtl/>
                <w:lang w:bidi="fa-IR"/>
              </w:rPr>
              <w:t>النَّصِّ</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إِلى</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lang w:bidi="fa-IR"/>
              </w:rPr>
              <w:t xml:space="preserve"> </w:t>
            </w:r>
            <w:r w:rsidR="003235BF" w:rsidRPr="002A1249">
              <w:rPr>
                <w:rStyle w:val="Hyperlink"/>
                <w:rFonts w:hint="eastAsia"/>
                <w:noProof/>
                <w:rtl/>
                <w:lang w:bidi="fa-IR"/>
              </w:rPr>
              <w:t>صَاحِبِ</w:t>
            </w:r>
            <w:r w:rsidR="003235BF" w:rsidRPr="002A1249">
              <w:rPr>
                <w:rStyle w:val="Hyperlink"/>
                <w:noProof/>
                <w:rtl/>
                <w:lang w:bidi="fa-IR"/>
              </w:rPr>
              <w:t xml:space="preserve"> </w:t>
            </w:r>
            <w:r w:rsidR="003235BF" w:rsidRPr="002A1249">
              <w:rPr>
                <w:rStyle w:val="Hyperlink"/>
                <w:rFonts w:hint="eastAsia"/>
                <w:noProof/>
                <w:rtl/>
                <w:lang w:bidi="fa-IR"/>
              </w:rPr>
              <w:t>الدَّارِ</w:t>
            </w:r>
            <w:r w:rsidR="003235BF" w:rsidRPr="002A1249">
              <w:rPr>
                <w:rStyle w:val="Hyperlink"/>
                <w:noProof/>
                <w:rtl/>
                <w:lang w:bidi="fa-IR"/>
              </w:rPr>
              <w:t xml:space="preserve"> </w:t>
            </w:r>
            <w:r w:rsidR="003235BF" w:rsidRPr="002A1249">
              <w:rPr>
                <w:rStyle w:val="Hyperlink"/>
                <w:noProof/>
                <w:vertAlign w:val="superscript"/>
                <w:rtl/>
              </w:rPr>
              <w:t>(3)</w:t>
            </w:r>
            <w:r w:rsidR="003235BF" w:rsidRPr="002A1249">
              <w:rPr>
                <w:rStyle w:val="Hyperlink"/>
                <w:noProof/>
                <w:rtl/>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122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4" w:history="1">
            <w:r w:rsidR="003235BF" w:rsidRPr="002A1249">
              <w:rPr>
                <w:rStyle w:val="Hyperlink"/>
                <w:noProof/>
                <w:rtl/>
                <w:lang w:bidi="fa-IR"/>
              </w:rPr>
              <w:t xml:space="preserve">77 -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تَسْمِيَةِ</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رَآهُ</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125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5" w:history="1">
            <w:r w:rsidR="003235BF" w:rsidRPr="002A1249">
              <w:rPr>
                <w:rStyle w:val="Hyperlink"/>
                <w:noProof/>
                <w:rtl/>
                <w:lang w:bidi="fa-IR"/>
              </w:rPr>
              <w:t xml:space="preserve">78 -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النَّهْيِ</w:t>
            </w:r>
            <w:r w:rsidR="003235BF" w:rsidRPr="002A1249">
              <w:rPr>
                <w:rStyle w:val="Hyperlink"/>
                <w:noProof/>
                <w:rtl/>
                <w:lang w:bidi="fa-IR"/>
              </w:rPr>
              <w:t xml:space="preserve"> </w:t>
            </w:r>
            <w:r w:rsidR="003235BF" w:rsidRPr="002A1249">
              <w:rPr>
                <w:rStyle w:val="Hyperlink"/>
                <w:rFonts w:hint="eastAsia"/>
                <w:noProof/>
                <w:rtl/>
                <w:lang w:bidi="fa-IR"/>
              </w:rPr>
              <w:t>عَنِ</w:t>
            </w:r>
            <w:r w:rsidR="003235BF" w:rsidRPr="002A1249">
              <w:rPr>
                <w:rStyle w:val="Hyperlink"/>
                <w:noProof/>
                <w:rtl/>
                <w:lang w:bidi="fa-IR"/>
              </w:rPr>
              <w:t xml:space="preserve"> </w:t>
            </w:r>
            <w:r w:rsidR="003235BF" w:rsidRPr="002A1249">
              <w:rPr>
                <w:rStyle w:val="Hyperlink"/>
                <w:rFonts w:hint="eastAsia"/>
                <w:noProof/>
                <w:rtl/>
                <w:lang w:bidi="fa-IR"/>
              </w:rPr>
              <w:t>الِاسْمِ‌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135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6" w:history="1">
            <w:r w:rsidR="003235BF" w:rsidRPr="002A1249">
              <w:rPr>
                <w:rStyle w:val="Hyperlink"/>
                <w:noProof/>
                <w:rtl/>
                <w:lang w:bidi="fa-IR"/>
              </w:rPr>
              <w:t xml:space="preserve">79 -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نَادِرٌ</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حَالِ</w:t>
            </w:r>
            <w:r w:rsidR="003235BF" w:rsidRPr="002A1249">
              <w:rPr>
                <w:rStyle w:val="Hyperlink"/>
                <w:noProof/>
                <w:rtl/>
                <w:lang w:bidi="fa-IR"/>
              </w:rPr>
              <w:t xml:space="preserve"> </w:t>
            </w:r>
            <w:r w:rsidR="003235BF" w:rsidRPr="002A1249">
              <w:rPr>
                <w:rStyle w:val="Hyperlink"/>
                <w:rFonts w:hint="eastAsia"/>
                <w:noProof/>
                <w:rtl/>
                <w:lang w:bidi="fa-IR"/>
              </w:rPr>
              <w:t>الْغَيْبَةِ‌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137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7" w:history="1">
            <w:r w:rsidR="003235BF" w:rsidRPr="002A1249">
              <w:rPr>
                <w:rStyle w:val="Hyperlink"/>
                <w:noProof/>
                <w:rtl/>
                <w:lang w:bidi="fa-IR"/>
              </w:rPr>
              <w:t xml:space="preserve">80 -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الْغَيْبَةِ‌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144</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8" w:history="1">
            <w:r w:rsidR="003235BF" w:rsidRPr="002A1249">
              <w:rPr>
                <w:rStyle w:val="Hyperlink"/>
                <w:noProof/>
                <w:rtl/>
                <w:lang w:bidi="fa-IR"/>
              </w:rPr>
              <w:t xml:space="preserve">81 -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يُفْصَلُ</w:t>
            </w:r>
            <w:r w:rsidR="003235BF" w:rsidRPr="002A1249">
              <w:rPr>
                <w:rStyle w:val="Hyperlink"/>
                <w:noProof/>
                <w:rtl/>
                <w:lang w:bidi="fa-IR"/>
              </w:rPr>
              <w:t xml:space="preserve"> </w:t>
            </w:r>
            <w:r w:rsidR="003235BF" w:rsidRPr="002A1249">
              <w:rPr>
                <w:rStyle w:val="Hyperlink"/>
                <w:rFonts w:hint="eastAsia"/>
                <w:noProof/>
                <w:rtl/>
                <w:lang w:bidi="fa-IR"/>
              </w:rPr>
              <w:t>بِهِ</w:t>
            </w:r>
            <w:r w:rsidR="003235BF" w:rsidRPr="002A1249">
              <w:rPr>
                <w:rStyle w:val="Hyperlink"/>
                <w:noProof/>
                <w:rtl/>
                <w:lang w:bidi="fa-IR"/>
              </w:rPr>
              <w:t xml:space="preserve"> </w:t>
            </w:r>
            <w:r w:rsidR="003235BF" w:rsidRPr="002A1249">
              <w:rPr>
                <w:rStyle w:val="Hyperlink"/>
                <w:rFonts w:hint="eastAsia"/>
                <w:noProof/>
                <w:rtl/>
                <w:lang w:bidi="fa-IR"/>
              </w:rPr>
              <w:t>بَيْنَ</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دَعْوَى</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lang w:bidi="fa-IR"/>
              </w:rPr>
              <w:t xml:space="preserve"> </w:t>
            </w:r>
            <w:r w:rsidR="003235BF" w:rsidRPr="002A1249">
              <w:rPr>
                <w:rStyle w:val="Hyperlink"/>
                <w:rFonts w:hint="eastAsia"/>
                <w:noProof/>
                <w:rtl/>
                <w:lang w:bidi="fa-IR"/>
              </w:rPr>
              <w:t>الْمُحِقِّ</w:t>
            </w:r>
            <w:r w:rsidR="003235BF" w:rsidRPr="002A1249">
              <w:rPr>
                <w:rStyle w:val="Hyperlink"/>
                <w:noProof/>
                <w:rtl/>
                <w:lang w:bidi="fa-IR"/>
              </w:rPr>
              <w:t xml:space="preserve"> </w:t>
            </w:r>
            <w:r w:rsidR="003235BF" w:rsidRPr="002A1249">
              <w:rPr>
                <w:rStyle w:val="Hyperlink"/>
                <w:rFonts w:hint="eastAsia"/>
                <w:noProof/>
                <w:rtl/>
                <w:lang w:bidi="fa-IR"/>
              </w:rPr>
              <w:t>والْمُبْطِلِ</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أَمْرِ</w:t>
            </w:r>
            <w:r w:rsidR="003235BF" w:rsidRPr="002A1249">
              <w:rPr>
                <w:rStyle w:val="Hyperlink"/>
                <w:noProof/>
                <w:rtl/>
                <w:lang w:bidi="fa-IR"/>
              </w:rPr>
              <w:t xml:space="preserve"> </w:t>
            </w:r>
            <w:r w:rsidR="003235BF" w:rsidRPr="002A1249">
              <w:rPr>
                <w:rStyle w:val="Hyperlink"/>
                <w:rFonts w:hint="eastAsia"/>
                <w:noProof/>
                <w:rtl/>
                <w:lang w:bidi="fa-IR"/>
              </w:rPr>
              <w:t>الْإِمَامَةِ‌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169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79" w:history="1">
            <w:r w:rsidR="003235BF" w:rsidRPr="002A1249">
              <w:rPr>
                <w:rStyle w:val="Hyperlink"/>
                <w:rFonts w:hint="eastAsia"/>
                <w:noProof/>
                <w:rtl/>
              </w:rPr>
              <w:t>بِسْمِ</w:t>
            </w:r>
            <w:r w:rsidR="003235BF" w:rsidRPr="002A1249">
              <w:rPr>
                <w:rStyle w:val="Hyperlink"/>
                <w:noProof/>
                <w:rtl/>
              </w:rPr>
              <w:t xml:space="preserve"> </w:t>
            </w:r>
            <w:r w:rsidR="003235BF" w:rsidRPr="002A1249">
              <w:rPr>
                <w:rStyle w:val="Hyperlink"/>
                <w:rFonts w:hint="eastAsia"/>
                <w:noProof/>
                <w:rtl/>
              </w:rPr>
              <w:t>اللهِ</w:t>
            </w:r>
            <w:r w:rsidR="003235BF" w:rsidRPr="002A1249">
              <w:rPr>
                <w:rStyle w:val="Hyperlink"/>
                <w:noProof/>
                <w:rtl/>
              </w:rPr>
              <w:t xml:space="preserve"> </w:t>
            </w:r>
            <w:r w:rsidR="003235BF" w:rsidRPr="002A1249">
              <w:rPr>
                <w:rStyle w:val="Hyperlink"/>
                <w:rFonts w:hint="eastAsia"/>
                <w:noProof/>
                <w:rtl/>
              </w:rPr>
              <w:t>الرَّحْمنِ</w:t>
            </w:r>
            <w:r w:rsidR="003235BF" w:rsidRPr="002A1249">
              <w:rPr>
                <w:rStyle w:val="Hyperlink"/>
                <w:noProof/>
                <w:rtl/>
              </w:rPr>
              <w:t xml:space="preserve"> </w:t>
            </w:r>
            <w:r w:rsidR="003235BF" w:rsidRPr="002A1249">
              <w:rPr>
                <w:rStyle w:val="Hyperlink"/>
                <w:rFonts w:hint="eastAsia"/>
                <w:noProof/>
                <w:rtl/>
              </w:rPr>
              <w:t>الرَّحِيمِ</w:t>
            </w:r>
            <w:r w:rsidR="003235BF" w:rsidRPr="002A1249">
              <w:rPr>
                <w:rStyle w:val="Hyperlink"/>
                <w:noProof/>
                <w:rtl/>
              </w:rPr>
              <w:t xml:space="preserve"> </w:t>
            </w:r>
            <w:r w:rsidR="003235BF" w:rsidRPr="002A1249">
              <w:rPr>
                <w:rStyle w:val="Hyperlink"/>
                <w:noProof/>
                <w:vertAlign w:val="superscript"/>
                <w:rtl/>
              </w:rPr>
              <w:t>(1)</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Toc34663079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241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0" w:history="1">
            <w:r w:rsidR="003235BF" w:rsidRPr="002A1249">
              <w:rPr>
                <w:rStyle w:val="Hyperlink"/>
                <w:noProof/>
                <w:rtl/>
                <w:lang w:bidi="fa-IR"/>
              </w:rPr>
              <w:t xml:space="preserve">82 -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كَرَاهِيَةِ</w:t>
            </w:r>
            <w:r w:rsidR="003235BF" w:rsidRPr="002A1249">
              <w:rPr>
                <w:rStyle w:val="Hyperlink"/>
                <w:noProof/>
                <w:rtl/>
                <w:lang w:bidi="fa-IR"/>
              </w:rPr>
              <w:t xml:space="preserve"> </w:t>
            </w:r>
            <w:r w:rsidR="003235BF" w:rsidRPr="002A1249">
              <w:rPr>
                <w:rStyle w:val="Hyperlink"/>
                <w:rFonts w:hint="eastAsia"/>
                <w:noProof/>
                <w:rtl/>
                <w:lang w:bidi="fa-IR"/>
              </w:rPr>
              <w:t>التَّوْقِيتِ</w:t>
            </w:r>
            <w:r w:rsidR="003235BF" w:rsidRPr="002A1249">
              <w:rPr>
                <w:rStyle w:val="Hyperlink"/>
                <w:noProof/>
                <w:rtl/>
                <w:lang w:bidi="fa-IR"/>
              </w:rPr>
              <w:t xml:space="preserve"> </w:t>
            </w:r>
            <w:r w:rsidR="003235BF" w:rsidRPr="002A1249">
              <w:rPr>
                <w:rStyle w:val="Hyperlink"/>
                <w:noProof/>
                <w:vertAlign w:val="superscript"/>
                <w:rtl/>
              </w:rPr>
              <w:t>(2)</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241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1" w:history="1">
            <w:r w:rsidR="003235BF" w:rsidRPr="002A1249">
              <w:rPr>
                <w:rStyle w:val="Hyperlink"/>
                <w:noProof/>
                <w:rtl/>
                <w:lang w:bidi="fa-IR"/>
              </w:rPr>
              <w:t xml:space="preserve">83 -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التَّمْحِيصِ</w:t>
            </w:r>
            <w:r w:rsidR="003235BF" w:rsidRPr="002A1249">
              <w:rPr>
                <w:rStyle w:val="Hyperlink"/>
                <w:noProof/>
                <w:rtl/>
                <w:lang w:bidi="fa-IR"/>
              </w:rPr>
              <w:t xml:space="preserve"> </w:t>
            </w:r>
            <w:r w:rsidR="003235BF" w:rsidRPr="002A1249">
              <w:rPr>
                <w:rStyle w:val="Hyperlink"/>
                <w:rFonts w:hint="eastAsia"/>
                <w:noProof/>
                <w:rtl/>
                <w:lang w:bidi="fa-IR"/>
              </w:rPr>
              <w:t>وَالِامْتِحَانِ‌</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245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2" w:history="1">
            <w:r w:rsidR="003235BF" w:rsidRPr="002A1249">
              <w:rPr>
                <w:rStyle w:val="Hyperlink"/>
                <w:noProof/>
                <w:rtl/>
                <w:lang w:bidi="fa-IR"/>
              </w:rPr>
              <w:t xml:space="preserve">84 -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أَنَّهُ</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عَرَفَ</w:t>
            </w:r>
            <w:r w:rsidR="003235BF" w:rsidRPr="002A1249">
              <w:rPr>
                <w:rStyle w:val="Hyperlink"/>
                <w:noProof/>
                <w:rtl/>
                <w:lang w:bidi="fa-IR"/>
              </w:rPr>
              <w:t xml:space="preserve"> </w:t>
            </w:r>
            <w:r w:rsidR="003235BF" w:rsidRPr="002A1249">
              <w:rPr>
                <w:rStyle w:val="Hyperlink"/>
                <w:rFonts w:hint="eastAsia"/>
                <w:noProof/>
                <w:rtl/>
                <w:lang w:bidi="fa-IR"/>
              </w:rPr>
              <w:t>إِمَامَهُ</w:t>
            </w:r>
            <w:r w:rsidR="003235BF" w:rsidRPr="002A1249">
              <w:rPr>
                <w:rStyle w:val="Hyperlink"/>
                <w:noProof/>
                <w:rtl/>
                <w:lang w:bidi="fa-IR"/>
              </w:rPr>
              <w:t xml:space="preserve"> </w:t>
            </w:r>
            <w:r w:rsidR="003235BF" w:rsidRPr="002A1249">
              <w:rPr>
                <w:rStyle w:val="Hyperlink"/>
                <w:rFonts w:hint="eastAsia"/>
                <w:noProof/>
                <w:rtl/>
                <w:lang w:bidi="fa-IR"/>
              </w:rPr>
              <w:t>لَمْ</w:t>
            </w:r>
            <w:r w:rsidR="003235BF" w:rsidRPr="002A1249">
              <w:rPr>
                <w:rStyle w:val="Hyperlink"/>
                <w:noProof/>
                <w:rtl/>
                <w:lang w:bidi="fa-IR"/>
              </w:rPr>
              <w:t xml:space="preserve"> </w:t>
            </w:r>
            <w:r w:rsidR="003235BF" w:rsidRPr="002A1249">
              <w:rPr>
                <w:rStyle w:val="Hyperlink"/>
                <w:rFonts w:hint="eastAsia"/>
                <w:noProof/>
                <w:rtl/>
                <w:lang w:bidi="fa-IR"/>
              </w:rPr>
              <w:t>يَضُرَّهُ</w:t>
            </w:r>
            <w:r w:rsidR="003235BF" w:rsidRPr="002A1249">
              <w:rPr>
                <w:rStyle w:val="Hyperlink"/>
                <w:noProof/>
                <w:rtl/>
                <w:lang w:bidi="fa-IR"/>
              </w:rPr>
              <w:t xml:space="preserve"> </w:t>
            </w:r>
            <w:r w:rsidR="003235BF" w:rsidRPr="002A1249">
              <w:rPr>
                <w:rStyle w:val="Hyperlink"/>
                <w:noProof/>
                <w:vertAlign w:val="superscript"/>
                <w:rtl/>
              </w:rPr>
              <w:t>(7)</w:t>
            </w:r>
            <w:r w:rsidR="003235BF" w:rsidRPr="002A1249">
              <w:rPr>
                <w:rStyle w:val="Hyperlink"/>
                <w:noProof/>
                <w:rtl/>
                <w:lang w:bidi="fa-IR"/>
              </w:rPr>
              <w:t xml:space="preserve"> </w:t>
            </w:r>
            <w:r w:rsidR="003235BF" w:rsidRPr="002A1249">
              <w:rPr>
                <w:rStyle w:val="Hyperlink"/>
                <w:rFonts w:hint="eastAsia"/>
                <w:noProof/>
                <w:rtl/>
                <w:lang w:bidi="fa-IR"/>
              </w:rPr>
              <w:t>تَقَدَّمَ</w:t>
            </w:r>
            <w:r w:rsidR="003235BF" w:rsidRPr="002A1249">
              <w:rPr>
                <w:rStyle w:val="Hyperlink"/>
                <w:noProof/>
                <w:rtl/>
                <w:lang w:bidi="fa-IR"/>
              </w:rPr>
              <w:t xml:space="preserve"> </w:t>
            </w:r>
            <w:r w:rsidR="003235BF" w:rsidRPr="002A1249">
              <w:rPr>
                <w:rStyle w:val="Hyperlink"/>
                <w:rFonts w:hint="eastAsia"/>
                <w:noProof/>
                <w:rtl/>
                <w:lang w:bidi="fa-IR"/>
              </w:rPr>
              <w:t>هذَا</w:t>
            </w:r>
            <w:r w:rsidR="003235BF" w:rsidRPr="002A1249">
              <w:rPr>
                <w:rStyle w:val="Hyperlink"/>
                <w:noProof/>
                <w:rtl/>
                <w:lang w:bidi="fa-IR"/>
              </w:rPr>
              <w:t xml:space="preserve"> </w:t>
            </w:r>
            <w:r w:rsidR="003235BF" w:rsidRPr="002A1249">
              <w:rPr>
                <w:rStyle w:val="Hyperlink"/>
                <w:rFonts w:hint="eastAsia"/>
                <w:noProof/>
                <w:rtl/>
                <w:lang w:bidi="fa-IR"/>
              </w:rPr>
              <w:t>الْأَمْرُ</w:t>
            </w:r>
            <w:r w:rsidR="003235BF" w:rsidRPr="002A1249">
              <w:rPr>
                <w:rStyle w:val="Hyperlink"/>
                <w:noProof/>
                <w:rtl/>
                <w:lang w:bidi="fa-IR"/>
              </w:rPr>
              <w:t xml:space="preserve"> </w:t>
            </w:r>
            <w:r w:rsidR="003235BF" w:rsidRPr="002A1249">
              <w:rPr>
                <w:rStyle w:val="Hyperlink"/>
                <w:rFonts w:hint="eastAsia"/>
                <w:noProof/>
                <w:rtl/>
                <w:lang w:bidi="fa-IR"/>
              </w:rPr>
              <w:t>أَوْ</w:t>
            </w:r>
            <w:r w:rsidR="003235BF" w:rsidRPr="002A1249">
              <w:rPr>
                <w:rStyle w:val="Hyperlink"/>
                <w:noProof/>
                <w:rtl/>
                <w:lang w:bidi="fa-IR"/>
              </w:rPr>
              <w:t xml:space="preserve"> </w:t>
            </w:r>
            <w:r w:rsidR="003235BF" w:rsidRPr="002A1249">
              <w:rPr>
                <w:rStyle w:val="Hyperlink"/>
                <w:rFonts w:hint="eastAsia"/>
                <w:noProof/>
                <w:rtl/>
                <w:lang w:bidi="fa-IR"/>
              </w:rPr>
              <w:t>تَأَخَّرَ‌</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249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3" w:history="1">
            <w:r w:rsidR="003235BF" w:rsidRPr="002A1249">
              <w:rPr>
                <w:rStyle w:val="Hyperlink"/>
                <w:noProof/>
                <w:rtl/>
                <w:lang w:bidi="fa-IR"/>
              </w:rPr>
              <w:t xml:space="preserve">85 -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ادَّعَى</w:t>
            </w:r>
            <w:r w:rsidR="003235BF" w:rsidRPr="002A1249">
              <w:rPr>
                <w:rStyle w:val="Hyperlink"/>
                <w:noProof/>
                <w:rtl/>
                <w:lang w:bidi="fa-IR"/>
              </w:rPr>
              <w:t xml:space="preserve"> </w:t>
            </w:r>
            <w:r w:rsidR="003235BF" w:rsidRPr="002A1249">
              <w:rPr>
                <w:rStyle w:val="Hyperlink"/>
                <w:rFonts w:hint="eastAsia"/>
                <w:noProof/>
                <w:rtl/>
                <w:lang w:bidi="fa-IR"/>
              </w:rPr>
              <w:t>الْإِمَامَةَ</w:t>
            </w:r>
            <w:r w:rsidR="003235BF" w:rsidRPr="002A1249">
              <w:rPr>
                <w:rStyle w:val="Hyperlink"/>
                <w:noProof/>
                <w:rtl/>
                <w:lang w:bidi="fa-IR"/>
              </w:rPr>
              <w:t xml:space="preserve"> </w:t>
            </w:r>
            <w:r w:rsidR="003235BF" w:rsidRPr="002A1249">
              <w:rPr>
                <w:rStyle w:val="Hyperlink"/>
                <w:rFonts w:hint="eastAsia"/>
                <w:noProof/>
                <w:rtl/>
                <w:lang w:bidi="fa-IR"/>
              </w:rPr>
              <w:t>ولَيْسَ</w:t>
            </w:r>
            <w:r w:rsidR="003235BF" w:rsidRPr="002A1249">
              <w:rPr>
                <w:rStyle w:val="Hyperlink"/>
                <w:noProof/>
                <w:rtl/>
                <w:lang w:bidi="fa-IR"/>
              </w:rPr>
              <w:t xml:space="preserve"> </w:t>
            </w:r>
            <w:r w:rsidR="003235BF" w:rsidRPr="002A1249">
              <w:rPr>
                <w:rStyle w:val="Hyperlink"/>
                <w:rFonts w:hint="eastAsia"/>
                <w:noProof/>
                <w:rtl/>
                <w:lang w:bidi="fa-IR"/>
              </w:rPr>
              <w:t>لَهَا</w:t>
            </w:r>
            <w:r w:rsidR="003235BF" w:rsidRPr="002A1249">
              <w:rPr>
                <w:rStyle w:val="Hyperlink"/>
                <w:noProof/>
                <w:rtl/>
                <w:lang w:bidi="fa-IR"/>
              </w:rPr>
              <w:t xml:space="preserve"> </w:t>
            </w:r>
            <w:r w:rsidR="003235BF" w:rsidRPr="002A1249">
              <w:rPr>
                <w:rStyle w:val="Hyperlink"/>
                <w:rFonts w:hint="eastAsia"/>
                <w:noProof/>
                <w:rtl/>
                <w:lang w:bidi="fa-IR"/>
              </w:rPr>
              <w:t>بِأَهْلٍ</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lang w:bidi="fa-IR"/>
              </w:rPr>
              <w:t xml:space="preserve"> </w:t>
            </w:r>
            <w:r w:rsidR="003235BF" w:rsidRPr="002A1249">
              <w:rPr>
                <w:rStyle w:val="Hyperlink"/>
                <w:rFonts w:hint="eastAsia"/>
                <w:noProof/>
                <w:rtl/>
                <w:lang w:bidi="fa-IR"/>
              </w:rPr>
              <w:t>،</w:t>
            </w:r>
            <w:r w:rsidR="003235BF" w:rsidRPr="002A1249">
              <w:rPr>
                <w:rStyle w:val="Hyperlink"/>
                <w:noProof/>
                <w:rtl/>
                <w:lang w:bidi="fa-IR"/>
              </w:rPr>
              <w:t xml:space="preserve"> </w:t>
            </w:r>
            <w:r w:rsidR="003235BF" w:rsidRPr="002A1249">
              <w:rPr>
                <w:rStyle w:val="Hyperlink"/>
                <w:rFonts w:hint="eastAsia"/>
                <w:noProof/>
                <w:rtl/>
                <w:lang w:bidi="fa-IR"/>
              </w:rPr>
              <w:t>ومَنْ</w:t>
            </w:r>
            <w:r w:rsidR="003235BF" w:rsidRPr="002A1249">
              <w:rPr>
                <w:rStyle w:val="Hyperlink"/>
                <w:noProof/>
                <w:rtl/>
                <w:lang w:bidi="fa-IR"/>
              </w:rPr>
              <w:t xml:space="preserve"> </w:t>
            </w:r>
            <w:r w:rsidR="003235BF" w:rsidRPr="002A1249">
              <w:rPr>
                <w:rStyle w:val="Hyperlink"/>
                <w:rFonts w:hint="eastAsia"/>
                <w:noProof/>
                <w:rtl/>
                <w:lang w:bidi="fa-IR"/>
              </w:rPr>
              <w:t>جَحَدَ</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253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4" w:history="1">
            <w:r w:rsidR="003235BF" w:rsidRPr="002A1249">
              <w:rPr>
                <w:rStyle w:val="Hyperlink"/>
                <w:rFonts w:hint="eastAsia"/>
                <w:noProof/>
                <w:rtl/>
                <w:lang w:bidi="fa-IR"/>
              </w:rPr>
              <w:t>أَوْ</w:t>
            </w:r>
            <w:r w:rsidR="003235BF" w:rsidRPr="002A1249">
              <w:rPr>
                <w:rStyle w:val="Hyperlink"/>
                <w:noProof/>
                <w:rtl/>
                <w:lang w:bidi="fa-IR"/>
              </w:rPr>
              <w:t xml:space="preserve"> </w:t>
            </w:r>
            <w:r w:rsidR="003235BF" w:rsidRPr="002A1249">
              <w:rPr>
                <w:rStyle w:val="Hyperlink"/>
                <w:rFonts w:hint="eastAsia"/>
                <w:noProof/>
                <w:rtl/>
                <w:lang w:bidi="fa-IR"/>
              </w:rPr>
              <w:t>بَعْضَهُمْ</w:t>
            </w:r>
            <w:r w:rsidR="003235BF" w:rsidRPr="002A1249">
              <w:rPr>
                <w:rStyle w:val="Hyperlink"/>
                <w:noProof/>
                <w:rtl/>
                <w:lang w:bidi="fa-IR"/>
              </w:rPr>
              <w:t xml:space="preserve"> </w:t>
            </w:r>
            <w:r w:rsidR="003235BF" w:rsidRPr="002A1249">
              <w:rPr>
                <w:rStyle w:val="Hyperlink"/>
                <w:rFonts w:hint="eastAsia"/>
                <w:noProof/>
                <w:rtl/>
                <w:lang w:bidi="fa-IR"/>
              </w:rPr>
              <w:t>،</w:t>
            </w:r>
            <w:r w:rsidR="003235BF" w:rsidRPr="002A1249">
              <w:rPr>
                <w:rStyle w:val="Hyperlink"/>
                <w:noProof/>
                <w:rtl/>
                <w:lang w:bidi="fa-IR"/>
              </w:rPr>
              <w:t xml:space="preserve"> </w:t>
            </w:r>
            <w:r w:rsidR="003235BF" w:rsidRPr="002A1249">
              <w:rPr>
                <w:rStyle w:val="Hyperlink"/>
                <w:rFonts w:hint="eastAsia"/>
                <w:noProof/>
                <w:rtl/>
                <w:lang w:bidi="fa-IR"/>
              </w:rPr>
              <w:t>وَمَنْ</w:t>
            </w:r>
            <w:r w:rsidR="003235BF" w:rsidRPr="002A1249">
              <w:rPr>
                <w:rStyle w:val="Hyperlink"/>
                <w:noProof/>
                <w:rtl/>
                <w:lang w:bidi="fa-IR"/>
              </w:rPr>
              <w:t xml:space="preserve"> </w:t>
            </w:r>
            <w:r w:rsidR="003235BF" w:rsidRPr="002A1249">
              <w:rPr>
                <w:rStyle w:val="Hyperlink"/>
                <w:rFonts w:hint="eastAsia"/>
                <w:noProof/>
                <w:rtl/>
                <w:lang w:bidi="fa-IR"/>
              </w:rPr>
              <w:t>أَثْبَتَ</w:t>
            </w:r>
            <w:r w:rsidR="003235BF" w:rsidRPr="002A1249">
              <w:rPr>
                <w:rStyle w:val="Hyperlink"/>
                <w:noProof/>
                <w:rtl/>
                <w:lang w:bidi="fa-IR"/>
              </w:rPr>
              <w:t xml:space="preserve"> </w:t>
            </w:r>
            <w:r w:rsidR="003235BF" w:rsidRPr="002A1249">
              <w:rPr>
                <w:rStyle w:val="Hyperlink"/>
                <w:rFonts w:hint="eastAsia"/>
                <w:noProof/>
                <w:rtl/>
                <w:lang w:bidi="fa-IR"/>
              </w:rPr>
              <w:t>الْإِمَامَةَ</w:t>
            </w:r>
            <w:r w:rsidR="003235BF" w:rsidRPr="002A1249">
              <w:rPr>
                <w:rStyle w:val="Hyperlink"/>
                <w:noProof/>
                <w:rtl/>
                <w:lang w:bidi="fa-IR"/>
              </w:rPr>
              <w:t xml:space="preserve"> </w:t>
            </w:r>
            <w:r w:rsidR="003235BF" w:rsidRPr="002A1249">
              <w:rPr>
                <w:rStyle w:val="Hyperlink"/>
                <w:rFonts w:hint="eastAsia"/>
                <w:noProof/>
                <w:rtl/>
                <w:lang w:bidi="fa-IR"/>
              </w:rPr>
              <w:t>لِمَنْ</w:t>
            </w:r>
            <w:r w:rsidR="003235BF" w:rsidRPr="002A1249">
              <w:rPr>
                <w:rStyle w:val="Hyperlink"/>
                <w:noProof/>
                <w:rtl/>
                <w:lang w:bidi="fa-IR"/>
              </w:rPr>
              <w:t xml:space="preserve"> </w:t>
            </w:r>
            <w:r w:rsidR="003235BF" w:rsidRPr="002A1249">
              <w:rPr>
                <w:rStyle w:val="Hyperlink"/>
                <w:rFonts w:hint="eastAsia"/>
                <w:noProof/>
                <w:rtl/>
                <w:lang w:bidi="fa-IR"/>
              </w:rPr>
              <w:t>لَيْسَ</w:t>
            </w:r>
            <w:r w:rsidR="003235BF" w:rsidRPr="002A1249">
              <w:rPr>
                <w:rStyle w:val="Hyperlink"/>
                <w:noProof/>
                <w:rtl/>
                <w:lang w:bidi="fa-IR"/>
              </w:rPr>
              <w:t xml:space="preserve"> </w:t>
            </w:r>
            <w:r w:rsidR="003235BF" w:rsidRPr="002A1249">
              <w:rPr>
                <w:rStyle w:val="Hyperlink"/>
                <w:rFonts w:hint="eastAsia"/>
                <w:noProof/>
                <w:rtl/>
                <w:lang w:bidi="fa-IR"/>
              </w:rPr>
              <w:t>لَهَا</w:t>
            </w:r>
            <w:r w:rsidR="003235BF" w:rsidRPr="002A1249">
              <w:rPr>
                <w:rStyle w:val="Hyperlink"/>
                <w:noProof/>
                <w:rtl/>
                <w:lang w:bidi="fa-IR"/>
              </w:rPr>
              <w:t xml:space="preserve"> </w:t>
            </w:r>
            <w:r w:rsidR="003235BF" w:rsidRPr="002A1249">
              <w:rPr>
                <w:rStyle w:val="Hyperlink"/>
                <w:rFonts w:hint="eastAsia"/>
                <w:noProof/>
                <w:rtl/>
                <w:lang w:bidi="fa-IR"/>
              </w:rPr>
              <w:t>بِأَهْلٍ‌</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253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5" w:history="1">
            <w:r w:rsidR="003235BF" w:rsidRPr="002A1249">
              <w:rPr>
                <w:rStyle w:val="Hyperlink"/>
                <w:noProof/>
                <w:rtl/>
                <w:lang w:bidi="fa-IR"/>
              </w:rPr>
              <w:t xml:space="preserve">86 -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فِيمَنْ</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دَانَ</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عَزَّ</w:t>
            </w:r>
            <w:r w:rsidR="003235BF" w:rsidRPr="002A1249">
              <w:rPr>
                <w:rStyle w:val="Hyperlink"/>
                <w:noProof/>
                <w:rtl/>
                <w:lang w:bidi="fa-IR"/>
              </w:rPr>
              <w:t xml:space="preserve"> </w:t>
            </w:r>
            <w:r w:rsidR="003235BF" w:rsidRPr="002A1249">
              <w:rPr>
                <w:rStyle w:val="Hyperlink"/>
                <w:rFonts w:hint="eastAsia"/>
                <w:noProof/>
                <w:rtl/>
                <w:lang w:bidi="fa-IR"/>
              </w:rPr>
              <w:t>وجَلَّ</w:t>
            </w:r>
            <w:r w:rsidR="003235BF" w:rsidRPr="002A1249">
              <w:rPr>
                <w:rStyle w:val="Hyperlink"/>
                <w:noProof/>
                <w:rtl/>
                <w:lang w:bidi="fa-IR"/>
              </w:rPr>
              <w:t xml:space="preserve"> </w:t>
            </w:r>
            <w:r w:rsidR="003235BF" w:rsidRPr="002A1249">
              <w:rPr>
                <w:rStyle w:val="Hyperlink"/>
                <w:rFonts w:hint="eastAsia"/>
                <w:noProof/>
                <w:rtl/>
                <w:lang w:bidi="fa-IR"/>
              </w:rPr>
              <w:t>بِغَيْرِ</w:t>
            </w:r>
            <w:r w:rsidR="003235BF" w:rsidRPr="002A1249">
              <w:rPr>
                <w:rStyle w:val="Hyperlink"/>
                <w:noProof/>
                <w:rtl/>
                <w:lang w:bidi="fa-IR"/>
              </w:rPr>
              <w:t xml:space="preserve"> </w:t>
            </w:r>
            <w:r w:rsidR="003235BF" w:rsidRPr="002A1249">
              <w:rPr>
                <w:rStyle w:val="Hyperlink"/>
                <w:rFonts w:hint="eastAsia"/>
                <w:noProof/>
                <w:rtl/>
                <w:lang w:bidi="fa-IR"/>
              </w:rPr>
              <w:t>إِمَامٍ</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جَلَّ</w:t>
            </w:r>
            <w:r w:rsidR="003235BF" w:rsidRPr="002A1249">
              <w:rPr>
                <w:rStyle w:val="Hyperlink"/>
                <w:noProof/>
                <w:rtl/>
                <w:lang w:bidi="fa-IR"/>
              </w:rPr>
              <w:t xml:space="preserve"> </w:t>
            </w:r>
            <w:r w:rsidR="003235BF" w:rsidRPr="002A1249">
              <w:rPr>
                <w:rStyle w:val="Hyperlink"/>
                <w:rFonts w:hint="eastAsia"/>
                <w:noProof/>
                <w:rtl/>
                <w:lang w:bidi="fa-IR"/>
              </w:rPr>
              <w:t>جَلَالُهُ‌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259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6" w:history="1">
            <w:r w:rsidR="003235BF" w:rsidRPr="002A1249">
              <w:rPr>
                <w:rStyle w:val="Hyperlink"/>
                <w:noProof/>
                <w:rtl/>
                <w:lang w:bidi="fa-IR"/>
              </w:rPr>
              <w:t xml:space="preserve">87 -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مَاتَ</w:t>
            </w:r>
            <w:r w:rsidR="003235BF" w:rsidRPr="002A1249">
              <w:rPr>
                <w:rStyle w:val="Hyperlink"/>
                <w:noProof/>
                <w:rtl/>
                <w:lang w:bidi="fa-IR"/>
              </w:rPr>
              <w:t xml:space="preserve"> </w:t>
            </w:r>
            <w:r w:rsidR="003235BF" w:rsidRPr="002A1249">
              <w:rPr>
                <w:rStyle w:val="Hyperlink"/>
                <w:rFonts w:hint="eastAsia"/>
                <w:noProof/>
                <w:rtl/>
                <w:lang w:bidi="fa-IR"/>
              </w:rPr>
              <w:t>ولَيْسَ</w:t>
            </w:r>
            <w:r w:rsidR="003235BF" w:rsidRPr="002A1249">
              <w:rPr>
                <w:rStyle w:val="Hyperlink"/>
                <w:noProof/>
                <w:rtl/>
                <w:lang w:bidi="fa-IR"/>
              </w:rPr>
              <w:t xml:space="preserve"> </w:t>
            </w:r>
            <w:r w:rsidR="003235BF" w:rsidRPr="002A1249">
              <w:rPr>
                <w:rStyle w:val="Hyperlink"/>
                <w:rFonts w:hint="eastAsia"/>
                <w:noProof/>
                <w:rtl/>
                <w:lang w:bidi="fa-IR"/>
              </w:rPr>
              <w:t>لَهُ</w:t>
            </w:r>
            <w:r w:rsidR="003235BF" w:rsidRPr="002A1249">
              <w:rPr>
                <w:rStyle w:val="Hyperlink"/>
                <w:noProof/>
                <w:rtl/>
                <w:lang w:bidi="fa-IR"/>
              </w:rPr>
              <w:t xml:space="preserve"> </w:t>
            </w:r>
            <w:r w:rsidR="003235BF" w:rsidRPr="002A1249">
              <w:rPr>
                <w:rStyle w:val="Hyperlink"/>
                <w:rFonts w:hint="eastAsia"/>
                <w:noProof/>
                <w:rtl/>
                <w:lang w:bidi="fa-IR"/>
              </w:rPr>
              <w:t>إِمَامٌ</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أَئِمَّةِ</w:t>
            </w:r>
            <w:r w:rsidR="003235BF" w:rsidRPr="002A1249">
              <w:rPr>
                <w:rStyle w:val="Hyperlink"/>
                <w:noProof/>
                <w:rtl/>
                <w:lang w:bidi="fa-IR"/>
              </w:rPr>
              <w:t xml:space="preserve"> </w:t>
            </w:r>
            <w:r w:rsidR="003235BF" w:rsidRPr="002A1249">
              <w:rPr>
                <w:rStyle w:val="Hyperlink"/>
                <w:rFonts w:hint="eastAsia"/>
                <w:noProof/>
                <w:rtl/>
                <w:lang w:bidi="fa-IR"/>
              </w:rPr>
              <w:t>الْهُدى</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264</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7" w:history="1">
            <w:r w:rsidR="003235BF" w:rsidRPr="002A1249">
              <w:rPr>
                <w:rStyle w:val="Hyperlink"/>
                <w:rFonts w:hint="eastAsia"/>
                <w:noProof/>
                <w:rtl/>
                <w:lang w:bidi="fa-IR"/>
              </w:rPr>
              <w:t>وَهُوَ</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الْبَابِ</w:t>
            </w:r>
            <w:r w:rsidR="003235BF" w:rsidRPr="002A1249">
              <w:rPr>
                <w:rStyle w:val="Hyperlink"/>
                <w:noProof/>
                <w:rtl/>
                <w:lang w:bidi="fa-IR"/>
              </w:rPr>
              <w:t xml:space="preserve"> </w:t>
            </w:r>
            <w:r w:rsidR="003235BF" w:rsidRPr="002A1249">
              <w:rPr>
                <w:rStyle w:val="Hyperlink"/>
                <w:rFonts w:hint="eastAsia"/>
                <w:noProof/>
                <w:rtl/>
                <w:lang w:bidi="fa-IR"/>
              </w:rPr>
              <w:t>الْأَوَّلِ‌</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264</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8" w:history="1">
            <w:r w:rsidR="003235BF" w:rsidRPr="002A1249">
              <w:rPr>
                <w:rStyle w:val="Hyperlink"/>
                <w:noProof/>
                <w:rtl/>
                <w:lang w:bidi="fa-IR"/>
              </w:rPr>
              <w:t xml:space="preserve">88 -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فِيمَنْ</w:t>
            </w:r>
            <w:r w:rsidR="003235BF" w:rsidRPr="002A1249">
              <w:rPr>
                <w:rStyle w:val="Hyperlink"/>
                <w:noProof/>
                <w:rtl/>
                <w:lang w:bidi="fa-IR"/>
              </w:rPr>
              <w:t xml:space="preserve"> </w:t>
            </w:r>
            <w:r w:rsidR="003235BF" w:rsidRPr="002A1249">
              <w:rPr>
                <w:rStyle w:val="Hyperlink"/>
                <w:rFonts w:hint="eastAsia"/>
                <w:noProof/>
                <w:rtl/>
                <w:lang w:bidi="fa-IR"/>
              </w:rPr>
              <w:t>عَرَفَ</w:t>
            </w:r>
            <w:r w:rsidR="003235BF" w:rsidRPr="002A1249">
              <w:rPr>
                <w:rStyle w:val="Hyperlink"/>
                <w:noProof/>
                <w:rtl/>
                <w:lang w:bidi="fa-IR"/>
              </w:rPr>
              <w:t xml:space="preserve"> </w:t>
            </w:r>
            <w:r w:rsidR="003235BF" w:rsidRPr="002A1249">
              <w:rPr>
                <w:rStyle w:val="Hyperlink"/>
                <w:rFonts w:hint="eastAsia"/>
                <w:noProof/>
                <w:rtl/>
                <w:lang w:bidi="fa-IR"/>
              </w:rPr>
              <w:t>الْحَقَّ</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أَهْلِ</w:t>
            </w:r>
            <w:r w:rsidR="003235BF" w:rsidRPr="002A1249">
              <w:rPr>
                <w:rStyle w:val="Hyperlink"/>
                <w:noProof/>
                <w:rtl/>
                <w:lang w:bidi="fa-IR"/>
              </w:rPr>
              <w:t xml:space="preserve"> </w:t>
            </w:r>
            <w:r w:rsidR="003235BF" w:rsidRPr="002A1249">
              <w:rPr>
                <w:rStyle w:val="Hyperlink"/>
                <w:rFonts w:hint="eastAsia"/>
                <w:noProof/>
                <w:rtl/>
                <w:lang w:bidi="fa-IR"/>
              </w:rPr>
              <w:t>الْبَيْتِ</w:t>
            </w:r>
            <w:r w:rsidR="003235BF" w:rsidRPr="002A1249">
              <w:rPr>
                <w:rStyle w:val="Hyperlink"/>
                <w:noProof/>
                <w:rtl/>
                <w:lang w:bidi="fa-IR"/>
              </w:rPr>
              <w:t xml:space="preserve"> </w:t>
            </w:r>
            <w:r w:rsidR="003235BF" w:rsidRPr="002A1249">
              <w:rPr>
                <w:rStyle w:val="Hyperlink"/>
                <w:rFonts w:hint="eastAsia"/>
                <w:noProof/>
                <w:rtl/>
                <w:lang w:bidi="fa-IR"/>
              </w:rPr>
              <w:t>ومَنْ</w:t>
            </w:r>
            <w:r w:rsidR="003235BF" w:rsidRPr="002A1249">
              <w:rPr>
                <w:rStyle w:val="Hyperlink"/>
                <w:noProof/>
                <w:rtl/>
                <w:lang w:bidi="fa-IR"/>
              </w:rPr>
              <w:t xml:space="preserve"> </w:t>
            </w:r>
            <w:r w:rsidR="003235BF" w:rsidRPr="002A1249">
              <w:rPr>
                <w:rStyle w:val="Hyperlink"/>
                <w:rFonts w:hint="eastAsia"/>
                <w:noProof/>
                <w:rtl/>
                <w:lang w:bidi="fa-IR"/>
              </w:rPr>
              <w:t>أَنْكَرَ</w:t>
            </w:r>
            <w:r w:rsidR="003235BF" w:rsidRPr="002A1249">
              <w:rPr>
                <w:rStyle w:val="Hyperlink"/>
                <w:noProof/>
                <w:rtl/>
                <w:lang w:bidi="fa-IR"/>
              </w:rPr>
              <w:t xml:space="preserve"> </w:t>
            </w:r>
            <w:r w:rsidR="003235BF" w:rsidRPr="002A1249">
              <w:rPr>
                <w:rStyle w:val="Hyperlink"/>
                <w:noProof/>
                <w:vertAlign w:val="superscript"/>
                <w:rtl/>
              </w:rPr>
              <w:t>(10)</w:t>
            </w:r>
            <w:r w:rsidR="003235BF" w:rsidRPr="002A1249">
              <w:rPr>
                <w:rStyle w:val="Hyperlink"/>
                <w:noProof/>
                <w:rtl/>
                <w:lang w:bidi="fa-IR"/>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266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89" w:history="1">
            <w:r w:rsidR="003235BF" w:rsidRPr="002A1249">
              <w:rPr>
                <w:rStyle w:val="Hyperlink"/>
                <w:noProof/>
                <w:rtl/>
                <w:lang w:bidi="fa-IR"/>
              </w:rPr>
              <w:t xml:space="preserve">89 -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يَجِبُ</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النَّاسِ</w:t>
            </w:r>
            <w:r w:rsidR="003235BF" w:rsidRPr="002A1249">
              <w:rPr>
                <w:rStyle w:val="Hyperlink"/>
                <w:noProof/>
                <w:rtl/>
                <w:lang w:bidi="fa-IR"/>
              </w:rPr>
              <w:t xml:space="preserve"> </w:t>
            </w:r>
            <w:r w:rsidR="003235BF" w:rsidRPr="002A1249">
              <w:rPr>
                <w:rStyle w:val="Hyperlink"/>
                <w:rFonts w:hint="eastAsia"/>
                <w:noProof/>
                <w:rtl/>
                <w:lang w:bidi="fa-IR"/>
              </w:rPr>
              <w:t>عِنْدَ</w:t>
            </w:r>
            <w:r w:rsidR="003235BF" w:rsidRPr="002A1249">
              <w:rPr>
                <w:rStyle w:val="Hyperlink"/>
                <w:noProof/>
                <w:rtl/>
                <w:lang w:bidi="fa-IR"/>
              </w:rPr>
              <w:t xml:space="preserve"> </w:t>
            </w:r>
            <w:r w:rsidR="003235BF" w:rsidRPr="002A1249">
              <w:rPr>
                <w:rStyle w:val="Hyperlink"/>
                <w:rFonts w:hint="eastAsia"/>
                <w:noProof/>
                <w:rtl/>
                <w:lang w:bidi="fa-IR"/>
              </w:rPr>
              <w:t>مُضِيِّ</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Toc34663089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268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0" w:history="1">
            <w:r w:rsidR="003235BF" w:rsidRPr="002A1249">
              <w:rPr>
                <w:rStyle w:val="Hyperlink"/>
                <w:noProof/>
                <w:rtl/>
                <w:lang w:bidi="fa-IR"/>
              </w:rPr>
              <w:t xml:space="preserve">90 -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sidRPr="002A1249">
              <w:rPr>
                <w:rStyle w:val="Hyperlink"/>
                <w:noProof/>
                <w:rtl/>
                <w:lang w:bidi="fa-IR"/>
              </w:rPr>
              <w:t xml:space="preserve"> </w:t>
            </w:r>
            <w:r w:rsidR="003235BF" w:rsidRPr="002A1249">
              <w:rPr>
                <w:rStyle w:val="Hyperlink"/>
                <w:rFonts w:hint="eastAsia"/>
                <w:noProof/>
                <w:rtl/>
                <w:lang w:bidi="fa-IR"/>
              </w:rPr>
              <w:t>مَتى</w:t>
            </w:r>
            <w:r w:rsidR="003235BF" w:rsidRPr="002A1249">
              <w:rPr>
                <w:rStyle w:val="Hyperlink"/>
                <w:noProof/>
                <w:rtl/>
                <w:lang w:bidi="fa-IR"/>
              </w:rPr>
              <w:t xml:space="preserve"> </w:t>
            </w:r>
            <w:r w:rsidR="003235BF" w:rsidRPr="002A1249">
              <w:rPr>
                <w:rStyle w:val="Hyperlink"/>
                <w:rFonts w:hint="eastAsia"/>
                <w:noProof/>
                <w:rtl/>
                <w:lang w:bidi="fa-IR"/>
              </w:rPr>
              <w:t>يَعْلَمُ</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الْأَمْرَ</w:t>
            </w:r>
            <w:r w:rsidR="003235BF" w:rsidRPr="002A1249">
              <w:rPr>
                <w:rStyle w:val="Hyperlink"/>
                <w:noProof/>
                <w:rtl/>
                <w:lang w:bidi="fa-IR"/>
              </w:rPr>
              <w:t xml:space="preserve"> </w:t>
            </w:r>
            <w:r w:rsidR="003235BF" w:rsidRPr="002A1249">
              <w:rPr>
                <w:rStyle w:val="Hyperlink"/>
                <w:rFonts w:hint="eastAsia"/>
                <w:noProof/>
                <w:rtl/>
                <w:lang w:bidi="fa-IR"/>
              </w:rPr>
              <w:t>قَدْ</w:t>
            </w:r>
            <w:r w:rsidR="003235BF" w:rsidRPr="002A1249">
              <w:rPr>
                <w:rStyle w:val="Hyperlink"/>
                <w:noProof/>
                <w:rtl/>
                <w:lang w:bidi="fa-IR"/>
              </w:rPr>
              <w:t xml:space="preserve"> </w:t>
            </w:r>
            <w:r w:rsidR="003235BF" w:rsidRPr="002A1249">
              <w:rPr>
                <w:rStyle w:val="Hyperlink"/>
                <w:noProof/>
                <w:vertAlign w:val="superscript"/>
                <w:rtl/>
              </w:rPr>
              <w:t>(7)</w:t>
            </w:r>
            <w:r w:rsidR="003235BF" w:rsidRPr="002A1249">
              <w:rPr>
                <w:rStyle w:val="Hyperlink"/>
                <w:noProof/>
                <w:rtl/>
                <w:lang w:bidi="fa-IR"/>
              </w:rPr>
              <w:t xml:space="preserve"> </w:t>
            </w:r>
            <w:r w:rsidR="003235BF" w:rsidRPr="002A1249">
              <w:rPr>
                <w:rStyle w:val="Hyperlink"/>
                <w:rFonts w:hint="eastAsia"/>
                <w:noProof/>
                <w:rtl/>
                <w:lang w:bidi="fa-IR"/>
              </w:rPr>
              <w:t>صَارَ</w:t>
            </w:r>
            <w:r w:rsidR="003235BF" w:rsidRPr="002A1249">
              <w:rPr>
                <w:rStyle w:val="Hyperlink"/>
                <w:noProof/>
                <w:rtl/>
                <w:lang w:bidi="fa-IR"/>
              </w:rPr>
              <w:t xml:space="preserve"> </w:t>
            </w:r>
            <w:r w:rsidR="003235BF" w:rsidRPr="002A1249">
              <w:rPr>
                <w:rStyle w:val="Hyperlink"/>
                <w:rFonts w:hint="eastAsia"/>
                <w:noProof/>
                <w:rtl/>
                <w:lang w:bidi="fa-IR"/>
              </w:rPr>
              <w:t>إِلَيْهِ‌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273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1" w:history="1">
            <w:r w:rsidR="003235BF" w:rsidRPr="002A1249">
              <w:rPr>
                <w:rStyle w:val="Hyperlink"/>
                <w:noProof/>
                <w:rtl/>
                <w:lang w:bidi="fa-IR"/>
              </w:rPr>
              <w:t xml:space="preserve">91 -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حَالَاتِ</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eastAsiaTheme="minorHAnsi" w:cs="Rafed Alaem" w:hint="eastAsia"/>
                <w:noProof/>
                <w:rtl/>
              </w:rPr>
              <w:t>عليهم‌السلام</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السِّنِّ‌</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279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2" w:history="1">
            <w:r w:rsidR="003235BF" w:rsidRPr="002A1249">
              <w:rPr>
                <w:rStyle w:val="Hyperlink"/>
                <w:noProof/>
                <w:rtl/>
                <w:lang w:bidi="fa-IR"/>
              </w:rPr>
              <w:t xml:space="preserve">92 -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sidRPr="002A1249">
              <w:rPr>
                <w:rStyle w:val="Hyperlink"/>
                <w:noProof/>
                <w:rtl/>
                <w:lang w:bidi="fa-IR"/>
              </w:rPr>
              <w:t xml:space="preserve"> </w:t>
            </w:r>
            <w:r w:rsidR="003235BF" w:rsidRPr="002A1249">
              <w:rPr>
                <w:rStyle w:val="Hyperlink"/>
                <w:rFonts w:hint="eastAsia"/>
                <w:noProof/>
                <w:rtl/>
                <w:lang w:bidi="fa-IR"/>
              </w:rPr>
              <w:t>لَايَغْسِلُهُ</w:t>
            </w:r>
            <w:r w:rsidR="003235BF" w:rsidRPr="002A1249">
              <w:rPr>
                <w:rStyle w:val="Hyperlink"/>
                <w:noProof/>
                <w:rtl/>
                <w:lang w:bidi="fa-IR"/>
              </w:rPr>
              <w:t xml:space="preserve"> </w:t>
            </w:r>
            <w:r w:rsidR="003235BF" w:rsidRPr="002A1249">
              <w:rPr>
                <w:rStyle w:val="Hyperlink"/>
                <w:noProof/>
                <w:vertAlign w:val="superscript"/>
                <w:rtl/>
              </w:rPr>
              <w:t>(9)</w:t>
            </w:r>
            <w:r w:rsidR="003235BF" w:rsidRPr="002A1249">
              <w:rPr>
                <w:rStyle w:val="Hyperlink"/>
                <w:noProof/>
                <w:rtl/>
                <w:lang w:bidi="fa-IR"/>
              </w:rPr>
              <w:t xml:space="preserve"> </w:t>
            </w:r>
            <w:r w:rsidR="003235BF" w:rsidRPr="002A1249">
              <w:rPr>
                <w:rStyle w:val="Hyperlink"/>
                <w:rFonts w:hint="eastAsia"/>
                <w:noProof/>
                <w:rtl/>
                <w:lang w:bidi="fa-IR"/>
              </w:rPr>
              <w:t>إِلَّا</w:t>
            </w:r>
            <w:r w:rsidR="003235BF" w:rsidRPr="002A1249">
              <w:rPr>
                <w:rStyle w:val="Hyperlink"/>
                <w:noProof/>
                <w:rtl/>
                <w:lang w:bidi="fa-IR"/>
              </w:rPr>
              <w:t xml:space="preserve"> </w:t>
            </w:r>
            <w:r w:rsidR="003235BF" w:rsidRPr="002A1249">
              <w:rPr>
                <w:rStyle w:val="Hyperlink"/>
                <w:rFonts w:hint="eastAsia"/>
                <w:noProof/>
                <w:rtl/>
                <w:lang w:bidi="fa-IR"/>
              </w:rPr>
              <w:t>إِمَامٌ</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noProof/>
                <w:vertAlign w:val="superscript"/>
                <w:rtl/>
              </w:rPr>
              <w:t>(10)</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285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3" w:history="1">
            <w:r w:rsidR="003235BF" w:rsidRPr="002A1249">
              <w:rPr>
                <w:rStyle w:val="Hyperlink"/>
                <w:noProof/>
                <w:rtl/>
                <w:lang w:bidi="fa-IR"/>
              </w:rPr>
              <w:t xml:space="preserve">93 -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مَوَالِيدِ</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287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4" w:history="1">
            <w:r w:rsidR="003235BF" w:rsidRPr="002A1249">
              <w:rPr>
                <w:rStyle w:val="Hyperlink"/>
                <w:noProof/>
                <w:rtl/>
                <w:lang w:bidi="fa-IR"/>
              </w:rPr>
              <w:t xml:space="preserve">94 -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خَلْقِ</w:t>
            </w:r>
            <w:r w:rsidR="003235BF" w:rsidRPr="002A1249">
              <w:rPr>
                <w:rStyle w:val="Hyperlink"/>
                <w:noProof/>
                <w:rtl/>
                <w:lang w:bidi="fa-IR"/>
              </w:rPr>
              <w:t xml:space="preserve"> </w:t>
            </w:r>
            <w:r w:rsidR="003235BF" w:rsidRPr="002A1249">
              <w:rPr>
                <w:rStyle w:val="Hyperlink"/>
                <w:rFonts w:hint="eastAsia"/>
                <w:noProof/>
                <w:rtl/>
                <w:lang w:bidi="fa-IR"/>
              </w:rPr>
              <w:t>أَبْدَانِ</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hint="eastAsia"/>
                <w:noProof/>
                <w:rtl/>
                <w:lang w:bidi="fa-IR"/>
              </w:rPr>
              <w:t>وأَرْوَاحِهِمْ</w:t>
            </w:r>
            <w:r w:rsidR="003235BF" w:rsidRPr="002A1249">
              <w:rPr>
                <w:rStyle w:val="Hyperlink"/>
                <w:noProof/>
                <w:rtl/>
                <w:lang w:bidi="fa-IR"/>
              </w:rPr>
              <w:t xml:space="preserve"> </w:t>
            </w:r>
            <w:r w:rsidR="003235BF" w:rsidRPr="002A1249">
              <w:rPr>
                <w:rStyle w:val="Hyperlink"/>
                <w:rFonts w:hint="eastAsia"/>
                <w:noProof/>
                <w:rtl/>
                <w:lang w:bidi="fa-IR"/>
              </w:rPr>
              <w:t>وقُلُوبِهِمْ</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298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5" w:history="1">
            <w:r w:rsidR="003235BF" w:rsidRPr="002A1249">
              <w:rPr>
                <w:rStyle w:val="Hyperlink"/>
                <w:noProof/>
                <w:rtl/>
                <w:lang w:bidi="fa-IR"/>
              </w:rPr>
              <w:t xml:space="preserve">95 -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التَّسْلِيمِ</w:t>
            </w:r>
            <w:r w:rsidR="003235BF" w:rsidRPr="002A1249">
              <w:rPr>
                <w:rStyle w:val="Hyperlink"/>
                <w:noProof/>
                <w:rtl/>
                <w:lang w:bidi="fa-IR"/>
              </w:rPr>
              <w:t xml:space="preserve"> </w:t>
            </w:r>
            <w:r w:rsidR="003235BF" w:rsidRPr="002A1249">
              <w:rPr>
                <w:rStyle w:val="Hyperlink"/>
                <w:rFonts w:hint="eastAsia"/>
                <w:noProof/>
                <w:rtl/>
                <w:lang w:bidi="fa-IR"/>
              </w:rPr>
              <w:t>وفَضْلِ</w:t>
            </w:r>
            <w:r w:rsidR="003235BF" w:rsidRPr="002A1249">
              <w:rPr>
                <w:rStyle w:val="Hyperlink"/>
                <w:noProof/>
                <w:rtl/>
                <w:lang w:bidi="fa-IR"/>
              </w:rPr>
              <w:t xml:space="preserve"> </w:t>
            </w:r>
            <w:r w:rsidR="003235BF" w:rsidRPr="002A1249">
              <w:rPr>
                <w:rStyle w:val="Hyperlink"/>
                <w:rFonts w:hint="eastAsia"/>
                <w:noProof/>
                <w:rtl/>
                <w:lang w:bidi="fa-IR"/>
              </w:rPr>
              <w:t>الْمُسَلِّمِينَ‌</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302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6" w:history="1">
            <w:r w:rsidR="003235BF" w:rsidRPr="002A1249">
              <w:rPr>
                <w:rStyle w:val="Hyperlink"/>
                <w:noProof/>
                <w:rtl/>
                <w:lang w:bidi="fa-IR"/>
              </w:rPr>
              <w:t xml:space="preserve">96 -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الْوَاجِبَ</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النَّاسِ</w:t>
            </w:r>
            <w:r w:rsidR="003235BF" w:rsidRPr="002A1249">
              <w:rPr>
                <w:rStyle w:val="Hyperlink"/>
                <w:noProof/>
                <w:rtl/>
                <w:lang w:bidi="fa-IR"/>
              </w:rPr>
              <w:t xml:space="preserve"> </w:t>
            </w:r>
            <w:r w:rsidR="003235BF" w:rsidRPr="002A1249">
              <w:rPr>
                <w:rStyle w:val="Hyperlink"/>
                <w:rFonts w:hint="eastAsia"/>
                <w:noProof/>
                <w:rtl/>
                <w:lang w:bidi="fa-IR"/>
              </w:rPr>
              <w:t>بَعْدَ</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يَقْضُونَ</w:t>
            </w:r>
            <w:r w:rsidR="003235BF" w:rsidRPr="002A1249">
              <w:rPr>
                <w:rStyle w:val="Hyperlink"/>
                <w:noProof/>
                <w:rtl/>
                <w:lang w:bidi="fa-IR"/>
              </w:rPr>
              <w:t xml:space="preserve"> </w:t>
            </w:r>
            <w:r w:rsidR="003235BF" w:rsidRPr="002A1249">
              <w:rPr>
                <w:rStyle w:val="Hyperlink"/>
                <w:rFonts w:hint="eastAsia"/>
                <w:noProof/>
                <w:rtl/>
                <w:lang w:bidi="fa-IR"/>
              </w:rPr>
              <w:t>مَنَاسِكَهُمْ</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307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7" w:history="1">
            <w:r w:rsidR="003235BF" w:rsidRPr="002A1249">
              <w:rPr>
                <w:rStyle w:val="Hyperlink"/>
                <w:rFonts w:hint="eastAsia"/>
                <w:noProof/>
                <w:rtl/>
                <w:lang w:bidi="fa-IR"/>
              </w:rPr>
              <w:t>يَأْتُوا</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sidRPr="002A1249">
              <w:rPr>
                <w:rStyle w:val="Hyperlink"/>
                <w:noProof/>
                <w:rtl/>
                <w:lang w:bidi="fa-IR"/>
              </w:rPr>
              <w:t xml:space="preserve"> </w:t>
            </w:r>
            <w:r w:rsidR="003235BF" w:rsidRPr="002A1249">
              <w:rPr>
                <w:rStyle w:val="Hyperlink"/>
                <w:rFonts w:hint="eastAsia"/>
                <w:noProof/>
                <w:rtl/>
                <w:lang w:bidi="fa-IR"/>
              </w:rPr>
              <w:t>فَيَسْأَلُونَهُ</w:t>
            </w:r>
            <w:r w:rsidR="003235BF" w:rsidRPr="002A1249">
              <w:rPr>
                <w:rStyle w:val="Hyperlink"/>
                <w:noProof/>
                <w:rtl/>
                <w:lang w:bidi="fa-IR"/>
              </w:rPr>
              <w:t xml:space="preserve"> </w:t>
            </w:r>
            <w:r w:rsidR="003235BF" w:rsidRPr="002A1249">
              <w:rPr>
                <w:rStyle w:val="Hyperlink"/>
                <w:rFonts w:hint="eastAsia"/>
                <w:noProof/>
                <w:rtl/>
                <w:lang w:bidi="fa-IR"/>
              </w:rPr>
              <w:t>عَنْ</w:t>
            </w:r>
            <w:r w:rsidR="003235BF" w:rsidRPr="002A1249">
              <w:rPr>
                <w:rStyle w:val="Hyperlink"/>
                <w:noProof/>
                <w:rtl/>
                <w:lang w:bidi="fa-IR"/>
              </w:rPr>
              <w:t xml:space="preserve"> </w:t>
            </w:r>
            <w:r w:rsidR="003235BF" w:rsidRPr="002A1249">
              <w:rPr>
                <w:rStyle w:val="Hyperlink"/>
                <w:noProof/>
                <w:vertAlign w:val="superscript"/>
                <w:rtl/>
              </w:rPr>
              <w:t>(10)</w:t>
            </w:r>
            <w:r w:rsidR="003235BF" w:rsidRPr="002A1249">
              <w:rPr>
                <w:rStyle w:val="Hyperlink"/>
                <w:noProof/>
                <w:rtl/>
                <w:lang w:bidi="fa-IR"/>
              </w:rPr>
              <w:t xml:space="preserve"> </w:t>
            </w:r>
            <w:r w:rsidR="003235BF" w:rsidRPr="002A1249">
              <w:rPr>
                <w:rStyle w:val="Hyperlink"/>
                <w:rFonts w:hint="eastAsia"/>
                <w:noProof/>
                <w:rtl/>
                <w:lang w:bidi="fa-IR"/>
              </w:rPr>
              <w:t>مَعَالِمِ</w:t>
            </w:r>
            <w:r w:rsidR="003235BF" w:rsidRPr="002A1249">
              <w:rPr>
                <w:rStyle w:val="Hyperlink"/>
                <w:noProof/>
                <w:rtl/>
                <w:lang w:bidi="fa-IR"/>
              </w:rPr>
              <w:t xml:space="preserve"> </w:t>
            </w:r>
            <w:r w:rsidR="003235BF" w:rsidRPr="002A1249">
              <w:rPr>
                <w:rStyle w:val="Hyperlink"/>
                <w:rFonts w:hint="eastAsia"/>
                <w:noProof/>
                <w:rtl/>
                <w:lang w:bidi="fa-IR"/>
              </w:rPr>
              <w:t>دِينِهِمْ</w:t>
            </w:r>
            <w:r w:rsidR="003235BF" w:rsidRPr="002A1249">
              <w:rPr>
                <w:rStyle w:val="Hyperlink"/>
                <w:noProof/>
                <w:rtl/>
                <w:lang w:bidi="fa-IR"/>
              </w:rPr>
              <w:t xml:space="preserve"> </w:t>
            </w:r>
            <w:r w:rsidR="003235BF" w:rsidRPr="002A1249">
              <w:rPr>
                <w:rStyle w:val="Hyperlink"/>
                <w:rFonts w:hint="eastAsia"/>
                <w:noProof/>
                <w:rtl/>
                <w:lang w:bidi="fa-IR"/>
              </w:rPr>
              <w:t>ويُعْلِمُونَهُ</w:t>
            </w:r>
            <w:r w:rsidR="003235BF" w:rsidRPr="002A1249">
              <w:rPr>
                <w:rStyle w:val="Hyperlink"/>
                <w:noProof/>
                <w:rtl/>
                <w:lang w:bidi="fa-IR"/>
              </w:rPr>
              <w:t xml:space="preserve"> </w:t>
            </w:r>
            <w:r w:rsidR="003235BF" w:rsidRPr="002A1249">
              <w:rPr>
                <w:rStyle w:val="Hyperlink"/>
                <w:noProof/>
                <w:vertAlign w:val="superscript"/>
                <w:rtl/>
              </w:rPr>
              <w:t>(11)</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307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8" w:history="1">
            <w:r w:rsidR="003235BF" w:rsidRPr="002A1249">
              <w:rPr>
                <w:rStyle w:val="Hyperlink"/>
                <w:rFonts w:hint="eastAsia"/>
                <w:noProof/>
                <w:rtl/>
                <w:lang w:bidi="fa-IR"/>
              </w:rPr>
              <w:t>وَلَايَتَهُمْ</w:t>
            </w:r>
            <w:r w:rsidR="003235BF" w:rsidRPr="002A1249">
              <w:rPr>
                <w:rStyle w:val="Hyperlink"/>
                <w:noProof/>
                <w:rtl/>
                <w:lang w:bidi="fa-IR"/>
              </w:rPr>
              <w:t xml:space="preserve"> </w:t>
            </w:r>
            <w:r w:rsidR="003235BF" w:rsidRPr="002A1249">
              <w:rPr>
                <w:rStyle w:val="Hyperlink"/>
                <w:rFonts w:hint="eastAsia"/>
                <w:noProof/>
                <w:rtl/>
                <w:lang w:bidi="fa-IR"/>
              </w:rPr>
              <w:t>ومَوَدَّتَهُمْ</w:t>
            </w:r>
            <w:r w:rsidR="003235BF" w:rsidRPr="002A1249">
              <w:rPr>
                <w:rStyle w:val="Hyperlink"/>
                <w:noProof/>
                <w:rtl/>
                <w:lang w:bidi="fa-IR"/>
              </w:rPr>
              <w:t xml:space="preserve"> </w:t>
            </w:r>
            <w:r w:rsidR="003235BF" w:rsidRPr="002A1249">
              <w:rPr>
                <w:rStyle w:val="Hyperlink"/>
                <w:rFonts w:hint="eastAsia"/>
                <w:noProof/>
                <w:rtl/>
                <w:lang w:bidi="fa-IR"/>
              </w:rPr>
              <w:t>لَهُ</w:t>
            </w:r>
            <w:r w:rsidR="003235BF" w:rsidRPr="002A1249">
              <w:rPr>
                <w:rStyle w:val="Hyperlink"/>
                <w:noProof/>
                <w:rtl/>
                <w:lang w:bidi="fa-IR"/>
              </w:rPr>
              <w:t xml:space="preserve"> </w:t>
            </w:r>
            <w:r w:rsidR="003235BF" w:rsidRPr="002A1249">
              <w:rPr>
                <w:rStyle w:val="Hyperlink"/>
                <w:noProof/>
                <w:vertAlign w:val="superscript"/>
                <w:rtl/>
              </w:rPr>
              <w:t>(12)</w:t>
            </w:r>
            <w:r w:rsidR="003235BF" w:rsidRPr="002A1249">
              <w:rPr>
                <w:rStyle w:val="Hyperlink"/>
                <w:noProof/>
                <w:rtl/>
                <w:lang w:bidi="fa-IR"/>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307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099" w:history="1">
            <w:r w:rsidR="003235BF" w:rsidRPr="002A1249">
              <w:rPr>
                <w:rStyle w:val="Hyperlink"/>
                <w:noProof/>
                <w:rtl/>
                <w:lang w:bidi="fa-IR"/>
              </w:rPr>
              <w:t xml:space="preserve">97 -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hint="eastAsia"/>
                <w:noProof/>
                <w:rtl/>
                <w:lang w:bidi="fa-IR"/>
              </w:rPr>
              <w:t>تَدْخُلُ</w:t>
            </w:r>
            <w:r w:rsidR="003235BF" w:rsidRPr="002A1249">
              <w:rPr>
                <w:rStyle w:val="Hyperlink"/>
                <w:noProof/>
                <w:rtl/>
                <w:lang w:bidi="fa-IR"/>
              </w:rPr>
              <w:t xml:space="preserve"> </w:t>
            </w:r>
            <w:r w:rsidR="003235BF" w:rsidRPr="002A1249">
              <w:rPr>
                <w:rStyle w:val="Hyperlink"/>
                <w:rFonts w:hint="eastAsia"/>
                <w:noProof/>
                <w:rtl/>
                <w:lang w:bidi="fa-IR"/>
              </w:rPr>
              <w:t>الْمَلَائِكَةُ</w:t>
            </w:r>
            <w:r w:rsidR="003235BF" w:rsidRPr="002A1249">
              <w:rPr>
                <w:rStyle w:val="Hyperlink"/>
                <w:noProof/>
                <w:rtl/>
                <w:lang w:bidi="fa-IR"/>
              </w:rPr>
              <w:t xml:space="preserve"> </w:t>
            </w:r>
            <w:r w:rsidR="003235BF" w:rsidRPr="002A1249">
              <w:rPr>
                <w:rStyle w:val="Hyperlink"/>
                <w:rFonts w:hint="eastAsia"/>
                <w:noProof/>
                <w:rtl/>
                <w:lang w:bidi="fa-IR"/>
              </w:rPr>
              <w:t>بُيُوتَهُمْ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Toc34663099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310</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0" w:history="1">
            <w:r w:rsidR="003235BF" w:rsidRPr="002A1249">
              <w:rPr>
                <w:rStyle w:val="Hyperlink"/>
                <w:rFonts w:hint="eastAsia"/>
                <w:noProof/>
                <w:rtl/>
                <w:lang w:bidi="fa-IR"/>
              </w:rPr>
              <w:t>وتَطَأُ</w:t>
            </w:r>
            <w:r w:rsidR="003235BF" w:rsidRPr="002A1249">
              <w:rPr>
                <w:rStyle w:val="Hyperlink"/>
                <w:noProof/>
                <w:rtl/>
                <w:lang w:bidi="fa-IR"/>
              </w:rPr>
              <w:t xml:space="preserve"> </w:t>
            </w:r>
            <w:r w:rsidR="003235BF" w:rsidRPr="002A1249">
              <w:rPr>
                <w:rStyle w:val="Hyperlink"/>
                <w:rFonts w:hint="eastAsia"/>
                <w:noProof/>
                <w:rtl/>
                <w:lang w:bidi="fa-IR"/>
              </w:rPr>
              <w:t>بُسُطَهُمْ</w:t>
            </w:r>
            <w:r w:rsidR="003235BF" w:rsidRPr="002A1249">
              <w:rPr>
                <w:rStyle w:val="Hyperlink"/>
                <w:noProof/>
                <w:rtl/>
                <w:lang w:bidi="fa-IR"/>
              </w:rPr>
              <w:t xml:space="preserve"> </w:t>
            </w:r>
            <w:r w:rsidR="003235BF" w:rsidRPr="002A1249">
              <w:rPr>
                <w:rStyle w:val="Hyperlink"/>
                <w:rFonts w:hint="eastAsia"/>
                <w:noProof/>
                <w:rtl/>
                <w:lang w:bidi="fa-IR"/>
              </w:rPr>
              <w:t>وتَأْتِيهِمْ</w:t>
            </w:r>
            <w:r w:rsidR="003235BF" w:rsidRPr="002A1249">
              <w:rPr>
                <w:rStyle w:val="Hyperlink"/>
                <w:noProof/>
                <w:rtl/>
                <w:lang w:bidi="fa-IR"/>
              </w:rPr>
              <w:t xml:space="preserve"> </w:t>
            </w:r>
            <w:r w:rsidR="003235BF" w:rsidRPr="002A1249">
              <w:rPr>
                <w:rStyle w:val="Hyperlink"/>
                <w:rFonts w:hint="eastAsia"/>
                <w:noProof/>
                <w:rtl/>
                <w:lang w:bidi="fa-IR"/>
              </w:rPr>
              <w:t>بِالْأَخْبَارِ</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310</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1" w:history="1">
            <w:r w:rsidR="003235BF" w:rsidRPr="002A1249">
              <w:rPr>
                <w:rStyle w:val="Hyperlink"/>
                <w:noProof/>
                <w:rtl/>
                <w:lang w:bidi="fa-IR"/>
              </w:rPr>
              <w:t xml:space="preserve">98 -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الْجِنَّ</w:t>
            </w:r>
            <w:r w:rsidR="003235BF" w:rsidRPr="002A1249">
              <w:rPr>
                <w:rStyle w:val="Hyperlink"/>
                <w:noProof/>
                <w:rtl/>
                <w:lang w:bidi="fa-IR"/>
              </w:rPr>
              <w:t xml:space="preserve"> </w:t>
            </w:r>
            <w:r w:rsidR="003235BF" w:rsidRPr="002A1249">
              <w:rPr>
                <w:rStyle w:val="Hyperlink"/>
                <w:rFonts w:hint="eastAsia"/>
                <w:noProof/>
                <w:rtl/>
                <w:lang w:bidi="fa-IR"/>
              </w:rPr>
              <w:t>يَأْتِيهِمْ</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lang w:bidi="fa-IR"/>
              </w:rPr>
              <w:t xml:space="preserve"> </w:t>
            </w:r>
            <w:r w:rsidR="003235BF" w:rsidRPr="002A1249">
              <w:rPr>
                <w:rStyle w:val="Hyperlink"/>
                <w:rFonts w:hint="eastAsia"/>
                <w:noProof/>
                <w:rtl/>
                <w:lang w:bidi="fa-IR"/>
              </w:rPr>
              <w:t>فَيَسْأَلُونَهُمْ</w:t>
            </w:r>
            <w:r w:rsidR="003235BF" w:rsidRPr="002A1249">
              <w:rPr>
                <w:rStyle w:val="Hyperlink"/>
                <w:noProof/>
                <w:rtl/>
                <w:lang w:bidi="fa-IR"/>
              </w:rPr>
              <w:t xml:space="preserve"> </w:t>
            </w:r>
            <w:r w:rsidR="003235BF" w:rsidRPr="002A1249">
              <w:rPr>
                <w:rStyle w:val="Hyperlink"/>
                <w:rFonts w:hint="eastAsia"/>
                <w:noProof/>
                <w:rtl/>
                <w:lang w:bidi="fa-IR"/>
              </w:rPr>
              <w:t>عَنْ</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313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2" w:history="1">
            <w:r w:rsidR="003235BF" w:rsidRPr="002A1249">
              <w:rPr>
                <w:rStyle w:val="Hyperlink"/>
                <w:rFonts w:hint="eastAsia"/>
                <w:noProof/>
                <w:rtl/>
                <w:lang w:bidi="fa-IR"/>
              </w:rPr>
              <w:t>مَعَالِمِ</w:t>
            </w:r>
            <w:r w:rsidR="003235BF" w:rsidRPr="002A1249">
              <w:rPr>
                <w:rStyle w:val="Hyperlink"/>
                <w:noProof/>
                <w:rtl/>
                <w:lang w:bidi="fa-IR"/>
              </w:rPr>
              <w:t xml:space="preserve"> </w:t>
            </w:r>
            <w:r w:rsidR="003235BF" w:rsidRPr="002A1249">
              <w:rPr>
                <w:rStyle w:val="Hyperlink"/>
                <w:rFonts w:hint="eastAsia"/>
                <w:noProof/>
                <w:rtl/>
                <w:lang w:bidi="fa-IR"/>
              </w:rPr>
              <w:t>دِينِهِمْ</w:t>
            </w:r>
            <w:r w:rsidR="003235BF" w:rsidRPr="002A1249">
              <w:rPr>
                <w:rStyle w:val="Hyperlink"/>
                <w:noProof/>
                <w:rtl/>
                <w:lang w:bidi="fa-IR"/>
              </w:rPr>
              <w:t xml:space="preserve"> </w:t>
            </w:r>
            <w:r w:rsidR="003235BF" w:rsidRPr="002A1249">
              <w:rPr>
                <w:rStyle w:val="Hyperlink"/>
                <w:rFonts w:hint="eastAsia"/>
                <w:noProof/>
                <w:rtl/>
                <w:lang w:bidi="fa-IR"/>
              </w:rPr>
              <w:t>ويَتَوَجَّهُونَ</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أُمُورِهِمْ</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313</w:t>
            </w:r>
            <w:r w:rsidR="003235BF">
              <w:rPr>
                <w:noProof/>
                <w:webHidden/>
                <w:rtl/>
              </w:rPr>
              <w:fldChar w:fldCharType="end"/>
            </w:r>
          </w:hyperlink>
        </w:p>
        <w:p w:rsidR="003235BF" w:rsidRDefault="003235BF">
          <w:pPr>
            <w:bidi w:val="0"/>
            <w:ind w:firstLine="289"/>
            <w:rPr>
              <w:rStyle w:val="Hyperlink"/>
              <w:noProof/>
              <w:szCs w:val="32"/>
            </w:rPr>
          </w:pPr>
          <w:r>
            <w:rPr>
              <w:rStyle w:val="Hyperlink"/>
              <w:noProof/>
            </w:rPr>
            <w:br w:type="page"/>
          </w:r>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3" w:history="1">
            <w:r w:rsidR="003235BF" w:rsidRPr="002A1249">
              <w:rPr>
                <w:rStyle w:val="Hyperlink"/>
                <w:noProof/>
                <w:rtl/>
                <w:lang w:bidi="fa-IR"/>
              </w:rPr>
              <w:t xml:space="preserve">99 -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noProof/>
                <w:rtl/>
                <w:lang w:bidi="fa-IR"/>
              </w:rPr>
              <w:t xml:space="preserve"> </w:t>
            </w:r>
            <w:r w:rsidR="003235BF" w:rsidRPr="002A1249">
              <w:rPr>
                <w:rStyle w:val="Hyperlink"/>
                <w:rFonts w:hint="eastAsia"/>
                <w:noProof/>
                <w:rtl/>
                <w:lang w:bidi="fa-IR"/>
              </w:rPr>
              <w:t>أَنَّهُمْ</w:t>
            </w:r>
            <w:r w:rsidR="003235BF" w:rsidRPr="002A1249">
              <w:rPr>
                <w:rStyle w:val="Hyperlink"/>
                <w:noProof/>
                <w:rtl/>
                <w:lang w:bidi="fa-IR"/>
              </w:rPr>
              <w:t xml:space="preserve"> </w:t>
            </w:r>
            <w:r w:rsidR="003235BF" w:rsidRPr="002A1249">
              <w:rPr>
                <w:rStyle w:val="Hyperlink"/>
                <w:rFonts w:hint="eastAsia"/>
                <w:noProof/>
                <w:rtl/>
                <w:lang w:bidi="fa-IR"/>
              </w:rPr>
              <w:t>إِذَا</w:t>
            </w:r>
            <w:r w:rsidR="003235BF" w:rsidRPr="002A1249">
              <w:rPr>
                <w:rStyle w:val="Hyperlink"/>
                <w:noProof/>
                <w:rtl/>
                <w:lang w:bidi="fa-IR"/>
              </w:rPr>
              <w:t xml:space="preserve"> </w:t>
            </w:r>
            <w:r w:rsidR="003235BF" w:rsidRPr="002A1249">
              <w:rPr>
                <w:rStyle w:val="Hyperlink"/>
                <w:rFonts w:hint="eastAsia"/>
                <w:noProof/>
                <w:rtl/>
                <w:lang w:bidi="fa-IR"/>
              </w:rPr>
              <w:t>ظَهَرَ</w:t>
            </w:r>
            <w:r w:rsidR="003235BF" w:rsidRPr="002A1249">
              <w:rPr>
                <w:rStyle w:val="Hyperlink"/>
                <w:noProof/>
                <w:rtl/>
                <w:lang w:bidi="fa-IR"/>
              </w:rPr>
              <w:t xml:space="preserve"> </w:t>
            </w:r>
            <w:r w:rsidR="003235BF" w:rsidRPr="002A1249">
              <w:rPr>
                <w:rStyle w:val="Hyperlink"/>
                <w:rFonts w:hint="eastAsia"/>
                <w:noProof/>
                <w:rtl/>
                <w:lang w:bidi="fa-IR"/>
              </w:rPr>
              <w:t>أَمْرُهُمْ</w:t>
            </w:r>
            <w:r w:rsidR="003235BF" w:rsidRPr="002A1249">
              <w:rPr>
                <w:rStyle w:val="Hyperlink"/>
                <w:noProof/>
                <w:rtl/>
                <w:lang w:bidi="fa-IR"/>
              </w:rPr>
              <w:t xml:space="preserve"> </w:t>
            </w:r>
            <w:r w:rsidR="003235BF" w:rsidRPr="002A1249">
              <w:rPr>
                <w:rStyle w:val="Hyperlink"/>
                <w:rFonts w:hint="eastAsia"/>
                <w:noProof/>
                <w:rtl/>
                <w:lang w:bidi="fa-IR"/>
              </w:rPr>
              <w:t>حَكَمُوا</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321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4" w:history="1">
            <w:r w:rsidR="003235BF" w:rsidRPr="002A1249">
              <w:rPr>
                <w:rStyle w:val="Hyperlink"/>
                <w:rFonts w:hint="eastAsia"/>
                <w:noProof/>
                <w:rtl/>
                <w:lang w:bidi="fa-IR"/>
              </w:rPr>
              <w:t>بِحُكْمِ</w:t>
            </w:r>
            <w:r w:rsidR="003235BF" w:rsidRPr="002A1249">
              <w:rPr>
                <w:rStyle w:val="Hyperlink"/>
                <w:noProof/>
                <w:rtl/>
                <w:lang w:bidi="fa-IR"/>
              </w:rPr>
              <w:t xml:space="preserve"> </w:t>
            </w:r>
            <w:r w:rsidR="003235BF" w:rsidRPr="002A1249">
              <w:rPr>
                <w:rStyle w:val="Hyperlink"/>
                <w:rFonts w:hint="eastAsia"/>
                <w:noProof/>
                <w:rtl/>
                <w:lang w:bidi="fa-IR"/>
              </w:rPr>
              <w:t>دَاوُدَ</w:t>
            </w:r>
            <w:r w:rsidR="003235BF" w:rsidRPr="002A1249">
              <w:rPr>
                <w:rStyle w:val="Hyperlink"/>
                <w:noProof/>
                <w:rtl/>
                <w:lang w:bidi="fa-IR"/>
              </w:rPr>
              <w:t xml:space="preserve"> </w:t>
            </w:r>
            <w:r w:rsidR="003235BF" w:rsidRPr="002A1249">
              <w:rPr>
                <w:rStyle w:val="Hyperlink"/>
                <w:rFonts w:hint="eastAsia"/>
                <w:noProof/>
                <w:rtl/>
                <w:lang w:bidi="fa-IR"/>
              </w:rPr>
              <w:t>وآلِ</w:t>
            </w:r>
            <w:r w:rsidR="003235BF" w:rsidRPr="002A1249">
              <w:rPr>
                <w:rStyle w:val="Hyperlink"/>
                <w:noProof/>
                <w:rtl/>
                <w:lang w:bidi="fa-IR"/>
              </w:rPr>
              <w:t xml:space="preserve"> </w:t>
            </w:r>
            <w:r w:rsidR="003235BF" w:rsidRPr="002A1249">
              <w:rPr>
                <w:rStyle w:val="Hyperlink"/>
                <w:rFonts w:hint="eastAsia"/>
                <w:noProof/>
                <w:rtl/>
                <w:lang w:bidi="fa-IR"/>
              </w:rPr>
              <w:t>دَاوُدَ</w:t>
            </w:r>
            <w:r w:rsidR="003235BF" w:rsidRPr="002A1249">
              <w:rPr>
                <w:rStyle w:val="Hyperlink"/>
                <w:noProof/>
                <w:rtl/>
                <w:lang w:bidi="fa-IR"/>
              </w:rPr>
              <w:t xml:space="preserve"> </w:t>
            </w:r>
            <w:r w:rsidR="003235BF" w:rsidRPr="002A1249">
              <w:rPr>
                <w:rStyle w:val="Hyperlink"/>
                <w:rFonts w:hint="eastAsia"/>
                <w:noProof/>
                <w:rtl/>
                <w:lang w:bidi="fa-IR"/>
              </w:rPr>
              <w:t>ولَايَسْأَلُونَ</w:t>
            </w:r>
            <w:r w:rsidR="003235BF" w:rsidRPr="002A1249">
              <w:rPr>
                <w:rStyle w:val="Hyperlink"/>
                <w:noProof/>
                <w:rtl/>
                <w:lang w:bidi="fa-IR"/>
              </w:rPr>
              <w:t xml:space="preserve"> </w:t>
            </w:r>
            <w:r w:rsidR="003235BF" w:rsidRPr="002A1249">
              <w:rPr>
                <w:rStyle w:val="Hyperlink"/>
                <w:rFonts w:hint="eastAsia"/>
                <w:noProof/>
                <w:rtl/>
                <w:lang w:bidi="fa-IR"/>
              </w:rPr>
              <w:t>الْبَيِّنَةَ</w:t>
            </w:r>
            <w:r w:rsidR="003235BF" w:rsidRPr="002A1249">
              <w:rPr>
                <w:rStyle w:val="Hyperlink"/>
                <w:noProof/>
                <w:rtl/>
                <w:lang w:bidi="fa-IR"/>
              </w:rPr>
              <w:t xml:space="preserve"> </w:t>
            </w:r>
            <w:r w:rsidR="003235BF" w:rsidRPr="002A1249">
              <w:rPr>
                <w:rStyle w:val="Hyperlink"/>
                <w:rFonts w:hint="eastAsia"/>
                <w:noProof/>
                <w:rtl/>
                <w:lang w:bidi="fa-IR"/>
              </w:rPr>
              <w:t>،</w:t>
            </w:r>
            <w:r w:rsidR="003235BF" w:rsidRPr="002A1249">
              <w:rPr>
                <w:rStyle w:val="Hyperlink"/>
                <w:noProof/>
                <w:rtl/>
                <w:lang w:bidi="fa-IR"/>
              </w:rPr>
              <w:t xml:space="preserve"> </w:t>
            </w:r>
            <w:r w:rsidR="003235BF" w:rsidRPr="002A1249">
              <w:rPr>
                <w:rStyle w:val="Hyperlink"/>
                <w:rFonts w:hint="eastAsia"/>
                <w:noProof/>
                <w:rtl/>
                <w:lang w:bidi="fa-IR"/>
              </w:rPr>
              <w:t>عَلَيْهِمُ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321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5" w:history="1">
            <w:r w:rsidR="003235BF" w:rsidRPr="002A1249">
              <w:rPr>
                <w:rStyle w:val="Hyperlink"/>
                <w:rFonts w:hint="eastAsia"/>
                <w:noProof/>
                <w:rtl/>
                <w:lang w:bidi="fa-IR"/>
              </w:rPr>
              <w:t>السَّلَامُ</w:t>
            </w:r>
            <w:r w:rsidR="003235BF" w:rsidRPr="002A1249">
              <w:rPr>
                <w:rStyle w:val="Hyperlink"/>
                <w:noProof/>
                <w:rtl/>
                <w:lang w:bidi="fa-IR"/>
              </w:rPr>
              <w:t xml:space="preserve"> </w:t>
            </w:r>
            <w:r w:rsidR="003235BF" w:rsidRPr="002A1249">
              <w:rPr>
                <w:rStyle w:val="Hyperlink"/>
                <w:rFonts w:hint="eastAsia"/>
                <w:noProof/>
                <w:rtl/>
                <w:lang w:bidi="fa-IR"/>
              </w:rPr>
              <w:t>والرَّحْمَةُ</w:t>
            </w:r>
            <w:r w:rsidR="003235BF" w:rsidRPr="002A1249">
              <w:rPr>
                <w:rStyle w:val="Hyperlink"/>
                <w:noProof/>
                <w:rtl/>
                <w:lang w:bidi="fa-IR"/>
              </w:rPr>
              <w:t xml:space="preserve"> </w:t>
            </w:r>
            <w:r w:rsidR="003235BF" w:rsidRPr="002A1249">
              <w:rPr>
                <w:rStyle w:val="Hyperlink"/>
                <w:rFonts w:hint="eastAsia"/>
                <w:noProof/>
                <w:rtl/>
                <w:lang w:bidi="fa-IR"/>
              </w:rPr>
              <w:t>والرِّضْوَانُ</w:t>
            </w:r>
            <w:r w:rsidR="003235BF" w:rsidRPr="002A1249">
              <w:rPr>
                <w:rStyle w:val="Hyperlink"/>
                <w:noProof/>
                <w:rtl/>
                <w:lang w:bidi="fa-IR"/>
              </w:rPr>
              <w:t xml:space="preserve"> </w:t>
            </w:r>
            <w:r w:rsidR="003235BF" w:rsidRPr="002A1249">
              <w:rPr>
                <w:rStyle w:val="Hyperlink"/>
                <w:noProof/>
                <w:vertAlign w:val="superscript"/>
                <w:rtl/>
              </w:rPr>
              <w:t>(6)</w:t>
            </w:r>
            <w:r w:rsidR="003235BF" w:rsidRPr="002A1249">
              <w:rPr>
                <w:rStyle w:val="Hyperlink"/>
                <w:noProof/>
                <w:rtl/>
                <w:lang w:bidi="fa-IR"/>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321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6" w:history="1">
            <w:r w:rsidR="003235BF" w:rsidRPr="002A1249">
              <w:rPr>
                <w:rStyle w:val="Hyperlink"/>
                <w:noProof/>
                <w:rtl/>
                <w:lang w:bidi="fa-IR"/>
              </w:rPr>
              <w:t xml:space="preserve">100 -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مُسْتَقَى</w:t>
            </w:r>
            <w:r w:rsidR="003235BF" w:rsidRPr="002A1249">
              <w:rPr>
                <w:rStyle w:val="Hyperlink"/>
                <w:noProof/>
                <w:rtl/>
                <w:lang w:bidi="fa-IR"/>
              </w:rPr>
              <w:t xml:space="preserve"> </w:t>
            </w:r>
            <w:r w:rsidR="003235BF" w:rsidRPr="002A1249">
              <w:rPr>
                <w:rStyle w:val="Hyperlink"/>
                <w:rFonts w:hint="eastAsia"/>
                <w:noProof/>
                <w:rtl/>
                <w:lang w:bidi="fa-IR"/>
              </w:rPr>
              <w:t>الْعِلْمِ</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بَيْتِ</w:t>
            </w:r>
            <w:r w:rsidR="003235BF" w:rsidRPr="002A1249">
              <w:rPr>
                <w:rStyle w:val="Hyperlink"/>
                <w:noProof/>
                <w:rtl/>
                <w:lang w:bidi="fa-IR"/>
              </w:rPr>
              <w:t xml:space="preserve"> </w:t>
            </w:r>
            <w:r w:rsidR="003235BF" w:rsidRPr="002A1249">
              <w:rPr>
                <w:rStyle w:val="Hyperlink"/>
                <w:rFonts w:hint="eastAsia"/>
                <w:noProof/>
                <w:rtl/>
                <w:lang w:bidi="fa-IR"/>
              </w:rPr>
              <w:t>آلِ</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325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7" w:history="1">
            <w:r w:rsidR="003235BF" w:rsidRPr="002A1249">
              <w:rPr>
                <w:rStyle w:val="Hyperlink"/>
                <w:noProof/>
                <w:rtl/>
                <w:lang w:bidi="fa-IR"/>
              </w:rPr>
              <w:t xml:space="preserve">101 -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أَنَّهُ</w:t>
            </w:r>
            <w:r w:rsidR="003235BF" w:rsidRPr="002A1249">
              <w:rPr>
                <w:rStyle w:val="Hyperlink"/>
                <w:noProof/>
                <w:rtl/>
                <w:lang w:bidi="fa-IR"/>
              </w:rPr>
              <w:t xml:space="preserve"> </w:t>
            </w:r>
            <w:r w:rsidR="003235BF" w:rsidRPr="002A1249">
              <w:rPr>
                <w:rStyle w:val="Hyperlink"/>
                <w:rFonts w:hint="eastAsia"/>
                <w:noProof/>
                <w:rtl/>
                <w:lang w:bidi="fa-IR"/>
              </w:rPr>
              <w:t>لَيْسَ</w:t>
            </w:r>
            <w:r w:rsidR="003235BF" w:rsidRPr="002A1249">
              <w:rPr>
                <w:rStyle w:val="Hyperlink"/>
                <w:noProof/>
                <w:rtl/>
                <w:lang w:bidi="fa-IR"/>
              </w:rPr>
              <w:t xml:space="preserve"> </w:t>
            </w:r>
            <w:r w:rsidR="003235BF" w:rsidRPr="002A1249">
              <w:rPr>
                <w:rStyle w:val="Hyperlink"/>
                <w:rFonts w:hint="eastAsia"/>
                <w:noProof/>
                <w:rtl/>
                <w:lang w:bidi="fa-IR"/>
              </w:rPr>
              <w:t>شَيْ‌ءٌ</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الْحَقِّ</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يَدِ</w:t>
            </w:r>
            <w:r w:rsidR="003235BF" w:rsidRPr="002A1249">
              <w:rPr>
                <w:rStyle w:val="Hyperlink"/>
                <w:noProof/>
                <w:rtl/>
                <w:lang w:bidi="fa-IR"/>
              </w:rPr>
              <w:t xml:space="preserve"> </w:t>
            </w:r>
            <w:r w:rsidR="003235BF" w:rsidRPr="002A1249">
              <w:rPr>
                <w:rStyle w:val="Hyperlink"/>
                <w:noProof/>
                <w:vertAlign w:val="superscript"/>
                <w:rtl/>
              </w:rPr>
              <w:t>(7)</w:t>
            </w:r>
            <w:r w:rsidR="003235BF" w:rsidRPr="002A1249">
              <w:rPr>
                <w:rStyle w:val="Hyperlink"/>
                <w:noProof/>
                <w:rtl/>
                <w:lang w:bidi="fa-IR"/>
              </w:rPr>
              <w:t xml:space="preserve"> </w:t>
            </w:r>
            <w:r w:rsidR="003235BF" w:rsidRPr="002A1249">
              <w:rPr>
                <w:rStyle w:val="Hyperlink"/>
                <w:rFonts w:hint="eastAsia"/>
                <w:noProof/>
                <w:rtl/>
                <w:lang w:bidi="fa-IR"/>
              </w:rPr>
              <w:t>النَّاسِ</w:t>
            </w:r>
            <w:r w:rsidR="003235BF" w:rsidRPr="002A1249">
              <w:rPr>
                <w:rStyle w:val="Hyperlink"/>
                <w:noProof/>
                <w:rtl/>
                <w:lang w:bidi="fa-IR"/>
              </w:rPr>
              <w:t xml:space="preserve"> </w:t>
            </w:r>
            <w:r w:rsidR="003235BF" w:rsidRPr="002A1249">
              <w:rPr>
                <w:rStyle w:val="Hyperlink"/>
                <w:rFonts w:hint="eastAsia"/>
                <w:noProof/>
                <w:rtl/>
                <w:lang w:bidi="fa-IR"/>
              </w:rPr>
              <w:t>إِلَّا</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خَرَجَ</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326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8" w:history="1">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عِنْدِ</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noProof/>
                <w:rtl/>
                <w:lang w:bidi="fa-IR"/>
              </w:rPr>
              <w:t xml:space="preserve"> </w:t>
            </w:r>
            <w:r w:rsidR="003235BF" w:rsidRPr="002A1249">
              <w:rPr>
                <w:rStyle w:val="Hyperlink"/>
                <w:rFonts w:hint="eastAsia"/>
                <w:noProof/>
                <w:rtl/>
                <w:lang w:bidi="fa-IR"/>
              </w:rPr>
              <w:t>وأَنَّ</w:t>
            </w:r>
            <w:r w:rsidR="003235BF" w:rsidRPr="002A1249">
              <w:rPr>
                <w:rStyle w:val="Hyperlink"/>
                <w:noProof/>
                <w:rtl/>
                <w:lang w:bidi="fa-IR"/>
              </w:rPr>
              <w:t xml:space="preserve"> </w:t>
            </w:r>
            <w:r w:rsidR="003235BF" w:rsidRPr="002A1249">
              <w:rPr>
                <w:rStyle w:val="Hyperlink"/>
                <w:rFonts w:hint="eastAsia"/>
                <w:noProof/>
                <w:rtl/>
                <w:lang w:bidi="fa-IR"/>
              </w:rPr>
              <w:t>كُلَّ</w:t>
            </w:r>
            <w:r w:rsidR="003235BF" w:rsidRPr="002A1249">
              <w:rPr>
                <w:rStyle w:val="Hyperlink"/>
                <w:noProof/>
                <w:rtl/>
                <w:lang w:bidi="fa-IR"/>
              </w:rPr>
              <w:t xml:space="preserve"> </w:t>
            </w:r>
            <w:r w:rsidR="003235BF" w:rsidRPr="002A1249">
              <w:rPr>
                <w:rStyle w:val="Hyperlink"/>
                <w:rFonts w:hint="eastAsia"/>
                <w:noProof/>
                <w:rtl/>
                <w:lang w:bidi="fa-IR"/>
              </w:rPr>
              <w:t>شَيْ‌ءٍ</w:t>
            </w:r>
            <w:r w:rsidR="003235BF" w:rsidRPr="002A1249">
              <w:rPr>
                <w:rStyle w:val="Hyperlink"/>
                <w:noProof/>
                <w:rtl/>
                <w:lang w:bidi="fa-IR"/>
              </w:rPr>
              <w:t xml:space="preserve"> </w:t>
            </w:r>
            <w:r w:rsidR="003235BF" w:rsidRPr="002A1249">
              <w:rPr>
                <w:rStyle w:val="Hyperlink"/>
                <w:rFonts w:hint="eastAsia"/>
                <w:noProof/>
                <w:rtl/>
                <w:lang w:bidi="fa-IR"/>
              </w:rPr>
              <w:t>لَمْ</w:t>
            </w:r>
            <w:r w:rsidR="003235BF" w:rsidRPr="002A1249">
              <w:rPr>
                <w:rStyle w:val="Hyperlink"/>
                <w:noProof/>
                <w:rtl/>
                <w:lang w:bidi="fa-IR"/>
              </w:rPr>
              <w:t xml:space="preserve"> </w:t>
            </w:r>
            <w:r w:rsidR="003235BF" w:rsidRPr="002A1249">
              <w:rPr>
                <w:rStyle w:val="Hyperlink"/>
                <w:rFonts w:hint="eastAsia"/>
                <w:noProof/>
                <w:rtl/>
                <w:lang w:bidi="fa-IR"/>
              </w:rPr>
              <w:t>يَخْرُجْ</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عِنْدِهِمْ</w:t>
            </w:r>
            <w:r w:rsidR="003235BF" w:rsidRPr="002A1249">
              <w:rPr>
                <w:rStyle w:val="Hyperlink"/>
                <w:noProof/>
                <w:rtl/>
                <w:lang w:bidi="fa-IR"/>
              </w:rPr>
              <w:t xml:space="preserve"> </w:t>
            </w:r>
            <w:r w:rsidR="003235BF" w:rsidRPr="002A1249">
              <w:rPr>
                <w:rStyle w:val="Hyperlink"/>
                <w:noProof/>
                <w:vertAlign w:val="superscript"/>
                <w:rtl/>
              </w:rPr>
              <w:t>(8)</w:t>
            </w:r>
            <w:r w:rsidR="003235BF" w:rsidRPr="002A1249">
              <w:rPr>
                <w:rStyle w:val="Hyperlink"/>
                <w:noProof/>
                <w:rtl/>
                <w:lang w:bidi="fa-IR"/>
              </w:rPr>
              <w:t xml:space="preserve"> </w:t>
            </w:r>
            <w:r w:rsidR="003235BF" w:rsidRPr="002A1249">
              <w:rPr>
                <w:rStyle w:val="Hyperlink"/>
                <w:rFonts w:hint="eastAsia"/>
                <w:noProof/>
                <w:rtl/>
                <w:lang w:bidi="fa-IR"/>
              </w:rPr>
              <w:t>فَهُوَ</w:t>
            </w:r>
            <w:r w:rsidR="003235BF" w:rsidRPr="002A1249">
              <w:rPr>
                <w:rStyle w:val="Hyperlink"/>
                <w:noProof/>
                <w:rtl/>
                <w:lang w:bidi="fa-IR"/>
              </w:rPr>
              <w:t xml:space="preserve"> </w:t>
            </w:r>
            <w:r w:rsidR="003235BF" w:rsidRPr="002A1249">
              <w:rPr>
                <w:rStyle w:val="Hyperlink"/>
                <w:rFonts w:hint="eastAsia"/>
                <w:noProof/>
                <w:rtl/>
                <w:lang w:bidi="fa-IR"/>
              </w:rPr>
              <w:t>بَاطِلٌ‌</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326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09" w:history="1">
            <w:r w:rsidR="003235BF" w:rsidRPr="002A1249">
              <w:rPr>
                <w:rStyle w:val="Hyperlink"/>
                <w:noProof/>
                <w:rtl/>
                <w:lang w:bidi="fa-IR"/>
              </w:rPr>
              <w:t xml:space="preserve">102 -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فِيمَا</w:t>
            </w:r>
            <w:r w:rsidR="003235BF" w:rsidRPr="002A1249">
              <w:rPr>
                <w:rStyle w:val="Hyperlink"/>
                <w:noProof/>
                <w:rtl/>
                <w:lang w:bidi="fa-IR"/>
              </w:rPr>
              <w:t xml:space="preserve"> </w:t>
            </w:r>
            <w:r w:rsidR="003235BF" w:rsidRPr="002A1249">
              <w:rPr>
                <w:rStyle w:val="Hyperlink"/>
                <w:rFonts w:hint="eastAsia"/>
                <w:noProof/>
                <w:rtl/>
                <w:lang w:bidi="fa-IR"/>
              </w:rPr>
              <w:t>جَاءَ</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حَدِيثَهُمْ</w:t>
            </w:r>
            <w:r w:rsidR="003235BF" w:rsidRPr="002A1249">
              <w:rPr>
                <w:rStyle w:val="Hyperlink"/>
                <w:noProof/>
                <w:rtl/>
                <w:lang w:bidi="fa-IR"/>
              </w:rPr>
              <w:t xml:space="preserve"> </w:t>
            </w:r>
            <w:r w:rsidR="003235BF" w:rsidRPr="002A1249">
              <w:rPr>
                <w:rStyle w:val="Hyperlink"/>
                <w:rFonts w:hint="eastAsia"/>
                <w:noProof/>
                <w:rtl/>
                <w:lang w:bidi="fa-IR"/>
              </w:rPr>
              <w:t>صَعْبٌ</w:t>
            </w:r>
            <w:r w:rsidR="003235BF" w:rsidRPr="002A1249">
              <w:rPr>
                <w:rStyle w:val="Hyperlink"/>
                <w:noProof/>
                <w:rtl/>
                <w:lang w:bidi="fa-IR"/>
              </w:rPr>
              <w:t xml:space="preserve"> </w:t>
            </w:r>
            <w:r w:rsidR="003235BF" w:rsidRPr="002A1249">
              <w:rPr>
                <w:rStyle w:val="Hyperlink"/>
                <w:rFonts w:hint="eastAsia"/>
                <w:noProof/>
                <w:rtl/>
                <w:lang w:bidi="fa-IR"/>
              </w:rPr>
              <w:t>مُسْتَصْعَبٌ‌</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Toc34663109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331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0" w:history="1">
            <w:r w:rsidR="003235BF" w:rsidRPr="002A1249">
              <w:rPr>
                <w:rStyle w:val="Hyperlink"/>
                <w:noProof/>
                <w:rtl/>
                <w:lang w:bidi="fa-IR"/>
              </w:rPr>
              <w:t xml:space="preserve">103 -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أَمَرَ</w:t>
            </w:r>
            <w:r w:rsidR="003235BF" w:rsidRPr="002A1249">
              <w:rPr>
                <w:rStyle w:val="Hyperlink"/>
                <w:noProof/>
                <w:rtl/>
                <w:lang w:bidi="fa-IR"/>
              </w:rPr>
              <w:t xml:space="preserve"> </w:t>
            </w:r>
            <w:r w:rsidR="003235BF" w:rsidRPr="002A1249">
              <w:rPr>
                <w:rStyle w:val="Hyperlink"/>
                <w:rFonts w:hint="eastAsia"/>
                <w:noProof/>
                <w:rtl/>
                <w:lang w:bidi="fa-IR"/>
              </w:rPr>
              <w:t>النَّبِيُّ</w:t>
            </w:r>
            <w:r w:rsidR="003235BF" w:rsidRPr="002A1249">
              <w:rPr>
                <w:rStyle w:val="Hyperlink"/>
                <w:noProof/>
                <w:rtl/>
                <w:lang w:bidi="fa-IR"/>
              </w:rPr>
              <w:t xml:space="preserve"> </w:t>
            </w:r>
            <w:r w:rsidR="003235BF" w:rsidRPr="002A1249">
              <w:rPr>
                <w:rStyle w:val="Hyperlink"/>
                <w:rFonts w:cs="Rafed Alaem" w:hint="eastAsia"/>
                <w:noProof/>
                <w:rtl/>
              </w:rPr>
              <w:t>صلى‌الله‌عليه‌وآله‌وسلم</w:t>
            </w:r>
            <w:r w:rsidR="003235BF" w:rsidRPr="002A1249">
              <w:rPr>
                <w:rStyle w:val="Hyperlink"/>
                <w:noProof/>
                <w:rtl/>
                <w:lang w:bidi="fa-IR"/>
              </w:rPr>
              <w:t xml:space="preserve"> </w:t>
            </w:r>
            <w:r w:rsidR="003235BF" w:rsidRPr="002A1249">
              <w:rPr>
                <w:rStyle w:val="Hyperlink"/>
                <w:rFonts w:hint="eastAsia"/>
                <w:noProof/>
                <w:rtl/>
                <w:lang w:bidi="fa-IR"/>
              </w:rPr>
              <w:t>بِالنَّصِيحَةِ</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لِأَئِمَّةِ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336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1" w:history="1">
            <w:r w:rsidR="003235BF" w:rsidRPr="002A1249">
              <w:rPr>
                <w:rStyle w:val="Hyperlink"/>
                <w:rFonts w:hint="eastAsia"/>
                <w:noProof/>
                <w:rtl/>
                <w:lang w:bidi="fa-IR"/>
              </w:rPr>
              <w:t>الْمُسْلِمِينَ</w:t>
            </w:r>
            <w:r w:rsidR="003235BF" w:rsidRPr="002A1249">
              <w:rPr>
                <w:rStyle w:val="Hyperlink"/>
                <w:noProof/>
                <w:rtl/>
                <w:lang w:bidi="fa-IR"/>
              </w:rPr>
              <w:t xml:space="preserve"> </w:t>
            </w:r>
            <w:r w:rsidR="003235BF" w:rsidRPr="002A1249">
              <w:rPr>
                <w:rStyle w:val="Hyperlink"/>
                <w:rFonts w:hint="eastAsia"/>
                <w:noProof/>
                <w:rtl/>
                <w:lang w:bidi="fa-IR"/>
              </w:rPr>
              <w:t>واللُّزُومِ</w:t>
            </w:r>
            <w:r w:rsidR="003235BF" w:rsidRPr="002A1249">
              <w:rPr>
                <w:rStyle w:val="Hyperlink"/>
                <w:noProof/>
                <w:rtl/>
                <w:lang w:bidi="fa-IR"/>
              </w:rPr>
              <w:t xml:space="preserve"> </w:t>
            </w:r>
            <w:r w:rsidR="003235BF" w:rsidRPr="002A1249">
              <w:rPr>
                <w:rStyle w:val="Hyperlink"/>
                <w:rFonts w:hint="eastAsia"/>
                <w:noProof/>
                <w:rtl/>
                <w:lang w:bidi="fa-IR"/>
              </w:rPr>
              <w:t>لِجَمَاعَتِهِمْ</w:t>
            </w:r>
            <w:r w:rsidR="003235BF" w:rsidRPr="002A1249">
              <w:rPr>
                <w:rStyle w:val="Hyperlink"/>
                <w:noProof/>
                <w:rtl/>
                <w:lang w:bidi="fa-IR"/>
              </w:rPr>
              <w:t xml:space="preserve"> </w:t>
            </w:r>
            <w:r w:rsidR="003235BF" w:rsidRPr="002A1249">
              <w:rPr>
                <w:rStyle w:val="Hyperlink"/>
                <w:rFonts w:hint="eastAsia"/>
                <w:noProof/>
                <w:rtl/>
                <w:lang w:bidi="fa-IR"/>
              </w:rPr>
              <w:t>،</w:t>
            </w:r>
            <w:r w:rsidR="003235BF" w:rsidRPr="002A1249">
              <w:rPr>
                <w:rStyle w:val="Hyperlink"/>
                <w:noProof/>
                <w:rtl/>
                <w:lang w:bidi="fa-IR"/>
              </w:rPr>
              <w:t xml:space="preserve"> </w:t>
            </w:r>
            <w:r w:rsidR="003235BF" w:rsidRPr="002A1249">
              <w:rPr>
                <w:rStyle w:val="Hyperlink"/>
                <w:rFonts w:hint="eastAsia"/>
                <w:noProof/>
                <w:rtl/>
                <w:lang w:bidi="fa-IR"/>
              </w:rPr>
              <w:t>ومَنْ</w:t>
            </w:r>
            <w:r w:rsidR="003235BF" w:rsidRPr="002A1249">
              <w:rPr>
                <w:rStyle w:val="Hyperlink"/>
                <w:noProof/>
                <w:rtl/>
                <w:lang w:bidi="fa-IR"/>
              </w:rPr>
              <w:t xml:space="preserve"> </w:t>
            </w:r>
            <w:r w:rsidR="003235BF" w:rsidRPr="002A1249">
              <w:rPr>
                <w:rStyle w:val="Hyperlink"/>
                <w:rFonts w:hint="eastAsia"/>
                <w:noProof/>
                <w:rtl/>
                <w:lang w:bidi="fa-IR"/>
              </w:rPr>
              <w:t>هُمْ</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lang w:bidi="fa-IR"/>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336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2" w:history="1">
            <w:r w:rsidR="003235BF" w:rsidRPr="002A1249">
              <w:rPr>
                <w:rStyle w:val="Hyperlink"/>
                <w:noProof/>
                <w:rtl/>
                <w:lang w:bidi="fa-IR"/>
              </w:rPr>
              <w:t xml:space="preserve">104 -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يَجِبُ</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حَقِّ</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الرَّعِيَّةِ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342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3" w:history="1">
            <w:r w:rsidR="003235BF" w:rsidRPr="002A1249">
              <w:rPr>
                <w:rStyle w:val="Hyperlink"/>
                <w:rFonts w:hint="eastAsia"/>
                <w:noProof/>
                <w:rtl/>
                <w:lang w:bidi="fa-IR"/>
              </w:rPr>
              <w:t>وحَقِّ</w:t>
            </w:r>
            <w:r w:rsidR="003235BF" w:rsidRPr="002A1249">
              <w:rPr>
                <w:rStyle w:val="Hyperlink"/>
                <w:noProof/>
                <w:rtl/>
                <w:lang w:bidi="fa-IR"/>
              </w:rPr>
              <w:t xml:space="preserve"> </w:t>
            </w:r>
            <w:r w:rsidR="003235BF" w:rsidRPr="002A1249">
              <w:rPr>
                <w:rStyle w:val="Hyperlink"/>
                <w:rFonts w:hint="eastAsia"/>
                <w:noProof/>
                <w:rtl/>
                <w:lang w:bidi="fa-IR"/>
              </w:rPr>
              <w:t>الرَّعِيَّةِ</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342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4" w:history="1">
            <w:r w:rsidR="003235BF" w:rsidRPr="002A1249">
              <w:rPr>
                <w:rStyle w:val="Hyperlink"/>
                <w:noProof/>
                <w:rtl/>
                <w:lang w:bidi="fa-IR"/>
              </w:rPr>
              <w:t xml:space="preserve">105 -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الْأَرْضَ</w:t>
            </w:r>
            <w:r w:rsidR="003235BF" w:rsidRPr="002A1249">
              <w:rPr>
                <w:rStyle w:val="Hyperlink"/>
                <w:noProof/>
                <w:rtl/>
                <w:lang w:bidi="fa-IR"/>
              </w:rPr>
              <w:t xml:space="preserve"> </w:t>
            </w:r>
            <w:r w:rsidR="003235BF" w:rsidRPr="002A1249">
              <w:rPr>
                <w:rStyle w:val="Hyperlink"/>
                <w:rFonts w:hint="eastAsia"/>
                <w:noProof/>
                <w:rtl/>
                <w:lang w:bidi="fa-IR"/>
              </w:rPr>
              <w:t>كُلَّهَا</w:t>
            </w:r>
            <w:r w:rsidR="003235BF" w:rsidRPr="002A1249">
              <w:rPr>
                <w:rStyle w:val="Hyperlink"/>
                <w:noProof/>
                <w:rtl/>
                <w:lang w:bidi="fa-IR"/>
              </w:rPr>
              <w:t xml:space="preserve"> </w:t>
            </w:r>
            <w:r w:rsidR="003235BF" w:rsidRPr="002A1249">
              <w:rPr>
                <w:rStyle w:val="Hyperlink"/>
                <w:rFonts w:hint="eastAsia"/>
                <w:noProof/>
                <w:rtl/>
                <w:lang w:bidi="fa-IR"/>
              </w:rPr>
              <w:t>لِلْإِمَامِ</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349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5" w:history="1">
            <w:r w:rsidR="003235BF" w:rsidRPr="002A1249">
              <w:rPr>
                <w:rStyle w:val="Hyperlink"/>
                <w:noProof/>
                <w:rtl/>
                <w:lang w:bidi="fa-IR"/>
              </w:rPr>
              <w:t xml:space="preserve">106 -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سِيرَةِ</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نَفْسِهِ</w:t>
            </w:r>
            <w:r w:rsidR="003235BF" w:rsidRPr="002A1249">
              <w:rPr>
                <w:rStyle w:val="Hyperlink"/>
                <w:noProof/>
                <w:rtl/>
                <w:lang w:bidi="fa-IR"/>
              </w:rPr>
              <w:t xml:space="preserve"> </w:t>
            </w:r>
            <w:r w:rsidR="003235BF" w:rsidRPr="002A1249">
              <w:rPr>
                <w:rStyle w:val="Hyperlink"/>
                <w:rFonts w:hint="eastAsia"/>
                <w:noProof/>
                <w:rtl/>
                <w:lang w:bidi="fa-IR"/>
              </w:rPr>
              <w:t>وَ</w:t>
            </w:r>
            <w:r w:rsidR="003235BF" w:rsidRPr="002A1249">
              <w:rPr>
                <w:rStyle w:val="Hyperlink"/>
                <w:noProof/>
                <w:rtl/>
                <w:lang w:bidi="fa-IR"/>
              </w:rPr>
              <w:t xml:space="preserve"> </w:t>
            </w:r>
            <w:r w:rsidR="003235BF" w:rsidRPr="002A1249">
              <w:rPr>
                <w:rStyle w:val="Hyperlink"/>
                <w:noProof/>
                <w:vertAlign w:val="superscript"/>
                <w:rtl/>
              </w:rPr>
              <w:t>(3)</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الْمَطْعَمِ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356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6" w:history="1">
            <w:r w:rsidR="003235BF" w:rsidRPr="002A1249">
              <w:rPr>
                <w:rStyle w:val="Hyperlink"/>
                <w:rFonts w:hint="eastAsia"/>
                <w:noProof/>
                <w:rtl/>
                <w:lang w:bidi="fa-IR"/>
              </w:rPr>
              <w:t>والْمَلْبَسِ</w:t>
            </w:r>
            <w:r w:rsidR="003235BF" w:rsidRPr="002A1249">
              <w:rPr>
                <w:rStyle w:val="Hyperlink"/>
                <w:noProof/>
                <w:rtl/>
                <w:lang w:bidi="fa-IR"/>
              </w:rPr>
              <w:t xml:space="preserve"> </w:t>
            </w:r>
            <w:r w:rsidR="003235BF" w:rsidRPr="002A1249">
              <w:rPr>
                <w:rStyle w:val="Hyperlink"/>
                <w:rFonts w:hint="eastAsia"/>
                <w:noProof/>
                <w:rtl/>
                <w:lang w:bidi="fa-IR"/>
              </w:rPr>
              <w:t>إِذَا</w:t>
            </w:r>
            <w:r w:rsidR="003235BF" w:rsidRPr="002A1249">
              <w:rPr>
                <w:rStyle w:val="Hyperlink"/>
                <w:noProof/>
                <w:rtl/>
                <w:lang w:bidi="fa-IR"/>
              </w:rPr>
              <w:t xml:space="preserve"> </w:t>
            </w:r>
            <w:r w:rsidR="003235BF" w:rsidRPr="002A1249">
              <w:rPr>
                <w:rStyle w:val="Hyperlink"/>
                <w:rFonts w:hint="eastAsia"/>
                <w:noProof/>
                <w:rtl/>
                <w:lang w:bidi="fa-IR"/>
              </w:rPr>
              <w:t>ولِيَ</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lang w:bidi="fa-IR"/>
              </w:rPr>
              <w:t xml:space="preserve"> </w:t>
            </w:r>
            <w:r w:rsidR="003235BF" w:rsidRPr="002A1249">
              <w:rPr>
                <w:rStyle w:val="Hyperlink"/>
                <w:rFonts w:hint="eastAsia"/>
                <w:noProof/>
                <w:rtl/>
                <w:lang w:bidi="fa-IR"/>
              </w:rPr>
              <w:t>الْأَمْرَ‌</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356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7" w:history="1">
            <w:r w:rsidR="003235BF" w:rsidRPr="002A1249">
              <w:rPr>
                <w:rStyle w:val="Hyperlink"/>
                <w:noProof/>
                <w:rtl/>
                <w:lang w:bidi="fa-IR"/>
              </w:rPr>
              <w:t xml:space="preserve">107 -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نَادِرٌ‌</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360</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8" w:history="1">
            <w:r w:rsidR="003235BF" w:rsidRPr="002A1249">
              <w:rPr>
                <w:rStyle w:val="Hyperlink"/>
                <w:noProof/>
                <w:rtl/>
                <w:lang w:bidi="fa-IR"/>
              </w:rPr>
              <w:t xml:space="preserve">108 -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فِيهِ</w:t>
            </w:r>
            <w:r w:rsidR="003235BF" w:rsidRPr="002A1249">
              <w:rPr>
                <w:rStyle w:val="Hyperlink"/>
                <w:noProof/>
                <w:rtl/>
                <w:lang w:bidi="fa-IR"/>
              </w:rPr>
              <w:t xml:space="preserve"> </w:t>
            </w:r>
            <w:r w:rsidR="003235BF" w:rsidRPr="002A1249">
              <w:rPr>
                <w:rStyle w:val="Hyperlink"/>
                <w:rFonts w:hint="eastAsia"/>
                <w:noProof/>
                <w:rtl/>
                <w:lang w:bidi="fa-IR"/>
              </w:rPr>
              <w:t>نُكَتٌ</w:t>
            </w:r>
            <w:r w:rsidR="003235BF" w:rsidRPr="002A1249">
              <w:rPr>
                <w:rStyle w:val="Hyperlink"/>
                <w:noProof/>
                <w:rtl/>
                <w:lang w:bidi="fa-IR"/>
              </w:rPr>
              <w:t xml:space="preserve"> </w:t>
            </w:r>
            <w:r w:rsidR="003235BF" w:rsidRPr="002A1249">
              <w:rPr>
                <w:rStyle w:val="Hyperlink"/>
                <w:noProof/>
                <w:vertAlign w:val="superscript"/>
                <w:rtl/>
              </w:rPr>
              <w:t>(5)</w:t>
            </w:r>
            <w:r w:rsidR="003235BF" w:rsidRPr="002A1249">
              <w:rPr>
                <w:rStyle w:val="Hyperlink"/>
                <w:noProof/>
                <w:rtl/>
                <w:lang w:bidi="fa-IR"/>
              </w:rPr>
              <w:t xml:space="preserve"> </w:t>
            </w:r>
            <w:r w:rsidR="003235BF" w:rsidRPr="002A1249">
              <w:rPr>
                <w:rStyle w:val="Hyperlink"/>
                <w:rFonts w:hint="eastAsia"/>
                <w:noProof/>
                <w:rtl/>
                <w:lang w:bidi="fa-IR"/>
              </w:rPr>
              <w:t>ونُتَفٌ</w:t>
            </w:r>
            <w:r w:rsidR="003235BF" w:rsidRPr="002A1249">
              <w:rPr>
                <w:rStyle w:val="Hyperlink"/>
                <w:noProof/>
                <w:rtl/>
                <w:lang w:bidi="fa-IR"/>
              </w:rPr>
              <w:t xml:space="preserve"> </w:t>
            </w:r>
            <w:r w:rsidR="003235BF" w:rsidRPr="002A1249">
              <w:rPr>
                <w:rStyle w:val="Hyperlink"/>
                <w:noProof/>
                <w:vertAlign w:val="superscript"/>
                <w:rtl/>
              </w:rPr>
              <w:t>(6)</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التَّنْزِيلِ</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الْوَلَايَةِ‌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362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19" w:history="1">
            <w:r w:rsidR="003235BF" w:rsidRPr="002A1249">
              <w:rPr>
                <w:rStyle w:val="Hyperlink"/>
                <w:noProof/>
                <w:rtl/>
                <w:lang w:bidi="fa-IR"/>
              </w:rPr>
              <w:t xml:space="preserve">109 -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فِيهِ</w:t>
            </w:r>
            <w:r w:rsidR="003235BF" w:rsidRPr="002A1249">
              <w:rPr>
                <w:rStyle w:val="Hyperlink"/>
                <w:noProof/>
                <w:rtl/>
                <w:lang w:bidi="fa-IR"/>
              </w:rPr>
              <w:t xml:space="preserve"> </w:t>
            </w:r>
            <w:r w:rsidR="003235BF" w:rsidRPr="002A1249">
              <w:rPr>
                <w:rStyle w:val="Hyperlink"/>
                <w:rFonts w:hint="eastAsia"/>
                <w:noProof/>
                <w:rtl/>
                <w:lang w:bidi="fa-IR"/>
              </w:rPr>
              <w:t>نُتَفٌ</w:t>
            </w:r>
            <w:r w:rsidR="003235BF" w:rsidRPr="002A1249">
              <w:rPr>
                <w:rStyle w:val="Hyperlink"/>
                <w:noProof/>
                <w:rtl/>
                <w:lang w:bidi="fa-IR"/>
              </w:rPr>
              <w:t xml:space="preserve"> </w:t>
            </w:r>
            <w:r w:rsidR="003235BF" w:rsidRPr="002A1249">
              <w:rPr>
                <w:rStyle w:val="Hyperlink"/>
                <w:noProof/>
                <w:vertAlign w:val="superscript"/>
                <w:rtl/>
              </w:rPr>
              <w:t>(3)</w:t>
            </w:r>
            <w:r w:rsidR="003235BF" w:rsidRPr="002A1249">
              <w:rPr>
                <w:rStyle w:val="Hyperlink"/>
                <w:noProof/>
                <w:rtl/>
                <w:lang w:bidi="fa-IR"/>
              </w:rPr>
              <w:t xml:space="preserve"> </w:t>
            </w:r>
            <w:r w:rsidR="003235BF" w:rsidRPr="002A1249">
              <w:rPr>
                <w:rStyle w:val="Hyperlink"/>
                <w:rFonts w:hint="eastAsia"/>
                <w:noProof/>
                <w:rtl/>
                <w:lang w:bidi="fa-IR"/>
              </w:rPr>
              <w:t>وجَوَامِعُ</w:t>
            </w:r>
            <w:r w:rsidR="003235BF" w:rsidRPr="002A1249">
              <w:rPr>
                <w:rStyle w:val="Hyperlink"/>
                <w:noProof/>
                <w:rtl/>
                <w:lang w:bidi="fa-IR"/>
              </w:rPr>
              <w:t xml:space="preserve"> </w:t>
            </w:r>
            <w:r w:rsidR="003235BF" w:rsidRPr="002A1249">
              <w:rPr>
                <w:rStyle w:val="Hyperlink"/>
                <w:rFonts w:hint="eastAsia"/>
                <w:noProof/>
                <w:rtl/>
                <w:lang w:bidi="fa-IR"/>
              </w:rPr>
              <w:t>مِنَ</w:t>
            </w:r>
            <w:r w:rsidR="003235BF" w:rsidRPr="002A1249">
              <w:rPr>
                <w:rStyle w:val="Hyperlink"/>
                <w:noProof/>
                <w:rtl/>
                <w:lang w:bidi="fa-IR"/>
              </w:rPr>
              <w:t xml:space="preserve"> </w:t>
            </w:r>
            <w:r w:rsidR="003235BF" w:rsidRPr="002A1249">
              <w:rPr>
                <w:rStyle w:val="Hyperlink"/>
                <w:rFonts w:hint="eastAsia"/>
                <w:noProof/>
                <w:rtl/>
                <w:lang w:bidi="fa-IR"/>
              </w:rPr>
              <w:t>الرِّوَايَةِ</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الْوَلَايَةِ‌</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Toc34663119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423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0" w:history="1">
            <w:r w:rsidR="003235BF" w:rsidRPr="002A1249">
              <w:rPr>
                <w:rStyle w:val="Hyperlink"/>
                <w:noProof/>
                <w:rtl/>
                <w:lang w:bidi="fa-IR"/>
              </w:rPr>
              <w:t xml:space="preserve">110 -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مَعْرِفَتِهِمْ</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lang w:bidi="fa-IR"/>
              </w:rPr>
              <w:t xml:space="preserve"> </w:t>
            </w:r>
            <w:r w:rsidR="003235BF" w:rsidRPr="002A1249">
              <w:rPr>
                <w:rStyle w:val="Hyperlink"/>
                <w:rFonts w:hint="eastAsia"/>
                <w:noProof/>
                <w:rtl/>
                <w:lang w:bidi="fa-IR"/>
              </w:rPr>
              <w:t>أَوْلِيَاءَهُمْ</w:t>
            </w:r>
            <w:r w:rsidR="003235BF" w:rsidRPr="002A1249">
              <w:rPr>
                <w:rStyle w:val="Hyperlink"/>
                <w:noProof/>
                <w:rtl/>
                <w:lang w:bidi="fa-IR"/>
              </w:rPr>
              <w:t xml:space="preserve"> </w:t>
            </w:r>
            <w:r w:rsidR="003235BF" w:rsidRPr="002A1249">
              <w:rPr>
                <w:rStyle w:val="Hyperlink"/>
                <w:rFonts w:hint="eastAsia"/>
                <w:noProof/>
                <w:rtl/>
                <w:lang w:bidi="fa-IR"/>
              </w:rPr>
              <w:t>والتَّفْوِيضِ</w:t>
            </w:r>
            <w:r w:rsidR="003235BF" w:rsidRPr="002A1249">
              <w:rPr>
                <w:rStyle w:val="Hyperlink"/>
                <w:noProof/>
                <w:rtl/>
                <w:lang w:bidi="fa-IR"/>
              </w:rPr>
              <w:t xml:space="preserve"> </w:t>
            </w:r>
            <w:r w:rsidR="003235BF" w:rsidRPr="002A1249">
              <w:rPr>
                <w:rStyle w:val="Hyperlink"/>
                <w:rFonts w:hint="eastAsia"/>
                <w:noProof/>
                <w:rtl/>
                <w:lang w:bidi="fa-IR"/>
              </w:rPr>
              <w:t>إِلَيْهِمْ‌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429</w:t>
            </w:r>
            <w:r w:rsidR="003235BF">
              <w:rPr>
                <w:noProof/>
                <w:webHidden/>
                <w:rtl/>
              </w:rPr>
              <w:fldChar w:fldCharType="end"/>
            </w:r>
          </w:hyperlink>
        </w:p>
        <w:p w:rsidR="003235BF" w:rsidRDefault="00D8452E">
          <w:pPr>
            <w:pStyle w:val="TOC1"/>
            <w:rPr>
              <w:rFonts w:asciiTheme="minorHAnsi" w:eastAsiaTheme="minorEastAsia" w:hAnsiTheme="minorHAnsi" w:cstheme="minorBidi"/>
              <w:bCs w:val="0"/>
              <w:noProof/>
              <w:color w:val="auto"/>
              <w:sz w:val="22"/>
              <w:szCs w:val="22"/>
              <w:rtl/>
            </w:rPr>
          </w:pPr>
          <w:hyperlink w:anchor="_Toc34663121" w:history="1">
            <w:r w:rsidR="003235BF" w:rsidRPr="002A1249">
              <w:rPr>
                <w:rStyle w:val="Hyperlink"/>
                <w:rFonts w:hint="eastAsia"/>
                <w:noProof/>
                <w:rtl/>
                <w:lang w:bidi="fa-IR"/>
              </w:rPr>
              <w:t>أبواب</w:t>
            </w:r>
            <w:r w:rsidR="003235BF" w:rsidRPr="002A1249">
              <w:rPr>
                <w:rStyle w:val="Hyperlink"/>
                <w:noProof/>
                <w:rtl/>
                <w:lang w:bidi="fa-IR"/>
              </w:rPr>
              <w:t xml:space="preserve"> </w:t>
            </w:r>
            <w:r w:rsidR="003235BF" w:rsidRPr="002A1249">
              <w:rPr>
                <w:rStyle w:val="Hyperlink"/>
                <w:rFonts w:hint="eastAsia"/>
                <w:noProof/>
                <w:rtl/>
                <w:lang w:bidi="fa-IR"/>
              </w:rPr>
              <w:t>التاريخ</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433</w:t>
            </w:r>
            <w:r w:rsidR="003235BF">
              <w:rPr>
                <w:noProof/>
                <w:webHidden/>
                <w:rtl/>
              </w:rPr>
              <w:fldChar w:fldCharType="end"/>
            </w:r>
          </w:hyperlink>
        </w:p>
        <w:p w:rsidR="003235BF" w:rsidRDefault="003235BF">
          <w:pPr>
            <w:bidi w:val="0"/>
            <w:ind w:firstLine="289"/>
            <w:rPr>
              <w:rStyle w:val="Hyperlink"/>
              <w:noProof/>
              <w:szCs w:val="32"/>
            </w:rPr>
          </w:pPr>
          <w:r>
            <w:rPr>
              <w:rStyle w:val="Hyperlink"/>
              <w:noProof/>
            </w:rPr>
            <w:br w:type="page"/>
          </w:r>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2" w:history="1">
            <w:r w:rsidR="003235BF" w:rsidRPr="002A1249">
              <w:rPr>
                <w:rStyle w:val="Hyperlink"/>
                <w:noProof/>
                <w:rtl/>
                <w:lang w:bidi="fa-IR"/>
              </w:rPr>
              <w:t xml:space="preserve">111 -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النَّبِيِّ</w:t>
            </w:r>
            <w:r w:rsidR="003235BF" w:rsidRPr="002A1249">
              <w:rPr>
                <w:rStyle w:val="Hyperlink"/>
                <w:noProof/>
                <w:rtl/>
                <w:lang w:bidi="fa-IR"/>
              </w:rPr>
              <w:t xml:space="preserve"> </w:t>
            </w:r>
            <w:r w:rsidR="003235BF" w:rsidRPr="002A1249">
              <w:rPr>
                <w:rStyle w:val="Hyperlink"/>
                <w:rFonts w:cs="Rafed Alaem" w:hint="eastAsia"/>
                <w:noProof/>
                <w:rtl/>
              </w:rPr>
              <w:t>صلى‌الله‌عليه‌وآله‌وسلم</w:t>
            </w:r>
            <w:r w:rsidR="003235BF" w:rsidRPr="002A1249">
              <w:rPr>
                <w:rStyle w:val="Hyperlink"/>
                <w:noProof/>
                <w:rtl/>
                <w:lang w:bidi="fa-IR"/>
              </w:rPr>
              <w:t xml:space="preserve"> </w:t>
            </w:r>
            <w:r w:rsidR="003235BF" w:rsidRPr="002A1249">
              <w:rPr>
                <w:rStyle w:val="Hyperlink"/>
                <w:rFonts w:hint="eastAsia"/>
                <w:noProof/>
                <w:rtl/>
                <w:lang w:bidi="fa-IR"/>
              </w:rPr>
              <w:t>وَ</w:t>
            </w:r>
            <w:r w:rsidR="003235BF" w:rsidRPr="002A1249">
              <w:rPr>
                <w:rStyle w:val="Hyperlink"/>
                <w:noProof/>
                <w:rtl/>
                <w:lang w:bidi="fa-IR"/>
              </w:rPr>
              <w:t xml:space="preserve"> </w:t>
            </w:r>
            <w:r w:rsidR="003235BF" w:rsidRPr="002A1249">
              <w:rPr>
                <w:rStyle w:val="Hyperlink"/>
                <w:rFonts w:hint="eastAsia"/>
                <w:noProof/>
                <w:rtl/>
                <w:lang w:bidi="fa-IR"/>
              </w:rPr>
              <w:t>وَفَاتِهِ‌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435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3" w:history="1">
            <w:r w:rsidR="003235BF" w:rsidRPr="002A1249">
              <w:rPr>
                <w:rStyle w:val="Hyperlink"/>
                <w:noProof/>
                <w:rtl/>
                <w:lang w:bidi="fa-IR"/>
              </w:rPr>
              <w:t xml:space="preserve">112 -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(15)</w:t>
            </w:r>
            <w:r w:rsidR="003235BF" w:rsidRPr="002A1249">
              <w:rPr>
                <w:rStyle w:val="Hyperlink"/>
                <w:noProof/>
                <w:rtl/>
                <w:lang w:bidi="fa-IR"/>
              </w:rPr>
              <w:t xml:space="preserve"> </w:t>
            </w:r>
            <w:r w:rsidR="003235BF" w:rsidRPr="002A1249">
              <w:rPr>
                <w:rStyle w:val="Hyperlink"/>
                <w:rFonts w:hint="eastAsia"/>
                <w:noProof/>
                <w:rtl/>
                <w:lang w:bidi="fa-IR"/>
              </w:rPr>
              <w:t>النَّهْيِ</w:t>
            </w:r>
            <w:r w:rsidR="003235BF" w:rsidRPr="002A1249">
              <w:rPr>
                <w:rStyle w:val="Hyperlink"/>
                <w:noProof/>
                <w:rtl/>
                <w:lang w:bidi="fa-IR"/>
              </w:rPr>
              <w:t xml:space="preserve"> </w:t>
            </w:r>
            <w:r w:rsidR="003235BF" w:rsidRPr="002A1249">
              <w:rPr>
                <w:rStyle w:val="Hyperlink"/>
                <w:rFonts w:hint="eastAsia"/>
                <w:noProof/>
                <w:rtl/>
                <w:lang w:bidi="fa-IR"/>
              </w:rPr>
              <w:t>عَنِ</w:t>
            </w:r>
            <w:r w:rsidR="003235BF" w:rsidRPr="002A1249">
              <w:rPr>
                <w:rStyle w:val="Hyperlink"/>
                <w:noProof/>
                <w:rtl/>
                <w:lang w:bidi="fa-IR"/>
              </w:rPr>
              <w:t xml:space="preserve"> </w:t>
            </w:r>
            <w:r w:rsidR="003235BF" w:rsidRPr="002A1249">
              <w:rPr>
                <w:rStyle w:val="Hyperlink"/>
                <w:rFonts w:hint="eastAsia"/>
                <w:noProof/>
                <w:rtl/>
                <w:lang w:bidi="fa-IR"/>
              </w:rPr>
              <w:t>الْإِشْرَافِ</w:t>
            </w:r>
            <w:r w:rsidR="003235BF" w:rsidRPr="002A1249">
              <w:rPr>
                <w:rStyle w:val="Hyperlink"/>
                <w:noProof/>
                <w:rtl/>
                <w:lang w:bidi="fa-IR"/>
              </w:rPr>
              <w:t xml:space="preserve"> </w:t>
            </w:r>
            <w:r w:rsidR="003235BF" w:rsidRPr="002A1249">
              <w:rPr>
                <w:rStyle w:val="Hyperlink"/>
                <w:rFonts w:hint="eastAsia"/>
                <w:noProof/>
                <w:rtl/>
                <w:lang w:bidi="fa-IR"/>
              </w:rPr>
              <w:t>عَلى</w:t>
            </w:r>
            <w:r w:rsidR="003235BF" w:rsidRPr="002A1249">
              <w:rPr>
                <w:rStyle w:val="Hyperlink"/>
                <w:noProof/>
                <w:rtl/>
                <w:lang w:bidi="fa-IR"/>
              </w:rPr>
              <w:t xml:space="preserve"> </w:t>
            </w:r>
            <w:r w:rsidR="003235BF" w:rsidRPr="002A1249">
              <w:rPr>
                <w:rStyle w:val="Hyperlink"/>
                <w:rFonts w:hint="eastAsia"/>
                <w:noProof/>
                <w:rtl/>
                <w:lang w:bidi="fa-IR"/>
              </w:rPr>
              <w:t>قَبْرِ</w:t>
            </w:r>
            <w:r w:rsidR="003235BF" w:rsidRPr="002A1249">
              <w:rPr>
                <w:rStyle w:val="Hyperlink"/>
                <w:noProof/>
                <w:rtl/>
                <w:lang w:bidi="fa-IR"/>
              </w:rPr>
              <w:t xml:space="preserve"> </w:t>
            </w:r>
            <w:r w:rsidR="003235BF" w:rsidRPr="002A1249">
              <w:rPr>
                <w:rStyle w:val="Hyperlink"/>
                <w:rFonts w:hint="eastAsia"/>
                <w:noProof/>
                <w:rtl/>
                <w:lang w:bidi="fa-IR"/>
              </w:rPr>
              <w:t>النَّبِيِّ</w:t>
            </w:r>
            <w:r w:rsidR="003235BF" w:rsidRPr="002A1249">
              <w:rPr>
                <w:rStyle w:val="Hyperlink"/>
                <w:noProof/>
                <w:rtl/>
                <w:lang w:bidi="fa-IR"/>
              </w:rPr>
              <w:t xml:space="preserve"> </w:t>
            </w:r>
            <w:r w:rsidR="003235BF" w:rsidRPr="002A1249">
              <w:rPr>
                <w:rStyle w:val="Hyperlink"/>
                <w:noProof/>
                <w:vertAlign w:val="superscript"/>
                <w:rtl/>
              </w:rPr>
              <w:t>(16)</w:t>
            </w:r>
            <w:r w:rsidR="003235BF" w:rsidRPr="002A1249">
              <w:rPr>
                <w:rStyle w:val="Hyperlink"/>
                <w:noProof/>
                <w:rtl/>
                <w:lang w:bidi="fa-IR"/>
              </w:rPr>
              <w:t xml:space="preserve"> </w:t>
            </w:r>
            <w:r w:rsidR="003235BF" w:rsidRPr="002A1249">
              <w:rPr>
                <w:rStyle w:val="Hyperlink"/>
                <w:rFonts w:eastAsiaTheme="minorHAnsi" w:cs="Rafed Alaem" w:hint="eastAsia"/>
                <w:noProof/>
                <w:rtl/>
              </w:rPr>
              <w:t>صلى‌الله‌عليه‌وآله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471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4" w:history="1">
            <w:r w:rsidR="003235BF" w:rsidRPr="002A1249">
              <w:rPr>
                <w:rStyle w:val="Hyperlink"/>
                <w:noProof/>
                <w:rtl/>
                <w:lang w:bidi="fa-IR"/>
              </w:rPr>
              <w:t xml:space="preserve">113 -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أَمِيرِ</w:t>
            </w:r>
            <w:r w:rsidR="003235BF" w:rsidRPr="002A1249">
              <w:rPr>
                <w:rStyle w:val="Hyperlink"/>
                <w:noProof/>
                <w:rtl/>
                <w:lang w:bidi="fa-IR"/>
              </w:rPr>
              <w:t xml:space="preserve"> </w:t>
            </w:r>
            <w:r w:rsidR="003235BF" w:rsidRPr="002A1249">
              <w:rPr>
                <w:rStyle w:val="Hyperlink"/>
                <w:rFonts w:hint="eastAsia"/>
                <w:noProof/>
                <w:rtl/>
                <w:lang w:bidi="fa-IR"/>
              </w:rPr>
              <w:t>الْمُؤْمِنِينَ</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lang w:bidi="fa-IR"/>
              </w:rPr>
              <w:t xml:space="preserve"> </w:t>
            </w:r>
            <w:r w:rsidR="003235BF" w:rsidRPr="002A1249">
              <w:rPr>
                <w:rStyle w:val="Hyperlink"/>
                <w:rFonts w:hint="eastAsia"/>
                <w:noProof/>
                <w:rtl/>
                <w:lang w:bidi="fa-IR"/>
              </w:rPr>
              <w:t>صَلَوَاتُ</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عَلَيْهِ‌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473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5" w:history="1">
            <w:r w:rsidR="003235BF" w:rsidRPr="002A1249">
              <w:rPr>
                <w:rStyle w:val="Hyperlink"/>
                <w:noProof/>
                <w:rtl/>
                <w:lang w:bidi="fa-IR"/>
              </w:rPr>
              <w:t xml:space="preserve">114 -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(9)</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الزَّهْرَاءِ</w:t>
            </w:r>
            <w:r w:rsidR="003235BF" w:rsidRPr="002A1249">
              <w:rPr>
                <w:rStyle w:val="Hyperlink"/>
                <w:noProof/>
                <w:rtl/>
                <w:lang w:bidi="fa-IR"/>
              </w:rPr>
              <w:t xml:space="preserve"> </w:t>
            </w:r>
            <w:r w:rsidR="003235BF" w:rsidRPr="002A1249">
              <w:rPr>
                <w:rStyle w:val="Hyperlink"/>
                <w:rFonts w:hint="eastAsia"/>
                <w:noProof/>
                <w:rtl/>
                <w:lang w:bidi="fa-IR"/>
              </w:rPr>
              <w:t>فَاطِمَةَ</w:t>
            </w:r>
            <w:r w:rsidR="003235BF" w:rsidRPr="002A1249">
              <w:rPr>
                <w:rStyle w:val="Hyperlink"/>
                <w:noProof/>
                <w:rtl/>
                <w:lang w:bidi="fa-IR"/>
              </w:rPr>
              <w:t xml:space="preserve"> </w:t>
            </w:r>
            <w:r w:rsidR="003235BF" w:rsidRPr="002A1249">
              <w:rPr>
                <w:rStyle w:val="Hyperlink"/>
                <w:noProof/>
                <w:vertAlign w:val="superscript"/>
                <w:rtl/>
              </w:rPr>
              <w:t>(10)</w:t>
            </w:r>
            <w:r w:rsidR="003235BF" w:rsidRPr="002A1249">
              <w:rPr>
                <w:rStyle w:val="Hyperlink"/>
                <w:noProof/>
                <w:rtl/>
              </w:rPr>
              <w:t xml:space="preserve"> </w:t>
            </w:r>
            <w:r w:rsidR="003235BF" w:rsidRPr="002A1249">
              <w:rPr>
                <w:rStyle w:val="Hyperlink"/>
                <w:rFonts w:cs="Rafed Alaem" w:hint="eastAsia"/>
                <w:noProof/>
                <w:rtl/>
              </w:rPr>
              <w:t>عليها‌السلام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488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6" w:history="1">
            <w:r w:rsidR="003235BF" w:rsidRPr="002A1249">
              <w:rPr>
                <w:rStyle w:val="Hyperlink"/>
                <w:noProof/>
                <w:rtl/>
                <w:lang w:bidi="fa-IR"/>
              </w:rPr>
              <w:t xml:space="preserve">115 -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hint="eastAsia"/>
                <w:noProof/>
                <w:rtl/>
                <w:lang w:bidi="fa-IR"/>
              </w:rPr>
              <w:t>صَلَوَاتُ</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عَلَيْهِمَا‌</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499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7" w:history="1">
            <w:r w:rsidR="003235BF" w:rsidRPr="002A1249">
              <w:rPr>
                <w:rStyle w:val="Hyperlink"/>
                <w:noProof/>
                <w:rtl/>
                <w:lang w:bidi="fa-IR"/>
              </w:rPr>
              <w:t xml:space="preserve">116 -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الْحُسَيْنِ</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cs="Rafed Alaem" w:hint="eastAsia"/>
                <w:noProof/>
                <w:rtl/>
              </w:rPr>
              <w:t>عليهما‌السلام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505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8" w:history="1">
            <w:r w:rsidR="003235BF" w:rsidRPr="002A1249">
              <w:rPr>
                <w:rStyle w:val="Hyperlink"/>
                <w:noProof/>
                <w:rtl/>
                <w:lang w:bidi="fa-IR"/>
              </w:rPr>
              <w:t xml:space="preserve">117 -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(9)</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الْحُسَيْنِ</w:t>
            </w:r>
            <w:r w:rsidR="003235BF" w:rsidRPr="002A1249">
              <w:rPr>
                <w:rStyle w:val="Hyperlink"/>
                <w:noProof/>
                <w:rtl/>
                <w:lang w:bidi="fa-IR"/>
              </w:rPr>
              <w:t xml:space="preserve"> </w:t>
            </w:r>
            <w:r w:rsidR="003235BF" w:rsidRPr="002A1249">
              <w:rPr>
                <w:rStyle w:val="Hyperlink"/>
                <w:rFonts w:cs="Rafed Alaem" w:hint="eastAsia"/>
                <w:noProof/>
                <w:rtl/>
              </w:rPr>
              <w:t>عليهما‌السلام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512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29" w:history="1">
            <w:r w:rsidR="003235BF" w:rsidRPr="002A1249">
              <w:rPr>
                <w:rStyle w:val="Hyperlink"/>
                <w:noProof/>
                <w:rtl/>
                <w:lang w:bidi="fa-IR"/>
              </w:rPr>
              <w:t xml:space="preserve">118 -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جَعْفَرٍ</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Toc34663129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520</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0" w:history="1">
            <w:r w:rsidR="003235BF" w:rsidRPr="002A1249">
              <w:rPr>
                <w:rStyle w:val="Hyperlink"/>
                <w:noProof/>
                <w:rtl/>
                <w:lang w:bidi="fa-IR"/>
              </w:rPr>
              <w:t xml:space="preserve">119 -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عَبْدِ</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جَعْفَرِ</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noProof/>
                <w:vertAlign w:val="superscript"/>
                <w:rtl/>
              </w:rPr>
              <w:t>(5)</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528</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1" w:history="1">
            <w:r w:rsidR="003235BF" w:rsidRPr="002A1249">
              <w:rPr>
                <w:rStyle w:val="Hyperlink"/>
                <w:noProof/>
                <w:rtl/>
                <w:lang w:bidi="fa-IR"/>
              </w:rPr>
              <w:t xml:space="preserve">120 -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مُوسَى</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جَعْفَرٍ</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lang w:bidi="fa-IR"/>
              </w:rPr>
              <w:t xml:space="preserve"> </w:t>
            </w:r>
            <w:r w:rsidR="003235BF" w:rsidRPr="002A1249">
              <w:rPr>
                <w:rStyle w:val="Hyperlink"/>
                <w:rFonts w:cs="Rafed Alaem" w:hint="eastAsia"/>
                <w:noProof/>
                <w:rtl/>
              </w:rPr>
              <w:t>عليهما‌السلام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539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2" w:history="1">
            <w:r w:rsidR="003235BF" w:rsidRPr="002A1249">
              <w:rPr>
                <w:rStyle w:val="Hyperlink"/>
                <w:noProof/>
                <w:rtl/>
                <w:lang w:bidi="fa-IR"/>
              </w:rPr>
              <w:t xml:space="preserve">121 -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(3)</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الرِّضَا</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566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3" w:history="1">
            <w:r w:rsidR="003235BF" w:rsidRPr="002A1249">
              <w:rPr>
                <w:rStyle w:val="Hyperlink"/>
                <w:noProof/>
                <w:rtl/>
                <w:lang w:bidi="fa-IR"/>
              </w:rPr>
              <w:t xml:space="preserve">122 -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(9)</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جَعْفَرٍ</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noProof/>
                <w:vertAlign w:val="superscript"/>
                <w:rtl/>
              </w:rPr>
              <w:t>(10)</w:t>
            </w:r>
            <w:r w:rsidR="003235BF" w:rsidRPr="002A1249">
              <w:rPr>
                <w:rStyle w:val="Hyperlink"/>
                <w:noProof/>
                <w:rtl/>
                <w:lang w:bidi="fa-IR"/>
              </w:rPr>
              <w:t xml:space="preserve"> </w:t>
            </w:r>
            <w:r w:rsidR="003235BF" w:rsidRPr="002A1249">
              <w:rPr>
                <w:rStyle w:val="Hyperlink"/>
                <w:rFonts w:hint="eastAsia"/>
                <w:noProof/>
                <w:rtl/>
                <w:lang w:bidi="fa-IR"/>
              </w:rPr>
              <w:t>الثَّانِي</w:t>
            </w:r>
            <w:r w:rsidR="003235BF" w:rsidRPr="002A1249">
              <w:rPr>
                <w:rStyle w:val="Hyperlink"/>
                <w:noProof/>
                <w:rtl/>
                <w:lang w:bidi="fa-IR"/>
              </w:rPr>
              <w:t xml:space="preserve"> </w:t>
            </w:r>
            <w:r w:rsidR="003235BF" w:rsidRPr="002A1249">
              <w:rPr>
                <w:rStyle w:val="Hyperlink"/>
                <w:noProof/>
                <w:vertAlign w:val="superscript"/>
                <w:rtl/>
              </w:rPr>
              <w:t>(11)</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582</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4" w:history="1">
            <w:r w:rsidR="003235BF" w:rsidRPr="002A1249">
              <w:rPr>
                <w:rStyle w:val="Hyperlink"/>
                <w:noProof/>
                <w:rtl/>
                <w:lang w:bidi="fa-IR"/>
              </w:rPr>
              <w:t xml:space="preserve">123 -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(3)</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noProof/>
                <w:vertAlign w:val="superscript"/>
                <w:rtl/>
              </w:rPr>
              <w:t>(4)</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597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5" w:history="1">
            <w:r w:rsidR="003235BF" w:rsidRPr="002A1249">
              <w:rPr>
                <w:rStyle w:val="Hyperlink"/>
                <w:rFonts w:cs="Rafed Alaem" w:hint="eastAsia"/>
                <w:noProof/>
                <w:rtl/>
              </w:rPr>
              <w:t>عليهما‌السلام</w:t>
            </w:r>
            <w:r w:rsidR="003235BF" w:rsidRPr="002A1249">
              <w:rPr>
                <w:rStyle w:val="Hyperlink"/>
                <w:noProof/>
                <w:rtl/>
                <w:lang w:bidi="fa-IR"/>
              </w:rPr>
              <w:t xml:space="preserve"> </w:t>
            </w:r>
            <w:r w:rsidR="003235BF" w:rsidRPr="002A1249">
              <w:rPr>
                <w:rStyle w:val="Hyperlink"/>
                <w:rFonts w:hint="eastAsia"/>
                <w:noProof/>
                <w:rtl/>
                <w:lang w:bidi="fa-IR"/>
              </w:rPr>
              <w:t>والرِّضْوَانُ</w:t>
            </w:r>
            <w:r w:rsidR="003235BF" w:rsidRPr="002A1249">
              <w:rPr>
                <w:rStyle w:val="Hyperlink"/>
                <w:noProof/>
                <w:rtl/>
                <w:lang w:bidi="fa-IR"/>
              </w:rPr>
              <w:t xml:space="preserve"> </w:t>
            </w:r>
            <w:r w:rsidR="003235BF" w:rsidRPr="002A1249">
              <w:rPr>
                <w:rStyle w:val="Hyperlink"/>
                <w:noProof/>
                <w:vertAlign w:val="superscript"/>
                <w:rtl/>
              </w:rPr>
              <w:t>(5)</w:t>
            </w:r>
            <w:r w:rsidR="003235BF" w:rsidRPr="002A1249">
              <w:rPr>
                <w:rStyle w:val="Hyperlink"/>
                <w:noProof/>
                <w:rtl/>
                <w:lang w:bidi="fa-IR"/>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Toc34663135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597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6" w:history="1">
            <w:r w:rsidR="003235BF" w:rsidRPr="002A1249">
              <w:rPr>
                <w:rStyle w:val="Hyperlink"/>
                <w:noProof/>
                <w:rtl/>
                <w:lang w:bidi="fa-IR"/>
              </w:rPr>
              <w:t xml:space="preserve">124 -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أَبِي</w:t>
            </w:r>
            <w:r w:rsidR="003235BF" w:rsidRPr="002A1249">
              <w:rPr>
                <w:rStyle w:val="Hyperlink"/>
                <w:noProof/>
                <w:rtl/>
                <w:lang w:bidi="fa-IR"/>
              </w:rPr>
              <w:t xml:space="preserve"> </w:t>
            </w:r>
            <w:r w:rsidR="003235BF" w:rsidRPr="002A1249">
              <w:rPr>
                <w:rStyle w:val="Hyperlink"/>
                <w:rFonts w:hint="eastAsia"/>
                <w:noProof/>
                <w:rtl/>
                <w:lang w:bidi="fa-IR"/>
              </w:rPr>
              <w:t>مُحَمَّدٍ</w:t>
            </w:r>
            <w:r w:rsidR="003235BF" w:rsidRPr="002A1249">
              <w:rPr>
                <w:rStyle w:val="Hyperlink"/>
                <w:noProof/>
                <w:rtl/>
                <w:lang w:bidi="fa-IR"/>
              </w:rPr>
              <w:t xml:space="preserve"> </w:t>
            </w:r>
            <w:r w:rsidR="003235BF" w:rsidRPr="002A1249">
              <w:rPr>
                <w:rStyle w:val="Hyperlink"/>
                <w:rFonts w:hint="eastAsia"/>
                <w:noProof/>
                <w:rtl/>
                <w:lang w:bidi="fa-IR"/>
              </w:rPr>
              <w:t>الْحَسَنِ</w:t>
            </w:r>
            <w:r w:rsidR="003235BF" w:rsidRPr="002A1249">
              <w:rPr>
                <w:rStyle w:val="Hyperlink"/>
                <w:noProof/>
                <w:rtl/>
                <w:lang w:bidi="fa-IR"/>
              </w:rPr>
              <w:t xml:space="preserve"> </w:t>
            </w:r>
            <w:r w:rsidR="003235BF" w:rsidRPr="002A1249">
              <w:rPr>
                <w:rStyle w:val="Hyperlink"/>
                <w:rFonts w:hint="eastAsia"/>
                <w:noProof/>
                <w:rtl/>
                <w:lang w:bidi="fa-IR"/>
              </w:rPr>
              <w:t>بْنِ</w:t>
            </w:r>
            <w:r w:rsidR="003235BF" w:rsidRPr="002A1249">
              <w:rPr>
                <w:rStyle w:val="Hyperlink"/>
                <w:noProof/>
                <w:rtl/>
                <w:lang w:bidi="fa-IR"/>
              </w:rPr>
              <w:t xml:space="preserve"> </w:t>
            </w:r>
            <w:r w:rsidR="003235BF" w:rsidRPr="002A1249">
              <w:rPr>
                <w:rStyle w:val="Hyperlink"/>
                <w:rFonts w:hint="eastAsia"/>
                <w:noProof/>
                <w:rtl/>
                <w:lang w:bidi="fa-IR"/>
              </w:rPr>
              <w:t>عَلِيٍّ</w:t>
            </w:r>
            <w:r w:rsidR="003235BF" w:rsidRPr="002A1249">
              <w:rPr>
                <w:rStyle w:val="Hyperlink"/>
                <w:noProof/>
                <w:rtl/>
                <w:lang w:bidi="fa-IR"/>
              </w:rPr>
              <w:t xml:space="preserve"> </w:t>
            </w:r>
            <w:r w:rsidR="003235BF" w:rsidRPr="002A1249">
              <w:rPr>
                <w:rStyle w:val="Hyperlink"/>
                <w:rFonts w:cs="Rafed Alaem" w:hint="eastAsia"/>
                <w:noProof/>
                <w:rtl/>
              </w:rPr>
              <w:t>عليهما‌السلام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Toc34663136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613</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7" w:history="1">
            <w:r w:rsidR="003235BF" w:rsidRPr="002A1249">
              <w:rPr>
                <w:rStyle w:val="Hyperlink"/>
                <w:noProof/>
                <w:rtl/>
                <w:lang w:bidi="fa-IR"/>
              </w:rPr>
              <w:t xml:space="preserve">125 -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(4)</w:t>
            </w:r>
            <w:r w:rsidR="003235BF" w:rsidRPr="002A1249">
              <w:rPr>
                <w:rStyle w:val="Hyperlink"/>
                <w:noProof/>
                <w:rtl/>
                <w:lang w:bidi="fa-IR"/>
              </w:rPr>
              <w:t xml:space="preserve"> </w:t>
            </w:r>
            <w:r w:rsidR="003235BF" w:rsidRPr="002A1249">
              <w:rPr>
                <w:rStyle w:val="Hyperlink"/>
                <w:rFonts w:hint="eastAsia"/>
                <w:noProof/>
                <w:rtl/>
                <w:lang w:bidi="fa-IR"/>
              </w:rPr>
              <w:t>مَوْلِدِ</w:t>
            </w:r>
            <w:r w:rsidR="003235BF" w:rsidRPr="002A1249">
              <w:rPr>
                <w:rStyle w:val="Hyperlink"/>
                <w:noProof/>
                <w:rtl/>
                <w:lang w:bidi="fa-IR"/>
              </w:rPr>
              <w:t xml:space="preserve"> </w:t>
            </w:r>
            <w:r w:rsidR="003235BF" w:rsidRPr="002A1249">
              <w:rPr>
                <w:rStyle w:val="Hyperlink"/>
                <w:rFonts w:hint="eastAsia"/>
                <w:noProof/>
                <w:rtl/>
                <w:lang w:bidi="fa-IR"/>
              </w:rPr>
              <w:t>الصَّاحِبِ</w:t>
            </w:r>
            <w:r w:rsidR="003235BF" w:rsidRPr="002A1249">
              <w:rPr>
                <w:rStyle w:val="Hyperlink"/>
                <w:noProof/>
                <w:rtl/>
                <w:lang w:bidi="fa-IR"/>
              </w:rPr>
              <w:t xml:space="preserve"> </w:t>
            </w:r>
            <w:r w:rsidR="003235BF" w:rsidRPr="002A1249">
              <w:rPr>
                <w:rStyle w:val="Hyperlink"/>
                <w:noProof/>
                <w:vertAlign w:val="superscript"/>
                <w:rtl/>
              </w:rPr>
              <w:t>(5)</w:t>
            </w:r>
            <w:r w:rsidR="003235BF" w:rsidRPr="002A1249">
              <w:rPr>
                <w:rStyle w:val="Hyperlink"/>
                <w:noProof/>
                <w:rtl/>
                <w:lang w:bidi="fa-IR"/>
              </w:rPr>
              <w:t xml:space="preserve"> </w:t>
            </w:r>
            <w:r w:rsidR="003235BF" w:rsidRPr="002A1249">
              <w:rPr>
                <w:rStyle w:val="Hyperlink"/>
                <w:rFonts w:cs="Rafed Alaem" w:hint="eastAsia"/>
                <w:noProof/>
                <w:rtl/>
              </w:rPr>
              <w:t>عليه‌السلام</w:t>
            </w:r>
            <w:r w:rsidR="003235BF" w:rsidRPr="002A1249">
              <w:rPr>
                <w:rStyle w:val="Hyperlink"/>
                <w:rFonts w:hint="eastAsia"/>
                <w:noProof/>
                <w:lang w:bidi="fa-IR"/>
              </w:rPr>
              <w:t>‌</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Toc34663137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645</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8" w:history="1">
            <w:r w:rsidR="003235BF" w:rsidRPr="002A1249">
              <w:rPr>
                <w:rStyle w:val="Hyperlink"/>
                <w:noProof/>
                <w:rtl/>
                <w:lang w:bidi="fa-IR"/>
              </w:rPr>
              <w:t xml:space="preserve">126 -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(9)</w:t>
            </w:r>
            <w:r w:rsidR="003235BF" w:rsidRPr="002A1249">
              <w:rPr>
                <w:rStyle w:val="Hyperlink"/>
                <w:noProof/>
                <w:rtl/>
                <w:lang w:bidi="fa-IR"/>
              </w:rPr>
              <w:t xml:space="preserve"> </w:t>
            </w:r>
            <w:r w:rsidR="003235BF" w:rsidRPr="002A1249">
              <w:rPr>
                <w:rStyle w:val="Hyperlink"/>
                <w:rFonts w:hint="eastAsia"/>
                <w:noProof/>
                <w:rtl/>
                <w:lang w:bidi="fa-IR"/>
              </w:rPr>
              <w:t>مَا</w:t>
            </w:r>
            <w:r w:rsidR="003235BF" w:rsidRPr="002A1249">
              <w:rPr>
                <w:rStyle w:val="Hyperlink"/>
                <w:noProof/>
                <w:rtl/>
                <w:lang w:bidi="fa-IR"/>
              </w:rPr>
              <w:t xml:space="preserve"> </w:t>
            </w:r>
            <w:r w:rsidR="003235BF" w:rsidRPr="002A1249">
              <w:rPr>
                <w:rStyle w:val="Hyperlink"/>
                <w:rFonts w:hint="eastAsia"/>
                <w:noProof/>
                <w:rtl/>
                <w:lang w:bidi="fa-IR"/>
              </w:rPr>
              <w:t>جَاءَ</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الِاثْنَيْ</w:t>
            </w:r>
            <w:r w:rsidR="003235BF" w:rsidRPr="002A1249">
              <w:rPr>
                <w:rStyle w:val="Hyperlink"/>
                <w:noProof/>
                <w:rtl/>
                <w:lang w:bidi="fa-IR"/>
              </w:rPr>
              <w:t xml:space="preserve"> </w:t>
            </w:r>
            <w:r w:rsidR="003235BF" w:rsidRPr="002A1249">
              <w:rPr>
                <w:rStyle w:val="Hyperlink"/>
                <w:rFonts w:hint="eastAsia"/>
                <w:noProof/>
                <w:rtl/>
                <w:lang w:bidi="fa-IR"/>
              </w:rPr>
              <w:t>عَشَرَ</w:t>
            </w:r>
            <w:r w:rsidR="003235BF" w:rsidRPr="002A1249">
              <w:rPr>
                <w:rStyle w:val="Hyperlink"/>
                <w:noProof/>
                <w:rtl/>
                <w:lang w:bidi="fa-IR"/>
              </w:rPr>
              <w:t xml:space="preserve"> </w:t>
            </w:r>
            <w:r w:rsidR="003235BF" w:rsidRPr="002A1249">
              <w:rPr>
                <w:rStyle w:val="Hyperlink"/>
                <w:rFonts w:hint="eastAsia"/>
                <w:noProof/>
                <w:rtl/>
                <w:lang w:bidi="fa-IR"/>
              </w:rPr>
              <w:t>وَالنَّصِّ</w:t>
            </w:r>
            <w:r w:rsidR="003235BF" w:rsidRPr="002A1249">
              <w:rPr>
                <w:rStyle w:val="Hyperlink"/>
                <w:noProof/>
                <w:rtl/>
                <w:lang w:bidi="fa-IR"/>
              </w:rPr>
              <w:t xml:space="preserve"> </w:t>
            </w:r>
            <w:r w:rsidR="003235BF" w:rsidRPr="002A1249">
              <w:rPr>
                <w:rStyle w:val="Hyperlink"/>
                <w:rFonts w:hint="eastAsia"/>
                <w:noProof/>
                <w:rtl/>
                <w:lang w:bidi="fa-IR"/>
              </w:rPr>
              <w:t>عَلَيْهِمْ</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noProof/>
                <w:rtl/>
                <w:lang w:bidi="fa-IR"/>
              </w:rPr>
              <w:t xml:space="preserve"> </w:t>
            </w:r>
            <w:r w:rsidR="003235BF" w:rsidRPr="002A1249">
              <w:rPr>
                <w:rStyle w:val="Hyperlink"/>
                <w:noProof/>
                <w:vertAlign w:val="superscript"/>
                <w:rtl/>
              </w:rPr>
              <w:t>(10)</w:t>
            </w:r>
            <w:r w:rsidR="003235BF" w:rsidRPr="002A1249">
              <w:rPr>
                <w:rStyle w:val="Hyperlink"/>
                <w:noProof/>
                <w:rtl/>
                <w:lang w:bidi="fa-IR"/>
              </w:rPr>
              <w:t xml:space="preserve"> ‌</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Toc34663138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677</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39" w:history="1">
            <w:r w:rsidR="003235BF" w:rsidRPr="002A1249">
              <w:rPr>
                <w:rStyle w:val="Hyperlink"/>
                <w:noProof/>
                <w:rtl/>
                <w:lang w:bidi="fa-IR"/>
              </w:rPr>
              <w:t xml:space="preserve">127 -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(12)</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أَنَّهُ</w:t>
            </w:r>
            <w:r w:rsidR="003235BF" w:rsidRPr="002A1249">
              <w:rPr>
                <w:rStyle w:val="Hyperlink"/>
                <w:noProof/>
                <w:rtl/>
                <w:lang w:bidi="fa-IR"/>
              </w:rPr>
              <w:t xml:space="preserve"> </w:t>
            </w:r>
            <w:r w:rsidR="003235BF" w:rsidRPr="002A1249">
              <w:rPr>
                <w:rStyle w:val="Hyperlink"/>
                <w:rFonts w:hint="eastAsia"/>
                <w:noProof/>
                <w:rtl/>
                <w:lang w:bidi="fa-IR"/>
              </w:rPr>
              <w:t>إِذَا</w:t>
            </w:r>
            <w:r w:rsidR="003235BF" w:rsidRPr="002A1249">
              <w:rPr>
                <w:rStyle w:val="Hyperlink"/>
                <w:noProof/>
                <w:rtl/>
                <w:lang w:bidi="fa-IR"/>
              </w:rPr>
              <w:t xml:space="preserve"> </w:t>
            </w:r>
            <w:r w:rsidR="003235BF" w:rsidRPr="002A1249">
              <w:rPr>
                <w:rStyle w:val="Hyperlink"/>
                <w:rFonts w:hint="eastAsia"/>
                <w:noProof/>
                <w:rtl/>
                <w:lang w:bidi="fa-IR"/>
              </w:rPr>
              <w:t>قِيلَ</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الرَّجُلِ</w:t>
            </w:r>
            <w:r w:rsidR="003235BF" w:rsidRPr="002A1249">
              <w:rPr>
                <w:rStyle w:val="Hyperlink"/>
                <w:noProof/>
                <w:rtl/>
                <w:lang w:bidi="fa-IR"/>
              </w:rPr>
              <w:t xml:space="preserve"> </w:t>
            </w:r>
            <w:r w:rsidR="003235BF" w:rsidRPr="002A1249">
              <w:rPr>
                <w:rStyle w:val="Hyperlink"/>
                <w:rFonts w:hint="eastAsia"/>
                <w:noProof/>
                <w:rtl/>
                <w:lang w:bidi="fa-IR"/>
              </w:rPr>
              <w:t>شَيْ‌ءٌ</w:t>
            </w:r>
            <w:r w:rsidR="003235BF" w:rsidRPr="002A1249">
              <w:rPr>
                <w:rStyle w:val="Hyperlink"/>
                <w:noProof/>
                <w:rtl/>
                <w:lang w:bidi="fa-IR"/>
              </w:rPr>
              <w:t xml:space="preserve"> </w:t>
            </w:r>
            <w:r w:rsidR="003235BF" w:rsidRPr="002A1249">
              <w:rPr>
                <w:rStyle w:val="Hyperlink"/>
                <w:rFonts w:hint="eastAsia"/>
                <w:noProof/>
                <w:rtl/>
                <w:lang w:bidi="fa-IR"/>
              </w:rPr>
              <w:t>فَلَمْ</w:t>
            </w:r>
            <w:r w:rsidR="003235BF" w:rsidRPr="002A1249">
              <w:rPr>
                <w:rStyle w:val="Hyperlink"/>
                <w:noProof/>
                <w:rtl/>
                <w:lang w:bidi="fa-IR"/>
              </w:rPr>
              <w:t xml:space="preserve"> </w:t>
            </w:r>
            <w:r w:rsidR="003235BF" w:rsidRPr="002A1249">
              <w:rPr>
                <w:rStyle w:val="Hyperlink"/>
                <w:rFonts w:hint="eastAsia"/>
                <w:noProof/>
                <w:rtl/>
                <w:lang w:bidi="fa-IR"/>
              </w:rPr>
              <w:t>يَكُنْ</w:t>
            </w:r>
            <w:r w:rsidR="003235BF" w:rsidRPr="002A1249">
              <w:rPr>
                <w:rStyle w:val="Hyperlink"/>
                <w:noProof/>
                <w:rtl/>
                <w:lang w:bidi="fa-IR"/>
              </w:rPr>
              <w:t xml:space="preserve"> </w:t>
            </w:r>
            <w:r w:rsidR="003235BF" w:rsidRPr="002A1249">
              <w:rPr>
                <w:rStyle w:val="Hyperlink"/>
                <w:rFonts w:hint="eastAsia"/>
                <w:noProof/>
                <w:rtl/>
                <w:lang w:bidi="fa-IR"/>
              </w:rPr>
              <w:t>فِيهِ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Toc34663139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706</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40" w:history="1">
            <w:r w:rsidR="003235BF" w:rsidRPr="002A1249">
              <w:rPr>
                <w:rStyle w:val="Hyperlink"/>
                <w:rFonts w:hint="eastAsia"/>
                <w:noProof/>
                <w:rtl/>
                <w:lang w:bidi="fa-IR"/>
              </w:rPr>
              <w:t>وَكَانَ</w:t>
            </w:r>
            <w:r w:rsidR="003235BF" w:rsidRPr="002A1249">
              <w:rPr>
                <w:rStyle w:val="Hyperlink"/>
                <w:noProof/>
                <w:rtl/>
                <w:lang w:bidi="fa-IR"/>
              </w:rPr>
              <w:t xml:space="preserve"> </w:t>
            </w:r>
            <w:r w:rsidR="003235BF" w:rsidRPr="002A1249">
              <w:rPr>
                <w:rStyle w:val="Hyperlink"/>
                <w:rFonts w:hint="eastAsia"/>
                <w:noProof/>
                <w:rtl/>
                <w:lang w:bidi="fa-IR"/>
              </w:rPr>
              <w:t>فِي</w:t>
            </w:r>
            <w:r w:rsidR="003235BF" w:rsidRPr="002A1249">
              <w:rPr>
                <w:rStyle w:val="Hyperlink"/>
                <w:noProof/>
                <w:rtl/>
                <w:lang w:bidi="fa-IR"/>
              </w:rPr>
              <w:t xml:space="preserve"> </w:t>
            </w:r>
            <w:r w:rsidR="003235BF" w:rsidRPr="002A1249">
              <w:rPr>
                <w:rStyle w:val="Hyperlink"/>
                <w:rFonts w:hint="eastAsia"/>
                <w:noProof/>
                <w:rtl/>
                <w:lang w:bidi="fa-IR"/>
              </w:rPr>
              <w:t>وَلَدِهِ</w:t>
            </w:r>
            <w:r w:rsidR="003235BF" w:rsidRPr="002A1249">
              <w:rPr>
                <w:rStyle w:val="Hyperlink"/>
                <w:noProof/>
                <w:rtl/>
                <w:lang w:bidi="fa-IR"/>
              </w:rPr>
              <w:t xml:space="preserve"> </w:t>
            </w:r>
            <w:r w:rsidR="003235BF" w:rsidRPr="002A1249">
              <w:rPr>
                <w:rStyle w:val="Hyperlink"/>
                <w:rFonts w:hint="eastAsia"/>
                <w:noProof/>
                <w:rtl/>
                <w:lang w:bidi="fa-IR"/>
              </w:rPr>
              <w:t>أَوْ</w:t>
            </w:r>
            <w:r w:rsidR="003235BF" w:rsidRPr="002A1249">
              <w:rPr>
                <w:rStyle w:val="Hyperlink"/>
                <w:noProof/>
                <w:rtl/>
                <w:lang w:bidi="fa-IR"/>
              </w:rPr>
              <w:t xml:space="preserve"> </w:t>
            </w:r>
            <w:r w:rsidR="003235BF" w:rsidRPr="002A1249">
              <w:rPr>
                <w:rStyle w:val="Hyperlink"/>
                <w:rFonts w:hint="eastAsia"/>
                <w:noProof/>
                <w:rtl/>
                <w:lang w:bidi="fa-IR"/>
              </w:rPr>
              <w:t>وَلَدِ</w:t>
            </w:r>
            <w:r w:rsidR="003235BF" w:rsidRPr="002A1249">
              <w:rPr>
                <w:rStyle w:val="Hyperlink"/>
                <w:noProof/>
                <w:rtl/>
                <w:lang w:bidi="fa-IR"/>
              </w:rPr>
              <w:t xml:space="preserve"> </w:t>
            </w:r>
            <w:r w:rsidR="003235BF" w:rsidRPr="002A1249">
              <w:rPr>
                <w:rStyle w:val="Hyperlink"/>
                <w:rFonts w:hint="eastAsia"/>
                <w:noProof/>
                <w:rtl/>
                <w:lang w:bidi="fa-IR"/>
              </w:rPr>
              <w:t>وَلَدِهِ</w:t>
            </w:r>
            <w:r w:rsidR="003235BF" w:rsidRPr="002A1249">
              <w:rPr>
                <w:rStyle w:val="Hyperlink"/>
                <w:noProof/>
                <w:rtl/>
                <w:lang w:bidi="fa-IR"/>
              </w:rPr>
              <w:t xml:space="preserve"> </w:t>
            </w:r>
            <w:r w:rsidR="003235BF" w:rsidRPr="002A1249">
              <w:rPr>
                <w:rStyle w:val="Hyperlink"/>
                <w:rFonts w:hint="eastAsia"/>
                <w:noProof/>
                <w:rtl/>
                <w:lang w:bidi="fa-IR"/>
              </w:rPr>
              <w:t>فَإِنَّهُ</w:t>
            </w:r>
            <w:r w:rsidR="003235BF" w:rsidRPr="002A1249">
              <w:rPr>
                <w:rStyle w:val="Hyperlink"/>
                <w:noProof/>
                <w:rtl/>
                <w:lang w:bidi="fa-IR"/>
              </w:rPr>
              <w:t xml:space="preserve"> </w:t>
            </w:r>
            <w:r w:rsidR="003235BF" w:rsidRPr="002A1249">
              <w:rPr>
                <w:rStyle w:val="Hyperlink"/>
                <w:rFonts w:hint="eastAsia"/>
                <w:noProof/>
                <w:rtl/>
                <w:lang w:bidi="fa-IR"/>
              </w:rPr>
              <w:t>هُوَ</w:t>
            </w:r>
            <w:r w:rsidR="003235BF" w:rsidRPr="002A1249">
              <w:rPr>
                <w:rStyle w:val="Hyperlink"/>
                <w:noProof/>
                <w:rtl/>
                <w:lang w:bidi="fa-IR"/>
              </w:rPr>
              <w:t xml:space="preserve"> </w:t>
            </w:r>
            <w:r w:rsidR="003235BF" w:rsidRPr="002A1249">
              <w:rPr>
                <w:rStyle w:val="Hyperlink"/>
                <w:rFonts w:hint="eastAsia"/>
                <w:noProof/>
                <w:rtl/>
                <w:lang w:bidi="fa-IR"/>
              </w:rPr>
              <w:t>الَّذِي</w:t>
            </w:r>
            <w:r w:rsidR="003235BF" w:rsidRPr="002A1249">
              <w:rPr>
                <w:rStyle w:val="Hyperlink"/>
                <w:noProof/>
                <w:rtl/>
                <w:lang w:bidi="fa-IR"/>
              </w:rPr>
              <w:t xml:space="preserve"> </w:t>
            </w:r>
            <w:r w:rsidR="003235BF" w:rsidRPr="002A1249">
              <w:rPr>
                <w:rStyle w:val="Hyperlink"/>
                <w:rFonts w:hint="eastAsia"/>
                <w:noProof/>
                <w:rtl/>
                <w:lang w:bidi="fa-IR"/>
              </w:rPr>
              <w:t>قِيلَ</w:t>
            </w:r>
            <w:r w:rsidR="003235BF" w:rsidRPr="002A1249">
              <w:rPr>
                <w:rStyle w:val="Hyperlink"/>
                <w:noProof/>
                <w:rtl/>
                <w:lang w:bidi="fa-IR"/>
              </w:rPr>
              <w:t xml:space="preserve"> </w:t>
            </w:r>
            <w:r w:rsidR="003235BF" w:rsidRPr="002A1249">
              <w:rPr>
                <w:rStyle w:val="Hyperlink"/>
                <w:rFonts w:hint="eastAsia"/>
                <w:noProof/>
                <w:rtl/>
                <w:lang w:bidi="fa-IR"/>
              </w:rPr>
              <w:t>فِيهِ‌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Toc34663140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706</w:t>
            </w:r>
            <w:r w:rsidR="003235BF">
              <w:rPr>
                <w:noProof/>
                <w:webHidden/>
                <w:rtl/>
              </w:rPr>
              <w:fldChar w:fldCharType="end"/>
            </w:r>
          </w:hyperlink>
        </w:p>
        <w:p w:rsidR="003235BF" w:rsidRDefault="003235BF">
          <w:pPr>
            <w:bidi w:val="0"/>
            <w:ind w:firstLine="289"/>
            <w:rPr>
              <w:rStyle w:val="Hyperlink"/>
              <w:noProof/>
              <w:szCs w:val="32"/>
            </w:rPr>
          </w:pPr>
          <w:r>
            <w:rPr>
              <w:rStyle w:val="Hyperlink"/>
              <w:noProof/>
            </w:rPr>
            <w:br w:type="page"/>
          </w:r>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41" w:history="1">
            <w:r w:rsidR="003235BF" w:rsidRPr="002A1249">
              <w:rPr>
                <w:rStyle w:val="Hyperlink"/>
                <w:noProof/>
                <w:rtl/>
                <w:lang w:bidi="fa-IR"/>
              </w:rPr>
              <w:t xml:space="preserve">128 -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rPr>
              <w:t xml:space="preserve"> </w:t>
            </w:r>
            <w:r w:rsidR="003235BF" w:rsidRPr="002A1249">
              <w:rPr>
                <w:rStyle w:val="Hyperlink"/>
                <w:rFonts w:hint="eastAsia"/>
                <w:noProof/>
                <w:rtl/>
                <w:lang w:bidi="fa-IR"/>
              </w:rPr>
              <w:t>أَنَّ</w:t>
            </w:r>
            <w:r w:rsidR="003235BF" w:rsidRPr="002A1249">
              <w:rPr>
                <w:rStyle w:val="Hyperlink"/>
                <w:noProof/>
                <w:rtl/>
                <w:lang w:bidi="fa-IR"/>
              </w:rPr>
              <w:t xml:space="preserve"> </w:t>
            </w:r>
            <w:r w:rsidR="003235BF" w:rsidRPr="002A1249">
              <w:rPr>
                <w:rStyle w:val="Hyperlink"/>
                <w:rFonts w:hint="eastAsia"/>
                <w:noProof/>
                <w:rtl/>
                <w:lang w:bidi="fa-IR"/>
              </w:rPr>
              <w:t>الْأَئِمَّةَ</w:t>
            </w:r>
            <w:r w:rsidR="003235BF" w:rsidRPr="002A1249">
              <w:rPr>
                <w:rStyle w:val="Hyperlink"/>
                <w:noProof/>
                <w:rtl/>
                <w:lang w:bidi="fa-IR"/>
              </w:rPr>
              <w:t xml:space="preserve"> </w:t>
            </w:r>
            <w:r w:rsidR="003235BF" w:rsidRPr="002A1249">
              <w:rPr>
                <w:rStyle w:val="Hyperlink"/>
                <w:rFonts w:cs="Rafed Alaem" w:hint="eastAsia"/>
                <w:noProof/>
                <w:rtl/>
              </w:rPr>
              <w:t>عليهم‌السلام</w:t>
            </w:r>
            <w:r w:rsidR="003235BF" w:rsidRPr="002A1249">
              <w:rPr>
                <w:rStyle w:val="Hyperlink"/>
                <w:noProof/>
                <w:rtl/>
                <w:lang w:bidi="fa-IR"/>
              </w:rPr>
              <w:t xml:space="preserve"> </w:t>
            </w:r>
            <w:r w:rsidR="003235BF" w:rsidRPr="002A1249">
              <w:rPr>
                <w:rStyle w:val="Hyperlink"/>
                <w:noProof/>
                <w:vertAlign w:val="superscript"/>
                <w:rtl/>
              </w:rPr>
              <w:t>(2)</w:t>
            </w:r>
            <w:r w:rsidR="003235BF" w:rsidRPr="002A1249">
              <w:rPr>
                <w:rStyle w:val="Hyperlink"/>
                <w:noProof/>
                <w:rtl/>
              </w:rPr>
              <w:t xml:space="preserve"> </w:t>
            </w:r>
            <w:r w:rsidR="003235BF" w:rsidRPr="002A1249">
              <w:rPr>
                <w:rStyle w:val="Hyperlink"/>
                <w:rFonts w:hint="eastAsia"/>
                <w:noProof/>
                <w:rtl/>
                <w:lang w:bidi="fa-IR"/>
              </w:rPr>
              <w:t>كُلَّهُمْ</w:t>
            </w:r>
            <w:r w:rsidR="003235BF" w:rsidRPr="002A1249">
              <w:rPr>
                <w:rStyle w:val="Hyperlink"/>
                <w:noProof/>
                <w:rtl/>
                <w:lang w:bidi="fa-IR"/>
              </w:rPr>
              <w:t xml:space="preserve"> </w:t>
            </w:r>
            <w:r w:rsidR="003235BF" w:rsidRPr="002A1249">
              <w:rPr>
                <w:rStyle w:val="Hyperlink"/>
                <w:rFonts w:hint="eastAsia"/>
                <w:noProof/>
                <w:rtl/>
                <w:lang w:bidi="fa-IR"/>
              </w:rPr>
              <w:t>قَائِمُونَ</w:t>
            </w:r>
            <w:r w:rsidR="003235BF" w:rsidRPr="002A1249">
              <w:rPr>
                <w:rStyle w:val="Hyperlink"/>
                <w:noProof/>
                <w:rtl/>
                <w:lang w:bidi="fa-IR"/>
              </w:rPr>
              <w:t xml:space="preserve"> </w:t>
            </w:r>
            <w:r w:rsidR="003235BF" w:rsidRPr="002A1249">
              <w:rPr>
                <w:rStyle w:val="Hyperlink"/>
                <w:rFonts w:hint="eastAsia"/>
                <w:noProof/>
                <w:rtl/>
                <w:lang w:bidi="fa-IR"/>
              </w:rPr>
              <w:t>بِأَمْرِ</w:t>
            </w:r>
            <w:r w:rsidR="003235BF" w:rsidRPr="002A1249">
              <w:rPr>
                <w:rStyle w:val="Hyperlink"/>
                <w:noProof/>
                <w:rtl/>
                <w:lang w:bidi="fa-IR"/>
              </w:rPr>
              <w:t xml:space="preserve"> </w:t>
            </w:r>
            <w:r w:rsidR="003235BF" w:rsidRPr="002A1249">
              <w:rPr>
                <w:rStyle w:val="Hyperlink"/>
                <w:rFonts w:hint="eastAsia"/>
                <w:noProof/>
                <w:rtl/>
                <w:lang w:bidi="fa-IR"/>
              </w:rPr>
              <w:t>اللهِ</w:t>
            </w:r>
            <w:r w:rsidR="003235BF" w:rsidRPr="002A1249">
              <w:rPr>
                <w:rStyle w:val="Hyperlink"/>
                <w:noProof/>
                <w:rtl/>
                <w:lang w:bidi="fa-IR"/>
              </w:rPr>
              <w:t xml:space="preserve"> </w:t>
            </w:r>
            <w:r w:rsidR="003235BF" w:rsidRPr="002A1249">
              <w:rPr>
                <w:rStyle w:val="Hyperlink"/>
                <w:rFonts w:hint="eastAsia"/>
                <w:noProof/>
                <w:rtl/>
                <w:lang w:bidi="fa-IR"/>
              </w:rPr>
              <w:t>تَعَالى</w:t>
            </w:r>
            <w:r w:rsidR="003235BF" w:rsidRPr="002A1249">
              <w:rPr>
                <w:rStyle w:val="Hyperlink"/>
                <w:noProof/>
                <w:rtl/>
                <w:lang w:bidi="fa-IR"/>
              </w:rPr>
              <w:t xml:space="preserve"> </w:t>
            </w:r>
            <w:r w:rsidR="003235BF" w:rsidRPr="002A1249">
              <w:rPr>
                <w:rStyle w:val="Hyperlink"/>
                <w:rFonts w:hint="eastAsia"/>
                <w:noProof/>
                <w:rtl/>
                <w:lang w:bidi="fa-IR"/>
              </w:rPr>
              <w:t>هَادُونَ</w:t>
            </w:r>
            <w:r w:rsidR="003235BF" w:rsidRPr="002A1249">
              <w:rPr>
                <w:rStyle w:val="Hyperlink"/>
                <w:noProof/>
                <w:rtl/>
                <w:lang w:bidi="fa-IR"/>
              </w:rPr>
              <w:t xml:space="preserve"> </w:t>
            </w:r>
            <w:r w:rsidR="003235BF" w:rsidRPr="002A1249">
              <w:rPr>
                <w:rStyle w:val="Hyperlink"/>
                <w:rFonts w:hint="eastAsia"/>
                <w:noProof/>
                <w:rtl/>
                <w:lang w:bidi="fa-IR"/>
              </w:rPr>
              <w:t>إِلَيْهِ‌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Toc34663141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709</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42" w:history="1">
            <w:r w:rsidR="003235BF" w:rsidRPr="002A1249">
              <w:rPr>
                <w:rStyle w:val="Hyperlink"/>
                <w:noProof/>
                <w:rtl/>
                <w:lang w:bidi="fa-IR"/>
              </w:rPr>
              <w:t xml:space="preserve">129 -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rFonts w:hint="eastAsia"/>
                <w:noProof/>
                <w:rtl/>
                <w:lang w:bidi="fa-IR"/>
              </w:rPr>
              <w:t>صِلَةِ</w:t>
            </w:r>
            <w:r w:rsidR="003235BF" w:rsidRPr="002A1249">
              <w:rPr>
                <w:rStyle w:val="Hyperlink"/>
                <w:noProof/>
                <w:rtl/>
                <w:lang w:bidi="fa-IR"/>
              </w:rPr>
              <w:t xml:space="preserve"> </w:t>
            </w:r>
            <w:r w:rsidR="003235BF" w:rsidRPr="002A1249">
              <w:rPr>
                <w:rStyle w:val="Hyperlink"/>
                <w:rFonts w:hint="eastAsia"/>
                <w:noProof/>
                <w:rtl/>
                <w:lang w:bidi="fa-IR"/>
              </w:rPr>
              <w:t>الْإِمَامِ‌</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Toc34663142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711</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43" w:history="1">
            <w:r w:rsidR="003235BF" w:rsidRPr="002A1249">
              <w:rPr>
                <w:rStyle w:val="Hyperlink"/>
                <w:noProof/>
                <w:rtl/>
                <w:lang w:bidi="fa-IR"/>
              </w:rPr>
              <w:t xml:space="preserve">130 - </w:t>
            </w:r>
            <w:r w:rsidR="003235BF" w:rsidRPr="002A1249">
              <w:rPr>
                <w:rStyle w:val="Hyperlink"/>
                <w:rFonts w:hint="eastAsia"/>
                <w:noProof/>
                <w:rtl/>
                <w:lang w:bidi="fa-IR"/>
              </w:rPr>
              <w:t>بَابُ</w:t>
            </w:r>
            <w:r w:rsidR="003235BF" w:rsidRPr="002A1249">
              <w:rPr>
                <w:rStyle w:val="Hyperlink"/>
                <w:noProof/>
                <w:rtl/>
                <w:lang w:bidi="fa-IR"/>
              </w:rPr>
              <w:t xml:space="preserve"> </w:t>
            </w:r>
            <w:r w:rsidR="003235BF" w:rsidRPr="002A1249">
              <w:rPr>
                <w:rStyle w:val="Hyperlink"/>
                <w:noProof/>
                <w:vertAlign w:val="superscript"/>
                <w:rtl/>
              </w:rPr>
              <w:t>(1)</w:t>
            </w:r>
            <w:r w:rsidR="003235BF" w:rsidRPr="002A1249">
              <w:rPr>
                <w:rStyle w:val="Hyperlink"/>
                <w:noProof/>
                <w:rtl/>
                <w:lang w:bidi="fa-IR"/>
              </w:rPr>
              <w:t xml:space="preserve"> </w:t>
            </w:r>
            <w:r w:rsidR="003235BF" w:rsidRPr="002A1249">
              <w:rPr>
                <w:rStyle w:val="Hyperlink"/>
                <w:rFonts w:hint="eastAsia"/>
                <w:noProof/>
                <w:rtl/>
                <w:lang w:bidi="fa-IR"/>
              </w:rPr>
              <w:t>الْفَيْ‌ءِ</w:t>
            </w:r>
            <w:r w:rsidR="003235BF" w:rsidRPr="002A1249">
              <w:rPr>
                <w:rStyle w:val="Hyperlink"/>
                <w:noProof/>
                <w:rtl/>
                <w:lang w:bidi="fa-IR"/>
              </w:rPr>
              <w:t xml:space="preserve"> </w:t>
            </w:r>
            <w:r w:rsidR="003235BF" w:rsidRPr="002A1249">
              <w:rPr>
                <w:rStyle w:val="Hyperlink"/>
                <w:rFonts w:hint="eastAsia"/>
                <w:noProof/>
                <w:rtl/>
                <w:lang w:bidi="fa-IR"/>
              </w:rPr>
              <w:t>وَالْأَنْفَالِ</w:t>
            </w:r>
            <w:r w:rsidR="003235BF" w:rsidRPr="002A1249">
              <w:rPr>
                <w:rStyle w:val="Hyperlink"/>
                <w:noProof/>
                <w:rtl/>
                <w:lang w:bidi="fa-IR"/>
              </w:rPr>
              <w:t xml:space="preserve"> </w:t>
            </w:r>
            <w:r w:rsidR="003235BF" w:rsidRPr="002A1249">
              <w:rPr>
                <w:rStyle w:val="Hyperlink"/>
                <w:rFonts w:hint="eastAsia"/>
                <w:noProof/>
                <w:rtl/>
                <w:lang w:bidi="fa-IR"/>
              </w:rPr>
              <w:t>وَتَفْسِيرِ</w:t>
            </w:r>
            <w:r w:rsidR="003235BF" w:rsidRPr="002A1249">
              <w:rPr>
                <w:rStyle w:val="Hyperlink"/>
                <w:noProof/>
                <w:rtl/>
                <w:lang w:bidi="fa-IR"/>
              </w:rPr>
              <w:t xml:space="preserve"> </w:t>
            </w:r>
            <w:r w:rsidR="003235BF" w:rsidRPr="002A1249">
              <w:rPr>
                <w:rStyle w:val="Hyperlink"/>
                <w:rFonts w:hint="eastAsia"/>
                <w:noProof/>
                <w:rtl/>
                <w:lang w:bidi="fa-IR"/>
              </w:rPr>
              <w:t>الْخُمُسِ</w:t>
            </w:r>
            <w:r w:rsidR="003235BF" w:rsidRPr="002A1249">
              <w:rPr>
                <w:rStyle w:val="Hyperlink"/>
                <w:noProof/>
                <w:rtl/>
                <w:lang w:bidi="fa-IR"/>
              </w:rPr>
              <w:t xml:space="preserve"> </w:t>
            </w:r>
            <w:r w:rsidR="003235BF" w:rsidRPr="002A1249">
              <w:rPr>
                <w:rStyle w:val="Hyperlink"/>
                <w:rFonts w:hint="eastAsia"/>
                <w:noProof/>
                <w:rtl/>
                <w:lang w:bidi="fa-IR"/>
              </w:rPr>
              <w:t>وَحُدُودِهِ</w:t>
            </w:r>
            <w:r w:rsidR="003235BF" w:rsidRPr="002A1249">
              <w:rPr>
                <w:rStyle w:val="Hyperlink"/>
                <w:noProof/>
                <w:rtl/>
                <w:lang w:bidi="fa-IR"/>
              </w:rPr>
              <w:t xml:space="preserve"> </w:t>
            </w:r>
            <w:r w:rsidR="003235BF" w:rsidRPr="002A1249">
              <w:rPr>
                <w:rStyle w:val="Hyperlink"/>
                <w:rFonts w:hint="eastAsia"/>
                <w:noProof/>
                <w:rtl/>
                <w:lang w:bidi="fa-IR"/>
              </w:rPr>
              <w:t>وَمَا</w:t>
            </w:r>
            <w:r w:rsidR="003235BF" w:rsidRPr="002A1249">
              <w:rPr>
                <w:rStyle w:val="Hyperlink"/>
                <w:noProof/>
                <w:rtl/>
                <w:lang w:bidi="fa-IR"/>
              </w:rPr>
              <w:t xml:space="preserve"> </w:t>
            </w:r>
            <w:r w:rsidR="003235BF" w:rsidRPr="002A1249">
              <w:rPr>
                <w:rStyle w:val="Hyperlink"/>
                <w:rFonts w:hint="eastAsia"/>
                <w:noProof/>
                <w:rtl/>
                <w:lang w:bidi="fa-IR"/>
              </w:rPr>
              <w:t>يَجِبُ</w:t>
            </w:r>
            <w:r w:rsidR="003235BF" w:rsidRPr="002A1249">
              <w:rPr>
                <w:rStyle w:val="Hyperlink"/>
                <w:noProof/>
                <w:rtl/>
                <w:lang w:bidi="fa-IR"/>
              </w:rPr>
              <w:t xml:space="preserve"> </w:t>
            </w:r>
            <w:r w:rsidR="003235BF" w:rsidRPr="002A1249">
              <w:rPr>
                <w:rStyle w:val="Hyperlink"/>
                <w:rFonts w:hint="eastAsia"/>
                <w:noProof/>
                <w:rtl/>
                <w:lang w:bidi="fa-IR"/>
              </w:rPr>
              <w:t>فِيهِ‌</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Toc34663143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714</w:t>
            </w:r>
            <w:r w:rsidR="003235BF">
              <w:rPr>
                <w:noProof/>
                <w:webHidden/>
                <w:rtl/>
              </w:rPr>
              <w:fldChar w:fldCharType="end"/>
            </w:r>
          </w:hyperlink>
        </w:p>
        <w:p w:rsidR="003235BF" w:rsidRDefault="00D8452E">
          <w:pPr>
            <w:pStyle w:val="TOC2"/>
            <w:tabs>
              <w:tab w:val="right" w:leader="dot" w:pos="10610"/>
            </w:tabs>
            <w:rPr>
              <w:rFonts w:asciiTheme="minorHAnsi" w:eastAsiaTheme="minorEastAsia" w:hAnsiTheme="minorHAnsi" w:cstheme="minorBidi"/>
              <w:noProof/>
              <w:color w:val="auto"/>
              <w:sz w:val="22"/>
              <w:szCs w:val="22"/>
              <w:rtl/>
            </w:rPr>
          </w:pPr>
          <w:hyperlink w:anchor="_Toc34663144" w:history="1">
            <w:r w:rsidR="003235BF" w:rsidRPr="002A1249">
              <w:rPr>
                <w:rStyle w:val="Hyperlink"/>
                <w:rFonts w:hint="eastAsia"/>
                <w:noProof/>
                <w:rtl/>
              </w:rPr>
              <w:t>الفهرس</w:t>
            </w:r>
            <w:r w:rsidR="003235BF">
              <w:rPr>
                <w:noProof/>
                <w:webHidden/>
                <w:rtl/>
              </w:rPr>
              <w:tab/>
            </w:r>
            <w:r w:rsidR="003235BF">
              <w:rPr>
                <w:noProof/>
                <w:webHidden/>
                <w:rtl/>
              </w:rPr>
              <w:fldChar w:fldCharType="begin"/>
            </w:r>
            <w:r w:rsidR="003235BF">
              <w:rPr>
                <w:noProof/>
                <w:webHidden/>
                <w:rtl/>
              </w:rPr>
              <w:instrText xml:space="preserve"> </w:instrText>
            </w:r>
            <w:r w:rsidR="003235BF">
              <w:rPr>
                <w:noProof/>
                <w:webHidden/>
              </w:rPr>
              <w:instrText xml:space="preserve">PAGEREF </w:instrText>
            </w:r>
            <w:r w:rsidR="003235BF">
              <w:rPr>
                <w:noProof/>
                <w:webHidden/>
                <w:rtl/>
              </w:rPr>
              <w:instrText>_</w:instrText>
            </w:r>
            <w:r w:rsidR="003235BF">
              <w:rPr>
                <w:noProof/>
                <w:webHidden/>
              </w:rPr>
              <w:instrText>Toc34663144 \h</w:instrText>
            </w:r>
            <w:r w:rsidR="003235BF">
              <w:rPr>
                <w:noProof/>
                <w:webHidden/>
                <w:rtl/>
              </w:rPr>
              <w:instrText xml:space="preserve"> </w:instrText>
            </w:r>
            <w:r w:rsidR="003235BF">
              <w:rPr>
                <w:noProof/>
                <w:webHidden/>
                <w:rtl/>
              </w:rPr>
            </w:r>
            <w:r w:rsidR="003235BF">
              <w:rPr>
                <w:noProof/>
                <w:webHidden/>
                <w:rtl/>
              </w:rPr>
              <w:fldChar w:fldCharType="separate"/>
            </w:r>
            <w:r w:rsidR="003235BF">
              <w:rPr>
                <w:noProof/>
                <w:webHidden/>
                <w:rtl/>
              </w:rPr>
              <w:t>741</w:t>
            </w:r>
            <w:r w:rsidR="003235BF">
              <w:rPr>
                <w:noProof/>
                <w:webHidden/>
                <w:rtl/>
              </w:rPr>
              <w:fldChar w:fldCharType="end"/>
            </w:r>
          </w:hyperlink>
        </w:p>
        <w:p w:rsidR="003235BF" w:rsidRDefault="003235BF">
          <w:r>
            <w:rPr>
              <w:b/>
              <w:bCs/>
              <w:noProof/>
            </w:rPr>
            <w:fldChar w:fldCharType="end"/>
          </w:r>
        </w:p>
      </w:sdtContent>
    </w:sdt>
    <w:p w:rsidR="00C50204" w:rsidRPr="009414D1" w:rsidRDefault="00C50204" w:rsidP="00C50204">
      <w:pPr>
        <w:pStyle w:val="libCenter"/>
        <w:rPr>
          <w:rtl/>
        </w:rPr>
      </w:pPr>
      <w:r w:rsidRPr="009414D1">
        <w:rPr>
          <w:rFonts w:hint="cs"/>
          <w:rtl/>
        </w:rPr>
        <w:t>عدد أحاديث الكتاب : 1015</w:t>
      </w:r>
    </w:p>
    <w:p w:rsidR="00C50204" w:rsidRPr="009414D1" w:rsidRDefault="00C50204" w:rsidP="00C50204">
      <w:pPr>
        <w:pStyle w:val="libCenter"/>
        <w:rPr>
          <w:rtl/>
        </w:rPr>
      </w:pPr>
      <w:r w:rsidRPr="009414D1">
        <w:rPr>
          <w:rFonts w:hint="cs"/>
          <w:rtl/>
        </w:rPr>
        <w:t>عدد الأحاديث الضمنية في الكتاب :</w:t>
      </w:r>
      <w:r>
        <w:rPr>
          <w:rFonts w:hint="cs"/>
          <w:rtl/>
        </w:rPr>
        <w:t xml:space="preserve"> </w:t>
      </w:r>
      <w:r w:rsidRPr="009414D1">
        <w:rPr>
          <w:rFonts w:hint="cs"/>
          <w:rtl/>
        </w:rPr>
        <w:t>35</w:t>
      </w:r>
    </w:p>
    <w:p w:rsidR="003235BF" w:rsidRPr="003235BF" w:rsidRDefault="00C50204" w:rsidP="003235BF">
      <w:pPr>
        <w:pStyle w:val="libCenter"/>
        <w:rPr>
          <w:rtl/>
        </w:rPr>
      </w:pPr>
      <w:r w:rsidRPr="009414D1">
        <w:rPr>
          <w:rFonts w:hint="cs"/>
          <w:rtl/>
        </w:rPr>
        <w:t>جمع كلّ الأحاديث في الكتاب : 1050</w:t>
      </w:r>
      <w:r w:rsidR="003235BF">
        <w:rPr>
          <w:rtl/>
        </w:rPr>
        <w:br w:type="page"/>
      </w:r>
    </w:p>
    <w:sectPr w:rsidR="003235BF" w:rsidRPr="003235BF" w:rsidSect="00C9377F">
      <w:footerReference w:type="even" r:id="rId10"/>
      <w:footerReference w:type="default" r:id="rId11"/>
      <w:footerReference w:type="first" r:id="rId12"/>
      <w:type w:val="continuous"/>
      <w:pgSz w:w="11520" w:h="25920" w:code="9"/>
      <w:pgMar w:top="0" w:right="450" w:bottom="0" w:left="450" w:header="0"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4BE" w:rsidRDefault="006824BE">
      <w:r>
        <w:separator/>
      </w:r>
    </w:p>
  </w:endnote>
  <w:endnote w:type="continuationSeparator" w:id="0">
    <w:p w:rsidR="006824BE" w:rsidRDefault="00682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altName w:val="Times New Roman"/>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A6" w:rsidRPr="00460435" w:rsidRDefault="003915A6"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8452E">
      <w:rPr>
        <w:rFonts w:ascii="Traditional Arabic" w:hAnsi="Traditional Arabic"/>
        <w:noProof/>
        <w:sz w:val="28"/>
        <w:szCs w:val="28"/>
        <w:rtl/>
      </w:rPr>
      <w:t>4</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A6" w:rsidRPr="00460435" w:rsidRDefault="003915A6"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8452E">
      <w:rPr>
        <w:rFonts w:ascii="Traditional Arabic" w:hAnsi="Traditional Arabic"/>
        <w:noProof/>
        <w:sz w:val="28"/>
        <w:szCs w:val="28"/>
        <w:rtl/>
      </w:rPr>
      <w:t>45</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A6" w:rsidRPr="00460435" w:rsidRDefault="003915A6"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8452E">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4BE" w:rsidRDefault="006824BE">
      <w:r>
        <w:separator/>
      </w:r>
    </w:p>
  </w:footnote>
  <w:footnote w:type="continuationSeparator" w:id="0">
    <w:p w:rsidR="006824BE" w:rsidRDefault="006824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E96C97"/>
    <w:rsid w:val="0000072D"/>
    <w:rsid w:val="000011E4"/>
    <w:rsid w:val="00001388"/>
    <w:rsid w:val="00001843"/>
    <w:rsid w:val="00002224"/>
    <w:rsid w:val="00005057"/>
    <w:rsid w:val="00005A19"/>
    <w:rsid w:val="00005A72"/>
    <w:rsid w:val="00011BD9"/>
    <w:rsid w:val="000127ED"/>
    <w:rsid w:val="0001483B"/>
    <w:rsid w:val="00015BD6"/>
    <w:rsid w:val="000170C6"/>
    <w:rsid w:val="00021095"/>
    <w:rsid w:val="0002294E"/>
    <w:rsid w:val="00023ED2"/>
    <w:rsid w:val="00024DBC"/>
    <w:rsid w:val="0002519A"/>
    <w:rsid w:val="000267FE"/>
    <w:rsid w:val="00026C85"/>
    <w:rsid w:val="00026D37"/>
    <w:rsid w:val="00032279"/>
    <w:rsid w:val="00034079"/>
    <w:rsid w:val="00034DB7"/>
    <w:rsid w:val="000372CB"/>
    <w:rsid w:val="0003799E"/>
    <w:rsid w:val="00040798"/>
    <w:rsid w:val="00040EBC"/>
    <w:rsid w:val="0004129A"/>
    <w:rsid w:val="00042915"/>
    <w:rsid w:val="00042F45"/>
    <w:rsid w:val="00043023"/>
    <w:rsid w:val="00043C47"/>
    <w:rsid w:val="000524EA"/>
    <w:rsid w:val="00053130"/>
    <w:rsid w:val="00054406"/>
    <w:rsid w:val="00054E4B"/>
    <w:rsid w:val="0006034E"/>
    <w:rsid w:val="0006216A"/>
    <w:rsid w:val="000623B9"/>
    <w:rsid w:val="000627D9"/>
    <w:rsid w:val="00062814"/>
    <w:rsid w:val="00063B4B"/>
    <w:rsid w:val="000644E6"/>
    <w:rsid w:val="00065AA9"/>
    <w:rsid w:val="000664A7"/>
    <w:rsid w:val="00066C43"/>
    <w:rsid w:val="00067F84"/>
    <w:rsid w:val="000711E9"/>
    <w:rsid w:val="00071C97"/>
    <w:rsid w:val="000759B9"/>
    <w:rsid w:val="0007613C"/>
    <w:rsid w:val="000761F7"/>
    <w:rsid w:val="00076A3A"/>
    <w:rsid w:val="00077163"/>
    <w:rsid w:val="00077735"/>
    <w:rsid w:val="0008009D"/>
    <w:rsid w:val="00080531"/>
    <w:rsid w:val="000817EF"/>
    <w:rsid w:val="00082721"/>
    <w:rsid w:val="00082D69"/>
    <w:rsid w:val="0008742C"/>
    <w:rsid w:val="00090987"/>
    <w:rsid w:val="000916F6"/>
    <w:rsid w:val="00091B3D"/>
    <w:rsid w:val="0009252B"/>
    <w:rsid w:val="000927D1"/>
    <w:rsid w:val="00092805"/>
    <w:rsid w:val="00092A0C"/>
    <w:rsid w:val="00093519"/>
    <w:rsid w:val="00093C51"/>
    <w:rsid w:val="00093D2E"/>
    <w:rsid w:val="000946D4"/>
    <w:rsid w:val="00095BA6"/>
    <w:rsid w:val="00097064"/>
    <w:rsid w:val="000A0E9B"/>
    <w:rsid w:val="000A3F05"/>
    <w:rsid w:val="000A6070"/>
    <w:rsid w:val="000A7750"/>
    <w:rsid w:val="000B258B"/>
    <w:rsid w:val="000B2B62"/>
    <w:rsid w:val="000B2E78"/>
    <w:rsid w:val="000B3A56"/>
    <w:rsid w:val="000B46B7"/>
    <w:rsid w:val="000B55FE"/>
    <w:rsid w:val="000B729B"/>
    <w:rsid w:val="000B74CB"/>
    <w:rsid w:val="000C030B"/>
    <w:rsid w:val="000C0A89"/>
    <w:rsid w:val="000C39D1"/>
    <w:rsid w:val="000C3E6E"/>
    <w:rsid w:val="000C5B47"/>
    <w:rsid w:val="000C7722"/>
    <w:rsid w:val="000D0205"/>
    <w:rsid w:val="000D0932"/>
    <w:rsid w:val="000D1BDF"/>
    <w:rsid w:val="000D2963"/>
    <w:rsid w:val="000D4AED"/>
    <w:rsid w:val="000D71B7"/>
    <w:rsid w:val="000E0153"/>
    <w:rsid w:val="000E143C"/>
    <w:rsid w:val="000E1D61"/>
    <w:rsid w:val="000E2D13"/>
    <w:rsid w:val="000E2EBD"/>
    <w:rsid w:val="000E3F3D"/>
    <w:rsid w:val="000E415A"/>
    <w:rsid w:val="000E46E9"/>
    <w:rsid w:val="000E6824"/>
    <w:rsid w:val="000E719C"/>
    <w:rsid w:val="000E77FC"/>
    <w:rsid w:val="000F225A"/>
    <w:rsid w:val="000F43CB"/>
    <w:rsid w:val="000F6AF9"/>
    <w:rsid w:val="0010049D"/>
    <w:rsid w:val="001029E1"/>
    <w:rsid w:val="00103118"/>
    <w:rsid w:val="0010315B"/>
    <w:rsid w:val="001033B6"/>
    <w:rsid w:val="00103495"/>
    <w:rsid w:val="00103593"/>
    <w:rsid w:val="00103C79"/>
    <w:rsid w:val="00104042"/>
    <w:rsid w:val="00106AC9"/>
    <w:rsid w:val="00106B69"/>
    <w:rsid w:val="00107A6B"/>
    <w:rsid w:val="001106A5"/>
    <w:rsid w:val="001107AF"/>
    <w:rsid w:val="00110CDA"/>
    <w:rsid w:val="00110D5B"/>
    <w:rsid w:val="00111AE3"/>
    <w:rsid w:val="0011229B"/>
    <w:rsid w:val="0011352E"/>
    <w:rsid w:val="00113B0B"/>
    <w:rsid w:val="00113CCC"/>
    <w:rsid w:val="00115473"/>
    <w:rsid w:val="00115A71"/>
    <w:rsid w:val="00115AAB"/>
    <w:rsid w:val="001162C9"/>
    <w:rsid w:val="0012064D"/>
    <w:rsid w:val="0012077D"/>
    <w:rsid w:val="00120822"/>
    <w:rsid w:val="00122468"/>
    <w:rsid w:val="0012268F"/>
    <w:rsid w:val="0012315E"/>
    <w:rsid w:val="001243ED"/>
    <w:rsid w:val="00126471"/>
    <w:rsid w:val="00127293"/>
    <w:rsid w:val="00127C76"/>
    <w:rsid w:val="00132221"/>
    <w:rsid w:val="00132299"/>
    <w:rsid w:val="001343AE"/>
    <w:rsid w:val="0013467C"/>
    <w:rsid w:val="00134C51"/>
    <w:rsid w:val="00135C14"/>
    <w:rsid w:val="00135E90"/>
    <w:rsid w:val="00136268"/>
    <w:rsid w:val="00136E6F"/>
    <w:rsid w:val="00136FE7"/>
    <w:rsid w:val="001416A8"/>
    <w:rsid w:val="0014341C"/>
    <w:rsid w:val="00143EEA"/>
    <w:rsid w:val="0014494D"/>
    <w:rsid w:val="00147ED8"/>
    <w:rsid w:val="00150E38"/>
    <w:rsid w:val="00151C03"/>
    <w:rsid w:val="00152053"/>
    <w:rsid w:val="001531AC"/>
    <w:rsid w:val="00153917"/>
    <w:rsid w:val="00155D24"/>
    <w:rsid w:val="001566C4"/>
    <w:rsid w:val="00156A8F"/>
    <w:rsid w:val="00157306"/>
    <w:rsid w:val="0015782C"/>
    <w:rsid w:val="001603AC"/>
    <w:rsid w:val="001609D6"/>
    <w:rsid w:val="00160F76"/>
    <w:rsid w:val="00160FC4"/>
    <w:rsid w:val="00163A74"/>
    <w:rsid w:val="00163A91"/>
    <w:rsid w:val="00163D83"/>
    <w:rsid w:val="00164767"/>
    <w:rsid w:val="00164810"/>
    <w:rsid w:val="00164CA9"/>
    <w:rsid w:val="0016597E"/>
    <w:rsid w:val="0016683A"/>
    <w:rsid w:val="00167C79"/>
    <w:rsid w:val="001712E1"/>
    <w:rsid w:val="00173458"/>
    <w:rsid w:val="00176614"/>
    <w:rsid w:val="001767EE"/>
    <w:rsid w:val="00181081"/>
    <w:rsid w:val="00182258"/>
    <w:rsid w:val="0018286E"/>
    <w:rsid w:val="00182CD3"/>
    <w:rsid w:val="001834CC"/>
    <w:rsid w:val="00184131"/>
    <w:rsid w:val="0018520E"/>
    <w:rsid w:val="0018664D"/>
    <w:rsid w:val="00187017"/>
    <w:rsid w:val="00187246"/>
    <w:rsid w:val="00190ABC"/>
    <w:rsid w:val="00190C6E"/>
    <w:rsid w:val="00190D8C"/>
    <w:rsid w:val="001937F7"/>
    <w:rsid w:val="001946D9"/>
    <w:rsid w:val="00195052"/>
    <w:rsid w:val="0019610D"/>
    <w:rsid w:val="001A0DAA"/>
    <w:rsid w:val="001A1408"/>
    <w:rsid w:val="001A3110"/>
    <w:rsid w:val="001A33C6"/>
    <w:rsid w:val="001A43A8"/>
    <w:rsid w:val="001A4C37"/>
    <w:rsid w:val="001A4D9B"/>
    <w:rsid w:val="001A5265"/>
    <w:rsid w:val="001A6EC0"/>
    <w:rsid w:val="001B07B7"/>
    <w:rsid w:val="001B133E"/>
    <w:rsid w:val="001B16FD"/>
    <w:rsid w:val="001B5182"/>
    <w:rsid w:val="001B577F"/>
    <w:rsid w:val="001B6B73"/>
    <w:rsid w:val="001B702D"/>
    <w:rsid w:val="001B7407"/>
    <w:rsid w:val="001C32B0"/>
    <w:rsid w:val="001C3D8D"/>
    <w:rsid w:val="001C5EDB"/>
    <w:rsid w:val="001C645B"/>
    <w:rsid w:val="001C701C"/>
    <w:rsid w:val="001D320D"/>
    <w:rsid w:val="001D3244"/>
    <w:rsid w:val="001D3568"/>
    <w:rsid w:val="001D41A1"/>
    <w:rsid w:val="001D5007"/>
    <w:rsid w:val="001E016E"/>
    <w:rsid w:val="001E25DC"/>
    <w:rsid w:val="001E679F"/>
    <w:rsid w:val="001F0713"/>
    <w:rsid w:val="001F3B3F"/>
    <w:rsid w:val="001F3DB4"/>
    <w:rsid w:val="001F5409"/>
    <w:rsid w:val="001F5E05"/>
    <w:rsid w:val="001F6C90"/>
    <w:rsid w:val="00200E9A"/>
    <w:rsid w:val="002015F2"/>
    <w:rsid w:val="00202C7B"/>
    <w:rsid w:val="002045CF"/>
    <w:rsid w:val="002054C5"/>
    <w:rsid w:val="0020652C"/>
    <w:rsid w:val="00207882"/>
    <w:rsid w:val="00211DAE"/>
    <w:rsid w:val="002133B0"/>
    <w:rsid w:val="002139CB"/>
    <w:rsid w:val="00214077"/>
    <w:rsid w:val="0021424B"/>
    <w:rsid w:val="00214801"/>
    <w:rsid w:val="00221675"/>
    <w:rsid w:val="00224964"/>
    <w:rsid w:val="00226098"/>
    <w:rsid w:val="002267C7"/>
    <w:rsid w:val="0022730F"/>
    <w:rsid w:val="00227FEE"/>
    <w:rsid w:val="002320BC"/>
    <w:rsid w:val="0023370A"/>
    <w:rsid w:val="00234350"/>
    <w:rsid w:val="00234EBD"/>
    <w:rsid w:val="00237C0B"/>
    <w:rsid w:val="00240B10"/>
    <w:rsid w:val="00241F59"/>
    <w:rsid w:val="002421D2"/>
    <w:rsid w:val="0024265C"/>
    <w:rsid w:val="00242766"/>
    <w:rsid w:val="00243D20"/>
    <w:rsid w:val="00244ADB"/>
    <w:rsid w:val="00244C2E"/>
    <w:rsid w:val="00247BC6"/>
    <w:rsid w:val="00250E0A"/>
    <w:rsid w:val="00251E02"/>
    <w:rsid w:val="0025322F"/>
    <w:rsid w:val="002568DF"/>
    <w:rsid w:val="00257657"/>
    <w:rsid w:val="00260180"/>
    <w:rsid w:val="00261F33"/>
    <w:rsid w:val="00262FA6"/>
    <w:rsid w:val="002638A6"/>
    <w:rsid w:val="00263F56"/>
    <w:rsid w:val="002662BD"/>
    <w:rsid w:val="002677A9"/>
    <w:rsid w:val="00267A66"/>
    <w:rsid w:val="00270BDF"/>
    <w:rsid w:val="00272450"/>
    <w:rsid w:val="0027369F"/>
    <w:rsid w:val="00276F64"/>
    <w:rsid w:val="00280316"/>
    <w:rsid w:val="002812DC"/>
    <w:rsid w:val="002818EF"/>
    <w:rsid w:val="00281A4E"/>
    <w:rsid w:val="00281A8B"/>
    <w:rsid w:val="00282543"/>
    <w:rsid w:val="0028271F"/>
    <w:rsid w:val="0028272B"/>
    <w:rsid w:val="00284A0F"/>
    <w:rsid w:val="00285983"/>
    <w:rsid w:val="00285E4B"/>
    <w:rsid w:val="00286173"/>
    <w:rsid w:val="0028771C"/>
    <w:rsid w:val="00292898"/>
    <w:rsid w:val="00293D24"/>
    <w:rsid w:val="00296E4F"/>
    <w:rsid w:val="00297412"/>
    <w:rsid w:val="00297770"/>
    <w:rsid w:val="002A0284"/>
    <w:rsid w:val="002A1851"/>
    <w:rsid w:val="002A1D27"/>
    <w:rsid w:val="002A2068"/>
    <w:rsid w:val="002A2F34"/>
    <w:rsid w:val="002A32E1"/>
    <w:rsid w:val="002A338C"/>
    <w:rsid w:val="002A34AE"/>
    <w:rsid w:val="002A34BB"/>
    <w:rsid w:val="002A4560"/>
    <w:rsid w:val="002A5096"/>
    <w:rsid w:val="002A5AAF"/>
    <w:rsid w:val="002A69AC"/>
    <w:rsid w:val="002A717D"/>
    <w:rsid w:val="002A73D7"/>
    <w:rsid w:val="002B04C9"/>
    <w:rsid w:val="002B2B15"/>
    <w:rsid w:val="002B5911"/>
    <w:rsid w:val="002B62FD"/>
    <w:rsid w:val="002B69F2"/>
    <w:rsid w:val="002B71A8"/>
    <w:rsid w:val="002B746F"/>
    <w:rsid w:val="002B7794"/>
    <w:rsid w:val="002B7989"/>
    <w:rsid w:val="002C014A"/>
    <w:rsid w:val="002C3E3A"/>
    <w:rsid w:val="002C46FE"/>
    <w:rsid w:val="002C5810"/>
    <w:rsid w:val="002C5C66"/>
    <w:rsid w:val="002C6427"/>
    <w:rsid w:val="002C7CFD"/>
    <w:rsid w:val="002D19A9"/>
    <w:rsid w:val="002D1D7C"/>
    <w:rsid w:val="002D2485"/>
    <w:rsid w:val="002D45D7"/>
    <w:rsid w:val="002D580E"/>
    <w:rsid w:val="002E0927"/>
    <w:rsid w:val="002E19EE"/>
    <w:rsid w:val="002E1A56"/>
    <w:rsid w:val="002E4976"/>
    <w:rsid w:val="002E4D3D"/>
    <w:rsid w:val="002E50B2"/>
    <w:rsid w:val="002E5CA1"/>
    <w:rsid w:val="002E6022"/>
    <w:rsid w:val="002E7B45"/>
    <w:rsid w:val="002F01C5"/>
    <w:rsid w:val="002F0CE4"/>
    <w:rsid w:val="002F3626"/>
    <w:rsid w:val="002F3A40"/>
    <w:rsid w:val="002F42E5"/>
    <w:rsid w:val="002F61A4"/>
    <w:rsid w:val="002F65B9"/>
    <w:rsid w:val="002F6B3B"/>
    <w:rsid w:val="002F6C33"/>
    <w:rsid w:val="00301EBF"/>
    <w:rsid w:val="00302F3D"/>
    <w:rsid w:val="00306948"/>
    <w:rsid w:val="00307C3A"/>
    <w:rsid w:val="00310762"/>
    <w:rsid w:val="00310A38"/>
    <w:rsid w:val="00310D1D"/>
    <w:rsid w:val="003117F2"/>
    <w:rsid w:val="003129CD"/>
    <w:rsid w:val="00312B4E"/>
    <w:rsid w:val="00315180"/>
    <w:rsid w:val="00317E22"/>
    <w:rsid w:val="0032020D"/>
    <w:rsid w:val="00320644"/>
    <w:rsid w:val="0032135E"/>
    <w:rsid w:val="00322466"/>
    <w:rsid w:val="00323055"/>
    <w:rsid w:val="0032317F"/>
    <w:rsid w:val="003235BF"/>
    <w:rsid w:val="00323F30"/>
    <w:rsid w:val="00324B78"/>
    <w:rsid w:val="00324CE0"/>
    <w:rsid w:val="00325A62"/>
    <w:rsid w:val="00326131"/>
    <w:rsid w:val="003274EF"/>
    <w:rsid w:val="00327C1D"/>
    <w:rsid w:val="003300DE"/>
    <w:rsid w:val="00330D70"/>
    <w:rsid w:val="003323CF"/>
    <w:rsid w:val="0033317B"/>
    <w:rsid w:val="003339D0"/>
    <w:rsid w:val="00334FF2"/>
    <w:rsid w:val="00335249"/>
    <w:rsid w:val="003353BB"/>
    <w:rsid w:val="003356E6"/>
    <w:rsid w:val="0033620A"/>
    <w:rsid w:val="0033724D"/>
    <w:rsid w:val="0034239A"/>
    <w:rsid w:val="0034286B"/>
    <w:rsid w:val="00342998"/>
    <w:rsid w:val="003431F3"/>
    <w:rsid w:val="003438E6"/>
    <w:rsid w:val="003448DF"/>
    <w:rsid w:val="0034562D"/>
    <w:rsid w:val="0035146B"/>
    <w:rsid w:val="0035368E"/>
    <w:rsid w:val="00354493"/>
    <w:rsid w:val="00355C40"/>
    <w:rsid w:val="00356106"/>
    <w:rsid w:val="00360A5F"/>
    <w:rsid w:val="0036158E"/>
    <w:rsid w:val="003618AA"/>
    <w:rsid w:val="00362F97"/>
    <w:rsid w:val="003635DD"/>
    <w:rsid w:val="0036371E"/>
    <w:rsid w:val="00363C94"/>
    <w:rsid w:val="0036400D"/>
    <w:rsid w:val="00364867"/>
    <w:rsid w:val="00365F94"/>
    <w:rsid w:val="00367E5A"/>
    <w:rsid w:val="00370223"/>
    <w:rsid w:val="003707A3"/>
    <w:rsid w:val="00372623"/>
    <w:rsid w:val="00373085"/>
    <w:rsid w:val="003736AD"/>
    <w:rsid w:val="0037463E"/>
    <w:rsid w:val="003771B6"/>
    <w:rsid w:val="00377530"/>
    <w:rsid w:val="00380674"/>
    <w:rsid w:val="00381091"/>
    <w:rsid w:val="003813CD"/>
    <w:rsid w:val="00381686"/>
    <w:rsid w:val="00383489"/>
    <w:rsid w:val="003839E2"/>
    <w:rsid w:val="003852A9"/>
    <w:rsid w:val="00386191"/>
    <w:rsid w:val="0038683D"/>
    <w:rsid w:val="00387B19"/>
    <w:rsid w:val="00387F48"/>
    <w:rsid w:val="00391275"/>
    <w:rsid w:val="003915A6"/>
    <w:rsid w:val="003935A9"/>
    <w:rsid w:val="00393986"/>
    <w:rsid w:val="003963F3"/>
    <w:rsid w:val="0039787F"/>
    <w:rsid w:val="003A1475"/>
    <w:rsid w:val="003A310F"/>
    <w:rsid w:val="003A3298"/>
    <w:rsid w:val="003A4587"/>
    <w:rsid w:val="003A533A"/>
    <w:rsid w:val="003A5A36"/>
    <w:rsid w:val="003A657A"/>
    <w:rsid w:val="003A661E"/>
    <w:rsid w:val="003A7E30"/>
    <w:rsid w:val="003B0913"/>
    <w:rsid w:val="003B146B"/>
    <w:rsid w:val="003B20C5"/>
    <w:rsid w:val="003B3197"/>
    <w:rsid w:val="003B49B1"/>
    <w:rsid w:val="003B5031"/>
    <w:rsid w:val="003B580F"/>
    <w:rsid w:val="003B63EE"/>
    <w:rsid w:val="003B6720"/>
    <w:rsid w:val="003B775B"/>
    <w:rsid w:val="003B7FA9"/>
    <w:rsid w:val="003C6EB9"/>
    <w:rsid w:val="003C7093"/>
    <w:rsid w:val="003C7C08"/>
    <w:rsid w:val="003D0E9A"/>
    <w:rsid w:val="003D2459"/>
    <w:rsid w:val="003D28ED"/>
    <w:rsid w:val="003D3107"/>
    <w:rsid w:val="003D4DCE"/>
    <w:rsid w:val="003D72C4"/>
    <w:rsid w:val="003E025E"/>
    <w:rsid w:val="003E148D"/>
    <w:rsid w:val="003E173A"/>
    <w:rsid w:val="003E3600"/>
    <w:rsid w:val="003E391C"/>
    <w:rsid w:val="003E45C3"/>
    <w:rsid w:val="003E465F"/>
    <w:rsid w:val="003E791E"/>
    <w:rsid w:val="003F0AD4"/>
    <w:rsid w:val="003F133B"/>
    <w:rsid w:val="003F1581"/>
    <w:rsid w:val="003F33DE"/>
    <w:rsid w:val="003F498C"/>
    <w:rsid w:val="003F7E3E"/>
    <w:rsid w:val="0040243A"/>
    <w:rsid w:val="00402C65"/>
    <w:rsid w:val="00404705"/>
    <w:rsid w:val="00404EB7"/>
    <w:rsid w:val="00407D56"/>
    <w:rsid w:val="00411FE2"/>
    <w:rsid w:val="00413428"/>
    <w:rsid w:val="00413B10"/>
    <w:rsid w:val="004142DF"/>
    <w:rsid w:val="004146B4"/>
    <w:rsid w:val="00415502"/>
    <w:rsid w:val="00415A68"/>
    <w:rsid w:val="00416ACE"/>
    <w:rsid w:val="00416E2B"/>
    <w:rsid w:val="004170C4"/>
    <w:rsid w:val="00417389"/>
    <w:rsid w:val="004177ED"/>
    <w:rsid w:val="00417C89"/>
    <w:rsid w:val="00417FA6"/>
    <w:rsid w:val="004209BA"/>
    <w:rsid w:val="00420BCA"/>
    <w:rsid w:val="00420C44"/>
    <w:rsid w:val="00423D00"/>
    <w:rsid w:val="0042502E"/>
    <w:rsid w:val="00426F5F"/>
    <w:rsid w:val="00427015"/>
    <w:rsid w:val="004271BF"/>
    <w:rsid w:val="00430581"/>
    <w:rsid w:val="00430868"/>
    <w:rsid w:val="00431D96"/>
    <w:rsid w:val="004331D7"/>
    <w:rsid w:val="00433708"/>
    <w:rsid w:val="00434A97"/>
    <w:rsid w:val="004354A3"/>
    <w:rsid w:val="004355B4"/>
    <w:rsid w:val="00437035"/>
    <w:rsid w:val="00440690"/>
    <w:rsid w:val="00440C62"/>
    <w:rsid w:val="00441A2E"/>
    <w:rsid w:val="004424AD"/>
    <w:rsid w:val="00443847"/>
    <w:rsid w:val="0044459B"/>
    <w:rsid w:val="00445321"/>
    <w:rsid w:val="00446BBA"/>
    <w:rsid w:val="00446E2B"/>
    <w:rsid w:val="00446EA2"/>
    <w:rsid w:val="00447DAD"/>
    <w:rsid w:val="004537CB"/>
    <w:rsid w:val="004538D5"/>
    <w:rsid w:val="00453C50"/>
    <w:rsid w:val="004551D7"/>
    <w:rsid w:val="00455A59"/>
    <w:rsid w:val="00456097"/>
    <w:rsid w:val="0045653C"/>
    <w:rsid w:val="004578BF"/>
    <w:rsid w:val="00460435"/>
    <w:rsid w:val="00461709"/>
    <w:rsid w:val="004626B4"/>
    <w:rsid w:val="00464B21"/>
    <w:rsid w:val="00465EB7"/>
    <w:rsid w:val="0046634E"/>
    <w:rsid w:val="00467E54"/>
    <w:rsid w:val="00470378"/>
    <w:rsid w:val="00471F58"/>
    <w:rsid w:val="004722F3"/>
    <w:rsid w:val="004722F9"/>
    <w:rsid w:val="00472FA3"/>
    <w:rsid w:val="004738EE"/>
    <w:rsid w:val="00474C48"/>
    <w:rsid w:val="00475E99"/>
    <w:rsid w:val="00475EC8"/>
    <w:rsid w:val="00481D03"/>
    <w:rsid w:val="00481FD0"/>
    <w:rsid w:val="0048221F"/>
    <w:rsid w:val="004828CC"/>
    <w:rsid w:val="00482F73"/>
    <w:rsid w:val="00484FAC"/>
    <w:rsid w:val="004850A9"/>
    <w:rsid w:val="004851E2"/>
    <w:rsid w:val="004866A7"/>
    <w:rsid w:val="0049103A"/>
    <w:rsid w:val="00491387"/>
    <w:rsid w:val="004919C3"/>
    <w:rsid w:val="00491A5B"/>
    <w:rsid w:val="00493156"/>
    <w:rsid w:val="00494344"/>
    <w:rsid w:val="004953C3"/>
    <w:rsid w:val="00497042"/>
    <w:rsid w:val="004A0866"/>
    <w:rsid w:val="004A0AF4"/>
    <w:rsid w:val="004A0B9D"/>
    <w:rsid w:val="004A6752"/>
    <w:rsid w:val="004A6FE9"/>
    <w:rsid w:val="004B06B3"/>
    <w:rsid w:val="004B17F4"/>
    <w:rsid w:val="004B1AB3"/>
    <w:rsid w:val="004B31A9"/>
    <w:rsid w:val="004B3F28"/>
    <w:rsid w:val="004B4698"/>
    <w:rsid w:val="004B47CA"/>
    <w:rsid w:val="004B4E41"/>
    <w:rsid w:val="004B579E"/>
    <w:rsid w:val="004B653D"/>
    <w:rsid w:val="004C0461"/>
    <w:rsid w:val="004C0631"/>
    <w:rsid w:val="004C12C2"/>
    <w:rsid w:val="004C1EDA"/>
    <w:rsid w:val="004C257A"/>
    <w:rsid w:val="004C3E90"/>
    <w:rsid w:val="004C4336"/>
    <w:rsid w:val="004C77B5"/>
    <w:rsid w:val="004C77BF"/>
    <w:rsid w:val="004C7DAD"/>
    <w:rsid w:val="004D1418"/>
    <w:rsid w:val="004D2362"/>
    <w:rsid w:val="004D3272"/>
    <w:rsid w:val="004D3A4B"/>
    <w:rsid w:val="004D3D54"/>
    <w:rsid w:val="004D3F39"/>
    <w:rsid w:val="004D67F7"/>
    <w:rsid w:val="004D7678"/>
    <w:rsid w:val="004D7CD7"/>
    <w:rsid w:val="004E0D9D"/>
    <w:rsid w:val="004E5C60"/>
    <w:rsid w:val="004E6E95"/>
    <w:rsid w:val="004E7BA2"/>
    <w:rsid w:val="004E7E75"/>
    <w:rsid w:val="004F3499"/>
    <w:rsid w:val="004F3A66"/>
    <w:rsid w:val="004F52D7"/>
    <w:rsid w:val="004F580C"/>
    <w:rsid w:val="004F58BA"/>
    <w:rsid w:val="004F6137"/>
    <w:rsid w:val="004F6D5D"/>
    <w:rsid w:val="004F741B"/>
    <w:rsid w:val="004F7F1B"/>
    <w:rsid w:val="005022E5"/>
    <w:rsid w:val="00505266"/>
    <w:rsid w:val="00505A04"/>
    <w:rsid w:val="00507373"/>
    <w:rsid w:val="00511B0E"/>
    <w:rsid w:val="005134D2"/>
    <w:rsid w:val="00514000"/>
    <w:rsid w:val="005165D4"/>
    <w:rsid w:val="00520630"/>
    <w:rsid w:val="005228D5"/>
    <w:rsid w:val="00524226"/>
    <w:rsid w:val="005254BC"/>
    <w:rsid w:val="00526724"/>
    <w:rsid w:val="005270CE"/>
    <w:rsid w:val="005318BD"/>
    <w:rsid w:val="00533626"/>
    <w:rsid w:val="00535123"/>
    <w:rsid w:val="00536EBF"/>
    <w:rsid w:val="005377A9"/>
    <w:rsid w:val="0054075F"/>
    <w:rsid w:val="00540F36"/>
    <w:rsid w:val="00541189"/>
    <w:rsid w:val="0054157A"/>
    <w:rsid w:val="00541631"/>
    <w:rsid w:val="00541E09"/>
    <w:rsid w:val="00542EEF"/>
    <w:rsid w:val="00542F8E"/>
    <w:rsid w:val="00543374"/>
    <w:rsid w:val="00545B4D"/>
    <w:rsid w:val="00545C49"/>
    <w:rsid w:val="00546603"/>
    <w:rsid w:val="00550B2F"/>
    <w:rsid w:val="00551712"/>
    <w:rsid w:val="00551E02"/>
    <w:rsid w:val="00552527"/>
    <w:rsid w:val="005529FE"/>
    <w:rsid w:val="00552C63"/>
    <w:rsid w:val="00552D55"/>
    <w:rsid w:val="00553E73"/>
    <w:rsid w:val="00553E8E"/>
    <w:rsid w:val="005540AB"/>
    <w:rsid w:val="005549DE"/>
    <w:rsid w:val="00554B47"/>
    <w:rsid w:val="00555F2B"/>
    <w:rsid w:val="005573CD"/>
    <w:rsid w:val="00557500"/>
    <w:rsid w:val="00557BB8"/>
    <w:rsid w:val="00557FB6"/>
    <w:rsid w:val="00561C58"/>
    <w:rsid w:val="0056257C"/>
    <w:rsid w:val="00562EED"/>
    <w:rsid w:val="00563862"/>
    <w:rsid w:val="00563B89"/>
    <w:rsid w:val="00564492"/>
    <w:rsid w:val="0056472A"/>
    <w:rsid w:val="00565ADE"/>
    <w:rsid w:val="005673A9"/>
    <w:rsid w:val="005679F5"/>
    <w:rsid w:val="0057006C"/>
    <w:rsid w:val="00570145"/>
    <w:rsid w:val="00571BF1"/>
    <w:rsid w:val="00574C66"/>
    <w:rsid w:val="0057612B"/>
    <w:rsid w:val="005772C4"/>
    <w:rsid w:val="00577577"/>
    <w:rsid w:val="005832AA"/>
    <w:rsid w:val="00584801"/>
    <w:rsid w:val="00584ABA"/>
    <w:rsid w:val="00585B8F"/>
    <w:rsid w:val="00586024"/>
    <w:rsid w:val="00590129"/>
    <w:rsid w:val="0059204F"/>
    <w:rsid w:val="005923FF"/>
    <w:rsid w:val="00593266"/>
    <w:rsid w:val="005960AA"/>
    <w:rsid w:val="00597B34"/>
    <w:rsid w:val="005A00BB"/>
    <w:rsid w:val="005A141A"/>
    <w:rsid w:val="005A18E7"/>
    <w:rsid w:val="005A1C39"/>
    <w:rsid w:val="005A1F95"/>
    <w:rsid w:val="005A2369"/>
    <w:rsid w:val="005A2FF7"/>
    <w:rsid w:val="005A43ED"/>
    <w:rsid w:val="005A4A76"/>
    <w:rsid w:val="005A4CC1"/>
    <w:rsid w:val="005A6C74"/>
    <w:rsid w:val="005B2DE4"/>
    <w:rsid w:val="005B56BE"/>
    <w:rsid w:val="005B658B"/>
    <w:rsid w:val="005B68D5"/>
    <w:rsid w:val="005B6C07"/>
    <w:rsid w:val="005C07D9"/>
    <w:rsid w:val="005C0E2F"/>
    <w:rsid w:val="005C1D7A"/>
    <w:rsid w:val="005C2F78"/>
    <w:rsid w:val="005C3337"/>
    <w:rsid w:val="005C583B"/>
    <w:rsid w:val="005C7719"/>
    <w:rsid w:val="005D015B"/>
    <w:rsid w:val="005D04B4"/>
    <w:rsid w:val="005D079C"/>
    <w:rsid w:val="005D124E"/>
    <w:rsid w:val="005D2C72"/>
    <w:rsid w:val="005D34AB"/>
    <w:rsid w:val="005D386B"/>
    <w:rsid w:val="005D3F22"/>
    <w:rsid w:val="005D3F2E"/>
    <w:rsid w:val="005D495D"/>
    <w:rsid w:val="005D4B0D"/>
    <w:rsid w:val="005D5142"/>
    <w:rsid w:val="005D5420"/>
    <w:rsid w:val="005D570B"/>
    <w:rsid w:val="005D623A"/>
    <w:rsid w:val="005D76B0"/>
    <w:rsid w:val="005D7744"/>
    <w:rsid w:val="005E0A2C"/>
    <w:rsid w:val="005E23DD"/>
    <w:rsid w:val="005E2913"/>
    <w:rsid w:val="005E29CC"/>
    <w:rsid w:val="005E2E8A"/>
    <w:rsid w:val="005E3578"/>
    <w:rsid w:val="005E3892"/>
    <w:rsid w:val="005E399F"/>
    <w:rsid w:val="005E409B"/>
    <w:rsid w:val="005E47AF"/>
    <w:rsid w:val="005E5AE2"/>
    <w:rsid w:val="005E5D2F"/>
    <w:rsid w:val="005E6836"/>
    <w:rsid w:val="005E6A3C"/>
    <w:rsid w:val="005E6E3A"/>
    <w:rsid w:val="005F0045"/>
    <w:rsid w:val="005F05CE"/>
    <w:rsid w:val="005F15C3"/>
    <w:rsid w:val="005F1BD6"/>
    <w:rsid w:val="005F2DE7"/>
    <w:rsid w:val="005F2E2D"/>
    <w:rsid w:val="005F2F00"/>
    <w:rsid w:val="005F56E6"/>
    <w:rsid w:val="005F711F"/>
    <w:rsid w:val="005F7FAB"/>
    <w:rsid w:val="00600E66"/>
    <w:rsid w:val="006013DF"/>
    <w:rsid w:val="0060295E"/>
    <w:rsid w:val="00603583"/>
    <w:rsid w:val="00603605"/>
    <w:rsid w:val="006041A3"/>
    <w:rsid w:val="006050A0"/>
    <w:rsid w:val="00610664"/>
    <w:rsid w:val="00611544"/>
    <w:rsid w:val="00612129"/>
    <w:rsid w:val="00612519"/>
    <w:rsid w:val="00613455"/>
    <w:rsid w:val="00614301"/>
    <w:rsid w:val="00616A3F"/>
    <w:rsid w:val="00620867"/>
    <w:rsid w:val="00620B12"/>
    <w:rsid w:val="006210F4"/>
    <w:rsid w:val="00621417"/>
    <w:rsid w:val="00621426"/>
    <w:rsid w:val="00621DEA"/>
    <w:rsid w:val="00623468"/>
    <w:rsid w:val="006234A9"/>
    <w:rsid w:val="00624B9F"/>
    <w:rsid w:val="00624D2C"/>
    <w:rsid w:val="0062534F"/>
    <w:rsid w:val="00625A86"/>
    <w:rsid w:val="00625C71"/>
    <w:rsid w:val="00626383"/>
    <w:rsid w:val="00627316"/>
    <w:rsid w:val="00627A7B"/>
    <w:rsid w:val="00630DCE"/>
    <w:rsid w:val="00633FB4"/>
    <w:rsid w:val="006341F4"/>
    <w:rsid w:val="00634578"/>
    <w:rsid w:val="006357C1"/>
    <w:rsid w:val="00635BA7"/>
    <w:rsid w:val="00636074"/>
    <w:rsid w:val="006365EA"/>
    <w:rsid w:val="0063712C"/>
    <w:rsid w:val="00637374"/>
    <w:rsid w:val="00637C7C"/>
    <w:rsid w:val="006400B5"/>
    <w:rsid w:val="006406A0"/>
    <w:rsid w:val="00640BB2"/>
    <w:rsid w:val="00641A2D"/>
    <w:rsid w:val="00643F5E"/>
    <w:rsid w:val="006449AF"/>
    <w:rsid w:val="00645AF4"/>
    <w:rsid w:val="00646D08"/>
    <w:rsid w:val="006502C3"/>
    <w:rsid w:val="00650CA8"/>
    <w:rsid w:val="00651640"/>
    <w:rsid w:val="00651ADF"/>
    <w:rsid w:val="00652660"/>
    <w:rsid w:val="00652F75"/>
    <w:rsid w:val="006574EA"/>
    <w:rsid w:val="00661BB6"/>
    <w:rsid w:val="00661CDA"/>
    <w:rsid w:val="006628E1"/>
    <w:rsid w:val="006630A0"/>
    <w:rsid w:val="00663284"/>
    <w:rsid w:val="0066396C"/>
    <w:rsid w:val="00663DB6"/>
    <w:rsid w:val="00664A06"/>
    <w:rsid w:val="00665B79"/>
    <w:rsid w:val="006663AA"/>
    <w:rsid w:val="0066745B"/>
    <w:rsid w:val="00667F57"/>
    <w:rsid w:val="0067127B"/>
    <w:rsid w:val="0067158B"/>
    <w:rsid w:val="006726F6"/>
    <w:rsid w:val="00672E5A"/>
    <w:rsid w:val="00676B9C"/>
    <w:rsid w:val="0067748C"/>
    <w:rsid w:val="0067775B"/>
    <w:rsid w:val="0068115C"/>
    <w:rsid w:val="00681A6D"/>
    <w:rsid w:val="006824BE"/>
    <w:rsid w:val="00682902"/>
    <w:rsid w:val="00683F3A"/>
    <w:rsid w:val="00684527"/>
    <w:rsid w:val="0068652E"/>
    <w:rsid w:val="00686736"/>
    <w:rsid w:val="006867D9"/>
    <w:rsid w:val="006876FD"/>
    <w:rsid w:val="00687928"/>
    <w:rsid w:val="0069147A"/>
    <w:rsid w:val="0069163F"/>
    <w:rsid w:val="00691DBB"/>
    <w:rsid w:val="0069227E"/>
    <w:rsid w:val="0069507D"/>
    <w:rsid w:val="006A09A5"/>
    <w:rsid w:val="006A3C7C"/>
    <w:rsid w:val="006A4253"/>
    <w:rsid w:val="006A596C"/>
    <w:rsid w:val="006A5A92"/>
    <w:rsid w:val="006A79E7"/>
    <w:rsid w:val="006A7D4D"/>
    <w:rsid w:val="006B0E41"/>
    <w:rsid w:val="006B1E32"/>
    <w:rsid w:val="006B3031"/>
    <w:rsid w:val="006B3273"/>
    <w:rsid w:val="006B3DA1"/>
    <w:rsid w:val="006B41CB"/>
    <w:rsid w:val="006B5C71"/>
    <w:rsid w:val="006B6357"/>
    <w:rsid w:val="006B679B"/>
    <w:rsid w:val="006B7F0E"/>
    <w:rsid w:val="006C02B3"/>
    <w:rsid w:val="006C0E2A"/>
    <w:rsid w:val="006C46C5"/>
    <w:rsid w:val="006C4B43"/>
    <w:rsid w:val="006C5FE8"/>
    <w:rsid w:val="006D05D3"/>
    <w:rsid w:val="006D08E8"/>
    <w:rsid w:val="006D0D07"/>
    <w:rsid w:val="006D1523"/>
    <w:rsid w:val="006D36EC"/>
    <w:rsid w:val="006D3C3E"/>
    <w:rsid w:val="006D530C"/>
    <w:rsid w:val="006D5F78"/>
    <w:rsid w:val="006D6DC1"/>
    <w:rsid w:val="006D6F9A"/>
    <w:rsid w:val="006D739D"/>
    <w:rsid w:val="006D794F"/>
    <w:rsid w:val="006D79AA"/>
    <w:rsid w:val="006D7B71"/>
    <w:rsid w:val="006E0F1D"/>
    <w:rsid w:val="006E15B3"/>
    <w:rsid w:val="006E1FB3"/>
    <w:rsid w:val="006E268C"/>
    <w:rsid w:val="006E2C8E"/>
    <w:rsid w:val="006E446F"/>
    <w:rsid w:val="006E51D9"/>
    <w:rsid w:val="006E557D"/>
    <w:rsid w:val="006E6291"/>
    <w:rsid w:val="006E630B"/>
    <w:rsid w:val="006F1EC9"/>
    <w:rsid w:val="006F3673"/>
    <w:rsid w:val="006F5544"/>
    <w:rsid w:val="006F6A53"/>
    <w:rsid w:val="006F7CE8"/>
    <w:rsid w:val="006F7D34"/>
    <w:rsid w:val="0070028F"/>
    <w:rsid w:val="00701353"/>
    <w:rsid w:val="0070524C"/>
    <w:rsid w:val="00705B08"/>
    <w:rsid w:val="00707763"/>
    <w:rsid w:val="00710619"/>
    <w:rsid w:val="007148AF"/>
    <w:rsid w:val="00714BFC"/>
    <w:rsid w:val="00715F3D"/>
    <w:rsid w:val="00717AB1"/>
    <w:rsid w:val="00717C64"/>
    <w:rsid w:val="00717C80"/>
    <w:rsid w:val="00717E9E"/>
    <w:rsid w:val="00717FC9"/>
    <w:rsid w:val="007213F9"/>
    <w:rsid w:val="00721616"/>
    <w:rsid w:val="007216F4"/>
    <w:rsid w:val="00721FA0"/>
    <w:rsid w:val="00723983"/>
    <w:rsid w:val="00723A8F"/>
    <w:rsid w:val="00723D07"/>
    <w:rsid w:val="00723D2A"/>
    <w:rsid w:val="00724F55"/>
    <w:rsid w:val="00725377"/>
    <w:rsid w:val="00726FAE"/>
    <w:rsid w:val="00727DE3"/>
    <w:rsid w:val="0073042E"/>
    <w:rsid w:val="00730E45"/>
    <w:rsid w:val="00731AD7"/>
    <w:rsid w:val="0073350F"/>
    <w:rsid w:val="0073398E"/>
    <w:rsid w:val="00733D70"/>
    <w:rsid w:val="007345C8"/>
    <w:rsid w:val="00736F0E"/>
    <w:rsid w:val="00737C03"/>
    <w:rsid w:val="00740CF1"/>
    <w:rsid w:val="00740E80"/>
    <w:rsid w:val="00741375"/>
    <w:rsid w:val="007425B1"/>
    <w:rsid w:val="007437BB"/>
    <w:rsid w:val="00743CB0"/>
    <w:rsid w:val="00744DA5"/>
    <w:rsid w:val="0074517B"/>
    <w:rsid w:val="00745E33"/>
    <w:rsid w:val="00746565"/>
    <w:rsid w:val="00750D87"/>
    <w:rsid w:val="007555AC"/>
    <w:rsid w:val="007556AC"/>
    <w:rsid w:val="007565A3"/>
    <w:rsid w:val="007571E2"/>
    <w:rsid w:val="00757A95"/>
    <w:rsid w:val="00760354"/>
    <w:rsid w:val="0076042C"/>
    <w:rsid w:val="00760E91"/>
    <w:rsid w:val="00763050"/>
    <w:rsid w:val="007635D3"/>
    <w:rsid w:val="00764321"/>
    <w:rsid w:val="00765BEF"/>
    <w:rsid w:val="00773080"/>
    <w:rsid w:val="007735AB"/>
    <w:rsid w:val="00773927"/>
    <w:rsid w:val="00773E4E"/>
    <w:rsid w:val="00775CC5"/>
    <w:rsid w:val="00775FFA"/>
    <w:rsid w:val="00776265"/>
    <w:rsid w:val="00777AC5"/>
    <w:rsid w:val="007803AF"/>
    <w:rsid w:val="00780989"/>
    <w:rsid w:val="007820F9"/>
    <w:rsid w:val="0078259F"/>
    <w:rsid w:val="0078283B"/>
    <w:rsid w:val="00782872"/>
    <w:rsid w:val="00782DE2"/>
    <w:rsid w:val="00784287"/>
    <w:rsid w:val="00785086"/>
    <w:rsid w:val="007853C7"/>
    <w:rsid w:val="00785F5D"/>
    <w:rsid w:val="00787679"/>
    <w:rsid w:val="00791A39"/>
    <w:rsid w:val="00791CA4"/>
    <w:rsid w:val="00792322"/>
    <w:rsid w:val="007923A7"/>
    <w:rsid w:val="00793A87"/>
    <w:rsid w:val="00793E1C"/>
    <w:rsid w:val="00795186"/>
    <w:rsid w:val="0079622A"/>
    <w:rsid w:val="00796941"/>
    <w:rsid w:val="00796AAA"/>
    <w:rsid w:val="007A0AEF"/>
    <w:rsid w:val="007A5456"/>
    <w:rsid w:val="007A6185"/>
    <w:rsid w:val="007A6C7A"/>
    <w:rsid w:val="007A6D63"/>
    <w:rsid w:val="007A78D1"/>
    <w:rsid w:val="007B10B3"/>
    <w:rsid w:val="007B1448"/>
    <w:rsid w:val="007B15F7"/>
    <w:rsid w:val="007B1D12"/>
    <w:rsid w:val="007B2F17"/>
    <w:rsid w:val="007B46B3"/>
    <w:rsid w:val="007B5C53"/>
    <w:rsid w:val="007B5CD8"/>
    <w:rsid w:val="007B602B"/>
    <w:rsid w:val="007B6D51"/>
    <w:rsid w:val="007B7396"/>
    <w:rsid w:val="007C24AF"/>
    <w:rsid w:val="007C3CE2"/>
    <w:rsid w:val="007C3DC9"/>
    <w:rsid w:val="007C3F88"/>
    <w:rsid w:val="007C4EAE"/>
    <w:rsid w:val="007C73A3"/>
    <w:rsid w:val="007D1D2B"/>
    <w:rsid w:val="007D228A"/>
    <w:rsid w:val="007D4FEB"/>
    <w:rsid w:val="007D5FD1"/>
    <w:rsid w:val="007E1A5C"/>
    <w:rsid w:val="007E1D91"/>
    <w:rsid w:val="007E2857"/>
    <w:rsid w:val="007E2EBF"/>
    <w:rsid w:val="007E2EF3"/>
    <w:rsid w:val="007E36C3"/>
    <w:rsid w:val="007E47E8"/>
    <w:rsid w:val="007E6B5D"/>
    <w:rsid w:val="007E6DD9"/>
    <w:rsid w:val="007F4190"/>
    <w:rsid w:val="007F4E53"/>
    <w:rsid w:val="007F5ABC"/>
    <w:rsid w:val="007F6F13"/>
    <w:rsid w:val="007F6F15"/>
    <w:rsid w:val="00800121"/>
    <w:rsid w:val="008002A6"/>
    <w:rsid w:val="00800A2D"/>
    <w:rsid w:val="008018D9"/>
    <w:rsid w:val="0080546A"/>
    <w:rsid w:val="008061AE"/>
    <w:rsid w:val="00806335"/>
    <w:rsid w:val="00807948"/>
    <w:rsid w:val="008105E2"/>
    <w:rsid w:val="008110DA"/>
    <w:rsid w:val="0081137E"/>
    <w:rsid w:val="0081157E"/>
    <w:rsid w:val="008128CA"/>
    <w:rsid w:val="00813037"/>
    <w:rsid w:val="00813440"/>
    <w:rsid w:val="00814FBB"/>
    <w:rsid w:val="00817A03"/>
    <w:rsid w:val="00820165"/>
    <w:rsid w:val="00820889"/>
    <w:rsid w:val="00820DB6"/>
    <w:rsid w:val="00821493"/>
    <w:rsid w:val="00821B0F"/>
    <w:rsid w:val="00822733"/>
    <w:rsid w:val="00823380"/>
    <w:rsid w:val="00823B45"/>
    <w:rsid w:val="008253AF"/>
    <w:rsid w:val="00825C30"/>
    <w:rsid w:val="00826B87"/>
    <w:rsid w:val="00827EFD"/>
    <w:rsid w:val="0083003C"/>
    <w:rsid w:val="00831B8F"/>
    <w:rsid w:val="0083332D"/>
    <w:rsid w:val="00834337"/>
    <w:rsid w:val="008357E3"/>
    <w:rsid w:val="00836495"/>
    <w:rsid w:val="00837259"/>
    <w:rsid w:val="008414B9"/>
    <w:rsid w:val="0084238B"/>
    <w:rsid w:val="008430A5"/>
    <w:rsid w:val="0084318E"/>
    <w:rsid w:val="0084496F"/>
    <w:rsid w:val="00844FC1"/>
    <w:rsid w:val="00845BB2"/>
    <w:rsid w:val="008476E5"/>
    <w:rsid w:val="00850983"/>
    <w:rsid w:val="00852998"/>
    <w:rsid w:val="00853C4B"/>
    <w:rsid w:val="00854B2B"/>
    <w:rsid w:val="00856941"/>
    <w:rsid w:val="00856F00"/>
    <w:rsid w:val="00857A7C"/>
    <w:rsid w:val="00857D09"/>
    <w:rsid w:val="00860DB5"/>
    <w:rsid w:val="008636FA"/>
    <w:rsid w:val="00863B19"/>
    <w:rsid w:val="00864864"/>
    <w:rsid w:val="00864FC0"/>
    <w:rsid w:val="0086546A"/>
    <w:rsid w:val="00865615"/>
    <w:rsid w:val="008669B7"/>
    <w:rsid w:val="00866A0F"/>
    <w:rsid w:val="0086742A"/>
    <w:rsid w:val="008675A4"/>
    <w:rsid w:val="00870130"/>
    <w:rsid w:val="008703F4"/>
    <w:rsid w:val="00870D4D"/>
    <w:rsid w:val="00871169"/>
    <w:rsid w:val="00873D57"/>
    <w:rsid w:val="00874112"/>
    <w:rsid w:val="0087439A"/>
    <w:rsid w:val="00874767"/>
    <w:rsid w:val="008747F9"/>
    <w:rsid w:val="00874E16"/>
    <w:rsid w:val="00874F47"/>
    <w:rsid w:val="0087546F"/>
    <w:rsid w:val="0087579E"/>
    <w:rsid w:val="008775FF"/>
    <w:rsid w:val="008777DC"/>
    <w:rsid w:val="008778B5"/>
    <w:rsid w:val="00880861"/>
    <w:rsid w:val="00880BCE"/>
    <w:rsid w:val="008810AF"/>
    <w:rsid w:val="008819E4"/>
    <w:rsid w:val="00882D8E"/>
    <w:rsid w:val="008830EF"/>
    <w:rsid w:val="00884773"/>
    <w:rsid w:val="00884C24"/>
    <w:rsid w:val="00885077"/>
    <w:rsid w:val="00887D31"/>
    <w:rsid w:val="008933CF"/>
    <w:rsid w:val="00894107"/>
    <w:rsid w:val="00895362"/>
    <w:rsid w:val="008959CC"/>
    <w:rsid w:val="008A122A"/>
    <w:rsid w:val="008A225D"/>
    <w:rsid w:val="008A2262"/>
    <w:rsid w:val="008A4630"/>
    <w:rsid w:val="008A464F"/>
    <w:rsid w:val="008A49B3"/>
    <w:rsid w:val="008A4B2B"/>
    <w:rsid w:val="008A5A4A"/>
    <w:rsid w:val="008A5BD6"/>
    <w:rsid w:val="008B06DA"/>
    <w:rsid w:val="008B2F68"/>
    <w:rsid w:val="008B3E6E"/>
    <w:rsid w:val="008B4F22"/>
    <w:rsid w:val="008B5AE2"/>
    <w:rsid w:val="008B5B7E"/>
    <w:rsid w:val="008C05BB"/>
    <w:rsid w:val="008C062D"/>
    <w:rsid w:val="008C0DB1"/>
    <w:rsid w:val="008C3327"/>
    <w:rsid w:val="008C3E98"/>
    <w:rsid w:val="008C4163"/>
    <w:rsid w:val="008C4D1B"/>
    <w:rsid w:val="008C510F"/>
    <w:rsid w:val="008C6CA6"/>
    <w:rsid w:val="008D0B81"/>
    <w:rsid w:val="008D1374"/>
    <w:rsid w:val="008D53E5"/>
    <w:rsid w:val="008D5874"/>
    <w:rsid w:val="008D5AC4"/>
    <w:rsid w:val="008D5FE5"/>
    <w:rsid w:val="008D5FE6"/>
    <w:rsid w:val="008D6657"/>
    <w:rsid w:val="008E18D4"/>
    <w:rsid w:val="008E1FA7"/>
    <w:rsid w:val="008E347C"/>
    <w:rsid w:val="008E4D2E"/>
    <w:rsid w:val="008E52ED"/>
    <w:rsid w:val="008E5D3E"/>
    <w:rsid w:val="008E5EA9"/>
    <w:rsid w:val="008E659C"/>
    <w:rsid w:val="008E79D2"/>
    <w:rsid w:val="008F1A98"/>
    <w:rsid w:val="008F1A9B"/>
    <w:rsid w:val="008F258C"/>
    <w:rsid w:val="008F2D23"/>
    <w:rsid w:val="008F3BB8"/>
    <w:rsid w:val="008F4513"/>
    <w:rsid w:val="008F47D1"/>
    <w:rsid w:val="008F5B45"/>
    <w:rsid w:val="008F6EFA"/>
    <w:rsid w:val="008F72BE"/>
    <w:rsid w:val="008F7ACD"/>
    <w:rsid w:val="009006DA"/>
    <w:rsid w:val="00900992"/>
    <w:rsid w:val="00900D4D"/>
    <w:rsid w:val="00901417"/>
    <w:rsid w:val="009038BC"/>
    <w:rsid w:val="009046DF"/>
    <w:rsid w:val="009052EA"/>
    <w:rsid w:val="00906A8B"/>
    <w:rsid w:val="009076D1"/>
    <w:rsid w:val="00910B2E"/>
    <w:rsid w:val="00911C81"/>
    <w:rsid w:val="00914562"/>
    <w:rsid w:val="00914D9E"/>
    <w:rsid w:val="0091682D"/>
    <w:rsid w:val="00922218"/>
    <w:rsid w:val="00922370"/>
    <w:rsid w:val="0092388A"/>
    <w:rsid w:val="00924CF9"/>
    <w:rsid w:val="00925B43"/>
    <w:rsid w:val="00925BE7"/>
    <w:rsid w:val="00925CBE"/>
    <w:rsid w:val="009263E2"/>
    <w:rsid w:val="00927D62"/>
    <w:rsid w:val="00932192"/>
    <w:rsid w:val="00933F70"/>
    <w:rsid w:val="00936037"/>
    <w:rsid w:val="009374D8"/>
    <w:rsid w:val="00940B6B"/>
    <w:rsid w:val="00943412"/>
    <w:rsid w:val="00943B2E"/>
    <w:rsid w:val="0094536C"/>
    <w:rsid w:val="00945D11"/>
    <w:rsid w:val="009472D2"/>
    <w:rsid w:val="009503E2"/>
    <w:rsid w:val="00950826"/>
    <w:rsid w:val="00952942"/>
    <w:rsid w:val="009529B0"/>
    <w:rsid w:val="009529C9"/>
    <w:rsid w:val="00952C7F"/>
    <w:rsid w:val="009557F9"/>
    <w:rsid w:val="00956943"/>
    <w:rsid w:val="009604AC"/>
    <w:rsid w:val="00960F67"/>
    <w:rsid w:val="00961CD2"/>
    <w:rsid w:val="00962B76"/>
    <w:rsid w:val="00964771"/>
    <w:rsid w:val="0096485F"/>
    <w:rsid w:val="009668BF"/>
    <w:rsid w:val="00967D33"/>
    <w:rsid w:val="0097061F"/>
    <w:rsid w:val="00971C5C"/>
    <w:rsid w:val="0097228D"/>
    <w:rsid w:val="00972C70"/>
    <w:rsid w:val="00974224"/>
    <w:rsid w:val="00974EAD"/>
    <w:rsid w:val="00974F8D"/>
    <w:rsid w:val="00974FF1"/>
    <w:rsid w:val="00975D34"/>
    <w:rsid w:val="009767D3"/>
    <w:rsid w:val="00976AF0"/>
    <w:rsid w:val="00977A55"/>
    <w:rsid w:val="009809A8"/>
    <w:rsid w:val="00980C34"/>
    <w:rsid w:val="0098197E"/>
    <w:rsid w:val="009819FB"/>
    <w:rsid w:val="00982BF2"/>
    <w:rsid w:val="00983D52"/>
    <w:rsid w:val="0098681B"/>
    <w:rsid w:val="00986F27"/>
    <w:rsid w:val="00987873"/>
    <w:rsid w:val="0099055B"/>
    <w:rsid w:val="00992E31"/>
    <w:rsid w:val="009946B9"/>
    <w:rsid w:val="009976EB"/>
    <w:rsid w:val="00997B79"/>
    <w:rsid w:val="009A0EA5"/>
    <w:rsid w:val="009A1613"/>
    <w:rsid w:val="009A173E"/>
    <w:rsid w:val="009A392C"/>
    <w:rsid w:val="009A3D18"/>
    <w:rsid w:val="009A4E1D"/>
    <w:rsid w:val="009A53CC"/>
    <w:rsid w:val="009A7001"/>
    <w:rsid w:val="009A7DA5"/>
    <w:rsid w:val="009B01D4"/>
    <w:rsid w:val="009B0834"/>
    <w:rsid w:val="009B0C22"/>
    <w:rsid w:val="009B2B08"/>
    <w:rsid w:val="009B36E8"/>
    <w:rsid w:val="009B7253"/>
    <w:rsid w:val="009C2E28"/>
    <w:rsid w:val="009C61D1"/>
    <w:rsid w:val="009C791F"/>
    <w:rsid w:val="009D0A47"/>
    <w:rsid w:val="009D0A4F"/>
    <w:rsid w:val="009D217F"/>
    <w:rsid w:val="009D3728"/>
    <w:rsid w:val="009D3969"/>
    <w:rsid w:val="009D3D97"/>
    <w:rsid w:val="009D4F53"/>
    <w:rsid w:val="009D6CB0"/>
    <w:rsid w:val="009E03BE"/>
    <w:rsid w:val="009E07BB"/>
    <w:rsid w:val="009E18B6"/>
    <w:rsid w:val="009E29DE"/>
    <w:rsid w:val="009E2F13"/>
    <w:rsid w:val="009E4824"/>
    <w:rsid w:val="009E67C9"/>
    <w:rsid w:val="009E6DE8"/>
    <w:rsid w:val="009E7AB9"/>
    <w:rsid w:val="009F0593"/>
    <w:rsid w:val="009F1949"/>
    <w:rsid w:val="009F1DF6"/>
    <w:rsid w:val="009F2C77"/>
    <w:rsid w:val="009F39CE"/>
    <w:rsid w:val="009F4224"/>
    <w:rsid w:val="009F4A72"/>
    <w:rsid w:val="009F4E7B"/>
    <w:rsid w:val="009F5327"/>
    <w:rsid w:val="009F566A"/>
    <w:rsid w:val="009F6DDF"/>
    <w:rsid w:val="00A007F3"/>
    <w:rsid w:val="00A00A9C"/>
    <w:rsid w:val="00A01992"/>
    <w:rsid w:val="00A01EBF"/>
    <w:rsid w:val="00A03115"/>
    <w:rsid w:val="00A03264"/>
    <w:rsid w:val="00A0400A"/>
    <w:rsid w:val="00A0540E"/>
    <w:rsid w:val="00A054C0"/>
    <w:rsid w:val="00A05A22"/>
    <w:rsid w:val="00A05F81"/>
    <w:rsid w:val="00A068A7"/>
    <w:rsid w:val="00A073CB"/>
    <w:rsid w:val="00A12D37"/>
    <w:rsid w:val="00A1324F"/>
    <w:rsid w:val="00A13D12"/>
    <w:rsid w:val="00A14621"/>
    <w:rsid w:val="00A14D2B"/>
    <w:rsid w:val="00A15A2B"/>
    <w:rsid w:val="00A16415"/>
    <w:rsid w:val="00A1664D"/>
    <w:rsid w:val="00A16723"/>
    <w:rsid w:val="00A2056F"/>
    <w:rsid w:val="00A209AB"/>
    <w:rsid w:val="00A21090"/>
    <w:rsid w:val="00A22363"/>
    <w:rsid w:val="00A22BAF"/>
    <w:rsid w:val="00A2310F"/>
    <w:rsid w:val="00A24090"/>
    <w:rsid w:val="00A24E68"/>
    <w:rsid w:val="00A260C9"/>
    <w:rsid w:val="00A2642A"/>
    <w:rsid w:val="00A26AD5"/>
    <w:rsid w:val="00A26E20"/>
    <w:rsid w:val="00A27B1B"/>
    <w:rsid w:val="00A30F05"/>
    <w:rsid w:val="00A35EDE"/>
    <w:rsid w:val="00A36CA9"/>
    <w:rsid w:val="00A37D34"/>
    <w:rsid w:val="00A37D85"/>
    <w:rsid w:val="00A40AE4"/>
    <w:rsid w:val="00A42FC1"/>
    <w:rsid w:val="00A43A6C"/>
    <w:rsid w:val="00A4415A"/>
    <w:rsid w:val="00A44704"/>
    <w:rsid w:val="00A44EE9"/>
    <w:rsid w:val="00A478DC"/>
    <w:rsid w:val="00A50C3F"/>
    <w:rsid w:val="00A50FBD"/>
    <w:rsid w:val="00A515A1"/>
    <w:rsid w:val="00A51FCA"/>
    <w:rsid w:val="00A531BA"/>
    <w:rsid w:val="00A54060"/>
    <w:rsid w:val="00A54D62"/>
    <w:rsid w:val="00A57204"/>
    <w:rsid w:val="00A57824"/>
    <w:rsid w:val="00A6076B"/>
    <w:rsid w:val="00A60B19"/>
    <w:rsid w:val="00A639AD"/>
    <w:rsid w:val="00A6486D"/>
    <w:rsid w:val="00A648C5"/>
    <w:rsid w:val="00A657DB"/>
    <w:rsid w:val="00A658F4"/>
    <w:rsid w:val="00A65D84"/>
    <w:rsid w:val="00A667E6"/>
    <w:rsid w:val="00A668D6"/>
    <w:rsid w:val="00A67B26"/>
    <w:rsid w:val="00A70000"/>
    <w:rsid w:val="00A702CA"/>
    <w:rsid w:val="00A7111B"/>
    <w:rsid w:val="00A7160C"/>
    <w:rsid w:val="00A716DD"/>
    <w:rsid w:val="00A71E30"/>
    <w:rsid w:val="00A72468"/>
    <w:rsid w:val="00A72F8E"/>
    <w:rsid w:val="00A7315F"/>
    <w:rsid w:val="00A7332E"/>
    <w:rsid w:val="00A73F8A"/>
    <w:rsid w:val="00A745EB"/>
    <w:rsid w:val="00A749A9"/>
    <w:rsid w:val="00A751DD"/>
    <w:rsid w:val="00A7721C"/>
    <w:rsid w:val="00A80A89"/>
    <w:rsid w:val="00A8254A"/>
    <w:rsid w:val="00A825D0"/>
    <w:rsid w:val="00A84B4A"/>
    <w:rsid w:val="00A8573B"/>
    <w:rsid w:val="00A86979"/>
    <w:rsid w:val="00A8740D"/>
    <w:rsid w:val="00A87799"/>
    <w:rsid w:val="00A90192"/>
    <w:rsid w:val="00A90BF8"/>
    <w:rsid w:val="00A91F7E"/>
    <w:rsid w:val="00A93200"/>
    <w:rsid w:val="00A9330B"/>
    <w:rsid w:val="00A940EB"/>
    <w:rsid w:val="00A948BA"/>
    <w:rsid w:val="00A965BF"/>
    <w:rsid w:val="00A971B5"/>
    <w:rsid w:val="00AA18B0"/>
    <w:rsid w:val="00AA2C39"/>
    <w:rsid w:val="00AA378D"/>
    <w:rsid w:val="00AA49A5"/>
    <w:rsid w:val="00AA4E0C"/>
    <w:rsid w:val="00AA532F"/>
    <w:rsid w:val="00AA5A4E"/>
    <w:rsid w:val="00AA6411"/>
    <w:rsid w:val="00AB055E"/>
    <w:rsid w:val="00AB11ED"/>
    <w:rsid w:val="00AB1F96"/>
    <w:rsid w:val="00AB2B6C"/>
    <w:rsid w:val="00AB307D"/>
    <w:rsid w:val="00AB3602"/>
    <w:rsid w:val="00AB49D2"/>
    <w:rsid w:val="00AB49D8"/>
    <w:rsid w:val="00AB4C17"/>
    <w:rsid w:val="00AB5AFC"/>
    <w:rsid w:val="00AB5B22"/>
    <w:rsid w:val="00AC26D4"/>
    <w:rsid w:val="00AC271A"/>
    <w:rsid w:val="00AC28CD"/>
    <w:rsid w:val="00AC2C70"/>
    <w:rsid w:val="00AC3A2F"/>
    <w:rsid w:val="00AC41E0"/>
    <w:rsid w:val="00AC4678"/>
    <w:rsid w:val="00AC5626"/>
    <w:rsid w:val="00AC6146"/>
    <w:rsid w:val="00AC64A5"/>
    <w:rsid w:val="00AD0E1B"/>
    <w:rsid w:val="00AD221D"/>
    <w:rsid w:val="00AD2964"/>
    <w:rsid w:val="00AD365B"/>
    <w:rsid w:val="00AD3963"/>
    <w:rsid w:val="00AD59C1"/>
    <w:rsid w:val="00AD5C3C"/>
    <w:rsid w:val="00AD67B3"/>
    <w:rsid w:val="00AD787A"/>
    <w:rsid w:val="00AD7D50"/>
    <w:rsid w:val="00AE0778"/>
    <w:rsid w:val="00AE1E35"/>
    <w:rsid w:val="00AE270B"/>
    <w:rsid w:val="00AE4D35"/>
    <w:rsid w:val="00AE5DAC"/>
    <w:rsid w:val="00AE6117"/>
    <w:rsid w:val="00AE64FD"/>
    <w:rsid w:val="00AE6F06"/>
    <w:rsid w:val="00AF00DF"/>
    <w:rsid w:val="00AF04CD"/>
    <w:rsid w:val="00AF0A2F"/>
    <w:rsid w:val="00AF217C"/>
    <w:rsid w:val="00AF2E94"/>
    <w:rsid w:val="00AF33DF"/>
    <w:rsid w:val="00AF7516"/>
    <w:rsid w:val="00B01257"/>
    <w:rsid w:val="00B031B2"/>
    <w:rsid w:val="00B035B7"/>
    <w:rsid w:val="00B05B01"/>
    <w:rsid w:val="00B0732B"/>
    <w:rsid w:val="00B1002E"/>
    <w:rsid w:val="00B10358"/>
    <w:rsid w:val="00B10FB3"/>
    <w:rsid w:val="00B118D6"/>
    <w:rsid w:val="00B11AF5"/>
    <w:rsid w:val="00B12ED2"/>
    <w:rsid w:val="00B1318A"/>
    <w:rsid w:val="00B15406"/>
    <w:rsid w:val="00B1547E"/>
    <w:rsid w:val="00B168B7"/>
    <w:rsid w:val="00B17010"/>
    <w:rsid w:val="00B171D4"/>
    <w:rsid w:val="00B177DF"/>
    <w:rsid w:val="00B2067B"/>
    <w:rsid w:val="00B22181"/>
    <w:rsid w:val="00B2224E"/>
    <w:rsid w:val="00B23873"/>
    <w:rsid w:val="00B241CE"/>
    <w:rsid w:val="00B24ABA"/>
    <w:rsid w:val="00B27A91"/>
    <w:rsid w:val="00B3001D"/>
    <w:rsid w:val="00B3201C"/>
    <w:rsid w:val="00B325FE"/>
    <w:rsid w:val="00B329DF"/>
    <w:rsid w:val="00B32FDB"/>
    <w:rsid w:val="00B37571"/>
    <w:rsid w:val="00B376D8"/>
    <w:rsid w:val="00B37FEA"/>
    <w:rsid w:val="00B4064C"/>
    <w:rsid w:val="00B407BF"/>
    <w:rsid w:val="00B41B2B"/>
    <w:rsid w:val="00B426ED"/>
    <w:rsid w:val="00B42E0C"/>
    <w:rsid w:val="00B43A8A"/>
    <w:rsid w:val="00B45894"/>
    <w:rsid w:val="00B45EEC"/>
    <w:rsid w:val="00B46400"/>
    <w:rsid w:val="00B46E5C"/>
    <w:rsid w:val="00B47310"/>
    <w:rsid w:val="00B47827"/>
    <w:rsid w:val="00B47FE1"/>
    <w:rsid w:val="00B506FA"/>
    <w:rsid w:val="00B5198C"/>
    <w:rsid w:val="00B537AD"/>
    <w:rsid w:val="00B53873"/>
    <w:rsid w:val="00B54903"/>
    <w:rsid w:val="00B54A4C"/>
    <w:rsid w:val="00B56365"/>
    <w:rsid w:val="00B60990"/>
    <w:rsid w:val="00B60D1F"/>
    <w:rsid w:val="00B622C6"/>
    <w:rsid w:val="00B62973"/>
    <w:rsid w:val="00B629FE"/>
    <w:rsid w:val="00B637B2"/>
    <w:rsid w:val="00B65134"/>
    <w:rsid w:val="00B659B6"/>
    <w:rsid w:val="00B66603"/>
    <w:rsid w:val="00B66D4E"/>
    <w:rsid w:val="00B6757E"/>
    <w:rsid w:val="00B70A02"/>
    <w:rsid w:val="00B70AEE"/>
    <w:rsid w:val="00B71003"/>
    <w:rsid w:val="00B71271"/>
    <w:rsid w:val="00B7160F"/>
    <w:rsid w:val="00B7199B"/>
    <w:rsid w:val="00B71ADF"/>
    <w:rsid w:val="00B71B87"/>
    <w:rsid w:val="00B73110"/>
    <w:rsid w:val="00B731F9"/>
    <w:rsid w:val="00B7434F"/>
    <w:rsid w:val="00B7501C"/>
    <w:rsid w:val="00B75EF3"/>
    <w:rsid w:val="00B76530"/>
    <w:rsid w:val="00B76B70"/>
    <w:rsid w:val="00B7749D"/>
    <w:rsid w:val="00B77A65"/>
    <w:rsid w:val="00B77EF4"/>
    <w:rsid w:val="00B81764"/>
    <w:rsid w:val="00B81BC0"/>
    <w:rsid w:val="00B81F23"/>
    <w:rsid w:val="00B82A3A"/>
    <w:rsid w:val="00B83B44"/>
    <w:rsid w:val="00B87355"/>
    <w:rsid w:val="00B879B4"/>
    <w:rsid w:val="00B908EA"/>
    <w:rsid w:val="00B90A19"/>
    <w:rsid w:val="00B931B4"/>
    <w:rsid w:val="00B936D7"/>
    <w:rsid w:val="00B94532"/>
    <w:rsid w:val="00B94E2B"/>
    <w:rsid w:val="00B955A3"/>
    <w:rsid w:val="00B957AD"/>
    <w:rsid w:val="00B9782D"/>
    <w:rsid w:val="00BA06EA"/>
    <w:rsid w:val="00BA1D16"/>
    <w:rsid w:val="00BA20DE"/>
    <w:rsid w:val="00BA38D2"/>
    <w:rsid w:val="00BA44E1"/>
    <w:rsid w:val="00BA477D"/>
    <w:rsid w:val="00BA570A"/>
    <w:rsid w:val="00BA657A"/>
    <w:rsid w:val="00BA6C34"/>
    <w:rsid w:val="00BA6C54"/>
    <w:rsid w:val="00BB099C"/>
    <w:rsid w:val="00BB0DF4"/>
    <w:rsid w:val="00BB1BF7"/>
    <w:rsid w:val="00BB21F0"/>
    <w:rsid w:val="00BB3B76"/>
    <w:rsid w:val="00BB3CFF"/>
    <w:rsid w:val="00BB4CCD"/>
    <w:rsid w:val="00BB5951"/>
    <w:rsid w:val="00BB5C83"/>
    <w:rsid w:val="00BB643C"/>
    <w:rsid w:val="00BB657C"/>
    <w:rsid w:val="00BB684B"/>
    <w:rsid w:val="00BB7010"/>
    <w:rsid w:val="00BC08FF"/>
    <w:rsid w:val="00BC09E8"/>
    <w:rsid w:val="00BC2444"/>
    <w:rsid w:val="00BC336B"/>
    <w:rsid w:val="00BC499A"/>
    <w:rsid w:val="00BC535D"/>
    <w:rsid w:val="00BC717E"/>
    <w:rsid w:val="00BD1CB7"/>
    <w:rsid w:val="00BD36F2"/>
    <w:rsid w:val="00BD4DFE"/>
    <w:rsid w:val="00BD593F"/>
    <w:rsid w:val="00BD6706"/>
    <w:rsid w:val="00BD7BAA"/>
    <w:rsid w:val="00BE0D08"/>
    <w:rsid w:val="00BE0E63"/>
    <w:rsid w:val="00BE36EE"/>
    <w:rsid w:val="00BE5574"/>
    <w:rsid w:val="00BE630D"/>
    <w:rsid w:val="00BE6E5D"/>
    <w:rsid w:val="00BE7ED8"/>
    <w:rsid w:val="00BF03BC"/>
    <w:rsid w:val="00BF2B00"/>
    <w:rsid w:val="00BF36F6"/>
    <w:rsid w:val="00BF5FB0"/>
    <w:rsid w:val="00BF6C35"/>
    <w:rsid w:val="00C02B19"/>
    <w:rsid w:val="00C044FD"/>
    <w:rsid w:val="00C05F1D"/>
    <w:rsid w:val="00C067F1"/>
    <w:rsid w:val="00C07512"/>
    <w:rsid w:val="00C10D85"/>
    <w:rsid w:val="00C12A6F"/>
    <w:rsid w:val="00C13127"/>
    <w:rsid w:val="00C14292"/>
    <w:rsid w:val="00C1570C"/>
    <w:rsid w:val="00C15EB9"/>
    <w:rsid w:val="00C16F71"/>
    <w:rsid w:val="00C17CD8"/>
    <w:rsid w:val="00C21142"/>
    <w:rsid w:val="00C2177F"/>
    <w:rsid w:val="00C22361"/>
    <w:rsid w:val="00C2419C"/>
    <w:rsid w:val="00C25BFE"/>
    <w:rsid w:val="00C26D89"/>
    <w:rsid w:val="00C308C3"/>
    <w:rsid w:val="00C31833"/>
    <w:rsid w:val="00C32D2B"/>
    <w:rsid w:val="00C33018"/>
    <w:rsid w:val="00C3331B"/>
    <w:rsid w:val="00C33B4D"/>
    <w:rsid w:val="00C33FF8"/>
    <w:rsid w:val="00C35226"/>
    <w:rsid w:val="00C3559F"/>
    <w:rsid w:val="00C35A49"/>
    <w:rsid w:val="00C36AF1"/>
    <w:rsid w:val="00C37004"/>
    <w:rsid w:val="00C37458"/>
    <w:rsid w:val="00C37AF7"/>
    <w:rsid w:val="00C45E29"/>
    <w:rsid w:val="00C478FD"/>
    <w:rsid w:val="00C501BD"/>
    <w:rsid w:val="00C50204"/>
    <w:rsid w:val="00C525C9"/>
    <w:rsid w:val="00C548F2"/>
    <w:rsid w:val="00C5791B"/>
    <w:rsid w:val="00C61739"/>
    <w:rsid w:val="00C617E5"/>
    <w:rsid w:val="00C620DB"/>
    <w:rsid w:val="00C6219A"/>
    <w:rsid w:val="00C62724"/>
    <w:rsid w:val="00C62B77"/>
    <w:rsid w:val="00C63BD7"/>
    <w:rsid w:val="00C64BF0"/>
    <w:rsid w:val="00C64CFF"/>
    <w:rsid w:val="00C667E4"/>
    <w:rsid w:val="00C6706D"/>
    <w:rsid w:val="00C70D9D"/>
    <w:rsid w:val="00C723F2"/>
    <w:rsid w:val="00C7460D"/>
    <w:rsid w:val="00C753E0"/>
    <w:rsid w:val="00C76A9C"/>
    <w:rsid w:val="00C77054"/>
    <w:rsid w:val="00C80492"/>
    <w:rsid w:val="00C80D4C"/>
    <w:rsid w:val="00C80E1D"/>
    <w:rsid w:val="00C81C96"/>
    <w:rsid w:val="00C82635"/>
    <w:rsid w:val="00C849B1"/>
    <w:rsid w:val="00C8646B"/>
    <w:rsid w:val="00C86EE3"/>
    <w:rsid w:val="00C8734B"/>
    <w:rsid w:val="00C9021F"/>
    <w:rsid w:val="00C9028D"/>
    <w:rsid w:val="00C906FE"/>
    <w:rsid w:val="00C9377F"/>
    <w:rsid w:val="00C94E04"/>
    <w:rsid w:val="00C94E5E"/>
    <w:rsid w:val="00C974E6"/>
    <w:rsid w:val="00CA2801"/>
    <w:rsid w:val="00CA3D1B"/>
    <w:rsid w:val="00CA41BF"/>
    <w:rsid w:val="00CA4DA0"/>
    <w:rsid w:val="00CA539C"/>
    <w:rsid w:val="00CA6D3E"/>
    <w:rsid w:val="00CA73B4"/>
    <w:rsid w:val="00CB0691"/>
    <w:rsid w:val="00CB1FFC"/>
    <w:rsid w:val="00CB22FF"/>
    <w:rsid w:val="00CB3FF3"/>
    <w:rsid w:val="00CB4647"/>
    <w:rsid w:val="00CB527C"/>
    <w:rsid w:val="00CB686E"/>
    <w:rsid w:val="00CC0833"/>
    <w:rsid w:val="00CC0D6C"/>
    <w:rsid w:val="00CC1212"/>
    <w:rsid w:val="00CC156E"/>
    <w:rsid w:val="00CC23D8"/>
    <w:rsid w:val="00CC33E8"/>
    <w:rsid w:val="00CC4AC8"/>
    <w:rsid w:val="00CC51D8"/>
    <w:rsid w:val="00CC546F"/>
    <w:rsid w:val="00CC700B"/>
    <w:rsid w:val="00CD0DE5"/>
    <w:rsid w:val="00CD3CF0"/>
    <w:rsid w:val="00CD55AA"/>
    <w:rsid w:val="00CD72D4"/>
    <w:rsid w:val="00CE1F23"/>
    <w:rsid w:val="00CE2B5F"/>
    <w:rsid w:val="00CE2B7E"/>
    <w:rsid w:val="00CE30CD"/>
    <w:rsid w:val="00CE4043"/>
    <w:rsid w:val="00CE49A6"/>
    <w:rsid w:val="00CE5BA6"/>
    <w:rsid w:val="00CE6A68"/>
    <w:rsid w:val="00CF06A5"/>
    <w:rsid w:val="00CF137D"/>
    <w:rsid w:val="00CF21AE"/>
    <w:rsid w:val="00CF4DEF"/>
    <w:rsid w:val="00CF6DFF"/>
    <w:rsid w:val="00CF7012"/>
    <w:rsid w:val="00CF79A2"/>
    <w:rsid w:val="00D00008"/>
    <w:rsid w:val="00D01164"/>
    <w:rsid w:val="00D032B6"/>
    <w:rsid w:val="00D03C29"/>
    <w:rsid w:val="00D04B8F"/>
    <w:rsid w:val="00D06318"/>
    <w:rsid w:val="00D0638F"/>
    <w:rsid w:val="00D10971"/>
    <w:rsid w:val="00D11686"/>
    <w:rsid w:val="00D11A2C"/>
    <w:rsid w:val="00D11AFF"/>
    <w:rsid w:val="00D1225E"/>
    <w:rsid w:val="00D12D12"/>
    <w:rsid w:val="00D1385D"/>
    <w:rsid w:val="00D14011"/>
    <w:rsid w:val="00D157C9"/>
    <w:rsid w:val="00D16DB0"/>
    <w:rsid w:val="00D20234"/>
    <w:rsid w:val="00D208D0"/>
    <w:rsid w:val="00D20EAE"/>
    <w:rsid w:val="00D212D5"/>
    <w:rsid w:val="00D21E6B"/>
    <w:rsid w:val="00D22244"/>
    <w:rsid w:val="00D230D8"/>
    <w:rsid w:val="00D24B24"/>
    <w:rsid w:val="00D24EB0"/>
    <w:rsid w:val="00D25987"/>
    <w:rsid w:val="00D2658D"/>
    <w:rsid w:val="00D33A32"/>
    <w:rsid w:val="00D350E6"/>
    <w:rsid w:val="00D3690A"/>
    <w:rsid w:val="00D40219"/>
    <w:rsid w:val="00D4341F"/>
    <w:rsid w:val="00D4388A"/>
    <w:rsid w:val="00D45062"/>
    <w:rsid w:val="00D46C32"/>
    <w:rsid w:val="00D4705D"/>
    <w:rsid w:val="00D471AE"/>
    <w:rsid w:val="00D52BF0"/>
    <w:rsid w:val="00D52EC6"/>
    <w:rsid w:val="00D53595"/>
    <w:rsid w:val="00D53C02"/>
    <w:rsid w:val="00D54728"/>
    <w:rsid w:val="00D54FEC"/>
    <w:rsid w:val="00D562E7"/>
    <w:rsid w:val="00D56DF2"/>
    <w:rsid w:val="00D6030C"/>
    <w:rsid w:val="00D615FF"/>
    <w:rsid w:val="00D6188A"/>
    <w:rsid w:val="00D622C9"/>
    <w:rsid w:val="00D626B2"/>
    <w:rsid w:val="00D6375C"/>
    <w:rsid w:val="00D63DB0"/>
    <w:rsid w:val="00D644C7"/>
    <w:rsid w:val="00D66640"/>
    <w:rsid w:val="00D66EE9"/>
    <w:rsid w:val="00D67101"/>
    <w:rsid w:val="00D671FA"/>
    <w:rsid w:val="00D70D85"/>
    <w:rsid w:val="00D718B1"/>
    <w:rsid w:val="00D71BAC"/>
    <w:rsid w:val="00D71E89"/>
    <w:rsid w:val="00D72607"/>
    <w:rsid w:val="00D7331A"/>
    <w:rsid w:val="00D7499D"/>
    <w:rsid w:val="00D75540"/>
    <w:rsid w:val="00D75F4F"/>
    <w:rsid w:val="00D80C93"/>
    <w:rsid w:val="00D820DB"/>
    <w:rsid w:val="00D82BAE"/>
    <w:rsid w:val="00D8452E"/>
    <w:rsid w:val="00D84ECA"/>
    <w:rsid w:val="00D84FBC"/>
    <w:rsid w:val="00D854D7"/>
    <w:rsid w:val="00D867F7"/>
    <w:rsid w:val="00D91A3F"/>
    <w:rsid w:val="00D91B67"/>
    <w:rsid w:val="00D92CDF"/>
    <w:rsid w:val="00D94C1E"/>
    <w:rsid w:val="00D95BF7"/>
    <w:rsid w:val="00DA23C8"/>
    <w:rsid w:val="00DA29A6"/>
    <w:rsid w:val="00DA32DF"/>
    <w:rsid w:val="00DA416A"/>
    <w:rsid w:val="00DA4E60"/>
    <w:rsid w:val="00DA5931"/>
    <w:rsid w:val="00DA722B"/>
    <w:rsid w:val="00DA76C9"/>
    <w:rsid w:val="00DB0062"/>
    <w:rsid w:val="00DB2007"/>
    <w:rsid w:val="00DB22C8"/>
    <w:rsid w:val="00DB2424"/>
    <w:rsid w:val="00DB3E84"/>
    <w:rsid w:val="00DB4112"/>
    <w:rsid w:val="00DB68DF"/>
    <w:rsid w:val="00DC02A0"/>
    <w:rsid w:val="00DC0B08"/>
    <w:rsid w:val="00DC0E27"/>
    <w:rsid w:val="00DC1000"/>
    <w:rsid w:val="00DC3D3E"/>
    <w:rsid w:val="00DC44D3"/>
    <w:rsid w:val="00DC5CEF"/>
    <w:rsid w:val="00DD1395"/>
    <w:rsid w:val="00DD1BB4"/>
    <w:rsid w:val="00DD2E0F"/>
    <w:rsid w:val="00DD386D"/>
    <w:rsid w:val="00DD4330"/>
    <w:rsid w:val="00DD6547"/>
    <w:rsid w:val="00DD78A5"/>
    <w:rsid w:val="00DE4448"/>
    <w:rsid w:val="00DE49C9"/>
    <w:rsid w:val="00DE4EA9"/>
    <w:rsid w:val="00DE5A5B"/>
    <w:rsid w:val="00DE6957"/>
    <w:rsid w:val="00DF1FCE"/>
    <w:rsid w:val="00DF5B2B"/>
    <w:rsid w:val="00DF5E1E"/>
    <w:rsid w:val="00DF6442"/>
    <w:rsid w:val="00DF67A3"/>
    <w:rsid w:val="00DF6B3A"/>
    <w:rsid w:val="00DF7515"/>
    <w:rsid w:val="00DF7A42"/>
    <w:rsid w:val="00E022DC"/>
    <w:rsid w:val="00E024D3"/>
    <w:rsid w:val="00E026DA"/>
    <w:rsid w:val="00E03F43"/>
    <w:rsid w:val="00E0487B"/>
    <w:rsid w:val="00E05BE6"/>
    <w:rsid w:val="00E07A7B"/>
    <w:rsid w:val="00E138BD"/>
    <w:rsid w:val="00E14435"/>
    <w:rsid w:val="00E165E1"/>
    <w:rsid w:val="00E17BB5"/>
    <w:rsid w:val="00E206F5"/>
    <w:rsid w:val="00E21598"/>
    <w:rsid w:val="00E259BC"/>
    <w:rsid w:val="00E25B0E"/>
    <w:rsid w:val="00E25D42"/>
    <w:rsid w:val="00E264A4"/>
    <w:rsid w:val="00E2689E"/>
    <w:rsid w:val="00E27322"/>
    <w:rsid w:val="00E32E9A"/>
    <w:rsid w:val="00E33C67"/>
    <w:rsid w:val="00E36EBF"/>
    <w:rsid w:val="00E37F6E"/>
    <w:rsid w:val="00E40FCC"/>
    <w:rsid w:val="00E43122"/>
    <w:rsid w:val="00E4364B"/>
    <w:rsid w:val="00E44003"/>
    <w:rsid w:val="00E443D7"/>
    <w:rsid w:val="00E456A5"/>
    <w:rsid w:val="00E46ACB"/>
    <w:rsid w:val="00E470B1"/>
    <w:rsid w:val="00E50890"/>
    <w:rsid w:val="00E50FB1"/>
    <w:rsid w:val="00E5110E"/>
    <w:rsid w:val="00E51F94"/>
    <w:rsid w:val="00E52A22"/>
    <w:rsid w:val="00E5512D"/>
    <w:rsid w:val="00E55206"/>
    <w:rsid w:val="00E55DF5"/>
    <w:rsid w:val="00E57432"/>
    <w:rsid w:val="00E574E5"/>
    <w:rsid w:val="00E60BCB"/>
    <w:rsid w:val="00E61CB9"/>
    <w:rsid w:val="00E634BC"/>
    <w:rsid w:val="00E63C51"/>
    <w:rsid w:val="00E65809"/>
    <w:rsid w:val="00E6671A"/>
    <w:rsid w:val="00E66BB3"/>
    <w:rsid w:val="00E67BF5"/>
    <w:rsid w:val="00E70BDA"/>
    <w:rsid w:val="00E71139"/>
    <w:rsid w:val="00E71F71"/>
    <w:rsid w:val="00E74F63"/>
    <w:rsid w:val="00E75E28"/>
    <w:rsid w:val="00E7602E"/>
    <w:rsid w:val="00E7712C"/>
    <w:rsid w:val="00E7773E"/>
    <w:rsid w:val="00E77F65"/>
    <w:rsid w:val="00E8175C"/>
    <w:rsid w:val="00E81E82"/>
    <w:rsid w:val="00E81F0B"/>
    <w:rsid w:val="00E82E08"/>
    <w:rsid w:val="00E90664"/>
    <w:rsid w:val="00E9140D"/>
    <w:rsid w:val="00E916D3"/>
    <w:rsid w:val="00E92065"/>
    <w:rsid w:val="00E92DC5"/>
    <w:rsid w:val="00E96C97"/>
    <w:rsid w:val="00E96F05"/>
    <w:rsid w:val="00EA054C"/>
    <w:rsid w:val="00EA1C0E"/>
    <w:rsid w:val="00EA340E"/>
    <w:rsid w:val="00EA3B1F"/>
    <w:rsid w:val="00EA3C70"/>
    <w:rsid w:val="00EA4A07"/>
    <w:rsid w:val="00EA63BF"/>
    <w:rsid w:val="00EA6AC5"/>
    <w:rsid w:val="00EA6CF2"/>
    <w:rsid w:val="00EA7388"/>
    <w:rsid w:val="00EB0BAD"/>
    <w:rsid w:val="00EB2506"/>
    <w:rsid w:val="00EB3123"/>
    <w:rsid w:val="00EB3AD7"/>
    <w:rsid w:val="00EB4474"/>
    <w:rsid w:val="00EB55D0"/>
    <w:rsid w:val="00EB5646"/>
    <w:rsid w:val="00EB5ADB"/>
    <w:rsid w:val="00EC0F78"/>
    <w:rsid w:val="00EC1A32"/>
    <w:rsid w:val="00EC1A39"/>
    <w:rsid w:val="00EC2829"/>
    <w:rsid w:val="00EC3D3F"/>
    <w:rsid w:val="00EC4293"/>
    <w:rsid w:val="00EC4EA9"/>
    <w:rsid w:val="00EC5555"/>
    <w:rsid w:val="00EC5C01"/>
    <w:rsid w:val="00EC682C"/>
    <w:rsid w:val="00EC763C"/>
    <w:rsid w:val="00EC766D"/>
    <w:rsid w:val="00EC7C15"/>
    <w:rsid w:val="00EC7E34"/>
    <w:rsid w:val="00ED025D"/>
    <w:rsid w:val="00ED11A3"/>
    <w:rsid w:val="00ED3DFD"/>
    <w:rsid w:val="00ED3F21"/>
    <w:rsid w:val="00ED56F6"/>
    <w:rsid w:val="00ED71AE"/>
    <w:rsid w:val="00EE043E"/>
    <w:rsid w:val="00EE260F"/>
    <w:rsid w:val="00EE4C5A"/>
    <w:rsid w:val="00EE56E1"/>
    <w:rsid w:val="00EE5701"/>
    <w:rsid w:val="00EE604B"/>
    <w:rsid w:val="00EE6B33"/>
    <w:rsid w:val="00EF0462"/>
    <w:rsid w:val="00EF1EC7"/>
    <w:rsid w:val="00EF21E7"/>
    <w:rsid w:val="00EF2BBB"/>
    <w:rsid w:val="00EF36E5"/>
    <w:rsid w:val="00EF3E3F"/>
    <w:rsid w:val="00EF3F9B"/>
    <w:rsid w:val="00EF4E5A"/>
    <w:rsid w:val="00EF62F5"/>
    <w:rsid w:val="00EF6505"/>
    <w:rsid w:val="00EF7A6F"/>
    <w:rsid w:val="00F0267E"/>
    <w:rsid w:val="00F02C57"/>
    <w:rsid w:val="00F03029"/>
    <w:rsid w:val="00F04236"/>
    <w:rsid w:val="00F04C89"/>
    <w:rsid w:val="00F070E5"/>
    <w:rsid w:val="00F124ED"/>
    <w:rsid w:val="00F1313C"/>
    <w:rsid w:val="00F1382A"/>
    <w:rsid w:val="00F13C1E"/>
    <w:rsid w:val="00F14A0D"/>
    <w:rsid w:val="00F1517E"/>
    <w:rsid w:val="00F15967"/>
    <w:rsid w:val="00F16678"/>
    <w:rsid w:val="00F17A14"/>
    <w:rsid w:val="00F22AC4"/>
    <w:rsid w:val="00F22BAA"/>
    <w:rsid w:val="00F23EA8"/>
    <w:rsid w:val="00F24963"/>
    <w:rsid w:val="00F26254"/>
    <w:rsid w:val="00F26388"/>
    <w:rsid w:val="00F30610"/>
    <w:rsid w:val="00F31BE3"/>
    <w:rsid w:val="00F33AB5"/>
    <w:rsid w:val="00F33F88"/>
    <w:rsid w:val="00F3489A"/>
    <w:rsid w:val="00F34B21"/>
    <w:rsid w:val="00F34CA5"/>
    <w:rsid w:val="00F3596C"/>
    <w:rsid w:val="00F364B1"/>
    <w:rsid w:val="00F4004E"/>
    <w:rsid w:val="00F41E90"/>
    <w:rsid w:val="00F4227F"/>
    <w:rsid w:val="00F436BF"/>
    <w:rsid w:val="00F439DA"/>
    <w:rsid w:val="00F4465C"/>
    <w:rsid w:val="00F44F7D"/>
    <w:rsid w:val="00F46E76"/>
    <w:rsid w:val="00F47F7E"/>
    <w:rsid w:val="00F52671"/>
    <w:rsid w:val="00F53373"/>
    <w:rsid w:val="00F537DF"/>
    <w:rsid w:val="00F53B56"/>
    <w:rsid w:val="00F54AD8"/>
    <w:rsid w:val="00F55A7C"/>
    <w:rsid w:val="00F55BC3"/>
    <w:rsid w:val="00F571FE"/>
    <w:rsid w:val="00F57E1E"/>
    <w:rsid w:val="00F57F97"/>
    <w:rsid w:val="00F6026D"/>
    <w:rsid w:val="00F605FF"/>
    <w:rsid w:val="00F625FC"/>
    <w:rsid w:val="00F62649"/>
    <w:rsid w:val="00F62C96"/>
    <w:rsid w:val="00F638A5"/>
    <w:rsid w:val="00F64E65"/>
    <w:rsid w:val="00F64E82"/>
    <w:rsid w:val="00F64FEC"/>
    <w:rsid w:val="00F665F2"/>
    <w:rsid w:val="00F673C2"/>
    <w:rsid w:val="00F67469"/>
    <w:rsid w:val="00F70D2F"/>
    <w:rsid w:val="00F715FC"/>
    <w:rsid w:val="00F71859"/>
    <w:rsid w:val="00F73059"/>
    <w:rsid w:val="00F735A2"/>
    <w:rsid w:val="00F74FDC"/>
    <w:rsid w:val="00F7566A"/>
    <w:rsid w:val="00F76624"/>
    <w:rsid w:val="00F77C42"/>
    <w:rsid w:val="00F80602"/>
    <w:rsid w:val="00F81917"/>
    <w:rsid w:val="00F82308"/>
    <w:rsid w:val="00F82A57"/>
    <w:rsid w:val="00F83122"/>
    <w:rsid w:val="00F83A2C"/>
    <w:rsid w:val="00F83A37"/>
    <w:rsid w:val="00F83E9D"/>
    <w:rsid w:val="00F86C5B"/>
    <w:rsid w:val="00F87B6E"/>
    <w:rsid w:val="00F91A55"/>
    <w:rsid w:val="00F922B8"/>
    <w:rsid w:val="00F92758"/>
    <w:rsid w:val="00F93AE4"/>
    <w:rsid w:val="00F94148"/>
    <w:rsid w:val="00F94739"/>
    <w:rsid w:val="00F94B1A"/>
    <w:rsid w:val="00F94F22"/>
    <w:rsid w:val="00F961A0"/>
    <w:rsid w:val="00F96410"/>
    <w:rsid w:val="00F971A3"/>
    <w:rsid w:val="00F97A32"/>
    <w:rsid w:val="00FA0271"/>
    <w:rsid w:val="00FA04D3"/>
    <w:rsid w:val="00FA06FD"/>
    <w:rsid w:val="00FA1AFC"/>
    <w:rsid w:val="00FA3B58"/>
    <w:rsid w:val="00FA490B"/>
    <w:rsid w:val="00FA5036"/>
    <w:rsid w:val="00FA5484"/>
    <w:rsid w:val="00FA6127"/>
    <w:rsid w:val="00FA7F65"/>
    <w:rsid w:val="00FB1CFE"/>
    <w:rsid w:val="00FB329A"/>
    <w:rsid w:val="00FB3CD0"/>
    <w:rsid w:val="00FB3EBB"/>
    <w:rsid w:val="00FB4F3E"/>
    <w:rsid w:val="00FB57D3"/>
    <w:rsid w:val="00FB66BE"/>
    <w:rsid w:val="00FB78C6"/>
    <w:rsid w:val="00FB7CFB"/>
    <w:rsid w:val="00FB7D8A"/>
    <w:rsid w:val="00FC002F"/>
    <w:rsid w:val="00FC4BDC"/>
    <w:rsid w:val="00FC55F6"/>
    <w:rsid w:val="00FC6262"/>
    <w:rsid w:val="00FC65E1"/>
    <w:rsid w:val="00FC7EB7"/>
    <w:rsid w:val="00FD04E0"/>
    <w:rsid w:val="00FD124D"/>
    <w:rsid w:val="00FD64DE"/>
    <w:rsid w:val="00FD7B28"/>
    <w:rsid w:val="00FE0006"/>
    <w:rsid w:val="00FE0BFA"/>
    <w:rsid w:val="00FE0D85"/>
    <w:rsid w:val="00FE0DC9"/>
    <w:rsid w:val="00FE2447"/>
    <w:rsid w:val="00FE271B"/>
    <w:rsid w:val="00FE2A56"/>
    <w:rsid w:val="00FE2EA4"/>
    <w:rsid w:val="00FE3029"/>
    <w:rsid w:val="00FE329B"/>
    <w:rsid w:val="00FE4BDC"/>
    <w:rsid w:val="00FE57BE"/>
    <w:rsid w:val="00FE5E1F"/>
    <w:rsid w:val="00FE5FEC"/>
    <w:rsid w:val="00FE6B84"/>
    <w:rsid w:val="00FE7ABB"/>
    <w:rsid w:val="00FF08F6"/>
    <w:rsid w:val="00FF095B"/>
    <w:rsid w:val="00FF0A8C"/>
    <w:rsid w:val="00FF21EB"/>
    <w:rsid w:val="00FF4426"/>
    <w:rsid w:val="00FF61C5"/>
    <w:rsid w:val="00FF6A58"/>
    <w:rsid w:val="00FF7F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214042-2EB8-43AE-BEA7-65FE0001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9D1"/>
    <w:pPr>
      <w:bidi/>
      <w:ind w:firstLine="567"/>
    </w:pPr>
    <w:rPr>
      <w:rFonts w:cs="Traditional Arabic"/>
      <w:color w:val="000000"/>
      <w:sz w:val="24"/>
      <w:szCs w:val="30"/>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0C39D1"/>
    <w:rPr>
      <w:rFonts w:ascii="Tahoma" w:hAnsi="Tahoma" w:cs="Tahoma"/>
      <w:sz w:val="16"/>
      <w:szCs w:val="16"/>
    </w:rPr>
  </w:style>
  <w:style w:type="character" w:customStyle="1" w:styleId="BalloonTextChar">
    <w:name w:val="Balloon Text Char"/>
    <w:basedOn w:val="DefaultParagraphFont"/>
    <w:link w:val="BalloonText"/>
    <w:uiPriority w:val="99"/>
    <w:rsid w:val="000C39D1"/>
    <w:rPr>
      <w:rFonts w:ascii="Tahoma" w:hAnsi="Tahoma" w:cs="Tahoma"/>
      <w:color w:val="000000"/>
      <w:sz w:val="16"/>
      <w:szCs w:val="16"/>
      <w:lang w:bidi="ar-SA"/>
    </w:rPr>
  </w:style>
  <w:style w:type="paragraph" w:styleId="Footer">
    <w:name w:val="footer"/>
    <w:basedOn w:val="Normal"/>
    <w:link w:val="FooterChar"/>
    <w:rsid w:val="000C39D1"/>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0C39D1"/>
    <w:rPr>
      <w:rFonts w:cs="Traditional Arabic"/>
      <w:color w:val="000000"/>
      <w:sz w:val="26"/>
      <w:szCs w:val="26"/>
      <w:lang w:bidi="ar-SA"/>
    </w:rPr>
  </w:style>
  <w:style w:type="paragraph" w:styleId="Header">
    <w:name w:val="header"/>
    <w:basedOn w:val="Normal"/>
    <w:link w:val="HeaderChar"/>
    <w:uiPriority w:val="99"/>
    <w:rsid w:val="000C39D1"/>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0C39D1"/>
    <w:rPr>
      <w:rFonts w:cs="Traditional Arabic"/>
      <w:color w:val="000000"/>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14990516">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29DE7-4258-4C77-9F18-F2267642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5555</TotalTime>
  <Pages>46</Pages>
  <Words>245669</Words>
  <Characters>1400318</Characters>
  <Application>Microsoft Office Word</Application>
  <DocSecurity>0</DocSecurity>
  <Lines>11669</Lines>
  <Paragraphs>3285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1642702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mohsn</dc:creator>
  <cp:keywords/>
  <dc:description/>
  <cp:lastModifiedBy>hamed</cp:lastModifiedBy>
  <cp:revision>2</cp:revision>
  <cp:lastPrinted>2014-01-25T18:18:00Z</cp:lastPrinted>
  <dcterms:created xsi:type="dcterms:W3CDTF">2020-03-09T12:38:00Z</dcterms:created>
  <dcterms:modified xsi:type="dcterms:W3CDTF">2020-04-11T10:25:00Z</dcterms:modified>
</cp:coreProperties>
</file>